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D88" w:rsidRPr="000878CA" w:rsidRDefault="002C6D88" w:rsidP="00987C0A">
      <w:pPr>
        <w:pStyle w:val="22"/>
        <w:jc w:val="center"/>
      </w:pPr>
      <w:r w:rsidRPr="000878CA">
        <w:t xml:space="preserve">Министерство сельского хозяйства </w:t>
      </w:r>
      <w:r w:rsidR="00DB069F" w:rsidRPr="000878CA">
        <w:t>Российской Федерации</w:t>
      </w:r>
    </w:p>
    <w:p w:rsidR="002C6D88" w:rsidRPr="000878CA" w:rsidRDefault="002C6D88" w:rsidP="00DB069F">
      <w:pPr>
        <w:rPr>
          <w:sz w:val="24"/>
          <w:szCs w:val="24"/>
        </w:rPr>
      </w:pPr>
    </w:p>
    <w:p w:rsidR="002C6D88" w:rsidRPr="000878CA" w:rsidRDefault="00920D5E" w:rsidP="002C6D88">
      <w:pPr>
        <w:jc w:val="center"/>
        <w:rPr>
          <w:sz w:val="24"/>
          <w:szCs w:val="24"/>
        </w:rPr>
      </w:pPr>
      <w:r>
        <w:rPr>
          <w:sz w:val="24"/>
          <w:szCs w:val="24"/>
        </w:rPr>
        <w:t xml:space="preserve">ФГБОУ </w:t>
      </w:r>
      <w:proofErr w:type="gramStart"/>
      <w:r>
        <w:rPr>
          <w:sz w:val="24"/>
          <w:szCs w:val="24"/>
        </w:rPr>
        <w:t>В</w:t>
      </w:r>
      <w:r w:rsidR="002C6D88" w:rsidRPr="000878CA">
        <w:rPr>
          <w:sz w:val="24"/>
          <w:szCs w:val="24"/>
        </w:rPr>
        <w:t>О</w:t>
      </w:r>
      <w:proofErr w:type="gramEnd"/>
      <w:r w:rsidR="002C6D88" w:rsidRPr="000878CA">
        <w:rPr>
          <w:sz w:val="24"/>
          <w:szCs w:val="24"/>
        </w:rPr>
        <w:t xml:space="preserve"> «Кубанский госуда</w:t>
      </w:r>
      <w:r>
        <w:rPr>
          <w:sz w:val="24"/>
          <w:szCs w:val="24"/>
        </w:rPr>
        <w:t xml:space="preserve">рственный аграрный </w:t>
      </w:r>
      <w:r>
        <w:rPr>
          <w:sz w:val="24"/>
          <w:szCs w:val="24"/>
        </w:rPr>
        <w:br/>
        <w:t>университет имени И.</w:t>
      </w:r>
      <w:r w:rsidR="005140A7">
        <w:rPr>
          <w:sz w:val="24"/>
          <w:szCs w:val="24"/>
        </w:rPr>
        <w:t xml:space="preserve"> </w:t>
      </w:r>
      <w:r>
        <w:rPr>
          <w:sz w:val="24"/>
          <w:szCs w:val="24"/>
        </w:rPr>
        <w:t>Т. Трубилина»</w:t>
      </w:r>
      <w:r w:rsidR="002C6D88" w:rsidRPr="000878CA">
        <w:rPr>
          <w:sz w:val="24"/>
          <w:szCs w:val="24"/>
        </w:rPr>
        <w:t xml:space="preserve"> </w:t>
      </w:r>
    </w:p>
    <w:p w:rsidR="002C6D88" w:rsidRPr="000878CA" w:rsidRDefault="002C6D88" w:rsidP="002C6D88">
      <w:pPr>
        <w:jc w:val="center"/>
        <w:rPr>
          <w:sz w:val="24"/>
          <w:szCs w:val="24"/>
        </w:rPr>
      </w:pPr>
    </w:p>
    <w:p w:rsidR="002C6D88" w:rsidRPr="000878CA" w:rsidRDefault="002C6D88" w:rsidP="008D2B27">
      <w:pPr>
        <w:jc w:val="center"/>
        <w:rPr>
          <w:sz w:val="24"/>
          <w:szCs w:val="24"/>
        </w:rPr>
      </w:pPr>
    </w:p>
    <w:p w:rsidR="00BF79A2" w:rsidRPr="000878CA" w:rsidRDefault="00BF79A2" w:rsidP="008D2B27">
      <w:pPr>
        <w:jc w:val="center"/>
        <w:rPr>
          <w:sz w:val="24"/>
          <w:szCs w:val="24"/>
        </w:rPr>
      </w:pPr>
    </w:p>
    <w:p w:rsidR="00BF79A2" w:rsidRPr="000878CA" w:rsidRDefault="00BF79A2" w:rsidP="008D2B27">
      <w:pPr>
        <w:jc w:val="center"/>
        <w:rPr>
          <w:sz w:val="24"/>
          <w:szCs w:val="24"/>
        </w:rPr>
      </w:pPr>
    </w:p>
    <w:p w:rsidR="002C6D88" w:rsidRPr="000878CA" w:rsidRDefault="002C6D88" w:rsidP="002C6D88">
      <w:pPr>
        <w:jc w:val="center"/>
        <w:rPr>
          <w:sz w:val="24"/>
          <w:szCs w:val="24"/>
        </w:rPr>
      </w:pPr>
    </w:p>
    <w:p w:rsidR="002C6D88" w:rsidRPr="000878CA" w:rsidRDefault="002C6D88" w:rsidP="002C6D88">
      <w:pPr>
        <w:jc w:val="center"/>
        <w:rPr>
          <w:sz w:val="32"/>
          <w:szCs w:val="32"/>
        </w:rPr>
      </w:pPr>
      <w:r w:rsidRPr="000878CA">
        <w:rPr>
          <w:sz w:val="32"/>
          <w:szCs w:val="32"/>
        </w:rPr>
        <w:t xml:space="preserve">НАУЧНОЕ ОБЕСПЕЧЕНИЕ </w:t>
      </w:r>
      <w:r w:rsidRPr="000878CA">
        <w:rPr>
          <w:sz w:val="32"/>
          <w:szCs w:val="32"/>
        </w:rPr>
        <w:br/>
        <w:t xml:space="preserve">АГРОПРОМЫШЛЕННОГО КОМПЛЕКСА </w:t>
      </w:r>
    </w:p>
    <w:p w:rsidR="002C6D88" w:rsidRPr="000878CA" w:rsidRDefault="002C6D88" w:rsidP="002C6D88">
      <w:pPr>
        <w:jc w:val="center"/>
        <w:rPr>
          <w:sz w:val="22"/>
        </w:rPr>
      </w:pPr>
    </w:p>
    <w:p w:rsidR="002C6D88" w:rsidRPr="000878CA" w:rsidRDefault="002C6D88" w:rsidP="002C6D88">
      <w:pPr>
        <w:jc w:val="center"/>
        <w:rPr>
          <w:sz w:val="22"/>
        </w:rPr>
      </w:pPr>
    </w:p>
    <w:p w:rsidR="002C6D88" w:rsidRPr="000878CA" w:rsidRDefault="002C6D88" w:rsidP="002C6D88">
      <w:pPr>
        <w:jc w:val="center"/>
        <w:rPr>
          <w:sz w:val="22"/>
        </w:rPr>
      </w:pPr>
    </w:p>
    <w:p w:rsidR="002C6D88" w:rsidRPr="000878CA" w:rsidRDefault="002C6D88" w:rsidP="002C6D88">
      <w:pPr>
        <w:jc w:val="center"/>
      </w:pPr>
      <w:r w:rsidRPr="000878CA">
        <w:t>Сборник статей</w:t>
      </w:r>
    </w:p>
    <w:p w:rsidR="002C6D88" w:rsidRPr="000878CA" w:rsidRDefault="002C6D88" w:rsidP="00BF79A2">
      <w:pPr>
        <w:jc w:val="center"/>
      </w:pPr>
      <w:r w:rsidRPr="000878CA">
        <w:t xml:space="preserve">по материалам </w:t>
      </w:r>
      <w:r w:rsidR="004A47F0">
        <w:t>73</w:t>
      </w:r>
      <w:r w:rsidR="00BF79A2" w:rsidRPr="000878CA">
        <w:t xml:space="preserve">-й научно-практической </w:t>
      </w:r>
      <w:r w:rsidR="000878CA" w:rsidRPr="000878CA">
        <w:br/>
      </w:r>
      <w:r w:rsidR="00BF79A2" w:rsidRPr="000878CA">
        <w:t xml:space="preserve">конференции </w:t>
      </w:r>
      <w:r w:rsidR="0031029A">
        <w:t>студентов</w:t>
      </w:r>
      <w:r w:rsidR="00BF79A2" w:rsidRPr="000878CA">
        <w:t xml:space="preserve"> </w:t>
      </w:r>
      <w:r w:rsidR="000878CA" w:rsidRPr="000878CA">
        <w:br/>
      </w:r>
      <w:r w:rsidR="004A47F0">
        <w:t>по итогам НИР за 2017</w:t>
      </w:r>
      <w:r w:rsidR="00BF79A2" w:rsidRPr="000878CA">
        <w:t xml:space="preserve"> год</w:t>
      </w:r>
      <w:r w:rsidRPr="000878CA">
        <w:t xml:space="preserve"> </w:t>
      </w:r>
    </w:p>
    <w:p w:rsidR="002C6D88" w:rsidRPr="000878CA" w:rsidRDefault="002C6D88" w:rsidP="002C6D88">
      <w:pPr>
        <w:jc w:val="center"/>
      </w:pPr>
    </w:p>
    <w:p w:rsidR="002C6D88" w:rsidRPr="000878CA" w:rsidRDefault="002C6D88" w:rsidP="002C6D88">
      <w:pPr>
        <w:jc w:val="center"/>
      </w:pPr>
    </w:p>
    <w:p w:rsidR="000878CA" w:rsidRPr="000878CA" w:rsidRDefault="000878CA" w:rsidP="002C6D88">
      <w:pPr>
        <w:jc w:val="center"/>
      </w:pPr>
    </w:p>
    <w:p w:rsidR="000878CA" w:rsidRPr="000878CA" w:rsidRDefault="000878CA" w:rsidP="002C6D88">
      <w:pPr>
        <w:jc w:val="center"/>
      </w:pPr>
    </w:p>
    <w:p w:rsidR="002C6D88" w:rsidRDefault="002C6D88" w:rsidP="002C6D88">
      <w:pPr>
        <w:jc w:val="center"/>
        <w:rPr>
          <w:sz w:val="22"/>
        </w:rPr>
      </w:pPr>
    </w:p>
    <w:p w:rsidR="009F5642" w:rsidRPr="000878CA" w:rsidRDefault="009F5642" w:rsidP="002C6D88">
      <w:pPr>
        <w:jc w:val="center"/>
        <w:rPr>
          <w:sz w:val="22"/>
        </w:rPr>
      </w:pPr>
    </w:p>
    <w:p w:rsidR="002C6D88" w:rsidRPr="000878CA" w:rsidRDefault="002C6D88" w:rsidP="002C6D88">
      <w:pPr>
        <w:jc w:val="center"/>
        <w:rPr>
          <w:sz w:val="22"/>
        </w:rPr>
      </w:pPr>
    </w:p>
    <w:p w:rsidR="00DB069F" w:rsidRPr="000878CA" w:rsidRDefault="00DB069F" w:rsidP="002C6D88">
      <w:pPr>
        <w:jc w:val="center"/>
        <w:rPr>
          <w:sz w:val="22"/>
        </w:rPr>
      </w:pPr>
    </w:p>
    <w:p w:rsidR="00DB069F" w:rsidRPr="000878CA" w:rsidRDefault="00DB069F" w:rsidP="002C6D88">
      <w:pPr>
        <w:jc w:val="center"/>
        <w:rPr>
          <w:sz w:val="22"/>
        </w:rPr>
      </w:pPr>
    </w:p>
    <w:p w:rsidR="00DB069F" w:rsidRPr="000878CA" w:rsidRDefault="00DB069F" w:rsidP="002C6D88">
      <w:pPr>
        <w:jc w:val="center"/>
        <w:rPr>
          <w:sz w:val="22"/>
        </w:rPr>
      </w:pPr>
    </w:p>
    <w:p w:rsidR="002C6D88" w:rsidRPr="000878CA" w:rsidRDefault="002C6D88" w:rsidP="002C6D88">
      <w:pPr>
        <w:jc w:val="center"/>
        <w:rPr>
          <w:sz w:val="22"/>
        </w:rPr>
      </w:pPr>
    </w:p>
    <w:p w:rsidR="002C6D88" w:rsidRPr="000878CA" w:rsidRDefault="002C6D88" w:rsidP="00215479">
      <w:pPr>
        <w:rPr>
          <w:sz w:val="22"/>
        </w:rPr>
      </w:pPr>
    </w:p>
    <w:p w:rsidR="002C6D88" w:rsidRPr="000878CA" w:rsidRDefault="002C6D88" w:rsidP="002C6D88">
      <w:pPr>
        <w:jc w:val="center"/>
        <w:rPr>
          <w:sz w:val="24"/>
          <w:szCs w:val="24"/>
        </w:rPr>
      </w:pPr>
      <w:r w:rsidRPr="000878CA">
        <w:rPr>
          <w:sz w:val="24"/>
          <w:szCs w:val="24"/>
        </w:rPr>
        <w:t xml:space="preserve">Краснодар </w:t>
      </w:r>
    </w:p>
    <w:p w:rsidR="002C6D88" w:rsidRPr="000878CA" w:rsidRDefault="002C6D88" w:rsidP="002C6D88">
      <w:pPr>
        <w:jc w:val="center"/>
        <w:rPr>
          <w:sz w:val="24"/>
          <w:szCs w:val="24"/>
        </w:rPr>
      </w:pPr>
      <w:r w:rsidRPr="000878CA">
        <w:rPr>
          <w:sz w:val="24"/>
          <w:szCs w:val="24"/>
        </w:rPr>
        <w:t>КубГАУ</w:t>
      </w:r>
    </w:p>
    <w:p w:rsidR="00291FFF" w:rsidRPr="00451253" w:rsidRDefault="004A47F0" w:rsidP="002C6D88">
      <w:pPr>
        <w:jc w:val="center"/>
        <w:rPr>
          <w:sz w:val="24"/>
          <w:szCs w:val="24"/>
          <w:highlight w:val="yellow"/>
        </w:rPr>
        <w:sectPr w:rsidR="00291FFF" w:rsidRPr="00451253" w:rsidSect="00B80A9B">
          <w:footerReference w:type="default" r:id="rId9"/>
          <w:pgSz w:w="8391" w:h="11907" w:code="11"/>
          <w:pgMar w:top="1021" w:right="964" w:bottom="1021" w:left="964" w:header="709" w:footer="709" w:gutter="0"/>
          <w:cols w:space="720"/>
          <w:docGrid w:linePitch="381"/>
        </w:sectPr>
      </w:pPr>
      <w:r>
        <w:rPr>
          <w:sz w:val="24"/>
          <w:szCs w:val="24"/>
        </w:rPr>
        <w:t>2018</w:t>
      </w:r>
    </w:p>
    <w:p w:rsidR="002C6D88" w:rsidRPr="00EC43A2" w:rsidRDefault="000878CA" w:rsidP="002C6D88">
      <w:pPr>
        <w:tabs>
          <w:tab w:val="left" w:pos="709"/>
        </w:tabs>
        <w:jc w:val="both"/>
        <w:rPr>
          <w:b/>
          <w:sz w:val="22"/>
        </w:rPr>
      </w:pPr>
      <w:r w:rsidRPr="00EC43A2">
        <w:rPr>
          <w:b/>
          <w:sz w:val="22"/>
        </w:rPr>
        <w:lastRenderedPageBreak/>
        <w:t>УДК</w:t>
      </w:r>
      <w:r w:rsidR="00612423" w:rsidRPr="00EC43A2">
        <w:rPr>
          <w:b/>
          <w:sz w:val="22"/>
        </w:rPr>
        <w:t xml:space="preserve"> 338.436.33:001.8(063)</w:t>
      </w:r>
    </w:p>
    <w:p w:rsidR="002C6D88" w:rsidRPr="00EC43A2" w:rsidRDefault="002C6D88" w:rsidP="002C6D88">
      <w:pPr>
        <w:jc w:val="both"/>
        <w:rPr>
          <w:b/>
          <w:sz w:val="20"/>
        </w:rPr>
      </w:pPr>
      <w:r w:rsidRPr="00EC43A2">
        <w:rPr>
          <w:b/>
          <w:sz w:val="22"/>
        </w:rPr>
        <w:t xml:space="preserve">ББК </w:t>
      </w:r>
      <w:r w:rsidR="00612423" w:rsidRPr="00EC43A2">
        <w:rPr>
          <w:b/>
          <w:sz w:val="22"/>
        </w:rPr>
        <w:t>65.32</w:t>
      </w:r>
    </w:p>
    <w:p w:rsidR="002C6D88" w:rsidRPr="00EC43A2" w:rsidRDefault="002C6D88" w:rsidP="002C6D88">
      <w:pPr>
        <w:jc w:val="both"/>
        <w:rPr>
          <w:b/>
          <w:sz w:val="20"/>
        </w:rPr>
      </w:pPr>
      <w:r w:rsidRPr="00EC43A2">
        <w:rPr>
          <w:b/>
          <w:sz w:val="20"/>
        </w:rPr>
        <w:t xml:space="preserve">           Н</w:t>
      </w:r>
      <w:r w:rsidR="00612423" w:rsidRPr="00EC43A2">
        <w:rPr>
          <w:b/>
          <w:sz w:val="20"/>
        </w:rPr>
        <w:t>34</w:t>
      </w:r>
    </w:p>
    <w:p w:rsidR="002C6D88" w:rsidRDefault="002C6D88" w:rsidP="002C6D88">
      <w:pPr>
        <w:jc w:val="both"/>
        <w:rPr>
          <w:b/>
          <w:sz w:val="22"/>
          <w:highlight w:val="yellow"/>
        </w:rPr>
      </w:pPr>
    </w:p>
    <w:p w:rsidR="0066471E" w:rsidRPr="00451253" w:rsidRDefault="0066471E" w:rsidP="002C6D88">
      <w:pPr>
        <w:jc w:val="both"/>
        <w:rPr>
          <w:b/>
          <w:sz w:val="22"/>
          <w:highlight w:val="yellow"/>
        </w:rPr>
      </w:pPr>
    </w:p>
    <w:p w:rsidR="002C6D88" w:rsidRPr="000878CA" w:rsidRDefault="002C6D88" w:rsidP="002C6D88">
      <w:pPr>
        <w:ind w:right="368"/>
        <w:jc w:val="center"/>
        <w:rPr>
          <w:b/>
          <w:spacing w:val="60"/>
          <w:sz w:val="22"/>
        </w:rPr>
      </w:pPr>
      <w:r w:rsidRPr="000878CA">
        <w:rPr>
          <w:b/>
          <w:spacing w:val="60"/>
          <w:sz w:val="22"/>
        </w:rPr>
        <w:t>Редакционная коллегия:</w:t>
      </w:r>
    </w:p>
    <w:p w:rsidR="002C6D88" w:rsidRDefault="002C6D88" w:rsidP="002C6D88">
      <w:pPr>
        <w:ind w:left="284" w:right="368"/>
        <w:jc w:val="center"/>
        <w:rPr>
          <w:b/>
          <w:spacing w:val="60"/>
          <w:sz w:val="22"/>
        </w:rPr>
      </w:pPr>
    </w:p>
    <w:p w:rsidR="004A47F0" w:rsidRDefault="002500E6" w:rsidP="00156584">
      <w:pPr>
        <w:ind w:left="284" w:right="368"/>
        <w:jc w:val="center"/>
        <w:rPr>
          <w:sz w:val="20"/>
          <w:szCs w:val="20"/>
        </w:rPr>
      </w:pPr>
      <w:r w:rsidRPr="00EC43A2">
        <w:rPr>
          <w:sz w:val="20"/>
          <w:szCs w:val="20"/>
        </w:rPr>
        <w:t>Н.</w:t>
      </w:r>
      <w:r w:rsidR="00920D5E">
        <w:rPr>
          <w:sz w:val="20"/>
          <w:szCs w:val="20"/>
        </w:rPr>
        <w:t xml:space="preserve"> </w:t>
      </w:r>
      <w:r w:rsidRPr="00EC43A2">
        <w:rPr>
          <w:sz w:val="20"/>
          <w:szCs w:val="20"/>
        </w:rPr>
        <w:t>А. Москалева</w:t>
      </w:r>
      <w:r w:rsidR="000C04FE" w:rsidRPr="00EC43A2">
        <w:rPr>
          <w:sz w:val="20"/>
          <w:szCs w:val="20"/>
        </w:rPr>
        <w:t xml:space="preserve">, </w:t>
      </w:r>
      <w:r w:rsidRPr="00EC43A2">
        <w:rPr>
          <w:sz w:val="20"/>
          <w:szCs w:val="20"/>
        </w:rPr>
        <w:t>Л.</w:t>
      </w:r>
      <w:r w:rsidR="00920D5E">
        <w:rPr>
          <w:sz w:val="20"/>
          <w:szCs w:val="20"/>
        </w:rPr>
        <w:t xml:space="preserve"> </w:t>
      </w:r>
      <w:r w:rsidRPr="00EC43A2">
        <w:rPr>
          <w:sz w:val="20"/>
          <w:szCs w:val="20"/>
        </w:rPr>
        <w:t xml:space="preserve">Г. </w:t>
      </w:r>
      <w:r w:rsidRPr="008F5438">
        <w:rPr>
          <w:sz w:val="20"/>
          <w:szCs w:val="20"/>
        </w:rPr>
        <w:t>Влащик</w:t>
      </w:r>
      <w:r w:rsidR="000C04FE" w:rsidRPr="008F5438">
        <w:rPr>
          <w:sz w:val="20"/>
          <w:szCs w:val="20"/>
        </w:rPr>
        <w:t xml:space="preserve">, </w:t>
      </w:r>
      <w:r w:rsidR="008F5438" w:rsidRPr="008F5438">
        <w:rPr>
          <w:sz w:val="20"/>
          <w:szCs w:val="20"/>
        </w:rPr>
        <w:t>Е. В. Суркова</w:t>
      </w:r>
      <w:r w:rsidR="000C04FE" w:rsidRPr="008F5438">
        <w:rPr>
          <w:sz w:val="20"/>
          <w:szCs w:val="20"/>
        </w:rPr>
        <w:t xml:space="preserve">, </w:t>
      </w:r>
      <w:r w:rsidR="009218A7" w:rsidRPr="009218A7">
        <w:rPr>
          <w:sz w:val="20"/>
          <w:szCs w:val="20"/>
        </w:rPr>
        <w:t>А.</w:t>
      </w:r>
      <w:r w:rsidR="009218A7">
        <w:rPr>
          <w:sz w:val="20"/>
          <w:szCs w:val="20"/>
        </w:rPr>
        <w:t xml:space="preserve"> </w:t>
      </w:r>
      <w:r w:rsidR="009218A7" w:rsidRPr="009218A7">
        <w:rPr>
          <w:sz w:val="20"/>
          <w:szCs w:val="20"/>
        </w:rPr>
        <w:t>С. Тищенко</w:t>
      </w:r>
      <w:r w:rsidR="000C04FE" w:rsidRPr="00EC43A2">
        <w:rPr>
          <w:sz w:val="20"/>
          <w:szCs w:val="20"/>
        </w:rPr>
        <w:t xml:space="preserve">, </w:t>
      </w:r>
      <w:r w:rsidR="00156584" w:rsidRPr="00EC43A2">
        <w:rPr>
          <w:sz w:val="20"/>
          <w:szCs w:val="20"/>
        </w:rPr>
        <w:br/>
      </w:r>
      <w:r w:rsidRPr="00EC43A2">
        <w:rPr>
          <w:sz w:val="20"/>
          <w:szCs w:val="20"/>
        </w:rPr>
        <w:t>В.</w:t>
      </w:r>
      <w:r w:rsidR="00920D5E">
        <w:rPr>
          <w:sz w:val="20"/>
          <w:szCs w:val="20"/>
        </w:rPr>
        <w:t xml:space="preserve"> </w:t>
      </w:r>
      <w:r w:rsidRPr="00EC43A2">
        <w:rPr>
          <w:sz w:val="20"/>
          <w:szCs w:val="20"/>
        </w:rPr>
        <w:t>В. Усенко</w:t>
      </w:r>
      <w:r w:rsidR="000C04FE" w:rsidRPr="00EC43A2">
        <w:rPr>
          <w:sz w:val="20"/>
          <w:szCs w:val="20"/>
        </w:rPr>
        <w:t xml:space="preserve">, </w:t>
      </w:r>
      <w:r w:rsidRPr="00EC43A2">
        <w:rPr>
          <w:sz w:val="20"/>
          <w:szCs w:val="20"/>
        </w:rPr>
        <w:t>К.</w:t>
      </w:r>
      <w:r w:rsidR="00920D5E">
        <w:rPr>
          <w:sz w:val="20"/>
          <w:szCs w:val="20"/>
        </w:rPr>
        <w:t xml:space="preserve"> </w:t>
      </w:r>
      <w:r w:rsidRPr="00EC43A2">
        <w:rPr>
          <w:sz w:val="20"/>
          <w:szCs w:val="20"/>
        </w:rPr>
        <w:t>В. Ященко</w:t>
      </w:r>
      <w:r w:rsidR="000C04FE" w:rsidRPr="00EC43A2">
        <w:rPr>
          <w:sz w:val="20"/>
          <w:szCs w:val="20"/>
        </w:rPr>
        <w:t>, Е. И. Трубилин,</w:t>
      </w:r>
      <w:r w:rsidR="00156584" w:rsidRPr="00EC43A2">
        <w:rPr>
          <w:sz w:val="20"/>
          <w:szCs w:val="20"/>
        </w:rPr>
        <w:br/>
      </w:r>
      <w:r w:rsidRPr="00EC43A2">
        <w:rPr>
          <w:sz w:val="20"/>
          <w:szCs w:val="20"/>
        </w:rPr>
        <w:t>Н.</w:t>
      </w:r>
      <w:r w:rsidR="00920D5E">
        <w:rPr>
          <w:sz w:val="20"/>
          <w:szCs w:val="20"/>
        </w:rPr>
        <w:t xml:space="preserve"> </w:t>
      </w:r>
      <w:r w:rsidRPr="00EC43A2">
        <w:rPr>
          <w:sz w:val="20"/>
          <w:szCs w:val="20"/>
        </w:rPr>
        <w:t>Н. Могилецкая</w:t>
      </w:r>
      <w:r w:rsidR="000C04FE" w:rsidRPr="00EC43A2">
        <w:rPr>
          <w:sz w:val="20"/>
          <w:szCs w:val="20"/>
        </w:rPr>
        <w:t xml:space="preserve">, </w:t>
      </w:r>
      <w:r w:rsidR="009218A7" w:rsidRPr="009218A7">
        <w:rPr>
          <w:sz w:val="20"/>
          <w:szCs w:val="20"/>
        </w:rPr>
        <w:t>Д. С. Цокур</w:t>
      </w:r>
      <w:r w:rsidR="000C04FE" w:rsidRPr="00EC43A2">
        <w:rPr>
          <w:sz w:val="20"/>
          <w:szCs w:val="20"/>
        </w:rPr>
        <w:t xml:space="preserve">, </w:t>
      </w:r>
    </w:p>
    <w:p w:rsidR="00F31B95" w:rsidRDefault="002500E6" w:rsidP="00156584">
      <w:pPr>
        <w:ind w:left="284" w:right="368"/>
        <w:jc w:val="center"/>
        <w:rPr>
          <w:sz w:val="20"/>
          <w:szCs w:val="20"/>
        </w:rPr>
      </w:pPr>
      <w:r w:rsidRPr="00EC43A2">
        <w:rPr>
          <w:sz w:val="20"/>
          <w:szCs w:val="20"/>
        </w:rPr>
        <w:t>В.</w:t>
      </w:r>
      <w:r w:rsidR="00920D5E">
        <w:rPr>
          <w:sz w:val="20"/>
          <w:szCs w:val="20"/>
        </w:rPr>
        <w:t xml:space="preserve"> </w:t>
      </w:r>
      <w:r w:rsidRPr="00EC43A2">
        <w:rPr>
          <w:sz w:val="20"/>
          <w:szCs w:val="20"/>
        </w:rPr>
        <w:t>В. Ткаченко</w:t>
      </w:r>
      <w:r w:rsidR="00156584" w:rsidRPr="00EC43A2">
        <w:rPr>
          <w:sz w:val="20"/>
          <w:szCs w:val="20"/>
        </w:rPr>
        <w:t xml:space="preserve">, </w:t>
      </w:r>
      <w:r w:rsidRPr="00EC43A2">
        <w:rPr>
          <w:sz w:val="20"/>
          <w:szCs w:val="20"/>
        </w:rPr>
        <w:t>С.</w:t>
      </w:r>
      <w:r w:rsidR="00920D5E">
        <w:rPr>
          <w:sz w:val="20"/>
          <w:szCs w:val="20"/>
        </w:rPr>
        <w:t xml:space="preserve"> </w:t>
      </w:r>
      <w:r w:rsidRPr="00EC43A2">
        <w:rPr>
          <w:sz w:val="20"/>
          <w:szCs w:val="20"/>
        </w:rPr>
        <w:t>Н. Сычанина</w:t>
      </w:r>
      <w:r w:rsidR="00156584" w:rsidRPr="00EC43A2">
        <w:rPr>
          <w:sz w:val="20"/>
          <w:szCs w:val="20"/>
        </w:rPr>
        <w:t xml:space="preserve">, </w:t>
      </w:r>
      <w:r w:rsidR="009218A7" w:rsidRPr="009218A7">
        <w:rPr>
          <w:sz w:val="20"/>
          <w:szCs w:val="20"/>
        </w:rPr>
        <w:t>О. И. Федосеева</w:t>
      </w:r>
      <w:r w:rsidR="00F31B95">
        <w:rPr>
          <w:sz w:val="20"/>
          <w:szCs w:val="20"/>
        </w:rPr>
        <w:t>,</w:t>
      </w:r>
    </w:p>
    <w:p w:rsidR="000C04FE" w:rsidRPr="00EC43A2" w:rsidRDefault="002500E6" w:rsidP="00156584">
      <w:pPr>
        <w:ind w:left="284" w:right="368"/>
        <w:jc w:val="center"/>
        <w:rPr>
          <w:sz w:val="20"/>
          <w:szCs w:val="20"/>
        </w:rPr>
      </w:pPr>
      <w:r w:rsidRPr="00EC43A2">
        <w:rPr>
          <w:sz w:val="20"/>
          <w:szCs w:val="20"/>
        </w:rPr>
        <w:t>О.</w:t>
      </w:r>
      <w:r w:rsidR="00920D5E">
        <w:rPr>
          <w:sz w:val="20"/>
          <w:szCs w:val="20"/>
        </w:rPr>
        <w:t xml:space="preserve"> </w:t>
      </w:r>
      <w:r w:rsidRPr="00EC43A2">
        <w:rPr>
          <w:sz w:val="20"/>
          <w:szCs w:val="20"/>
        </w:rPr>
        <w:t>С. Зиниша</w:t>
      </w:r>
      <w:r w:rsidR="00156584" w:rsidRPr="00EC43A2">
        <w:rPr>
          <w:sz w:val="20"/>
          <w:szCs w:val="20"/>
        </w:rPr>
        <w:t xml:space="preserve">, </w:t>
      </w:r>
      <w:r w:rsidR="006D64EA" w:rsidRPr="00EC43A2">
        <w:rPr>
          <w:sz w:val="20"/>
          <w:szCs w:val="20"/>
        </w:rPr>
        <w:t>А.</w:t>
      </w:r>
      <w:r w:rsidR="00920D5E">
        <w:rPr>
          <w:sz w:val="20"/>
          <w:szCs w:val="20"/>
        </w:rPr>
        <w:t xml:space="preserve"> </w:t>
      </w:r>
      <w:r w:rsidR="006D64EA" w:rsidRPr="00EC43A2">
        <w:rPr>
          <w:sz w:val="20"/>
          <w:szCs w:val="20"/>
        </w:rPr>
        <w:t>А. Скоморощенко</w:t>
      </w:r>
      <w:r w:rsidR="00156584" w:rsidRPr="00EC43A2">
        <w:rPr>
          <w:sz w:val="20"/>
          <w:szCs w:val="20"/>
        </w:rPr>
        <w:t xml:space="preserve">, </w:t>
      </w:r>
      <w:r w:rsidR="006D64EA" w:rsidRPr="00EC43A2">
        <w:rPr>
          <w:sz w:val="20"/>
          <w:szCs w:val="20"/>
        </w:rPr>
        <w:t>Л.</w:t>
      </w:r>
      <w:r w:rsidR="00920D5E">
        <w:rPr>
          <w:sz w:val="20"/>
          <w:szCs w:val="20"/>
        </w:rPr>
        <w:t xml:space="preserve"> </w:t>
      </w:r>
      <w:r w:rsidR="006D64EA" w:rsidRPr="00EC43A2">
        <w:rPr>
          <w:sz w:val="20"/>
          <w:szCs w:val="20"/>
        </w:rPr>
        <w:t>И. Ильницкая</w:t>
      </w:r>
    </w:p>
    <w:p w:rsidR="002C6D88" w:rsidRPr="00156584" w:rsidRDefault="002C6D88" w:rsidP="00F31B95">
      <w:pPr>
        <w:jc w:val="center"/>
        <w:rPr>
          <w:sz w:val="20"/>
          <w:szCs w:val="20"/>
        </w:rPr>
      </w:pPr>
      <w:proofErr w:type="gramStart"/>
      <w:r w:rsidRPr="00156584">
        <w:rPr>
          <w:sz w:val="20"/>
          <w:szCs w:val="20"/>
        </w:rPr>
        <w:t>ответственный за выпуск – А. Г. Кощаев</w:t>
      </w:r>
      <w:proofErr w:type="gramEnd"/>
    </w:p>
    <w:p w:rsidR="002C6D88" w:rsidRPr="00451253" w:rsidRDefault="002C6D88" w:rsidP="002C6D88">
      <w:pPr>
        <w:ind w:firstLine="567"/>
        <w:jc w:val="both"/>
        <w:rPr>
          <w:sz w:val="20"/>
          <w:highlight w:val="yellow"/>
        </w:rPr>
      </w:pPr>
    </w:p>
    <w:p w:rsidR="002C6D88" w:rsidRPr="00EB5229" w:rsidRDefault="002C6D88" w:rsidP="002C6D88">
      <w:pPr>
        <w:ind w:left="567" w:hanging="567"/>
        <w:jc w:val="both"/>
        <w:rPr>
          <w:sz w:val="20"/>
          <w:szCs w:val="20"/>
        </w:rPr>
      </w:pPr>
      <w:r w:rsidRPr="00EC43A2">
        <w:rPr>
          <w:b/>
          <w:sz w:val="20"/>
        </w:rPr>
        <w:t xml:space="preserve">Н34   </w:t>
      </w:r>
      <w:r w:rsidRPr="000C04FE">
        <w:rPr>
          <w:b/>
          <w:sz w:val="20"/>
        </w:rPr>
        <w:t xml:space="preserve">   Н</w:t>
      </w:r>
      <w:r w:rsidRPr="000C04FE">
        <w:rPr>
          <w:b/>
          <w:sz w:val="20"/>
          <w:szCs w:val="20"/>
        </w:rPr>
        <w:t xml:space="preserve">аучное обеспечение агропромышленного комплекса : </w:t>
      </w:r>
      <w:r w:rsidRPr="000C04FE">
        <w:rPr>
          <w:sz w:val="20"/>
          <w:szCs w:val="20"/>
        </w:rPr>
        <w:t xml:space="preserve">сб. ст. по материалам </w:t>
      </w:r>
      <w:r w:rsidR="004A47F0">
        <w:rPr>
          <w:sz w:val="20"/>
          <w:szCs w:val="20"/>
        </w:rPr>
        <w:t>73</w:t>
      </w:r>
      <w:r w:rsidR="000C04FE">
        <w:rPr>
          <w:sz w:val="20"/>
          <w:szCs w:val="20"/>
        </w:rPr>
        <w:t>-й науч</w:t>
      </w:r>
      <w:proofErr w:type="gramStart"/>
      <w:r w:rsidR="000C04FE">
        <w:rPr>
          <w:sz w:val="20"/>
          <w:szCs w:val="20"/>
        </w:rPr>
        <w:t>.-</w:t>
      </w:r>
      <w:proofErr w:type="gramEnd"/>
      <w:r w:rsidR="000C04FE">
        <w:rPr>
          <w:sz w:val="20"/>
          <w:szCs w:val="20"/>
        </w:rPr>
        <w:t>практ.</w:t>
      </w:r>
      <w:r w:rsidR="000878CA" w:rsidRPr="000C04FE">
        <w:rPr>
          <w:sz w:val="20"/>
          <w:szCs w:val="20"/>
        </w:rPr>
        <w:t xml:space="preserve"> конф. </w:t>
      </w:r>
      <w:r w:rsidR="0031029A">
        <w:rPr>
          <w:sz w:val="20"/>
          <w:szCs w:val="20"/>
        </w:rPr>
        <w:t>студентов</w:t>
      </w:r>
      <w:r w:rsidR="004A47F0">
        <w:rPr>
          <w:sz w:val="20"/>
          <w:szCs w:val="20"/>
        </w:rPr>
        <w:t xml:space="preserve"> по итогам НИР за 2017</w:t>
      </w:r>
      <w:r w:rsidR="000878CA" w:rsidRPr="000C04FE">
        <w:rPr>
          <w:sz w:val="20"/>
          <w:szCs w:val="20"/>
        </w:rPr>
        <w:t xml:space="preserve"> год</w:t>
      </w:r>
      <w:r w:rsidRPr="000C04FE">
        <w:rPr>
          <w:sz w:val="20"/>
          <w:szCs w:val="20"/>
        </w:rPr>
        <w:t xml:space="preserve"> / отв. за вып. А. Г. Ко</w:t>
      </w:r>
      <w:r w:rsidR="004A47F0">
        <w:rPr>
          <w:sz w:val="20"/>
          <w:szCs w:val="20"/>
        </w:rPr>
        <w:t>щаев. – Краснодар</w:t>
      </w:r>
      <w:proofErr w:type="gramStart"/>
      <w:r w:rsidR="004A47F0">
        <w:rPr>
          <w:sz w:val="20"/>
          <w:szCs w:val="20"/>
        </w:rPr>
        <w:t> :</w:t>
      </w:r>
      <w:proofErr w:type="gramEnd"/>
      <w:r w:rsidR="004A47F0">
        <w:rPr>
          <w:sz w:val="20"/>
          <w:szCs w:val="20"/>
        </w:rPr>
        <w:t xml:space="preserve"> КубГАУ, 2018</w:t>
      </w:r>
      <w:r w:rsidRPr="000C04FE">
        <w:rPr>
          <w:sz w:val="20"/>
          <w:szCs w:val="20"/>
        </w:rPr>
        <w:t xml:space="preserve">. – </w:t>
      </w:r>
      <w:r w:rsidR="00AE3D21">
        <w:rPr>
          <w:sz w:val="20"/>
          <w:szCs w:val="20"/>
        </w:rPr>
        <w:t>1331</w:t>
      </w:r>
      <w:r w:rsidRPr="00EB5229">
        <w:rPr>
          <w:sz w:val="20"/>
          <w:szCs w:val="20"/>
        </w:rPr>
        <w:t xml:space="preserve"> с.</w:t>
      </w:r>
    </w:p>
    <w:p w:rsidR="002C6D88" w:rsidRPr="00451253" w:rsidRDefault="002C6D88" w:rsidP="002C6D88">
      <w:pPr>
        <w:ind w:firstLine="567"/>
        <w:jc w:val="both"/>
        <w:rPr>
          <w:b/>
          <w:sz w:val="20"/>
          <w:highlight w:val="yellow"/>
        </w:rPr>
      </w:pPr>
    </w:p>
    <w:p w:rsidR="002C6D88" w:rsidRPr="00D22C04" w:rsidRDefault="002C6D88" w:rsidP="00920D5E">
      <w:pPr>
        <w:ind w:firstLine="993"/>
        <w:jc w:val="both"/>
        <w:rPr>
          <w:b/>
          <w:sz w:val="20"/>
        </w:rPr>
      </w:pPr>
      <w:r w:rsidRPr="00AE29F6">
        <w:rPr>
          <w:b/>
          <w:sz w:val="20"/>
          <w:lang w:val="en-US"/>
        </w:rPr>
        <w:t>ISBN</w:t>
      </w:r>
      <w:r w:rsidRPr="00AE29F6">
        <w:rPr>
          <w:b/>
          <w:sz w:val="20"/>
        </w:rPr>
        <w:t xml:space="preserve"> </w:t>
      </w:r>
      <w:r w:rsidR="00D22C04">
        <w:rPr>
          <w:b/>
          <w:sz w:val="20"/>
        </w:rPr>
        <w:t>978-5-00097-614-2</w:t>
      </w:r>
    </w:p>
    <w:p w:rsidR="002C6D88" w:rsidRPr="00451253" w:rsidRDefault="002C6D88" w:rsidP="002C6D88">
      <w:pPr>
        <w:jc w:val="both"/>
        <w:rPr>
          <w:b/>
          <w:sz w:val="20"/>
          <w:highlight w:val="yellow"/>
        </w:rPr>
      </w:pPr>
    </w:p>
    <w:p w:rsidR="002C6D88" w:rsidRPr="00156584" w:rsidRDefault="002C6D88" w:rsidP="002C6D88">
      <w:pPr>
        <w:tabs>
          <w:tab w:val="left" w:pos="993"/>
        </w:tabs>
        <w:ind w:left="567" w:firstLine="426"/>
        <w:jc w:val="both"/>
        <w:rPr>
          <w:spacing w:val="-6"/>
          <w:sz w:val="20"/>
        </w:rPr>
      </w:pPr>
      <w:r w:rsidRPr="00156584">
        <w:rPr>
          <w:spacing w:val="-6"/>
          <w:sz w:val="20"/>
        </w:rPr>
        <w:t>Сборник посвящен актуальным проблемам агропромышленного комплекса и содержит</w:t>
      </w:r>
      <w:r w:rsidR="00DB069F" w:rsidRPr="00156584">
        <w:rPr>
          <w:spacing w:val="-6"/>
          <w:sz w:val="20"/>
        </w:rPr>
        <w:t xml:space="preserve"> </w:t>
      </w:r>
      <w:r w:rsidRPr="00156584">
        <w:rPr>
          <w:spacing w:val="-6"/>
          <w:sz w:val="20"/>
        </w:rPr>
        <w:t>результаты научных исследований в области а</w:t>
      </w:r>
      <w:r w:rsidRPr="00156584">
        <w:rPr>
          <w:spacing w:val="-6"/>
          <w:sz w:val="20"/>
        </w:rPr>
        <w:t>г</w:t>
      </w:r>
      <w:r w:rsidRPr="00156584">
        <w:rPr>
          <w:spacing w:val="-6"/>
          <w:sz w:val="20"/>
        </w:rPr>
        <w:t>рохимии, почвоведения; ботаники, генетики, цитологии; животноводства и ветеринарии; защиты растений; информационных технологий; механ</w:t>
      </w:r>
      <w:r w:rsidRPr="00156584">
        <w:rPr>
          <w:spacing w:val="-6"/>
          <w:sz w:val="20"/>
        </w:rPr>
        <w:t>и</w:t>
      </w:r>
      <w:r w:rsidRPr="00156584">
        <w:rPr>
          <w:spacing w:val="-6"/>
          <w:sz w:val="20"/>
        </w:rPr>
        <w:t>зации и электрификации; правового обеспечения АПК; растениеводства, экологии; социально-экономические аспекты развития АПК; строител</w:t>
      </w:r>
      <w:r w:rsidRPr="00156584">
        <w:rPr>
          <w:spacing w:val="-6"/>
          <w:sz w:val="20"/>
        </w:rPr>
        <w:t>ь</w:t>
      </w:r>
      <w:r w:rsidRPr="00156584">
        <w:rPr>
          <w:spacing w:val="-6"/>
          <w:sz w:val="20"/>
        </w:rPr>
        <w:t>ства и водного хозяй</w:t>
      </w:r>
      <w:r w:rsidR="0031029A">
        <w:rPr>
          <w:spacing w:val="-6"/>
          <w:sz w:val="20"/>
        </w:rPr>
        <w:t>ства; хранения</w:t>
      </w:r>
      <w:r w:rsidRPr="00156584">
        <w:rPr>
          <w:spacing w:val="-6"/>
          <w:sz w:val="20"/>
        </w:rPr>
        <w:t xml:space="preserve"> и переработки сельскохозяйственной продукции; эконо</w:t>
      </w:r>
      <w:r w:rsidR="0031029A">
        <w:rPr>
          <w:spacing w:val="-6"/>
          <w:sz w:val="20"/>
        </w:rPr>
        <w:t>мики и управления.</w:t>
      </w:r>
    </w:p>
    <w:p w:rsidR="002C6D88" w:rsidRPr="000C04FE" w:rsidRDefault="002C6D88" w:rsidP="002C6D88">
      <w:pPr>
        <w:tabs>
          <w:tab w:val="left" w:pos="993"/>
        </w:tabs>
        <w:ind w:left="567" w:firstLine="426"/>
        <w:jc w:val="both"/>
        <w:rPr>
          <w:spacing w:val="-4"/>
          <w:sz w:val="20"/>
        </w:rPr>
      </w:pPr>
      <w:r w:rsidRPr="000C04FE">
        <w:rPr>
          <w:spacing w:val="-4"/>
          <w:sz w:val="20"/>
        </w:rPr>
        <w:t xml:space="preserve">Издание рассчитано на научных сотрудников, преподавателей, аспирантов, магистрантов, студентов, производственников. </w:t>
      </w:r>
    </w:p>
    <w:p w:rsidR="002C6D88" w:rsidRPr="00156584" w:rsidRDefault="002C6D88" w:rsidP="002C6D88">
      <w:pPr>
        <w:jc w:val="right"/>
        <w:rPr>
          <w:b/>
          <w:sz w:val="18"/>
          <w:szCs w:val="18"/>
          <w:highlight w:val="yellow"/>
        </w:rPr>
      </w:pPr>
    </w:p>
    <w:p w:rsidR="002C6D88" w:rsidRPr="00451253" w:rsidRDefault="002C6D88" w:rsidP="000C04FE">
      <w:pPr>
        <w:jc w:val="right"/>
        <w:rPr>
          <w:b/>
          <w:sz w:val="22"/>
          <w:highlight w:val="yellow"/>
        </w:rPr>
      </w:pPr>
      <w:r w:rsidRPr="000C04FE">
        <w:rPr>
          <w:b/>
          <w:sz w:val="22"/>
        </w:rPr>
        <w:t xml:space="preserve">УДК </w:t>
      </w:r>
      <w:r w:rsidR="000C04FE" w:rsidRPr="000C04FE">
        <w:rPr>
          <w:b/>
          <w:sz w:val="22"/>
        </w:rPr>
        <w:t>3</w:t>
      </w:r>
      <w:r w:rsidR="000C04FE" w:rsidRPr="00612423">
        <w:rPr>
          <w:b/>
          <w:sz w:val="22"/>
        </w:rPr>
        <w:t>38.436.33:001.8(063)</w:t>
      </w:r>
    </w:p>
    <w:p w:rsidR="002C6D88" w:rsidRPr="00451253" w:rsidRDefault="002C6D88" w:rsidP="000C04FE">
      <w:pPr>
        <w:jc w:val="right"/>
        <w:rPr>
          <w:b/>
          <w:sz w:val="22"/>
          <w:highlight w:val="yellow"/>
        </w:rPr>
      </w:pPr>
      <w:r w:rsidRPr="000C04FE">
        <w:rPr>
          <w:b/>
          <w:sz w:val="22"/>
        </w:rPr>
        <w:t xml:space="preserve">ББК </w:t>
      </w:r>
      <w:r w:rsidR="000C04FE" w:rsidRPr="00612423">
        <w:rPr>
          <w:b/>
          <w:sz w:val="22"/>
        </w:rPr>
        <w:t>65.32</w:t>
      </w:r>
    </w:p>
    <w:p w:rsidR="002C6D88" w:rsidRPr="00451253" w:rsidRDefault="002C6D88" w:rsidP="002C6D88">
      <w:pPr>
        <w:jc w:val="right"/>
        <w:rPr>
          <w:b/>
          <w:sz w:val="22"/>
          <w:highlight w:val="yellow"/>
        </w:rPr>
      </w:pPr>
    </w:p>
    <w:p w:rsidR="002C6D88" w:rsidRPr="000C04FE" w:rsidRDefault="004A47F0" w:rsidP="00253B8A">
      <w:pPr>
        <w:numPr>
          <w:ilvl w:val="0"/>
          <w:numId w:val="1"/>
        </w:numPr>
        <w:ind w:left="4111" w:hanging="283"/>
        <w:rPr>
          <w:sz w:val="20"/>
        </w:rPr>
      </w:pPr>
      <w:r>
        <w:rPr>
          <w:sz w:val="20"/>
        </w:rPr>
        <w:t>Коллектив авторов, 2018</w:t>
      </w:r>
    </w:p>
    <w:p w:rsidR="00D91394" w:rsidRDefault="009F5642" w:rsidP="00B86851">
      <w:pPr>
        <w:numPr>
          <w:ilvl w:val="0"/>
          <w:numId w:val="1"/>
        </w:numPr>
        <w:ind w:left="4111" w:hanging="283"/>
        <w:rPr>
          <w:sz w:val="20"/>
        </w:rPr>
      </w:pPr>
      <w:r>
        <w:rPr>
          <w:sz w:val="20"/>
        </w:rPr>
        <w:t xml:space="preserve">ФГБОУ </w:t>
      </w:r>
      <w:proofErr w:type="gramStart"/>
      <w:r>
        <w:rPr>
          <w:sz w:val="20"/>
        </w:rPr>
        <w:t>В</w:t>
      </w:r>
      <w:r w:rsidR="002C6D88" w:rsidRPr="000C04FE">
        <w:rPr>
          <w:sz w:val="20"/>
        </w:rPr>
        <w:t>О</w:t>
      </w:r>
      <w:proofErr w:type="gramEnd"/>
      <w:r w:rsidR="002C6D88" w:rsidRPr="000C04FE">
        <w:rPr>
          <w:sz w:val="20"/>
        </w:rPr>
        <w:t xml:space="preserve"> «Кубанский государственный аграрный университет</w:t>
      </w:r>
      <w:r w:rsidR="00B86851">
        <w:rPr>
          <w:sz w:val="20"/>
        </w:rPr>
        <w:t xml:space="preserve"> имени </w:t>
      </w:r>
    </w:p>
    <w:p w:rsidR="002C6D88" w:rsidRPr="000C04FE" w:rsidRDefault="00B86851" w:rsidP="00D91394">
      <w:pPr>
        <w:ind w:left="4111"/>
        <w:rPr>
          <w:sz w:val="20"/>
        </w:rPr>
      </w:pPr>
      <w:r>
        <w:rPr>
          <w:sz w:val="20"/>
        </w:rPr>
        <w:t>И.</w:t>
      </w:r>
      <w:r w:rsidR="00D91394">
        <w:rPr>
          <w:sz w:val="20"/>
        </w:rPr>
        <w:t xml:space="preserve"> </w:t>
      </w:r>
      <w:r>
        <w:rPr>
          <w:sz w:val="20"/>
        </w:rPr>
        <w:t>Т. </w:t>
      </w:r>
      <w:r w:rsidR="00920D5E">
        <w:rPr>
          <w:sz w:val="20"/>
        </w:rPr>
        <w:t>Трубилина</w:t>
      </w:r>
      <w:r w:rsidR="004A47F0">
        <w:rPr>
          <w:sz w:val="20"/>
        </w:rPr>
        <w:t>», 2018</w:t>
      </w:r>
    </w:p>
    <w:p w:rsidR="00291FFF" w:rsidRDefault="002C6D88" w:rsidP="00D22C04">
      <w:pPr>
        <w:rPr>
          <w:b/>
          <w:sz w:val="20"/>
        </w:rPr>
        <w:sectPr w:rsidR="00291FFF" w:rsidSect="00E81E89">
          <w:footerReference w:type="default" r:id="rId10"/>
          <w:pgSz w:w="8392" w:h="11907" w:code="11"/>
          <w:pgMar w:top="1021" w:right="964" w:bottom="1021" w:left="964" w:header="709" w:footer="709" w:gutter="0"/>
          <w:pgNumType w:start="8"/>
          <w:cols w:space="720"/>
          <w:docGrid w:linePitch="381"/>
        </w:sectPr>
      </w:pPr>
      <w:r w:rsidRPr="00AE29F6">
        <w:rPr>
          <w:b/>
          <w:sz w:val="20"/>
          <w:lang w:val="en-US"/>
        </w:rPr>
        <w:t>ISBN</w:t>
      </w:r>
      <w:r w:rsidRPr="00AE29F6">
        <w:rPr>
          <w:b/>
          <w:sz w:val="20"/>
        </w:rPr>
        <w:t xml:space="preserve"> </w:t>
      </w:r>
      <w:r w:rsidR="00D22C04" w:rsidRPr="00D22C04">
        <w:rPr>
          <w:b/>
          <w:sz w:val="20"/>
        </w:rPr>
        <w:t>978-5-00097-614-2</w:t>
      </w:r>
    </w:p>
    <w:p w:rsidR="00451253" w:rsidRDefault="00451253" w:rsidP="00451253">
      <w:pPr>
        <w:jc w:val="center"/>
        <w:rPr>
          <w:b/>
          <w:szCs w:val="22"/>
        </w:rPr>
      </w:pPr>
      <w:r w:rsidRPr="005A5ACA">
        <w:rPr>
          <w:b/>
          <w:szCs w:val="22"/>
        </w:rPr>
        <w:lastRenderedPageBreak/>
        <w:t xml:space="preserve">Факультет </w:t>
      </w:r>
      <w:r w:rsidR="009218A7" w:rsidRPr="005A5ACA">
        <w:rPr>
          <w:b/>
          <w:szCs w:val="22"/>
        </w:rPr>
        <w:t xml:space="preserve">агрономии и </w:t>
      </w:r>
      <w:r w:rsidRPr="005A5ACA">
        <w:rPr>
          <w:b/>
          <w:szCs w:val="22"/>
        </w:rPr>
        <w:t>экологии</w:t>
      </w:r>
    </w:p>
    <w:p w:rsidR="004F513D" w:rsidRDefault="004F513D" w:rsidP="00CD45A4">
      <w:pPr>
        <w:jc w:val="both"/>
        <w:rPr>
          <w:sz w:val="22"/>
          <w:szCs w:val="22"/>
        </w:rPr>
      </w:pPr>
    </w:p>
    <w:p w:rsidR="00CD45A4" w:rsidRPr="00CD45A4" w:rsidRDefault="00CD45A4" w:rsidP="00CD45A4">
      <w:pPr>
        <w:jc w:val="both"/>
        <w:rPr>
          <w:sz w:val="22"/>
          <w:szCs w:val="22"/>
        </w:rPr>
      </w:pPr>
      <w:proofErr w:type="gramStart"/>
      <w:r w:rsidRPr="00CD45A4">
        <w:rPr>
          <w:sz w:val="22"/>
          <w:szCs w:val="22"/>
        </w:rPr>
        <w:t>УДК 633.152:631.559]: 631.84</w:t>
      </w:r>
      <w:proofErr w:type="gramEnd"/>
    </w:p>
    <w:p w:rsidR="00CD45A4" w:rsidRPr="00CD45A4" w:rsidRDefault="00CD45A4" w:rsidP="00CD45A4">
      <w:pPr>
        <w:jc w:val="both"/>
        <w:rPr>
          <w:sz w:val="22"/>
          <w:szCs w:val="22"/>
        </w:rPr>
      </w:pPr>
    </w:p>
    <w:p w:rsidR="00CD45A4" w:rsidRPr="00CD45A4" w:rsidRDefault="00CD45A4" w:rsidP="00CD45A4">
      <w:pPr>
        <w:widowControl w:val="0"/>
        <w:suppressAutoHyphens/>
        <w:jc w:val="center"/>
        <w:rPr>
          <w:b/>
          <w:sz w:val="24"/>
          <w:szCs w:val="24"/>
        </w:rPr>
      </w:pPr>
      <w:r w:rsidRPr="00CD45A4">
        <w:rPr>
          <w:b/>
          <w:sz w:val="24"/>
          <w:szCs w:val="24"/>
        </w:rPr>
        <w:t>Влияние азотных удобрений в виде подкормки и основного внесения на урожайность кукурузы сахарной</w:t>
      </w:r>
    </w:p>
    <w:p w:rsidR="00CD45A4" w:rsidRPr="00C579B8" w:rsidRDefault="00CD45A4" w:rsidP="00CD45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lang w:val="en-US"/>
        </w:rPr>
      </w:pPr>
      <w:r w:rsidRPr="00C579B8">
        <w:rPr>
          <w:b/>
          <w:sz w:val="24"/>
          <w:szCs w:val="24"/>
          <w:lang w:val="en-US"/>
        </w:rPr>
        <w:t>Influence of nitrogen fertilizers in the form of top dressing and the main application for yield of maize sugar</w:t>
      </w:r>
    </w:p>
    <w:p w:rsidR="00CD45A4" w:rsidRPr="00CD45A4" w:rsidRDefault="00CD45A4" w:rsidP="00CD45A4">
      <w:pPr>
        <w:jc w:val="right"/>
        <w:rPr>
          <w:b/>
          <w:sz w:val="22"/>
          <w:szCs w:val="22"/>
          <w:lang w:val="en-US"/>
        </w:rPr>
      </w:pPr>
    </w:p>
    <w:p w:rsidR="00CD45A4" w:rsidRPr="00CD45A4" w:rsidRDefault="00EC1A78" w:rsidP="00CD45A4">
      <w:pPr>
        <w:jc w:val="right"/>
        <w:rPr>
          <w:sz w:val="22"/>
          <w:szCs w:val="22"/>
        </w:rPr>
      </w:pPr>
      <w:r>
        <w:rPr>
          <w:sz w:val="22"/>
          <w:szCs w:val="22"/>
        </w:rPr>
        <w:t>Белый Д. В.,</w:t>
      </w:r>
    </w:p>
    <w:p w:rsidR="00CD45A4" w:rsidRPr="00CD45A4" w:rsidRDefault="00EC1A78" w:rsidP="00CD45A4">
      <w:pPr>
        <w:jc w:val="right"/>
        <w:rPr>
          <w:sz w:val="22"/>
          <w:szCs w:val="22"/>
        </w:rPr>
      </w:pPr>
      <w:r>
        <w:rPr>
          <w:sz w:val="22"/>
          <w:szCs w:val="22"/>
        </w:rPr>
        <w:t>магистрант 2-го курса</w:t>
      </w:r>
    </w:p>
    <w:p w:rsidR="00CD45A4" w:rsidRPr="00CD45A4" w:rsidRDefault="00CD45A4" w:rsidP="00CD45A4">
      <w:pPr>
        <w:jc w:val="right"/>
        <w:rPr>
          <w:sz w:val="22"/>
          <w:szCs w:val="22"/>
        </w:rPr>
      </w:pPr>
      <w:r w:rsidRPr="00CD45A4">
        <w:rPr>
          <w:sz w:val="22"/>
          <w:szCs w:val="22"/>
        </w:rPr>
        <w:t>факультета агрономии и экологии</w:t>
      </w:r>
    </w:p>
    <w:p w:rsidR="00CD45A4" w:rsidRPr="00CD45A4" w:rsidRDefault="00EC1A78" w:rsidP="00CD45A4">
      <w:pPr>
        <w:jc w:val="right"/>
        <w:rPr>
          <w:sz w:val="22"/>
          <w:szCs w:val="22"/>
        </w:rPr>
      </w:pPr>
      <w:r>
        <w:rPr>
          <w:sz w:val="22"/>
          <w:szCs w:val="22"/>
        </w:rPr>
        <w:t>Терехова С. С.,</w:t>
      </w:r>
    </w:p>
    <w:p w:rsidR="00CD45A4" w:rsidRPr="00CD45A4" w:rsidRDefault="00CD45A4" w:rsidP="00CD45A4">
      <w:pPr>
        <w:jc w:val="right"/>
        <w:rPr>
          <w:sz w:val="22"/>
          <w:szCs w:val="22"/>
        </w:rPr>
      </w:pPr>
      <w:r w:rsidRPr="00CD45A4">
        <w:rPr>
          <w:sz w:val="22"/>
          <w:szCs w:val="22"/>
        </w:rPr>
        <w:t>доцент кафедры</w:t>
      </w:r>
      <w:r w:rsidR="00EC1A78">
        <w:rPr>
          <w:sz w:val="22"/>
          <w:szCs w:val="22"/>
        </w:rPr>
        <w:t xml:space="preserve"> общего и орошаемого земледелия</w:t>
      </w:r>
    </w:p>
    <w:p w:rsidR="00CD45A4" w:rsidRPr="00CD45A4" w:rsidRDefault="00CD45A4" w:rsidP="00CD45A4">
      <w:pPr>
        <w:widowControl w:val="0"/>
        <w:autoSpaceDE w:val="0"/>
        <w:autoSpaceDN w:val="0"/>
        <w:adjustRightInd w:val="0"/>
        <w:contextualSpacing/>
        <w:jc w:val="right"/>
        <w:rPr>
          <w:rFonts w:eastAsia="Calibri"/>
          <w:sz w:val="22"/>
          <w:szCs w:val="22"/>
        </w:rPr>
      </w:pPr>
      <w:r w:rsidRPr="00CD45A4">
        <w:rPr>
          <w:rFonts w:eastAsia="Calibri"/>
          <w:sz w:val="22"/>
          <w:szCs w:val="22"/>
        </w:rPr>
        <w:t>Кубанский государственный аграрный</w:t>
      </w:r>
    </w:p>
    <w:p w:rsidR="00CD45A4" w:rsidRPr="00CD45A4" w:rsidRDefault="00CD45A4" w:rsidP="00CD45A4">
      <w:pPr>
        <w:widowControl w:val="0"/>
        <w:autoSpaceDE w:val="0"/>
        <w:autoSpaceDN w:val="0"/>
        <w:adjustRightInd w:val="0"/>
        <w:contextualSpacing/>
        <w:jc w:val="right"/>
        <w:rPr>
          <w:rFonts w:eastAsia="Calibri"/>
          <w:sz w:val="22"/>
          <w:szCs w:val="22"/>
        </w:rPr>
      </w:pPr>
      <w:r w:rsidRPr="00CD45A4">
        <w:rPr>
          <w:rFonts w:eastAsia="Calibri"/>
          <w:sz w:val="22"/>
          <w:szCs w:val="22"/>
        </w:rPr>
        <w:t>университет имени И.</w:t>
      </w:r>
      <w:r w:rsidR="00EC1A78">
        <w:rPr>
          <w:rFonts w:eastAsia="Calibri"/>
          <w:sz w:val="22"/>
          <w:szCs w:val="22"/>
        </w:rPr>
        <w:t xml:space="preserve"> </w:t>
      </w:r>
      <w:r w:rsidRPr="00CD45A4">
        <w:rPr>
          <w:rFonts w:eastAsia="Calibri"/>
          <w:sz w:val="22"/>
          <w:szCs w:val="22"/>
        </w:rPr>
        <w:t>Т. Трубилина</w:t>
      </w:r>
    </w:p>
    <w:p w:rsidR="00CD45A4" w:rsidRPr="00CD45A4" w:rsidRDefault="00CD45A4" w:rsidP="00CD45A4">
      <w:pPr>
        <w:jc w:val="both"/>
        <w:rPr>
          <w:sz w:val="22"/>
          <w:szCs w:val="22"/>
        </w:rPr>
      </w:pPr>
    </w:p>
    <w:p w:rsidR="00CD45A4" w:rsidRPr="00CD45A4" w:rsidRDefault="00CD45A4" w:rsidP="00EC1A78">
      <w:pPr>
        <w:widowControl w:val="0"/>
        <w:tabs>
          <w:tab w:val="left" w:pos="916"/>
          <w:tab w:val="left" w:pos="1832"/>
          <w:tab w:val="left" w:pos="2748"/>
          <w:tab w:val="left" w:pos="7328"/>
          <w:tab w:val="left" w:pos="8244"/>
          <w:tab w:val="left" w:pos="9160"/>
          <w:tab w:val="left" w:pos="10076"/>
          <w:tab w:val="left" w:pos="10992"/>
          <w:tab w:val="left" w:pos="11908"/>
          <w:tab w:val="left" w:pos="12824"/>
          <w:tab w:val="left" w:pos="13740"/>
          <w:tab w:val="left" w:pos="14656"/>
        </w:tabs>
        <w:suppressAutoHyphens/>
        <w:ind w:firstLine="426"/>
        <w:jc w:val="both"/>
        <w:rPr>
          <w:sz w:val="22"/>
          <w:szCs w:val="22"/>
          <w:shd w:val="clear" w:color="auto" w:fill="FFFFFF"/>
        </w:rPr>
      </w:pPr>
      <w:r w:rsidRPr="00CD45A4">
        <w:rPr>
          <w:sz w:val="22"/>
          <w:szCs w:val="22"/>
        </w:rPr>
        <w:t>АННОТАЦИЯ: Внесения азотные удобрения при посеве и в корневую подкормку кукурузы сахарной оказали положительное влияние на рост и развитие, повысили урожайность зерна в початках кукурузы.</w:t>
      </w:r>
    </w:p>
    <w:p w:rsidR="00CD45A4" w:rsidRPr="00CD45A4" w:rsidRDefault="00CD45A4" w:rsidP="00EC1A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jc w:val="both"/>
        <w:rPr>
          <w:color w:val="212121"/>
          <w:sz w:val="22"/>
          <w:szCs w:val="22"/>
          <w:lang w:val="en-US"/>
        </w:rPr>
      </w:pPr>
      <w:r w:rsidRPr="00CD45A4">
        <w:rPr>
          <w:sz w:val="22"/>
          <w:szCs w:val="22"/>
          <w:shd w:val="clear" w:color="auto" w:fill="FFFFFF"/>
          <w:lang w:val="en-US"/>
        </w:rPr>
        <w:t xml:space="preserve">ABSTRACT: </w:t>
      </w:r>
      <w:r w:rsidRPr="00CD45A4">
        <w:rPr>
          <w:sz w:val="22"/>
          <w:szCs w:val="22"/>
          <w:shd w:val="clear" w:color="auto" w:fill="FFFFFF"/>
        </w:rPr>
        <w:t>А</w:t>
      </w:r>
      <w:r w:rsidRPr="00CD45A4">
        <w:rPr>
          <w:color w:val="212121"/>
          <w:sz w:val="22"/>
          <w:szCs w:val="22"/>
          <w:lang w:val="en-US"/>
        </w:rPr>
        <w:t>pplication of nitrogen fertilizers during sowing and root feeding of maize sugar had a positive effect on growth and development, increased the yield of grain in the corn cobs</w:t>
      </w:r>
      <w:r w:rsidRPr="00CD45A4">
        <w:rPr>
          <w:sz w:val="22"/>
          <w:szCs w:val="22"/>
          <w:shd w:val="clear" w:color="auto" w:fill="FFFFFF"/>
          <w:lang w:val="en-US"/>
        </w:rPr>
        <w:t>.</w:t>
      </w:r>
    </w:p>
    <w:p w:rsidR="00CD45A4" w:rsidRPr="00CD45A4" w:rsidRDefault="00CD45A4" w:rsidP="00EC1A78">
      <w:pPr>
        <w:widowControl w:val="0"/>
        <w:ind w:firstLine="426"/>
        <w:jc w:val="both"/>
        <w:rPr>
          <w:sz w:val="22"/>
          <w:szCs w:val="22"/>
        </w:rPr>
      </w:pPr>
      <w:proofErr w:type="gramStart"/>
      <w:r w:rsidRPr="00CD45A4">
        <w:rPr>
          <w:sz w:val="22"/>
          <w:szCs w:val="22"/>
        </w:rPr>
        <w:t>КЛЮЧЕВЫЕ СЛОВА: гибрид, кукуруза сахарная, азот, рост, развитие, условия выращивания, урожайность.</w:t>
      </w:r>
      <w:proofErr w:type="gramEnd"/>
    </w:p>
    <w:p w:rsidR="00CD45A4" w:rsidRPr="00CD45A4" w:rsidRDefault="00CD45A4" w:rsidP="00EC1A78">
      <w:pPr>
        <w:widowControl w:val="0"/>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CD45A4">
        <w:rPr>
          <w:sz w:val="22"/>
          <w:szCs w:val="22"/>
          <w:lang w:val="en-US"/>
        </w:rPr>
        <w:t>KEYWORDS: hybrid, sugar corn, nitrogen, growth, development, growing conditions, yield.</w:t>
      </w:r>
    </w:p>
    <w:p w:rsidR="00CD45A4" w:rsidRPr="00CD45A4" w:rsidRDefault="00CD45A4" w:rsidP="00EC1A78">
      <w:pPr>
        <w:widowControl w:val="0"/>
        <w:ind w:firstLine="426"/>
        <w:jc w:val="both"/>
        <w:rPr>
          <w:sz w:val="22"/>
          <w:szCs w:val="22"/>
          <w:lang w:val="en-US"/>
        </w:rPr>
      </w:pPr>
    </w:p>
    <w:p w:rsidR="00CD45A4" w:rsidRPr="00CD45A4" w:rsidRDefault="00CD45A4" w:rsidP="00EC1A78">
      <w:pPr>
        <w:widowControl w:val="0"/>
        <w:tabs>
          <w:tab w:val="left" w:pos="10750"/>
        </w:tabs>
        <w:ind w:firstLine="426"/>
        <w:jc w:val="both"/>
        <w:rPr>
          <w:sz w:val="22"/>
          <w:szCs w:val="22"/>
        </w:rPr>
      </w:pPr>
      <w:r w:rsidRPr="00CD45A4">
        <w:rPr>
          <w:sz w:val="22"/>
          <w:szCs w:val="22"/>
        </w:rPr>
        <w:t>Неоспоримо, что из многих агротехнических приемов, оказ</w:t>
      </w:r>
      <w:r w:rsidRPr="00CD45A4">
        <w:rPr>
          <w:sz w:val="22"/>
          <w:szCs w:val="22"/>
        </w:rPr>
        <w:t>ы</w:t>
      </w:r>
      <w:r w:rsidRPr="00CD45A4">
        <w:rPr>
          <w:sz w:val="22"/>
          <w:szCs w:val="22"/>
        </w:rPr>
        <w:t>вающих действенное влияние на рост, развитие и продуктивность сельскохозяйственных культур, в частности кукурузы, основная роль принадлежит удобрениям</w:t>
      </w:r>
    </w:p>
    <w:p w:rsidR="00CD45A4" w:rsidRPr="00CD45A4" w:rsidRDefault="00CD45A4" w:rsidP="00EC1A78">
      <w:pPr>
        <w:widowControl w:val="0"/>
        <w:ind w:firstLine="426"/>
        <w:jc w:val="both"/>
        <w:rPr>
          <w:sz w:val="22"/>
          <w:szCs w:val="22"/>
        </w:rPr>
      </w:pPr>
      <w:r w:rsidRPr="00CD45A4">
        <w:rPr>
          <w:sz w:val="22"/>
          <w:szCs w:val="22"/>
        </w:rPr>
        <w:t>В технологии возделывания кукурузы, большое влияние оказ</w:t>
      </w:r>
      <w:r w:rsidRPr="00CD45A4">
        <w:rPr>
          <w:sz w:val="22"/>
          <w:szCs w:val="22"/>
        </w:rPr>
        <w:t>ы</w:t>
      </w:r>
      <w:r w:rsidRPr="00CD45A4">
        <w:rPr>
          <w:sz w:val="22"/>
          <w:szCs w:val="22"/>
        </w:rPr>
        <w:t>вают минеральные удобрения. Создавая в течение жизнедеятельн</w:t>
      </w:r>
      <w:r w:rsidRPr="00CD45A4">
        <w:rPr>
          <w:sz w:val="22"/>
          <w:szCs w:val="22"/>
        </w:rPr>
        <w:t>о</w:t>
      </w:r>
      <w:r w:rsidRPr="00CD45A4">
        <w:rPr>
          <w:sz w:val="22"/>
          <w:szCs w:val="22"/>
        </w:rPr>
        <w:t>сти большую органическую массу, кукуруза выносит из почвы мн</w:t>
      </w:r>
      <w:r w:rsidRPr="00CD45A4">
        <w:rPr>
          <w:sz w:val="22"/>
          <w:szCs w:val="22"/>
        </w:rPr>
        <w:t>о</w:t>
      </w:r>
      <w:r w:rsidRPr="00CD45A4">
        <w:rPr>
          <w:sz w:val="22"/>
          <w:szCs w:val="22"/>
        </w:rPr>
        <w:t>го минеральных питательных веществ. По данным советских уч</w:t>
      </w:r>
      <w:r w:rsidRPr="00CD45A4">
        <w:rPr>
          <w:sz w:val="22"/>
          <w:szCs w:val="22"/>
        </w:rPr>
        <w:t>е</w:t>
      </w:r>
      <w:r w:rsidRPr="00CD45A4">
        <w:rPr>
          <w:sz w:val="22"/>
          <w:szCs w:val="22"/>
        </w:rPr>
        <w:lastRenderedPageBreak/>
        <w:t>ных при урожайности кукурузы 150 ц/га сухой надземной массы растения отчуждают с 1 га около 100 кг азота, 45 кг фосфора, 125 кг калия [2]. Вынос питательных веществ из почвы должен воспо</w:t>
      </w:r>
      <w:r w:rsidRPr="00CD45A4">
        <w:rPr>
          <w:sz w:val="22"/>
          <w:szCs w:val="22"/>
        </w:rPr>
        <w:t>л</w:t>
      </w:r>
      <w:r w:rsidRPr="00CD45A4">
        <w:rPr>
          <w:sz w:val="22"/>
          <w:szCs w:val="22"/>
        </w:rPr>
        <w:t>няться внесением органических и минеральных удобрений, для б</w:t>
      </w:r>
      <w:r w:rsidRPr="00CD45A4">
        <w:rPr>
          <w:sz w:val="22"/>
          <w:szCs w:val="22"/>
        </w:rPr>
        <w:t>а</w:t>
      </w:r>
      <w:r w:rsidRPr="00CD45A4">
        <w:rPr>
          <w:sz w:val="22"/>
          <w:szCs w:val="22"/>
        </w:rPr>
        <w:t xml:space="preserve">ланса микро и </w:t>
      </w:r>
      <w:proofErr w:type="gramStart"/>
      <w:r w:rsidRPr="00CD45A4">
        <w:rPr>
          <w:sz w:val="22"/>
          <w:szCs w:val="22"/>
        </w:rPr>
        <w:t>макро элементов</w:t>
      </w:r>
      <w:proofErr w:type="gramEnd"/>
      <w:r w:rsidRPr="00CD45A4">
        <w:rPr>
          <w:sz w:val="22"/>
          <w:szCs w:val="22"/>
        </w:rPr>
        <w:t xml:space="preserve"> в почве. Гибрид сахарной кукурузы Краснодарский 280 </w:t>
      </w:r>
      <w:proofErr w:type="gramStart"/>
      <w:r w:rsidRPr="00CD45A4">
        <w:rPr>
          <w:sz w:val="22"/>
          <w:szCs w:val="22"/>
        </w:rPr>
        <w:t>СВ</w:t>
      </w:r>
      <w:proofErr w:type="gramEnd"/>
      <w:r w:rsidRPr="00CD45A4">
        <w:rPr>
          <w:sz w:val="22"/>
          <w:szCs w:val="22"/>
        </w:rPr>
        <w:t xml:space="preserve"> высевали, когда почва в зоне размещения семян прогрелась до плюс 10 </w:t>
      </w:r>
      <w:r w:rsidRPr="00CD45A4">
        <w:rPr>
          <w:sz w:val="22"/>
          <w:szCs w:val="22"/>
          <w:vertAlign w:val="superscript"/>
        </w:rPr>
        <w:t>0</w:t>
      </w:r>
      <w:r w:rsidRPr="00CD45A4">
        <w:rPr>
          <w:sz w:val="22"/>
          <w:szCs w:val="22"/>
        </w:rPr>
        <w:t>С, календарно 20 апреля в оба года исследований. Норма высева 55 тысяч всхожих зерен на 1 га.</w:t>
      </w:r>
    </w:p>
    <w:p w:rsidR="00CD45A4" w:rsidRPr="00CD45A4" w:rsidRDefault="00CD45A4" w:rsidP="00EC1A78">
      <w:pPr>
        <w:widowControl w:val="0"/>
        <w:ind w:firstLine="426"/>
        <w:jc w:val="both"/>
        <w:rPr>
          <w:sz w:val="22"/>
          <w:szCs w:val="22"/>
        </w:rPr>
      </w:pPr>
      <w:r w:rsidRPr="00CD45A4">
        <w:rPr>
          <w:sz w:val="22"/>
          <w:szCs w:val="22"/>
        </w:rPr>
        <w:t xml:space="preserve">Предшественник – озимая пшеница. Удобрения в дозе </w:t>
      </w:r>
      <w:r w:rsidRPr="00CD45A4">
        <w:rPr>
          <w:sz w:val="22"/>
          <w:szCs w:val="22"/>
          <w:lang w:val="en-US"/>
        </w:rPr>
        <w:t>N</w:t>
      </w:r>
      <w:r w:rsidRPr="00CD45A4">
        <w:rPr>
          <w:sz w:val="22"/>
          <w:szCs w:val="22"/>
          <w:vertAlign w:val="subscript"/>
        </w:rPr>
        <w:t>30</w:t>
      </w:r>
      <w:r w:rsidRPr="00CD45A4">
        <w:rPr>
          <w:sz w:val="22"/>
          <w:szCs w:val="22"/>
          <w:lang w:val="en-US"/>
        </w:rPr>
        <w:t>P</w:t>
      </w:r>
      <w:r w:rsidRPr="00CD45A4">
        <w:rPr>
          <w:sz w:val="22"/>
          <w:szCs w:val="22"/>
          <w:vertAlign w:val="subscript"/>
        </w:rPr>
        <w:t>60</w:t>
      </w:r>
      <w:r w:rsidRPr="00CD45A4">
        <w:rPr>
          <w:sz w:val="22"/>
          <w:szCs w:val="22"/>
        </w:rPr>
        <w:t>К</w:t>
      </w:r>
      <w:r w:rsidRPr="00CD45A4">
        <w:rPr>
          <w:sz w:val="22"/>
          <w:szCs w:val="22"/>
          <w:vertAlign w:val="subscript"/>
        </w:rPr>
        <w:t xml:space="preserve">60 </w:t>
      </w:r>
      <w:r w:rsidRPr="00CD45A4">
        <w:rPr>
          <w:sz w:val="22"/>
          <w:szCs w:val="22"/>
        </w:rPr>
        <w:t>вносили осенью, под основную обработку почвы – вспашку на гл</w:t>
      </w:r>
      <w:r w:rsidRPr="00CD45A4">
        <w:rPr>
          <w:sz w:val="22"/>
          <w:szCs w:val="22"/>
        </w:rPr>
        <w:t>у</w:t>
      </w:r>
      <w:r w:rsidRPr="00CD45A4">
        <w:rPr>
          <w:sz w:val="22"/>
          <w:szCs w:val="22"/>
        </w:rPr>
        <w:t>бину 25-27 см. При посеве и в подкормку использовали аммиачную селитру.</w:t>
      </w:r>
    </w:p>
    <w:p w:rsidR="00CD45A4" w:rsidRPr="00CD45A4" w:rsidRDefault="00CD45A4" w:rsidP="00EC1A78">
      <w:pPr>
        <w:widowControl w:val="0"/>
        <w:ind w:firstLine="426"/>
        <w:jc w:val="both"/>
        <w:rPr>
          <w:sz w:val="22"/>
          <w:szCs w:val="22"/>
        </w:rPr>
      </w:pPr>
      <w:r w:rsidRPr="00CD45A4">
        <w:rPr>
          <w:sz w:val="22"/>
          <w:szCs w:val="22"/>
        </w:rPr>
        <w:t>На Северном Кавказе на черноземах обыкновенных и выщел</w:t>
      </w:r>
      <w:r w:rsidRPr="00CD45A4">
        <w:rPr>
          <w:sz w:val="22"/>
          <w:szCs w:val="22"/>
        </w:rPr>
        <w:t>о</w:t>
      </w:r>
      <w:r w:rsidRPr="00CD45A4">
        <w:rPr>
          <w:sz w:val="22"/>
          <w:szCs w:val="22"/>
        </w:rPr>
        <w:t>ченных предшественники кукурузы, прежде всего, влияют на п</w:t>
      </w:r>
      <w:r w:rsidRPr="00CD45A4">
        <w:rPr>
          <w:sz w:val="22"/>
          <w:szCs w:val="22"/>
        </w:rPr>
        <w:t>о</w:t>
      </w:r>
      <w:r w:rsidRPr="00CD45A4">
        <w:rPr>
          <w:sz w:val="22"/>
          <w:szCs w:val="22"/>
        </w:rPr>
        <w:t>движность запасов нитратного азота. При недостатке его во время посева молодые растения кукурузы замедляют рост, листья прио</w:t>
      </w:r>
      <w:r w:rsidRPr="00CD45A4">
        <w:rPr>
          <w:sz w:val="22"/>
          <w:szCs w:val="22"/>
        </w:rPr>
        <w:t>б</w:t>
      </w:r>
      <w:r w:rsidRPr="00CD45A4">
        <w:rPr>
          <w:sz w:val="22"/>
          <w:szCs w:val="22"/>
        </w:rPr>
        <w:t>ретают желтовато-зеленую окраску, запаздывает образование мет</w:t>
      </w:r>
      <w:r w:rsidRPr="00CD45A4">
        <w:rPr>
          <w:sz w:val="22"/>
          <w:szCs w:val="22"/>
        </w:rPr>
        <w:t>е</w:t>
      </w:r>
      <w:r w:rsidRPr="00CD45A4">
        <w:rPr>
          <w:sz w:val="22"/>
          <w:szCs w:val="22"/>
        </w:rPr>
        <w:t>лок. Чаще всего азотное голодание растений проявляется в период максимального роста, что отрицательно влияет на их продукти</w:t>
      </w:r>
      <w:r w:rsidRPr="00CD45A4">
        <w:rPr>
          <w:sz w:val="22"/>
          <w:szCs w:val="22"/>
        </w:rPr>
        <w:t>в</w:t>
      </w:r>
      <w:r w:rsidRPr="00CD45A4">
        <w:rPr>
          <w:sz w:val="22"/>
          <w:szCs w:val="22"/>
        </w:rPr>
        <w:t>ность.</w:t>
      </w:r>
    </w:p>
    <w:p w:rsidR="00CD45A4" w:rsidRPr="00CD45A4" w:rsidRDefault="00CD45A4" w:rsidP="00EC1A78">
      <w:pPr>
        <w:widowControl w:val="0"/>
        <w:ind w:firstLine="426"/>
        <w:jc w:val="both"/>
        <w:rPr>
          <w:sz w:val="22"/>
          <w:szCs w:val="22"/>
        </w:rPr>
      </w:pPr>
      <w:r w:rsidRPr="00CD45A4">
        <w:rPr>
          <w:sz w:val="22"/>
          <w:szCs w:val="22"/>
        </w:rPr>
        <w:t>При недостаточном увлажнении на черноземах как обыкнове</w:t>
      </w:r>
      <w:r w:rsidRPr="00CD45A4">
        <w:rPr>
          <w:sz w:val="22"/>
          <w:szCs w:val="22"/>
        </w:rPr>
        <w:t>н</w:t>
      </w:r>
      <w:r w:rsidRPr="00CD45A4">
        <w:rPr>
          <w:sz w:val="22"/>
          <w:szCs w:val="22"/>
        </w:rPr>
        <w:t>ных, так и выщелоченных количество нитратного азота в почве и</w:t>
      </w:r>
      <w:r w:rsidRPr="00CD45A4">
        <w:rPr>
          <w:sz w:val="22"/>
          <w:szCs w:val="22"/>
        </w:rPr>
        <w:t>з</w:t>
      </w:r>
      <w:r w:rsidRPr="00CD45A4">
        <w:rPr>
          <w:sz w:val="22"/>
          <w:szCs w:val="22"/>
        </w:rPr>
        <w:t>меняется в течение вегетационного периода. Это обусловлено, прежде всего, условиями его мобилизации и характера потребления этого вида элемента кукурузой. В начале вегетации при медленном росте и слабом использовании питательных веществ, но при благ</w:t>
      </w:r>
      <w:r w:rsidRPr="00CD45A4">
        <w:rPr>
          <w:sz w:val="22"/>
          <w:szCs w:val="22"/>
        </w:rPr>
        <w:t>о</w:t>
      </w:r>
      <w:r w:rsidRPr="00CD45A4">
        <w:rPr>
          <w:sz w:val="22"/>
          <w:szCs w:val="22"/>
        </w:rPr>
        <w:t>приятных условиях увлажнения и температуре в почве накаплив</w:t>
      </w:r>
      <w:r w:rsidRPr="00CD45A4">
        <w:rPr>
          <w:sz w:val="22"/>
          <w:szCs w:val="22"/>
        </w:rPr>
        <w:t>а</w:t>
      </w:r>
      <w:r w:rsidRPr="00CD45A4">
        <w:rPr>
          <w:sz w:val="22"/>
          <w:szCs w:val="22"/>
        </w:rPr>
        <w:t>ется нитратный азот. Во второй половине вегетации в связи с и</w:t>
      </w:r>
      <w:r w:rsidRPr="00CD45A4">
        <w:rPr>
          <w:sz w:val="22"/>
          <w:szCs w:val="22"/>
        </w:rPr>
        <w:t>н</w:t>
      </w:r>
      <w:r w:rsidRPr="00CD45A4">
        <w:rPr>
          <w:sz w:val="22"/>
          <w:szCs w:val="22"/>
        </w:rPr>
        <w:t>тенсивным ростом кукурузы усиливается его потребление и дост</w:t>
      </w:r>
      <w:r w:rsidRPr="00CD45A4">
        <w:rPr>
          <w:sz w:val="22"/>
          <w:szCs w:val="22"/>
        </w:rPr>
        <w:t>и</w:t>
      </w:r>
      <w:r w:rsidRPr="00CD45A4">
        <w:rPr>
          <w:sz w:val="22"/>
          <w:szCs w:val="22"/>
        </w:rPr>
        <w:t>гает максимума при появлении метелок. С наступлением засушл</w:t>
      </w:r>
      <w:r w:rsidRPr="00CD45A4">
        <w:rPr>
          <w:sz w:val="22"/>
          <w:szCs w:val="22"/>
        </w:rPr>
        <w:t>и</w:t>
      </w:r>
      <w:r w:rsidRPr="00CD45A4">
        <w:rPr>
          <w:sz w:val="22"/>
          <w:szCs w:val="22"/>
        </w:rPr>
        <w:t>вых условий он меньше мобилизуется в почве и больше расходуе</w:t>
      </w:r>
      <w:r w:rsidRPr="00CD45A4">
        <w:rPr>
          <w:sz w:val="22"/>
          <w:szCs w:val="22"/>
        </w:rPr>
        <w:t>т</w:t>
      </w:r>
      <w:r w:rsidRPr="00CD45A4">
        <w:rPr>
          <w:sz w:val="22"/>
          <w:szCs w:val="22"/>
        </w:rPr>
        <w:t>ся растением. В зависимости от погодных условий и достаточном увлажнении, стоить принять серьезное решение, каким образом вносить минеральные удобрения для лучшего развития кукурузы сахарной. Обеспечить своевременное поступления питательных веществ в почву с целью ограничения растения от различного рода забо</w:t>
      </w:r>
      <w:r w:rsidR="009D0151">
        <w:rPr>
          <w:sz w:val="22"/>
          <w:szCs w:val="22"/>
        </w:rPr>
        <w:t>левания, как на стебле растения</w:t>
      </w:r>
      <w:bookmarkStart w:id="0" w:name="_GoBack"/>
      <w:bookmarkEnd w:id="0"/>
      <w:r w:rsidRPr="00CD45A4">
        <w:rPr>
          <w:sz w:val="22"/>
          <w:szCs w:val="22"/>
        </w:rPr>
        <w:t xml:space="preserve">, так и его корневую систему [1]. В разных зонах Краснодарского края потребность кукурузы в </w:t>
      </w:r>
      <w:r w:rsidRPr="00CD45A4">
        <w:rPr>
          <w:sz w:val="22"/>
          <w:szCs w:val="22"/>
        </w:rPr>
        <w:lastRenderedPageBreak/>
        <w:t>элементах питания изменяется в зависимости от почвенно-климатических и агротехнических факторов. Кукуруза хорошо о</w:t>
      </w:r>
      <w:r w:rsidRPr="00CD45A4">
        <w:rPr>
          <w:sz w:val="22"/>
          <w:szCs w:val="22"/>
        </w:rPr>
        <w:t>т</w:t>
      </w:r>
      <w:r w:rsidRPr="00CD45A4">
        <w:rPr>
          <w:sz w:val="22"/>
          <w:szCs w:val="22"/>
        </w:rPr>
        <w:t>зывается на внесение азотных удобрений. На черноземе обыкн</w:t>
      </w:r>
      <w:r w:rsidRPr="00CD45A4">
        <w:rPr>
          <w:sz w:val="22"/>
          <w:szCs w:val="22"/>
        </w:rPr>
        <w:t>о</w:t>
      </w:r>
      <w:r w:rsidRPr="00CD45A4">
        <w:rPr>
          <w:sz w:val="22"/>
          <w:szCs w:val="22"/>
        </w:rPr>
        <w:t>венном и слабовыщелоченном, она хорошо отзывается на дополн</w:t>
      </w:r>
      <w:r w:rsidRPr="00CD45A4">
        <w:rPr>
          <w:sz w:val="22"/>
          <w:szCs w:val="22"/>
        </w:rPr>
        <w:t>и</w:t>
      </w:r>
      <w:r w:rsidRPr="00CD45A4">
        <w:rPr>
          <w:sz w:val="22"/>
          <w:szCs w:val="22"/>
        </w:rPr>
        <w:t>тельное внесение фосфорных удобрений</w:t>
      </w:r>
      <w:proofErr w:type="gramStart"/>
      <w:r w:rsidRPr="00CD45A4">
        <w:rPr>
          <w:sz w:val="22"/>
          <w:szCs w:val="22"/>
        </w:rPr>
        <w:t>,а</w:t>
      </w:r>
      <w:proofErr w:type="gramEnd"/>
      <w:r w:rsidRPr="00CD45A4">
        <w:rPr>
          <w:sz w:val="22"/>
          <w:szCs w:val="22"/>
        </w:rPr>
        <w:t xml:space="preserve"> на сильно выщелоченных черноземах – преимущество азотных [2, 4]. При оптимальном соо</w:t>
      </w:r>
      <w:r w:rsidRPr="00CD45A4">
        <w:rPr>
          <w:sz w:val="22"/>
          <w:szCs w:val="22"/>
        </w:rPr>
        <w:t>т</w:t>
      </w:r>
      <w:r w:rsidRPr="00CD45A4">
        <w:rPr>
          <w:sz w:val="22"/>
          <w:szCs w:val="22"/>
        </w:rPr>
        <w:t>ношении минеральных веществ и их внесения в почву, можно п</w:t>
      </w:r>
      <w:r w:rsidRPr="00CD45A4">
        <w:rPr>
          <w:sz w:val="22"/>
          <w:szCs w:val="22"/>
        </w:rPr>
        <w:t>о</w:t>
      </w:r>
      <w:r w:rsidRPr="00CD45A4">
        <w:rPr>
          <w:sz w:val="22"/>
          <w:szCs w:val="22"/>
        </w:rPr>
        <w:t>лучить не только рекордные урожаи, но и продукцию хорошего к</w:t>
      </w:r>
      <w:r w:rsidRPr="00CD45A4">
        <w:rPr>
          <w:sz w:val="22"/>
          <w:szCs w:val="22"/>
        </w:rPr>
        <w:t>а</w:t>
      </w:r>
      <w:r w:rsidRPr="00CD45A4">
        <w:rPr>
          <w:sz w:val="22"/>
          <w:szCs w:val="22"/>
        </w:rPr>
        <w:t>чества [3].</w:t>
      </w:r>
    </w:p>
    <w:p w:rsidR="00CD45A4" w:rsidRPr="00CD45A4" w:rsidRDefault="00CD45A4" w:rsidP="00EC1A78">
      <w:pPr>
        <w:widowControl w:val="0"/>
        <w:ind w:firstLine="426"/>
        <w:jc w:val="both"/>
        <w:rPr>
          <w:sz w:val="22"/>
          <w:szCs w:val="22"/>
        </w:rPr>
      </w:pPr>
      <w:r w:rsidRPr="00CD45A4">
        <w:rPr>
          <w:sz w:val="22"/>
          <w:szCs w:val="22"/>
        </w:rPr>
        <w:t xml:space="preserve">Высота растений на контрольном варианте на фоне основного внесения </w:t>
      </w:r>
      <w:r w:rsidRPr="00CD45A4">
        <w:rPr>
          <w:sz w:val="22"/>
          <w:szCs w:val="22"/>
          <w:lang w:val="en-US"/>
        </w:rPr>
        <w:t>N</w:t>
      </w:r>
      <w:r w:rsidRPr="00CD45A4">
        <w:rPr>
          <w:sz w:val="22"/>
          <w:szCs w:val="22"/>
          <w:vertAlign w:val="subscript"/>
        </w:rPr>
        <w:t>30</w:t>
      </w:r>
      <w:r w:rsidRPr="00CD45A4">
        <w:rPr>
          <w:sz w:val="22"/>
          <w:szCs w:val="22"/>
          <w:lang w:val="en-US"/>
        </w:rPr>
        <w:t>P</w:t>
      </w:r>
      <w:r w:rsidRPr="00CD45A4">
        <w:rPr>
          <w:sz w:val="22"/>
          <w:szCs w:val="22"/>
          <w:vertAlign w:val="subscript"/>
        </w:rPr>
        <w:t>60</w:t>
      </w:r>
      <w:r w:rsidRPr="00CD45A4">
        <w:rPr>
          <w:sz w:val="22"/>
          <w:szCs w:val="22"/>
          <w:lang w:val="en-US"/>
        </w:rPr>
        <w:t>K</w:t>
      </w:r>
      <w:r w:rsidRPr="00CD45A4">
        <w:rPr>
          <w:sz w:val="22"/>
          <w:szCs w:val="22"/>
          <w:vertAlign w:val="subscript"/>
        </w:rPr>
        <w:t xml:space="preserve">60 </w:t>
      </w:r>
      <w:r w:rsidRPr="00CD45A4">
        <w:rPr>
          <w:sz w:val="22"/>
          <w:szCs w:val="22"/>
        </w:rPr>
        <w:t xml:space="preserve">составили 200-204 см. </w:t>
      </w:r>
      <w:proofErr w:type="gramStart"/>
      <w:r w:rsidRPr="00CD45A4">
        <w:rPr>
          <w:sz w:val="22"/>
          <w:szCs w:val="22"/>
        </w:rPr>
        <w:t>При</w:t>
      </w:r>
      <w:proofErr w:type="gramEnd"/>
      <w:r w:rsidRPr="00CD45A4">
        <w:rPr>
          <w:sz w:val="22"/>
          <w:szCs w:val="22"/>
        </w:rPr>
        <w:t xml:space="preserve"> </w:t>
      </w:r>
      <w:proofErr w:type="gramStart"/>
      <w:r w:rsidRPr="00CD45A4">
        <w:rPr>
          <w:sz w:val="22"/>
          <w:szCs w:val="22"/>
        </w:rPr>
        <w:t>увеличения</w:t>
      </w:r>
      <w:proofErr w:type="gramEnd"/>
      <w:r w:rsidRPr="00CD45A4">
        <w:rPr>
          <w:sz w:val="22"/>
          <w:szCs w:val="22"/>
        </w:rPr>
        <w:t xml:space="preserve"> азота до значения </w:t>
      </w:r>
      <w:r w:rsidRPr="00CD45A4">
        <w:rPr>
          <w:sz w:val="22"/>
          <w:szCs w:val="22"/>
          <w:lang w:val="en-US"/>
        </w:rPr>
        <w:t>N</w:t>
      </w:r>
      <w:r w:rsidRPr="00CD45A4">
        <w:rPr>
          <w:sz w:val="22"/>
          <w:szCs w:val="22"/>
          <w:vertAlign w:val="subscript"/>
        </w:rPr>
        <w:t xml:space="preserve">30 </w:t>
      </w:r>
      <w:r w:rsidRPr="00CD45A4">
        <w:rPr>
          <w:sz w:val="22"/>
          <w:szCs w:val="22"/>
        </w:rPr>
        <w:t xml:space="preserve"> при посеве и </w:t>
      </w:r>
      <w:r w:rsidRPr="00CD45A4">
        <w:rPr>
          <w:sz w:val="22"/>
          <w:szCs w:val="22"/>
          <w:vertAlign w:val="subscript"/>
        </w:rPr>
        <w:t xml:space="preserve"> </w:t>
      </w:r>
      <w:r w:rsidRPr="00CD45A4">
        <w:rPr>
          <w:sz w:val="22"/>
          <w:szCs w:val="22"/>
          <w:lang w:val="en-US"/>
        </w:rPr>
        <w:t>N</w:t>
      </w:r>
      <w:r w:rsidRPr="00CD45A4">
        <w:rPr>
          <w:sz w:val="22"/>
          <w:szCs w:val="22"/>
          <w:vertAlign w:val="subscript"/>
        </w:rPr>
        <w:t xml:space="preserve">30 </w:t>
      </w:r>
      <w:r w:rsidRPr="00CD45A4">
        <w:rPr>
          <w:sz w:val="22"/>
          <w:szCs w:val="22"/>
        </w:rPr>
        <w:t>в</w:t>
      </w:r>
      <w:r w:rsidRPr="00CD45A4">
        <w:rPr>
          <w:sz w:val="22"/>
          <w:szCs w:val="22"/>
          <w:vertAlign w:val="subscript"/>
        </w:rPr>
        <w:t xml:space="preserve"> </w:t>
      </w:r>
      <w:r w:rsidRPr="00CD45A4">
        <w:rPr>
          <w:sz w:val="22"/>
          <w:szCs w:val="22"/>
        </w:rPr>
        <w:t>подкормку, растения были на 12-15 см выше, чем на контроле.</w:t>
      </w:r>
    </w:p>
    <w:p w:rsidR="00CD45A4" w:rsidRPr="00CD45A4" w:rsidRDefault="00CD45A4" w:rsidP="00EC1A78">
      <w:pPr>
        <w:widowControl w:val="0"/>
        <w:ind w:firstLine="426"/>
        <w:jc w:val="both"/>
        <w:rPr>
          <w:sz w:val="22"/>
          <w:szCs w:val="22"/>
        </w:rPr>
      </w:pPr>
      <w:r w:rsidRPr="00CD45A4">
        <w:rPr>
          <w:sz w:val="22"/>
          <w:szCs w:val="22"/>
        </w:rPr>
        <w:t xml:space="preserve">Наибольшее количество початков на 100 растений, значение массы початка и массы зерна с початка молочной спелости были получены на варианте основного внесения </w:t>
      </w:r>
      <w:r w:rsidRPr="00CD45A4">
        <w:rPr>
          <w:sz w:val="22"/>
          <w:szCs w:val="22"/>
          <w:lang w:val="en-US"/>
        </w:rPr>
        <w:t>N</w:t>
      </w:r>
      <w:r w:rsidRPr="00CD45A4">
        <w:rPr>
          <w:sz w:val="22"/>
          <w:szCs w:val="22"/>
          <w:vertAlign w:val="subscript"/>
        </w:rPr>
        <w:t>30</w:t>
      </w:r>
      <w:r w:rsidRPr="00CD45A4">
        <w:rPr>
          <w:sz w:val="22"/>
          <w:szCs w:val="22"/>
          <w:lang w:val="en-US"/>
        </w:rPr>
        <w:t>P</w:t>
      </w:r>
      <w:r w:rsidRPr="00CD45A4">
        <w:rPr>
          <w:sz w:val="22"/>
          <w:szCs w:val="22"/>
          <w:vertAlign w:val="subscript"/>
        </w:rPr>
        <w:t>60</w:t>
      </w:r>
      <w:r w:rsidRPr="00CD45A4">
        <w:rPr>
          <w:sz w:val="22"/>
          <w:szCs w:val="22"/>
          <w:lang w:val="en-US"/>
        </w:rPr>
        <w:t>K</w:t>
      </w:r>
      <w:r w:rsidRPr="00CD45A4">
        <w:rPr>
          <w:sz w:val="22"/>
          <w:szCs w:val="22"/>
          <w:vertAlign w:val="subscript"/>
        </w:rPr>
        <w:t>60</w:t>
      </w:r>
      <w:r w:rsidRPr="00CD45A4">
        <w:rPr>
          <w:sz w:val="22"/>
          <w:szCs w:val="22"/>
        </w:rPr>
        <w:t xml:space="preserve"> в сочетании с применением </w:t>
      </w:r>
      <w:r w:rsidRPr="00CD45A4">
        <w:rPr>
          <w:sz w:val="22"/>
          <w:szCs w:val="22"/>
          <w:lang w:val="en-US"/>
        </w:rPr>
        <w:t>N</w:t>
      </w:r>
      <w:r w:rsidRPr="00CD45A4">
        <w:rPr>
          <w:sz w:val="22"/>
          <w:szCs w:val="22"/>
          <w:vertAlign w:val="subscript"/>
        </w:rPr>
        <w:t>30</w:t>
      </w:r>
      <w:r w:rsidRPr="00CD45A4">
        <w:rPr>
          <w:sz w:val="22"/>
          <w:szCs w:val="22"/>
        </w:rPr>
        <w:t xml:space="preserve"> при посеве и </w:t>
      </w:r>
      <w:r w:rsidRPr="00CD45A4">
        <w:rPr>
          <w:sz w:val="22"/>
          <w:szCs w:val="22"/>
          <w:lang w:val="en-US"/>
        </w:rPr>
        <w:t>N</w:t>
      </w:r>
      <w:r w:rsidRPr="00CD45A4">
        <w:rPr>
          <w:sz w:val="22"/>
          <w:szCs w:val="22"/>
          <w:vertAlign w:val="subscript"/>
        </w:rPr>
        <w:t>30</w:t>
      </w:r>
      <w:r w:rsidRPr="00CD45A4">
        <w:rPr>
          <w:sz w:val="22"/>
          <w:szCs w:val="22"/>
        </w:rPr>
        <w:t xml:space="preserve"> в корневую подкормку и сост</w:t>
      </w:r>
      <w:r w:rsidRPr="00CD45A4">
        <w:rPr>
          <w:sz w:val="22"/>
          <w:szCs w:val="22"/>
        </w:rPr>
        <w:t>а</w:t>
      </w:r>
      <w:r w:rsidRPr="00CD45A4">
        <w:rPr>
          <w:sz w:val="22"/>
          <w:szCs w:val="22"/>
        </w:rPr>
        <w:t>вили соответственно 115 шт., 176 г и 138 г.</w:t>
      </w:r>
    </w:p>
    <w:p w:rsidR="00CD45A4" w:rsidRPr="00F85AC3" w:rsidRDefault="00CD45A4" w:rsidP="00F85AC3">
      <w:pPr>
        <w:widowControl w:val="0"/>
        <w:ind w:firstLine="426"/>
        <w:jc w:val="both"/>
        <w:rPr>
          <w:sz w:val="22"/>
          <w:szCs w:val="22"/>
          <w:vertAlign w:val="subscript"/>
        </w:rPr>
      </w:pPr>
      <w:r w:rsidRPr="00CD45A4">
        <w:rPr>
          <w:sz w:val="22"/>
          <w:szCs w:val="22"/>
        </w:rPr>
        <w:t xml:space="preserve">Самая высокая урожайность початков кукурузы сахарной – 147,7 ц/га и зерна в молочной спелости – 73,4 ц/га получены при внесении </w:t>
      </w:r>
      <w:r w:rsidRPr="00CD45A4">
        <w:rPr>
          <w:sz w:val="22"/>
          <w:szCs w:val="22"/>
          <w:lang w:val="en-US"/>
        </w:rPr>
        <w:t>N</w:t>
      </w:r>
      <w:r w:rsidRPr="00CD45A4">
        <w:rPr>
          <w:sz w:val="22"/>
          <w:szCs w:val="22"/>
          <w:vertAlign w:val="subscript"/>
        </w:rPr>
        <w:t>30</w:t>
      </w:r>
      <w:r w:rsidRPr="00CD45A4">
        <w:rPr>
          <w:sz w:val="22"/>
          <w:szCs w:val="22"/>
        </w:rPr>
        <w:t xml:space="preserve"> при посеве и </w:t>
      </w:r>
      <w:r w:rsidRPr="00CD45A4">
        <w:rPr>
          <w:sz w:val="22"/>
          <w:szCs w:val="22"/>
          <w:lang w:val="en-US"/>
        </w:rPr>
        <w:t>N</w:t>
      </w:r>
      <w:r w:rsidRPr="00CD45A4">
        <w:rPr>
          <w:sz w:val="22"/>
          <w:szCs w:val="22"/>
          <w:vertAlign w:val="subscript"/>
        </w:rPr>
        <w:t>30</w:t>
      </w:r>
      <w:r w:rsidRPr="00CD45A4">
        <w:rPr>
          <w:sz w:val="22"/>
          <w:szCs w:val="22"/>
        </w:rPr>
        <w:t xml:space="preserve"> в корневую подкормку на фоне о</w:t>
      </w:r>
      <w:r w:rsidRPr="00CD45A4">
        <w:rPr>
          <w:sz w:val="22"/>
          <w:szCs w:val="22"/>
        </w:rPr>
        <w:t>с</w:t>
      </w:r>
      <w:r w:rsidRPr="00CD45A4">
        <w:rPr>
          <w:sz w:val="22"/>
          <w:szCs w:val="22"/>
        </w:rPr>
        <w:t xml:space="preserve">новного внесения </w:t>
      </w:r>
      <w:r w:rsidRPr="00CD45A4">
        <w:rPr>
          <w:sz w:val="22"/>
          <w:szCs w:val="22"/>
          <w:lang w:val="en-US"/>
        </w:rPr>
        <w:t>N</w:t>
      </w:r>
      <w:r w:rsidRPr="00CD45A4">
        <w:rPr>
          <w:sz w:val="22"/>
          <w:szCs w:val="22"/>
          <w:vertAlign w:val="subscript"/>
        </w:rPr>
        <w:t>30</w:t>
      </w:r>
      <w:r w:rsidRPr="00CD45A4">
        <w:rPr>
          <w:sz w:val="22"/>
          <w:szCs w:val="22"/>
          <w:lang w:val="en-US"/>
        </w:rPr>
        <w:t>P</w:t>
      </w:r>
      <w:r w:rsidRPr="00CD45A4">
        <w:rPr>
          <w:sz w:val="22"/>
          <w:szCs w:val="22"/>
          <w:vertAlign w:val="subscript"/>
        </w:rPr>
        <w:t>60</w:t>
      </w:r>
      <w:r w:rsidRPr="00CD45A4">
        <w:rPr>
          <w:sz w:val="22"/>
          <w:szCs w:val="22"/>
          <w:lang w:val="en-US"/>
        </w:rPr>
        <w:t>K</w:t>
      </w:r>
      <w:r w:rsidRPr="00CD45A4">
        <w:rPr>
          <w:sz w:val="22"/>
          <w:szCs w:val="22"/>
          <w:vertAlign w:val="subscript"/>
        </w:rPr>
        <w:t>60</w:t>
      </w:r>
      <w:r w:rsidRPr="00CD45A4">
        <w:rPr>
          <w:sz w:val="22"/>
          <w:szCs w:val="22"/>
        </w:rPr>
        <w:t xml:space="preserve">. Самые низкие показатели урожайности оказались на контрольном варианте 118, 6 и 58,0 ц/га на котором было внесено только основное удобрение </w:t>
      </w:r>
      <w:r w:rsidRPr="00CD45A4">
        <w:rPr>
          <w:sz w:val="22"/>
          <w:szCs w:val="22"/>
          <w:lang w:val="en-US"/>
        </w:rPr>
        <w:t>N</w:t>
      </w:r>
      <w:r w:rsidRPr="00CD45A4">
        <w:rPr>
          <w:sz w:val="22"/>
          <w:szCs w:val="22"/>
          <w:vertAlign w:val="subscript"/>
        </w:rPr>
        <w:t>30</w:t>
      </w:r>
      <w:r w:rsidRPr="00CD45A4">
        <w:rPr>
          <w:sz w:val="22"/>
          <w:szCs w:val="22"/>
          <w:lang w:val="en-US"/>
        </w:rPr>
        <w:t>P</w:t>
      </w:r>
      <w:r w:rsidRPr="00CD45A4">
        <w:rPr>
          <w:sz w:val="22"/>
          <w:szCs w:val="22"/>
          <w:vertAlign w:val="subscript"/>
        </w:rPr>
        <w:t>60</w:t>
      </w:r>
      <w:r w:rsidRPr="00CD45A4">
        <w:rPr>
          <w:sz w:val="22"/>
          <w:szCs w:val="22"/>
          <w:lang w:val="en-US"/>
        </w:rPr>
        <w:t>K</w:t>
      </w:r>
      <w:r w:rsidRPr="00CD45A4">
        <w:rPr>
          <w:sz w:val="22"/>
          <w:szCs w:val="22"/>
          <w:vertAlign w:val="subscript"/>
        </w:rPr>
        <w:t>60.</w:t>
      </w:r>
    </w:p>
    <w:p w:rsidR="00863F6A" w:rsidRDefault="00863F6A" w:rsidP="00EC1A78">
      <w:pPr>
        <w:widowControl w:val="0"/>
        <w:ind w:firstLine="426"/>
        <w:jc w:val="center"/>
        <w:rPr>
          <w:sz w:val="22"/>
          <w:szCs w:val="22"/>
        </w:rPr>
      </w:pPr>
    </w:p>
    <w:p w:rsidR="00CD45A4" w:rsidRPr="00CD45A4" w:rsidRDefault="00CD45A4" w:rsidP="00EC1A78">
      <w:pPr>
        <w:widowControl w:val="0"/>
        <w:ind w:firstLine="426"/>
        <w:jc w:val="center"/>
        <w:rPr>
          <w:sz w:val="22"/>
          <w:szCs w:val="22"/>
        </w:rPr>
      </w:pPr>
      <w:r w:rsidRPr="00CD45A4">
        <w:rPr>
          <w:sz w:val="22"/>
          <w:szCs w:val="22"/>
        </w:rPr>
        <w:t>Список литературы</w:t>
      </w:r>
    </w:p>
    <w:p w:rsidR="00CD45A4" w:rsidRPr="00863F6A" w:rsidRDefault="00CD45A4" w:rsidP="00EC1A78">
      <w:pPr>
        <w:widowControl w:val="0"/>
        <w:tabs>
          <w:tab w:val="left" w:pos="720"/>
        </w:tabs>
        <w:suppressAutoHyphens/>
        <w:ind w:firstLine="426"/>
        <w:jc w:val="both"/>
        <w:rPr>
          <w:rFonts w:eastAsia="Calibri"/>
          <w:sz w:val="22"/>
          <w:szCs w:val="22"/>
          <w:lang w:eastAsia="en-US"/>
        </w:rPr>
      </w:pPr>
      <w:r w:rsidRPr="00863F6A">
        <w:rPr>
          <w:sz w:val="22"/>
          <w:szCs w:val="22"/>
        </w:rPr>
        <w:t xml:space="preserve">1. </w:t>
      </w:r>
      <w:r w:rsidRPr="00863F6A">
        <w:rPr>
          <w:rFonts w:eastAsia="Calibri"/>
          <w:sz w:val="22"/>
          <w:szCs w:val="22"/>
          <w:lang w:eastAsia="en-US"/>
        </w:rPr>
        <w:t>Исакова, С. В. Урожайность зерна кукурузы в зависимости от некорневых подкормок в зоне неустойчивого увлажнения Краснодарского края / С.В. Исакова, А.А. Макаренко, Т.В. Логойда // Науч. обеспечение агропром. комплекса: сб. ст. по материалам Х Всероссийской науч</w:t>
      </w:r>
      <w:proofErr w:type="gramStart"/>
      <w:r w:rsidRPr="00863F6A">
        <w:rPr>
          <w:rFonts w:eastAsia="Calibri"/>
          <w:sz w:val="22"/>
          <w:szCs w:val="22"/>
          <w:lang w:eastAsia="en-US"/>
        </w:rPr>
        <w:t>.-</w:t>
      </w:r>
      <w:proofErr w:type="gramEnd"/>
      <w:r w:rsidRPr="00863F6A">
        <w:rPr>
          <w:rFonts w:eastAsia="Calibri"/>
          <w:sz w:val="22"/>
          <w:szCs w:val="22"/>
          <w:lang w:eastAsia="en-US"/>
        </w:rPr>
        <w:t>практ. конф. молодых ученных. – Краснодар: КубГАУ, 2017. – С. 868-869.</w:t>
      </w:r>
    </w:p>
    <w:p w:rsidR="00CD45A4" w:rsidRPr="00863F6A" w:rsidRDefault="00CD45A4" w:rsidP="00EC1A78">
      <w:pPr>
        <w:widowControl w:val="0"/>
        <w:tabs>
          <w:tab w:val="left" w:pos="720"/>
        </w:tabs>
        <w:suppressAutoHyphens/>
        <w:ind w:firstLine="426"/>
        <w:jc w:val="both"/>
        <w:rPr>
          <w:sz w:val="22"/>
          <w:szCs w:val="22"/>
        </w:rPr>
      </w:pPr>
      <w:r w:rsidRPr="00863F6A">
        <w:rPr>
          <w:rFonts w:eastAsia="Calibri"/>
          <w:sz w:val="22"/>
          <w:szCs w:val="22"/>
          <w:lang w:eastAsia="en-US"/>
        </w:rPr>
        <w:t xml:space="preserve">2. </w:t>
      </w:r>
      <w:r w:rsidRPr="00863F6A">
        <w:rPr>
          <w:sz w:val="22"/>
          <w:szCs w:val="22"/>
        </w:rPr>
        <w:t>Симакин, А. И. Удобрение, плодородие почв и урожай / А.И. Симакин. – Краснодар: Краснодарское книжное изд-во, 1988.– 269 с.</w:t>
      </w:r>
    </w:p>
    <w:p w:rsidR="00CD45A4" w:rsidRPr="00CD45A4" w:rsidRDefault="00CD45A4" w:rsidP="00EC1A78">
      <w:pPr>
        <w:widowControl w:val="0"/>
        <w:tabs>
          <w:tab w:val="left" w:pos="720"/>
        </w:tabs>
        <w:suppressAutoHyphens/>
        <w:ind w:firstLine="426"/>
        <w:jc w:val="both"/>
        <w:rPr>
          <w:sz w:val="22"/>
          <w:szCs w:val="22"/>
        </w:rPr>
      </w:pPr>
      <w:r w:rsidRPr="00CD45A4">
        <w:rPr>
          <w:sz w:val="22"/>
          <w:szCs w:val="22"/>
        </w:rPr>
        <w:t xml:space="preserve">3. Суркова, Е. В. Влияние агротехнических приемов на формирование качества зерна озимой пшеницы / Е.В. Суркова, Н.И. Ненько, Н.Г. Малюга, П.Т. Букреев. Известия высших учебных </w:t>
      </w:r>
      <w:r w:rsidRPr="00CD45A4">
        <w:rPr>
          <w:sz w:val="22"/>
          <w:szCs w:val="22"/>
        </w:rPr>
        <w:lastRenderedPageBreak/>
        <w:t>заведений. Пищевая технология. 2005. № 5-6. С. 29-32.</w:t>
      </w:r>
    </w:p>
    <w:p w:rsidR="00CD45A4" w:rsidRPr="00F85AC3" w:rsidRDefault="00CD45A4" w:rsidP="00F85AC3">
      <w:pPr>
        <w:widowControl w:val="0"/>
        <w:tabs>
          <w:tab w:val="left" w:pos="1620"/>
        </w:tabs>
        <w:suppressAutoHyphens/>
        <w:ind w:firstLine="426"/>
        <w:jc w:val="both"/>
        <w:rPr>
          <w:sz w:val="22"/>
          <w:szCs w:val="22"/>
        </w:rPr>
      </w:pPr>
      <w:r w:rsidRPr="00CD45A4">
        <w:rPr>
          <w:sz w:val="22"/>
          <w:szCs w:val="22"/>
        </w:rPr>
        <w:t xml:space="preserve">4. Сысенко, И. С. Продуктивность кукурузы в зависимости отсистемы обработки почвы, удобрений и защиты растений на выщелоченном черноземе </w:t>
      </w:r>
      <w:proofErr w:type="gramStart"/>
      <w:r w:rsidRPr="00CD45A4">
        <w:rPr>
          <w:sz w:val="22"/>
          <w:szCs w:val="22"/>
        </w:rPr>
        <w:t>Западного</w:t>
      </w:r>
      <w:proofErr w:type="gramEnd"/>
      <w:r w:rsidRPr="00CD45A4">
        <w:rPr>
          <w:sz w:val="22"/>
          <w:szCs w:val="22"/>
        </w:rPr>
        <w:t xml:space="preserve"> Предкавказья / И.С. Сысенко: автореф. дис. канд. с.-х. наук. – Краснодар, 1998. – 24 с.</w:t>
      </w:r>
    </w:p>
    <w:p w:rsidR="00863F6A" w:rsidRDefault="00863F6A" w:rsidP="00CD45A4">
      <w:pPr>
        <w:rPr>
          <w:sz w:val="22"/>
          <w:szCs w:val="22"/>
        </w:rPr>
      </w:pPr>
    </w:p>
    <w:p w:rsidR="00863F6A" w:rsidRDefault="00863F6A" w:rsidP="00CD45A4">
      <w:pPr>
        <w:rPr>
          <w:sz w:val="22"/>
          <w:szCs w:val="22"/>
        </w:rPr>
      </w:pPr>
    </w:p>
    <w:p w:rsidR="00863F6A" w:rsidRDefault="00863F6A" w:rsidP="00CD45A4">
      <w:pPr>
        <w:rPr>
          <w:sz w:val="22"/>
          <w:szCs w:val="22"/>
        </w:rPr>
      </w:pPr>
    </w:p>
    <w:p w:rsidR="00CD45A4" w:rsidRPr="00CD45A4" w:rsidRDefault="00CD45A4" w:rsidP="00CD45A4">
      <w:pPr>
        <w:rPr>
          <w:b/>
          <w:sz w:val="24"/>
          <w:szCs w:val="24"/>
        </w:rPr>
      </w:pPr>
      <w:r w:rsidRPr="00CD45A4">
        <w:rPr>
          <w:sz w:val="22"/>
          <w:szCs w:val="22"/>
        </w:rPr>
        <w:t xml:space="preserve">УДК 633.854.78:631.559 (470.620) </w:t>
      </w:r>
    </w:p>
    <w:p w:rsidR="00CD45A4" w:rsidRPr="00CD45A4" w:rsidRDefault="00CD45A4" w:rsidP="00CD45A4">
      <w:pPr>
        <w:jc w:val="center"/>
        <w:rPr>
          <w:b/>
          <w:sz w:val="24"/>
          <w:szCs w:val="24"/>
        </w:rPr>
      </w:pPr>
    </w:p>
    <w:p w:rsidR="00CD45A4" w:rsidRPr="00CD45A4" w:rsidRDefault="00CD45A4" w:rsidP="00CD45A4">
      <w:pPr>
        <w:jc w:val="center"/>
        <w:rPr>
          <w:b/>
          <w:sz w:val="24"/>
          <w:szCs w:val="24"/>
        </w:rPr>
      </w:pPr>
      <w:r w:rsidRPr="00CD45A4">
        <w:rPr>
          <w:b/>
          <w:sz w:val="24"/>
          <w:szCs w:val="24"/>
        </w:rPr>
        <w:t xml:space="preserve">Выявление зависимости между сезонностью </w:t>
      </w:r>
      <w:r w:rsidR="00EB5229">
        <w:rPr>
          <w:b/>
          <w:sz w:val="24"/>
          <w:szCs w:val="24"/>
        </w:rPr>
        <w:br/>
      </w:r>
      <w:r w:rsidRPr="00CD45A4">
        <w:rPr>
          <w:b/>
          <w:sz w:val="24"/>
          <w:szCs w:val="24"/>
        </w:rPr>
        <w:t xml:space="preserve">и эрозионными процессами (обвалами) </w:t>
      </w:r>
    </w:p>
    <w:p w:rsidR="00CD45A4" w:rsidRPr="00CD45A4" w:rsidRDefault="00CD45A4" w:rsidP="00CD45A4">
      <w:pPr>
        <w:jc w:val="center"/>
        <w:rPr>
          <w:b/>
          <w:sz w:val="24"/>
          <w:szCs w:val="24"/>
        </w:rPr>
      </w:pPr>
      <w:r w:rsidRPr="00CD45A4">
        <w:rPr>
          <w:b/>
          <w:sz w:val="24"/>
          <w:szCs w:val="24"/>
        </w:rPr>
        <w:t>на Черноморском побережье мыс Железный рог</w:t>
      </w:r>
    </w:p>
    <w:p w:rsidR="00CD45A4" w:rsidRPr="00863F6A" w:rsidRDefault="00CD45A4" w:rsidP="00CD45A4">
      <w:pPr>
        <w:jc w:val="center"/>
        <w:rPr>
          <w:b/>
          <w:sz w:val="24"/>
          <w:szCs w:val="24"/>
          <w:lang w:val="en-US"/>
        </w:rPr>
      </w:pPr>
      <w:r w:rsidRPr="00CD45A4">
        <w:rPr>
          <w:b/>
          <w:sz w:val="24"/>
          <w:szCs w:val="24"/>
          <w:lang w:val="en-US"/>
        </w:rPr>
        <w:t>Identification</w:t>
      </w:r>
      <w:r w:rsidRPr="00863F6A">
        <w:rPr>
          <w:b/>
          <w:sz w:val="24"/>
          <w:szCs w:val="24"/>
          <w:lang w:val="en-US"/>
        </w:rPr>
        <w:t xml:space="preserve"> </w:t>
      </w:r>
      <w:r w:rsidRPr="00CD45A4">
        <w:rPr>
          <w:b/>
          <w:sz w:val="24"/>
          <w:szCs w:val="24"/>
          <w:lang w:val="en-US"/>
        </w:rPr>
        <w:t>of</w:t>
      </w:r>
      <w:r w:rsidRPr="00863F6A">
        <w:rPr>
          <w:b/>
          <w:sz w:val="24"/>
          <w:szCs w:val="24"/>
          <w:lang w:val="en-US"/>
        </w:rPr>
        <w:t xml:space="preserve"> </w:t>
      </w:r>
      <w:r w:rsidRPr="00CD45A4">
        <w:rPr>
          <w:b/>
          <w:sz w:val="24"/>
          <w:szCs w:val="24"/>
          <w:lang w:val="en-US"/>
        </w:rPr>
        <w:t>dependence</w:t>
      </w:r>
      <w:r w:rsidRPr="00863F6A">
        <w:rPr>
          <w:b/>
          <w:sz w:val="24"/>
          <w:szCs w:val="24"/>
          <w:lang w:val="en-US"/>
        </w:rPr>
        <w:t xml:space="preserve"> </w:t>
      </w:r>
      <w:r w:rsidRPr="00CD45A4">
        <w:rPr>
          <w:b/>
          <w:sz w:val="24"/>
          <w:szCs w:val="24"/>
          <w:lang w:val="en-US"/>
        </w:rPr>
        <w:t>between</w:t>
      </w:r>
      <w:r w:rsidRPr="00863F6A">
        <w:rPr>
          <w:b/>
          <w:sz w:val="24"/>
          <w:szCs w:val="24"/>
          <w:lang w:val="en-US"/>
        </w:rPr>
        <w:t xml:space="preserve"> </w:t>
      </w:r>
      <w:r w:rsidRPr="00CD45A4">
        <w:rPr>
          <w:b/>
          <w:sz w:val="24"/>
          <w:szCs w:val="24"/>
          <w:lang w:val="en-US"/>
        </w:rPr>
        <w:t>seasonality</w:t>
      </w:r>
      <w:r w:rsidRPr="00863F6A">
        <w:rPr>
          <w:b/>
          <w:sz w:val="24"/>
          <w:szCs w:val="24"/>
          <w:lang w:val="en-US"/>
        </w:rPr>
        <w:t xml:space="preserve"> </w:t>
      </w:r>
      <w:r w:rsidRPr="00CD45A4">
        <w:rPr>
          <w:b/>
          <w:sz w:val="24"/>
          <w:szCs w:val="24"/>
          <w:lang w:val="en-US"/>
        </w:rPr>
        <w:t>and</w:t>
      </w:r>
      <w:r w:rsidRPr="00863F6A">
        <w:rPr>
          <w:b/>
          <w:sz w:val="24"/>
          <w:szCs w:val="24"/>
          <w:lang w:val="en-US"/>
        </w:rPr>
        <w:t xml:space="preserve"> </w:t>
      </w:r>
    </w:p>
    <w:p w:rsidR="00CD45A4" w:rsidRPr="00863F6A" w:rsidRDefault="00CD45A4" w:rsidP="00CD45A4">
      <w:pPr>
        <w:jc w:val="center"/>
        <w:rPr>
          <w:b/>
          <w:sz w:val="24"/>
          <w:szCs w:val="24"/>
          <w:lang w:val="en-US"/>
        </w:rPr>
      </w:pPr>
      <w:proofErr w:type="gramStart"/>
      <w:r w:rsidRPr="00CD45A4">
        <w:rPr>
          <w:b/>
          <w:sz w:val="24"/>
          <w:szCs w:val="24"/>
          <w:lang w:val="en-US"/>
        </w:rPr>
        <w:t>erosion</w:t>
      </w:r>
      <w:proofErr w:type="gramEnd"/>
      <w:r w:rsidRPr="00863F6A">
        <w:rPr>
          <w:b/>
          <w:sz w:val="24"/>
          <w:szCs w:val="24"/>
          <w:lang w:val="en-US"/>
        </w:rPr>
        <w:t xml:space="preserve"> </w:t>
      </w:r>
      <w:r w:rsidRPr="00CD45A4">
        <w:rPr>
          <w:b/>
          <w:sz w:val="24"/>
          <w:szCs w:val="24"/>
          <w:lang w:val="en-US"/>
        </w:rPr>
        <w:t>processes</w:t>
      </w:r>
      <w:r w:rsidRPr="00863F6A">
        <w:rPr>
          <w:b/>
          <w:sz w:val="24"/>
          <w:szCs w:val="24"/>
          <w:lang w:val="en-US"/>
        </w:rPr>
        <w:t xml:space="preserve"> (</w:t>
      </w:r>
      <w:r w:rsidRPr="00CD45A4">
        <w:rPr>
          <w:b/>
          <w:sz w:val="24"/>
          <w:szCs w:val="24"/>
          <w:lang w:val="en-US"/>
        </w:rPr>
        <w:t>collapses</w:t>
      </w:r>
      <w:r w:rsidRPr="00863F6A">
        <w:rPr>
          <w:b/>
          <w:sz w:val="24"/>
          <w:szCs w:val="24"/>
          <w:lang w:val="en-US"/>
        </w:rPr>
        <w:t xml:space="preserve">) </w:t>
      </w:r>
    </w:p>
    <w:p w:rsidR="00CD45A4" w:rsidRPr="00CD45A4" w:rsidRDefault="00CD45A4" w:rsidP="00CD45A4">
      <w:pPr>
        <w:jc w:val="center"/>
        <w:rPr>
          <w:b/>
          <w:sz w:val="24"/>
          <w:szCs w:val="24"/>
          <w:lang w:val="en-US"/>
        </w:rPr>
      </w:pPr>
      <w:proofErr w:type="gramStart"/>
      <w:r w:rsidRPr="00CD45A4">
        <w:rPr>
          <w:b/>
          <w:sz w:val="24"/>
          <w:szCs w:val="24"/>
          <w:lang w:val="en-US"/>
        </w:rPr>
        <w:t>on</w:t>
      </w:r>
      <w:proofErr w:type="gramEnd"/>
      <w:r w:rsidRPr="00CD45A4">
        <w:rPr>
          <w:b/>
          <w:sz w:val="24"/>
          <w:szCs w:val="24"/>
          <w:lang w:val="en-US"/>
        </w:rPr>
        <w:t xml:space="preserve"> the black sea coast Cape Zhelezny Rog</w:t>
      </w:r>
    </w:p>
    <w:p w:rsidR="00CD45A4" w:rsidRPr="00CD45A4" w:rsidRDefault="00CD45A4" w:rsidP="00CD45A4">
      <w:pPr>
        <w:jc w:val="center"/>
        <w:rPr>
          <w:b/>
          <w:sz w:val="22"/>
          <w:szCs w:val="22"/>
          <w:lang w:val="en-US"/>
        </w:rPr>
      </w:pPr>
    </w:p>
    <w:p w:rsidR="00CD45A4" w:rsidRPr="00CD45A4" w:rsidRDefault="00CD45A4" w:rsidP="00CD45A4">
      <w:pPr>
        <w:tabs>
          <w:tab w:val="left" w:pos="7140"/>
        </w:tabs>
        <w:jc w:val="right"/>
        <w:rPr>
          <w:sz w:val="22"/>
          <w:szCs w:val="22"/>
        </w:rPr>
      </w:pPr>
      <w:r w:rsidRPr="00CD45A4">
        <w:rPr>
          <w:sz w:val="22"/>
          <w:szCs w:val="22"/>
        </w:rPr>
        <w:t>Белецкая А. Э.,</w:t>
      </w:r>
    </w:p>
    <w:p w:rsidR="00CD45A4" w:rsidRPr="00CD45A4" w:rsidRDefault="00EC1A78" w:rsidP="00CD45A4">
      <w:pPr>
        <w:tabs>
          <w:tab w:val="left" w:pos="7140"/>
        </w:tabs>
        <w:jc w:val="right"/>
        <w:rPr>
          <w:sz w:val="22"/>
          <w:szCs w:val="22"/>
        </w:rPr>
      </w:pPr>
      <w:r>
        <w:rPr>
          <w:sz w:val="22"/>
          <w:szCs w:val="22"/>
        </w:rPr>
        <w:t>студентка 4-го курса</w:t>
      </w:r>
    </w:p>
    <w:p w:rsidR="00CD45A4" w:rsidRPr="00CD45A4" w:rsidRDefault="00CD45A4" w:rsidP="00CD45A4">
      <w:pPr>
        <w:tabs>
          <w:tab w:val="left" w:pos="7140"/>
        </w:tabs>
        <w:jc w:val="right"/>
        <w:rPr>
          <w:sz w:val="22"/>
          <w:szCs w:val="22"/>
        </w:rPr>
      </w:pPr>
      <w:r w:rsidRPr="00CD45A4">
        <w:rPr>
          <w:sz w:val="22"/>
          <w:szCs w:val="22"/>
        </w:rPr>
        <w:t>факультета агрономии и экологии</w:t>
      </w:r>
    </w:p>
    <w:p w:rsidR="00CD45A4" w:rsidRPr="00CD45A4" w:rsidRDefault="00CD45A4" w:rsidP="00CD45A4">
      <w:pPr>
        <w:tabs>
          <w:tab w:val="left" w:pos="7140"/>
        </w:tabs>
        <w:jc w:val="right"/>
        <w:rPr>
          <w:sz w:val="22"/>
          <w:szCs w:val="22"/>
        </w:rPr>
      </w:pPr>
      <w:r w:rsidRPr="00CD45A4">
        <w:rPr>
          <w:sz w:val="22"/>
          <w:szCs w:val="22"/>
        </w:rPr>
        <w:t>Куб</w:t>
      </w:r>
      <w:r w:rsidR="00EC1A78">
        <w:rPr>
          <w:sz w:val="22"/>
          <w:szCs w:val="22"/>
        </w:rPr>
        <w:t>анский государственный аграрный</w:t>
      </w:r>
    </w:p>
    <w:p w:rsidR="00CD45A4" w:rsidRPr="00CD45A4" w:rsidRDefault="00CD45A4" w:rsidP="00CD45A4">
      <w:pPr>
        <w:tabs>
          <w:tab w:val="left" w:pos="7140"/>
        </w:tabs>
        <w:jc w:val="right"/>
        <w:rPr>
          <w:sz w:val="22"/>
          <w:szCs w:val="22"/>
        </w:rPr>
      </w:pPr>
      <w:r w:rsidRPr="00CD45A4">
        <w:rPr>
          <w:sz w:val="22"/>
          <w:szCs w:val="22"/>
        </w:rPr>
        <w:t>университет имени И.</w:t>
      </w:r>
      <w:r w:rsidR="00EC1A78">
        <w:rPr>
          <w:sz w:val="22"/>
          <w:szCs w:val="22"/>
        </w:rPr>
        <w:t xml:space="preserve"> </w:t>
      </w:r>
      <w:r w:rsidRPr="00CD45A4">
        <w:rPr>
          <w:sz w:val="22"/>
          <w:szCs w:val="22"/>
        </w:rPr>
        <w:t>Т. Трубилина</w:t>
      </w:r>
    </w:p>
    <w:p w:rsidR="00CD45A4" w:rsidRPr="00CD45A4" w:rsidRDefault="00CD45A4" w:rsidP="00CD45A4">
      <w:pPr>
        <w:tabs>
          <w:tab w:val="left" w:pos="7140"/>
        </w:tabs>
        <w:jc w:val="right"/>
        <w:rPr>
          <w:sz w:val="22"/>
          <w:szCs w:val="22"/>
        </w:rPr>
      </w:pPr>
    </w:p>
    <w:p w:rsidR="00CD45A4" w:rsidRPr="00CD45A4" w:rsidRDefault="00CD45A4" w:rsidP="00D50091">
      <w:pPr>
        <w:tabs>
          <w:tab w:val="left" w:pos="7140"/>
        </w:tabs>
        <w:ind w:firstLine="426"/>
        <w:jc w:val="both"/>
        <w:rPr>
          <w:sz w:val="22"/>
          <w:szCs w:val="22"/>
          <w:lang w:val="en-US"/>
        </w:rPr>
      </w:pPr>
      <w:r w:rsidRPr="00CD45A4">
        <w:rPr>
          <w:sz w:val="22"/>
          <w:szCs w:val="22"/>
        </w:rPr>
        <w:t>АННОТАЦИЯ: Изучена зависимость между сезонностью и эрозионными процессами (обвалами) на Черноморском побережье мыс Железный рог. Доказана</w:t>
      </w:r>
      <w:r w:rsidRPr="00CD45A4">
        <w:rPr>
          <w:sz w:val="22"/>
          <w:szCs w:val="22"/>
          <w:lang w:val="en-US"/>
        </w:rPr>
        <w:t xml:space="preserve"> </w:t>
      </w:r>
      <w:r w:rsidRPr="00CD45A4">
        <w:rPr>
          <w:sz w:val="22"/>
          <w:szCs w:val="22"/>
        </w:rPr>
        <w:t>зависимость</w:t>
      </w:r>
      <w:r w:rsidRPr="00CD45A4">
        <w:rPr>
          <w:sz w:val="22"/>
          <w:szCs w:val="22"/>
          <w:lang w:val="en-US"/>
        </w:rPr>
        <w:t xml:space="preserve"> </w:t>
      </w:r>
      <w:r w:rsidRPr="00CD45A4">
        <w:rPr>
          <w:sz w:val="22"/>
          <w:szCs w:val="22"/>
        </w:rPr>
        <w:t>между</w:t>
      </w:r>
      <w:r w:rsidRPr="00CD45A4">
        <w:rPr>
          <w:sz w:val="22"/>
          <w:szCs w:val="22"/>
          <w:lang w:val="en-US"/>
        </w:rPr>
        <w:t xml:space="preserve"> </w:t>
      </w:r>
      <w:r w:rsidRPr="00CD45A4">
        <w:rPr>
          <w:sz w:val="22"/>
          <w:szCs w:val="22"/>
        </w:rPr>
        <w:t>сезонностью</w:t>
      </w:r>
      <w:r w:rsidRPr="00CD45A4">
        <w:rPr>
          <w:sz w:val="22"/>
          <w:szCs w:val="22"/>
          <w:lang w:val="en-US"/>
        </w:rPr>
        <w:t xml:space="preserve"> </w:t>
      </w:r>
      <w:r w:rsidRPr="00CD45A4">
        <w:rPr>
          <w:sz w:val="22"/>
          <w:szCs w:val="22"/>
        </w:rPr>
        <w:t>и</w:t>
      </w:r>
      <w:r w:rsidRPr="00CD45A4">
        <w:rPr>
          <w:sz w:val="22"/>
          <w:szCs w:val="22"/>
          <w:lang w:val="en-US"/>
        </w:rPr>
        <w:t xml:space="preserve"> </w:t>
      </w:r>
      <w:r w:rsidRPr="00CD45A4">
        <w:rPr>
          <w:sz w:val="22"/>
          <w:szCs w:val="22"/>
        </w:rPr>
        <w:t>эрозионными</w:t>
      </w:r>
      <w:r w:rsidRPr="00CD45A4">
        <w:rPr>
          <w:sz w:val="22"/>
          <w:szCs w:val="22"/>
          <w:lang w:val="en-US"/>
        </w:rPr>
        <w:t xml:space="preserve"> </w:t>
      </w:r>
      <w:r w:rsidRPr="00CD45A4">
        <w:rPr>
          <w:sz w:val="22"/>
          <w:szCs w:val="22"/>
        </w:rPr>
        <w:t>процессами</w:t>
      </w:r>
      <w:r w:rsidRPr="00CD45A4">
        <w:rPr>
          <w:sz w:val="22"/>
          <w:szCs w:val="22"/>
          <w:lang w:val="en-US"/>
        </w:rPr>
        <w:t xml:space="preserve">. </w:t>
      </w:r>
    </w:p>
    <w:p w:rsidR="00CD45A4" w:rsidRPr="00CD45A4" w:rsidRDefault="00CD45A4" w:rsidP="00D50091">
      <w:pPr>
        <w:ind w:firstLine="426"/>
        <w:jc w:val="both"/>
        <w:rPr>
          <w:sz w:val="22"/>
          <w:szCs w:val="22"/>
          <w:lang w:val="en-US"/>
        </w:rPr>
      </w:pPr>
      <w:r w:rsidRPr="00CD45A4">
        <w:rPr>
          <w:sz w:val="22"/>
          <w:szCs w:val="22"/>
          <w:lang w:val="en-US"/>
        </w:rPr>
        <w:t>ABSTRACT:</w:t>
      </w:r>
      <w:r w:rsidRPr="00CD45A4">
        <w:rPr>
          <w:b/>
          <w:sz w:val="22"/>
          <w:szCs w:val="22"/>
          <w:lang w:val="en-US"/>
        </w:rPr>
        <w:t xml:space="preserve"> </w:t>
      </w:r>
      <w:r w:rsidRPr="00CD45A4">
        <w:rPr>
          <w:sz w:val="22"/>
          <w:szCs w:val="22"/>
          <w:lang w:val="en-US"/>
        </w:rPr>
        <w:t>Identification of dependence between seasonality and erosion processes (collapses) on the black sea coast Cape Zhelezny Rog. The dependence between seasonality and erosion processes is proved.</w:t>
      </w:r>
    </w:p>
    <w:p w:rsidR="00CD45A4" w:rsidRPr="00CD45A4" w:rsidRDefault="00CD45A4" w:rsidP="00D50091">
      <w:pPr>
        <w:tabs>
          <w:tab w:val="left" w:pos="7140"/>
        </w:tabs>
        <w:ind w:firstLine="426"/>
        <w:jc w:val="both"/>
        <w:rPr>
          <w:sz w:val="22"/>
          <w:szCs w:val="22"/>
          <w:lang w:val="en-US"/>
        </w:rPr>
      </w:pPr>
      <w:r w:rsidRPr="00CD45A4">
        <w:rPr>
          <w:sz w:val="22"/>
          <w:szCs w:val="22"/>
        </w:rPr>
        <w:t>КЛЮЧЕВЫЕ</w:t>
      </w:r>
      <w:r w:rsidRPr="00CD45A4">
        <w:rPr>
          <w:sz w:val="22"/>
          <w:szCs w:val="22"/>
          <w:lang w:val="en-US"/>
        </w:rPr>
        <w:t xml:space="preserve"> </w:t>
      </w:r>
      <w:r w:rsidRPr="00CD45A4">
        <w:rPr>
          <w:sz w:val="22"/>
          <w:szCs w:val="22"/>
        </w:rPr>
        <w:t>СЛОВА</w:t>
      </w:r>
      <w:r w:rsidRPr="00CD45A4">
        <w:rPr>
          <w:sz w:val="22"/>
          <w:szCs w:val="22"/>
          <w:lang w:val="en-US"/>
        </w:rPr>
        <w:t xml:space="preserve">: </w:t>
      </w:r>
      <w:r w:rsidRPr="00CD45A4">
        <w:rPr>
          <w:sz w:val="22"/>
          <w:szCs w:val="22"/>
        </w:rPr>
        <w:t>Сезонность</w:t>
      </w:r>
      <w:r w:rsidRPr="00CD45A4">
        <w:rPr>
          <w:sz w:val="22"/>
          <w:szCs w:val="22"/>
          <w:lang w:val="en-US"/>
        </w:rPr>
        <w:t xml:space="preserve">, </w:t>
      </w:r>
      <w:r w:rsidRPr="00CD45A4">
        <w:rPr>
          <w:sz w:val="22"/>
          <w:szCs w:val="22"/>
        </w:rPr>
        <w:t>эрозионные</w:t>
      </w:r>
      <w:r w:rsidRPr="00CD45A4">
        <w:rPr>
          <w:sz w:val="22"/>
          <w:szCs w:val="22"/>
          <w:lang w:val="en-US"/>
        </w:rPr>
        <w:t xml:space="preserve"> </w:t>
      </w:r>
      <w:r w:rsidRPr="00CD45A4">
        <w:rPr>
          <w:sz w:val="22"/>
          <w:szCs w:val="22"/>
        </w:rPr>
        <w:t>процессы</w:t>
      </w:r>
      <w:r w:rsidRPr="00CD45A4">
        <w:rPr>
          <w:sz w:val="22"/>
          <w:szCs w:val="22"/>
          <w:lang w:val="en-US"/>
        </w:rPr>
        <w:t xml:space="preserve">, </w:t>
      </w:r>
      <w:r w:rsidRPr="00CD45A4">
        <w:rPr>
          <w:sz w:val="22"/>
          <w:szCs w:val="22"/>
        </w:rPr>
        <w:t>о</w:t>
      </w:r>
      <w:r w:rsidRPr="00CD45A4">
        <w:rPr>
          <w:sz w:val="22"/>
          <w:szCs w:val="22"/>
        </w:rPr>
        <w:t>б</w:t>
      </w:r>
      <w:r w:rsidRPr="00CD45A4">
        <w:rPr>
          <w:sz w:val="22"/>
          <w:szCs w:val="22"/>
        </w:rPr>
        <w:t>валы</w:t>
      </w:r>
      <w:r w:rsidRPr="00CD45A4">
        <w:rPr>
          <w:sz w:val="22"/>
          <w:szCs w:val="22"/>
          <w:lang w:val="en-US"/>
        </w:rPr>
        <w:t xml:space="preserve">, </w:t>
      </w:r>
      <w:r w:rsidRPr="00CD45A4">
        <w:rPr>
          <w:sz w:val="22"/>
          <w:szCs w:val="22"/>
        </w:rPr>
        <w:t>мыс</w:t>
      </w:r>
      <w:r w:rsidRPr="00CD45A4">
        <w:rPr>
          <w:sz w:val="22"/>
          <w:szCs w:val="22"/>
          <w:lang w:val="en-US"/>
        </w:rPr>
        <w:t xml:space="preserve"> </w:t>
      </w:r>
      <w:r w:rsidRPr="00CD45A4">
        <w:rPr>
          <w:sz w:val="22"/>
          <w:szCs w:val="22"/>
        </w:rPr>
        <w:t>Железный</w:t>
      </w:r>
      <w:r w:rsidRPr="00CD45A4">
        <w:rPr>
          <w:sz w:val="22"/>
          <w:szCs w:val="22"/>
          <w:lang w:val="en-US"/>
        </w:rPr>
        <w:t xml:space="preserve"> </w:t>
      </w:r>
      <w:r w:rsidRPr="00CD45A4">
        <w:rPr>
          <w:sz w:val="22"/>
          <w:szCs w:val="22"/>
        </w:rPr>
        <w:t>рог</w:t>
      </w:r>
      <w:r w:rsidRPr="00CD45A4">
        <w:rPr>
          <w:sz w:val="22"/>
          <w:szCs w:val="22"/>
          <w:lang w:val="en-US"/>
        </w:rPr>
        <w:t>.</w:t>
      </w:r>
    </w:p>
    <w:p w:rsidR="00CD45A4" w:rsidRPr="00CD45A4" w:rsidRDefault="00CD45A4" w:rsidP="00D50091">
      <w:pPr>
        <w:tabs>
          <w:tab w:val="left" w:pos="7140"/>
        </w:tabs>
        <w:ind w:firstLine="426"/>
        <w:jc w:val="both"/>
        <w:rPr>
          <w:sz w:val="22"/>
          <w:szCs w:val="22"/>
          <w:lang w:val="en-US"/>
        </w:rPr>
      </w:pPr>
      <w:r w:rsidRPr="00CD45A4">
        <w:rPr>
          <w:sz w:val="22"/>
          <w:szCs w:val="22"/>
          <w:lang w:val="en-US"/>
        </w:rPr>
        <w:t>KEYWORDS:</w:t>
      </w:r>
      <w:r w:rsidRPr="00CD45A4">
        <w:rPr>
          <w:rFonts w:ascii="Calibri" w:hAnsi="Calibri"/>
          <w:sz w:val="22"/>
          <w:szCs w:val="22"/>
          <w:lang w:val="en-US"/>
        </w:rPr>
        <w:t xml:space="preserve"> </w:t>
      </w:r>
      <w:r w:rsidRPr="00CD45A4">
        <w:rPr>
          <w:sz w:val="22"/>
          <w:szCs w:val="22"/>
          <w:lang w:val="en-US"/>
        </w:rPr>
        <w:t>Seasonality, erosion processes, collapses, Cape Zhelezny Rog.</w:t>
      </w:r>
    </w:p>
    <w:p w:rsidR="00CD45A4" w:rsidRPr="00CD45A4" w:rsidRDefault="00CD45A4" w:rsidP="00D50091">
      <w:pPr>
        <w:tabs>
          <w:tab w:val="left" w:pos="7140"/>
        </w:tabs>
        <w:ind w:firstLine="426"/>
        <w:jc w:val="both"/>
        <w:rPr>
          <w:sz w:val="22"/>
          <w:szCs w:val="22"/>
          <w:lang w:val="en-US"/>
        </w:rPr>
      </w:pP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 xml:space="preserve">Обвал – отрыв и падение масс горных пород вниз со склонов гор под действием силы тяжести. Там, где есть крутые склоны, </w:t>
      </w:r>
      <w:r w:rsidRPr="00CD45A4">
        <w:rPr>
          <w:color w:val="000000"/>
          <w:sz w:val="22"/>
          <w:szCs w:val="22"/>
          <w:shd w:val="clear" w:color="auto" w:fill="FFFFFF"/>
        </w:rPr>
        <w:lastRenderedPageBreak/>
        <w:t>ослабленные действием водной или воздушной эрозии, они, рано или поздно, подвержены обвалам. Процесс может быть ускорен естественными факторами – резкими перепадами температуры или увлажнённости, подмывом водой речных берегов или морской а</w:t>
      </w:r>
      <w:r w:rsidRPr="00CD45A4">
        <w:rPr>
          <w:color w:val="000000"/>
          <w:sz w:val="22"/>
          <w:szCs w:val="22"/>
          <w:shd w:val="clear" w:color="auto" w:fill="FFFFFF"/>
        </w:rPr>
        <w:t>б</w:t>
      </w:r>
      <w:r w:rsidRPr="00CD45A4">
        <w:rPr>
          <w:color w:val="000000"/>
          <w:sz w:val="22"/>
          <w:szCs w:val="22"/>
          <w:shd w:val="clear" w:color="auto" w:fill="FFFFFF"/>
        </w:rPr>
        <w:t>разией. Они провоцируются штормами и циклонами, землетрясен</w:t>
      </w:r>
      <w:r w:rsidRPr="00CD45A4">
        <w:rPr>
          <w:color w:val="000000"/>
          <w:sz w:val="22"/>
          <w:szCs w:val="22"/>
          <w:shd w:val="clear" w:color="auto" w:fill="FFFFFF"/>
        </w:rPr>
        <w:t>и</w:t>
      </w:r>
      <w:r w:rsidRPr="00CD45A4">
        <w:rPr>
          <w:color w:val="000000"/>
          <w:sz w:val="22"/>
          <w:szCs w:val="22"/>
          <w:shd w:val="clear" w:color="auto" w:fill="FFFFFF"/>
        </w:rPr>
        <w:t>ями, техногенной деятельностью и даже гравитационным возде</w:t>
      </w:r>
      <w:r w:rsidRPr="00CD45A4">
        <w:rPr>
          <w:color w:val="000000"/>
          <w:sz w:val="22"/>
          <w:szCs w:val="22"/>
          <w:shd w:val="clear" w:color="auto" w:fill="FFFFFF"/>
        </w:rPr>
        <w:t>й</w:t>
      </w:r>
      <w:r w:rsidRPr="00CD45A4">
        <w:rPr>
          <w:color w:val="000000"/>
          <w:sz w:val="22"/>
          <w:szCs w:val="22"/>
          <w:shd w:val="clear" w:color="auto" w:fill="FFFFFF"/>
        </w:rPr>
        <w:t>ствием Луны. Сообщения о землетрясениях почти всегда сопр</w:t>
      </w:r>
      <w:r w:rsidRPr="00CD45A4">
        <w:rPr>
          <w:color w:val="000000"/>
          <w:sz w:val="22"/>
          <w:szCs w:val="22"/>
          <w:shd w:val="clear" w:color="auto" w:fill="FFFFFF"/>
        </w:rPr>
        <w:t>о</w:t>
      </w:r>
      <w:r w:rsidRPr="00CD45A4">
        <w:rPr>
          <w:color w:val="000000"/>
          <w:sz w:val="22"/>
          <w:szCs w:val="22"/>
          <w:shd w:val="clear" w:color="auto" w:fill="FFFFFF"/>
        </w:rPr>
        <w:t>вождаются описаниями обвалов. В горной местности они становя</w:t>
      </w:r>
      <w:r w:rsidRPr="00CD45A4">
        <w:rPr>
          <w:color w:val="000000"/>
          <w:sz w:val="22"/>
          <w:szCs w:val="22"/>
          <w:shd w:val="clear" w:color="auto" w:fill="FFFFFF"/>
        </w:rPr>
        <w:t>т</w:t>
      </w:r>
      <w:r w:rsidRPr="00CD45A4">
        <w:rPr>
          <w:color w:val="000000"/>
          <w:sz w:val="22"/>
          <w:szCs w:val="22"/>
          <w:shd w:val="clear" w:color="auto" w:fill="FFFFFF"/>
        </w:rPr>
        <w:t>ся одной из основной причиной гибели людей и повреждения и</w:t>
      </w:r>
      <w:r w:rsidRPr="00CD45A4">
        <w:rPr>
          <w:color w:val="000000"/>
          <w:sz w:val="22"/>
          <w:szCs w:val="22"/>
          <w:shd w:val="clear" w:color="auto" w:fill="FFFFFF"/>
        </w:rPr>
        <w:t>н</w:t>
      </w:r>
      <w:r w:rsidRPr="00CD45A4">
        <w:rPr>
          <w:color w:val="000000"/>
          <w:sz w:val="22"/>
          <w:szCs w:val="22"/>
          <w:shd w:val="clear" w:color="auto" w:fill="FFFFFF"/>
        </w:rPr>
        <w:t>женерных сооружений. Даже относительно слабые сейсмические толчки способны привести к значительным обрушениям неустойч</w:t>
      </w:r>
      <w:r w:rsidRPr="00CD45A4">
        <w:rPr>
          <w:color w:val="000000"/>
          <w:sz w:val="22"/>
          <w:szCs w:val="22"/>
          <w:shd w:val="clear" w:color="auto" w:fill="FFFFFF"/>
        </w:rPr>
        <w:t>и</w:t>
      </w:r>
      <w:r w:rsidRPr="00CD45A4">
        <w:rPr>
          <w:color w:val="000000"/>
          <w:sz w:val="22"/>
          <w:szCs w:val="22"/>
          <w:shd w:val="clear" w:color="auto" w:fill="FFFFFF"/>
        </w:rPr>
        <w:t>вых массивов горных пород, льда и снега. Особенно, в тех случаях, если они уже оказались ослаблены действием эрозии, подточены морским прибоем или русловыми потоками [2, 4].</w:t>
      </w:r>
    </w:p>
    <w:p w:rsidR="00CD45A4" w:rsidRPr="00CD45A4" w:rsidRDefault="00CD45A4" w:rsidP="00D50091">
      <w:pPr>
        <w:tabs>
          <w:tab w:val="left" w:pos="7140"/>
        </w:tabs>
        <w:ind w:firstLine="426"/>
        <w:jc w:val="both"/>
        <w:rPr>
          <w:color w:val="000000"/>
          <w:sz w:val="22"/>
          <w:szCs w:val="22"/>
          <w:shd w:val="clear" w:color="auto" w:fill="FFFFFF"/>
        </w:rPr>
      </w:pPr>
      <w:r w:rsidRPr="00CD45A4">
        <w:rPr>
          <w:bCs/>
          <w:color w:val="000000"/>
          <w:sz w:val="22"/>
          <w:szCs w:val="22"/>
          <w:shd w:val="clear" w:color="auto" w:fill="FFFFFF"/>
        </w:rPr>
        <w:t>Железный Рог</w:t>
      </w:r>
      <w:r w:rsidRPr="00CD45A4">
        <w:rPr>
          <w:color w:val="000000"/>
          <w:sz w:val="22"/>
          <w:szCs w:val="22"/>
          <w:shd w:val="clear" w:color="auto" w:fill="FFFFFF"/>
        </w:rPr>
        <w:t xml:space="preserve"> – мыс на южном берегу Таманского полуостр</w:t>
      </w:r>
      <w:r w:rsidRPr="00CD45A4">
        <w:rPr>
          <w:color w:val="000000"/>
          <w:sz w:val="22"/>
          <w:szCs w:val="22"/>
          <w:shd w:val="clear" w:color="auto" w:fill="FFFFFF"/>
        </w:rPr>
        <w:t>о</w:t>
      </w:r>
      <w:r w:rsidRPr="00CD45A4">
        <w:rPr>
          <w:color w:val="000000"/>
          <w:sz w:val="22"/>
          <w:szCs w:val="22"/>
          <w:shd w:val="clear" w:color="auto" w:fill="FFFFFF"/>
        </w:rPr>
        <w:t>ва, в 10 км южнее станицы Тамань (Краснодарский край).</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Мыс протягивается на 1,3 км и находится на высоте 65 м над уровнем моря. Равнинная верхняя площадка мыса засажена вин</w:t>
      </w:r>
      <w:r w:rsidRPr="00CD45A4">
        <w:rPr>
          <w:color w:val="000000"/>
          <w:sz w:val="22"/>
          <w:szCs w:val="22"/>
          <w:shd w:val="clear" w:color="auto" w:fill="FFFFFF"/>
        </w:rPr>
        <w:t>о</w:t>
      </w:r>
      <w:r w:rsidRPr="00CD45A4">
        <w:rPr>
          <w:color w:val="000000"/>
          <w:sz w:val="22"/>
          <w:szCs w:val="22"/>
          <w:shd w:val="clear" w:color="auto" w:fill="FFFFFF"/>
        </w:rPr>
        <w:t>градниками. У юго-западного берега расположен небольшой пляж.</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Железный Рог – единственное место на Кубани, где имеется выход железной руды на поверхность земли. Железо здесь добыв</w:t>
      </w:r>
      <w:r w:rsidRPr="00CD45A4">
        <w:rPr>
          <w:color w:val="000000"/>
          <w:sz w:val="22"/>
          <w:szCs w:val="22"/>
          <w:shd w:val="clear" w:color="auto" w:fill="FFFFFF"/>
        </w:rPr>
        <w:t>а</w:t>
      </w:r>
      <w:r w:rsidRPr="00CD45A4">
        <w:rPr>
          <w:color w:val="000000"/>
          <w:sz w:val="22"/>
          <w:szCs w:val="22"/>
          <w:shd w:val="clear" w:color="auto" w:fill="FFFFFF"/>
        </w:rPr>
        <w:t>ли до 1932 года кустарным способом; сейчас мощность пласта б</w:t>
      </w:r>
      <w:r w:rsidRPr="00CD45A4">
        <w:rPr>
          <w:color w:val="000000"/>
          <w:sz w:val="22"/>
          <w:szCs w:val="22"/>
          <w:shd w:val="clear" w:color="auto" w:fill="FFFFFF"/>
        </w:rPr>
        <w:t>у</w:t>
      </w:r>
      <w:r w:rsidRPr="00CD45A4">
        <w:rPr>
          <w:color w:val="000000"/>
          <w:sz w:val="22"/>
          <w:szCs w:val="22"/>
          <w:shd w:val="clear" w:color="auto" w:fill="FFFFFF"/>
        </w:rPr>
        <w:t>рого железняка, не поддающегося размыву, составляет от 3,5 до 4 м [1].</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Эрозионные процессы оказывают непосредственное влияние на жизнь биоты, в том числе и человека. Особенно это касается таких процессов, как сели, лавина, обвал, которые могут нанести вред и даже отнять жизнь у человека, повредить его жилище, сельскох</w:t>
      </w:r>
      <w:r w:rsidRPr="00CD45A4">
        <w:rPr>
          <w:color w:val="000000"/>
          <w:sz w:val="22"/>
          <w:szCs w:val="22"/>
          <w:shd w:val="clear" w:color="auto" w:fill="FFFFFF"/>
        </w:rPr>
        <w:t>о</w:t>
      </w:r>
      <w:r w:rsidRPr="00CD45A4">
        <w:rPr>
          <w:color w:val="000000"/>
          <w:sz w:val="22"/>
          <w:szCs w:val="22"/>
          <w:shd w:val="clear" w:color="auto" w:fill="FFFFFF"/>
        </w:rPr>
        <w:t>зяйственные угодья, пастбища и другое.</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Такой эрозионный процесс как обвал особенно ярко выражен на побережье, где постоянно, в зависимости от сезона, дуют сто</w:t>
      </w:r>
      <w:r w:rsidRPr="00CD45A4">
        <w:rPr>
          <w:color w:val="000000"/>
          <w:sz w:val="22"/>
          <w:szCs w:val="22"/>
          <w:shd w:val="clear" w:color="auto" w:fill="FFFFFF"/>
        </w:rPr>
        <w:t>й</w:t>
      </w:r>
      <w:r w:rsidRPr="00CD45A4">
        <w:rPr>
          <w:color w:val="000000"/>
          <w:sz w:val="22"/>
          <w:szCs w:val="22"/>
          <w:shd w:val="clear" w:color="auto" w:fill="FFFFFF"/>
        </w:rPr>
        <w:t>кие ветра, способны наносить существенный вред устойчивости к открытым породам [3].</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Актуальность исследования состоит в том, что все больше пр</w:t>
      </w:r>
      <w:r w:rsidRPr="00CD45A4">
        <w:rPr>
          <w:color w:val="000000"/>
          <w:sz w:val="22"/>
          <w:szCs w:val="22"/>
          <w:shd w:val="clear" w:color="auto" w:fill="FFFFFF"/>
        </w:rPr>
        <w:t>и</w:t>
      </w:r>
      <w:r w:rsidRPr="00CD45A4">
        <w:rPr>
          <w:color w:val="000000"/>
          <w:sz w:val="22"/>
          <w:szCs w:val="22"/>
          <w:shd w:val="clear" w:color="auto" w:fill="FFFFFF"/>
        </w:rPr>
        <w:t>брежных территорий отводятся под пляжи и все чаще они граничат с открытыми породами, которые подвержены эрозионным проце</w:t>
      </w:r>
      <w:r w:rsidRPr="00CD45A4">
        <w:rPr>
          <w:color w:val="000000"/>
          <w:sz w:val="22"/>
          <w:szCs w:val="22"/>
          <w:shd w:val="clear" w:color="auto" w:fill="FFFFFF"/>
        </w:rPr>
        <w:t>с</w:t>
      </w:r>
      <w:r w:rsidRPr="00CD45A4">
        <w:rPr>
          <w:color w:val="000000"/>
          <w:sz w:val="22"/>
          <w:szCs w:val="22"/>
          <w:shd w:val="clear" w:color="auto" w:fill="FFFFFF"/>
        </w:rPr>
        <w:t>сам, в том числе обвалам. Мое исследование направлено на уст</w:t>
      </w:r>
      <w:r w:rsidRPr="00CD45A4">
        <w:rPr>
          <w:color w:val="000000"/>
          <w:sz w:val="22"/>
          <w:szCs w:val="22"/>
          <w:shd w:val="clear" w:color="auto" w:fill="FFFFFF"/>
        </w:rPr>
        <w:t>а</w:t>
      </w:r>
      <w:r w:rsidRPr="00CD45A4">
        <w:rPr>
          <w:color w:val="000000"/>
          <w:sz w:val="22"/>
          <w:szCs w:val="22"/>
          <w:shd w:val="clear" w:color="auto" w:fill="FFFFFF"/>
        </w:rPr>
        <w:lastRenderedPageBreak/>
        <w:t>новление наиболее обвалоопасных промежутков времени в году, с целью избежания человеческих жертв.</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 xml:space="preserve">Исследования проводились в 8 этапов, каждый из которых приходился на каждый из сезонов в течение двух лет, с учетом опроса местного населения. </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 xml:space="preserve">Исследования </w:t>
      </w:r>
      <w:proofErr w:type="gramStart"/>
      <w:r w:rsidRPr="00CD45A4">
        <w:rPr>
          <w:color w:val="000000"/>
          <w:sz w:val="22"/>
          <w:szCs w:val="22"/>
          <w:shd w:val="clear" w:color="auto" w:fill="FFFFFF"/>
        </w:rPr>
        <w:t>проводились</w:t>
      </w:r>
      <w:proofErr w:type="gramEnd"/>
      <w:r w:rsidRPr="00CD45A4">
        <w:rPr>
          <w:color w:val="000000"/>
          <w:sz w:val="22"/>
          <w:szCs w:val="22"/>
          <w:shd w:val="clear" w:color="auto" w:fill="FFFFFF"/>
        </w:rPr>
        <w:t xml:space="preserve"> метом наблюдения, мониторинга и опроса. Опрос населения проводился дважды в год зимой и летом – количество опрошенных 30 человек.</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 xml:space="preserve">На основе наблюдений и опроса было установлено, что за два года на участке протяженностью 7 км от поселка Таманского до Волны было обнаружено 7 крупных и 12 мелких обвалов пород, два из которых достигли побережья. Гипотетически они могли нанести вред отдыхающим людям. </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Основное количество обвалов, в том числе крупных, приход</w:t>
      </w:r>
      <w:r w:rsidRPr="00CD45A4">
        <w:rPr>
          <w:color w:val="000000"/>
          <w:sz w:val="22"/>
          <w:szCs w:val="22"/>
          <w:shd w:val="clear" w:color="auto" w:fill="FFFFFF"/>
        </w:rPr>
        <w:t>и</w:t>
      </w:r>
      <w:r w:rsidRPr="00CD45A4">
        <w:rPr>
          <w:color w:val="000000"/>
          <w:sz w:val="22"/>
          <w:szCs w:val="22"/>
          <w:shd w:val="clear" w:color="auto" w:fill="FFFFFF"/>
        </w:rPr>
        <w:t xml:space="preserve">лось на лето и осень. Минимальное количество приходилось на весну. В летний период было обнаружено наибольшее количество мелких обвалов – 7, крупных – 4. Далее по обвалоопасности можно поставить осень, практически все остальные кроме одного крупного произошли осенью. </w:t>
      </w:r>
    </w:p>
    <w:p w:rsidR="00CD45A4" w:rsidRPr="00CD45A4" w:rsidRDefault="00CD45A4" w:rsidP="00D50091">
      <w:pPr>
        <w:tabs>
          <w:tab w:val="left" w:pos="7140"/>
        </w:tabs>
        <w:ind w:firstLine="426"/>
        <w:jc w:val="both"/>
        <w:rPr>
          <w:color w:val="000000"/>
          <w:sz w:val="22"/>
          <w:szCs w:val="22"/>
          <w:shd w:val="clear" w:color="auto" w:fill="FFFFFF"/>
        </w:rPr>
      </w:pPr>
      <w:proofErr w:type="gramStart"/>
      <w:r w:rsidRPr="00CD45A4">
        <w:rPr>
          <w:color w:val="000000"/>
          <w:sz w:val="22"/>
          <w:szCs w:val="22"/>
          <w:shd w:val="clear" w:color="auto" w:fill="FFFFFF"/>
        </w:rPr>
        <w:t>Все эрозийные процессы на прямую связаны с погодными я</w:t>
      </w:r>
      <w:r w:rsidRPr="00CD45A4">
        <w:rPr>
          <w:color w:val="000000"/>
          <w:sz w:val="22"/>
          <w:szCs w:val="22"/>
          <w:shd w:val="clear" w:color="auto" w:fill="FFFFFF"/>
        </w:rPr>
        <w:t>в</w:t>
      </w:r>
      <w:r w:rsidRPr="00CD45A4">
        <w:rPr>
          <w:color w:val="000000"/>
          <w:sz w:val="22"/>
          <w:szCs w:val="22"/>
          <w:shd w:val="clear" w:color="auto" w:fill="FFFFFF"/>
        </w:rPr>
        <w:t>лениями, которые, в свою очередь, характерны для определенных сезонов.</w:t>
      </w:r>
      <w:proofErr w:type="gramEnd"/>
      <w:r w:rsidRPr="00CD45A4">
        <w:rPr>
          <w:color w:val="000000"/>
          <w:sz w:val="22"/>
          <w:szCs w:val="22"/>
          <w:shd w:val="clear" w:color="auto" w:fill="FFFFFF"/>
        </w:rPr>
        <w:t xml:space="preserve"> Так нами была выявлена прямая зависимость сезонов, а именно погодных явлений, с эрозийными процессами. </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На основе розы ветров по Темрюкскому району получены сл</w:t>
      </w:r>
      <w:r w:rsidRPr="00CD45A4">
        <w:rPr>
          <w:color w:val="000000"/>
          <w:sz w:val="22"/>
          <w:szCs w:val="22"/>
          <w:shd w:val="clear" w:color="auto" w:fill="FFFFFF"/>
        </w:rPr>
        <w:t>е</w:t>
      </w:r>
      <w:r w:rsidRPr="00CD45A4">
        <w:rPr>
          <w:color w:val="000000"/>
          <w:sz w:val="22"/>
          <w:szCs w:val="22"/>
          <w:shd w:val="clear" w:color="auto" w:fill="FFFFFF"/>
        </w:rPr>
        <w:t>дующие данные: летом преобладающий ветер южный, зимой – с</w:t>
      </w:r>
      <w:r w:rsidRPr="00CD45A4">
        <w:rPr>
          <w:color w:val="000000"/>
          <w:sz w:val="22"/>
          <w:szCs w:val="22"/>
          <w:shd w:val="clear" w:color="auto" w:fill="FFFFFF"/>
        </w:rPr>
        <w:t>е</w:t>
      </w:r>
      <w:r w:rsidRPr="00CD45A4">
        <w:rPr>
          <w:color w:val="000000"/>
          <w:sz w:val="22"/>
          <w:szCs w:val="22"/>
          <w:shd w:val="clear" w:color="auto" w:fill="FFFFFF"/>
        </w:rPr>
        <w:t>верный, с небольшими отклонениями. Также большое влияние ок</w:t>
      </w:r>
      <w:r w:rsidRPr="00CD45A4">
        <w:rPr>
          <w:color w:val="000000"/>
          <w:sz w:val="22"/>
          <w:szCs w:val="22"/>
          <w:shd w:val="clear" w:color="auto" w:fill="FFFFFF"/>
        </w:rPr>
        <w:t>а</w:t>
      </w:r>
      <w:r w:rsidRPr="00CD45A4">
        <w:rPr>
          <w:color w:val="000000"/>
          <w:sz w:val="22"/>
          <w:szCs w:val="22"/>
          <w:shd w:val="clear" w:color="auto" w:fill="FFFFFF"/>
        </w:rPr>
        <w:t xml:space="preserve">зывают осадки (дожди), наибольшее количество которых (45 мм в месяц) приходится на август, сентябрь. </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Отсюда можно сделать вывод о зависимости эрозийных пр</w:t>
      </w:r>
      <w:r w:rsidRPr="00CD45A4">
        <w:rPr>
          <w:color w:val="000000"/>
          <w:sz w:val="22"/>
          <w:szCs w:val="22"/>
          <w:shd w:val="clear" w:color="auto" w:fill="FFFFFF"/>
        </w:rPr>
        <w:t>о</w:t>
      </w:r>
      <w:r w:rsidRPr="00CD45A4">
        <w:rPr>
          <w:color w:val="000000"/>
          <w:sz w:val="22"/>
          <w:szCs w:val="22"/>
          <w:shd w:val="clear" w:color="auto" w:fill="FFFFFF"/>
        </w:rPr>
        <w:t>цессов от сезонов (погодных явлений): наибольшее количество эр</w:t>
      </w:r>
      <w:r w:rsidRPr="00CD45A4">
        <w:rPr>
          <w:color w:val="000000"/>
          <w:sz w:val="22"/>
          <w:szCs w:val="22"/>
          <w:shd w:val="clear" w:color="auto" w:fill="FFFFFF"/>
        </w:rPr>
        <w:t>о</w:t>
      </w:r>
      <w:r w:rsidRPr="00CD45A4">
        <w:rPr>
          <w:color w:val="000000"/>
          <w:sz w:val="22"/>
          <w:szCs w:val="22"/>
          <w:shd w:val="clear" w:color="auto" w:fill="FFFFFF"/>
        </w:rPr>
        <w:t>зионных процессов происходит летом в связи с малым количеством осадков (иссушение почвы, растений), а также устойчивым сил</w:t>
      </w:r>
      <w:r w:rsidRPr="00CD45A4">
        <w:rPr>
          <w:color w:val="000000"/>
          <w:sz w:val="22"/>
          <w:szCs w:val="22"/>
          <w:shd w:val="clear" w:color="auto" w:fill="FFFFFF"/>
        </w:rPr>
        <w:t>ь</w:t>
      </w:r>
      <w:r w:rsidRPr="00CD45A4">
        <w:rPr>
          <w:color w:val="000000"/>
          <w:sz w:val="22"/>
          <w:szCs w:val="22"/>
          <w:shd w:val="clear" w:color="auto" w:fill="FFFFFF"/>
        </w:rPr>
        <w:t>ным порывистым ветром. Большое количество обвалов осенью св</w:t>
      </w:r>
      <w:r w:rsidRPr="00CD45A4">
        <w:rPr>
          <w:color w:val="000000"/>
          <w:sz w:val="22"/>
          <w:szCs w:val="22"/>
          <w:shd w:val="clear" w:color="auto" w:fill="FFFFFF"/>
        </w:rPr>
        <w:t>я</w:t>
      </w:r>
      <w:r w:rsidRPr="00CD45A4">
        <w:rPr>
          <w:color w:val="000000"/>
          <w:sz w:val="22"/>
          <w:szCs w:val="22"/>
          <w:shd w:val="clear" w:color="auto" w:fill="FFFFFF"/>
        </w:rPr>
        <w:t>зано с частыми длительными осадками.</w:t>
      </w:r>
    </w:p>
    <w:p w:rsidR="00CD45A4" w:rsidRPr="00CD45A4" w:rsidRDefault="00CD45A4" w:rsidP="00D50091">
      <w:pPr>
        <w:tabs>
          <w:tab w:val="left" w:pos="7140"/>
        </w:tabs>
        <w:ind w:firstLine="426"/>
        <w:jc w:val="both"/>
        <w:rPr>
          <w:color w:val="000000"/>
          <w:sz w:val="22"/>
          <w:szCs w:val="22"/>
          <w:shd w:val="clear" w:color="auto" w:fill="FFFFFF"/>
        </w:rPr>
      </w:pPr>
      <w:r w:rsidRPr="00CD45A4">
        <w:rPr>
          <w:color w:val="000000"/>
          <w:sz w:val="22"/>
          <w:szCs w:val="22"/>
          <w:shd w:val="clear" w:color="auto" w:fill="FFFFFF"/>
        </w:rPr>
        <w:t>Рекомендации по улучшению и снижение опасности для нас</w:t>
      </w:r>
      <w:r w:rsidRPr="00CD45A4">
        <w:rPr>
          <w:color w:val="000000"/>
          <w:sz w:val="22"/>
          <w:szCs w:val="22"/>
          <w:shd w:val="clear" w:color="auto" w:fill="FFFFFF"/>
        </w:rPr>
        <w:t>е</w:t>
      </w:r>
      <w:r w:rsidRPr="00CD45A4">
        <w:rPr>
          <w:color w:val="000000"/>
          <w:sz w:val="22"/>
          <w:szCs w:val="22"/>
          <w:shd w:val="clear" w:color="auto" w:fill="FFFFFF"/>
        </w:rPr>
        <w:t>ления: своевременное информирование, мониторинг обвалоопасных пляжей и работы по механическому сглаживанию склона.</w:t>
      </w:r>
    </w:p>
    <w:p w:rsidR="00CD45A4" w:rsidRPr="00CD45A4" w:rsidRDefault="00CD45A4" w:rsidP="00D50091">
      <w:pPr>
        <w:tabs>
          <w:tab w:val="left" w:pos="7140"/>
        </w:tabs>
        <w:ind w:firstLine="426"/>
        <w:jc w:val="both"/>
        <w:rPr>
          <w:color w:val="000000"/>
          <w:sz w:val="22"/>
          <w:szCs w:val="22"/>
          <w:shd w:val="clear" w:color="auto" w:fill="FFFFFF"/>
        </w:rPr>
      </w:pPr>
    </w:p>
    <w:p w:rsidR="00CD45A4" w:rsidRPr="00CD45A4" w:rsidRDefault="00CD45A4" w:rsidP="00D50091">
      <w:pPr>
        <w:tabs>
          <w:tab w:val="left" w:pos="7140"/>
        </w:tabs>
        <w:ind w:firstLine="426"/>
        <w:jc w:val="center"/>
        <w:rPr>
          <w:color w:val="000000"/>
          <w:sz w:val="22"/>
          <w:szCs w:val="22"/>
          <w:shd w:val="clear" w:color="auto" w:fill="FFFFFF"/>
        </w:rPr>
      </w:pPr>
      <w:r w:rsidRPr="00CD45A4">
        <w:rPr>
          <w:color w:val="000000"/>
          <w:sz w:val="22"/>
          <w:szCs w:val="22"/>
          <w:shd w:val="clear" w:color="auto" w:fill="FFFFFF"/>
        </w:rPr>
        <w:lastRenderedPageBreak/>
        <w:t>Список литературы</w:t>
      </w:r>
    </w:p>
    <w:p w:rsidR="00CD45A4" w:rsidRPr="00CD45A4" w:rsidRDefault="00CD45A4" w:rsidP="00D50091">
      <w:pPr>
        <w:tabs>
          <w:tab w:val="left" w:pos="7140"/>
        </w:tabs>
        <w:ind w:firstLine="426"/>
        <w:jc w:val="both"/>
        <w:rPr>
          <w:sz w:val="22"/>
          <w:szCs w:val="22"/>
        </w:rPr>
      </w:pPr>
      <w:r w:rsidRPr="00CD45A4">
        <w:rPr>
          <w:sz w:val="22"/>
          <w:szCs w:val="22"/>
        </w:rPr>
        <w:t>1. Лотышев И. П. География Кубани / И.П. Лотышев. – Энци</w:t>
      </w:r>
      <w:r w:rsidRPr="00CD45A4">
        <w:rPr>
          <w:sz w:val="22"/>
          <w:szCs w:val="22"/>
        </w:rPr>
        <w:t>к</w:t>
      </w:r>
      <w:r w:rsidRPr="00CD45A4">
        <w:rPr>
          <w:sz w:val="22"/>
          <w:szCs w:val="22"/>
        </w:rPr>
        <w:t>лопедический словарь / Майкоп, 2006. –</w:t>
      </w:r>
      <w:r w:rsidRPr="00CD45A4">
        <w:rPr>
          <w:sz w:val="22"/>
          <w:szCs w:val="22"/>
          <w:lang w:val="en-US"/>
        </w:rPr>
        <w:t>C</w:t>
      </w:r>
      <w:r w:rsidRPr="00CD45A4">
        <w:rPr>
          <w:sz w:val="22"/>
          <w:szCs w:val="22"/>
        </w:rPr>
        <w:t>. 527.</w:t>
      </w:r>
    </w:p>
    <w:p w:rsidR="00CD45A4" w:rsidRPr="00CD45A4" w:rsidRDefault="00CD45A4" w:rsidP="00D50091">
      <w:pPr>
        <w:tabs>
          <w:tab w:val="left" w:pos="7140"/>
        </w:tabs>
        <w:ind w:firstLine="426"/>
        <w:jc w:val="both"/>
        <w:rPr>
          <w:sz w:val="22"/>
          <w:szCs w:val="22"/>
        </w:rPr>
      </w:pPr>
      <w:r w:rsidRPr="00CD45A4">
        <w:rPr>
          <w:sz w:val="22"/>
          <w:szCs w:val="22"/>
        </w:rPr>
        <w:t>2. Советская энциклопедия [Большая советская энциклопедия]: в 30 т. / гл. ред. А. М. Прохоров – Бол. Сов</w:t>
      </w:r>
      <w:proofErr w:type="gramStart"/>
      <w:r w:rsidRPr="00CD45A4">
        <w:rPr>
          <w:sz w:val="22"/>
          <w:szCs w:val="22"/>
        </w:rPr>
        <w:t>.</w:t>
      </w:r>
      <w:proofErr w:type="gramEnd"/>
      <w:r w:rsidRPr="00CD45A4">
        <w:rPr>
          <w:sz w:val="22"/>
          <w:szCs w:val="22"/>
        </w:rPr>
        <w:t xml:space="preserve"> </w:t>
      </w:r>
      <w:proofErr w:type="gramStart"/>
      <w:r w:rsidRPr="00CD45A4">
        <w:rPr>
          <w:sz w:val="22"/>
          <w:szCs w:val="22"/>
        </w:rPr>
        <w:t>э</w:t>
      </w:r>
      <w:proofErr w:type="gramEnd"/>
      <w:r w:rsidRPr="00CD45A4">
        <w:rPr>
          <w:sz w:val="22"/>
          <w:szCs w:val="22"/>
        </w:rPr>
        <w:t xml:space="preserve">нцикл., 1969. – С. 230. </w:t>
      </w:r>
    </w:p>
    <w:p w:rsidR="00CD45A4" w:rsidRPr="00CD45A4" w:rsidRDefault="00CD45A4" w:rsidP="00D50091">
      <w:pPr>
        <w:widowControl w:val="0"/>
        <w:suppressAutoHyphens/>
        <w:ind w:firstLine="426"/>
        <w:jc w:val="both"/>
        <w:rPr>
          <w:sz w:val="22"/>
          <w:szCs w:val="22"/>
        </w:rPr>
      </w:pPr>
      <w:r w:rsidRPr="00CD45A4">
        <w:rPr>
          <w:rFonts w:eastAsia="Calibri"/>
          <w:sz w:val="22"/>
          <w:szCs w:val="22"/>
          <w:lang w:eastAsia="en-US"/>
        </w:rPr>
        <w:t xml:space="preserve">3. </w:t>
      </w:r>
      <w:r w:rsidRPr="00CD45A4">
        <w:rPr>
          <w:sz w:val="22"/>
          <w:szCs w:val="22"/>
        </w:rPr>
        <w:t>Стрельников, В. В. Прикладная экология / В. В. Стрельников [и др.]. – Краснодар: Изд. Дом-Юг, 2012. – 452 с.</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4. Стрельников, В. В. Экологическая токсикология // В.В. Стрельников, И.В. Хмара, Н.В. Чернышева – Краснодар. Изд. Дом-Юг, 2015. – 252 c.</w:t>
      </w:r>
    </w:p>
    <w:p w:rsidR="00863F6A" w:rsidRDefault="00863F6A" w:rsidP="00CD45A4">
      <w:pPr>
        <w:widowControl w:val="0"/>
        <w:jc w:val="both"/>
        <w:rPr>
          <w:rFonts w:eastAsia="Calibri"/>
          <w:sz w:val="22"/>
          <w:lang w:eastAsia="en-US"/>
        </w:rPr>
      </w:pPr>
    </w:p>
    <w:p w:rsidR="00863F6A" w:rsidRDefault="00863F6A" w:rsidP="00CD45A4">
      <w:pPr>
        <w:widowControl w:val="0"/>
        <w:jc w:val="both"/>
        <w:rPr>
          <w:rFonts w:eastAsia="Calibri"/>
          <w:sz w:val="22"/>
          <w:lang w:eastAsia="en-US"/>
        </w:rPr>
      </w:pPr>
    </w:p>
    <w:p w:rsidR="00863F6A" w:rsidRDefault="00863F6A" w:rsidP="00CD45A4">
      <w:pPr>
        <w:widowControl w:val="0"/>
        <w:jc w:val="both"/>
        <w:rPr>
          <w:rFonts w:eastAsia="Calibri"/>
          <w:sz w:val="22"/>
          <w:lang w:eastAsia="en-US"/>
        </w:rPr>
      </w:pPr>
    </w:p>
    <w:p w:rsidR="00CD45A4" w:rsidRPr="00CD45A4" w:rsidRDefault="00CD45A4" w:rsidP="00CD45A4">
      <w:pPr>
        <w:widowControl w:val="0"/>
        <w:jc w:val="both"/>
        <w:rPr>
          <w:rFonts w:eastAsia="Calibri"/>
          <w:sz w:val="22"/>
          <w:lang w:eastAsia="en-US"/>
        </w:rPr>
      </w:pPr>
      <w:r w:rsidRPr="00CD45A4">
        <w:rPr>
          <w:rFonts w:eastAsia="Calibri"/>
          <w:sz w:val="22"/>
          <w:lang w:eastAsia="en-US"/>
        </w:rPr>
        <w:t>УДК 123:456</w:t>
      </w:r>
    </w:p>
    <w:p w:rsidR="00CD45A4" w:rsidRPr="00CD45A4" w:rsidRDefault="00CD45A4" w:rsidP="00CD45A4">
      <w:pPr>
        <w:widowControl w:val="0"/>
        <w:jc w:val="both"/>
        <w:rPr>
          <w:rFonts w:eastAsia="Calibri"/>
          <w:sz w:val="22"/>
          <w:lang w:eastAsia="en-US"/>
        </w:rPr>
      </w:pPr>
    </w:p>
    <w:p w:rsidR="00CD45A4" w:rsidRPr="00CD45A4" w:rsidRDefault="00CD45A4" w:rsidP="00CD45A4">
      <w:pPr>
        <w:widowControl w:val="0"/>
        <w:suppressAutoHyphens/>
        <w:jc w:val="center"/>
        <w:rPr>
          <w:rFonts w:eastAsia="Calibri"/>
          <w:b/>
          <w:sz w:val="24"/>
          <w:szCs w:val="24"/>
          <w:lang w:eastAsia="en-US"/>
        </w:rPr>
      </w:pPr>
      <w:r w:rsidRPr="00CD45A4">
        <w:rPr>
          <w:rFonts w:eastAsia="Calibri"/>
          <w:b/>
          <w:sz w:val="24"/>
          <w:szCs w:val="24"/>
          <w:lang w:eastAsia="en-US"/>
        </w:rPr>
        <w:t xml:space="preserve">Исследование коллекции гибридов </w:t>
      </w:r>
      <w:r w:rsidRPr="00CD45A4">
        <w:rPr>
          <w:rFonts w:eastAsia="Calibri"/>
          <w:b/>
          <w:sz w:val="24"/>
          <w:szCs w:val="24"/>
          <w:lang w:val="en-US" w:eastAsia="en-US"/>
        </w:rPr>
        <w:t>F</w:t>
      </w:r>
      <w:r w:rsidRPr="00CD45A4">
        <w:rPr>
          <w:rFonts w:eastAsia="Calibri"/>
          <w:b/>
          <w:sz w:val="24"/>
          <w:szCs w:val="24"/>
          <w:vertAlign w:val="subscript"/>
          <w:lang w:eastAsia="en-US"/>
        </w:rPr>
        <w:t>1</w:t>
      </w:r>
      <w:r w:rsidRPr="00CD45A4">
        <w:rPr>
          <w:rFonts w:eastAsia="Calibri"/>
          <w:b/>
          <w:sz w:val="24"/>
          <w:szCs w:val="24"/>
          <w:lang w:eastAsia="en-US"/>
        </w:rPr>
        <w:t xml:space="preserve"> томата с использованием метода </w:t>
      </w:r>
      <w:r w:rsidRPr="00CD45A4">
        <w:rPr>
          <w:rFonts w:eastAsia="Calibri"/>
          <w:b/>
          <w:sz w:val="24"/>
          <w:szCs w:val="24"/>
          <w:lang w:val="en-US" w:eastAsia="en-US"/>
        </w:rPr>
        <w:t>Real</w:t>
      </w:r>
      <w:r w:rsidRPr="00CD45A4">
        <w:rPr>
          <w:rFonts w:eastAsia="Calibri"/>
          <w:b/>
          <w:sz w:val="24"/>
          <w:szCs w:val="24"/>
          <w:lang w:eastAsia="en-US"/>
        </w:rPr>
        <w:t>-</w:t>
      </w:r>
      <w:r w:rsidRPr="00CD45A4">
        <w:rPr>
          <w:rFonts w:eastAsia="Calibri"/>
          <w:b/>
          <w:sz w:val="24"/>
          <w:szCs w:val="24"/>
          <w:lang w:val="en-US" w:eastAsia="en-US"/>
        </w:rPr>
        <w:t>Time</w:t>
      </w:r>
      <w:r w:rsidRPr="00CD45A4">
        <w:rPr>
          <w:rFonts w:eastAsia="Calibri"/>
          <w:b/>
          <w:sz w:val="24"/>
          <w:szCs w:val="24"/>
          <w:lang w:eastAsia="en-US"/>
        </w:rPr>
        <w:t xml:space="preserve"> </w:t>
      </w:r>
      <w:r w:rsidRPr="00CD45A4">
        <w:rPr>
          <w:rFonts w:eastAsia="Calibri"/>
          <w:b/>
          <w:sz w:val="24"/>
          <w:szCs w:val="24"/>
          <w:lang w:val="en-US" w:eastAsia="en-US"/>
        </w:rPr>
        <w:t>PCR</w:t>
      </w:r>
    </w:p>
    <w:p w:rsidR="00CD45A4" w:rsidRPr="00CD45A4" w:rsidRDefault="00CD45A4" w:rsidP="00CD45A4">
      <w:pPr>
        <w:widowControl w:val="0"/>
        <w:suppressAutoHyphens/>
        <w:jc w:val="center"/>
        <w:rPr>
          <w:rFonts w:eastAsia="Calibri"/>
          <w:b/>
          <w:sz w:val="24"/>
          <w:szCs w:val="24"/>
          <w:lang w:val="en-US" w:eastAsia="en-US"/>
        </w:rPr>
      </w:pPr>
      <w:r w:rsidRPr="00CD45A4">
        <w:rPr>
          <w:rFonts w:eastAsia="Calibri"/>
          <w:b/>
          <w:sz w:val="24"/>
          <w:szCs w:val="24"/>
          <w:lang w:val="en-US" w:eastAsia="en-US"/>
        </w:rPr>
        <w:t>Researching of a collection of hybrids F1 of a tomato with using of a method of Real-Time of PCR</w:t>
      </w:r>
    </w:p>
    <w:p w:rsidR="00CD45A4" w:rsidRPr="00CD45A4" w:rsidRDefault="00CD45A4" w:rsidP="00CD45A4">
      <w:pPr>
        <w:widowControl w:val="0"/>
        <w:jc w:val="right"/>
        <w:rPr>
          <w:rFonts w:eastAsia="Calibri"/>
          <w:sz w:val="22"/>
          <w:szCs w:val="24"/>
          <w:lang w:val="en-US" w:eastAsia="en-US"/>
        </w:rPr>
      </w:pP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Буц А. В.,</w:t>
      </w:r>
    </w:p>
    <w:p w:rsidR="00CD45A4" w:rsidRPr="00CD45A4" w:rsidRDefault="00D50091" w:rsidP="00CD45A4">
      <w:pPr>
        <w:widowControl w:val="0"/>
        <w:jc w:val="right"/>
        <w:rPr>
          <w:rFonts w:eastAsia="Calibri"/>
          <w:sz w:val="22"/>
          <w:szCs w:val="24"/>
          <w:lang w:eastAsia="en-US"/>
        </w:rPr>
      </w:pPr>
      <w:r>
        <w:rPr>
          <w:rFonts w:eastAsia="Calibri"/>
          <w:sz w:val="22"/>
          <w:szCs w:val="24"/>
          <w:lang w:eastAsia="en-US"/>
        </w:rPr>
        <w:t>аспирант 2-го года обучения</w:t>
      </w: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факультета агрономии и экологии</w:t>
      </w: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Цаценко Л.</w:t>
      </w:r>
      <w:r w:rsidR="00D50091">
        <w:rPr>
          <w:rFonts w:eastAsia="Calibri"/>
          <w:sz w:val="22"/>
          <w:szCs w:val="24"/>
          <w:lang w:eastAsia="en-US"/>
        </w:rPr>
        <w:t xml:space="preserve"> </w:t>
      </w:r>
      <w:r w:rsidRPr="00CD45A4">
        <w:rPr>
          <w:rFonts w:eastAsia="Calibri"/>
          <w:sz w:val="22"/>
          <w:szCs w:val="24"/>
          <w:lang w:eastAsia="en-US"/>
        </w:rPr>
        <w:t>В.,</w:t>
      </w: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профессор кафедры генетики, селекции и семеноводства</w:t>
      </w: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Кубанский государственный аграрный</w:t>
      </w:r>
    </w:p>
    <w:p w:rsidR="00CD45A4" w:rsidRPr="00CD45A4" w:rsidRDefault="00CD45A4" w:rsidP="00CD45A4">
      <w:pPr>
        <w:widowControl w:val="0"/>
        <w:jc w:val="right"/>
        <w:rPr>
          <w:rFonts w:eastAsia="Calibri"/>
          <w:sz w:val="22"/>
          <w:szCs w:val="24"/>
          <w:lang w:eastAsia="en-US"/>
        </w:rPr>
      </w:pPr>
      <w:r w:rsidRPr="00CD45A4">
        <w:rPr>
          <w:rFonts w:eastAsia="Calibri"/>
          <w:sz w:val="22"/>
          <w:szCs w:val="24"/>
          <w:lang w:eastAsia="en-US"/>
        </w:rPr>
        <w:t>университет имени И.Т. Трубилина</w:t>
      </w:r>
    </w:p>
    <w:p w:rsidR="00CD45A4" w:rsidRPr="00CD45A4" w:rsidRDefault="00CD45A4" w:rsidP="00CD45A4">
      <w:pPr>
        <w:widowControl w:val="0"/>
        <w:jc w:val="right"/>
        <w:rPr>
          <w:rFonts w:eastAsia="Calibri"/>
          <w:sz w:val="22"/>
          <w:szCs w:val="24"/>
          <w:lang w:eastAsia="en-US"/>
        </w:rPr>
      </w:pPr>
    </w:p>
    <w:p w:rsidR="00CD45A4" w:rsidRPr="00CD45A4" w:rsidRDefault="00CD45A4" w:rsidP="00D50091">
      <w:pPr>
        <w:widowControl w:val="0"/>
        <w:ind w:firstLine="426"/>
        <w:jc w:val="both"/>
        <w:rPr>
          <w:rFonts w:eastAsia="Calibri"/>
          <w:sz w:val="22"/>
          <w:szCs w:val="24"/>
          <w:lang w:eastAsia="en-US"/>
        </w:rPr>
      </w:pPr>
      <w:r w:rsidRPr="00CD45A4">
        <w:rPr>
          <w:rFonts w:eastAsia="Calibri"/>
          <w:sz w:val="22"/>
          <w:szCs w:val="24"/>
          <w:lang w:eastAsia="en-US"/>
        </w:rPr>
        <w:t xml:space="preserve">АННОТАЦИЯ: Исследована коллекция гибридов </w:t>
      </w:r>
      <w:r w:rsidRPr="00CD45A4">
        <w:rPr>
          <w:rFonts w:eastAsia="Calibri"/>
          <w:sz w:val="22"/>
          <w:szCs w:val="24"/>
          <w:lang w:val="en-US" w:eastAsia="en-US"/>
        </w:rPr>
        <w:t>F</w:t>
      </w:r>
      <w:r w:rsidRPr="00CD45A4">
        <w:rPr>
          <w:rFonts w:eastAsia="Calibri"/>
          <w:sz w:val="22"/>
          <w:szCs w:val="24"/>
          <w:vertAlign w:val="subscript"/>
          <w:lang w:eastAsia="en-US"/>
        </w:rPr>
        <w:t xml:space="preserve">1 </w:t>
      </w:r>
      <w:r w:rsidRPr="00CD45A4">
        <w:rPr>
          <w:rFonts w:eastAsia="Calibri"/>
          <w:sz w:val="22"/>
          <w:szCs w:val="24"/>
          <w:lang w:eastAsia="en-US"/>
        </w:rPr>
        <w:t xml:space="preserve">томата от различных фирм, предназначенных для выращивания в условиях защищенного грунта. Использован метод </w:t>
      </w:r>
      <w:r w:rsidRPr="00CD45A4">
        <w:rPr>
          <w:rFonts w:eastAsia="Calibri"/>
          <w:sz w:val="22"/>
          <w:szCs w:val="24"/>
          <w:lang w:val="en-US" w:eastAsia="en-US"/>
        </w:rPr>
        <w:t>Real</w:t>
      </w:r>
      <w:r w:rsidRPr="00CD45A4">
        <w:rPr>
          <w:rFonts w:eastAsia="Calibri"/>
          <w:sz w:val="22"/>
          <w:szCs w:val="24"/>
          <w:lang w:eastAsia="en-US"/>
        </w:rPr>
        <w:t>-</w:t>
      </w:r>
      <w:r w:rsidRPr="00CD45A4">
        <w:rPr>
          <w:rFonts w:eastAsia="Calibri"/>
          <w:sz w:val="22"/>
          <w:szCs w:val="24"/>
          <w:lang w:val="en-US" w:eastAsia="en-US"/>
        </w:rPr>
        <w:t>time</w:t>
      </w:r>
      <w:r w:rsidRPr="00CD45A4">
        <w:rPr>
          <w:rFonts w:eastAsia="Calibri"/>
          <w:sz w:val="22"/>
          <w:szCs w:val="24"/>
          <w:lang w:eastAsia="en-US"/>
        </w:rPr>
        <w:t xml:space="preserve"> </w:t>
      </w:r>
      <w:r w:rsidRPr="00CD45A4">
        <w:rPr>
          <w:rFonts w:eastAsia="Calibri"/>
          <w:sz w:val="22"/>
          <w:szCs w:val="24"/>
          <w:lang w:val="en-US" w:eastAsia="en-US"/>
        </w:rPr>
        <w:t>PCR</w:t>
      </w:r>
      <w:r w:rsidRPr="00CD45A4">
        <w:rPr>
          <w:rFonts w:eastAsia="Calibri"/>
          <w:sz w:val="22"/>
          <w:szCs w:val="24"/>
          <w:lang w:eastAsia="en-US"/>
        </w:rPr>
        <w:t xml:space="preserve"> для иде</w:t>
      </w:r>
      <w:r w:rsidRPr="00CD45A4">
        <w:rPr>
          <w:rFonts w:eastAsia="Calibri"/>
          <w:sz w:val="22"/>
          <w:szCs w:val="24"/>
          <w:lang w:eastAsia="en-US"/>
        </w:rPr>
        <w:t>н</w:t>
      </w:r>
      <w:r w:rsidRPr="00CD45A4">
        <w:rPr>
          <w:rFonts w:eastAsia="Calibri"/>
          <w:sz w:val="22"/>
          <w:szCs w:val="24"/>
          <w:lang w:eastAsia="en-US"/>
        </w:rPr>
        <w:t>тификации генов устойчивостей у гибридов.</w:t>
      </w:r>
    </w:p>
    <w:p w:rsidR="00CD45A4" w:rsidRPr="00CD45A4" w:rsidRDefault="00CD45A4" w:rsidP="00D50091">
      <w:pPr>
        <w:widowControl w:val="0"/>
        <w:ind w:firstLine="426"/>
        <w:jc w:val="both"/>
        <w:rPr>
          <w:rFonts w:eastAsia="Calibri"/>
          <w:sz w:val="22"/>
          <w:szCs w:val="24"/>
          <w:lang w:val="en-US" w:eastAsia="en-US"/>
        </w:rPr>
      </w:pPr>
      <w:r w:rsidRPr="00CD45A4">
        <w:rPr>
          <w:rFonts w:eastAsia="Calibri"/>
          <w:sz w:val="22"/>
          <w:szCs w:val="24"/>
          <w:lang w:val="en-US" w:eastAsia="en-US"/>
        </w:rPr>
        <w:t xml:space="preserve">ABSTRACT: Researching the collection of hybrids F1 of a tomato from various firms intended for growing in the protected soil. </w:t>
      </w:r>
      <w:proofErr w:type="gramStart"/>
      <w:r w:rsidRPr="00CD45A4">
        <w:rPr>
          <w:rFonts w:eastAsia="Calibri"/>
          <w:sz w:val="22"/>
          <w:szCs w:val="24"/>
          <w:lang w:val="en-US" w:eastAsia="en-US"/>
        </w:rPr>
        <w:t>The met</w:t>
      </w:r>
      <w:r w:rsidRPr="00CD45A4">
        <w:rPr>
          <w:rFonts w:eastAsia="Calibri"/>
          <w:sz w:val="22"/>
          <w:szCs w:val="24"/>
          <w:lang w:val="en-US" w:eastAsia="en-US"/>
        </w:rPr>
        <w:t>h</w:t>
      </w:r>
      <w:r w:rsidRPr="00CD45A4">
        <w:rPr>
          <w:rFonts w:eastAsia="Calibri"/>
          <w:sz w:val="22"/>
          <w:szCs w:val="24"/>
          <w:lang w:val="en-US" w:eastAsia="en-US"/>
        </w:rPr>
        <w:t>od of Real-time of PCR using for identification of genes of resistant at hybrids.</w:t>
      </w:r>
      <w:proofErr w:type="gramEnd"/>
    </w:p>
    <w:p w:rsidR="00CD45A4" w:rsidRPr="00CD45A4" w:rsidRDefault="00CD45A4" w:rsidP="00D50091">
      <w:pPr>
        <w:widowControl w:val="0"/>
        <w:ind w:firstLine="426"/>
        <w:jc w:val="both"/>
        <w:rPr>
          <w:rFonts w:eastAsia="Calibri"/>
          <w:sz w:val="22"/>
          <w:szCs w:val="24"/>
          <w:lang w:eastAsia="en-US"/>
        </w:rPr>
      </w:pPr>
      <w:r w:rsidRPr="00CD45A4">
        <w:rPr>
          <w:rFonts w:eastAsia="Calibri"/>
          <w:sz w:val="22"/>
          <w:szCs w:val="24"/>
          <w:lang w:eastAsia="en-US"/>
        </w:rPr>
        <w:t xml:space="preserve">КЛЮЧЕВЫЕ СЛОВА: томат, гибрид, защищенный грунт, ген </w:t>
      </w:r>
      <w:r w:rsidRPr="00CD45A4">
        <w:rPr>
          <w:rFonts w:eastAsia="Calibri"/>
          <w:sz w:val="22"/>
          <w:szCs w:val="24"/>
          <w:lang w:eastAsia="en-US"/>
        </w:rPr>
        <w:lastRenderedPageBreak/>
        <w:t xml:space="preserve">устойчивости, метод </w:t>
      </w:r>
      <w:r w:rsidRPr="00CD45A4">
        <w:rPr>
          <w:rFonts w:eastAsia="Calibri"/>
          <w:sz w:val="22"/>
          <w:szCs w:val="24"/>
          <w:lang w:val="en-US" w:eastAsia="en-US"/>
        </w:rPr>
        <w:t>Real</w:t>
      </w:r>
      <w:r w:rsidRPr="00CD45A4">
        <w:rPr>
          <w:rFonts w:eastAsia="Calibri"/>
          <w:sz w:val="22"/>
          <w:szCs w:val="24"/>
          <w:lang w:eastAsia="en-US"/>
        </w:rPr>
        <w:t>-</w:t>
      </w:r>
      <w:r w:rsidRPr="00CD45A4">
        <w:rPr>
          <w:rFonts w:eastAsia="Calibri"/>
          <w:sz w:val="22"/>
          <w:szCs w:val="24"/>
          <w:lang w:val="en-US" w:eastAsia="en-US"/>
        </w:rPr>
        <w:t>time</w:t>
      </w:r>
      <w:r w:rsidRPr="00CD45A4">
        <w:rPr>
          <w:rFonts w:eastAsia="Calibri"/>
          <w:sz w:val="22"/>
          <w:szCs w:val="24"/>
          <w:lang w:eastAsia="en-US"/>
        </w:rPr>
        <w:t xml:space="preserve"> </w:t>
      </w:r>
      <w:r w:rsidRPr="00CD45A4">
        <w:rPr>
          <w:rFonts w:eastAsia="Calibri"/>
          <w:sz w:val="22"/>
          <w:szCs w:val="24"/>
          <w:lang w:val="en-US" w:eastAsia="en-US"/>
        </w:rPr>
        <w:t>PCR</w:t>
      </w:r>
      <w:r w:rsidRPr="00CD45A4">
        <w:rPr>
          <w:rFonts w:eastAsia="Calibri"/>
          <w:sz w:val="22"/>
          <w:szCs w:val="24"/>
          <w:lang w:eastAsia="en-US"/>
        </w:rPr>
        <w:t>.</w:t>
      </w:r>
    </w:p>
    <w:p w:rsidR="00CD45A4" w:rsidRPr="00D50091" w:rsidRDefault="00CD45A4" w:rsidP="00D50091">
      <w:pPr>
        <w:widowControl w:val="0"/>
        <w:ind w:firstLine="426"/>
        <w:jc w:val="both"/>
        <w:rPr>
          <w:rFonts w:eastAsia="Calibri"/>
          <w:sz w:val="22"/>
          <w:szCs w:val="24"/>
          <w:lang w:val="en-US" w:eastAsia="en-US"/>
        </w:rPr>
      </w:pPr>
      <w:r w:rsidRPr="00CD45A4">
        <w:rPr>
          <w:rFonts w:eastAsia="Calibri"/>
          <w:sz w:val="22"/>
          <w:szCs w:val="24"/>
          <w:lang w:val="en-US" w:eastAsia="en-US"/>
        </w:rPr>
        <w:t>KEYWORDS: tomato, hybrids, the protected soil, gene of resistant, method of Real-time of PCR</w:t>
      </w:r>
      <w:r w:rsidR="00D50091" w:rsidRPr="00D50091">
        <w:rPr>
          <w:rFonts w:eastAsia="Calibri"/>
          <w:sz w:val="22"/>
          <w:szCs w:val="24"/>
          <w:lang w:val="en-US" w:eastAsia="en-US"/>
        </w:rPr>
        <w:t>.</w:t>
      </w:r>
    </w:p>
    <w:p w:rsidR="00CD45A4" w:rsidRPr="00CD45A4" w:rsidRDefault="00CD45A4" w:rsidP="00D50091">
      <w:pPr>
        <w:widowControl w:val="0"/>
        <w:ind w:firstLine="426"/>
        <w:jc w:val="both"/>
        <w:rPr>
          <w:rFonts w:eastAsia="Calibri"/>
          <w:sz w:val="22"/>
          <w:szCs w:val="26"/>
          <w:lang w:val="en-US" w:eastAsia="en-US"/>
        </w:rPr>
      </w:pPr>
    </w:p>
    <w:p w:rsidR="00CD45A4" w:rsidRPr="00CD45A4" w:rsidRDefault="00CD45A4" w:rsidP="00D50091">
      <w:pPr>
        <w:widowControl w:val="0"/>
        <w:ind w:firstLine="426"/>
        <w:jc w:val="both"/>
        <w:rPr>
          <w:rFonts w:eastAsia="Calibri"/>
          <w:sz w:val="22"/>
          <w:szCs w:val="26"/>
          <w:lang w:eastAsia="en-US"/>
        </w:rPr>
      </w:pPr>
      <w:r w:rsidRPr="00CD45A4">
        <w:rPr>
          <w:rFonts w:eastAsia="Calibri"/>
          <w:sz w:val="22"/>
          <w:szCs w:val="26"/>
          <w:lang w:eastAsia="en-US"/>
        </w:rPr>
        <w:t>Одним из часто употребляемых в пищу овощей является томат. Высокая продуктивность, хорошие вкусовые качества и многообр</w:t>
      </w:r>
      <w:r w:rsidRPr="00CD45A4">
        <w:rPr>
          <w:rFonts w:eastAsia="Calibri"/>
          <w:sz w:val="22"/>
          <w:szCs w:val="26"/>
          <w:lang w:eastAsia="en-US"/>
        </w:rPr>
        <w:t>а</w:t>
      </w:r>
      <w:r w:rsidRPr="00CD45A4">
        <w:rPr>
          <w:rFonts w:eastAsia="Calibri"/>
          <w:sz w:val="22"/>
          <w:szCs w:val="26"/>
          <w:lang w:eastAsia="en-US"/>
        </w:rPr>
        <w:t>зие использования сделали томат одной из самых распростране</w:t>
      </w:r>
      <w:r w:rsidRPr="00CD45A4">
        <w:rPr>
          <w:rFonts w:eastAsia="Calibri"/>
          <w:sz w:val="22"/>
          <w:szCs w:val="26"/>
          <w:lang w:eastAsia="en-US"/>
        </w:rPr>
        <w:t>н</w:t>
      </w:r>
      <w:r w:rsidRPr="00CD45A4">
        <w:rPr>
          <w:rFonts w:eastAsia="Calibri"/>
          <w:sz w:val="22"/>
          <w:szCs w:val="26"/>
          <w:lang w:eastAsia="en-US"/>
        </w:rPr>
        <w:t xml:space="preserve">ных культур в России. В 1 кг томатов содержится, мг: витамина </w:t>
      </w:r>
      <w:r w:rsidRPr="00CD45A4">
        <w:rPr>
          <w:rFonts w:eastAsia="Calibri"/>
          <w:sz w:val="22"/>
          <w:szCs w:val="26"/>
          <w:lang w:val="en-US" w:eastAsia="en-US"/>
        </w:rPr>
        <w:t>C</w:t>
      </w:r>
      <w:r w:rsidRPr="00CD45A4">
        <w:rPr>
          <w:rFonts w:eastAsia="Calibri"/>
          <w:sz w:val="22"/>
          <w:szCs w:val="26"/>
          <w:lang w:eastAsia="en-US"/>
        </w:rPr>
        <w:t xml:space="preserve"> – 250-300; β-каротина – 15-17; витамина </w:t>
      </w:r>
      <w:r w:rsidRPr="00CD45A4">
        <w:rPr>
          <w:rFonts w:eastAsia="Calibri"/>
          <w:sz w:val="22"/>
          <w:szCs w:val="26"/>
          <w:lang w:val="en-US" w:eastAsia="en-US"/>
        </w:rPr>
        <w:t>B</w:t>
      </w:r>
      <w:r w:rsidRPr="00CD45A4">
        <w:rPr>
          <w:rFonts w:eastAsia="Calibri"/>
          <w:sz w:val="22"/>
          <w:szCs w:val="26"/>
          <w:vertAlign w:val="subscript"/>
          <w:lang w:eastAsia="en-US"/>
        </w:rPr>
        <w:t>1</w:t>
      </w:r>
      <w:r w:rsidRPr="00CD45A4">
        <w:rPr>
          <w:rFonts w:eastAsia="Calibri"/>
          <w:sz w:val="22"/>
          <w:szCs w:val="26"/>
          <w:lang w:eastAsia="en-US"/>
        </w:rPr>
        <w:t xml:space="preserve"> – 1-1,2; витамина </w:t>
      </w:r>
      <w:r w:rsidRPr="00CD45A4">
        <w:rPr>
          <w:rFonts w:eastAsia="Calibri"/>
          <w:sz w:val="22"/>
          <w:szCs w:val="26"/>
          <w:lang w:val="en-US" w:eastAsia="en-US"/>
        </w:rPr>
        <w:t>B</w:t>
      </w:r>
      <w:r w:rsidRPr="00CD45A4">
        <w:rPr>
          <w:rFonts w:eastAsia="Calibri"/>
          <w:sz w:val="22"/>
          <w:szCs w:val="26"/>
          <w:vertAlign w:val="subscript"/>
          <w:lang w:eastAsia="en-US"/>
        </w:rPr>
        <w:t>2</w:t>
      </w:r>
      <w:r w:rsidRPr="00CD45A4">
        <w:rPr>
          <w:rFonts w:eastAsia="Calibri"/>
          <w:sz w:val="22"/>
          <w:szCs w:val="26"/>
          <w:lang w:eastAsia="en-US"/>
        </w:rPr>
        <w:t xml:space="preserve"> – 0,5-0,6; витамина </w:t>
      </w:r>
      <w:r w:rsidRPr="00CD45A4">
        <w:rPr>
          <w:rFonts w:eastAsia="Calibri"/>
          <w:sz w:val="22"/>
          <w:szCs w:val="26"/>
          <w:lang w:val="en-US" w:eastAsia="en-US"/>
        </w:rPr>
        <w:t>PP</w:t>
      </w:r>
      <w:r w:rsidRPr="00CD45A4">
        <w:rPr>
          <w:rFonts w:eastAsia="Calibri"/>
          <w:sz w:val="22"/>
          <w:szCs w:val="26"/>
          <w:lang w:eastAsia="en-US"/>
        </w:rPr>
        <w:t xml:space="preserve"> – 4,1-4,5; ликопина – 30-35; витамина </w:t>
      </w:r>
      <w:r w:rsidRPr="00CD45A4">
        <w:rPr>
          <w:rFonts w:eastAsia="Calibri"/>
          <w:sz w:val="22"/>
          <w:szCs w:val="26"/>
          <w:lang w:val="en-US" w:eastAsia="en-US"/>
        </w:rPr>
        <w:t>B</w:t>
      </w:r>
      <w:r w:rsidRPr="00CD45A4">
        <w:rPr>
          <w:rFonts w:eastAsia="Calibri"/>
          <w:sz w:val="22"/>
          <w:szCs w:val="26"/>
          <w:vertAlign w:val="subscript"/>
          <w:lang w:eastAsia="en-US"/>
        </w:rPr>
        <w:t>9</w:t>
      </w:r>
      <w:r w:rsidRPr="00CD45A4">
        <w:rPr>
          <w:rFonts w:eastAsia="Calibri"/>
          <w:sz w:val="22"/>
          <w:szCs w:val="26"/>
          <w:lang w:eastAsia="en-US"/>
        </w:rPr>
        <w:t xml:space="preserve"> – 0,75; витамина </w:t>
      </w:r>
      <w:r w:rsidRPr="00CD45A4">
        <w:rPr>
          <w:rFonts w:eastAsia="Calibri"/>
          <w:sz w:val="22"/>
          <w:szCs w:val="26"/>
          <w:lang w:val="en-US" w:eastAsia="en-US"/>
        </w:rPr>
        <w:t>H</w:t>
      </w:r>
      <w:r w:rsidRPr="00CD45A4">
        <w:rPr>
          <w:rFonts w:eastAsia="Calibri"/>
          <w:sz w:val="22"/>
          <w:szCs w:val="26"/>
          <w:lang w:eastAsia="en-US"/>
        </w:rPr>
        <w:t xml:space="preserve"> – 0,04, а также плоды обладают фитонцидными сво</w:t>
      </w:r>
      <w:r w:rsidRPr="00CD45A4">
        <w:rPr>
          <w:rFonts w:eastAsia="Calibri"/>
          <w:sz w:val="22"/>
          <w:szCs w:val="26"/>
          <w:lang w:eastAsia="en-US"/>
        </w:rPr>
        <w:t>й</w:t>
      </w:r>
      <w:r w:rsidRPr="00CD45A4">
        <w:rPr>
          <w:rFonts w:eastAsia="Calibri"/>
          <w:sz w:val="22"/>
          <w:szCs w:val="26"/>
          <w:lang w:eastAsia="en-US"/>
        </w:rPr>
        <w:t>ствами [1].</w:t>
      </w:r>
    </w:p>
    <w:p w:rsidR="00CD45A4" w:rsidRPr="00CD45A4" w:rsidRDefault="00CD45A4" w:rsidP="00D50091">
      <w:pPr>
        <w:widowControl w:val="0"/>
        <w:ind w:firstLine="426"/>
        <w:jc w:val="both"/>
        <w:rPr>
          <w:rFonts w:eastAsia="Calibri"/>
          <w:lang w:eastAsia="en-US"/>
        </w:rPr>
      </w:pPr>
      <w:r w:rsidRPr="00CD45A4">
        <w:rPr>
          <w:rFonts w:eastAsia="Calibri"/>
          <w:sz w:val="22"/>
          <w:szCs w:val="26"/>
          <w:lang w:eastAsia="en-US"/>
        </w:rPr>
        <w:t>Человек нуждается в потреблении овощей круглый год, поэт</w:t>
      </w:r>
      <w:r w:rsidRPr="00CD45A4">
        <w:rPr>
          <w:rFonts w:eastAsia="Calibri"/>
          <w:sz w:val="22"/>
          <w:szCs w:val="26"/>
          <w:lang w:eastAsia="en-US"/>
        </w:rPr>
        <w:t>о</w:t>
      </w:r>
      <w:r w:rsidRPr="00CD45A4">
        <w:rPr>
          <w:rFonts w:eastAsia="Calibri"/>
          <w:sz w:val="22"/>
          <w:szCs w:val="26"/>
          <w:lang w:eastAsia="en-US"/>
        </w:rPr>
        <w:t>му целесообразным стало их выращивание в защищенном грунте.</w:t>
      </w:r>
      <w:r w:rsidRPr="00CD45A4">
        <w:rPr>
          <w:rFonts w:eastAsia="Calibri"/>
          <w:sz w:val="22"/>
          <w:lang w:eastAsia="en-US"/>
        </w:rPr>
        <w:t xml:space="preserve"> За последние годы во всех странах мира отмечается значительное увеличение площади защищенного грунта за счет строительства в основном зимних остекленных теплиц и теплиц с пленочным п</w:t>
      </w:r>
      <w:r w:rsidRPr="00CD45A4">
        <w:rPr>
          <w:rFonts w:eastAsia="Calibri"/>
          <w:sz w:val="22"/>
          <w:lang w:eastAsia="en-US"/>
        </w:rPr>
        <w:t>о</w:t>
      </w:r>
      <w:r w:rsidRPr="00CD45A4">
        <w:rPr>
          <w:rFonts w:eastAsia="Calibri"/>
          <w:sz w:val="22"/>
          <w:lang w:eastAsia="en-US"/>
        </w:rPr>
        <w:t xml:space="preserve">крытием. В </w:t>
      </w:r>
      <w:proofErr w:type="gramStart"/>
      <w:r w:rsidRPr="00CD45A4">
        <w:rPr>
          <w:rFonts w:eastAsia="Calibri"/>
          <w:sz w:val="22"/>
          <w:lang w:eastAsia="en-US"/>
        </w:rPr>
        <w:t>последние</w:t>
      </w:r>
      <w:proofErr w:type="gramEnd"/>
      <w:r w:rsidRPr="00CD45A4">
        <w:rPr>
          <w:rFonts w:eastAsia="Calibri"/>
          <w:sz w:val="22"/>
          <w:lang w:eastAsia="en-US"/>
        </w:rPr>
        <w:t xml:space="preserve"> года объем мирового рынка томатов, по оценке специалистов, составляет около 150-160 млн. т</w:t>
      </w:r>
      <w:r w:rsidRPr="00CD45A4">
        <w:rPr>
          <w:rFonts w:eastAsia="Calibri"/>
          <w:lang w:eastAsia="en-US"/>
        </w:rPr>
        <w:t>.</w:t>
      </w:r>
    </w:p>
    <w:p w:rsidR="00CD45A4" w:rsidRPr="00CD45A4" w:rsidRDefault="00CD45A4" w:rsidP="00D50091">
      <w:pPr>
        <w:widowControl w:val="0"/>
        <w:ind w:firstLine="426"/>
        <w:jc w:val="both"/>
        <w:rPr>
          <w:rFonts w:eastAsia="Calibri"/>
          <w:sz w:val="22"/>
          <w:lang w:eastAsia="en-US"/>
        </w:rPr>
      </w:pPr>
      <w:r w:rsidRPr="00CD45A4">
        <w:rPr>
          <w:sz w:val="22"/>
          <w:szCs w:val="27"/>
        </w:rPr>
        <w:t>Использование молекулярных маркеров позволяет значительно ускорять процесс селекции. [2]</w:t>
      </w:r>
      <w:r w:rsidRPr="00CD45A4">
        <w:rPr>
          <w:rFonts w:eastAsia="Calibri"/>
          <w:sz w:val="22"/>
          <w:lang w:eastAsia="en-US"/>
        </w:rPr>
        <w:t xml:space="preserve"> Полимеразная цепная реакция (ПЦР) является одним из наиболее широко используемых методов молекулярной биологии.</w:t>
      </w:r>
      <w:r w:rsidRPr="00CD45A4">
        <w:rPr>
          <w:rFonts w:eastAsia="Calibri"/>
          <w:lang w:eastAsia="en-US"/>
        </w:rPr>
        <w:t xml:space="preserve"> </w:t>
      </w:r>
      <w:r w:rsidRPr="00CD45A4">
        <w:rPr>
          <w:rFonts w:eastAsia="Calibri"/>
          <w:sz w:val="22"/>
          <w:lang w:eastAsia="en-US"/>
        </w:rPr>
        <w:t>Используемые в исследовании молекуля</w:t>
      </w:r>
      <w:r w:rsidRPr="00CD45A4">
        <w:rPr>
          <w:rFonts w:eastAsia="Calibri"/>
          <w:sz w:val="22"/>
          <w:lang w:eastAsia="en-US"/>
        </w:rPr>
        <w:t>р</w:t>
      </w:r>
      <w:r w:rsidRPr="00CD45A4">
        <w:rPr>
          <w:rFonts w:eastAsia="Calibri"/>
          <w:sz w:val="22"/>
          <w:lang w:eastAsia="en-US"/>
        </w:rPr>
        <w:t>ные маркеры основаны на методе, определяющем одну нуклеоти</w:t>
      </w:r>
      <w:r w:rsidRPr="00CD45A4">
        <w:rPr>
          <w:rFonts w:eastAsia="Calibri"/>
          <w:sz w:val="22"/>
          <w:lang w:eastAsia="en-US"/>
        </w:rPr>
        <w:t>д</w:t>
      </w:r>
      <w:r w:rsidRPr="00CD45A4">
        <w:rPr>
          <w:rFonts w:eastAsia="Calibri"/>
          <w:sz w:val="22"/>
          <w:lang w:eastAsia="en-US"/>
        </w:rPr>
        <w:t>ную замену в геномной ДНК (</w:t>
      </w:r>
      <w:r w:rsidRPr="00CD45A4">
        <w:rPr>
          <w:rFonts w:eastAsia="Calibri"/>
          <w:sz w:val="22"/>
          <w:lang w:val="en-US" w:eastAsia="en-US"/>
        </w:rPr>
        <w:t>SNP</w:t>
      </w:r>
      <w:r w:rsidRPr="00CD45A4">
        <w:rPr>
          <w:rFonts w:eastAsia="Calibri"/>
          <w:sz w:val="22"/>
          <w:lang w:eastAsia="en-US"/>
        </w:rPr>
        <w:t xml:space="preserve"> – </w:t>
      </w:r>
      <w:r w:rsidRPr="00CD45A4">
        <w:rPr>
          <w:rFonts w:eastAsia="Calibri"/>
          <w:sz w:val="22"/>
          <w:lang w:val="en-US" w:eastAsia="en-US"/>
        </w:rPr>
        <w:t>single</w:t>
      </w:r>
      <w:r w:rsidRPr="00CD45A4">
        <w:rPr>
          <w:rFonts w:eastAsia="Calibri"/>
          <w:sz w:val="22"/>
          <w:lang w:eastAsia="en-US"/>
        </w:rPr>
        <w:t xml:space="preserve"> </w:t>
      </w:r>
      <w:r w:rsidRPr="00CD45A4">
        <w:rPr>
          <w:rFonts w:eastAsia="Calibri"/>
          <w:sz w:val="22"/>
          <w:lang w:val="en-US" w:eastAsia="en-US"/>
        </w:rPr>
        <w:t>nucleotide</w:t>
      </w:r>
      <w:r w:rsidRPr="00CD45A4">
        <w:rPr>
          <w:rFonts w:eastAsia="Calibri"/>
          <w:sz w:val="22"/>
          <w:lang w:eastAsia="en-US"/>
        </w:rPr>
        <w:t xml:space="preserve"> </w:t>
      </w:r>
      <w:r w:rsidRPr="00CD45A4">
        <w:rPr>
          <w:rFonts w:eastAsia="Calibri"/>
          <w:sz w:val="22"/>
          <w:lang w:val="en-US" w:eastAsia="en-US"/>
        </w:rPr>
        <w:t>polymorphism</w:t>
      </w:r>
      <w:r w:rsidRPr="00CD45A4">
        <w:rPr>
          <w:rFonts w:eastAsia="Calibri"/>
          <w:sz w:val="22"/>
          <w:lang w:eastAsia="en-US"/>
        </w:rPr>
        <w:t>), метод позволяет не только точнейшим образом оценить изменч</w:t>
      </w:r>
      <w:r w:rsidRPr="00CD45A4">
        <w:rPr>
          <w:rFonts w:eastAsia="Calibri"/>
          <w:sz w:val="22"/>
          <w:lang w:eastAsia="en-US"/>
        </w:rPr>
        <w:t>и</w:t>
      </w:r>
      <w:r w:rsidRPr="00CD45A4">
        <w:rPr>
          <w:rFonts w:eastAsia="Calibri"/>
          <w:sz w:val="22"/>
          <w:lang w:eastAsia="en-US"/>
        </w:rPr>
        <w:t>вость растения, но и так же позволяет изучить аллели генов.</w:t>
      </w:r>
    </w:p>
    <w:p w:rsidR="00CD45A4" w:rsidRPr="00CD45A4" w:rsidRDefault="00CD45A4" w:rsidP="00D50091">
      <w:pPr>
        <w:widowControl w:val="0"/>
        <w:ind w:firstLine="426"/>
        <w:jc w:val="both"/>
        <w:rPr>
          <w:rFonts w:eastAsia="Calibri"/>
          <w:sz w:val="22"/>
          <w:lang w:eastAsia="en-US"/>
        </w:rPr>
      </w:pPr>
      <w:r w:rsidRPr="00CD45A4">
        <w:rPr>
          <w:rFonts w:eastAsia="Calibri"/>
          <w:sz w:val="22"/>
          <w:lang w:eastAsia="en-US"/>
        </w:rPr>
        <w:t>Изучение коллекционного материала является важной и неот</w:t>
      </w:r>
      <w:r w:rsidRPr="00CD45A4">
        <w:rPr>
          <w:rFonts w:eastAsia="Calibri"/>
          <w:sz w:val="22"/>
          <w:lang w:eastAsia="en-US"/>
        </w:rPr>
        <w:t>ъ</w:t>
      </w:r>
      <w:r w:rsidRPr="00CD45A4">
        <w:rPr>
          <w:rFonts w:eastAsia="Calibri"/>
          <w:sz w:val="22"/>
          <w:lang w:eastAsia="en-US"/>
        </w:rPr>
        <w:t>емлемой частью селекционного процесса. Поиск новых доноров генов устойчивости к патогенам является актуальным и востреб</w:t>
      </w:r>
      <w:r w:rsidRPr="00CD45A4">
        <w:rPr>
          <w:rFonts w:eastAsia="Calibri"/>
          <w:sz w:val="22"/>
          <w:lang w:eastAsia="en-US"/>
        </w:rPr>
        <w:t>о</w:t>
      </w:r>
      <w:r w:rsidRPr="00CD45A4">
        <w:rPr>
          <w:rFonts w:eastAsia="Calibri"/>
          <w:sz w:val="22"/>
          <w:lang w:eastAsia="en-US"/>
        </w:rPr>
        <w:t>ванным.</w:t>
      </w:r>
    </w:p>
    <w:p w:rsidR="00CD45A4" w:rsidRPr="00CD45A4" w:rsidRDefault="00CD45A4" w:rsidP="00D50091">
      <w:pPr>
        <w:widowControl w:val="0"/>
        <w:ind w:firstLine="426"/>
        <w:jc w:val="both"/>
        <w:rPr>
          <w:rFonts w:eastAsia="Calibri"/>
          <w:sz w:val="22"/>
          <w:lang w:eastAsia="en-US"/>
        </w:rPr>
      </w:pPr>
      <w:r w:rsidRPr="00CD45A4">
        <w:rPr>
          <w:rFonts w:eastAsia="Calibri"/>
          <w:sz w:val="22"/>
          <w:lang w:eastAsia="en-US"/>
        </w:rPr>
        <w:t>Исследование фенологии растений, учет биометрических пок</w:t>
      </w:r>
      <w:r w:rsidRPr="00CD45A4">
        <w:rPr>
          <w:rFonts w:eastAsia="Calibri"/>
          <w:sz w:val="22"/>
          <w:lang w:eastAsia="en-US"/>
        </w:rPr>
        <w:t>а</w:t>
      </w:r>
      <w:r w:rsidRPr="00CD45A4">
        <w:rPr>
          <w:rFonts w:eastAsia="Calibri"/>
          <w:sz w:val="22"/>
          <w:lang w:eastAsia="en-US"/>
        </w:rPr>
        <w:t>зателей и урожайности растений гибридов томата проводилось в зимней остекленной теплице в период зимне-весеннего оборота. Исследование генотипа растений проводилось в современной лаб</w:t>
      </w:r>
      <w:r w:rsidRPr="00CD45A4">
        <w:rPr>
          <w:rFonts w:eastAsia="Calibri"/>
          <w:sz w:val="22"/>
          <w:lang w:eastAsia="en-US"/>
        </w:rPr>
        <w:t>о</w:t>
      </w:r>
      <w:r w:rsidRPr="00CD45A4">
        <w:rPr>
          <w:rFonts w:eastAsia="Calibri"/>
          <w:sz w:val="22"/>
          <w:lang w:eastAsia="en-US"/>
        </w:rPr>
        <w:t>ратории молекулярного диагностирования. Выделение растител</w:t>
      </w:r>
      <w:r w:rsidRPr="00CD45A4">
        <w:rPr>
          <w:rFonts w:eastAsia="Calibri"/>
          <w:sz w:val="22"/>
          <w:lang w:eastAsia="en-US"/>
        </w:rPr>
        <w:t>ь</w:t>
      </w:r>
      <w:r w:rsidRPr="00CD45A4">
        <w:rPr>
          <w:rFonts w:eastAsia="Calibri"/>
          <w:sz w:val="22"/>
          <w:lang w:eastAsia="en-US"/>
        </w:rPr>
        <w:t xml:space="preserve">ной ДНК производилось по методике предложенной MURRAY and </w:t>
      </w:r>
      <w:r w:rsidRPr="00CD45A4">
        <w:rPr>
          <w:rFonts w:eastAsia="Calibri"/>
          <w:sz w:val="22"/>
          <w:lang w:eastAsia="en-US"/>
        </w:rPr>
        <w:lastRenderedPageBreak/>
        <w:t>THOMPSON (1980), доработанной BERNATZKY and TANKSLEY (1986), которая была усовершенствована нами для удобства и уск</w:t>
      </w:r>
      <w:r w:rsidRPr="00CD45A4">
        <w:rPr>
          <w:rFonts w:eastAsia="Calibri"/>
          <w:sz w:val="22"/>
          <w:lang w:eastAsia="en-US"/>
        </w:rPr>
        <w:t>о</w:t>
      </w:r>
      <w:r w:rsidRPr="00CD45A4">
        <w:rPr>
          <w:rFonts w:eastAsia="Calibri"/>
          <w:sz w:val="22"/>
          <w:lang w:eastAsia="en-US"/>
        </w:rPr>
        <w:t>рения процесса.</w:t>
      </w:r>
    </w:p>
    <w:p w:rsidR="00CD45A4" w:rsidRPr="00CD45A4" w:rsidRDefault="00CD45A4" w:rsidP="00D50091">
      <w:pPr>
        <w:widowControl w:val="0"/>
        <w:ind w:firstLine="426"/>
        <w:jc w:val="both"/>
        <w:rPr>
          <w:rFonts w:eastAsia="Calibri"/>
          <w:sz w:val="22"/>
          <w:lang w:eastAsia="en-US"/>
        </w:rPr>
      </w:pPr>
      <w:r w:rsidRPr="00CD45A4">
        <w:rPr>
          <w:rFonts w:eastAsia="Calibri"/>
          <w:sz w:val="22"/>
          <w:lang w:eastAsia="en-US"/>
        </w:rPr>
        <w:t xml:space="preserve">Для генетического анализа использовался метод </w:t>
      </w:r>
      <w:r w:rsidRPr="00CD45A4">
        <w:rPr>
          <w:rFonts w:eastAsia="Calibri"/>
          <w:sz w:val="22"/>
          <w:lang w:val="en-US" w:eastAsia="en-US"/>
        </w:rPr>
        <w:t>Real</w:t>
      </w:r>
      <w:r w:rsidRPr="00CD45A4">
        <w:rPr>
          <w:rFonts w:eastAsia="Calibri"/>
          <w:sz w:val="22"/>
          <w:lang w:eastAsia="en-US"/>
        </w:rPr>
        <w:t>-</w:t>
      </w:r>
      <w:r w:rsidRPr="00CD45A4">
        <w:rPr>
          <w:rFonts w:eastAsia="Calibri"/>
          <w:sz w:val="22"/>
          <w:lang w:val="en-US" w:eastAsia="en-US"/>
        </w:rPr>
        <w:t>time</w:t>
      </w:r>
      <w:r w:rsidRPr="00CD45A4">
        <w:rPr>
          <w:rFonts w:eastAsia="Calibri"/>
          <w:sz w:val="22"/>
          <w:lang w:eastAsia="en-US"/>
        </w:rPr>
        <w:t xml:space="preserve"> </w:t>
      </w:r>
      <w:r w:rsidRPr="00CD45A4">
        <w:rPr>
          <w:rFonts w:eastAsia="Calibri"/>
          <w:sz w:val="22"/>
          <w:lang w:val="en-US" w:eastAsia="en-US"/>
        </w:rPr>
        <w:t>PCR</w:t>
      </w:r>
      <w:r w:rsidRPr="00CD45A4">
        <w:rPr>
          <w:rFonts w:eastAsia="Calibri"/>
          <w:sz w:val="22"/>
          <w:lang w:eastAsia="en-US"/>
        </w:rPr>
        <w:t xml:space="preserve"> с применением гибридизационных зондов взаимодействующих по </w:t>
      </w:r>
      <w:r w:rsidRPr="00CD45A4">
        <w:rPr>
          <w:rFonts w:eastAsia="Calibri"/>
          <w:sz w:val="22"/>
          <w:lang w:val="en-US" w:eastAsia="en-US"/>
        </w:rPr>
        <w:t>FRET</w:t>
      </w:r>
      <w:r w:rsidRPr="00CD45A4">
        <w:rPr>
          <w:rFonts w:eastAsia="Calibri"/>
          <w:sz w:val="22"/>
          <w:lang w:eastAsia="en-US"/>
        </w:rPr>
        <w:t xml:space="preserve"> и анализированием кривых плавления, все анализы провод</w:t>
      </w:r>
      <w:r w:rsidRPr="00CD45A4">
        <w:rPr>
          <w:rFonts w:eastAsia="Calibri"/>
          <w:sz w:val="22"/>
          <w:lang w:eastAsia="en-US"/>
        </w:rPr>
        <w:t>и</w:t>
      </w:r>
      <w:r w:rsidRPr="00CD45A4">
        <w:rPr>
          <w:rFonts w:eastAsia="Calibri"/>
          <w:sz w:val="22"/>
          <w:lang w:eastAsia="en-US"/>
        </w:rPr>
        <w:t xml:space="preserve">лись на амплификаторе фирмы </w:t>
      </w:r>
      <w:r w:rsidRPr="00CD45A4">
        <w:rPr>
          <w:rFonts w:eastAsia="Calibri"/>
          <w:sz w:val="22"/>
          <w:lang w:val="en-US" w:eastAsia="en-US"/>
        </w:rPr>
        <w:t>Roche</w:t>
      </w:r>
      <w:r w:rsidRPr="00CD45A4">
        <w:rPr>
          <w:rFonts w:eastAsia="Calibri"/>
          <w:sz w:val="22"/>
          <w:lang w:eastAsia="en-US"/>
        </w:rPr>
        <w:t xml:space="preserve"> – </w:t>
      </w:r>
      <w:r w:rsidRPr="00CD45A4">
        <w:rPr>
          <w:rFonts w:eastAsia="Calibri"/>
          <w:sz w:val="22"/>
          <w:lang w:val="en-US" w:eastAsia="en-US"/>
        </w:rPr>
        <w:t>Light</w:t>
      </w:r>
      <w:r w:rsidRPr="00CD45A4">
        <w:rPr>
          <w:rFonts w:eastAsia="Calibri"/>
          <w:sz w:val="22"/>
          <w:lang w:eastAsia="en-US"/>
        </w:rPr>
        <w:t xml:space="preserve"> </w:t>
      </w:r>
      <w:r w:rsidRPr="00CD45A4">
        <w:rPr>
          <w:rFonts w:eastAsia="Calibri"/>
          <w:sz w:val="22"/>
          <w:lang w:val="en-US" w:eastAsia="en-US"/>
        </w:rPr>
        <w:t>Cycler</w:t>
      </w:r>
      <w:r w:rsidRPr="00CD45A4">
        <w:rPr>
          <w:rFonts w:eastAsia="Calibri"/>
          <w:sz w:val="22"/>
          <w:lang w:eastAsia="en-US"/>
        </w:rPr>
        <w:t xml:space="preserve"> </w:t>
      </w:r>
      <w:r w:rsidRPr="00CD45A4">
        <w:rPr>
          <w:rFonts w:eastAsia="Calibri"/>
          <w:sz w:val="22"/>
          <w:lang w:val="en-US" w:eastAsia="en-US"/>
        </w:rPr>
        <w:t>II</w:t>
      </w:r>
      <w:r w:rsidRPr="00CD45A4">
        <w:rPr>
          <w:rFonts w:eastAsia="Calibri"/>
          <w:sz w:val="22"/>
          <w:lang w:eastAsia="en-US"/>
        </w:rPr>
        <w:t>.</w:t>
      </w:r>
    </w:p>
    <w:p w:rsidR="00CD45A4" w:rsidRPr="00CD45A4" w:rsidRDefault="00CD45A4" w:rsidP="00D50091">
      <w:pPr>
        <w:widowControl w:val="0"/>
        <w:ind w:firstLine="426"/>
        <w:jc w:val="both"/>
        <w:rPr>
          <w:rFonts w:eastAsia="Calibri"/>
          <w:sz w:val="22"/>
          <w:lang w:eastAsia="en-US"/>
        </w:rPr>
      </w:pPr>
      <w:r w:rsidRPr="00CD45A4">
        <w:rPr>
          <w:rFonts w:eastAsia="Calibri"/>
          <w:sz w:val="22"/>
          <w:lang w:eastAsia="en-US"/>
        </w:rPr>
        <w:t>По результатам генетического анализа было выявлено, что с</w:t>
      </w:r>
      <w:r w:rsidRPr="00CD45A4">
        <w:rPr>
          <w:rFonts w:eastAsia="Calibri"/>
          <w:sz w:val="22"/>
          <w:lang w:eastAsia="en-US"/>
        </w:rPr>
        <w:t>о</w:t>
      </w:r>
      <w:r w:rsidRPr="00CD45A4">
        <w:rPr>
          <w:rFonts w:eastAsia="Calibri"/>
          <w:sz w:val="22"/>
          <w:lang w:eastAsia="en-US"/>
        </w:rPr>
        <w:t xml:space="preserve">временные гибриды томата </w:t>
      </w:r>
      <w:r w:rsidRPr="00CD45A4">
        <w:rPr>
          <w:rFonts w:eastAsia="Calibri"/>
          <w:sz w:val="22"/>
          <w:lang w:val="en-US" w:eastAsia="en-US"/>
        </w:rPr>
        <w:t>F</w:t>
      </w:r>
      <w:r w:rsidRPr="00CD45A4">
        <w:rPr>
          <w:rFonts w:eastAsia="Calibri"/>
          <w:sz w:val="22"/>
          <w:vertAlign w:val="subscript"/>
          <w:lang w:eastAsia="en-US"/>
        </w:rPr>
        <w:t>1</w:t>
      </w:r>
      <w:r w:rsidRPr="00CD45A4">
        <w:rPr>
          <w:rFonts w:eastAsia="Calibri"/>
          <w:sz w:val="22"/>
          <w:lang w:eastAsia="en-US"/>
        </w:rPr>
        <w:t xml:space="preserve"> несут в своем генотипе гены усто</w:t>
      </w:r>
      <w:r w:rsidRPr="00CD45A4">
        <w:rPr>
          <w:rFonts w:eastAsia="Calibri"/>
          <w:sz w:val="22"/>
          <w:lang w:eastAsia="en-US"/>
        </w:rPr>
        <w:t>й</w:t>
      </w:r>
      <w:r w:rsidRPr="00CD45A4">
        <w:rPr>
          <w:rFonts w:eastAsia="Calibri"/>
          <w:sz w:val="22"/>
          <w:lang w:eastAsia="en-US"/>
        </w:rPr>
        <w:t>чивости к Вирусу табачной мозаике, вирусу бронзовости листьев томата, вирусу желтой курчавости листьев томата, фузариозному и вертициллезному увяданиям, бурой пятнистости томата и галловой нематоде. Было установлено различное состояние генов, встреч</w:t>
      </w:r>
      <w:r w:rsidRPr="00CD45A4">
        <w:rPr>
          <w:rFonts w:eastAsia="Calibri"/>
          <w:sz w:val="22"/>
          <w:lang w:eastAsia="en-US"/>
        </w:rPr>
        <w:t>а</w:t>
      </w:r>
      <w:r w:rsidRPr="00CD45A4">
        <w:rPr>
          <w:rFonts w:eastAsia="Calibri"/>
          <w:sz w:val="22"/>
          <w:lang w:eastAsia="en-US"/>
        </w:rPr>
        <w:t xml:space="preserve">лись гомозиготы и гетерозиготы, </w:t>
      </w:r>
      <w:proofErr w:type="gramStart"/>
      <w:r w:rsidRPr="00CD45A4">
        <w:rPr>
          <w:rFonts w:eastAsia="Calibri"/>
          <w:sz w:val="22"/>
          <w:lang w:eastAsia="en-US"/>
        </w:rPr>
        <w:t>последние</w:t>
      </w:r>
      <w:proofErr w:type="gramEnd"/>
      <w:r w:rsidRPr="00CD45A4">
        <w:rPr>
          <w:rFonts w:eastAsia="Calibri"/>
          <w:sz w:val="22"/>
          <w:lang w:eastAsia="en-US"/>
        </w:rPr>
        <w:t xml:space="preserve"> встречались намного чаще.</w:t>
      </w:r>
    </w:p>
    <w:p w:rsidR="00CD45A4" w:rsidRPr="00CD45A4" w:rsidRDefault="00CD45A4" w:rsidP="00D50091">
      <w:pPr>
        <w:widowControl w:val="0"/>
        <w:ind w:firstLine="426"/>
        <w:jc w:val="both"/>
        <w:rPr>
          <w:rFonts w:eastAsia="Calibri"/>
          <w:sz w:val="22"/>
          <w:lang w:eastAsia="en-US"/>
        </w:rPr>
      </w:pPr>
      <w:r w:rsidRPr="00CD45A4">
        <w:rPr>
          <w:rFonts w:eastAsia="Calibri"/>
          <w:sz w:val="22"/>
          <w:lang w:eastAsia="en-US"/>
        </w:rPr>
        <w:t>После проведения биометрических измерений растений и пл</w:t>
      </w:r>
      <w:r w:rsidRPr="00CD45A4">
        <w:rPr>
          <w:rFonts w:eastAsia="Calibri"/>
          <w:sz w:val="22"/>
          <w:lang w:eastAsia="en-US"/>
        </w:rPr>
        <w:t>о</w:t>
      </w:r>
      <w:r w:rsidRPr="00CD45A4">
        <w:rPr>
          <w:rFonts w:eastAsia="Calibri"/>
          <w:sz w:val="22"/>
          <w:lang w:eastAsia="en-US"/>
        </w:rPr>
        <w:t>дов гибридов томата было отмечено, что у гибридов, несущих в своих генотипах ген устойчивости к вирусу бронзовости томата, увеличивалась длина междоузлий и уменьшалась длина кисти, при этом увеличивался показатель прочности плода. По результатам учета урожайности такие гибриды имели более низкие показатели по сравнению с гибридами, у которых отсутствовал ген устойчив</w:t>
      </w:r>
      <w:r w:rsidRPr="00CD45A4">
        <w:rPr>
          <w:rFonts w:eastAsia="Calibri"/>
          <w:sz w:val="22"/>
          <w:lang w:eastAsia="en-US"/>
        </w:rPr>
        <w:t>о</w:t>
      </w:r>
      <w:r w:rsidRPr="00CD45A4">
        <w:rPr>
          <w:rFonts w:eastAsia="Calibri"/>
          <w:sz w:val="22"/>
          <w:lang w:eastAsia="en-US"/>
        </w:rPr>
        <w:t>сти. Другой корреляции между фенотипом и генотипом растений установлено не было.</w:t>
      </w:r>
    </w:p>
    <w:p w:rsidR="00CD45A4" w:rsidRPr="00CD45A4" w:rsidRDefault="00CD45A4" w:rsidP="00D50091">
      <w:pPr>
        <w:widowControl w:val="0"/>
        <w:ind w:firstLine="426"/>
        <w:jc w:val="center"/>
        <w:rPr>
          <w:rFonts w:eastAsia="Calibri"/>
          <w:sz w:val="22"/>
          <w:szCs w:val="24"/>
          <w:lang w:eastAsia="en-US"/>
        </w:rPr>
      </w:pPr>
    </w:p>
    <w:p w:rsidR="00CD45A4" w:rsidRPr="00CD45A4" w:rsidRDefault="00CD45A4" w:rsidP="00D50091">
      <w:pPr>
        <w:widowControl w:val="0"/>
        <w:ind w:firstLine="426"/>
        <w:jc w:val="center"/>
        <w:rPr>
          <w:rFonts w:eastAsia="Calibri"/>
          <w:sz w:val="22"/>
          <w:szCs w:val="24"/>
          <w:lang w:eastAsia="en-US"/>
        </w:rPr>
      </w:pPr>
      <w:r w:rsidRPr="00CD45A4">
        <w:rPr>
          <w:rFonts w:eastAsia="Calibri"/>
          <w:sz w:val="22"/>
          <w:szCs w:val="24"/>
          <w:lang w:eastAsia="en-US"/>
        </w:rPr>
        <w:t>Список литературы</w:t>
      </w:r>
    </w:p>
    <w:p w:rsidR="00CD45A4" w:rsidRPr="00CD45A4" w:rsidRDefault="00CD45A4" w:rsidP="00D50091">
      <w:pPr>
        <w:widowControl w:val="0"/>
        <w:suppressAutoHyphens/>
        <w:ind w:firstLine="426"/>
        <w:jc w:val="both"/>
        <w:textAlignment w:val="baseline"/>
        <w:rPr>
          <w:sz w:val="22"/>
        </w:rPr>
      </w:pPr>
      <w:r w:rsidRPr="00CD45A4">
        <w:rPr>
          <w:sz w:val="22"/>
        </w:rPr>
        <w:t>1. Гиш, Р. А. Овощеводство юга России / Р.А. Гиш, Г.С. Гикало. – Краснодар: ЭДВИ, 2012. – 632 с.</w:t>
      </w:r>
    </w:p>
    <w:p w:rsidR="00CD45A4" w:rsidRPr="00CD45A4" w:rsidRDefault="00CD45A4" w:rsidP="00D50091">
      <w:pPr>
        <w:widowControl w:val="0"/>
        <w:suppressAutoHyphens/>
        <w:ind w:firstLine="426"/>
        <w:jc w:val="both"/>
        <w:textAlignment w:val="baseline"/>
        <w:rPr>
          <w:sz w:val="22"/>
        </w:rPr>
      </w:pPr>
      <w:r w:rsidRPr="00CD45A4">
        <w:rPr>
          <w:sz w:val="22"/>
        </w:rPr>
        <w:t>2. Хлесткина, Е. К. Молекулярные маркеры в генетических исследованиях и в селекции / Е.К. Хлесткина – Вавиловский журнал генетики и селекции, 2013. – Т.17, № 4/2. – С. 11.</w:t>
      </w:r>
    </w:p>
    <w:p w:rsidR="00CD45A4" w:rsidRPr="00D50091" w:rsidRDefault="00CD45A4" w:rsidP="00D50091">
      <w:pPr>
        <w:widowControl w:val="0"/>
        <w:suppressAutoHyphens/>
        <w:ind w:firstLine="426"/>
        <w:jc w:val="both"/>
        <w:textAlignment w:val="baseline"/>
        <w:rPr>
          <w:sz w:val="22"/>
        </w:rPr>
      </w:pPr>
      <w:r w:rsidRPr="00CD45A4">
        <w:rPr>
          <w:sz w:val="22"/>
          <w:lang w:val="en-US"/>
        </w:rPr>
        <w:t xml:space="preserve">3. Moose, S. P Molecular plant breeding as the foundation for 21 century crop improvement / S.P </w:t>
      </w:r>
      <w:proofErr w:type="gramStart"/>
      <w:r w:rsidRPr="00CD45A4">
        <w:rPr>
          <w:sz w:val="22"/>
          <w:lang w:val="en-US"/>
        </w:rPr>
        <w:t>Moose ,</w:t>
      </w:r>
      <w:proofErr w:type="gramEnd"/>
      <w:r w:rsidRPr="00CD45A4">
        <w:rPr>
          <w:sz w:val="22"/>
          <w:lang w:val="en-US"/>
        </w:rPr>
        <w:t xml:space="preserve"> R.H. Mumm – Plant Physiol. </w:t>
      </w:r>
      <w:r w:rsidRPr="00CD45A4">
        <w:rPr>
          <w:sz w:val="22"/>
        </w:rPr>
        <w:t xml:space="preserve">2008. – </w:t>
      </w:r>
      <w:r w:rsidRPr="00CD45A4">
        <w:rPr>
          <w:sz w:val="22"/>
          <w:lang w:val="en-US"/>
        </w:rPr>
        <w:t>V</w:t>
      </w:r>
      <w:r w:rsidRPr="00CD45A4">
        <w:rPr>
          <w:sz w:val="22"/>
        </w:rPr>
        <w:t xml:space="preserve">.147. – 969-977 </w:t>
      </w:r>
      <w:r w:rsidRPr="00CD45A4">
        <w:rPr>
          <w:sz w:val="22"/>
          <w:lang w:val="en-US"/>
        </w:rPr>
        <w:t>P</w:t>
      </w:r>
      <w:r w:rsidR="00D50091">
        <w:rPr>
          <w:sz w:val="22"/>
        </w:rPr>
        <w:t>.</w:t>
      </w:r>
    </w:p>
    <w:p w:rsidR="00CD45A4" w:rsidRDefault="00CD45A4" w:rsidP="00CD45A4">
      <w:pPr>
        <w:widowControl w:val="0"/>
        <w:suppressAutoHyphens/>
        <w:jc w:val="both"/>
        <w:textAlignment w:val="baseline"/>
        <w:rPr>
          <w:sz w:val="22"/>
        </w:rPr>
      </w:pPr>
    </w:p>
    <w:p w:rsidR="00D50091" w:rsidRDefault="00D50091" w:rsidP="00CD45A4">
      <w:pPr>
        <w:widowControl w:val="0"/>
        <w:suppressAutoHyphens/>
        <w:jc w:val="both"/>
        <w:textAlignment w:val="baseline"/>
        <w:rPr>
          <w:sz w:val="22"/>
        </w:rPr>
      </w:pPr>
    </w:p>
    <w:p w:rsidR="00863F6A" w:rsidRDefault="00863F6A" w:rsidP="00CD45A4">
      <w:pPr>
        <w:widowControl w:val="0"/>
        <w:suppressAutoHyphens/>
        <w:jc w:val="both"/>
        <w:textAlignment w:val="baseline"/>
        <w:rPr>
          <w:sz w:val="22"/>
        </w:rPr>
      </w:pPr>
    </w:p>
    <w:p w:rsidR="00863F6A" w:rsidRDefault="00863F6A" w:rsidP="00CD45A4">
      <w:pPr>
        <w:widowControl w:val="0"/>
        <w:suppressAutoHyphens/>
        <w:jc w:val="both"/>
        <w:textAlignment w:val="baseline"/>
        <w:rPr>
          <w:sz w:val="22"/>
        </w:rPr>
      </w:pPr>
    </w:p>
    <w:p w:rsidR="00CD45A4" w:rsidRPr="00CD45A4" w:rsidRDefault="00CD45A4" w:rsidP="00CD45A4">
      <w:pPr>
        <w:widowControl w:val="0"/>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lastRenderedPageBreak/>
        <w:t>УДК 504.054</w:t>
      </w:r>
    </w:p>
    <w:p w:rsidR="00CD45A4" w:rsidRPr="00CD45A4" w:rsidRDefault="00CD45A4" w:rsidP="00CD45A4">
      <w:pPr>
        <w:widowControl w:val="0"/>
        <w:jc w:val="center"/>
        <w:rPr>
          <w:rFonts w:eastAsia="Calibri"/>
          <w:color w:val="000000"/>
          <w:sz w:val="22"/>
          <w:szCs w:val="22"/>
          <w:shd w:val="clear" w:color="auto" w:fill="FFFFFF"/>
          <w:lang w:eastAsia="en-US"/>
        </w:rPr>
      </w:pPr>
    </w:p>
    <w:p w:rsidR="00CD45A4" w:rsidRPr="00CD45A4" w:rsidRDefault="00CD45A4" w:rsidP="00CD45A4">
      <w:pPr>
        <w:widowControl w:val="0"/>
        <w:jc w:val="center"/>
        <w:rPr>
          <w:rFonts w:eastAsia="Calibri"/>
          <w:b/>
          <w:color w:val="000000"/>
          <w:sz w:val="24"/>
          <w:szCs w:val="22"/>
          <w:shd w:val="clear" w:color="auto" w:fill="FFFFFF"/>
          <w:lang w:eastAsia="en-US"/>
        </w:rPr>
      </w:pPr>
      <w:r w:rsidRPr="00CD45A4">
        <w:rPr>
          <w:rFonts w:eastAsia="Calibri"/>
          <w:b/>
          <w:color w:val="000000"/>
          <w:sz w:val="24"/>
          <w:szCs w:val="22"/>
          <w:shd w:val="clear" w:color="auto" w:fill="FFFFFF"/>
          <w:lang w:eastAsia="en-US"/>
        </w:rPr>
        <w:t>Оценка воздействия завод</w:t>
      </w:r>
      <w:proofErr w:type="gramStart"/>
      <w:r w:rsidRPr="00CD45A4">
        <w:rPr>
          <w:rFonts w:eastAsia="Calibri"/>
          <w:b/>
          <w:color w:val="000000"/>
          <w:sz w:val="24"/>
          <w:szCs w:val="22"/>
          <w:shd w:val="clear" w:color="auto" w:fill="FFFFFF"/>
          <w:lang w:eastAsia="en-US"/>
        </w:rPr>
        <w:t>а ООО</w:t>
      </w:r>
      <w:proofErr w:type="gramEnd"/>
      <w:r w:rsidRPr="00CD45A4">
        <w:rPr>
          <w:rFonts w:eastAsia="Calibri"/>
          <w:b/>
          <w:color w:val="000000"/>
          <w:sz w:val="24"/>
          <w:szCs w:val="22"/>
          <w:shd w:val="clear" w:color="auto" w:fill="FFFFFF"/>
          <w:lang w:eastAsia="en-US"/>
        </w:rPr>
        <w:t xml:space="preserve"> Ртутная безопасность на окружающую среду</w:t>
      </w:r>
    </w:p>
    <w:p w:rsidR="00CD45A4" w:rsidRPr="00CD45A4" w:rsidRDefault="00CD45A4" w:rsidP="00CD45A4">
      <w:pPr>
        <w:widowControl w:val="0"/>
        <w:jc w:val="center"/>
        <w:rPr>
          <w:rFonts w:eastAsia="Calibri"/>
          <w:b/>
          <w:color w:val="000000"/>
          <w:sz w:val="24"/>
          <w:szCs w:val="22"/>
          <w:shd w:val="clear" w:color="auto" w:fill="FFFFFF"/>
          <w:lang w:val="en-US" w:eastAsia="en-US"/>
        </w:rPr>
      </w:pPr>
      <w:r w:rsidRPr="00CD45A4">
        <w:rPr>
          <w:rFonts w:eastAsia="Calibri"/>
          <w:b/>
          <w:color w:val="000000"/>
          <w:sz w:val="24"/>
          <w:szCs w:val="22"/>
          <w:shd w:val="clear" w:color="auto" w:fill="FFFFFF"/>
          <w:lang w:val="en-US" w:eastAsia="en-US"/>
        </w:rPr>
        <w:t>Assessment of the impact of the factory «Mercury Safety» on the environment</w:t>
      </w:r>
    </w:p>
    <w:p w:rsidR="00CD45A4" w:rsidRPr="00CD45A4" w:rsidRDefault="00CD45A4" w:rsidP="00CD45A4">
      <w:pPr>
        <w:widowControl w:val="0"/>
        <w:jc w:val="both"/>
        <w:rPr>
          <w:rFonts w:eastAsia="Calibri"/>
          <w:sz w:val="22"/>
          <w:szCs w:val="22"/>
          <w:lang w:val="en-US" w:eastAsia="en-US"/>
        </w:rPr>
      </w:pP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Воронько С. С.,</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студент 4-го курса факультета агрономии и экологии</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Стрельников В. В.,</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профессор кафедры прикладной экологии</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Кубанский государственный аграрный</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университет имени И.Т. Трубилина</w:t>
      </w:r>
    </w:p>
    <w:p w:rsidR="00CD45A4" w:rsidRPr="00CD45A4" w:rsidRDefault="00CD45A4" w:rsidP="00CD45A4">
      <w:pPr>
        <w:widowControl w:val="0"/>
        <w:jc w:val="both"/>
        <w:rPr>
          <w:rFonts w:eastAsia="Calibri"/>
          <w:sz w:val="22"/>
          <w:szCs w:val="22"/>
          <w:lang w:eastAsia="en-US"/>
        </w:rPr>
      </w:pPr>
    </w:p>
    <w:p w:rsidR="00CD45A4" w:rsidRPr="00CD45A4" w:rsidRDefault="00CD45A4" w:rsidP="00D50091">
      <w:pPr>
        <w:widowControl w:val="0"/>
        <w:suppressAutoHyphens/>
        <w:ind w:firstLine="426"/>
        <w:jc w:val="both"/>
        <w:rPr>
          <w:rFonts w:eastAsia="Calibri"/>
          <w:sz w:val="22"/>
          <w:szCs w:val="22"/>
          <w:lang w:eastAsia="en-US"/>
        </w:rPr>
      </w:pPr>
      <w:r w:rsidRPr="00CD45A4">
        <w:rPr>
          <w:rFonts w:eastAsia="Calibri"/>
          <w:sz w:val="22"/>
          <w:szCs w:val="22"/>
          <w:lang w:eastAsia="en-US"/>
        </w:rPr>
        <w:t>АННОТАЦ</w:t>
      </w:r>
      <w:r w:rsidR="00D50091">
        <w:rPr>
          <w:rFonts w:eastAsia="Calibri"/>
          <w:sz w:val="22"/>
          <w:szCs w:val="22"/>
          <w:lang w:eastAsia="en-US"/>
        </w:rPr>
        <w:t>ИЯ:</w:t>
      </w:r>
      <w:r w:rsidRPr="00CD45A4">
        <w:rPr>
          <w:rFonts w:eastAsia="Calibri"/>
          <w:sz w:val="22"/>
          <w:szCs w:val="22"/>
          <w:lang w:eastAsia="en-US"/>
        </w:rPr>
        <w:t xml:space="preserve"> Выполнен экологический мониторинг воздействия завода на окружающую среду. Для выполнения мониторинга использовалась векторная система. Изучено состояние древесной растительности, находящейся в зоне влияния завода.</w:t>
      </w:r>
    </w:p>
    <w:p w:rsidR="00CD45A4" w:rsidRPr="00CD45A4" w:rsidRDefault="00D50091" w:rsidP="00D50091">
      <w:pPr>
        <w:widowControl w:val="0"/>
        <w:suppressAutoHyphens/>
        <w:ind w:firstLine="426"/>
        <w:jc w:val="both"/>
        <w:rPr>
          <w:rFonts w:eastAsia="Calibri"/>
          <w:sz w:val="22"/>
          <w:szCs w:val="22"/>
          <w:lang w:val="en-US" w:eastAsia="en-US"/>
        </w:rPr>
      </w:pPr>
      <w:r>
        <w:rPr>
          <w:rFonts w:eastAsia="Calibri"/>
          <w:sz w:val="22"/>
          <w:szCs w:val="22"/>
          <w:lang w:val="en-US" w:eastAsia="en-US"/>
        </w:rPr>
        <w:t>ABSTRACT</w:t>
      </w:r>
      <w:r w:rsidRPr="00D50091">
        <w:rPr>
          <w:rFonts w:eastAsia="Calibri"/>
          <w:sz w:val="22"/>
          <w:szCs w:val="22"/>
          <w:lang w:val="en-US" w:eastAsia="en-US"/>
        </w:rPr>
        <w:t>:</w:t>
      </w:r>
      <w:r w:rsidR="00CD45A4" w:rsidRPr="00CD45A4">
        <w:rPr>
          <w:rFonts w:eastAsia="Calibri"/>
          <w:sz w:val="22"/>
          <w:szCs w:val="22"/>
          <w:lang w:val="en-US" w:eastAsia="en-US"/>
        </w:rPr>
        <w:t xml:space="preserve"> Environmental monitoring of the environmental impact of the factory has been carried out. A vector system was used to perform the monitoring. The state of woody vegetation in the zone of factory influence was studied.</w:t>
      </w:r>
    </w:p>
    <w:p w:rsidR="00CD45A4" w:rsidRPr="00CD45A4" w:rsidRDefault="00CD45A4" w:rsidP="00D50091">
      <w:pPr>
        <w:widowControl w:val="0"/>
        <w:suppressAutoHyphens/>
        <w:ind w:firstLine="426"/>
        <w:jc w:val="both"/>
        <w:rPr>
          <w:rFonts w:eastAsia="Calibri"/>
          <w:sz w:val="22"/>
          <w:szCs w:val="22"/>
          <w:lang w:eastAsia="en-US"/>
        </w:rPr>
      </w:pPr>
      <w:r w:rsidRPr="00CD45A4">
        <w:rPr>
          <w:rFonts w:eastAsia="Calibri"/>
          <w:sz w:val="22"/>
          <w:szCs w:val="22"/>
          <w:lang w:eastAsia="en-US"/>
        </w:rPr>
        <w:t>КЛЮЧЕВЫЕ СЛОВА: экологический мониторинг, выбросы, древесная растительность, флуктуирующая асимметрия.</w:t>
      </w:r>
    </w:p>
    <w:p w:rsidR="00CD45A4" w:rsidRPr="00CD45A4" w:rsidRDefault="00CD45A4" w:rsidP="00D50091">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KEYWORDS: ecological monitoring, emissions, woody vegetation, fluctuating asymmetry.</w:t>
      </w:r>
    </w:p>
    <w:p w:rsidR="00CD45A4" w:rsidRPr="00CD45A4" w:rsidRDefault="00CD45A4" w:rsidP="00D50091">
      <w:pPr>
        <w:widowControl w:val="0"/>
        <w:ind w:firstLine="426"/>
        <w:jc w:val="both"/>
        <w:rPr>
          <w:rFonts w:eastAsia="Calibri"/>
          <w:sz w:val="22"/>
          <w:szCs w:val="22"/>
          <w:lang w:val="en-US" w:eastAsia="en-US"/>
        </w:rPr>
      </w:pP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Стратегия экологической безопасности РФ до 2025 года утве</w:t>
      </w:r>
      <w:r w:rsidRPr="00CD45A4">
        <w:rPr>
          <w:rFonts w:eastAsia="Calibri"/>
          <w:sz w:val="22"/>
          <w:szCs w:val="22"/>
          <w:lang w:eastAsia="en-US"/>
        </w:rPr>
        <w:t>р</w:t>
      </w:r>
      <w:r w:rsidRPr="00CD45A4">
        <w:rPr>
          <w:rFonts w:eastAsia="Calibri"/>
          <w:sz w:val="22"/>
          <w:szCs w:val="22"/>
          <w:lang w:eastAsia="en-US"/>
        </w:rPr>
        <w:t>ждена Указом Президента РФ 19.04.2017, и одной из основных з</w:t>
      </w:r>
      <w:r w:rsidRPr="00CD45A4">
        <w:rPr>
          <w:rFonts w:eastAsia="Calibri"/>
          <w:sz w:val="22"/>
          <w:szCs w:val="22"/>
          <w:lang w:eastAsia="en-US"/>
        </w:rPr>
        <w:t>а</w:t>
      </w:r>
      <w:r w:rsidRPr="00CD45A4">
        <w:rPr>
          <w:rFonts w:eastAsia="Calibri"/>
          <w:sz w:val="22"/>
          <w:szCs w:val="22"/>
          <w:lang w:eastAsia="en-US"/>
        </w:rPr>
        <w:t>дач государства, решение которой способно обеспечить улучшение экологической обстановки, является повышение уровня утилизации отходов производства и потребления, в том числе путем внедрения инновационных технологий, ликвидация последствий накопленного вреда окружающей среде. Масштабы данной проблемы стимулир</w:t>
      </w:r>
      <w:r w:rsidRPr="00CD45A4">
        <w:rPr>
          <w:rFonts w:eastAsia="Calibri"/>
          <w:sz w:val="22"/>
          <w:szCs w:val="22"/>
          <w:lang w:eastAsia="en-US"/>
        </w:rPr>
        <w:t>у</w:t>
      </w:r>
      <w:r w:rsidRPr="00CD45A4">
        <w:rPr>
          <w:rFonts w:eastAsia="Calibri"/>
          <w:sz w:val="22"/>
          <w:szCs w:val="22"/>
          <w:lang w:eastAsia="en-US"/>
        </w:rPr>
        <w:t>ют рост количества заводов по утилизации и переработке отходов в стране.</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 xml:space="preserve">Однако применение таких технологий утилизации отходов, как </w:t>
      </w:r>
      <w:r w:rsidRPr="00CD45A4">
        <w:rPr>
          <w:rFonts w:eastAsia="Calibri"/>
          <w:sz w:val="22"/>
          <w:szCs w:val="22"/>
          <w:lang w:eastAsia="en-US"/>
        </w:rPr>
        <w:lastRenderedPageBreak/>
        <w:t>сжигание или пиролиз, может повлечь за собой ряд других проблем экологического характера, в частности загрязнение атмосферного воздуха. Происходит снижение классов опасности отходов, но в то же время сами заводы становятся опасными источниками негати</w:t>
      </w:r>
      <w:r w:rsidRPr="00CD45A4">
        <w:rPr>
          <w:rFonts w:eastAsia="Calibri"/>
          <w:sz w:val="22"/>
          <w:szCs w:val="22"/>
          <w:lang w:eastAsia="en-US"/>
        </w:rPr>
        <w:t>в</w:t>
      </w:r>
      <w:r w:rsidRPr="00CD45A4">
        <w:rPr>
          <w:rFonts w:eastAsia="Calibri"/>
          <w:sz w:val="22"/>
          <w:szCs w:val="22"/>
          <w:lang w:eastAsia="en-US"/>
        </w:rPr>
        <w:t>ного воздействия на окружающую среду.</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Объектом выполненного исследования является завод по пер</w:t>
      </w:r>
      <w:r w:rsidRPr="00CD45A4">
        <w:rPr>
          <w:rFonts w:eastAsia="Calibri"/>
          <w:sz w:val="22"/>
          <w:szCs w:val="22"/>
          <w:lang w:eastAsia="en-US"/>
        </w:rPr>
        <w:t>е</w:t>
      </w:r>
      <w:r w:rsidRPr="00CD45A4">
        <w:rPr>
          <w:rFonts w:eastAsia="Calibri"/>
          <w:sz w:val="22"/>
          <w:szCs w:val="22"/>
          <w:lang w:eastAsia="en-US"/>
        </w:rPr>
        <w:t xml:space="preserve">работке отходов, расположенный </w:t>
      </w:r>
      <w:proofErr w:type="gramStart"/>
      <w:r w:rsidRPr="00CD45A4">
        <w:rPr>
          <w:rFonts w:eastAsia="Calibri"/>
          <w:sz w:val="22"/>
          <w:szCs w:val="22"/>
          <w:lang w:eastAsia="en-US"/>
        </w:rPr>
        <w:t>в</w:t>
      </w:r>
      <w:proofErr w:type="gramEnd"/>
      <w:r w:rsidRPr="00CD45A4">
        <w:rPr>
          <w:rFonts w:eastAsia="Calibri"/>
          <w:sz w:val="22"/>
          <w:szCs w:val="22"/>
          <w:lang w:eastAsia="en-US"/>
        </w:rPr>
        <w:t xml:space="preserve"> </w:t>
      </w:r>
      <w:proofErr w:type="gramStart"/>
      <w:r w:rsidRPr="00CD45A4">
        <w:rPr>
          <w:rFonts w:eastAsia="Calibri"/>
          <w:sz w:val="22"/>
          <w:szCs w:val="22"/>
          <w:lang w:eastAsia="en-US"/>
        </w:rPr>
        <w:t>Абинском</w:t>
      </w:r>
      <w:proofErr w:type="gramEnd"/>
      <w:r w:rsidRPr="00CD45A4">
        <w:rPr>
          <w:rFonts w:eastAsia="Calibri"/>
          <w:sz w:val="22"/>
          <w:szCs w:val="22"/>
          <w:lang w:eastAsia="en-US"/>
        </w:rPr>
        <w:t xml:space="preserve"> районе Краснода</w:t>
      </w:r>
      <w:r w:rsidRPr="00CD45A4">
        <w:rPr>
          <w:rFonts w:eastAsia="Calibri"/>
          <w:sz w:val="22"/>
          <w:szCs w:val="22"/>
          <w:lang w:eastAsia="en-US"/>
        </w:rPr>
        <w:t>р</w:t>
      </w:r>
      <w:r w:rsidRPr="00CD45A4">
        <w:rPr>
          <w:rFonts w:eastAsia="Calibri"/>
          <w:sz w:val="22"/>
          <w:szCs w:val="22"/>
          <w:lang w:eastAsia="en-US"/>
        </w:rPr>
        <w:t>ского края вблизи поселка Синегорск. ООО «Агентство «Ртутная безопасность» существует на рынке услуг по утилизации промы</w:t>
      </w:r>
      <w:r w:rsidRPr="00CD45A4">
        <w:rPr>
          <w:rFonts w:eastAsia="Calibri"/>
          <w:sz w:val="22"/>
          <w:szCs w:val="22"/>
          <w:lang w:eastAsia="en-US"/>
        </w:rPr>
        <w:t>ш</w:t>
      </w:r>
      <w:r w:rsidRPr="00CD45A4">
        <w:rPr>
          <w:rFonts w:eastAsia="Calibri"/>
          <w:sz w:val="22"/>
          <w:szCs w:val="22"/>
          <w:lang w:eastAsia="en-US"/>
        </w:rPr>
        <w:t>ленных отходов уже более 12 лет. В составе своей деятельности предприятие решает ряд вопросов в области экологии, связанных с рациональным природопользованием, опирается на широкую но</w:t>
      </w:r>
      <w:r w:rsidRPr="00CD45A4">
        <w:rPr>
          <w:rFonts w:eastAsia="Calibri"/>
          <w:sz w:val="22"/>
          <w:szCs w:val="22"/>
          <w:lang w:eastAsia="en-US"/>
        </w:rPr>
        <w:t>р</w:t>
      </w:r>
      <w:r w:rsidRPr="00CD45A4">
        <w:rPr>
          <w:rFonts w:eastAsia="Calibri"/>
          <w:sz w:val="22"/>
          <w:szCs w:val="22"/>
          <w:lang w:eastAsia="en-US"/>
        </w:rPr>
        <w:t>мативно-методическую базу, имеет большой опыт работы с разли</w:t>
      </w:r>
      <w:r w:rsidRPr="00CD45A4">
        <w:rPr>
          <w:rFonts w:eastAsia="Calibri"/>
          <w:sz w:val="22"/>
          <w:szCs w:val="22"/>
          <w:lang w:eastAsia="en-US"/>
        </w:rPr>
        <w:t>ч</w:t>
      </w:r>
      <w:r w:rsidRPr="00CD45A4">
        <w:rPr>
          <w:rFonts w:eastAsia="Calibri"/>
          <w:sz w:val="22"/>
          <w:szCs w:val="22"/>
          <w:lang w:eastAsia="en-US"/>
        </w:rPr>
        <w:t>ными объектами природопользования, обширный банк данных в сфере охраны окружающей среды.</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На территории завода в ходе исследования выявлены функци</w:t>
      </w:r>
      <w:r w:rsidRPr="00CD45A4">
        <w:rPr>
          <w:rFonts w:eastAsia="Calibri"/>
          <w:sz w:val="22"/>
          <w:szCs w:val="22"/>
          <w:lang w:eastAsia="en-US"/>
        </w:rPr>
        <w:t>о</w:t>
      </w:r>
      <w:r w:rsidRPr="00CD45A4">
        <w:rPr>
          <w:rFonts w:eastAsia="Calibri"/>
          <w:sz w:val="22"/>
          <w:szCs w:val="22"/>
          <w:lang w:eastAsia="en-US"/>
        </w:rPr>
        <w:t xml:space="preserve">нальные зоны, включающие участки, где производится накопление отходов, </w:t>
      </w:r>
      <w:proofErr w:type="gramStart"/>
      <w:r w:rsidRPr="00CD45A4">
        <w:rPr>
          <w:rFonts w:eastAsia="Calibri"/>
          <w:sz w:val="22"/>
          <w:szCs w:val="22"/>
          <w:lang w:eastAsia="en-US"/>
        </w:rPr>
        <w:t>из</w:t>
      </w:r>
      <w:proofErr w:type="gramEnd"/>
      <w:r w:rsidRPr="00CD45A4">
        <w:rPr>
          <w:rFonts w:eastAsia="Calibri"/>
          <w:sz w:val="22"/>
          <w:szCs w:val="22"/>
          <w:lang w:eastAsia="en-US"/>
        </w:rPr>
        <w:t xml:space="preserve"> сортировка и переработка. В зоне переработки устано</w:t>
      </w:r>
      <w:r w:rsidRPr="00CD45A4">
        <w:rPr>
          <w:rFonts w:eastAsia="Calibri"/>
          <w:sz w:val="22"/>
          <w:szCs w:val="22"/>
          <w:lang w:eastAsia="en-US"/>
        </w:rPr>
        <w:t>в</w:t>
      </w:r>
      <w:r w:rsidRPr="00CD45A4">
        <w:rPr>
          <w:rFonts w:eastAsia="Calibri"/>
          <w:sz w:val="22"/>
          <w:szCs w:val="22"/>
          <w:lang w:eastAsia="en-US"/>
        </w:rPr>
        <w:t>лены пиролизные модули. Такие модули при переработке отходов являются источниками загрязнения окружающей среды вредными газообразными веществами [3].</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В целом по предприятию инвентаризацией выявлено 12 исто</w:t>
      </w:r>
      <w:r w:rsidRPr="00CD45A4">
        <w:rPr>
          <w:rFonts w:eastAsia="Calibri"/>
          <w:sz w:val="22"/>
          <w:szCs w:val="22"/>
          <w:lang w:eastAsia="en-US"/>
        </w:rPr>
        <w:t>ч</w:t>
      </w:r>
      <w:r w:rsidRPr="00CD45A4">
        <w:rPr>
          <w:rFonts w:eastAsia="Calibri"/>
          <w:sz w:val="22"/>
          <w:szCs w:val="22"/>
          <w:lang w:eastAsia="en-US"/>
        </w:rPr>
        <w:t>ников загрязнения атмосферы, в том числе 6 организованных и 6 неорганизованных.</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Расчетом определено, что в воздух выбрасывается 11 наимен</w:t>
      </w:r>
      <w:r w:rsidRPr="00CD45A4">
        <w:rPr>
          <w:rFonts w:eastAsia="Calibri"/>
          <w:sz w:val="22"/>
          <w:szCs w:val="22"/>
          <w:lang w:eastAsia="en-US"/>
        </w:rPr>
        <w:t>о</w:t>
      </w:r>
      <w:r w:rsidRPr="00CD45A4">
        <w:rPr>
          <w:rFonts w:eastAsia="Calibri"/>
          <w:sz w:val="22"/>
          <w:szCs w:val="22"/>
          <w:lang w:eastAsia="en-US"/>
        </w:rPr>
        <w:t>ваний загрязняющих веществ 1,2,3,4 классов опасности. Выбросы загрязняющих веществ составляет 1,6797217 г/с или 24, 1037191 т/год. Все загрязняющие вещества, выбрасываемые от предприятия в атмосферу, имеют нормативы ПДК или ОБУВ, утвержденные Минздравом РФ [1].</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Для выполнения оценки воздействия рассматриваемого завода на окружающую среду был выполнен экологический мониторинг, в рамках которого учитывалось состояние древесной растительности методом оценки категории состояния, а также флуктуирующая асимметрия листьев липы мелколистной по методике [2, 4].</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За границей территории описываемого завода расположен смешанный широколиственный лес. Древесная растительность представлена такими видами, как: дуб черешчатый (</w:t>
      </w:r>
      <w:r w:rsidRPr="00CD45A4">
        <w:rPr>
          <w:rFonts w:eastAsia="Calibri"/>
          <w:i/>
          <w:sz w:val="22"/>
          <w:szCs w:val="22"/>
          <w:lang w:eastAsia="en-US"/>
        </w:rPr>
        <w:t>Quercus robur</w:t>
      </w:r>
      <w:r w:rsidRPr="00CD45A4">
        <w:rPr>
          <w:rFonts w:eastAsia="Calibri"/>
          <w:sz w:val="22"/>
          <w:szCs w:val="22"/>
          <w:lang w:eastAsia="en-US"/>
        </w:rPr>
        <w:t xml:space="preserve">), </w:t>
      </w:r>
      <w:r w:rsidRPr="00CD45A4">
        <w:rPr>
          <w:rFonts w:eastAsia="Calibri"/>
          <w:sz w:val="22"/>
          <w:szCs w:val="22"/>
          <w:lang w:eastAsia="en-US"/>
        </w:rPr>
        <w:lastRenderedPageBreak/>
        <w:t>бук восточный (</w:t>
      </w:r>
      <w:r w:rsidRPr="00CD45A4">
        <w:rPr>
          <w:rFonts w:eastAsia="Calibri"/>
          <w:i/>
          <w:sz w:val="22"/>
          <w:szCs w:val="22"/>
          <w:lang w:eastAsia="en-US"/>
        </w:rPr>
        <w:t>Fagus orientalis</w:t>
      </w:r>
      <w:r w:rsidRPr="00CD45A4">
        <w:rPr>
          <w:rFonts w:eastAsia="Calibri"/>
          <w:sz w:val="22"/>
          <w:szCs w:val="22"/>
          <w:lang w:eastAsia="en-US"/>
        </w:rPr>
        <w:t>), липа мелколистная (</w:t>
      </w:r>
      <w:r w:rsidRPr="00CD45A4">
        <w:rPr>
          <w:rFonts w:eastAsia="Calibri"/>
          <w:i/>
          <w:sz w:val="22"/>
          <w:szCs w:val="22"/>
          <w:lang w:eastAsia="en-US"/>
        </w:rPr>
        <w:t>Tilia cordata</w:t>
      </w:r>
      <w:r w:rsidRPr="00CD45A4">
        <w:rPr>
          <w:rFonts w:eastAsia="Calibri"/>
          <w:sz w:val="22"/>
          <w:szCs w:val="22"/>
          <w:lang w:eastAsia="en-US"/>
        </w:rPr>
        <w:t>), ясень обыкновенный (Fraxinus excelsior).</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При изучении древесной растительности были выявлены сл</w:t>
      </w:r>
      <w:r w:rsidRPr="00CD45A4">
        <w:rPr>
          <w:rFonts w:eastAsia="Calibri"/>
          <w:sz w:val="22"/>
          <w:szCs w:val="22"/>
          <w:lang w:eastAsia="en-US"/>
        </w:rPr>
        <w:t>е</w:t>
      </w:r>
      <w:r w:rsidRPr="00CD45A4">
        <w:rPr>
          <w:rFonts w:eastAsia="Calibri"/>
          <w:sz w:val="22"/>
          <w:szCs w:val="22"/>
          <w:lang w:eastAsia="en-US"/>
        </w:rPr>
        <w:t>дующие закономерности:</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1. Категории состояния древесной растительности снижаются при удалении от территории завода. Снижение категории состояния обозначает улучшение состояния деревьев. Следовательно, завод оказывает негативное воздействие на прилегающую территорию.</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2. При проведении биотестирования качества атмосферного воздуха с помощью определения флуктуирующей асимметрии листвы липы мелколистной было выявлено, что качество анализ</w:t>
      </w:r>
      <w:r w:rsidRPr="00CD45A4">
        <w:rPr>
          <w:rFonts w:eastAsia="Calibri"/>
          <w:sz w:val="22"/>
          <w:szCs w:val="22"/>
          <w:lang w:eastAsia="en-US"/>
        </w:rPr>
        <w:t>и</w:t>
      </w:r>
      <w:r w:rsidRPr="00CD45A4">
        <w:rPr>
          <w:rFonts w:eastAsia="Calibri"/>
          <w:sz w:val="22"/>
          <w:szCs w:val="22"/>
          <w:lang w:eastAsia="en-US"/>
        </w:rPr>
        <w:t>руемой среды вблизи от территории завода характеризуется как критическое. По мере удаления от завода качество атмосферного воздуха улучшается.</w:t>
      </w:r>
    </w:p>
    <w:p w:rsidR="00CD45A4" w:rsidRPr="00CD45A4" w:rsidRDefault="00CD45A4" w:rsidP="00C579B8">
      <w:pPr>
        <w:widowControl w:val="0"/>
        <w:ind w:firstLine="426"/>
        <w:jc w:val="both"/>
        <w:rPr>
          <w:rFonts w:eastAsia="Calibri"/>
          <w:sz w:val="22"/>
          <w:szCs w:val="22"/>
          <w:lang w:eastAsia="en-US"/>
        </w:rPr>
      </w:pPr>
      <w:r w:rsidRPr="00CD45A4">
        <w:rPr>
          <w:rFonts w:eastAsia="Calibri"/>
          <w:sz w:val="22"/>
          <w:szCs w:val="22"/>
          <w:lang w:eastAsia="en-US"/>
        </w:rPr>
        <w:t>Таким образом, можно сделать вывод, что завод по перерабо</w:t>
      </w:r>
      <w:r w:rsidRPr="00CD45A4">
        <w:rPr>
          <w:rFonts w:eastAsia="Calibri"/>
          <w:sz w:val="22"/>
          <w:szCs w:val="22"/>
          <w:lang w:eastAsia="en-US"/>
        </w:rPr>
        <w:t>т</w:t>
      </w:r>
      <w:r w:rsidRPr="00CD45A4">
        <w:rPr>
          <w:rFonts w:eastAsia="Calibri"/>
          <w:sz w:val="22"/>
          <w:szCs w:val="22"/>
          <w:lang w:eastAsia="en-US"/>
        </w:rPr>
        <w:t>ке отходов выбросами загрязняющих веществ в атмосферный во</w:t>
      </w:r>
      <w:r w:rsidRPr="00CD45A4">
        <w:rPr>
          <w:rFonts w:eastAsia="Calibri"/>
          <w:sz w:val="22"/>
          <w:szCs w:val="22"/>
          <w:lang w:eastAsia="en-US"/>
        </w:rPr>
        <w:t>з</w:t>
      </w:r>
      <w:r w:rsidRPr="00CD45A4">
        <w:rPr>
          <w:rFonts w:eastAsia="Calibri"/>
          <w:sz w:val="22"/>
          <w:szCs w:val="22"/>
          <w:lang w:eastAsia="en-US"/>
        </w:rPr>
        <w:t>дух оказывает негативное воздействие на близлежащую террит</w:t>
      </w:r>
      <w:r w:rsidRPr="00CD45A4">
        <w:rPr>
          <w:rFonts w:eastAsia="Calibri"/>
          <w:sz w:val="22"/>
          <w:szCs w:val="22"/>
          <w:lang w:eastAsia="en-US"/>
        </w:rPr>
        <w:t>о</w:t>
      </w:r>
      <w:r w:rsidRPr="00CD45A4">
        <w:rPr>
          <w:rFonts w:eastAsia="Calibri"/>
          <w:sz w:val="22"/>
          <w:szCs w:val="22"/>
          <w:lang w:eastAsia="en-US"/>
        </w:rPr>
        <w:t>рию и данное воздействие снижается по мере удаления от завода.</w:t>
      </w:r>
    </w:p>
    <w:p w:rsidR="00CD45A4" w:rsidRPr="00CD45A4" w:rsidRDefault="00CD45A4" w:rsidP="00D50091">
      <w:pPr>
        <w:widowControl w:val="0"/>
        <w:ind w:firstLine="426"/>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D50091">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Н.В. Чернышева, В.В. Стрельников, А.Г. Сухомлинова, Е.В. Суркова – Краснодар: КубГАУ, 2016. – 80 с. </w:t>
      </w:r>
    </w:p>
    <w:p w:rsidR="00CD45A4" w:rsidRPr="00CD45A4" w:rsidRDefault="00CD45A4" w:rsidP="00D50091">
      <w:pPr>
        <w:widowControl w:val="0"/>
        <w:suppressAutoHyphens/>
        <w:ind w:firstLine="426"/>
        <w:jc w:val="both"/>
        <w:rPr>
          <w:rFonts w:eastAsia="Calibri"/>
          <w:sz w:val="22"/>
          <w:szCs w:val="22"/>
          <w:lang w:eastAsia="en-US"/>
        </w:rPr>
      </w:pPr>
      <w:r w:rsidRPr="00CD45A4">
        <w:rPr>
          <w:rFonts w:eastAsia="Calibri"/>
          <w:sz w:val="22"/>
          <w:szCs w:val="22"/>
          <w:lang w:eastAsia="en-US"/>
        </w:rPr>
        <w:t>2. Баранов, С. Г. Изучение признаков для оценки флуктуирующей асимметрии листовой пластины липы мелколистной / С.Г. Баранов // Фундаментальные медико-биологические науки и практическое здравоохранение: сб. науч. тр. 1-й Междунар. телеконференции. Томск, 2010. С. 43-46.</w:t>
      </w:r>
    </w:p>
    <w:p w:rsidR="00CD45A4" w:rsidRPr="00CD45A4" w:rsidRDefault="00CD45A4" w:rsidP="00D50091">
      <w:pPr>
        <w:widowControl w:val="0"/>
        <w:suppressAutoHyphens/>
        <w:ind w:firstLine="426"/>
        <w:jc w:val="both"/>
        <w:rPr>
          <w:rFonts w:eastAsia="Calibri"/>
          <w:sz w:val="22"/>
          <w:szCs w:val="22"/>
          <w:lang w:eastAsia="en-US"/>
        </w:rPr>
      </w:pPr>
      <w:r w:rsidRPr="00CD45A4">
        <w:rPr>
          <w:rFonts w:eastAsia="Calibri"/>
          <w:sz w:val="22"/>
          <w:szCs w:val="22"/>
          <w:lang w:eastAsia="en-US"/>
        </w:rPr>
        <w:t>3. Хорошавин, Л. Б. Основные технологии переработки промышленных и твердых коммунальных отходов: учебное пособие / Л.Б. Хорошавин, В.А. Беляков, Е.А. Свалов; [научный редактор А. С. Носков]; Мин. обр. науки РФ, Уральский федеральный университет. – Екатеринбург: Изд-во Уральского университета, 2016. – 220 с.</w:t>
      </w:r>
    </w:p>
    <w:p w:rsidR="001C6F5C" w:rsidRPr="00863F6A" w:rsidRDefault="00CD45A4" w:rsidP="00863F6A">
      <w:pPr>
        <w:widowControl w:val="0"/>
        <w:suppressAutoHyphens/>
        <w:ind w:firstLine="426"/>
        <w:jc w:val="both"/>
        <w:rPr>
          <w:rFonts w:eastAsia="Calibri"/>
          <w:sz w:val="22"/>
          <w:szCs w:val="22"/>
          <w:lang w:eastAsia="en-US"/>
        </w:rPr>
      </w:pPr>
      <w:r w:rsidRPr="00CD45A4">
        <w:rPr>
          <w:rFonts w:eastAsia="Calibri"/>
          <w:sz w:val="22"/>
          <w:szCs w:val="22"/>
          <w:lang w:eastAsia="en-US"/>
        </w:rPr>
        <w:t>4. Хузина, Г. Р. Характеристика флуктуирующей асимметрии билатеральных признаков листа липы мелколистной (</w:t>
      </w:r>
      <w:r w:rsidRPr="00CD45A4">
        <w:rPr>
          <w:rFonts w:eastAsia="Calibri"/>
          <w:i/>
          <w:sz w:val="22"/>
          <w:szCs w:val="22"/>
          <w:lang w:val="en-US" w:eastAsia="en-US"/>
        </w:rPr>
        <w:t>T</w:t>
      </w:r>
      <w:r w:rsidRPr="00CD45A4">
        <w:rPr>
          <w:rFonts w:eastAsia="Calibri"/>
          <w:i/>
          <w:sz w:val="22"/>
          <w:szCs w:val="22"/>
          <w:lang w:eastAsia="en-US"/>
        </w:rPr>
        <w:t>ilia cordata L.)</w:t>
      </w:r>
      <w:r w:rsidRPr="00CD45A4">
        <w:rPr>
          <w:rFonts w:eastAsia="Calibri"/>
          <w:sz w:val="22"/>
          <w:szCs w:val="22"/>
          <w:lang w:eastAsia="en-US"/>
        </w:rPr>
        <w:t xml:space="preserve"> / Г.Р. Хузина // Вестник УдмГУ . 2011. №6-3. С.47-52.</w:t>
      </w:r>
    </w:p>
    <w:p w:rsidR="00CD45A4" w:rsidRDefault="00CD45A4" w:rsidP="00CD45A4">
      <w:pPr>
        <w:widowControl w:val="0"/>
        <w:contextualSpacing/>
        <w:rPr>
          <w:rFonts w:eastAsia="Calibri"/>
          <w:sz w:val="22"/>
          <w:szCs w:val="22"/>
          <w:lang w:eastAsia="en-US"/>
        </w:rPr>
      </w:pPr>
      <w:r w:rsidRPr="00CD45A4">
        <w:rPr>
          <w:rFonts w:eastAsia="Calibri"/>
          <w:sz w:val="22"/>
          <w:szCs w:val="22"/>
          <w:lang w:eastAsia="en-US"/>
        </w:rPr>
        <w:lastRenderedPageBreak/>
        <w:t>УДК 504.064.3:504.3 (470.620)</w:t>
      </w:r>
    </w:p>
    <w:p w:rsidR="00863F6A" w:rsidRPr="00863F6A" w:rsidRDefault="00863F6A" w:rsidP="00CD45A4">
      <w:pPr>
        <w:widowControl w:val="0"/>
        <w:contextualSpacing/>
        <w:rPr>
          <w:rFonts w:eastAsia="Calibri"/>
          <w:sz w:val="22"/>
          <w:szCs w:val="22"/>
          <w:lang w:eastAsia="en-US"/>
        </w:rPr>
      </w:pPr>
    </w:p>
    <w:p w:rsidR="00D50091" w:rsidRDefault="00CD45A4" w:rsidP="00CD45A4">
      <w:pPr>
        <w:widowControl w:val="0"/>
        <w:suppressAutoHyphens/>
        <w:jc w:val="center"/>
        <w:rPr>
          <w:rFonts w:eastAsia="Calibri"/>
          <w:b/>
          <w:sz w:val="24"/>
          <w:szCs w:val="24"/>
          <w:lang w:eastAsia="en-US"/>
        </w:rPr>
      </w:pPr>
      <w:r w:rsidRPr="00CD45A4">
        <w:rPr>
          <w:rFonts w:eastAsia="Calibri"/>
          <w:b/>
          <w:sz w:val="24"/>
          <w:szCs w:val="24"/>
          <w:lang w:eastAsia="en-US"/>
        </w:rPr>
        <w:t xml:space="preserve">Изучение запыленности атмосферного воздуха </w:t>
      </w:r>
      <w:proofErr w:type="gramStart"/>
      <w:r w:rsidRPr="00CD45A4">
        <w:rPr>
          <w:rFonts w:eastAsia="Calibri"/>
          <w:b/>
          <w:sz w:val="24"/>
          <w:szCs w:val="24"/>
          <w:lang w:eastAsia="en-US"/>
        </w:rPr>
        <w:t>на</w:t>
      </w:r>
      <w:proofErr w:type="gramEnd"/>
      <w:r w:rsidRPr="00CD45A4">
        <w:rPr>
          <w:rFonts w:eastAsia="Calibri"/>
          <w:b/>
          <w:sz w:val="24"/>
          <w:szCs w:val="24"/>
          <w:lang w:eastAsia="en-US"/>
        </w:rPr>
        <w:t xml:space="preserve"> </w:t>
      </w:r>
    </w:p>
    <w:p w:rsidR="00CD45A4" w:rsidRPr="00CD45A4" w:rsidRDefault="00CD45A4" w:rsidP="00CD45A4">
      <w:pPr>
        <w:widowControl w:val="0"/>
        <w:suppressAutoHyphens/>
        <w:jc w:val="center"/>
        <w:rPr>
          <w:rFonts w:eastAsia="Calibri"/>
          <w:b/>
          <w:sz w:val="24"/>
          <w:szCs w:val="24"/>
          <w:lang w:eastAsia="en-US"/>
        </w:rPr>
      </w:pPr>
      <w:r w:rsidRPr="00CD45A4">
        <w:rPr>
          <w:rFonts w:eastAsia="Calibri"/>
          <w:b/>
          <w:sz w:val="24"/>
          <w:szCs w:val="24"/>
          <w:lang w:eastAsia="en-US"/>
        </w:rPr>
        <w:t>ООО «Крымский хлебозавод»</w:t>
      </w:r>
      <w:r w:rsidRPr="00CD45A4">
        <w:rPr>
          <w:sz w:val="22"/>
          <w:szCs w:val="22"/>
        </w:rPr>
        <w:t xml:space="preserve"> </w:t>
      </w:r>
      <w:r w:rsidRPr="00CD45A4">
        <w:rPr>
          <w:b/>
          <w:sz w:val="24"/>
          <w:szCs w:val="24"/>
        </w:rPr>
        <w:t>гравиметрическим методом</w:t>
      </w:r>
    </w:p>
    <w:p w:rsidR="00D50091" w:rsidRPr="003C00E9" w:rsidRDefault="00CD45A4" w:rsidP="00CD45A4">
      <w:pPr>
        <w:widowControl w:val="0"/>
        <w:suppressAutoHyphens/>
        <w:autoSpaceDE w:val="0"/>
        <w:autoSpaceDN w:val="0"/>
        <w:adjustRightInd w:val="0"/>
        <w:jc w:val="center"/>
        <w:rPr>
          <w:b/>
          <w:sz w:val="24"/>
          <w:szCs w:val="24"/>
          <w:lang w:val="en-US"/>
        </w:rPr>
      </w:pPr>
      <w:r w:rsidRPr="00CD45A4">
        <w:rPr>
          <w:b/>
          <w:sz w:val="24"/>
          <w:szCs w:val="24"/>
          <w:lang w:val="en-US"/>
        </w:rPr>
        <w:t xml:space="preserve">Study of dustiness of atmospheric air at </w:t>
      </w:r>
    </w:p>
    <w:p w:rsidR="00CD45A4" w:rsidRPr="00CD45A4" w:rsidRDefault="00CD45A4" w:rsidP="00CD45A4">
      <w:pPr>
        <w:widowControl w:val="0"/>
        <w:suppressAutoHyphens/>
        <w:autoSpaceDE w:val="0"/>
        <w:autoSpaceDN w:val="0"/>
        <w:adjustRightInd w:val="0"/>
        <w:jc w:val="center"/>
        <w:rPr>
          <w:b/>
          <w:sz w:val="24"/>
          <w:szCs w:val="24"/>
          <w:lang w:val="en-US"/>
        </w:rPr>
      </w:pPr>
      <w:r w:rsidRPr="00CD45A4">
        <w:rPr>
          <w:b/>
          <w:sz w:val="24"/>
          <w:szCs w:val="24"/>
          <w:lang w:val="en-US"/>
        </w:rPr>
        <w:t>OOO «Crimean bread-baking plant» gravimetric method</w:t>
      </w:r>
    </w:p>
    <w:p w:rsidR="00CD45A4" w:rsidRPr="00CD45A4" w:rsidRDefault="00CD45A4" w:rsidP="00CD45A4">
      <w:pPr>
        <w:widowControl w:val="0"/>
        <w:suppressAutoHyphens/>
        <w:autoSpaceDE w:val="0"/>
        <w:autoSpaceDN w:val="0"/>
        <w:adjustRightInd w:val="0"/>
        <w:jc w:val="center"/>
        <w:rPr>
          <w:b/>
          <w:sz w:val="22"/>
          <w:szCs w:val="22"/>
          <w:lang w:val="en-US"/>
        </w:rPr>
      </w:pPr>
    </w:p>
    <w:p w:rsidR="00CD45A4" w:rsidRPr="00CD45A4" w:rsidRDefault="00CD45A4" w:rsidP="00CD45A4">
      <w:pPr>
        <w:widowControl w:val="0"/>
        <w:tabs>
          <w:tab w:val="left" w:pos="8223"/>
        </w:tabs>
        <w:contextualSpacing/>
        <w:jc w:val="right"/>
        <w:rPr>
          <w:rFonts w:eastAsia="Courier New"/>
          <w:sz w:val="22"/>
          <w:szCs w:val="22"/>
          <w:lang w:eastAsia="en-US"/>
        </w:rPr>
      </w:pPr>
      <w:r w:rsidRPr="00CD45A4">
        <w:rPr>
          <w:rFonts w:eastAsia="Courier New"/>
          <w:sz w:val="22"/>
          <w:szCs w:val="22"/>
          <w:lang w:eastAsia="en-US"/>
        </w:rPr>
        <w:t>Войтенко Л. Ю.,</w:t>
      </w:r>
    </w:p>
    <w:p w:rsidR="00CD45A4" w:rsidRPr="00CD45A4" w:rsidRDefault="00D50091" w:rsidP="00CD45A4">
      <w:pPr>
        <w:widowControl w:val="0"/>
        <w:tabs>
          <w:tab w:val="left" w:pos="8223"/>
        </w:tabs>
        <w:contextualSpacing/>
        <w:jc w:val="right"/>
        <w:rPr>
          <w:rFonts w:eastAsia="Courier New"/>
          <w:color w:val="000000"/>
          <w:sz w:val="22"/>
          <w:szCs w:val="22"/>
          <w:lang w:eastAsia="en-US"/>
        </w:rPr>
      </w:pPr>
      <w:r>
        <w:rPr>
          <w:rFonts w:eastAsia="Courier New"/>
          <w:color w:val="000000"/>
          <w:sz w:val="22"/>
          <w:szCs w:val="22"/>
          <w:lang w:eastAsia="en-US"/>
        </w:rPr>
        <w:t>студентка 4-го курса</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Куб</w:t>
      </w:r>
      <w:r w:rsidR="00D50091">
        <w:rPr>
          <w:rFonts w:eastAsia="Courier New"/>
          <w:color w:val="000000"/>
          <w:sz w:val="22"/>
          <w:szCs w:val="22"/>
          <w:lang w:eastAsia="en-US"/>
        </w:rPr>
        <w:t>анский государственный аграрный</w:t>
      </w:r>
    </w:p>
    <w:p w:rsidR="00CD45A4" w:rsidRPr="00CD45A4" w:rsidRDefault="00CD45A4" w:rsidP="00CD45A4">
      <w:pPr>
        <w:widowControl w:val="0"/>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C579B8">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widowControl w:val="0"/>
        <w:contextualSpacing/>
        <w:jc w:val="both"/>
        <w:rPr>
          <w:rFonts w:eastAsia="Courier New"/>
          <w:color w:val="000000"/>
          <w:sz w:val="22"/>
          <w:szCs w:val="22"/>
          <w:lang w:eastAsia="en-US"/>
        </w:rPr>
      </w:pPr>
    </w:p>
    <w:p w:rsidR="00CD45A4" w:rsidRPr="00CD45A4" w:rsidRDefault="00CD45A4" w:rsidP="00D50091">
      <w:pPr>
        <w:widowControl w:val="0"/>
        <w:suppressAutoHyphens/>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АННОТАЦИЯ: В статье изучена</w:t>
      </w:r>
      <w:r w:rsidRPr="00CD45A4">
        <w:rPr>
          <w:sz w:val="22"/>
          <w:szCs w:val="22"/>
        </w:rPr>
        <w:t xml:space="preserve"> запыленность воздуха, которая определялась гравиметрическим методом с помощью фильтров АФА-ВП-10. Рассчитана концентрация пыли в воздухе, были установлены места наибольшего пылевого загрязнения.</w:t>
      </w:r>
    </w:p>
    <w:p w:rsidR="00CD45A4" w:rsidRPr="00CD45A4" w:rsidRDefault="00CD45A4" w:rsidP="00D50091">
      <w:pPr>
        <w:widowControl w:val="0"/>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ABSTRACT: The article studied the dustiness of air, which was d</w:t>
      </w:r>
      <w:r w:rsidRPr="00CD45A4">
        <w:rPr>
          <w:rFonts w:eastAsia="Courier New"/>
          <w:color w:val="000000"/>
          <w:sz w:val="22"/>
          <w:szCs w:val="22"/>
          <w:lang w:val="en-US" w:eastAsia="en-US"/>
        </w:rPr>
        <w:t>e</w:t>
      </w:r>
      <w:r w:rsidRPr="00CD45A4">
        <w:rPr>
          <w:rFonts w:eastAsia="Courier New"/>
          <w:color w:val="000000"/>
          <w:sz w:val="22"/>
          <w:szCs w:val="22"/>
          <w:lang w:val="en-US" w:eastAsia="en-US"/>
        </w:rPr>
        <w:t xml:space="preserve">termined by gravimetric method with the help of filters AFA-VP-10. The concentration of dust in the air is </w:t>
      </w:r>
      <w:proofErr w:type="gramStart"/>
      <w:r w:rsidRPr="00CD45A4">
        <w:rPr>
          <w:rFonts w:eastAsia="Courier New"/>
          <w:color w:val="000000"/>
          <w:sz w:val="22"/>
          <w:szCs w:val="22"/>
          <w:lang w:val="en-US" w:eastAsia="en-US"/>
        </w:rPr>
        <w:t>calculated,</w:t>
      </w:r>
      <w:proofErr w:type="gramEnd"/>
      <w:r w:rsidRPr="00CD45A4">
        <w:rPr>
          <w:rFonts w:eastAsia="Courier New"/>
          <w:color w:val="000000"/>
          <w:sz w:val="22"/>
          <w:szCs w:val="22"/>
          <w:lang w:val="en-US" w:eastAsia="en-US"/>
        </w:rPr>
        <w:t xml:space="preserve"> the places of the greatest dust pollution have been established.</w:t>
      </w:r>
    </w:p>
    <w:p w:rsidR="00CD45A4" w:rsidRPr="00CD45A4" w:rsidRDefault="00CD45A4" w:rsidP="00D50091">
      <w:pPr>
        <w:widowControl w:val="0"/>
        <w:suppressAutoHyphens/>
        <w:ind w:firstLine="426"/>
        <w:contextualSpacing/>
        <w:jc w:val="both"/>
        <w:rPr>
          <w:rFonts w:eastAsia="Courier New"/>
          <w:color w:val="000000"/>
          <w:sz w:val="22"/>
          <w:szCs w:val="22"/>
          <w:lang w:eastAsia="en-US"/>
        </w:rPr>
      </w:pPr>
      <w:proofErr w:type="gramStart"/>
      <w:r w:rsidRPr="00CD45A4">
        <w:rPr>
          <w:rFonts w:eastAsia="Courier New"/>
          <w:color w:val="000000"/>
          <w:sz w:val="22"/>
          <w:szCs w:val="22"/>
          <w:lang w:eastAsia="en-US"/>
        </w:rPr>
        <w:t xml:space="preserve">КЛЮЧЕВЫЕ СЛОВА: хлеб, </w:t>
      </w:r>
      <w:r w:rsidRPr="00CD45A4">
        <w:rPr>
          <w:sz w:val="22"/>
          <w:szCs w:val="22"/>
          <w:highlight w:val="white"/>
        </w:rPr>
        <w:t>хлебобулочные изделия</w:t>
      </w:r>
      <w:r w:rsidRPr="00CD45A4">
        <w:rPr>
          <w:sz w:val="22"/>
          <w:szCs w:val="22"/>
        </w:rPr>
        <w:t>,</w:t>
      </w:r>
      <w:r w:rsidRPr="00CD45A4">
        <w:rPr>
          <w:rFonts w:eastAsia="Courier New"/>
          <w:color w:val="000000"/>
          <w:sz w:val="22"/>
          <w:szCs w:val="22"/>
          <w:lang w:eastAsia="en-US"/>
        </w:rPr>
        <w:t xml:space="preserve"> запыленность, атмосферный воздух, пыль, окружающая среда.</w:t>
      </w:r>
      <w:proofErr w:type="gramEnd"/>
    </w:p>
    <w:p w:rsidR="00CD45A4" w:rsidRPr="00CD45A4" w:rsidRDefault="00CD45A4" w:rsidP="00D50091">
      <w:pPr>
        <w:widowControl w:val="0"/>
        <w:suppressAutoHyphens/>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KEY WORDS: bread, bakery products, dust, atmospheric air, dust, the environment</w:t>
      </w:r>
    </w:p>
    <w:p w:rsidR="00CD45A4" w:rsidRPr="00CD45A4" w:rsidRDefault="00CD45A4" w:rsidP="00D50091">
      <w:pPr>
        <w:widowControl w:val="0"/>
        <w:ind w:firstLine="426"/>
        <w:contextualSpacing/>
        <w:jc w:val="both"/>
        <w:rPr>
          <w:rFonts w:eastAsia="Courier New"/>
          <w:color w:val="000000"/>
          <w:sz w:val="22"/>
          <w:szCs w:val="22"/>
          <w:lang w:val="en-US" w:eastAsia="en-US"/>
        </w:rPr>
      </w:pPr>
    </w:p>
    <w:p w:rsidR="00CD45A4" w:rsidRPr="00CD45A4" w:rsidRDefault="00CD45A4" w:rsidP="00D50091">
      <w:pPr>
        <w:widowControl w:val="0"/>
        <w:shd w:val="clear" w:color="auto" w:fill="FFFFFF"/>
        <w:ind w:firstLine="426"/>
        <w:jc w:val="both"/>
        <w:rPr>
          <w:rFonts w:eastAsia="Calibri"/>
          <w:sz w:val="22"/>
          <w:szCs w:val="22"/>
          <w:lang w:eastAsia="en-US"/>
        </w:rPr>
      </w:pPr>
      <w:r w:rsidRPr="00CD45A4">
        <w:rPr>
          <w:rFonts w:eastAsia="Calibri"/>
          <w:sz w:val="22"/>
          <w:szCs w:val="22"/>
          <w:lang w:eastAsia="en-US"/>
        </w:rPr>
        <w:t>В настоящее время все чаще и чаще употребляется выражение «качество жизни», которое означает благополучие общества и ка</w:t>
      </w:r>
      <w:r w:rsidRPr="00CD45A4">
        <w:rPr>
          <w:rFonts w:eastAsia="Calibri"/>
          <w:sz w:val="22"/>
          <w:szCs w:val="22"/>
          <w:lang w:eastAsia="en-US"/>
        </w:rPr>
        <w:t>ж</w:t>
      </w:r>
      <w:r w:rsidRPr="00CD45A4">
        <w:rPr>
          <w:rFonts w:eastAsia="Calibri"/>
          <w:sz w:val="22"/>
          <w:szCs w:val="22"/>
          <w:lang w:eastAsia="en-US"/>
        </w:rPr>
        <w:t>дого отдельного человека. Поэтому, как следствие помимо экон</w:t>
      </w:r>
      <w:r w:rsidRPr="00CD45A4">
        <w:rPr>
          <w:rFonts w:eastAsia="Calibri"/>
          <w:sz w:val="22"/>
          <w:szCs w:val="22"/>
          <w:lang w:eastAsia="en-US"/>
        </w:rPr>
        <w:t>о</w:t>
      </w:r>
      <w:r w:rsidRPr="00CD45A4">
        <w:rPr>
          <w:rFonts w:eastAsia="Calibri"/>
          <w:sz w:val="22"/>
          <w:szCs w:val="22"/>
          <w:lang w:eastAsia="en-US"/>
        </w:rPr>
        <w:t>мических и социальных компонентов в качество жизни входит к</w:t>
      </w:r>
      <w:r w:rsidRPr="00CD45A4">
        <w:rPr>
          <w:rFonts w:eastAsia="Calibri"/>
          <w:sz w:val="22"/>
          <w:szCs w:val="22"/>
          <w:lang w:eastAsia="en-US"/>
        </w:rPr>
        <w:t>а</w:t>
      </w:r>
      <w:r w:rsidRPr="00CD45A4">
        <w:rPr>
          <w:rFonts w:eastAsia="Calibri"/>
          <w:sz w:val="22"/>
          <w:szCs w:val="22"/>
          <w:lang w:eastAsia="en-US"/>
        </w:rPr>
        <w:t>чество окружающей среды. Обеспечение безопасности продовол</w:t>
      </w:r>
      <w:r w:rsidRPr="00CD45A4">
        <w:rPr>
          <w:rFonts w:eastAsia="Calibri"/>
          <w:sz w:val="22"/>
          <w:szCs w:val="22"/>
          <w:lang w:eastAsia="en-US"/>
        </w:rPr>
        <w:t>ь</w:t>
      </w:r>
      <w:r w:rsidRPr="00CD45A4">
        <w:rPr>
          <w:rFonts w:eastAsia="Calibri"/>
          <w:sz w:val="22"/>
          <w:szCs w:val="22"/>
          <w:lang w:eastAsia="en-US"/>
        </w:rPr>
        <w:t>ственного сырья, пищевых продуктов и готовых блюд – одно из о</w:t>
      </w:r>
      <w:r w:rsidRPr="00CD45A4">
        <w:rPr>
          <w:rFonts w:eastAsia="Calibri"/>
          <w:sz w:val="22"/>
          <w:szCs w:val="22"/>
          <w:lang w:eastAsia="en-US"/>
        </w:rPr>
        <w:t>с</w:t>
      </w:r>
      <w:r w:rsidRPr="00CD45A4">
        <w:rPr>
          <w:rFonts w:eastAsia="Calibri"/>
          <w:sz w:val="22"/>
          <w:szCs w:val="22"/>
          <w:lang w:eastAsia="en-US"/>
        </w:rPr>
        <w:t>новных направлений, определяющих здоровье населения и сохр</w:t>
      </w:r>
      <w:r w:rsidRPr="00CD45A4">
        <w:rPr>
          <w:rFonts w:eastAsia="Calibri"/>
          <w:sz w:val="22"/>
          <w:szCs w:val="22"/>
          <w:lang w:eastAsia="en-US"/>
        </w:rPr>
        <w:t>а</w:t>
      </w:r>
      <w:r w:rsidRPr="00CD45A4">
        <w:rPr>
          <w:rFonts w:eastAsia="Calibri"/>
          <w:sz w:val="22"/>
          <w:szCs w:val="22"/>
          <w:lang w:eastAsia="en-US"/>
        </w:rPr>
        <w:t xml:space="preserve">нение его генофонда. </w:t>
      </w:r>
    </w:p>
    <w:p w:rsidR="00CD45A4" w:rsidRPr="00CD45A4" w:rsidRDefault="00CD45A4" w:rsidP="00D50091">
      <w:pPr>
        <w:widowControl w:val="0"/>
        <w:shd w:val="clear" w:color="auto" w:fill="FFFFFF"/>
        <w:ind w:firstLine="426"/>
        <w:jc w:val="both"/>
        <w:rPr>
          <w:rFonts w:eastAsia="Calibri"/>
          <w:color w:val="FF0000"/>
          <w:sz w:val="22"/>
          <w:szCs w:val="22"/>
          <w:lang w:eastAsia="en-US"/>
        </w:rPr>
      </w:pPr>
      <w:r w:rsidRPr="00CD45A4">
        <w:rPr>
          <w:rFonts w:eastAsia="Calibri"/>
          <w:sz w:val="22"/>
          <w:szCs w:val="22"/>
          <w:lang w:eastAsia="en-US"/>
        </w:rPr>
        <w:t>Вышеизложенное подтверждается тем, что 70 % всех чужеро</w:t>
      </w:r>
      <w:r w:rsidRPr="00CD45A4">
        <w:rPr>
          <w:rFonts w:eastAsia="Calibri"/>
          <w:sz w:val="22"/>
          <w:szCs w:val="22"/>
          <w:lang w:eastAsia="en-US"/>
        </w:rPr>
        <w:t>д</w:t>
      </w:r>
      <w:r w:rsidRPr="00CD45A4">
        <w:rPr>
          <w:rFonts w:eastAsia="Calibri"/>
          <w:sz w:val="22"/>
          <w:szCs w:val="22"/>
          <w:lang w:eastAsia="en-US"/>
        </w:rPr>
        <w:t xml:space="preserve">ных веществ попадает в организм человека через пищу, 20 % через воздух и лишь 10 % через воду. Но это не означает, что воздух или </w:t>
      </w:r>
      <w:r w:rsidRPr="00CD45A4">
        <w:rPr>
          <w:rFonts w:eastAsia="Calibri"/>
          <w:sz w:val="22"/>
          <w:szCs w:val="22"/>
          <w:lang w:eastAsia="en-US"/>
        </w:rPr>
        <w:lastRenderedPageBreak/>
        <w:t xml:space="preserve">вода, имеет второстепенное значение для здоровья населения </w:t>
      </w:r>
      <w:r w:rsidRPr="00CD45A4">
        <w:rPr>
          <w:sz w:val="22"/>
          <w:szCs w:val="22"/>
          <w:highlight w:val="white"/>
        </w:rPr>
        <w:t>[1]</w:t>
      </w:r>
      <w:r w:rsidRPr="00CD45A4">
        <w:rPr>
          <w:rFonts w:eastAsia="Calibri"/>
          <w:sz w:val="22"/>
          <w:szCs w:val="22"/>
          <w:lang w:eastAsia="en-US"/>
        </w:rPr>
        <w:t xml:space="preserve">. </w:t>
      </w:r>
    </w:p>
    <w:p w:rsidR="00CD45A4" w:rsidRPr="00CD45A4" w:rsidRDefault="00CD45A4" w:rsidP="00D50091">
      <w:pPr>
        <w:widowControl w:val="0"/>
        <w:autoSpaceDE w:val="0"/>
        <w:autoSpaceDN w:val="0"/>
        <w:adjustRightInd w:val="0"/>
        <w:ind w:firstLine="426"/>
        <w:jc w:val="both"/>
        <w:rPr>
          <w:sz w:val="22"/>
          <w:szCs w:val="22"/>
          <w:highlight w:val="white"/>
        </w:rPr>
      </w:pPr>
      <w:r w:rsidRPr="00CD45A4">
        <w:rPr>
          <w:sz w:val="22"/>
          <w:szCs w:val="22"/>
          <w:highlight w:val="white"/>
        </w:rPr>
        <w:t>Основные продукты питания людей – хлеб и хлебобулочные изделия, потребляя их, человек удовлетворяет свои энергетические потребности [3]. Но в процессе производства хлеба в окружающую среду поступает большое количество различных вредных веществ. Одним из видов выбросов загрязняющих атмосферный воздух</w:t>
      </w:r>
      <w:r w:rsidRPr="00CD45A4">
        <w:rPr>
          <w:color w:val="FF0000"/>
          <w:sz w:val="22"/>
          <w:szCs w:val="22"/>
          <w:highlight w:val="white"/>
        </w:rPr>
        <w:t xml:space="preserve"> </w:t>
      </w:r>
      <w:r w:rsidRPr="00CD45A4">
        <w:rPr>
          <w:sz w:val="22"/>
          <w:szCs w:val="22"/>
          <w:highlight w:val="white"/>
        </w:rPr>
        <w:t>я</w:t>
      </w:r>
      <w:r w:rsidRPr="00CD45A4">
        <w:rPr>
          <w:sz w:val="22"/>
          <w:szCs w:val="22"/>
          <w:highlight w:val="white"/>
        </w:rPr>
        <w:t>в</w:t>
      </w:r>
      <w:r w:rsidRPr="00CD45A4">
        <w:rPr>
          <w:sz w:val="22"/>
          <w:szCs w:val="22"/>
          <w:highlight w:val="white"/>
        </w:rPr>
        <w:t xml:space="preserve">ляются </w:t>
      </w:r>
      <w:r w:rsidRPr="00CD45A4">
        <w:rPr>
          <w:rFonts w:eastAsia="Calibri"/>
          <w:sz w:val="22"/>
          <w:szCs w:val="22"/>
          <w:lang w:eastAsia="en-US"/>
        </w:rPr>
        <w:t>различные виды органической пыли, в частности</w:t>
      </w:r>
      <w:r w:rsidRPr="00CD45A4">
        <w:rPr>
          <w:rFonts w:eastAsia="Calibri"/>
          <w:lang w:eastAsia="en-US"/>
        </w:rPr>
        <w:t xml:space="preserve"> </w:t>
      </w:r>
      <w:r w:rsidRPr="00CD45A4">
        <w:rPr>
          <w:sz w:val="22"/>
          <w:szCs w:val="22"/>
          <w:highlight w:val="white"/>
        </w:rPr>
        <w:t>мучная пыль, которая образуется в таких процессах как – дробление, ра</w:t>
      </w:r>
      <w:r w:rsidRPr="00CD45A4">
        <w:rPr>
          <w:sz w:val="22"/>
          <w:szCs w:val="22"/>
          <w:highlight w:val="white"/>
        </w:rPr>
        <w:t>с</w:t>
      </w:r>
      <w:r w:rsidRPr="00CD45A4">
        <w:rPr>
          <w:sz w:val="22"/>
          <w:szCs w:val="22"/>
          <w:highlight w:val="white"/>
        </w:rPr>
        <w:t>сев, смешивание, транспортировка сыпучих материалов и т.д.</w:t>
      </w:r>
    </w:p>
    <w:p w:rsidR="00CD45A4" w:rsidRPr="00CD45A4" w:rsidRDefault="00CD45A4" w:rsidP="00D50091">
      <w:pPr>
        <w:widowControl w:val="0"/>
        <w:shd w:val="clear" w:color="auto" w:fill="FFFFFF"/>
        <w:ind w:firstLine="426"/>
        <w:jc w:val="both"/>
        <w:rPr>
          <w:sz w:val="22"/>
          <w:szCs w:val="22"/>
        </w:rPr>
      </w:pPr>
      <w:r w:rsidRPr="00CD45A4">
        <w:rPr>
          <w:sz w:val="22"/>
          <w:szCs w:val="22"/>
        </w:rPr>
        <w:t xml:space="preserve">Как известно, пыль разного вида и различного происхождения </w:t>
      </w:r>
      <w:r w:rsidRPr="00CD45A4">
        <w:rPr>
          <w:sz w:val="22"/>
          <w:szCs w:val="22"/>
          <w:highlight w:val="white"/>
        </w:rPr>
        <w:t xml:space="preserve">(в виде аэрозолей), </w:t>
      </w:r>
      <w:r w:rsidRPr="00CD45A4">
        <w:rPr>
          <w:sz w:val="22"/>
          <w:szCs w:val="22"/>
        </w:rPr>
        <w:t xml:space="preserve">может вызвать у людей </w:t>
      </w:r>
      <w:r w:rsidRPr="00CD45A4">
        <w:rPr>
          <w:sz w:val="22"/>
          <w:szCs w:val="22"/>
          <w:highlight w:val="white"/>
        </w:rPr>
        <w:t>раздражение дыхател</w:t>
      </w:r>
      <w:r w:rsidRPr="00CD45A4">
        <w:rPr>
          <w:sz w:val="22"/>
          <w:szCs w:val="22"/>
          <w:highlight w:val="white"/>
        </w:rPr>
        <w:t>ь</w:t>
      </w:r>
      <w:r w:rsidRPr="00CD45A4">
        <w:rPr>
          <w:sz w:val="22"/>
          <w:szCs w:val="22"/>
          <w:highlight w:val="white"/>
        </w:rPr>
        <w:t>ных путей</w:t>
      </w:r>
      <w:r w:rsidRPr="00CD45A4">
        <w:rPr>
          <w:sz w:val="22"/>
          <w:szCs w:val="22"/>
        </w:rPr>
        <w:t xml:space="preserve">, </w:t>
      </w:r>
      <w:r w:rsidRPr="00CD45A4">
        <w:rPr>
          <w:sz w:val="22"/>
          <w:szCs w:val="22"/>
          <w:highlight w:val="white"/>
        </w:rPr>
        <w:t>а также аллергические заб</w:t>
      </w:r>
      <w:r w:rsidRPr="00CD45A4">
        <w:rPr>
          <w:sz w:val="22"/>
          <w:szCs w:val="22"/>
        </w:rPr>
        <w:t>олевания. При аллергии поя</w:t>
      </w:r>
      <w:r w:rsidRPr="00CD45A4">
        <w:rPr>
          <w:sz w:val="22"/>
          <w:szCs w:val="22"/>
        </w:rPr>
        <w:t>в</w:t>
      </w:r>
      <w:r w:rsidRPr="00CD45A4">
        <w:rPr>
          <w:sz w:val="22"/>
          <w:szCs w:val="22"/>
        </w:rPr>
        <w:t>ляются различные симптомы заболевания: воспалительные проце</w:t>
      </w:r>
      <w:r w:rsidRPr="00CD45A4">
        <w:rPr>
          <w:sz w:val="22"/>
          <w:szCs w:val="22"/>
        </w:rPr>
        <w:t>с</w:t>
      </w:r>
      <w:r w:rsidRPr="00CD45A4">
        <w:rPr>
          <w:sz w:val="22"/>
          <w:szCs w:val="22"/>
        </w:rPr>
        <w:t xml:space="preserve">сы (раздражение), усиленная секреция слизистых оболочек, отеки и др. Поэтому важно контролировать содержание пыли в воздухе [2]. </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Пищевая промышленность не относится к основным загрязн</w:t>
      </w:r>
      <w:r w:rsidRPr="00CD45A4">
        <w:rPr>
          <w:rFonts w:eastAsia="Calibri"/>
          <w:sz w:val="22"/>
          <w:szCs w:val="22"/>
          <w:lang w:eastAsia="en-US"/>
        </w:rPr>
        <w:t>и</w:t>
      </w:r>
      <w:r w:rsidRPr="00CD45A4">
        <w:rPr>
          <w:rFonts w:eastAsia="Calibri"/>
          <w:sz w:val="22"/>
          <w:szCs w:val="22"/>
          <w:lang w:eastAsia="en-US"/>
        </w:rPr>
        <w:t>телям атмосферы. Однако почти все предприятия пищевой пр</w:t>
      </w:r>
      <w:r w:rsidRPr="00CD45A4">
        <w:rPr>
          <w:rFonts w:eastAsia="Calibri"/>
          <w:sz w:val="22"/>
          <w:szCs w:val="22"/>
          <w:lang w:eastAsia="en-US"/>
        </w:rPr>
        <w:t>о</w:t>
      </w:r>
      <w:r w:rsidRPr="00CD45A4">
        <w:rPr>
          <w:rFonts w:eastAsia="Calibri"/>
          <w:sz w:val="22"/>
          <w:szCs w:val="22"/>
          <w:lang w:eastAsia="en-US"/>
        </w:rPr>
        <w:t xml:space="preserve">мышленности выбрасывают в атмосферу газы и пыль, ухудшающие состояние атмосферного воздуха. </w:t>
      </w: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Актуальность данной темы вызвана повседневной потребн</w:t>
      </w:r>
      <w:r w:rsidRPr="00CD45A4">
        <w:rPr>
          <w:rFonts w:eastAsia="Calibri"/>
          <w:sz w:val="22"/>
          <w:szCs w:val="22"/>
          <w:lang w:eastAsia="en-US"/>
        </w:rPr>
        <w:t>о</w:t>
      </w:r>
      <w:r w:rsidRPr="00CD45A4">
        <w:rPr>
          <w:rFonts w:eastAsia="Calibri"/>
          <w:sz w:val="22"/>
          <w:szCs w:val="22"/>
          <w:lang w:eastAsia="en-US"/>
        </w:rPr>
        <w:t>стью человека в продуктах питания, поэтому в связи с этим целью работы стало изучение запыленности атмосферного воздуха н</w:t>
      </w:r>
      <w:proofErr w:type="gramStart"/>
      <w:r w:rsidRPr="00CD45A4">
        <w:rPr>
          <w:rFonts w:eastAsia="Calibri"/>
          <w:sz w:val="22"/>
          <w:szCs w:val="22"/>
          <w:lang w:eastAsia="en-US"/>
        </w:rPr>
        <w:t>а ООО</w:t>
      </w:r>
      <w:proofErr w:type="gramEnd"/>
      <w:r w:rsidRPr="00CD45A4">
        <w:rPr>
          <w:rFonts w:eastAsia="Calibri"/>
          <w:sz w:val="22"/>
          <w:szCs w:val="22"/>
          <w:lang w:eastAsia="en-US"/>
        </w:rPr>
        <w:t xml:space="preserve"> «Крымский хлебозавод»</w:t>
      </w:r>
      <w:r w:rsidRPr="00CD45A4">
        <w:rPr>
          <w:sz w:val="22"/>
          <w:szCs w:val="22"/>
        </w:rPr>
        <w:t xml:space="preserve"> гравиметрическим методом</w:t>
      </w:r>
      <w:r w:rsidRPr="00CD45A4">
        <w:rPr>
          <w:rFonts w:eastAsia="Calibri"/>
          <w:sz w:val="22"/>
          <w:szCs w:val="22"/>
          <w:lang w:eastAsia="en-US"/>
        </w:rPr>
        <w:t>. Осно</w:t>
      </w:r>
      <w:r w:rsidRPr="00CD45A4">
        <w:rPr>
          <w:rFonts w:eastAsia="Calibri"/>
          <w:sz w:val="22"/>
          <w:szCs w:val="22"/>
          <w:lang w:eastAsia="en-US"/>
        </w:rPr>
        <w:t>в</w:t>
      </w:r>
      <w:r w:rsidRPr="00CD45A4">
        <w:rPr>
          <w:rFonts w:eastAsia="Calibri"/>
          <w:sz w:val="22"/>
          <w:szCs w:val="22"/>
          <w:lang w:eastAsia="en-US"/>
        </w:rPr>
        <w:t>ной вид деятельности завода – изготовление хлебобулочных и ко</w:t>
      </w:r>
      <w:r w:rsidRPr="00CD45A4">
        <w:rPr>
          <w:rFonts w:eastAsia="Calibri"/>
          <w:sz w:val="22"/>
          <w:szCs w:val="22"/>
          <w:lang w:eastAsia="en-US"/>
        </w:rPr>
        <w:t>н</w:t>
      </w:r>
      <w:r w:rsidRPr="00CD45A4">
        <w:rPr>
          <w:rFonts w:eastAsia="Calibri"/>
          <w:sz w:val="22"/>
          <w:szCs w:val="22"/>
          <w:lang w:eastAsia="en-US"/>
        </w:rPr>
        <w:t>дитерских изделий до 0,5 т/сутки. Завод расположен на единой пр</w:t>
      </w:r>
      <w:r w:rsidRPr="00CD45A4">
        <w:rPr>
          <w:rFonts w:eastAsia="Calibri"/>
          <w:sz w:val="22"/>
          <w:szCs w:val="22"/>
          <w:lang w:eastAsia="en-US"/>
        </w:rPr>
        <w:t>о</w:t>
      </w:r>
      <w:r w:rsidRPr="00CD45A4">
        <w:rPr>
          <w:rFonts w:eastAsia="Calibri"/>
          <w:sz w:val="22"/>
          <w:szCs w:val="22"/>
          <w:lang w:eastAsia="en-US"/>
        </w:rPr>
        <w:t xml:space="preserve">изводственной площадке. Санитарно-защитная зона составляет 50 м, что относится к производству 5 класса опасности. </w:t>
      </w:r>
    </w:p>
    <w:p w:rsidR="00CD45A4" w:rsidRPr="00CD45A4" w:rsidRDefault="00CD45A4" w:rsidP="00D50091">
      <w:pPr>
        <w:widowControl w:val="0"/>
        <w:shd w:val="clear" w:color="auto" w:fill="FFFFFF"/>
        <w:tabs>
          <w:tab w:val="left" w:pos="2357"/>
        </w:tabs>
        <w:ind w:firstLine="426"/>
        <w:jc w:val="both"/>
        <w:rPr>
          <w:sz w:val="22"/>
          <w:szCs w:val="22"/>
        </w:rPr>
      </w:pPr>
      <w:r w:rsidRPr="00CD45A4">
        <w:rPr>
          <w:sz w:val="22"/>
          <w:szCs w:val="22"/>
        </w:rPr>
        <w:t>В результате исследования запыленность воздуха определялась гравиметрическим методом с помощью фильтров АФА-ВП-10. Опыты проводились в трехкратной повторности. Расчеты конце</w:t>
      </w:r>
      <w:r w:rsidRPr="00CD45A4">
        <w:rPr>
          <w:sz w:val="22"/>
          <w:szCs w:val="22"/>
        </w:rPr>
        <w:t>н</w:t>
      </w:r>
      <w:r w:rsidRPr="00CD45A4">
        <w:rPr>
          <w:sz w:val="22"/>
          <w:szCs w:val="22"/>
        </w:rPr>
        <w:t xml:space="preserve">трация пыли в воздухе </w:t>
      </w:r>
      <w:proofErr w:type="gramStart"/>
      <w:r w:rsidRPr="00CD45A4">
        <w:rPr>
          <w:sz w:val="22"/>
          <w:szCs w:val="22"/>
        </w:rPr>
        <w:t>определялись</w:t>
      </w:r>
      <w:proofErr w:type="gramEnd"/>
      <w:r w:rsidRPr="00CD45A4">
        <w:rPr>
          <w:sz w:val="22"/>
          <w:szCs w:val="22"/>
        </w:rPr>
        <w:t xml:space="preserve"> как отношение массы фильтра после отбора пробы вычесть вес фильтра до отбора пробы, мг к объему воздуха, прошедшего через фильтр, м</w:t>
      </w:r>
      <w:r w:rsidRPr="00CD45A4">
        <w:rPr>
          <w:sz w:val="22"/>
          <w:szCs w:val="22"/>
          <w:vertAlign w:val="superscript"/>
        </w:rPr>
        <w:t>3</w:t>
      </w:r>
      <w:r w:rsidRPr="00CD45A4">
        <w:rPr>
          <w:sz w:val="22"/>
          <w:szCs w:val="22"/>
        </w:rPr>
        <w:t>.</w:t>
      </w:r>
    </w:p>
    <w:p w:rsidR="00CD45A4" w:rsidRPr="00CD45A4" w:rsidRDefault="00CD45A4" w:rsidP="00D50091">
      <w:pPr>
        <w:widowControl w:val="0"/>
        <w:shd w:val="clear" w:color="auto" w:fill="FFFFFF"/>
        <w:ind w:firstLine="426"/>
        <w:jc w:val="both"/>
        <w:rPr>
          <w:sz w:val="22"/>
          <w:szCs w:val="22"/>
        </w:rPr>
      </w:pPr>
      <w:r w:rsidRPr="00CD45A4">
        <w:rPr>
          <w:sz w:val="22"/>
          <w:szCs w:val="22"/>
        </w:rPr>
        <w:t>При анализе полученных при отборе проб на запыленность воздуха данных, были установлены места наибольшего пылевого загрязнения. Так как ПДК м.р. мучной пыли равно 1 мг/м</w:t>
      </w:r>
      <w:r w:rsidRPr="00CD45A4">
        <w:rPr>
          <w:sz w:val="22"/>
          <w:szCs w:val="22"/>
          <w:vertAlign w:val="superscript"/>
        </w:rPr>
        <w:t>3</w:t>
      </w:r>
      <w:r w:rsidRPr="00CD45A4">
        <w:rPr>
          <w:sz w:val="22"/>
          <w:szCs w:val="22"/>
        </w:rPr>
        <w:t>, отсюда можно заметить, что превышение концентрации пыли наблюдается в пределах санитарно-защитной зоны.</w:t>
      </w:r>
    </w:p>
    <w:p w:rsidR="00CD45A4" w:rsidRPr="00CD45A4" w:rsidRDefault="00CD45A4" w:rsidP="00D50091">
      <w:pPr>
        <w:widowControl w:val="0"/>
        <w:shd w:val="clear" w:color="auto" w:fill="FFFFFF"/>
        <w:ind w:firstLine="426"/>
        <w:jc w:val="both"/>
        <w:rPr>
          <w:sz w:val="22"/>
          <w:szCs w:val="22"/>
        </w:rPr>
      </w:pPr>
      <w:r w:rsidRPr="00CD45A4">
        <w:rPr>
          <w:sz w:val="22"/>
          <w:szCs w:val="22"/>
        </w:rPr>
        <w:lastRenderedPageBreak/>
        <w:t>Наибольшее пылевое загрязнение было выявлено в точке № 3, которая расположена на предприятии, концентрация пыли в атм</w:t>
      </w:r>
      <w:r w:rsidRPr="00CD45A4">
        <w:rPr>
          <w:sz w:val="22"/>
          <w:szCs w:val="22"/>
        </w:rPr>
        <w:t>о</w:t>
      </w:r>
      <w:r w:rsidRPr="00CD45A4">
        <w:rPr>
          <w:sz w:val="22"/>
          <w:szCs w:val="22"/>
        </w:rPr>
        <w:t>сферном воздухе превышает ПДК в 3 раза (2,95 мг/м</w:t>
      </w:r>
      <w:r w:rsidRPr="00CD45A4">
        <w:rPr>
          <w:sz w:val="22"/>
          <w:szCs w:val="22"/>
          <w:vertAlign w:val="superscript"/>
        </w:rPr>
        <w:t>3</w:t>
      </w:r>
      <w:r w:rsidRPr="00CD45A4">
        <w:rPr>
          <w:sz w:val="22"/>
          <w:szCs w:val="22"/>
        </w:rPr>
        <w:t>). Также пр</w:t>
      </w:r>
      <w:r w:rsidRPr="00CD45A4">
        <w:rPr>
          <w:sz w:val="22"/>
          <w:szCs w:val="22"/>
        </w:rPr>
        <w:t>е</w:t>
      </w:r>
      <w:r w:rsidRPr="00CD45A4">
        <w:rPr>
          <w:sz w:val="22"/>
          <w:szCs w:val="22"/>
        </w:rPr>
        <w:t>вышение предельно допустимой концентрации наблюдается в то</w:t>
      </w:r>
      <w:r w:rsidRPr="00CD45A4">
        <w:rPr>
          <w:sz w:val="22"/>
          <w:szCs w:val="22"/>
        </w:rPr>
        <w:t>ч</w:t>
      </w:r>
      <w:r w:rsidRPr="00CD45A4">
        <w:rPr>
          <w:sz w:val="22"/>
          <w:szCs w:val="22"/>
        </w:rPr>
        <w:t>ках № 4 (1,56мг/м</w:t>
      </w:r>
      <w:r w:rsidRPr="00CD45A4">
        <w:rPr>
          <w:sz w:val="22"/>
          <w:szCs w:val="22"/>
          <w:vertAlign w:val="superscript"/>
        </w:rPr>
        <w:t>3</w:t>
      </w:r>
      <w:r w:rsidRPr="00CD45A4">
        <w:rPr>
          <w:sz w:val="22"/>
          <w:szCs w:val="22"/>
        </w:rPr>
        <w:t>) и № 5 (1,44 мг/м</w:t>
      </w:r>
      <w:r w:rsidRPr="00CD45A4">
        <w:rPr>
          <w:sz w:val="22"/>
          <w:szCs w:val="22"/>
          <w:vertAlign w:val="superscript"/>
        </w:rPr>
        <w:t>3</w:t>
      </w:r>
      <w:r w:rsidRPr="00CD45A4">
        <w:rPr>
          <w:sz w:val="22"/>
          <w:szCs w:val="22"/>
        </w:rPr>
        <w:t>), № 7 (1,68 мг/м</w:t>
      </w:r>
      <w:r w:rsidRPr="00CD45A4">
        <w:rPr>
          <w:sz w:val="22"/>
          <w:szCs w:val="22"/>
          <w:vertAlign w:val="superscript"/>
        </w:rPr>
        <w:t>3</w:t>
      </w:r>
      <w:r w:rsidRPr="00CD45A4">
        <w:rPr>
          <w:sz w:val="22"/>
          <w:szCs w:val="22"/>
        </w:rPr>
        <w:t>) и № 8 (1,35 мг/м</w:t>
      </w:r>
      <w:r w:rsidRPr="00CD45A4">
        <w:rPr>
          <w:sz w:val="22"/>
          <w:szCs w:val="22"/>
          <w:vertAlign w:val="superscript"/>
        </w:rPr>
        <w:t>3</w:t>
      </w:r>
      <w:r w:rsidRPr="00CD45A4">
        <w:rPr>
          <w:sz w:val="22"/>
          <w:szCs w:val="22"/>
        </w:rPr>
        <w:t>), которые соответствуют направлению преобладающего сев</w:t>
      </w:r>
      <w:r w:rsidRPr="00CD45A4">
        <w:rPr>
          <w:sz w:val="22"/>
          <w:szCs w:val="22"/>
        </w:rPr>
        <w:t>е</w:t>
      </w:r>
      <w:r w:rsidRPr="00CD45A4">
        <w:rPr>
          <w:sz w:val="22"/>
          <w:szCs w:val="22"/>
        </w:rPr>
        <w:t>ро-восточного ветра и восточного ветра соответственно. В точке № 2 превышение концентрации пыли в воздухе можно объяснить близким расположением к исследуемому предприятию.</w:t>
      </w:r>
    </w:p>
    <w:p w:rsidR="00CD45A4" w:rsidRPr="00CD45A4" w:rsidRDefault="00CD45A4" w:rsidP="00D50091">
      <w:pPr>
        <w:widowControl w:val="0"/>
        <w:ind w:firstLine="426"/>
        <w:jc w:val="both"/>
        <w:rPr>
          <w:sz w:val="22"/>
          <w:szCs w:val="22"/>
        </w:rPr>
      </w:pPr>
      <w:r w:rsidRPr="00CD45A4">
        <w:rPr>
          <w:sz w:val="22"/>
          <w:szCs w:val="22"/>
        </w:rPr>
        <w:t>За пределами санитарно-защитной зоны пылевое загрязнение не превышает допустимого значения, это точки № 6 (0,33 мг/м</w:t>
      </w:r>
      <w:r w:rsidRPr="00CD45A4">
        <w:rPr>
          <w:sz w:val="22"/>
          <w:szCs w:val="22"/>
          <w:vertAlign w:val="superscript"/>
        </w:rPr>
        <w:t>3</w:t>
      </w:r>
      <w:r w:rsidRPr="00CD45A4">
        <w:rPr>
          <w:sz w:val="22"/>
          <w:szCs w:val="22"/>
        </w:rPr>
        <w:t>) и № 9 (0,52 мг/м</w:t>
      </w:r>
      <w:r w:rsidRPr="00CD45A4">
        <w:rPr>
          <w:sz w:val="22"/>
          <w:szCs w:val="22"/>
          <w:vertAlign w:val="superscript"/>
        </w:rPr>
        <w:t>3</w:t>
      </w:r>
      <w:r w:rsidRPr="00CD45A4">
        <w:rPr>
          <w:sz w:val="22"/>
          <w:szCs w:val="22"/>
        </w:rPr>
        <w:t>). При этом и в точках № 1 (0,55 мг/м</w:t>
      </w:r>
      <w:r w:rsidRPr="00CD45A4">
        <w:rPr>
          <w:sz w:val="22"/>
          <w:szCs w:val="22"/>
          <w:vertAlign w:val="superscript"/>
        </w:rPr>
        <w:t>3</w:t>
      </w:r>
      <w:r w:rsidRPr="00CD45A4">
        <w:rPr>
          <w:sz w:val="22"/>
          <w:szCs w:val="22"/>
        </w:rPr>
        <w:t>) и № 10 (0,62 мг/м</w:t>
      </w:r>
      <w:r w:rsidRPr="00CD45A4">
        <w:rPr>
          <w:sz w:val="22"/>
          <w:szCs w:val="22"/>
          <w:vertAlign w:val="superscript"/>
        </w:rPr>
        <w:t>3</w:t>
      </w:r>
      <w:r w:rsidRPr="00CD45A4">
        <w:rPr>
          <w:sz w:val="22"/>
          <w:szCs w:val="22"/>
        </w:rPr>
        <w:t>), расположенных в пределах СЗЗ, также не наблюдается пр</w:t>
      </w:r>
      <w:r w:rsidRPr="00CD45A4">
        <w:rPr>
          <w:sz w:val="22"/>
          <w:szCs w:val="22"/>
        </w:rPr>
        <w:t>е</w:t>
      </w:r>
      <w:r w:rsidRPr="00CD45A4">
        <w:rPr>
          <w:sz w:val="22"/>
          <w:szCs w:val="22"/>
        </w:rPr>
        <w:t>вышение ПДК.</w:t>
      </w:r>
    </w:p>
    <w:p w:rsidR="00CD45A4" w:rsidRPr="00CD45A4" w:rsidRDefault="00CD45A4" w:rsidP="00D50091">
      <w:pPr>
        <w:widowControl w:val="0"/>
        <w:ind w:firstLine="426"/>
        <w:jc w:val="both"/>
        <w:rPr>
          <w:sz w:val="22"/>
          <w:szCs w:val="22"/>
        </w:rPr>
      </w:pPr>
      <w:r w:rsidRPr="00CD45A4">
        <w:rPr>
          <w:sz w:val="22"/>
          <w:szCs w:val="22"/>
        </w:rPr>
        <w:t xml:space="preserve">Но так как санитарно-защитная зона </w:t>
      </w:r>
      <w:r w:rsidRPr="00CD45A4">
        <w:rPr>
          <w:rFonts w:eastAsia="Calibri"/>
          <w:sz w:val="22"/>
          <w:szCs w:val="22"/>
          <w:lang w:eastAsia="en-US"/>
        </w:rPr>
        <w:t>на ООО «Крымский хл</w:t>
      </w:r>
      <w:r w:rsidRPr="00CD45A4">
        <w:rPr>
          <w:rFonts w:eastAsia="Calibri"/>
          <w:sz w:val="22"/>
          <w:szCs w:val="22"/>
          <w:lang w:eastAsia="en-US"/>
        </w:rPr>
        <w:t>е</w:t>
      </w:r>
      <w:r w:rsidRPr="00CD45A4">
        <w:rPr>
          <w:rFonts w:eastAsia="Calibri"/>
          <w:sz w:val="22"/>
          <w:szCs w:val="22"/>
          <w:lang w:eastAsia="en-US"/>
        </w:rPr>
        <w:t xml:space="preserve">бозавод» </w:t>
      </w:r>
      <w:r w:rsidRPr="00CD45A4">
        <w:rPr>
          <w:sz w:val="22"/>
          <w:szCs w:val="22"/>
        </w:rPr>
        <w:t xml:space="preserve">не соблюдается, то возможно негативное воздействие на </w:t>
      </w:r>
      <w:proofErr w:type="gramStart"/>
      <w:r w:rsidRPr="00CD45A4">
        <w:rPr>
          <w:sz w:val="22"/>
          <w:szCs w:val="22"/>
        </w:rPr>
        <w:t>население</w:t>
      </w:r>
      <w:proofErr w:type="gramEnd"/>
      <w:r w:rsidRPr="00CD45A4">
        <w:rPr>
          <w:sz w:val="22"/>
          <w:szCs w:val="22"/>
        </w:rPr>
        <w:t xml:space="preserve"> постоянно проживающее в зоне влияния этого предпри</w:t>
      </w:r>
      <w:r w:rsidRPr="00CD45A4">
        <w:rPr>
          <w:sz w:val="22"/>
          <w:szCs w:val="22"/>
        </w:rPr>
        <w:t>я</w:t>
      </w:r>
      <w:r w:rsidRPr="00CD45A4">
        <w:rPr>
          <w:sz w:val="22"/>
          <w:szCs w:val="22"/>
        </w:rPr>
        <w:t xml:space="preserve">тия. </w:t>
      </w:r>
    </w:p>
    <w:p w:rsidR="00CD45A4" w:rsidRPr="00CD45A4" w:rsidRDefault="00CD45A4" w:rsidP="00D50091">
      <w:pPr>
        <w:widowControl w:val="0"/>
        <w:shd w:val="clear" w:color="auto" w:fill="FFFFFF"/>
        <w:ind w:firstLine="426"/>
        <w:jc w:val="both"/>
        <w:rPr>
          <w:rFonts w:eastAsia="Calibri"/>
          <w:sz w:val="22"/>
          <w:szCs w:val="22"/>
          <w:lang w:eastAsia="en-US"/>
        </w:rPr>
      </w:pPr>
    </w:p>
    <w:p w:rsidR="00CD45A4" w:rsidRPr="00CD45A4" w:rsidRDefault="00CD45A4" w:rsidP="00D50091">
      <w:pPr>
        <w:widowControl w:val="0"/>
        <w:ind w:firstLine="426"/>
        <w:contextualSpacing/>
        <w:jc w:val="center"/>
        <w:rPr>
          <w:rFonts w:eastAsia="Courier New"/>
          <w:color w:val="000000"/>
          <w:sz w:val="22"/>
          <w:szCs w:val="22"/>
          <w:lang w:eastAsia="en-US"/>
        </w:rPr>
      </w:pPr>
      <w:r w:rsidRPr="00CD45A4">
        <w:rPr>
          <w:rFonts w:eastAsia="Courier New"/>
          <w:color w:val="000000"/>
          <w:sz w:val="22"/>
          <w:szCs w:val="22"/>
          <w:lang w:eastAsia="en-US"/>
        </w:rPr>
        <w:t>Список литературы</w:t>
      </w:r>
    </w:p>
    <w:p w:rsidR="00CD45A4" w:rsidRPr="00CD45A4" w:rsidRDefault="00CD45A4" w:rsidP="00D50091">
      <w:pPr>
        <w:widowControl w:val="0"/>
        <w:shd w:val="clear" w:color="auto" w:fill="FFFFFF"/>
        <w:tabs>
          <w:tab w:val="left" w:pos="1445"/>
        </w:tabs>
        <w:suppressAutoHyphens/>
        <w:autoSpaceDE w:val="0"/>
        <w:autoSpaceDN w:val="0"/>
        <w:adjustRightInd w:val="0"/>
        <w:ind w:firstLine="426"/>
        <w:jc w:val="both"/>
        <w:rPr>
          <w:color w:val="000000"/>
          <w:spacing w:val="-18"/>
          <w:sz w:val="22"/>
          <w:szCs w:val="22"/>
        </w:rPr>
      </w:pPr>
      <w:r w:rsidRPr="00CD45A4">
        <w:rPr>
          <w:rFonts w:eastAsia="Calibri"/>
          <w:sz w:val="22"/>
          <w:szCs w:val="22"/>
          <w:lang w:eastAsia="en-US"/>
        </w:rPr>
        <w:t xml:space="preserve">1. </w:t>
      </w:r>
      <w:r w:rsidRPr="00CD45A4">
        <w:rPr>
          <w:color w:val="000000"/>
          <w:spacing w:val="1"/>
          <w:sz w:val="22"/>
          <w:szCs w:val="22"/>
        </w:rPr>
        <w:t xml:space="preserve">Доклад «О состоянии природопользования и об охране окружающей среды </w:t>
      </w:r>
      <w:r w:rsidRPr="00CD45A4">
        <w:rPr>
          <w:color w:val="000000"/>
          <w:spacing w:val="8"/>
          <w:sz w:val="22"/>
          <w:szCs w:val="22"/>
        </w:rPr>
        <w:t xml:space="preserve">Краснодарского края в 2017 году». </w:t>
      </w:r>
      <w:r w:rsidRPr="00CD45A4">
        <w:rPr>
          <w:color w:val="000000"/>
          <w:spacing w:val="1"/>
          <w:sz w:val="22"/>
          <w:szCs w:val="22"/>
        </w:rPr>
        <w:t xml:space="preserve">– </w:t>
      </w:r>
      <w:r w:rsidRPr="00CD45A4">
        <w:rPr>
          <w:color w:val="000000"/>
          <w:spacing w:val="2"/>
          <w:sz w:val="22"/>
          <w:szCs w:val="22"/>
        </w:rPr>
        <w:t xml:space="preserve">Краснодар, 2017. </w:t>
      </w:r>
      <w:r w:rsidRPr="00CD45A4">
        <w:rPr>
          <w:color w:val="000000"/>
          <w:spacing w:val="1"/>
          <w:sz w:val="22"/>
          <w:szCs w:val="22"/>
        </w:rPr>
        <w:t>–</w:t>
      </w:r>
      <w:r w:rsidRPr="00CD45A4">
        <w:rPr>
          <w:color w:val="000000"/>
          <w:spacing w:val="2"/>
          <w:sz w:val="22"/>
          <w:szCs w:val="22"/>
        </w:rPr>
        <w:t xml:space="preserve"> 328 с.</w:t>
      </w:r>
    </w:p>
    <w:p w:rsidR="00CD45A4" w:rsidRPr="00CD45A4" w:rsidRDefault="00CD45A4" w:rsidP="00D50091">
      <w:pPr>
        <w:widowControl w:val="0"/>
        <w:suppressAutoHyphens/>
        <w:ind w:firstLine="426"/>
        <w:jc w:val="both"/>
        <w:rPr>
          <w:sz w:val="22"/>
          <w:szCs w:val="22"/>
        </w:rPr>
      </w:pPr>
      <w:r w:rsidRPr="00CD45A4">
        <w:rPr>
          <w:rFonts w:eastAsia="Calibri"/>
          <w:sz w:val="22"/>
          <w:szCs w:val="22"/>
          <w:lang w:eastAsia="en-US"/>
        </w:rPr>
        <w:t xml:space="preserve">2. </w:t>
      </w:r>
      <w:r w:rsidRPr="00CD45A4">
        <w:rPr>
          <w:sz w:val="22"/>
          <w:szCs w:val="22"/>
        </w:rPr>
        <w:t>Стрельников, В. В. Прикладная экология / В.В. Стрельников [и др.]. – Краснодар: Изд. Дом-Юг, 2012. – 452 с.</w:t>
      </w:r>
    </w:p>
    <w:p w:rsidR="00CD45A4" w:rsidRDefault="00CD45A4" w:rsidP="00D50091">
      <w:pPr>
        <w:ind w:firstLine="426"/>
        <w:jc w:val="both"/>
        <w:rPr>
          <w:rFonts w:eastAsia="Calibri"/>
          <w:sz w:val="22"/>
          <w:szCs w:val="22"/>
          <w:lang w:eastAsia="en-US"/>
        </w:rPr>
      </w:pPr>
      <w:r w:rsidRPr="00CD45A4">
        <w:rPr>
          <w:rFonts w:eastAsia="Calibri"/>
          <w:sz w:val="22"/>
          <w:szCs w:val="22"/>
          <w:lang w:eastAsia="en-US"/>
        </w:rPr>
        <w:t>3. Стрельников, В. В. Экологическая токсикология // В.В. Стрельников, И.В. Хмара, Н.В. Чернышева – Краснодар. Изд</w:t>
      </w:r>
      <w:r w:rsidRPr="004F513D">
        <w:rPr>
          <w:rFonts w:eastAsia="Calibri"/>
          <w:sz w:val="22"/>
          <w:szCs w:val="22"/>
          <w:lang w:eastAsia="en-US"/>
        </w:rPr>
        <w:t xml:space="preserve">. </w:t>
      </w:r>
      <w:r w:rsidRPr="00CD45A4">
        <w:rPr>
          <w:rFonts w:eastAsia="Calibri"/>
          <w:sz w:val="22"/>
          <w:szCs w:val="22"/>
          <w:lang w:eastAsia="en-US"/>
        </w:rPr>
        <w:t>дом</w:t>
      </w:r>
      <w:r w:rsidRPr="004F513D">
        <w:rPr>
          <w:rFonts w:eastAsia="Calibri"/>
          <w:sz w:val="22"/>
          <w:szCs w:val="22"/>
          <w:lang w:eastAsia="en-US"/>
        </w:rPr>
        <w:t>-</w:t>
      </w:r>
      <w:r w:rsidRPr="00CD45A4">
        <w:rPr>
          <w:rFonts w:eastAsia="Calibri"/>
          <w:sz w:val="22"/>
          <w:szCs w:val="22"/>
          <w:lang w:eastAsia="en-US"/>
        </w:rPr>
        <w:t>Юг</w:t>
      </w:r>
      <w:r w:rsidRPr="004F513D">
        <w:rPr>
          <w:rFonts w:eastAsia="Calibri"/>
          <w:sz w:val="22"/>
          <w:szCs w:val="22"/>
          <w:lang w:eastAsia="en-US"/>
        </w:rPr>
        <w:t xml:space="preserve">, 2015. – 252 </w:t>
      </w:r>
      <w:r w:rsidRPr="00CD45A4">
        <w:rPr>
          <w:rFonts w:eastAsia="Calibri"/>
          <w:sz w:val="22"/>
          <w:szCs w:val="22"/>
          <w:lang w:val="en-US" w:eastAsia="en-US"/>
        </w:rPr>
        <w:t>c</w:t>
      </w:r>
      <w:r w:rsidRPr="004F513D">
        <w:rPr>
          <w:rFonts w:eastAsia="Calibri"/>
          <w:sz w:val="22"/>
          <w:szCs w:val="22"/>
          <w:lang w:eastAsia="en-US"/>
        </w:rPr>
        <w:t>.</w:t>
      </w:r>
    </w:p>
    <w:p w:rsidR="00CD45A4" w:rsidRDefault="00CD45A4" w:rsidP="00CD45A4">
      <w:pPr>
        <w:jc w:val="both"/>
        <w:rPr>
          <w:rFonts w:eastAsia="Calibri"/>
          <w:sz w:val="22"/>
          <w:szCs w:val="22"/>
          <w:lang w:eastAsia="en-US"/>
        </w:rPr>
      </w:pPr>
    </w:p>
    <w:p w:rsidR="00D50091" w:rsidRDefault="00863F6A" w:rsidP="00863F6A">
      <w:pPr>
        <w:rPr>
          <w:rFonts w:eastAsia="Calibri"/>
          <w:sz w:val="22"/>
          <w:szCs w:val="22"/>
          <w:lang w:eastAsia="en-US"/>
        </w:rPr>
      </w:pPr>
      <w:r>
        <w:rPr>
          <w:rFonts w:eastAsia="Calibri"/>
          <w:sz w:val="22"/>
          <w:szCs w:val="22"/>
          <w:lang w:eastAsia="en-US"/>
        </w:rPr>
        <w:br w:type="page"/>
      </w:r>
    </w:p>
    <w:p w:rsidR="00CD45A4" w:rsidRDefault="00CD45A4" w:rsidP="00CD45A4">
      <w:pPr>
        <w:jc w:val="both"/>
        <w:rPr>
          <w:rFonts w:eastAsia="Calibri"/>
          <w:sz w:val="22"/>
          <w:szCs w:val="22"/>
          <w:lang w:eastAsia="en-US"/>
        </w:rPr>
      </w:pPr>
      <w:r w:rsidRPr="00CD45A4">
        <w:rPr>
          <w:rFonts w:eastAsia="Calibri"/>
          <w:sz w:val="22"/>
          <w:szCs w:val="22"/>
          <w:lang w:eastAsia="en-US"/>
        </w:rPr>
        <w:lastRenderedPageBreak/>
        <w:t>УДК 504.4.05 (470.620)</w:t>
      </w:r>
    </w:p>
    <w:p w:rsidR="00BF679C" w:rsidRPr="00CD45A4" w:rsidRDefault="00BF679C" w:rsidP="00CD45A4">
      <w:pPr>
        <w:jc w:val="both"/>
        <w:rPr>
          <w:rFonts w:eastAsia="Calibri"/>
          <w:sz w:val="22"/>
          <w:szCs w:val="22"/>
          <w:lang w:eastAsia="en-US"/>
        </w:rPr>
      </w:pPr>
    </w:p>
    <w:p w:rsidR="00D50091" w:rsidRDefault="00CD45A4" w:rsidP="00CD45A4">
      <w:pPr>
        <w:jc w:val="center"/>
        <w:rPr>
          <w:rFonts w:eastAsia="Calibri"/>
          <w:b/>
          <w:sz w:val="24"/>
          <w:szCs w:val="24"/>
          <w:lang w:eastAsia="en-US"/>
        </w:rPr>
      </w:pPr>
      <w:r w:rsidRPr="00CD45A4">
        <w:rPr>
          <w:rFonts w:eastAsia="Calibri"/>
          <w:b/>
          <w:sz w:val="24"/>
          <w:szCs w:val="24"/>
          <w:lang w:eastAsia="en-US"/>
        </w:rPr>
        <w:t xml:space="preserve">Влияние автозаправочной станции </w:t>
      </w:r>
      <w:proofErr w:type="gramStart"/>
      <w:r w:rsidRPr="00CD45A4">
        <w:rPr>
          <w:rFonts w:eastAsia="Calibri"/>
          <w:b/>
          <w:sz w:val="24"/>
          <w:szCs w:val="24"/>
          <w:lang w:eastAsia="en-US"/>
        </w:rPr>
        <w:t>на</w:t>
      </w:r>
      <w:proofErr w:type="gramEnd"/>
      <w:r w:rsidRPr="00CD45A4">
        <w:rPr>
          <w:rFonts w:eastAsia="Calibri"/>
          <w:b/>
          <w:sz w:val="24"/>
          <w:szCs w:val="24"/>
          <w:lang w:eastAsia="en-US"/>
        </w:rPr>
        <w:t xml:space="preserve"> экологическое </w:t>
      </w:r>
    </w:p>
    <w:p w:rsidR="00CD45A4" w:rsidRPr="00CD45A4" w:rsidRDefault="00CD45A4" w:rsidP="00CD45A4">
      <w:pPr>
        <w:jc w:val="center"/>
        <w:rPr>
          <w:rFonts w:eastAsia="Calibri"/>
          <w:b/>
          <w:sz w:val="24"/>
          <w:szCs w:val="24"/>
          <w:lang w:eastAsia="en-US"/>
        </w:rPr>
      </w:pPr>
      <w:r w:rsidRPr="00CD45A4">
        <w:rPr>
          <w:rFonts w:eastAsia="Calibri"/>
          <w:b/>
          <w:sz w:val="24"/>
          <w:szCs w:val="24"/>
          <w:lang w:eastAsia="en-US"/>
        </w:rPr>
        <w:t>состояние почвенно-растительного слоя</w:t>
      </w:r>
    </w:p>
    <w:p w:rsidR="00CD45A4" w:rsidRPr="00CD45A4" w:rsidRDefault="00CD45A4" w:rsidP="00CD45A4">
      <w:pPr>
        <w:jc w:val="center"/>
        <w:rPr>
          <w:rFonts w:eastAsia="Calibri"/>
          <w:b/>
          <w:sz w:val="24"/>
          <w:szCs w:val="24"/>
          <w:lang w:val="en-US" w:eastAsia="en-US"/>
        </w:rPr>
      </w:pPr>
      <w:r w:rsidRPr="00CD45A4">
        <w:rPr>
          <w:rFonts w:eastAsia="Calibri"/>
          <w:b/>
          <w:sz w:val="24"/>
          <w:szCs w:val="24"/>
          <w:lang w:val="en-US" w:eastAsia="en-US"/>
        </w:rPr>
        <w:t xml:space="preserve">The influence of the petrol station on the ecological state </w:t>
      </w:r>
    </w:p>
    <w:p w:rsidR="00CD45A4" w:rsidRPr="00CD45A4" w:rsidRDefault="00CD45A4" w:rsidP="00CD45A4">
      <w:pPr>
        <w:jc w:val="center"/>
        <w:rPr>
          <w:rFonts w:eastAsia="Calibri"/>
          <w:sz w:val="24"/>
          <w:szCs w:val="24"/>
          <w:lang w:val="en-US" w:eastAsia="en-US"/>
        </w:rPr>
      </w:pPr>
      <w:proofErr w:type="gramStart"/>
      <w:r w:rsidRPr="00CD45A4">
        <w:rPr>
          <w:rFonts w:eastAsia="Calibri"/>
          <w:b/>
          <w:sz w:val="24"/>
          <w:szCs w:val="24"/>
          <w:lang w:val="en-US" w:eastAsia="en-US"/>
        </w:rPr>
        <w:t>of</w:t>
      </w:r>
      <w:proofErr w:type="gramEnd"/>
      <w:r w:rsidRPr="00CD45A4">
        <w:rPr>
          <w:rFonts w:eastAsia="Calibri"/>
          <w:b/>
          <w:sz w:val="24"/>
          <w:szCs w:val="24"/>
          <w:lang w:val="en-US" w:eastAsia="en-US"/>
        </w:rPr>
        <w:t xml:space="preserve"> the soil-plant layer</w:t>
      </w:r>
    </w:p>
    <w:p w:rsidR="00CD45A4" w:rsidRPr="00CD45A4" w:rsidRDefault="00CD45A4" w:rsidP="00CD45A4">
      <w:pPr>
        <w:jc w:val="both"/>
        <w:rPr>
          <w:rFonts w:eastAsia="Calibri"/>
          <w:sz w:val="20"/>
          <w:szCs w:val="20"/>
          <w:lang w:val="en-US" w:eastAsia="en-US"/>
        </w:rPr>
      </w:pPr>
    </w:p>
    <w:p w:rsidR="00CD45A4" w:rsidRPr="00CD45A4" w:rsidRDefault="00CD45A4" w:rsidP="00CD45A4">
      <w:pPr>
        <w:jc w:val="right"/>
        <w:rPr>
          <w:rFonts w:eastAsia="Calibri"/>
          <w:sz w:val="22"/>
          <w:szCs w:val="22"/>
          <w:lang w:val="en-US" w:eastAsia="en-US"/>
        </w:rPr>
      </w:pPr>
      <w:r w:rsidRPr="00CD45A4">
        <w:rPr>
          <w:rFonts w:eastAsia="Calibri"/>
          <w:sz w:val="22"/>
          <w:szCs w:val="22"/>
          <w:lang w:eastAsia="en-US"/>
        </w:rPr>
        <w:t>Голубева</w:t>
      </w:r>
      <w:r w:rsidRPr="00CD45A4">
        <w:rPr>
          <w:rFonts w:eastAsia="Calibri"/>
          <w:sz w:val="22"/>
          <w:szCs w:val="22"/>
          <w:lang w:val="en-US" w:eastAsia="en-US"/>
        </w:rPr>
        <w:t xml:space="preserve"> </w:t>
      </w:r>
      <w:r w:rsidRPr="00CD45A4">
        <w:rPr>
          <w:rFonts w:eastAsia="Calibri"/>
          <w:sz w:val="22"/>
          <w:szCs w:val="22"/>
          <w:lang w:eastAsia="en-US"/>
        </w:rPr>
        <w:t>А</w:t>
      </w:r>
      <w:r w:rsidRPr="00CD45A4">
        <w:rPr>
          <w:rFonts w:eastAsia="Calibri"/>
          <w:sz w:val="22"/>
          <w:szCs w:val="22"/>
          <w:lang w:val="en-US" w:eastAsia="en-US"/>
        </w:rPr>
        <w:t xml:space="preserve">. </w:t>
      </w:r>
      <w:r w:rsidRPr="00CD45A4">
        <w:rPr>
          <w:rFonts w:eastAsia="Calibri"/>
          <w:sz w:val="22"/>
          <w:szCs w:val="22"/>
          <w:lang w:eastAsia="en-US"/>
        </w:rPr>
        <w:t>Д</w:t>
      </w:r>
      <w:r w:rsidRPr="00CD45A4">
        <w:rPr>
          <w:rFonts w:eastAsia="Calibri"/>
          <w:sz w:val="22"/>
          <w:szCs w:val="22"/>
          <w:lang w:val="en-US" w:eastAsia="en-US"/>
        </w:rPr>
        <w:t>.,</w:t>
      </w:r>
    </w:p>
    <w:p w:rsidR="00CD45A4" w:rsidRPr="00CD45A4" w:rsidRDefault="00D50091" w:rsidP="00CD45A4">
      <w:pPr>
        <w:jc w:val="right"/>
        <w:rPr>
          <w:rFonts w:eastAsia="Calibri"/>
          <w:sz w:val="22"/>
          <w:szCs w:val="22"/>
          <w:lang w:eastAsia="en-US"/>
        </w:rPr>
      </w:pPr>
      <w:r>
        <w:rPr>
          <w:rFonts w:eastAsia="Calibri"/>
          <w:sz w:val="22"/>
          <w:szCs w:val="22"/>
          <w:lang w:eastAsia="en-US"/>
        </w:rPr>
        <w:t>студентка 4- го курса</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факультета агрономии и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Куб</w:t>
      </w:r>
      <w:r w:rsidR="00D50091">
        <w:rPr>
          <w:rFonts w:eastAsia="Calibri"/>
          <w:sz w:val="22"/>
          <w:szCs w:val="22"/>
          <w:lang w:eastAsia="en-US"/>
        </w:rPr>
        <w:t>анский государственный аграрный</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университет имени И.Т. Трубилина</w:t>
      </w:r>
    </w:p>
    <w:p w:rsidR="00CD45A4" w:rsidRPr="00CD45A4" w:rsidRDefault="00CD45A4" w:rsidP="00CD45A4">
      <w:pPr>
        <w:jc w:val="both"/>
        <w:rPr>
          <w:rFonts w:eastAsia="Calibri"/>
          <w:sz w:val="22"/>
          <w:szCs w:val="22"/>
          <w:lang w:eastAsia="en-US"/>
        </w:rPr>
      </w:pPr>
    </w:p>
    <w:p w:rsidR="00CD45A4" w:rsidRPr="00CD45A4" w:rsidRDefault="00CD45A4" w:rsidP="00D50091">
      <w:pPr>
        <w:ind w:firstLine="426"/>
        <w:jc w:val="both"/>
        <w:rPr>
          <w:rFonts w:eastAsia="Calibri"/>
          <w:sz w:val="22"/>
          <w:szCs w:val="22"/>
          <w:lang w:eastAsia="en-US"/>
        </w:rPr>
      </w:pPr>
      <w:r w:rsidRPr="00CD45A4">
        <w:rPr>
          <w:rFonts w:eastAsia="Calibri"/>
          <w:sz w:val="22"/>
          <w:szCs w:val="22"/>
          <w:lang w:eastAsia="en-US"/>
        </w:rPr>
        <w:t>АННОТАЦИЯ: Проведено исследование состояния почвенно-растительного покрова на территории автозаправочной станции. Приведены данные определения плотности и рН почвы, а также первичной продуктивности растений.</w:t>
      </w:r>
    </w:p>
    <w:p w:rsidR="00CD45A4" w:rsidRPr="00CD45A4" w:rsidRDefault="00CD45A4" w:rsidP="00D50091">
      <w:pPr>
        <w:ind w:firstLine="426"/>
        <w:jc w:val="both"/>
        <w:rPr>
          <w:rFonts w:eastAsia="Calibri"/>
          <w:sz w:val="22"/>
          <w:szCs w:val="22"/>
          <w:lang w:val="en-US" w:eastAsia="en-US"/>
        </w:rPr>
      </w:pPr>
      <w:r w:rsidRPr="00CD45A4">
        <w:rPr>
          <w:rFonts w:eastAsia="Calibri"/>
          <w:sz w:val="22"/>
          <w:szCs w:val="22"/>
          <w:lang w:val="en-US" w:eastAsia="en-US"/>
        </w:rPr>
        <w:t xml:space="preserve">ABSTRACT: The study of the state of soil and vegetation cover in the territory of the petrol station. </w:t>
      </w:r>
      <w:proofErr w:type="gramStart"/>
      <w:r w:rsidRPr="00CD45A4">
        <w:rPr>
          <w:rFonts w:eastAsia="Calibri"/>
          <w:sz w:val="22"/>
          <w:szCs w:val="22"/>
          <w:lang w:val="en-US" w:eastAsia="en-US"/>
        </w:rPr>
        <w:t>The data of determining the density and pH of the soil, as well as the primary productivity of plants.</w:t>
      </w:r>
      <w:proofErr w:type="gramEnd"/>
    </w:p>
    <w:p w:rsidR="00CD45A4" w:rsidRPr="00CD45A4" w:rsidRDefault="00CD45A4" w:rsidP="00D50091">
      <w:pPr>
        <w:ind w:firstLine="426"/>
        <w:jc w:val="both"/>
        <w:rPr>
          <w:rFonts w:eastAsia="Calibri"/>
          <w:sz w:val="22"/>
          <w:szCs w:val="22"/>
          <w:lang w:eastAsia="en-US"/>
        </w:rPr>
      </w:pPr>
      <w:r w:rsidRPr="00CD45A4">
        <w:rPr>
          <w:rFonts w:eastAsia="Calibri"/>
          <w:sz w:val="22"/>
          <w:szCs w:val="22"/>
          <w:lang w:eastAsia="en-US"/>
        </w:rPr>
        <w:t>КЛЮЧЕВЫЕ СЛОВА: автозаправочные станции, негативное влияние, плотность почвы, рН, первичная продуктивность.</w:t>
      </w:r>
    </w:p>
    <w:p w:rsidR="00CD45A4" w:rsidRPr="00CD45A4" w:rsidRDefault="00CD45A4" w:rsidP="00D50091">
      <w:pPr>
        <w:ind w:firstLine="426"/>
        <w:jc w:val="both"/>
        <w:rPr>
          <w:rFonts w:eastAsia="Calibri"/>
          <w:sz w:val="22"/>
          <w:szCs w:val="22"/>
          <w:lang w:val="en-US" w:eastAsia="en-US"/>
        </w:rPr>
      </w:pPr>
      <w:r w:rsidRPr="00CD45A4">
        <w:rPr>
          <w:rFonts w:eastAsia="Calibri"/>
          <w:sz w:val="22"/>
          <w:szCs w:val="22"/>
          <w:lang w:val="en-US" w:eastAsia="en-US"/>
        </w:rPr>
        <w:t>KEYWORDS: petrol stations, negative impact, soil density, pH, primary productivity.</w:t>
      </w:r>
    </w:p>
    <w:p w:rsidR="00CD45A4" w:rsidRPr="00CD45A4" w:rsidRDefault="00CD45A4" w:rsidP="00D50091">
      <w:pPr>
        <w:ind w:firstLine="426"/>
        <w:jc w:val="both"/>
        <w:rPr>
          <w:rFonts w:eastAsia="Calibri"/>
          <w:sz w:val="22"/>
          <w:szCs w:val="22"/>
          <w:lang w:val="en-US" w:eastAsia="en-US"/>
        </w:rPr>
      </w:pPr>
    </w:p>
    <w:p w:rsidR="00CD45A4" w:rsidRPr="00CD45A4" w:rsidRDefault="00CD45A4" w:rsidP="00D50091">
      <w:pPr>
        <w:widowControl w:val="0"/>
        <w:ind w:firstLine="426"/>
        <w:contextualSpacing/>
        <w:jc w:val="both"/>
        <w:rPr>
          <w:sz w:val="22"/>
          <w:szCs w:val="22"/>
          <w:lang w:eastAsia="en-US"/>
        </w:rPr>
      </w:pPr>
      <w:r w:rsidRPr="00CD45A4">
        <w:rPr>
          <w:sz w:val="22"/>
          <w:szCs w:val="22"/>
          <w:lang w:eastAsia="en-US"/>
        </w:rPr>
        <w:t>Экологической проблемой крупных городов является загрязн</w:t>
      </w:r>
      <w:r w:rsidRPr="00CD45A4">
        <w:rPr>
          <w:sz w:val="22"/>
          <w:szCs w:val="22"/>
          <w:lang w:eastAsia="en-US"/>
        </w:rPr>
        <w:t>е</w:t>
      </w:r>
      <w:r w:rsidRPr="00CD45A4">
        <w:rPr>
          <w:sz w:val="22"/>
          <w:szCs w:val="22"/>
          <w:lang w:eastAsia="en-US"/>
        </w:rPr>
        <w:t>ние атмосферного воздуха, вызванное увеличивающимся с каждым годом количеством автотранспорта и смежных с ним предприятий (автомойки, автозаправочные станции (АЗС)). Особенно остро эта проблема стоит в курортных городах, так как в летнее время кол</w:t>
      </w:r>
      <w:r w:rsidRPr="00CD45A4">
        <w:rPr>
          <w:sz w:val="22"/>
          <w:szCs w:val="22"/>
          <w:lang w:eastAsia="en-US"/>
        </w:rPr>
        <w:t>и</w:t>
      </w:r>
      <w:r w:rsidRPr="00CD45A4">
        <w:rPr>
          <w:sz w:val="22"/>
          <w:szCs w:val="22"/>
          <w:lang w:eastAsia="en-US"/>
        </w:rPr>
        <w:t xml:space="preserve">чество автотранспорта увеличивается во много раз </w:t>
      </w:r>
      <w:r w:rsidRPr="00CD45A4">
        <w:rPr>
          <w:sz w:val="22"/>
          <w:szCs w:val="22"/>
        </w:rPr>
        <w:t>[2, 3].</w:t>
      </w:r>
      <w:r w:rsidRPr="00CD45A4">
        <w:rPr>
          <w:sz w:val="22"/>
          <w:szCs w:val="22"/>
          <w:lang w:eastAsia="en-US"/>
        </w:rPr>
        <w:t xml:space="preserve"> </w:t>
      </w:r>
    </w:p>
    <w:p w:rsidR="00CD45A4" w:rsidRPr="00CD45A4" w:rsidRDefault="00CD45A4" w:rsidP="00D50091">
      <w:pPr>
        <w:widowControl w:val="0"/>
        <w:ind w:firstLine="426"/>
        <w:contextualSpacing/>
        <w:jc w:val="both"/>
        <w:rPr>
          <w:sz w:val="22"/>
          <w:szCs w:val="22"/>
        </w:rPr>
      </w:pPr>
      <w:r w:rsidRPr="00CD45A4">
        <w:rPr>
          <w:sz w:val="22"/>
          <w:szCs w:val="22"/>
        </w:rPr>
        <w:t>Объектом исследования является АЗС № 3, находящаяся по а</w:t>
      </w:r>
      <w:r w:rsidRPr="00CD45A4">
        <w:rPr>
          <w:sz w:val="22"/>
          <w:szCs w:val="22"/>
        </w:rPr>
        <w:t>д</w:t>
      </w:r>
      <w:r w:rsidRPr="00CD45A4">
        <w:rPr>
          <w:sz w:val="22"/>
          <w:szCs w:val="22"/>
        </w:rPr>
        <w:t>ресу: г. Сочи, ул. Шоссейная, 5 Г. Данный объект располагается в горной местности, с севера, запада и востока располагаются автод</w:t>
      </w:r>
      <w:r w:rsidRPr="00CD45A4">
        <w:rPr>
          <w:sz w:val="22"/>
          <w:szCs w:val="22"/>
        </w:rPr>
        <w:t>о</w:t>
      </w:r>
      <w:r w:rsidRPr="00CD45A4">
        <w:rPr>
          <w:sz w:val="22"/>
          <w:szCs w:val="22"/>
        </w:rPr>
        <w:t>роги. На юге располагается жилое многоэтажное здание. Сама те</w:t>
      </w:r>
      <w:r w:rsidRPr="00CD45A4">
        <w:rPr>
          <w:sz w:val="22"/>
          <w:szCs w:val="22"/>
        </w:rPr>
        <w:t>р</w:t>
      </w:r>
      <w:r w:rsidRPr="00CD45A4">
        <w:rPr>
          <w:sz w:val="22"/>
          <w:szCs w:val="22"/>
        </w:rPr>
        <w:t xml:space="preserve">ритория расположена в экологически-чистом районе города. </w:t>
      </w:r>
    </w:p>
    <w:p w:rsidR="00CD45A4" w:rsidRPr="00CD45A4" w:rsidRDefault="00CD45A4" w:rsidP="00D50091">
      <w:pPr>
        <w:widowControl w:val="0"/>
        <w:ind w:firstLine="426"/>
        <w:jc w:val="both"/>
        <w:rPr>
          <w:sz w:val="22"/>
          <w:szCs w:val="22"/>
        </w:rPr>
      </w:pPr>
      <w:r w:rsidRPr="00CD45A4">
        <w:rPr>
          <w:sz w:val="22"/>
          <w:szCs w:val="22"/>
        </w:rPr>
        <w:t>Исследования по определению плотности почвы, ее рН и пе</w:t>
      </w:r>
      <w:r w:rsidRPr="00CD45A4">
        <w:rPr>
          <w:sz w:val="22"/>
          <w:szCs w:val="22"/>
        </w:rPr>
        <w:t>р</w:t>
      </w:r>
      <w:r w:rsidRPr="00CD45A4">
        <w:rPr>
          <w:sz w:val="22"/>
          <w:szCs w:val="22"/>
        </w:rPr>
        <w:lastRenderedPageBreak/>
        <w:t>вичной продуктивности растений на изучаемой территории пров</w:t>
      </w:r>
      <w:r w:rsidRPr="00CD45A4">
        <w:rPr>
          <w:sz w:val="22"/>
          <w:szCs w:val="22"/>
        </w:rPr>
        <w:t>о</w:t>
      </w:r>
      <w:r w:rsidRPr="00CD45A4">
        <w:rPr>
          <w:sz w:val="22"/>
          <w:szCs w:val="22"/>
        </w:rPr>
        <w:t xml:space="preserve">дились в весенне-летний период 2017 г. </w:t>
      </w:r>
    </w:p>
    <w:p w:rsidR="00CD45A4" w:rsidRPr="00CD45A4" w:rsidRDefault="00CD45A4" w:rsidP="00D50091">
      <w:pPr>
        <w:widowControl w:val="0"/>
        <w:ind w:firstLine="426"/>
        <w:jc w:val="both"/>
        <w:rPr>
          <w:sz w:val="22"/>
          <w:szCs w:val="22"/>
        </w:rPr>
      </w:pPr>
      <w:r w:rsidRPr="00CD45A4">
        <w:rPr>
          <w:sz w:val="22"/>
          <w:szCs w:val="22"/>
        </w:rPr>
        <w:t>Исследования проводились на пробных площадках (2 м</w:t>
      </w:r>
      <w:proofErr w:type="gramStart"/>
      <w:r w:rsidRPr="00CD45A4">
        <w:rPr>
          <w:sz w:val="22"/>
          <w:szCs w:val="22"/>
          <w:vertAlign w:val="superscript"/>
        </w:rPr>
        <w:t>2</w:t>
      </w:r>
      <w:proofErr w:type="gramEnd"/>
      <w:r w:rsidRPr="00CD45A4">
        <w:rPr>
          <w:sz w:val="22"/>
          <w:szCs w:val="22"/>
        </w:rPr>
        <w:t>). Пе</w:t>
      </w:r>
      <w:r w:rsidRPr="00CD45A4">
        <w:rPr>
          <w:sz w:val="22"/>
          <w:szCs w:val="22"/>
        </w:rPr>
        <w:t>р</w:t>
      </w:r>
      <w:r w:rsidRPr="00CD45A4">
        <w:rPr>
          <w:sz w:val="22"/>
          <w:szCs w:val="22"/>
        </w:rPr>
        <w:t>вая пробная площадка располагалась с учетом направления прео</w:t>
      </w:r>
      <w:r w:rsidRPr="00CD45A4">
        <w:rPr>
          <w:sz w:val="22"/>
          <w:szCs w:val="22"/>
        </w:rPr>
        <w:t>б</w:t>
      </w:r>
      <w:r w:rsidRPr="00CD45A4">
        <w:rPr>
          <w:sz w:val="22"/>
          <w:szCs w:val="22"/>
        </w:rPr>
        <w:t>ладающих ветров – на юго-запад; вторая была выбрана с учетом уклона местности – на юго-восток; третья пробная площадка расп</w:t>
      </w:r>
      <w:r w:rsidRPr="00CD45A4">
        <w:rPr>
          <w:sz w:val="22"/>
          <w:szCs w:val="22"/>
        </w:rPr>
        <w:t>о</w:t>
      </w:r>
      <w:r w:rsidRPr="00CD45A4">
        <w:rPr>
          <w:sz w:val="22"/>
          <w:szCs w:val="22"/>
        </w:rPr>
        <w:t>лагалась непосредственно возле АЗС. В качестве сравнения была выбрана фоновая пробная площадка, максимально отстраненная от всевозможных антропогенных и природных воздействий – на в</w:t>
      </w:r>
      <w:r w:rsidRPr="00CD45A4">
        <w:rPr>
          <w:sz w:val="22"/>
          <w:szCs w:val="22"/>
        </w:rPr>
        <w:t>о</w:t>
      </w:r>
      <w:r w:rsidRPr="00CD45A4">
        <w:rPr>
          <w:sz w:val="22"/>
          <w:szCs w:val="22"/>
        </w:rPr>
        <w:t>стоке в 150 м от исследуемого объекта. Для исследований выбра</w:t>
      </w:r>
      <w:r w:rsidRPr="00CD45A4">
        <w:rPr>
          <w:sz w:val="22"/>
          <w:szCs w:val="22"/>
        </w:rPr>
        <w:t>н</w:t>
      </w:r>
      <w:r w:rsidRPr="00CD45A4">
        <w:rPr>
          <w:sz w:val="22"/>
          <w:szCs w:val="22"/>
        </w:rPr>
        <w:t xml:space="preserve">ных показателей были использованы стандартные методики </w:t>
      </w:r>
      <w:r w:rsidRPr="00CD45A4">
        <w:rPr>
          <w:rFonts w:eastAsia="Calibri"/>
          <w:sz w:val="22"/>
          <w:szCs w:val="22"/>
          <w:lang w:eastAsia="en-US"/>
        </w:rPr>
        <w:t>[1]</w:t>
      </w:r>
      <w:r w:rsidRPr="00CD45A4">
        <w:rPr>
          <w:sz w:val="22"/>
          <w:szCs w:val="22"/>
        </w:rPr>
        <w:t xml:space="preserve">. </w:t>
      </w:r>
    </w:p>
    <w:p w:rsidR="00CD45A4" w:rsidRPr="00CD45A4" w:rsidRDefault="00CD45A4" w:rsidP="00D50091">
      <w:pPr>
        <w:widowControl w:val="0"/>
        <w:ind w:firstLine="426"/>
        <w:jc w:val="both"/>
        <w:rPr>
          <w:rFonts w:eastAsia="Calibri"/>
          <w:snapToGrid w:val="0"/>
          <w:color w:val="000000"/>
          <w:sz w:val="22"/>
          <w:szCs w:val="22"/>
          <w:lang w:eastAsia="en-US"/>
        </w:rPr>
      </w:pPr>
      <w:r w:rsidRPr="00CD45A4">
        <w:rPr>
          <w:rFonts w:eastAsia="Calibri"/>
          <w:snapToGrid w:val="0"/>
          <w:color w:val="000000"/>
          <w:sz w:val="22"/>
          <w:szCs w:val="22"/>
          <w:lang w:eastAsia="en-US"/>
        </w:rPr>
        <w:t>В результате проведенных исследований было выяснено, что плотность почвы в пределах изучаемой территории варьирует от 1,20 до 1,38 г/см</w:t>
      </w:r>
      <w:r w:rsidRPr="00CD45A4">
        <w:rPr>
          <w:rFonts w:eastAsia="Calibri"/>
          <w:snapToGrid w:val="0"/>
          <w:color w:val="000000"/>
          <w:sz w:val="22"/>
          <w:szCs w:val="22"/>
          <w:vertAlign w:val="superscript"/>
          <w:lang w:eastAsia="en-US"/>
        </w:rPr>
        <w:t>3</w:t>
      </w:r>
      <w:r w:rsidRPr="00CD45A4">
        <w:rPr>
          <w:rFonts w:eastAsia="Calibri"/>
          <w:snapToGrid w:val="0"/>
          <w:color w:val="000000"/>
          <w:sz w:val="22"/>
          <w:szCs w:val="22"/>
          <w:lang w:eastAsia="en-US"/>
        </w:rPr>
        <w:t>, а среднее значение составляет 1,33 г/см</w:t>
      </w:r>
      <w:r w:rsidRPr="00CD45A4">
        <w:rPr>
          <w:rFonts w:eastAsia="Calibri"/>
          <w:snapToGrid w:val="0"/>
          <w:color w:val="000000"/>
          <w:sz w:val="22"/>
          <w:szCs w:val="22"/>
          <w:vertAlign w:val="superscript"/>
          <w:lang w:eastAsia="en-US"/>
        </w:rPr>
        <w:t>3</w:t>
      </w:r>
      <w:r w:rsidRPr="00CD45A4">
        <w:rPr>
          <w:rFonts w:eastAsia="Calibri"/>
          <w:snapToGrid w:val="0"/>
          <w:color w:val="000000"/>
          <w:sz w:val="22"/>
          <w:szCs w:val="22"/>
          <w:lang w:eastAsia="en-US"/>
        </w:rPr>
        <w:t>. Среднее значение по изучаемым точкам (1,33 г/см</w:t>
      </w:r>
      <w:r w:rsidRPr="00CD45A4">
        <w:rPr>
          <w:rFonts w:eastAsia="Calibri"/>
          <w:snapToGrid w:val="0"/>
          <w:color w:val="000000"/>
          <w:sz w:val="22"/>
          <w:szCs w:val="22"/>
          <w:vertAlign w:val="superscript"/>
          <w:lang w:eastAsia="en-US"/>
        </w:rPr>
        <w:t>3</w:t>
      </w:r>
      <w:r w:rsidRPr="00CD45A4">
        <w:rPr>
          <w:rFonts w:eastAsia="Calibri"/>
          <w:snapToGrid w:val="0"/>
          <w:color w:val="000000"/>
          <w:sz w:val="22"/>
          <w:szCs w:val="22"/>
          <w:lang w:eastAsia="en-US"/>
        </w:rPr>
        <w:t>) превышает значение на фоновой точке (1,19 г/см</w:t>
      </w:r>
      <w:r w:rsidRPr="00CD45A4">
        <w:rPr>
          <w:rFonts w:eastAsia="Calibri"/>
          <w:snapToGrid w:val="0"/>
          <w:color w:val="000000"/>
          <w:sz w:val="22"/>
          <w:szCs w:val="22"/>
          <w:vertAlign w:val="superscript"/>
          <w:lang w:eastAsia="en-US"/>
        </w:rPr>
        <w:t>3</w:t>
      </w:r>
      <w:r w:rsidRPr="00CD45A4">
        <w:rPr>
          <w:rFonts w:eastAsia="Calibri"/>
          <w:snapToGrid w:val="0"/>
          <w:color w:val="000000"/>
          <w:sz w:val="22"/>
          <w:szCs w:val="22"/>
          <w:lang w:eastAsia="en-US"/>
        </w:rPr>
        <w:t>), что позволяет судить о переуплотнённ</w:t>
      </w:r>
      <w:r w:rsidRPr="00CD45A4">
        <w:rPr>
          <w:rFonts w:eastAsia="Calibri"/>
          <w:snapToGrid w:val="0"/>
          <w:color w:val="000000"/>
          <w:sz w:val="22"/>
          <w:szCs w:val="22"/>
          <w:lang w:eastAsia="en-US"/>
        </w:rPr>
        <w:t>о</w:t>
      </w:r>
      <w:r w:rsidRPr="00CD45A4">
        <w:rPr>
          <w:rFonts w:eastAsia="Calibri"/>
          <w:snapToGrid w:val="0"/>
          <w:color w:val="000000"/>
          <w:sz w:val="22"/>
          <w:szCs w:val="22"/>
          <w:lang w:eastAsia="en-US"/>
        </w:rPr>
        <w:t>сти почвы на изучаемой территории.</w:t>
      </w:r>
    </w:p>
    <w:p w:rsidR="00CD45A4" w:rsidRPr="00CD45A4" w:rsidRDefault="00CD45A4" w:rsidP="00D50091">
      <w:pPr>
        <w:widowControl w:val="0"/>
        <w:ind w:firstLine="426"/>
        <w:jc w:val="both"/>
        <w:rPr>
          <w:rFonts w:eastAsia="Calibri"/>
          <w:snapToGrid w:val="0"/>
          <w:color w:val="000000"/>
          <w:sz w:val="22"/>
          <w:szCs w:val="22"/>
          <w:lang w:eastAsia="en-US"/>
        </w:rPr>
      </w:pPr>
      <w:r w:rsidRPr="00CD45A4">
        <w:rPr>
          <w:rFonts w:eastAsia="Calibri"/>
          <w:snapToGrid w:val="0"/>
          <w:color w:val="000000"/>
          <w:sz w:val="22"/>
          <w:szCs w:val="22"/>
          <w:lang w:eastAsia="en-US"/>
        </w:rPr>
        <w:t>Полученные результаты по определению реакции почвенной среды варьируют в пределах 6,11-6,90 единиц pH, а среднее знач</w:t>
      </w:r>
      <w:r w:rsidRPr="00CD45A4">
        <w:rPr>
          <w:rFonts w:eastAsia="Calibri"/>
          <w:snapToGrid w:val="0"/>
          <w:color w:val="000000"/>
          <w:sz w:val="22"/>
          <w:szCs w:val="22"/>
          <w:lang w:eastAsia="en-US"/>
        </w:rPr>
        <w:t>е</w:t>
      </w:r>
      <w:r w:rsidRPr="00CD45A4">
        <w:rPr>
          <w:rFonts w:eastAsia="Calibri"/>
          <w:snapToGrid w:val="0"/>
          <w:color w:val="000000"/>
          <w:sz w:val="22"/>
          <w:szCs w:val="22"/>
          <w:lang w:eastAsia="en-US"/>
        </w:rPr>
        <w:t>ние составило 6,50 единицы pH. Исходя из полученных результ</w:t>
      </w:r>
      <w:r w:rsidRPr="00CD45A4">
        <w:rPr>
          <w:rFonts w:eastAsia="Calibri"/>
          <w:snapToGrid w:val="0"/>
          <w:color w:val="000000"/>
          <w:sz w:val="22"/>
          <w:szCs w:val="22"/>
          <w:lang w:eastAsia="en-US"/>
        </w:rPr>
        <w:t>а</w:t>
      </w:r>
      <w:r w:rsidRPr="00CD45A4">
        <w:rPr>
          <w:rFonts w:eastAsia="Calibri"/>
          <w:snapToGrid w:val="0"/>
          <w:color w:val="000000"/>
          <w:sz w:val="22"/>
          <w:szCs w:val="22"/>
          <w:lang w:eastAsia="en-US"/>
        </w:rPr>
        <w:t>тов, почвы закислены и обладают малокислотным водородным п</w:t>
      </w:r>
      <w:r w:rsidRPr="00CD45A4">
        <w:rPr>
          <w:rFonts w:eastAsia="Calibri"/>
          <w:snapToGrid w:val="0"/>
          <w:color w:val="000000"/>
          <w:sz w:val="22"/>
          <w:szCs w:val="22"/>
          <w:lang w:eastAsia="en-US"/>
        </w:rPr>
        <w:t>о</w:t>
      </w:r>
      <w:r w:rsidRPr="00CD45A4">
        <w:rPr>
          <w:rFonts w:eastAsia="Calibri"/>
          <w:snapToGrid w:val="0"/>
          <w:color w:val="000000"/>
          <w:sz w:val="22"/>
          <w:szCs w:val="22"/>
          <w:lang w:eastAsia="en-US"/>
        </w:rPr>
        <w:t>казателем. Предположение о том, что почвы в пределах изучаемой территории закислены, подтверждается и при сравнении среднего показателя с показателем на фоновой точке – здесь водородный п</w:t>
      </w:r>
      <w:r w:rsidRPr="00CD45A4">
        <w:rPr>
          <w:rFonts w:eastAsia="Calibri"/>
          <w:snapToGrid w:val="0"/>
          <w:color w:val="000000"/>
          <w:sz w:val="22"/>
          <w:szCs w:val="22"/>
          <w:lang w:eastAsia="en-US"/>
        </w:rPr>
        <w:t>о</w:t>
      </w:r>
      <w:r w:rsidRPr="00CD45A4">
        <w:rPr>
          <w:rFonts w:eastAsia="Calibri"/>
          <w:snapToGrid w:val="0"/>
          <w:color w:val="000000"/>
          <w:sz w:val="22"/>
          <w:szCs w:val="22"/>
          <w:lang w:eastAsia="en-US"/>
        </w:rPr>
        <w:t>казатель составил 7,20 pH.</w:t>
      </w:r>
    </w:p>
    <w:p w:rsidR="00CD45A4" w:rsidRPr="000749B1" w:rsidRDefault="00CD45A4" w:rsidP="000749B1">
      <w:pPr>
        <w:widowControl w:val="0"/>
        <w:ind w:firstLine="426"/>
        <w:jc w:val="both"/>
        <w:rPr>
          <w:rFonts w:eastAsia="Calibri"/>
          <w:snapToGrid w:val="0"/>
          <w:color w:val="000000"/>
          <w:sz w:val="22"/>
          <w:szCs w:val="22"/>
          <w:lang w:eastAsia="en-US"/>
        </w:rPr>
      </w:pPr>
      <w:r w:rsidRPr="00CD45A4">
        <w:rPr>
          <w:rFonts w:eastAsia="Calibri"/>
          <w:sz w:val="22"/>
          <w:szCs w:val="22"/>
          <w:lang w:eastAsia="en-US"/>
        </w:rPr>
        <w:t>Первичная продуктивность на территории АЗС в 1,7 раза меньше, чем за ее пределами (0,113 г/м</w:t>
      </w:r>
      <w:proofErr w:type="gramStart"/>
      <w:r w:rsidRPr="00CD45A4">
        <w:rPr>
          <w:rFonts w:eastAsia="Calibri"/>
          <w:sz w:val="22"/>
          <w:szCs w:val="22"/>
          <w:vertAlign w:val="superscript"/>
          <w:lang w:eastAsia="en-US"/>
        </w:rPr>
        <w:t>2</w:t>
      </w:r>
      <w:proofErr w:type="gramEnd"/>
      <w:r w:rsidRPr="00CD45A4">
        <w:rPr>
          <w:rFonts w:eastAsia="Calibri"/>
          <w:sz w:val="22"/>
          <w:szCs w:val="22"/>
          <w:lang w:eastAsia="en-US"/>
        </w:rPr>
        <w:t>, против 0,196 г/м</w:t>
      </w:r>
      <w:r w:rsidRPr="00CD45A4">
        <w:rPr>
          <w:rFonts w:eastAsia="Calibri"/>
          <w:sz w:val="22"/>
          <w:szCs w:val="22"/>
          <w:vertAlign w:val="superscript"/>
          <w:lang w:eastAsia="en-US"/>
        </w:rPr>
        <w:t>2</w:t>
      </w:r>
      <w:r w:rsidRPr="00CD45A4">
        <w:rPr>
          <w:rFonts w:eastAsia="Calibri"/>
          <w:sz w:val="22"/>
          <w:szCs w:val="22"/>
          <w:lang w:eastAsia="en-US"/>
        </w:rPr>
        <w:t>), что объясняется негативным воздействием на нее автотранспорта</w:t>
      </w:r>
      <w:r w:rsidRPr="00CD45A4">
        <w:rPr>
          <w:sz w:val="22"/>
          <w:szCs w:val="22"/>
        </w:rPr>
        <w:t>.</w:t>
      </w:r>
    </w:p>
    <w:p w:rsidR="00CD45A4" w:rsidRPr="00CD45A4" w:rsidRDefault="00D50091" w:rsidP="00D50091">
      <w:pPr>
        <w:ind w:firstLine="426"/>
        <w:jc w:val="center"/>
        <w:rPr>
          <w:rFonts w:eastAsia="Calibri"/>
          <w:sz w:val="22"/>
          <w:szCs w:val="22"/>
          <w:lang w:eastAsia="en-US"/>
        </w:rPr>
      </w:pPr>
      <w:r>
        <w:rPr>
          <w:rFonts w:eastAsia="Calibri"/>
          <w:sz w:val="22"/>
          <w:szCs w:val="22"/>
          <w:lang w:eastAsia="en-US"/>
        </w:rPr>
        <w:t>Список литературы</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1. Методические указания по выполнению и оформлению в</w:t>
      </w:r>
      <w:r w:rsidRPr="00CD45A4">
        <w:rPr>
          <w:rFonts w:eastAsia="Calibri"/>
          <w:sz w:val="22"/>
          <w:szCs w:val="22"/>
          <w:lang w:eastAsia="en-US"/>
        </w:rPr>
        <w:t>ы</w:t>
      </w:r>
      <w:r w:rsidRPr="00CD45A4">
        <w:rPr>
          <w:rFonts w:eastAsia="Calibri"/>
          <w:sz w:val="22"/>
          <w:szCs w:val="22"/>
          <w:lang w:eastAsia="en-US"/>
        </w:rPr>
        <w:t>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w:t>
      </w:r>
      <w:r w:rsidRPr="00CD45A4">
        <w:rPr>
          <w:rFonts w:eastAsia="Calibri"/>
          <w:sz w:val="22"/>
          <w:szCs w:val="22"/>
          <w:lang w:eastAsia="en-US"/>
        </w:rPr>
        <w:t>р</w:t>
      </w:r>
      <w:r w:rsidRPr="00CD45A4">
        <w:rPr>
          <w:rFonts w:eastAsia="Calibri"/>
          <w:sz w:val="22"/>
          <w:szCs w:val="22"/>
          <w:lang w:eastAsia="en-US"/>
        </w:rPr>
        <w:t xml:space="preserve">кова – Краснодар: КубГАУ, 2016. – 80 с. </w:t>
      </w:r>
    </w:p>
    <w:p w:rsidR="00CD45A4" w:rsidRPr="00CD45A4" w:rsidRDefault="00CD45A4" w:rsidP="00D50091">
      <w:pPr>
        <w:widowControl w:val="0"/>
        <w:suppressAutoHyphens/>
        <w:ind w:firstLine="426"/>
        <w:jc w:val="both"/>
        <w:rPr>
          <w:sz w:val="22"/>
          <w:szCs w:val="22"/>
        </w:rPr>
      </w:pPr>
      <w:r w:rsidRPr="00CD45A4">
        <w:rPr>
          <w:rFonts w:eastAsia="Calibri"/>
          <w:sz w:val="22"/>
          <w:szCs w:val="22"/>
          <w:lang w:eastAsia="en-US"/>
        </w:rPr>
        <w:t xml:space="preserve">2. </w:t>
      </w:r>
      <w:r w:rsidRPr="00CD45A4">
        <w:rPr>
          <w:sz w:val="22"/>
          <w:szCs w:val="22"/>
        </w:rPr>
        <w:t>Стрельников, В. В. Прикладная экология / В. В. Стрельников [и др.]. – Краснодар: Изд. Дом-Юг, 2012. – 452 с.</w:t>
      </w:r>
    </w:p>
    <w:p w:rsidR="001C6F5C" w:rsidRPr="000749B1" w:rsidRDefault="00CD45A4" w:rsidP="000749B1">
      <w:pPr>
        <w:widowControl w:val="0"/>
        <w:suppressAutoHyphens/>
        <w:ind w:firstLine="426"/>
        <w:jc w:val="both"/>
        <w:rPr>
          <w:rFonts w:eastAsia="Calibri"/>
          <w:sz w:val="22"/>
          <w:szCs w:val="22"/>
          <w:lang w:eastAsia="en-US"/>
        </w:rPr>
      </w:pPr>
      <w:r w:rsidRPr="00CD45A4">
        <w:rPr>
          <w:rFonts w:eastAsia="Calibri"/>
          <w:sz w:val="22"/>
          <w:szCs w:val="22"/>
          <w:lang w:eastAsia="en-US"/>
        </w:rPr>
        <w:t>3. Стрельников, В. В. Экологическая токсикология / В.В. Стрельников, И. В. Хмара. – Краснодар, 2004. – 247 с.</w:t>
      </w:r>
    </w:p>
    <w:p w:rsidR="00CD45A4" w:rsidRDefault="00CD45A4" w:rsidP="00CD45A4">
      <w:pPr>
        <w:widowControl w:val="0"/>
        <w:rPr>
          <w:rFonts w:eastAsia="Calibri"/>
          <w:kern w:val="28"/>
          <w:sz w:val="20"/>
          <w:szCs w:val="20"/>
          <w:lang w:eastAsia="en-US"/>
        </w:rPr>
      </w:pPr>
      <w:r w:rsidRPr="00CD45A4">
        <w:rPr>
          <w:rFonts w:eastAsia="Calibri"/>
          <w:kern w:val="28"/>
          <w:sz w:val="20"/>
          <w:szCs w:val="20"/>
          <w:lang w:eastAsia="en-US"/>
        </w:rPr>
        <w:lastRenderedPageBreak/>
        <w:t>УДК 502.56(470.620)</w:t>
      </w:r>
    </w:p>
    <w:p w:rsidR="00567221" w:rsidRPr="00BF679C" w:rsidRDefault="00567221" w:rsidP="00CD45A4">
      <w:pPr>
        <w:widowControl w:val="0"/>
        <w:rPr>
          <w:rFonts w:eastAsia="Calibri"/>
          <w:kern w:val="28"/>
          <w:sz w:val="20"/>
          <w:szCs w:val="20"/>
          <w:lang w:eastAsia="en-US"/>
        </w:rPr>
      </w:pPr>
    </w:p>
    <w:p w:rsidR="00CD45A4" w:rsidRPr="00CD45A4" w:rsidRDefault="00CD45A4" w:rsidP="00CD45A4">
      <w:pPr>
        <w:widowControl w:val="0"/>
        <w:jc w:val="center"/>
        <w:rPr>
          <w:rFonts w:eastAsia="Calibri"/>
          <w:b/>
          <w:kern w:val="28"/>
          <w:sz w:val="24"/>
          <w:szCs w:val="24"/>
          <w:lang w:eastAsia="en-US"/>
        </w:rPr>
      </w:pPr>
      <w:r w:rsidRPr="00CD45A4">
        <w:rPr>
          <w:rFonts w:eastAsia="Calibri"/>
          <w:b/>
          <w:kern w:val="28"/>
          <w:sz w:val="24"/>
          <w:szCs w:val="24"/>
          <w:lang w:eastAsia="en-US"/>
        </w:rPr>
        <w:t xml:space="preserve">Животноводческий комплекс АО «Путиловец Юг» </w:t>
      </w:r>
    </w:p>
    <w:p w:rsidR="00CD45A4" w:rsidRPr="00CD45A4" w:rsidRDefault="00CD45A4" w:rsidP="00CD45A4">
      <w:pPr>
        <w:widowControl w:val="0"/>
        <w:jc w:val="center"/>
        <w:rPr>
          <w:rFonts w:eastAsia="Calibri"/>
          <w:b/>
          <w:kern w:val="28"/>
          <w:sz w:val="24"/>
          <w:szCs w:val="24"/>
          <w:lang w:val="en-US" w:eastAsia="en-US"/>
        </w:rPr>
      </w:pPr>
      <w:r w:rsidRPr="00CD45A4">
        <w:rPr>
          <w:rFonts w:eastAsia="Calibri"/>
          <w:b/>
          <w:kern w:val="28"/>
          <w:sz w:val="24"/>
          <w:szCs w:val="24"/>
          <w:lang w:eastAsia="en-US"/>
        </w:rPr>
        <w:t>как</w:t>
      </w:r>
      <w:r w:rsidRPr="00CD45A4">
        <w:rPr>
          <w:rFonts w:eastAsia="Calibri"/>
          <w:b/>
          <w:kern w:val="28"/>
          <w:sz w:val="24"/>
          <w:szCs w:val="24"/>
          <w:lang w:val="en-US" w:eastAsia="en-US"/>
        </w:rPr>
        <w:t xml:space="preserve"> </w:t>
      </w:r>
      <w:r w:rsidRPr="00CD45A4">
        <w:rPr>
          <w:rFonts w:eastAsia="Calibri"/>
          <w:b/>
          <w:kern w:val="28"/>
          <w:sz w:val="24"/>
          <w:szCs w:val="24"/>
          <w:lang w:eastAsia="en-US"/>
        </w:rPr>
        <w:t>источник</w:t>
      </w:r>
      <w:r w:rsidRPr="00CD45A4">
        <w:rPr>
          <w:rFonts w:eastAsia="Calibri"/>
          <w:b/>
          <w:kern w:val="28"/>
          <w:sz w:val="24"/>
          <w:szCs w:val="24"/>
          <w:lang w:val="en-US" w:eastAsia="en-US"/>
        </w:rPr>
        <w:t xml:space="preserve"> </w:t>
      </w:r>
      <w:r w:rsidRPr="00CD45A4">
        <w:rPr>
          <w:rFonts w:eastAsia="Calibri"/>
          <w:b/>
          <w:kern w:val="28"/>
          <w:sz w:val="24"/>
          <w:szCs w:val="24"/>
          <w:lang w:eastAsia="en-US"/>
        </w:rPr>
        <w:t>загрязнения</w:t>
      </w:r>
      <w:r w:rsidRPr="00CD45A4">
        <w:rPr>
          <w:rFonts w:eastAsia="Calibri"/>
          <w:b/>
          <w:kern w:val="28"/>
          <w:sz w:val="24"/>
          <w:szCs w:val="24"/>
          <w:lang w:val="en-US" w:eastAsia="en-US"/>
        </w:rPr>
        <w:t xml:space="preserve"> </w:t>
      </w:r>
      <w:r w:rsidRPr="00CD45A4">
        <w:rPr>
          <w:rFonts w:eastAsia="Calibri"/>
          <w:b/>
          <w:kern w:val="28"/>
          <w:sz w:val="24"/>
          <w:szCs w:val="24"/>
          <w:lang w:eastAsia="en-US"/>
        </w:rPr>
        <w:t>окружающей</w:t>
      </w:r>
      <w:r w:rsidRPr="00CD45A4">
        <w:rPr>
          <w:rFonts w:eastAsia="Calibri"/>
          <w:b/>
          <w:kern w:val="28"/>
          <w:sz w:val="24"/>
          <w:szCs w:val="24"/>
          <w:lang w:val="en-US" w:eastAsia="en-US"/>
        </w:rPr>
        <w:t xml:space="preserve"> </w:t>
      </w:r>
      <w:r w:rsidRPr="00CD45A4">
        <w:rPr>
          <w:rFonts w:eastAsia="Calibri"/>
          <w:b/>
          <w:kern w:val="28"/>
          <w:sz w:val="24"/>
          <w:szCs w:val="24"/>
          <w:lang w:eastAsia="en-US"/>
        </w:rPr>
        <w:t>среды</w:t>
      </w:r>
      <w:r w:rsidRPr="00CD45A4">
        <w:rPr>
          <w:rFonts w:eastAsia="Calibri"/>
          <w:b/>
          <w:kern w:val="28"/>
          <w:sz w:val="24"/>
          <w:szCs w:val="24"/>
          <w:lang w:val="en-US" w:eastAsia="en-US"/>
        </w:rPr>
        <w:t xml:space="preserve"> </w:t>
      </w:r>
    </w:p>
    <w:p w:rsidR="00CD45A4" w:rsidRPr="00CD45A4" w:rsidRDefault="00CD45A4" w:rsidP="00CD45A4">
      <w:pPr>
        <w:widowControl w:val="0"/>
        <w:jc w:val="center"/>
        <w:rPr>
          <w:rFonts w:eastAsia="Calibri"/>
          <w:b/>
          <w:kern w:val="28"/>
          <w:sz w:val="24"/>
          <w:szCs w:val="24"/>
          <w:lang w:val="en-US" w:eastAsia="en-US"/>
        </w:rPr>
      </w:pPr>
      <w:r w:rsidRPr="00CD45A4">
        <w:rPr>
          <w:rFonts w:eastAsia="Calibri"/>
          <w:b/>
          <w:kern w:val="28"/>
          <w:sz w:val="24"/>
          <w:szCs w:val="24"/>
          <w:lang w:val="en-US" w:eastAsia="en-US"/>
        </w:rPr>
        <w:t xml:space="preserve">The livestock complex of JSC «Putilovets South» as a source </w:t>
      </w:r>
    </w:p>
    <w:p w:rsidR="00CD45A4" w:rsidRPr="00CD45A4" w:rsidRDefault="00CD45A4" w:rsidP="00CD45A4">
      <w:pPr>
        <w:widowControl w:val="0"/>
        <w:jc w:val="center"/>
        <w:rPr>
          <w:rFonts w:eastAsia="Calibri"/>
          <w:b/>
          <w:kern w:val="28"/>
          <w:sz w:val="24"/>
          <w:szCs w:val="24"/>
          <w:lang w:val="en-US" w:eastAsia="en-US"/>
        </w:rPr>
      </w:pPr>
      <w:proofErr w:type="gramStart"/>
      <w:r w:rsidRPr="00CD45A4">
        <w:rPr>
          <w:rFonts w:eastAsia="Calibri"/>
          <w:b/>
          <w:kern w:val="28"/>
          <w:sz w:val="24"/>
          <w:szCs w:val="24"/>
          <w:lang w:val="en-US" w:eastAsia="en-US"/>
        </w:rPr>
        <w:t>of</w:t>
      </w:r>
      <w:proofErr w:type="gramEnd"/>
      <w:r w:rsidRPr="00CD45A4">
        <w:rPr>
          <w:rFonts w:eastAsia="Calibri"/>
          <w:b/>
          <w:kern w:val="28"/>
          <w:sz w:val="24"/>
          <w:szCs w:val="24"/>
          <w:lang w:val="en-US" w:eastAsia="en-US"/>
        </w:rPr>
        <w:t xml:space="preserve"> environmental pollution</w:t>
      </w:r>
    </w:p>
    <w:p w:rsidR="00CD45A4" w:rsidRPr="00CD45A4" w:rsidRDefault="00CD45A4" w:rsidP="00CD45A4">
      <w:pPr>
        <w:widowControl w:val="0"/>
        <w:rPr>
          <w:rFonts w:eastAsia="Calibri"/>
          <w:b/>
          <w:kern w:val="28"/>
          <w:sz w:val="24"/>
          <w:szCs w:val="24"/>
          <w:lang w:val="en-US" w:eastAsia="en-US"/>
        </w:rPr>
      </w:pPr>
    </w:p>
    <w:p w:rsidR="00CD45A4" w:rsidRPr="00CD45A4" w:rsidRDefault="00CD45A4" w:rsidP="00CD45A4">
      <w:pPr>
        <w:widowControl w:val="0"/>
        <w:jc w:val="right"/>
        <w:rPr>
          <w:rFonts w:eastAsia="Calibri"/>
          <w:sz w:val="22"/>
          <w:szCs w:val="22"/>
          <w:lang w:val="en-US" w:eastAsia="en-US"/>
        </w:rPr>
      </w:pPr>
      <w:r w:rsidRPr="00CD45A4">
        <w:rPr>
          <w:rFonts w:eastAsia="Calibri"/>
          <w:sz w:val="22"/>
          <w:szCs w:val="22"/>
          <w:lang w:eastAsia="en-US"/>
        </w:rPr>
        <w:t>Гричук</w:t>
      </w:r>
      <w:r w:rsidRPr="00CD45A4">
        <w:rPr>
          <w:rFonts w:eastAsia="Calibri"/>
          <w:sz w:val="22"/>
          <w:szCs w:val="22"/>
          <w:lang w:val="en-US" w:eastAsia="en-US"/>
        </w:rPr>
        <w:t xml:space="preserve"> </w:t>
      </w:r>
      <w:r w:rsidRPr="00CD45A4">
        <w:rPr>
          <w:rFonts w:eastAsia="Calibri"/>
          <w:sz w:val="22"/>
          <w:szCs w:val="22"/>
          <w:lang w:eastAsia="en-US"/>
        </w:rPr>
        <w:t>А</w:t>
      </w:r>
      <w:r w:rsidRPr="00CD45A4">
        <w:rPr>
          <w:rFonts w:eastAsia="Calibri"/>
          <w:sz w:val="22"/>
          <w:szCs w:val="22"/>
          <w:lang w:val="en-US" w:eastAsia="en-US"/>
        </w:rPr>
        <w:t xml:space="preserve">. </w:t>
      </w:r>
      <w:r w:rsidRPr="00CD45A4">
        <w:rPr>
          <w:rFonts w:eastAsia="Calibri"/>
          <w:sz w:val="22"/>
          <w:szCs w:val="22"/>
          <w:lang w:eastAsia="en-US"/>
        </w:rPr>
        <w:t>С</w:t>
      </w:r>
      <w:r w:rsidRPr="00CD45A4">
        <w:rPr>
          <w:rFonts w:eastAsia="Calibri"/>
          <w:sz w:val="22"/>
          <w:szCs w:val="22"/>
          <w:lang w:val="en-US" w:eastAsia="en-US"/>
        </w:rPr>
        <w:t>.,</w:t>
      </w:r>
    </w:p>
    <w:p w:rsidR="00CD45A4" w:rsidRPr="00CD45A4" w:rsidRDefault="00D50091" w:rsidP="00CD45A4">
      <w:pPr>
        <w:widowControl w:val="0"/>
        <w:jc w:val="right"/>
        <w:rPr>
          <w:rFonts w:eastAsia="Calibri"/>
          <w:sz w:val="22"/>
          <w:szCs w:val="22"/>
          <w:lang w:eastAsia="en-US"/>
        </w:rPr>
      </w:pPr>
      <w:r>
        <w:rPr>
          <w:rFonts w:eastAsia="Calibri"/>
          <w:sz w:val="22"/>
          <w:szCs w:val="22"/>
          <w:lang w:eastAsia="en-US"/>
        </w:rPr>
        <w:t>студентка 4- го курса</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факультета агрономии и экологии</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Куб</w:t>
      </w:r>
      <w:r w:rsidR="00D50091">
        <w:rPr>
          <w:rFonts w:eastAsia="Calibri"/>
          <w:sz w:val="22"/>
          <w:szCs w:val="22"/>
          <w:lang w:eastAsia="en-US"/>
        </w:rPr>
        <w:t>анский государственный аграрный</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университет имени И.</w:t>
      </w:r>
      <w:r w:rsidR="001C6F5C">
        <w:rPr>
          <w:rFonts w:eastAsia="Calibri"/>
          <w:sz w:val="22"/>
          <w:szCs w:val="22"/>
          <w:lang w:eastAsia="en-US"/>
        </w:rPr>
        <w:t xml:space="preserve"> </w:t>
      </w:r>
      <w:r w:rsidRPr="00CD45A4">
        <w:rPr>
          <w:rFonts w:eastAsia="Calibri"/>
          <w:sz w:val="22"/>
          <w:szCs w:val="22"/>
          <w:lang w:eastAsia="en-US"/>
        </w:rPr>
        <w:t>Т. Трубилина</w:t>
      </w:r>
    </w:p>
    <w:p w:rsidR="00CD45A4" w:rsidRPr="00CD45A4" w:rsidRDefault="00CD45A4" w:rsidP="00CD45A4">
      <w:pPr>
        <w:widowControl w:val="0"/>
        <w:jc w:val="center"/>
        <w:rPr>
          <w:rFonts w:eastAsia="Calibri"/>
          <w:b/>
          <w:kern w:val="28"/>
          <w:sz w:val="22"/>
          <w:szCs w:val="22"/>
          <w:lang w:eastAsia="en-US"/>
        </w:rPr>
      </w:pPr>
    </w:p>
    <w:p w:rsidR="00CD45A4" w:rsidRPr="00CD45A4" w:rsidRDefault="00CD45A4" w:rsidP="00D50091">
      <w:pPr>
        <w:widowControl w:val="0"/>
        <w:suppressAutoHyphens/>
        <w:ind w:firstLine="426"/>
        <w:jc w:val="both"/>
        <w:rPr>
          <w:rFonts w:eastAsia="Calibri"/>
          <w:sz w:val="22"/>
          <w:szCs w:val="20"/>
          <w:lang w:eastAsia="en-US"/>
        </w:rPr>
      </w:pPr>
      <w:r w:rsidRPr="00CD45A4">
        <w:rPr>
          <w:rFonts w:eastAsia="Calibri"/>
          <w:caps/>
          <w:sz w:val="22"/>
          <w:szCs w:val="20"/>
          <w:lang w:eastAsia="en-US"/>
        </w:rPr>
        <w:t>Аннотация</w:t>
      </w:r>
      <w:r w:rsidRPr="00CD45A4">
        <w:rPr>
          <w:rFonts w:eastAsia="Calibri"/>
          <w:sz w:val="22"/>
          <w:szCs w:val="20"/>
          <w:lang w:eastAsia="en-US"/>
        </w:rPr>
        <w:t>: В статье дается характеристика состояния древесной растительности на территории животноводческого комплекса АО «Путиловец Юг». Приведены результаты инвентаризации зеленых насаждений и негативного воздействия на них деятельности предприятия.</w:t>
      </w:r>
    </w:p>
    <w:p w:rsidR="00CD45A4" w:rsidRPr="00CD45A4" w:rsidRDefault="00CD45A4" w:rsidP="00D50091">
      <w:pPr>
        <w:widowControl w:val="0"/>
        <w:suppressAutoHyphens/>
        <w:ind w:firstLine="426"/>
        <w:jc w:val="both"/>
        <w:rPr>
          <w:rFonts w:eastAsia="Calibri"/>
          <w:sz w:val="22"/>
          <w:szCs w:val="20"/>
          <w:lang w:val="en-US" w:eastAsia="en-US"/>
        </w:rPr>
      </w:pPr>
      <w:r w:rsidRPr="00CD45A4">
        <w:rPr>
          <w:rFonts w:eastAsia="Calibri"/>
          <w:caps/>
          <w:sz w:val="22"/>
          <w:szCs w:val="20"/>
          <w:lang w:val="en-US" w:eastAsia="en-US"/>
        </w:rPr>
        <w:t>Annotation</w:t>
      </w:r>
      <w:r w:rsidRPr="00CD45A4">
        <w:rPr>
          <w:rFonts w:eastAsia="Calibri"/>
          <w:sz w:val="22"/>
          <w:szCs w:val="20"/>
          <w:lang w:val="en-US" w:eastAsia="en-US"/>
        </w:rPr>
        <w:t>: The article describes the state of woody vegetation on the territory of the livestock complex JSC «Putilovets South». Results of inventory of green plantings and negative influence on them of activity of the enterprise are resulted.</w:t>
      </w:r>
    </w:p>
    <w:p w:rsidR="00CD45A4" w:rsidRPr="00CD45A4" w:rsidRDefault="00CD45A4" w:rsidP="00D50091">
      <w:pPr>
        <w:widowControl w:val="0"/>
        <w:suppressAutoHyphens/>
        <w:ind w:firstLine="426"/>
        <w:jc w:val="both"/>
        <w:rPr>
          <w:rFonts w:eastAsia="Calibri"/>
          <w:sz w:val="22"/>
          <w:szCs w:val="20"/>
          <w:lang w:eastAsia="en-US"/>
        </w:rPr>
      </w:pPr>
      <w:r w:rsidRPr="00CD45A4">
        <w:rPr>
          <w:rFonts w:eastAsia="Calibri"/>
          <w:caps/>
          <w:sz w:val="22"/>
          <w:szCs w:val="20"/>
          <w:lang w:eastAsia="en-US"/>
        </w:rPr>
        <w:t>Ключевые слова</w:t>
      </w:r>
      <w:r w:rsidRPr="00CD45A4">
        <w:rPr>
          <w:rFonts w:eastAsia="Calibri"/>
          <w:sz w:val="22"/>
          <w:szCs w:val="20"/>
          <w:lang w:eastAsia="en-US"/>
        </w:rPr>
        <w:t>:</w:t>
      </w:r>
      <w:r w:rsidRPr="00CD45A4">
        <w:rPr>
          <w:rFonts w:ascii="Calibri" w:eastAsia="Calibri" w:hAnsi="Calibri"/>
          <w:sz w:val="24"/>
          <w:szCs w:val="22"/>
          <w:lang w:eastAsia="en-US"/>
        </w:rPr>
        <w:t xml:space="preserve"> </w:t>
      </w:r>
      <w:r w:rsidRPr="00CD45A4">
        <w:rPr>
          <w:rFonts w:eastAsia="Calibri"/>
          <w:sz w:val="22"/>
          <w:szCs w:val="20"/>
          <w:lang w:eastAsia="en-US"/>
        </w:rPr>
        <w:t>животноводческий комплекс, озеленение, породы деревьев, категории состояния.</w:t>
      </w:r>
    </w:p>
    <w:p w:rsidR="00CD45A4" w:rsidRPr="00CD45A4" w:rsidRDefault="00CD45A4" w:rsidP="00D50091">
      <w:pPr>
        <w:widowControl w:val="0"/>
        <w:suppressAutoHyphens/>
        <w:ind w:firstLine="426"/>
        <w:jc w:val="both"/>
        <w:rPr>
          <w:rFonts w:eastAsia="Calibri"/>
          <w:sz w:val="22"/>
          <w:szCs w:val="20"/>
          <w:lang w:val="en-US" w:eastAsia="en-US"/>
        </w:rPr>
      </w:pPr>
      <w:r w:rsidRPr="00CD45A4">
        <w:rPr>
          <w:rFonts w:eastAsia="Calibri"/>
          <w:caps/>
          <w:sz w:val="22"/>
          <w:szCs w:val="20"/>
          <w:lang w:val="en-US" w:eastAsia="en-US"/>
        </w:rPr>
        <w:t>Keywords</w:t>
      </w:r>
      <w:r w:rsidRPr="00CD45A4">
        <w:rPr>
          <w:rFonts w:eastAsia="Calibri"/>
          <w:sz w:val="22"/>
          <w:szCs w:val="20"/>
          <w:lang w:val="en-US" w:eastAsia="en-US"/>
        </w:rPr>
        <w:t>: livestock complex, landscaping, tree species, status categories.</w:t>
      </w:r>
    </w:p>
    <w:p w:rsidR="00CD45A4" w:rsidRPr="00CD45A4" w:rsidRDefault="00CD45A4" w:rsidP="00D50091">
      <w:pPr>
        <w:widowControl w:val="0"/>
        <w:ind w:firstLine="426"/>
        <w:jc w:val="both"/>
        <w:rPr>
          <w:rFonts w:eastAsia="Calibri"/>
          <w:b/>
          <w:sz w:val="22"/>
          <w:szCs w:val="20"/>
          <w:lang w:val="en-US" w:eastAsia="en-US"/>
        </w:rPr>
      </w:pPr>
    </w:p>
    <w:p w:rsidR="00CD45A4" w:rsidRPr="00CD45A4" w:rsidRDefault="00CD45A4" w:rsidP="00D50091">
      <w:pPr>
        <w:widowControl w:val="0"/>
        <w:ind w:firstLine="426"/>
        <w:jc w:val="both"/>
        <w:rPr>
          <w:rFonts w:eastAsia="Calibri"/>
          <w:sz w:val="22"/>
          <w:szCs w:val="22"/>
          <w:lang w:eastAsia="en-US"/>
        </w:rPr>
      </w:pPr>
      <w:r w:rsidRPr="00CD45A4">
        <w:rPr>
          <w:rFonts w:eastAsia="Calibri"/>
          <w:sz w:val="22"/>
          <w:szCs w:val="22"/>
          <w:lang w:eastAsia="en-US"/>
        </w:rPr>
        <w:t>Акционерное Общество «Путиловец Юг» – многоотраслевое предприятие, основным направлением деятельности которого явл</w:t>
      </w:r>
      <w:r w:rsidRPr="00CD45A4">
        <w:rPr>
          <w:rFonts w:eastAsia="Calibri"/>
          <w:sz w:val="22"/>
          <w:szCs w:val="22"/>
          <w:lang w:eastAsia="en-US"/>
        </w:rPr>
        <w:t>я</w:t>
      </w:r>
      <w:r w:rsidRPr="00CD45A4">
        <w:rPr>
          <w:rFonts w:eastAsia="Calibri"/>
          <w:sz w:val="22"/>
          <w:szCs w:val="22"/>
          <w:lang w:eastAsia="en-US"/>
        </w:rPr>
        <w:t>ется растениеводство: кормовое и зерновое, животноводство (ск</w:t>
      </w:r>
      <w:r w:rsidRPr="00CD45A4">
        <w:rPr>
          <w:rFonts w:eastAsia="Calibri"/>
          <w:sz w:val="22"/>
          <w:szCs w:val="22"/>
          <w:lang w:eastAsia="en-US"/>
        </w:rPr>
        <w:t>о</w:t>
      </w:r>
      <w:r w:rsidRPr="00CD45A4">
        <w:rPr>
          <w:rFonts w:eastAsia="Calibri"/>
          <w:sz w:val="22"/>
          <w:szCs w:val="22"/>
          <w:lang w:eastAsia="en-US"/>
        </w:rPr>
        <w:t xml:space="preserve">товодство) – преимущественно молочное. Одним из подразделений является животноводческий комплекс (ЖК). </w:t>
      </w:r>
      <w:r w:rsidRPr="00CD45A4">
        <w:rPr>
          <w:rFonts w:eastAsia="Arial CYR"/>
          <w:sz w:val="22"/>
          <w:szCs w:val="22"/>
          <w:lang w:eastAsia="en-US"/>
        </w:rPr>
        <w:t xml:space="preserve">Животноводческий комплекс </w:t>
      </w:r>
      <w:r w:rsidRPr="00CD45A4">
        <w:rPr>
          <w:rFonts w:eastAsia="Calibri"/>
          <w:sz w:val="22"/>
          <w:szCs w:val="22"/>
          <w:lang w:eastAsia="en-US"/>
        </w:rPr>
        <w:t>располагается на северо-западной окраине ст. Новолеу</w:t>
      </w:r>
      <w:r w:rsidRPr="00CD45A4">
        <w:rPr>
          <w:rFonts w:eastAsia="Calibri"/>
          <w:sz w:val="22"/>
          <w:szCs w:val="22"/>
          <w:lang w:eastAsia="en-US"/>
        </w:rPr>
        <w:t>ш</w:t>
      </w:r>
      <w:r w:rsidRPr="00CD45A4">
        <w:rPr>
          <w:rFonts w:eastAsia="Calibri"/>
          <w:sz w:val="22"/>
          <w:szCs w:val="22"/>
          <w:lang w:eastAsia="en-US"/>
        </w:rPr>
        <w:t>ковская.</w:t>
      </w:r>
    </w:p>
    <w:p w:rsidR="00CD45A4" w:rsidRPr="00CD45A4" w:rsidRDefault="00CD45A4" w:rsidP="00D50091">
      <w:pPr>
        <w:widowControl w:val="0"/>
        <w:suppressAutoHyphens/>
        <w:ind w:firstLine="426"/>
        <w:jc w:val="both"/>
        <w:rPr>
          <w:rFonts w:eastAsia="Lucida Sans Unicode"/>
          <w:kern w:val="1"/>
          <w:sz w:val="22"/>
          <w:szCs w:val="22"/>
          <w:lang w:eastAsia="en-US"/>
        </w:rPr>
      </w:pPr>
      <w:r w:rsidRPr="00CD45A4">
        <w:rPr>
          <w:rFonts w:eastAsia="Arial CYR"/>
          <w:sz w:val="22"/>
          <w:szCs w:val="22"/>
          <w:lang w:eastAsia="en-US"/>
        </w:rPr>
        <w:t xml:space="preserve">На территории ЖК содержится </w:t>
      </w:r>
      <w:proofErr w:type="gramStart"/>
      <w:r w:rsidRPr="00CD45A4">
        <w:rPr>
          <w:rFonts w:eastAsia="Arial CYR"/>
          <w:sz w:val="22"/>
          <w:szCs w:val="22"/>
          <w:lang w:eastAsia="en-US"/>
        </w:rPr>
        <w:t>крупно-рогатый</w:t>
      </w:r>
      <w:proofErr w:type="gramEnd"/>
      <w:r w:rsidRPr="00CD45A4">
        <w:rPr>
          <w:rFonts w:eastAsia="Arial CYR"/>
          <w:sz w:val="22"/>
          <w:szCs w:val="22"/>
          <w:lang w:eastAsia="en-US"/>
        </w:rPr>
        <w:t xml:space="preserve"> скот (1583 голов со средним весом 450 кг) </w:t>
      </w:r>
      <w:r w:rsidRPr="00CD45A4">
        <w:rPr>
          <w:rFonts w:eastAsia="Calibri"/>
          <w:sz w:val="22"/>
          <w:szCs w:val="22"/>
          <w:lang w:eastAsia="en-US"/>
        </w:rPr>
        <w:t xml:space="preserve">и вспомогательные здания и сооружения. Для оценки </w:t>
      </w:r>
      <w:r w:rsidRPr="00CD45A4">
        <w:rPr>
          <w:rFonts w:eastAsia="Lucida Sans Unicode"/>
          <w:kern w:val="1"/>
          <w:sz w:val="22"/>
          <w:szCs w:val="22"/>
          <w:lang w:eastAsia="en-US"/>
        </w:rPr>
        <w:t xml:space="preserve">состояния окружающей среды </w:t>
      </w:r>
      <w:r w:rsidRPr="00CD45A4">
        <w:rPr>
          <w:rFonts w:eastAsia="Lucida Sans Unicode"/>
          <w:kern w:val="1"/>
          <w:sz w:val="22"/>
          <w:szCs w:val="22"/>
          <w:lang w:eastAsia="en-US"/>
        </w:rPr>
        <w:lastRenderedPageBreak/>
        <w:t>использовалась методика инвентаризации зеленых насаждений.</w:t>
      </w:r>
    </w:p>
    <w:p w:rsidR="00CD45A4" w:rsidRPr="00CD45A4" w:rsidRDefault="00CD45A4" w:rsidP="00D50091">
      <w:pPr>
        <w:widowControl w:val="0"/>
        <w:ind w:firstLine="426"/>
        <w:jc w:val="both"/>
        <w:rPr>
          <w:color w:val="000000"/>
          <w:sz w:val="22"/>
          <w:szCs w:val="22"/>
        </w:rPr>
      </w:pPr>
      <w:r w:rsidRPr="00CD45A4">
        <w:rPr>
          <w:color w:val="000000"/>
          <w:sz w:val="22"/>
          <w:szCs w:val="22"/>
        </w:rPr>
        <w:t xml:space="preserve">В ходе инвентаризации изучался видовой состав </w:t>
      </w:r>
      <w:proofErr w:type="gramStart"/>
      <w:r w:rsidRPr="00CD45A4">
        <w:rPr>
          <w:color w:val="000000"/>
          <w:sz w:val="22"/>
          <w:szCs w:val="22"/>
        </w:rPr>
        <w:t>растительн</w:t>
      </w:r>
      <w:r w:rsidRPr="00CD45A4">
        <w:rPr>
          <w:color w:val="000000"/>
          <w:sz w:val="22"/>
          <w:szCs w:val="22"/>
        </w:rPr>
        <w:t>о</w:t>
      </w:r>
      <w:r w:rsidRPr="00CD45A4">
        <w:rPr>
          <w:color w:val="000000"/>
          <w:sz w:val="22"/>
          <w:szCs w:val="22"/>
        </w:rPr>
        <w:t>сти</w:t>
      </w:r>
      <w:proofErr w:type="gramEnd"/>
      <w:r w:rsidRPr="00CD45A4">
        <w:rPr>
          <w:color w:val="000000"/>
          <w:sz w:val="22"/>
          <w:szCs w:val="22"/>
        </w:rPr>
        <w:t xml:space="preserve"> и устанавливалась доля участия отдельных пород деревьев и кустарников в озеленении. Затем проводилась оценка состояния древесно-кустарниковых растений исходя из категорий, к которым они были отнесены при инвентаризации [1-3] </w:t>
      </w:r>
    </w:p>
    <w:p w:rsidR="00CD45A4" w:rsidRPr="00CD45A4" w:rsidRDefault="00CD45A4" w:rsidP="00D50091">
      <w:pPr>
        <w:widowControl w:val="0"/>
        <w:ind w:firstLine="426"/>
        <w:jc w:val="both"/>
        <w:rPr>
          <w:color w:val="000000"/>
          <w:sz w:val="22"/>
          <w:szCs w:val="22"/>
        </w:rPr>
      </w:pPr>
      <w:r w:rsidRPr="00CD45A4">
        <w:rPr>
          <w:color w:val="000000"/>
          <w:sz w:val="22"/>
          <w:szCs w:val="22"/>
        </w:rPr>
        <w:t>Для определения категории используются следующие показ</w:t>
      </w:r>
      <w:r w:rsidRPr="00CD45A4">
        <w:rPr>
          <w:color w:val="000000"/>
          <w:sz w:val="22"/>
          <w:szCs w:val="22"/>
        </w:rPr>
        <w:t>а</w:t>
      </w:r>
      <w:r w:rsidRPr="00CD45A4">
        <w:rPr>
          <w:color w:val="000000"/>
          <w:sz w:val="22"/>
          <w:szCs w:val="22"/>
        </w:rPr>
        <w:t>тели: густота кроны, цвет листвы, наличие повреждений, сухих ве</w:t>
      </w:r>
      <w:r w:rsidRPr="00CD45A4">
        <w:rPr>
          <w:color w:val="000000"/>
          <w:sz w:val="22"/>
          <w:szCs w:val="22"/>
        </w:rPr>
        <w:t>т</w:t>
      </w:r>
      <w:r w:rsidRPr="00CD45A4">
        <w:rPr>
          <w:color w:val="000000"/>
          <w:sz w:val="22"/>
          <w:szCs w:val="22"/>
        </w:rPr>
        <w:t>вей и некрозов. Градация лиственных пород проводилась по пяти категориям (от 0 до 5). По результатам инвентаризации оценивалось преобладание тех или иных категорий на исследуемом участке, а также у отдельных пород, наиболее часто используемых в озелен</w:t>
      </w:r>
      <w:r w:rsidRPr="00CD45A4">
        <w:rPr>
          <w:color w:val="000000"/>
          <w:sz w:val="22"/>
          <w:szCs w:val="22"/>
        </w:rPr>
        <w:t>е</w:t>
      </w:r>
      <w:r w:rsidRPr="00CD45A4">
        <w:rPr>
          <w:color w:val="000000"/>
          <w:sz w:val="22"/>
          <w:szCs w:val="22"/>
        </w:rPr>
        <w:t>нии.</w:t>
      </w:r>
    </w:p>
    <w:p w:rsidR="00CD45A4" w:rsidRPr="00CD45A4" w:rsidRDefault="00CD45A4" w:rsidP="00D50091">
      <w:pPr>
        <w:widowControl w:val="0"/>
        <w:shd w:val="clear" w:color="auto" w:fill="FFFFFF"/>
        <w:ind w:firstLine="426"/>
        <w:jc w:val="both"/>
        <w:rPr>
          <w:rFonts w:eastAsia="Calibri"/>
          <w:sz w:val="22"/>
          <w:szCs w:val="22"/>
          <w:lang w:eastAsia="en-US"/>
        </w:rPr>
      </w:pPr>
      <w:r w:rsidRPr="00CD45A4">
        <w:rPr>
          <w:rFonts w:eastAsia="Calibri"/>
          <w:sz w:val="22"/>
          <w:szCs w:val="22"/>
          <w:lang w:eastAsia="en-US"/>
        </w:rPr>
        <w:t>На территории ЖК произрастает 16 деревьев, относящихся к двум породам – береза повислая (10 шт.) и можжевельник кавка</w:t>
      </w:r>
      <w:r w:rsidRPr="00CD45A4">
        <w:rPr>
          <w:rFonts w:eastAsia="Calibri"/>
          <w:sz w:val="22"/>
          <w:szCs w:val="22"/>
          <w:lang w:eastAsia="en-US"/>
        </w:rPr>
        <w:t>з</w:t>
      </w:r>
      <w:r w:rsidRPr="00CD45A4">
        <w:rPr>
          <w:rFonts w:eastAsia="Calibri"/>
          <w:sz w:val="22"/>
          <w:szCs w:val="22"/>
          <w:lang w:eastAsia="en-US"/>
        </w:rPr>
        <w:t>ский (6 шт.). Большинство из насаждений относится к 0 категории – деревья без признаков ослабления, крона хорошо развита и в ее верхней части нет отмерших ветвей, 4 можжевельника ослаблены, характеризуются снижением густоты кроны, около 30 % усыха</w:t>
      </w:r>
      <w:r w:rsidRPr="00CD45A4">
        <w:rPr>
          <w:rFonts w:eastAsia="Calibri"/>
          <w:sz w:val="22"/>
          <w:szCs w:val="22"/>
          <w:lang w:eastAsia="en-US"/>
        </w:rPr>
        <w:t>ю</w:t>
      </w:r>
      <w:r w:rsidRPr="00CD45A4">
        <w:rPr>
          <w:rFonts w:eastAsia="Calibri"/>
          <w:sz w:val="22"/>
          <w:szCs w:val="22"/>
          <w:lang w:eastAsia="en-US"/>
        </w:rPr>
        <w:t>щих ветвей имеются в верхней части кроны (1 категория состо</w:t>
      </w:r>
      <w:r w:rsidRPr="00CD45A4">
        <w:rPr>
          <w:rFonts w:eastAsia="Calibri"/>
          <w:sz w:val="22"/>
          <w:szCs w:val="22"/>
          <w:lang w:eastAsia="en-US"/>
        </w:rPr>
        <w:t>я</w:t>
      </w:r>
      <w:r w:rsidRPr="00CD45A4">
        <w:rPr>
          <w:rFonts w:eastAsia="Calibri"/>
          <w:sz w:val="22"/>
          <w:szCs w:val="22"/>
          <w:lang w:eastAsia="en-US"/>
        </w:rPr>
        <w:t>ния).</w:t>
      </w:r>
    </w:p>
    <w:p w:rsidR="001C6F5C" w:rsidRDefault="00CD45A4" w:rsidP="001C6F5C">
      <w:pPr>
        <w:widowControl w:val="0"/>
        <w:ind w:firstLine="426"/>
        <w:jc w:val="both"/>
        <w:rPr>
          <w:rFonts w:eastAsia="Calibri"/>
          <w:sz w:val="22"/>
          <w:szCs w:val="20"/>
          <w:lang w:eastAsia="en-US"/>
        </w:rPr>
      </w:pPr>
      <w:r w:rsidRPr="00CD45A4">
        <w:rPr>
          <w:rFonts w:eastAsia="Calibri"/>
          <w:sz w:val="22"/>
          <w:szCs w:val="22"/>
          <w:lang w:eastAsia="en-US"/>
        </w:rPr>
        <w:t>Данное количество зеленых насаждений не соответствует но</w:t>
      </w:r>
      <w:r w:rsidRPr="00CD45A4">
        <w:rPr>
          <w:rFonts w:eastAsia="Calibri"/>
          <w:sz w:val="22"/>
          <w:szCs w:val="22"/>
          <w:lang w:eastAsia="en-US"/>
        </w:rPr>
        <w:t>р</w:t>
      </w:r>
      <w:r w:rsidRPr="00CD45A4">
        <w:rPr>
          <w:rFonts w:eastAsia="Calibri"/>
          <w:sz w:val="22"/>
          <w:szCs w:val="22"/>
          <w:lang w:eastAsia="en-US"/>
        </w:rPr>
        <w:t xml:space="preserve">мам озеленения такого типа предприятий. Необходимо произвести дополнительную посадку деревьев и кустарников. </w:t>
      </w:r>
    </w:p>
    <w:p w:rsidR="000749B1" w:rsidRDefault="000749B1" w:rsidP="00D50091">
      <w:pPr>
        <w:widowControl w:val="0"/>
        <w:ind w:firstLine="426"/>
        <w:jc w:val="center"/>
        <w:rPr>
          <w:rFonts w:eastAsia="Calibri"/>
          <w:sz w:val="22"/>
          <w:szCs w:val="20"/>
          <w:lang w:eastAsia="en-US"/>
        </w:rPr>
      </w:pPr>
    </w:p>
    <w:p w:rsidR="00CD45A4" w:rsidRPr="00CD45A4" w:rsidRDefault="00CD45A4" w:rsidP="00D50091">
      <w:pPr>
        <w:widowControl w:val="0"/>
        <w:ind w:firstLine="426"/>
        <w:jc w:val="center"/>
        <w:rPr>
          <w:rFonts w:eastAsia="Calibri"/>
          <w:sz w:val="22"/>
          <w:szCs w:val="20"/>
          <w:lang w:eastAsia="en-US"/>
        </w:rPr>
      </w:pPr>
      <w:r w:rsidRPr="00CD45A4">
        <w:rPr>
          <w:rFonts w:eastAsia="Calibri"/>
          <w:sz w:val="22"/>
          <w:szCs w:val="20"/>
          <w:lang w:eastAsia="en-US"/>
        </w:rPr>
        <w:t>Список литературы</w:t>
      </w:r>
    </w:p>
    <w:p w:rsidR="00CD45A4" w:rsidRPr="00CD45A4" w:rsidRDefault="00CD45A4" w:rsidP="00D50091">
      <w:pPr>
        <w:widowControl w:val="0"/>
        <w:suppressAutoHyphens/>
        <w:ind w:firstLine="426"/>
        <w:jc w:val="both"/>
        <w:rPr>
          <w:rFonts w:eastAsia="Calibri"/>
          <w:sz w:val="22"/>
          <w:szCs w:val="20"/>
          <w:lang w:eastAsia="en-US"/>
        </w:rPr>
      </w:pPr>
      <w:r w:rsidRPr="00CD45A4">
        <w:rPr>
          <w:rFonts w:eastAsia="Calibri"/>
          <w:sz w:val="22"/>
          <w:szCs w:val="20"/>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Суркова – Краснодар: КубГАУ, 2016. – 80 с. </w:t>
      </w:r>
    </w:p>
    <w:p w:rsidR="00CD45A4" w:rsidRPr="00CD45A4" w:rsidRDefault="00CD45A4" w:rsidP="00D50091">
      <w:pPr>
        <w:widowControl w:val="0"/>
        <w:suppressAutoHyphens/>
        <w:ind w:firstLine="426"/>
        <w:jc w:val="both"/>
        <w:rPr>
          <w:sz w:val="22"/>
          <w:szCs w:val="22"/>
        </w:rPr>
      </w:pPr>
      <w:r w:rsidRPr="00CD45A4">
        <w:rPr>
          <w:rFonts w:eastAsia="Calibri"/>
          <w:sz w:val="22"/>
          <w:szCs w:val="22"/>
          <w:lang w:eastAsia="en-US"/>
        </w:rPr>
        <w:t xml:space="preserve">2. </w:t>
      </w:r>
      <w:r w:rsidRPr="00CD45A4">
        <w:rPr>
          <w:sz w:val="22"/>
          <w:szCs w:val="22"/>
        </w:rPr>
        <w:t>Стрельников, В. В. Прикладная экология / В. В. Стрельников [и др.]. – Краснодар: Изд. Дом-Юг, 2012. – 452 с.</w:t>
      </w:r>
    </w:p>
    <w:p w:rsidR="0066471E" w:rsidRPr="000749B1" w:rsidRDefault="00CD45A4" w:rsidP="000749B1">
      <w:pPr>
        <w:widowControl w:val="0"/>
        <w:suppressAutoHyphens/>
        <w:ind w:firstLine="426"/>
        <w:jc w:val="both"/>
        <w:rPr>
          <w:rFonts w:eastAsia="Calibri"/>
          <w:sz w:val="22"/>
          <w:szCs w:val="20"/>
          <w:lang w:eastAsia="en-US"/>
        </w:rPr>
      </w:pPr>
      <w:r w:rsidRPr="00CD45A4">
        <w:rPr>
          <w:rFonts w:eastAsia="Calibri"/>
          <w:color w:val="000000"/>
          <w:sz w:val="22"/>
          <w:szCs w:val="20"/>
          <w:lang w:eastAsia="en-US"/>
        </w:rPr>
        <w:t>3. Сухомлинова А. Г. Техногенные системы и экологический риск: учеб</w:t>
      </w:r>
      <w:proofErr w:type="gramStart"/>
      <w:r w:rsidRPr="00CD45A4">
        <w:rPr>
          <w:rFonts w:eastAsia="Calibri"/>
          <w:color w:val="000000"/>
          <w:sz w:val="22"/>
          <w:szCs w:val="20"/>
          <w:lang w:eastAsia="en-US"/>
        </w:rPr>
        <w:t>.-</w:t>
      </w:r>
      <w:proofErr w:type="gramEnd"/>
      <w:r w:rsidRPr="00CD45A4">
        <w:rPr>
          <w:rFonts w:eastAsia="Calibri"/>
          <w:color w:val="000000"/>
          <w:sz w:val="22"/>
          <w:szCs w:val="20"/>
          <w:lang w:eastAsia="en-US"/>
        </w:rPr>
        <w:t>метод.пособие для выполнения практических занятий для бакалавров по направлению Экология и природопользование / А. Г. Сухомлинова, В. В. Стрельников, Е. В. Суркова, Т. П. Францева. – Краснодар: КубГАУ, 2014. – 169 с.</w:t>
      </w:r>
    </w:p>
    <w:p w:rsidR="00567221" w:rsidRDefault="00CD45A4" w:rsidP="00BF679C">
      <w:pPr>
        <w:contextualSpacing/>
        <w:rPr>
          <w:rFonts w:eastAsia="Calibri"/>
          <w:sz w:val="22"/>
          <w:szCs w:val="22"/>
          <w:lang w:eastAsia="en-US"/>
        </w:rPr>
      </w:pPr>
      <w:r w:rsidRPr="00CD45A4">
        <w:rPr>
          <w:rFonts w:eastAsia="Calibri"/>
          <w:sz w:val="22"/>
          <w:szCs w:val="22"/>
          <w:lang w:eastAsia="en-US"/>
        </w:rPr>
        <w:lastRenderedPageBreak/>
        <w:t>УДК</w:t>
      </w:r>
      <w:r w:rsidRPr="004F513D">
        <w:rPr>
          <w:rFonts w:eastAsia="Calibri"/>
          <w:sz w:val="22"/>
          <w:szCs w:val="22"/>
          <w:lang w:eastAsia="en-US"/>
        </w:rPr>
        <w:t xml:space="preserve"> 574.5</w:t>
      </w:r>
    </w:p>
    <w:p w:rsidR="001C6F5C" w:rsidRPr="004F513D" w:rsidRDefault="001C6F5C" w:rsidP="00BF679C">
      <w:pPr>
        <w:contextualSpacing/>
        <w:rPr>
          <w:rFonts w:eastAsia="Calibri"/>
          <w:sz w:val="22"/>
          <w:szCs w:val="22"/>
          <w:lang w:eastAsia="en-US"/>
        </w:rPr>
      </w:pPr>
    </w:p>
    <w:p w:rsidR="00CD45A4" w:rsidRPr="004F513D" w:rsidRDefault="00CD45A4" w:rsidP="00CD45A4">
      <w:pPr>
        <w:contextualSpacing/>
        <w:jc w:val="center"/>
        <w:rPr>
          <w:rFonts w:eastAsia="Calibri"/>
          <w:b/>
          <w:sz w:val="24"/>
          <w:szCs w:val="22"/>
          <w:lang w:eastAsia="en-US"/>
        </w:rPr>
      </w:pPr>
      <w:r w:rsidRPr="00CD45A4">
        <w:rPr>
          <w:rFonts w:eastAsia="Calibri"/>
          <w:b/>
          <w:sz w:val="24"/>
          <w:szCs w:val="22"/>
          <w:lang w:eastAsia="en-US"/>
        </w:rPr>
        <w:t>Проблемы</w:t>
      </w:r>
      <w:r w:rsidRPr="004F513D">
        <w:rPr>
          <w:rFonts w:eastAsia="Calibri"/>
          <w:b/>
          <w:sz w:val="24"/>
          <w:szCs w:val="22"/>
          <w:lang w:eastAsia="en-US"/>
        </w:rPr>
        <w:t xml:space="preserve"> </w:t>
      </w:r>
      <w:r w:rsidRPr="00CD45A4">
        <w:rPr>
          <w:rFonts w:eastAsia="Calibri"/>
          <w:b/>
          <w:sz w:val="24"/>
          <w:szCs w:val="22"/>
          <w:lang w:eastAsia="en-US"/>
        </w:rPr>
        <w:t>горных</w:t>
      </w:r>
      <w:r w:rsidRPr="004F513D">
        <w:rPr>
          <w:rFonts w:eastAsia="Calibri"/>
          <w:b/>
          <w:sz w:val="24"/>
          <w:szCs w:val="22"/>
          <w:lang w:eastAsia="en-US"/>
        </w:rPr>
        <w:t xml:space="preserve"> </w:t>
      </w:r>
      <w:r w:rsidRPr="00CD45A4">
        <w:rPr>
          <w:rFonts w:eastAsia="Calibri"/>
          <w:b/>
          <w:sz w:val="24"/>
          <w:szCs w:val="22"/>
          <w:lang w:eastAsia="en-US"/>
        </w:rPr>
        <w:t>рек</w:t>
      </w:r>
      <w:r w:rsidRPr="004F513D">
        <w:rPr>
          <w:rFonts w:eastAsia="Calibri"/>
          <w:b/>
          <w:sz w:val="24"/>
          <w:szCs w:val="22"/>
          <w:lang w:eastAsia="en-US"/>
        </w:rPr>
        <w:t xml:space="preserve"> </w:t>
      </w:r>
      <w:r w:rsidRPr="00CD45A4">
        <w:rPr>
          <w:rFonts w:eastAsia="Calibri"/>
          <w:b/>
          <w:sz w:val="24"/>
          <w:szCs w:val="22"/>
          <w:lang w:eastAsia="en-US"/>
        </w:rPr>
        <w:t>Краснодарского</w:t>
      </w:r>
      <w:r w:rsidRPr="004F513D">
        <w:rPr>
          <w:rFonts w:eastAsia="Calibri"/>
          <w:b/>
          <w:sz w:val="24"/>
          <w:szCs w:val="22"/>
          <w:lang w:eastAsia="en-US"/>
        </w:rPr>
        <w:t xml:space="preserve"> </w:t>
      </w:r>
      <w:r w:rsidRPr="00CD45A4">
        <w:rPr>
          <w:rFonts w:eastAsia="Calibri"/>
          <w:b/>
          <w:sz w:val="24"/>
          <w:szCs w:val="22"/>
          <w:lang w:eastAsia="en-US"/>
        </w:rPr>
        <w:t>края</w:t>
      </w:r>
    </w:p>
    <w:p w:rsidR="00CD45A4" w:rsidRPr="00CD45A4" w:rsidRDefault="00CD45A4" w:rsidP="00CD45A4">
      <w:pPr>
        <w:contextualSpacing/>
        <w:jc w:val="center"/>
        <w:rPr>
          <w:rFonts w:eastAsia="Calibri"/>
          <w:b/>
          <w:sz w:val="24"/>
          <w:szCs w:val="22"/>
          <w:lang w:val="en-US" w:eastAsia="en-US"/>
        </w:rPr>
      </w:pPr>
      <w:r w:rsidRPr="00CD45A4">
        <w:rPr>
          <w:rFonts w:eastAsia="Calibri"/>
          <w:b/>
          <w:sz w:val="24"/>
          <w:szCs w:val="22"/>
          <w:lang w:val="en-US" w:eastAsia="en-US"/>
        </w:rPr>
        <w:t xml:space="preserve">Problems of </w:t>
      </w:r>
      <w:proofErr w:type="gramStart"/>
      <w:r w:rsidRPr="00CD45A4">
        <w:rPr>
          <w:rFonts w:eastAsia="Calibri"/>
          <w:b/>
          <w:sz w:val="24"/>
          <w:szCs w:val="22"/>
          <w:lang w:val="en-US" w:eastAsia="en-US"/>
        </w:rPr>
        <w:t>mountain rivers</w:t>
      </w:r>
      <w:proofErr w:type="gramEnd"/>
      <w:r w:rsidRPr="00CD45A4">
        <w:rPr>
          <w:rFonts w:eastAsia="Calibri"/>
          <w:b/>
          <w:sz w:val="24"/>
          <w:szCs w:val="22"/>
          <w:lang w:val="en-US" w:eastAsia="en-US"/>
        </w:rPr>
        <w:t xml:space="preserve"> of the Krasnodar Territory</w:t>
      </w:r>
    </w:p>
    <w:p w:rsidR="00CD45A4" w:rsidRPr="00CD45A4" w:rsidRDefault="00CD45A4" w:rsidP="00CD45A4">
      <w:pPr>
        <w:contextualSpacing/>
        <w:jc w:val="center"/>
        <w:rPr>
          <w:rFonts w:eastAsia="Calibri"/>
          <w:b/>
          <w:sz w:val="24"/>
          <w:szCs w:val="22"/>
          <w:lang w:val="en-US" w:eastAsia="en-US"/>
        </w:rPr>
      </w:pP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Гизетдинова А. В.,</w:t>
      </w:r>
    </w:p>
    <w:p w:rsidR="00CD45A4" w:rsidRPr="00CD45A4" w:rsidRDefault="00D50091" w:rsidP="00CD45A4">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магистрант 2-го курса</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Зеленская О. В.,</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alibri"/>
          <w:sz w:val="22"/>
          <w:szCs w:val="22"/>
          <w:lang w:eastAsia="en-US"/>
        </w:rPr>
        <w:t>доцент кафедры общей биологии и экологии</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Куб</w:t>
      </w:r>
      <w:r w:rsidR="00D50091">
        <w:rPr>
          <w:rFonts w:eastAsia="Courier New"/>
          <w:color w:val="000000"/>
          <w:sz w:val="22"/>
          <w:szCs w:val="22"/>
          <w:lang w:eastAsia="en-US"/>
        </w:rPr>
        <w:t>анский государственный аграрный</w:t>
      </w:r>
    </w:p>
    <w:p w:rsidR="00CD45A4" w:rsidRPr="00CD45A4" w:rsidRDefault="00CD45A4" w:rsidP="00CD45A4">
      <w:pPr>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D50091">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contextualSpacing/>
        <w:rPr>
          <w:rFonts w:eastAsia="Calibri"/>
          <w:sz w:val="22"/>
          <w:szCs w:val="22"/>
          <w:lang w:eastAsia="en-US"/>
        </w:rPr>
      </w:pP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АННОТАЦИЯ:</w:t>
      </w:r>
      <w:r w:rsidRPr="00CD45A4">
        <w:rPr>
          <w:rFonts w:eastAsia="Calibri"/>
          <w:b/>
          <w:sz w:val="22"/>
          <w:szCs w:val="22"/>
          <w:lang w:eastAsia="en-US"/>
        </w:rPr>
        <w:t xml:space="preserve"> </w:t>
      </w:r>
      <w:r w:rsidRPr="00CD45A4">
        <w:rPr>
          <w:rFonts w:eastAsia="Calibri"/>
          <w:sz w:val="22"/>
          <w:szCs w:val="22"/>
          <w:lang w:eastAsia="en-US"/>
        </w:rPr>
        <w:t>В статье рассматривается современное состояние горных рек Кубани. Изучены их основные проблемы в регионе. Выявлено их значение для человека.</w:t>
      </w:r>
    </w:p>
    <w:p w:rsidR="00CD45A4" w:rsidRPr="00567221" w:rsidRDefault="00CD45A4" w:rsidP="00D50091">
      <w:pPr>
        <w:ind w:firstLine="426"/>
        <w:contextualSpacing/>
        <w:jc w:val="both"/>
        <w:rPr>
          <w:rFonts w:ascii="inherit" w:eastAsia="Calibri" w:hAnsi="inherit"/>
          <w:sz w:val="22"/>
          <w:szCs w:val="22"/>
          <w:lang w:val="en-US" w:eastAsia="en-US"/>
        </w:rPr>
      </w:pPr>
      <w:r w:rsidRPr="00567221">
        <w:rPr>
          <w:rFonts w:ascii="inherit" w:eastAsia="Calibri" w:hAnsi="inherit"/>
          <w:sz w:val="22"/>
          <w:szCs w:val="22"/>
          <w:lang w:val="en-US" w:eastAsia="en-US"/>
        </w:rPr>
        <w:t xml:space="preserve">ABSTRACT: The article considers the current state of the </w:t>
      </w:r>
      <w:proofErr w:type="gramStart"/>
      <w:r w:rsidRPr="00567221">
        <w:rPr>
          <w:rFonts w:ascii="inherit" w:eastAsia="Calibri" w:hAnsi="inherit"/>
          <w:sz w:val="22"/>
          <w:szCs w:val="22"/>
          <w:lang w:val="en-US" w:eastAsia="en-US"/>
        </w:rPr>
        <w:t>mountain rivers</w:t>
      </w:r>
      <w:proofErr w:type="gramEnd"/>
      <w:r w:rsidRPr="00567221">
        <w:rPr>
          <w:rFonts w:ascii="inherit" w:eastAsia="Calibri" w:hAnsi="inherit"/>
          <w:sz w:val="22"/>
          <w:szCs w:val="22"/>
          <w:lang w:val="en-US" w:eastAsia="en-US"/>
        </w:rPr>
        <w:t xml:space="preserve"> of the Kuban. Their main problems in the region were studied. Their importance for man is revealed.</w:t>
      </w:r>
    </w:p>
    <w:p w:rsidR="00CD45A4" w:rsidRPr="00567221" w:rsidRDefault="00CD45A4" w:rsidP="00D50091">
      <w:pPr>
        <w:ind w:firstLine="426"/>
        <w:contextualSpacing/>
        <w:jc w:val="both"/>
        <w:rPr>
          <w:rFonts w:eastAsia="Calibri"/>
          <w:sz w:val="22"/>
          <w:szCs w:val="22"/>
          <w:lang w:eastAsia="en-US"/>
        </w:rPr>
      </w:pPr>
      <w:r w:rsidRPr="00567221">
        <w:rPr>
          <w:rFonts w:eastAsia="Calibri"/>
          <w:sz w:val="22"/>
          <w:szCs w:val="22"/>
          <w:lang w:eastAsia="en-US"/>
        </w:rPr>
        <w:t>КЛЮЧЕВЫЕ СЛОВА: горные реки, экосистема, инфрастру</w:t>
      </w:r>
      <w:r w:rsidRPr="00567221">
        <w:rPr>
          <w:rFonts w:eastAsia="Calibri"/>
          <w:sz w:val="22"/>
          <w:szCs w:val="22"/>
          <w:lang w:eastAsia="en-US"/>
        </w:rPr>
        <w:t>к</w:t>
      </w:r>
      <w:r w:rsidRPr="00567221">
        <w:rPr>
          <w:rFonts w:eastAsia="Calibri"/>
          <w:sz w:val="22"/>
          <w:szCs w:val="22"/>
          <w:lang w:eastAsia="en-US"/>
        </w:rPr>
        <w:t>тура, водность рек, водоснабжение.</w:t>
      </w:r>
    </w:p>
    <w:p w:rsidR="00CD45A4" w:rsidRPr="00567221" w:rsidRDefault="00CD45A4" w:rsidP="00D50091">
      <w:pPr>
        <w:ind w:firstLine="426"/>
        <w:contextualSpacing/>
        <w:jc w:val="both"/>
        <w:rPr>
          <w:sz w:val="22"/>
          <w:szCs w:val="20"/>
          <w:lang w:val="en-US"/>
        </w:rPr>
      </w:pPr>
      <w:r w:rsidRPr="00567221">
        <w:rPr>
          <w:sz w:val="22"/>
          <w:szCs w:val="20"/>
          <w:lang w:val="en-US"/>
        </w:rPr>
        <w:t xml:space="preserve">KEYWORDS: </w:t>
      </w:r>
      <w:proofErr w:type="gramStart"/>
      <w:r w:rsidRPr="00567221">
        <w:rPr>
          <w:sz w:val="22"/>
          <w:szCs w:val="20"/>
          <w:lang w:val="en-US"/>
        </w:rPr>
        <w:t>mountain rivers</w:t>
      </w:r>
      <w:proofErr w:type="gramEnd"/>
      <w:r w:rsidRPr="00567221">
        <w:rPr>
          <w:sz w:val="22"/>
          <w:szCs w:val="20"/>
          <w:lang w:val="en-US"/>
        </w:rPr>
        <w:t>, ecosystem, infrastructure, water availability of rivers, water supply.</w:t>
      </w:r>
    </w:p>
    <w:p w:rsidR="00CD45A4" w:rsidRPr="00CD45A4" w:rsidRDefault="00CD45A4" w:rsidP="00D50091">
      <w:pPr>
        <w:ind w:firstLine="426"/>
        <w:contextualSpacing/>
        <w:jc w:val="both"/>
        <w:rPr>
          <w:rFonts w:eastAsia="Calibri"/>
          <w:sz w:val="22"/>
          <w:szCs w:val="22"/>
          <w:lang w:val="en-US" w:eastAsia="en-US"/>
        </w:rPr>
      </w:pPr>
    </w:p>
    <w:p w:rsidR="00CD45A4" w:rsidRPr="00567221" w:rsidRDefault="00CD45A4" w:rsidP="00D50091">
      <w:pPr>
        <w:widowControl w:val="0"/>
        <w:ind w:firstLine="426"/>
        <w:contextualSpacing/>
        <w:jc w:val="both"/>
        <w:rPr>
          <w:sz w:val="22"/>
          <w:szCs w:val="20"/>
        </w:rPr>
      </w:pPr>
      <w:r w:rsidRPr="00567221">
        <w:rPr>
          <w:sz w:val="22"/>
          <w:szCs w:val="20"/>
        </w:rPr>
        <w:t xml:space="preserve">Горные реки Краснодарского края можно подразделить </w:t>
      </w:r>
      <w:proofErr w:type="gramStart"/>
      <w:r w:rsidRPr="00567221">
        <w:rPr>
          <w:sz w:val="22"/>
          <w:szCs w:val="20"/>
        </w:rPr>
        <w:t>на</w:t>
      </w:r>
      <w:proofErr w:type="gramEnd"/>
      <w:r w:rsidRPr="00567221">
        <w:rPr>
          <w:sz w:val="22"/>
          <w:szCs w:val="20"/>
        </w:rPr>
        <w:t xml:space="preserve"> ле</w:t>
      </w:r>
      <w:r w:rsidRPr="00567221">
        <w:rPr>
          <w:sz w:val="22"/>
          <w:szCs w:val="20"/>
        </w:rPr>
        <w:t>д</w:t>
      </w:r>
      <w:r w:rsidRPr="00567221">
        <w:rPr>
          <w:sz w:val="22"/>
          <w:szCs w:val="20"/>
        </w:rPr>
        <w:t>никовые, родниковые и климатические. Ледниковые реки берут начало с ледников и снежных полей Главного хребта (Кубань с притоками Малый Зеленчук, Большой Зеленчук, Большая Лаба, и Белая). Другие берут начало на высоте, где нет постоянных ледн</w:t>
      </w:r>
      <w:r w:rsidRPr="00567221">
        <w:rPr>
          <w:sz w:val="22"/>
          <w:szCs w:val="20"/>
        </w:rPr>
        <w:t>и</w:t>
      </w:r>
      <w:r w:rsidRPr="00567221">
        <w:rPr>
          <w:sz w:val="22"/>
          <w:szCs w:val="20"/>
        </w:rPr>
        <w:t xml:space="preserve">ков, но остаются следы снега в оврагах. </w:t>
      </w:r>
      <w:proofErr w:type="gramStart"/>
      <w:r w:rsidRPr="00567221">
        <w:rPr>
          <w:sz w:val="22"/>
          <w:szCs w:val="20"/>
        </w:rPr>
        <w:t>Эти реки относятся к ле</w:t>
      </w:r>
      <w:r w:rsidRPr="00567221">
        <w:rPr>
          <w:sz w:val="22"/>
          <w:szCs w:val="20"/>
        </w:rPr>
        <w:t>д</w:t>
      </w:r>
      <w:r w:rsidRPr="00567221">
        <w:rPr>
          <w:sz w:val="22"/>
          <w:szCs w:val="20"/>
        </w:rPr>
        <w:t>никовым и к родниковым, т.е. к таким, которые вытекают из вод</w:t>
      </w:r>
      <w:r w:rsidRPr="00567221">
        <w:rPr>
          <w:sz w:val="22"/>
          <w:szCs w:val="20"/>
        </w:rPr>
        <w:t>о</w:t>
      </w:r>
      <w:r w:rsidRPr="00567221">
        <w:rPr>
          <w:sz w:val="22"/>
          <w:szCs w:val="20"/>
        </w:rPr>
        <w:t>носного слоя, лежащего на непроницаемом для воды пласте (Уруп, Малая Лаба, Курджипс и Пшеха) [3].</w:t>
      </w:r>
      <w:proofErr w:type="gramEnd"/>
    </w:p>
    <w:p w:rsidR="00CD45A4" w:rsidRPr="00567221" w:rsidRDefault="00CD45A4" w:rsidP="00D50091">
      <w:pPr>
        <w:ind w:firstLine="426"/>
        <w:contextualSpacing/>
        <w:jc w:val="both"/>
        <w:rPr>
          <w:sz w:val="22"/>
          <w:szCs w:val="20"/>
        </w:rPr>
      </w:pPr>
      <w:r w:rsidRPr="00567221">
        <w:rPr>
          <w:sz w:val="22"/>
          <w:szCs w:val="20"/>
        </w:rPr>
        <w:t xml:space="preserve">К </w:t>
      </w:r>
      <w:proofErr w:type="gramStart"/>
      <w:r w:rsidRPr="00567221">
        <w:rPr>
          <w:sz w:val="22"/>
          <w:szCs w:val="20"/>
        </w:rPr>
        <w:t>горным</w:t>
      </w:r>
      <w:proofErr w:type="gramEnd"/>
      <w:r w:rsidRPr="00567221">
        <w:rPr>
          <w:sz w:val="22"/>
          <w:szCs w:val="20"/>
        </w:rPr>
        <w:t xml:space="preserve"> обычно относят и небольшие реки края, стекающие с невысоких поднятий и низкогорий в долину Кубани, но теряющиеся в собственных наносах, не достигая русла Кубани (Сухой Аушедз, </w:t>
      </w:r>
      <w:r w:rsidRPr="00567221">
        <w:rPr>
          <w:sz w:val="22"/>
          <w:szCs w:val="20"/>
        </w:rPr>
        <w:lastRenderedPageBreak/>
        <w:t>Бугундырь, Иль, Абин и Адагум). Не нашедшие стока воды этих рек образуют  заболоченные участки – Закубанские плавни [4].</w:t>
      </w:r>
    </w:p>
    <w:p w:rsidR="00CD45A4" w:rsidRPr="00567221" w:rsidRDefault="00CD45A4" w:rsidP="00D50091">
      <w:pPr>
        <w:ind w:firstLine="426"/>
        <w:contextualSpacing/>
        <w:jc w:val="both"/>
        <w:rPr>
          <w:sz w:val="22"/>
          <w:szCs w:val="20"/>
        </w:rPr>
      </w:pPr>
      <w:r w:rsidRPr="00567221">
        <w:rPr>
          <w:sz w:val="22"/>
          <w:szCs w:val="20"/>
        </w:rPr>
        <w:t>Михайлева Н. Ю. выделяет целый ряд экологических проблем, предгорной и горной частей Краснодарского края. Выделяется с</w:t>
      </w:r>
      <w:r w:rsidRPr="00567221">
        <w:rPr>
          <w:sz w:val="22"/>
          <w:szCs w:val="20"/>
        </w:rPr>
        <w:t>о</w:t>
      </w:r>
      <w:r w:rsidRPr="00567221">
        <w:rPr>
          <w:sz w:val="22"/>
          <w:szCs w:val="20"/>
        </w:rPr>
        <w:t>кращение площади лесов, особенно в прибрежных полосах рек, что в свою очередь ведет к усилению эрозионных процессов, обмел</w:t>
      </w:r>
      <w:r w:rsidRPr="00567221">
        <w:rPr>
          <w:sz w:val="22"/>
          <w:szCs w:val="20"/>
        </w:rPr>
        <w:t>е</w:t>
      </w:r>
      <w:r w:rsidRPr="00567221">
        <w:rPr>
          <w:sz w:val="22"/>
          <w:szCs w:val="20"/>
        </w:rPr>
        <w:t>нию рек и сильному снижению биоразнообразия в прибрежно-водных экосистемах [3].</w:t>
      </w:r>
    </w:p>
    <w:p w:rsidR="00CD45A4" w:rsidRPr="00567221" w:rsidRDefault="00CD45A4" w:rsidP="00D50091">
      <w:pPr>
        <w:ind w:firstLine="426"/>
        <w:contextualSpacing/>
        <w:jc w:val="both"/>
        <w:rPr>
          <w:sz w:val="22"/>
          <w:szCs w:val="20"/>
        </w:rPr>
      </w:pPr>
      <w:r w:rsidRPr="00567221">
        <w:rPr>
          <w:sz w:val="22"/>
          <w:szCs w:val="20"/>
        </w:rPr>
        <w:t>На реки края большое влияние оказывает строительство дорог и дорожных сооружений, газо- и нефтепроводов, что может вызвать негативные изменения в годовом стоке и расходе воды в отдельных речных системах. Большие изменения в стоке происходят в случаях размещения коммуникационных систем вдоль основного русла р</w:t>
      </w:r>
      <w:r w:rsidRPr="00567221">
        <w:rPr>
          <w:sz w:val="22"/>
          <w:szCs w:val="20"/>
        </w:rPr>
        <w:t>е</w:t>
      </w:r>
      <w:r w:rsidRPr="00567221">
        <w:rPr>
          <w:sz w:val="22"/>
          <w:szCs w:val="20"/>
        </w:rPr>
        <w:t>ки. В связи с аккумуляцией воды перед дорожными трубами сокр</w:t>
      </w:r>
      <w:r w:rsidRPr="00567221">
        <w:rPr>
          <w:sz w:val="22"/>
          <w:szCs w:val="20"/>
        </w:rPr>
        <w:t>а</w:t>
      </w:r>
      <w:r w:rsidRPr="00567221">
        <w:rPr>
          <w:sz w:val="22"/>
          <w:szCs w:val="20"/>
        </w:rPr>
        <w:t>щается годовой сток за счет усиления испарения с площади подто</w:t>
      </w:r>
      <w:r w:rsidRPr="00567221">
        <w:rPr>
          <w:sz w:val="22"/>
          <w:szCs w:val="20"/>
        </w:rPr>
        <w:t>п</w:t>
      </w:r>
      <w:r w:rsidRPr="00567221">
        <w:rPr>
          <w:sz w:val="22"/>
          <w:szCs w:val="20"/>
        </w:rPr>
        <w:t xml:space="preserve">ления и фильтрации в водоносные слои [2]. </w:t>
      </w:r>
    </w:p>
    <w:p w:rsidR="00CD45A4" w:rsidRPr="00567221" w:rsidRDefault="00CD45A4" w:rsidP="00D50091">
      <w:pPr>
        <w:ind w:firstLine="426"/>
        <w:contextualSpacing/>
        <w:jc w:val="both"/>
        <w:rPr>
          <w:sz w:val="22"/>
          <w:szCs w:val="20"/>
        </w:rPr>
      </w:pPr>
      <w:r w:rsidRPr="00567221">
        <w:rPr>
          <w:sz w:val="22"/>
          <w:szCs w:val="20"/>
        </w:rPr>
        <w:t>Естественные запасы подземных вод в крае являются важне</w:t>
      </w:r>
      <w:r w:rsidRPr="00567221">
        <w:rPr>
          <w:sz w:val="22"/>
          <w:szCs w:val="20"/>
        </w:rPr>
        <w:t>й</w:t>
      </w:r>
      <w:r w:rsidRPr="00567221">
        <w:rPr>
          <w:sz w:val="22"/>
          <w:szCs w:val="20"/>
        </w:rPr>
        <w:t>шим резервом водоснабжения Краснодара и других промышленных и культурных центров края. Большой вред водоснабжению насел</w:t>
      </w:r>
      <w:r w:rsidRPr="00567221">
        <w:rPr>
          <w:sz w:val="22"/>
          <w:szCs w:val="20"/>
        </w:rPr>
        <w:t>е</w:t>
      </w:r>
      <w:r w:rsidRPr="00567221">
        <w:rPr>
          <w:sz w:val="22"/>
          <w:szCs w:val="20"/>
        </w:rPr>
        <w:t>ния наносит загрязнение открытых водоемов и подземных вод пр</w:t>
      </w:r>
      <w:r w:rsidRPr="00567221">
        <w:rPr>
          <w:sz w:val="22"/>
          <w:szCs w:val="20"/>
        </w:rPr>
        <w:t>о</w:t>
      </w:r>
      <w:r w:rsidRPr="00567221">
        <w:rPr>
          <w:sz w:val="22"/>
          <w:szCs w:val="20"/>
        </w:rPr>
        <w:t>мышленными отходами и бытовыми стоками, что ведет к общему дефициту воды. Немало источников питьевого водоснабжения, к</w:t>
      </w:r>
      <w:r w:rsidRPr="00567221">
        <w:rPr>
          <w:sz w:val="22"/>
          <w:szCs w:val="20"/>
        </w:rPr>
        <w:t>о</w:t>
      </w:r>
      <w:r w:rsidRPr="00567221">
        <w:rPr>
          <w:sz w:val="22"/>
          <w:szCs w:val="20"/>
        </w:rPr>
        <w:t>торые не имеют санитарных зон водозащиты, что также негативно сказывается на их качестве [1].</w:t>
      </w:r>
    </w:p>
    <w:p w:rsidR="001C6F5C" w:rsidRPr="00CD45A4" w:rsidRDefault="001C6F5C" w:rsidP="00D50091">
      <w:pPr>
        <w:suppressAutoHyphens/>
        <w:ind w:firstLine="426"/>
        <w:contextualSpacing/>
        <w:jc w:val="both"/>
        <w:rPr>
          <w:rFonts w:eastAsia="Calibri"/>
          <w:sz w:val="22"/>
          <w:szCs w:val="22"/>
          <w:lang w:eastAsia="en-US"/>
        </w:rPr>
      </w:pPr>
    </w:p>
    <w:p w:rsidR="00CD45A4" w:rsidRPr="00CD45A4" w:rsidRDefault="00CD45A4" w:rsidP="00D50091">
      <w:pPr>
        <w:suppressAutoHyphens/>
        <w:ind w:firstLine="426"/>
        <w:contextualSpacing/>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1. Белюченко, И. С. Загрязнение поверхностных вод / Экологические проблемы Кубани // И.С. Белюченко. – 2002. – № 18. – С. 249.</w:t>
      </w: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2. Борисов, В. И. Реки Кубани / В.И. Борисов. – Краснодар: Кн. Изд-во, 1978. – 80 с.</w:t>
      </w: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3. Михайлева, Н. Ю. Социально-экономические и экологические проблемы горных территорий Северного Кавказа / Н.Ю. Михайлева. – Владикавказ: Изд-во Северо-Осетинского гос. универ. им. К.Л. Хетагурова, 2013. – 251 с.</w:t>
      </w: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 xml:space="preserve">4. Полищуков, И. И. Эколого-географическое районирование бассейна реки Кубань / И.И. Полищуков, Т.Н. Мельникова. Международный студенческий научный вестник, изд-во: </w:t>
      </w:r>
      <w:r w:rsidRPr="00CD45A4">
        <w:rPr>
          <w:rFonts w:eastAsia="Calibri"/>
          <w:sz w:val="22"/>
          <w:szCs w:val="22"/>
          <w:lang w:eastAsia="en-US"/>
        </w:rPr>
        <w:lastRenderedPageBreak/>
        <w:t>Информационно-технический отдел Академии Естествознания, Пенза, 2016, – 502-504 с.</w:t>
      </w:r>
    </w:p>
    <w:p w:rsidR="00D50091" w:rsidRDefault="00D50091" w:rsidP="00CD45A4">
      <w:pPr>
        <w:contextualSpacing/>
        <w:rPr>
          <w:rFonts w:eastAsia="Calibri"/>
          <w:sz w:val="22"/>
          <w:szCs w:val="22"/>
          <w:lang w:eastAsia="en-US"/>
        </w:rPr>
      </w:pPr>
    </w:p>
    <w:p w:rsidR="001C6F5C" w:rsidRDefault="001C6F5C" w:rsidP="00CD45A4">
      <w:pPr>
        <w:contextualSpacing/>
        <w:rPr>
          <w:rFonts w:eastAsia="Calibri"/>
          <w:sz w:val="22"/>
          <w:szCs w:val="22"/>
          <w:lang w:eastAsia="en-US"/>
        </w:rPr>
      </w:pPr>
    </w:p>
    <w:p w:rsidR="00CD45A4" w:rsidRDefault="00CD45A4" w:rsidP="00CD45A4">
      <w:pPr>
        <w:contextualSpacing/>
        <w:rPr>
          <w:rFonts w:eastAsia="Calibri"/>
          <w:sz w:val="22"/>
          <w:szCs w:val="22"/>
          <w:lang w:eastAsia="en-US"/>
        </w:rPr>
      </w:pPr>
      <w:r w:rsidRPr="00CD45A4">
        <w:rPr>
          <w:rFonts w:eastAsia="Calibri"/>
          <w:sz w:val="22"/>
          <w:szCs w:val="22"/>
          <w:lang w:eastAsia="en-US"/>
        </w:rPr>
        <w:t>УДК 574.5</w:t>
      </w:r>
    </w:p>
    <w:p w:rsidR="000749B1" w:rsidRPr="00CD45A4" w:rsidRDefault="000749B1" w:rsidP="00CD45A4">
      <w:pPr>
        <w:contextualSpacing/>
        <w:rPr>
          <w:rFonts w:eastAsia="Calibri"/>
          <w:sz w:val="22"/>
          <w:szCs w:val="22"/>
          <w:lang w:eastAsia="en-US"/>
        </w:rPr>
      </w:pPr>
    </w:p>
    <w:p w:rsidR="00CD45A4" w:rsidRPr="00CD45A4" w:rsidRDefault="00CD45A4" w:rsidP="00D50091">
      <w:pPr>
        <w:contextualSpacing/>
        <w:jc w:val="center"/>
        <w:rPr>
          <w:rFonts w:eastAsia="Calibri"/>
          <w:b/>
          <w:sz w:val="24"/>
          <w:szCs w:val="22"/>
          <w:lang w:eastAsia="en-US"/>
        </w:rPr>
      </w:pPr>
      <w:r w:rsidRPr="00CD45A4">
        <w:rPr>
          <w:rFonts w:eastAsia="Calibri"/>
          <w:b/>
          <w:sz w:val="24"/>
          <w:szCs w:val="22"/>
          <w:lang w:eastAsia="en-US"/>
        </w:rPr>
        <w:t>Значение степных рек для экосистем</w:t>
      </w:r>
    </w:p>
    <w:p w:rsidR="00CD45A4" w:rsidRPr="00CD45A4" w:rsidRDefault="00CD45A4" w:rsidP="00D50091">
      <w:pPr>
        <w:contextualSpacing/>
        <w:jc w:val="center"/>
        <w:rPr>
          <w:rFonts w:eastAsia="Calibri"/>
          <w:b/>
          <w:sz w:val="24"/>
          <w:szCs w:val="22"/>
          <w:lang w:val="en-US" w:eastAsia="en-US"/>
        </w:rPr>
      </w:pPr>
      <w:r w:rsidRPr="00CD45A4">
        <w:rPr>
          <w:rFonts w:eastAsia="Calibri"/>
          <w:b/>
          <w:sz w:val="24"/>
          <w:szCs w:val="22"/>
          <w:lang w:eastAsia="en-US"/>
        </w:rPr>
        <w:t>Краснодарского</w:t>
      </w:r>
      <w:r w:rsidRPr="00CD45A4">
        <w:rPr>
          <w:rFonts w:eastAsia="Calibri"/>
          <w:b/>
          <w:sz w:val="24"/>
          <w:szCs w:val="22"/>
          <w:lang w:val="en-US" w:eastAsia="en-US"/>
        </w:rPr>
        <w:t xml:space="preserve"> </w:t>
      </w:r>
      <w:r w:rsidRPr="00CD45A4">
        <w:rPr>
          <w:rFonts w:eastAsia="Calibri"/>
          <w:b/>
          <w:sz w:val="24"/>
          <w:szCs w:val="22"/>
          <w:lang w:eastAsia="en-US"/>
        </w:rPr>
        <w:t>края</w:t>
      </w:r>
      <w:r w:rsidRPr="00CD45A4">
        <w:rPr>
          <w:rFonts w:eastAsia="Calibri"/>
          <w:b/>
          <w:sz w:val="24"/>
          <w:szCs w:val="22"/>
          <w:lang w:val="en-US" w:eastAsia="en-US"/>
        </w:rPr>
        <w:t xml:space="preserve"> </w:t>
      </w:r>
      <w:r w:rsidRPr="00CD45A4">
        <w:rPr>
          <w:rFonts w:eastAsia="Calibri"/>
          <w:b/>
          <w:sz w:val="24"/>
          <w:szCs w:val="22"/>
          <w:lang w:eastAsia="en-US"/>
        </w:rPr>
        <w:t>и</w:t>
      </w:r>
      <w:r w:rsidRPr="00CD45A4">
        <w:rPr>
          <w:rFonts w:eastAsia="Calibri"/>
          <w:b/>
          <w:sz w:val="24"/>
          <w:szCs w:val="22"/>
          <w:lang w:val="en-US" w:eastAsia="en-US"/>
        </w:rPr>
        <w:t xml:space="preserve"> </w:t>
      </w:r>
      <w:r w:rsidRPr="00CD45A4">
        <w:rPr>
          <w:rFonts w:eastAsia="Calibri"/>
          <w:b/>
          <w:sz w:val="24"/>
          <w:szCs w:val="22"/>
          <w:lang w:eastAsia="en-US"/>
        </w:rPr>
        <w:t>населения</w:t>
      </w:r>
    </w:p>
    <w:p w:rsidR="00CD45A4" w:rsidRPr="00CD45A4" w:rsidRDefault="00CD45A4" w:rsidP="00CD45A4">
      <w:pPr>
        <w:contextualSpacing/>
        <w:jc w:val="center"/>
        <w:rPr>
          <w:rFonts w:eastAsia="Calibri"/>
          <w:b/>
          <w:sz w:val="24"/>
          <w:szCs w:val="22"/>
          <w:lang w:val="en-US" w:eastAsia="en-US"/>
        </w:rPr>
      </w:pPr>
      <w:r w:rsidRPr="00CD45A4">
        <w:rPr>
          <w:rFonts w:eastAsia="Calibri"/>
          <w:b/>
          <w:sz w:val="24"/>
          <w:szCs w:val="22"/>
          <w:lang w:val="en-US" w:eastAsia="en-US"/>
        </w:rPr>
        <w:t xml:space="preserve">The importance of </w:t>
      </w:r>
      <w:proofErr w:type="gramStart"/>
      <w:r w:rsidRPr="00CD45A4">
        <w:rPr>
          <w:rFonts w:eastAsia="Calibri"/>
          <w:b/>
          <w:sz w:val="24"/>
          <w:szCs w:val="22"/>
          <w:lang w:val="en-US" w:eastAsia="en-US"/>
        </w:rPr>
        <w:t>steppe rivers</w:t>
      </w:r>
      <w:proofErr w:type="gramEnd"/>
      <w:r w:rsidRPr="00CD45A4">
        <w:rPr>
          <w:rFonts w:eastAsia="Calibri"/>
          <w:b/>
          <w:sz w:val="24"/>
          <w:szCs w:val="22"/>
          <w:lang w:val="en-US" w:eastAsia="en-US"/>
        </w:rPr>
        <w:t xml:space="preserve"> for the ecosystems </w:t>
      </w:r>
    </w:p>
    <w:p w:rsidR="00CD45A4" w:rsidRPr="00CD45A4" w:rsidRDefault="00CD45A4" w:rsidP="00CD45A4">
      <w:pPr>
        <w:contextualSpacing/>
        <w:jc w:val="center"/>
        <w:rPr>
          <w:rFonts w:eastAsia="Calibri"/>
          <w:b/>
          <w:sz w:val="24"/>
          <w:szCs w:val="22"/>
          <w:lang w:val="en-US" w:eastAsia="en-US"/>
        </w:rPr>
      </w:pPr>
      <w:proofErr w:type="gramStart"/>
      <w:r w:rsidRPr="00CD45A4">
        <w:rPr>
          <w:rFonts w:eastAsia="Calibri"/>
          <w:b/>
          <w:sz w:val="24"/>
          <w:szCs w:val="22"/>
          <w:lang w:val="en-US" w:eastAsia="en-US"/>
        </w:rPr>
        <w:t>of</w:t>
      </w:r>
      <w:proofErr w:type="gramEnd"/>
      <w:r w:rsidRPr="00CD45A4">
        <w:rPr>
          <w:rFonts w:eastAsia="Calibri"/>
          <w:b/>
          <w:sz w:val="24"/>
          <w:szCs w:val="22"/>
          <w:lang w:val="en-US" w:eastAsia="en-US"/>
        </w:rPr>
        <w:t xml:space="preserve"> the Krasnodar Territory and the population</w:t>
      </w:r>
    </w:p>
    <w:p w:rsidR="00CD45A4" w:rsidRPr="00CD45A4" w:rsidRDefault="00CD45A4" w:rsidP="00CD45A4">
      <w:pPr>
        <w:contextualSpacing/>
        <w:jc w:val="center"/>
        <w:rPr>
          <w:rFonts w:eastAsia="Calibri"/>
          <w:b/>
          <w:sz w:val="22"/>
          <w:szCs w:val="22"/>
          <w:lang w:val="en-US" w:eastAsia="en-US"/>
        </w:rPr>
      </w:pP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Голобородько А. А.,</w:t>
      </w:r>
    </w:p>
    <w:p w:rsidR="00CD45A4" w:rsidRPr="00CD45A4" w:rsidRDefault="00D50091" w:rsidP="00CD45A4">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магистрант 2-го курса</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Мамась Н. Н.,</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alibri"/>
          <w:sz w:val="22"/>
          <w:szCs w:val="22"/>
          <w:lang w:eastAsia="en-US"/>
        </w:rPr>
        <w:t>доцент кафедры общей биологии и экологии</w:t>
      </w:r>
    </w:p>
    <w:p w:rsidR="00CD45A4" w:rsidRPr="00CD45A4" w:rsidRDefault="00CD45A4" w:rsidP="00CD45A4">
      <w:pPr>
        <w:widowControl w:val="0"/>
        <w:tabs>
          <w:tab w:val="left" w:pos="8223"/>
        </w:tabs>
        <w:jc w:val="right"/>
        <w:rPr>
          <w:rFonts w:eastAsia="Courier New"/>
          <w:color w:val="000000"/>
          <w:sz w:val="22"/>
          <w:szCs w:val="22"/>
          <w:lang w:eastAsia="en-US"/>
        </w:rPr>
      </w:pPr>
      <w:r w:rsidRPr="00CD45A4">
        <w:rPr>
          <w:rFonts w:eastAsia="Courier New"/>
          <w:color w:val="000000"/>
          <w:sz w:val="22"/>
          <w:szCs w:val="22"/>
          <w:lang w:eastAsia="en-US"/>
        </w:rPr>
        <w:t>Куб</w:t>
      </w:r>
      <w:r w:rsidR="00D50091">
        <w:rPr>
          <w:rFonts w:eastAsia="Courier New"/>
          <w:color w:val="000000"/>
          <w:sz w:val="22"/>
          <w:szCs w:val="22"/>
          <w:lang w:eastAsia="en-US"/>
        </w:rPr>
        <w:t>анский государственный аграрный</w:t>
      </w:r>
    </w:p>
    <w:p w:rsidR="00CD45A4" w:rsidRPr="00CD45A4" w:rsidRDefault="00CD45A4" w:rsidP="00CD45A4">
      <w:pPr>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D50091">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contextualSpacing/>
        <w:rPr>
          <w:rFonts w:eastAsia="Calibri"/>
          <w:sz w:val="22"/>
          <w:szCs w:val="22"/>
          <w:lang w:eastAsia="en-US"/>
        </w:rPr>
      </w:pPr>
    </w:p>
    <w:p w:rsidR="00CD45A4" w:rsidRPr="00CD45A4" w:rsidRDefault="00CD45A4" w:rsidP="00D50091">
      <w:pPr>
        <w:suppressAutoHyphens/>
        <w:ind w:firstLine="426"/>
        <w:contextualSpacing/>
        <w:jc w:val="both"/>
        <w:rPr>
          <w:rFonts w:eastAsia="Calibri"/>
          <w:sz w:val="22"/>
          <w:szCs w:val="22"/>
          <w:lang w:eastAsia="en-US"/>
        </w:rPr>
      </w:pPr>
      <w:r w:rsidRPr="00CD45A4">
        <w:rPr>
          <w:rFonts w:eastAsia="Calibri"/>
          <w:sz w:val="22"/>
          <w:szCs w:val="22"/>
          <w:lang w:eastAsia="en-US"/>
        </w:rPr>
        <w:t>АННОТАЦИЯ:</w:t>
      </w:r>
      <w:r w:rsidRPr="00CD45A4">
        <w:rPr>
          <w:rFonts w:eastAsia="Calibri"/>
          <w:b/>
          <w:sz w:val="22"/>
          <w:szCs w:val="22"/>
          <w:lang w:eastAsia="en-US"/>
        </w:rPr>
        <w:t xml:space="preserve"> </w:t>
      </w:r>
      <w:r w:rsidRPr="00CD45A4">
        <w:rPr>
          <w:rFonts w:eastAsia="Calibri"/>
          <w:sz w:val="22"/>
          <w:szCs w:val="22"/>
          <w:lang w:eastAsia="en-US"/>
        </w:rPr>
        <w:t>В статье рассматривается современное состояние степных рек Краснодарского края. Изучена их функциональная роль в экосистемах. Выявлено их значение для агроландшафтов.</w:t>
      </w:r>
    </w:p>
    <w:p w:rsidR="00CD45A4" w:rsidRPr="00567221" w:rsidRDefault="00CD45A4" w:rsidP="00D50091">
      <w:pPr>
        <w:ind w:firstLine="426"/>
        <w:contextualSpacing/>
        <w:jc w:val="both"/>
        <w:rPr>
          <w:rFonts w:eastAsia="Calibri"/>
          <w:sz w:val="22"/>
          <w:szCs w:val="22"/>
          <w:lang w:val="en-US" w:eastAsia="en-US"/>
        </w:rPr>
      </w:pPr>
      <w:r w:rsidRPr="00567221">
        <w:rPr>
          <w:rFonts w:ascii="inherit" w:eastAsia="Calibri" w:hAnsi="inherit"/>
          <w:sz w:val="22"/>
          <w:szCs w:val="22"/>
          <w:lang w:val="en-US" w:eastAsia="en-US"/>
        </w:rPr>
        <w:t xml:space="preserve">ABSTRACT: The article considers the present state of the </w:t>
      </w:r>
      <w:proofErr w:type="gramStart"/>
      <w:r w:rsidRPr="00567221">
        <w:rPr>
          <w:rFonts w:ascii="inherit" w:eastAsia="Calibri" w:hAnsi="inherit"/>
          <w:sz w:val="22"/>
          <w:szCs w:val="22"/>
          <w:lang w:val="en-US" w:eastAsia="en-US"/>
        </w:rPr>
        <w:t>steppe rivers</w:t>
      </w:r>
      <w:proofErr w:type="gramEnd"/>
      <w:r w:rsidRPr="00567221">
        <w:rPr>
          <w:rFonts w:ascii="inherit" w:eastAsia="Calibri" w:hAnsi="inherit"/>
          <w:sz w:val="22"/>
          <w:szCs w:val="22"/>
          <w:lang w:val="en-US" w:eastAsia="en-US"/>
        </w:rPr>
        <w:t xml:space="preserve"> of the Krasnodar Territory. Their functional role in ecosystems has been studied. Their importance for agrolandscapes is revealed.</w:t>
      </w:r>
    </w:p>
    <w:p w:rsidR="00CD45A4" w:rsidRPr="00567221" w:rsidRDefault="00CD45A4" w:rsidP="00D50091">
      <w:pPr>
        <w:widowControl w:val="0"/>
        <w:suppressAutoHyphens/>
        <w:ind w:firstLine="426"/>
        <w:contextualSpacing/>
        <w:jc w:val="both"/>
        <w:rPr>
          <w:rFonts w:eastAsia="Calibri"/>
          <w:sz w:val="22"/>
          <w:szCs w:val="22"/>
          <w:lang w:eastAsia="en-US"/>
        </w:rPr>
      </w:pPr>
      <w:r w:rsidRPr="00567221">
        <w:rPr>
          <w:rFonts w:eastAsia="Calibri"/>
          <w:sz w:val="22"/>
          <w:szCs w:val="22"/>
          <w:lang w:eastAsia="en-US"/>
        </w:rPr>
        <w:t>КЛЮЧЕВЫЕ СЛОВА: агроландшафт, степные реки, экосистема, сельское хозяйство, эвтрофикация, заболачивание, ил.</w:t>
      </w:r>
    </w:p>
    <w:p w:rsidR="00CD45A4" w:rsidRPr="00567221" w:rsidRDefault="00CD45A4" w:rsidP="00D50091">
      <w:pPr>
        <w:ind w:firstLine="426"/>
        <w:contextualSpacing/>
        <w:jc w:val="both"/>
        <w:rPr>
          <w:sz w:val="22"/>
          <w:szCs w:val="20"/>
          <w:lang w:val="en-US"/>
        </w:rPr>
      </w:pPr>
      <w:r w:rsidRPr="00567221">
        <w:rPr>
          <w:sz w:val="22"/>
          <w:szCs w:val="20"/>
          <w:lang w:val="en-US"/>
        </w:rPr>
        <w:t xml:space="preserve">KEYWORDS: agrolandscape, </w:t>
      </w:r>
      <w:proofErr w:type="gramStart"/>
      <w:r w:rsidRPr="00567221">
        <w:rPr>
          <w:sz w:val="22"/>
          <w:szCs w:val="20"/>
          <w:lang w:val="en-US"/>
        </w:rPr>
        <w:t>steppe rivers</w:t>
      </w:r>
      <w:proofErr w:type="gramEnd"/>
      <w:r w:rsidRPr="00567221">
        <w:rPr>
          <w:sz w:val="22"/>
          <w:szCs w:val="20"/>
          <w:lang w:val="en-US"/>
        </w:rPr>
        <w:t>, ecosystem, agriculture, eutrophication, water logging, silt.</w:t>
      </w:r>
    </w:p>
    <w:p w:rsidR="00CD45A4" w:rsidRPr="00567221" w:rsidRDefault="00CD45A4" w:rsidP="00D50091">
      <w:pPr>
        <w:ind w:firstLine="426"/>
        <w:contextualSpacing/>
        <w:jc w:val="both"/>
        <w:rPr>
          <w:rFonts w:eastAsia="Calibri"/>
          <w:sz w:val="22"/>
          <w:szCs w:val="22"/>
          <w:lang w:val="en-US" w:eastAsia="en-US"/>
        </w:rPr>
      </w:pP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К степным рекам Краснодарского края относят реки, текущие по его территории севернее реки Кубань. Устья рек соединяются непосредственно с Азовским морем, либо заканчиваются сетью св</w:t>
      </w:r>
      <w:r w:rsidRPr="00CD45A4">
        <w:rPr>
          <w:rFonts w:eastAsia="Calibri"/>
          <w:sz w:val="22"/>
          <w:szCs w:val="22"/>
          <w:lang w:eastAsia="en-US"/>
        </w:rPr>
        <w:t>я</w:t>
      </w:r>
      <w:r w:rsidRPr="00CD45A4">
        <w:rPr>
          <w:rFonts w:eastAsia="Calibri"/>
          <w:sz w:val="22"/>
          <w:szCs w:val="22"/>
          <w:lang w:eastAsia="en-US"/>
        </w:rPr>
        <w:t>занных с ним лиманов. К числу наиболее крупных степных рек края относятся такие реки, как Албаши, Бейсуг, Ея, Кирпили, Понура, Сенгели, Челбас, Ясени и др. [3].</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lastRenderedPageBreak/>
        <w:t>В историческом прошлом они представляли собой правоб</w:t>
      </w:r>
      <w:r w:rsidRPr="00CD45A4">
        <w:rPr>
          <w:rFonts w:eastAsia="Calibri"/>
          <w:sz w:val="22"/>
          <w:szCs w:val="22"/>
          <w:lang w:eastAsia="en-US"/>
        </w:rPr>
        <w:t>е</w:t>
      </w:r>
      <w:r w:rsidRPr="00CD45A4">
        <w:rPr>
          <w:rFonts w:eastAsia="Calibri"/>
          <w:sz w:val="22"/>
          <w:szCs w:val="22"/>
          <w:lang w:eastAsia="en-US"/>
        </w:rPr>
        <w:t>режные рукава реликтовой дельты реки Кубань. В процессе пр</w:t>
      </w:r>
      <w:r w:rsidRPr="00CD45A4">
        <w:rPr>
          <w:rFonts w:eastAsia="Calibri"/>
          <w:sz w:val="22"/>
          <w:szCs w:val="22"/>
          <w:lang w:eastAsia="en-US"/>
        </w:rPr>
        <w:t>и</w:t>
      </w:r>
      <w:r w:rsidRPr="00CD45A4">
        <w:rPr>
          <w:rFonts w:eastAsia="Calibri"/>
          <w:sz w:val="22"/>
          <w:szCs w:val="22"/>
          <w:lang w:eastAsia="en-US"/>
        </w:rPr>
        <w:t>родных изменений дельты эти реки постепенно теряли связь с о</w:t>
      </w:r>
      <w:r w:rsidRPr="00CD45A4">
        <w:rPr>
          <w:rFonts w:eastAsia="Calibri"/>
          <w:sz w:val="22"/>
          <w:szCs w:val="22"/>
          <w:lang w:eastAsia="en-US"/>
        </w:rPr>
        <w:t>с</w:t>
      </w:r>
      <w:r w:rsidRPr="00CD45A4">
        <w:rPr>
          <w:rFonts w:eastAsia="Calibri"/>
          <w:sz w:val="22"/>
          <w:szCs w:val="22"/>
          <w:lang w:eastAsia="en-US"/>
        </w:rPr>
        <w:t>новным водотоком. Отрыв рукавов от коренного русла реки Кубань превратил их в типичные реки дождевого и снегового питания. П</w:t>
      </w:r>
      <w:r w:rsidRPr="00CD45A4">
        <w:rPr>
          <w:rFonts w:eastAsia="Calibri"/>
          <w:sz w:val="22"/>
          <w:szCs w:val="22"/>
          <w:lang w:eastAsia="en-US"/>
        </w:rPr>
        <w:t>о</w:t>
      </w:r>
      <w:r w:rsidRPr="00CD45A4">
        <w:rPr>
          <w:rFonts w:eastAsia="Calibri"/>
          <w:sz w:val="22"/>
          <w:szCs w:val="22"/>
          <w:lang w:eastAsia="en-US"/>
        </w:rPr>
        <w:t>этому еще в конце XIX – начале ХХ столетия местное население стало устраивать в отдельных местах русел новообразованных рек плотины для накопления воды в прудах для дальнейшего ее испол</w:t>
      </w:r>
      <w:r w:rsidRPr="00CD45A4">
        <w:rPr>
          <w:rFonts w:eastAsia="Calibri"/>
          <w:sz w:val="22"/>
          <w:szCs w:val="22"/>
          <w:lang w:eastAsia="en-US"/>
        </w:rPr>
        <w:t>ь</w:t>
      </w:r>
      <w:r w:rsidRPr="00CD45A4">
        <w:rPr>
          <w:rFonts w:eastAsia="Calibri"/>
          <w:sz w:val="22"/>
          <w:szCs w:val="22"/>
          <w:lang w:eastAsia="en-US"/>
        </w:rPr>
        <w:t>зования. Наибольшего развития этот процесс достиг в последние десятилетия ХХ столетия, что в свою очередь приводит к возникн</w:t>
      </w:r>
      <w:r w:rsidRPr="00CD45A4">
        <w:rPr>
          <w:rFonts w:eastAsia="Calibri"/>
          <w:sz w:val="22"/>
          <w:szCs w:val="22"/>
          <w:lang w:eastAsia="en-US"/>
        </w:rPr>
        <w:t>о</w:t>
      </w:r>
      <w:r w:rsidRPr="00CD45A4">
        <w:rPr>
          <w:rFonts w:eastAsia="Calibri"/>
          <w:sz w:val="22"/>
          <w:szCs w:val="22"/>
          <w:lang w:eastAsia="en-US"/>
        </w:rPr>
        <w:t>вению различных нарушений и сбоев в водно-балансовом потенц</w:t>
      </w:r>
      <w:r w:rsidRPr="00CD45A4">
        <w:rPr>
          <w:rFonts w:eastAsia="Calibri"/>
          <w:sz w:val="22"/>
          <w:szCs w:val="22"/>
          <w:lang w:eastAsia="en-US"/>
        </w:rPr>
        <w:t>и</w:t>
      </w:r>
      <w:r w:rsidRPr="00CD45A4">
        <w:rPr>
          <w:rFonts w:eastAsia="Calibri"/>
          <w:sz w:val="22"/>
          <w:szCs w:val="22"/>
          <w:lang w:eastAsia="en-US"/>
        </w:rPr>
        <w:t>але водных объектов [2].</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В настоящее время все степные реки разделены такими плот</w:t>
      </w:r>
      <w:r w:rsidRPr="00CD45A4">
        <w:rPr>
          <w:rFonts w:eastAsia="Calibri"/>
          <w:sz w:val="22"/>
          <w:szCs w:val="22"/>
          <w:lang w:eastAsia="en-US"/>
        </w:rPr>
        <w:t>и</w:t>
      </w:r>
      <w:r w:rsidRPr="00CD45A4">
        <w:rPr>
          <w:rFonts w:eastAsia="Calibri"/>
          <w:sz w:val="22"/>
          <w:szCs w:val="22"/>
          <w:lang w:eastAsia="en-US"/>
        </w:rPr>
        <w:t>нами на большое число отдельных водоемов (разделены на малые водохранилища), а единый водоток от верхнего течения к устью в них практически отсутствует. По данным Министерства природных ресурсов (МПР) Краснодарского края за 2015 г, в бассейне реки Ея расположено более</w:t>
      </w:r>
      <w:proofErr w:type="gramStart"/>
      <w:r w:rsidRPr="00CD45A4">
        <w:rPr>
          <w:rFonts w:eastAsia="Calibri"/>
          <w:sz w:val="22"/>
          <w:szCs w:val="22"/>
          <w:lang w:eastAsia="en-US"/>
        </w:rPr>
        <w:t>,</w:t>
      </w:r>
      <w:proofErr w:type="gramEnd"/>
      <w:r w:rsidRPr="00CD45A4">
        <w:rPr>
          <w:rFonts w:eastAsia="Calibri"/>
          <w:sz w:val="22"/>
          <w:szCs w:val="22"/>
          <w:lang w:eastAsia="en-US"/>
        </w:rPr>
        <w:t xml:space="preserve"> чем 700 дамб, на реке Бейсуг примерно 300 дамб, а на реке Челбас и ее притоках более, чем 350 дамб. В ба</w:t>
      </w:r>
      <w:r w:rsidRPr="00CD45A4">
        <w:rPr>
          <w:rFonts w:eastAsia="Calibri"/>
          <w:sz w:val="22"/>
          <w:szCs w:val="22"/>
          <w:lang w:eastAsia="en-US"/>
        </w:rPr>
        <w:t>с</w:t>
      </w:r>
      <w:r w:rsidRPr="00CD45A4">
        <w:rPr>
          <w:rFonts w:eastAsia="Calibri"/>
          <w:sz w:val="22"/>
          <w:szCs w:val="22"/>
          <w:lang w:eastAsia="en-US"/>
        </w:rPr>
        <w:t xml:space="preserve">сейне реки Кирпили установлено порядка 360 перегораживающих сооружений (дамб), </w:t>
      </w:r>
      <w:proofErr w:type="gramStart"/>
      <w:r w:rsidRPr="00CD45A4">
        <w:rPr>
          <w:rFonts w:eastAsia="Calibri"/>
          <w:sz w:val="22"/>
          <w:szCs w:val="22"/>
          <w:lang w:eastAsia="en-US"/>
        </w:rPr>
        <w:t>следовательно</w:t>
      </w:r>
      <w:proofErr w:type="gramEnd"/>
      <w:r w:rsidRPr="00CD45A4">
        <w:rPr>
          <w:rFonts w:eastAsia="Calibri"/>
          <w:sz w:val="22"/>
          <w:szCs w:val="22"/>
          <w:lang w:eastAsia="en-US"/>
        </w:rPr>
        <w:t xml:space="preserve"> фактически через каждые 3-5 км на степных реках находится такое сооружение [4].</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Большинство дамб на степных реках сооружалось без соотве</w:t>
      </w:r>
      <w:r w:rsidRPr="00CD45A4">
        <w:rPr>
          <w:rFonts w:eastAsia="Calibri"/>
          <w:sz w:val="22"/>
          <w:szCs w:val="22"/>
          <w:lang w:eastAsia="en-US"/>
        </w:rPr>
        <w:t>т</w:t>
      </w:r>
      <w:r w:rsidRPr="00CD45A4">
        <w:rPr>
          <w:rFonts w:eastAsia="Calibri"/>
          <w:sz w:val="22"/>
          <w:szCs w:val="22"/>
          <w:lang w:eastAsia="en-US"/>
        </w:rPr>
        <w:t>ствующих проектов строительства, в виде простого перегоражив</w:t>
      </w:r>
      <w:r w:rsidRPr="00CD45A4">
        <w:rPr>
          <w:rFonts w:eastAsia="Calibri"/>
          <w:sz w:val="22"/>
          <w:szCs w:val="22"/>
          <w:lang w:eastAsia="en-US"/>
        </w:rPr>
        <w:t>а</w:t>
      </w:r>
      <w:r w:rsidRPr="00CD45A4">
        <w:rPr>
          <w:rFonts w:eastAsia="Calibri"/>
          <w:sz w:val="22"/>
          <w:szCs w:val="22"/>
          <w:lang w:eastAsia="en-US"/>
        </w:rPr>
        <w:t>ния русел земляными насыпями, в результате скорость течения в</w:t>
      </w:r>
      <w:r w:rsidRPr="00CD45A4">
        <w:rPr>
          <w:rFonts w:eastAsia="Calibri"/>
          <w:sz w:val="22"/>
          <w:szCs w:val="22"/>
          <w:lang w:eastAsia="en-US"/>
        </w:rPr>
        <w:t>о</w:t>
      </w:r>
      <w:r w:rsidRPr="00CD45A4">
        <w:rPr>
          <w:rFonts w:eastAsia="Calibri"/>
          <w:sz w:val="22"/>
          <w:szCs w:val="22"/>
          <w:lang w:eastAsia="en-US"/>
        </w:rPr>
        <w:t>ды в реках постепенно снижалась, что влекло за собой непосре</w:t>
      </w:r>
      <w:r w:rsidRPr="00CD45A4">
        <w:rPr>
          <w:rFonts w:eastAsia="Calibri"/>
          <w:sz w:val="22"/>
          <w:szCs w:val="22"/>
          <w:lang w:eastAsia="en-US"/>
        </w:rPr>
        <w:t>д</w:t>
      </w:r>
      <w:r w:rsidRPr="00CD45A4">
        <w:rPr>
          <w:rFonts w:eastAsia="Calibri"/>
          <w:sz w:val="22"/>
          <w:szCs w:val="22"/>
          <w:lang w:eastAsia="en-US"/>
        </w:rPr>
        <w:t xml:space="preserve">ственно заиливание дна. В настоящее время мощность слоя ила на дне местами доходит до отметки не более чем 5 м. Как правило, подземное питание в таких местах почти полностью прервано. </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 xml:space="preserve">Различные </w:t>
      </w:r>
      <w:proofErr w:type="gramStart"/>
      <w:r w:rsidRPr="00CD45A4">
        <w:rPr>
          <w:rFonts w:eastAsia="Calibri"/>
          <w:sz w:val="22"/>
          <w:szCs w:val="22"/>
          <w:lang w:eastAsia="en-US"/>
        </w:rPr>
        <w:t>процессы</w:t>
      </w:r>
      <w:proofErr w:type="gramEnd"/>
      <w:r w:rsidRPr="00CD45A4">
        <w:rPr>
          <w:rFonts w:eastAsia="Calibri"/>
          <w:sz w:val="22"/>
          <w:szCs w:val="22"/>
          <w:lang w:eastAsia="en-US"/>
        </w:rPr>
        <w:t xml:space="preserve"> протекающие в водоемах, например, т</w:t>
      </w:r>
      <w:r w:rsidRPr="00CD45A4">
        <w:rPr>
          <w:rFonts w:eastAsia="Calibri"/>
          <w:sz w:val="22"/>
          <w:szCs w:val="22"/>
          <w:lang w:eastAsia="en-US"/>
        </w:rPr>
        <w:t>а</w:t>
      </w:r>
      <w:r w:rsidRPr="00CD45A4">
        <w:rPr>
          <w:rFonts w:eastAsia="Calibri"/>
          <w:sz w:val="22"/>
          <w:szCs w:val="22"/>
          <w:lang w:eastAsia="en-US"/>
        </w:rPr>
        <w:t xml:space="preserve">кие как заиливание, эвтрофикация, ухудшают режим работы и функционирования водных объектов, уменьшают глубину степных рек, способствуют их зарастанию водной растительностью, а также биологическому загрязнению водоемов [1]. </w:t>
      </w:r>
    </w:p>
    <w:p w:rsidR="00CD45A4" w:rsidRPr="00CD45A4" w:rsidRDefault="00CD45A4" w:rsidP="00D50091">
      <w:pPr>
        <w:ind w:firstLine="426"/>
        <w:contextualSpacing/>
        <w:jc w:val="both"/>
        <w:rPr>
          <w:rFonts w:eastAsia="Calibri"/>
          <w:sz w:val="22"/>
          <w:szCs w:val="22"/>
          <w:lang w:eastAsia="en-US"/>
        </w:rPr>
      </w:pPr>
      <w:r w:rsidRPr="00CD45A4">
        <w:rPr>
          <w:rFonts w:eastAsia="Calibri"/>
          <w:sz w:val="22"/>
          <w:szCs w:val="22"/>
          <w:lang w:eastAsia="en-US"/>
        </w:rPr>
        <w:t>Большинство степных рек протекают в большинстве случаев в густонаселённой местности, их воды активно используются для орошения, рекреации, водоснабжения и водоотведения [3].</w:t>
      </w:r>
    </w:p>
    <w:p w:rsidR="00CD45A4" w:rsidRPr="00CD45A4" w:rsidRDefault="00CD45A4" w:rsidP="00D50091">
      <w:pPr>
        <w:widowControl w:val="0"/>
        <w:ind w:firstLine="426"/>
        <w:contextualSpacing/>
        <w:jc w:val="both"/>
        <w:rPr>
          <w:rFonts w:eastAsia="Calibri"/>
          <w:sz w:val="22"/>
          <w:szCs w:val="22"/>
          <w:lang w:eastAsia="en-US"/>
        </w:rPr>
      </w:pPr>
      <w:r w:rsidRPr="00CD45A4">
        <w:rPr>
          <w:rFonts w:eastAsia="Calibri"/>
          <w:sz w:val="22"/>
          <w:szCs w:val="22"/>
          <w:lang w:eastAsia="en-US"/>
        </w:rPr>
        <w:t>В условиях с достаточно малой скоростью течения воды в р</w:t>
      </w:r>
      <w:r w:rsidRPr="00CD45A4">
        <w:rPr>
          <w:rFonts w:eastAsia="Calibri"/>
          <w:sz w:val="22"/>
          <w:szCs w:val="22"/>
          <w:lang w:eastAsia="en-US"/>
        </w:rPr>
        <w:t>е</w:t>
      </w:r>
      <w:r w:rsidRPr="00CD45A4">
        <w:rPr>
          <w:rFonts w:eastAsia="Calibri"/>
          <w:sz w:val="22"/>
          <w:szCs w:val="22"/>
          <w:lang w:eastAsia="en-US"/>
        </w:rPr>
        <w:lastRenderedPageBreak/>
        <w:t>ках, в них происходит увеличение скорости накопления органич</w:t>
      </w:r>
      <w:r w:rsidRPr="00CD45A4">
        <w:rPr>
          <w:rFonts w:eastAsia="Calibri"/>
          <w:sz w:val="22"/>
          <w:szCs w:val="22"/>
          <w:lang w:eastAsia="en-US"/>
        </w:rPr>
        <w:t>е</w:t>
      </w:r>
      <w:r w:rsidRPr="00CD45A4">
        <w:rPr>
          <w:rFonts w:eastAsia="Calibri"/>
          <w:sz w:val="22"/>
          <w:szCs w:val="22"/>
          <w:lang w:eastAsia="en-US"/>
        </w:rPr>
        <w:t>ского вещества, вызывая тем самым процесс эвтрофирования вод. Данное избыточное поступление органического вещества не менее опасно, чем токсическое заражение среды. Так, например, когда содержание фосфора, калия и азота в воде превышает максимал</w:t>
      </w:r>
      <w:r w:rsidRPr="00CD45A4">
        <w:rPr>
          <w:rFonts w:eastAsia="Calibri"/>
          <w:sz w:val="22"/>
          <w:szCs w:val="22"/>
          <w:lang w:eastAsia="en-US"/>
        </w:rPr>
        <w:t>ь</w:t>
      </w:r>
      <w:r w:rsidRPr="00CD45A4">
        <w:rPr>
          <w:rFonts w:eastAsia="Calibri"/>
          <w:sz w:val="22"/>
          <w:szCs w:val="22"/>
          <w:lang w:eastAsia="en-US"/>
        </w:rPr>
        <w:t>ный уровень концентрации, максимально огромное развитие пол</w:t>
      </w:r>
      <w:r w:rsidRPr="00CD45A4">
        <w:rPr>
          <w:rFonts w:eastAsia="Calibri"/>
          <w:sz w:val="22"/>
          <w:szCs w:val="22"/>
          <w:lang w:eastAsia="en-US"/>
        </w:rPr>
        <w:t>у</w:t>
      </w:r>
      <w:r w:rsidRPr="00CD45A4">
        <w:rPr>
          <w:rFonts w:eastAsia="Calibri"/>
          <w:sz w:val="22"/>
          <w:szCs w:val="22"/>
          <w:lang w:eastAsia="en-US"/>
        </w:rPr>
        <w:t>чают сапрофитные бактерии и планктонные сине-зеленые водоро</w:t>
      </w:r>
      <w:r w:rsidRPr="00CD45A4">
        <w:rPr>
          <w:rFonts w:eastAsia="Calibri"/>
          <w:sz w:val="22"/>
          <w:szCs w:val="22"/>
          <w:lang w:eastAsia="en-US"/>
        </w:rPr>
        <w:t>с</w:t>
      </w:r>
      <w:r w:rsidRPr="00CD45A4">
        <w:rPr>
          <w:rFonts w:eastAsia="Calibri"/>
          <w:sz w:val="22"/>
          <w:szCs w:val="22"/>
          <w:lang w:eastAsia="en-US"/>
        </w:rPr>
        <w:t>ли (в том числе болезнетворные), что в свою очередь существенно обостряет эпидемиологическое состояние, как водных объектов, так и прилегающей территории к ним [1].</w:t>
      </w:r>
    </w:p>
    <w:p w:rsidR="00CD45A4" w:rsidRPr="00CD45A4" w:rsidRDefault="00CD45A4" w:rsidP="00D50091">
      <w:pPr>
        <w:widowControl w:val="0"/>
        <w:ind w:firstLine="426"/>
        <w:contextualSpacing/>
        <w:jc w:val="both"/>
        <w:rPr>
          <w:rFonts w:eastAsia="Calibri"/>
          <w:sz w:val="22"/>
          <w:szCs w:val="22"/>
          <w:lang w:eastAsia="en-US"/>
        </w:rPr>
      </w:pPr>
      <w:r w:rsidRPr="00CD45A4">
        <w:rPr>
          <w:rFonts w:eastAsia="Calibri"/>
          <w:sz w:val="22"/>
          <w:szCs w:val="22"/>
          <w:lang w:eastAsia="en-US"/>
        </w:rPr>
        <w:t>Если степные реки начнут погибать, то край лишится основной территории, на которой располагаются плодороднейшие почвы. Это приведет к изменению гидрологии огромной территории – забол</w:t>
      </w:r>
      <w:r w:rsidRPr="00CD45A4">
        <w:rPr>
          <w:rFonts w:eastAsia="Calibri"/>
          <w:sz w:val="22"/>
          <w:szCs w:val="22"/>
          <w:lang w:eastAsia="en-US"/>
        </w:rPr>
        <w:t>а</w:t>
      </w:r>
      <w:r w:rsidRPr="00CD45A4">
        <w:rPr>
          <w:rFonts w:eastAsia="Calibri"/>
          <w:sz w:val="22"/>
          <w:szCs w:val="22"/>
          <w:lang w:eastAsia="en-US"/>
        </w:rPr>
        <w:t xml:space="preserve">чиванию или засухе, смене почвенного и растительного покрова, снижению и даже потере плодородия почв, сокращению объема грунтовых вод и т.д. [4]. </w:t>
      </w:r>
    </w:p>
    <w:p w:rsidR="00CD45A4" w:rsidRPr="00CD45A4" w:rsidRDefault="00CD45A4" w:rsidP="00D50091">
      <w:pPr>
        <w:widowControl w:val="0"/>
        <w:ind w:firstLine="426"/>
        <w:contextualSpacing/>
        <w:jc w:val="both"/>
        <w:rPr>
          <w:rFonts w:eastAsia="Calibri"/>
          <w:sz w:val="22"/>
          <w:szCs w:val="22"/>
          <w:lang w:eastAsia="en-US"/>
        </w:rPr>
      </w:pPr>
      <w:r w:rsidRPr="00CD45A4">
        <w:rPr>
          <w:rFonts w:eastAsia="Calibri"/>
          <w:sz w:val="22"/>
          <w:szCs w:val="22"/>
          <w:lang w:eastAsia="en-US"/>
        </w:rPr>
        <w:t>В результате «изумруды» степей Кубани – реки, на наших гл</w:t>
      </w:r>
      <w:r w:rsidRPr="00CD45A4">
        <w:rPr>
          <w:rFonts w:eastAsia="Calibri"/>
          <w:sz w:val="22"/>
          <w:szCs w:val="22"/>
          <w:lang w:eastAsia="en-US"/>
        </w:rPr>
        <w:t>а</w:t>
      </w:r>
      <w:r w:rsidRPr="00CD45A4">
        <w:rPr>
          <w:rFonts w:eastAsia="Calibri"/>
          <w:sz w:val="22"/>
          <w:szCs w:val="22"/>
          <w:lang w:eastAsia="en-US"/>
        </w:rPr>
        <w:t>зах деградируют и превращаются в болота. Изменение ситуации в лучшую сторону возможно только при проведении необходимых природоохранных мероприятий. Поэтому, на начальном этапе необходимо начинать действовать самостоятельно. Уборка мусора на берегу после отдыха, строгое соблюдение правил любительского рыболовства, перемещение огородов и полей за пределы прибре</w:t>
      </w:r>
      <w:r w:rsidRPr="00CD45A4">
        <w:rPr>
          <w:rFonts w:eastAsia="Calibri"/>
          <w:sz w:val="22"/>
          <w:szCs w:val="22"/>
          <w:lang w:eastAsia="en-US"/>
        </w:rPr>
        <w:t>ж</w:t>
      </w:r>
      <w:r w:rsidRPr="00CD45A4">
        <w:rPr>
          <w:rFonts w:eastAsia="Calibri"/>
          <w:sz w:val="22"/>
          <w:szCs w:val="22"/>
          <w:lang w:eastAsia="en-US"/>
        </w:rPr>
        <w:t>ной защитной полосы – это то, что и сейчас может сделать каждый из нас, не дожидаясь пока степная река, текущая за его домом, пр</w:t>
      </w:r>
      <w:r w:rsidRPr="00CD45A4">
        <w:rPr>
          <w:rFonts w:eastAsia="Calibri"/>
          <w:sz w:val="22"/>
          <w:szCs w:val="22"/>
          <w:lang w:eastAsia="en-US"/>
        </w:rPr>
        <w:t>е</w:t>
      </w:r>
      <w:r w:rsidRPr="00CD45A4">
        <w:rPr>
          <w:rFonts w:eastAsia="Calibri"/>
          <w:sz w:val="22"/>
          <w:szCs w:val="22"/>
          <w:lang w:eastAsia="en-US"/>
        </w:rPr>
        <w:t>вратится в сухой, заросший амброзией овраг [3].</w:t>
      </w:r>
    </w:p>
    <w:p w:rsidR="00CD45A4" w:rsidRPr="00CD45A4" w:rsidRDefault="00CD45A4" w:rsidP="00D50091">
      <w:pPr>
        <w:widowControl w:val="0"/>
        <w:ind w:firstLine="426"/>
        <w:contextualSpacing/>
        <w:jc w:val="center"/>
        <w:rPr>
          <w:rFonts w:eastAsia="Calibri"/>
          <w:sz w:val="22"/>
          <w:szCs w:val="22"/>
          <w:lang w:eastAsia="en-US"/>
        </w:rPr>
      </w:pPr>
    </w:p>
    <w:p w:rsidR="00CD45A4" w:rsidRPr="00CD45A4" w:rsidRDefault="00CD45A4" w:rsidP="00D50091">
      <w:pPr>
        <w:widowControl w:val="0"/>
        <w:ind w:firstLine="426"/>
        <w:contextualSpacing/>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D50091">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1. Белюченко, И. С. Загрязнение поверхностных вод / Экологические проблемы Кубани // И.С. Белюченко. – 2002. – № 18. – С. 249.</w:t>
      </w:r>
    </w:p>
    <w:p w:rsidR="00CD45A4" w:rsidRPr="00CD45A4" w:rsidRDefault="00CD45A4" w:rsidP="00D50091">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2. Белюченко, И. С. Некоторые аспекты эволюции экологических систем / Экологические проблемы Кубани // И.С. Белюченко. – 2002. – № 14. – С. 142-161.</w:t>
      </w:r>
    </w:p>
    <w:p w:rsidR="00CD45A4" w:rsidRPr="00CD45A4" w:rsidRDefault="00CD45A4" w:rsidP="00D50091">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3. Белюченко, И. С. Оценка состояния речных систем степной зоны края и предложения по улучшению их экологической ситуации / Экологические проблемы Кубани // И.С. Белюченко, Н.Н. Мамась. – 2005. – №30. – С. 198-206.</w:t>
      </w:r>
    </w:p>
    <w:p w:rsidR="00CD45A4" w:rsidRPr="00CD45A4" w:rsidRDefault="00CD45A4" w:rsidP="00D50091">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lastRenderedPageBreak/>
        <w:t xml:space="preserve">4. Суслов, О. Н. Формирование </w:t>
      </w:r>
      <w:proofErr w:type="gramStart"/>
      <w:r w:rsidRPr="00CD45A4">
        <w:rPr>
          <w:rFonts w:eastAsia="Calibri"/>
          <w:sz w:val="22"/>
          <w:szCs w:val="22"/>
          <w:lang w:eastAsia="en-US"/>
        </w:rPr>
        <w:t>стока рек бассейна Азовского моря междуречья Кубани</w:t>
      </w:r>
      <w:proofErr w:type="gramEnd"/>
      <w:r w:rsidRPr="00CD45A4">
        <w:rPr>
          <w:rFonts w:eastAsia="Calibri"/>
          <w:sz w:val="22"/>
          <w:szCs w:val="22"/>
          <w:lang w:eastAsia="en-US"/>
        </w:rPr>
        <w:t xml:space="preserve"> и Дона / Вода и водные ресурсы: Системообразующие функции в природе и экономике: сб. науч. тр./отв. ред. В.Г. Пряжинская // О.Н. Суслов. – Новочеркасск: ЮРГГУ (НПИ). – 2012. – С. 140-146.</w:t>
      </w:r>
    </w:p>
    <w:p w:rsidR="00CD45A4" w:rsidRDefault="00CD45A4" w:rsidP="00CD45A4">
      <w:pPr>
        <w:jc w:val="both"/>
        <w:rPr>
          <w:sz w:val="22"/>
          <w:szCs w:val="22"/>
        </w:rPr>
      </w:pPr>
    </w:p>
    <w:p w:rsidR="00D50091" w:rsidRDefault="00D50091" w:rsidP="00CD45A4">
      <w:pPr>
        <w:jc w:val="both"/>
        <w:rPr>
          <w:sz w:val="22"/>
          <w:szCs w:val="22"/>
        </w:rPr>
      </w:pPr>
    </w:p>
    <w:p w:rsidR="000749B1" w:rsidRDefault="000749B1" w:rsidP="00CD45A4">
      <w:pPr>
        <w:jc w:val="both"/>
        <w:rPr>
          <w:sz w:val="22"/>
          <w:szCs w:val="22"/>
        </w:rPr>
      </w:pPr>
    </w:p>
    <w:p w:rsidR="001C6F5C" w:rsidRDefault="00CD45A4" w:rsidP="00CD45A4">
      <w:pPr>
        <w:rPr>
          <w:rFonts w:eastAsia="Calibri"/>
          <w:sz w:val="22"/>
          <w:szCs w:val="22"/>
          <w:lang w:eastAsia="en-US"/>
        </w:rPr>
      </w:pPr>
      <w:r w:rsidRPr="00CD45A4">
        <w:rPr>
          <w:rFonts w:eastAsia="Calibri"/>
          <w:sz w:val="22"/>
          <w:szCs w:val="22"/>
          <w:lang w:eastAsia="en-US"/>
        </w:rPr>
        <w:t>УДК 504:57.043:57.044</w:t>
      </w:r>
    </w:p>
    <w:p w:rsidR="000749B1" w:rsidRPr="00BF679C" w:rsidRDefault="000749B1" w:rsidP="00CD45A4">
      <w:pPr>
        <w:rPr>
          <w:rFonts w:eastAsia="Calibri"/>
          <w:sz w:val="22"/>
          <w:szCs w:val="22"/>
          <w:lang w:eastAsia="en-US"/>
        </w:rPr>
      </w:pPr>
    </w:p>
    <w:p w:rsidR="00CD45A4" w:rsidRPr="00CD45A4" w:rsidRDefault="00CD45A4" w:rsidP="00CD45A4">
      <w:pPr>
        <w:widowControl w:val="0"/>
        <w:suppressAutoHyphens/>
        <w:jc w:val="center"/>
        <w:rPr>
          <w:rFonts w:eastAsia="Calibri"/>
          <w:b/>
          <w:sz w:val="24"/>
          <w:szCs w:val="24"/>
          <w:lang w:eastAsia="en-US"/>
        </w:rPr>
      </w:pPr>
      <w:r w:rsidRPr="00CD45A4">
        <w:rPr>
          <w:rFonts w:eastAsia="Calibri"/>
          <w:b/>
          <w:sz w:val="24"/>
          <w:szCs w:val="24"/>
          <w:lang w:eastAsia="en-US"/>
        </w:rPr>
        <w:t>Негативные факторы воздействия цементного производства Краснодарского края на окружающую среду</w:t>
      </w:r>
    </w:p>
    <w:p w:rsidR="001C6F5C" w:rsidRPr="00A8504F" w:rsidRDefault="00CD45A4" w:rsidP="00863F6A">
      <w:pPr>
        <w:widowControl w:val="0"/>
        <w:suppressAutoHyphens/>
        <w:jc w:val="center"/>
        <w:rPr>
          <w:rFonts w:eastAsia="Calibri"/>
          <w:b/>
          <w:sz w:val="24"/>
          <w:szCs w:val="24"/>
          <w:lang w:val="en-US" w:eastAsia="en-US"/>
        </w:rPr>
      </w:pPr>
      <w:r w:rsidRPr="00CD45A4">
        <w:rPr>
          <w:rFonts w:eastAsia="Calibri"/>
          <w:b/>
          <w:sz w:val="24"/>
          <w:szCs w:val="24"/>
          <w:lang w:val="en-US" w:eastAsia="en-US"/>
        </w:rPr>
        <w:t>Negative factors of the impact of cement production of the Krasnodar Territory on the environment</w:t>
      </w:r>
    </w:p>
    <w:p w:rsidR="000749B1" w:rsidRPr="00A8504F" w:rsidRDefault="000749B1" w:rsidP="00863F6A">
      <w:pPr>
        <w:widowControl w:val="0"/>
        <w:suppressAutoHyphens/>
        <w:jc w:val="center"/>
        <w:rPr>
          <w:rFonts w:eastAsia="Calibri"/>
          <w:b/>
          <w:sz w:val="24"/>
          <w:szCs w:val="24"/>
          <w:lang w:val="en-US" w:eastAsia="en-US"/>
        </w:rPr>
      </w:pP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Давиденко П. Е.,</w:t>
      </w:r>
    </w:p>
    <w:p w:rsidR="00CD45A4" w:rsidRPr="00CD45A4" w:rsidRDefault="00BF679C" w:rsidP="00CD45A4">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магистрант 2-го курса</w:t>
      </w:r>
    </w:p>
    <w:p w:rsidR="00CD45A4" w:rsidRPr="00CD45A4" w:rsidRDefault="00CD45A4" w:rsidP="00CD45A4">
      <w:pPr>
        <w:jc w:val="right"/>
        <w:rPr>
          <w:rFonts w:eastAsia="Calibri"/>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Перебора Е. А.,</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доцент кафедры общей биологии и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Кубанский государственный аграрный</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университет имени И.</w:t>
      </w:r>
      <w:r w:rsidR="00BF679C">
        <w:rPr>
          <w:rFonts w:eastAsia="Calibri"/>
          <w:sz w:val="22"/>
          <w:szCs w:val="22"/>
          <w:lang w:eastAsia="en-US"/>
        </w:rPr>
        <w:t xml:space="preserve"> </w:t>
      </w:r>
      <w:r w:rsidRPr="00CD45A4">
        <w:rPr>
          <w:rFonts w:eastAsia="Calibri"/>
          <w:sz w:val="22"/>
          <w:szCs w:val="22"/>
          <w:lang w:eastAsia="en-US"/>
        </w:rPr>
        <w:t>Т. Трубилина</w:t>
      </w:r>
    </w:p>
    <w:p w:rsidR="00CD45A4" w:rsidRPr="00CD45A4" w:rsidRDefault="00CD45A4" w:rsidP="00CD45A4">
      <w:pPr>
        <w:jc w:val="both"/>
        <w:rPr>
          <w:rFonts w:eastAsia="Calibri"/>
          <w:spacing w:val="-2"/>
          <w:sz w:val="22"/>
          <w:szCs w:val="22"/>
          <w:lang w:eastAsia="en-US"/>
        </w:rPr>
      </w:pPr>
    </w:p>
    <w:p w:rsidR="00CD45A4" w:rsidRPr="00CD45A4" w:rsidRDefault="00CD45A4" w:rsidP="00BF679C">
      <w:pPr>
        <w:widowControl w:val="0"/>
        <w:suppressAutoHyphens/>
        <w:ind w:firstLine="426"/>
        <w:jc w:val="both"/>
        <w:rPr>
          <w:rFonts w:eastAsia="Calibri"/>
          <w:spacing w:val="-2"/>
          <w:sz w:val="22"/>
          <w:szCs w:val="22"/>
          <w:lang w:eastAsia="en-US"/>
        </w:rPr>
      </w:pPr>
      <w:r w:rsidRPr="00CD45A4">
        <w:rPr>
          <w:rFonts w:eastAsia="Calibri"/>
          <w:spacing w:val="-2"/>
          <w:sz w:val="22"/>
          <w:szCs w:val="22"/>
          <w:lang w:eastAsia="en-US"/>
        </w:rPr>
        <w:t>АННОТАЦИЯ: В статье рассматриваются экологические проблемы, характерные для цементной отрасли Краснодарского края. Приводятся результаты исследований за 2016-2018 гг. по выявлению факторов негативного воздействия ОАО «Верхнебаканский цементный завод».</w:t>
      </w:r>
    </w:p>
    <w:p w:rsidR="00CD45A4" w:rsidRPr="00CD45A4" w:rsidRDefault="00CD45A4" w:rsidP="00BF679C">
      <w:pPr>
        <w:widowControl w:val="0"/>
        <w:suppressAutoHyphens/>
        <w:ind w:firstLine="426"/>
        <w:jc w:val="both"/>
        <w:rPr>
          <w:rFonts w:eastAsia="Calibri"/>
          <w:spacing w:val="-2"/>
          <w:sz w:val="22"/>
          <w:szCs w:val="22"/>
          <w:lang w:val="en-US" w:eastAsia="en-US"/>
        </w:rPr>
      </w:pPr>
      <w:r w:rsidRPr="00CD45A4">
        <w:rPr>
          <w:rFonts w:eastAsia="Calibri"/>
          <w:spacing w:val="-2"/>
          <w:sz w:val="22"/>
          <w:szCs w:val="22"/>
          <w:lang w:val="en-US" w:eastAsia="en-US"/>
        </w:rPr>
        <w:t xml:space="preserve">ABSTRACT: The article considers ecological problems typical for the cement industry of the Krasnodar Territory. The results of research for 2016-2018 are given. </w:t>
      </w:r>
      <w:proofErr w:type="gramStart"/>
      <w:r w:rsidRPr="00CD45A4">
        <w:rPr>
          <w:rFonts w:eastAsia="Calibri"/>
          <w:spacing w:val="-2"/>
          <w:sz w:val="22"/>
          <w:szCs w:val="22"/>
          <w:lang w:val="en-US" w:eastAsia="en-US"/>
        </w:rPr>
        <w:t>on</w:t>
      </w:r>
      <w:proofErr w:type="gramEnd"/>
      <w:r w:rsidRPr="00CD45A4">
        <w:rPr>
          <w:rFonts w:eastAsia="Calibri"/>
          <w:spacing w:val="-2"/>
          <w:sz w:val="22"/>
          <w:szCs w:val="22"/>
          <w:lang w:val="en-US" w:eastAsia="en-US"/>
        </w:rPr>
        <w:t xml:space="preserve"> revealing of factors of negative influence of OJSC «Verhnebakansky cementniy zavod».</w:t>
      </w:r>
    </w:p>
    <w:p w:rsidR="00CD45A4" w:rsidRPr="00CD45A4" w:rsidRDefault="00CD45A4" w:rsidP="00BF679C">
      <w:pPr>
        <w:widowControl w:val="0"/>
        <w:suppressAutoHyphens/>
        <w:ind w:firstLine="426"/>
        <w:jc w:val="both"/>
        <w:rPr>
          <w:rFonts w:eastAsia="Calibri"/>
          <w:spacing w:val="-2"/>
          <w:sz w:val="22"/>
          <w:szCs w:val="22"/>
          <w:lang w:eastAsia="en-US"/>
        </w:rPr>
      </w:pPr>
      <w:proofErr w:type="gramStart"/>
      <w:r w:rsidRPr="00CD45A4">
        <w:rPr>
          <w:rFonts w:eastAsia="Calibri"/>
          <w:spacing w:val="-2"/>
          <w:sz w:val="22"/>
          <w:szCs w:val="22"/>
          <w:lang w:eastAsia="en-US"/>
        </w:rPr>
        <w:t>КЛЮЧЕВЫЕ СЛОВА: атмосферный воздух, запыленность, мергель, токсичность, тяжелые металлы, цементная пыль, шумовое загрязнение.</w:t>
      </w:r>
      <w:proofErr w:type="gramEnd"/>
    </w:p>
    <w:p w:rsidR="00CD45A4" w:rsidRPr="000749B1" w:rsidRDefault="00CD45A4" w:rsidP="000749B1">
      <w:pPr>
        <w:widowControl w:val="0"/>
        <w:suppressAutoHyphens/>
        <w:ind w:firstLine="426"/>
        <w:jc w:val="both"/>
        <w:rPr>
          <w:rFonts w:eastAsia="Calibri"/>
          <w:spacing w:val="-2"/>
          <w:sz w:val="22"/>
          <w:szCs w:val="22"/>
          <w:lang w:val="en-US" w:eastAsia="en-US"/>
        </w:rPr>
      </w:pPr>
      <w:r w:rsidRPr="00CD45A4">
        <w:rPr>
          <w:rFonts w:eastAsia="Calibri"/>
          <w:spacing w:val="-2"/>
          <w:sz w:val="22"/>
          <w:szCs w:val="22"/>
          <w:lang w:val="en-US" w:eastAsia="en-US"/>
        </w:rPr>
        <w:t>KEY WORDS: atmospheric air, dust, environment, toxicity, heavy metals, cement dust, noise pollution.</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lastRenderedPageBreak/>
        <w:t>В настоящее время цементная промышленность Краснодарского края представлена пятью цементными заводами и двенадцатью (де</w:t>
      </w:r>
      <w:r w:rsidRPr="00CD45A4">
        <w:rPr>
          <w:rFonts w:eastAsia="Calibri"/>
          <w:spacing w:val="-2"/>
          <w:sz w:val="22"/>
          <w:szCs w:val="22"/>
          <w:lang w:eastAsia="en-US"/>
        </w:rPr>
        <w:t>й</w:t>
      </w:r>
      <w:r w:rsidRPr="00CD45A4">
        <w:rPr>
          <w:rFonts w:eastAsia="Calibri"/>
          <w:spacing w:val="-2"/>
          <w:sz w:val="22"/>
          <w:szCs w:val="22"/>
          <w:lang w:eastAsia="en-US"/>
        </w:rPr>
        <w:t>ствующими на настоящее время) мергелевыми карьерами. Все ц</w:t>
      </w:r>
      <w:r w:rsidRPr="00CD45A4">
        <w:rPr>
          <w:rFonts w:eastAsia="Calibri"/>
          <w:spacing w:val="-2"/>
          <w:sz w:val="22"/>
          <w:szCs w:val="22"/>
          <w:lang w:eastAsia="en-US"/>
        </w:rPr>
        <w:t>е</w:t>
      </w:r>
      <w:r w:rsidRPr="00CD45A4">
        <w:rPr>
          <w:rFonts w:eastAsia="Calibri"/>
          <w:spacing w:val="-2"/>
          <w:sz w:val="22"/>
          <w:szCs w:val="22"/>
          <w:lang w:eastAsia="en-US"/>
        </w:rPr>
        <w:t>ментные заводы расположены в Новороссийском районе и предста</w:t>
      </w:r>
      <w:r w:rsidRPr="00CD45A4">
        <w:rPr>
          <w:rFonts w:eastAsia="Calibri"/>
          <w:spacing w:val="-2"/>
          <w:sz w:val="22"/>
          <w:szCs w:val="22"/>
          <w:lang w:eastAsia="en-US"/>
        </w:rPr>
        <w:t>в</w:t>
      </w:r>
      <w:r w:rsidRPr="00CD45A4">
        <w:rPr>
          <w:rFonts w:eastAsia="Calibri"/>
          <w:spacing w:val="-2"/>
          <w:sz w:val="22"/>
          <w:szCs w:val="22"/>
          <w:lang w:eastAsia="en-US"/>
        </w:rPr>
        <w:t>ляют две крупнейшие российские компании по добыче, производству и экспорту цемента ОАО «Новоросцемент» и ГК «Интеко».</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ОАО «Новоросцемент» представлен тремя цементными завод</w:t>
      </w:r>
      <w:r w:rsidRPr="00CD45A4">
        <w:rPr>
          <w:rFonts w:eastAsia="Calibri"/>
          <w:spacing w:val="-2"/>
          <w:sz w:val="22"/>
          <w:szCs w:val="22"/>
          <w:lang w:eastAsia="en-US"/>
        </w:rPr>
        <w:t>а</w:t>
      </w:r>
      <w:r w:rsidRPr="00CD45A4">
        <w:rPr>
          <w:rFonts w:eastAsia="Calibri"/>
          <w:spacing w:val="-2"/>
          <w:sz w:val="22"/>
          <w:szCs w:val="22"/>
          <w:lang w:eastAsia="en-US"/>
        </w:rPr>
        <w:t>ми: завод «Пролетарий», завод «Первомайский» и завод «Октябрь». Два других цементных завода относятся к группе компаний «Инт</w:t>
      </w:r>
      <w:r w:rsidRPr="00CD45A4">
        <w:rPr>
          <w:rFonts w:eastAsia="Calibri"/>
          <w:spacing w:val="-2"/>
          <w:sz w:val="22"/>
          <w:szCs w:val="22"/>
          <w:lang w:eastAsia="en-US"/>
        </w:rPr>
        <w:t>е</w:t>
      </w:r>
      <w:r w:rsidRPr="00CD45A4">
        <w:rPr>
          <w:rFonts w:eastAsia="Calibri"/>
          <w:spacing w:val="-2"/>
          <w:sz w:val="22"/>
          <w:szCs w:val="22"/>
          <w:lang w:eastAsia="en-US"/>
        </w:rPr>
        <w:t>ко» – ООО «Атакайцемент» и ОАО «Верхнебаканский цементный завод»</w:t>
      </w:r>
      <w:r w:rsidRPr="00CD45A4">
        <w:rPr>
          <w:color w:val="000000"/>
          <w:sz w:val="22"/>
          <w:szCs w:val="22"/>
        </w:rPr>
        <w:t xml:space="preserve"> [1].</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Цель работы – изучение степени воздействия ОАО «Верхнеб</w:t>
      </w:r>
      <w:r w:rsidRPr="00CD45A4">
        <w:rPr>
          <w:rFonts w:eastAsia="Calibri"/>
          <w:spacing w:val="-2"/>
          <w:sz w:val="22"/>
          <w:szCs w:val="22"/>
          <w:lang w:eastAsia="en-US"/>
        </w:rPr>
        <w:t>а</w:t>
      </w:r>
      <w:r w:rsidRPr="00CD45A4">
        <w:rPr>
          <w:rFonts w:eastAsia="Calibri"/>
          <w:spacing w:val="-2"/>
          <w:sz w:val="22"/>
          <w:szCs w:val="22"/>
          <w:lang w:eastAsia="en-US"/>
        </w:rPr>
        <w:t>канский цементный завод» на окружающую природную среду прил</w:t>
      </w:r>
      <w:r w:rsidRPr="00CD45A4">
        <w:rPr>
          <w:rFonts w:eastAsia="Calibri"/>
          <w:spacing w:val="-2"/>
          <w:sz w:val="22"/>
          <w:szCs w:val="22"/>
          <w:lang w:eastAsia="en-US"/>
        </w:rPr>
        <w:t>е</w:t>
      </w:r>
      <w:r w:rsidRPr="00CD45A4">
        <w:rPr>
          <w:rFonts w:eastAsia="Calibri"/>
          <w:spacing w:val="-2"/>
          <w:sz w:val="22"/>
          <w:szCs w:val="22"/>
          <w:lang w:eastAsia="en-US"/>
        </w:rPr>
        <w:t>гающей территории.</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Основное негативное воздействие от деятельности цементного завода приходится на воздушную среду (цементная пыль, NO</w:t>
      </w:r>
      <w:r w:rsidRPr="00CD45A4">
        <w:rPr>
          <w:rFonts w:eastAsia="Calibri"/>
          <w:spacing w:val="-2"/>
          <w:sz w:val="22"/>
          <w:szCs w:val="22"/>
          <w:vertAlign w:val="subscript"/>
          <w:lang w:eastAsia="en-US"/>
        </w:rPr>
        <w:t>x</w:t>
      </w:r>
      <w:r w:rsidRPr="00CD45A4">
        <w:rPr>
          <w:rFonts w:eastAsia="Calibri"/>
          <w:spacing w:val="-2"/>
          <w:sz w:val="22"/>
          <w:szCs w:val="22"/>
          <w:lang w:eastAsia="en-US"/>
        </w:rPr>
        <w:t>, SO</w:t>
      </w:r>
      <w:r w:rsidRPr="00CD45A4">
        <w:rPr>
          <w:rFonts w:eastAsia="Calibri"/>
          <w:spacing w:val="-2"/>
          <w:sz w:val="22"/>
          <w:szCs w:val="22"/>
          <w:vertAlign w:val="subscript"/>
          <w:lang w:eastAsia="en-US"/>
        </w:rPr>
        <w:t>2</w:t>
      </w:r>
      <w:r w:rsidRPr="00CD45A4">
        <w:rPr>
          <w:rFonts w:eastAsia="Calibri"/>
          <w:spacing w:val="-2"/>
          <w:sz w:val="22"/>
          <w:szCs w:val="22"/>
          <w:lang w:eastAsia="en-US"/>
        </w:rPr>
        <w:t>, CO</w:t>
      </w:r>
      <w:r w:rsidRPr="00CD45A4">
        <w:rPr>
          <w:rFonts w:eastAsia="Calibri"/>
          <w:spacing w:val="-2"/>
          <w:sz w:val="22"/>
          <w:szCs w:val="22"/>
          <w:vertAlign w:val="subscript"/>
          <w:lang w:eastAsia="en-US"/>
        </w:rPr>
        <w:t>2</w:t>
      </w:r>
      <w:r w:rsidRPr="00CD45A4">
        <w:rPr>
          <w:rFonts w:eastAsia="Calibri"/>
          <w:spacing w:val="-2"/>
          <w:sz w:val="22"/>
          <w:szCs w:val="22"/>
          <w:lang w:eastAsia="en-US"/>
        </w:rPr>
        <w:t>, шум и др.). Для определения уровня данного воздействия созд</w:t>
      </w:r>
      <w:r w:rsidRPr="00CD45A4">
        <w:rPr>
          <w:rFonts w:eastAsia="Calibri"/>
          <w:spacing w:val="-2"/>
          <w:sz w:val="22"/>
          <w:szCs w:val="22"/>
          <w:lang w:eastAsia="en-US"/>
        </w:rPr>
        <w:t>а</w:t>
      </w:r>
      <w:r w:rsidRPr="00CD45A4">
        <w:rPr>
          <w:rFonts w:eastAsia="Calibri"/>
          <w:spacing w:val="-2"/>
          <w:sz w:val="22"/>
          <w:szCs w:val="22"/>
          <w:lang w:eastAsia="en-US"/>
        </w:rPr>
        <w:t>на система мониторинга для контроля запыленности воздуха, опр</w:t>
      </w:r>
      <w:r w:rsidRPr="00CD45A4">
        <w:rPr>
          <w:rFonts w:eastAsia="Calibri"/>
          <w:spacing w:val="-2"/>
          <w:sz w:val="22"/>
          <w:szCs w:val="22"/>
          <w:lang w:eastAsia="en-US"/>
        </w:rPr>
        <w:t>е</w:t>
      </w:r>
      <w:r w:rsidRPr="00CD45A4">
        <w:rPr>
          <w:rFonts w:eastAsia="Calibri"/>
          <w:spacing w:val="-2"/>
          <w:sz w:val="22"/>
          <w:szCs w:val="22"/>
          <w:lang w:eastAsia="en-US"/>
        </w:rPr>
        <w:t>деления уровня шума в разных районах поселка и в разной удаленн</w:t>
      </w:r>
      <w:r w:rsidRPr="00CD45A4">
        <w:rPr>
          <w:rFonts w:eastAsia="Calibri"/>
          <w:spacing w:val="-2"/>
          <w:sz w:val="22"/>
          <w:szCs w:val="22"/>
          <w:lang w:eastAsia="en-US"/>
        </w:rPr>
        <w:t>о</w:t>
      </w:r>
      <w:r w:rsidRPr="00CD45A4">
        <w:rPr>
          <w:rFonts w:eastAsia="Calibri"/>
          <w:spacing w:val="-2"/>
          <w:sz w:val="22"/>
          <w:szCs w:val="22"/>
          <w:lang w:eastAsia="en-US"/>
        </w:rPr>
        <w:t>сти от предприятия. Также были проведены биоиндикационные и</w:t>
      </w:r>
      <w:r w:rsidRPr="00CD45A4">
        <w:rPr>
          <w:rFonts w:eastAsia="Calibri"/>
          <w:spacing w:val="-2"/>
          <w:sz w:val="22"/>
          <w:szCs w:val="22"/>
          <w:lang w:eastAsia="en-US"/>
        </w:rPr>
        <w:t>с</w:t>
      </w:r>
      <w:r w:rsidRPr="00CD45A4">
        <w:rPr>
          <w:rFonts w:eastAsia="Calibri"/>
          <w:spacing w:val="-2"/>
          <w:sz w:val="22"/>
          <w:szCs w:val="22"/>
          <w:lang w:eastAsia="en-US"/>
        </w:rPr>
        <w:t>следования древесной растительности. Для измерения уровня шума использовался прибор ВШВ-003-М2, т.к. он применяется преимущ</w:t>
      </w:r>
      <w:r w:rsidRPr="00CD45A4">
        <w:rPr>
          <w:rFonts w:eastAsia="Calibri"/>
          <w:spacing w:val="-2"/>
          <w:sz w:val="22"/>
          <w:szCs w:val="22"/>
          <w:lang w:eastAsia="en-US"/>
        </w:rPr>
        <w:t>е</w:t>
      </w:r>
      <w:r w:rsidRPr="00CD45A4">
        <w:rPr>
          <w:rFonts w:eastAsia="Calibri"/>
          <w:spacing w:val="-2"/>
          <w:sz w:val="22"/>
          <w:szCs w:val="22"/>
          <w:lang w:eastAsia="en-US"/>
        </w:rPr>
        <w:t>ственно для измерения производственных шумов и относится к ш</w:t>
      </w:r>
      <w:r w:rsidRPr="00CD45A4">
        <w:rPr>
          <w:rFonts w:eastAsia="Calibri"/>
          <w:spacing w:val="-2"/>
          <w:sz w:val="22"/>
          <w:szCs w:val="22"/>
          <w:lang w:eastAsia="en-US"/>
        </w:rPr>
        <w:t>у</w:t>
      </w:r>
      <w:r w:rsidRPr="00CD45A4">
        <w:rPr>
          <w:rFonts w:eastAsia="Calibri"/>
          <w:spacing w:val="-2"/>
          <w:sz w:val="22"/>
          <w:szCs w:val="22"/>
          <w:lang w:eastAsia="en-US"/>
        </w:rPr>
        <w:t>момерам I класса точности и позволяющий измерять корректирова</w:t>
      </w:r>
      <w:r w:rsidRPr="00CD45A4">
        <w:rPr>
          <w:rFonts w:eastAsia="Calibri"/>
          <w:spacing w:val="-2"/>
          <w:sz w:val="22"/>
          <w:szCs w:val="22"/>
          <w:lang w:eastAsia="en-US"/>
        </w:rPr>
        <w:t>н</w:t>
      </w:r>
      <w:r w:rsidRPr="00CD45A4">
        <w:rPr>
          <w:rFonts w:eastAsia="Calibri"/>
          <w:spacing w:val="-2"/>
          <w:sz w:val="22"/>
          <w:szCs w:val="22"/>
          <w:lang w:eastAsia="en-US"/>
        </w:rPr>
        <w:t>ный уровень звука по шкалам</w:t>
      </w:r>
      <w:proofErr w:type="gramStart"/>
      <w:r w:rsidRPr="00CD45A4">
        <w:rPr>
          <w:rFonts w:eastAsia="Calibri"/>
          <w:spacing w:val="-2"/>
          <w:sz w:val="22"/>
          <w:szCs w:val="22"/>
          <w:lang w:eastAsia="en-US"/>
        </w:rPr>
        <w:t xml:space="preserve"> А</w:t>
      </w:r>
      <w:proofErr w:type="gramEnd"/>
      <w:r w:rsidRPr="00CD45A4">
        <w:rPr>
          <w:rFonts w:eastAsia="Calibri"/>
          <w:spacing w:val="-2"/>
          <w:sz w:val="22"/>
          <w:szCs w:val="22"/>
          <w:lang w:eastAsia="en-US"/>
        </w:rPr>
        <w:t xml:space="preserve">, В, С; </w:t>
      </w:r>
      <w:proofErr w:type="gramStart"/>
      <w:r w:rsidRPr="00CD45A4">
        <w:rPr>
          <w:rFonts w:eastAsia="Calibri"/>
          <w:spacing w:val="-2"/>
          <w:sz w:val="22"/>
          <w:szCs w:val="22"/>
          <w:lang w:eastAsia="en-US"/>
        </w:rPr>
        <w:t>уровень звукового давления в диапазоне частот от 20 Гц до 18 кГц и октавных полосах в диапазоне среднегеометрических частот от 16 до 8 кГц в свободном и диффу</w:t>
      </w:r>
      <w:r w:rsidRPr="00CD45A4">
        <w:rPr>
          <w:rFonts w:eastAsia="Calibri"/>
          <w:spacing w:val="-2"/>
          <w:sz w:val="22"/>
          <w:szCs w:val="22"/>
          <w:lang w:eastAsia="en-US"/>
        </w:rPr>
        <w:t>з</w:t>
      </w:r>
      <w:r w:rsidRPr="00CD45A4">
        <w:rPr>
          <w:rFonts w:eastAsia="Calibri"/>
          <w:spacing w:val="-2"/>
          <w:sz w:val="22"/>
          <w:szCs w:val="22"/>
          <w:lang w:eastAsia="en-US"/>
        </w:rPr>
        <w:t>ном звуковых полях.</w:t>
      </w:r>
      <w:proofErr w:type="gramEnd"/>
      <w:r w:rsidRPr="00CD45A4">
        <w:rPr>
          <w:rFonts w:eastAsia="Calibri"/>
          <w:spacing w:val="-2"/>
          <w:sz w:val="22"/>
          <w:szCs w:val="22"/>
          <w:lang w:eastAsia="en-US"/>
        </w:rPr>
        <w:t xml:space="preserve"> Прибор предназначен для измерения шума в производственных помещениях и жилых кварталах в целях охраны здоровья; при разработке и контроле качества изделий; при исслед</w:t>
      </w:r>
      <w:r w:rsidRPr="00CD45A4">
        <w:rPr>
          <w:rFonts w:eastAsia="Calibri"/>
          <w:spacing w:val="-2"/>
          <w:sz w:val="22"/>
          <w:szCs w:val="22"/>
          <w:lang w:eastAsia="en-US"/>
        </w:rPr>
        <w:t>о</w:t>
      </w:r>
      <w:r w:rsidRPr="00CD45A4">
        <w:rPr>
          <w:rFonts w:eastAsia="Calibri"/>
          <w:spacing w:val="-2"/>
          <w:sz w:val="22"/>
          <w:szCs w:val="22"/>
          <w:lang w:eastAsia="en-US"/>
        </w:rPr>
        <w:t>ваниях и испытаниях машин и механизмов.</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Замеры уровня шумового загрязнения проводились в трех рай</w:t>
      </w:r>
      <w:r w:rsidRPr="00CD45A4">
        <w:rPr>
          <w:rFonts w:eastAsia="Calibri"/>
          <w:spacing w:val="-2"/>
          <w:sz w:val="22"/>
          <w:szCs w:val="22"/>
          <w:lang w:eastAsia="en-US"/>
        </w:rPr>
        <w:t>о</w:t>
      </w:r>
      <w:r w:rsidRPr="00CD45A4">
        <w:rPr>
          <w:rFonts w:eastAsia="Calibri"/>
          <w:spacing w:val="-2"/>
          <w:sz w:val="22"/>
          <w:szCs w:val="22"/>
          <w:lang w:eastAsia="en-US"/>
        </w:rPr>
        <w:t>нах (в непосредственной близи от предприятия, в прилегающих ра</w:t>
      </w:r>
      <w:r w:rsidRPr="00CD45A4">
        <w:rPr>
          <w:rFonts w:eastAsia="Calibri"/>
          <w:spacing w:val="-2"/>
          <w:sz w:val="22"/>
          <w:szCs w:val="22"/>
          <w:lang w:eastAsia="en-US"/>
        </w:rPr>
        <w:t>й</w:t>
      </w:r>
      <w:r w:rsidRPr="00CD45A4">
        <w:rPr>
          <w:rFonts w:eastAsia="Calibri"/>
          <w:spacing w:val="-2"/>
          <w:sz w:val="22"/>
          <w:szCs w:val="22"/>
          <w:lang w:eastAsia="en-US"/>
        </w:rPr>
        <w:t>онах поселка и в районах, удаленных от завода на расстояние более 2 км). Для большей точности данного исследования шум замеры пр</w:t>
      </w:r>
      <w:r w:rsidRPr="00CD45A4">
        <w:rPr>
          <w:rFonts w:eastAsia="Calibri"/>
          <w:spacing w:val="-2"/>
          <w:sz w:val="22"/>
          <w:szCs w:val="22"/>
          <w:lang w:eastAsia="en-US"/>
        </w:rPr>
        <w:t>о</w:t>
      </w:r>
      <w:r w:rsidRPr="00CD45A4">
        <w:rPr>
          <w:rFonts w:eastAsia="Calibri"/>
          <w:spacing w:val="-2"/>
          <w:sz w:val="22"/>
          <w:szCs w:val="22"/>
          <w:lang w:eastAsia="en-US"/>
        </w:rPr>
        <w:t>водились в нескольких точках района, т.к. при большей выборке да</w:t>
      </w:r>
      <w:r w:rsidRPr="00CD45A4">
        <w:rPr>
          <w:rFonts w:eastAsia="Calibri"/>
          <w:spacing w:val="-2"/>
          <w:sz w:val="22"/>
          <w:szCs w:val="22"/>
          <w:lang w:eastAsia="en-US"/>
        </w:rPr>
        <w:t>н</w:t>
      </w:r>
      <w:r w:rsidRPr="00CD45A4">
        <w:rPr>
          <w:rFonts w:eastAsia="Calibri"/>
          <w:spacing w:val="-2"/>
          <w:sz w:val="22"/>
          <w:szCs w:val="22"/>
          <w:lang w:eastAsia="en-US"/>
        </w:rPr>
        <w:t>ных конечные показатели будут более точные. Основным загрязн</w:t>
      </w:r>
      <w:r w:rsidRPr="00CD45A4">
        <w:rPr>
          <w:rFonts w:eastAsia="Calibri"/>
          <w:spacing w:val="-2"/>
          <w:sz w:val="22"/>
          <w:szCs w:val="22"/>
          <w:lang w:eastAsia="en-US"/>
        </w:rPr>
        <w:t>и</w:t>
      </w:r>
      <w:r w:rsidRPr="00CD45A4">
        <w:rPr>
          <w:rFonts w:eastAsia="Calibri"/>
          <w:spacing w:val="-2"/>
          <w:sz w:val="22"/>
          <w:szCs w:val="22"/>
          <w:lang w:eastAsia="en-US"/>
        </w:rPr>
        <w:t xml:space="preserve">телем окружающей среды на предприятии является цементная пыль, </w:t>
      </w:r>
      <w:r w:rsidRPr="00CD45A4">
        <w:rPr>
          <w:rFonts w:eastAsia="Calibri"/>
          <w:spacing w:val="-2"/>
          <w:sz w:val="22"/>
          <w:szCs w:val="22"/>
          <w:lang w:eastAsia="en-US"/>
        </w:rPr>
        <w:lastRenderedPageBreak/>
        <w:t>которая распространяется по территории предприятия, а также за его пределами оседая на деревья, растительность и прочие поверхности. Также немаловажно учитывать шумовое загрязнение от предприятия. Шум создается в дробильных отделениях, в карьере при проведении взрывных работ, а также железнодорожными составами (к заводу подходит отдельная ж/д ветка для погрузки готовой продукции)</w:t>
      </w:r>
      <w:r w:rsidRPr="00CD45A4">
        <w:rPr>
          <w:color w:val="000000"/>
          <w:sz w:val="22"/>
          <w:szCs w:val="22"/>
        </w:rPr>
        <w:t xml:space="preserve"> [2]. </w:t>
      </w:r>
      <w:r w:rsidRPr="00CD45A4">
        <w:rPr>
          <w:rFonts w:eastAsia="Calibri"/>
          <w:spacing w:val="-2"/>
          <w:sz w:val="22"/>
          <w:szCs w:val="22"/>
          <w:lang w:eastAsia="en-US"/>
        </w:rPr>
        <w:t>После проведения исследования по измерению шумового загрязн</w:t>
      </w:r>
      <w:r w:rsidRPr="00CD45A4">
        <w:rPr>
          <w:rFonts w:eastAsia="Calibri"/>
          <w:spacing w:val="-2"/>
          <w:sz w:val="22"/>
          <w:szCs w:val="22"/>
          <w:lang w:eastAsia="en-US"/>
        </w:rPr>
        <w:t>е</w:t>
      </w:r>
      <w:r w:rsidRPr="00CD45A4">
        <w:rPr>
          <w:rFonts w:eastAsia="Calibri"/>
          <w:spacing w:val="-2"/>
          <w:sz w:val="22"/>
          <w:szCs w:val="22"/>
          <w:lang w:eastAsia="en-US"/>
        </w:rPr>
        <w:t>ния было выявлено что в районе исследований №1 (</w:t>
      </w:r>
      <w:proofErr w:type="gramStart"/>
      <w:r w:rsidRPr="00CD45A4">
        <w:rPr>
          <w:rFonts w:eastAsia="Calibri"/>
          <w:spacing w:val="-2"/>
          <w:sz w:val="22"/>
          <w:szCs w:val="22"/>
          <w:lang w:eastAsia="en-US"/>
        </w:rPr>
        <w:t>территория</w:t>
      </w:r>
      <w:proofErr w:type="gramEnd"/>
      <w:r w:rsidRPr="00CD45A4">
        <w:rPr>
          <w:rFonts w:eastAsia="Calibri"/>
          <w:spacing w:val="-2"/>
          <w:sz w:val="22"/>
          <w:szCs w:val="22"/>
          <w:lang w:eastAsia="en-US"/>
        </w:rPr>
        <w:t xml:space="preserve"> пр</w:t>
      </w:r>
      <w:r w:rsidRPr="00CD45A4">
        <w:rPr>
          <w:rFonts w:eastAsia="Calibri"/>
          <w:spacing w:val="-2"/>
          <w:sz w:val="22"/>
          <w:szCs w:val="22"/>
          <w:lang w:eastAsia="en-US"/>
        </w:rPr>
        <w:t>и</w:t>
      </w:r>
      <w:r w:rsidRPr="00CD45A4">
        <w:rPr>
          <w:rFonts w:eastAsia="Calibri"/>
          <w:spacing w:val="-2"/>
          <w:sz w:val="22"/>
          <w:szCs w:val="22"/>
          <w:lang w:eastAsia="en-US"/>
        </w:rPr>
        <w:t>мыкающая к предприятию, восточная часть п. Верхнебаканский) д</w:t>
      </w:r>
      <w:r w:rsidRPr="00CD45A4">
        <w:rPr>
          <w:rFonts w:eastAsia="Calibri"/>
          <w:spacing w:val="-2"/>
          <w:sz w:val="22"/>
          <w:szCs w:val="22"/>
          <w:lang w:eastAsia="en-US"/>
        </w:rPr>
        <w:t>о</w:t>
      </w:r>
      <w:r w:rsidRPr="00CD45A4">
        <w:rPr>
          <w:rFonts w:eastAsia="Calibri"/>
          <w:spacing w:val="-2"/>
          <w:sz w:val="22"/>
          <w:szCs w:val="22"/>
          <w:lang w:eastAsia="en-US"/>
        </w:rPr>
        <w:t>пустимый рубеж шума значительно превышен (составил в среднем 65,8 дБА), т. к. он расположен рядом с производственными цехами и карьером по добыче мергеля, где проводятся взрывные работы и р</w:t>
      </w:r>
      <w:r w:rsidRPr="00CD45A4">
        <w:rPr>
          <w:rFonts w:eastAsia="Calibri"/>
          <w:spacing w:val="-2"/>
          <w:sz w:val="22"/>
          <w:szCs w:val="22"/>
          <w:lang w:eastAsia="en-US"/>
        </w:rPr>
        <w:t>а</w:t>
      </w:r>
      <w:r w:rsidRPr="00CD45A4">
        <w:rPr>
          <w:rFonts w:eastAsia="Calibri"/>
          <w:spacing w:val="-2"/>
          <w:sz w:val="22"/>
          <w:szCs w:val="22"/>
          <w:lang w:eastAsia="en-US"/>
        </w:rPr>
        <w:t>ботает техника. В районе №2 (центральная часть п. Верхнебака</w:t>
      </w:r>
      <w:r w:rsidRPr="00CD45A4">
        <w:rPr>
          <w:rFonts w:eastAsia="Calibri"/>
          <w:spacing w:val="-2"/>
          <w:sz w:val="22"/>
          <w:szCs w:val="22"/>
          <w:lang w:eastAsia="en-US"/>
        </w:rPr>
        <w:t>н</w:t>
      </w:r>
      <w:r w:rsidRPr="00CD45A4">
        <w:rPr>
          <w:rFonts w:eastAsia="Calibri"/>
          <w:spacing w:val="-2"/>
          <w:sz w:val="22"/>
          <w:szCs w:val="22"/>
          <w:lang w:eastAsia="en-US"/>
        </w:rPr>
        <w:t>ский) этот рубеж достаточно высок из-за близости ж/д путей, автод</w:t>
      </w:r>
      <w:r w:rsidRPr="00CD45A4">
        <w:rPr>
          <w:rFonts w:eastAsia="Calibri"/>
          <w:spacing w:val="-2"/>
          <w:sz w:val="22"/>
          <w:szCs w:val="22"/>
          <w:lang w:eastAsia="en-US"/>
        </w:rPr>
        <w:t>о</w:t>
      </w:r>
      <w:r w:rsidRPr="00CD45A4">
        <w:rPr>
          <w:rFonts w:eastAsia="Calibri"/>
          <w:spacing w:val="-2"/>
          <w:sz w:val="22"/>
          <w:szCs w:val="22"/>
          <w:lang w:eastAsia="en-US"/>
        </w:rPr>
        <w:t>рог и недостаточной удаленности от предприятия, но не превышен (составил в среднем44,7 дБА). Самый низкий уровень шумового з</w:t>
      </w:r>
      <w:r w:rsidRPr="00CD45A4">
        <w:rPr>
          <w:rFonts w:eastAsia="Calibri"/>
          <w:spacing w:val="-2"/>
          <w:sz w:val="22"/>
          <w:szCs w:val="22"/>
          <w:lang w:eastAsia="en-US"/>
        </w:rPr>
        <w:t>а</w:t>
      </w:r>
      <w:r w:rsidRPr="00CD45A4">
        <w:rPr>
          <w:rFonts w:eastAsia="Calibri"/>
          <w:spacing w:val="-2"/>
          <w:sz w:val="22"/>
          <w:szCs w:val="22"/>
          <w:lang w:eastAsia="en-US"/>
        </w:rPr>
        <w:t>грязнения зафиксирован в районе №3 (западная часть п. Верхенб</w:t>
      </w:r>
      <w:r w:rsidRPr="00CD45A4">
        <w:rPr>
          <w:rFonts w:eastAsia="Calibri"/>
          <w:spacing w:val="-2"/>
          <w:sz w:val="22"/>
          <w:szCs w:val="22"/>
          <w:lang w:eastAsia="en-US"/>
        </w:rPr>
        <w:t>а</w:t>
      </w:r>
      <w:r w:rsidRPr="00CD45A4">
        <w:rPr>
          <w:rFonts w:eastAsia="Calibri"/>
          <w:spacing w:val="-2"/>
          <w:sz w:val="22"/>
          <w:szCs w:val="22"/>
          <w:lang w:eastAsia="en-US"/>
        </w:rPr>
        <w:t>канский), который расположен на достаточном удалении от всех и</w:t>
      </w:r>
      <w:r w:rsidRPr="00CD45A4">
        <w:rPr>
          <w:rFonts w:eastAsia="Calibri"/>
          <w:spacing w:val="-2"/>
          <w:sz w:val="22"/>
          <w:szCs w:val="22"/>
          <w:lang w:eastAsia="en-US"/>
        </w:rPr>
        <w:t>с</w:t>
      </w:r>
      <w:r w:rsidRPr="00CD45A4">
        <w:rPr>
          <w:rFonts w:eastAsia="Calibri"/>
          <w:spacing w:val="-2"/>
          <w:sz w:val="22"/>
          <w:szCs w:val="22"/>
          <w:lang w:eastAsia="en-US"/>
        </w:rPr>
        <w:t>точников шума, средний показатель шума составил 28,7 дБА.</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На пробных площадках, удаленных от предприятия на 100 м, з</w:t>
      </w:r>
      <w:r w:rsidRPr="00CD45A4">
        <w:rPr>
          <w:rFonts w:eastAsia="Calibri"/>
          <w:spacing w:val="-2"/>
          <w:sz w:val="22"/>
          <w:szCs w:val="22"/>
          <w:lang w:eastAsia="en-US"/>
        </w:rPr>
        <w:t>а</w:t>
      </w:r>
      <w:r w:rsidRPr="00CD45A4">
        <w:rPr>
          <w:rFonts w:eastAsia="Calibri"/>
          <w:spacing w:val="-2"/>
          <w:sz w:val="22"/>
          <w:szCs w:val="22"/>
          <w:lang w:eastAsia="en-US"/>
        </w:rPr>
        <w:t>пыленность воздуха была гораздо ниже, чем на площадках, распол</w:t>
      </w:r>
      <w:r w:rsidRPr="00CD45A4">
        <w:rPr>
          <w:rFonts w:eastAsia="Calibri"/>
          <w:spacing w:val="-2"/>
          <w:sz w:val="22"/>
          <w:szCs w:val="22"/>
          <w:lang w:eastAsia="en-US"/>
        </w:rPr>
        <w:t>о</w:t>
      </w:r>
      <w:r w:rsidRPr="00CD45A4">
        <w:rPr>
          <w:rFonts w:eastAsia="Calibri"/>
          <w:spacing w:val="-2"/>
          <w:sz w:val="22"/>
          <w:szCs w:val="22"/>
          <w:lang w:eastAsia="en-US"/>
        </w:rPr>
        <w:t xml:space="preserve">женных в непосредственной близости от завода, и с удалением от него значения стремятся </w:t>
      </w:r>
      <w:proofErr w:type="gramStart"/>
      <w:r w:rsidRPr="00CD45A4">
        <w:rPr>
          <w:rFonts w:eastAsia="Calibri"/>
          <w:spacing w:val="-2"/>
          <w:sz w:val="22"/>
          <w:szCs w:val="22"/>
          <w:lang w:eastAsia="en-US"/>
        </w:rPr>
        <w:t>к</w:t>
      </w:r>
      <w:proofErr w:type="gramEnd"/>
      <w:r w:rsidRPr="00CD45A4">
        <w:rPr>
          <w:rFonts w:eastAsia="Calibri"/>
          <w:spacing w:val="-2"/>
          <w:sz w:val="22"/>
          <w:szCs w:val="22"/>
          <w:lang w:eastAsia="en-US"/>
        </w:rPr>
        <w:t xml:space="preserve"> фоновым. Это связано с тем, что в неп</w:t>
      </w:r>
      <w:r w:rsidRPr="00CD45A4">
        <w:rPr>
          <w:rFonts w:eastAsia="Calibri"/>
          <w:spacing w:val="-2"/>
          <w:sz w:val="22"/>
          <w:szCs w:val="22"/>
          <w:lang w:eastAsia="en-US"/>
        </w:rPr>
        <w:t>о</w:t>
      </w:r>
      <w:r w:rsidRPr="00CD45A4">
        <w:rPr>
          <w:rFonts w:eastAsia="Calibri"/>
          <w:spacing w:val="-2"/>
          <w:sz w:val="22"/>
          <w:szCs w:val="22"/>
          <w:lang w:eastAsia="en-US"/>
        </w:rPr>
        <w:t>средственной близости от предприятия цементная пыль распростр</w:t>
      </w:r>
      <w:r w:rsidRPr="00CD45A4">
        <w:rPr>
          <w:rFonts w:eastAsia="Calibri"/>
          <w:spacing w:val="-2"/>
          <w:sz w:val="22"/>
          <w:szCs w:val="22"/>
          <w:lang w:eastAsia="en-US"/>
        </w:rPr>
        <w:t>а</w:t>
      </w:r>
      <w:r w:rsidRPr="00CD45A4">
        <w:rPr>
          <w:rFonts w:eastAsia="Calibri"/>
          <w:spacing w:val="-2"/>
          <w:sz w:val="22"/>
          <w:szCs w:val="22"/>
          <w:lang w:eastAsia="en-US"/>
        </w:rPr>
        <w:t>няется и оседает на листьях деревьев, но с учетом рельефа местности, далеко распространиться не может.</w:t>
      </w:r>
    </w:p>
    <w:p w:rsidR="00CD45A4" w:rsidRPr="00CD45A4" w:rsidRDefault="00CD45A4" w:rsidP="00BF679C">
      <w:pPr>
        <w:widowControl w:val="0"/>
        <w:ind w:firstLine="426"/>
        <w:jc w:val="both"/>
        <w:rPr>
          <w:rFonts w:eastAsia="Calibri"/>
          <w:spacing w:val="-2"/>
          <w:sz w:val="22"/>
          <w:szCs w:val="22"/>
          <w:lang w:eastAsia="en-US"/>
        </w:rPr>
      </w:pPr>
      <w:r w:rsidRPr="00CD45A4">
        <w:rPr>
          <w:rFonts w:eastAsia="Calibri"/>
          <w:spacing w:val="-2"/>
          <w:sz w:val="22"/>
          <w:szCs w:val="22"/>
          <w:lang w:eastAsia="en-US"/>
        </w:rPr>
        <w:t>В ходе проведенных исследований было установлено, что з</w:t>
      </w:r>
      <w:r w:rsidRPr="00CD45A4">
        <w:rPr>
          <w:rFonts w:eastAsia="Calibri"/>
          <w:spacing w:val="-2"/>
          <w:sz w:val="22"/>
          <w:szCs w:val="22"/>
          <w:lang w:eastAsia="en-US"/>
        </w:rPr>
        <w:t>а</w:t>
      </w:r>
      <w:r w:rsidRPr="00CD45A4">
        <w:rPr>
          <w:rFonts w:eastAsia="Calibri"/>
          <w:spacing w:val="-2"/>
          <w:sz w:val="22"/>
          <w:szCs w:val="22"/>
          <w:lang w:eastAsia="en-US"/>
        </w:rPr>
        <w:t>грязненность атмосферного воздуха снижается, в зависимости от удаленности от предприятия. Данные выводы, полученные на прим</w:t>
      </w:r>
      <w:r w:rsidRPr="00CD45A4">
        <w:rPr>
          <w:rFonts w:eastAsia="Calibri"/>
          <w:spacing w:val="-2"/>
          <w:sz w:val="22"/>
          <w:szCs w:val="22"/>
          <w:lang w:eastAsia="en-US"/>
        </w:rPr>
        <w:t>е</w:t>
      </w:r>
      <w:r w:rsidRPr="00CD45A4">
        <w:rPr>
          <w:rFonts w:eastAsia="Calibri"/>
          <w:spacing w:val="-2"/>
          <w:sz w:val="22"/>
          <w:szCs w:val="22"/>
          <w:lang w:eastAsia="en-US"/>
        </w:rPr>
        <w:t>ре ОАО «Верхнебаканский цементный завод» позволяют судить о степени негативного воздействия других аналогичных предприятий на окружающую среду. Это говорит о том, что при проектировке и строительстве объектов данного типа необходимо строго соблюдать санитарно-защитную зону и учитывать особенности рельефа, а также климатические особенности местности</w:t>
      </w:r>
      <w:r w:rsidRPr="00CD45A4">
        <w:rPr>
          <w:color w:val="000000"/>
          <w:sz w:val="22"/>
          <w:szCs w:val="22"/>
        </w:rPr>
        <w:t>.</w:t>
      </w:r>
    </w:p>
    <w:p w:rsidR="00CD45A4" w:rsidRPr="00CD45A4" w:rsidRDefault="00CD45A4" w:rsidP="00BF679C">
      <w:pPr>
        <w:widowControl w:val="0"/>
        <w:ind w:firstLine="426"/>
        <w:jc w:val="both"/>
        <w:rPr>
          <w:rFonts w:eastAsia="Calibri"/>
          <w:spacing w:val="-2"/>
          <w:sz w:val="22"/>
          <w:szCs w:val="22"/>
          <w:highlight w:val="yellow"/>
          <w:lang w:eastAsia="en-US"/>
        </w:rPr>
      </w:pPr>
    </w:p>
    <w:p w:rsidR="00CD45A4" w:rsidRPr="00CD45A4" w:rsidRDefault="00CD45A4" w:rsidP="00BF679C">
      <w:pPr>
        <w:widowControl w:val="0"/>
        <w:ind w:firstLine="426"/>
        <w:jc w:val="center"/>
        <w:rPr>
          <w:rFonts w:eastAsia="Calibri"/>
          <w:spacing w:val="-2"/>
          <w:sz w:val="22"/>
          <w:szCs w:val="22"/>
          <w:lang w:eastAsia="en-US"/>
        </w:rPr>
      </w:pPr>
      <w:r w:rsidRPr="00CD45A4">
        <w:rPr>
          <w:rFonts w:eastAsia="Calibri"/>
          <w:spacing w:val="-2"/>
          <w:sz w:val="22"/>
          <w:szCs w:val="22"/>
          <w:lang w:eastAsia="en-US"/>
        </w:rPr>
        <w:t>Список литературы</w:t>
      </w:r>
    </w:p>
    <w:p w:rsidR="00CD45A4" w:rsidRPr="00CD45A4" w:rsidRDefault="00CD45A4" w:rsidP="00BF679C">
      <w:pPr>
        <w:widowControl w:val="0"/>
        <w:suppressAutoHyphens/>
        <w:ind w:firstLine="426"/>
        <w:contextualSpacing/>
        <w:jc w:val="both"/>
        <w:rPr>
          <w:rFonts w:eastAsia="Calibri"/>
          <w:spacing w:val="-2"/>
          <w:sz w:val="22"/>
          <w:szCs w:val="22"/>
          <w:lang w:eastAsia="en-US"/>
        </w:rPr>
      </w:pPr>
      <w:r w:rsidRPr="00CD45A4">
        <w:rPr>
          <w:rFonts w:eastAsia="Calibri"/>
          <w:spacing w:val="-2"/>
          <w:sz w:val="22"/>
          <w:szCs w:val="22"/>
          <w:lang w:eastAsia="en-US"/>
        </w:rPr>
        <w:t xml:space="preserve">1. Коробова, О. С. Инвентаризация выбросов парниковых газов </w:t>
      </w:r>
      <w:r w:rsidRPr="00CD45A4">
        <w:rPr>
          <w:rFonts w:eastAsia="Calibri"/>
          <w:spacing w:val="-2"/>
          <w:sz w:val="22"/>
          <w:szCs w:val="22"/>
          <w:lang w:eastAsia="en-US"/>
        </w:rPr>
        <w:lastRenderedPageBreak/>
        <w:t>при производстве цемента / О.С. Коробова, Т.В. Михина // Горный информ</w:t>
      </w:r>
      <w:proofErr w:type="gramStart"/>
      <w:r w:rsidRPr="00CD45A4">
        <w:rPr>
          <w:rFonts w:eastAsia="Calibri"/>
          <w:spacing w:val="-2"/>
          <w:sz w:val="22"/>
          <w:szCs w:val="22"/>
          <w:lang w:eastAsia="en-US"/>
        </w:rPr>
        <w:t>.-</w:t>
      </w:r>
      <w:proofErr w:type="gramEnd"/>
      <w:r w:rsidRPr="00CD45A4">
        <w:rPr>
          <w:rFonts w:eastAsia="Calibri"/>
          <w:spacing w:val="-2"/>
          <w:sz w:val="22"/>
          <w:szCs w:val="22"/>
          <w:lang w:eastAsia="en-US"/>
        </w:rPr>
        <w:t xml:space="preserve">аналитич. бюллетень. ОВ3. Экология и экономика природопользования. – 2008. – С. 253-265. </w:t>
      </w:r>
    </w:p>
    <w:p w:rsidR="00CD45A4" w:rsidRPr="00CD45A4" w:rsidRDefault="00CD45A4" w:rsidP="00BF679C">
      <w:pPr>
        <w:widowControl w:val="0"/>
        <w:suppressAutoHyphens/>
        <w:ind w:firstLine="426"/>
        <w:contextualSpacing/>
        <w:jc w:val="both"/>
        <w:rPr>
          <w:rFonts w:eastAsia="Calibri"/>
          <w:spacing w:val="-2"/>
          <w:sz w:val="22"/>
          <w:szCs w:val="22"/>
          <w:lang w:eastAsia="en-US"/>
        </w:rPr>
      </w:pPr>
      <w:r w:rsidRPr="00CD45A4">
        <w:rPr>
          <w:rFonts w:eastAsia="Calibri"/>
          <w:spacing w:val="-2"/>
          <w:sz w:val="22"/>
          <w:szCs w:val="22"/>
          <w:lang w:eastAsia="en-US"/>
        </w:rPr>
        <w:t>2. Лашина, В. В. Загрязнение атмосферы при производстве цемента и опыт по снижению выбросов углекислого газа на предприятиях цементной промышленности Германии и России / В.В. Лашина, А.И. Петрова, И.В. Петров // Науч. вестник МГГУ. – 2011. – 12. – С. 26-33.</w:t>
      </w:r>
    </w:p>
    <w:p w:rsidR="00CD45A4" w:rsidRDefault="00CD45A4" w:rsidP="00BF679C">
      <w:pPr>
        <w:ind w:firstLine="426"/>
        <w:rPr>
          <w:rFonts w:eastAsia="Calibri"/>
          <w:sz w:val="22"/>
          <w:szCs w:val="22"/>
          <w:lang w:eastAsia="en-US"/>
        </w:rPr>
      </w:pPr>
    </w:p>
    <w:p w:rsidR="0066471E" w:rsidRDefault="0066471E" w:rsidP="00451253">
      <w:pPr>
        <w:jc w:val="center"/>
        <w:rPr>
          <w:b/>
          <w:color w:val="FF0000"/>
          <w:szCs w:val="22"/>
        </w:rPr>
      </w:pPr>
    </w:p>
    <w:p w:rsidR="00CD45A4" w:rsidRPr="00CD45A4" w:rsidRDefault="00CD45A4" w:rsidP="00CD45A4">
      <w:pPr>
        <w:contextualSpacing/>
        <w:rPr>
          <w:rFonts w:eastAsia="Calibri"/>
          <w:sz w:val="22"/>
          <w:szCs w:val="22"/>
          <w:lang w:eastAsia="en-US"/>
        </w:rPr>
      </w:pPr>
      <w:r w:rsidRPr="00CD45A4">
        <w:rPr>
          <w:rFonts w:eastAsia="Calibri"/>
          <w:sz w:val="22"/>
          <w:szCs w:val="22"/>
          <w:lang w:eastAsia="en-US"/>
        </w:rPr>
        <w:t>УДК 633.13:631.95</w:t>
      </w:r>
    </w:p>
    <w:p w:rsidR="00CD45A4" w:rsidRPr="00CD45A4" w:rsidRDefault="00CD45A4" w:rsidP="00CD45A4">
      <w:pPr>
        <w:contextualSpacing/>
        <w:rPr>
          <w:rFonts w:eastAsia="Calibri"/>
          <w:sz w:val="24"/>
          <w:szCs w:val="22"/>
          <w:lang w:eastAsia="en-US"/>
        </w:rPr>
      </w:pPr>
    </w:p>
    <w:p w:rsidR="00CD45A4" w:rsidRPr="00CD45A4" w:rsidRDefault="00CD45A4" w:rsidP="00CD45A4">
      <w:pPr>
        <w:contextualSpacing/>
        <w:jc w:val="center"/>
        <w:rPr>
          <w:rFonts w:eastAsia="Calibri"/>
          <w:b/>
          <w:sz w:val="24"/>
          <w:szCs w:val="22"/>
          <w:lang w:eastAsia="en-US"/>
        </w:rPr>
      </w:pPr>
      <w:r w:rsidRPr="00CD45A4">
        <w:rPr>
          <w:rFonts w:eastAsia="Calibri"/>
          <w:b/>
          <w:sz w:val="24"/>
          <w:szCs w:val="22"/>
          <w:lang w:eastAsia="en-US"/>
        </w:rPr>
        <w:t>Овес посевной и его значение для сельского хозяйства</w:t>
      </w:r>
    </w:p>
    <w:p w:rsidR="00CD45A4" w:rsidRPr="00A8504F" w:rsidRDefault="00CD45A4" w:rsidP="001C6F5C">
      <w:pPr>
        <w:contextualSpacing/>
        <w:jc w:val="center"/>
        <w:rPr>
          <w:rFonts w:eastAsia="Calibri"/>
          <w:b/>
          <w:sz w:val="24"/>
          <w:szCs w:val="22"/>
          <w:lang w:val="en-US" w:eastAsia="en-US"/>
        </w:rPr>
      </w:pPr>
      <w:r w:rsidRPr="00CD45A4">
        <w:rPr>
          <w:rFonts w:eastAsia="Calibri"/>
          <w:b/>
          <w:sz w:val="24"/>
          <w:szCs w:val="22"/>
          <w:lang w:val="en-US" w:eastAsia="en-US"/>
        </w:rPr>
        <w:t>Oats sown and its importance for agriculture</w:t>
      </w:r>
    </w:p>
    <w:p w:rsidR="000749B1" w:rsidRPr="00A8504F" w:rsidRDefault="000749B1" w:rsidP="001C6F5C">
      <w:pPr>
        <w:contextualSpacing/>
        <w:jc w:val="center"/>
        <w:rPr>
          <w:rFonts w:eastAsia="Calibri"/>
          <w:b/>
          <w:sz w:val="24"/>
          <w:szCs w:val="22"/>
          <w:lang w:val="en-US" w:eastAsia="en-US"/>
        </w:rPr>
      </w:pP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Евсин М. 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 xml:space="preserve">магистрант 2-го курса </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Белюченко И. С.,</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профессор кафедры общей биологии и экологии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Суркова Е. В.,</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alibri"/>
          <w:sz w:val="22"/>
          <w:szCs w:val="22"/>
          <w:lang w:eastAsia="en-US"/>
        </w:rPr>
        <w:t>доцент кафедры прикладной экологии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 xml:space="preserve">Кубанский государственный аграрный </w:t>
      </w:r>
    </w:p>
    <w:p w:rsidR="00CD45A4" w:rsidRPr="00CD45A4" w:rsidRDefault="00CD45A4" w:rsidP="00CD45A4">
      <w:pPr>
        <w:widowControl w:val="0"/>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BF679C">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widowControl w:val="0"/>
        <w:contextualSpacing/>
        <w:jc w:val="both"/>
        <w:rPr>
          <w:rFonts w:eastAsia="Courier New"/>
          <w:color w:val="000000"/>
          <w:sz w:val="22"/>
          <w:szCs w:val="22"/>
          <w:lang w:eastAsia="en-US"/>
        </w:rPr>
      </w:pPr>
    </w:p>
    <w:p w:rsidR="00CD45A4" w:rsidRPr="00CD45A4" w:rsidRDefault="00CD45A4" w:rsidP="00BF679C">
      <w:pPr>
        <w:widowControl w:val="0"/>
        <w:suppressAutoHyphens/>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АННОТАЦИЯ: В статье рассматривается овес посевной, как агрокультура. Выявлено его значение для сельского хозяйства страны. Изучены его основные полезные свойства.</w:t>
      </w:r>
    </w:p>
    <w:p w:rsidR="00CD45A4" w:rsidRPr="00CD45A4" w:rsidRDefault="00CD45A4" w:rsidP="00BF679C">
      <w:pPr>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 xml:space="preserve">ABSTRACT: The article considers oats sowing, as an agricultural crop. Its importance for the country's agriculture has been revealed. </w:t>
      </w:r>
      <w:proofErr w:type="gramStart"/>
      <w:r w:rsidRPr="00CD45A4">
        <w:rPr>
          <w:rFonts w:eastAsia="Courier New"/>
          <w:color w:val="000000"/>
          <w:sz w:val="22"/>
          <w:szCs w:val="22"/>
          <w:lang w:val="en-US" w:eastAsia="en-US"/>
        </w:rPr>
        <w:t>Its main useful properties.</w:t>
      </w:r>
      <w:proofErr w:type="gramEnd"/>
    </w:p>
    <w:p w:rsidR="00CD45A4" w:rsidRPr="00CD45A4" w:rsidRDefault="00CD45A4" w:rsidP="00BF679C">
      <w:pPr>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КЛЮЧЕВЫЕ СЛОВА: овес, агрокультура, сельское хозяйство, посев, культивирование.</w:t>
      </w:r>
    </w:p>
    <w:p w:rsidR="00CD45A4" w:rsidRPr="00CD45A4" w:rsidRDefault="00CD45A4" w:rsidP="00BF679C">
      <w:pPr>
        <w:widowControl w:val="0"/>
        <w:suppressAutoHyphens/>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KEY WORDS: oats, agricultural crops, agriculture, sowing, cultivation.</w:t>
      </w:r>
    </w:p>
    <w:p w:rsidR="00CD45A4" w:rsidRPr="00CD45A4" w:rsidRDefault="00CD45A4" w:rsidP="00BF679C">
      <w:pPr>
        <w:ind w:firstLine="426"/>
        <w:contextualSpacing/>
        <w:jc w:val="both"/>
        <w:rPr>
          <w:rFonts w:eastAsia="Courier New"/>
          <w:color w:val="000000"/>
          <w:sz w:val="22"/>
          <w:szCs w:val="22"/>
          <w:lang w:val="en-US" w:eastAsia="en-US"/>
        </w:rPr>
      </w:pPr>
    </w:p>
    <w:p w:rsidR="00CD45A4" w:rsidRPr="00CD45A4" w:rsidRDefault="00CD45A4" w:rsidP="00BF679C">
      <w:pPr>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lastRenderedPageBreak/>
        <w:t>Овес – ценная агрокультура, которая используется как челов</w:t>
      </w:r>
      <w:r w:rsidRPr="00CD45A4">
        <w:rPr>
          <w:rFonts w:eastAsia="Courier New"/>
          <w:color w:val="000000"/>
          <w:sz w:val="22"/>
          <w:szCs w:val="22"/>
          <w:lang w:eastAsia="en-US"/>
        </w:rPr>
        <w:t>е</w:t>
      </w:r>
      <w:r w:rsidRPr="00CD45A4">
        <w:rPr>
          <w:rFonts w:eastAsia="Courier New"/>
          <w:color w:val="000000"/>
          <w:sz w:val="22"/>
          <w:szCs w:val="22"/>
          <w:lang w:eastAsia="en-US"/>
        </w:rPr>
        <w:t>ком в пищу, так и в животноводстве, и растениеводстве. Зерно овса используют при производстве различных групп продуктов, потре</w:t>
      </w:r>
      <w:r w:rsidRPr="00CD45A4">
        <w:rPr>
          <w:rFonts w:eastAsia="Courier New"/>
          <w:color w:val="000000"/>
          <w:sz w:val="22"/>
          <w:szCs w:val="22"/>
          <w:lang w:eastAsia="en-US"/>
        </w:rPr>
        <w:t>б</w:t>
      </w:r>
      <w:r w:rsidRPr="00CD45A4">
        <w:rPr>
          <w:rFonts w:eastAsia="Courier New"/>
          <w:color w:val="000000"/>
          <w:sz w:val="22"/>
          <w:szCs w:val="22"/>
          <w:lang w:eastAsia="en-US"/>
        </w:rPr>
        <w:t>ляемые в пищу человеком (сюда относятся крупы, геркулес, толо</w:t>
      </w:r>
      <w:r w:rsidRPr="00CD45A4">
        <w:rPr>
          <w:rFonts w:eastAsia="Courier New"/>
          <w:color w:val="000000"/>
          <w:sz w:val="22"/>
          <w:szCs w:val="22"/>
          <w:lang w:eastAsia="en-US"/>
        </w:rPr>
        <w:t>к</w:t>
      </w:r>
      <w:r w:rsidRPr="00CD45A4">
        <w:rPr>
          <w:rFonts w:eastAsia="Courier New"/>
          <w:color w:val="000000"/>
          <w:sz w:val="22"/>
          <w:szCs w:val="22"/>
          <w:lang w:eastAsia="en-US"/>
        </w:rPr>
        <w:t>но, галеты). Белок крупы из овса отличается от остальных пов</w:t>
      </w:r>
      <w:r w:rsidRPr="00CD45A4">
        <w:rPr>
          <w:rFonts w:eastAsia="Courier New"/>
          <w:color w:val="000000"/>
          <w:sz w:val="22"/>
          <w:szCs w:val="22"/>
          <w:lang w:eastAsia="en-US"/>
        </w:rPr>
        <w:t>ы</w:t>
      </w:r>
      <w:r w:rsidRPr="00CD45A4">
        <w:rPr>
          <w:rFonts w:eastAsia="Courier New"/>
          <w:color w:val="000000"/>
          <w:sz w:val="22"/>
          <w:szCs w:val="22"/>
          <w:lang w:eastAsia="en-US"/>
        </w:rPr>
        <w:t>шенным содержанием незаменимых для человека аминокислот. Зерно овса богато витаминами, соединениями микро- и макроэл</w:t>
      </w:r>
      <w:r w:rsidRPr="00CD45A4">
        <w:rPr>
          <w:rFonts w:eastAsia="Courier New"/>
          <w:color w:val="000000"/>
          <w:sz w:val="22"/>
          <w:szCs w:val="22"/>
          <w:lang w:eastAsia="en-US"/>
        </w:rPr>
        <w:t>е</w:t>
      </w:r>
      <w:r w:rsidRPr="00CD45A4">
        <w:rPr>
          <w:rFonts w:eastAsia="Courier New"/>
          <w:color w:val="000000"/>
          <w:sz w:val="22"/>
          <w:szCs w:val="22"/>
          <w:lang w:eastAsia="en-US"/>
        </w:rPr>
        <w:t>ментов[4].</w:t>
      </w:r>
    </w:p>
    <w:p w:rsidR="00CD45A4" w:rsidRPr="00CD45A4" w:rsidRDefault="00CD45A4" w:rsidP="00BF679C">
      <w:pPr>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Зерно овса – незаменимый элемент в кормовой базе для лош</w:t>
      </w:r>
      <w:r w:rsidRPr="00CD45A4">
        <w:rPr>
          <w:rFonts w:eastAsia="Courier New"/>
          <w:color w:val="000000"/>
          <w:sz w:val="22"/>
          <w:szCs w:val="22"/>
          <w:lang w:eastAsia="en-US"/>
        </w:rPr>
        <w:t>а</w:t>
      </w:r>
      <w:r w:rsidRPr="00CD45A4">
        <w:rPr>
          <w:rFonts w:eastAsia="Courier New"/>
          <w:color w:val="000000"/>
          <w:sz w:val="22"/>
          <w:szCs w:val="22"/>
          <w:lang w:eastAsia="en-US"/>
        </w:rPr>
        <w:t>дей и молодняка и других видов животных, используемых в хозя</w:t>
      </w:r>
      <w:r w:rsidRPr="00CD45A4">
        <w:rPr>
          <w:rFonts w:eastAsia="Courier New"/>
          <w:color w:val="000000"/>
          <w:sz w:val="22"/>
          <w:szCs w:val="22"/>
          <w:lang w:eastAsia="en-US"/>
        </w:rPr>
        <w:t>й</w:t>
      </w:r>
      <w:r w:rsidRPr="00CD45A4">
        <w:rPr>
          <w:rFonts w:eastAsia="Courier New"/>
          <w:color w:val="000000"/>
          <w:sz w:val="22"/>
          <w:szCs w:val="22"/>
          <w:lang w:eastAsia="en-US"/>
        </w:rPr>
        <w:t>стве. В смеси с другими культурами, овес используется на сено, з</w:t>
      </w:r>
      <w:r w:rsidRPr="00CD45A4">
        <w:rPr>
          <w:rFonts w:eastAsia="Courier New"/>
          <w:color w:val="000000"/>
          <w:sz w:val="22"/>
          <w:szCs w:val="22"/>
          <w:lang w:eastAsia="en-US"/>
        </w:rPr>
        <w:t>е</w:t>
      </w:r>
      <w:r w:rsidRPr="00CD45A4">
        <w:rPr>
          <w:rFonts w:eastAsia="Courier New"/>
          <w:color w:val="000000"/>
          <w:sz w:val="22"/>
          <w:szCs w:val="22"/>
          <w:lang w:eastAsia="en-US"/>
        </w:rPr>
        <w:t>леный корм и силос. Он также используется для приготовления а</w:t>
      </w:r>
      <w:r w:rsidRPr="00CD45A4">
        <w:rPr>
          <w:rFonts w:eastAsia="Courier New"/>
          <w:color w:val="000000"/>
          <w:sz w:val="22"/>
          <w:szCs w:val="22"/>
          <w:lang w:eastAsia="en-US"/>
        </w:rPr>
        <w:t>л</w:t>
      </w:r>
      <w:r w:rsidRPr="00CD45A4">
        <w:rPr>
          <w:rFonts w:eastAsia="Courier New"/>
          <w:color w:val="000000"/>
          <w:sz w:val="22"/>
          <w:szCs w:val="22"/>
          <w:lang w:eastAsia="en-US"/>
        </w:rPr>
        <w:t>коголя [3].</w:t>
      </w:r>
    </w:p>
    <w:p w:rsidR="00CD45A4" w:rsidRPr="00CD45A4" w:rsidRDefault="00CD45A4" w:rsidP="00BF679C">
      <w:pPr>
        <w:widowControl w:val="0"/>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 xml:space="preserve">Родиной происхождения овса является Монголия и северо-восточные провинции Китая. Использование его началось позднее, чем других зерновых культур – примерно во </w:t>
      </w:r>
      <w:r w:rsidRPr="00CD45A4">
        <w:rPr>
          <w:rFonts w:eastAsia="Courier New"/>
          <w:color w:val="000000"/>
          <w:sz w:val="22"/>
          <w:szCs w:val="22"/>
          <w:lang w:val="en-US" w:eastAsia="en-US"/>
        </w:rPr>
        <w:t>II</w:t>
      </w:r>
      <w:r w:rsidRPr="00CD45A4">
        <w:rPr>
          <w:rFonts w:eastAsia="Courier New"/>
          <w:color w:val="000000"/>
          <w:sz w:val="22"/>
          <w:szCs w:val="22"/>
          <w:lang w:eastAsia="en-US"/>
        </w:rPr>
        <w:t xml:space="preserve"> тысячелетии до н. э. На Руси овес был превалирующей из всех возделываемых культур. Блюда, приготовленные из овса, были повсеместной пищей для населения Руси. Из овса варили кисель (из упоминаний в древн</w:t>
      </w:r>
      <w:r w:rsidRPr="00CD45A4">
        <w:rPr>
          <w:rFonts w:eastAsia="Courier New"/>
          <w:color w:val="000000"/>
          <w:sz w:val="22"/>
          <w:szCs w:val="22"/>
          <w:lang w:eastAsia="en-US"/>
        </w:rPr>
        <w:t>е</w:t>
      </w:r>
      <w:r w:rsidRPr="00CD45A4">
        <w:rPr>
          <w:rFonts w:eastAsia="Courier New"/>
          <w:color w:val="000000"/>
          <w:sz w:val="22"/>
          <w:szCs w:val="22"/>
          <w:lang w:eastAsia="en-US"/>
        </w:rPr>
        <w:t>русской летописи монаха и писателя Нестора «Повесть временных лет», XII век) [1].</w:t>
      </w:r>
    </w:p>
    <w:p w:rsidR="00CD45A4" w:rsidRPr="00CD45A4" w:rsidRDefault="00CD45A4" w:rsidP="00BF679C">
      <w:pPr>
        <w:widowControl w:val="0"/>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Овсяные крупы и мука содержат много различных легкоусво</w:t>
      </w:r>
      <w:r w:rsidRPr="00CD45A4">
        <w:rPr>
          <w:rFonts w:eastAsia="Courier New"/>
          <w:color w:val="000000"/>
          <w:sz w:val="22"/>
          <w:szCs w:val="22"/>
          <w:lang w:eastAsia="en-US"/>
        </w:rPr>
        <w:t>я</w:t>
      </w:r>
      <w:r w:rsidRPr="00CD45A4">
        <w:rPr>
          <w:rFonts w:eastAsia="Courier New"/>
          <w:color w:val="000000"/>
          <w:sz w:val="22"/>
          <w:szCs w:val="22"/>
          <w:lang w:eastAsia="en-US"/>
        </w:rPr>
        <w:t>емых, богатых незаменимыми аминокислотами белков, углеводов, жиров и витаминов различных групп, поэтому их широко испол</w:t>
      </w:r>
      <w:r w:rsidRPr="00CD45A4">
        <w:rPr>
          <w:rFonts w:eastAsia="Courier New"/>
          <w:color w:val="000000"/>
          <w:sz w:val="22"/>
          <w:szCs w:val="22"/>
          <w:lang w:eastAsia="en-US"/>
        </w:rPr>
        <w:t>ь</w:t>
      </w:r>
      <w:r w:rsidRPr="00CD45A4">
        <w:rPr>
          <w:rFonts w:eastAsia="Courier New"/>
          <w:color w:val="000000"/>
          <w:sz w:val="22"/>
          <w:szCs w:val="22"/>
          <w:lang w:eastAsia="en-US"/>
        </w:rPr>
        <w:t xml:space="preserve">зуют в диетическом и детском питании. </w:t>
      </w:r>
    </w:p>
    <w:p w:rsidR="00CD45A4" w:rsidRPr="00CD45A4" w:rsidRDefault="00CD45A4" w:rsidP="000749B1">
      <w:pPr>
        <w:widowControl w:val="0"/>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Из них готовят каши, отвары и супы, которые являются диет</w:t>
      </w:r>
      <w:r w:rsidRPr="00CD45A4">
        <w:rPr>
          <w:rFonts w:eastAsia="Courier New"/>
          <w:color w:val="000000"/>
          <w:sz w:val="22"/>
          <w:szCs w:val="22"/>
          <w:lang w:eastAsia="en-US"/>
        </w:rPr>
        <w:t>и</w:t>
      </w:r>
      <w:r w:rsidRPr="00CD45A4">
        <w:rPr>
          <w:rFonts w:eastAsia="Courier New"/>
          <w:color w:val="000000"/>
          <w:sz w:val="22"/>
          <w:szCs w:val="22"/>
          <w:lang w:eastAsia="en-US"/>
        </w:rPr>
        <w:t>ческими и обволакивающими средствами при острых воспалител</w:t>
      </w:r>
      <w:r w:rsidRPr="00CD45A4">
        <w:rPr>
          <w:rFonts w:eastAsia="Courier New"/>
          <w:color w:val="000000"/>
          <w:sz w:val="22"/>
          <w:szCs w:val="22"/>
          <w:lang w:eastAsia="en-US"/>
        </w:rPr>
        <w:t>ь</w:t>
      </w:r>
      <w:r w:rsidRPr="00CD45A4">
        <w:rPr>
          <w:rFonts w:eastAsia="Courier New"/>
          <w:color w:val="000000"/>
          <w:sz w:val="22"/>
          <w:szCs w:val="22"/>
          <w:lang w:eastAsia="en-US"/>
        </w:rPr>
        <w:t>ных заболеваниях желудочно-кишечного тракта (гастрит, энтерок</w:t>
      </w:r>
      <w:r w:rsidRPr="00CD45A4">
        <w:rPr>
          <w:rFonts w:eastAsia="Courier New"/>
          <w:color w:val="000000"/>
          <w:sz w:val="22"/>
          <w:szCs w:val="22"/>
          <w:lang w:eastAsia="en-US"/>
        </w:rPr>
        <w:t>о</w:t>
      </w:r>
      <w:r w:rsidRPr="00CD45A4">
        <w:rPr>
          <w:rFonts w:eastAsia="Courier New"/>
          <w:color w:val="000000"/>
          <w:sz w:val="22"/>
          <w:szCs w:val="22"/>
          <w:lang w:eastAsia="en-US"/>
        </w:rPr>
        <w:t>лит), при атонии кишечника, вирусном гепатите, астении, заболев</w:t>
      </w:r>
      <w:r w:rsidRPr="00CD45A4">
        <w:rPr>
          <w:rFonts w:eastAsia="Courier New"/>
          <w:color w:val="000000"/>
          <w:sz w:val="22"/>
          <w:szCs w:val="22"/>
          <w:lang w:eastAsia="en-US"/>
        </w:rPr>
        <w:t>а</w:t>
      </w:r>
      <w:r w:rsidRPr="00CD45A4">
        <w:rPr>
          <w:rFonts w:eastAsia="Courier New"/>
          <w:color w:val="000000"/>
          <w:sz w:val="22"/>
          <w:szCs w:val="22"/>
          <w:lang w:eastAsia="en-US"/>
        </w:rPr>
        <w:t>ниях нервной системы, нарушении ритма сердечной деятельности и при железодефицитной анемии, вызванной нарушением синтеза порфиринов. Овсяный кулеш употребляют при туберкулезе легких (как укрепляющее средство, усиливающее иммунитет), дают детям, которые болеют золотухой (диатезом). Даже при сахарном диабете дают пить настой из неочищенного зерна овса. В клинических условиях было установлено, что настойка зеленого высушенного растения (травы) овса имеет успокаивающие и снотворные свойства [2, 4].</w:t>
      </w:r>
    </w:p>
    <w:p w:rsidR="00CD45A4" w:rsidRPr="00CD45A4" w:rsidRDefault="00CD45A4" w:rsidP="00BF679C">
      <w:pPr>
        <w:ind w:firstLine="426"/>
        <w:contextualSpacing/>
        <w:jc w:val="center"/>
        <w:rPr>
          <w:rFonts w:eastAsia="Courier New"/>
          <w:color w:val="000000"/>
          <w:sz w:val="22"/>
          <w:szCs w:val="22"/>
          <w:lang w:eastAsia="en-US"/>
        </w:rPr>
      </w:pPr>
      <w:r w:rsidRPr="00CD45A4">
        <w:rPr>
          <w:rFonts w:eastAsia="Courier New"/>
          <w:color w:val="000000"/>
          <w:sz w:val="22"/>
          <w:szCs w:val="22"/>
          <w:lang w:eastAsia="en-US"/>
        </w:rPr>
        <w:lastRenderedPageBreak/>
        <w:t>Список литературы</w:t>
      </w:r>
    </w:p>
    <w:p w:rsidR="00CD45A4" w:rsidRPr="00CD45A4" w:rsidRDefault="00CD45A4" w:rsidP="00BF679C">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1. Белюченко, И. С. Кормовые злаки тропиков и умеренной зоны (основные различия) / И.С Белюченко. – М.: УДН, 1978.</w:t>
      </w:r>
      <w:r w:rsidRPr="00CD45A4">
        <w:rPr>
          <w:rFonts w:eastAsia="Courier New"/>
          <w:color w:val="000000"/>
          <w:sz w:val="22"/>
          <w:szCs w:val="22"/>
          <w:lang w:eastAsia="en-US"/>
        </w:rPr>
        <w:t xml:space="preserve"> – 62 c.</w:t>
      </w:r>
    </w:p>
    <w:p w:rsidR="00CD45A4" w:rsidRPr="00CD45A4" w:rsidRDefault="00CD45A4" w:rsidP="00BF679C">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2. Беляков, И. И. Агротехника важнейших зерновых культур / И.И. Беляков. – М.: Высшая школа, 1993. – 203 с.</w:t>
      </w:r>
    </w:p>
    <w:p w:rsidR="00CD45A4" w:rsidRPr="00CD45A4" w:rsidRDefault="00CD45A4" w:rsidP="00BF679C">
      <w:pPr>
        <w:widowControl w:val="0"/>
        <w:suppressAutoHyphens/>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3. Колесникова, В. Г. Биологические особенности и технология возделывания овса посевного / В.Г. Колесникова. Учебное пособие. – Ижевск: Ижевская ГСХА, 2014. – 120 c.</w:t>
      </w:r>
    </w:p>
    <w:p w:rsidR="00CD45A4" w:rsidRDefault="00CD45A4" w:rsidP="00BF679C">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4. Митрофанов, А. С. Овес / А.С. Митрофанов, К.С. Митрофанова. Изд. 2-е, перераб. – М.: Колос, 1972. – 269 с.</w:t>
      </w:r>
    </w:p>
    <w:p w:rsidR="00CD45A4" w:rsidRDefault="00CD45A4" w:rsidP="00CD45A4">
      <w:pPr>
        <w:widowControl w:val="0"/>
        <w:suppressAutoHyphens/>
        <w:contextualSpacing/>
        <w:jc w:val="both"/>
        <w:rPr>
          <w:rFonts w:eastAsia="Calibri"/>
          <w:sz w:val="22"/>
          <w:szCs w:val="22"/>
          <w:lang w:eastAsia="en-US"/>
        </w:rPr>
      </w:pPr>
    </w:p>
    <w:p w:rsidR="00BF679C" w:rsidRDefault="00BF679C" w:rsidP="00CD45A4">
      <w:pPr>
        <w:widowControl w:val="0"/>
        <w:suppressAutoHyphens/>
        <w:contextualSpacing/>
        <w:jc w:val="both"/>
        <w:rPr>
          <w:rFonts w:eastAsia="Calibri"/>
          <w:sz w:val="22"/>
          <w:szCs w:val="22"/>
          <w:lang w:eastAsia="en-US"/>
        </w:rPr>
      </w:pPr>
    </w:p>
    <w:p w:rsidR="00BF679C" w:rsidRDefault="00BF679C" w:rsidP="00CD45A4">
      <w:pPr>
        <w:widowControl w:val="0"/>
        <w:suppressAutoHyphens/>
        <w:contextualSpacing/>
        <w:jc w:val="both"/>
        <w:rPr>
          <w:rFonts w:eastAsia="Calibri"/>
          <w:sz w:val="22"/>
          <w:szCs w:val="22"/>
          <w:lang w:eastAsia="en-US"/>
        </w:rPr>
      </w:pPr>
    </w:p>
    <w:p w:rsidR="00CD45A4" w:rsidRDefault="00CD45A4" w:rsidP="00CD45A4">
      <w:pPr>
        <w:jc w:val="both"/>
        <w:rPr>
          <w:rFonts w:eastAsia="Calibri"/>
          <w:sz w:val="22"/>
          <w:szCs w:val="22"/>
          <w:lang w:eastAsia="en-US"/>
        </w:rPr>
      </w:pPr>
      <w:r w:rsidRPr="00CD45A4">
        <w:rPr>
          <w:rFonts w:eastAsia="Calibri"/>
          <w:sz w:val="22"/>
          <w:szCs w:val="22"/>
          <w:lang w:eastAsia="en-US"/>
        </w:rPr>
        <w:t>УДК 504.4.05 (470.620)</w:t>
      </w:r>
    </w:p>
    <w:p w:rsidR="00BF679C" w:rsidRPr="00CD45A4" w:rsidRDefault="00BF679C" w:rsidP="00CD45A4">
      <w:pPr>
        <w:jc w:val="both"/>
        <w:rPr>
          <w:rFonts w:eastAsia="Calibri"/>
          <w:sz w:val="22"/>
          <w:szCs w:val="22"/>
          <w:lang w:eastAsia="en-US"/>
        </w:rPr>
      </w:pPr>
    </w:p>
    <w:p w:rsidR="00CD45A4" w:rsidRPr="00CD45A4" w:rsidRDefault="00CD45A4" w:rsidP="00BF679C">
      <w:pPr>
        <w:jc w:val="center"/>
        <w:rPr>
          <w:rFonts w:eastAsia="Calibri"/>
          <w:b/>
          <w:sz w:val="24"/>
          <w:szCs w:val="24"/>
          <w:lang w:eastAsia="en-US"/>
        </w:rPr>
      </w:pPr>
      <w:r w:rsidRPr="00CD45A4">
        <w:rPr>
          <w:rFonts w:eastAsia="Calibri"/>
          <w:b/>
          <w:sz w:val="24"/>
          <w:szCs w:val="24"/>
          <w:lang w:eastAsia="en-US"/>
        </w:rPr>
        <w:t>Влияние ОСК ст. Брюховецкой на состояние</w:t>
      </w:r>
    </w:p>
    <w:p w:rsidR="00CD45A4" w:rsidRPr="00CD45A4" w:rsidRDefault="00CD45A4" w:rsidP="00BF679C">
      <w:pPr>
        <w:jc w:val="center"/>
        <w:rPr>
          <w:rFonts w:eastAsia="Calibri"/>
          <w:b/>
          <w:sz w:val="24"/>
          <w:szCs w:val="24"/>
          <w:lang w:eastAsia="en-US"/>
        </w:rPr>
      </w:pPr>
      <w:r w:rsidRPr="00CD45A4">
        <w:rPr>
          <w:rFonts w:eastAsia="Calibri"/>
          <w:b/>
          <w:sz w:val="24"/>
          <w:szCs w:val="24"/>
          <w:lang w:eastAsia="en-US"/>
        </w:rPr>
        <w:t>растительности на прилегающей территории</w:t>
      </w:r>
    </w:p>
    <w:p w:rsidR="00CD45A4" w:rsidRPr="00CD45A4" w:rsidRDefault="00CD45A4" w:rsidP="00BF679C">
      <w:pPr>
        <w:jc w:val="center"/>
        <w:rPr>
          <w:rFonts w:eastAsia="Calibri"/>
          <w:b/>
          <w:sz w:val="24"/>
          <w:szCs w:val="24"/>
          <w:lang w:eastAsia="en-US"/>
        </w:rPr>
      </w:pPr>
      <w:r w:rsidRPr="00CD45A4">
        <w:rPr>
          <w:rFonts w:eastAsia="Calibri"/>
          <w:b/>
          <w:sz w:val="24"/>
          <w:szCs w:val="24"/>
          <w:lang w:val="en-US" w:eastAsia="en-US"/>
        </w:rPr>
        <w:t>The</w:t>
      </w:r>
      <w:r w:rsidRPr="00CD45A4">
        <w:rPr>
          <w:rFonts w:eastAsia="Calibri"/>
          <w:b/>
          <w:sz w:val="24"/>
          <w:szCs w:val="24"/>
          <w:lang w:eastAsia="en-US"/>
        </w:rPr>
        <w:t xml:space="preserve"> </w:t>
      </w:r>
      <w:r w:rsidRPr="00CD45A4">
        <w:rPr>
          <w:rFonts w:eastAsia="Calibri"/>
          <w:b/>
          <w:sz w:val="24"/>
          <w:szCs w:val="24"/>
          <w:lang w:val="en-US" w:eastAsia="en-US"/>
        </w:rPr>
        <w:t>effect</w:t>
      </w:r>
      <w:r w:rsidRPr="00CD45A4">
        <w:rPr>
          <w:rFonts w:eastAsia="Calibri"/>
          <w:b/>
          <w:sz w:val="24"/>
          <w:szCs w:val="24"/>
          <w:lang w:eastAsia="en-US"/>
        </w:rPr>
        <w:t xml:space="preserve"> </w:t>
      </w:r>
      <w:r w:rsidRPr="00CD45A4">
        <w:rPr>
          <w:rFonts w:eastAsia="Calibri"/>
          <w:b/>
          <w:sz w:val="24"/>
          <w:szCs w:val="24"/>
          <w:lang w:val="en-US" w:eastAsia="en-US"/>
        </w:rPr>
        <w:t>of</w:t>
      </w:r>
      <w:r w:rsidRPr="00CD45A4">
        <w:rPr>
          <w:rFonts w:eastAsia="Calibri"/>
          <w:b/>
          <w:sz w:val="24"/>
          <w:szCs w:val="24"/>
          <w:lang w:eastAsia="en-US"/>
        </w:rPr>
        <w:t xml:space="preserve"> </w:t>
      </w:r>
      <w:r w:rsidRPr="00CD45A4">
        <w:rPr>
          <w:rFonts w:eastAsia="Calibri"/>
          <w:b/>
          <w:sz w:val="24"/>
          <w:szCs w:val="24"/>
          <w:lang w:val="en-US" w:eastAsia="en-US"/>
        </w:rPr>
        <w:t>the</w:t>
      </w:r>
      <w:r w:rsidRPr="00CD45A4">
        <w:rPr>
          <w:rFonts w:eastAsia="Calibri"/>
          <w:b/>
          <w:sz w:val="24"/>
          <w:szCs w:val="24"/>
          <w:lang w:eastAsia="en-US"/>
        </w:rPr>
        <w:t xml:space="preserve"> О</w:t>
      </w:r>
      <w:r w:rsidRPr="00CD45A4">
        <w:rPr>
          <w:rFonts w:eastAsia="Calibri"/>
          <w:b/>
          <w:sz w:val="24"/>
          <w:szCs w:val="24"/>
          <w:lang w:val="en-US" w:eastAsia="en-US"/>
        </w:rPr>
        <w:t>SC</w:t>
      </w:r>
      <w:r w:rsidRPr="00CD45A4">
        <w:rPr>
          <w:rFonts w:eastAsia="Calibri"/>
          <w:b/>
          <w:sz w:val="24"/>
          <w:szCs w:val="24"/>
          <w:lang w:eastAsia="en-US"/>
        </w:rPr>
        <w:t xml:space="preserve"> </w:t>
      </w:r>
      <w:r w:rsidRPr="00CD45A4">
        <w:rPr>
          <w:rFonts w:eastAsia="Calibri"/>
          <w:b/>
          <w:sz w:val="24"/>
          <w:szCs w:val="24"/>
          <w:lang w:val="en-US" w:eastAsia="en-US"/>
        </w:rPr>
        <w:t>of</w:t>
      </w:r>
      <w:r w:rsidRPr="00CD45A4">
        <w:rPr>
          <w:rFonts w:eastAsia="Calibri"/>
          <w:b/>
          <w:sz w:val="24"/>
          <w:szCs w:val="24"/>
          <w:lang w:eastAsia="en-US"/>
        </w:rPr>
        <w:t xml:space="preserve"> </w:t>
      </w:r>
      <w:r w:rsidRPr="00CD45A4">
        <w:rPr>
          <w:rFonts w:eastAsia="Calibri"/>
          <w:b/>
          <w:sz w:val="24"/>
          <w:szCs w:val="24"/>
          <w:lang w:val="en-US" w:eastAsia="en-US"/>
        </w:rPr>
        <w:t>Bryukhovetskaya</w:t>
      </w:r>
      <w:r w:rsidRPr="00CD45A4">
        <w:rPr>
          <w:rFonts w:eastAsia="Calibri"/>
          <w:b/>
          <w:sz w:val="24"/>
          <w:szCs w:val="24"/>
          <w:lang w:eastAsia="en-US"/>
        </w:rPr>
        <w:t xml:space="preserve"> </w:t>
      </w:r>
      <w:r w:rsidRPr="00CD45A4">
        <w:rPr>
          <w:rFonts w:eastAsia="Calibri"/>
          <w:b/>
          <w:sz w:val="24"/>
          <w:szCs w:val="24"/>
          <w:lang w:val="en-US" w:eastAsia="en-US"/>
        </w:rPr>
        <w:t>village</w:t>
      </w:r>
    </w:p>
    <w:p w:rsidR="00CD45A4" w:rsidRPr="00CD45A4" w:rsidRDefault="00CD45A4" w:rsidP="00BF679C">
      <w:pPr>
        <w:jc w:val="center"/>
        <w:rPr>
          <w:rFonts w:eastAsia="Calibri"/>
          <w:sz w:val="24"/>
          <w:szCs w:val="24"/>
          <w:lang w:val="en-US" w:eastAsia="en-US"/>
        </w:rPr>
      </w:pPr>
      <w:proofErr w:type="gramStart"/>
      <w:r w:rsidRPr="00CD45A4">
        <w:rPr>
          <w:rFonts w:eastAsia="Calibri"/>
          <w:b/>
          <w:sz w:val="24"/>
          <w:szCs w:val="24"/>
          <w:lang w:val="en-US" w:eastAsia="en-US"/>
        </w:rPr>
        <w:t>on</w:t>
      </w:r>
      <w:proofErr w:type="gramEnd"/>
      <w:r w:rsidRPr="00CD45A4">
        <w:rPr>
          <w:rFonts w:eastAsia="Calibri"/>
          <w:b/>
          <w:sz w:val="24"/>
          <w:szCs w:val="24"/>
          <w:lang w:val="en-US" w:eastAsia="en-US"/>
        </w:rPr>
        <w:t xml:space="preserve"> the state vegetation in the surrounding area</w:t>
      </w:r>
    </w:p>
    <w:p w:rsidR="00CD45A4" w:rsidRPr="00CD45A4" w:rsidRDefault="00CD45A4" w:rsidP="00CD45A4">
      <w:pPr>
        <w:jc w:val="both"/>
        <w:rPr>
          <w:rFonts w:eastAsia="Calibri"/>
          <w:sz w:val="20"/>
          <w:szCs w:val="20"/>
          <w:lang w:val="en-US" w:eastAsia="en-US"/>
        </w:rPr>
      </w:pP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Клименко В. А.,</w:t>
      </w:r>
    </w:p>
    <w:p w:rsidR="00CD45A4" w:rsidRPr="00CD45A4" w:rsidRDefault="00BF679C" w:rsidP="00CD45A4">
      <w:pPr>
        <w:jc w:val="right"/>
        <w:rPr>
          <w:rFonts w:eastAsia="Calibri"/>
          <w:sz w:val="22"/>
          <w:szCs w:val="22"/>
          <w:lang w:eastAsia="en-US"/>
        </w:rPr>
      </w:pPr>
      <w:r>
        <w:rPr>
          <w:rFonts w:eastAsia="Calibri"/>
          <w:sz w:val="22"/>
          <w:szCs w:val="22"/>
          <w:lang w:eastAsia="en-US"/>
        </w:rPr>
        <w:t>магистрант 2-го курса</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факультета агрономии и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Чернышева Н. В.,</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профессор кафедры прикладной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Куб</w:t>
      </w:r>
      <w:r w:rsidR="00BF679C">
        <w:rPr>
          <w:rFonts w:eastAsia="Calibri"/>
          <w:sz w:val="22"/>
          <w:szCs w:val="22"/>
          <w:lang w:eastAsia="en-US"/>
        </w:rPr>
        <w:t>анский государственный аграрный</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университет имени И.</w:t>
      </w:r>
      <w:r w:rsidR="00BF679C">
        <w:rPr>
          <w:rFonts w:eastAsia="Calibri"/>
          <w:sz w:val="22"/>
          <w:szCs w:val="22"/>
          <w:lang w:eastAsia="en-US"/>
        </w:rPr>
        <w:t xml:space="preserve"> </w:t>
      </w:r>
      <w:r w:rsidRPr="00CD45A4">
        <w:rPr>
          <w:rFonts w:eastAsia="Calibri"/>
          <w:sz w:val="22"/>
          <w:szCs w:val="22"/>
          <w:lang w:eastAsia="en-US"/>
        </w:rPr>
        <w:t>Т. Трубилина</w:t>
      </w:r>
    </w:p>
    <w:p w:rsidR="00CD45A4" w:rsidRPr="00CD45A4" w:rsidRDefault="00CD45A4" w:rsidP="00CD45A4">
      <w:pPr>
        <w:jc w:val="both"/>
        <w:rPr>
          <w:rFonts w:eastAsia="Calibri"/>
          <w:sz w:val="22"/>
          <w:szCs w:val="22"/>
          <w:lang w:eastAsia="en-US"/>
        </w:rPr>
      </w:pP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АННОТАЦИЯ: Проведено исследование состояния растительности на территории, прилегающей к ОСК ст. Брюховецкой. Отмечено негативное воздействие производственной деятельности на величину первичной продуктивности, а также на изменение видового состава растений.</w:t>
      </w:r>
    </w:p>
    <w:p w:rsidR="00CD45A4" w:rsidRPr="00CD45A4" w:rsidRDefault="00CD45A4" w:rsidP="00BF679C">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 xml:space="preserve">ABSTRACT: A study of the state of vegetation in the area adjacent to the OSC Bryukhovetskaya. </w:t>
      </w:r>
      <w:proofErr w:type="gramStart"/>
      <w:r w:rsidRPr="00CD45A4">
        <w:rPr>
          <w:rFonts w:eastAsia="Calibri"/>
          <w:sz w:val="22"/>
          <w:szCs w:val="22"/>
          <w:lang w:val="en-US" w:eastAsia="en-US"/>
        </w:rPr>
        <w:t>The negative impact of production activities on the value of primary productivity, as well as on the change in the species composition of plants.</w:t>
      </w:r>
      <w:proofErr w:type="gramEnd"/>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lastRenderedPageBreak/>
        <w:t>КЛЮЧЕВЫЕ СЛОВА: очистные сооружения, производственная деятельность, видовой состав растений, первичная продуктивность.</w:t>
      </w:r>
    </w:p>
    <w:p w:rsidR="00CD45A4" w:rsidRPr="00CD45A4" w:rsidRDefault="00CD45A4" w:rsidP="00BF679C">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KEYWORDS: treatment facilities, industrial activity, species composition of plants, primary productivity.</w:t>
      </w:r>
    </w:p>
    <w:p w:rsidR="00CD45A4" w:rsidRPr="00CD45A4" w:rsidRDefault="00CD45A4" w:rsidP="00BF679C">
      <w:pPr>
        <w:widowControl w:val="0"/>
        <w:ind w:firstLine="426"/>
        <w:jc w:val="both"/>
        <w:rPr>
          <w:rFonts w:eastAsia="Calibri"/>
          <w:sz w:val="22"/>
          <w:szCs w:val="22"/>
          <w:lang w:val="en-US" w:eastAsia="en-US"/>
        </w:rPr>
      </w:pP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Очистные сооружения канализации (ОСК) располагаются практически в каждом населенном пункте и выполняют функции очистки промышленных и бытовых сточных вод. Одновременно ОСК являются потенциальными источниками негативного возде</w:t>
      </w:r>
      <w:r w:rsidRPr="00CD45A4">
        <w:rPr>
          <w:rFonts w:eastAsia="Calibri"/>
          <w:sz w:val="22"/>
          <w:szCs w:val="22"/>
          <w:lang w:eastAsia="en-US"/>
        </w:rPr>
        <w:t>й</w:t>
      </w:r>
      <w:r w:rsidRPr="00CD45A4">
        <w:rPr>
          <w:rFonts w:eastAsia="Calibri"/>
          <w:sz w:val="22"/>
          <w:szCs w:val="22"/>
          <w:lang w:eastAsia="en-US"/>
        </w:rPr>
        <w:t>ствия на прилегающие территории. Негативному воздействию ОСК подвергаются все компоненты окружающей среды, в том числе и растительный покров [2-4].</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Объектом исследования являются ОСК ст. Брюховецкой. О</w:t>
      </w:r>
      <w:r w:rsidRPr="00CD45A4">
        <w:rPr>
          <w:rFonts w:eastAsia="Calibri"/>
          <w:sz w:val="22"/>
          <w:szCs w:val="22"/>
          <w:lang w:eastAsia="en-US"/>
        </w:rPr>
        <w:t>с</w:t>
      </w:r>
      <w:r w:rsidRPr="00CD45A4">
        <w:rPr>
          <w:rFonts w:eastAsia="Calibri"/>
          <w:sz w:val="22"/>
          <w:szCs w:val="22"/>
          <w:lang w:eastAsia="en-US"/>
        </w:rPr>
        <w:t>новными источниками негативного воздействия на растительность от ОСК ст. Брюховецкой являются технологические сооружения очистки сточных вод – аварийные иловые площадки, аэротенк и вторичный отстойник, а также вспомогательные сооружения (к</w:t>
      </w:r>
      <w:r w:rsidRPr="00CD45A4">
        <w:rPr>
          <w:rFonts w:eastAsia="Calibri"/>
          <w:sz w:val="22"/>
          <w:szCs w:val="22"/>
          <w:lang w:eastAsia="en-US"/>
        </w:rPr>
        <w:t>о</w:t>
      </w:r>
      <w:r w:rsidRPr="00CD45A4">
        <w:rPr>
          <w:rFonts w:eastAsia="Calibri"/>
          <w:sz w:val="22"/>
          <w:szCs w:val="22"/>
          <w:lang w:eastAsia="en-US"/>
        </w:rPr>
        <w:t>тельная и стоянка автомобильного транспорта). Отрицательное вл</w:t>
      </w:r>
      <w:r w:rsidRPr="00CD45A4">
        <w:rPr>
          <w:rFonts w:eastAsia="Calibri"/>
          <w:sz w:val="22"/>
          <w:szCs w:val="22"/>
          <w:lang w:eastAsia="en-US"/>
        </w:rPr>
        <w:t>и</w:t>
      </w:r>
      <w:r w:rsidRPr="00CD45A4">
        <w:rPr>
          <w:rFonts w:eastAsia="Calibri"/>
          <w:sz w:val="22"/>
          <w:szCs w:val="22"/>
          <w:lang w:eastAsia="en-US"/>
        </w:rPr>
        <w:t>яние производственной деятельности ОСК в первую очередь сказ</w:t>
      </w:r>
      <w:r w:rsidRPr="00CD45A4">
        <w:rPr>
          <w:rFonts w:eastAsia="Calibri"/>
          <w:sz w:val="22"/>
          <w:szCs w:val="22"/>
          <w:lang w:eastAsia="en-US"/>
        </w:rPr>
        <w:t>ы</w:t>
      </w:r>
      <w:r w:rsidRPr="00CD45A4">
        <w:rPr>
          <w:rFonts w:eastAsia="Calibri"/>
          <w:sz w:val="22"/>
          <w:szCs w:val="22"/>
          <w:lang w:eastAsia="en-US"/>
        </w:rPr>
        <w:t xml:space="preserve">вается на первичной продуктивности растений. </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Первичная продуктивность – это скорость усвоения продуце</w:t>
      </w:r>
      <w:r w:rsidRPr="00CD45A4">
        <w:rPr>
          <w:rFonts w:eastAsia="Calibri"/>
          <w:sz w:val="22"/>
          <w:szCs w:val="22"/>
          <w:lang w:eastAsia="en-US"/>
        </w:rPr>
        <w:t>н</w:t>
      </w:r>
      <w:r w:rsidRPr="00CD45A4">
        <w:rPr>
          <w:rFonts w:eastAsia="Calibri"/>
          <w:sz w:val="22"/>
          <w:szCs w:val="22"/>
          <w:lang w:eastAsia="en-US"/>
        </w:rPr>
        <w:t>тами (в основном зелеными растениями) солнечной энергии в виде органических соединений (сахаров, белков, липидов) и др., на ед</w:t>
      </w:r>
      <w:r w:rsidRPr="00CD45A4">
        <w:rPr>
          <w:rFonts w:eastAsia="Calibri"/>
          <w:sz w:val="22"/>
          <w:szCs w:val="22"/>
          <w:lang w:eastAsia="en-US"/>
        </w:rPr>
        <w:t>и</w:t>
      </w:r>
      <w:r w:rsidRPr="00CD45A4">
        <w:rPr>
          <w:rFonts w:eastAsia="Calibri"/>
          <w:sz w:val="22"/>
          <w:szCs w:val="22"/>
          <w:lang w:eastAsia="en-US"/>
        </w:rPr>
        <w:t xml:space="preserve">ницу площади. Определение изменения первичной продуктивности проводилось по стандартным общепринятым методикам [1]. </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Так как изучаемый объект является точечным источником з</w:t>
      </w:r>
      <w:r w:rsidRPr="00CD45A4">
        <w:rPr>
          <w:rFonts w:eastAsia="Calibri"/>
          <w:sz w:val="22"/>
          <w:szCs w:val="22"/>
          <w:lang w:eastAsia="en-US"/>
        </w:rPr>
        <w:t>а</w:t>
      </w:r>
      <w:r w:rsidRPr="00CD45A4">
        <w:rPr>
          <w:rFonts w:eastAsia="Calibri"/>
          <w:sz w:val="22"/>
          <w:szCs w:val="22"/>
          <w:lang w:eastAsia="en-US"/>
        </w:rPr>
        <w:t>грязнения, то для изучения первичной продуктивности использ</w:t>
      </w:r>
      <w:r w:rsidRPr="00CD45A4">
        <w:rPr>
          <w:rFonts w:eastAsia="Calibri"/>
          <w:sz w:val="22"/>
          <w:szCs w:val="22"/>
          <w:lang w:eastAsia="en-US"/>
        </w:rPr>
        <w:t>о</w:t>
      </w:r>
      <w:r w:rsidRPr="00CD45A4">
        <w:rPr>
          <w:rFonts w:eastAsia="Calibri"/>
          <w:sz w:val="22"/>
          <w:szCs w:val="22"/>
          <w:lang w:eastAsia="en-US"/>
        </w:rPr>
        <w:t>вался векторный способ мониторинга. Вектора закладывались по преобладающим направлениям ветров – в западном, юго-западном и восточном направлениях. На каждом векторе закладывались по 3 точки отбора проб. Фоновая точка располагалась в 1000 м от исто</w:t>
      </w:r>
      <w:r w:rsidRPr="00CD45A4">
        <w:rPr>
          <w:rFonts w:eastAsia="Calibri"/>
          <w:sz w:val="22"/>
          <w:szCs w:val="22"/>
          <w:lang w:eastAsia="en-US"/>
        </w:rPr>
        <w:t>ч</w:t>
      </w:r>
      <w:r w:rsidRPr="00CD45A4">
        <w:rPr>
          <w:rFonts w:eastAsia="Calibri"/>
          <w:sz w:val="22"/>
          <w:szCs w:val="22"/>
          <w:lang w:eastAsia="en-US"/>
        </w:rPr>
        <w:t xml:space="preserve">ника загрязнения в северо-восточном направлении. </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Результаты исследований показали, что наименьшие значения первичной продуктивности были отмечены в точках, которые по</w:t>
      </w:r>
      <w:r w:rsidRPr="00CD45A4">
        <w:rPr>
          <w:rFonts w:eastAsia="Calibri"/>
          <w:sz w:val="22"/>
          <w:szCs w:val="22"/>
          <w:lang w:eastAsia="en-US"/>
        </w:rPr>
        <w:t>д</w:t>
      </w:r>
      <w:r w:rsidRPr="00CD45A4">
        <w:rPr>
          <w:rFonts w:eastAsia="Calibri"/>
          <w:sz w:val="22"/>
          <w:szCs w:val="22"/>
          <w:lang w:eastAsia="en-US"/>
        </w:rPr>
        <w:t>вергаются воздействию предприятия: поверхностных стоков (по вектору уклона местности в точках № 7, 8, 9), а также выбросу з</w:t>
      </w:r>
      <w:r w:rsidRPr="00CD45A4">
        <w:rPr>
          <w:rFonts w:eastAsia="Calibri"/>
          <w:sz w:val="22"/>
          <w:szCs w:val="22"/>
          <w:lang w:eastAsia="en-US"/>
        </w:rPr>
        <w:t>а</w:t>
      </w:r>
      <w:r w:rsidRPr="00CD45A4">
        <w:rPr>
          <w:rFonts w:eastAsia="Calibri"/>
          <w:sz w:val="22"/>
          <w:szCs w:val="22"/>
          <w:lang w:eastAsia="en-US"/>
        </w:rPr>
        <w:t xml:space="preserve">грязняющих веществ, которые оказывают значительное влияние на </w:t>
      </w:r>
      <w:r w:rsidRPr="00CD45A4">
        <w:rPr>
          <w:rFonts w:eastAsia="Calibri"/>
          <w:sz w:val="22"/>
          <w:szCs w:val="22"/>
          <w:lang w:eastAsia="en-US"/>
        </w:rPr>
        <w:lastRenderedPageBreak/>
        <w:t>биопродуктивность (в точках векторов по преобладающим напра</w:t>
      </w:r>
      <w:r w:rsidRPr="00CD45A4">
        <w:rPr>
          <w:rFonts w:eastAsia="Calibri"/>
          <w:sz w:val="22"/>
          <w:szCs w:val="22"/>
          <w:lang w:eastAsia="en-US"/>
        </w:rPr>
        <w:t>в</w:t>
      </w:r>
      <w:r w:rsidRPr="00CD45A4">
        <w:rPr>
          <w:rFonts w:eastAsia="Calibri"/>
          <w:sz w:val="22"/>
          <w:szCs w:val="22"/>
          <w:lang w:eastAsia="en-US"/>
        </w:rPr>
        <w:t>лениям ветра). Самые высокие значения первичной продуктивности отмечены в фоновой точке (279 г/м</w:t>
      </w:r>
      <w:proofErr w:type="gramStart"/>
      <w:r w:rsidRPr="00CD45A4">
        <w:rPr>
          <w:rFonts w:eastAsia="Calibri"/>
          <w:sz w:val="22"/>
          <w:szCs w:val="22"/>
          <w:vertAlign w:val="superscript"/>
          <w:lang w:eastAsia="en-US"/>
        </w:rPr>
        <w:t>2</w:t>
      </w:r>
      <w:proofErr w:type="gramEnd"/>
      <w:r w:rsidRPr="00CD45A4">
        <w:rPr>
          <w:rFonts w:eastAsia="Calibri"/>
          <w:sz w:val="22"/>
          <w:szCs w:val="22"/>
          <w:lang w:eastAsia="en-US"/>
        </w:rPr>
        <w:t xml:space="preserve"> – масса сухой надземной части, 254 – подземной соответственно). В точке № 1, расположенной р</w:t>
      </w:r>
      <w:r w:rsidRPr="00CD45A4">
        <w:rPr>
          <w:rFonts w:eastAsia="Calibri"/>
          <w:sz w:val="22"/>
          <w:szCs w:val="22"/>
          <w:lang w:eastAsia="en-US"/>
        </w:rPr>
        <w:t>я</w:t>
      </w:r>
      <w:r w:rsidRPr="00CD45A4">
        <w:rPr>
          <w:rFonts w:eastAsia="Calibri"/>
          <w:sz w:val="22"/>
          <w:szCs w:val="22"/>
          <w:lang w:eastAsia="en-US"/>
        </w:rPr>
        <w:t>дом с предприятием, земля значительно уплотнена и наблюдается редкий растительный покров. В остальных точках данного вектора биологическая продуктивность также не велика, что объясняется действием господствующих ветров, которые и переносят газообра</w:t>
      </w:r>
      <w:r w:rsidRPr="00CD45A4">
        <w:rPr>
          <w:rFonts w:eastAsia="Calibri"/>
          <w:sz w:val="22"/>
          <w:szCs w:val="22"/>
          <w:lang w:eastAsia="en-US"/>
        </w:rPr>
        <w:t>з</w:t>
      </w:r>
      <w:r w:rsidRPr="00CD45A4">
        <w:rPr>
          <w:rFonts w:eastAsia="Calibri"/>
          <w:sz w:val="22"/>
          <w:szCs w:val="22"/>
          <w:lang w:eastAsia="en-US"/>
        </w:rPr>
        <w:t>ные выбросы предприятия на данную территорию.</w:t>
      </w:r>
    </w:p>
    <w:p w:rsidR="00CD45A4" w:rsidRPr="00CD45A4" w:rsidRDefault="00CD45A4" w:rsidP="00BF679C">
      <w:pPr>
        <w:widowControl w:val="0"/>
        <w:ind w:firstLine="426"/>
        <w:contextualSpacing/>
        <w:jc w:val="both"/>
        <w:rPr>
          <w:rFonts w:eastAsia="Calibri"/>
          <w:sz w:val="22"/>
          <w:szCs w:val="22"/>
          <w:lang w:eastAsia="en-US"/>
        </w:rPr>
      </w:pPr>
      <w:r w:rsidRPr="00CD45A4">
        <w:rPr>
          <w:rFonts w:eastAsia="Calibri"/>
          <w:kern w:val="28"/>
          <w:sz w:val="22"/>
          <w:szCs w:val="22"/>
          <w:lang w:eastAsia="en-US"/>
        </w:rPr>
        <w:t>Количественный анализ первичной продуктивности установил тенденцию увеличения биомассы растений в точках отбора проб наиболее удаленных от исследуемого предприятия. Это свидетел</w:t>
      </w:r>
      <w:r w:rsidRPr="00CD45A4">
        <w:rPr>
          <w:rFonts w:eastAsia="Calibri"/>
          <w:kern w:val="28"/>
          <w:sz w:val="22"/>
          <w:szCs w:val="22"/>
          <w:lang w:eastAsia="en-US"/>
        </w:rPr>
        <w:t>ь</w:t>
      </w:r>
      <w:r w:rsidRPr="00CD45A4">
        <w:rPr>
          <w:rFonts w:eastAsia="Calibri"/>
          <w:kern w:val="28"/>
          <w:sz w:val="22"/>
          <w:szCs w:val="22"/>
          <w:lang w:eastAsia="en-US"/>
        </w:rPr>
        <w:t>ствует о том, что данная территория подвергается антропогенной нагрузке. В результате исследования первичной продуктивности по точкам мониторинговых исследований, необходимо отметить, что биомасса растений на всех точках отбора проб достаточно мала (242–323 г/м</w:t>
      </w:r>
      <w:proofErr w:type="gramStart"/>
      <w:r w:rsidRPr="00CD45A4">
        <w:rPr>
          <w:rFonts w:eastAsia="Calibri"/>
          <w:kern w:val="28"/>
          <w:sz w:val="22"/>
          <w:szCs w:val="22"/>
          <w:vertAlign w:val="superscript"/>
          <w:lang w:eastAsia="en-US"/>
        </w:rPr>
        <w:t>2</w:t>
      </w:r>
      <w:proofErr w:type="gramEnd"/>
      <w:r w:rsidRPr="00CD45A4">
        <w:rPr>
          <w:rFonts w:eastAsia="Calibri"/>
          <w:kern w:val="28"/>
          <w:sz w:val="22"/>
          <w:szCs w:val="22"/>
          <w:lang w:eastAsia="en-US"/>
        </w:rPr>
        <w:t>), за исключением фоновой точки (533 г/м</w:t>
      </w:r>
      <w:r w:rsidRPr="00CD45A4">
        <w:rPr>
          <w:rFonts w:eastAsia="Calibri"/>
          <w:kern w:val="28"/>
          <w:sz w:val="22"/>
          <w:szCs w:val="22"/>
          <w:vertAlign w:val="superscript"/>
          <w:lang w:eastAsia="en-US"/>
        </w:rPr>
        <w:t>2</w:t>
      </w:r>
      <w:r w:rsidRPr="00CD45A4">
        <w:rPr>
          <w:rFonts w:eastAsia="Calibri"/>
          <w:kern w:val="28"/>
          <w:sz w:val="22"/>
          <w:szCs w:val="22"/>
          <w:lang w:eastAsia="en-US"/>
        </w:rPr>
        <w:t>).</w:t>
      </w:r>
      <w:r w:rsidRPr="00CD45A4">
        <w:rPr>
          <w:rFonts w:eastAsia="Calibri"/>
          <w:sz w:val="22"/>
          <w:szCs w:val="22"/>
          <w:lang w:eastAsia="en-US"/>
        </w:rPr>
        <w:t xml:space="preserve"> </w:t>
      </w:r>
    </w:p>
    <w:p w:rsidR="00CD45A4" w:rsidRPr="00CD45A4" w:rsidRDefault="00CD45A4" w:rsidP="00BF679C">
      <w:pPr>
        <w:widowControl w:val="0"/>
        <w:ind w:firstLine="426"/>
        <w:contextualSpacing/>
        <w:jc w:val="both"/>
        <w:rPr>
          <w:rFonts w:eastAsia="Calibri"/>
          <w:sz w:val="22"/>
          <w:szCs w:val="22"/>
          <w:lang w:eastAsia="en-US"/>
        </w:rPr>
      </w:pPr>
      <w:proofErr w:type="gramStart"/>
      <w:r w:rsidRPr="00CD45A4">
        <w:rPr>
          <w:rFonts w:eastAsia="Calibri"/>
          <w:sz w:val="22"/>
          <w:szCs w:val="22"/>
          <w:lang w:eastAsia="en-US"/>
        </w:rPr>
        <w:t>Что же касается видового состава растений, то на изучаемой территории травянистый ярус представлен как декоративными ра</w:t>
      </w:r>
      <w:r w:rsidRPr="00CD45A4">
        <w:rPr>
          <w:rFonts w:eastAsia="Calibri"/>
          <w:sz w:val="22"/>
          <w:szCs w:val="22"/>
          <w:lang w:eastAsia="en-US"/>
        </w:rPr>
        <w:t>с</w:t>
      </w:r>
      <w:r w:rsidRPr="00CD45A4">
        <w:rPr>
          <w:rFonts w:eastAsia="Calibri"/>
          <w:sz w:val="22"/>
          <w:szCs w:val="22"/>
          <w:lang w:eastAsia="en-US"/>
        </w:rPr>
        <w:t>тениями (петунья, ирис, тагетес и т.д.), так и сорными растениями (пырей ползучий, горец птичий, вьюнок полевой, щирица обыкн</w:t>
      </w:r>
      <w:r w:rsidRPr="00CD45A4">
        <w:rPr>
          <w:rFonts w:eastAsia="Calibri"/>
          <w:sz w:val="22"/>
          <w:szCs w:val="22"/>
          <w:lang w:eastAsia="en-US"/>
        </w:rPr>
        <w:t>о</w:t>
      </w:r>
      <w:r w:rsidRPr="00CD45A4">
        <w:rPr>
          <w:rFonts w:eastAsia="Calibri"/>
          <w:sz w:val="22"/>
          <w:szCs w:val="22"/>
          <w:lang w:eastAsia="en-US"/>
        </w:rPr>
        <w:t xml:space="preserve">венная, цикорий обыкновенный, свинорой пальчатый, одуванчик лекарственный, клевер луговой). </w:t>
      </w:r>
      <w:proofErr w:type="gramEnd"/>
    </w:p>
    <w:p w:rsidR="00CD45A4" w:rsidRPr="00CD45A4" w:rsidRDefault="00CD45A4" w:rsidP="00BF679C">
      <w:pPr>
        <w:widowControl w:val="0"/>
        <w:ind w:firstLine="426"/>
        <w:contextualSpacing/>
        <w:jc w:val="both"/>
        <w:rPr>
          <w:rFonts w:eastAsia="Calibri"/>
          <w:sz w:val="22"/>
          <w:szCs w:val="22"/>
          <w:lang w:eastAsia="en-US"/>
        </w:rPr>
      </w:pPr>
      <w:r w:rsidRPr="00CD45A4">
        <w:rPr>
          <w:rFonts w:eastAsia="Calibri"/>
          <w:sz w:val="22"/>
          <w:szCs w:val="22"/>
          <w:lang w:eastAsia="en-US"/>
        </w:rPr>
        <w:t>Обилие травяной растительности в точках проведения исслед</w:t>
      </w:r>
      <w:r w:rsidRPr="00CD45A4">
        <w:rPr>
          <w:rFonts w:eastAsia="Calibri"/>
          <w:sz w:val="22"/>
          <w:szCs w:val="22"/>
          <w:lang w:eastAsia="en-US"/>
        </w:rPr>
        <w:t>о</w:t>
      </w:r>
      <w:r w:rsidRPr="00CD45A4">
        <w:rPr>
          <w:rFonts w:eastAsia="Calibri"/>
          <w:sz w:val="22"/>
          <w:szCs w:val="22"/>
          <w:lang w:eastAsia="en-US"/>
        </w:rPr>
        <w:t>ваний также оказалось различным. Преобладающим среди сорной растительности является горец птичий, произрастающий на упло</w:t>
      </w:r>
      <w:r w:rsidRPr="00CD45A4">
        <w:rPr>
          <w:rFonts w:eastAsia="Calibri"/>
          <w:sz w:val="22"/>
          <w:szCs w:val="22"/>
          <w:lang w:eastAsia="en-US"/>
        </w:rPr>
        <w:t>т</w:t>
      </w:r>
      <w:r w:rsidRPr="00CD45A4">
        <w:rPr>
          <w:rFonts w:eastAsia="Calibri"/>
          <w:sz w:val="22"/>
          <w:szCs w:val="22"/>
          <w:lang w:eastAsia="en-US"/>
        </w:rPr>
        <w:t>ненных участках территории. Также часто встречается пырей по</w:t>
      </w:r>
      <w:r w:rsidRPr="00CD45A4">
        <w:rPr>
          <w:rFonts w:eastAsia="Calibri"/>
          <w:sz w:val="22"/>
          <w:szCs w:val="22"/>
          <w:lang w:eastAsia="en-US"/>
        </w:rPr>
        <w:t>л</w:t>
      </w:r>
      <w:r w:rsidRPr="00CD45A4">
        <w:rPr>
          <w:rFonts w:eastAsia="Calibri"/>
          <w:sz w:val="22"/>
          <w:szCs w:val="22"/>
          <w:lang w:eastAsia="en-US"/>
        </w:rPr>
        <w:t>зучий.</w:t>
      </w:r>
    </w:p>
    <w:p w:rsidR="00CD45A4" w:rsidRPr="00CD45A4" w:rsidRDefault="00CD45A4" w:rsidP="00BF679C">
      <w:pPr>
        <w:widowControl w:val="0"/>
        <w:ind w:firstLine="426"/>
        <w:jc w:val="both"/>
        <w:rPr>
          <w:rFonts w:eastAsia="Calibri"/>
          <w:sz w:val="22"/>
          <w:szCs w:val="22"/>
          <w:lang w:eastAsia="en-US"/>
        </w:rPr>
      </w:pPr>
    </w:p>
    <w:p w:rsidR="00CD45A4" w:rsidRPr="00CD45A4" w:rsidRDefault="00CD45A4" w:rsidP="00BF679C">
      <w:pPr>
        <w:widowControl w:val="0"/>
        <w:ind w:firstLine="426"/>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BF679C">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Н.В. Чернышева, В.В. Стрельников, А.Г. Сухомлинова, Е.В. Суркова – Краснодар: КубГАУ, 2016. – 80 с. </w:t>
      </w:r>
    </w:p>
    <w:p w:rsidR="00CD45A4" w:rsidRPr="00CD45A4" w:rsidRDefault="00CD45A4" w:rsidP="00BF679C">
      <w:pPr>
        <w:widowControl w:val="0"/>
        <w:suppressAutoHyphens/>
        <w:ind w:firstLine="426"/>
        <w:contextualSpacing/>
        <w:jc w:val="both"/>
        <w:rPr>
          <w:rFonts w:eastAsia="Calibri"/>
          <w:sz w:val="22"/>
          <w:szCs w:val="22"/>
          <w:lang w:eastAsia="en-US"/>
        </w:rPr>
      </w:pPr>
      <w:r w:rsidRPr="00CD45A4">
        <w:rPr>
          <w:sz w:val="22"/>
          <w:szCs w:val="22"/>
        </w:rPr>
        <w:t>2. Стрельников, В. В. Учение о гидросфере: учебник / В.В. Стрельников, И.В. Хмара. – Краснодар: Изд. Дом – Юг, 2015. – С. 8.</w:t>
      </w:r>
    </w:p>
    <w:p w:rsidR="00CD45A4" w:rsidRPr="00CD45A4" w:rsidRDefault="00CD45A4" w:rsidP="00BF679C">
      <w:pPr>
        <w:widowControl w:val="0"/>
        <w:suppressAutoHyphens/>
        <w:ind w:firstLine="426"/>
        <w:jc w:val="both"/>
        <w:rPr>
          <w:rFonts w:eastAsia="Calibri"/>
          <w:sz w:val="22"/>
          <w:szCs w:val="22"/>
          <w:lang w:eastAsia="en-US"/>
        </w:rPr>
      </w:pPr>
      <w:r w:rsidRPr="00CD45A4">
        <w:rPr>
          <w:sz w:val="22"/>
          <w:szCs w:val="22"/>
        </w:rPr>
        <w:t xml:space="preserve">3. Стрельников В. В. Экологическая токсикология: учебник / </w:t>
      </w:r>
      <w:r w:rsidRPr="00CD45A4">
        <w:rPr>
          <w:sz w:val="22"/>
          <w:szCs w:val="22"/>
        </w:rPr>
        <w:lastRenderedPageBreak/>
        <w:t>В.В. Стрельников, И.В. Хмара, Н.В. Чернышева. – Краснодар: Изд. Дом – Юг, 2015. – 252 с.</w:t>
      </w:r>
    </w:p>
    <w:p w:rsidR="00CD45A4" w:rsidRDefault="00CD45A4" w:rsidP="00BF679C">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4. Стрельников В. В. Экология человека: учебник / В.В. Стрельников, Н.В. Чернышева. – Краснодар: Изд. Дом – Юг, 2014. – 408 с.</w:t>
      </w:r>
    </w:p>
    <w:p w:rsidR="00CD45A4" w:rsidRDefault="00CD45A4" w:rsidP="00CD45A4">
      <w:pPr>
        <w:widowControl w:val="0"/>
        <w:suppressAutoHyphens/>
        <w:contextualSpacing/>
        <w:jc w:val="both"/>
        <w:rPr>
          <w:rFonts w:eastAsia="Calibri"/>
          <w:sz w:val="22"/>
          <w:szCs w:val="22"/>
          <w:lang w:eastAsia="en-US"/>
        </w:rPr>
      </w:pPr>
    </w:p>
    <w:p w:rsidR="00BF679C" w:rsidRDefault="00BF679C" w:rsidP="00CD45A4">
      <w:pPr>
        <w:widowControl w:val="0"/>
        <w:suppressAutoHyphens/>
        <w:contextualSpacing/>
        <w:jc w:val="both"/>
        <w:rPr>
          <w:rFonts w:eastAsia="Calibri"/>
          <w:sz w:val="22"/>
          <w:szCs w:val="22"/>
          <w:lang w:eastAsia="en-US"/>
        </w:rPr>
      </w:pPr>
    </w:p>
    <w:p w:rsidR="00BF679C" w:rsidRDefault="00BF679C" w:rsidP="00CD45A4">
      <w:pPr>
        <w:widowControl w:val="0"/>
        <w:suppressAutoHyphens/>
        <w:contextualSpacing/>
        <w:jc w:val="both"/>
        <w:rPr>
          <w:rFonts w:eastAsia="Calibri"/>
          <w:sz w:val="22"/>
          <w:szCs w:val="22"/>
          <w:lang w:eastAsia="en-US"/>
        </w:rPr>
      </w:pPr>
    </w:p>
    <w:p w:rsidR="00CD45A4" w:rsidRPr="00CD45A4" w:rsidRDefault="00CD45A4" w:rsidP="00CD45A4">
      <w:pPr>
        <w:widowControl w:val="0"/>
        <w:jc w:val="both"/>
        <w:rPr>
          <w:rFonts w:eastAsia="Calibri"/>
          <w:sz w:val="22"/>
          <w:szCs w:val="22"/>
          <w:lang w:eastAsia="en-US"/>
        </w:rPr>
      </w:pPr>
      <w:r w:rsidRPr="00CD45A4">
        <w:rPr>
          <w:rFonts w:eastAsia="Calibri"/>
          <w:sz w:val="22"/>
          <w:szCs w:val="22"/>
          <w:lang w:eastAsia="en-US"/>
        </w:rPr>
        <w:t>УДК 631.811.98:633.16 «324»</w:t>
      </w:r>
    </w:p>
    <w:p w:rsidR="00CD45A4" w:rsidRPr="00CD45A4" w:rsidRDefault="00CD45A4" w:rsidP="00CD45A4">
      <w:pPr>
        <w:widowControl w:val="0"/>
        <w:jc w:val="both"/>
        <w:rPr>
          <w:rFonts w:eastAsia="Calibri"/>
          <w:sz w:val="22"/>
          <w:szCs w:val="22"/>
          <w:lang w:eastAsia="en-US"/>
        </w:rPr>
      </w:pPr>
    </w:p>
    <w:p w:rsidR="00CD45A4" w:rsidRPr="00CD45A4" w:rsidRDefault="00CD45A4" w:rsidP="00CD45A4">
      <w:pPr>
        <w:widowControl w:val="0"/>
        <w:jc w:val="center"/>
        <w:rPr>
          <w:rFonts w:eastAsia="Calibri"/>
          <w:b/>
          <w:sz w:val="24"/>
          <w:szCs w:val="24"/>
          <w:lang w:eastAsia="en-US"/>
        </w:rPr>
      </w:pPr>
      <w:r w:rsidRPr="00CD45A4">
        <w:rPr>
          <w:rFonts w:eastAsia="Calibri"/>
          <w:b/>
          <w:sz w:val="24"/>
          <w:szCs w:val="24"/>
          <w:lang w:eastAsia="en-US"/>
        </w:rPr>
        <w:t xml:space="preserve">Формирование озерненности колоса сортов </w:t>
      </w:r>
    </w:p>
    <w:p w:rsidR="00CD45A4" w:rsidRPr="00CD45A4" w:rsidRDefault="00CD45A4" w:rsidP="00CD45A4">
      <w:pPr>
        <w:widowControl w:val="0"/>
        <w:jc w:val="center"/>
        <w:rPr>
          <w:rFonts w:eastAsia="Calibri"/>
          <w:b/>
          <w:sz w:val="24"/>
          <w:szCs w:val="24"/>
          <w:lang w:eastAsia="en-US"/>
        </w:rPr>
      </w:pPr>
      <w:r w:rsidRPr="00CD45A4">
        <w:rPr>
          <w:rFonts w:eastAsia="Calibri"/>
          <w:b/>
          <w:sz w:val="24"/>
          <w:szCs w:val="24"/>
          <w:lang w:eastAsia="en-US"/>
        </w:rPr>
        <w:t xml:space="preserve">озимого ячменя в зависимости от обработки </w:t>
      </w:r>
    </w:p>
    <w:p w:rsidR="00CD45A4" w:rsidRPr="00CD45A4" w:rsidRDefault="00CD45A4" w:rsidP="00CD45A4">
      <w:pPr>
        <w:widowControl w:val="0"/>
        <w:jc w:val="center"/>
        <w:rPr>
          <w:rFonts w:eastAsia="Calibri"/>
          <w:b/>
          <w:sz w:val="24"/>
          <w:szCs w:val="24"/>
          <w:lang w:val="en-US" w:eastAsia="en-US"/>
        </w:rPr>
      </w:pPr>
      <w:r w:rsidRPr="00CD45A4">
        <w:rPr>
          <w:rFonts w:eastAsia="Calibri"/>
          <w:b/>
          <w:sz w:val="24"/>
          <w:szCs w:val="24"/>
          <w:lang w:eastAsia="en-US"/>
        </w:rPr>
        <w:t>стимуляторами</w:t>
      </w:r>
      <w:r w:rsidRPr="00CD45A4">
        <w:rPr>
          <w:rFonts w:eastAsia="Calibri"/>
          <w:b/>
          <w:sz w:val="24"/>
          <w:szCs w:val="24"/>
          <w:lang w:val="en-US" w:eastAsia="en-US"/>
        </w:rPr>
        <w:t xml:space="preserve"> </w:t>
      </w:r>
      <w:r w:rsidRPr="00CD45A4">
        <w:rPr>
          <w:rFonts w:eastAsia="Calibri"/>
          <w:b/>
          <w:sz w:val="24"/>
          <w:szCs w:val="24"/>
          <w:lang w:eastAsia="en-US"/>
        </w:rPr>
        <w:t>роста</w:t>
      </w:r>
    </w:p>
    <w:p w:rsidR="00CD45A4" w:rsidRPr="00CD45A4" w:rsidRDefault="00CD45A4" w:rsidP="00CD45A4">
      <w:pPr>
        <w:widowControl w:val="0"/>
        <w:jc w:val="center"/>
        <w:rPr>
          <w:rFonts w:eastAsia="Calibri"/>
          <w:b/>
          <w:sz w:val="24"/>
          <w:szCs w:val="24"/>
          <w:lang w:val="en-US" w:eastAsia="en-US"/>
        </w:rPr>
      </w:pPr>
      <w:r w:rsidRPr="00CD45A4">
        <w:rPr>
          <w:rFonts w:eastAsia="Calibri"/>
          <w:b/>
          <w:sz w:val="24"/>
          <w:szCs w:val="24"/>
          <w:lang w:val="en-US" w:eastAsia="en-US"/>
        </w:rPr>
        <w:t xml:space="preserve">The shaping of the ears graininess of winter barley </w:t>
      </w:r>
    </w:p>
    <w:p w:rsidR="00CD45A4" w:rsidRPr="00CD45A4" w:rsidRDefault="00CD45A4" w:rsidP="00CD45A4">
      <w:pPr>
        <w:widowControl w:val="0"/>
        <w:jc w:val="center"/>
        <w:rPr>
          <w:rFonts w:eastAsia="Calibri"/>
          <w:b/>
          <w:sz w:val="24"/>
          <w:szCs w:val="24"/>
          <w:lang w:val="en-US" w:eastAsia="en-US"/>
        </w:rPr>
      </w:pPr>
      <w:proofErr w:type="gramStart"/>
      <w:r w:rsidRPr="00CD45A4">
        <w:rPr>
          <w:rFonts w:eastAsia="Calibri"/>
          <w:b/>
          <w:sz w:val="24"/>
          <w:szCs w:val="24"/>
          <w:lang w:val="en-US" w:eastAsia="en-US"/>
        </w:rPr>
        <w:t>in</w:t>
      </w:r>
      <w:proofErr w:type="gramEnd"/>
      <w:r w:rsidRPr="00CD45A4">
        <w:rPr>
          <w:rFonts w:eastAsia="Calibri"/>
          <w:b/>
          <w:sz w:val="24"/>
          <w:szCs w:val="24"/>
          <w:lang w:val="en-US" w:eastAsia="en-US"/>
        </w:rPr>
        <w:t xml:space="preserve"> dependence on the mapping by grout regulators</w:t>
      </w:r>
    </w:p>
    <w:p w:rsidR="00CD45A4" w:rsidRPr="00CD45A4" w:rsidRDefault="00CD45A4" w:rsidP="00CD45A4">
      <w:pPr>
        <w:widowControl w:val="0"/>
        <w:jc w:val="center"/>
        <w:rPr>
          <w:rFonts w:eastAsia="Calibri"/>
          <w:b/>
          <w:sz w:val="22"/>
          <w:szCs w:val="22"/>
          <w:lang w:val="en-US" w:eastAsia="en-US"/>
        </w:rPr>
      </w:pP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Коблянский А. С.,</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аспирант факультета агрономии и экологии</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Репко Н. В.,</w:t>
      </w:r>
    </w:p>
    <w:p w:rsidR="00CD45A4" w:rsidRPr="00CD45A4" w:rsidRDefault="00CD45A4" w:rsidP="00CD45A4">
      <w:pPr>
        <w:widowControl w:val="0"/>
        <w:jc w:val="right"/>
        <w:rPr>
          <w:rFonts w:eastAsia="Calibri"/>
          <w:color w:val="222222"/>
          <w:sz w:val="22"/>
          <w:szCs w:val="22"/>
          <w:shd w:val="clear" w:color="auto" w:fill="FFFFFF"/>
          <w:lang w:eastAsia="en-US"/>
        </w:rPr>
      </w:pPr>
      <w:r w:rsidRPr="00CD45A4">
        <w:rPr>
          <w:rFonts w:eastAsia="Calibri"/>
          <w:sz w:val="22"/>
          <w:szCs w:val="22"/>
          <w:lang w:eastAsia="en-US"/>
        </w:rPr>
        <w:t xml:space="preserve">профессор </w:t>
      </w:r>
      <w:r w:rsidRPr="00CD45A4">
        <w:rPr>
          <w:rFonts w:eastAsia="Calibri"/>
          <w:sz w:val="22"/>
          <w:szCs w:val="24"/>
          <w:lang w:eastAsia="en-US"/>
        </w:rPr>
        <w:t>кафедры генетики, селекции и семеноводства</w:t>
      </w:r>
    </w:p>
    <w:p w:rsidR="00CD45A4" w:rsidRPr="00CD45A4" w:rsidRDefault="00CD45A4" w:rsidP="00CD45A4">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Кубанский государственный</w:t>
      </w:r>
    </w:p>
    <w:p w:rsidR="00CD45A4" w:rsidRPr="00CD45A4" w:rsidRDefault="00CD45A4" w:rsidP="00CD45A4">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аграрный университет имени И.</w:t>
      </w:r>
      <w:r w:rsidR="00BF679C">
        <w:rPr>
          <w:rFonts w:eastAsia="Calibri"/>
          <w:color w:val="222222"/>
          <w:sz w:val="22"/>
          <w:szCs w:val="22"/>
          <w:shd w:val="clear" w:color="auto" w:fill="FFFFFF"/>
          <w:lang w:eastAsia="en-US"/>
        </w:rPr>
        <w:t xml:space="preserve"> </w:t>
      </w:r>
      <w:r w:rsidRPr="00CD45A4">
        <w:rPr>
          <w:rFonts w:eastAsia="Calibri"/>
          <w:color w:val="222222"/>
          <w:sz w:val="22"/>
          <w:szCs w:val="22"/>
          <w:shd w:val="clear" w:color="auto" w:fill="FFFFFF"/>
          <w:lang w:eastAsia="en-US"/>
        </w:rPr>
        <w:t>Т. Трубилина</w:t>
      </w:r>
    </w:p>
    <w:p w:rsidR="00CD45A4" w:rsidRPr="00CD45A4" w:rsidRDefault="00CD45A4" w:rsidP="00CD45A4">
      <w:pPr>
        <w:widowControl w:val="0"/>
        <w:jc w:val="right"/>
        <w:rPr>
          <w:rFonts w:eastAsia="Calibri"/>
          <w:sz w:val="22"/>
          <w:szCs w:val="22"/>
          <w:lang w:eastAsia="en-US"/>
        </w:rPr>
      </w:pP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АННОТАЦИЯ:</w:t>
      </w:r>
      <w:r w:rsidRPr="00CD45A4">
        <w:rPr>
          <w:rFonts w:ascii="Calibri" w:eastAsia="Calibri" w:hAnsi="Calibri"/>
          <w:sz w:val="22"/>
          <w:szCs w:val="22"/>
          <w:lang w:eastAsia="en-US"/>
        </w:rPr>
        <w:t xml:space="preserve"> </w:t>
      </w:r>
      <w:r w:rsidRPr="00CD45A4">
        <w:rPr>
          <w:rFonts w:eastAsia="Calibri"/>
          <w:sz w:val="22"/>
          <w:szCs w:val="22"/>
          <w:lang w:eastAsia="en-US"/>
        </w:rPr>
        <w:t>В статье приводятся данные по изучению озерненности колоса сортов озимого ячменя, в зависимости от обработки регуляторами роста.</w:t>
      </w:r>
    </w:p>
    <w:p w:rsidR="00CD45A4" w:rsidRPr="00CD45A4" w:rsidRDefault="00CD45A4" w:rsidP="00BF679C">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ABSTRACT:</w:t>
      </w:r>
      <w:r w:rsidRPr="00CD45A4">
        <w:rPr>
          <w:rFonts w:ascii="Calibri" w:eastAsia="Calibri" w:hAnsi="Calibri"/>
          <w:sz w:val="22"/>
          <w:szCs w:val="22"/>
          <w:lang w:val="en-US" w:eastAsia="en-US"/>
        </w:rPr>
        <w:t xml:space="preserve"> </w:t>
      </w:r>
      <w:r w:rsidRPr="00CD45A4">
        <w:rPr>
          <w:rFonts w:eastAsia="Calibri"/>
          <w:sz w:val="22"/>
          <w:szCs w:val="22"/>
          <w:lang w:val="en-US" w:eastAsia="en-US"/>
        </w:rPr>
        <w:t>The article present the data of the searching ears</w:t>
      </w:r>
      <w:r w:rsidRPr="00CD45A4">
        <w:rPr>
          <w:rFonts w:ascii="Calibri" w:eastAsia="Calibri" w:hAnsi="Calibri"/>
          <w:sz w:val="22"/>
          <w:szCs w:val="22"/>
          <w:lang w:val="en-US" w:eastAsia="en-US"/>
        </w:rPr>
        <w:t xml:space="preserve"> </w:t>
      </w:r>
      <w:r w:rsidRPr="00CD45A4">
        <w:rPr>
          <w:rFonts w:eastAsia="Calibri"/>
          <w:sz w:val="22"/>
          <w:szCs w:val="22"/>
          <w:lang w:val="en-US" w:eastAsia="en-US"/>
        </w:rPr>
        <w:t>graininess</w:t>
      </w:r>
      <w:r w:rsidRPr="00CD45A4">
        <w:rPr>
          <w:rFonts w:ascii="Calibri" w:eastAsia="Calibri" w:hAnsi="Calibri"/>
          <w:sz w:val="22"/>
          <w:szCs w:val="22"/>
          <w:lang w:val="en-US" w:eastAsia="en-US"/>
        </w:rPr>
        <w:t xml:space="preserve"> </w:t>
      </w:r>
      <w:r w:rsidRPr="00CD45A4">
        <w:rPr>
          <w:rFonts w:eastAsia="Calibri"/>
          <w:sz w:val="22"/>
          <w:szCs w:val="22"/>
          <w:lang w:val="en-US" w:eastAsia="en-US"/>
        </w:rPr>
        <w:t>of winter barley</w:t>
      </w:r>
      <w:r w:rsidRPr="00CD45A4">
        <w:rPr>
          <w:rFonts w:ascii="Calibri" w:eastAsia="Calibri" w:hAnsi="Calibri"/>
          <w:sz w:val="22"/>
          <w:szCs w:val="22"/>
          <w:lang w:val="en-US" w:eastAsia="en-US"/>
        </w:rPr>
        <w:t xml:space="preserve"> </w:t>
      </w:r>
      <w:r w:rsidRPr="00CD45A4">
        <w:rPr>
          <w:rFonts w:eastAsia="Calibri"/>
          <w:sz w:val="22"/>
          <w:szCs w:val="22"/>
          <w:lang w:val="en-US" w:eastAsia="en-US"/>
        </w:rPr>
        <w:t>in dependence</w:t>
      </w:r>
      <w:r w:rsidRPr="00CD45A4">
        <w:rPr>
          <w:rFonts w:ascii="Calibri" w:eastAsia="Calibri" w:hAnsi="Calibri"/>
          <w:sz w:val="22"/>
          <w:szCs w:val="22"/>
          <w:lang w:val="en-US" w:eastAsia="en-US"/>
        </w:rPr>
        <w:t xml:space="preserve"> </w:t>
      </w:r>
      <w:r w:rsidRPr="00CD45A4">
        <w:rPr>
          <w:rFonts w:eastAsia="Calibri"/>
          <w:sz w:val="22"/>
          <w:szCs w:val="22"/>
          <w:lang w:val="en-US" w:eastAsia="en-US"/>
        </w:rPr>
        <w:t>on the mapping by grout regulators</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КЛЮЧЕВЫЕ СЛОВА:</w:t>
      </w:r>
      <w:r w:rsidRPr="00CD45A4">
        <w:rPr>
          <w:rFonts w:ascii="Calibri" w:eastAsia="Calibri" w:hAnsi="Calibri"/>
          <w:sz w:val="22"/>
          <w:szCs w:val="22"/>
          <w:lang w:eastAsia="en-US"/>
        </w:rPr>
        <w:t xml:space="preserve"> </w:t>
      </w:r>
      <w:r w:rsidRPr="00CD45A4">
        <w:rPr>
          <w:rFonts w:eastAsia="Calibri"/>
          <w:sz w:val="22"/>
          <w:szCs w:val="22"/>
          <w:lang w:eastAsia="en-US"/>
        </w:rPr>
        <w:t>озимый ячмень, регулятор роста, урожайность, сорт.</w:t>
      </w:r>
    </w:p>
    <w:p w:rsidR="00CD45A4" w:rsidRPr="00CD45A4" w:rsidRDefault="00CD45A4" w:rsidP="00BF679C">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KEYWORDS:</w:t>
      </w:r>
      <w:r w:rsidRPr="00CD45A4">
        <w:rPr>
          <w:rFonts w:ascii="Calibri" w:eastAsia="Calibri" w:hAnsi="Calibri"/>
          <w:sz w:val="22"/>
          <w:szCs w:val="22"/>
          <w:lang w:val="en-US" w:eastAsia="en-US"/>
        </w:rPr>
        <w:t xml:space="preserve"> </w:t>
      </w:r>
      <w:r w:rsidRPr="00CD45A4">
        <w:rPr>
          <w:rFonts w:eastAsia="Calibri"/>
          <w:sz w:val="22"/>
          <w:szCs w:val="22"/>
          <w:lang w:val="en-US" w:eastAsia="en-US"/>
        </w:rPr>
        <w:t>winter barley, grout regulators, variety.</w:t>
      </w:r>
    </w:p>
    <w:p w:rsidR="00CD45A4" w:rsidRPr="00CD45A4" w:rsidRDefault="00CD45A4" w:rsidP="00BF679C">
      <w:pPr>
        <w:widowControl w:val="0"/>
        <w:suppressAutoHyphens/>
        <w:ind w:firstLine="426"/>
        <w:jc w:val="both"/>
        <w:rPr>
          <w:rFonts w:eastAsia="Calibri"/>
          <w:sz w:val="22"/>
          <w:szCs w:val="22"/>
          <w:lang w:val="en-US" w:eastAsia="en-US"/>
        </w:rPr>
      </w:pP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 xml:space="preserve">В условиях Юга России озимый ячмень является важной и </w:t>
      </w:r>
      <w:proofErr w:type="gramStart"/>
      <w:r w:rsidRPr="00CD45A4">
        <w:rPr>
          <w:rFonts w:eastAsia="Calibri"/>
          <w:sz w:val="22"/>
          <w:szCs w:val="22"/>
          <w:lang w:eastAsia="en-US"/>
        </w:rPr>
        <w:t>вос-требованной</w:t>
      </w:r>
      <w:proofErr w:type="gramEnd"/>
      <w:r w:rsidRPr="00CD45A4">
        <w:rPr>
          <w:rFonts w:eastAsia="Calibri"/>
          <w:sz w:val="22"/>
          <w:szCs w:val="22"/>
          <w:lang w:eastAsia="en-US"/>
        </w:rPr>
        <w:t xml:space="preserve"> культурой.  Интерес со стороны </w:t>
      </w:r>
      <w:proofErr w:type="gramStart"/>
      <w:r w:rsidRPr="00CD45A4">
        <w:rPr>
          <w:rFonts w:eastAsia="Calibri"/>
          <w:sz w:val="22"/>
          <w:szCs w:val="22"/>
          <w:lang w:eastAsia="en-US"/>
        </w:rPr>
        <w:t>сельскохозяйственно-го</w:t>
      </w:r>
      <w:proofErr w:type="gramEnd"/>
      <w:r w:rsidRPr="00CD45A4">
        <w:rPr>
          <w:rFonts w:eastAsia="Calibri"/>
          <w:sz w:val="22"/>
          <w:szCs w:val="22"/>
          <w:lang w:eastAsia="en-US"/>
        </w:rPr>
        <w:t xml:space="preserve"> производства определяется его биологическими особенностями и высокой продуктивностью возделываемых сортов [1].</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lastRenderedPageBreak/>
        <w:t>Стабильные урожаи качественного зерна в условиях Красн</w:t>
      </w:r>
      <w:r w:rsidRPr="00CD45A4">
        <w:rPr>
          <w:rFonts w:eastAsia="Calibri"/>
          <w:sz w:val="22"/>
          <w:szCs w:val="22"/>
          <w:lang w:eastAsia="en-US"/>
        </w:rPr>
        <w:t>о</w:t>
      </w:r>
      <w:r w:rsidRPr="00CD45A4">
        <w:rPr>
          <w:rFonts w:eastAsia="Calibri"/>
          <w:sz w:val="22"/>
          <w:szCs w:val="22"/>
          <w:lang w:eastAsia="en-US"/>
        </w:rPr>
        <w:t>дарского края формируют сорта, максимально приспособленные к внешним условиям среды обитания и имеющие высокую адапти</w:t>
      </w:r>
      <w:r w:rsidRPr="00CD45A4">
        <w:rPr>
          <w:rFonts w:eastAsia="Calibri"/>
          <w:sz w:val="22"/>
          <w:szCs w:val="22"/>
          <w:lang w:eastAsia="en-US"/>
        </w:rPr>
        <w:t>в</w:t>
      </w:r>
      <w:r w:rsidRPr="00CD45A4">
        <w:rPr>
          <w:rFonts w:eastAsia="Calibri"/>
          <w:sz w:val="22"/>
          <w:szCs w:val="22"/>
          <w:lang w:eastAsia="en-US"/>
        </w:rPr>
        <w:t>ность к стресс-факторам в осенне-зимний и весенне-летний период вегетации [2].</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Урожайность является  результирующим показателем при оценке хозяйственной ценности сорта и определяет его востреб</w:t>
      </w:r>
      <w:r w:rsidRPr="00CD45A4">
        <w:rPr>
          <w:rFonts w:eastAsia="Calibri"/>
          <w:sz w:val="22"/>
          <w:szCs w:val="22"/>
          <w:lang w:eastAsia="en-US"/>
        </w:rPr>
        <w:t>о</w:t>
      </w:r>
      <w:r w:rsidRPr="00CD45A4">
        <w:rPr>
          <w:rFonts w:eastAsia="Calibri"/>
          <w:sz w:val="22"/>
          <w:szCs w:val="22"/>
          <w:lang w:eastAsia="en-US"/>
        </w:rPr>
        <w:t>ванность в производстве [3].</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Продуктивность любого сорта это комплексный показатель, определяющийся количественными признаками, слагающими ур</w:t>
      </w:r>
      <w:r w:rsidRPr="00CD45A4">
        <w:rPr>
          <w:rFonts w:eastAsia="Calibri"/>
          <w:sz w:val="22"/>
          <w:szCs w:val="22"/>
          <w:lang w:eastAsia="en-US"/>
        </w:rPr>
        <w:t>о</w:t>
      </w:r>
      <w:r w:rsidRPr="00CD45A4">
        <w:rPr>
          <w:rFonts w:eastAsia="Calibri"/>
          <w:sz w:val="22"/>
          <w:szCs w:val="22"/>
          <w:lang w:eastAsia="en-US"/>
        </w:rPr>
        <w:t>жай. Зерновая продуктивность озимого ячменя определяется чи</w:t>
      </w:r>
      <w:r w:rsidRPr="00CD45A4">
        <w:rPr>
          <w:rFonts w:eastAsia="Calibri"/>
          <w:sz w:val="22"/>
          <w:szCs w:val="22"/>
          <w:lang w:eastAsia="en-US"/>
        </w:rPr>
        <w:t>с</w:t>
      </w:r>
      <w:r w:rsidRPr="00CD45A4">
        <w:rPr>
          <w:rFonts w:eastAsia="Calibri"/>
          <w:sz w:val="22"/>
          <w:szCs w:val="22"/>
          <w:lang w:eastAsia="en-US"/>
        </w:rPr>
        <w:t>лом растений, сохранившихся к уборке, на 1 м</w:t>
      </w:r>
      <w:proofErr w:type="gramStart"/>
      <w:r w:rsidRPr="00CD45A4">
        <w:rPr>
          <w:rFonts w:eastAsia="Calibri"/>
          <w:sz w:val="22"/>
          <w:szCs w:val="22"/>
          <w:vertAlign w:val="superscript"/>
          <w:lang w:eastAsia="en-US"/>
        </w:rPr>
        <w:t>2</w:t>
      </w:r>
      <w:proofErr w:type="gramEnd"/>
      <w:r w:rsidRPr="00CD45A4">
        <w:rPr>
          <w:rFonts w:eastAsia="Calibri"/>
          <w:sz w:val="22"/>
          <w:szCs w:val="22"/>
          <w:lang w:eastAsia="en-US"/>
        </w:rPr>
        <w:t>, продуктивной к</w:t>
      </w:r>
      <w:r w:rsidRPr="00CD45A4">
        <w:rPr>
          <w:rFonts w:eastAsia="Calibri"/>
          <w:sz w:val="22"/>
          <w:szCs w:val="22"/>
          <w:lang w:eastAsia="en-US"/>
        </w:rPr>
        <w:t>у</w:t>
      </w:r>
      <w:r w:rsidRPr="00CD45A4">
        <w:rPr>
          <w:rFonts w:eastAsia="Calibri"/>
          <w:sz w:val="22"/>
          <w:szCs w:val="22"/>
          <w:lang w:eastAsia="en-US"/>
        </w:rPr>
        <w:t>стистостью, озерненностью колоса, массой 1000 зерен, массой с</w:t>
      </w:r>
      <w:r w:rsidRPr="00CD45A4">
        <w:rPr>
          <w:rFonts w:eastAsia="Calibri"/>
          <w:sz w:val="22"/>
          <w:szCs w:val="22"/>
          <w:lang w:eastAsia="en-US"/>
        </w:rPr>
        <w:t>е</w:t>
      </w:r>
      <w:r w:rsidRPr="00CD45A4">
        <w:rPr>
          <w:rFonts w:eastAsia="Calibri"/>
          <w:sz w:val="22"/>
          <w:szCs w:val="22"/>
          <w:lang w:eastAsia="en-US"/>
        </w:rPr>
        <w:t>мян с растения и колоса [5].</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 xml:space="preserve">Озерненность колоса в большинстве случаев имеет </w:t>
      </w:r>
      <w:proofErr w:type="gramStart"/>
      <w:r w:rsidRPr="00CD45A4">
        <w:rPr>
          <w:rFonts w:eastAsia="Calibri"/>
          <w:sz w:val="22"/>
          <w:szCs w:val="22"/>
          <w:lang w:eastAsia="en-US"/>
        </w:rPr>
        <w:t>первосте-пенно</w:t>
      </w:r>
      <w:r w:rsidR="000749B1">
        <w:rPr>
          <w:rFonts w:eastAsia="Calibri"/>
          <w:sz w:val="22"/>
          <w:szCs w:val="22"/>
          <w:lang w:eastAsia="en-US"/>
        </w:rPr>
        <w:t>е</w:t>
      </w:r>
      <w:proofErr w:type="gramEnd"/>
      <w:r w:rsidR="000749B1">
        <w:rPr>
          <w:rFonts w:eastAsia="Calibri"/>
          <w:sz w:val="22"/>
          <w:szCs w:val="22"/>
          <w:lang w:eastAsia="en-US"/>
        </w:rPr>
        <w:t xml:space="preserve"> значение</w:t>
      </w:r>
      <w:r w:rsidRPr="00CD45A4">
        <w:rPr>
          <w:rFonts w:eastAsia="Calibri"/>
          <w:sz w:val="22"/>
          <w:szCs w:val="22"/>
          <w:lang w:eastAsia="en-US"/>
        </w:rPr>
        <w:t xml:space="preserve"> в повышении урожая зерна. Число зерен в колосе довольно стабильный сортовой признак [4].</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Целью наших исследований было изучение сортовых различий озаренности колоса озимого ячменя в зависимости от обработки стимуляторами роста.</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Исследования проводились на опытном поле КубГАУ в учхозе «Кубань». Контроль – делянки, обработанные водой. Растения опрыскивали с помощью садового опрыскивателя. Площадь деля</w:t>
      </w:r>
      <w:r w:rsidRPr="00CD45A4">
        <w:rPr>
          <w:rFonts w:eastAsia="Calibri"/>
          <w:sz w:val="22"/>
          <w:szCs w:val="22"/>
          <w:lang w:eastAsia="en-US"/>
        </w:rPr>
        <w:t>н</w:t>
      </w:r>
      <w:r w:rsidRPr="00CD45A4">
        <w:rPr>
          <w:rFonts w:eastAsia="Calibri"/>
          <w:sz w:val="22"/>
          <w:szCs w:val="22"/>
          <w:lang w:eastAsia="en-US"/>
        </w:rPr>
        <w:t>ки – 25 м². Предшественник – озимый рапс. Повторность – чет</w:t>
      </w:r>
      <w:r w:rsidRPr="00CD45A4">
        <w:rPr>
          <w:rFonts w:eastAsia="Calibri"/>
          <w:sz w:val="22"/>
          <w:szCs w:val="22"/>
          <w:lang w:eastAsia="en-US"/>
        </w:rPr>
        <w:t>ы</w:t>
      </w:r>
      <w:r w:rsidRPr="00CD45A4">
        <w:rPr>
          <w:rFonts w:eastAsia="Calibri"/>
          <w:sz w:val="22"/>
          <w:szCs w:val="22"/>
          <w:lang w:eastAsia="en-US"/>
        </w:rPr>
        <w:t>рехкратная. Анализ полученных данных  выявил, что в условиях 2016-2017 сельскохозяйственного года признак – озерненность к</w:t>
      </w:r>
      <w:r w:rsidRPr="00CD45A4">
        <w:rPr>
          <w:rFonts w:eastAsia="Calibri"/>
          <w:sz w:val="22"/>
          <w:szCs w:val="22"/>
          <w:lang w:eastAsia="en-US"/>
        </w:rPr>
        <w:t>о</w:t>
      </w:r>
      <w:r w:rsidRPr="00CD45A4">
        <w:rPr>
          <w:rFonts w:eastAsia="Calibri"/>
          <w:sz w:val="22"/>
          <w:szCs w:val="22"/>
          <w:lang w:eastAsia="en-US"/>
        </w:rPr>
        <w:t xml:space="preserve">лоса,  </w:t>
      </w:r>
      <w:proofErr w:type="gramStart"/>
      <w:r w:rsidRPr="00CD45A4">
        <w:rPr>
          <w:rFonts w:eastAsia="Calibri"/>
          <w:sz w:val="22"/>
          <w:szCs w:val="22"/>
          <w:lang w:eastAsia="en-US"/>
        </w:rPr>
        <w:t>незна-чительно</w:t>
      </w:r>
      <w:proofErr w:type="gramEnd"/>
      <w:r w:rsidRPr="00CD45A4">
        <w:rPr>
          <w:rFonts w:eastAsia="Calibri"/>
          <w:sz w:val="22"/>
          <w:szCs w:val="22"/>
          <w:lang w:eastAsia="en-US"/>
        </w:rPr>
        <w:t xml:space="preserve">, но варьировал в зависимости от проведенных обработок. </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 xml:space="preserve">В целом, оба сорта положительно отреагировали на </w:t>
      </w:r>
      <w:proofErr w:type="gramStart"/>
      <w:r w:rsidRPr="00CD45A4">
        <w:rPr>
          <w:rFonts w:eastAsia="Calibri"/>
          <w:sz w:val="22"/>
          <w:szCs w:val="22"/>
          <w:lang w:eastAsia="en-US"/>
        </w:rPr>
        <w:t>воздей-ствие</w:t>
      </w:r>
      <w:proofErr w:type="gramEnd"/>
      <w:r w:rsidRPr="00CD45A4">
        <w:rPr>
          <w:rFonts w:eastAsia="Calibri"/>
          <w:sz w:val="22"/>
          <w:szCs w:val="22"/>
          <w:lang w:eastAsia="en-US"/>
        </w:rPr>
        <w:t xml:space="preserve"> регуляторами роста. </w:t>
      </w:r>
      <w:proofErr w:type="gramStart"/>
      <w:r w:rsidRPr="00CD45A4">
        <w:rPr>
          <w:rFonts w:eastAsia="Calibri"/>
          <w:sz w:val="22"/>
          <w:szCs w:val="22"/>
          <w:lang w:eastAsia="en-US"/>
        </w:rPr>
        <w:t>Так, сорт Кубагро – 1 при обработке Гу-матом калия увеличил количество зерен в колосе в сравнении с кон-тролем на 11 %, а при воздействии Фертигрейн старт на 17 %. Ан</w:t>
      </w:r>
      <w:r w:rsidRPr="00CD45A4">
        <w:rPr>
          <w:rFonts w:eastAsia="Calibri"/>
          <w:sz w:val="22"/>
          <w:szCs w:val="22"/>
          <w:lang w:eastAsia="en-US"/>
        </w:rPr>
        <w:t>а</w:t>
      </w:r>
      <w:r w:rsidRPr="00CD45A4">
        <w:rPr>
          <w:rFonts w:eastAsia="Calibri"/>
          <w:sz w:val="22"/>
          <w:szCs w:val="22"/>
          <w:lang w:eastAsia="en-US"/>
        </w:rPr>
        <w:t>логичная реакция была и у сорта Кубагро – 3 увеличение изучаем</w:t>
      </w:r>
      <w:r w:rsidRPr="00CD45A4">
        <w:rPr>
          <w:rFonts w:eastAsia="Calibri"/>
          <w:sz w:val="22"/>
          <w:szCs w:val="22"/>
          <w:lang w:eastAsia="en-US"/>
        </w:rPr>
        <w:t>о</w:t>
      </w:r>
      <w:r w:rsidRPr="00CD45A4">
        <w:rPr>
          <w:rFonts w:eastAsia="Calibri"/>
          <w:sz w:val="22"/>
          <w:szCs w:val="22"/>
          <w:lang w:eastAsia="en-US"/>
        </w:rPr>
        <w:t>го признака на 9 % при обработке Гуматом калия и на 11 % при применении препарата Фертигрейн старт.</w:t>
      </w:r>
      <w:proofErr w:type="gramEnd"/>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 xml:space="preserve">На процесс формирования количества зерен в колосе могут оказывать влияние многие компоненты, как погодно-климатические, так и </w:t>
      </w:r>
      <w:proofErr w:type="gramStart"/>
      <w:r w:rsidRPr="00CD45A4">
        <w:rPr>
          <w:rFonts w:eastAsia="Calibri"/>
          <w:sz w:val="22"/>
          <w:szCs w:val="22"/>
          <w:lang w:eastAsia="en-US"/>
        </w:rPr>
        <w:t>химико-биологические</w:t>
      </w:r>
      <w:proofErr w:type="gramEnd"/>
      <w:r w:rsidRPr="00CD45A4">
        <w:rPr>
          <w:rFonts w:eastAsia="Calibri"/>
          <w:sz w:val="22"/>
          <w:szCs w:val="22"/>
          <w:lang w:eastAsia="en-US"/>
        </w:rPr>
        <w:t xml:space="preserve"> т. е. обработка семян </w:t>
      </w:r>
      <w:r w:rsidRPr="00CD45A4">
        <w:rPr>
          <w:rFonts w:eastAsia="Calibri"/>
          <w:sz w:val="22"/>
          <w:szCs w:val="22"/>
          <w:lang w:eastAsia="en-US"/>
        </w:rPr>
        <w:lastRenderedPageBreak/>
        <w:t xml:space="preserve">препаратами различного спектра воздействия, но необходимо отме-тить, что это сортовой признак. </w:t>
      </w:r>
    </w:p>
    <w:p w:rsidR="00CD45A4" w:rsidRPr="00CD45A4" w:rsidRDefault="00CD45A4" w:rsidP="00BF679C">
      <w:pPr>
        <w:widowControl w:val="0"/>
        <w:ind w:firstLine="426"/>
        <w:jc w:val="both"/>
        <w:rPr>
          <w:rFonts w:eastAsia="Calibri"/>
          <w:sz w:val="22"/>
          <w:szCs w:val="22"/>
          <w:lang w:eastAsia="en-US"/>
        </w:rPr>
      </w:pPr>
      <w:r w:rsidRPr="00CD45A4">
        <w:rPr>
          <w:rFonts w:eastAsia="Calibri"/>
          <w:sz w:val="22"/>
          <w:szCs w:val="22"/>
          <w:lang w:eastAsia="en-US"/>
        </w:rPr>
        <w:t>И в результате опытов, четко прослеживалось, что  вне завис</w:t>
      </w:r>
      <w:r w:rsidRPr="00CD45A4">
        <w:rPr>
          <w:rFonts w:eastAsia="Calibri"/>
          <w:sz w:val="22"/>
          <w:szCs w:val="22"/>
          <w:lang w:eastAsia="en-US"/>
        </w:rPr>
        <w:t>и</w:t>
      </w:r>
      <w:r w:rsidRPr="00CD45A4">
        <w:rPr>
          <w:rFonts w:eastAsia="Calibri"/>
          <w:sz w:val="22"/>
          <w:szCs w:val="22"/>
          <w:lang w:eastAsia="en-US"/>
        </w:rPr>
        <w:t>мости от применяемых препаратов, сорт Кубагро – 1 имел прев</w:t>
      </w:r>
      <w:r w:rsidRPr="00CD45A4">
        <w:rPr>
          <w:rFonts w:eastAsia="Calibri"/>
          <w:sz w:val="22"/>
          <w:szCs w:val="22"/>
          <w:lang w:eastAsia="en-US"/>
        </w:rPr>
        <w:t>ы</w:t>
      </w:r>
      <w:r w:rsidRPr="00CD45A4">
        <w:rPr>
          <w:rFonts w:eastAsia="Calibri"/>
          <w:sz w:val="22"/>
          <w:szCs w:val="22"/>
          <w:lang w:eastAsia="en-US"/>
        </w:rPr>
        <w:t>шение над сортом Кубагро – 3 по наличию зерен в колосе. Но это только предварительные результаты, опыты в данном направлении будут нами расширены и продолжены в дальнейшем.</w:t>
      </w:r>
    </w:p>
    <w:p w:rsidR="00CD45A4" w:rsidRPr="00CD45A4" w:rsidRDefault="00CD45A4" w:rsidP="00BF679C">
      <w:pPr>
        <w:widowControl w:val="0"/>
        <w:ind w:firstLine="426"/>
        <w:jc w:val="both"/>
        <w:rPr>
          <w:rFonts w:eastAsia="Calibri"/>
          <w:sz w:val="22"/>
          <w:szCs w:val="22"/>
          <w:lang w:eastAsia="en-US"/>
        </w:rPr>
      </w:pPr>
    </w:p>
    <w:p w:rsidR="00CD45A4" w:rsidRPr="00CD45A4" w:rsidRDefault="00CD45A4" w:rsidP="00BF679C">
      <w:pPr>
        <w:widowControl w:val="0"/>
        <w:ind w:firstLine="426"/>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1. Репко, Н. В. Статистические исследования мирового </w:t>
      </w:r>
      <w:proofErr w:type="gramStart"/>
      <w:r w:rsidRPr="00CD45A4">
        <w:rPr>
          <w:rFonts w:eastAsia="Calibri"/>
          <w:sz w:val="22"/>
          <w:szCs w:val="22"/>
          <w:lang w:eastAsia="en-US"/>
        </w:rPr>
        <w:t>произ-водства</w:t>
      </w:r>
      <w:proofErr w:type="gramEnd"/>
      <w:r w:rsidRPr="00CD45A4">
        <w:rPr>
          <w:rFonts w:eastAsia="Calibri"/>
          <w:sz w:val="22"/>
          <w:szCs w:val="22"/>
          <w:lang w:eastAsia="en-US"/>
        </w:rPr>
        <w:t xml:space="preserve"> зерна ячменя / Н.В. Репко, К.В. Подоляк, Е.В. Смирнова, Ю.В. Острожная // Политематич. сетевой электр. науч. журнал КубГАУ. – Краснодар: КубГАУ. – 2015. – № 106</w:t>
      </w:r>
      <w:r w:rsidR="00BF679C">
        <w:rPr>
          <w:rFonts w:eastAsia="Calibri"/>
          <w:sz w:val="22"/>
          <w:szCs w:val="22"/>
          <w:lang w:eastAsia="en-US"/>
        </w:rPr>
        <w:t>.</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2. Репко, Н. В. Посевные площади и урожайность озимого </w:t>
      </w:r>
      <w:proofErr w:type="gramStart"/>
      <w:r w:rsidRPr="00CD45A4">
        <w:rPr>
          <w:rFonts w:eastAsia="Calibri"/>
          <w:sz w:val="22"/>
          <w:szCs w:val="22"/>
          <w:lang w:eastAsia="en-US"/>
        </w:rPr>
        <w:t>яч-меня</w:t>
      </w:r>
      <w:proofErr w:type="gramEnd"/>
      <w:r w:rsidRPr="00CD45A4">
        <w:rPr>
          <w:rFonts w:eastAsia="Calibri"/>
          <w:sz w:val="22"/>
          <w:szCs w:val="22"/>
          <w:lang w:eastAsia="en-US"/>
        </w:rPr>
        <w:t xml:space="preserve"> в основных регионах возделывания / Н.В. Репко, Е.В. Смирно-ва,  Коблянский А.С. // Политематич. сетевой электр. науч. журнал КубГАУ. – Краснодар: КубГАУ. – 2015. – № 112 С. 1645-1655. </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3. Репко, Н. В. Селекция озимого ячменя в условиях юга России / Н.В. Репко – Краснодар: КубГАУ, 2018. – 258 с.</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4. Салфетников, А. А. Влияние сроков сева на урожайность </w:t>
      </w:r>
      <w:proofErr w:type="gramStart"/>
      <w:r w:rsidRPr="00CD45A4">
        <w:rPr>
          <w:rFonts w:eastAsia="Calibri"/>
          <w:sz w:val="22"/>
          <w:szCs w:val="22"/>
          <w:lang w:eastAsia="en-US"/>
        </w:rPr>
        <w:t>но-вых</w:t>
      </w:r>
      <w:proofErr w:type="gramEnd"/>
      <w:r w:rsidRPr="00CD45A4">
        <w:rPr>
          <w:rFonts w:eastAsia="Calibri"/>
          <w:sz w:val="22"/>
          <w:szCs w:val="22"/>
          <w:lang w:eastAsia="en-US"/>
        </w:rPr>
        <w:t xml:space="preserve"> сортов и линий озимого ячменя селекции КУБГАУ / А. А. Сал-фетников,  Н. В. Репко, Е. С. Бойко, // Политематич. сетевой электр. науч. журнал КубГАУ. – Краснодар</w:t>
      </w:r>
      <w:proofErr w:type="gramStart"/>
      <w:r w:rsidRPr="00CD45A4">
        <w:rPr>
          <w:rFonts w:eastAsia="Calibri"/>
          <w:sz w:val="22"/>
          <w:szCs w:val="22"/>
          <w:lang w:eastAsia="en-US"/>
        </w:rPr>
        <w:t xml:space="preserve"> :</w:t>
      </w:r>
      <w:proofErr w:type="gramEnd"/>
      <w:r w:rsidRPr="00CD45A4">
        <w:rPr>
          <w:rFonts w:eastAsia="Calibri"/>
          <w:sz w:val="22"/>
          <w:szCs w:val="22"/>
          <w:lang w:eastAsia="en-US"/>
        </w:rPr>
        <w:t xml:space="preserve"> КубГАУ. – 2014. – № 95 (01). </w:t>
      </w:r>
    </w:p>
    <w:p w:rsidR="00CD45A4" w:rsidRPr="00CD45A4" w:rsidRDefault="00CD45A4" w:rsidP="00BF679C">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5. Филиппов, Е. Г. Использование нетрадиционного </w:t>
      </w:r>
      <w:proofErr w:type="gramStart"/>
      <w:r w:rsidRPr="00CD45A4">
        <w:rPr>
          <w:rFonts w:eastAsia="Calibri"/>
          <w:sz w:val="22"/>
          <w:szCs w:val="22"/>
          <w:lang w:eastAsia="en-US"/>
        </w:rPr>
        <w:t>направле-ния</w:t>
      </w:r>
      <w:proofErr w:type="gramEnd"/>
      <w:r w:rsidRPr="00CD45A4">
        <w:rPr>
          <w:rFonts w:eastAsia="Calibri"/>
          <w:sz w:val="22"/>
          <w:szCs w:val="22"/>
          <w:lang w:eastAsia="en-US"/>
        </w:rPr>
        <w:t xml:space="preserve"> в селекции зимостойких сортов озимого ячменя / Е.Г. Филиппов, А.А. Сокол, Л.П. Приходькова, Н.В. Репко., В.Б. Хронюк // Сб. науч. тр. Технология, селекция и семеноводство сельскохозяйственных культур. АЧИИ – филиал ФГБОУ ВО ДонГАУ в г. Зернограде. Зерноград, 2004. – С. 25-26.</w:t>
      </w:r>
    </w:p>
    <w:p w:rsidR="00CD45A4" w:rsidRDefault="00CD45A4" w:rsidP="00CD45A4">
      <w:pPr>
        <w:widowControl w:val="0"/>
        <w:suppressAutoHyphens/>
        <w:contextualSpacing/>
        <w:jc w:val="both"/>
        <w:rPr>
          <w:rFonts w:eastAsia="Calibri"/>
          <w:sz w:val="22"/>
          <w:szCs w:val="22"/>
          <w:lang w:eastAsia="en-US"/>
        </w:rPr>
      </w:pPr>
    </w:p>
    <w:p w:rsidR="00BF679C" w:rsidRDefault="00BF679C" w:rsidP="00CD45A4">
      <w:pPr>
        <w:widowControl w:val="0"/>
        <w:suppressAutoHyphens/>
        <w:contextualSpacing/>
        <w:jc w:val="both"/>
        <w:rPr>
          <w:rFonts w:eastAsia="Calibri"/>
          <w:sz w:val="22"/>
          <w:szCs w:val="22"/>
          <w:lang w:eastAsia="en-US"/>
        </w:rPr>
      </w:pPr>
    </w:p>
    <w:p w:rsidR="00BF679C" w:rsidRDefault="00BF679C" w:rsidP="00BF679C">
      <w:pPr>
        <w:rPr>
          <w:rFonts w:eastAsia="Calibri"/>
          <w:sz w:val="22"/>
          <w:szCs w:val="22"/>
          <w:lang w:eastAsia="en-US"/>
        </w:rPr>
      </w:pPr>
      <w:r>
        <w:rPr>
          <w:rFonts w:eastAsia="Calibri"/>
          <w:sz w:val="22"/>
          <w:szCs w:val="22"/>
          <w:lang w:eastAsia="en-US"/>
        </w:rPr>
        <w:br w:type="page"/>
      </w:r>
    </w:p>
    <w:p w:rsidR="00CD45A4" w:rsidRPr="00CD45A4" w:rsidRDefault="00CD45A4" w:rsidP="00CD45A4">
      <w:pPr>
        <w:jc w:val="both"/>
        <w:rPr>
          <w:rFonts w:eastAsia="Calibri"/>
          <w:sz w:val="22"/>
          <w:szCs w:val="22"/>
          <w:lang w:eastAsia="en-US"/>
        </w:rPr>
      </w:pPr>
      <w:r w:rsidRPr="00CD45A4">
        <w:rPr>
          <w:rFonts w:eastAsia="Calibri"/>
          <w:sz w:val="22"/>
          <w:szCs w:val="22"/>
          <w:lang w:eastAsia="en-US"/>
        </w:rPr>
        <w:lastRenderedPageBreak/>
        <w:t>УДК 504.4.05 (470.620)</w:t>
      </w:r>
    </w:p>
    <w:p w:rsidR="00CD45A4" w:rsidRPr="00CD45A4" w:rsidRDefault="00CD45A4" w:rsidP="00CD45A4">
      <w:pPr>
        <w:widowControl w:val="0"/>
        <w:jc w:val="both"/>
        <w:rPr>
          <w:rFonts w:eastAsia="Calibri"/>
          <w:sz w:val="22"/>
          <w:szCs w:val="22"/>
          <w:lang w:eastAsia="en-US"/>
        </w:rPr>
      </w:pPr>
    </w:p>
    <w:p w:rsidR="00CD45A4" w:rsidRPr="00CD45A4" w:rsidRDefault="00CD45A4" w:rsidP="00CD45A4">
      <w:pPr>
        <w:widowControl w:val="0"/>
        <w:suppressAutoHyphens/>
        <w:jc w:val="center"/>
        <w:rPr>
          <w:rFonts w:eastAsia="Calibri"/>
          <w:b/>
          <w:sz w:val="24"/>
          <w:szCs w:val="24"/>
          <w:lang w:eastAsia="en-US"/>
        </w:rPr>
      </w:pPr>
      <w:r w:rsidRPr="00CD45A4">
        <w:rPr>
          <w:rFonts w:eastAsia="Calibri"/>
          <w:b/>
          <w:sz w:val="24"/>
          <w:szCs w:val="24"/>
          <w:lang w:eastAsia="en-US"/>
        </w:rPr>
        <w:t>Пылевое загрязнение среды, как аспект экологической безопасности предприятия строительной отрасли на примере ООО «Строитель»</w:t>
      </w:r>
    </w:p>
    <w:p w:rsidR="00CD45A4" w:rsidRPr="009244ED" w:rsidRDefault="00CD45A4" w:rsidP="009244ED">
      <w:pPr>
        <w:widowControl w:val="0"/>
        <w:suppressAutoHyphens/>
        <w:jc w:val="center"/>
        <w:rPr>
          <w:rFonts w:eastAsia="Calibri"/>
          <w:b/>
          <w:sz w:val="24"/>
          <w:szCs w:val="24"/>
          <w:lang w:val="en-US" w:eastAsia="en-US"/>
        </w:rPr>
      </w:pPr>
      <w:r w:rsidRPr="00CD45A4">
        <w:rPr>
          <w:rFonts w:eastAsia="Calibri"/>
          <w:b/>
          <w:sz w:val="24"/>
          <w:szCs w:val="24"/>
          <w:lang w:val="en-US" w:eastAsia="en-US"/>
        </w:rPr>
        <w:t>Dust pollution of the environment as an aspect of environmental safety of the construction industry on the example of LLC «Builder»</w:t>
      </w:r>
    </w:p>
    <w:p w:rsidR="00CD45A4" w:rsidRPr="00CD45A4" w:rsidRDefault="00CD45A4" w:rsidP="00CD45A4">
      <w:pPr>
        <w:widowControl w:val="0"/>
        <w:tabs>
          <w:tab w:val="left" w:pos="8223"/>
        </w:tabs>
        <w:ind w:firstLine="425"/>
        <w:contextualSpacing/>
        <w:jc w:val="right"/>
        <w:rPr>
          <w:rFonts w:eastAsia="Courier New"/>
          <w:sz w:val="22"/>
          <w:szCs w:val="22"/>
          <w:lang w:eastAsia="en-US"/>
        </w:rPr>
      </w:pPr>
      <w:r w:rsidRPr="00CD45A4">
        <w:rPr>
          <w:rFonts w:eastAsia="Courier New"/>
          <w:sz w:val="22"/>
          <w:szCs w:val="22"/>
          <w:lang w:eastAsia="en-US"/>
        </w:rPr>
        <w:t>Лагутина В. А.,</w:t>
      </w:r>
    </w:p>
    <w:p w:rsidR="00CD45A4" w:rsidRPr="00CD45A4" w:rsidRDefault="00BF679C" w:rsidP="00CD45A4">
      <w:pPr>
        <w:widowControl w:val="0"/>
        <w:tabs>
          <w:tab w:val="left" w:pos="8223"/>
        </w:tabs>
        <w:ind w:firstLine="425"/>
        <w:contextualSpacing/>
        <w:jc w:val="right"/>
        <w:rPr>
          <w:rFonts w:eastAsia="Courier New"/>
          <w:color w:val="000000"/>
          <w:sz w:val="22"/>
          <w:szCs w:val="22"/>
          <w:lang w:eastAsia="en-US"/>
        </w:rPr>
      </w:pPr>
      <w:r>
        <w:rPr>
          <w:rFonts w:eastAsia="Courier New"/>
          <w:color w:val="000000"/>
          <w:sz w:val="22"/>
          <w:szCs w:val="22"/>
          <w:lang w:eastAsia="en-US"/>
        </w:rPr>
        <w:t>студентка 2-го курса</w:t>
      </w:r>
    </w:p>
    <w:p w:rsidR="00CD45A4" w:rsidRPr="00CD45A4" w:rsidRDefault="00CD45A4" w:rsidP="00CD45A4">
      <w:pPr>
        <w:widowControl w:val="0"/>
        <w:tabs>
          <w:tab w:val="left" w:pos="8223"/>
        </w:tabs>
        <w:ind w:firstLine="425"/>
        <w:contextualSpacing/>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ind w:firstLine="425"/>
        <w:contextualSpacing/>
        <w:jc w:val="right"/>
        <w:rPr>
          <w:rFonts w:eastAsia="Courier New"/>
          <w:color w:val="000000"/>
          <w:sz w:val="22"/>
          <w:szCs w:val="22"/>
          <w:lang w:eastAsia="en-US"/>
        </w:rPr>
      </w:pPr>
      <w:r w:rsidRPr="00CD45A4">
        <w:rPr>
          <w:rFonts w:eastAsia="Courier New"/>
          <w:color w:val="000000"/>
          <w:sz w:val="22"/>
          <w:szCs w:val="22"/>
          <w:lang w:eastAsia="en-US"/>
        </w:rPr>
        <w:t>Куб</w:t>
      </w:r>
      <w:r w:rsidR="00BF679C">
        <w:rPr>
          <w:rFonts w:eastAsia="Courier New"/>
          <w:color w:val="000000"/>
          <w:sz w:val="22"/>
          <w:szCs w:val="22"/>
          <w:lang w:eastAsia="en-US"/>
        </w:rPr>
        <w:t>анский государственный аграрный</w:t>
      </w:r>
    </w:p>
    <w:p w:rsidR="00CD45A4" w:rsidRPr="00CD45A4" w:rsidRDefault="00CD45A4" w:rsidP="00CD45A4">
      <w:pPr>
        <w:widowControl w:val="0"/>
        <w:ind w:firstLine="425"/>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BF679C">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widowControl w:val="0"/>
        <w:ind w:firstLine="425"/>
        <w:contextualSpacing/>
        <w:jc w:val="both"/>
        <w:rPr>
          <w:rFonts w:eastAsia="Courier New"/>
          <w:color w:val="000000"/>
          <w:sz w:val="22"/>
          <w:szCs w:val="22"/>
          <w:lang w:eastAsia="en-US"/>
        </w:rPr>
      </w:pPr>
    </w:p>
    <w:p w:rsidR="00CD45A4" w:rsidRPr="00CD45A4" w:rsidRDefault="00CD45A4" w:rsidP="00CD45A4">
      <w:pPr>
        <w:widowControl w:val="0"/>
        <w:suppressAutoHyphens/>
        <w:ind w:firstLine="425"/>
        <w:contextualSpacing/>
        <w:jc w:val="both"/>
        <w:rPr>
          <w:rFonts w:eastAsia="Courier New"/>
          <w:color w:val="000000"/>
          <w:sz w:val="22"/>
          <w:szCs w:val="22"/>
          <w:lang w:eastAsia="en-US"/>
        </w:rPr>
      </w:pPr>
      <w:r w:rsidRPr="00CD45A4">
        <w:rPr>
          <w:rFonts w:eastAsia="Courier New"/>
          <w:color w:val="000000"/>
          <w:sz w:val="22"/>
          <w:szCs w:val="22"/>
          <w:lang w:eastAsia="en-US"/>
        </w:rPr>
        <w:t>АННОТАЦИЯ: В статье изучено влияние строительной фирм</w:t>
      </w:r>
      <w:proofErr w:type="gramStart"/>
      <w:r w:rsidRPr="00CD45A4">
        <w:rPr>
          <w:rFonts w:eastAsia="Courier New"/>
          <w:color w:val="000000"/>
          <w:sz w:val="22"/>
          <w:szCs w:val="22"/>
          <w:lang w:eastAsia="en-US"/>
        </w:rPr>
        <w:t>ы ООО</w:t>
      </w:r>
      <w:proofErr w:type="gramEnd"/>
      <w:r w:rsidRPr="00CD45A4">
        <w:rPr>
          <w:rFonts w:eastAsia="Courier New"/>
          <w:color w:val="000000"/>
          <w:sz w:val="22"/>
          <w:szCs w:val="22"/>
          <w:lang w:eastAsia="en-US"/>
        </w:rPr>
        <w:t xml:space="preserve"> «Строитель» на </w:t>
      </w:r>
      <w:r w:rsidRPr="00CD45A4">
        <w:rPr>
          <w:bCs/>
          <w:color w:val="000000"/>
          <w:sz w:val="22"/>
          <w:szCs w:val="22"/>
        </w:rPr>
        <w:t xml:space="preserve">загрязнение окружающей среды пылью по ее накоплению на листовых пластинках растения </w:t>
      </w:r>
      <w:r w:rsidRPr="00CD45A4">
        <w:rPr>
          <w:rFonts w:eastAsia="Calibri"/>
          <w:sz w:val="22"/>
          <w:szCs w:val="22"/>
          <w:lang w:eastAsia="en-US"/>
        </w:rPr>
        <w:t xml:space="preserve">тополя пирамидального </w:t>
      </w:r>
      <w:r w:rsidRPr="00CD45A4">
        <w:rPr>
          <w:rFonts w:eastAsia="Calibri"/>
          <w:i/>
          <w:sz w:val="22"/>
          <w:szCs w:val="22"/>
          <w:lang w:eastAsia="en-US"/>
        </w:rPr>
        <w:t>(Populus p</w:t>
      </w:r>
      <w:r w:rsidRPr="00CD45A4">
        <w:rPr>
          <w:rFonts w:eastAsia="Calibri"/>
          <w:i/>
          <w:sz w:val="22"/>
          <w:szCs w:val="22"/>
          <w:lang w:val="en-US" w:eastAsia="en-US"/>
        </w:rPr>
        <w:t>y</w:t>
      </w:r>
      <w:r w:rsidRPr="00CD45A4">
        <w:rPr>
          <w:rFonts w:eastAsia="Calibri"/>
          <w:i/>
          <w:sz w:val="22"/>
          <w:szCs w:val="22"/>
          <w:lang w:eastAsia="en-US"/>
        </w:rPr>
        <w:t>ramidalis).</w:t>
      </w:r>
    </w:p>
    <w:p w:rsidR="00CD45A4" w:rsidRPr="00CD45A4" w:rsidRDefault="00CD45A4" w:rsidP="00CD45A4">
      <w:pPr>
        <w:widowControl w:val="0"/>
        <w:suppressAutoHyphens/>
        <w:ind w:firstLine="425"/>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ABSTRACT:</w:t>
      </w:r>
      <w:r w:rsidRPr="00CD45A4">
        <w:rPr>
          <w:rFonts w:ascii="Calibri" w:eastAsia="Calibri" w:hAnsi="Calibri"/>
          <w:sz w:val="22"/>
          <w:szCs w:val="22"/>
          <w:lang w:val="en-US" w:eastAsia="en-US"/>
        </w:rPr>
        <w:t xml:space="preserve"> </w:t>
      </w:r>
      <w:r w:rsidRPr="00CD45A4">
        <w:rPr>
          <w:rFonts w:eastAsia="Courier New"/>
          <w:color w:val="000000"/>
          <w:sz w:val="22"/>
          <w:szCs w:val="22"/>
          <w:lang w:val="en-US" w:eastAsia="en-US"/>
        </w:rPr>
        <w:t>The article studies the influence of the construction company «Builder» on the pollution of the environment with dust on its accumulation on the leaf plates of the plant poplar pyramidalis (Populus pyramidalis).</w:t>
      </w:r>
    </w:p>
    <w:p w:rsidR="00CD45A4" w:rsidRPr="00CD45A4" w:rsidRDefault="00CD45A4" w:rsidP="00CD45A4">
      <w:pPr>
        <w:widowControl w:val="0"/>
        <w:suppressAutoHyphens/>
        <w:ind w:firstLine="425"/>
        <w:contextualSpacing/>
        <w:jc w:val="both"/>
        <w:rPr>
          <w:rFonts w:eastAsia="Courier New"/>
          <w:color w:val="000000"/>
          <w:sz w:val="22"/>
          <w:szCs w:val="22"/>
          <w:lang w:eastAsia="en-US"/>
        </w:rPr>
      </w:pPr>
      <w:r w:rsidRPr="00CD45A4">
        <w:rPr>
          <w:rFonts w:eastAsia="Courier New"/>
          <w:color w:val="000000"/>
          <w:sz w:val="22"/>
          <w:szCs w:val="22"/>
          <w:lang w:eastAsia="en-US"/>
        </w:rPr>
        <w:t>КЛЮЧЕВЫЕ СЛОВА: загрязнение, атмосферный воздух, пыль, листовая пластина, запыленность, воздух.</w:t>
      </w:r>
    </w:p>
    <w:p w:rsidR="00CD45A4" w:rsidRPr="00CD45A4" w:rsidRDefault="00CD45A4" w:rsidP="00CD45A4">
      <w:pPr>
        <w:widowControl w:val="0"/>
        <w:suppressAutoHyphens/>
        <w:ind w:firstLine="425"/>
        <w:contextualSpacing/>
        <w:jc w:val="both"/>
        <w:rPr>
          <w:rFonts w:eastAsia="Calibri"/>
          <w:sz w:val="22"/>
          <w:szCs w:val="22"/>
          <w:lang w:val="en-US" w:eastAsia="en-US"/>
        </w:rPr>
      </w:pPr>
      <w:r w:rsidRPr="00CD45A4">
        <w:rPr>
          <w:rFonts w:eastAsia="Courier New"/>
          <w:color w:val="000000"/>
          <w:sz w:val="22"/>
          <w:szCs w:val="22"/>
          <w:lang w:val="en-US" w:eastAsia="en-US"/>
        </w:rPr>
        <w:t>KEY WORDS: pollution, atmospheric air, dust, sheet metal, dust, air.</w:t>
      </w:r>
    </w:p>
    <w:p w:rsidR="00CD45A4" w:rsidRPr="00CD45A4" w:rsidRDefault="00CD45A4" w:rsidP="00CD45A4">
      <w:pPr>
        <w:widowControl w:val="0"/>
        <w:ind w:firstLine="425"/>
        <w:jc w:val="both"/>
        <w:rPr>
          <w:sz w:val="22"/>
          <w:szCs w:val="22"/>
          <w:lang w:val="en-US"/>
        </w:rPr>
      </w:pPr>
    </w:p>
    <w:p w:rsidR="00CD45A4" w:rsidRPr="00CD45A4" w:rsidRDefault="00CD45A4" w:rsidP="00CD45A4">
      <w:pPr>
        <w:widowControl w:val="0"/>
        <w:ind w:firstLine="425"/>
        <w:jc w:val="both"/>
        <w:rPr>
          <w:spacing w:val="-2"/>
          <w:sz w:val="22"/>
          <w:szCs w:val="22"/>
        </w:rPr>
      </w:pPr>
      <w:r w:rsidRPr="00CD45A4">
        <w:rPr>
          <w:sz w:val="22"/>
          <w:szCs w:val="22"/>
        </w:rPr>
        <w:t>В условиях интенсивно растущей строительной отрасли сег</w:t>
      </w:r>
      <w:r w:rsidRPr="00CD45A4">
        <w:rPr>
          <w:sz w:val="22"/>
          <w:szCs w:val="22"/>
        </w:rPr>
        <w:t>о</w:t>
      </w:r>
      <w:r w:rsidRPr="00CD45A4">
        <w:rPr>
          <w:sz w:val="22"/>
          <w:szCs w:val="22"/>
        </w:rPr>
        <w:t>дня в России экологической безопасности строительных и отдело</w:t>
      </w:r>
      <w:r w:rsidRPr="00CD45A4">
        <w:rPr>
          <w:sz w:val="22"/>
          <w:szCs w:val="22"/>
        </w:rPr>
        <w:t>ч</w:t>
      </w:r>
      <w:r w:rsidRPr="00CD45A4">
        <w:rPr>
          <w:sz w:val="22"/>
          <w:szCs w:val="22"/>
        </w:rPr>
        <w:t xml:space="preserve">ных материалов уделяется самое пристальное внимание </w:t>
      </w:r>
      <w:r w:rsidRPr="00CD45A4">
        <w:rPr>
          <w:color w:val="000000"/>
          <w:spacing w:val="-2"/>
          <w:sz w:val="22"/>
          <w:szCs w:val="22"/>
        </w:rPr>
        <w:t>[4]</w:t>
      </w:r>
      <w:r w:rsidRPr="00CD45A4">
        <w:rPr>
          <w:sz w:val="22"/>
          <w:szCs w:val="22"/>
        </w:rPr>
        <w:t>. Ос</w:t>
      </w:r>
      <w:r w:rsidRPr="00CD45A4">
        <w:rPr>
          <w:sz w:val="22"/>
          <w:szCs w:val="22"/>
        </w:rPr>
        <w:t>о</w:t>
      </w:r>
      <w:r w:rsidRPr="00CD45A4">
        <w:rPr>
          <w:sz w:val="22"/>
          <w:szCs w:val="22"/>
        </w:rPr>
        <w:t>бенно в свете последних событий, связанных с трагедией пожара в торговом центре «Зимняя вишня» в г. Кемерово. Основные исто</w:t>
      </w:r>
      <w:r w:rsidRPr="00CD45A4">
        <w:rPr>
          <w:sz w:val="22"/>
          <w:szCs w:val="22"/>
        </w:rPr>
        <w:t>ч</w:t>
      </w:r>
      <w:r w:rsidRPr="00CD45A4">
        <w:rPr>
          <w:sz w:val="22"/>
          <w:szCs w:val="22"/>
        </w:rPr>
        <w:t>ники токсичных веществ, попадающих в атмосферу селитебных зон, – загазованный уличный воздух, некачественные строительные и отделочные материалы, а также</w:t>
      </w:r>
      <w:r w:rsidRPr="00CD45A4">
        <w:rPr>
          <w:spacing w:val="-2"/>
          <w:sz w:val="22"/>
          <w:szCs w:val="22"/>
        </w:rPr>
        <w:t xml:space="preserve"> пыль </w:t>
      </w:r>
      <w:r w:rsidRPr="00CD45A4">
        <w:rPr>
          <w:sz w:val="22"/>
          <w:szCs w:val="22"/>
        </w:rPr>
        <w:t>[2, 3].</w:t>
      </w:r>
    </w:p>
    <w:p w:rsidR="00CD45A4" w:rsidRPr="00CD45A4" w:rsidRDefault="00CD45A4" w:rsidP="00CD45A4">
      <w:pPr>
        <w:widowControl w:val="0"/>
        <w:autoSpaceDE w:val="0"/>
        <w:autoSpaceDN w:val="0"/>
        <w:adjustRightInd w:val="0"/>
        <w:ind w:firstLine="425"/>
        <w:jc w:val="both"/>
        <w:rPr>
          <w:sz w:val="22"/>
          <w:szCs w:val="22"/>
        </w:rPr>
      </w:pPr>
      <w:r w:rsidRPr="00CD45A4">
        <w:rPr>
          <w:sz w:val="22"/>
          <w:szCs w:val="22"/>
        </w:rPr>
        <w:t>Изучение особенностей влияния предприятия, осуществля</w:t>
      </w:r>
      <w:r w:rsidRPr="00CD45A4">
        <w:rPr>
          <w:sz w:val="22"/>
          <w:szCs w:val="22"/>
        </w:rPr>
        <w:t>ю</w:t>
      </w:r>
      <w:r w:rsidRPr="00CD45A4">
        <w:rPr>
          <w:sz w:val="22"/>
          <w:szCs w:val="22"/>
        </w:rPr>
        <w:t>щей производство, хранение, транспортировку, и розничную то</w:t>
      </w:r>
      <w:r w:rsidRPr="00CD45A4">
        <w:rPr>
          <w:sz w:val="22"/>
          <w:szCs w:val="22"/>
        </w:rPr>
        <w:t>р</w:t>
      </w:r>
      <w:r w:rsidRPr="00CD45A4">
        <w:rPr>
          <w:sz w:val="22"/>
          <w:szCs w:val="22"/>
        </w:rPr>
        <w:lastRenderedPageBreak/>
        <w:t xml:space="preserve">говлю строительными материалами, на запыленность окружающей среды является весьма актуальной. </w:t>
      </w:r>
    </w:p>
    <w:p w:rsidR="00CD45A4" w:rsidRPr="00CD45A4" w:rsidRDefault="00CD45A4" w:rsidP="00CD45A4">
      <w:pPr>
        <w:widowControl w:val="0"/>
        <w:autoSpaceDE w:val="0"/>
        <w:autoSpaceDN w:val="0"/>
        <w:adjustRightInd w:val="0"/>
        <w:ind w:firstLine="425"/>
        <w:jc w:val="both"/>
        <w:rPr>
          <w:color w:val="000000"/>
          <w:spacing w:val="-2"/>
          <w:sz w:val="22"/>
          <w:szCs w:val="22"/>
        </w:rPr>
      </w:pPr>
      <w:r w:rsidRPr="00CD45A4">
        <w:rPr>
          <w:bCs/>
          <w:color w:val="000000"/>
          <w:sz w:val="22"/>
          <w:szCs w:val="22"/>
        </w:rPr>
        <w:t>В результате исследований определяли загрязнение окружа</w:t>
      </w:r>
      <w:r w:rsidRPr="00CD45A4">
        <w:rPr>
          <w:bCs/>
          <w:color w:val="000000"/>
          <w:sz w:val="22"/>
          <w:szCs w:val="22"/>
        </w:rPr>
        <w:t>ю</w:t>
      </w:r>
      <w:r w:rsidRPr="00CD45A4">
        <w:rPr>
          <w:bCs/>
          <w:color w:val="000000"/>
          <w:sz w:val="22"/>
          <w:szCs w:val="22"/>
        </w:rPr>
        <w:t>щей среды пылью по ее накоплению на листовых пластинках раст</w:t>
      </w:r>
      <w:r w:rsidRPr="00CD45A4">
        <w:rPr>
          <w:bCs/>
          <w:color w:val="000000"/>
          <w:sz w:val="22"/>
          <w:szCs w:val="22"/>
        </w:rPr>
        <w:t>е</w:t>
      </w:r>
      <w:r w:rsidRPr="00CD45A4">
        <w:rPr>
          <w:bCs/>
          <w:color w:val="000000"/>
          <w:sz w:val="22"/>
          <w:szCs w:val="22"/>
        </w:rPr>
        <w:t xml:space="preserve">ний. </w:t>
      </w:r>
      <w:r w:rsidRPr="00CD45A4">
        <w:rPr>
          <w:spacing w:val="-2"/>
          <w:sz w:val="22"/>
          <w:szCs w:val="22"/>
        </w:rPr>
        <w:t xml:space="preserve">Пыль технологического происхождения весьма разнообразна по химическому составу, размеру частиц, их форме, характеру краев частиц, плотности и др. </w:t>
      </w:r>
      <w:r w:rsidRPr="00CD45A4">
        <w:rPr>
          <w:color w:val="000000"/>
          <w:spacing w:val="-2"/>
          <w:sz w:val="22"/>
          <w:szCs w:val="22"/>
        </w:rPr>
        <w:t>Косвенным показателем количества пыли, осаждающейся из воздуха на поверхность земли, может служить ст</w:t>
      </w:r>
      <w:r w:rsidRPr="00CD45A4">
        <w:rPr>
          <w:color w:val="000000"/>
          <w:spacing w:val="-2"/>
          <w:sz w:val="22"/>
          <w:szCs w:val="22"/>
        </w:rPr>
        <w:t>е</w:t>
      </w:r>
      <w:r w:rsidRPr="00CD45A4">
        <w:rPr>
          <w:color w:val="000000"/>
          <w:spacing w:val="-2"/>
          <w:sz w:val="22"/>
          <w:szCs w:val="22"/>
        </w:rPr>
        <w:t>пень запыленности листовых пластинок широколиственных древе</w:t>
      </w:r>
      <w:r w:rsidRPr="00CD45A4">
        <w:rPr>
          <w:color w:val="000000"/>
          <w:spacing w:val="-2"/>
          <w:sz w:val="22"/>
          <w:szCs w:val="22"/>
        </w:rPr>
        <w:t>с</w:t>
      </w:r>
      <w:r w:rsidRPr="00CD45A4">
        <w:rPr>
          <w:color w:val="000000"/>
          <w:spacing w:val="-2"/>
          <w:sz w:val="22"/>
          <w:szCs w:val="22"/>
        </w:rPr>
        <w:t>но-кустарниковых пород. Отбор проб проводился точечно в разли</w:t>
      </w:r>
      <w:r w:rsidRPr="00CD45A4">
        <w:rPr>
          <w:color w:val="000000"/>
          <w:spacing w:val="-2"/>
          <w:sz w:val="22"/>
          <w:szCs w:val="22"/>
        </w:rPr>
        <w:t>ч</w:t>
      </w:r>
      <w:r w:rsidRPr="00CD45A4">
        <w:rPr>
          <w:color w:val="000000"/>
          <w:spacing w:val="-2"/>
          <w:sz w:val="22"/>
          <w:szCs w:val="22"/>
        </w:rPr>
        <w:t>ных местах исследований: у дороги и мест парковки, возле ме</w:t>
      </w:r>
      <w:proofErr w:type="gramStart"/>
      <w:r w:rsidRPr="00CD45A4">
        <w:rPr>
          <w:color w:val="000000"/>
          <w:spacing w:val="-2"/>
          <w:sz w:val="22"/>
          <w:szCs w:val="22"/>
        </w:rPr>
        <w:t>ст скл</w:t>
      </w:r>
      <w:proofErr w:type="gramEnd"/>
      <w:r w:rsidRPr="00CD45A4">
        <w:rPr>
          <w:color w:val="000000"/>
          <w:spacing w:val="-2"/>
          <w:sz w:val="22"/>
          <w:szCs w:val="22"/>
        </w:rPr>
        <w:t>адирования, зеленой зоне. Для определения запыленность испол</w:t>
      </w:r>
      <w:r w:rsidRPr="00CD45A4">
        <w:rPr>
          <w:color w:val="000000"/>
          <w:spacing w:val="-2"/>
          <w:sz w:val="22"/>
          <w:szCs w:val="22"/>
        </w:rPr>
        <w:t>ь</w:t>
      </w:r>
      <w:r w:rsidRPr="00CD45A4">
        <w:rPr>
          <w:color w:val="000000"/>
          <w:spacing w:val="-2"/>
          <w:sz w:val="22"/>
          <w:szCs w:val="22"/>
        </w:rPr>
        <w:t>зовалась стандартные методики [1].</w:t>
      </w:r>
      <w:r w:rsidRPr="00CD45A4">
        <w:rPr>
          <w:spacing w:val="-2"/>
          <w:sz w:val="22"/>
          <w:szCs w:val="22"/>
        </w:rPr>
        <w:t xml:space="preserve"> Опыты проводились в трехкра</w:t>
      </w:r>
      <w:r w:rsidRPr="00CD45A4">
        <w:rPr>
          <w:spacing w:val="-2"/>
          <w:sz w:val="22"/>
          <w:szCs w:val="22"/>
        </w:rPr>
        <w:t>т</w:t>
      </w:r>
      <w:r w:rsidRPr="00CD45A4">
        <w:rPr>
          <w:spacing w:val="-2"/>
          <w:sz w:val="22"/>
          <w:szCs w:val="22"/>
        </w:rPr>
        <w:t>ной повторности с временным интервалом раз в 2 недели.</w:t>
      </w:r>
    </w:p>
    <w:p w:rsidR="00CD45A4" w:rsidRPr="00CD45A4" w:rsidRDefault="00CD45A4" w:rsidP="00CD45A4">
      <w:pPr>
        <w:widowControl w:val="0"/>
        <w:shd w:val="clear" w:color="auto" w:fill="FFFFFF"/>
        <w:ind w:firstLine="425"/>
        <w:jc w:val="both"/>
        <w:rPr>
          <w:sz w:val="22"/>
          <w:szCs w:val="22"/>
        </w:rPr>
      </w:pPr>
      <w:r w:rsidRPr="00CD45A4">
        <w:rPr>
          <w:sz w:val="22"/>
          <w:szCs w:val="22"/>
        </w:rPr>
        <w:t>Для расчета загрязнения атмосферного воздуха использовался к</w:t>
      </w:r>
      <w:r w:rsidRPr="00CD45A4">
        <w:rPr>
          <w:iCs/>
          <w:sz w:val="22"/>
          <w:szCs w:val="22"/>
        </w:rPr>
        <w:t>оличественный способ по</w:t>
      </w:r>
      <w:r w:rsidRPr="00CD45A4">
        <w:rPr>
          <w:i/>
          <w:iCs/>
          <w:sz w:val="22"/>
          <w:szCs w:val="22"/>
        </w:rPr>
        <w:t xml:space="preserve"> </w:t>
      </w:r>
      <w:r w:rsidRPr="00CD45A4">
        <w:rPr>
          <w:sz w:val="22"/>
          <w:szCs w:val="22"/>
        </w:rPr>
        <w:t xml:space="preserve">листьям </w:t>
      </w:r>
      <w:r w:rsidRPr="00CD45A4">
        <w:rPr>
          <w:rFonts w:eastAsia="Calibri"/>
          <w:sz w:val="22"/>
          <w:szCs w:val="22"/>
          <w:lang w:eastAsia="en-US"/>
        </w:rPr>
        <w:t xml:space="preserve">тополя пирамидального </w:t>
      </w:r>
      <w:r w:rsidRPr="00CD45A4">
        <w:rPr>
          <w:rFonts w:eastAsia="Calibri"/>
          <w:i/>
          <w:sz w:val="22"/>
          <w:szCs w:val="22"/>
          <w:lang w:eastAsia="en-US"/>
        </w:rPr>
        <w:t>(Populus p</w:t>
      </w:r>
      <w:r w:rsidRPr="00CD45A4">
        <w:rPr>
          <w:rFonts w:eastAsia="Calibri"/>
          <w:i/>
          <w:sz w:val="22"/>
          <w:szCs w:val="22"/>
          <w:lang w:val="en-US" w:eastAsia="en-US"/>
        </w:rPr>
        <w:t>y</w:t>
      </w:r>
      <w:r w:rsidRPr="00CD45A4">
        <w:rPr>
          <w:rFonts w:eastAsia="Calibri"/>
          <w:i/>
          <w:sz w:val="22"/>
          <w:szCs w:val="22"/>
          <w:lang w:eastAsia="en-US"/>
        </w:rPr>
        <w:t>ramidalis)</w:t>
      </w:r>
      <w:r w:rsidRPr="00CD45A4">
        <w:rPr>
          <w:sz w:val="22"/>
          <w:szCs w:val="22"/>
        </w:rPr>
        <w:t>. Изучение запыленности воздуха в пределах изучаемого ландшафта, проводились в местах наибольшего пылев</w:t>
      </w:r>
      <w:r w:rsidRPr="00CD45A4">
        <w:rPr>
          <w:sz w:val="22"/>
          <w:szCs w:val="22"/>
        </w:rPr>
        <w:t>о</w:t>
      </w:r>
      <w:r w:rsidRPr="00CD45A4">
        <w:rPr>
          <w:sz w:val="22"/>
          <w:szCs w:val="22"/>
        </w:rPr>
        <w:t xml:space="preserve">го загрязнения, в ходе исследования были взяты три площадки: </w:t>
      </w:r>
    </w:p>
    <w:p w:rsidR="00CD45A4" w:rsidRPr="00CD45A4" w:rsidRDefault="00CD45A4" w:rsidP="00CD45A4">
      <w:pPr>
        <w:widowControl w:val="0"/>
        <w:tabs>
          <w:tab w:val="left" w:pos="2982"/>
        </w:tabs>
        <w:ind w:firstLine="425"/>
        <w:jc w:val="both"/>
        <w:rPr>
          <w:sz w:val="22"/>
          <w:szCs w:val="22"/>
        </w:rPr>
      </w:pPr>
      <w:r w:rsidRPr="00CD45A4">
        <w:rPr>
          <w:sz w:val="22"/>
          <w:szCs w:val="22"/>
        </w:rPr>
        <w:t>– на первой площадке (А) в месте произрастания Тополя пир</w:t>
      </w:r>
      <w:r w:rsidRPr="00CD45A4">
        <w:rPr>
          <w:sz w:val="22"/>
          <w:szCs w:val="22"/>
        </w:rPr>
        <w:t>а</w:t>
      </w:r>
      <w:r w:rsidRPr="00CD45A4">
        <w:rPr>
          <w:sz w:val="22"/>
          <w:szCs w:val="22"/>
        </w:rPr>
        <w:t>мидального, расположенной вблизи трубы котельной и произво</w:t>
      </w:r>
      <w:r w:rsidRPr="00CD45A4">
        <w:rPr>
          <w:sz w:val="22"/>
          <w:szCs w:val="22"/>
        </w:rPr>
        <w:t>д</w:t>
      </w:r>
      <w:r w:rsidRPr="00CD45A4">
        <w:rPr>
          <w:sz w:val="22"/>
          <w:szCs w:val="22"/>
        </w:rPr>
        <w:t xml:space="preserve">ственных агрегатов, исследовалось одно дерево; </w:t>
      </w:r>
    </w:p>
    <w:p w:rsidR="00CD45A4" w:rsidRPr="00CD45A4" w:rsidRDefault="00CD45A4" w:rsidP="00CD45A4">
      <w:pPr>
        <w:widowControl w:val="0"/>
        <w:tabs>
          <w:tab w:val="left" w:pos="2982"/>
        </w:tabs>
        <w:ind w:firstLine="425"/>
        <w:jc w:val="both"/>
        <w:rPr>
          <w:sz w:val="22"/>
          <w:szCs w:val="22"/>
        </w:rPr>
      </w:pPr>
      <w:r w:rsidRPr="00CD45A4">
        <w:rPr>
          <w:sz w:val="22"/>
          <w:szCs w:val="22"/>
        </w:rPr>
        <w:t xml:space="preserve">– на второй площадке (В) вблизи складских помещений </w:t>
      </w:r>
      <w:r w:rsidRPr="00CD45A4">
        <w:rPr>
          <w:rFonts w:eastAsia="Calibri"/>
          <w:sz w:val="22"/>
          <w:szCs w:val="22"/>
          <w:lang w:eastAsia="en-US"/>
        </w:rPr>
        <w:t>и боя кирпича</w:t>
      </w:r>
      <w:r w:rsidRPr="00CD45A4">
        <w:rPr>
          <w:sz w:val="22"/>
          <w:szCs w:val="22"/>
        </w:rPr>
        <w:t xml:space="preserve"> исследовалось три дерева;</w:t>
      </w:r>
    </w:p>
    <w:p w:rsidR="00CD45A4" w:rsidRPr="00CD45A4" w:rsidRDefault="00CD45A4" w:rsidP="00CD45A4">
      <w:pPr>
        <w:widowControl w:val="0"/>
        <w:tabs>
          <w:tab w:val="left" w:pos="2982"/>
        </w:tabs>
        <w:ind w:firstLine="425"/>
        <w:jc w:val="both"/>
        <w:rPr>
          <w:sz w:val="22"/>
          <w:szCs w:val="22"/>
        </w:rPr>
      </w:pPr>
      <w:r w:rsidRPr="00CD45A4">
        <w:rPr>
          <w:sz w:val="22"/>
          <w:szCs w:val="22"/>
        </w:rPr>
        <w:t>– на третьей площадке (С) по направлению господствующих западных ветров, в зоне рассеивания загрязняющих веществ со ст</w:t>
      </w:r>
      <w:r w:rsidRPr="00CD45A4">
        <w:rPr>
          <w:sz w:val="22"/>
          <w:szCs w:val="22"/>
        </w:rPr>
        <w:t>о</w:t>
      </w:r>
      <w:r w:rsidRPr="00CD45A4">
        <w:rPr>
          <w:sz w:val="22"/>
          <w:szCs w:val="22"/>
        </w:rPr>
        <w:t>роны исследуемого предприятия и непосредственной близости к автодороге, исследовались два дерева.</w:t>
      </w:r>
    </w:p>
    <w:p w:rsidR="00CD45A4" w:rsidRPr="00CD45A4" w:rsidRDefault="00CD45A4" w:rsidP="00CD45A4">
      <w:pPr>
        <w:widowControl w:val="0"/>
        <w:ind w:firstLine="425"/>
        <w:jc w:val="both"/>
        <w:rPr>
          <w:sz w:val="22"/>
          <w:szCs w:val="22"/>
        </w:rPr>
      </w:pPr>
      <w:r w:rsidRPr="00CD45A4">
        <w:rPr>
          <w:sz w:val="22"/>
          <w:szCs w:val="22"/>
        </w:rPr>
        <w:t>В результате оценки загрязнения атмосферного воздуха по л</w:t>
      </w:r>
      <w:r w:rsidRPr="00CD45A4">
        <w:rPr>
          <w:sz w:val="22"/>
          <w:szCs w:val="22"/>
        </w:rPr>
        <w:t>и</w:t>
      </w:r>
      <w:r w:rsidRPr="00CD45A4">
        <w:rPr>
          <w:sz w:val="22"/>
          <w:szCs w:val="22"/>
        </w:rPr>
        <w:t>стьям листопадных пород, было определено превышение предельно допустимой концентрации (ПДК) пыли неорганической во всех точках исследования. Наибольшее образование пыли происходит</w:t>
      </w:r>
      <w:r w:rsidRPr="00CD45A4">
        <w:rPr>
          <w:rFonts w:eastAsia="Calibri"/>
          <w:sz w:val="22"/>
          <w:szCs w:val="22"/>
          <w:lang w:eastAsia="en-US"/>
        </w:rPr>
        <w:t xml:space="preserve"> при пересыпке, погрузки, песка, а также в местах складирования боя кирпича в точке В</w:t>
      </w:r>
      <w:r w:rsidRPr="00CD45A4">
        <w:rPr>
          <w:iCs/>
          <w:sz w:val="22"/>
          <w:szCs w:val="22"/>
        </w:rPr>
        <w:t xml:space="preserve">. При </w:t>
      </w:r>
      <w:r w:rsidRPr="00CD45A4">
        <w:rPr>
          <w:sz w:val="22"/>
          <w:szCs w:val="22"/>
        </w:rPr>
        <w:t>ПДКс</w:t>
      </w:r>
      <w:proofErr w:type="gramStart"/>
      <w:r w:rsidRPr="00CD45A4">
        <w:rPr>
          <w:sz w:val="22"/>
          <w:szCs w:val="22"/>
        </w:rPr>
        <w:t>.с</w:t>
      </w:r>
      <w:proofErr w:type="gramEnd"/>
      <w:r w:rsidRPr="00CD45A4">
        <w:rPr>
          <w:sz w:val="22"/>
          <w:szCs w:val="22"/>
        </w:rPr>
        <w:t>= 0,1 мг/м</w:t>
      </w:r>
      <w:r w:rsidRPr="00CD45A4">
        <w:rPr>
          <w:sz w:val="22"/>
          <w:szCs w:val="22"/>
          <w:vertAlign w:val="superscript"/>
        </w:rPr>
        <w:t xml:space="preserve">3 </w:t>
      </w:r>
      <w:r w:rsidRPr="00CD45A4">
        <w:rPr>
          <w:sz w:val="22"/>
          <w:szCs w:val="22"/>
        </w:rPr>
        <w:t xml:space="preserve"> пыли неорганич</w:t>
      </w:r>
      <w:r w:rsidRPr="00CD45A4">
        <w:rPr>
          <w:sz w:val="22"/>
          <w:szCs w:val="22"/>
        </w:rPr>
        <w:t>е</w:t>
      </w:r>
      <w:r w:rsidRPr="00CD45A4">
        <w:rPr>
          <w:sz w:val="22"/>
          <w:szCs w:val="22"/>
        </w:rPr>
        <w:t>ской, содержащей двуокись кремния 70-20 % (цемент, пыль ц</w:t>
      </w:r>
      <w:r w:rsidRPr="00CD45A4">
        <w:rPr>
          <w:sz w:val="22"/>
          <w:szCs w:val="22"/>
        </w:rPr>
        <w:t>е</w:t>
      </w:r>
      <w:r w:rsidRPr="00CD45A4">
        <w:rPr>
          <w:sz w:val="22"/>
          <w:szCs w:val="22"/>
        </w:rPr>
        <w:t>ментного производства - глина, глинистый сланец, песок, клинкер, и др.), концентрация пыли в атмосферном воздухе превышает ПДК в 10,0 раз (1,00 мг/м</w:t>
      </w:r>
      <w:r w:rsidRPr="00CD45A4">
        <w:rPr>
          <w:sz w:val="22"/>
          <w:szCs w:val="22"/>
          <w:vertAlign w:val="superscript"/>
        </w:rPr>
        <w:t>3</w:t>
      </w:r>
      <w:r w:rsidRPr="00CD45A4">
        <w:rPr>
          <w:sz w:val="22"/>
          <w:szCs w:val="22"/>
        </w:rPr>
        <w:t>). В точке</w:t>
      </w:r>
      <w:proofErr w:type="gramStart"/>
      <w:r w:rsidRPr="00CD45A4">
        <w:rPr>
          <w:sz w:val="22"/>
          <w:szCs w:val="22"/>
        </w:rPr>
        <w:t xml:space="preserve"> А</w:t>
      </w:r>
      <w:proofErr w:type="gramEnd"/>
      <w:r w:rsidRPr="00CD45A4">
        <w:rPr>
          <w:sz w:val="22"/>
          <w:szCs w:val="22"/>
        </w:rPr>
        <w:t xml:space="preserve"> расположенной по направлению </w:t>
      </w:r>
      <w:r w:rsidRPr="00CD45A4">
        <w:rPr>
          <w:sz w:val="22"/>
          <w:szCs w:val="22"/>
        </w:rPr>
        <w:lastRenderedPageBreak/>
        <w:t>преобладающих восточных, наблюдается превышение ПДК в 9 раз (0,9 мг/м</w:t>
      </w:r>
      <w:r w:rsidRPr="00CD45A4">
        <w:rPr>
          <w:sz w:val="22"/>
          <w:szCs w:val="22"/>
          <w:vertAlign w:val="superscript"/>
        </w:rPr>
        <w:t>3</w:t>
      </w:r>
      <w:r w:rsidRPr="00CD45A4">
        <w:rPr>
          <w:sz w:val="22"/>
          <w:szCs w:val="22"/>
        </w:rPr>
        <w:t>), что может быть связано с рассеиванием загрязняющих веществ в атмосфере от трубы котельной, и в точке С по направл</w:t>
      </w:r>
      <w:r w:rsidRPr="00CD45A4">
        <w:rPr>
          <w:sz w:val="22"/>
          <w:szCs w:val="22"/>
        </w:rPr>
        <w:t>е</w:t>
      </w:r>
      <w:r w:rsidRPr="00CD45A4">
        <w:rPr>
          <w:sz w:val="22"/>
          <w:szCs w:val="22"/>
        </w:rPr>
        <w:t>нию преобладающих западных ветров в 5 раз (0,51 мг/м</w:t>
      </w:r>
      <w:r w:rsidRPr="00CD45A4">
        <w:rPr>
          <w:sz w:val="22"/>
          <w:szCs w:val="22"/>
          <w:vertAlign w:val="superscript"/>
        </w:rPr>
        <w:t>3</w:t>
      </w:r>
      <w:r w:rsidRPr="00CD45A4">
        <w:rPr>
          <w:sz w:val="22"/>
          <w:szCs w:val="22"/>
        </w:rPr>
        <w:t>), что мо</w:t>
      </w:r>
      <w:r w:rsidRPr="00CD45A4">
        <w:rPr>
          <w:sz w:val="22"/>
          <w:szCs w:val="22"/>
        </w:rPr>
        <w:t>ж</w:t>
      </w:r>
      <w:r w:rsidRPr="00CD45A4">
        <w:rPr>
          <w:sz w:val="22"/>
          <w:szCs w:val="22"/>
        </w:rPr>
        <w:t>но объяснить близким расположением к исследуемому предпри</w:t>
      </w:r>
      <w:r w:rsidRPr="00CD45A4">
        <w:rPr>
          <w:sz w:val="22"/>
          <w:szCs w:val="22"/>
        </w:rPr>
        <w:t>я</w:t>
      </w:r>
      <w:r w:rsidRPr="00CD45A4">
        <w:rPr>
          <w:sz w:val="22"/>
          <w:szCs w:val="22"/>
        </w:rPr>
        <w:t>тию и дороге.</w:t>
      </w:r>
    </w:p>
    <w:p w:rsidR="00CD45A4" w:rsidRPr="00CD45A4" w:rsidRDefault="00CD45A4" w:rsidP="00CD45A4">
      <w:pPr>
        <w:widowControl w:val="0"/>
        <w:ind w:firstLine="425"/>
        <w:jc w:val="both"/>
        <w:rPr>
          <w:sz w:val="22"/>
          <w:szCs w:val="22"/>
        </w:rPr>
      </w:pPr>
      <w:r w:rsidRPr="00CD45A4">
        <w:rPr>
          <w:sz w:val="22"/>
          <w:szCs w:val="22"/>
        </w:rPr>
        <w:t xml:space="preserve">Вследствие того, что санитарно-защитная зона не соблюдается, то возможно негативное воздействие на прилегающую территорию предприятия. </w:t>
      </w:r>
    </w:p>
    <w:p w:rsidR="00CD45A4" w:rsidRPr="00CD45A4" w:rsidRDefault="00CD45A4" w:rsidP="00CD45A4">
      <w:pPr>
        <w:widowControl w:val="0"/>
        <w:ind w:firstLine="425"/>
        <w:jc w:val="both"/>
        <w:rPr>
          <w:rFonts w:eastAsia="Calibri"/>
          <w:sz w:val="22"/>
          <w:szCs w:val="22"/>
          <w:lang w:eastAsia="en-US"/>
        </w:rPr>
      </w:pPr>
    </w:p>
    <w:p w:rsidR="00CD45A4" w:rsidRPr="00CD45A4" w:rsidRDefault="00CD45A4" w:rsidP="00CD45A4">
      <w:pPr>
        <w:widowControl w:val="0"/>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CD45A4">
      <w:pPr>
        <w:widowControl w:val="0"/>
        <w:suppressAutoHyphens/>
        <w:ind w:firstLine="425"/>
        <w:jc w:val="both"/>
        <w:rPr>
          <w:rFonts w:eastAsia="Calibri"/>
          <w:sz w:val="22"/>
          <w:szCs w:val="20"/>
          <w:lang w:eastAsia="en-US"/>
        </w:rPr>
      </w:pPr>
      <w:r w:rsidRPr="00CD45A4">
        <w:rPr>
          <w:rFonts w:eastAsia="Calibri"/>
          <w:sz w:val="22"/>
          <w:szCs w:val="20"/>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Суркова – Краснодар: КубГАУ, 2016. – 80 с. </w:t>
      </w:r>
    </w:p>
    <w:p w:rsidR="00CD45A4" w:rsidRPr="00CD45A4" w:rsidRDefault="00CD45A4" w:rsidP="00CD45A4">
      <w:pPr>
        <w:widowControl w:val="0"/>
        <w:suppressAutoHyphens/>
        <w:ind w:firstLine="425"/>
        <w:jc w:val="both"/>
        <w:rPr>
          <w:rFonts w:eastAsia="Calibri"/>
          <w:sz w:val="22"/>
          <w:szCs w:val="22"/>
          <w:lang w:eastAsia="en-US"/>
        </w:rPr>
      </w:pPr>
      <w:r w:rsidRPr="00CD45A4">
        <w:rPr>
          <w:rFonts w:eastAsia="Calibri"/>
          <w:sz w:val="22"/>
          <w:szCs w:val="22"/>
          <w:lang w:eastAsia="en-US"/>
        </w:rPr>
        <w:t>2. Сметанин В. И. Защита окружающей среды от отходов производства и потребления / В.И. Сметанин. – М.: Колос, 2000. – 502 с.</w:t>
      </w:r>
    </w:p>
    <w:p w:rsidR="00CD45A4" w:rsidRPr="00CD45A4" w:rsidRDefault="00CD45A4" w:rsidP="00CD45A4">
      <w:pPr>
        <w:widowControl w:val="0"/>
        <w:suppressAutoHyphens/>
        <w:ind w:firstLine="425"/>
        <w:jc w:val="both"/>
        <w:rPr>
          <w:sz w:val="22"/>
          <w:szCs w:val="22"/>
        </w:rPr>
      </w:pPr>
      <w:r w:rsidRPr="00CD45A4">
        <w:rPr>
          <w:rFonts w:eastAsia="Calibri"/>
          <w:sz w:val="22"/>
          <w:szCs w:val="22"/>
          <w:lang w:eastAsia="en-US"/>
        </w:rPr>
        <w:t xml:space="preserve">3. </w:t>
      </w:r>
      <w:r w:rsidRPr="00CD45A4">
        <w:rPr>
          <w:sz w:val="22"/>
          <w:szCs w:val="22"/>
        </w:rPr>
        <w:t>Стрельников, В. В. Прикладная экология / В. В. Стрельников [и др.]. – Краснодар: Изд. Дом-Юг, 2012. – 452 с.</w:t>
      </w:r>
    </w:p>
    <w:p w:rsidR="00CD45A4" w:rsidRPr="00CD45A4" w:rsidRDefault="00CD45A4" w:rsidP="00CD45A4">
      <w:pPr>
        <w:widowControl w:val="0"/>
        <w:suppressAutoHyphens/>
        <w:ind w:firstLine="425"/>
        <w:jc w:val="both"/>
        <w:rPr>
          <w:sz w:val="22"/>
          <w:szCs w:val="22"/>
        </w:rPr>
      </w:pPr>
      <w:r w:rsidRPr="00CD45A4">
        <w:rPr>
          <w:sz w:val="22"/>
          <w:szCs w:val="22"/>
        </w:rPr>
        <w:t>4. Хотунцев, Ю. Л. Экология и экологическая безопасность: Учеб</w:t>
      </w:r>
      <w:proofErr w:type="gramStart"/>
      <w:r w:rsidRPr="00CD45A4">
        <w:rPr>
          <w:sz w:val="22"/>
          <w:szCs w:val="22"/>
        </w:rPr>
        <w:t>.</w:t>
      </w:r>
      <w:proofErr w:type="gramEnd"/>
      <w:r w:rsidRPr="00CD45A4">
        <w:rPr>
          <w:sz w:val="22"/>
          <w:szCs w:val="22"/>
        </w:rPr>
        <w:t xml:space="preserve"> </w:t>
      </w:r>
      <w:proofErr w:type="gramStart"/>
      <w:r w:rsidRPr="00CD45A4">
        <w:rPr>
          <w:sz w:val="22"/>
          <w:szCs w:val="22"/>
        </w:rPr>
        <w:t>п</w:t>
      </w:r>
      <w:proofErr w:type="gramEnd"/>
      <w:r w:rsidRPr="00CD45A4">
        <w:rPr>
          <w:sz w:val="22"/>
          <w:szCs w:val="22"/>
        </w:rPr>
        <w:t xml:space="preserve">особие для студ. высш. пед. учеб. заведений / Ю. Л. Хотунцев. – М.: Изд. центр «Академия», 2002. – 480 с. </w:t>
      </w:r>
    </w:p>
    <w:p w:rsidR="00CD45A4" w:rsidRPr="00CD45A4" w:rsidRDefault="00CD45A4" w:rsidP="00CD45A4">
      <w:pPr>
        <w:widowControl w:val="0"/>
        <w:suppressAutoHyphens/>
        <w:ind w:firstLine="425"/>
        <w:jc w:val="both"/>
        <w:rPr>
          <w:sz w:val="22"/>
          <w:szCs w:val="22"/>
        </w:rPr>
      </w:pPr>
    </w:p>
    <w:p w:rsidR="00CD45A4" w:rsidRPr="00CD45A4" w:rsidRDefault="00A8504F" w:rsidP="00A8504F">
      <w:pPr>
        <w:rPr>
          <w:rFonts w:eastAsia="Calibri"/>
          <w:sz w:val="22"/>
          <w:szCs w:val="22"/>
          <w:lang w:eastAsia="en-US"/>
        </w:rPr>
      </w:pPr>
      <w:r>
        <w:rPr>
          <w:rFonts w:eastAsia="Calibri"/>
          <w:sz w:val="22"/>
          <w:szCs w:val="22"/>
          <w:lang w:eastAsia="en-US"/>
        </w:rPr>
        <w:br w:type="page"/>
      </w:r>
    </w:p>
    <w:p w:rsidR="00CD45A4" w:rsidRDefault="00CD45A4" w:rsidP="00812F84">
      <w:pPr>
        <w:jc w:val="both"/>
        <w:rPr>
          <w:rFonts w:eastAsia="Calibri"/>
          <w:sz w:val="22"/>
          <w:szCs w:val="22"/>
          <w:lang w:eastAsia="en-US"/>
        </w:rPr>
      </w:pPr>
      <w:proofErr w:type="gramStart"/>
      <w:r w:rsidRPr="00CD45A4">
        <w:rPr>
          <w:rFonts w:eastAsia="Calibri"/>
          <w:sz w:val="22"/>
          <w:szCs w:val="22"/>
          <w:lang w:eastAsia="en-US"/>
        </w:rPr>
        <w:lastRenderedPageBreak/>
        <w:t>УДК 633.854.78:631.526.325]:631.559(470,620)</w:t>
      </w:r>
      <w:proofErr w:type="gramEnd"/>
    </w:p>
    <w:p w:rsidR="00812F84" w:rsidRPr="00CD45A4" w:rsidRDefault="00812F84" w:rsidP="00812F84">
      <w:pPr>
        <w:jc w:val="both"/>
        <w:rPr>
          <w:rFonts w:eastAsia="Calibri"/>
          <w:sz w:val="22"/>
          <w:szCs w:val="22"/>
          <w:lang w:eastAsia="en-US"/>
        </w:rPr>
      </w:pPr>
    </w:p>
    <w:p w:rsidR="00CD45A4" w:rsidRPr="00CD45A4" w:rsidRDefault="00CD45A4" w:rsidP="00CD45A4">
      <w:pPr>
        <w:widowControl w:val="0"/>
        <w:jc w:val="center"/>
        <w:rPr>
          <w:rFonts w:eastAsia="Calibri"/>
          <w:b/>
          <w:sz w:val="24"/>
          <w:szCs w:val="22"/>
          <w:lang w:eastAsia="en-US"/>
        </w:rPr>
      </w:pPr>
      <w:r w:rsidRPr="00CD45A4">
        <w:rPr>
          <w:rFonts w:eastAsia="Calibri"/>
          <w:b/>
          <w:sz w:val="24"/>
          <w:szCs w:val="22"/>
          <w:lang w:eastAsia="en-US"/>
        </w:rPr>
        <w:t>Урожайность гибридов подсолнечника в условиях</w:t>
      </w:r>
    </w:p>
    <w:p w:rsidR="00CD45A4" w:rsidRPr="004F513D" w:rsidRDefault="00CD45A4" w:rsidP="00CD45A4">
      <w:pPr>
        <w:widowControl w:val="0"/>
        <w:jc w:val="center"/>
        <w:rPr>
          <w:rFonts w:eastAsia="Calibri"/>
          <w:b/>
          <w:sz w:val="24"/>
          <w:szCs w:val="22"/>
          <w:lang w:val="en-US" w:eastAsia="en-US"/>
        </w:rPr>
      </w:pPr>
      <w:r w:rsidRPr="00CD45A4">
        <w:rPr>
          <w:rFonts w:eastAsia="Calibri"/>
          <w:b/>
          <w:sz w:val="24"/>
          <w:szCs w:val="22"/>
          <w:lang w:eastAsia="en-US"/>
        </w:rPr>
        <w:t>Курганинского</w:t>
      </w:r>
      <w:r w:rsidRPr="004F513D">
        <w:rPr>
          <w:rFonts w:eastAsia="Calibri"/>
          <w:b/>
          <w:sz w:val="24"/>
          <w:szCs w:val="22"/>
          <w:lang w:val="en-US" w:eastAsia="en-US"/>
        </w:rPr>
        <w:t xml:space="preserve"> </w:t>
      </w:r>
      <w:r w:rsidRPr="00CD45A4">
        <w:rPr>
          <w:rFonts w:eastAsia="Calibri"/>
          <w:b/>
          <w:sz w:val="24"/>
          <w:szCs w:val="22"/>
          <w:lang w:eastAsia="en-US"/>
        </w:rPr>
        <w:t>района</w:t>
      </w:r>
    </w:p>
    <w:p w:rsidR="00CD45A4" w:rsidRPr="00CD45A4" w:rsidRDefault="00CD45A4" w:rsidP="00CD45A4">
      <w:pPr>
        <w:widowControl w:val="0"/>
        <w:jc w:val="center"/>
        <w:rPr>
          <w:rFonts w:eastAsia="Calibri"/>
          <w:b/>
          <w:sz w:val="24"/>
          <w:szCs w:val="22"/>
          <w:lang w:val="en-US" w:eastAsia="en-US"/>
        </w:rPr>
      </w:pPr>
      <w:r w:rsidRPr="00CD45A4">
        <w:rPr>
          <w:rFonts w:eastAsia="Calibri"/>
          <w:b/>
          <w:sz w:val="24"/>
          <w:szCs w:val="22"/>
          <w:lang w:val="en-US" w:eastAsia="en-US"/>
        </w:rPr>
        <w:t>Harvest productivity of sunflower hybrids in conditions</w:t>
      </w:r>
    </w:p>
    <w:p w:rsidR="00CD45A4" w:rsidRPr="008D33CB" w:rsidRDefault="00CD45A4" w:rsidP="00812F84">
      <w:pPr>
        <w:widowControl w:val="0"/>
        <w:jc w:val="center"/>
        <w:rPr>
          <w:rFonts w:eastAsia="Calibri"/>
          <w:b/>
          <w:sz w:val="24"/>
          <w:szCs w:val="22"/>
          <w:lang w:val="en-US" w:eastAsia="en-US"/>
        </w:rPr>
      </w:pPr>
      <w:r w:rsidRPr="00CD45A4">
        <w:rPr>
          <w:rFonts w:eastAsia="Calibri"/>
          <w:b/>
          <w:sz w:val="24"/>
          <w:szCs w:val="22"/>
          <w:lang w:val="en-US" w:eastAsia="en-US"/>
        </w:rPr>
        <w:t>Kurganinsky district</w:t>
      </w:r>
    </w:p>
    <w:p w:rsidR="00A8504F" w:rsidRPr="008D33CB" w:rsidRDefault="00A8504F" w:rsidP="00812F84">
      <w:pPr>
        <w:widowControl w:val="0"/>
        <w:jc w:val="center"/>
        <w:rPr>
          <w:rFonts w:eastAsia="Calibri"/>
          <w:b/>
          <w:sz w:val="24"/>
          <w:szCs w:val="22"/>
          <w:lang w:val="en-US" w:eastAsia="en-US"/>
        </w:rPr>
      </w:pPr>
    </w:p>
    <w:p w:rsidR="00CD45A4" w:rsidRPr="00CD45A4" w:rsidRDefault="00CD45A4" w:rsidP="00CD45A4">
      <w:pPr>
        <w:widowControl w:val="0"/>
        <w:jc w:val="right"/>
        <w:rPr>
          <w:rFonts w:eastAsia="Calibri"/>
          <w:sz w:val="22"/>
          <w:szCs w:val="22"/>
          <w:lang w:val="en-US" w:eastAsia="en-US"/>
        </w:rPr>
      </w:pPr>
      <w:r w:rsidRPr="00CD45A4">
        <w:rPr>
          <w:rFonts w:eastAsia="Calibri"/>
          <w:sz w:val="22"/>
          <w:szCs w:val="22"/>
          <w:lang w:eastAsia="en-US"/>
        </w:rPr>
        <w:t>Мунджишвили</w:t>
      </w:r>
      <w:r w:rsidRPr="00CD45A4">
        <w:rPr>
          <w:rFonts w:eastAsia="Calibri"/>
          <w:sz w:val="22"/>
          <w:szCs w:val="22"/>
          <w:lang w:val="en-US" w:eastAsia="en-US"/>
        </w:rPr>
        <w:t xml:space="preserve"> </w:t>
      </w:r>
      <w:r w:rsidRPr="00CD45A4">
        <w:rPr>
          <w:rFonts w:eastAsia="Calibri"/>
          <w:sz w:val="22"/>
          <w:szCs w:val="22"/>
          <w:lang w:eastAsia="en-US"/>
        </w:rPr>
        <w:t>К</w:t>
      </w:r>
      <w:r w:rsidRPr="00CD45A4">
        <w:rPr>
          <w:rFonts w:eastAsia="Calibri"/>
          <w:sz w:val="22"/>
          <w:szCs w:val="22"/>
          <w:lang w:val="en-US" w:eastAsia="en-US"/>
        </w:rPr>
        <w:t xml:space="preserve">. </w:t>
      </w:r>
      <w:r w:rsidRPr="00CD45A4">
        <w:rPr>
          <w:rFonts w:eastAsia="Calibri"/>
          <w:sz w:val="22"/>
          <w:szCs w:val="22"/>
          <w:lang w:eastAsia="en-US"/>
        </w:rPr>
        <w:t>А</w:t>
      </w:r>
      <w:r w:rsidRPr="00CD45A4">
        <w:rPr>
          <w:rFonts w:eastAsia="Calibri"/>
          <w:sz w:val="22"/>
          <w:szCs w:val="22"/>
          <w:lang w:val="en-US" w:eastAsia="en-US"/>
        </w:rPr>
        <w:t>.,</w:t>
      </w:r>
    </w:p>
    <w:p w:rsidR="00CD45A4" w:rsidRPr="00CD45A4" w:rsidRDefault="00812F84" w:rsidP="009244ED">
      <w:pPr>
        <w:widowControl w:val="0"/>
        <w:jc w:val="right"/>
        <w:rPr>
          <w:rFonts w:eastAsia="Calibri"/>
          <w:sz w:val="22"/>
          <w:szCs w:val="22"/>
          <w:lang w:eastAsia="en-US"/>
        </w:rPr>
      </w:pPr>
      <w:r>
        <w:rPr>
          <w:rFonts w:eastAsia="Calibri"/>
          <w:sz w:val="22"/>
          <w:szCs w:val="22"/>
          <w:lang w:eastAsia="en-US"/>
        </w:rPr>
        <w:t>студентка 4-го курса</w:t>
      </w:r>
      <w:r w:rsidR="009244ED">
        <w:rPr>
          <w:rFonts w:eastAsia="Calibri"/>
          <w:sz w:val="22"/>
          <w:szCs w:val="22"/>
          <w:lang w:eastAsia="en-US"/>
        </w:rPr>
        <w:t xml:space="preserve"> </w:t>
      </w:r>
      <w:r w:rsidR="00CD45A4" w:rsidRPr="00CD45A4">
        <w:rPr>
          <w:rFonts w:eastAsia="Calibri"/>
          <w:sz w:val="22"/>
          <w:szCs w:val="22"/>
          <w:lang w:eastAsia="en-US"/>
        </w:rPr>
        <w:t>факультета агрономии и экологии</w:t>
      </w:r>
    </w:p>
    <w:p w:rsidR="00CD45A4" w:rsidRPr="00CD45A4" w:rsidRDefault="00CD45A4" w:rsidP="00CD45A4">
      <w:pPr>
        <w:widowControl w:val="0"/>
        <w:jc w:val="right"/>
        <w:rPr>
          <w:rFonts w:eastAsia="Calibri"/>
          <w:sz w:val="22"/>
          <w:szCs w:val="22"/>
          <w:lang w:eastAsia="en-US"/>
        </w:rPr>
      </w:pPr>
      <w:r w:rsidRPr="00CD45A4">
        <w:rPr>
          <w:rFonts w:eastAsia="Calibri"/>
          <w:sz w:val="22"/>
          <w:szCs w:val="22"/>
          <w:lang w:eastAsia="en-US"/>
        </w:rPr>
        <w:t>Герасименко В. Н.,</w:t>
      </w:r>
    </w:p>
    <w:p w:rsidR="00CD45A4" w:rsidRPr="00CD45A4" w:rsidRDefault="00CD45A4" w:rsidP="00CD45A4">
      <w:pPr>
        <w:widowControl w:val="0"/>
        <w:jc w:val="right"/>
        <w:rPr>
          <w:color w:val="1A1A1A"/>
          <w:sz w:val="22"/>
          <w:szCs w:val="22"/>
          <w:lang w:eastAsia="en-US"/>
        </w:rPr>
      </w:pPr>
      <w:r w:rsidRPr="00CD45A4">
        <w:rPr>
          <w:color w:val="1A1A1A"/>
          <w:sz w:val="22"/>
          <w:szCs w:val="22"/>
          <w:lang w:eastAsia="en-US"/>
        </w:rPr>
        <w:t>доцент кафедры общего и орошаемого земледелия</w:t>
      </w:r>
    </w:p>
    <w:p w:rsidR="00CD45A4" w:rsidRPr="00CD45A4" w:rsidRDefault="00CD45A4" w:rsidP="00CD45A4">
      <w:pPr>
        <w:widowControl w:val="0"/>
        <w:jc w:val="right"/>
        <w:rPr>
          <w:color w:val="1A1A1A"/>
          <w:sz w:val="22"/>
          <w:szCs w:val="22"/>
          <w:lang w:eastAsia="en-US"/>
        </w:rPr>
      </w:pPr>
      <w:r w:rsidRPr="00CD45A4">
        <w:rPr>
          <w:color w:val="1A1A1A"/>
          <w:sz w:val="22"/>
          <w:szCs w:val="22"/>
          <w:lang w:eastAsia="en-US"/>
        </w:rPr>
        <w:t>Кубанский государственный аграрный</w:t>
      </w:r>
    </w:p>
    <w:p w:rsidR="00CD45A4" w:rsidRPr="00CD45A4" w:rsidRDefault="00CD45A4" w:rsidP="00CD45A4">
      <w:pPr>
        <w:widowControl w:val="0"/>
        <w:jc w:val="right"/>
        <w:rPr>
          <w:color w:val="1A1A1A"/>
          <w:sz w:val="22"/>
          <w:szCs w:val="22"/>
          <w:lang w:eastAsia="en-US"/>
        </w:rPr>
      </w:pPr>
      <w:r w:rsidRPr="00CD45A4">
        <w:rPr>
          <w:color w:val="1A1A1A"/>
          <w:sz w:val="22"/>
          <w:szCs w:val="22"/>
          <w:lang w:eastAsia="en-US"/>
        </w:rPr>
        <w:t>университет имени И.</w:t>
      </w:r>
      <w:r w:rsidR="00812F84">
        <w:rPr>
          <w:color w:val="1A1A1A"/>
          <w:sz w:val="22"/>
          <w:szCs w:val="22"/>
          <w:lang w:eastAsia="en-US"/>
        </w:rPr>
        <w:t xml:space="preserve"> </w:t>
      </w:r>
      <w:r w:rsidRPr="00CD45A4">
        <w:rPr>
          <w:color w:val="1A1A1A"/>
          <w:sz w:val="22"/>
          <w:szCs w:val="22"/>
          <w:lang w:eastAsia="en-US"/>
        </w:rPr>
        <w:t>Т. Трубилина</w:t>
      </w:r>
    </w:p>
    <w:p w:rsidR="00CD45A4" w:rsidRPr="00CD45A4" w:rsidRDefault="00CD45A4" w:rsidP="00CD45A4">
      <w:pPr>
        <w:widowControl w:val="0"/>
        <w:jc w:val="right"/>
        <w:rPr>
          <w:color w:val="1A1A1A"/>
          <w:sz w:val="22"/>
          <w:szCs w:val="22"/>
          <w:lang w:eastAsia="en-US"/>
        </w:rPr>
      </w:pPr>
    </w:p>
    <w:p w:rsidR="00CD45A4" w:rsidRPr="00CD45A4" w:rsidRDefault="00CD45A4" w:rsidP="00812F84">
      <w:pPr>
        <w:widowControl w:val="0"/>
        <w:ind w:firstLine="426"/>
        <w:jc w:val="both"/>
        <w:rPr>
          <w:rFonts w:eastAsia="Calibri"/>
          <w:sz w:val="22"/>
          <w:szCs w:val="22"/>
          <w:lang w:eastAsia="en-US"/>
        </w:rPr>
      </w:pPr>
      <w:r w:rsidRPr="00CD45A4">
        <w:rPr>
          <w:color w:val="1A1A1A"/>
          <w:sz w:val="22"/>
          <w:szCs w:val="22"/>
          <w:lang w:eastAsia="en-US"/>
        </w:rPr>
        <w:t>АННОТАЦИЯ:</w:t>
      </w:r>
      <w:r w:rsidRPr="00CD45A4">
        <w:rPr>
          <w:rFonts w:ascii="Calibri" w:eastAsia="Calibri" w:hAnsi="Calibri"/>
          <w:sz w:val="22"/>
          <w:szCs w:val="22"/>
          <w:lang w:eastAsia="en-US"/>
        </w:rPr>
        <w:t xml:space="preserve"> </w:t>
      </w:r>
      <w:r w:rsidRPr="00CD45A4">
        <w:rPr>
          <w:color w:val="1A1A1A"/>
          <w:sz w:val="22"/>
          <w:szCs w:val="22"/>
          <w:lang w:eastAsia="en-US"/>
        </w:rPr>
        <w:t>Изучена продуктивность и масличность ра</w:t>
      </w:r>
      <w:r w:rsidRPr="00CD45A4">
        <w:rPr>
          <w:color w:val="1A1A1A"/>
          <w:sz w:val="22"/>
          <w:szCs w:val="22"/>
          <w:lang w:eastAsia="en-US"/>
        </w:rPr>
        <w:t>з</w:t>
      </w:r>
      <w:r w:rsidRPr="00CD45A4">
        <w:rPr>
          <w:color w:val="1A1A1A"/>
          <w:sz w:val="22"/>
          <w:szCs w:val="22"/>
          <w:lang w:eastAsia="en-US"/>
        </w:rPr>
        <w:t>личных гибридов подсолнечника. Доказана эффективность прим</w:t>
      </w:r>
      <w:r w:rsidRPr="00CD45A4">
        <w:rPr>
          <w:color w:val="1A1A1A"/>
          <w:sz w:val="22"/>
          <w:szCs w:val="22"/>
          <w:lang w:eastAsia="en-US"/>
        </w:rPr>
        <w:t>е</w:t>
      </w:r>
      <w:r w:rsidRPr="00CD45A4">
        <w:rPr>
          <w:color w:val="1A1A1A"/>
          <w:sz w:val="22"/>
          <w:szCs w:val="22"/>
          <w:lang w:eastAsia="en-US"/>
        </w:rPr>
        <w:t xml:space="preserve">нения гибридов </w:t>
      </w:r>
      <w:r w:rsidRPr="00CD45A4">
        <w:rPr>
          <w:rFonts w:eastAsia="Calibri"/>
          <w:sz w:val="22"/>
          <w:szCs w:val="22"/>
          <w:lang w:eastAsia="en-US"/>
        </w:rPr>
        <w:t>НК Неома и СИ Эксперто.</w:t>
      </w:r>
    </w:p>
    <w:p w:rsidR="00CD45A4" w:rsidRPr="00CD45A4" w:rsidRDefault="00CD45A4" w:rsidP="00812F84">
      <w:pPr>
        <w:widowControl w:val="0"/>
        <w:ind w:firstLine="426"/>
        <w:jc w:val="both"/>
        <w:rPr>
          <w:color w:val="1A1A1A"/>
          <w:sz w:val="22"/>
          <w:szCs w:val="22"/>
          <w:lang w:val="en-US" w:eastAsia="en-US"/>
        </w:rPr>
      </w:pPr>
      <w:r w:rsidRPr="00CD45A4">
        <w:rPr>
          <w:rFonts w:eastAsia="Calibri"/>
          <w:sz w:val="22"/>
          <w:szCs w:val="22"/>
          <w:lang w:val="en-US" w:eastAsia="en-US"/>
        </w:rPr>
        <w:t>ABSTRACT</w:t>
      </w:r>
      <w:r w:rsidRPr="00CD45A4">
        <w:rPr>
          <w:rFonts w:eastAsia="Calibri"/>
          <w:sz w:val="22"/>
          <w:szCs w:val="22"/>
          <w:lang w:eastAsia="en-US"/>
        </w:rPr>
        <w:t xml:space="preserve">: </w:t>
      </w:r>
      <w:r w:rsidRPr="00CD45A4">
        <w:rPr>
          <w:rFonts w:eastAsia="Calibri"/>
          <w:sz w:val="22"/>
          <w:szCs w:val="22"/>
          <w:lang w:val="en-US" w:eastAsia="en-US"/>
        </w:rPr>
        <w:t>The</w:t>
      </w:r>
      <w:r w:rsidRPr="00CD45A4">
        <w:rPr>
          <w:rFonts w:eastAsia="Calibri"/>
          <w:sz w:val="22"/>
          <w:szCs w:val="22"/>
          <w:lang w:eastAsia="en-US"/>
        </w:rPr>
        <w:t xml:space="preserve"> </w:t>
      </w:r>
      <w:r w:rsidRPr="00CD45A4">
        <w:rPr>
          <w:rFonts w:eastAsia="Calibri"/>
          <w:sz w:val="22"/>
          <w:szCs w:val="22"/>
          <w:lang w:val="en-US" w:eastAsia="en-US"/>
        </w:rPr>
        <w:t>productivity</w:t>
      </w:r>
      <w:r w:rsidRPr="00CD45A4">
        <w:rPr>
          <w:rFonts w:eastAsia="Calibri"/>
          <w:sz w:val="22"/>
          <w:szCs w:val="22"/>
          <w:lang w:eastAsia="en-US"/>
        </w:rPr>
        <w:t xml:space="preserve"> </w:t>
      </w:r>
      <w:r w:rsidRPr="00CD45A4">
        <w:rPr>
          <w:rFonts w:eastAsia="Calibri"/>
          <w:sz w:val="22"/>
          <w:szCs w:val="22"/>
          <w:lang w:val="en-US" w:eastAsia="en-US"/>
        </w:rPr>
        <w:t>of</w:t>
      </w:r>
      <w:r w:rsidRPr="00CD45A4">
        <w:rPr>
          <w:rFonts w:eastAsia="Calibri"/>
          <w:sz w:val="22"/>
          <w:szCs w:val="22"/>
          <w:lang w:eastAsia="en-US"/>
        </w:rPr>
        <w:t xml:space="preserve"> </w:t>
      </w:r>
      <w:r w:rsidRPr="00CD45A4">
        <w:rPr>
          <w:rFonts w:eastAsia="Calibri"/>
          <w:sz w:val="22"/>
          <w:szCs w:val="22"/>
          <w:lang w:val="en-US" w:eastAsia="en-US"/>
        </w:rPr>
        <w:t>various</w:t>
      </w:r>
      <w:r w:rsidRPr="00CD45A4">
        <w:rPr>
          <w:rFonts w:eastAsia="Calibri"/>
          <w:sz w:val="22"/>
          <w:szCs w:val="22"/>
          <w:lang w:eastAsia="en-US"/>
        </w:rPr>
        <w:t xml:space="preserve"> </w:t>
      </w:r>
      <w:r w:rsidRPr="00CD45A4">
        <w:rPr>
          <w:rFonts w:eastAsia="Calibri"/>
          <w:sz w:val="22"/>
          <w:szCs w:val="22"/>
          <w:lang w:val="en-US" w:eastAsia="en-US"/>
        </w:rPr>
        <w:t>sunflower</w:t>
      </w:r>
      <w:r w:rsidRPr="00CD45A4">
        <w:rPr>
          <w:rFonts w:eastAsia="Calibri"/>
          <w:sz w:val="22"/>
          <w:szCs w:val="22"/>
          <w:lang w:eastAsia="en-US"/>
        </w:rPr>
        <w:t xml:space="preserve"> </w:t>
      </w:r>
      <w:r w:rsidRPr="00CD45A4">
        <w:rPr>
          <w:rFonts w:eastAsia="Calibri"/>
          <w:sz w:val="22"/>
          <w:szCs w:val="22"/>
          <w:lang w:val="en-US" w:eastAsia="en-US"/>
        </w:rPr>
        <w:t>hybrids</w:t>
      </w:r>
      <w:r w:rsidRPr="00CD45A4">
        <w:rPr>
          <w:rFonts w:eastAsia="Calibri"/>
          <w:sz w:val="22"/>
          <w:szCs w:val="22"/>
          <w:lang w:eastAsia="en-US"/>
        </w:rPr>
        <w:t xml:space="preserve"> </w:t>
      </w:r>
      <w:r w:rsidRPr="00CD45A4">
        <w:rPr>
          <w:rFonts w:eastAsia="Calibri"/>
          <w:sz w:val="22"/>
          <w:szCs w:val="22"/>
          <w:lang w:val="en-US" w:eastAsia="en-US"/>
        </w:rPr>
        <w:t>was</w:t>
      </w:r>
      <w:r w:rsidRPr="00CD45A4">
        <w:rPr>
          <w:rFonts w:eastAsia="Calibri"/>
          <w:sz w:val="22"/>
          <w:szCs w:val="22"/>
          <w:lang w:eastAsia="en-US"/>
        </w:rPr>
        <w:t xml:space="preserve"> </w:t>
      </w:r>
      <w:r w:rsidRPr="00CD45A4">
        <w:rPr>
          <w:rFonts w:eastAsia="Calibri"/>
          <w:sz w:val="22"/>
          <w:szCs w:val="22"/>
          <w:lang w:val="en-US" w:eastAsia="en-US"/>
        </w:rPr>
        <w:t>studied</w:t>
      </w:r>
      <w:r w:rsidRPr="00CD45A4">
        <w:rPr>
          <w:rFonts w:eastAsia="Calibri"/>
          <w:sz w:val="22"/>
          <w:szCs w:val="22"/>
          <w:lang w:eastAsia="en-US"/>
        </w:rPr>
        <w:t xml:space="preserve">. </w:t>
      </w:r>
      <w:r w:rsidRPr="00CD45A4">
        <w:rPr>
          <w:rFonts w:eastAsia="Calibri"/>
          <w:sz w:val="22"/>
          <w:szCs w:val="22"/>
          <w:lang w:val="en-US" w:eastAsia="en-US"/>
        </w:rPr>
        <w:t>The effectiveness of the application of the SI Expert was proved.</w:t>
      </w:r>
    </w:p>
    <w:p w:rsidR="00CD45A4" w:rsidRPr="00CD45A4" w:rsidRDefault="00CD45A4" w:rsidP="00812F84">
      <w:pPr>
        <w:widowControl w:val="0"/>
        <w:ind w:firstLine="426"/>
        <w:jc w:val="both"/>
        <w:rPr>
          <w:color w:val="1A1A1A"/>
          <w:sz w:val="22"/>
          <w:szCs w:val="22"/>
          <w:lang w:eastAsia="en-US"/>
        </w:rPr>
      </w:pPr>
      <w:r w:rsidRPr="00CD45A4">
        <w:rPr>
          <w:color w:val="1A1A1A"/>
          <w:sz w:val="22"/>
          <w:szCs w:val="22"/>
          <w:lang w:eastAsia="en-US"/>
        </w:rPr>
        <w:t>КЛЮЧЕВЫЕ СЛОВА:</w:t>
      </w:r>
      <w:r w:rsidRPr="00CD45A4">
        <w:rPr>
          <w:rFonts w:ascii="Calibri" w:eastAsia="Calibri" w:hAnsi="Calibri"/>
          <w:sz w:val="22"/>
          <w:szCs w:val="22"/>
          <w:lang w:eastAsia="en-US"/>
        </w:rPr>
        <w:t xml:space="preserve"> </w:t>
      </w:r>
      <w:r w:rsidRPr="00CD45A4">
        <w:rPr>
          <w:color w:val="1A1A1A"/>
          <w:sz w:val="22"/>
          <w:szCs w:val="22"/>
          <w:lang w:eastAsia="en-US"/>
        </w:rPr>
        <w:t>подсолнечник, урожайность, гибрид</w:t>
      </w:r>
      <w:r w:rsidRPr="00CD45A4">
        <w:rPr>
          <w:rFonts w:eastAsia="Calibri"/>
          <w:sz w:val="22"/>
          <w:szCs w:val="22"/>
          <w:lang w:eastAsia="en-US"/>
        </w:rPr>
        <w:t xml:space="preserve"> </w:t>
      </w:r>
      <w:r w:rsidRPr="00CD45A4">
        <w:rPr>
          <w:color w:val="1A1A1A"/>
          <w:sz w:val="22"/>
          <w:szCs w:val="22"/>
          <w:lang w:eastAsia="en-US"/>
        </w:rPr>
        <w:t>масличность.</w:t>
      </w:r>
    </w:p>
    <w:p w:rsidR="00CD45A4" w:rsidRPr="00CD45A4" w:rsidRDefault="00CD45A4" w:rsidP="00812F84">
      <w:pPr>
        <w:widowControl w:val="0"/>
        <w:ind w:firstLine="426"/>
        <w:jc w:val="both"/>
        <w:rPr>
          <w:color w:val="1A1A1A"/>
          <w:sz w:val="22"/>
          <w:szCs w:val="22"/>
          <w:lang w:val="en-US" w:eastAsia="en-US"/>
        </w:rPr>
      </w:pPr>
      <w:r w:rsidRPr="00CD45A4">
        <w:rPr>
          <w:color w:val="1A1A1A"/>
          <w:sz w:val="22"/>
          <w:szCs w:val="22"/>
          <w:lang w:val="en-US" w:eastAsia="en-US"/>
        </w:rPr>
        <w:t>KEYWORDS: sunflower, productivity, hybrid, oiliness.</w:t>
      </w:r>
    </w:p>
    <w:p w:rsidR="00CD45A4" w:rsidRPr="00CD45A4" w:rsidRDefault="00CD45A4" w:rsidP="00812F84">
      <w:pPr>
        <w:widowControl w:val="0"/>
        <w:ind w:firstLine="426"/>
        <w:jc w:val="both"/>
        <w:rPr>
          <w:rFonts w:eastAsia="Calibri"/>
          <w:sz w:val="22"/>
          <w:szCs w:val="22"/>
          <w:lang w:val="en-US" w:eastAsia="en-US"/>
        </w:rPr>
      </w:pPr>
    </w:p>
    <w:p w:rsidR="00CD45A4" w:rsidRPr="00CD45A4" w:rsidRDefault="00CD45A4" w:rsidP="00812F84">
      <w:pPr>
        <w:widowControl w:val="0"/>
        <w:ind w:firstLine="426"/>
        <w:jc w:val="both"/>
        <w:rPr>
          <w:rFonts w:eastAsia="Calibri"/>
          <w:sz w:val="22"/>
          <w:szCs w:val="22"/>
          <w:lang w:eastAsia="en-US"/>
        </w:rPr>
      </w:pPr>
      <w:r w:rsidRPr="00CD45A4">
        <w:rPr>
          <w:rFonts w:eastAsia="Calibri"/>
          <w:sz w:val="22"/>
          <w:szCs w:val="22"/>
          <w:lang w:eastAsia="en-US"/>
        </w:rPr>
        <w:t>Подсолнечник – основная масличная культура, возделываемая в России на семена, из которых получают пищевое и техническое масло. Он выращивается практически во всем мире и используется в качестве пищевого, технического, медоносного, лекарственного, кормового, каучуконосного, мелиоративного, декоративного раст</w:t>
      </w:r>
      <w:r w:rsidRPr="00CD45A4">
        <w:rPr>
          <w:rFonts w:eastAsia="Calibri"/>
          <w:sz w:val="22"/>
          <w:szCs w:val="22"/>
          <w:lang w:eastAsia="en-US"/>
        </w:rPr>
        <w:t>е</w:t>
      </w:r>
      <w:r w:rsidRPr="00CD45A4">
        <w:rPr>
          <w:rFonts w:eastAsia="Calibri"/>
          <w:sz w:val="22"/>
          <w:szCs w:val="22"/>
          <w:lang w:eastAsia="en-US"/>
        </w:rPr>
        <w:t>ния. Подсолнечник наиболее ценная и высокодоходная культура, играющая ключевую роль в укреплении экономики сельскохозя</w:t>
      </w:r>
      <w:r w:rsidRPr="00CD45A4">
        <w:rPr>
          <w:rFonts w:eastAsia="Calibri"/>
          <w:sz w:val="22"/>
          <w:szCs w:val="22"/>
          <w:lang w:eastAsia="en-US"/>
        </w:rPr>
        <w:t>й</w:t>
      </w:r>
      <w:r w:rsidRPr="00CD45A4">
        <w:rPr>
          <w:rFonts w:eastAsia="Calibri"/>
          <w:sz w:val="22"/>
          <w:szCs w:val="22"/>
          <w:lang w:eastAsia="en-US"/>
        </w:rPr>
        <w:t xml:space="preserve">ственных предприятий. Для стабилизации продуктивности посевов подсолнечника, большое значение имеет подбор сортов и </w:t>
      </w:r>
      <w:proofErr w:type="gramStart"/>
      <w:r w:rsidRPr="00CD45A4">
        <w:rPr>
          <w:rFonts w:eastAsia="Calibri"/>
          <w:sz w:val="22"/>
          <w:szCs w:val="22"/>
          <w:lang w:eastAsia="en-US"/>
        </w:rPr>
        <w:t>гибридов</w:t>
      </w:r>
      <w:proofErr w:type="gramEnd"/>
      <w:r w:rsidRPr="00CD45A4">
        <w:rPr>
          <w:rFonts w:eastAsia="Calibri"/>
          <w:sz w:val="22"/>
          <w:szCs w:val="22"/>
          <w:lang w:eastAsia="en-US"/>
        </w:rPr>
        <w:t xml:space="preserve"> наиболее продуктивных и адаптивных для соответствующих пр</w:t>
      </w:r>
      <w:r w:rsidRPr="00CD45A4">
        <w:rPr>
          <w:rFonts w:eastAsia="Calibri"/>
          <w:sz w:val="22"/>
          <w:szCs w:val="22"/>
          <w:lang w:eastAsia="en-US"/>
        </w:rPr>
        <w:t>и</w:t>
      </w:r>
      <w:r w:rsidRPr="00CD45A4">
        <w:rPr>
          <w:rFonts w:eastAsia="Calibri"/>
          <w:sz w:val="22"/>
          <w:szCs w:val="22"/>
          <w:lang w:eastAsia="en-US"/>
        </w:rPr>
        <w:t xml:space="preserve">родных условий зоны [1,2]. </w:t>
      </w:r>
    </w:p>
    <w:p w:rsidR="00CD45A4" w:rsidRPr="00CD45A4" w:rsidRDefault="00CD45A4" w:rsidP="00812F84">
      <w:pPr>
        <w:widowControl w:val="0"/>
        <w:ind w:firstLine="426"/>
        <w:jc w:val="both"/>
        <w:rPr>
          <w:rFonts w:eastAsia="Calibri"/>
          <w:sz w:val="22"/>
          <w:szCs w:val="22"/>
          <w:lang w:eastAsia="en-US"/>
        </w:rPr>
      </w:pPr>
      <w:r w:rsidRPr="00CD45A4">
        <w:rPr>
          <w:rFonts w:eastAsia="Calibri"/>
          <w:sz w:val="22"/>
          <w:szCs w:val="22"/>
          <w:lang w:eastAsia="en-US"/>
        </w:rPr>
        <w:t xml:space="preserve">Исследования проводились в КФХ «Елтавский» Курганинского района. Почвенно-климатические условия хозяйства благоприятны для возделывания подсолнечника. Вегетационный 2017 год был </w:t>
      </w:r>
      <w:r w:rsidRPr="00CD45A4">
        <w:rPr>
          <w:rFonts w:eastAsia="Calibri"/>
          <w:sz w:val="22"/>
          <w:szCs w:val="22"/>
          <w:lang w:eastAsia="en-US"/>
        </w:rPr>
        <w:lastRenderedPageBreak/>
        <w:t>теплым и влажным. Агрометеорологические условия для роста, ра</w:t>
      </w:r>
      <w:r w:rsidRPr="00CD45A4">
        <w:rPr>
          <w:rFonts w:eastAsia="Calibri"/>
          <w:sz w:val="22"/>
          <w:szCs w:val="22"/>
          <w:lang w:eastAsia="en-US"/>
        </w:rPr>
        <w:t>з</w:t>
      </w:r>
      <w:r w:rsidRPr="00CD45A4">
        <w:rPr>
          <w:rFonts w:eastAsia="Calibri"/>
          <w:sz w:val="22"/>
          <w:szCs w:val="22"/>
          <w:lang w:eastAsia="en-US"/>
        </w:rPr>
        <w:t xml:space="preserve">вития и формирования урожая были в основном благоприятными. </w:t>
      </w:r>
    </w:p>
    <w:p w:rsidR="00CD45A4" w:rsidRPr="00CD45A4" w:rsidRDefault="00CD45A4" w:rsidP="00812F84">
      <w:pPr>
        <w:widowControl w:val="0"/>
        <w:ind w:firstLine="426"/>
        <w:jc w:val="both"/>
        <w:rPr>
          <w:rFonts w:eastAsia="Calibri"/>
          <w:sz w:val="22"/>
          <w:szCs w:val="22"/>
          <w:lang w:eastAsia="en-US"/>
        </w:rPr>
      </w:pPr>
      <w:r w:rsidRPr="00CD45A4">
        <w:rPr>
          <w:rFonts w:eastAsia="Calibri"/>
          <w:sz w:val="22"/>
          <w:szCs w:val="22"/>
          <w:lang w:eastAsia="en-US"/>
        </w:rPr>
        <w:t>Схема опыта включает в себя две группы гибридов раннесп</w:t>
      </w:r>
      <w:r w:rsidRPr="00CD45A4">
        <w:rPr>
          <w:rFonts w:eastAsia="Calibri"/>
          <w:sz w:val="22"/>
          <w:szCs w:val="22"/>
          <w:lang w:eastAsia="en-US"/>
        </w:rPr>
        <w:t>е</w:t>
      </w:r>
      <w:r w:rsidRPr="00CD45A4">
        <w:rPr>
          <w:rFonts w:eastAsia="Calibri"/>
          <w:sz w:val="22"/>
          <w:szCs w:val="22"/>
          <w:lang w:eastAsia="en-US"/>
        </w:rPr>
        <w:t>лую, представленную следующими гибридами: ЕС Белла (ко</w:t>
      </w:r>
      <w:r w:rsidRPr="00CD45A4">
        <w:rPr>
          <w:rFonts w:eastAsia="Calibri"/>
          <w:sz w:val="22"/>
          <w:szCs w:val="22"/>
          <w:lang w:eastAsia="en-US"/>
        </w:rPr>
        <w:t>н</w:t>
      </w:r>
      <w:r w:rsidRPr="00CD45A4">
        <w:rPr>
          <w:rFonts w:eastAsia="Calibri"/>
          <w:sz w:val="22"/>
          <w:szCs w:val="22"/>
          <w:lang w:eastAsia="en-US"/>
        </w:rPr>
        <w:t xml:space="preserve">троль), ЕС Балистик СЛ, НК Фортими и </w:t>
      </w:r>
      <w:proofErr w:type="gramStart"/>
      <w:r w:rsidRPr="00CD45A4">
        <w:rPr>
          <w:rFonts w:eastAsia="Calibri"/>
          <w:sz w:val="22"/>
          <w:szCs w:val="22"/>
          <w:lang w:eastAsia="en-US"/>
        </w:rPr>
        <w:t>среднеспелую</w:t>
      </w:r>
      <w:proofErr w:type="gramEnd"/>
      <w:r w:rsidRPr="00CD45A4">
        <w:rPr>
          <w:rFonts w:eastAsia="Calibri"/>
          <w:sz w:val="22"/>
          <w:szCs w:val="22"/>
          <w:lang w:eastAsia="en-US"/>
        </w:rPr>
        <w:t>, предста</w:t>
      </w:r>
      <w:r w:rsidRPr="00CD45A4">
        <w:rPr>
          <w:rFonts w:eastAsia="Calibri"/>
          <w:sz w:val="22"/>
          <w:szCs w:val="22"/>
          <w:lang w:eastAsia="en-US"/>
        </w:rPr>
        <w:t>в</w:t>
      </w:r>
      <w:r w:rsidRPr="00CD45A4">
        <w:rPr>
          <w:rFonts w:eastAsia="Calibri"/>
          <w:sz w:val="22"/>
          <w:szCs w:val="22"/>
          <w:lang w:eastAsia="en-US"/>
        </w:rPr>
        <w:t>ленную гибридами СИ Купава (контроль), СИ Эксперто и НК Неома. Повторность трехкратная. Размещение делянок системат</w:t>
      </w:r>
      <w:r w:rsidRPr="00CD45A4">
        <w:rPr>
          <w:rFonts w:eastAsia="Calibri"/>
          <w:sz w:val="22"/>
          <w:szCs w:val="22"/>
          <w:lang w:eastAsia="en-US"/>
        </w:rPr>
        <w:t>и</w:t>
      </w:r>
      <w:r w:rsidRPr="00CD45A4">
        <w:rPr>
          <w:rFonts w:eastAsia="Calibri"/>
          <w:sz w:val="22"/>
          <w:szCs w:val="22"/>
          <w:lang w:eastAsia="en-US"/>
        </w:rPr>
        <w:t>ческое последовательное. Площадь учетной делянки 105 м</w:t>
      </w:r>
      <w:proofErr w:type="gramStart"/>
      <w:r w:rsidRPr="00CD45A4">
        <w:rPr>
          <w:rFonts w:eastAsia="Calibri"/>
          <w:sz w:val="22"/>
          <w:szCs w:val="22"/>
          <w:vertAlign w:val="superscript"/>
          <w:lang w:eastAsia="en-US"/>
        </w:rPr>
        <w:t>2</w:t>
      </w:r>
      <w:proofErr w:type="gramEnd"/>
      <w:r w:rsidRPr="00CD45A4">
        <w:rPr>
          <w:rFonts w:eastAsia="Calibri"/>
          <w:sz w:val="22"/>
          <w:szCs w:val="22"/>
          <w:lang w:eastAsia="en-US"/>
        </w:rPr>
        <w:t>. Пре</w:t>
      </w:r>
      <w:r w:rsidRPr="00CD45A4">
        <w:rPr>
          <w:rFonts w:eastAsia="Calibri"/>
          <w:sz w:val="22"/>
          <w:szCs w:val="22"/>
          <w:lang w:eastAsia="en-US"/>
        </w:rPr>
        <w:t>д</w:t>
      </w:r>
      <w:r w:rsidRPr="00CD45A4">
        <w:rPr>
          <w:rFonts w:eastAsia="Calibri"/>
          <w:sz w:val="22"/>
          <w:szCs w:val="22"/>
          <w:lang w:eastAsia="en-US"/>
        </w:rPr>
        <w:t>шественник – озимая пшеница.</w:t>
      </w:r>
    </w:p>
    <w:p w:rsidR="00CD45A4" w:rsidRPr="00CD45A4" w:rsidRDefault="00CD45A4" w:rsidP="00812F84">
      <w:pPr>
        <w:widowControl w:val="0"/>
        <w:ind w:firstLine="426"/>
        <w:jc w:val="both"/>
        <w:rPr>
          <w:rFonts w:eastAsia="Calibri"/>
          <w:sz w:val="22"/>
          <w:szCs w:val="22"/>
          <w:lang w:eastAsia="en-US"/>
        </w:rPr>
      </w:pPr>
      <w:r w:rsidRPr="00CD45A4">
        <w:rPr>
          <w:rFonts w:eastAsia="Calibri"/>
          <w:sz w:val="22"/>
          <w:szCs w:val="22"/>
          <w:lang w:eastAsia="en-US"/>
        </w:rPr>
        <w:t>Вслед за уборкой предшественника провели 2-х кратное лущ</w:t>
      </w:r>
      <w:r w:rsidRPr="00CD45A4">
        <w:rPr>
          <w:rFonts w:eastAsia="Calibri"/>
          <w:sz w:val="22"/>
          <w:szCs w:val="22"/>
          <w:lang w:eastAsia="en-US"/>
        </w:rPr>
        <w:t>е</w:t>
      </w:r>
      <w:r w:rsidRPr="00CD45A4">
        <w:rPr>
          <w:rFonts w:eastAsia="Calibri"/>
          <w:sz w:val="22"/>
          <w:szCs w:val="22"/>
          <w:lang w:eastAsia="en-US"/>
        </w:rPr>
        <w:t>ние стерни дисковыми лущильниками и вспашку на глубину 25-27 см. Фосфорные удобрения в дозе Р</w:t>
      </w:r>
      <w:r w:rsidRPr="00CD45A4">
        <w:rPr>
          <w:rFonts w:eastAsia="Calibri"/>
          <w:sz w:val="22"/>
          <w:szCs w:val="22"/>
          <w:vertAlign w:val="subscript"/>
          <w:lang w:eastAsia="en-US"/>
        </w:rPr>
        <w:t xml:space="preserve">50 </w:t>
      </w:r>
      <w:r w:rsidRPr="00CD45A4">
        <w:rPr>
          <w:rFonts w:eastAsia="Calibri"/>
          <w:sz w:val="22"/>
          <w:szCs w:val="22"/>
          <w:lang w:eastAsia="en-US"/>
        </w:rPr>
        <w:t>внесли осенью под вспашку зяби. Весной при посеве внесли N</w:t>
      </w:r>
      <w:r w:rsidRPr="00CD45A4">
        <w:rPr>
          <w:rFonts w:eastAsia="Calibri"/>
          <w:sz w:val="22"/>
          <w:szCs w:val="22"/>
          <w:vertAlign w:val="subscript"/>
          <w:lang w:eastAsia="en-US"/>
        </w:rPr>
        <w:t>45</w:t>
      </w:r>
      <w:r w:rsidRPr="00CD45A4">
        <w:rPr>
          <w:rFonts w:eastAsia="Calibri"/>
          <w:sz w:val="22"/>
          <w:szCs w:val="22"/>
          <w:lang w:eastAsia="en-US"/>
        </w:rPr>
        <w:t>P</w:t>
      </w:r>
      <w:r w:rsidRPr="00CD45A4">
        <w:rPr>
          <w:rFonts w:eastAsia="Calibri"/>
          <w:sz w:val="22"/>
          <w:szCs w:val="22"/>
          <w:vertAlign w:val="subscript"/>
          <w:lang w:eastAsia="en-US"/>
        </w:rPr>
        <w:t>10</w:t>
      </w:r>
      <w:r w:rsidRPr="00CD45A4">
        <w:rPr>
          <w:rFonts w:eastAsia="Calibri"/>
          <w:sz w:val="22"/>
          <w:szCs w:val="22"/>
          <w:lang w:eastAsia="en-US"/>
        </w:rPr>
        <w:t xml:space="preserve">. </w:t>
      </w:r>
      <w:proofErr w:type="gramStart"/>
      <w:r w:rsidRPr="00CD45A4">
        <w:rPr>
          <w:rFonts w:eastAsia="Calibri"/>
          <w:sz w:val="22"/>
          <w:szCs w:val="22"/>
          <w:lang w:eastAsia="en-US"/>
        </w:rPr>
        <w:t>Весенняя предпосевная о</w:t>
      </w:r>
      <w:r w:rsidRPr="00CD45A4">
        <w:rPr>
          <w:rFonts w:eastAsia="Calibri"/>
          <w:sz w:val="22"/>
          <w:szCs w:val="22"/>
          <w:lang w:eastAsia="en-US"/>
        </w:rPr>
        <w:t>б</w:t>
      </w:r>
      <w:r w:rsidRPr="00CD45A4">
        <w:rPr>
          <w:rFonts w:eastAsia="Calibri"/>
          <w:sz w:val="22"/>
          <w:szCs w:val="22"/>
          <w:lang w:eastAsia="en-US"/>
        </w:rPr>
        <w:t>работка зяби под подсолнечник состояла из ранней культивации на глубину 8-10 см и предпосевной культивации на 6-8 см. Посев пр</w:t>
      </w:r>
      <w:r w:rsidRPr="00CD45A4">
        <w:rPr>
          <w:rFonts w:eastAsia="Calibri"/>
          <w:sz w:val="22"/>
          <w:szCs w:val="22"/>
          <w:lang w:eastAsia="en-US"/>
        </w:rPr>
        <w:t>о</w:t>
      </w:r>
      <w:r w:rsidRPr="00CD45A4">
        <w:rPr>
          <w:rFonts w:eastAsia="Calibri"/>
          <w:sz w:val="22"/>
          <w:szCs w:val="22"/>
          <w:lang w:eastAsia="en-US"/>
        </w:rPr>
        <w:t>водился 1 мая пунктирным способом на глубину 6-8 см с шириной междурядий 70 см. Расстояние между растениями в рядках 14–16 см. Посевы подсолнечника обрабатывали гербицидом Евро-лайтнинг в фазу 4-5 настоящих листьев.</w:t>
      </w:r>
      <w:proofErr w:type="gramEnd"/>
      <w:r w:rsidRPr="00CD45A4">
        <w:rPr>
          <w:rFonts w:eastAsia="Calibri"/>
          <w:sz w:val="22"/>
          <w:szCs w:val="22"/>
          <w:lang w:eastAsia="en-US"/>
        </w:rPr>
        <w:t xml:space="preserve"> К уборке приступили, к</w:t>
      </w:r>
      <w:r w:rsidRPr="00CD45A4">
        <w:rPr>
          <w:rFonts w:eastAsia="Calibri"/>
          <w:sz w:val="22"/>
          <w:szCs w:val="22"/>
          <w:lang w:eastAsia="en-US"/>
        </w:rPr>
        <w:t>о</w:t>
      </w:r>
      <w:r w:rsidRPr="00CD45A4">
        <w:rPr>
          <w:rFonts w:eastAsia="Calibri"/>
          <w:sz w:val="22"/>
          <w:szCs w:val="22"/>
          <w:lang w:eastAsia="en-US"/>
        </w:rPr>
        <w:t>гда в посеве насчитывалось 10-15 % растений с желтыми корзинк</w:t>
      </w:r>
      <w:r w:rsidRPr="00CD45A4">
        <w:rPr>
          <w:rFonts w:eastAsia="Calibri"/>
          <w:sz w:val="22"/>
          <w:szCs w:val="22"/>
          <w:lang w:eastAsia="en-US"/>
        </w:rPr>
        <w:t>а</w:t>
      </w:r>
      <w:r w:rsidRPr="00CD45A4">
        <w:rPr>
          <w:rFonts w:eastAsia="Calibri"/>
          <w:sz w:val="22"/>
          <w:szCs w:val="22"/>
          <w:lang w:eastAsia="en-US"/>
        </w:rPr>
        <w:t xml:space="preserve">ми, а остальные были желто-бурые, бурые или сухие, а влажность вороха составляла не выше 12 %. </w:t>
      </w:r>
    </w:p>
    <w:p w:rsidR="00CD45A4" w:rsidRPr="00CD45A4" w:rsidRDefault="00CD45A4" w:rsidP="00812F84">
      <w:pPr>
        <w:widowControl w:val="0"/>
        <w:ind w:firstLine="426"/>
        <w:jc w:val="both"/>
        <w:rPr>
          <w:rFonts w:eastAsia="Calibri"/>
          <w:sz w:val="22"/>
          <w:szCs w:val="22"/>
          <w:lang w:eastAsia="en-US"/>
        </w:rPr>
      </w:pPr>
      <w:proofErr w:type="gramStart"/>
      <w:r w:rsidRPr="00CD45A4">
        <w:rPr>
          <w:rFonts w:eastAsia="Calibri"/>
          <w:sz w:val="22"/>
          <w:szCs w:val="22"/>
          <w:lang w:eastAsia="en-US"/>
        </w:rPr>
        <w:t>Анализ урожайных данных показал, что в среднем урожа</w:t>
      </w:r>
      <w:r w:rsidRPr="00CD45A4">
        <w:rPr>
          <w:rFonts w:eastAsia="Calibri"/>
          <w:sz w:val="22"/>
          <w:szCs w:val="22"/>
          <w:lang w:eastAsia="en-US"/>
        </w:rPr>
        <w:t>й</w:t>
      </w:r>
      <w:r w:rsidRPr="00CD45A4">
        <w:rPr>
          <w:rFonts w:eastAsia="Calibri"/>
          <w:sz w:val="22"/>
          <w:szCs w:val="22"/>
          <w:lang w:eastAsia="en-US"/>
        </w:rPr>
        <w:t>ность семянок подсолнечника по раннеспелой группе составила 33,9 ц/га., по среднеспелой – 37,6 ц/га.</w:t>
      </w:r>
      <w:proofErr w:type="gramEnd"/>
      <w:r w:rsidRPr="00CD45A4">
        <w:rPr>
          <w:rFonts w:eastAsia="Calibri"/>
          <w:sz w:val="22"/>
          <w:szCs w:val="22"/>
          <w:lang w:eastAsia="en-US"/>
        </w:rPr>
        <w:t xml:space="preserve"> Урожайность семянок по</w:t>
      </w:r>
      <w:r w:rsidRPr="00CD45A4">
        <w:rPr>
          <w:rFonts w:eastAsia="Calibri"/>
          <w:sz w:val="22"/>
          <w:szCs w:val="22"/>
          <w:lang w:eastAsia="en-US"/>
        </w:rPr>
        <w:t>д</w:t>
      </w:r>
      <w:r w:rsidRPr="00CD45A4">
        <w:rPr>
          <w:rFonts w:eastAsia="Calibri"/>
          <w:sz w:val="22"/>
          <w:szCs w:val="22"/>
          <w:lang w:eastAsia="en-US"/>
        </w:rPr>
        <w:t>солнечника по раннеспелой группе у контрольного гибрида ЕС Белла(st) составила 31,6 ц/га. Гибрид ЕС Балистик СЛ дал прибавку урожая – 1,9 ц/га, а гибрид НК Фортими 4,9 ц/га. Урожайность с</w:t>
      </w:r>
      <w:r w:rsidRPr="00CD45A4">
        <w:rPr>
          <w:rFonts w:eastAsia="Calibri"/>
          <w:sz w:val="22"/>
          <w:szCs w:val="22"/>
          <w:lang w:eastAsia="en-US"/>
        </w:rPr>
        <w:t>е</w:t>
      </w:r>
      <w:r w:rsidRPr="00CD45A4">
        <w:rPr>
          <w:rFonts w:eastAsia="Calibri"/>
          <w:sz w:val="22"/>
          <w:szCs w:val="22"/>
          <w:lang w:eastAsia="en-US"/>
        </w:rPr>
        <w:t>мянок в среднеспелой группе у контрольного гибрида СИ Куп</w:t>
      </w:r>
      <w:r w:rsidRPr="00CD45A4">
        <w:rPr>
          <w:rFonts w:eastAsia="Calibri"/>
          <w:sz w:val="22"/>
          <w:szCs w:val="22"/>
          <w:lang w:eastAsia="en-US"/>
        </w:rPr>
        <w:t>а</w:t>
      </w:r>
      <w:r w:rsidRPr="00CD45A4">
        <w:rPr>
          <w:rFonts w:eastAsia="Calibri"/>
          <w:sz w:val="22"/>
          <w:szCs w:val="22"/>
          <w:lang w:eastAsia="en-US"/>
        </w:rPr>
        <w:t>ва(st) составила – 34,1 ц/га. Гибрид НК Неома дал прибавку урожая – 4,2 ц/га, а гибрид СИ Эксперто 6,2 ц/га.</w:t>
      </w:r>
    </w:p>
    <w:p w:rsidR="00CD45A4" w:rsidRPr="00CD45A4" w:rsidRDefault="00CD45A4" w:rsidP="00812F84">
      <w:pPr>
        <w:widowControl w:val="0"/>
        <w:ind w:firstLine="426"/>
        <w:jc w:val="both"/>
        <w:rPr>
          <w:rFonts w:eastAsia="Calibri"/>
          <w:sz w:val="22"/>
          <w:szCs w:val="22"/>
          <w:lang w:eastAsia="en-US"/>
        </w:rPr>
      </w:pPr>
      <w:r w:rsidRPr="00CD45A4">
        <w:rPr>
          <w:rFonts w:eastAsia="Calibri"/>
          <w:sz w:val="22"/>
          <w:szCs w:val="22"/>
          <w:lang w:eastAsia="en-US"/>
        </w:rPr>
        <w:t>Таким образом, среди изучаемых растений подсолнечника, по двум группам спелости наиболее урожайными оказались гибриды НК Фортими – 36,5, НК Неома – 38,3 ц/га и СИ Эксперто – 40,3 ц/га. В среднем в семянках подсолнечника раннеспелой группы с</w:t>
      </w:r>
      <w:r w:rsidRPr="00CD45A4">
        <w:rPr>
          <w:rFonts w:eastAsia="Calibri"/>
          <w:sz w:val="22"/>
          <w:szCs w:val="22"/>
          <w:lang w:eastAsia="en-US"/>
        </w:rPr>
        <w:t>о</w:t>
      </w:r>
      <w:r w:rsidRPr="00CD45A4">
        <w:rPr>
          <w:rFonts w:eastAsia="Calibri"/>
          <w:sz w:val="22"/>
          <w:szCs w:val="22"/>
          <w:lang w:eastAsia="en-US"/>
        </w:rPr>
        <w:t xml:space="preserve">держалось 47,7 % масла. </w:t>
      </w:r>
      <w:proofErr w:type="gramStart"/>
      <w:r w:rsidRPr="00CD45A4">
        <w:rPr>
          <w:rFonts w:eastAsia="Calibri"/>
          <w:sz w:val="22"/>
          <w:szCs w:val="22"/>
          <w:lang w:eastAsia="en-US"/>
        </w:rPr>
        <w:t>Содержание масла в семенах контрольного гибрида ЕС Белла st было наибольшим в группе и составило 49,3 %. Семянки гибрида ЕС Балистик СЛ содержали 46,1 % масла, а г</w:t>
      </w:r>
      <w:r w:rsidRPr="00CD45A4">
        <w:rPr>
          <w:rFonts w:eastAsia="Calibri"/>
          <w:sz w:val="22"/>
          <w:szCs w:val="22"/>
          <w:lang w:eastAsia="en-US"/>
        </w:rPr>
        <w:t>и</w:t>
      </w:r>
      <w:r w:rsidRPr="00CD45A4">
        <w:rPr>
          <w:rFonts w:eastAsia="Calibri"/>
          <w:sz w:val="22"/>
          <w:szCs w:val="22"/>
          <w:lang w:eastAsia="en-US"/>
        </w:rPr>
        <w:lastRenderedPageBreak/>
        <w:t>брида НК Фортими – 47,7 %. Среднее содержание масла в семянках подсолнечника среднеспелой группы составило 49,5 %. Содержание масла в семенах контрольного гибрида СИ Купава st было наибольшим в группе и составило 50,2 %. Семянки гибрида СИ Эксперто содержали</w:t>
      </w:r>
      <w:proofErr w:type="gramEnd"/>
      <w:r w:rsidRPr="00CD45A4">
        <w:rPr>
          <w:rFonts w:eastAsia="Calibri"/>
          <w:sz w:val="22"/>
          <w:szCs w:val="22"/>
          <w:lang w:eastAsia="en-US"/>
        </w:rPr>
        <w:t xml:space="preserve"> 48,4 % масла, а гибрида НК Неома 49,8 %.</w:t>
      </w:r>
    </w:p>
    <w:p w:rsidR="00CD45A4" w:rsidRPr="00CD45A4" w:rsidRDefault="00CD45A4" w:rsidP="00812F84">
      <w:pPr>
        <w:widowControl w:val="0"/>
        <w:ind w:firstLine="426"/>
        <w:jc w:val="both"/>
        <w:rPr>
          <w:rFonts w:eastAsia="Calibri"/>
          <w:sz w:val="22"/>
          <w:szCs w:val="22"/>
          <w:lang w:eastAsia="en-US"/>
        </w:rPr>
      </w:pPr>
      <w:proofErr w:type="gramStart"/>
      <w:r w:rsidRPr="00CD45A4">
        <w:rPr>
          <w:rFonts w:eastAsia="Calibri"/>
          <w:sz w:val="22"/>
          <w:szCs w:val="22"/>
          <w:lang w:eastAsia="en-US"/>
        </w:rPr>
        <w:t>Таким образом, среди изучаемых растений подсолнечника, по двум группам спелости наиболее масличными оказались семянки гибридов ЕС Белла st – 49,3 %, СИ Купава st – 50,2 % и НК Неома – 49,8 %. В исследованиях расчет сбора масла с 1 га площади показал, что изучаемые гибриды показали не одинаковые данные в результ</w:t>
      </w:r>
      <w:r w:rsidRPr="00CD45A4">
        <w:rPr>
          <w:rFonts w:eastAsia="Calibri"/>
          <w:sz w:val="22"/>
          <w:szCs w:val="22"/>
          <w:lang w:eastAsia="en-US"/>
        </w:rPr>
        <w:t>а</w:t>
      </w:r>
      <w:r w:rsidRPr="00CD45A4">
        <w:rPr>
          <w:rFonts w:eastAsia="Calibri"/>
          <w:sz w:val="22"/>
          <w:szCs w:val="22"/>
          <w:lang w:eastAsia="en-US"/>
        </w:rPr>
        <w:t>те различной урожайности и содержания масла.</w:t>
      </w:r>
      <w:proofErr w:type="gramEnd"/>
      <w:r w:rsidRPr="00CD45A4">
        <w:rPr>
          <w:rFonts w:eastAsia="Calibri"/>
          <w:sz w:val="22"/>
          <w:szCs w:val="22"/>
          <w:lang w:eastAsia="en-US"/>
        </w:rPr>
        <w:t xml:space="preserve"> Так контрольный гибрид первой группы спелости ЕС Белла st позволил получить 1,56 т/га масла, другие гибриды этой группы ЕС Балистик СЛ – 1,54 т/га, НК Фортими – 1,74 т/га. В среднем по группе можно получить – 1,61 тонну масла с 1 га. Контрольный гибрид второй группы спел</w:t>
      </w:r>
      <w:r w:rsidRPr="00CD45A4">
        <w:rPr>
          <w:rFonts w:eastAsia="Calibri"/>
          <w:sz w:val="22"/>
          <w:szCs w:val="22"/>
          <w:lang w:eastAsia="en-US"/>
        </w:rPr>
        <w:t>о</w:t>
      </w:r>
      <w:r w:rsidRPr="00CD45A4">
        <w:rPr>
          <w:rFonts w:eastAsia="Calibri"/>
          <w:sz w:val="22"/>
          <w:szCs w:val="22"/>
          <w:lang w:eastAsia="en-US"/>
        </w:rPr>
        <w:t>сти СИ Купава st позволил получить 1,71 т/га масла, а другие г</w:t>
      </w:r>
      <w:r w:rsidRPr="00CD45A4">
        <w:rPr>
          <w:rFonts w:eastAsia="Calibri"/>
          <w:sz w:val="22"/>
          <w:szCs w:val="22"/>
          <w:lang w:eastAsia="en-US"/>
        </w:rPr>
        <w:t>и</w:t>
      </w:r>
      <w:r w:rsidRPr="00CD45A4">
        <w:rPr>
          <w:rFonts w:eastAsia="Calibri"/>
          <w:sz w:val="22"/>
          <w:szCs w:val="22"/>
          <w:lang w:eastAsia="en-US"/>
        </w:rPr>
        <w:t>бриды этой группы СИ Эксперто– 1,95 т/га, НК Неома – 1,91 т/га. В среднем по группе можно получить – 1,86 тонны масла с одного гектара. Исследования показали, что оптимальные показатели ур</w:t>
      </w:r>
      <w:r w:rsidRPr="00CD45A4">
        <w:rPr>
          <w:rFonts w:eastAsia="Calibri"/>
          <w:sz w:val="22"/>
          <w:szCs w:val="22"/>
          <w:lang w:eastAsia="en-US"/>
        </w:rPr>
        <w:t>о</w:t>
      </w:r>
      <w:r w:rsidRPr="00CD45A4">
        <w:rPr>
          <w:rFonts w:eastAsia="Calibri"/>
          <w:sz w:val="22"/>
          <w:szCs w:val="22"/>
          <w:lang w:eastAsia="en-US"/>
        </w:rPr>
        <w:t>жайности и содержания масла в семянках при возделывании гибр</w:t>
      </w:r>
      <w:r w:rsidRPr="00CD45A4">
        <w:rPr>
          <w:rFonts w:eastAsia="Calibri"/>
          <w:sz w:val="22"/>
          <w:szCs w:val="22"/>
          <w:lang w:eastAsia="en-US"/>
        </w:rPr>
        <w:t>и</w:t>
      </w:r>
      <w:r w:rsidRPr="00CD45A4">
        <w:rPr>
          <w:rFonts w:eastAsia="Calibri"/>
          <w:sz w:val="22"/>
          <w:szCs w:val="22"/>
          <w:lang w:eastAsia="en-US"/>
        </w:rPr>
        <w:t>да СИ Эксперто позволили в условиях КФХ «Елтавский» Кург</w:t>
      </w:r>
      <w:r w:rsidRPr="00CD45A4">
        <w:rPr>
          <w:rFonts w:eastAsia="Calibri"/>
          <w:sz w:val="22"/>
          <w:szCs w:val="22"/>
          <w:lang w:eastAsia="en-US"/>
        </w:rPr>
        <w:t>а</w:t>
      </w:r>
      <w:r w:rsidRPr="00CD45A4">
        <w:rPr>
          <w:rFonts w:eastAsia="Calibri"/>
          <w:sz w:val="22"/>
          <w:szCs w:val="22"/>
          <w:lang w:eastAsia="en-US"/>
        </w:rPr>
        <w:t>нинского района получить наибольший сбор масла с единицы пл</w:t>
      </w:r>
      <w:r w:rsidRPr="00CD45A4">
        <w:rPr>
          <w:rFonts w:eastAsia="Calibri"/>
          <w:sz w:val="22"/>
          <w:szCs w:val="22"/>
          <w:lang w:eastAsia="en-US"/>
        </w:rPr>
        <w:t>о</w:t>
      </w:r>
      <w:r w:rsidRPr="00CD45A4">
        <w:rPr>
          <w:rFonts w:eastAsia="Calibri"/>
          <w:sz w:val="22"/>
          <w:szCs w:val="22"/>
          <w:lang w:eastAsia="en-US"/>
        </w:rPr>
        <w:t>щади.</w:t>
      </w:r>
    </w:p>
    <w:p w:rsidR="00CD45A4" w:rsidRPr="00CD45A4" w:rsidRDefault="00CD45A4" w:rsidP="00812F84">
      <w:pPr>
        <w:widowControl w:val="0"/>
        <w:ind w:firstLine="426"/>
        <w:jc w:val="both"/>
        <w:rPr>
          <w:rFonts w:eastAsia="Calibri"/>
          <w:sz w:val="22"/>
          <w:szCs w:val="22"/>
          <w:lang w:eastAsia="en-US"/>
        </w:rPr>
      </w:pPr>
    </w:p>
    <w:p w:rsidR="00CD45A4" w:rsidRPr="00CD45A4" w:rsidRDefault="00CD45A4" w:rsidP="00812F84">
      <w:pPr>
        <w:widowControl w:val="0"/>
        <w:ind w:firstLine="426"/>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812F84">
      <w:pPr>
        <w:widowControl w:val="0"/>
        <w:ind w:firstLine="426"/>
        <w:jc w:val="both"/>
        <w:rPr>
          <w:rFonts w:eastAsia="Calibri"/>
          <w:sz w:val="22"/>
          <w:shd w:val="clear" w:color="auto" w:fill="FFFFFF"/>
          <w:lang w:eastAsia="en-US"/>
        </w:rPr>
      </w:pPr>
      <w:r w:rsidRPr="00CD45A4">
        <w:rPr>
          <w:rFonts w:eastAsia="Calibri"/>
          <w:sz w:val="22"/>
          <w:szCs w:val="22"/>
          <w:lang w:eastAsia="en-US"/>
        </w:rPr>
        <w:t>1.</w:t>
      </w:r>
      <w:r w:rsidRPr="00CD45A4">
        <w:rPr>
          <w:rFonts w:eastAsia="Calibri"/>
          <w:shd w:val="clear" w:color="auto" w:fill="FFFFFF"/>
          <w:lang w:eastAsia="en-US"/>
        </w:rPr>
        <w:t xml:space="preserve"> </w:t>
      </w:r>
      <w:r w:rsidRPr="00CD45A4">
        <w:rPr>
          <w:rFonts w:eastAsia="Calibri"/>
          <w:sz w:val="22"/>
          <w:shd w:val="clear" w:color="auto" w:fill="FFFFFF"/>
          <w:lang w:eastAsia="en-US"/>
        </w:rPr>
        <w:t xml:space="preserve">Бочковой, А. Д. </w:t>
      </w:r>
      <w:r w:rsidRPr="00CD45A4">
        <w:rPr>
          <w:rFonts w:eastAsia="Calibri"/>
          <w:sz w:val="22"/>
          <w:lang w:eastAsia="en-US"/>
        </w:rPr>
        <w:t xml:space="preserve">О перспективах выделения крупноплодных форм среди сортообразцов масличного подсолнечника </w:t>
      </w:r>
      <w:r w:rsidRPr="00CD45A4">
        <w:rPr>
          <w:rFonts w:eastAsia="Calibri"/>
          <w:sz w:val="22"/>
          <w:shd w:val="clear" w:color="auto" w:fill="FFFFFF"/>
          <w:lang w:eastAsia="en-US"/>
        </w:rPr>
        <w:t>// А.Д. Бо</w:t>
      </w:r>
      <w:r w:rsidRPr="00CD45A4">
        <w:rPr>
          <w:rFonts w:eastAsia="Calibri"/>
          <w:sz w:val="22"/>
          <w:shd w:val="clear" w:color="auto" w:fill="FFFFFF"/>
          <w:lang w:eastAsia="en-US"/>
        </w:rPr>
        <w:t>ч</w:t>
      </w:r>
      <w:r w:rsidRPr="00CD45A4">
        <w:rPr>
          <w:rFonts w:eastAsia="Calibri"/>
          <w:sz w:val="22"/>
          <w:shd w:val="clear" w:color="auto" w:fill="FFFFFF"/>
          <w:lang w:eastAsia="en-US"/>
        </w:rPr>
        <w:t>ковой, О.В. Пивненко // Масличные культуры науч</w:t>
      </w:r>
      <w:proofErr w:type="gramStart"/>
      <w:r w:rsidRPr="00CD45A4">
        <w:rPr>
          <w:rFonts w:eastAsia="Calibri"/>
          <w:sz w:val="22"/>
          <w:shd w:val="clear" w:color="auto" w:fill="FFFFFF"/>
          <w:lang w:eastAsia="en-US"/>
        </w:rPr>
        <w:t>.-</w:t>
      </w:r>
      <w:proofErr w:type="gramEnd"/>
      <w:r w:rsidRPr="00CD45A4">
        <w:rPr>
          <w:rFonts w:eastAsia="Calibri"/>
          <w:sz w:val="22"/>
          <w:shd w:val="clear" w:color="auto" w:fill="FFFFFF"/>
          <w:lang w:eastAsia="en-US"/>
        </w:rPr>
        <w:t>технич. бюлл</w:t>
      </w:r>
      <w:r w:rsidRPr="00CD45A4">
        <w:rPr>
          <w:rFonts w:eastAsia="Calibri"/>
          <w:sz w:val="22"/>
          <w:shd w:val="clear" w:color="auto" w:fill="FFFFFF"/>
          <w:lang w:eastAsia="en-US"/>
        </w:rPr>
        <w:t>е</w:t>
      </w:r>
      <w:r w:rsidRPr="00CD45A4">
        <w:rPr>
          <w:rFonts w:eastAsia="Calibri"/>
          <w:sz w:val="22"/>
          <w:shd w:val="clear" w:color="auto" w:fill="FFFFFF"/>
          <w:lang w:eastAsia="en-US"/>
        </w:rPr>
        <w:t>тень ВНИИМК. 2007. – Вып. 1 (36). – С. 3-8.</w:t>
      </w:r>
    </w:p>
    <w:p w:rsidR="00CD45A4" w:rsidRPr="00CD45A4" w:rsidRDefault="00CD45A4" w:rsidP="00812F84">
      <w:pPr>
        <w:widowControl w:val="0"/>
        <w:ind w:firstLine="426"/>
        <w:jc w:val="both"/>
        <w:rPr>
          <w:rFonts w:eastAsia="Calibri"/>
          <w:shd w:val="clear" w:color="auto" w:fill="FFFFFF"/>
          <w:lang w:eastAsia="en-US"/>
        </w:rPr>
      </w:pPr>
      <w:r w:rsidRPr="00CD45A4">
        <w:rPr>
          <w:rFonts w:eastAsia="Calibri"/>
          <w:sz w:val="22"/>
          <w:shd w:val="clear" w:color="auto" w:fill="FFFFFF"/>
          <w:lang w:eastAsia="en-US"/>
        </w:rPr>
        <w:t>2.</w:t>
      </w:r>
      <w:r w:rsidRPr="00CD45A4">
        <w:rPr>
          <w:rFonts w:ascii="Calibri" w:eastAsia="Calibri" w:hAnsi="Calibri"/>
          <w:sz w:val="22"/>
          <w:szCs w:val="22"/>
          <w:lang w:eastAsia="en-US"/>
        </w:rPr>
        <w:t xml:space="preserve"> </w:t>
      </w:r>
      <w:r w:rsidRPr="00CD45A4">
        <w:rPr>
          <w:rFonts w:eastAsia="Calibri"/>
          <w:sz w:val="22"/>
          <w:shd w:val="clear" w:color="auto" w:fill="FFFFFF"/>
          <w:lang w:eastAsia="en-US"/>
        </w:rPr>
        <w:t>Васильев, Д. С. Подсолнечник./ Д.С. Васильев. – М.: Колос. – 1990. – 174 с.</w:t>
      </w:r>
    </w:p>
    <w:p w:rsidR="00CD45A4" w:rsidRPr="00CD45A4" w:rsidRDefault="00CD45A4" w:rsidP="00812F84">
      <w:pPr>
        <w:widowControl w:val="0"/>
        <w:ind w:firstLine="426"/>
        <w:jc w:val="both"/>
        <w:rPr>
          <w:sz w:val="20"/>
          <w:szCs w:val="20"/>
        </w:rPr>
      </w:pPr>
    </w:p>
    <w:p w:rsidR="00CD45A4" w:rsidRPr="00CD45A4" w:rsidRDefault="00CD45A4" w:rsidP="00CD45A4">
      <w:pPr>
        <w:widowControl w:val="0"/>
        <w:suppressAutoHyphens/>
        <w:contextualSpacing/>
        <w:jc w:val="both"/>
        <w:rPr>
          <w:rFonts w:eastAsia="Calibri"/>
          <w:sz w:val="22"/>
          <w:szCs w:val="22"/>
          <w:lang w:eastAsia="en-US"/>
        </w:rPr>
      </w:pPr>
    </w:p>
    <w:p w:rsidR="00CD45A4" w:rsidRDefault="00CD45A4" w:rsidP="00CD45A4">
      <w:pPr>
        <w:widowControl w:val="0"/>
        <w:tabs>
          <w:tab w:val="left" w:pos="1620"/>
        </w:tabs>
        <w:suppressAutoHyphens/>
        <w:jc w:val="both"/>
        <w:rPr>
          <w:sz w:val="20"/>
          <w:szCs w:val="20"/>
        </w:rPr>
      </w:pPr>
    </w:p>
    <w:p w:rsidR="00A8504F" w:rsidRDefault="00A8504F" w:rsidP="00CD45A4">
      <w:pPr>
        <w:widowControl w:val="0"/>
        <w:tabs>
          <w:tab w:val="left" w:pos="1620"/>
        </w:tabs>
        <w:suppressAutoHyphens/>
        <w:jc w:val="both"/>
        <w:rPr>
          <w:sz w:val="20"/>
          <w:szCs w:val="20"/>
        </w:rPr>
      </w:pPr>
    </w:p>
    <w:p w:rsidR="00A8504F" w:rsidRDefault="00A8504F" w:rsidP="00CD45A4">
      <w:pPr>
        <w:widowControl w:val="0"/>
        <w:tabs>
          <w:tab w:val="left" w:pos="1620"/>
        </w:tabs>
        <w:suppressAutoHyphens/>
        <w:jc w:val="both"/>
        <w:rPr>
          <w:sz w:val="20"/>
          <w:szCs w:val="20"/>
        </w:rPr>
      </w:pPr>
    </w:p>
    <w:p w:rsidR="00A8504F" w:rsidRDefault="00A8504F" w:rsidP="00CD45A4">
      <w:pPr>
        <w:widowControl w:val="0"/>
        <w:tabs>
          <w:tab w:val="left" w:pos="1620"/>
        </w:tabs>
        <w:suppressAutoHyphens/>
        <w:jc w:val="both"/>
        <w:rPr>
          <w:sz w:val="20"/>
          <w:szCs w:val="20"/>
        </w:rPr>
      </w:pPr>
    </w:p>
    <w:p w:rsidR="00A8504F" w:rsidRPr="00CD45A4" w:rsidRDefault="00A8504F" w:rsidP="00CD45A4">
      <w:pPr>
        <w:widowControl w:val="0"/>
        <w:tabs>
          <w:tab w:val="left" w:pos="1620"/>
        </w:tabs>
        <w:suppressAutoHyphens/>
        <w:jc w:val="both"/>
        <w:rPr>
          <w:sz w:val="20"/>
          <w:szCs w:val="20"/>
        </w:rPr>
      </w:pPr>
    </w:p>
    <w:p w:rsidR="00CD45A4" w:rsidRPr="00812F84" w:rsidRDefault="00CD45A4" w:rsidP="00CD45A4">
      <w:pPr>
        <w:rPr>
          <w:sz w:val="22"/>
          <w:szCs w:val="22"/>
        </w:rPr>
      </w:pPr>
      <w:r w:rsidRPr="00812F84">
        <w:rPr>
          <w:sz w:val="22"/>
          <w:szCs w:val="22"/>
        </w:rPr>
        <w:lastRenderedPageBreak/>
        <w:t>УДК 633.854.78:631.559 (470.620)</w:t>
      </w:r>
    </w:p>
    <w:p w:rsidR="00CD45A4" w:rsidRPr="00CD45A4" w:rsidRDefault="00CD45A4" w:rsidP="00CD45A4">
      <w:pPr>
        <w:rPr>
          <w:sz w:val="24"/>
          <w:szCs w:val="24"/>
        </w:rPr>
      </w:pPr>
    </w:p>
    <w:p w:rsidR="00CD45A4" w:rsidRPr="00CD45A4" w:rsidRDefault="00CD45A4" w:rsidP="00CD45A4">
      <w:pPr>
        <w:jc w:val="center"/>
        <w:rPr>
          <w:sz w:val="24"/>
          <w:szCs w:val="24"/>
        </w:rPr>
      </w:pPr>
      <w:r w:rsidRPr="00CD45A4">
        <w:rPr>
          <w:b/>
          <w:bCs/>
          <w:color w:val="000000"/>
          <w:sz w:val="24"/>
          <w:szCs w:val="24"/>
        </w:rPr>
        <w:t>Определение влияния сезонов на водородный показатель пожарного водоема ВНИИМК города Краснодара</w:t>
      </w:r>
    </w:p>
    <w:p w:rsidR="00CD45A4" w:rsidRPr="00CD45A4" w:rsidRDefault="00CD45A4" w:rsidP="00CD45A4">
      <w:pPr>
        <w:jc w:val="center"/>
        <w:rPr>
          <w:sz w:val="24"/>
          <w:szCs w:val="24"/>
          <w:lang w:val="en-US"/>
        </w:rPr>
      </w:pPr>
      <w:r w:rsidRPr="00CD45A4">
        <w:rPr>
          <w:b/>
          <w:bCs/>
          <w:color w:val="000000"/>
          <w:sz w:val="24"/>
          <w:szCs w:val="24"/>
          <w:lang w:val="en-US"/>
        </w:rPr>
        <w:t>Determination of the effect of seasons on the hydrogen index of the fire reservoir VNIIMK of Krasnodar</w:t>
      </w:r>
    </w:p>
    <w:p w:rsidR="00CD45A4" w:rsidRPr="00CD45A4" w:rsidRDefault="00CD45A4" w:rsidP="00CD45A4">
      <w:pPr>
        <w:jc w:val="right"/>
        <w:rPr>
          <w:color w:val="000000"/>
          <w:sz w:val="22"/>
          <w:szCs w:val="22"/>
          <w:lang w:val="en-US"/>
        </w:rPr>
      </w:pPr>
    </w:p>
    <w:p w:rsidR="00CD45A4" w:rsidRPr="00CD45A4" w:rsidRDefault="00CD45A4" w:rsidP="00CD45A4">
      <w:pPr>
        <w:jc w:val="right"/>
        <w:rPr>
          <w:sz w:val="24"/>
          <w:szCs w:val="24"/>
        </w:rPr>
      </w:pPr>
      <w:r w:rsidRPr="00CD45A4">
        <w:rPr>
          <w:color w:val="000000"/>
          <w:sz w:val="22"/>
          <w:szCs w:val="22"/>
        </w:rPr>
        <w:t>Мищенко С. С.,</w:t>
      </w:r>
    </w:p>
    <w:p w:rsidR="00CD45A4" w:rsidRPr="00CD45A4" w:rsidRDefault="00812F84" w:rsidP="00CD45A4">
      <w:pPr>
        <w:jc w:val="right"/>
        <w:rPr>
          <w:color w:val="000000"/>
          <w:sz w:val="22"/>
          <w:szCs w:val="22"/>
        </w:rPr>
      </w:pPr>
      <w:r>
        <w:rPr>
          <w:color w:val="000000"/>
          <w:sz w:val="22"/>
          <w:szCs w:val="22"/>
        </w:rPr>
        <w:t>студент 4-го курса</w:t>
      </w:r>
    </w:p>
    <w:p w:rsidR="00CD45A4" w:rsidRPr="00CD45A4" w:rsidRDefault="00CD45A4" w:rsidP="00CD45A4">
      <w:pPr>
        <w:jc w:val="right"/>
        <w:rPr>
          <w:rFonts w:eastAsia="Calibri"/>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jc w:val="right"/>
        <w:rPr>
          <w:sz w:val="24"/>
          <w:szCs w:val="24"/>
        </w:rPr>
      </w:pPr>
      <w:r w:rsidRPr="00CD45A4">
        <w:rPr>
          <w:color w:val="000000"/>
          <w:sz w:val="22"/>
          <w:szCs w:val="22"/>
        </w:rPr>
        <w:t>Суркова Е. В.,</w:t>
      </w:r>
    </w:p>
    <w:p w:rsidR="00CD45A4" w:rsidRPr="00CD45A4" w:rsidRDefault="00CD45A4" w:rsidP="00CD45A4">
      <w:pPr>
        <w:jc w:val="right"/>
        <w:rPr>
          <w:sz w:val="24"/>
          <w:szCs w:val="24"/>
        </w:rPr>
      </w:pPr>
      <w:r w:rsidRPr="00CD45A4">
        <w:rPr>
          <w:color w:val="000000"/>
          <w:sz w:val="22"/>
          <w:szCs w:val="22"/>
        </w:rPr>
        <w:t>доцент кафедры прикладной экологии</w:t>
      </w:r>
    </w:p>
    <w:p w:rsidR="00CD45A4" w:rsidRPr="00CD45A4" w:rsidRDefault="00CD45A4" w:rsidP="00CD45A4">
      <w:pPr>
        <w:jc w:val="right"/>
        <w:rPr>
          <w:sz w:val="24"/>
          <w:szCs w:val="24"/>
        </w:rPr>
      </w:pPr>
      <w:r w:rsidRPr="00CD45A4">
        <w:rPr>
          <w:color w:val="000000"/>
          <w:sz w:val="22"/>
          <w:szCs w:val="22"/>
        </w:rPr>
        <w:t>Кубанский государственный аграрный</w:t>
      </w:r>
    </w:p>
    <w:p w:rsidR="00CD45A4" w:rsidRPr="00CD45A4" w:rsidRDefault="00CD45A4" w:rsidP="00CD45A4">
      <w:pPr>
        <w:jc w:val="right"/>
        <w:rPr>
          <w:sz w:val="24"/>
          <w:szCs w:val="24"/>
        </w:rPr>
      </w:pPr>
      <w:r w:rsidRPr="00CD45A4">
        <w:rPr>
          <w:color w:val="000000"/>
          <w:sz w:val="22"/>
          <w:szCs w:val="22"/>
        </w:rPr>
        <w:t>университет имени И.</w:t>
      </w:r>
      <w:r w:rsidR="00812F84">
        <w:rPr>
          <w:color w:val="000000"/>
          <w:sz w:val="22"/>
          <w:szCs w:val="22"/>
        </w:rPr>
        <w:t xml:space="preserve"> </w:t>
      </w:r>
      <w:r w:rsidRPr="00CD45A4">
        <w:rPr>
          <w:color w:val="000000"/>
          <w:sz w:val="22"/>
          <w:szCs w:val="22"/>
        </w:rPr>
        <w:t>Т. Трубилина</w:t>
      </w:r>
    </w:p>
    <w:p w:rsidR="00CD45A4" w:rsidRPr="00CD45A4" w:rsidRDefault="00CD45A4" w:rsidP="00CD45A4">
      <w:pPr>
        <w:rPr>
          <w:sz w:val="24"/>
          <w:szCs w:val="24"/>
        </w:rPr>
      </w:pPr>
    </w:p>
    <w:p w:rsidR="00CD45A4" w:rsidRPr="00CD45A4" w:rsidRDefault="00CD45A4" w:rsidP="00812F84">
      <w:pPr>
        <w:widowControl w:val="0"/>
        <w:suppressAutoHyphens/>
        <w:ind w:firstLine="426"/>
        <w:jc w:val="both"/>
        <w:rPr>
          <w:sz w:val="24"/>
          <w:szCs w:val="24"/>
          <w:lang w:val="en-US"/>
        </w:rPr>
      </w:pPr>
      <w:r w:rsidRPr="00CD45A4">
        <w:rPr>
          <w:color w:val="000000"/>
          <w:sz w:val="22"/>
          <w:szCs w:val="22"/>
        </w:rPr>
        <w:t>АННОТАЦИЯ: Изучена корреляция между температурой воздуха, поступлением солнечного света и водородным показателем. Доказана</w:t>
      </w:r>
      <w:r w:rsidRPr="00CD45A4">
        <w:rPr>
          <w:color w:val="000000"/>
          <w:sz w:val="22"/>
          <w:szCs w:val="22"/>
          <w:lang w:val="en-US"/>
        </w:rPr>
        <w:t xml:space="preserve"> </w:t>
      </w:r>
      <w:r w:rsidRPr="00CD45A4">
        <w:rPr>
          <w:color w:val="000000"/>
          <w:sz w:val="22"/>
          <w:szCs w:val="22"/>
        </w:rPr>
        <w:t>прямая</w:t>
      </w:r>
      <w:r w:rsidRPr="00CD45A4">
        <w:rPr>
          <w:color w:val="000000"/>
          <w:sz w:val="22"/>
          <w:szCs w:val="22"/>
          <w:lang w:val="en-US"/>
        </w:rPr>
        <w:t xml:space="preserve"> </w:t>
      </w:r>
      <w:r w:rsidRPr="00CD45A4">
        <w:rPr>
          <w:color w:val="000000"/>
          <w:sz w:val="22"/>
          <w:szCs w:val="22"/>
        </w:rPr>
        <w:t>зависимость</w:t>
      </w:r>
      <w:r w:rsidRPr="00CD45A4">
        <w:rPr>
          <w:color w:val="000000"/>
          <w:sz w:val="22"/>
          <w:szCs w:val="22"/>
          <w:lang w:val="en-US"/>
        </w:rPr>
        <w:t xml:space="preserve"> </w:t>
      </w:r>
      <w:r w:rsidRPr="00CD45A4">
        <w:rPr>
          <w:color w:val="000000"/>
          <w:sz w:val="22"/>
          <w:szCs w:val="22"/>
        </w:rPr>
        <w:t>между</w:t>
      </w:r>
      <w:r w:rsidRPr="00CD45A4">
        <w:rPr>
          <w:color w:val="000000"/>
          <w:sz w:val="22"/>
          <w:szCs w:val="22"/>
          <w:lang w:val="en-US"/>
        </w:rPr>
        <w:t xml:space="preserve"> </w:t>
      </w:r>
      <w:r w:rsidRPr="00CD45A4">
        <w:rPr>
          <w:color w:val="000000"/>
          <w:sz w:val="22"/>
          <w:szCs w:val="22"/>
        </w:rPr>
        <w:t>этими</w:t>
      </w:r>
      <w:r w:rsidRPr="00CD45A4">
        <w:rPr>
          <w:color w:val="000000"/>
          <w:sz w:val="22"/>
          <w:szCs w:val="22"/>
          <w:lang w:val="en-US"/>
        </w:rPr>
        <w:t xml:space="preserve"> </w:t>
      </w:r>
      <w:r w:rsidRPr="00CD45A4">
        <w:rPr>
          <w:color w:val="000000"/>
          <w:sz w:val="22"/>
          <w:szCs w:val="22"/>
        </w:rPr>
        <w:t>показателями</w:t>
      </w:r>
      <w:r w:rsidRPr="00CD45A4">
        <w:rPr>
          <w:color w:val="000000"/>
          <w:sz w:val="22"/>
          <w:szCs w:val="22"/>
          <w:lang w:val="en-US"/>
        </w:rPr>
        <w:t>.</w:t>
      </w:r>
    </w:p>
    <w:p w:rsidR="00CD45A4" w:rsidRPr="00CD45A4" w:rsidRDefault="00CD45A4" w:rsidP="00812F84">
      <w:pPr>
        <w:widowControl w:val="0"/>
        <w:suppressAutoHyphens/>
        <w:ind w:firstLine="426"/>
        <w:jc w:val="both"/>
        <w:rPr>
          <w:color w:val="000000"/>
          <w:sz w:val="22"/>
          <w:szCs w:val="22"/>
          <w:shd w:val="clear" w:color="auto" w:fill="FFFFFF"/>
          <w:lang w:val="en-US"/>
        </w:rPr>
      </w:pPr>
      <w:r w:rsidRPr="00CD45A4">
        <w:rPr>
          <w:color w:val="000000"/>
          <w:sz w:val="22"/>
          <w:szCs w:val="22"/>
          <w:lang w:val="en-US"/>
        </w:rPr>
        <w:t xml:space="preserve">ABSTRACT: </w:t>
      </w:r>
      <w:r w:rsidRPr="00CD45A4">
        <w:rPr>
          <w:color w:val="000000"/>
          <w:sz w:val="22"/>
          <w:szCs w:val="22"/>
          <w:shd w:val="clear" w:color="auto" w:fill="FFFFFF"/>
          <w:lang w:val="en-US"/>
        </w:rPr>
        <w:t>The correlation between the air temperature,</w:t>
      </w:r>
      <w:r w:rsidRPr="00CD45A4">
        <w:rPr>
          <w:rFonts w:ascii="Calibri" w:eastAsia="Calibri" w:hAnsi="Calibri"/>
          <w:sz w:val="22"/>
          <w:szCs w:val="22"/>
          <w:lang w:val="en-US" w:eastAsia="en-US"/>
        </w:rPr>
        <w:t xml:space="preserve"> </w:t>
      </w:r>
      <w:r w:rsidRPr="00CD45A4">
        <w:rPr>
          <w:color w:val="000000"/>
          <w:sz w:val="22"/>
          <w:szCs w:val="22"/>
          <w:shd w:val="clear" w:color="auto" w:fill="FFFFFF"/>
          <w:lang w:val="en-US"/>
        </w:rPr>
        <w:t>arrival of sunlight and the hydrogen index was studied. A direct relationship between these indicators is proved.</w:t>
      </w:r>
    </w:p>
    <w:p w:rsidR="00CD45A4" w:rsidRPr="00CD45A4" w:rsidRDefault="00CD45A4" w:rsidP="00812F84">
      <w:pPr>
        <w:widowControl w:val="0"/>
        <w:suppressAutoHyphens/>
        <w:ind w:firstLine="426"/>
        <w:jc w:val="both"/>
        <w:rPr>
          <w:sz w:val="24"/>
          <w:szCs w:val="24"/>
          <w:lang w:val="en-US"/>
        </w:rPr>
      </w:pPr>
      <w:r w:rsidRPr="00CD45A4">
        <w:rPr>
          <w:color w:val="000000"/>
          <w:sz w:val="22"/>
          <w:szCs w:val="22"/>
        </w:rPr>
        <w:t>КЛЮЧЕВЫЕ</w:t>
      </w:r>
      <w:r w:rsidRPr="00CD45A4">
        <w:rPr>
          <w:color w:val="000000"/>
          <w:sz w:val="22"/>
          <w:szCs w:val="22"/>
          <w:lang w:val="en-US"/>
        </w:rPr>
        <w:t xml:space="preserve"> </w:t>
      </w:r>
      <w:r w:rsidRPr="00CD45A4">
        <w:rPr>
          <w:color w:val="000000"/>
          <w:sz w:val="22"/>
          <w:szCs w:val="22"/>
        </w:rPr>
        <w:t>СЛОВА</w:t>
      </w:r>
      <w:r w:rsidRPr="00CD45A4">
        <w:rPr>
          <w:color w:val="000000"/>
          <w:sz w:val="22"/>
          <w:szCs w:val="22"/>
          <w:lang w:val="en-US"/>
        </w:rPr>
        <w:t xml:space="preserve">: </w:t>
      </w:r>
      <w:r w:rsidRPr="00CD45A4">
        <w:rPr>
          <w:color w:val="000000"/>
          <w:sz w:val="22"/>
          <w:szCs w:val="22"/>
        </w:rPr>
        <w:t>водородный</w:t>
      </w:r>
      <w:r w:rsidRPr="00CD45A4">
        <w:rPr>
          <w:color w:val="000000"/>
          <w:sz w:val="22"/>
          <w:szCs w:val="22"/>
          <w:lang w:val="en-US"/>
        </w:rPr>
        <w:t xml:space="preserve"> </w:t>
      </w:r>
      <w:r w:rsidRPr="00CD45A4">
        <w:rPr>
          <w:color w:val="000000"/>
          <w:sz w:val="22"/>
          <w:szCs w:val="22"/>
        </w:rPr>
        <w:t>показатель</w:t>
      </w:r>
      <w:r w:rsidRPr="00CD45A4">
        <w:rPr>
          <w:color w:val="000000"/>
          <w:sz w:val="22"/>
          <w:szCs w:val="22"/>
          <w:lang w:val="en-US"/>
        </w:rPr>
        <w:t xml:space="preserve">, </w:t>
      </w:r>
      <w:r w:rsidRPr="00CD45A4">
        <w:rPr>
          <w:color w:val="000000"/>
          <w:sz w:val="22"/>
          <w:szCs w:val="22"/>
        </w:rPr>
        <w:t>температура</w:t>
      </w:r>
      <w:r w:rsidRPr="00CD45A4">
        <w:rPr>
          <w:color w:val="000000"/>
          <w:sz w:val="22"/>
          <w:szCs w:val="22"/>
          <w:lang w:val="en-US"/>
        </w:rPr>
        <w:t xml:space="preserve">, </w:t>
      </w:r>
      <w:r w:rsidRPr="00CD45A4">
        <w:rPr>
          <w:color w:val="000000"/>
          <w:sz w:val="22"/>
          <w:szCs w:val="22"/>
        </w:rPr>
        <w:t>сезонность</w:t>
      </w:r>
      <w:r w:rsidRPr="00CD45A4">
        <w:rPr>
          <w:color w:val="000000"/>
          <w:sz w:val="22"/>
          <w:szCs w:val="22"/>
          <w:lang w:val="en-US"/>
        </w:rPr>
        <w:t xml:space="preserve">, </w:t>
      </w:r>
      <w:r w:rsidRPr="00CD45A4">
        <w:rPr>
          <w:color w:val="000000"/>
          <w:sz w:val="22"/>
          <w:szCs w:val="22"/>
        </w:rPr>
        <w:t>пожарный</w:t>
      </w:r>
      <w:r w:rsidRPr="00CD45A4">
        <w:rPr>
          <w:color w:val="000000"/>
          <w:sz w:val="22"/>
          <w:szCs w:val="22"/>
          <w:lang w:val="en-US"/>
        </w:rPr>
        <w:t xml:space="preserve"> </w:t>
      </w:r>
      <w:r w:rsidRPr="00CD45A4">
        <w:rPr>
          <w:color w:val="000000"/>
          <w:sz w:val="22"/>
          <w:szCs w:val="22"/>
        </w:rPr>
        <w:t>водоем</w:t>
      </w:r>
      <w:r w:rsidRPr="00CD45A4">
        <w:rPr>
          <w:color w:val="000000"/>
          <w:sz w:val="22"/>
          <w:szCs w:val="22"/>
          <w:lang w:val="en-US"/>
        </w:rPr>
        <w:t xml:space="preserve">, </w:t>
      </w:r>
      <w:r w:rsidRPr="00CD45A4">
        <w:rPr>
          <w:color w:val="000000"/>
          <w:sz w:val="22"/>
          <w:szCs w:val="22"/>
        </w:rPr>
        <w:t>цианобактерии</w:t>
      </w:r>
      <w:r w:rsidRPr="00CD45A4">
        <w:rPr>
          <w:color w:val="000000"/>
          <w:sz w:val="22"/>
          <w:szCs w:val="22"/>
          <w:lang w:val="en-US"/>
        </w:rPr>
        <w:t xml:space="preserve">, </w:t>
      </w:r>
      <w:r w:rsidRPr="00CD45A4">
        <w:rPr>
          <w:color w:val="000000"/>
          <w:sz w:val="22"/>
          <w:szCs w:val="22"/>
        </w:rPr>
        <w:t>солнечный</w:t>
      </w:r>
      <w:r w:rsidRPr="00CD45A4">
        <w:rPr>
          <w:color w:val="000000"/>
          <w:sz w:val="22"/>
          <w:szCs w:val="22"/>
          <w:lang w:val="en-US"/>
        </w:rPr>
        <w:t xml:space="preserve"> </w:t>
      </w:r>
      <w:r w:rsidRPr="00CD45A4">
        <w:rPr>
          <w:color w:val="000000"/>
          <w:sz w:val="22"/>
          <w:szCs w:val="22"/>
        </w:rPr>
        <w:t>свет</w:t>
      </w:r>
      <w:r w:rsidRPr="00CD45A4">
        <w:rPr>
          <w:color w:val="000000"/>
          <w:sz w:val="22"/>
          <w:szCs w:val="22"/>
          <w:lang w:val="en-US"/>
        </w:rPr>
        <w:t>.</w:t>
      </w:r>
    </w:p>
    <w:p w:rsidR="00CD45A4" w:rsidRPr="00CD45A4" w:rsidRDefault="00CD45A4" w:rsidP="00812F84">
      <w:pPr>
        <w:widowControl w:val="0"/>
        <w:suppressAutoHyphens/>
        <w:ind w:firstLine="426"/>
        <w:jc w:val="both"/>
        <w:rPr>
          <w:color w:val="000000"/>
          <w:sz w:val="22"/>
          <w:szCs w:val="22"/>
          <w:lang w:val="en-US"/>
        </w:rPr>
      </w:pPr>
      <w:r w:rsidRPr="00CD45A4">
        <w:rPr>
          <w:color w:val="000000"/>
          <w:sz w:val="22"/>
          <w:szCs w:val="22"/>
          <w:lang w:val="en-US"/>
        </w:rPr>
        <w:t>KEYWORDS: Hydrogen index, temperature, seasonality, fire reservoir, cyanobacteria, sunlight.</w:t>
      </w:r>
    </w:p>
    <w:p w:rsidR="00CD45A4" w:rsidRPr="00CD45A4" w:rsidRDefault="00CD45A4" w:rsidP="00812F84">
      <w:pPr>
        <w:ind w:firstLine="426"/>
        <w:rPr>
          <w:sz w:val="24"/>
          <w:szCs w:val="24"/>
          <w:lang w:val="en-US"/>
        </w:rPr>
      </w:pPr>
    </w:p>
    <w:p w:rsidR="00CD45A4" w:rsidRPr="00CD45A4" w:rsidRDefault="00CD45A4" w:rsidP="00812F84">
      <w:pPr>
        <w:widowControl w:val="0"/>
        <w:ind w:firstLine="426"/>
        <w:jc w:val="both"/>
        <w:rPr>
          <w:sz w:val="24"/>
          <w:szCs w:val="24"/>
        </w:rPr>
      </w:pPr>
      <w:proofErr w:type="gramStart"/>
      <w:r w:rsidRPr="00CD45A4">
        <w:rPr>
          <w:color w:val="000000"/>
          <w:sz w:val="22"/>
          <w:szCs w:val="22"/>
        </w:rPr>
        <w:t>Цианобактерии – (от греч.</w:t>
      </w:r>
      <w:proofErr w:type="gramEnd"/>
      <w:r w:rsidRPr="00CD45A4">
        <w:rPr>
          <w:color w:val="000000"/>
          <w:sz w:val="22"/>
          <w:szCs w:val="22"/>
        </w:rPr>
        <w:t xml:space="preserve"> </w:t>
      </w:r>
      <w:proofErr w:type="gramStart"/>
      <w:r w:rsidRPr="00CD45A4">
        <w:rPr>
          <w:i/>
          <w:color w:val="000000"/>
          <w:sz w:val="22"/>
          <w:szCs w:val="22"/>
        </w:rPr>
        <w:t>Kyanos</w:t>
      </w:r>
      <w:r w:rsidRPr="00CD45A4">
        <w:rPr>
          <w:color w:val="000000"/>
          <w:sz w:val="22"/>
          <w:szCs w:val="22"/>
        </w:rPr>
        <w:t xml:space="preserve"> – синий и бактерии), группа фототрофных прокариотных организмов, традиционно называются синезелеными водорослями.</w:t>
      </w:r>
      <w:proofErr w:type="gramEnd"/>
      <w:r w:rsidRPr="00CD45A4">
        <w:rPr>
          <w:color w:val="000000"/>
          <w:sz w:val="22"/>
          <w:szCs w:val="22"/>
        </w:rPr>
        <w:t xml:space="preserve"> Основанием для отнесения синезел</w:t>
      </w:r>
      <w:r w:rsidRPr="00CD45A4">
        <w:rPr>
          <w:color w:val="000000"/>
          <w:sz w:val="22"/>
          <w:szCs w:val="22"/>
        </w:rPr>
        <w:t>е</w:t>
      </w:r>
      <w:r w:rsidRPr="00CD45A4">
        <w:rPr>
          <w:color w:val="000000"/>
          <w:sz w:val="22"/>
          <w:szCs w:val="22"/>
        </w:rPr>
        <w:t>ных водорослей к бактериям послужили сходство в организации их клеток с клетками других бактерий (прокариотный тип), прису</w:t>
      </w:r>
      <w:r w:rsidRPr="00CD45A4">
        <w:rPr>
          <w:color w:val="000000"/>
          <w:sz w:val="22"/>
          <w:szCs w:val="22"/>
        </w:rPr>
        <w:t>т</w:t>
      </w:r>
      <w:r w:rsidRPr="00CD45A4">
        <w:rPr>
          <w:color w:val="000000"/>
          <w:sz w:val="22"/>
          <w:szCs w:val="22"/>
        </w:rPr>
        <w:t>ствие общих специфических соединений (например, муреина в кл</w:t>
      </w:r>
      <w:r w:rsidRPr="00CD45A4">
        <w:rPr>
          <w:color w:val="000000"/>
          <w:sz w:val="22"/>
          <w:szCs w:val="22"/>
        </w:rPr>
        <w:t>е</w:t>
      </w:r>
      <w:r w:rsidRPr="00CD45A4">
        <w:rPr>
          <w:color w:val="000000"/>
          <w:sz w:val="22"/>
          <w:szCs w:val="22"/>
        </w:rPr>
        <w:t>точной стенке) и близость их генетических свойств. С другой ст</w:t>
      </w:r>
      <w:r w:rsidRPr="00CD45A4">
        <w:rPr>
          <w:color w:val="000000"/>
          <w:sz w:val="22"/>
          <w:szCs w:val="22"/>
        </w:rPr>
        <w:t>о</w:t>
      </w:r>
      <w:r w:rsidRPr="00CD45A4">
        <w:rPr>
          <w:color w:val="000000"/>
          <w:sz w:val="22"/>
          <w:szCs w:val="22"/>
        </w:rPr>
        <w:t>роны, цианобактерии подобно высшим растениям и водорослям осуществляют фотосинтез с выделением молекулярного кислорода. Название цианобактерии широко применяется в микробиологич</w:t>
      </w:r>
      <w:r w:rsidRPr="00CD45A4">
        <w:rPr>
          <w:color w:val="000000"/>
          <w:sz w:val="22"/>
          <w:szCs w:val="22"/>
        </w:rPr>
        <w:t>е</w:t>
      </w:r>
      <w:r w:rsidRPr="00CD45A4">
        <w:rPr>
          <w:color w:val="000000"/>
          <w:sz w:val="22"/>
          <w:szCs w:val="22"/>
        </w:rPr>
        <w:lastRenderedPageBreak/>
        <w:t>ской литературе, тогда как в ботанической чаще сохраняется назв</w:t>
      </w:r>
      <w:r w:rsidRPr="00CD45A4">
        <w:rPr>
          <w:color w:val="000000"/>
          <w:sz w:val="22"/>
          <w:szCs w:val="22"/>
        </w:rPr>
        <w:t>а</w:t>
      </w:r>
      <w:r w:rsidRPr="00CD45A4">
        <w:rPr>
          <w:color w:val="000000"/>
          <w:sz w:val="22"/>
          <w:szCs w:val="22"/>
        </w:rPr>
        <w:t xml:space="preserve">ние синезеленые водоросли [1]. </w:t>
      </w:r>
    </w:p>
    <w:p w:rsidR="00CD45A4" w:rsidRPr="00CD45A4" w:rsidRDefault="00CD45A4" w:rsidP="00812F84">
      <w:pPr>
        <w:widowControl w:val="0"/>
        <w:ind w:firstLine="426"/>
        <w:jc w:val="both"/>
        <w:rPr>
          <w:sz w:val="22"/>
          <w:szCs w:val="22"/>
        </w:rPr>
      </w:pPr>
      <w:r w:rsidRPr="00CD45A4">
        <w:rPr>
          <w:sz w:val="22"/>
          <w:szCs w:val="22"/>
        </w:rPr>
        <w:t xml:space="preserve">Исследования проводились в 2 этапа – отбор проб и измерение водородного показателя зимой (конец января) и летом (конец июля). Отбор проб производился из пожарного водоема общей площадью 879 </w:t>
      </w:r>
      <w:r w:rsidRPr="00CD45A4">
        <w:rPr>
          <w:rFonts w:eastAsia="Calibri"/>
          <w:sz w:val="22"/>
          <w:szCs w:val="22"/>
          <w:lang w:eastAsia="en-US"/>
        </w:rPr>
        <w:t>м</w:t>
      </w:r>
      <w:r w:rsidRPr="00CD45A4">
        <w:rPr>
          <w:rFonts w:eastAsia="Calibri"/>
          <w:sz w:val="22"/>
          <w:szCs w:val="22"/>
          <w:vertAlign w:val="superscript"/>
          <w:lang w:eastAsia="en-US"/>
        </w:rPr>
        <w:t>2</w:t>
      </w:r>
      <w:r w:rsidRPr="00CD45A4">
        <w:rPr>
          <w:sz w:val="22"/>
          <w:szCs w:val="22"/>
        </w:rPr>
        <w:t xml:space="preserve"> в четырех равноудаленных точках по периферии в 3-х кратной повторности, в соответствии с рекомендациями </w:t>
      </w:r>
      <w:proofErr w:type="gramStart"/>
      <w:r w:rsidRPr="00CD45A4">
        <w:rPr>
          <w:sz w:val="22"/>
          <w:szCs w:val="22"/>
        </w:rPr>
        <w:t>Р</w:t>
      </w:r>
      <w:proofErr w:type="gramEnd"/>
      <w:r w:rsidRPr="00CD45A4">
        <w:rPr>
          <w:sz w:val="22"/>
          <w:szCs w:val="22"/>
        </w:rPr>
        <w:t xml:space="preserve"> 52.24.353-2012. </w:t>
      </w:r>
    </w:p>
    <w:p w:rsidR="00CD45A4" w:rsidRPr="00CD45A4" w:rsidRDefault="00CD45A4" w:rsidP="00812F84">
      <w:pPr>
        <w:widowControl w:val="0"/>
        <w:ind w:firstLine="426"/>
        <w:jc w:val="both"/>
        <w:rPr>
          <w:sz w:val="22"/>
          <w:szCs w:val="22"/>
        </w:rPr>
      </w:pPr>
      <w:r w:rsidRPr="00CD45A4">
        <w:rPr>
          <w:sz w:val="22"/>
          <w:szCs w:val="22"/>
        </w:rPr>
        <w:t xml:space="preserve">Анализ отобранных проб показал, что в среднем водородный показатель в зимнее время равен 7,7, тогда как в летнее время 6,9, разница между показателями практически в единицу водородного показателя, </w:t>
      </w:r>
      <w:proofErr w:type="gramStart"/>
      <w:r w:rsidRPr="00CD45A4">
        <w:rPr>
          <w:sz w:val="22"/>
          <w:szCs w:val="22"/>
        </w:rPr>
        <w:t>это</w:t>
      </w:r>
      <w:proofErr w:type="gramEnd"/>
      <w:r w:rsidRPr="00CD45A4">
        <w:rPr>
          <w:sz w:val="22"/>
          <w:szCs w:val="22"/>
        </w:rPr>
        <w:t xml:space="preserve"> несомненно связано с продуктивностью цианоба</w:t>
      </w:r>
      <w:r w:rsidRPr="00CD45A4">
        <w:rPr>
          <w:sz w:val="22"/>
          <w:szCs w:val="22"/>
        </w:rPr>
        <w:t>к</w:t>
      </w:r>
      <w:r w:rsidRPr="00CD45A4">
        <w:rPr>
          <w:sz w:val="22"/>
          <w:szCs w:val="22"/>
        </w:rPr>
        <w:t>терий в летний период. На их продуктивность в данном водоеме влияет множество факторов, такие как малый объем чаши – она имеет форму неправильного прямоугольника с резко сужающимся дном, глубина водоема составляет порядка 2,5 м. Так же оказывает влияние антропогенное (мусор) загрязнение водоема, огромное к</w:t>
      </w:r>
      <w:r w:rsidRPr="00CD45A4">
        <w:rPr>
          <w:sz w:val="22"/>
          <w:szCs w:val="22"/>
        </w:rPr>
        <w:t>о</w:t>
      </w:r>
      <w:r w:rsidRPr="00CD45A4">
        <w:rPr>
          <w:sz w:val="22"/>
          <w:szCs w:val="22"/>
        </w:rPr>
        <w:t>личество биологического материала (ветки, опад, ствол дерева). В</w:t>
      </w:r>
      <w:r w:rsidRPr="00CD45A4">
        <w:rPr>
          <w:sz w:val="22"/>
          <w:szCs w:val="22"/>
        </w:rPr>
        <w:t>о</w:t>
      </w:r>
      <w:r w:rsidRPr="00CD45A4">
        <w:rPr>
          <w:sz w:val="22"/>
          <w:szCs w:val="22"/>
        </w:rPr>
        <w:t xml:space="preserve">доем не подвергают очистке, он не имеет сообщения с другими крупными водоемами. Чрезмерное подкисление водоема может привести к необратимым последствиям для прибрежно – водной экосистемы водоема ВНИИМК. </w:t>
      </w:r>
    </w:p>
    <w:p w:rsidR="00CD45A4" w:rsidRPr="00CD45A4" w:rsidRDefault="00CD45A4" w:rsidP="00A8504F">
      <w:pPr>
        <w:widowControl w:val="0"/>
        <w:ind w:firstLine="426"/>
        <w:jc w:val="both"/>
        <w:rPr>
          <w:sz w:val="22"/>
          <w:szCs w:val="22"/>
        </w:rPr>
      </w:pPr>
      <w:r w:rsidRPr="00CD45A4">
        <w:rPr>
          <w:sz w:val="22"/>
          <w:szCs w:val="22"/>
        </w:rPr>
        <w:t>Ввиду дороговизны установок и систем по очистке водоемов, а так же трудности в их использовании в конкретных условиях, мной был предложен наиболее экономически обоснованный вариант р</w:t>
      </w:r>
      <w:r w:rsidRPr="00CD45A4">
        <w:rPr>
          <w:sz w:val="22"/>
          <w:szCs w:val="22"/>
        </w:rPr>
        <w:t>е</w:t>
      </w:r>
      <w:r w:rsidRPr="00CD45A4">
        <w:rPr>
          <w:sz w:val="22"/>
          <w:szCs w:val="22"/>
        </w:rPr>
        <w:t>шения данной проблемы. Необходимо максимально уменьшить п</w:t>
      </w:r>
      <w:r w:rsidRPr="00CD45A4">
        <w:rPr>
          <w:sz w:val="22"/>
          <w:szCs w:val="22"/>
        </w:rPr>
        <w:t>о</w:t>
      </w:r>
      <w:r w:rsidRPr="00CD45A4">
        <w:rPr>
          <w:sz w:val="22"/>
          <w:szCs w:val="22"/>
        </w:rPr>
        <w:t xml:space="preserve">ступление солнечного света на поверхность водоема, тем самым не давая возможность синезеленым водорослям фотосинтезировать и подкислять почву. Наиболее подходящим для этого было выбрано растение </w:t>
      </w:r>
      <w:r w:rsidRPr="00CD45A4">
        <w:rPr>
          <w:i/>
          <w:sz w:val="22"/>
          <w:szCs w:val="22"/>
        </w:rPr>
        <w:t>Salix matsudana</w:t>
      </w:r>
      <w:r w:rsidRPr="00CD45A4">
        <w:rPr>
          <w:sz w:val="22"/>
          <w:szCs w:val="22"/>
        </w:rPr>
        <w:t>, в простонародье ива кудрявая (извил</w:t>
      </w:r>
      <w:r w:rsidRPr="00CD45A4">
        <w:rPr>
          <w:sz w:val="22"/>
          <w:szCs w:val="22"/>
        </w:rPr>
        <w:t>и</w:t>
      </w:r>
      <w:r w:rsidRPr="00CD45A4">
        <w:rPr>
          <w:sz w:val="22"/>
          <w:szCs w:val="22"/>
        </w:rPr>
        <w:t>стая). Ее особое строение, а именно «нависание» над поверхностью водоема не позволит большинству солнечных лучей достичь водо</w:t>
      </w:r>
      <w:r w:rsidRPr="00CD45A4">
        <w:rPr>
          <w:sz w:val="22"/>
          <w:szCs w:val="22"/>
        </w:rPr>
        <w:t>е</w:t>
      </w:r>
      <w:r w:rsidRPr="00CD45A4">
        <w:rPr>
          <w:sz w:val="22"/>
          <w:szCs w:val="22"/>
        </w:rPr>
        <w:t xml:space="preserve">ма и не дать бактериям развиваться. Однако стоит учесть, что на прорастание растения необходимо время. </w:t>
      </w:r>
    </w:p>
    <w:p w:rsidR="00CD45A4" w:rsidRPr="00CD45A4" w:rsidRDefault="00CD45A4" w:rsidP="00812F84">
      <w:pPr>
        <w:widowControl w:val="0"/>
        <w:ind w:firstLine="426"/>
        <w:jc w:val="center"/>
        <w:rPr>
          <w:sz w:val="24"/>
          <w:szCs w:val="24"/>
        </w:rPr>
      </w:pPr>
      <w:r w:rsidRPr="00CD45A4">
        <w:rPr>
          <w:color w:val="000000"/>
          <w:sz w:val="22"/>
          <w:szCs w:val="22"/>
        </w:rPr>
        <w:t>Список литературы</w:t>
      </w:r>
    </w:p>
    <w:p w:rsidR="00812F84" w:rsidRPr="00A8504F" w:rsidRDefault="00CD45A4" w:rsidP="00CD45A4">
      <w:pPr>
        <w:pStyle w:val="aa"/>
        <w:widowControl w:val="0"/>
        <w:numPr>
          <w:ilvl w:val="0"/>
          <w:numId w:val="108"/>
        </w:numPr>
        <w:ind w:left="0" w:firstLine="426"/>
        <w:jc w:val="both"/>
        <w:rPr>
          <w:color w:val="000000"/>
          <w:sz w:val="22"/>
          <w:szCs w:val="22"/>
        </w:rPr>
      </w:pPr>
      <w:r w:rsidRPr="00CD45A4">
        <w:rPr>
          <w:color w:val="000000"/>
          <w:sz w:val="22"/>
          <w:szCs w:val="22"/>
        </w:rPr>
        <w:t>Гиляров, М. С. Биологический энциклопедический словарь / М.С. Гиляров. – 2-е изд., исправл. – М.: Сов. Энциклопедия, 1986. – 156 с.</w:t>
      </w:r>
    </w:p>
    <w:p w:rsidR="00E5540A" w:rsidRPr="00E5540A" w:rsidRDefault="00E5540A" w:rsidP="00E5540A">
      <w:pPr>
        <w:widowControl w:val="0"/>
        <w:rPr>
          <w:rFonts w:eastAsia="Calibri"/>
          <w:sz w:val="22"/>
          <w:szCs w:val="22"/>
          <w:lang w:eastAsia="en-US"/>
        </w:rPr>
      </w:pPr>
      <w:r w:rsidRPr="00CD45A4">
        <w:rPr>
          <w:rFonts w:eastAsia="Calibri"/>
          <w:sz w:val="22"/>
          <w:szCs w:val="22"/>
          <w:lang w:eastAsia="en-US"/>
        </w:rPr>
        <w:lastRenderedPageBreak/>
        <w:t>УДК</w:t>
      </w:r>
      <w:r w:rsidRPr="00E5540A">
        <w:rPr>
          <w:rFonts w:eastAsia="Calibri"/>
          <w:sz w:val="22"/>
          <w:szCs w:val="22"/>
          <w:lang w:eastAsia="en-US"/>
        </w:rPr>
        <w:t xml:space="preserve"> 633.853.52:575.113</w:t>
      </w:r>
    </w:p>
    <w:p w:rsidR="00E5540A" w:rsidRPr="00E5540A" w:rsidRDefault="00E5540A" w:rsidP="00E5540A">
      <w:pPr>
        <w:widowControl w:val="0"/>
        <w:rPr>
          <w:rFonts w:eastAsia="Calibri"/>
          <w:sz w:val="22"/>
          <w:szCs w:val="22"/>
          <w:lang w:eastAsia="en-US"/>
        </w:rPr>
      </w:pPr>
    </w:p>
    <w:p w:rsidR="00E5540A" w:rsidRPr="00E5540A" w:rsidRDefault="00E5540A" w:rsidP="00E5540A">
      <w:pPr>
        <w:widowControl w:val="0"/>
        <w:jc w:val="center"/>
        <w:rPr>
          <w:rFonts w:eastAsia="Calibri"/>
          <w:b/>
          <w:sz w:val="24"/>
          <w:szCs w:val="24"/>
          <w:lang w:eastAsia="en-US"/>
        </w:rPr>
      </w:pPr>
      <w:r w:rsidRPr="00CD45A4">
        <w:rPr>
          <w:rFonts w:eastAsia="Calibri"/>
          <w:b/>
          <w:sz w:val="24"/>
          <w:szCs w:val="24"/>
          <w:lang w:eastAsia="en-US"/>
        </w:rPr>
        <w:t>Использование</w:t>
      </w:r>
      <w:r w:rsidRPr="00E5540A">
        <w:rPr>
          <w:rFonts w:eastAsia="Calibri"/>
          <w:b/>
          <w:sz w:val="24"/>
          <w:szCs w:val="24"/>
          <w:lang w:eastAsia="en-US"/>
        </w:rPr>
        <w:t xml:space="preserve"> </w:t>
      </w:r>
      <w:r w:rsidRPr="00CD45A4">
        <w:rPr>
          <w:rFonts w:eastAsia="Calibri"/>
          <w:b/>
          <w:sz w:val="24"/>
          <w:szCs w:val="24"/>
          <w:lang w:eastAsia="en-US"/>
        </w:rPr>
        <w:t>новых</w:t>
      </w:r>
      <w:r w:rsidRPr="00E5540A">
        <w:rPr>
          <w:rFonts w:eastAsia="Calibri"/>
          <w:b/>
          <w:sz w:val="24"/>
          <w:szCs w:val="24"/>
          <w:lang w:eastAsia="en-US"/>
        </w:rPr>
        <w:t xml:space="preserve"> </w:t>
      </w:r>
      <w:r w:rsidRPr="00CD45A4">
        <w:rPr>
          <w:rFonts w:eastAsia="Calibri"/>
          <w:b/>
          <w:sz w:val="24"/>
          <w:szCs w:val="24"/>
          <w:lang w:eastAsia="en-US"/>
        </w:rPr>
        <w:t>источников</w:t>
      </w:r>
      <w:r w:rsidRPr="00E5540A">
        <w:rPr>
          <w:rFonts w:eastAsia="Calibri"/>
          <w:b/>
          <w:sz w:val="24"/>
          <w:szCs w:val="24"/>
          <w:lang w:eastAsia="en-US"/>
        </w:rPr>
        <w:t xml:space="preserve"> </w:t>
      </w:r>
      <w:r w:rsidRPr="00CD45A4">
        <w:rPr>
          <w:rFonts w:eastAsia="Calibri"/>
          <w:b/>
          <w:sz w:val="24"/>
          <w:szCs w:val="24"/>
          <w:lang w:eastAsia="en-US"/>
        </w:rPr>
        <w:t>ККГ</w:t>
      </w:r>
      <w:r w:rsidRPr="00E5540A">
        <w:rPr>
          <w:rFonts w:eastAsia="Calibri"/>
          <w:b/>
          <w:sz w:val="24"/>
          <w:szCs w:val="24"/>
          <w:lang w:eastAsia="en-US"/>
        </w:rPr>
        <w:t xml:space="preserve"> </w:t>
      </w:r>
      <w:r w:rsidRPr="00CD45A4">
        <w:rPr>
          <w:rFonts w:eastAsia="Calibri"/>
          <w:b/>
          <w:sz w:val="24"/>
          <w:szCs w:val="24"/>
          <w:lang w:eastAsia="en-US"/>
        </w:rPr>
        <w:t>в</w:t>
      </w:r>
      <w:r w:rsidRPr="00E5540A">
        <w:rPr>
          <w:rFonts w:eastAsia="Calibri"/>
          <w:b/>
          <w:sz w:val="24"/>
          <w:szCs w:val="24"/>
          <w:lang w:eastAsia="en-US"/>
        </w:rPr>
        <w:t xml:space="preserve"> </w:t>
      </w:r>
      <w:r w:rsidRPr="00CD45A4">
        <w:rPr>
          <w:rFonts w:eastAsia="Calibri"/>
          <w:b/>
          <w:sz w:val="24"/>
          <w:szCs w:val="24"/>
          <w:lang w:eastAsia="en-US"/>
        </w:rPr>
        <w:t>селекции</w:t>
      </w:r>
      <w:r w:rsidRPr="00E5540A">
        <w:rPr>
          <w:rFonts w:eastAsia="Calibri"/>
          <w:b/>
          <w:sz w:val="24"/>
          <w:szCs w:val="24"/>
          <w:lang w:eastAsia="en-US"/>
        </w:rPr>
        <w:t xml:space="preserve"> </w:t>
      </w:r>
      <w:r w:rsidRPr="00CD45A4">
        <w:rPr>
          <w:rFonts w:eastAsia="Calibri"/>
          <w:b/>
          <w:sz w:val="24"/>
          <w:szCs w:val="24"/>
          <w:lang w:eastAsia="en-US"/>
        </w:rPr>
        <w:t>сои</w:t>
      </w:r>
    </w:p>
    <w:p w:rsidR="00E5540A" w:rsidRPr="00CD45A4" w:rsidRDefault="00E5540A" w:rsidP="00E5540A">
      <w:pPr>
        <w:widowControl w:val="0"/>
        <w:jc w:val="center"/>
        <w:rPr>
          <w:rFonts w:eastAsia="Calibri"/>
          <w:b/>
          <w:sz w:val="24"/>
          <w:szCs w:val="24"/>
          <w:lang w:val="en-US" w:eastAsia="en-US"/>
        </w:rPr>
      </w:pPr>
      <w:r w:rsidRPr="00CD45A4">
        <w:rPr>
          <w:rFonts w:eastAsia="Calibri"/>
          <w:b/>
          <w:sz w:val="24"/>
          <w:szCs w:val="24"/>
          <w:lang w:val="en-US" w:eastAsia="en-US"/>
        </w:rPr>
        <w:t>Use of new sources of CCG in soybean breeding</w:t>
      </w:r>
    </w:p>
    <w:p w:rsidR="00E5540A" w:rsidRPr="00CD45A4" w:rsidRDefault="00E5540A" w:rsidP="00E5540A">
      <w:pPr>
        <w:widowControl w:val="0"/>
        <w:jc w:val="center"/>
        <w:rPr>
          <w:rFonts w:eastAsia="Calibri"/>
          <w:b/>
          <w:sz w:val="22"/>
          <w:szCs w:val="22"/>
          <w:lang w:val="en-US" w:eastAsia="en-US"/>
        </w:rPr>
      </w:pP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Пасхалиди В. Г.</w:t>
      </w:r>
      <w:r w:rsidR="00812F84">
        <w:rPr>
          <w:rFonts w:eastAsia="Calibri"/>
          <w:sz w:val="22"/>
          <w:szCs w:val="22"/>
          <w:lang w:eastAsia="en-US"/>
        </w:rPr>
        <w:t>,</w:t>
      </w:r>
    </w:p>
    <w:p w:rsidR="00E5540A" w:rsidRPr="00812F84" w:rsidRDefault="00812F84" w:rsidP="00E5540A">
      <w:pPr>
        <w:widowControl w:val="0"/>
        <w:jc w:val="right"/>
        <w:rPr>
          <w:rFonts w:eastAsia="Calibri"/>
          <w:sz w:val="22"/>
          <w:szCs w:val="22"/>
          <w:lang w:eastAsia="en-US"/>
        </w:rPr>
      </w:pPr>
      <w:r w:rsidRPr="00812F84">
        <w:rPr>
          <w:rFonts w:eastAsia="Calibri"/>
          <w:sz w:val="22"/>
          <w:szCs w:val="22"/>
          <w:lang w:eastAsia="en-US"/>
        </w:rPr>
        <w:t>студентка 4-го курса</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факультета агрономии и экологии</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Цаценко Л. В.</w:t>
      </w:r>
      <w:r w:rsidR="00812F84">
        <w:rPr>
          <w:rFonts w:eastAsia="Calibri"/>
          <w:sz w:val="22"/>
          <w:szCs w:val="22"/>
          <w:lang w:eastAsia="en-US"/>
        </w:rPr>
        <w:t>,</w:t>
      </w:r>
    </w:p>
    <w:p w:rsidR="00E5540A" w:rsidRPr="00812F84" w:rsidRDefault="00812F84" w:rsidP="00E5540A">
      <w:pPr>
        <w:widowControl w:val="0"/>
        <w:jc w:val="right"/>
        <w:rPr>
          <w:rFonts w:eastAsia="Calibri"/>
          <w:sz w:val="22"/>
          <w:szCs w:val="22"/>
          <w:lang w:eastAsia="en-US"/>
        </w:rPr>
      </w:pPr>
      <w:r w:rsidRPr="00812F84">
        <w:rPr>
          <w:rFonts w:eastAsia="Calibri"/>
          <w:sz w:val="22"/>
          <w:szCs w:val="22"/>
          <w:lang w:eastAsia="en-US"/>
        </w:rPr>
        <w:t>профессор кафедры генетики,</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селекции и семеноводства</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Куб</w:t>
      </w:r>
      <w:r w:rsidR="00812F84">
        <w:rPr>
          <w:rFonts w:eastAsia="Calibri"/>
          <w:sz w:val="22"/>
          <w:szCs w:val="22"/>
          <w:lang w:eastAsia="en-US"/>
        </w:rPr>
        <w:t>анский государственный аграрный</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университет имени И.Т. Трубилина</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Зеленцов С. В.</w:t>
      </w:r>
      <w:r w:rsidR="00812F84">
        <w:rPr>
          <w:rFonts w:eastAsia="Calibri"/>
          <w:sz w:val="22"/>
          <w:szCs w:val="22"/>
          <w:lang w:eastAsia="en-US"/>
        </w:rPr>
        <w:t>,</w:t>
      </w:r>
    </w:p>
    <w:p w:rsidR="00E5540A" w:rsidRPr="00812F84" w:rsidRDefault="00E5540A" w:rsidP="00E5540A">
      <w:pPr>
        <w:widowControl w:val="0"/>
        <w:jc w:val="right"/>
        <w:rPr>
          <w:rFonts w:eastAsia="Calibri"/>
          <w:sz w:val="22"/>
          <w:szCs w:val="22"/>
          <w:lang w:eastAsia="en-US"/>
        </w:rPr>
      </w:pPr>
      <w:r w:rsidRPr="00812F84">
        <w:rPr>
          <w:rFonts w:eastAsia="Calibri"/>
          <w:sz w:val="22"/>
          <w:szCs w:val="22"/>
          <w:lang w:eastAsia="en-US"/>
        </w:rPr>
        <w:t>заведующий отделом сои</w:t>
      </w:r>
    </w:p>
    <w:p w:rsidR="00E5540A" w:rsidRDefault="00E5540A" w:rsidP="00E5540A">
      <w:pPr>
        <w:widowControl w:val="0"/>
        <w:jc w:val="right"/>
        <w:rPr>
          <w:rFonts w:eastAsia="Calibri"/>
          <w:sz w:val="22"/>
          <w:szCs w:val="22"/>
          <w:lang w:eastAsia="en-US"/>
        </w:rPr>
      </w:pPr>
      <w:r w:rsidRPr="00812F84">
        <w:rPr>
          <w:rFonts w:eastAsia="Calibri"/>
          <w:sz w:val="22"/>
          <w:szCs w:val="22"/>
          <w:lang w:eastAsia="en-US"/>
        </w:rPr>
        <w:t>ВНИИ масличных культур имени В.</w:t>
      </w:r>
      <w:r w:rsidR="00812F84">
        <w:rPr>
          <w:rFonts w:eastAsia="Calibri"/>
          <w:sz w:val="22"/>
          <w:szCs w:val="22"/>
          <w:lang w:eastAsia="en-US"/>
        </w:rPr>
        <w:t xml:space="preserve"> </w:t>
      </w:r>
      <w:r w:rsidRPr="00812F84">
        <w:rPr>
          <w:rFonts w:eastAsia="Calibri"/>
          <w:sz w:val="22"/>
          <w:szCs w:val="22"/>
          <w:lang w:eastAsia="en-US"/>
        </w:rPr>
        <w:t>С. Пустовойта</w:t>
      </w:r>
    </w:p>
    <w:p w:rsidR="00812F84" w:rsidRPr="00812F84" w:rsidRDefault="00812F84" w:rsidP="00E5540A">
      <w:pPr>
        <w:widowControl w:val="0"/>
        <w:jc w:val="right"/>
        <w:rPr>
          <w:rFonts w:eastAsia="Calibri"/>
          <w:sz w:val="22"/>
          <w:szCs w:val="22"/>
          <w:lang w:eastAsia="en-US"/>
        </w:rPr>
      </w:pP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АННОТАЦИЯ: В работе рассматриваются вопросы  использ</w:t>
      </w:r>
      <w:r w:rsidRPr="00812F84">
        <w:rPr>
          <w:rFonts w:eastAsia="Calibri"/>
          <w:sz w:val="22"/>
          <w:szCs w:val="22"/>
          <w:lang w:eastAsia="en-US"/>
        </w:rPr>
        <w:t>о</w:t>
      </w:r>
      <w:r w:rsidRPr="00812F84">
        <w:rPr>
          <w:rFonts w:eastAsia="Calibri"/>
          <w:sz w:val="22"/>
          <w:szCs w:val="22"/>
          <w:lang w:eastAsia="en-US"/>
        </w:rPr>
        <w:t>вания источников комплекса компенсирующих генов в селек</w:t>
      </w:r>
      <w:r w:rsidR="00812F84">
        <w:rPr>
          <w:rFonts w:eastAsia="Calibri"/>
          <w:sz w:val="22"/>
          <w:szCs w:val="22"/>
          <w:lang w:eastAsia="en-US"/>
        </w:rPr>
        <w:t xml:space="preserve">ции сои в </w:t>
      </w:r>
      <w:r w:rsidRPr="00812F84">
        <w:rPr>
          <w:rFonts w:eastAsia="Calibri"/>
          <w:sz w:val="22"/>
          <w:szCs w:val="22"/>
          <w:lang w:eastAsia="en-US"/>
        </w:rPr>
        <w:t xml:space="preserve">процессе гибридизации. </w:t>
      </w:r>
    </w:p>
    <w:p w:rsidR="00E5540A" w:rsidRPr="00812F84" w:rsidRDefault="00E5540A" w:rsidP="00812F84">
      <w:pPr>
        <w:widowControl w:val="0"/>
        <w:ind w:firstLine="426"/>
        <w:jc w:val="both"/>
        <w:rPr>
          <w:rFonts w:eastAsia="Calibri"/>
          <w:sz w:val="22"/>
          <w:szCs w:val="22"/>
          <w:lang w:val="en-US" w:eastAsia="en-US"/>
        </w:rPr>
      </w:pPr>
      <w:r w:rsidRPr="00812F84">
        <w:rPr>
          <w:rFonts w:eastAsia="Calibri"/>
          <w:sz w:val="22"/>
          <w:szCs w:val="22"/>
          <w:lang w:val="en-US" w:eastAsia="en-US"/>
        </w:rPr>
        <w:t>ABSTRACT:</w:t>
      </w:r>
      <w:r w:rsidRPr="00812F84">
        <w:rPr>
          <w:rFonts w:ascii="Arial" w:eastAsia="Calibri" w:hAnsi="Arial" w:cs="Arial"/>
          <w:sz w:val="22"/>
          <w:szCs w:val="22"/>
          <w:lang w:val="en-US" w:eastAsia="en-US"/>
        </w:rPr>
        <w:t xml:space="preserve"> </w:t>
      </w:r>
      <w:r w:rsidRPr="00812F84">
        <w:rPr>
          <w:rFonts w:eastAsia="Calibri"/>
          <w:sz w:val="22"/>
          <w:szCs w:val="22"/>
          <w:lang w:val="en-US" w:eastAsia="en-US"/>
        </w:rPr>
        <w:t>The paper deals with the use of sources of complex compensating genes in soybean breeding in the process of hybridization.</w:t>
      </w: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КЛЮЧЕВЫЕ СЛОВА: гибриды сои, селекция сои, гетерозис, комплекс компенсирующих генов, ККГ.</w:t>
      </w:r>
    </w:p>
    <w:p w:rsidR="00E5540A" w:rsidRPr="00812F84" w:rsidRDefault="00E5540A" w:rsidP="00812F84">
      <w:pPr>
        <w:widowControl w:val="0"/>
        <w:ind w:firstLine="426"/>
        <w:jc w:val="both"/>
        <w:rPr>
          <w:rFonts w:eastAsia="Calibri"/>
          <w:sz w:val="22"/>
          <w:szCs w:val="22"/>
          <w:lang w:val="en-US" w:eastAsia="en-US"/>
        </w:rPr>
      </w:pPr>
      <w:r w:rsidRPr="00812F84">
        <w:rPr>
          <w:rFonts w:eastAsia="Calibri"/>
          <w:sz w:val="22"/>
          <w:szCs w:val="22"/>
          <w:lang w:val="en-US" w:eastAsia="en-US"/>
        </w:rPr>
        <w:t>KEYWORDS: soybean hybrids, soybean breeding, heterosis, co</w:t>
      </w:r>
      <w:r w:rsidRPr="00812F84">
        <w:rPr>
          <w:rFonts w:eastAsia="Calibri"/>
          <w:sz w:val="22"/>
          <w:szCs w:val="22"/>
          <w:lang w:val="en-US" w:eastAsia="en-US"/>
        </w:rPr>
        <w:t>m</w:t>
      </w:r>
      <w:r w:rsidRPr="00812F84">
        <w:rPr>
          <w:rFonts w:eastAsia="Calibri"/>
          <w:sz w:val="22"/>
          <w:szCs w:val="22"/>
          <w:lang w:val="en-US" w:eastAsia="en-US"/>
        </w:rPr>
        <w:t>plex compensating genes, KKG.</w:t>
      </w:r>
    </w:p>
    <w:p w:rsidR="00E5540A" w:rsidRPr="00812F84" w:rsidRDefault="00E5540A" w:rsidP="00812F84">
      <w:pPr>
        <w:widowControl w:val="0"/>
        <w:ind w:firstLine="426"/>
        <w:jc w:val="both"/>
        <w:rPr>
          <w:rFonts w:eastAsia="Calibri"/>
          <w:sz w:val="22"/>
          <w:szCs w:val="22"/>
          <w:lang w:val="en-US" w:eastAsia="en-US"/>
        </w:rPr>
      </w:pP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В настоящее время производство сои достигло значительных успехов, однако дальнейшее повышение ее продуктивности сде</w:t>
      </w:r>
      <w:r w:rsidRPr="00812F84">
        <w:rPr>
          <w:rFonts w:eastAsia="Calibri"/>
          <w:sz w:val="22"/>
          <w:szCs w:val="22"/>
          <w:lang w:eastAsia="en-US"/>
        </w:rPr>
        <w:t>р</w:t>
      </w:r>
      <w:r w:rsidRPr="00812F84">
        <w:rPr>
          <w:rFonts w:eastAsia="Calibri"/>
          <w:sz w:val="22"/>
          <w:szCs w:val="22"/>
          <w:lang w:eastAsia="en-US"/>
        </w:rPr>
        <w:t>живается рядом причин: отсутствие дополнительных площадей в традиционных зонах выращивания, низкая приспособляемость имеющихся сортов к новым регионам возделывания и практически полное исчерпание доступного генофонда. Повышение продукти</w:t>
      </w:r>
      <w:r w:rsidRPr="00812F84">
        <w:rPr>
          <w:rFonts w:eastAsia="Calibri"/>
          <w:sz w:val="22"/>
          <w:szCs w:val="22"/>
          <w:lang w:eastAsia="en-US"/>
        </w:rPr>
        <w:t>в</w:t>
      </w:r>
      <w:r w:rsidRPr="00812F84">
        <w:rPr>
          <w:rFonts w:eastAsia="Calibri"/>
          <w:sz w:val="22"/>
          <w:szCs w:val="22"/>
          <w:lang w:eastAsia="en-US"/>
        </w:rPr>
        <w:t>ности сои по некоторым признакам становится возможным благ</w:t>
      </w:r>
      <w:r w:rsidRPr="00812F84">
        <w:rPr>
          <w:rFonts w:eastAsia="Calibri"/>
          <w:sz w:val="22"/>
          <w:szCs w:val="22"/>
          <w:lang w:eastAsia="en-US"/>
        </w:rPr>
        <w:t>о</w:t>
      </w:r>
      <w:r w:rsidRPr="00812F84">
        <w:rPr>
          <w:rFonts w:eastAsia="Calibri"/>
          <w:sz w:val="22"/>
          <w:szCs w:val="22"/>
          <w:lang w:eastAsia="en-US"/>
        </w:rPr>
        <w:t>даря эффекту закрепленного гетерозиса – в результате гибридиз</w:t>
      </w:r>
      <w:r w:rsidRPr="00812F84">
        <w:rPr>
          <w:rFonts w:eastAsia="Calibri"/>
          <w:sz w:val="22"/>
          <w:szCs w:val="22"/>
          <w:lang w:eastAsia="en-US"/>
        </w:rPr>
        <w:t>а</w:t>
      </w:r>
      <w:r w:rsidRPr="00812F84">
        <w:rPr>
          <w:rFonts w:eastAsia="Calibri"/>
          <w:sz w:val="22"/>
          <w:szCs w:val="22"/>
          <w:lang w:eastAsia="en-US"/>
        </w:rPr>
        <w:t>ции генотипа-носителя рецессивной полулетальной мутации (и</w:t>
      </w:r>
      <w:r w:rsidRPr="00812F84">
        <w:rPr>
          <w:rFonts w:eastAsia="Calibri"/>
          <w:sz w:val="22"/>
          <w:szCs w:val="22"/>
          <w:lang w:eastAsia="en-US"/>
        </w:rPr>
        <w:t>с</w:t>
      </w:r>
      <w:r w:rsidRPr="00812F84">
        <w:rPr>
          <w:rFonts w:eastAsia="Calibri"/>
          <w:sz w:val="22"/>
          <w:szCs w:val="22"/>
          <w:lang w:eastAsia="en-US"/>
        </w:rPr>
        <w:t xml:space="preserve">точник ККГ) с неродственной формой, в </w:t>
      </w:r>
      <w:r w:rsidRPr="00812F84">
        <w:rPr>
          <w:rFonts w:eastAsia="Calibri"/>
          <w:sz w:val="22"/>
          <w:szCs w:val="22"/>
          <w:lang w:val="en-US" w:eastAsia="en-US"/>
        </w:rPr>
        <w:t>F</w:t>
      </w:r>
      <w:r w:rsidRPr="00812F84">
        <w:rPr>
          <w:rFonts w:eastAsia="Calibri"/>
          <w:sz w:val="22"/>
          <w:szCs w:val="22"/>
          <w:vertAlign w:val="subscript"/>
          <w:lang w:eastAsia="en-US"/>
        </w:rPr>
        <w:t>1</w:t>
      </w:r>
      <w:r w:rsidRPr="00812F84">
        <w:rPr>
          <w:rFonts w:eastAsia="Calibri"/>
          <w:sz w:val="22"/>
          <w:szCs w:val="22"/>
          <w:lang w:eastAsia="en-US"/>
        </w:rPr>
        <w:t xml:space="preserve"> рецессивный мутантный аллель переходит в гетерозиготное состояние, а комплекс компе</w:t>
      </w:r>
      <w:r w:rsidRPr="00812F84">
        <w:rPr>
          <w:rFonts w:eastAsia="Calibri"/>
          <w:sz w:val="22"/>
          <w:szCs w:val="22"/>
          <w:lang w:eastAsia="en-US"/>
        </w:rPr>
        <w:t>н</w:t>
      </w:r>
      <w:r w:rsidRPr="00812F84">
        <w:rPr>
          <w:rFonts w:eastAsia="Calibri"/>
          <w:sz w:val="22"/>
          <w:szCs w:val="22"/>
          <w:lang w:eastAsia="en-US"/>
        </w:rPr>
        <w:lastRenderedPageBreak/>
        <w:t xml:space="preserve">сирующих генов обеспечивает мощный гетерозис гибриду [1]. </w:t>
      </w: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Сорт Фора, ранее выведенный во ВНИИИМК, имеющий в св</w:t>
      </w:r>
      <w:r w:rsidRPr="00812F84">
        <w:rPr>
          <w:rFonts w:eastAsia="Calibri"/>
          <w:sz w:val="22"/>
          <w:szCs w:val="22"/>
          <w:lang w:eastAsia="en-US"/>
        </w:rPr>
        <w:t>о</w:t>
      </w:r>
      <w:r w:rsidRPr="00812F84">
        <w:rPr>
          <w:rFonts w:eastAsia="Calibri"/>
          <w:sz w:val="22"/>
          <w:szCs w:val="22"/>
          <w:lang w:eastAsia="en-US"/>
        </w:rPr>
        <w:t>ем генотипе ККГ-комплекс, стал генетической основой для созд</w:t>
      </w:r>
      <w:r w:rsidRPr="00812F84">
        <w:rPr>
          <w:rFonts w:eastAsia="Calibri"/>
          <w:sz w:val="22"/>
          <w:szCs w:val="22"/>
          <w:lang w:eastAsia="en-US"/>
        </w:rPr>
        <w:t>а</w:t>
      </w:r>
      <w:r w:rsidRPr="00812F84">
        <w:rPr>
          <w:rFonts w:eastAsia="Calibri"/>
          <w:sz w:val="22"/>
          <w:szCs w:val="22"/>
          <w:lang w:eastAsia="en-US"/>
        </w:rPr>
        <w:t xml:space="preserve">ния ряда высокоурожайных сортов. Так же на его основе методом полиплоидной рекомбинации генома во ВНИИМК были выведены новые ККГ-линии </w:t>
      </w:r>
      <w:r w:rsidRPr="00812F84">
        <w:rPr>
          <w:rFonts w:eastAsia="Calibri"/>
          <w:sz w:val="22"/>
          <w:szCs w:val="22"/>
          <w:lang w:val="en-US" w:eastAsia="en-US"/>
        </w:rPr>
        <w:t>Dwarf</w:t>
      </w:r>
      <w:r w:rsidRPr="00812F84">
        <w:rPr>
          <w:rFonts w:eastAsia="Calibri"/>
          <w:sz w:val="22"/>
          <w:szCs w:val="22"/>
          <w:lang w:eastAsia="en-US"/>
        </w:rPr>
        <w:t xml:space="preserve"> 3457, </w:t>
      </w:r>
      <w:r w:rsidRPr="00812F84">
        <w:rPr>
          <w:rFonts w:eastAsia="Calibri"/>
          <w:sz w:val="22"/>
          <w:szCs w:val="22"/>
          <w:lang w:val="en-US" w:eastAsia="en-US"/>
        </w:rPr>
        <w:t>Dwarf</w:t>
      </w:r>
      <w:r w:rsidRPr="00812F84">
        <w:rPr>
          <w:rFonts w:eastAsia="Calibri"/>
          <w:sz w:val="22"/>
          <w:szCs w:val="22"/>
          <w:lang w:eastAsia="en-US"/>
        </w:rPr>
        <w:t xml:space="preserve"> 3458, </w:t>
      </w:r>
      <w:r w:rsidRPr="00812F84">
        <w:rPr>
          <w:rFonts w:eastAsia="Calibri"/>
          <w:sz w:val="22"/>
          <w:szCs w:val="22"/>
          <w:lang w:val="en-US" w:eastAsia="en-US"/>
        </w:rPr>
        <w:t>Dwarf</w:t>
      </w:r>
      <w:r w:rsidRPr="00812F84">
        <w:rPr>
          <w:rFonts w:eastAsia="Calibri"/>
          <w:sz w:val="22"/>
          <w:szCs w:val="22"/>
          <w:lang w:eastAsia="en-US"/>
        </w:rPr>
        <w:t xml:space="preserve"> 3468 и Гном 1809 </w:t>
      </w:r>
      <w:r w:rsidRPr="00812F84">
        <w:rPr>
          <w:rFonts w:eastAsia="Calibri"/>
          <w:sz w:val="22"/>
          <w:szCs w:val="22"/>
          <w:lang w:val="en-US" w:eastAsia="en-US"/>
        </w:rPr>
        <w:t>TD</w:t>
      </w:r>
      <w:r w:rsidRPr="00812F84">
        <w:rPr>
          <w:rFonts w:eastAsia="Calibri"/>
          <w:sz w:val="22"/>
          <w:szCs w:val="22"/>
          <w:lang w:eastAsia="en-US"/>
        </w:rPr>
        <w:t>, обеспечивающие еще больший гетерозис[2].</w:t>
      </w: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 xml:space="preserve">В 2017 году в г. Краснодар на базе отдела сои ВНИИМК были проведены исследования по изучению характера наследования морфометрических признаков в </w:t>
      </w:r>
      <w:r w:rsidRPr="00812F84">
        <w:rPr>
          <w:rFonts w:eastAsia="Calibri"/>
          <w:sz w:val="22"/>
          <w:szCs w:val="22"/>
          <w:lang w:val="en-US" w:eastAsia="en-US"/>
        </w:rPr>
        <w:t>F</w:t>
      </w:r>
      <w:r w:rsidRPr="00812F84">
        <w:rPr>
          <w:rFonts w:eastAsia="Calibri"/>
          <w:sz w:val="22"/>
          <w:szCs w:val="22"/>
          <w:vertAlign w:val="subscript"/>
          <w:lang w:eastAsia="en-US"/>
        </w:rPr>
        <w:t xml:space="preserve">1 </w:t>
      </w:r>
      <w:r w:rsidRPr="00812F84">
        <w:rPr>
          <w:rFonts w:eastAsia="Calibri"/>
          <w:sz w:val="22"/>
          <w:szCs w:val="22"/>
          <w:lang w:eastAsia="en-US"/>
        </w:rPr>
        <w:t xml:space="preserve">и </w:t>
      </w:r>
      <w:r w:rsidRPr="00812F84">
        <w:rPr>
          <w:rFonts w:eastAsia="Calibri"/>
          <w:sz w:val="22"/>
          <w:szCs w:val="22"/>
          <w:lang w:val="en-US" w:eastAsia="en-US"/>
        </w:rPr>
        <w:t>F</w:t>
      </w:r>
      <w:r w:rsidRPr="00812F84">
        <w:rPr>
          <w:rFonts w:eastAsia="Calibri"/>
          <w:sz w:val="22"/>
          <w:szCs w:val="22"/>
          <w:vertAlign w:val="subscript"/>
          <w:lang w:eastAsia="en-US"/>
        </w:rPr>
        <w:t>2</w:t>
      </w:r>
      <w:r w:rsidRPr="00812F84">
        <w:rPr>
          <w:rFonts w:eastAsia="Calibri"/>
          <w:sz w:val="22"/>
          <w:szCs w:val="22"/>
          <w:lang w:eastAsia="en-US"/>
        </w:rPr>
        <w:t>, полученных с использов</w:t>
      </w:r>
      <w:r w:rsidRPr="00812F84">
        <w:rPr>
          <w:rFonts w:eastAsia="Calibri"/>
          <w:sz w:val="22"/>
          <w:szCs w:val="22"/>
          <w:lang w:eastAsia="en-US"/>
        </w:rPr>
        <w:t>а</w:t>
      </w:r>
      <w:r w:rsidRPr="00812F84">
        <w:rPr>
          <w:rFonts w:eastAsia="Calibri"/>
          <w:sz w:val="22"/>
          <w:szCs w:val="22"/>
          <w:lang w:eastAsia="en-US"/>
        </w:rPr>
        <w:t>нием новых источников ККГ.</w:t>
      </w:r>
    </w:p>
    <w:p w:rsidR="00E5540A" w:rsidRPr="00812F84" w:rsidRDefault="00E5540A" w:rsidP="00812F84">
      <w:pPr>
        <w:widowControl w:val="0"/>
        <w:ind w:firstLine="426"/>
        <w:jc w:val="both"/>
        <w:rPr>
          <w:rFonts w:eastAsia="Calibri"/>
          <w:sz w:val="22"/>
          <w:szCs w:val="22"/>
          <w:lang w:eastAsia="en-US"/>
        </w:rPr>
      </w:pPr>
      <w:r w:rsidRPr="00812F84">
        <w:rPr>
          <w:rFonts w:eastAsia="Calibri"/>
          <w:sz w:val="22"/>
          <w:szCs w:val="22"/>
          <w:lang w:eastAsia="en-US"/>
        </w:rPr>
        <w:t>В результате проведенных исследований были выявлены ра</w:t>
      </w:r>
      <w:r w:rsidRPr="00812F84">
        <w:rPr>
          <w:rFonts w:eastAsia="Calibri"/>
          <w:sz w:val="22"/>
          <w:szCs w:val="22"/>
          <w:lang w:eastAsia="en-US"/>
        </w:rPr>
        <w:t>з</w:t>
      </w:r>
      <w:r w:rsidRPr="00812F84">
        <w:rPr>
          <w:rFonts w:eastAsia="Calibri"/>
          <w:sz w:val="22"/>
          <w:szCs w:val="22"/>
          <w:lang w:eastAsia="en-US"/>
        </w:rPr>
        <w:t xml:space="preserve">личия в закономерностях наследования данного признака (высоты растений). </w:t>
      </w:r>
      <w:proofErr w:type="gramStart"/>
      <w:r w:rsidRPr="00812F84">
        <w:rPr>
          <w:rFonts w:eastAsia="Calibri"/>
          <w:sz w:val="22"/>
          <w:szCs w:val="22"/>
          <w:lang w:eastAsia="en-US"/>
        </w:rPr>
        <w:t xml:space="preserve">В отличие от раннее известного характера наследования (доминантного) в </w:t>
      </w:r>
      <w:r w:rsidRPr="00812F84">
        <w:rPr>
          <w:rFonts w:eastAsia="Calibri"/>
          <w:sz w:val="22"/>
          <w:szCs w:val="22"/>
          <w:lang w:val="en-US" w:eastAsia="en-US"/>
        </w:rPr>
        <w:t>F</w:t>
      </w:r>
      <w:r w:rsidRPr="00812F84">
        <w:rPr>
          <w:rFonts w:eastAsia="Calibri"/>
          <w:sz w:val="22"/>
          <w:szCs w:val="22"/>
          <w:vertAlign w:val="subscript"/>
          <w:lang w:eastAsia="en-US"/>
        </w:rPr>
        <w:t xml:space="preserve">1 </w:t>
      </w:r>
      <w:r w:rsidRPr="00812F84">
        <w:rPr>
          <w:rFonts w:eastAsia="Calibri"/>
          <w:sz w:val="22"/>
          <w:szCs w:val="22"/>
          <w:lang w:eastAsia="en-US"/>
        </w:rPr>
        <w:t xml:space="preserve">от предыдущих ККГ-источников, в гибридах </w:t>
      </w:r>
      <w:r w:rsidRPr="00812F84">
        <w:rPr>
          <w:rFonts w:eastAsia="Calibri"/>
          <w:sz w:val="22"/>
          <w:szCs w:val="22"/>
          <w:lang w:val="en-US" w:eastAsia="en-US"/>
        </w:rPr>
        <w:t>F</w:t>
      </w:r>
      <w:r w:rsidRPr="00812F84">
        <w:rPr>
          <w:rFonts w:eastAsia="Calibri"/>
          <w:sz w:val="22"/>
          <w:szCs w:val="22"/>
          <w:vertAlign w:val="subscript"/>
          <w:lang w:eastAsia="en-US"/>
        </w:rPr>
        <w:t>1</w:t>
      </w:r>
      <w:r w:rsidRPr="00812F84">
        <w:rPr>
          <w:rFonts w:eastAsia="Calibri"/>
          <w:sz w:val="22"/>
          <w:szCs w:val="22"/>
          <w:lang w:eastAsia="en-US"/>
        </w:rPr>
        <w:t>, полученных с помощью новых ККГ-линий, высота растений наследовалась промежуточно.</w:t>
      </w:r>
      <w:proofErr w:type="gramEnd"/>
      <w:r w:rsidRPr="00812F84">
        <w:rPr>
          <w:rFonts w:eastAsia="Calibri"/>
          <w:sz w:val="22"/>
          <w:szCs w:val="22"/>
          <w:lang w:eastAsia="en-US"/>
        </w:rPr>
        <w:t xml:space="preserve"> В </w:t>
      </w:r>
      <w:r w:rsidRPr="00812F84">
        <w:rPr>
          <w:rFonts w:eastAsia="Calibri"/>
          <w:sz w:val="22"/>
          <w:szCs w:val="22"/>
          <w:lang w:val="en-US" w:eastAsia="en-US"/>
        </w:rPr>
        <w:t>F</w:t>
      </w:r>
      <w:r w:rsidRPr="00812F84">
        <w:rPr>
          <w:rFonts w:eastAsia="Calibri"/>
          <w:sz w:val="22"/>
          <w:szCs w:val="22"/>
          <w:vertAlign w:val="subscript"/>
          <w:lang w:eastAsia="en-US"/>
        </w:rPr>
        <w:t xml:space="preserve">2 </w:t>
      </w:r>
      <w:r w:rsidRPr="00812F84">
        <w:rPr>
          <w:rFonts w:eastAsia="Calibri"/>
          <w:sz w:val="22"/>
          <w:szCs w:val="22"/>
          <w:lang w:eastAsia="en-US"/>
        </w:rPr>
        <w:t xml:space="preserve">доля выявленных ККГ-гибридов изменялась в зависимости от генома второго родителя от 5 до 50%. Это свидетельствует о том, что линии </w:t>
      </w:r>
      <w:r w:rsidRPr="00812F84">
        <w:rPr>
          <w:rFonts w:eastAsia="Calibri"/>
          <w:sz w:val="22"/>
          <w:szCs w:val="22"/>
          <w:lang w:val="en-US" w:eastAsia="en-US"/>
        </w:rPr>
        <w:t>Dwarf</w:t>
      </w:r>
      <w:r w:rsidRPr="00812F84">
        <w:rPr>
          <w:rFonts w:eastAsia="Calibri"/>
          <w:sz w:val="22"/>
          <w:szCs w:val="22"/>
          <w:lang w:eastAsia="en-US"/>
        </w:rPr>
        <w:t xml:space="preserve"> 3457, </w:t>
      </w:r>
      <w:r w:rsidRPr="00812F84">
        <w:rPr>
          <w:rFonts w:eastAsia="Calibri"/>
          <w:sz w:val="22"/>
          <w:szCs w:val="22"/>
          <w:lang w:val="en-US" w:eastAsia="en-US"/>
        </w:rPr>
        <w:t>Dwarf</w:t>
      </w:r>
      <w:r w:rsidRPr="00812F84">
        <w:rPr>
          <w:rFonts w:eastAsia="Calibri"/>
          <w:sz w:val="22"/>
          <w:szCs w:val="22"/>
          <w:lang w:eastAsia="en-US"/>
        </w:rPr>
        <w:t xml:space="preserve"> 3458, </w:t>
      </w:r>
      <w:r w:rsidRPr="00812F84">
        <w:rPr>
          <w:rFonts w:eastAsia="Calibri"/>
          <w:sz w:val="22"/>
          <w:szCs w:val="22"/>
          <w:lang w:val="en-US" w:eastAsia="en-US"/>
        </w:rPr>
        <w:t>Dwarf</w:t>
      </w:r>
      <w:r w:rsidRPr="00812F84">
        <w:rPr>
          <w:rFonts w:eastAsia="Calibri"/>
          <w:sz w:val="22"/>
          <w:szCs w:val="22"/>
          <w:lang w:eastAsia="en-US"/>
        </w:rPr>
        <w:t xml:space="preserve"> 3468 и Гном 1809 </w:t>
      </w:r>
      <w:r w:rsidRPr="00812F84">
        <w:rPr>
          <w:rFonts w:eastAsia="Calibri"/>
          <w:sz w:val="22"/>
          <w:szCs w:val="22"/>
          <w:lang w:val="en-US" w:eastAsia="en-US"/>
        </w:rPr>
        <w:t>TD</w:t>
      </w:r>
      <w:r w:rsidRPr="00812F84">
        <w:rPr>
          <w:rFonts w:eastAsia="Calibri"/>
          <w:sz w:val="22"/>
          <w:szCs w:val="22"/>
          <w:lang w:eastAsia="en-US"/>
        </w:rPr>
        <w:t xml:space="preserve"> имеют новую структуру комплексов компенсирующих генов.</w:t>
      </w:r>
    </w:p>
    <w:p w:rsidR="00E5540A" w:rsidRPr="00812F84" w:rsidRDefault="00E5540A" w:rsidP="00812F84">
      <w:pPr>
        <w:widowControl w:val="0"/>
        <w:ind w:firstLine="426"/>
        <w:jc w:val="both"/>
        <w:rPr>
          <w:rFonts w:eastAsia="Calibri"/>
          <w:sz w:val="22"/>
          <w:szCs w:val="22"/>
          <w:lang w:eastAsia="en-US"/>
        </w:rPr>
      </w:pPr>
    </w:p>
    <w:p w:rsidR="00E5540A" w:rsidRPr="00812F84" w:rsidRDefault="00E5540A" w:rsidP="00812F84">
      <w:pPr>
        <w:widowControl w:val="0"/>
        <w:ind w:firstLine="426"/>
        <w:jc w:val="center"/>
        <w:rPr>
          <w:rFonts w:eastAsia="Calibri"/>
          <w:sz w:val="22"/>
          <w:szCs w:val="22"/>
          <w:lang w:eastAsia="en-US"/>
        </w:rPr>
      </w:pPr>
      <w:r w:rsidRPr="00812F84">
        <w:rPr>
          <w:rFonts w:eastAsia="Calibri"/>
          <w:sz w:val="22"/>
          <w:szCs w:val="22"/>
          <w:lang w:eastAsia="en-US"/>
        </w:rPr>
        <w:t>Список литературы</w:t>
      </w:r>
    </w:p>
    <w:p w:rsidR="00E5540A" w:rsidRPr="00812F84" w:rsidRDefault="00E5540A" w:rsidP="00812F84">
      <w:pPr>
        <w:widowControl w:val="0"/>
        <w:suppressAutoHyphens/>
        <w:ind w:firstLine="426"/>
        <w:jc w:val="both"/>
        <w:rPr>
          <w:rFonts w:eastAsia="Calibri"/>
          <w:sz w:val="22"/>
          <w:szCs w:val="22"/>
          <w:lang w:eastAsia="en-US"/>
        </w:rPr>
      </w:pPr>
      <w:r w:rsidRPr="00812F84">
        <w:rPr>
          <w:rFonts w:eastAsia="Calibri"/>
          <w:sz w:val="22"/>
          <w:szCs w:val="22"/>
          <w:lang w:eastAsia="en-US"/>
        </w:rPr>
        <w:t>1. Зеленцов, С. В. Генетическое улучшение сои с использованием комплекса компенсирующих генов / С.В. Зеленцов, А.В. Кочегура, Е.В. Мошненко // сб. тр.: Итоги исследований по сое за годы реформирования и направления НИР на 2005-2010 гг., Краснодар, 2004. – С. 67-73.</w:t>
      </w:r>
    </w:p>
    <w:p w:rsidR="00E5540A" w:rsidRPr="00812F84" w:rsidRDefault="00E5540A" w:rsidP="00812F84">
      <w:pPr>
        <w:widowControl w:val="0"/>
        <w:suppressAutoHyphens/>
        <w:ind w:firstLine="426"/>
        <w:jc w:val="both"/>
        <w:rPr>
          <w:rFonts w:eastAsia="Calibri"/>
          <w:sz w:val="22"/>
          <w:szCs w:val="22"/>
          <w:lang w:eastAsia="en-US"/>
        </w:rPr>
      </w:pPr>
      <w:r w:rsidRPr="00812F84">
        <w:rPr>
          <w:rFonts w:eastAsia="Calibri"/>
          <w:sz w:val="22"/>
          <w:szCs w:val="22"/>
          <w:lang w:eastAsia="en-US"/>
        </w:rPr>
        <w:t>2. Зеленцов, С. В. Стрессовые условия внешней среды как причина генетических рекомбинаций у цветковых растений на примере видов сои культурной Glycine max (L.) Merr., сои уссурийской G. soja Sieb. et Zucc. и льна обыкновенного Linum usitatissimum L. / С.В. Зеленцов, Е.В. Мошненко, Л.В. Цаценко, В.С. Зеленцов // Научный диалог, 2014. – № 1 (25): Естественные науки. – С. 14-29.</w:t>
      </w:r>
    </w:p>
    <w:p w:rsidR="00E5540A" w:rsidRPr="00CD45A4" w:rsidRDefault="00E5540A" w:rsidP="00E5540A">
      <w:pPr>
        <w:widowControl w:val="0"/>
        <w:jc w:val="both"/>
        <w:rPr>
          <w:rFonts w:eastAsia="Calibri"/>
          <w:sz w:val="22"/>
          <w:szCs w:val="22"/>
          <w:lang w:eastAsia="en-US"/>
        </w:rPr>
      </w:pPr>
    </w:p>
    <w:p w:rsidR="00812F84" w:rsidRDefault="00812F84" w:rsidP="00E5540A">
      <w:pPr>
        <w:widowControl w:val="0"/>
        <w:jc w:val="both"/>
        <w:rPr>
          <w:rFonts w:eastAsia="Calibri"/>
          <w:sz w:val="22"/>
          <w:szCs w:val="22"/>
          <w:lang w:eastAsia="en-US"/>
        </w:rPr>
      </w:pPr>
    </w:p>
    <w:p w:rsidR="00812F84" w:rsidRPr="00CD45A4" w:rsidRDefault="00812F84" w:rsidP="00E5540A">
      <w:pPr>
        <w:widowControl w:val="0"/>
        <w:jc w:val="both"/>
        <w:rPr>
          <w:rFonts w:eastAsia="Calibri"/>
          <w:sz w:val="22"/>
          <w:szCs w:val="22"/>
          <w:lang w:eastAsia="en-US"/>
        </w:rPr>
      </w:pPr>
    </w:p>
    <w:p w:rsidR="00E5540A" w:rsidRPr="00CD45A4" w:rsidRDefault="00E5540A" w:rsidP="00E5540A">
      <w:pPr>
        <w:widowControl w:val="0"/>
        <w:rPr>
          <w:rFonts w:eastAsia="Calibri"/>
          <w:sz w:val="22"/>
          <w:szCs w:val="22"/>
          <w:lang w:eastAsia="en-US"/>
        </w:rPr>
      </w:pPr>
      <w:r w:rsidRPr="00CD45A4">
        <w:rPr>
          <w:rFonts w:eastAsia="Calibri"/>
          <w:sz w:val="22"/>
          <w:szCs w:val="22"/>
          <w:lang w:eastAsia="en-US"/>
        </w:rPr>
        <w:lastRenderedPageBreak/>
        <w:t>УДК 633.11«324»:631.95</w:t>
      </w:r>
    </w:p>
    <w:p w:rsidR="00E5540A" w:rsidRPr="00CD45A4" w:rsidRDefault="00E5540A" w:rsidP="00E5540A">
      <w:pPr>
        <w:widowControl w:val="0"/>
        <w:jc w:val="both"/>
        <w:rPr>
          <w:rFonts w:eastAsia="Calibri"/>
          <w:sz w:val="22"/>
          <w:szCs w:val="22"/>
          <w:lang w:eastAsia="en-US"/>
        </w:rPr>
      </w:pPr>
    </w:p>
    <w:p w:rsidR="00E5540A" w:rsidRPr="00CD45A4" w:rsidRDefault="00E5540A" w:rsidP="00E5540A">
      <w:pPr>
        <w:widowControl w:val="0"/>
        <w:suppressAutoHyphens/>
        <w:jc w:val="center"/>
        <w:rPr>
          <w:rFonts w:eastAsia="Calibri"/>
          <w:b/>
          <w:color w:val="222222"/>
          <w:sz w:val="24"/>
          <w:szCs w:val="24"/>
          <w:shd w:val="clear" w:color="auto" w:fill="FFFFFF"/>
          <w:lang w:eastAsia="en-US"/>
        </w:rPr>
      </w:pPr>
      <w:r w:rsidRPr="00CD45A4">
        <w:rPr>
          <w:rFonts w:eastAsia="Calibri"/>
          <w:b/>
          <w:color w:val="222222"/>
          <w:sz w:val="24"/>
          <w:szCs w:val="24"/>
          <w:shd w:val="clear" w:color="auto" w:fill="FFFFFF"/>
          <w:lang w:eastAsia="en-US"/>
        </w:rPr>
        <w:t>Предселекционное исследование коллекционных образцов озимой мягкой пшеницы с признаком «многоцветковость»</w:t>
      </w:r>
    </w:p>
    <w:p w:rsidR="00E5540A" w:rsidRPr="00CD45A4" w:rsidRDefault="00E5540A" w:rsidP="00E5540A">
      <w:pPr>
        <w:widowControl w:val="0"/>
        <w:suppressAutoHyphens/>
        <w:jc w:val="center"/>
        <w:rPr>
          <w:rFonts w:eastAsia="Calibri"/>
          <w:b/>
          <w:color w:val="000000"/>
          <w:sz w:val="24"/>
          <w:szCs w:val="24"/>
          <w:shd w:val="clear" w:color="auto" w:fill="FFFFFF"/>
          <w:lang w:val="en-US" w:eastAsia="en-US"/>
        </w:rPr>
      </w:pPr>
      <w:r w:rsidRPr="00CD45A4">
        <w:rPr>
          <w:rFonts w:eastAsia="Calibri"/>
          <w:b/>
          <w:sz w:val="24"/>
          <w:szCs w:val="24"/>
          <w:shd w:val="clear" w:color="auto" w:fill="FFFFFF"/>
          <w:lang w:val="en-US" w:eastAsia="en-US"/>
        </w:rPr>
        <w:t xml:space="preserve">Pre-selection study collection varieties of </w:t>
      </w:r>
      <w:r w:rsidRPr="00CD45A4">
        <w:rPr>
          <w:rFonts w:eastAsia="Courier New"/>
          <w:b/>
          <w:sz w:val="24"/>
          <w:szCs w:val="24"/>
          <w:shd w:val="clear" w:color="auto" w:fill="FFFFFF"/>
          <w:lang w:val="en-US" w:eastAsia="en-US"/>
        </w:rPr>
        <w:t xml:space="preserve">bread winter wheat </w:t>
      </w:r>
      <w:r w:rsidRPr="00CD45A4">
        <w:rPr>
          <w:rFonts w:eastAsia="Calibri"/>
          <w:b/>
          <w:color w:val="000000"/>
          <w:sz w:val="24"/>
          <w:szCs w:val="24"/>
          <w:shd w:val="clear" w:color="auto" w:fill="FFFFFF"/>
          <w:lang w:val="en-US" w:eastAsia="en-US"/>
        </w:rPr>
        <w:t>with the sign «multiflower»</w:t>
      </w:r>
    </w:p>
    <w:p w:rsidR="00E5540A" w:rsidRPr="00CD45A4" w:rsidRDefault="00E5540A" w:rsidP="00E5540A">
      <w:pPr>
        <w:widowControl w:val="0"/>
        <w:jc w:val="center"/>
        <w:rPr>
          <w:rFonts w:eastAsia="Calibri"/>
          <w:b/>
          <w:color w:val="222222"/>
          <w:sz w:val="22"/>
          <w:szCs w:val="22"/>
          <w:shd w:val="clear" w:color="auto" w:fill="FFFFFF"/>
          <w:lang w:val="en-US" w:eastAsia="en-US"/>
        </w:rPr>
      </w:pP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Савиченко Д.</w:t>
      </w:r>
      <w:r w:rsidR="00812F84">
        <w:rPr>
          <w:rFonts w:eastAsia="Calibri"/>
          <w:color w:val="222222"/>
          <w:sz w:val="22"/>
          <w:szCs w:val="22"/>
          <w:shd w:val="clear" w:color="auto" w:fill="FFFFFF"/>
          <w:lang w:eastAsia="en-US"/>
        </w:rPr>
        <w:t xml:space="preserve"> </w:t>
      </w:r>
      <w:r w:rsidRPr="00CD45A4">
        <w:rPr>
          <w:rFonts w:eastAsia="Calibri"/>
          <w:color w:val="222222"/>
          <w:sz w:val="22"/>
          <w:szCs w:val="22"/>
          <w:shd w:val="clear" w:color="auto" w:fill="FFFFFF"/>
          <w:lang w:eastAsia="en-US"/>
        </w:rPr>
        <w:t>Л.</w:t>
      </w:r>
      <w:r w:rsidR="00812F84">
        <w:rPr>
          <w:rFonts w:eastAsia="Calibri"/>
          <w:color w:val="222222"/>
          <w:sz w:val="22"/>
          <w:szCs w:val="22"/>
          <w:shd w:val="clear" w:color="auto" w:fill="FFFFFF"/>
          <w:lang w:eastAsia="en-US"/>
        </w:rPr>
        <w:t>,</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аспирант кафедры генетики, селекции и семеноводства</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Мащенко А. Н</w:t>
      </w:r>
      <w:r w:rsidR="00812F84">
        <w:rPr>
          <w:rFonts w:eastAsia="Calibri"/>
          <w:color w:val="222222"/>
          <w:sz w:val="22"/>
          <w:szCs w:val="22"/>
          <w:shd w:val="clear" w:color="auto" w:fill="FFFFFF"/>
          <w:lang w:eastAsia="en-US"/>
        </w:rPr>
        <w:t>.,</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студент-магистрант факультета агрономии и экологии</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Цаценко Л. В.</w:t>
      </w:r>
      <w:r w:rsidR="00812F84">
        <w:rPr>
          <w:rFonts w:eastAsia="Calibri"/>
          <w:color w:val="222222"/>
          <w:sz w:val="22"/>
          <w:szCs w:val="22"/>
          <w:shd w:val="clear" w:color="auto" w:fill="FFFFFF"/>
          <w:lang w:eastAsia="en-US"/>
        </w:rPr>
        <w:t>,</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профессор кафедры генетики, селекции и семеноводства</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Кубанский государственный</w:t>
      </w:r>
    </w:p>
    <w:p w:rsidR="00E5540A" w:rsidRPr="00CD45A4" w:rsidRDefault="00E5540A" w:rsidP="00E5540A">
      <w:pPr>
        <w:widowControl w:val="0"/>
        <w:jc w:val="right"/>
        <w:rPr>
          <w:rFonts w:eastAsia="Calibri"/>
          <w:color w:val="222222"/>
          <w:sz w:val="22"/>
          <w:szCs w:val="22"/>
          <w:shd w:val="clear" w:color="auto" w:fill="FFFFFF"/>
          <w:lang w:eastAsia="en-US"/>
        </w:rPr>
      </w:pPr>
      <w:r w:rsidRPr="00CD45A4">
        <w:rPr>
          <w:rFonts w:eastAsia="Calibri"/>
          <w:color w:val="222222"/>
          <w:sz w:val="22"/>
          <w:szCs w:val="22"/>
          <w:shd w:val="clear" w:color="auto" w:fill="FFFFFF"/>
          <w:lang w:eastAsia="en-US"/>
        </w:rPr>
        <w:t>аграрный университет имени И.</w:t>
      </w:r>
      <w:r w:rsidR="00812F84">
        <w:rPr>
          <w:rFonts w:eastAsia="Calibri"/>
          <w:color w:val="222222"/>
          <w:sz w:val="22"/>
          <w:szCs w:val="22"/>
          <w:shd w:val="clear" w:color="auto" w:fill="FFFFFF"/>
          <w:lang w:eastAsia="en-US"/>
        </w:rPr>
        <w:t xml:space="preserve"> </w:t>
      </w:r>
      <w:r w:rsidRPr="00CD45A4">
        <w:rPr>
          <w:rFonts w:eastAsia="Calibri"/>
          <w:color w:val="222222"/>
          <w:sz w:val="22"/>
          <w:szCs w:val="22"/>
          <w:shd w:val="clear" w:color="auto" w:fill="FFFFFF"/>
          <w:lang w:eastAsia="en-US"/>
        </w:rPr>
        <w:t>Т. Трубилина</w:t>
      </w:r>
    </w:p>
    <w:p w:rsidR="00E5540A" w:rsidRPr="00CD45A4" w:rsidRDefault="00E5540A" w:rsidP="00E5540A">
      <w:pPr>
        <w:widowControl w:val="0"/>
        <w:tabs>
          <w:tab w:val="left" w:pos="8223"/>
        </w:tabs>
        <w:suppressAutoHyphens/>
        <w:jc w:val="both"/>
        <w:rPr>
          <w:rFonts w:eastAsia="Courier New"/>
          <w:color w:val="000000"/>
          <w:sz w:val="22"/>
          <w:szCs w:val="22"/>
          <w:lang w:eastAsia="en-US"/>
        </w:rPr>
      </w:pPr>
    </w:p>
    <w:p w:rsidR="00E5540A" w:rsidRPr="00CD45A4" w:rsidRDefault="00E5540A" w:rsidP="00812F84">
      <w:pPr>
        <w:widowControl w:val="0"/>
        <w:tabs>
          <w:tab w:val="left" w:pos="8223"/>
        </w:tabs>
        <w:suppressAutoHyphens/>
        <w:ind w:firstLine="426"/>
        <w:jc w:val="both"/>
        <w:rPr>
          <w:rFonts w:eastAsia="Courier New"/>
          <w:color w:val="000000"/>
          <w:sz w:val="22"/>
          <w:szCs w:val="22"/>
          <w:lang w:eastAsia="en-US"/>
        </w:rPr>
      </w:pPr>
      <w:r w:rsidRPr="00CD45A4">
        <w:rPr>
          <w:rFonts w:eastAsia="Courier New"/>
          <w:color w:val="000000"/>
          <w:sz w:val="22"/>
          <w:szCs w:val="22"/>
          <w:lang w:eastAsia="en-US"/>
        </w:rPr>
        <w:t>АННОТАЦИЯ: Работа посвящена семенной коллекции и предселекционному изучению. Составлена биологическая характеристика и собраны данные по количественным признакам растений озимой мягкой пшеницы коллекции ВИР с признаком «многоцветковость».</w:t>
      </w:r>
    </w:p>
    <w:p w:rsidR="00E5540A" w:rsidRPr="00812F84" w:rsidRDefault="00E5540A" w:rsidP="00812F84">
      <w:pPr>
        <w:widowControl w:val="0"/>
        <w:tabs>
          <w:tab w:val="left" w:pos="8223"/>
        </w:tabs>
        <w:suppressAutoHyphens/>
        <w:ind w:firstLine="426"/>
        <w:jc w:val="both"/>
        <w:rPr>
          <w:rFonts w:eastAsia="Courier New"/>
          <w:color w:val="000000"/>
          <w:sz w:val="22"/>
          <w:szCs w:val="22"/>
          <w:lang w:val="en-US" w:eastAsia="en-US"/>
        </w:rPr>
      </w:pPr>
      <w:r w:rsidRPr="00CD45A4">
        <w:rPr>
          <w:rFonts w:eastAsia="Courier New"/>
          <w:color w:val="000000"/>
          <w:sz w:val="22"/>
          <w:szCs w:val="22"/>
          <w:lang w:val="en-US" w:eastAsia="en-US"/>
        </w:rPr>
        <w:t>ABSTRACT:</w:t>
      </w:r>
      <w:r w:rsidR="00812F84" w:rsidRPr="00812F84">
        <w:rPr>
          <w:rFonts w:eastAsia="Courier New"/>
          <w:color w:val="000000"/>
          <w:sz w:val="22"/>
          <w:szCs w:val="22"/>
          <w:lang w:val="en-US" w:eastAsia="en-US"/>
        </w:rPr>
        <w:t xml:space="preserve"> </w:t>
      </w:r>
      <w:r w:rsidRPr="00CD45A4">
        <w:rPr>
          <w:rFonts w:eastAsia="Calibri"/>
          <w:color w:val="000000"/>
          <w:sz w:val="22"/>
          <w:szCs w:val="22"/>
          <w:shd w:val="clear" w:color="auto" w:fill="FFFFFF"/>
          <w:lang w:val="en-US" w:eastAsia="en-US"/>
        </w:rPr>
        <w:t>The work is devoted to the seed collection and pre-selection study. Biological characteristics and data on quantitative characteristics of plants of bread winter wheat of VIR collection with the sign "multiflower" are made.</w:t>
      </w:r>
    </w:p>
    <w:p w:rsidR="00E5540A" w:rsidRPr="00CD45A4" w:rsidRDefault="00E5540A" w:rsidP="00812F84">
      <w:pPr>
        <w:widowControl w:val="0"/>
        <w:tabs>
          <w:tab w:val="left" w:pos="8223"/>
        </w:tabs>
        <w:suppressAutoHyphens/>
        <w:ind w:firstLine="426"/>
        <w:jc w:val="both"/>
        <w:rPr>
          <w:rFonts w:eastAsia="Courier New"/>
          <w:color w:val="000000"/>
          <w:sz w:val="22"/>
          <w:szCs w:val="22"/>
          <w:lang w:eastAsia="en-US"/>
        </w:rPr>
      </w:pPr>
      <w:r w:rsidRPr="00CD45A4">
        <w:rPr>
          <w:rFonts w:eastAsia="Courier New"/>
          <w:color w:val="000000"/>
          <w:sz w:val="22"/>
          <w:szCs w:val="22"/>
          <w:lang w:eastAsia="en-US"/>
        </w:rPr>
        <w:t>КЛЮЧЕВЫЕ СЛОВА: мягкая пшеница, предселекционное изучение, «многоцветковость» пшеницы.</w:t>
      </w:r>
    </w:p>
    <w:p w:rsidR="00E5540A" w:rsidRPr="00CD45A4" w:rsidRDefault="00E5540A" w:rsidP="00812F84">
      <w:pPr>
        <w:widowControl w:val="0"/>
        <w:tabs>
          <w:tab w:val="left" w:pos="8223"/>
        </w:tabs>
        <w:suppressAutoHyphens/>
        <w:ind w:firstLine="426"/>
        <w:jc w:val="both"/>
        <w:rPr>
          <w:rFonts w:ascii="Courier New" w:eastAsia="Courier New" w:hAnsi="Courier New" w:cs="Courier New"/>
          <w:color w:val="000000"/>
          <w:sz w:val="22"/>
          <w:szCs w:val="22"/>
          <w:shd w:val="clear" w:color="auto" w:fill="FFFFFF"/>
          <w:lang w:val="en-US" w:eastAsia="en-US"/>
        </w:rPr>
      </w:pPr>
      <w:r w:rsidRPr="00CD45A4">
        <w:rPr>
          <w:rFonts w:eastAsia="Courier New"/>
          <w:color w:val="000000"/>
          <w:sz w:val="22"/>
          <w:szCs w:val="22"/>
          <w:lang w:val="en-US" w:eastAsia="en-US"/>
        </w:rPr>
        <w:t>KEYWORDS:</w:t>
      </w:r>
      <w:r w:rsidRPr="00CD45A4">
        <w:rPr>
          <w:rFonts w:ascii="Courier New" w:eastAsia="Courier New" w:hAnsi="Courier New" w:cs="Courier New"/>
          <w:color w:val="000000"/>
          <w:sz w:val="22"/>
          <w:szCs w:val="22"/>
          <w:shd w:val="clear" w:color="auto" w:fill="FFFFFF"/>
          <w:lang w:val="en-US" w:eastAsia="en-US"/>
        </w:rPr>
        <w:t xml:space="preserve"> </w:t>
      </w:r>
      <w:r w:rsidRPr="00CD45A4">
        <w:rPr>
          <w:rFonts w:eastAsia="Courier New"/>
          <w:sz w:val="22"/>
          <w:szCs w:val="22"/>
          <w:shd w:val="clear" w:color="auto" w:fill="FFFFFF"/>
          <w:lang w:val="en-US" w:eastAsia="en-US"/>
        </w:rPr>
        <w:t>bread winter wheat,</w:t>
      </w:r>
      <w:r w:rsidRPr="00CD45A4">
        <w:rPr>
          <w:rFonts w:eastAsia="Calibri"/>
          <w:sz w:val="22"/>
          <w:szCs w:val="22"/>
          <w:shd w:val="clear" w:color="auto" w:fill="FFFFFF"/>
          <w:lang w:val="en-US" w:eastAsia="en-US"/>
        </w:rPr>
        <w:t xml:space="preserve"> pre-selection study,</w:t>
      </w:r>
      <w:r w:rsidR="00EB5229">
        <w:rPr>
          <w:rFonts w:ascii="Courier New" w:eastAsia="Courier New" w:hAnsi="Courier New" w:cs="Courier New"/>
          <w:color w:val="000000"/>
          <w:sz w:val="22"/>
          <w:szCs w:val="22"/>
          <w:shd w:val="clear" w:color="auto" w:fill="FFFFFF"/>
          <w:lang w:val="en-US" w:eastAsia="en-US"/>
        </w:rPr>
        <w:t xml:space="preserve"> </w:t>
      </w:r>
      <w:r w:rsidRPr="00CD45A4">
        <w:rPr>
          <w:rFonts w:ascii="Courier New" w:eastAsia="Courier New" w:hAnsi="Courier New" w:cs="Courier New"/>
          <w:color w:val="000000"/>
          <w:sz w:val="22"/>
          <w:szCs w:val="22"/>
          <w:shd w:val="clear" w:color="auto" w:fill="FFFFFF"/>
          <w:lang w:val="en-US" w:eastAsia="en-US"/>
        </w:rPr>
        <w:t>«</w:t>
      </w:r>
      <w:r w:rsidRPr="00CD45A4">
        <w:rPr>
          <w:rFonts w:eastAsia="Calibri"/>
          <w:color w:val="000000"/>
          <w:sz w:val="22"/>
          <w:szCs w:val="22"/>
          <w:shd w:val="clear" w:color="auto" w:fill="FFFFFF"/>
          <w:lang w:val="en-US" w:eastAsia="en-US"/>
        </w:rPr>
        <w:t>multiflower» wheat.</w:t>
      </w:r>
    </w:p>
    <w:p w:rsidR="00E5540A" w:rsidRPr="00CD45A4" w:rsidRDefault="00E5540A" w:rsidP="00812F84">
      <w:pPr>
        <w:widowControl w:val="0"/>
        <w:tabs>
          <w:tab w:val="left" w:pos="8223"/>
        </w:tabs>
        <w:ind w:firstLine="426"/>
        <w:jc w:val="both"/>
        <w:rPr>
          <w:rFonts w:eastAsia="Courier New"/>
          <w:color w:val="000000"/>
          <w:sz w:val="22"/>
          <w:szCs w:val="22"/>
          <w:lang w:val="en-US" w:eastAsia="en-US"/>
        </w:rPr>
      </w:pPr>
    </w:p>
    <w:p w:rsidR="00E5540A" w:rsidRPr="00CD45A4" w:rsidRDefault="00E5540A" w:rsidP="00812F84">
      <w:pPr>
        <w:widowControl w:val="0"/>
        <w:ind w:firstLine="426"/>
        <w:jc w:val="both"/>
        <w:rPr>
          <w:rFonts w:eastAsia="Calibri"/>
          <w:sz w:val="22"/>
          <w:szCs w:val="22"/>
          <w:lang w:eastAsia="en-US"/>
        </w:rPr>
      </w:pPr>
      <w:r w:rsidRPr="00CD45A4">
        <w:rPr>
          <w:rFonts w:eastAsia="Calibri"/>
          <w:sz w:val="22"/>
          <w:szCs w:val="22"/>
          <w:lang w:eastAsia="en-US"/>
        </w:rPr>
        <w:t>В современном мире остро стоит вопрос поиска новых генов устойчивости к биотическим и абиотическим факторам среды для обогащения генофонда пшеницы с целью рационального использ</w:t>
      </w:r>
      <w:r w:rsidRPr="00CD45A4">
        <w:rPr>
          <w:rFonts w:eastAsia="Calibri"/>
          <w:sz w:val="22"/>
          <w:szCs w:val="22"/>
          <w:lang w:eastAsia="en-US"/>
        </w:rPr>
        <w:t>о</w:t>
      </w:r>
      <w:r w:rsidRPr="00CD45A4">
        <w:rPr>
          <w:rFonts w:eastAsia="Calibri"/>
          <w:sz w:val="22"/>
          <w:szCs w:val="22"/>
          <w:lang w:eastAsia="en-US"/>
        </w:rPr>
        <w:t>вания, а также создания высокопродуктивных сортов этой культуры в условиях меняющего мира.</w:t>
      </w:r>
    </w:p>
    <w:p w:rsidR="00E5540A" w:rsidRPr="00CD45A4" w:rsidRDefault="00E5540A" w:rsidP="00812F84">
      <w:pPr>
        <w:widowControl w:val="0"/>
        <w:ind w:firstLine="426"/>
        <w:jc w:val="both"/>
        <w:rPr>
          <w:rFonts w:eastAsia="Calibri"/>
          <w:color w:val="000000"/>
          <w:sz w:val="22"/>
          <w:szCs w:val="22"/>
          <w:shd w:val="clear" w:color="auto" w:fill="FFFFFF"/>
          <w:lang w:eastAsia="en-US"/>
        </w:rPr>
      </w:pPr>
      <w:r w:rsidRPr="00CD45A4">
        <w:rPr>
          <w:rFonts w:eastAsia="Calibri"/>
          <w:sz w:val="22"/>
          <w:szCs w:val="22"/>
          <w:lang w:eastAsia="en-US"/>
        </w:rPr>
        <w:t>В нашей стране, н</w:t>
      </w:r>
      <w:r w:rsidR="00EB5229">
        <w:rPr>
          <w:rFonts w:eastAsia="Calibri"/>
          <w:sz w:val="22"/>
          <w:szCs w:val="22"/>
          <w:lang w:eastAsia="en-US"/>
        </w:rPr>
        <w:t>ачиная с 1907 г. осуществлялось</w:t>
      </w:r>
      <w:r w:rsidRPr="00CD45A4">
        <w:rPr>
          <w:rFonts w:eastAsia="Calibri"/>
          <w:sz w:val="22"/>
          <w:szCs w:val="22"/>
          <w:lang w:eastAsia="en-US"/>
        </w:rPr>
        <w:t xml:space="preserve"> планоме</w:t>
      </w:r>
      <w:r w:rsidRPr="00CD45A4">
        <w:rPr>
          <w:rFonts w:eastAsia="Calibri"/>
          <w:sz w:val="22"/>
          <w:szCs w:val="22"/>
          <w:lang w:eastAsia="en-US"/>
        </w:rPr>
        <w:t>р</w:t>
      </w:r>
      <w:r w:rsidRPr="00CD45A4">
        <w:rPr>
          <w:rFonts w:eastAsia="Calibri"/>
          <w:sz w:val="22"/>
          <w:szCs w:val="22"/>
          <w:lang w:eastAsia="en-US"/>
        </w:rPr>
        <w:t>ное изучение пшеницы. В</w:t>
      </w:r>
      <w:r w:rsidRPr="00CD45A4">
        <w:rPr>
          <w:rFonts w:eastAsia="Calibri"/>
          <w:color w:val="000000"/>
          <w:sz w:val="22"/>
          <w:szCs w:val="22"/>
          <w:shd w:val="clear" w:color="auto" w:fill="FFFFFF"/>
          <w:lang w:eastAsia="en-US"/>
        </w:rPr>
        <w:t xml:space="preserve"> 1931 г. М. М. Якубцинером в соавторстве </w:t>
      </w:r>
      <w:r w:rsidRPr="00CD45A4">
        <w:rPr>
          <w:rFonts w:eastAsia="Calibri"/>
          <w:color w:val="000000"/>
          <w:sz w:val="22"/>
          <w:szCs w:val="22"/>
          <w:shd w:val="clear" w:color="auto" w:fill="FFFFFF"/>
          <w:lang w:eastAsia="en-US"/>
        </w:rPr>
        <w:lastRenderedPageBreak/>
        <w:t>была опубликована статья, где рассматривались вопросы новых п</w:t>
      </w:r>
      <w:r w:rsidRPr="00CD45A4">
        <w:rPr>
          <w:rFonts w:eastAsia="Calibri"/>
          <w:color w:val="000000"/>
          <w:sz w:val="22"/>
          <w:szCs w:val="22"/>
          <w:shd w:val="clear" w:color="auto" w:fill="FFFFFF"/>
          <w:lang w:eastAsia="en-US"/>
        </w:rPr>
        <w:t>у</w:t>
      </w:r>
      <w:r w:rsidRPr="00CD45A4">
        <w:rPr>
          <w:rFonts w:eastAsia="Calibri"/>
          <w:color w:val="000000"/>
          <w:sz w:val="22"/>
          <w:szCs w:val="22"/>
          <w:shd w:val="clear" w:color="auto" w:fill="FFFFFF"/>
          <w:lang w:eastAsia="en-US"/>
        </w:rPr>
        <w:t>тей селекции пшеницы в СССР. Авторы отмечали, что все самые ценные признаки местных пшениц, которые использовали для п</w:t>
      </w:r>
      <w:r w:rsidRPr="00CD45A4">
        <w:rPr>
          <w:rFonts w:eastAsia="Calibri"/>
          <w:color w:val="000000"/>
          <w:sz w:val="22"/>
          <w:szCs w:val="22"/>
          <w:shd w:val="clear" w:color="auto" w:fill="FFFFFF"/>
          <w:lang w:eastAsia="en-US"/>
        </w:rPr>
        <w:t>о</w:t>
      </w:r>
      <w:r w:rsidRPr="00CD45A4">
        <w:rPr>
          <w:rFonts w:eastAsia="Calibri"/>
          <w:color w:val="000000"/>
          <w:sz w:val="22"/>
          <w:szCs w:val="22"/>
          <w:shd w:val="clear" w:color="auto" w:fill="FFFFFF"/>
          <w:lang w:eastAsia="en-US"/>
        </w:rPr>
        <w:t>лучения новых сортов, исчерпаны, выходом из сложившейся ситу</w:t>
      </w:r>
      <w:r w:rsidRPr="00CD45A4">
        <w:rPr>
          <w:rFonts w:eastAsia="Calibri"/>
          <w:color w:val="000000"/>
          <w:sz w:val="22"/>
          <w:szCs w:val="22"/>
          <w:shd w:val="clear" w:color="auto" w:fill="FFFFFF"/>
          <w:lang w:eastAsia="en-US"/>
        </w:rPr>
        <w:t>а</w:t>
      </w:r>
      <w:r w:rsidRPr="00CD45A4">
        <w:rPr>
          <w:rFonts w:eastAsia="Calibri"/>
          <w:color w:val="000000"/>
          <w:sz w:val="22"/>
          <w:szCs w:val="22"/>
          <w:shd w:val="clear" w:color="auto" w:fill="FFFFFF"/>
          <w:lang w:eastAsia="en-US"/>
        </w:rPr>
        <w:t>ции видится использование «мирового ассортимента пшениц», при условии предварительного изучения материала. Впервые в этой р</w:t>
      </w:r>
      <w:r w:rsidRPr="00CD45A4">
        <w:rPr>
          <w:rFonts w:eastAsia="Calibri"/>
          <w:color w:val="000000"/>
          <w:sz w:val="22"/>
          <w:szCs w:val="22"/>
          <w:shd w:val="clear" w:color="auto" w:fill="FFFFFF"/>
          <w:lang w:eastAsia="en-US"/>
        </w:rPr>
        <w:t>а</w:t>
      </w:r>
      <w:r w:rsidRPr="00CD45A4">
        <w:rPr>
          <w:rFonts w:eastAsia="Calibri"/>
          <w:color w:val="000000"/>
          <w:sz w:val="22"/>
          <w:szCs w:val="22"/>
          <w:shd w:val="clear" w:color="auto" w:fill="FFFFFF"/>
          <w:lang w:eastAsia="en-US"/>
        </w:rPr>
        <w:t>боте авторы вводят новый термин – предселекционное изучение на основе эколого-географического анализа генофонда, а так же отбор нужных типов по наиболее необходимым и полезным хозяйстве</w:t>
      </w:r>
      <w:r w:rsidRPr="00CD45A4">
        <w:rPr>
          <w:rFonts w:eastAsia="Calibri"/>
          <w:color w:val="000000"/>
          <w:sz w:val="22"/>
          <w:szCs w:val="22"/>
          <w:shd w:val="clear" w:color="auto" w:fill="FFFFFF"/>
          <w:lang w:eastAsia="en-US"/>
        </w:rPr>
        <w:t>н</w:t>
      </w:r>
      <w:r w:rsidRPr="00CD45A4">
        <w:rPr>
          <w:rFonts w:eastAsia="Calibri"/>
          <w:color w:val="000000"/>
          <w:sz w:val="22"/>
          <w:szCs w:val="22"/>
          <w:shd w:val="clear" w:color="auto" w:fill="FFFFFF"/>
          <w:lang w:eastAsia="en-US"/>
        </w:rPr>
        <w:t>но-агрономическим признакам [3]. Эта идея была поддержана ру</w:t>
      </w:r>
      <w:r w:rsidRPr="00CD45A4">
        <w:rPr>
          <w:rFonts w:eastAsia="Calibri"/>
          <w:color w:val="000000"/>
          <w:sz w:val="22"/>
          <w:szCs w:val="22"/>
          <w:shd w:val="clear" w:color="auto" w:fill="FFFFFF"/>
          <w:lang w:eastAsia="en-US"/>
        </w:rPr>
        <w:t>с</w:t>
      </w:r>
      <w:r w:rsidRPr="00CD45A4">
        <w:rPr>
          <w:rFonts w:eastAsia="Calibri"/>
          <w:color w:val="000000"/>
          <w:sz w:val="22"/>
          <w:szCs w:val="22"/>
          <w:shd w:val="clear" w:color="auto" w:fill="FFFFFF"/>
          <w:lang w:eastAsia="en-US"/>
        </w:rPr>
        <w:t>ским ученый, селекционером, ботаником Н. И. Вавиловым. Он а</w:t>
      </w:r>
      <w:r w:rsidRPr="00CD45A4">
        <w:rPr>
          <w:rFonts w:eastAsia="Calibri"/>
          <w:color w:val="000000"/>
          <w:sz w:val="22"/>
          <w:szCs w:val="22"/>
          <w:shd w:val="clear" w:color="auto" w:fill="FFFFFF"/>
          <w:lang w:eastAsia="en-US"/>
        </w:rPr>
        <w:t>к</w:t>
      </w:r>
      <w:r w:rsidRPr="00CD45A4">
        <w:rPr>
          <w:rFonts w:eastAsia="Calibri"/>
          <w:color w:val="000000"/>
          <w:sz w:val="22"/>
          <w:szCs w:val="22"/>
          <w:shd w:val="clear" w:color="auto" w:fill="FFFFFF"/>
          <w:lang w:eastAsia="en-US"/>
        </w:rPr>
        <w:t>центировал внимание на то, что для основательного улучшения пшеницы решающее значение имеет мировое разнообразие ее форм и их планомерное, рациональное использование [1].</w:t>
      </w:r>
    </w:p>
    <w:p w:rsidR="00E5540A" w:rsidRPr="00CD45A4" w:rsidRDefault="00E5540A" w:rsidP="00812F84">
      <w:pPr>
        <w:widowControl w:val="0"/>
        <w:ind w:firstLine="426"/>
        <w:jc w:val="both"/>
        <w:rPr>
          <w:rFonts w:eastAsia="Calibri"/>
          <w:sz w:val="22"/>
          <w:szCs w:val="22"/>
          <w:lang w:eastAsia="en-US"/>
        </w:rPr>
      </w:pPr>
      <w:r w:rsidRPr="00CD45A4">
        <w:rPr>
          <w:rFonts w:eastAsia="Calibri"/>
          <w:color w:val="000000"/>
          <w:sz w:val="22"/>
          <w:szCs w:val="22"/>
          <w:shd w:val="clear" w:color="auto" w:fill="FFFFFF"/>
          <w:lang w:eastAsia="en-US"/>
        </w:rPr>
        <w:t>По мере усложнения селекционных задач стала очевидна ва</w:t>
      </w:r>
      <w:r w:rsidRPr="00CD45A4">
        <w:rPr>
          <w:rFonts w:eastAsia="Calibri"/>
          <w:color w:val="000000"/>
          <w:sz w:val="22"/>
          <w:szCs w:val="22"/>
          <w:shd w:val="clear" w:color="auto" w:fill="FFFFFF"/>
          <w:lang w:eastAsia="en-US"/>
        </w:rPr>
        <w:t>ж</w:t>
      </w:r>
      <w:r w:rsidRPr="00CD45A4">
        <w:rPr>
          <w:rFonts w:eastAsia="Calibri"/>
          <w:color w:val="000000"/>
          <w:sz w:val="22"/>
          <w:szCs w:val="22"/>
          <w:shd w:val="clear" w:color="auto" w:fill="FFFFFF"/>
          <w:lang w:eastAsia="en-US"/>
        </w:rPr>
        <w:t>ность исчерпывающего знания о генетическом контроле различных признаков пшеницы, а так же о характеристике образцов для их п</w:t>
      </w:r>
      <w:r w:rsidRPr="00CD45A4">
        <w:rPr>
          <w:rFonts w:eastAsia="Calibri"/>
          <w:color w:val="000000"/>
          <w:sz w:val="22"/>
          <w:szCs w:val="22"/>
          <w:shd w:val="clear" w:color="auto" w:fill="FFFFFF"/>
          <w:lang w:eastAsia="en-US"/>
        </w:rPr>
        <w:t>о</w:t>
      </w:r>
      <w:r w:rsidRPr="00CD45A4">
        <w:rPr>
          <w:rFonts w:eastAsia="Calibri"/>
          <w:color w:val="000000"/>
          <w:sz w:val="22"/>
          <w:szCs w:val="22"/>
          <w:shd w:val="clear" w:color="auto" w:fill="FFFFFF"/>
          <w:lang w:eastAsia="en-US"/>
        </w:rPr>
        <w:t xml:space="preserve">следующего рационального использования. В связи с этим, в 1990-х годах А. Ф. Мережко занялся решением проблемы формирования обширной генетической базы для селекции по агрономическим и физиологическим признакам. </w:t>
      </w:r>
      <w:r w:rsidRPr="00CD45A4">
        <w:rPr>
          <w:rFonts w:eastAsia="Calibri"/>
          <w:sz w:val="22"/>
          <w:szCs w:val="22"/>
          <w:lang w:eastAsia="en-US"/>
        </w:rPr>
        <w:t>В 1920–1940 гг. в ходе экспедиций ВИР, при участии самого Н. И. Вавилова, было собрано огромное количество образцов пшеницы. На данный момент, коллекцию ВИР рассматривают в качестве базы генетических ресурсов, т.е. исхо</w:t>
      </w:r>
      <w:r w:rsidRPr="00CD45A4">
        <w:rPr>
          <w:rFonts w:eastAsia="Calibri"/>
          <w:sz w:val="22"/>
          <w:szCs w:val="22"/>
          <w:lang w:eastAsia="en-US"/>
        </w:rPr>
        <w:t>д</w:t>
      </w:r>
      <w:r w:rsidRPr="00CD45A4">
        <w:rPr>
          <w:rFonts w:eastAsia="Calibri"/>
          <w:sz w:val="22"/>
          <w:szCs w:val="22"/>
          <w:lang w:eastAsia="en-US"/>
        </w:rPr>
        <w:t>ного материала для проведения фундаментальных исследований и селекции культуры, а так же обучения. Предселекционное изучение образцов коллекции, в основном, проводится с целью выявления источников ценных признаков среди образцов для дальнейшего и</w:t>
      </w:r>
      <w:r w:rsidRPr="00CD45A4">
        <w:rPr>
          <w:rFonts w:eastAsia="Calibri"/>
          <w:sz w:val="22"/>
          <w:szCs w:val="22"/>
          <w:lang w:eastAsia="en-US"/>
        </w:rPr>
        <w:t>с</w:t>
      </w:r>
      <w:r w:rsidRPr="00CD45A4">
        <w:rPr>
          <w:rFonts w:eastAsia="Calibri"/>
          <w:sz w:val="22"/>
          <w:szCs w:val="22"/>
          <w:lang w:eastAsia="en-US"/>
        </w:rPr>
        <w:t xml:space="preserve">пользования их в селекции </w:t>
      </w:r>
      <w:r w:rsidRPr="00CD45A4">
        <w:rPr>
          <w:rFonts w:eastAsia="Calibri"/>
          <w:color w:val="000000"/>
          <w:sz w:val="22"/>
          <w:szCs w:val="22"/>
          <w:shd w:val="clear" w:color="auto" w:fill="FFFFFF"/>
          <w:lang w:eastAsia="en-US"/>
        </w:rPr>
        <w:t>[2]</w:t>
      </w:r>
      <w:r w:rsidRPr="00CD45A4">
        <w:rPr>
          <w:rFonts w:eastAsia="Calibri"/>
          <w:sz w:val="22"/>
          <w:szCs w:val="22"/>
          <w:lang w:eastAsia="en-US"/>
        </w:rPr>
        <w:t>.</w:t>
      </w:r>
    </w:p>
    <w:p w:rsidR="00E5540A" w:rsidRPr="00CD45A4" w:rsidRDefault="00E5540A" w:rsidP="00812F84">
      <w:pPr>
        <w:widowControl w:val="0"/>
        <w:ind w:firstLine="425"/>
        <w:jc w:val="both"/>
        <w:rPr>
          <w:rFonts w:eastAsia="Calibri"/>
          <w:sz w:val="22"/>
          <w:szCs w:val="22"/>
          <w:lang w:eastAsia="en-US"/>
        </w:rPr>
      </w:pPr>
      <w:r w:rsidRPr="00CD45A4">
        <w:rPr>
          <w:rFonts w:eastAsia="Calibri"/>
          <w:color w:val="222222"/>
          <w:sz w:val="22"/>
          <w:szCs w:val="22"/>
          <w:shd w:val="clear" w:color="auto" w:fill="FFFFFF"/>
          <w:lang w:eastAsia="en-US"/>
        </w:rPr>
        <w:t>В задачу наших исследований входило предселекционное из</w:t>
      </w:r>
      <w:r w:rsidRPr="00CD45A4">
        <w:rPr>
          <w:rFonts w:eastAsia="Calibri"/>
          <w:color w:val="222222"/>
          <w:sz w:val="22"/>
          <w:szCs w:val="22"/>
          <w:shd w:val="clear" w:color="auto" w:fill="FFFFFF"/>
          <w:lang w:eastAsia="en-US"/>
        </w:rPr>
        <w:t>у</w:t>
      </w:r>
      <w:r w:rsidRPr="00CD45A4">
        <w:rPr>
          <w:rFonts w:eastAsia="Calibri"/>
          <w:color w:val="222222"/>
          <w:sz w:val="22"/>
          <w:szCs w:val="22"/>
          <w:shd w:val="clear" w:color="auto" w:fill="FFFFFF"/>
          <w:lang w:eastAsia="en-US"/>
        </w:rPr>
        <w:t xml:space="preserve">чение сортообразцов озимой мягкой пшеницы коллекции </w:t>
      </w:r>
      <w:r w:rsidRPr="00CD45A4">
        <w:rPr>
          <w:rFonts w:eastAsia="Calibri"/>
          <w:sz w:val="22"/>
          <w:szCs w:val="22"/>
          <w:lang w:eastAsia="en-US"/>
        </w:rPr>
        <w:t>«Фед</w:t>
      </w:r>
      <w:r w:rsidRPr="00CD45A4">
        <w:rPr>
          <w:rFonts w:eastAsia="Calibri"/>
          <w:sz w:val="22"/>
          <w:szCs w:val="22"/>
          <w:lang w:eastAsia="en-US"/>
        </w:rPr>
        <w:t>е</w:t>
      </w:r>
      <w:r w:rsidRPr="00CD45A4">
        <w:rPr>
          <w:rFonts w:eastAsia="Calibri"/>
          <w:sz w:val="22"/>
          <w:szCs w:val="22"/>
          <w:lang w:eastAsia="en-US"/>
        </w:rPr>
        <w:t>рального исследовательского центра «Всероссийский институт г</w:t>
      </w:r>
      <w:r w:rsidRPr="00CD45A4">
        <w:rPr>
          <w:rFonts w:eastAsia="Calibri"/>
          <w:sz w:val="22"/>
          <w:szCs w:val="22"/>
          <w:lang w:eastAsia="en-US"/>
        </w:rPr>
        <w:t>е</w:t>
      </w:r>
      <w:r w:rsidRPr="00CD45A4">
        <w:rPr>
          <w:rFonts w:eastAsia="Calibri"/>
          <w:sz w:val="22"/>
          <w:szCs w:val="22"/>
          <w:lang w:eastAsia="en-US"/>
        </w:rPr>
        <w:t>нетических ресурсов растений имени Н. И. Вавилова» с признаком «многоцветковость» колоса.</w:t>
      </w:r>
    </w:p>
    <w:p w:rsidR="00E5540A" w:rsidRPr="00CD45A4" w:rsidRDefault="00E5540A" w:rsidP="00812F84">
      <w:pPr>
        <w:widowControl w:val="0"/>
        <w:ind w:firstLine="425"/>
        <w:jc w:val="both"/>
        <w:rPr>
          <w:rFonts w:eastAsia="Calibri"/>
          <w:sz w:val="22"/>
          <w:szCs w:val="22"/>
          <w:lang w:eastAsia="en-US"/>
        </w:rPr>
      </w:pPr>
      <w:r w:rsidRPr="00CD45A4">
        <w:rPr>
          <w:rFonts w:eastAsia="Calibri"/>
          <w:sz w:val="22"/>
          <w:szCs w:val="22"/>
          <w:lang w:eastAsia="en-US"/>
        </w:rPr>
        <w:t>Для выполнения поставленной цели были поставлены следу</w:t>
      </w:r>
      <w:r w:rsidRPr="00CD45A4">
        <w:rPr>
          <w:rFonts w:eastAsia="Calibri"/>
          <w:sz w:val="22"/>
          <w:szCs w:val="22"/>
          <w:lang w:eastAsia="en-US"/>
        </w:rPr>
        <w:t>ю</w:t>
      </w:r>
      <w:r w:rsidRPr="00CD45A4">
        <w:rPr>
          <w:rFonts w:eastAsia="Calibri"/>
          <w:sz w:val="22"/>
          <w:szCs w:val="22"/>
          <w:lang w:eastAsia="en-US"/>
        </w:rPr>
        <w:t>щие задачи:</w:t>
      </w:r>
    </w:p>
    <w:p w:rsidR="00E5540A" w:rsidRPr="00CD45A4" w:rsidRDefault="00E5540A" w:rsidP="002D7DA5">
      <w:pPr>
        <w:widowControl w:val="0"/>
        <w:numPr>
          <w:ilvl w:val="0"/>
          <w:numId w:val="106"/>
        </w:numPr>
        <w:ind w:firstLine="425"/>
        <w:contextualSpacing/>
        <w:jc w:val="both"/>
        <w:rPr>
          <w:rFonts w:eastAsia="Calibri"/>
          <w:sz w:val="22"/>
          <w:szCs w:val="22"/>
          <w:lang w:eastAsia="en-US"/>
        </w:rPr>
      </w:pPr>
      <w:r w:rsidRPr="00CD45A4">
        <w:rPr>
          <w:rFonts w:eastAsia="Calibri"/>
          <w:sz w:val="22"/>
          <w:szCs w:val="22"/>
          <w:lang w:eastAsia="en-US"/>
        </w:rPr>
        <w:t>Изучить особенности репродуктивной системы многоцве</w:t>
      </w:r>
      <w:r w:rsidRPr="00CD45A4">
        <w:rPr>
          <w:rFonts w:eastAsia="Calibri"/>
          <w:sz w:val="22"/>
          <w:szCs w:val="22"/>
          <w:lang w:eastAsia="en-US"/>
        </w:rPr>
        <w:t>т</w:t>
      </w:r>
      <w:r w:rsidRPr="00CD45A4">
        <w:rPr>
          <w:rFonts w:eastAsia="Calibri"/>
          <w:sz w:val="22"/>
          <w:szCs w:val="22"/>
          <w:lang w:eastAsia="en-US"/>
        </w:rPr>
        <w:t>ковых форм озимой мягкой пшеницы.</w:t>
      </w:r>
    </w:p>
    <w:p w:rsidR="00E5540A" w:rsidRPr="00CD45A4" w:rsidRDefault="00E5540A" w:rsidP="002D7DA5">
      <w:pPr>
        <w:widowControl w:val="0"/>
        <w:numPr>
          <w:ilvl w:val="0"/>
          <w:numId w:val="106"/>
        </w:numPr>
        <w:ind w:firstLine="425"/>
        <w:contextualSpacing/>
        <w:jc w:val="both"/>
        <w:rPr>
          <w:rFonts w:eastAsia="Calibri"/>
          <w:sz w:val="22"/>
          <w:szCs w:val="22"/>
          <w:lang w:eastAsia="en-US"/>
        </w:rPr>
      </w:pPr>
      <w:r w:rsidRPr="00CD45A4">
        <w:rPr>
          <w:rFonts w:eastAsia="Calibri"/>
          <w:sz w:val="22"/>
          <w:szCs w:val="22"/>
          <w:lang w:eastAsia="en-US"/>
        </w:rPr>
        <w:lastRenderedPageBreak/>
        <w:t>Оценить влияние признака «многоцветковость» на показат</w:t>
      </w:r>
      <w:r w:rsidRPr="00CD45A4">
        <w:rPr>
          <w:rFonts w:eastAsia="Calibri"/>
          <w:sz w:val="22"/>
          <w:szCs w:val="22"/>
          <w:lang w:eastAsia="en-US"/>
        </w:rPr>
        <w:t>е</w:t>
      </w:r>
      <w:r w:rsidRPr="00CD45A4">
        <w:rPr>
          <w:rFonts w:eastAsia="Calibri"/>
          <w:sz w:val="22"/>
          <w:szCs w:val="22"/>
          <w:lang w:eastAsia="en-US"/>
        </w:rPr>
        <w:t>ли – индивидуальной продуктивности колоса.</w:t>
      </w:r>
    </w:p>
    <w:p w:rsidR="00E5540A" w:rsidRPr="00CD45A4" w:rsidRDefault="00E5540A" w:rsidP="002D7DA5">
      <w:pPr>
        <w:widowControl w:val="0"/>
        <w:numPr>
          <w:ilvl w:val="0"/>
          <w:numId w:val="106"/>
        </w:numPr>
        <w:ind w:firstLine="425"/>
        <w:contextualSpacing/>
        <w:jc w:val="both"/>
        <w:rPr>
          <w:rFonts w:eastAsia="Calibri"/>
          <w:sz w:val="22"/>
          <w:szCs w:val="22"/>
          <w:lang w:eastAsia="en-US"/>
        </w:rPr>
      </w:pPr>
      <w:r w:rsidRPr="00CD45A4">
        <w:rPr>
          <w:rFonts w:eastAsia="Calibri"/>
          <w:sz w:val="22"/>
          <w:szCs w:val="22"/>
          <w:lang w:eastAsia="en-US"/>
        </w:rPr>
        <w:t xml:space="preserve">Составить биологическую характеристику многоцветковых форм озимой мягкой пшеницы. </w:t>
      </w:r>
    </w:p>
    <w:p w:rsidR="00E5540A" w:rsidRPr="00CD45A4" w:rsidRDefault="00E5540A" w:rsidP="00812F84">
      <w:pPr>
        <w:widowControl w:val="0"/>
        <w:ind w:firstLine="425"/>
        <w:jc w:val="both"/>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Двухфакторный вегетационный опыт был заложен в двух п</w:t>
      </w:r>
      <w:r w:rsidRPr="00CD45A4">
        <w:rPr>
          <w:rFonts w:eastAsia="Calibri"/>
          <w:color w:val="000000"/>
          <w:sz w:val="22"/>
          <w:szCs w:val="22"/>
          <w:shd w:val="clear" w:color="auto" w:fill="FFFFFF"/>
          <w:lang w:eastAsia="en-US"/>
        </w:rPr>
        <w:t>о</w:t>
      </w:r>
      <w:r w:rsidRPr="00CD45A4">
        <w:rPr>
          <w:rFonts w:eastAsia="Calibri"/>
          <w:color w:val="000000"/>
          <w:sz w:val="22"/>
          <w:szCs w:val="22"/>
          <w:shd w:val="clear" w:color="auto" w:fill="FFFFFF"/>
          <w:lang w:eastAsia="en-US"/>
        </w:rPr>
        <w:t xml:space="preserve">вторностях с рандомизированным расположением делянок осенью 2015 года на опытном поле учебно-опытного хозяйства «Кубань», г. Краснодар. В опыте изучали 15 образцов из коллекции ФГБНУ «Федеральный исследовательский центр Всероссийский институт генетических ресурсов растений имени Н.И. Вавилова» из 7 стран: Германии, Швеции, Италии, Латвии, России, Китая и Казахстана. А так же 3 сорта селекции КНИИСХ им. П.П. Лукьяненко: </w:t>
      </w:r>
      <w:proofErr w:type="gramStart"/>
      <w:r w:rsidRPr="00CD45A4">
        <w:rPr>
          <w:rFonts w:eastAsia="Calibri"/>
          <w:color w:val="000000"/>
          <w:sz w:val="22"/>
          <w:szCs w:val="22"/>
          <w:shd w:val="clear" w:color="auto" w:fill="FFFFFF"/>
          <w:lang w:eastAsia="en-US"/>
        </w:rPr>
        <w:t>Безостая</w:t>
      </w:r>
      <w:proofErr w:type="gramEnd"/>
      <w:r w:rsidRPr="00CD45A4">
        <w:rPr>
          <w:rFonts w:eastAsia="Calibri"/>
          <w:color w:val="000000"/>
          <w:sz w:val="22"/>
          <w:szCs w:val="22"/>
          <w:shd w:val="clear" w:color="auto" w:fill="FFFFFF"/>
          <w:lang w:eastAsia="en-US"/>
        </w:rPr>
        <w:t xml:space="preserve"> 1, Васса, Табор. Контролем был выбран сорт Васса.</w:t>
      </w:r>
    </w:p>
    <w:p w:rsidR="00812F84" w:rsidRDefault="00E5540A" w:rsidP="00812F84">
      <w:pPr>
        <w:widowControl w:val="0"/>
        <w:ind w:firstLine="426"/>
        <w:jc w:val="both"/>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В ходе исследования была составлена биологическая характ</w:t>
      </w:r>
      <w:r w:rsidRPr="00CD45A4">
        <w:rPr>
          <w:rFonts w:eastAsia="Calibri"/>
          <w:color w:val="000000"/>
          <w:sz w:val="22"/>
          <w:szCs w:val="22"/>
          <w:shd w:val="clear" w:color="auto" w:fill="FFFFFF"/>
          <w:lang w:eastAsia="en-US"/>
        </w:rPr>
        <w:t>е</w:t>
      </w:r>
      <w:r w:rsidRPr="00CD45A4">
        <w:rPr>
          <w:rFonts w:eastAsia="Calibri"/>
          <w:color w:val="000000"/>
          <w:sz w:val="22"/>
          <w:szCs w:val="22"/>
          <w:shd w:val="clear" w:color="auto" w:fill="FFFFFF"/>
          <w:lang w:eastAsia="en-US"/>
        </w:rPr>
        <w:t>ристика изучаемых сортообразцов, проведена оценка по колич</w:t>
      </w:r>
      <w:r w:rsidRPr="00CD45A4">
        <w:rPr>
          <w:rFonts w:eastAsia="Calibri"/>
          <w:color w:val="000000"/>
          <w:sz w:val="22"/>
          <w:szCs w:val="22"/>
          <w:shd w:val="clear" w:color="auto" w:fill="FFFFFF"/>
          <w:lang w:eastAsia="en-US"/>
        </w:rPr>
        <w:t>е</w:t>
      </w:r>
      <w:r w:rsidRPr="00CD45A4">
        <w:rPr>
          <w:rFonts w:eastAsia="Calibri"/>
          <w:color w:val="000000"/>
          <w:sz w:val="22"/>
          <w:szCs w:val="22"/>
          <w:shd w:val="clear" w:color="auto" w:fill="FFFFFF"/>
          <w:lang w:eastAsia="en-US"/>
        </w:rPr>
        <w:t>ственным признакам, а так же изучены особенности репродукти</w:t>
      </w:r>
      <w:r w:rsidRPr="00CD45A4">
        <w:rPr>
          <w:rFonts w:eastAsia="Calibri"/>
          <w:color w:val="000000"/>
          <w:sz w:val="22"/>
          <w:szCs w:val="22"/>
          <w:shd w:val="clear" w:color="auto" w:fill="FFFFFF"/>
          <w:lang w:eastAsia="en-US"/>
        </w:rPr>
        <w:t>в</w:t>
      </w:r>
      <w:r w:rsidRPr="00CD45A4">
        <w:rPr>
          <w:rFonts w:eastAsia="Calibri"/>
          <w:color w:val="000000"/>
          <w:sz w:val="22"/>
          <w:szCs w:val="22"/>
          <w:shd w:val="clear" w:color="auto" w:fill="FFFFFF"/>
          <w:lang w:eastAsia="en-US"/>
        </w:rPr>
        <w:t>ной системы многоцветковых форм озимой мягкой пшеницы ко</w:t>
      </w:r>
      <w:r w:rsidRPr="00CD45A4">
        <w:rPr>
          <w:rFonts w:eastAsia="Calibri"/>
          <w:color w:val="000000"/>
          <w:sz w:val="22"/>
          <w:szCs w:val="22"/>
          <w:shd w:val="clear" w:color="auto" w:fill="FFFFFF"/>
          <w:lang w:eastAsia="en-US"/>
        </w:rPr>
        <w:t>л</w:t>
      </w:r>
      <w:r w:rsidRPr="00CD45A4">
        <w:rPr>
          <w:rFonts w:eastAsia="Calibri"/>
          <w:color w:val="000000"/>
          <w:sz w:val="22"/>
          <w:szCs w:val="22"/>
          <w:shd w:val="clear" w:color="auto" w:fill="FFFFFF"/>
          <w:lang w:eastAsia="en-US"/>
        </w:rPr>
        <w:t>лекции ВИР.</w:t>
      </w:r>
    </w:p>
    <w:p w:rsidR="00812F84" w:rsidRPr="00CD45A4" w:rsidRDefault="00812F84" w:rsidP="00812F84">
      <w:pPr>
        <w:widowControl w:val="0"/>
        <w:ind w:firstLine="426"/>
        <w:jc w:val="both"/>
        <w:rPr>
          <w:rFonts w:eastAsia="Calibri"/>
          <w:color w:val="000000"/>
          <w:sz w:val="22"/>
          <w:szCs w:val="22"/>
          <w:shd w:val="clear" w:color="auto" w:fill="FFFFFF"/>
          <w:lang w:eastAsia="en-US"/>
        </w:rPr>
      </w:pPr>
    </w:p>
    <w:p w:rsidR="00E5540A" w:rsidRPr="00CD45A4" w:rsidRDefault="00E5540A" w:rsidP="00812F84">
      <w:pPr>
        <w:widowControl w:val="0"/>
        <w:ind w:firstLine="426"/>
        <w:jc w:val="center"/>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Список литературы</w:t>
      </w:r>
    </w:p>
    <w:p w:rsidR="00E5540A" w:rsidRPr="00CD45A4" w:rsidRDefault="00E5540A" w:rsidP="00812F84">
      <w:pPr>
        <w:widowControl w:val="0"/>
        <w:ind w:firstLine="426"/>
        <w:jc w:val="both"/>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1. Вавилов, Н. И. Закон гомологических рядов в наследстве</w:t>
      </w:r>
      <w:r w:rsidRPr="00CD45A4">
        <w:rPr>
          <w:rFonts w:eastAsia="Calibri"/>
          <w:color w:val="000000"/>
          <w:sz w:val="22"/>
          <w:szCs w:val="22"/>
          <w:shd w:val="clear" w:color="auto" w:fill="FFFFFF"/>
          <w:lang w:eastAsia="en-US"/>
        </w:rPr>
        <w:t>н</w:t>
      </w:r>
      <w:r w:rsidRPr="00CD45A4">
        <w:rPr>
          <w:rFonts w:eastAsia="Calibri"/>
          <w:color w:val="000000"/>
          <w:sz w:val="22"/>
          <w:szCs w:val="22"/>
          <w:shd w:val="clear" w:color="auto" w:fill="FFFFFF"/>
          <w:lang w:eastAsia="en-US"/>
        </w:rPr>
        <w:t>ной изменчивости // Теоретические основы селекции растений / под ред. Н.И. Вавилова. М.; Л.</w:t>
      </w:r>
      <w:proofErr w:type="gramStart"/>
      <w:r w:rsidRPr="00CD45A4">
        <w:rPr>
          <w:rFonts w:eastAsia="Calibri"/>
          <w:color w:val="000000"/>
          <w:sz w:val="22"/>
          <w:szCs w:val="22"/>
          <w:shd w:val="clear" w:color="auto" w:fill="FFFFFF"/>
          <w:lang w:eastAsia="en-US"/>
        </w:rPr>
        <w:t> :</w:t>
      </w:r>
      <w:proofErr w:type="gramEnd"/>
      <w:r w:rsidRPr="00CD45A4">
        <w:rPr>
          <w:rFonts w:eastAsia="Calibri"/>
          <w:color w:val="000000"/>
          <w:sz w:val="22"/>
          <w:szCs w:val="22"/>
          <w:shd w:val="clear" w:color="auto" w:fill="FFFFFF"/>
          <w:lang w:eastAsia="en-US"/>
        </w:rPr>
        <w:t xml:space="preserve"> Сельхозгиз, 1935. Т. 1: Общая селекция растений. С. 75-128.</w:t>
      </w:r>
    </w:p>
    <w:p w:rsidR="00E5540A" w:rsidRPr="00CD45A4" w:rsidRDefault="00E5540A" w:rsidP="00812F84">
      <w:pPr>
        <w:widowControl w:val="0"/>
        <w:ind w:firstLine="426"/>
        <w:jc w:val="both"/>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2. Митрофанова, О. П. Генетические ресурсы пшеницы в Ро</w:t>
      </w:r>
      <w:r w:rsidRPr="00CD45A4">
        <w:rPr>
          <w:rFonts w:eastAsia="Calibri"/>
          <w:color w:val="000000"/>
          <w:sz w:val="22"/>
          <w:szCs w:val="22"/>
          <w:shd w:val="clear" w:color="auto" w:fill="FFFFFF"/>
          <w:lang w:eastAsia="en-US"/>
        </w:rPr>
        <w:t>с</w:t>
      </w:r>
      <w:r w:rsidRPr="00CD45A4">
        <w:rPr>
          <w:rFonts w:eastAsia="Calibri"/>
          <w:color w:val="000000"/>
          <w:sz w:val="22"/>
          <w:szCs w:val="22"/>
          <w:shd w:val="clear" w:color="auto" w:fill="FFFFFF"/>
          <w:lang w:eastAsia="en-US"/>
        </w:rPr>
        <w:t>сии: состояние и предселекционное изучение / О.П. Митрофанова // Вавиловский журнал генетики и селекции.– 2012. – Том 16. – №1. – С. 10-20.</w:t>
      </w:r>
    </w:p>
    <w:p w:rsidR="00E5540A" w:rsidRPr="00CD45A4" w:rsidRDefault="00E5540A" w:rsidP="00812F84">
      <w:pPr>
        <w:widowControl w:val="0"/>
        <w:ind w:firstLine="426"/>
        <w:jc w:val="both"/>
        <w:rPr>
          <w:rFonts w:eastAsia="Calibri"/>
          <w:color w:val="000000"/>
          <w:sz w:val="22"/>
          <w:szCs w:val="22"/>
          <w:shd w:val="clear" w:color="auto" w:fill="FFFFFF"/>
          <w:lang w:eastAsia="en-US"/>
        </w:rPr>
      </w:pPr>
      <w:r w:rsidRPr="00CD45A4">
        <w:rPr>
          <w:rFonts w:eastAsia="Calibri"/>
          <w:color w:val="000000"/>
          <w:sz w:val="22"/>
          <w:szCs w:val="22"/>
          <w:shd w:val="clear" w:color="auto" w:fill="FFFFFF"/>
          <w:lang w:eastAsia="en-US"/>
        </w:rPr>
        <w:t>3. Фляксбергер, К. А. Новые пути селекции пшеницы в СССР / К.А. Фляксбергер, М.М. Якубцинер // Техника соц. земледелия. 1931. – № 6. – С. 6-9.</w:t>
      </w:r>
    </w:p>
    <w:p w:rsidR="00E5540A" w:rsidRPr="00CD45A4" w:rsidRDefault="00E5540A" w:rsidP="00E5540A">
      <w:pPr>
        <w:widowControl w:val="0"/>
        <w:jc w:val="both"/>
        <w:rPr>
          <w:rFonts w:eastAsia="Calibri"/>
          <w:color w:val="000000"/>
          <w:sz w:val="22"/>
          <w:szCs w:val="22"/>
          <w:shd w:val="clear" w:color="auto" w:fill="FFFFFF"/>
          <w:lang w:eastAsia="en-US"/>
        </w:rPr>
      </w:pPr>
    </w:p>
    <w:p w:rsidR="00E5540A" w:rsidRPr="00CD45A4" w:rsidRDefault="00E5540A" w:rsidP="00E5540A">
      <w:pPr>
        <w:widowControl w:val="0"/>
        <w:jc w:val="both"/>
        <w:rPr>
          <w:rFonts w:eastAsia="Calibri"/>
          <w:color w:val="000000"/>
          <w:sz w:val="22"/>
          <w:szCs w:val="22"/>
          <w:shd w:val="clear" w:color="auto" w:fill="FFFFFF"/>
          <w:lang w:eastAsia="en-US"/>
        </w:rPr>
      </w:pPr>
    </w:p>
    <w:p w:rsidR="00E5540A" w:rsidRDefault="00E5540A" w:rsidP="00E5540A">
      <w:pPr>
        <w:widowControl w:val="0"/>
        <w:suppressAutoHyphens/>
        <w:jc w:val="both"/>
        <w:rPr>
          <w:rFonts w:eastAsia="Calibri"/>
          <w:sz w:val="22"/>
          <w:szCs w:val="22"/>
          <w:lang w:eastAsia="en-US"/>
        </w:rPr>
      </w:pPr>
    </w:p>
    <w:p w:rsidR="00A8504F" w:rsidRDefault="00A8504F" w:rsidP="00E5540A">
      <w:pPr>
        <w:widowControl w:val="0"/>
        <w:suppressAutoHyphens/>
        <w:jc w:val="both"/>
        <w:rPr>
          <w:rFonts w:eastAsia="Calibri"/>
          <w:sz w:val="22"/>
          <w:szCs w:val="22"/>
          <w:lang w:eastAsia="en-US"/>
        </w:rPr>
      </w:pPr>
    </w:p>
    <w:p w:rsidR="00A8504F" w:rsidRDefault="00A8504F" w:rsidP="00E5540A">
      <w:pPr>
        <w:widowControl w:val="0"/>
        <w:suppressAutoHyphens/>
        <w:jc w:val="both"/>
        <w:rPr>
          <w:rFonts w:eastAsia="Calibri"/>
          <w:sz w:val="22"/>
          <w:szCs w:val="22"/>
          <w:lang w:eastAsia="en-US"/>
        </w:rPr>
      </w:pPr>
    </w:p>
    <w:p w:rsidR="00A8504F" w:rsidRDefault="00A8504F" w:rsidP="00E5540A">
      <w:pPr>
        <w:widowControl w:val="0"/>
        <w:suppressAutoHyphens/>
        <w:jc w:val="both"/>
        <w:rPr>
          <w:rFonts w:eastAsia="Calibri"/>
          <w:sz w:val="22"/>
          <w:szCs w:val="22"/>
          <w:lang w:eastAsia="en-US"/>
        </w:rPr>
      </w:pPr>
    </w:p>
    <w:p w:rsidR="00A8504F" w:rsidRPr="00CD45A4" w:rsidRDefault="00A8504F" w:rsidP="00E5540A">
      <w:pPr>
        <w:widowControl w:val="0"/>
        <w:suppressAutoHyphens/>
        <w:jc w:val="both"/>
        <w:rPr>
          <w:rFonts w:eastAsia="Calibri"/>
          <w:sz w:val="22"/>
          <w:szCs w:val="22"/>
          <w:lang w:eastAsia="en-US"/>
        </w:rPr>
      </w:pPr>
    </w:p>
    <w:p w:rsidR="00E5540A" w:rsidRPr="00CD45A4" w:rsidRDefault="00E5540A" w:rsidP="00E5540A">
      <w:pPr>
        <w:widowControl w:val="0"/>
        <w:contextualSpacing/>
        <w:rPr>
          <w:rFonts w:eastAsia="Calibri"/>
          <w:sz w:val="22"/>
          <w:szCs w:val="22"/>
          <w:lang w:eastAsia="en-US"/>
        </w:rPr>
      </w:pPr>
      <w:r w:rsidRPr="00CD45A4">
        <w:rPr>
          <w:rFonts w:eastAsia="Calibri"/>
          <w:sz w:val="22"/>
          <w:szCs w:val="22"/>
          <w:lang w:eastAsia="en-US"/>
        </w:rPr>
        <w:lastRenderedPageBreak/>
        <w:t>УДК 504.064.3:504.3 (470.620)</w:t>
      </w:r>
    </w:p>
    <w:p w:rsidR="00E5540A" w:rsidRPr="00CD45A4" w:rsidRDefault="00E5540A" w:rsidP="00E5540A">
      <w:pPr>
        <w:widowControl w:val="0"/>
        <w:contextualSpacing/>
        <w:rPr>
          <w:rFonts w:eastAsia="Calibri"/>
          <w:sz w:val="24"/>
          <w:szCs w:val="22"/>
          <w:lang w:eastAsia="en-US"/>
        </w:rPr>
      </w:pPr>
    </w:p>
    <w:p w:rsidR="00E5540A" w:rsidRPr="00CD45A4" w:rsidRDefault="00E5540A" w:rsidP="00E5540A">
      <w:pPr>
        <w:widowControl w:val="0"/>
        <w:suppressAutoHyphens/>
        <w:jc w:val="center"/>
        <w:rPr>
          <w:rFonts w:eastAsia="Calibri"/>
          <w:b/>
          <w:sz w:val="24"/>
          <w:szCs w:val="24"/>
          <w:lang w:eastAsia="en-US"/>
        </w:rPr>
      </w:pPr>
      <w:r w:rsidRPr="00CD45A4">
        <w:rPr>
          <w:rFonts w:eastAsia="Calibri"/>
          <w:b/>
          <w:sz w:val="24"/>
          <w:szCs w:val="24"/>
          <w:lang w:eastAsia="en-US"/>
        </w:rPr>
        <w:t>Автотранспортное предприятие как источник загрязнения окружающей среды</w:t>
      </w:r>
    </w:p>
    <w:p w:rsidR="00E5540A" w:rsidRPr="00E5540A" w:rsidRDefault="00E5540A" w:rsidP="00E5540A">
      <w:pPr>
        <w:widowControl w:val="0"/>
        <w:suppressAutoHyphens/>
        <w:autoSpaceDE w:val="0"/>
        <w:autoSpaceDN w:val="0"/>
        <w:adjustRightInd w:val="0"/>
        <w:jc w:val="center"/>
        <w:rPr>
          <w:b/>
          <w:sz w:val="24"/>
          <w:szCs w:val="24"/>
        </w:rPr>
      </w:pPr>
      <w:r w:rsidRPr="00CD45A4">
        <w:rPr>
          <w:b/>
          <w:sz w:val="24"/>
          <w:szCs w:val="24"/>
          <w:lang w:val="en-US"/>
        </w:rPr>
        <w:t>Motor</w:t>
      </w:r>
      <w:r w:rsidRPr="00E5540A">
        <w:rPr>
          <w:b/>
          <w:sz w:val="24"/>
          <w:szCs w:val="24"/>
        </w:rPr>
        <w:t xml:space="preserve"> </w:t>
      </w:r>
      <w:r w:rsidRPr="00CD45A4">
        <w:rPr>
          <w:b/>
          <w:sz w:val="24"/>
          <w:szCs w:val="24"/>
          <w:lang w:val="en-US"/>
        </w:rPr>
        <w:t>transport</w:t>
      </w:r>
      <w:r w:rsidRPr="00E5540A">
        <w:rPr>
          <w:b/>
          <w:sz w:val="24"/>
          <w:szCs w:val="24"/>
        </w:rPr>
        <w:t xml:space="preserve"> </w:t>
      </w:r>
      <w:r w:rsidRPr="00CD45A4">
        <w:rPr>
          <w:b/>
          <w:sz w:val="24"/>
          <w:szCs w:val="24"/>
          <w:lang w:val="en-US"/>
        </w:rPr>
        <w:t>enterprise</w:t>
      </w:r>
      <w:r w:rsidRPr="00E5540A">
        <w:rPr>
          <w:b/>
          <w:sz w:val="24"/>
          <w:szCs w:val="24"/>
        </w:rPr>
        <w:t xml:space="preserve"> </w:t>
      </w:r>
      <w:r w:rsidRPr="00CD45A4">
        <w:rPr>
          <w:b/>
          <w:sz w:val="24"/>
          <w:szCs w:val="24"/>
          <w:lang w:val="en-US"/>
        </w:rPr>
        <w:t>as</w:t>
      </w:r>
      <w:r w:rsidRPr="00E5540A">
        <w:rPr>
          <w:b/>
          <w:sz w:val="24"/>
          <w:szCs w:val="24"/>
        </w:rPr>
        <w:t xml:space="preserve"> </w:t>
      </w:r>
      <w:r w:rsidRPr="00CD45A4">
        <w:rPr>
          <w:b/>
          <w:sz w:val="24"/>
          <w:szCs w:val="24"/>
          <w:lang w:val="en-US"/>
        </w:rPr>
        <w:t>a</w:t>
      </w:r>
      <w:r w:rsidRPr="00E5540A">
        <w:rPr>
          <w:b/>
          <w:sz w:val="24"/>
          <w:szCs w:val="24"/>
        </w:rPr>
        <w:t xml:space="preserve"> </w:t>
      </w:r>
      <w:r w:rsidRPr="00CD45A4">
        <w:rPr>
          <w:b/>
          <w:sz w:val="24"/>
          <w:szCs w:val="24"/>
          <w:lang w:val="en-US"/>
        </w:rPr>
        <w:t>source</w:t>
      </w:r>
      <w:r w:rsidRPr="00E5540A">
        <w:rPr>
          <w:b/>
          <w:sz w:val="24"/>
          <w:szCs w:val="24"/>
        </w:rPr>
        <w:t xml:space="preserve"> </w:t>
      </w:r>
      <w:r w:rsidRPr="00CD45A4">
        <w:rPr>
          <w:b/>
          <w:sz w:val="24"/>
          <w:szCs w:val="24"/>
          <w:lang w:val="en-US"/>
        </w:rPr>
        <w:t>of</w:t>
      </w:r>
      <w:r w:rsidRPr="00E5540A">
        <w:rPr>
          <w:b/>
          <w:sz w:val="24"/>
          <w:szCs w:val="24"/>
        </w:rPr>
        <w:t xml:space="preserve"> </w:t>
      </w:r>
      <w:r w:rsidRPr="00CD45A4">
        <w:rPr>
          <w:b/>
          <w:sz w:val="24"/>
          <w:szCs w:val="24"/>
          <w:lang w:val="en-US"/>
        </w:rPr>
        <w:t>environmental</w:t>
      </w:r>
      <w:r w:rsidRPr="00E5540A">
        <w:rPr>
          <w:b/>
          <w:sz w:val="24"/>
          <w:szCs w:val="24"/>
        </w:rPr>
        <w:t xml:space="preserve"> </w:t>
      </w:r>
      <w:r w:rsidRPr="00CD45A4">
        <w:rPr>
          <w:b/>
          <w:sz w:val="24"/>
          <w:szCs w:val="24"/>
          <w:lang w:val="en-US"/>
        </w:rPr>
        <w:t>pollution</w:t>
      </w:r>
    </w:p>
    <w:p w:rsidR="00E5540A" w:rsidRPr="00E5540A" w:rsidRDefault="00E5540A" w:rsidP="00E5540A">
      <w:pPr>
        <w:widowControl w:val="0"/>
        <w:tabs>
          <w:tab w:val="left" w:pos="8223"/>
        </w:tabs>
        <w:contextualSpacing/>
        <w:jc w:val="right"/>
        <w:rPr>
          <w:rFonts w:eastAsia="Courier New"/>
          <w:sz w:val="22"/>
          <w:szCs w:val="22"/>
          <w:lang w:eastAsia="en-US"/>
        </w:rPr>
      </w:pPr>
    </w:p>
    <w:p w:rsidR="00E5540A" w:rsidRPr="00CD45A4" w:rsidRDefault="00E5540A" w:rsidP="00E5540A">
      <w:pPr>
        <w:widowControl w:val="0"/>
        <w:tabs>
          <w:tab w:val="left" w:pos="8223"/>
        </w:tabs>
        <w:contextualSpacing/>
        <w:jc w:val="right"/>
        <w:rPr>
          <w:rFonts w:eastAsia="Courier New"/>
          <w:sz w:val="22"/>
          <w:szCs w:val="22"/>
          <w:lang w:eastAsia="en-US"/>
        </w:rPr>
      </w:pPr>
      <w:r w:rsidRPr="00CD45A4">
        <w:rPr>
          <w:rFonts w:eastAsia="Courier New"/>
          <w:sz w:val="22"/>
          <w:szCs w:val="22"/>
          <w:lang w:eastAsia="en-US"/>
        </w:rPr>
        <w:t>Сорокина М. А.,</w:t>
      </w:r>
    </w:p>
    <w:p w:rsidR="00E5540A" w:rsidRPr="00CD45A4" w:rsidRDefault="00E5540A" w:rsidP="00E5540A">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студентка 4-го курс</w:t>
      </w:r>
      <w:r w:rsidR="00812F84">
        <w:rPr>
          <w:rFonts w:eastAsia="Courier New"/>
          <w:color w:val="000000"/>
          <w:sz w:val="22"/>
          <w:szCs w:val="22"/>
          <w:lang w:eastAsia="en-US"/>
        </w:rPr>
        <w:t>а</w:t>
      </w:r>
    </w:p>
    <w:p w:rsidR="00E5540A" w:rsidRPr="00CD45A4" w:rsidRDefault="00E5540A" w:rsidP="00E5540A">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E5540A" w:rsidRPr="00CD45A4" w:rsidRDefault="00E5540A" w:rsidP="00E5540A">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Куб</w:t>
      </w:r>
      <w:r w:rsidR="00812F84">
        <w:rPr>
          <w:rFonts w:eastAsia="Courier New"/>
          <w:color w:val="000000"/>
          <w:sz w:val="22"/>
          <w:szCs w:val="22"/>
          <w:lang w:eastAsia="en-US"/>
        </w:rPr>
        <w:t>анский государственный аграрный</w:t>
      </w:r>
    </w:p>
    <w:p w:rsidR="00E5540A" w:rsidRPr="00CD45A4" w:rsidRDefault="00E5540A" w:rsidP="00E5540A">
      <w:pPr>
        <w:widowControl w:val="0"/>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EB5229">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E5540A" w:rsidRPr="00CD45A4" w:rsidRDefault="00E5540A" w:rsidP="00E5540A">
      <w:pPr>
        <w:widowControl w:val="0"/>
        <w:contextualSpacing/>
        <w:jc w:val="both"/>
        <w:rPr>
          <w:rFonts w:eastAsia="Courier New"/>
          <w:color w:val="000000"/>
          <w:sz w:val="22"/>
          <w:szCs w:val="22"/>
          <w:lang w:eastAsia="en-US"/>
        </w:rPr>
      </w:pPr>
    </w:p>
    <w:p w:rsidR="00E5540A" w:rsidRPr="00CD45A4" w:rsidRDefault="00E5540A" w:rsidP="00812F84">
      <w:pPr>
        <w:widowControl w:val="0"/>
        <w:suppressAutoHyphens/>
        <w:ind w:firstLine="426"/>
        <w:jc w:val="both"/>
        <w:rPr>
          <w:rFonts w:eastAsia="Calibri"/>
          <w:sz w:val="22"/>
          <w:szCs w:val="20"/>
          <w:lang w:eastAsia="en-US"/>
        </w:rPr>
      </w:pPr>
      <w:r w:rsidRPr="00CD45A4">
        <w:rPr>
          <w:rFonts w:eastAsia="Courier New"/>
          <w:color w:val="000000"/>
          <w:sz w:val="22"/>
          <w:szCs w:val="22"/>
          <w:lang w:eastAsia="en-US"/>
        </w:rPr>
        <w:t>АННОТАЦИЯ: В статье изучена</w:t>
      </w:r>
      <w:r w:rsidRPr="00CD45A4">
        <w:rPr>
          <w:sz w:val="22"/>
          <w:szCs w:val="22"/>
        </w:rPr>
        <w:t xml:space="preserve"> </w:t>
      </w:r>
      <w:r w:rsidRPr="00CD45A4">
        <w:rPr>
          <w:rFonts w:eastAsia="Calibri"/>
          <w:sz w:val="22"/>
          <w:szCs w:val="20"/>
          <w:lang w:eastAsia="en-US"/>
        </w:rPr>
        <w:t>характеристика состояния древесной растительности на территории Автотранспортного предприятия «Вектор» г. Адыгейск. Приведены результаты инвентаризации зеленых насаждений и негативного воздействия на них его деятельности.</w:t>
      </w:r>
    </w:p>
    <w:p w:rsidR="00E5540A" w:rsidRPr="00CD45A4" w:rsidRDefault="00E5540A" w:rsidP="00812F84">
      <w:pPr>
        <w:widowControl w:val="0"/>
        <w:suppressAutoHyphens/>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 xml:space="preserve">ABSTRACT: This paper studies the characteristics of the condition of woody vegetation on the territory of the Motor transportation enterprise «the Vector» the town of Adygeysk. </w:t>
      </w:r>
      <w:proofErr w:type="gramStart"/>
      <w:r w:rsidRPr="00CD45A4">
        <w:rPr>
          <w:rFonts w:eastAsia="Courier New"/>
          <w:color w:val="000000"/>
          <w:sz w:val="22"/>
          <w:szCs w:val="22"/>
          <w:lang w:val="en-US" w:eastAsia="en-US"/>
        </w:rPr>
        <w:t>The results of the inventory of green spaces and the negative impact on their activities.</w:t>
      </w:r>
      <w:proofErr w:type="gramEnd"/>
    </w:p>
    <w:p w:rsidR="00E5540A" w:rsidRPr="00CD45A4" w:rsidRDefault="00E5540A" w:rsidP="00812F84">
      <w:pPr>
        <w:widowControl w:val="0"/>
        <w:suppressAutoHyphens/>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КЛЮЧЕВЫЕ СЛОВА: автотранспорт, предприятие, инвентаризация, окружающая среда, зеленые насаждения.</w:t>
      </w:r>
    </w:p>
    <w:p w:rsidR="00E5540A" w:rsidRPr="00CD45A4" w:rsidRDefault="00E5540A" w:rsidP="00812F84">
      <w:pPr>
        <w:widowControl w:val="0"/>
        <w:suppressAutoHyphens/>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KEY WORDS: motor transport, enterprise, inventory, environment, green plantings.</w:t>
      </w:r>
    </w:p>
    <w:p w:rsidR="00E5540A" w:rsidRPr="00CD45A4" w:rsidRDefault="00E5540A" w:rsidP="00812F84">
      <w:pPr>
        <w:widowControl w:val="0"/>
        <w:ind w:firstLine="426"/>
        <w:contextualSpacing/>
        <w:jc w:val="both"/>
        <w:rPr>
          <w:rFonts w:eastAsia="Courier New"/>
          <w:color w:val="000000"/>
          <w:sz w:val="22"/>
          <w:szCs w:val="22"/>
          <w:lang w:val="en-US" w:eastAsia="en-US"/>
        </w:rPr>
      </w:pPr>
    </w:p>
    <w:p w:rsidR="00E5540A" w:rsidRPr="00CD45A4" w:rsidRDefault="00E5540A" w:rsidP="00812F84">
      <w:pPr>
        <w:widowControl w:val="0"/>
        <w:shd w:val="clear" w:color="auto" w:fill="FFFFFF"/>
        <w:ind w:firstLine="426"/>
        <w:jc w:val="both"/>
        <w:rPr>
          <w:sz w:val="22"/>
          <w:szCs w:val="22"/>
        </w:rPr>
      </w:pPr>
      <w:r w:rsidRPr="00CD45A4">
        <w:rPr>
          <w:sz w:val="22"/>
          <w:szCs w:val="22"/>
        </w:rPr>
        <w:t>В настоящее время особенно важным становится  вопрос охр</w:t>
      </w:r>
      <w:r w:rsidRPr="00CD45A4">
        <w:rPr>
          <w:sz w:val="22"/>
          <w:szCs w:val="22"/>
        </w:rPr>
        <w:t>а</w:t>
      </w:r>
      <w:r w:rsidRPr="00CD45A4">
        <w:rPr>
          <w:sz w:val="22"/>
          <w:szCs w:val="22"/>
        </w:rPr>
        <w:t xml:space="preserve">ны окружающей среды не только в крупных, но и в небольших </w:t>
      </w:r>
      <w:proofErr w:type="gramStart"/>
      <w:r w:rsidRPr="00CD45A4">
        <w:rPr>
          <w:sz w:val="22"/>
          <w:szCs w:val="22"/>
        </w:rPr>
        <w:t>г</w:t>
      </w:r>
      <w:r w:rsidRPr="00CD45A4">
        <w:rPr>
          <w:sz w:val="22"/>
          <w:szCs w:val="22"/>
        </w:rPr>
        <w:t>о</w:t>
      </w:r>
      <w:r w:rsidRPr="00CD45A4">
        <w:rPr>
          <w:sz w:val="22"/>
          <w:szCs w:val="22"/>
        </w:rPr>
        <w:t>родах</w:t>
      </w:r>
      <w:proofErr w:type="gramEnd"/>
      <w:r w:rsidRPr="00CD45A4">
        <w:rPr>
          <w:sz w:val="22"/>
          <w:szCs w:val="22"/>
        </w:rPr>
        <w:t xml:space="preserve"> например, как г. Адыгейск. Инвентаризация зеленых наса</w:t>
      </w:r>
      <w:r w:rsidRPr="00CD45A4">
        <w:rPr>
          <w:sz w:val="22"/>
          <w:szCs w:val="22"/>
        </w:rPr>
        <w:t>ж</w:t>
      </w:r>
      <w:r w:rsidRPr="00CD45A4">
        <w:rPr>
          <w:sz w:val="22"/>
          <w:szCs w:val="22"/>
        </w:rPr>
        <w:t>дений проводилась на территории автотранспортного предприятия (АТП) «Вектор» г. Адыгейск. Так как территория изучаемого об</w:t>
      </w:r>
      <w:r w:rsidRPr="00CD45A4">
        <w:rPr>
          <w:sz w:val="22"/>
          <w:szCs w:val="22"/>
        </w:rPr>
        <w:t>ъ</w:t>
      </w:r>
      <w:r w:rsidRPr="00CD45A4">
        <w:rPr>
          <w:sz w:val="22"/>
          <w:szCs w:val="22"/>
        </w:rPr>
        <w:t xml:space="preserve">екта почти полностью покрыта дорожным покрытием (асфальтом), деревья расположены в основном по периметру (вдоль забора) АТП. В результате инвентаризации установлено, что на изучаемой территории произрастает 54 дерева, </w:t>
      </w:r>
      <w:proofErr w:type="gramStart"/>
      <w:r w:rsidRPr="00CD45A4">
        <w:rPr>
          <w:sz w:val="22"/>
          <w:szCs w:val="22"/>
        </w:rPr>
        <w:t>относящихся</w:t>
      </w:r>
      <w:proofErr w:type="gramEnd"/>
      <w:r w:rsidRPr="00CD45A4">
        <w:rPr>
          <w:sz w:val="22"/>
          <w:szCs w:val="22"/>
        </w:rPr>
        <w:t xml:space="preserve"> к типу Покрыт</w:t>
      </w:r>
      <w:r w:rsidRPr="00CD45A4">
        <w:rPr>
          <w:sz w:val="22"/>
          <w:szCs w:val="22"/>
        </w:rPr>
        <w:t>о</w:t>
      </w:r>
      <w:r w:rsidRPr="00CD45A4">
        <w:rPr>
          <w:sz w:val="22"/>
          <w:szCs w:val="22"/>
        </w:rPr>
        <w:t xml:space="preserve">семенные. Преобладают следующие виды: слива, орех грецкий и </w:t>
      </w:r>
      <w:r w:rsidRPr="00CD45A4">
        <w:rPr>
          <w:sz w:val="22"/>
          <w:szCs w:val="22"/>
        </w:rPr>
        <w:lastRenderedPageBreak/>
        <w:t>абрикос.</w:t>
      </w:r>
    </w:p>
    <w:p w:rsidR="00E5540A" w:rsidRPr="00CD45A4" w:rsidRDefault="00E5540A" w:rsidP="00812F84">
      <w:pPr>
        <w:widowControl w:val="0"/>
        <w:ind w:firstLine="426"/>
        <w:jc w:val="both"/>
        <w:rPr>
          <w:color w:val="000000"/>
          <w:sz w:val="22"/>
          <w:szCs w:val="22"/>
        </w:rPr>
      </w:pPr>
      <w:r w:rsidRPr="00CD45A4">
        <w:rPr>
          <w:sz w:val="22"/>
          <w:szCs w:val="22"/>
        </w:rPr>
        <w:t xml:space="preserve">Используя данные инвентаризации можно судить о состоянии деревьев на территории </w:t>
      </w:r>
      <w:proofErr w:type="gramStart"/>
      <w:r w:rsidRPr="00CD45A4">
        <w:rPr>
          <w:sz w:val="22"/>
          <w:szCs w:val="22"/>
        </w:rPr>
        <w:t>исследуемого</w:t>
      </w:r>
      <w:proofErr w:type="gramEnd"/>
      <w:r w:rsidRPr="00CD45A4">
        <w:rPr>
          <w:sz w:val="22"/>
          <w:szCs w:val="22"/>
        </w:rPr>
        <w:t xml:space="preserve"> АТП. </w:t>
      </w:r>
      <w:r w:rsidRPr="00CD45A4">
        <w:rPr>
          <w:color w:val="000000"/>
          <w:sz w:val="22"/>
          <w:szCs w:val="22"/>
        </w:rPr>
        <w:t xml:space="preserve">В ходе инвентаризации изучался видовой состав </w:t>
      </w:r>
      <w:proofErr w:type="gramStart"/>
      <w:r w:rsidRPr="00CD45A4">
        <w:rPr>
          <w:color w:val="000000"/>
          <w:sz w:val="22"/>
          <w:szCs w:val="22"/>
        </w:rPr>
        <w:t>растительности</w:t>
      </w:r>
      <w:proofErr w:type="gramEnd"/>
      <w:r w:rsidRPr="00CD45A4">
        <w:rPr>
          <w:color w:val="000000"/>
          <w:sz w:val="22"/>
          <w:szCs w:val="22"/>
        </w:rPr>
        <w:t xml:space="preserve"> и устанавливалась доля участия отдельных пород деревьев и кустарников в озеленении. З</w:t>
      </w:r>
      <w:r w:rsidRPr="00CD45A4">
        <w:rPr>
          <w:color w:val="000000"/>
          <w:sz w:val="22"/>
          <w:szCs w:val="22"/>
        </w:rPr>
        <w:t>а</w:t>
      </w:r>
      <w:r w:rsidRPr="00CD45A4">
        <w:rPr>
          <w:color w:val="000000"/>
          <w:sz w:val="22"/>
          <w:szCs w:val="22"/>
        </w:rPr>
        <w:t>тем проводилась оценка состояния древесно-кустарниковых раст</w:t>
      </w:r>
      <w:r w:rsidRPr="00CD45A4">
        <w:rPr>
          <w:color w:val="000000"/>
          <w:sz w:val="22"/>
          <w:szCs w:val="22"/>
        </w:rPr>
        <w:t>е</w:t>
      </w:r>
      <w:r w:rsidRPr="00CD45A4">
        <w:rPr>
          <w:color w:val="000000"/>
          <w:sz w:val="22"/>
          <w:szCs w:val="22"/>
        </w:rPr>
        <w:t>ний исходя из категорий, к которым они были отнесены при инве</w:t>
      </w:r>
      <w:r w:rsidRPr="00CD45A4">
        <w:rPr>
          <w:color w:val="000000"/>
          <w:sz w:val="22"/>
          <w:szCs w:val="22"/>
        </w:rPr>
        <w:t>н</w:t>
      </w:r>
      <w:r w:rsidRPr="00CD45A4">
        <w:rPr>
          <w:color w:val="000000"/>
          <w:sz w:val="22"/>
          <w:szCs w:val="22"/>
        </w:rPr>
        <w:t xml:space="preserve">таризации [1-3] </w:t>
      </w:r>
    </w:p>
    <w:p w:rsidR="00E5540A" w:rsidRPr="00CD45A4" w:rsidRDefault="00E5540A" w:rsidP="00812F84">
      <w:pPr>
        <w:widowControl w:val="0"/>
        <w:shd w:val="clear" w:color="auto" w:fill="FFFFFF"/>
        <w:ind w:firstLine="426"/>
        <w:jc w:val="both"/>
        <w:rPr>
          <w:sz w:val="22"/>
          <w:szCs w:val="22"/>
        </w:rPr>
      </w:pPr>
      <w:r w:rsidRPr="00CD45A4">
        <w:rPr>
          <w:sz w:val="22"/>
          <w:szCs w:val="22"/>
        </w:rPr>
        <w:t>Таким образом, можно сделать вывод, что преобладающим п</w:t>
      </w:r>
      <w:r w:rsidRPr="00CD45A4">
        <w:rPr>
          <w:sz w:val="22"/>
          <w:szCs w:val="22"/>
        </w:rPr>
        <w:t>о</w:t>
      </w:r>
      <w:r w:rsidRPr="00CD45A4">
        <w:rPr>
          <w:sz w:val="22"/>
          <w:szCs w:val="22"/>
        </w:rPr>
        <w:t>родами деревьев является слива и грецкий орех. Преобладающими категориями деревьев являются нулевая (деревья без признаков ослабления), она же является преобладающей из всех категорий, вторая (деревья ослабленные – сухих ветвей 25-50 %), и третья (д</w:t>
      </w:r>
      <w:r w:rsidRPr="00CD45A4">
        <w:rPr>
          <w:sz w:val="22"/>
          <w:szCs w:val="22"/>
        </w:rPr>
        <w:t>е</w:t>
      </w:r>
      <w:r w:rsidRPr="00CD45A4">
        <w:rPr>
          <w:sz w:val="22"/>
          <w:szCs w:val="22"/>
        </w:rPr>
        <w:t>ревья сильно ослабленные – сухих ветвей 50-75 %), что свидетел</w:t>
      </w:r>
      <w:r w:rsidRPr="00CD45A4">
        <w:rPr>
          <w:sz w:val="22"/>
          <w:szCs w:val="22"/>
        </w:rPr>
        <w:t>ь</w:t>
      </w:r>
      <w:r w:rsidRPr="00CD45A4">
        <w:rPr>
          <w:sz w:val="22"/>
          <w:szCs w:val="22"/>
        </w:rPr>
        <w:t>ствует об удовлетворительном состоянии деревьев, но в некоторых местах требуется вырубка старых деревьев, и посадка новых.</w:t>
      </w:r>
    </w:p>
    <w:p w:rsidR="00E5540A" w:rsidRPr="00CD45A4" w:rsidRDefault="00E5540A" w:rsidP="00812F84">
      <w:pPr>
        <w:widowControl w:val="0"/>
        <w:shd w:val="clear" w:color="auto" w:fill="FFFFFF"/>
        <w:ind w:firstLine="426"/>
        <w:jc w:val="both"/>
        <w:rPr>
          <w:sz w:val="22"/>
          <w:szCs w:val="22"/>
        </w:rPr>
      </w:pPr>
      <w:r w:rsidRPr="00CD45A4">
        <w:rPr>
          <w:sz w:val="22"/>
          <w:szCs w:val="22"/>
        </w:rPr>
        <w:t>В результате исследований, было установленно, что площадь зеленых насаждений составляет лишь 3,6 % от площади АТП, тогда как по норме для предприятий третьего класса опасности озелен</w:t>
      </w:r>
      <w:r w:rsidRPr="00CD45A4">
        <w:rPr>
          <w:sz w:val="22"/>
          <w:szCs w:val="22"/>
        </w:rPr>
        <w:t>е</w:t>
      </w:r>
      <w:r w:rsidRPr="00CD45A4">
        <w:rPr>
          <w:sz w:val="22"/>
          <w:szCs w:val="22"/>
        </w:rPr>
        <w:t>ние должно составлять 50 %. Поэтому для улучшения экологич</w:t>
      </w:r>
      <w:r w:rsidRPr="00CD45A4">
        <w:rPr>
          <w:sz w:val="22"/>
          <w:szCs w:val="22"/>
        </w:rPr>
        <w:t>е</w:t>
      </w:r>
      <w:r w:rsidRPr="00CD45A4">
        <w:rPr>
          <w:sz w:val="22"/>
          <w:szCs w:val="22"/>
        </w:rPr>
        <w:t>ского состояния необходимо провести озеленение, т.е.</w:t>
      </w:r>
      <w:r w:rsidRPr="00CD45A4">
        <w:rPr>
          <w:rFonts w:eastAsia="Calibri"/>
          <w:sz w:val="22"/>
          <w:szCs w:val="22"/>
          <w:lang w:eastAsia="en-US"/>
        </w:rPr>
        <w:t xml:space="preserve"> дополн</w:t>
      </w:r>
      <w:r w:rsidRPr="00CD45A4">
        <w:rPr>
          <w:rFonts w:eastAsia="Calibri"/>
          <w:sz w:val="22"/>
          <w:szCs w:val="22"/>
          <w:lang w:eastAsia="en-US"/>
        </w:rPr>
        <w:t>и</w:t>
      </w:r>
      <w:r w:rsidRPr="00CD45A4">
        <w:rPr>
          <w:rFonts w:eastAsia="Calibri"/>
          <w:sz w:val="22"/>
          <w:szCs w:val="22"/>
          <w:lang w:eastAsia="en-US"/>
        </w:rPr>
        <w:t>тельную посадку деревьев и кустарников.</w:t>
      </w:r>
      <w:r w:rsidRPr="00CD45A4">
        <w:rPr>
          <w:sz w:val="22"/>
          <w:szCs w:val="22"/>
        </w:rPr>
        <w:t xml:space="preserve"> Для озеленения необх</w:t>
      </w:r>
      <w:r w:rsidRPr="00CD45A4">
        <w:rPr>
          <w:sz w:val="22"/>
          <w:szCs w:val="22"/>
        </w:rPr>
        <w:t>о</w:t>
      </w:r>
      <w:r w:rsidRPr="00CD45A4">
        <w:rPr>
          <w:sz w:val="22"/>
          <w:szCs w:val="22"/>
        </w:rPr>
        <w:t>димо выбирать породы деревьев, устойчивых к газовым загрязн</w:t>
      </w:r>
      <w:r w:rsidRPr="00CD45A4">
        <w:rPr>
          <w:sz w:val="22"/>
          <w:szCs w:val="22"/>
        </w:rPr>
        <w:t>е</w:t>
      </w:r>
      <w:r w:rsidRPr="00CD45A4">
        <w:rPr>
          <w:sz w:val="22"/>
          <w:szCs w:val="22"/>
        </w:rPr>
        <w:t>ниям и пыли, а также приспособленных к уплотненным бедным почвам и плохому увлажнению.</w:t>
      </w:r>
    </w:p>
    <w:p w:rsidR="00E5540A" w:rsidRPr="00CD45A4" w:rsidRDefault="00E5540A" w:rsidP="00812F84">
      <w:pPr>
        <w:widowControl w:val="0"/>
        <w:ind w:firstLine="426"/>
        <w:jc w:val="both"/>
        <w:rPr>
          <w:sz w:val="22"/>
          <w:szCs w:val="22"/>
        </w:rPr>
      </w:pPr>
      <w:r w:rsidRPr="00CD45A4">
        <w:rPr>
          <w:sz w:val="22"/>
          <w:szCs w:val="22"/>
        </w:rPr>
        <w:t>На территории с северо-восточной стороны предлагается выс</w:t>
      </w:r>
      <w:r w:rsidRPr="00CD45A4">
        <w:rPr>
          <w:sz w:val="22"/>
          <w:szCs w:val="22"/>
        </w:rPr>
        <w:t>а</w:t>
      </w:r>
      <w:r w:rsidRPr="00CD45A4">
        <w:rPr>
          <w:sz w:val="22"/>
          <w:szCs w:val="22"/>
        </w:rPr>
        <w:t xml:space="preserve">дить совместные посадки клена полевого, клена ясенелистного, акации желтой, </w:t>
      </w:r>
      <w:proofErr w:type="gramStart"/>
      <w:r w:rsidRPr="00CD45A4">
        <w:rPr>
          <w:sz w:val="22"/>
          <w:szCs w:val="22"/>
        </w:rPr>
        <w:t>бирючины</w:t>
      </w:r>
      <w:proofErr w:type="gramEnd"/>
      <w:r w:rsidRPr="00CD45A4">
        <w:rPr>
          <w:sz w:val="22"/>
          <w:szCs w:val="22"/>
        </w:rPr>
        <w:t xml:space="preserve"> обыкновенной и сирени обыкновенной. Растения предлагается высадить в виде двурядной посадки, расст</w:t>
      </w:r>
      <w:r w:rsidRPr="00CD45A4">
        <w:rPr>
          <w:sz w:val="22"/>
          <w:szCs w:val="22"/>
        </w:rPr>
        <w:t>о</w:t>
      </w:r>
      <w:r w:rsidRPr="00CD45A4">
        <w:rPr>
          <w:sz w:val="22"/>
          <w:szCs w:val="22"/>
        </w:rPr>
        <w:t>яние между деревьями в рядах – 7 м, между кустарниками – 2 м. Расстояние между рядами 5 м [4, 9]. Перечисленные растения обл</w:t>
      </w:r>
      <w:r w:rsidRPr="00CD45A4">
        <w:rPr>
          <w:sz w:val="22"/>
          <w:szCs w:val="22"/>
        </w:rPr>
        <w:t>а</w:t>
      </w:r>
      <w:r w:rsidRPr="00CD45A4">
        <w:rPr>
          <w:sz w:val="22"/>
          <w:szCs w:val="22"/>
        </w:rPr>
        <w:t>дают устойчивостью к промышленным газам и пыли, нетребов</w:t>
      </w:r>
      <w:r w:rsidRPr="00CD45A4">
        <w:rPr>
          <w:sz w:val="22"/>
          <w:szCs w:val="22"/>
        </w:rPr>
        <w:t>а</w:t>
      </w:r>
      <w:r w:rsidRPr="00CD45A4">
        <w:rPr>
          <w:sz w:val="22"/>
          <w:szCs w:val="22"/>
        </w:rPr>
        <w:t>тельны к качеству почвы и влаге, при этом обладают декоративн</w:t>
      </w:r>
      <w:r w:rsidRPr="00CD45A4">
        <w:rPr>
          <w:sz w:val="22"/>
          <w:szCs w:val="22"/>
        </w:rPr>
        <w:t>ы</w:t>
      </w:r>
      <w:r w:rsidRPr="00CD45A4">
        <w:rPr>
          <w:sz w:val="22"/>
          <w:szCs w:val="22"/>
        </w:rPr>
        <w:t>ми качествами. Главное значения этих посадок в том, что они сн</w:t>
      </w:r>
      <w:r w:rsidRPr="00CD45A4">
        <w:rPr>
          <w:sz w:val="22"/>
          <w:szCs w:val="22"/>
        </w:rPr>
        <w:t>и</w:t>
      </w:r>
      <w:r w:rsidRPr="00CD45A4">
        <w:rPr>
          <w:sz w:val="22"/>
          <w:szCs w:val="22"/>
        </w:rPr>
        <w:t>зят поток ветра с преобладающего северо-восточного направления.</w:t>
      </w:r>
    </w:p>
    <w:p w:rsidR="00E5540A" w:rsidRPr="00CD45A4" w:rsidRDefault="00E5540A" w:rsidP="00812F84">
      <w:pPr>
        <w:widowControl w:val="0"/>
        <w:ind w:firstLine="426"/>
        <w:jc w:val="both"/>
        <w:rPr>
          <w:sz w:val="22"/>
          <w:szCs w:val="22"/>
        </w:rPr>
      </w:pPr>
      <w:r w:rsidRPr="00CD45A4">
        <w:rPr>
          <w:sz w:val="22"/>
          <w:szCs w:val="22"/>
        </w:rPr>
        <w:t>Таким образом, посадки зеленых насаждений по приоритетным направлениям движения загрязняющих веществ позволят знач</w:t>
      </w:r>
      <w:r w:rsidRPr="00CD45A4">
        <w:rPr>
          <w:sz w:val="22"/>
          <w:szCs w:val="22"/>
        </w:rPr>
        <w:t>и</w:t>
      </w:r>
      <w:r w:rsidRPr="00CD45A4">
        <w:rPr>
          <w:sz w:val="22"/>
          <w:szCs w:val="22"/>
        </w:rPr>
        <w:t>тельно снизить негативное влияние АТП на прилегающие террит</w:t>
      </w:r>
      <w:r w:rsidRPr="00CD45A4">
        <w:rPr>
          <w:sz w:val="22"/>
          <w:szCs w:val="22"/>
        </w:rPr>
        <w:t>о</w:t>
      </w:r>
      <w:r w:rsidRPr="00CD45A4">
        <w:rPr>
          <w:sz w:val="22"/>
          <w:szCs w:val="22"/>
        </w:rPr>
        <w:lastRenderedPageBreak/>
        <w:t>рии.</w:t>
      </w:r>
    </w:p>
    <w:p w:rsidR="00812F84" w:rsidRDefault="00812F84" w:rsidP="00812F84">
      <w:pPr>
        <w:widowControl w:val="0"/>
        <w:ind w:firstLine="426"/>
        <w:jc w:val="center"/>
        <w:rPr>
          <w:rFonts w:eastAsia="Calibri"/>
          <w:sz w:val="22"/>
          <w:szCs w:val="20"/>
          <w:lang w:eastAsia="en-US"/>
        </w:rPr>
      </w:pPr>
    </w:p>
    <w:p w:rsidR="00E5540A" w:rsidRPr="00CD45A4" w:rsidRDefault="00E5540A" w:rsidP="00812F84">
      <w:pPr>
        <w:widowControl w:val="0"/>
        <w:ind w:firstLine="426"/>
        <w:jc w:val="center"/>
        <w:rPr>
          <w:rFonts w:eastAsia="Calibri"/>
          <w:sz w:val="22"/>
          <w:szCs w:val="20"/>
          <w:lang w:eastAsia="en-US"/>
        </w:rPr>
      </w:pPr>
      <w:r w:rsidRPr="00CD45A4">
        <w:rPr>
          <w:rFonts w:eastAsia="Calibri"/>
          <w:sz w:val="22"/>
          <w:szCs w:val="20"/>
          <w:lang w:eastAsia="en-US"/>
        </w:rPr>
        <w:t>Список литературы</w:t>
      </w:r>
    </w:p>
    <w:p w:rsidR="00E5540A" w:rsidRPr="00CD45A4" w:rsidRDefault="00E5540A" w:rsidP="00812F84">
      <w:pPr>
        <w:widowControl w:val="0"/>
        <w:suppressAutoHyphens/>
        <w:ind w:firstLine="426"/>
        <w:jc w:val="both"/>
        <w:rPr>
          <w:rFonts w:eastAsia="Calibri"/>
          <w:sz w:val="22"/>
          <w:szCs w:val="20"/>
          <w:lang w:eastAsia="en-US"/>
        </w:rPr>
      </w:pPr>
      <w:r w:rsidRPr="00CD45A4">
        <w:rPr>
          <w:rFonts w:eastAsia="Calibri"/>
          <w:sz w:val="22"/>
          <w:szCs w:val="20"/>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Суркова – Краснодар: КубГАУ, 2016. – 80 с. </w:t>
      </w:r>
    </w:p>
    <w:p w:rsidR="00E5540A" w:rsidRPr="00CD45A4" w:rsidRDefault="00E5540A" w:rsidP="00812F84">
      <w:pPr>
        <w:widowControl w:val="0"/>
        <w:suppressAutoHyphens/>
        <w:ind w:firstLine="426"/>
        <w:jc w:val="both"/>
        <w:rPr>
          <w:sz w:val="22"/>
          <w:szCs w:val="22"/>
        </w:rPr>
      </w:pPr>
      <w:r w:rsidRPr="00CD45A4">
        <w:rPr>
          <w:rFonts w:eastAsia="Calibri"/>
          <w:sz w:val="22"/>
          <w:szCs w:val="22"/>
          <w:lang w:eastAsia="en-US"/>
        </w:rPr>
        <w:t xml:space="preserve">2. </w:t>
      </w:r>
      <w:r w:rsidRPr="00CD45A4">
        <w:rPr>
          <w:sz w:val="22"/>
          <w:szCs w:val="22"/>
        </w:rPr>
        <w:t>Стрельников, В. В. Прикладная экология / В. В. Стрельников [и др.]. – Краснодар: Изд. Дом-Юг, 2012. – 452 с.</w:t>
      </w:r>
    </w:p>
    <w:p w:rsidR="00812F84" w:rsidRDefault="00E5540A" w:rsidP="009244ED">
      <w:pPr>
        <w:widowControl w:val="0"/>
        <w:suppressAutoHyphens/>
        <w:ind w:firstLine="426"/>
        <w:jc w:val="both"/>
        <w:rPr>
          <w:rFonts w:eastAsia="Calibri"/>
          <w:color w:val="000000"/>
          <w:sz w:val="22"/>
          <w:szCs w:val="20"/>
          <w:lang w:eastAsia="en-US"/>
        </w:rPr>
      </w:pPr>
      <w:r w:rsidRPr="00CD45A4">
        <w:rPr>
          <w:rFonts w:eastAsia="Calibri"/>
          <w:color w:val="000000"/>
          <w:sz w:val="22"/>
          <w:szCs w:val="20"/>
          <w:lang w:eastAsia="en-US"/>
        </w:rPr>
        <w:t>3. Сухомлинова А. Г. Техногенные системы и экологический риск: учеб</w:t>
      </w:r>
      <w:proofErr w:type="gramStart"/>
      <w:r w:rsidRPr="00CD45A4">
        <w:rPr>
          <w:rFonts w:eastAsia="Calibri"/>
          <w:color w:val="000000"/>
          <w:sz w:val="22"/>
          <w:szCs w:val="20"/>
          <w:lang w:eastAsia="en-US"/>
        </w:rPr>
        <w:t>.-</w:t>
      </w:r>
      <w:proofErr w:type="gramEnd"/>
      <w:r w:rsidRPr="00CD45A4">
        <w:rPr>
          <w:rFonts w:eastAsia="Calibri"/>
          <w:color w:val="000000"/>
          <w:sz w:val="22"/>
          <w:szCs w:val="20"/>
          <w:lang w:eastAsia="en-US"/>
        </w:rPr>
        <w:t>метод. пособие для выполнения практических занятий для бакалавров по направлению Экология и природопользование / А. Г. Сухомлинова, В. В. Стрельников, Е. В. Суркова, Т. П. Францева. – Краснодар: КубГАУ, 2014. – 169 с.</w:t>
      </w:r>
    </w:p>
    <w:p w:rsidR="00812F84" w:rsidRDefault="00812F84">
      <w:pPr>
        <w:rPr>
          <w:rFonts w:eastAsia="Calibri"/>
          <w:color w:val="000000"/>
          <w:sz w:val="22"/>
          <w:szCs w:val="20"/>
          <w:lang w:eastAsia="en-US"/>
        </w:rPr>
      </w:pPr>
    </w:p>
    <w:p w:rsidR="00A8504F" w:rsidRDefault="00A8504F">
      <w:pPr>
        <w:rPr>
          <w:rFonts w:eastAsia="Calibri"/>
          <w:color w:val="000000"/>
          <w:sz w:val="22"/>
          <w:szCs w:val="20"/>
          <w:lang w:eastAsia="en-US"/>
        </w:rPr>
      </w:pPr>
    </w:p>
    <w:p w:rsidR="00E5540A" w:rsidRPr="00CD45A4" w:rsidRDefault="00E5540A" w:rsidP="00E5540A">
      <w:pPr>
        <w:rPr>
          <w:rFonts w:eastAsia="Calibri"/>
          <w:bCs/>
          <w:iCs/>
          <w:sz w:val="22"/>
          <w:szCs w:val="22"/>
          <w:shd w:val="clear" w:color="auto" w:fill="FFFFFF"/>
          <w:lang w:eastAsia="en-US"/>
        </w:rPr>
      </w:pPr>
      <w:proofErr w:type="gramStart"/>
      <w:r w:rsidRPr="00CD45A4">
        <w:rPr>
          <w:rFonts w:eastAsia="Calibri"/>
          <w:bCs/>
          <w:iCs/>
          <w:sz w:val="22"/>
          <w:szCs w:val="22"/>
          <w:shd w:val="clear" w:color="auto" w:fill="FFFFFF"/>
          <w:lang w:eastAsia="en-US"/>
        </w:rPr>
        <w:t>УДК 504.064:[582.681.81:581.45(470.620)</w:t>
      </w:r>
      <w:proofErr w:type="gramEnd"/>
    </w:p>
    <w:p w:rsidR="00E5540A" w:rsidRPr="00CD45A4" w:rsidRDefault="00E5540A" w:rsidP="00E5540A">
      <w:pPr>
        <w:rPr>
          <w:rFonts w:eastAsia="Calibri"/>
          <w:bCs/>
          <w:iCs/>
          <w:sz w:val="20"/>
          <w:szCs w:val="20"/>
          <w:shd w:val="clear" w:color="auto" w:fill="FFFFFF"/>
          <w:lang w:eastAsia="en-US"/>
        </w:rPr>
      </w:pPr>
    </w:p>
    <w:p w:rsidR="00E5540A" w:rsidRPr="00CD45A4" w:rsidRDefault="00E5540A" w:rsidP="00E5540A">
      <w:pPr>
        <w:jc w:val="center"/>
        <w:rPr>
          <w:rFonts w:eastAsia="Calibri"/>
          <w:b/>
          <w:bCs/>
          <w:iCs/>
          <w:sz w:val="24"/>
          <w:shd w:val="clear" w:color="auto" w:fill="FFFFFF"/>
          <w:lang w:eastAsia="en-US"/>
        </w:rPr>
      </w:pPr>
      <w:r w:rsidRPr="00CD45A4">
        <w:rPr>
          <w:rFonts w:eastAsia="Calibri"/>
          <w:b/>
          <w:bCs/>
          <w:iCs/>
          <w:sz w:val="24"/>
          <w:shd w:val="clear" w:color="auto" w:fill="FFFFFF"/>
          <w:lang w:eastAsia="en-US"/>
        </w:rPr>
        <w:t>Перспектива использования брюхоногих моллюсков рода</w:t>
      </w:r>
    </w:p>
    <w:p w:rsidR="00E5540A" w:rsidRPr="00E5540A" w:rsidRDefault="00E5540A" w:rsidP="00E5540A">
      <w:pPr>
        <w:jc w:val="center"/>
        <w:rPr>
          <w:rFonts w:eastAsia="Calibri"/>
          <w:b/>
          <w:bCs/>
          <w:iCs/>
          <w:sz w:val="24"/>
          <w:shd w:val="clear" w:color="auto" w:fill="FFFFFF"/>
          <w:lang w:val="en-US" w:eastAsia="en-US"/>
        </w:rPr>
      </w:pPr>
      <w:r w:rsidRPr="00CD45A4">
        <w:rPr>
          <w:rFonts w:eastAsia="Calibri"/>
          <w:b/>
          <w:bCs/>
          <w:i/>
          <w:iCs/>
          <w:sz w:val="24"/>
          <w:shd w:val="clear" w:color="auto" w:fill="FFFFFF"/>
          <w:lang w:val="en-US" w:eastAsia="en-US"/>
        </w:rPr>
        <w:t>Achatina</w:t>
      </w:r>
      <w:r w:rsidRPr="00E5540A">
        <w:rPr>
          <w:rFonts w:eastAsia="Calibri"/>
          <w:b/>
          <w:bCs/>
          <w:iCs/>
          <w:sz w:val="24"/>
          <w:shd w:val="clear" w:color="auto" w:fill="FFFFFF"/>
          <w:lang w:val="en-US" w:eastAsia="en-US"/>
        </w:rPr>
        <w:t xml:space="preserve"> </w:t>
      </w:r>
      <w:r w:rsidRPr="00CD45A4">
        <w:rPr>
          <w:rFonts w:eastAsia="Calibri"/>
          <w:b/>
          <w:bCs/>
          <w:iCs/>
          <w:sz w:val="24"/>
          <w:shd w:val="clear" w:color="auto" w:fill="FFFFFF"/>
          <w:lang w:eastAsia="en-US"/>
        </w:rPr>
        <w:t>в</w:t>
      </w:r>
      <w:r w:rsidRPr="00E5540A">
        <w:rPr>
          <w:rFonts w:eastAsia="Calibri"/>
          <w:b/>
          <w:bCs/>
          <w:iCs/>
          <w:sz w:val="24"/>
          <w:shd w:val="clear" w:color="auto" w:fill="FFFFFF"/>
          <w:lang w:val="en-US" w:eastAsia="en-US"/>
        </w:rPr>
        <w:t xml:space="preserve"> </w:t>
      </w:r>
      <w:r w:rsidRPr="00CD45A4">
        <w:rPr>
          <w:rFonts w:eastAsia="Calibri"/>
          <w:b/>
          <w:bCs/>
          <w:iCs/>
          <w:sz w:val="24"/>
          <w:shd w:val="clear" w:color="auto" w:fill="FFFFFF"/>
          <w:lang w:eastAsia="en-US"/>
        </w:rPr>
        <w:t>экотоксикологических</w:t>
      </w:r>
      <w:r w:rsidRPr="00E5540A">
        <w:rPr>
          <w:rFonts w:eastAsia="Calibri"/>
          <w:b/>
          <w:bCs/>
          <w:iCs/>
          <w:sz w:val="24"/>
          <w:shd w:val="clear" w:color="auto" w:fill="FFFFFF"/>
          <w:lang w:val="en-US" w:eastAsia="en-US"/>
        </w:rPr>
        <w:t xml:space="preserve"> </w:t>
      </w:r>
      <w:r w:rsidRPr="00CD45A4">
        <w:rPr>
          <w:rFonts w:eastAsia="Calibri"/>
          <w:b/>
          <w:bCs/>
          <w:iCs/>
          <w:sz w:val="24"/>
          <w:shd w:val="clear" w:color="auto" w:fill="FFFFFF"/>
          <w:lang w:eastAsia="en-US"/>
        </w:rPr>
        <w:t>экспериментах</w:t>
      </w:r>
    </w:p>
    <w:p w:rsidR="00E5540A" w:rsidRPr="00CD45A4" w:rsidRDefault="00E5540A" w:rsidP="00E5540A">
      <w:pPr>
        <w:jc w:val="center"/>
        <w:rPr>
          <w:rFonts w:eastAsia="Calibri"/>
          <w:b/>
          <w:bCs/>
          <w:iCs/>
          <w:sz w:val="24"/>
          <w:shd w:val="clear" w:color="auto" w:fill="FFFFFF"/>
          <w:lang w:val="en-US" w:eastAsia="en-US"/>
        </w:rPr>
      </w:pPr>
      <w:r w:rsidRPr="00CD45A4">
        <w:rPr>
          <w:rFonts w:eastAsia="Calibri"/>
          <w:b/>
          <w:bCs/>
          <w:iCs/>
          <w:sz w:val="24"/>
          <w:shd w:val="clear" w:color="auto" w:fill="FFFFFF"/>
          <w:lang w:val="en-US" w:eastAsia="en-US"/>
        </w:rPr>
        <w:t xml:space="preserve">The prospect of using gastropods of the genus </w:t>
      </w:r>
      <w:r w:rsidRPr="00CD45A4">
        <w:rPr>
          <w:rFonts w:eastAsia="Calibri"/>
          <w:b/>
          <w:bCs/>
          <w:i/>
          <w:iCs/>
          <w:sz w:val="24"/>
          <w:shd w:val="clear" w:color="auto" w:fill="FFFFFF"/>
          <w:lang w:val="en-US" w:eastAsia="en-US"/>
        </w:rPr>
        <w:t>Achatina</w:t>
      </w:r>
      <w:r w:rsidRPr="00CD45A4">
        <w:rPr>
          <w:rFonts w:eastAsia="Calibri"/>
          <w:b/>
          <w:bCs/>
          <w:iCs/>
          <w:sz w:val="24"/>
          <w:shd w:val="clear" w:color="auto" w:fill="FFFFFF"/>
          <w:lang w:val="en-US" w:eastAsia="en-US"/>
        </w:rPr>
        <w:t xml:space="preserve"> in </w:t>
      </w:r>
    </w:p>
    <w:p w:rsidR="00E5540A" w:rsidRPr="00CD45A4" w:rsidRDefault="00E5540A" w:rsidP="00E5540A">
      <w:pPr>
        <w:jc w:val="center"/>
        <w:rPr>
          <w:rFonts w:eastAsia="Calibri"/>
          <w:b/>
          <w:bCs/>
          <w:iCs/>
          <w:sz w:val="24"/>
          <w:shd w:val="clear" w:color="auto" w:fill="FFFFFF"/>
          <w:lang w:val="en-US" w:eastAsia="en-US"/>
        </w:rPr>
      </w:pPr>
      <w:proofErr w:type="gramStart"/>
      <w:r w:rsidRPr="00CD45A4">
        <w:rPr>
          <w:rFonts w:eastAsia="Calibri"/>
          <w:b/>
          <w:bCs/>
          <w:iCs/>
          <w:sz w:val="24"/>
          <w:shd w:val="clear" w:color="auto" w:fill="FFFFFF"/>
          <w:lang w:val="en-US" w:eastAsia="en-US"/>
        </w:rPr>
        <w:t>ecotoxicological</w:t>
      </w:r>
      <w:proofErr w:type="gramEnd"/>
      <w:r w:rsidRPr="00CD45A4">
        <w:rPr>
          <w:rFonts w:eastAsia="Calibri"/>
          <w:b/>
          <w:bCs/>
          <w:iCs/>
          <w:sz w:val="24"/>
          <w:shd w:val="clear" w:color="auto" w:fill="FFFFFF"/>
          <w:lang w:val="en-US" w:eastAsia="en-US"/>
        </w:rPr>
        <w:t xml:space="preserve"> experiments</w:t>
      </w:r>
    </w:p>
    <w:p w:rsidR="00E5540A" w:rsidRPr="00CD45A4" w:rsidRDefault="00E5540A" w:rsidP="00E5540A">
      <w:pPr>
        <w:jc w:val="right"/>
        <w:rPr>
          <w:rFonts w:eastAsia="Calibri"/>
          <w:sz w:val="22"/>
          <w:szCs w:val="22"/>
          <w:lang w:val="en-US" w:eastAsia="en-US"/>
        </w:rPr>
      </w:pPr>
    </w:p>
    <w:p w:rsidR="00E5540A" w:rsidRPr="003C00E9" w:rsidRDefault="00E5540A" w:rsidP="00E5540A">
      <w:pPr>
        <w:jc w:val="right"/>
        <w:rPr>
          <w:rFonts w:eastAsia="Calibri"/>
          <w:bCs/>
          <w:iCs/>
          <w:sz w:val="22"/>
          <w:szCs w:val="22"/>
          <w:lang w:val="en-US" w:eastAsia="en-US"/>
        </w:rPr>
      </w:pPr>
      <w:r w:rsidRPr="00CD45A4">
        <w:rPr>
          <w:rFonts w:eastAsia="Calibri"/>
          <w:bCs/>
          <w:iCs/>
          <w:sz w:val="22"/>
          <w:szCs w:val="22"/>
          <w:lang w:eastAsia="en-US"/>
        </w:rPr>
        <w:t>Савинова</w:t>
      </w:r>
      <w:r w:rsidRPr="00CD45A4">
        <w:rPr>
          <w:rFonts w:eastAsia="Calibri"/>
          <w:bCs/>
          <w:iCs/>
          <w:sz w:val="22"/>
          <w:szCs w:val="22"/>
          <w:lang w:val="en-US" w:eastAsia="en-US"/>
        </w:rPr>
        <w:t xml:space="preserve"> </w:t>
      </w:r>
      <w:r w:rsidRPr="00CD45A4">
        <w:rPr>
          <w:rFonts w:eastAsia="Calibri"/>
          <w:bCs/>
          <w:iCs/>
          <w:sz w:val="22"/>
          <w:szCs w:val="22"/>
          <w:lang w:eastAsia="en-US"/>
        </w:rPr>
        <w:t>О</w:t>
      </w:r>
      <w:r w:rsidRPr="00CD45A4">
        <w:rPr>
          <w:rFonts w:eastAsia="Calibri"/>
          <w:bCs/>
          <w:iCs/>
          <w:sz w:val="22"/>
          <w:szCs w:val="22"/>
          <w:lang w:val="en-US" w:eastAsia="en-US"/>
        </w:rPr>
        <w:t xml:space="preserve">. </w:t>
      </w:r>
      <w:r w:rsidRPr="00CD45A4">
        <w:rPr>
          <w:rFonts w:eastAsia="Calibri"/>
          <w:bCs/>
          <w:iCs/>
          <w:sz w:val="22"/>
          <w:szCs w:val="22"/>
          <w:lang w:eastAsia="en-US"/>
        </w:rPr>
        <w:t>А</w:t>
      </w:r>
      <w:r w:rsidRPr="00CD45A4">
        <w:rPr>
          <w:rFonts w:eastAsia="Calibri"/>
          <w:bCs/>
          <w:iCs/>
          <w:sz w:val="22"/>
          <w:szCs w:val="22"/>
          <w:lang w:val="en-US" w:eastAsia="en-US"/>
        </w:rPr>
        <w:t>.</w:t>
      </w:r>
      <w:r w:rsidR="00812F84" w:rsidRPr="003C00E9">
        <w:rPr>
          <w:rFonts w:eastAsia="Calibri"/>
          <w:bCs/>
          <w:iCs/>
          <w:sz w:val="22"/>
          <w:szCs w:val="22"/>
          <w:lang w:val="en-US" w:eastAsia="en-US"/>
        </w:rPr>
        <w:t>,</w:t>
      </w:r>
    </w:p>
    <w:p w:rsidR="00E5540A" w:rsidRPr="00CD45A4" w:rsidRDefault="00812F84" w:rsidP="00E5540A">
      <w:pPr>
        <w:jc w:val="right"/>
        <w:rPr>
          <w:rFonts w:eastAsia="Calibri"/>
          <w:bCs/>
          <w:iCs/>
          <w:sz w:val="22"/>
          <w:szCs w:val="22"/>
          <w:lang w:eastAsia="en-US"/>
        </w:rPr>
      </w:pPr>
      <w:r>
        <w:rPr>
          <w:rFonts w:eastAsia="Calibri"/>
          <w:bCs/>
          <w:iCs/>
          <w:sz w:val="22"/>
          <w:szCs w:val="22"/>
          <w:lang w:eastAsia="en-US"/>
        </w:rPr>
        <w:t>студентка 3-го курса</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факультета агрономии и экологии</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Хмара И. В.</w:t>
      </w:r>
      <w:r w:rsidR="00812F84">
        <w:rPr>
          <w:rFonts w:eastAsia="Calibri"/>
          <w:bCs/>
          <w:iCs/>
          <w:sz w:val="22"/>
          <w:szCs w:val="22"/>
          <w:lang w:eastAsia="en-US"/>
        </w:rPr>
        <w:t>,</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доц</w:t>
      </w:r>
      <w:r w:rsidR="00812F84">
        <w:rPr>
          <w:rFonts w:eastAsia="Calibri"/>
          <w:bCs/>
          <w:iCs/>
          <w:sz w:val="22"/>
          <w:szCs w:val="22"/>
          <w:lang w:eastAsia="en-US"/>
        </w:rPr>
        <w:t>ент кафедры прикладной экологии</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Кубанский государственный аграрный</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 xml:space="preserve"> университет имени И.</w:t>
      </w:r>
      <w:r w:rsidR="00812F84">
        <w:rPr>
          <w:rFonts w:eastAsia="Calibri"/>
          <w:bCs/>
          <w:iCs/>
          <w:sz w:val="22"/>
          <w:szCs w:val="22"/>
          <w:lang w:eastAsia="en-US"/>
        </w:rPr>
        <w:t xml:space="preserve"> </w:t>
      </w:r>
      <w:r w:rsidRPr="00CD45A4">
        <w:rPr>
          <w:rFonts w:eastAsia="Calibri"/>
          <w:bCs/>
          <w:iCs/>
          <w:sz w:val="22"/>
          <w:szCs w:val="22"/>
          <w:lang w:eastAsia="en-US"/>
        </w:rPr>
        <w:t>Т. Трубилина</w:t>
      </w:r>
    </w:p>
    <w:p w:rsidR="00E5540A" w:rsidRPr="00CD45A4" w:rsidRDefault="00E5540A" w:rsidP="00E5540A">
      <w:pPr>
        <w:jc w:val="center"/>
        <w:rPr>
          <w:rFonts w:eastAsia="Calibri"/>
          <w:bCs/>
          <w:i/>
          <w:iCs/>
          <w:sz w:val="22"/>
          <w:szCs w:val="22"/>
          <w:lang w:eastAsia="en-US"/>
        </w:rPr>
      </w:pPr>
    </w:p>
    <w:p w:rsidR="00E5540A" w:rsidRPr="00CD45A4" w:rsidRDefault="00E5540A" w:rsidP="00812F84">
      <w:pPr>
        <w:ind w:firstLine="426"/>
        <w:jc w:val="both"/>
        <w:rPr>
          <w:rFonts w:eastAsia="Calibri"/>
          <w:sz w:val="22"/>
          <w:szCs w:val="22"/>
          <w:lang w:eastAsia="en-US"/>
        </w:rPr>
      </w:pPr>
      <w:r w:rsidRPr="00CD45A4">
        <w:rPr>
          <w:rFonts w:eastAsia="Calibri"/>
          <w:caps/>
          <w:sz w:val="22"/>
          <w:szCs w:val="22"/>
          <w:lang w:eastAsia="en-US"/>
        </w:rPr>
        <w:t>Аннотация</w:t>
      </w:r>
      <w:r w:rsidRPr="00CD45A4">
        <w:rPr>
          <w:rFonts w:eastAsia="Calibri"/>
          <w:sz w:val="22"/>
          <w:szCs w:val="22"/>
          <w:lang w:eastAsia="en-US"/>
        </w:rPr>
        <w:t>: Существует проблема недостаточной изуче</w:t>
      </w:r>
      <w:r w:rsidRPr="00CD45A4">
        <w:rPr>
          <w:rFonts w:eastAsia="Calibri"/>
          <w:sz w:val="22"/>
          <w:szCs w:val="22"/>
          <w:lang w:eastAsia="en-US"/>
        </w:rPr>
        <w:t>н</w:t>
      </w:r>
      <w:r w:rsidRPr="00CD45A4">
        <w:rPr>
          <w:rFonts w:eastAsia="Calibri"/>
          <w:sz w:val="22"/>
          <w:szCs w:val="22"/>
          <w:lang w:eastAsia="en-US"/>
        </w:rPr>
        <w:t>ности особенностей хронической интоксикации, вызванной со</w:t>
      </w:r>
      <w:r w:rsidRPr="00CD45A4">
        <w:rPr>
          <w:rFonts w:eastAsia="Calibri"/>
          <w:sz w:val="22"/>
          <w:szCs w:val="22"/>
          <w:lang w:eastAsia="en-US"/>
        </w:rPr>
        <w:t>в</w:t>
      </w:r>
      <w:r w:rsidRPr="00CD45A4">
        <w:rPr>
          <w:rFonts w:eastAsia="Calibri"/>
          <w:sz w:val="22"/>
          <w:szCs w:val="22"/>
          <w:lang w:eastAsia="en-US"/>
        </w:rPr>
        <w:t>местным поступлением в организм разных видов токсических в</w:t>
      </w:r>
      <w:r w:rsidRPr="00CD45A4">
        <w:rPr>
          <w:rFonts w:eastAsia="Calibri"/>
          <w:sz w:val="22"/>
          <w:szCs w:val="22"/>
          <w:lang w:eastAsia="en-US"/>
        </w:rPr>
        <w:t>е</w:t>
      </w:r>
      <w:r w:rsidRPr="00CD45A4">
        <w:rPr>
          <w:rFonts w:eastAsia="Calibri"/>
          <w:sz w:val="22"/>
          <w:szCs w:val="22"/>
          <w:lang w:eastAsia="en-US"/>
        </w:rPr>
        <w:t xml:space="preserve">ществ. Предлагается использование в качестве </w:t>
      </w:r>
      <w:proofErr w:type="gramStart"/>
      <w:r w:rsidRPr="00CD45A4">
        <w:rPr>
          <w:rFonts w:eastAsia="Calibri"/>
          <w:sz w:val="22"/>
          <w:szCs w:val="22"/>
          <w:lang w:eastAsia="en-US"/>
        </w:rPr>
        <w:t>тест-объекта</w:t>
      </w:r>
      <w:proofErr w:type="gramEnd"/>
      <w:r w:rsidRPr="00CD45A4">
        <w:rPr>
          <w:rFonts w:eastAsia="Calibri"/>
          <w:sz w:val="22"/>
          <w:szCs w:val="22"/>
          <w:lang w:eastAsia="en-US"/>
        </w:rPr>
        <w:t xml:space="preserve"> брюх</w:t>
      </w:r>
      <w:r w:rsidRPr="00CD45A4">
        <w:rPr>
          <w:rFonts w:eastAsia="Calibri"/>
          <w:sz w:val="22"/>
          <w:szCs w:val="22"/>
          <w:lang w:eastAsia="en-US"/>
        </w:rPr>
        <w:t>о</w:t>
      </w:r>
      <w:r w:rsidRPr="00CD45A4">
        <w:rPr>
          <w:rFonts w:eastAsia="Calibri"/>
          <w:sz w:val="22"/>
          <w:szCs w:val="22"/>
          <w:lang w:eastAsia="en-US"/>
        </w:rPr>
        <w:t xml:space="preserve">ногих моллюсков рода </w:t>
      </w:r>
      <w:r w:rsidRPr="00CD45A4">
        <w:rPr>
          <w:rFonts w:eastAsia="Calibri"/>
          <w:i/>
          <w:sz w:val="22"/>
          <w:szCs w:val="22"/>
          <w:lang w:eastAsia="en-US"/>
        </w:rPr>
        <w:t>Achatina</w:t>
      </w:r>
      <w:r w:rsidRPr="00CD45A4">
        <w:rPr>
          <w:rFonts w:eastAsia="Calibri"/>
          <w:i/>
          <w:iCs/>
          <w:sz w:val="22"/>
          <w:szCs w:val="22"/>
          <w:lang w:eastAsia="en-US"/>
        </w:rPr>
        <w:t>.</w:t>
      </w:r>
    </w:p>
    <w:p w:rsidR="00E5540A" w:rsidRPr="00CD45A4" w:rsidRDefault="00E5540A" w:rsidP="00812F84">
      <w:pPr>
        <w:ind w:firstLine="426"/>
        <w:jc w:val="both"/>
        <w:rPr>
          <w:rFonts w:eastAsia="Calibri"/>
          <w:sz w:val="22"/>
          <w:szCs w:val="22"/>
          <w:lang w:val="en-US" w:eastAsia="en-US"/>
        </w:rPr>
      </w:pPr>
      <w:r w:rsidRPr="00CD45A4">
        <w:rPr>
          <w:rFonts w:eastAsia="Calibri"/>
          <w:sz w:val="22"/>
          <w:szCs w:val="22"/>
          <w:lang w:val="en-US" w:eastAsia="en-US"/>
        </w:rPr>
        <w:lastRenderedPageBreak/>
        <w:t>ABSTRACT: There is a problem of insufficient knowledge of the features of chronic intoxication, caused by the joint intake of various types of toxic substances into the body. The use of gastropods of the g</w:t>
      </w:r>
      <w:r w:rsidRPr="00CD45A4">
        <w:rPr>
          <w:rFonts w:eastAsia="Calibri"/>
          <w:sz w:val="22"/>
          <w:szCs w:val="22"/>
          <w:lang w:val="en-US" w:eastAsia="en-US"/>
        </w:rPr>
        <w:t>e</w:t>
      </w:r>
      <w:r w:rsidRPr="00CD45A4">
        <w:rPr>
          <w:rFonts w:eastAsia="Calibri"/>
          <w:sz w:val="22"/>
          <w:szCs w:val="22"/>
          <w:lang w:val="en-US" w:eastAsia="en-US"/>
        </w:rPr>
        <w:t>nus Achatina is suggested as a test-object.</w:t>
      </w:r>
    </w:p>
    <w:p w:rsidR="00E5540A" w:rsidRPr="00CD45A4" w:rsidRDefault="00E5540A" w:rsidP="00812F84">
      <w:pPr>
        <w:ind w:firstLine="426"/>
        <w:jc w:val="both"/>
        <w:rPr>
          <w:rFonts w:eastAsia="Calibri"/>
          <w:sz w:val="22"/>
          <w:szCs w:val="22"/>
          <w:lang w:eastAsia="en-US"/>
        </w:rPr>
      </w:pPr>
      <w:r w:rsidRPr="00CD45A4">
        <w:rPr>
          <w:rFonts w:eastAsia="Calibri"/>
          <w:caps/>
          <w:sz w:val="22"/>
          <w:szCs w:val="22"/>
          <w:lang w:eastAsia="en-US"/>
        </w:rPr>
        <w:t xml:space="preserve">Ключевые слова: </w:t>
      </w:r>
      <w:r w:rsidRPr="00CD45A4">
        <w:rPr>
          <w:rFonts w:eastAsia="Calibri"/>
          <w:sz w:val="22"/>
          <w:szCs w:val="22"/>
          <w:lang w:eastAsia="en-US"/>
        </w:rPr>
        <w:t>брюхоногий моллюск, тест-объект, эк</w:t>
      </w:r>
      <w:r w:rsidRPr="00CD45A4">
        <w:rPr>
          <w:rFonts w:eastAsia="Calibri"/>
          <w:sz w:val="22"/>
          <w:szCs w:val="22"/>
          <w:lang w:eastAsia="en-US"/>
        </w:rPr>
        <w:t>о</w:t>
      </w:r>
      <w:r w:rsidRPr="00CD45A4">
        <w:rPr>
          <w:rFonts w:eastAsia="Calibri"/>
          <w:sz w:val="22"/>
          <w:szCs w:val="22"/>
          <w:lang w:eastAsia="en-US"/>
        </w:rPr>
        <w:t xml:space="preserve">токсикология, синергия, </w:t>
      </w:r>
      <w:r w:rsidRPr="00CD45A4">
        <w:rPr>
          <w:rFonts w:eastAsia="Calibri"/>
          <w:i/>
          <w:sz w:val="22"/>
          <w:szCs w:val="22"/>
          <w:lang w:eastAsia="en-US"/>
        </w:rPr>
        <w:t>Achatina.</w:t>
      </w:r>
    </w:p>
    <w:p w:rsidR="00E5540A" w:rsidRPr="00CD45A4" w:rsidRDefault="00E5540A" w:rsidP="00812F84">
      <w:pPr>
        <w:ind w:firstLine="426"/>
        <w:jc w:val="both"/>
        <w:rPr>
          <w:rFonts w:eastAsia="Calibri"/>
          <w:sz w:val="22"/>
          <w:szCs w:val="22"/>
          <w:lang w:val="en-US" w:eastAsia="en-US"/>
        </w:rPr>
      </w:pPr>
      <w:r w:rsidRPr="00CD45A4">
        <w:rPr>
          <w:rFonts w:eastAsia="Calibri"/>
          <w:sz w:val="22"/>
          <w:szCs w:val="22"/>
          <w:lang w:val="en-US" w:eastAsia="en-US"/>
        </w:rPr>
        <w:t>KEYWORDS: gastropod mollusk, test-object, ecotoxicology, sy</w:t>
      </w:r>
      <w:r w:rsidRPr="00CD45A4">
        <w:rPr>
          <w:rFonts w:eastAsia="Calibri"/>
          <w:sz w:val="22"/>
          <w:szCs w:val="22"/>
          <w:lang w:val="en-US" w:eastAsia="en-US"/>
        </w:rPr>
        <w:t>n</w:t>
      </w:r>
      <w:r w:rsidRPr="00CD45A4">
        <w:rPr>
          <w:rFonts w:eastAsia="Calibri"/>
          <w:sz w:val="22"/>
          <w:szCs w:val="22"/>
          <w:lang w:val="en-US" w:eastAsia="en-US"/>
        </w:rPr>
        <w:t xml:space="preserve">ergy, </w:t>
      </w:r>
      <w:r w:rsidRPr="00CD45A4">
        <w:rPr>
          <w:rFonts w:eastAsia="Calibri"/>
          <w:i/>
          <w:sz w:val="22"/>
          <w:szCs w:val="22"/>
          <w:lang w:val="en-US" w:eastAsia="en-US"/>
        </w:rPr>
        <w:t>Achatina.</w:t>
      </w:r>
    </w:p>
    <w:p w:rsidR="00E5540A" w:rsidRPr="00CD45A4" w:rsidRDefault="00E5540A" w:rsidP="00812F84">
      <w:pPr>
        <w:ind w:firstLine="426"/>
        <w:jc w:val="both"/>
        <w:rPr>
          <w:rFonts w:eastAsia="Calibri"/>
          <w:sz w:val="22"/>
          <w:szCs w:val="22"/>
          <w:lang w:val="en-US" w:eastAsia="en-US"/>
        </w:rPr>
      </w:pPr>
    </w:p>
    <w:p w:rsidR="00E5540A" w:rsidRPr="00CD45A4" w:rsidRDefault="00E5540A" w:rsidP="00812F84">
      <w:pPr>
        <w:tabs>
          <w:tab w:val="left" w:pos="4971"/>
        </w:tabs>
        <w:ind w:firstLine="426"/>
        <w:jc w:val="both"/>
        <w:rPr>
          <w:rFonts w:eastAsia="Calibri"/>
          <w:sz w:val="22"/>
          <w:szCs w:val="22"/>
          <w:lang w:eastAsia="en-US"/>
        </w:rPr>
      </w:pPr>
      <w:r w:rsidRPr="00CD45A4">
        <w:rPr>
          <w:rFonts w:eastAsia="Calibri"/>
          <w:sz w:val="22"/>
          <w:szCs w:val="22"/>
          <w:lang w:eastAsia="en-US"/>
        </w:rPr>
        <w:t>Производство экологически безопасной продукции – одно из приоритетных направлений современной пищевой промышленн</w:t>
      </w:r>
      <w:r w:rsidRPr="00CD45A4">
        <w:rPr>
          <w:rFonts w:eastAsia="Calibri"/>
          <w:sz w:val="22"/>
          <w:szCs w:val="22"/>
          <w:lang w:eastAsia="en-US"/>
        </w:rPr>
        <w:t>о</w:t>
      </w:r>
      <w:r w:rsidRPr="00CD45A4">
        <w:rPr>
          <w:rFonts w:eastAsia="Calibri"/>
          <w:sz w:val="22"/>
          <w:szCs w:val="22"/>
          <w:lang w:eastAsia="en-US"/>
        </w:rPr>
        <w:t>сти. Однако, современная экологическая ситуация не исключает загрязнение исходных компонентов продуктов токсичными соед</w:t>
      </w:r>
      <w:r w:rsidRPr="00CD45A4">
        <w:rPr>
          <w:rFonts w:eastAsia="Calibri"/>
          <w:sz w:val="22"/>
          <w:szCs w:val="22"/>
          <w:lang w:eastAsia="en-US"/>
        </w:rPr>
        <w:t>и</w:t>
      </w:r>
      <w:r w:rsidRPr="00CD45A4">
        <w:rPr>
          <w:rFonts w:eastAsia="Calibri"/>
          <w:sz w:val="22"/>
          <w:szCs w:val="22"/>
          <w:lang w:eastAsia="en-US"/>
        </w:rPr>
        <w:t>нениями техногенного или естественного происхождения. Прим</w:t>
      </w:r>
      <w:r w:rsidRPr="00CD45A4">
        <w:rPr>
          <w:rFonts w:eastAsia="Calibri"/>
          <w:sz w:val="22"/>
          <w:szCs w:val="22"/>
          <w:lang w:eastAsia="en-US"/>
        </w:rPr>
        <w:t>е</w:t>
      </w:r>
      <w:r w:rsidRPr="00CD45A4">
        <w:rPr>
          <w:rFonts w:eastAsia="Calibri"/>
          <w:sz w:val="22"/>
          <w:szCs w:val="22"/>
          <w:lang w:eastAsia="en-US"/>
        </w:rPr>
        <w:t>нительно к сельскохозяйственному производству потенциальную угрозу представляет контаминация растениеводческой продукции токсическими веществами, передающимися по пищевым цепям. В этом отношении наиболее актуальны вопросы, связанные с загря</w:t>
      </w:r>
      <w:r w:rsidRPr="00CD45A4">
        <w:rPr>
          <w:rFonts w:eastAsia="Calibri"/>
          <w:sz w:val="22"/>
          <w:szCs w:val="22"/>
          <w:lang w:eastAsia="en-US"/>
        </w:rPr>
        <w:t>з</w:t>
      </w:r>
      <w:r w:rsidRPr="00CD45A4">
        <w:rPr>
          <w:rFonts w:eastAsia="Calibri"/>
          <w:sz w:val="22"/>
          <w:szCs w:val="22"/>
          <w:lang w:eastAsia="en-US"/>
        </w:rPr>
        <w:t>нением сельскохозяйственной продукции пестицидами, тяжелыми металлами и микотоксинами [1, 4]. Практически все они могут пр</w:t>
      </w:r>
      <w:r w:rsidRPr="00CD45A4">
        <w:rPr>
          <w:rFonts w:eastAsia="Calibri"/>
          <w:sz w:val="22"/>
          <w:szCs w:val="22"/>
          <w:lang w:eastAsia="en-US"/>
        </w:rPr>
        <w:t>и</w:t>
      </w:r>
      <w:r w:rsidRPr="00CD45A4">
        <w:rPr>
          <w:rFonts w:eastAsia="Calibri"/>
          <w:sz w:val="22"/>
          <w:szCs w:val="22"/>
          <w:lang w:eastAsia="en-US"/>
        </w:rPr>
        <w:t>водить к угнетению иммунной системы организма, нарушениям в системе крови, репродуктивной функции и другим негативным п</w:t>
      </w:r>
      <w:r w:rsidRPr="00CD45A4">
        <w:rPr>
          <w:rFonts w:eastAsia="Calibri"/>
          <w:sz w:val="22"/>
          <w:szCs w:val="22"/>
          <w:lang w:eastAsia="en-US"/>
        </w:rPr>
        <w:t>о</w:t>
      </w:r>
      <w:r w:rsidRPr="00CD45A4">
        <w:rPr>
          <w:rFonts w:eastAsia="Calibri"/>
          <w:sz w:val="22"/>
          <w:szCs w:val="22"/>
          <w:lang w:eastAsia="en-US"/>
        </w:rPr>
        <w:t>следствиям. Некоторые вещества этих групп оказывают выраже</w:t>
      </w:r>
      <w:r w:rsidRPr="00CD45A4">
        <w:rPr>
          <w:rFonts w:eastAsia="Calibri"/>
          <w:sz w:val="22"/>
          <w:szCs w:val="22"/>
          <w:lang w:eastAsia="en-US"/>
        </w:rPr>
        <w:t>н</w:t>
      </w:r>
      <w:r w:rsidRPr="00CD45A4">
        <w:rPr>
          <w:rFonts w:eastAsia="Calibri"/>
          <w:sz w:val="22"/>
          <w:szCs w:val="22"/>
          <w:lang w:eastAsia="en-US"/>
        </w:rPr>
        <w:t>ное нейротоксическое, канцерогенное, тератогенное, гонадотокс</w:t>
      </w:r>
      <w:r w:rsidRPr="00CD45A4">
        <w:rPr>
          <w:rFonts w:eastAsia="Calibri"/>
          <w:sz w:val="22"/>
          <w:szCs w:val="22"/>
          <w:lang w:eastAsia="en-US"/>
        </w:rPr>
        <w:t>и</w:t>
      </w:r>
      <w:r w:rsidRPr="00CD45A4">
        <w:rPr>
          <w:rFonts w:eastAsia="Calibri"/>
          <w:sz w:val="22"/>
          <w:szCs w:val="22"/>
          <w:lang w:eastAsia="en-US"/>
        </w:rPr>
        <w:t>ческое и эмбриотоксическое действие.</w:t>
      </w:r>
    </w:p>
    <w:p w:rsidR="00E5540A" w:rsidRPr="00CD45A4" w:rsidRDefault="00E5540A" w:rsidP="00812F84">
      <w:pPr>
        <w:tabs>
          <w:tab w:val="left" w:pos="4971"/>
        </w:tabs>
        <w:ind w:firstLine="426"/>
        <w:jc w:val="both"/>
        <w:rPr>
          <w:rFonts w:eastAsia="Calibri"/>
          <w:sz w:val="22"/>
          <w:szCs w:val="22"/>
          <w:lang w:eastAsia="en-US"/>
        </w:rPr>
      </w:pPr>
      <w:r w:rsidRPr="00CD45A4">
        <w:rPr>
          <w:rFonts w:eastAsia="Calibri"/>
          <w:sz w:val="22"/>
          <w:szCs w:val="22"/>
          <w:lang w:eastAsia="en-US"/>
        </w:rPr>
        <w:t>Выраженность тех или иных токсических эффектов зависит как от свойств токсиканта и его дозо-временных характеристик возде</w:t>
      </w:r>
      <w:r w:rsidRPr="00CD45A4">
        <w:rPr>
          <w:rFonts w:eastAsia="Calibri"/>
          <w:sz w:val="22"/>
          <w:szCs w:val="22"/>
          <w:lang w:eastAsia="en-US"/>
        </w:rPr>
        <w:t>й</w:t>
      </w:r>
      <w:r w:rsidRPr="00CD45A4">
        <w:rPr>
          <w:rFonts w:eastAsia="Calibri"/>
          <w:sz w:val="22"/>
          <w:szCs w:val="22"/>
          <w:lang w:eastAsia="en-US"/>
        </w:rPr>
        <w:t>ствия, так и от ряда факторов прямо или косвенно влияющих на н</w:t>
      </w:r>
      <w:r w:rsidRPr="00CD45A4">
        <w:rPr>
          <w:rFonts w:eastAsia="Calibri"/>
          <w:sz w:val="22"/>
          <w:szCs w:val="22"/>
          <w:lang w:eastAsia="en-US"/>
        </w:rPr>
        <w:t>е</w:t>
      </w:r>
      <w:r w:rsidRPr="00CD45A4">
        <w:rPr>
          <w:rFonts w:eastAsia="Calibri"/>
          <w:sz w:val="22"/>
          <w:szCs w:val="22"/>
          <w:lang w:eastAsia="en-US"/>
        </w:rPr>
        <w:t>специфическую резистентность организма-мишени. Уровень опа</w:t>
      </w:r>
      <w:r w:rsidRPr="00CD45A4">
        <w:rPr>
          <w:rFonts w:eastAsia="Calibri"/>
          <w:sz w:val="22"/>
          <w:szCs w:val="22"/>
          <w:lang w:eastAsia="en-US"/>
        </w:rPr>
        <w:t>с</w:t>
      </w:r>
      <w:r w:rsidRPr="00CD45A4">
        <w:rPr>
          <w:rFonts w:eastAsia="Calibri"/>
          <w:sz w:val="22"/>
          <w:szCs w:val="22"/>
          <w:lang w:eastAsia="en-US"/>
        </w:rPr>
        <w:t>ности возрастает при одновременном поступлении в организм двух и более токсических веществ. Такое явление в естественных усл</w:t>
      </w:r>
      <w:r w:rsidRPr="00CD45A4">
        <w:rPr>
          <w:rFonts w:eastAsia="Calibri"/>
          <w:sz w:val="22"/>
          <w:szCs w:val="22"/>
          <w:lang w:eastAsia="en-US"/>
        </w:rPr>
        <w:t>о</w:t>
      </w:r>
      <w:r w:rsidRPr="00CD45A4">
        <w:rPr>
          <w:rFonts w:eastAsia="Calibri"/>
          <w:sz w:val="22"/>
          <w:szCs w:val="22"/>
          <w:lang w:eastAsia="en-US"/>
        </w:rPr>
        <w:t>виях более вероятно. Кроме того, возможны синергические эффе</w:t>
      </w:r>
      <w:r w:rsidRPr="00CD45A4">
        <w:rPr>
          <w:rFonts w:eastAsia="Calibri"/>
          <w:sz w:val="22"/>
          <w:szCs w:val="22"/>
          <w:lang w:eastAsia="en-US"/>
        </w:rPr>
        <w:t>к</w:t>
      </w:r>
      <w:r w:rsidRPr="00CD45A4">
        <w:rPr>
          <w:rFonts w:eastAsia="Calibri"/>
          <w:sz w:val="22"/>
          <w:szCs w:val="22"/>
          <w:lang w:eastAsia="en-US"/>
        </w:rPr>
        <w:t xml:space="preserve">ты действия токсикантов, когда их совместное токсическое влияние резко усиливается. Поэтому, несмотря на </w:t>
      </w:r>
      <w:proofErr w:type="gramStart"/>
      <w:r w:rsidRPr="00CD45A4">
        <w:rPr>
          <w:rFonts w:eastAsia="Calibri"/>
          <w:sz w:val="22"/>
          <w:szCs w:val="22"/>
          <w:lang w:eastAsia="en-US"/>
        </w:rPr>
        <w:t>довольно исчерпывающие</w:t>
      </w:r>
      <w:proofErr w:type="gramEnd"/>
      <w:r w:rsidRPr="00CD45A4">
        <w:rPr>
          <w:rFonts w:eastAsia="Calibri"/>
          <w:sz w:val="22"/>
          <w:szCs w:val="22"/>
          <w:lang w:eastAsia="en-US"/>
        </w:rPr>
        <w:t xml:space="preserve"> токсикологические характеристики наиболее распространенных кантаминантов сельскохозяйственной продукции прогнозировать последствия их сочетанного поступления в организм млекопита</w:t>
      </w:r>
      <w:r w:rsidRPr="00CD45A4">
        <w:rPr>
          <w:rFonts w:eastAsia="Calibri"/>
          <w:sz w:val="22"/>
          <w:szCs w:val="22"/>
          <w:lang w:eastAsia="en-US"/>
        </w:rPr>
        <w:t>ю</w:t>
      </w:r>
      <w:r w:rsidRPr="00CD45A4">
        <w:rPr>
          <w:rFonts w:eastAsia="Calibri"/>
          <w:sz w:val="22"/>
          <w:szCs w:val="22"/>
          <w:lang w:eastAsia="en-US"/>
        </w:rPr>
        <w:t>щих, включая человека практически невозможно [2].</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lastRenderedPageBreak/>
        <w:t>В настоящее время в научной литературе достаточно широко освещены вопросы токсикологии, диагностики и профилактики наиболее актуальных токсикозов. Однако, на практике в отличие от экспериментальных токсикологических исследований острые теч</w:t>
      </w:r>
      <w:r w:rsidRPr="00CD45A4">
        <w:rPr>
          <w:rFonts w:eastAsia="Calibri"/>
          <w:sz w:val="22"/>
          <w:szCs w:val="22"/>
          <w:lang w:eastAsia="en-US"/>
        </w:rPr>
        <w:t>е</w:t>
      </w:r>
      <w:r w:rsidRPr="00CD45A4">
        <w:rPr>
          <w:rFonts w:eastAsia="Calibri"/>
          <w:sz w:val="22"/>
          <w:szCs w:val="22"/>
          <w:lang w:eastAsia="en-US"/>
        </w:rPr>
        <w:t>ния отдельных «чистых» отравлений встречаются редко, как прав</w:t>
      </w:r>
      <w:r w:rsidRPr="00CD45A4">
        <w:rPr>
          <w:rFonts w:eastAsia="Calibri"/>
          <w:sz w:val="22"/>
          <w:szCs w:val="22"/>
          <w:lang w:eastAsia="en-US"/>
        </w:rPr>
        <w:t>и</w:t>
      </w:r>
      <w:r w:rsidRPr="00CD45A4">
        <w:rPr>
          <w:rFonts w:eastAsia="Calibri"/>
          <w:sz w:val="22"/>
          <w:szCs w:val="22"/>
          <w:lang w:eastAsia="en-US"/>
        </w:rPr>
        <w:t>ло, отмечаются хронические интоксикации, вызываемые длител</w:t>
      </w:r>
      <w:r w:rsidRPr="00CD45A4">
        <w:rPr>
          <w:rFonts w:eastAsia="Calibri"/>
          <w:sz w:val="22"/>
          <w:szCs w:val="22"/>
          <w:lang w:eastAsia="en-US"/>
        </w:rPr>
        <w:t>ь</w:t>
      </w:r>
      <w:r w:rsidRPr="00CD45A4">
        <w:rPr>
          <w:rFonts w:eastAsia="Calibri"/>
          <w:sz w:val="22"/>
          <w:szCs w:val="22"/>
          <w:lang w:eastAsia="en-US"/>
        </w:rPr>
        <w:t>ным поступлением в организм малых доз токсических веществ. Кроме этого мало изученными остаются интоксикации, возника</w:t>
      </w:r>
      <w:r w:rsidRPr="00CD45A4">
        <w:rPr>
          <w:rFonts w:eastAsia="Calibri"/>
          <w:sz w:val="22"/>
          <w:szCs w:val="22"/>
          <w:lang w:eastAsia="en-US"/>
        </w:rPr>
        <w:t>ю</w:t>
      </w:r>
      <w:r w:rsidRPr="00CD45A4">
        <w:rPr>
          <w:rFonts w:eastAsia="Calibri"/>
          <w:sz w:val="22"/>
          <w:szCs w:val="22"/>
          <w:lang w:eastAsia="en-US"/>
        </w:rPr>
        <w:t>щие при поступлении в организм одновременно нескольких токс</w:t>
      </w:r>
      <w:r w:rsidRPr="00CD45A4">
        <w:rPr>
          <w:rFonts w:eastAsia="Calibri"/>
          <w:sz w:val="22"/>
          <w:szCs w:val="22"/>
          <w:lang w:eastAsia="en-US"/>
        </w:rPr>
        <w:t>и</w:t>
      </w:r>
      <w:r w:rsidRPr="00CD45A4">
        <w:rPr>
          <w:rFonts w:eastAsia="Calibri"/>
          <w:sz w:val="22"/>
          <w:szCs w:val="22"/>
          <w:lang w:eastAsia="en-US"/>
        </w:rPr>
        <w:t>ческих веществ. Основным фактором, сдерживающим исследования в этих направлениях являются высокие экономические затраты н</w:t>
      </w:r>
      <w:r w:rsidRPr="00CD45A4">
        <w:rPr>
          <w:rFonts w:eastAsia="Calibri"/>
          <w:sz w:val="22"/>
          <w:szCs w:val="22"/>
          <w:lang w:eastAsia="en-US"/>
        </w:rPr>
        <w:t>е</w:t>
      </w:r>
      <w:r w:rsidRPr="00CD45A4">
        <w:rPr>
          <w:rFonts w:eastAsia="Calibri"/>
          <w:sz w:val="22"/>
          <w:szCs w:val="22"/>
          <w:lang w:eastAsia="en-US"/>
        </w:rPr>
        <w:t>обходимые для проведения экспериментов на животных, как в пр</w:t>
      </w:r>
      <w:r w:rsidRPr="00CD45A4">
        <w:rPr>
          <w:rFonts w:eastAsia="Calibri"/>
          <w:sz w:val="22"/>
          <w:szCs w:val="22"/>
          <w:lang w:eastAsia="en-US"/>
        </w:rPr>
        <w:t>о</w:t>
      </w:r>
      <w:r w:rsidRPr="00CD45A4">
        <w:rPr>
          <w:rFonts w:eastAsia="Calibri"/>
          <w:sz w:val="22"/>
          <w:szCs w:val="22"/>
          <w:lang w:eastAsia="en-US"/>
        </w:rPr>
        <w:t>изводственных, так и в лабораторных условиях.</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t>С учетом изложенного несомненный теоретический и практ</w:t>
      </w:r>
      <w:r w:rsidRPr="00CD45A4">
        <w:rPr>
          <w:rFonts w:eastAsia="Calibri"/>
          <w:sz w:val="22"/>
          <w:szCs w:val="22"/>
          <w:lang w:eastAsia="en-US"/>
        </w:rPr>
        <w:t>и</w:t>
      </w:r>
      <w:r w:rsidRPr="00CD45A4">
        <w:rPr>
          <w:rFonts w:eastAsia="Calibri"/>
          <w:sz w:val="22"/>
          <w:szCs w:val="22"/>
          <w:lang w:eastAsia="en-US"/>
        </w:rPr>
        <w:t>ческий интерес представляет перспектива использования в качестве модельного организма в экотоксикологических исследованиях бр</w:t>
      </w:r>
      <w:r w:rsidRPr="00CD45A4">
        <w:rPr>
          <w:rFonts w:eastAsia="Calibri"/>
          <w:sz w:val="22"/>
          <w:szCs w:val="22"/>
          <w:lang w:eastAsia="en-US"/>
        </w:rPr>
        <w:t>ю</w:t>
      </w:r>
      <w:r w:rsidRPr="00CD45A4">
        <w:rPr>
          <w:rFonts w:eastAsia="Calibri"/>
          <w:sz w:val="22"/>
          <w:szCs w:val="22"/>
          <w:lang w:eastAsia="en-US"/>
        </w:rPr>
        <w:t xml:space="preserve">хоногих моллюсков рода </w:t>
      </w:r>
      <w:r w:rsidRPr="00CD45A4">
        <w:rPr>
          <w:rFonts w:eastAsia="Calibri"/>
          <w:i/>
          <w:sz w:val="22"/>
          <w:szCs w:val="22"/>
          <w:lang w:eastAsia="en-US"/>
        </w:rPr>
        <w:t>Achatina</w:t>
      </w:r>
      <w:r w:rsidRPr="00CD45A4">
        <w:rPr>
          <w:rFonts w:eastAsia="Calibri"/>
          <w:sz w:val="22"/>
          <w:szCs w:val="22"/>
          <w:lang w:eastAsia="en-US"/>
        </w:rPr>
        <w:t xml:space="preserve">, полностью соответствующих основным требованиям, предъявляемым к </w:t>
      </w:r>
      <w:proofErr w:type="gramStart"/>
      <w:r w:rsidRPr="00CD45A4">
        <w:rPr>
          <w:rFonts w:eastAsia="Calibri"/>
          <w:sz w:val="22"/>
          <w:szCs w:val="22"/>
          <w:lang w:eastAsia="en-US"/>
        </w:rPr>
        <w:t>тест-объектам</w:t>
      </w:r>
      <w:proofErr w:type="gramEnd"/>
      <w:r w:rsidRPr="00CD45A4">
        <w:rPr>
          <w:rFonts w:eastAsia="Calibri"/>
          <w:sz w:val="22"/>
          <w:szCs w:val="22"/>
          <w:lang w:eastAsia="en-US"/>
        </w:rPr>
        <w:t>, использ</w:t>
      </w:r>
      <w:r w:rsidRPr="00CD45A4">
        <w:rPr>
          <w:rFonts w:eastAsia="Calibri"/>
          <w:sz w:val="22"/>
          <w:szCs w:val="22"/>
          <w:lang w:eastAsia="en-US"/>
        </w:rPr>
        <w:t>у</w:t>
      </w:r>
      <w:r w:rsidRPr="00CD45A4">
        <w:rPr>
          <w:rFonts w:eastAsia="Calibri"/>
          <w:sz w:val="22"/>
          <w:szCs w:val="22"/>
          <w:lang w:eastAsia="en-US"/>
        </w:rPr>
        <w:t xml:space="preserve">емым в биотестировании [3]. </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t>Содержание в неволе данного вида моллюсков не является эк</w:t>
      </w:r>
      <w:r w:rsidRPr="00CD45A4">
        <w:rPr>
          <w:rFonts w:eastAsia="Calibri"/>
          <w:sz w:val="22"/>
          <w:szCs w:val="22"/>
          <w:lang w:eastAsia="en-US"/>
        </w:rPr>
        <w:t>о</w:t>
      </w:r>
      <w:r w:rsidRPr="00CD45A4">
        <w:rPr>
          <w:rFonts w:eastAsia="Calibri"/>
          <w:sz w:val="22"/>
          <w:szCs w:val="22"/>
          <w:lang w:eastAsia="en-US"/>
        </w:rPr>
        <w:t>номически затратным и трудоемким процессом. Кроме того, нес</w:t>
      </w:r>
      <w:r w:rsidRPr="00CD45A4">
        <w:rPr>
          <w:rFonts w:eastAsia="Calibri"/>
          <w:sz w:val="22"/>
          <w:szCs w:val="22"/>
          <w:lang w:eastAsia="en-US"/>
        </w:rPr>
        <w:t>о</w:t>
      </w:r>
      <w:r w:rsidRPr="00CD45A4">
        <w:rPr>
          <w:rFonts w:eastAsia="Calibri"/>
          <w:sz w:val="22"/>
          <w:szCs w:val="22"/>
          <w:lang w:eastAsia="en-US"/>
        </w:rPr>
        <w:t>мненным преимуществом Ахатин перед аборигенными моллюсками является отсутствие в их физиологии сезонных биоритмов, что не требует корректировки исследований с учетом времен года.</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t>Широкий спектр их рациона позволяет проводить разнообра</w:t>
      </w:r>
      <w:r w:rsidRPr="00CD45A4">
        <w:rPr>
          <w:rFonts w:eastAsia="Calibri"/>
          <w:sz w:val="22"/>
          <w:szCs w:val="22"/>
          <w:lang w:eastAsia="en-US"/>
        </w:rPr>
        <w:t>з</w:t>
      </w:r>
      <w:r w:rsidRPr="00CD45A4">
        <w:rPr>
          <w:rFonts w:eastAsia="Calibri"/>
          <w:sz w:val="22"/>
          <w:szCs w:val="22"/>
          <w:lang w:eastAsia="en-US"/>
        </w:rPr>
        <w:t>ные исследования, направленные как на изучение острой токсичн</w:t>
      </w:r>
      <w:r w:rsidRPr="00CD45A4">
        <w:rPr>
          <w:rFonts w:eastAsia="Calibri"/>
          <w:sz w:val="22"/>
          <w:szCs w:val="22"/>
          <w:lang w:eastAsia="en-US"/>
        </w:rPr>
        <w:t>о</w:t>
      </w:r>
      <w:r w:rsidRPr="00CD45A4">
        <w:rPr>
          <w:rFonts w:eastAsia="Calibri"/>
          <w:sz w:val="22"/>
          <w:szCs w:val="22"/>
          <w:lang w:eastAsia="en-US"/>
        </w:rPr>
        <w:t>сти, так и на выявление хронических интоксикаций, связанных с возможными кумулятивными и синергическими эффектами разли</w:t>
      </w:r>
      <w:r w:rsidRPr="00CD45A4">
        <w:rPr>
          <w:rFonts w:eastAsia="Calibri"/>
          <w:sz w:val="22"/>
          <w:szCs w:val="22"/>
          <w:lang w:eastAsia="en-US"/>
        </w:rPr>
        <w:t>ч</w:t>
      </w:r>
      <w:r w:rsidRPr="00CD45A4">
        <w:rPr>
          <w:rFonts w:eastAsia="Calibri"/>
          <w:sz w:val="22"/>
          <w:szCs w:val="22"/>
          <w:lang w:eastAsia="en-US"/>
        </w:rPr>
        <w:t>ных экотоксикантов. Высокая плодовитость и простота инкубации расширяет возможности исследования эмбриотоксических и терр</w:t>
      </w:r>
      <w:r w:rsidRPr="00CD45A4">
        <w:rPr>
          <w:rFonts w:eastAsia="Calibri"/>
          <w:sz w:val="22"/>
          <w:szCs w:val="22"/>
          <w:lang w:eastAsia="en-US"/>
        </w:rPr>
        <w:t>а</w:t>
      </w:r>
      <w:r w:rsidRPr="00CD45A4">
        <w:rPr>
          <w:rFonts w:eastAsia="Calibri"/>
          <w:sz w:val="22"/>
          <w:szCs w:val="22"/>
          <w:lang w:eastAsia="en-US"/>
        </w:rPr>
        <w:t>тогенных эффектов не только по причине интоксикаций, но и вследствие воздействия факторов физической природы.</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t>Не менее важной является и этическая составляющая экотокс</w:t>
      </w:r>
      <w:r w:rsidRPr="00CD45A4">
        <w:rPr>
          <w:rFonts w:eastAsia="Calibri"/>
          <w:sz w:val="22"/>
          <w:szCs w:val="22"/>
          <w:lang w:eastAsia="en-US"/>
        </w:rPr>
        <w:t>и</w:t>
      </w:r>
      <w:r w:rsidRPr="00CD45A4">
        <w:rPr>
          <w:rFonts w:eastAsia="Calibri"/>
          <w:sz w:val="22"/>
          <w:szCs w:val="22"/>
          <w:lang w:eastAsia="en-US"/>
        </w:rPr>
        <w:t>кологических экспериментов. В этом отношении, примитивный уровень организации нервной системы брюхоногих моллюсков не позволяет им чувствовать боль, в том понимании, как она сво</w:t>
      </w:r>
      <w:r w:rsidRPr="00CD45A4">
        <w:rPr>
          <w:rFonts w:eastAsia="Calibri"/>
          <w:sz w:val="22"/>
          <w:szCs w:val="22"/>
          <w:lang w:eastAsia="en-US"/>
        </w:rPr>
        <w:t>й</w:t>
      </w:r>
      <w:r w:rsidRPr="00CD45A4">
        <w:rPr>
          <w:rFonts w:eastAsia="Calibri"/>
          <w:sz w:val="22"/>
          <w:szCs w:val="22"/>
          <w:lang w:eastAsia="en-US"/>
        </w:rPr>
        <w:t>ственна людям и высокоорганизованным животным.</w:t>
      </w:r>
    </w:p>
    <w:p w:rsidR="00E5540A" w:rsidRPr="00CD45A4" w:rsidRDefault="00E5540A" w:rsidP="00812F84">
      <w:pPr>
        <w:widowControl w:val="0"/>
        <w:tabs>
          <w:tab w:val="left" w:pos="4971"/>
        </w:tabs>
        <w:ind w:firstLine="426"/>
        <w:jc w:val="both"/>
        <w:rPr>
          <w:rFonts w:eastAsia="Calibri"/>
          <w:sz w:val="22"/>
          <w:szCs w:val="22"/>
          <w:lang w:eastAsia="en-US"/>
        </w:rPr>
      </w:pPr>
      <w:r w:rsidRPr="00CD45A4">
        <w:rPr>
          <w:rFonts w:eastAsia="Calibri"/>
          <w:sz w:val="22"/>
          <w:szCs w:val="22"/>
          <w:lang w:eastAsia="en-US"/>
        </w:rPr>
        <w:t xml:space="preserve">С учетом изложенного перспектива использования брюхоногих </w:t>
      </w:r>
      <w:r w:rsidRPr="00CD45A4">
        <w:rPr>
          <w:rFonts w:eastAsia="Calibri"/>
          <w:sz w:val="22"/>
          <w:szCs w:val="22"/>
          <w:lang w:eastAsia="en-US"/>
        </w:rPr>
        <w:lastRenderedPageBreak/>
        <w:t xml:space="preserve">моллюсков рода </w:t>
      </w:r>
      <w:r w:rsidRPr="00CD45A4">
        <w:rPr>
          <w:rFonts w:eastAsia="Calibri"/>
          <w:i/>
          <w:sz w:val="22"/>
          <w:szCs w:val="22"/>
          <w:lang w:val="en-US" w:eastAsia="en-US"/>
        </w:rPr>
        <w:t>Achatina</w:t>
      </w:r>
      <w:r w:rsidRPr="00CD45A4">
        <w:rPr>
          <w:rFonts w:eastAsia="Calibri"/>
          <w:sz w:val="22"/>
          <w:szCs w:val="22"/>
          <w:lang w:eastAsia="en-US"/>
        </w:rPr>
        <w:t xml:space="preserve"> в экотоксикологических исследованиях представляет несомненный интерес, для практической реализации которого необходимо разработать систему критериев оценки токс</w:t>
      </w:r>
      <w:r w:rsidRPr="00CD45A4">
        <w:rPr>
          <w:rFonts w:eastAsia="Calibri"/>
          <w:sz w:val="22"/>
          <w:szCs w:val="22"/>
          <w:lang w:eastAsia="en-US"/>
        </w:rPr>
        <w:t>и</w:t>
      </w:r>
      <w:r w:rsidRPr="00CD45A4">
        <w:rPr>
          <w:rFonts w:eastAsia="Calibri"/>
          <w:sz w:val="22"/>
          <w:szCs w:val="22"/>
          <w:lang w:eastAsia="en-US"/>
        </w:rPr>
        <w:t>ческого эффекта, расширяющую возможности таких традиционных критериев, как выживаемость и прирост биомассы.</w:t>
      </w:r>
    </w:p>
    <w:p w:rsidR="00E5540A" w:rsidRPr="00CD45A4" w:rsidRDefault="00E5540A" w:rsidP="00812F84">
      <w:pPr>
        <w:widowControl w:val="0"/>
        <w:tabs>
          <w:tab w:val="left" w:pos="4104"/>
        </w:tabs>
        <w:ind w:firstLine="426"/>
        <w:jc w:val="both"/>
        <w:rPr>
          <w:rFonts w:eastAsia="Calibri"/>
          <w:sz w:val="22"/>
          <w:szCs w:val="22"/>
          <w:lang w:eastAsia="en-US"/>
        </w:rPr>
      </w:pPr>
    </w:p>
    <w:p w:rsidR="00E5540A" w:rsidRPr="00CD45A4" w:rsidRDefault="00E5540A" w:rsidP="00812F84">
      <w:pPr>
        <w:widowControl w:val="0"/>
        <w:tabs>
          <w:tab w:val="left" w:pos="4971"/>
        </w:tabs>
        <w:ind w:firstLine="426"/>
        <w:jc w:val="center"/>
        <w:rPr>
          <w:rFonts w:eastAsia="Calibri"/>
          <w:sz w:val="22"/>
          <w:szCs w:val="22"/>
          <w:lang w:eastAsia="en-US"/>
        </w:rPr>
      </w:pPr>
      <w:r w:rsidRPr="00CD45A4">
        <w:rPr>
          <w:rFonts w:eastAsia="Calibri"/>
          <w:sz w:val="22"/>
          <w:szCs w:val="22"/>
          <w:lang w:eastAsia="en-US"/>
        </w:rPr>
        <w:t>Список литературы</w:t>
      </w:r>
    </w:p>
    <w:p w:rsidR="00E5540A" w:rsidRPr="00CD45A4" w:rsidRDefault="00E5540A" w:rsidP="00812F84">
      <w:pPr>
        <w:widowControl w:val="0"/>
        <w:suppressAutoHyphens/>
        <w:ind w:firstLine="426"/>
        <w:jc w:val="both"/>
        <w:rPr>
          <w:sz w:val="22"/>
          <w:szCs w:val="22"/>
        </w:rPr>
      </w:pPr>
      <w:r w:rsidRPr="00CD45A4">
        <w:rPr>
          <w:rFonts w:eastAsia="Calibri"/>
          <w:sz w:val="22"/>
          <w:szCs w:val="22"/>
          <w:lang w:eastAsia="en-US"/>
        </w:rPr>
        <w:t xml:space="preserve">1. </w:t>
      </w:r>
      <w:r w:rsidRPr="00CD45A4">
        <w:rPr>
          <w:sz w:val="22"/>
          <w:szCs w:val="22"/>
        </w:rPr>
        <w:t>Стрельников, В. В. Прикладная экология / В. В. Стрельников [и др.]. – Краснодар: Изд. Дом-Юг, 2012. – 452 с.</w:t>
      </w:r>
    </w:p>
    <w:p w:rsidR="00E5540A" w:rsidRPr="00CD45A4" w:rsidRDefault="00E5540A" w:rsidP="00812F84">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2. Стрельников, В. В. </w:t>
      </w:r>
      <w:hyperlink r:id="rId11" w:history="1">
        <w:r w:rsidRPr="00CD45A4">
          <w:rPr>
            <w:rFonts w:eastAsia="Calibri"/>
            <w:sz w:val="22"/>
            <w:szCs w:val="22"/>
            <w:lang w:eastAsia="en-US"/>
          </w:rPr>
          <w:t>Экологическая токсикология</w:t>
        </w:r>
      </w:hyperlink>
      <w:r w:rsidRPr="00CD45A4">
        <w:rPr>
          <w:rFonts w:eastAsia="Calibri"/>
          <w:sz w:val="22"/>
          <w:szCs w:val="22"/>
          <w:lang w:eastAsia="en-US"/>
        </w:rPr>
        <w:t xml:space="preserve"> [Текст]: учеб</w:t>
      </w:r>
      <w:proofErr w:type="gramStart"/>
      <w:r w:rsidRPr="00CD45A4">
        <w:rPr>
          <w:rFonts w:eastAsia="Calibri"/>
          <w:sz w:val="22"/>
          <w:szCs w:val="22"/>
          <w:lang w:eastAsia="en-US"/>
        </w:rPr>
        <w:t>.-</w:t>
      </w:r>
      <w:proofErr w:type="gramEnd"/>
      <w:r w:rsidRPr="00CD45A4">
        <w:rPr>
          <w:rFonts w:eastAsia="Calibri"/>
          <w:sz w:val="22"/>
          <w:szCs w:val="22"/>
          <w:lang w:eastAsia="en-US"/>
        </w:rPr>
        <w:t>метод, пособие / В.В. Стрельников, И.В. Хмара. Краснодар: Изд. Дом-Юг, 2004. – 247c.</w:t>
      </w:r>
    </w:p>
    <w:p w:rsidR="00E5540A" w:rsidRPr="00CD45A4" w:rsidRDefault="00E5540A" w:rsidP="00812F84">
      <w:pPr>
        <w:widowControl w:val="0"/>
        <w:suppressAutoHyphens/>
        <w:ind w:firstLine="426"/>
        <w:jc w:val="both"/>
        <w:rPr>
          <w:rFonts w:eastAsia="Calibri"/>
          <w:sz w:val="22"/>
          <w:szCs w:val="22"/>
          <w:lang w:eastAsia="en-US"/>
        </w:rPr>
      </w:pPr>
      <w:r w:rsidRPr="00CD45A4">
        <w:rPr>
          <w:rFonts w:eastAsia="Calibri"/>
          <w:sz w:val="22"/>
          <w:szCs w:val="22"/>
          <w:lang w:eastAsia="en-US"/>
        </w:rPr>
        <w:t>3. Стрельников, В. В. Экологическая токсикология // В.В. Стрельников, И.В. Хмара, Н.В. Чернышева – Краснодар. Изд. Дом-Юг, 2015. – 252 c.</w:t>
      </w:r>
    </w:p>
    <w:p w:rsidR="00E5540A" w:rsidRPr="00CD45A4" w:rsidRDefault="00E5540A" w:rsidP="00812F84">
      <w:pPr>
        <w:tabs>
          <w:tab w:val="left" w:pos="7140"/>
        </w:tabs>
        <w:ind w:firstLine="426"/>
        <w:jc w:val="both"/>
        <w:rPr>
          <w:sz w:val="22"/>
          <w:szCs w:val="22"/>
        </w:rPr>
      </w:pPr>
      <w:r w:rsidRPr="00CD45A4">
        <w:rPr>
          <w:sz w:val="22"/>
          <w:szCs w:val="22"/>
        </w:rPr>
        <w:t>4. Хмара, И. В. Экотоксикология сапрофитных микромицетов. Влияние афлотоксинов на птиц. Монография. – Краснодар, КГАУ, 2006. – 110 с.</w:t>
      </w:r>
    </w:p>
    <w:p w:rsidR="00A8504F" w:rsidRDefault="00A8504F" w:rsidP="000E5D27">
      <w:pPr>
        <w:rPr>
          <w:sz w:val="20"/>
          <w:szCs w:val="20"/>
        </w:rPr>
      </w:pPr>
    </w:p>
    <w:p w:rsidR="00A8504F" w:rsidRPr="00CD45A4" w:rsidRDefault="00A8504F" w:rsidP="000E5D27">
      <w:pPr>
        <w:rPr>
          <w:sz w:val="20"/>
          <w:szCs w:val="20"/>
        </w:rPr>
      </w:pPr>
    </w:p>
    <w:p w:rsidR="00E5540A" w:rsidRPr="00CD45A4" w:rsidRDefault="00E5540A" w:rsidP="00E5540A">
      <w:pPr>
        <w:rPr>
          <w:sz w:val="22"/>
          <w:szCs w:val="22"/>
        </w:rPr>
      </w:pPr>
      <w:r w:rsidRPr="00CD45A4">
        <w:rPr>
          <w:sz w:val="22"/>
          <w:szCs w:val="22"/>
        </w:rPr>
        <w:t>УДК 630*18 (470.630)</w:t>
      </w:r>
    </w:p>
    <w:p w:rsidR="00E5540A" w:rsidRPr="00CD45A4" w:rsidRDefault="00E5540A" w:rsidP="00E5540A">
      <w:pPr>
        <w:rPr>
          <w:sz w:val="22"/>
          <w:szCs w:val="22"/>
        </w:rPr>
      </w:pPr>
    </w:p>
    <w:p w:rsidR="00E5540A" w:rsidRPr="00CD45A4" w:rsidRDefault="00E5540A" w:rsidP="00E5540A">
      <w:pPr>
        <w:jc w:val="center"/>
        <w:rPr>
          <w:b/>
          <w:sz w:val="24"/>
          <w:szCs w:val="24"/>
        </w:rPr>
      </w:pPr>
      <w:r w:rsidRPr="00CD45A4">
        <w:rPr>
          <w:b/>
          <w:sz w:val="24"/>
          <w:szCs w:val="24"/>
        </w:rPr>
        <w:t>Оценка состояния древостоя лесополосы</w:t>
      </w:r>
    </w:p>
    <w:p w:rsidR="00E5540A" w:rsidRPr="00CD45A4" w:rsidRDefault="00E5540A" w:rsidP="00E5540A">
      <w:pPr>
        <w:jc w:val="center"/>
        <w:rPr>
          <w:b/>
          <w:sz w:val="24"/>
          <w:szCs w:val="24"/>
        </w:rPr>
      </w:pPr>
      <w:r w:rsidRPr="00CD45A4">
        <w:rPr>
          <w:b/>
          <w:sz w:val="24"/>
          <w:szCs w:val="24"/>
        </w:rPr>
        <w:t>восточной части г. Буденновска</w:t>
      </w:r>
    </w:p>
    <w:p w:rsidR="00E5540A" w:rsidRPr="00CD45A4" w:rsidRDefault="00E5540A" w:rsidP="00E5540A">
      <w:pPr>
        <w:jc w:val="center"/>
        <w:rPr>
          <w:b/>
          <w:sz w:val="24"/>
          <w:szCs w:val="24"/>
          <w:lang w:val="en-US"/>
        </w:rPr>
      </w:pPr>
      <w:r w:rsidRPr="00CD45A4">
        <w:rPr>
          <w:b/>
          <w:sz w:val="24"/>
          <w:szCs w:val="24"/>
          <w:lang w:val="en-US"/>
        </w:rPr>
        <w:t xml:space="preserve">Assessment of the condition of the forest stand in the </w:t>
      </w:r>
    </w:p>
    <w:p w:rsidR="00E5540A" w:rsidRPr="00CD45A4" w:rsidRDefault="00E5540A" w:rsidP="00E5540A">
      <w:pPr>
        <w:jc w:val="center"/>
        <w:rPr>
          <w:b/>
          <w:sz w:val="24"/>
          <w:szCs w:val="24"/>
          <w:lang w:val="en-US"/>
        </w:rPr>
      </w:pPr>
      <w:r w:rsidRPr="00CD45A4">
        <w:rPr>
          <w:b/>
          <w:sz w:val="24"/>
          <w:szCs w:val="24"/>
          <w:lang w:val="en-US"/>
        </w:rPr>
        <w:t>Eastern part of Budennovsk</w:t>
      </w:r>
    </w:p>
    <w:p w:rsidR="00E5540A" w:rsidRPr="00CD45A4" w:rsidRDefault="00E5540A" w:rsidP="00E5540A">
      <w:pPr>
        <w:jc w:val="right"/>
        <w:rPr>
          <w:sz w:val="22"/>
          <w:szCs w:val="22"/>
          <w:lang w:val="en-US"/>
        </w:rPr>
      </w:pPr>
    </w:p>
    <w:p w:rsidR="00E5540A" w:rsidRPr="00CD45A4" w:rsidRDefault="00E5540A" w:rsidP="00E5540A">
      <w:pPr>
        <w:jc w:val="right"/>
        <w:rPr>
          <w:sz w:val="22"/>
          <w:szCs w:val="22"/>
          <w:lang w:val="en-US"/>
        </w:rPr>
      </w:pPr>
      <w:r w:rsidRPr="00CD45A4">
        <w:rPr>
          <w:sz w:val="22"/>
          <w:szCs w:val="22"/>
        </w:rPr>
        <w:t>Смирнова</w:t>
      </w:r>
      <w:r w:rsidRPr="00CD45A4">
        <w:rPr>
          <w:sz w:val="22"/>
          <w:szCs w:val="22"/>
          <w:lang w:val="en-US"/>
        </w:rPr>
        <w:t xml:space="preserve"> </w:t>
      </w:r>
      <w:r w:rsidRPr="00CD45A4">
        <w:rPr>
          <w:sz w:val="22"/>
          <w:szCs w:val="22"/>
        </w:rPr>
        <w:t>Д</w:t>
      </w:r>
      <w:r w:rsidRPr="00CD45A4">
        <w:rPr>
          <w:sz w:val="22"/>
          <w:szCs w:val="22"/>
          <w:lang w:val="en-US"/>
        </w:rPr>
        <w:t xml:space="preserve">. </w:t>
      </w:r>
      <w:r w:rsidRPr="00CD45A4">
        <w:rPr>
          <w:sz w:val="22"/>
          <w:szCs w:val="22"/>
        </w:rPr>
        <w:t>Г</w:t>
      </w:r>
      <w:r w:rsidRPr="00CD45A4">
        <w:rPr>
          <w:sz w:val="22"/>
          <w:szCs w:val="22"/>
          <w:lang w:val="en-US"/>
        </w:rPr>
        <w:t>.,</w:t>
      </w:r>
    </w:p>
    <w:p w:rsidR="00E5540A" w:rsidRPr="00CD45A4" w:rsidRDefault="000E5D27" w:rsidP="00E5540A">
      <w:pPr>
        <w:jc w:val="right"/>
        <w:rPr>
          <w:sz w:val="22"/>
          <w:szCs w:val="22"/>
        </w:rPr>
      </w:pPr>
      <w:r>
        <w:rPr>
          <w:sz w:val="22"/>
          <w:szCs w:val="22"/>
        </w:rPr>
        <w:t>студентка 2-го курса</w:t>
      </w:r>
    </w:p>
    <w:p w:rsidR="00E5540A" w:rsidRPr="00CD45A4" w:rsidRDefault="00E5540A" w:rsidP="00E5540A">
      <w:pPr>
        <w:jc w:val="right"/>
        <w:rPr>
          <w:sz w:val="22"/>
          <w:szCs w:val="22"/>
        </w:rPr>
      </w:pPr>
      <w:r w:rsidRPr="00CD45A4">
        <w:rPr>
          <w:sz w:val="22"/>
          <w:szCs w:val="22"/>
        </w:rPr>
        <w:t>факультета агрономии и экологии</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Кубанский государственный аграрный</w:t>
      </w:r>
    </w:p>
    <w:p w:rsidR="00E5540A" w:rsidRPr="00CD45A4" w:rsidRDefault="00E5540A" w:rsidP="00E5540A">
      <w:pPr>
        <w:jc w:val="right"/>
        <w:rPr>
          <w:rFonts w:eastAsia="Calibri"/>
          <w:bCs/>
          <w:iCs/>
          <w:sz w:val="22"/>
          <w:szCs w:val="22"/>
          <w:lang w:eastAsia="en-US"/>
        </w:rPr>
      </w:pPr>
      <w:r w:rsidRPr="00CD45A4">
        <w:rPr>
          <w:rFonts w:eastAsia="Calibri"/>
          <w:bCs/>
          <w:iCs/>
          <w:sz w:val="22"/>
          <w:szCs w:val="22"/>
          <w:lang w:eastAsia="en-US"/>
        </w:rPr>
        <w:t>университет имени И.Т. Трубилина</w:t>
      </w:r>
    </w:p>
    <w:p w:rsidR="00E5540A" w:rsidRPr="00CD45A4" w:rsidRDefault="00E5540A" w:rsidP="00E5540A">
      <w:pPr>
        <w:jc w:val="right"/>
        <w:rPr>
          <w:sz w:val="22"/>
          <w:szCs w:val="22"/>
        </w:rPr>
      </w:pPr>
    </w:p>
    <w:p w:rsidR="00E5540A" w:rsidRPr="00CD45A4" w:rsidRDefault="00E5540A" w:rsidP="000E5D27">
      <w:pPr>
        <w:widowControl w:val="0"/>
        <w:suppressAutoHyphens/>
        <w:ind w:firstLine="426"/>
        <w:jc w:val="both"/>
        <w:rPr>
          <w:sz w:val="22"/>
          <w:szCs w:val="22"/>
        </w:rPr>
      </w:pPr>
      <w:r w:rsidRPr="00CD45A4">
        <w:rPr>
          <w:sz w:val="22"/>
          <w:szCs w:val="22"/>
        </w:rPr>
        <w:t>АННОТАЦИЯ: Изучено общее состояние древостоя и лесополосы в целом. А также влияние природных и антропогенных факторов на состояние кроны деревьев и эффективности функционирования лесной полосы.</w:t>
      </w:r>
    </w:p>
    <w:p w:rsidR="00E5540A" w:rsidRPr="00CD45A4" w:rsidRDefault="00E5540A" w:rsidP="000E5D27">
      <w:pPr>
        <w:widowControl w:val="0"/>
        <w:suppressAutoHyphens/>
        <w:ind w:firstLine="426"/>
        <w:jc w:val="both"/>
        <w:rPr>
          <w:sz w:val="22"/>
          <w:szCs w:val="22"/>
          <w:lang w:val="en-US"/>
        </w:rPr>
      </w:pPr>
      <w:r w:rsidRPr="00CD45A4">
        <w:rPr>
          <w:sz w:val="22"/>
          <w:szCs w:val="22"/>
          <w:lang w:val="en-US"/>
        </w:rPr>
        <w:t>ABSTRACT:</w:t>
      </w:r>
      <w:r w:rsidR="000E5D27" w:rsidRPr="000E5D27">
        <w:rPr>
          <w:sz w:val="22"/>
          <w:szCs w:val="22"/>
          <w:lang w:val="en-US"/>
        </w:rPr>
        <w:t xml:space="preserve"> </w:t>
      </w:r>
      <w:r w:rsidRPr="00CD45A4">
        <w:rPr>
          <w:sz w:val="22"/>
          <w:szCs w:val="22"/>
          <w:lang w:val="en-US"/>
        </w:rPr>
        <w:t xml:space="preserve">Studied the overall state of the forest and forest </w:t>
      </w:r>
      <w:r w:rsidRPr="00CD45A4">
        <w:rPr>
          <w:sz w:val="22"/>
          <w:szCs w:val="22"/>
          <w:lang w:val="en-US"/>
        </w:rPr>
        <w:lastRenderedPageBreak/>
        <w:t>plantations in General. As well as the influence of natural and anthropogenic factors on the state of the crown of trees and the effectiveness of the forest strip.</w:t>
      </w:r>
    </w:p>
    <w:p w:rsidR="00E5540A" w:rsidRPr="00CD45A4" w:rsidRDefault="00E5540A" w:rsidP="000E5D27">
      <w:pPr>
        <w:widowControl w:val="0"/>
        <w:suppressAutoHyphens/>
        <w:ind w:firstLine="426"/>
        <w:jc w:val="both"/>
        <w:rPr>
          <w:sz w:val="22"/>
          <w:szCs w:val="22"/>
        </w:rPr>
      </w:pPr>
      <w:r w:rsidRPr="00CD45A4">
        <w:rPr>
          <w:sz w:val="22"/>
          <w:szCs w:val="22"/>
        </w:rPr>
        <w:t>КЛЮЧЕВЫЕ СЛОВА: лесополоса, древостой, листовая пластинка, агроландшафт, общее проективное покрытие.</w:t>
      </w:r>
    </w:p>
    <w:p w:rsidR="00E5540A" w:rsidRPr="00CD45A4" w:rsidRDefault="00E5540A" w:rsidP="000E5D27">
      <w:pPr>
        <w:widowControl w:val="0"/>
        <w:suppressAutoHyphens/>
        <w:ind w:firstLine="426"/>
        <w:jc w:val="both"/>
        <w:rPr>
          <w:sz w:val="22"/>
          <w:szCs w:val="22"/>
          <w:lang w:val="en-US"/>
        </w:rPr>
      </w:pPr>
      <w:r w:rsidRPr="00CD45A4">
        <w:rPr>
          <w:sz w:val="22"/>
          <w:szCs w:val="22"/>
          <w:lang w:val="en-US"/>
        </w:rPr>
        <w:t>KEYWORDS:</w:t>
      </w:r>
      <w:r w:rsidR="000E5D27" w:rsidRPr="000E5D27">
        <w:rPr>
          <w:sz w:val="22"/>
          <w:szCs w:val="22"/>
          <w:lang w:val="en-US"/>
        </w:rPr>
        <w:t xml:space="preserve"> </w:t>
      </w:r>
      <w:r w:rsidRPr="00CD45A4">
        <w:rPr>
          <w:sz w:val="22"/>
          <w:szCs w:val="22"/>
          <w:lang w:val="en-US"/>
        </w:rPr>
        <w:t>orest belt, forest, leaf blade, agrolandscape, general projective cover.</w:t>
      </w:r>
    </w:p>
    <w:p w:rsidR="00E5540A" w:rsidRPr="00CD45A4" w:rsidRDefault="00E5540A" w:rsidP="000E5D27">
      <w:pPr>
        <w:widowControl w:val="0"/>
        <w:ind w:firstLine="426"/>
        <w:jc w:val="both"/>
        <w:rPr>
          <w:rFonts w:eastAsia="Calibri"/>
          <w:sz w:val="22"/>
          <w:szCs w:val="22"/>
          <w:lang w:val="en-US" w:eastAsia="en-US"/>
        </w:rPr>
      </w:pPr>
    </w:p>
    <w:p w:rsidR="00E5540A" w:rsidRPr="00CD45A4" w:rsidRDefault="00E5540A" w:rsidP="000E5D27">
      <w:pPr>
        <w:widowControl w:val="0"/>
        <w:ind w:firstLine="426"/>
        <w:jc w:val="both"/>
        <w:rPr>
          <w:rFonts w:eastAsia="Calibri"/>
          <w:sz w:val="22"/>
          <w:szCs w:val="22"/>
          <w:lang w:eastAsia="en-US"/>
        </w:rPr>
      </w:pPr>
      <w:r w:rsidRPr="00CD45A4">
        <w:rPr>
          <w:rFonts w:eastAsia="Calibri"/>
          <w:sz w:val="22"/>
          <w:szCs w:val="22"/>
          <w:lang w:eastAsia="en-US"/>
        </w:rPr>
        <w:t>Лесные полосы – защитные лесные насаждения в виде деревьев и кустарников, создаваемые человеком среди пахотных земель, на пастбищах, в садах, вдоль оросительных и судоходных каналов, ж</w:t>
      </w:r>
      <w:r w:rsidRPr="00CD45A4">
        <w:rPr>
          <w:rFonts w:eastAsia="Calibri"/>
          <w:sz w:val="22"/>
          <w:szCs w:val="22"/>
          <w:lang w:eastAsia="en-US"/>
        </w:rPr>
        <w:t>е</w:t>
      </w:r>
      <w:r w:rsidRPr="00CD45A4">
        <w:rPr>
          <w:rFonts w:eastAsia="Calibri"/>
          <w:sz w:val="22"/>
          <w:szCs w:val="22"/>
          <w:lang w:eastAsia="en-US"/>
        </w:rPr>
        <w:t>лезных и автомобильных дорог, по бровкам оврагов. Значение л</w:t>
      </w:r>
      <w:r w:rsidRPr="00CD45A4">
        <w:rPr>
          <w:rFonts w:eastAsia="Calibri"/>
          <w:sz w:val="22"/>
          <w:szCs w:val="22"/>
          <w:lang w:eastAsia="en-US"/>
        </w:rPr>
        <w:t>е</w:t>
      </w:r>
      <w:r w:rsidRPr="00CD45A4">
        <w:rPr>
          <w:rFonts w:eastAsia="Calibri"/>
          <w:sz w:val="22"/>
          <w:szCs w:val="22"/>
          <w:lang w:eastAsia="en-US"/>
        </w:rPr>
        <w:t>сополос очень велико, они представляют собой один из важнейших элементов агроландшафта, и. в зависимости от их местонахожд</w:t>
      </w:r>
      <w:r w:rsidRPr="00CD45A4">
        <w:rPr>
          <w:rFonts w:eastAsia="Calibri"/>
          <w:sz w:val="22"/>
          <w:szCs w:val="22"/>
          <w:lang w:eastAsia="en-US"/>
        </w:rPr>
        <w:t>е</w:t>
      </w:r>
      <w:r w:rsidRPr="00CD45A4">
        <w:rPr>
          <w:rFonts w:eastAsia="Calibri"/>
          <w:sz w:val="22"/>
          <w:szCs w:val="22"/>
          <w:lang w:eastAsia="en-US"/>
        </w:rPr>
        <w:t>ния, а также от выполняемых ими функций, выделяют в категорию защитных.</w:t>
      </w:r>
    </w:p>
    <w:p w:rsidR="00E5540A" w:rsidRPr="00CD45A4" w:rsidRDefault="00E5540A" w:rsidP="000E5D27">
      <w:pPr>
        <w:widowControl w:val="0"/>
        <w:ind w:firstLine="426"/>
        <w:jc w:val="both"/>
        <w:rPr>
          <w:sz w:val="22"/>
          <w:szCs w:val="22"/>
        </w:rPr>
      </w:pPr>
      <w:r w:rsidRPr="00CD45A4">
        <w:rPr>
          <w:sz w:val="22"/>
          <w:szCs w:val="22"/>
        </w:rPr>
        <w:t>С экологической точки зрения лесополосы обладают рядом х</w:t>
      </w:r>
      <w:r w:rsidRPr="00CD45A4">
        <w:rPr>
          <w:sz w:val="22"/>
          <w:szCs w:val="22"/>
        </w:rPr>
        <w:t>а</w:t>
      </w:r>
      <w:r w:rsidRPr="00CD45A4">
        <w:rPr>
          <w:sz w:val="22"/>
          <w:szCs w:val="22"/>
        </w:rPr>
        <w:t>рактерных особенностей: своеобразная лесная подстилка, специф</w:t>
      </w:r>
      <w:r w:rsidRPr="00CD45A4">
        <w:rPr>
          <w:sz w:val="22"/>
          <w:szCs w:val="22"/>
        </w:rPr>
        <w:t>и</w:t>
      </w:r>
      <w:r w:rsidRPr="00CD45A4">
        <w:rPr>
          <w:sz w:val="22"/>
          <w:szCs w:val="22"/>
        </w:rPr>
        <w:t>ческие травянистые растения, животные, микроклимат, направл</w:t>
      </w:r>
      <w:r w:rsidRPr="00CD45A4">
        <w:rPr>
          <w:sz w:val="22"/>
          <w:szCs w:val="22"/>
        </w:rPr>
        <w:t>е</w:t>
      </w:r>
      <w:r w:rsidRPr="00CD45A4">
        <w:rPr>
          <w:sz w:val="22"/>
          <w:szCs w:val="22"/>
        </w:rPr>
        <w:t>ние почвообразующего процесса и т. д. Основная хозяйственная функция лесополос – защитная (защищают посевы от суховеев, з</w:t>
      </w:r>
      <w:r w:rsidRPr="00CD45A4">
        <w:rPr>
          <w:sz w:val="22"/>
          <w:szCs w:val="22"/>
        </w:rPr>
        <w:t>а</w:t>
      </w:r>
      <w:r w:rsidRPr="00CD45A4">
        <w:rPr>
          <w:sz w:val="22"/>
          <w:szCs w:val="22"/>
        </w:rPr>
        <w:t>сух, пыльных бурь, а почвы – от водной и ветровой эрозии). Благ</w:t>
      </w:r>
      <w:r w:rsidRPr="00CD45A4">
        <w:rPr>
          <w:sz w:val="22"/>
          <w:szCs w:val="22"/>
        </w:rPr>
        <w:t>о</w:t>
      </w:r>
      <w:r w:rsidRPr="00CD45A4">
        <w:rPr>
          <w:sz w:val="22"/>
          <w:szCs w:val="22"/>
        </w:rPr>
        <w:t>даря противоэрозионным лесонасаждениям удается улучшить вед</w:t>
      </w:r>
      <w:r w:rsidRPr="00CD45A4">
        <w:rPr>
          <w:sz w:val="22"/>
          <w:szCs w:val="22"/>
        </w:rPr>
        <w:t>е</w:t>
      </w:r>
      <w:r w:rsidRPr="00CD45A4">
        <w:rPr>
          <w:sz w:val="22"/>
          <w:szCs w:val="22"/>
        </w:rPr>
        <w:t>ние сельского хозяйства путем сочетания различных форм испол</w:t>
      </w:r>
      <w:r w:rsidRPr="00CD45A4">
        <w:rPr>
          <w:sz w:val="22"/>
          <w:szCs w:val="22"/>
        </w:rPr>
        <w:t>ь</w:t>
      </w:r>
      <w:r w:rsidRPr="00CD45A4">
        <w:rPr>
          <w:sz w:val="22"/>
          <w:szCs w:val="22"/>
        </w:rPr>
        <w:t>зования земли (под пашню, сенокосы, сады, виноградники, леса) ивключения в хозяйственный оборот смытых и полусмытых з</w:t>
      </w:r>
      <w:r w:rsidRPr="00CD45A4">
        <w:rPr>
          <w:sz w:val="22"/>
          <w:szCs w:val="22"/>
        </w:rPr>
        <w:t>е</w:t>
      </w:r>
      <w:r w:rsidRPr="00CD45A4">
        <w:rPr>
          <w:sz w:val="22"/>
          <w:szCs w:val="22"/>
        </w:rPr>
        <w:t>мельных участков [1]. Однако, лесополосынередко, сами оказыв</w:t>
      </w:r>
      <w:r w:rsidRPr="00CD45A4">
        <w:rPr>
          <w:sz w:val="22"/>
          <w:szCs w:val="22"/>
        </w:rPr>
        <w:t>а</w:t>
      </w:r>
      <w:r w:rsidRPr="00CD45A4">
        <w:rPr>
          <w:sz w:val="22"/>
          <w:szCs w:val="22"/>
        </w:rPr>
        <w:t>ются в зоне риска, как от природных условий, так и от антропоге</w:t>
      </w:r>
      <w:r w:rsidRPr="00CD45A4">
        <w:rPr>
          <w:sz w:val="22"/>
          <w:szCs w:val="22"/>
        </w:rPr>
        <w:t>н</w:t>
      </w:r>
      <w:r w:rsidRPr="00CD45A4">
        <w:rPr>
          <w:sz w:val="22"/>
          <w:szCs w:val="22"/>
        </w:rPr>
        <w:t xml:space="preserve">ных факторов (несанкционированные свалки, кострища и т.д.). В основном страдает древесный покров лесополос [4]. </w:t>
      </w:r>
    </w:p>
    <w:p w:rsidR="00E5540A" w:rsidRPr="00CD45A4" w:rsidRDefault="00E5540A" w:rsidP="000E5D27">
      <w:pPr>
        <w:widowControl w:val="0"/>
        <w:ind w:firstLine="426"/>
        <w:jc w:val="both"/>
        <w:rPr>
          <w:sz w:val="22"/>
          <w:szCs w:val="22"/>
        </w:rPr>
      </w:pPr>
      <w:r w:rsidRPr="00CD45A4">
        <w:rPr>
          <w:sz w:val="22"/>
          <w:szCs w:val="22"/>
        </w:rPr>
        <w:t xml:space="preserve">Несмотря на благоприятный климат Ставропольского </w:t>
      </w:r>
      <w:proofErr w:type="gramStart"/>
      <w:r w:rsidRPr="00CD45A4">
        <w:rPr>
          <w:sz w:val="22"/>
          <w:szCs w:val="22"/>
        </w:rPr>
        <w:t>края</w:t>
      </w:r>
      <w:proofErr w:type="gramEnd"/>
      <w:r w:rsidRPr="00CD45A4">
        <w:rPr>
          <w:sz w:val="22"/>
          <w:szCs w:val="22"/>
        </w:rPr>
        <w:t xml:space="preserve"> сельское хозяйство нередко страдает от действия неблагоприятных природных явлений (засухи, пыльных бурь, суховеев). Эти явления наносят значительный ущерб, не только самому сельскохозяйстве</w:t>
      </w:r>
      <w:r w:rsidRPr="00CD45A4">
        <w:rPr>
          <w:sz w:val="22"/>
          <w:szCs w:val="22"/>
        </w:rPr>
        <w:t>н</w:t>
      </w:r>
      <w:r w:rsidRPr="00CD45A4">
        <w:rPr>
          <w:sz w:val="22"/>
          <w:szCs w:val="22"/>
        </w:rPr>
        <w:t>ному урожаю, но и, предназначенным для его защиты, лесополосам.</w:t>
      </w:r>
    </w:p>
    <w:p w:rsidR="00E5540A" w:rsidRPr="00CD45A4" w:rsidRDefault="00E5540A" w:rsidP="000E5D27">
      <w:pPr>
        <w:widowControl w:val="0"/>
        <w:ind w:firstLine="426"/>
        <w:jc w:val="both"/>
        <w:rPr>
          <w:sz w:val="22"/>
          <w:szCs w:val="22"/>
        </w:rPr>
      </w:pPr>
      <w:r w:rsidRPr="00CD45A4">
        <w:rPr>
          <w:sz w:val="22"/>
          <w:szCs w:val="22"/>
        </w:rPr>
        <w:t xml:space="preserve">Целью исследования стала оценка древесной растительности, как отдельных пород деревьев, так и общего состояния древостоя, на исследуемой лесополосе. А также изучение благоприятные и </w:t>
      </w:r>
      <w:r w:rsidRPr="00CD45A4">
        <w:rPr>
          <w:sz w:val="22"/>
          <w:szCs w:val="22"/>
        </w:rPr>
        <w:lastRenderedPageBreak/>
        <w:t xml:space="preserve">негативные факторы, влияющих на развитие и жизнедеятельность деревьев. </w:t>
      </w:r>
    </w:p>
    <w:p w:rsidR="00E5540A" w:rsidRPr="00CD45A4" w:rsidRDefault="00E5540A" w:rsidP="000E5D27">
      <w:pPr>
        <w:widowControl w:val="0"/>
        <w:ind w:firstLine="426"/>
        <w:jc w:val="both"/>
        <w:rPr>
          <w:sz w:val="22"/>
          <w:szCs w:val="22"/>
        </w:rPr>
      </w:pPr>
      <w:r w:rsidRPr="00CD45A4">
        <w:rPr>
          <w:sz w:val="22"/>
          <w:szCs w:val="22"/>
        </w:rPr>
        <w:t>В данной лесной полосе преобладающими видами деревьев я</w:t>
      </w:r>
      <w:r w:rsidRPr="00CD45A4">
        <w:rPr>
          <w:sz w:val="22"/>
          <w:szCs w:val="22"/>
        </w:rPr>
        <w:t>в</w:t>
      </w:r>
      <w:r w:rsidRPr="00CD45A4">
        <w:rPr>
          <w:sz w:val="22"/>
          <w:szCs w:val="22"/>
        </w:rPr>
        <w:t>ляются: Ива, ясень обыкновенный и акация, реже встречаются т</w:t>
      </w:r>
      <w:r w:rsidRPr="00CD45A4">
        <w:rPr>
          <w:sz w:val="22"/>
          <w:szCs w:val="22"/>
        </w:rPr>
        <w:t>о</w:t>
      </w:r>
      <w:r w:rsidRPr="00CD45A4">
        <w:rPr>
          <w:sz w:val="22"/>
          <w:szCs w:val="22"/>
        </w:rPr>
        <w:t>поль черный, шелковица, абрикос и др. Для изучения их состояния было взято по 3 пробные площадки, на каждой из которых от 3 до 5 деревьев. Площадки были расположены таким образом: 1–вблизи асфальтированной дороги (трасса), 2 – вблизи просёлочной дороги, 3 – на окраине лесополосы (вдали от дорог). Исследовалась лист</w:t>
      </w:r>
      <w:r w:rsidRPr="00CD45A4">
        <w:rPr>
          <w:sz w:val="22"/>
          <w:szCs w:val="22"/>
        </w:rPr>
        <w:t>о</w:t>
      </w:r>
      <w:r w:rsidRPr="00CD45A4">
        <w:rPr>
          <w:sz w:val="22"/>
          <w:szCs w:val="22"/>
        </w:rPr>
        <w:t>вая пластинка на качественное содержание на ней пыли, исследов</w:t>
      </w:r>
      <w:r w:rsidRPr="00CD45A4">
        <w:rPr>
          <w:sz w:val="22"/>
          <w:szCs w:val="22"/>
        </w:rPr>
        <w:t>а</w:t>
      </w:r>
      <w:r w:rsidRPr="00CD45A4">
        <w:rPr>
          <w:sz w:val="22"/>
          <w:szCs w:val="22"/>
        </w:rPr>
        <w:t>ния проводились с помощью скотча. В ходе наблюдения выясн</w:t>
      </w:r>
      <w:r w:rsidRPr="00CD45A4">
        <w:rPr>
          <w:sz w:val="22"/>
          <w:szCs w:val="22"/>
        </w:rPr>
        <w:t>и</w:t>
      </w:r>
      <w:r w:rsidRPr="00CD45A4">
        <w:rPr>
          <w:sz w:val="22"/>
          <w:szCs w:val="22"/>
        </w:rPr>
        <w:t>лось, что наиболее загрязнена листовая пластинка у деревьев, нах</w:t>
      </w:r>
      <w:r w:rsidRPr="00CD45A4">
        <w:rPr>
          <w:sz w:val="22"/>
          <w:szCs w:val="22"/>
        </w:rPr>
        <w:t>о</w:t>
      </w:r>
      <w:r w:rsidRPr="00CD45A4">
        <w:rPr>
          <w:sz w:val="22"/>
          <w:szCs w:val="22"/>
        </w:rPr>
        <w:t>дящихся ближе к трассе (пробная площадка № 1). На площадке № 2 результат аналогичный. На площадке № 3 были наиболее позити</w:t>
      </w:r>
      <w:r w:rsidRPr="00CD45A4">
        <w:rPr>
          <w:sz w:val="22"/>
          <w:szCs w:val="22"/>
        </w:rPr>
        <w:t>в</w:t>
      </w:r>
      <w:r w:rsidRPr="00CD45A4">
        <w:rPr>
          <w:sz w:val="22"/>
          <w:szCs w:val="22"/>
        </w:rPr>
        <w:t>ные результаты – содержание пыли незначительное. Общее прое</w:t>
      </w:r>
      <w:r w:rsidRPr="00CD45A4">
        <w:rPr>
          <w:sz w:val="22"/>
          <w:szCs w:val="22"/>
        </w:rPr>
        <w:t>к</w:t>
      </w:r>
      <w:r w:rsidRPr="00CD45A4">
        <w:rPr>
          <w:sz w:val="22"/>
          <w:szCs w:val="22"/>
        </w:rPr>
        <w:t>тивное покрытие древостоя на этих участках отличается друг от друга: на участке №1 ОПП = 67 %, на участке №2 ОПП = 73,5 %, а на участке №3 ОПП = 89 %. Помимо детального исследования ка</w:t>
      </w:r>
      <w:r w:rsidRPr="00CD45A4">
        <w:rPr>
          <w:sz w:val="22"/>
          <w:szCs w:val="22"/>
        </w:rPr>
        <w:t>ж</w:t>
      </w:r>
      <w:r w:rsidRPr="00CD45A4">
        <w:rPr>
          <w:sz w:val="22"/>
          <w:szCs w:val="22"/>
        </w:rPr>
        <w:t>дой породы дерева на отдельно взятых площадках, было сделано визуальное изучение древостоя маршрутным методом. В ходе, к</w:t>
      </w:r>
      <w:r w:rsidRPr="00CD45A4">
        <w:rPr>
          <w:sz w:val="22"/>
          <w:szCs w:val="22"/>
        </w:rPr>
        <w:t>о</w:t>
      </w:r>
      <w:r w:rsidRPr="00CD45A4">
        <w:rPr>
          <w:sz w:val="22"/>
          <w:szCs w:val="22"/>
        </w:rPr>
        <w:t>торого выяснилось, что на территории лесной полосы много дер</w:t>
      </w:r>
      <w:r w:rsidRPr="00CD45A4">
        <w:rPr>
          <w:sz w:val="22"/>
          <w:szCs w:val="22"/>
        </w:rPr>
        <w:t>е</w:t>
      </w:r>
      <w:r w:rsidRPr="00CD45A4">
        <w:rPr>
          <w:sz w:val="22"/>
          <w:szCs w:val="22"/>
        </w:rPr>
        <w:t>вьев с сухими ветвями, но индекс флуктуирующей асимметрии л</w:t>
      </w:r>
      <w:r w:rsidRPr="00CD45A4">
        <w:rPr>
          <w:sz w:val="22"/>
          <w:szCs w:val="22"/>
        </w:rPr>
        <w:t>и</w:t>
      </w:r>
      <w:r w:rsidRPr="00CD45A4">
        <w:rPr>
          <w:sz w:val="22"/>
          <w:szCs w:val="22"/>
        </w:rPr>
        <w:t>стовой пластины тополя черного составил 0,047, что с учетом рег</w:t>
      </w:r>
      <w:r w:rsidRPr="00CD45A4">
        <w:rPr>
          <w:sz w:val="22"/>
          <w:szCs w:val="22"/>
        </w:rPr>
        <w:t>и</w:t>
      </w:r>
      <w:r w:rsidRPr="00CD45A4">
        <w:rPr>
          <w:sz w:val="22"/>
          <w:szCs w:val="22"/>
        </w:rPr>
        <w:t>ональных особенностей может быть принято за условную норму [2, 3].</w:t>
      </w:r>
    </w:p>
    <w:p w:rsidR="00E5540A" w:rsidRPr="00CD45A4" w:rsidRDefault="00E5540A" w:rsidP="000E5D27">
      <w:pPr>
        <w:widowControl w:val="0"/>
        <w:ind w:firstLine="426"/>
        <w:jc w:val="both"/>
        <w:rPr>
          <w:sz w:val="22"/>
          <w:szCs w:val="22"/>
        </w:rPr>
      </w:pPr>
      <w:r w:rsidRPr="00CD45A4">
        <w:rPr>
          <w:sz w:val="22"/>
          <w:szCs w:val="22"/>
        </w:rPr>
        <w:t>В ходе визуального изучения состояния древостоя выяснилось, что по состоянию насаждений, деревья можно отнести ко 2 катег</w:t>
      </w:r>
      <w:r w:rsidRPr="00CD45A4">
        <w:rPr>
          <w:sz w:val="22"/>
          <w:szCs w:val="22"/>
        </w:rPr>
        <w:t>о</w:t>
      </w:r>
      <w:r w:rsidRPr="00CD45A4">
        <w:rPr>
          <w:sz w:val="22"/>
          <w:szCs w:val="22"/>
        </w:rPr>
        <w:t xml:space="preserve">рии (ослабленные, в кроне 25-50% сухих ветвей). Листва мельче и светлее </w:t>
      </w:r>
      <w:proofErr w:type="gramStart"/>
      <w:r w:rsidRPr="00CD45A4">
        <w:rPr>
          <w:sz w:val="22"/>
          <w:szCs w:val="22"/>
        </w:rPr>
        <w:t>обычной</w:t>
      </w:r>
      <w:proofErr w:type="gramEnd"/>
      <w:r w:rsidRPr="00CD45A4">
        <w:rPr>
          <w:sz w:val="22"/>
          <w:szCs w:val="22"/>
        </w:rPr>
        <w:t>, преждевременно опадает, крона изрежена. Исходя из этого, можно сделать вывод, что на территории лесополосы не ведутся (или ведутся, но крайне редко) санитарно-гигиенические мероприятия.</w:t>
      </w:r>
    </w:p>
    <w:p w:rsidR="00E5540A" w:rsidRPr="00CD45A4" w:rsidRDefault="00E5540A" w:rsidP="000E5D27">
      <w:pPr>
        <w:widowControl w:val="0"/>
        <w:ind w:firstLine="426"/>
        <w:jc w:val="both"/>
        <w:rPr>
          <w:sz w:val="22"/>
          <w:szCs w:val="22"/>
        </w:rPr>
      </w:pPr>
      <w:r w:rsidRPr="00CD45A4">
        <w:rPr>
          <w:sz w:val="22"/>
          <w:szCs w:val="22"/>
        </w:rPr>
        <w:t xml:space="preserve">В заключение можно сделать некоторые выводы. На пробных площадках № 1 и № 2 листовые пластинки наиболее загрязненные. </w:t>
      </w:r>
      <w:proofErr w:type="gramStart"/>
      <w:r w:rsidRPr="00CD45A4">
        <w:rPr>
          <w:sz w:val="22"/>
          <w:szCs w:val="22"/>
        </w:rPr>
        <w:t>Это связано с тем, что данные площадки расположены вблизи д</w:t>
      </w:r>
      <w:r w:rsidRPr="00CD45A4">
        <w:rPr>
          <w:sz w:val="22"/>
          <w:szCs w:val="22"/>
        </w:rPr>
        <w:t>о</w:t>
      </w:r>
      <w:r w:rsidRPr="00CD45A4">
        <w:rPr>
          <w:sz w:val="22"/>
          <w:szCs w:val="22"/>
        </w:rPr>
        <w:t>рог, где ежедневно наблюдается большой поток транспорта, как легковых, так и сельскохозяйственного машин.</w:t>
      </w:r>
      <w:proofErr w:type="gramEnd"/>
      <w:r w:rsidRPr="00CD45A4">
        <w:rPr>
          <w:sz w:val="22"/>
          <w:szCs w:val="22"/>
        </w:rPr>
        <w:t xml:space="preserve"> Следовательно, на пробной площадке № 3 листовая пластинка самая чистая, благодаря </w:t>
      </w:r>
      <w:r w:rsidRPr="00CD45A4">
        <w:rPr>
          <w:sz w:val="22"/>
          <w:szCs w:val="22"/>
        </w:rPr>
        <w:lastRenderedPageBreak/>
        <w:t xml:space="preserve">отдаленности ее от пролегающих вблизи дорог. </w:t>
      </w:r>
    </w:p>
    <w:p w:rsidR="00E5540A" w:rsidRPr="00CD45A4" w:rsidRDefault="00E5540A" w:rsidP="000E5D27">
      <w:pPr>
        <w:widowControl w:val="0"/>
        <w:ind w:firstLine="426"/>
        <w:jc w:val="both"/>
        <w:rPr>
          <w:sz w:val="22"/>
          <w:szCs w:val="22"/>
        </w:rPr>
      </w:pPr>
      <w:r w:rsidRPr="00CD45A4">
        <w:rPr>
          <w:sz w:val="22"/>
          <w:szCs w:val="22"/>
        </w:rPr>
        <w:t>В связи с наличием всех вышеупомянутых повреждений, лес</w:t>
      </w:r>
      <w:r w:rsidRPr="00CD45A4">
        <w:rPr>
          <w:sz w:val="22"/>
          <w:szCs w:val="22"/>
        </w:rPr>
        <w:t>о</w:t>
      </w:r>
      <w:r w:rsidRPr="00CD45A4">
        <w:rPr>
          <w:sz w:val="22"/>
          <w:szCs w:val="22"/>
        </w:rPr>
        <w:t>полоса может терять свою эффективность. Для восстановления ее защитной функции можно проводить следующие мероприятия: проводить чистку от старых и сухих деревьев, высаживать новые, а также ввести запрет на выброс бытовых отходов.</w:t>
      </w:r>
    </w:p>
    <w:p w:rsidR="00E5540A" w:rsidRPr="00CD45A4" w:rsidRDefault="00E5540A" w:rsidP="000E5D27">
      <w:pPr>
        <w:ind w:firstLine="426"/>
        <w:jc w:val="both"/>
        <w:rPr>
          <w:sz w:val="22"/>
          <w:szCs w:val="22"/>
        </w:rPr>
      </w:pPr>
    </w:p>
    <w:p w:rsidR="00E5540A" w:rsidRPr="00CD45A4" w:rsidRDefault="00E5540A" w:rsidP="000E5D27">
      <w:pPr>
        <w:ind w:firstLine="426"/>
        <w:jc w:val="center"/>
        <w:rPr>
          <w:sz w:val="22"/>
          <w:szCs w:val="22"/>
        </w:rPr>
      </w:pPr>
      <w:r w:rsidRPr="00CD45A4">
        <w:rPr>
          <w:sz w:val="22"/>
          <w:szCs w:val="22"/>
        </w:rPr>
        <w:t>Список литературы</w:t>
      </w:r>
    </w:p>
    <w:p w:rsidR="00E5540A" w:rsidRPr="00CD45A4" w:rsidRDefault="00E5540A" w:rsidP="000E5D27">
      <w:pPr>
        <w:widowControl w:val="0"/>
        <w:suppressAutoHyphens/>
        <w:ind w:firstLine="426"/>
        <w:jc w:val="both"/>
        <w:rPr>
          <w:rFonts w:eastAsia="Calibri"/>
          <w:sz w:val="22"/>
          <w:szCs w:val="22"/>
          <w:lang w:eastAsia="en-US"/>
        </w:rPr>
      </w:pPr>
      <w:r w:rsidRPr="00CD45A4">
        <w:rPr>
          <w:rFonts w:eastAsia="Calibri"/>
          <w:sz w:val="22"/>
          <w:szCs w:val="22"/>
          <w:lang w:eastAsia="en-US"/>
        </w:rPr>
        <w:t>1. Мельченко, А. И. Экологический мониторинг: учебник / А. И. Мельченко. – Краснодар: Изд. Дом – Юг, 2012. – 372 с.</w:t>
      </w:r>
    </w:p>
    <w:p w:rsidR="00E5540A" w:rsidRPr="00CD45A4" w:rsidRDefault="00E5540A" w:rsidP="000E5D27">
      <w:pPr>
        <w:widowControl w:val="0"/>
        <w:suppressAutoHyphens/>
        <w:ind w:firstLine="426"/>
        <w:jc w:val="both"/>
        <w:rPr>
          <w:rFonts w:eastAsia="Calibri"/>
          <w:sz w:val="22"/>
          <w:szCs w:val="22"/>
          <w:lang w:eastAsia="en-US"/>
        </w:rPr>
      </w:pPr>
      <w:r w:rsidRPr="00CD45A4">
        <w:rPr>
          <w:rFonts w:eastAsia="Calibri"/>
          <w:sz w:val="22"/>
          <w:szCs w:val="22"/>
          <w:lang w:eastAsia="en-US"/>
        </w:rPr>
        <w:t>2. Стрельников, В. В. Экологическая токсикология / В. В. Стрельников, И. В. Хмара. – Краснодар, 2004. – 247 с.</w:t>
      </w:r>
    </w:p>
    <w:p w:rsidR="00E5540A" w:rsidRPr="00CD45A4" w:rsidRDefault="00E5540A" w:rsidP="000E5D27">
      <w:pPr>
        <w:widowControl w:val="0"/>
        <w:suppressAutoHyphens/>
        <w:ind w:firstLine="426"/>
        <w:jc w:val="both"/>
        <w:rPr>
          <w:rFonts w:eastAsia="Calibri"/>
          <w:sz w:val="22"/>
          <w:szCs w:val="22"/>
          <w:lang w:eastAsia="en-US"/>
        </w:rPr>
      </w:pPr>
      <w:r w:rsidRPr="00CD45A4">
        <w:rPr>
          <w:rFonts w:eastAsia="Calibri"/>
          <w:sz w:val="22"/>
          <w:szCs w:val="22"/>
          <w:lang w:eastAsia="en-US"/>
        </w:rPr>
        <w:t>3.</w:t>
      </w:r>
      <w:r w:rsidRPr="00CD45A4">
        <w:rPr>
          <w:sz w:val="22"/>
          <w:szCs w:val="22"/>
        </w:rPr>
        <w:t xml:space="preserve"> Савинова, О. А. Флуктуирующая асимметрия листьев тополя черного </w:t>
      </w:r>
      <w:r w:rsidRPr="00CD45A4">
        <w:rPr>
          <w:i/>
          <w:sz w:val="22"/>
          <w:szCs w:val="22"/>
        </w:rPr>
        <w:t>Populus nigra</w:t>
      </w:r>
      <w:r w:rsidRPr="00CD45A4">
        <w:rPr>
          <w:sz w:val="22"/>
          <w:szCs w:val="22"/>
        </w:rPr>
        <w:t xml:space="preserve"> в юго-западной части города Краснодара, как метод биоиндикации качества среды / О. А. Савинова, И. В. Хмара. – Науч. обеспеч. АПК: сб. ст. </w:t>
      </w:r>
      <w:proofErr w:type="gramStart"/>
      <w:r w:rsidRPr="00CD45A4">
        <w:rPr>
          <w:sz w:val="22"/>
          <w:szCs w:val="22"/>
        </w:rPr>
        <w:t>по</w:t>
      </w:r>
      <w:proofErr w:type="gramEnd"/>
      <w:r w:rsidRPr="00CD45A4">
        <w:rPr>
          <w:sz w:val="22"/>
          <w:szCs w:val="22"/>
        </w:rPr>
        <w:t xml:space="preserve"> матер. Х</w:t>
      </w:r>
      <w:proofErr w:type="gramStart"/>
      <w:r w:rsidRPr="00CD45A4">
        <w:rPr>
          <w:sz w:val="22"/>
          <w:szCs w:val="22"/>
        </w:rPr>
        <w:t>I</w:t>
      </w:r>
      <w:proofErr w:type="gramEnd"/>
      <w:r w:rsidRPr="00CD45A4">
        <w:rPr>
          <w:sz w:val="22"/>
          <w:szCs w:val="22"/>
        </w:rPr>
        <w:t xml:space="preserve"> Всерос. конф. молодых ученых (29-30 ноября 2017 г.). – Краснодар: КубГАУ, 2017. – С. 1252-1253</w:t>
      </w:r>
    </w:p>
    <w:p w:rsidR="00E5540A" w:rsidRPr="00CD45A4" w:rsidRDefault="00E5540A" w:rsidP="000E5D27">
      <w:pPr>
        <w:widowControl w:val="0"/>
        <w:suppressAutoHyphens/>
        <w:ind w:firstLine="426"/>
        <w:jc w:val="both"/>
        <w:rPr>
          <w:sz w:val="22"/>
          <w:szCs w:val="22"/>
        </w:rPr>
      </w:pPr>
      <w:r w:rsidRPr="00CD45A4">
        <w:rPr>
          <w:rFonts w:eastAsia="Calibri"/>
          <w:sz w:val="22"/>
          <w:szCs w:val="22"/>
          <w:lang w:eastAsia="en-US"/>
        </w:rPr>
        <w:t xml:space="preserve">4. </w:t>
      </w:r>
      <w:r w:rsidRPr="00CD45A4">
        <w:rPr>
          <w:sz w:val="22"/>
          <w:szCs w:val="22"/>
        </w:rPr>
        <w:t>Стрельников, В. В. Прикладная экология / В. В. Стрельников [и др.]. – Краснодар: Изд. Дом-Юг, 2012. – 452 с.</w:t>
      </w:r>
    </w:p>
    <w:p w:rsidR="00E5540A" w:rsidRDefault="00E5540A" w:rsidP="00E5540A">
      <w:pPr>
        <w:widowControl w:val="0"/>
        <w:suppressAutoHyphens/>
        <w:jc w:val="both"/>
        <w:rPr>
          <w:sz w:val="20"/>
          <w:szCs w:val="20"/>
        </w:rPr>
      </w:pPr>
    </w:p>
    <w:p w:rsidR="000E5D27" w:rsidRPr="00CD45A4" w:rsidRDefault="000E5D27" w:rsidP="000E5D27">
      <w:pPr>
        <w:rPr>
          <w:sz w:val="20"/>
          <w:szCs w:val="20"/>
        </w:rPr>
      </w:pPr>
    </w:p>
    <w:p w:rsidR="00E5540A" w:rsidRPr="00E5540A" w:rsidRDefault="00E5540A" w:rsidP="00E5540A">
      <w:pPr>
        <w:widowControl w:val="0"/>
        <w:rPr>
          <w:rFonts w:eastAsia="Calibri"/>
          <w:sz w:val="22"/>
          <w:szCs w:val="22"/>
          <w:lang w:eastAsia="en-US"/>
        </w:rPr>
      </w:pPr>
      <w:r w:rsidRPr="00E5540A">
        <w:rPr>
          <w:rFonts w:eastAsia="Calibri"/>
          <w:sz w:val="22"/>
          <w:szCs w:val="22"/>
          <w:lang w:eastAsia="en-US"/>
        </w:rPr>
        <w:t>УДК 504, 455 (470.620)</w:t>
      </w:r>
    </w:p>
    <w:p w:rsidR="00E5540A" w:rsidRPr="00E5540A" w:rsidRDefault="00E5540A" w:rsidP="00E5540A">
      <w:pPr>
        <w:widowControl w:val="0"/>
        <w:rPr>
          <w:rFonts w:eastAsia="Calibri"/>
          <w:sz w:val="22"/>
          <w:szCs w:val="22"/>
          <w:lang w:eastAsia="en-US"/>
        </w:rPr>
      </w:pPr>
    </w:p>
    <w:p w:rsidR="00E5540A" w:rsidRDefault="00E5540A" w:rsidP="00E5540A">
      <w:pPr>
        <w:widowControl w:val="0"/>
        <w:suppressAutoHyphens/>
        <w:jc w:val="center"/>
        <w:rPr>
          <w:rFonts w:eastAsia="Calibri"/>
          <w:b/>
          <w:sz w:val="24"/>
          <w:szCs w:val="24"/>
          <w:lang w:eastAsia="en-US"/>
        </w:rPr>
      </w:pPr>
      <w:r w:rsidRPr="00E5540A">
        <w:rPr>
          <w:rFonts w:eastAsia="Calibri"/>
          <w:b/>
          <w:sz w:val="24"/>
          <w:szCs w:val="24"/>
          <w:lang w:eastAsia="en-US"/>
        </w:rPr>
        <w:t>Общая характеристика экологических проблем Краснодарского водохранилища</w:t>
      </w:r>
    </w:p>
    <w:p w:rsidR="004F79F5" w:rsidRPr="00863F6A" w:rsidRDefault="004F79F5" w:rsidP="00E5540A">
      <w:pPr>
        <w:widowControl w:val="0"/>
        <w:suppressAutoHyphens/>
        <w:jc w:val="center"/>
        <w:rPr>
          <w:rFonts w:eastAsia="Calibri"/>
          <w:b/>
          <w:sz w:val="24"/>
          <w:szCs w:val="24"/>
          <w:lang w:eastAsia="en-US"/>
        </w:rPr>
      </w:pPr>
      <w:r w:rsidRPr="004F79F5">
        <w:rPr>
          <w:rFonts w:eastAsia="Calibri"/>
          <w:b/>
          <w:sz w:val="24"/>
          <w:szCs w:val="24"/>
          <w:lang w:val="en-US" w:eastAsia="en-US"/>
        </w:rPr>
        <w:t>General</w:t>
      </w:r>
      <w:r w:rsidRPr="00863F6A">
        <w:rPr>
          <w:rFonts w:eastAsia="Calibri"/>
          <w:b/>
          <w:sz w:val="24"/>
          <w:szCs w:val="24"/>
          <w:lang w:eastAsia="en-US"/>
        </w:rPr>
        <w:t xml:space="preserve"> </w:t>
      </w:r>
      <w:r w:rsidRPr="004F79F5">
        <w:rPr>
          <w:rFonts w:eastAsia="Calibri"/>
          <w:b/>
          <w:sz w:val="24"/>
          <w:szCs w:val="24"/>
          <w:lang w:val="en-US" w:eastAsia="en-US"/>
        </w:rPr>
        <w:t>characteristics</w:t>
      </w:r>
      <w:r w:rsidRPr="00863F6A">
        <w:rPr>
          <w:rFonts w:eastAsia="Calibri"/>
          <w:b/>
          <w:sz w:val="24"/>
          <w:szCs w:val="24"/>
          <w:lang w:eastAsia="en-US"/>
        </w:rPr>
        <w:t xml:space="preserve"> </w:t>
      </w:r>
      <w:r w:rsidRPr="004F79F5">
        <w:rPr>
          <w:rFonts w:eastAsia="Calibri"/>
          <w:b/>
          <w:sz w:val="24"/>
          <w:szCs w:val="24"/>
          <w:lang w:val="en-US" w:eastAsia="en-US"/>
        </w:rPr>
        <w:t>of</w:t>
      </w:r>
      <w:r w:rsidRPr="00863F6A">
        <w:rPr>
          <w:rFonts w:eastAsia="Calibri"/>
          <w:b/>
          <w:sz w:val="24"/>
          <w:szCs w:val="24"/>
          <w:lang w:eastAsia="en-US"/>
        </w:rPr>
        <w:t xml:space="preserve"> </w:t>
      </w:r>
      <w:r w:rsidRPr="004F79F5">
        <w:rPr>
          <w:rFonts w:eastAsia="Calibri"/>
          <w:b/>
          <w:sz w:val="24"/>
          <w:szCs w:val="24"/>
          <w:lang w:val="en-US" w:eastAsia="en-US"/>
        </w:rPr>
        <w:t>environme</w:t>
      </w:r>
      <w:r>
        <w:rPr>
          <w:rFonts w:eastAsia="Calibri"/>
          <w:b/>
          <w:sz w:val="24"/>
          <w:szCs w:val="24"/>
          <w:lang w:val="en-US" w:eastAsia="en-US"/>
        </w:rPr>
        <w:t>ntal</w:t>
      </w:r>
      <w:r w:rsidRPr="00863F6A">
        <w:rPr>
          <w:rFonts w:eastAsia="Calibri"/>
          <w:b/>
          <w:sz w:val="24"/>
          <w:szCs w:val="24"/>
          <w:lang w:eastAsia="en-US"/>
        </w:rPr>
        <w:t xml:space="preserve"> </w:t>
      </w:r>
      <w:r>
        <w:rPr>
          <w:rFonts w:eastAsia="Calibri"/>
          <w:b/>
          <w:sz w:val="24"/>
          <w:szCs w:val="24"/>
          <w:lang w:val="en-US" w:eastAsia="en-US"/>
        </w:rPr>
        <w:t>problems</w:t>
      </w:r>
      <w:r w:rsidRPr="00863F6A">
        <w:rPr>
          <w:rFonts w:eastAsia="Calibri"/>
          <w:b/>
          <w:sz w:val="24"/>
          <w:szCs w:val="24"/>
          <w:lang w:eastAsia="en-US"/>
        </w:rPr>
        <w:t xml:space="preserve"> </w:t>
      </w:r>
      <w:r>
        <w:rPr>
          <w:rFonts w:eastAsia="Calibri"/>
          <w:b/>
          <w:sz w:val="24"/>
          <w:szCs w:val="24"/>
          <w:lang w:val="en-US" w:eastAsia="en-US"/>
        </w:rPr>
        <w:t>of</w:t>
      </w:r>
      <w:r w:rsidRPr="00863F6A">
        <w:rPr>
          <w:rFonts w:eastAsia="Calibri"/>
          <w:b/>
          <w:sz w:val="24"/>
          <w:szCs w:val="24"/>
          <w:lang w:eastAsia="en-US"/>
        </w:rPr>
        <w:t xml:space="preserve"> </w:t>
      </w:r>
      <w:r>
        <w:rPr>
          <w:rFonts w:eastAsia="Calibri"/>
          <w:b/>
          <w:sz w:val="24"/>
          <w:szCs w:val="24"/>
          <w:lang w:val="en-US" w:eastAsia="en-US"/>
        </w:rPr>
        <w:t>the</w:t>
      </w:r>
      <w:r w:rsidRPr="00863F6A">
        <w:rPr>
          <w:rFonts w:eastAsia="Calibri"/>
          <w:b/>
          <w:sz w:val="24"/>
          <w:szCs w:val="24"/>
          <w:lang w:eastAsia="en-US"/>
        </w:rPr>
        <w:t xml:space="preserve"> </w:t>
      </w:r>
      <w:r>
        <w:rPr>
          <w:rFonts w:eastAsia="Calibri"/>
          <w:b/>
          <w:sz w:val="24"/>
          <w:szCs w:val="24"/>
          <w:lang w:val="en-US" w:eastAsia="en-US"/>
        </w:rPr>
        <w:t>Krasnodar</w:t>
      </w:r>
      <w:r w:rsidRPr="00863F6A">
        <w:rPr>
          <w:rFonts w:eastAsia="Calibri"/>
          <w:b/>
          <w:sz w:val="24"/>
          <w:szCs w:val="24"/>
          <w:lang w:eastAsia="en-US"/>
        </w:rPr>
        <w:t xml:space="preserve"> </w:t>
      </w:r>
      <w:r>
        <w:rPr>
          <w:rFonts w:eastAsia="Calibri"/>
          <w:b/>
          <w:sz w:val="24"/>
          <w:szCs w:val="24"/>
          <w:lang w:val="en-US" w:eastAsia="en-US"/>
        </w:rPr>
        <w:t>r</w:t>
      </w:r>
      <w:r w:rsidRPr="004F79F5">
        <w:rPr>
          <w:rFonts w:eastAsia="Calibri"/>
          <w:b/>
          <w:sz w:val="24"/>
          <w:szCs w:val="24"/>
          <w:lang w:val="en-US" w:eastAsia="en-US"/>
        </w:rPr>
        <w:t>eservoir</w:t>
      </w:r>
    </w:p>
    <w:p w:rsidR="00E5540A" w:rsidRPr="00863F6A" w:rsidRDefault="00E5540A" w:rsidP="00E5540A">
      <w:pPr>
        <w:widowControl w:val="0"/>
        <w:tabs>
          <w:tab w:val="left" w:pos="8223"/>
        </w:tabs>
        <w:contextualSpacing/>
        <w:jc w:val="right"/>
        <w:rPr>
          <w:rFonts w:eastAsia="Courier New"/>
          <w:sz w:val="22"/>
          <w:szCs w:val="22"/>
          <w:lang w:eastAsia="en-US"/>
        </w:rPr>
      </w:pPr>
    </w:p>
    <w:p w:rsidR="00E5540A" w:rsidRPr="00E5540A" w:rsidRDefault="00E5540A" w:rsidP="00E5540A">
      <w:pPr>
        <w:widowControl w:val="0"/>
        <w:tabs>
          <w:tab w:val="left" w:pos="8223"/>
        </w:tabs>
        <w:contextualSpacing/>
        <w:jc w:val="right"/>
        <w:rPr>
          <w:rFonts w:eastAsia="Courier New"/>
          <w:sz w:val="22"/>
          <w:szCs w:val="22"/>
          <w:lang w:eastAsia="en-US"/>
        </w:rPr>
      </w:pPr>
      <w:r w:rsidRPr="00E5540A">
        <w:rPr>
          <w:rFonts w:eastAsia="Courier New"/>
          <w:sz w:val="22"/>
          <w:szCs w:val="22"/>
          <w:lang w:eastAsia="en-US"/>
        </w:rPr>
        <w:t>Старков А. С.,</w:t>
      </w:r>
    </w:p>
    <w:p w:rsidR="00E5540A" w:rsidRPr="00E5540A" w:rsidRDefault="000E5D27" w:rsidP="00E5540A">
      <w:pPr>
        <w:widowControl w:val="0"/>
        <w:tabs>
          <w:tab w:val="left" w:pos="8223"/>
        </w:tabs>
        <w:ind w:firstLine="425"/>
        <w:contextualSpacing/>
        <w:jc w:val="right"/>
        <w:rPr>
          <w:rFonts w:eastAsia="Courier New"/>
          <w:color w:val="000000"/>
          <w:sz w:val="22"/>
          <w:szCs w:val="22"/>
          <w:lang w:eastAsia="en-US"/>
        </w:rPr>
      </w:pPr>
      <w:r>
        <w:rPr>
          <w:rFonts w:eastAsia="Courier New"/>
          <w:color w:val="000000"/>
          <w:sz w:val="22"/>
          <w:szCs w:val="22"/>
          <w:lang w:eastAsia="en-US"/>
        </w:rPr>
        <w:t>магистрант 2-го курса</w:t>
      </w:r>
    </w:p>
    <w:p w:rsidR="00E5540A" w:rsidRPr="00E5540A" w:rsidRDefault="00E5540A" w:rsidP="00E5540A">
      <w:pPr>
        <w:widowControl w:val="0"/>
        <w:tabs>
          <w:tab w:val="left" w:pos="8223"/>
        </w:tabs>
        <w:ind w:firstLine="425"/>
        <w:contextualSpacing/>
        <w:jc w:val="right"/>
        <w:rPr>
          <w:rFonts w:eastAsia="Courier New"/>
          <w:color w:val="000000"/>
          <w:sz w:val="22"/>
          <w:szCs w:val="22"/>
          <w:lang w:eastAsia="en-US"/>
        </w:rPr>
      </w:pPr>
      <w:r w:rsidRPr="00E5540A">
        <w:rPr>
          <w:rFonts w:eastAsia="Courier New"/>
          <w:color w:val="000000"/>
          <w:sz w:val="22"/>
          <w:szCs w:val="22"/>
          <w:lang w:eastAsia="en-US"/>
        </w:rPr>
        <w:t>факультета агрономии и экологии</w:t>
      </w:r>
    </w:p>
    <w:p w:rsidR="00E5540A" w:rsidRPr="00E5540A" w:rsidRDefault="00E5540A" w:rsidP="00E5540A">
      <w:pPr>
        <w:widowControl w:val="0"/>
        <w:tabs>
          <w:tab w:val="left" w:pos="8223"/>
        </w:tabs>
        <w:ind w:firstLine="425"/>
        <w:contextualSpacing/>
        <w:jc w:val="right"/>
        <w:rPr>
          <w:rFonts w:eastAsia="Courier New"/>
          <w:color w:val="000000"/>
          <w:sz w:val="22"/>
          <w:szCs w:val="22"/>
          <w:lang w:eastAsia="en-US"/>
        </w:rPr>
      </w:pPr>
      <w:r w:rsidRPr="00E5540A">
        <w:rPr>
          <w:rFonts w:eastAsia="Courier New"/>
          <w:color w:val="000000"/>
          <w:sz w:val="22"/>
          <w:szCs w:val="22"/>
          <w:lang w:eastAsia="en-US"/>
        </w:rPr>
        <w:t>Куб</w:t>
      </w:r>
      <w:r w:rsidR="000E5D27">
        <w:rPr>
          <w:rFonts w:eastAsia="Courier New"/>
          <w:color w:val="000000"/>
          <w:sz w:val="22"/>
          <w:szCs w:val="22"/>
          <w:lang w:eastAsia="en-US"/>
        </w:rPr>
        <w:t>анский государственный аграрный</w:t>
      </w:r>
    </w:p>
    <w:p w:rsidR="00E5540A" w:rsidRPr="00E5540A" w:rsidRDefault="00E5540A" w:rsidP="00E5540A">
      <w:pPr>
        <w:widowControl w:val="0"/>
        <w:ind w:firstLine="425"/>
        <w:contextualSpacing/>
        <w:jc w:val="right"/>
        <w:rPr>
          <w:rFonts w:eastAsia="Courier New"/>
          <w:color w:val="000000"/>
          <w:sz w:val="22"/>
          <w:szCs w:val="22"/>
          <w:lang w:eastAsia="en-US"/>
        </w:rPr>
      </w:pPr>
      <w:r w:rsidRPr="00E5540A">
        <w:rPr>
          <w:rFonts w:eastAsia="Courier New"/>
          <w:color w:val="000000"/>
          <w:sz w:val="22"/>
          <w:szCs w:val="22"/>
          <w:lang w:eastAsia="en-US"/>
        </w:rPr>
        <w:t>университет имени И.</w:t>
      </w:r>
      <w:r w:rsidR="000E5D27">
        <w:rPr>
          <w:rFonts w:eastAsia="Courier New"/>
          <w:color w:val="000000"/>
          <w:sz w:val="22"/>
          <w:szCs w:val="22"/>
          <w:lang w:eastAsia="en-US"/>
        </w:rPr>
        <w:t xml:space="preserve"> </w:t>
      </w:r>
      <w:r w:rsidRPr="00E5540A">
        <w:rPr>
          <w:rFonts w:eastAsia="Courier New"/>
          <w:color w:val="000000"/>
          <w:sz w:val="22"/>
          <w:szCs w:val="22"/>
          <w:lang w:eastAsia="en-US"/>
        </w:rPr>
        <w:t>Т. Трубилина</w:t>
      </w:r>
    </w:p>
    <w:p w:rsidR="00E5540A" w:rsidRPr="00E5540A" w:rsidRDefault="00E5540A" w:rsidP="00E5540A">
      <w:pPr>
        <w:widowControl w:val="0"/>
        <w:ind w:firstLine="425"/>
        <w:contextualSpacing/>
        <w:jc w:val="both"/>
        <w:rPr>
          <w:rFonts w:eastAsia="Courier New"/>
          <w:color w:val="000000"/>
          <w:sz w:val="22"/>
          <w:szCs w:val="22"/>
          <w:lang w:eastAsia="en-US"/>
        </w:rPr>
      </w:pPr>
    </w:p>
    <w:p w:rsidR="00E5540A" w:rsidRPr="00E5540A" w:rsidRDefault="00E5540A" w:rsidP="00E5540A">
      <w:pPr>
        <w:widowControl w:val="0"/>
        <w:suppressAutoHyphens/>
        <w:ind w:firstLine="425"/>
        <w:contextualSpacing/>
        <w:jc w:val="both"/>
        <w:rPr>
          <w:rFonts w:eastAsia="Courier New"/>
          <w:color w:val="000000"/>
          <w:sz w:val="22"/>
          <w:szCs w:val="22"/>
          <w:lang w:eastAsia="en-US"/>
        </w:rPr>
      </w:pPr>
      <w:r w:rsidRPr="00E5540A">
        <w:rPr>
          <w:rFonts w:eastAsia="Courier New"/>
          <w:color w:val="000000"/>
          <w:sz w:val="22"/>
          <w:szCs w:val="22"/>
          <w:lang w:eastAsia="en-US"/>
        </w:rPr>
        <w:t>АННОТАЦИЯ: В статье изучены основные экологические проблемы Краснодарского водохранилища,</w:t>
      </w:r>
      <w:r w:rsidRPr="00E5540A">
        <w:rPr>
          <w:sz w:val="22"/>
          <w:szCs w:val="22"/>
        </w:rPr>
        <w:t xml:space="preserve"> </w:t>
      </w:r>
      <w:r w:rsidRPr="00E5540A">
        <w:rPr>
          <w:rFonts w:eastAsia="Calibri"/>
          <w:sz w:val="22"/>
          <w:szCs w:val="22"/>
          <w:lang w:eastAsia="en-US"/>
        </w:rPr>
        <w:t>состояние экосистемы водоема,</w:t>
      </w:r>
      <w:r w:rsidRPr="00E5540A">
        <w:rPr>
          <w:color w:val="000000"/>
          <w:sz w:val="22"/>
          <w:szCs w:val="22"/>
        </w:rPr>
        <w:t xml:space="preserve"> </w:t>
      </w:r>
      <w:proofErr w:type="gramStart"/>
      <w:r w:rsidRPr="00E5540A">
        <w:rPr>
          <w:color w:val="000000"/>
          <w:sz w:val="22"/>
          <w:szCs w:val="22"/>
        </w:rPr>
        <w:t>проведена</w:t>
      </w:r>
      <w:proofErr w:type="gramEnd"/>
      <w:r w:rsidRPr="00E5540A">
        <w:rPr>
          <w:color w:val="000000"/>
          <w:sz w:val="22"/>
          <w:szCs w:val="22"/>
        </w:rPr>
        <w:t xml:space="preserve"> б</w:t>
      </w:r>
      <w:r w:rsidRPr="00E5540A">
        <w:rPr>
          <w:rFonts w:eastAsia="Calibri"/>
          <w:bCs/>
          <w:sz w:val="22"/>
          <w:szCs w:val="22"/>
          <w:lang w:eastAsia="en-US"/>
        </w:rPr>
        <w:t xml:space="preserve">иоиндикация по ряске </w:t>
      </w:r>
      <w:r w:rsidRPr="00E5540A">
        <w:rPr>
          <w:rFonts w:eastAsia="Calibri"/>
          <w:bCs/>
          <w:i/>
          <w:sz w:val="22"/>
          <w:szCs w:val="22"/>
          <w:lang w:eastAsia="en-US"/>
        </w:rPr>
        <w:t>Lemna minor L</w:t>
      </w:r>
      <w:r w:rsidRPr="00E5540A">
        <w:rPr>
          <w:rFonts w:eastAsia="Calibri"/>
          <w:bCs/>
          <w:sz w:val="22"/>
          <w:szCs w:val="22"/>
          <w:lang w:eastAsia="en-US"/>
        </w:rPr>
        <w:t>.</w:t>
      </w:r>
    </w:p>
    <w:p w:rsidR="00E5540A" w:rsidRPr="00E5540A" w:rsidRDefault="00E5540A" w:rsidP="00E5540A">
      <w:pPr>
        <w:widowControl w:val="0"/>
        <w:suppressAutoHyphens/>
        <w:ind w:firstLine="425"/>
        <w:contextualSpacing/>
        <w:jc w:val="both"/>
        <w:rPr>
          <w:rFonts w:eastAsia="Courier New"/>
          <w:color w:val="000000"/>
          <w:sz w:val="22"/>
          <w:szCs w:val="22"/>
          <w:lang w:val="en-US" w:eastAsia="en-US"/>
        </w:rPr>
      </w:pPr>
      <w:r w:rsidRPr="00E5540A">
        <w:rPr>
          <w:rFonts w:eastAsia="Courier New"/>
          <w:color w:val="000000"/>
          <w:sz w:val="22"/>
          <w:szCs w:val="22"/>
          <w:lang w:val="en-US" w:eastAsia="en-US"/>
        </w:rPr>
        <w:lastRenderedPageBreak/>
        <w:t>ABSTRACT:</w:t>
      </w:r>
      <w:r w:rsidRPr="00E5540A">
        <w:rPr>
          <w:rFonts w:ascii="Calibri" w:eastAsia="Calibri" w:hAnsi="Calibri"/>
          <w:sz w:val="22"/>
          <w:szCs w:val="22"/>
          <w:lang w:val="en-US" w:eastAsia="en-US"/>
        </w:rPr>
        <w:t xml:space="preserve"> </w:t>
      </w:r>
      <w:r w:rsidRPr="00E5540A">
        <w:rPr>
          <w:rFonts w:eastAsia="Courier New"/>
          <w:color w:val="000000"/>
          <w:sz w:val="22"/>
          <w:szCs w:val="22"/>
          <w:lang w:val="en-US" w:eastAsia="en-US"/>
        </w:rPr>
        <w:t xml:space="preserve">The article examines the main environmental problems of the Krasnodar reservoir, the state of the ecosystem of the reservoir, bioindication of ripples </w:t>
      </w:r>
      <w:r w:rsidRPr="00E5540A">
        <w:rPr>
          <w:rFonts w:eastAsia="Courier New"/>
          <w:i/>
          <w:color w:val="000000"/>
          <w:sz w:val="22"/>
          <w:szCs w:val="22"/>
          <w:lang w:val="en-US" w:eastAsia="en-US"/>
        </w:rPr>
        <w:t>Lemna minor L</w:t>
      </w:r>
      <w:r w:rsidRPr="00E5540A">
        <w:rPr>
          <w:rFonts w:eastAsia="Courier New"/>
          <w:color w:val="000000"/>
          <w:sz w:val="22"/>
          <w:szCs w:val="22"/>
          <w:lang w:val="en-US" w:eastAsia="en-US"/>
        </w:rPr>
        <w:t>.</w:t>
      </w:r>
    </w:p>
    <w:p w:rsidR="00E5540A" w:rsidRPr="00E5540A" w:rsidRDefault="00E5540A" w:rsidP="00E5540A">
      <w:pPr>
        <w:widowControl w:val="0"/>
        <w:suppressAutoHyphens/>
        <w:ind w:firstLine="425"/>
        <w:contextualSpacing/>
        <w:jc w:val="both"/>
        <w:rPr>
          <w:rFonts w:eastAsia="Courier New"/>
          <w:color w:val="000000"/>
          <w:sz w:val="22"/>
          <w:szCs w:val="22"/>
          <w:lang w:eastAsia="en-US"/>
        </w:rPr>
      </w:pPr>
      <w:r w:rsidRPr="00E5540A">
        <w:rPr>
          <w:rFonts w:eastAsia="Courier New"/>
          <w:color w:val="000000"/>
          <w:sz w:val="22"/>
          <w:szCs w:val="22"/>
          <w:lang w:eastAsia="en-US"/>
        </w:rPr>
        <w:t xml:space="preserve">КЛЮЧЕВЫЕ СЛОВА: водохранилище, </w:t>
      </w:r>
      <w:r w:rsidRPr="00E5540A">
        <w:rPr>
          <w:sz w:val="22"/>
          <w:szCs w:val="22"/>
        </w:rPr>
        <w:t>водоем, экосистема, ряска, речной сток, антропогенное воздействие</w:t>
      </w:r>
      <w:r w:rsidRPr="00E5540A">
        <w:rPr>
          <w:rFonts w:eastAsia="Courier New"/>
          <w:color w:val="000000"/>
          <w:sz w:val="22"/>
          <w:szCs w:val="22"/>
          <w:lang w:eastAsia="en-US"/>
        </w:rPr>
        <w:t>.</w:t>
      </w:r>
    </w:p>
    <w:p w:rsidR="00E5540A" w:rsidRPr="00E5540A" w:rsidRDefault="00E5540A" w:rsidP="00E5540A">
      <w:pPr>
        <w:widowControl w:val="0"/>
        <w:suppressAutoHyphens/>
        <w:ind w:firstLine="425"/>
        <w:contextualSpacing/>
        <w:jc w:val="both"/>
        <w:rPr>
          <w:rFonts w:eastAsia="Courier New"/>
          <w:color w:val="000000"/>
          <w:sz w:val="22"/>
          <w:szCs w:val="22"/>
          <w:lang w:val="en-US" w:eastAsia="en-US"/>
        </w:rPr>
      </w:pPr>
      <w:r w:rsidRPr="00E5540A">
        <w:rPr>
          <w:rFonts w:eastAsia="Courier New"/>
          <w:color w:val="000000"/>
          <w:sz w:val="22"/>
          <w:szCs w:val="22"/>
          <w:lang w:val="en-US" w:eastAsia="en-US"/>
        </w:rPr>
        <w:t>KEY WORDS: water reservoir, water reservoir, ecosystem, ryaska, river runoff, anthropogenic impact.</w:t>
      </w:r>
    </w:p>
    <w:p w:rsidR="00E5540A" w:rsidRPr="00E5540A" w:rsidRDefault="00E5540A" w:rsidP="00E5540A">
      <w:pPr>
        <w:widowControl w:val="0"/>
        <w:suppressAutoHyphens/>
        <w:ind w:firstLine="425"/>
        <w:contextualSpacing/>
        <w:jc w:val="both"/>
        <w:rPr>
          <w:rFonts w:eastAsia="Calibri"/>
          <w:sz w:val="22"/>
          <w:szCs w:val="22"/>
          <w:lang w:val="en-US" w:eastAsia="en-US"/>
        </w:rPr>
      </w:pPr>
    </w:p>
    <w:p w:rsidR="00E5540A" w:rsidRPr="00E5540A" w:rsidRDefault="00E5540A" w:rsidP="00E5540A">
      <w:pPr>
        <w:ind w:firstLine="425"/>
        <w:jc w:val="both"/>
        <w:rPr>
          <w:rFonts w:eastAsia="Calibri"/>
          <w:sz w:val="22"/>
          <w:szCs w:val="22"/>
          <w:lang w:eastAsia="en-US"/>
        </w:rPr>
      </w:pPr>
      <w:r w:rsidRPr="00E5540A">
        <w:rPr>
          <w:rFonts w:eastAsia="Calibri"/>
          <w:sz w:val="22"/>
          <w:szCs w:val="22"/>
          <w:lang w:eastAsia="en-US"/>
        </w:rPr>
        <w:t>Краснодарское водохранилище – одно из крупных искусстве</w:t>
      </w:r>
      <w:r w:rsidRPr="00E5540A">
        <w:rPr>
          <w:rFonts w:eastAsia="Calibri"/>
          <w:sz w:val="22"/>
          <w:szCs w:val="22"/>
          <w:lang w:eastAsia="en-US"/>
        </w:rPr>
        <w:t>н</w:t>
      </w:r>
      <w:r w:rsidRPr="00E5540A">
        <w:rPr>
          <w:rFonts w:eastAsia="Calibri"/>
          <w:sz w:val="22"/>
          <w:szCs w:val="22"/>
          <w:lang w:eastAsia="en-US"/>
        </w:rPr>
        <w:t xml:space="preserve">ных водоемом </w:t>
      </w:r>
      <w:proofErr w:type="gramStart"/>
      <w:r w:rsidRPr="00E5540A">
        <w:rPr>
          <w:rFonts w:eastAsia="Calibri"/>
          <w:sz w:val="22"/>
          <w:szCs w:val="22"/>
          <w:lang w:eastAsia="en-US"/>
        </w:rPr>
        <w:t>на</w:t>
      </w:r>
      <w:proofErr w:type="gramEnd"/>
      <w:r w:rsidRPr="00E5540A">
        <w:rPr>
          <w:rFonts w:eastAsia="Calibri"/>
          <w:sz w:val="22"/>
          <w:szCs w:val="22"/>
          <w:lang w:eastAsia="en-US"/>
        </w:rPr>
        <w:t xml:space="preserve"> </w:t>
      </w:r>
      <w:proofErr w:type="gramStart"/>
      <w:r w:rsidRPr="00E5540A">
        <w:rPr>
          <w:rFonts w:eastAsia="Calibri"/>
          <w:sz w:val="22"/>
          <w:szCs w:val="22"/>
          <w:lang w:eastAsia="en-US"/>
        </w:rPr>
        <w:t>Севером</w:t>
      </w:r>
      <w:proofErr w:type="gramEnd"/>
      <w:r w:rsidRPr="00E5540A">
        <w:rPr>
          <w:rFonts w:eastAsia="Calibri"/>
          <w:sz w:val="22"/>
          <w:szCs w:val="22"/>
          <w:lang w:eastAsia="en-US"/>
        </w:rPr>
        <w:t xml:space="preserve"> Кавказе, которое находится в юго-восточной части города Краснодар. Сооружали водохранилище, чтобы можно было обеспечивать регулирование речного стока для наиболее благоприятного его использования в сельском хозяйстве. Однако</w:t>
      </w:r>
      <w:proofErr w:type="gramStart"/>
      <w:r w:rsidRPr="00E5540A">
        <w:rPr>
          <w:rFonts w:eastAsia="Calibri"/>
          <w:sz w:val="22"/>
          <w:szCs w:val="22"/>
          <w:lang w:eastAsia="en-US"/>
        </w:rPr>
        <w:t>,</w:t>
      </w:r>
      <w:proofErr w:type="gramEnd"/>
      <w:r w:rsidRPr="00E5540A">
        <w:rPr>
          <w:rFonts w:eastAsia="Calibri"/>
          <w:sz w:val="22"/>
          <w:szCs w:val="22"/>
          <w:lang w:eastAsia="en-US"/>
        </w:rPr>
        <w:t xml:space="preserve"> цели создания водохранилища на реке Кубань мало чем отличались от аналогичных проектов в других частях СССР, за и</w:t>
      </w:r>
      <w:r w:rsidRPr="00E5540A">
        <w:rPr>
          <w:rFonts w:eastAsia="Calibri"/>
          <w:sz w:val="22"/>
          <w:szCs w:val="22"/>
          <w:lang w:eastAsia="en-US"/>
        </w:rPr>
        <w:t>с</w:t>
      </w:r>
      <w:r w:rsidRPr="00E5540A">
        <w:rPr>
          <w:rFonts w:eastAsia="Calibri"/>
          <w:sz w:val="22"/>
          <w:szCs w:val="22"/>
          <w:lang w:eastAsia="en-US"/>
        </w:rPr>
        <w:t>ключением одного: Краснодарский край собирались превратить в рисовый рай…, а превратили в «бомбу замедленного действия», которая грозит техногенной катастрофой [2]. При эксплуатации Краснодарского водохранилища было обнаружено ряд негативных последствий, таких, как подтопление, заболачивание прибрежных территорий, разрушительное действие на фундаменты жилых домов и т. д. Но это далеко не все проблемы. В 1973 было построено Краснодарское водохранилище, ему на сегодняшний день уже 45 лет, а необходимых мер по ремонту и чистки водоема не произв</w:t>
      </w:r>
      <w:r w:rsidRPr="00E5540A">
        <w:rPr>
          <w:rFonts w:eastAsia="Calibri"/>
          <w:sz w:val="22"/>
          <w:szCs w:val="22"/>
          <w:lang w:eastAsia="en-US"/>
        </w:rPr>
        <w:t>о</w:t>
      </w:r>
      <w:r w:rsidRPr="00E5540A">
        <w:rPr>
          <w:rFonts w:eastAsia="Calibri"/>
          <w:sz w:val="22"/>
          <w:szCs w:val="22"/>
          <w:lang w:eastAsia="en-US"/>
        </w:rPr>
        <w:t>дилось [2, 4].</w:t>
      </w:r>
    </w:p>
    <w:p w:rsidR="00E5540A" w:rsidRPr="00E5540A" w:rsidRDefault="00E5540A" w:rsidP="00E5540A">
      <w:pPr>
        <w:widowControl w:val="0"/>
        <w:ind w:firstLine="425"/>
        <w:jc w:val="both"/>
        <w:rPr>
          <w:rFonts w:eastAsia="Calibri"/>
          <w:sz w:val="22"/>
          <w:szCs w:val="22"/>
          <w:lang w:eastAsia="en-US"/>
        </w:rPr>
      </w:pPr>
      <w:r w:rsidRPr="00E5540A">
        <w:rPr>
          <w:rFonts w:eastAsia="Calibri"/>
          <w:sz w:val="22"/>
          <w:szCs w:val="22"/>
          <w:lang w:eastAsia="en-US"/>
        </w:rPr>
        <w:t>Опыт мониторинговых наблюдений показывает, что в резул</w:t>
      </w:r>
      <w:r w:rsidRPr="00E5540A">
        <w:rPr>
          <w:rFonts w:eastAsia="Calibri"/>
          <w:sz w:val="22"/>
          <w:szCs w:val="22"/>
          <w:lang w:eastAsia="en-US"/>
        </w:rPr>
        <w:t>ь</w:t>
      </w:r>
      <w:r w:rsidRPr="00E5540A">
        <w:rPr>
          <w:rFonts w:eastAsia="Calibri"/>
          <w:sz w:val="22"/>
          <w:szCs w:val="22"/>
          <w:lang w:eastAsia="en-US"/>
        </w:rPr>
        <w:t xml:space="preserve">тате хозяйственной деятельности в водоемах могут происходить изменения, влекущие за собой эвтрофированию, ацидофикацию, уменьшению продуктивности, загрязнение. </w:t>
      </w:r>
    </w:p>
    <w:p w:rsidR="00E5540A" w:rsidRPr="00E5540A" w:rsidRDefault="00E5540A" w:rsidP="00E5540A">
      <w:pPr>
        <w:widowControl w:val="0"/>
        <w:ind w:firstLine="425"/>
        <w:jc w:val="both"/>
        <w:rPr>
          <w:rFonts w:eastAsia="Calibri"/>
          <w:bCs/>
          <w:sz w:val="22"/>
          <w:szCs w:val="22"/>
          <w:lang w:eastAsia="en-US"/>
        </w:rPr>
      </w:pPr>
      <w:r w:rsidRPr="00E5540A">
        <w:rPr>
          <w:rFonts w:eastAsia="Calibri"/>
          <w:bCs/>
          <w:sz w:val="22"/>
          <w:szCs w:val="22"/>
          <w:lang w:eastAsia="en-US"/>
        </w:rPr>
        <w:t>Оптимальный биоиндикатор – ряска</w:t>
      </w:r>
      <w:r w:rsidRPr="00E5540A">
        <w:rPr>
          <w:rFonts w:eastAsia="Calibri"/>
          <w:sz w:val="22"/>
          <w:szCs w:val="22"/>
          <w:lang w:eastAsia="en-US"/>
        </w:rPr>
        <w:t xml:space="preserve"> </w:t>
      </w:r>
      <w:r w:rsidRPr="00E5540A">
        <w:rPr>
          <w:rFonts w:eastAsia="Calibri"/>
          <w:bCs/>
          <w:i/>
          <w:sz w:val="22"/>
          <w:szCs w:val="22"/>
          <w:lang w:eastAsia="en-US"/>
        </w:rPr>
        <w:t>Lemna minor</w:t>
      </w:r>
      <w:r w:rsidRPr="00E5540A">
        <w:rPr>
          <w:rFonts w:eastAsia="Calibri"/>
          <w:bCs/>
          <w:sz w:val="22"/>
          <w:szCs w:val="22"/>
          <w:lang w:eastAsia="en-US"/>
        </w:rPr>
        <w:t xml:space="preserve"> </w:t>
      </w:r>
      <w:r w:rsidRPr="00E5540A">
        <w:rPr>
          <w:rFonts w:eastAsia="Calibri"/>
          <w:bCs/>
          <w:i/>
          <w:sz w:val="22"/>
          <w:szCs w:val="22"/>
          <w:lang w:eastAsia="en-US"/>
        </w:rPr>
        <w:t>L.</w:t>
      </w:r>
      <w:r w:rsidRPr="00E5540A">
        <w:rPr>
          <w:rFonts w:eastAsia="Calibri"/>
          <w:bCs/>
          <w:sz w:val="22"/>
          <w:szCs w:val="22"/>
          <w:lang w:eastAsia="en-US"/>
        </w:rPr>
        <w:t>, которая реагирует на различные виды загрязнений, такие как наличие тяж</w:t>
      </w:r>
      <w:r w:rsidRPr="00E5540A">
        <w:rPr>
          <w:rFonts w:eastAsia="Calibri"/>
          <w:bCs/>
          <w:sz w:val="22"/>
          <w:szCs w:val="22"/>
          <w:lang w:eastAsia="en-US"/>
        </w:rPr>
        <w:t>е</w:t>
      </w:r>
      <w:r w:rsidRPr="00E5540A">
        <w:rPr>
          <w:rFonts w:eastAsia="Calibri"/>
          <w:bCs/>
          <w:sz w:val="22"/>
          <w:szCs w:val="22"/>
          <w:lang w:eastAsia="en-US"/>
        </w:rPr>
        <w:t>лых металлов, фенолов, нитратов и многих других загрязнителей. Отдельные растения ряски представляют собой округлую пласти</w:t>
      </w:r>
      <w:r w:rsidRPr="00E5540A">
        <w:rPr>
          <w:rFonts w:eastAsia="Calibri"/>
          <w:bCs/>
          <w:sz w:val="22"/>
          <w:szCs w:val="22"/>
          <w:lang w:eastAsia="en-US"/>
        </w:rPr>
        <w:t>н</w:t>
      </w:r>
      <w:r w:rsidRPr="00E5540A">
        <w:rPr>
          <w:rFonts w:eastAsia="Calibri"/>
          <w:bCs/>
          <w:sz w:val="22"/>
          <w:szCs w:val="22"/>
          <w:lang w:eastAsia="en-US"/>
        </w:rPr>
        <w:t>ку-щиток, размером 1-10 мм с дочерними щитками, прикрепленн</w:t>
      </w:r>
      <w:r w:rsidRPr="00E5540A">
        <w:rPr>
          <w:rFonts w:eastAsia="Calibri"/>
          <w:bCs/>
          <w:sz w:val="22"/>
          <w:szCs w:val="22"/>
          <w:lang w:eastAsia="en-US"/>
        </w:rPr>
        <w:t>ы</w:t>
      </w:r>
      <w:r w:rsidRPr="00E5540A">
        <w:rPr>
          <w:rFonts w:eastAsia="Calibri"/>
          <w:bCs/>
          <w:sz w:val="22"/>
          <w:szCs w:val="22"/>
          <w:lang w:eastAsia="en-US"/>
        </w:rPr>
        <w:t>ми по бокам материнского щитка. Вырастая, дочерние щетки отд</w:t>
      </w:r>
      <w:r w:rsidRPr="00E5540A">
        <w:rPr>
          <w:rFonts w:eastAsia="Calibri"/>
          <w:bCs/>
          <w:sz w:val="22"/>
          <w:szCs w:val="22"/>
          <w:lang w:eastAsia="en-US"/>
        </w:rPr>
        <w:t>е</w:t>
      </w:r>
      <w:r w:rsidRPr="00E5540A">
        <w:rPr>
          <w:rFonts w:eastAsia="Calibri"/>
          <w:bCs/>
          <w:sz w:val="22"/>
          <w:szCs w:val="22"/>
          <w:lang w:eastAsia="en-US"/>
        </w:rPr>
        <w:t xml:space="preserve">ляются и превращаются во взрослые, самостоятельные растения, благодаря чему ряски быстро заполняют поверхность водоема. Быстрый рост и размножение как раз и приводят к тому, что в них </w:t>
      </w:r>
      <w:r w:rsidRPr="00E5540A">
        <w:rPr>
          <w:rFonts w:eastAsia="Calibri"/>
          <w:bCs/>
          <w:sz w:val="22"/>
          <w:szCs w:val="22"/>
          <w:lang w:eastAsia="en-US"/>
        </w:rPr>
        <w:lastRenderedPageBreak/>
        <w:t xml:space="preserve">накапливаются разнообразные загрязняющие вещества </w:t>
      </w:r>
      <w:r w:rsidRPr="00E5540A">
        <w:rPr>
          <w:rFonts w:eastAsia="Calibri"/>
          <w:sz w:val="22"/>
          <w:szCs w:val="22"/>
          <w:lang w:eastAsia="en-US"/>
        </w:rPr>
        <w:t>[1]</w:t>
      </w:r>
      <w:r w:rsidRPr="00E5540A">
        <w:rPr>
          <w:rFonts w:eastAsia="Calibri"/>
          <w:bCs/>
          <w:sz w:val="22"/>
          <w:szCs w:val="22"/>
          <w:lang w:eastAsia="en-US"/>
        </w:rPr>
        <w:t xml:space="preserve">. </w:t>
      </w:r>
    </w:p>
    <w:p w:rsidR="00E5540A" w:rsidRPr="00E5540A" w:rsidRDefault="00E5540A" w:rsidP="00E5540A">
      <w:pPr>
        <w:widowControl w:val="0"/>
        <w:ind w:firstLine="425"/>
        <w:jc w:val="both"/>
        <w:rPr>
          <w:rFonts w:eastAsia="Calibri"/>
          <w:bCs/>
          <w:sz w:val="22"/>
          <w:szCs w:val="22"/>
          <w:lang w:eastAsia="en-US"/>
        </w:rPr>
      </w:pPr>
      <w:r w:rsidRPr="00E5540A">
        <w:rPr>
          <w:rFonts w:eastAsia="Calibri"/>
          <w:bCs/>
          <w:sz w:val="22"/>
          <w:szCs w:val="22"/>
          <w:lang w:eastAsia="en-US"/>
        </w:rPr>
        <w:t xml:space="preserve">Определяя количество ряски (зрительно) можно сказать, что в районе впадения реки Кубань в Краснодарское водохранилище (ст. Старокорсунская) вдоль правого берега активно произрастает ряска. Возможно, это связано с эвтрофикацией, </w:t>
      </w:r>
      <w:proofErr w:type="gramStart"/>
      <w:r w:rsidRPr="00E5540A">
        <w:rPr>
          <w:rFonts w:eastAsia="Calibri"/>
          <w:bCs/>
          <w:sz w:val="22"/>
          <w:szCs w:val="22"/>
          <w:lang w:eastAsia="en-US"/>
        </w:rPr>
        <w:t>которая</w:t>
      </w:r>
      <w:proofErr w:type="gramEnd"/>
      <w:r w:rsidRPr="00E5540A">
        <w:rPr>
          <w:rFonts w:eastAsia="Calibri"/>
          <w:bCs/>
          <w:sz w:val="22"/>
          <w:szCs w:val="22"/>
          <w:lang w:eastAsia="en-US"/>
        </w:rPr>
        <w:t xml:space="preserve"> может возникнуть вследствие повышенного содержания азота. Можно предположить, что содержания азотных элементов в верхних горизонтах воды в</w:t>
      </w:r>
      <w:r w:rsidRPr="00E5540A">
        <w:rPr>
          <w:rFonts w:eastAsia="Calibri"/>
          <w:bCs/>
          <w:sz w:val="22"/>
          <w:szCs w:val="22"/>
          <w:lang w:eastAsia="en-US"/>
        </w:rPr>
        <w:t>ы</w:t>
      </w:r>
      <w:r w:rsidRPr="00E5540A">
        <w:rPr>
          <w:rFonts w:eastAsia="Calibri"/>
          <w:bCs/>
          <w:sz w:val="22"/>
          <w:szCs w:val="22"/>
          <w:lang w:eastAsia="en-US"/>
        </w:rPr>
        <w:t>зывает бурное развитие растений в этой зоне и увеличение числе</w:t>
      </w:r>
      <w:r w:rsidRPr="00E5540A">
        <w:rPr>
          <w:rFonts w:eastAsia="Calibri"/>
          <w:bCs/>
          <w:sz w:val="22"/>
          <w:szCs w:val="22"/>
          <w:lang w:eastAsia="en-US"/>
        </w:rPr>
        <w:t>н</w:t>
      </w:r>
      <w:r w:rsidRPr="00E5540A">
        <w:rPr>
          <w:rFonts w:eastAsia="Calibri"/>
          <w:bCs/>
          <w:sz w:val="22"/>
          <w:szCs w:val="22"/>
          <w:lang w:eastAsia="en-US"/>
        </w:rPr>
        <w:t>ности питающегося фитопланктоном зоопланктона. В результате прозрачность воды может резко снизиться, глубина проникновения солнечных лучей уменьшается, и это может привести к гибели м</w:t>
      </w:r>
      <w:r w:rsidRPr="00E5540A">
        <w:rPr>
          <w:rFonts w:eastAsia="Calibri"/>
          <w:bCs/>
          <w:sz w:val="22"/>
          <w:szCs w:val="22"/>
          <w:lang w:eastAsia="en-US"/>
        </w:rPr>
        <w:t>а</w:t>
      </w:r>
      <w:r w:rsidRPr="00E5540A">
        <w:rPr>
          <w:rFonts w:eastAsia="Calibri"/>
          <w:bCs/>
          <w:sz w:val="22"/>
          <w:szCs w:val="22"/>
          <w:lang w:eastAsia="en-US"/>
        </w:rPr>
        <w:t xml:space="preserve">розообентоса от недостатка света и кислорода. На левом же берегу ряски нет вообще. Для определения загрязнения воды, используя ряску, как биоиндикатор, установили три точки отбора проб </w:t>
      </w:r>
      <w:r w:rsidRPr="00E5540A">
        <w:rPr>
          <w:rFonts w:eastAsia="Calibri"/>
          <w:sz w:val="22"/>
          <w:szCs w:val="22"/>
          <w:lang w:eastAsia="en-US"/>
        </w:rPr>
        <w:t>[3,4]</w:t>
      </w:r>
      <w:r w:rsidRPr="00E5540A">
        <w:rPr>
          <w:rFonts w:eastAsia="Calibri"/>
          <w:bCs/>
          <w:sz w:val="22"/>
          <w:szCs w:val="22"/>
          <w:lang w:eastAsia="en-US"/>
        </w:rPr>
        <w:t xml:space="preserve">. </w:t>
      </w:r>
    </w:p>
    <w:p w:rsidR="00E5540A" w:rsidRPr="00E5540A" w:rsidRDefault="00E5540A" w:rsidP="00E5540A">
      <w:pPr>
        <w:widowControl w:val="0"/>
        <w:ind w:firstLine="425"/>
        <w:jc w:val="both"/>
        <w:rPr>
          <w:rFonts w:eastAsia="Calibri"/>
          <w:bCs/>
          <w:sz w:val="22"/>
          <w:szCs w:val="22"/>
          <w:lang w:eastAsia="en-US"/>
        </w:rPr>
      </w:pPr>
      <w:r w:rsidRPr="00E5540A">
        <w:rPr>
          <w:rFonts w:eastAsia="Calibri"/>
          <w:bCs/>
          <w:sz w:val="22"/>
          <w:szCs w:val="22"/>
          <w:lang w:eastAsia="en-US"/>
        </w:rPr>
        <w:t>Первая и вторая точки отбора проб были произведены на пр</w:t>
      </w:r>
      <w:r w:rsidRPr="00E5540A">
        <w:rPr>
          <w:rFonts w:eastAsia="Calibri"/>
          <w:bCs/>
          <w:sz w:val="22"/>
          <w:szCs w:val="22"/>
          <w:lang w:eastAsia="en-US"/>
        </w:rPr>
        <w:t>а</w:t>
      </w:r>
      <w:r w:rsidRPr="00E5540A">
        <w:rPr>
          <w:rFonts w:eastAsia="Calibri"/>
          <w:bCs/>
          <w:sz w:val="22"/>
          <w:szCs w:val="22"/>
          <w:lang w:eastAsia="en-US"/>
        </w:rPr>
        <w:t>вом берегу реки Кубань на расстоянии 10 и 50 м, третья точка ма</w:t>
      </w:r>
      <w:r w:rsidRPr="00E5540A">
        <w:rPr>
          <w:rFonts w:eastAsia="Calibri"/>
          <w:bCs/>
          <w:sz w:val="22"/>
          <w:szCs w:val="22"/>
          <w:lang w:eastAsia="en-US"/>
        </w:rPr>
        <w:t>к</w:t>
      </w:r>
      <w:r w:rsidRPr="00E5540A">
        <w:rPr>
          <w:rFonts w:eastAsia="Calibri"/>
          <w:bCs/>
          <w:sz w:val="22"/>
          <w:szCs w:val="22"/>
          <w:lang w:eastAsia="en-US"/>
        </w:rPr>
        <w:t>симально удалена и находится непосредственно в Кубанском вод</w:t>
      </w:r>
      <w:r w:rsidRPr="00E5540A">
        <w:rPr>
          <w:rFonts w:eastAsia="Calibri"/>
          <w:bCs/>
          <w:sz w:val="22"/>
          <w:szCs w:val="22"/>
          <w:lang w:eastAsia="en-US"/>
        </w:rPr>
        <w:t>о</w:t>
      </w:r>
      <w:r w:rsidRPr="00E5540A">
        <w:rPr>
          <w:rFonts w:eastAsia="Calibri"/>
          <w:bCs/>
          <w:sz w:val="22"/>
          <w:szCs w:val="22"/>
          <w:lang w:eastAsia="en-US"/>
        </w:rPr>
        <w:t>хранилище. В лаборатории был произведен подсчет на общее кол</w:t>
      </w:r>
      <w:r w:rsidRPr="00E5540A">
        <w:rPr>
          <w:rFonts w:eastAsia="Calibri"/>
          <w:bCs/>
          <w:sz w:val="22"/>
          <w:szCs w:val="22"/>
          <w:lang w:eastAsia="en-US"/>
        </w:rPr>
        <w:t>и</w:t>
      </w:r>
      <w:r w:rsidRPr="00E5540A">
        <w:rPr>
          <w:rFonts w:eastAsia="Calibri"/>
          <w:bCs/>
          <w:sz w:val="22"/>
          <w:szCs w:val="22"/>
          <w:lang w:eastAsia="en-US"/>
        </w:rPr>
        <w:t>чество растений, а так же щитки с повреждениями черного цвета на – некроз, и желтого повреждения – хлороз. В результате исследов</w:t>
      </w:r>
      <w:r w:rsidRPr="00E5540A">
        <w:rPr>
          <w:rFonts w:eastAsia="Calibri"/>
          <w:bCs/>
          <w:sz w:val="22"/>
          <w:szCs w:val="22"/>
          <w:lang w:eastAsia="en-US"/>
        </w:rPr>
        <w:t>а</w:t>
      </w:r>
      <w:r w:rsidRPr="00E5540A">
        <w:rPr>
          <w:rFonts w:eastAsia="Calibri"/>
          <w:bCs/>
          <w:sz w:val="22"/>
          <w:szCs w:val="22"/>
          <w:lang w:eastAsia="en-US"/>
        </w:rPr>
        <w:t>ний, из проанализированных данных были получены следующие показатели: первая и вторая точки имеет 4-ю экспресс-оценку, что характеризуется, как загрязненная, а третья точка – умеренно-загрязненная. Полученные данные свидетельствуют о том, что в первых двух точках вода загрязнена сильнее, чем в третьей. Во</w:t>
      </w:r>
      <w:r w:rsidRPr="00E5540A">
        <w:rPr>
          <w:rFonts w:eastAsia="Calibri"/>
          <w:bCs/>
          <w:sz w:val="22"/>
          <w:szCs w:val="22"/>
          <w:lang w:eastAsia="en-US"/>
        </w:rPr>
        <w:t>з</w:t>
      </w:r>
      <w:r w:rsidRPr="00E5540A">
        <w:rPr>
          <w:rFonts w:eastAsia="Calibri"/>
          <w:bCs/>
          <w:sz w:val="22"/>
          <w:szCs w:val="22"/>
          <w:lang w:eastAsia="en-US"/>
        </w:rPr>
        <w:t>можно, это связано с тем, что в зоне отбора проб в первых двух точках, которые расположены вблизи населенного пункта ст. Ст</w:t>
      </w:r>
      <w:r w:rsidRPr="00E5540A">
        <w:rPr>
          <w:rFonts w:eastAsia="Calibri"/>
          <w:bCs/>
          <w:sz w:val="22"/>
          <w:szCs w:val="22"/>
          <w:lang w:eastAsia="en-US"/>
        </w:rPr>
        <w:t>а</w:t>
      </w:r>
      <w:r w:rsidRPr="00E5540A">
        <w:rPr>
          <w:rFonts w:eastAsia="Calibri"/>
          <w:bCs/>
          <w:sz w:val="22"/>
          <w:szCs w:val="22"/>
          <w:lang w:eastAsia="en-US"/>
        </w:rPr>
        <w:t>рокорсунской выходят сточные воды с частных домов, неся с собой множество различных загрязнителей, а так же часто вдоль берега проплывают моторные лодки. Однако в 3-ей точке вода не на много чище, это может свидетельствовать о том, что вследствие течения загрязнители переносятся в Кубанское водохранилище, откуда п</w:t>
      </w:r>
      <w:r w:rsidRPr="00E5540A">
        <w:rPr>
          <w:rFonts w:eastAsia="Calibri"/>
          <w:bCs/>
          <w:sz w:val="22"/>
          <w:szCs w:val="22"/>
          <w:lang w:eastAsia="en-US"/>
        </w:rPr>
        <w:t>о</w:t>
      </w:r>
      <w:r w:rsidRPr="00E5540A">
        <w:rPr>
          <w:rFonts w:eastAsia="Calibri"/>
          <w:bCs/>
          <w:sz w:val="22"/>
          <w:szCs w:val="22"/>
          <w:lang w:eastAsia="en-US"/>
        </w:rPr>
        <w:t>ступают в Азовское море.</w:t>
      </w:r>
    </w:p>
    <w:p w:rsidR="00E5540A" w:rsidRPr="00E5540A" w:rsidRDefault="00E5540A" w:rsidP="00E5540A">
      <w:pPr>
        <w:widowControl w:val="0"/>
        <w:ind w:firstLine="425"/>
        <w:jc w:val="both"/>
        <w:rPr>
          <w:rFonts w:eastAsia="Calibri"/>
          <w:sz w:val="22"/>
          <w:szCs w:val="22"/>
          <w:lang w:eastAsia="en-US"/>
        </w:rPr>
      </w:pPr>
      <w:r w:rsidRPr="00E5540A">
        <w:rPr>
          <w:rFonts w:eastAsia="Calibri"/>
          <w:sz w:val="22"/>
          <w:szCs w:val="22"/>
          <w:lang w:eastAsia="en-US"/>
        </w:rPr>
        <w:t xml:space="preserve">Экспресс-индикация ряски </w:t>
      </w:r>
      <w:r w:rsidRPr="00E5540A">
        <w:rPr>
          <w:rFonts w:eastAsia="Calibri"/>
          <w:bCs/>
          <w:i/>
          <w:sz w:val="22"/>
          <w:szCs w:val="22"/>
          <w:lang w:eastAsia="en-US"/>
        </w:rPr>
        <w:t>Lemna minor L</w:t>
      </w:r>
      <w:r w:rsidRPr="00E5540A">
        <w:rPr>
          <w:rFonts w:eastAsia="Calibri"/>
          <w:bCs/>
          <w:sz w:val="22"/>
          <w:szCs w:val="22"/>
          <w:lang w:eastAsia="en-US"/>
        </w:rPr>
        <w:t xml:space="preserve">., показала, что вода в зоне эвтрофикации колеблется </w:t>
      </w:r>
      <w:proofErr w:type="gramStart"/>
      <w:r w:rsidRPr="00E5540A">
        <w:rPr>
          <w:rFonts w:eastAsia="Calibri"/>
          <w:bCs/>
          <w:sz w:val="22"/>
          <w:szCs w:val="22"/>
          <w:lang w:eastAsia="en-US"/>
        </w:rPr>
        <w:t>от</w:t>
      </w:r>
      <w:proofErr w:type="gramEnd"/>
      <w:r w:rsidRPr="00E5540A">
        <w:rPr>
          <w:rFonts w:eastAsia="Calibri"/>
          <w:bCs/>
          <w:sz w:val="22"/>
          <w:szCs w:val="22"/>
          <w:lang w:eastAsia="en-US"/>
        </w:rPr>
        <w:t xml:space="preserve"> умеренно-загрязненной до загря</w:t>
      </w:r>
      <w:r w:rsidRPr="00E5540A">
        <w:rPr>
          <w:rFonts w:eastAsia="Calibri"/>
          <w:bCs/>
          <w:sz w:val="22"/>
          <w:szCs w:val="22"/>
          <w:lang w:eastAsia="en-US"/>
        </w:rPr>
        <w:t>з</w:t>
      </w:r>
      <w:r w:rsidRPr="00E5540A">
        <w:rPr>
          <w:rFonts w:eastAsia="Calibri"/>
          <w:bCs/>
          <w:sz w:val="22"/>
          <w:szCs w:val="22"/>
          <w:lang w:eastAsia="en-US"/>
        </w:rPr>
        <w:t xml:space="preserve">ненной. </w:t>
      </w:r>
      <w:r w:rsidRPr="00E5540A">
        <w:rPr>
          <w:rFonts w:eastAsia="Calibri"/>
          <w:sz w:val="22"/>
          <w:szCs w:val="22"/>
          <w:lang w:eastAsia="en-US"/>
        </w:rPr>
        <w:t xml:space="preserve">В результате проведенных исследований можно подвести итог, что вблизи селитебной зоны (в районе ст. Старокорсунской) с огромной антропогенной, рекреационной, сельскохозяйственной </w:t>
      </w:r>
      <w:r w:rsidRPr="00E5540A">
        <w:rPr>
          <w:rFonts w:eastAsia="Calibri"/>
          <w:sz w:val="22"/>
          <w:szCs w:val="22"/>
          <w:lang w:eastAsia="en-US"/>
        </w:rPr>
        <w:lastRenderedPageBreak/>
        <w:t>нагрузкой идет резкое ухудшение экологической ситуации.</w:t>
      </w:r>
    </w:p>
    <w:p w:rsidR="00E5540A" w:rsidRPr="00E5540A" w:rsidRDefault="00E5540A" w:rsidP="00E5540A">
      <w:pPr>
        <w:widowControl w:val="0"/>
        <w:ind w:firstLine="425"/>
        <w:jc w:val="both"/>
        <w:rPr>
          <w:rFonts w:eastAsia="Calibri"/>
          <w:sz w:val="22"/>
          <w:szCs w:val="22"/>
          <w:lang w:eastAsia="en-US"/>
        </w:rPr>
      </w:pPr>
    </w:p>
    <w:p w:rsidR="00E5540A" w:rsidRPr="00E5540A" w:rsidRDefault="00E5540A" w:rsidP="00E5540A">
      <w:pPr>
        <w:widowControl w:val="0"/>
        <w:jc w:val="center"/>
        <w:rPr>
          <w:rFonts w:eastAsia="Calibri"/>
          <w:sz w:val="22"/>
          <w:szCs w:val="22"/>
          <w:lang w:eastAsia="en-US"/>
        </w:rPr>
      </w:pPr>
      <w:r w:rsidRPr="00E5540A">
        <w:rPr>
          <w:rFonts w:eastAsia="Calibri"/>
          <w:sz w:val="22"/>
          <w:szCs w:val="22"/>
          <w:lang w:eastAsia="en-US"/>
        </w:rPr>
        <w:t>Список литературы</w:t>
      </w:r>
    </w:p>
    <w:p w:rsidR="00E5540A" w:rsidRPr="00E5540A" w:rsidRDefault="00E5540A" w:rsidP="00E5540A">
      <w:pPr>
        <w:widowControl w:val="0"/>
        <w:suppressAutoHyphens/>
        <w:ind w:firstLine="425"/>
        <w:jc w:val="both"/>
        <w:rPr>
          <w:color w:val="000000"/>
          <w:sz w:val="22"/>
          <w:szCs w:val="22"/>
        </w:rPr>
      </w:pPr>
      <w:r w:rsidRPr="00E5540A">
        <w:rPr>
          <w:color w:val="000000"/>
          <w:sz w:val="22"/>
          <w:szCs w:val="22"/>
        </w:rPr>
        <w:t>1. Горленко, В. М. Экология водных микроорганизмов. / В. М. Горленко, Г. А Дубинина, С. И. Кузнецов. – М.: Наука,1977. – 289 с.</w:t>
      </w:r>
    </w:p>
    <w:p w:rsidR="00E5540A" w:rsidRPr="00E5540A" w:rsidRDefault="00E5540A" w:rsidP="00E5540A">
      <w:pPr>
        <w:widowControl w:val="0"/>
        <w:shd w:val="clear" w:color="auto" w:fill="FFFFFF"/>
        <w:tabs>
          <w:tab w:val="left" w:pos="1445"/>
        </w:tabs>
        <w:suppressAutoHyphens/>
        <w:autoSpaceDE w:val="0"/>
        <w:autoSpaceDN w:val="0"/>
        <w:adjustRightInd w:val="0"/>
        <w:ind w:firstLine="425"/>
        <w:jc w:val="both"/>
        <w:rPr>
          <w:color w:val="000000"/>
          <w:spacing w:val="2"/>
          <w:sz w:val="22"/>
          <w:szCs w:val="22"/>
        </w:rPr>
      </w:pPr>
      <w:r w:rsidRPr="00E5540A">
        <w:rPr>
          <w:rFonts w:eastAsia="Calibri"/>
          <w:sz w:val="22"/>
          <w:szCs w:val="22"/>
          <w:lang w:eastAsia="en-US"/>
        </w:rPr>
        <w:t xml:space="preserve">2. </w:t>
      </w:r>
      <w:r w:rsidRPr="00E5540A">
        <w:rPr>
          <w:color w:val="000000"/>
          <w:spacing w:val="1"/>
          <w:sz w:val="22"/>
          <w:szCs w:val="22"/>
        </w:rPr>
        <w:t xml:space="preserve">Доклад «О состоянии природопользования и об охране окружающей среды </w:t>
      </w:r>
      <w:r w:rsidRPr="00E5540A">
        <w:rPr>
          <w:color w:val="000000"/>
          <w:spacing w:val="8"/>
          <w:sz w:val="22"/>
          <w:szCs w:val="22"/>
        </w:rPr>
        <w:t xml:space="preserve">Краснодарского края в 2008 году». </w:t>
      </w:r>
      <w:r w:rsidRPr="00E5540A">
        <w:rPr>
          <w:color w:val="000000"/>
          <w:spacing w:val="1"/>
          <w:sz w:val="22"/>
          <w:szCs w:val="22"/>
        </w:rPr>
        <w:t xml:space="preserve">– </w:t>
      </w:r>
      <w:r w:rsidRPr="00E5540A">
        <w:rPr>
          <w:color w:val="000000"/>
          <w:spacing w:val="2"/>
          <w:sz w:val="22"/>
          <w:szCs w:val="22"/>
        </w:rPr>
        <w:t xml:space="preserve">Краснодар, 2008. </w:t>
      </w:r>
      <w:r w:rsidRPr="00E5540A">
        <w:rPr>
          <w:color w:val="000000"/>
          <w:spacing w:val="1"/>
          <w:sz w:val="22"/>
          <w:szCs w:val="22"/>
        </w:rPr>
        <w:t>–</w:t>
      </w:r>
      <w:r w:rsidRPr="00E5540A">
        <w:rPr>
          <w:color w:val="000000"/>
          <w:spacing w:val="2"/>
          <w:sz w:val="22"/>
          <w:szCs w:val="22"/>
        </w:rPr>
        <w:t xml:space="preserve"> С. 35-36.</w:t>
      </w:r>
    </w:p>
    <w:p w:rsidR="00E5540A" w:rsidRPr="00E5540A" w:rsidRDefault="00E5540A" w:rsidP="00E5540A">
      <w:pPr>
        <w:widowControl w:val="0"/>
        <w:suppressAutoHyphens/>
        <w:ind w:firstLine="425"/>
        <w:jc w:val="both"/>
        <w:rPr>
          <w:rFonts w:eastAsia="Calibri"/>
          <w:sz w:val="22"/>
          <w:szCs w:val="20"/>
          <w:lang w:eastAsia="en-US"/>
        </w:rPr>
      </w:pPr>
      <w:r w:rsidRPr="00E5540A">
        <w:rPr>
          <w:rFonts w:eastAsia="Calibri"/>
          <w:sz w:val="22"/>
          <w:szCs w:val="20"/>
          <w:lang w:eastAsia="en-US"/>
        </w:rPr>
        <w:t xml:space="preserve">3.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Суркова – Краснодар: КубГАУ, 2016. – 80 с. </w:t>
      </w:r>
    </w:p>
    <w:p w:rsidR="00E5540A" w:rsidRPr="00E5540A" w:rsidRDefault="00E5540A" w:rsidP="00E5540A">
      <w:pPr>
        <w:widowControl w:val="0"/>
        <w:suppressAutoHyphens/>
        <w:ind w:firstLine="425"/>
        <w:contextualSpacing/>
        <w:jc w:val="both"/>
        <w:rPr>
          <w:rFonts w:eastAsia="Calibri"/>
          <w:sz w:val="22"/>
          <w:szCs w:val="22"/>
          <w:lang w:eastAsia="en-US"/>
        </w:rPr>
      </w:pPr>
      <w:r w:rsidRPr="00E5540A">
        <w:rPr>
          <w:sz w:val="22"/>
          <w:szCs w:val="22"/>
        </w:rPr>
        <w:t>4. Стрельников, В. В. Учение о гидросфере: учебник / В.В. Стрельников, И.В. Хмара. – Краснодар: Изд. Дом – Юг, 2015. – С. 8.</w:t>
      </w:r>
    </w:p>
    <w:p w:rsidR="00E5540A" w:rsidRPr="00E5540A" w:rsidRDefault="00E5540A" w:rsidP="00E5540A">
      <w:pPr>
        <w:widowControl w:val="0"/>
        <w:suppressAutoHyphens/>
        <w:ind w:firstLine="425"/>
        <w:jc w:val="both"/>
        <w:rPr>
          <w:sz w:val="22"/>
          <w:szCs w:val="22"/>
        </w:rPr>
      </w:pPr>
    </w:p>
    <w:p w:rsidR="00E5540A" w:rsidRPr="00CD45A4" w:rsidRDefault="00E5540A" w:rsidP="00E5540A">
      <w:pPr>
        <w:widowControl w:val="0"/>
        <w:suppressAutoHyphens/>
        <w:jc w:val="both"/>
        <w:rPr>
          <w:rFonts w:eastAsia="Calibri"/>
          <w:sz w:val="22"/>
          <w:szCs w:val="20"/>
          <w:lang w:eastAsia="en-US"/>
        </w:rPr>
      </w:pPr>
    </w:p>
    <w:p w:rsidR="000E5D27" w:rsidRDefault="000E5D27">
      <w:pPr>
        <w:rPr>
          <w:sz w:val="20"/>
          <w:szCs w:val="20"/>
        </w:rPr>
      </w:pPr>
    </w:p>
    <w:p w:rsidR="00CD45A4" w:rsidRPr="00CD45A4" w:rsidRDefault="00CD45A4" w:rsidP="00CD45A4">
      <w:pPr>
        <w:widowControl w:val="0"/>
        <w:contextualSpacing/>
        <w:rPr>
          <w:rFonts w:eastAsia="Calibri"/>
          <w:sz w:val="22"/>
          <w:szCs w:val="22"/>
          <w:lang w:eastAsia="en-US"/>
        </w:rPr>
      </w:pPr>
      <w:r w:rsidRPr="00CD45A4">
        <w:rPr>
          <w:rFonts w:eastAsia="Calibri"/>
          <w:sz w:val="22"/>
          <w:szCs w:val="22"/>
          <w:lang w:eastAsia="en-US"/>
        </w:rPr>
        <w:t>УДК 504.064:631.4 (470.620)</w:t>
      </w:r>
    </w:p>
    <w:p w:rsidR="00CD45A4" w:rsidRPr="00CD45A4" w:rsidRDefault="00CD45A4" w:rsidP="00CD45A4">
      <w:pPr>
        <w:widowControl w:val="0"/>
        <w:contextualSpacing/>
        <w:rPr>
          <w:rFonts w:eastAsia="Calibri"/>
          <w:sz w:val="22"/>
          <w:szCs w:val="22"/>
          <w:lang w:eastAsia="en-US"/>
        </w:rPr>
      </w:pPr>
    </w:p>
    <w:p w:rsidR="00CD45A4" w:rsidRPr="00CD45A4" w:rsidRDefault="00CD45A4" w:rsidP="00CD45A4">
      <w:pPr>
        <w:widowControl w:val="0"/>
        <w:suppressAutoHyphens/>
        <w:autoSpaceDE w:val="0"/>
        <w:autoSpaceDN w:val="0"/>
        <w:adjustRightInd w:val="0"/>
        <w:jc w:val="center"/>
        <w:rPr>
          <w:b/>
          <w:sz w:val="24"/>
          <w:szCs w:val="24"/>
        </w:rPr>
      </w:pPr>
      <w:r w:rsidRPr="00CD45A4">
        <w:rPr>
          <w:b/>
          <w:sz w:val="24"/>
          <w:szCs w:val="24"/>
        </w:rPr>
        <w:t>Изучение загрязнения почвы прилегающей территор</w:t>
      </w:r>
      <w:proofErr w:type="gramStart"/>
      <w:r w:rsidRPr="00CD45A4">
        <w:rPr>
          <w:b/>
          <w:sz w:val="24"/>
          <w:szCs w:val="24"/>
        </w:rPr>
        <w:t>ии ООО А</w:t>
      </w:r>
      <w:proofErr w:type="gramEnd"/>
      <w:r w:rsidRPr="00CD45A4">
        <w:rPr>
          <w:b/>
          <w:sz w:val="24"/>
          <w:szCs w:val="24"/>
        </w:rPr>
        <w:t>фипский НПЗ Северского района методом биотестирования</w:t>
      </w:r>
    </w:p>
    <w:p w:rsidR="00CD45A4" w:rsidRPr="00CD45A4" w:rsidRDefault="00CD45A4" w:rsidP="00CD45A4">
      <w:pPr>
        <w:widowControl w:val="0"/>
        <w:suppressAutoHyphens/>
        <w:autoSpaceDE w:val="0"/>
        <w:autoSpaceDN w:val="0"/>
        <w:adjustRightInd w:val="0"/>
        <w:jc w:val="center"/>
        <w:rPr>
          <w:b/>
          <w:sz w:val="24"/>
          <w:szCs w:val="24"/>
          <w:lang w:val="en-US"/>
        </w:rPr>
      </w:pPr>
      <w:r w:rsidRPr="00CD45A4">
        <w:rPr>
          <w:b/>
          <w:sz w:val="24"/>
          <w:szCs w:val="24"/>
          <w:lang w:val="en-US"/>
        </w:rPr>
        <w:t>Study of soil contamination of the adjacent territory of Afipsky NPZ of the Seversky District by the method of biotesting</w:t>
      </w:r>
    </w:p>
    <w:p w:rsidR="00CD45A4" w:rsidRPr="00CD45A4" w:rsidRDefault="00CD45A4" w:rsidP="00CD45A4">
      <w:pPr>
        <w:widowControl w:val="0"/>
        <w:tabs>
          <w:tab w:val="left" w:pos="8223"/>
        </w:tabs>
        <w:contextualSpacing/>
        <w:jc w:val="right"/>
        <w:rPr>
          <w:rFonts w:eastAsia="Courier New"/>
          <w:color w:val="000000"/>
          <w:sz w:val="22"/>
          <w:szCs w:val="22"/>
          <w:lang w:val="en-US" w:eastAsia="en-US"/>
        </w:rPr>
      </w:pPr>
    </w:p>
    <w:p w:rsidR="00CD45A4" w:rsidRPr="00CD45A4" w:rsidRDefault="00CD45A4" w:rsidP="00CD45A4">
      <w:pPr>
        <w:widowControl w:val="0"/>
        <w:tabs>
          <w:tab w:val="left" w:pos="8223"/>
        </w:tabs>
        <w:contextualSpacing/>
        <w:jc w:val="right"/>
        <w:rPr>
          <w:rFonts w:eastAsia="Courier New"/>
          <w:sz w:val="22"/>
          <w:szCs w:val="22"/>
          <w:lang w:eastAsia="en-US"/>
        </w:rPr>
      </w:pPr>
      <w:r w:rsidRPr="00CD45A4">
        <w:rPr>
          <w:rFonts w:eastAsia="Courier New"/>
          <w:sz w:val="22"/>
          <w:szCs w:val="22"/>
          <w:lang w:eastAsia="en-US"/>
        </w:rPr>
        <w:t>Туляева К. Н.,</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студентка 4-го курса</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факультета агрономии и экологии</w:t>
      </w:r>
    </w:p>
    <w:p w:rsidR="00CD45A4" w:rsidRPr="00CD45A4" w:rsidRDefault="00CD45A4" w:rsidP="00CD45A4">
      <w:pPr>
        <w:widowControl w:val="0"/>
        <w:tabs>
          <w:tab w:val="left" w:pos="8223"/>
        </w:tabs>
        <w:contextualSpacing/>
        <w:jc w:val="right"/>
        <w:rPr>
          <w:rFonts w:eastAsia="Courier New"/>
          <w:color w:val="000000"/>
          <w:sz w:val="22"/>
          <w:szCs w:val="22"/>
          <w:lang w:eastAsia="en-US"/>
        </w:rPr>
      </w:pPr>
      <w:r w:rsidRPr="00CD45A4">
        <w:rPr>
          <w:rFonts w:eastAsia="Courier New"/>
          <w:color w:val="000000"/>
          <w:sz w:val="22"/>
          <w:szCs w:val="22"/>
          <w:lang w:eastAsia="en-US"/>
        </w:rPr>
        <w:t>Куб</w:t>
      </w:r>
      <w:r w:rsidR="000E5D27">
        <w:rPr>
          <w:rFonts w:eastAsia="Courier New"/>
          <w:color w:val="000000"/>
          <w:sz w:val="22"/>
          <w:szCs w:val="22"/>
          <w:lang w:eastAsia="en-US"/>
        </w:rPr>
        <w:t>анский государственный аграрный</w:t>
      </w:r>
    </w:p>
    <w:p w:rsidR="00CD45A4" w:rsidRPr="00CD45A4" w:rsidRDefault="00CD45A4" w:rsidP="00CD45A4">
      <w:pPr>
        <w:widowControl w:val="0"/>
        <w:contextualSpacing/>
        <w:jc w:val="right"/>
        <w:rPr>
          <w:rFonts w:eastAsia="Courier New"/>
          <w:color w:val="000000"/>
          <w:sz w:val="22"/>
          <w:szCs w:val="22"/>
          <w:lang w:eastAsia="en-US"/>
        </w:rPr>
      </w:pPr>
      <w:r w:rsidRPr="00CD45A4">
        <w:rPr>
          <w:rFonts w:eastAsia="Courier New"/>
          <w:color w:val="000000"/>
          <w:sz w:val="22"/>
          <w:szCs w:val="22"/>
          <w:lang w:eastAsia="en-US"/>
        </w:rPr>
        <w:t>университет имени И.</w:t>
      </w:r>
      <w:r w:rsidR="000E5D27">
        <w:rPr>
          <w:rFonts w:eastAsia="Courier New"/>
          <w:color w:val="000000"/>
          <w:sz w:val="22"/>
          <w:szCs w:val="22"/>
          <w:lang w:eastAsia="en-US"/>
        </w:rPr>
        <w:t xml:space="preserve"> </w:t>
      </w:r>
      <w:r w:rsidRPr="00CD45A4">
        <w:rPr>
          <w:rFonts w:eastAsia="Courier New"/>
          <w:color w:val="000000"/>
          <w:sz w:val="22"/>
          <w:szCs w:val="22"/>
          <w:lang w:eastAsia="en-US"/>
        </w:rPr>
        <w:t>Т. Трубилина</w:t>
      </w:r>
    </w:p>
    <w:p w:rsidR="00CD45A4" w:rsidRPr="00CD45A4" w:rsidRDefault="00CD45A4" w:rsidP="00CD45A4">
      <w:pPr>
        <w:widowControl w:val="0"/>
        <w:contextualSpacing/>
        <w:jc w:val="both"/>
        <w:rPr>
          <w:rFonts w:eastAsia="Courier New"/>
          <w:color w:val="000000"/>
          <w:sz w:val="22"/>
          <w:szCs w:val="22"/>
          <w:lang w:eastAsia="en-US"/>
        </w:rPr>
      </w:pPr>
    </w:p>
    <w:p w:rsidR="00CD45A4" w:rsidRPr="00CD45A4" w:rsidRDefault="00CD45A4" w:rsidP="000E5D27">
      <w:pPr>
        <w:widowControl w:val="0"/>
        <w:suppressAutoHyphens/>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АННОТАЦИЯ: В статье рассматривается и</w:t>
      </w:r>
      <w:r w:rsidRPr="00CD45A4">
        <w:rPr>
          <w:sz w:val="22"/>
          <w:szCs w:val="22"/>
        </w:rPr>
        <w:t xml:space="preserve">спользование кресс-салата как </w:t>
      </w:r>
      <w:proofErr w:type="gramStart"/>
      <w:r w:rsidRPr="00CD45A4">
        <w:rPr>
          <w:sz w:val="22"/>
          <w:szCs w:val="22"/>
        </w:rPr>
        <w:t>тест-объекта</w:t>
      </w:r>
      <w:proofErr w:type="gramEnd"/>
      <w:r w:rsidRPr="00CD45A4">
        <w:rPr>
          <w:sz w:val="22"/>
          <w:szCs w:val="22"/>
        </w:rPr>
        <w:t xml:space="preserve"> для изучения загрязнения почвы прилегающей территории ООО Афипский НПЗ Северского района</w:t>
      </w:r>
      <w:r w:rsidRPr="00CD45A4">
        <w:rPr>
          <w:rFonts w:eastAsia="Courier New"/>
          <w:color w:val="000000"/>
          <w:sz w:val="22"/>
          <w:szCs w:val="22"/>
          <w:lang w:eastAsia="en-US"/>
        </w:rPr>
        <w:t>.</w:t>
      </w:r>
    </w:p>
    <w:p w:rsidR="00CD45A4" w:rsidRPr="00CD45A4" w:rsidRDefault="00CD45A4" w:rsidP="000E5D27">
      <w:pPr>
        <w:widowControl w:val="0"/>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 xml:space="preserve">ABSTRACT: In the article, the use of watercress as a test object for the study of soil contamination in the adjacent territory of the Afipsky </w:t>
      </w:r>
      <w:r w:rsidRPr="00CD45A4">
        <w:rPr>
          <w:rFonts w:eastAsia="Courier New"/>
          <w:color w:val="000000"/>
          <w:sz w:val="22"/>
          <w:szCs w:val="22"/>
          <w:lang w:val="en-US" w:eastAsia="en-US"/>
        </w:rPr>
        <w:lastRenderedPageBreak/>
        <w:t>Refinery of the Seversky District is considered.</w:t>
      </w:r>
    </w:p>
    <w:p w:rsidR="00CD45A4" w:rsidRPr="00CD45A4" w:rsidRDefault="00CD45A4" w:rsidP="000E5D27">
      <w:pPr>
        <w:widowControl w:val="0"/>
        <w:ind w:firstLine="426"/>
        <w:contextualSpacing/>
        <w:jc w:val="both"/>
        <w:rPr>
          <w:rFonts w:eastAsia="Courier New"/>
          <w:color w:val="000000"/>
          <w:sz w:val="22"/>
          <w:szCs w:val="22"/>
          <w:lang w:eastAsia="en-US"/>
        </w:rPr>
      </w:pPr>
      <w:r w:rsidRPr="00CD45A4">
        <w:rPr>
          <w:rFonts w:eastAsia="Courier New"/>
          <w:color w:val="000000"/>
          <w:sz w:val="22"/>
          <w:szCs w:val="22"/>
          <w:lang w:eastAsia="en-US"/>
        </w:rPr>
        <w:t xml:space="preserve">КЛЮЧЕВЫЕ СЛОВА: нефть, почва, загрязняющие вещества, биотестирование, </w:t>
      </w:r>
      <w:r w:rsidRPr="00CD45A4">
        <w:rPr>
          <w:sz w:val="22"/>
          <w:szCs w:val="22"/>
        </w:rPr>
        <w:t>кресс-салат, всхожесть.</w:t>
      </w:r>
    </w:p>
    <w:p w:rsidR="00CD45A4" w:rsidRPr="00CD45A4" w:rsidRDefault="00CD45A4" w:rsidP="000E5D27">
      <w:pPr>
        <w:widowControl w:val="0"/>
        <w:suppressAutoHyphens/>
        <w:ind w:firstLine="426"/>
        <w:contextualSpacing/>
        <w:jc w:val="both"/>
        <w:rPr>
          <w:rFonts w:eastAsia="Courier New"/>
          <w:color w:val="000000"/>
          <w:sz w:val="22"/>
          <w:szCs w:val="22"/>
          <w:lang w:val="en-US" w:eastAsia="en-US"/>
        </w:rPr>
      </w:pPr>
      <w:r w:rsidRPr="00CD45A4">
        <w:rPr>
          <w:rFonts w:eastAsia="Courier New"/>
          <w:color w:val="000000"/>
          <w:sz w:val="22"/>
          <w:szCs w:val="22"/>
          <w:lang w:val="en-US" w:eastAsia="en-US"/>
        </w:rPr>
        <w:t>KEY WORDS: oil, soil, pollutants, biotesting, watercress, germination.</w:t>
      </w:r>
    </w:p>
    <w:p w:rsidR="00CD45A4" w:rsidRPr="00CD45A4" w:rsidRDefault="00CD45A4" w:rsidP="000E5D27">
      <w:pPr>
        <w:widowControl w:val="0"/>
        <w:ind w:firstLine="426"/>
        <w:contextualSpacing/>
        <w:jc w:val="both"/>
        <w:rPr>
          <w:rFonts w:eastAsia="Courier New"/>
          <w:color w:val="000000"/>
          <w:sz w:val="22"/>
          <w:szCs w:val="22"/>
          <w:lang w:val="en-US" w:eastAsia="en-US"/>
        </w:rPr>
      </w:pPr>
    </w:p>
    <w:p w:rsidR="00CD45A4" w:rsidRPr="00CD45A4" w:rsidRDefault="00CD45A4" w:rsidP="000E5D27">
      <w:pPr>
        <w:widowControl w:val="0"/>
        <w:shd w:val="clear" w:color="auto" w:fill="FFFFFF"/>
        <w:ind w:firstLine="426"/>
        <w:jc w:val="both"/>
        <w:rPr>
          <w:rFonts w:eastAsia="Courier New"/>
          <w:color w:val="000000"/>
          <w:sz w:val="22"/>
          <w:szCs w:val="22"/>
          <w:lang w:eastAsia="en-US"/>
        </w:rPr>
      </w:pPr>
      <w:r w:rsidRPr="00CD45A4">
        <w:rPr>
          <w:sz w:val="22"/>
          <w:szCs w:val="22"/>
        </w:rPr>
        <w:t xml:space="preserve">Нефтяная промышленность тесно связана со всеми отраслями народного хозяйства, так как нет ни одной отрасли, </w:t>
      </w:r>
      <w:proofErr w:type="gramStart"/>
      <w:r w:rsidRPr="00CD45A4">
        <w:rPr>
          <w:sz w:val="22"/>
          <w:szCs w:val="22"/>
        </w:rPr>
        <w:t>где бы не пр</w:t>
      </w:r>
      <w:r w:rsidRPr="00CD45A4">
        <w:rPr>
          <w:sz w:val="22"/>
          <w:szCs w:val="22"/>
        </w:rPr>
        <w:t>и</w:t>
      </w:r>
      <w:r w:rsidRPr="00CD45A4">
        <w:rPr>
          <w:sz w:val="22"/>
          <w:szCs w:val="22"/>
        </w:rPr>
        <w:t>меняли</w:t>
      </w:r>
      <w:proofErr w:type="gramEnd"/>
      <w:r w:rsidRPr="00CD45A4">
        <w:rPr>
          <w:sz w:val="22"/>
          <w:szCs w:val="22"/>
        </w:rPr>
        <w:t xml:space="preserve"> нефтепродукты. В</w:t>
      </w:r>
      <w:r w:rsidRPr="00CD45A4">
        <w:rPr>
          <w:color w:val="000000"/>
          <w:spacing w:val="1"/>
          <w:sz w:val="22"/>
          <w:szCs w:val="22"/>
        </w:rPr>
        <w:t>ещества, входящие в состав формиру</w:t>
      </w:r>
      <w:r w:rsidRPr="00CD45A4">
        <w:rPr>
          <w:color w:val="000000"/>
          <w:spacing w:val="1"/>
          <w:sz w:val="22"/>
          <w:szCs w:val="22"/>
        </w:rPr>
        <w:t>ю</w:t>
      </w:r>
      <w:r w:rsidRPr="00CD45A4">
        <w:rPr>
          <w:color w:val="000000"/>
          <w:spacing w:val="1"/>
          <w:sz w:val="22"/>
          <w:szCs w:val="22"/>
        </w:rPr>
        <w:t xml:space="preserve">щихся на </w:t>
      </w:r>
      <w:r w:rsidRPr="00CD45A4">
        <w:rPr>
          <w:color w:val="000000"/>
          <w:spacing w:val="5"/>
          <w:sz w:val="22"/>
          <w:szCs w:val="22"/>
        </w:rPr>
        <w:t>объектах нефтегазового комплекса техногенных пот</w:t>
      </w:r>
      <w:r w:rsidRPr="00CD45A4">
        <w:rPr>
          <w:color w:val="000000"/>
          <w:spacing w:val="5"/>
          <w:sz w:val="22"/>
          <w:szCs w:val="22"/>
        </w:rPr>
        <w:t>о</w:t>
      </w:r>
      <w:r w:rsidRPr="00CD45A4">
        <w:rPr>
          <w:color w:val="000000"/>
          <w:spacing w:val="5"/>
          <w:sz w:val="22"/>
          <w:szCs w:val="22"/>
        </w:rPr>
        <w:t xml:space="preserve">ков, геохимически </w:t>
      </w:r>
      <w:r w:rsidRPr="00CD45A4">
        <w:rPr>
          <w:color w:val="000000"/>
          <w:spacing w:val="1"/>
          <w:sz w:val="22"/>
          <w:szCs w:val="22"/>
        </w:rPr>
        <w:t xml:space="preserve">активны, часто </w:t>
      </w:r>
      <w:proofErr w:type="gramStart"/>
      <w:r w:rsidRPr="00CD45A4">
        <w:rPr>
          <w:color w:val="000000"/>
          <w:spacing w:val="1"/>
          <w:sz w:val="22"/>
          <w:szCs w:val="22"/>
        </w:rPr>
        <w:t>высоко токсичны</w:t>
      </w:r>
      <w:proofErr w:type="gramEnd"/>
      <w:r w:rsidRPr="00CD45A4">
        <w:rPr>
          <w:color w:val="000000"/>
          <w:spacing w:val="1"/>
          <w:sz w:val="22"/>
          <w:szCs w:val="22"/>
        </w:rPr>
        <w:t xml:space="preserve"> и опасны для природной среды. Многие </w:t>
      </w:r>
      <w:r w:rsidRPr="00CD45A4">
        <w:rPr>
          <w:color w:val="000000"/>
          <w:spacing w:val="12"/>
          <w:sz w:val="22"/>
          <w:szCs w:val="22"/>
        </w:rPr>
        <w:t>действующие предприятия этой о</w:t>
      </w:r>
      <w:r w:rsidRPr="00CD45A4">
        <w:rPr>
          <w:color w:val="000000"/>
          <w:spacing w:val="12"/>
          <w:sz w:val="22"/>
          <w:szCs w:val="22"/>
        </w:rPr>
        <w:t>т</w:t>
      </w:r>
      <w:r w:rsidRPr="00CD45A4">
        <w:rPr>
          <w:color w:val="000000"/>
          <w:spacing w:val="12"/>
          <w:sz w:val="22"/>
          <w:szCs w:val="22"/>
        </w:rPr>
        <w:t xml:space="preserve">расли являются сегодня источниками </w:t>
      </w:r>
      <w:r w:rsidRPr="00CD45A4">
        <w:rPr>
          <w:color w:val="000000"/>
          <w:spacing w:val="1"/>
          <w:sz w:val="22"/>
          <w:szCs w:val="22"/>
        </w:rPr>
        <w:t xml:space="preserve">поступления 80-95 % общей региональной массы загрязняющих веществ </w:t>
      </w:r>
      <w:r w:rsidRPr="00CD45A4">
        <w:rPr>
          <w:rFonts w:eastAsia="Courier New"/>
          <w:color w:val="000000"/>
          <w:sz w:val="22"/>
          <w:szCs w:val="22"/>
          <w:lang w:eastAsia="en-US"/>
        </w:rPr>
        <w:t>[2].</w:t>
      </w:r>
    </w:p>
    <w:p w:rsidR="00CD45A4" w:rsidRPr="00CD45A4" w:rsidRDefault="00CD45A4" w:rsidP="000E5D27">
      <w:pPr>
        <w:widowControl w:val="0"/>
        <w:shd w:val="clear" w:color="auto" w:fill="FFFFFF"/>
        <w:ind w:firstLine="426"/>
        <w:jc w:val="both"/>
        <w:rPr>
          <w:rFonts w:eastAsia="Courier New"/>
          <w:color w:val="000000"/>
          <w:sz w:val="22"/>
          <w:szCs w:val="22"/>
          <w:lang w:eastAsia="en-US"/>
        </w:rPr>
      </w:pPr>
      <w:r w:rsidRPr="00CD45A4">
        <w:rPr>
          <w:rFonts w:eastAsia="Courier New"/>
          <w:color w:val="000000"/>
          <w:sz w:val="22"/>
          <w:szCs w:val="22"/>
          <w:lang w:eastAsia="en-US"/>
        </w:rPr>
        <w:t>Поэтому основные экологические проблемы Северского района связаны с его экономической специализацией. На территории им</w:t>
      </w:r>
      <w:r w:rsidRPr="00CD45A4">
        <w:rPr>
          <w:rFonts w:eastAsia="Courier New"/>
          <w:color w:val="000000"/>
          <w:sz w:val="22"/>
          <w:szCs w:val="22"/>
          <w:lang w:eastAsia="en-US"/>
        </w:rPr>
        <w:t>е</w:t>
      </w:r>
      <w:r w:rsidRPr="00CD45A4">
        <w:rPr>
          <w:rFonts w:eastAsia="Courier New"/>
          <w:color w:val="000000"/>
          <w:sz w:val="22"/>
          <w:szCs w:val="22"/>
          <w:lang w:eastAsia="en-US"/>
        </w:rPr>
        <w:t>ются месторождения нефти, природного газа. В структуре прои</w:t>
      </w:r>
      <w:r w:rsidRPr="00CD45A4">
        <w:rPr>
          <w:rFonts w:eastAsia="Courier New"/>
          <w:color w:val="000000"/>
          <w:sz w:val="22"/>
          <w:szCs w:val="22"/>
          <w:lang w:eastAsia="en-US"/>
        </w:rPr>
        <w:t>з</w:t>
      </w:r>
      <w:r w:rsidRPr="00CD45A4">
        <w:rPr>
          <w:rFonts w:eastAsia="Courier New"/>
          <w:color w:val="000000"/>
          <w:sz w:val="22"/>
          <w:szCs w:val="22"/>
          <w:lang w:eastAsia="en-US"/>
        </w:rPr>
        <w:t>водства Северского района 80,4 % приходится на производство нефтепродуктов [1, 3].</w:t>
      </w:r>
    </w:p>
    <w:p w:rsidR="00CD45A4" w:rsidRPr="00CD45A4" w:rsidRDefault="00CD45A4" w:rsidP="000E5D27">
      <w:pPr>
        <w:widowControl w:val="0"/>
        <w:ind w:firstLine="426"/>
        <w:contextualSpacing/>
        <w:jc w:val="both"/>
        <w:rPr>
          <w:sz w:val="22"/>
          <w:szCs w:val="22"/>
        </w:rPr>
      </w:pPr>
      <w:r w:rsidRPr="00CD45A4">
        <w:rPr>
          <w:sz w:val="22"/>
          <w:szCs w:val="22"/>
        </w:rPr>
        <w:t>Для проведения биотестирования на прилегающей территор</w:t>
      </w:r>
      <w:proofErr w:type="gramStart"/>
      <w:r w:rsidRPr="00CD45A4">
        <w:rPr>
          <w:sz w:val="22"/>
          <w:szCs w:val="22"/>
        </w:rPr>
        <w:t>ии ООО А</w:t>
      </w:r>
      <w:proofErr w:type="gramEnd"/>
      <w:r w:rsidRPr="00CD45A4">
        <w:rPr>
          <w:sz w:val="22"/>
          <w:szCs w:val="22"/>
        </w:rPr>
        <w:t>фипский НПЗ</w:t>
      </w:r>
      <w:r w:rsidRPr="00CD45A4">
        <w:rPr>
          <w:b/>
          <w:sz w:val="22"/>
          <w:szCs w:val="22"/>
        </w:rPr>
        <w:t xml:space="preserve"> </w:t>
      </w:r>
      <w:r w:rsidRPr="00CD45A4">
        <w:rPr>
          <w:sz w:val="22"/>
          <w:szCs w:val="22"/>
        </w:rPr>
        <w:t>пгт Афипский Северского района были от</w:t>
      </w:r>
      <w:r w:rsidRPr="00CD45A4">
        <w:rPr>
          <w:sz w:val="22"/>
          <w:szCs w:val="22"/>
        </w:rPr>
        <w:t>о</w:t>
      </w:r>
      <w:r w:rsidRPr="00CD45A4">
        <w:rPr>
          <w:sz w:val="22"/>
          <w:szCs w:val="22"/>
        </w:rPr>
        <w:t>браны пробы, в трехкратной повторности, во всех точках монит</w:t>
      </w:r>
      <w:r w:rsidRPr="00CD45A4">
        <w:rPr>
          <w:sz w:val="22"/>
          <w:szCs w:val="22"/>
        </w:rPr>
        <w:t>о</w:t>
      </w:r>
      <w:r w:rsidRPr="00CD45A4">
        <w:rPr>
          <w:sz w:val="22"/>
          <w:szCs w:val="22"/>
        </w:rPr>
        <w:t xml:space="preserve">ринга. </w:t>
      </w:r>
      <w:r w:rsidRPr="00CD45A4">
        <w:rPr>
          <w:rFonts w:eastAsia="Courier New"/>
          <w:color w:val="000000"/>
          <w:sz w:val="22"/>
          <w:szCs w:val="22"/>
          <w:lang w:eastAsia="en-US"/>
        </w:rPr>
        <w:t xml:space="preserve">В качестве </w:t>
      </w:r>
      <w:proofErr w:type="gramStart"/>
      <w:r w:rsidRPr="00CD45A4">
        <w:rPr>
          <w:sz w:val="22"/>
          <w:szCs w:val="22"/>
        </w:rPr>
        <w:t>тест-объекта</w:t>
      </w:r>
      <w:proofErr w:type="gramEnd"/>
      <w:r w:rsidRPr="00CD45A4">
        <w:rPr>
          <w:sz w:val="22"/>
          <w:szCs w:val="22"/>
        </w:rPr>
        <w:t xml:space="preserve"> для изучения загрязнения почвы прилегающей территории </w:t>
      </w:r>
      <w:r w:rsidRPr="00CD45A4">
        <w:rPr>
          <w:rFonts w:eastAsia="Courier New"/>
          <w:color w:val="000000"/>
          <w:sz w:val="22"/>
          <w:szCs w:val="22"/>
          <w:lang w:eastAsia="en-US"/>
        </w:rPr>
        <w:t>и</w:t>
      </w:r>
      <w:r w:rsidRPr="00CD45A4">
        <w:rPr>
          <w:sz w:val="22"/>
          <w:szCs w:val="22"/>
        </w:rPr>
        <w:t>спользовался кресс-салат, так как он о</w:t>
      </w:r>
      <w:r w:rsidRPr="00CD45A4">
        <w:rPr>
          <w:sz w:val="22"/>
          <w:szCs w:val="22"/>
        </w:rPr>
        <w:t>б</w:t>
      </w:r>
      <w:r w:rsidRPr="00CD45A4">
        <w:rPr>
          <w:sz w:val="22"/>
          <w:szCs w:val="22"/>
        </w:rPr>
        <w:t>ладает повышенной чувствительностью к загрязнению почвы.</w:t>
      </w:r>
      <w:r w:rsidRPr="00CD45A4">
        <w:rPr>
          <w:rFonts w:eastAsia="Calibri"/>
          <w:sz w:val="22"/>
          <w:szCs w:val="22"/>
          <w:lang w:eastAsia="en-US"/>
        </w:rPr>
        <w:t xml:space="preserve"> На трансекте было заложено 12 точек отбора проб, а также была зал</w:t>
      </w:r>
      <w:r w:rsidRPr="00CD45A4">
        <w:rPr>
          <w:rFonts w:eastAsia="Calibri"/>
          <w:sz w:val="22"/>
          <w:szCs w:val="22"/>
          <w:lang w:eastAsia="en-US"/>
        </w:rPr>
        <w:t>о</w:t>
      </w:r>
      <w:r w:rsidRPr="00CD45A4">
        <w:rPr>
          <w:rFonts w:eastAsia="Calibri"/>
          <w:sz w:val="22"/>
          <w:szCs w:val="22"/>
          <w:lang w:eastAsia="en-US"/>
        </w:rPr>
        <w:t>жена фоновая точка номер 13 расположенная на территории наим</w:t>
      </w:r>
      <w:r w:rsidRPr="00CD45A4">
        <w:rPr>
          <w:rFonts w:eastAsia="Calibri"/>
          <w:sz w:val="22"/>
          <w:szCs w:val="22"/>
          <w:lang w:eastAsia="en-US"/>
        </w:rPr>
        <w:t>е</w:t>
      </w:r>
      <w:r w:rsidRPr="00CD45A4">
        <w:rPr>
          <w:rFonts w:eastAsia="Calibri"/>
          <w:sz w:val="22"/>
          <w:szCs w:val="22"/>
          <w:lang w:eastAsia="en-US"/>
        </w:rPr>
        <w:t>нее поверженной антропогенному воздействию.</w:t>
      </w:r>
    </w:p>
    <w:p w:rsidR="00CD45A4" w:rsidRPr="00CD45A4" w:rsidRDefault="00CD45A4" w:rsidP="000E5D27">
      <w:pPr>
        <w:widowControl w:val="0"/>
        <w:ind w:firstLine="426"/>
        <w:jc w:val="both"/>
        <w:rPr>
          <w:sz w:val="22"/>
          <w:szCs w:val="22"/>
        </w:rPr>
      </w:pPr>
      <w:r w:rsidRPr="00CD45A4">
        <w:rPr>
          <w:sz w:val="22"/>
          <w:szCs w:val="22"/>
        </w:rPr>
        <w:t>В результате исследований загрязнение отсутствовало в ко</w:t>
      </w:r>
      <w:r w:rsidRPr="00CD45A4">
        <w:rPr>
          <w:sz w:val="22"/>
          <w:szCs w:val="22"/>
        </w:rPr>
        <w:t>н</w:t>
      </w:r>
      <w:r w:rsidRPr="00CD45A4">
        <w:rPr>
          <w:sz w:val="22"/>
          <w:szCs w:val="22"/>
        </w:rPr>
        <w:t>трольном образце № 4 – луг в южной части от предприятия на ра</w:t>
      </w:r>
      <w:r w:rsidRPr="00CD45A4">
        <w:rPr>
          <w:sz w:val="22"/>
          <w:szCs w:val="22"/>
        </w:rPr>
        <w:t>с</w:t>
      </w:r>
      <w:r w:rsidRPr="00CD45A4">
        <w:rPr>
          <w:sz w:val="22"/>
          <w:szCs w:val="22"/>
        </w:rPr>
        <w:t>стоянии 1800 м, первые всходы появились на третий день опыта. Всходы на протяжении всего опыта были дружные, а проростки ровные и крепкие. Всхожесть семян – 100 %. Результаты близкие к контролю были отмечены в точках 2,4; 3,4</w:t>
      </w:r>
      <w:r w:rsidRPr="00CD45A4">
        <w:rPr>
          <w:rFonts w:eastAsia="Calibri"/>
          <w:lang w:eastAsia="en-US"/>
        </w:rPr>
        <w:t xml:space="preserve"> </w:t>
      </w:r>
      <w:r w:rsidRPr="00CD45A4">
        <w:rPr>
          <w:rFonts w:eastAsia="Calibri"/>
          <w:sz w:val="22"/>
          <w:szCs w:val="22"/>
          <w:lang w:eastAsia="en-US"/>
        </w:rPr>
        <w:t>(в отдаленных от пре</w:t>
      </w:r>
      <w:r w:rsidRPr="00CD45A4">
        <w:rPr>
          <w:rFonts w:eastAsia="Calibri"/>
          <w:sz w:val="22"/>
          <w:szCs w:val="22"/>
          <w:lang w:eastAsia="en-US"/>
        </w:rPr>
        <w:t>д</w:t>
      </w:r>
      <w:r w:rsidRPr="00CD45A4">
        <w:rPr>
          <w:rFonts w:eastAsia="Calibri"/>
          <w:sz w:val="22"/>
          <w:szCs w:val="22"/>
          <w:lang w:eastAsia="en-US"/>
        </w:rPr>
        <w:t>приятия точках)</w:t>
      </w:r>
      <w:r w:rsidRPr="00CD45A4">
        <w:rPr>
          <w:sz w:val="22"/>
          <w:szCs w:val="22"/>
        </w:rPr>
        <w:t>, всхожесть в этих точках составила 91 и 95 % соо</w:t>
      </w:r>
      <w:r w:rsidRPr="00CD45A4">
        <w:rPr>
          <w:sz w:val="22"/>
          <w:szCs w:val="22"/>
        </w:rPr>
        <w:t>т</w:t>
      </w:r>
      <w:r w:rsidRPr="00CD45A4">
        <w:rPr>
          <w:sz w:val="22"/>
          <w:szCs w:val="22"/>
        </w:rPr>
        <w:t>ветственно.</w:t>
      </w:r>
    </w:p>
    <w:p w:rsidR="00CD45A4" w:rsidRPr="00CD45A4" w:rsidRDefault="00CD45A4" w:rsidP="000E5D27">
      <w:pPr>
        <w:widowControl w:val="0"/>
        <w:autoSpaceDE w:val="0"/>
        <w:autoSpaceDN w:val="0"/>
        <w:adjustRightInd w:val="0"/>
        <w:ind w:firstLine="426"/>
        <w:jc w:val="both"/>
        <w:rPr>
          <w:sz w:val="22"/>
          <w:szCs w:val="22"/>
        </w:rPr>
      </w:pPr>
      <w:r w:rsidRPr="00CD45A4">
        <w:rPr>
          <w:sz w:val="22"/>
          <w:szCs w:val="22"/>
        </w:rPr>
        <w:t>Наименьшая всхожесть оказалась в первых точках по всем ве</w:t>
      </w:r>
      <w:r w:rsidRPr="00CD45A4">
        <w:rPr>
          <w:sz w:val="22"/>
          <w:szCs w:val="22"/>
        </w:rPr>
        <w:t>к</w:t>
      </w:r>
      <w:r w:rsidRPr="00CD45A4">
        <w:rPr>
          <w:sz w:val="22"/>
          <w:szCs w:val="22"/>
        </w:rPr>
        <w:t>торам. Это связано с тем, что данные точки находятся вблизи и</w:t>
      </w:r>
      <w:r w:rsidRPr="00CD45A4">
        <w:rPr>
          <w:sz w:val="22"/>
          <w:szCs w:val="22"/>
        </w:rPr>
        <w:t>с</w:t>
      </w:r>
      <w:r w:rsidRPr="00CD45A4">
        <w:rPr>
          <w:sz w:val="22"/>
          <w:szCs w:val="22"/>
        </w:rPr>
        <w:lastRenderedPageBreak/>
        <w:t xml:space="preserve">точника загрязнения. В среднем по первому вектору (точка 1.1) всхожесть была наихудшая, так как данный вектор располагается по направлению преобладающего восточного ветра. Все выбросы предприятия распространяются именно в эту сторону. </w:t>
      </w:r>
    </w:p>
    <w:p w:rsidR="00CD45A4" w:rsidRPr="00CD45A4" w:rsidRDefault="00CD45A4" w:rsidP="000E5D27">
      <w:pPr>
        <w:widowControl w:val="0"/>
        <w:ind w:firstLine="426"/>
        <w:jc w:val="both"/>
        <w:rPr>
          <w:sz w:val="22"/>
          <w:szCs w:val="22"/>
        </w:rPr>
      </w:pPr>
      <w:r w:rsidRPr="00CD45A4">
        <w:rPr>
          <w:sz w:val="22"/>
          <w:szCs w:val="22"/>
        </w:rPr>
        <w:t>Самые хорошие показатели длины корней в контроле и в отд</w:t>
      </w:r>
      <w:r w:rsidRPr="00CD45A4">
        <w:rPr>
          <w:sz w:val="22"/>
          <w:szCs w:val="22"/>
        </w:rPr>
        <w:t>а</w:t>
      </w:r>
      <w:r w:rsidRPr="00CD45A4">
        <w:rPr>
          <w:sz w:val="22"/>
          <w:szCs w:val="22"/>
        </w:rPr>
        <w:t>ленных от предприятия точках (2.4, 3.4). Наименьший размер ок</w:t>
      </w:r>
      <w:r w:rsidRPr="00CD45A4">
        <w:rPr>
          <w:sz w:val="22"/>
          <w:szCs w:val="22"/>
        </w:rPr>
        <w:t>а</w:t>
      </w:r>
      <w:r w:rsidRPr="00CD45A4">
        <w:rPr>
          <w:sz w:val="22"/>
          <w:szCs w:val="22"/>
        </w:rPr>
        <w:t>зался у ростков кресс-салата, выращенного в почве, взятой около ограждения предприятия, у этих ростков самая слабая корневая с</w:t>
      </w:r>
      <w:r w:rsidRPr="00CD45A4">
        <w:rPr>
          <w:sz w:val="22"/>
          <w:szCs w:val="22"/>
        </w:rPr>
        <w:t>и</w:t>
      </w:r>
      <w:r w:rsidRPr="00CD45A4">
        <w:rPr>
          <w:sz w:val="22"/>
          <w:szCs w:val="22"/>
        </w:rPr>
        <w:t>стема – корешки практически не имели боковых отростков.</w:t>
      </w:r>
    </w:p>
    <w:p w:rsidR="00CD45A4" w:rsidRPr="00CD45A4" w:rsidRDefault="00CD45A4" w:rsidP="000E5D27">
      <w:pPr>
        <w:widowControl w:val="0"/>
        <w:ind w:firstLine="426"/>
        <w:contextualSpacing/>
        <w:jc w:val="both"/>
        <w:rPr>
          <w:rFonts w:eastAsia="Courier New"/>
          <w:color w:val="000000"/>
          <w:sz w:val="22"/>
          <w:szCs w:val="22"/>
          <w:lang w:eastAsia="en-US"/>
        </w:rPr>
      </w:pPr>
    </w:p>
    <w:p w:rsidR="00CD45A4" w:rsidRPr="00CD45A4" w:rsidRDefault="00CD45A4" w:rsidP="000E5D27">
      <w:pPr>
        <w:widowControl w:val="0"/>
        <w:ind w:firstLine="426"/>
        <w:contextualSpacing/>
        <w:jc w:val="center"/>
        <w:rPr>
          <w:rFonts w:eastAsia="Courier New"/>
          <w:color w:val="000000"/>
          <w:sz w:val="22"/>
          <w:szCs w:val="22"/>
          <w:lang w:eastAsia="en-US"/>
        </w:rPr>
      </w:pPr>
      <w:r w:rsidRPr="00CD45A4">
        <w:rPr>
          <w:rFonts w:eastAsia="Courier New"/>
          <w:color w:val="000000"/>
          <w:sz w:val="22"/>
          <w:szCs w:val="22"/>
          <w:lang w:eastAsia="en-US"/>
        </w:rPr>
        <w:t>Список литературы</w:t>
      </w:r>
    </w:p>
    <w:p w:rsidR="00CD45A4" w:rsidRPr="00CD45A4" w:rsidRDefault="00CD45A4" w:rsidP="000E5D27">
      <w:pPr>
        <w:widowControl w:val="0"/>
        <w:shd w:val="clear" w:color="auto" w:fill="FFFFFF"/>
        <w:tabs>
          <w:tab w:val="left" w:pos="1445"/>
        </w:tabs>
        <w:suppressAutoHyphens/>
        <w:autoSpaceDE w:val="0"/>
        <w:autoSpaceDN w:val="0"/>
        <w:adjustRightInd w:val="0"/>
        <w:ind w:firstLine="426"/>
        <w:jc w:val="both"/>
        <w:rPr>
          <w:color w:val="000000"/>
          <w:spacing w:val="-18"/>
          <w:sz w:val="22"/>
          <w:szCs w:val="22"/>
        </w:rPr>
      </w:pPr>
      <w:r w:rsidRPr="00CD45A4">
        <w:rPr>
          <w:rFonts w:eastAsia="Calibri"/>
          <w:sz w:val="22"/>
          <w:szCs w:val="22"/>
          <w:lang w:eastAsia="en-US"/>
        </w:rPr>
        <w:t xml:space="preserve">1. </w:t>
      </w:r>
      <w:r w:rsidRPr="00CD45A4">
        <w:rPr>
          <w:color w:val="000000"/>
          <w:spacing w:val="1"/>
          <w:sz w:val="22"/>
          <w:szCs w:val="22"/>
        </w:rPr>
        <w:t xml:space="preserve">Доклад «О состоянии природопользования и об охране окружающей среды </w:t>
      </w:r>
      <w:r w:rsidRPr="00CD45A4">
        <w:rPr>
          <w:color w:val="000000"/>
          <w:spacing w:val="8"/>
          <w:sz w:val="22"/>
          <w:szCs w:val="22"/>
        </w:rPr>
        <w:t xml:space="preserve">Краснодарского края в 2017 году». </w:t>
      </w:r>
      <w:r w:rsidRPr="00CD45A4">
        <w:rPr>
          <w:color w:val="000000"/>
          <w:spacing w:val="1"/>
          <w:sz w:val="22"/>
          <w:szCs w:val="22"/>
        </w:rPr>
        <w:t xml:space="preserve">– </w:t>
      </w:r>
      <w:r w:rsidRPr="00CD45A4">
        <w:rPr>
          <w:color w:val="000000"/>
          <w:spacing w:val="2"/>
          <w:sz w:val="22"/>
          <w:szCs w:val="22"/>
        </w:rPr>
        <w:t xml:space="preserve">Краснодар, 2017. </w:t>
      </w:r>
      <w:r w:rsidRPr="00CD45A4">
        <w:rPr>
          <w:color w:val="000000"/>
          <w:spacing w:val="1"/>
          <w:sz w:val="22"/>
          <w:szCs w:val="22"/>
        </w:rPr>
        <w:t>–</w:t>
      </w:r>
      <w:r w:rsidRPr="00CD45A4">
        <w:rPr>
          <w:color w:val="000000"/>
          <w:spacing w:val="2"/>
          <w:sz w:val="22"/>
          <w:szCs w:val="22"/>
        </w:rPr>
        <w:t xml:space="preserve"> 328 с.</w:t>
      </w:r>
    </w:p>
    <w:p w:rsidR="00CD45A4" w:rsidRPr="00CD45A4" w:rsidRDefault="00CD45A4" w:rsidP="000E5D27">
      <w:pPr>
        <w:widowControl w:val="0"/>
        <w:suppressAutoHyphens/>
        <w:ind w:firstLine="426"/>
        <w:jc w:val="both"/>
        <w:rPr>
          <w:sz w:val="22"/>
          <w:szCs w:val="22"/>
        </w:rPr>
      </w:pPr>
      <w:r w:rsidRPr="00CD45A4">
        <w:rPr>
          <w:rFonts w:eastAsia="Calibri"/>
          <w:sz w:val="22"/>
          <w:szCs w:val="22"/>
          <w:lang w:eastAsia="en-US"/>
        </w:rPr>
        <w:t xml:space="preserve">2. </w:t>
      </w:r>
      <w:r w:rsidRPr="00CD45A4">
        <w:rPr>
          <w:sz w:val="22"/>
          <w:szCs w:val="22"/>
        </w:rPr>
        <w:t>Стрельников, В. В. Прикладная экология / В. В. Стрельников [и др.]. – Краснодар: Изд. Дом-Юг, 2012. – 452 с.</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3. Стрельников, В. В. Экологическая токсикология // В.В. Стрельников, И.В. Хмара, Н.В. Чернышева – Краснодар. Изд. Дом-Юг, 2015. – 252 c.</w:t>
      </w:r>
    </w:p>
    <w:p w:rsidR="00CD45A4" w:rsidRDefault="00CD45A4" w:rsidP="00CD45A4">
      <w:pPr>
        <w:jc w:val="both"/>
        <w:rPr>
          <w:rFonts w:eastAsia="Calibri"/>
          <w:sz w:val="20"/>
          <w:szCs w:val="20"/>
          <w:lang w:eastAsia="en-US"/>
        </w:rPr>
      </w:pPr>
    </w:p>
    <w:p w:rsidR="00A8504F" w:rsidRPr="00CD45A4" w:rsidRDefault="00A8504F" w:rsidP="00CD45A4">
      <w:pPr>
        <w:jc w:val="both"/>
        <w:rPr>
          <w:rFonts w:eastAsia="Calibri"/>
          <w:sz w:val="20"/>
          <w:szCs w:val="20"/>
          <w:lang w:eastAsia="en-US"/>
        </w:rPr>
      </w:pPr>
    </w:p>
    <w:p w:rsidR="00CD45A4" w:rsidRPr="00CD45A4" w:rsidRDefault="00CD45A4" w:rsidP="00CD45A4">
      <w:pPr>
        <w:jc w:val="both"/>
        <w:rPr>
          <w:rFonts w:eastAsia="Calibri"/>
          <w:sz w:val="22"/>
          <w:szCs w:val="22"/>
          <w:lang w:eastAsia="en-US"/>
        </w:rPr>
      </w:pPr>
      <w:r w:rsidRPr="00CD45A4">
        <w:rPr>
          <w:rFonts w:eastAsia="Calibri"/>
          <w:sz w:val="22"/>
          <w:szCs w:val="22"/>
          <w:lang w:eastAsia="en-US"/>
        </w:rPr>
        <w:t>УДК 504.4.05 (470.620)</w:t>
      </w:r>
    </w:p>
    <w:p w:rsidR="00CD45A4" w:rsidRPr="00CD45A4" w:rsidRDefault="00CD45A4" w:rsidP="00CD45A4">
      <w:pPr>
        <w:jc w:val="both"/>
        <w:rPr>
          <w:rFonts w:eastAsia="Calibri"/>
          <w:sz w:val="22"/>
          <w:szCs w:val="22"/>
          <w:lang w:eastAsia="en-US"/>
        </w:rPr>
      </w:pPr>
    </w:p>
    <w:p w:rsidR="00CD45A4" w:rsidRPr="00CD45A4" w:rsidRDefault="00CD45A4" w:rsidP="00CD45A4">
      <w:pPr>
        <w:jc w:val="center"/>
        <w:rPr>
          <w:rFonts w:eastAsia="Calibri"/>
          <w:b/>
          <w:sz w:val="24"/>
          <w:szCs w:val="24"/>
          <w:lang w:eastAsia="en-US"/>
        </w:rPr>
      </w:pPr>
      <w:r w:rsidRPr="00CD45A4">
        <w:rPr>
          <w:rFonts w:eastAsia="Calibri"/>
          <w:b/>
          <w:sz w:val="24"/>
          <w:szCs w:val="24"/>
          <w:lang w:eastAsia="en-US"/>
        </w:rPr>
        <w:t xml:space="preserve">Влияние несанкционированной свалки </w:t>
      </w:r>
    </w:p>
    <w:p w:rsidR="00CD45A4" w:rsidRPr="00CD45A4" w:rsidRDefault="00CD45A4" w:rsidP="00CD45A4">
      <w:pPr>
        <w:jc w:val="center"/>
        <w:rPr>
          <w:rFonts w:eastAsia="Calibri"/>
          <w:b/>
          <w:sz w:val="24"/>
          <w:szCs w:val="24"/>
          <w:lang w:eastAsia="en-US"/>
        </w:rPr>
      </w:pPr>
      <w:r w:rsidRPr="00CD45A4">
        <w:rPr>
          <w:rFonts w:eastAsia="Calibri"/>
          <w:b/>
          <w:sz w:val="24"/>
          <w:szCs w:val="24"/>
          <w:lang w:eastAsia="en-US"/>
        </w:rPr>
        <w:t xml:space="preserve">на прилегающую территорию в окрестностях </w:t>
      </w:r>
    </w:p>
    <w:p w:rsidR="00CD45A4" w:rsidRPr="00CD45A4" w:rsidRDefault="00CD45A4" w:rsidP="00CD45A4">
      <w:pPr>
        <w:jc w:val="center"/>
        <w:rPr>
          <w:rFonts w:eastAsia="Calibri"/>
          <w:b/>
          <w:sz w:val="24"/>
          <w:szCs w:val="24"/>
          <w:lang w:val="en-US" w:eastAsia="en-US"/>
        </w:rPr>
      </w:pPr>
      <w:r w:rsidRPr="00CD45A4">
        <w:rPr>
          <w:rFonts w:eastAsia="Calibri"/>
          <w:b/>
          <w:sz w:val="24"/>
          <w:szCs w:val="24"/>
          <w:lang w:eastAsia="en-US"/>
        </w:rPr>
        <w:t>г</w:t>
      </w:r>
      <w:r w:rsidRPr="00CD45A4">
        <w:rPr>
          <w:rFonts w:eastAsia="Calibri"/>
          <w:b/>
          <w:sz w:val="24"/>
          <w:szCs w:val="24"/>
          <w:lang w:val="en-US" w:eastAsia="en-US"/>
        </w:rPr>
        <w:t xml:space="preserve">. </w:t>
      </w:r>
      <w:r w:rsidRPr="00CD45A4">
        <w:rPr>
          <w:rFonts w:eastAsia="Calibri"/>
          <w:b/>
          <w:sz w:val="24"/>
          <w:szCs w:val="24"/>
          <w:lang w:eastAsia="en-US"/>
        </w:rPr>
        <w:t>Кропоткин</w:t>
      </w:r>
      <w:r w:rsidRPr="00CD45A4">
        <w:rPr>
          <w:rFonts w:eastAsia="Calibri"/>
          <w:b/>
          <w:sz w:val="24"/>
          <w:szCs w:val="24"/>
          <w:lang w:val="en-US" w:eastAsia="en-US"/>
        </w:rPr>
        <w:t xml:space="preserve"> </w:t>
      </w:r>
    </w:p>
    <w:p w:rsidR="00CD45A4" w:rsidRPr="00CD45A4" w:rsidRDefault="00CD45A4" w:rsidP="00CD45A4">
      <w:pPr>
        <w:jc w:val="center"/>
        <w:rPr>
          <w:rFonts w:eastAsia="Calibri"/>
          <w:sz w:val="24"/>
          <w:szCs w:val="24"/>
          <w:lang w:val="en-US" w:eastAsia="en-US"/>
        </w:rPr>
      </w:pPr>
      <w:r w:rsidRPr="00CD45A4">
        <w:rPr>
          <w:rFonts w:eastAsia="Calibri"/>
          <w:b/>
          <w:sz w:val="24"/>
          <w:szCs w:val="24"/>
          <w:lang w:val="en-US" w:eastAsia="en-US"/>
        </w:rPr>
        <w:t>Influence of an unauthorized landfill on the adjacent territory in the vicinity of the city of Kropotkin</w:t>
      </w:r>
    </w:p>
    <w:p w:rsidR="00CD45A4" w:rsidRPr="00CD45A4" w:rsidRDefault="00CD45A4" w:rsidP="00CD45A4">
      <w:pPr>
        <w:jc w:val="both"/>
        <w:rPr>
          <w:rFonts w:eastAsia="Calibri"/>
          <w:sz w:val="20"/>
          <w:szCs w:val="20"/>
          <w:lang w:val="en-US" w:eastAsia="en-US"/>
        </w:rPr>
      </w:pP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Убийконь А. С.,</w:t>
      </w:r>
    </w:p>
    <w:p w:rsidR="00CD45A4" w:rsidRPr="00CD45A4" w:rsidRDefault="000E5D27" w:rsidP="00CD45A4">
      <w:pPr>
        <w:jc w:val="right"/>
        <w:rPr>
          <w:rFonts w:eastAsia="Calibri"/>
          <w:sz w:val="22"/>
          <w:szCs w:val="22"/>
          <w:lang w:eastAsia="en-US"/>
        </w:rPr>
      </w:pPr>
      <w:r>
        <w:rPr>
          <w:rFonts w:eastAsia="Calibri"/>
          <w:sz w:val="22"/>
          <w:szCs w:val="22"/>
          <w:lang w:eastAsia="en-US"/>
        </w:rPr>
        <w:t>студентка 4- го курса</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факультета агрономии и экологии</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Куб</w:t>
      </w:r>
      <w:r w:rsidR="000E5D27">
        <w:rPr>
          <w:rFonts w:eastAsia="Calibri"/>
          <w:sz w:val="22"/>
          <w:szCs w:val="22"/>
          <w:lang w:eastAsia="en-US"/>
        </w:rPr>
        <w:t>анский государственный аграрный</w:t>
      </w:r>
    </w:p>
    <w:p w:rsidR="00CD45A4" w:rsidRPr="00CD45A4" w:rsidRDefault="00CD45A4" w:rsidP="00CD45A4">
      <w:pPr>
        <w:jc w:val="right"/>
        <w:rPr>
          <w:rFonts w:eastAsia="Calibri"/>
          <w:sz w:val="22"/>
          <w:szCs w:val="22"/>
          <w:lang w:eastAsia="en-US"/>
        </w:rPr>
      </w:pPr>
      <w:r w:rsidRPr="00CD45A4">
        <w:rPr>
          <w:rFonts w:eastAsia="Calibri"/>
          <w:sz w:val="22"/>
          <w:szCs w:val="22"/>
          <w:lang w:eastAsia="en-US"/>
        </w:rPr>
        <w:t>университет имени И.</w:t>
      </w:r>
      <w:r w:rsidR="000E5D27">
        <w:rPr>
          <w:rFonts w:eastAsia="Calibri"/>
          <w:sz w:val="22"/>
          <w:szCs w:val="22"/>
          <w:lang w:eastAsia="en-US"/>
        </w:rPr>
        <w:t xml:space="preserve"> </w:t>
      </w:r>
      <w:r w:rsidRPr="00CD45A4">
        <w:rPr>
          <w:rFonts w:eastAsia="Calibri"/>
          <w:sz w:val="22"/>
          <w:szCs w:val="22"/>
          <w:lang w:eastAsia="en-US"/>
        </w:rPr>
        <w:t>Т. Трубилина</w:t>
      </w:r>
    </w:p>
    <w:p w:rsidR="00CD45A4" w:rsidRPr="00CD45A4" w:rsidRDefault="00CD45A4" w:rsidP="00CD45A4">
      <w:pPr>
        <w:widowControl w:val="0"/>
        <w:jc w:val="both"/>
        <w:rPr>
          <w:rFonts w:eastAsia="Calibri"/>
          <w:sz w:val="22"/>
          <w:szCs w:val="22"/>
          <w:lang w:eastAsia="en-US"/>
        </w:rPr>
      </w:pPr>
    </w:p>
    <w:p w:rsidR="00CD45A4" w:rsidRPr="00CD45A4" w:rsidRDefault="00CD45A4" w:rsidP="000E5D27">
      <w:pPr>
        <w:widowControl w:val="0"/>
        <w:suppressAutoHyphens/>
        <w:ind w:firstLine="426"/>
        <w:jc w:val="both"/>
        <w:rPr>
          <w:rFonts w:eastAsia="Calibri"/>
          <w:sz w:val="22"/>
          <w:szCs w:val="22"/>
          <w:lang w:eastAsia="en-US"/>
        </w:rPr>
      </w:pPr>
      <w:r w:rsidRPr="00CD45A4">
        <w:rPr>
          <w:rFonts w:eastAsia="Calibri"/>
          <w:sz w:val="22"/>
          <w:szCs w:val="22"/>
          <w:lang w:eastAsia="en-US"/>
        </w:rPr>
        <w:t xml:space="preserve">АННОТАЦИЯ: Проведено исследование влияния несанкционированной свалки на прилегающую территорию в окрестностях города Кропоткин. Приведены результаты </w:t>
      </w:r>
      <w:r w:rsidRPr="00CD45A4">
        <w:rPr>
          <w:rFonts w:eastAsia="Calibri"/>
          <w:sz w:val="22"/>
          <w:szCs w:val="22"/>
          <w:lang w:eastAsia="en-US"/>
        </w:rPr>
        <w:lastRenderedPageBreak/>
        <w:t>исследования растительности и состава мусора на изучаемой свалке.</w:t>
      </w:r>
    </w:p>
    <w:p w:rsidR="00CD45A4" w:rsidRPr="00CD45A4" w:rsidRDefault="00CD45A4" w:rsidP="000E5D27">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ABSTRACT: A study was made of the impact of an unauthorized landfill on the adjacent territory in the vicinity of the city of Kropotkin. The results of a study of vegetation and the composition of debris in the dumping site are presented.</w:t>
      </w:r>
    </w:p>
    <w:p w:rsidR="00CD45A4" w:rsidRPr="00CD45A4" w:rsidRDefault="00CD45A4" w:rsidP="000E5D27">
      <w:pPr>
        <w:widowControl w:val="0"/>
        <w:suppressAutoHyphens/>
        <w:ind w:firstLine="426"/>
        <w:jc w:val="both"/>
        <w:rPr>
          <w:rFonts w:eastAsia="Calibri"/>
          <w:sz w:val="22"/>
          <w:szCs w:val="22"/>
          <w:lang w:eastAsia="en-US"/>
        </w:rPr>
      </w:pPr>
      <w:r w:rsidRPr="00CD45A4">
        <w:rPr>
          <w:rFonts w:eastAsia="Calibri"/>
          <w:sz w:val="22"/>
          <w:szCs w:val="22"/>
          <w:lang w:eastAsia="en-US"/>
        </w:rPr>
        <w:t>КЛЮЧЕВЫЕ СЛОВА: свалка, бытовой мусор, строительный мусор, несанкционированная свалка, окружающая среда.</w:t>
      </w:r>
    </w:p>
    <w:p w:rsidR="00CD45A4" w:rsidRPr="00CD45A4" w:rsidRDefault="00CD45A4" w:rsidP="000E5D27">
      <w:pPr>
        <w:widowControl w:val="0"/>
        <w:suppressAutoHyphens/>
        <w:ind w:firstLine="426"/>
        <w:jc w:val="both"/>
        <w:rPr>
          <w:rFonts w:eastAsia="Calibri"/>
          <w:sz w:val="22"/>
          <w:szCs w:val="22"/>
          <w:lang w:val="en-US" w:eastAsia="en-US"/>
        </w:rPr>
      </w:pPr>
      <w:r w:rsidRPr="00CD45A4">
        <w:rPr>
          <w:rFonts w:eastAsia="Calibri"/>
          <w:sz w:val="22"/>
          <w:szCs w:val="22"/>
          <w:lang w:val="en-US" w:eastAsia="en-US"/>
        </w:rPr>
        <w:t>KEYWORDS: dump, household garbage, construction debris, unauthorized landfill, the environment.</w:t>
      </w:r>
    </w:p>
    <w:p w:rsidR="00CD45A4" w:rsidRPr="00CD45A4" w:rsidRDefault="00CD45A4" w:rsidP="000E5D27">
      <w:pPr>
        <w:widowControl w:val="0"/>
        <w:ind w:firstLine="426"/>
        <w:jc w:val="both"/>
        <w:rPr>
          <w:rFonts w:eastAsia="Calibri"/>
          <w:sz w:val="22"/>
          <w:szCs w:val="22"/>
          <w:lang w:val="en-US" w:eastAsia="en-US"/>
        </w:rPr>
      </w:pP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В результате деятельности человека формируется огромное к</w:t>
      </w:r>
      <w:r w:rsidRPr="00CD45A4">
        <w:rPr>
          <w:rFonts w:eastAsia="Calibri"/>
          <w:sz w:val="22"/>
          <w:szCs w:val="22"/>
          <w:lang w:eastAsia="en-US"/>
        </w:rPr>
        <w:t>о</w:t>
      </w:r>
      <w:r w:rsidRPr="00CD45A4">
        <w:rPr>
          <w:rFonts w:eastAsia="Calibri"/>
          <w:sz w:val="22"/>
          <w:szCs w:val="22"/>
          <w:lang w:eastAsia="en-US"/>
        </w:rPr>
        <w:t>личество отходов, хранение которых представляет серьезную опа</w:t>
      </w:r>
      <w:r w:rsidRPr="00CD45A4">
        <w:rPr>
          <w:rFonts w:eastAsia="Calibri"/>
          <w:sz w:val="22"/>
          <w:szCs w:val="22"/>
          <w:lang w:eastAsia="en-US"/>
        </w:rPr>
        <w:t>с</w:t>
      </w:r>
      <w:r w:rsidRPr="00CD45A4">
        <w:rPr>
          <w:rFonts w:eastAsia="Calibri"/>
          <w:sz w:val="22"/>
          <w:szCs w:val="22"/>
          <w:lang w:eastAsia="en-US"/>
        </w:rPr>
        <w:t>ность для окружающей среды. Проблема твердых бытовых отходов в настоящее время является одной из глобальных проблем челов</w:t>
      </w:r>
      <w:r w:rsidRPr="00CD45A4">
        <w:rPr>
          <w:rFonts w:eastAsia="Calibri"/>
          <w:sz w:val="22"/>
          <w:szCs w:val="22"/>
          <w:lang w:eastAsia="en-US"/>
        </w:rPr>
        <w:t>е</w:t>
      </w:r>
      <w:r w:rsidRPr="00CD45A4">
        <w:rPr>
          <w:rFonts w:eastAsia="Calibri"/>
          <w:sz w:val="22"/>
          <w:szCs w:val="22"/>
          <w:lang w:eastAsia="en-US"/>
        </w:rPr>
        <w:t>чества. Человечество на грани кризиса: количество мусора постоя</w:t>
      </w:r>
      <w:r w:rsidRPr="00CD45A4">
        <w:rPr>
          <w:rFonts w:eastAsia="Calibri"/>
          <w:sz w:val="22"/>
          <w:szCs w:val="22"/>
          <w:lang w:eastAsia="en-US"/>
        </w:rPr>
        <w:t>н</w:t>
      </w:r>
      <w:r w:rsidRPr="00CD45A4">
        <w:rPr>
          <w:rFonts w:eastAsia="Calibri"/>
          <w:sz w:val="22"/>
          <w:szCs w:val="22"/>
          <w:lang w:eastAsia="en-US"/>
        </w:rPr>
        <w:t>но растет, а места для свалок становится все меньше. Эта проблема стоит остро не только перед мегаполисами, но и перед маленькими городами, к числу которых можно отнести г. Кропоткин Краснода</w:t>
      </w:r>
      <w:r w:rsidRPr="00CD45A4">
        <w:rPr>
          <w:rFonts w:eastAsia="Calibri"/>
          <w:sz w:val="22"/>
          <w:szCs w:val="22"/>
          <w:lang w:eastAsia="en-US"/>
        </w:rPr>
        <w:t>р</w:t>
      </w:r>
      <w:r w:rsidRPr="00CD45A4">
        <w:rPr>
          <w:rFonts w:eastAsia="Calibri"/>
          <w:sz w:val="22"/>
          <w:szCs w:val="22"/>
          <w:lang w:eastAsia="en-US"/>
        </w:rPr>
        <w:t>ского края [2, 4].</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 xml:space="preserve">Цель работы – оценить влияние несанкционированной свалки в окрестностях города Кропоткин на прилегающую территорию. </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Объект исследования – несанкционированная свалка, распол</w:t>
      </w:r>
      <w:r w:rsidRPr="00CD45A4">
        <w:rPr>
          <w:rFonts w:eastAsia="Calibri"/>
          <w:sz w:val="22"/>
          <w:szCs w:val="22"/>
          <w:lang w:eastAsia="en-US"/>
        </w:rPr>
        <w:t>о</w:t>
      </w:r>
      <w:r w:rsidRPr="00CD45A4">
        <w:rPr>
          <w:rFonts w:eastAsia="Calibri"/>
          <w:sz w:val="22"/>
          <w:szCs w:val="22"/>
          <w:lang w:eastAsia="en-US"/>
        </w:rPr>
        <w:t>женная на окраине города Кропоткин с восточной его стороны. Площадь данной свалки 375 м</w:t>
      </w:r>
      <w:proofErr w:type="gramStart"/>
      <w:r w:rsidRPr="00CD45A4">
        <w:rPr>
          <w:rFonts w:eastAsia="Calibri"/>
          <w:sz w:val="22"/>
          <w:szCs w:val="22"/>
          <w:vertAlign w:val="superscript"/>
          <w:lang w:eastAsia="en-US"/>
        </w:rPr>
        <w:t>2</w:t>
      </w:r>
      <w:proofErr w:type="gramEnd"/>
      <w:r w:rsidRPr="00CD45A4">
        <w:rPr>
          <w:rFonts w:eastAsia="Calibri"/>
          <w:sz w:val="22"/>
          <w:szCs w:val="22"/>
          <w:lang w:eastAsia="en-US"/>
        </w:rPr>
        <w:t xml:space="preserve"> . Участок представляет собой склон примерно в 40</w:t>
      </w:r>
      <w:r w:rsidRPr="00CD45A4">
        <w:rPr>
          <w:rFonts w:eastAsia="Calibri"/>
          <w:sz w:val="22"/>
          <w:szCs w:val="22"/>
          <w:vertAlign w:val="superscript"/>
          <w:lang w:eastAsia="en-US"/>
        </w:rPr>
        <w:t>о</w:t>
      </w:r>
      <w:r w:rsidRPr="00CD45A4">
        <w:rPr>
          <w:rFonts w:eastAsia="Calibri"/>
          <w:sz w:val="22"/>
          <w:szCs w:val="22"/>
          <w:lang w:eastAsia="en-US"/>
        </w:rPr>
        <w:t xml:space="preserve">. С севера в 6 м находится грунтовая дорога и поля. С юга в 5 м находится асфальтированная дорога, автозаправка и птицефабрика. С востока расположен пустырь, а с запада – пустырь, грунтовая дорога, поле. </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При оценке экологической ситуации в районе анализируемой свалки применялись следующие методы: исследование территории маршрутным методом; наблюдение; сбор и обработка данных по составу мусора; сбор и обработка данных по состоянию растител</w:t>
      </w:r>
      <w:r w:rsidRPr="00CD45A4">
        <w:rPr>
          <w:rFonts w:eastAsia="Calibri"/>
          <w:sz w:val="22"/>
          <w:szCs w:val="22"/>
          <w:lang w:eastAsia="en-US"/>
        </w:rPr>
        <w:t>ь</w:t>
      </w:r>
      <w:r w:rsidRPr="00CD45A4">
        <w:rPr>
          <w:rFonts w:eastAsia="Calibri"/>
          <w:sz w:val="22"/>
          <w:szCs w:val="22"/>
          <w:lang w:eastAsia="en-US"/>
        </w:rPr>
        <w:t>ности; также устанавливались метрические параметры свалки [3].</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В ходе исследования участка было выявлено, что на самой свалке растений нет, а вокруг нее растут виды, наиболее хорошо приспособленные к таким условиям – рудеральные растения, ра</w:t>
      </w:r>
      <w:r w:rsidRPr="00CD45A4">
        <w:rPr>
          <w:rFonts w:eastAsia="Calibri"/>
          <w:sz w:val="22"/>
          <w:szCs w:val="22"/>
          <w:lang w:eastAsia="en-US"/>
        </w:rPr>
        <w:t>с</w:t>
      </w:r>
      <w:r w:rsidRPr="00CD45A4">
        <w:rPr>
          <w:rFonts w:eastAsia="Calibri"/>
          <w:sz w:val="22"/>
          <w:szCs w:val="22"/>
          <w:lang w:eastAsia="en-US"/>
        </w:rPr>
        <w:t xml:space="preserve">тущие на свалках и вдоль дорог, как </w:t>
      </w:r>
      <w:proofErr w:type="gramStart"/>
      <w:r w:rsidRPr="00CD45A4">
        <w:rPr>
          <w:rFonts w:eastAsia="Calibri"/>
          <w:sz w:val="22"/>
          <w:szCs w:val="22"/>
          <w:lang w:eastAsia="en-US"/>
        </w:rPr>
        <w:t>правило</w:t>
      </w:r>
      <w:proofErr w:type="gramEnd"/>
      <w:r w:rsidRPr="00CD45A4">
        <w:rPr>
          <w:rFonts w:eastAsia="Calibri"/>
          <w:sz w:val="22"/>
          <w:szCs w:val="22"/>
          <w:lang w:eastAsia="en-US"/>
        </w:rPr>
        <w:t xml:space="preserve"> они имеют защитные </w:t>
      </w:r>
      <w:r w:rsidRPr="00CD45A4">
        <w:rPr>
          <w:rFonts w:eastAsia="Calibri"/>
          <w:sz w:val="22"/>
          <w:szCs w:val="22"/>
          <w:lang w:eastAsia="en-US"/>
        </w:rPr>
        <w:lastRenderedPageBreak/>
        <w:t xml:space="preserve">приспособления – шипы, жгучие волоски, ядовитые вещества. </w:t>
      </w:r>
      <w:proofErr w:type="gramStart"/>
      <w:r w:rsidRPr="00CD45A4">
        <w:rPr>
          <w:rFonts w:eastAsia="Calibri"/>
          <w:sz w:val="22"/>
          <w:szCs w:val="22"/>
          <w:lang w:eastAsia="en-US"/>
        </w:rPr>
        <w:t>С</w:t>
      </w:r>
      <w:r w:rsidRPr="00CD45A4">
        <w:rPr>
          <w:rFonts w:eastAsia="Calibri"/>
          <w:sz w:val="22"/>
          <w:szCs w:val="22"/>
          <w:lang w:eastAsia="en-US"/>
        </w:rPr>
        <w:t>о</w:t>
      </w:r>
      <w:r w:rsidRPr="00CD45A4">
        <w:rPr>
          <w:rFonts w:eastAsia="Calibri"/>
          <w:sz w:val="22"/>
          <w:szCs w:val="22"/>
          <w:lang w:eastAsia="en-US"/>
        </w:rPr>
        <w:t>став растений представлен такими видами как: пырей ползучий, костер безостый, амброзия полыннолистная, цикорий обыкнове</w:t>
      </w:r>
      <w:r w:rsidRPr="00CD45A4">
        <w:rPr>
          <w:rFonts w:eastAsia="Calibri"/>
          <w:sz w:val="22"/>
          <w:szCs w:val="22"/>
          <w:lang w:eastAsia="en-US"/>
        </w:rPr>
        <w:t>н</w:t>
      </w:r>
      <w:r w:rsidRPr="00CD45A4">
        <w:rPr>
          <w:rFonts w:eastAsia="Calibri"/>
          <w:sz w:val="22"/>
          <w:szCs w:val="22"/>
          <w:lang w:eastAsia="en-US"/>
        </w:rPr>
        <w:t>ный, чертополох колючий, осот полевой, марь белая, горец птичий, сурепка обыкновенная [1].</w:t>
      </w:r>
      <w:proofErr w:type="gramEnd"/>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Самый многочисленный вид – это зловещий сорняк – амброзия полыннолистная, которая вызывает аллергию у людей, также бол</w:t>
      </w:r>
      <w:r w:rsidRPr="00CD45A4">
        <w:rPr>
          <w:rFonts w:eastAsia="Calibri"/>
          <w:sz w:val="22"/>
          <w:szCs w:val="22"/>
          <w:lang w:eastAsia="en-US"/>
        </w:rPr>
        <w:t>ь</w:t>
      </w:r>
      <w:r w:rsidRPr="00CD45A4">
        <w:rPr>
          <w:rFonts w:eastAsia="Calibri"/>
          <w:sz w:val="22"/>
          <w:szCs w:val="22"/>
          <w:lang w:eastAsia="en-US"/>
        </w:rPr>
        <w:t>шим количеством особей представлен горец птичий, который явл</w:t>
      </w:r>
      <w:r w:rsidRPr="00CD45A4">
        <w:rPr>
          <w:rFonts w:eastAsia="Calibri"/>
          <w:sz w:val="22"/>
          <w:szCs w:val="22"/>
          <w:lang w:eastAsia="en-US"/>
        </w:rPr>
        <w:t>я</w:t>
      </w:r>
      <w:r w:rsidRPr="00CD45A4">
        <w:rPr>
          <w:rFonts w:eastAsia="Calibri"/>
          <w:sz w:val="22"/>
          <w:szCs w:val="22"/>
          <w:lang w:eastAsia="en-US"/>
        </w:rPr>
        <w:t>ется показателем уплотненности почвы.</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В результате визуальных наблюдений было выявлено, что и</w:t>
      </w:r>
      <w:r w:rsidRPr="00CD45A4">
        <w:rPr>
          <w:rFonts w:eastAsia="Calibri"/>
          <w:sz w:val="22"/>
          <w:szCs w:val="22"/>
          <w:lang w:eastAsia="en-US"/>
        </w:rPr>
        <w:t>с</w:t>
      </w:r>
      <w:r w:rsidRPr="00CD45A4">
        <w:rPr>
          <w:rFonts w:eastAsia="Calibri"/>
          <w:sz w:val="22"/>
          <w:szCs w:val="22"/>
          <w:lang w:eastAsia="en-US"/>
        </w:rPr>
        <w:t xml:space="preserve">следуемая свалка является эксплуатируемой. </w:t>
      </w:r>
      <w:proofErr w:type="gramStart"/>
      <w:r w:rsidRPr="00CD45A4">
        <w:rPr>
          <w:rFonts w:eastAsia="Calibri"/>
          <w:sz w:val="22"/>
          <w:szCs w:val="22"/>
          <w:lang w:eastAsia="en-US"/>
        </w:rPr>
        <w:t>Это видно по тому, что на данной свалке находились относительно новые вещи, не п</w:t>
      </w:r>
      <w:r w:rsidRPr="00CD45A4">
        <w:rPr>
          <w:rFonts w:eastAsia="Calibri"/>
          <w:sz w:val="22"/>
          <w:szCs w:val="22"/>
          <w:lang w:eastAsia="en-US"/>
        </w:rPr>
        <w:t>о</w:t>
      </w:r>
      <w:r w:rsidRPr="00CD45A4">
        <w:rPr>
          <w:rFonts w:eastAsia="Calibri"/>
          <w:sz w:val="22"/>
          <w:szCs w:val="22"/>
          <w:lang w:eastAsia="en-US"/>
        </w:rPr>
        <w:t>терявшие еще своей цветности и текстуры: цветные полиэтилен</w:t>
      </w:r>
      <w:r w:rsidRPr="00CD45A4">
        <w:rPr>
          <w:rFonts w:eastAsia="Calibri"/>
          <w:sz w:val="22"/>
          <w:szCs w:val="22"/>
          <w:lang w:eastAsia="en-US"/>
        </w:rPr>
        <w:t>о</w:t>
      </w:r>
      <w:r w:rsidRPr="00CD45A4">
        <w:rPr>
          <w:rFonts w:eastAsia="Calibri"/>
          <w:sz w:val="22"/>
          <w:szCs w:val="22"/>
          <w:lang w:eastAsia="en-US"/>
        </w:rPr>
        <w:t>вые пакеты, мягкие игрушки; кроме того были обнаружены телев</w:t>
      </w:r>
      <w:r w:rsidRPr="00CD45A4">
        <w:rPr>
          <w:rFonts w:eastAsia="Calibri"/>
          <w:sz w:val="22"/>
          <w:szCs w:val="22"/>
          <w:lang w:eastAsia="en-US"/>
        </w:rPr>
        <w:t>и</w:t>
      </w:r>
      <w:r w:rsidRPr="00CD45A4">
        <w:rPr>
          <w:rFonts w:eastAsia="Calibri"/>
          <w:sz w:val="22"/>
          <w:szCs w:val="22"/>
          <w:lang w:eastAsia="en-US"/>
        </w:rPr>
        <w:t xml:space="preserve">зор и компьютер, </w:t>
      </w:r>
      <w:r w:rsidRPr="00CD45A4">
        <w:rPr>
          <w:rFonts w:eastAsia="Calibri"/>
          <w:sz w:val="22"/>
          <w:szCs w:val="22"/>
          <w:lang w:val="en-US" w:eastAsia="en-US"/>
        </w:rPr>
        <w:t>DVD</w:t>
      </w:r>
      <w:r w:rsidRPr="00CD45A4">
        <w:rPr>
          <w:rFonts w:eastAsia="Calibri"/>
          <w:sz w:val="22"/>
          <w:szCs w:val="22"/>
          <w:lang w:eastAsia="en-US"/>
        </w:rPr>
        <w:t>-диски относительно нового образца, но весь бытовой мусор находится на поверхности, а снизу видны остатки строительных материалов.</w:t>
      </w:r>
      <w:proofErr w:type="gramEnd"/>
      <w:r w:rsidRPr="00CD45A4">
        <w:rPr>
          <w:rFonts w:eastAsia="Calibri"/>
          <w:sz w:val="22"/>
          <w:szCs w:val="22"/>
          <w:lang w:eastAsia="en-US"/>
        </w:rPr>
        <w:t xml:space="preserve"> Визуально был определен состав свалки.</w:t>
      </w:r>
    </w:p>
    <w:p w:rsidR="00CD45A4" w:rsidRPr="00CD45A4" w:rsidRDefault="00CD45A4" w:rsidP="000E5D27">
      <w:pPr>
        <w:widowControl w:val="0"/>
        <w:ind w:firstLine="426"/>
        <w:jc w:val="both"/>
        <w:rPr>
          <w:rFonts w:eastAsia="Calibri"/>
          <w:sz w:val="22"/>
          <w:szCs w:val="22"/>
          <w:lang w:eastAsia="en-US"/>
        </w:rPr>
      </w:pPr>
      <w:proofErr w:type="gramStart"/>
      <w:r w:rsidRPr="00CD45A4">
        <w:rPr>
          <w:rFonts w:eastAsia="Calibri"/>
          <w:sz w:val="22"/>
          <w:szCs w:val="22"/>
          <w:lang w:eastAsia="en-US"/>
        </w:rPr>
        <w:t>Бытовой мусор представлен следующими видами отходов: пластмассовые и стеклянные бутылки, матрасы, диван, битое сте</w:t>
      </w:r>
      <w:r w:rsidRPr="00CD45A4">
        <w:rPr>
          <w:rFonts w:eastAsia="Calibri"/>
          <w:sz w:val="22"/>
          <w:szCs w:val="22"/>
          <w:lang w:eastAsia="en-US"/>
        </w:rPr>
        <w:t>к</w:t>
      </w:r>
      <w:r w:rsidRPr="00CD45A4">
        <w:rPr>
          <w:rFonts w:eastAsia="Calibri"/>
          <w:sz w:val="22"/>
          <w:szCs w:val="22"/>
          <w:lang w:eastAsia="en-US"/>
        </w:rPr>
        <w:t>ло, венки, посуда, жестяные банки, пластмасса, бумажные изделия, полиэтиленовые пакеты, обувь, бытовая техника, детские игрушки, тряпичные отходы, пластиковая тара, деревянные бочки, ветки д</w:t>
      </w:r>
      <w:r w:rsidRPr="00CD45A4">
        <w:rPr>
          <w:rFonts w:eastAsia="Calibri"/>
          <w:sz w:val="22"/>
          <w:szCs w:val="22"/>
          <w:lang w:eastAsia="en-US"/>
        </w:rPr>
        <w:t>е</w:t>
      </w:r>
      <w:r w:rsidRPr="00CD45A4">
        <w:rPr>
          <w:rFonts w:eastAsia="Calibri"/>
          <w:sz w:val="22"/>
          <w:szCs w:val="22"/>
          <w:lang w:eastAsia="en-US"/>
        </w:rPr>
        <w:t xml:space="preserve">ревьев, бревна. </w:t>
      </w:r>
      <w:proofErr w:type="gramEnd"/>
    </w:p>
    <w:p w:rsidR="00CD45A4" w:rsidRPr="00CD45A4" w:rsidRDefault="00CD45A4" w:rsidP="000E5D27">
      <w:pPr>
        <w:widowControl w:val="0"/>
        <w:ind w:firstLine="426"/>
        <w:jc w:val="both"/>
        <w:rPr>
          <w:rFonts w:eastAsia="Calibri"/>
          <w:sz w:val="22"/>
          <w:szCs w:val="22"/>
          <w:lang w:eastAsia="en-US"/>
        </w:rPr>
      </w:pPr>
      <w:proofErr w:type="gramStart"/>
      <w:r w:rsidRPr="00CD45A4">
        <w:rPr>
          <w:rFonts w:eastAsia="Calibri"/>
          <w:sz w:val="22"/>
          <w:szCs w:val="22"/>
          <w:lang w:eastAsia="en-US"/>
        </w:rPr>
        <w:t>Строительный мусор представлен следующими видами отх</w:t>
      </w:r>
      <w:r w:rsidRPr="00CD45A4">
        <w:rPr>
          <w:rFonts w:eastAsia="Calibri"/>
          <w:sz w:val="22"/>
          <w:szCs w:val="22"/>
          <w:lang w:eastAsia="en-US"/>
        </w:rPr>
        <w:t>о</w:t>
      </w:r>
      <w:r w:rsidRPr="00CD45A4">
        <w:rPr>
          <w:rFonts w:eastAsia="Calibri"/>
          <w:sz w:val="22"/>
          <w:szCs w:val="22"/>
          <w:lang w:eastAsia="en-US"/>
        </w:rPr>
        <w:t>дов: абразивные материалы, опилки, древесина, битый кирпич, остатки шифера, трубы, рубероид, ДСП (древесно-стружечная пл</w:t>
      </w:r>
      <w:r w:rsidRPr="00CD45A4">
        <w:rPr>
          <w:rFonts w:eastAsia="Calibri"/>
          <w:sz w:val="22"/>
          <w:szCs w:val="22"/>
          <w:lang w:eastAsia="en-US"/>
        </w:rPr>
        <w:t>и</w:t>
      </w:r>
      <w:r w:rsidRPr="00CD45A4">
        <w:rPr>
          <w:rFonts w:eastAsia="Calibri"/>
          <w:sz w:val="22"/>
          <w:szCs w:val="22"/>
          <w:lang w:eastAsia="en-US"/>
        </w:rPr>
        <w:t>та), толь.</w:t>
      </w:r>
      <w:proofErr w:type="gramEnd"/>
      <w:r w:rsidRPr="00CD45A4">
        <w:rPr>
          <w:rFonts w:eastAsia="Calibri"/>
          <w:sz w:val="22"/>
          <w:szCs w:val="22"/>
          <w:lang w:eastAsia="en-US"/>
        </w:rPr>
        <w:t xml:space="preserve"> Количество строительного и бытового мусора примерно равное. </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Свалки представляют большую опасность для состояния окр</w:t>
      </w:r>
      <w:r w:rsidRPr="00CD45A4">
        <w:rPr>
          <w:rFonts w:eastAsia="Calibri"/>
          <w:sz w:val="22"/>
          <w:szCs w:val="22"/>
          <w:lang w:eastAsia="en-US"/>
        </w:rPr>
        <w:t>у</w:t>
      </w:r>
      <w:r w:rsidRPr="00CD45A4">
        <w:rPr>
          <w:rFonts w:eastAsia="Calibri"/>
          <w:sz w:val="22"/>
          <w:szCs w:val="22"/>
          <w:lang w:eastAsia="en-US"/>
        </w:rPr>
        <w:t>жающей среды и здоровья населения тем, что они выделяют метан, содержат соли тяжелых металлов, загрязнены радиоактивными в</w:t>
      </w:r>
      <w:r w:rsidRPr="00CD45A4">
        <w:rPr>
          <w:rFonts w:eastAsia="Calibri"/>
          <w:sz w:val="22"/>
          <w:szCs w:val="22"/>
          <w:lang w:eastAsia="en-US"/>
        </w:rPr>
        <w:t>е</w:t>
      </w:r>
      <w:r w:rsidRPr="00CD45A4">
        <w:rPr>
          <w:rFonts w:eastAsia="Calibri"/>
          <w:sz w:val="22"/>
          <w:szCs w:val="22"/>
          <w:lang w:eastAsia="en-US"/>
        </w:rPr>
        <w:t>ществами, которые мигрируют в подземные воды, почву, атм</w:t>
      </w:r>
      <w:r w:rsidRPr="00CD45A4">
        <w:rPr>
          <w:rFonts w:eastAsia="Calibri"/>
          <w:sz w:val="22"/>
          <w:szCs w:val="22"/>
          <w:lang w:eastAsia="en-US"/>
        </w:rPr>
        <w:t>о</w:t>
      </w:r>
      <w:r w:rsidRPr="00CD45A4">
        <w:rPr>
          <w:rFonts w:eastAsia="Calibri"/>
          <w:sz w:val="22"/>
          <w:szCs w:val="22"/>
          <w:lang w:eastAsia="en-US"/>
        </w:rPr>
        <w:t xml:space="preserve">сферный воздух. </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Анализируемая свалка находится на склоне и во время дождя все отравляющие вещества с поверхностными водами стекают вниз.</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t>Также можно предположить, что поля, находящиеся в неп</w:t>
      </w:r>
      <w:r w:rsidRPr="00CD45A4">
        <w:rPr>
          <w:rFonts w:eastAsia="Calibri"/>
          <w:sz w:val="22"/>
          <w:szCs w:val="22"/>
          <w:lang w:eastAsia="en-US"/>
        </w:rPr>
        <w:t>о</w:t>
      </w:r>
      <w:r w:rsidRPr="00CD45A4">
        <w:rPr>
          <w:rFonts w:eastAsia="Calibri"/>
          <w:sz w:val="22"/>
          <w:szCs w:val="22"/>
          <w:lang w:eastAsia="en-US"/>
        </w:rPr>
        <w:t xml:space="preserve">средственной близости к свалке, отравлены ядовитыми веществами, и урожай с этих полей может стать опасным для здоровья человека.  </w:t>
      </w:r>
    </w:p>
    <w:p w:rsidR="00CD45A4" w:rsidRPr="00CD45A4" w:rsidRDefault="00CD45A4" w:rsidP="000E5D27">
      <w:pPr>
        <w:widowControl w:val="0"/>
        <w:ind w:firstLine="426"/>
        <w:jc w:val="both"/>
        <w:rPr>
          <w:rFonts w:eastAsia="Calibri"/>
          <w:sz w:val="22"/>
          <w:szCs w:val="22"/>
          <w:lang w:eastAsia="en-US"/>
        </w:rPr>
      </w:pPr>
      <w:r w:rsidRPr="00CD45A4">
        <w:rPr>
          <w:rFonts w:eastAsia="Calibri"/>
          <w:sz w:val="22"/>
          <w:szCs w:val="22"/>
          <w:lang w:eastAsia="en-US"/>
        </w:rPr>
        <w:lastRenderedPageBreak/>
        <w:t>Нельзя забывать и об эпидемиологической опасности, которую несут свалки, все твердые отходы заражены разнообразными нас</w:t>
      </w:r>
      <w:r w:rsidRPr="00CD45A4">
        <w:rPr>
          <w:rFonts w:eastAsia="Calibri"/>
          <w:sz w:val="22"/>
          <w:szCs w:val="22"/>
          <w:lang w:eastAsia="en-US"/>
        </w:rPr>
        <w:t>е</w:t>
      </w:r>
      <w:r w:rsidRPr="00CD45A4">
        <w:rPr>
          <w:rFonts w:eastAsia="Calibri"/>
          <w:sz w:val="22"/>
          <w:szCs w:val="22"/>
          <w:lang w:eastAsia="en-US"/>
        </w:rPr>
        <w:t>комыми, переносящими различные заболевания [2].</w:t>
      </w:r>
    </w:p>
    <w:p w:rsidR="00CD45A4" w:rsidRPr="00CD45A4" w:rsidRDefault="00CD45A4" w:rsidP="00A8504F">
      <w:pPr>
        <w:widowControl w:val="0"/>
        <w:ind w:firstLine="426"/>
        <w:jc w:val="both"/>
        <w:rPr>
          <w:rFonts w:eastAsia="Calibri"/>
          <w:sz w:val="22"/>
          <w:szCs w:val="22"/>
          <w:lang w:eastAsia="en-US"/>
        </w:rPr>
      </w:pPr>
      <w:r w:rsidRPr="00CD45A4">
        <w:rPr>
          <w:rFonts w:eastAsia="Calibri"/>
          <w:sz w:val="22"/>
          <w:szCs w:val="22"/>
          <w:lang w:eastAsia="en-US"/>
        </w:rPr>
        <w:t xml:space="preserve">Исследуемый объект представляет опасность для прилегающей территории, для окружающей среды и здоровья человека в целом. </w:t>
      </w:r>
    </w:p>
    <w:p w:rsidR="00CD45A4" w:rsidRPr="00CD45A4" w:rsidRDefault="00CD45A4" w:rsidP="000E5D27">
      <w:pPr>
        <w:widowControl w:val="0"/>
        <w:ind w:firstLine="426"/>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0E5D27">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 xml:space="preserve">1. Методические указания по выполнению и оформлению выпускных квалификационных работ по направлению подготовки 05.03.06 – Экология и природопользование (уровень бакалавриата) / Н. В. Чернышева, В. В. Стрельников, А. Г. Сухомлинова, Е. В. Суркова – Краснодар: КубГАУ, 2016. – 80 с. </w:t>
      </w:r>
    </w:p>
    <w:p w:rsidR="00CD45A4" w:rsidRPr="00CD45A4" w:rsidRDefault="00CD45A4" w:rsidP="000E5D27">
      <w:pPr>
        <w:widowControl w:val="0"/>
        <w:suppressAutoHyphens/>
        <w:ind w:firstLine="426"/>
        <w:jc w:val="both"/>
        <w:rPr>
          <w:rFonts w:eastAsia="Calibri"/>
          <w:sz w:val="22"/>
          <w:szCs w:val="22"/>
          <w:lang w:eastAsia="en-US"/>
        </w:rPr>
      </w:pPr>
      <w:r w:rsidRPr="00CD45A4">
        <w:rPr>
          <w:rFonts w:eastAsia="Calibri"/>
          <w:sz w:val="22"/>
          <w:szCs w:val="22"/>
          <w:lang w:eastAsia="en-US"/>
        </w:rPr>
        <w:t>2. Сметанин В. И. Защита окружающей среды от отходов производства и потребления / В.И. Сметанин. – М.: Колос, 2000. –     502 с.</w:t>
      </w:r>
    </w:p>
    <w:p w:rsidR="00CD45A4" w:rsidRPr="00CD45A4" w:rsidRDefault="00CD45A4" w:rsidP="000E5D27">
      <w:pPr>
        <w:widowControl w:val="0"/>
        <w:suppressAutoHyphens/>
        <w:ind w:firstLine="426"/>
        <w:jc w:val="both"/>
        <w:rPr>
          <w:sz w:val="22"/>
          <w:szCs w:val="22"/>
        </w:rPr>
      </w:pPr>
      <w:r w:rsidRPr="00CD45A4">
        <w:rPr>
          <w:rFonts w:eastAsia="Calibri"/>
          <w:sz w:val="22"/>
          <w:szCs w:val="22"/>
          <w:lang w:eastAsia="en-US"/>
        </w:rPr>
        <w:t xml:space="preserve">3. </w:t>
      </w:r>
      <w:r w:rsidRPr="00CD45A4">
        <w:rPr>
          <w:sz w:val="22"/>
          <w:szCs w:val="22"/>
        </w:rPr>
        <w:t>Стрельников, В. В. Прикладная экология / В. В. Стрельников [и др.]. – Краснодар: Изд. Дом-Юг, 2012. – 452 с.</w:t>
      </w:r>
    </w:p>
    <w:p w:rsidR="00CD45A4" w:rsidRPr="00CD45A4" w:rsidRDefault="00CD45A4" w:rsidP="000E5D27">
      <w:pPr>
        <w:widowControl w:val="0"/>
        <w:suppressAutoHyphens/>
        <w:ind w:firstLine="426"/>
        <w:contextualSpacing/>
        <w:jc w:val="both"/>
        <w:rPr>
          <w:rFonts w:eastAsia="Calibri"/>
          <w:sz w:val="22"/>
          <w:szCs w:val="22"/>
          <w:lang w:eastAsia="en-US"/>
        </w:rPr>
      </w:pPr>
      <w:r w:rsidRPr="00CD45A4">
        <w:rPr>
          <w:rFonts w:eastAsia="Calibri"/>
          <w:sz w:val="22"/>
          <w:szCs w:val="22"/>
          <w:lang w:eastAsia="en-US"/>
        </w:rPr>
        <w:t xml:space="preserve">4. </w:t>
      </w:r>
      <w:r w:rsidRPr="00CD45A4">
        <w:rPr>
          <w:rFonts w:eastAsia="Calibri"/>
          <w:color w:val="000000"/>
          <w:sz w:val="22"/>
          <w:szCs w:val="22"/>
          <w:lang w:eastAsia="en-US"/>
        </w:rPr>
        <w:t>Сухомлинова А. Г. Техногенные системы и экологический риск: учеб</w:t>
      </w:r>
      <w:proofErr w:type="gramStart"/>
      <w:r w:rsidRPr="00CD45A4">
        <w:rPr>
          <w:rFonts w:eastAsia="Calibri"/>
          <w:color w:val="000000"/>
          <w:sz w:val="22"/>
          <w:szCs w:val="22"/>
          <w:lang w:eastAsia="en-US"/>
        </w:rPr>
        <w:t>.-</w:t>
      </w:r>
      <w:proofErr w:type="gramEnd"/>
      <w:r w:rsidRPr="00CD45A4">
        <w:rPr>
          <w:rFonts w:eastAsia="Calibri"/>
          <w:color w:val="000000"/>
          <w:sz w:val="22"/>
          <w:szCs w:val="22"/>
          <w:lang w:eastAsia="en-US"/>
        </w:rPr>
        <w:t>метод.пособие / А.Г. Сухомлинова, В.В. Стрельников, Е.В. Суркова, Т.П. Францева. – Краснодар: КубГАУ, 2014. – 169 с.</w:t>
      </w:r>
    </w:p>
    <w:p w:rsidR="00CD45A4" w:rsidRPr="00CD45A4" w:rsidRDefault="00CD45A4" w:rsidP="00CD45A4">
      <w:pPr>
        <w:jc w:val="both"/>
        <w:rPr>
          <w:rFonts w:eastAsia="Calibri"/>
          <w:sz w:val="20"/>
          <w:szCs w:val="20"/>
          <w:lang w:eastAsia="en-US"/>
        </w:rPr>
      </w:pPr>
    </w:p>
    <w:p w:rsidR="000E5D27" w:rsidRPr="00CD45A4" w:rsidRDefault="000E5D27" w:rsidP="00CD45A4">
      <w:pPr>
        <w:jc w:val="both"/>
        <w:rPr>
          <w:rFonts w:eastAsia="Calibri"/>
          <w:sz w:val="20"/>
          <w:szCs w:val="20"/>
          <w:lang w:eastAsia="en-US"/>
        </w:rPr>
      </w:pPr>
    </w:p>
    <w:p w:rsidR="00CD45A4" w:rsidRPr="00CD45A4" w:rsidRDefault="00CD45A4" w:rsidP="00CD45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D45A4">
        <w:rPr>
          <w:sz w:val="22"/>
          <w:szCs w:val="22"/>
        </w:rPr>
        <w:t>УДК 504.3.054(470.620)</w:t>
      </w:r>
    </w:p>
    <w:p w:rsidR="00CD45A4" w:rsidRPr="00CD45A4" w:rsidRDefault="00CD45A4" w:rsidP="00CD45A4">
      <w:pPr>
        <w:shd w:val="clear" w:color="auto" w:fill="FFFFFF"/>
        <w:tabs>
          <w:tab w:val="left" w:pos="916"/>
          <w:tab w:val="left" w:pos="1832"/>
          <w:tab w:val="left" w:pos="2748"/>
          <w:tab w:val="left" w:pos="3664"/>
          <w:tab w:val="left" w:pos="4580"/>
          <w:tab w:val="left" w:pos="8244"/>
          <w:tab w:val="left" w:pos="9160"/>
          <w:tab w:val="left" w:pos="10076"/>
          <w:tab w:val="left" w:pos="10992"/>
          <w:tab w:val="left" w:pos="11908"/>
          <w:tab w:val="left" w:pos="12824"/>
          <w:tab w:val="left" w:pos="13740"/>
          <w:tab w:val="left" w:pos="14656"/>
        </w:tabs>
        <w:rPr>
          <w:sz w:val="22"/>
          <w:szCs w:val="22"/>
        </w:rPr>
      </w:pPr>
    </w:p>
    <w:p w:rsidR="00CD45A4" w:rsidRPr="00CD45A4" w:rsidRDefault="00CD45A4" w:rsidP="00CD45A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r w:rsidRPr="00CD45A4">
        <w:rPr>
          <w:b/>
          <w:sz w:val="24"/>
          <w:szCs w:val="24"/>
        </w:rPr>
        <w:t xml:space="preserve">Оценка загрязнения атмосферного воздуха </w:t>
      </w:r>
      <w:r w:rsidR="000E5D27">
        <w:rPr>
          <w:b/>
          <w:sz w:val="24"/>
          <w:szCs w:val="24"/>
        </w:rPr>
        <w:br/>
      </w:r>
      <w:r w:rsidRPr="00CD45A4">
        <w:rPr>
          <w:b/>
          <w:sz w:val="24"/>
          <w:szCs w:val="24"/>
        </w:rPr>
        <w:t xml:space="preserve">в Комсомольском микрорайоне города Краснодара </w:t>
      </w:r>
    </w:p>
    <w:p w:rsidR="00CD45A4" w:rsidRPr="008D33CB" w:rsidRDefault="00CD45A4" w:rsidP="00A8504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lang w:val="en-US"/>
        </w:rPr>
      </w:pPr>
      <w:r w:rsidRPr="00CD45A4">
        <w:rPr>
          <w:b/>
          <w:sz w:val="24"/>
          <w:szCs w:val="24"/>
          <w:lang w:val="en-US"/>
        </w:rPr>
        <w:t>Dustiness</w:t>
      </w:r>
      <w:r w:rsidRPr="003C00E9">
        <w:rPr>
          <w:b/>
          <w:sz w:val="24"/>
          <w:szCs w:val="24"/>
          <w:lang w:val="en-US"/>
        </w:rPr>
        <w:t xml:space="preserve"> </w:t>
      </w:r>
      <w:r w:rsidRPr="00CD45A4">
        <w:rPr>
          <w:b/>
          <w:sz w:val="24"/>
          <w:szCs w:val="24"/>
          <w:lang w:val="en-US"/>
        </w:rPr>
        <w:t>of</w:t>
      </w:r>
      <w:r w:rsidRPr="003C00E9">
        <w:rPr>
          <w:b/>
          <w:sz w:val="24"/>
          <w:szCs w:val="24"/>
          <w:lang w:val="en-US"/>
        </w:rPr>
        <w:t xml:space="preserve"> </w:t>
      </w:r>
      <w:r w:rsidRPr="00CD45A4">
        <w:rPr>
          <w:b/>
          <w:sz w:val="24"/>
          <w:szCs w:val="24"/>
          <w:lang w:val="en-US"/>
        </w:rPr>
        <w:t>leaf</w:t>
      </w:r>
      <w:r w:rsidRPr="003C00E9">
        <w:rPr>
          <w:b/>
          <w:sz w:val="24"/>
          <w:szCs w:val="24"/>
          <w:lang w:val="en-US"/>
        </w:rPr>
        <w:t xml:space="preserve"> </w:t>
      </w:r>
      <w:r w:rsidRPr="00CD45A4">
        <w:rPr>
          <w:b/>
          <w:sz w:val="24"/>
          <w:szCs w:val="24"/>
          <w:lang w:val="en-US"/>
        </w:rPr>
        <w:t>blades</w:t>
      </w:r>
      <w:r w:rsidRPr="003C00E9">
        <w:rPr>
          <w:b/>
          <w:sz w:val="24"/>
          <w:szCs w:val="24"/>
          <w:lang w:val="en-US"/>
        </w:rPr>
        <w:t xml:space="preserve"> </w:t>
      </w:r>
      <w:r w:rsidRPr="00CD45A4">
        <w:rPr>
          <w:b/>
          <w:sz w:val="24"/>
          <w:szCs w:val="24"/>
          <w:lang w:val="en-US"/>
        </w:rPr>
        <w:t>from</w:t>
      </w:r>
      <w:r w:rsidRPr="003C00E9">
        <w:rPr>
          <w:b/>
          <w:sz w:val="24"/>
          <w:szCs w:val="24"/>
          <w:lang w:val="en-US"/>
        </w:rPr>
        <w:t xml:space="preserve"> </w:t>
      </w:r>
      <w:r w:rsidRPr="00CD45A4">
        <w:rPr>
          <w:b/>
          <w:sz w:val="24"/>
          <w:szCs w:val="24"/>
          <w:lang w:val="en-US"/>
        </w:rPr>
        <w:t>atmospheric</w:t>
      </w:r>
      <w:r w:rsidRPr="003C00E9">
        <w:rPr>
          <w:b/>
          <w:sz w:val="24"/>
          <w:szCs w:val="24"/>
          <w:lang w:val="en-US"/>
        </w:rPr>
        <w:t xml:space="preserve"> </w:t>
      </w:r>
      <w:r w:rsidRPr="00CD45A4">
        <w:rPr>
          <w:b/>
          <w:sz w:val="24"/>
          <w:szCs w:val="24"/>
          <w:lang w:val="en-US"/>
        </w:rPr>
        <w:t>air</w:t>
      </w:r>
      <w:r w:rsidRPr="003C00E9">
        <w:rPr>
          <w:b/>
          <w:sz w:val="24"/>
          <w:szCs w:val="24"/>
          <w:lang w:val="en-US"/>
        </w:rPr>
        <w:t xml:space="preserve"> </w:t>
      </w:r>
      <w:r w:rsidRPr="00CD45A4">
        <w:rPr>
          <w:b/>
          <w:sz w:val="24"/>
          <w:szCs w:val="24"/>
          <w:lang w:val="en-US"/>
        </w:rPr>
        <w:t>pollution</w:t>
      </w:r>
      <w:r w:rsidRPr="003C00E9">
        <w:rPr>
          <w:b/>
          <w:sz w:val="24"/>
          <w:szCs w:val="24"/>
          <w:lang w:val="en-US"/>
        </w:rPr>
        <w:t xml:space="preserve"> </w:t>
      </w:r>
      <w:r w:rsidRPr="00CD45A4">
        <w:rPr>
          <w:b/>
          <w:sz w:val="24"/>
          <w:szCs w:val="24"/>
          <w:lang w:val="en-US"/>
        </w:rPr>
        <w:t>in</w:t>
      </w:r>
      <w:r w:rsidRPr="003C00E9">
        <w:rPr>
          <w:b/>
          <w:sz w:val="24"/>
          <w:szCs w:val="24"/>
          <w:lang w:val="en-US"/>
        </w:rPr>
        <w:t xml:space="preserve"> </w:t>
      </w:r>
      <w:r w:rsidRPr="00CD45A4">
        <w:rPr>
          <w:b/>
          <w:sz w:val="24"/>
          <w:szCs w:val="24"/>
          <w:lang w:val="en-US"/>
        </w:rPr>
        <w:t>the</w:t>
      </w:r>
      <w:r w:rsidRPr="003C00E9">
        <w:rPr>
          <w:b/>
          <w:sz w:val="24"/>
          <w:szCs w:val="24"/>
          <w:lang w:val="en-US"/>
        </w:rPr>
        <w:t xml:space="preserve"> </w:t>
      </w:r>
      <w:r w:rsidRPr="00CD45A4">
        <w:rPr>
          <w:b/>
          <w:sz w:val="24"/>
          <w:szCs w:val="24"/>
          <w:lang w:val="en-US"/>
        </w:rPr>
        <w:t>Komsomolsk</w:t>
      </w:r>
      <w:r w:rsidRPr="003C00E9">
        <w:rPr>
          <w:b/>
          <w:sz w:val="24"/>
          <w:szCs w:val="24"/>
          <w:lang w:val="en-US"/>
        </w:rPr>
        <w:t xml:space="preserve"> </w:t>
      </w:r>
      <w:r w:rsidRPr="00CD45A4">
        <w:rPr>
          <w:b/>
          <w:sz w:val="24"/>
          <w:szCs w:val="24"/>
          <w:lang w:val="en-US"/>
        </w:rPr>
        <w:t>microdistrict</w:t>
      </w:r>
      <w:r w:rsidRPr="003C00E9">
        <w:rPr>
          <w:b/>
          <w:sz w:val="24"/>
          <w:szCs w:val="24"/>
          <w:lang w:val="en-US"/>
        </w:rPr>
        <w:t xml:space="preserve"> </w:t>
      </w:r>
      <w:r w:rsidRPr="00CD45A4">
        <w:rPr>
          <w:b/>
          <w:sz w:val="24"/>
          <w:szCs w:val="24"/>
          <w:lang w:val="en-US"/>
        </w:rPr>
        <w:t>of</w:t>
      </w:r>
      <w:r w:rsidRPr="003C00E9">
        <w:rPr>
          <w:b/>
          <w:sz w:val="24"/>
          <w:szCs w:val="24"/>
          <w:lang w:val="en-US"/>
        </w:rPr>
        <w:t xml:space="preserve"> </w:t>
      </w:r>
      <w:r w:rsidRPr="00CD45A4">
        <w:rPr>
          <w:b/>
          <w:sz w:val="24"/>
          <w:szCs w:val="24"/>
          <w:lang w:val="en-US"/>
        </w:rPr>
        <w:t>the</w:t>
      </w:r>
      <w:r w:rsidRPr="003C00E9">
        <w:rPr>
          <w:b/>
          <w:sz w:val="24"/>
          <w:szCs w:val="24"/>
          <w:lang w:val="en-US"/>
        </w:rPr>
        <w:t xml:space="preserve"> </w:t>
      </w:r>
      <w:r w:rsidRPr="00CD45A4">
        <w:rPr>
          <w:b/>
          <w:sz w:val="24"/>
          <w:szCs w:val="24"/>
          <w:lang w:val="en-US"/>
        </w:rPr>
        <w:t>city</w:t>
      </w:r>
      <w:r w:rsidRPr="003C00E9">
        <w:rPr>
          <w:b/>
          <w:sz w:val="24"/>
          <w:szCs w:val="24"/>
          <w:lang w:val="en-US"/>
        </w:rPr>
        <w:t xml:space="preserve"> </w:t>
      </w:r>
      <w:r w:rsidRPr="00CD45A4">
        <w:rPr>
          <w:b/>
          <w:sz w:val="24"/>
          <w:szCs w:val="24"/>
          <w:lang w:val="en-US"/>
        </w:rPr>
        <w:t>of</w:t>
      </w:r>
      <w:r w:rsidRPr="003C00E9">
        <w:rPr>
          <w:b/>
          <w:sz w:val="24"/>
          <w:szCs w:val="24"/>
          <w:lang w:val="en-US"/>
        </w:rPr>
        <w:t xml:space="preserve"> </w:t>
      </w:r>
      <w:r w:rsidRPr="00CD45A4">
        <w:rPr>
          <w:b/>
          <w:sz w:val="24"/>
          <w:szCs w:val="24"/>
          <w:lang w:val="en-US"/>
        </w:rPr>
        <w:t>Krasnodar</w:t>
      </w:r>
    </w:p>
    <w:p w:rsidR="00A8504F" w:rsidRPr="008D33CB" w:rsidRDefault="00A8504F" w:rsidP="00A8504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olor w:val="212121"/>
          <w:sz w:val="24"/>
          <w:szCs w:val="24"/>
          <w:lang w:val="en-US"/>
        </w:rPr>
      </w:pPr>
    </w:p>
    <w:p w:rsidR="00CD45A4" w:rsidRPr="00CD45A4" w:rsidRDefault="00CD45A4" w:rsidP="00CD45A4">
      <w:pPr>
        <w:widowControl w:val="0"/>
        <w:tabs>
          <w:tab w:val="left" w:pos="3119"/>
        </w:tabs>
        <w:jc w:val="right"/>
        <w:rPr>
          <w:sz w:val="22"/>
          <w:szCs w:val="22"/>
        </w:rPr>
      </w:pPr>
      <w:r w:rsidRPr="00CD45A4">
        <w:rPr>
          <w:sz w:val="22"/>
          <w:szCs w:val="22"/>
        </w:rPr>
        <w:t>Филатов Д. А.</w:t>
      </w:r>
      <w:r w:rsidR="000E5D27">
        <w:rPr>
          <w:sz w:val="22"/>
          <w:szCs w:val="22"/>
        </w:rPr>
        <w:t>,</w:t>
      </w:r>
    </w:p>
    <w:p w:rsidR="00CD45A4" w:rsidRPr="00CD45A4" w:rsidRDefault="00CD45A4" w:rsidP="00CD45A4">
      <w:pPr>
        <w:widowControl w:val="0"/>
        <w:tabs>
          <w:tab w:val="left" w:pos="3119"/>
        </w:tabs>
        <w:jc w:val="right"/>
        <w:rPr>
          <w:sz w:val="22"/>
          <w:szCs w:val="22"/>
        </w:rPr>
      </w:pPr>
      <w:r w:rsidRPr="00CD45A4">
        <w:rPr>
          <w:sz w:val="22"/>
          <w:szCs w:val="22"/>
        </w:rPr>
        <w:t>магистрант 1-го курса</w:t>
      </w:r>
    </w:p>
    <w:p w:rsidR="00CD45A4" w:rsidRPr="00CD45A4" w:rsidRDefault="00CD45A4" w:rsidP="00CD45A4">
      <w:pPr>
        <w:widowControl w:val="0"/>
        <w:tabs>
          <w:tab w:val="left" w:pos="3119"/>
        </w:tabs>
        <w:jc w:val="right"/>
        <w:rPr>
          <w:sz w:val="22"/>
          <w:szCs w:val="22"/>
        </w:rPr>
      </w:pPr>
      <w:r w:rsidRPr="00CD45A4">
        <w:rPr>
          <w:sz w:val="22"/>
          <w:szCs w:val="22"/>
        </w:rPr>
        <w:t>факультета агрономии и экологии</w:t>
      </w:r>
    </w:p>
    <w:p w:rsidR="00CD45A4" w:rsidRPr="00CD45A4" w:rsidRDefault="00CD45A4" w:rsidP="00CD45A4">
      <w:pPr>
        <w:widowControl w:val="0"/>
        <w:tabs>
          <w:tab w:val="left" w:pos="3119"/>
        </w:tabs>
        <w:jc w:val="right"/>
        <w:rPr>
          <w:sz w:val="22"/>
          <w:szCs w:val="22"/>
        </w:rPr>
      </w:pPr>
      <w:r w:rsidRPr="00CD45A4">
        <w:rPr>
          <w:sz w:val="22"/>
          <w:szCs w:val="22"/>
        </w:rPr>
        <w:t>Белюченко И. С.</w:t>
      </w:r>
      <w:r w:rsidR="000E5D27">
        <w:rPr>
          <w:sz w:val="22"/>
          <w:szCs w:val="22"/>
        </w:rPr>
        <w:t>,</w:t>
      </w:r>
    </w:p>
    <w:p w:rsidR="00CD45A4" w:rsidRPr="00CD45A4" w:rsidRDefault="00CD45A4" w:rsidP="00CD45A4">
      <w:pPr>
        <w:widowControl w:val="0"/>
        <w:jc w:val="right"/>
        <w:rPr>
          <w:sz w:val="22"/>
          <w:szCs w:val="22"/>
        </w:rPr>
      </w:pPr>
      <w:r w:rsidRPr="00CD45A4">
        <w:rPr>
          <w:sz w:val="22"/>
          <w:szCs w:val="22"/>
        </w:rPr>
        <w:t>профессор ка</w:t>
      </w:r>
      <w:r w:rsidR="000E5D27">
        <w:rPr>
          <w:sz w:val="22"/>
          <w:szCs w:val="22"/>
        </w:rPr>
        <w:t>федры общей биологии и экологии</w:t>
      </w:r>
    </w:p>
    <w:p w:rsidR="00CD45A4" w:rsidRPr="00CD45A4" w:rsidRDefault="00CD45A4" w:rsidP="00CD45A4">
      <w:pPr>
        <w:jc w:val="right"/>
        <w:rPr>
          <w:sz w:val="24"/>
          <w:szCs w:val="24"/>
        </w:rPr>
      </w:pPr>
      <w:r w:rsidRPr="00CD45A4">
        <w:rPr>
          <w:color w:val="000000"/>
          <w:sz w:val="22"/>
          <w:szCs w:val="22"/>
        </w:rPr>
        <w:t>Кубанский государственный аграрный</w:t>
      </w:r>
    </w:p>
    <w:p w:rsidR="00CD45A4" w:rsidRPr="00CD45A4" w:rsidRDefault="00CD45A4" w:rsidP="00CD45A4">
      <w:pPr>
        <w:jc w:val="right"/>
        <w:rPr>
          <w:sz w:val="24"/>
          <w:szCs w:val="24"/>
        </w:rPr>
      </w:pPr>
      <w:r w:rsidRPr="00CD45A4">
        <w:rPr>
          <w:color w:val="000000"/>
          <w:sz w:val="22"/>
          <w:szCs w:val="22"/>
        </w:rPr>
        <w:t>университет имени И.</w:t>
      </w:r>
      <w:r w:rsidR="000E5D27">
        <w:rPr>
          <w:color w:val="000000"/>
          <w:sz w:val="22"/>
          <w:szCs w:val="22"/>
        </w:rPr>
        <w:t xml:space="preserve"> </w:t>
      </w:r>
      <w:r w:rsidRPr="00CD45A4">
        <w:rPr>
          <w:color w:val="000000"/>
          <w:sz w:val="22"/>
          <w:szCs w:val="22"/>
        </w:rPr>
        <w:t>Т. Трубилина</w:t>
      </w:r>
    </w:p>
    <w:p w:rsidR="00CD45A4" w:rsidRPr="00CD45A4" w:rsidRDefault="00CD45A4" w:rsidP="00CD45A4">
      <w:pPr>
        <w:jc w:val="both"/>
        <w:rPr>
          <w:sz w:val="22"/>
          <w:szCs w:val="22"/>
        </w:rPr>
      </w:pPr>
    </w:p>
    <w:p w:rsidR="00CD45A4" w:rsidRPr="00CD45A4" w:rsidRDefault="00CD45A4" w:rsidP="000E5D27">
      <w:pPr>
        <w:widowControl w:val="0"/>
        <w:suppressAutoHyphens/>
        <w:ind w:firstLine="426"/>
        <w:jc w:val="both"/>
        <w:rPr>
          <w:sz w:val="22"/>
          <w:szCs w:val="22"/>
        </w:rPr>
      </w:pPr>
      <w:r w:rsidRPr="00CD45A4">
        <w:rPr>
          <w:sz w:val="22"/>
          <w:szCs w:val="22"/>
        </w:rPr>
        <w:t xml:space="preserve">АНОТАЦИЯ: Изучалось загрязнение атмосферного воздуха </w:t>
      </w:r>
      <w:r w:rsidRPr="00CD45A4">
        <w:rPr>
          <w:sz w:val="22"/>
          <w:szCs w:val="22"/>
        </w:rPr>
        <w:lastRenderedPageBreak/>
        <w:t>путем изучения запыленности листовых пластинок на определенной породе деревьев (тополь пирамидальный).</w:t>
      </w:r>
    </w:p>
    <w:p w:rsidR="00CD45A4" w:rsidRPr="00CD45A4" w:rsidRDefault="00CD45A4" w:rsidP="000E5D27">
      <w:pPr>
        <w:widowControl w:val="0"/>
        <w:suppressAutoHyphens/>
        <w:ind w:firstLine="426"/>
        <w:jc w:val="both"/>
        <w:rPr>
          <w:sz w:val="22"/>
          <w:szCs w:val="22"/>
          <w:lang w:val="en-US"/>
        </w:rPr>
      </w:pPr>
      <w:r w:rsidRPr="00CD45A4">
        <w:rPr>
          <w:sz w:val="22"/>
          <w:szCs w:val="22"/>
          <w:lang w:val="en-US"/>
        </w:rPr>
        <w:t xml:space="preserve">ABSTRACT: Atmospheric air dusting was </w:t>
      </w:r>
      <w:proofErr w:type="gramStart"/>
      <w:r w:rsidRPr="00CD45A4">
        <w:rPr>
          <w:sz w:val="22"/>
          <w:szCs w:val="22"/>
          <w:lang w:val="en-US"/>
        </w:rPr>
        <w:t>Studied</w:t>
      </w:r>
      <w:proofErr w:type="gramEnd"/>
      <w:r w:rsidRPr="00CD45A4">
        <w:rPr>
          <w:sz w:val="22"/>
          <w:szCs w:val="22"/>
          <w:lang w:val="en-US"/>
        </w:rPr>
        <w:t xml:space="preserve"> by studying the dust content of leaf plates on a certain tree species (pyramidal poplar).</w:t>
      </w:r>
    </w:p>
    <w:p w:rsidR="00CD45A4" w:rsidRPr="00CD45A4" w:rsidRDefault="00CD45A4" w:rsidP="000E5D27">
      <w:pPr>
        <w:widowControl w:val="0"/>
        <w:suppressAutoHyphens/>
        <w:ind w:firstLine="426"/>
        <w:jc w:val="both"/>
        <w:rPr>
          <w:sz w:val="22"/>
          <w:szCs w:val="22"/>
        </w:rPr>
      </w:pPr>
      <w:r w:rsidRPr="00CD45A4">
        <w:rPr>
          <w:sz w:val="22"/>
          <w:szCs w:val="22"/>
        </w:rPr>
        <w:t>КЛЮЧЕВЫЕ СЛОВА: атмосферный воздух, окружающая среда, углекислый газ, листовые пластинки, пищевая промышленность.</w:t>
      </w:r>
    </w:p>
    <w:p w:rsidR="00CD45A4" w:rsidRPr="00CD45A4" w:rsidRDefault="00CD45A4" w:rsidP="000E5D27">
      <w:pPr>
        <w:widowControl w:val="0"/>
        <w:suppressAutoHyphens/>
        <w:ind w:firstLine="426"/>
        <w:jc w:val="both"/>
        <w:rPr>
          <w:sz w:val="22"/>
          <w:szCs w:val="22"/>
          <w:lang w:val="en-US"/>
        </w:rPr>
      </w:pPr>
      <w:r w:rsidRPr="00CD45A4">
        <w:rPr>
          <w:sz w:val="22"/>
          <w:szCs w:val="22"/>
          <w:lang w:val="en-US"/>
        </w:rPr>
        <w:t>KEY WORDS: atmospheric air, environment, carbon dioxide, leaf plates, food industry.</w:t>
      </w:r>
    </w:p>
    <w:p w:rsidR="00CD45A4" w:rsidRPr="00CD45A4" w:rsidRDefault="00CD45A4" w:rsidP="000E5D27">
      <w:pPr>
        <w:widowControl w:val="0"/>
        <w:ind w:firstLine="426"/>
        <w:jc w:val="both"/>
        <w:rPr>
          <w:sz w:val="22"/>
          <w:szCs w:val="22"/>
          <w:lang w:val="en-US"/>
        </w:rPr>
      </w:pPr>
    </w:p>
    <w:p w:rsidR="00CD45A4" w:rsidRPr="00CD45A4" w:rsidRDefault="00CD45A4" w:rsidP="000E5D27">
      <w:pPr>
        <w:widowControl w:val="0"/>
        <w:ind w:firstLine="426"/>
        <w:jc w:val="both"/>
        <w:rPr>
          <w:sz w:val="22"/>
          <w:szCs w:val="22"/>
        </w:rPr>
      </w:pPr>
      <w:r w:rsidRPr="00CD45A4">
        <w:rPr>
          <w:sz w:val="22"/>
          <w:szCs w:val="22"/>
        </w:rPr>
        <w:t>Главным компонентом окружающей среды является атмосфе</w:t>
      </w:r>
      <w:r w:rsidRPr="00CD45A4">
        <w:rPr>
          <w:sz w:val="22"/>
          <w:szCs w:val="22"/>
        </w:rPr>
        <w:t>р</w:t>
      </w:r>
      <w:r w:rsidRPr="00CD45A4">
        <w:rPr>
          <w:sz w:val="22"/>
          <w:szCs w:val="22"/>
        </w:rPr>
        <w:t>ный воздух. Устойчивость биосферы зависит от чистоты атмосфе</w:t>
      </w:r>
      <w:r w:rsidRPr="00CD45A4">
        <w:rPr>
          <w:sz w:val="22"/>
          <w:szCs w:val="22"/>
        </w:rPr>
        <w:t>р</w:t>
      </w:r>
      <w:r w:rsidRPr="00CD45A4">
        <w:rPr>
          <w:sz w:val="22"/>
          <w:szCs w:val="22"/>
        </w:rPr>
        <w:t>ного воздуха. Мы дышим и пропускаем ежесуточно более 13 тыс. л. через свои легкие. В состав воздуха входят постоянные составные части природного и антропогенного происхождения, а также вари</w:t>
      </w:r>
      <w:r w:rsidRPr="00CD45A4">
        <w:rPr>
          <w:sz w:val="22"/>
          <w:szCs w:val="22"/>
        </w:rPr>
        <w:t>а</w:t>
      </w:r>
      <w:r w:rsidRPr="00CD45A4">
        <w:rPr>
          <w:sz w:val="22"/>
          <w:szCs w:val="22"/>
        </w:rPr>
        <w:t xml:space="preserve">ционные различных примесей </w:t>
      </w:r>
      <w:r w:rsidRPr="00CD45A4">
        <w:rPr>
          <w:rFonts w:eastAsia="Calibri"/>
          <w:color w:val="000000"/>
          <w:sz w:val="22"/>
          <w:szCs w:val="22"/>
        </w:rPr>
        <w:t>[1].</w:t>
      </w:r>
    </w:p>
    <w:p w:rsidR="00CD45A4" w:rsidRPr="00CD45A4" w:rsidRDefault="00CD45A4" w:rsidP="000E5D27">
      <w:pPr>
        <w:widowControl w:val="0"/>
        <w:ind w:firstLine="426"/>
        <w:jc w:val="both"/>
        <w:rPr>
          <w:sz w:val="22"/>
          <w:szCs w:val="22"/>
        </w:rPr>
      </w:pPr>
      <w:r w:rsidRPr="00CD45A4">
        <w:rPr>
          <w:sz w:val="22"/>
          <w:szCs w:val="22"/>
        </w:rPr>
        <w:t>Загрязнение воздуха имеет место в том случае, если в смеси имеются посторонние вещества в таких количествах и так долго, что создают опасность для человека, животных, растений. В кач</w:t>
      </w:r>
      <w:r w:rsidRPr="00CD45A4">
        <w:rPr>
          <w:sz w:val="22"/>
          <w:szCs w:val="22"/>
        </w:rPr>
        <w:t>е</w:t>
      </w:r>
      <w:r w:rsidRPr="00CD45A4">
        <w:rPr>
          <w:sz w:val="22"/>
          <w:szCs w:val="22"/>
        </w:rPr>
        <w:t>стве наиболее распространенных и опасных выделяют семь катег</w:t>
      </w:r>
      <w:r w:rsidRPr="00CD45A4">
        <w:rPr>
          <w:sz w:val="22"/>
          <w:szCs w:val="22"/>
        </w:rPr>
        <w:t>о</w:t>
      </w:r>
      <w:r w:rsidRPr="00CD45A4">
        <w:rPr>
          <w:sz w:val="22"/>
          <w:szCs w:val="22"/>
        </w:rPr>
        <w:t>рий загрязнителей:</w:t>
      </w:r>
    </w:p>
    <w:p w:rsidR="00CD45A4" w:rsidRPr="00CD45A4" w:rsidRDefault="00CD45A4" w:rsidP="000E5D27">
      <w:pPr>
        <w:widowControl w:val="0"/>
        <w:ind w:firstLine="426"/>
        <w:jc w:val="both"/>
        <w:rPr>
          <w:sz w:val="22"/>
          <w:szCs w:val="22"/>
        </w:rPr>
      </w:pPr>
      <w:r w:rsidRPr="00CD45A4">
        <w:rPr>
          <w:sz w:val="22"/>
          <w:szCs w:val="22"/>
        </w:rPr>
        <w:t xml:space="preserve">1) взвешенные вещества, они могут переносить другие </w:t>
      </w:r>
      <w:proofErr w:type="gramStart"/>
      <w:r w:rsidRPr="00CD45A4">
        <w:rPr>
          <w:sz w:val="22"/>
          <w:szCs w:val="22"/>
        </w:rPr>
        <w:t>загря</w:t>
      </w:r>
      <w:r w:rsidRPr="00CD45A4">
        <w:rPr>
          <w:sz w:val="22"/>
          <w:szCs w:val="22"/>
        </w:rPr>
        <w:t>з</w:t>
      </w:r>
      <w:r w:rsidRPr="00CD45A4">
        <w:rPr>
          <w:sz w:val="22"/>
          <w:szCs w:val="22"/>
        </w:rPr>
        <w:t>нители</w:t>
      </w:r>
      <w:proofErr w:type="gramEnd"/>
      <w:r w:rsidRPr="00CD45A4">
        <w:rPr>
          <w:sz w:val="22"/>
          <w:szCs w:val="22"/>
        </w:rPr>
        <w:t xml:space="preserve"> растворенные в них или адсорбированные на поверхности частиц; </w:t>
      </w:r>
    </w:p>
    <w:p w:rsidR="00CD45A4" w:rsidRPr="00CD45A4" w:rsidRDefault="00CD45A4" w:rsidP="000E5D27">
      <w:pPr>
        <w:widowControl w:val="0"/>
        <w:ind w:firstLine="426"/>
        <w:jc w:val="both"/>
        <w:rPr>
          <w:sz w:val="22"/>
          <w:szCs w:val="22"/>
        </w:rPr>
      </w:pPr>
      <w:r w:rsidRPr="00CD45A4">
        <w:rPr>
          <w:sz w:val="22"/>
          <w:szCs w:val="22"/>
        </w:rPr>
        <w:t>2) углеводороды и другие летучие органические соединения;</w:t>
      </w:r>
    </w:p>
    <w:p w:rsidR="00CD45A4" w:rsidRPr="00CD45A4" w:rsidRDefault="00CD45A4" w:rsidP="000E5D27">
      <w:pPr>
        <w:widowControl w:val="0"/>
        <w:ind w:firstLine="426"/>
        <w:jc w:val="both"/>
        <w:rPr>
          <w:sz w:val="22"/>
          <w:szCs w:val="22"/>
        </w:rPr>
      </w:pPr>
      <w:r w:rsidRPr="00CD45A4">
        <w:rPr>
          <w:sz w:val="22"/>
          <w:szCs w:val="22"/>
        </w:rPr>
        <w:t>3) угарный газ (</w:t>
      </w:r>
      <w:proofErr w:type="gramStart"/>
      <w:r w:rsidRPr="00CD45A4">
        <w:rPr>
          <w:sz w:val="22"/>
          <w:szCs w:val="22"/>
        </w:rPr>
        <w:t>СО</w:t>
      </w:r>
      <w:proofErr w:type="gramEnd"/>
      <w:r w:rsidRPr="00CD45A4">
        <w:rPr>
          <w:sz w:val="22"/>
          <w:szCs w:val="22"/>
        </w:rPr>
        <w:t>), оксиды азота (NO</w:t>
      </w:r>
      <w:r w:rsidRPr="00CD45A4">
        <w:rPr>
          <w:sz w:val="22"/>
          <w:szCs w:val="22"/>
          <w:vertAlign w:val="subscript"/>
        </w:rPr>
        <w:t>x</w:t>
      </w:r>
      <w:r w:rsidRPr="00CD45A4">
        <w:rPr>
          <w:sz w:val="22"/>
          <w:szCs w:val="22"/>
        </w:rPr>
        <w:t xml:space="preserve">); </w:t>
      </w:r>
    </w:p>
    <w:p w:rsidR="00CD45A4" w:rsidRPr="00CD45A4" w:rsidRDefault="00CD45A4" w:rsidP="000E5D27">
      <w:pPr>
        <w:widowControl w:val="0"/>
        <w:ind w:firstLine="426"/>
        <w:jc w:val="both"/>
        <w:rPr>
          <w:sz w:val="22"/>
          <w:szCs w:val="22"/>
        </w:rPr>
      </w:pPr>
      <w:r w:rsidRPr="00CD45A4">
        <w:rPr>
          <w:sz w:val="22"/>
          <w:szCs w:val="22"/>
        </w:rPr>
        <w:t>4) оксиды и диоксид серы (SO</w:t>
      </w:r>
      <w:r w:rsidRPr="00CD45A4">
        <w:rPr>
          <w:sz w:val="22"/>
          <w:szCs w:val="22"/>
          <w:vertAlign w:val="subscript"/>
        </w:rPr>
        <w:t>2</w:t>
      </w:r>
      <w:r w:rsidRPr="00CD45A4">
        <w:rPr>
          <w:sz w:val="22"/>
          <w:szCs w:val="22"/>
        </w:rPr>
        <w:t>);</w:t>
      </w:r>
    </w:p>
    <w:p w:rsidR="00CD45A4" w:rsidRPr="00CD45A4" w:rsidRDefault="00CD45A4" w:rsidP="000E5D27">
      <w:pPr>
        <w:widowControl w:val="0"/>
        <w:ind w:firstLine="426"/>
        <w:jc w:val="both"/>
        <w:rPr>
          <w:sz w:val="22"/>
          <w:szCs w:val="22"/>
        </w:rPr>
      </w:pPr>
      <w:r w:rsidRPr="00CD45A4">
        <w:rPr>
          <w:sz w:val="22"/>
          <w:szCs w:val="22"/>
        </w:rPr>
        <w:t>5) свинец и другие тяжелые металлы</w:t>
      </w:r>
      <w:proofErr w:type="gramStart"/>
      <w:r w:rsidRPr="00CD45A4">
        <w:rPr>
          <w:sz w:val="22"/>
          <w:szCs w:val="22"/>
        </w:rPr>
        <w:t xml:space="preserve">( </w:t>
      </w:r>
      <w:proofErr w:type="gramEnd"/>
      <w:r w:rsidRPr="00CD45A4">
        <w:rPr>
          <w:sz w:val="22"/>
          <w:szCs w:val="22"/>
          <w:lang w:val="en-US"/>
        </w:rPr>
        <w:t>Zn</w:t>
      </w:r>
      <w:r w:rsidRPr="00CD45A4">
        <w:rPr>
          <w:sz w:val="22"/>
          <w:szCs w:val="22"/>
        </w:rPr>
        <w:t xml:space="preserve">, </w:t>
      </w:r>
      <w:r w:rsidRPr="00CD45A4">
        <w:rPr>
          <w:sz w:val="22"/>
          <w:szCs w:val="22"/>
          <w:lang w:val="en-US"/>
        </w:rPr>
        <w:t>Hg</w:t>
      </w:r>
      <w:r w:rsidRPr="00CD45A4">
        <w:rPr>
          <w:sz w:val="22"/>
          <w:szCs w:val="22"/>
        </w:rPr>
        <w:t xml:space="preserve">, </w:t>
      </w:r>
      <w:r w:rsidRPr="00CD45A4">
        <w:rPr>
          <w:sz w:val="22"/>
          <w:szCs w:val="22"/>
          <w:lang w:val="en-US"/>
        </w:rPr>
        <w:t>Al</w:t>
      </w:r>
      <w:r w:rsidRPr="00CD45A4">
        <w:rPr>
          <w:sz w:val="22"/>
          <w:szCs w:val="22"/>
        </w:rPr>
        <w:t xml:space="preserve">, </w:t>
      </w:r>
      <w:r w:rsidRPr="00CD45A4">
        <w:rPr>
          <w:sz w:val="22"/>
          <w:szCs w:val="22"/>
          <w:lang w:val="en-US"/>
        </w:rPr>
        <w:t>Co</w:t>
      </w:r>
      <w:r w:rsidRPr="00CD45A4">
        <w:rPr>
          <w:sz w:val="22"/>
          <w:szCs w:val="22"/>
        </w:rPr>
        <w:t xml:space="preserve"> ); </w:t>
      </w:r>
    </w:p>
    <w:p w:rsidR="00CD45A4" w:rsidRPr="00CD45A4" w:rsidRDefault="00CD45A4" w:rsidP="000E5D27">
      <w:pPr>
        <w:widowControl w:val="0"/>
        <w:ind w:firstLine="426"/>
        <w:jc w:val="both"/>
        <w:rPr>
          <w:sz w:val="22"/>
          <w:szCs w:val="22"/>
        </w:rPr>
      </w:pPr>
      <w:r w:rsidRPr="00CD45A4">
        <w:rPr>
          <w:sz w:val="22"/>
          <w:szCs w:val="22"/>
        </w:rPr>
        <w:t>6) озон и другие фотохимические окислители (</w:t>
      </w:r>
      <w:r w:rsidRPr="00CD45A4">
        <w:rPr>
          <w:sz w:val="22"/>
          <w:szCs w:val="22"/>
          <w:lang w:val="en-US"/>
        </w:rPr>
        <w:t>O</w:t>
      </w:r>
      <w:r w:rsidRPr="00CD45A4">
        <w:rPr>
          <w:sz w:val="22"/>
          <w:szCs w:val="22"/>
          <w:vertAlign w:val="subscript"/>
        </w:rPr>
        <w:t>3</w:t>
      </w:r>
      <w:r w:rsidRPr="00CD45A4">
        <w:rPr>
          <w:sz w:val="22"/>
          <w:szCs w:val="22"/>
        </w:rPr>
        <w:t xml:space="preserve">); </w:t>
      </w:r>
    </w:p>
    <w:p w:rsidR="00CD45A4" w:rsidRPr="00CD45A4" w:rsidRDefault="00CD45A4" w:rsidP="000E5D27">
      <w:pPr>
        <w:widowControl w:val="0"/>
        <w:ind w:firstLine="426"/>
        <w:jc w:val="both"/>
        <w:rPr>
          <w:sz w:val="22"/>
          <w:szCs w:val="22"/>
        </w:rPr>
      </w:pPr>
      <w:r w:rsidRPr="00CD45A4">
        <w:rPr>
          <w:sz w:val="22"/>
          <w:szCs w:val="22"/>
        </w:rPr>
        <w:t xml:space="preserve">7) </w:t>
      </w:r>
      <w:proofErr w:type="gramStart"/>
      <w:r w:rsidRPr="00CD45A4">
        <w:rPr>
          <w:sz w:val="22"/>
          <w:szCs w:val="22"/>
        </w:rPr>
        <w:t>серная</w:t>
      </w:r>
      <w:proofErr w:type="gramEnd"/>
      <w:r w:rsidRPr="00CD45A4">
        <w:rPr>
          <w:sz w:val="22"/>
          <w:szCs w:val="22"/>
        </w:rPr>
        <w:t xml:space="preserve"> и азотные кислоты (</w:t>
      </w:r>
      <w:r w:rsidRPr="00CD45A4">
        <w:rPr>
          <w:sz w:val="22"/>
          <w:szCs w:val="22"/>
          <w:lang w:val="en-US"/>
        </w:rPr>
        <w:t>H</w:t>
      </w:r>
      <w:r w:rsidRPr="00CD45A4">
        <w:rPr>
          <w:sz w:val="22"/>
          <w:szCs w:val="22"/>
          <w:vertAlign w:val="subscript"/>
        </w:rPr>
        <w:t>2</w:t>
      </w:r>
      <w:r w:rsidRPr="00CD45A4">
        <w:rPr>
          <w:sz w:val="22"/>
          <w:szCs w:val="22"/>
          <w:lang w:val="en-US"/>
        </w:rPr>
        <w:t>SO</w:t>
      </w:r>
      <w:r w:rsidRPr="00CD45A4">
        <w:rPr>
          <w:sz w:val="22"/>
          <w:szCs w:val="22"/>
          <w:vertAlign w:val="subscript"/>
        </w:rPr>
        <w:t>4</w:t>
      </w:r>
      <w:r w:rsidRPr="00CD45A4">
        <w:rPr>
          <w:sz w:val="22"/>
          <w:szCs w:val="22"/>
        </w:rPr>
        <w:t xml:space="preserve">, </w:t>
      </w:r>
      <w:r w:rsidRPr="00CD45A4">
        <w:rPr>
          <w:sz w:val="22"/>
          <w:szCs w:val="22"/>
          <w:lang w:val="en-US"/>
        </w:rPr>
        <w:t>HNO</w:t>
      </w:r>
      <w:r w:rsidRPr="00CD45A4">
        <w:rPr>
          <w:sz w:val="22"/>
          <w:szCs w:val="22"/>
          <w:vertAlign w:val="subscript"/>
        </w:rPr>
        <w:t>3</w:t>
      </w:r>
      <w:r w:rsidRPr="00CD45A4">
        <w:rPr>
          <w:sz w:val="22"/>
          <w:szCs w:val="22"/>
        </w:rPr>
        <w:t>)</w:t>
      </w:r>
      <w:r w:rsidRPr="00CD45A4">
        <w:rPr>
          <w:rFonts w:eastAsia="Calibri"/>
          <w:color w:val="000000"/>
          <w:sz w:val="22"/>
          <w:szCs w:val="22"/>
        </w:rPr>
        <w:t xml:space="preserve"> [3]</w:t>
      </w:r>
      <w:r w:rsidRPr="00CD45A4">
        <w:rPr>
          <w:sz w:val="22"/>
          <w:szCs w:val="22"/>
        </w:rPr>
        <w:t>.</w:t>
      </w:r>
    </w:p>
    <w:p w:rsidR="00CD45A4" w:rsidRPr="00CD45A4" w:rsidRDefault="00CD45A4" w:rsidP="000E5D27">
      <w:pPr>
        <w:widowControl w:val="0"/>
        <w:ind w:firstLine="426"/>
        <w:jc w:val="both"/>
        <w:rPr>
          <w:rFonts w:eastAsia="Calibri"/>
          <w:color w:val="000000"/>
          <w:sz w:val="22"/>
          <w:szCs w:val="22"/>
        </w:rPr>
      </w:pPr>
      <w:r w:rsidRPr="00CD45A4">
        <w:rPr>
          <w:sz w:val="22"/>
          <w:szCs w:val="22"/>
        </w:rPr>
        <w:t xml:space="preserve">Растения страдают из-за высокой интенсивности газообмена в разы </w:t>
      </w:r>
      <w:proofErr w:type="gramStart"/>
      <w:r w:rsidRPr="00CD45A4">
        <w:rPr>
          <w:sz w:val="22"/>
          <w:szCs w:val="22"/>
        </w:rPr>
        <w:t>превышающую</w:t>
      </w:r>
      <w:proofErr w:type="gramEnd"/>
      <w:r w:rsidRPr="00CD45A4">
        <w:rPr>
          <w:sz w:val="22"/>
          <w:szCs w:val="22"/>
        </w:rPr>
        <w:t xml:space="preserve"> газообмен у человека. По этой причине раст</w:t>
      </w:r>
      <w:r w:rsidRPr="00CD45A4">
        <w:rPr>
          <w:sz w:val="22"/>
          <w:szCs w:val="22"/>
        </w:rPr>
        <w:t>е</w:t>
      </w:r>
      <w:r w:rsidRPr="00CD45A4">
        <w:rPr>
          <w:sz w:val="22"/>
          <w:szCs w:val="22"/>
        </w:rPr>
        <w:t>ния пригодны для обнаружения начального изменения состава во</w:t>
      </w:r>
      <w:r w:rsidRPr="00CD45A4">
        <w:rPr>
          <w:sz w:val="22"/>
          <w:szCs w:val="22"/>
        </w:rPr>
        <w:t>з</w:t>
      </w:r>
      <w:r w:rsidRPr="00CD45A4">
        <w:rPr>
          <w:sz w:val="22"/>
          <w:szCs w:val="22"/>
        </w:rPr>
        <w:t>духа</w:t>
      </w:r>
      <w:r w:rsidRPr="00CD45A4">
        <w:rPr>
          <w:rFonts w:eastAsia="Calibri"/>
          <w:color w:val="000000"/>
          <w:sz w:val="22"/>
          <w:szCs w:val="22"/>
        </w:rPr>
        <w:t xml:space="preserve"> [2,4].</w:t>
      </w:r>
    </w:p>
    <w:p w:rsidR="00CD45A4" w:rsidRPr="00CD45A4" w:rsidRDefault="00CD45A4" w:rsidP="000E5D27">
      <w:pPr>
        <w:widowControl w:val="0"/>
        <w:tabs>
          <w:tab w:val="left" w:pos="4515"/>
        </w:tabs>
        <w:ind w:firstLine="426"/>
        <w:contextualSpacing/>
        <w:jc w:val="both"/>
        <w:rPr>
          <w:sz w:val="22"/>
          <w:szCs w:val="22"/>
        </w:rPr>
      </w:pPr>
      <w:r w:rsidRPr="00CD45A4">
        <w:rPr>
          <w:sz w:val="22"/>
          <w:szCs w:val="22"/>
        </w:rPr>
        <w:t>Исследования проводились период с сентября 2016 до июня 2017 года. Точки отбора проб были размещены по трем векторам:</w:t>
      </w:r>
    </w:p>
    <w:p w:rsidR="00CD45A4" w:rsidRPr="00CD45A4" w:rsidRDefault="00CD45A4" w:rsidP="000E5D27">
      <w:pPr>
        <w:widowControl w:val="0"/>
        <w:tabs>
          <w:tab w:val="left" w:pos="4515"/>
        </w:tabs>
        <w:ind w:firstLine="426"/>
        <w:jc w:val="both"/>
        <w:rPr>
          <w:sz w:val="22"/>
          <w:szCs w:val="22"/>
        </w:rPr>
      </w:pPr>
      <w:r w:rsidRPr="00CD45A4">
        <w:rPr>
          <w:sz w:val="22"/>
          <w:szCs w:val="22"/>
        </w:rPr>
        <w:t>№1. Вектор в северном направлении;</w:t>
      </w:r>
    </w:p>
    <w:p w:rsidR="00CD45A4" w:rsidRPr="00CD45A4" w:rsidRDefault="00CD45A4" w:rsidP="000E5D27">
      <w:pPr>
        <w:widowControl w:val="0"/>
        <w:tabs>
          <w:tab w:val="left" w:pos="4515"/>
        </w:tabs>
        <w:ind w:firstLine="426"/>
        <w:jc w:val="both"/>
        <w:rPr>
          <w:sz w:val="22"/>
          <w:szCs w:val="22"/>
        </w:rPr>
      </w:pPr>
      <w:r w:rsidRPr="00CD45A4">
        <w:rPr>
          <w:sz w:val="22"/>
          <w:szCs w:val="22"/>
        </w:rPr>
        <w:t>№2. Вектор в сторону господствующего ветра;</w:t>
      </w:r>
    </w:p>
    <w:p w:rsidR="00CD45A4" w:rsidRPr="00CD45A4" w:rsidRDefault="00CD45A4" w:rsidP="000E5D27">
      <w:pPr>
        <w:widowControl w:val="0"/>
        <w:tabs>
          <w:tab w:val="left" w:pos="4515"/>
        </w:tabs>
        <w:ind w:firstLine="426"/>
        <w:jc w:val="both"/>
        <w:rPr>
          <w:sz w:val="22"/>
          <w:szCs w:val="22"/>
        </w:rPr>
      </w:pPr>
      <w:r w:rsidRPr="00CD45A4">
        <w:rPr>
          <w:sz w:val="22"/>
          <w:szCs w:val="22"/>
        </w:rPr>
        <w:lastRenderedPageBreak/>
        <w:t>№3. Вектор в южном направлении.</w:t>
      </w:r>
    </w:p>
    <w:p w:rsidR="00CD45A4" w:rsidRPr="00CD45A4" w:rsidRDefault="00CD45A4" w:rsidP="000E5D27">
      <w:pPr>
        <w:widowControl w:val="0"/>
        <w:tabs>
          <w:tab w:val="left" w:pos="4515"/>
        </w:tabs>
        <w:ind w:firstLine="426"/>
        <w:jc w:val="both"/>
        <w:rPr>
          <w:sz w:val="22"/>
          <w:szCs w:val="22"/>
        </w:rPr>
      </w:pPr>
      <w:r w:rsidRPr="00CD45A4">
        <w:rPr>
          <w:sz w:val="22"/>
          <w:szCs w:val="22"/>
        </w:rPr>
        <w:t>Фоновая точка располагалась в восточном направлении на ра</w:t>
      </w:r>
      <w:r w:rsidRPr="00CD45A4">
        <w:rPr>
          <w:sz w:val="22"/>
          <w:szCs w:val="22"/>
        </w:rPr>
        <w:t>с</w:t>
      </w:r>
      <w:r w:rsidRPr="00CD45A4">
        <w:rPr>
          <w:sz w:val="22"/>
          <w:szCs w:val="22"/>
        </w:rPr>
        <w:t>стоянии 1000 м от предприятия. По каждому вектору было выбрано по 3 на разном удалении от предприятия.</w:t>
      </w:r>
    </w:p>
    <w:p w:rsidR="00CD45A4" w:rsidRPr="00CD45A4" w:rsidRDefault="00CD45A4" w:rsidP="000E5D27">
      <w:pPr>
        <w:widowControl w:val="0"/>
        <w:tabs>
          <w:tab w:val="left" w:pos="4515"/>
        </w:tabs>
        <w:ind w:firstLine="426"/>
        <w:jc w:val="both"/>
        <w:rPr>
          <w:sz w:val="22"/>
          <w:szCs w:val="22"/>
        </w:rPr>
      </w:pPr>
      <w:r w:rsidRPr="00CD45A4">
        <w:rPr>
          <w:sz w:val="22"/>
          <w:szCs w:val="22"/>
        </w:rPr>
        <w:t>Определение загрязнения окружающей среды пылью по ее накоплению на листовых пластинках растений осуществлялось численным методом. Исследуемой породой деревьев был – тополь пирамидальный (</w:t>
      </w:r>
      <w:r w:rsidRPr="00CD45A4">
        <w:rPr>
          <w:i/>
          <w:sz w:val="22"/>
          <w:szCs w:val="22"/>
          <w:lang w:val="en-US"/>
        </w:rPr>
        <w:t>Populous</w:t>
      </w:r>
      <w:r w:rsidRPr="00CD45A4">
        <w:rPr>
          <w:i/>
          <w:sz w:val="22"/>
          <w:szCs w:val="22"/>
        </w:rPr>
        <w:t xml:space="preserve"> </w:t>
      </w:r>
      <w:r w:rsidRPr="00CD45A4">
        <w:rPr>
          <w:i/>
          <w:sz w:val="22"/>
          <w:szCs w:val="22"/>
          <w:lang w:val="en-US"/>
        </w:rPr>
        <w:t>pyramidalis</w:t>
      </w:r>
      <w:r w:rsidRPr="00CD45A4">
        <w:rPr>
          <w:sz w:val="22"/>
          <w:szCs w:val="22"/>
        </w:rPr>
        <w:t>). С каждого дерева было от</w:t>
      </w:r>
      <w:r w:rsidRPr="00CD45A4">
        <w:rPr>
          <w:sz w:val="22"/>
          <w:szCs w:val="22"/>
        </w:rPr>
        <w:t>о</w:t>
      </w:r>
      <w:r w:rsidRPr="00CD45A4">
        <w:rPr>
          <w:sz w:val="22"/>
          <w:szCs w:val="22"/>
        </w:rPr>
        <w:t>брано по 10 листьев: 5 со стороны источника загрязнения и 5 с о</w:t>
      </w:r>
      <w:r w:rsidRPr="00CD45A4">
        <w:rPr>
          <w:sz w:val="22"/>
          <w:szCs w:val="22"/>
        </w:rPr>
        <w:t>б</w:t>
      </w:r>
      <w:r w:rsidRPr="00CD45A4">
        <w:rPr>
          <w:sz w:val="22"/>
          <w:szCs w:val="22"/>
        </w:rPr>
        <w:t>ратной стороны дерева. Листья отбирались на высоте 1,5-2 м.</w:t>
      </w:r>
    </w:p>
    <w:p w:rsidR="00CD45A4" w:rsidRPr="00CD45A4" w:rsidRDefault="00CD45A4" w:rsidP="000E5D27">
      <w:pPr>
        <w:widowControl w:val="0"/>
        <w:tabs>
          <w:tab w:val="left" w:pos="4515"/>
        </w:tabs>
        <w:ind w:firstLine="426"/>
        <w:jc w:val="both"/>
        <w:rPr>
          <w:sz w:val="22"/>
          <w:szCs w:val="22"/>
        </w:rPr>
      </w:pPr>
      <w:r w:rsidRPr="00CD45A4">
        <w:rPr>
          <w:sz w:val="22"/>
          <w:szCs w:val="22"/>
        </w:rPr>
        <w:t>На лабораторных весах взвешивался кусочек влажной ваты, з</w:t>
      </w:r>
      <w:r w:rsidRPr="00CD45A4">
        <w:rPr>
          <w:sz w:val="22"/>
          <w:szCs w:val="22"/>
        </w:rPr>
        <w:t>а</w:t>
      </w:r>
      <w:r w:rsidRPr="00CD45A4">
        <w:rPr>
          <w:sz w:val="22"/>
          <w:szCs w:val="22"/>
        </w:rPr>
        <w:t>вернутый в кальку (до 0,001 г). Лист тополя пирамидального тщ</w:t>
      </w:r>
      <w:r w:rsidRPr="00CD45A4">
        <w:rPr>
          <w:sz w:val="22"/>
          <w:szCs w:val="22"/>
        </w:rPr>
        <w:t>а</w:t>
      </w:r>
      <w:r w:rsidRPr="00CD45A4">
        <w:rPr>
          <w:sz w:val="22"/>
          <w:szCs w:val="22"/>
        </w:rPr>
        <w:t>тельно обтирался этой ваткой с двух сторон, после чего взвешива</w:t>
      </w:r>
      <w:r w:rsidRPr="00CD45A4">
        <w:rPr>
          <w:sz w:val="22"/>
          <w:szCs w:val="22"/>
        </w:rPr>
        <w:t>л</w:t>
      </w:r>
      <w:r w:rsidRPr="00CD45A4">
        <w:rPr>
          <w:sz w:val="22"/>
          <w:szCs w:val="22"/>
        </w:rPr>
        <w:t xml:space="preserve">ся в кальке повторно. Масса пыли </w:t>
      </w:r>
      <w:r w:rsidRPr="00CD45A4">
        <w:rPr>
          <w:i/>
          <w:sz w:val="22"/>
          <w:szCs w:val="22"/>
        </w:rPr>
        <w:t>(Р)</w:t>
      </w:r>
      <w:r w:rsidRPr="00CD45A4">
        <w:rPr>
          <w:sz w:val="22"/>
          <w:szCs w:val="22"/>
        </w:rPr>
        <w:t xml:space="preserve"> рассчитывалась как разница между вторым и первым взвешиванием </w:t>
      </w:r>
      <w:r w:rsidRPr="00CD45A4">
        <w:rPr>
          <w:i/>
          <w:sz w:val="22"/>
          <w:szCs w:val="22"/>
        </w:rPr>
        <w:t>(P=Р</w:t>
      </w:r>
      <w:r w:rsidRPr="00CD45A4">
        <w:rPr>
          <w:i/>
          <w:sz w:val="22"/>
          <w:szCs w:val="22"/>
          <w:vertAlign w:val="subscript"/>
        </w:rPr>
        <w:t>2</w:t>
      </w:r>
      <w:r w:rsidRPr="00CD45A4">
        <w:rPr>
          <w:i/>
          <w:sz w:val="22"/>
          <w:szCs w:val="22"/>
        </w:rPr>
        <w:t>-Р</w:t>
      </w:r>
      <w:r w:rsidRPr="00CD45A4">
        <w:rPr>
          <w:i/>
          <w:sz w:val="22"/>
          <w:szCs w:val="22"/>
          <w:vertAlign w:val="subscript"/>
        </w:rPr>
        <w:t>1</w:t>
      </w:r>
      <w:r w:rsidRPr="00CD45A4">
        <w:rPr>
          <w:i/>
          <w:sz w:val="22"/>
          <w:szCs w:val="22"/>
        </w:rPr>
        <w:t>)</w:t>
      </w:r>
      <w:r w:rsidRPr="00CD45A4">
        <w:rPr>
          <w:sz w:val="22"/>
          <w:szCs w:val="22"/>
        </w:rPr>
        <w:t xml:space="preserve">. Площадь листа высчитывалась путем обмера листовых пластинок вдоль </w:t>
      </w:r>
      <w:r w:rsidRPr="00CD45A4">
        <w:rPr>
          <w:i/>
          <w:sz w:val="22"/>
          <w:szCs w:val="22"/>
        </w:rPr>
        <w:t>(а)</w:t>
      </w:r>
      <w:r w:rsidRPr="00CD45A4">
        <w:rPr>
          <w:sz w:val="22"/>
          <w:szCs w:val="22"/>
        </w:rPr>
        <w:t xml:space="preserve"> и поп</w:t>
      </w:r>
      <w:r w:rsidRPr="00CD45A4">
        <w:rPr>
          <w:sz w:val="22"/>
          <w:szCs w:val="22"/>
        </w:rPr>
        <w:t>е</w:t>
      </w:r>
      <w:r w:rsidRPr="00CD45A4">
        <w:rPr>
          <w:sz w:val="22"/>
          <w:szCs w:val="22"/>
        </w:rPr>
        <w:t xml:space="preserve">рек </w:t>
      </w:r>
      <w:r w:rsidRPr="00CD45A4">
        <w:rPr>
          <w:i/>
          <w:sz w:val="22"/>
          <w:szCs w:val="22"/>
        </w:rPr>
        <w:t>(b)</w:t>
      </w:r>
      <w:r w:rsidRPr="00CD45A4">
        <w:rPr>
          <w:sz w:val="22"/>
          <w:szCs w:val="22"/>
        </w:rPr>
        <w:t xml:space="preserve"> и умножением на переводной коэффициент </w:t>
      </w:r>
      <w:r w:rsidRPr="00CD45A4">
        <w:rPr>
          <w:i/>
          <w:sz w:val="22"/>
          <w:szCs w:val="22"/>
        </w:rPr>
        <w:t>(k)</w:t>
      </w:r>
      <w:r w:rsidRPr="00CD45A4">
        <w:rPr>
          <w:sz w:val="22"/>
          <w:szCs w:val="22"/>
        </w:rPr>
        <w:t>, который для данной породы составляет 0,60.</w:t>
      </w:r>
    </w:p>
    <w:p w:rsidR="00CD45A4" w:rsidRPr="00CD45A4" w:rsidRDefault="00CD45A4" w:rsidP="000E5D27">
      <w:pPr>
        <w:widowControl w:val="0"/>
        <w:tabs>
          <w:tab w:val="left" w:pos="4515"/>
        </w:tabs>
        <w:ind w:firstLine="426"/>
        <w:jc w:val="both"/>
        <w:rPr>
          <w:sz w:val="22"/>
          <w:szCs w:val="22"/>
        </w:rPr>
      </w:pPr>
      <w:r w:rsidRPr="00CD45A4">
        <w:rPr>
          <w:sz w:val="22"/>
          <w:szCs w:val="22"/>
        </w:rPr>
        <w:t>Масса пыли (</w:t>
      </w:r>
      <w:r w:rsidRPr="00CD45A4">
        <w:rPr>
          <w:i/>
          <w:sz w:val="22"/>
          <w:szCs w:val="22"/>
        </w:rPr>
        <w:t>М</w:t>
      </w:r>
      <w:r w:rsidRPr="00CD45A4">
        <w:rPr>
          <w:sz w:val="22"/>
          <w:szCs w:val="22"/>
        </w:rPr>
        <w:t>, мг/см</w:t>
      </w:r>
      <w:proofErr w:type="gramStart"/>
      <w:r w:rsidRPr="00CD45A4">
        <w:rPr>
          <w:sz w:val="22"/>
          <w:szCs w:val="22"/>
          <w:vertAlign w:val="superscript"/>
        </w:rPr>
        <w:t>2</w:t>
      </w:r>
      <w:proofErr w:type="gramEnd"/>
      <w:r w:rsidRPr="00CD45A4">
        <w:rPr>
          <w:sz w:val="22"/>
          <w:szCs w:val="22"/>
        </w:rPr>
        <w:t xml:space="preserve">) рассчитывалась как отношение массы пыли к площади листовой поверхности </w:t>
      </w:r>
      <w:r w:rsidRPr="00CD45A4">
        <w:rPr>
          <w:rFonts w:eastAsia="Calibri"/>
          <w:color w:val="000000"/>
          <w:sz w:val="22"/>
          <w:szCs w:val="22"/>
        </w:rPr>
        <w:t>[1].</w:t>
      </w:r>
      <w:r w:rsidRPr="00CD45A4">
        <w:rPr>
          <w:sz w:val="22"/>
          <w:szCs w:val="22"/>
        </w:rPr>
        <w:t xml:space="preserve"> </w:t>
      </w:r>
      <w:proofErr w:type="gramStart"/>
      <w:r w:rsidRPr="00CD45A4">
        <w:rPr>
          <w:rFonts w:eastAsia="Calibri"/>
          <w:sz w:val="22"/>
          <w:szCs w:val="22"/>
        </w:rPr>
        <w:t>В результате проведе</w:t>
      </w:r>
      <w:r w:rsidRPr="00CD45A4">
        <w:rPr>
          <w:rFonts w:eastAsia="Calibri"/>
          <w:sz w:val="22"/>
          <w:szCs w:val="22"/>
        </w:rPr>
        <w:t>н</w:t>
      </w:r>
      <w:r w:rsidRPr="00CD45A4">
        <w:rPr>
          <w:rFonts w:eastAsia="Calibri"/>
          <w:sz w:val="22"/>
          <w:szCs w:val="22"/>
        </w:rPr>
        <w:t>ных исследований было установлено, что интенсивность запыления листовых пластинок на прямую зависит от расположения источника загрязнения.</w:t>
      </w:r>
      <w:proofErr w:type="gramEnd"/>
      <w:r w:rsidRPr="00CD45A4">
        <w:rPr>
          <w:sz w:val="22"/>
          <w:szCs w:val="22"/>
        </w:rPr>
        <w:t xml:space="preserve"> Количество пыли на пластинках уменьшается по мере отдаления пробной площадки от источника загрязнения. Самым запыленным местом на исследуемой территории </w:t>
      </w:r>
      <w:proofErr w:type="gramStart"/>
      <w:r w:rsidRPr="00CD45A4">
        <w:rPr>
          <w:sz w:val="22"/>
          <w:szCs w:val="22"/>
        </w:rPr>
        <w:t>является пробная площадка № 3.1 она была</w:t>
      </w:r>
      <w:proofErr w:type="gramEnd"/>
      <w:r w:rsidRPr="00CD45A4">
        <w:rPr>
          <w:sz w:val="22"/>
          <w:szCs w:val="22"/>
        </w:rPr>
        <w:t xml:space="preserve"> ближе всего к источнику загрязнения. Менее запыленной точкой была № 1.3, расположенная значительно дальше от источника – на расстоянии 300 м.</w:t>
      </w:r>
      <w:r w:rsidRPr="00CD45A4">
        <w:rPr>
          <w:rFonts w:eastAsia="Calibri"/>
          <w:sz w:val="22"/>
          <w:szCs w:val="22"/>
        </w:rPr>
        <w:t xml:space="preserve"> </w:t>
      </w:r>
      <w:r w:rsidRPr="00CD45A4">
        <w:rPr>
          <w:sz w:val="22"/>
          <w:szCs w:val="22"/>
        </w:rPr>
        <w:t>Интенсивное запыл</w:t>
      </w:r>
      <w:r w:rsidRPr="00CD45A4">
        <w:rPr>
          <w:sz w:val="22"/>
          <w:szCs w:val="22"/>
        </w:rPr>
        <w:t>е</w:t>
      </w:r>
      <w:r w:rsidRPr="00CD45A4">
        <w:rPr>
          <w:sz w:val="22"/>
          <w:szCs w:val="22"/>
        </w:rPr>
        <w:t xml:space="preserve">ние наблюдается от проходящей рядом автодороги, что негативно сказывается на росте растений и здоровье местного населения </w:t>
      </w:r>
    </w:p>
    <w:p w:rsidR="00CD45A4" w:rsidRPr="00CD45A4" w:rsidRDefault="00CD45A4" w:rsidP="000E5D27">
      <w:pPr>
        <w:widowControl w:val="0"/>
        <w:ind w:firstLine="426"/>
        <w:jc w:val="both"/>
        <w:rPr>
          <w:rFonts w:eastAsia="Calibri"/>
          <w:sz w:val="22"/>
          <w:szCs w:val="22"/>
        </w:rPr>
      </w:pPr>
    </w:p>
    <w:p w:rsidR="00CD45A4" w:rsidRPr="00CD45A4" w:rsidRDefault="00CD45A4" w:rsidP="000E5D27">
      <w:pPr>
        <w:widowControl w:val="0"/>
        <w:ind w:firstLine="426"/>
        <w:contextualSpacing/>
        <w:jc w:val="center"/>
        <w:rPr>
          <w:rFonts w:eastAsia="Calibri"/>
          <w:sz w:val="22"/>
          <w:szCs w:val="22"/>
          <w:lang w:eastAsia="en-US"/>
        </w:rPr>
      </w:pPr>
      <w:r w:rsidRPr="00CD45A4">
        <w:rPr>
          <w:rFonts w:eastAsia="Calibri"/>
          <w:sz w:val="22"/>
          <w:szCs w:val="22"/>
          <w:lang w:eastAsia="en-US"/>
        </w:rPr>
        <w:t>Список литературы</w:t>
      </w:r>
    </w:p>
    <w:p w:rsidR="00CD45A4" w:rsidRPr="00CD45A4" w:rsidRDefault="00CD45A4" w:rsidP="000E5D27">
      <w:pPr>
        <w:widowControl w:val="0"/>
        <w:autoSpaceDE w:val="0"/>
        <w:autoSpaceDN w:val="0"/>
        <w:adjustRightInd w:val="0"/>
        <w:ind w:firstLine="426"/>
        <w:jc w:val="both"/>
        <w:rPr>
          <w:rFonts w:eastAsia="Calibri"/>
          <w:sz w:val="22"/>
          <w:szCs w:val="22"/>
          <w:lang w:eastAsia="en-US"/>
        </w:rPr>
      </w:pPr>
      <w:r w:rsidRPr="00CD45A4">
        <w:rPr>
          <w:rFonts w:eastAsia="Calibri"/>
          <w:color w:val="000000"/>
          <w:sz w:val="22"/>
          <w:szCs w:val="22"/>
        </w:rPr>
        <w:t>1. Белюченко, И. С. Биомониторинг состояния окружающей среды: учебное пособие / И.С. Белюченко. – Краснодар, 2014</w:t>
      </w:r>
      <w:r w:rsidRPr="00CD45A4">
        <w:rPr>
          <w:rFonts w:eastAsia="Courier New"/>
          <w:sz w:val="22"/>
          <w:szCs w:val="22"/>
          <w:lang w:eastAsia="en-US"/>
        </w:rPr>
        <w:t>. – С. 59-64.</w:t>
      </w:r>
    </w:p>
    <w:p w:rsidR="00CD45A4" w:rsidRPr="00CD45A4" w:rsidRDefault="00CD45A4" w:rsidP="000E5D27">
      <w:pPr>
        <w:widowControl w:val="0"/>
        <w:suppressAutoHyphens/>
        <w:ind w:firstLine="426"/>
        <w:contextualSpacing/>
        <w:jc w:val="both"/>
        <w:rPr>
          <w:rFonts w:eastAsia="Calibri"/>
          <w:color w:val="000000"/>
          <w:sz w:val="22"/>
          <w:szCs w:val="22"/>
        </w:rPr>
      </w:pPr>
      <w:r w:rsidRPr="00CD45A4">
        <w:rPr>
          <w:rFonts w:eastAsia="Calibri"/>
          <w:color w:val="000000"/>
          <w:sz w:val="22"/>
          <w:szCs w:val="22"/>
        </w:rPr>
        <w:t>2. Вишаренко, B. C. Экологические проблемы городов и здоровье человека / В.С. Вишаренко, Н.А. Толоконцев – Л.: Знание, 1982. – 32 с.</w:t>
      </w:r>
    </w:p>
    <w:p w:rsidR="00CD45A4" w:rsidRPr="00CD45A4" w:rsidRDefault="00CD45A4" w:rsidP="000E5D27">
      <w:pPr>
        <w:widowControl w:val="0"/>
        <w:suppressAutoHyphens/>
        <w:ind w:firstLine="426"/>
        <w:jc w:val="both"/>
        <w:rPr>
          <w:rFonts w:eastAsia="Calibri"/>
          <w:color w:val="000000"/>
          <w:sz w:val="22"/>
          <w:szCs w:val="22"/>
        </w:rPr>
      </w:pPr>
      <w:r w:rsidRPr="00CD45A4">
        <w:rPr>
          <w:rFonts w:eastAsia="Calibri"/>
          <w:color w:val="000000"/>
          <w:sz w:val="22"/>
          <w:szCs w:val="22"/>
        </w:rPr>
        <w:lastRenderedPageBreak/>
        <w:t xml:space="preserve">3. Стрельников, В. В. Анализ и прогноз загрязнений окружающей среды: учебник / В.В. Стрельников, Н.В. Чернышева. – Краснодар: Изд. Дом – Юг, 2012. – 484 с. </w:t>
      </w:r>
    </w:p>
    <w:p w:rsidR="00CD45A4" w:rsidRPr="004F79F5" w:rsidRDefault="00CD45A4" w:rsidP="000E5D27">
      <w:pPr>
        <w:widowControl w:val="0"/>
        <w:suppressAutoHyphens/>
        <w:ind w:firstLine="426"/>
        <w:jc w:val="both"/>
        <w:rPr>
          <w:rFonts w:eastAsia="Calibri"/>
          <w:sz w:val="22"/>
          <w:szCs w:val="22"/>
        </w:rPr>
      </w:pPr>
      <w:r w:rsidRPr="00CD45A4">
        <w:rPr>
          <w:rFonts w:eastAsia="Calibri"/>
          <w:color w:val="000000"/>
          <w:sz w:val="22"/>
          <w:szCs w:val="22"/>
        </w:rPr>
        <w:t xml:space="preserve">4. </w:t>
      </w:r>
      <w:hyperlink r:id="rId12" w:history="1">
        <w:r w:rsidRPr="004F79F5">
          <w:rPr>
            <w:rFonts w:eastAsia="Calibri"/>
            <w:sz w:val="22"/>
            <w:szCs w:val="22"/>
          </w:rPr>
          <w:t>https://cyberleninka.ru/article/n/vliyanie-zagryazneniya-vozduha-na-sostoyanie-drevesnyh-rasteniy-g-tyumeni</w:t>
        </w:r>
      </w:hyperlink>
    </w:p>
    <w:p w:rsidR="00CD45A4" w:rsidRPr="00CD45A4" w:rsidRDefault="00CD45A4" w:rsidP="00CD45A4">
      <w:pPr>
        <w:widowControl w:val="0"/>
        <w:suppressAutoHyphens/>
        <w:jc w:val="both"/>
        <w:rPr>
          <w:rFonts w:eastAsia="Calibri"/>
          <w:color w:val="000000"/>
          <w:sz w:val="22"/>
          <w:szCs w:val="22"/>
        </w:rPr>
      </w:pPr>
    </w:p>
    <w:p w:rsidR="00CD45A4" w:rsidRPr="00CD45A4" w:rsidRDefault="00CD45A4" w:rsidP="00CD45A4">
      <w:pPr>
        <w:widowControl w:val="0"/>
        <w:suppressAutoHyphens/>
        <w:jc w:val="both"/>
        <w:rPr>
          <w:rFonts w:eastAsia="Calibri"/>
          <w:color w:val="000000"/>
          <w:sz w:val="22"/>
          <w:szCs w:val="22"/>
        </w:rPr>
      </w:pPr>
    </w:p>
    <w:p w:rsidR="00CD45A4" w:rsidRPr="00CD45A4" w:rsidRDefault="00CD45A4" w:rsidP="00CD45A4">
      <w:pPr>
        <w:widowControl w:val="0"/>
        <w:suppressAutoHyphens/>
        <w:jc w:val="both"/>
        <w:rPr>
          <w:sz w:val="22"/>
          <w:szCs w:val="22"/>
        </w:rPr>
      </w:pPr>
    </w:p>
    <w:p w:rsidR="001E2F2C" w:rsidRDefault="00451253" w:rsidP="000E5D27">
      <w:pPr>
        <w:pStyle w:val="31"/>
        <w:ind w:firstLine="0"/>
        <w:rPr>
          <w:rFonts w:eastAsia="Calibri"/>
          <w:sz w:val="22"/>
          <w:szCs w:val="22"/>
        </w:rPr>
      </w:pPr>
      <w:r>
        <w:rPr>
          <w:rFonts w:eastAsia="Calibri"/>
          <w:sz w:val="22"/>
          <w:szCs w:val="22"/>
        </w:rPr>
        <w:br w:type="page"/>
      </w:r>
    </w:p>
    <w:p w:rsidR="00451253" w:rsidRDefault="00451253" w:rsidP="00451253">
      <w:pPr>
        <w:jc w:val="center"/>
        <w:rPr>
          <w:rFonts w:eastAsia="Calibri"/>
          <w:b/>
          <w:szCs w:val="22"/>
        </w:rPr>
      </w:pPr>
      <w:r w:rsidRPr="002D4B4E">
        <w:rPr>
          <w:rFonts w:eastAsia="Calibri"/>
          <w:b/>
          <w:szCs w:val="22"/>
        </w:rPr>
        <w:lastRenderedPageBreak/>
        <w:t>Факультет агрохимии и защиты растений</w:t>
      </w:r>
    </w:p>
    <w:p w:rsidR="00F64289" w:rsidRDefault="00F64289" w:rsidP="00F64289">
      <w:pPr>
        <w:rPr>
          <w:rFonts w:eastAsia="Calibri"/>
          <w:sz w:val="22"/>
          <w:szCs w:val="22"/>
          <w:lang w:eastAsia="en-US"/>
        </w:rPr>
      </w:pPr>
    </w:p>
    <w:p w:rsidR="004A47F0" w:rsidRPr="004A47F0" w:rsidRDefault="004A47F0" w:rsidP="004A47F0">
      <w:pPr>
        <w:rPr>
          <w:rFonts w:eastAsia="Calibri"/>
          <w:sz w:val="20"/>
          <w:szCs w:val="20"/>
          <w:lang w:eastAsia="en-US"/>
        </w:rPr>
      </w:pPr>
      <w:r w:rsidRPr="004A47F0">
        <w:rPr>
          <w:rFonts w:eastAsia="Calibri"/>
          <w:sz w:val="20"/>
          <w:szCs w:val="20"/>
          <w:lang w:eastAsia="en-US"/>
        </w:rPr>
        <w:t>УДК</w:t>
      </w:r>
      <w:r w:rsidRPr="004A47F0">
        <w:rPr>
          <w:rFonts w:eastAsia="Calibri"/>
          <w:b/>
          <w:sz w:val="20"/>
          <w:szCs w:val="20"/>
          <w:lang w:eastAsia="en-US"/>
        </w:rPr>
        <w:t xml:space="preserve"> </w:t>
      </w:r>
      <w:r w:rsidRPr="004A47F0">
        <w:rPr>
          <w:rFonts w:eastAsia="Calibri"/>
          <w:sz w:val="20"/>
          <w:szCs w:val="20"/>
          <w:lang w:eastAsia="en-US"/>
        </w:rPr>
        <w:t>631.81.095.337</w:t>
      </w:r>
    </w:p>
    <w:p w:rsidR="004A47F0" w:rsidRPr="004A47F0" w:rsidRDefault="004A47F0" w:rsidP="004A47F0">
      <w:pPr>
        <w:rPr>
          <w:rFonts w:eastAsia="Calibri"/>
          <w:b/>
          <w:sz w:val="20"/>
          <w:szCs w:val="20"/>
          <w:lang w:eastAsia="en-US"/>
        </w:rPr>
      </w:pPr>
    </w:p>
    <w:p w:rsidR="004A47F0" w:rsidRPr="004A47F0" w:rsidRDefault="004A47F0" w:rsidP="004A47F0">
      <w:pPr>
        <w:jc w:val="center"/>
        <w:rPr>
          <w:rFonts w:eastAsia="Calibri"/>
          <w:b/>
          <w:bCs/>
          <w:sz w:val="24"/>
          <w:szCs w:val="24"/>
          <w:lang w:eastAsia="en-US"/>
        </w:rPr>
      </w:pPr>
      <w:r w:rsidRPr="004A47F0">
        <w:rPr>
          <w:rFonts w:eastAsia="Calibri"/>
          <w:b/>
          <w:bCs/>
          <w:sz w:val="24"/>
          <w:szCs w:val="24"/>
          <w:lang w:eastAsia="en-US"/>
        </w:rPr>
        <w:t>Использование микроудобрения на основе цинка для улучшения качества зерна озимой пшеницы</w:t>
      </w:r>
    </w:p>
    <w:p w:rsidR="004A47F0" w:rsidRPr="004A47F0" w:rsidRDefault="004A47F0" w:rsidP="004A47F0">
      <w:pPr>
        <w:jc w:val="center"/>
        <w:rPr>
          <w:rFonts w:eastAsia="Calibri"/>
          <w:b/>
          <w:bCs/>
          <w:sz w:val="24"/>
          <w:szCs w:val="24"/>
          <w:lang w:val="en-US" w:eastAsia="en-US"/>
        </w:rPr>
      </w:pPr>
      <w:r w:rsidRPr="004A47F0">
        <w:rPr>
          <w:rFonts w:eastAsia="Calibri"/>
          <w:b/>
          <w:sz w:val="24"/>
          <w:szCs w:val="24"/>
          <w:lang w:val="en-US" w:eastAsia="en-US"/>
        </w:rPr>
        <w:t>The use of microfertilizers on the basis of zinc to improve grain quality of winter wheat</w:t>
      </w:r>
    </w:p>
    <w:p w:rsidR="004A47F0" w:rsidRPr="004A47F0" w:rsidRDefault="004A47F0" w:rsidP="004A47F0">
      <w:pPr>
        <w:jc w:val="right"/>
        <w:rPr>
          <w:rFonts w:eastAsia="Calibri"/>
          <w:b/>
          <w:sz w:val="24"/>
          <w:szCs w:val="24"/>
          <w:lang w:val="en-US" w:eastAsia="en-US"/>
        </w:rPr>
      </w:pP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Занозина</w:t>
      </w:r>
      <w:r w:rsidR="008F5CBD" w:rsidRPr="000E5D27">
        <w:rPr>
          <w:sz w:val="22"/>
          <w:szCs w:val="22"/>
        </w:rPr>
        <w:t xml:space="preserve"> </w:t>
      </w:r>
      <w:r w:rsidR="008F5CBD" w:rsidRPr="000E5D27">
        <w:rPr>
          <w:rFonts w:eastAsia="Calibri"/>
          <w:sz w:val="22"/>
          <w:szCs w:val="22"/>
          <w:lang w:eastAsia="en-US"/>
        </w:rPr>
        <w:t>О. Д.</w:t>
      </w:r>
      <w:r w:rsidR="000E5D27" w:rsidRPr="000E5D27">
        <w:rPr>
          <w:rFonts w:eastAsia="Calibri"/>
          <w:sz w:val="22"/>
          <w:szCs w:val="22"/>
          <w:lang w:eastAsia="en-US"/>
        </w:rPr>
        <w:t>,</w:t>
      </w: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студентка факультета агрохимии и защиты растений</w:t>
      </w: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Шабанова</w:t>
      </w:r>
      <w:r w:rsidR="008F5CBD" w:rsidRPr="000E5D27">
        <w:rPr>
          <w:sz w:val="22"/>
          <w:szCs w:val="22"/>
        </w:rPr>
        <w:t xml:space="preserve"> </w:t>
      </w:r>
      <w:r w:rsidR="008F5CBD" w:rsidRPr="000E5D27">
        <w:rPr>
          <w:rFonts w:eastAsia="Calibri"/>
          <w:sz w:val="22"/>
          <w:szCs w:val="22"/>
          <w:lang w:eastAsia="en-US"/>
        </w:rPr>
        <w:t>И. В.</w:t>
      </w:r>
      <w:r w:rsidR="000E5D27" w:rsidRPr="000E5D27">
        <w:rPr>
          <w:rFonts w:eastAsia="Calibri"/>
          <w:sz w:val="22"/>
          <w:szCs w:val="22"/>
          <w:lang w:eastAsia="en-US"/>
        </w:rPr>
        <w:t>,</w:t>
      </w: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доцент кафедры неорганической и аналитической химии</w:t>
      </w: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Кубанский государственный аграрный</w:t>
      </w:r>
    </w:p>
    <w:p w:rsidR="004A47F0" w:rsidRPr="000E5D27" w:rsidRDefault="004A47F0" w:rsidP="004A47F0">
      <w:pPr>
        <w:jc w:val="right"/>
        <w:rPr>
          <w:rFonts w:eastAsia="Calibri"/>
          <w:sz w:val="22"/>
          <w:szCs w:val="22"/>
          <w:lang w:eastAsia="en-US"/>
        </w:rPr>
      </w:pPr>
      <w:r w:rsidRPr="000E5D27">
        <w:rPr>
          <w:rFonts w:eastAsia="Calibri"/>
          <w:sz w:val="22"/>
          <w:szCs w:val="22"/>
          <w:lang w:eastAsia="en-US"/>
        </w:rPr>
        <w:t>университет им. И.Т. Трубилина</w:t>
      </w:r>
    </w:p>
    <w:p w:rsidR="004A47F0" w:rsidRPr="000E5D27" w:rsidRDefault="004A47F0" w:rsidP="004A47F0">
      <w:pPr>
        <w:ind w:firstLine="709"/>
        <w:jc w:val="center"/>
        <w:rPr>
          <w:rFonts w:eastAsia="Calibri"/>
          <w:sz w:val="22"/>
          <w:szCs w:val="22"/>
          <w:lang w:eastAsia="en-US"/>
        </w:rPr>
      </w:pPr>
    </w:p>
    <w:p w:rsidR="004A47F0" w:rsidRPr="004A47F0" w:rsidRDefault="000E5D27" w:rsidP="000E5D27">
      <w:pPr>
        <w:ind w:firstLine="426"/>
        <w:jc w:val="both"/>
        <w:rPr>
          <w:rFonts w:eastAsia="Calibri"/>
          <w:sz w:val="22"/>
          <w:szCs w:val="22"/>
          <w:lang w:eastAsia="en-US"/>
        </w:rPr>
      </w:pPr>
      <w:r w:rsidRPr="004A47F0">
        <w:rPr>
          <w:rFonts w:eastAsia="Calibri"/>
          <w:sz w:val="22"/>
          <w:szCs w:val="22"/>
          <w:lang w:eastAsia="en-US"/>
        </w:rPr>
        <w:t>АННОТАЦИЯ:</w:t>
      </w:r>
      <w:r w:rsidR="004A47F0" w:rsidRPr="004A47F0">
        <w:rPr>
          <w:rFonts w:eastAsia="Calibri"/>
          <w:sz w:val="22"/>
          <w:szCs w:val="22"/>
          <w:lang w:eastAsia="en-US"/>
        </w:rPr>
        <w:t xml:space="preserve"> Сукцинатно-цитратный хелат цинка при неко</w:t>
      </w:r>
      <w:r w:rsidR="004A47F0" w:rsidRPr="004A47F0">
        <w:rPr>
          <w:rFonts w:eastAsia="Calibri"/>
          <w:sz w:val="22"/>
          <w:szCs w:val="22"/>
          <w:lang w:eastAsia="en-US"/>
        </w:rPr>
        <w:t>р</w:t>
      </w:r>
      <w:r w:rsidR="004A47F0" w:rsidRPr="004A47F0">
        <w:rPr>
          <w:rFonts w:eastAsia="Calibri"/>
          <w:sz w:val="22"/>
          <w:szCs w:val="22"/>
          <w:lang w:eastAsia="en-US"/>
        </w:rPr>
        <w:t>невой обработке растений озимой пшеницы в фазе кущения спосо</w:t>
      </w:r>
      <w:r w:rsidR="004A47F0" w:rsidRPr="004A47F0">
        <w:rPr>
          <w:rFonts w:eastAsia="Calibri"/>
          <w:sz w:val="22"/>
          <w:szCs w:val="22"/>
          <w:lang w:eastAsia="en-US"/>
        </w:rPr>
        <w:t>б</w:t>
      </w:r>
      <w:r w:rsidR="004A47F0" w:rsidRPr="004A47F0">
        <w:rPr>
          <w:rFonts w:eastAsia="Calibri"/>
          <w:sz w:val="22"/>
          <w:szCs w:val="22"/>
          <w:lang w:eastAsia="en-US"/>
        </w:rPr>
        <w:t>ствовал улучшению качества зерна до 2-го класса и снижению с</w:t>
      </w:r>
      <w:r w:rsidR="004A47F0" w:rsidRPr="004A47F0">
        <w:rPr>
          <w:rFonts w:eastAsia="Calibri"/>
          <w:sz w:val="22"/>
          <w:szCs w:val="22"/>
          <w:lang w:eastAsia="en-US"/>
        </w:rPr>
        <w:t>о</w:t>
      </w:r>
      <w:r w:rsidR="004A47F0" w:rsidRPr="004A47F0">
        <w:rPr>
          <w:rFonts w:eastAsia="Calibri"/>
          <w:sz w:val="22"/>
          <w:szCs w:val="22"/>
          <w:lang w:eastAsia="en-US"/>
        </w:rPr>
        <w:t>держания кадмия до уровня, безопасного для питания детей.</w:t>
      </w:r>
    </w:p>
    <w:p w:rsidR="004A47F0" w:rsidRPr="004A47F0" w:rsidRDefault="000E5D27" w:rsidP="000E5D27">
      <w:pPr>
        <w:ind w:firstLine="426"/>
        <w:jc w:val="both"/>
        <w:rPr>
          <w:rFonts w:eastAsia="Calibri"/>
          <w:sz w:val="22"/>
          <w:szCs w:val="22"/>
          <w:lang w:val="en-US" w:eastAsia="en-US"/>
        </w:rPr>
      </w:pPr>
      <w:r w:rsidRPr="004A47F0">
        <w:rPr>
          <w:rFonts w:eastAsia="Calibri"/>
          <w:sz w:val="22"/>
          <w:szCs w:val="22"/>
          <w:lang w:val="en-US" w:eastAsia="en-US"/>
        </w:rPr>
        <w:t>ABSTRACT:</w:t>
      </w:r>
      <w:r w:rsidR="004A47F0" w:rsidRPr="004A47F0">
        <w:rPr>
          <w:rFonts w:eastAsia="Calibri"/>
          <w:sz w:val="22"/>
          <w:szCs w:val="22"/>
          <w:lang w:val="en-US" w:eastAsia="en-US"/>
        </w:rPr>
        <w:t xml:space="preserve"> succinate-citrate zinc chelate during non-root trea</w:t>
      </w:r>
      <w:r w:rsidR="004A47F0" w:rsidRPr="004A47F0">
        <w:rPr>
          <w:rFonts w:eastAsia="Calibri"/>
          <w:sz w:val="22"/>
          <w:szCs w:val="22"/>
          <w:lang w:val="en-US" w:eastAsia="en-US"/>
        </w:rPr>
        <w:t>t</w:t>
      </w:r>
      <w:r w:rsidR="004A47F0" w:rsidRPr="004A47F0">
        <w:rPr>
          <w:rFonts w:eastAsia="Calibri"/>
          <w:sz w:val="22"/>
          <w:szCs w:val="22"/>
          <w:lang w:val="en-US" w:eastAsia="en-US"/>
        </w:rPr>
        <w:t>ment of winter wheat plants in tillering phase contributed to improv</w:t>
      </w:r>
      <w:r w:rsidR="004A47F0" w:rsidRPr="004A47F0">
        <w:rPr>
          <w:rFonts w:eastAsia="Calibri"/>
          <w:sz w:val="22"/>
          <w:szCs w:val="22"/>
          <w:lang w:val="en-US" w:eastAsia="en-US"/>
        </w:rPr>
        <w:t>e</w:t>
      </w:r>
      <w:r w:rsidR="004A47F0" w:rsidRPr="004A47F0">
        <w:rPr>
          <w:rFonts w:eastAsia="Calibri"/>
          <w:sz w:val="22"/>
          <w:szCs w:val="22"/>
          <w:lang w:val="en-US" w:eastAsia="en-US"/>
        </w:rPr>
        <w:t xml:space="preserve">ment of grain quality to the 2nd grade and reduction of cadmium content to the level safe for children nutrition. </w:t>
      </w:r>
    </w:p>
    <w:p w:rsidR="004A47F0" w:rsidRPr="004A47F0" w:rsidRDefault="000E5D27" w:rsidP="000E5D27">
      <w:pPr>
        <w:ind w:firstLine="426"/>
        <w:jc w:val="both"/>
        <w:rPr>
          <w:rFonts w:eastAsia="Calibri"/>
          <w:sz w:val="22"/>
          <w:szCs w:val="22"/>
          <w:lang w:eastAsia="en-US"/>
        </w:rPr>
      </w:pPr>
      <w:r w:rsidRPr="004A47F0">
        <w:rPr>
          <w:rFonts w:eastAsia="Calibri"/>
          <w:sz w:val="22"/>
          <w:szCs w:val="22"/>
          <w:lang w:eastAsia="en-US"/>
        </w:rPr>
        <w:t xml:space="preserve">КЛЮЧЕВЫЕ СЛОВА: </w:t>
      </w:r>
      <w:r w:rsidR="004A47F0" w:rsidRPr="004A47F0">
        <w:rPr>
          <w:rFonts w:eastAsia="Calibri"/>
          <w:sz w:val="22"/>
          <w:szCs w:val="22"/>
          <w:lang w:eastAsia="en-US"/>
        </w:rPr>
        <w:t>озимая пшеница, микроудобрения, цинк, хелаты, лимонная и янтарная кислота.</w:t>
      </w:r>
    </w:p>
    <w:p w:rsidR="004A47F0" w:rsidRPr="004A47F0" w:rsidRDefault="000E5D27" w:rsidP="000E5D27">
      <w:pPr>
        <w:ind w:firstLine="426"/>
        <w:jc w:val="both"/>
        <w:rPr>
          <w:rFonts w:eastAsia="Calibri"/>
          <w:sz w:val="22"/>
          <w:szCs w:val="22"/>
          <w:lang w:val="en-US" w:eastAsia="en-US"/>
        </w:rPr>
      </w:pPr>
      <w:r w:rsidRPr="004A47F0">
        <w:rPr>
          <w:rFonts w:eastAsia="Calibri"/>
          <w:sz w:val="22"/>
          <w:szCs w:val="22"/>
          <w:lang w:val="en-US" w:eastAsia="en-US"/>
        </w:rPr>
        <w:t xml:space="preserve">KEY WORDS: </w:t>
      </w:r>
      <w:r w:rsidR="004A47F0" w:rsidRPr="004A47F0">
        <w:rPr>
          <w:rFonts w:eastAsia="Calibri"/>
          <w:sz w:val="22"/>
          <w:szCs w:val="22"/>
          <w:lang w:val="en-US" w:eastAsia="en-US"/>
        </w:rPr>
        <w:t>winter wheat, micronutrient fertilizers, zinc, ch</w:t>
      </w:r>
      <w:r w:rsidR="004A47F0" w:rsidRPr="004A47F0">
        <w:rPr>
          <w:rFonts w:eastAsia="Calibri"/>
          <w:sz w:val="22"/>
          <w:szCs w:val="22"/>
          <w:lang w:val="en-US" w:eastAsia="en-US"/>
        </w:rPr>
        <w:t>e</w:t>
      </w:r>
      <w:r w:rsidR="004A47F0" w:rsidRPr="004A47F0">
        <w:rPr>
          <w:rFonts w:eastAsia="Calibri"/>
          <w:sz w:val="22"/>
          <w:szCs w:val="22"/>
          <w:lang w:val="en-US" w:eastAsia="en-US"/>
        </w:rPr>
        <w:t>lates, citric and succinic acid.</w:t>
      </w:r>
    </w:p>
    <w:p w:rsidR="004A47F0" w:rsidRPr="004A47F0" w:rsidRDefault="004A47F0" w:rsidP="000E5D27">
      <w:pPr>
        <w:ind w:firstLine="426"/>
        <w:jc w:val="both"/>
        <w:rPr>
          <w:rFonts w:eastAsia="Calibri"/>
          <w:sz w:val="22"/>
          <w:szCs w:val="22"/>
          <w:lang w:val="en-US" w:eastAsia="en-US"/>
        </w:rPr>
      </w:pPr>
    </w:p>
    <w:p w:rsidR="004A47F0" w:rsidRPr="004A47F0" w:rsidRDefault="004A47F0" w:rsidP="000E5D27">
      <w:pPr>
        <w:ind w:firstLine="426"/>
        <w:jc w:val="both"/>
        <w:rPr>
          <w:rFonts w:eastAsia="Calibri"/>
          <w:bCs/>
          <w:sz w:val="22"/>
          <w:szCs w:val="22"/>
          <w:lang w:eastAsia="en-US"/>
        </w:rPr>
      </w:pPr>
      <w:r w:rsidRPr="004A47F0">
        <w:rPr>
          <w:rFonts w:eastAsia="Calibri"/>
          <w:sz w:val="22"/>
          <w:szCs w:val="22"/>
          <w:lang w:eastAsia="en-US"/>
        </w:rPr>
        <w:t>Многолетние исследования</w:t>
      </w:r>
      <w:r w:rsidRPr="004A47F0">
        <w:rPr>
          <w:rFonts w:eastAsia="Calibri"/>
          <w:bCs/>
          <w:sz w:val="22"/>
          <w:szCs w:val="22"/>
          <w:lang w:eastAsia="en-US"/>
        </w:rPr>
        <w:t xml:space="preserve"> образцов зерна озимой пшеницы мягких сортов, выращиваемых на опытном поле учхоза Кубань, на содержание металлов 1-го класса опасности (кадмий, свинец) пок</w:t>
      </w:r>
      <w:r w:rsidRPr="004A47F0">
        <w:rPr>
          <w:rFonts w:eastAsia="Calibri"/>
          <w:bCs/>
          <w:sz w:val="22"/>
          <w:szCs w:val="22"/>
          <w:lang w:eastAsia="en-US"/>
        </w:rPr>
        <w:t>а</w:t>
      </w:r>
      <w:r w:rsidRPr="004A47F0">
        <w:rPr>
          <w:rFonts w:eastAsia="Calibri"/>
          <w:bCs/>
          <w:sz w:val="22"/>
          <w:szCs w:val="22"/>
          <w:lang w:eastAsia="en-US"/>
        </w:rPr>
        <w:t>зали, что примерно, 6 % образцов зерна не пригодно для питания детей из-за высокого содержания кадмия. Одной из причин можно считать недостаток полезных микроэлементов в питании озимой пшеницы, таких как цинк, марганец, медь [1]. Поэтому целью наш</w:t>
      </w:r>
      <w:r w:rsidRPr="004A47F0">
        <w:rPr>
          <w:rFonts w:eastAsia="Calibri"/>
          <w:bCs/>
          <w:sz w:val="22"/>
          <w:szCs w:val="22"/>
          <w:lang w:eastAsia="en-US"/>
        </w:rPr>
        <w:t>е</w:t>
      </w:r>
      <w:r w:rsidRPr="004A47F0">
        <w:rPr>
          <w:rFonts w:eastAsia="Calibri"/>
          <w:bCs/>
          <w:sz w:val="22"/>
          <w:szCs w:val="22"/>
          <w:lang w:eastAsia="en-US"/>
        </w:rPr>
        <w:t xml:space="preserve">го исследования явилась оптимизация микроэлементного питания </w:t>
      </w:r>
      <w:r w:rsidRPr="004A47F0">
        <w:rPr>
          <w:rFonts w:eastAsia="Calibri"/>
          <w:bCs/>
          <w:sz w:val="22"/>
          <w:szCs w:val="22"/>
          <w:lang w:eastAsia="en-US"/>
        </w:rPr>
        <w:lastRenderedPageBreak/>
        <w:t>растений озимой пшеницы, в условиях сбалансированного мин</w:t>
      </w:r>
      <w:r w:rsidRPr="004A47F0">
        <w:rPr>
          <w:rFonts w:eastAsia="Calibri"/>
          <w:bCs/>
          <w:sz w:val="22"/>
          <w:szCs w:val="22"/>
          <w:lang w:eastAsia="en-US"/>
        </w:rPr>
        <w:t>е</w:t>
      </w:r>
      <w:r w:rsidRPr="004A47F0">
        <w:rPr>
          <w:rFonts w:eastAsia="Calibri"/>
          <w:bCs/>
          <w:sz w:val="22"/>
          <w:szCs w:val="22"/>
          <w:lang w:eastAsia="en-US"/>
        </w:rPr>
        <w:t>рального питания, для улучшения продовольственной ценности и экологической безопасности зерна.</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Наиболее актуальным показателем доступности растениям т</w:t>
      </w:r>
      <w:r w:rsidRPr="004A47F0">
        <w:rPr>
          <w:rFonts w:eastAsia="Calibri"/>
          <w:sz w:val="22"/>
          <w:szCs w:val="22"/>
          <w:lang w:eastAsia="en-US"/>
        </w:rPr>
        <w:t>я</w:t>
      </w:r>
      <w:r w:rsidRPr="004A47F0">
        <w:rPr>
          <w:rFonts w:eastAsia="Calibri"/>
          <w:sz w:val="22"/>
          <w:szCs w:val="22"/>
          <w:lang w:eastAsia="en-US"/>
        </w:rPr>
        <w:t xml:space="preserve">желых металлов из почвы является содержание их подвижных форм, которое составляло в исследуемой почве, мг/кг: </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 xml:space="preserve">- цинка </w:t>
      </w:r>
      <w:r w:rsidRPr="004A47F0">
        <w:rPr>
          <w:rFonts w:eastAsia="Calibri"/>
          <w:bCs/>
          <w:sz w:val="22"/>
          <w:szCs w:val="22"/>
          <w:lang w:eastAsia="en-US"/>
        </w:rPr>
        <w:t>0,6 ± 0,04 (ПДК 6);</w:t>
      </w:r>
    </w:p>
    <w:p w:rsidR="004A47F0" w:rsidRPr="004A47F0" w:rsidRDefault="004A47F0" w:rsidP="000E5D27">
      <w:pPr>
        <w:ind w:firstLine="426"/>
        <w:jc w:val="both"/>
        <w:rPr>
          <w:rFonts w:eastAsia="Calibri"/>
          <w:bCs/>
          <w:sz w:val="22"/>
          <w:szCs w:val="22"/>
          <w:lang w:eastAsia="en-US"/>
        </w:rPr>
      </w:pPr>
      <w:r w:rsidRPr="004A47F0">
        <w:rPr>
          <w:rFonts w:eastAsia="Calibri"/>
          <w:bCs/>
          <w:sz w:val="22"/>
          <w:szCs w:val="22"/>
          <w:lang w:eastAsia="en-US"/>
        </w:rPr>
        <w:t>- меди 0,22 ± 0,05 (ПДК 5);</w:t>
      </w:r>
    </w:p>
    <w:p w:rsidR="004A47F0" w:rsidRPr="004A47F0" w:rsidRDefault="004A47F0" w:rsidP="000E5D27">
      <w:pPr>
        <w:ind w:firstLine="426"/>
        <w:jc w:val="both"/>
        <w:rPr>
          <w:rFonts w:eastAsia="Calibri"/>
          <w:bCs/>
          <w:sz w:val="22"/>
          <w:szCs w:val="22"/>
          <w:lang w:eastAsia="en-US"/>
        </w:rPr>
      </w:pPr>
      <w:r w:rsidRPr="004A47F0">
        <w:rPr>
          <w:rFonts w:eastAsia="Calibri"/>
          <w:bCs/>
          <w:sz w:val="22"/>
          <w:szCs w:val="22"/>
          <w:lang w:eastAsia="en-US"/>
        </w:rPr>
        <w:t xml:space="preserve">- кадмия 0,1 ± 0,1 (ПДК 0,2). </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Согласно агрохимической оценке чернозем выщелоченный я</w:t>
      </w:r>
      <w:r w:rsidRPr="004A47F0">
        <w:rPr>
          <w:rFonts w:eastAsia="Calibri"/>
          <w:sz w:val="22"/>
          <w:szCs w:val="22"/>
          <w:lang w:eastAsia="en-US"/>
        </w:rPr>
        <w:t>в</w:t>
      </w:r>
      <w:r w:rsidRPr="004A47F0">
        <w:rPr>
          <w:rFonts w:eastAsia="Calibri"/>
          <w:sz w:val="22"/>
          <w:szCs w:val="22"/>
          <w:lang w:eastAsia="en-US"/>
        </w:rPr>
        <w:t xml:space="preserve">ляется обеспеченным по содержанию марганца, кобальта и меди; содержание </w:t>
      </w:r>
      <w:r w:rsidRPr="004A47F0">
        <w:rPr>
          <w:rFonts w:eastAsia="Calibri"/>
          <w:sz w:val="22"/>
          <w:szCs w:val="22"/>
          <w:lang w:val="en-US" w:eastAsia="en-US"/>
        </w:rPr>
        <w:t>Zn</w:t>
      </w:r>
      <w:r w:rsidRPr="004A47F0">
        <w:rPr>
          <w:rFonts w:eastAsia="Calibri"/>
          <w:sz w:val="22"/>
          <w:szCs w:val="22"/>
          <w:lang w:eastAsia="en-US"/>
        </w:rPr>
        <w:t xml:space="preserve"> в дефиците [2].</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 xml:space="preserve"> Антагоническое родство цинка и кадмия может быть одной из причин загрязнения зерновой продукции. Для того</w:t>
      </w:r>
      <w:proofErr w:type="gramStart"/>
      <w:r w:rsidRPr="004A47F0">
        <w:rPr>
          <w:rFonts w:eastAsia="Calibri"/>
          <w:sz w:val="22"/>
          <w:szCs w:val="22"/>
          <w:lang w:eastAsia="en-US"/>
        </w:rPr>
        <w:t>,</w:t>
      </w:r>
      <w:proofErr w:type="gramEnd"/>
      <w:r w:rsidRPr="004A47F0">
        <w:rPr>
          <w:rFonts w:eastAsia="Calibri"/>
          <w:sz w:val="22"/>
          <w:szCs w:val="22"/>
          <w:lang w:eastAsia="en-US"/>
        </w:rPr>
        <w:t xml:space="preserve"> чтобы искл</w:t>
      </w:r>
      <w:r w:rsidRPr="004A47F0">
        <w:rPr>
          <w:rFonts w:eastAsia="Calibri"/>
          <w:sz w:val="22"/>
          <w:szCs w:val="22"/>
          <w:lang w:eastAsia="en-US"/>
        </w:rPr>
        <w:t>ю</w:t>
      </w:r>
      <w:r w:rsidRPr="004A47F0">
        <w:rPr>
          <w:rFonts w:eastAsia="Calibri"/>
          <w:sz w:val="22"/>
          <w:szCs w:val="22"/>
          <w:lang w:eastAsia="en-US"/>
        </w:rPr>
        <w:t>чить антагонизм и восполнить недостаток металла было разработ</w:t>
      </w:r>
      <w:r w:rsidRPr="004A47F0">
        <w:rPr>
          <w:rFonts w:eastAsia="Calibri"/>
          <w:sz w:val="22"/>
          <w:szCs w:val="22"/>
          <w:lang w:eastAsia="en-US"/>
        </w:rPr>
        <w:t>а</w:t>
      </w:r>
      <w:r w:rsidRPr="004A47F0">
        <w:rPr>
          <w:rFonts w:eastAsia="Calibri"/>
          <w:sz w:val="22"/>
          <w:szCs w:val="22"/>
          <w:lang w:eastAsia="en-US"/>
        </w:rPr>
        <w:t>но хелатное микроудобрение, содержащее цинк в виде хелатов, гидроксид калия – для регулировки рН и хлорид лития для подде</w:t>
      </w:r>
      <w:r w:rsidRPr="004A47F0">
        <w:rPr>
          <w:rFonts w:eastAsia="Calibri"/>
          <w:sz w:val="22"/>
          <w:szCs w:val="22"/>
          <w:lang w:eastAsia="en-US"/>
        </w:rPr>
        <w:t>р</w:t>
      </w:r>
      <w:r w:rsidRPr="004A47F0">
        <w:rPr>
          <w:rFonts w:eastAsia="Calibri"/>
          <w:sz w:val="22"/>
          <w:szCs w:val="22"/>
          <w:lang w:eastAsia="en-US"/>
        </w:rPr>
        <w:t xml:space="preserve">жания изотонического коэффициента. </w:t>
      </w:r>
    </w:p>
    <w:p w:rsidR="004A47F0" w:rsidRPr="004A47F0" w:rsidRDefault="004A47F0" w:rsidP="000E5D27">
      <w:pPr>
        <w:tabs>
          <w:tab w:val="left" w:pos="8931"/>
        </w:tabs>
        <w:ind w:firstLine="426"/>
        <w:jc w:val="both"/>
        <w:rPr>
          <w:rFonts w:eastAsia="Calibri"/>
          <w:sz w:val="22"/>
          <w:szCs w:val="22"/>
          <w:lang w:eastAsia="en-US"/>
        </w:rPr>
      </w:pPr>
      <w:r w:rsidRPr="004A47F0">
        <w:rPr>
          <w:rFonts w:eastAsia="Calibri"/>
          <w:sz w:val="22"/>
          <w:szCs w:val="22"/>
          <w:lang w:eastAsia="en-US"/>
        </w:rPr>
        <w:t>Схема опыта была представлена следующими вариантами: ко</w:t>
      </w:r>
      <w:r w:rsidRPr="004A47F0">
        <w:rPr>
          <w:rFonts w:eastAsia="Calibri"/>
          <w:sz w:val="22"/>
          <w:szCs w:val="22"/>
          <w:lang w:eastAsia="en-US"/>
        </w:rPr>
        <w:t>н</w:t>
      </w:r>
      <w:r w:rsidRPr="004A47F0">
        <w:rPr>
          <w:rFonts w:eastAsia="Calibri"/>
          <w:sz w:val="22"/>
          <w:szCs w:val="22"/>
          <w:lang w:eastAsia="en-US"/>
        </w:rPr>
        <w:t xml:space="preserve">троль, одинарные и двойные дозы лигандов - лимонной и янтарной кислоты и одинарными 75 мг/л и двойными дозами 150 мг/л хелата цинка. Обработку проводили на фоне минерального питания </w:t>
      </w:r>
      <w:r w:rsidRPr="004A47F0">
        <w:rPr>
          <w:rFonts w:eastAsia="Calibri"/>
          <w:bCs/>
          <w:sz w:val="22"/>
          <w:szCs w:val="22"/>
          <w:lang w:val="en-US" w:eastAsia="en-US"/>
        </w:rPr>
        <w:t>N</w:t>
      </w:r>
      <w:r w:rsidRPr="004A47F0">
        <w:rPr>
          <w:rFonts w:eastAsia="Calibri"/>
          <w:bCs/>
          <w:sz w:val="22"/>
          <w:szCs w:val="22"/>
          <w:vertAlign w:val="subscript"/>
          <w:lang w:eastAsia="en-US"/>
        </w:rPr>
        <w:t>60</w:t>
      </w:r>
      <w:r w:rsidRPr="004A47F0">
        <w:rPr>
          <w:rFonts w:eastAsia="Calibri"/>
          <w:bCs/>
          <w:sz w:val="22"/>
          <w:szCs w:val="22"/>
          <w:lang w:val="en-US" w:eastAsia="en-US"/>
        </w:rPr>
        <w:t>P</w:t>
      </w:r>
      <w:r w:rsidRPr="004A47F0">
        <w:rPr>
          <w:rFonts w:eastAsia="Calibri"/>
          <w:bCs/>
          <w:sz w:val="22"/>
          <w:szCs w:val="22"/>
          <w:vertAlign w:val="subscript"/>
          <w:lang w:eastAsia="en-US"/>
        </w:rPr>
        <w:t>30</w:t>
      </w:r>
      <w:r w:rsidRPr="004A47F0">
        <w:rPr>
          <w:rFonts w:eastAsia="Calibri"/>
          <w:bCs/>
          <w:sz w:val="22"/>
          <w:szCs w:val="22"/>
          <w:lang w:val="en-US" w:eastAsia="en-US"/>
        </w:rPr>
        <w:t>K</w:t>
      </w:r>
      <w:r w:rsidRPr="004A47F0">
        <w:rPr>
          <w:rFonts w:eastAsia="Calibri"/>
          <w:bCs/>
          <w:sz w:val="22"/>
          <w:szCs w:val="22"/>
          <w:vertAlign w:val="subscript"/>
          <w:lang w:eastAsia="en-US"/>
        </w:rPr>
        <w:t>20</w:t>
      </w:r>
      <w:r w:rsidRPr="004A47F0">
        <w:rPr>
          <w:rFonts w:eastAsia="Calibri"/>
          <w:bCs/>
          <w:sz w:val="22"/>
          <w:szCs w:val="22"/>
          <w:lang w:eastAsia="en-US"/>
        </w:rPr>
        <w:t xml:space="preserve"> в фазе весеннего кущения. Расход рабочего раствора на 1 га составил 300 л</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Обработка хелатом цинка в дозе 150 мг/л способствовала ув</w:t>
      </w:r>
      <w:r w:rsidRPr="004A47F0">
        <w:rPr>
          <w:rFonts w:eastAsia="Calibri"/>
          <w:sz w:val="22"/>
          <w:szCs w:val="22"/>
          <w:lang w:eastAsia="en-US"/>
        </w:rPr>
        <w:t>е</w:t>
      </w:r>
      <w:r w:rsidRPr="004A47F0">
        <w:rPr>
          <w:rFonts w:eastAsia="Calibri"/>
          <w:sz w:val="22"/>
          <w:szCs w:val="22"/>
          <w:lang w:eastAsia="en-US"/>
        </w:rPr>
        <w:t>личению на 20 % массы снопа и на 28 % числа продуктивных сте</w:t>
      </w:r>
      <w:r w:rsidRPr="004A47F0">
        <w:rPr>
          <w:rFonts w:eastAsia="Calibri"/>
          <w:sz w:val="22"/>
          <w:szCs w:val="22"/>
          <w:lang w:eastAsia="en-US"/>
        </w:rPr>
        <w:t>б</w:t>
      </w:r>
      <w:r w:rsidRPr="004A47F0">
        <w:rPr>
          <w:rFonts w:eastAsia="Calibri"/>
          <w:sz w:val="22"/>
          <w:szCs w:val="22"/>
          <w:lang w:eastAsia="en-US"/>
        </w:rPr>
        <w:t>лей, по сравнению  с контролем. Применение хелатного микр</w:t>
      </w:r>
      <w:r w:rsidRPr="004A47F0">
        <w:rPr>
          <w:rFonts w:eastAsia="Calibri"/>
          <w:sz w:val="22"/>
          <w:szCs w:val="22"/>
          <w:lang w:eastAsia="en-US"/>
        </w:rPr>
        <w:t>о</w:t>
      </w:r>
      <w:r w:rsidRPr="004A47F0">
        <w:rPr>
          <w:rFonts w:eastAsia="Calibri"/>
          <w:sz w:val="22"/>
          <w:szCs w:val="22"/>
          <w:lang w:eastAsia="en-US"/>
        </w:rPr>
        <w:t xml:space="preserve">удобрения не оказало влияние на число продуктивных колосков и число зерен в колосе. Однако масса зерна в колосе, </w:t>
      </w:r>
      <w:proofErr w:type="gramStart"/>
      <w:r w:rsidRPr="004A47F0">
        <w:rPr>
          <w:rFonts w:eastAsia="Calibri"/>
          <w:sz w:val="22"/>
          <w:szCs w:val="22"/>
          <w:lang w:eastAsia="en-US"/>
        </w:rPr>
        <w:t>а</w:t>
      </w:r>
      <w:proofErr w:type="gramEnd"/>
      <w:r w:rsidRPr="004A47F0">
        <w:rPr>
          <w:rFonts w:eastAsia="Calibri"/>
          <w:sz w:val="22"/>
          <w:szCs w:val="22"/>
          <w:lang w:eastAsia="en-US"/>
        </w:rPr>
        <w:t xml:space="preserve"> следовательно, и масса 1000 зерен возросла при применении хелата цинка в дво</w:t>
      </w:r>
      <w:r w:rsidRPr="004A47F0">
        <w:rPr>
          <w:rFonts w:eastAsia="Calibri"/>
          <w:sz w:val="22"/>
          <w:szCs w:val="22"/>
          <w:lang w:eastAsia="en-US"/>
        </w:rPr>
        <w:t>й</w:t>
      </w:r>
      <w:r w:rsidRPr="004A47F0">
        <w:rPr>
          <w:rFonts w:eastAsia="Calibri"/>
          <w:sz w:val="22"/>
          <w:szCs w:val="22"/>
          <w:lang w:eastAsia="en-US"/>
        </w:rPr>
        <w:t>ной дозе  практически на  30 % по сравнению с контролем.</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Наиболее существенное влияние применения двойных доз х</w:t>
      </w:r>
      <w:r w:rsidRPr="004A47F0">
        <w:rPr>
          <w:rFonts w:eastAsia="Calibri"/>
          <w:sz w:val="22"/>
          <w:szCs w:val="22"/>
          <w:lang w:eastAsia="en-US"/>
        </w:rPr>
        <w:t>е</w:t>
      </w:r>
      <w:r w:rsidRPr="004A47F0">
        <w:rPr>
          <w:rFonts w:eastAsia="Calibri"/>
          <w:sz w:val="22"/>
          <w:szCs w:val="22"/>
          <w:lang w:eastAsia="en-US"/>
        </w:rPr>
        <w:t>лата цинка  оказало на качество зерновой продукции. Оно позвол</w:t>
      </w:r>
      <w:r w:rsidRPr="004A47F0">
        <w:rPr>
          <w:rFonts w:eastAsia="Calibri"/>
          <w:sz w:val="22"/>
          <w:szCs w:val="22"/>
          <w:lang w:eastAsia="en-US"/>
        </w:rPr>
        <w:t>и</w:t>
      </w:r>
      <w:r w:rsidRPr="004A47F0">
        <w:rPr>
          <w:rFonts w:eastAsia="Calibri"/>
          <w:sz w:val="22"/>
          <w:szCs w:val="22"/>
          <w:lang w:eastAsia="en-US"/>
        </w:rPr>
        <w:t xml:space="preserve">ло увеличить содержание белка до 13 %, клейковины – до 28 %, что повысило класс озимой пшеницы с 3-го до 2-го. Важно отметить, что </w:t>
      </w:r>
      <w:proofErr w:type="gramStart"/>
      <w:r w:rsidRPr="004A47F0">
        <w:rPr>
          <w:rFonts w:eastAsia="Calibri"/>
          <w:sz w:val="22"/>
          <w:szCs w:val="22"/>
          <w:lang w:eastAsia="en-US"/>
        </w:rPr>
        <w:t>чистый</w:t>
      </w:r>
      <w:proofErr w:type="gramEnd"/>
      <w:r w:rsidRPr="004A47F0">
        <w:rPr>
          <w:rFonts w:eastAsia="Calibri"/>
          <w:sz w:val="22"/>
          <w:szCs w:val="22"/>
          <w:lang w:eastAsia="en-US"/>
        </w:rPr>
        <w:t xml:space="preserve"> лиганд на качество зерна влияние не оказал.</w:t>
      </w:r>
    </w:p>
    <w:p w:rsidR="004A47F0" w:rsidRPr="004A47F0" w:rsidRDefault="004A47F0" w:rsidP="000E5D27">
      <w:pPr>
        <w:ind w:firstLine="426"/>
        <w:jc w:val="both"/>
        <w:rPr>
          <w:rFonts w:eastAsia="Calibri"/>
          <w:bCs/>
          <w:sz w:val="22"/>
          <w:szCs w:val="22"/>
          <w:lang w:eastAsia="en-US"/>
        </w:rPr>
      </w:pPr>
      <w:proofErr w:type="gramStart"/>
      <w:r w:rsidRPr="004A47F0">
        <w:rPr>
          <w:rFonts w:eastAsia="Calibri"/>
          <w:sz w:val="22"/>
          <w:szCs w:val="22"/>
          <w:lang w:eastAsia="en-US"/>
        </w:rPr>
        <w:t xml:space="preserve">Поставленная цель – снижение содержания кадмия в зерне до уровня менее 0,06 мг/кг соответствующего детскому питанию была </w:t>
      </w:r>
      <w:r w:rsidRPr="004A47F0">
        <w:rPr>
          <w:rFonts w:eastAsia="Calibri"/>
          <w:sz w:val="22"/>
          <w:szCs w:val="22"/>
          <w:lang w:eastAsia="en-US"/>
        </w:rPr>
        <w:lastRenderedPageBreak/>
        <w:t xml:space="preserve">достигнута при двойной дозе хелата цинка 150 мг/л. На контроле, с применением минеральных удобрений в дозе </w:t>
      </w:r>
      <w:r w:rsidRPr="004A47F0">
        <w:rPr>
          <w:rFonts w:eastAsia="Calibri"/>
          <w:bCs/>
          <w:sz w:val="22"/>
          <w:szCs w:val="22"/>
          <w:lang w:val="en-US" w:eastAsia="en-US"/>
        </w:rPr>
        <w:t>N</w:t>
      </w:r>
      <w:r w:rsidRPr="004A47F0">
        <w:rPr>
          <w:rFonts w:eastAsia="Calibri"/>
          <w:bCs/>
          <w:sz w:val="22"/>
          <w:szCs w:val="22"/>
          <w:vertAlign w:val="subscript"/>
          <w:lang w:eastAsia="en-US"/>
        </w:rPr>
        <w:t>60</w:t>
      </w:r>
      <w:r w:rsidRPr="004A47F0">
        <w:rPr>
          <w:rFonts w:eastAsia="Calibri"/>
          <w:bCs/>
          <w:sz w:val="22"/>
          <w:szCs w:val="22"/>
          <w:lang w:val="en-US" w:eastAsia="en-US"/>
        </w:rPr>
        <w:t>P</w:t>
      </w:r>
      <w:r w:rsidRPr="004A47F0">
        <w:rPr>
          <w:rFonts w:eastAsia="Calibri"/>
          <w:bCs/>
          <w:sz w:val="22"/>
          <w:szCs w:val="22"/>
          <w:vertAlign w:val="subscript"/>
          <w:lang w:eastAsia="en-US"/>
        </w:rPr>
        <w:t>30</w:t>
      </w:r>
      <w:r w:rsidRPr="004A47F0">
        <w:rPr>
          <w:rFonts w:eastAsia="Calibri"/>
          <w:bCs/>
          <w:sz w:val="22"/>
          <w:szCs w:val="22"/>
          <w:lang w:val="en-US" w:eastAsia="en-US"/>
        </w:rPr>
        <w:t>K</w:t>
      </w:r>
      <w:r w:rsidRPr="004A47F0">
        <w:rPr>
          <w:rFonts w:eastAsia="Calibri"/>
          <w:bCs/>
          <w:sz w:val="22"/>
          <w:szCs w:val="22"/>
          <w:vertAlign w:val="subscript"/>
          <w:lang w:eastAsia="en-US"/>
        </w:rPr>
        <w:t>20</w:t>
      </w:r>
      <w:r w:rsidRPr="004A47F0">
        <w:rPr>
          <w:rFonts w:eastAsia="Calibri"/>
          <w:bCs/>
          <w:sz w:val="22"/>
          <w:szCs w:val="22"/>
          <w:lang w:eastAsia="en-US"/>
        </w:rPr>
        <w:t xml:space="preserve"> содержание кадмия составило 0,12 мг/кг при ПДК 0,1 мг/кг, что связано с выс</w:t>
      </w:r>
      <w:r w:rsidRPr="004A47F0">
        <w:rPr>
          <w:rFonts w:eastAsia="Calibri"/>
          <w:bCs/>
          <w:sz w:val="22"/>
          <w:szCs w:val="22"/>
          <w:lang w:eastAsia="en-US"/>
        </w:rPr>
        <w:t>о</w:t>
      </w:r>
      <w:r w:rsidRPr="004A47F0">
        <w:rPr>
          <w:rFonts w:eastAsia="Calibri"/>
          <w:bCs/>
          <w:sz w:val="22"/>
          <w:szCs w:val="22"/>
          <w:lang w:eastAsia="en-US"/>
        </w:rPr>
        <w:t xml:space="preserve">ким уровнем осадков в 2017 г. </w:t>
      </w:r>
      <w:proofErr w:type="gramEnd"/>
    </w:p>
    <w:p w:rsidR="004A47F0" w:rsidRPr="004A47F0" w:rsidRDefault="004A47F0" w:rsidP="000E5D27">
      <w:pPr>
        <w:ind w:firstLine="426"/>
        <w:jc w:val="both"/>
        <w:rPr>
          <w:rFonts w:eastAsia="Calibri"/>
          <w:bCs/>
          <w:sz w:val="22"/>
          <w:szCs w:val="22"/>
          <w:lang w:eastAsia="en-US"/>
        </w:rPr>
      </w:pPr>
      <w:r w:rsidRPr="004A47F0">
        <w:rPr>
          <w:rFonts w:eastAsia="Calibri"/>
          <w:bCs/>
          <w:sz w:val="22"/>
          <w:szCs w:val="22"/>
          <w:lang w:eastAsia="en-US"/>
        </w:rPr>
        <w:t>Применение янтарной и лимонной кислоты в различных дозах не способствовало снижению содержания кадмия в зерне ниже 0,1 мг/кг. Одинарная доза цинка 75 мг/л позволила уменьшить соде</w:t>
      </w:r>
      <w:r w:rsidRPr="004A47F0">
        <w:rPr>
          <w:rFonts w:eastAsia="Calibri"/>
          <w:bCs/>
          <w:sz w:val="22"/>
          <w:szCs w:val="22"/>
          <w:lang w:eastAsia="en-US"/>
        </w:rPr>
        <w:t>р</w:t>
      </w:r>
      <w:r w:rsidRPr="004A47F0">
        <w:rPr>
          <w:rFonts w:eastAsia="Calibri"/>
          <w:bCs/>
          <w:sz w:val="22"/>
          <w:szCs w:val="22"/>
          <w:lang w:eastAsia="en-US"/>
        </w:rPr>
        <w:t>жание кадмия в зерне до 0,069 мг/кг, двойная – до 0,049 мг/л.</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Увеличение массы зерна в колосе на фоне роста числа проду</w:t>
      </w:r>
      <w:r w:rsidRPr="004A47F0">
        <w:rPr>
          <w:rFonts w:eastAsia="Calibri"/>
          <w:sz w:val="22"/>
          <w:szCs w:val="22"/>
          <w:lang w:eastAsia="en-US"/>
        </w:rPr>
        <w:t>к</w:t>
      </w:r>
      <w:r w:rsidRPr="004A47F0">
        <w:rPr>
          <w:rFonts w:eastAsia="Calibri"/>
          <w:sz w:val="22"/>
          <w:szCs w:val="22"/>
          <w:lang w:eastAsia="en-US"/>
        </w:rPr>
        <w:t>тивных стеблей способствовало возрастанию урожайности практ</w:t>
      </w:r>
      <w:r w:rsidRPr="004A47F0">
        <w:rPr>
          <w:rFonts w:eastAsia="Calibri"/>
          <w:sz w:val="22"/>
          <w:szCs w:val="22"/>
          <w:lang w:eastAsia="en-US"/>
        </w:rPr>
        <w:t>и</w:t>
      </w:r>
      <w:r w:rsidRPr="004A47F0">
        <w:rPr>
          <w:rFonts w:eastAsia="Calibri"/>
          <w:sz w:val="22"/>
          <w:szCs w:val="22"/>
          <w:lang w:eastAsia="en-US"/>
        </w:rPr>
        <w:t>чески на 11 % по равнению с контролем на варианте с наиболее в</w:t>
      </w:r>
      <w:r w:rsidRPr="004A47F0">
        <w:rPr>
          <w:rFonts w:eastAsia="Calibri"/>
          <w:sz w:val="22"/>
          <w:szCs w:val="22"/>
          <w:lang w:eastAsia="en-US"/>
        </w:rPr>
        <w:t>ы</w:t>
      </w:r>
      <w:r w:rsidRPr="004A47F0">
        <w:rPr>
          <w:rFonts w:eastAsia="Calibri"/>
          <w:sz w:val="22"/>
          <w:szCs w:val="22"/>
          <w:lang w:eastAsia="en-US"/>
        </w:rPr>
        <w:t>сокой дозой цинка. Что можно связать, как с биологическим де</w:t>
      </w:r>
      <w:r w:rsidRPr="004A47F0">
        <w:rPr>
          <w:rFonts w:eastAsia="Calibri"/>
          <w:sz w:val="22"/>
          <w:szCs w:val="22"/>
          <w:lang w:eastAsia="en-US"/>
        </w:rPr>
        <w:t>й</w:t>
      </w:r>
      <w:r w:rsidRPr="004A47F0">
        <w:rPr>
          <w:rFonts w:eastAsia="Calibri"/>
          <w:sz w:val="22"/>
          <w:szCs w:val="22"/>
          <w:lang w:eastAsia="en-US"/>
        </w:rPr>
        <w:t>ствием хелатного микроудобрения, так и фунгицидным действием цинка.</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Проведенные испытания хелатного микроудобрения позволили компенсировать дефицит поступления цинка в растения из почвы, что сказалось положительно на качестве урожая и его экологич</w:t>
      </w:r>
      <w:r w:rsidRPr="004A47F0">
        <w:rPr>
          <w:rFonts w:eastAsia="Calibri"/>
          <w:sz w:val="22"/>
          <w:szCs w:val="22"/>
          <w:lang w:eastAsia="en-US"/>
        </w:rPr>
        <w:t>е</w:t>
      </w:r>
      <w:r w:rsidRPr="004A47F0">
        <w:rPr>
          <w:rFonts w:eastAsia="Calibri"/>
          <w:sz w:val="22"/>
          <w:szCs w:val="22"/>
          <w:lang w:eastAsia="en-US"/>
        </w:rPr>
        <w:t>ской безопасности.</w:t>
      </w:r>
    </w:p>
    <w:p w:rsidR="004A47F0" w:rsidRPr="004A47F0" w:rsidRDefault="004A47F0" w:rsidP="000E5D27">
      <w:pPr>
        <w:ind w:firstLine="426"/>
        <w:jc w:val="both"/>
        <w:rPr>
          <w:rFonts w:eastAsia="Calibri"/>
          <w:sz w:val="22"/>
          <w:szCs w:val="22"/>
          <w:lang w:eastAsia="en-US"/>
        </w:rPr>
      </w:pPr>
    </w:p>
    <w:p w:rsidR="004A47F0" w:rsidRPr="004A47F0" w:rsidRDefault="000E5D27" w:rsidP="000E5D27">
      <w:pPr>
        <w:ind w:firstLine="426"/>
        <w:jc w:val="center"/>
        <w:rPr>
          <w:rFonts w:eastAsia="Calibri"/>
          <w:sz w:val="22"/>
          <w:szCs w:val="22"/>
          <w:lang w:eastAsia="en-US"/>
        </w:rPr>
      </w:pPr>
      <w:r>
        <w:rPr>
          <w:rFonts w:eastAsia="Calibri"/>
          <w:sz w:val="22"/>
          <w:szCs w:val="22"/>
          <w:lang w:eastAsia="en-US"/>
        </w:rPr>
        <w:t>Список литературы</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1. Занозина О. Д. Получение экологически чистой зерновой продукции в условиях применения различных доз удобрений / О. Д. Занозина, И. В. Шабанова // «Наука и образование в жизни совр</w:t>
      </w:r>
      <w:r w:rsidRPr="004A47F0">
        <w:rPr>
          <w:rFonts w:eastAsia="Calibri"/>
          <w:sz w:val="22"/>
          <w:szCs w:val="22"/>
          <w:lang w:eastAsia="en-US"/>
        </w:rPr>
        <w:t>е</w:t>
      </w:r>
      <w:r w:rsidRPr="004A47F0">
        <w:rPr>
          <w:rFonts w:eastAsia="Calibri"/>
          <w:sz w:val="22"/>
          <w:szCs w:val="22"/>
          <w:lang w:eastAsia="en-US"/>
        </w:rPr>
        <w:t>менного общества». Сборник научных трудов по материалам Ме</w:t>
      </w:r>
      <w:r w:rsidRPr="004A47F0">
        <w:rPr>
          <w:rFonts w:eastAsia="Calibri"/>
          <w:sz w:val="22"/>
          <w:szCs w:val="22"/>
          <w:lang w:eastAsia="en-US"/>
        </w:rPr>
        <w:t>ж</w:t>
      </w:r>
      <w:r w:rsidRPr="004A47F0">
        <w:rPr>
          <w:rFonts w:eastAsia="Calibri"/>
          <w:sz w:val="22"/>
          <w:szCs w:val="22"/>
          <w:lang w:eastAsia="en-US"/>
        </w:rPr>
        <w:t>дународной научно-практической конференции. – 2015. – С. 37–38.</w:t>
      </w:r>
    </w:p>
    <w:p w:rsidR="004A47F0" w:rsidRPr="004A47F0" w:rsidRDefault="004A47F0" w:rsidP="000E5D27">
      <w:pPr>
        <w:ind w:firstLine="426"/>
        <w:jc w:val="both"/>
        <w:rPr>
          <w:rFonts w:eastAsia="Calibri"/>
          <w:sz w:val="22"/>
          <w:szCs w:val="22"/>
          <w:lang w:eastAsia="en-US"/>
        </w:rPr>
      </w:pPr>
      <w:r w:rsidRPr="004A47F0">
        <w:rPr>
          <w:rFonts w:eastAsia="Calibri"/>
          <w:sz w:val="22"/>
          <w:szCs w:val="22"/>
          <w:lang w:eastAsia="en-US"/>
        </w:rPr>
        <w:t>2. Лебедовский И. А. Влияние микроэлементов на продукти</w:t>
      </w:r>
      <w:r w:rsidRPr="004A47F0">
        <w:rPr>
          <w:rFonts w:eastAsia="Calibri"/>
          <w:sz w:val="22"/>
          <w:szCs w:val="22"/>
          <w:lang w:eastAsia="en-US"/>
        </w:rPr>
        <w:t>в</w:t>
      </w:r>
      <w:r w:rsidRPr="004A47F0">
        <w:rPr>
          <w:rFonts w:eastAsia="Calibri"/>
          <w:sz w:val="22"/>
          <w:szCs w:val="22"/>
          <w:lang w:eastAsia="en-US"/>
        </w:rPr>
        <w:t xml:space="preserve">ность и качество озимой пшеницы, возделываемой на </w:t>
      </w:r>
      <w:proofErr w:type="gramStart"/>
      <w:r w:rsidRPr="004A47F0">
        <w:rPr>
          <w:rFonts w:eastAsia="Calibri"/>
          <w:sz w:val="22"/>
          <w:szCs w:val="22"/>
          <w:lang w:eastAsia="en-US"/>
        </w:rPr>
        <w:t>черноземе</w:t>
      </w:r>
      <w:proofErr w:type="gramEnd"/>
      <w:r w:rsidRPr="004A47F0">
        <w:rPr>
          <w:rFonts w:eastAsia="Calibri"/>
          <w:sz w:val="22"/>
          <w:szCs w:val="22"/>
          <w:lang w:eastAsia="en-US"/>
        </w:rPr>
        <w:t xml:space="preserve"> выщелоченном Западного Предкавказья / И. А. Лебедовский, И. В. Шабанова, Е. А. Яковлева // Политематический сетевой электро</w:t>
      </w:r>
      <w:r w:rsidRPr="004A47F0">
        <w:rPr>
          <w:rFonts w:eastAsia="Calibri"/>
          <w:sz w:val="22"/>
          <w:szCs w:val="22"/>
          <w:lang w:eastAsia="en-US"/>
        </w:rPr>
        <w:t>н</w:t>
      </w:r>
      <w:r w:rsidRPr="004A47F0">
        <w:rPr>
          <w:rFonts w:eastAsia="Calibri"/>
          <w:sz w:val="22"/>
          <w:szCs w:val="22"/>
          <w:lang w:eastAsia="en-US"/>
        </w:rPr>
        <w:t>ный научный журнал Кубанского государственного аграрного ун</w:t>
      </w:r>
      <w:r w:rsidRPr="004A47F0">
        <w:rPr>
          <w:rFonts w:eastAsia="Calibri"/>
          <w:sz w:val="22"/>
          <w:szCs w:val="22"/>
          <w:lang w:eastAsia="en-US"/>
        </w:rPr>
        <w:t>и</w:t>
      </w:r>
      <w:r w:rsidRPr="004A47F0">
        <w:rPr>
          <w:rFonts w:eastAsia="Calibri"/>
          <w:sz w:val="22"/>
          <w:szCs w:val="22"/>
          <w:lang w:eastAsia="en-US"/>
        </w:rPr>
        <w:t>верситета. – 2012. – № 82. – С. 684–695.</w:t>
      </w:r>
    </w:p>
    <w:p w:rsidR="00F64289" w:rsidRDefault="00F64289" w:rsidP="000E5D27">
      <w:pPr>
        <w:ind w:right="85" w:firstLine="426"/>
        <w:jc w:val="both"/>
        <w:rPr>
          <w:rFonts w:eastAsia="Calibri"/>
          <w:sz w:val="22"/>
          <w:szCs w:val="20"/>
          <w:lang w:eastAsia="en-US"/>
        </w:rPr>
      </w:pPr>
    </w:p>
    <w:p w:rsidR="000E5D27" w:rsidRDefault="000E5D27" w:rsidP="000E5D27">
      <w:pPr>
        <w:ind w:right="85" w:firstLine="426"/>
        <w:jc w:val="both"/>
        <w:rPr>
          <w:rFonts w:eastAsia="Calibri"/>
          <w:sz w:val="22"/>
          <w:szCs w:val="20"/>
          <w:lang w:eastAsia="en-US"/>
        </w:rPr>
      </w:pPr>
    </w:p>
    <w:p w:rsidR="000E5D27" w:rsidRDefault="000E5D27" w:rsidP="000E5D27">
      <w:pPr>
        <w:ind w:right="85" w:firstLine="426"/>
        <w:jc w:val="both"/>
        <w:rPr>
          <w:rFonts w:eastAsia="Calibri"/>
          <w:sz w:val="22"/>
          <w:szCs w:val="20"/>
          <w:lang w:eastAsia="en-US"/>
        </w:rPr>
      </w:pPr>
    </w:p>
    <w:p w:rsidR="000E5D27" w:rsidRDefault="000E5D27" w:rsidP="000E5D27">
      <w:pPr>
        <w:ind w:right="85" w:firstLine="426"/>
        <w:jc w:val="both"/>
        <w:rPr>
          <w:rFonts w:eastAsia="Calibri"/>
          <w:sz w:val="22"/>
          <w:szCs w:val="20"/>
          <w:lang w:eastAsia="en-US"/>
        </w:rPr>
      </w:pPr>
    </w:p>
    <w:p w:rsidR="000E5D27" w:rsidRDefault="000E5D27" w:rsidP="000E5D27">
      <w:pPr>
        <w:ind w:right="85" w:firstLine="426"/>
        <w:jc w:val="both"/>
        <w:rPr>
          <w:rFonts w:eastAsia="Calibri"/>
          <w:sz w:val="22"/>
          <w:szCs w:val="20"/>
          <w:lang w:eastAsia="en-US"/>
        </w:rPr>
      </w:pPr>
    </w:p>
    <w:p w:rsidR="000E5D27" w:rsidRDefault="000E5D27" w:rsidP="000E5D27">
      <w:pPr>
        <w:ind w:right="85" w:firstLine="426"/>
        <w:jc w:val="both"/>
        <w:rPr>
          <w:rFonts w:eastAsia="Calibri"/>
          <w:sz w:val="22"/>
          <w:szCs w:val="20"/>
          <w:lang w:eastAsia="en-US"/>
        </w:rPr>
      </w:pPr>
    </w:p>
    <w:p w:rsidR="00F64289" w:rsidRPr="00F64289" w:rsidRDefault="000E5D27" w:rsidP="000E5D27">
      <w:pPr>
        <w:rPr>
          <w:rFonts w:eastAsia="Calibri"/>
          <w:sz w:val="22"/>
          <w:szCs w:val="20"/>
          <w:lang w:eastAsia="en-US"/>
        </w:rPr>
      </w:pPr>
      <w:r>
        <w:rPr>
          <w:rFonts w:eastAsia="Calibri"/>
          <w:sz w:val="22"/>
          <w:szCs w:val="20"/>
          <w:lang w:eastAsia="en-US"/>
        </w:rPr>
        <w:br w:type="page"/>
      </w:r>
    </w:p>
    <w:p w:rsidR="004A47F0" w:rsidRPr="004A47F0" w:rsidRDefault="004A47F0" w:rsidP="004A47F0">
      <w:pPr>
        <w:spacing w:after="160"/>
        <w:jc w:val="both"/>
        <w:rPr>
          <w:rFonts w:eastAsia="Calibri"/>
          <w:sz w:val="22"/>
          <w:szCs w:val="22"/>
          <w:lang w:eastAsia="en-US"/>
        </w:rPr>
      </w:pPr>
      <w:r w:rsidRPr="004A47F0">
        <w:rPr>
          <w:rFonts w:eastAsia="Calibri"/>
          <w:sz w:val="22"/>
          <w:szCs w:val="22"/>
          <w:lang w:eastAsia="en-US"/>
        </w:rPr>
        <w:lastRenderedPageBreak/>
        <w:t>УДК 633. 854. 78:</w:t>
      </w:r>
      <w:proofErr w:type="gramStart"/>
      <w:r w:rsidRPr="004A47F0">
        <w:rPr>
          <w:rFonts w:eastAsia="Calibri"/>
          <w:sz w:val="22"/>
          <w:szCs w:val="22"/>
          <w:lang w:eastAsia="en-US"/>
        </w:rPr>
        <w:t xml:space="preserve">[ </w:t>
      </w:r>
      <w:proofErr w:type="gramEnd"/>
      <w:r w:rsidRPr="004A47F0">
        <w:rPr>
          <w:rFonts w:eastAsia="Calibri"/>
          <w:sz w:val="22"/>
          <w:szCs w:val="22"/>
          <w:lang w:eastAsia="en-US"/>
        </w:rPr>
        <w:t>632.51:631.82</w:t>
      </w:r>
    </w:p>
    <w:p w:rsidR="004A47F0" w:rsidRPr="000E5D27" w:rsidRDefault="004A47F0" w:rsidP="004A47F0">
      <w:pPr>
        <w:jc w:val="center"/>
        <w:rPr>
          <w:rFonts w:eastAsia="Calibri"/>
          <w:b/>
          <w:sz w:val="24"/>
          <w:szCs w:val="24"/>
          <w:lang w:eastAsia="en-US"/>
        </w:rPr>
      </w:pPr>
      <w:r w:rsidRPr="004A47F0">
        <w:rPr>
          <w:rFonts w:eastAsia="Calibri"/>
          <w:b/>
          <w:sz w:val="24"/>
          <w:szCs w:val="24"/>
          <w:lang w:eastAsia="en-US"/>
        </w:rPr>
        <w:t xml:space="preserve">Видовой состав сорной растительности в посевах </w:t>
      </w:r>
      <w:r w:rsidR="000E5D27">
        <w:rPr>
          <w:rFonts w:eastAsia="Calibri"/>
          <w:b/>
          <w:sz w:val="24"/>
          <w:szCs w:val="24"/>
          <w:lang w:eastAsia="en-US"/>
        </w:rPr>
        <w:br/>
      </w:r>
      <w:r w:rsidRPr="004A47F0">
        <w:rPr>
          <w:rFonts w:eastAsia="Calibri"/>
          <w:b/>
          <w:sz w:val="24"/>
          <w:szCs w:val="24"/>
          <w:lang w:eastAsia="en-US"/>
        </w:rPr>
        <w:t>подсолнечника</w:t>
      </w:r>
    </w:p>
    <w:p w:rsidR="004A47F0" w:rsidRPr="003C00E9" w:rsidRDefault="004A47F0" w:rsidP="004A47F0">
      <w:pPr>
        <w:jc w:val="center"/>
        <w:rPr>
          <w:rFonts w:eastAsia="Calibri"/>
          <w:b/>
          <w:sz w:val="24"/>
          <w:szCs w:val="24"/>
          <w:lang w:val="en-US" w:eastAsia="en-US"/>
        </w:rPr>
      </w:pPr>
      <w:r w:rsidRPr="004A47F0">
        <w:rPr>
          <w:rFonts w:eastAsia="Calibri"/>
          <w:b/>
          <w:sz w:val="24"/>
          <w:szCs w:val="24"/>
          <w:lang w:val="en-US" w:eastAsia="en-US"/>
        </w:rPr>
        <w:t>Species</w:t>
      </w:r>
      <w:r w:rsidRPr="003C00E9">
        <w:rPr>
          <w:rFonts w:eastAsia="Calibri"/>
          <w:b/>
          <w:sz w:val="24"/>
          <w:szCs w:val="24"/>
          <w:lang w:val="en-US" w:eastAsia="en-US"/>
        </w:rPr>
        <w:t xml:space="preserve"> </w:t>
      </w:r>
      <w:r w:rsidRPr="004A47F0">
        <w:rPr>
          <w:rFonts w:eastAsia="Calibri"/>
          <w:b/>
          <w:sz w:val="24"/>
          <w:szCs w:val="24"/>
          <w:lang w:val="en-US" w:eastAsia="en-US"/>
        </w:rPr>
        <w:t>composition</w:t>
      </w:r>
      <w:r w:rsidRPr="003C00E9">
        <w:rPr>
          <w:rFonts w:eastAsia="Calibri"/>
          <w:b/>
          <w:sz w:val="24"/>
          <w:szCs w:val="24"/>
          <w:lang w:val="en-US" w:eastAsia="en-US"/>
        </w:rPr>
        <w:t xml:space="preserve"> </w:t>
      </w:r>
      <w:r w:rsidRPr="004A47F0">
        <w:rPr>
          <w:rFonts w:eastAsia="Calibri"/>
          <w:b/>
          <w:sz w:val="24"/>
          <w:szCs w:val="24"/>
          <w:lang w:val="en-US" w:eastAsia="en-US"/>
        </w:rPr>
        <w:t>of</w:t>
      </w:r>
      <w:r w:rsidRPr="003C00E9">
        <w:rPr>
          <w:rFonts w:eastAsia="Calibri"/>
          <w:b/>
          <w:sz w:val="24"/>
          <w:szCs w:val="24"/>
          <w:lang w:val="en-US" w:eastAsia="en-US"/>
        </w:rPr>
        <w:t xml:space="preserve"> </w:t>
      </w:r>
      <w:r w:rsidRPr="004A47F0">
        <w:rPr>
          <w:rFonts w:eastAsia="Calibri"/>
          <w:b/>
          <w:sz w:val="24"/>
          <w:szCs w:val="24"/>
          <w:lang w:val="en-US" w:eastAsia="en-US"/>
        </w:rPr>
        <w:t>weed</w:t>
      </w:r>
      <w:r w:rsidRPr="003C00E9">
        <w:rPr>
          <w:rFonts w:eastAsia="Calibri"/>
          <w:b/>
          <w:sz w:val="24"/>
          <w:szCs w:val="24"/>
          <w:lang w:val="en-US" w:eastAsia="en-US"/>
        </w:rPr>
        <w:t xml:space="preserve"> </w:t>
      </w:r>
      <w:r w:rsidRPr="004A47F0">
        <w:rPr>
          <w:rFonts w:eastAsia="Calibri"/>
          <w:b/>
          <w:sz w:val="24"/>
          <w:szCs w:val="24"/>
          <w:lang w:val="en-US" w:eastAsia="en-US"/>
        </w:rPr>
        <w:t>v</w:t>
      </w:r>
      <w:r w:rsidR="000E5D27">
        <w:rPr>
          <w:rFonts w:eastAsia="Calibri"/>
          <w:b/>
          <w:sz w:val="24"/>
          <w:szCs w:val="24"/>
          <w:lang w:val="en-US" w:eastAsia="en-US"/>
        </w:rPr>
        <w:t>egetation</w:t>
      </w:r>
      <w:r w:rsidR="000E5D27" w:rsidRPr="003C00E9">
        <w:rPr>
          <w:rFonts w:eastAsia="Calibri"/>
          <w:b/>
          <w:sz w:val="24"/>
          <w:szCs w:val="24"/>
          <w:lang w:val="en-US" w:eastAsia="en-US"/>
        </w:rPr>
        <w:t xml:space="preserve"> </w:t>
      </w:r>
      <w:r w:rsidR="000E5D27">
        <w:rPr>
          <w:rFonts w:eastAsia="Calibri"/>
          <w:b/>
          <w:sz w:val="24"/>
          <w:szCs w:val="24"/>
          <w:lang w:val="en-US" w:eastAsia="en-US"/>
        </w:rPr>
        <w:t>in</w:t>
      </w:r>
      <w:r w:rsidR="000E5D27" w:rsidRPr="003C00E9">
        <w:rPr>
          <w:rFonts w:eastAsia="Calibri"/>
          <w:b/>
          <w:sz w:val="24"/>
          <w:szCs w:val="24"/>
          <w:lang w:val="en-US" w:eastAsia="en-US"/>
        </w:rPr>
        <w:t xml:space="preserve"> </w:t>
      </w:r>
      <w:r w:rsidR="000E5D27">
        <w:rPr>
          <w:rFonts w:eastAsia="Calibri"/>
          <w:b/>
          <w:sz w:val="24"/>
          <w:szCs w:val="24"/>
          <w:lang w:val="en-US" w:eastAsia="en-US"/>
        </w:rPr>
        <w:t>crops</w:t>
      </w:r>
      <w:r w:rsidR="000E5D27" w:rsidRPr="003C00E9">
        <w:rPr>
          <w:rFonts w:eastAsia="Calibri"/>
          <w:b/>
          <w:sz w:val="24"/>
          <w:szCs w:val="24"/>
          <w:lang w:val="en-US" w:eastAsia="en-US"/>
        </w:rPr>
        <w:t xml:space="preserve"> </w:t>
      </w:r>
      <w:r w:rsidR="000E5D27">
        <w:rPr>
          <w:rFonts w:eastAsia="Calibri"/>
          <w:b/>
          <w:sz w:val="24"/>
          <w:szCs w:val="24"/>
          <w:lang w:val="en-US" w:eastAsia="en-US"/>
        </w:rPr>
        <w:t>of</w:t>
      </w:r>
      <w:r w:rsidR="000E5D27" w:rsidRPr="003C00E9">
        <w:rPr>
          <w:rFonts w:eastAsia="Calibri"/>
          <w:b/>
          <w:sz w:val="24"/>
          <w:szCs w:val="24"/>
          <w:lang w:val="en-US" w:eastAsia="en-US"/>
        </w:rPr>
        <w:t xml:space="preserve"> </w:t>
      </w:r>
      <w:r w:rsidR="000E5D27">
        <w:rPr>
          <w:rFonts w:eastAsia="Calibri"/>
          <w:b/>
          <w:sz w:val="24"/>
          <w:szCs w:val="24"/>
          <w:lang w:val="en-US" w:eastAsia="en-US"/>
        </w:rPr>
        <w:t>sunflower</w:t>
      </w:r>
    </w:p>
    <w:p w:rsidR="004A47F0" w:rsidRPr="003C00E9" w:rsidRDefault="004A47F0" w:rsidP="004A47F0">
      <w:pPr>
        <w:jc w:val="center"/>
        <w:rPr>
          <w:rFonts w:eastAsia="Calibri"/>
          <w:b/>
          <w:sz w:val="24"/>
          <w:szCs w:val="24"/>
          <w:lang w:val="en-US" w:eastAsia="en-US"/>
        </w:rPr>
      </w:pPr>
    </w:p>
    <w:p w:rsidR="004A47F0" w:rsidRPr="004A47F0" w:rsidRDefault="000E5D27" w:rsidP="004A47F0">
      <w:pPr>
        <w:jc w:val="right"/>
        <w:rPr>
          <w:rFonts w:eastAsia="Calibri"/>
          <w:sz w:val="22"/>
          <w:szCs w:val="22"/>
          <w:lang w:eastAsia="en-US"/>
        </w:rPr>
      </w:pPr>
      <w:r>
        <w:rPr>
          <w:rFonts w:eastAsia="Calibri"/>
          <w:sz w:val="22"/>
          <w:szCs w:val="22"/>
          <w:lang w:eastAsia="en-US"/>
        </w:rPr>
        <w:t>Калюжная А. О.,</w:t>
      </w:r>
    </w:p>
    <w:p w:rsidR="004A47F0" w:rsidRPr="004A47F0" w:rsidRDefault="004A47F0" w:rsidP="004A47F0">
      <w:pPr>
        <w:jc w:val="right"/>
        <w:rPr>
          <w:rFonts w:eastAsia="Calibri"/>
          <w:sz w:val="22"/>
          <w:szCs w:val="22"/>
          <w:lang w:eastAsia="en-US"/>
        </w:rPr>
      </w:pPr>
      <w:r w:rsidRPr="004A47F0">
        <w:rPr>
          <w:rFonts w:eastAsia="Calibri"/>
          <w:sz w:val="22"/>
          <w:szCs w:val="22"/>
          <w:lang w:eastAsia="en-US"/>
        </w:rPr>
        <w:t>магистрант 2-го года факультета защиты растений</w:t>
      </w:r>
    </w:p>
    <w:p w:rsidR="004A47F0" w:rsidRPr="004A47F0" w:rsidRDefault="004A47F0" w:rsidP="004A47F0">
      <w:pPr>
        <w:jc w:val="right"/>
        <w:rPr>
          <w:rFonts w:eastAsia="Calibri"/>
          <w:sz w:val="22"/>
          <w:szCs w:val="22"/>
          <w:lang w:eastAsia="en-US"/>
        </w:rPr>
      </w:pPr>
      <w:r w:rsidRPr="004A47F0">
        <w:rPr>
          <w:rFonts w:eastAsia="Calibri"/>
          <w:sz w:val="22"/>
          <w:szCs w:val="22"/>
          <w:lang w:eastAsia="en-US"/>
        </w:rPr>
        <w:t>Мордалева Л.</w:t>
      </w:r>
      <w:r w:rsidR="000E5D27">
        <w:rPr>
          <w:rFonts w:eastAsia="Calibri"/>
          <w:sz w:val="22"/>
          <w:szCs w:val="22"/>
          <w:lang w:eastAsia="en-US"/>
        </w:rPr>
        <w:t xml:space="preserve"> Г.,</w:t>
      </w:r>
    </w:p>
    <w:p w:rsidR="004A47F0" w:rsidRPr="004A47F0" w:rsidRDefault="004A47F0" w:rsidP="004A47F0">
      <w:pPr>
        <w:jc w:val="right"/>
        <w:rPr>
          <w:rFonts w:eastAsia="Calibri"/>
          <w:sz w:val="22"/>
          <w:szCs w:val="22"/>
          <w:lang w:eastAsia="en-US"/>
        </w:rPr>
      </w:pPr>
      <w:r w:rsidRPr="004A47F0">
        <w:rPr>
          <w:rFonts w:eastAsia="Calibri"/>
          <w:sz w:val="22"/>
          <w:szCs w:val="22"/>
          <w:lang w:eastAsia="en-US"/>
        </w:rPr>
        <w:t>доцент кафедры фитопатологии, энтомологии и защиты растений</w:t>
      </w:r>
    </w:p>
    <w:p w:rsidR="000E5D27" w:rsidRDefault="000E5D27" w:rsidP="004A47F0">
      <w:pPr>
        <w:jc w:val="right"/>
        <w:rPr>
          <w:rFonts w:eastAsia="Calibri"/>
          <w:sz w:val="22"/>
          <w:szCs w:val="22"/>
          <w:lang w:eastAsia="en-US"/>
        </w:rPr>
      </w:pPr>
      <w:r>
        <w:rPr>
          <w:rFonts w:eastAsia="Calibri"/>
          <w:sz w:val="22"/>
          <w:szCs w:val="22"/>
          <w:lang w:eastAsia="en-US"/>
        </w:rPr>
        <w:t>Кубанский государственный</w:t>
      </w:r>
    </w:p>
    <w:p w:rsidR="004A47F0" w:rsidRPr="004A47F0" w:rsidRDefault="004A47F0" w:rsidP="004A47F0">
      <w:pPr>
        <w:jc w:val="right"/>
        <w:rPr>
          <w:rFonts w:eastAsia="Calibri"/>
          <w:sz w:val="22"/>
          <w:szCs w:val="22"/>
          <w:lang w:eastAsia="en-US"/>
        </w:rPr>
      </w:pPr>
      <w:r w:rsidRPr="004A47F0">
        <w:rPr>
          <w:rFonts w:eastAsia="Calibri"/>
          <w:sz w:val="22"/>
          <w:szCs w:val="22"/>
          <w:lang w:eastAsia="en-US"/>
        </w:rPr>
        <w:t>аграрный университет имени И.Т. Трубилина</w:t>
      </w:r>
    </w:p>
    <w:p w:rsidR="004A47F0" w:rsidRPr="004A47F0" w:rsidRDefault="004A47F0" w:rsidP="004A47F0">
      <w:pPr>
        <w:jc w:val="right"/>
        <w:rPr>
          <w:rFonts w:eastAsia="Calibri"/>
          <w:sz w:val="22"/>
          <w:szCs w:val="22"/>
          <w:lang w:eastAsia="en-US"/>
        </w:rPr>
      </w:pP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АННОТАЦИЯ: В статье приведены данные обсл6едования п</w:t>
      </w:r>
      <w:r w:rsidRPr="004A47F0">
        <w:rPr>
          <w:rFonts w:eastAsia="Calibri"/>
          <w:sz w:val="22"/>
          <w:szCs w:val="22"/>
          <w:lang w:eastAsia="en-US"/>
        </w:rPr>
        <w:t>о</w:t>
      </w:r>
      <w:r w:rsidRPr="004A47F0">
        <w:rPr>
          <w:rFonts w:eastAsia="Calibri"/>
          <w:sz w:val="22"/>
          <w:szCs w:val="22"/>
          <w:lang w:eastAsia="en-US"/>
        </w:rPr>
        <w:t>лей подсолнечника ФГБНУ ВНИИМК на видовой состав сорняков, ареалы распространения и плотность их популяции.</w:t>
      </w:r>
    </w:p>
    <w:p w:rsidR="004A47F0" w:rsidRPr="004A47F0" w:rsidRDefault="004A47F0" w:rsidP="004A47F0">
      <w:pPr>
        <w:ind w:firstLine="425"/>
        <w:jc w:val="both"/>
        <w:rPr>
          <w:rFonts w:eastAsia="Calibri"/>
          <w:sz w:val="22"/>
          <w:szCs w:val="22"/>
          <w:lang w:val="en-US" w:eastAsia="en-US"/>
        </w:rPr>
      </w:pPr>
      <w:r w:rsidRPr="004A47F0">
        <w:rPr>
          <w:rFonts w:eastAsia="Calibri"/>
          <w:sz w:val="22"/>
          <w:szCs w:val="22"/>
          <w:lang w:val="en-US" w:eastAsia="en-US"/>
        </w:rPr>
        <w:t>ABTRACT: The article contains data on the observation of su</w:t>
      </w:r>
      <w:r w:rsidRPr="004A47F0">
        <w:rPr>
          <w:rFonts w:eastAsia="Calibri"/>
          <w:sz w:val="22"/>
          <w:szCs w:val="22"/>
          <w:lang w:val="en-US" w:eastAsia="en-US"/>
        </w:rPr>
        <w:t>n</w:t>
      </w:r>
      <w:r w:rsidRPr="004A47F0">
        <w:rPr>
          <w:rFonts w:eastAsia="Calibri"/>
          <w:sz w:val="22"/>
          <w:szCs w:val="22"/>
          <w:lang w:val="en-US" w:eastAsia="en-US"/>
        </w:rPr>
        <w:t>flower fields of FGBNU VNIIMK on species composition of weeds, di</w:t>
      </w:r>
      <w:r w:rsidRPr="004A47F0">
        <w:rPr>
          <w:rFonts w:eastAsia="Calibri"/>
          <w:sz w:val="22"/>
          <w:szCs w:val="22"/>
          <w:lang w:val="en-US" w:eastAsia="en-US"/>
        </w:rPr>
        <w:t>s</w:t>
      </w:r>
      <w:r w:rsidRPr="004A47F0">
        <w:rPr>
          <w:rFonts w:eastAsia="Calibri"/>
          <w:sz w:val="22"/>
          <w:szCs w:val="22"/>
          <w:lang w:val="en-US" w:eastAsia="en-US"/>
        </w:rPr>
        <w:t>tribution areas and density of their populations.</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КЛЮЧЕВЫЕ СЛОВА: подсолнечник, сорняки, злаковые, дв</w:t>
      </w:r>
      <w:r w:rsidRPr="004A47F0">
        <w:rPr>
          <w:rFonts w:eastAsia="Calibri"/>
          <w:sz w:val="22"/>
          <w:szCs w:val="22"/>
          <w:lang w:eastAsia="en-US"/>
        </w:rPr>
        <w:t>у</w:t>
      </w:r>
      <w:r w:rsidRPr="004A47F0">
        <w:rPr>
          <w:rFonts w:eastAsia="Calibri"/>
          <w:sz w:val="22"/>
          <w:szCs w:val="22"/>
          <w:lang w:eastAsia="en-US"/>
        </w:rPr>
        <w:t>дольные, экземпляры, процент, всходы.</w:t>
      </w:r>
    </w:p>
    <w:p w:rsidR="004A47F0" w:rsidRPr="004A47F0" w:rsidRDefault="004A47F0" w:rsidP="004A47F0">
      <w:pPr>
        <w:ind w:firstLine="425"/>
        <w:jc w:val="both"/>
        <w:rPr>
          <w:rFonts w:eastAsia="Calibri"/>
          <w:sz w:val="22"/>
          <w:szCs w:val="22"/>
          <w:lang w:val="en-US" w:eastAsia="en-US"/>
        </w:rPr>
      </w:pPr>
      <w:r w:rsidRPr="004A47F0">
        <w:rPr>
          <w:rFonts w:eastAsia="Calibri"/>
          <w:sz w:val="22"/>
          <w:szCs w:val="22"/>
          <w:lang w:val="en-US" w:eastAsia="en-US"/>
        </w:rPr>
        <w:t>KEYWORDS: sunflower, weeds, cereals, dicots, specimens, pe</w:t>
      </w:r>
      <w:r w:rsidRPr="004A47F0">
        <w:rPr>
          <w:rFonts w:eastAsia="Calibri"/>
          <w:sz w:val="22"/>
          <w:szCs w:val="22"/>
          <w:lang w:val="en-US" w:eastAsia="en-US"/>
        </w:rPr>
        <w:t>r</w:t>
      </w:r>
      <w:r w:rsidRPr="004A47F0">
        <w:rPr>
          <w:rFonts w:eastAsia="Calibri"/>
          <w:sz w:val="22"/>
          <w:szCs w:val="22"/>
          <w:lang w:val="en-US" w:eastAsia="en-US"/>
        </w:rPr>
        <w:t>centage, shoots.</w:t>
      </w:r>
    </w:p>
    <w:p w:rsidR="004A47F0" w:rsidRPr="004A47F0" w:rsidRDefault="004A47F0" w:rsidP="004A47F0">
      <w:pPr>
        <w:ind w:firstLine="425"/>
        <w:jc w:val="both"/>
        <w:rPr>
          <w:rFonts w:eastAsia="Calibri"/>
          <w:sz w:val="22"/>
          <w:szCs w:val="22"/>
          <w:lang w:val="en-US" w:eastAsia="en-US"/>
        </w:rPr>
      </w:pP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Сорные растения в посевах подсолнечника отрицательно вли</w:t>
      </w:r>
      <w:r w:rsidRPr="004A47F0">
        <w:rPr>
          <w:rFonts w:eastAsia="Calibri"/>
          <w:sz w:val="22"/>
          <w:szCs w:val="22"/>
          <w:lang w:eastAsia="en-US"/>
        </w:rPr>
        <w:t>я</w:t>
      </w:r>
      <w:r w:rsidRPr="004A47F0">
        <w:rPr>
          <w:rFonts w:eastAsia="Calibri"/>
          <w:sz w:val="22"/>
          <w:szCs w:val="22"/>
          <w:lang w:eastAsia="en-US"/>
        </w:rPr>
        <w:t>ют на рост и развитие его за счет потребления воды и питательных элементов. У большинства сорняков корневая система развивается быстрее, поэтому они активнее потребляют влагу из корнеобита</w:t>
      </w:r>
      <w:r w:rsidRPr="004A47F0">
        <w:rPr>
          <w:rFonts w:eastAsia="Calibri"/>
          <w:sz w:val="22"/>
          <w:szCs w:val="22"/>
          <w:lang w:eastAsia="en-US"/>
        </w:rPr>
        <w:t>е</w:t>
      </w:r>
      <w:r w:rsidRPr="004A47F0">
        <w:rPr>
          <w:rFonts w:eastAsia="Calibri"/>
          <w:sz w:val="22"/>
          <w:szCs w:val="22"/>
          <w:lang w:eastAsia="en-US"/>
        </w:rPr>
        <w:t>мого слоя подсолнечника. Наряду с влагой, сорняки в большем к</w:t>
      </w:r>
      <w:r w:rsidRPr="004A47F0">
        <w:rPr>
          <w:rFonts w:eastAsia="Calibri"/>
          <w:sz w:val="22"/>
          <w:szCs w:val="22"/>
          <w:lang w:eastAsia="en-US"/>
        </w:rPr>
        <w:t>о</w:t>
      </w:r>
      <w:r w:rsidRPr="004A47F0">
        <w:rPr>
          <w:rFonts w:eastAsia="Calibri"/>
          <w:sz w:val="22"/>
          <w:szCs w:val="22"/>
          <w:lang w:eastAsia="en-US"/>
        </w:rPr>
        <w:t>личестве поглощают из почвы питательные элементы [1].</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Сорные растения имеют особенности, позволяющие им дл</w:t>
      </w:r>
      <w:r w:rsidRPr="004A47F0">
        <w:rPr>
          <w:rFonts w:eastAsia="Calibri"/>
          <w:sz w:val="22"/>
          <w:szCs w:val="22"/>
          <w:lang w:eastAsia="en-US"/>
        </w:rPr>
        <w:t>и</w:t>
      </w:r>
      <w:r w:rsidRPr="004A47F0">
        <w:rPr>
          <w:rFonts w:eastAsia="Calibri"/>
          <w:sz w:val="22"/>
          <w:szCs w:val="22"/>
          <w:lang w:eastAsia="en-US"/>
        </w:rPr>
        <w:t>тельное время произрастать в посевах подсолнечника. К ним отн</w:t>
      </w:r>
      <w:r w:rsidRPr="004A47F0">
        <w:rPr>
          <w:rFonts w:eastAsia="Calibri"/>
          <w:sz w:val="22"/>
          <w:szCs w:val="22"/>
          <w:lang w:eastAsia="en-US"/>
        </w:rPr>
        <w:t>о</w:t>
      </w:r>
      <w:r w:rsidRPr="004A47F0">
        <w:rPr>
          <w:rFonts w:eastAsia="Calibri"/>
          <w:sz w:val="22"/>
          <w:szCs w:val="22"/>
          <w:lang w:eastAsia="en-US"/>
        </w:rPr>
        <w:t>сятся – высокая семенная продуктивность, разнообразные способы распространения, биологические свойства семян, высокая спосо</w:t>
      </w:r>
      <w:r w:rsidRPr="004A47F0">
        <w:rPr>
          <w:rFonts w:eastAsia="Calibri"/>
          <w:sz w:val="22"/>
          <w:szCs w:val="22"/>
          <w:lang w:eastAsia="en-US"/>
        </w:rPr>
        <w:t>б</w:t>
      </w:r>
      <w:r w:rsidRPr="004A47F0">
        <w:rPr>
          <w:rFonts w:eastAsia="Calibri"/>
          <w:sz w:val="22"/>
          <w:szCs w:val="22"/>
          <w:lang w:eastAsia="en-US"/>
        </w:rPr>
        <w:t>ность к вегетативному размножению [2].</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Целью исследований являлось изучение видового состава со</w:t>
      </w:r>
      <w:r w:rsidRPr="004A47F0">
        <w:rPr>
          <w:rFonts w:eastAsia="Calibri"/>
          <w:sz w:val="22"/>
          <w:szCs w:val="22"/>
          <w:lang w:eastAsia="en-US"/>
        </w:rPr>
        <w:t>р</w:t>
      </w:r>
      <w:r w:rsidRPr="004A47F0">
        <w:rPr>
          <w:rFonts w:eastAsia="Calibri"/>
          <w:sz w:val="22"/>
          <w:szCs w:val="22"/>
          <w:lang w:eastAsia="en-US"/>
        </w:rPr>
        <w:t>ных растений через 20,30,40 и 50 дней после появления всходов подсолнечника</w:t>
      </w:r>
      <w:proofErr w:type="gramStart"/>
      <w:r w:rsidRPr="004A47F0">
        <w:rPr>
          <w:rFonts w:eastAsia="Calibri"/>
          <w:sz w:val="22"/>
          <w:szCs w:val="22"/>
          <w:lang w:eastAsia="en-US"/>
        </w:rPr>
        <w:t>.Р</w:t>
      </w:r>
      <w:proofErr w:type="gramEnd"/>
      <w:r w:rsidRPr="004A47F0">
        <w:rPr>
          <w:rFonts w:eastAsia="Calibri"/>
          <w:sz w:val="22"/>
          <w:szCs w:val="22"/>
          <w:lang w:eastAsia="en-US"/>
        </w:rPr>
        <w:t>абота выполнялась во Всероссийском научно-</w:t>
      </w:r>
      <w:r w:rsidRPr="004A47F0">
        <w:rPr>
          <w:rFonts w:eastAsia="Calibri"/>
          <w:sz w:val="22"/>
          <w:szCs w:val="22"/>
          <w:lang w:eastAsia="en-US"/>
        </w:rPr>
        <w:lastRenderedPageBreak/>
        <w:t>исследовательском институте масличных культур им. В.С. Пуст</w:t>
      </w:r>
      <w:r w:rsidRPr="004A47F0">
        <w:rPr>
          <w:rFonts w:eastAsia="Calibri"/>
          <w:sz w:val="22"/>
          <w:szCs w:val="22"/>
          <w:lang w:eastAsia="en-US"/>
        </w:rPr>
        <w:t>о</w:t>
      </w:r>
      <w:r w:rsidRPr="004A47F0">
        <w:rPr>
          <w:rFonts w:eastAsia="Calibri"/>
          <w:sz w:val="22"/>
          <w:szCs w:val="22"/>
          <w:lang w:eastAsia="en-US"/>
        </w:rPr>
        <w:t>войта, в агротехнологическом отделе, под руководством доктора с/х наук Н.М. Тишкова.</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Почва опытного участка – выщелоченный малогумусный сверхмощный чернозем тяжелосуглинистого состава. Гибрид по</w:t>
      </w:r>
      <w:r w:rsidRPr="004A47F0">
        <w:rPr>
          <w:rFonts w:eastAsia="Calibri"/>
          <w:sz w:val="22"/>
          <w:szCs w:val="22"/>
          <w:lang w:eastAsia="en-US"/>
        </w:rPr>
        <w:t>д</w:t>
      </w:r>
      <w:r w:rsidRPr="004A47F0">
        <w:rPr>
          <w:rFonts w:eastAsia="Calibri"/>
          <w:sz w:val="22"/>
          <w:szCs w:val="22"/>
          <w:lang w:eastAsia="en-US"/>
        </w:rPr>
        <w:t>солнечника – Факел. Обследование полей подсолнечника позволило определить видовой состав, ареалы распространения и плотность популяции сорняков. Через 20 дней после появления всходов по</w:t>
      </w:r>
      <w:r w:rsidRPr="004A47F0">
        <w:rPr>
          <w:rFonts w:eastAsia="Calibri"/>
          <w:sz w:val="22"/>
          <w:szCs w:val="22"/>
          <w:lang w:eastAsia="en-US"/>
        </w:rPr>
        <w:t>д</w:t>
      </w:r>
      <w:r w:rsidRPr="004A47F0">
        <w:rPr>
          <w:rFonts w:eastAsia="Calibri"/>
          <w:sz w:val="22"/>
          <w:szCs w:val="22"/>
          <w:lang w:eastAsia="en-US"/>
        </w:rPr>
        <w:t xml:space="preserve">солнечника злаковых сорняков было 20 </w:t>
      </w:r>
      <w:proofErr w:type="gramStart"/>
      <w:r w:rsidRPr="004A47F0">
        <w:rPr>
          <w:rFonts w:eastAsia="Calibri"/>
          <w:sz w:val="22"/>
          <w:szCs w:val="22"/>
          <w:lang w:eastAsia="en-US"/>
        </w:rPr>
        <w:t>шт</w:t>
      </w:r>
      <w:proofErr w:type="gramEnd"/>
      <w:r w:rsidRPr="004A47F0">
        <w:rPr>
          <w:rFonts w:eastAsia="Calibri"/>
          <w:sz w:val="22"/>
          <w:szCs w:val="22"/>
          <w:lang w:eastAsia="en-US"/>
        </w:rPr>
        <w:t>/м</w:t>
      </w:r>
      <w:r w:rsidRPr="004A47F0">
        <w:rPr>
          <w:rFonts w:eastAsia="Calibri"/>
          <w:sz w:val="22"/>
          <w:szCs w:val="22"/>
          <w:vertAlign w:val="superscript"/>
          <w:lang w:eastAsia="en-US"/>
        </w:rPr>
        <w:t>2</w:t>
      </w:r>
      <w:r w:rsidRPr="004A47F0">
        <w:rPr>
          <w:rFonts w:eastAsia="Calibri"/>
          <w:sz w:val="22"/>
          <w:szCs w:val="22"/>
          <w:lang w:eastAsia="en-US"/>
        </w:rPr>
        <w:t xml:space="preserve"> (36%), а двудольных - 37 шт/м</w:t>
      </w:r>
      <w:r w:rsidRPr="004A47F0">
        <w:rPr>
          <w:rFonts w:eastAsia="Calibri"/>
          <w:sz w:val="22"/>
          <w:szCs w:val="22"/>
          <w:vertAlign w:val="superscript"/>
          <w:lang w:eastAsia="en-US"/>
        </w:rPr>
        <w:t>2</w:t>
      </w:r>
      <w:r w:rsidRPr="004A47F0">
        <w:rPr>
          <w:rFonts w:eastAsia="Calibri"/>
          <w:sz w:val="22"/>
          <w:szCs w:val="22"/>
          <w:lang w:eastAsia="en-US"/>
        </w:rPr>
        <w:t xml:space="preserve"> (64%), т.е. в 1,8 раз больше, чем злаковых сорняков. Из двудольных сорняков 13% приходилось на виды щирицы (8 </w:t>
      </w:r>
      <w:proofErr w:type="gramStart"/>
      <w:r w:rsidRPr="004A47F0">
        <w:rPr>
          <w:rFonts w:eastAsia="Calibri"/>
          <w:sz w:val="22"/>
          <w:szCs w:val="22"/>
          <w:lang w:eastAsia="en-US"/>
        </w:rPr>
        <w:t>шт</w:t>
      </w:r>
      <w:proofErr w:type="gramEnd"/>
      <w:r w:rsidRPr="004A47F0">
        <w:rPr>
          <w:rFonts w:eastAsia="Calibri"/>
          <w:sz w:val="22"/>
          <w:szCs w:val="22"/>
          <w:lang w:eastAsia="en-US"/>
        </w:rPr>
        <w:t>/м</w:t>
      </w:r>
      <w:r w:rsidRPr="004A47F0">
        <w:rPr>
          <w:rFonts w:eastAsia="Calibri"/>
          <w:sz w:val="22"/>
          <w:szCs w:val="22"/>
          <w:vertAlign w:val="superscript"/>
          <w:lang w:eastAsia="en-US"/>
        </w:rPr>
        <w:t>2</w:t>
      </w:r>
      <w:r w:rsidRPr="004A47F0">
        <w:rPr>
          <w:rFonts w:eastAsia="Calibri"/>
          <w:sz w:val="22"/>
          <w:szCs w:val="22"/>
          <w:lang w:eastAsia="en-US"/>
        </w:rPr>
        <w:t>), 12% - амброзия полыннолистная (7 шт/м</w:t>
      </w:r>
      <w:r w:rsidRPr="004A47F0">
        <w:rPr>
          <w:rFonts w:eastAsia="Calibri"/>
          <w:sz w:val="22"/>
          <w:szCs w:val="22"/>
          <w:vertAlign w:val="superscript"/>
          <w:lang w:eastAsia="en-US"/>
        </w:rPr>
        <w:t>2</w:t>
      </w:r>
      <w:r w:rsidRPr="004A47F0">
        <w:rPr>
          <w:rFonts w:eastAsia="Calibri"/>
          <w:sz w:val="22"/>
          <w:szCs w:val="22"/>
          <w:lang w:eastAsia="en-US"/>
        </w:rPr>
        <w:t>) и 9% на марь белую и канатник Теофраста (5 шт/м</w:t>
      </w:r>
      <w:r w:rsidRPr="004A47F0">
        <w:rPr>
          <w:rFonts w:eastAsia="Calibri"/>
          <w:sz w:val="22"/>
          <w:szCs w:val="22"/>
          <w:vertAlign w:val="superscript"/>
          <w:lang w:eastAsia="en-US"/>
        </w:rPr>
        <w:t>2</w:t>
      </w:r>
      <w:r w:rsidRPr="004A47F0">
        <w:rPr>
          <w:rFonts w:eastAsia="Calibri"/>
          <w:sz w:val="22"/>
          <w:szCs w:val="22"/>
          <w:lang w:eastAsia="en-US"/>
        </w:rPr>
        <w:t xml:space="preserve">). Через 30 дней количество злаковых сорняков увеличилось с 21 до 35 </w:t>
      </w:r>
      <w:proofErr w:type="gramStart"/>
      <w:r w:rsidRPr="004A47F0">
        <w:rPr>
          <w:rFonts w:eastAsia="Calibri"/>
          <w:sz w:val="22"/>
          <w:szCs w:val="22"/>
          <w:lang w:eastAsia="en-US"/>
        </w:rPr>
        <w:t>шт</w:t>
      </w:r>
      <w:proofErr w:type="gramEnd"/>
      <w:r w:rsidRPr="004A47F0">
        <w:rPr>
          <w:rFonts w:eastAsia="Calibri"/>
          <w:sz w:val="22"/>
          <w:szCs w:val="22"/>
          <w:lang w:eastAsia="en-US"/>
        </w:rPr>
        <w:t>/м</w:t>
      </w:r>
      <w:r w:rsidRPr="004A47F0">
        <w:rPr>
          <w:rFonts w:eastAsia="Calibri"/>
          <w:sz w:val="22"/>
          <w:szCs w:val="22"/>
          <w:vertAlign w:val="superscript"/>
          <w:lang w:eastAsia="en-US"/>
        </w:rPr>
        <w:t>2</w:t>
      </w:r>
      <w:r w:rsidRPr="004A47F0">
        <w:rPr>
          <w:rFonts w:eastAsia="Calibri"/>
          <w:sz w:val="22"/>
          <w:szCs w:val="22"/>
          <w:lang w:eastAsia="en-US"/>
        </w:rPr>
        <w:t xml:space="preserve"> (41%) от обычного числа. Увеличилось количество двудольных сорняков и составило 59%. От общей засоренности через 40 дней после всходов подсолнечника злаковые сорняки увеличились до 58 штук, или 48%, доля двудол</w:t>
      </w:r>
      <w:r w:rsidRPr="004A47F0">
        <w:rPr>
          <w:rFonts w:eastAsia="Calibri"/>
          <w:sz w:val="22"/>
          <w:szCs w:val="22"/>
          <w:lang w:eastAsia="en-US"/>
        </w:rPr>
        <w:t>ь</w:t>
      </w:r>
      <w:r w:rsidRPr="004A47F0">
        <w:rPr>
          <w:rFonts w:eastAsia="Calibri"/>
          <w:sz w:val="22"/>
          <w:szCs w:val="22"/>
          <w:lang w:eastAsia="en-US"/>
        </w:rPr>
        <w:t>ных сорняков уменьшилась на 7%. Последний учет сорняков, пр</w:t>
      </w:r>
      <w:r w:rsidRPr="004A47F0">
        <w:rPr>
          <w:rFonts w:eastAsia="Calibri"/>
          <w:sz w:val="22"/>
          <w:szCs w:val="22"/>
          <w:lang w:eastAsia="en-US"/>
        </w:rPr>
        <w:t>о</w:t>
      </w:r>
      <w:r w:rsidRPr="004A47F0">
        <w:rPr>
          <w:rFonts w:eastAsia="Calibri"/>
          <w:sz w:val="22"/>
          <w:szCs w:val="22"/>
          <w:lang w:eastAsia="en-US"/>
        </w:rPr>
        <w:t xml:space="preserve">веденный через 50 дней после всходов подсолнечника, показал, что общая засоренность уменьшилась с 121 до 90 </w:t>
      </w:r>
      <w:proofErr w:type="gramStart"/>
      <w:r w:rsidRPr="004A47F0">
        <w:rPr>
          <w:rFonts w:eastAsia="Calibri"/>
          <w:sz w:val="22"/>
          <w:szCs w:val="22"/>
          <w:lang w:eastAsia="en-US"/>
        </w:rPr>
        <w:t>шт</w:t>
      </w:r>
      <w:proofErr w:type="gramEnd"/>
      <w:r w:rsidRPr="004A47F0">
        <w:rPr>
          <w:rFonts w:eastAsia="Calibri"/>
          <w:sz w:val="22"/>
          <w:szCs w:val="22"/>
          <w:lang w:eastAsia="en-US"/>
        </w:rPr>
        <w:t>/м</w:t>
      </w:r>
      <w:r w:rsidRPr="004A47F0">
        <w:rPr>
          <w:rFonts w:eastAsia="Calibri"/>
          <w:sz w:val="22"/>
          <w:szCs w:val="22"/>
          <w:vertAlign w:val="superscript"/>
          <w:lang w:eastAsia="en-US"/>
        </w:rPr>
        <w:t>2</w:t>
      </w:r>
      <w:r w:rsidRPr="004A47F0">
        <w:rPr>
          <w:rFonts w:eastAsia="Calibri"/>
          <w:sz w:val="22"/>
          <w:szCs w:val="22"/>
          <w:lang w:eastAsia="en-US"/>
        </w:rPr>
        <w:t xml:space="preserve"> или на 31 э</w:t>
      </w:r>
      <w:r w:rsidRPr="004A47F0">
        <w:rPr>
          <w:rFonts w:eastAsia="Calibri"/>
          <w:sz w:val="22"/>
          <w:szCs w:val="22"/>
          <w:lang w:eastAsia="en-US"/>
        </w:rPr>
        <w:t>к</w:t>
      </w:r>
      <w:r w:rsidRPr="004A47F0">
        <w:rPr>
          <w:rFonts w:eastAsia="Calibri"/>
          <w:sz w:val="22"/>
          <w:szCs w:val="22"/>
          <w:lang w:eastAsia="en-US"/>
        </w:rPr>
        <w:t>земпляр. Однако</w:t>
      </w:r>
      <w:proofErr w:type="gramStart"/>
      <w:r w:rsidRPr="004A47F0">
        <w:rPr>
          <w:rFonts w:eastAsia="Calibri"/>
          <w:sz w:val="22"/>
          <w:szCs w:val="22"/>
          <w:lang w:eastAsia="en-US"/>
        </w:rPr>
        <w:t>,</w:t>
      </w:r>
      <w:proofErr w:type="gramEnd"/>
      <w:r w:rsidRPr="004A47F0">
        <w:rPr>
          <w:rFonts w:eastAsia="Calibri"/>
          <w:sz w:val="22"/>
          <w:szCs w:val="22"/>
          <w:lang w:eastAsia="en-US"/>
        </w:rPr>
        <w:t xml:space="preserve"> количество злаковых сорняков остается высоким и составило 54%, а двудольных сорняков уменьшилось – 46%.</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Формирование агрофитоценоза на полях подсолнечника ВНИИМК при оптимальных сроках посева происходит следующим образом. В первые дни вегетации появляются двудольные сорняки, всходы которых появляются раньше злаковых. Возрастание зас</w:t>
      </w:r>
      <w:r w:rsidRPr="004A47F0">
        <w:rPr>
          <w:rFonts w:eastAsia="Calibri"/>
          <w:sz w:val="22"/>
          <w:szCs w:val="22"/>
          <w:lang w:eastAsia="en-US"/>
        </w:rPr>
        <w:t>о</w:t>
      </w:r>
      <w:r w:rsidRPr="004A47F0">
        <w:rPr>
          <w:rFonts w:eastAsia="Calibri"/>
          <w:sz w:val="22"/>
          <w:szCs w:val="22"/>
          <w:lang w:eastAsia="en-US"/>
        </w:rPr>
        <w:t>ренности подсолнечника происходит до того момента, пока у по</w:t>
      </w:r>
      <w:r w:rsidRPr="004A47F0">
        <w:rPr>
          <w:rFonts w:eastAsia="Calibri"/>
          <w:sz w:val="22"/>
          <w:szCs w:val="22"/>
          <w:lang w:eastAsia="en-US"/>
        </w:rPr>
        <w:t>д</w:t>
      </w:r>
      <w:r w:rsidRPr="004A47F0">
        <w:rPr>
          <w:rFonts w:eastAsia="Calibri"/>
          <w:sz w:val="22"/>
          <w:szCs w:val="22"/>
          <w:lang w:eastAsia="en-US"/>
        </w:rPr>
        <w:t>солнечника не наступает фаза активного роста. В дальнейшем о</w:t>
      </w:r>
      <w:r w:rsidRPr="004A47F0">
        <w:rPr>
          <w:rFonts w:eastAsia="Calibri"/>
          <w:sz w:val="22"/>
          <w:szCs w:val="22"/>
          <w:lang w:eastAsia="en-US"/>
        </w:rPr>
        <w:t>т</w:t>
      </w:r>
      <w:r w:rsidRPr="004A47F0">
        <w:rPr>
          <w:rFonts w:eastAsia="Calibri"/>
          <w:sz w:val="22"/>
          <w:szCs w:val="22"/>
          <w:lang w:eastAsia="en-US"/>
        </w:rPr>
        <w:t>мечено снижение засоренности к 7 неделе, и может достигнуть 30%. Следует сделать вывод, что критический период не является постоянным, а изменяется в зависимости от осадков, температуры воздуха и других факторов.</w:t>
      </w:r>
    </w:p>
    <w:p w:rsidR="004A47F0" w:rsidRPr="004A47F0" w:rsidRDefault="004A47F0" w:rsidP="004A47F0">
      <w:pPr>
        <w:jc w:val="center"/>
        <w:rPr>
          <w:rFonts w:eastAsia="Calibri"/>
          <w:sz w:val="22"/>
          <w:szCs w:val="22"/>
          <w:lang w:eastAsia="en-US"/>
        </w:rPr>
      </w:pPr>
      <w:r w:rsidRPr="004A47F0">
        <w:rPr>
          <w:rFonts w:eastAsia="Calibri"/>
          <w:sz w:val="22"/>
          <w:szCs w:val="22"/>
          <w:lang w:eastAsia="en-US"/>
        </w:rPr>
        <w:t>Список литературы</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1. Дерека Ф.И. Сорняки и борьба с ними. / Ф.И. Дерека / Ма</w:t>
      </w:r>
      <w:r w:rsidRPr="004A47F0">
        <w:rPr>
          <w:rFonts w:eastAsia="Calibri"/>
          <w:sz w:val="22"/>
          <w:szCs w:val="22"/>
          <w:lang w:eastAsia="en-US"/>
        </w:rPr>
        <w:t>й</w:t>
      </w:r>
      <w:r w:rsidRPr="004A47F0">
        <w:rPr>
          <w:rFonts w:eastAsia="Calibri"/>
          <w:sz w:val="22"/>
          <w:szCs w:val="22"/>
          <w:lang w:eastAsia="en-US"/>
        </w:rPr>
        <w:t>коп: ООО качество, 2012. – С. 170.</w:t>
      </w:r>
    </w:p>
    <w:p w:rsidR="00F64289" w:rsidRDefault="004A47F0" w:rsidP="00A8504F">
      <w:pPr>
        <w:ind w:firstLine="425"/>
        <w:jc w:val="both"/>
        <w:rPr>
          <w:rFonts w:eastAsia="Calibri"/>
          <w:sz w:val="22"/>
          <w:szCs w:val="22"/>
          <w:lang w:eastAsia="en-US"/>
        </w:rPr>
      </w:pPr>
      <w:r w:rsidRPr="004A47F0">
        <w:rPr>
          <w:rFonts w:eastAsia="Calibri"/>
          <w:sz w:val="22"/>
          <w:szCs w:val="22"/>
          <w:lang w:eastAsia="en-US"/>
        </w:rPr>
        <w:t>2. Лучинский С.И. Сорняки в посевах подсолнечника / С.И. Лучинский, А.В. Макеев – Краснодар/ Советская Кубань, 2008. - С. 85.</w:t>
      </w:r>
    </w:p>
    <w:p w:rsidR="004A47F0" w:rsidRDefault="004A47F0" w:rsidP="004A47F0">
      <w:pPr>
        <w:widowControl w:val="0"/>
        <w:autoSpaceDE w:val="0"/>
        <w:autoSpaceDN w:val="0"/>
        <w:adjustRightInd w:val="0"/>
        <w:jc w:val="both"/>
        <w:rPr>
          <w:sz w:val="22"/>
          <w:szCs w:val="22"/>
        </w:rPr>
      </w:pPr>
      <w:r>
        <w:rPr>
          <w:sz w:val="22"/>
          <w:szCs w:val="22"/>
        </w:rPr>
        <w:lastRenderedPageBreak/>
        <w:t>УДК 631.41: 631.5 (470.62)</w:t>
      </w:r>
    </w:p>
    <w:p w:rsidR="004A47F0" w:rsidRDefault="004A47F0" w:rsidP="004A47F0">
      <w:pPr>
        <w:widowControl w:val="0"/>
        <w:autoSpaceDE w:val="0"/>
        <w:autoSpaceDN w:val="0"/>
        <w:adjustRightInd w:val="0"/>
        <w:jc w:val="both"/>
        <w:rPr>
          <w:sz w:val="20"/>
          <w:szCs w:val="20"/>
        </w:rPr>
      </w:pPr>
    </w:p>
    <w:p w:rsidR="004A47F0" w:rsidRDefault="004A47F0" w:rsidP="004A47F0">
      <w:pPr>
        <w:widowControl w:val="0"/>
        <w:autoSpaceDE w:val="0"/>
        <w:autoSpaceDN w:val="0"/>
        <w:adjustRightInd w:val="0"/>
        <w:jc w:val="center"/>
        <w:rPr>
          <w:b/>
          <w:sz w:val="24"/>
          <w:szCs w:val="24"/>
        </w:rPr>
      </w:pPr>
      <w:r>
        <w:rPr>
          <w:b/>
          <w:sz w:val="24"/>
          <w:szCs w:val="24"/>
        </w:rPr>
        <w:t xml:space="preserve">Действие технологий выращивания полевых культур на состояние почвенного поглощающего комплекса </w:t>
      </w:r>
      <w:r w:rsidR="00A8504F">
        <w:rPr>
          <w:b/>
          <w:sz w:val="24"/>
          <w:szCs w:val="24"/>
        </w:rPr>
        <w:br/>
      </w:r>
      <w:r>
        <w:rPr>
          <w:b/>
          <w:sz w:val="24"/>
          <w:szCs w:val="24"/>
        </w:rPr>
        <w:t>чернозема выщелоченного западного Предкавказья</w:t>
      </w:r>
    </w:p>
    <w:p w:rsidR="004A47F0" w:rsidRPr="004A47F0" w:rsidRDefault="004A47F0" w:rsidP="004A47F0">
      <w:pPr>
        <w:widowControl w:val="0"/>
        <w:autoSpaceDE w:val="0"/>
        <w:autoSpaceDN w:val="0"/>
        <w:adjustRightInd w:val="0"/>
        <w:jc w:val="center"/>
        <w:rPr>
          <w:b/>
          <w:sz w:val="24"/>
          <w:szCs w:val="24"/>
          <w:lang w:val="en-US"/>
        </w:rPr>
      </w:pPr>
      <w:r>
        <w:rPr>
          <w:b/>
          <w:sz w:val="24"/>
          <w:szCs w:val="24"/>
          <w:lang w:val="en-US"/>
        </w:rPr>
        <w:t xml:space="preserve">Effects of cultivation technologies on the state of the </w:t>
      </w:r>
      <w:r w:rsidR="000B59A4" w:rsidRPr="000B59A4">
        <w:rPr>
          <w:b/>
          <w:sz w:val="24"/>
          <w:szCs w:val="24"/>
          <w:lang w:val="en-US"/>
        </w:rPr>
        <w:br/>
      </w:r>
      <w:r>
        <w:rPr>
          <w:b/>
          <w:sz w:val="24"/>
          <w:szCs w:val="24"/>
          <w:lang w:val="en-US"/>
        </w:rPr>
        <w:t>soil-absorbing complex of the leached black soil on the west pre-Caucasus</w:t>
      </w:r>
    </w:p>
    <w:p w:rsidR="004A47F0" w:rsidRPr="004A47F0" w:rsidRDefault="004A47F0" w:rsidP="004A47F0">
      <w:pPr>
        <w:widowControl w:val="0"/>
        <w:autoSpaceDE w:val="0"/>
        <w:autoSpaceDN w:val="0"/>
        <w:adjustRightInd w:val="0"/>
        <w:jc w:val="center"/>
        <w:rPr>
          <w:b/>
          <w:sz w:val="20"/>
          <w:szCs w:val="20"/>
          <w:lang w:val="en-US"/>
        </w:rPr>
      </w:pPr>
    </w:p>
    <w:p w:rsidR="000B59A4" w:rsidRDefault="004A47F0" w:rsidP="004A47F0">
      <w:pPr>
        <w:widowControl w:val="0"/>
        <w:autoSpaceDE w:val="0"/>
        <w:autoSpaceDN w:val="0"/>
        <w:adjustRightInd w:val="0"/>
        <w:jc w:val="right"/>
        <w:rPr>
          <w:sz w:val="22"/>
          <w:szCs w:val="22"/>
        </w:rPr>
      </w:pPr>
      <w:r>
        <w:rPr>
          <w:sz w:val="22"/>
          <w:szCs w:val="22"/>
        </w:rPr>
        <w:t>Кешишьян В.</w:t>
      </w:r>
      <w:r w:rsidR="003C00E9">
        <w:rPr>
          <w:sz w:val="22"/>
          <w:szCs w:val="22"/>
        </w:rPr>
        <w:t xml:space="preserve"> </w:t>
      </w:r>
      <w:r>
        <w:rPr>
          <w:sz w:val="22"/>
          <w:szCs w:val="22"/>
        </w:rPr>
        <w:t>В.,</w:t>
      </w:r>
    </w:p>
    <w:p w:rsidR="000B59A4" w:rsidRDefault="004A47F0" w:rsidP="004A47F0">
      <w:pPr>
        <w:widowControl w:val="0"/>
        <w:autoSpaceDE w:val="0"/>
        <w:autoSpaceDN w:val="0"/>
        <w:adjustRightInd w:val="0"/>
        <w:jc w:val="right"/>
        <w:rPr>
          <w:sz w:val="22"/>
          <w:szCs w:val="22"/>
        </w:rPr>
      </w:pPr>
      <w:r>
        <w:rPr>
          <w:sz w:val="22"/>
          <w:szCs w:val="22"/>
        </w:rPr>
        <w:t>магистрантка 2-го кур</w:t>
      </w:r>
      <w:r w:rsidR="000B59A4">
        <w:rPr>
          <w:sz w:val="22"/>
          <w:szCs w:val="22"/>
        </w:rPr>
        <w:t>са</w:t>
      </w:r>
    </w:p>
    <w:p w:rsidR="000B59A4" w:rsidRDefault="004A47F0" w:rsidP="004A47F0">
      <w:pPr>
        <w:widowControl w:val="0"/>
        <w:autoSpaceDE w:val="0"/>
        <w:autoSpaceDN w:val="0"/>
        <w:adjustRightInd w:val="0"/>
        <w:jc w:val="right"/>
        <w:rPr>
          <w:sz w:val="22"/>
          <w:szCs w:val="22"/>
        </w:rPr>
      </w:pPr>
      <w:r>
        <w:rPr>
          <w:sz w:val="22"/>
          <w:szCs w:val="22"/>
        </w:rPr>
        <w:t>факультета агрохи</w:t>
      </w:r>
      <w:r w:rsidR="000B59A4">
        <w:rPr>
          <w:sz w:val="22"/>
          <w:szCs w:val="22"/>
        </w:rPr>
        <w:t>мии и защиты растений</w:t>
      </w:r>
    </w:p>
    <w:p w:rsidR="000B59A4" w:rsidRDefault="004A47F0" w:rsidP="004A47F0">
      <w:pPr>
        <w:widowControl w:val="0"/>
        <w:autoSpaceDE w:val="0"/>
        <w:autoSpaceDN w:val="0"/>
        <w:adjustRightInd w:val="0"/>
        <w:jc w:val="right"/>
        <w:rPr>
          <w:sz w:val="22"/>
          <w:szCs w:val="22"/>
        </w:rPr>
      </w:pPr>
      <w:r>
        <w:rPr>
          <w:sz w:val="22"/>
          <w:szCs w:val="22"/>
        </w:rPr>
        <w:t>Ногинова А. В.,</w:t>
      </w:r>
    </w:p>
    <w:p w:rsidR="000B59A4" w:rsidRDefault="004A47F0" w:rsidP="004A47F0">
      <w:pPr>
        <w:widowControl w:val="0"/>
        <w:autoSpaceDE w:val="0"/>
        <w:autoSpaceDN w:val="0"/>
        <w:adjustRightInd w:val="0"/>
        <w:jc w:val="right"/>
        <w:rPr>
          <w:sz w:val="22"/>
          <w:szCs w:val="22"/>
        </w:rPr>
      </w:pPr>
      <w:r>
        <w:rPr>
          <w:sz w:val="22"/>
          <w:szCs w:val="22"/>
        </w:rPr>
        <w:t>студентка 4-го кур</w:t>
      </w:r>
      <w:r w:rsidR="000B59A4">
        <w:rPr>
          <w:sz w:val="22"/>
          <w:szCs w:val="22"/>
        </w:rPr>
        <w:t>са</w:t>
      </w:r>
    </w:p>
    <w:p w:rsidR="000B59A4" w:rsidRDefault="004A47F0" w:rsidP="000B59A4">
      <w:pPr>
        <w:widowControl w:val="0"/>
        <w:autoSpaceDE w:val="0"/>
        <w:autoSpaceDN w:val="0"/>
        <w:adjustRightInd w:val="0"/>
        <w:jc w:val="right"/>
        <w:rPr>
          <w:sz w:val="22"/>
          <w:szCs w:val="22"/>
        </w:rPr>
      </w:pPr>
      <w:r>
        <w:rPr>
          <w:sz w:val="22"/>
          <w:szCs w:val="22"/>
        </w:rPr>
        <w:t>факультета агрохимии и защи</w:t>
      </w:r>
      <w:r w:rsidR="000B59A4">
        <w:rPr>
          <w:sz w:val="22"/>
          <w:szCs w:val="22"/>
        </w:rPr>
        <w:t>ты растений</w:t>
      </w:r>
    </w:p>
    <w:p w:rsidR="000B59A4" w:rsidRDefault="004A47F0" w:rsidP="000B59A4">
      <w:pPr>
        <w:widowControl w:val="0"/>
        <w:autoSpaceDE w:val="0"/>
        <w:autoSpaceDN w:val="0"/>
        <w:adjustRightInd w:val="0"/>
        <w:jc w:val="right"/>
        <w:rPr>
          <w:sz w:val="22"/>
          <w:szCs w:val="22"/>
        </w:rPr>
      </w:pPr>
      <w:r>
        <w:rPr>
          <w:sz w:val="22"/>
          <w:szCs w:val="22"/>
        </w:rPr>
        <w:t>Слюсарев В. Н.,</w:t>
      </w:r>
    </w:p>
    <w:p w:rsidR="000B59A4" w:rsidRDefault="004A47F0" w:rsidP="000B59A4">
      <w:pPr>
        <w:widowControl w:val="0"/>
        <w:autoSpaceDE w:val="0"/>
        <w:autoSpaceDN w:val="0"/>
        <w:adjustRightInd w:val="0"/>
        <w:jc w:val="right"/>
        <w:rPr>
          <w:sz w:val="22"/>
          <w:szCs w:val="22"/>
        </w:rPr>
      </w:pPr>
      <w:r>
        <w:rPr>
          <w:sz w:val="22"/>
          <w:szCs w:val="22"/>
        </w:rPr>
        <w:t>профессор кафедры почвоведения д. с.-х. н., доцент ВАК</w:t>
      </w:r>
    </w:p>
    <w:p w:rsidR="000B59A4" w:rsidRDefault="004A47F0" w:rsidP="000B59A4">
      <w:pPr>
        <w:widowControl w:val="0"/>
        <w:autoSpaceDE w:val="0"/>
        <w:autoSpaceDN w:val="0"/>
        <w:adjustRightInd w:val="0"/>
        <w:jc w:val="right"/>
        <w:rPr>
          <w:sz w:val="22"/>
          <w:szCs w:val="22"/>
        </w:rPr>
      </w:pPr>
      <w:r>
        <w:rPr>
          <w:sz w:val="22"/>
          <w:szCs w:val="22"/>
        </w:rPr>
        <w:t>Кубанский государственный аграрный</w:t>
      </w:r>
    </w:p>
    <w:p w:rsidR="004A47F0" w:rsidRDefault="004A47F0" w:rsidP="000B59A4">
      <w:pPr>
        <w:widowControl w:val="0"/>
        <w:autoSpaceDE w:val="0"/>
        <w:autoSpaceDN w:val="0"/>
        <w:adjustRightInd w:val="0"/>
        <w:jc w:val="right"/>
        <w:rPr>
          <w:sz w:val="22"/>
          <w:szCs w:val="22"/>
        </w:rPr>
      </w:pPr>
      <w:r>
        <w:rPr>
          <w:sz w:val="22"/>
          <w:szCs w:val="22"/>
        </w:rPr>
        <w:t>университет имени И.</w:t>
      </w:r>
      <w:r w:rsidR="000B59A4">
        <w:rPr>
          <w:sz w:val="22"/>
          <w:szCs w:val="22"/>
        </w:rPr>
        <w:t xml:space="preserve"> </w:t>
      </w:r>
      <w:r>
        <w:rPr>
          <w:sz w:val="22"/>
          <w:szCs w:val="22"/>
        </w:rPr>
        <w:t>Т. Трубилина</w:t>
      </w:r>
    </w:p>
    <w:p w:rsidR="004A47F0" w:rsidRDefault="004A47F0" w:rsidP="004A47F0">
      <w:pPr>
        <w:ind w:firstLine="142"/>
        <w:jc w:val="both"/>
        <w:rPr>
          <w:spacing w:val="10"/>
          <w:sz w:val="20"/>
          <w:szCs w:val="20"/>
        </w:rPr>
      </w:pPr>
    </w:p>
    <w:p w:rsidR="004A47F0" w:rsidRDefault="004A47F0" w:rsidP="004A47F0">
      <w:pPr>
        <w:tabs>
          <w:tab w:val="left" w:pos="1890"/>
        </w:tabs>
        <w:ind w:firstLine="425"/>
        <w:jc w:val="both"/>
        <w:rPr>
          <w:sz w:val="22"/>
          <w:szCs w:val="22"/>
        </w:rPr>
      </w:pPr>
      <w:r>
        <w:rPr>
          <w:sz w:val="22"/>
          <w:szCs w:val="22"/>
        </w:rPr>
        <w:t>АННОТАЦИЯ: Изучение физико-химических свойств черн</w:t>
      </w:r>
      <w:r>
        <w:rPr>
          <w:sz w:val="22"/>
          <w:szCs w:val="22"/>
        </w:rPr>
        <w:t>о</w:t>
      </w:r>
      <w:r>
        <w:rPr>
          <w:sz w:val="22"/>
          <w:szCs w:val="22"/>
        </w:rPr>
        <w:t>земов выщелоченных Кубани является важнейшей научно-практической задачей, которое помогает раскрыть направленность антропогенного почвообразовательного процесса. Результаты и</w:t>
      </w:r>
      <w:r>
        <w:rPr>
          <w:sz w:val="22"/>
          <w:szCs w:val="22"/>
        </w:rPr>
        <w:t>с</w:t>
      </w:r>
      <w:r>
        <w:rPr>
          <w:sz w:val="22"/>
          <w:szCs w:val="22"/>
        </w:rPr>
        <w:t>следования изменения состояния почвенно-поглощающего ко</w:t>
      </w:r>
      <w:r>
        <w:rPr>
          <w:sz w:val="22"/>
          <w:szCs w:val="22"/>
        </w:rPr>
        <w:t>м</w:t>
      </w:r>
      <w:r>
        <w:rPr>
          <w:sz w:val="22"/>
          <w:szCs w:val="22"/>
        </w:rPr>
        <w:t>плекса под действием различных технологий выращивания сел</w:t>
      </w:r>
      <w:r>
        <w:rPr>
          <w:sz w:val="22"/>
          <w:szCs w:val="22"/>
        </w:rPr>
        <w:t>ь</w:t>
      </w:r>
      <w:r>
        <w:rPr>
          <w:sz w:val="22"/>
          <w:szCs w:val="22"/>
        </w:rPr>
        <w:t>скохозяйственных культур позволяют разработать пути регулир</w:t>
      </w:r>
      <w:r>
        <w:rPr>
          <w:sz w:val="22"/>
          <w:szCs w:val="22"/>
        </w:rPr>
        <w:t>о</w:t>
      </w:r>
      <w:r>
        <w:rPr>
          <w:sz w:val="22"/>
          <w:szCs w:val="22"/>
        </w:rPr>
        <w:t xml:space="preserve">вания плодородия почвы. </w:t>
      </w:r>
    </w:p>
    <w:p w:rsidR="004A47F0" w:rsidRDefault="004A47F0" w:rsidP="004A47F0">
      <w:pPr>
        <w:tabs>
          <w:tab w:val="left" w:pos="1890"/>
        </w:tabs>
        <w:ind w:firstLine="425"/>
        <w:jc w:val="both"/>
        <w:rPr>
          <w:sz w:val="22"/>
          <w:szCs w:val="22"/>
          <w:lang w:val="en-US"/>
        </w:rPr>
      </w:pPr>
      <w:r>
        <w:rPr>
          <w:sz w:val="22"/>
          <w:szCs w:val="22"/>
          <w:lang w:val="en-US"/>
        </w:rPr>
        <w:t>ABSTRACT: The study of the physical and chemical properties of the leached black soil is the most important scientific and practical task which helps to reveal the direction of the anthropogenic soil formation. The research results on changes of soil-absorbing complex state infl</w:t>
      </w:r>
      <w:r>
        <w:rPr>
          <w:sz w:val="22"/>
          <w:szCs w:val="22"/>
          <w:lang w:val="en-US"/>
        </w:rPr>
        <w:t>u</w:t>
      </w:r>
      <w:r>
        <w:rPr>
          <w:sz w:val="22"/>
          <w:szCs w:val="22"/>
          <w:lang w:val="en-US"/>
        </w:rPr>
        <w:t>enced by various crop cultivation technologies allow us to develop ways to regulate the soil fertility.</w:t>
      </w:r>
    </w:p>
    <w:p w:rsidR="004A47F0" w:rsidRDefault="004A47F0" w:rsidP="004A47F0">
      <w:pPr>
        <w:tabs>
          <w:tab w:val="left" w:pos="1890"/>
        </w:tabs>
        <w:ind w:firstLine="425"/>
        <w:jc w:val="both"/>
        <w:rPr>
          <w:sz w:val="22"/>
          <w:szCs w:val="22"/>
        </w:rPr>
      </w:pPr>
      <w:proofErr w:type="gramStart"/>
      <w:r>
        <w:rPr>
          <w:sz w:val="22"/>
          <w:szCs w:val="22"/>
        </w:rPr>
        <w:t>КЛЮЧЕВЫЕ СЛОВА: чернозем выщелоченный, физико-химические свойства, почвенный поглощающий комплекс, удобр</w:t>
      </w:r>
      <w:r>
        <w:rPr>
          <w:sz w:val="22"/>
          <w:szCs w:val="22"/>
        </w:rPr>
        <w:t>е</w:t>
      </w:r>
      <w:r>
        <w:rPr>
          <w:sz w:val="22"/>
          <w:szCs w:val="22"/>
        </w:rPr>
        <w:t>ния, озимая пшеница, кукуруза, урожайность.</w:t>
      </w:r>
      <w:proofErr w:type="gramEnd"/>
    </w:p>
    <w:p w:rsidR="004A47F0" w:rsidRDefault="004A47F0" w:rsidP="004A47F0">
      <w:pPr>
        <w:tabs>
          <w:tab w:val="left" w:pos="1890"/>
        </w:tabs>
        <w:ind w:firstLine="425"/>
        <w:jc w:val="both"/>
        <w:rPr>
          <w:sz w:val="22"/>
          <w:szCs w:val="22"/>
          <w:lang w:val="en-US"/>
        </w:rPr>
      </w:pPr>
      <w:r>
        <w:rPr>
          <w:sz w:val="22"/>
          <w:szCs w:val="22"/>
          <w:lang w:val="en-US"/>
        </w:rPr>
        <w:lastRenderedPageBreak/>
        <w:t>KEYWORDS: black earth, physical and chemical properties, soil absorption complex, fertilizer, winter wheat, maize, crop yield.</w:t>
      </w:r>
    </w:p>
    <w:p w:rsidR="004A47F0" w:rsidRPr="004A47F0" w:rsidRDefault="004A47F0" w:rsidP="004A47F0">
      <w:pPr>
        <w:tabs>
          <w:tab w:val="left" w:pos="1890"/>
        </w:tabs>
        <w:ind w:firstLine="425"/>
        <w:jc w:val="both"/>
        <w:rPr>
          <w:sz w:val="22"/>
          <w:szCs w:val="22"/>
          <w:lang w:val="en-US"/>
        </w:rPr>
      </w:pPr>
    </w:p>
    <w:p w:rsidR="004A47F0" w:rsidRDefault="004A47F0" w:rsidP="004A47F0">
      <w:pPr>
        <w:tabs>
          <w:tab w:val="left" w:pos="1890"/>
        </w:tabs>
        <w:ind w:firstLine="425"/>
        <w:jc w:val="both"/>
        <w:rPr>
          <w:sz w:val="22"/>
          <w:szCs w:val="22"/>
        </w:rPr>
      </w:pPr>
      <w:r>
        <w:rPr>
          <w:sz w:val="22"/>
          <w:szCs w:val="22"/>
        </w:rPr>
        <w:t>Интенсивное использование черноземов Кубани привела к ди</w:t>
      </w:r>
      <w:r>
        <w:rPr>
          <w:sz w:val="22"/>
          <w:szCs w:val="22"/>
        </w:rPr>
        <w:t>с</w:t>
      </w:r>
      <w:r>
        <w:rPr>
          <w:sz w:val="22"/>
          <w:szCs w:val="22"/>
        </w:rPr>
        <w:t>балансу между потенциальным и эффективным плодородием. При систематическом внесении в почву удобрений она обогащается биофильными элементами и в то же время, вследствие постоянного отчуждения с урожаем органического вещества, происходит потеря гумуса, которая за последние годы превысила 30% от исходного его содержания. Этот процесс сопровождался ухудшением структурн</w:t>
      </w:r>
      <w:r>
        <w:rPr>
          <w:sz w:val="22"/>
          <w:szCs w:val="22"/>
        </w:rPr>
        <w:t>о</w:t>
      </w:r>
      <w:r>
        <w:rPr>
          <w:sz w:val="22"/>
          <w:szCs w:val="22"/>
        </w:rPr>
        <w:t>го состояния, водно-физических свойств, снижением буферной сп</w:t>
      </w:r>
      <w:r>
        <w:rPr>
          <w:sz w:val="22"/>
          <w:szCs w:val="22"/>
        </w:rPr>
        <w:t>о</w:t>
      </w:r>
      <w:r>
        <w:rPr>
          <w:sz w:val="22"/>
          <w:szCs w:val="22"/>
        </w:rPr>
        <w:t>собности, повышением сопротивляемости почвообрабатывающей технике. Применение в таких случаях повышенных доз минерал</w:t>
      </w:r>
      <w:r>
        <w:rPr>
          <w:sz w:val="22"/>
          <w:szCs w:val="22"/>
        </w:rPr>
        <w:t>ь</w:t>
      </w:r>
      <w:r>
        <w:rPr>
          <w:sz w:val="22"/>
          <w:szCs w:val="22"/>
        </w:rPr>
        <w:t>ных удобрений дает очень слабый эффект, и качество с/х продукции в данном случае снижается. Практический мировой опыт показыв</w:t>
      </w:r>
      <w:r>
        <w:rPr>
          <w:sz w:val="22"/>
          <w:szCs w:val="22"/>
        </w:rPr>
        <w:t>а</w:t>
      </w:r>
      <w:r>
        <w:rPr>
          <w:sz w:val="22"/>
          <w:szCs w:val="22"/>
        </w:rPr>
        <w:t>ет, что планировать и получать высокие урожаи сельскохозяйстве</w:t>
      </w:r>
      <w:r>
        <w:rPr>
          <w:sz w:val="22"/>
          <w:szCs w:val="22"/>
        </w:rPr>
        <w:t>н</w:t>
      </w:r>
      <w:r>
        <w:rPr>
          <w:sz w:val="22"/>
          <w:szCs w:val="22"/>
        </w:rPr>
        <w:t>ных культур, базируясь на возрастающей эксплуатации естестве</w:t>
      </w:r>
      <w:r>
        <w:rPr>
          <w:sz w:val="22"/>
          <w:szCs w:val="22"/>
        </w:rPr>
        <w:t>н</w:t>
      </w:r>
      <w:r>
        <w:rPr>
          <w:sz w:val="22"/>
          <w:szCs w:val="22"/>
        </w:rPr>
        <w:t>ного плодородия, дальше нельзя. Это определенно приведет к дал</w:t>
      </w:r>
      <w:r>
        <w:rPr>
          <w:sz w:val="22"/>
          <w:szCs w:val="22"/>
        </w:rPr>
        <w:t>ь</w:t>
      </w:r>
      <w:r>
        <w:rPr>
          <w:sz w:val="22"/>
          <w:szCs w:val="22"/>
        </w:rPr>
        <w:t>нейшему снижению урожаев, значительному их колебанию по г</w:t>
      </w:r>
      <w:r>
        <w:rPr>
          <w:sz w:val="22"/>
          <w:szCs w:val="22"/>
        </w:rPr>
        <w:t>о</w:t>
      </w:r>
      <w:r>
        <w:rPr>
          <w:sz w:val="22"/>
          <w:szCs w:val="22"/>
        </w:rPr>
        <w:t>дам и другим отрицательным явлениям. Поэтому необходима ра</w:t>
      </w:r>
      <w:r>
        <w:rPr>
          <w:sz w:val="22"/>
          <w:szCs w:val="22"/>
        </w:rPr>
        <w:t>з</w:t>
      </w:r>
      <w:r>
        <w:rPr>
          <w:sz w:val="22"/>
          <w:szCs w:val="22"/>
        </w:rPr>
        <w:t>работка научной программы управления плодородием почвы и а</w:t>
      </w:r>
      <w:r>
        <w:rPr>
          <w:sz w:val="22"/>
          <w:szCs w:val="22"/>
        </w:rPr>
        <w:t>г</w:t>
      </w:r>
      <w:r>
        <w:rPr>
          <w:sz w:val="22"/>
          <w:szCs w:val="22"/>
        </w:rPr>
        <w:t xml:space="preserve">робиоценозом, решения проблем экологии. </w:t>
      </w:r>
    </w:p>
    <w:p w:rsidR="004A47F0" w:rsidRDefault="004A47F0" w:rsidP="004A47F0">
      <w:pPr>
        <w:tabs>
          <w:tab w:val="left" w:pos="1890"/>
        </w:tabs>
        <w:ind w:firstLine="425"/>
        <w:jc w:val="both"/>
        <w:rPr>
          <w:sz w:val="22"/>
          <w:szCs w:val="22"/>
        </w:rPr>
      </w:pPr>
      <w:r>
        <w:rPr>
          <w:sz w:val="22"/>
          <w:szCs w:val="22"/>
        </w:rPr>
        <w:t>В связи с этим в КГАУ в 1990-1991 гг. была разработана пр</w:t>
      </w:r>
      <w:r>
        <w:rPr>
          <w:sz w:val="22"/>
          <w:szCs w:val="22"/>
        </w:rPr>
        <w:t>о</w:t>
      </w:r>
      <w:r>
        <w:rPr>
          <w:sz w:val="22"/>
          <w:szCs w:val="22"/>
        </w:rPr>
        <w:t>грамма исследований, а с 1992 года приступили к закладке длител</w:t>
      </w:r>
      <w:r>
        <w:rPr>
          <w:sz w:val="22"/>
          <w:szCs w:val="22"/>
        </w:rPr>
        <w:t>ь</w:t>
      </w:r>
      <w:r>
        <w:rPr>
          <w:sz w:val="22"/>
          <w:szCs w:val="22"/>
        </w:rPr>
        <w:t xml:space="preserve">ного стационарного опыта. </w:t>
      </w:r>
    </w:p>
    <w:p w:rsidR="004A47F0" w:rsidRDefault="004A47F0" w:rsidP="004A47F0">
      <w:pPr>
        <w:tabs>
          <w:tab w:val="left" w:pos="1890"/>
        </w:tabs>
        <w:ind w:firstLine="425"/>
        <w:jc w:val="both"/>
        <w:rPr>
          <w:sz w:val="22"/>
          <w:szCs w:val="22"/>
        </w:rPr>
      </w:pPr>
      <w:r>
        <w:rPr>
          <w:sz w:val="22"/>
          <w:szCs w:val="22"/>
        </w:rPr>
        <w:t>Целью исследований было изучить влияние альтернативных по интенсификации технологий выращивания полевых культур, на ф</w:t>
      </w:r>
      <w:r>
        <w:rPr>
          <w:sz w:val="22"/>
          <w:szCs w:val="22"/>
        </w:rPr>
        <w:t>и</w:t>
      </w:r>
      <w:r>
        <w:rPr>
          <w:sz w:val="22"/>
          <w:szCs w:val="22"/>
        </w:rPr>
        <w:t>зико-химические свойства чернозема выщелоченного слабог</w:t>
      </w:r>
      <w:r>
        <w:rPr>
          <w:sz w:val="22"/>
          <w:szCs w:val="22"/>
        </w:rPr>
        <w:t>у</w:t>
      </w:r>
      <w:r>
        <w:rPr>
          <w:sz w:val="22"/>
          <w:szCs w:val="22"/>
        </w:rPr>
        <w:t>мусного сверхмощного легкоглинистого в системе агроэкологич</w:t>
      </w:r>
      <w:r w:rsidR="000B59A4">
        <w:rPr>
          <w:sz w:val="22"/>
          <w:szCs w:val="22"/>
        </w:rPr>
        <w:t>е</w:t>
      </w:r>
      <w:r w:rsidR="000B59A4">
        <w:rPr>
          <w:sz w:val="22"/>
          <w:szCs w:val="22"/>
        </w:rPr>
        <w:t>ского мониторинга.</w:t>
      </w:r>
    </w:p>
    <w:p w:rsidR="004A47F0" w:rsidRDefault="004A47F0" w:rsidP="004A47F0">
      <w:pPr>
        <w:tabs>
          <w:tab w:val="left" w:pos="1890"/>
        </w:tabs>
        <w:ind w:firstLine="425"/>
        <w:jc w:val="both"/>
        <w:rPr>
          <w:sz w:val="22"/>
          <w:szCs w:val="22"/>
        </w:rPr>
      </w:pPr>
      <w:r>
        <w:rPr>
          <w:sz w:val="22"/>
          <w:szCs w:val="22"/>
        </w:rPr>
        <w:t>Исследования проводили в 11-польном зернотравяно-пропашном севообороте стационарного многофакторного полевого опыта в учебном хозяйстве «Кубань» Кубанского госагроуниверс</w:t>
      </w:r>
      <w:r>
        <w:rPr>
          <w:sz w:val="22"/>
          <w:szCs w:val="22"/>
        </w:rPr>
        <w:t>и</w:t>
      </w:r>
      <w:r>
        <w:rPr>
          <w:sz w:val="22"/>
          <w:szCs w:val="22"/>
        </w:rPr>
        <w:t>тета, территория которого входит в центральную природно-климатическую зону Краснодарского края [1].</w:t>
      </w:r>
    </w:p>
    <w:p w:rsidR="004A47F0" w:rsidRDefault="004A47F0" w:rsidP="004A47F0">
      <w:pPr>
        <w:tabs>
          <w:tab w:val="left" w:pos="1890"/>
        </w:tabs>
        <w:ind w:firstLine="425"/>
        <w:jc w:val="both"/>
        <w:rPr>
          <w:sz w:val="22"/>
          <w:szCs w:val="22"/>
        </w:rPr>
      </w:pPr>
      <w:r>
        <w:rPr>
          <w:sz w:val="22"/>
          <w:szCs w:val="22"/>
        </w:rPr>
        <w:t>В 2016 году на поле № 1  возделывалась – кукуруза на зерно, в 2017 году – озимая пшеница (сорт «Безостая 100»).</w:t>
      </w:r>
    </w:p>
    <w:p w:rsidR="004A47F0" w:rsidRDefault="004A47F0" w:rsidP="004A47F0">
      <w:pPr>
        <w:tabs>
          <w:tab w:val="left" w:pos="1890"/>
        </w:tabs>
        <w:ind w:firstLine="425"/>
        <w:jc w:val="both"/>
        <w:rPr>
          <w:sz w:val="22"/>
          <w:szCs w:val="22"/>
        </w:rPr>
      </w:pPr>
      <w:proofErr w:type="gramStart"/>
      <w:r>
        <w:rPr>
          <w:sz w:val="22"/>
          <w:szCs w:val="22"/>
        </w:rPr>
        <w:lastRenderedPageBreak/>
        <w:t>В связи с изучением четырех факторов в схеме опыта принята специальная  индексация (кодировка) вариантов,  где первая цифра – уровень плодородия почвы – А (0 – исходный, 1 – средний, 2 – повышенный, 3 – высокий), вторая – норма удобрения – В (0 – без удобрения, 1 – минимальная, 2 – средняя, 3 – высокая) третья – с</w:t>
      </w:r>
      <w:r>
        <w:rPr>
          <w:sz w:val="22"/>
          <w:szCs w:val="22"/>
        </w:rPr>
        <w:t>и</w:t>
      </w:r>
      <w:r>
        <w:rPr>
          <w:sz w:val="22"/>
          <w:szCs w:val="22"/>
        </w:rPr>
        <w:t>стема защиты растений – С (0 – без применения средств защиты, 1 – биологическая система защиты растения от вредителей и</w:t>
      </w:r>
      <w:proofErr w:type="gramEnd"/>
      <w:r>
        <w:rPr>
          <w:sz w:val="22"/>
          <w:szCs w:val="22"/>
        </w:rPr>
        <w:t xml:space="preserve"> болезней, 2 – химическая защита от сорняков, 3 – химическая защита раст</w:t>
      </w:r>
      <w:r>
        <w:rPr>
          <w:sz w:val="22"/>
          <w:szCs w:val="22"/>
        </w:rPr>
        <w:t>е</w:t>
      </w:r>
      <w:r>
        <w:rPr>
          <w:sz w:val="22"/>
          <w:szCs w:val="22"/>
        </w:rPr>
        <w:t xml:space="preserve">ний от вредителей, болезней и сорняков) и четвертая – обработка почвы – </w:t>
      </w:r>
      <w:r>
        <w:rPr>
          <w:sz w:val="22"/>
          <w:szCs w:val="22"/>
          <w:lang w:val="en-US"/>
        </w:rPr>
        <w:t>D</w:t>
      </w:r>
      <w:r>
        <w:rPr>
          <w:sz w:val="22"/>
          <w:szCs w:val="22"/>
        </w:rPr>
        <w:t xml:space="preserve"> (1 – безотвальная, 2 – рекомендуемая, 3 – отвальная с глубоким рыхлением до 70 см дважды за ротацию). Отборы по</w:t>
      </w:r>
      <w:r>
        <w:rPr>
          <w:sz w:val="22"/>
          <w:szCs w:val="22"/>
        </w:rPr>
        <w:t>ч</w:t>
      </w:r>
      <w:r>
        <w:rPr>
          <w:sz w:val="22"/>
          <w:szCs w:val="22"/>
        </w:rPr>
        <w:t>венных образцов для изучения физико-химических свойств черн</w:t>
      </w:r>
      <w:r>
        <w:rPr>
          <w:sz w:val="22"/>
          <w:szCs w:val="22"/>
        </w:rPr>
        <w:t>о</w:t>
      </w:r>
      <w:r>
        <w:rPr>
          <w:sz w:val="22"/>
          <w:szCs w:val="22"/>
        </w:rPr>
        <w:t>зема выщелоченного проводили под кукурузой из слоев 0-30 и 30-60 см, под озимой пшеницей – 0-20 и 20-40 см [1].</w:t>
      </w:r>
    </w:p>
    <w:p w:rsidR="004A47F0" w:rsidRDefault="004A47F0" w:rsidP="004A47F0">
      <w:pPr>
        <w:tabs>
          <w:tab w:val="left" w:pos="1890"/>
        </w:tabs>
        <w:ind w:firstLine="425"/>
        <w:jc w:val="both"/>
        <w:rPr>
          <w:sz w:val="22"/>
          <w:szCs w:val="22"/>
        </w:rPr>
      </w:pPr>
      <w:r>
        <w:rPr>
          <w:sz w:val="22"/>
          <w:szCs w:val="22"/>
        </w:rPr>
        <w:t>Исследования проводятся комплексно по двум блокам "почва" и "растение" по общепринятым методикам.</w:t>
      </w:r>
    </w:p>
    <w:p w:rsidR="004A47F0" w:rsidRDefault="004A47F0" w:rsidP="004A47F0">
      <w:pPr>
        <w:tabs>
          <w:tab w:val="left" w:pos="1890"/>
        </w:tabs>
        <w:ind w:firstLine="425"/>
        <w:jc w:val="both"/>
        <w:rPr>
          <w:bCs/>
          <w:sz w:val="22"/>
          <w:szCs w:val="22"/>
        </w:rPr>
      </w:pPr>
      <w:r>
        <w:rPr>
          <w:sz w:val="22"/>
          <w:szCs w:val="22"/>
        </w:rPr>
        <w:t xml:space="preserve">В результате исследований было установлено, что в 2016 году наблюдалось </w:t>
      </w:r>
      <w:r>
        <w:rPr>
          <w:bCs/>
          <w:sz w:val="22"/>
          <w:szCs w:val="22"/>
        </w:rPr>
        <w:t>существенное увеличения суммы обменных основ</w:t>
      </w:r>
      <w:r>
        <w:rPr>
          <w:bCs/>
          <w:sz w:val="22"/>
          <w:szCs w:val="22"/>
        </w:rPr>
        <w:t>а</w:t>
      </w:r>
      <w:r>
        <w:rPr>
          <w:bCs/>
          <w:sz w:val="22"/>
          <w:szCs w:val="22"/>
        </w:rPr>
        <w:t>ний на варианте 222 и уменьшение уровня гидролитической ки</w:t>
      </w:r>
      <w:r>
        <w:rPr>
          <w:bCs/>
          <w:sz w:val="22"/>
          <w:szCs w:val="22"/>
        </w:rPr>
        <w:t>с</w:t>
      </w:r>
      <w:r>
        <w:rPr>
          <w:bCs/>
          <w:sz w:val="22"/>
          <w:szCs w:val="22"/>
        </w:rPr>
        <w:t>лотности на 8% относительно варианта с применением экстенси</w:t>
      </w:r>
      <w:r>
        <w:rPr>
          <w:bCs/>
          <w:sz w:val="22"/>
          <w:szCs w:val="22"/>
        </w:rPr>
        <w:t>в</w:t>
      </w:r>
      <w:r>
        <w:rPr>
          <w:bCs/>
          <w:sz w:val="22"/>
          <w:szCs w:val="22"/>
        </w:rPr>
        <w:t>ной технологии (000). Уровень активной кислотности, на вариантах с применением экологически допустимой и интенсивной технол</w:t>
      </w:r>
      <w:r>
        <w:rPr>
          <w:bCs/>
          <w:sz w:val="22"/>
          <w:szCs w:val="22"/>
        </w:rPr>
        <w:t>о</w:t>
      </w:r>
      <w:r>
        <w:rPr>
          <w:bCs/>
          <w:sz w:val="22"/>
          <w:szCs w:val="22"/>
        </w:rPr>
        <w:t>гий, существенно снизился на 3%. В 2017 году наблюдалось нес</w:t>
      </w:r>
      <w:r>
        <w:rPr>
          <w:bCs/>
          <w:sz w:val="22"/>
          <w:szCs w:val="22"/>
        </w:rPr>
        <w:t>у</w:t>
      </w:r>
      <w:r>
        <w:rPr>
          <w:bCs/>
          <w:sz w:val="22"/>
          <w:szCs w:val="22"/>
        </w:rPr>
        <w:t>щественное увеличение суммы обменных оснований, а также п</w:t>
      </w:r>
      <w:r>
        <w:rPr>
          <w:bCs/>
          <w:sz w:val="22"/>
          <w:szCs w:val="22"/>
        </w:rPr>
        <w:t>о</w:t>
      </w:r>
      <w:r>
        <w:rPr>
          <w:bCs/>
          <w:sz w:val="22"/>
          <w:szCs w:val="22"/>
        </w:rPr>
        <w:t xml:space="preserve">нижение уровня гидролитической кислотности на вариантах 333 и </w:t>
      </w:r>
      <w:r>
        <w:rPr>
          <w:bCs/>
          <w:sz w:val="22"/>
          <w:szCs w:val="22"/>
          <w:lang w:val="en-US"/>
        </w:rPr>
        <w:t>D</w:t>
      </w:r>
      <w:r>
        <w:rPr>
          <w:bCs/>
          <w:sz w:val="22"/>
          <w:szCs w:val="22"/>
          <w:vertAlign w:val="subscript"/>
        </w:rPr>
        <w:t>1</w:t>
      </w:r>
      <w:r>
        <w:rPr>
          <w:bCs/>
          <w:sz w:val="22"/>
          <w:szCs w:val="22"/>
        </w:rPr>
        <w:t xml:space="preserve"> на 9%.</w:t>
      </w:r>
    </w:p>
    <w:p w:rsidR="004A47F0" w:rsidRPr="004A47F0" w:rsidRDefault="004A47F0" w:rsidP="004A47F0">
      <w:pPr>
        <w:tabs>
          <w:tab w:val="left" w:pos="1890"/>
        </w:tabs>
        <w:ind w:firstLine="425"/>
        <w:jc w:val="both"/>
        <w:rPr>
          <w:bCs/>
          <w:sz w:val="22"/>
          <w:szCs w:val="22"/>
        </w:rPr>
      </w:pPr>
      <w:r>
        <w:rPr>
          <w:sz w:val="22"/>
          <w:szCs w:val="22"/>
        </w:rPr>
        <w:t>Таким образом, изучение влияния технологий возделывания полевых культур, на физико-химические свойства чернозема выщ</w:t>
      </w:r>
      <w:r>
        <w:rPr>
          <w:sz w:val="22"/>
          <w:szCs w:val="22"/>
        </w:rPr>
        <w:t>е</w:t>
      </w:r>
      <w:r>
        <w:rPr>
          <w:sz w:val="22"/>
          <w:szCs w:val="22"/>
        </w:rPr>
        <w:t>лоченного по четырем факторам, указали на тенденцию к увелич</w:t>
      </w:r>
      <w:r>
        <w:rPr>
          <w:sz w:val="22"/>
          <w:szCs w:val="22"/>
        </w:rPr>
        <w:t>е</w:t>
      </w:r>
      <w:r>
        <w:rPr>
          <w:sz w:val="22"/>
          <w:szCs w:val="22"/>
        </w:rPr>
        <w:t>нию суммы обменных оснований  по сравнению с вариантом эк</w:t>
      </w:r>
      <w:r>
        <w:rPr>
          <w:sz w:val="22"/>
          <w:szCs w:val="22"/>
        </w:rPr>
        <w:t>с</w:t>
      </w:r>
      <w:r>
        <w:rPr>
          <w:sz w:val="22"/>
          <w:szCs w:val="22"/>
        </w:rPr>
        <w:t xml:space="preserve">тенсивной технологии возделывания. В годы исследования уровень гидролитической и активной кислотности существенно снижался, что объясняется </w:t>
      </w:r>
      <w:r>
        <w:rPr>
          <w:bCs/>
          <w:sz w:val="22"/>
          <w:szCs w:val="22"/>
        </w:rPr>
        <w:t>применением минеральных удобрений в сочетании с высокими нормами навоза.</w:t>
      </w:r>
    </w:p>
    <w:p w:rsidR="004A47F0" w:rsidRPr="004A47F0" w:rsidRDefault="004A47F0" w:rsidP="004A47F0">
      <w:pPr>
        <w:tabs>
          <w:tab w:val="left" w:pos="1890"/>
        </w:tabs>
        <w:ind w:firstLine="425"/>
        <w:jc w:val="both"/>
        <w:rPr>
          <w:sz w:val="22"/>
          <w:szCs w:val="22"/>
        </w:rPr>
      </w:pPr>
    </w:p>
    <w:p w:rsidR="004A47F0" w:rsidRDefault="004A47F0" w:rsidP="004A47F0">
      <w:pPr>
        <w:ind w:firstLine="142"/>
        <w:jc w:val="center"/>
        <w:rPr>
          <w:sz w:val="22"/>
          <w:szCs w:val="22"/>
        </w:rPr>
      </w:pPr>
      <w:r>
        <w:rPr>
          <w:sz w:val="22"/>
          <w:szCs w:val="22"/>
        </w:rPr>
        <w:t>Список литературы</w:t>
      </w:r>
    </w:p>
    <w:p w:rsidR="004A47F0" w:rsidRDefault="004A47F0" w:rsidP="002D7DA5">
      <w:pPr>
        <w:numPr>
          <w:ilvl w:val="0"/>
          <w:numId w:val="4"/>
        </w:numPr>
        <w:ind w:left="0" w:firstLine="426"/>
        <w:jc w:val="both"/>
        <w:rPr>
          <w:sz w:val="22"/>
          <w:szCs w:val="22"/>
        </w:rPr>
      </w:pPr>
      <w:r>
        <w:rPr>
          <w:sz w:val="22"/>
          <w:szCs w:val="22"/>
        </w:rPr>
        <w:t>Cлюcapeв В.</w:t>
      </w:r>
      <w:r w:rsidR="000B59A4">
        <w:rPr>
          <w:sz w:val="22"/>
          <w:szCs w:val="22"/>
        </w:rPr>
        <w:t xml:space="preserve"> </w:t>
      </w:r>
      <w:r>
        <w:rPr>
          <w:sz w:val="22"/>
          <w:szCs w:val="22"/>
        </w:rPr>
        <w:t>Н. Сравнительная характеристика физико-химических свойств чернозема выщелоченного Западного Предка</w:t>
      </w:r>
      <w:r>
        <w:rPr>
          <w:sz w:val="22"/>
          <w:szCs w:val="22"/>
        </w:rPr>
        <w:t>в</w:t>
      </w:r>
      <w:r>
        <w:rPr>
          <w:sz w:val="22"/>
          <w:szCs w:val="22"/>
        </w:rPr>
        <w:lastRenderedPageBreak/>
        <w:t>казья в системе агроэкологического мониторинга / В.Н.Cлюcapeв, A.В. Осипов, Н.Б К</w:t>
      </w:r>
      <w:proofErr w:type="gramStart"/>
      <w:r>
        <w:rPr>
          <w:sz w:val="22"/>
          <w:szCs w:val="22"/>
        </w:rPr>
        <w:t>ap</w:t>
      </w:r>
      <w:proofErr w:type="gramEnd"/>
      <w:r>
        <w:rPr>
          <w:sz w:val="22"/>
          <w:szCs w:val="22"/>
        </w:rPr>
        <w:t>куc // Труды Кубанского ГАУ. - 2011.  Вып.  № 4(31). –  C. 168-171.</w:t>
      </w:r>
    </w:p>
    <w:p w:rsidR="004A47F0" w:rsidRDefault="004A47F0" w:rsidP="004A47F0">
      <w:pPr>
        <w:jc w:val="both"/>
        <w:rPr>
          <w:sz w:val="20"/>
          <w:szCs w:val="20"/>
        </w:rPr>
      </w:pPr>
    </w:p>
    <w:p w:rsidR="00F74B8C" w:rsidRDefault="00F74B8C" w:rsidP="00F64289">
      <w:pPr>
        <w:rPr>
          <w:rFonts w:eastAsia="Calibri"/>
          <w:sz w:val="22"/>
          <w:szCs w:val="22"/>
          <w:lang w:eastAsia="en-US"/>
        </w:rPr>
      </w:pPr>
    </w:p>
    <w:p w:rsidR="000B59A4" w:rsidRDefault="000B59A4" w:rsidP="00F64289">
      <w:pPr>
        <w:rPr>
          <w:rFonts w:eastAsia="Calibri"/>
          <w:sz w:val="22"/>
          <w:szCs w:val="22"/>
          <w:lang w:eastAsia="en-US"/>
        </w:rPr>
      </w:pPr>
    </w:p>
    <w:p w:rsidR="004A47F0" w:rsidRPr="000B59A4" w:rsidRDefault="004A47F0" w:rsidP="004A47F0">
      <w:pPr>
        <w:rPr>
          <w:rFonts w:eastAsia="Calibri"/>
          <w:sz w:val="22"/>
          <w:szCs w:val="22"/>
          <w:lang w:eastAsia="en-US"/>
        </w:rPr>
      </w:pPr>
      <w:r w:rsidRPr="000B59A4">
        <w:rPr>
          <w:rFonts w:eastAsia="Calibri"/>
          <w:sz w:val="22"/>
          <w:szCs w:val="22"/>
          <w:lang w:eastAsia="en-US"/>
        </w:rPr>
        <w:t>УДК 631.452:633.11«324»(470.620)</w:t>
      </w:r>
    </w:p>
    <w:p w:rsidR="004A47F0" w:rsidRPr="004A47F0" w:rsidRDefault="004A47F0" w:rsidP="004A47F0">
      <w:pPr>
        <w:rPr>
          <w:rFonts w:eastAsia="Calibri"/>
          <w:lang w:eastAsia="en-US"/>
        </w:rPr>
      </w:pPr>
    </w:p>
    <w:p w:rsidR="004A47F0" w:rsidRPr="004A47F0" w:rsidRDefault="004A47F0" w:rsidP="004A4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000000"/>
          <w:sz w:val="24"/>
          <w:szCs w:val="24"/>
          <w:shd w:val="clear" w:color="auto" w:fill="FFFFFF"/>
          <w:lang w:eastAsia="en-US"/>
        </w:rPr>
      </w:pPr>
      <w:r w:rsidRPr="004A47F0">
        <w:rPr>
          <w:rFonts w:eastAsia="Calibri"/>
          <w:b/>
          <w:color w:val="000000"/>
          <w:sz w:val="24"/>
          <w:szCs w:val="24"/>
          <w:shd w:val="clear" w:color="auto" w:fill="FFFFFF"/>
          <w:lang w:eastAsia="en-US"/>
        </w:rPr>
        <w:t xml:space="preserve">Гумусное состояние и биологическая активность </w:t>
      </w:r>
      <w:r w:rsidR="00A8504F">
        <w:rPr>
          <w:rFonts w:eastAsia="Calibri"/>
          <w:b/>
          <w:color w:val="000000"/>
          <w:sz w:val="24"/>
          <w:szCs w:val="24"/>
          <w:shd w:val="clear" w:color="auto" w:fill="FFFFFF"/>
          <w:lang w:eastAsia="en-US"/>
        </w:rPr>
        <w:br/>
      </w:r>
      <w:r w:rsidRPr="004A47F0">
        <w:rPr>
          <w:rFonts w:eastAsia="Calibri"/>
          <w:b/>
          <w:color w:val="000000"/>
          <w:sz w:val="24"/>
          <w:szCs w:val="24"/>
          <w:shd w:val="clear" w:color="auto" w:fill="FFFFFF"/>
          <w:lang w:eastAsia="en-US"/>
        </w:rPr>
        <w:t>чернозема выщелоченного при возделывании озимой пшеницы в учхозе "Кубань" города Краснодара</w:t>
      </w:r>
    </w:p>
    <w:p w:rsidR="004A47F0" w:rsidRPr="000B59A4" w:rsidRDefault="004A47F0" w:rsidP="004A4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000000"/>
          <w:sz w:val="24"/>
          <w:szCs w:val="24"/>
          <w:shd w:val="clear" w:color="auto" w:fill="FFFFFF"/>
          <w:lang w:val="en-US" w:eastAsia="en-US"/>
        </w:rPr>
      </w:pPr>
      <w:r w:rsidRPr="004A47F0">
        <w:rPr>
          <w:rFonts w:eastAsia="Calibri"/>
          <w:b/>
          <w:color w:val="000000"/>
          <w:sz w:val="24"/>
          <w:szCs w:val="24"/>
          <w:shd w:val="clear" w:color="auto" w:fill="FFFFFF"/>
          <w:lang w:val="en-US" w:eastAsia="en-US"/>
        </w:rPr>
        <w:t>Humus</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condition</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and</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biological</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activity</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of</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chernozem</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leached</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during</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the</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cultivation</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of</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winter</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wheat</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training</w:t>
      </w:r>
      <w:r w:rsidRPr="008D33CB">
        <w:rPr>
          <w:rFonts w:eastAsia="Calibri"/>
          <w:b/>
          <w:color w:val="000000"/>
          <w:sz w:val="24"/>
          <w:szCs w:val="24"/>
          <w:shd w:val="clear" w:color="auto" w:fill="FFFFFF"/>
          <w:lang w:val="en-US" w:eastAsia="en-US"/>
        </w:rPr>
        <w:t xml:space="preserve"> </w:t>
      </w:r>
      <w:r w:rsidRPr="004A47F0">
        <w:rPr>
          <w:rFonts w:eastAsia="Calibri"/>
          <w:b/>
          <w:color w:val="000000"/>
          <w:sz w:val="24"/>
          <w:szCs w:val="24"/>
          <w:shd w:val="clear" w:color="auto" w:fill="FFFFFF"/>
          <w:lang w:val="en-US" w:eastAsia="en-US"/>
        </w:rPr>
        <w:t>and</w:t>
      </w:r>
      <w:r w:rsidRPr="008D33CB">
        <w:rPr>
          <w:rFonts w:eastAsia="Calibri"/>
          <w:b/>
          <w:color w:val="000000"/>
          <w:sz w:val="24"/>
          <w:szCs w:val="24"/>
          <w:shd w:val="clear" w:color="auto" w:fill="FFFFFF"/>
          <w:lang w:val="en-US" w:eastAsia="en-US"/>
        </w:rPr>
        <w:t xml:space="preserve"> </w:t>
      </w:r>
      <w:r w:rsidR="000B59A4" w:rsidRPr="008D33CB">
        <w:rPr>
          <w:rFonts w:eastAsia="Calibri"/>
          <w:b/>
          <w:color w:val="000000"/>
          <w:sz w:val="24"/>
          <w:szCs w:val="24"/>
          <w:shd w:val="clear" w:color="auto" w:fill="FFFFFF"/>
          <w:lang w:val="en-US" w:eastAsia="en-US"/>
        </w:rPr>
        <w:br/>
      </w:r>
      <w:r w:rsidRPr="004A47F0">
        <w:rPr>
          <w:rFonts w:eastAsia="Calibri"/>
          <w:b/>
          <w:color w:val="000000"/>
          <w:sz w:val="24"/>
          <w:szCs w:val="24"/>
          <w:shd w:val="clear" w:color="auto" w:fill="FFFFFF"/>
          <w:lang w:val="en-US" w:eastAsia="en-US"/>
        </w:rPr>
        <w:t>experimental</w:t>
      </w:r>
      <w:r w:rsidRPr="008D33CB">
        <w:rPr>
          <w:rFonts w:eastAsia="Calibri"/>
          <w:b/>
          <w:color w:val="000000"/>
          <w:sz w:val="24"/>
          <w:szCs w:val="24"/>
          <w:shd w:val="clear" w:color="auto" w:fill="FFFFFF"/>
          <w:lang w:val="en-US" w:eastAsia="en-US"/>
        </w:rPr>
        <w:t xml:space="preserve"> </w:t>
      </w:r>
      <w:r w:rsidR="000B59A4">
        <w:rPr>
          <w:rFonts w:eastAsia="Calibri"/>
          <w:b/>
          <w:color w:val="000000"/>
          <w:sz w:val="24"/>
          <w:szCs w:val="24"/>
          <w:shd w:val="clear" w:color="auto" w:fill="FFFFFF"/>
          <w:lang w:val="en-US" w:eastAsia="en-US"/>
        </w:rPr>
        <w:t>farm Kuban city of Krasnodar</w:t>
      </w:r>
    </w:p>
    <w:p w:rsidR="004A47F0" w:rsidRPr="004A47F0" w:rsidRDefault="004A47F0" w:rsidP="004A4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lang w:val="en-US"/>
        </w:rPr>
      </w:pPr>
    </w:p>
    <w:p w:rsidR="004A47F0" w:rsidRPr="00A8504F" w:rsidRDefault="004A47F0" w:rsidP="004A47F0">
      <w:pPr>
        <w:jc w:val="right"/>
        <w:rPr>
          <w:rFonts w:eastAsia="Calibri"/>
          <w:sz w:val="22"/>
          <w:szCs w:val="22"/>
          <w:lang w:eastAsia="en-US"/>
        </w:rPr>
      </w:pPr>
      <w:r w:rsidRPr="00A8504F">
        <w:rPr>
          <w:rFonts w:eastAsia="Calibri"/>
          <w:sz w:val="22"/>
          <w:szCs w:val="22"/>
          <w:lang w:eastAsia="en-US"/>
        </w:rPr>
        <w:t>Козлова С.</w:t>
      </w:r>
      <w:r w:rsidR="000B59A4" w:rsidRPr="00A8504F">
        <w:rPr>
          <w:rFonts w:eastAsia="Calibri"/>
          <w:sz w:val="22"/>
          <w:szCs w:val="22"/>
          <w:lang w:eastAsia="en-US"/>
        </w:rPr>
        <w:t xml:space="preserve"> </w:t>
      </w:r>
      <w:r w:rsidRPr="00A8504F">
        <w:rPr>
          <w:rFonts w:eastAsia="Calibri"/>
          <w:sz w:val="22"/>
          <w:szCs w:val="22"/>
          <w:lang w:eastAsia="en-US"/>
        </w:rPr>
        <w:t>А., Акимова А.</w:t>
      </w:r>
      <w:r w:rsidR="000B59A4" w:rsidRPr="00A8504F">
        <w:rPr>
          <w:rFonts w:eastAsia="Calibri"/>
          <w:sz w:val="22"/>
          <w:szCs w:val="22"/>
          <w:lang w:eastAsia="en-US"/>
        </w:rPr>
        <w:t xml:space="preserve"> </w:t>
      </w:r>
      <w:r w:rsidRPr="00A8504F">
        <w:rPr>
          <w:rFonts w:eastAsia="Calibri"/>
          <w:sz w:val="22"/>
          <w:szCs w:val="22"/>
          <w:lang w:eastAsia="en-US"/>
        </w:rPr>
        <w:t>А.,</w:t>
      </w:r>
    </w:p>
    <w:p w:rsidR="004A47F0" w:rsidRPr="00A8504F" w:rsidRDefault="004A47F0" w:rsidP="004A47F0">
      <w:pPr>
        <w:jc w:val="right"/>
        <w:rPr>
          <w:rFonts w:eastAsia="Calibri"/>
          <w:sz w:val="22"/>
          <w:szCs w:val="22"/>
          <w:lang w:eastAsia="en-US"/>
        </w:rPr>
      </w:pPr>
      <w:r w:rsidRPr="00A8504F">
        <w:rPr>
          <w:rFonts w:eastAsia="Calibri"/>
          <w:sz w:val="22"/>
          <w:szCs w:val="22"/>
          <w:lang w:eastAsia="en-US"/>
        </w:rPr>
        <w:t>студентки 4-го курса факультета агрохимии и защиты растений</w:t>
      </w:r>
    </w:p>
    <w:p w:rsidR="004A47F0" w:rsidRPr="00A8504F" w:rsidRDefault="004A47F0" w:rsidP="004A47F0">
      <w:pPr>
        <w:jc w:val="right"/>
        <w:rPr>
          <w:rFonts w:eastAsia="Calibri"/>
          <w:sz w:val="22"/>
          <w:szCs w:val="22"/>
          <w:lang w:eastAsia="en-US"/>
        </w:rPr>
      </w:pPr>
      <w:r w:rsidRPr="00A8504F">
        <w:rPr>
          <w:rFonts w:eastAsia="Calibri"/>
          <w:sz w:val="22"/>
          <w:szCs w:val="22"/>
          <w:lang w:eastAsia="en-US"/>
        </w:rPr>
        <w:t>Швец Т.</w:t>
      </w:r>
      <w:r w:rsidR="000B59A4" w:rsidRPr="00A8504F">
        <w:rPr>
          <w:rFonts w:eastAsia="Calibri"/>
          <w:sz w:val="22"/>
          <w:szCs w:val="22"/>
          <w:lang w:eastAsia="en-US"/>
        </w:rPr>
        <w:t xml:space="preserve"> </w:t>
      </w:r>
      <w:r w:rsidRPr="00A8504F">
        <w:rPr>
          <w:rFonts w:eastAsia="Calibri"/>
          <w:sz w:val="22"/>
          <w:szCs w:val="22"/>
          <w:lang w:eastAsia="en-US"/>
        </w:rPr>
        <w:t>В.,</w:t>
      </w:r>
    </w:p>
    <w:p w:rsidR="004A47F0" w:rsidRPr="00A8504F" w:rsidRDefault="004A47F0" w:rsidP="004A47F0">
      <w:pPr>
        <w:jc w:val="right"/>
        <w:rPr>
          <w:rFonts w:eastAsia="Calibri"/>
          <w:sz w:val="22"/>
          <w:szCs w:val="22"/>
          <w:lang w:eastAsia="en-US"/>
        </w:rPr>
      </w:pPr>
      <w:r w:rsidRPr="00A8504F">
        <w:rPr>
          <w:rFonts w:eastAsia="Calibri"/>
          <w:sz w:val="22"/>
          <w:szCs w:val="22"/>
          <w:lang w:eastAsia="en-US"/>
        </w:rPr>
        <w:t>доцент кафедры почвоведения</w:t>
      </w:r>
    </w:p>
    <w:p w:rsidR="000B59A4" w:rsidRPr="00A8504F" w:rsidRDefault="004A47F0" w:rsidP="004A47F0">
      <w:pPr>
        <w:jc w:val="right"/>
        <w:rPr>
          <w:rFonts w:eastAsia="Calibri"/>
          <w:sz w:val="22"/>
          <w:szCs w:val="22"/>
          <w:lang w:eastAsia="en-US"/>
        </w:rPr>
      </w:pPr>
      <w:r w:rsidRPr="00A8504F">
        <w:rPr>
          <w:rFonts w:eastAsia="Calibri"/>
          <w:sz w:val="22"/>
          <w:szCs w:val="22"/>
          <w:lang w:eastAsia="en-US"/>
        </w:rPr>
        <w:t>Куб</w:t>
      </w:r>
      <w:r w:rsidR="000B59A4" w:rsidRPr="00A8504F">
        <w:rPr>
          <w:rFonts w:eastAsia="Calibri"/>
          <w:sz w:val="22"/>
          <w:szCs w:val="22"/>
          <w:lang w:eastAsia="en-US"/>
        </w:rPr>
        <w:t>анский государственный аграрный</w:t>
      </w:r>
    </w:p>
    <w:p w:rsidR="004A47F0" w:rsidRPr="00A8504F" w:rsidRDefault="004A47F0" w:rsidP="004A47F0">
      <w:pPr>
        <w:jc w:val="right"/>
        <w:rPr>
          <w:rFonts w:eastAsia="Calibri"/>
          <w:sz w:val="22"/>
          <w:szCs w:val="22"/>
          <w:lang w:eastAsia="en-US"/>
        </w:rPr>
      </w:pPr>
      <w:r w:rsidRPr="00A8504F">
        <w:rPr>
          <w:rFonts w:eastAsia="Calibri"/>
          <w:sz w:val="22"/>
          <w:szCs w:val="22"/>
          <w:lang w:eastAsia="en-US"/>
        </w:rPr>
        <w:t>у</w:t>
      </w:r>
      <w:r w:rsidR="000B59A4" w:rsidRPr="00A8504F">
        <w:rPr>
          <w:rFonts w:eastAsia="Calibri"/>
          <w:sz w:val="22"/>
          <w:szCs w:val="22"/>
          <w:lang w:eastAsia="en-US"/>
        </w:rPr>
        <w:t>ниверситет имени И.Т. Трубилина</w:t>
      </w:r>
    </w:p>
    <w:p w:rsidR="004A47F0" w:rsidRPr="00A8504F" w:rsidRDefault="004A47F0" w:rsidP="004A47F0">
      <w:pPr>
        <w:ind w:left="425"/>
        <w:jc w:val="both"/>
        <w:rPr>
          <w:rFonts w:eastAsia="Calibri"/>
          <w:sz w:val="20"/>
          <w:szCs w:val="20"/>
          <w:lang w:eastAsia="en-US"/>
        </w:rPr>
      </w:pPr>
    </w:p>
    <w:p w:rsidR="004A47F0" w:rsidRPr="004A47F0" w:rsidRDefault="004A47F0" w:rsidP="004A47F0">
      <w:pPr>
        <w:ind w:firstLine="426"/>
        <w:jc w:val="both"/>
        <w:rPr>
          <w:rFonts w:eastAsia="Calibri"/>
          <w:sz w:val="22"/>
          <w:szCs w:val="22"/>
          <w:lang w:eastAsia="en-US"/>
        </w:rPr>
      </w:pPr>
      <w:r w:rsidRPr="004A47F0">
        <w:rPr>
          <w:rFonts w:eastAsia="Calibri"/>
          <w:sz w:val="22"/>
          <w:szCs w:val="22"/>
          <w:lang w:eastAsia="en-US"/>
        </w:rPr>
        <w:t>АННОТАЦИЯ: изучено изменение содержания общего и ле</w:t>
      </w:r>
      <w:r w:rsidRPr="004A47F0">
        <w:rPr>
          <w:rFonts w:eastAsia="Calibri"/>
          <w:sz w:val="22"/>
          <w:szCs w:val="22"/>
          <w:lang w:eastAsia="en-US"/>
        </w:rPr>
        <w:t>г</w:t>
      </w:r>
      <w:r w:rsidRPr="004A47F0">
        <w:rPr>
          <w:rFonts w:eastAsia="Calibri"/>
          <w:sz w:val="22"/>
          <w:szCs w:val="22"/>
          <w:lang w:eastAsia="en-US"/>
        </w:rPr>
        <w:t>коокисляемого гумуса, потенциальная дыхательная способность почвы в корнеобитаемом слое чернозема выщелоченного под вли</w:t>
      </w:r>
      <w:r w:rsidRPr="004A47F0">
        <w:rPr>
          <w:rFonts w:eastAsia="Calibri"/>
          <w:sz w:val="22"/>
          <w:szCs w:val="22"/>
          <w:lang w:eastAsia="en-US"/>
        </w:rPr>
        <w:t>я</w:t>
      </w:r>
      <w:r w:rsidRPr="004A47F0">
        <w:rPr>
          <w:rFonts w:eastAsia="Calibri"/>
          <w:sz w:val="22"/>
          <w:szCs w:val="22"/>
          <w:lang w:eastAsia="en-US"/>
        </w:rPr>
        <w:t>нием разных технологий возделывания озимой пшеницы на фоне различных обработок почвы.</w:t>
      </w:r>
    </w:p>
    <w:p w:rsidR="004A47F0" w:rsidRPr="004A47F0" w:rsidRDefault="004A47F0" w:rsidP="004A47F0">
      <w:pPr>
        <w:ind w:firstLine="426"/>
        <w:jc w:val="both"/>
        <w:rPr>
          <w:rFonts w:eastAsia="Calibri"/>
          <w:color w:val="000000"/>
          <w:sz w:val="22"/>
          <w:szCs w:val="22"/>
          <w:shd w:val="clear" w:color="auto" w:fill="FFFFFF"/>
          <w:lang w:val="en-US" w:eastAsia="en-US"/>
        </w:rPr>
      </w:pPr>
      <w:r w:rsidRPr="004A47F0">
        <w:rPr>
          <w:rFonts w:eastAsia="Calibri"/>
          <w:color w:val="000000"/>
          <w:sz w:val="22"/>
          <w:szCs w:val="22"/>
          <w:shd w:val="clear" w:color="auto" w:fill="FFFFFF"/>
          <w:lang w:val="en-US" w:eastAsia="en-US"/>
        </w:rPr>
        <w:t>ABSTRACT: the change in the content of total and easily oxidized humus, the potential respiratory capacity of soil in the root layer of the chernozem leached under the influence of different technologies of wi</w:t>
      </w:r>
      <w:r w:rsidRPr="004A47F0">
        <w:rPr>
          <w:rFonts w:eastAsia="Calibri"/>
          <w:color w:val="000000"/>
          <w:sz w:val="22"/>
          <w:szCs w:val="22"/>
          <w:shd w:val="clear" w:color="auto" w:fill="FFFFFF"/>
          <w:lang w:val="en-US" w:eastAsia="en-US"/>
        </w:rPr>
        <w:t>n</w:t>
      </w:r>
      <w:r w:rsidRPr="004A47F0">
        <w:rPr>
          <w:rFonts w:eastAsia="Calibri"/>
          <w:color w:val="000000"/>
          <w:sz w:val="22"/>
          <w:szCs w:val="22"/>
          <w:shd w:val="clear" w:color="auto" w:fill="FFFFFF"/>
          <w:lang w:val="en-US" w:eastAsia="en-US"/>
        </w:rPr>
        <w:t>ter wheat cultivation against a background of various soil treatments has been studied.</w:t>
      </w:r>
    </w:p>
    <w:p w:rsidR="004A47F0" w:rsidRPr="004A47F0" w:rsidRDefault="004A47F0" w:rsidP="004A47F0">
      <w:pPr>
        <w:ind w:firstLine="426"/>
        <w:jc w:val="both"/>
        <w:rPr>
          <w:rFonts w:eastAsia="Calibri"/>
          <w:color w:val="000000"/>
          <w:sz w:val="22"/>
          <w:szCs w:val="22"/>
          <w:shd w:val="clear" w:color="auto" w:fill="FFFFFF"/>
          <w:lang w:eastAsia="en-US"/>
        </w:rPr>
      </w:pPr>
      <w:r w:rsidRPr="004A47F0">
        <w:rPr>
          <w:rFonts w:eastAsia="Calibri"/>
          <w:color w:val="000000"/>
          <w:sz w:val="22"/>
          <w:szCs w:val="22"/>
          <w:shd w:val="clear" w:color="auto" w:fill="FFFFFF"/>
          <w:lang w:eastAsia="en-US"/>
        </w:rPr>
        <w:t>КЛЮЧЕВЫЕ СЛОВА: озимая пшеница, гумус, чернозем в</w:t>
      </w:r>
      <w:r w:rsidRPr="004A47F0">
        <w:rPr>
          <w:rFonts w:eastAsia="Calibri"/>
          <w:color w:val="000000"/>
          <w:sz w:val="22"/>
          <w:szCs w:val="22"/>
          <w:shd w:val="clear" w:color="auto" w:fill="FFFFFF"/>
          <w:lang w:eastAsia="en-US"/>
        </w:rPr>
        <w:t>ы</w:t>
      </w:r>
      <w:r w:rsidRPr="004A47F0">
        <w:rPr>
          <w:rFonts w:eastAsia="Calibri"/>
          <w:color w:val="000000"/>
          <w:sz w:val="22"/>
          <w:szCs w:val="22"/>
          <w:shd w:val="clear" w:color="auto" w:fill="FFFFFF"/>
          <w:lang w:eastAsia="en-US"/>
        </w:rPr>
        <w:t>щелоченный, легкоокисляемый гумус, обработка почвы, потенц</w:t>
      </w:r>
      <w:r w:rsidRPr="004A47F0">
        <w:rPr>
          <w:rFonts w:eastAsia="Calibri"/>
          <w:color w:val="000000"/>
          <w:sz w:val="22"/>
          <w:szCs w:val="22"/>
          <w:shd w:val="clear" w:color="auto" w:fill="FFFFFF"/>
          <w:lang w:eastAsia="en-US"/>
        </w:rPr>
        <w:t>и</w:t>
      </w:r>
      <w:r w:rsidRPr="004A47F0">
        <w:rPr>
          <w:rFonts w:eastAsia="Calibri"/>
          <w:color w:val="000000"/>
          <w:sz w:val="22"/>
          <w:szCs w:val="22"/>
          <w:shd w:val="clear" w:color="auto" w:fill="FFFFFF"/>
          <w:lang w:eastAsia="en-US"/>
        </w:rPr>
        <w:t>альная дыхательная способность, биологическая активность.</w:t>
      </w:r>
    </w:p>
    <w:p w:rsidR="004A47F0" w:rsidRPr="004A47F0" w:rsidRDefault="004A47F0" w:rsidP="004A4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000000"/>
          <w:sz w:val="22"/>
          <w:szCs w:val="22"/>
          <w:lang w:val="en-US"/>
        </w:rPr>
      </w:pPr>
      <w:r w:rsidRPr="004A47F0">
        <w:rPr>
          <w:color w:val="000000"/>
          <w:sz w:val="22"/>
          <w:szCs w:val="22"/>
          <w:lang w:val="en"/>
        </w:rPr>
        <w:t>KEY WORDS: winter wheat, humus, leached chernozem, easily o</w:t>
      </w:r>
      <w:r w:rsidRPr="004A47F0">
        <w:rPr>
          <w:color w:val="000000"/>
          <w:sz w:val="22"/>
          <w:szCs w:val="22"/>
          <w:lang w:val="en"/>
        </w:rPr>
        <w:t>x</w:t>
      </w:r>
      <w:r w:rsidRPr="004A47F0">
        <w:rPr>
          <w:color w:val="000000"/>
          <w:sz w:val="22"/>
          <w:szCs w:val="22"/>
          <w:lang w:val="en"/>
        </w:rPr>
        <w:t xml:space="preserve">idized humus, tillage, </w:t>
      </w:r>
      <w:r w:rsidRPr="004A47F0">
        <w:rPr>
          <w:color w:val="000000"/>
          <w:sz w:val="22"/>
          <w:szCs w:val="22"/>
          <w:shd w:val="clear" w:color="auto" w:fill="FFFFFF"/>
          <w:lang w:val="en-US"/>
        </w:rPr>
        <w:t>potential respiratory ability, biological activity.</w:t>
      </w:r>
    </w:p>
    <w:p w:rsidR="004A47F0" w:rsidRPr="004A47F0" w:rsidRDefault="004A47F0" w:rsidP="004A4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val="en-US"/>
        </w:rPr>
      </w:pPr>
    </w:p>
    <w:p w:rsidR="004A47F0" w:rsidRPr="004A47F0" w:rsidRDefault="004A47F0" w:rsidP="004A47F0">
      <w:pPr>
        <w:ind w:firstLine="426"/>
        <w:jc w:val="both"/>
        <w:rPr>
          <w:rFonts w:eastAsia="Calibri"/>
          <w:sz w:val="22"/>
          <w:szCs w:val="22"/>
          <w:lang w:eastAsia="en-US"/>
        </w:rPr>
      </w:pPr>
      <w:r w:rsidRPr="004A47F0">
        <w:rPr>
          <w:rFonts w:eastAsia="Calibri"/>
          <w:sz w:val="22"/>
          <w:szCs w:val="22"/>
          <w:lang w:eastAsia="en-US"/>
        </w:rPr>
        <w:t>Гумус – совокупный показатель плодородия и продуктивности почв. Содержание его в почве является определяющим фактором продуктивности земледелия и характеризуется большим набором показателей, отражающих количество гумуса в почве, его профил</w:t>
      </w:r>
      <w:r w:rsidRPr="004A47F0">
        <w:rPr>
          <w:rFonts w:eastAsia="Calibri"/>
          <w:sz w:val="22"/>
          <w:szCs w:val="22"/>
          <w:lang w:eastAsia="en-US"/>
        </w:rPr>
        <w:t>ь</w:t>
      </w:r>
      <w:r w:rsidRPr="004A47F0">
        <w:rPr>
          <w:rFonts w:eastAsia="Calibri"/>
          <w:sz w:val="22"/>
          <w:szCs w:val="22"/>
          <w:lang w:eastAsia="en-US"/>
        </w:rPr>
        <w:t>ное распределение, качественный состав [2].</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В полевом стационарном многофакторном опыте на опытном поле КубГАУ, расположенном в 11-польном зернотравяно-пропашном севообороте под озимой пшеницей сорта «Антонина» в 2017 году проводились исследования гумусного состояния и определение потенциальной дыхательной способности чернозема выщелоченного слабогумусного сверхмощного легкоглинистого. Системы основной обработки почвы включали три варианта: безо</w:t>
      </w:r>
      <w:r w:rsidRPr="004A47F0">
        <w:rPr>
          <w:rFonts w:eastAsia="Calibri"/>
          <w:sz w:val="22"/>
          <w:szCs w:val="22"/>
          <w:lang w:eastAsia="en-US"/>
        </w:rPr>
        <w:t>т</w:t>
      </w:r>
      <w:r w:rsidRPr="004A47F0">
        <w:rPr>
          <w:rFonts w:eastAsia="Calibri"/>
          <w:sz w:val="22"/>
          <w:szCs w:val="22"/>
          <w:lang w:eastAsia="en-US"/>
        </w:rPr>
        <w:t xml:space="preserve">вальная, рекомендуемая и отвальная обработка с периодическим глубоким рыхлением. </w:t>
      </w:r>
    </w:p>
    <w:p w:rsidR="004A47F0" w:rsidRPr="004A47F0" w:rsidRDefault="004A47F0" w:rsidP="004A47F0">
      <w:pPr>
        <w:ind w:firstLine="425"/>
        <w:jc w:val="both"/>
        <w:rPr>
          <w:rFonts w:eastAsia="Calibri"/>
          <w:sz w:val="22"/>
          <w:szCs w:val="22"/>
          <w:lang w:eastAsia="en-US"/>
        </w:rPr>
      </w:pPr>
      <w:r w:rsidRPr="004A47F0">
        <w:rPr>
          <w:sz w:val="22"/>
          <w:szCs w:val="22"/>
        </w:rPr>
        <w:t xml:space="preserve">Общий гумус определялся по методу И. В. Тюрина, ГОСТ 26213-94, легкоокисляемые формы гумуса по методу И.В. Тюрина в модификации ГИЗР в пахотном и подпахотном горизонтах. </w:t>
      </w:r>
      <w:r w:rsidRPr="004A47F0">
        <w:rPr>
          <w:rFonts w:eastAsia="Calibri"/>
          <w:color w:val="000000"/>
          <w:sz w:val="22"/>
          <w:szCs w:val="22"/>
          <w:shd w:val="clear" w:color="auto" w:fill="FFFFFF"/>
          <w:lang w:eastAsia="en-US"/>
        </w:rPr>
        <w:t>Опр</w:t>
      </w:r>
      <w:r w:rsidRPr="004A47F0">
        <w:rPr>
          <w:rFonts w:eastAsia="Calibri"/>
          <w:color w:val="000000"/>
          <w:sz w:val="22"/>
          <w:szCs w:val="22"/>
          <w:shd w:val="clear" w:color="auto" w:fill="FFFFFF"/>
          <w:lang w:eastAsia="en-US"/>
        </w:rPr>
        <w:t>е</w:t>
      </w:r>
      <w:r w:rsidRPr="004A47F0">
        <w:rPr>
          <w:rFonts w:eastAsia="Calibri"/>
          <w:color w:val="000000"/>
          <w:sz w:val="22"/>
          <w:szCs w:val="22"/>
          <w:shd w:val="clear" w:color="auto" w:fill="FFFFFF"/>
          <w:lang w:eastAsia="en-US"/>
        </w:rPr>
        <w:t>деление потенциальной дыхательной способности почвы провод</w:t>
      </w:r>
      <w:r w:rsidRPr="004A47F0">
        <w:rPr>
          <w:rFonts w:eastAsia="Calibri"/>
          <w:color w:val="000000"/>
          <w:sz w:val="22"/>
          <w:szCs w:val="22"/>
          <w:shd w:val="clear" w:color="auto" w:fill="FFFFFF"/>
          <w:lang w:eastAsia="en-US"/>
        </w:rPr>
        <w:t>и</w:t>
      </w:r>
      <w:r w:rsidRPr="004A47F0">
        <w:rPr>
          <w:rFonts w:eastAsia="Calibri"/>
          <w:color w:val="000000"/>
          <w:sz w:val="22"/>
          <w:szCs w:val="22"/>
          <w:shd w:val="clear" w:color="auto" w:fill="FFFFFF"/>
          <w:lang w:eastAsia="en-US"/>
        </w:rPr>
        <w:t>лось по методике В. И. Штатнова с суточной экспозицией образцов при оптимальной влажности и температуре в термостате, контрол</w:t>
      </w:r>
      <w:r w:rsidRPr="004A47F0">
        <w:rPr>
          <w:rFonts w:eastAsia="Calibri"/>
          <w:color w:val="000000"/>
          <w:sz w:val="22"/>
          <w:szCs w:val="22"/>
          <w:shd w:val="clear" w:color="auto" w:fill="FFFFFF"/>
          <w:lang w:eastAsia="en-US"/>
        </w:rPr>
        <w:t>и</w:t>
      </w:r>
      <w:r w:rsidRPr="004A47F0">
        <w:rPr>
          <w:rFonts w:eastAsia="Calibri"/>
          <w:color w:val="000000"/>
          <w:sz w:val="22"/>
          <w:szCs w:val="22"/>
          <w:shd w:val="clear" w:color="auto" w:fill="FFFFFF"/>
          <w:lang w:eastAsia="en-US"/>
        </w:rPr>
        <w:t>ровалось выделение СО</w:t>
      </w:r>
      <w:proofErr w:type="gramStart"/>
      <w:r w:rsidRPr="004A47F0">
        <w:rPr>
          <w:rFonts w:eastAsia="Calibri"/>
          <w:color w:val="000000"/>
          <w:sz w:val="22"/>
          <w:szCs w:val="22"/>
          <w:shd w:val="clear" w:color="auto" w:fill="FFFFFF"/>
          <w:vertAlign w:val="subscript"/>
          <w:lang w:eastAsia="en-US"/>
        </w:rPr>
        <w:t>2</w:t>
      </w:r>
      <w:proofErr w:type="gramEnd"/>
      <w:r w:rsidRPr="004A47F0">
        <w:rPr>
          <w:rFonts w:eastAsia="Calibri"/>
          <w:color w:val="000000"/>
          <w:sz w:val="22"/>
          <w:szCs w:val="22"/>
          <w:shd w:val="clear" w:color="auto" w:fill="FFFFFF"/>
          <w:lang w:eastAsia="en-US"/>
        </w:rPr>
        <w:t xml:space="preserve"> в мг на 100 г почвы</w:t>
      </w:r>
      <w:r w:rsidRPr="004A47F0">
        <w:rPr>
          <w:sz w:val="22"/>
          <w:szCs w:val="22"/>
        </w:rPr>
        <w:t>.</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По результатам исследований количество накопленного орг</w:t>
      </w:r>
      <w:r w:rsidRPr="004A47F0">
        <w:rPr>
          <w:rFonts w:eastAsia="Calibri"/>
          <w:sz w:val="22"/>
          <w:szCs w:val="22"/>
          <w:lang w:eastAsia="en-US"/>
        </w:rPr>
        <w:t>а</w:t>
      </w:r>
      <w:r w:rsidRPr="004A47F0">
        <w:rPr>
          <w:rFonts w:eastAsia="Calibri"/>
          <w:sz w:val="22"/>
          <w:szCs w:val="22"/>
          <w:lang w:eastAsia="en-US"/>
        </w:rPr>
        <w:t>нического вещества отличается по обработкам. При безотвальной обработке, когда верхний слой не выносится наружу, максимум г</w:t>
      </w:r>
      <w:r w:rsidRPr="004A47F0">
        <w:rPr>
          <w:rFonts w:eastAsia="Calibri"/>
          <w:sz w:val="22"/>
          <w:szCs w:val="22"/>
          <w:lang w:eastAsia="en-US"/>
        </w:rPr>
        <w:t>у</w:t>
      </w:r>
      <w:r w:rsidRPr="004A47F0">
        <w:rPr>
          <w:rFonts w:eastAsia="Calibri"/>
          <w:sz w:val="22"/>
          <w:szCs w:val="22"/>
          <w:lang w:eastAsia="en-US"/>
        </w:rPr>
        <w:t>муса характерно для вариантов  без удобрений или же с минимал</w:t>
      </w:r>
      <w:r w:rsidRPr="004A47F0">
        <w:rPr>
          <w:rFonts w:eastAsia="Calibri"/>
          <w:sz w:val="22"/>
          <w:szCs w:val="22"/>
          <w:lang w:eastAsia="en-US"/>
        </w:rPr>
        <w:t>ь</w:t>
      </w:r>
      <w:r w:rsidRPr="004A47F0">
        <w:rPr>
          <w:rFonts w:eastAsia="Calibri"/>
          <w:sz w:val="22"/>
          <w:szCs w:val="22"/>
          <w:lang w:eastAsia="en-US"/>
        </w:rPr>
        <w:t>ными дозами. Двойная и, особенно, тройная доза, видимо, угнетает деятельность микроорганизмов, и органического вещества образ</w:t>
      </w:r>
      <w:r w:rsidRPr="004A47F0">
        <w:rPr>
          <w:rFonts w:eastAsia="Calibri"/>
          <w:sz w:val="22"/>
          <w:szCs w:val="22"/>
          <w:lang w:eastAsia="en-US"/>
        </w:rPr>
        <w:t>у</w:t>
      </w:r>
      <w:r w:rsidRPr="004A47F0">
        <w:rPr>
          <w:rFonts w:eastAsia="Calibri"/>
          <w:sz w:val="22"/>
          <w:szCs w:val="22"/>
          <w:lang w:eastAsia="en-US"/>
        </w:rPr>
        <w:t xml:space="preserve">ется меньше. В подпахотном слое данное соотношение сохраняется. При этом доля «молодого» легкоокисляемого гумуса составляет от 72 до 86 %. </w:t>
      </w:r>
    </w:p>
    <w:p w:rsidR="004A47F0" w:rsidRPr="004A47F0" w:rsidRDefault="004A47F0" w:rsidP="004A47F0">
      <w:pPr>
        <w:widowControl w:val="0"/>
        <w:ind w:firstLine="425"/>
        <w:jc w:val="both"/>
        <w:rPr>
          <w:rFonts w:eastAsia="Calibri"/>
          <w:sz w:val="22"/>
          <w:szCs w:val="22"/>
          <w:lang w:eastAsia="en-US"/>
        </w:rPr>
      </w:pPr>
      <w:proofErr w:type="gramStart"/>
      <w:r w:rsidRPr="004A47F0">
        <w:rPr>
          <w:rFonts w:eastAsia="Calibri"/>
          <w:sz w:val="22"/>
          <w:szCs w:val="22"/>
          <w:lang w:eastAsia="en-US"/>
        </w:rPr>
        <w:t>Рекомендуемая обработка, представляющая собой чередование отвальной и безотвальной, способствует максимальному накопл</w:t>
      </w:r>
      <w:r w:rsidRPr="004A47F0">
        <w:rPr>
          <w:rFonts w:eastAsia="Calibri"/>
          <w:sz w:val="22"/>
          <w:szCs w:val="22"/>
          <w:lang w:eastAsia="en-US"/>
        </w:rPr>
        <w:t>е</w:t>
      </w:r>
      <w:r w:rsidRPr="004A47F0">
        <w:rPr>
          <w:rFonts w:eastAsia="Calibri"/>
          <w:sz w:val="22"/>
          <w:szCs w:val="22"/>
          <w:lang w:eastAsia="en-US"/>
        </w:rPr>
        <w:t>нию общего гумуса на фоне одинарных и двойных доз удобрений в пахотном и подпахотном горизонтах.</w:t>
      </w:r>
      <w:proofErr w:type="gramEnd"/>
      <w:r w:rsidRPr="004A47F0">
        <w:rPr>
          <w:rFonts w:eastAsia="Calibri"/>
          <w:sz w:val="22"/>
          <w:szCs w:val="22"/>
          <w:lang w:eastAsia="en-US"/>
        </w:rPr>
        <w:t xml:space="preserve"> Доля легкоокисляемого гум</w:t>
      </w:r>
      <w:r w:rsidRPr="004A47F0">
        <w:rPr>
          <w:rFonts w:eastAsia="Calibri"/>
          <w:sz w:val="22"/>
          <w:szCs w:val="22"/>
          <w:lang w:eastAsia="en-US"/>
        </w:rPr>
        <w:t>у</w:t>
      </w:r>
      <w:r w:rsidRPr="004A47F0">
        <w:rPr>
          <w:rFonts w:eastAsia="Calibri"/>
          <w:sz w:val="22"/>
          <w:szCs w:val="22"/>
          <w:lang w:eastAsia="en-US"/>
        </w:rPr>
        <w:t>са высока и на вариантах с максимальным внесением удобрений составляет более 90%.</w:t>
      </w:r>
    </w:p>
    <w:p w:rsidR="004A47F0" w:rsidRPr="004A47F0" w:rsidRDefault="004A47F0" w:rsidP="004A47F0">
      <w:pPr>
        <w:widowControl w:val="0"/>
        <w:ind w:firstLine="425"/>
        <w:jc w:val="both"/>
        <w:rPr>
          <w:rFonts w:eastAsia="Calibri"/>
          <w:sz w:val="22"/>
          <w:szCs w:val="22"/>
          <w:lang w:eastAsia="en-US"/>
        </w:rPr>
      </w:pPr>
      <w:r w:rsidRPr="004A47F0">
        <w:rPr>
          <w:rFonts w:eastAsia="Calibri"/>
          <w:sz w:val="22"/>
          <w:szCs w:val="22"/>
          <w:lang w:eastAsia="en-US"/>
        </w:rPr>
        <w:t>Отвальная обработка с оборотом пласта способствует усил</w:t>
      </w:r>
      <w:r w:rsidRPr="004A47F0">
        <w:rPr>
          <w:rFonts w:eastAsia="Calibri"/>
          <w:sz w:val="22"/>
          <w:szCs w:val="22"/>
          <w:lang w:eastAsia="en-US"/>
        </w:rPr>
        <w:t>е</w:t>
      </w:r>
      <w:r w:rsidRPr="004A47F0">
        <w:rPr>
          <w:rFonts w:eastAsia="Calibri"/>
          <w:sz w:val="22"/>
          <w:szCs w:val="22"/>
          <w:lang w:eastAsia="en-US"/>
        </w:rPr>
        <w:lastRenderedPageBreak/>
        <w:t>нию интенсивности минерализации, перемешиванию верхних гор</w:t>
      </w:r>
      <w:r w:rsidRPr="004A47F0">
        <w:rPr>
          <w:rFonts w:eastAsia="Calibri"/>
          <w:sz w:val="22"/>
          <w:szCs w:val="22"/>
          <w:lang w:eastAsia="en-US"/>
        </w:rPr>
        <w:t>и</w:t>
      </w:r>
      <w:r w:rsidRPr="004A47F0">
        <w:rPr>
          <w:rFonts w:eastAsia="Calibri"/>
          <w:sz w:val="22"/>
          <w:szCs w:val="22"/>
          <w:lang w:eastAsia="en-US"/>
        </w:rPr>
        <w:t>зонтов, на варианте без удобрений и при высоких дозах удобрений показывает более высокие значения общего гумуса, чем при н</w:t>
      </w:r>
      <w:r w:rsidRPr="004A47F0">
        <w:rPr>
          <w:rFonts w:eastAsia="Calibri"/>
          <w:sz w:val="22"/>
          <w:szCs w:val="22"/>
          <w:lang w:eastAsia="en-US"/>
        </w:rPr>
        <w:t>е</w:t>
      </w:r>
      <w:r w:rsidRPr="004A47F0">
        <w:rPr>
          <w:rFonts w:eastAsia="Calibri"/>
          <w:sz w:val="22"/>
          <w:szCs w:val="22"/>
          <w:lang w:eastAsia="en-US"/>
        </w:rPr>
        <w:t xml:space="preserve">больших дозах. Двойные и тройные дозы также благоприятствовали образованию большого количества «молодого» гумуса (80-85 %). </w:t>
      </w:r>
    </w:p>
    <w:p w:rsidR="004A47F0" w:rsidRPr="004A47F0" w:rsidRDefault="004A47F0" w:rsidP="004A47F0">
      <w:pPr>
        <w:ind w:firstLine="426"/>
        <w:jc w:val="both"/>
        <w:rPr>
          <w:rFonts w:eastAsia="Calibri"/>
          <w:sz w:val="22"/>
          <w:szCs w:val="22"/>
          <w:lang w:eastAsia="en-US"/>
        </w:rPr>
      </w:pPr>
      <w:r w:rsidRPr="004A47F0">
        <w:rPr>
          <w:rFonts w:eastAsia="Calibri"/>
          <w:sz w:val="22"/>
          <w:szCs w:val="22"/>
          <w:lang w:eastAsia="en-US"/>
        </w:rPr>
        <w:t>Очевидно, что рекомендуемая и, особенно, безотвальная обр</w:t>
      </w:r>
      <w:r w:rsidRPr="004A47F0">
        <w:rPr>
          <w:rFonts w:eastAsia="Calibri"/>
          <w:sz w:val="22"/>
          <w:szCs w:val="22"/>
          <w:lang w:eastAsia="en-US"/>
        </w:rPr>
        <w:t>а</w:t>
      </w:r>
      <w:r w:rsidRPr="004A47F0">
        <w:rPr>
          <w:rFonts w:eastAsia="Calibri"/>
          <w:sz w:val="22"/>
          <w:szCs w:val="22"/>
          <w:lang w:eastAsia="en-US"/>
        </w:rPr>
        <w:t>ботка почвы способствуют наибольшей активности микрооргани</w:t>
      </w:r>
      <w:r w:rsidRPr="004A47F0">
        <w:rPr>
          <w:rFonts w:eastAsia="Calibri"/>
          <w:sz w:val="22"/>
          <w:szCs w:val="22"/>
          <w:lang w:eastAsia="en-US"/>
        </w:rPr>
        <w:t>з</w:t>
      </w:r>
      <w:r w:rsidRPr="004A47F0">
        <w:rPr>
          <w:rFonts w:eastAsia="Calibri"/>
          <w:sz w:val="22"/>
          <w:szCs w:val="22"/>
          <w:lang w:eastAsia="en-US"/>
        </w:rPr>
        <w:t>мов почвы и увеличению их биологической активности [3]. Отвал</w:t>
      </w:r>
      <w:r w:rsidRPr="004A47F0">
        <w:rPr>
          <w:rFonts w:eastAsia="Calibri"/>
          <w:sz w:val="22"/>
          <w:szCs w:val="22"/>
          <w:lang w:eastAsia="en-US"/>
        </w:rPr>
        <w:t>ь</w:t>
      </w:r>
      <w:r w:rsidRPr="004A47F0">
        <w:rPr>
          <w:rFonts w:eastAsia="Calibri"/>
          <w:sz w:val="22"/>
          <w:szCs w:val="22"/>
          <w:lang w:eastAsia="en-US"/>
        </w:rPr>
        <w:t>ная обработка при использовании любой технологии возделывания культуры способствовала снижению показателя ПДС, по-видимому, за счет перемешивания верхних горизонтов почвы и выноса ана</w:t>
      </w:r>
      <w:r w:rsidRPr="004A47F0">
        <w:rPr>
          <w:rFonts w:eastAsia="Calibri"/>
          <w:sz w:val="22"/>
          <w:szCs w:val="22"/>
          <w:lang w:eastAsia="en-US"/>
        </w:rPr>
        <w:t>э</w:t>
      </w:r>
      <w:r w:rsidRPr="004A47F0">
        <w:rPr>
          <w:rFonts w:eastAsia="Calibri"/>
          <w:sz w:val="22"/>
          <w:szCs w:val="22"/>
          <w:lang w:eastAsia="en-US"/>
        </w:rPr>
        <w:t>робных микроорганизмов на поверхность [1].</w:t>
      </w:r>
    </w:p>
    <w:p w:rsidR="004A47F0" w:rsidRPr="004A47F0" w:rsidRDefault="004A47F0" w:rsidP="004A47F0">
      <w:pPr>
        <w:ind w:firstLine="426"/>
        <w:jc w:val="both"/>
        <w:rPr>
          <w:rFonts w:eastAsia="Calibri"/>
          <w:sz w:val="22"/>
          <w:szCs w:val="22"/>
          <w:lang w:eastAsia="en-US"/>
        </w:rPr>
      </w:pPr>
      <w:r w:rsidRPr="004A47F0">
        <w:rPr>
          <w:rFonts w:eastAsia="Calibri"/>
          <w:sz w:val="22"/>
          <w:szCs w:val="22"/>
          <w:lang w:eastAsia="en-US"/>
        </w:rPr>
        <w:t>Что касается технологии возделывания культуры, следует о</w:t>
      </w:r>
      <w:r w:rsidRPr="004A47F0">
        <w:rPr>
          <w:rFonts w:eastAsia="Calibri"/>
          <w:sz w:val="22"/>
          <w:szCs w:val="22"/>
          <w:lang w:eastAsia="en-US"/>
        </w:rPr>
        <w:t>т</w:t>
      </w:r>
      <w:r w:rsidRPr="004A47F0">
        <w:rPr>
          <w:rFonts w:eastAsia="Calibri"/>
          <w:sz w:val="22"/>
          <w:szCs w:val="22"/>
          <w:lang w:eastAsia="en-US"/>
        </w:rPr>
        <w:t>метить, что наибольшей потенциальной дыхательной способностью характеризуются варианты с применением беспестицидной (111) и экологически допустимой технологий (222). Высокие дозы внос</w:t>
      </w:r>
      <w:r w:rsidRPr="004A47F0">
        <w:rPr>
          <w:rFonts w:eastAsia="Calibri"/>
          <w:sz w:val="22"/>
          <w:szCs w:val="22"/>
          <w:lang w:eastAsia="en-US"/>
        </w:rPr>
        <w:t>и</w:t>
      </w:r>
      <w:r w:rsidRPr="004A47F0">
        <w:rPr>
          <w:rFonts w:eastAsia="Calibri"/>
          <w:sz w:val="22"/>
          <w:szCs w:val="22"/>
          <w:lang w:eastAsia="en-US"/>
        </w:rPr>
        <w:t>мых удобрений и, особенно, средств защиты растений, приводили к угнетению жизнедеятельности микроорганизмов почвы и сниж</w:t>
      </w:r>
      <w:r w:rsidRPr="004A47F0">
        <w:rPr>
          <w:rFonts w:eastAsia="Calibri"/>
          <w:sz w:val="22"/>
          <w:szCs w:val="22"/>
          <w:lang w:eastAsia="en-US"/>
        </w:rPr>
        <w:t>е</w:t>
      </w:r>
      <w:r w:rsidRPr="004A47F0">
        <w:rPr>
          <w:rFonts w:eastAsia="Calibri"/>
          <w:sz w:val="22"/>
          <w:szCs w:val="22"/>
          <w:lang w:eastAsia="en-US"/>
        </w:rPr>
        <w:t>нию показателя ПДС.</w:t>
      </w:r>
    </w:p>
    <w:p w:rsidR="004A47F0" w:rsidRPr="004A47F0" w:rsidRDefault="004A47F0" w:rsidP="004A47F0">
      <w:pPr>
        <w:ind w:firstLine="426"/>
        <w:jc w:val="both"/>
        <w:rPr>
          <w:rFonts w:eastAsia="Calibri"/>
          <w:sz w:val="22"/>
          <w:szCs w:val="22"/>
          <w:lang w:eastAsia="en-US"/>
        </w:rPr>
      </w:pPr>
      <w:r w:rsidRPr="004A47F0">
        <w:rPr>
          <w:rFonts w:eastAsia="Calibri"/>
          <w:sz w:val="22"/>
          <w:szCs w:val="22"/>
          <w:lang w:eastAsia="en-US"/>
        </w:rPr>
        <w:t>Таким образом, в условиях произрастания озимой пшеницы, оптимальное соотношение между аэробными и анаэробными по</w:t>
      </w:r>
      <w:r w:rsidRPr="004A47F0">
        <w:rPr>
          <w:rFonts w:eastAsia="Calibri"/>
          <w:sz w:val="22"/>
          <w:szCs w:val="22"/>
          <w:lang w:eastAsia="en-US"/>
        </w:rPr>
        <w:t>ч</w:t>
      </w:r>
      <w:r w:rsidRPr="004A47F0">
        <w:rPr>
          <w:rFonts w:eastAsia="Calibri"/>
          <w:sz w:val="22"/>
          <w:szCs w:val="22"/>
          <w:lang w:eastAsia="en-US"/>
        </w:rPr>
        <w:t>венными микроорганизмами обеспечивало применение умеренных доз удобрений и средств защиты растений на фоне щадящей обр</w:t>
      </w:r>
      <w:r w:rsidRPr="004A47F0">
        <w:rPr>
          <w:rFonts w:eastAsia="Calibri"/>
          <w:sz w:val="22"/>
          <w:szCs w:val="22"/>
          <w:lang w:eastAsia="en-US"/>
        </w:rPr>
        <w:t>а</w:t>
      </w:r>
      <w:r w:rsidRPr="004A47F0">
        <w:rPr>
          <w:rFonts w:eastAsia="Calibri"/>
          <w:sz w:val="22"/>
          <w:szCs w:val="22"/>
          <w:lang w:eastAsia="en-US"/>
        </w:rPr>
        <w:t>ботки почвы.</w:t>
      </w:r>
    </w:p>
    <w:p w:rsidR="004A47F0" w:rsidRPr="004A47F0" w:rsidRDefault="004A47F0" w:rsidP="004A47F0">
      <w:pPr>
        <w:ind w:firstLine="426"/>
        <w:jc w:val="both"/>
        <w:rPr>
          <w:rFonts w:eastAsia="Calibri"/>
          <w:sz w:val="22"/>
          <w:szCs w:val="22"/>
          <w:lang w:eastAsia="en-US"/>
        </w:rPr>
      </w:pPr>
    </w:p>
    <w:p w:rsidR="004A47F0" w:rsidRPr="004A47F0" w:rsidRDefault="004A47F0" w:rsidP="000B59A4">
      <w:pPr>
        <w:contextualSpacing/>
        <w:jc w:val="center"/>
        <w:rPr>
          <w:rFonts w:eastAsia="Calibri"/>
          <w:sz w:val="22"/>
          <w:szCs w:val="22"/>
          <w:lang w:eastAsia="en-US"/>
        </w:rPr>
      </w:pPr>
      <w:r w:rsidRPr="004A47F0">
        <w:rPr>
          <w:rFonts w:eastAsia="Calibri"/>
          <w:sz w:val="22"/>
          <w:szCs w:val="22"/>
          <w:lang w:eastAsia="en-US"/>
        </w:rPr>
        <w:t>Список литературы</w:t>
      </w:r>
    </w:p>
    <w:p w:rsidR="004A47F0" w:rsidRPr="004A47F0" w:rsidRDefault="004A47F0" w:rsidP="004A47F0">
      <w:pPr>
        <w:widowControl w:val="0"/>
        <w:tabs>
          <w:tab w:val="left" w:pos="-1843"/>
        </w:tabs>
        <w:ind w:firstLine="426"/>
        <w:jc w:val="both"/>
        <w:rPr>
          <w:rFonts w:eastAsia="Calibri"/>
          <w:sz w:val="22"/>
          <w:szCs w:val="22"/>
          <w:lang w:eastAsia="en-US"/>
        </w:rPr>
      </w:pPr>
      <w:r w:rsidRPr="004A47F0">
        <w:rPr>
          <w:rFonts w:eastAsia="Calibri"/>
          <w:sz w:val="22"/>
          <w:szCs w:val="22"/>
          <w:lang w:eastAsia="en-US"/>
        </w:rPr>
        <w:t xml:space="preserve">1. Онищенко Л. М. </w:t>
      </w:r>
      <w:proofErr w:type="gramStart"/>
      <w:r w:rsidRPr="004A47F0">
        <w:rPr>
          <w:rFonts w:eastAsia="Calibri"/>
          <w:sz w:val="22"/>
          <w:szCs w:val="22"/>
          <w:lang w:eastAsia="en-US"/>
        </w:rPr>
        <w:t>Чернозем</w:t>
      </w:r>
      <w:proofErr w:type="gramEnd"/>
      <w:r w:rsidRPr="004A47F0">
        <w:rPr>
          <w:rFonts w:eastAsia="Calibri"/>
          <w:sz w:val="22"/>
          <w:szCs w:val="22"/>
          <w:lang w:eastAsia="en-US"/>
        </w:rPr>
        <w:t xml:space="preserve"> выщелоченный Западного Пре</w:t>
      </w:r>
      <w:r w:rsidRPr="004A47F0">
        <w:rPr>
          <w:rFonts w:eastAsia="Calibri"/>
          <w:sz w:val="22"/>
          <w:szCs w:val="22"/>
          <w:lang w:eastAsia="en-US"/>
        </w:rPr>
        <w:t>д</w:t>
      </w:r>
      <w:r w:rsidRPr="004A47F0">
        <w:rPr>
          <w:rFonts w:eastAsia="Calibri"/>
          <w:sz w:val="22"/>
          <w:szCs w:val="22"/>
          <w:lang w:eastAsia="en-US"/>
        </w:rPr>
        <w:t>кавказья: некоторые вопросы происхождения и современное сост</w:t>
      </w:r>
      <w:r w:rsidRPr="004A47F0">
        <w:rPr>
          <w:rFonts w:eastAsia="Calibri"/>
          <w:sz w:val="22"/>
          <w:szCs w:val="22"/>
          <w:lang w:eastAsia="en-US"/>
        </w:rPr>
        <w:t>о</w:t>
      </w:r>
      <w:r w:rsidRPr="004A47F0">
        <w:rPr>
          <w:rFonts w:eastAsia="Calibri"/>
          <w:sz w:val="22"/>
          <w:szCs w:val="22"/>
          <w:lang w:eastAsia="en-US"/>
        </w:rPr>
        <w:t>яние / Л. М. Онищенко, В. Н. Слюсарев, Т. В. Швец // Тр. / КубГАУ. – 2013. – Вып. № 42. – С. 74–80.</w:t>
      </w:r>
    </w:p>
    <w:p w:rsidR="004A47F0" w:rsidRPr="004A47F0" w:rsidRDefault="004A47F0" w:rsidP="004A47F0">
      <w:pPr>
        <w:widowControl w:val="0"/>
        <w:tabs>
          <w:tab w:val="left" w:pos="-1843"/>
        </w:tabs>
        <w:ind w:firstLine="426"/>
        <w:jc w:val="both"/>
        <w:rPr>
          <w:rFonts w:eastAsia="Calibri"/>
          <w:sz w:val="22"/>
          <w:szCs w:val="22"/>
          <w:lang w:eastAsia="en-US"/>
        </w:rPr>
      </w:pPr>
      <w:r w:rsidRPr="004A47F0">
        <w:rPr>
          <w:rFonts w:eastAsia="Calibri"/>
          <w:sz w:val="22"/>
          <w:szCs w:val="22"/>
          <w:lang w:eastAsia="en-US"/>
        </w:rPr>
        <w:t>2. Швец Т. В. Гумусное состояние чернозема выщелоченного в агроэкологическом мониторинге равнинного агроландшафта Запа</w:t>
      </w:r>
      <w:r w:rsidRPr="004A47F0">
        <w:rPr>
          <w:rFonts w:eastAsia="Calibri"/>
          <w:sz w:val="22"/>
          <w:szCs w:val="22"/>
          <w:lang w:eastAsia="en-US"/>
        </w:rPr>
        <w:t>д</w:t>
      </w:r>
      <w:r w:rsidRPr="004A47F0">
        <w:rPr>
          <w:rFonts w:eastAsia="Calibri"/>
          <w:sz w:val="22"/>
          <w:szCs w:val="22"/>
          <w:lang w:eastAsia="en-US"/>
        </w:rPr>
        <w:t>ного Предкавказья / Т. В. Швец, Е. Е. Баракина // Тр. / КубГАУ. – 2012. – Вып. № 30. – С. 114–118.</w:t>
      </w:r>
    </w:p>
    <w:p w:rsidR="004A47F0" w:rsidRPr="004A47F0" w:rsidRDefault="004A47F0" w:rsidP="004A47F0">
      <w:pPr>
        <w:ind w:firstLine="426"/>
        <w:jc w:val="both"/>
        <w:rPr>
          <w:bCs/>
          <w:sz w:val="22"/>
          <w:szCs w:val="22"/>
        </w:rPr>
      </w:pPr>
      <w:r w:rsidRPr="004A47F0">
        <w:rPr>
          <w:bCs/>
          <w:sz w:val="22"/>
          <w:szCs w:val="22"/>
        </w:rPr>
        <w:t>3. Шкарупа М. В. Содержание общего и легкоокисляемого г</w:t>
      </w:r>
      <w:r w:rsidRPr="004A47F0">
        <w:rPr>
          <w:bCs/>
          <w:sz w:val="22"/>
          <w:szCs w:val="22"/>
        </w:rPr>
        <w:t>у</w:t>
      </w:r>
      <w:r w:rsidRPr="004A47F0">
        <w:rPr>
          <w:bCs/>
          <w:sz w:val="22"/>
          <w:szCs w:val="22"/>
        </w:rPr>
        <w:t xml:space="preserve">муса чернозема выщелоченного </w:t>
      </w:r>
      <w:proofErr w:type="gramStart"/>
      <w:r w:rsidRPr="004A47F0">
        <w:rPr>
          <w:bCs/>
          <w:sz w:val="22"/>
          <w:szCs w:val="22"/>
        </w:rPr>
        <w:t>возделывании</w:t>
      </w:r>
      <w:proofErr w:type="gramEnd"/>
      <w:r w:rsidRPr="004A47F0">
        <w:rPr>
          <w:bCs/>
          <w:sz w:val="22"/>
          <w:szCs w:val="22"/>
        </w:rPr>
        <w:t xml:space="preserve"> озимой пшеницы после подсолнечника различными технологиями / М. В. Шкарупа, Т. В. Швец // Актуальные вопросы биологии, селекции, технологии </w:t>
      </w:r>
      <w:r w:rsidRPr="004A47F0">
        <w:rPr>
          <w:bCs/>
          <w:sz w:val="22"/>
          <w:szCs w:val="22"/>
        </w:rPr>
        <w:lastRenderedPageBreak/>
        <w:t>возделывания и переработки масличных и других технических культур. –  2017. – С.165–169.</w:t>
      </w:r>
    </w:p>
    <w:p w:rsidR="000B59A4" w:rsidRDefault="000B59A4" w:rsidP="000B59A4">
      <w:pPr>
        <w:rPr>
          <w:rFonts w:eastAsia="Calibri"/>
          <w:sz w:val="22"/>
          <w:szCs w:val="22"/>
          <w:lang w:eastAsia="en-US"/>
        </w:rPr>
      </w:pPr>
    </w:p>
    <w:p w:rsidR="000B59A4" w:rsidRDefault="000B59A4" w:rsidP="000B59A4">
      <w:pPr>
        <w:rPr>
          <w:rFonts w:eastAsia="Calibri"/>
          <w:sz w:val="22"/>
          <w:szCs w:val="22"/>
          <w:lang w:eastAsia="en-US"/>
        </w:rPr>
      </w:pPr>
    </w:p>
    <w:p w:rsidR="000B59A4" w:rsidRDefault="000B59A4" w:rsidP="000B59A4">
      <w:pPr>
        <w:rPr>
          <w:rFonts w:eastAsia="Calibri"/>
          <w:sz w:val="22"/>
          <w:szCs w:val="22"/>
          <w:lang w:eastAsia="en-US"/>
        </w:rPr>
      </w:pPr>
    </w:p>
    <w:p w:rsidR="004A47F0" w:rsidRPr="000B59A4" w:rsidRDefault="004A47F0" w:rsidP="000B59A4">
      <w:pPr>
        <w:rPr>
          <w:color w:val="000000"/>
          <w:sz w:val="22"/>
          <w:szCs w:val="22"/>
          <w:shd w:val="clear" w:color="auto" w:fill="FFFFFF"/>
        </w:rPr>
      </w:pPr>
      <w:proofErr w:type="gramStart"/>
      <w:r w:rsidRPr="000B59A4">
        <w:rPr>
          <w:color w:val="000000"/>
          <w:sz w:val="22"/>
          <w:szCs w:val="22"/>
          <w:shd w:val="clear" w:color="auto" w:fill="FFFFFF"/>
        </w:rPr>
        <w:t>УДК: 631.82:[633.31:631.559:631.445.4</w:t>
      </w:r>
      <w:proofErr w:type="gramEnd"/>
    </w:p>
    <w:p w:rsidR="004A47F0" w:rsidRPr="004A47F0" w:rsidRDefault="004A47F0" w:rsidP="004A47F0">
      <w:pPr>
        <w:ind w:firstLine="425"/>
        <w:rPr>
          <w:color w:val="000000"/>
          <w:sz w:val="24"/>
          <w:szCs w:val="24"/>
          <w:shd w:val="clear" w:color="auto" w:fill="FFFFFF"/>
        </w:rPr>
      </w:pPr>
    </w:p>
    <w:p w:rsidR="004A47F0" w:rsidRPr="004A47F0" w:rsidRDefault="004A47F0" w:rsidP="004A47F0">
      <w:pPr>
        <w:ind w:firstLine="425"/>
        <w:jc w:val="center"/>
        <w:rPr>
          <w:b/>
          <w:color w:val="000000"/>
          <w:sz w:val="24"/>
          <w:szCs w:val="24"/>
          <w:shd w:val="clear" w:color="auto" w:fill="FFFFFF"/>
        </w:rPr>
      </w:pPr>
      <w:r w:rsidRPr="004A47F0">
        <w:rPr>
          <w:b/>
          <w:color w:val="000000"/>
          <w:sz w:val="24"/>
          <w:szCs w:val="24"/>
          <w:shd w:val="clear" w:color="auto" w:fill="FFFFFF"/>
        </w:rPr>
        <w:t>Влияние минеральных удобрений  на урожайность и качество зеленной массы люцерны в у</w:t>
      </w:r>
      <w:r w:rsidR="000B59A4">
        <w:rPr>
          <w:b/>
          <w:color w:val="000000"/>
          <w:sz w:val="24"/>
          <w:szCs w:val="24"/>
          <w:shd w:val="clear" w:color="auto" w:fill="FFFFFF"/>
        </w:rPr>
        <w:t>словиях чернозема выщелоченного</w:t>
      </w:r>
      <w:r w:rsidRPr="004A47F0">
        <w:rPr>
          <w:b/>
          <w:color w:val="000000"/>
          <w:sz w:val="24"/>
          <w:szCs w:val="24"/>
          <w:shd w:val="clear" w:color="auto" w:fill="FFFFFF"/>
        </w:rPr>
        <w:t xml:space="preserve"> </w:t>
      </w:r>
    </w:p>
    <w:p w:rsidR="004A47F0" w:rsidRPr="004A47F0" w:rsidRDefault="004A47F0" w:rsidP="004A47F0">
      <w:pPr>
        <w:ind w:firstLine="425"/>
        <w:jc w:val="center"/>
        <w:rPr>
          <w:b/>
          <w:color w:val="000000"/>
          <w:sz w:val="24"/>
          <w:szCs w:val="24"/>
          <w:shd w:val="clear" w:color="auto" w:fill="FFFFFF"/>
          <w:lang w:val="en-US"/>
        </w:rPr>
      </w:pPr>
      <w:r w:rsidRPr="004A47F0">
        <w:rPr>
          <w:b/>
          <w:color w:val="000000"/>
          <w:sz w:val="24"/>
          <w:szCs w:val="24"/>
          <w:shd w:val="clear" w:color="auto" w:fill="FFFFFF"/>
          <w:lang w:val="en-US"/>
        </w:rPr>
        <w:t xml:space="preserve">Influence of mineral fertilizers on yield and quality </w:t>
      </w:r>
      <w:r w:rsidR="000B59A4" w:rsidRPr="000B59A4">
        <w:rPr>
          <w:b/>
          <w:color w:val="000000"/>
          <w:sz w:val="24"/>
          <w:szCs w:val="24"/>
          <w:shd w:val="clear" w:color="auto" w:fill="FFFFFF"/>
          <w:lang w:val="en-US"/>
        </w:rPr>
        <w:br/>
      </w:r>
      <w:r w:rsidRPr="004A47F0">
        <w:rPr>
          <w:b/>
          <w:color w:val="000000"/>
          <w:sz w:val="24"/>
          <w:szCs w:val="24"/>
          <w:shd w:val="clear" w:color="auto" w:fill="FFFFFF"/>
          <w:lang w:val="en-US"/>
        </w:rPr>
        <w:t xml:space="preserve">of alfalfa green mass in </w:t>
      </w:r>
      <w:r w:rsidR="000B59A4">
        <w:rPr>
          <w:b/>
          <w:color w:val="000000"/>
          <w:sz w:val="24"/>
          <w:szCs w:val="24"/>
          <w:shd w:val="clear" w:color="auto" w:fill="FFFFFF"/>
          <w:lang w:val="en-US"/>
        </w:rPr>
        <w:t>conditions of leached Chernozem</w:t>
      </w:r>
      <w:r w:rsidRPr="004A47F0">
        <w:rPr>
          <w:b/>
          <w:color w:val="000000"/>
          <w:sz w:val="24"/>
          <w:szCs w:val="24"/>
          <w:shd w:val="clear" w:color="auto" w:fill="FFFFFF"/>
          <w:lang w:val="en-US"/>
        </w:rPr>
        <w:t xml:space="preserve"> </w:t>
      </w:r>
    </w:p>
    <w:p w:rsidR="004A47F0" w:rsidRPr="004A47F0" w:rsidRDefault="004A47F0" w:rsidP="004A47F0">
      <w:pPr>
        <w:ind w:firstLine="425"/>
        <w:jc w:val="center"/>
        <w:rPr>
          <w:b/>
          <w:color w:val="000000"/>
          <w:sz w:val="24"/>
          <w:szCs w:val="24"/>
          <w:shd w:val="clear" w:color="auto" w:fill="FFFFFF"/>
          <w:lang w:val="en-US"/>
        </w:rPr>
      </w:pP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Кучукова О.</w:t>
      </w:r>
      <w:r w:rsidR="000B59A4">
        <w:rPr>
          <w:color w:val="000000"/>
          <w:sz w:val="22"/>
          <w:szCs w:val="22"/>
          <w:shd w:val="clear" w:color="auto" w:fill="FFFFFF"/>
        </w:rPr>
        <w:t xml:space="preserve"> А.,</w:t>
      </w:r>
    </w:p>
    <w:p w:rsidR="000B59A4" w:rsidRDefault="000B59A4" w:rsidP="004A47F0">
      <w:pPr>
        <w:ind w:firstLine="425"/>
        <w:jc w:val="right"/>
        <w:rPr>
          <w:color w:val="000000"/>
          <w:sz w:val="22"/>
          <w:szCs w:val="22"/>
          <w:shd w:val="clear" w:color="auto" w:fill="FFFFFF"/>
        </w:rPr>
      </w:pPr>
      <w:r>
        <w:rPr>
          <w:color w:val="000000"/>
          <w:sz w:val="22"/>
          <w:szCs w:val="22"/>
          <w:shd w:val="clear" w:color="auto" w:fill="FFFFFF"/>
        </w:rPr>
        <w:t>студентка 4-го курса</w:t>
      </w: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факультета агрохимии и защиты растений</w:t>
      </w: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Дроздова В.</w:t>
      </w:r>
      <w:r w:rsidR="000B59A4">
        <w:rPr>
          <w:color w:val="000000"/>
          <w:sz w:val="22"/>
          <w:szCs w:val="22"/>
          <w:shd w:val="clear" w:color="auto" w:fill="FFFFFF"/>
        </w:rPr>
        <w:t xml:space="preserve"> В.,</w:t>
      </w: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доцент кафедры агрохимии</w:t>
      </w: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Кубанс</w:t>
      </w:r>
      <w:r w:rsidR="000B59A4">
        <w:rPr>
          <w:color w:val="000000"/>
          <w:sz w:val="22"/>
          <w:szCs w:val="22"/>
          <w:shd w:val="clear" w:color="auto" w:fill="FFFFFF"/>
        </w:rPr>
        <w:t>кого государственного аграрного</w:t>
      </w:r>
    </w:p>
    <w:p w:rsidR="004A47F0" w:rsidRPr="004A47F0" w:rsidRDefault="004A47F0" w:rsidP="004A47F0">
      <w:pPr>
        <w:ind w:firstLine="425"/>
        <w:jc w:val="right"/>
        <w:rPr>
          <w:color w:val="000000"/>
          <w:sz w:val="22"/>
          <w:szCs w:val="22"/>
          <w:shd w:val="clear" w:color="auto" w:fill="FFFFFF"/>
        </w:rPr>
      </w:pPr>
      <w:r w:rsidRPr="004A47F0">
        <w:rPr>
          <w:color w:val="000000"/>
          <w:sz w:val="22"/>
          <w:szCs w:val="22"/>
          <w:shd w:val="clear" w:color="auto" w:fill="FFFFFF"/>
        </w:rPr>
        <w:t>университета имени И.</w:t>
      </w:r>
      <w:r w:rsidR="000B59A4">
        <w:rPr>
          <w:color w:val="000000"/>
          <w:sz w:val="22"/>
          <w:szCs w:val="22"/>
          <w:shd w:val="clear" w:color="auto" w:fill="FFFFFF"/>
        </w:rPr>
        <w:t xml:space="preserve"> </w:t>
      </w:r>
      <w:r w:rsidRPr="004A47F0">
        <w:rPr>
          <w:color w:val="000000"/>
          <w:sz w:val="22"/>
          <w:szCs w:val="22"/>
          <w:shd w:val="clear" w:color="auto" w:fill="FFFFFF"/>
        </w:rPr>
        <w:t>Т. Трубилина</w:t>
      </w:r>
    </w:p>
    <w:p w:rsidR="004A47F0" w:rsidRPr="004A47F0" w:rsidRDefault="004A47F0" w:rsidP="004A47F0">
      <w:pPr>
        <w:ind w:firstLine="425"/>
        <w:jc w:val="both"/>
        <w:rPr>
          <w:color w:val="000000"/>
          <w:sz w:val="22"/>
          <w:szCs w:val="22"/>
          <w:shd w:val="clear" w:color="auto" w:fill="FFFFFF"/>
        </w:rPr>
      </w:pPr>
    </w:p>
    <w:p w:rsidR="004A47F0" w:rsidRPr="004A47F0" w:rsidRDefault="000B59A4" w:rsidP="004A47F0">
      <w:pPr>
        <w:ind w:firstLine="425"/>
        <w:jc w:val="both"/>
        <w:rPr>
          <w:color w:val="000000"/>
          <w:sz w:val="22"/>
          <w:szCs w:val="22"/>
          <w:shd w:val="clear" w:color="auto" w:fill="FFFFFF"/>
        </w:rPr>
      </w:pPr>
      <w:r w:rsidRPr="004A47F0">
        <w:rPr>
          <w:color w:val="000000"/>
          <w:sz w:val="22"/>
          <w:szCs w:val="22"/>
          <w:shd w:val="clear" w:color="auto" w:fill="FFFFFF"/>
        </w:rPr>
        <w:t>АННОТАЦИЯ:</w:t>
      </w:r>
      <w:r w:rsidR="004A47F0" w:rsidRPr="004A47F0">
        <w:rPr>
          <w:color w:val="000000"/>
          <w:sz w:val="22"/>
          <w:szCs w:val="22"/>
          <w:shd w:val="clear" w:color="auto" w:fill="FFFFFF"/>
        </w:rPr>
        <w:t xml:space="preserve"> изучено влияние минеральных удобрений на урожайность и качество зеленной массы люцерны третьего года жизни в условиях чернозема выщелоченного. </w:t>
      </w:r>
    </w:p>
    <w:p w:rsidR="004A47F0" w:rsidRPr="004A47F0" w:rsidRDefault="000B59A4" w:rsidP="004A47F0">
      <w:pPr>
        <w:ind w:firstLine="425"/>
        <w:jc w:val="both"/>
        <w:rPr>
          <w:sz w:val="22"/>
          <w:szCs w:val="22"/>
          <w:shd w:val="clear" w:color="auto" w:fill="FFFFFF"/>
          <w:lang w:val="en-US"/>
        </w:rPr>
      </w:pPr>
      <w:r w:rsidRPr="004A47F0">
        <w:rPr>
          <w:sz w:val="22"/>
          <w:szCs w:val="22"/>
          <w:shd w:val="clear" w:color="auto" w:fill="FFFFFF"/>
          <w:lang w:val="en-US"/>
        </w:rPr>
        <w:t xml:space="preserve">ANNOTATION: </w:t>
      </w:r>
      <w:r w:rsidR="004A47F0" w:rsidRPr="004A47F0">
        <w:rPr>
          <w:sz w:val="22"/>
          <w:szCs w:val="22"/>
          <w:shd w:val="clear" w:color="auto" w:fill="FFFFFF"/>
          <w:lang w:val="en-US"/>
        </w:rPr>
        <w:t xml:space="preserve">ifluence of mineral fertilizers on productivity and quality of green mass of alfalfa of the third year of life in the conditions of leached chernozem is studied. </w:t>
      </w:r>
    </w:p>
    <w:p w:rsidR="004A47F0" w:rsidRPr="004A47F0" w:rsidRDefault="000B59A4" w:rsidP="004A47F0">
      <w:pPr>
        <w:ind w:firstLine="425"/>
        <w:jc w:val="both"/>
        <w:rPr>
          <w:sz w:val="22"/>
          <w:szCs w:val="22"/>
          <w:shd w:val="clear" w:color="auto" w:fill="FFFFFF"/>
        </w:rPr>
      </w:pPr>
      <w:r w:rsidRPr="004A47F0">
        <w:rPr>
          <w:sz w:val="22"/>
          <w:szCs w:val="22"/>
          <w:shd w:val="clear" w:color="auto" w:fill="FFFFFF"/>
        </w:rPr>
        <w:t xml:space="preserve">КЛЮЧЕВЫЕ СЛОВА: </w:t>
      </w:r>
      <w:r w:rsidR="004A47F0" w:rsidRPr="004A47F0">
        <w:rPr>
          <w:sz w:val="22"/>
          <w:szCs w:val="22"/>
          <w:shd w:val="clear" w:color="auto" w:fill="FFFFFF"/>
        </w:rPr>
        <w:t xml:space="preserve">минеральные удобрения, люцерна 3-го года, урожайность, качество. </w:t>
      </w:r>
    </w:p>
    <w:p w:rsidR="004A47F0" w:rsidRPr="004A47F0" w:rsidRDefault="000B59A4" w:rsidP="004A47F0">
      <w:pPr>
        <w:ind w:firstLine="425"/>
        <w:jc w:val="both"/>
        <w:rPr>
          <w:sz w:val="22"/>
          <w:szCs w:val="22"/>
          <w:shd w:val="clear" w:color="auto" w:fill="FFFFFF"/>
          <w:lang w:val="en-US"/>
        </w:rPr>
      </w:pPr>
      <w:r w:rsidRPr="004A47F0">
        <w:rPr>
          <w:sz w:val="22"/>
          <w:szCs w:val="22"/>
          <w:shd w:val="clear" w:color="auto" w:fill="FFFFFF"/>
          <w:lang w:val="en-US"/>
        </w:rPr>
        <w:t>KEYWORD:</w:t>
      </w:r>
      <w:r w:rsidR="004A47F0" w:rsidRPr="004A47F0">
        <w:rPr>
          <w:sz w:val="22"/>
          <w:szCs w:val="22"/>
          <w:shd w:val="clear" w:color="auto" w:fill="FFFFFF"/>
          <w:lang w:val="en-US"/>
        </w:rPr>
        <w:t xml:space="preserve"> mineral fertilizers, alfalfa of the 3rd year, yield, qual</w:t>
      </w:r>
      <w:r w:rsidR="004A47F0" w:rsidRPr="004A47F0">
        <w:rPr>
          <w:sz w:val="22"/>
          <w:szCs w:val="22"/>
          <w:shd w:val="clear" w:color="auto" w:fill="FFFFFF"/>
          <w:lang w:val="en-US"/>
        </w:rPr>
        <w:t>i</w:t>
      </w:r>
      <w:r w:rsidR="004A47F0" w:rsidRPr="004A47F0">
        <w:rPr>
          <w:sz w:val="22"/>
          <w:szCs w:val="22"/>
          <w:shd w:val="clear" w:color="auto" w:fill="FFFFFF"/>
          <w:lang w:val="en-US"/>
        </w:rPr>
        <w:t>ty.</w:t>
      </w:r>
    </w:p>
    <w:p w:rsidR="004A47F0" w:rsidRPr="004A47F0" w:rsidRDefault="004A47F0" w:rsidP="004A47F0">
      <w:pPr>
        <w:ind w:firstLine="425"/>
        <w:jc w:val="both"/>
        <w:rPr>
          <w:sz w:val="22"/>
          <w:szCs w:val="22"/>
          <w:shd w:val="clear" w:color="auto" w:fill="FFFFFF"/>
          <w:lang w:val="en-US"/>
        </w:rPr>
      </w:pPr>
    </w:p>
    <w:p w:rsidR="004A47F0" w:rsidRPr="004A47F0" w:rsidRDefault="004A47F0" w:rsidP="004A47F0">
      <w:pPr>
        <w:ind w:firstLine="425"/>
        <w:jc w:val="both"/>
        <w:rPr>
          <w:sz w:val="22"/>
          <w:szCs w:val="22"/>
        </w:rPr>
      </w:pPr>
      <w:r w:rsidRPr="004A47F0">
        <w:rPr>
          <w:color w:val="000000"/>
          <w:sz w:val="22"/>
          <w:szCs w:val="22"/>
          <w:shd w:val="clear" w:color="auto" w:fill="FFFFFF"/>
        </w:rPr>
        <w:t>Люцерна посевная – это очень ценная и достаточно широко распространенная во всем мире высокобелковая многолетняя кул</w:t>
      </w:r>
      <w:r w:rsidRPr="004A47F0">
        <w:rPr>
          <w:color w:val="000000"/>
          <w:sz w:val="22"/>
          <w:szCs w:val="22"/>
          <w:shd w:val="clear" w:color="auto" w:fill="FFFFFF"/>
        </w:rPr>
        <w:t>ь</w:t>
      </w:r>
      <w:r w:rsidRPr="004A47F0">
        <w:rPr>
          <w:color w:val="000000"/>
          <w:sz w:val="22"/>
          <w:szCs w:val="22"/>
          <w:shd w:val="clear" w:color="auto" w:fill="FFFFFF"/>
        </w:rPr>
        <w:t xml:space="preserve">тура. </w:t>
      </w:r>
      <w:r w:rsidRPr="004A47F0">
        <w:rPr>
          <w:color w:val="000000"/>
          <w:sz w:val="22"/>
          <w:szCs w:val="22"/>
        </w:rPr>
        <w:t>Кормовая ценность этой бобовой травы очень высокая: в 1 кг люцернового сена содержится 0,48 кормовых единиц и 103 г пер</w:t>
      </w:r>
      <w:r w:rsidRPr="004A47F0">
        <w:rPr>
          <w:color w:val="000000"/>
          <w:sz w:val="22"/>
          <w:szCs w:val="22"/>
        </w:rPr>
        <w:t>е</w:t>
      </w:r>
      <w:r w:rsidRPr="004A47F0">
        <w:rPr>
          <w:color w:val="000000"/>
          <w:sz w:val="22"/>
          <w:szCs w:val="22"/>
        </w:rPr>
        <w:t>варимого протеина</w:t>
      </w:r>
      <w:r w:rsidRPr="004A47F0">
        <w:rPr>
          <w:color w:val="000000"/>
          <w:sz w:val="22"/>
          <w:szCs w:val="22"/>
          <w:bdr w:val="none" w:sz="0" w:space="0" w:color="auto" w:frame="1"/>
        </w:rPr>
        <w:t xml:space="preserve"> [1].</w:t>
      </w:r>
    </w:p>
    <w:p w:rsidR="004A47F0" w:rsidRPr="004A47F0" w:rsidRDefault="004A47F0" w:rsidP="004A47F0">
      <w:pPr>
        <w:ind w:firstLine="425"/>
        <w:jc w:val="both"/>
        <w:rPr>
          <w:spacing w:val="-4"/>
          <w:sz w:val="22"/>
          <w:szCs w:val="22"/>
        </w:rPr>
      </w:pPr>
      <w:r w:rsidRPr="004A47F0">
        <w:rPr>
          <w:sz w:val="22"/>
          <w:szCs w:val="22"/>
        </w:rPr>
        <w:lastRenderedPageBreak/>
        <w:t>Исследования проводились в 2015-17 годах в полевом стаци</w:t>
      </w:r>
      <w:r w:rsidRPr="004A47F0">
        <w:rPr>
          <w:sz w:val="22"/>
          <w:szCs w:val="22"/>
        </w:rPr>
        <w:t>о</w:t>
      </w:r>
      <w:r w:rsidRPr="004A47F0">
        <w:rPr>
          <w:sz w:val="22"/>
          <w:szCs w:val="22"/>
        </w:rPr>
        <w:t xml:space="preserve">наре кафедры агрохимии учхоза «Кубань» в условиях чернозема выщелоченного. Изучаемый сорт люцерны - «Фея». </w:t>
      </w:r>
      <w:r w:rsidRPr="004A47F0">
        <w:rPr>
          <w:spacing w:val="-4"/>
          <w:sz w:val="22"/>
          <w:szCs w:val="22"/>
        </w:rPr>
        <w:t xml:space="preserve">Минеральные удобрения вносили  под ранневесеннее боронование под люцерну 2-го года [2] </w:t>
      </w:r>
    </w:p>
    <w:p w:rsidR="004A47F0" w:rsidRPr="004A47F0" w:rsidRDefault="004A47F0" w:rsidP="004A47F0">
      <w:pPr>
        <w:shd w:val="clear" w:color="auto" w:fill="FFFFFF"/>
        <w:ind w:firstLine="425"/>
        <w:jc w:val="both"/>
        <w:rPr>
          <w:spacing w:val="5"/>
          <w:sz w:val="22"/>
          <w:szCs w:val="22"/>
        </w:rPr>
      </w:pPr>
      <w:r w:rsidRPr="004A47F0">
        <w:rPr>
          <w:spacing w:val="5"/>
          <w:sz w:val="22"/>
          <w:szCs w:val="22"/>
        </w:rPr>
        <w:t>Сорт «Фея» – выведен в Краснодарском НИИСХ им. П.П. Лукьяненко.</w:t>
      </w:r>
      <w:r w:rsidRPr="004A47F0">
        <w:rPr>
          <w:rFonts w:ascii="Arial" w:hAnsi="Arial" w:cs="Arial"/>
          <w:sz w:val="22"/>
          <w:szCs w:val="22"/>
          <w:shd w:val="clear" w:color="auto" w:fill="FFFFFF"/>
        </w:rPr>
        <w:t xml:space="preserve"> </w:t>
      </w:r>
      <w:proofErr w:type="gramStart"/>
      <w:r w:rsidRPr="004A47F0">
        <w:rPr>
          <w:sz w:val="22"/>
          <w:szCs w:val="22"/>
          <w:shd w:val="clear" w:color="auto" w:fill="FFFFFF"/>
        </w:rPr>
        <w:t>Включен</w:t>
      </w:r>
      <w:proofErr w:type="gramEnd"/>
      <w:r w:rsidRPr="004A47F0">
        <w:rPr>
          <w:sz w:val="22"/>
          <w:szCs w:val="22"/>
          <w:shd w:val="clear" w:color="auto" w:fill="FFFFFF"/>
        </w:rPr>
        <w:t xml:space="preserve"> в Госреестр по Северо-Кавказскому  реги</w:t>
      </w:r>
      <w:r w:rsidRPr="004A47F0">
        <w:rPr>
          <w:sz w:val="22"/>
          <w:szCs w:val="22"/>
          <w:shd w:val="clear" w:color="auto" w:fill="FFFFFF"/>
        </w:rPr>
        <w:t>о</w:t>
      </w:r>
      <w:r w:rsidRPr="004A47F0">
        <w:rPr>
          <w:sz w:val="22"/>
          <w:szCs w:val="22"/>
          <w:shd w:val="clear" w:color="auto" w:fill="FFFFFF"/>
        </w:rPr>
        <w:t xml:space="preserve">ну. </w:t>
      </w:r>
      <w:r w:rsidRPr="004A47F0">
        <w:rPr>
          <w:spacing w:val="5"/>
          <w:sz w:val="22"/>
          <w:szCs w:val="22"/>
        </w:rPr>
        <w:t>Потенциальная урожайность кормовой массы в условиях б</w:t>
      </w:r>
      <w:r w:rsidRPr="004A47F0">
        <w:rPr>
          <w:spacing w:val="5"/>
          <w:sz w:val="22"/>
          <w:szCs w:val="22"/>
        </w:rPr>
        <w:t>о</w:t>
      </w:r>
      <w:r w:rsidRPr="004A47F0">
        <w:rPr>
          <w:spacing w:val="5"/>
          <w:sz w:val="22"/>
          <w:szCs w:val="22"/>
        </w:rPr>
        <w:t xml:space="preserve">гары 60 т/га, семян 0,5 – 0,7 т/га. </w:t>
      </w:r>
      <w:r w:rsidRPr="004A47F0">
        <w:rPr>
          <w:sz w:val="22"/>
          <w:szCs w:val="22"/>
          <w:shd w:val="clear" w:color="auto" w:fill="FFFFFF"/>
        </w:rPr>
        <w:t>Максимальная урожайность 152,0 ц/га.</w:t>
      </w:r>
      <w:r w:rsidRPr="004A47F0">
        <w:rPr>
          <w:rFonts w:ascii="Arial" w:hAnsi="Arial" w:cs="Arial"/>
          <w:sz w:val="22"/>
          <w:szCs w:val="22"/>
          <w:shd w:val="clear" w:color="auto" w:fill="FFFFFF"/>
        </w:rPr>
        <w:t> </w:t>
      </w:r>
      <w:r w:rsidRPr="004A47F0">
        <w:rPr>
          <w:spacing w:val="5"/>
          <w:sz w:val="22"/>
          <w:szCs w:val="22"/>
        </w:rPr>
        <w:t>Содержание белка от 18,8 до 21,4 %.</w:t>
      </w:r>
    </w:p>
    <w:p w:rsidR="004A47F0" w:rsidRPr="004A47F0" w:rsidRDefault="004A47F0" w:rsidP="004A47F0">
      <w:pPr>
        <w:ind w:firstLine="425"/>
        <w:jc w:val="both"/>
        <w:rPr>
          <w:sz w:val="22"/>
          <w:szCs w:val="22"/>
        </w:rPr>
      </w:pPr>
      <w:r w:rsidRPr="004A47F0">
        <w:rPr>
          <w:sz w:val="22"/>
          <w:szCs w:val="22"/>
        </w:rPr>
        <w:t xml:space="preserve">Развивая мощную вегетативную массу от применения </w:t>
      </w:r>
      <w:proofErr w:type="gramStart"/>
      <w:r w:rsidRPr="004A47F0">
        <w:rPr>
          <w:sz w:val="22"/>
          <w:szCs w:val="22"/>
        </w:rPr>
        <w:t>удобр</w:t>
      </w:r>
      <w:r w:rsidRPr="004A47F0">
        <w:rPr>
          <w:sz w:val="22"/>
          <w:szCs w:val="22"/>
        </w:rPr>
        <w:t>е</w:t>
      </w:r>
      <w:r w:rsidRPr="004A47F0">
        <w:rPr>
          <w:sz w:val="22"/>
          <w:szCs w:val="22"/>
        </w:rPr>
        <w:t>ний</w:t>
      </w:r>
      <w:proofErr w:type="gramEnd"/>
      <w:r w:rsidRPr="004A47F0">
        <w:rPr>
          <w:sz w:val="22"/>
          <w:szCs w:val="22"/>
        </w:rPr>
        <w:t xml:space="preserve"> люцерна использует и большее количество основных элементов питания из почвы. Динамика потребления азота, фосфора и калия растениями люцерны показала, что наибольшее их количество с</w:t>
      </w:r>
      <w:r w:rsidRPr="004A47F0">
        <w:rPr>
          <w:sz w:val="22"/>
          <w:szCs w:val="22"/>
        </w:rPr>
        <w:t>о</w:t>
      </w:r>
      <w:r w:rsidRPr="004A47F0">
        <w:rPr>
          <w:sz w:val="22"/>
          <w:szCs w:val="22"/>
        </w:rPr>
        <w:t>держится перед вторым укосом и составляло в среднем 4,1; 1,25 и 3,4 % соответственно. Максимальное количество элементов пит</w:t>
      </w:r>
      <w:r w:rsidRPr="004A47F0">
        <w:rPr>
          <w:sz w:val="22"/>
          <w:szCs w:val="22"/>
        </w:rPr>
        <w:t>а</w:t>
      </w:r>
      <w:r w:rsidRPr="004A47F0">
        <w:rPr>
          <w:sz w:val="22"/>
          <w:szCs w:val="22"/>
        </w:rPr>
        <w:t xml:space="preserve">ния в растениях люцерны по фазам вегетации было при внесении полного удобрения в нормах </w:t>
      </w:r>
      <w:r w:rsidRPr="004A47F0">
        <w:rPr>
          <w:sz w:val="22"/>
          <w:szCs w:val="22"/>
          <w:lang w:val="en-US"/>
        </w:rPr>
        <w:t>N</w:t>
      </w:r>
      <w:r w:rsidRPr="004A47F0">
        <w:rPr>
          <w:sz w:val="22"/>
          <w:szCs w:val="22"/>
          <w:vertAlign w:val="subscript"/>
        </w:rPr>
        <w:t>20</w:t>
      </w:r>
      <w:r w:rsidRPr="004A47F0">
        <w:rPr>
          <w:sz w:val="22"/>
          <w:szCs w:val="22"/>
          <w:lang w:val="en-US"/>
        </w:rPr>
        <w:t>P</w:t>
      </w:r>
      <w:r w:rsidRPr="004A47F0">
        <w:rPr>
          <w:sz w:val="22"/>
          <w:szCs w:val="22"/>
          <w:vertAlign w:val="subscript"/>
        </w:rPr>
        <w:t>20</w:t>
      </w:r>
      <w:r w:rsidRPr="004A47F0">
        <w:rPr>
          <w:sz w:val="22"/>
          <w:szCs w:val="22"/>
          <w:lang w:val="en-US"/>
        </w:rPr>
        <w:t>K</w:t>
      </w:r>
      <w:r w:rsidRPr="004A47F0">
        <w:rPr>
          <w:sz w:val="22"/>
          <w:szCs w:val="22"/>
          <w:vertAlign w:val="subscript"/>
        </w:rPr>
        <w:t>20</w:t>
      </w:r>
      <w:r w:rsidRPr="004A47F0">
        <w:rPr>
          <w:sz w:val="22"/>
          <w:szCs w:val="22"/>
        </w:rPr>
        <w:t xml:space="preserve"> и </w:t>
      </w:r>
      <w:r w:rsidRPr="004A47F0">
        <w:rPr>
          <w:sz w:val="22"/>
          <w:szCs w:val="22"/>
          <w:lang w:val="en-US"/>
        </w:rPr>
        <w:t>N</w:t>
      </w:r>
      <w:r w:rsidRPr="004A47F0">
        <w:rPr>
          <w:sz w:val="22"/>
          <w:szCs w:val="22"/>
          <w:vertAlign w:val="subscript"/>
        </w:rPr>
        <w:t>30</w:t>
      </w:r>
      <w:r w:rsidRPr="004A47F0">
        <w:rPr>
          <w:sz w:val="22"/>
          <w:szCs w:val="22"/>
          <w:lang w:val="en-US"/>
        </w:rPr>
        <w:t>P</w:t>
      </w:r>
      <w:r w:rsidRPr="004A47F0">
        <w:rPr>
          <w:sz w:val="22"/>
          <w:szCs w:val="22"/>
          <w:vertAlign w:val="subscript"/>
        </w:rPr>
        <w:t>30</w:t>
      </w:r>
      <w:r w:rsidRPr="004A47F0">
        <w:rPr>
          <w:sz w:val="22"/>
          <w:szCs w:val="22"/>
          <w:lang w:val="en-US"/>
        </w:rPr>
        <w:t>K</w:t>
      </w:r>
      <w:r w:rsidRPr="004A47F0">
        <w:rPr>
          <w:sz w:val="22"/>
          <w:szCs w:val="22"/>
          <w:vertAlign w:val="subscript"/>
        </w:rPr>
        <w:t>30</w:t>
      </w:r>
      <w:r w:rsidRPr="004A47F0">
        <w:rPr>
          <w:sz w:val="22"/>
          <w:szCs w:val="22"/>
        </w:rPr>
        <w:t>.</w:t>
      </w:r>
    </w:p>
    <w:p w:rsidR="004A47F0" w:rsidRPr="004A47F0" w:rsidRDefault="004A47F0" w:rsidP="004A47F0">
      <w:pPr>
        <w:ind w:firstLine="425"/>
        <w:jc w:val="both"/>
        <w:rPr>
          <w:b/>
          <w:sz w:val="22"/>
          <w:szCs w:val="22"/>
        </w:rPr>
      </w:pPr>
      <w:r w:rsidRPr="004A47F0">
        <w:rPr>
          <w:sz w:val="22"/>
          <w:szCs w:val="22"/>
        </w:rPr>
        <w:t xml:space="preserve">Урожайность зеленной массы люцерны была 28,0 т/га. Наибольшая урожайность получена при внесении </w:t>
      </w:r>
      <w:r w:rsidRPr="004A47F0">
        <w:rPr>
          <w:sz w:val="22"/>
          <w:szCs w:val="22"/>
          <w:lang w:val="en-US"/>
        </w:rPr>
        <w:t>N</w:t>
      </w:r>
      <w:r w:rsidRPr="004A47F0">
        <w:rPr>
          <w:sz w:val="22"/>
          <w:szCs w:val="22"/>
          <w:vertAlign w:val="subscript"/>
        </w:rPr>
        <w:t>20</w:t>
      </w:r>
      <w:r w:rsidRPr="004A47F0">
        <w:rPr>
          <w:sz w:val="22"/>
          <w:szCs w:val="22"/>
          <w:lang w:val="en-US"/>
        </w:rPr>
        <w:t>P</w:t>
      </w:r>
      <w:r w:rsidRPr="004A47F0">
        <w:rPr>
          <w:sz w:val="22"/>
          <w:szCs w:val="22"/>
          <w:vertAlign w:val="subscript"/>
        </w:rPr>
        <w:t>20</w:t>
      </w:r>
      <w:r w:rsidRPr="004A47F0">
        <w:rPr>
          <w:sz w:val="22"/>
          <w:szCs w:val="22"/>
          <w:lang w:val="en-US"/>
        </w:rPr>
        <w:t>K</w:t>
      </w:r>
      <w:r w:rsidRPr="004A47F0">
        <w:rPr>
          <w:sz w:val="22"/>
          <w:szCs w:val="22"/>
          <w:vertAlign w:val="subscript"/>
        </w:rPr>
        <w:t>20</w:t>
      </w:r>
      <w:r w:rsidRPr="004A47F0">
        <w:rPr>
          <w:sz w:val="22"/>
          <w:szCs w:val="22"/>
        </w:rPr>
        <w:t xml:space="preserve"> и </w:t>
      </w:r>
      <w:r w:rsidRPr="004A47F0">
        <w:rPr>
          <w:sz w:val="22"/>
          <w:szCs w:val="22"/>
          <w:lang w:val="en-US"/>
        </w:rPr>
        <w:t>N</w:t>
      </w:r>
      <w:r w:rsidRPr="004A47F0">
        <w:rPr>
          <w:sz w:val="22"/>
          <w:szCs w:val="22"/>
          <w:vertAlign w:val="subscript"/>
        </w:rPr>
        <w:t>30</w:t>
      </w:r>
      <w:r w:rsidRPr="004A47F0">
        <w:rPr>
          <w:sz w:val="22"/>
          <w:szCs w:val="22"/>
          <w:lang w:val="en-US"/>
        </w:rPr>
        <w:t>P</w:t>
      </w:r>
      <w:r w:rsidRPr="004A47F0">
        <w:rPr>
          <w:sz w:val="22"/>
          <w:szCs w:val="22"/>
          <w:vertAlign w:val="subscript"/>
        </w:rPr>
        <w:t>30</w:t>
      </w:r>
      <w:r w:rsidRPr="004A47F0">
        <w:rPr>
          <w:sz w:val="22"/>
          <w:szCs w:val="22"/>
          <w:lang w:val="en-US"/>
        </w:rPr>
        <w:t>K</w:t>
      </w:r>
      <w:r w:rsidRPr="004A47F0">
        <w:rPr>
          <w:sz w:val="22"/>
          <w:szCs w:val="22"/>
          <w:vertAlign w:val="subscript"/>
        </w:rPr>
        <w:t xml:space="preserve">30 </w:t>
      </w:r>
      <w:r w:rsidRPr="004A47F0">
        <w:rPr>
          <w:sz w:val="22"/>
          <w:szCs w:val="22"/>
        </w:rPr>
        <w:t>норм полного удобрения. В этих вариантах урожайность составила в среднем за три года 32,6 и 37,9 т/га, что на 10,7 и 16,0 т/га больше чем в варианте без внесения минеральных удобрений [1].</w:t>
      </w:r>
    </w:p>
    <w:p w:rsidR="004A47F0" w:rsidRPr="004A47F0" w:rsidRDefault="004A47F0" w:rsidP="004A47F0">
      <w:pPr>
        <w:ind w:firstLine="425"/>
        <w:jc w:val="both"/>
        <w:rPr>
          <w:b/>
          <w:sz w:val="22"/>
          <w:szCs w:val="22"/>
        </w:rPr>
      </w:pPr>
      <w:r w:rsidRPr="004A47F0">
        <w:rPr>
          <w:sz w:val="22"/>
          <w:szCs w:val="22"/>
        </w:rPr>
        <w:t>Так же, применяемые удобрения повысили содержание сырого белка в растениях. Максимальные показатели были получены при внесении двойных и тройных норм полного удобрения. Содержание сырого белок в этих вариантах составило 24,0% и 25,2%, что на 7,9% и 9,1% больше чем на неудобренном фоне; сбор белка сост</w:t>
      </w:r>
      <w:r w:rsidRPr="004A47F0">
        <w:rPr>
          <w:sz w:val="22"/>
          <w:szCs w:val="22"/>
        </w:rPr>
        <w:t>а</w:t>
      </w:r>
      <w:r w:rsidRPr="004A47F0">
        <w:rPr>
          <w:sz w:val="22"/>
          <w:szCs w:val="22"/>
        </w:rPr>
        <w:t>вил 8,9 и 7,7 т/га соответственно [1].</w:t>
      </w:r>
      <w:r w:rsidRPr="004A47F0">
        <w:rPr>
          <w:b/>
          <w:sz w:val="22"/>
          <w:szCs w:val="22"/>
        </w:rPr>
        <w:t xml:space="preserve"> </w:t>
      </w:r>
    </w:p>
    <w:p w:rsidR="004A47F0" w:rsidRPr="004A47F0" w:rsidRDefault="004A47F0" w:rsidP="004A47F0">
      <w:pPr>
        <w:ind w:firstLine="425"/>
        <w:jc w:val="both"/>
        <w:rPr>
          <w:sz w:val="22"/>
          <w:szCs w:val="22"/>
        </w:rPr>
      </w:pPr>
      <w:r w:rsidRPr="004A47F0">
        <w:rPr>
          <w:sz w:val="22"/>
          <w:szCs w:val="22"/>
        </w:rPr>
        <w:t xml:space="preserve">Таким образом, лучшие условия для получения максимального урожая высокого качества люцерны 3-го года жизни создаются при внесении полного минерального удобрения из расчета </w:t>
      </w:r>
      <w:r w:rsidRPr="004A47F0">
        <w:rPr>
          <w:sz w:val="22"/>
          <w:szCs w:val="22"/>
          <w:lang w:val="en-US"/>
        </w:rPr>
        <w:t>N</w:t>
      </w:r>
      <w:r w:rsidRPr="004A47F0">
        <w:rPr>
          <w:sz w:val="22"/>
          <w:szCs w:val="22"/>
          <w:vertAlign w:val="subscript"/>
        </w:rPr>
        <w:t>20</w:t>
      </w:r>
      <w:r w:rsidRPr="004A47F0">
        <w:rPr>
          <w:sz w:val="22"/>
          <w:szCs w:val="22"/>
          <w:lang w:val="en-US"/>
        </w:rPr>
        <w:t>P</w:t>
      </w:r>
      <w:r w:rsidRPr="004A47F0">
        <w:rPr>
          <w:sz w:val="22"/>
          <w:szCs w:val="22"/>
          <w:vertAlign w:val="subscript"/>
        </w:rPr>
        <w:t>20</w:t>
      </w:r>
      <w:r w:rsidRPr="004A47F0">
        <w:rPr>
          <w:sz w:val="22"/>
          <w:szCs w:val="22"/>
          <w:lang w:val="en-US"/>
        </w:rPr>
        <w:t>K</w:t>
      </w:r>
      <w:r w:rsidRPr="004A47F0">
        <w:rPr>
          <w:sz w:val="22"/>
          <w:szCs w:val="22"/>
          <w:vertAlign w:val="subscript"/>
        </w:rPr>
        <w:t xml:space="preserve">20 </w:t>
      </w:r>
      <w:r w:rsidRPr="004A47F0">
        <w:rPr>
          <w:sz w:val="22"/>
          <w:szCs w:val="22"/>
        </w:rPr>
        <w:t xml:space="preserve">и </w:t>
      </w:r>
      <w:r w:rsidRPr="004A47F0">
        <w:rPr>
          <w:sz w:val="22"/>
          <w:szCs w:val="22"/>
          <w:lang w:val="en-US"/>
        </w:rPr>
        <w:t>N</w:t>
      </w:r>
      <w:r w:rsidRPr="004A47F0">
        <w:rPr>
          <w:sz w:val="22"/>
          <w:szCs w:val="22"/>
          <w:vertAlign w:val="subscript"/>
        </w:rPr>
        <w:t>30</w:t>
      </w:r>
      <w:r w:rsidRPr="004A47F0">
        <w:rPr>
          <w:sz w:val="22"/>
          <w:szCs w:val="22"/>
          <w:lang w:val="en-US"/>
        </w:rPr>
        <w:t>P</w:t>
      </w:r>
      <w:r w:rsidRPr="004A47F0">
        <w:rPr>
          <w:sz w:val="22"/>
          <w:szCs w:val="22"/>
          <w:vertAlign w:val="subscript"/>
        </w:rPr>
        <w:t>30</w:t>
      </w:r>
      <w:r w:rsidRPr="004A47F0">
        <w:rPr>
          <w:sz w:val="22"/>
          <w:szCs w:val="22"/>
          <w:lang w:val="en-US"/>
        </w:rPr>
        <w:t>K</w:t>
      </w:r>
      <w:r w:rsidRPr="004A47F0">
        <w:rPr>
          <w:sz w:val="22"/>
          <w:szCs w:val="22"/>
          <w:vertAlign w:val="subscript"/>
        </w:rPr>
        <w:t>30</w:t>
      </w:r>
      <w:r w:rsidRPr="004A47F0">
        <w:rPr>
          <w:sz w:val="22"/>
          <w:szCs w:val="22"/>
        </w:rPr>
        <w:t>.</w:t>
      </w:r>
    </w:p>
    <w:p w:rsidR="004A47F0" w:rsidRPr="004A47F0" w:rsidRDefault="004A47F0" w:rsidP="004A47F0">
      <w:pPr>
        <w:ind w:firstLine="425"/>
        <w:jc w:val="both"/>
        <w:rPr>
          <w:sz w:val="22"/>
          <w:szCs w:val="22"/>
        </w:rPr>
      </w:pPr>
    </w:p>
    <w:p w:rsidR="004A47F0" w:rsidRPr="000B59A4" w:rsidRDefault="000B59A4" w:rsidP="004A47F0">
      <w:pPr>
        <w:ind w:firstLine="425"/>
        <w:jc w:val="center"/>
        <w:rPr>
          <w:sz w:val="22"/>
          <w:szCs w:val="22"/>
        </w:rPr>
      </w:pPr>
      <w:r w:rsidRPr="000B59A4">
        <w:rPr>
          <w:sz w:val="22"/>
          <w:szCs w:val="22"/>
        </w:rPr>
        <w:t>Список литературы</w:t>
      </w:r>
    </w:p>
    <w:p w:rsidR="004A47F0" w:rsidRPr="004A47F0" w:rsidRDefault="004A47F0" w:rsidP="004A47F0">
      <w:pPr>
        <w:ind w:firstLine="425"/>
        <w:jc w:val="both"/>
        <w:rPr>
          <w:sz w:val="22"/>
          <w:szCs w:val="22"/>
        </w:rPr>
      </w:pPr>
      <w:r w:rsidRPr="004A47F0">
        <w:rPr>
          <w:sz w:val="22"/>
          <w:szCs w:val="22"/>
        </w:rPr>
        <w:t>1.</w:t>
      </w:r>
      <w:r w:rsidR="000B59A4" w:rsidRPr="000B59A4">
        <w:rPr>
          <w:sz w:val="22"/>
          <w:szCs w:val="22"/>
        </w:rPr>
        <w:t xml:space="preserve"> </w:t>
      </w:r>
      <w:r w:rsidR="000B59A4" w:rsidRPr="004A47F0">
        <w:rPr>
          <w:sz w:val="22"/>
          <w:szCs w:val="22"/>
        </w:rPr>
        <w:t>Дроздова В.</w:t>
      </w:r>
      <w:r w:rsidR="000B59A4">
        <w:rPr>
          <w:sz w:val="22"/>
          <w:szCs w:val="22"/>
        </w:rPr>
        <w:t xml:space="preserve"> </w:t>
      </w:r>
      <w:r w:rsidR="000B59A4" w:rsidRPr="004A47F0">
        <w:rPr>
          <w:sz w:val="22"/>
          <w:szCs w:val="22"/>
        </w:rPr>
        <w:t>В.</w:t>
      </w:r>
      <w:r w:rsidR="000B59A4">
        <w:rPr>
          <w:sz w:val="22"/>
          <w:szCs w:val="22"/>
        </w:rPr>
        <w:t xml:space="preserve"> </w:t>
      </w:r>
      <w:r w:rsidRPr="004A47F0">
        <w:rPr>
          <w:sz w:val="22"/>
          <w:szCs w:val="22"/>
        </w:rPr>
        <w:t xml:space="preserve">Высота растений и накопление биомассы </w:t>
      </w:r>
      <w:proofErr w:type="gramStart"/>
      <w:r w:rsidRPr="004A47F0">
        <w:rPr>
          <w:sz w:val="22"/>
          <w:szCs w:val="22"/>
        </w:rPr>
        <w:t>л</w:t>
      </w:r>
      <w:r w:rsidRPr="004A47F0">
        <w:rPr>
          <w:sz w:val="22"/>
          <w:szCs w:val="22"/>
        </w:rPr>
        <w:t>ю</w:t>
      </w:r>
      <w:r w:rsidRPr="004A47F0">
        <w:rPr>
          <w:sz w:val="22"/>
          <w:szCs w:val="22"/>
        </w:rPr>
        <w:t>церновым</w:t>
      </w:r>
      <w:proofErr w:type="gramEnd"/>
      <w:r w:rsidRPr="004A47F0">
        <w:rPr>
          <w:sz w:val="22"/>
          <w:szCs w:val="22"/>
        </w:rPr>
        <w:t xml:space="preserve"> агроценозом при внесении удобрений / Дроздова В.В., </w:t>
      </w:r>
      <w:r w:rsidRPr="004A47F0">
        <w:rPr>
          <w:sz w:val="22"/>
          <w:szCs w:val="22"/>
        </w:rPr>
        <w:lastRenderedPageBreak/>
        <w:t xml:space="preserve">Шеуджен А.Х., Хуако А.Ю. Политематический сетевой журнал КубГАУ. 2014. </w:t>
      </w:r>
      <w:r w:rsidR="000B59A4">
        <w:rPr>
          <w:sz w:val="22"/>
          <w:szCs w:val="22"/>
        </w:rPr>
        <w:t xml:space="preserve">- </w:t>
      </w:r>
      <w:r w:rsidRPr="004A47F0">
        <w:rPr>
          <w:sz w:val="22"/>
          <w:szCs w:val="22"/>
        </w:rPr>
        <w:t>№ 98.</w:t>
      </w:r>
      <w:r w:rsidR="000B59A4">
        <w:rPr>
          <w:sz w:val="22"/>
          <w:szCs w:val="22"/>
        </w:rPr>
        <w:t xml:space="preserve"> -</w:t>
      </w:r>
      <w:r w:rsidRPr="004A47F0">
        <w:rPr>
          <w:sz w:val="22"/>
          <w:szCs w:val="22"/>
        </w:rPr>
        <w:t xml:space="preserve"> С. 828-853</w:t>
      </w:r>
    </w:p>
    <w:p w:rsidR="004A47F0" w:rsidRPr="004A47F0" w:rsidRDefault="004A47F0" w:rsidP="004A47F0">
      <w:pPr>
        <w:ind w:firstLine="425"/>
        <w:jc w:val="both"/>
        <w:rPr>
          <w:sz w:val="22"/>
          <w:szCs w:val="22"/>
        </w:rPr>
      </w:pPr>
      <w:r w:rsidRPr="004A47F0">
        <w:rPr>
          <w:sz w:val="22"/>
          <w:szCs w:val="22"/>
        </w:rPr>
        <w:t>2.</w:t>
      </w:r>
      <w:r w:rsidR="000B59A4" w:rsidRPr="000B59A4">
        <w:t xml:space="preserve"> </w:t>
      </w:r>
      <w:r w:rsidR="000B59A4" w:rsidRPr="000B59A4">
        <w:rPr>
          <w:sz w:val="22"/>
          <w:szCs w:val="22"/>
        </w:rPr>
        <w:t>Шеуджен А.</w:t>
      </w:r>
      <w:r w:rsidR="000B59A4">
        <w:rPr>
          <w:sz w:val="22"/>
          <w:szCs w:val="22"/>
        </w:rPr>
        <w:t xml:space="preserve"> </w:t>
      </w:r>
      <w:r w:rsidR="000B59A4" w:rsidRPr="000B59A4">
        <w:rPr>
          <w:sz w:val="22"/>
          <w:szCs w:val="22"/>
        </w:rPr>
        <w:t>Х.</w:t>
      </w:r>
      <w:r w:rsidR="000B59A4">
        <w:rPr>
          <w:sz w:val="22"/>
          <w:szCs w:val="22"/>
        </w:rPr>
        <w:t xml:space="preserve"> </w:t>
      </w:r>
      <w:r w:rsidRPr="004A47F0">
        <w:rPr>
          <w:sz w:val="22"/>
          <w:szCs w:val="22"/>
        </w:rPr>
        <w:t>Зависимость агрохимических свойств черн</w:t>
      </w:r>
      <w:r w:rsidRPr="004A47F0">
        <w:rPr>
          <w:sz w:val="22"/>
          <w:szCs w:val="22"/>
        </w:rPr>
        <w:t>о</w:t>
      </w:r>
      <w:r w:rsidRPr="004A47F0">
        <w:rPr>
          <w:sz w:val="22"/>
          <w:szCs w:val="22"/>
        </w:rPr>
        <w:t xml:space="preserve">зема выщелоченного от минеральных удобрений / Шеуджен А.Х., Леплявченко Л.П., Суетов В.П., Громова Л.И., Онищенко Л.М., Дроздова В.В., Ерезенко Е.Е., Осипов М.А. </w:t>
      </w:r>
      <w:hyperlink r:id="rId13" w:history="1">
        <w:r w:rsidRPr="004A47F0">
          <w:rPr>
            <w:sz w:val="22"/>
            <w:szCs w:val="22"/>
          </w:rPr>
          <w:t>Вестник Российской академии сельскохозяйственных наук</w:t>
        </w:r>
      </w:hyperlink>
      <w:r w:rsidRPr="004A47F0">
        <w:rPr>
          <w:sz w:val="22"/>
          <w:szCs w:val="22"/>
        </w:rPr>
        <w:t>. 2008.</w:t>
      </w:r>
      <w:r w:rsidR="000B59A4">
        <w:rPr>
          <w:sz w:val="22"/>
          <w:szCs w:val="22"/>
        </w:rPr>
        <w:t xml:space="preserve"> - </w:t>
      </w:r>
      <w:hyperlink r:id="rId14" w:history="1">
        <w:r w:rsidRPr="004A47F0">
          <w:rPr>
            <w:sz w:val="22"/>
            <w:szCs w:val="22"/>
          </w:rPr>
          <w:t>№ 5</w:t>
        </w:r>
      </w:hyperlink>
      <w:r w:rsidRPr="004A47F0">
        <w:rPr>
          <w:sz w:val="22"/>
          <w:szCs w:val="22"/>
        </w:rPr>
        <w:t>.</w:t>
      </w:r>
      <w:r w:rsidR="000B59A4">
        <w:rPr>
          <w:sz w:val="22"/>
          <w:szCs w:val="22"/>
        </w:rPr>
        <w:t xml:space="preserve"> -</w:t>
      </w:r>
      <w:r w:rsidRPr="004A47F0">
        <w:rPr>
          <w:sz w:val="22"/>
          <w:szCs w:val="22"/>
        </w:rPr>
        <w:t xml:space="preserve"> С. 30-32.</w:t>
      </w:r>
    </w:p>
    <w:p w:rsidR="006976DD" w:rsidRDefault="006976DD" w:rsidP="008A2DA0">
      <w:pPr>
        <w:pStyle w:val="31"/>
        <w:rPr>
          <w:rFonts w:eastAsia="Calibri"/>
          <w:sz w:val="22"/>
          <w:szCs w:val="22"/>
        </w:rPr>
      </w:pPr>
    </w:p>
    <w:p w:rsidR="004A47F0" w:rsidRDefault="004A47F0" w:rsidP="008A2DA0">
      <w:pPr>
        <w:pStyle w:val="31"/>
        <w:rPr>
          <w:rFonts w:eastAsia="Calibri"/>
          <w:sz w:val="22"/>
          <w:szCs w:val="22"/>
        </w:rPr>
      </w:pPr>
    </w:p>
    <w:p w:rsidR="000B59A4" w:rsidRDefault="000B59A4" w:rsidP="008A2DA0">
      <w:pPr>
        <w:pStyle w:val="31"/>
        <w:rPr>
          <w:rFonts w:eastAsia="Calibri"/>
          <w:sz w:val="22"/>
          <w:szCs w:val="22"/>
        </w:rPr>
      </w:pPr>
    </w:p>
    <w:p w:rsidR="004A47F0" w:rsidRPr="004A47F0" w:rsidRDefault="004A47F0" w:rsidP="004A47F0">
      <w:pPr>
        <w:rPr>
          <w:rFonts w:eastAsia="Calibri"/>
          <w:sz w:val="22"/>
          <w:szCs w:val="22"/>
          <w:lang w:eastAsia="en-US"/>
        </w:rPr>
      </w:pPr>
      <w:r w:rsidRPr="004A47F0">
        <w:rPr>
          <w:rFonts w:eastAsia="Calibri"/>
          <w:sz w:val="22"/>
          <w:szCs w:val="22"/>
          <w:lang w:eastAsia="en-US"/>
        </w:rPr>
        <w:t>УДК: 632.7.04/.08</w:t>
      </w:r>
    </w:p>
    <w:p w:rsidR="004A47F0" w:rsidRPr="004A47F0" w:rsidRDefault="004A47F0" w:rsidP="004A47F0">
      <w:pPr>
        <w:rPr>
          <w:rFonts w:eastAsia="Calibri"/>
          <w:sz w:val="24"/>
          <w:szCs w:val="24"/>
          <w:lang w:eastAsia="en-US"/>
        </w:rPr>
      </w:pPr>
    </w:p>
    <w:p w:rsidR="004A47F0" w:rsidRPr="004A47F0" w:rsidRDefault="004A47F0" w:rsidP="004A47F0">
      <w:pPr>
        <w:jc w:val="center"/>
        <w:rPr>
          <w:rFonts w:eastAsia="Calibri"/>
          <w:b/>
          <w:bCs/>
          <w:sz w:val="24"/>
          <w:szCs w:val="24"/>
          <w:lang w:eastAsia="en-US"/>
        </w:rPr>
      </w:pPr>
      <w:r w:rsidRPr="004A47F0">
        <w:rPr>
          <w:rFonts w:eastAsia="Calibri"/>
          <w:b/>
          <w:bCs/>
          <w:sz w:val="24"/>
          <w:szCs w:val="24"/>
          <w:lang w:eastAsia="en-US"/>
        </w:rPr>
        <w:t xml:space="preserve">Особенности заселенности сортов озимой пшеницы </w:t>
      </w:r>
      <w:r w:rsidR="000B59A4">
        <w:rPr>
          <w:rFonts w:eastAsia="Calibri"/>
          <w:b/>
          <w:bCs/>
          <w:sz w:val="24"/>
          <w:szCs w:val="24"/>
          <w:lang w:eastAsia="en-US"/>
        </w:rPr>
        <w:br/>
      </w:r>
      <w:r w:rsidRPr="004A47F0">
        <w:rPr>
          <w:rFonts w:eastAsia="Calibri"/>
          <w:b/>
          <w:bCs/>
          <w:sz w:val="24"/>
          <w:szCs w:val="24"/>
          <w:lang w:eastAsia="en-US"/>
        </w:rPr>
        <w:t>пьявицей обыкновенной (</w:t>
      </w:r>
      <w:r w:rsidRPr="004A47F0">
        <w:rPr>
          <w:rFonts w:eastAsia="Calibri"/>
          <w:b/>
          <w:bCs/>
          <w:sz w:val="24"/>
          <w:szCs w:val="24"/>
          <w:lang w:val="en-US" w:eastAsia="en-US"/>
        </w:rPr>
        <w:t>lema</w:t>
      </w:r>
      <w:r w:rsidRPr="004A47F0">
        <w:rPr>
          <w:rFonts w:eastAsia="Calibri"/>
          <w:b/>
          <w:bCs/>
          <w:sz w:val="24"/>
          <w:szCs w:val="24"/>
          <w:lang w:eastAsia="en-US"/>
        </w:rPr>
        <w:t xml:space="preserve"> </w:t>
      </w:r>
      <w:r w:rsidRPr="004A47F0">
        <w:rPr>
          <w:rFonts w:eastAsia="Calibri"/>
          <w:b/>
          <w:bCs/>
          <w:sz w:val="24"/>
          <w:szCs w:val="24"/>
          <w:lang w:val="en-US" w:eastAsia="en-US"/>
        </w:rPr>
        <w:t>melanopus</w:t>
      </w:r>
      <w:r w:rsidRPr="004A47F0">
        <w:rPr>
          <w:rFonts w:eastAsia="Calibri"/>
          <w:b/>
          <w:bCs/>
          <w:sz w:val="24"/>
          <w:szCs w:val="24"/>
          <w:lang w:eastAsia="en-US"/>
        </w:rPr>
        <w:t>)</w:t>
      </w:r>
    </w:p>
    <w:p w:rsidR="004A47F0" w:rsidRPr="004A47F0" w:rsidRDefault="004A47F0" w:rsidP="004A47F0">
      <w:pPr>
        <w:jc w:val="center"/>
        <w:rPr>
          <w:rFonts w:eastAsia="Calibri"/>
          <w:b/>
          <w:bCs/>
          <w:sz w:val="24"/>
          <w:szCs w:val="24"/>
          <w:lang w:val="en-US" w:eastAsia="en-US"/>
        </w:rPr>
      </w:pPr>
      <w:r w:rsidRPr="004A47F0">
        <w:rPr>
          <w:rFonts w:eastAsia="Calibri"/>
          <w:b/>
          <w:bCs/>
          <w:sz w:val="24"/>
          <w:szCs w:val="24"/>
          <w:lang w:val="en-US" w:eastAsia="en-US"/>
        </w:rPr>
        <w:t xml:space="preserve">Features of the settlement of winter wheat variety </w:t>
      </w:r>
      <w:r w:rsidRPr="004A47F0">
        <w:rPr>
          <w:rFonts w:eastAsia="Calibri"/>
          <w:b/>
          <w:bCs/>
          <w:color w:val="212121"/>
          <w:sz w:val="24"/>
          <w:szCs w:val="24"/>
          <w:shd w:val="clear" w:color="auto" w:fill="FFFFFF"/>
          <w:lang w:val="en-US" w:eastAsia="en-US"/>
        </w:rPr>
        <w:t>ordinary pyavitsa</w:t>
      </w:r>
    </w:p>
    <w:p w:rsidR="004A47F0" w:rsidRPr="004A47F0" w:rsidRDefault="004A47F0" w:rsidP="004A47F0">
      <w:pPr>
        <w:jc w:val="center"/>
        <w:rPr>
          <w:rFonts w:eastAsia="Calibri"/>
          <w:b/>
          <w:bCs/>
          <w:sz w:val="24"/>
          <w:szCs w:val="24"/>
          <w:lang w:val="en-US" w:eastAsia="en-US"/>
        </w:rPr>
      </w:pPr>
    </w:p>
    <w:p w:rsidR="004A47F0" w:rsidRPr="004A47F0" w:rsidRDefault="004A47F0" w:rsidP="004A47F0">
      <w:pPr>
        <w:jc w:val="right"/>
        <w:rPr>
          <w:rFonts w:eastAsia="Calibri"/>
          <w:sz w:val="22"/>
          <w:szCs w:val="22"/>
          <w:lang w:eastAsia="en-US"/>
        </w:rPr>
      </w:pPr>
      <w:r w:rsidRPr="004A47F0">
        <w:rPr>
          <w:rFonts w:eastAsia="Calibri"/>
          <w:sz w:val="22"/>
          <w:szCs w:val="22"/>
          <w:lang w:eastAsia="en-US"/>
        </w:rPr>
        <w:t>Левыченкова А.</w:t>
      </w:r>
      <w:r w:rsidR="000B59A4">
        <w:rPr>
          <w:rFonts w:eastAsia="Calibri"/>
          <w:sz w:val="22"/>
          <w:szCs w:val="22"/>
          <w:lang w:eastAsia="en-US"/>
        </w:rPr>
        <w:t xml:space="preserve"> </w:t>
      </w:r>
      <w:r w:rsidRPr="004A47F0">
        <w:rPr>
          <w:rFonts w:eastAsia="Calibri"/>
          <w:sz w:val="22"/>
          <w:szCs w:val="22"/>
          <w:lang w:eastAsia="en-US"/>
        </w:rPr>
        <w:t>А.,</w:t>
      </w:r>
    </w:p>
    <w:p w:rsidR="000B59A4" w:rsidRDefault="000B59A4" w:rsidP="004A47F0">
      <w:pPr>
        <w:jc w:val="right"/>
        <w:rPr>
          <w:rFonts w:eastAsia="Calibri"/>
          <w:sz w:val="22"/>
          <w:szCs w:val="22"/>
          <w:lang w:eastAsia="en-US"/>
        </w:rPr>
      </w:pPr>
      <w:r>
        <w:rPr>
          <w:rFonts w:eastAsia="Calibri"/>
          <w:sz w:val="22"/>
          <w:szCs w:val="22"/>
          <w:lang w:eastAsia="en-US"/>
        </w:rPr>
        <w:t>магистрантка 1 курса</w:t>
      </w:r>
    </w:p>
    <w:p w:rsidR="004A47F0" w:rsidRPr="004A47F0" w:rsidRDefault="000B59A4" w:rsidP="004A47F0">
      <w:pPr>
        <w:jc w:val="right"/>
        <w:rPr>
          <w:rFonts w:eastAsia="Calibri"/>
          <w:sz w:val="22"/>
          <w:szCs w:val="22"/>
          <w:lang w:eastAsia="en-US"/>
        </w:rPr>
      </w:pPr>
      <w:r>
        <w:rPr>
          <w:rFonts w:eastAsia="Calibri"/>
          <w:sz w:val="22"/>
          <w:szCs w:val="22"/>
          <w:lang w:eastAsia="en-US"/>
        </w:rPr>
        <w:t xml:space="preserve">факультета </w:t>
      </w:r>
      <w:r w:rsidR="004A47F0" w:rsidRPr="004A47F0">
        <w:rPr>
          <w:rFonts w:eastAsia="Calibri"/>
          <w:sz w:val="22"/>
          <w:szCs w:val="22"/>
          <w:lang w:eastAsia="en-US"/>
        </w:rPr>
        <w:t>агрохимии и защиты растений</w:t>
      </w:r>
    </w:p>
    <w:p w:rsidR="000B59A4" w:rsidRPr="004A47F0" w:rsidRDefault="000B59A4" w:rsidP="000B59A4">
      <w:pPr>
        <w:ind w:firstLine="425"/>
        <w:jc w:val="right"/>
        <w:rPr>
          <w:color w:val="000000"/>
          <w:sz w:val="22"/>
          <w:szCs w:val="22"/>
          <w:shd w:val="clear" w:color="auto" w:fill="FFFFFF"/>
        </w:rPr>
      </w:pPr>
      <w:r w:rsidRPr="004A47F0">
        <w:rPr>
          <w:color w:val="000000"/>
          <w:sz w:val="22"/>
          <w:szCs w:val="22"/>
          <w:shd w:val="clear" w:color="auto" w:fill="FFFFFF"/>
        </w:rPr>
        <w:t>Кубанс</w:t>
      </w:r>
      <w:r>
        <w:rPr>
          <w:color w:val="000000"/>
          <w:sz w:val="22"/>
          <w:szCs w:val="22"/>
          <w:shd w:val="clear" w:color="auto" w:fill="FFFFFF"/>
        </w:rPr>
        <w:t>кого государственного аграрного</w:t>
      </w:r>
    </w:p>
    <w:p w:rsidR="000B59A4" w:rsidRPr="004A47F0" w:rsidRDefault="000B59A4" w:rsidP="000B59A4">
      <w:pPr>
        <w:ind w:firstLine="425"/>
        <w:jc w:val="right"/>
        <w:rPr>
          <w:color w:val="000000"/>
          <w:sz w:val="22"/>
          <w:szCs w:val="22"/>
          <w:shd w:val="clear" w:color="auto" w:fill="FFFFFF"/>
        </w:rPr>
      </w:pPr>
      <w:r w:rsidRPr="004A47F0">
        <w:rPr>
          <w:color w:val="000000"/>
          <w:sz w:val="22"/>
          <w:szCs w:val="22"/>
          <w:shd w:val="clear" w:color="auto" w:fill="FFFFFF"/>
        </w:rPr>
        <w:t>университета имени И.</w:t>
      </w:r>
      <w:r>
        <w:rPr>
          <w:color w:val="000000"/>
          <w:sz w:val="22"/>
          <w:szCs w:val="22"/>
          <w:shd w:val="clear" w:color="auto" w:fill="FFFFFF"/>
        </w:rPr>
        <w:t xml:space="preserve"> </w:t>
      </w:r>
      <w:r w:rsidRPr="004A47F0">
        <w:rPr>
          <w:color w:val="000000"/>
          <w:sz w:val="22"/>
          <w:szCs w:val="22"/>
          <w:shd w:val="clear" w:color="auto" w:fill="FFFFFF"/>
        </w:rPr>
        <w:t>Т. Трубилина</w:t>
      </w:r>
    </w:p>
    <w:p w:rsidR="000B59A4" w:rsidRDefault="000B59A4" w:rsidP="004A47F0">
      <w:pPr>
        <w:keepLines/>
        <w:jc w:val="both"/>
        <w:rPr>
          <w:rFonts w:eastAsia="Calibri"/>
          <w:b/>
          <w:bCs/>
          <w:sz w:val="22"/>
          <w:szCs w:val="22"/>
          <w:lang w:eastAsia="en-US"/>
        </w:rPr>
      </w:pPr>
    </w:p>
    <w:p w:rsidR="004A47F0" w:rsidRPr="004A47F0" w:rsidRDefault="004A47F0" w:rsidP="000B59A4">
      <w:pPr>
        <w:keepLines/>
        <w:ind w:firstLine="426"/>
        <w:jc w:val="both"/>
        <w:rPr>
          <w:rFonts w:eastAsia="Calibri"/>
          <w:sz w:val="22"/>
          <w:szCs w:val="22"/>
          <w:lang w:val="en-US" w:eastAsia="en-US"/>
        </w:rPr>
      </w:pPr>
      <w:r w:rsidRPr="004A47F0">
        <w:rPr>
          <w:rFonts w:eastAsia="Calibri"/>
          <w:sz w:val="22"/>
          <w:szCs w:val="22"/>
          <w:lang w:eastAsia="en-US"/>
        </w:rPr>
        <w:t xml:space="preserve">АННОТАЦИЯ: Выявлено, что лучшие условия для питания жуков пьявицы складываются на сорте </w:t>
      </w:r>
      <w:proofErr w:type="gramStart"/>
      <w:r w:rsidRPr="004A47F0">
        <w:rPr>
          <w:rFonts w:eastAsia="Calibri"/>
          <w:sz w:val="22"/>
          <w:szCs w:val="22"/>
          <w:lang w:eastAsia="en-US"/>
        </w:rPr>
        <w:t>Безостая</w:t>
      </w:r>
      <w:proofErr w:type="gramEnd"/>
      <w:r w:rsidRPr="004A47F0">
        <w:rPr>
          <w:rFonts w:eastAsia="Calibri"/>
          <w:sz w:val="22"/>
          <w:szCs w:val="22"/>
          <w:lang w:eastAsia="en-US"/>
        </w:rPr>
        <w:t xml:space="preserve"> 100. Однако, усл</w:t>
      </w:r>
      <w:r w:rsidRPr="004A47F0">
        <w:rPr>
          <w:rFonts w:eastAsia="Calibri"/>
          <w:sz w:val="22"/>
          <w:szCs w:val="22"/>
          <w:lang w:eastAsia="en-US"/>
        </w:rPr>
        <w:t>о</w:t>
      </w:r>
      <w:r w:rsidRPr="004A47F0">
        <w:rPr>
          <w:rFonts w:eastAsia="Calibri"/>
          <w:sz w:val="22"/>
          <w:szCs w:val="22"/>
          <w:lang w:eastAsia="en-US"/>
        </w:rPr>
        <w:t>вия питания для личинок на этом сорте менее благоприятны, чем на сорте Антонина. Вышесказанное</w:t>
      </w:r>
      <w:r w:rsidRPr="004A47F0">
        <w:rPr>
          <w:rFonts w:eastAsia="Calibri"/>
          <w:sz w:val="22"/>
          <w:szCs w:val="22"/>
          <w:lang w:val="en-US" w:eastAsia="en-US"/>
        </w:rPr>
        <w:t xml:space="preserve"> </w:t>
      </w:r>
      <w:r w:rsidRPr="004A47F0">
        <w:rPr>
          <w:rFonts w:eastAsia="Calibri"/>
          <w:sz w:val="22"/>
          <w:szCs w:val="22"/>
          <w:lang w:eastAsia="en-US"/>
        </w:rPr>
        <w:t>может</w:t>
      </w:r>
      <w:r w:rsidRPr="004A47F0">
        <w:rPr>
          <w:rFonts w:eastAsia="Calibri"/>
          <w:sz w:val="22"/>
          <w:szCs w:val="22"/>
          <w:lang w:val="en-US" w:eastAsia="en-US"/>
        </w:rPr>
        <w:t xml:space="preserve"> </w:t>
      </w:r>
      <w:r w:rsidRPr="004A47F0">
        <w:rPr>
          <w:rFonts w:eastAsia="Calibri"/>
          <w:sz w:val="22"/>
          <w:szCs w:val="22"/>
          <w:lang w:eastAsia="en-US"/>
        </w:rPr>
        <w:t>способствовать</w:t>
      </w:r>
      <w:r w:rsidRPr="004A47F0">
        <w:rPr>
          <w:rFonts w:eastAsia="Calibri"/>
          <w:sz w:val="22"/>
          <w:szCs w:val="22"/>
          <w:lang w:val="en-US" w:eastAsia="en-US"/>
        </w:rPr>
        <w:t xml:space="preserve"> </w:t>
      </w:r>
      <w:r w:rsidRPr="004A47F0">
        <w:rPr>
          <w:rFonts w:eastAsia="Calibri"/>
          <w:sz w:val="22"/>
          <w:szCs w:val="22"/>
          <w:lang w:eastAsia="en-US"/>
        </w:rPr>
        <w:t>снижению</w:t>
      </w:r>
      <w:r w:rsidRPr="004A47F0">
        <w:rPr>
          <w:rFonts w:eastAsia="Calibri"/>
          <w:sz w:val="22"/>
          <w:szCs w:val="22"/>
          <w:lang w:val="en-US" w:eastAsia="en-US"/>
        </w:rPr>
        <w:t xml:space="preserve"> </w:t>
      </w:r>
      <w:r w:rsidRPr="004A47F0">
        <w:rPr>
          <w:rFonts w:eastAsia="Calibri"/>
          <w:sz w:val="22"/>
          <w:szCs w:val="22"/>
          <w:lang w:eastAsia="en-US"/>
        </w:rPr>
        <w:t>численности</w:t>
      </w:r>
      <w:r w:rsidRPr="004A47F0">
        <w:rPr>
          <w:rFonts w:eastAsia="Calibri"/>
          <w:sz w:val="22"/>
          <w:szCs w:val="22"/>
          <w:lang w:val="en-US" w:eastAsia="en-US"/>
        </w:rPr>
        <w:t xml:space="preserve"> </w:t>
      </w:r>
      <w:r w:rsidRPr="004A47F0">
        <w:rPr>
          <w:rFonts w:eastAsia="Calibri"/>
          <w:sz w:val="22"/>
          <w:szCs w:val="22"/>
          <w:lang w:eastAsia="en-US"/>
        </w:rPr>
        <w:t>популяции</w:t>
      </w:r>
      <w:r w:rsidRPr="004A47F0">
        <w:rPr>
          <w:rFonts w:eastAsia="Calibri"/>
          <w:sz w:val="22"/>
          <w:szCs w:val="22"/>
          <w:lang w:val="en-US" w:eastAsia="en-US"/>
        </w:rPr>
        <w:t xml:space="preserve"> </w:t>
      </w:r>
      <w:r w:rsidRPr="004A47F0">
        <w:rPr>
          <w:rFonts w:eastAsia="Calibri"/>
          <w:sz w:val="22"/>
          <w:szCs w:val="22"/>
          <w:lang w:eastAsia="en-US"/>
        </w:rPr>
        <w:t>обыкновенной</w:t>
      </w:r>
      <w:r w:rsidRPr="004A47F0">
        <w:rPr>
          <w:rFonts w:eastAsia="Calibri"/>
          <w:sz w:val="22"/>
          <w:szCs w:val="22"/>
          <w:lang w:val="en-US" w:eastAsia="en-US"/>
        </w:rPr>
        <w:t>.</w:t>
      </w:r>
    </w:p>
    <w:p w:rsidR="004A47F0" w:rsidRPr="004A47F0" w:rsidRDefault="004A47F0" w:rsidP="000B59A4">
      <w:pPr>
        <w:ind w:firstLine="426"/>
        <w:jc w:val="both"/>
        <w:rPr>
          <w:rFonts w:eastAsia="Calibri"/>
          <w:sz w:val="22"/>
          <w:szCs w:val="22"/>
          <w:lang w:val="en-US" w:eastAsia="en-US"/>
        </w:rPr>
      </w:pPr>
      <w:r w:rsidRPr="004A47F0">
        <w:rPr>
          <w:rFonts w:eastAsia="Calibri"/>
          <w:sz w:val="22"/>
          <w:szCs w:val="22"/>
          <w:lang w:val="en-US" w:eastAsia="en-US"/>
        </w:rPr>
        <w:t xml:space="preserve">ABSTRACT: It was revealed that the best conditions for feeding the </w:t>
      </w:r>
      <w:proofErr w:type="gramStart"/>
      <w:r w:rsidRPr="004A47F0">
        <w:rPr>
          <w:rFonts w:eastAsia="Calibri"/>
          <w:sz w:val="22"/>
          <w:szCs w:val="22"/>
          <w:lang w:val="en-US" w:eastAsia="en-US"/>
        </w:rPr>
        <w:t>beetles</w:t>
      </w:r>
      <w:proofErr w:type="gramEnd"/>
      <w:r w:rsidRPr="004A47F0">
        <w:rPr>
          <w:rFonts w:eastAsia="Calibri"/>
          <w:sz w:val="22"/>
          <w:szCs w:val="22"/>
          <w:lang w:val="en-US" w:eastAsia="en-US"/>
        </w:rPr>
        <w:t xml:space="preserve"> </w:t>
      </w:r>
      <w:r w:rsidRPr="004A47F0">
        <w:rPr>
          <w:rFonts w:eastAsia="Calibri"/>
          <w:color w:val="212121"/>
          <w:sz w:val="22"/>
          <w:szCs w:val="22"/>
          <w:shd w:val="clear" w:color="auto" w:fill="FFFFFF"/>
          <w:lang w:val="en-US" w:eastAsia="en-US"/>
        </w:rPr>
        <w:t>ordinary pyavitsa</w:t>
      </w:r>
      <w:r w:rsidRPr="004A47F0">
        <w:rPr>
          <w:rFonts w:eastAsia="Calibri"/>
          <w:sz w:val="20"/>
          <w:szCs w:val="20"/>
          <w:lang w:val="en-US" w:eastAsia="en-US"/>
        </w:rPr>
        <w:t xml:space="preserve"> </w:t>
      </w:r>
      <w:r w:rsidRPr="004A47F0">
        <w:rPr>
          <w:rFonts w:eastAsia="Calibri"/>
          <w:sz w:val="22"/>
          <w:szCs w:val="22"/>
          <w:lang w:val="en-US" w:eastAsia="en-US"/>
        </w:rPr>
        <w:t>of beets are formed on the class Bezostaya 100. However, the feeding conditions for the larvae on this variety are less favorable than on the Antonina variety.</w:t>
      </w:r>
      <w:r w:rsidRPr="004A47F0">
        <w:rPr>
          <w:rFonts w:ascii="Arial" w:eastAsia="Calibri" w:hAnsi="Arial" w:cs="Arial"/>
          <w:color w:val="333333"/>
          <w:sz w:val="23"/>
          <w:szCs w:val="23"/>
          <w:shd w:val="clear" w:color="auto" w:fill="FFFFFF"/>
          <w:lang w:val="en-US" w:eastAsia="en-US"/>
        </w:rPr>
        <w:t xml:space="preserve"> </w:t>
      </w:r>
      <w:r w:rsidRPr="004A47F0">
        <w:rPr>
          <w:rFonts w:eastAsia="Calibri"/>
          <w:color w:val="333333"/>
          <w:sz w:val="22"/>
          <w:szCs w:val="22"/>
          <w:shd w:val="clear" w:color="auto" w:fill="FFFFFF"/>
          <w:lang w:val="en-US" w:eastAsia="en-US"/>
        </w:rPr>
        <w:t>The aforesaid can promote d</w:t>
      </w:r>
      <w:r w:rsidRPr="004A47F0">
        <w:rPr>
          <w:rFonts w:eastAsia="Calibri"/>
          <w:color w:val="333333"/>
          <w:sz w:val="22"/>
          <w:szCs w:val="22"/>
          <w:shd w:val="clear" w:color="auto" w:fill="FFFFFF"/>
          <w:lang w:val="en-US" w:eastAsia="en-US"/>
        </w:rPr>
        <w:t>e</w:t>
      </w:r>
      <w:r w:rsidRPr="004A47F0">
        <w:rPr>
          <w:rFonts w:eastAsia="Calibri"/>
          <w:color w:val="333333"/>
          <w:sz w:val="22"/>
          <w:szCs w:val="22"/>
          <w:shd w:val="clear" w:color="auto" w:fill="FFFFFF"/>
          <w:lang w:val="en-US" w:eastAsia="en-US"/>
        </w:rPr>
        <w:t>crease in number of population of a pyavitsa ordinary.</w:t>
      </w:r>
    </w:p>
    <w:p w:rsidR="004A47F0" w:rsidRPr="004A47F0" w:rsidRDefault="004A47F0" w:rsidP="000B59A4">
      <w:pPr>
        <w:keepLines/>
        <w:ind w:firstLine="426"/>
        <w:jc w:val="both"/>
        <w:rPr>
          <w:rFonts w:eastAsia="Calibri"/>
          <w:sz w:val="22"/>
          <w:szCs w:val="22"/>
          <w:lang w:eastAsia="en-US"/>
        </w:rPr>
      </w:pPr>
      <w:r w:rsidRPr="004A47F0">
        <w:rPr>
          <w:rFonts w:eastAsia="Calibri"/>
          <w:sz w:val="22"/>
          <w:szCs w:val="22"/>
          <w:lang w:eastAsia="en-US"/>
        </w:rPr>
        <w:t>КЛЮЧЕВЫЕ СЛОВА: Пшеница, пьявица обыкновенная, сорт, вредоносность, фитофаг.</w:t>
      </w:r>
    </w:p>
    <w:p w:rsidR="004A47F0" w:rsidRPr="004A47F0" w:rsidRDefault="004A47F0" w:rsidP="000B5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eastAsia="Calibri"/>
          <w:color w:val="212121"/>
          <w:sz w:val="22"/>
          <w:szCs w:val="22"/>
          <w:lang w:val="en-US"/>
        </w:rPr>
      </w:pPr>
      <w:r w:rsidRPr="004A47F0">
        <w:rPr>
          <w:rFonts w:eastAsia="Calibri"/>
          <w:sz w:val="22"/>
          <w:szCs w:val="22"/>
          <w:lang w:val="en-US"/>
        </w:rPr>
        <w:t>KEYWORDS:</w:t>
      </w:r>
      <w:r w:rsidRPr="004A47F0">
        <w:rPr>
          <w:rFonts w:eastAsia="Calibri"/>
          <w:color w:val="212121"/>
          <w:sz w:val="22"/>
          <w:szCs w:val="22"/>
          <w:lang w:val="en-US"/>
        </w:rPr>
        <w:t xml:space="preserve"> Wheat, </w:t>
      </w:r>
      <w:r w:rsidRPr="004A47F0">
        <w:rPr>
          <w:rFonts w:eastAsia="Calibri"/>
          <w:color w:val="212121"/>
          <w:sz w:val="22"/>
          <w:szCs w:val="22"/>
          <w:shd w:val="clear" w:color="auto" w:fill="FFFFFF"/>
          <w:lang w:val="en-US"/>
        </w:rPr>
        <w:t xml:space="preserve">ordinary </w:t>
      </w:r>
      <w:proofErr w:type="gramStart"/>
      <w:r w:rsidRPr="004A47F0">
        <w:rPr>
          <w:rFonts w:eastAsia="Calibri"/>
          <w:color w:val="212121"/>
          <w:sz w:val="22"/>
          <w:szCs w:val="22"/>
          <w:shd w:val="clear" w:color="auto" w:fill="FFFFFF"/>
          <w:lang w:val="en-US"/>
        </w:rPr>
        <w:t>pyavitsa</w:t>
      </w:r>
      <w:r w:rsidRPr="004A47F0">
        <w:rPr>
          <w:rFonts w:eastAsia="Calibri"/>
          <w:color w:val="212121"/>
          <w:sz w:val="24"/>
          <w:szCs w:val="24"/>
          <w:lang w:val="en-US"/>
        </w:rPr>
        <w:t xml:space="preserve"> </w:t>
      </w:r>
      <w:r w:rsidRPr="004A47F0">
        <w:rPr>
          <w:rFonts w:eastAsia="Calibri"/>
          <w:sz w:val="22"/>
          <w:szCs w:val="22"/>
          <w:lang w:val="en-US"/>
        </w:rPr>
        <w:t>,</w:t>
      </w:r>
      <w:proofErr w:type="gramEnd"/>
      <w:r w:rsidRPr="004A47F0">
        <w:rPr>
          <w:rFonts w:eastAsia="Calibri"/>
          <w:sz w:val="22"/>
          <w:szCs w:val="22"/>
          <w:lang w:val="en-US"/>
        </w:rPr>
        <w:t xml:space="preserve"> </w:t>
      </w:r>
      <w:r w:rsidRPr="004A47F0">
        <w:rPr>
          <w:rFonts w:eastAsia="Calibri"/>
          <w:color w:val="212121"/>
          <w:sz w:val="22"/>
          <w:szCs w:val="22"/>
          <w:shd w:val="clear" w:color="auto" w:fill="FFFFFF"/>
          <w:lang w:val="en-US"/>
        </w:rPr>
        <w:t>variety, harmfulness, phytophagous</w:t>
      </w:r>
      <w:r w:rsidR="00A8504F" w:rsidRPr="00A8504F">
        <w:rPr>
          <w:rFonts w:eastAsia="Calibri"/>
          <w:color w:val="212121"/>
          <w:sz w:val="22"/>
          <w:szCs w:val="22"/>
          <w:shd w:val="clear" w:color="auto" w:fill="FFFFFF"/>
          <w:lang w:val="en-US"/>
        </w:rPr>
        <w:t>.</w:t>
      </w:r>
      <w:r w:rsidRPr="004A47F0">
        <w:rPr>
          <w:rFonts w:eastAsia="Calibri"/>
          <w:sz w:val="20"/>
          <w:szCs w:val="20"/>
          <w:lang w:val="en-US"/>
        </w:rPr>
        <w:t xml:space="preserve"> </w:t>
      </w:r>
    </w:p>
    <w:p w:rsidR="004A47F0" w:rsidRPr="004A47F0" w:rsidRDefault="004A47F0" w:rsidP="000B59A4">
      <w:pPr>
        <w:ind w:firstLine="426"/>
        <w:jc w:val="both"/>
        <w:rPr>
          <w:rFonts w:eastAsia="Calibri"/>
          <w:sz w:val="22"/>
          <w:szCs w:val="22"/>
          <w:lang w:val="en-US" w:eastAsia="en-US"/>
        </w:rPr>
      </w:pPr>
    </w:p>
    <w:p w:rsidR="004A47F0" w:rsidRPr="004A47F0" w:rsidRDefault="004A47F0" w:rsidP="000B59A4">
      <w:pPr>
        <w:ind w:firstLine="426"/>
        <w:jc w:val="both"/>
        <w:rPr>
          <w:rFonts w:eastAsia="Calibri"/>
          <w:b/>
          <w:bCs/>
          <w:sz w:val="24"/>
          <w:szCs w:val="24"/>
          <w:lang w:eastAsia="en-US"/>
        </w:rPr>
      </w:pPr>
      <w:r w:rsidRPr="004A47F0">
        <w:rPr>
          <w:rFonts w:eastAsia="Calibri"/>
          <w:sz w:val="22"/>
          <w:szCs w:val="22"/>
          <w:lang w:eastAsia="en-US"/>
        </w:rPr>
        <w:t>В последние годы наблюдается нарастание численности в п</w:t>
      </w:r>
      <w:r w:rsidRPr="004A47F0">
        <w:rPr>
          <w:rFonts w:eastAsia="Calibri"/>
          <w:sz w:val="22"/>
          <w:szCs w:val="22"/>
          <w:lang w:eastAsia="en-US"/>
        </w:rPr>
        <w:t>о</w:t>
      </w:r>
      <w:r w:rsidRPr="004A47F0">
        <w:rPr>
          <w:rFonts w:eastAsia="Calibri"/>
          <w:sz w:val="22"/>
          <w:szCs w:val="22"/>
          <w:lang w:eastAsia="en-US"/>
        </w:rPr>
        <w:t>севах озимой пшеницы пьявицы обыкновенной (</w:t>
      </w:r>
      <w:r w:rsidRPr="004A47F0">
        <w:rPr>
          <w:rFonts w:eastAsia="Calibri"/>
          <w:sz w:val="22"/>
          <w:szCs w:val="22"/>
          <w:lang w:val="en-US" w:eastAsia="en-US"/>
        </w:rPr>
        <w:t>Lema</w:t>
      </w:r>
      <w:r w:rsidRPr="004A47F0">
        <w:rPr>
          <w:rFonts w:eastAsia="Calibri"/>
          <w:sz w:val="22"/>
          <w:szCs w:val="22"/>
          <w:lang w:eastAsia="en-US"/>
        </w:rPr>
        <w:t xml:space="preserve"> </w:t>
      </w:r>
      <w:r w:rsidRPr="004A47F0">
        <w:rPr>
          <w:rFonts w:eastAsia="Calibri"/>
          <w:sz w:val="22"/>
          <w:szCs w:val="22"/>
          <w:lang w:val="en-US" w:eastAsia="en-US"/>
        </w:rPr>
        <w:t>Melanopus</w:t>
      </w:r>
      <w:r w:rsidRPr="004A47F0">
        <w:rPr>
          <w:rFonts w:eastAsia="Calibri"/>
          <w:sz w:val="22"/>
          <w:szCs w:val="22"/>
          <w:lang w:eastAsia="en-US"/>
        </w:rPr>
        <w:t>). Посевы заселяются этим фитофагом с конца весеннего кущения. Растения повреждают как имаго, так и личинки. Наиболее вред</w:t>
      </w:r>
      <w:r w:rsidRPr="004A47F0">
        <w:rPr>
          <w:rFonts w:eastAsia="Calibri"/>
          <w:sz w:val="22"/>
          <w:szCs w:val="22"/>
          <w:lang w:eastAsia="en-US"/>
        </w:rPr>
        <w:t>о</w:t>
      </w:r>
      <w:r w:rsidRPr="004A47F0">
        <w:rPr>
          <w:rFonts w:eastAsia="Calibri"/>
          <w:sz w:val="22"/>
          <w:szCs w:val="22"/>
          <w:lang w:eastAsia="en-US"/>
        </w:rPr>
        <w:t>носна личинка пьявицы. Они уничтожают паренхиму листьев, что снижает фотосинтетическую активность. Особенно опасно повр</w:t>
      </w:r>
      <w:r w:rsidRPr="004A47F0">
        <w:rPr>
          <w:rFonts w:eastAsia="Calibri"/>
          <w:sz w:val="22"/>
          <w:szCs w:val="22"/>
          <w:lang w:eastAsia="en-US"/>
        </w:rPr>
        <w:t>е</w:t>
      </w:r>
      <w:r w:rsidRPr="004A47F0">
        <w:rPr>
          <w:rFonts w:eastAsia="Calibri"/>
          <w:sz w:val="22"/>
          <w:szCs w:val="22"/>
          <w:lang w:eastAsia="en-US"/>
        </w:rPr>
        <w:t>ждение флагового листа, так как он участвует в наливе зерна. Зас</w:t>
      </w:r>
      <w:r w:rsidRPr="004A47F0">
        <w:rPr>
          <w:rFonts w:eastAsia="Calibri"/>
          <w:sz w:val="22"/>
          <w:szCs w:val="22"/>
          <w:lang w:eastAsia="en-US"/>
        </w:rPr>
        <w:t>е</w:t>
      </w:r>
      <w:r w:rsidRPr="004A47F0">
        <w:rPr>
          <w:rFonts w:eastAsia="Calibri"/>
          <w:sz w:val="22"/>
          <w:szCs w:val="22"/>
          <w:lang w:eastAsia="en-US"/>
        </w:rPr>
        <w:t>ление посевов озимой пшеницы пьявицы растянуто во времени. К спариванию, яйцекладке жуки приступают в разное время, что пр</w:t>
      </w:r>
      <w:r w:rsidRPr="004A47F0">
        <w:rPr>
          <w:rFonts w:eastAsia="Calibri"/>
          <w:sz w:val="22"/>
          <w:szCs w:val="22"/>
          <w:lang w:eastAsia="en-US"/>
        </w:rPr>
        <w:t>и</w:t>
      </w:r>
      <w:r w:rsidRPr="004A47F0">
        <w:rPr>
          <w:rFonts w:eastAsia="Calibri"/>
          <w:sz w:val="22"/>
          <w:szCs w:val="22"/>
          <w:lang w:eastAsia="en-US"/>
        </w:rPr>
        <w:t xml:space="preserve">водит </w:t>
      </w:r>
      <w:proofErr w:type="gramStart"/>
      <w:r w:rsidRPr="004A47F0">
        <w:rPr>
          <w:rFonts w:eastAsia="Calibri"/>
          <w:sz w:val="22"/>
          <w:szCs w:val="22"/>
          <w:lang w:eastAsia="en-US"/>
        </w:rPr>
        <w:t>к</w:t>
      </w:r>
      <w:proofErr w:type="gramEnd"/>
      <w:r w:rsidRPr="004A47F0">
        <w:rPr>
          <w:rFonts w:eastAsia="Calibri"/>
          <w:sz w:val="22"/>
          <w:szCs w:val="22"/>
          <w:lang w:eastAsia="en-US"/>
        </w:rPr>
        <w:t xml:space="preserve"> постепенному отрождению личинок. В результате в посевах одновременно присутствуют разновозрастные личинки, яйцекладки и имаго пьявицы обыкновенной. В связи с этим трудно определить момент применения оперативных методов защиты. Наличие в п</w:t>
      </w:r>
      <w:r w:rsidRPr="004A47F0">
        <w:rPr>
          <w:rFonts w:eastAsia="Calibri"/>
          <w:sz w:val="22"/>
          <w:szCs w:val="22"/>
          <w:lang w:eastAsia="en-US"/>
        </w:rPr>
        <w:t>о</w:t>
      </w:r>
      <w:r w:rsidRPr="004A47F0">
        <w:rPr>
          <w:rFonts w:eastAsia="Calibri"/>
          <w:sz w:val="22"/>
          <w:szCs w:val="22"/>
          <w:lang w:eastAsia="en-US"/>
        </w:rPr>
        <w:t>пуляции разных стадий фитофага снижает эффективность примен</w:t>
      </w:r>
      <w:r w:rsidRPr="004A47F0">
        <w:rPr>
          <w:rFonts w:eastAsia="Calibri"/>
          <w:sz w:val="22"/>
          <w:szCs w:val="22"/>
          <w:lang w:eastAsia="en-US"/>
        </w:rPr>
        <w:t>е</w:t>
      </w:r>
      <w:r w:rsidRPr="004A47F0">
        <w:rPr>
          <w:rFonts w:eastAsia="Calibri"/>
          <w:sz w:val="22"/>
          <w:szCs w:val="22"/>
          <w:lang w:eastAsia="en-US"/>
        </w:rPr>
        <w:t>ния пестицидов [1].</w:t>
      </w:r>
    </w:p>
    <w:p w:rsidR="004A47F0" w:rsidRPr="004A47F0" w:rsidRDefault="004A47F0" w:rsidP="000B59A4">
      <w:pPr>
        <w:ind w:firstLine="426"/>
        <w:jc w:val="both"/>
        <w:rPr>
          <w:rFonts w:eastAsia="Calibri"/>
          <w:b/>
          <w:bCs/>
          <w:sz w:val="24"/>
          <w:szCs w:val="24"/>
          <w:lang w:eastAsia="en-US"/>
        </w:rPr>
      </w:pPr>
      <w:r w:rsidRPr="004A47F0">
        <w:rPr>
          <w:rFonts w:eastAsia="Calibri"/>
          <w:sz w:val="22"/>
          <w:szCs w:val="22"/>
          <w:lang w:eastAsia="en-US"/>
        </w:rPr>
        <w:t>В последнее время большое значение уделяется выведению сортов озимой пшеницы, устойчивой к вредным организмам. На устойчивом сорте развитие фитофага затруднено, что приводит к снижению численности популяции. Таким образом, выращивание более устойчивого сорта позволит сократить применение операти</w:t>
      </w:r>
      <w:r w:rsidRPr="004A47F0">
        <w:rPr>
          <w:rFonts w:eastAsia="Calibri"/>
          <w:sz w:val="22"/>
          <w:szCs w:val="22"/>
          <w:lang w:eastAsia="en-US"/>
        </w:rPr>
        <w:t>в</w:t>
      </w:r>
      <w:r w:rsidRPr="004A47F0">
        <w:rPr>
          <w:rFonts w:eastAsia="Calibri"/>
          <w:sz w:val="22"/>
          <w:szCs w:val="22"/>
          <w:lang w:eastAsia="en-US"/>
        </w:rPr>
        <w:t xml:space="preserve">ных методов защиты. </w:t>
      </w:r>
    </w:p>
    <w:p w:rsidR="004A47F0" w:rsidRPr="004A47F0" w:rsidRDefault="004A47F0" w:rsidP="000B59A4">
      <w:pPr>
        <w:ind w:firstLine="426"/>
        <w:jc w:val="both"/>
        <w:rPr>
          <w:rFonts w:eastAsia="Calibri"/>
          <w:b/>
          <w:bCs/>
          <w:sz w:val="24"/>
          <w:szCs w:val="24"/>
          <w:lang w:eastAsia="en-US"/>
        </w:rPr>
      </w:pPr>
      <w:r w:rsidRPr="004A47F0">
        <w:rPr>
          <w:rFonts w:eastAsia="Calibri"/>
          <w:sz w:val="22"/>
          <w:szCs w:val="22"/>
          <w:lang w:eastAsia="en-US"/>
        </w:rPr>
        <w:t>Нами проводились наблюдения за изменениями численности пьявицы обыкновенной на сортах озимой пшеницы Антонина и Безостая 100 на базе стационарного многофакторного опыта кафе</w:t>
      </w:r>
      <w:r w:rsidRPr="004A47F0">
        <w:rPr>
          <w:rFonts w:eastAsia="Calibri"/>
          <w:sz w:val="22"/>
          <w:szCs w:val="22"/>
          <w:lang w:eastAsia="en-US"/>
        </w:rPr>
        <w:t>д</w:t>
      </w:r>
      <w:r w:rsidRPr="004A47F0">
        <w:rPr>
          <w:rFonts w:eastAsia="Calibri"/>
          <w:sz w:val="22"/>
          <w:szCs w:val="22"/>
          <w:lang w:eastAsia="en-US"/>
        </w:rPr>
        <w:t>ры растениеводства, заложенного на опытном поле КубГАУ в уче</w:t>
      </w:r>
      <w:r w:rsidRPr="004A47F0">
        <w:rPr>
          <w:rFonts w:eastAsia="Calibri"/>
          <w:sz w:val="22"/>
          <w:szCs w:val="22"/>
          <w:lang w:eastAsia="en-US"/>
        </w:rPr>
        <w:t>б</w:t>
      </w:r>
      <w:r w:rsidRPr="004A47F0">
        <w:rPr>
          <w:rFonts w:eastAsia="Calibri"/>
          <w:sz w:val="22"/>
          <w:szCs w:val="22"/>
          <w:lang w:eastAsia="en-US"/>
        </w:rPr>
        <w:t>но-опытном хозяйстве «Кубань». Исследования проводились на д</w:t>
      </w:r>
      <w:r w:rsidRPr="004A47F0">
        <w:rPr>
          <w:rFonts w:eastAsia="Calibri"/>
          <w:sz w:val="22"/>
          <w:szCs w:val="22"/>
          <w:lang w:eastAsia="en-US"/>
        </w:rPr>
        <w:t>е</w:t>
      </w:r>
      <w:r w:rsidRPr="004A47F0">
        <w:rPr>
          <w:rFonts w:eastAsia="Calibri"/>
          <w:sz w:val="22"/>
          <w:szCs w:val="22"/>
          <w:lang w:eastAsia="en-US"/>
        </w:rPr>
        <w:t>лянках интенсивной технологии возделывания озимой пшеницы с использованием рекомендованного способа основной обработки почвы: дискование на глубину 10-12 см.</w:t>
      </w:r>
    </w:p>
    <w:p w:rsidR="004A47F0" w:rsidRPr="004A47F0" w:rsidRDefault="004A47F0" w:rsidP="000B59A4">
      <w:pPr>
        <w:keepNext/>
        <w:ind w:firstLine="426"/>
        <w:jc w:val="both"/>
        <w:rPr>
          <w:rFonts w:eastAsia="Calibri"/>
          <w:sz w:val="22"/>
          <w:szCs w:val="22"/>
          <w:lang w:eastAsia="en-US"/>
        </w:rPr>
      </w:pPr>
      <w:r w:rsidRPr="004A47F0">
        <w:rPr>
          <w:rFonts w:eastAsia="Calibri"/>
          <w:sz w:val="22"/>
          <w:szCs w:val="22"/>
          <w:lang w:eastAsia="en-US"/>
        </w:rPr>
        <w:t>Нами не отмечались различия в развитии фитофага на сортах Антонина и Безостая 100. Однако численность жуков на сорте Бе</w:t>
      </w:r>
      <w:r w:rsidRPr="004A47F0">
        <w:rPr>
          <w:rFonts w:eastAsia="Calibri"/>
          <w:sz w:val="22"/>
          <w:szCs w:val="22"/>
          <w:lang w:eastAsia="en-US"/>
        </w:rPr>
        <w:t>з</w:t>
      </w:r>
      <w:r w:rsidRPr="004A47F0">
        <w:rPr>
          <w:rFonts w:eastAsia="Calibri"/>
          <w:sz w:val="22"/>
          <w:szCs w:val="22"/>
          <w:lang w:eastAsia="en-US"/>
        </w:rPr>
        <w:t>остая 100, а, следовательно,  их вредоносность была в 1,5 раза в</w:t>
      </w:r>
      <w:r w:rsidRPr="004A47F0">
        <w:rPr>
          <w:rFonts w:eastAsia="Calibri"/>
          <w:sz w:val="22"/>
          <w:szCs w:val="22"/>
          <w:lang w:eastAsia="en-US"/>
        </w:rPr>
        <w:t>ы</w:t>
      </w:r>
      <w:r w:rsidRPr="004A47F0">
        <w:rPr>
          <w:rFonts w:eastAsia="Calibri"/>
          <w:sz w:val="22"/>
          <w:szCs w:val="22"/>
          <w:lang w:eastAsia="en-US"/>
        </w:rPr>
        <w:t xml:space="preserve">ше, чем на сорте Антонина. Можно предположить, что на сорте </w:t>
      </w:r>
      <w:proofErr w:type="gramStart"/>
      <w:r w:rsidRPr="004A47F0">
        <w:rPr>
          <w:rFonts w:eastAsia="Calibri"/>
          <w:sz w:val="22"/>
          <w:szCs w:val="22"/>
          <w:lang w:eastAsia="en-US"/>
        </w:rPr>
        <w:t>Безостая</w:t>
      </w:r>
      <w:proofErr w:type="gramEnd"/>
      <w:r w:rsidRPr="004A47F0">
        <w:rPr>
          <w:rFonts w:eastAsia="Calibri"/>
          <w:sz w:val="22"/>
          <w:szCs w:val="22"/>
          <w:lang w:eastAsia="en-US"/>
        </w:rPr>
        <w:t xml:space="preserve"> 100 складывались лучшие условия питания для имаго пь</w:t>
      </w:r>
      <w:r w:rsidRPr="004A47F0">
        <w:rPr>
          <w:rFonts w:eastAsia="Calibri"/>
          <w:sz w:val="22"/>
          <w:szCs w:val="22"/>
          <w:lang w:eastAsia="en-US"/>
        </w:rPr>
        <w:t>я</w:t>
      </w:r>
      <w:r w:rsidRPr="004A47F0">
        <w:rPr>
          <w:rFonts w:eastAsia="Calibri"/>
          <w:sz w:val="22"/>
          <w:szCs w:val="22"/>
          <w:lang w:eastAsia="en-US"/>
        </w:rPr>
        <w:t>вицы. На этом сорте наблюдалось и большее количество яиц в 2 раза больше, чем на сорте Антонина. Следует отметить, что чи</w:t>
      </w:r>
      <w:r w:rsidRPr="004A47F0">
        <w:rPr>
          <w:rFonts w:eastAsia="Calibri"/>
          <w:sz w:val="22"/>
          <w:szCs w:val="22"/>
          <w:lang w:eastAsia="en-US"/>
        </w:rPr>
        <w:t>с</w:t>
      </w:r>
      <w:r w:rsidRPr="004A47F0">
        <w:rPr>
          <w:rFonts w:eastAsia="Calibri"/>
          <w:sz w:val="22"/>
          <w:szCs w:val="22"/>
          <w:lang w:eastAsia="en-US"/>
        </w:rPr>
        <w:t xml:space="preserve">ленность личинок 2-го и 3-го </w:t>
      </w:r>
      <w:proofErr w:type="gramStart"/>
      <w:r w:rsidRPr="004A47F0">
        <w:rPr>
          <w:rFonts w:eastAsia="Calibri"/>
          <w:sz w:val="22"/>
          <w:szCs w:val="22"/>
          <w:lang w:eastAsia="en-US"/>
        </w:rPr>
        <w:t>возраста</w:t>
      </w:r>
      <w:proofErr w:type="gramEnd"/>
      <w:r w:rsidRPr="004A47F0">
        <w:rPr>
          <w:rFonts w:eastAsia="Calibri"/>
          <w:sz w:val="22"/>
          <w:szCs w:val="22"/>
          <w:lang w:eastAsia="en-US"/>
        </w:rPr>
        <w:t xml:space="preserve"> а сорте Безостая 100 было в </w:t>
      </w:r>
      <w:r w:rsidRPr="004A47F0">
        <w:rPr>
          <w:rFonts w:eastAsia="Calibri"/>
          <w:sz w:val="22"/>
          <w:szCs w:val="22"/>
          <w:lang w:eastAsia="en-US"/>
        </w:rPr>
        <w:lastRenderedPageBreak/>
        <w:t>1,3 раза меньше, чем на сорте Антонина. Возможно, биохимический состав листьев, а так же толщина покровных тканей у сорта Бе</w:t>
      </w:r>
      <w:r w:rsidRPr="004A47F0">
        <w:rPr>
          <w:rFonts w:eastAsia="Calibri"/>
          <w:sz w:val="22"/>
          <w:szCs w:val="22"/>
          <w:lang w:eastAsia="en-US"/>
        </w:rPr>
        <w:t>з</w:t>
      </w:r>
      <w:r w:rsidRPr="004A47F0">
        <w:rPr>
          <w:rFonts w:eastAsia="Calibri"/>
          <w:sz w:val="22"/>
          <w:szCs w:val="22"/>
          <w:lang w:eastAsia="en-US"/>
        </w:rPr>
        <w:t xml:space="preserve">остая 100 меньше подходили для питания личинок. Таким образом, выращивание сорта </w:t>
      </w:r>
      <w:proofErr w:type="gramStart"/>
      <w:r w:rsidRPr="004A47F0">
        <w:rPr>
          <w:rFonts w:eastAsia="Calibri"/>
          <w:sz w:val="22"/>
          <w:szCs w:val="22"/>
          <w:lang w:eastAsia="en-US"/>
        </w:rPr>
        <w:t>Безостая</w:t>
      </w:r>
      <w:proofErr w:type="gramEnd"/>
      <w:r w:rsidRPr="004A47F0">
        <w:rPr>
          <w:rFonts w:eastAsia="Calibri"/>
          <w:sz w:val="22"/>
          <w:szCs w:val="22"/>
          <w:lang w:eastAsia="en-US"/>
        </w:rPr>
        <w:t xml:space="preserve"> 100 может способствовать снижению численности популяции пьявицы обыкновенной.</w:t>
      </w:r>
    </w:p>
    <w:p w:rsidR="004A47F0" w:rsidRPr="004A47F0" w:rsidRDefault="004A47F0" w:rsidP="000B59A4">
      <w:pPr>
        <w:keepNext/>
        <w:ind w:firstLine="426"/>
        <w:jc w:val="both"/>
        <w:rPr>
          <w:rFonts w:eastAsia="Calibri"/>
          <w:sz w:val="22"/>
          <w:szCs w:val="22"/>
          <w:lang w:eastAsia="en-US"/>
        </w:rPr>
      </w:pPr>
    </w:p>
    <w:p w:rsidR="004A47F0" w:rsidRPr="004A47F0" w:rsidRDefault="000B59A4" w:rsidP="000B59A4">
      <w:pPr>
        <w:keepNext/>
        <w:ind w:firstLine="426"/>
        <w:jc w:val="center"/>
        <w:rPr>
          <w:rFonts w:eastAsia="Calibri"/>
          <w:sz w:val="22"/>
          <w:szCs w:val="22"/>
          <w:lang w:eastAsia="en-US"/>
        </w:rPr>
      </w:pPr>
      <w:r>
        <w:rPr>
          <w:rFonts w:eastAsia="Calibri"/>
          <w:sz w:val="22"/>
          <w:szCs w:val="22"/>
          <w:lang w:eastAsia="en-US"/>
        </w:rPr>
        <w:t>Список литературы</w:t>
      </w:r>
    </w:p>
    <w:p w:rsidR="004A47F0" w:rsidRPr="004A47F0" w:rsidRDefault="004A47F0" w:rsidP="000B59A4">
      <w:pPr>
        <w:keepNext/>
        <w:ind w:firstLine="426"/>
        <w:jc w:val="both"/>
        <w:rPr>
          <w:rFonts w:eastAsia="Calibri"/>
          <w:sz w:val="22"/>
          <w:szCs w:val="22"/>
          <w:lang w:eastAsia="en-US"/>
        </w:rPr>
      </w:pPr>
      <w:r w:rsidRPr="004A47F0">
        <w:rPr>
          <w:rFonts w:eastAsia="Calibri"/>
          <w:sz w:val="22"/>
          <w:szCs w:val="22"/>
          <w:lang w:eastAsia="en-US"/>
        </w:rPr>
        <w:t xml:space="preserve">1. </w:t>
      </w:r>
      <w:r w:rsidR="000B59A4" w:rsidRPr="004A47F0">
        <w:rPr>
          <w:rFonts w:eastAsia="Calibri"/>
          <w:sz w:val="22"/>
          <w:szCs w:val="22"/>
          <w:lang w:eastAsia="en-US"/>
        </w:rPr>
        <w:t>Пикушова Э.</w:t>
      </w:r>
      <w:r w:rsidR="000B59A4">
        <w:rPr>
          <w:rFonts w:eastAsia="Calibri"/>
          <w:sz w:val="22"/>
          <w:szCs w:val="22"/>
          <w:lang w:eastAsia="en-US"/>
        </w:rPr>
        <w:t xml:space="preserve"> </w:t>
      </w:r>
      <w:r w:rsidR="000B59A4" w:rsidRPr="004A47F0">
        <w:rPr>
          <w:rFonts w:eastAsia="Calibri"/>
          <w:sz w:val="22"/>
          <w:szCs w:val="22"/>
          <w:lang w:eastAsia="en-US"/>
        </w:rPr>
        <w:t>А., Горьковенко В.</w:t>
      </w:r>
      <w:r w:rsidR="000B59A4">
        <w:rPr>
          <w:rFonts w:eastAsia="Calibri"/>
          <w:sz w:val="22"/>
          <w:szCs w:val="22"/>
          <w:lang w:eastAsia="en-US"/>
        </w:rPr>
        <w:t xml:space="preserve"> </w:t>
      </w:r>
      <w:r w:rsidR="000B59A4" w:rsidRPr="004A47F0">
        <w:rPr>
          <w:rFonts w:eastAsia="Calibri"/>
          <w:sz w:val="22"/>
          <w:szCs w:val="22"/>
          <w:lang w:eastAsia="en-US"/>
        </w:rPr>
        <w:t>С., Веретельник Е.</w:t>
      </w:r>
      <w:r w:rsidR="000B59A4">
        <w:rPr>
          <w:rFonts w:eastAsia="Calibri"/>
          <w:sz w:val="22"/>
          <w:szCs w:val="22"/>
          <w:lang w:eastAsia="en-US"/>
        </w:rPr>
        <w:t xml:space="preserve"> </w:t>
      </w:r>
      <w:r w:rsidR="000B59A4" w:rsidRPr="004A47F0">
        <w:rPr>
          <w:rFonts w:eastAsia="Calibri"/>
          <w:sz w:val="22"/>
          <w:szCs w:val="22"/>
          <w:lang w:eastAsia="en-US"/>
        </w:rPr>
        <w:t xml:space="preserve">Ю. </w:t>
      </w:r>
      <w:r w:rsidRPr="004A47F0">
        <w:rPr>
          <w:rFonts w:eastAsia="Calibri"/>
          <w:sz w:val="22"/>
          <w:szCs w:val="22"/>
          <w:lang w:eastAsia="en-US"/>
        </w:rPr>
        <w:t>К разработке интегрированных систем защиты зерновых культур от вредителей, болезней и сорняков</w:t>
      </w:r>
      <w:r w:rsidR="000B59A4">
        <w:rPr>
          <w:rFonts w:eastAsia="Calibri"/>
          <w:sz w:val="22"/>
          <w:szCs w:val="22"/>
          <w:lang w:eastAsia="en-US"/>
        </w:rPr>
        <w:t>:</w:t>
      </w:r>
      <w:r w:rsidRPr="004A47F0">
        <w:rPr>
          <w:rFonts w:eastAsia="Calibri"/>
          <w:sz w:val="22"/>
          <w:szCs w:val="22"/>
          <w:lang w:eastAsia="en-US"/>
        </w:rPr>
        <w:t xml:space="preserve"> учеб</w:t>
      </w:r>
      <w:proofErr w:type="gramStart"/>
      <w:r w:rsidRPr="004A47F0">
        <w:rPr>
          <w:rFonts w:eastAsia="Calibri"/>
          <w:sz w:val="22"/>
          <w:szCs w:val="22"/>
          <w:lang w:eastAsia="en-US"/>
        </w:rPr>
        <w:t>.</w:t>
      </w:r>
      <w:proofErr w:type="gramEnd"/>
      <w:r w:rsidRPr="004A47F0">
        <w:rPr>
          <w:rFonts w:eastAsia="Calibri"/>
          <w:sz w:val="22"/>
          <w:szCs w:val="22"/>
          <w:lang w:eastAsia="en-US"/>
        </w:rPr>
        <w:t xml:space="preserve"> </w:t>
      </w:r>
      <w:proofErr w:type="gramStart"/>
      <w:r w:rsidRPr="004A47F0">
        <w:rPr>
          <w:rFonts w:eastAsia="Calibri"/>
          <w:sz w:val="22"/>
          <w:szCs w:val="22"/>
          <w:lang w:eastAsia="en-US"/>
        </w:rPr>
        <w:t>п</w:t>
      </w:r>
      <w:proofErr w:type="gramEnd"/>
      <w:r w:rsidRPr="004A47F0">
        <w:rPr>
          <w:rFonts w:eastAsia="Calibri"/>
          <w:sz w:val="22"/>
          <w:szCs w:val="22"/>
          <w:lang w:eastAsia="en-US"/>
        </w:rPr>
        <w:t xml:space="preserve">особие / Э.А. Пикушова, В.С. Горьковенко, Е.Ю. Веретельник. Краснодар, 2005. </w:t>
      </w:r>
    </w:p>
    <w:p w:rsidR="004A47F0" w:rsidRDefault="004A47F0" w:rsidP="008A2DA0">
      <w:pPr>
        <w:pStyle w:val="31"/>
        <w:rPr>
          <w:rFonts w:eastAsia="Calibri"/>
          <w:sz w:val="22"/>
          <w:szCs w:val="22"/>
        </w:rPr>
      </w:pPr>
    </w:p>
    <w:p w:rsidR="004A47F0" w:rsidRDefault="004A47F0" w:rsidP="008A2DA0">
      <w:pPr>
        <w:pStyle w:val="31"/>
        <w:rPr>
          <w:rFonts w:eastAsia="Calibri"/>
          <w:sz w:val="22"/>
          <w:szCs w:val="22"/>
        </w:rPr>
      </w:pPr>
    </w:p>
    <w:p w:rsidR="000B59A4" w:rsidRDefault="000B59A4" w:rsidP="008A2DA0">
      <w:pPr>
        <w:pStyle w:val="31"/>
        <w:rPr>
          <w:rFonts w:eastAsia="Calibri"/>
          <w:sz w:val="22"/>
          <w:szCs w:val="22"/>
        </w:rPr>
      </w:pPr>
    </w:p>
    <w:p w:rsidR="004A47F0" w:rsidRPr="000B59A4" w:rsidRDefault="004A47F0" w:rsidP="004A47F0">
      <w:pPr>
        <w:spacing w:after="200"/>
        <w:jc w:val="both"/>
        <w:rPr>
          <w:color w:val="000000" w:themeColor="text1"/>
          <w:sz w:val="22"/>
          <w:szCs w:val="22"/>
        </w:rPr>
      </w:pPr>
      <w:r w:rsidRPr="000B59A4">
        <w:rPr>
          <w:color w:val="000000" w:themeColor="text1"/>
          <w:sz w:val="22"/>
          <w:szCs w:val="22"/>
        </w:rPr>
        <w:t>УДК 632.93.934:633.11</w:t>
      </w:r>
    </w:p>
    <w:p w:rsidR="004A47F0" w:rsidRPr="004A47F0" w:rsidRDefault="004A47F0" w:rsidP="004A47F0">
      <w:pPr>
        <w:jc w:val="center"/>
        <w:rPr>
          <w:b/>
          <w:color w:val="000000" w:themeColor="text1"/>
          <w:sz w:val="24"/>
          <w:szCs w:val="24"/>
        </w:rPr>
      </w:pPr>
      <w:r w:rsidRPr="004A47F0">
        <w:rPr>
          <w:b/>
          <w:color w:val="000000" w:themeColor="text1"/>
          <w:sz w:val="24"/>
          <w:szCs w:val="22"/>
        </w:rPr>
        <w:t xml:space="preserve">Влияние протравителей на рост, развитие и </w:t>
      </w:r>
      <w:r w:rsidRPr="004A47F0">
        <w:rPr>
          <w:b/>
          <w:color w:val="000000" w:themeColor="text1"/>
          <w:sz w:val="24"/>
          <w:szCs w:val="24"/>
        </w:rPr>
        <w:t>поражаемость болезнями семян и всходов озимой пшеницы</w:t>
      </w:r>
    </w:p>
    <w:p w:rsidR="004A47F0" w:rsidRPr="004A47F0" w:rsidRDefault="004A47F0" w:rsidP="004A47F0">
      <w:pPr>
        <w:jc w:val="center"/>
        <w:rPr>
          <w:b/>
          <w:color w:val="333333"/>
          <w:sz w:val="24"/>
          <w:szCs w:val="24"/>
          <w:lang w:val="en-US"/>
        </w:rPr>
      </w:pPr>
      <w:r w:rsidRPr="004A47F0">
        <w:rPr>
          <w:b/>
          <w:color w:val="333333"/>
          <w:sz w:val="24"/>
          <w:szCs w:val="24"/>
          <w:lang w:val="en-US"/>
        </w:rPr>
        <w:t xml:space="preserve">Effect of protectants on the growth, development and </w:t>
      </w:r>
      <w:r w:rsidR="00A8504F" w:rsidRPr="00A8504F">
        <w:rPr>
          <w:b/>
          <w:color w:val="333333"/>
          <w:sz w:val="24"/>
          <w:szCs w:val="24"/>
          <w:lang w:val="en-US"/>
        </w:rPr>
        <w:br/>
      </w:r>
      <w:r w:rsidRPr="004A47F0">
        <w:rPr>
          <w:b/>
          <w:color w:val="333333"/>
          <w:sz w:val="24"/>
          <w:szCs w:val="24"/>
          <w:lang w:val="en-US"/>
        </w:rPr>
        <w:t>incidence of diseases of seeds and seedlings of winter wheat</w:t>
      </w:r>
    </w:p>
    <w:p w:rsidR="004A47F0" w:rsidRPr="004A47F0" w:rsidRDefault="004A47F0" w:rsidP="004A47F0">
      <w:pPr>
        <w:ind w:firstLine="708"/>
        <w:jc w:val="center"/>
        <w:rPr>
          <w:b/>
          <w:color w:val="000000" w:themeColor="text1"/>
          <w:sz w:val="24"/>
          <w:szCs w:val="24"/>
          <w:lang w:val="en-US"/>
        </w:rPr>
      </w:pPr>
    </w:p>
    <w:p w:rsidR="004A47F0" w:rsidRPr="000B59A4" w:rsidRDefault="004A47F0" w:rsidP="004A47F0">
      <w:pPr>
        <w:ind w:left="709"/>
        <w:jc w:val="right"/>
        <w:rPr>
          <w:color w:val="000000" w:themeColor="text1"/>
          <w:sz w:val="22"/>
          <w:szCs w:val="22"/>
        </w:rPr>
      </w:pPr>
      <w:r w:rsidRPr="000B59A4">
        <w:rPr>
          <w:color w:val="000000" w:themeColor="text1"/>
          <w:sz w:val="22"/>
          <w:szCs w:val="22"/>
        </w:rPr>
        <w:t>Максимов А.</w:t>
      </w:r>
      <w:r w:rsidR="000B59A4" w:rsidRPr="000B59A4">
        <w:rPr>
          <w:color w:val="000000" w:themeColor="text1"/>
          <w:sz w:val="22"/>
          <w:szCs w:val="22"/>
        </w:rPr>
        <w:t xml:space="preserve"> </w:t>
      </w:r>
      <w:r w:rsidRPr="000B59A4">
        <w:rPr>
          <w:color w:val="000000" w:themeColor="text1"/>
          <w:sz w:val="22"/>
          <w:szCs w:val="22"/>
        </w:rPr>
        <w:t>А.</w:t>
      </w:r>
      <w:r w:rsidR="000B59A4" w:rsidRPr="000B59A4">
        <w:rPr>
          <w:color w:val="000000" w:themeColor="text1"/>
          <w:sz w:val="22"/>
          <w:szCs w:val="22"/>
        </w:rPr>
        <w:t>,</w:t>
      </w:r>
    </w:p>
    <w:p w:rsidR="000B59A4" w:rsidRDefault="004A47F0" w:rsidP="004A47F0">
      <w:pPr>
        <w:ind w:left="709"/>
        <w:jc w:val="right"/>
        <w:rPr>
          <w:color w:val="000000" w:themeColor="text1"/>
          <w:sz w:val="22"/>
          <w:szCs w:val="22"/>
        </w:rPr>
      </w:pPr>
      <w:r w:rsidRPr="000B59A4">
        <w:rPr>
          <w:color w:val="000000" w:themeColor="text1"/>
          <w:sz w:val="22"/>
          <w:szCs w:val="22"/>
        </w:rPr>
        <w:t>магист</w:t>
      </w:r>
      <w:r w:rsidR="000B59A4">
        <w:rPr>
          <w:color w:val="000000" w:themeColor="text1"/>
          <w:sz w:val="22"/>
          <w:szCs w:val="22"/>
        </w:rPr>
        <w:t>рант 2-го года</w:t>
      </w:r>
    </w:p>
    <w:p w:rsidR="004A47F0" w:rsidRPr="000B59A4" w:rsidRDefault="004A47F0" w:rsidP="004A47F0">
      <w:pPr>
        <w:ind w:left="709"/>
        <w:jc w:val="right"/>
        <w:rPr>
          <w:color w:val="000000" w:themeColor="text1"/>
          <w:sz w:val="22"/>
          <w:szCs w:val="22"/>
        </w:rPr>
      </w:pPr>
      <w:r w:rsidRPr="000B59A4">
        <w:rPr>
          <w:color w:val="000000" w:themeColor="text1"/>
          <w:sz w:val="22"/>
          <w:szCs w:val="22"/>
        </w:rPr>
        <w:t>факультета агрохимии и защиты растений</w:t>
      </w:r>
    </w:p>
    <w:p w:rsidR="004A47F0" w:rsidRPr="000B59A4" w:rsidRDefault="004A47F0" w:rsidP="004A47F0">
      <w:pPr>
        <w:ind w:left="709"/>
        <w:jc w:val="right"/>
        <w:rPr>
          <w:color w:val="000000" w:themeColor="text1"/>
          <w:sz w:val="22"/>
          <w:szCs w:val="22"/>
        </w:rPr>
      </w:pPr>
      <w:r w:rsidRPr="000B59A4">
        <w:rPr>
          <w:color w:val="000000" w:themeColor="text1"/>
          <w:sz w:val="22"/>
          <w:szCs w:val="22"/>
        </w:rPr>
        <w:t>Бузько В.</w:t>
      </w:r>
      <w:r w:rsidR="00E32B9C">
        <w:rPr>
          <w:color w:val="000000" w:themeColor="text1"/>
          <w:sz w:val="22"/>
          <w:szCs w:val="22"/>
        </w:rPr>
        <w:t xml:space="preserve"> </w:t>
      </w:r>
      <w:r w:rsidRPr="000B59A4">
        <w:rPr>
          <w:color w:val="000000" w:themeColor="text1"/>
          <w:sz w:val="22"/>
          <w:szCs w:val="22"/>
        </w:rPr>
        <w:t>Ю.</w:t>
      </w:r>
      <w:r w:rsidR="00E32B9C">
        <w:rPr>
          <w:color w:val="000000" w:themeColor="text1"/>
          <w:sz w:val="22"/>
          <w:szCs w:val="22"/>
        </w:rPr>
        <w:t>,</w:t>
      </w:r>
    </w:p>
    <w:p w:rsidR="004A47F0" w:rsidRPr="000B59A4" w:rsidRDefault="00E32B9C" w:rsidP="004A47F0">
      <w:pPr>
        <w:ind w:left="709"/>
        <w:jc w:val="right"/>
        <w:rPr>
          <w:color w:val="000000" w:themeColor="text1"/>
          <w:sz w:val="22"/>
          <w:szCs w:val="22"/>
        </w:rPr>
      </w:pPr>
      <w:r>
        <w:rPr>
          <w:color w:val="000000" w:themeColor="text1"/>
          <w:sz w:val="22"/>
          <w:szCs w:val="22"/>
        </w:rPr>
        <w:t>доцент кафедры фитопатологии,</w:t>
      </w:r>
    </w:p>
    <w:p w:rsidR="004A47F0" w:rsidRPr="000B59A4" w:rsidRDefault="004A47F0" w:rsidP="004A47F0">
      <w:pPr>
        <w:ind w:left="709"/>
        <w:jc w:val="right"/>
        <w:rPr>
          <w:color w:val="000000" w:themeColor="text1"/>
          <w:sz w:val="22"/>
          <w:szCs w:val="22"/>
        </w:rPr>
      </w:pPr>
      <w:r w:rsidRPr="000B59A4">
        <w:rPr>
          <w:color w:val="000000" w:themeColor="text1"/>
          <w:sz w:val="22"/>
          <w:szCs w:val="22"/>
        </w:rPr>
        <w:t>энтомологии и защиты растений</w:t>
      </w:r>
    </w:p>
    <w:p w:rsidR="004A47F0" w:rsidRPr="000B59A4" w:rsidRDefault="004A47F0" w:rsidP="004A47F0">
      <w:pPr>
        <w:ind w:left="709"/>
        <w:jc w:val="right"/>
        <w:rPr>
          <w:color w:val="000000" w:themeColor="text1"/>
          <w:sz w:val="22"/>
          <w:szCs w:val="22"/>
        </w:rPr>
      </w:pPr>
      <w:r w:rsidRPr="000B59A4">
        <w:rPr>
          <w:color w:val="000000" w:themeColor="text1"/>
          <w:sz w:val="22"/>
          <w:szCs w:val="22"/>
        </w:rPr>
        <w:t>Куб</w:t>
      </w:r>
      <w:r w:rsidR="00E32B9C">
        <w:rPr>
          <w:color w:val="000000" w:themeColor="text1"/>
          <w:sz w:val="22"/>
          <w:szCs w:val="22"/>
        </w:rPr>
        <w:t>анский государственный аграрный</w:t>
      </w:r>
    </w:p>
    <w:p w:rsidR="004A47F0" w:rsidRPr="004A47F0" w:rsidRDefault="004A47F0" w:rsidP="004A47F0">
      <w:pPr>
        <w:ind w:left="709"/>
        <w:jc w:val="right"/>
        <w:rPr>
          <w:color w:val="000000" w:themeColor="text1"/>
          <w:sz w:val="24"/>
          <w:szCs w:val="24"/>
        </w:rPr>
      </w:pPr>
      <w:r w:rsidRPr="000B59A4">
        <w:rPr>
          <w:color w:val="000000" w:themeColor="text1"/>
          <w:sz w:val="22"/>
          <w:szCs w:val="22"/>
        </w:rPr>
        <w:t>университет имени И.</w:t>
      </w:r>
      <w:r w:rsidR="00E32B9C">
        <w:rPr>
          <w:color w:val="000000" w:themeColor="text1"/>
          <w:sz w:val="22"/>
          <w:szCs w:val="22"/>
        </w:rPr>
        <w:t xml:space="preserve"> </w:t>
      </w:r>
      <w:r w:rsidRPr="000B59A4">
        <w:rPr>
          <w:color w:val="000000" w:themeColor="text1"/>
          <w:sz w:val="22"/>
          <w:szCs w:val="22"/>
        </w:rPr>
        <w:t>Т. Трубилина</w:t>
      </w:r>
    </w:p>
    <w:p w:rsidR="004A47F0" w:rsidRPr="004A47F0" w:rsidRDefault="004A47F0" w:rsidP="00E32B9C">
      <w:pPr>
        <w:jc w:val="both"/>
        <w:rPr>
          <w:color w:val="000000" w:themeColor="text1"/>
          <w:sz w:val="22"/>
          <w:szCs w:val="22"/>
        </w:rPr>
      </w:pP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АННОТАЦИЯ: Научно подтверждена целесообразность и э</w:t>
      </w:r>
      <w:r w:rsidRPr="004A47F0">
        <w:rPr>
          <w:color w:val="000000" w:themeColor="text1"/>
          <w:sz w:val="22"/>
          <w:szCs w:val="22"/>
        </w:rPr>
        <w:t>ф</w:t>
      </w:r>
      <w:r w:rsidRPr="004A47F0">
        <w:rPr>
          <w:color w:val="000000" w:themeColor="text1"/>
          <w:sz w:val="22"/>
          <w:szCs w:val="22"/>
        </w:rPr>
        <w:t>фективность 4-х протравителей в защите озимой пшеницы от ко</w:t>
      </w:r>
      <w:r w:rsidRPr="004A47F0">
        <w:rPr>
          <w:color w:val="000000" w:themeColor="text1"/>
          <w:sz w:val="22"/>
          <w:szCs w:val="22"/>
        </w:rPr>
        <w:t>м</w:t>
      </w:r>
      <w:r w:rsidRPr="004A47F0">
        <w:rPr>
          <w:color w:val="000000" w:themeColor="text1"/>
          <w:sz w:val="22"/>
          <w:szCs w:val="22"/>
        </w:rPr>
        <w:t>плекса микопатогенов на ранних этапах онтогенеза</w:t>
      </w:r>
    </w:p>
    <w:p w:rsidR="004A47F0" w:rsidRPr="004A47F0" w:rsidRDefault="004A47F0" w:rsidP="004A47F0">
      <w:pPr>
        <w:ind w:firstLine="426"/>
        <w:jc w:val="both"/>
        <w:rPr>
          <w:color w:val="000000" w:themeColor="text1"/>
          <w:sz w:val="22"/>
          <w:szCs w:val="22"/>
          <w:lang w:val="en-US"/>
        </w:rPr>
      </w:pPr>
      <w:r w:rsidRPr="004A47F0">
        <w:rPr>
          <w:color w:val="000000" w:themeColor="text1"/>
          <w:sz w:val="22"/>
          <w:szCs w:val="22"/>
          <w:lang w:val="en-US"/>
        </w:rPr>
        <w:t>ABTRACT: The expediency and efficiency are scientifically co</w:t>
      </w:r>
      <w:r w:rsidRPr="004A47F0">
        <w:rPr>
          <w:color w:val="000000" w:themeColor="text1"/>
          <w:sz w:val="22"/>
          <w:szCs w:val="22"/>
          <w:lang w:val="en-US"/>
        </w:rPr>
        <w:t>n</w:t>
      </w:r>
      <w:r w:rsidRPr="004A47F0">
        <w:rPr>
          <w:color w:val="000000" w:themeColor="text1"/>
          <w:sz w:val="22"/>
          <w:szCs w:val="22"/>
          <w:lang w:val="en-US"/>
        </w:rPr>
        <w:t>firmed of 4 disinfections in protection of winter wheat from the complex of mycopathogens in the early stages of ontogenesis.</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lastRenderedPageBreak/>
        <w:t>КЛЮЧЕВЫЕ СЛОВА: озимая пшеница, протравители, мик</w:t>
      </w:r>
      <w:r w:rsidRPr="004A47F0">
        <w:rPr>
          <w:color w:val="000000" w:themeColor="text1"/>
          <w:sz w:val="22"/>
          <w:szCs w:val="22"/>
        </w:rPr>
        <w:t>о</w:t>
      </w:r>
      <w:r w:rsidRPr="004A47F0">
        <w:rPr>
          <w:color w:val="000000" w:themeColor="text1"/>
          <w:sz w:val="22"/>
          <w:szCs w:val="22"/>
        </w:rPr>
        <w:t>патогены, семена.</w:t>
      </w:r>
    </w:p>
    <w:p w:rsidR="004A47F0" w:rsidRPr="004A47F0" w:rsidRDefault="004A47F0" w:rsidP="004A47F0">
      <w:pPr>
        <w:ind w:firstLine="426"/>
        <w:jc w:val="both"/>
        <w:rPr>
          <w:color w:val="000000" w:themeColor="text1"/>
          <w:sz w:val="22"/>
          <w:szCs w:val="22"/>
          <w:lang w:val="en-US"/>
        </w:rPr>
      </w:pPr>
      <w:r w:rsidRPr="004A47F0">
        <w:rPr>
          <w:color w:val="000000" w:themeColor="text1"/>
          <w:sz w:val="22"/>
          <w:szCs w:val="22"/>
          <w:lang w:val="en-US"/>
        </w:rPr>
        <w:t>KEYWORD: winter wheat, disinfections, mycopathogens, seeds.</w:t>
      </w:r>
    </w:p>
    <w:p w:rsidR="004A47F0" w:rsidRPr="004A47F0" w:rsidRDefault="004A47F0" w:rsidP="004A47F0">
      <w:pPr>
        <w:ind w:firstLine="426"/>
        <w:jc w:val="both"/>
        <w:rPr>
          <w:color w:val="000000" w:themeColor="text1"/>
          <w:sz w:val="22"/>
          <w:szCs w:val="22"/>
          <w:lang w:val="en-US"/>
        </w:rPr>
      </w:pP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Озимая пшеница на ранних этапах онтогенеза особенно нужд</w:t>
      </w:r>
      <w:r w:rsidRPr="004A47F0">
        <w:rPr>
          <w:color w:val="000000" w:themeColor="text1"/>
          <w:sz w:val="22"/>
          <w:szCs w:val="22"/>
        </w:rPr>
        <w:t>а</w:t>
      </w:r>
      <w:r w:rsidRPr="004A47F0">
        <w:rPr>
          <w:color w:val="000000" w:themeColor="text1"/>
          <w:sz w:val="22"/>
          <w:szCs w:val="22"/>
        </w:rPr>
        <w:t>ется в защите от комплекса вредных объектов, которые могут нан</w:t>
      </w:r>
      <w:r w:rsidRPr="004A47F0">
        <w:rPr>
          <w:color w:val="000000" w:themeColor="text1"/>
          <w:sz w:val="22"/>
          <w:szCs w:val="22"/>
        </w:rPr>
        <w:t>е</w:t>
      </w:r>
      <w:r w:rsidRPr="004A47F0">
        <w:rPr>
          <w:color w:val="000000" w:themeColor="text1"/>
          <w:sz w:val="22"/>
          <w:szCs w:val="22"/>
        </w:rPr>
        <w:t>сти ей колоссальный вред, вплоть до полной гибели всходов.</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 xml:space="preserve">Протравливание семян - это важнейшее мероприятие в общей системе борьбы с болезнями и вредителями сельскохозяйственных культур, тот самый базис, от которого зависит запуск стартовых </w:t>
      </w:r>
      <w:proofErr w:type="gramStart"/>
      <w:r w:rsidRPr="004A47F0">
        <w:rPr>
          <w:color w:val="000000" w:themeColor="text1"/>
          <w:sz w:val="22"/>
          <w:szCs w:val="22"/>
        </w:rPr>
        <w:t>механизмов реализации биологического потенциала формирования будущего урожая</w:t>
      </w:r>
      <w:proofErr w:type="gramEnd"/>
      <w:r w:rsidRPr="004A47F0">
        <w:rPr>
          <w:color w:val="000000" w:themeColor="text1"/>
          <w:sz w:val="22"/>
          <w:szCs w:val="22"/>
        </w:rPr>
        <w:t>.</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Семена озимой пшеницы являются благоприятным субстратом для развития многообразной микрофлоры, состоящей главным о</w:t>
      </w:r>
      <w:r w:rsidRPr="004A47F0">
        <w:rPr>
          <w:color w:val="000000" w:themeColor="text1"/>
          <w:sz w:val="22"/>
          <w:szCs w:val="22"/>
        </w:rPr>
        <w:t>б</w:t>
      </w:r>
      <w:r w:rsidRPr="004A47F0">
        <w:rPr>
          <w:color w:val="000000" w:themeColor="text1"/>
          <w:sz w:val="22"/>
          <w:szCs w:val="22"/>
        </w:rPr>
        <w:t>разом из микопатогенов [1, 2, 3, 4].</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Наши исследования предусматривали определение патогенного комплекса семенного материала озимой пшеницы сорта Сила, предназначенного для посева в хозяйстве ООО «А.И. Петров» Т</w:t>
      </w:r>
      <w:r w:rsidRPr="004A47F0">
        <w:rPr>
          <w:color w:val="000000" w:themeColor="text1"/>
          <w:sz w:val="22"/>
          <w:szCs w:val="22"/>
        </w:rPr>
        <w:t>и</w:t>
      </w:r>
      <w:r w:rsidRPr="004A47F0">
        <w:rPr>
          <w:color w:val="000000" w:themeColor="text1"/>
          <w:sz w:val="22"/>
          <w:szCs w:val="22"/>
        </w:rPr>
        <w:t>хорецкого р-на.</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В результате проведенной фитоэкспертизы показатели энергии прорастания (98 %) и всхожести (96 %) подтвердили высокое кач</w:t>
      </w:r>
      <w:r w:rsidRPr="004A47F0">
        <w:rPr>
          <w:color w:val="000000" w:themeColor="text1"/>
          <w:sz w:val="22"/>
          <w:szCs w:val="22"/>
        </w:rPr>
        <w:t>е</w:t>
      </w:r>
      <w:r w:rsidRPr="004A47F0">
        <w:rPr>
          <w:color w:val="000000" w:themeColor="text1"/>
          <w:sz w:val="22"/>
          <w:szCs w:val="22"/>
        </w:rPr>
        <w:t>ство семенного материала и соответствие ГОСТу.</w:t>
      </w:r>
    </w:p>
    <w:p w:rsidR="004A47F0" w:rsidRPr="004A47F0" w:rsidRDefault="004A47F0" w:rsidP="004A47F0">
      <w:pPr>
        <w:ind w:firstLine="426"/>
        <w:jc w:val="both"/>
        <w:rPr>
          <w:i/>
          <w:color w:val="000000" w:themeColor="text1"/>
          <w:sz w:val="22"/>
          <w:szCs w:val="22"/>
        </w:rPr>
      </w:pPr>
      <w:r w:rsidRPr="004A47F0">
        <w:rPr>
          <w:color w:val="000000" w:themeColor="text1"/>
          <w:sz w:val="22"/>
          <w:szCs w:val="22"/>
        </w:rPr>
        <w:t xml:space="preserve">Заспорение вызывали представители родов: </w:t>
      </w:r>
      <w:r w:rsidRPr="004A47F0">
        <w:rPr>
          <w:i/>
          <w:color w:val="000000" w:themeColor="text1"/>
          <w:sz w:val="22"/>
          <w:szCs w:val="22"/>
          <w:lang w:val="en-US"/>
        </w:rPr>
        <w:t>Tilletia</w:t>
      </w:r>
      <w:r w:rsidRPr="004A47F0">
        <w:rPr>
          <w:i/>
          <w:color w:val="000000" w:themeColor="text1"/>
          <w:sz w:val="22"/>
          <w:szCs w:val="22"/>
        </w:rPr>
        <w:t xml:space="preserve">, </w:t>
      </w:r>
      <w:r w:rsidRPr="004A47F0">
        <w:rPr>
          <w:i/>
          <w:color w:val="000000" w:themeColor="text1"/>
          <w:sz w:val="22"/>
          <w:szCs w:val="22"/>
          <w:lang w:val="en-US"/>
        </w:rPr>
        <w:t>Penicillium</w:t>
      </w:r>
      <w:r w:rsidRPr="004A47F0">
        <w:rPr>
          <w:i/>
          <w:color w:val="000000" w:themeColor="text1"/>
          <w:sz w:val="22"/>
          <w:szCs w:val="22"/>
        </w:rPr>
        <w:t xml:space="preserve">, </w:t>
      </w:r>
      <w:r w:rsidRPr="004A47F0">
        <w:rPr>
          <w:i/>
          <w:color w:val="000000" w:themeColor="text1"/>
          <w:sz w:val="22"/>
          <w:szCs w:val="22"/>
          <w:lang w:val="en-US"/>
        </w:rPr>
        <w:t>Aspergillus</w:t>
      </w:r>
      <w:r w:rsidRPr="004A47F0">
        <w:rPr>
          <w:i/>
          <w:color w:val="000000" w:themeColor="text1"/>
          <w:sz w:val="22"/>
          <w:szCs w:val="22"/>
        </w:rPr>
        <w:t xml:space="preserve">, </w:t>
      </w:r>
      <w:r w:rsidRPr="004A47F0">
        <w:rPr>
          <w:i/>
          <w:color w:val="000000" w:themeColor="text1"/>
          <w:sz w:val="22"/>
          <w:szCs w:val="22"/>
          <w:lang w:val="en-US"/>
        </w:rPr>
        <w:t>Rhizopus</w:t>
      </w:r>
      <w:r w:rsidRPr="004A47F0">
        <w:rPr>
          <w:i/>
          <w:color w:val="000000" w:themeColor="text1"/>
          <w:sz w:val="22"/>
          <w:szCs w:val="22"/>
        </w:rPr>
        <w:t xml:space="preserve"> </w:t>
      </w:r>
      <w:r w:rsidRPr="004A47F0">
        <w:rPr>
          <w:color w:val="000000" w:themeColor="text1"/>
          <w:sz w:val="22"/>
          <w:szCs w:val="22"/>
        </w:rPr>
        <w:t xml:space="preserve">и </w:t>
      </w:r>
      <w:r w:rsidRPr="004A47F0">
        <w:rPr>
          <w:i/>
          <w:color w:val="000000" w:themeColor="text1"/>
          <w:sz w:val="22"/>
          <w:szCs w:val="22"/>
          <w:lang w:val="en-US"/>
        </w:rPr>
        <w:t>Cladosporium</w:t>
      </w:r>
      <w:r w:rsidRPr="004A47F0">
        <w:rPr>
          <w:i/>
          <w:color w:val="000000" w:themeColor="text1"/>
          <w:sz w:val="22"/>
          <w:szCs w:val="22"/>
        </w:rPr>
        <w:t xml:space="preserve">. </w:t>
      </w:r>
      <w:r w:rsidRPr="004A47F0">
        <w:rPr>
          <w:color w:val="000000" w:themeColor="text1"/>
          <w:sz w:val="22"/>
          <w:szCs w:val="22"/>
        </w:rPr>
        <w:t xml:space="preserve">Среди грибов вызывающих инфицированность на семенах встречались грибы родов </w:t>
      </w:r>
      <w:r w:rsidRPr="004A47F0">
        <w:rPr>
          <w:i/>
          <w:color w:val="000000" w:themeColor="text1"/>
          <w:sz w:val="22"/>
          <w:szCs w:val="22"/>
          <w:lang w:val="en-US"/>
        </w:rPr>
        <w:t>Fusarium</w:t>
      </w:r>
      <w:r w:rsidRPr="004A47F0">
        <w:rPr>
          <w:i/>
          <w:color w:val="000000" w:themeColor="text1"/>
          <w:sz w:val="22"/>
          <w:szCs w:val="22"/>
        </w:rPr>
        <w:t xml:space="preserve"> </w:t>
      </w:r>
      <w:r w:rsidRPr="004A47F0">
        <w:rPr>
          <w:color w:val="000000" w:themeColor="text1"/>
          <w:sz w:val="22"/>
          <w:szCs w:val="22"/>
        </w:rPr>
        <w:t>(15 %),</w:t>
      </w:r>
      <w:r w:rsidRPr="004A47F0">
        <w:rPr>
          <w:i/>
          <w:color w:val="000000" w:themeColor="text1"/>
          <w:sz w:val="22"/>
          <w:szCs w:val="22"/>
        </w:rPr>
        <w:t xml:space="preserve"> </w:t>
      </w:r>
      <w:r w:rsidRPr="004A47F0">
        <w:rPr>
          <w:i/>
          <w:color w:val="000000" w:themeColor="text1"/>
          <w:sz w:val="22"/>
          <w:szCs w:val="22"/>
          <w:lang w:val="en-US"/>
        </w:rPr>
        <w:t>Alternaria</w:t>
      </w:r>
      <w:r w:rsidRPr="004A47F0">
        <w:rPr>
          <w:i/>
          <w:color w:val="000000" w:themeColor="text1"/>
          <w:sz w:val="22"/>
          <w:szCs w:val="22"/>
        </w:rPr>
        <w:t xml:space="preserve"> </w:t>
      </w:r>
      <w:r w:rsidRPr="004A47F0">
        <w:rPr>
          <w:color w:val="000000" w:themeColor="text1"/>
          <w:sz w:val="22"/>
          <w:szCs w:val="22"/>
        </w:rPr>
        <w:t>(55 %</w:t>
      </w:r>
      <w:r w:rsidRPr="004A47F0">
        <w:rPr>
          <w:i/>
          <w:color w:val="000000" w:themeColor="text1"/>
          <w:sz w:val="22"/>
          <w:szCs w:val="22"/>
        </w:rPr>
        <w:t xml:space="preserve">), </w:t>
      </w:r>
      <w:r w:rsidRPr="004A47F0">
        <w:rPr>
          <w:i/>
          <w:color w:val="000000" w:themeColor="text1"/>
          <w:sz w:val="22"/>
          <w:szCs w:val="22"/>
          <w:lang w:val="en-US"/>
        </w:rPr>
        <w:t>Helminthosporium</w:t>
      </w:r>
      <w:r w:rsidRPr="004A47F0">
        <w:rPr>
          <w:i/>
          <w:color w:val="000000" w:themeColor="text1"/>
          <w:sz w:val="22"/>
          <w:szCs w:val="22"/>
        </w:rPr>
        <w:t xml:space="preserve"> </w:t>
      </w:r>
      <w:r w:rsidRPr="004A47F0">
        <w:rPr>
          <w:color w:val="000000" w:themeColor="text1"/>
          <w:sz w:val="22"/>
          <w:szCs w:val="22"/>
        </w:rPr>
        <w:t>(10 %). Общая поража</w:t>
      </w:r>
      <w:r w:rsidRPr="004A47F0">
        <w:rPr>
          <w:color w:val="000000" w:themeColor="text1"/>
          <w:sz w:val="22"/>
          <w:szCs w:val="22"/>
        </w:rPr>
        <w:t>е</w:t>
      </w:r>
      <w:r w:rsidRPr="004A47F0">
        <w:rPr>
          <w:color w:val="000000" w:themeColor="text1"/>
          <w:sz w:val="22"/>
          <w:szCs w:val="22"/>
        </w:rPr>
        <w:t>мость семян сорта Сила составила 37 %. Но по частоте встречаем</w:t>
      </w:r>
      <w:r w:rsidRPr="004A47F0">
        <w:rPr>
          <w:color w:val="000000" w:themeColor="text1"/>
          <w:sz w:val="22"/>
          <w:szCs w:val="22"/>
        </w:rPr>
        <w:t>о</w:t>
      </w:r>
      <w:r w:rsidRPr="004A47F0">
        <w:rPr>
          <w:color w:val="000000" w:themeColor="text1"/>
          <w:sz w:val="22"/>
          <w:szCs w:val="22"/>
        </w:rPr>
        <w:t xml:space="preserve">сти доминировали представители рода </w:t>
      </w:r>
      <w:r w:rsidRPr="004A47F0">
        <w:rPr>
          <w:i/>
          <w:color w:val="000000" w:themeColor="text1"/>
          <w:sz w:val="22"/>
          <w:szCs w:val="22"/>
          <w:lang w:val="en-US"/>
        </w:rPr>
        <w:t>Alternaria</w:t>
      </w:r>
      <w:r w:rsidRPr="004A47F0">
        <w:rPr>
          <w:i/>
          <w:color w:val="000000" w:themeColor="text1"/>
          <w:sz w:val="22"/>
          <w:szCs w:val="22"/>
        </w:rPr>
        <w:t xml:space="preserve"> </w:t>
      </w:r>
      <w:r w:rsidRPr="004A47F0">
        <w:rPr>
          <w:color w:val="000000" w:themeColor="text1"/>
          <w:sz w:val="22"/>
          <w:szCs w:val="22"/>
        </w:rPr>
        <w:t>(55 %).</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 xml:space="preserve"> Проведенная фитоэкспертиза подтвердила необходимость обеззараживания семенного материала, а видовой состав патогенов – возможность оценить эффективность различных протравителей.</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Нами в условиях лаборатории кафедры ФЭЗР КубГАУ оценено влияние обработки семян  протравителями на поражаемость их п</w:t>
      </w:r>
      <w:r w:rsidRPr="004A47F0">
        <w:rPr>
          <w:color w:val="000000" w:themeColor="text1"/>
          <w:sz w:val="22"/>
          <w:szCs w:val="22"/>
        </w:rPr>
        <w:t>а</w:t>
      </w:r>
      <w:r w:rsidRPr="004A47F0">
        <w:rPr>
          <w:color w:val="000000" w:themeColor="text1"/>
          <w:sz w:val="22"/>
          <w:szCs w:val="22"/>
        </w:rPr>
        <w:t>тогенами и рост корневой системы и надземной части озимой пш</w:t>
      </w:r>
      <w:r w:rsidRPr="004A47F0">
        <w:rPr>
          <w:color w:val="000000" w:themeColor="text1"/>
          <w:sz w:val="22"/>
          <w:szCs w:val="22"/>
        </w:rPr>
        <w:t>е</w:t>
      </w:r>
      <w:r w:rsidRPr="004A47F0">
        <w:rPr>
          <w:color w:val="000000" w:themeColor="text1"/>
          <w:sz w:val="22"/>
          <w:szCs w:val="22"/>
        </w:rPr>
        <w:t xml:space="preserve">ницы. </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Схема опыта включала 5 вариантов:</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1 – контроль без обработки;</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2 – Баритон, КС, 1,5 л/т;</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lastRenderedPageBreak/>
        <w:t>3 – Кинто Дуо, КС, 2,5 л/т;</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4 – Девидент Старт, КС, 1,5 л/т;</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5 – Максим, КС, 2,0 л/т.</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Все протравители показали высокую эффективность от мик</w:t>
      </w:r>
      <w:r w:rsidRPr="004A47F0">
        <w:rPr>
          <w:color w:val="000000" w:themeColor="text1"/>
          <w:sz w:val="22"/>
          <w:szCs w:val="22"/>
        </w:rPr>
        <w:t>о</w:t>
      </w:r>
      <w:r w:rsidRPr="004A47F0">
        <w:rPr>
          <w:color w:val="000000" w:themeColor="text1"/>
          <w:sz w:val="22"/>
          <w:szCs w:val="22"/>
        </w:rPr>
        <w:t>зов семян, но разное действие на рост и развитие всходов. Рост ра</w:t>
      </w:r>
      <w:r w:rsidRPr="004A47F0">
        <w:rPr>
          <w:color w:val="000000" w:themeColor="text1"/>
          <w:sz w:val="22"/>
          <w:szCs w:val="22"/>
        </w:rPr>
        <w:t>с</w:t>
      </w:r>
      <w:r w:rsidRPr="004A47F0">
        <w:rPr>
          <w:color w:val="000000" w:themeColor="text1"/>
          <w:sz w:val="22"/>
          <w:szCs w:val="22"/>
        </w:rPr>
        <w:t>тений колебался от 12,0 см (в контроле) до 7,0 см (Девидент Старт, КС). При ранжировании показателя длина корневой системы лу</w:t>
      </w:r>
      <w:r w:rsidRPr="004A47F0">
        <w:rPr>
          <w:color w:val="000000" w:themeColor="text1"/>
          <w:sz w:val="22"/>
          <w:szCs w:val="22"/>
        </w:rPr>
        <w:t>ч</w:t>
      </w:r>
      <w:r w:rsidRPr="004A47F0">
        <w:rPr>
          <w:color w:val="000000" w:themeColor="text1"/>
          <w:sz w:val="22"/>
          <w:szCs w:val="22"/>
        </w:rPr>
        <w:t>ший результат отмечался на контроле (18,2 см), а наибольшая пр</w:t>
      </w:r>
      <w:r w:rsidRPr="004A47F0">
        <w:rPr>
          <w:color w:val="000000" w:themeColor="text1"/>
          <w:sz w:val="22"/>
          <w:szCs w:val="22"/>
        </w:rPr>
        <w:t>и</w:t>
      </w:r>
      <w:r w:rsidRPr="004A47F0">
        <w:rPr>
          <w:color w:val="000000" w:themeColor="text1"/>
          <w:sz w:val="22"/>
          <w:szCs w:val="22"/>
        </w:rPr>
        <w:t>бавка роста на 2,2 см составила в варианте с Максим, КС (16,0 см).</w:t>
      </w:r>
    </w:p>
    <w:p w:rsidR="004A47F0" w:rsidRPr="004A47F0" w:rsidRDefault="004A47F0" w:rsidP="004A47F0">
      <w:pPr>
        <w:ind w:firstLine="426"/>
        <w:jc w:val="both"/>
        <w:rPr>
          <w:color w:val="000000" w:themeColor="text1"/>
          <w:sz w:val="22"/>
          <w:szCs w:val="22"/>
        </w:rPr>
      </w:pPr>
      <w:r w:rsidRPr="004A47F0">
        <w:rPr>
          <w:color w:val="000000" w:themeColor="text1"/>
          <w:sz w:val="22"/>
          <w:szCs w:val="22"/>
        </w:rPr>
        <w:t>Нами было отмечено, что самая большая длина листьев и ко</w:t>
      </w:r>
      <w:r w:rsidRPr="004A47F0">
        <w:rPr>
          <w:color w:val="000000" w:themeColor="text1"/>
          <w:sz w:val="22"/>
          <w:szCs w:val="22"/>
        </w:rPr>
        <w:t>р</w:t>
      </w:r>
      <w:r w:rsidRPr="004A47F0">
        <w:rPr>
          <w:color w:val="000000" w:themeColor="text1"/>
          <w:sz w:val="22"/>
          <w:szCs w:val="22"/>
        </w:rPr>
        <w:t>невой системы наблюдалась на контроле, а наименьшая на варианте с применением протравителя Девидент Старт, КС. Все протравит</w:t>
      </w:r>
      <w:r w:rsidRPr="004A47F0">
        <w:rPr>
          <w:color w:val="000000" w:themeColor="text1"/>
          <w:sz w:val="22"/>
          <w:szCs w:val="22"/>
        </w:rPr>
        <w:t>е</w:t>
      </w:r>
      <w:r w:rsidRPr="004A47F0">
        <w:rPr>
          <w:color w:val="000000" w:themeColor="text1"/>
          <w:sz w:val="22"/>
          <w:szCs w:val="22"/>
        </w:rPr>
        <w:t>ли сдерживали рост надземной части по сравнению с контролем. Однако наименьшее угнетение отмечалось в вариантах с примен</w:t>
      </w:r>
      <w:r w:rsidRPr="004A47F0">
        <w:rPr>
          <w:color w:val="000000" w:themeColor="text1"/>
          <w:sz w:val="22"/>
          <w:szCs w:val="22"/>
        </w:rPr>
        <w:t>е</w:t>
      </w:r>
      <w:r w:rsidRPr="004A47F0">
        <w:rPr>
          <w:color w:val="000000" w:themeColor="text1"/>
          <w:sz w:val="22"/>
          <w:szCs w:val="22"/>
        </w:rPr>
        <w:t>нием протравителей Баритон, КС (1,5 л/т) и Максим, КС (2,0 л/т).</w:t>
      </w:r>
    </w:p>
    <w:p w:rsidR="004A47F0" w:rsidRPr="004A47F0" w:rsidRDefault="004A47F0" w:rsidP="00E32B9C">
      <w:pPr>
        <w:jc w:val="both"/>
        <w:rPr>
          <w:b/>
          <w:color w:val="000000" w:themeColor="text1"/>
          <w:sz w:val="24"/>
          <w:szCs w:val="24"/>
        </w:rPr>
      </w:pPr>
    </w:p>
    <w:p w:rsidR="004A47F0" w:rsidRPr="00E32B9C" w:rsidRDefault="004A47F0" w:rsidP="00E32B9C">
      <w:pPr>
        <w:ind w:firstLine="426"/>
        <w:jc w:val="center"/>
        <w:rPr>
          <w:color w:val="000000" w:themeColor="text1"/>
          <w:sz w:val="22"/>
          <w:szCs w:val="22"/>
        </w:rPr>
      </w:pPr>
      <w:r w:rsidRPr="004A47F0">
        <w:rPr>
          <w:color w:val="000000" w:themeColor="text1"/>
          <w:sz w:val="22"/>
          <w:szCs w:val="22"/>
        </w:rPr>
        <w:t>Список литературы</w:t>
      </w:r>
    </w:p>
    <w:p w:rsidR="004A47F0" w:rsidRPr="004A47F0" w:rsidRDefault="004A47F0" w:rsidP="004A47F0">
      <w:pPr>
        <w:tabs>
          <w:tab w:val="left" w:pos="495"/>
        </w:tabs>
        <w:ind w:firstLine="426"/>
        <w:jc w:val="both"/>
        <w:rPr>
          <w:sz w:val="22"/>
          <w:szCs w:val="22"/>
        </w:rPr>
      </w:pPr>
      <w:r w:rsidRPr="004A47F0">
        <w:rPr>
          <w:sz w:val="22"/>
          <w:szCs w:val="22"/>
        </w:rPr>
        <w:t xml:space="preserve">1. </w:t>
      </w:r>
      <w:r w:rsidR="00E32B9C" w:rsidRPr="00E32B9C">
        <w:rPr>
          <w:iCs/>
          <w:sz w:val="22"/>
          <w:szCs w:val="22"/>
        </w:rPr>
        <w:t>Боридко М.</w:t>
      </w:r>
      <w:r w:rsidR="00E32B9C">
        <w:rPr>
          <w:iCs/>
          <w:sz w:val="22"/>
          <w:szCs w:val="22"/>
        </w:rPr>
        <w:t xml:space="preserve"> </w:t>
      </w:r>
      <w:r w:rsidR="00E32B9C" w:rsidRPr="00E32B9C">
        <w:rPr>
          <w:iCs/>
          <w:sz w:val="22"/>
          <w:szCs w:val="22"/>
        </w:rPr>
        <w:t xml:space="preserve">В., </w:t>
      </w:r>
      <w:proofErr w:type="gramStart"/>
      <w:r w:rsidR="00E32B9C" w:rsidRPr="00E32B9C">
        <w:rPr>
          <w:iCs/>
          <w:sz w:val="22"/>
          <w:szCs w:val="22"/>
        </w:rPr>
        <w:t>Смоляная</w:t>
      </w:r>
      <w:proofErr w:type="gramEnd"/>
      <w:r w:rsidR="00E32B9C" w:rsidRPr="00E32B9C">
        <w:rPr>
          <w:iCs/>
          <w:sz w:val="22"/>
          <w:szCs w:val="22"/>
        </w:rPr>
        <w:t xml:space="preserve"> Н.</w:t>
      </w:r>
      <w:r w:rsidR="00E32B9C">
        <w:rPr>
          <w:iCs/>
          <w:sz w:val="22"/>
          <w:szCs w:val="22"/>
        </w:rPr>
        <w:t xml:space="preserve"> </w:t>
      </w:r>
      <w:r w:rsidR="00E32B9C" w:rsidRPr="00E32B9C">
        <w:rPr>
          <w:iCs/>
          <w:sz w:val="22"/>
          <w:szCs w:val="22"/>
        </w:rPr>
        <w:t>М</w:t>
      </w:r>
      <w:r w:rsidR="00E32B9C" w:rsidRPr="004A47F0">
        <w:rPr>
          <w:i/>
          <w:iCs/>
          <w:sz w:val="22"/>
          <w:szCs w:val="22"/>
        </w:rPr>
        <w:t>.</w:t>
      </w:r>
      <w:r w:rsidR="00E32B9C">
        <w:rPr>
          <w:i/>
          <w:iCs/>
          <w:sz w:val="22"/>
          <w:szCs w:val="22"/>
        </w:rPr>
        <w:t xml:space="preserve"> </w:t>
      </w:r>
      <w:hyperlink r:id="rId15" w:history="1">
        <w:r w:rsidRPr="004A47F0">
          <w:rPr>
            <w:bCs/>
            <w:sz w:val="22"/>
            <w:szCs w:val="22"/>
          </w:rPr>
          <w:t>Наиболее значимые болезни озимой пшеницы и региональные ЭПВ в условиях Краснодарского края</w:t>
        </w:r>
      </w:hyperlink>
      <w:r w:rsidR="00E32B9C">
        <w:rPr>
          <w:bCs/>
          <w:sz w:val="22"/>
          <w:szCs w:val="22"/>
        </w:rPr>
        <w:t xml:space="preserve"> / </w:t>
      </w:r>
      <w:r w:rsidRPr="004A47F0">
        <w:rPr>
          <w:sz w:val="22"/>
          <w:szCs w:val="22"/>
        </w:rPr>
        <w:t>В сборнике: </w:t>
      </w:r>
      <w:hyperlink r:id="rId16" w:history="1">
        <w:r w:rsidRPr="004A47F0">
          <w:rPr>
            <w:sz w:val="22"/>
            <w:szCs w:val="22"/>
          </w:rPr>
          <w:t>Научное обеспечение агропромышленного ко</w:t>
        </w:r>
        <w:r w:rsidRPr="004A47F0">
          <w:rPr>
            <w:sz w:val="22"/>
            <w:szCs w:val="22"/>
          </w:rPr>
          <w:t>м</w:t>
        </w:r>
        <w:r w:rsidRPr="004A47F0">
          <w:rPr>
            <w:sz w:val="22"/>
            <w:szCs w:val="22"/>
          </w:rPr>
          <w:t>плекса</w:t>
        </w:r>
      </w:hyperlink>
      <w:r w:rsidRPr="004A47F0">
        <w:rPr>
          <w:rFonts w:ascii="Calibri" w:hAnsi="Calibri"/>
          <w:sz w:val="22"/>
          <w:szCs w:val="22"/>
        </w:rPr>
        <w:t>.</w:t>
      </w:r>
      <w:r w:rsidRPr="004A47F0">
        <w:rPr>
          <w:sz w:val="22"/>
          <w:szCs w:val="22"/>
        </w:rPr>
        <w:t> </w:t>
      </w:r>
      <w:r w:rsidR="00E32B9C">
        <w:rPr>
          <w:sz w:val="22"/>
          <w:szCs w:val="22"/>
        </w:rPr>
        <w:t xml:space="preserve">// </w:t>
      </w:r>
      <w:r w:rsidRPr="004A47F0">
        <w:rPr>
          <w:sz w:val="22"/>
          <w:szCs w:val="22"/>
        </w:rPr>
        <w:t xml:space="preserve">Сборник статей по материалам 71-й научно-практической конференции студентов по итогам НИР за 2015 год. Министерство сельского хозяйства РФ; ФГБОУ </w:t>
      </w:r>
      <w:proofErr w:type="gramStart"/>
      <w:r w:rsidRPr="004A47F0">
        <w:rPr>
          <w:sz w:val="22"/>
          <w:szCs w:val="22"/>
        </w:rPr>
        <w:t>ВО</w:t>
      </w:r>
      <w:proofErr w:type="gramEnd"/>
      <w:r w:rsidRPr="004A47F0">
        <w:rPr>
          <w:sz w:val="22"/>
          <w:szCs w:val="22"/>
        </w:rPr>
        <w:t xml:space="preserve"> «Кубанский государственный аграрный университет имени И.Т. Трубилина». 2016. </w:t>
      </w:r>
      <w:r w:rsidR="00E32B9C">
        <w:rPr>
          <w:sz w:val="22"/>
          <w:szCs w:val="22"/>
        </w:rPr>
        <w:t xml:space="preserve">- </w:t>
      </w:r>
      <w:r w:rsidRPr="004A47F0">
        <w:rPr>
          <w:sz w:val="22"/>
          <w:szCs w:val="22"/>
        </w:rPr>
        <w:t xml:space="preserve">С. 45-47. </w:t>
      </w:r>
    </w:p>
    <w:p w:rsidR="004A47F0" w:rsidRPr="004A47F0" w:rsidRDefault="004A47F0" w:rsidP="004A47F0">
      <w:pPr>
        <w:tabs>
          <w:tab w:val="left" w:pos="495"/>
        </w:tabs>
        <w:ind w:firstLine="426"/>
        <w:jc w:val="both"/>
        <w:rPr>
          <w:sz w:val="22"/>
          <w:szCs w:val="22"/>
        </w:rPr>
      </w:pPr>
      <w:r w:rsidRPr="004A47F0">
        <w:rPr>
          <w:sz w:val="22"/>
          <w:szCs w:val="22"/>
        </w:rPr>
        <w:t xml:space="preserve">2. </w:t>
      </w:r>
      <w:r w:rsidR="00E32B9C" w:rsidRPr="00E32B9C">
        <w:rPr>
          <w:iCs/>
          <w:sz w:val="22"/>
          <w:szCs w:val="22"/>
        </w:rPr>
        <w:t>Боридко М.</w:t>
      </w:r>
      <w:r w:rsidR="00E32B9C">
        <w:rPr>
          <w:iCs/>
          <w:sz w:val="22"/>
          <w:szCs w:val="22"/>
        </w:rPr>
        <w:t xml:space="preserve"> </w:t>
      </w:r>
      <w:r w:rsidR="00E32B9C" w:rsidRPr="00E32B9C">
        <w:rPr>
          <w:iCs/>
          <w:sz w:val="22"/>
          <w:szCs w:val="22"/>
        </w:rPr>
        <w:t>В., Деревнин Ю.</w:t>
      </w:r>
      <w:r w:rsidR="00E32B9C">
        <w:rPr>
          <w:iCs/>
          <w:sz w:val="22"/>
          <w:szCs w:val="22"/>
        </w:rPr>
        <w:t xml:space="preserve"> </w:t>
      </w:r>
      <w:r w:rsidR="00E32B9C" w:rsidRPr="00E32B9C">
        <w:rPr>
          <w:iCs/>
          <w:sz w:val="22"/>
          <w:szCs w:val="22"/>
        </w:rPr>
        <w:t xml:space="preserve">Г., </w:t>
      </w:r>
      <w:proofErr w:type="gramStart"/>
      <w:r w:rsidR="00E32B9C" w:rsidRPr="00E32B9C">
        <w:rPr>
          <w:iCs/>
          <w:sz w:val="22"/>
          <w:szCs w:val="22"/>
        </w:rPr>
        <w:t>Смоляная</w:t>
      </w:r>
      <w:proofErr w:type="gramEnd"/>
      <w:r w:rsidR="00E32B9C" w:rsidRPr="00E32B9C">
        <w:rPr>
          <w:iCs/>
          <w:sz w:val="22"/>
          <w:szCs w:val="22"/>
        </w:rPr>
        <w:t xml:space="preserve"> Н.</w:t>
      </w:r>
      <w:r w:rsidR="00E32B9C">
        <w:rPr>
          <w:iCs/>
          <w:sz w:val="22"/>
          <w:szCs w:val="22"/>
        </w:rPr>
        <w:t xml:space="preserve"> </w:t>
      </w:r>
      <w:r w:rsidR="00E32B9C" w:rsidRPr="00E32B9C">
        <w:rPr>
          <w:iCs/>
          <w:sz w:val="22"/>
          <w:szCs w:val="22"/>
        </w:rPr>
        <w:t>М.</w:t>
      </w:r>
      <w:r w:rsidR="00E32B9C">
        <w:rPr>
          <w:iCs/>
          <w:sz w:val="22"/>
          <w:szCs w:val="22"/>
        </w:rPr>
        <w:t xml:space="preserve"> </w:t>
      </w:r>
      <w:hyperlink r:id="rId17" w:history="1">
        <w:r w:rsidRPr="004A47F0">
          <w:rPr>
            <w:bCs/>
            <w:sz w:val="22"/>
            <w:szCs w:val="22"/>
          </w:rPr>
          <w:t>Биологич</w:t>
        </w:r>
        <w:r w:rsidRPr="004A47F0">
          <w:rPr>
            <w:bCs/>
            <w:sz w:val="22"/>
            <w:szCs w:val="22"/>
          </w:rPr>
          <w:t>е</w:t>
        </w:r>
        <w:r w:rsidRPr="004A47F0">
          <w:rPr>
            <w:bCs/>
            <w:sz w:val="22"/>
            <w:szCs w:val="22"/>
          </w:rPr>
          <w:t>ское обоснование защите озимой пшеницы от комплекса микопат</w:t>
        </w:r>
        <w:r w:rsidRPr="004A47F0">
          <w:rPr>
            <w:bCs/>
            <w:sz w:val="22"/>
            <w:szCs w:val="22"/>
          </w:rPr>
          <w:t>о</w:t>
        </w:r>
        <w:r w:rsidRPr="004A47F0">
          <w:rPr>
            <w:bCs/>
            <w:sz w:val="22"/>
            <w:szCs w:val="22"/>
          </w:rPr>
          <w:t>генов в условиях опытного поля ООО "СИНГЕНТА"</w:t>
        </w:r>
      </w:hyperlink>
      <w:r w:rsidR="00E32B9C">
        <w:rPr>
          <w:sz w:val="22"/>
          <w:szCs w:val="22"/>
        </w:rPr>
        <w:t xml:space="preserve"> / </w:t>
      </w:r>
      <w:r w:rsidRPr="004A47F0">
        <w:rPr>
          <w:sz w:val="22"/>
          <w:szCs w:val="22"/>
        </w:rPr>
        <w:t>В сборн</w:t>
      </w:r>
      <w:r w:rsidRPr="004A47F0">
        <w:rPr>
          <w:sz w:val="22"/>
          <w:szCs w:val="22"/>
        </w:rPr>
        <w:t>и</w:t>
      </w:r>
      <w:r w:rsidRPr="004A47F0">
        <w:rPr>
          <w:sz w:val="22"/>
          <w:szCs w:val="22"/>
        </w:rPr>
        <w:t>ке: </w:t>
      </w:r>
      <w:hyperlink r:id="rId18" w:history="1">
        <w:r w:rsidRPr="004A47F0">
          <w:rPr>
            <w:sz w:val="22"/>
            <w:szCs w:val="22"/>
          </w:rPr>
          <w:t>Научное обеспечение агропромышленного комплекса</w:t>
        </w:r>
      </w:hyperlink>
      <w:r w:rsidRPr="004A47F0">
        <w:rPr>
          <w:rFonts w:ascii="Calibri" w:hAnsi="Calibri"/>
          <w:sz w:val="22"/>
          <w:szCs w:val="22"/>
        </w:rPr>
        <w:t>.</w:t>
      </w:r>
      <w:r w:rsidRPr="004A47F0">
        <w:rPr>
          <w:sz w:val="22"/>
          <w:szCs w:val="22"/>
        </w:rPr>
        <w:t> </w:t>
      </w:r>
      <w:r w:rsidR="00E32B9C">
        <w:rPr>
          <w:sz w:val="22"/>
          <w:szCs w:val="22"/>
        </w:rPr>
        <w:t xml:space="preserve">// </w:t>
      </w:r>
      <w:r w:rsidRPr="004A47F0">
        <w:rPr>
          <w:sz w:val="22"/>
          <w:szCs w:val="22"/>
        </w:rPr>
        <w:t>Сбо</w:t>
      </w:r>
      <w:r w:rsidRPr="004A47F0">
        <w:rPr>
          <w:sz w:val="22"/>
          <w:szCs w:val="22"/>
        </w:rPr>
        <w:t>р</w:t>
      </w:r>
      <w:r w:rsidRPr="004A47F0">
        <w:rPr>
          <w:sz w:val="22"/>
          <w:szCs w:val="22"/>
        </w:rPr>
        <w:t xml:space="preserve">ник статей по материалам 72-й научно-практической конференции студентов по итогам НИР за 2016 год. 2017. </w:t>
      </w:r>
      <w:r w:rsidR="00E32B9C">
        <w:rPr>
          <w:sz w:val="22"/>
          <w:szCs w:val="22"/>
        </w:rPr>
        <w:t xml:space="preserve">- </w:t>
      </w:r>
      <w:r w:rsidRPr="004A47F0">
        <w:rPr>
          <w:sz w:val="22"/>
          <w:szCs w:val="22"/>
        </w:rPr>
        <w:t>С. 40-42.</w:t>
      </w:r>
    </w:p>
    <w:p w:rsidR="004A47F0" w:rsidRPr="004A47F0" w:rsidRDefault="004A47F0" w:rsidP="004A47F0">
      <w:pPr>
        <w:ind w:firstLine="426"/>
        <w:jc w:val="both"/>
        <w:rPr>
          <w:i/>
          <w:iCs/>
          <w:sz w:val="22"/>
          <w:szCs w:val="22"/>
        </w:rPr>
      </w:pPr>
      <w:r w:rsidRPr="004A47F0">
        <w:rPr>
          <w:sz w:val="22"/>
          <w:szCs w:val="22"/>
        </w:rPr>
        <w:t xml:space="preserve">3. </w:t>
      </w:r>
      <w:r w:rsidR="00E32B9C" w:rsidRPr="00E32B9C">
        <w:rPr>
          <w:iCs/>
          <w:sz w:val="22"/>
          <w:szCs w:val="22"/>
        </w:rPr>
        <w:t>Горьковенко В.</w:t>
      </w:r>
      <w:r w:rsidR="00E32B9C">
        <w:rPr>
          <w:iCs/>
          <w:sz w:val="22"/>
          <w:szCs w:val="22"/>
        </w:rPr>
        <w:t xml:space="preserve"> </w:t>
      </w:r>
      <w:r w:rsidR="00E32B9C" w:rsidRPr="00E32B9C">
        <w:rPr>
          <w:iCs/>
          <w:sz w:val="22"/>
          <w:szCs w:val="22"/>
        </w:rPr>
        <w:t>С., Мохова Л.</w:t>
      </w:r>
      <w:r w:rsidR="00E32B9C">
        <w:rPr>
          <w:iCs/>
          <w:sz w:val="22"/>
          <w:szCs w:val="22"/>
        </w:rPr>
        <w:t xml:space="preserve"> </w:t>
      </w:r>
      <w:r w:rsidR="00E32B9C" w:rsidRPr="00E32B9C">
        <w:rPr>
          <w:iCs/>
          <w:sz w:val="22"/>
          <w:szCs w:val="22"/>
        </w:rPr>
        <w:t>М., Смоляная Н.</w:t>
      </w:r>
      <w:r w:rsidR="00E32B9C">
        <w:rPr>
          <w:iCs/>
          <w:sz w:val="22"/>
          <w:szCs w:val="22"/>
        </w:rPr>
        <w:t xml:space="preserve"> </w:t>
      </w:r>
      <w:r w:rsidR="00E32B9C" w:rsidRPr="00E32B9C">
        <w:rPr>
          <w:iCs/>
          <w:sz w:val="22"/>
          <w:szCs w:val="22"/>
        </w:rPr>
        <w:t>М.</w:t>
      </w:r>
      <w:r w:rsidR="00E32B9C">
        <w:rPr>
          <w:iCs/>
          <w:sz w:val="22"/>
          <w:szCs w:val="22"/>
        </w:rPr>
        <w:t xml:space="preserve"> </w:t>
      </w:r>
      <w:hyperlink r:id="rId19" w:history="1">
        <w:r w:rsidRPr="004A47F0">
          <w:rPr>
            <w:bCs/>
            <w:sz w:val="22"/>
            <w:szCs w:val="22"/>
          </w:rPr>
          <w:t>Изменения в видовом составе грибов Р. S</w:t>
        </w:r>
        <w:r w:rsidRPr="004A47F0">
          <w:rPr>
            <w:bCs/>
            <w:sz w:val="22"/>
            <w:szCs w:val="22"/>
            <w:lang w:val="en-US"/>
          </w:rPr>
          <w:t>eptoria</w:t>
        </w:r>
        <w:r w:rsidRPr="004A47F0">
          <w:rPr>
            <w:bCs/>
            <w:sz w:val="22"/>
            <w:szCs w:val="22"/>
          </w:rPr>
          <w:t xml:space="preserve"> на Кубани</w:t>
        </w:r>
      </w:hyperlink>
      <w:r w:rsidRPr="004A47F0">
        <w:rPr>
          <w:i/>
          <w:iCs/>
          <w:sz w:val="22"/>
          <w:szCs w:val="22"/>
        </w:rPr>
        <w:t xml:space="preserve"> </w:t>
      </w:r>
      <w:r w:rsidR="00E32B9C">
        <w:rPr>
          <w:i/>
          <w:iCs/>
          <w:sz w:val="22"/>
          <w:szCs w:val="22"/>
        </w:rPr>
        <w:t xml:space="preserve">/ </w:t>
      </w:r>
      <w:hyperlink r:id="rId20" w:history="1">
        <w:r w:rsidRPr="004A47F0">
          <w:rPr>
            <w:sz w:val="22"/>
            <w:szCs w:val="22"/>
          </w:rPr>
          <w:t>Защита и карантин растений</w:t>
        </w:r>
      </w:hyperlink>
      <w:r w:rsidRPr="004A47F0">
        <w:rPr>
          <w:sz w:val="22"/>
          <w:szCs w:val="22"/>
        </w:rPr>
        <w:t>. 2005. </w:t>
      </w:r>
      <w:hyperlink r:id="rId21" w:history="1">
        <w:r w:rsidRPr="004A47F0">
          <w:rPr>
            <w:sz w:val="22"/>
            <w:szCs w:val="22"/>
          </w:rPr>
          <w:t>№ 3</w:t>
        </w:r>
      </w:hyperlink>
      <w:r w:rsidRPr="004A47F0">
        <w:rPr>
          <w:sz w:val="22"/>
          <w:szCs w:val="22"/>
        </w:rPr>
        <w:t xml:space="preserve">. </w:t>
      </w:r>
      <w:r w:rsidR="00E32B9C">
        <w:rPr>
          <w:sz w:val="22"/>
          <w:szCs w:val="22"/>
        </w:rPr>
        <w:t xml:space="preserve">- </w:t>
      </w:r>
      <w:r w:rsidRPr="004A47F0">
        <w:rPr>
          <w:sz w:val="22"/>
          <w:szCs w:val="22"/>
        </w:rPr>
        <w:t>С. 57.</w:t>
      </w:r>
    </w:p>
    <w:p w:rsidR="004A47F0" w:rsidRPr="004A47F0" w:rsidRDefault="004A47F0" w:rsidP="004A47F0">
      <w:pPr>
        <w:ind w:firstLine="426"/>
        <w:jc w:val="both"/>
        <w:rPr>
          <w:sz w:val="22"/>
          <w:szCs w:val="22"/>
        </w:rPr>
      </w:pPr>
      <w:r w:rsidRPr="004A47F0">
        <w:rPr>
          <w:sz w:val="22"/>
          <w:szCs w:val="22"/>
        </w:rPr>
        <w:t xml:space="preserve">4. </w:t>
      </w:r>
      <w:r w:rsidR="00E32B9C" w:rsidRPr="00E32B9C">
        <w:rPr>
          <w:iCs/>
          <w:sz w:val="22"/>
          <w:szCs w:val="22"/>
        </w:rPr>
        <w:t>Сокирко В.</w:t>
      </w:r>
      <w:r w:rsidR="00E32B9C">
        <w:rPr>
          <w:iCs/>
          <w:sz w:val="22"/>
          <w:szCs w:val="22"/>
        </w:rPr>
        <w:t xml:space="preserve"> </w:t>
      </w:r>
      <w:r w:rsidR="00E32B9C" w:rsidRPr="00E32B9C">
        <w:rPr>
          <w:iCs/>
          <w:sz w:val="22"/>
          <w:szCs w:val="22"/>
        </w:rPr>
        <w:t>П., Смоляная Н.</w:t>
      </w:r>
      <w:r w:rsidR="00E32B9C">
        <w:rPr>
          <w:iCs/>
          <w:sz w:val="22"/>
          <w:szCs w:val="22"/>
        </w:rPr>
        <w:t xml:space="preserve"> </w:t>
      </w:r>
      <w:r w:rsidR="00E32B9C" w:rsidRPr="00E32B9C">
        <w:rPr>
          <w:iCs/>
          <w:sz w:val="22"/>
          <w:szCs w:val="22"/>
        </w:rPr>
        <w:t>М., Немченко М.</w:t>
      </w:r>
      <w:r w:rsidR="00E32B9C">
        <w:rPr>
          <w:iCs/>
          <w:sz w:val="22"/>
          <w:szCs w:val="22"/>
        </w:rPr>
        <w:t xml:space="preserve"> </w:t>
      </w:r>
      <w:r w:rsidR="00E32B9C" w:rsidRPr="00E32B9C">
        <w:rPr>
          <w:iCs/>
          <w:sz w:val="22"/>
          <w:szCs w:val="22"/>
        </w:rPr>
        <w:t>В., Довбуш К.</w:t>
      </w:r>
      <w:r w:rsidR="00E32B9C">
        <w:rPr>
          <w:iCs/>
          <w:sz w:val="22"/>
          <w:szCs w:val="22"/>
        </w:rPr>
        <w:t xml:space="preserve"> </w:t>
      </w:r>
      <w:r w:rsidR="00E32B9C" w:rsidRPr="00E32B9C">
        <w:rPr>
          <w:iCs/>
          <w:sz w:val="22"/>
          <w:szCs w:val="22"/>
        </w:rPr>
        <w:t>Н.</w:t>
      </w:r>
      <w:r w:rsidR="00E32B9C">
        <w:t xml:space="preserve"> </w:t>
      </w:r>
      <w:hyperlink r:id="rId22" w:history="1">
        <w:r w:rsidRPr="004A47F0">
          <w:rPr>
            <w:bCs/>
            <w:sz w:val="22"/>
            <w:szCs w:val="22"/>
          </w:rPr>
          <w:t>Особенности эволюции токсигенных фузариев в агроценозе зе</w:t>
        </w:r>
        <w:r w:rsidRPr="004A47F0">
          <w:rPr>
            <w:bCs/>
            <w:sz w:val="22"/>
            <w:szCs w:val="22"/>
          </w:rPr>
          <w:t>р</w:t>
        </w:r>
        <w:r w:rsidRPr="004A47F0">
          <w:rPr>
            <w:bCs/>
            <w:sz w:val="22"/>
            <w:szCs w:val="22"/>
          </w:rPr>
          <w:t>новых культур Кубани</w:t>
        </w:r>
      </w:hyperlink>
      <w:r w:rsidRPr="004A47F0">
        <w:rPr>
          <w:sz w:val="22"/>
          <w:szCs w:val="22"/>
        </w:rPr>
        <w:t xml:space="preserve"> </w:t>
      </w:r>
      <w:r w:rsidR="00E32B9C">
        <w:rPr>
          <w:sz w:val="22"/>
          <w:szCs w:val="22"/>
        </w:rPr>
        <w:t xml:space="preserve">/ </w:t>
      </w:r>
      <w:r w:rsidRPr="004A47F0">
        <w:rPr>
          <w:sz w:val="22"/>
          <w:szCs w:val="22"/>
        </w:rPr>
        <w:t>В сборнике: </w:t>
      </w:r>
      <w:hyperlink r:id="rId23" w:history="1">
        <w:r w:rsidRPr="004A47F0">
          <w:rPr>
            <w:sz w:val="22"/>
            <w:szCs w:val="22"/>
          </w:rPr>
          <w:t>Научное обеспечение агр</w:t>
        </w:r>
        <w:r w:rsidRPr="004A47F0">
          <w:rPr>
            <w:sz w:val="22"/>
            <w:szCs w:val="22"/>
          </w:rPr>
          <w:t>о</w:t>
        </w:r>
        <w:r w:rsidRPr="004A47F0">
          <w:rPr>
            <w:sz w:val="22"/>
            <w:szCs w:val="22"/>
          </w:rPr>
          <w:t>промышленного комплекса</w:t>
        </w:r>
      </w:hyperlink>
      <w:r w:rsidRPr="004A47F0">
        <w:rPr>
          <w:rFonts w:ascii="Calibri" w:hAnsi="Calibri"/>
          <w:sz w:val="22"/>
          <w:szCs w:val="22"/>
        </w:rPr>
        <w:t>.</w:t>
      </w:r>
      <w:r w:rsidRPr="004A47F0">
        <w:rPr>
          <w:sz w:val="22"/>
          <w:szCs w:val="22"/>
        </w:rPr>
        <w:t> </w:t>
      </w:r>
      <w:r w:rsidR="00E32B9C">
        <w:rPr>
          <w:sz w:val="22"/>
          <w:szCs w:val="22"/>
        </w:rPr>
        <w:t xml:space="preserve">// </w:t>
      </w:r>
      <w:r w:rsidRPr="004A47F0">
        <w:rPr>
          <w:sz w:val="22"/>
          <w:szCs w:val="22"/>
        </w:rPr>
        <w:t xml:space="preserve">Сборник статей по материалам 71-й </w:t>
      </w:r>
      <w:r w:rsidRPr="004A47F0">
        <w:rPr>
          <w:sz w:val="22"/>
          <w:szCs w:val="22"/>
        </w:rPr>
        <w:lastRenderedPageBreak/>
        <w:t xml:space="preserve">научно-практической конференции преподавателей по итогам НИР за 2015 год. </w:t>
      </w:r>
      <w:proofErr w:type="gramStart"/>
      <w:r w:rsidRPr="004A47F0">
        <w:rPr>
          <w:sz w:val="22"/>
          <w:szCs w:val="22"/>
        </w:rPr>
        <w:t>Ответственный за выпуск А. Г. Кощаев. 2016.</w:t>
      </w:r>
      <w:proofErr w:type="gramEnd"/>
      <w:r w:rsidRPr="004A47F0">
        <w:rPr>
          <w:sz w:val="22"/>
          <w:szCs w:val="22"/>
        </w:rPr>
        <w:t xml:space="preserve"> </w:t>
      </w:r>
      <w:r w:rsidR="00E32B9C">
        <w:rPr>
          <w:sz w:val="22"/>
          <w:szCs w:val="22"/>
        </w:rPr>
        <w:t xml:space="preserve">- </w:t>
      </w:r>
      <w:r w:rsidRPr="004A47F0">
        <w:rPr>
          <w:sz w:val="22"/>
          <w:szCs w:val="22"/>
        </w:rPr>
        <w:t>С. 104-105.</w:t>
      </w:r>
    </w:p>
    <w:p w:rsidR="004A47F0" w:rsidRDefault="004A47F0" w:rsidP="008A2DA0">
      <w:pPr>
        <w:pStyle w:val="31"/>
        <w:rPr>
          <w:rFonts w:eastAsia="Calibri"/>
          <w:sz w:val="22"/>
          <w:szCs w:val="22"/>
        </w:rPr>
      </w:pPr>
    </w:p>
    <w:p w:rsidR="004A47F0" w:rsidRDefault="004A47F0" w:rsidP="008A2DA0">
      <w:pPr>
        <w:pStyle w:val="31"/>
        <w:rPr>
          <w:rFonts w:eastAsia="Calibri"/>
          <w:sz w:val="22"/>
          <w:szCs w:val="22"/>
        </w:rPr>
      </w:pPr>
    </w:p>
    <w:p w:rsidR="004A47F0" w:rsidRDefault="004A47F0" w:rsidP="00E32B9C">
      <w:pPr>
        <w:rPr>
          <w:rFonts w:eastAsia="Calibri"/>
          <w:sz w:val="22"/>
          <w:szCs w:val="22"/>
          <w:lang w:eastAsia="en-US"/>
        </w:rPr>
      </w:pPr>
      <w:r w:rsidRPr="004A47F0">
        <w:rPr>
          <w:rFonts w:eastAsia="Calibri"/>
          <w:sz w:val="22"/>
          <w:szCs w:val="22"/>
          <w:lang w:eastAsia="en-US"/>
        </w:rPr>
        <w:t>УДК 631.454:631.482.1 (470.620)</w:t>
      </w:r>
    </w:p>
    <w:p w:rsidR="00E32B9C" w:rsidRPr="004A47F0" w:rsidRDefault="00E32B9C" w:rsidP="00E32B9C">
      <w:pPr>
        <w:rPr>
          <w:rFonts w:eastAsia="Calibri"/>
          <w:sz w:val="22"/>
          <w:szCs w:val="22"/>
          <w:lang w:eastAsia="en-US"/>
        </w:rPr>
      </w:pPr>
    </w:p>
    <w:p w:rsidR="004A47F0" w:rsidRPr="004A47F0" w:rsidRDefault="004A47F0" w:rsidP="00E32B9C">
      <w:pPr>
        <w:ind w:firstLine="425"/>
        <w:jc w:val="center"/>
        <w:rPr>
          <w:rFonts w:eastAsia="Calibri"/>
          <w:b/>
          <w:sz w:val="24"/>
          <w:szCs w:val="22"/>
          <w:lang w:eastAsia="en-US"/>
        </w:rPr>
      </w:pPr>
      <w:proofErr w:type="gramStart"/>
      <w:r w:rsidRPr="004A47F0">
        <w:rPr>
          <w:rFonts w:eastAsia="Calibri"/>
          <w:b/>
          <w:sz w:val="24"/>
          <w:szCs w:val="22"/>
          <w:lang w:eastAsia="en-US"/>
        </w:rPr>
        <w:t>Влияние почвенного мелиоранта «</w:t>
      </w:r>
      <w:r w:rsidRPr="004A47F0">
        <w:rPr>
          <w:rFonts w:eastAsia="Calibri"/>
          <w:b/>
          <w:sz w:val="24"/>
          <w:szCs w:val="22"/>
          <w:lang w:val="en-US" w:eastAsia="en-US"/>
        </w:rPr>
        <w:t>R</w:t>
      </w:r>
      <w:r w:rsidRPr="004A47F0">
        <w:rPr>
          <w:rFonts w:eastAsia="Calibri"/>
          <w:b/>
          <w:sz w:val="24"/>
          <w:szCs w:val="22"/>
          <w:lang w:eastAsia="en-US"/>
        </w:rPr>
        <w:t xml:space="preserve">easil® Soil Conditioner» на свойства аллювиальной луговой почвы </w:t>
      </w:r>
      <w:proofErr w:type="gramEnd"/>
    </w:p>
    <w:p w:rsidR="004A47F0" w:rsidRPr="004A47F0" w:rsidRDefault="004A47F0" w:rsidP="00E32B9C">
      <w:pPr>
        <w:ind w:firstLine="425"/>
        <w:jc w:val="center"/>
        <w:rPr>
          <w:rFonts w:eastAsia="Calibri"/>
          <w:b/>
          <w:sz w:val="24"/>
          <w:szCs w:val="22"/>
          <w:lang w:val="en-US" w:eastAsia="en-US"/>
        </w:rPr>
      </w:pPr>
      <w:r w:rsidRPr="004A47F0">
        <w:rPr>
          <w:rFonts w:eastAsia="Calibri"/>
          <w:b/>
          <w:sz w:val="24"/>
          <w:szCs w:val="22"/>
          <w:lang w:eastAsia="en-US"/>
        </w:rPr>
        <w:t>Крымского</w:t>
      </w:r>
      <w:r w:rsidRPr="004A47F0">
        <w:rPr>
          <w:rFonts w:eastAsia="Calibri"/>
          <w:b/>
          <w:sz w:val="24"/>
          <w:szCs w:val="22"/>
          <w:lang w:val="en-US" w:eastAsia="en-US"/>
        </w:rPr>
        <w:t xml:space="preserve"> </w:t>
      </w:r>
      <w:r w:rsidRPr="004A47F0">
        <w:rPr>
          <w:rFonts w:eastAsia="Calibri"/>
          <w:b/>
          <w:sz w:val="24"/>
          <w:szCs w:val="22"/>
          <w:lang w:eastAsia="en-US"/>
        </w:rPr>
        <w:t>района</w:t>
      </w:r>
    </w:p>
    <w:p w:rsidR="004A47F0" w:rsidRPr="004A47F0" w:rsidRDefault="004A47F0" w:rsidP="00E32B9C">
      <w:pPr>
        <w:ind w:firstLine="425"/>
        <w:jc w:val="center"/>
        <w:rPr>
          <w:rFonts w:eastAsia="Calibri"/>
          <w:b/>
          <w:sz w:val="24"/>
          <w:szCs w:val="22"/>
          <w:lang w:val="en-US" w:eastAsia="en-US"/>
        </w:rPr>
      </w:pPr>
      <w:r w:rsidRPr="004A47F0">
        <w:rPr>
          <w:rFonts w:eastAsia="Calibri"/>
          <w:b/>
          <w:sz w:val="24"/>
          <w:szCs w:val="22"/>
          <w:lang w:val="en-US" w:eastAsia="en-US"/>
        </w:rPr>
        <w:t>Influence of soil reclamation "Reasil® Soil Conditioner" on the properties of alluvial meadow soil of the Crimean r</w:t>
      </w:r>
      <w:r w:rsidRPr="004A47F0">
        <w:rPr>
          <w:rFonts w:eastAsia="Calibri"/>
          <w:b/>
          <w:sz w:val="24"/>
          <w:szCs w:val="22"/>
          <w:lang w:val="en-US" w:eastAsia="en-US"/>
        </w:rPr>
        <w:t>e</w:t>
      </w:r>
      <w:r w:rsidRPr="004A47F0">
        <w:rPr>
          <w:rFonts w:eastAsia="Calibri"/>
          <w:b/>
          <w:sz w:val="24"/>
          <w:szCs w:val="22"/>
          <w:lang w:val="en-US" w:eastAsia="en-US"/>
        </w:rPr>
        <w:t>gion</w:t>
      </w:r>
    </w:p>
    <w:p w:rsidR="004A47F0" w:rsidRPr="004A47F0" w:rsidRDefault="004A47F0" w:rsidP="00E32B9C">
      <w:pPr>
        <w:ind w:firstLine="425"/>
        <w:jc w:val="center"/>
        <w:rPr>
          <w:rFonts w:eastAsia="Calibri"/>
          <w:b/>
          <w:sz w:val="24"/>
          <w:szCs w:val="22"/>
          <w:lang w:val="en-US" w:eastAsia="en-US"/>
        </w:rPr>
      </w:pPr>
    </w:p>
    <w:p w:rsidR="004A47F0" w:rsidRPr="004A47F0" w:rsidRDefault="004A47F0" w:rsidP="00E32B9C">
      <w:pPr>
        <w:ind w:firstLine="425"/>
        <w:jc w:val="right"/>
        <w:rPr>
          <w:rFonts w:eastAsia="Calibri"/>
          <w:sz w:val="22"/>
          <w:szCs w:val="22"/>
          <w:lang w:eastAsia="en-US"/>
        </w:rPr>
      </w:pPr>
      <w:r w:rsidRPr="004A47F0">
        <w:rPr>
          <w:rFonts w:eastAsia="Calibri"/>
          <w:sz w:val="22"/>
          <w:szCs w:val="22"/>
          <w:lang w:eastAsia="en-US"/>
        </w:rPr>
        <w:t>Мальнева В. Ю.,</w:t>
      </w:r>
    </w:p>
    <w:p w:rsidR="004A47F0" w:rsidRPr="004A47F0" w:rsidRDefault="00E32B9C" w:rsidP="00E32B9C">
      <w:pPr>
        <w:ind w:firstLine="425"/>
        <w:jc w:val="right"/>
        <w:rPr>
          <w:rFonts w:eastAsia="Calibri"/>
          <w:sz w:val="22"/>
          <w:szCs w:val="22"/>
          <w:lang w:eastAsia="en-US"/>
        </w:rPr>
      </w:pPr>
      <w:r>
        <w:rPr>
          <w:rFonts w:eastAsia="Calibri"/>
          <w:sz w:val="22"/>
          <w:szCs w:val="22"/>
          <w:lang w:eastAsia="en-US"/>
        </w:rPr>
        <w:t>студентка 3 курса</w:t>
      </w:r>
    </w:p>
    <w:p w:rsidR="004A47F0" w:rsidRPr="004A47F0" w:rsidRDefault="004A47F0" w:rsidP="00E32B9C">
      <w:pPr>
        <w:ind w:firstLine="425"/>
        <w:jc w:val="right"/>
        <w:rPr>
          <w:rFonts w:eastAsia="Calibri"/>
          <w:sz w:val="22"/>
          <w:szCs w:val="22"/>
          <w:lang w:eastAsia="en-US"/>
        </w:rPr>
      </w:pPr>
      <w:r w:rsidRPr="004A47F0">
        <w:rPr>
          <w:rFonts w:eastAsia="Calibri"/>
          <w:sz w:val="22"/>
          <w:szCs w:val="22"/>
          <w:lang w:eastAsia="en-US"/>
        </w:rPr>
        <w:t>факультета агрохимии и защиты растений</w:t>
      </w:r>
    </w:p>
    <w:p w:rsidR="004A47F0" w:rsidRPr="004A47F0" w:rsidRDefault="004A47F0" w:rsidP="00E32B9C">
      <w:pPr>
        <w:ind w:firstLine="425"/>
        <w:jc w:val="right"/>
        <w:rPr>
          <w:rFonts w:eastAsia="Calibri"/>
          <w:sz w:val="22"/>
          <w:szCs w:val="22"/>
          <w:lang w:eastAsia="en-US"/>
        </w:rPr>
      </w:pPr>
      <w:r w:rsidRPr="004A47F0">
        <w:rPr>
          <w:rFonts w:eastAsia="Calibri"/>
          <w:sz w:val="22"/>
          <w:szCs w:val="22"/>
          <w:lang w:eastAsia="en-US"/>
        </w:rPr>
        <w:t>Швец Т. В.,</w:t>
      </w:r>
    </w:p>
    <w:p w:rsidR="004A47F0" w:rsidRPr="004A47F0" w:rsidRDefault="004A47F0" w:rsidP="00E32B9C">
      <w:pPr>
        <w:ind w:firstLine="425"/>
        <w:jc w:val="right"/>
        <w:rPr>
          <w:rFonts w:eastAsia="Calibri"/>
          <w:sz w:val="22"/>
          <w:szCs w:val="22"/>
          <w:lang w:eastAsia="en-US"/>
        </w:rPr>
      </w:pPr>
      <w:r w:rsidRPr="004A47F0">
        <w:rPr>
          <w:rFonts w:eastAsia="Calibri"/>
          <w:sz w:val="22"/>
          <w:szCs w:val="22"/>
          <w:lang w:eastAsia="en-US"/>
        </w:rPr>
        <w:t>доцент кафедры почвоведения</w:t>
      </w:r>
    </w:p>
    <w:p w:rsidR="004A47F0" w:rsidRPr="004A47F0" w:rsidRDefault="004A47F0" w:rsidP="00E32B9C">
      <w:pPr>
        <w:ind w:firstLine="425"/>
        <w:jc w:val="right"/>
        <w:rPr>
          <w:rFonts w:eastAsia="Calibri"/>
          <w:sz w:val="22"/>
          <w:szCs w:val="22"/>
          <w:lang w:eastAsia="en-US"/>
        </w:rPr>
      </w:pPr>
      <w:r w:rsidRPr="004A47F0">
        <w:rPr>
          <w:rFonts w:eastAsia="Calibri"/>
          <w:sz w:val="22"/>
          <w:szCs w:val="22"/>
          <w:lang w:eastAsia="en-US"/>
        </w:rPr>
        <w:t>Куб</w:t>
      </w:r>
      <w:r w:rsidR="00E32B9C">
        <w:rPr>
          <w:rFonts w:eastAsia="Calibri"/>
          <w:sz w:val="22"/>
          <w:szCs w:val="22"/>
          <w:lang w:eastAsia="en-US"/>
        </w:rPr>
        <w:t>анский государственный аграрный</w:t>
      </w:r>
    </w:p>
    <w:p w:rsidR="004A47F0" w:rsidRDefault="004A47F0" w:rsidP="00E32B9C">
      <w:pPr>
        <w:ind w:firstLine="425"/>
        <w:jc w:val="right"/>
        <w:rPr>
          <w:rFonts w:eastAsia="Calibri"/>
          <w:sz w:val="22"/>
          <w:szCs w:val="22"/>
          <w:lang w:eastAsia="en-US"/>
        </w:rPr>
      </w:pPr>
      <w:r w:rsidRPr="004A47F0">
        <w:rPr>
          <w:rFonts w:eastAsia="Calibri"/>
          <w:sz w:val="22"/>
          <w:szCs w:val="22"/>
          <w:lang w:eastAsia="en-US"/>
        </w:rPr>
        <w:t>университет имени И. Т. Трубилина</w:t>
      </w:r>
    </w:p>
    <w:p w:rsidR="00E32B9C" w:rsidRPr="004A47F0" w:rsidRDefault="00E32B9C" w:rsidP="00E32B9C">
      <w:pPr>
        <w:ind w:firstLine="425"/>
        <w:jc w:val="right"/>
        <w:rPr>
          <w:rFonts w:eastAsia="Calibri"/>
          <w:sz w:val="22"/>
          <w:szCs w:val="22"/>
          <w:lang w:eastAsia="en-US"/>
        </w:rPr>
      </w:pPr>
    </w:p>
    <w:p w:rsidR="004A47F0" w:rsidRPr="004A47F0" w:rsidRDefault="004A47F0" w:rsidP="00E32B9C">
      <w:pPr>
        <w:ind w:firstLine="425"/>
        <w:jc w:val="both"/>
        <w:rPr>
          <w:rFonts w:eastAsia="Calibri"/>
          <w:sz w:val="22"/>
          <w:szCs w:val="22"/>
          <w:lang w:eastAsia="en-US"/>
        </w:rPr>
      </w:pPr>
      <w:r w:rsidRPr="004A47F0">
        <w:rPr>
          <w:rFonts w:eastAsia="Calibri"/>
          <w:sz w:val="24"/>
          <w:szCs w:val="22"/>
          <w:lang w:eastAsia="en-US"/>
        </w:rPr>
        <w:t>АННОТАЦИЯ:</w:t>
      </w:r>
      <w:r w:rsidRPr="004A47F0">
        <w:rPr>
          <w:rFonts w:eastAsia="Calibri"/>
          <w:b/>
          <w:sz w:val="24"/>
          <w:szCs w:val="22"/>
          <w:lang w:eastAsia="en-US"/>
        </w:rPr>
        <w:t xml:space="preserve"> </w:t>
      </w:r>
      <w:r w:rsidRPr="004A47F0">
        <w:rPr>
          <w:rFonts w:eastAsia="Calibri"/>
          <w:sz w:val="22"/>
          <w:szCs w:val="22"/>
          <w:lang w:eastAsia="en-US"/>
        </w:rPr>
        <w:t>В статье представлены данные исследований влияния почвенного мелиоранта «Reasil® Soil Conditioner» на сво</w:t>
      </w:r>
      <w:r w:rsidRPr="004A47F0">
        <w:rPr>
          <w:rFonts w:eastAsia="Calibri"/>
          <w:sz w:val="22"/>
          <w:szCs w:val="22"/>
          <w:lang w:eastAsia="en-US"/>
        </w:rPr>
        <w:t>й</w:t>
      </w:r>
      <w:r w:rsidRPr="004A47F0">
        <w:rPr>
          <w:rFonts w:eastAsia="Calibri"/>
          <w:sz w:val="22"/>
          <w:szCs w:val="22"/>
          <w:lang w:eastAsia="en-US"/>
        </w:rPr>
        <w:t xml:space="preserve">ства аллювиальной луговой карбонатной почвы Крымского района. </w:t>
      </w:r>
    </w:p>
    <w:p w:rsidR="004A47F0" w:rsidRPr="004A47F0" w:rsidRDefault="004A47F0" w:rsidP="004A47F0">
      <w:pPr>
        <w:ind w:firstLine="425"/>
        <w:jc w:val="both"/>
        <w:rPr>
          <w:rFonts w:eastAsia="Calibri"/>
          <w:sz w:val="22"/>
          <w:szCs w:val="22"/>
          <w:lang w:val="en-US" w:eastAsia="en-US"/>
        </w:rPr>
      </w:pPr>
      <w:r w:rsidRPr="004A47F0">
        <w:rPr>
          <w:rFonts w:eastAsia="Calibri"/>
          <w:sz w:val="22"/>
          <w:szCs w:val="22"/>
          <w:lang w:val="en-US" w:eastAsia="en-US"/>
        </w:rPr>
        <w:t>ABSTRACT:</w:t>
      </w:r>
      <w:r w:rsidRPr="004A47F0">
        <w:rPr>
          <w:rFonts w:ascii="Calibri" w:eastAsia="Calibri" w:hAnsi="Calibri"/>
          <w:sz w:val="22"/>
          <w:szCs w:val="22"/>
          <w:lang w:val="en-US" w:eastAsia="en-US"/>
        </w:rPr>
        <w:t xml:space="preserve"> </w:t>
      </w:r>
      <w:r w:rsidRPr="004A47F0">
        <w:rPr>
          <w:rFonts w:eastAsia="Calibri"/>
          <w:sz w:val="22"/>
          <w:szCs w:val="22"/>
          <w:lang w:val="en-US" w:eastAsia="en-US"/>
        </w:rPr>
        <w:t>The article presents the data of studies of the infl</w:t>
      </w:r>
      <w:r w:rsidRPr="004A47F0">
        <w:rPr>
          <w:rFonts w:eastAsia="Calibri"/>
          <w:sz w:val="22"/>
          <w:szCs w:val="22"/>
          <w:lang w:val="en-US" w:eastAsia="en-US"/>
        </w:rPr>
        <w:t>u</w:t>
      </w:r>
      <w:r w:rsidRPr="004A47F0">
        <w:rPr>
          <w:rFonts w:eastAsia="Calibri"/>
          <w:sz w:val="22"/>
          <w:szCs w:val="22"/>
          <w:lang w:val="en-US" w:eastAsia="en-US"/>
        </w:rPr>
        <w:t>ence of soil reclamation "Reasil® Soil Conditioner" on the properties of alluvial meadow carbonate soil of the Crimean region.</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КЛЮЧЕВЫЕ СЛОВА: аллювиальная луговая почва, физич</w:t>
      </w:r>
      <w:r w:rsidRPr="004A47F0">
        <w:rPr>
          <w:rFonts w:eastAsia="Calibri"/>
          <w:sz w:val="22"/>
          <w:szCs w:val="22"/>
          <w:lang w:eastAsia="en-US"/>
        </w:rPr>
        <w:t>е</w:t>
      </w:r>
      <w:r w:rsidRPr="004A47F0">
        <w:rPr>
          <w:rFonts w:eastAsia="Calibri"/>
          <w:sz w:val="22"/>
          <w:szCs w:val="22"/>
          <w:lang w:eastAsia="en-US"/>
        </w:rPr>
        <w:t>ские и водно-физические свойства почвы, структурный состав по</w:t>
      </w:r>
      <w:r w:rsidRPr="004A47F0">
        <w:rPr>
          <w:rFonts w:eastAsia="Calibri"/>
          <w:sz w:val="22"/>
          <w:szCs w:val="22"/>
          <w:lang w:eastAsia="en-US"/>
        </w:rPr>
        <w:t>ч</w:t>
      </w:r>
      <w:r w:rsidRPr="004A47F0">
        <w:rPr>
          <w:rFonts w:eastAsia="Calibri"/>
          <w:sz w:val="22"/>
          <w:szCs w:val="22"/>
          <w:lang w:eastAsia="en-US"/>
        </w:rPr>
        <w:t>вы, агрохимические показатели.</w:t>
      </w:r>
    </w:p>
    <w:p w:rsidR="004A47F0" w:rsidRPr="004A47F0" w:rsidRDefault="004A47F0" w:rsidP="004A47F0">
      <w:pPr>
        <w:ind w:firstLine="425"/>
        <w:jc w:val="both"/>
        <w:rPr>
          <w:rFonts w:eastAsia="Calibri"/>
          <w:sz w:val="22"/>
          <w:szCs w:val="22"/>
          <w:lang w:val="en-US" w:eastAsia="en-US"/>
        </w:rPr>
      </w:pPr>
      <w:r w:rsidRPr="004A47F0">
        <w:rPr>
          <w:rFonts w:eastAsia="Calibri"/>
          <w:sz w:val="22"/>
          <w:szCs w:val="22"/>
          <w:lang w:val="en-US" w:eastAsia="en-US"/>
        </w:rPr>
        <w:t>KEYWORD: alluvial meadow soil, physical and soil water-physical properties, structural composition of soil agrochemical parameters.</w:t>
      </w:r>
    </w:p>
    <w:p w:rsidR="004A47F0" w:rsidRPr="004A47F0" w:rsidRDefault="004A47F0" w:rsidP="004A47F0">
      <w:pPr>
        <w:ind w:firstLine="425"/>
        <w:jc w:val="both"/>
        <w:rPr>
          <w:rFonts w:eastAsia="Calibri"/>
          <w:sz w:val="22"/>
          <w:szCs w:val="22"/>
          <w:lang w:val="en-US" w:eastAsia="en-US"/>
        </w:rPr>
      </w:pP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В настоящее время вопрос сохранения и оптимизации плод</w:t>
      </w:r>
      <w:r w:rsidRPr="004A47F0">
        <w:rPr>
          <w:rFonts w:eastAsia="Calibri"/>
          <w:sz w:val="22"/>
          <w:szCs w:val="22"/>
          <w:lang w:eastAsia="en-US"/>
        </w:rPr>
        <w:t>о</w:t>
      </w:r>
      <w:r w:rsidRPr="004A47F0">
        <w:rPr>
          <w:rFonts w:eastAsia="Calibri"/>
          <w:sz w:val="22"/>
          <w:szCs w:val="22"/>
          <w:lang w:eastAsia="en-US"/>
        </w:rPr>
        <w:t>родия почв стоит достаточно остро [1]. Систематическое использ</w:t>
      </w:r>
      <w:r w:rsidRPr="004A47F0">
        <w:rPr>
          <w:rFonts w:eastAsia="Calibri"/>
          <w:sz w:val="22"/>
          <w:szCs w:val="22"/>
          <w:lang w:eastAsia="en-US"/>
        </w:rPr>
        <w:t>о</w:t>
      </w:r>
      <w:r w:rsidRPr="004A47F0">
        <w:rPr>
          <w:rFonts w:eastAsia="Calibri"/>
          <w:sz w:val="22"/>
          <w:szCs w:val="22"/>
          <w:lang w:eastAsia="en-US"/>
        </w:rPr>
        <w:t xml:space="preserve">вание почв в сельскохозяйственном производстве может привести к </w:t>
      </w:r>
      <w:r w:rsidRPr="004A47F0">
        <w:rPr>
          <w:rFonts w:eastAsia="Calibri"/>
          <w:sz w:val="22"/>
          <w:szCs w:val="22"/>
          <w:lang w:eastAsia="en-US"/>
        </w:rPr>
        <w:lastRenderedPageBreak/>
        <w:t>негативным изменениям их свойств и структурного состава. Одним из вариантов решения этой проблемы являются почвенные мели</w:t>
      </w:r>
      <w:r w:rsidRPr="004A47F0">
        <w:rPr>
          <w:rFonts w:eastAsia="Calibri"/>
          <w:sz w:val="22"/>
          <w:szCs w:val="22"/>
          <w:lang w:eastAsia="en-US"/>
        </w:rPr>
        <w:t>о</w:t>
      </w:r>
      <w:r w:rsidRPr="004A47F0">
        <w:rPr>
          <w:rFonts w:eastAsia="Calibri"/>
          <w:sz w:val="22"/>
          <w:szCs w:val="22"/>
          <w:lang w:eastAsia="en-US"/>
        </w:rPr>
        <w:t xml:space="preserve">ранты. </w:t>
      </w:r>
    </w:p>
    <w:p w:rsidR="004A47F0" w:rsidRPr="004A47F0" w:rsidRDefault="004A47F0" w:rsidP="004A47F0">
      <w:pPr>
        <w:ind w:firstLine="425"/>
        <w:jc w:val="both"/>
        <w:rPr>
          <w:rFonts w:eastAsia="Calibri"/>
          <w:sz w:val="22"/>
          <w:szCs w:val="22"/>
          <w:lang w:eastAsia="en-US"/>
        </w:rPr>
      </w:pPr>
      <w:proofErr w:type="gramStart"/>
      <w:r w:rsidRPr="004A47F0">
        <w:rPr>
          <w:rFonts w:eastAsia="Calibri"/>
          <w:sz w:val="22"/>
          <w:szCs w:val="22"/>
          <w:lang w:eastAsia="en-US"/>
        </w:rPr>
        <w:t>Почвенный</w:t>
      </w:r>
      <w:proofErr w:type="gramEnd"/>
      <w:r w:rsidRPr="004A47F0">
        <w:rPr>
          <w:rFonts w:eastAsia="Calibri"/>
          <w:sz w:val="22"/>
          <w:szCs w:val="22"/>
          <w:lang w:eastAsia="en-US"/>
        </w:rPr>
        <w:t xml:space="preserve"> мелиорант «Reasil</w:t>
      </w:r>
      <w:r w:rsidRPr="004A47F0">
        <w:rPr>
          <w:rFonts w:eastAsia="Calibri"/>
          <w:sz w:val="22"/>
          <w:szCs w:val="22"/>
          <w:vertAlign w:val="superscript"/>
          <w:lang w:eastAsia="en-US"/>
        </w:rPr>
        <w:t>®</w:t>
      </w:r>
      <w:r w:rsidRPr="004A47F0">
        <w:rPr>
          <w:rFonts w:eastAsia="Calibri"/>
          <w:sz w:val="22"/>
          <w:szCs w:val="22"/>
          <w:lang w:eastAsia="en-US"/>
        </w:rPr>
        <w:t xml:space="preserve"> Soil Conditioner» производства НПО «Сила жизни» при регулярном использовании предполагает комплексное действие на почву: увеличение содержания гумуса, повышение доступности питательных веществ корням растений, стимулирование пролиферации почвенных микроорганизмов, ув</w:t>
      </w:r>
      <w:r w:rsidRPr="004A47F0">
        <w:rPr>
          <w:rFonts w:eastAsia="Calibri"/>
          <w:sz w:val="22"/>
          <w:szCs w:val="22"/>
          <w:lang w:eastAsia="en-US"/>
        </w:rPr>
        <w:t>е</w:t>
      </w:r>
      <w:r w:rsidRPr="004A47F0">
        <w:rPr>
          <w:rFonts w:eastAsia="Calibri"/>
          <w:sz w:val="22"/>
          <w:szCs w:val="22"/>
          <w:lang w:eastAsia="en-US"/>
        </w:rPr>
        <w:t>личение влагопоглотительной и влагоудерживающей способности.</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В наших исследованиях рассмотрено влияние мелиоранта «Reasil</w:t>
      </w:r>
      <w:r w:rsidRPr="004A47F0">
        <w:rPr>
          <w:rFonts w:eastAsia="Calibri"/>
          <w:sz w:val="22"/>
          <w:szCs w:val="22"/>
          <w:vertAlign w:val="superscript"/>
          <w:lang w:eastAsia="en-US"/>
        </w:rPr>
        <w:t>®</w:t>
      </w:r>
      <w:r w:rsidRPr="004A47F0">
        <w:rPr>
          <w:rFonts w:eastAsia="Calibri"/>
          <w:sz w:val="22"/>
          <w:szCs w:val="22"/>
          <w:lang w:eastAsia="en-US"/>
        </w:rPr>
        <w:t xml:space="preserve"> Soil Conditioner» на физические, водно-физические, агр</w:t>
      </w:r>
      <w:r w:rsidRPr="004A47F0">
        <w:rPr>
          <w:rFonts w:eastAsia="Calibri"/>
          <w:sz w:val="22"/>
          <w:szCs w:val="22"/>
          <w:lang w:eastAsia="en-US"/>
        </w:rPr>
        <w:t>о</w:t>
      </w:r>
      <w:r w:rsidRPr="004A47F0">
        <w:rPr>
          <w:rFonts w:eastAsia="Calibri"/>
          <w:sz w:val="22"/>
          <w:szCs w:val="22"/>
          <w:lang w:eastAsia="en-US"/>
        </w:rPr>
        <w:t>химические свойства и структурный состав аллювиальной луговой карбонатной легкосуглинистой почвы Крымского района, ООО «Агросоюз». Исследуемая почва обладает относительно невысоким природным плодородием. Для нее характерна щелочная реакция среды, повышенная плотность профиля, невысокое содержание о</w:t>
      </w:r>
      <w:r w:rsidRPr="004A47F0">
        <w:rPr>
          <w:rFonts w:eastAsia="Calibri"/>
          <w:sz w:val="22"/>
          <w:szCs w:val="22"/>
          <w:lang w:eastAsia="en-US"/>
        </w:rPr>
        <w:t>р</w:t>
      </w:r>
      <w:r w:rsidRPr="004A47F0">
        <w:rPr>
          <w:rFonts w:eastAsia="Calibri"/>
          <w:sz w:val="22"/>
          <w:szCs w:val="22"/>
          <w:lang w:eastAsia="en-US"/>
        </w:rPr>
        <w:t>ганического вещества.</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 xml:space="preserve">Исследования по изучению действия мелиоранта проводились в 2017 году в условиях полевого опыта. Выращиваемая культура – томат рассадный. Схема опыта включала два варианта: 1. контроль (фон); 2. фон + </w:t>
      </w:r>
      <w:r w:rsidRPr="004A47F0">
        <w:rPr>
          <w:rFonts w:eastAsia="Calibri"/>
          <w:sz w:val="22"/>
          <w:szCs w:val="22"/>
          <w:lang w:val="en-US" w:eastAsia="en-US"/>
        </w:rPr>
        <w:t>Reasil</w:t>
      </w:r>
      <w:r w:rsidRPr="004A47F0">
        <w:rPr>
          <w:rFonts w:eastAsia="Calibri"/>
          <w:sz w:val="22"/>
          <w:szCs w:val="22"/>
          <w:vertAlign w:val="superscript"/>
          <w:lang w:eastAsia="en-US"/>
        </w:rPr>
        <w:t>®</w:t>
      </w:r>
      <w:r w:rsidRPr="004A47F0">
        <w:rPr>
          <w:rFonts w:eastAsia="Calibri"/>
          <w:sz w:val="22"/>
          <w:szCs w:val="22"/>
          <w:lang w:eastAsia="en-US"/>
        </w:rPr>
        <w:t xml:space="preserve"> </w:t>
      </w:r>
      <w:r w:rsidRPr="004A47F0">
        <w:rPr>
          <w:rFonts w:eastAsia="Calibri"/>
          <w:sz w:val="22"/>
          <w:szCs w:val="22"/>
          <w:lang w:val="en-US" w:eastAsia="en-US"/>
        </w:rPr>
        <w:t>Soil</w:t>
      </w:r>
      <w:r w:rsidRPr="004A47F0">
        <w:rPr>
          <w:rFonts w:eastAsia="Calibri"/>
          <w:sz w:val="22"/>
          <w:szCs w:val="22"/>
          <w:lang w:eastAsia="en-US"/>
        </w:rPr>
        <w:t xml:space="preserve"> </w:t>
      </w:r>
      <w:r w:rsidRPr="004A47F0">
        <w:rPr>
          <w:rFonts w:eastAsia="Calibri"/>
          <w:sz w:val="22"/>
          <w:szCs w:val="22"/>
          <w:lang w:val="en-US" w:eastAsia="en-US"/>
        </w:rPr>
        <w:t>Conditioner</w:t>
      </w:r>
      <w:r w:rsidRPr="004A47F0">
        <w:rPr>
          <w:rFonts w:eastAsia="Calibri"/>
          <w:sz w:val="22"/>
          <w:szCs w:val="22"/>
          <w:lang w:eastAsia="en-US"/>
        </w:rPr>
        <w:t xml:space="preserve"> в дозе 200 кг/га. </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Отбор почвенных образцов производился дважды – в начале и в конце вегетации томатов из пахотного (0-20 см) и подпахотного (20-40 см) горизонтов. Согласно общепринятым методикам в них были выполнены анализы по определению физических, агрохим</w:t>
      </w:r>
      <w:r w:rsidRPr="004A47F0">
        <w:rPr>
          <w:rFonts w:eastAsia="Calibri"/>
          <w:sz w:val="22"/>
          <w:szCs w:val="22"/>
          <w:lang w:eastAsia="en-US"/>
        </w:rPr>
        <w:t>и</w:t>
      </w:r>
      <w:r w:rsidRPr="004A47F0">
        <w:rPr>
          <w:rFonts w:eastAsia="Calibri"/>
          <w:sz w:val="22"/>
          <w:szCs w:val="22"/>
          <w:lang w:eastAsia="en-US"/>
        </w:rPr>
        <w:t>ческих свойств и структурного состава почвы [1].</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Результаты исследований показали, что физические и водно-физические свойства аллювиальной луговой почвы сохранили ст</w:t>
      </w:r>
      <w:r w:rsidRPr="004A47F0">
        <w:rPr>
          <w:rFonts w:eastAsia="Calibri"/>
          <w:sz w:val="22"/>
          <w:szCs w:val="22"/>
          <w:lang w:eastAsia="en-US"/>
        </w:rPr>
        <w:t>а</w:t>
      </w:r>
      <w:r w:rsidRPr="004A47F0">
        <w:rPr>
          <w:rFonts w:eastAsia="Calibri"/>
          <w:sz w:val="22"/>
          <w:szCs w:val="22"/>
          <w:lang w:eastAsia="en-US"/>
        </w:rPr>
        <w:t>бильность и мало подверглись изменениям под действием мели</w:t>
      </w:r>
      <w:r w:rsidRPr="004A47F0">
        <w:rPr>
          <w:rFonts w:eastAsia="Calibri"/>
          <w:sz w:val="22"/>
          <w:szCs w:val="22"/>
          <w:lang w:eastAsia="en-US"/>
        </w:rPr>
        <w:t>о</w:t>
      </w:r>
      <w:r w:rsidRPr="004A47F0">
        <w:rPr>
          <w:rFonts w:eastAsia="Calibri"/>
          <w:sz w:val="22"/>
          <w:szCs w:val="22"/>
          <w:lang w:eastAsia="en-US"/>
        </w:rPr>
        <w:t>ранта «Reasil</w:t>
      </w:r>
      <w:r w:rsidRPr="004A47F0">
        <w:rPr>
          <w:rFonts w:eastAsia="Calibri"/>
          <w:sz w:val="22"/>
          <w:szCs w:val="22"/>
          <w:vertAlign w:val="superscript"/>
          <w:lang w:eastAsia="en-US"/>
        </w:rPr>
        <w:t>®</w:t>
      </w:r>
      <w:r w:rsidRPr="004A47F0">
        <w:rPr>
          <w:rFonts w:eastAsia="Calibri"/>
          <w:sz w:val="22"/>
          <w:szCs w:val="22"/>
          <w:lang w:eastAsia="en-US"/>
        </w:rPr>
        <w:t> Soil Conditione». Так, в конце вегетации томатов снижение  плотности почвы на 1,3 % относительно контроля отм</w:t>
      </w:r>
      <w:r w:rsidRPr="004A47F0">
        <w:rPr>
          <w:rFonts w:eastAsia="Calibri"/>
          <w:sz w:val="22"/>
          <w:szCs w:val="22"/>
          <w:lang w:eastAsia="en-US"/>
        </w:rPr>
        <w:t>е</w:t>
      </w:r>
      <w:r w:rsidRPr="004A47F0">
        <w:rPr>
          <w:rFonts w:eastAsia="Calibri"/>
          <w:sz w:val="22"/>
          <w:szCs w:val="22"/>
          <w:lang w:eastAsia="en-US"/>
        </w:rPr>
        <w:t>чено лишь в подпахотном слое. Общая пористость почвы в верхних горизонтах  за период исследования практически не изменилась и колебалась в пределах 43,7-44,9 %. Стоит отметить некоторое п</w:t>
      </w:r>
      <w:r w:rsidRPr="004A47F0">
        <w:rPr>
          <w:rFonts w:eastAsia="Calibri"/>
          <w:sz w:val="22"/>
          <w:szCs w:val="22"/>
          <w:lang w:eastAsia="en-US"/>
        </w:rPr>
        <w:t>о</w:t>
      </w:r>
      <w:r w:rsidRPr="004A47F0">
        <w:rPr>
          <w:rFonts w:eastAsia="Calibri"/>
          <w:sz w:val="22"/>
          <w:szCs w:val="22"/>
          <w:lang w:eastAsia="en-US"/>
        </w:rPr>
        <w:t>вышение полевой влажности почвы  (на 1,5 %) в сравнении с контролем, что свидетельствует о повышении влагоудержива</w:t>
      </w:r>
      <w:r w:rsidRPr="004A47F0">
        <w:rPr>
          <w:rFonts w:eastAsia="Calibri"/>
          <w:sz w:val="22"/>
          <w:szCs w:val="22"/>
          <w:lang w:eastAsia="en-US"/>
        </w:rPr>
        <w:t>ю</w:t>
      </w:r>
      <w:r w:rsidRPr="004A47F0">
        <w:rPr>
          <w:rFonts w:eastAsia="Calibri"/>
          <w:sz w:val="22"/>
          <w:szCs w:val="22"/>
          <w:lang w:eastAsia="en-US"/>
        </w:rPr>
        <w:t xml:space="preserve">щей способности почвы. </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lastRenderedPageBreak/>
        <w:t>Результаты изучения структурного состояния аллювиальной луговой почвы показали увеличение содержания агрономически ценных агрегатов размером от 0,25 до 10 мм на 29,7 % (слой 0–20 см)  и 34,9 % (слой 20–40 см)  под действием мелиоранта.  В то же время количество малоценных агрегатов на опытном варианте уменьшилось на 16 %. Коэффициент структурности почвы после внесения мелиоранта увеличился с 0,13–0,16 до 0,42–0,54. Устано</w:t>
      </w:r>
      <w:r w:rsidRPr="004A47F0">
        <w:rPr>
          <w:rFonts w:eastAsia="Calibri"/>
          <w:sz w:val="22"/>
          <w:szCs w:val="22"/>
          <w:lang w:eastAsia="en-US"/>
        </w:rPr>
        <w:t>в</w:t>
      </w:r>
      <w:r w:rsidRPr="004A47F0">
        <w:rPr>
          <w:rFonts w:eastAsia="Calibri"/>
          <w:sz w:val="22"/>
          <w:szCs w:val="22"/>
          <w:lang w:eastAsia="en-US"/>
        </w:rPr>
        <w:t>лена тенденция к увеличению количества водопрочных агрегатов на варианте с применением мелиоранта в слое 0-20 см до 66,4 % по сравнению с контролем (56,7 %). Однако в слое 20-40 см колич</w:t>
      </w:r>
      <w:r w:rsidRPr="004A47F0">
        <w:rPr>
          <w:rFonts w:eastAsia="Calibri"/>
          <w:sz w:val="22"/>
          <w:szCs w:val="22"/>
          <w:lang w:eastAsia="en-US"/>
        </w:rPr>
        <w:t>е</w:t>
      </w:r>
      <w:r w:rsidRPr="004A47F0">
        <w:rPr>
          <w:rFonts w:eastAsia="Calibri"/>
          <w:sz w:val="22"/>
          <w:szCs w:val="22"/>
          <w:lang w:eastAsia="en-US"/>
        </w:rPr>
        <w:t>ство водопрочных агрегатов практически не изменялось.</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Что касается агрохимических показателей, установлено, что реакция почвенной среды под влиянием мелиоранта не изменилась и осталась слабощелочной. Содержание гумуса к концу вегетации томатов увеличилось на 0,2 %.  По-видимому, в варианте с использованием мелиоранта интенсивно протекают процессы м</w:t>
      </w:r>
      <w:r w:rsidRPr="004A47F0">
        <w:rPr>
          <w:rFonts w:eastAsia="Calibri"/>
          <w:sz w:val="22"/>
          <w:szCs w:val="22"/>
          <w:lang w:eastAsia="en-US"/>
        </w:rPr>
        <w:t>и</w:t>
      </w:r>
      <w:r w:rsidRPr="004A47F0">
        <w:rPr>
          <w:rFonts w:eastAsia="Calibri"/>
          <w:sz w:val="22"/>
          <w:szCs w:val="22"/>
          <w:lang w:eastAsia="en-US"/>
        </w:rPr>
        <w:t xml:space="preserve">нерализации, в </w:t>
      </w:r>
      <w:proofErr w:type="gramStart"/>
      <w:r w:rsidRPr="004A47F0">
        <w:rPr>
          <w:rFonts w:eastAsia="Calibri"/>
          <w:sz w:val="22"/>
          <w:szCs w:val="22"/>
          <w:lang w:eastAsia="en-US"/>
        </w:rPr>
        <w:t>связи</w:t>
      </w:r>
      <w:proofErr w:type="gramEnd"/>
      <w:r w:rsidRPr="004A47F0">
        <w:rPr>
          <w:rFonts w:eastAsia="Calibri"/>
          <w:sz w:val="22"/>
          <w:szCs w:val="22"/>
          <w:lang w:eastAsia="en-US"/>
        </w:rPr>
        <w:t xml:space="preserve"> с чем запасы органического вещества в верхних горизонтах снизились на 0,22–0,64 % по сравнению с контролем. Внесение «Reasil</w:t>
      </w:r>
      <w:r w:rsidRPr="004A47F0">
        <w:rPr>
          <w:rFonts w:eastAsia="Calibri"/>
          <w:sz w:val="22"/>
          <w:szCs w:val="22"/>
          <w:vertAlign w:val="superscript"/>
          <w:lang w:eastAsia="en-US"/>
        </w:rPr>
        <w:t>®</w:t>
      </w:r>
      <w:r w:rsidRPr="004A47F0">
        <w:rPr>
          <w:rFonts w:eastAsia="Calibri"/>
          <w:sz w:val="22"/>
          <w:szCs w:val="22"/>
          <w:lang w:eastAsia="en-US"/>
        </w:rPr>
        <w:t xml:space="preserve"> Soil Conditione» также оказало вл</w:t>
      </w:r>
      <w:r w:rsidRPr="004A47F0">
        <w:rPr>
          <w:rFonts w:eastAsia="Calibri"/>
          <w:sz w:val="22"/>
          <w:szCs w:val="22"/>
          <w:lang w:eastAsia="en-US"/>
        </w:rPr>
        <w:t>и</w:t>
      </w:r>
      <w:r w:rsidRPr="004A47F0">
        <w:rPr>
          <w:rFonts w:eastAsia="Calibri"/>
          <w:sz w:val="22"/>
          <w:szCs w:val="22"/>
          <w:lang w:eastAsia="en-US"/>
        </w:rPr>
        <w:t>яние на миграцию элементов и способствовало задержанию нитра</w:t>
      </w:r>
      <w:r w:rsidRPr="004A47F0">
        <w:rPr>
          <w:rFonts w:eastAsia="Calibri"/>
          <w:sz w:val="22"/>
          <w:szCs w:val="22"/>
          <w:lang w:eastAsia="en-US"/>
        </w:rPr>
        <w:t>т</w:t>
      </w:r>
      <w:r w:rsidRPr="004A47F0">
        <w:rPr>
          <w:rFonts w:eastAsia="Calibri"/>
          <w:sz w:val="22"/>
          <w:szCs w:val="22"/>
          <w:lang w:eastAsia="en-US"/>
        </w:rPr>
        <w:t xml:space="preserve">ного азота в пахотном слое почвы. Нитрификационная способность почвы на контрольном варианте снизилась ко второму отбору на 17–31%, что может быть связано с ингибирующим воздействием препарата на численность и активность микроорганизмов [2]. </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Таким образом, применение мелиоранта «Reasil</w:t>
      </w:r>
      <w:r w:rsidRPr="004A47F0">
        <w:rPr>
          <w:rFonts w:eastAsia="Calibri"/>
          <w:sz w:val="22"/>
          <w:szCs w:val="22"/>
          <w:vertAlign w:val="superscript"/>
          <w:lang w:eastAsia="en-US"/>
        </w:rPr>
        <w:t>®</w:t>
      </w:r>
      <w:r w:rsidRPr="004A47F0">
        <w:rPr>
          <w:rFonts w:eastAsia="Calibri"/>
          <w:sz w:val="22"/>
          <w:szCs w:val="22"/>
          <w:lang w:eastAsia="en-US"/>
        </w:rPr>
        <w:t xml:space="preserve"> Soil Conditione» в целом приводит к улучшению общего состояния а</w:t>
      </w:r>
      <w:r w:rsidRPr="004A47F0">
        <w:rPr>
          <w:rFonts w:eastAsia="Calibri"/>
          <w:sz w:val="22"/>
          <w:szCs w:val="22"/>
          <w:lang w:eastAsia="en-US"/>
        </w:rPr>
        <w:t>л</w:t>
      </w:r>
      <w:r w:rsidRPr="004A47F0">
        <w:rPr>
          <w:rFonts w:eastAsia="Calibri"/>
          <w:sz w:val="22"/>
          <w:szCs w:val="22"/>
          <w:lang w:eastAsia="en-US"/>
        </w:rPr>
        <w:t>лювиальной  луговой карбонатной почвы. Позитивные изменения затрагивают в большей степени агрохимические свойства и структурный состав почвы.</w:t>
      </w:r>
    </w:p>
    <w:p w:rsidR="004A47F0" w:rsidRPr="004A47F0" w:rsidRDefault="004A47F0" w:rsidP="004A47F0">
      <w:pPr>
        <w:ind w:firstLine="425"/>
        <w:jc w:val="both"/>
        <w:rPr>
          <w:rFonts w:eastAsia="Calibri"/>
          <w:sz w:val="22"/>
          <w:szCs w:val="22"/>
          <w:lang w:eastAsia="en-US"/>
        </w:rPr>
      </w:pPr>
    </w:p>
    <w:p w:rsidR="004A47F0" w:rsidRPr="004A47F0" w:rsidRDefault="004A47F0" w:rsidP="004A47F0">
      <w:pPr>
        <w:ind w:firstLine="425"/>
        <w:jc w:val="center"/>
        <w:rPr>
          <w:rFonts w:eastAsia="Calibri"/>
          <w:sz w:val="22"/>
          <w:szCs w:val="22"/>
          <w:lang w:eastAsia="en-US"/>
        </w:rPr>
      </w:pPr>
      <w:r w:rsidRPr="004A47F0">
        <w:rPr>
          <w:rFonts w:eastAsia="Calibri"/>
          <w:sz w:val="22"/>
          <w:szCs w:val="22"/>
          <w:lang w:eastAsia="en-US"/>
        </w:rPr>
        <w:t>Список литературы</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1. Подколзин О. А. Мониторинг плодородия почв земель Кра</w:t>
      </w:r>
      <w:r w:rsidRPr="004A47F0">
        <w:rPr>
          <w:rFonts w:eastAsia="Calibri"/>
          <w:sz w:val="22"/>
          <w:szCs w:val="22"/>
          <w:lang w:eastAsia="en-US"/>
        </w:rPr>
        <w:t>с</w:t>
      </w:r>
      <w:r w:rsidRPr="004A47F0">
        <w:rPr>
          <w:rFonts w:eastAsia="Calibri"/>
          <w:sz w:val="22"/>
          <w:szCs w:val="22"/>
          <w:lang w:eastAsia="en-US"/>
        </w:rPr>
        <w:t>нодарского края / О. А. Подколзин, И. В. Соколова, А. В.  Осипов, В. Н. Слюсарев // Тр. // КубГАУ, Краснодар. – 2017. – № 68. – С. 117–124.</w:t>
      </w:r>
    </w:p>
    <w:p w:rsidR="004A47F0" w:rsidRPr="004A47F0" w:rsidRDefault="004A47F0" w:rsidP="004A47F0">
      <w:pPr>
        <w:ind w:firstLine="425"/>
        <w:jc w:val="both"/>
        <w:rPr>
          <w:rFonts w:eastAsia="Calibri"/>
          <w:sz w:val="22"/>
          <w:szCs w:val="22"/>
          <w:lang w:eastAsia="en-US"/>
        </w:rPr>
      </w:pPr>
      <w:r w:rsidRPr="004A47F0">
        <w:rPr>
          <w:rFonts w:eastAsia="Calibri"/>
          <w:sz w:val="22"/>
          <w:szCs w:val="22"/>
          <w:lang w:eastAsia="en-US"/>
        </w:rPr>
        <w:t xml:space="preserve">2. Терпелец В. И. Изменение состава и баланса </w:t>
      </w:r>
      <w:proofErr w:type="gramStart"/>
      <w:r w:rsidRPr="004A47F0">
        <w:rPr>
          <w:rFonts w:eastAsia="Calibri"/>
          <w:sz w:val="22"/>
          <w:szCs w:val="22"/>
          <w:lang w:eastAsia="en-US"/>
        </w:rPr>
        <w:t>гумуса</w:t>
      </w:r>
      <w:proofErr w:type="gramEnd"/>
      <w:r w:rsidRPr="004A47F0">
        <w:rPr>
          <w:rFonts w:eastAsia="Calibri"/>
          <w:sz w:val="22"/>
          <w:szCs w:val="22"/>
          <w:lang w:eastAsia="en-US"/>
        </w:rPr>
        <w:t xml:space="preserve"> при сельскохозяйственном использовании чернозема выщелоченного на Азово-кубанской низменности / В. И. Терпелец, Ю. С. Плитинь, </w:t>
      </w:r>
      <w:r w:rsidRPr="004A47F0">
        <w:rPr>
          <w:rFonts w:eastAsia="Calibri"/>
          <w:sz w:val="22"/>
          <w:szCs w:val="22"/>
          <w:lang w:eastAsia="en-US"/>
        </w:rPr>
        <w:lastRenderedPageBreak/>
        <w:t>А. В.</w:t>
      </w:r>
      <w:r w:rsidRPr="004A47F0">
        <w:rPr>
          <w:rFonts w:ascii="Calibri" w:eastAsia="Calibri" w:hAnsi="Calibri"/>
          <w:sz w:val="22"/>
          <w:szCs w:val="22"/>
          <w:lang w:eastAsia="en-US"/>
        </w:rPr>
        <w:t> </w:t>
      </w:r>
      <w:r w:rsidRPr="004A47F0">
        <w:rPr>
          <w:rFonts w:eastAsia="Calibri"/>
          <w:sz w:val="22"/>
          <w:szCs w:val="22"/>
          <w:lang w:eastAsia="en-US"/>
        </w:rPr>
        <w:t>Бузоверов, Е. Е. Баракина, В. П. Кашиц, А. П. Максименко //</w:t>
      </w:r>
      <w:r w:rsidRPr="004A47F0">
        <w:rPr>
          <w:rFonts w:ascii="Calibri" w:eastAsia="Calibri" w:hAnsi="Calibri"/>
          <w:sz w:val="22"/>
          <w:szCs w:val="22"/>
          <w:lang w:eastAsia="en-US"/>
        </w:rPr>
        <w:t xml:space="preserve"> </w:t>
      </w:r>
      <w:r w:rsidRPr="004A47F0">
        <w:rPr>
          <w:rFonts w:eastAsia="Calibri"/>
          <w:sz w:val="22"/>
          <w:szCs w:val="22"/>
          <w:lang w:eastAsia="en-US"/>
        </w:rPr>
        <w:t>Тр.// КубГАУ, Краснодар, – 2014. – № 49. – С. 63–70.</w:t>
      </w:r>
    </w:p>
    <w:p w:rsidR="004A47F0" w:rsidRDefault="004A47F0" w:rsidP="008A2DA0">
      <w:pPr>
        <w:pStyle w:val="31"/>
        <w:rPr>
          <w:rFonts w:eastAsia="Calibri"/>
          <w:sz w:val="22"/>
          <w:szCs w:val="22"/>
        </w:rPr>
      </w:pPr>
    </w:p>
    <w:p w:rsidR="008742E9" w:rsidRDefault="008742E9" w:rsidP="008A2DA0">
      <w:pPr>
        <w:pStyle w:val="31"/>
        <w:rPr>
          <w:rFonts w:eastAsia="Calibri"/>
          <w:sz w:val="22"/>
          <w:szCs w:val="22"/>
        </w:rPr>
      </w:pPr>
    </w:p>
    <w:p w:rsidR="00E32B9C" w:rsidRDefault="00E32B9C" w:rsidP="00E32B9C">
      <w:pPr>
        <w:rPr>
          <w:rFonts w:eastAsia="Calibri"/>
          <w:sz w:val="22"/>
          <w:szCs w:val="22"/>
        </w:rPr>
      </w:pPr>
    </w:p>
    <w:p w:rsidR="008742E9" w:rsidRPr="008742E9" w:rsidRDefault="008742E9" w:rsidP="008742E9">
      <w:pPr>
        <w:spacing w:after="200"/>
        <w:rPr>
          <w:rFonts w:eastAsia="Calibri"/>
          <w:sz w:val="22"/>
          <w:szCs w:val="22"/>
          <w:lang w:eastAsia="en-US"/>
        </w:rPr>
      </w:pPr>
      <w:r w:rsidRPr="008742E9">
        <w:rPr>
          <w:rFonts w:eastAsia="Calibri"/>
          <w:sz w:val="22"/>
          <w:szCs w:val="22"/>
          <w:lang w:eastAsia="en-US"/>
        </w:rPr>
        <w:t>УДК 631.82:633.18</w:t>
      </w:r>
    </w:p>
    <w:p w:rsidR="00E32B9C" w:rsidRDefault="008742E9" w:rsidP="00E32B9C">
      <w:pPr>
        <w:jc w:val="center"/>
        <w:rPr>
          <w:rFonts w:eastAsia="Calibri"/>
          <w:b/>
          <w:sz w:val="24"/>
          <w:szCs w:val="24"/>
          <w:lang w:eastAsia="en-US"/>
        </w:rPr>
      </w:pPr>
      <w:r w:rsidRPr="008742E9">
        <w:rPr>
          <w:rFonts w:eastAsia="Calibri"/>
          <w:b/>
          <w:sz w:val="24"/>
          <w:szCs w:val="24"/>
          <w:lang w:eastAsia="en-US"/>
        </w:rPr>
        <w:t xml:space="preserve">Эффективность применения </w:t>
      </w:r>
      <w:r w:rsidR="00E32B9C">
        <w:rPr>
          <w:rFonts w:eastAsia="Calibri"/>
          <w:b/>
          <w:sz w:val="24"/>
          <w:szCs w:val="24"/>
          <w:lang w:eastAsia="en-US"/>
        </w:rPr>
        <w:t>м</w:t>
      </w:r>
      <w:r w:rsidRPr="008742E9">
        <w:rPr>
          <w:rFonts w:eastAsia="Calibri"/>
          <w:b/>
          <w:sz w:val="24"/>
          <w:szCs w:val="24"/>
          <w:lang w:eastAsia="en-US"/>
        </w:rPr>
        <w:t xml:space="preserve">ультиминерального </w:t>
      </w:r>
      <w:r w:rsidR="00E32B9C">
        <w:rPr>
          <w:rFonts w:eastAsia="Calibri"/>
          <w:b/>
          <w:sz w:val="24"/>
          <w:szCs w:val="24"/>
          <w:lang w:eastAsia="en-US"/>
        </w:rPr>
        <w:br/>
      </w:r>
      <w:r w:rsidRPr="008742E9">
        <w:rPr>
          <w:rFonts w:eastAsia="Calibri"/>
          <w:b/>
          <w:sz w:val="24"/>
          <w:szCs w:val="24"/>
          <w:lang w:eastAsia="en-US"/>
        </w:rPr>
        <w:t>удобре</w:t>
      </w:r>
      <w:r w:rsidR="00E32B9C">
        <w:rPr>
          <w:rFonts w:eastAsia="Calibri"/>
          <w:b/>
          <w:sz w:val="24"/>
          <w:szCs w:val="24"/>
          <w:lang w:eastAsia="en-US"/>
        </w:rPr>
        <w:t>ния М</w:t>
      </w:r>
      <w:r w:rsidRPr="008742E9">
        <w:rPr>
          <w:rFonts w:eastAsia="Calibri"/>
          <w:b/>
          <w:sz w:val="24"/>
          <w:szCs w:val="24"/>
          <w:lang w:eastAsia="en-US"/>
        </w:rPr>
        <w:t>инерал 22 на посевах риса сорта Рапан</w:t>
      </w:r>
      <w:r w:rsidR="00E32B9C">
        <w:rPr>
          <w:rFonts w:eastAsia="Calibri"/>
          <w:b/>
          <w:sz w:val="24"/>
          <w:szCs w:val="24"/>
          <w:lang w:eastAsia="en-US"/>
        </w:rPr>
        <w:t xml:space="preserve"> </w:t>
      </w:r>
    </w:p>
    <w:p w:rsidR="008742E9" w:rsidRPr="008742E9" w:rsidRDefault="008742E9" w:rsidP="00E32B9C">
      <w:pPr>
        <w:jc w:val="center"/>
        <w:rPr>
          <w:rFonts w:eastAsia="Calibri"/>
          <w:b/>
          <w:sz w:val="24"/>
          <w:szCs w:val="24"/>
          <w:lang w:val="en-US" w:eastAsia="en-US"/>
        </w:rPr>
      </w:pPr>
      <w:r w:rsidRPr="008742E9">
        <w:rPr>
          <w:rFonts w:eastAsia="Calibri"/>
          <w:b/>
          <w:sz w:val="24"/>
          <w:szCs w:val="24"/>
          <w:lang w:val="en-US" w:eastAsia="en-US"/>
        </w:rPr>
        <w:t>Efficiency of application</w:t>
      </w:r>
      <w:r w:rsidR="00E32B9C" w:rsidRPr="00E32B9C">
        <w:rPr>
          <w:rFonts w:eastAsia="Calibri"/>
          <w:b/>
          <w:sz w:val="24"/>
          <w:szCs w:val="24"/>
          <w:lang w:val="en-US" w:eastAsia="en-US"/>
        </w:rPr>
        <w:t xml:space="preserve"> </w:t>
      </w:r>
      <w:r w:rsidR="00E32B9C">
        <w:rPr>
          <w:rFonts w:eastAsia="Calibri"/>
          <w:b/>
          <w:sz w:val="24"/>
          <w:szCs w:val="24"/>
          <w:lang w:val="en-US" w:eastAsia="en-US"/>
        </w:rPr>
        <w:t>multimineral fertilizer M</w:t>
      </w:r>
      <w:r w:rsidRPr="008742E9">
        <w:rPr>
          <w:rFonts w:eastAsia="Calibri"/>
          <w:b/>
          <w:sz w:val="24"/>
          <w:szCs w:val="24"/>
          <w:lang w:val="en-US" w:eastAsia="en-US"/>
        </w:rPr>
        <w:t>ineral 22 on sowing risa sort Rapan</w:t>
      </w:r>
    </w:p>
    <w:p w:rsidR="008742E9" w:rsidRPr="008742E9" w:rsidRDefault="008742E9" w:rsidP="008742E9">
      <w:pPr>
        <w:jc w:val="center"/>
        <w:rPr>
          <w:rFonts w:eastAsia="Calibri"/>
          <w:spacing w:val="-2"/>
          <w:sz w:val="22"/>
          <w:szCs w:val="22"/>
          <w:lang w:val="en-US" w:eastAsia="en-US"/>
        </w:rPr>
      </w:pPr>
    </w:p>
    <w:p w:rsidR="008742E9" w:rsidRPr="008742E9" w:rsidRDefault="008742E9" w:rsidP="008742E9">
      <w:pPr>
        <w:jc w:val="right"/>
        <w:rPr>
          <w:rFonts w:eastAsia="Calibri"/>
          <w:spacing w:val="-4"/>
          <w:sz w:val="22"/>
          <w:szCs w:val="22"/>
          <w:lang w:eastAsia="en-US"/>
        </w:rPr>
      </w:pPr>
      <w:r w:rsidRPr="008742E9">
        <w:rPr>
          <w:rFonts w:eastAsia="Calibri"/>
          <w:spacing w:val="-4"/>
          <w:sz w:val="22"/>
          <w:szCs w:val="22"/>
          <w:lang w:eastAsia="en-US"/>
        </w:rPr>
        <w:t>Михайленко М.</w:t>
      </w:r>
      <w:r w:rsidR="00E32B9C">
        <w:rPr>
          <w:rFonts w:eastAsia="Calibri"/>
          <w:spacing w:val="-4"/>
          <w:sz w:val="22"/>
          <w:szCs w:val="22"/>
          <w:lang w:eastAsia="en-US"/>
        </w:rPr>
        <w:t xml:space="preserve"> В.,</w:t>
      </w:r>
    </w:p>
    <w:p w:rsidR="008742E9" w:rsidRPr="008742E9" w:rsidRDefault="008742E9" w:rsidP="008742E9">
      <w:pPr>
        <w:jc w:val="right"/>
        <w:rPr>
          <w:rFonts w:eastAsia="Calibri"/>
          <w:spacing w:val="-4"/>
          <w:sz w:val="22"/>
          <w:szCs w:val="22"/>
          <w:lang w:eastAsia="en-US"/>
        </w:rPr>
      </w:pPr>
      <w:r w:rsidRPr="008742E9">
        <w:rPr>
          <w:rFonts w:eastAsia="Calibri"/>
          <w:spacing w:val="-4"/>
          <w:sz w:val="22"/>
          <w:szCs w:val="22"/>
          <w:lang w:eastAsia="en-US"/>
        </w:rPr>
        <w:t>магистрант 2 курса факультета агрохимии и защиты растений</w:t>
      </w:r>
    </w:p>
    <w:p w:rsidR="008742E9" w:rsidRPr="008742E9" w:rsidRDefault="00E32B9C" w:rsidP="008742E9">
      <w:pPr>
        <w:jc w:val="right"/>
        <w:rPr>
          <w:rFonts w:eastAsia="Calibri"/>
          <w:spacing w:val="-4"/>
          <w:sz w:val="22"/>
          <w:szCs w:val="22"/>
          <w:lang w:eastAsia="en-US"/>
        </w:rPr>
      </w:pPr>
      <w:r>
        <w:rPr>
          <w:rFonts w:eastAsia="Calibri"/>
          <w:spacing w:val="-4"/>
          <w:sz w:val="22"/>
          <w:szCs w:val="22"/>
          <w:lang w:eastAsia="en-US"/>
        </w:rPr>
        <w:t>Пикушова Э. А.,</w:t>
      </w:r>
    </w:p>
    <w:p w:rsidR="008742E9" w:rsidRPr="008742E9" w:rsidRDefault="008742E9" w:rsidP="008742E9">
      <w:pPr>
        <w:jc w:val="right"/>
        <w:rPr>
          <w:rFonts w:eastAsia="Calibri"/>
          <w:spacing w:val="-4"/>
          <w:sz w:val="22"/>
          <w:szCs w:val="22"/>
          <w:lang w:eastAsia="en-US"/>
        </w:rPr>
      </w:pPr>
      <w:r w:rsidRPr="008742E9">
        <w:rPr>
          <w:rFonts w:eastAsia="Calibri"/>
          <w:spacing w:val="-4"/>
          <w:sz w:val="22"/>
          <w:szCs w:val="22"/>
          <w:lang w:eastAsia="en-US"/>
        </w:rPr>
        <w:t>профессор кафедры фитопатологии, энтомологии и защиты растений</w:t>
      </w:r>
    </w:p>
    <w:p w:rsidR="008742E9" w:rsidRPr="008742E9" w:rsidRDefault="008742E9" w:rsidP="008742E9">
      <w:pPr>
        <w:jc w:val="right"/>
        <w:rPr>
          <w:rFonts w:eastAsia="Calibri"/>
          <w:spacing w:val="-4"/>
          <w:sz w:val="22"/>
          <w:szCs w:val="22"/>
          <w:lang w:eastAsia="en-US"/>
        </w:rPr>
      </w:pPr>
      <w:r w:rsidRPr="008742E9">
        <w:rPr>
          <w:rFonts w:eastAsia="Calibri"/>
          <w:spacing w:val="-4"/>
          <w:sz w:val="22"/>
          <w:szCs w:val="22"/>
          <w:lang w:eastAsia="en-US"/>
        </w:rPr>
        <w:t>Ковецкая В.</w:t>
      </w:r>
      <w:r w:rsidR="00E32B9C">
        <w:rPr>
          <w:rFonts w:eastAsia="Calibri"/>
          <w:spacing w:val="-4"/>
          <w:sz w:val="22"/>
          <w:szCs w:val="22"/>
          <w:lang w:eastAsia="en-US"/>
        </w:rPr>
        <w:t xml:space="preserve"> </w:t>
      </w:r>
      <w:r w:rsidRPr="008742E9">
        <w:rPr>
          <w:rFonts w:eastAsia="Calibri"/>
          <w:spacing w:val="-4"/>
          <w:sz w:val="22"/>
          <w:szCs w:val="22"/>
          <w:lang w:eastAsia="en-US"/>
        </w:rPr>
        <w:t xml:space="preserve">А., </w:t>
      </w:r>
    </w:p>
    <w:p w:rsidR="008742E9" w:rsidRPr="008742E9" w:rsidRDefault="008742E9" w:rsidP="008742E9">
      <w:pPr>
        <w:jc w:val="right"/>
        <w:rPr>
          <w:rFonts w:eastAsia="Calibri"/>
          <w:spacing w:val="-4"/>
          <w:sz w:val="22"/>
          <w:szCs w:val="22"/>
          <w:lang w:eastAsia="en-US"/>
        </w:rPr>
      </w:pPr>
      <w:r w:rsidRPr="008742E9">
        <w:rPr>
          <w:rFonts w:eastAsia="Calibri"/>
          <w:spacing w:val="-4"/>
          <w:sz w:val="22"/>
          <w:szCs w:val="22"/>
          <w:lang w:eastAsia="en-US"/>
        </w:rPr>
        <w:t>научный сотрудник АО НПК «ПАНХ»</w:t>
      </w:r>
    </w:p>
    <w:p w:rsidR="008742E9" w:rsidRPr="008742E9" w:rsidRDefault="008742E9" w:rsidP="008742E9">
      <w:pPr>
        <w:jc w:val="right"/>
        <w:rPr>
          <w:rFonts w:eastAsia="Calibri"/>
          <w:spacing w:val="-2"/>
          <w:sz w:val="22"/>
          <w:szCs w:val="22"/>
          <w:lang w:eastAsia="en-US"/>
        </w:rPr>
      </w:pPr>
      <w:r w:rsidRPr="008742E9">
        <w:rPr>
          <w:rFonts w:eastAsia="Calibri"/>
          <w:spacing w:val="-2"/>
          <w:sz w:val="22"/>
          <w:szCs w:val="22"/>
          <w:lang w:eastAsia="en-US"/>
        </w:rPr>
        <w:t xml:space="preserve">Кубанский государственный аграрный </w:t>
      </w:r>
    </w:p>
    <w:p w:rsidR="008742E9" w:rsidRPr="008742E9" w:rsidRDefault="008742E9" w:rsidP="008742E9">
      <w:pPr>
        <w:jc w:val="right"/>
        <w:rPr>
          <w:rFonts w:eastAsia="Calibri"/>
          <w:spacing w:val="-2"/>
          <w:sz w:val="22"/>
          <w:szCs w:val="22"/>
          <w:lang w:eastAsia="en-US"/>
        </w:rPr>
      </w:pPr>
      <w:r w:rsidRPr="008742E9">
        <w:rPr>
          <w:rFonts w:eastAsia="Calibri"/>
          <w:spacing w:val="-2"/>
          <w:sz w:val="22"/>
          <w:szCs w:val="22"/>
          <w:lang w:eastAsia="en-US"/>
        </w:rPr>
        <w:t>университет имени И.</w:t>
      </w:r>
      <w:r w:rsidR="00E32B9C">
        <w:rPr>
          <w:rFonts w:eastAsia="Calibri"/>
          <w:spacing w:val="-2"/>
          <w:sz w:val="22"/>
          <w:szCs w:val="22"/>
          <w:lang w:eastAsia="en-US"/>
        </w:rPr>
        <w:t xml:space="preserve"> </w:t>
      </w:r>
      <w:r w:rsidRPr="008742E9">
        <w:rPr>
          <w:rFonts w:eastAsia="Calibri"/>
          <w:spacing w:val="-2"/>
          <w:sz w:val="22"/>
          <w:szCs w:val="22"/>
          <w:lang w:eastAsia="en-US"/>
        </w:rPr>
        <w:t>Т. Трубилина</w:t>
      </w:r>
    </w:p>
    <w:p w:rsidR="008742E9" w:rsidRPr="008742E9" w:rsidRDefault="008742E9" w:rsidP="008742E9">
      <w:pPr>
        <w:ind w:firstLine="426"/>
        <w:jc w:val="both"/>
        <w:rPr>
          <w:rFonts w:eastAsia="Calibri"/>
          <w:spacing w:val="-2"/>
          <w:sz w:val="22"/>
          <w:szCs w:val="22"/>
          <w:lang w:eastAsia="en-US"/>
        </w:rPr>
      </w:pPr>
    </w:p>
    <w:p w:rsidR="008742E9" w:rsidRPr="008742E9" w:rsidRDefault="008742E9" w:rsidP="008742E9">
      <w:pPr>
        <w:ind w:firstLine="425"/>
        <w:jc w:val="both"/>
        <w:rPr>
          <w:rFonts w:eastAsia="Calibri"/>
          <w:spacing w:val="-8"/>
          <w:sz w:val="22"/>
          <w:szCs w:val="22"/>
          <w:lang w:eastAsia="en-US"/>
        </w:rPr>
      </w:pPr>
      <w:r w:rsidRPr="008742E9">
        <w:rPr>
          <w:rFonts w:eastAsia="Calibri"/>
          <w:spacing w:val="-8"/>
          <w:sz w:val="22"/>
          <w:szCs w:val="22"/>
          <w:lang w:eastAsia="en-US"/>
        </w:rPr>
        <w:t>АННОТАЦИЯ: Представлены результаты экспериментальных работ по определению эффективности применения мультиминерального удо</w:t>
      </w:r>
      <w:r w:rsidRPr="008742E9">
        <w:rPr>
          <w:rFonts w:eastAsia="Calibri"/>
          <w:spacing w:val="-8"/>
          <w:sz w:val="22"/>
          <w:szCs w:val="22"/>
          <w:lang w:eastAsia="en-US"/>
        </w:rPr>
        <w:t>б</w:t>
      </w:r>
      <w:r w:rsidRPr="008742E9">
        <w:rPr>
          <w:rFonts w:eastAsia="Calibri"/>
          <w:spacing w:val="-8"/>
          <w:sz w:val="22"/>
          <w:szCs w:val="22"/>
          <w:lang w:eastAsia="en-US"/>
        </w:rPr>
        <w:t>рения Минерал 22 на посевах риса. Исследования показали, что при ави</w:t>
      </w:r>
      <w:r w:rsidRPr="008742E9">
        <w:rPr>
          <w:rFonts w:eastAsia="Calibri"/>
          <w:spacing w:val="-8"/>
          <w:sz w:val="22"/>
          <w:szCs w:val="22"/>
          <w:lang w:eastAsia="en-US"/>
        </w:rPr>
        <w:t>а</w:t>
      </w:r>
      <w:r w:rsidRPr="008742E9">
        <w:rPr>
          <w:rFonts w:eastAsia="Calibri"/>
          <w:spacing w:val="-8"/>
          <w:sz w:val="22"/>
          <w:szCs w:val="22"/>
          <w:lang w:eastAsia="en-US"/>
        </w:rPr>
        <w:t>ционном внесении удобрение Минерал 22 оказывает стимулирующий эффект на рост и развитие растений.</w:t>
      </w:r>
    </w:p>
    <w:p w:rsidR="008742E9" w:rsidRPr="008742E9" w:rsidRDefault="008742E9" w:rsidP="008742E9">
      <w:pPr>
        <w:ind w:firstLine="426"/>
        <w:jc w:val="both"/>
        <w:rPr>
          <w:rFonts w:eastAsia="Calibri"/>
          <w:sz w:val="22"/>
          <w:szCs w:val="22"/>
          <w:lang w:val="en-US" w:eastAsia="en-US"/>
        </w:rPr>
      </w:pPr>
      <w:r w:rsidRPr="008742E9">
        <w:rPr>
          <w:rFonts w:eastAsia="Calibri"/>
          <w:sz w:val="22"/>
          <w:szCs w:val="22"/>
          <w:lang w:val="en-US" w:eastAsia="en-US"/>
        </w:rPr>
        <w:t>ABSTRACT: The results of experimental studies to determine the efficacy of mineral fertilizers multimineral 22 on rice crops. Studies have shown that the introduction of aviation Mineral fertilizer 22 has a stim</w:t>
      </w:r>
      <w:r w:rsidRPr="008742E9">
        <w:rPr>
          <w:rFonts w:eastAsia="Calibri"/>
          <w:sz w:val="22"/>
          <w:szCs w:val="22"/>
          <w:lang w:val="en-US" w:eastAsia="en-US"/>
        </w:rPr>
        <w:t>u</w:t>
      </w:r>
      <w:r w:rsidRPr="008742E9">
        <w:rPr>
          <w:rFonts w:eastAsia="Calibri"/>
          <w:sz w:val="22"/>
          <w:szCs w:val="22"/>
          <w:lang w:val="en-US" w:eastAsia="en-US"/>
        </w:rPr>
        <w:t>lating effect on the growth and development of plants.</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КЛЮЧЕВЫЕ СЛОВА: рис, мультиминеральное удобрение, опрыскивание, авиационная обработка, биометрический анализ.</w:t>
      </w:r>
    </w:p>
    <w:p w:rsidR="008742E9" w:rsidRPr="008742E9" w:rsidRDefault="008742E9" w:rsidP="008742E9">
      <w:pPr>
        <w:ind w:firstLine="426"/>
        <w:jc w:val="both"/>
        <w:rPr>
          <w:rFonts w:eastAsia="Calibri"/>
          <w:sz w:val="22"/>
          <w:szCs w:val="22"/>
          <w:lang w:val="en-US" w:eastAsia="en-US"/>
        </w:rPr>
      </w:pPr>
      <w:r w:rsidRPr="008742E9">
        <w:rPr>
          <w:rFonts w:eastAsia="Calibri"/>
          <w:sz w:val="22"/>
          <w:szCs w:val="22"/>
          <w:lang w:val="en-US" w:eastAsia="en-US"/>
        </w:rPr>
        <w:t>KEYWORDS: rice, multimineral fertilizer, spraying, aircraft ha</w:t>
      </w:r>
      <w:r w:rsidRPr="008742E9">
        <w:rPr>
          <w:rFonts w:eastAsia="Calibri"/>
          <w:sz w:val="22"/>
          <w:szCs w:val="22"/>
          <w:lang w:val="en-US" w:eastAsia="en-US"/>
        </w:rPr>
        <w:t>n</w:t>
      </w:r>
      <w:r w:rsidRPr="008742E9">
        <w:rPr>
          <w:rFonts w:eastAsia="Calibri"/>
          <w:sz w:val="22"/>
          <w:szCs w:val="22"/>
          <w:lang w:val="en-US" w:eastAsia="en-US"/>
        </w:rPr>
        <w:t>dling, biometric analysis.</w:t>
      </w:r>
    </w:p>
    <w:p w:rsidR="008742E9" w:rsidRPr="008742E9" w:rsidRDefault="008742E9" w:rsidP="008742E9">
      <w:pPr>
        <w:jc w:val="both"/>
        <w:rPr>
          <w:rFonts w:eastAsia="Calibri"/>
          <w:sz w:val="22"/>
          <w:szCs w:val="22"/>
          <w:lang w:val="en-US" w:eastAsia="en-US"/>
        </w:rPr>
      </w:pPr>
    </w:p>
    <w:p w:rsidR="008742E9" w:rsidRPr="008742E9" w:rsidRDefault="008742E9" w:rsidP="008742E9">
      <w:pPr>
        <w:ind w:firstLine="426"/>
        <w:jc w:val="both"/>
        <w:rPr>
          <w:rFonts w:eastAsia="Calibri"/>
          <w:color w:val="000000"/>
          <w:spacing w:val="-4"/>
          <w:sz w:val="22"/>
          <w:szCs w:val="22"/>
          <w:shd w:val="clear" w:color="auto" w:fill="FFFFFF"/>
          <w:lang w:eastAsia="en-US"/>
        </w:rPr>
      </w:pPr>
      <w:r w:rsidRPr="008742E9">
        <w:rPr>
          <w:rFonts w:eastAsia="Calibri"/>
          <w:color w:val="000000"/>
          <w:spacing w:val="-4"/>
          <w:sz w:val="22"/>
          <w:szCs w:val="22"/>
          <w:shd w:val="clear" w:color="auto" w:fill="FFFFFF"/>
          <w:lang w:eastAsia="en-US"/>
        </w:rPr>
        <w:t xml:space="preserve">Важную роль в повышении урожайности риса играет выведение и внедрение в производство высокоурожайных сортов, отзывчивых на внесение удобрений, создание сортовых комплексов, наиболее полно </w:t>
      </w:r>
      <w:r w:rsidRPr="008742E9">
        <w:rPr>
          <w:rFonts w:eastAsia="Calibri"/>
          <w:color w:val="000000"/>
          <w:spacing w:val="-4"/>
          <w:sz w:val="22"/>
          <w:szCs w:val="22"/>
          <w:shd w:val="clear" w:color="auto" w:fill="FFFFFF"/>
          <w:lang w:eastAsia="en-US"/>
        </w:rPr>
        <w:lastRenderedPageBreak/>
        <w:t xml:space="preserve">отвечающих </w:t>
      </w:r>
      <w:proofErr w:type="gramStart"/>
      <w:r w:rsidRPr="008742E9">
        <w:rPr>
          <w:rFonts w:eastAsia="Calibri"/>
          <w:color w:val="000000"/>
          <w:spacing w:val="-4"/>
          <w:sz w:val="22"/>
          <w:szCs w:val="22"/>
          <w:shd w:val="clear" w:color="auto" w:fill="FFFFFF"/>
          <w:lang w:eastAsia="en-US"/>
        </w:rPr>
        <w:t>почвенно-климатически</w:t>
      </w:r>
      <w:proofErr w:type="gramEnd"/>
      <w:r w:rsidRPr="008742E9">
        <w:rPr>
          <w:rFonts w:eastAsia="Calibri"/>
          <w:color w:val="000000"/>
          <w:spacing w:val="-4"/>
          <w:sz w:val="22"/>
          <w:szCs w:val="22"/>
          <w:shd w:val="clear" w:color="auto" w:fill="FFFFFF"/>
          <w:lang w:eastAsia="en-US"/>
        </w:rPr>
        <w:t xml:space="preserve"> условиям выращивания, а также совершенствование системы минерального питания риса. Применение основных удобрений (NPK) перед посевом позволяет существенно повысить урожайность риса [1].</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Цель исследований заключалась в определении эффективности двукратного применения мультиминерального удобрения Минерал 22 на посевах риса. Испытания проводились в Краснодарском крае в Красноармейском районе.</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Опыт закладывался на посевах риса сорта Рапан. Испытыва</w:t>
      </w:r>
      <w:r w:rsidRPr="008742E9">
        <w:rPr>
          <w:rFonts w:eastAsia="Calibri"/>
          <w:sz w:val="22"/>
          <w:szCs w:val="22"/>
          <w:lang w:eastAsia="en-US"/>
        </w:rPr>
        <w:t>е</w:t>
      </w:r>
      <w:r w:rsidRPr="008742E9">
        <w:rPr>
          <w:rFonts w:eastAsia="Calibri"/>
          <w:sz w:val="22"/>
          <w:szCs w:val="22"/>
          <w:lang w:eastAsia="en-US"/>
        </w:rPr>
        <w:t>мое удобрение Минерал 22, представляющее собой комплекс ма</w:t>
      </w:r>
      <w:r w:rsidRPr="008742E9">
        <w:rPr>
          <w:rFonts w:eastAsia="Calibri"/>
          <w:sz w:val="22"/>
          <w:szCs w:val="22"/>
          <w:lang w:eastAsia="en-US"/>
        </w:rPr>
        <w:t>к</w:t>
      </w:r>
      <w:r w:rsidRPr="008742E9">
        <w:rPr>
          <w:rFonts w:eastAsia="Calibri"/>
          <w:sz w:val="22"/>
          <w:szCs w:val="22"/>
          <w:lang w:eastAsia="en-US"/>
        </w:rPr>
        <w:t>р</w:t>
      </w:r>
      <w:proofErr w:type="gramStart"/>
      <w:r w:rsidRPr="008742E9">
        <w:rPr>
          <w:rFonts w:eastAsia="Calibri"/>
          <w:sz w:val="22"/>
          <w:szCs w:val="22"/>
          <w:lang w:eastAsia="en-US"/>
        </w:rPr>
        <w:t>о-</w:t>
      </w:r>
      <w:proofErr w:type="gramEnd"/>
      <w:r w:rsidRPr="008742E9">
        <w:rPr>
          <w:rFonts w:eastAsia="Calibri"/>
          <w:sz w:val="22"/>
          <w:szCs w:val="22"/>
          <w:lang w:eastAsia="en-US"/>
        </w:rPr>
        <w:t xml:space="preserve"> и микроэлеменотв, было внесено двукратно в нормах 0,5 и 1,0 л/га по схеме опыта. Первое внесение удобрения проводилось фазе кущения риса, второе – в фазе выметывания</w:t>
      </w:r>
      <w:proofErr w:type="gramStart"/>
      <w:r w:rsidRPr="008742E9">
        <w:rPr>
          <w:rFonts w:eastAsia="Calibri"/>
          <w:sz w:val="22"/>
          <w:szCs w:val="22"/>
          <w:lang w:eastAsia="en-US"/>
        </w:rPr>
        <w:t>.</w:t>
      </w:r>
      <w:r w:rsidRPr="008742E9">
        <w:rPr>
          <w:rFonts w:eastAsia="Calibri"/>
          <w:spacing w:val="-5"/>
          <w:sz w:val="22"/>
          <w:szCs w:val="22"/>
          <w:lang w:eastAsia="en-US"/>
        </w:rPr>
        <w:t>О</w:t>
      </w:r>
      <w:proofErr w:type="gramEnd"/>
      <w:r w:rsidRPr="008742E9">
        <w:rPr>
          <w:rFonts w:eastAsia="Calibri"/>
          <w:spacing w:val="-5"/>
          <w:sz w:val="22"/>
          <w:szCs w:val="22"/>
          <w:lang w:eastAsia="en-US"/>
        </w:rPr>
        <w:t>пыт проводился в с</w:t>
      </w:r>
      <w:r w:rsidRPr="008742E9">
        <w:rPr>
          <w:rFonts w:eastAsia="Calibri"/>
          <w:spacing w:val="-5"/>
          <w:sz w:val="22"/>
          <w:szCs w:val="22"/>
          <w:lang w:eastAsia="en-US"/>
        </w:rPr>
        <w:t>о</w:t>
      </w:r>
      <w:r w:rsidRPr="008742E9">
        <w:rPr>
          <w:rFonts w:eastAsia="Calibri"/>
          <w:spacing w:val="-5"/>
          <w:sz w:val="22"/>
          <w:szCs w:val="22"/>
          <w:lang w:eastAsia="en-US"/>
        </w:rPr>
        <w:t xml:space="preserve">ответствии с  «Методикой …» [2]. </w:t>
      </w:r>
    </w:p>
    <w:p w:rsidR="008742E9" w:rsidRPr="008742E9" w:rsidRDefault="008742E9" w:rsidP="008742E9">
      <w:pPr>
        <w:ind w:right="-55" w:firstLine="426"/>
        <w:jc w:val="both"/>
        <w:rPr>
          <w:rFonts w:eastAsia="Calibri"/>
          <w:spacing w:val="-6"/>
          <w:sz w:val="22"/>
          <w:szCs w:val="22"/>
          <w:lang w:eastAsia="en-US"/>
        </w:rPr>
      </w:pPr>
      <w:r w:rsidRPr="008742E9">
        <w:rPr>
          <w:rFonts w:eastAsia="Calibri"/>
          <w:spacing w:val="-6"/>
          <w:sz w:val="22"/>
          <w:szCs w:val="22"/>
          <w:lang w:eastAsia="en-US"/>
        </w:rPr>
        <w:t>Испытываемое удобрение вносили самолетом Ан-2, оборудова</w:t>
      </w:r>
      <w:r w:rsidRPr="008742E9">
        <w:rPr>
          <w:rFonts w:eastAsia="Calibri"/>
          <w:spacing w:val="-6"/>
          <w:sz w:val="22"/>
          <w:szCs w:val="22"/>
          <w:lang w:eastAsia="en-US"/>
        </w:rPr>
        <w:t>н</w:t>
      </w:r>
      <w:r w:rsidRPr="008742E9">
        <w:rPr>
          <w:rFonts w:eastAsia="Calibri"/>
          <w:spacing w:val="-6"/>
          <w:sz w:val="22"/>
          <w:szCs w:val="22"/>
          <w:lang w:eastAsia="en-US"/>
        </w:rPr>
        <w:t>ным опрыскивателем ОС-1М в комплекте с распылителями РЩ 110-12. Норма расхода рабочей жидкости составляла 100 л/га.</w:t>
      </w:r>
    </w:p>
    <w:p w:rsidR="008742E9" w:rsidRPr="008742E9" w:rsidRDefault="008742E9" w:rsidP="008742E9">
      <w:pPr>
        <w:tabs>
          <w:tab w:val="left" w:pos="10065"/>
          <w:tab w:val="left" w:pos="10206"/>
        </w:tabs>
        <w:ind w:firstLine="426"/>
        <w:jc w:val="both"/>
        <w:rPr>
          <w:rFonts w:eastAsia="Calibri"/>
          <w:spacing w:val="-4"/>
          <w:sz w:val="22"/>
          <w:szCs w:val="22"/>
          <w:lang w:eastAsia="en-US"/>
        </w:rPr>
      </w:pPr>
      <w:r w:rsidRPr="008742E9">
        <w:rPr>
          <w:rFonts w:eastAsia="Calibri"/>
          <w:spacing w:val="-4"/>
          <w:sz w:val="22"/>
          <w:szCs w:val="22"/>
          <w:lang w:eastAsia="en-US"/>
        </w:rPr>
        <w:t>В качестве контроля принимался фоновый вариант, на котором осуществлялось внесение минеральных удобрений, а также защитные мероприятия, без применения испытываемого удобрения.</w:t>
      </w:r>
    </w:p>
    <w:p w:rsidR="008742E9" w:rsidRPr="008742E9" w:rsidRDefault="008742E9" w:rsidP="008742E9">
      <w:pPr>
        <w:tabs>
          <w:tab w:val="left" w:pos="10065"/>
          <w:tab w:val="left" w:pos="10206"/>
        </w:tabs>
        <w:ind w:firstLine="426"/>
        <w:jc w:val="both"/>
        <w:rPr>
          <w:rFonts w:eastAsia="Calibri"/>
          <w:spacing w:val="-4"/>
          <w:sz w:val="22"/>
          <w:szCs w:val="22"/>
          <w:lang w:eastAsia="en-US"/>
        </w:rPr>
      </w:pPr>
      <w:r w:rsidRPr="008742E9">
        <w:rPr>
          <w:rFonts w:eastAsia="Calibri"/>
          <w:spacing w:val="-4"/>
          <w:sz w:val="22"/>
          <w:szCs w:val="22"/>
          <w:lang w:eastAsia="en-US"/>
        </w:rPr>
        <w:t>Для определения основных показателей структуры урожая перед уборкой на посевах риса были отобраны пробные снопы с 1 м</w:t>
      </w:r>
      <w:proofErr w:type="gramStart"/>
      <w:r w:rsidRPr="008742E9">
        <w:rPr>
          <w:rFonts w:eastAsia="Calibri"/>
          <w:spacing w:val="-4"/>
          <w:sz w:val="22"/>
          <w:szCs w:val="22"/>
          <w:vertAlign w:val="superscript"/>
          <w:lang w:eastAsia="en-US"/>
        </w:rPr>
        <w:t>2</w:t>
      </w:r>
      <w:proofErr w:type="gramEnd"/>
      <w:r w:rsidRPr="008742E9">
        <w:rPr>
          <w:rFonts w:eastAsia="Calibri"/>
          <w:spacing w:val="-4"/>
          <w:sz w:val="22"/>
          <w:szCs w:val="22"/>
          <w:vertAlign w:val="superscript"/>
          <w:lang w:eastAsia="en-US"/>
        </w:rPr>
        <w:t xml:space="preserve"> </w:t>
      </w:r>
      <w:r w:rsidRPr="008742E9">
        <w:rPr>
          <w:rFonts w:eastAsia="Calibri"/>
          <w:spacing w:val="-4"/>
          <w:sz w:val="22"/>
          <w:szCs w:val="22"/>
          <w:lang w:eastAsia="en-US"/>
        </w:rPr>
        <w:t xml:space="preserve">в 4-х кратной повторности с каждого варианта опыта. </w:t>
      </w:r>
    </w:p>
    <w:p w:rsidR="008742E9" w:rsidRPr="008742E9" w:rsidRDefault="008742E9" w:rsidP="008742E9">
      <w:pPr>
        <w:tabs>
          <w:tab w:val="left" w:pos="851"/>
          <w:tab w:val="left" w:pos="1276"/>
        </w:tabs>
        <w:ind w:right="-1" w:firstLine="426"/>
        <w:jc w:val="both"/>
        <w:rPr>
          <w:spacing w:val="-2"/>
          <w:sz w:val="22"/>
          <w:szCs w:val="22"/>
        </w:rPr>
      </w:pPr>
      <w:r w:rsidRPr="008742E9">
        <w:rPr>
          <w:spacing w:val="-2"/>
          <w:sz w:val="22"/>
          <w:szCs w:val="22"/>
        </w:rPr>
        <w:t>В период закладки полевого авиационного опыта изучалось ра</w:t>
      </w:r>
      <w:r w:rsidRPr="008742E9">
        <w:rPr>
          <w:spacing w:val="-2"/>
          <w:sz w:val="22"/>
          <w:szCs w:val="22"/>
        </w:rPr>
        <w:t>с</w:t>
      </w:r>
      <w:r w:rsidRPr="008742E9">
        <w:rPr>
          <w:spacing w:val="-2"/>
          <w:sz w:val="22"/>
          <w:szCs w:val="22"/>
        </w:rPr>
        <w:t>пределение рабочей жидкости на основе удобрения Минерал 22 с</w:t>
      </w:r>
      <w:r w:rsidRPr="008742E9">
        <w:rPr>
          <w:spacing w:val="-2"/>
          <w:sz w:val="22"/>
          <w:szCs w:val="22"/>
        </w:rPr>
        <w:t>о</w:t>
      </w:r>
      <w:r w:rsidRPr="008742E9">
        <w:rPr>
          <w:spacing w:val="-2"/>
          <w:sz w:val="22"/>
          <w:szCs w:val="22"/>
        </w:rPr>
        <w:t>гласно РД "Аппаратура авиационная сельскохозяйственная. Пр</w:t>
      </w:r>
      <w:r w:rsidRPr="008742E9">
        <w:rPr>
          <w:spacing w:val="-2"/>
          <w:sz w:val="22"/>
          <w:szCs w:val="22"/>
        </w:rPr>
        <w:t>о</w:t>
      </w:r>
      <w:r w:rsidRPr="008742E9">
        <w:rPr>
          <w:spacing w:val="-2"/>
          <w:sz w:val="22"/>
          <w:szCs w:val="22"/>
        </w:rPr>
        <w:t>грамма и методы испытаний" (М., 1994) при сплошной обработке карты с нормой расхода рабочей жидкости 100 л/га и удобрения 0,5 л/га при рабочей ширине захвата 26 м. Полученные агротехнические показатели распределения рабочей жидкости удобрения Минерал 22 соответствовали «Агротехническим требованиям»</w:t>
      </w:r>
      <w:r w:rsidRPr="008742E9">
        <w:rPr>
          <w:spacing w:val="-2"/>
          <w:sz w:val="24"/>
          <w:szCs w:val="20"/>
        </w:rPr>
        <w:t>.</w:t>
      </w:r>
      <w:r w:rsidRPr="008742E9">
        <w:rPr>
          <w:spacing w:val="-2"/>
          <w:sz w:val="22"/>
          <w:szCs w:val="22"/>
        </w:rPr>
        <w:t xml:space="preserve"> </w:t>
      </w:r>
    </w:p>
    <w:p w:rsidR="008742E9" w:rsidRPr="008742E9" w:rsidRDefault="008742E9" w:rsidP="008742E9">
      <w:pPr>
        <w:ind w:firstLine="426"/>
        <w:jc w:val="both"/>
        <w:rPr>
          <w:rFonts w:eastAsia="Calibri"/>
          <w:spacing w:val="-6"/>
          <w:sz w:val="22"/>
          <w:szCs w:val="22"/>
          <w:lang w:eastAsia="en-US"/>
        </w:rPr>
      </w:pPr>
      <w:r w:rsidRPr="008742E9">
        <w:rPr>
          <w:rFonts w:eastAsia="Calibri"/>
          <w:spacing w:val="-6"/>
          <w:sz w:val="22"/>
          <w:szCs w:val="22"/>
          <w:lang w:eastAsia="en-US"/>
        </w:rPr>
        <w:t>Оценка эффективности удобрения выполнялась в соответствии с "Методическими указаниями...» [3]. Влияние удобрения на растения риса определялось путем измерения биометрических показателей (в</w:t>
      </w:r>
      <w:r w:rsidRPr="008742E9">
        <w:rPr>
          <w:rFonts w:eastAsia="Calibri"/>
          <w:spacing w:val="-6"/>
          <w:sz w:val="22"/>
          <w:szCs w:val="22"/>
          <w:lang w:eastAsia="en-US"/>
        </w:rPr>
        <w:t>ы</w:t>
      </w:r>
      <w:r w:rsidRPr="008742E9">
        <w:rPr>
          <w:rFonts w:eastAsia="Calibri"/>
          <w:spacing w:val="-6"/>
          <w:sz w:val="22"/>
          <w:szCs w:val="22"/>
          <w:lang w:eastAsia="en-US"/>
        </w:rPr>
        <w:t xml:space="preserve">сота растений, длина главной метелки и др.), оценки урожайности.  </w:t>
      </w:r>
    </w:p>
    <w:p w:rsidR="008742E9" w:rsidRPr="008742E9" w:rsidRDefault="008742E9" w:rsidP="008742E9">
      <w:pPr>
        <w:tabs>
          <w:tab w:val="left" w:pos="284"/>
        </w:tabs>
        <w:ind w:firstLine="426"/>
        <w:jc w:val="both"/>
        <w:rPr>
          <w:rFonts w:eastAsia="Calibri"/>
          <w:spacing w:val="-8"/>
          <w:sz w:val="22"/>
          <w:szCs w:val="22"/>
          <w:lang w:eastAsia="en-US"/>
        </w:rPr>
      </w:pPr>
      <w:r w:rsidRPr="008742E9">
        <w:rPr>
          <w:rFonts w:eastAsia="Calibri"/>
          <w:spacing w:val="-8"/>
          <w:sz w:val="22"/>
          <w:szCs w:val="22"/>
          <w:lang w:eastAsia="en-US"/>
        </w:rPr>
        <w:t>Результаты проведенных измерений и наблюдений в течение пери</w:t>
      </w:r>
      <w:r w:rsidRPr="008742E9">
        <w:rPr>
          <w:rFonts w:eastAsia="Calibri"/>
          <w:spacing w:val="-8"/>
          <w:sz w:val="22"/>
          <w:szCs w:val="22"/>
          <w:lang w:eastAsia="en-US"/>
        </w:rPr>
        <w:t>о</w:t>
      </w:r>
      <w:r w:rsidRPr="008742E9">
        <w:rPr>
          <w:rFonts w:eastAsia="Calibri"/>
          <w:spacing w:val="-8"/>
          <w:sz w:val="22"/>
          <w:szCs w:val="22"/>
          <w:lang w:eastAsia="en-US"/>
        </w:rPr>
        <w:t>да вегетации за развитием опытных посевов выявили стимулирующий эффект испытываемого удобрения на растения риса сорта Рапан. Раст</w:t>
      </w:r>
      <w:r w:rsidRPr="008742E9">
        <w:rPr>
          <w:rFonts w:eastAsia="Calibri"/>
          <w:spacing w:val="-8"/>
          <w:sz w:val="22"/>
          <w:szCs w:val="22"/>
          <w:lang w:eastAsia="en-US"/>
        </w:rPr>
        <w:t>е</w:t>
      </w:r>
      <w:r w:rsidRPr="008742E9">
        <w:rPr>
          <w:rFonts w:eastAsia="Calibri"/>
          <w:spacing w:val="-8"/>
          <w:sz w:val="22"/>
          <w:szCs w:val="22"/>
          <w:lang w:eastAsia="en-US"/>
        </w:rPr>
        <w:lastRenderedPageBreak/>
        <w:t>ния культуры отличались более активным ростом (высота выше ко</w:t>
      </w:r>
      <w:r w:rsidRPr="008742E9">
        <w:rPr>
          <w:rFonts w:eastAsia="Calibri"/>
          <w:spacing w:val="-8"/>
          <w:sz w:val="22"/>
          <w:szCs w:val="22"/>
          <w:lang w:eastAsia="en-US"/>
        </w:rPr>
        <w:t>н</w:t>
      </w:r>
      <w:r w:rsidRPr="008742E9">
        <w:rPr>
          <w:rFonts w:eastAsia="Calibri"/>
          <w:spacing w:val="-8"/>
          <w:sz w:val="22"/>
          <w:szCs w:val="22"/>
          <w:lang w:eastAsia="en-US"/>
        </w:rPr>
        <w:t>трольных на 5-7 см) и имели более выраженную зеленую окраску, чем необработанные. Наступление фенологических фаз после первого внес</w:t>
      </w:r>
      <w:r w:rsidRPr="008742E9">
        <w:rPr>
          <w:rFonts w:eastAsia="Calibri"/>
          <w:spacing w:val="-8"/>
          <w:sz w:val="22"/>
          <w:szCs w:val="22"/>
          <w:lang w:eastAsia="en-US"/>
        </w:rPr>
        <w:t>е</w:t>
      </w:r>
      <w:r w:rsidRPr="008742E9">
        <w:rPr>
          <w:rFonts w:eastAsia="Calibri"/>
          <w:spacing w:val="-8"/>
          <w:sz w:val="22"/>
          <w:szCs w:val="22"/>
          <w:lang w:eastAsia="en-US"/>
        </w:rPr>
        <w:t>ния изучаемого удобрения (трубкование, выметывание) проходило пра</w:t>
      </w:r>
      <w:r w:rsidRPr="008742E9">
        <w:rPr>
          <w:rFonts w:eastAsia="Calibri"/>
          <w:spacing w:val="-8"/>
          <w:sz w:val="22"/>
          <w:szCs w:val="22"/>
          <w:lang w:eastAsia="en-US"/>
        </w:rPr>
        <w:t>к</w:t>
      </w:r>
      <w:r w:rsidRPr="008742E9">
        <w:rPr>
          <w:rFonts w:eastAsia="Calibri"/>
          <w:spacing w:val="-8"/>
          <w:sz w:val="22"/>
          <w:szCs w:val="22"/>
          <w:lang w:eastAsia="en-US"/>
        </w:rPr>
        <w:t xml:space="preserve">тически одновременно на опытных и контрольных растениях. </w:t>
      </w:r>
    </w:p>
    <w:p w:rsidR="008742E9" w:rsidRPr="008742E9" w:rsidRDefault="008742E9" w:rsidP="008742E9">
      <w:pPr>
        <w:ind w:firstLine="426"/>
        <w:jc w:val="both"/>
        <w:rPr>
          <w:rFonts w:eastAsia="Calibri"/>
          <w:spacing w:val="-6"/>
          <w:sz w:val="22"/>
          <w:szCs w:val="22"/>
          <w:lang w:eastAsia="en-US"/>
        </w:rPr>
      </w:pPr>
      <w:r w:rsidRPr="008742E9">
        <w:rPr>
          <w:rFonts w:eastAsia="Calibri"/>
          <w:spacing w:val="-6"/>
          <w:sz w:val="22"/>
          <w:szCs w:val="22"/>
          <w:lang w:eastAsia="en-US"/>
        </w:rPr>
        <w:t>После второго внесения в фазу выметывания на фоне испытыва</w:t>
      </w:r>
      <w:r w:rsidRPr="008742E9">
        <w:rPr>
          <w:rFonts w:eastAsia="Calibri"/>
          <w:spacing w:val="-6"/>
          <w:sz w:val="22"/>
          <w:szCs w:val="22"/>
          <w:lang w:eastAsia="en-US"/>
        </w:rPr>
        <w:t>е</w:t>
      </w:r>
      <w:r w:rsidRPr="008742E9">
        <w:rPr>
          <w:rFonts w:eastAsia="Calibri"/>
          <w:spacing w:val="-6"/>
          <w:sz w:val="22"/>
          <w:szCs w:val="22"/>
          <w:lang w:eastAsia="en-US"/>
        </w:rPr>
        <w:t xml:space="preserve">мого удобрения у растений риса отмечались более ранний налив зерна и полная спелость (на 5-7 дней), чем на контроле.  </w:t>
      </w:r>
    </w:p>
    <w:p w:rsidR="008742E9" w:rsidRPr="008742E9" w:rsidRDefault="008742E9" w:rsidP="008742E9">
      <w:pPr>
        <w:tabs>
          <w:tab w:val="left" w:pos="284"/>
        </w:tabs>
        <w:ind w:firstLine="426"/>
        <w:jc w:val="both"/>
        <w:rPr>
          <w:rFonts w:eastAsia="Calibri"/>
          <w:spacing w:val="-2"/>
          <w:sz w:val="22"/>
          <w:szCs w:val="22"/>
          <w:lang w:eastAsia="en-US"/>
        </w:rPr>
      </w:pPr>
      <w:r w:rsidRPr="008742E9">
        <w:rPr>
          <w:rFonts w:eastAsia="Calibri"/>
          <w:spacing w:val="-2"/>
          <w:sz w:val="22"/>
          <w:szCs w:val="22"/>
          <w:lang w:eastAsia="en-US"/>
        </w:rPr>
        <w:t>Было выявлено, что высота растений на вариантах опыта с удо</w:t>
      </w:r>
      <w:r w:rsidRPr="008742E9">
        <w:rPr>
          <w:rFonts w:eastAsia="Calibri"/>
          <w:spacing w:val="-2"/>
          <w:sz w:val="22"/>
          <w:szCs w:val="22"/>
          <w:lang w:eastAsia="en-US"/>
        </w:rPr>
        <w:t>б</w:t>
      </w:r>
      <w:r w:rsidRPr="008742E9">
        <w:rPr>
          <w:rFonts w:eastAsia="Calibri"/>
          <w:spacing w:val="-2"/>
          <w:sz w:val="22"/>
          <w:szCs w:val="22"/>
          <w:lang w:eastAsia="en-US"/>
        </w:rPr>
        <w:t>рением была выше контрольных на 6,8-9,1 см. Продуктивная куст</w:t>
      </w:r>
      <w:r w:rsidRPr="008742E9">
        <w:rPr>
          <w:rFonts w:eastAsia="Calibri"/>
          <w:spacing w:val="-2"/>
          <w:sz w:val="22"/>
          <w:szCs w:val="22"/>
          <w:lang w:eastAsia="en-US"/>
        </w:rPr>
        <w:t>и</w:t>
      </w:r>
      <w:r w:rsidRPr="008742E9">
        <w:rPr>
          <w:rFonts w:eastAsia="Calibri"/>
          <w:spacing w:val="-2"/>
          <w:sz w:val="22"/>
          <w:szCs w:val="22"/>
          <w:lang w:eastAsia="en-US"/>
        </w:rPr>
        <w:t>стость</w:t>
      </w:r>
      <w:r w:rsidRPr="008742E9">
        <w:rPr>
          <w:rFonts w:eastAsia="Calibri"/>
          <w:color w:val="000000"/>
          <w:spacing w:val="-2"/>
          <w:sz w:val="22"/>
          <w:szCs w:val="22"/>
          <w:lang w:eastAsia="en-US"/>
        </w:rPr>
        <w:t xml:space="preserve"> на вариантах с удобрением была выше, чем на контроле. На варианте с удобрением Минерал 22 </w:t>
      </w:r>
      <w:r w:rsidRPr="008742E9">
        <w:rPr>
          <w:rFonts w:eastAsia="Calibri"/>
          <w:spacing w:val="-2"/>
          <w:sz w:val="22"/>
          <w:szCs w:val="22"/>
          <w:lang w:eastAsia="en-US"/>
        </w:rPr>
        <w:t>в норме внесения 0,5 л/га она д</w:t>
      </w:r>
      <w:r w:rsidRPr="008742E9">
        <w:rPr>
          <w:rFonts w:eastAsia="Calibri"/>
          <w:spacing w:val="-2"/>
          <w:sz w:val="22"/>
          <w:szCs w:val="22"/>
          <w:lang w:eastAsia="en-US"/>
        </w:rPr>
        <w:t>о</w:t>
      </w:r>
      <w:r w:rsidRPr="008742E9">
        <w:rPr>
          <w:rFonts w:eastAsia="Calibri"/>
          <w:spacing w:val="-2"/>
          <w:sz w:val="22"/>
          <w:szCs w:val="22"/>
          <w:lang w:eastAsia="en-US"/>
        </w:rPr>
        <w:t xml:space="preserve">стигла 2,90, при норме расхода до 1,0 л/га – 3,09, на контроле – </w:t>
      </w:r>
      <w:r w:rsidRPr="008742E9">
        <w:rPr>
          <w:rFonts w:eastAsia="Calibri"/>
          <w:color w:val="000000"/>
          <w:spacing w:val="-2"/>
          <w:sz w:val="22"/>
          <w:szCs w:val="22"/>
          <w:lang w:eastAsia="en-US"/>
        </w:rPr>
        <w:t xml:space="preserve">1,9. </w:t>
      </w:r>
      <w:r w:rsidRPr="008742E9">
        <w:rPr>
          <w:rFonts w:eastAsia="Calibri"/>
          <w:spacing w:val="-2"/>
          <w:sz w:val="22"/>
          <w:szCs w:val="22"/>
          <w:lang w:eastAsia="en-US"/>
        </w:rPr>
        <w:t xml:space="preserve">Длина метелки </w:t>
      </w:r>
      <w:r w:rsidRPr="008742E9">
        <w:rPr>
          <w:rFonts w:eastAsia="Calibri"/>
          <w:color w:val="000000"/>
          <w:spacing w:val="-2"/>
          <w:sz w:val="22"/>
          <w:szCs w:val="22"/>
          <w:lang w:eastAsia="en-US"/>
        </w:rPr>
        <w:t xml:space="preserve">на вариантах с удобрениями была больше, чем на контроле (в среднем на 1,8 см). </w:t>
      </w:r>
      <w:r w:rsidRPr="008742E9">
        <w:rPr>
          <w:rFonts w:eastAsia="Calibri"/>
          <w:spacing w:val="-2"/>
          <w:sz w:val="22"/>
          <w:szCs w:val="22"/>
          <w:lang w:eastAsia="en-US"/>
        </w:rPr>
        <w:t>Количество зерен в метелке на вар</w:t>
      </w:r>
      <w:r w:rsidRPr="008742E9">
        <w:rPr>
          <w:rFonts w:eastAsia="Calibri"/>
          <w:spacing w:val="-2"/>
          <w:sz w:val="22"/>
          <w:szCs w:val="22"/>
          <w:lang w:eastAsia="en-US"/>
        </w:rPr>
        <w:t>и</w:t>
      </w:r>
      <w:r w:rsidRPr="008742E9">
        <w:rPr>
          <w:rFonts w:eastAsia="Calibri"/>
          <w:spacing w:val="-2"/>
          <w:sz w:val="22"/>
          <w:szCs w:val="22"/>
          <w:lang w:eastAsia="en-US"/>
        </w:rPr>
        <w:t>антах с удобрением было значительно больше, чем на контроле (при внесении в норме 1,0 л/га на 53 шт., в норме 0,5 л/га - на 49 шт.). Масса зерен главной метелки на контрольном варианте составила 2,53 г, на вариантах с испытываемым удобрением больше на 0,76-0,81 г. Применение испытываемого удобрения способствовало сн</w:t>
      </w:r>
      <w:r w:rsidRPr="008742E9">
        <w:rPr>
          <w:rFonts w:eastAsia="Calibri"/>
          <w:spacing w:val="-2"/>
          <w:sz w:val="22"/>
          <w:szCs w:val="22"/>
          <w:lang w:eastAsia="en-US"/>
        </w:rPr>
        <w:t>и</w:t>
      </w:r>
      <w:r w:rsidRPr="008742E9">
        <w:rPr>
          <w:rFonts w:eastAsia="Calibri"/>
          <w:spacing w:val="-2"/>
          <w:sz w:val="22"/>
          <w:szCs w:val="22"/>
          <w:lang w:eastAsia="en-US"/>
        </w:rPr>
        <w:t xml:space="preserve">жению пустозёрности метелок риса на 3,4-3,6 %. </w:t>
      </w:r>
    </w:p>
    <w:p w:rsidR="008742E9" w:rsidRPr="008742E9" w:rsidRDefault="008742E9" w:rsidP="008742E9">
      <w:pPr>
        <w:ind w:firstLine="426"/>
        <w:jc w:val="both"/>
        <w:rPr>
          <w:rFonts w:eastAsia="Calibri"/>
          <w:spacing w:val="-4"/>
          <w:sz w:val="22"/>
          <w:szCs w:val="22"/>
          <w:lang w:eastAsia="en-US"/>
        </w:rPr>
      </w:pPr>
      <w:r w:rsidRPr="008742E9">
        <w:rPr>
          <w:rFonts w:eastAsia="Calibri"/>
          <w:spacing w:val="-4"/>
          <w:sz w:val="22"/>
          <w:szCs w:val="22"/>
          <w:lang w:eastAsia="en-US"/>
        </w:rPr>
        <w:t>Таким образом, при двукратном авиационном внесении удобр</w:t>
      </w:r>
      <w:r w:rsidRPr="008742E9">
        <w:rPr>
          <w:rFonts w:eastAsia="Calibri"/>
          <w:spacing w:val="-4"/>
          <w:sz w:val="22"/>
          <w:szCs w:val="22"/>
          <w:lang w:eastAsia="en-US"/>
        </w:rPr>
        <w:t>е</w:t>
      </w:r>
      <w:r w:rsidRPr="008742E9">
        <w:rPr>
          <w:rFonts w:eastAsia="Calibri"/>
          <w:spacing w:val="-4"/>
          <w:sz w:val="22"/>
          <w:szCs w:val="22"/>
          <w:lang w:eastAsia="en-US"/>
        </w:rPr>
        <w:t>ния Минерал 22 на посевах риса в нормах 0,5 и 1,0 л/га в фазе 3-5 л</w:t>
      </w:r>
      <w:r w:rsidRPr="008742E9">
        <w:rPr>
          <w:rFonts w:eastAsia="Calibri"/>
          <w:spacing w:val="-4"/>
          <w:sz w:val="22"/>
          <w:szCs w:val="22"/>
          <w:lang w:eastAsia="en-US"/>
        </w:rPr>
        <w:t>и</w:t>
      </w:r>
      <w:r w:rsidRPr="008742E9">
        <w:rPr>
          <w:rFonts w:eastAsia="Calibri"/>
          <w:spacing w:val="-4"/>
          <w:sz w:val="22"/>
          <w:szCs w:val="22"/>
          <w:lang w:eastAsia="en-US"/>
        </w:rPr>
        <w:t>стьев у риса и выметывания обеспечило увеличение урожайности зе</w:t>
      </w:r>
      <w:r w:rsidRPr="008742E9">
        <w:rPr>
          <w:rFonts w:eastAsia="Calibri"/>
          <w:spacing w:val="-4"/>
          <w:sz w:val="22"/>
          <w:szCs w:val="22"/>
          <w:lang w:eastAsia="en-US"/>
        </w:rPr>
        <w:t>р</w:t>
      </w:r>
      <w:r w:rsidRPr="008742E9">
        <w:rPr>
          <w:rFonts w:eastAsia="Calibri"/>
          <w:spacing w:val="-4"/>
          <w:sz w:val="22"/>
          <w:szCs w:val="22"/>
          <w:lang w:eastAsia="en-US"/>
        </w:rPr>
        <w:t>на риса на 3 и 3,7 ц/га соответственно. На вариантах, где проводилась некорневое внесение удобрения, у растений риса увеличивалось число продуктивных стеблей и продуктивность метелки, уменьшалась пуст</w:t>
      </w:r>
      <w:r w:rsidRPr="008742E9">
        <w:rPr>
          <w:rFonts w:eastAsia="Calibri"/>
          <w:spacing w:val="-4"/>
          <w:sz w:val="22"/>
          <w:szCs w:val="22"/>
          <w:lang w:eastAsia="en-US"/>
        </w:rPr>
        <w:t>о</w:t>
      </w:r>
      <w:r w:rsidRPr="008742E9">
        <w:rPr>
          <w:rFonts w:eastAsia="Calibri"/>
          <w:spacing w:val="-4"/>
          <w:sz w:val="22"/>
          <w:szCs w:val="22"/>
          <w:lang w:eastAsia="en-US"/>
        </w:rPr>
        <w:t xml:space="preserve">зерность. </w:t>
      </w:r>
    </w:p>
    <w:p w:rsidR="008742E9" w:rsidRPr="008742E9" w:rsidRDefault="008742E9" w:rsidP="008742E9">
      <w:pPr>
        <w:ind w:firstLine="426"/>
        <w:jc w:val="both"/>
        <w:rPr>
          <w:rFonts w:eastAsia="Calibri"/>
          <w:spacing w:val="-3"/>
          <w:sz w:val="22"/>
          <w:szCs w:val="22"/>
          <w:lang w:eastAsia="en-US"/>
        </w:rPr>
      </w:pPr>
    </w:p>
    <w:p w:rsidR="008742E9" w:rsidRPr="00E32B9C" w:rsidRDefault="008742E9" w:rsidP="00E32B9C">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4D104A" w:rsidRDefault="008742E9" w:rsidP="002D7DA5">
      <w:pPr>
        <w:numPr>
          <w:ilvl w:val="0"/>
          <w:numId w:val="5"/>
        </w:numPr>
        <w:tabs>
          <w:tab w:val="left" w:pos="709"/>
        </w:tabs>
        <w:ind w:left="0" w:firstLine="425"/>
        <w:contextualSpacing/>
        <w:jc w:val="both"/>
        <w:rPr>
          <w:rFonts w:eastAsia="Calibri"/>
          <w:sz w:val="22"/>
          <w:szCs w:val="22"/>
          <w:shd w:val="clear" w:color="auto" w:fill="FFFFFF"/>
          <w:lang w:eastAsia="en-US"/>
        </w:rPr>
      </w:pPr>
      <w:r w:rsidRPr="00E32B9C">
        <w:rPr>
          <w:rFonts w:eastAsia="Calibri"/>
          <w:color w:val="000000"/>
          <w:sz w:val="22"/>
          <w:szCs w:val="22"/>
          <w:shd w:val="clear" w:color="auto" w:fill="FFFFFF"/>
          <w:lang w:eastAsia="en-US"/>
        </w:rPr>
        <w:t xml:space="preserve">Руководство по минеральному питанию риса [Электронный источник]. – 2007. – Режим доступа: </w:t>
      </w:r>
      <w:hyperlink r:id="rId24" w:history="1">
        <w:r w:rsidRPr="004D104A">
          <w:rPr>
            <w:rFonts w:eastAsia="Calibri"/>
            <w:sz w:val="22"/>
            <w:szCs w:val="22"/>
            <w:shd w:val="clear" w:color="auto" w:fill="FFFFFF"/>
            <w:lang w:eastAsia="en-US"/>
          </w:rPr>
          <w:t>http://agroplus-group.ru/inf/rukovodstvo_ris</w:t>
        </w:r>
      </w:hyperlink>
    </w:p>
    <w:p w:rsidR="008742E9" w:rsidRPr="00E32B9C" w:rsidRDefault="008742E9" w:rsidP="002D7DA5">
      <w:pPr>
        <w:numPr>
          <w:ilvl w:val="0"/>
          <w:numId w:val="5"/>
        </w:numPr>
        <w:tabs>
          <w:tab w:val="left" w:pos="709"/>
        </w:tabs>
        <w:ind w:left="0" w:firstLine="425"/>
        <w:contextualSpacing/>
        <w:jc w:val="both"/>
        <w:rPr>
          <w:rFonts w:eastAsia="Calibri"/>
          <w:b/>
          <w:spacing w:val="-2"/>
          <w:sz w:val="22"/>
          <w:szCs w:val="22"/>
          <w:lang w:eastAsia="en-US"/>
        </w:rPr>
      </w:pPr>
      <w:r w:rsidRPr="00E32B9C">
        <w:rPr>
          <w:rFonts w:eastAsia="Calibri"/>
          <w:spacing w:val="-2"/>
          <w:sz w:val="22"/>
          <w:szCs w:val="22"/>
          <w:lang w:eastAsia="en-US"/>
        </w:rPr>
        <w:t>Методика проведения полевых опытов и исследований по разработке технологии авиационных работ в сельском хозяйстве и агротехнической оценке авиационной сельхозаппаратуры. – М.:  ВНИИ ПАНХ ГА, ВИУА и ВИЗР, 1983.</w:t>
      </w:r>
    </w:p>
    <w:p w:rsidR="008742E9" w:rsidRPr="00E32B9C" w:rsidRDefault="008742E9" w:rsidP="002D7DA5">
      <w:pPr>
        <w:numPr>
          <w:ilvl w:val="0"/>
          <w:numId w:val="5"/>
        </w:numPr>
        <w:tabs>
          <w:tab w:val="left" w:pos="709"/>
        </w:tabs>
        <w:ind w:left="0" w:firstLine="425"/>
        <w:contextualSpacing/>
        <w:jc w:val="both"/>
        <w:rPr>
          <w:rFonts w:eastAsia="Calibri"/>
          <w:b/>
          <w:spacing w:val="-2"/>
          <w:sz w:val="22"/>
          <w:szCs w:val="22"/>
          <w:lang w:eastAsia="en-US"/>
        </w:rPr>
      </w:pPr>
      <w:r w:rsidRPr="00E32B9C">
        <w:rPr>
          <w:rFonts w:eastAsia="Calibri"/>
          <w:bCs/>
          <w:color w:val="000000"/>
          <w:spacing w:val="-2"/>
          <w:sz w:val="22"/>
          <w:szCs w:val="22"/>
          <w:lang w:eastAsia="en-US"/>
        </w:rPr>
        <w:lastRenderedPageBreak/>
        <w:t>Методические указания по</w:t>
      </w:r>
      <w:r w:rsidRPr="00E32B9C">
        <w:rPr>
          <w:rFonts w:eastAsia="Calibri"/>
          <w:color w:val="000000"/>
          <w:spacing w:val="-2"/>
          <w:sz w:val="22"/>
          <w:szCs w:val="22"/>
          <w:shd w:val="clear" w:color="auto" w:fill="FFFFFF"/>
          <w:lang w:eastAsia="en-US"/>
        </w:rPr>
        <w:t> проведению регистрационных и</w:t>
      </w:r>
      <w:r w:rsidRPr="00E32B9C">
        <w:rPr>
          <w:rFonts w:eastAsia="Calibri"/>
          <w:color w:val="000000"/>
          <w:spacing w:val="-2"/>
          <w:sz w:val="22"/>
          <w:szCs w:val="22"/>
          <w:shd w:val="clear" w:color="auto" w:fill="FFFFFF"/>
          <w:lang w:eastAsia="en-US"/>
        </w:rPr>
        <w:t>с</w:t>
      </w:r>
      <w:r w:rsidRPr="00E32B9C">
        <w:rPr>
          <w:rFonts w:eastAsia="Calibri"/>
          <w:color w:val="000000"/>
          <w:spacing w:val="-2"/>
          <w:sz w:val="22"/>
          <w:szCs w:val="22"/>
          <w:shd w:val="clear" w:color="auto" w:fill="FFFFFF"/>
          <w:lang w:eastAsia="en-US"/>
        </w:rPr>
        <w:t>пытаний новых форм удобрений, биопрепаратов и регуляторов роста растений. - Москва; Владимир, 2009. – 101 с. </w:t>
      </w:r>
    </w:p>
    <w:p w:rsidR="00102687" w:rsidRDefault="00102687" w:rsidP="008742E9">
      <w:pPr>
        <w:pStyle w:val="af5"/>
        <w:rPr>
          <w:rFonts w:ascii="Times New Roman" w:hAnsi="Times New Roman"/>
        </w:rPr>
      </w:pPr>
    </w:p>
    <w:p w:rsidR="00E32B9C" w:rsidRDefault="00E32B9C" w:rsidP="008742E9">
      <w:pPr>
        <w:pStyle w:val="af5"/>
        <w:rPr>
          <w:rFonts w:ascii="Times New Roman" w:hAnsi="Times New Roman"/>
        </w:rPr>
      </w:pPr>
    </w:p>
    <w:p w:rsidR="008742E9" w:rsidRDefault="008742E9" w:rsidP="008742E9">
      <w:pPr>
        <w:pStyle w:val="af5"/>
        <w:rPr>
          <w:rFonts w:ascii="Times New Roman" w:hAnsi="Times New Roman"/>
        </w:rPr>
      </w:pPr>
      <w:r>
        <w:rPr>
          <w:rFonts w:ascii="Times New Roman" w:hAnsi="Times New Roman"/>
        </w:rPr>
        <w:t>УДК 632.4:633.15 (470.620)</w:t>
      </w:r>
    </w:p>
    <w:p w:rsidR="008742E9" w:rsidRDefault="008742E9" w:rsidP="008742E9">
      <w:pPr>
        <w:pStyle w:val="af5"/>
        <w:jc w:val="center"/>
        <w:rPr>
          <w:rFonts w:ascii="Times New Roman" w:hAnsi="Times New Roman"/>
        </w:rPr>
      </w:pPr>
    </w:p>
    <w:p w:rsidR="008742E9" w:rsidRDefault="008742E9" w:rsidP="008742E9">
      <w:pPr>
        <w:pStyle w:val="af5"/>
        <w:jc w:val="center"/>
        <w:rPr>
          <w:rFonts w:ascii="Times New Roman" w:hAnsi="Times New Roman"/>
          <w:b/>
          <w:sz w:val="24"/>
          <w:szCs w:val="24"/>
        </w:rPr>
      </w:pPr>
      <w:r>
        <w:rPr>
          <w:rFonts w:ascii="Times New Roman" w:hAnsi="Times New Roman"/>
          <w:b/>
          <w:sz w:val="24"/>
          <w:szCs w:val="24"/>
        </w:rPr>
        <w:t>Особенности распространения вредоносного синергизма</w:t>
      </w:r>
      <w:r w:rsidR="00E32B9C">
        <w:rPr>
          <w:rFonts w:ascii="Times New Roman" w:hAnsi="Times New Roman"/>
          <w:b/>
          <w:sz w:val="24"/>
          <w:szCs w:val="24"/>
        </w:rPr>
        <w:t xml:space="preserve"> </w:t>
      </w:r>
      <w:r>
        <w:rPr>
          <w:rFonts w:ascii="Times New Roman" w:hAnsi="Times New Roman"/>
          <w:b/>
          <w:sz w:val="24"/>
          <w:szCs w:val="24"/>
        </w:rPr>
        <w:t xml:space="preserve">грибов рода </w:t>
      </w:r>
      <w:r>
        <w:rPr>
          <w:rFonts w:ascii="Times New Roman" w:hAnsi="Times New Roman"/>
          <w:b/>
          <w:i/>
          <w:iCs/>
          <w:sz w:val="24"/>
          <w:szCs w:val="24"/>
        </w:rPr>
        <w:t xml:space="preserve">Fusarium </w:t>
      </w:r>
      <w:r>
        <w:rPr>
          <w:rFonts w:ascii="Times New Roman" w:hAnsi="Times New Roman"/>
          <w:b/>
          <w:i/>
          <w:iCs/>
          <w:sz w:val="24"/>
          <w:szCs w:val="24"/>
          <w:lang w:val="en-US"/>
        </w:rPr>
        <w:t>spp</w:t>
      </w:r>
      <w:r>
        <w:rPr>
          <w:rFonts w:ascii="Times New Roman" w:hAnsi="Times New Roman"/>
          <w:b/>
          <w:sz w:val="24"/>
          <w:szCs w:val="24"/>
        </w:rPr>
        <w:t xml:space="preserve">. </w:t>
      </w:r>
      <w:r>
        <w:rPr>
          <w:rFonts w:ascii="Times New Roman" w:hAnsi="Times New Roman"/>
          <w:b/>
          <w:sz w:val="24"/>
          <w:szCs w:val="24"/>
          <w:lang w:val="en-US"/>
        </w:rPr>
        <w:t>Schlecht</w:t>
      </w:r>
      <w:r>
        <w:rPr>
          <w:rFonts w:ascii="Times New Roman" w:hAnsi="Times New Roman"/>
          <w:b/>
          <w:sz w:val="24"/>
          <w:szCs w:val="24"/>
        </w:rPr>
        <w:t xml:space="preserve"> и </w:t>
      </w:r>
      <w:r>
        <w:rPr>
          <w:rFonts w:ascii="Times New Roman" w:hAnsi="Times New Roman"/>
          <w:b/>
          <w:i/>
          <w:iCs/>
          <w:sz w:val="24"/>
          <w:szCs w:val="24"/>
          <w:lang w:val="en-US"/>
        </w:rPr>
        <w:t>Alternaria</w:t>
      </w:r>
      <w:r w:rsidRPr="008742E9">
        <w:rPr>
          <w:rFonts w:ascii="Times New Roman" w:hAnsi="Times New Roman"/>
          <w:b/>
          <w:sz w:val="24"/>
          <w:szCs w:val="24"/>
        </w:rPr>
        <w:t xml:space="preserve"> </w:t>
      </w:r>
      <w:r>
        <w:rPr>
          <w:rFonts w:ascii="Times New Roman" w:hAnsi="Times New Roman"/>
          <w:b/>
          <w:sz w:val="24"/>
          <w:szCs w:val="24"/>
          <w:lang w:val="en-US"/>
        </w:rPr>
        <w:t>spp</w:t>
      </w:r>
      <w:r>
        <w:rPr>
          <w:rFonts w:ascii="Times New Roman" w:hAnsi="Times New Roman"/>
          <w:b/>
          <w:sz w:val="24"/>
          <w:szCs w:val="24"/>
        </w:rPr>
        <w:t xml:space="preserve">. </w:t>
      </w:r>
      <w:r>
        <w:rPr>
          <w:rFonts w:ascii="Times New Roman" w:hAnsi="Times New Roman"/>
          <w:b/>
          <w:sz w:val="24"/>
          <w:szCs w:val="24"/>
          <w:lang w:val="en-US"/>
        </w:rPr>
        <w:t>Nees</w:t>
      </w:r>
      <w:r>
        <w:rPr>
          <w:rFonts w:ascii="Times New Roman" w:hAnsi="Times New Roman"/>
          <w:b/>
          <w:sz w:val="24"/>
          <w:szCs w:val="24"/>
        </w:rPr>
        <w:t xml:space="preserve"> на кукурузе в условиях АО «Агрообъединение Кубань»</w:t>
      </w:r>
    </w:p>
    <w:p w:rsidR="008742E9" w:rsidRDefault="008742E9" w:rsidP="008742E9">
      <w:pPr>
        <w:pStyle w:val="af5"/>
        <w:jc w:val="center"/>
        <w:rPr>
          <w:rFonts w:ascii="Times New Roman" w:hAnsi="Times New Roman"/>
          <w:b/>
          <w:sz w:val="24"/>
          <w:szCs w:val="24"/>
          <w:lang w:val="en-US"/>
        </w:rPr>
      </w:pPr>
      <w:r>
        <w:rPr>
          <w:rFonts w:ascii="Times New Roman" w:hAnsi="Times New Roman"/>
          <w:b/>
          <w:sz w:val="24"/>
          <w:szCs w:val="24"/>
          <w:lang w:val="en-US"/>
        </w:rPr>
        <w:t xml:space="preserve">The harmful synergism of sort Fusarium spp. Schlecht and </w:t>
      </w:r>
      <w:r w:rsidR="00E32B9C" w:rsidRPr="003C00E9">
        <w:rPr>
          <w:rFonts w:ascii="Times New Roman" w:hAnsi="Times New Roman"/>
          <w:b/>
          <w:sz w:val="24"/>
          <w:szCs w:val="24"/>
          <w:lang w:val="en-US"/>
        </w:rPr>
        <w:br/>
      </w:r>
      <w:r>
        <w:rPr>
          <w:rFonts w:ascii="Times New Roman" w:hAnsi="Times New Roman"/>
          <w:b/>
          <w:sz w:val="24"/>
          <w:szCs w:val="24"/>
          <w:lang w:val="en-US"/>
        </w:rPr>
        <w:t xml:space="preserve">Alternaria spp. Nees mushrooms on corn in the conditions of JSC «Agroobjedineniye Kuban» and features of his </w:t>
      </w:r>
      <w:r w:rsidR="00A8504F" w:rsidRPr="00A8504F">
        <w:rPr>
          <w:rFonts w:ascii="Times New Roman" w:hAnsi="Times New Roman"/>
          <w:b/>
          <w:sz w:val="24"/>
          <w:szCs w:val="24"/>
          <w:lang w:val="en-US"/>
        </w:rPr>
        <w:br/>
      </w:r>
      <w:r>
        <w:rPr>
          <w:rFonts w:ascii="Times New Roman" w:hAnsi="Times New Roman"/>
          <w:b/>
          <w:sz w:val="24"/>
          <w:szCs w:val="24"/>
          <w:lang w:val="en-US"/>
        </w:rPr>
        <w:t>distribution</w:t>
      </w:r>
    </w:p>
    <w:p w:rsidR="008742E9" w:rsidRDefault="008742E9" w:rsidP="008742E9">
      <w:pPr>
        <w:pStyle w:val="af5"/>
        <w:rPr>
          <w:rFonts w:ascii="Times New Roman" w:hAnsi="Times New Roman"/>
          <w:color w:val="FF0000"/>
          <w:lang w:val="en-US"/>
        </w:rPr>
      </w:pPr>
    </w:p>
    <w:p w:rsidR="008742E9" w:rsidRPr="003C00E9" w:rsidRDefault="008742E9" w:rsidP="008742E9">
      <w:pPr>
        <w:pStyle w:val="af5"/>
        <w:jc w:val="right"/>
        <w:rPr>
          <w:rFonts w:ascii="Times New Roman" w:hAnsi="Times New Roman"/>
        </w:rPr>
      </w:pPr>
      <w:r w:rsidRPr="003C00E9">
        <w:rPr>
          <w:rFonts w:ascii="Times New Roman" w:hAnsi="Times New Roman"/>
        </w:rPr>
        <w:t>Невзоров Р.</w:t>
      </w:r>
      <w:r w:rsidR="00E32B9C" w:rsidRPr="003C00E9">
        <w:rPr>
          <w:rFonts w:ascii="Times New Roman" w:hAnsi="Times New Roman"/>
        </w:rPr>
        <w:t xml:space="preserve"> </w:t>
      </w:r>
      <w:r w:rsidRPr="003C00E9">
        <w:rPr>
          <w:rFonts w:ascii="Times New Roman" w:hAnsi="Times New Roman"/>
        </w:rPr>
        <w:t>Д.,</w:t>
      </w:r>
    </w:p>
    <w:p w:rsidR="00E32B9C" w:rsidRPr="003C00E9" w:rsidRDefault="00E32B9C" w:rsidP="008742E9">
      <w:pPr>
        <w:pStyle w:val="af5"/>
        <w:jc w:val="right"/>
        <w:rPr>
          <w:rFonts w:ascii="Times New Roman" w:hAnsi="Times New Roman"/>
        </w:rPr>
      </w:pPr>
      <w:r w:rsidRPr="003C00E9">
        <w:rPr>
          <w:rFonts w:ascii="Times New Roman" w:hAnsi="Times New Roman"/>
        </w:rPr>
        <w:t>студент 4-го курса</w:t>
      </w:r>
    </w:p>
    <w:p w:rsidR="008742E9" w:rsidRPr="003C00E9" w:rsidRDefault="008742E9" w:rsidP="008742E9">
      <w:pPr>
        <w:pStyle w:val="af5"/>
        <w:jc w:val="right"/>
        <w:rPr>
          <w:rFonts w:ascii="Times New Roman" w:hAnsi="Times New Roman"/>
        </w:rPr>
      </w:pPr>
      <w:r w:rsidRPr="003C00E9">
        <w:rPr>
          <w:rFonts w:ascii="Times New Roman" w:hAnsi="Times New Roman"/>
        </w:rPr>
        <w:t>факультета агрохимии и защиты растений</w:t>
      </w:r>
    </w:p>
    <w:p w:rsidR="008742E9" w:rsidRPr="003C00E9" w:rsidRDefault="008742E9" w:rsidP="008742E9">
      <w:pPr>
        <w:pStyle w:val="af5"/>
        <w:jc w:val="right"/>
        <w:rPr>
          <w:rFonts w:ascii="Times New Roman" w:hAnsi="Times New Roman"/>
        </w:rPr>
      </w:pPr>
      <w:r w:rsidRPr="003C00E9">
        <w:rPr>
          <w:rFonts w:ascii="Times New Roman" w:hAnsi="Times New Roman"/>
        </w:rPr>
        <w:t>Сокирко В.</w:t>
      </w:r>
      <w:r w:rsidR="00E32B9C" w:rsidRPr="003C00E9">
        <w:rPr>
          <w:rFonts w:ascii="Times New Roman" w:hAnsi="Times New Roman"/>
        </w:rPr>
        <w:t xml:space="preserve"> </w:t>
      </w:r>
      <w:r w:rsidRPr="003C00E9">
        <w:rPr>
          <w:rFonts w:ascii="Times New Roman" w:hAnsi="Times New Roman"/>
        </w:rPr>
        <w:t>П.,</w:t>
      </w:r>
    </w:p>
    <w:p w:rsidR="008742E9" w:rsidRPr="003C00E9" w:rsidRDefault="008742E9" w:rsidP="008742E9">
      <w:pPr>
        <w:pStyle w:val="af5"/>
        <w:jc w:val="right"/>
        <w:rPr>
          <w:rFonts w:ascii="Times New Roman" w:hAnsi="Times New Roman"/>
        </w:rPr>
      </w:pPr>
      <w:r w:rsidRPr="003C00E9">
        <w:rPr>
          <w:rFonts w:ascii="Times New Roman" w:hAnsi="Times New Roman"/>
        </w:rPr>
        <w:t>профессор, д.б</w:t>
      </w:r>
      <w:proofErr w:type="gramStart"/>
      <w:r w:rsidRPr="003C00E9">
        <w:rPr>
          <w:rFonts w:ascii="Times New Roman" w:hAnsi="Times New Roman"/>
        </w:rPr>
        <w:t>.н</w:t>
      </w:r>
      <w:proofErr w:type="gramEnd"/>
    </w:p>
    <w:p w:rsidR="008742E9" w:rsidRPr="003C00E9" w:rsidRDefault="008742E9" w:rsidP="008742E9">
      <w:pPr>
        <w:pStyle w:val="af5"/>
        <w:jc w:val="right"/>
        <w:rPr>
          <w:rFonts w:ascii="Times New Roman" w:hAnsi="Times New Roman"/>
        </w:rPr>
      </w:pPr>
      <w:r w:rsidRPr="003C00E9">
        <w:rPr>
          <w:rFonts w:ascii="Times New Roman" w:hAnsi="Times New Roman"/>
        </w:rPr>
        <w:t>Кубанский государственный аграрный</w:t>
      </w:r>
    </w:p>
    <w:p w:rsidR="008742E9" w:rsidRDefault="008742E9" w:rsidP="008742E9">
      <w:pPr>
        <w:pStyle w:val="af5"/>
        <w:jc w:val="right"/>
        <w:rPr>
          <w:rFonts w:ascii="Times New Roman" w:hAnsi="Times New Roman"/>
          <w:sz w:val="24"/>
          <w:szCs w:val="24"/>
        </w:rPr>
      </w:pPr>
      <w:r w:rsidRPr="003C00E9">
        <w:rPr>
          <w:rFonts w:ascii="Times New Roman" w:hAnsi="Times New Roman"/>
        </w:rPr>
        <w:t>университет имени И.</w:t>
      </w:r>
      <w:r w:rsidR="00E32B9C" w:rsidRPr="003C00E9">
        <w:rPr>
          <w:rFonts w:ascii="Times New Roman" w:hAnsi="Times New Roman"/>
        </w:rPr>
        <w:t xml:space="preserve"> </w:t>
      </w:r>
      <w:r w:rsidRPr="003C00E9">
        <w:rPr>
          <w:rFonts w:ascii="Times New Roman" w:hAnsi="Times New Roman"/>
        </w:rPr>
        <w:t>Т. Трубилина</w:t>
      </w:r>
    </w:p>
    <w:p w:rsidR="008742E9" w:rsidRDefault="008742E9" w:rsidP="008742E9">
      <w:pPr>
        <w:pStyle w:val="af5"/>
        <w:rPr>
          <w:rFonts w:ascii="Times New Roman" w:hAnsi="Times New Roman"/>
          <w:color w:val="FF0000"/>
        </w:rPr>
      </w:pPr>
    </w:p>
    <w:p w:rsidR="008742E9" w:rsidRDefault="008742E9" w:rsidP="008742E9">
      <w:pPr>
        <w:pStyle w:val="af5"/>
        <w:ind w:firstLine="426"/>
        <w:jc w:val="both"/>
        <w:rPr>
          <w:rFonts w:ascii="Times New Roman" w:hAnsi="Times New Roman"/>
        </w:rPr>
      </w:pPr>
      <w:r>
        <w:rPr>
          <w:rFonts w:ascii="Times New Roman" w:hAnsi="Times New Roman"/>
        </w:rPr>
        <w:t>АННОТАЦИЯ: Изучено распространение и вредоносность н</w:t>
      </w:r>
      <w:r>
        <w:rPr>
          <w:rFonts w:ascii="Times New Roman" w:hAnsi="Times New Roman"/>
        </w:rPr>
        <w:t>о</w:t>
      </w:r>
      <w:r>
        <w:rPr>
          <w:rFonts w:ascii="Times New Roman" w:hAnsi="Times New Roman"/>
        </w:rPr>
        <w:t xml:space="preserve">вой биологической особенности поражения кукурузы бинарным комплексом грибов </w:t>
      </w:r>
      <w:r>
        <w:rPr>
          <w:rFonts w:ascii="Times New Roman" w:hAnsi="Times New Roman"/>
          <w:lang w:val="en-US"/>
        </w:rPr>
        <w:t>Fusarium</w:t>
      </w:r>
      <w:r>
        <w:rPr>
          <w:rFonts w:ascii="Times New Roman" w:hAnsi="Times New Roman"/>
        </w:rPr>
        <w:t xml:space="preserve"> и </w:t>
      </w:r>
      <w:r>
        <w:rPr>
          <w:rFonts w:ascii="Times New Roman" w:hAnsi="Times New Roman"/>
          <w:lang w:val="en-US"/>
        </w:rPr>
        <w:t>Alternaria</w:t>
      </w:r>
      <w:r>
        <w:rPr>
          <w:rFonts w:ascii="Times New Roman" w:hAnsi="Times New Roman"/>
        </w:rPr>
        <w:t>. Критической по зараже</w:t>
      </w:r>
      <w:r>
        <w:rPr>
          <w:rFonts w:ascii="Times New Roman" w:hAnsi="Times New Roman"/>
        </w:rPr>
        <w:t>н</w:t>
      </w:r>
      <w:r>
        <w:rPr>
          <w:rFonts w:ascii="Times New Roman" w:hAnsi="Times New Roman"/>
        </w:rPr>
        <w:t xml:space="preserve">ности кукурузы является фаза </w:t>
      </w:r>
      <w:proofErr w:type="gramStart"/>
      <w:r>
        <w:rPr>
          <w:rFonts w:ascii="Times New Roman" w:hAnsi="Times New Roman"/>
        </w:rPr>
        <w:t>восковой-полной</w:t>
      </w:r>
      <w:proofErr w:type="gramEnd"/>
      <w:r>
        <w:rPr>
          <w:rFonts w:ascii="Times New Roman" w:hAnsi="Times New Roman"/>
        </w:rPr>
        <w:t xml:space="preserve"> спелости. Совмес</w:t>
      </w:r>
      <w:r>
        <w:rPr>
          <w:rFonts w:ascii="Times New Roman" w:hAnsi="Times New Roman"/>
        </w:rPr>
        <w:t>т</w:t>
      </w:r>
      <w:r>
        <w:rPr>
          <w:rFonts w:ascii="Times New Roman" w:hAnsi="Times New Roman"/>
        </w:rPr>
        <w:t>ное поражение кукурузы возбудителями синергизма приводит к карликовости, преждевременному засыханию и невыполненности початков.</w:t>
      </w:r>
    </w:p>
    <w:p w:rsidR="008742E9" w:rsidRDefault="008742E9" w:rsidP="008742E9">
      <w:pPr>
        <w:pStyle w:val="af5"/>
        <w:ind w:firstLine="426"/>
        <w:jc w:val="both"/>
        <w:rPr>
          <w:rFonts w:ascii="Times New Roman" w:hAnsi="Times New Roman"/>
          <w:lang w:val="en-US"/>
        </w:rPr>
      </w:pPr>
      <w:r>
        <w:rPr>
          <w:rFonts w:ascii="Times New Roman" w:hAnsi="Times New Roman"/>
          <w:lang w:val="en-US"/>
        </w:rPr>
        <w:t>ANNOTATION: The article considers the distribution and harmfu</w:t>
      </w:r>
      <w:r>
        <w:rPr>
          <w:rFonts w:ascii="Times New Roman" w:hAnsi="Times New Roman"/>
          <w:lang w:val="en-US"/>
        </w:rPr>
        <w:t>l</w:t>
      </w:r>
      <w:r>
        <w:rPr>
          <w:rFonts w:ascii="Times New Roman" w:hAnsi="Times New Roman"/>
          <w:lang w:val="en-US"/>
        </w:rPr>
        <w:t>ness of the new biological features of corn's defeat by binary complex of sort Fusarium and Alternaria mushrooms. The phase of wax-full ripeness is a critical on contamination of corn. Activators of synergism lead to joint defeat of corn, its dwarfism, premature drying up and outstanding ears.</w:t>
      </w:r>
    </w:p>
    <w:p w:rsidR="008742E9" w:rsidRDefault="008742E9" w:rsidP="008742E9">
      <w:pPr>
        <w:pStyle w:val="af5"/>
        <w:ind w:firstLine="426"/>
        <w:jc w:val="both"/>
        <w:rPr>
          <w:rFonts w:ascii="Times New Roman" w:hAnsi="Times New Roman"/>
        </w:rPr>
      </w:pPr>
      <w:r>
        <w:rPr>
          <w:rFonts w:ascii="Times New Roman" w:hAnsi="Times New Roman"/>
        </w:rPr>
        <w:lastRenderedPageBreak/>
        <w:t>КЛЮЧЕВЫЕ СЛОВА: Альтернария, фузариум, бинарный ко</w:t>
      </w:r>
      <w:r>
        <w:rPr>
          <w:rFonts w:ascii="Times New Roman" w:hAnsi="Times New Roman"/>
        </w:rPr>
        <w:t>м</w:t>
      </w:r>
      <w:r>
        <w:rPr>
          <w:rFonts w:ascii="Times New Roman" w:hAnsi="Times New Roman"/>
        </w:rPr>
        <w:t>плекс, синергизм, карликовость.</w:t>
      </w:r>
    </w:p>
    <w:p w:rsidR="008742E9" w:rsidRDefault="008742E9" w:rsidP="008742E9">
      <w:pPr>
        <w:pStyle w:val="af5"/>
        <w:ind w:firstLine="426"/>
        <w:jc w:val="both"/>
        <w:rPr>
          <w:rFonts w:ascii="Times New Roman" w:hAnsi="Times New Roman"/>
          <w:lang w:val="en-US"/>
        </w:rPr>
      </w:pPr>
      <w:r>
        <w:rPr>
          <w:rFonts w:ascii="Times New Roman" w:hAnsi="Times New Roman"/>
          <w:lang w:val="en-US"/>
        </w:rPr>
        <w:t>KEYWORDS: Alternaria, Fusarium, binary complex, synergism, dwarfism.</w:t>
      </w:r>
    </w:p>
    <w:p w:rsidR="008742E9" w:rsidRDefault="008742E9" w:rsidP="008742E9">
      <w:pPr>
        <w:pStyle w:val="af5"/>
        <w:jc w:val="both"/>
        <w:rPr>
          <w:rFonts w:ascii="Times New Roman" w:hAnsi="Times New Roman"/>
          <w:lang w:val="en-US"/>
        </w:rPr>
      </w:pPr>
    </w:p>
    <w:p w:rsidR="008742E9" w:rsidRDefault="008742E9" w:rsidP="008742E9">
      <w:pPr>
        <w:pStyle w:val="af5"/>
        <w:ind w:firstLine="425"/>
        <w:jc w:val="both"/>
        <w:rPr>
          <w:rFonts w:ascii="Times New Roman" w:hAnsi="Times New Roman"/>
        </w:rPr>
      </w:pPr>
      <w:r>
        <w:rPr>
          <w:rFonts w:ascii="Times New Roman" w:hAnsi="Times New Roman"/>
        </w:rPr>
        <w:t>На посевах кукурузы появилась опасная форма заболевания, вызванная грибами родов Fusarium и Alternaria. Патогены развив</w:t>
      </w:r>
      <w:r>
        <w:rPr>
          <w:rFonts w:ascii="Times New Roman" w:hAnsi="Times New Roman"/>
        </w:rPr>
        <w:t>а</w:t>
      </w:r>
      <w:r>
        <w:rPr>
          <w:rFonts w:ascii="Times New Roman" w:hAnsi="Times New Roman"/>
        </w:rPr>
        <w:t xml:space="preserve">ются друг с другом при совместном поражении тканей кукурузы в виде вредоносного синергизма. </w:t>
      </w:r>
      <w:proofErr w:type="gramStart"/>
      <w:r>
        <w:rPr>
          <w:rFonts w:ascii="Times New Roman" w:hAnsi="Times New Roman"/>
          <w:lang w:val="en-US"/>
        </w:rPr>
        <w:t>Alternaria</w:t>
      </w:r>
      <w:r>
        <w:rPr>
          <w:rFonts w:ascii="Times New Roman" w:hAnsi="Times New Roman"/>
        </w:rPr>
        <w:t xml:space="preserve"> оптимизирует рост миц</w:t>
      </w:r>
      <w:r>
        <w:rPr>
          <w:rFonts w:ascii="Times New Roman" w:hAnsi="Times New Roman"/>
        </w:rPr>
        <w:t>е</w:t>
      </w:r>
      <w:r>
        <w:rPr>
          <w:rFonts w:ascii="Times New Roman" w:hAnsi="Times New Roman"/>
        </w:rPr>
        <w:t>лия и споруляцию гриба Fusarium.</w:t>
      </w:r>
      <w:proofErr w:type="gramEnd"/>
      <w:r>
        <w:rPr>
          <w:rFonts w:ascii="Times New Roman" w:hAnsi="Times New Roman"/>
        </w:rPr>
        <w:t xml:space="preserve"> Изучение особенностей развития и распространения их на кукурузе - весьма </w:t>
      </w:r>
      <w:proofErr w:type="gramStart"/>
      <w:r>
        <w:rPr>
          <w:rFonts w:ascii="Times New Roman" w:hAnsi="Times New Roman"/>
        </w:rPr>
        <w:t>актуальна</w:t>
      </w:r>
      <w:proofErr w:type="gramEnd"/>
      <w:r>
        <w:rPr>
          <w:rFonts w:ascii="Times New Roman" w:hAnsi="Times New Roman"/>
        </w:rPr>
        <w:t xml:space="preserve"> [3].</w:t>
      </w:r>
    </w:p>
    <w:p w:rsidR="008742E9" w:rsidRDefault="008742E9" w:rsidP="008742E9">
      <w:pPr>
        <w:pStyle w:val="af5"/>
        <w:ind w:firstLine="425"/>
        <w:jc w:val="both"/>
        <w:rPr>
          <w:rFonts w:ascii="Times New Roman" w:hAnsi="Times New Roman"/>
          <w:b/>
          <w:color w:val="C0504D" w:themeColor="accent2"/>
        </w:rPr>
      </w:pPr>
      <w:r>
        <w:rPr>
          <w:rFonts w:ascii="Times New Roman" w:hAnsi="Times New Roman"/>
          <w:bCs/>
        </w:rPr>
        <w:t>Важно было определить</w:t>
      </w:r>
      <w:r>
        <w:rPr>
          <w:rFonts w:ascii="Times New Roman" w:hAnsi="Times New Roman"/>
        </w:rPr>
        <w:t xml:space="preserve"> особенности распространения пре</w:t>
      </w:r>
      <w:r>
        <w:rPr>
          <w:rFonts w:ascii="Times New Roman" w:hAnsi="Times New Roman"/>
        </w:rPr>
        <w:t>д</w:t>
      </w:r>
      <w:r>
        <w:rPr>
          <w:rFonts w:ascii="Times New Roman" w:hAnsi="Times New Roman"/>
        </w:rPr>
        <w:t xml:space="preserve">ставителей «вредоносного синергизма» грибов </w:t>
      </w:r>
      <w:r>
        <w:rPr>
          <w:rFonts w:ascii="Times New Roman" w:hAnsi="Times New Roman"/>
          <w:i/>
          <w:iCs/>
        </w:rPr>
        <w:t xml:space="preserve">Fusarium </w:t>
      </w:r>
      <w:r>
        <w:rPr>
          <w:rFonts w:ascii="Times New Roman" w:hAnsi="Times New Roman"/>
          <w:i/>
          <w:iCs/>
          <w:lang w:val="en-US"/>
        </w:rPr>
        <w:t>spp</w:t>
      </w:r>
      <w:r>
        <w:rPr>
          <w:rFonts w:ascii="Times New Roman" w:hAnsi="Times New Roman"/>
        </w:rPr>
        <w:t xml:space="preserve">. </w:t>
      </w:r>
      <w:proofErr w:type="gramStart"/>
      <w:r>
        <w:rPr>
          <w:rFonts w:ascii="Times New Roman" w:hAnsi="Times New Roman"/>
          <w:lang w:val="en-US"/>
        </w:rPr>
        <w:t>Schlecht</w:t>
      </w:r>
      <w:r>
        <w:rPr>
          <w:rFonts w:ascii="Times New Roman" w:hAnsi="Times New Roman"/>
        </w:rPr>
        <w:t xml:space="preserve"> и </w:t>
      </w:r>
      <w:r>
        <w:rPr>
          <w:rFonts w:ascii="Times New Roman" w:hAnsi="Times New Roman"/>
          <w:i/>
          <w:iCs/>
          <w:lang w:val="en-US"/>
        </w:rPr>
        <w:t>Alternaria</w:t>
      </w:r>
      <w:r w:rsidRPr="008742E9">
        <w:rPr>
          <w:rFonts w:ascii="Times New Roman" w:hAnsi="Times New Roman"/>
        </w:rPr>
        <w:t xml:space="preserve"> </w:t>
      </w:r>
      <w:r>
        <w:rPr>
          <w:rFonts w:ascii="Times New Roman" w:hAnsi="Times New Roman"/>
          <w:lang w:val="en-US"/>
        </w:rPr>
        <w:t>Nees</w:t>
      </w:r>
      <w:r>
        <w:rPr>
          <w:rFonts w:ascii="Times New Roman" w:hAnsi="Times New Roman"/>
        </w:rPr>
        <w:t xml:space="preserve"> на кукурузу в условиях АО «Агрообъед</w:t>
      </w:r>
      <w:r>
        <w:rPr>
          <w:rFonts w:ascii="Times New Roman" w:hAnsi="Times New Roman"/>
        </w:rPr>
        <w:t>и</w:t>
      </w:r>
      <w:r>
        <w:rPr>
          <w:rFonts w:ascii="Times New Roman" w:hAnsi="Times New Roman"/>
        </w:rPr>
        <w:t>нения Кубань»</w:t>
      </w:r>
      <w:r>
        <w:rPr>
          <w:rFonts w:ascii="Times New Roman" w:hAnsi="Times New Roman"/>
          <w:b/>
        </w:rPr>
        <w:t>.</w:t>
      </w:r>
      <w:proofErr w:type="gramEnd"/>
      <w:r>
        <w:rPr>
          <w:rFonts w:ascii="Times New Roman" w:hAnsi="Times New Roman"/>
          <w:b/>
        </w:rPr>
        <w:t xml:space="preserve"> </w:t>
      </w:r>
      <w:r>
        <w:rPr>
          <w:rFonts w:ascii="Times New Roman" w:hAnsi="Times New Roman"/>
        </w:rPr>
        <w:t>И выявить наиболее устойчивые сорта и гибриды кукурузы к комплексному фузариозно-альтернариозному зараж</w:t>
      </w:r>
      <w:r>
        <w:rPr>
          <w:rFonts w:ascii="Times New Roman" w:hAnsi="Times New Roman"/>
        </w:rPr>
        <w:t>е</w:t>
      </w:r>
      <w:r>
        <w:rPr>
          <w:rFonts w:ascii="Times New Roman" w:hAnsi="Times New Roman"/>
        </w:rPr>
        <w:t>нию.</w:t>
      </w:r>
    </w:p>
    <w:p w:rsidR="008742E9" w:rsidRDefault="008742E9" w:rsidP="008742E9">
      <w:pPr>
        <w:pStyle w:val="af5"/>
        <w:ind w:firstLine="425"/>
        <w:jc w:val="both"/>
        <w:rPr>
          <w:rFonts w:ascii="Times New Roman" w:hAnsi="Times New Roman"/>
        </w:rPr>
      </w:pPr>
      <w:r>
        <w:rPr>
          <w:rFonts w:ascii="Times New Roman" w:hAnsi="Times New Roman"/>
        </w:rPr>
        <w:t xml:space="preserve">Фитосанитарный </w:t>
      </w:r>
      <w:proofErr w:type="gramStart"/>
      <w:r>
        <w:rPr>
          <w:rFonts w:ascii="Times New Roman" w:hAnsi="Times New Roman"/>
        </w:rPr>
        <w:t>контроль за</w:t>
      </w:r>
      <w:proofErr w:type="gramEnd"/>
      <w:r>
        <w:rPr>
          <w:rFonts w:ascii="Times New Roman" w:hAnsi="Times New Roman"/>
        </w:rPr>
        <w:t xml:space="preserve"> распространением и развитием фузариозно-альтернариозного синергизма проводился в ценозе зе</w:t>
      </w:r>
      <w:r>
        <w:rPr>
          <w:rFonts w:ascii="Times New Roman" w:hAnsi="Times New Roman"/>
        </w:rPr>
        <w:t>р</w:t>
      </w:r>
      <w:r>
        <w:rPr>
          <w:rFonts w:ascii="Times New Roman" w:hAnsi="Times New Roman"/>
        </w:rPr>
        <w:t xml:space="preserve">новой кукурузы в АО «Агрообъединение Кубань» ПУ «Центр». Оказалось, что в хозяйстве чаще бинарно колонизировали кукурузу грибы Fusarium spp. и Alternaria spp. Они совместно выделялись из ткани узлов стеблей, рудиментарных початков и зерна кукурузы [4]. </w:t>
      </w:r>
    </w:p>
    <w:p w:rsidR="008742E9" w:rsidRDefault="008742E9" w:rsidP="008742E9">
      <w:pPr>
        <w:pStyle w:val="af5"/>
        <w:ind w:firstLine="425"/>
        <w:jc w:val="both"/>
        <w:rPr>
          <w:rFonts w:ascii="Times New Roman" w:hAnsi="Times New Roman"/>
        </w:rPr>
      </w:pPr>
      <w:r>
        <w:rPr>
          <w:rFonts w:ascii="Times New Roman" w:hAnsi="Times New Roman"/>
        </w:rPr>
        <w:t>В лабораторных условиях установлено, что два гриба образуют общую сложную смешанную композицию мицелиев. Происходит «врастание» в колонию альтернарии мицелия фузариума. Поскол</w:t>
      </w:r>
      <w:r>
        <w:rPr>
          <w:rFonts w:ascii="Times New Roman" w:hAnsi="Times New Roman"/>
        </w:rPr>
        <w:t>ь</w:t>
      </w:r>
      <w:r>
        <w:rPr>
          <w:rFonts w:ascii="Times New Roman" w:hAnsi="Times New Roman"/>
        </w:rPr>
        <w:t xml:space="preserve">ку в посевах образуются кулиги карликовых, быстро желтеющих и усыхающих растений кукурузы, важно было определить наличие в хозяйстве устойчивых к патогенам гибридов и сортов [1].  </w:t>
      </w:r>
    </w:p>
    <w:p w:rsidR="008742E9" w:rsidRDefault="008742E9" w:rsidP="008742E9">
      <w:pPr>
        <w:pStyle w:val="af5"/>
        <w:ind w:firstLine="425"/>
        <w:jc w:val="both"/>
        <w:rPr>
          <w:rFonts w:ascii="Times New Roman" w:hAnsi="Times New Roman"/>
        </w:rPr>
      </w:pPr>
      <w:r>
        <w:rPr>
          <w:rFonts w:ascii="Times New Roman" w:hAnsi="Times New Roman"/>
        </w:rPr>
        <w:t>Устойчивость кукурузы, возделываемой в АО «Агрообъедин</w:t>
      </w:r>
      <w:r>
        <w:rPr>
          <w:rFonts w:ascii="Times New Roman" w:hAnsi="Times New Roman"/>
        </w:rPr>
        <w:t>е</w:t>
      </w:r>
      <w:r>
        <w:rPr>
          <w:rFonts w:ascii="Times New Roman" w:hAnsi="Times New Roman"/>
        </w:rPr>
        <w:t>ние Кубань», проводилась на высеянных в хозяйстве сортах Ладо</w:t>
      </w:r>
      <w:r>
        <w:rPr>
          <w:rFonts w:ascii="Times New Roman" w:hAnsi="Times New Roman"/>
        </w:rPr>
        <w:t>ж</w:t>
      </w:r>
      <w:r>
        <w:rPr>
          <w:rFonts w:ascii="Times New Roman" w:hAnsi="Times New Roman"/>
        </w:rPr>
        <w:t>ский 292, Ладожский 391 и гибриде Бергсон, была различной. Ф</w:t>
      </w:r>
      <w:r>
        <w:rPr>
          <w:rFonts w:ascii="Times New Roman" w:hAnsi="Times New Roman"/>
        </w:rPr>
        <w:t>и</w:t>
      </w:r>
      <w:r>
        <w:rPr>
          <w:rFonts w:ascii="Times New Roman" w:hAnsi="Times New Roman"/>
        </w:rPr>
        <w:t>тоэкспертиза пораженных растений возбудителями фузариозно-альтернариозного комплекса проводилась в фазы 3-5 листьев, в</w:t>
      </w:r>
      <w:r>
        <w:rPr>
          <w:rFonts w:ascii="Times New Roman" w:hAnsi="Times New Roman"/>
        </w:rPr>
        <w:t>ы</w:t>
      </w:r>
      <w:r>
        <w:rPr>
          <w:rFonts w:ascii="Times New Roman" w:hAnsi="Times New Roman"/>
        </w:rPr>
        <w:t>метывания метёлки и полной спелости зерна.</w:t>
      </w:r>
    </w:p>
    <w:p w:rsidR="008742E9" w:rsidRDefault="008742E9" w:rsidP="008742E9">
      <w:pPr>
        <w:pStyle w:val="af5"/>
        <w:ind w:firstLine="425"/>
        <w:jc w:val="both"/>
        <w:rPr>
          <w:rFonts w:ascii="Times New Roman" w:hAnsi="Times New Roman"/>
        </w:rPr>
      </w:pPr>
      <w:r>
        <w:rPr>
          <w:rFonts w:ascii="Times New Roman" w:hAnsi="Times New Roman"/>
        </w:rPr>
        <w:t>Пораженность молодых растений до фазы 7 листьев фузарио</w:t>
      </w:r>
      <w:r>
        <w:rPr>
          <w:rFonts w:ascii="Times New Roman" w:hAnsi="Times New Roman"/>
        </w:rPr>
        <w:t>з</w:t>
      </w:r>
      <w:r>
        <w:rPr>
          <w:rFonts w:ascii="Times New Roman" w:hAnsi="Times New Roman"/>
        </w:rPr>
        <w:t xml:space="preserve">но-альтернариозным комплексом, проявлялась в виде карликовости на сортах Ладожский 292, Ладожский 391 </w:t>
      </w:r>
      <w:r>
        <w:rPr>
          <w:rFonts w:ascii="Times New Roman" w:hAnsi="Times New Roman"/>
          <w:b/>
        </w:rPr>
        <w:t>(</w:t>
      </w:r>
      <w:r>
        <w:rPr>
          <w:rFonts w:ascii="Times New Roman" w:hAnsi="Times New Roman"/>
        </w:rPr>
        <w:t>6,6% больных) и на г</w:t>
      </w:r>
      <w:r>
        <w:rPr>
          <w:rFonts w:ascii="Times New Roman" w:hAnsi="Times New Roman"/>
        </w:rPr>
        <w:t>и</w:t>
      </w:r>
      <w:r>
        <w:rPr>
          <w:rFonts w:ascii="Times New Roman" w:hAnsi="Times New Roman"/>
        </w:rPr>
        <w:lastRenderedPageBreak/>
        <w:t>бриде Бергсон (3,3%). В фазу выметывания метелки 12% растений гибрида Бергсон были ими поражены, а сорта - на 20-22%.</w:t>
      </w:r>
    </w:p>
    <w:p w:rsidR="008742E9" w:rsidRDefault="008742E9" w:rsidP="008742E9">
      <w:pPr>
        <w:pStyle w:val="af5"/>
        <w:ind w:firstLine="425"/>
        <w:jc w:val="both"/>
        <w:rPr>
          <w:rFonts w:ascii="Times New Roman" w:hAnsi="Times New Roman"/>
        </w:rPr>
      </w:pPr>
      <w:r>
        <w:rPr>
          <w:rFonts w:ascii="Times New Roman" w:hAnsi="Times New Roman"/>
        </w:rPr>
        <w:t>Особенно сильно развивалась болезнь при физиологическом старении растений: в фазу полной спелости у кукурузы заражались узлы стеблей, листья и початки. 71% таких растений было на пос</w:t>
      </w:r>
      <w:r>
        <w:rPr>
          <w:rFonts w:ascii="Times New Roman" w:hAnsi="Times New Roman"/>
        </w:rPr>
        <w:t>е</w:t>
      </w:r>
      <w:r>
        <w:rPr>
          <w:rFonts w:ascii="Times New Roman" w:hAnsi="Times New Roman"/>
        </w:rPr>
        <w:t>вах гибрида Бергсон и 85% в посевах сортов Ладожский 391 и Л</w:t>
      </w:r>
      <w:r>
        <w:rPr>
          <w:rFonts w:ascii="Times New Roman" w:hAnsi="Times New Roman"/>
        </w:rPr>
        <w:t>а</w:t>
      </w:r>
      <w:r>
        <w:rPr>
          <w:rFonts w:ascii="Times New Roman" w:hAnsi="Times New Roman"/>
        </w:rPr>
        <w:t>дожский 292 соответственно.</w:t>
      </w:r>
    </w:p>
    <w:p w:rsidR="008742E9" w:rsidRDefault="008742E9" w:rsidP="008742E9">
      <w:pPr>
        <w:pStyle w:val="af5"/>
        <w:ind w:firstLine="425"/>
        <w:jc w:val="both"/>
        <w:rPr>
          <w:rFonts w:ascii="Times New Roman" w:hAnsi="Times New Roman"/>
        </w:rPr>
      </w:pPr>
      <w:r>
        <w:rPr>
          <w:rFonts w:ascii="Times New Roman" w:hAnsi="Times New Roman"/>
        </w:rPr>
        <w:t>Появившаяся в фазу полной спелости фузариозно-альтернариозная инфекция, вызывала карликовость, преждевреме</w:t>
      </w:r>
      <w:r>
        <w:rPr>
          <w:rFonts w:ascii="Times New Roman" w:hAnsi="Times New Roman"/>
        </w:rPr>
        <w:t>н</w:t>
      </w:r>
      <w:r>
        <w:rPr>
          <w:rFonts w:ascii="Times New Roman" w:hAnsi="Times New Roman"/>
        </w:rPr>
        <w:t>ное усыхание растений и невыполненность початков. На полях к</w:t>
      </w:r>
      <w:r>
        <w:rPr>
          <w:rFonts w:ascii="Times New Roman" w:hAnsi="Times New Roman"/>
        </w:rPr>
        <w:t>у</w:t>
      </w:r>
      <w:r>
        <w:rPr>
          <w:rFonts w:ascii="Times New Roman" w:hAnsi="Times New Roman"/>
        </w:rPr>
        <w:t>курузы образовывались очаги из низкорослых, быстро пожелте</w:t>
      </w:r>
      <w:r>
        <w:rPr>
          <w:rFonts w:ascii="Times New Roman" w:hAnsi="Times New Roman"/>
        </w:rPr>
        <w:t>в</w:t>
      </w:r>
      <w:r>
        <w:rPr>
          <w:rFonts w:ascii="Times New Roman" w:hAnsi="Times New Roman"/>
        </w:rPr>
        <w:t>ших растений [2].</w:t>
      </w:r>
    </w:p>
    <w:p w:rsidR="008742E9" w:rsidRDefault="008742E9" w:rsidP="008742E9">
      <w:pPr>
        <w:pStyle w:val="af5"/>
        <w:ind w:firstLine="425"/>
        <w:jc w:val="both"/>
        <w:rPr>
          <w:rFonts w:ascii="Times New Roman" w:hAnsi="Times New Roman"/>
        </w:rPr>
      </w:pPr>
      <w:r>
        <w:rPr>
          <w:rFonts w:ascii="Times New Roman" w:hAnsi="Times New Roman"/>
        </w:rPr>
        <w:t>Таким образом, фузариозно-альтернариозный комплекс в фазу всходов, выметывания метелки развивается медленно. При физи</w:t>
      </w:r>
      <w:r>
        <w:rPr>
          <w:rFonts w:ascii="Times New Roman" w:hAnsi="Times New Roman"/>
        </w:rPr>
        <w:t>о</w:t>
      </w:r>
      <w:r>
        <w:rPr>
          <w:rFonts w:ascii="Times New Roman" w:hAnsi="Times New Roman"/>
        </w:rPr>
        <w:t>логическом старении и созревании растения интенсивно поражаю</w:t>
      </w:r>
      <w:r>
        <w:rPr>
          <w:rFonts w:ascii="Times New Roman" w:hAnsi="Times New Roman"/>
        </w:rPr>
        <w:t>т</w:t>
      </w:r>
      <w:r>
        <w:rPr>
          <w:rFonts w:ascii="Times New Roman" w:hAnsi="Times New Roman"/>
        </w:rPr>
        <w:t>ся этими патогенами. Сильно поражаемыми следует считать сорта Ладожский 292 и Ладожский 391 – (85% больных). Относительно устойчивым оказался гибрид французской селекции – Бергсон (71% пораженных растений).</w:t>
      </w:r>
    </w:p>
    <w:p w:rsidR="008742E9" w:rsidRDefault="008742E9" w:rsidP="008742E9">
      <w:pPr>
        <w:pStyle w:val="af5"/>
        <w:ind w:firstLine="425"/>
        <w:jc w:val="both"/>
        <w:rPr>
          <w:rFonts w:ascii="Times New Roman" w:hAnsi="Times New Roman"/>
        </w:rPr>
      </w:pPr>
    </w:p>
    <w:p w:rsidR="008742E9" w:rsidRDefault="008742E9" w:rsidP="00E32B9C">
      <w:pPr>
        <w:pStyle w:val="af5"/>
        <w:ind w:firstLine="426"/>
        <w:jc w:val="center"/>
        <w:rPr>
          <w:rFonts w:ascii="Times New Roman" w:hAnsi="Times New Roman"/>
        </w:rPr>
      </w:pPr>
      <w:r>
        <w:rPr>
          <w:rFonts w:ascii="Times New Roman" w:hAnsi="Times New Roman"/>
        </w:rPr>
        <w:t>Список литературы</w:t>
      </w:r>
    </w:p>
    <w:p w:rsidR="008742E9" w:rsidRDefault="008742E9" w:rsidP="008742E9">
      <w:pPr>
        <w:pStyle w:val="af5"/>
        <w:ind w:firstLine="426"/>
        <w:jc w:val="both"/>
        <w:rPr>
          <w:rFonts w:ascii="Times New Roman" w:hAnsi="Times New Roman"/>
        </w:rPr>
      </w:pPr>
      <w:r>
        <w:rPr>
          <w:rFonts w:ascii="Times New Roman" w:hAnsi="Times New Roman"/>
        </w:rPr>
        <w:t>1. Сокирко В.</w:t>
      </w:r>
      <w:r w:rsidR="00E32B9C">
        <w:rPr>
          <w:rFonts w:ascii="Times New Roman" w:hAnsi="Times New Roman"/>
        </w:rPr>
        <w:t xml:space="preserve"> </w:t>
      </w:r>
      <w:r>
        <w:rPr>
          <w:rFonts w:ascii="Times New Roman" w:hAnsi="Times New Roman"/>
        </w:rPr>
        <w:t>П. Динамика возбудителей агрессивного сине</w:t>
      </w:r>
      <w:r>
        <w:rPr>
          <w:rFonts w:ascii="Times New Roman" w:hAnsi="Times New Roman"/>
        </w:rPr>
        <w:t>р</w:t>
      </w:r>
      <w:r>
        <w:rPr>
          <w:rFonts w:ascii="Times New Roman" w:hAnsi="Times New Roman"/>
        </w:rPr>
        <w:t>гизма на посевах кукурузы / В.П. Сокирко, Р.Д. Невзоров, М.В. Немченко - Х</w:t>
      </w:r>
      <w:proofErr w:type="gramStart"/>
      <w:r>
        <w:rPr>
          <w:rFonts w:ascii="Times New Roman" w:hAnsi="Times New Roman"/>
        </w:rPr>
        <w:t>I</w:t>
      </w:r>
      <w:proofErr w:type="gramEnd"/>
      <w:r>
        <w:rPr>
          <w:rFonts w:ascii="Times New Roman" w:hAnsi="Times New Roman"/>
        </w:rPr>
        <w:t xml:space="preserve"> Всероссийской конференции молодых ученых, п</w:t>
      </w:r>
      <w:r>
        <w:rPr>
          <w:rFonts w:ascii="Times New Roman" w:hAnsi="Times New Roman"/>
        </w:rPr>
        <w:t>о</w:t>
      </w:r>
      <w:r>
        <w:rPr>
          <w:rFonts w:ascii="Times New Roman" w:hAnsi="Times New Roman"/>
        </w:rPr>
        <w:t>священной 95-летию Кубанского ГАУ и 80-летию со дня образов</w:t>
      </w:r>
      <w:r>
        <w:rPr>
          <w:rFonts w:ascii="Times New Roman" w:hAnsi="Times New Roman"/>
        </w:rPr>
        <w:t>а</w:t>
      </w:r>
      <w:r>
        <w:rPr>
          <w:rFonts w:ascii="Times New Roman" w:hAnsi="Times New Roman"/>
        </w:rPr>
        <w:t>ния Краснодарского края / КубГАУ,2017.- С. 202-203.</w:t>
      </w:r>
    </w:p>
    <w:p w:rsidR="008742E9" w:rsidRDefault="008742E9" w:rsidP="008742E9">
      <w:pPr>
        <w:pStyle w:val="af5"/>
        <w:ind w:firstLine="426"/>
        <w:jc w:val="both"/>
        <w:rPr>
          <w:rFonts w:ascii="Times New Roman" w:hAnsi="Times New Roman"/>
        </w:rPr>
      </w:pPr>
      <w:r>
        <w:rPr>
          <w:rFonts w:ascii="Times New Roman" w:hAnsi="Times New Roman"/>
        </w:rPr>
        <w:t>2. Сокирко В. П. Особенности развития представителей «агре</w:t>
      </w:r>
      <w:r>
        <w:rPr>
          <w:rFonts w:ascii="Times New Roman" w:hAnsi="Times New Roman"/>
        </w:rPr>
        <w:t>с</w:t>
      </w:r>
      <w:r>
        <w:rPr>
          <w:rFonts w:ascii="Times New Roman" w:hAnsi="Times New Roman"/>
        </w:rPr>
        <w:t>сивного синергизма» полифагов рода Fusarium spp. Schlecht и Alternaria Nees на Кубани / В.П. Сокирко., М.В. Немченко. – 73-я научно-практическая конференция преподавателей /  КубГАУ,2018. – С. 77-78.</w:t>
      </w:r>
    </w:p>
    <w:p w:rsidR="008742E9" w:rsidRDefault="008742E9" w:rsidP="008742E9">
      <w:pPr>
        <w:pStyle w:val="af5"/>
        <w:ind w:firstLine="426"/>
        <w:rPr>
          <w:rFonts w:ascii="Times New Roman" w:hAnsi="Times New Roman"/>
        </w:rPr>
      </w:pPr>
      <w:r>
        <w:rPr>
          <w:rFonts w:ascii="Times New Roman" w:hAnsi="Times New Roman"/>
        </w:rPr>
        <w:t>3. Сокирко В.</w:t>
      </w:r>
      <w:r w:rsidR="00E32B9C">
        <w:rPr>
          <w:rFonts w:ascii="Times New Roman" w:hAnsi="Times New Roman"/>
        </w:rPr>
        <w:t xml:space="preserve"> </w:t>
      </w:r>
      <w:r>
        <w:rPr>
          <w:rFonts w:ascii="Times New Roman" w:hAnsi="Times New Roman"/>
        </w:rPr>
        <w:t>П. Фузариозный инфекционный фон в ризосфере кукурузы на зерно / В.П. Сокирко, М.В. Немченко // Труды КубГАУ. – Вып. №1 (58), 2016 – С. 208 - 215.</w:t>
      </w:r>
    </w:p>
    <w:p w:rsidR="008742E9" w:rsidRDefault="008742E9" w:rsidP="008742E9">
      <w:pPr>
        <w:pStyle w:val="af5"/>
        <w:ind w:firstLine="426"/>
        <w:jc w:val="both"/>
        <w:rPr>
          <w:rFonts w:ascii="Times New Roman" w:hAnsi="Times New Roman"/>
        </w:rPr>
      </w:pPr>
      <w:r>
        <w:rPr>
          <w:rFonts w:ascii="Times New Roman" w:hAnsi="Times New Roman"/>
        </w:rPr>
        <w:t xml:space="preserve">4. Сокирко В. П. Фузариозно-сапротрофный комплекс в ценозе кукурузы на </w:t>
      </w:r>
      <w:proofErr w:type="gramStart"/>
      <w:r>
        <w:rPr>
          <w:rFonts w:ascii="Times New Roman" w:hAnsi="Times New Roman"/>
        </w:rPr>
        <w:t>черноземе</w:t>
      </w:r>
      <w:proofErr w:type="gramEnd"/>
      <w:r>
        <w:rPr>
          <w:rFonts w:ascii="Times New Roman" w:hAnsi="Times New Roman"/>
        </w:rPr>
        <w:t xml:space="preserve"> выщелоченном Центральной зоны Красн</w:t>
      </w:r>
      <w:r>
        <w:rPr>
          <w:rFonts w:ascii="Times New Roman" w:hAnsi="Times New Roman"/>
        </w:rPr>
        <w:t>о</w:t>
      </w:r>
      <w:r>
        <w:rPr>
          <w:rFonts w:ascii="Times New Roman" w:hAnsi="Times New Roman"/>
        </w:rPr>
        <w:t>дарского края/ В.П. Сокирко, М.В. Немченко, А.А Балян - IX Вс</w:t>
      </w:r>
      <w:r>
        <w:rPr>
          <w:rFonts w:ascii="Times New Roman" w:hAnsi="Times New Roman"/>
        </w:rPr>
        <w:t>е</w:t>
      </w:r>
      <w:r>
        <w:rPr>
          <w:rFonts w:ascii="Times New Roman" w:hAnsi="Times New Roman"/>
        </w:rPr>
        <w:lastRenderedPageBreak/>
        <w:t>российской конференции молодых ученых, посвященной 75-летию В. М. Шевцова / КубГАУ,2016.- С. 219-220.</w:t>
      </w:r>
    </w:p>
    <w:p w:rsidR="008742E9" w:rsidRDefault="008742E9" w:rsidP="008742E9">
      <w:pPr>
        <w:pStyle w:val="af5"/>
        <w:ind w:firstLine="426"/>
        <w:jc w:val="both"/>
        <w:rPr>
          <w:rFonts w:ascii="Times New Roman" w:hAnsi="Times New Roman"/>
        </w:rPr>
      </w:pPr>
    </w:p>
    <w:p w:rsidR="00E32B9C" w:rsidRDefault="00E32B9C" w:rsidP="008742E9">
      <w:pPr>
        <w:pStyle w:val="af5"/>
        <w:ind w:firstLine="426"/>
        <w:jc w:val="both"/>
        <w:rPr>
          <w:rFonts w:ascii="Times New Roman" w:hAnsi="Times New Roman"/>
        </w:rPr>
      </w:pPr>
    </w:p>
    <w:p w:rsidR="00E32B9C" w:rsidRPr="00E32B9C" w:rsidRDefault="00E32B9C" w:rsidP="00E32B9C">
      <w:pPr>
        <w:rPr>
          <w:rFonts w:eastAsia="Calibri"/>
          <w:sz w:val="22"/>
          <w:szCs w:val="22"/>
          <w:lang w:eastAsia="en-US"/>
        </w:rPr>
      </w:pPr>
    </w:p>
    <w:p w:rsidR="008742E9" w:rsidRPr="00E32B9C" w:rsidRDefault="008742E9" w:rsidP="008742E9">
      <w:pPr>
        <w:rPr>
          <w:bCs/>
          <w:sz w:val="22"/>
          <w:szCs w:val="22"/>
        </w:rPr>
      </w:pPr>
      <w:r w:rsidRPr="00E32B9C">
        <w:rPr>
          <w:bCs/>
          <w:sz w:val="22"/>
          <w:szCs w:val="22"/>
        </w:rPr>
        <w:t>УДК 631.51:633.15:631.455.4</w:t>
      </w:r>
    </w:p>
    <w:p w:rsidR="008742E9" w:rsidRPr="008742E9" w:rsidRDefault="008742E9" w:rsidP="008742E9">
      <w:pPr>
        <w:ind w:firstLine="425"/>
        <w:rPr>
          <w:b/>
          <w:bCs/>
          <w:sz w:val="20"/>
          <w:szCs w:val="20"/>
        </w:rPr>
      </w:pPr>
    </w:p>
    <w:p w:rsidR="008742E9" w:rsidRPr="008742E9" w:rsidRDefault="008742E9" w:rsidP="008742E9">
      <w:pPr>
        <w:ind w:firstLine="425"/>
        <w:jc w:val="center"/>
        <w:rPr>
          <w:b/>
          <w:bCs/>
          <w:sz w:val="24"/>
          <w:szCs w:val="24"/>
        </w:rPr>
      </w:pPr>
      <w:r w:rsidRPr="008742E9">
        <w:rPr>
          <w:b/>
          <w:bCs/>
          <w:sz w:val="24"/>
          <w:szCs w:val="24"/>
        </w:rPr>
        <w:t xml:space="preserve">Влияние систем обработки почвы и применения </w:t>
      </w:r>
      <w:r w:rsidR="00E32B9C">
        <w:rPr>
          <w:b/>
          <w:bCs/>
          <w:sz w:val="24"/>
          <w:szCs w:val="24"/>
        </w:rPr>
        <w:br/>
      </w:r>
      <w:r w:rsidRPr="008742E9">
        <w:rPr>
          <w:b/>
          <w:bCs/>
          <w:sz w:val="24"/>
          <w:szCs w:val="24"/>
        </w:rPr>
        <w:t>минеральных удобрений при возделывании кукурузы на зерно на свойства чернозема выщелоченного</w:t>
      </w:r>
    </w:p>
    <w:p w:rsidR="008742E9" w:rsidRPr="008742E9" w:rsidRDefault="008742E9" w:rsidP="008742E9">
      <w:pPr>
        <w:ind w:firstLine="425"/>
        <w:jc w:val="center"/>
        <w:rPr>
          <w:b/>
          <w:bCs/>
          <w:sz w:val="24"/>
          <w:szCs w:val="24"/>
          <w:lang w:val="en-US"/>
        </w:rPr>
      </w:pPr>
      <w:r w:rsidRPr="008742E9">
        <w:rPr>
          <w:b/>
          <w:bCs/>
          <w:sz w:val="24"/>
          <w:szCs w:val="24"/>
          <w:lang w:val="en-US"/>
        </w:rPr>
        <w:t>Influence</w:t>
      </w:r>
      <w:r w:rsidRPr="00E32B9C">
        <w:rPr>
          <w:b/>
          <w:bCs/>
          <w:sz w:val="24"/>
          <w:szCs w:val="24"/>
          <w:lang w:val="en-US"/>
        </w:rPr>
        <w:t xml:space="preserve"> </w:t>
      </w:r>
      <w:r w:rsidRPr="008742E9">
        <w:rPr>
          <w:b/>
          <w:bCs/>
          <w:sz w:val="24"/>
          <w:szCs w:val="24"/>
          <w:lang w:val="en-US"/>
        </w:rPr>
        <w:t>of</w:t>
      </w:r>
      <w:r w:rsidRPr="00E32B9C">
        <w:rPr>
          <w:b/>
          <w:bCs/>
          <w:sz w:val="24"/>
          <w:szCs w:val="24"/>
          <w:lang w:val="en-US"/>
        </w:rPr>
        <w:t xml:space="preserve"> </w:t>
      </w:r>
      <w:r w:rsidRPr="008742E9">
        <w:rPr>
          <w:b/>
          <w:bCs/>
          <w:sz w:val="24"/>
          <w:szCs w:val="24"/>
          <w:lang w:val="en-US"/>
        </w:rPr>
        <w:t>soil</w:t>
      </w:r>
      <w:r w:rsidRPr="00E32B9C">
        <w:rPr>
          <w:b/>
          <w:bCs/>
          <w:sz w:val="24"/>
          <w:szCs w:val="24"/>
          <w:lang w:val="en-US"/>
        </w:rPr>
        <w:t xml:space="preserve"> </w:t>
      </w:r>
      <w:r w:rsidRPr="008742E9">
        <w:rPr>
          <w:b/>
          <w:bCs/>
          <w:sz w:val="24"/>
          <w:szCs w:val="24"/>
          <w:lang w:val="en-US"/>
        </w:rPr>
        <w:t>processing</w:t>
      </w:r>
      <w:r w:rsidRPr="00E32B9C">
        <w:rPr>
          <w:b/>
          <w:bCs/>
          <w:sz w:val="24"/>
          <w:szCs w:val="24"/>
          <w:lang w:val="en-US"/>
        </w:rPr>
        <w:t xml:space="preserve"> </w:t>
      </w:r>
      <w:r w:rsidRPr="008742E9">
        <w:rPr>
          <w:b/>
          <w:bCs/>
          <w:sz w:val="24"/>
          <w:szCs w:val="24"/>
          <w:lang w:val="en-US"/>
        </w:rPr>
        <w:t>systems</w:t>
      </w:r>
      <w:r w:rsidRPr="00E32B9C">
        <w:rPr>
          <w:b/>
          <w:bCs/>
          <w:sz w:val="24"/>
          <w:szCs w:val="24"/>
          <w:lang w:val="en-US"/>
        </w:rPr>
        <w:t xml:space="preserve"> </w:t>
      </w:r>
      <w:r w:rsidRPr="008742E9">
        <w:rPr>
          <w:b/>
          <w:bCs/>
          <w:sz w:val="24"/>
          <w:szCs w:val="24"/>
          <w:lang w:val="en-US"/>
        </w:rPr>
        <w:t>and</w:t>
      </w:r>
      <w:r w:rsidRPr="00E32B9C">
        <w:rPr>
          <w:b/>
          <w:bCs/>
          <w:sz w:val="24"/>
          <w:szCs w:val="24"/>
          <w:lang w:val="en-US"/>
        </w:rPr>
        <w:t xml:space="preserve"> </w:t>
      </w:r>
      <w:r w:rsidRPr="008742E9">
        <w:rPr>
          <w:b/>
          <w:bCs/>
          <w:sz w:val="24"/>
          <w:szCs w:val="24"/>
          <w:lang w:val="en-US"/>
        </w:rPr>
        <w:t>use</w:t>
      </w:r>
      <w:r w:rsidRPr="00E32B9C">
        <w:rPr>
          <w:b/>
          <w:bCs/>
          <w:sz w:val="24"/>
          <w:szCs w:val="24"/>
          <w:lang w:val="en-US"/>
        </w:rPr>
        <w:t xml:space="preserve"> </w:t>
      </w:r>
      <w:r w:rsidRPr="008742E9">
        <w:rPr>
          <w:b/>
          <w:bCs/>
          <w:sz w:val="24"/>
          <w:szCs w:val="24"/>
          <w:lang w:val="en-US"/>
        </w:rPr>
        <w:t>of</w:t>
      </w:r>
      <w:r w:rsidRPr="00E32B9C">
        <w:rPr>
          <w:b/>
          <w:bCs/>
          <w:sz w:val="24"/>
          <w:szCs w:val="24"/>
          <w:lang w:val="en-US"/>
        </w:rPr>
        <w:t xml:space="preserve"> </w:t>
      </w:r>
      <w:r w:rsidRPr="008742E9">
        <w:rPr>
          <w:b/>
          <w:bCs/>
          <w:sz w:val="24"/>
          <w:szCs w:val="24"/>
          <w:lang w:val="en-US"/>
        </w:rPr>
        <w:t>mineral</w:t>
      </w:r>
      <w:r w:rsidRPr="00E32B9C">
        <w:rPr>
          <w:b/>
          <w:bCs/>
          <w:sz w:val="24"/>
          <w:szCs w:val="24"/>
          <w:lang w:val="en-US"/>
        </w:rPr>
        <w:t xml:space="preserve"> </w:t>
      </w:r>
      <w:r w:rsidR="00E32B9C" w:rsidRPr="00E32B9C">
        <w:rPr>
          <w:b/>
          <w:bCs/>
          <w:sz w:val="24"/>
          <w:szCs w:val="24"/>
          <w:lang w:val="en-US"/>
        </w:rPr>
        <w:br/>
      </w:r>
      <w:r w:rsidRPr="008742E9">
        <w:rPr>
          <w:b/>
          <w:bCs/>
          <w:sz w:val="24"/>
          <w:szCs w:val="24"/>
          <w:lang w:val="en-US"/>
        </w:rPr>
        <w:t>fertilizers</w:t>
      </w:r>
      <w:r w:rsidRPr="00E32B9C">
        <w:rPr>
          <w:b/>
          <w:bCs/>
          <w:sz w:val="24"/>
          <w:szCs w:val="24"/>
          <w:lang w:val="en-US"/>
        </w:rPr>
        <w:t xml:space="preserve"> </w:t>
      </w:r>
      <w:r w:rsidRPr="008742E9">
        <w:rPr>
          <w:b/>
          <w:bCs/>
          <w:sz w:val="24"/>
          <w:szCs w:val="24"/>
          <w:lang w:val="en-US"/>
        </w:rPr>
        <w:t>under</w:t>
      </w:r>
      <w:r w:rsidRPr="00E32B9C">
        <w:rPr>
          <w:b/>
          <w:bCs/>
          <w:sz w:val="24"/>
          <w:szCs w:val="24"/>
          <w:lang w:val="en-US"/>
        </w:rPr>
        <w:t xml:space="preserve"> </w:t>
      </w:r>
      <w:r w:rsidRPr="008742E9">
        <w:rPr>
          <w:b/>
          <w:bCs/>
          <w:sz w:val="24"/>
          <w:szCs w:val="24"/>
          <w:lang w:val="en-US"/>
        </w:rPr>
        <w:t>the</w:t>
      </w:r>
      <w:r w:rsidRPr="00E32B9C">
        <w:rPr>
          <w:b/>
          <w:bCs/>
          <w:sz w:val="24"/>
          <w:szCs w:val="24"/>
          <w:lang w:val="en-US"/>
        </w:rPr>
        <w:t xml:space="preserve"> </w:t>
      </w:r>
      <w:r w:rsidRPr="008742E9">
        <w:rPr>
          <w:b/>
          <w:bCs/>
          <w:sz w:val="24"/>
          <w:szCs w:val="24"/>
          <w:lang w:val="en-US"/>
        </w:rPr>
        <w:t>coloring</w:t>
      </w:r>
      <w:r w:rsidRPr="00E32B9C">
        <w:rPr>
          <w:b/>
          <w:bCs/>
          <w:sz w:val="24"/>
          <w:szCs w:val="24"/>
          <w:lang w:val="en-US"/>
        </w:rPr>
        <w:t xml:space="preserve"> </w:t>
      </w:r>
      <w:r w:rsidRPr="008742E9">
        <w:rPr>
          <w:b/>
          <w:bCs/>
          <w:sz w:val="24"/>
          <w:szCs w:val="24"/>
          <w:lang w:val="en-US"/>
        </w:rPr>
        <w:t>of</w:t>
      </w:r>
      <w:r w:rsidRPr="00E32B9C">
        <w:rPr>
          <w:b/>
          <w:bCs/>
          <w:sz w:val="24"/>
          <w:szCs w:val="24"/>
          <w:lang w:val="en-US"/>
        </w:rPr>
        <w:t xml:space="preserve"> </w:t>
      </w:r>
      <w:r w:rsidRPr="008742E9">
        <w:rPr>
          <w:b/>
          <w:bCs/>
          <w:sz w:val="24"/>
          <w:szCs w:val="24"/>
          <w:lang w:val="en-US"/>
        </w:rPr>
        <w:t>corn</w:t>
      </w:r>
      <w:r w:rsidRPr="00E32B9C">
        <w:rPr>
          <w:b/>
          <w:bCs/>
          <w:sz w:val="24"/>
          <w:szCs w:val="24"/>
          <w:lang w:val="en-US"/>
        </w:rPr>
        <w:t xml:space="preserve"> </w:t>
      </w:r>
      <w:r w:rsidRPr="008742E9">
        <w:rPr>
          <w:b/>
          <w:bCs/>
          <w:sz w:val="24"/>
          <w:szCs w:val="24"/>
          <w:lang w:val="en-US"/>
        </w:rPr>
        <w:t>on</w:t>
      </w:r>
      <w:r w:rsidRPr="00E32B9C">
        <w:rPr>
          <w:b/>
          <w:bCs/>
          <w:sz w:val="24"/>
          <w:szCs w:val="24"/>
          <w:lang w:val="en-US"/>
        </w:rPr>
        <w:t xml:space="preserve"> </w:t>
      </w:r>
      <w:r w:rsidRPr="008742E9">
        <w:rPr>
          <w:b/>
          <w:bCs/>
          <w:sz w:val="24"/>
          <w:szCs w:val="24"/>
          <w:lang w:val="en-US"/>
        </w:rPr>
        <w:t>grain</w:t>
      </w:r>
      <w:r w:rsidRPr="00E32B9C">
        <w:rPr>
          <w:b/>
          <w:bCs/>
          <w:sz w:val="24"/>
          <w:szCs w:val="24"/>
          <w:lang w:val="en-US"/>
        </w:rPr>
        <w:t xml:space="preserve"> </w:t>
      </w:r>
      <w:r w:rsidRPr="008742E9">
        <w:rPr>
          <w:b/>
          <w:bCs/>
          <w:sz w:val="24"/>
          <w:szCs w:val="24"/>
          <w:lang w:val="en-US"/>
        </w:rPr>
        <w:t>to</w:t>
      </w:r>
      <w:r w:rsidRPr="00E32B9C">
        <w:rPr>
          <w:b/>
          <w:bCs/>
          <w:sz w:val="24"/>
          <w:szCs w:val="24"/>
          <w:lang w:val="en-US"/>
        </w:rPr>
        <w:t xml:space="preserve"> </w:t>
      </w:r>
      <w:r w:rsidRPr="008742E9">
        <w:rPr>
          <w:b/>
          <w:bCs/>
          <w:sz w:val="24"/>
          <w:szCs w:val="24"/>
          <w:lang w:val="en-US"/>
        </w:rPr>
        <w:t>the</w:t>
      </w:r>
      <w:r w:rsidRPr="00E32B9C">
        <w:rPr>
          <w:b/>
          <w:bCs/>
          <w:sz w:val="24"/>
          <w:szCs w:val="24"/>
          <w:lang w:val="en-US"/>
        </w:rPr>
        <w:t xml:space="preserve"> </w:t>
      </w:r>
      <w:r w:rsidRPr="008742E9">
        <w:rPr>
          <w:b/>
          <w:bCs/>
          <w:sz w:val="24"/>
          <w:szCs w:val="24"/>
          <w:lang w:val="en-US"/>
        </w:rPr>
        <w:t>properties</w:t>
      </w:r>
      <w:r w:rsidRPr="00E32B9C">
        <w:rPr>
          <w:b/>
          <w:bCs/>
          <w:sz w:val="24"/>
          <w:szCs w:val="24"/>
          <w:lang w:val="en-US"/>
        </w:rPr>
        <w:t xml:space="preserve"> </w:t>
      </w:r>
      <w:r w:rsidRPr="008742E9">
        <w:rPr>
          <w:b/>
          <w:bCs/>
          <w:sz w:val="24"/>
          <w:szCs w:val="24"/>
          <w:lang w:val="en-US"/>
        </w:rPr>
        <w:t>of</w:t>
      </w:r>
      <w:r w:rsidRPr="00E32B9C">
        <w:rPr>
          <w:b/>
          <w:bCs/>
          <w:sz w:val="24"/>
          <w:szCs w:val="24"/>
          <w:lang w:val="en-US"/>
        </w:rPr>
        <w:t xml:space="preserve"> </w:t>
      </w:r>
      <w:r w:rsidRPr="008742E9">
        <w:rPr>
          <w:b/>
          <w:bCs/>
          <w:sz w:val="24"/>
          <w:szCs w:val="24"/>
          <w:lang w:val="en-US"/>
        </w:rPr>
        <w:t xml:space="preserve">chernozem of liquefied </w:t>
      </w:r>
    </w:p>
    <w:p w:rsidR="008742E9" w:rsidRPr="008742E9" w:rsidRDefault="008742E9" w:rsidP="008742E9">
      <w:pPr>
        <w:ind w:firstLine="425"/>
        <w:jc w:val="center"/>
        <w:rPr>
          <w:b/>
          <w:bCs/>
          <w:sz w:val="24"/>
          <w:szCs w:val="24"/>
          <w:lang w:val="en-US"/>
        </w:rPr>
      </w:pPr>
    </w:p>
    <w:p w:rsidR="008742E9" w:rsidRPr="008742E9" w:rsidRDefault="00E32B9C" w:rsidP="008742E9">
      <w:pPr>
        <w:ind w:firstLine="425"/>
        <w:jc w:val="right"/>
        <w:rPr>
          <w:bCs/>
          <w:sz w:val="22"/>
          <w:szCs w:val="22"/>
        </w:rPr>
      </w:pPr>
      <w:r>
        <w:rPr>
          <w:bCs/>
          <w:sz w:val="22"/>
          <w:szCs w:val="22"/>
        </w:rPr>
        <w:t>Пузанова В. А.,</w:t>
      </w:r>
    </w:p>
    <w:p w:rsidR="008742E9" w:rsidRPr="008742E9" w:rsidRDefault="008742E9" w:rsidP="008742E9">
      <w:pPr>
        <w:ind w:firstLine="425"/>
        <w:jc w:val="right"/>
        <w:rPr>
          <w:bCs/>
          <w:sz w:val="22"/>
          <w:szCs w:val="22"/>
        </w:rPr>
      </w:pPr>
      <w:r w:rsidRPr="008742E9">
        <w:rPr>
          <w:bCs/>
          <w:sz w:val="22"/>
          <w:szCs w:val="22"/>
        </w:rPr>
        <w:t>магистрант 2 года обучения</w:t>
      </w:r>
    </w:p>
    <w:p w:rsidR="008742E9" w:rsidRPr="008742E9" w:rsidRDefault="008742E9" w:rsidP="008742E9">
      <w:pPr>
        <w:ind w:firstLine="425"/>
        <w:jc w:val="right"/>
        <w:rPr>
          <w:bCs/>
          <w:sz w:val="22"/>
          <w:szCs w:val="22"/>
        </w:rPr>
      </w:pPr>
      <w:r w:rsidRPr="008742E9">
        <w:rPr>
          <w:bCs/>
          <w:sz w:val="22"/>
          <w:szCs w:val="22"/>
        </w:rPr>
        <w:t xml:space="preserve"> факультета агрохимии и защиты р</w:t>
      </w:r>
      <w:r w:rsidR="00E32B9C">
        <w:rPr>
          <w:bCs/>
          <w:sz w:val="22"/>
          <w:szCs w:val="22"/>
        </w:rPr>
        <w:t>астений</w:t>
      </w:r>
    </w:p>
    <w:p w:rsidR="008742E9" w:rsidRPr="008742E9" w:rsidRDefault="008742E9" w:rsidP="008742E9">
      <w:pPr>
        <w:ind w:firstLine="425"/>
        <w:jc w:val="right"/>
        <w:rPr>
          <w:bCs/>
          <w:sz w:val="22"/>
          <w:szCs w:val="22"/>
        </w:rPr>
      </w:pPr>
      <w:r w:rsidRPr="008742E9">
        <w:rPr>
          <w:bCs/>
          <w:sz w:val="22"/>
          <w:szCs w:val="22"/>
        </w:rPr>
        <w:t>Подколзин О. А.,</w:t>
      </w:r>
    </w:p>
    <w:p w:rsidR="008742E9" w:rsidRPr="008742E9" w:rsidRDefault="00E32B9C" w:rsidP="008742E9">
      <w:pPr>
        <w:ind w:firstLine="425"/>
        <w:jc w:val="right"/>
        <w:rPr>
          <w:bCs/>
          <w:sz w:val="22"/>
          <w:szCs w:val="22"/>
        </w:rPr>
      </w:pPr>
      <w:r>
        <w:rPr>
          <w:bCs/>
          <w:sz w:val="22"/>
          <w:szCs w:val="22"/>
        </w:rPr>
        <w:t xml:space="preserve"> доцент кафедры почвоведения,</w:t>
      </w:r>
    </w:p>
    <w:p w:rsidR="008742E9" w:rsidRPr="008742E9" w:rsidRDefault="008742E9" w:rsidP="008742E9">
      <w:pPr>
        <w:ind w:firstLine="425"/>
        <w:jc w:val="right"/>
        <w:rPr>
          <w:bCs/>
          <w:sz w:val="22"/>
          <w:szCs w:val="22"/>
        </w:rPr>
      </w:pPr>
      <w:r w:rsidRPr="008742E9">
        <w:rPr>
          <w:bCs/>
          <w:sz w:val="22"/>
          <w:szCs w:val="22"/>
        </w:rPr>
        <w:t>доктор с.-х. наук</w:t>
      </w:r>
    </w:p>
    <w:p w:rsidR="008742E9" w:rsidRPr="008742E9" w:rsidRDefault="008742E9" w:rsidP="008742E9">
      <w:pPr>
        <w:ind w:firstLine="425"/>
        <w:jc w:val="right"/>
        <w:rPr>
          <w:bCs/>
          <w:sz w:val="22"/>
          <w:szCs w:val="22"/>
        </w:rPr>
      </w:pPr>
      <w:r w:rsidRPr="008742E9">
        <w:rPr>
          <w:bCs/>
          <w:sz w:val="22"/>
          <w:szCs w:val="22"/>
        </w:rPr>
        <w:t>Куб</w:t>
      </w:r>
      <w:r w:rsidR="00E32B9C">
        <w:rPr>
          <w:bCs/>
          <w:sz w:val="22"/>
          <w:szCs w:val="22"/>
        </w:rPr>
        <w:t>анский государственный аграрный</w:t>
      </w:r>
    </w:p>
    <w:p w:rsidR="008742E9" w:rsidRPr="008742E9" w:rsidRDefault="008742E9" w:rsidP="008742E9">
      <w:pPr>
        <w:tabs>
          <w:tab w:val="left" w:pos="5670"/>
        </w:tabs>
        <w:ind w:firstLine="425"/>
        <w:jc w:val="right"/>
        <w:rPr>
          <w:bCs/>
          <w:sz w:val="22"/>
          <w:szCs w:val="22"/>
        </w:rPr>
      </w:pPr>
      <w:r w:rsidRPr="008742E9">
        <w:rPr>
          <w:bCs/>
          <w:sz w:val="22"/>
          <w:szCs w:val="22"/>
        </w:rPr>
        <w:t xml:space="preserve">                            университет имени И. Т. Трубилина</w:t>
      </w:r>
    </w:p>
    <w:p w:rsidR="008742E9" w:rsidRPr="008742E9" w:rsidRDefault="008742E9" w:rsidP="008742E9">
      <w:pPr>
        <w:ind w:firstLine="425"/>
        <w:jc w:val="right"/>
        <w:rPr>
          <w:bCs/>
          <w:sz w:val="22"/>
          <w:szCs w:val="22"/>
        </w:rPr>
      </w:pPr>
    </w:p>
    <w:p w:rsidR="008742E9" w:rsidRPr="008742E9" w:rsidRDefault="008742E9" w:rsidP="008742E9">
      <w:pPr>
        <w:ind w:firstLine="425"/>
        <w:jc w:val="both"/>
        <w:rPr>
          <w:bCs/>
          <w:sz w:val="22"/>
          <w:szCs w:val="22"/>
        </w:rPr>
      </w:pPr>
      <w:r w:rsidRPr="008742E9">
        <w:rPr>
          <w:bCs/>
          <w:sz w:val="22"/>
          <w:szCs w:val="22"/>
        </w:rPr>
        <w:t xml:space="preserve">АННОТАЦИЯ: Кукуруза на зерно является одной из ведущих культур Краснодарского края. При этом одним из путей получения высоких урожаев является правильная подборка обработки почвы и сбалансированное питание минеральными веществами. </w:t>
      </w:r>
      <w:r w:rsidRPr="008742E9">
        <w:rPr>
          <w:bCs/>
          <w:sz w:val="22"/>
          <w:szCs w:val="22"/>
        </w:rPr>
        <w:tab/>
      </w:r>
    </w:p>
    <w:p w:rsidR="008742E9" w:rsidRPr="008742E9" w:rsidRDefault="008742E9" w:rsidP="008742E9">
      <w:pPr>
        <w:ind w:firstLine="425"/>
        <w:jc w:val="both"/>
        <w:rPr>
          <w:bCs/>
          <w:sz w:val="22"/>
          <w:szCs w:val="22"/>
          <w:lang w:val="en-US"/>
        </w:rPr>
      </w:pPr>
      <w:r w:rsidRPr="008742E9">
        <w:rPr>
          <w:bCs/>
          <w:sz w:val="22"/>
          <w:szCs w:val="22"/>
          <w:lang w:val="en-US"/>
        </w:rPr>
        <w:t>ABSTRACT: Maize for grain is one of the leading crops of the Krasnodar Territory. In this case, one of the ways to obtain high yields is a proper selection of soil cultivation and balanced nutrition with mineral substances.</w:t>
      </w:r>
    </w:p>
    <w:p w:rsidR="008742E9" w:rsidRPr="008742E9" w:rsidRDefault="008742E9" w:rsidP="008742E9">
      <w:pPr>
        <w:ind w:firstLine="425"/>
        <w:jc w:val="both"/>
        <w:rPr>
          <w:bCs/>
          <w:sz w:val="22"/>
          <w:szCs w:val="22"/>
        </w:rPr>
      </w:pPr>
      <w:r w:rsidRPr="008742E9">
        <w:rPr>
          <w:bCs/>
          <w:sz w:val="22"/>
          <w:szCs w:val="22"/>
        </w:rPr>
        <w:t>КЛЮЧЕВЫЕ СЛОВА: Кукуруза на зерно, плодородие, черн</w:t>
      </w:r>
      <w:r w:rsidRPr="008742E9">
        <w:rPr>
          <w:bCs/>
          <w:sz w:val="22"/>
          <w:szCs w:val="22"/>
        </w:rPr>
        <w:t>о</w:t>
      </w:r>
      <w:r w:rsidRPr="008742E9">
        <w:rPr>
          <w:bCs/>
          <w:sz w:val="22"/>
          <w:szCs w:val="22"/>
        </w:rPr>
        <w:t>зем выщелоченный, обработка почвы.</w:t>
      </w:r>
    </w:p>
    <w:p w:rsidR="008742E9" w:rsidRPr="008742E9" w:rsidRDefault="008742E9" w:rsidP="008742E9">
      <w:pPr>
        <w:ind w:firstLine="425"/>
        <w:jc w:val="both"/>
        <w:rPr>
          <w:bCs/>
          <w:sz w:val="22"/>
          <w:szCs w:val="22"/>
          <w:lang w:val="en-US"/>
        </w:rPr>
      </w:pPr>
      <w:r w:rsidRPr="008742E9">
        <w:rPr>
          <w:bCs/>
          <w:sz w:val="22"/>
          <w:szCs w:val="22"/>
          <w:lang w:val="en-US"/>
        </w:rPr>
        <w:t>KEY WORDS: Corn for grain, fertility, leached chernozem, soil cultivation.</w:t>
      </w:r>
    </w:p>
    <w:p w:rsidR="008742E9" w:rsidRPr="008742E9" w:rsidRDefault="008742E9" w:rsidP="008742E9">
      <w:pPr>
        <w:ind w:firstLine="425"/>
        <w:jc w:val="both"/>
        <w:rPr>
          <w:bCs/>
          <w:sz w:val="22"/>
          <w:szCs w:val="22"/>
          <w:lang w:val="en-US"/>
        </w:rPr>
      </w:pPr>
    </w:p>
    <w:p w:rsidR="008742E9" w:rsidRPr="008742E9" w:rsidRDefault="008742E9" w:rsidP="008742E9">
      <w:pPr>
        <w:ind w:firstLine="425"/>
        <w:jc w:val="both"/>
        <w:rPr>
          <w:bCs/>
          <w:sz w:val="22"/>
          <w:szCs w:val="22"/>
        </w:rPr>
      </w:pPr>
      <w:r w:rsidRPr="008742E9">
        <w:rPr>
          <w:bCs/>
          <w:sz w:val="22"/>
          <w:szCs w:val="22"/>
        </w:rPr>
        <w:lastRenderedPageBreak/>
        <w:t>При интенсивном возделывании сельскохозяйственных кул</w:t>
      </w:r>
      <w:r w:rsidRPr="008742E9">
        <w:rPr>
          <w:bCs/>
          <w:sz w:val="22"/>
          <w:szCs w:val="22"/>
        </w:rPr>
        <w:t>ь</w:t>
      </w:r>
      <w:r w:rsidRPr="008742E9">
        <w:rPr>
          <w:bCs/>
          <w:sz w:val="22"/>
          <w:szCs w:val="22"/>
        </w:rPr>
        <w:t>ту</w:t>
      </w:r>
      <w:r w:rsidR="004D104A">
        <w:rPr>
          <w:bCs/>
          <w:sz w:val="22"/>
          <w:szCs w:val="22"/>
        </w:rPr>
        <w:t>р необходимым условием является</w:t>
      </w:r>
      <w:r w:rsidRPr="008742E9">
        <w:rPr>
          <w:bCs/>
          <w:sz w:val="22"/>
          <w:szCs w:val="22"/>
        </w:rPr>
        <w:t xml:space="preserve"> изучение и разработка научно-обоснованных приемов воспроизводства и повышения плодородия почв, эффективного использования удобрений в сочетании с друг</w:t>
      </w:r>
      <w:r w:rsidRPr="008742E9">
        <w:rPr>
          <w:bCs/>
          <w:sz w:val="22"/>
          <w:szCs w:val="22"/>
        </w:rPr>
        <w:t>и</w:t>
      </w:r>
      <w:r w:rsidRPr="008742E9">
        <w:rPr>
          <w:bCs/>
          <w:sz w:val="22"/>
          <w:szCs w:val="22"/>
        </w:rPr>
        <w:t>ми средствами химизации земледелия при различных технологиях возделывания сельскохозяйственных культур в севообороте, обе</w:t>
      </w:r>
      <w:r w:rsidRPr="008742E9">
        <w:rPr>
          <w:bCs/>
          <w:sz w:val="22"/>
          <w:szCs w:val="22"/>
        </w:rPr>
        <w:t>с</w:t>
      </w:r>
      <w:r w:rsidRPr="008742E9">
        <w:rPr>
          <w:bCs/>
          <w:sz w:val="22"/>
          <w:szCs w:val="22"/>
        </w:rPr>
        <w:t>печивающих повышение их урожайности и качества с одновреме</w:t>
      </w:r>
      <w:r w:rsidRPr="008742E9">
        <w:rPr>
          <w:bCs/>
          <w:sz w:val="22"/>
          <w:szCs w:val="22"/>
        </w:rPr>
        <w:t>н</w:t>
      </w:r>
      <w:r w:rsidRPr="008742E9">
        <w:rPr>
          <w:bCs/>
          <w:sz w:val="22"/>
          <w:szCs w:val="22"/>
        </w:rPr>
        <w:t>ным удовлетворением пр</w:t>
      </w:r>
      <w:r w:rsidR="00E32B9C">
        <w:rPr>
          <w:bCs/>
          <w:sz w:val="22"/>
          <w:szCs w:val="22"/>
        </w:rPr>
        <w:t xml:space="preserve">иродоохранных требований. </w:t>
      </w:r>
      <w:r w:rsidRPr="008742E9">
        <w:rPr>
          <w:bCs/>
          <w:sz w:val="22"/>
          <w:szCs w:val="22"/>
        </w:rPr>
        <w:t>Применяемые технологии возделывания кукурузы на зерно требуют больших м</w:t>
      </w:r>
      <w:r w:rsidRPr="008742E9">
        <w:rPr>
          <w:bCs/>
          <w:sz w:val="22"/>
          <w:szCs w:val="22"/>
        </w:rPr>
        <w:t>а</w:t>
      </w:r>
      <w:r w:rsidRPr="008742E9">
        <w:rPr>
          <w:bCs/>
          <w:sz w:val="22"/>
          <w:szCs w:val="22"/>
        </w:rPr>
        <w:t>териальных затрат и не в полной мере отвечают современным эк</w:t>
      </w:r>
      <w:r w:rsidRPr="008742E9">
        <w:rPr>
          <w:bCs/>
          <w:sz w:val="22"/>
          <w:szCs w:val="22"/>
        </w:rPr>
        <w:t>о</w:t>
      </w:r>
      <w:r w:rsidRPr="008742E9">
        <w:rPr>
          <w:bCs/>
          <w:sz w:val="22"/>
          <w:szCs w:val="22"/>
        </w:rPr>
        <w:t>логическим требованиям Подготовка почвы к посеву осуществляе</w:t>
      </w:r>
      <w:r w:rsidRPr="008742E9">
        <w:rPr>
          <w:bCs/>
          <w:sz w:val="22"/>
          <w:szCs w:val="22"/>
        </w:rPr>
        <w:t>т</w:t>
      </w:r>
      <w:r w:rsidRPr="008742E9">
        <w:rPr>
          <w:bCs/>
          <w:sz w:val="22"/>
          <w:szCs w:val="22"/>
        </w:rPr>
        <w:t>ся посредством многократных проходов по полю машин и орудий. При этом почва подвергается интенсивному измельчению и расп</w:t>
      </w:r>
      <w:r w:rsidRPr="008742E9">
        <w:rPr>
          <w:bCs/>
          <w:sz w:val="22"/>
          <w:szCs w:val="22"/>
        </w:rPr>
        <w:t>ы</w:t>
      </w:r>
      <w:r w:rsidRPr="008742E9">
        <w:rPr>
          <w:bCs/>
          <w:sz w:val="22"/>
          <w:szCs w:val="22"/>
        </w:rPr>
        <w:t>лению [3].</w:t>
      </w:r>
    </w:p>
    <w:p w:rsidR="008742E9" w:rsidRPr="008742E9" w:rsidRDefault="008742E9" w:rsidP="008742E9">
      <w:pPr>
        <w:ind w:firstLine="425"/>
        <w:jc w:val="both"/>
        <w:rPr>
          <w:bCs/>
          <w:sz w:val="22"/>
          <w:szCs w:val="22"/>
        </w:rPr>
      </w:pPr>
      <w:r w:rsidRPr="008742E9">
        <w:rPr>
          <w:bCs/>
          <w:sz w:val="22"/>
          <w:szCs w:val="22"/>
        </w:rPr>
        <w:t>Основной целью настоящей работы являлось изучение влияния различных технологий возделывания кукурузы на зерно на свойства чернозема выщелоченного опытного поля КНИИСХ им. П.П. Лук</w:t>
      </w:r>
      <w:r w:rsidRPr="008742E9">
        <w:rPr>
          <w:bCs/>
          <w:sz w:val="22"/>
          <w:szCs w:val="22"/>
        </w:rPr>
        <w:t>ь</w:t>
      </w:r>
      <w:r w:rsidRPr="008742E9">
        <w:rPr>
          <w:bCs/>
          <w:sz w:val="22"/>
          <w:szCs w:val="22"/>
        </w:rPr>
        <w:t>яненко.</w:t>
      </w:r>
    </w:p>
    <w:p w:rsidR="008742E9" w:rsidRPr="008742E9" w:rsidRDefault="008742E9" w:rsidP="008742E9">
      <w:pPr>
        <w:ind w:firstLine="425"/>
        <w:jc w:val="both"/>
        <w:rPr>
          <w:bCs/>
          <w:sz w:val="22"/>
          <w:szCs w:val="22"/>
        </w:rPr>
      </w:pPr>
      <w:r w:rsidRPr="008742E9">
        <w:rPr>
          <w:bCs/>
          <w:sz w:val="22"/>
          <w:szCs w:val="22"/>
        </w:rPr>
        <w:t>Полевые исследования проводились на опытном поле № 92 а</w:t>
      </w:r>
      <w:r w:rsidRPr="008742E9">
        <w:rPr>
          <w:bCs/>
          <w:sz w:val="22"/>
          <w:szCs w:val="22"/>
        </w:rPr>
        <w:t>г</w:t>
      </w:r>
      <w:r w:rsidRPr="008742E9">
        <w:rPr>
          <w:bCs/>
          <w:sz w:val="22"/>
          <w:szCs w:val="22"/>
        </w:rPr>
        <w:t xml:space="preserve">ротехнологического отдела КНИИСХ им. П.П. Лукьяненко в июле 2016 года. Объектом исследований являлся </w:t>
      </w:r>
      <w:proofErr w:type="gramStart"/>
      <w:r w:rsidRPr="008742E9">
        <w:rPr>
          <w:bCs/>
          <w:sz w:val="22"/>
          <w:szCs w:val="22"/>
        </w:rPr>
        <w:t>чернозем</w:t>
      </w:r>
      <w:proofErr w:type="gramEnd"/>
      <w:r w:rsidRPr="008742E9">
        <w:rPr>
          <w:bCs/>
          <w:sz w:val="22"/>
          <w:szCs w:val="22"/>
        </w:rPr>
        <w:t xml:space="preserve"> выщелоче</w:t>
      </w:r>
      <w:r w:rsidRPr="008742E9">
        <w:rPr>
          <w:bCs/>
          <w:sz w:val="22"/>
          <w:szCs w:val="22"/>
        </w:rPr>
        <w:t>н</w:t>
      </w:r>
      <w:r w:rsidRPr="008742E9">
        <w:rPr>
          <w:bCs/>
          <w:sz w:val="22"/>
          <w:szCs w:val="22"/>
        </w:rPr>
        <w:t>ный слабогумусный сверхмощный легкоглинистый, сформирова</w:t>
      </w:r>
      <w:r w:rsidRPr="008742E9">
        <w:rPr>
          <w:bCs/>
          <w:sz w:val="22"/>
          <w:szCs w:val="22"/>
        </w:rPr>
        <w:t>в</w:t>
      </w:r>
      <w:r w:rsidRPr="008742E9">
        <w:rPr>
          <w:bCs/>
          <w:sz w:val="22"/>
          <w:szCs w:val="22"/>
        </w:rPr>
        <w:t>шийся на лессовидной легкой глине.</w:t>
      </w:r>
    </w:p>
    <w:p w:rsidR="008742E9" w:rsidRPr="008742E9" w:rsidRDefault="008742E9" w:rsidP="008742E9">
      <w:pPr>
        <w:ind w:firstLine="425"/>
        <w:jc w:val="both"/>
        <w:rPr>
          <w:bCs/>
          <w:sz w:val="22"/>
          <w:szCs w:val="22"/>
        </w:rPr>
      </w:pPr>
      <w:r w:rsidRPr="008742E9">
        <w:rPr>
          <w:bCs/>
          <w:sz w:val="22"/>
          <w:szCs w:val="22"/>
        </w:rPr>
        <w:t>Схема размещения делянок на опытном поле при возделывании кукурузы на зерно гибрида «Краснодарский 385 МВ» при разли</w:t>
      </w:r>
      <w:r w:rsidRPr="008742E9">
        <w:rPr>
          <w:bCs/>
          <w:sz w:val="22"/>
          <w:szCs w:val="22"/>
        </w:rPr>
        <w:t>ч</w:t>
      </w:r>
      <w:r w:rsidRPr="008742E9">
        <w:rPr>
          <w:bCs/>
          <w:sz w:val="22"/>
          <w:szCs w:val="22"/>
        </w:rPr>
        <w:t>ных системах обработки почвы в 2016 г.:</w:t>
      </w:r>
    </w:p>
    <w:p w:rsidR="008742E9" w:rsidRPr="008742E9" w:rsidRDefault="008742E9" w:rsidP="008742E9">
      <w:pPr>
        <w:ind w:firstLine="425"/>
        <w:jc w:val="both"/>
        <w:rPr>
          <w:bCs/>
          <w:sz w:val="22"/>
          <w:szCs w:val="22"/>
        </w:rPr>
      </w:pPr>
      <w:r w:rsidRPr="008742E9">
        <w:rPr>
          <w:bCs/>
          <w:sz w:val="22"/>
          <w:szCs w:val="22"/>
        </w:rPr>
        <w:t>1. Фон N60P60K60 (контрольный вариант);</w:t>
      </w:r>
    </w:p>
    <w:p w:rsidR="008742E9" w:rsidRPr="008742E9" w:rsidRDefault="008742E9" w:rsidP="008742E9">
      <w:pPr>
        <w:ind w:firstLine="425"/>
        <w:jc w:val="both"/>
        <w:rPr>
          <w:bCs/>
          <w:sz w:val="22"/>
          <w:szCs w:val="22"/>
        </w:rPr>
      </w:pPr>
      <w:r w:rsidRPr="008742E9">
        <w:rPr>
          <w:bCs/>
          <w:sz w:val="22"/>
          <w:szCs w:val="22"/>
        </w:rPr>
        <w:t>2. Фон+N30в подкормку;</w:t>
      </w:r>
    </w:p>
    <w:p w:rsidR="008742E9" w:rsidRPr="008742E9" w:rsidRDefault="008742E9" w:rsidP="008742E9">
      <w:pPr>
        <w:ind w:firstLine="425"/>
        <w:jc w:val="both"/>
        <w:rPr>
          <w:bCs/>
          <w:sz w:val="22"/>
          <w:szCs w:val="22"/>
        </w:rPr>
      </w:pPr>
      <w:r w:rsidRPr="008742E9">
        <w:rPr>
          <w:bCs/>
          <w:sz w:val="22"/>
          <w:szCs w:val="22"/>
        </w:rPr>
        <w:t>3. Фон + гумат калия 1л/га;</w:t>
      </w:r>
    </w:p>
    <w:p w:rsidR="008742E9" w:rsidRPr="008742E9" w:rsidRDefault="008742E9" w:rsidP="008742E9">
      <w:pPr>
        <w:ind w:firstLine="425"/>
        <w:jc w:val="both"/>
        <w:rPr>
          <w:bCs/>
          <w:sz w:val="22"/>
          <w:szCs w:val="22"/>
        </w:rPr>
      </w:pPr>
      <w:r w:rsidRPr="008742E9">
        <w:rPr>
          <w:bCs/>
          <w:sz w:val="22"/>
          <w:szCs w:val="22"/>
        </w:rPr>
        <w:t>4. Фон+ N30+ гумат калия 1л/га.</w:t>
      </w:r>
    </w:p>
    <w:p w:rsidR="008742E9" w:rsidRPr="008742E9" w:rsidRDefault="008742E9" w:rsidP="008742E9">
      <w:pPr>
        <w:ind w:firstLine="425"/>
        <w:jc w:val="both"/>
        <w:rPr>
          <w:bCs/>
          <w:sz w:val="22"/>
          <w:szCs w:val="22"/>
        </w:rPr>
      </w:pPr>
      <w:r w:rsidRPr="008742E9">
        <w:rPr>
          <w:bCs/>
          <w:sz w:val="22"/>
          <w:szCs w:val="22"/>
        </w:rPr>
        <w:t>На указанных в схеме вариантах было пробурено 8 скважин буром Неговелова. Образцы почвы отбирались в делянках после уборки кукурузы на зерно через каждые 20 см (0-20, 20-40 см). О</w:t>
      </w:r>
      <w:r w:rsidRPr="008742E9">
        <w:rPr>
          <w:bCs/>
          <w:sz w:val="22"/>
          <w:szCs w:val="22"/>
        </w:rPr>
        <w:t>б</w:t>
      </w:r>
      <w:r w:rsidRPr="008742E9">
        <w:rPr>
          <w:bCs/>
          <w:sz w:val="22"/>
          <w:szCs w:val="22"/>
        </w:rPr>
        <w:t>щая площадь делянки – 66 м</w:t>
      </w:r>
      <w:proofErr w:type="gramStart"/>
      <w:r w:rsidRPr="008742E9">
        <w:rPr>
          <w:bCs/>
          <w:sz w:val="22"/>
          <w:szCs w:val="22"/>
          <w:vertAlign w:val="superscript"/>
        </w:rPr>
        <w:t>2</w:t>
      </w:r>
      <w:proofErr w:type="gramEnd"/>
      <w:r w:rsidRPr="008742E9">
        <w:rPr>
          <w:bCs/>
          <w:sz w:val="22"/>
          <w:szCs w:val="22"/>
          <w:vertAlign w:val="superscript"/>
        </w:rPr>
        <w:t xml:space="preserve"> </w:t>
      </w:r>
      <w:r w:rsidRPr="008742E9">
        <w:rPr>
          <w:bCs/>
          <w:sz w:val="22"/>
          <w:szCs w:val="22"/>
        </w:rPr>
        <w:t>(6х11 м).</w:t>
      </w:r>
    </w:p>
    <w:p w:rsidR="008742E9" w:rsidRPr="008742E9" w:rsidRDefault="008742E9" w:rsidP="008742E9">
      <w:pPr>
        <w:ind w:firstLine="425"/>
        <w:jc w:val="both"/>
        <w:rPr>
          <w:bCs/>
          <w:sz w:val="22"/>
          <w:szCs w:val="22"/>
        </w:rPr>
      </w:pPr>
      <w:r w:rsidRPr="008742E9">
        <w:rPr>
          <w:bCs/>
          <w:sz w:val="22"/>
          <w:szCs w:val="22"/>
        </w:rPr>
        <w:t>Разработанные в Краснодарском НИИ новые технологии во</w:t>
      </w:r>
      <w:r w:rsidRPr="008742E9">
        <w:rPr>
          <w:bCs/>
          <w:sz w:val="22"/>
          <w:szCs w:val="22"/>
        </w:rPr>
        <w:t>з</w:t>
      </w:r>
      <w:r w:rsidRPr="008742E9">
        <w:rPr>
          <w:bCs/>
          <w:sz w:val="22"/>
          <w:szCs w:val="22"/>
        </w:rPr>
        <w:t xml:space="preserve">делывания кукурузы на зерно проверялись в лабораторно-полевых и производственных условиях, как в опытных хозяйствах </w:t>
      </w:r>
      <w:proofErr w:type="gramStart"/>
      <w:r w:rsidRPr="008742E9">
        <w:rPr>
          <w:bCs/>
          <w:sz w:val="22"/>
          <w:szCs w:val="22"/>
        </w:rPr>
        <w:t>института</w:t>
      </w:r>
      <w:proofErr w:type="gramEnd"/>
      <w:r w:rsidRPr="008742E9">
        <w:rPr>
          <w:bCs/>
          <w:sz w:val="22"/>
          <w:szCs w:val="22"/>
        </w:rPr>
        <w:t xml:space="preserve"> так и на кафедре почвоведения Кубанского ГАУ. Главный оцено</w:t>
      </w:r>
      <w:r w:rsidRPr="008742E9">
        <w:rPr>
          <w:bCs/>
          <w:sz w:val="22"/>
          <w:szCs w:val="22"/>
        </w:rPr>
        <w:t>ч</w:t>
      </w:r>
      <w:r w:rsidRPr="008742E9">
        <w:rPr>
          <w:bCs/>
          <w:sz w:val="22"/>
          <w:szCs w:val="22"/>
        </w:rPr>
        <w:lastRenderedPageBreak/>
        <w:t>ный показатель технологий - полученная урожайность зерна. Кроме того, определялись и другие показатели, характеризующие состо</w:t>
      </w:r>
      <w:r w:rsidRPr="008742E9">
        <w:rPr>
          <w:bCs/>
          <w:sz w:val="22"/>
          <w:szCs w:val="22"/>
        </w:rPr>
        <w:t>я</w:t>
      </w:r>
      <w:r w:rsidRPr="008742E9">
        <w:rPr>
          <w:bCs/>
          <w:sz w:val="22"/>
          <w:szCs w:val="22"/>
        </w:rPr>
        <w:t>ние почвы, а именно:</w:t>
      </w:r>
    </w:p>
    <w:p w:rsidR="008742E9" w:rsidRPr="008742E9" w:rsidRDefault="008742E9" w:rsidP="008742E9">
      <w:pPr>
        <w:jc w:val="both"/>
        <w:rPr>
          <w:bCs/>
          <w:sz w:val="22"/>
          <w:szCs w:val="22"/>
        </w:rPr>
      </w:pPr>
      <w:r w:rsidRPr="008742E9">
        <w:rPr>
          <w:bCs/>
          <w:sz w:val="22"/>
          <w:szCs w:val="22"/>
        </w:rPr>
        <w:t>– гумус по Тюрину в модификации Симакова;</w:t>
      </w:r>
    </w:p>
    <w:p w:rsidR="008742E9" w:rsidRPr="008742E9" w:rsidRDefault="008742E9" w:rsidP="008742E9">
      <w:pPr>
        <w:jc w:val="both"/>
        <w:rPr>
          <w:bCs/>
          <w:sz w:val="22"/>
          <w:szCs w:val="22"/>
        </w:rPr>
      </w:pPr>
      <w:r w:rsidRPr="008742E9">
        <w:rPr>
          <w:bCs/>
          <w:sz w:val="22"/>
          <w:szCs w:val="22"/>
        </w:rPr>
        <w:t>– сумма поглощенных оснований по Каппену-Гильковицу;</w:t>
      </w:r>
    </w:p>
    <w:p w:rsidR="008742E9" w:rsidRPr="008742E9" w:rsidRDefault="008742E9" w:rsidP="008742E9">
      <w:pPr>
        <w:jc w:val="both"/>
        <w:rPr>
          <w:bCs/>
          <w:sz w:val="22"/>
          <w:szCs w:val="22"/>
        </w:rPr>
      </w:pPr>
      <w:r w:rsidRPr="008742E9">
        <w:rPr>
          <w:bCs/>
          <w:sz w:val="22"/>
          <w:szCs w:val="22"/>
        </w:rPr>
        <w:t>– гидролитическая кислотность по Каппену;</w:t>
      </w:r>
    </w:p>
    <w:p w:rsidR="008742E9" w:rsidRPr="008742E9" w:rsidRDefault="008742E9" w:rsidP="008742E9">
      <w:pPr>
        <w:jc w:val="both"/>
        <w:rPr>
          <w:bCs/>
          <w:sz w:val="22"/>
          <w:szCs w:val="22"/>
        </w:rPr>
      </w:pPr>
      <w:r w:rsidRPr="008742E9">
        <w:rPr>
          <w:bCs/>
          <w:sz w:val="22"/>
          <w:szCs w:val="22"/>
        </w:rPr>
        <w:t>– кислотность почвы (рН) водной и солевой суспензии потенци</w:t>
      </w:r>
      <w:r w:rsidRPr="008742E9">
        <w:rPr>
          <w:bCs/>
          <w:sz w:val="22"/>
          <w:szCs w:val="22"/>
        </w:rPr>
        <w:t>о</w:t>
      </w:r>
      <w:r w:rsidRPr="008742E9">
        <w:rPr>
          <w:bCs/>
          <w:sz w:val="22"/>
          <w:szCs w:val="22"/>
        </w:rPr>
        <w:t>метрическим методом;</w:t>
      </w:r>
    </w:p>
    <w:p w:rsidR="008742E9" w:rsidRPr="008742E9" w:rsidRDefault="008742E9" w:rsidP="008742E9">
      <w:pPr>
        <w:jc w:val="both"/>
        <w:rPr>
          <w:bCs/>
          <w:sz w:val="22"/>
          <w:szCs w:val="22"/>
        </w:rPr>
      </w:pPr>
      <w:r w:rsidRPr="008742E9">
        <w:rPr>
          <w:bCs/>
          <w:sz w:val="22"/>
          <w:szCs w:val="22"/>
        </w:rPr>
        <w:t>– емкость катионного обмена и степень насыщенность почв основ</w:t>
      </w:r>
      <w:r w:rsidRPr="008742E9">
        <w:rPr>
          <w:bCs/>
          <w:sz w:val="22"/>
          <w:szCs w:val="22"/>
        </w:rPr>
        <w:t>а</w:t>
      </w:r>
      <w:r w:rsidRPr="008742E9">
        <w:rPr>
          <w:bCs/>
          <w:sz w:val="22"/>
          <w:szCs w:val="22"/>
        </w:rPr>
        <w:t>ниями расчетным методом.</w:t>
      </w:r>
    </w:p>
    <w:p w:rsidR="008742E9" w:rsidRPr="008742E9" w:rsidRDefault="008742E9" w:rsidP="008742E9">
      <w:pPr>
        <w:ind w:firstLine="425"/>
        <w:jc w:val="both"/>
        <w:rPr>
          <w:bCs/>
          <w:sz w:val="22"/>
          <w:szCs w:val="22"/>
        </w:rPr>
      </w:pPr>
      <w:r w:rsidRPr="008742E9">
        <w:rPr>
          <w:bCs/>
          <w:sz w:val="22"/>
          <w:szCs w:val="22"/>
        </w:rPr>
        <w:t>В результате исследований изменения физико-химических свойств почвы при традиционной обработке было выявлено, что содержание гумуса в пахотном горизонте колебалось от 3,61% до 3,97%. Наибольшее содержание отмечалось на вариантах с прим</w:t>
      </w:r>
      <w:r w:rsidRPr="008742E9">
        <w:rPr>
          <w:bCs/>
          <w:sz w:val="22"/>
          <w:szCs w:val="22"/>
        </w:rPr>
        <w:t>е</w:t>
      </w:r>
      <w:r w:rsidRPr="008742E9">
        <w:rPr>
          <w:bCs/>
          <w:sz w:val="22"/>
          <w:szCs w:val="22"/>
        </w:rPr>
        <w:t>нением минеральных удобрений и гумата калия. Так же, на этих вариантах было получено высокое значении pH( 6,6-6,8) и суммы поглощенных катионов – 32,3 и 30,9 мг</w:t>
      </w:r>
      <w:proofErr w:type="gramStart"/>
      <w:r w:rsidRPr="008742E9">
        <w:rPr>
          <w:bCs/>
          <w:sz w:val="22"/>
          <w:szCs w:val="22"/>
        </w:rPr>
        <w:t>.-</w:t>
      </w:r>
      <w:proofErr w:type="gramEnd"/>
      <w:r w:rsidRPr="008742E9">
        <w:rPr>
          <w:bCs/>
          <w:sz w:val="22"/>
          <w:szCs w:val="22"/>
        </w:rPr>
        <w:t>экв. на 100 г. почвы. Также пропорционально изменяются сумма поглощенных оснований и степень насыщенности почвы основаниями</w:t>
      </w:r>
    </w:p>
    <w:p w:rsidR="008742E9" w:rsidRPr="008742E9" w:rsidRDefault="008742E9" w:rsidP="008742E9">
      <w:pPr>
        <w:ind w:firstLine="425"/>
        <w:jc w:val="both"/>
        <w:rPr>
          <w:bCs/>
          <w:sz w:val="22"/>
          <w:szCs w:val="22"/>
        </w:rPr>
      </w:pPr>
      <w:r w:rsidRPr="008742E9">
        <w:rPr>
          <w:bCs/>
          <w:sz w:val="22"/>
          <w:szCs w:val="22"/>
        </w:rPr>
        <w:t>При поверхностной обработке почвы при возделывании кук</w:t>
      </w:r>
      <w:r w:rsidRPr="008742E9">
        <w:rPr>
          <w:bCs/>
          <w:sz w:val="22"/>
          <w:szCs w:val="22"/>
        </w:rPr>
        <w:t>у</w:t>
      </w:r>
      <w:r w:rsidRPr="008742E9">
        <w:rPr>
          <w:bCs/>
          <w:sz w:val="22"/>
          <w:szCs w:val="22"/>
        </w:rPr>
        <w:t>рузы на зерно, были так же отмечены высокие результаты показат</w:t>
      </w:r>
      <w:r w:rsidRPr="008742E9">
        <w:rPr>
          <w:bCs/>
          <w:sz w:val="22"/>
          <w:szCs w:val="22"/>
        </w:rPr>
        <w:t>е</w:t>
      </w:r>
      <w:r w:rsidRPr="008742E9">
        <w:rPr>
          <w:bCs/>
          <w:sz w:val="22"/>
          <w:szCs w:val="22"/>
        </w:rPr>
        <w:t>лей гумуса (3,67%, 3,80%), pH (66,8, 6,9), и суммы поглощенных оснований (31,9-32,8 мг</w:t>
      </w:r>
      <w:proofErr w:type="gramStart"/>
      <w:r w:rsidRPr="008742E9">
        <w:rPr>
          <w:bCs/>
          <w:sz w:val="22"/>
          <w:szCs w:val="22"/>
        </w:rPr>
        <w:t>.-</w:t>
      </w:r>
      <w:proofErr w:type="gramEnd"/>
      <w:r w:rsidRPr="008742E9">
        <w:rPr>
          <w:bCs/>
          <w:sz w:val="22"/>
          <w:szCs w:val="22"/>
        </w:rPr>
        <w:t>экв. на 100 г. почвы), а, следовательно, п</w:t>
      </w:r>
      <w:r w:rsidRPr="008742E9">
        <w:rPr>
          <w:bCs/>
          <w:sz w:val="22"/>
          <w:szCs w:val="22"/>
        </w:rPr>
        <w:t>о</w:t>
      </w:r>
      <w:r w:rsidRPr="008742E9">
        <w:rPr>
          <w:bCs/>
          <w:sz w:val="22"/>
          <w:szCs w:val="22"/>
        </w:rPr>
        <w:t>казатели емкости катионного обмена (35,0-35,3 мг.-экв. на 100 г. почвы) и степень насыщенности почвы основаниями.</w:t>
      </w:r>
    </w:p>
    <w:p w:rsidR="008742E9" w:rsidRPr="008742E9" w:rsidRDefault="008742E9" w:rsidP="008742E9">
      <w:pPr>
        <w:ind w:firstLine="425"/>
        <w:jc w:val="both"/>
        <w:rPr>
          <w:bCs/>
          <w:sz w:val="22"/>
          <w:szCs w:val="22"/>
        </w:rPr>
      </w:pPr>
      <w:r w:rsidRPr="008742E9">
        <w:rPr>
          <w:bCs/>
          <w:sz w:val="22"/>
          <w:szCs w:val="22"/>
        </w:rPr>
        <w:t>Использование минеральных удобрений и гумата калия при различных системах обработки почвы способствует стабилизации почвенно-поглощающего комплекса и улучшению агрохимических свойств чернозема выщелоченного при возделывании кукурузы на зерно.</w:t>
      </w:r>
    </w:p>
    <w:p w:rsidR="008742E9" w:rsidRPr="008742E9" w:rsidRDefault="008742E9" w:rsidP="008742E9">
      <w:pPr>
        <w:ind w:firstLine="425"/>
        <w:rPr>
          <w:b/>
          <w:bCs/>
          <w:sz w:val="22"/>
          <w:szCs w:val="22"/>
        </w:rPr>
      </w:pPr>
    </w:p>
    <w:p w:rsidR="008742E9" w:rsidRPr="008742E9" w:rsidRDefault="008742E9" w:rsidP="008742E9">
      <w:pPr>
        <w:ind w:firstLine="425"/>
        <w:jc w:val="center"/>
        <w:rPr>
          <w:bCs/>
          <w:sz w:val="22"/>
          <w:szCs w:val="22"/>
        </w:rPr>
      </w:pPr>
      <w:r w:rsidRPr="008742E9">
        <w:rPr>
          <w:bCs/>
          <w:sz w:val="22"/>
          <w:szCs w:val="22"/>
        </w:rPr>
        <w:t>Список литературы</w:t>
      </w:r>
    </w:p>
    <w:p w:rsidR="008742E9" w:rsidRPr="008742E9" w:rsidRDefault="008742E9" w:rsidP="008742E9">
      <w:pPr>
        <w:ind w:firstLine="425"/>
        <w:jc w:val="both"/>
        <w:rPr>
          <w:bCs/>
          <w:sz w:val="22"/>
          <w:szCs w:val="22"/>
        </w:rPr>
      </w:pPr>
      <w:r w:rsidRPr="008742E9">
        <w:rPr>
          <w:bCs/>
          <w:sz w:val="22"/>
          <w:szCs w:val="22"/>
        </w:rPr>
        <w:t>1. Агроэкологический мониторинг в земледелии Краснодарск</w:t>
      </w:r>
      <w:r w:rsidRPr="008742E9">
        <w:rPr>
          <w:bCs/>
          <w:sz w:val="22"/>
          <w:szCs w:val="22"/>
        </w:rPr>
        <w:t>о</w:t>
      </w:r>
      <w:r w:rsidRPr="008742E9">
        <w:rPr>
          <w:bCs/>
          <w:sz w:val="22"/>
          <w:szCs w:val="22"/>
        </w:rPr>
        <w:t>го края (выпуск второй) / Под общ</w:t>
      </w:r>
      <w:proofErr w:type="gramStart"/>
      <w:r w:rsidRPr="008742E9">
        <w:rPr>
          <w:bCs/>
          <w:sz w:val="22"/>
          <w:szCs w:val="22"/>
        </w:rPr>
        <w:t>.</w:t>
      </w:r>
      <w:proofErr w:type="gramEnd"/>
      <w:r w:rsidRPr="008742E9">
        <w:rPr>
          <w:bCs/>
          <w:sz w:val="22"/>
          <w:szCs w:val="22"/>
        </w:rPr>
        <w:t xml:space="preserve"> </w:t>
      </w:r>
      <w:proofErr w:type="gramStart"/>
      <w:r w:rsidRPr="008742E9">
        <w:rPr>
          <w:bCs/>
          <w:sz w:val="22"/>
          <w:szCs w:val="22"/>
        </w:rPr>
        <w:t>р</w:t>
      </w:r>
      <w:proofErr w:type="gramEnd"/>
      <w:r w:rsidRPr="008742E9">
        <w:rPr>
          <w:bCs/>
          <w:sz w:val="22"/>
          <w:szCs w:val="22"/>
        </w:rPr>
        <w:t>едакцией И. Т. Трубилина // Краснодар, 2002. – 284с.</w:t>
      </w:r>
    </w:p>
    <w:p w:rsidR="008742E9" w:rsidRPr="008742E9" w:rsidRDefault="008742E9" w:rsidP="008742E9">
      <w:pPr>
        <w:ind w:firstLine="425"/>
        <w:jc w:val="both"/>
        <w:rPr>
          <w:bCs/>
          <w:sz w:val="22"/>
          <w:szCs w:val="22"/>
        </w:rPr>
      </w:pPr>
      <w:r w:rsidRPr="008742E9">
        <w:rPr>
          <w:bCs/>
          <w:sz w:val="22"/>
          <w:szCs w:val="22"/>
        </w:rPr>
        <w:t>2. Вальков В. Ф. Почвы Краснодарского края, их использов</w:t>
      </w:r>
      <w:r w:rsidRPr="008742E9">
        <w:rPr>
          <w:bCs/>
          <w:sz w:val="22"/>
          <w:szCs w:val="22"/>
        </w:rPr>
        <w:t>а</w:t>
      </w:r>
      <w:r w:rsidRPr="008742E9">
        <w:rPr>
          <w:bCs/>
          <w:sz w:val="22"/>
          <w:szCs w:val="22"/>
        </w:rPr>
        <w:t xml:space="preserve">ние и охрана/ В. Ф. Вальков, Ю. А.  Штомпель, И. Т. Трубилин, Н. </w:t>
      </w:r>
      <w:r w:rsidRPr="008742E9">
        <w:rPr>
          <w:bCs/>
          <w:sz w:val="22"/>
          <w:szCs w:val="22"/>
        </w:rPr>
        <w:lastRenderedPageBreak/>
        <w:t>С. Котляров, Г. М. Соляник // Ростов-на-Дону: Изд-во СКНЦ ВШ, 1996. – 192с.</w:t>
      </w:r>
    </w:p>
    <w:p w:rsidR="008742E9" w:rsidRPr="003460EE" w:rsidRDefault="008742E9" w:rsidP="008742E9">
      <w:pPr>
        <w:ind w:firstLine="425"/>
        <w:jc w:val="both"/>
        <w:rPr>
          <w:bCs/>
          <w:sz w:val="22"/>
          <w:szCs w:val="22"/>
        </w:rPr>
      </w:pPr>
      <w:r w:rsidRPr="008742E9">
        <w:rPr>
          <w:bCs/>
          <w:sz w:val="22"/>
          <w:szCs w:val="22"/>
        </w:rPr>
        <w:t>3. Научные основы повышения плодородия почв и продукти</w:t>
      </w:r>
      <w:r w:rsidRPr="008742E9">
        <w:rPr>
          <w:bCs/>
          <w:sz w:val="22"/>
          <w:szCs w:val="22"/>
        </w:rPr>
        <w:t>в</w:t>
      </w:r>
      <w:r w:rsidRPr="008742E9">
        <w:rPr>
          <w:bCs/>
          <w:sz w:val="22"/>
          <w:szCs w:val="22"/>
        </w:rPr>
        <w:t>ности сельскохозяйственных культур нам Кубани: монография / А.А. Романенко, М.Х. Ширинян, В.М. Кильдюшкин и др. – Красн</w:t>
      </w:r>
      <w:r w:rsidRPr="008742E9">
        <w:rPr>
          <w:bCs/>
          <w:sz w:val="22"/>
          <w:szCs w:val="22"/>
        </w:rPr>
        <w:t>о</w:t>
      </w:r>
      <w:r w:rsidRPr="008742E9">
        <w:rPr>
          <w:bCs/>
          <w:sz w:val="22"/>
          <w:szCs w:val="22"/>
        </w:rPr>
        <w:t>дар: КНИИСХ. 2010. – 167</w:t>
      </w:r>
      <w:r w:rsidRPr="008742E9">
        <w:rPr>
          <w:bCs/>
          <w:sz w:val="22"/>
          <w:szCs w:val="22"/>
          <w:lang w:val="en-US"/>
        </w:rPr>
        <w:t>c</w:t>
      </w:r>
      <w:r w:rsidRPr="003460EE">
        <w:rPr>
          <w:bCs/>
          <w:sz w:val="22"/>
          <w:szCs w:val="22"/>
        </w:rPr>
        <w:t>.</w:t>
      </w:r>
    </w:p>
    <w:p w:rsidR="008742E9" w:rsidRDefault="008742E9" w:rsidP="002D7DA5">
      <w:pPr>
        <w:pStyle w:val="31"/>
        <w:ind w:firstLine="0"/>
        <w:rPr>
          <w:rFonts w:eastAsia="Calibri"/>
          <w:sz w:val="22"/>
          <w:szCs w:val="22"/>
        </w:rPr>
      </w:pPr>
    </w:p>
    <w:p w:rsidR="002D7DA5" w:rsidRDefault="002D7DA5" w:rsidP="002D7DA5">
      <w:pPr>
        <w:tabs>
          <w:tab w:val="left" w:pos="3402"/>
          <w:tab w:val="left" w:pos="6096"/>
        </w:tabs>
        <w:rPr>
          <w:bCs/>
          <w:sz w:val="20"/>
          <w:szCs w:val="20"/>
        </w:rPr>
      </w:pPr>
    </w:p>
    <w:p w:rsidR="00A8504F" w:rsidRDefault="00A8504F" w:rsidP="002D7DA5">
      <w:pPr>
        <w:tabs>
          <w:tab w:val="left" w:pos="3402"/>
          <w:tab w:val="left" w:pos="6096"/>
        </w:tabs>
        <w:rPr>
          <w:bCs/>
          <w:sz w:val="20"/>
          <w:szCs w:val="20"/>
        </w:rPr>
      </w:pPr>
    </w:p>
    <w:p w:rsidR="008742E9" w:rsidRPr="00A8504F" w:rsidRDefault="008742E9" w:rsidP="002D7DA5">
      <w:pPr>
        <w:tabs>
          <w:tab w:val="left" w:pos="3402"/>
          <w:tab w:val="left" w:pos="6096"/>
        </w:tabs>
        <w:rPr>
          <w:bCs/>
          <w:sz w:val="22"/>
          <w:szCs w:val="22"/>
        </w:rPr>
      </w:pPr>
      <w:r w:rsidRPr="00A8504F">
        <w:rPr>
          <w:bCs/>
          <w:sz w:val="22"/>
          <w:szCs w:val="22"/>
        </w:rPr>
        <w:t>УДК 634:633.2 (470.620)</w:t>
      </w:r>
    </w:p>
    <w:p w:rsidR="008742E9" w:rsidRPr="008742E9" w:rsidRDefault="008742E9" w:rsidP="008742E9">
      <w:pPr>
        <w:tabs>
          <w:tab w:val="left" w:pos="3402"/>
          <w:tab w:val="left" w:pos="3969"/>
          <w:tab w:val="left" w:pos="4111"/>
          <w:tab w:val="left" w:pos="6096"/>
        </w:tabs>
        <w:ind w:left="-142" w:firstLine="425"/>
        <w:jc w:val="center"/>
        <w:rPr>
          <w:b/>
          <w:sz w:val="20"/>
          <w:szCs w:val="20"/>
        </w:rPr>
      </w:pPr>
    </w:p>
    <w:p w:rsidR="008742E9" w:rsidRPr="008742E9" w:rsidRDefault="008742E9" w:rsidP="002D7DA5">
      <w:pPr>
        <w:tabs>
          <w:tab w:val="left" w:pos="3402"/>
          <w:tab w:val="left" w:pos="3969"/>
          <w:tab w:val="left" w:pos="4111"/>
          <w:tab w:val="left" w:pos="6096"/>
        </w:tabs>
        <w:ind w:left="-142" w:firstLine="425"/>
        <w:jc w:val="center"/>
        <w:rPr>
          <w:b/>
          <w:sz w:val="24"/>
          <w:szCs w:val="24"/>
        </w:rPr>
      </w:pPr>
      <w:r w:rsidRPr="008742E9">
        <w:rPr>
          <w:b/>
          <w:sz w:val="24"/>
          <w:szCs w:val="24"/>
        </w:rPr>
        <w:t xml:space="preserve">Характеристика свойств луговых почв </w:t>
      </w:r>
      <w:r w:rsidR="002D7DA5">
        <w:rPr>
          <w:b/>
          <w:sz w:val="24"/>
          <w:szCs w:val="24"/>
        </w:rPr>
        <w:br/>
      </w:r>
      <w:r w:rsidRPr="008742E9">
        <w:rPr>
          <w:b/>
          <w:sz w:val="24"/>
          <w:szCs w:val="24"/>
        </w:rPr>
        <w:t xml:space="preserve">Красноармейского района </w:t>
      </w:r>
      <w:r w:rsidRPr="008742E9">
        <w:rPr>
          <w:b/>
          <w:bCs/>
          <w:sz w:val="24"/>
          <w:szCs w:val="24"/>
        </w:rPr>
        <w:t>Краснодарского края</w:t>
      </w:r>
    </w:p>
    <w:p w:rsidR="008742E9" w:rsidRPr="00863F6A" w:rsidRDefault="008742E9" w:rsidP="008742E9">
      <w:pPr>
        <w:tabs>
          <w:tab w:val="left" w:pos="3402"/>
          <w:tab w:val="left" w:pos="3969"/>
          <w:tab w:val="left" w:pos="4111"/>
          <w:tab w:val="left" w:pos="6096"/>
        </w:tabs>
        <w:ind w:left="-142" w:firstLine="425"/>
        <w:jc w:val="center"/>
        <w:rPr>
          <w:b/>
          <w:bCs/>
          <w:color w:val="000000" w:themeColor="text1"/>
          <w:sz w:val="20"/>
          <w:szCs w:val="20"/>
        </w:rPr>
      </w:pPr>
      <w:r w:rsidRPr="008742E9">
        <w:rPr>
          <w:b/>
          <w:color w:val="000000" w:themeColor="text1"/>
          <w:sz w:val="24"/>
          <w:szCs w:val="24"/>
        </w:rPr>
        <w:t>и</w:t>
      </w:r>
      <w:r w:rsidRPr="00863F6A">
        <w:rPr>
          <w:b/>
          <w:color w:val="000000" w:themeColor="text1"/>
          <w:sz w:val="24"/>
          <w:szCs w:val="24"/>
        </w:rPr>
        <w:t xml:space="preserve"> </w:t>
      </w:r>
      <w:r w:rsidRPr="008742E9">
        <w:rPr>
          <w:b/>
          <w:color w:val="000000" w:themeColor="text1"/>
          <w:sz w:val="24"/>
          <w:szCs w:val="24"/>
        </w:rPr>
        <w:t>их</w:t>
      </w:r>
      <w:r w:rsidRPr="00863F6A">
        <w:rPr>
          <w:b/>
          <w:color w:val="000000" w:themeColor="text1"/>
          <w:sz w:val="24"/>
          <w:szCs w:val="24"/>
        </w:rPr>
        <w:t xml:space="preserve"> </w:t>
      </w:r>
      <w:r w:rsidRPr="008742E9">
        <w:rPr>
          <w:b/>
          <w:color w:val="000000" w:themeColor="text1"/>
          <w:sz w:val="24"/>
          <w:szCs w:val="24"/>
        </w:rPr>
        <w:t>садопригодность</w:t>
      </w:r>
      <w:r w:rsidRPr="00863F6A">
        <w:rPr>
          <w:b/>
          <w:color w:val="000000" w:themeColor="text1"/>
          <w:sz w:val="20"/>
          <w:szCs w:val="20"/>
        </w:rPr>
        <w:t xml:space="preserve"> </w:t>
      </w:r>
    </w:p>
    <w:p w:rsidR="008742E9" w:rsidRPr="003C00E9" w:rsidRDefault="008742E9" w:rsidP="008742E9">
      <w:pPr>
        <w:tabs>
          <w:tab w:val="left" w:pos="3402"/>
          <w:tab w:val="left" w:pos="6096"/>
        </w:tabs>
        <w:ind w:left="-142" w:firstLine="425"/>
        <w:jc w:val="center"/>
        <w:rPr>
          <w:b/>
          <w:bCs/>
          <w:color w:val="000000" w:themeColor="text1"/>
          <w:sz w:val="24"/>
          <w:szCs w:val="24"/>
          <w:lang w:val="en-US"/>
        </w:rPr>
      </w:pPr>
      <w:r w:rsidRPr="002D7DA5">
        <w:rPr>
          <w:b/>
          <w:bCs/>
          <w:color w:val="000000" w:themeColor="text1"/>
          <w:sz w:val="24"/>
          <w:szCs w:val="24"/>
          <w:lang w:val="en-US"/>
        </w:rPr>
        <w:t>Characteristic</w:t>
      </w:r>
      <w:r w:rsidRPr="003C00E9">
        <w:rPr>
          <w:b/>
          <w:bCs/>
          <w:color w:val="000000" w:themeColor="text1"/>
          <w:sz w:val="24"/>
          <w:szCs w:val="24"/>
          <w:lang w:val="en-US"/>
        </w:rPr>
        <w:t xml:space="preserve"> </w:t>
      </w:r>
      <w:r w:rsidRPr="002D7DA5">
        <w:rPr>
          <w:b/>
          <w:bCs/>
          <w:color w:val="000000" w:themeColor="text1"/>
          <w:sz w:val="24"/>
          <w:szCs w:val="24"/>
          <w:lang w:val="en-US"/>
        </w:rPr>
        <w:t>properties</w:t>
      </w:r>
      <w:r w:rsidRPr="003C00E9">
        <w:rPr>
          <w:b/>
          <w:bCs/>
          <w:color w:val="000000" w:themeColor="text1"/>
          <w:sz w:val="24"/>
          <w:szCs w:val="24"/>
          <w:lang w:val="en-US"/>
        </w:rPr>
        <w:t xml:space="preserve"> </w:t>
      </w:r>
      <w:r w:rsidRPr="002D7DA5">
        <w:rPr>
          <w:b/>
          <w:bCs/>
          <w:color w:val="000000" w:themeColor="text1"/>
          <w:sz w:val="24"/>
          <w:szCs w:val="24"/>
          <w:lang w:val="en-US"/>
        </w:rPr>
        <w:t>of</w:t>
      </w:r>
      <w:r w:rsidRPr="003C00E9">
        <w:rPr>
          <w:b/>
          <w:bCs/>
          <w:color w:val="000000" w:themeColor="text1"/>
          <w:sz w:val="24"/>
          <w:szCs w:val="24"/>
          <w:lang w:val="en-US"/>
        </w:rPr>
        <w:t xml:space="preserve"> </w:t>
      </w:r>
      <w:r w:rsidRPr="002D7DA5">
        <w:rPr>
          <w:b/>
          <w:bCs/>
          <w:color w:val="000000" w:themeColor="text1"/>
          <w:sz w:val="24"/>
          <w:szCs w:val="24"/>
          <w:lang w:val="en-US"/>
        </w:rPr>
        <w:t>meadow</w:t>
      </w:r>
      <w:r w:rsidRPr="003C00E9">
        <w:rPr>
          <w:b/>
          <w:bCs/>
          <w:color w:val="000000" w:themeColor="text1"/>
          <w:sz w:val="24"/>
          <w:szCs w:val="24"/>
          <w:lang w:val="en-US"/>
        </w:rPr>
        <w:t xml:space="preserve"> </w:t>
      </w:r>
      <w:r w:rsidRPr="002D7DA5">
        <w:rPr>
          <w:b/>
          <w:bCs/>
          <w:color w:val="000000" w:themeColor="text1"/>
          <w:sz w:val="24"/>
          <w:szCs w:val="24"/>
          <w:lang w:val="en-US"/>
        </w:rPr>
        <w:t>soils</w:t>
      </w:r>
      <w:r w:rsidRPr="003C00E9">
        <w:rPr>
          <w:b/>
          <w:bCs/>
          <w:color w:val="000000" w:themeColor="text1"/>
          <w:sz w:val="24"/>
          <w:szCs w:val="24"/>
          <w:lang w:val="en-US"/>
        </w:rPr>
        <w:t xml:space="preserve"> </w:t>
      </w:r>
    </w:p>
    <w:p w:rsidR="008742E9" w:rsidRPr="003C00E9" w:rsidRDefault="008742E9" w:rsidP="008742E9">
      <w:pPr>
        <w:tabs>
          <w:tab w:val="left" w:pos="3402"/>
          <w:tab w:val="left" w:pos="6096"/>
        </w:tabs>
        <w:ind w:left="-142" w:firstLine="425"/>
        <w:jc w:val="center"/>
        <w:rPr>
          <w:b/>
          <w:bCs/>
          <w:color w:val="000000" w:themeColor="text1"/>
          <w:sz w:val="24"/>
          <w:szCs w:val="24"/>
          <w:lang w:val="en-US"/>
        </w:rPr>
      </w:pPr>
      <w:r w:rsidRPr="002D7DA5">
        <w:rPr>
          <w:b/>
          <w:bCs/>
          <w:color w:val="000000" w:themeColor="text1"/>
          <w:sz w:val="24"/>
          <w:szCs w:val="24"/>
          <w:lang w:val="en-US"/>
        </w:rPr>
        <w:t>Krasnoarmeysky</w:t>
      </w:r>
      <w:r w:rsidRPr="003C00E9">
        <w:rPr>
          <w:b/>
          <w:bCs/>
          <w:color w:val="000000" w:themeColor="text1"/>
          <w:sz w:val="24"/>
          <w:szCs w:val="24"/>
          <w:lang w:val="en-US"/>
        </w:rPr>
        <w:t xml:space="preserve"> </w:t>
      </w:r>
      <w:r w:rsidRPr="002D7DA5">
        <w:rPr>
          <w:b/>
          <w:bCs/>
          <w:color w:val="000000" w:themeColor="text1"/>
          <w:sz w:val="24"/>
          <w:szCs w:val="24"/>
          <w:lang w:val="en-US"/>
        </w:rPr>
        <w:t>district</w:t>
      </w:r>
      <w:r w:rsidRPr="003C00E9">
        <w:rPr>
          <w:b/>
          <w:bCs/>
          <w:color w:val="000000" w:themeColor="text1"/>
          <w:sz w:val="24"/>
          <w:szCs w:val="24"/>
          <w:lang w:val="en-US"/>
        </w:rPr>
        <w:t xml:space="preserve"> </w:t>
      </w:r>
      <w:r w:rsidRPr="002D7DA5">
        <w:rPr>
          <w:b/>
          <w:bCs/>
          <w:color w:val="000000" w:themeColor="text1"/>
          <w:sz w:val="24"/>
          <w:szCs w:val="24"/>
          <w:lang w:val="en-US"/>
        </w:rPr>
        <w:t>of</w:t>
      </w:r>
      <w:r w:rsidRPr="003C00E9">
        <w:rPr>
          <w:b/>
          <w:bCs/>
          <w:color w:val="000000" w:themeColor="text1"/>
          <w:sz w:val="24"/>
          <w:szCs w:val="24"/>
          <w:lang w:val="en-US"/>
        </w:rPr>
        <w:t xml:space="preserve"> </w:t>
      </w:r>
      <w:r w:rsidRPr="002D7DA5">
        <w:rPr>
          <w:b/>
          <w:bCs/>
          <w:color w:val="000000" w:themeColor="text1"/>
          <w:sz w:val="24"/>
          <w:szCs w:val="24"/>
          <w:lang w:val="en-US"/>
        </w:rPr>
        <w:t>Krasnodar</w:t>
      </w:r>
      <w:r w:rsidRPr="003C00E9">
        <w:rPr>
          <w:b/>
          <w:bCs/>
          <w:color w:val="000000" w:themeColor="text1"/>
          <w:sz w:val="24"/>
          <w:szCs w:val="24"/>
          <w:lang w:val="en-US"/>
        </w:rPr>
        <w:t xml:space="preserve"> </w:t>
      </w:r>
      <w:r w:rsidRPr="002D7DA5">
        <w:rPr>
          <w:b/>
          <w:bCs/>
          <w:color w:val="000000" w:themeColor="text1"/>
          <w:sz w:val="24"/>
          <w:szCs w:val="24"/>
          <w:lang w:val="en-US"/>
        </w:rPr>
        <w:t>region</w:t>
      </w:r>
    </w:p>
    <w:p w:rsidR="008742E9" w:rsidRPr="002D7DA5" w:rsidRDefault="008742E9" w:rsidP="008742E9">
      <w:pPr>
        <w:tabs>
          <w:tab w:val="left" w:pos="3402"/>
          <w:tab w:val="left" w:pos="6096"/>
        </w:tabs>
        <w:ind w:left="-142" w:firstLine="425"/>
        <w:jc w:val="center"/>
        <w:rPr>
          <w:b/>
          <w:bCs/>
          <w:color w:val="000000" w:themeColor="text1"/>
          <w:sz w:val="24"/>
          <w:szCs w:val="24"/>
          <w:lang w:val="en-US"/>
        </w:rPr>
      </w:pPr>
      <w:proofErr w:type="gramStart"/>
      <w:r w:rsidRPr="002D7DA5">
        <w:rPr>
          <w:b/>
          <w:bCs/>
          <w:color w:val="000000" w:themeColor="text1"/>
          <w:sz w:val="24"/>
          <w:szCs w:val="24"/>
          <w:lang w:val="en-US"/>
        </w:rPr>
        <w:t>and</w:t>
      </w:r>
      <w:proofErr w:type="gramEnd"/>
      <w:r w:rsidRPr="003C00E9">
        <w:rPr>
          <w:b/>
          <w:bCs/>
          <w:color w:val="000000" w:themeColor="text1"/>
          <w:sz w:val="24"/>
          <w:szCs w:val="24"/>
          <w:lang w:val="en-US"/>
        </w:rPr>
        <w:t xml:space="preserve"> </w:t>
      </w:r>
      <w:r w:rsidRPr="002D7DA5">
        <w:rPr>
          <w:b/>
          <w:bCs/>
          <w:color w:val="000000" w:themeColor="text1"/>
          <w:sz w:val="24"/>
          <w:szCs w:val="24"/>
          <w:lang w:val="en-US"/>
        </w:rPr>
        <w:t>their</w:t>
      </w:r>
      <w:r w:rsidRPr="003C00E9">
        <w:rPr>
          <w:b/>
          <w:bCs/>
          <w:color w:val="000000" w:themeColor="text1"/>
          <w:sz w:val="24"/>
          <w:szCs w:val="24"/>
          <w:lang w:val="en-US"/>
        </w:rPr>
        <w:t xml:space="preserve"> </w:t>
      </w:r>
      <w:r w:rsidRPr="002D7DA5">
        <w:rPr>
          <w:b/>
          <w:bCs/>
          <w:color w:val="000000" w:themeColor="text1"/>
          <w:sz w:val="24"/>
          <w:szCs w:val="24"/>
          <w:lang w:val="en-US"/>
        </w:rPr>
        <w:t>sadoprigodnost</w:t>
      </w:r>
    </w:p>
    <w:p w:rsidR="008742E9" w:rsidRPr="008742E9" w:rsidRDefault="008742E9" w:rsidP="008742E9">
      <w:pPr>
        <w:tabs>
          <w:tab w:val="left" w:pos="3402"/>
          <w:tab w:val="left" w:pos="6096"/>
        </w:tabs>
        <w:ind w:left="-142" w:firstLine="425"/>
        <w:jc w:val="center"/>
        <w:rPr>
          <w:b/>
          <w:bCs/>
          <w:color w:val="000000" w:themeColor="text1"/>
          <w:sz w:val="22"/>
          <w:szCs w:val="22"/>
          <w:lang w:val="en-US"/>
        </w:rPr>
      </w:pPr>
    </w:p>
    <w:p w:rsidR="008742E9" w:rsidRPr="00863F6A" w:rsidRDefault="008742E9" w:rsidP="008742E9">
      <w:pPr>
        <w:tabs>
          <w:tab w:val="left" w:pos="3402"/>
          <w:tab w:val="left" w:pos="6096"/>
        </w:tabs>
        <w:ind w:left="-142" w:firstLine="425"/>
        <w:jc w:val="right"/>
        <w:rPr>
          <w:b/>
          <w:bCs/>
          <w:sz w:val="22"/>
          <w:szCs w:val="22"/>
          <w:lang w:val="en-US"/>
        </w:rPr>
      </w:pPr>
      <w:r w:rsidRPr="008742E9">
        <w:rPr>
          <w:bCs/>
          <w:sz w:val="22"/>
          <w:szCs w:val="22"/>
        </w:rPr>
        <w:t>Суминский</w:t>
      </w:r>
      <w:r w:rsidRPr="00863F6A">
        <w:rPr>
          <w:bCs/>
          <w:sz w:val="22"/>
          <w:szCs w:val="22"/>
          <w:lang w:val="en-US"/>
        </w:rPr>
        <w:t xml:space="preserve"> </w:t>
      </w:r>
      <w:r w:rsidRPr="008742E9">
        <w:rPr>
          <w:bCs/>
          <w:sz w:val="22"/>
          <w:szCs w:val="22"/>
        </w:rPr>
        <w:t>И</w:t>
      </w:r>
      <w:r w:rsidRPr="00863F6A">
        <w:rPr>
          <w:bCs/>
          <w:sz w:val="22"/>
          <w:szCs w:val="22"/>
          <w:lang w:val="en-US"/>
        </w:rPr>
        <w:t xml:space="preserve">. </w:t>
      </w:r>
      <w:r w:rsidRPr="008742E9">
        <w:rPr>
          <w:bCs/>
          <w:sz w:val="22"/>
          <w:szCs w:val="22"/>
        </w:rPr>
        <w:t>И</w:t>
      </w:r>
      <w:r w:rsidRPr="00863F6A">
        <w:rPr>
          <w:bCs/>
          <w:sz w:val="22"/>
          <w:szCs w:val="22"/>
          <w:lang w:val="en-US"/>
        </w:rPr>
        <w:t>.,</w:t>
      </w:r>
    </w:p>
    <w:p w:rsidR="008742E9" w:rsidRPr="008742E9" w:rsidRDefault="008742E9" w:rsidP="008742E9">
      <w:pPr>
        <w:tabs>
          <w:tab w:val="left" w:pos="3402"/>
          <w:tab w:val="left" w:pos="6096"/>
        </w:tabs>
        <w:ind w:left="-142" w:firstLine="425"/>
        <w:jc w:val="right"/>
        <w:rPr>
          <w:bCs/>
          <w:sz w:val="22"/>
          <w:szCs w:val="22"/>
        </w:rPr>
      </w:pPr>
      <w:r w:rsidRPr="008742E9">
        <w:rPr>
          <w:bCs/>
          <w:sz w:val="22"/>
          <w:szCs w:val="22"/>
        </w:rPr>
        <w:t>магистрант 1 года обучения</w:t>
      </w:r>
    </w:p>
    <w:p w:rsidR="008742E9" w:rsidRPr="008742E9" w:rsidRDefault="008742E9" w:rsidP="008742E9">
      <w:pPr>
        <w:tabs>
          <w:tab w:val="left" w:pos="3402"/>
          <w:tab w:val="left" w:pos="6096"/>
        </w:tabs>
        <w:ind w:left="-142" w:firstLine="425"/>
        <w:jc w:val="right"/>
        <w:rPr>
          <w:bCs/>
          <w:sz w:val="22"/>
          <w:szCs w:val="22"/>
        </w:rPr>
      </w:pPr>
      <w:r w:rsidRPr="008742E9">
        <w:rPr>
          <w:bCs/>
          <w:sz w:val="22"/>
          <w:szCs w:val="22"/>
        </w:rPr>
        <w:t xml:space="preserve"> факультета агрохимии и защиты растений</w:t>
      </w:r>
    </w:p>
    <w:p w:rsidR="008742E9" w:rsidRPr="008742E9" w:rsidRDefault="008742E9" w:rsidP="008742E9">
      <w:pPr>
        <w:tabs>
          <w:tab w:val="left" w:pos="3402"/>
          <w:tab w:val="left" w:pos="6096"/>
        </w:tabs>
        <w:ind w:left="-142" w:firstLine="425"/>
        <w:jc w:val="right"/>
        <w:rPr>
          <w:b/>
          <w:bCs/>
          <w:sz w:val="22"/>
          <w:szCs w:val="22"/>
        </w:rPr>
      </w:pPr>
      <w:r w:rsidRPr="008742E9">
        <w:rPr>
          <w:bCs/>
          <w:sz w:val="22"/>
          <w:szCs w:val="22"/>
        </w:rPr>
        <w:t xml:space="preserve">    Осипов А. В.,</w:t>
      </w:r>
    </w:p>
    <w:p w:rsidR="008742E9" w:rsidRPr="008742E9" w:rsidRDefault="008742E9" w:rsidP="008742E9">
      <w:pPr>
        <w:tabs>
          <w:tab w:val="left" w:pos="3402"/>
          <w:tab w:val="left" w:pos="6096"/>
        </w:tabs>
        <w:ind w:left="-142" w:firstLine="425"/>
        <w:jc w:val="right"/>
        <w:rPr>
          <w:sz w:val="22"/>
          <w:szCs w:val="22"/>
        </w:rPr>
      </w:pPr>
      <w:r w:rsidRPr="008742E9">
        <w:rPr>
          <w:sz w:val="22"/>
          <w:szCs w:val="22"/>
        </w:rPr>
        <w:t>доцент кафедры почвоведения</w:t>
      </w:r>
    </w:p>
    <w:p w:rsidR="008742E9" w:rsidRPr="008742E9" w:rsidRDefault="008742E9" w:rsidP="008742E9">
      <w:pPr>
        <w:tabs>
          <w:tab w:val="left" w:pos="3402"/>
          <w:tab w:val="left" w:pos="6096"/>
        </w:tabs>
        <w:ind w:left="-142" w:firstLine="425"/>
        <w:jc w:val="right"/>
        <w:rPr>
          <w:sz w:val="22"/>
          <w:szCs w:val="22"/>
        </w:rPr>
      </w:pPr>
      <w:r w:rsidRPr="008742E9">
        <w:rPr>
          <w:sz w:val="22"/>
          <w:szCs w:val="22"/>
        </w:rPr>
        <w:t>Куб</w:t>
      </w:r>
      <w:r w:rsidR="002D7DA5">
        <w:rPr>
          <w:sz w:val="22"/>
          <w:szCs w:val="22"/>
        </w:rPr>
        <w:t>анский государственный аграрный</w:t>
      </w:r>
    </w:p>
    <w:p w:rsidR="008742E9" w:rsidRPr="008742E9" w:rsidRDefault="008742E9" w:rsidP="008742E9">
      <w:pPr>
        <w:tabs>
          <w:tab w:val="left" w:pos="3402"/>
          <w:tab w:val="left" w:pos="6096"/>
        </w:tabs>
        <w:ind w:left="-142" w:firstLine="425"/>
        <w:jc w:val="right"/>
        <w:rPr>
          <w:sz w:val="22"/>
          <w:szCs w:val="22"/>
        </w:rPr>
      </w:pPr>
      <w:r w:rsidRPr="008742E9">
        <w:rPr>
          <w:sz w:val="22"/>
          <w:szCs w:val="22"/>
        </w:rPr>
        <w:t xml:space="preserve">                            университет имени И. Т. Трубилина</w:t>
      </w:r>
    </w:p>
    <w:p w:rsidR="008742E9" w:rsidRPr="008742E9" w:rsidRDefault="008742E9" w:rsidP="008742E9">
      <w:pPr>
        <w:tabs>
          <w:tab w:val="left" w:pos="3402"/>
          <w:tab w:val="left" w:pos="6096"/>
        </w:tabs>
        <w:ind w:left="-142" w:firstLine="425"/>
        <w:jc w:val="center"/>
        <w:rPr>
          <w:bCs/>
          <w:sz w:val="22"/>
          <w:szCs w:val="22"/>
        </w:rPr>
      </w:pPr>
    </w:p>
    <w:p w:rsidR="008742E9" w:rsidRPr="008742E9" w:rsidRDefault="008742E9" w:rsidP="008742E9">
      <w:pPr>
        <w:tabs>
          <w:tab w:val="left" w:pos="3402"/>
          <w:tab w:val="left" w:pos="6096"/>
        </w:tabs>
        <w:suppressAutoHyphens/>
        <w:ind w:left="-142" w:firstLine="425"/>
        <w:contextualSpacing/>
        <w:jc w:val="both"/>
        <w:rPr>
          <w:sz w:val="22"/>
          <w:szCs w:val="22"/>
        </w:rPr>
      </w:pPr>
      <w:r w:rsidRPr="008742E9">
        <w:rPr>
          <w:bCs/>
          <w:sz w:val="22"/>
          <w:szCs w:val="22"/>
        </w:rPr>
        <w:t>АННОТАЦИЯ:</w:t>
      </w:r>
      <w:r w:rsidRPr="008742E9">
        <w:rPr>
          <w:sz w:val="22"/>
          <w:szCs w:val="22"/>
        </w:rPr>
        <w:t xml:space="preserve"> По результатам полевых и лабораторных исследований дана характеристика свойств луговых выщелоченных почв, проведена оценка и их садопригодности. Предложены рекомендации для проведения агротехнических и мелиоративных мероприятий по повышению плодородия почв.</w:t>
      </w:r>
    </w:p>
    <w:p w:rsidR="008742E9" w:rsidRPr="008742E9" w:rsidRDefault="008742E9" w:rsidP="008742E9">
      <w:pPr>
        <w:tabs>
          <w:tab w:val="left" w:pos="3402"/>
          <w:tab w:val="left" w:pos="6096"/>
        </w:tabs>
        <w:ind w:left="-142" w:firstLine="425"/>
        <w:jc w:val="both"/>
        <w:rPr>
          <w:sz w:val="22"/>
          <w:szCs w:val="22"/>
          <w:lang w:val="en-US"/>
        </w:rPr>
      </w:pPr>
      <w:r w:rsidRPr="008742E9">
        <w:rPr>
          <w:bCs/>
          <w:sz w:val="22"/>
          <w:szCs w:val="22"/>
          <w:lang w:val="en-US"/>
        </w:rPr>
        <w:t>ABSTRACT</w:t>
      </w:r>
      <w:r w:rsidRPr="008742E9">
        <w:rPr>
          <w:b/>
          <w:bCs/>
          <w:sz w:val="22"/>
          <w:szCs w:val="22"/>
          <w:lang w:val="en-US"/>
        </w:rPr>
        <w:t>:</w:t>
      </w:r>
      <w:r w:rsidRPr="008742E9">
        <w:rPr>
          <w:sz w:val="22"/>
          <w:szCs w:val="22"/>
          <w:lang w:val="en-US"/>
        </w:rPr>
        <w:t xml:space="preserve"> </w:t>
      </w:r>
      <w:r w:rsidRPr="008742E9">
        <w:rPr>
          <w:bCs/>
          <w:sz w:val="22"/>
          <w:szCs w:val="22"/>
          <w:lang w:val="en-US"/>
        </w:rPr>
        <w:t>By results of field and laboratory researches the cha</w:t>
      </w:r>
      <w:r w:rsidRPr="008742E9">
        <w:rPr>
          <w:bCs/>
          <w:sz w:val="22"/>
          <w:szCs w:val="22"/>
          <w:lang w:val="en-US"/>
        </w:rPr>
        <w:t>r</w:t>
      </w:r>
      <w:r w:rsidRPr="008742E9">
        <w:rPr>
          <w:bCs/>
          <w:sz w:val="22"/>
          <w:szCs w:val="22"/>
          <w:lang w:val="en-US"/>
        </w:rPr>
        <w:t>acteristic of properties of meadow leached soils is given, estimation and their garden suitability is carried out. Recommendations for carrying out agrotechnical and meliorative actions for increase of fertility of soils are offered.</w:t>
      </w:r>
    </w:p>
    <w:p w:rsidR="008742E9" w:rsidRPr="008742E9" w:rsidRDefault="008742E9" w:rsidP="008742E9">
      <w:pPr>
        <w:tabs>
          <w:tab w:val="left" w:pos="3402"/>
          <w:tab w:val="left" w:pos="6096"/>
        </w:tabs>
        <w:ind w:left="-142" w:firstLine="425"/>
        <w:jc w:val="both"/>
        <w:rPr>
          <w:bCs/>
          <w:sz w:val="22"/>
          <w:szCs w:val="22"/>
        </w:rPr>
      </w:pPr>
      <w:r w:rsidRPr="008742E9">
        <w:rPr>
          <w:bCs/>
          <w:sz w:val="22"/>
          <w:szCs w:val="22"/>
        </w:rPr>
        <w:lastRenderedPageBreak/>
        <w:t>КЛЮЧЕВЫЕ СЛОВА</w:t>
      </w:r>
      <w:r w:rsidRPr="008742E9">
        <w:rPr>
          <w:b/>
          <w:bCs/>
          <w:sz w:val="22"/>
          <w:szCs w:val="22"/>
        </w:rPr>
        <w:t>:</w:t>
      </w:r>
      <w:r w:rsidRPr="008742E9">
        <w:rPr>
          <w:bCs/>
          <w:sz w:val="22"/>
          <w:szCs w:val="22"/>
        </w:rPr>
        <w:t xml:space="preserve"> </w:t>
      </w:r>
      <w:r w:rsidRPr="008742E9">
        <w:rPr>
          <w:sz w:val="22"/>
          <w:szCs w:val="22"/>
        </w:rPr>
        <w:t>луговая почва, плотность сложения, а</w:t>
      </w:r>
      <w:r w:rsidRPr="008742E9">
        <w:rPr>
          <w:sz w:val="22"/>
          <w:szCs w:val="22"/>
        </w:rPr>
        <w:t>г</w:t>
      </w:r>
      <w:r w:rsidRPr="008742E9">
        <w:rPr>
          <w:sz w:val="22"/>
          <w:szCs w:val="22"/>
        </w:rPr>
        <w:t xml:space="preserve">рохимические свойства, плодородие почвы, садопригодность. </w:t>
      </w:r>
    </w:p>
    <w:p w:rsidR="008742E9" w:rsidRPr="008742E9" w:rsidRDefault="008742E9" w:rsidP="008742E9">
      <w:pPr>
        <w:tabs>
          <w:tab w:val="left" w:pos="3402"/>
          <w:tab w:val="left" w:pos="6096"/>
        </w:tabs>
        <w:ind w:left="-142" w:firstLine="425"/>
        <w:jc w:val="both"/>
        <w:rPr>
          <w:sz w:val="22"/>
          <w:szCs w:val="22"/>
          <w:lang w:val="en-US"/>
        </w:rPr>
      </w:pPr>
      <w:r w:rsidRPr="008742E9">
        <w:rPr>
          <w:bCs/>
          <w:sz w:val="22"/>
          <w:szCs w:val="22"/>
          <w:lang w:val="en-US"/>
        </w:rPr>
        <w:t>KEY WORDS</w:t>
      </w:r>
      <w:r w:rsidRPr="008742E9">
        <w:rPr>
          <w:b/>
          <w:bCs/>
          <w:sz w:val="22"/>
          <w:szCs w:val="22"/>
          <w:lang w:val="en-US"/>
        </w:rPr>
        <w:t>:</w:t>
      </w:r>
      <w:r w:rsidRPr="008742E9">
        <w:rPr>
          <w:sz w:val="22"/>
          <w:szCs w:val="22"/>
          <w:lang w:val="en-US"/>
        </w:rPr>
        <w:t xml:space="preserve"> </w:t>
      </w:r>
      <w:r w:rsidRPr="008742E9">
        <w:rPr>
          <w:bCs/>
          <w:sz w:val="22"/>
          <w:szCs w:val="22"/>
          <w:lang w:val="en-US"/>
        </w:rPr>
        <w:t>meadow soil, density of addition, agrochemical pro</w:t>
      </w:r>
      <w:r w:rsidRPr="008742E9">
        <w:rPr>
          <w:bCs/>
          <w:sz w:val="22"/>
          <w:szCs w:val="22"/>
          <w:lang w:val="en-US"/>
        </w:rPr>
        <w:t>p</w:t>
      </w:r>
      <w:r w:rsidRPr="008742E9">
        <w:rPr>
          <w:bCs/>
          <w:sz w:val="22"/>
          <w:szCs w:val="22"/>
          <w:lang w:val="en-US"/>
        </w:rPr>
        <w:t>erties, soil fertility, garden suitability</w:t>
      </w:r>
      <w:r w:rsidRPr="008742E9">
        <w:rPr>
          <w:sz w:val="22"/>
          <w:szCs w:val="22"/>
          <w:lang w:val="en-US"/>
        </w:rPr>
        <w:t>.</w:t>
      </w:r>
    </w:p>
    <w:p w:rsidR="008742E9" w:rsidRPr="008742E9" w:rsidRDefault="008742E9" w:rsidP="008742E9">
      <w:pPr>
        <w:tabs>
          <w:tab w:val="left" w:pos="3402"/>
          <w:tab w:val="left" w:pos="6096"/>
        </w:tabs>
        <w:ind w:left="-142" w:firstLine="425"/>
        <w:jc w:val="both"/>
        <w:rPr>
          <w:sz w:val="22"/>
          <w:szCs w:val="22"/>
          <w:lang w:val="en-US"/>
        </w:rPr>
      </w:pPr>
    </w:p>
    <w:p w:rsidR="008742E9" w:rsidRPr="008742E9" w:rsidRDefault="008742E9" w:rsidP="008742E9">
      <w:pPr>
        <w:tabs>
          <w:tab w:val="left" w:pos="3402"/>
          <w:tab w:val="left" w:pos="6096"/>
        </w:tabs>
        <w:suppressAutoHyphens/>
        <w:ind w:left="-142" w:firstLine="425"/>
        <w:contextualSpacing/>
        <w:jc w:val="both"/>
        <w:rPr>
          <w:sz w:val="22"/>
          <w:szCs w:val="22"/>
        </w:rPr>
      </w:pPr>
      <w:r w:rsidRPr="008742E9">
        <w:rPr>
          <w:sz w:val="22"/>
          <w:szCs w:val="22"/>
        </w:rPr>
        <w:t xml:space="preserve">Одной из основных задач садоводства в крае, является разработка мероприятий, обеспечивающих получение высоких, устойчивых урожаев плодов. </w:t>
      </w:r>
      <w:proofErr w:type="gramStart"/>
      <w:r w:rsidRPr="008742E9">
        <w:rPr>
          <w:sz w:val="22"/>
          <w:szCs w:val="22"/>
        </w:rPr>
        <w:t>Для решения этих задач необходимо создавать высокопродуктивные насаж-дения интенсивного типа, обеспечивающие существенное увеличение объемов валового производства и низкую себестоимость плодов [1].</w:t>
      </w:r>
      <w:proofErr w:type="gramEnd"/>
    </w:p>
    <w:p w:rsidR="008742E9" w:rsidRPr="008742E9" w:rsidRDefault="008742E9" w:rsidP="008742E9">
      <w:pPr>
        <w:tabs>
          <w:tab w:val="left" w:pos="3402"/>
          <w:tab w:val="left" w:pos="6096"/>
        </w:tabs>
        <w:ind w:left="-142" w:firstLine="425"/>
        <w:jc w:val="both"/>
        <w:rPr>
          <w:sz w:val="22"/>
          <w:szCs w:val="22"/>
        </w:rPr>
      </w:pPr>
      <w:r w:rsidRPr="008742E9">
        <w:rPr>
          <w:sz w:val="22"/>
          <w:szCs w:val="22"/>
        </w:rPr>
        <w:t>Плодоводство является одной из трудоемких отраслей сельского хозяйства. Закладка садов без предварительного изучения почвенно-экологических условий может привести к их преждевременной гиб</w:t>
      </w:r>
      <w:r w:rsidRPr="008742E9">
        <w:rPr>
          <w:sz w:val="22"/>
          <w:szCs w:val="22"/>
        </w:rPr>
        <w:t>е</w:t>
      </w:r>
      <w:r w:rsidRPr="008742E9">
        <w:rPr>
          <w:sz w:val="22"/>
          <w:szCs w:val="22"/>
        </w:rPr>
        <w:t>ли. Необходимо учитывать особенности почвенного покрова каждого конкретного земельного участка, специфики плодородия почв, ми</w:t>
      </w:r>
      <w:r w:rsidRPr="008742E9">
        <w:rPr>
          <w:sz w:val="22"/>
          <w:szCs w:val="22"/>
        </w:rPr>
        <w:t>к</w:t>
      </w:r>
      <w:r w:rsidRPr="008742E9">
        <w:rPr>
          <w:sz w:val="22"/>
          <w:szCs w:val="22"/>
        </w:rPr>
        <w:t>роклиматических особенностей ландшафта  и биологических особе</w:t>
      </w:r>
      <w:r w:rsidRPr="008742E9">
        <w:rPr>
          <w:sz w:val="22"/>
          <w:szCs w:val="22"/>
        </w:rPr>
        <w:t>н</w:t>
      </w:r>
      <w:r w:rsidRPr="008742E9">
        <w:rPr>
          <w:sz w:val="22"/>
          <w:szCs w:val="22"/>
        </w:rPr>
        <w:t>ностей плодовых насаждений в усло</w:t>
      </w:r>
      <w:r w:rsidRPr="008742E9">
        <w:rPr>
          <w:sz w:val="22"/>
          <w:szCs w:val="22"/>
        </w:rPr>
        <w:softHyphen/>
        <w:t>виях экологического единства и гармонии растения и почвы[2,3].</w:t>
      </w:r>
      <w:r w:rsidRPr="008742E9">
        <w:rPr>
          <w:bCs/>
          <w:sz w:val="22"/>
          <w:szCs w:val="22"/>
        </w:rPr>
        <w:t xml:space="preserve"> </w:t>
      </w:r>
    </w:p>
    <w:p w:rsidR="008742E9" w:rsidRPr="008742E9" w:rsidRDefault="008742E9" w:rsidP="008742E9">
      <w:pPr>
        <w:tabs>
          <w:tab w:val="left" w:pos="3402"/>
          <w:tab w:val="left" w:pos="6096"/>
        </w:tabs>
        <w:ind w:left="-142" w:firstLine="425"/>
        <w:jc w:val="both"/>
        <w:rPr>
          <w:sz w:val="22"/>
          <w:szCs w:val="22"/>
        </w:rPr>
      </w:pPr>
      <w:r w:rsidRPr="008742E9">
        <w:rPr>
          <w:sz w:val="22"/>
          <w:szCs w:val="22"/>
        </w:rPr>
        <w:t>Полевое почвенное рекогносцировочное обследование под з</w:t>
      </w:r>
      <w:r w:rsidRPr="008742E9">
        <w:rPr>
          <w:sz w:val="22"/>
          <w:szCs w:val="22"/>
        </w:rPr>
        <w:t>а</w:t>
      </w:r>
      <w:r w:rsidRPr="008742E9">
        <w:rPr>
          <w:sz w:val="22"/>
          <w:szCs w:val="22"/>
        </w:rPr>
        <w:t>кладку многолетних плодовых насаждений проводилось в окрестн</w:t>
      </w:r>
      <w:r w:rsidRPr="008742E9">
        <w:rPr>
          <w:sz w:val="22"/>
          <w:szCs w:val="22"/>
        </w:rPr>
        <w:t>о</w:t>
      </w:r>
      <w:r w:rsidRPr="008742E9">
        <w:rPr>
          <w:sz w:val="22"/>
          <w:szCs w:val="22"/>
        </w:rPr>
        <w:t>сти станицы Полтавской Красноармейского района, в соответствии с особенностями рельефа были пробурены скважины буром Неговел</w:t>
      </w:r>
      <w:r w:rsidRPr="008742E9">
        <w:rPr>
          <w:sz w:val="22"/>
          <w:szCs w:val="22"/>
        </w:rPr>
        <w:t>о</w:t>
      </w:r>
      <w:r w:rsidRPr="008742E9">
        <w:rPr>
          <w:sz w:val="22"/>
          <w:szCs w:val="22"/>
        </w:rPr>
        <w:t>ва на глубину 2,5 м и заложены полуямы с последующим углублен</w:t>
      </w:r>
      <w:r w:rsidRPr="008742E9">
        <w:rPr>
          <w:sz w:val="22"/>
          <w:szCs w:val="22"/>
        </w:rPr>
        <w:t>и</w:t>
      </w:r>
      <w:r w:rsidRPr="008742E9">
        <w:rPr>
          <w:sz w:val="22"/>
          <w:szCs w:val="22"/>
        </w:rPr>
        <w:t>ем буром Розанова до материнской почвообразующей породы.  Из отобранных почвенных разрезов, согласно общепринятым метод</w:t>
      </w:r>
      <w:r w:rsidRPr="008742E9">
        <w:rPr>
          <w:sz w:val="22"/>
          <w:szCs w:val="22"/>
        </w:rPr>
        <w:t>и</w:t>
      </w:r>
      <w:r w:rsidRPr="008742E9">
        <w:rPr>
          <w:sz w:val="22"/>
          <w:szCs w:val="22"/>
        </w:rPr>
        <w:t xml:space="preserve">кам, были определены агрохимические свойства почвы, а из буровых скважин с каждых 20 см (0-20, 20-40, 40-60 см и т.д.) – водно-физические свойства. </w:t>
      </w:r>
    </w:p>
    <w:p w:rsidR="008742E9" w:rsidRPr="008742E9" w:rsidRDefault="008742E9" w:rsidP="008742E9">
      <w:pPr>
        <w:tabs>
          <w:tab w:val="left" w:pos="3402"/>
          <w:tab w:val="left" w:pos="6096"/>
        </w:tabs>
        <w:ind w:left="-142" w:firstLine="425"/>
        <w:jc w:val="both"/>
        <w:rPr>
          <w:bCs/>
          <w:sz w:val="22"/>
          <w:szCs w:val="22"/>
        </w:rPr>
      </w:pPr>
      <w:r w:rsidRPr="008742E9">
        <w:rPr>
          <w:bCs/>
          <w:sz w:val="22"/>
          <w:szCs w:val="22"/>
        </w:rPr>
        <w:t>На обследованной территории получили широкое распростран</w:t>
      </w:r>
      <w:r w:rsidRPr="008742E9">
        <w:rPr>
          <w:bCs/>
          <w:sz w:val="22"/>
          <w:szCs w:val="22"/>
        </w:rPr>
        <w:t>е</w:t>
      </w:r>
      <w:r w:rsidRPr="008742E9">
        <w:rPr>
          <w:bCs/>
          <w:sz w:val="22"/>
          <w:szCs w:val="22"/>
        </w:rPr>
        <w:t>ние луговые выщелоченные почвы, сформировавшиеся</w:t>
      </w:r>
      <w:r w:rsidRPr="008742E9">
        <w:rPr>
          <w:sz w:val="22"/>
          <w:szCs w:val="22"/>
        </w:rPr>
        <w:t xml:space="preserve"> в условиях постоянного увлажнения грунтовыми водами и периодического увлажнения поверхностными водами атмосферных осадков. </w:t>
      </w:r>
    </w:p>
    <w:p w:rsidR="008742E9" w:rsidRPr="008742E9" w:rsidRDefault="008742E9" w:rsidP="008742E9">
      <w:pPr>
        <w:tabs>
          <w:tab w:val="left" w:pos="3402"/>
          <w:tab w:val="left" w:pos="6096"/>
        </w:tabs>
        <w:suppressAutoHyphens/>
        <w:ind w:left="-142" w:firstLine="425"/>
        <w:jc w:val="both"/>
        <w:rPr>
          <w:sz w:val="22"/>
          <w:szCs w:val="22"/>
        </w:rPr>
      </w:pPr>
      <w:r w:rsidRPr="008742E9">
        <w:rPr>
          <w:sz w:val="22"/>
          <w:szCs w:val="22"/>
        </w:rPr>
        <w:t>Гранулометрический состав луговых выщелоченных почв легкоглинистый. Содержание физической глины в пахотном слое глинистых разновидностей составляет 69,6-72,7 % (с преобладанием пыли).</w:t>
      </w:r>
    </w:p>
    <w:p w:rsidR="008742E9" w:rsidRPr="008742E9" w:rsidRDefault="008742E9" w:rsidP="008742E9">
      <w:pPr>
        <w:tabs>
          <w:tab w:val="left" w:pos="3402"/>
          <w:tab w:val="left" w:pos="6096"/>
        </w:tabs>
        <w:ind w:left="-142" w:firstLine="425"/>
        <w:jc w:val="both"/>
        <w:rPr>
          <w:sz w:val="22"/>
          <w:szCs w:val="22"/>
        </w:rPr>
      </w:pPr>
      <w:r w:rsidRPr="008742E9">
        <w:rPr>
          <w:sz w:val="22"/>
          <w:szCs w:val="22"/>
        </w:rPr>
        <w:lastRenderedPageBreak/>
        <w:t>Луговые выщелоченные почвы характеризуются уплотнённым сложением пахотных слоёв (1,25 – 1,38 г/см</w:t>
      </w:r>
      <w:r w:rsidRPr="008742E9">
        <w:rPr>
          <w:sz w:val="22"/>
          <w:szCs w:val="22"/>
          <w:vertAlign w:val="superscript"/>
        </w:rPr>
        <w:t>3</w:t>
      </w:r>
      <w:r w:rsidRPr="008742E9">
        <w:rPr>
          <w:sz w:val="22"/>
          <w:szCs w:val="22"/>
        </w:rPr>
        <w:t>) и плотным - подпахо</w:t>
      </w:r>
      <w:r w:rsidRPr="008742E9">
        <w:rPr>
          <w:sz w:val="22"/>
          <w:szCs w:val="22"/>
        </w:rPr>
        <w:t>т</w:t>
      </w:r>
      <w:r w:rsidRPr="008742E9">
        <w:rPr>
          <w:sz w:val="22"/>
          <w:szCs w:val="22"/>
        </w:rPr>
        <w:t>ных слоёв (1,42-1,53г/см</w:t>
      </w:r>
      <w:r w:rsidRPr="008742E9">
        <w:rPr>
          <w:sz w:val="22"/>
          <w:szCs w:val="22"/>
          <w:vertAlign w:val="superscript"/>
        </w:rPr>
        <w:t>3</w:t>
      </w:r>
      <w:r w:rsidRPr="008742E9">
        <w:rPr>
          <w:sz w:val="22"/>
          <w:szCs w:val="22"/>
        </w:rPr>
        <w:t xml:space="preserve">), а также плотным сложением горизонтов </w:t>
      </w:r>
      <w:proofErr w:type="gramStart"/>
      <w:r w:rsidRPr="008742E9">
        <w:rPr>
          <w:sz w:val="22"/>
          <w:szCs w:val="22"/>
        </w:rPr>
        <w:t>В</w:t>
      </w:r>
      <w:proofErr w:type="gramEnd"/>
      <w:r w:rsidRPr="008742E9">
        <w:rPr>
          <w:sz w:val="22"/>
          <w:szCs w:val="22"/>
          <w:vertAlign w:val="subscript"/>
        </w:rPr>
        <w:t>gK</w:t>
      </w:r>
      <w:r w:rsidRPr="008742E9">
        <w:rPr>
          <w:sz w:val="22"/>
          <w:szCs w:val="22"/>
        </w:rPr>
        <w:t xml:space="preserve"> и С</w:t>
      </w:r>
      <w:r w:rsidRPr="008742E9">
        <w:rPr>
          <w:sz w:val="22"/>
          <w:szCs w:val="22"/>
          <w:vertAlign w:val="subscript"/>
        </w:rPr>
        <w:t>gK</w:t>
      </w:r>
      <w:r w:rsidRPr="008742E9">
        <w:rPr>
          <w:sz w:val="22"/>
          <w:szCs w:val="22"/>
        </w:rPr>
        <w:t xml:space="preserve">  (1,38-1,55г/см</w:t>
      </w:r>
      <w:r w:rsidRPr="008742E9">
        <w:rPr>
          <w:sz w:val="22"/>
          <w:szCs w:val="22"/>
          <w:vertAlign w:val="superscript"/>
        </w:rPr>
        <w:t>3</w:t>
      </w:r>
      <w:r w:rsidRPr="008742E9">
        <w:rPr>
          <w:sz w:val="22"/>
          <w:szCs w:val="22"/>
        </w:rPr>
        <w:t>). Общая пористость подпахотных слоёв варьирует от 44,4 до 47,8%, вниз по профилю почвы она остаётся в пределах 44,7 – 49,8%. Поры аэрации в пахотном слое составляют 10,1 – 13,7%.</w:t>
      </w:r>
    </w:p>
    <w:p w:rsidR="008742E9" w:rsidRPr="008742E9" w:rsidRDefault="008742E9" w:rsidP="008742E9">
      <w:pPr>
        <w:tabs>
          <w:tab w:val="left" w:pos="3402"/>
          <w:tab w:val="left" w:pos="6096"/>
        </w:tabs>
        <w:ind w:left="-142" w:firstLine="425"/>
        <w:jc w:val="both"/>
        <w:rPr>
          <w:sz w:val="22"/>
          <w:szCs w:val="22"/>
        </w:rPr>
      </w:pPr>
      <w:r w:rsidRPr="008742E9">
        <w:rPr>
          <w:sz w:val="22"/>
          <w:szCs w:val="22"/>
        </w:rPr>
        <w:t>Агрохимические свойства луговых выщелоченных почв, в целом благоприятны для произрастания зональных сельскохозяйственных растений, в том числе, для плодовых насаждений. Содержание гум</w:t>
      </w:r>
      <w:r w:rsidRPr="008742E9">
        <w:rPr>
          <w:sz w:val="22"/>
          <w:szCs w:val="22"/>
        </w:rPr>
        <w:t>у</w:t>
      </w:r>
      <w:r w:rsidRPr="008742E9">
        <w:rPr>
          <w:sz w:val="22"/>
          <w:szCs w:val="22"/>
        </w:rPr>
        <w:t xml:space="preserve">са в верхних горизонтах составляет 3,16-3,97%, реакция почвенного раствора нейтральная (рН 6,62 – 6,92), вниз по профилю почвы она изменяется </w:t>
      </w:r>
      <w:proofErr w:type="gramStart"/>
      <w:r w:rsidRPr="008742E9">
        <w:rPr>
          <w:sz w:val="22"/>
          <w:szCs w:val="22"/>
        </w:rPr>
        <w:t>до</w:t>
      </w:r>
      <w:proofErr w:type="gramEnd"/>
      <w:r w:rsidRPr="008742E9">
        <w:rPr>
          <w:sz w:val="22"/>
          <w:szCs w:val="22"/>
        </w:rPr>
        <w:t xml:space="preserve"> щелочной (рН 8,33-8,38).</w:t>
      </w:r>
    </w:p>
    <w:p w:rsidR="008742E9" w:rsidRPr="008742E9" w:rsidRDefault="008742E9" w:rsidP="008742E9">
      <w:pPr>
        <w:tabs>
          <w:tab w:val="left" w:pos="3402"/>
          <w:tab w:val="left" w:pos="6096"/>
        </w:tabs>
        <w:ind w:left="-142" w:firstLine="425"/>
        <w:jc w:val="both"/>
        <w:rPr>
          <w:sz w:val="22"/>
          <w:szCs w:val="22"/>
        </w:rPr>
      </w:pPr>
      <w:r w:rsidRPr="008742E9">
        <w:rPr>
          <w:sz w:val="22"/>
          <w:szCs w:val="22"/>
        </w:rPr>
        <w:t>Таким образом, луговые выщелоченные почвы пригодны для возделывания широкого спектра полевых культур и ограниченно пригодны для выращивания многолетних растений. Лимитирующими факторами для их роста и развития являются повышенная плотность почвы, периодическое избыточное увлажнение, плохая структура. Ограничена посадка таких чувствительных к уплотнению плодовых пород как абрикос, черешня, яблоня поздних сроков созревания, особенно на средне- и сильнорослых подвоях.</w:t>
      </w:r>
    </w:p>
    <w:p w:rsidR="008742E9" w:rsidRPr="008742E9" w:rsidRDefault="008742E9" w:rsidP="008742E9">
      <w:pPr>
        <w:tabs>
          <w:tab w:val="left" w:pos="3402"/>
          <w:tab w:val="left" w:pos="6096"/>
        </w:tabs>
        <w:ind w:left="-142" w:firstLine="425"/>
        <w:jc w:val="both"/>
        <w:rPr>
          <w:sz w:val="22"/>
          <w:szCs w:val="22"/>
        </w:rPr>
      </w:pPr>
      <w:proofErr w:type="gramStart"/>
      <w:r w:rsidRPr="008742E9">
        <w:rPr>
          <w:sz w:val="22"/>
          <w:szCs w:val="22"/>
        </w:rPr>
        <w:t>Для улучшения плодородия луговых выщелоченных почв рек</w:t>
      </w:r>
      <w:r w:rsidRPr="008742E9">
        <w:rPr>
          <w:sz w:val="22"/>
          <w:szCs w:val="22"/>
        </w:rPr>
        <w:t>о</w:t>
      </w:r>
      <w:r w:rsidRPr="008742E9">
        <w:rPr>
          <w:sz w:val="22"/>
          <w:szCs w:val="22"/>
        </w:rPr>
        <w:t>мендуется проведение следующих агротехнических и мелиоративных мероприятий: устранение переувлажнения, особенно на территориях замкнутых депрессий;  основную обработку почвы осенью проводи</w:t>
      </w:r>
      <w:r w:rsidR="004D104A">
        <w:rPr>
          <w:sz w:val="22"/>
          <w:szCs w:val="22"/>
        </w:rPr>
        <w:t xml:space="preserve">ть в наиболее поздние сроки, с </w:t>
      </w:r>
      <w:r w:rsidRPr="008742E9">
        <w:rPr>
          <w:sz w:val="22"/>
          <w:szCs w:val="22"/>
        </w:rPr>
        <w:t>заделкой органических удобрений под плантаж в дозе 15-20 т/га; рыхление почвы в период вегетации доп</w:t>
      </w:r>
      <w:r w:rsidRPr="008742E9">
        <w:rPr>
          <w:sz w:val="22"/>
          <w:szCs w:val="22"/>
        </w:rPr>
        <w:t>у</w:t>
      </w:r>
      <w:r w:rsidRPr="008742E9">
        <w:rPr>
          <w:sz w:val="22"/>
          <w:szCs w:val="22"/>
        </w:rPr>
        <w:t>стимо только при ее «физической спелости»;</w:t>
      </w:r>
      <w:proofErr w:type="gramEnd"/>
      <w:r w:rsidRPr="008742E9">
        <w:rPr>
          <w:sz w:val="22"/>
          <w:szCs w:val="22"/>
        </w:rPr>
        <w:t xml:space="preserve"> минеральные удобрения применять в зависимости от возделываемых растений: повышенные дозы азотных, средние – фосфорных и калийных удобрений.</w:t>
      </w:r>
    </w:p>
    <w:p w:rsidR="008742E9" w:rsidRPr="008742E9" w:rsidRDefault="008742E9" w:rsidP="008742E9">
      <w:pPr>
        <w:tabs>
          <w:tab w:val="left" w:pos="3402"/>
          <w:tab w:val="left" w:pos="6096"/>
        </w:tabs>
        <w:ind w:left="-142" w:firstLine="425"/>
        <w:jc w:val="both"/>
        <w:rPr>
          <w:sz w:val="22"/>
          <w:szCs w:val="22"/>
        </w:rPr>
      </w:pPr>
    </w:p>
    <w:p w:rsidR="008742E9" w:rsidRPr="008742E9" w:rsidRDefault="008742E9" w:rsidP="002D7DA5">
      <w:pPr>
        <w:tabs>
          <w:tab w:val="left" w:pos="3402"/>
          <w:tab w:val="left" w:pos="6096"/>
        </w:tabs>
        <w:ind w:left="-142" w:firstLine="425"/>
        <w:jc w:val="center"/>
        <w:rPr>
          <w:sz w:val="22"/>
          <w:szCs w:val="22"/>
        </w:rPr>
      </w:pPr>
      <w:r w:rsidRPr="008742E9">
        <w:rPr>
          <w:sz w:val="22"/>
          <w:szCs w:val="22"/>
        </w:rPr>
        <w:t>Список литературы</w:t>
      </w:r>
    </w:p>
    <w:p w:rsidR="008742E9" w:rsidRPr="002D7DA5" w:rsidRDefault="008742E9" w:rsidP="002D7DA5">
      <w:pPr>
        <w:tabs>
          <w:tab w:val="left" w:pos="3402"/>
          <w:tab w:val="left" w:pos="6096"/>
        </w:tabs>
        <w:ind w:left="-142" w:firstLine="425"/>
        <w:jc w:val="both"/>
        <w:rPr>
          <w:sz w:val="22"/>
          <w:szCs w:val="22"/>
        </w:rPr>
      </w:pPr>
      <w:r w:rsidRPr="002D7DA5">
        <w:rPr>
          <w:spacing w:val="-6"/>
          <w:sz w:val="22"/>
          <w:szCs w:val="22"/>
        </w:rPr>
        <w:t>1. Бузоверов А.В. Южное плодоводство: почвенная агротехника, удобрения, орошение: Учебное пособие / А.В. Бузоверов, Т.Н. Дороше</w:t>
      </w:r>
      <w:r w:rsidRPr="002D7DA5">
        <w:rPr>
          <w:spacing w:val="-6"/>
          <w:sz w:val="22"/>
          <w:szCs w:val="22"/>
        </w:rPr>
        <w:t>н</w:t>
      </w:r>
      <w:r w:rsidRPr="002D7DA5">
        <w:rPr>
          <w:spacing w:val="-6"/>
          <w:sz w:val="22"/>
          <w:szCs w:val="22"/>
        </w:rPr>
        <w:t>ко, Л.Г. Рязанова // СПб</w:t>
      </w:r>
      <w:proofErr w:type="gramStart"/>
      <w:r w:rsidRPr="002D7DA5">
        <w:rPr>
          <w:spacing w:val="-6"/>
          <w:sz w:val="22"/>
          <w:szCs w:val="22"/>
        </w:rPr>
        <w:t xml:space="preserve">.: </w:t>
      </w:r>
      <w:proofErr w:type="gramEnd"/>
      <w:r w:rsidRPr="002D7DA5">
        <w:rPr>
          <w:spacing w:val="-6"/>
          <w:sz w:val="22"/>
          <w:szCs w:val="22"/>
        </w:rPr>
        <w:t>Издательство «Лань» – 2017. – С. 128</w:t>
      </w:r>
    </w:p>
    <w:p w:rsidR="008742E9" w:rsidRPr="002D7DA5" w:rsidRDefault="008742E9" w:rsidP="002D7DA5">
      <w:pPr>
        <w:tabs>
          <w:tab w:val="left" w:pos="3402"/>
          <w:tab w:val="left" w:pos="6096"/>
        </w:tabs>
        <w:ind w:left="-142" w:firstLine="425"/>
        <w:jc w:val="both"/>
        <w:rPr>
          <w:sz w:val="22"/>
          <w:szCs w:val="22"/>
        </w:rPr>
      </w:pPr>
      <w:r w:rsidRPr="002D7DA5">
        <w:rPr>
          <w:sz w:val="22"/>
          <w:szCs w:val="22"/>
        </w:rPr>
        <w:t>2. Подколзин О.А. Мониторинг плодородия почв земель Красн</w:t>
      </w:r>
      <w:r w:rsidRPr="002D7DA5">
        <w:rPr>
          <w:sz w:val="22"/>
          <w:szCs w:val="22"/>
        </w:rPr>
        <w:t>о</w:t>
      </w:r>
      <w:r w:rsidRPr="002D7DA5">
        <w:rPr>
          <w:sz w:val="22"/>
          <w:szCs w:val="22"/>
        </w:rPr>
        <w:t xml:space="preserve">дарского края / О.А. Подколзин, И.В. Соколова, А.В. Осипов, В.Н. </w:t>
      </w:r>
      <w:r w:rsidRPr="002D7DA5">
        <w:rPr>
          <w:sz w:val="22"/>
          <w:szCs w:val="22"/>
        </w:rPr>
        <w:lastRenderedPageBreak/>
        <w:t>Слюсарев // Труды КубГАУ / Краснодар – 2017. – № 68. – С. 117 – 124.</w:t>
      </w:r>
    </w:p>
    <w:p w:rsidR="008742E9" w:rsidRPr="002D7DA5" w:rsidRDefault="008742E9" w:rsidP="002D7DA5">
      <w:pPr>
        <w:tabs>
          <w:tab w:val="left" w:pos="3402"/>
          <w:tab w:val="left" w:pos="6096"/>
        </w:tabs>
        <w:ind w:left="-142" w:firstLine="425"/>
        <w:jc w:val="both"/>
        <w:rPr>
          <w:sz w:val="22"/>
          <w:szCs w:val="22"/>
        </w:rPr>
      </w:pPr>
      <w:r w:rsidRPr="002D7DA5">
        <w:rPr>
          <w:sz w:val="22"/>
          <w:szCs w:val="22"/>
        </w:rPr>
        <w:t xml:space="preserve">3. </w:t>
      </w:r>
      <w:r w:rsidRPr="002D7DA5">
        <w:rPr>
          <w:iCs/>
          <w:sz w:val="22"/>
          <w:szCs w:val="22"/>
        </w:rPr>
        <w:t xml:space="preserve">Штомпель Ю.А., Тюльпанов В.И., </w:t>
      </w:r>
      <w:hyperlink r:id="rId25" w:history="1">
        <w:r w:rsidR="002D7DA5" w:rsidRPr="002D7DA5">
          <w:rPr>
            <w:bCs/>
            <w:sz w:val="22"/>
            <w:szCs w:val="22"/>
          </w:rPr>
          <w:t>Практикум по почвовед</w:t>
        </w:r>
        <w:r w:rsidR="002D7DA5" w:rsidRPr="002D7DA5">
          <w:rPr>
            <w:bCs/>
            <w:sz w:val="22"/>
            <w:szCs w:val="22"/>
          </w:rPr>
          <w:t>е</w:t>
        </w:r>
        <w:r w:rsidR="002D7DA5" w:rsidRPr="002D7DA5">
          <w:rPr>
            <w:bCs/>
            <w:sz w:val="22"/>
            <w:szCs w:val="22"/>
          </w:rPr>
          <w:t>нию (почвы Северного Кавказа)</w:t>
        </w:r>
      </w:hyperlink>
      <w:r w:rsidR="002D7DA5" w:rsidRPr="002D7DA5">
        <w:rPr>
          <w:bCs/>
          <w:sz w:val="22"/>
          <w:szCs w:val="22"/>
        </w:rPr>
        <w:t xml:space="preserve"> </w:t>
      </w:r>
      <w:r w:rsidR="002D7DA5" w:rsidRPr="002D7DA5">
        <w:rPr>
          <w:sz w:val="22"/>
          <w:szCs w:val="22"/>
        </w:rPr>
        <w:t>/</w:t>
      </w:r>
      <w:r w:rsidRPr="002D7DA5">
        <w:rPr>
          <w:iCs/>
          <w:sz w:val="22"/>
          <w:szCs w:val="22"/>
        </w:rPr>
        <w:t>Вальков В.Ф</w:t>
      </w:r>
      <w:r w:rsidRPr="002D7DA5">
        <w:rPr>
          <w:sz w:val="22"/>
          <w:szCs w:val="22"/>
        </w:rPr>
        <w:t xml:space="preserve"> // Рекомендовано Ми</w:t>
      </w:r>
      <w:r w:rsidRPr="002D7DA5">
        <w:rPr>
          <w:sz w:val="22"/>
          <w:szCs w:val="22"/>
        </w:rPr>
        <w:t>н</w:t>
      </w:r>
      <w:r w:rsidRPr="002D7DA5">
        <w:rPr>
          <w:sz w:val="22"/>
          <w:szCs w:val="22"/>
        </w:rPr>
        <w:t>сельхоз РФ в качестве уч. пособ. для студентов высших учебных заведений по агрономическим и агроэкологическим специальностям / Краснодар, 2003. – С.328.</w:t>
      </w:r>
    </w:p>
    <w:p w:rsidR="008742E9" w:rsidRDefault="008742E9" w:rsidP="002D7DA5">
      <w:pPr>
        <w:pStyle w:val="31"/>
        <w:rPr>
          <w:rFonts w:eastAsia="Calibri"/>
          <w:sz w:val="22"/>
          <w:szCs w:val="22"/>
        </w:rPr>
      </w:pPr>
    </w:p>
    <w:p w:rsidR="008742E9" w:rsidRDefault="008742E9" w:rsidP="008A2DA0">
      <w:pPr>
        <w:pStyle w:val="31"/>
        <w:rPr>
          <w:rFonts w:eastAsia="Calibri"/>
          <w:sz w:val="22"/>
          <w:szCs w:val="22"/>
        </w:rPr>
      </w:pPr>
    </w:p>
    <w:p w:rsidR="002D7DA5" w:rsidRDefault="002D7DA5" w:rsidP="00E22BC2">
      <w:pPr>
        <w:pStyle w:val="31"/>
        <w:ind w:firstLine="0"/>
        <w:rPr>
          <w:rFonts w:eastAsia="Calibri"/>
          <w:sz w:val="22"/>
          <w:szCs w:val="22"/>
        </w:rPr>
      </w:pPr>
    </w:p>
    <w:p w:rsidR="008742E9" w:rsidRPr="002D7DA5" w:rsidRDefault="008742E9" w:rsidP="008742E9">
      <w:pPr>
        <w:spacing w:after="200"/>
        <w:rPr>
          <w:sz w:val="22"/>
          <w:szCs w:val="22"/>
        </w:rPr>
      </w:pPr>
      <w:r w:rsidRPr="002D7DA5">
        <w:rPr>
          <w:sz w:val="22"/>
          <w:szCs w:val="22"/>
        </w:rPr>
        <w:t>УДК 632.7:551.515(470.620)</w:t>
      </w:r>
    </w:p>
    <w:p w:rsidR="008742E9" w:rsidRPr="008742E9" w:rsidRDefault="008742E9" w:rsidP="008742E9">
      <w:pPr>
        <w:jc w:val="center"/>
        <w:rPr>
          <w:b/>
          <w:sz w:val="24"/>
          <w:szCs w:val="24"/>
        </w:rPr>
      </w:pPr>
      <w:r w:rsidRPr="008742E9">
        <w:rPr>
          <w:b/>
          <w:sz w:val="24"/>
          <w:szCs w:val="24"/>
        </w:rPr>
        <w:t>Влияние погодных предикторов на состояние популяций</w:t>
      </w:r>
      <w:r w:rsidRPr="008742E9">
        <w:rPr>
          <w:b/>
          <w:caps/>
          <w:sz w:val="24"/>
          <w:szCs w:val="24"/>
        </w:rPr>
        <w:t xml:space="preserve"> </w:t>
      </w:r>
      <w:r w:rsidRPr="008742E9">
        <w:rPr>
          <w:b/>
          <w:sz w:val="24"/>
          <w:szCs w:val="24"/>
        </w:rPr>
        <w:t>пьявицы обыкновенной в условиях Центральной зоны Краснодарского края</w:t>
      </w:r>
    </w:p>
    <w:p w:rsidR="008742E9" w:rsidRPr="008742E9" w:rsidRDefault="008742E9" w:rsidP="008742E9">
      <w:pPr>
        <w:jc w:val="center"/>
        <w:rPr>
          <w:b/>
          <w:sz w:val="24"/>
          <w:szCs w:val="24"/>
          <w:lang w:val="en-US"/>
        </w:rPr>
      </w:pPr>
      <w:r w:rsidRPr="008742E9">
        <w:rPr>
          <w:b/>
          <w:sz w:val="24"/>
          <w:szCs w:val="24"/>
          <w:lang w:val="en-US"/>
        </w:rPr>
        <w:t>Influence of weather predictors on the state of poppy seeds in conditions of the central zone of the Krasnodar territory</w:t>
      </w:r>
    </w:p>
    <w:p w:rsidR="008742E9" w:rsidRPr="008742E9" w:rsidRDefault="008742E9" w:rsidP="008742E9">
      <w:pPr>
        <w:jc w:val="center"/>
        <w:rPr>
          <w:b/>
          <w:caps/>
          <w:sz w:val="24"/>
          <w:szCs w:val="24"/>
          <w:lang w:val="en-US"/>
        </w:rPr>
      </w:pPr>
    </w:p>
    <w:p w:rsidR="008742E9" w:rsidRPr="00E22BC2" w:rsidRDefault="008742E9" w:rsidP="008742E9">
      <w:pPr>
        <w:ind w:firstLine="3261"/>
        <w:jc w:val="right"/>
        <w:rPr>
          <w:spacing w:val="-14"/>
          <w:sz w:val="22"/>
          <w:szCs w:val="22"/>
        </w:rPr>
      </w:pPr>
      <w:r w:rsidRPr="00E22BC2">
        <w:rPr>
          <w:spacing w:val="-14"/>
          <w:sz w:val="22"/>
          <w:szCs w:val="22"/>
        </w:rPr>
        <w:t>Третьякова Я.,</w:t>
      </w:r>
    </w:p>
    <w:p w:rsidR="002D7DA5" w:rsidRPr="00E22BC2" w:rsidRDefault="002D7DA5" w:rsidP="008742E9">
      <w:pPr>
        <w:jc w:val="right"/>
        <w:rPr>
          <w:spacing w:val="-14"/>
          <w:sz w:val="22"/>
          <w:szCs w:val="22"/>
        </w:rPr>
      </w:pPr>
      <w:r w:rsidRPr="00E22BC2">
        <w:rPr>
          <w:spacing w:val="-14"/>
          <w:sz w:val="22"/>
          <w:szCs w:val="22"/>
        </w:rPr>
        <w:t xml:space="preserve">     </w:t>
      </w:r>
      <w:r w:rsidR="008742E9" w:rsidRPr="00E22BC2">
        <w:rPr>
          <w:spacing w:val="-14"/>
          <w:sz w:val="22"/>
          <w:szCs w:val="22"/>
        </w:rPr>
        <w:t xml:space="preserve">магистрант 1 курса </w:t>
      </w:r>
    </w:p>
    <w:p w:rsidR="008742E9" w:rsidRPr="00E22BC2" w:rsidRDefault="008742E9" w:rsidP="002D7DA5">
      <w:pPr>
        <w:jc w:val="right"/>
        <w:rPr>
          <w:spacing w:val="-14"/>
          <w:sz w:val="22"/>
          <w:szCs w:val="22"/>
        </w:rPr>
      </w:pPr>
      <w:r w:rsidRPr="00E22BC2">
        <w:rPr>
          <w:spacing w:val="-14"/>
          <w:sz w:val="22"/>
          <w:szCs w:val="22"/>
        </w:rPr>
        <w:t>факультета агрохимии и</w:t>
      </w:r>
      <w:r w:rsidR="002D7DA5" w:rsidRPr="00E22BC2">
        <w:rPr>
          <w:spacing w:val="-14"/>
          <w:sz w:val="22"/>
          <w:szCs w:val="22"/>
        </w:rPr>
        <w:t xml:space="preserve"> </w:t>
      </w:r>
      <w:r w:rsidRPr="00E22BC2">
        <w:rPr>
          <w:spacing w:val="-14"/>
          <w:sz w:val="22"/>
          <w:szCs w:val="22"/>
        </w:rPr>
        <w:t>защиты растений</w:t>
      </w:r>
    </w:p>
    <w:p w:rsidR="008742E9" w:rsidRPr="00E22BC2" w:rsidRDefault="002D7DA5" w:rsidP="008742E9">
      <w:pPr>
        <w:ind w:firstLine="3261"/>
        <w:jc w:val="right"/>
        <w:rPr>
          <w:spacing w:val="-4"/>
          <w:sz w:val="22"/>
          <w:szCs w:val="22"/>
        </w:rPr>
      </w:pPr>
      <w:r w:rsidRPr="00E22BC2">
        <w:rPr>
          <w:spacing w:val="-4"/>
          <w:sz w:val="22"/>
          <w:szCs w:val="22"/>
        </w:rPr>
        <w:t>Пикушова Э. А.,</w:t>
      </w:r>
    </w:p>
    <w:p w:rsidR="008742E9" w:rsidRPr="00E22BC2" w:rsidRDefault="008742E9" w:rsidP="008742E9">
      <w:pPr>
        <w:jc w:val="right"/>
        <w:rPr>
          <w:spacing w:val="-4"/>
          <w:sz w:val="22"/>
          <w:szCs w:val="22"/>
        </w:rPr>
      </w:pPr>
      <w:r w:rsidRPr="00E22BC2">
        <w:rPr>
          <w:spacing w:val="-4"/>
          <w:sz w:val="22"/>
          <w:szCs w:val="22"/>
        </w:rPr>
        <w:t xml:space="preserve">                                                   </w:t>
      </w:r>
      <w:r w:rsidR="002D7DA5" w:rsidRPr="00E22BC2">
        <w:rPr>
          <w:spacing w:val="-4"/>
          <w:sz w:val="22"/>
          <w:szCs w:val="22"/>
        </w:rPr>
        <w:t>профессор кафедры фитопатлогии,</w:t>
      </w:r>
    </w:p>
    <w:p w:rsidR="008742E9" w:rsidRPr="00E22BC2" w:rsidRDefault="008742E9" w:rsidP="008742E9">
      <w:pPr>
        <w:jc w:val="right"/>
        <w:rPr>
          <w:spacing w:val="-4"/>
          <w:sz w:val="22"/>
          <w:szCs w:val="22"/>
        </w:rPr>
      </w:pPr>
      <w:r w:rsidRPr="00E22BC2">
        <w:rPr>
          <w:spacing w:val="-4"/>
          <w:sz w:val="22"/>
          <w:szCs w:val="22"/>
        </w:rPr>
        <w:t xml:space="preserve">                                                       энтомологии  и защиты растений </w:t>
      </w:r>
    </w:p>
    <w:p w:rsidR="008742E9" w:rsidRPr="00E22BC2" w:rsidRDefault="008742E9" w:rsidP="008742E9">
      <w:pPr>
        <w:ind w:firstLine="3261"/>
        <w:jc w:val="right"/>
        <w:rPr>
          <w:spacing w:val="-4"/>
          <w:sz w:val="22"/>
          <w:szCs w:val="22"/>
        </w:rPr>
      </w:pPr>
      <w:r w:rsidRPr="00E22BC2">
        <w:rPr>
          <w:spacing w:val="-4"/>
          <w:sz w:val="22"/>
          <w:szCs w:val="22"/>
        </w:rPr>
        <w:t xml:space="preserve">Кубанский государственный </w:t>
      </w:r>
      <w:r w:rsidR="002D7DA5" w:rsidRPr="00E22BC2">
        <w:rPr>
          <w:spacing w:val="-4"/>
          <w:sz w:val="22"/>
          <w:szCs w:val="22"/>
        </w:rPr>
        <w:br/>
      </w:r>
      <w:r w:rsidRPr="00E22BC2">
        <w:rPr>
          <w:spacing w:val="-4"/>
          <w:sz w:val="22"/>
          <w:szCs w:val="22"/>
        </w:rPr>
        <w:t>аграрный университет имени И.</w:t>
      </w:r>
      <w:r w:rsidR="002D7DA5" w:rsidRPr="00E22BC2">
        <w:rPr>
          <w:spacing w:val="-4"/>
          <w:sz w:val="22"/>
          <w:szCs w:val="22"/>
        </w:rPr>
        <w:t xml:space="preserve"> </w:t>
      </w:r>
      <w:r w:rsidRPr="00E22BC2">
        <w:rPr>
          <w:spacing w:val="-4"/>
          <w:sz w:val="22"/>
          <w:szCs w:val="22"/>
        </w:rPr>
        <w:t>Т. Трубилина</w:t>
      </w:r>
    </w:p>
    <w:p w:rsidR="008742E9" w:rsidRPr="008742E9" w:rsidRDefault="008742E9" w:rsidP="008742E9">
      <w:pPr>
        <w:jc w:val="center"/>
        <w:rPr>
          <w:b/>
          <w:spacing w:val="-2"/>
          <w:sz w:val="20"/>
          <w:szCs w:val="20"/>
        </w:rPr>
      </w:pPr>
    </w:p>
    <w:p w:rsidR="008742E9" w:rsidRPr="008742E9" w:rsidRDefault="008742E9" w:rsidP="008742E9">
      <w:pPr>
        <w:ind w:firstLine="425"/>
        <w:jc w:val="both"/>
        <w:rPr>
          <w:sz w:val="22"/>
          <w:szCs w:val="22"/>
        </w:rPr>
      </w:pPr>
      <w:r w:rsidRPr="008742E9">
        <w:rPr>
          <w:sz w:val="22"/>
          <w:szCs w:val="22"/>
        </w:rPr>
        <w:t>АННОТАЦИЯ: Представлен прогноз развития популяций пь</w:t>
      </w:r>
      <w:r w:rsidRPr="008742E9">
        <w:rPr>
          <w:sz w:val="22"/>
          <w:szCs w:val="22"/>
        </w:rPr>
        <w:t>я</w:t>
      </w:r>
      <w:r w:rsidRPr="008742E9">
        <w:rPr>
          <w:sz w:val="22"/>
          <w:szCs w:val="22"/>
        </w:rPr>
        <w:t>вицы обыкновенной на озимой пшенице сорта Алексеич с учетом погодных предикторов в период летней и зимней диапаузы вред</w:t>
      </w:r>
      <w:r w:rsidRPr="008742E9">
        <w:rPr>
          <w:sz w:val="22"/>
          <w:szCs w:val="22"/>
        </w:rPr>
        <w:t>и</w:t>
      </w:r>
      <w:r w:rsidRPr="008742E9">
        <w:rPr>
          <w:sz w:val="22"/>
          <w:szCs w:val="22"/>
        </w:rPr>
        <w:t>теля.</w:t>
      </w:r>
    </w:p>
    <w:p w:rsidR="008742E9" w:rsidRPr="008742E9" w:rsidRDefault="008742E9" w:rsidP="008742E9">
      <w:pPr>
        <w:ind w:firstLine="425"/>
        <w:jc w:val="both"/>
        <w:rPr>
          <w:sz w:val="22"/>
          <w:szCs w:val="22"/>
          <w:lang w:val="en-US"/>
        </w:rPr>
      </w:pPr>
      <w:r w:rsidRPr="008742E9">
        <w:rPr>
          <w:sz w:val="22"/>
          <w:szCs w:val="22"/>
          <w:lang w:val="en-US"/>
        </w:rPr>
        <w:t>ABSTRACT: The prognosis of the development of populations of ordinary piagia on winter wheat of Alekseyich type with account of weather predictors during the summer and winter diapause of the pest is presented.</w:t>
      </w:r>
    </w:p>
    <w:p w:rsidR="008742E9" w:rsidRPr="008742E9" w:rsidRDefault="008742E9" w:rsidP="008742E9">
      <w:pPr>
        <w:ind w:firstLine="425"/>
        <w:jc w:val="both"/>
        <w:rPr>
          <w:color w:val="212121"/>
          <w:sz w:val="22"/>
          <w:szCs w:val="22"/>
        </w:rPr>
      </w:pPr>
      <w:r w:rsidRPr="008742E9">
        <w:rPr>
          <w:sz w:val="22"/>
          <w:szCs w:val="22"/>
        </w:rPr>
        <w:t>КЛЮЧЕВЫЕ СЛОВА: озимая пшеница, пьявица обыкнове</w:t>
      </w:r>
      <w:r w:rsidRPr="008742E9">
        <w:rPr>
          <w:sz w:val="22"/>
          <w:szCs w:val="22"/>
        </w:rPr>
        <w:t>н</w:t>
      </w:r>
      <w:r w:rsidRPr="008742E9">
        <w:rPr>
          <w:sz w:val="22"/>
          <w:szCs w:val="22"/>
        </w:rPr>
        <w:t>ная, прогноз, погодные предикторы</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r w:rsidRPr="008742E9">
        <w:rPr>
          <w:sz w:val="22"/>
          <w:szCs w:val="22"/>
          <w:lang w:val="en-US"/>
        </w:rPr>
        <w:lastRenderedPageBreak/>
        <w:t>KEY WORDS: winter wheat, ordinary lavender, forecast, weather predictors</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color w:val="212121"/>
          <w:sz w:val="22"/>
          <w:szCs w:val="22"/>
          <w:lang w:val="en-US"/>
        </w:rPr>
      </w:pPr>
    </w:p>
    <w:p w:rsidR="008742E9" w:rsidRPr="008742E9" w:rsidRDefault="008742E9" w:rsidP="008742E9">
      <w:pPr>
        <w:ind w:firstLine="425"/>
        <w:jc w:val="both"/>
        <w:rPr>
          <w:spacing w:val="-8"/>
          <w:kern w:val="20"/>
          <w:sz w:val="22"/>
          <w:szCs w:val="22"/>
        </w:rPr>
      </w:pPr>
      <w:proofErr w:type="gramStart"/>
      <w:r w:rsidRPr="008742E9">
        <w:rPr>
          <w:spacing w:val="-8"/>
          <w:kern w:val="20"/>
          <w:sz w:val="22"/>
          <w:szCs w:val="22"/>
        </w:rPr>
        <w:t>Агроценоз озимой пшеницы характеризуется большим разнообраз</w:t>
      </w:r>
      <w:r w:rsidRPr="008742E9">
        <w:rPr>
          <w:spacing w:val="-8"/>
          <w:kern w:val="20"/>
          <w:sz w:val="22"/>
          <w:szCs w:val="22"/>
        </w:rPr>
        <w:t>и</w:t>
      </w:r>
      <w:r w:rsidRPr="008742E9">
        <w:rPr>
          <w:spacing w:val="-8"/>
          <w:kern w:val="20"/>
          <w:sz w:val="22"/>
          <w:szCs w:val="22"/>
        </w:rPr>
        <w:t>ем видов вредителей, среди которых в последние годы выделяется пьяв</w:t>
      </w:r>
      <w:r w:rsidRPr="008742E9">
        <w:rPr>
          <w:spacing w:val="-8"/>
          <w:kern w:val="20"/>
          <w:sz w:val="22"/>
          <w:szCs w:val="22"/>
        </w:rPr>
        <w:t>и</w:t>
      </w:r>
      <w:r w:rsidRPr="008742E9">
        <w:rPr>
          <w:spacing w:val="-8"/>
          <w:kern w:val="20"/>
          <w:sz w:val="22"/>
          <w:szCs w:val="22"/>
        </w:rPr>
        <w:t>ца обыкновенная (</w:t>
      </w:r>
      <w:r w:rsidRPr="008742E9">
        <w:rPr>
          <w:spacing w:val="-8"/>
          <w:kern w:val="20"/>
          <w:sz w:val="22"/>
          <w:szCs w:val="22"/>
          <w:lang w:val="en-US"/>
        </w:rPr>
        <w:t>Coleoptera</w:t>
      </w:r>
      <w:r w:rsidRPr="008742E9">
        <w:rPr>
          <w:spacing w:val="-8"/>
          <w:kern w:val="20"/>
          <w:sz w:val="22"/>
          <w:szCs w:val="22"/>
        </w:rPr>
        <w:t xml:space="preserve">, </w:t>
      </w:r>
      <w:r w:rsidRPr="008742E9">
        <w:rPr>
          <w:spacing w:val="-8"/>
          <w:kern w:val="20"/>
          <w:sz w:val="22"/>
          <w:szCs w:val="22"/>
          <w:lang w:val="en-US"/>
        </w:rPr>
        <w:t>Chrysomelidae</w:t>
      </w:r>
      <w:r w:rsidRPr="008742E9">
        <w:rPr>
          <w:spacing w:val="-8"/>
          <w:kern w:val="20"/>
          <w:sz w:val="22"/>
          <w:szCs w:val="22"/>
        </w:rPr>
        <w:t xml:space="preserve">, </w:t>
      </w:r>
      <w:r w:rsidRPr="008742E9">
        <w:rPr>
          <w:spacing w:val="-8"/>
          <w:kern w:val="20"/>
          <w:sz w:val="22"/>
          <w:szCs w:val="22"/>
          <w:lang w:val="en-US"/>
        </w:rPr>
        <w:t>Lema</w:t>
      </w:r>
      <w:r w:rsidRPr="008742E9">
        <w:rPr>
          <w:spacing w:val="-8"/>
          <w:kern w:val="20"/>
          <w:sz w:val="22"/>
          <w:szCs w:val="22"/>
        </w:rPr>
        <w:t xml:space="preserve"> </w:t>
      </w:r>
      <w:r w:rsidRPr="008742E9">
        <w:rPr>
          <w:spacing w:val="-8"/>
          <w:kern w:val="20"/>
          <w:sz w:val="22"/>
          <w:szCs w:val="22"/>
          <w:lang w:val="en-US"/>
        </w:rPr>
        <w:t>meanopus</w:t>
      </w:r>
      <w:r w:rsidRPr="008742E9">
        <w:rPr>
          <w:spacing w:val="-8"/>
          <w:kern w:val="20"/>
          <w:sz w:val="22"/>
          <w:szCs w:val="22"/>
        </w:rPr>
        <w:t xml:space="preserve"> </w:t>
      </w:r>
      <w:r w:rsidRPr="008742E9">
        <w:rPr>
          <w:spacing w:val="-8"/>
          <w:kern w:val="20"/>
          <w:sz w:val="22"/>
          <w:szCs w:val="22"/>
          <w:lang w:val="en-US"/>
        </w:rPr>
        <w:t>L</w:t>
      </w:r>
      <w:r w:rsidRPr="008742E9">
        <w:rPr>
          <w:spacing w:val="-8"/>
          <w:kern w:val="20"/>
          <w:sz w:val="22"/>
          <w:szCs w:val="22"/>
        </w:rPr>
        <w:t>.).</w:t>
      </w:r>
      <w:proofErr w:type="gramEnd"/>
      <w:r w:rsidRPr="008742E9">
        <w:rPr>
          <w:spacing w:val="-8"/>
          <w:kern w:val="20"/>
          <w:sz w:val="22"/>
          <w:szCs w:val="22"/>
        </w:rPr>
        <w:t xml:space="preserve"> Макс</w:t>
      </w:r>
      <w:r w:rsidRPr="008742E9">
        <w:rPr>
          <w:spacing w:val="-8"/>
          <w:kern w:val="20"/>
          <w:sz w:val="22"/>
          <w:szCs w:val="22"/>
        </w:rPr>
        <w:t>и</w:t>
      </w:r>
      <w:r w:rsidRPr="008742E9">
        <w:rPr>
          <w:spacing w:val="-8"/>
          <w:kern w:val="20"/>
          <w:sz w:val="22"/>
          <w:szCs w:val="22"/>
        </w:rPr>
        <w:t>мальную опасность вредитель представляет в фазу выхода в трубку, когда у растений озимой пшеницы закончились процессы компенсационной способности восстанавливать вегетативную массу. Особенно вредоносно повреждение флагового листа, который имеет важнейшее значение в формировании урожая зерна. В связи с этим возрастает важность долг</w:t>
      </w:r>
      <w:r w:rsidRPr="008742E9">
        <w:rPr>
          <w:spacing w:val="-8"/>
          <w:kern w:val="20"/>
          <w:sz w:val="22"/>
          <w:szCs w:val="22"/>
        </w:rPr>
        <w:t>о</w:t>
      </w:r>
      <w:r w:rsidRPr="008742E9">
        <w:rPr>
          <w:spacing w:val="-8"/>
          <w:kern w:val="20"/>
          <w:sz w:val="22"/>
          <w:szCs w:val="22"/>
        </w:rPr>
        <w:t>срочного и краткосрочного прогнозов развития популяций вредителя в конкретных агроклиматических условиях с целью определения целесоо</w:t>
      </w:r>
      <w:r w:rsidRPr="008742E9">
        <w:rPr>
          <w:spacing w:val="-8"/>
          <w:kern w:val="20"/>
          <w:sz w:val="22"/>
          <w:szCs w:val="22"/>
        </w:rPr>
        <w:t>б</w:t>
      </w:r>
      <w:r w:rsidRPr="008742E9">
        <w:rPr>
          <w:spacing w:val="-8"/>
          <w:kern w:val="20"/>
          <w:sz w:val="22"/>
          <w:szCs w:val="22"/>
        </w:rPr>
        <w:t xml:space="preserve">разности проведения защитных мероприятий (1). </w:t>
      </w:r>
    </w:p>
    <w:p w:rsidR="008742E9" w:rsidRPr="008742E9" w:rsidRDefault="008742E9" w:rsidP="008742E9">
      <w:pPr>
        <w:ind w:firstLine="425"/>
        <w:jc w:val="both"/>
        <w:rPr>
          <w:spacing w:val="-8"/>
          <w:kern w:val="20"/>
          <w:sz w:val="22"/>
          <w:szCs w:val="22"/>
        </w:rPr>
      </w:pPr>
      <w:r w:rsidRPr="008742E9">
        <w:rPr>
          <w:spacing w:val="-8"/>
          <w:kern w:val="20"/>
          <w:sz w:val="22"/>
          <w:szCs w:val="22"/>
        </w:rPr>
        <w:t>Исследования проводились в 2016 и 2017 годах на семенных посевах озимой пшеницы сорта Алексеич на опытном поле учебно-опытного х</w:t>
      </w:r>
      <w:r w:rsidRPr="008742E9">
        <w:rPr>
          <w:spacing w:val="-8"/>
          <w:kern w:val="20"/>
          <w:sz w:val="22"/>
          <w:szCs w:val="22"/>
        </w:rPr>
        <w:t>о</w:t>
      </w:r>
      <w:r w:rsidRPr="008742E9">
        <w:rPr>
          <w:spacing w:val="-8"/>
          <w:kern w:val="20"/>
          <w:sz w:val="22"/>
          <w:szCs w:val="22"/>
        </w:rPr>
        <w:t>зяйства «Кубань». Сорт селекции НЦЗ имени П.П. Лукъяненко, полука</w:t>
      </w:r>
      <w:r w:rsidRPr="008742E9">
        <w:rPr>
          <w:spacing w:val="-8"/>
          <w:kern w:val="20"/>
          <w:sz w:val="22"/>
          <w:szCs w:val="22"/>
        </w:rPr>
        <w:t>р</w:t>
      </w:r>
      <w:r w:rsidRPr="008742E9">
        <w:rPr>
          <w:spacing w:val="-8"/>
          <w:kern w:val="20"/>
          <w:sz w:val="22"/>
          <w:szCs w:val="22"/>
        </w:rPr>
        <w:t>ликовый, устойчивый к полеганию, к ржавчинным заболеваниям. Хара</w:t>
      </w:r>
      <w:r w:rsidRPr="008742E9">
        <w:rPr>
          <w:spacing w:val="-8"/>
          <w:kern w:val="20"/>
          <w:sz w:val="22"/>
          <w:szCs w:val="22"/>
        </w:rPr>
        <w:t>к</w:t>
      </w:r>
      <w:r w:rsidRPr="008742E9">
        <w:rPr>
          <w:spacing w:val="-8"/>
          <w:kern w:val="20"/>
          <w:sz w:val="22"/>
          <w:szCs w:val="22"/>
        </w:rPr>
        <w:t>теризуется средней устойчивостью к септориозу, потенциалом урожайн</w:t>
      </w:r>
      <w:r w:rsidRPr="008742E9">
        <w:rPr>
          <w:spacing w:val="-8"/>
          <w:kern w:val="20"/>
          <w:sz w:val="22"/>
          <w:szCs w:val="22"/>
        </w:rPr>
        <w:t>о</w:t>
      </w:r>
      <w:r w:rsidRPr="008742E9">
        <w:rPr>
          <w:spacing w:val="-8"/>
          <w:kern w:val="20"/>
          <w:sz w:val="22"/>
          <w:szCs w:val="22"/>
        </w:rPr>
        <w:t>сти 130 ц/га и высоким качеством зерна. Селекция на устойчивость к пь</w:t>
      </w:r>
      <w:r w:rsidRPr="008742E9">
        <w:rPr>
          <w:spacing w:val="-8"/>
          <w:kern w:val="20"/>
          <w:sz w:val="22"/>
          <w:szCs w:val="22"/>
        </w:rPr>
        <w:t>я</w:t>
      </w:r>
      <w:r w:rsidRPr="008742E9">
        <w:rPr>
          <w:spacing w:val="-8"/>
          <w:kern w:val="20"/>
          <w:sz w:val="22"/>
          <w:szCs w:val="22"/>
        </w:rPr>
        <w:t xml:space="preserve">вице </w:t>
      </w:r>
      <w:proofErr w:type="gramStart"/>
      <w:r w:rsidRPr="008742E9">
        <w:rPr>
          <w:spacing w:val="-8"/>
          <w:kern w:val="20"/>
          <w:sz w:val="22"/>
          <w:szCs w:val="22"/>
        </w:rPr>
        <w:t>обыкновенной</w:t>
      </w:r>
      <w:proofErr w:type="gramEnd"/>
      <w:r w:rsidRPr="008742E9">
        <w:rPr>
          <w:spacing w:val="-8"/>
          <w:kern w:val="20"/>
          <w:sz w:val="22"/>
          <w:szCs w:val="22"/>
        </w:rPr>
        <w:t xml:space="preserve"> не велась. Наблюдения и учеты вредителя велись по общепринятым методикам ВИЗР.  Для разработки прогноза состояния популяции пьявицы обыкновенной использовались погодные предикторы вегетационных периодов в предшествующие и конкретные годы (2, 3). Анализировались условия температуры воздуха в июле - августе пред</w:t>
      </w:r>
      <w:r w:rsidRPr="008742E9">
        <w:rPr>
          <w:spacing w:val="-8"/>
          <w:kern w:val="20"/>
          <w:sz w:val="22"/>
          <w:szCs w:val="22"/>
        </w:rPr>
        <w:t>ы</w:t>
      </w:r>
      <w:r w:rsidRPr="008742E9">
        <w:rPr>
          <w:spacing w:val="-8"/>
          <w:kern w:val="20"/>
          <w:sz w:val="22"/>
          <w:szCs w:val="22"/>
        </w:rPr>
        <w:t xml:space="preserve">дущего года и в зимние месяцы, а также влажность почвы. </w:t>
      </w:r>
    </w:p>
    <w:p w:rsidR="008742E9" w:rsidRPr="008742E9" w:rsidRDefault="008742E9" w:rsidP="008742E9">
      <w:pPr>
        <w:ind w:firstLine="425"/>
        <w:jc w:val="both"/>
        <w:rPr>
          <w:spacing w:val="-8"/>
          <w:kern w:val="20"/>
          <w:sz w:val="22"/>
          <w:szCs w:val="22"/>
        </w:rPr>
      </w:pPr>
      <w:proofErr w:type="gramStart"/>
      <w:r w:rsidRPr="008742E9">
        <w:rPr>
          <w:spacing w:val="-8"/>
          <w:kern w:val="20"/>
          <w:sz w:val="22"/>
          <w:szCs w:val="22"/>
        </w:rPr>
        <w:t>На состояние популяций пьявицы обыкновенной влияют погодные условия в период развития куколок в летний период  и имаго в зимнюю диапаузу, которые использованы для разработки долгосрочного прогноза.</w:t>
      </w:r>
      <w:proofErr w:type="gramEnd"/>
      <w:r w:rsidRPr="008742E9">
        <w:rPr>
          <w:spacing w:val="-8"/>
          <w:kern w:val="20"/>
          <w:sz w:val="22"/>
          <w:szCs w:val="22"/>
        </w:rPr>
        <w:t xml:space="preserve"> В 2015 году в июле, в период развития куколок  осадки выпадали очень неравномерно, что обеспечивало пониженную влажность почвы и созд</w:t>
      </w:r>
      <w:r w:rsidRPr="008742E9">
        <w:rPr>
          <w:spacing w:val="-8"/>
          <w:kern w:val="20"/>
          <w:sz w:val="22"/>
          <w:szCs w:val="22"/>
        </w:rPr>
        <w:t>а</w:t>
      </w:r>
      <w:r w:rsidRPr="008742E9">
        <w:rPr>
          <w:spacing w:val="-8"/>
          <w:kern w:val="20"/>
          <w:sz w:val="22"/>
          <w:szCs w:val="22"/>
        </w:rPr>
        <w:t>вало оптимальные условия для их выживания. Во влажной почве диап</w:t>
      </w:r>
      <w:r w:rsidRPr="008742E9">
        <w:rPr>
          <w:spacing w:val="-8"/>
          <w:kern w:val="20"/>
          <w:sz w:val="22"/>
          <w:szCs w:val="22"/>
        </w:rPr>
        <w:t>а</w:t>
      </w:r>
      <w:r w:rsidRPr="008742E9">
        <w:rPr>
          <w:spacing w:val="-8"/>
          <w:kern w:val="20"/>
          <w:sz w:val="22"/>
          <w:szCs w:val="22"/>
        </w:rPr>
        <w:t>узирующей куколки пьявицы обыкновенной поражаются энтомопатоге</w:t>
      </w:r>
      <w:r w:rsidRPr="008742E9">
        <w:rPr>
          <w:spacing w:val="-8"/>
          <w:kern w:val="20"/>
          <w:sz w:val="22"/>
          <w:szCs w:val="22"/>
        </w:rPr>
        <w:t>н</w:t>
      </w:r>
      <w:r w:rsidRPr="008742E9">
        <w:rPr>
          <w:spacing w:val="-8"/>
          <w:kern w:val="20"/>
          <w:sz w:val="22"/>
          <w:szCs w:val="22"/>
        </w:rPr>
        <w:t>ными грибами, что снижает численность вредителя.</w:t>
      </w:r>
    </w:p>
    <w:p w:rsidR="008742E9" w:rsidRPr="008742E9" w:rsidRDefault="008742E9" w:rsidP="008742E9">
      <w:pPr>
        <w:ind w:firstLine="425"/>
        <w:jc w:val="both"/>
        <w:rPr>
          <w:spacing w:val="-8"/>
          <w:kern w:val="20"/>
          <w:sz w:val="22"/>
          <w:szCs w:val="22"/>
        </w:rPr>
      </w:pPr>
      <w:proofErr w:type="gramStart"/>
      <w:r w:rsidRPr="008742E9">
        <w:rPr>
          <w:spacing w:val="-8"/>
          <w:kern w:val="20"/>
          <w:sz w:val="22"/>
          <w:szCs w:val="22"/>
        </w:rPr>
        <w:t>В зимние месяцы, в период диапаузы имаго, средние отрицательные температуры воздуха в основном колебались от минус 0,7 до минус 13</w:t>
      </w:r>
      <w:bookmarkStart w:id="1" w:name="_Hlk509566926"/>
      <w:r w:rsidRPr="008742E9">
        <w:rPr>
          <w:spacing w:val="-8"/>
          <w:kern w:val="20"/>
          <w:sz w:val="22"/>
          <w:szCs w:val="22"/>
        </w:rPr>
        <w:t xml:space="preserve"> ºС</w:t>
      </w:r>
      <w:r w:rsidRPr="008742E9">
        <w:rPr>
          <w:rFonts w:eastAsia="Calibri"/>
          <w:spacing w:val="-4"/>
          <w:sz w:val="22"/>
          <w:szCs w:val="22"/>
          <w:lang w:eastAsia="en-US"/>
        </w:rPr>
        <w:t>.</w:t>
      </w:r>
      <w:bookmarkEnd w:id="1"/>
      <w:r w:rsidRPr="008742E9">
        <w:rPr>
          <w:rFonts w:eastAsia="Calibri"/>
          <w:spacing w:val="-4"/>
          <w:sz w:val="22"/>
          <w:szCs w:val="22"/>
          <w:lang w:eastAsia="en-US"/>
        </w:rPr>
        <w:t xml:space="preserve"> </w:t>
      </w:r>
      <w:r w:rsidRPr="008742E9">
        <w:rPr>
          <w:spacing w:val="-8"/>
          <w:kern w:val="20"/>
          <w:sz w:val="22"/>
          <w:szCs w:val="22"/>
        </w:rPr>
        <w:t xml:space="preserve"> Только в первой декаде января 2016 года температура кратковременно опускалась до минус 19 ºС</w:t>
      </w:r>
      <w:r w:rsidRPr="008742E9">
        <w:rPr>
          <w:rFonts w:eastAsia="Calibri"/>
          <w:spacing w:val="-4"/>
          <w:sz w:val="22"/>
          <w:szCs w:val="22"/>
          <w:lang w:eastAsia="en-US"/>
        </w:rPr>
        <w:t xml:space="preserve">. </w:t>
      </w:r>
      <w:r w:rsidRPr="008742E9">
        <w:rPr>
          <w:spacing w:val="-8"/>
          <w:kern w:val="20"/>
          <w:sz w:val="22"/>
          <w:szCs w:val="22"/>
        </w:rPr>
        <w:t xml:space="preserve">В таких условиях промерзание почвы было </w:t>
      </w:r>
      <w:r w:rsidRPr="008742E9">
        <w:rPr>
          <w:spacing w:val="-8"/>
          <w:kern w:val="20"/>
          <w:sz w:val="22"/>
          <w:szCs w:val="22"/>
        </w:rPr>
        <w:lastRenderedPageBreak/>
        <w:t>незначительным и не оказало отрицательного влияния на выживание ди</w:t>
      </w:r>
      <w:r w:rsidRPr="008742E9">
        <w:rPr>
          <w:spacing w:val="-8"/>
          <w:kern w:val="20"/>
          <w:sz w:val="22"/>
          <w:szCs w:val="22"/>
        </w:rPr>
        <w:t>а</w:t>
      </w:r>
      <w:r w:rsidRPr="008742E9">
        <w:rPr>
          <w:spacing w:val="-8"/>
          <w:kern w:val="20"/>
          <w:sz w:val="22"/>
          <w:szCs w:val="22"/>
        </w:rPr>
        <w:t>паузирующих жуков.</w:t>
      </w:r>
      <w:proofErr w:type="gramEnd"/>
      <w:r w:rsidRPr="008742E9">
        <w:rPr>
          <w:spacing w:val="-8"/>
          <w:kern w:val="20"/>
          <w:sz w:val="22"/>
          <w:szCs w:val="22"/>
        </w:rPr>
        <w:t xml:space="preserve"> Это дало основание прогнозировать высокую чи</w:t>
      </w:r>
      <w:r w:rsidRPr="008742E9">
        <w:rPr>
          <w:spacing w:val="-8"/>
          <w:kern w:val="20"/>
          <w:sz w:val="22"/>
          <w:szCs w:val="22"/>
        </w:rPr>
        <w:t>с</w:t>
      </w:r>
      <w:r w:rsidRPr="008742E9">
        <w:rPr>
          <w:spacing w:val="-8"/>
          <w:kern w:val="20"/>
          <w:sz w:val="22"/>
          <w:szCs w:val="22"/>
        </w:rPr>
        <w:t>ленность вредителя, что и подтвердили учеты численности имаго при п</w:t>
      </w:r>
      <w:r w:rsidRPr="008742E9">
        <w:rPr>
          <w:spacing w:val="-8"/>
          <w:kern w:val="20"/>
          <w:sz w:val="22"/>
          <w:szCs w:val="22"/>
        </w:rPr>
        <w:t>е</w:t>
      </w:r>
      <w:r w:rsidRPr="008742E9">
        <w:rPr>
          <w:spacing w:val="-8"/>
          <w:kern w:val="20"/>
          <w:sz w:val="22"/>
          <w:szCs w:val="22"/>
        </w:rPr>
        <w:t xml:space="preserve">релете на посевы озимой пшеницы. </w:t>
      </w:r>
      <w:proofErr w:type="gramStart"/>
      <w:r w:rsidRPr="008742E9">
        <w:rPr>
          <w:spacing w:val="-8"/>
          <w:kern w:val="20"/>
          <w:sz w:val="22"/>
          <w:szCs w:val="22"/>
        </w:rPr>
        <w:t>Выход первых имаго из диапаузы и перелет на озимую пшеницу состоялся с 24 марта, а массовое заселение посевов произошло с  6 апреля  при стабильном переходе через темпер</w:t>
      </w:r>
      <w:r w:rsidRPr="008742E9">
        <w:rPr>
          <w:spacing w:val="-8"/>
          <w:kern w:val="20"/>
          <w:sz w:val="22"/>
          <w:szCs w:val="22"/>
        </w:rPr>
        <w:t>а</w:t>
      </w:r>
      <w:r w:rsidRPr="008742E9">
        <w:rPr>
          <w:spacing w:val="-8"/>
          <w:kern w:val="20"/>
          <w:sz w:val="22"/>
          <w:szCs w:val="22"/>
        </w:rPr>
        <w:t>туру +10 ºС. Высокая численность имаго реализовалась в заселенности посева озимой пшеницы личинками пьявицы обыкновенной выше ЭПВ, которая составила в очагах по краю поля от 2,3 до 4,1 экз./стебель.</w:t>
      </w:r>
      <w:proofErr w:type="gramEnd"/>
      <w:r w:rsidRPr="008742E9">
        <w:rPr>
          <w:spacing w:val="-8"/>
          <w:kern w:val="20"/>
          <w:sz w:val="22"/>
          <w:szCs w:val="22"/>
        </w:rPr>
        <w:t xml:space="preserve"> В це</w:t>
      </w:r>
      <w:r w:rsidRPr="008742E9">
        <w:rPr>
          <w:spacing w:val="-8"/>
          <w:kern w:val="20"/>
          <w:sz w:val="22"/>
          <w:szCs w:val="22"/>
        </w:rPr>
        <w:t>н</w:t>
      </w:r>
      <w:r w:rsidRPr="008742E9">
        <w:rPr>
          <w:spacing w:val="-8"/>
          <w:kern w:val="20"/>
          <w:sz w:val="22"/>
          <w:szCs w:val="22"/>
        </w:rPr>
        <w:t xml:space="preserve">тре поля наблюдались очаги вредителя с численностью от 1,7 до 2,4 экз./стебель, что также было выше ЭПВ, который составляет 0,7  </w:t>
      </w:r>
      <w:r w:rsidR="003C00E9">
        <w:rPr>
          <w:spacing w:val="-8"/>
          <w:kern w:val="20"/>
          <w:sz w:val="22"/>
          <w:szCs w:val="22"/>
        </w:rPr>
        <w:t xml:space="preserve">экз./стебель. </w:t>
      </w:r>
      <w:r w:rsidRPr="008742E9">
        <w:rPr>
          <w:spacing w:val="-8"/>
          <w:kern w:val="20"/>
          <w:sz w:val="22"/>
          <w:szCs w:val="22"/>
        </w:rPr>
        <w:t>В результате краткосрочного прогноза подтверждена целес</w:t>
      </w:r>
      <w:r w:rsidRPr="008742E9">
        <w:rPr>
          <w:spacing w:val="-8"/>
          <w:kern w:val="20"/>
          <w:sz w:val="22"/>
          <w:szCs w:val="22"/>
        </w:rPr>
        <w:t>о</w:t>
      </w:r>
      <w:r w:rsidRPr="008742E9">
        <w:rPr>
          <w:spacing w:val="-8"/>
          <w:kern w:val="20"/>
          <w:sz w:val="22"/>
          <w:szCs w:val="22"/>
        </w:rPr>
        <w:t>образность проведения опрыскивания посева инсектицидом против лич</w:t>
      </w:r>
      <w:r w:rsidRPr="008742E9">
        <w:rPr>
          <w:spacing w:val="-8"/>
          <w:kern w:val="20"/>
          <w:sz w:val="22"/>
          <w:szCs w:val="22"/>
        </w:rPr>
        <w:t>и</w:t>
      </w:r>
      <w:r w:rsidRPr="008742E9">
        <w:rPr>
          <w:spacing w:val="-8"/>
          <w:kern w:val="20"/>
          <w:sz w:val="22"/>
          <w:szCs w:val="22"/>
        </w:rPr>
        <w:t xml:space="preserve">нок пьявицы </w:t>
      </w:r>
      <w:proofErr w:type="gramStart"/>
      <w:r w:rsidRPr="008742E9">
        <w:rPr>
          <w:spacing w:val="-8"/>
          <w:kern w:val="20"/>
          <w:sz w:val="22"/>
          <w:szCs w:val="22"/>
        </w:rPr>
        <w:t>обыкновенной</w:t>
      </w:r>
      <w:proofErr w:type="gramEnd"/>
      <w:r w:rsidRPr="008742E9">
        <w:rPr>
          <w:spacing w:val="-8"/>
          <w:kern w:val="20"/>
          <w:sz w:val="22"/>
          <w:szCs w:val="22"/>
        </w:rPr>
        <w:t>. Применение пиретроидного инсектицида Дециса обеспечило биологическую эффективность 87 %.</w:t>
      </w:r>
    </w:p>
    <w:p w:rsidR="008742E9" w:rsidRPr="008742E9" w:rsidRDefault="008742E9" w:rsidP="008742E9">
      <w:pPr>
        <w:ind w:firstLine="425"/>
        <w:jc w:val="both"/>
        <w:rPr>
          <w:sz w:val="22"/>
          <w:szCs w:val="22"/>
        </w:rPr>
      </w:pPr>
      <w:r w:rsidRPr="008742E9">
        <w:rPr>
          <w:spacing w:val="-8"/>
          <w:kern w:val="20"/>
          <w:sz w:val="22"/>
          <w:szCs w:val="22"/>
        </w:rPr>
        <w:t>В июле 2016 года сложились благоприятные погодные условия для развития стадии куколки, что способствовало сохранению численности популяции вредителя. В зимние месяцы 2016-2017 годов наблюдались кратковременные понижения температуры воздуха до минус 19</w:t>
      </w:r>
      <w:proofErr w:type="gramStart"/>
      <w:r w:rsidRPr="008742E9">
        <w:rPr>
          <w:spacing w:val="-8"/>
          <w:kern w:val="20"/>
          <w:sz w:val="22"/>
          <w:szCs w:val="22"/>
        </w:rPr>
        <w:t xml:space="preserve"> ºС</w:t>
      </w:r>
      <w:proofErr w:type="gramEnd"/>
      <w:r w:rsidRPr="008742E9">
        <w:rPr>
          <w:spacing w:val="-8"/>
          <w:kern w:val="20"/>
          <w:sz w:val="22"/>
          <w:szCs w:val="22"/>
        </w:rPr>
        <w:t xml:space="preserve"> что вызвало незначительное промерзание почвы и не могло повлиять на ди</w:t>
      </w:r>
      <w:r w:rsidRPr="008742E9">
        <w:rPr>
          <w:spacing w:val="-8"/>
          <w:kern w:val="20"/>
          <w:sz w:val="22"/>
          <w:szCs w:val="22"/>
        </w:rPr>
        <w:t>а</w:t>
      </w:r>
      <w:r w:rsidRPr="008742E9">
        <w:rPr>
          <w:spacing w:val="-8"/>
          <w:kern w:val="20"/>
          <w:sz w:val="22"/>
          <w:szCs w:val="22"/>
        </w:rPr>
        <w:t xml:space="preserve">паузирущих жуков пьявицы обыкновенной. Массовый выход жуков и перелет на посев озимой пшеницы наблюдался с 29 марта. Отрождение личинок </w:t>
      </w:r>
      <w:proofErr w:type="gramStart"/>
      <w:r w:rsidRPr="008742E9">
        <w:rPr>
          <w:spacing w:val="-8"/>
          <w:kern w:val="20"/>
          <w:sz w:val="22"/>
          <w:szCs w:val="22"/>
        </w:rPr>
        <w:t>совпало с фазой выхода растений в трубку и заселенность в оч</w:t>
      </w:r>
      <w:r w:rsidRPr="008742E9">
        <w:rPr>
          <w:spacing w:val="-8"/>
          <w:kern w:val="20"/>
          <w:sz w:val="22"/>
          <w:szCs w:val="22"/>
        </w:rPr>
        <w:t>а</w:t>
      </w:r>
      <w:r w:rsidRPr="008742E9">
        <w:rPr>
          <w:spacing w:val="-8"/>
          <w:kern w:val="20"/>
          <w:sz w:val="22"/>
          <w:szCs w:val="22"/>
        </w:rPr>
        <w:t>гах колебалась</w:t>
      </w:r>
      <w:proofErr w:type="gramEnd"/>
      <w:r w:rsidRPr="008742E9">
        <w:rPr>
          <w:spacing w:val="-8"/>
          <w:kern w:val="20"/>
          <w:sz w:val="22"/>
          <w:szCs w:val="22"/>
        </w:rPr>
        <w:t xml:space="preserve"> от 3,1 до 5,2 экз./стебель. Распространение вредителя </w:t>
      </w:r>
      <w:proofErr w:type="gramStart"/>
      <w:r w:rsidRPr="008742E9">
        <w:rPr>
          <w:spacing w:val="-8"/>
          <w:kern w:val="20"/>
          <w:sz w:val="22"/>
          <w:szCs w:val="22"/>
        </w:rPr>
        <w:t>наблюдалось по всему полю и в среднем заселенность личинками сост</w:t>
      </w:r>
      <w:r w:rsidRPr="008742E9">
        <w:rPr>
          <w:spacing w:val="-8"/>
          <w:kern w:val="20"/>
          <w:sz w:val="22"/>
          <w:szCs w:val="22"/>
        </w:rPr>
        <w:t>а</w:t>
      </w:r>
      <w:r w:rsidRPr="008742E9">
        <w:rPr>
          <w:spacing w:val="-8"/>
          <w:kern w:val="20"/>
          <w:sz w:val="22"/>
          <w:szCs w:val="22"/>
        </w:rPr>
        <w:t>вила</w:t>
      </w:r>
      <w:proofErr w:type="gramEnd"/>
      <w:r w:rsidRPr="008742E9">
        <w:rPr>
          <w:spacing w:val="-8"/>
          <w:kern w:val="20"/>
          <w:sz w:val="22"/>
          <w:szCs w:val="22"/>
        </w:rPr>
        <w:t xml:space="preserve"> от 2,1-3,2 экз./стебель, что значительно превышало ЭПВ и требовало оперативной защиты.</w:t>
      </w:r>
      <w:r w:rsidRPr="008742E9">
        <w:rPr>
          <w:sz w:val="22"/>
          <w:szCs w:val="22"/>
        </w:rPr>
        <w:t xml:space="preserve"> Применение Дециса снизило заселенность оз</w:t>
      </w:r>
      <w:r w:rsidRPr="008742E9">
        <w:rPr>
          <w:sz w:val="22"/>
          <w:szCs w:val="22"/>
        </w:rPr>
        <w:t>и</w:t>
      </w:r>
      <w:r w:rsidRPr="008742E9">
        <w:rPr>
          <w:sz w:val="22"/>
          <w:szCs w:val="22"/>
        </w:rPr>
        <w:t>мой пшеницы на 91,4 %.</w:t>
      </w:r>
    </w:p>
    <w:p w:rsidR="008742E9" w:rsidRPr="008742E9" w:rsidRDefault="008742E9" w:rsidP="008742E9">
      <w:pPr>
        <w:ind w:firstLine="425"/>
        <w:jc w:val="both"/>
        <w:rPr>
          <w:sz w:val="22"/>
          <w:szCs w:val="22"/>
        </w:rPr>
      </w:pPr>
      <w:r w:rsidRPr="008742E9">
        <w:rPr>
          <w:sz w:val="22"/>
          <w:szCs w:val="22"/>
        </w:rPr>
        <w:t xml:space="preserve">Таким образом, использование для разработки долгосрочного прогноза численности пьявицы обыкновенной </w:t>
      </w:r>
      <w:proofErr w:type="gramStart"/>
      <w:r w:rsidRPr="008742E9">
        <w:rPr>
          <w:sz w:val="22"/>
          <w:szCs w:val="22"/>
        </w:rPr>
        <w:t>погодных</w:t>
      </w:r>
      <w:proofErr w:type="gramEnd"/>
      <w:r w:rsidRPr="008742E9">
        <w:rPr>
          <w:sz w:val="22"/>
          <w:szCs w:val="22"/>
        </w:rPr>
        <w:t xml:space="preserve"> придикт</w:t>
      </w:r>
      <w:r w:rsidRPr="008742E9">
        <w:rPr>
          <w:sz w:val="22"/>
          <w:szCs w:val="22"/>
        </w:rPr>
        <w:t>о</w:t>
      </w:r>
      <w:r w:rsidRPr="008742E9">
        <w:rPr>
          <w:sz w:val="22"/>
          <w:szCs w:val="22"/>
        </w:rPr>
        <w:t>ров в период летней и зимней диапаузы, позволяет своевременно и эффективно защитить озимую пшеницу от вредителя.</w:t>
      </w:r>
    </w:p>
    <w:p w:rsidR="008742E9" w:rsidRPr="008742E9" w:rsidRDefault="008742E9" w:rsidP="008742E9">
      <w:pPr>
        <w:ind w:firstLine="425"/>
        <w:jc w:val="both"/>
        <w:rPr>
          <w:sz w:val="22"/>
          <w:szCs w:val="22"/>
        </w:rPr>
      </w:pPr>
    </w:p>
    <w:p w:rsidR="008742E9" w:rsidRPr="008742E9" w:rsidRDefault="008742E9" w:rsidP="008742E9">
      <w:pPr>
        <w:ind w:firstLine="425"/>
        <w:jc w:val="center"/>
        <w:rPr>
          <w:sz w:val="22"/>
          <w:szCs w:val="22"/>
        </w:rPr>
      </w:pPr>
      <w:r w:rsidRPr="008742E9">
        <w:rPr>
          <w:sz w:val="22"/>
          <w:szCs w:val="22"/>
        </w:rPr>
        <w:t>Список литературы</w:t>
      </w:r>
    </w:p>
    <w:p w:rsidR="008742E9" w:rsidRPr="008742E9" w:rsidRDefault="008742E9" w:rsidP="008742E9">
      <w:pPr>
        <w:ind w:firstLine="425"/>
        <w:jc w:val="both"/>
        <w:rPr>
          <w:sz w:val="22"/>
          <w:szCs w:val="22"/>
        </w:rPr>
      </w:pPr>
      <w:r w:rsidRPr="008742E9">
        <w:rPr>
          <w:sz w:val="22"/>
          <w:szCs w:val="22"/>
        </w:rPr>
        <w:t xml:space="preserve">1. Пикушова Э. А. Инновационное значение фактора защиты растений в стационарном полевом опыте КубГАУ/ Э. А. Пикушова, Л.А. Шадрина, А.Г. Осипова// В сборнике научно – практ. конф: </w:t>
      </w:r>
      <w:r w:rsidRPr="008742E9">
        <w:rPr>
          <w:sz w:val="22"/>
          <w:szCs w:val="22"/>
        </w:rPr>
        <w:lastRenderedPageBreak/>
        <w:t>Научные исследования и разработки в эпоху глобализации. -2016. -С.137-140.</w:t>
      </w:r>
    </w:p>
    <w:p w:rsidR="008742E9" w:rsidRPr="008742E9" w:rsidRDefault="008742E9" w:rsidP="008742E9">
      <w:pPr>
        <w:ind w:firstLine="425"/>
        <w:jc w:val="both"/>
        <w:rPr>
          <w:sz w:val="22"/>
          <w:szCs w:val="22"/>
        </w:rPr>
      </w:pPr>
      <w:r w:rsidRPr="008742E9">
        <w:rPr>
          <w:sz w:val="22"/>
          <w:szCs w:val="22"/>
        </w:rPr>
        <w:t>2. Нещадим Н. Н. Интегрированная защита растений (зерновые культуры): учебн. пособие /Н. Н. Нещадим, Э. А. Пикушова, Е. Ю. Веретельник, В. С. Горьковенко. - Краснодар: КУБГАУ, 2014. – 277 с.</w:t>
      </w:r>
    </w:p>
    <w:p w:rsidR="008742E9" w:rsidRPr="002D7DA5" w:rsidRDefault="008742E9" w:rsidP="002D7DA5">
      <w:pPr>
        <w:ind w:firstLine="425"/>
        <w:jc w:val="both"/>
        <w:rPr>
          <w:sz w:val="22"/>
          <w:szCs w:val="22"/>
        </w:rPr>
      </w:pPr>
      <w:r w:rsidRPr="008742E9">
        <w:rPr>
          <w:sz w:val="22"/>
          <w:szCs w:val="22"/>
        </w:rPr>
        <w:t>3. Пикушова Э.</w:t>
      </w:r>
      <w:r w:rsidR="002D7DA5">
        <w:rPr>
          <w:sz w:val="22"/>
          <w:szCs w:val="22"/>
        </w:rPr>
        <w:t xml:space="preserve"> </w:t>
      </w:r>
      <w:r w:rsidRPr="008742E9">
        <w:rPr>
          <w:sz w:val="22"/>
          <w:szCs w:val="22"/>
        </w:rPr>
        <w:t xml:space="preserve">А. Фитосанитарное состояние озимой пшеницы в условиях длительного стационарного полевого опыта на </w:t>
      </w:r>
      <w:proofErr w:type="gramStart"/>
      <w:r w:rsidRPr="008742E9">
        <w:rPr>
          <w:sz w:val="22"/>
          <w:szCs w:val="22"/>
        </w:rPr>
        <w:t>черноз</w:t>
      </w:r>
      <w:r w:rsidRPr="008742E9">
        <w:rPr>
          <w:sz w:val="22"/>
          <w:szCs w:val="22"/>
        </w:rPr>
        <w:t>е</w:t>
      </w:r>
      <w:r w:rsidRPr="008742E9">
        <w:rPr>
          <w:sz w:val="22"/>
          <w:szCs w:val="22"/>
        </w:rPr>
        <w:t>ме</w:t>
      </w:r>
      <w:proofErr w:type="gramEnd"/>
      <w:r w:rsidRPr="008742E9">
        <w:rPr>
          <w:sz w:val="22"/>
          <w:szCs w:val="22"/>
        </w:rPr>
        <w:t xml:space="preserve"> выщелоченном Западного Предкавказья /Э.А. Пикушова, Л.А. Шадрина, Е.Ю. Веретельник// Политематический сетевой эле</w:t>
      </w:r>
      <w:r w:rsidRPr="008742E9">
        <w:rPr>
          <w:sz w:val="22"/>
          <w:szCs w:val="22"/>
        </w:rPr>
        <w:t>к</w:t>
      </w:r>
      <w:r w:rsidRPr="008742E9">
        <w:rPr>
          <w:sz w:val="22"/>
          <w:szCs w:val="22"/>
        </w:rPr>
        <w:t>тронный научный журнал Кубанского государственного аграрного университета №137(03). – 2018.</w:t>
      </w:r>
    </w:p>
    <w:p w:rsidR="00E22BC2" w:rsidRDefault="00E22BC2" w:rsidP="008742E9">
      <w:pPr>
        <w:tabs>
          <w:tab w:val="left" w:pos="567"/>
        </w:tabs>
        <w:rPr>
          <w:sz w:val="22"/>
          <w:szCs w:val="22"/>
          <w:lang w:eastAsia="en-US"/>
        </w:rPr>
      </w:pPr>
    </w:p>
    <w:p w:rsidR="00E22BC2" w:rsidRDefault="00E22BC2" w:rsidP="008742E9">
      <w:pPr>
        <w:tabs>
          <w:tab w:val="left" w:pos="567"/>
        </w:tabs>
        <w:rPr>
          <w:sz w:val="22"/>
          <w:szCs w:val="22"/>
          <w:lang w:eastAsia="en-US"/>
        </w:rPr>
      </w:pPr>
    </w:p>
    <w:p w:rsidR="00E22BC2" w:rsidRDefault="00E22BC2" w:rsidP="008742E9">
      <w:pPr>
        <w:tabs>
          <w:tab w:val="left" w:pos="567"/>
        </w:tabs>
        <w:rPr>
          <w:sz w:val="22"/>
          <w:szCs w:val="22"/>
          <w:lang w:eastAsia="en-US"/>
        </w:rPr>
      </w:pPr>
    </w:p>
    <w:p w:rsidR="008742E9" w:rsidRPr="008742E9" w:rsidRDefault="008742E9" w:rsidP="008742E9">
      <w:pPr>
        <w:tabs>
          <w:tab w:val="left" w:pos="567"/>
        </w:tabs>
        <w:rPr>
          <w:sz w:val="22"/>
          <w:szCs w:val="22"/>
          <w:shd w:val="clear" w:color="auto" w:fill="FFFFFF"/>
          <w:lang w:eastAsia="en-US"/>
        </w:rPr>
      </w:pPr>
      <w:r w:rsidRPr="008742E9">
        <w:rPr>
          <w:sz w:val="22"/>
          <w:szCs w:val="22"/>
          <w:lang w:eastAsia="en-US"/>
        </w:rPr>
        <w:t xml:space="preserve">УДК </w:t>
      </w:r>
      <w:r w:rsidRPr="008742E9">
        <w:rPr>
          <w:sz w:val="22"/>
          <w:szCs w:val="22"/>
          <w:shd w:val="clear" w:color="auto" w:fill="FFFFFF"/>
          <w:lang w:eastAsia="en-US"/>
        </w:rPr>
        <w:t>595.762.12</w:t>
      </w:r>
    </w:p>
    <w:p w:rsidR="008742E9" w:rsidRPr="008742E9" w:rsidRDefault="008742E9" w:rsidP="008742E9">
      <w:pPr>
        <w:widowControl w:val="0"/>
        <w:jc w:val="both"/>
        <w:rPr>
          <w:color w:val="FF0000"/>
          <w:sz w:val="16"/>
          <w:szCs w:val="16"/>
        </w:rPr>
      </w:pPr>
    </w:p>
    <w:p w:rsidR="008742E9" w:rsidRPr="008742E9" w:rsidRDefault="008742E9" w:rsidP="008742E9">
      <w:pPr>
        <w:widowControl w:val="0"/>
        <w:jc w:val="center"/>
        <w:rPr>
          <w:b/>
          <w:sz w:val="24"/>
          <w:szCs w:val="24"/>
        </w:rPr>
      </w:pPr>
      <w:r w:rsidRPr="008742E9">
        <w:rPr>
          <w:b/>
          <w:sz w:val="24"/>
          <w:szCs w:val="24"/>
        </w:rPr>
        <w:t xml:space="preserve">Видовой состав хищных жужелиц в агроценозе люцерны </w:t>
      </w:r>
    </w:p>
    <w:p w:rsidR="008742E9" w:rsidRPr="008742E9" w:rsidRDefault="008742E9" w:rsidP="008742E9">
      <w:pPr>
        <w:widowControl w:val="0"/>
        <w:jc w:val="center"/>
        <w:rPr>
          <w:b/>
          <w:color w:val="212121"/>
          <w:sz w:val="24"/>
          <w:szCs w:val="24"/>
          <w:shd w:val="clear" w:color="auto" w:fill="FFFFFF"/>
          <w:lang w:val="en-US"/>
        </w:rPr>
      </w:pPr>
      <w:r w:rsidRPr="008742E9">
        <w:rPr>
          <w:b/>
          <w:color w:val="212121"/>
          <w:sz w:val="24"/>
          <w:szCs w:val="24"/>
          <w:shd w:val="clear" w:color="auto" w:fill="FFFFFF"/>
          <w:lang w:val="en-US"/>
        </w:rPr>
        <w:t xml:space="preserve">Species composition of predatory ground beetles of </w:t>
      </w:r>
    </w:p>
    <w:p w:rsidR="008742E9" w:rsidRPr="008742E9" w:rsidRDefault="008742E9" w:rsidP="008742E9">
      <w:pPr>
        <w:widowControl w:val="0"/>
        <w:jc w:val="center"/>
        <w:rPr>
          <w:b/>
          <w:sz w:val="24"/>
          <w:szCs w:val="24"/>
          <w:lang w:val="en-US"/>
        </w:rPr>
      </w:pPr>
      <w:proofErr w:type="gramStart"/>
      <w:r w:rsidRPr="008742E9">
        <w:rPr>
          <w:b/>
          <w:color w:val="212121"/>
          <w:sz w:val="24"/>
          <w:szCs w:val="24"/>
          <w:shd w:val="clear" w:color="auto" w:fill="FFFFFF"/>
          <w:lang w:val="en-US"/>
        </w:rPr>
        <w:t>alfalfa</w:t>
      </w:r>
      <w:proofErr w:type="gramEnd"/>
      <w:r w:rsidRPr="008742E9">
        <w:rPr>
          <w:b/>
          <w:color w:val="212121"/>
          <w:sz w:val="24"/>
          <w:szCs w:val="24"/>
          <w:shd w:val="clear" w:color="auto" w:fill="FFFFFF"/>
          <w:lang w:val="en-US"/>
        </w:rPr>
        <w:t xml:space="preserve"> agrocenosis</w:t>
      </w:r>
    </w:p>
    <w:p w:rsidR="008742E9" w:rsidRPr="008742E9" w:rsidRDefault="008742E9" w:rsidP="008742E9">
      <w:pPr>
        <w:widowControl w:val="0"/>
        <w:jc w:val="both"/>
        <w:rPr>
          <w:sz w:val="24"/>
          <w:szCs w:val="24"/>
          <w:lang w:val="en-US"/>
        </w:rPr>
      </w:pPr>
    </w:p>
    <w:p w:rsidR="008742E9" w:rsidRPr="003C00E9" w:rsidRDefault="008742E9" w:rsidP="008742E9">
      <w:pPr>
        <w:widowControl w:val="0"/>
        <w:ind w:firstLine="720"/>
        <w:jc w:val="right"/>
        <w:rPr>
          <w:sz w:val="22"/>
          <w:szCs w:val="22"/>
          <w:lang w:val="en-US"/>
        </w:rPr>
      </w:pPr>
      <w:r w:rsidRPr="008742E9">
        <w:rPr>
          <w:sz w:val="22"/>
          <w:szCs w:val="22"/>
        </w:rPr>
        <w:t>Фоменко</w:t>
      </w:r>
      <w:r w:rsidRPr="003C00E9">
        <w:rPr>
          <w:sz w:val="22"/>
          <w:szCs w:val="22"/>
          <w:lang w:val="en-US"/>
        </w:rPr>
        <w:t xml:space="preserve"> </w:t>
      </w:r>
      <w:r w:rsidRPr="008742E9">
        <w:rPr>
          <w:sz w:val="22"/>
          <w:szCs w:val="22"/>
        </w:rPr>
        <w:t>А</w:t>
      </w:r>
      <w:r w:rsidRPr="003C00E9">
        <w:rPr>
          <w:sz w:val="22"/>
          <w:szCs w:val="22"/>
          <w:lang w:val="en-US"/>
        </w:rPr>
        <w:t>.</w:t>
      </w:r>
      <w:r w:rsidR="002D7DA5" w:rsidRPr="003C00E9">
        <w:rPr>
          <w:sz w:val="22"/>
          <w:szCs w:val="22"/>
          <w:lang w:val="en-US"/>
        </w:rPr>
        <w:t xml:space="preserve"> </w:t>
      </w:r>
      <w:r w:rsidRPr="008742E9">
        <w:rPr>
          <w:sz w:val="22"/>
          <w:szCs w:val="22"/>
        </w:rPr>
        <w:t>А</w:t>
      </w:r>
      <w:r w:rsidRPr="003C00E9">
        <w:rPr>
          <w:sz w:val="22"/>
          <w:szCs w:val="22"/>
          <w:lang w:val="en-US"/>
        </w:rPr>
        <w:t>.,</w:t>
      </w:r>
    </w:p>
    <w:p w:rsidR="008742E9" w:rsidRPr="008742E9" w:rsidRDefault="008742E9" w:rsidP="008742E9">
      <w:pPr>
        <w:widowControl w:val="0"/>
        <w:ind w:firstLine="720"/>
        <w:jc w:val="right"/>
        <w:rPr>
          <w:sz w:val="22"/>
          <w:szCs w:val="22"/>
        </w:rPr>
      </w:pPr>
      <w:r w:rsidRPr="008742E9">
        <w:rPr>
          <w:sz w:val="22"/>
          <w:szCs w:val="22"/>
        </w:rPr>
        <w:t>магистран</w:t>
      </w:r>
      <w:r w:rsidR="002D7DA5">
        <w:rPr>
          <w:sz w:val="22"/>
          <w:szCs w:val="22"/>
        </w:rPr>
        <w:t>т 2-го года обучения факультета</w:t>
      </w:r>
    </w:p>
    <w:p w:rsidR="008742E9" w:rsidRPr="008742E9" w:rsidRDefault="008742E9" w:rsidP="008742E9">
      <w:pPr>
        <w:widowControl w:val="0"/>
        <w:ind w:firstLine="720"/>
        <w:jc w:val="right"/>
        <w:rPr>
          <w:sz w:val="22"/>
          <w:szCs w:val="22"/>
        </w:rPr>
      </w:pPr>
      <w:r w:rsidRPr="008742E9">
        <w:rPr>
          <w:sz w:val="22"/>
          <w:szCs w:val="22"/>
        </w:rPr>
        <w:t>агрохимии и защиты растений</w:t>
      </w:r>
    </w:p>
    <w:p w:rsidR="008742E9" w:rsidRPr="008742E9" w:rsidRDefault="008742E9" w:rsidP="008742E9">
      <w:pPr>
        <w:widowControl w:val="0"/>
        <w:ind w:firstLine="720"/>
        <w:jc w:val="right"/>
        <w:rPr>
          <w:sz w:val="22"/>
          <w:szCs w:val="22"/>
        </w:rPr>
      </w:pPr>
      <w:r w:rsidRPr="008742E9">
        <w:rPr>
          <w:sz w:val="22"/>
          <w:szCs w:val="22"/>
        </w:rPr>
        <w:t>Серый А.</w:t>
      </w:r>
      <w:r w:rsidR="002D7DA5">
        <w:rPr>
          <w:sz w:val="22"/>
          <w:szCs w:val="22"/>
        </w:rPr>
        <w:t xml:space="preserve"> </w:t>
      </w:r>
      <w:r w:rsidRPr="008742E9">
        <w:rPr>
          <w:sz w:val="22"/>
          <w:szCs w:val="22"/>
        </w:rPr>
        <w:t>С.,</w:t>
      </w:r>
    </w:p>
    <w:p w:rsidR="008742E9" w:rsidRPr="008742E9" w:rsidRDefault="008742E9" w:rsidP="008742E9">
      <w:pPr>
        <w:widowControl w:val="0"/>
        <w:ind w:firstLine="720"/>
        <w:jc w:val="right"/>
        <w:rPr>
          <w:sz w:val="22"/>
          <w:szCs w:val="22"/>
        </w:rPr>
      </w:pPr>
      <w:r w:rsidRPr="008742E9">
        <w:rPr>
          <w:sz w:val="22"/>
          <w:szCs w:val="22"/>
        </w:rPr>
        <w:t>с</w:t>
      </w:r>
      <w:r w:rsidR="002D7DA5">
        <w:rPr>
          <w:sz w:val="22"/>
          <w:szCs w:val="22"/>
        </w:rPr>
        <w:t>тудент 4-го курса факультета</w:t>
      </w:r>
    </w:p>
    <w:p w:rsidR="008742E9" w:rsidRPr="008742E9" w:rsidRDefault="008742E9" w:rsidP="008742E9">
      <w:pPr>
        <w:widowControl w:val="0"/>
        <w:ind w:firstLine="720"/>
        <w:jc w:val="right"/>
        <w:rPr>
          <w:sz w:val="22"/>
          <w:szCs w:val="22"/>
        </w:rPr>
      </w:pPr>
      <w:r w:rsidRPr="008742E9">
        <w:rPr>
          <w:sz w:val="22"/>
          <w:szCs w:val="22"/>
        </w:rPr>
        <w:t>агрохимии и защиты растений</w:t>
      </w:r>
    </w:p>
    <w:p w:rsidR="008742E9" w:rsidRPr="008742E9" w:rsidRDefault="008742E9" w:rsidP="008742E9">
      <w:pPr>
        <w:widowControl w:val="0"/>
        <w:ind w:firstLine="720"/>
        <w:jc w:val="right"/>
        <w:rPr>
          <w:rFonts w:cs="Courier New"/>
          <w:sz w:val="22"/>
          <w:szCs w:val="22"/>
        </w:rPr>
      </w:pPr>
      <w:r w:rsidRPr="008742E9">
        <w:rPr>
          <w:rFonts w:cs="Courier New"/>
          <w:sz w:val="22"/>
          <w:szCs w:val="22"/>
        </w:rPr>
        <w:t>Куб</w:t>
      </w:r>
      <w:r w:rsidR="002D7DA5">
        <w:rPr>
          <w:rFonts w:cs="Courier New"/>
          <w:sz w:val="22"/>
          <w:szCs w:val="22"/>
        </w:rPr>
        <w:t>анский государственный аграрный</w:t>
      </w:r>
    </w:p>
    <w:p w:rsidR="008742E9" w:rsidRPr="008742E9" w:rsidRDefault="008742E9" w:rsidP="008742E9">
      <w:pPr>
        <w:widowControl w:val="0"/>
        <w:ind w:firstLine="720"/>
        <w:jc w:val="right"/>
        <w:rPr>
          <w:rFonts w:cs="Courier New"/>
          <w:sz w:val="22"/>
          <w:szCs w:val="22"/>
        </w:rPr>
      </w:pPr>
      <w:r w:rsidRPr="008742E9">
        <w:rPr>
          <w:rFonts w:cs="Courier New"/>
          <w:sz w:val="22"/>
          <w:szCs w:val="22"/>
        </w:rPr>
        <w:t>университет имени И.Т. Трубилина</w:t>
      </w:r>
    </w:p>
    <w:p w:rsidR="008742E9" w:rsidRPr="008742E9" w:rsidRDefault="008742E9" w:rsidP="008742E9">
      <w:pPr>
        <w:widowControl w:val="0"/>
        <w:jc w:val="center"/>
        <w:rPr>
          <w:b/>
          <w:sz w:val="22"/>
          <w:szCs w:val="22"/>
        </w:rPr>
      </w:pPr>
    </w:p>
    <w:p w:rsidR="008742E9" w:rsidRPr="008742E9" w:rsidRDefault="008742E9" w:rsidP="008742E9">
      <w:pPr>
        <w:widowControl w:val="0"/>
        <w:ind w:firstLine="426"/>
        <w:jc w:val="both"/>
        <w:rPr>
          <w:sz w:val="22"/>
          <w:szCs w:val="22"/>
        </w:rPr>
      </w:pPr>
      <w:r w:rsidRPr="008742E9">
        <w:rPr>
          <w:sz w:val="22"/>
          <w:szCs w:val="22"/>
        </w:rPr>
        <w:t>АННОТАЦИЯ: Изучен видовой состав хищных жужелиц в а</w:t>
      </w:r>
      <w:r w:rsidRPr="008742E9">
        <w:rPr>
          <w:sz w:val="22"/>
          <w:szCs w:val="22"/>
        </w:rPr>
        <w:t>г</w:t>
      </w:r>
      <w:r w:rsidRPr="008742E9">
        <w:rPr>
          <w:sz w:val="22"/>
          <w:szCs w:val="22"/>
        </w:rPr>
        <w:t>роценозе люцерны. Выявлены наиболее распространенные виды для центральной зоны Краснодарского края.</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color w:val="212121"/>
          <w:sz w:val="22"/>
          <w:szCs w:val="22"/>
          <w:lang w:val="en"/>
        </w:rPr>
        <w:t>ABSTRACT: The species composition of predatory ground beetles in agrocenosis of alfalfa has been studied. The most common species for the central zone of the Krasnodar Territory were identified.</w:t>
      </w:r>
    </w:p>
    <w:p w:rsidR="008742E9" w:rsidRPr="008742E9" w:rsidRDefault="008742E9" w:rsidP="008742E9">
      <w:pPr>
        <w:widowControl w:val="0"/>
        <w:ind w:firstLine="426"/>
        <w:jc w:val="both"/>
        <w:rPr>
          <w:sz w:val="22"/>
          <w:szCs w:val="22"/>
        </w:rPr>
      </w:pPr>
      <w:r w:rsidRPr="008742E9">
        <w:rPr>
          <w:sz w:val="22"/>
          <w:szCs w:val="22"/>
        </w:rPr>
        <w:t>КЛЮЧЕВЫЕ СЛОВА: жужелицы (Coleoptera, Carabidae),  д</w:t>
      </w:r>
      <w:r w:rsidRPr="008742E9">
        <w:rPr>
          <w:sz w:val="22"/>
          <w:szCs w:val="22"/>
        </w:rPr>
        <w:t>о</w:t>
      </w:r>
      <w:r w:rsidRPr="008742E9">
        <w:rPr>
          <w:sz w:val="22"/>
          <w:szCs w:val="22"/>
        </w:rPr>
        <w:t xml:space="preserve">минантные виды, люцерна, состав и соотношение видов, агроценоз, </w:t>
      </w:r>
      <w:r w:rsidRPr="008742E9">
        <w:rPr>
          <w:sz w:val="22"/>
          <w:szCs w:val="22"/>
        </w:rPr>
        <w:lastRenderedPageBreak/>
        <w:t>хищная энтомофауна.</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color w:val="212121"/>
          <w:sz w:val="22"/>
          <w:szCs w:val="22"/>
          <w:lang w:val="en"/>
        </w:rPr>
        <w:t>KEY WORDS: ground beetles (Coleoptera, Carabidae), dominant species, alfalfa, composition and ratio of species, agrocenosis, predatory entomofauna.</w:t>
      </w:r>
    </w:p>
    <w:p w:rsidR="008742E9" w:rsidRPr="008742E9" w:rsidRDefault="008742E9" w:rsidP="008742E9">
      <w:pPr>
        <w:widowControl w:val="0"/>
        <w:ind w:firstLine="426"/>
        <w:jc w:val="both"/>
        <w:rPr>
          <w:sz w:val="16"/>
          <w:szCs w:val="16"/>
          <w:lang w:val="en-US"/>
        </w:rPr>
      </w:pPr>
    </w:p>
    <w:p w:rsidR="008742E9" w:rsidRPr="008742E9" w:rsidRDefault="008742E9" w:rsidP="008742E9">
      <w:pPr>
        <w:widowControl w:val="0"/>
        <w:ind w:firstLine="426"/>
        <w:jc w:val="both"/>
        <w:rPr>
          <w:sz w:val="22"/>
          <w:szCs w:val="22"/>
        </w:rPr>
      </w:pPr>
      <w:r w:rsidRPr="008742E9">
        <w:rPr>
          <w:sz w:val="22"/>
          <w:szCs w:val="22"/>
        </w:rPr>
        <w:t>Процессу формирования комплексов хищных жужелиц (Coleoptera, Carabidae) в агроценозах Краснодарского края посв</w:t>
      </w:r>
      <w:r w:rsidRPr="008742E9">
        <w:rPr>
          <w:sz w:val="22"/>
          <w:szCs w:val="22"/>
        </w:rPr>
        <w:t>я</w:t>
      </w:r>
      <w:r w:rsidRPr="008742E9">
        <w:rPr>
          <w:sz w:val="22"/>
          <w:szCs w:val="22"/>
        </w:rPr>
        <w:t>щен целый ряд научных публикаций [1, 2, 3, 4 и др.]. Особое место среди сельскохозяйственных культур в агроценозах Кубани заним</w:t>
      </w:r>
      <w:r w:rsidRPr="008742E9">
        <w:rPr>
          <w:sz w:val="22"/>
          <w:szCs w:val="22"/>
        </w:rPr>
        <w:t>а</w:t>
      </w:r>
      <w:r w:rsidRPr="008742E9">
        <w:rPr>
          <w:sz w:val="22"/>
          <w:szCs w:val="22"/>
        </w:rPr>
        <w:t xml:space="preserve">ет люцерна, которая является основным накопителем </w:t>
      </w:r>
      <w:proofErr w:type="gramStart"/>
      <w:r w:rsidRPr="008742E9">
        <w:rPr>
          <w:sz w:val="22"/>
          <w:szCs w:val="22"/>
        </w:rPr>
        <w:t>полезный</w:t>
      </w:r>
      <w:proofErr w:type="gramEnd"/>
      <w:r w:rsidRPr="008742E9">
        <w:rPr>
          <w:sz w:val="22"/>
          <w:szCs w:val="22"/>
        </w:rPr>
        <w:t xml:space="preserve"> ф</w:t>
      </w:r>
      <w:r w:rsidRPr="008742E9">
        <w:rPr>
          <w:sz w:val="22"/>
          <w:szCs w:val="22"/>
        </w:rPr>
        <w:t>а</w:t>
      </w:r>
      <w:r w:rsidRPr="008742E9">
        <w:rPr>
          <w:sz w:val="22"/>
          <w:szCs w:val="22"/>
        </w:rPr>
        <w:t>уны беспозвоночных. Однако рассматриваемый вопрос изучен до сих пор недостаточно. Настоящая работа основывается на данных 2017 года, полученных в посевах люцерны разных лет жизни.</w:t>
      </w:r>
    </w:p>
    <w:p w:rsidR="008742E9" w:rsidRPr="008742E9" w:rsidRDefault="008742E9" w:rsidP="008742E9">
      <w:pPr>
        <w:tabs>
          <w:tab w:val="left" w:pos="7881"/>
        </w:tabs>
        <w:ind w:firstLine="426"/>
        <w:jc w:val="both"/>
        <w:rPr>
          <w:sz w:val="22"/>
          <w:szCs w:val="22"/>
        </w:rPr>
      </w:pPr>
      <w:r w:rsidRPr="008742E9">
        <w:rPr>
          <w:sz w:val="22"/>
          <w:szCs w:val="22"/>
        </w:rPr>
        <w:t>Исследования проводились на люцерне сорта Славянская мес</w:t>
      </w:r>
      <w:r w:rsidRPr="008742E9">
        <w:rPr>
          <w:sz w:val="22"/>
          <w:szCs w:val="22"/>
        </w:rPr>
        <w:t>т</w:t>
      </w:r>
      <w:r w:rsidRPr="008742E9">
        <w:rPr>
          <w:sz w:val="22"/>
          <w:szCs w:val="22"/>
        </w:rPr>
        <w:t>ная в условиях учхоза «Кубань». Учет жужелиц и других беспозв</w:t>
      </w:r>
      <w:r w:rsidRPr="008742E9">
        <w:rPr>
          <w:sz w:val="22"/>
          <w:szCs w:val="22"/>
        </w:rPr>
        <w:t>о</w:t>
      </w:r>
      <w:r w:rsidRPr="008742E9">
        <w:rPr>
          <w:sz w:val="22"/>
          <w:szCs w:val="22"/>
        </w:rPr>
        <w:t>ночных проводился методом почвенных ловушек или «ловушек Барбера». В наших исследованиях использовались пластиковые стаканы объемом 0,5 л и диаметром входного отверстия 90 мм. Фиксирующей жидкостью являлся 9% раствор уксусной кислоты, который помещался в ловушку в объеме 150 мл. Ловушки прикр</w:t>
      </w:r>
      <w:r w:rsidRPr="008742E9">
        <w:rPr>
          <w:sz w:val="22"/>
          <w:szCs w:val="22"/>
        </w:rPr>
        <w:t>ы</w:t>
      </w:r>
      <w:r w:rsidRPr="008742E9">
        <w:rPr>
          <w:sz w:val="22"/>
          <w:szCs w:val="22"/>
        </w:rPr>
        <w:t>вались пластиковой крышкой, которая фиксировалась тремя опор</w:t>
      </w:r>
      <w:r w:rsidRPr="008742E9">
        <w:rPr>
          <w:sz w:val="22"/>
          <w:szCs w:val="22"/>
        </w:rPr>
        <w:t>а</w:t>
      </w:r>
      <w:r w:rsidRPr="008742E9">
        <w:rPr>
          <w:sz w:val="22"/>
          <w:szCs w:val="22"/>
        </w:rPr>
        <w:t>ми на высоте 2 см от поверхности почвы. Одновременно на каждом поле использовалось по 10 ловушек в трехкратной повторности, ловушки размещались в одну линию транссектарно не ближе 10 м от края поля во избежание краевого эффекта. Расстояние между л</w:t>
      </w:r>
      <w:r w:rsidRPr="008742E9">
        <w:rPr>
          <w:sz w:val="22"/>
          <w:szCs w:val="22"/>
        </w:rPr>
        <w:t>о</w:t>
      </w:r>
      <w:r w:rsidRPr="008742E9">
        <w:rPr>
          <w:sz w:val="22"/>
          <w:szCs w:val="22"/>
        </w:rPr>
        <w:t>вушками составляло также около 10 м. Выборка материала прои</w:t>
      </w:r>
      <w:r w:rsidRPr="008742E9">
        <w:rPr>
          <w:sz w:val="22"/>
          <w:szCs w:val="22"/>
        </w:rPr>
        <w:t>з</w:t>
      </w:r>
      <w:r w:rsidRPr="008742E9">
        <w:rPr>
          <w:sz w:val="22"/>
          <w:szCs w:val="22"/>
        </w:rPr>
        <w:t>водилась ежедекадно на протяжении всего периода активности ж</w:t>
      </w:r>
      <w:r w:rsidRPr="008742E9">
        <w:rPr>
          <w:sz w:val="22"/>
          <w:szCs w:val="22"/>
        </w:rPr>
        <w:t>у</w:t>
      </w:r>
      <w:r w:rsidRPr="008742E9">
        <w:rPr>
          <w:sz w:val="22"/>
          <w:szCs w:val="22"/>
        </w:rPr>
        <w:t>ков (с апреля по ноябрь). Оценка плотности осуществлялась в э</w:t>
      </w:r>
      <w:r w:rsidRPr="008742E9">
        <w:rPr>
          <w:sz w:val="22"/>
          <w:szCs w:val="22"/>
        </w:rPr>
        <w:t>к</w:t>
      </w:r>
      <w:r w:rsidRPr="008742E9">
        <w:rPr>
          <w:sz w:val="22"/>
          <w:szCs w:val="22"/>
        </w:rPr>
        <w:t>земплярах жуков, собранных в среднем на ловушку за период наблюдений. Таким способом было собрано около 4000 экз. имаго жужелиц.</w:t>
      </w:r>
    </w:p>
    <w:p w:rsidR="008742E9" w:rsidRPr="00E22BC2" w:rsidRDefault="008742E9" w:rsidP="00E22BC2">
      <w:pPr>
        <w:widowControl w:val="0"/>
        <w:ind w:firstLine="426"/>
        <w:jc w:val="both"/>
        <w:rPr>
          <w:sz w:val="22"/>
          <w:szCs w:val="22"/>
          <w:lang w:val="en-US"/>
        </w:rPr>
      </w:pPr>
      <w:proofErr w:type="gramStart"/>
      <w:r w:rsidRPr="008742E9">
        <w:rPr>
          <w:sz w:val="22"/>
          <w:szCs w:val="22"/>
        </w:rPr>
        <w:t>В</w:t>
      </w:r>
      <w:r w:rsidRPr="008742E9">
        <w:rPr>
          <w:sz w:val="22"/>
          <w:szCs w:val="22"/>
          <w:lang w:val="en-US"/>
        </w:rPr>
        <w:t xml:space="preserve"> </w:t>
      </w:r>
      <w:r w:rsidRPr="008742E9">
        <w:rPr>
          <w:sz w:val="22"/>
          <w:szCs w:val="22"/>
        </w:rPr>
        <w:t>результате</w:t>
      </w:r>
      <w:r w:rsidRPr="008742E9">
        <w:rPr>
          <w:sz w:val="22"/>
          <w:szCs w:val="22"/>
          <w:lang w:val="en-US"/>
        </w:rPr>
        <w:t xml:space="preserve"> </w:t>
      </w:r>
      <w:r w:rsidRPr="008742E9">
        <w:rPr>
          <w:sz w:val="22"/>
          <w:szCs w:val="22"/>
        </w:rPr>
        <w:t>исследований</w:t>
      </w:r>
      <w:r w:rsidRPr="008742E9">
        <w:rPr>
          <w:sz w:val="22"/>
          <w:szCs w:val="22"/>
          <w:lang w:val="en-US"/>
        </w:rPr>
        <w:t xml:space="preserve"> </w:t>
      </w:r>
      <w:r w:rsidRPr="008742E9">
        <w:rPr>
          <w:sz w:val="22"/>
          <w:szCs w:val="22"/>
        </w:rPr>
        <w:t>нами</w:t>
      </w:r>
      <w:r w:rsidRPr="008742E9">
        <w:rPr>
          <w:sz w:val="22"/>
          <w:szCs w:val="22"/>
          <w:lang w:val="en-US"/>
        </w:rPr>
        <w:t xml:space="preserve"> </w:t>
      </w:r>
      <w:r w:rsidRPr="008742E9">
        <w:rPr>
          <w:sz w:val="22"/>
          <w:szCs w:val="22"/>
        </w:rPr>
        <w:t>в</w:t>
      </w:r>
      <w:r w:rsidRPr="008742E9">
        <w:rPr>
          <w:sz w:val="22"/>
          <w:szCs w:val="22"/>
          <w:lang w:val="en-US"/>
        </w:rPr>
        <w:t xml:space="preserve"> </w:t>
      </w:r>
      <w:r w:rsidRPr="008742E9">
        <w:rPr>
          <w:sz w:val="22"/>
          <w:szCs w:val="22"/>
        </w:rPr>
        <w:t>люцерновом</w:t>
      </w:r>
      <w:r w:rsidRPr="008742E9">
        <w:rPr>
          <w:sz w:val="22"/>
          <w:szCs w:val="22"/>
          <w:lang w:val="en-US"/>
        </w:rPr>
        <w:t xml:space="preserve"> </w:t>
      </w:r>
      <w:r w:rsidRPr="008742E9">
        <w:rPr>
          <w:sz w:val="22"/>
          <w:szCs w:val="22"/>
        </w:rPr>
        <w:t>агроценозе</w:t>
      </w:r>
      <w:r w:rsidRPr="008742E9">
        <w:rPr>
          <w:sz w:val="22"/>
          <w:szCs w:val="22"/>
          <w:lang w:val="en-US"/>
        </w:rPr>
        <w:t xml:space="preserve"> </w:t>
      </w:r>
      <w:r w:rsidRPr="008742E9">
        <w:rPr>
          <w:sz w:val="22"/>
          <w:szCs w:val="22"/>
        </w:rPr>
        <w:t>в</w:t>
      </w:r>
      <w:r w:rsidRPr="008742E9">
        <w:rPr>
          <w:sz w:val="22"/>
          <w:szCs w:val="22"/>
        </w:rPr>
        <w:t>ы</w:t>
      </w:r>
      <w:r w:rsidRPr="008742E9">
        <w:rPr>
          <w:sz w:val="22"/>
          <w:szCs w:val="22"/>
        </w:rPr>
        <w:t>явлен</w:t>
      </w:r>
      <w:r w:rsidRPr="008742E9">
        <w:rPr>
          <w:sz w:val="22"/>
          <w:szCs w:val="22"/>
          <w:lang w:val="en-US"/>
        </w:rPr>
        <w:t xml:space="preserve"> 51 </w:t>
      </w:r>
      <w:r w:rsidRPr="008742E9">
        <w:rPr>
          <w:sz w:val="22"/>
          <w:szCs w:val="22"/>
        </w:rPr>
        <w:t>вид</w:t>
      </w:r>
      <w:r w:rsidRPr="008742E9">
        <w:rPr>
          <w:sz w:val="22"/>
          <w:szCs w:val="22"/>
          <w:lang w:val="en-US"/>
        </w:rPr>
        <w:t xml:space="preserve"> </w:t>
      </w:r>
      <w:r w:rsidRPr="008742E9">
        <w:rPr>
          <w:sz w:val="22"/>
          <w:szCs w:val="22"/>
        </w:rPr>
        <w:t>хищных</w:t>
      </w:r>
      <w:r w:rsidRPr="008742E9">
        <w:rPr>
          <w:sz w:val="22"/>
          <w:szCs w:val="22"/>
          <w:lang w:val="en-US"/>
        </w:rPr>
        <w:t xml:space="preserve"> </w:t>
      </w:r>
      <w:r w:rsidRPr="008742E9">
        <w:rPr>
          <w:sz w:val="22"/>
          <w:szCs w:val="22"/>
        </w:rPr>
        <w:t>жужелиц</w:t>
      </w:r>
      <w:r w:rsidRPr="008742E9">
        <w:rPr>
          <w:sz w:val="22"/>
          <w:szCs w:val="22"/>
          <w:lang w:val="en-US"/>
        </w:rPr>
        <w:t>:</w:t>
      </w:r>
      <w:proofErr w:type="gramEnd"/>
      <w:r w:rsidRPr="008742E9">
        <w:rPr>
          <w:i/>
          <w:sz w:val="22"/>
          <w:szCs w:val="22"/>
          <w:lang w:val="en-US"/>
        </w:rPr>
        <w:t xml:space="preserve"> Calosoma auropunctatum</w:t>
      </w:r>
      <w:r w:rsidRPr="008742E9">
        <w:rPr>
          <w:sz w:val="22"/>
          <w:szCs w:val="22"/>
          <w:lang w:val="en-US"/>
        </w:rPr>
        <w:t xml:space="preserve"> (2,74%),</w:t>
      </w:r>
      <w:r w:rsidRPr="008742E9">
        <w:rPr>
          <w:i/>
          <w:sz w:val="22"/>
          <w:szCs w:val="22"/>
          <w:lang w:val="en-US"/>
        </w:rPr>
        <w:t xml:space="preserve"> Calosoma denticolle</w:t>
      </w:r>
      <w:r w:rsidRPr="008742E9">
        <w:rPr>
          <w:sz w:val="22"/>
          <w:szCs w:val="22"/>
          <w:lang w:val="en-US"/>
        </w:rPr>
        <w:t xml:space="preserve"> (0,02%),</w:t>
      </w:r>
      <w:r w:rsidRPr="008742E9">
        <w:rPr>
          <w:i/>
          <w:sz w:val="22"/>
          <w:szCs w:val="22"/>
          <w:lang w:val="en-US"/>
        </w:rPr>
        <w:t xml:space="preserve"> Carabus exaratus </w:t>
      </w:r>
      <w:r w:rsidRPr="008742E9">
        <w:rPr>
          <w:sz w:val="22"/>
          <w:szCs w:val="22"/>
          <w:lang w:val="en-US"/>
        </w:rPr>
        <w:t>(0,34%),</w:t>
      </w:r>
      <w:r w:rsidRPr="008742E9">
        <w:rPr>
          <w:i/>
          <w:sz w:val="22"/>
          <w:szCs w:val="22"/>
          <w:lang w:val="en-US"/>
        </w:rPr>
        <w:t xml:space="preserve"> Carabus planus </w:t>
      </w:r>
      <w:r w:rsidRPr="008742E9">
        <w:rPr>
          <w:sz w:val="22"/>
          <w:szCs w:val="22"/>
          <w:lang w:val="en-US"/>
        </w:rPr>
        <w:t xml:space="preserve">(0,02%), </w:t>
      </w:r>
      <w:r w:rsidRPr="008742E9">
        <w:rPr>
          <w:i/>
          <w:sz w:val="22"/>
          <w:szCs w:val="22"/>
          <w:lang w:val="en-US"/>
        </w:rPr>
        <w:t xml:space="preserve">Clivina fossor </w:t>
      </w:r>
      <w:r w:rsidRPr="008742E9">
        <w:rPr>
          <w:sz w:val="22"/>
          <w:szCs w:val="22"/>
          <w:lang w:val="en-US"/>
        </w:rPr>
        <w:t>(0,05%),</w:t>
      </w:r>
      <w:r w:rsidRPr="008742E9">
        <w:rPr>
          <w:i/>
          <w:sz w:val="26"/>
          <w:szCs w:val="22"/>
          <w:lang w:val="en-US"/>
        </w:rPr>
        <w:t xml:space="preserve"> </w:t>
      </w:r>
      <w:r w:rsidRPr="008742E9">
        <w:rPr>
          <w:i/>
          <w:sz w:val="22"/>
          <w:szCs w:val="22"/>
          <w:lang w:val="en-US"/>
        </w:rPr>
        <w:t xml:space="preserve">Notiophilus aquaticus </w:t>
      </w:r>
      <w:r w:rsidRPr="008742E9">
        <w:rPr>
          <w:sz w:val="22"/>
          <w:szCs w:val="22"/>
          <w:lang w:val="en-US"/>
        </w:rPr>
        <w:t>(0,02%),</w:t>
      </w:r>
      <w:r w:rsidRPr="008742E9">
        <w:rPr>
          <w:i/>
          <w:sz w:val="26"/>
          <w:szCs w:val="22"/>
          <w:lang w:val="en-US"/>
        </w:rPr>
        <w:t xml:space="preserve"> </w:t>
      </w:r>
      <w:r w:rsidRPr="008742E9">
        <w:rPr>
          <w:i/>
          <w:sz w:val="22"/>
          <w:szCs w:val="22"/>
          <w:lang w:val="en-US"/>
        </w:rPr>
        <w:t xml:space="preserve">Dyschirus aeneus </w:t>
      </w:r>
      <w:r w:rsidRPr="008742E9">
        <w:rPr>
          <w:sz w:val="22"/>
          <w:szCs w:val="22"/>
          <w:lang w:val="en-US"/>
        </w:rPr>
        <w:t>(0,02%),</w:t>
      </w:r>
      <w:r w:rsidRPr="008742E9">
        <w:rPr>
          <w:i/>
          <w:sz w:val="26"/>
          <w:szCs w:val="22"/>
          <w:lang w:val="en-US"/>
        </w:rPr>
        <w:t xml:space="preserve"> </w:t>
      </w:r>
      <w:r w:rsidRPr="008742E9">
        <w:rPr>
          <w:i/>
          <w:sz w:val="22"/>
          <w:szCs w:val="22"/>
          <w:lang w:val="en-US"/>
        </w:rPr>
        <w:t xml:space="preserve">Broscus semistriatus </w:t>
      </w:r>
      <w:r w:rsidRPr="008742E9">
        <w:rPr>
          <w:sz w:val="22"/>
          <w:szCs w:val="22"/>
          <w:lang w:val="en-US"/>
        </w:rPr>
        <w:t>(12,41%),</w:t>
      </w:r>
      <w:r w:rsidRPr="008742E9">
        <w:rPr>
          <w:i/>
          <w:sz w:val="26"/>
          <w:szCs w:val="22"/>
          <w:lang w:val="en-US"/>
        </w:rPr>
        <w:t xml:space="preserve"> </w:t>
      </w:r>
      <w:r w:rsidRPr="008742E9">
        <w:rPr>
          <w:i/>
          <w:sz w:val="22"/>
          <w:szCs w:val="22"/>
          <w:lang w:val="en-US"/>
        </w:rPr>
        <w:t xml:space="preserve">Bembidion properans </w:t>
      </w:r>
      <w:r w:rsidRPr="008742E9">
        <w:rPr>
          <w:sz w:val="22"/>
          <w:szCs w:val="22"/>
          <w:lang w:val="en-US"/>
        </w:rPr>
        <w:t>(0,05%),</w:t>
      </w:r>
      <w:r w:rsidRPr="008742E9">
        <w:rPr>
          <w:i/>
          <w:sz w:val="26"/>
          <w:szCs w:val="22"/>
          <w:lang w:val="en-US"/>
        </w:rPr>
        <w:t xml:space="preserve"> </w:t>
      </w:r>
      <w:r w:rsidRPr="008742E9">
        <w:rPr>
          <w:i/>
          <w:sz w:val="22"/>
          <w:szCs w:val="22"/>
          <w:lang w:val="en-US"/>
        </w:rPr>
        <w:t xml:space="preserve">Trechus quadristriatus </w:t>
      </w:r>
      <w:r w:rsidRPr="008742E9">
        <w:rPr>
          <w:sz w:val="22"/>
          <w:szCs w:val="22"/>
          <w:lang w:val="en-US"/>
        </w:rPr>
        <w:t>(0,05%),</w:t>
      </w:r>
      <w:r w:rsidRPr="008742E9">
        <w:rPr>
          <w:i/>
          <w:sz w:val="26"/>
          <w:szCs w:val="22"/>
          <w:lang w:val="en-US"/>
        </w:rPr>
        <w:t xml:space="preserve"> </w:t>
      </w:r>
      <w:r w:rsidRPr="008742E9">
        <w:rPr>
          <w:i/>
          <w:sz w:val="22"/>
          <w:szCs w:val="22"/>
          <w:lang w:val="en-US"/>
        </w:rPr>
        <w:t>Chlenius aen</w:t>
      </w:r>
      <w:r w:rsidRPr="008742E9">
        <w:rPr>
          <w:i/>
          <w:sz w:val="22"/>
          <w:szCs w:val="22"/>
          <w:lang w:val="en-US"/>
        </w:rPr>
        <w:t>e</w:t>
      </w:r>
      <w:r w:rsidRPr="008742E9">
        <w:rPr>
          <w:i/>
          <w:sz w:val="22"/>
          <w:szCs w:val="22"/>
          <w:lang w:val="en-US"/>
        </w:rPr>
        <w:t xml:space="preserve">ocephalus </w:t>
      </w:r>
      <w:r w:rsidRPr="008742E9">
        <w:rPr>
          <w:sz w:val="22"/>
          <w:szCs w:val="22"/>
          <w:lang w:val="en-US"/>
        </w:rPr>
        <w:t>(0,17%),</w:t>
      </w:r>
      <w:r w:rsidRPr="008742E9">
        <w:rPr>
          <w:i/>
          <w:sz w:val="26"/>
          <w:szCs w:val="22"/>
          <w:lang w:val="en-US"/>
        </w:rPr>
        <w:t xml:space="preserve"> </w:t>
      </w:r>
      <w:r w:rsidRPr="008742E9">
        <w:rPr>
          <w:i/>
          <w:sz w:val="22"/>
          <w:szCs w:val="22"/>
          <w:lang w:val="en-US"/>
        </w:rPr>
        <w:t xml:space="preserve">Chlenius cruralis </w:t>
      </w:r>
      <w:r w:rsidRPr="008742E9">
        <w:rPr>
          <w:sz w:val="22"/>
          <w:szCs w:val="22"/>
          <w:lang w:val="en-US"/>
        </w:rPr>
        <w:t>(0,12%),</w:t>
      </w:r>
      <w:r w:rsidRPr="008742E9">
        <w:rPr>
          <w:i/>
          <w:sz w:val="26"/>
          <w:szCs w:val="22"/>
          <w:lang w:val="en-US"/>
        </w:rPr>
        <w:t xml:space="preserve"> </w:t>
      </w:r>
      <w:r w:rsidRPr="008742E9">
        <w:rPr>
          <w:i/>
          <w:sz w:val="22"/>
          <w:szCs w:val="22"/>
          <w:lang w:val="en-US"/>
        </w:rPr>
        <w:t xml:space="preserve">Agonum dorsale </w:t>
      </w:r>
      <w:r w:rsidRPr="008742E9">
        <w:rPr>
          <w:sz w:val="22"/>
          <w:szCs w:val="22"/>
          <w:lang w:val="en-US"/>
        </w:rPr>
        <w:lastRenderedPageBreak/>
        <w:t>(0,39%),</w:t>
      </w:r>
      <w:r w:rsidRPr="008742E9">
        <w:rPr>
          <w:i/>
          <w:sz w:val="26"/>
          <w:szCs w:val="22"/>
          <w:lang w:val="en-US"/>
        </w:rPr>
        <w:t xml:space="preserve"> </w:t>
      </w:r>
      <w:r w:rsidRPr="008742E9">
        <w:rPr>
          <w:i/>
          <w:sz w:val="22"/>
          <w:szCs w:val="22"/>
          <w:lang w:val="en-US"/>
        </w:rPr>
        <w:t xml:space="preserve">Stomis pumicatus </w:t>
      </w:r>
      <w:r w:rsidRPr="008742E9">
        <w:rPr>
          <w:sz w:val="22"/>
          <w:szCs w:val="22"/>
          <w:lang w:val="en-US"/>
        </w:rPr>
        <w:t>(0,02%),</w:t>
      </w:r>
      <w:r w:rsidRPr="008742E9">
        <w:rPr>
          <w:i/>
          <w:sz w:val="26"/>
          <w:szCs w:val="22"/>
          <w:lang w:val="en-US"/>
        </w:rPr>
        <w:t xml:space="preserve"> </w:t>
      </w:r>
      <w:r w:rsidRPr="008742E9">
        <w:rPr>
          <w:i/>
          <w:sz w:val="22"/>
          <w:szCs w:val="22"/>
          <w:lang w:val="en-US"/>
        </w:rPr>
        <w:t xml:space="preserve">Poecilus sericeus </w:t>
      </w:r>
      <w:r w:rsidRPr="008742E9">
        <w:rPr>
          <w:sz w:val="22"/>
          <w:szCs w:val="22"/>
          <w:lang w:val="en-US"/>
        </w:rPr>
        <w:t>(3,65%),</w:t>
      </w:r>
      <w:r w:rsidRPr="008742E9">
        <w:rPr>
          <w:i/>
          <w:sz w:val="26"/>
          <w:szCs w:val="22"/>
          <w:lang w:val="en-US"/>
        </w:rPr>
        <w:t xml:space="preserve"> </w:t>
      </w:r>
      <w:r w:rsidRPr="008742E9">
        <w:rPr>
          <w:i/>
          <w:sz w:val="22"/>
          <w:szCs w:val="22"/>
          <w:lang w:val="en-US"/>
        </w:rPr>
        <w:t xml:space="preserve">Poecilus puncticollis </w:t>
      </w:r>
      <w:r w:rsidRPr="008742E9">
        <w:rPr>
          <w:sz w:val="22"/>
          <w:szCs w:val="22"/>
          <w:lang w:val="en-US"/>
        </w:rPr>
        <w:t>(3,62%),</w:t>
      </w:r>
      <w:r w:rsidRPr="008742E9">
        <w:rPr>
          <w:i/>
          <w:sz w:val="26"/>
          <w:szCs w:val="22"/>
          <w:lang w:val="en-US"/>
        </w:rPr>
        <w:t xml:space="preserve"> </w:t>
      </w:r>
      <w:r w:rsidRPr="008742E9">
        <w:rPr>
          <w:i/>
          <w:sz w:val="22"/>
          <w:szCs w:val="22"/>
          <w:lang w:val="en-US"/>
        </w:rPr>
        <w:t xml:space="preserve">Poecilus crenuliger </w:t>
      </w:r>
      <w:r w:rsidRPr="008742E9">
        <w:rPr>
          <w:sz w:val="22"/>
          <w:szCs w:val="22"/>
          <w:lang w:val="en-US"/>
        </w:rPr>
        <w:t>(14,22%),</w:t>
      </w:r>
      <w:r w:rsidRPr="008742E9">
        <w:rPr>
          <w:i/>
          <w:sz w:val="26"/>
          <w:szCs w:val="22"/>
          <w:lang w:val="en-US"/>
        </w:rPr>
        <w:t xml:space="preserve"> </w:t>
      </w:r>
      <w:r w:rsidRPr="008742E9">
        <w:rPr>
          <w:i/>
          <w:sz w:val="22"/>
          <w:szCs w:val="22"/>
          <w:lang w:val="en-US"/>
        </w:rPr>
        <w:t xml:space="preserve">Pterostichus niger </w:t>
      </w:r>
      <w:r w:rsidRPr="008742E9">
        <w:rPr>
          <w:sz w:val="22"/>
          <w:szCs w:val="22"/>
          <w:lang w:val="en-US"/>
        </w:rPr>
        <w:t>(0,02%),</w:t>
      </w:r>
      <w:r w:rsidRPr="008742E9">
        <w:rPr>
          <w:i/>
          <w:sz w:val="26"/>
          <w:szCs w:val="22"/>
          <w:lang w:val="en-US"/>
        </w:rPr>
        <w:t xml:space="preserve"> </w:t>
      </w:r>
      <w:r w:rsidRPr="008742E9">
        <w:rPr>
          <w:i/>
          <w:sz w:val="22"/>
          <w:szCs w:val="22"/>
          <w:lang w:val="en-US"/>
        </w:rPr>
        <w:t xml:space="preserve">Pterostichus inaequalis </w:t>
      </w:r>
      <w:r w:rsidRPr="008742E9">
        <w:rPr>
          <w:sz w:val="22"/>
          <w:szCs w:val="22"/>
          <w:lang w:val="en-US"/>
        </w:rPr>
        <w:t>(0,37%),</w:t>
      </w:r>
      <w:r w:rsidRPr="008742E9">
        <w:rPr>
          <w:i/>
          <w:sz w:val="26"/>
          <w:szCs w:val="22"/>
          <w:lang w:val="en-US"/>
        </w:rPr>
        <w:t xml:space="preserve"> </w:t>
      </w:r>
      <w:r w:rsidRPr="008742E9">
        <w:rPr>
          <w:i/>
          <w:sz w:val="22"/>
          <w:szCs w:val="22"/>
          <w:lang w:val="en-US"/>
        </w:rPr>
        <w:t xml:space="preserve">Pterostichus puncticollis </w:t>
      </w:r>
      <w:r w:rsidRPr="008742E9">
        <w:rPr>
          <w:sz w:val="22"/>
          <w:szCs w:val="22"/>
          <w:lang w:val="en-US"/>
        </w:rPr>
        <w:t>(0,02%),</w:t>
      </w:r>
      <w:r w:rsidRPr="008742E9">
        <w:rPr>
          <w:i/>
          <w:sz w:val="26"/>
          <w:szCs w:val="22"/>
          <w:lang w:val="en-US"/>
        </w:rPr>
        <w:t xml:space="preserve"> </w:t>
      </w:r>
      <w:r w:rsidRPr="008742E9">
        <w:rPr>
          <w:i/>
          <w:sz w:val="22"/>
          <w:szCs w:val="22"/>
          <w:lang w:val="en-US"/>
        </w:rPr>
        <w:t xml:space="preserve">Pterostichus macer </w:t>
      </w:r>
      <w:r w:rsidRPr="008742E9">
        <w:rPr>
          <w:sz w:val="22"/>
          <w:szCs w:val="22"/>
          <w:lang w:val="en-US"/>
        </w:rPr>
        <w:t>(0,02%),</w:t>
      </w:r>
      <w:r w:rsidRPr="008742E9">
        <w:rPr>
          <w:i/>
          <w:sz w:val="26"/>
          <w:szCs w:val="22"/>
          <w:lang w:val="en-US"/>
        </w:rPr>
        <w:t xml:space="preserve"> </w:t>
      </w:r>
      <w:r w:rsidRPr="008742E9">
        <w:rPr>
          <w:i/>
          <w:sz w:val="22"/>
          <w:szCs w:val="22"/>
          <w:lang w:val="en-US"/>
        </w:rPr>
        <w:t xml:space="preserve">Calathus halensis </w:t>
      </w:r>
      <w:r w:rsidRPr="008742E9">
        <w:rPr>
          <w:sz w:val="22"/>
          <w:szCs w:val="22"/>
          <w:lang w:val="en-US"/>
        </w:rPr>
        <w:t>(0,61%),</w:t>
      </w:r>
      <w:r w:rsidRPr="008742E9">
        <w:rPr>
          <w:i/>
          <w:sz w:val="26"/>
          <w:szCs w:val="22"/>
          <w:lang w:val="en-US"/>
        </w:rPr>
        <w:t xml:space="preserve"> </w:t>
      </w:r>
      <w:r w:rsidRPr="008742E9">
        <w:rPr>
          <w:i/>
          <w:sz w:val="22"/>
          <w:szCs w:val="22"/>
          <w:lang w:val="en-US"/>
        </w:rPr>
        <w:t>Cal</w:t>
      </w:r>
      <w:r w:rsidRPr="008742E9">
        <w:rPr>
          <w:i/>
          <w:sz w:val="22"/>
          <w:szCs w:val="22"/>
          <w:lang w:val="en-US"/>
        </w:rPr>
        <w:t>a</w:t>
      </w:r>
      <w:r w:rsidRPr="008742E9">
        <w:rPr>
          <w:i/>
          <w:sz w:val="22"/>
          <w:szCs w:val="22"/>
          <w:lang w:val="en-US"/>
        </w:rPr>
        <w:t xml:space="preserve">thus fuscipes </w:t>
      </w:r>
      <w:r w:rsidRPr="008742E9">
        <w:rPr>
          <w:sz w:val="22"/>
          <w:szCs w:val="22"/>
          <w:lang w:val="en-US"/>
        </w:rPr>
        <w:t>(0,05%),</w:t>
      </w:r>
      <w:r w:rsidRPr="008742E9">
        <w:rPr>
          <w:i/>
          <w:sz w:val="26"/>
          <w:szCs w:val="22"/>
          <w:lang w:val="en-US"/>
        </w:rPr>
        <w:t xml:space="preserve"> </w:t>
      </w:r>
      <w:r w:rsidRPr="008742E9">
        <w:rPr>
          <w:i/>
          <w:sz w:val="22"/>
          <w:szCs w:val="22"/>
          <w:lang w:val="en-US"/>
        </w:rPr>
        <w:t xml:space="preserve">Calathus ambiguous </w:t>
      </w:r>
      <w:r w:rsidRPr="008742E9">
        <w:rPr>
          <w:sz w:val="22"/>
          <w:szCs w:val="22"/>
          <w:lang w:val="en-US"/>
        </w:rPr>
        <w:t>(0,05%),</w:t>
      </w:r>
      <w:r w:rsidRPr="008742E9">
        <w:rPr>
          <w:i/>
          <w:sz w:val="26"/>
          <w:szCs w:val="22"/>
          <w:lang w:val="en-US"/>
        </w:rPr>
        <w:t xml:space="preserve"> </w:t>
      </w:r>
      <w:r w:rsidRPr="008742E9">
        <w:rPr>
          <w:i/>
          <w:sz w:val="22"/>
          <w:szCs w:val="22"/>
          <w:lang w:val="en-US"/>
        </w:rPr>
        <w:t xml:space="preserve">Amara familiaris </w:t>
      </w:r>
      <w:r w:rsidRPr="008742E9">
        <w:rPr>
          <w:sz w:val="22"/>
          <w:szCs w:val="22"/>
          <w:lang w:val="en-US"/>
        </w:rPr>
        <w:t>(1,98%),</w:t>
      </w:r>
      <w:r w:rsidRPr="008742E9">
        <w:rPr>
          <w:i/>
          <w:sz w:val="26"/>
          <w:szCs w:val="22"/>
          <w:lang w:val="en-US"/>
        </w:rPr>
        <w:t xml:space="preserve"> </w:t>
      </w:r>
      <w:r w:rsidRPr="008742E9">
        <w:rPr>
          <w:i/>
          <w:sz w:val="22"/>
          <w:szCs w:val="22"/>
          <w:lang w:val="en-US"/>
        </w:rPr>
        <w:t xml:space="preserve">Amara lucida </w:t>
      </w:r>
      <w:r w:rsidRPr="008742E9">
        <w:rPr>
          <w:sz w:val="22"/>
          <w:szCs w:val="22"/>
          <w:lang w:val="en-US"/>
        </w:rPr>
        <w:t>(0,61%),</w:t>
      </w:r>
      <w:r w:rsidRPr="008742E9">
        <w:rPr>
          <w:i/>
          <w:sz w:val="26"/>
          <w:szCs w:val="22"/>
          <w:lang w:val="en-US"/>
        </w:rPr>
        <w:t xml:space="preserve"> </w:t>
      </w:r>
      <w:r w:rsidRPr="008742E9">
        <w:rPr>
          <w:i/>
          <w:sz w:val="22"/>
          <w:szCs w:val="22"/>
          <w:lang w:val="en-US"/>
        </w:rPr>
        <w:t xml:space="preserve">Amara similata </w:t>
      </w:r>
      <w:r w:rsidRPr="008742E9">
        <w:rPr>
          <w:sz w:val="22"/>
          <w:szCs w:val="22"/>
          <w:lang w:val="en-US"/>
        </w:rPr>
        <w:t>(1,76%),</w:t>
      </w:r>
      <w:r w:rsidRPr="008742E9">
        <w:rPr>
          <w:i/>
          <w:sz w:val="26"/>
          <w:szCs w:val="22"/>
          <w:lang w:val="en-US"/>
        </w:rPr>
        <w:t xml:space="preserve"> </w:t>
      </w:r>
      <w:r w:rsidRPr="008742E9">
        <w:rPr>
          <w:i/>
          <w:sz w:val="22"/>
          <w:szCs w:val="22"/>
          <w:lang w:val="en-US"/>
        </w:rPr>
        <w:t xml:space="preserve">Amara ovate </w:t>
      </w:r>
      <w:r w:rsidRPr="008742E9">
        <w:rPr>
          <w:sz w:val="22"/>
          <w:szCs w:val="22"/>
          <w:lang w:val="en-US"/>
        </w:rPr>
        <w:t>(1,37%),</w:t>
      </w:r>
      <w:r w:rsidRPr="008742E9">
        <w:rPr>
          <w:i/>
          <w:sz w:val="26"/>
          <w:szCs w:val="22"/>
          <w:lang w:val="en-US"/>
        </w:rPr>
        <w:t xml:space="preserve"> </w:t>
      </w:r>
      <w:r w:rsidRPr="008742E9">
        <w:rPr>
          <w:i/>
          <w:sz w:val="22"/>
          <w:szCs w:val="22"/>
          <w:lang w:val="en-US"/>
        </w:rPr>
        <w:t xml:space="preserve">Amara aenea </w:t>
      </w:r>
      <w:r w:rsidRPr="008742E9">
        <w:rPr>
          <w:sz w:val="22"/>
          <w:szCs w:val="22"/>
          <w:lang w:val="en-US"/>
        </w:rPr>
        <w:t>(2,42%),</w:t>
      </w:r>
      <w:r w:rsidRPr="008742E9">
        <w:rPr>
          <w:i/>
          <w:sz w:val="26"/>
          <w:szCs w:val="22"/>
          <w:lang w:val="en-US"/>
        </w:rPr>
        <w:t xml:space="preserve"> </w:t>
      </w:r>
      <w:r w:rsidRPr="008742E9">
        <w:rPr>
          <w:i/>
          <w:sz w:val="22"/>
          <w:szCs w:val="22"/>
          <w:lang w:val="en-US"/>
        </w:rPr>
        <w:t xml:space="preserve">Amara littorea </w:t>
      </w:r>
      <w:r w:rsidRPr="008742E9">
        <w:rPr>
          <w:sz w:val="22"/>
          <w:szCs w:val="22"/>
          <w:lang w:val="en-US"/>
        </w:rPr>
        <w:t>(0,71%),</w:t>
      </w:r>
      <w:r w:rsidRPr="008742E9">
        <w:rPr>
          <w:i/>
          <w:sz w:val="26"/>
          <w:szCs w:val="22"/>
          <w:lang w:val="en-US"/>
        </w:rPr>
        <w:t xml:space="preserve"> </w:t>
      </w:r>
      <w:r w:rsidRPr="008742E9">
        <w:rPr>
          <w:i/>
          <w:sz w:val="22"/>
          <w:szCs w:val="22"/>
          <w:lang w:val="en-US"/>
        </w:rPr>
        <w:t>Amara cons</w:t>
      </w:r>
      <w:r w:rsidRPr="008742E9">
        <w:rPr>
          <w:i/>
          <w:sz w:val="22"/>
          <w:szCs w:val="22"/>
          <w:lang w:val="en-US"/>
        </w:rPr>
        <w:t>u</w:t>
      </w:r>
      <w:r w:rsidRPr="008742E9">
        <w:rPr>
          <w:i/>
          <w:sz w:val="22"/>
          <w:szCs w:val="22"/>
          <w:lang w:val="en-US"/>
        </w:rPr>
        <w:t xml:space="preserve">laris </w:t>
      </w:r>
      <w:r w:rsidRPr="008742E9">
        <w:rPr>
          <w:sz w:val="22"/>
          <w:szCs w:val="22"/>
          <w:lang w:val="en-US"/>
        </w:rPr>
        <w:t>(0,73%),</w:t>
      </w:r>
      <w:r w:rsidRPr="008742E9">
        <w:rPr>
          <w:i/>
          <w:sz w:val="26"/>
          <w:szCs w:val="22"/>
          <w:lang w:val="en-US"/>
        </w:rPr>
        <w:t xml:space="preserve"> </w:t>
      </w:r>
      <w:r w:rsidRPr="008742E9">
        <w:rPr>
          <w:i/>
          <w:sz w:val="22"/>
          <w:szCs w:val="22"/>
          <w:lang w:val="en-US"/>
        </w:rPr>
        <w:t xml:space="preserve">Ophonus azureus </w:t>
      </w:r>
      <w:r w:rsidRPr="008742E9">
        <w:rPr>
          <w:sz w:val="22"/>
          <w:szCs w:val="22"/>
          <w:lang w:val="en-US"/>
        </w:rPr>
        <w:t>(0,02%),</w:t>
      </w:r>
      <w:r w:rsidRPr="008742E9">
        <w:rPr>
          <w:i/>
          <w:sz w:val="26"/>
          <w:szCs w:val="22"/>
          <w:lang w:val="en-US"/>
        </w:rPr>
        <w:t xml:space="preserve"> </w:t>
      </w:r>
      <w:r w:rsidRPr="008742E9">
        <w:rPr>
          <w:i/>
          <w:sz w:val="22"/>
          <w:szCs w:val="22"/>
          <w:lang w:val="en-US"/>
        </w:rPr>
        <w:t xml:space="preserve">Ophonus </w:t>
      </w:r>
      <w:r w:rsidRPr="008742E9">
        <w:rPr>
          <w:bCs/>
          <w:i/>
          <w:iCs/>
          <w:sz w:val="22"/>
          <w:szCs w:val="22"/>
          <w:lang w:val="en-US"/>
        </w:rPr>
        <w:t>rufibarbis</w:t>
      </w:r>
      <w:r w:rsidRPr="008742E9">
        <w:rPr>
          <w:i/>
          <w:sz w:val="26"/>
          <w:szCs w:val="22"/>
          <w:lang w:val="en-US"/>
        </w:rPr>
        <w:t xml:space="preserve"> </w:t>
      </w:r>
      <w:r w:rsidRPr="008742E9">
        <w:rPr>
          <w:sz w:val="26"/>
          <w:szCs w:val="22"/>
          <w:lang w:val="en-US"/>
        </w:rPr>
        <w:t>(</w:t>
      </w:r>
      <w:r w:rsidRPr="008742E9">
        <w:rPr>
          <w:sz w:val="22"/>
          <w:szCs w:val="22"/>
          <w:lang w:val="en-US"/>
        </w:rPr>
        <w:t xml:space="preserve">0,02 %), </w:t>
      </w:r>
      <w:r w:rsidRPr="008742E9">
        <w:rPr>
          <w:i/>
          <w:sz w:val="22"/>
          <w:szCs w:val="22"/>
          <w:lang w:val="en-US"/>
        </w:rPr>
        <w:t xml:space="preserve">Parophorus suturalis </w:t>
      </w:r>
      <w:r w:rsidRPr="008742E9">
        <w:rPr>
          <w:sz w:val="22"/>
          <w:szCs w:val="22"/>
          <w:lang w:val="en-US"/>
        </w:rPr>
        <w:t>(0,02%),</w:t>
      </w:r>
      <w:r w:rsidRPr="008742E9">
        <w:rPr>
          <w:i/>
          <w:sz w:val="26"/>
          <w:szCs w:val="22"/>
          <w:lang w:val="en-US"/>
        </w:rPr>
        <w:t xml:space="preserve"> </w:t>
      </w:r>
      <w:r w:rsidRPr="008742E9">
        <w:rPr>
          <w:i/>
          <w:sz w:val="22"/>
          <w:szCs w:val="22"/>
          <w:lang w:val="en-US"/>
        </w:rPr>
        <w:t xml:space="preserve">Harpalus rufipes </w:t>
      </w:r>
      <w:r w:rsidRPr="008742E9">
        <w:rPr>
          <w:sz w:val="22"/>
          <w:szCs w:val="22"/>
          <w:lang w:val="en-US"/>
        </w:rPr>
        <w:t>(16,65%),</w:t>
      </w:r>
      <w:r w:rsidRPr="008742E9">
        <w:rPr>
          <w:i/>
          <w:sz w:val="26"/>
          <w:szCs w:val="22"/>
          <w:lang w:val="en-US"/>
        </w:rPr>
        <w:t xml:space="preserve"> </w:t>
      </w:r>
      <w:r w:rsidRPr="008742E9">
        <w:rPr>
          <w:i/>
          <w:sz w:val="22"/>
          <w:szCs w:val="22"/>
          <w:lang w:val="en-US"/>
        </w:rPr>
        <w:t xml:space="preserve">Harpalus griseus </w:t>
      </w:r>
      <w:r w:rsidRPr="008742E9">
        <w:rPr>
          <w:sz w:val="22"/>
          <w:szCs w:val="22"/>
          <w:lang w:val="en-US"/>
        </w:rPr>
        <w:t>(0,61%),</w:t>
      </w:r>
      <w:r w:rsidRPr="008742E9">
        <w:rPr>
          <w:i/>
          <w:sz w:val="26"/>
          <w:szCs w:val="22"/>
          <w:lang w:val="en-US"/>
        </w:rPr>
        <w:t xml:space="preserve"> </w:t>
      </w:r>
      <w:r w:rsidRPr="008742E9">
        <w:rPr>
          <w:i/>
          <w:sz w:val="22"/>
          <w:szCs w:val="22"/>
          <w:lang w:val="en-US"/>
        </w:rPr>
        <w:t xml:space="preserve">Harpalus calceathus </w:t>
      </w:r>
      <w:r w:rsidRPr="008742E9">
        <w:rPr>
          <w:sz w:val="22"/>
          <w:szCs w:val="22"/>
          <w:lang w:val="en-US"/>
        </w:rPr>
        <w:t>(3,04%),</w:t>
      </w:r>
      <w:r w:rsidRPr="008742E9">
        <w:rPr>
          <w:i/>
          <w:sz w:val="26"/>
          <w:szCs w:val="22"/>
          <w:lang w:val="en-US"/>
        </w:rPr>
        <w:t xml:space="preserve"> </w:t>
      </w:r>
      <w:r w:rsidRPr="008742E9">
        <w:rPr>
          <w:i/>
          <w:sz w:val="22"/>
          <w:szCs w:val="22"/>
          <w:lang w:val="en-US"/>
        </w:rPr>
        <w:t>Harpalus distinguendus</w:t>
      </w:r>
      <w:r w:rsidRPr="008742E9">
        <w:rPr>
          <w:i/>
          <w:sz w:val="26"/>
          <w:szCs w:val="22"/>
          <w:lang w:val="en-US"/>
        </w:rPr>
        <w:t xml:space="preserve">  </w:t>
      </w:r>
      <w:r w:rsidRPr="008742E9">
        <w:rPr>
          <w:sz w:val="26"/>
          <w:szCs w:val="22"/>
          <w:lang w:val="en-US"/>
        </w:rPr>
        <w:t>(</w:t>
      </w:r>
      <w:r w:rsidRPr="008742E9">
        <w:rPr>
          <w:sz w:val="22"/>
          <w:szCs w:val="22"/>
          <w:lang w:val="en-US"/>
        </w:rPr>
        <w:t xml:space="preserve">10,97%), </w:t>
      </w:r>
      <w:r w:rsidRPr="008742E9">
        <w:rPr>
          <w:i/>
          <w:sz w:val="22"/>
          <w:szCs w:val="22"/>
          <w:lang w:val="en-US"/>
        </w:rPr>
        <w:t xml:space="preserve">Harpalus affinis </w:t>
      </w:r>
      <w:r w:rsidRPr="008742E9">
        <w:rPr>
          <w:sz w:val="22"/>
          <w:szCs w:val="22"/>
          <w:lang w:val="en-US"/>
        </w:rPr>
        <w:t xml:space="preserve">(0,24%), </w:t>
      </w:r>
      <w:r w:rsidRPr="008742E9">
        <w:rPr>
          <w:i/>
          <w:sz w:val="26"/>
          <w:szCs w:val="22"/>
          <w:lang w:val="en-US"/>
        </w:rPr>
        <w:t xml:space="preserve"> </w:t>
      </w:r>
      <w:r w:rsidRPr="008742E9">
        <w:rPr>
          <w:i/>
          <w:sz w:val="22"/>
          <w:szCs w:val="22"/>
          <w:lang w:val="en-US"/>
        </w:rPr>
        <w:t xml:space="preserve">Harpalus calathoides </w:t>
      </w:r>
      <w:r w:rsidRPr="008742E9">
        <w:rPr>
          <w:sz w:val="22"/>
          <w:szCs w:val="22"/>
          <w:lang w:val="en-US"/>
        </w:rPr>
        <w:t>(0,02%),</w:t>
      </w:r>
      <w:r w:rsidRPr="008742E9">
        <w:rPr>
          <w:i/>
          <w:sz w:val="26"/>
          <w:szCs w:val="22"/>
          <w:lang w:val="en-US"/>
        </w:rPr>
        <w:t xml:space="preserve"> </w:t>
      </w:r>
      <w:r w:rsidRPr="008742E9">
        <w:rPr>
          <w:i/>
          <w:sz w:val="22"/>
          <w:szCs w:val="22"/>
          <w:lang w:val="en-US"/>
        </w:rPr>
        <w:t xml:space="preserve">Brachinus crepitans </w:t>
      </w:r>
      <w:r w:rsidRPr="008742E9">
        <w:rPr>
          <w:sz w:val="22"/>
          <w:szCs w:val="22"/>
          <w:lang w:val="en-US"/>
        </w:rPr>
        <w:t>(17,8%),</w:t>
      </w:r>
      <w:r w:rsidRPr="008742E9">
        <w:rPr>
          <w:i/>
          <w:sz w:val="26"/>
          <w:szCs w:val="22"/>
          <w:lang w:val="en-US"/>
        </w:rPr>
        <w:t xml:space="preserve"> </w:t>
      </w:r>
      <w:r w:rsidRPr="008742E9">
        <w:rPr>
          <w:i/>
          <w:sz w:val="22"/>
          <w:szCs w:val="22"/>
          <w:lang w:val="en-US"/>
        </w:rPr>
        <w:t xml:space="preserve">Brachinus elegans </w:t>
      </w:r>
      <w:r w:rsidRPr="008742E9">
        <w:rPr>
          <w:sz w:val="22"/>
          <w:szCs w:val="22"/>
          <w:lang w:val="en-US"/>
        </w:rPr>
        <w:t>(0,02%),</w:t>
      </w:r>
      <w:r w:rsidRPr="008742E9">
        <w:rPr>
          <w:i/>
          <w:sz w:val="26"/>
          <w:szCs w:val="22"/>
          <w:lang w:val="en-US"/>
        </w:rPr>
        <w:t xml:space="preserve"> </w:t>
      </w:r>
      <w:r w:rsidRPr="008742E9">
        <w:rPr>
          <w:i/>
          <w:sz w:val="22"/>
          <w:szCs w:val="22"/>
          <w:lang w:val="en-US"/>
        </w:rPr>
        <w:t>Drypta de</w:t>
      </w:r>
      <w:r w:rsidRPr="008742E9">
        <w:rPr>
          <w:i/>
          <w:sz w:val="22"/>
          <w:szCs w:val="22"/>
          <w:lang w:val="en-US"/>
        </w:rPr>
        <w:t>n</w:t>
      </w:r>
      <w:r w:rsidRPr="008742E9">
        <w:rPr>
          <w:i/>
          <w:sz w:val="22"/>
          <w:szCs w:val="22"/>
          <w:lang w:val="en-US"/>
        </w:rPr>
        <w:t xml:space="preserve">tata </w:t>
      </w:r>
      <w:r w:rsidRPr="008742E9">
        <w:rPr>
          <w:sz w:val="22"/>
          <w:szCs w:val="22"/>
          <w:lang w:val="en-US"/>
        </w:rPr>
        <w:t>(0,02%),</w:t>
      </w:r>
      <w:r w:rsidRPr="008742E9">
        <w:rPr>
          <w:i/>
          <w:sz w:val="26"/>
          <w:szCs w:val="22"/>
          <w:lang w:val="en-US"/>
        </w:rPr>
        <w:t xml:space="preserve"> </w:t>
      </w:r>
      <w:r w:rsidRPr="008742E9">
        <w:rPr>
          <w:i/>
          <w:sz w:val="22"/>
          <w:szCs w:val="22"/>
          <w:lang w:val="en-US"/>
        </w:rPr>
        <w:t xml:space="preserve">Acupalpus meridianus </w:t>
      </w:r>
      <w:r w:rsidRPr="008742E9">
        <w:rPr>
          <w:sz w:val="22"/>
          <w:szCs w:val="22"/>
          <w:lang w:val="en-US"/>
        </w:rPr>
        <w:t>(0,02%),</w:t>
      </w:r>
      <w:r w:rsidRPr="008742E9">
        <w:rPr>
          <w:i/>
          <w:sz w:val="26"/>
          <w:szCs w:val="22"/>
          <w:lang w:val="en-US"/>
        </w:rPr>
        <w:t xml:space="preserve"> </w:t>
      </w:r>
      <w:r w:rsidRPr="008742E9">
        <w:rPr>
          <w:i/>
          <w:sz w:val="22"/>
          <w:szCs w:val="22"/>
          <w:lang w:val="en-US"/>
        </w:rPr>
        <w:t xml:space="preserve">Gynandromorphus etruscus </w:t>
      </w:r>
      <w:r w:rsidRPr="008742E9">
        <w:rPr>
          <w:sz w:val="22"/>
          <w:szCs w:val="22"/>
          <w:lang w:val="en-US"/>
        </w:rPr>
        <w:t>(0,02%),</w:t>
      </w:r>
      <w:r w:rsidRPr="008742E9">
        <w:rPr>
          <w:i/>
          <w:sz w:val="26"/>
          <w:szCs w:val="22"/>
          <w:lang w:val="en-US"/>
        </w:rPr>
        <w:t xml:space="preserve"> </w:t>
      </w:r>
      <w:r w:rsidRPr="008742E9">
        <w:rPr>
          <w:i/>
          <w:sz w:val="22"/>
          <w:szCs w:val="22"/>
          <w:lang w:val="en-US"/>
        </w:rPr>
        <w:t xml:space="preserve">Metabletus luctuosus </w:t>
      </w:r>
      <w:r w:rsidRPr="008742E9">
        <w:rPr>
          <w:sz w:val="22"/>
          <w:szCs w:val="22"/>
          <w:lang w:val="en-US"/>
        </w:rPr>
        <w:t>(0,02%),</w:t>
      </w:r>
      <w:r w:rsidRPr="008742E9">
        <w:rPr>
          <w:i/>
          <w:sz w:val="26"/>
          <w:szCs w:val="22"/>
          <w:lang w:val="en-US"/>
        </w:rPr>
        <w:t xml:space="preserve"> </w:t>
      </w:r>
      <w:r w:rsidRPr="008742E9">
        <w:rPr>
          <w:i/>
          <w:sz w:val="22"/>
          <w:szCs w:val="22"/>
          <w:lang w:val="en-US"/>
        </w:rPr>
        <w:t xml:space="preserve">Microlestes minutulus </w:t>
      </w:r>
      <w:r w:rsidRPr="008742E9">
        <w:rPr>
          <w:sz w:val="22"/>
          <w:szCs w:val="22"/>
          <w:lang w:val="en-US"/>
        </w:rPr>
        <w:t>(0,02%),</w:t>
      </w:r>
      <w:r w:rsidRPr="008742E9">
        <w:rPr>
          <w:i/>
          <w:sz w:val="26"/>
          <w:szCs w:val="22"/>
          <w:lang w:val="en-US"/>
        </w:rPr>
        <w:t xml:space="preserve"> </w:t>
      </w:r>
      <w:r w:rsidRPr="008742E9">
        <w:rPr>
          <w:i/>
          <w:sz w:val="22"/>
          <w:szCs w:val="22"/>
          <w:lang w:val="en-US"/>
        </w:rPr>
        <w:t xml:space="preserve">Odacanta melanura </w:t>
      </w:r>
      <w:r w:rsidRPr="008742E9">
        <w:rPr>
          <w:sz w:val="22"/>
          <w:szCs w:val="22"/>
          <w:lang w:val="en-US"/>
        </w:rPr>
        <w:t>(0,02%),</w:t>
      </w:r>
      <w:r w:rsidRPr="008742E9">
        <w:rPr>
          <w:i/>
          <w:sz w:val="26"/>
          <w:szCs w:val="22"/>
          <w:lang w:val="en-US"/>
        </w:rPr>
        <w:t xml:space="preserve"> </w:t>
      </w:r>
      <w:r w:rsidRPr="008742E9">
        <w:rPr>
          <w:i/>
          <w:sz w:val="22"/>
          <w:szCs w:val="22"/>
          <w:lang w:val="en-US"/>
        </w:rPr>
        <w:t xml:space="preserve">Zuphium olens </w:t>
      </w:r>
      <w:r w:rsidRPr="008742E9">
        <w:rPr>
          <w:sz w:val="22"/>
          <w:szCs w:val="22"/>
          <w:lang w:val="en-US"/>
        </w:rPr>
        <w:t>(0,02%),</w:t>
      </w:r>
      <w:r w:rsidRPr="008742E9">
        <w:rPr>
          <w:i/>
          <w:sz w:val="26"/>
          <w:szCs w:val="22"/>
          <w:lang w:val="en-US"/>
        </w:rPr>
        <w:t xml:space="preserve"> </w:t>
      </w:r>
      <w:r w:rsidRPr="008742E9">
        <w:rPr>
          <w:i/>
          <w:sz w:val="22"/>
          <w:szCs w:val="22"/>
          <w:lang w:val="en-US"/>
        </w:rPr>
        <w:t xml:space="preserve">Zabrus tenebrioldes </w:t>
      </w:r>
      <w:r w:rsidRPr="008742E9">
        <w:rPr>
          <w:sz w:val="22"/>
          <w:szCs w:val="22"/>
          <w:lang w:val="en-US"/>
        </w:rPr>
        <w:t>(0,05%),</w:t>
      </w:r>
      <w:r w:rsidRPr="008742E9">
        <w:rPr>
          <w:i/>
          <w:sz w:val="26"/>
          <w:szCs w:val="22"/>
          <w:lang w:val="en-US"/>
        </w:rPr>
        <w:t xml:space="preserve"> </w:t>
      </w:r>
      <w:r w:rsidRPr="008742E9">
        <w:rPr>
          <w:i/>
          <w:sz w:val="22"/>
          <w:szCs w:val="22"/>
          <w:lang w:val="en-US"/>
        </w:rPr>
        <w:t xml:space="preserve">Cicindela germanica </w:t>
      </w:r>
      <w:r w:rsidRPr="008742E9">
        <w:rPr>
          <w:sz w:val="22"/>
          <w:szCs w:val="22"/>
          <w:lang w:val="en-US"/>
        </w:rPr>
        <w:t>(1,66%).</w:t>
      </w:r>
    </w:p>
    <w:p w:rsidR="008742E9" w:rsidRPr="008742E9" w:rsidRDefault="008742E9" w:rsidP="008742E9">
      <w:pPr>
        <w:widowControl w:val="0"/>
        <w:ind w:firstLine="426"/>
        <w:jc w:val="both"/>
        <w:rPr>
          <w:sz w:val="22"/>
          <w:szCs w:val="22"/>
        </w:rPr>
      </w:pPr>
      <w:r w:rsidRPr="008742E9">
        <w:rPr>
          <w:sz w:val="22"/>
          <w:szCs w:val="22"/>
        </w:rPr>
        <w:t>Доминантными</w:t>
      </w:r>
      <w:r w:rsidRPr="008D33CB">
        <w:rPr>
          <w:sz w:val="22"/>
          <w:szCs w:val="22"/>
          <w:lang w:val="en-US"/>
        </w:rPr>
        <w:t xml:space="preserve"> </w:t>
      </w:r>
      <w:r w:rsidRPr="008742E9">
        <w:rPr>
          <w:sz w:val="22"/>
          <w:szCs w:val="22"/>
        </w:rPr>
        <w:t>видами</w:t>
      </w:r>
      <w:r w:rsidRPr="008D33CB">
        <w:rPr>
          <w:sz w:val="22"/>
          <w:szCs w:val="22"/>
          <w:lang w:val="en-US"/>
        </w:rPr>
        <w:t xml:space="preserve"> </w:t>
      </w:r>
      <w:r w:rsidRPr="008742E9">
        <w:rPr>
          <w:sz w:val="22"/>
          <w:szCs w:val="22"/>
        </w:rPr>
        <w:t>оказались</w:t>
      </w:r>
      <w:r w:rsidRPr="008D33CB">
        <w:rPr>
          <w:sz w:val="22"/>
          <w:szCs w:val="22"/>
          <w:lang w:val="en-US"/>
        </w:rPr>
        <w:t xml:space="preserve">: </w:t>
      </w:r>
      <w:r w:rsidRPr="008742E9">
        <w:rPr>
          <w:i/>
          <w:sz w:val="22"/>
          <w:szCs w:val="22"/>
          <w:lang w:val="en-US"/>
        </w:rPr>
        <w:t>Brachinus</w:t>
      </w:r>
      <w:r w:rsidRPr="008D33CB">
        <w:rPr>
          <w:i/>
          <w:sz w:val="22"/>
          <w:szCs w:val="22"/>
          <w:lang w:val="en-US"/>
        </w:rPr>
        <w:t xml:space="preserve"> </w:t>
      </w:r>
      <w:r w:rsidRPr="008742E9">
        <w:rPr>
          <w:i/>
          <w:sz w:val="22"/>
          <w:szCs w:val="22"/>
          <w:lang w:val="en-US"/>
        </w:rPr>
        <w:t>crepitans</w:t>
      </w:r>
      <w:r w:rsidRPr="008D33CB">
        <w:rPr>
          <w:sz w:val="22"/>
          <w:szCs w:val="22"/>
          <w:lang w:val="en-US"/>
        </w:rPr>
        <w:t xml:space="preserve"> (</w:t>
      </w:r>
      <w:r w:rsidRPr="008742E9">
        <w:rPr>
          <w:sz w:val="22"/>
          <w:szCs w:val="22"/>
        </w:rPr>
        <w:t>процент</w:t>
      </w:r>
      <w:r w:rsidRPr="008D33CB">
        <w:rPr>
          <w:sz w:val="22"/>
          <w:szCs w:val="22"/>
          <w:lang w:val="en-US"/>
        </w:rPr>
        <w:t xml:space="preserve"> </w:t>
      </w:r>
      <w:r w:rsidRPr="008742E9">
        <w:rPr>
          <w:sz w:val="22"/>
          <w:szCs w:val="22"/>
        </w:rPr>
        <w:t>преобладания</w:t>
      </w:r>
      <w:r w:rsidRPr="008D33CB">
        <w:rPr>
          <w:sz w:val="22"/>
          <w:szCs w:val="22"/>
          <w:lang w:val="en-US"/>
        </w:rPr>
        <w:t xml:space="preserve"> </w:t>
      </w:r>
      <w:r w:rsidRPr="008742E9">
        <w:rPr>
          <w:sz w:val="22"/>
          <w:szCs w:val="22"/>
        </w:rPr>
        <w:t>составил</w:t>
      </w:r>
      <w:r w:rsidRPr="008D33CB">
        <w:rPr>
          <w:sz w:val="22"/>
          <w:szCs w:val="22"/>
          <w:lang w:val="en-US"/>
        </w:rPr>
        <w:t xml:space="preserve"> 18</w:t>
      </w:r>
      <w:proofErr w:type="gramStart"/>
      <w:r w:rsidRPr="008D33CB">
        <w:rPr>
          <w:sz w:val="22"/>
          <w:szCs w:val="22"/>
          <w:lang w:val="en-US"/>
        </w:rPr>
        <w:t>,2</w:t>
      </w:r>
      <w:proofErr w:type="gramEnd"/>
      <w:r w:rsidRPr="008D33CB">
        <w:rPr>
          <w:sz w:val="22"/>
          <w:szCs w:val="22"/>
          <w:lang w:val="en-US"/>
        </w:rPr>
        <w:t xml:space="preserve">), </w:t>
      </w:r>
      <w:r w:rsidRPr="008742E9">
        <w:rPr>
          <w:i/>
          <w:sz w:val="22"/>
          <w:szCs w:val="22"/>
          <w:lang w:val="en-US"/>
        </w:rPr>
        <w:t>H</w:t>
      </w:r>
      <w:r w:rsidRPr="008D33CB">
        <w:rPr>
          <w:i/>
          <w:sz w:val="22"/>
          <w:szCs w:val="22"/>
          <w:lang w:val="en-US"/>
        </w:rPr>
        <w:t xml:space="preserve">. </w:t>
      </w:r>
      <w:r w:rsidRPr="008742E9">
        <w:rPr>
          <w:i/>
          <w:sz w:val="22"/>
          <w:szCs w:val="22"/>
          <w:lang w:val="en-US"/>
        </w:rPr>
        <w:t>rufipes</w:t>
      </w:r>
      <w:r w:rsidRPr="008D33CB">
        <w:rPr>
          <w:sz w:val="22"/>
          <w:szCs w:val="22"/>
          <w:lang w:val="en-US"/>
        </w:rPr>
        <w:t xml:space="preserve"> (17,0%), </w:t>
      </w:r>
      <w:r w:rsidRPr="008742E9">
        <w:rPr>
          <w:i/>
          <w:sz w:val="22"/>
          <w:szCs w:val="22"/>
          <w:lang w:val="en-US"/>
        </w:rPr>
        <w:t>Poecilus</w:t>
      </w:r>
      <w:r w:rsidRPr="008D33CB">
        <w:rPr>
          <w:i/>
          <w:sz w:val="22"/>
          <w:szCs w:val="22"/>
          <w:lang w:val="en-US"/>
        </w:rPr>
        <w:t xml:space="preserve"> </w:t>
      </w:r>
      <w:r w:rsidRPr="008742E9">
        <w:rPr>
          <w:i/>
          <w:sz w:val="22"/>
          <w:szCs w:val="22"/>
          <w:lang w:val="en-US"/>
        </w:rPr>
        <w:t>crenuliger</w:t>
      </w:r>
      <w:r w:rsidRPr="008D33CB">
        <w:rPr>
          <w:sz w:val="22"/>
          <w:szCs w:val="22"/>
          <w:lang w:val="en-US"/>
        </w:rPr>
        <w:t xml:space="preserve"> (14,2%), </w:t>
      </w:r>
      <w:r w:rsidRPr="008742E9">
        <w:rPr>
          <w:i/>
          <w:sz w:val="22"/>
          <w:szCs w:val="22"/>
          <w:lang w:val="en-US"/>
        </w:rPr>
        <w:t>Broscus</w:t>
      </w:r>
      <w:r w:rsidRPr="008D33CB">
        <w:rPr>
          <w:i/>
          <w:sz w:val="22"/>
          <w:szCs w:val="22"/>
          <w:lang w:val="en-US"/>
        </w:rPr>
        <w:t xml:space="preserve"> </w:t>
      </w:r>
      <w:r w:rsidRPr="008742E9">
        <w:rPr>
          <w:i/>
          <w:sz w:val="22"/>
          <w:szCs w:val="22"/>
          <w:lang w:val="en-US"/>
        </w:rPr>
        <w:t>semistriatus</w:t>
      </w:r>
      <w:r w:rsidRPr="008D33CB">
        <w:rPr>
          <w:sz w:val="22"/>
          <w:szCs w:val="22"/>
          <w:lang w:val="en-US"/>
        </w:rPr>
        <w:t xml:space="preserve"> (12,7%) </w:t>
      </w:r>
      <w:r w:rsidRPr="008742E9">
        <w:rPr>
          <w:sz w:val="22"/>
          <w:szCs w:val="22"/>
        </w:rPr>
        <w:t>и</w:t>
      </w:r>
      <w:r w:rsidRPr="008D33CB">
        <w:rPr>
          <w:sz w:val="22"/>
          <w:szCs w:val="22"/>
          <w:lang w:val="en-US"/>
        </w:rPr>
        <w:t xml:space="preserve"> </w:t>
      </w:r>
      <w:r w:rsidRPr="008742E9">
        <w:rPr>
          <w:i/>
          <w:sz w:val="22"/>
          <w:szCs w:val="22"/>
          <w:lang w:val="en-US"/>
        </w:rPr>
        <w:t>Harpalus</w:t>
      </w:r>
      <w:r w:rsidRPr="008D33CB">
        <w:rPr>
          <w:i/>
          <w:sz w:val="22"/>
          <w:szCs w:val="22"/>
          <w:lang w:val="en-US"/>
        </w:rPr>
        <w:t xml:space="preserve"> </w:t>
      </w:r>
      <w:r w:rsidRPr="008742E9">
        <w:rPr>
          <w:i/>
          <w:sz w:val="22"/>
          <w:szCs w:val="22"/>
          <w:lang w:val="en-US"/>
        </w:rPr>
        <w:t>distinguendus</w:t>
      </w:r>
      <w:r w:rsidRPr="008D33CB">
        <w:rPr>
          <w:sz w:val="22"/>
          <w:szCs w:val="22"/>
          <w:lang w:val="en-US"/>
        </w:rPr>
        <w:t xml:space="preserve"> (11,2%). </w:t>
      </w:r>
      <w:r w:rsidRPr="008742E9">
        <w:rPr>
          <w:sz w:val="22"/>
          <w:szCs w:val="22"/>
        </w:rPr>
        <w:t xml:space="preserve">У таких видов, как </w:t>
      </w:r>
      <w:r w:rsidRPr="008742E9">
        <w:rPr>
          <w:i/>
          <w:sz w:val="22"/>
          <w:szCs w:val="22"/>
        </w:rPr>
        <w:t>Poecilus sericeus</w:t>
      </w:r>
      <w:r w:rsidRPr="008742E9">
        <w:rPr>
          <w:sz w:val="22"/>
          <w:szCs w:val="22"/>
        </w:rPr>
        <w:t xml:space="preserve">, </w:t>
      </w:r>
      <w:r w:rsidRPr="008742E9">
        <w:rPr>
          <w:i/>
          <w:sz w:val="22"/>
          <w:szCs w:val="22"/>
        </w:rPr>
        <w:t xml:space="preserve">P. </w:t>
      </w:r>
      <w:proofErr w:type="gramStart"/>
      <w:r w:rsidRPr="008742E9">
        <w:rPr>
          <w:i/>
          <w:sz w:val="22"/>
          <w:szCs w:val="22"/>
        </w:rPr>
        <w:t>с</w:t>
      </w:r>
      <w:proofErr w:type="gramEnd"/>
      <w:r w:rsidRPr="008742E9">
        <w:rPr>
          <w:i/>
          <w:sz w:val="22"/>
          <w:szCs w:val="22"/>
        </w:rPr>
        <w:t>upreus</w:t>
      </w:r>
      <w:r w:rsidRPr="008742E9">
        <w:rPr>
          <w:sz w:val="22"/>
          <w:szCs w:val="22"/>
        </w:rPr>
        <w:t xml:space="preserve">, </w:t>
      </w:r>
      <w:r w:rsidRPr="008742E9">
        <w:rPr>
          <w:i/>
          <w:sz w:val="22"/>
          <w:szCs w:val="22"/>
          <w:lang w:val="en-US"/>
        </w:rPr>
        <w:t>Harpalus</w:t>
      </w:r>
      <w:r w:rsidRPr="008742E9">
        <w:rPr>
          <w:i/>
          <w:sz w:val="22"/>
          <w:szCs w:val="22"/>
        </w:rPr>
        <w:t xml:space="preserve"> calceatus</w:t>
      </w:r>
      <w:r w:rsidRPr="008742E9">
        <w:rPr>
          <w:sz w:val="22"/>
          <w:szCs w:val="22"/>
        </w:rPr>
        <w:t xml:space="preserve"> численность жуков была в пределах 2,1–3,7%. Все выя</w:t>
      </w:r>
      <w:r w:rsidRPr="008742E9">
        <w:rPr>
          <w:sz w:val="22"/>
          <w:szCs w:val="22"/>
        </w:rPr>
        <w:t>в</w:t>
      </w:r>
      <w:r w:rsidRPr="008742E9">
        <w:rPr>
          <w:sz w:val="22"/>
          <w:szCs w:val="22"/>
        </w:rPr>
        <w:t>ленный нами виды постоянно или временно живут в посевах л</w:t>
      </w:r>
      <w:r w:rsidRPr="008742E9">
        <w:rPr>
          <w:sz w:val="22"/>
          <w:szCs w:val="22"/>
        </w:rPr>
        <w:t>ю</w:t>
      </w:r>
      <w:r w:rsidRPr="008742E9">
        <w:rPr>
          <w:sz w:val="22"/>
          <w:szCs w:val="22"/>
        </w:rPr>
        <w:t>церны, а в период вегетации расселяются на посевы озимой пшен</w:t>
      </w:r>
      <w:r w:rsidRPr="008742E9">
        <w:rPr>
          <w:sz w:val="22"/>
          <w:szCs w:val="22"/>
        </w:rPr>
        <w:t>и</w:t>
      </w:r>
      <w:r w:rsidRPr="008742E9">
        <w:rPr>
          <w:sz w:val="22"/>
          <w:szCs w:val="22"/>
        </w:rPr>
        <w:t>цы, кукурузы, сахарной свеклы, гороха и других различных сел</w:t>
      </w:r>
      <w:r w:rsidRPr="008742E9">
        <w:rPr>
          <w:sz w:val="22"/>
          <w:szCs w:val="22"/>
        </w:rPr>
        <w:t>ь</w:t>
      </w:r>
      <w:r w:rsidRPr="008742E9">
        <w:rPr>
          <w:sz w:val="22"/>
          <w:szCs w:val="22"/>
        </w:rPr>
        <w:t>скохозяйственных культур. Активно питаясь на последних узкосп</w:t>
      </w:r>
      <w:r w:rsidRPr="008742E9">
        <w:rPr>
          <w:sz w:val="22"/>
          <w:szCs w:val="22"/>
        </w:rPr>
        <w:t>е</w:t>
      </w:r>
      <w:r w:rsidRPr="008742E9">
        <w:rPr>
          <w:sz w:val="22"/>
          <w:szCs w:val="22"/>
        </w:rPr>
        <w:t>циализированными и многоядными вредителями на различных ст</w:t>
      </w:r>
      <w:r w:rsidRPr="008742E9">
        <w:rPr>
          <w:sz w:val="22"/>
          <w:szCs w:val="22"/>
        </w:rPr>
        <w:t>а</w:t>
      </w:r>
      <w:r w:rsidRPr="008742E9">
        <w:rPr>
          <w:sz w:val="22"/>
          <w:szCs w:val="22"/>
        </w:rPr>
        <w:t xml:space="preserve">диях </w:t>
      </w:r>
      <w:proofErr w:type="gramStart"/>
      <w:r w:rsidRPr="008742E9">
        <w:rPr>
          <w:sz w:val="22"/>
          <w:szCs w:val="22"/>
        </w:rPr>
        <w:t>развития</w:t>
      </w:r>
      <w:proofErr w:type="gramEnd"/>
      <w:r w:rsidRPr="008742E9">
        <w:rPr>
          <w:sz w:val="22"/>
          <w:szCs w:val="22"/>
        </w:rPr>
        <w:t xml:space="preserve"> повышают итоговую урожайность.</w:t>
      </w:r>
    </w:p>
    <w:p w:rsidR="008742E9" w:rsidRPr="008742E9" w:rsidRDefault="008742E9" w:rsidP="008742E9">
      <w:pPr>
        <w:ind w:firstLine="567"/>
        <w:rPr>
          <w:b/>
          <w:sz w:val="22"/>
          <w:szCs w:val="22"/>
          <w:lang w:eastAsia="en-US"/>
        </w:rPr>
      </w:pPr>
    </w:p>
    <w:p w:rsidR="008742E9" w:rsidRPr="002D7DA5" w:rsidRDefault="008742E9" w:rsidP="008742E9">
      <w:pPr>
        <w:jc w:val="center"/>
        <w:rPr>
          <w:sz w:val="22"/>
          <w:szCs w:val="22"/>
          <w:lang w:eastAsia="en-US"/>
        </w:rPr>
      </w:pPr>
      <w:r w:rsidRPr="002D7DA5">
        <w:rPr>
          <w:sz w:val="22"/>
          <w:szCs w:val="22"/>
          <w:lang w:eastAsia="en-US"/>
        </w:rPr>
        <w:t>Список литературы</w:t>
      </w:r>
    </w:p>
    <w:p w:rsidR="008742E9" w:rsidRPr="002D7DA5" w:rsidRDefault="008742E9" w:rsidP="008742E9">
      <w:pPr>
        <w:ind w:firstLine="426"/>
        <w:jc w:val="both"/>
        <w:rPr>
          <w:iCs/>
          <w:sz w:val="22"/>
          <w:szCs w:val="22"/>
          <w:shd w:val="clear" w:color="auto" w:fill="F5F5F5"/>
          <w:lang w:eastAsia="en-US"/>
        </w:rPr>
      </w:pPr>
      <w:r w:rsidRPr="002D7DA5">
        <w:rPr>
          <w:iCs/>
          <w:sz w:val="22"/>
          <w:szCs w:val="22"/>
          <w:lang w:eastAsia="en-US"/>
        </w:rPr>
        <w:t xml:space="preserve">1. </w:t>
      </w:r>
      <w:proofErr w:type="gramStart"/>
      <w:r w:rsidRPr="002D7DA5">
        <w:rPr>
          <w:iCs/>
          <w:sz w:val="22"/>
          <w:szCs w:val="22"/>
          <w:lang w:eastAsia="en-US"/>
        </w:rPr>
        <w:t>Белый</w:t>
      </w:r>
      <w:proofErr w:type="gramEnd"/>
      <w:r w:rsidRPr="002D7DA5">
        <w:rPr>
          <w:iCs/>
          <w:sz w:val="22"/>
          <w:szCs w:val="22"/>
          <w:lang w:eastAsia="en-US"/>
        </w:rPr>
        <w:t>, А.</w:t>
      </w:r>
      <w:r w:rsidR="002D7DA5">
        <w:rPr>
          <w:iCs/>
          <w:sz w:val="22"/>
          <w:szCs w:val="22"/>
          <w:lang w:eastAsia="en-US"/>
        </w:rPr>
        <w:t xml:space="preserve"> </w:t>
      </w:r>
      <w:r w:rsidRPr="002D7DA5">
        <w:rPr>
          <w:iCs/>
          <w:sz w:val="22"/>
          <w:szCs w:val="22"/>
          <w:lang w:eastAsia="en-US"/>
        </w:rPr>
        <w:t>И.</w:t>
      </w:r>
      <w:r w:rsidRPr="002D7DA5">
        <w:rPr>
          <w:sz w:val="22"/>
          <w:szCs w:val="22"/>
          <w:lang w:eastAsia="en-US"/>
        </w:rPr>
        <w:t xml:space="preserve"> </w:t>
      </w:r>
      <w:hyperlink r:id="rId26" w:tgtFrame="_blank" w:history="1">
        <w:r w:rsidRPr="002D7DA5">
          <w:rPr>
            <w:bCs/>
            <w:sz w:val="22"/>
            <w:szCs w:val="22"/>
            <w:shd w:val="clear" w:color="auto" w:fill="F5F5F5"/>
            <w:lang w:eastAsia="en-US"/>
          </w:rPr>
          <w:t>Влияние агротехнических приемов и систем защиты люцерны на заселенность основными вредителями в усл</w:t>
        </w:r>
        <w:r w:rsidRPr="002D7DA5">
          <w:rPr>
            <w:bCs/>
            <w:sz w:val="22"/>
            <w:szCs w:val="22"/>
            <w:shd w:val="clear" w:color="auto" w:fill="F5F5F5"/>
            <w:lang w:eastAsia="en-US"/>
          </w:rPr>
          <w:t>о</w:t>
        </w:r>
        <w:r w:rsidRPr="002D7DA5">
          <w:rPr>
            <w:bCs/>
            <w:sz w:val="22"/>
            <w:szCs w:val="22"/>
            <w:shd w:val="clear" w:color="auto" w:fill="F5F5F5"/>
            <w:lang w:eastAsia="en-US"/>
          </w:rPr>
          <w:t>виях Западного Предкавказья</w:t>
        </w:r>
      </w:hyperlink>
      <w:r w:rsidRPr="002D7DA5">
        <w:rPr>
          <w:sz w:val="22"/>
          <w:szCs w:val="22"/>
          <w:lang w:eastAsia="en-US"/>
        </w:rPr>
        <w:t xml:space="preserve">. Диссертация на соискание учёной степени кандидата сельскохозяйственных наук / А.И. Белый. – </w:t>
      </w:r>
      <w:r w:rsidRPr="002D7DA5">
        <w:rPr>
          <w:sz w:val="22"/>
          <w:szCs w:val="22"/>
          <w:shd w:val="clear" w:color="auto" w:fill="F5F5F5"/>
          <w:lang w:eastAsia="en-US"/>
        </w:rPr>
        <w:t>Краснодар: Кубанский государственный аграрный университет, 2004. – 154 с.</w:t>
      </w:r>
    </w:p>
    <w:p w:rsidR="008742E9" w:rsidRPr="002D7DA5" w:rsidRDefault="008742E9" w:rsidP="008742E9">
      <w:pPr>
        <w:tabs>
          <w:tab w:val="left" w:pos="993"/>
        </w:tabs>
        <w:ind w:firstLine="426"/>
        <w:jc w:val="both"/>
        <w:rPr>
          <w:sz w:val="22"/>
          <w:szCs w:val="22"/>
          <w:lang w:eastAsia="en-US"/>
        </w:rPr>
      </w:pPr>
      <w:r w:rsidRPr="002D7DA5">
        <w:rPr>
          <w:sz w:val="22"/>
          <w:szCs w:val="22"/>
          <w:lang w:eastAsia="en-US"/>
        </w:rPr>
        <w:t xml:space="preserve">2. </w:t>
      </w:r>
      <w:proofErr w:type="gramStart"/>
      <w:r w:rsidRPr="002D7DA5">
        <w:rPr>
          <w:sz w:val="22"/>
          <w:szCs w:val="22"/>
          <w:lang w:eastAsia="en-US"/>
        </w:rPr>
        <w:t>Белый</w:t>
      </w:r>
      <w:proofErr w:type="gramEnd"/>
      <w:r w:rsidRPr="002D7DA5">
        <w:rPr>
          <w:sz w:val="22"/>
          <w:szCs w:val="22"/>
          <w:lang w:eastAsia="en-US"/>
        </w:rPr>
        <w:t>, А.</w:t>
      </w:r>
      <w:r w:rsidR="002D7DA5">
        <w:rPr>
          <w:sz w:val="22"/>
          <w:szCs w:val="22"/>
          <w:lang w:eastAsia="en-US"/>
        </w:rPr>
        <w:t xml:space="preserve"> </w:t>
      </w:r>
      <w:r w:rsidRPr="002D7DA5">
        <w:rPr>
          <w:sz w:val="22"/>
          <w:szCs w:val="22"/>
          <w:lang w:eastAsia="en-US"/>
        </w:rPr>
        <w:t>И. Характеристика комплекса жужелиц (</w:t>
      </w:r>
      <w:r w:rsidRPr="002D7DA5">
        <w:rPr>
          <w:sz w:val="22"/>
          <w:szCs w:val="22"/>
          <w:lang w:val="en-US" w:eastAsia="en-US"/>
        </w:rPr>
        <w:t>Coleoptera</w:t>
      </w:r>
      <w:r w:rsidRPr="002D7DA5">
        <w:rPr>
          <w:sz w:val="22"/>
          <w:szCs w:val="22"/>
          <w:lang w:eastAsia="en-US"/>
        </w:rPr>
        <w:t xml:space="preserve">, </w:t>
      </w:r>
      <w:r w:rsidRPr="002D7DA5">
        <w:rPr>
          <w:sz w:val="22"/>
          <w:szCs w:val="22"/>
          <w:lang w:val="en-US" w:eastAsia="en-US"/>
        </w:rPr>
        <w:t>Carabidae</w:t>
      </w:r>
      <w:r w:rsidRPr="002D7DA5">
        <w:rPr>
          <w:sz w:val="22"/>
          <w:szCs w:val="22"/>
          <w:lang w:eastAsia="en-US"/>
        </w:rPr>
        <w:t>) агроландшафта центральной зоны Красн</w:t>
      </w:r>
      <w:r w:rsidRPr="002D7DA5">
        <w:rPr>
          <w:sz w:val="22"/>
          <w:szCs w:val="22"/>
          <w:lang w:eastAsia="en-US"/>
        </w:rPr>
        <w:t>о</w:t>
      </w:r>
      <w:r w:rsidRPr="002D7DA5">
        <w:rPr>
          <w:sz w:val="22"/>
          <w:szCs w:val="22"/>
          <w:lang w:eastAsia="en-US"/>
        </w:rPr>
        <w:lastRenderedPageBreak/>
        <w:t xml:space="preserve">дарского края в начале </w:t>
      </w:r>
      <w:r w:rsidRPr="002D7DA5">
        <w:rPr>
          <w:sz w:val="22"/>
          <w:szCs w:val="22"/>
          <w:lang w:val="en-US" w:eastAsia="en-US"/>
        </w:rPr>
        <w:t>XXI</w:t>
      </w:r>
      <w:r w:rsidRPr="002D7DA5">
        <w:rPr>
          <w:sz w:val="22"/>
          <w:szCs w:val="22"/>
          <w:lang w:eastAsia="en-US"/>
        </w:rPr>
        <w:t xml:space="preserve"> века. Сообщение 1. Сезонная динамика активности комплекса жужелиц / А.И. Белый, А.С. Замотайлов, Е.Е. Хомицкий, И.А. Маркова // Тр. КубГАУ. – 2014. – Вып. </w:t>
      </w:r>
      <w:r w:rsidRPr="002D7DA5">
        <w:rPr>
          <w:bCs/>
          <w:sz w:val="22"/>
          <w:szCs w:val="22"/>
          <w:lang w:eastAsia="en-US"/>
        </w:rPr>
        <w:t>3</w:t>
      </w:r>
      <w:r w:rsidRPr="002D7DA5">
        <w:rPr>
          <w:sz w:val="22"/>
          <w:szCs w:val="22"/>
          <w:lang w:eastAsia="en-US"/>
        </w:rPr>
        <w:t xml:space="preserve"> (48). – С. 35-49.</w:t>
      </w:r>
    </w:p>
    <w:p w:rsidR="008742E9" w:rsidRPr="002D7DA5" w:rsidRDefault="008742E9" w:rsidP="008742E9">
      <w:pPr>
        <w:ind w:firstLine="426"/>
        <w:jc w:val="both"/>
        <w:rPr>
          <w:sz w:val="22"/>
          <w:szCs w:val="22"/>
          <w:lang w:eastAsia="en-US"/>
        </w:rPr>
      </w:pPr>
      <w:r w:rsidRPr="002D7DA5">
        <w:rPr>
          <w:bCs/>
          <w:iCs/>
          <w:sz w:val="22"/>
          <w:szCs w:val="22"/>
          <w:lang w:eastAsia="en-US"/>
        </w:rPr>
        <w:t>3. Замотайлов, А.</w:t>
      </w:r>
      <w:r w:rsidR="002D7DA5">
        <w:rPr>
          <w:bCs/>
          <w:iCs/>
          <w:sz w:val="22"/>
          <w:szCs w:val="22"/>
          <w:lang w:eastAsia="en-US"/>
        </w:rPr>
        <w:t xml:space="preserve"> </w:t>
      </w:r>
      <w:r w:rsidRPr="002D7DA5">
        <w:rPr>
          <w:bCs/>
          <w:iCs/>
          <w:sz w:val="22"/>
          <w:szCs w:val="22"/>
          <w:lang w:eastAsia="en-US"/>
        </w:rPr>
        <w:t xml:space="preserve">С. </w:t>
      </w:r>
      <w:r w:rsidRPr="002D7DA5">
        <w:rPr>
          <w:sz w:val="22"/>
          <w:szCs w:val="22"/>
          <w:lang w:eastAsia="en-US"/>
        </w:rPr>
        <w:t>Некоторые закономерности формирования фауны жужелиц (</w:t>
      </w:r>
      <w:r w:rsidRPr="002D7DA5">
        <w:rPr>
          <w:sz w:val="22"/>
          <w:szCs w:val="22"/>
          <w:lang w:val="en-US" w:eastAsia="en-US"/>
        </w:rPr>
        <w:t>Coleoptera</w:t>
      </w:r>
      <w:r w:rsidRPr="002D7DA5">
        <w:rPr>
          <w:sz w:val="22"/>
          <w:szCs w:val="22"/>
          <w:lang w:eastAsia="en-US"/>
        </w:rPr>
        <w:t xml:space="preserve">, </w:t>
      </w:r>
      <w:r w:rsidRPr="002D7DA5">
        <w:rPr>
          <w:sz w:val="22"/>
          <w:szCs w:val="22"/>
          <w:lang w:val="en-US" w:eastAsia="en-US"/>
        </w:rPr>
        <w:t>Carabidae</w:t>
      </w:r>
      <w:r w:rsidRPr="002D7DA5">
        <w:rPr>
          <w:sz w:val="22"/>
          <w:szCs w:val="22"/>
          <w:lang w:eastAsia="en-US"/>
        </w:rPr>
        <w:t>) агроландшафтов Красн</w:t>
      </w:r>
      <w:r w:rsidRPr="002D7DA5">
        <w:rPr>
          <w:sz w:val="22"/>
          <w:szCs w:val="22"/>
          <w:lang w:eastAsia="en-US"/>
        </w:rPr>
        <w:t>о</w:t>
      </w:r>
      <w:r w:rsidRPr="002D7DA5">
        <w:rPr>
          <w:sz w:val="22"/>
          <w:szCs w:val="22"/>
          <w:lang w:eastAsia="en-US"/>
        </w:rPr>
        <w:t xml:space="preserve">дарского края и Республики Адыгея / </w:t>
      </w:r>
      <w:r w:rsidRPr="002D7DA5">
        <w:rPr>
          <w:bCs/>
          <w:iCs/>
          <w:sz w:val="22"/>
          <w:szCs w:val="22"/>
          <w:lang w:eastAsia="en-US"/>
        </w:rPr>
        <w:t>А.С.Замотайлов, А.Ю. Во</w:t>
      </w:r>
      <w:r w:rsidRPr="002D7DA5">
        <w:rPr>
          <w:bCs/>
          <w:iCs/>
          <w:sz w:val="22"/>
          <w:szCs w:val="22"/>
          <w:lang w:eastAsia="en-US"/>
        </w:rPr>
        <w:t>з</w:t>
      </w:r>
      <w:r w:rsidRPr="002D7DA5">
        <w:rPr>
          <w:bCs/>
          <w:iCs/>
          <w:sz w:val="22"/>
          <w:szCs w:val="22"/>
          <w:lang w:eastAsia="en-US"/>
        </w:rPr>
        <w:t xml:space="preserve">жанникова, А.К. Макаов </w:t>
      </w:r>
      <w:r w:rsidRPr="002D7DA5">
        <w:rPr>
          <w:sz w:val="22"/>
          <w:szCs w:val="22"/>
          <w:lang w:eastAsia="en-US"/>
        </w:rPr>
        <w:t xml:space="preserve">// Тр. КубГАУ. – 2009. – Вып. </w:t>
      </w:r>
      <w:r w:rsidRPr="002D7DA5">
        <w:rPr>
          <w:bCs/>
          <w:sz w:val="22"/>
          <w:szCs w:val="22"/>
          <w:lang w:eastAsia="en-US"/>
        </w:rPr>
        <w:t>5</w:t>
      </w:r>
      <w:r w:rsidRPr="002D7DA5">
        <w:rPr>
          <w:sz w:val="22"/>
          <w:szCs w:val="22"/>
          <w:lang w:eastAsia="en-US"/>
        </w:rPr>
        <w:t xml:space="preserve"> (20). – С. 206-212.</w:t>
      </w:r>
    </w:p>
    <w:p w:rsidR="008742E9" w:rsidRPr="002D7DA5" w:rsidRDefault="008742E9" w:rsidP="002D7DA5">
      <w:pPr>
        <w:shd w:val="clear" w:color="auto" w:fill="FFFFFF" w:themeFill="background1"/>
        <w:ind w:right="1" w:firstLine="426"/>
        <w:jc w:val="both"/>
        <w:rPr>
          <w:sz w:val="22"/>
          <w:szCs w:val="22"/>
        </w:rPr>
      </w:pPr>
      <w:r w:rsidRPr="002D7DA5">
        <w:rPr>
          <w:iCs/>
          <w:sz w:val="22"/>
          <w:szCs w:val="22"/>
        </w:rPr>
        <w:t>4. Замотайлов, А.</w:t>
      </w:r>
      <w:r w:rsidR="002D7DA5">
        <w:rPr>
          <w:iCs/>
          <w:sz w:val="22"/>
          <w:szCs w:val="22"/>
        </w:rPr>
        <w:t xml:space="preserve"> </w:t>
      </w:r>
      <w:r w:rsidRPr="002D7DA5">
        <w:rPr>
          <w:iCs/>
          <w:sz w:val="22"/>
          <w:szCs w:val="22"/>
        </w:rPr>
        <w:t xml:space="preserve">С. </w:t>
      </w:r>
      <w:r w:rsidRPr="002D7DA5">
        <w:rPr>
          <w:bCs/>
          <w:sz w:val="22"/>
          <w:szCs w:val="22"/>
        </w:rPr>
        <w:t>Характеристика комплекса жужелиц (</w:t>
      </w:r>
      <w:r w:rsidRPr="002D7DA5">
        <w:rPr>
          <w:bCs/>
          <w:sz w:val="22"/>
          <w:szCs w:val="22"/>
          <w:lang w:val="en-US"/>
        </w:rPr>
        <w:t>Co</w:t>
      </w:r>
      <w:r w:rsidRPr="002D7DA5">
        <w:rPr>
          <w:bCs/>
          <w:sz w:val="22"/>
          <w:szCs w:val="22"/>
          <w:lang w:val="en-US"/>
        </w:rPr>
        <w:t>l</w:t>
      </w:r>
      <w:r w:rsidRPr="002D7DA5">
        <w:rPr>
          <w:bCs/>
          <w:sz w:val="22"/>
          <w:szCs w:val="22"/>
          <w:lang w:val="en-US"/>
        </w:rPr>
        <w:t>eoptera</w:t>
      </w:r>
      <w:r w:rsidRPr="002D7DA5">
        <w:rPr>
          <w:bCs/>
          <w:sz w:val="22"/>
          <w:szCs w:val="22"/>
        </w:rPr>
        <w:t xml:space="preserve">, </w:t>
      </w:r>
      <w:r w:rsidRPr="002D7DA5">
        <w:rPr>
          <w:bCs/>
          <w:sz w:val="22"/>
          <w:szCs w:val="22"/>
          <w:lang w:val="en-US"/>
        </w:rPr>
        <w:t>Carabidae</w:t>
      </w:r>
      <w:r w:rsidRPr="002D7DA5">
        <w:rPr>
          <w:bCs/>
          <w:sz w:val="22"/>
          <w:szCs w:val="22"/>
        </w:rPr>
        <w:t>) агроландшафта центральной зоны Краснодарск</w:t>
      </w:r>
      <w:r w:rsidRPr="002D7DA5">
        <w:rPr>
          <w:bCs/>
          <w:sz w:val="22"/>
          <w:szCs w:val="22"/>
        </w:rPr>
        <w:t>о</w:t>
      </w:r>
      <w:r w:rsidRPr="002D7DA5">
        <w:rPr>
          <w:bCs/>
          <w:sz w:val="22"/>
          <w:szCs w:val="22"/>
        </w:rPr>
        <w:t xml:space="preserve">го края в начале </w:t>
      </w:r>
      <w:r w:rsidRPr="002D7DA5">
        <w:rPr>
          <w:bCs/>
          <w:sz w:val="22"/>
          <w:szCs w:val="22"/>
          <w:lang w:val="en-US"/>
        </w:rPr>
        <w:t>XXI</w:t>
      </w:r>
      <w:r w:rsidRPr="002D7DA5">
        <w:rPr>
          <w:bCs/>
          <w:sz w:val="22"/>
          <w:szCs w:val="22"/>
        </w:rPr>
        <w:t xml:space="preserve"> века. 2. Многолетняя трансформация структ</w:t>
      </w:r>
      <w:r w:rsidRPr="002D7DA5">
        <w:rPr>
          <w:bCs/>
          <w:sz w:val="22"/>
          <w:szCs w:val="22"/>
        </w:rPr>
        <w:t>у</w:t>
      </w:r>
      <w:r w:rsidRPr="002D7DA5">
        <w:rPr>
          <w:bCs/>
          <w:sz w:val="22"/>
          <w:szCs w:val="22"/>
        </w:rPr>
        <w:t xml:space="preserve">ры и биоэкологических параметров / </w:t>
      </w:r>
      <w:r w:rsidRPr="002D7DA5">
        <w:rPr>
          <w:iCs/>
          <w:sz w:val="22"/>
          <w:szCs w:val="22"/>
        </w:rPr>
        <w:t>А.С. Замотайлов, Е.Е. Хоми</w:t>
      </w:r>
      <w:r w:rsidRPr="002D7DA5">
        <w:rPr>
          <w:iCs/>
          <w:sz w:val="22"/>
          <w:szCs w:val="22"/>
        </w:rPr>
        <w:t>ц</w:t>
      </w:r>
      <w:r w:rsidRPr="002D7DA5">
        <w:rPr>
          <w:iCs/>
          <w:sz w:val="22"/>
          <w:szCs w:val="22"/>
        </w:rPr>
        <w:t>кий, А.И. Белый</w:t>
      </w:r>
      <w:r w:rsidRPr="002D7DA5">
        <w:rPr>
          <w:bCs/>
          <w:sz w:val="22"/>
          <w:szCs w:val="22"/>
        </w:rPr>
        <w:t xml:space="preserve"> // </w:t>
      </w:r>
      <w:r w:rsidRPr="002D7DA5">
        <w:rPr>
          <w:sz w:val="22"/>
          <w:szCs w:val="22"/>
        </w:rPr>
        <w:t xml:space="preserve">Тр. КубГАУ. – 2015. – Вып. </w:t>
      </w:r>
      <w:r w:rsidRPr="002D7DA5">
        <w:rPr>
          <w:bCs/>
          <w:sz w:val="22"/>
          <w:szCs w:val="22"/>
        </w:rPr>
        <w:t>1</w:t>
      </w:r>
      <w:r w:rsidRPr="002D7DA5">
        <w:rPr>
          <w:sz w:val="22"/>
          <w:szCs w:val="22"/>
        </w:rPr>
        <w:t xml:space="preserve"> (52). – С. 103-118.</w:t>
      </w:r>
    </w:p>
    <w:p w:rsidR="008742E9" w:rsidRPr="002D7DA5" w:rsidRDefault="008742E9" w:rsidP="008A2DA0">
      <w:pPr>
        <w:pStyle w:val="31"/>
        <w:rPr>
          <w:rFonts w:eastAsia="Calibri"/>
          <w:sz w:val="22"/>
          <w:szCs w:val="22"/>
        </w:rPr>
      </w:pPr>
    </w:p>
    <w:p w:rsidR="008742E9" w:rsidRDefault="008742E9" w:rsidP="008A2DA0">
      <w:pPr>
        <w:pStyle w:val="31"/>
        <w:rPr>
          <w:rFonts w:eastAsia="Calibri"/>
          <w:sz w:val="22"/>
          <w:szCs w:val="22"/>
        </w:rPr>
      </w:pPr>
    </w:p>
    <w:p w:rsidR="002D7DA5" w:rsidRDefault="002D7DA5" w:rsidP="002D7DA5">
      <w:pPr>
        <w:rPr>
          <w:rFonts w:eastAsia="Calibri"/>
          <w:sz w:val="22"/>
          <w:szCs w:val="22"/>
        </w:rPr>
      </w:pPr>
    </w:p>
    <w:p w:rsidR="008742E9" w:rsidRPr="008742E9" w:rsidRDefault="008742E9" w:rsidP="008742E9">
      <w:pPr>
        <w:ind w:right="964"/>
        <w:rPr>
          <w:rFonts w:eastAsia="Calibri"/>
          <w:sz w:val="22"/>
          <w:szCs w:val="22"/>
          <w:lang w:eastAsia="en-US"/>
        </w:rPr>
      </w:pPr>
      <w:r w:rsidRPr="008742E9">
        <w:rPr>
          <w:rFonts w:eastAsia="Calibri"/>
          <w:sz w:val="22"/>
          <w:szCs w:val="22"/>
          <w:lang w:eastAsia="en-US"/>
        </w:rPr>
        <w:t>УДК 632.937:631.544 (470.41)</w:t>
      </w:r>
    </w:p>
    <w:p w:rsidR="008742E9" w:rsidRPr="008742E9" w:rsidRDefault="008742E9" w:rsidP="008742E9">
      <w:pPr>
        <w:ind w:right="964"/>
        <w:rPr>
          <w:rFonts w:eastAsia="Calibri"/>
          <w:sz w:val="22"/>
          <w:szCs w:val="22"/>
          <w:lang w:eastAsia="en-US"/>
        </w:rPr>
      </w:pPr>
    </w:p>
    <w:p w:rsidR="008742E9" w:rsidRPr="008742E9" w:rsidRDefault="008742E9" w:rsidP="008742E9">
      <w:pPr>
        <w:ind w:left="964" w:right="964"/>
        <w:jc w:val="center"/>
        <w:rPr>
          <w:rFonts w:eastAsia="Calibri"/>
          <w:b/>
          <w:sz w:val="24"/>
          <w:szCs w:val="24"/>
          <w:lang w:eastAsia="en-US"/>
        </w:rPr>
      </w:pPr>
      <w:r w:rsidRPr="008742E9">
        <w:rPr>
          <w:rFonts w:eastAsia="Calibri"/>
          <w:b/>
          <w:sz w:val="24"/>
          <w:szCs w:val="24"/>
          <w:lang w:eastAsia="en-US"/>
        </w:rPr>
        <w:t>Применение Ориуса в закрытом грунте на территории Республики Татарстан</w:t>
      </w:r>
    </w:p>
    <w:p w:rsidR="008742E9" w:rsidRPr="008742E9" w:rsidRDefault="008742E9" w:rsidP="008742E9">
      <w:pPr>
        <w:jc w:val="center"/>
        <w:rPr>
          <w:rFonts w:eastAsia="Calibri"/>
          <w:b/>
          <w:sz w:val="24"/>
          <w:szCs w:val="24"/>
          <w:lang w:val="en-US" w:eastAsia="en-US"/>
        </w:rPr>
      </w:pPr>
      <w:r w:rsidRPr="008742E9">
        <w:rPr>
          <w:rFonts w:eastAsia="Calibri"/>
          <w:b/>
          <w:sz w:val="24"/>
          <w:szCs w:val="24"/>
          <w:lang w:val="en-US" w:eastAsia="en-US"/>
        </w:rPr>
        <w:t>Application of Oriyus in a closed ground on the territory of the Republic of Tatarstan</w:t>
      </w:r>
    </w:p>
    <w:p w:rsidR="008742E9" w:rsidRPr="008742E9" w:rsidRDefault="008742E9" w:rsidP="008742E9">
      <w:pPr>
        <w:jc w:val="both"/>
        <w:rPr>
          <w:rFonts w:eastAsia="Calibri"/>
          <w:sz w:val="22"/>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Юрченко А.</w:t>
      </w:r>
      <w:r w:rsidR="002D7DA5">
        <w:rPr>
          <w:rFonts w:eastAsia="Calibri"/>
          <w:sz w:val="22"/>
          <w:szCs w:val="22"/>
          <w:lang w:eastAsia="en-US"/>
        </w:rPr>
        <w:t xml:space="preserve"> </w:t>
      </w:r>
      <w:r w:rsidRPr="008742E9">
        <w:rPr>
          <w:rFonts w:eastAsia="Calibri"/>
          <w:sz w:val="22"/>
          <w:szCs w:val="22"/>
          <w:lang w:eastAsia="en-US"/>
        </w:rPr>
        <w:t>А.,</w:t>
      </w:r>
    </w:p>
    <w:p w:rsidR="002D7DA5" w:rsidRDefault="002D7DA5" w:rsidP="008742E9">
      <w:pPr>
        <w:jc w:val="right"/>
        <w:rPr>
          <w:rFonts w:eastAsia="Calibri"/>
          <w:sz w:val="22"/>
          <w:szCs w:val="22"/>
          <w:lang w:eastAsia="en-US"/>
        </w:rPr>
      </w:pPr>
      <w:r>
        <w:rPr>
          <w:rFonts w:eastAsia="Calibri"/>
          <w:sz w:val="22"/>
          <w:szCs w:val="22"/>
          <w:lang w:eastAsia="en-US"/>
        </w:rPr>
        <w:t>магистрантка 2-го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факультета агрохимии и защиты растений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Осипов А.</w:t>
      </w:r>
      <w:r w:rsidR="002D7DA5">
        <w:rPr>
          <w:rFonts w:eastAsia="Calibri"/>
          <w:sz w:val="22"/>
          <w:szCs w:val="22"/>
          <w:lang w:eastAsia="en-US"/>
        </w:rPr>
        <w:t xml:space="preserve"> </w:t>
      </w:r>
      <w:r w:rsidRPr="008742E9">
        <w:rPr>
          <w:rFonts w:eastAsia="Calibri"/>
          <w:sz w:val="22"/>
          <w:szCs w:val="22"/>
          <w:lang w:eastAsia="en-US"/>
        </w:rPr>
        <w:t>В.,</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почвоведения, к. с.-х. н., доцент ВАК</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w:t>
      </w:r>
      <w:r w:rsidR="002D7DA5">
        <w:rPr>
          <w:rFonts w:eastAsia="Calibri"/>
          <w:sz w:val="22"/>
          <w:szCs w:val="22"/>
          <w:lang w:eastAsia="en-US"/>
        </w:rPr>
        <w:t>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w:t>
      </w:r>
      <w:r w:rsidR="002D7DA5">
        <w:rPr>
          <w:rFonts w:eastAsia="Calibri"/>
          <w:sz w:val="22"/>
          <w:szCs w:val="22"/>
          <w:lang w:eastAsia="en-US"/>
        </w:rPr>
        <w:t>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8742E9" w:rsidP="002D7DA5">
      <w:pPr>
        <w:ind w:right="28" w:firstLine="425"/>
        <w:jc w:val="both"/>
        <w:rPr>
          <w:rFonts w:eastAsia="Calibri"/>
          <w:sz w:val="22"/>
          <w:szCs w:val="22"/>
          <w:lang w:eastAsia="en-US"/>
        </w:rPr>
      </w:pPr>
      <w:r w:rsidRPr="008742E9">
        <w:rPr>
          <w:rFonts w:eastAsia="Calibri"/>
          <w:sz w:val="22"/>
          <w:szCs w:val="22"/>
          <w:lang w:eastAsia="en-US"/>
        </w:rPr>
        <w:t>АННОТАЦИЯ: Изучено применение Ориуса  лавигатуса (</w:t>
      </w:r>
      <w:proofErr w:type="gramStart"/>
      <w:r w:rsidRPr="008742E9">
        <w:rPr>
          <w:rFonts w:eastAsia="Calibri"/>
          <w:sz w:val="22"/>
          <w:szCs w:val="22"/>
          <w:lang w:eastAsia="en-US"/>
        </w:rPr>
        <w:t>О</w:t>
      </w:r>
      <w:proofErr w:type="gramEnd"/>
      <w:r w:rsidRPr="008742E9">
        <w:rPr>
          <w:rFonts w:eastAsia="Calibri"/>
          <w:sz w:val="22"/>
          <w:szCs w:val="22"/>
          <w:lang w:val="en-US" w:eastAsia="en-US"/>
        </w:rPr>
        <w:t>rius</w:t>
      </w:r>
      <w:r w:rsidRPr="008742E9">
        <w:rPr>
          <w:rFonts w:eastAsia="Calibri"/>
          <w:sz w:val="22"/>
          <w:szCs w:val="22"/>
          <w:lang w:eastAsia="en-US"/>
        </w:rPr>
        <w:t xml:space="preserve"> </w:t>
      </w:r>
      <w:r w:rsidRPr="008742E9">
        <w:rPr>
          <w:rFonts w:eastAsia="Calibri"/>
          <w:sz w:val="22"/>
          <w:szCs w:val="22"/>
          <w:lang w:val="en-US" w:eastAsia="en-US"/>
        </w:rPr>
        <w:t>laevigatus</w:t>
      </w:r>
      <w:r w:rsidRPr="008742E9">
        <w:rPr>
          <w:rFonts w:eastAsia="Calibri"/>
          <w:sz w:val="22"/>
          <w:szCs w:val="22"/>
          <w:lang w:eastAsia="en-US"/>
        </w:rPr>
        <w:t>) в закрытом грунте на территории Республики Татарстан. Доказана нецелесообразность применения Ориуса лавигатуса в начальный период культооборота в условиях закрытого грунта, а также в зимний период.</w:t>
      </w:r>
    </w:p>
    <w:p w:rsidR="008742E9" w:rsidRPr="008742E9" w:rsidRDefault="008742E9" w:rsidP="002D7DA5">
      <w:pPr>
        <w:ind w:right="28" w:firstLine="426"/>
        <w:jc w:val="both"/>
        <w:rPr>
          <w:rFonts w:eastAsia="Calibri"/>
          <w:sz w:val="22"/>
          <w:szCs w:val="22"/>
          <w:lang w:val="en-US" w:eastAsia="en-US"/>
        </w:rPr>
      </w:pPr>
      <w:r w:rsidRPr="008742E9">
        <w:rPr>
          <w:rFonts w:eastAsia="Calibri"/>
          <w:sz w:val="22"/>
          <w:szCs w:val="22"/>
          <w:lang w:val="en-US" w:eastAsia="en-US"/>
        </w:rPr>
        <w:lastRenderedPageBreak/>
        <w:t>ABSTRACT: The application of the Orius lawigatus (Orius lae</w:t>
      </w:r>
      <w:r w:rsidRPr="008742E9">
        <w:rPr>
          <w:rFonts w:eastAsia="Calibri"/>
          <w:sz w:val="22"/>
          <w:szCs w:val="22"/>
          <w:lang w:val="en-US" w:eastAsia="en-US"/>
        </w:rPr>
        <w:t>v</w:t>
      </w:r>
      <w:r w:rsidRPr="008742E9">
        <w:rPr>
          <w:rFonts w:eastAsia="Calibri"/>
          <w:sz w:val="22"/>
          <w:szCs w:val="22"/>
          <w:lang w:val="en-US" w:eastAsia="en-US"/>
        </w:rPr>
        <w:t>igatus) in a closed ground on the territory of the Republic of Tatarstan was studied. It is proved inexpedient to use Orius lawigatus in the initial period of cultivation in conditions of closed ground, and also in winter.</w:t>
      </w: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КЛЮЧЕВЫЕ СЛОВА: закрытый грунт, биологическая защита растений, насекомые, клопы, энтомофаги, Ориус лавигатус.</w:t>
      </w:r>
    </w:p>
    <w:p w:rsidR="008742E9" w:rsidRPr="003C00E9" w:rsidRDefault="008742E9" w:rsidP="002D7DA5">
      <w:pPr>
        <w:ind w:right="28" w:firstLine="426"/>
        <w:jc w:val="both"/>
        <w:rPr>
          <w:rFonts w:eastAsia="Calibri"/>
          <w:sz w:val="22"/>
          <w:szCs w:val="22"/>
          <w:lang w:val="en-US" w:eastAsia="en-US"/>
        </w:rPr>
      </w:pPr>
      <w:r w:rsidRPr="008742E9">
        <w:rPr>
          <w:rFonts w:eastAsia="Calibri"/>
          <w:sz w:val="22"/>
          <w:szCs w:val="22"/>
          <w:lang w:val="en-US" w:eastAsia="en-US"/>
        </w:rPr>
        <w:t xml:space="preserve">KEYWORDS: closed ground, biological plant protection, insects, bedbugs, entomophage, </w:t>
      </w:r>
      <w:proofErr w:type="gramStart"/>
      <w:r w:rsidRPr="008742E9">
        <w:rPr>
          <w:rFonts w:eastAsia="Calibri"/>
          <w:sz w:val="22"/>
          <w:szCs w:val="22"/>
          <w:lang w:eastAsia="en-US"/>
        </w:rPr>
        <w:t>О</w:t>
      </w:r>
      <w:r w:rsidRPr="008742E9">
        <w:rPr>
          <w:rFonts w:eastAsia="Calibri"/>
          <w:sz w:val="22"/>
          <w:szCs w:val="22"/>
          <w:lang w:val="en-US" w:eastAsia="en-US"/>
        </w:rPr>
        <w:t>rius</w:t>
      </w:r>
      <w:proofErr w:type="gramEnd"/>
      <w:r w:rsidRPr="008742E9">
        <w:rPr>
          <w:rFonts w:eastAsia="Calibri"/>
          <w:sz w:val="22"/>
          <w:szCs w:val="22"/>
          <w:lang w:val="en-US" w:eastAsia="en-US"/>
        </w:rPr>
        <w:t xml:space="preserve"> laevigatus.</w:t>
      </w:r>
    </w:p>
    <w:p w:rsidR="002D7DA5" w:rsidRPr="003C00E9" w:rsidRDefault="002D7DA5" w:rsidP="002D7DA5">
      <w:pPr>
        <w:ind w:right="28" w:firstLine="426"/>
        <w:jc w:val="both"/>
        <w:rPr>
          <w:rFonts w:eastAsia="Calibri"/>
          <w:sz w:val="22"/>
          <w:szCs w:val="22"/>
          <w:lang w:val="en-US" w:eastAsia="en-US"/>
        </w:rPr>
      </w:pP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Существует самостоятельная отрасль сельского хозяйства – «закрытый грунт». Грунт или субстрат, на котором здесь выращ</w:t>
      </w:r>
      <w:r w:rsidRPr="008742E9">
        <w:rPr>
          <w:rFonts w:eastAsia="Calibri"/>
          <w:sz w:val="22"/>
          <w:szCs w:val="22"/>
          <w:lang w:eastAsia="en-US"/>
        </w:rPr>
        <w:t>и</w:t>
      </w:r>
      <w:r w:rsidRPr="008742E9">
        <w:rPr>
          <w:rFonts w:eastAsia="Calibri"/>
          <w:sz w:val="22"/>
          <w:szCs w:val="22"/>
          <w:lang w:eastAsia="en-US"/>
        </w:rPr>
        <w:t>вают растения, закрыт и более изолирован от воздействия неблаг</w:t>
      </w:r>
      <w:r w:rsidRPr="008742E9">
        <w:rPr>
          <w:rFonts w:eastAsia="Calibri"/>
          <w:sz w:val="22"/>
          <w:szCs w:val="22"/>
          <w:lang w:eastAsia="en-US"/>
        </w:rPr>
        <w:t>о</w:t>
      </w:r>
      <w:r w:rsidRPr="008742E9">
        <w:rPr>
          <w:rFonts w:eastAsia="Calibri"/>
          <w:sz w:val="22"/>
          <w:szCs w:val="22"/>
          <w:lang w:eastAsia="en-US"/>
        </w:rPr>
        <w:t>приятных условий внешней среды, что позволяет создать иску</w:t>
      </w:r>
      <w:r w:rsidRPr="008742E9">
        <w:rPr>
          <w:rFonts w:eastAsia="Calibri"/>
          <w:sz w:val="22"/>
          <w:szCs w:val="22"/>
          <w:lang w:eastAsia="en-US"/>
        </w:rPr>
        <w:t>с</w:t>
      </w:r>
      <w:r w:rsidRPr="008742E9">
        <w:rPr>
          <w:rFonts w:eastAsia="Calibri"/>
          <w:sz w:val="22"/>
          <w:szCs w:val="22"/>
          <w:lang w:eastAsia="en-US"/>
        </w:rPr>
        <w:t>ственные режимы температуры, относительной влажности воздуха, состава газовой среды, уровня освещенности и продолжительности светового дня. Однако это не является гарантией защиты растений от воздействия вредителей, вирусов и нематод.</w:t>
      </w: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Целью исследования было изучить применение Ориуса лавиг</w:t>
      </w:r>
      <w:r w:rsidRPr="008742E9">
        <w:rPr>
          <w:rFonts w:eastAsia="Calibri"/>
          <w:sz w:val="22"/>
          <w:szCs w:val="22"/>
          <w:lang w:eastAsia="en-US"/>
        </w:rPr>
        <w:t>а</w:t>
      </w:r>
      <w:r w:rsidRPr="008742E9">
        <w:rPr>
          <w:rFonts w:eastAsia="Calibri"/>
          <w:sz w:val="22"/>
          <w:szCs w:val="22"/>
          <w:lang w:eastAsia="en-US"/>
        </w:rPr>
        <w:t>туса (</w:t>
      </w:r>
      <w:proofErr w:type="gramStart"/>
      <w:r w:rsidRPr="008742E9">
        <w:rPr>
          <w:rFonts w:eastAsia="Calibri"/>
          <w:sz w:val="22"/>
          <w:szCs w:val="22"/>
          <w:lang w:eastAsia="en-US"/>
        </w:rPr>
        <w:t>О</w:t>
      </w:r>
      <w:proofErr w:type="gramEnd"/>
      <w:r w:rsidRPr="008742E9">
        <w:rPr>
          <w:rFonts w:eastAsia="Calibri"/>
          <w:sz w:val="22"/>
          <w:szCs w:val="22"/>
          <w:lang w:eastAsia="en-US"/>
        </w:rPr>
        <w:t xml:space="preserve">rius laevigatus) в условиях закрытого грунта в начальный период культооборота огурца.  </w:t>
      </w: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Исследования проводились в течени</w:t>
      </w:r>
      <w:proofErr w:type="gramStart"/>
      <w:r w:rsidRPr="008742E9">
        <w:rPr>
          <w:rFonts w:eastAsia="Calibri"/>
          <w:sz w:val="22"/>
          <w:szCs w:val="22"/>
          <w:lang w:eastAsia="en-US"/>
        </w:rPr>
        <w:t>и</w:t>
      </w:r>
      <w:proofErr w:type="gramEnd"/>
      <w:r w:rsidRPr="008742E9">
        <w:rPr>
          <w:rFonts w:eastAsia="Calibri"/>
          <w:sz w:val="22"/>
          <w:szCs w:val="22"/>
          <w:lang w:eastAsia="en-US"/>
        </w:rPr>
        <w:t xml:space="preserve"> двух лет 2016-17 г. на территории одного из тепличных комплексов Республики Тата</w:t>
      </w:r>
      <w:r w:rsidRPr="008742E9">
        <w:rPr>
          <w:rFonts w:eastAsia="Calibri"/>
          <w:sz w:val="22"/>
          <w:szCs w:val="22"/>
          <w:lang w:eastAsia="en-US"/>
        </w:rPr>
        <w:t>р</w:t>
      </w:r>
      <w:r w:rsidRPr="008742E9">
        <w:rPr>
          <w:rFonts w:eastAsia="Calibri"/>
          <w:sz w:val="22"/>
          <w:szCs w:val="22"/>
          <w:lang w:eastAsia="en-US"/>
        </w:rPr>
        <w:t xml:space="preserve">стан. В теплицы были высажены молодые закаленные растения огурца в возрасте 25-30 дней. Как известно рассаде при начальном периоде роста </w:t>
      </w:r>
      <w:proofErr w:type="gramStart"/>
      <w:r w:rsidRPr="008742E9">
        <w:rPr>
          <w:rFonts w:eastAsia="Calibri"/>
          <w:sz w:val="22"/>
          <w:szCs w:val="22"/>
          <w:lang w:eastAsia="en-US"/>
        </w:rPr>
        <w:t>необходимы низкие температуры в пределах 16 °С. Также следует</w:t>
      </w:r>
      <w:proofErr w:type="gramEnd"/>
      <w:r w:rsidRPr="008742E9">
        <w:rPr>
          <w:rFonts w:eastAsia="Calibri"/>
          <w:sz w:val="22"/>
          <w:szCs w:val="22"/>
          <w:lang w:eastAsia="en-US"/>
        </w:rPr>
        <w:t xml:space="preserve"> помнить, что  резкие колебания температуры и влажности, полив холодной водой могут привести не только к ухудшению состояния саженцев, но и полной их гибели [1]. </w:t>
      </w: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Молодые неокрепшие растения в этот период становятся ле</w:t>
      </w:r>
      <w:r w:rsidRPr="008742E9">
        <w:rPr>
          <w:rFonts w:eastAsia="Calibri"/>
          <w:sz w:val="22"/>
          <w:szCs w:val="22"/>
          <w:lang w:eastAsia="en-US"/>
        </w:rPr>
        <w:t>г</w:t>
      </w:r>
      <w:r w:rsidRPr="008742E9">
        <w:rPr>
          <w:rFonts w:eastAsia="Calibri"/>
          <w:sz w:val="22"/>
          <w:szCs w:val="22"/>
          <w:lang w:eastAsia="en-US"/>
        </w:rPr>
        <w:t>кой добычей для ряда насекомых-вредителей, таких как: тепличная белокрылка, трипсы, тля и др. Для борьбы с ними необходимо в</w:t>
      </w:r>
      <w:r w:rsidRPr="008742E9">
        <w:rPr>
          <w:rFonts w:eastAsia="Calibri"/>
          <w:sz w:val="22"/>
          <w:szCs w:val="22"/>
          <w:lang w:eastAsia="en-US"/>
        </w:rPr>
        <w:t>ы</w:t>
      </w:r>
      <w:r w:rsidRPr="008742E9">
        <w:rPr>
          <w:rFonts w:eastAsia="Calibri"/>
          <w:sz w:val="22"/>
          <w:szCs w:val="22"/>
          <w:lang w:eastAsia="en-US"/>
        </w:rPr>
        <w:t>пускать некоторое количество хищника в качестве профилактики. Например, количество выпускаемых клопов  Ориуса зависит от культуры и плотности популяции вредителя, при низкой популяции 1-2 особи хищника на 1м</w:t>
      </w:r>
      <w:r w:rsidRPr="008742E9">
        <w:rPr>
          <w:rFonts w:eastAsia="Calibri"/>
          <w:sz w:val="22"/>
          <w:szCs w:val="22"/>
          <w:vertAlign w:val="superscript"/>
          <w:lang w:eastAsia="en-US"/>
        </w:rPr>
        <w:t>2</w:t>
      </w:r>
      <w:r w:rsidRPr="008742E9">
        <w:rPr>
          <w:rFonts w:eastAsia="Calibri"/>
          <w:sz w:val="22"/>
          <w:szCs w:val="22"/>
          <w:lang w:eastAsia="en-US"/>
        </w:rPr>
        <w:t>, при высокой популяции 5-10 особей. В течение исследуемого периода было установлено, что в начальный период вегетации растений количество особей Ориуса лавигатуса (</w:t>
      </w:r>
      <w:proofErr w:type="gramStart"/>
      <w:r w:rsidRPr="008742E9">
        <w:rPr>
          <w:rFonts w:eastAsia="Calibri"/>
          <w:sz w:val="22"/>
          <w:szCs w:val="22"/>
          <w:lang w:eastAsia="en-US"/>
        </w:rPr>
        <w:t>О</w:t>
      </w:r>
      <w:proofErr w:type="gramEnd"/>
      <w:r w:rsidRPr="008742E9">
        <w:rPr>
          <w:rFonts w:eastAsia="Calibri"/>
          <w:sz w:val="22"/>
          <w:szCs w:val="22"/>
          <w:lang w:eastAsia="en-US"/>
        </w:rPr>
        <w:t xml:space="preserve">rius laevigatus) выпущенных в теплицы для борьбы с вредителями </w:t>
      </w:r>
      <w:r w:rsidRPr="008742E9">
        <w:rPr>
          <w:rFonts w:eastAsia="Calibri"/>
          <w:sz w:val="22"/>
          <w:szCs w:val="22"/>
          <w:lang w:eastAsia="en-US"/>
        </w:rPr>
        <w:lastRenderedPageBreak/>
        <w:t xml:space="preserve">уменьшилось на 80%. Было принято решение вносить некоторое количество корма на растения для привлечения хищника, но это оказалось без результатным. </w:t>
      </w:r>
    </w:p>
    <w:p w:rsidR="008742E9" w:rsidRPr="008742E9" w:rsidRDefault="008742E9" w:rsidP="002D7DA5">
      <w:pPr>
        <w:ind w:right="28" w:firstLine="426"/>
        <w:jc w:val="both"/>
        <w:rPr>
          <w:rFonts w:eastAsia="Calibri"/>
          <w:sz w:val="22"/>
          <w:szCs w:val="22"/>
          <w:lang w:eastAsia="en-US"/>
        </w:rPr>
      </w:pPr>
      <w:r w:rsidRPr="008742E9">
        <w:rPr>
          <w:rFonts w:eastAsia="Calibri"/>
          <w:sz w:val="22"/>
          <w:szCs w:val="22"/>
          <w:lang w:eastAsia="en-US"/>
        </w:rPr>
        <w:t>Исследования показали, что важную роль в повышении поп</w:t>
      </w:r>
      <w:r w:rsidRPr="008742E9">
        <w:rPr>
          <w:rFonts w:eastAsia="Calibri"/>
          <w:sz w:val="22"/>
          <w:szCs w:val="22"/>
          <w:lang w:eastAsia="en-US"/>
        </w:rPr>
        <w:t>у</w:t>
      </w:r>
      <w:r w:rsidRPr="008742E9">
        <w:rPr>
          <w:rFonts w:eastAsia="Calibri"/>
          <w:sz w:val="22"/>
          <w:szCs w:val="22"/>
          <w:lang w:eastAsia="en-US"/>
        </w:rPr>
        <w:t>ляции хищника играет температурный режим, а не внесенный корм, поскольку было установлено, что многие виды Ориусов являются зимующими. Благоприятной температурой для развития Ориусов являются 20-25°С , а при температуре ниже 18</w:t>
      </w:r>
      <w:proofErr w:type="gramStart"/>
      <w:r w:rsidRPr="008742E9">
        <w:rPr>
          <w:rFonts w:eastAsia="Calibri"/>
          <w:sz w:val="22"/>
          <w:szCs w:val="22"/>
          <w:lang w:eastAsia="en-US"/>
        </w:rPr>
        <w:t>°С</w:t>
      </w:r>
      <w:proofErr w:type="gramEnd"/>
      <w:r w:rsidRPr="008742E9">
        <w:rPr>
          <w:rFonts w:eastAsia="Calibri"/>
          <w:sz w:val="22"/>
          <w:szCs w:val="22"/>
          <w:lang w:eastAsia="en-US"/>
        </w:rPr>
        <w:t xml:space="preserve"> наступает диапа</w:t>
      </w:r>
      <w:r w:rsidRPr="008742E9">
        <w:rPr>
          <w:rFonts w:eastAsia="Calibri"/>
          <w:sz w:val="22"/>
          <w:szCs w:val="22"/>
          <w:lang w:eastAsia="en-US"/>
        </w:rPr>
        <w:t>у</w:t>
      </w:r>
      <w:r w:rsidRPr="008742E9">
        <w:rPr>
          <w:rFonts w:eastAsia="Calibri"/>
          <w:sz w:val="22"/>
          <w:szCs w:val="22"/>
          <w:lang w:eastAsia="en-US"/>
        </w:rPr>
        <w:t>за, это совпадает с периодом, когда молодые растения больше всего нуждаются в защите от вредителя. Из выше сказанного следует в</w:t>
      </w:r>
      <w:r w:rsidRPr="008742E9">
        <w:rPr>
          <w:rFonts w:eastAsia="Calibri"/>
          <w:sz w:val="22"/>
          <w:szCs w:val="22"/>
          <w:lang w:eastAsia="en-US"/>
        </w:rPr>
        <w:t>ы</w:t>
      </w:r>
      <w:r w:rsidRPr="008742E9">
        <w:rPr>
          <w:rFonts w:eastAsia="Calibri"/>
          <w:sz w:val="22"/>
          <w:szCs w:val="22"/>
          <w:lang w:eastAsia="en-US"/>
        </w:rPr>
        <w:t>вод, что применение Ориусов, а в частности Ориуса лавигатуса (</w:t>
      </w:r>
      <w:proofErr w:type="gramStart"/>
      <w:r w:rsidRPr="008742E9">
        <w:rPr>
          <w:rFonts w:eastAsia="Calibri"/>
          <w:sz w:val="22"/>
          <w:szCs w:val="22"/>
          <w:lang w:eastAsia="en-US"/>
        </w:rPr>
        <w:t>О</w:t>
      </w:r>
      <w:proofErr w:type="gramEnd"/>
      <w:r w:rsidRPr="008742E9">
        <w:rPr>
          <w:rFonts w:eastAsia="Calibri"/>
          <w:sz w:val="22"/>
          <w:szCs w:val="22"/>
          <w:lang w:eastAsia="en-US"/>
        </w:rPr>
        <w:t xml:space="preserve">rius laevigatus), является нецелесообразным.  </w:t>
      </w:r>
    </w:p>
    <w:p w:rsidR="008742E9" w:rsidRPr="008742E9" w:rsidRDefault="008742E9" w:rsidP="002D7DA5">
      <w:pPr>
        <w:ind w:right="28" w:firstLine="426"/>
        <w:jc w:val="both"/>
        <w:rPr>
          <w:rFonts w:eastAsia="Calibri"/>
          <w:sz w:val="22"/>
          <w:szCs w:val="22"/>
          <w:lang w:eastAsia="en-US"/>
        </w:rPr>
      </w:pPr>
    </w:p>
    <w:p w:rsidR="008742E9" w:rsidRPr="008742E9" w:rsidRDefault="008742E9" w:rsidP="002D7DA5">
      <w:pPr>
        <w:ind w:right="28"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2D7DA5">
      <w:pPr>
        <w:numPr>
          <w:ilvl w:val="0"/>
          <w:numId w:val="6"/>
        </w:numPr>
        <w:spacing w:after="160" w:line="256" w:lineRule="auto"/>
        <w:ind w:left="0" w:right="28" w:firstLine="426"/>
        <w:contextualSpacing/>
        <w:jc w:val="both"/>
        <w:rPr>
          <w:rFonts w:eastAsia="Calibri"/>
          <w:sz w:val="22"/>
          <w:szCs w:val="22"/>
          <w:lang w:eastAsia="en-US"/>
        </w:rPr>
      </w:pPr>
      <w:proofErr w:type="gramStart"/>
      <w:r w:rsidRPr="008742E9">
        <w:rPr>
          <w:rFonts w:eastAsia="Calibri"/>
          <w:sz w:val="22"/>
          <w:szCs w:val="22"/>
          <w:lang w:eastAsia="en-US"/>
        </w:rPr>
        <w:t>Ижевский</w:t>
      </w:r>
      <w:proofErr w:type="gramEnd"/>
      <w:r w:rsidRPr="008742E9">
        <w:rPr>
          <w:rFonts w:eastAsia="Calibri"/>
          <w:sz w:val="22"/>
          <w:szCs w:val="22"/>
          <w:lang w:eastAsia="en-US"/>
        </w:rPr>
        <w:t xml:space="preserve"> С.</w:t>
      </w:r>
      <w:r w:rsidR="002D7DA5">
        <w:rPr>
          <w:rFonts w:eastAsia="Calibri"/>
          <w:sz w:val="22"/>
          <w:szCs w:val="22"/>
          <w:lang w:eastAsia="en-US"/>
        </w:rPr>
        <w:t xml:space="preserve"> </w:t>
      </w:r>
      <w:r w:rsidRPr="008742E9">
        <w:rPr>
          <w:rFonts w:eastAsia="Calibri"/>
          <w:sz w:val="22"/>
          <w:szCs w:val="22"/>
          <w:lang w:eastAsia="en-US"/>
        </w:rPr>
        <w:t>С. Защита тепличных и оранжерейных раст</w:t>
      </w:r>
      <w:r w:rsidRPr="008742E9">
        <w:rPr>
          <w:rFonts w:eastAsia="Calibri"/>
          <w:sz w:val="22"/>
          <w:szCs w:val="22"/>
          <w:lang w:eastAsia="en-US"/>
        </w:rPr>
        <w:t>е</w:t>
      </w:r>
      <w:r w:rsidRPr="008742E9">
        <w:rPr>
          <w:rFonts w:eastAsia="Calibri"/>
          <w:sz w:val="22"/>
          <w:szCs w:val="22"/>
          <w:lang w:eastAsia="en-US"/>
        </w:rPr>
        <w:t>ний от вредителей: Справочник (определение видов, методы выя</w:t>
      </w:r>
      <w:r w:rsidRPr="008742E9">
        <w:rPr>
          <w:rFonts w:eastAsia="Calibri"/>
          <w:sz w:val="22"/>
          <w:szCs w:val="22"/>
          <w:lang w:eastAsia="en-US"/>
        </w:rPr>
        <w:t>в</w:t>
      </w:r>
      <w:r w:rsidRPr="008742E9">
        <w:rPr>
          <w:rFonts w:eastAsia="Calibri"/>
          <w:sz w:val="22"/>
          <w:szCs w:val="22"/>
          <w:lang w:eastAsia="en-US"/>
        </w:rPr>
        <w:t>ления и учета, биология и морфология, вредоносность, борьба) / Ижевский С.С., Ахатов А.К., Олейник К.Н., Миронова М.К., Бор</w:t>
      </w:r>
      <w:r w:rsidRPr="008742E9">
        <w:rPr>
          <w:rFonts w:eastAsia="Calibri"/>
          <w:sz w:val="22"/>
          <w:szCs w:val="22"/>
          <w:lang w:eastAsia="en-US"/>
        </w:rPr>
        <w:t>и</w:t>
      </w:r>
      <w:r w:rsidRPr="008742E9">
        <w:rPr>
          <w:rFonts w:eastAsia="Calibri"/>
          <w:sz w:val="22"/>
          <w:szCs w:val="22"/>
          <w:lang w:eastAsia="en-US"/>
        </w:rPr>
        <w:t xml:space="preserve">сов Б.А. // Под ред. Д.б.н. С.С. Ижевского и А.К. Ахатова.  Москва: </w:t>
      </w:r>
      <w:r w:rsidRPr="008742E9">
        <w:rPr>
          <w:rFonts w:eastAsia="Calibri"/>
          <w:sz w:val="22"/>
          <w:szCs w:val="22"/>
          <w:lang w:val="en-US" w:eastAsia="en-US"/>
        </w:rPr>
        <w:t>KMK</w:t>
      </w:r>
      <w:r w:rsidRPr="00EC1A78">
        <w:rPr>
          <w:rFonts w:eastAsia="Calibri"/>
          <w:sz w:val="22"/>
          <w:szCs w:val="22"/>
          <w:lang w:eastAsia="en-US"/>
        </w:rPr>
        <w:t xml:space="preserve"> </w:t>
      </w:r>
      <w:r w:rsidRPr="008742E9">
        <w:rPr>
          <w:rFonts w:eastAsia="Calibri"/>
          <w:sz w:val="22"/>
          <w:szCs w:val="22"/>
          <w:lang w:val="en-US" w:eastAsia="en-US"/>
        </w:rPr>
        <w:t>Scientific</w:t>
      </w:r>
      <w:r w:rsidRPr="00EC1A78">
        <w:rPr>
          <w:rFonts w:eastAsia="Calibri"/>
          <w:sz w:val="22"/>
          <w:szCs w:val="22"/>
          <w:lang w:eastAsia="en-US"/>
        </w:rPr>
        <w:t xml:space="preserve"> </w:t>
      </w:r>
      <w:r w:rsidRPr="008742E9">
        <w:rPr>
          <w:rFonts w:eastAsia="Calibri"/>
          <w:sz w:val="22"/>
          <w:szCs w:val="22"/>
          <w:lang w:val="en-US" w:eastAsia="en-US"/>
        </w:rPr>
        <w:t>Press</w:t>
      </w:r>
      <w:r w:rsidRPr="00EC1A78">
        <w:rPr>
          <w:rFonts w:eastAsia="Calibri"/>
          <w:sz w:val="22"/>
          <w:szCs w:val="22"/>
          <w:lang w:eastAsia="en-US"/>
        </w:rPr>
        <w:t xml:space="preserve"> </w:t>
      </w:r>
      <w:r w:rsidRPr="008742E9">
        <w:rPr>
          <w:rFonts w:eastAsia="Calibri"/>
          <w:sz w:val="22"/>
          <w:szCs w:val="22"/>
          <w:lang w:val="en-US" w:eastAsia="en-US"/>
        </w:rPr>
        <w:t>Ltd</w:t>
      </w:r>
      <w:r w:rsidRPr="008742E9">
        <w:rPr>
          <w:rFonts w:eastAsia="Calibri"/>
          <w:sz w:val="22"/>
          <w:szCs w:val="22"/>
          <w:lang w:eastAsia="en-US"/>
        </w:rPr>
        <w:t>. 1999. 399 стр., 57 таб., 144 ил.</w:t>
      </w:r>
    </w:p>
    <w:p w:rsidR="008742E9" w:rsidRPr="00160B9F" w:rsidRDefault="008742E9" w:rsidP="008A2DA0">
      <w:pPr>
        <w:pStyle w:val="31"/>
        <w:rPr>
          <w:rFonts w:eastAsia="Calibri"/>
          <w:sz w:val="22"/>
          <w:szCs w:val="22"/>
        </w:rPr>
      </w:pPr>
    </w:p>
    <w:p w:rsidR="00451253" w:rsidRDefault="00451253" w:rsidP="00451253">
      <w:pPr>
        <w:rPr>
          <w:rFonts w:eastAsia="Calibri"/>
          <w:sz w:val="22"/>
          <w:szCs w:val="22"/>
        </w:rPr>
      </w:pPr>
      <w:r>
        <w:rPr>
          <w:rFonts w:eastAsia="Calibri"/>
          <w:sz w:val="22"/>
          <w:szCs w:val="22"/>
        </w:rPr>
        <w:br w:type="page"/>
      </w:r>
    </w:p>
    <w:p w:rsidR="00102687" w:rsidRPr="00A57002" w:rsidRDefault="00102687" w:rsidP="00102687">
      <w:pPr>
        <w:tabs>
          <w:tab w:val="left" w:pos="900"/>
        </w:tabs>
        <w:ind w:firstLine="426"/>
        <w:jc w:val="center"/>
        <w:rPr>
          <w:b/>
        </w:rPr>
      </w:pPr>
      <w:r w:rsidRPr="00A57002">
        <w:rPr>
          <w:b/>
        </w:rPr>
        <w:lastRenderedPageBreak/>
        <w:t>Архитектурно-строительный факультет</w:t>
      </w:r>
    </w:p>
    <w:p w:rsidR="00102687" w:rsidRDefault="00102687" w:rsidP="00102687">
      <w:pPr>
        <w:rPr>
          <w:rFonts w:eastAsia="Calibri"/>
          <w:sz w:val="22"/>
          <w:szCs w:val="22"/>
          <w:lang w:eastAsia="en-US"/>
        </w:rPr>
      </w:pPr>
    </w:p>
    <w:p w:rsidR="00102687" w:rsidRDefault="00102687" w:rsidP="00102687">
      <w:pPr>
        <w:jc w:val="both"/>
        <w:rPr>
          <w:sz w:val="22"/>
          <w:szCs w:val="22"/>
          <w:lang w:eastAsia="en-US"/>
        </w:rPr>
      </w:pPr>
      <w:r w:rsidRPr="00B93891">
        <w:rPr>
          <w:rFonts w:eastAsia="Calibri"/>
          <w:sz w:val="22"/>
          <w:szCs w:val="22"/>
          <w:lang w:eastAsia="en-US"/>
        </w:rPr>
        <w:t xml:space="preserve">УДК </w:t>
      </w:r>
      <w:r w:rsidRPr="00B93891">
        <w:rPr>
          <w:sz w:val="22"/>
          <w:szCs w:val="22"/>
          <w:lang w:eastAsia="en-US"/>
        </w:rPr>
        <w:t>699</w:t>
      </w:r>
      <w:r w:rsidRPr="00281602">
        <w:rPr>
          <w:sz w:val="22"/>
          <w:szCs w:val="22"/>
          <w:lang w:eastAsia="en-US"/>
        </w:rPr>
        <w:t>.844</w:t>
      </w:r>
    </w:p>
    <w:p w:rsidR="003C00E9" w:rsidRPr="00281602" w:rsidRDefault="003C00E9" w:rsidP="00102687">
      <w:pPr>
        <w:jc w:val="both"/>
        <w:rPr>
          <w:sz w:val="22"/>
          <w:szCs w:val="22"/>
          <w:lang w:eastAsia="en-US"/>
        </w:rPr>
      </w:pPr>
    </w:p>
    <w:p w:rsidR="00102687" w:rsidRPr="00281602"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281602">
        <w:rPr>
          <w:b/>
          <w:sz w:val="24"/>
          <w:szCs w:val="24"/>
        </w:rPr>
        <w:t xml:space="preserve">Акустика зала планетария </w:t>
      </w:r>
      <w:proofErr w:type="gramStart"/>
      <w:r w:rsidRPr="00281602">
        <w:rPr>
          <w:b/>
          <w:sz w:val="24"/>
          <w:szCs w:val="24"/>
        </w:rPr>
        <w:t>астрономической</w:t>
      </w:r>
      <w:proofErr w:type="gramEnd"/>
      <w:r w:rsidRPr="00281602">
        <w:rPr>
          <w:b/>
          <w:sz w:val="24"/>
          <w:szCs w:val="24"/>
        </w:rPr>
        <w:t xml:space="preserve"> </w:t>
      </w:r>
    </w:p>
    <w:p w:rsidR="00102687" w:rsidRPr="00281602"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281602">
        <w:rPr>
          <w:b/>
          <w:sz w:val="24"/>
          <w:szCs w:val="24"/>
        </w:rPr>
        <w:t>обсерватории ФГОУ ВДЦ «Орлёнок»</w:t>
      </w:r>
    </w:p>
    <w:p w:rsidR="00102687" w:rsidRPr="00281602" w:rsidRDefault="00102687" w:rsidP="00102687">
      <w:pPr>
        <w:jc w:val="center"/>
        <w:rPr>
          <w:rFonts w:eastAsia="Calibri"/>
          <w:b/>
          <w:color w:val="212121"/>
          <w:sz w:val="24"/>
          <w:szCs w:val="24"/>
          <w:shd w:val="clear" w:color="auto" w:fill="FFFFFF"/>
          <w:lang w:val="en-US" w:eastAsia="en-US"/>
        </w:rPr>
      </w:pPr>
      <w:r w:rsidRPr="00281602">
        <w:rPr>
          <w:rFonts w:eastAsia="Calibri"/>
          <w:b/>
          <w:color w:val="212121"/>
          <w:sz w:val="24"/>
          <w:szCs w:val="24"/>
          <w:shd w:val="clear" w:color="auto" w:fill="FFFFFF"/>
          <w:lang w:val="en-US" w:eastAsia="en-US"/>
        </w:rPr>
        <w:t xml:space="preserve">Acoustics of the planetarium hall of the Astronomical </w:t>
      </w:r>
    </w:p>
    <w:p w:rsidR="00102687" w:rsidRPr="00024398" w:rsidRDefault="00102687" w:rsidP="00102687">
      <w:pPr>
        <w:jc w:val="center"/>
        <w:rPr>
          <w:rFonts w:eastAsia="Calibri"/>
          <w:b/>
          <w:color w:val="212121"/>
          <w:sz w:val="24"/>
          <w:szCs w:val="24"/>
          <w:shd w:val="clear" w:color="auto" w:fill="FFFFFF"/>
          <w:lang w:val="en-US" w:eastAsia="en-US"/>
        </w:rPr>
      </w:pPr>
      <w:r w:rsidRPr="00281602">
        <w:rPr>
          <w:rFonts w:eastAsia="Calibri"/>
          <w:b/>
          <w:color w:val="212121"/>
          <w:sz w:val="24"/>
          <w:szCs w:val="24"/>
          <w:shd w:val="clear" w:color="auto" w:fill="FFFFFF"/>
          <w:lang w:val="en-US" w:eastAsia="en-US"/>
        </w:rPr>
        <w:t>Observatory of the FGOU VDC «Orlyonok»</w:t>
      </w:r>
    </w:p>
    <w:p w:rsidR="003C00E9" w:rsidRPr="00024398" w:rsidRDefault="003C00E9" w:rsidP="00102687">
      <w:pPr>
        <w:jc w:val="center"/>
        <w:rPr>
          <w:rFonts w:eastAsia="Calibri"/>
          <w:b/>
          <w:color w:val="212121"/>
          <w:sz w:val="24"/>
          <w:szCs w:val="24"/>
          <w:shd w:val="clear" w:color="auto" w:fill="FFFFFF"/>
          <w:lang w:val="en-US" w:eastAsia="en-US"/>
        </w:rPr>
      </w:pPr>
    </w:p>
    <w:p w:rsidR="00102687" w:rsidRPr="00281602" w:rsidRDefault="00102687" w:rsidP="004D104A">
      <w:pPr>
        <w:jc w:val="right"/>
        <w:rPr>
          <w:rFonts w:eastAsia="Calibri"/>
          <w:lang w:eastAsia="en-US"/>
        </w:rPr>
      </w:pPr>
      <w:r w:rsidRPr="00281602">
        <w:rPr>
          <w:rFonts w:eastAsia="Calibri"/>
          <w:sz w:val="22"/>
          <w:szCs w:val="22"/>
          <w:lang w:eastAsia="en-US"/>
        </w:rPr>
        <w:t>Балясова А. С.</w:t>
      </w:r>
      <w:r w:rsidRPr="00281602">
        <w:rPr>
          <w:rFonts w:eastAsia="Calibri"/>
          <w:lang w:eastAsia="en-US"/>
        </w:rPr>
        <w:t>,</w:t>
      </w:r>
    </w:p>
    <w:p w:rsidR="00102687" w:rsidRPr="00281602" w:rsidRDefault="00102687" w:rsidP="004D104A">
      <w:pPr>
        <w:ind w:left="2268"/>
        <w:jc w:val="right"/>
        <w:rPr>
          <w:rFonts w:eastAsia="Calibri"/>
          <w:sz w:val="22"/>
          <w:szCs w:val="22"/>
          <w:lang w:eastAsia="en-US"/>
        </w:rPr>
      </w:pPr>
      <w:r w:rsidRPr="00281602">
        <w:rPr>
          <w:rFonts w:eastAsia="Calibri"/>
          <w:sz w:val="22"/>
          <w:szCs w:val="22"/>
          <w:lang w:eastAsia="en-US"/>
        </w:rPr>
        <w:t>ст</w:t>
      </w:r>
      <w:r w:rsidR="003C00E9">
        <w:rPr>
          <w:rFonts w:eastAsia="Calibri"/>
          <w:sz w:val="22"/>
          <w:szCs w:val="22"/>
          <w:lang w:eastAsia="en-US"/>
        </w:rPr>
        <w:t>удентка 2-го курса магистратуры</w:t>
      </w:r>
    </w:p>
    <w:p w:rsidR="00102687" w:rsidRPr="00281602" w:rsidRDefault="00102687" w:rsidP="004D104A">
      <w:pPr>
        <w:ind w:left="2268"/>
        <w:jc w:val="right"/>
        <w:rPr>
          <w:rFonts w:eastAsia="Calibri"/>
          <w:sz w:val="22"/>
          <w:szCs w:val="22"/>
          <w:lang w:eastAsia="en-US"/>
        </w:rPr>
      </w:pPr>
      <w:r w:rsidRPr="00281602">
        <w:rPr>
          <w:rFonts w:eastAsia="Calibri"/>
          <w:sz w:val="22"/>
          <w:szCs w:val="22"/>
          <w:lang w:eastAsia="en-US"/>
        </w:rPr>
        <w:t>архитек</w:t>
      </w:r>
      <w:r w:rsidR="003C00E9">
        <w:rPr>
          <w:rFonts w:eastAsia="Calibri"/>
          <w:sz w:val="22"/>
          <w:szCs w:val="22"/>
          <w:lang w:eastAsia="en-US"/>
        </w:rPr>
        <w:t>турно-строительного факультета</w:t>
      </w:r>
    </w:p>
    <w:p w:rsidR="003C00E9" w:rsidRDefault="003C00E9" w:rsidP="004D104A">
      <w:pPr>
        <w:ind w:left="2268"/>
        <w:jc w:val="right"/>
        <w:rPr>
          <w:rFonts w:eastAsia="Calibri"/>
          <w:sz w:val="22"/>
          <w:szCs w:val="22"/>
          <w:lang w:eastAsia="en-US"/>
        </w:rPr>
      </w:pPr>
      <w:r>
        <w:rPr>
          <w:rFonts w:eastAsia="Calibri"/>
          <w:sz w:val="22"/>
          <w:szCs w:val="22"/>
          <w:lang w:eastAsia="en-US"/>
        </w:rPr>
        <w:t>Кубанский государственный аграрный</w:t>
      </w:r>
    </w:p>
    <w:p w:rsidR="00102687" w:rsidRPr="00281602" w:rsidRDefault="00102687" w:rsidP="004D104A">
      <w:pPr>
        <w:ind w:left="2268"/>
        <w:jc w:val="right"/>
        <w:rPr>
          <w:rFonts w:eastAsia="Calibri"/>
          <w:sz w:val="22"/>
          <w:szCs w:val="22"/>
          <w:lang w:eastAsia="en-US"/>
        </w:rPr>
      </w:pPr>
      <w:r w:rsidRPr="00281602">
        <w:rPr>
          <w:rFonts w:eastAsia="Calibri"/>
          <w:sz w:val="22"/>
          <w:szCs w:val="22"/>
          <w:lang w:eastAsia="en-US"/>
        </w:rPr>
        <w:t>университет имени И.Т. Трубил</w:t>
      </w:r>
      <w:r w:rsidR="003C00E9">
        <w:rPr>
          <w:rFonts w:eastAsia="Calibri"/>
          <w:sz w:val="22"/>
          <w:szCs w:val="22"/>
          <w:lang w:eastAsia="en-US"/>
        </w:rPr>
        <w:t>и</w:t>
      </w:r>
      <w:r w:rsidRPr="00281602">
        <w:rPr>
          <w:rFonts w:eastAsia="Calibri"/>
          <w:sz w:val="22"/>
          <w:szCs w:val="22"/>
          <w:lang w:eastAsia="en-US"/>
        </w:rPr>
        <w:t>на</w:t>
      </w:r>
    </w:p>
    <w:p w:rsidR="00102687" w:rsidRPr="00281602" w:rsidRDefault="00102687" w:rsidP="004D104A">
      <w:pPr>
        <w:jc w:val="both"/>
        <w:rPr>
          <w:rFonts w:eastAsia="Calibri"/>
          <w:sz w:val="22"/>
          <w:szCs w:val="22"/>
          <w:lang w:eastAsia="en-US"/>
        </w:rPr>
      </w:pP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АННОТАЦИЯ</w:t>
      </w:r>
      <w:r w:rsidR="003C00E9">
        <w:rPr>
          <w:rFonts w:eastAsia="Calibri"/>
          <w:sz w:val="22"/>
          <w:szCs w:val="22"/>
          <w:lang w:eastAsia="en-US"/>
        </w:rPr>
        <w:t>:</w:t>
      </w:r>
      <w:r w:rsidRPr="00281602">
        <w:rPr>
          <w:rFonts w:eastAsia="Calibri"/>
          <w:b/>
          <w:sz w:val="22"/>
          <w:szCs w:val="22"/>
          <w:lang w:eastAsia="en-US"/>
        </w:rPr>
        <w:t xml:space="preserve"> </w:t>
      </w:r>
      <w:r w:rsidRPr="00281602">
        <w:rPr>
          <w:rFonts w:eastAsia="Calibri"/>
          <w:sz w:val="22"/>
          <w:szCs w:val="22"/>
          <w:lang w:eastAsia="en-US"/>
        </w:rPr>
        <w:t>Выполнены исследования акустики помещения планетария детской астрономической обсерватории ВДЦ «Орл</w:t>
      </w:r>
      <w:r w:rsidRPr="00281602">
        <w:rPr>
          <w:rFonts w:eastAsia="Calibri"/>
          <w:sz w:val="22"/>
          <w:szCs w:val="22"/>
          <w:lang w:eastAsia="en-US"/>
        </w:rPr>
        <w:t>ё</w:t>
      </w:r>
      <w:r w:rsidRPr="00281602">
        <w:rPr>
          <w:rFonts w:eastAsia="Calibri"/>
          <w:sz w:val="22"/>
          <w:szCs w:val="22"/>
          <w:lang w:eastAsia="en-US"/>
        </w:rPr>
        <w:t>нок». Измерение одной из основных акустических характеристик – времени реверберации позволило выявить причины неудовлетвор</w:t>
      </w:r>
      <w:r w:rsidRPr="00281602">
        <w:rPr>
          <w:rFonts w:eastAsia="Calibri"/>
          <w:sz w:val="22"/>
          <w:szCs w:val="22"/>
          <w:lang w:eastAsia="en-US"/>
        </w:rPr>
        <w:t>и</w:t>
      </w:r>
      <w:r w:rsidRPr="00281602">
        <w:rPr>
          <w:rFonts w:eastAsia="Calibri"/>
          <w:sz w:val="22"/>
          <w:szCs w:val="22"/>
          <w:lang w:eastAsia="en-US"/>
        </w:rPr>
        <w:t>тельной слышимости в этом помещении. Выполнена научно-исследовательская работа, направленная на разработку проекта р</w:t>
      </w:r>
      <w:r w:rsidRPr="00281602">
        <w:rPr>
          <w:rFonts w:eastAsia="Calibri"/>
          <w:sz w:val="22"/>
          <w:szCs w:val="22"/>
          <w:lang w:eastAsia="en-US"/>
        </w:rPr>
        <w:t>е</w:t>
      </w:r>
      <w:r w:rsidRPr="00281602">
        <w:rPr>
          <w:rFonts w:eastAsia="Calibri"/>
          <w:sz w:val="22"/>
          <w:szCs w:val="22"/>
          <w:lang w:eastAsia="en-US"/>
        </w:rPr>
        <w:t xml:space="preserve">комендаций по </w:t>
      </w:r>
      <w:r w:rsidR="00B93891">
        <w:rPr>
          <w:rFonts w:eastAsia="Calibri"/>
          <w:sz w:val="22"/>
          <w:szCs w:val="22"/>
          <w:lang w:eastAsia="en-US"/>
        </w:rPr>
        <w:t xml:space="preserve">созданию благоприятных </w:t>
      </w:r>
      <w:r w:rsidRPr="00281602">
        <w:rPr>
          <w:rFonts w:eastAsia="Calibri"/>
          <w:sz w:val="22"/>
          <w:szCs w:val="22"/>
          <w:lang w:eastAsia="en-US"/>
        </w:rPr>
        <w:t>акустических условий строительными методами.</w:t>
      </w:r>
    </w:p>
    <w:p w:rsidR="00102687" w:rsidRPr="00281602" w:rsidRDefault="003C00E9"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Pr>
          <w:sz w:val="22"/>
          <w:szCs w:val="22"/>
          <w:lang w:val="en-US"/>
        </w:rPr>
        <w:t>ANNOTATION</w:t>
      </w:r>
      <w:r w:rsidRPr="003C00E9">
        <w:rPr>
          <w:sz w:val="22"/>
          <w:szCs w:val="22"/>
          <w:lang w:val="en-US"/>
        </w:rPr>
        <w:t>:</w:t>
      </w:r>
      <w:r w:rsidR="00102687" w:rsidRPr="00281602">
        <w:rPr>
          <w:sz w:val="22"/>
          <w:szCs w:val="22"/>
          <w:lang w:val="en-US"/>
        </w:rPr>
        <w:t xml:space="preserve"> </w:t>
      </w:r>
      <w:r w:rsidR="00102687" w:rsidRPr="00281602">
        <w:rPr>
          <w:color w:val="212121"/>
          <w:sz w:val="22"/>
          <w:szCs w:val="22"/>
          <w:lang w:val="en-US"/>
        </w:rPr>
        <w:t xml:space="preserve">The research of the acoustics of the planetarium room of the children's astronomical observatory of the VDC "Orlyonok" is performed. Measurement of one of the main acoustic characteristics - the reverberation time allowed </w:t>
      </w:r>
      <w:proofErr w:type="gramStart"/>
      <w:r w:rsidR="00102687" w:rsidRPr="00281602">
        <w:rPr>
          <w:color w:val="212121"/>
          <w:sz w:val="22"/>
          <w:szCs w:val="22"/>
          <w:lang w:val="en-US"/>
        </w:rPr>
        <w:t>to reveal</w:t>
      </w:r>
      <w:proofErr w:type="gramEnd"/>
      <w:r w:rsidR="00102687" w:rsidRPr="00281602">
        <w:rPr>
          <w:color w:val="212121"/>
          <w:sz w:val="22"/>
          <w:szCs w:val="22"/>
          <w:lang w:val="en-US"/>
        </w:rPr>
        <w:t xml:space="preserve"> the reasons for unsatisfactory audibility in this room. Scientific research has been carried out aimed at developing draft recommendations on the creation of favorable acoustic conditions by construction methods.</w:t>
      </w: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КЛЮЧЕВЫЕ СЛОВА: акустика, планетарий, купол</w:t>
      </w:r>
      <w:r w:rsidRPr="00281602">
        <w:rPr>
          <w:rFonts w:eastAsia="Calibri"/>
          <w:bCs/>
          <w:sz w:val="22"/>
          <w:szCs w:val="22"/>
          <w:lang w:eastAsia="en-US"/>
        </w:rPr>
        <w:t>,</w:t>
      </w:r>
      <w:r w:rsidRPr="00281602">
        <w:rPr>
          <w:rFonts w:eastAsia="Calibri"/>
          <w:sz w:val="22"/>
          <w:szCs w:val="22"/>
          <w:lang w:eastAsia="en-US"/>
        </w:rPr>
        <w:t xml:space="preserve"> акустич</w:t>
      </w:r>
      <w:r w:rsidRPr="00281602">
        <w:rPr>
          <w:rFonts w:eastAsia="Calibri"/>
          <w:sz w:val="22"/>
          <w:szCs w:val="22"/>
          <w:lang w:eastAsia="en-US"/>
        </w:rPr>
        <w:t>е</w:t>
      </w:r>
      <w:r w:rsidRPr="00281602">
        <w:rPr>
          <w:rFonts w:eastAsia="Calibri"/>
          <w:sz w:val="22"/>
          <w:szCs w:val="22"/>
          <w:lang w:eastAsia="en-US"/>
        </w:rPr>
        <w:t>ский материал, время реверберации.</w:t>
      </w:r>
    </w:p>
    <w:p w:rsidR="00102687" w:rsidRPr="00281602"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281602">
        <w:rPr>
          <w:sz w:val="22"/>
          <w:szCs w:val="22"/>
          <w:lang w:val="en-US"/>
        </w:rPr>
        <w:t xml:space="preserve">KEYWORDS: </w:t>
      </w:r>
      <w:r w:rsidRPr="00281602">
        <w:rPr>
          <w:color w:val="212121"/>
          <w:sz w:val="22"/>
          <w:szCs w:val="22"/>
          <w:shd w:val="clear" w:color="auto" w:fill="FFFFFF"/>
          <w:lang w:val="en-US"/>
        </w:rPr>
        <w:t>acoustics, planetarium, dome, acoustic material, r</w:t>
      </w:r>
      <w:r w:rsidRPr="00281602">
        <w:rPr>
          <w:color w:val="212121"/>
          <w:sz w:val="22"/>
          <w:szCs w:val="22"/>
          <w:shd w:val="clear" w:color="auto" w:fill="FFFFFF"/>
          <w:lang w:val="en-US"/>
        </w:rPr>
        <w:t>e</w:t>
      </w:r>
      <w:r w:rsidRPr="00281602">
        <w:rPr>
          <w:color w:val="212121"/>
          <w:sz w:val="22"/>
          <w:szCs w:val="22"/>
          <w:shd w:val="clear" w:color="auto" w:fill="FFFFFF"/>
          <w:lang w:val="en-US"/>
        </w:rPr>
        <w:t>verberation time.</w:t>
      </w:r>
    </w:p>
    <w:p w:rsidR="00102687" w:rsidRPr="00281602" w:rsidRDefault="00102687" w:rsidP="00102687">
      <w:pPr>
        <w:ind w:firstLine="426"/>
        <w:jc w:val="both"/>
        <w:rPr>
          <w:sz w:val="22"/>
          <w:szCs w:val="22"/>
          <w:lang w:val="en-US"/>
        </w:rPr>
      </w:pPr>
    </w:p>
    <w:p w:rsidR="00102687" w:rsidRPr="00281602" w:rsidRDefault="00102687" w:rsidP="00102687">
      <w:pPr>
        <w:ind w:firstLine="426"/>
        <w:jc w:val="both"/>
        <w:rPr>
          <w:sz w:val="22"/>
          <w:szCs w:val="22"/>
        </w:rPr>
      </w:pPr>
      <w:r w:rsidRPr="00281602">
        <w:rPr>
          <w:sz w:val="22"/>
          <w:szCs w:val="22"/>
        </w:rPr>
        <w:t>Современные сооружения большинства общес</w:t>
      </w:r>
      <w:r w:rsidR="003C00E9">
        <w:rPr>
          <w:sz w:val="22"/>
          <w:szCs w:val="22"/>
        </w:rPr>
        <w:t xml:space="preserve">твенных зданий в своем составе </w:t>
      </w:r>
      <w:r w:rsidRPr="00281602">
        <w:rPr>
          <w:sz w:val="22"/>
          <w:szCs w:val="22"/>
        </w:rPr>
        <w:t xml:space="preserve">содержат зрительный зал. В частности планетарий </w:t>
      </w:r>
      <w:r w:rsidRPr="00281602">
        <w:rPr>
          <w:sz w:val="22"/>
          <w:szCs w:val="22"/>
        </w:rPr>
        <w:lastRenderedPageBreak/>
        <w:t>имеет помещение большой вместимости, в котором осуществляю</w:t>
      </w:r>
      <w:r w:rsidRPr="00281602">
        <w:rPr>
          <w:sz w:val="22"/>
          <w:szCs w:val="22"/>
        </w:rPr>
        <w:t>т</w:t>
      </w:r>
      <w:r w:rsidRPr="00281602">
        <w:rPr>
          <w:sz w:val="22"/>
          <w:szCs w:val="22"/>
        </w:rPr>
        <w:t xml:space="preserve">ся схожие с театром и кинотеатром функции. </w:t>
      </w:r>
    </w:p>
    <w:p w:rsidR="00102687" w:rsidRPr="00281602" w:rsidRDefault="00102687" w:rsidP="00102687">
      <w:pPr>
        <w:ind w:firstLine="426"/>
        <w:jc w:val="both"/>
        <w:rPr>
          <w:sz w:val="22"/>
          <w:szCs w:val="22"/>
        </w:rPr>
      </w:pPr>
      <w:r w:rsidRPr="00281602">
        <w:rPr>
          <w:sz w:val="22"/>
          <w:szCs w:val="22"/>
        </w:rPr>
        <w:t>Говоря о функциях в зале в первую очередь надо понимать, что сам факт зрелища не может состояться без хорошей видимости и слышимости. С древних времен зрелище осуществляется звуковым сопровождением. Следовательно, акустические качества помещ</w:t>
      </w:r>
      <w:r w:rsidRPr="00281602">
        <w:rPr>
          <w:sz w:val="22"/>
          <w:szCs w:val="22"/>
        </w:rPr>
        <w:t>е</w:t>
      </w:r>
      <w:r w:rsidRPr="00281602">
        <w:rPr>
          <w:sz w:val="22"/>
          <w:szCs w:val="22"/>
        </w:rPr>
        <w:t>ния играют важную роль. Спецификой планетария является сло</w:t>
      </w:r>
      <w:r w:rsidRPr="00281602">
        <w:rPr>
          <w:sz w:val="22"/>
          <w:szCs w:val="22"/>
        </w:rPr>
        <w:t>ж</w:t>
      </w:r>
      <w:r w:rsidRPr="00281602">
        <w:rPr>
          <w:sz w:val="22"/>
          <w:szCs w:val="22"/>
        </w:rPr>
        <w:t>ное и неблагоприятное, с точки зрения акустики объемно-планировочное решение.</w:t>
      </w:r>
    </w:p>
    <w:p w:rsidR="00102687" w:rsidRPr="00281602" w:rsidRDefault="00102687" w:rsidP="00102687">
      <w:pPr>
        <w:shd w:val="clear" w:color="auto" w:fill="FFFFFF"/>
        <w:ind w:firstLine="426"/>
        <w:jc w:val="both"/>
        <w:rPr>
          <w:rFonts w:eastAsia="Calibri"/>
          <w:sz w:val="22"/>
          <w:szCs w:val="22"/>
          <w:lang w:eastAsia="en-US"/>
        </w:rPr>
      </w:pPr>
      <w:r w:rsidRPr="00281602">
        <w:rPr>
          <w:rFonts w:eastAsia="Calibri"/>
          <w:sz w:val="22"/>
          <w:szCs w:val="22"/>
          <w:lang w:eastAsia="en-US"/>
        </w:rPr>
        <w:t>Выполнены исследования акустики помещения планетария детской астрономической обсерватории ВДЦ «Орлёнок». Помещ</w:t>
      </w:r>
      <w:r w:rsidRPr="00281602">
        <w:rPr>
          <w:rFonts w:eastAsia="Calibri"/>
          <w:sz w:val="22"/>
          <w:szCs w:val="22"/>
          <w:lang w:eastAsia="en-US"/>
        </w:rPr>
        <w:t>е</w:t>
      </w:r>
      <w:r w:rsidRPr="00281602">
        <w:rPr>
          <w:rFonts w:eastAsia="Calibri"/>
          <w:sz w:val="22"/>
          <w:szCs w:val="22"/>
          <w:lang w:eastAsia="en-US"/>
        </w:rPr>
        <w:t>ние планетария расположено в здании с  покрытием в виде купола, которое выполнено из лёгких  стальных  конструкций ограждения, закреплённых  на  каркасе. Эксплуатация с использованием акуст</w:t>
      </w:r>
      <w:r w:rsidRPr="00281602">
        <w:rPr>
          <w:rFonts w:eastAsia="Calibri"/>
          <w:sz w:val="22"/>
          <w:szCs w:val="22"/>
          <w:lang w:eastAsia="en-US"/>
        </w:rPr>
        <w:t>и</w:t>
      </w:r>
      <w:r w:rsidRPr="00281602">
        <w:rPr>
          <w:rFonts w:eastAsia="Calibri"/>
          <w:sz w:val="22"/>
          <w:szCs w:val="22"/>
          <w:lang w:eastAsia="en-US"/>
        </w:rPr>
        <w:t>ческого оборудования показала неблагоприятные условия слыш</w:t>
      </w:r>
      <w:r w:rsidRPr="00281602">
        <w:rPr>
          <w:rFonts w:eastAsia="Calibri"/>
          <w:sz w:val="22"/>
          <w:szCs w:val="22"/>
          <w:lang w:eastAsia="en-US"/>
        </w:rPr>
        <w:t>и</w:t>
      </w:r>
      <w:r w:rsidRPr="00281602">
        <w:rPr>
          <w:rFonts w:eastAsia="Calibri"/>
          <w:sz w:val="22"/>
          <w:szCs w:val="22"/>
          <w:lang w:eastAsia="en-US"/>
        </w:rPr>
        <w:t>мости в этом помещении.</w:t>
      </w:r>
    </w:p>
    <w:p w:rsidR="00102687" w:rsidRPr="00281602" w:rsidRDefault="00102687" w:rsidP="00102687">
      <w:pPr>
        <w:shd w:val="clear" w:color="auto" w:fill="FFFFFF"/>
        <w:ind w:firstLine="426"/>
        <w:jc w:val="both"/>
        <w:rPr>
          <w:bCs/>
          <w:kern w:val="36"/>
          <w:sz w:val="22"/>
          <w:szCs w:val="22"/>
          <w:lang w:eastAsia="en-US"/>
        </w:rPr>
      </w:pPr>
      <w:r w:rsidRPr="00281602">
        <w:rPr>
          <w:rFonts w:eastAsia="Calibri"/>
          <w:sz w:val="22"/>
          <w:szCs w:val="22"/>
          <w:lang w:eastAsia="en-US"/>
        </w:rPr>
        <w:t>Измерение одной из основных акустических характеристик – времени реверберации позволило выявить причины неудовлетвор</w:t>
      </w:r>
      <w:r w:rsidRPr="00281602">
        <w:rPr>
          <w:rFonts w:eastAsia="Calibri"/>
          <w:sz w:val="22"/>
          <w:szCs w:val="22"/>
          <w:lang w:eastAsia="en-US"/>
        </w:rPr>
        <w:t>и</w:t>
      </w:r>
      <w:r w:rsidRPr="00281602">
        <w:rPr>
          <w:rFonts w:eastAsia="Calibri"/>
          <w:sz w:val="22"/>
          <w:szCs w:val="22"/>
          <w:lang w:eastAsia="en-US"/>
        </w:rPr>
        <w:t xml:space="preserve">тельной слышимости в этом помещении. </w:t>
      </w:r>
      <w:r w:rsidRPr="00281602">
        <w:rPr>
          <w:sz w:val="22"/>
          <w:szCs w:val="22"/>
          <w:lang w:eastAsia="en-US"/>
        </w:rPr>
        <w:t>Анализ геометрических формы зала сводился к выявлению в нем благоприятных и неблаг</w:t>
      </w:r>
      <w:r w:rsidRPr="00281602">
        <w:rPr>
          <w:sz w:val="22"/>
          <w:szCs w:val="22"/>
          <w:lang w:eastAsia="en-US"/>
        </w:rPr>
        <w:t>о</w:t>
      </w:r>
      <w:r w:rsidRPr="00281602">
        <w:rPr>
          <w:sz w:val="22"/>
          <w:szCs w:val="22"/>
          <w:lang w:eastAsia="en-US"/>
        </w:rPr>
        <w:t>приятных сочетаний геометрической формы и элементов, вызыв</w:t>
      </w:r>
      <w:r w:rsidRPr="00281602">
        <w:rPr>
          <w:sz w:val="22"/>
          <w:szCs w:val="22"/>
          <w:lang w:eastAsia="en-US"/>
        </w:rPr>
        <w:t>а</w:t>
      </w:r>
      <w:r w:rsidRPr="00281602">
        <w:rPr>
          <w:sz w:val="22"/>
          <w:szCs w:val="22"/>
          <w:lang w:eastAsia="en-US"/>
        </w:rPr>
        <w:t>ющих образование мертвых зон, фокусных точек и других акуст</w:t>
      </w:r>
      <w:r w:rsidRPr="00281602">
        <w:rPr>
          <w:sz w:val="22"/>
          <w:szCs w:val="22"/>
          <w:lang w:eastAsia="en-US"/>
        </w:rPr>
        <w:t>и</w:t>
      </w:r>
      <w:r w:rsidRPr="00281602">
        <w:rPr>
          <w:sz w:val="22"/>
          <w:szCs w:val="22"/>
          <w:lang w:eastAsia="en-US"/>
        </w:rPr>
        <w:t xml:space="preserve">ческих недостатков. </w:t>
      </w:r>
      <w:r w:rsidRPr="00281602">
        <w:rPr>
          <w:sz w:val="22"/>
          <w:szCs w:val="22"/>
        </w:rPr>
        <w:t>Влияние изогнутых ограждающих поверхн</w:t>
      </w:r>
      <w:r w:rsidRPr="00281602">
        <w:rPr>
          <w:sz w:val="22"/>
          <w:szCs w:val="22"/>
        </w:rPr>
        <w:t>о</w:t>
      </w:r>
      <w:r w:rsidRPr="00281602">
        <w:rPr>
          <w:sz w:val="22"/>
          <w:szCs w:val="22"/>
        </w:rPr>
        <w:t>стей на акустику помещения значительное. Фо</w:t>
      </w:r>
      <w:r w:rsidRPr="00281602">
        <w:rPr>
          <w:rFonts w:eastAsia="Calibri"/>
          <w:sz w:val="22"/>
          <w:szCs w:val="22"/>
          <w:lang w:eastAsia="en-US"/>
        </w:rPr>
        <w:t>рму купола изменить невозможно, поэтому для уменьшения  фокусирования звука след</w:t>
      </w:r>
      <w:r w:rsidRPr="00281602">
        <w:rPr>
          <w:rFonts w:eastAsia="Calibri"/>
          <w:sz w:val="22"/>
          <w:szCs w:val="22"/>
          <w:lang w:eastAsia="en-US"/>
        </w:rPr>
        <w:t>у</w:t>
      </w:r>
      <w:r w:rsidRPr="00281602">
        <w:rPr>
          <w:rFonts w:eastAsia="Calibri"/>
          <w:sz w:val="22"/>
          <w:szCs w:val="22"/>
          <w:lang w:eastAsia="en-US"/>
        </w:rPr>
        <w:t>ет применить облицовку звукопоглощающими материалами.</w:t>
      </w:r>
    </w:p>
    <w:p w:rsidR="00102687" w:rsidRPr="00281602" w:rsidRDefault="00102687" w:rsidP="00102687">
      <w:pPr>
        <w:shd w:val="clear" w:color="auto" w:fill="FFFFFF"/>
        <w:ind w:firstLine="426"/>
        <w:jc w:val="both"/>
        <w:rPr>
          <w:rFonts w:eastAsia="Calibri"/>
          <w:sz w:val="22"/>
          <w:szCs w:val="22"/>
          <w:lang w:eastAsia="en-US"/>
        </w:rPr>
      </w:pPr>
      <w:r w:rsidRPr="00281602">
        <w:rPr>
          <w:rFonts w:eastAsia="Calibri"/>
          <w:sz w:val="22"/>
          <w:szCs w:val="22"/>
          <w:lang w:eastAsia="en-US"/>
        </w:rPr>
        <w:t>Дальнейшая задача заключается в разработке рекомендаций по обеспечению благоприятных акустических  условий архитектурно-строительными методами в помещении планетария обсерватории ВДЦ «Орлёнок». Выполнение научно-исследовательской работы направлено на разработку проекта рекомендаций по созданию бл</w:t>
      </w:r>
      <w:r w:rsidRPr="00281602">
        <w:rPr>
          <w:rFonts w:eastAsia="Calibri"/>
          <w:sz w:val="22"/>
          <w:szCs w:val="22"/>
          <w:lang w:eastAsia="en-US"/>
        </w:rPr>
        <w:t>а</w:t>
      </w:r>
      <w:r w:rsidRPr="00281602">
        <w:rPr>
          <w:rFonts w:eastAsia="Calibri"/>
          <w:sz w:val="22"/>
          <w:szCs w:val="22"/>
          <w:lang w:eastAsia="en-US"/>
        </w:rPr>
        <w:t>гоприятных  акустических условий строительными методами, при которых помещение планетария будет пригодно для размещения  и эксплуатации имеющегося электроакустического оборудования. Особенность предложенных решений является то, что ограждения является наружными стенами и покрытием в виде купола. Отделка должна являться одновременно и теплоизоляцией и акустическим материалом.</w:t>
      </w:r>
    </w:p>
    <w:p w:rsidR="00102687" w:rsidRPr="00281602" w:rsidRDefault="00102687" w:rsidP="00102687">
      <w:pPr>
        <w:shd w:val="clear" w:color="auto" w:fill="FFFFFF"/>
        <w:ind w:firstLine="426"/>
        <w:jc w:val="both"/>
        <w:rPr>
          <w:rFonts w:eastAsia="Calibri"/>
          <w:sz w:val="22"/>
          <w:szCs w:val="22"/>
          <w:lang w:eastAsia="en-US"/>
        </w:rPr>
      </w:pPr>
      <w:r w:rsidRPr="00281602">
        <w:rPr>
          <w:rFonts w:eastAsia="Calibri"/>
          <w:sz w:val="22"/>
          <w:szCs w:val="22"/>
          <w:lang w:eastAsia="en-US"/>
        </w:rPr>
        <w:lastRenderedPageBreak/>
        <w:t>Выполненные Тарасовой Ольгой Григорьевной и Талицкой Анастасией Александровной исследования показали, что «В совр</w:t>
      </w:r>
      <w:r w:rsidRPr="00281602">
        <w:rPr>
          <w:rFonts w:eastAsia="Calibri"/>
          <w:sz w:val="22"/>
          <w:szCs w:val="22"/>
          <w:lang w:eastAsia="en-US"/>
        </w:rPr>
        <w:t>е</w:t>
      </w:r>
      <w:r w:rsidRPr="00281602">
        <w:rPr>
          <w:rFonts w:eastAsia="Calibri"/>
          <w:sz w:val="22"/>
          <w:szCs w:val="22"/>
          <w:lang w:eastAsia="en-US"/>
        </w:rPr>
        <w:t>менном строительстве можно выделит наиболее часто применяемые материалы, являющиеся звуко- и теплоизоляционными, имеющие сравнительно небольшую плотности и невысокую стоимость. П</w:t>
      </w:r>
      <w:r w:rsidRPr="00281602">
        <w:rPr>
          <w:rFonts w:eastAsia="Calibri"/>
          <w:sz w:val="22"/>
          <w:szCs w:val="22"/>
          <w:lang w:eastAsia="en-US"/>
        </w:rPr>
        <w:t>о</w:t>
      </w:r>
      <w:r w:rsidRPr="00281602">
        <w:rPr>
          <w:rFonts w:eastAsia="Calibri"/>
          <w:sz w:val="22"/>
          <w:szCs w:val="22"/>
          <w:lang w:eastAsia="en-US"/>
        </w:rPr>
        <w:t>ставленной целью проводимого экспериментального исследования являлось сравнение трех видов звукоизоляционного материала:  стекловатные плиты «</w:t>
      </w:r>
      <w:r w:rsidRPr="00281602">
        <w:rPr>
          <w:sz w:val="22"/>
          <w:szCs w:val="22"/>
        </w:rPr>
        <w:t xml:space="preserve">КНАУФ Инсулейшн», </w:t>
      </w:r>
      <w:r w:rsidRPr="00281602">
        <w:rPr>
          <w:rFonts w:eastAsia="Calibri"/>
          <w:sz w:val="22"/>
          <w:szCs w:val="22"/>
          <w:lang w:val="en-US" w:eastAsia="en-US"/>
        </w:rPr>
        <w:t>ISOVER</w:t>
      </w:r>
      <w:r w:rsidRPr="00281602">
        <w:rPr>
          <w:rFonts w:eastAsia="Calibri"/>
          <w:sz w:val="22"/>
          <w:szCs w:val="22"/>
          <w:lang w:eastAsia="en-US"/>
        </w:rPr>
        <w:t xml:space="preserve"> и «ЭКОВ</w:t>
      </w:r>
      <w:r w:rsidRPr="00281602">
        <w:rPr>
          <w:rFonts w:eastAsia="Calibri"/>
          <w:sz w:val="22"/>
          <w:szCs w:val="22"/>
          <w:lang w:eastAsia="en-US"/>
        </w:rPr>
        <w:t>А</w:t>
      </w:r>
      <w:r w:rsidRPr="00281602">
        <w:rPr>
          <w:rFonts w:eastAsia="Calibri"/>
          <w:sz w:val="22"/>
          <w:szCs w:val="22"/>
          <w:lang w:eastAsia="en-US"/>
        </w:rPr>
        <w:t>ТА». При выборе материалов ставилась цель сравнить материалы примерно одинаковой плотности». Из статьи «Сравнение звукоиз</w:t>
      </w:r>
      <w:r w:rsidRPr="00281602">
        <w:rPr>
          <w:rFonts w:eastAsia="Calibri"/>
          <w:sz w:val="22"/>
          <w:szCs w:val="22"/>
          <w:lang w:eastAsia="en-US"/>
        </w:rPr>
        <w:t>о</w:t>
      </w:r>
      <w:r w:rsidRPr="00281602">
        <w:rPr>
          <w:rFonts w:eastAsia="Calibri"/>
          <w:sz w:val="22"/>
          <w:szCs w:val="22"/>
          <w:lang w:eastAsia="en-US"/>
        </w:rPr>
        <w:t>ляционных свойств многослойных перегородок при заполнении воздушной полости тремя видами материалов примерно одинаковой плотности. Тарасова Ольга Григорьевна и Талицкая Анастасия Александровна»</w:t>
      </w:r>
      <w:r w:rsidRPr="00281602">
        <w:rPr>
          <w:rFonts w:eastAsia="Calibri"/>
          <w:bCs/>
          <w:sz w:val="22"/>
          <w:szCs w:val="22"/>
          <w:lang w:eastAsia="en-US"/>
        </w:rPr>
        <w:t xml:space="preserve"> [1]</w:t>
      </w:r>
      <w:r w:rsidRPr="00281602">
        <w:rPr>
          <w:rFonts w:eastAsia="Calibri"/>
          <w:sz w:val="22"/>
          <w:szCs w:val="22"/>
          <w:lang w:eastAsia="en-US"/>
        </w:rPr>
        <w:t>.</w:t>
      </w: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 xml:space="preserve">Принято решение акустическую отделку поверхностей купола  </w:t>
      </w:r>
      <w:proofErr w:type="gramStart"/>
      <w:r w:rsidRPr="00281602">
        <w:rPr>
          <w:rFonts w:eastAsia="Calibri"/>
          <w:sz w:val="22"/>
          <w:szCs w:val="22"/>
          <w:lang w:eastAsia="en-US"/>
        </w:rPr>
        <w:t>осуществлять</w:t>
      </w:r>
      <w:proofErr w:type="gramEnd"/>
      <w:r w:rsidRPr="00281602">
        <w:rPr>
          <w:rFonts w:eastAsia="Calibri"/>
          <w:sz w:val="22"/>
          <w:szCs w:val="22"/>
          <w:lang w:eastAsia="en-US"/>
        </w:rPr>
        <w:t xml:space="preserve"> используя систему «</w:t>
      </w:r>
      <w:r w:rsidRPr="00281602">
        <w:rPr>
          <w:sz w:val="22"/>
          <w:szCs w:val="22"/>
        </w:rPr>
        <w:t>КНАУФ</w:t>
      </w:r>
      <w:r w:rsidRPr="00281602">
        <w:rPr>
          <w:rFonts w:eastAsia="Calibri"/>
          <w:sz w:val="22"/>
          <w:szCs w:val="22"/>
          <w:lang w:eastAsia="en-US"/>
        </w:rPr>
        <w:t>» В качестве звукоп</w:t>
      </w:r>
      <w:r w:rsidRPr="00281602">
        <w:rPr>
          <w:rFonts w:eastAsia="Calibri"/>
          <w:sz w:val="22"/>
          <w:szCs w:val="22"/>
          <w:lang w:eastAsia="en-US"/>
        </w:rPr>
        <w:t>о</w:t>
      </w:r>
      <w:r w:rsidRPr="00281602">
        <w:rPr>
          <w:rFonts w:eastAsia="Calibri"/>
          <w:sz w:val="22"/>
          <w:szCs w:val="22"/>
          <w:lang w:eastAsia="en-US"/>
        </w:rPr>
        <w:t>глощающей основы применить плиты из минеральной ваты обл</w:t>
      </w:r>
      <w:r w:rsidRPr="00281602">
        <w:rPr>
          <w:rFonts w:eastAsia="Calibri"/>
          <w:sz w:val="22"/>
          <w:szCs w:val="22"/>
          <w:lang w:eastAsia="en-US"/>
        </w:rPr>
        <w:t>а</w:t>
      </w:r>
      <w:r w:rsidRPr="00281602">
        <w:rPr>
          <w:rFonts w:eastAsia="Calibri"/>
          <w:sz w:val="22"/>
          <w:szCs w:val="22"/>
          <w:lang w:eastAsia="en-US"/>
        </w:rPr>
        <w:t>дающие высокой гибкостью,  что позволяет использовать их при покрытии изогнутых поверхностей.  Помимо акустической отделки были разработаны рекомендации по размещению и установке ак</w:t>
      </w:r>
      <w:r w:rsidRPr="00281602">
        <w:rPr>
          <w:rFonts w:eastAsia="Calibri"/>
          <w:sz w:val="22"/>
          <w:szCs w:val="22"/>
          <w:lang w:eastAsia="en-US"/>
        </w:rPr>
        <w:t>у</w:t>
      </w:r>
      <w:r w:rsidRPr="00281602">
        <w:rPr>
          <w:rFonts w:eastAsia="Calibri"/>
          <w:sz w:val="22"/>
          <w:szCs w:val="22"/>
          <w:lang w:eastAsia="en-US"/>
        </w:rPr>
        <w:t>стической аппаратуры и рекомендованы места размещения обор</w:t>
      </w:r>
      <w:r w:rsidRPr="00281602">
        <w:rPr>
          <w:rFonts w:eastAsia="Calibri"/>
          <w:sz w:val="22"/>
          <w:szCs w:val="22"/>
          <w:lang w:eastAsia="en-US"/>
        </w:rPr>
        <w:t>у</w:t>
      </w:r>
      <w:r w:rsidRPr="00281602">
        <w:rPr>
          <w:rFonts w:eastAsia="Calibri"/>
          <w:sz w:val="22"/>
          <w:szCs w:val="22"/>
          <w:lang w:eastAsia="en-US"/>
        </w:rPr>
        <w:t xml:space="preserve">дования. </w:t>
      </w:r>
    </w:p>
    <w:p w:rsidR="00102687" w:rsidRPr="00281602" w:rsidRDefault="00102687" w:rsidP="00102687">
      <w:pPr>
        <w:ind w:firstLine="426"/>
        <w:jc w:val="both"/>
        <w:rPr>
          <w:rFonts w:eastAsia="Calibri"/>
          <w:sz w:val="22"/>
          <w:szCs w:val="22"/>
          <w:lang w:eastAsia="en-US"/>
        </w:rPr>
      </w:pPr>
    </w:p>
    <w:p w:rsidR="00102687" w:rsidRPr="00281602" w:rsidRDefault="00102687" w:rsidP="00102687">
      <w:pPr>
        <w:ind w:firstLine="426"/>
        <w:jc w:val="center"/>
        <w:rPr>
          <w:rFonts w:eastAsia="Calibri"/>
          <w:sz w:val="22"/>
          <w:szCs w:val="22"/>
          <w:lang w:eastAsia="en-US"/>
        </w:rPr>
      </w:pPr>
      <w:r w:rsidRPr="00281602">
        <w:rPr>
          <w:rFonts w:eastAsia="Calibri"/>
          <w:sz w:val="22"/>
          <w:szCs w:val="22"/>
          <w:lang w:eastAsia="en-US"/>
        </w:rPr>
        <w:t>Список литературы</w:t>
      </w:r>
    </w:p>
    <w:p w:rsidR="00102687" w:rsidRPr="004F513D" w:rsidRDefault="00102687" w:rsidP="003C00E9">
      <w:pPr>
        <w:ind w:firstLine="426"/>
        <w:jc w:val="both"/>
        <w:rPr>
          <w:rFonts w:eastAsia="Calibri"/>
          <w:sz w:val="22"/>
          <w:szCs w:val="22"/>
          <w:lang w:val="en-US" w:eastAsia="en-US"/>
        </w:rPr>
      </w:pPr>
      <w:r w:rsidRPr="00281602">
        <w:rPr>
          <w:rFonts w:eastAsia="Calibri"/>
          <w:sz w:val="22"/>
          <w:szCs w:val="22"/>
          <w:lang w:eastAsia="en-US"/>
        </w:rPr>
        <w:t>1. Тарасова О. Г.,</w:t>
      </w:r>
      <w:r w:rsidRPr="00281602">
        <w:rPr>
          <w:rFonts w:eastAsia="Calibri"/>
          <w:bCs/>
          <w:sz w:val="22"/>
          <w:szCs w:val="22"/>
          <w:lang w:eastAsia="en-US"/>
        </w:rPr>
        <w:t xml:space="preserve"> </w:t>
      </w:r>
      <w:r w:rsidRPr="00281602">
        <w:rPr>
          <w:rFonts w:eastAsia="Calibri"/>
          <w:sz w:val="22"/>
          <w:szCs w:val="22"/>
          <w:lang w:eastAsia="en-US"/>
        </w:rPr>
        <w:t>Талицкая А. А.  Сравнение звукоизоляцио</w:t>
      </w:r>
      <w:r w:rsidRPr="00281602">
        <w:rPr>
          <w:rFonts w:eastAsia="Calibri"/>
          <w:sz w:val="22"/>
          <w:szCs w:val="22"/>
          <w:lang w:eastAsia="en-US"/>
        </w:rPr>
        <w:t>н</w:t>
      </w:r>
      <w:r w:rsidRPr="00281602">
        <w:rPr>
          <w:rFonts w:eastAsia="Calibri"/>
          <w:sz w:val="22"/>
          <w:szCs w:val="22"/>
          <w:lang w:eastAsia="en-US"/>
        </w:rPr>
        <w:t>ных свойств многослойных перегородок при заполнении воздушной полости тремя видами материалов примерно одинаковой плотности. / О. Г. Тарасова, А. А. Талицкая//МЦНС «Наука и просвещение»: сборник статей XV Международной научно-практической конф</w:t>
      </w:r>
      <w:r w:rsidRPr="00281602">
        <w:rPr>
          <w:rFonts w:eastAsia="Calibri"/>
          <w:sz w:val="22"/>
          <w:szCs w:val="22"/>
          <w:lang w:eastAsia="en-US"/>
        </w:rPr>
        <w:t>е</w:t>
      </w:r>
      <w:r w:rsidRPr="00281602">
        <w:rPr>
          <w:rFonts w:eastAsia="Calibri"/>
          <w:sz w:val="22"/>
          <w:szCs w:val="22"/>
          <w:lang w:eastAsia="en-US"/>
        </w:rPr>
        <w:t>ренции «WORLD SCIENCE: PROBLEMS AND INNOVATIONS», (30 ноября 2017г.) в г. Пенза ЧАСТЬ 1 – Пенза: МЦНС «Наука и Просвещение». – 2017. С</w:t>
      </w:r>
      <w:r w:rsidRPr="004F513D">
        <w:rPr>
          <w:rFonts w:eastAsia="Calibri"/>
          <w:sz w:val="22"/>
          <w:szCs w:val="22"/>
          <w:lang w:val="en-US" w:eastAsia="en-US"/>
        </w:rPr>
        <w:t>. 294–298</w:t>
      </w:r>
      <w:r w:rsidRPr="00281602">
        <w:rPr>
          <w:rFonts w:eastAsia="Calibri"/>
          <w:sz w:val="22"/>
          <w:szCs w:val="22"/>
          <w:lang w:eastAsia="en-US"/>
        </w:rPr>
        <w:t>с</w:t>
      </w:r>
      <w:r w:rsidRPr="004F513D">
        <w:rPr>
          <w:rFonts w:eastAsia="Calibri"/>
          <w:sz w:val="22"/>
          <w:szCs w:val="22"/>
          <w:lang w:val="en-US" w:eastAsia="en-US"/>
        </w:rPr>
        <w:t>.</w:t>
      </w:r>
    </w:p>
    <w:p w:rsidR="00102687" w:rsidRPr="004F513D" w:rsidRDefault="00102687" w:rsidP="003C00E9">
      <w:pPr>
        <w:ind w:firstLine="426"/>
        <w:jc w:val="both"/>
        <w:rPr>
          <w:rFonts w:eastAsia="Calibri"/>
          <w:sz w:val="22"/>
          <w:szCs w:val="22"/>
          <w:lang w:val="en-US" w:eastAsia="en-US"/>
        </w:rPr>
      </w:pPr>
    </w:p>
    <w:p w:rsidR="00102687" w:rsidRPr="00024398" w:rsidRDefault="00102687" w:rsidP="00102687">
      <w:pPr>
        <w:jc w:val="both"/>
        <w:rPr>
          <w:rFonts w:eastAsia="Calibri"/>
          <w:sz w:val="22"/>
          <w:szCs w:val="22"/>
          <w:lang w:val="en-US" w:eastAsia="en-US"/>
        </w:rPr>
      </w:pPr>
    </w:p>
    <w:p w:rsidR="003C00E9" w:rsidRPr="00024398" w:rsidRDefault="003C00E9" w:rsidP="00102687">
      <w:pPr>
        <w:jc w:val="both"/>
        <w:rPr>
          <w:rFonts w:eastAsia="Calibri"/>
          <w:sz w:val="22"/>
          <w:szCs w:val="22"/>
          <w:lang w:val="en-US" w:eastAsia="en-US"/>
        </w:rPr>
      </w:pPr>
    </w:p>
    <w:p w:rsidR="003C00E9" w:rsidRPr="00024398" w:rsidRDefault="003C00E9" w:rsidP="00102687">
      <w:pPr>
        <w:jc w:val="both"/>
        <w:rPr>
          <w:rFonts w:eastAsia="Calibri"/>
          <w:sz w:val="22"/>
          <w:szCs w:val="22"/>
          <w:lang w:val="en-US" w:eastAsia="en-US"/>
        </w:rPr>
      </w:pPr>
    </w:p>
    <w:p w:rsidR="003C00E9" w:rsidRPr="00024398" w:rsidRDefault="003C00E9" w:rsidP="00102687">
      <w:pPr>
        <w:jc w:val="both"/>
        <w:rPr>
          <w:rFonts w:eastAsia="Calibri"/>
          <w:sz w:val="22"/>
          <w:szCs w:val="22"/>
          <w:lang w:val="en-US" w:eastAsia="en-US"/>
        </w:rPr>
      </w:pPr>
    </w:p>
    <w:p w:rsidR="003C00E9" w:rsidRPr="008D33CB" w:rsidRDefault="003C00E9" w:rsidP="00102687">
      <w:pPr>
        <w:jc w:val="both"/>
        <w:rPr>
          <w:rFonts w:eastAsia="Calibri"/>
          <w:sz w:val="22"/>
          <w:szCs w:val="22"/>
          <w:lang w:val="en-US" w:eastAsia="en-US"/>
        </w:rPr>
      </w:pPr>
    </w:p>
    <w:p w:rsidR="00D81B1A" w:rsidRPr="004F513D" w:rsidRDefault="00D81B1A" w:rsidP="00D81B1A">
      <w:pPr>
        <w:rPr>
          <w:sz w:val="22"/>
          <w:szCs w:val="22"/>
          <w:lang w:val="en-US"/>
        </w:rPr>
      </w:pPr>
      <w:r w:rsidRPr="00D81B1A">
        <w:rPr>
          <w:sz w:val="22"/>
          <w:szCs w:val="22"/>
        </w:rPr>
        <w:lastRenderedPageBreak/>
        <w:t>УДК</w:t>
      </w:r>
      <w:r w:rsidRPr="004F513D">
        <w:rPr>
          <w:sz w:val="22"/>
          <w:szCs w:val="22"/>
          <w:lang w:val="en-US"/>
        </w:rPr>
        <w:t xml:space="preserve"> 726.5 (470.620) </w:t>
      </w:r>
    </w:p>
    <w:p w:rsidR="00D81B1A" w:rsidRPr="004F513D" w:rsidRDefault="00D81B1A" w:rsidP="00D81B1A">
      <w:pPr>
        <w:rPr>
          <w:sz w:val="22"/>
          <w:szCs w:val="22"/>
          <w:lang w:val="en-US"/>
        </w:rPr>
      </w:pPr>
    </w:p>
    <w:p w:rsidR="00D81B1A" w:rsidRPr="004F513D" w:rsidRDefault="00D81B1A" w:rsidP="00D81B1A">
      <w:pPr>
        <w:widowControl w:val="0"/>
        <w:autoSpaceDE w:val="0"/>
        <w:autoSpaceDN w:val="0"/>
        <w:adjustRightInd w:val="0"/>
        <w:jc w:val="center"/>
        <w:rPr>
          <w:b/>
          <w:sz w:val="24"/>
          <w:szCs w:val="24"/>
          <w:lang w:val="en-US"/>
        </w:rPr>
      </w:pPr>
      <w:r w:rsidRPr="00D81B1A">
        <w:rPr>
          <w:b/>
          <w:sz w:val="24"/>
          <w:szCs w:val="24"/>
        </w:rPr>
        <w:t>Храмы</w:t>
      </w:r>
      <w:r w:rsidRPr="004F513D">
        <w:rPr>
          <w:b/>
          <w:sz w:val="24"/>
          <w:szCs w:val="24"/>
          <w:lang w:val="en-US"/>
        </w:rPr>
        <w:t xml:space="preserve"> </w:t>
      </w:r>
      <w:r w:rsidRPr="00D81B1A">
        <w:rPr>
          <w:b/>
          <w:sz w:val="24"/>
          <w:szCs w:val="24"/>
        </w:rPr>
        <w:t>Кубани</w:t>
      </w:r>
      <w:r w:rsidRPr="004F513D">
        <w:rPr>
          <w:b/>
          <w:sz w:val="24"/>
          <w:szCs w:val="24"/>
          <w:lang w:val="en-US"/>
        </w:rPr>
        <w:t xml:space="preserve"> – </w:t>
      </w:r>
      <w:r w:rsidRPr="00D81B1A">
        <w:rPr>
          <w:b/>
          <w:sz w:val="24"/>
          <w:szCs w:val="24"/>
        </w:rPr>
        <w:t>памятники</w:t>
      </w:r>
      <w:r w:rsidRPr="004F513D">
        <w:rPr>
          <w:b/>
          <w:sz w:val="24"/>
          <w:szCs w:val="24"/>
          <w:lang w:val="en-US"/>
        </w:rPr>
        <w:t xml:space="preserve"> </w:t>
      </w:r>
      <w:r w:rsidRPr="00D81B1A">
        <w:rPr>
          <w:b/>
          <w:sz w:val="24"/>
          <w:szCs w:val="24"/>
        </w:rPr>
        <w:t>архитектурного</w:t>
      </w:r>
      <w:r w:rsidRPr="004F513D">
        <w:rPr>
          <w:b/>
          <w:sz w:val="24"/>
          <w:szCs w:val="24"/>
          <w:lang w:val="en-US"/>
        </w:rPr>
        <w:t xml:space="preserve"> </w:t>
      </w:r>
      <w:r w:rsidRPr="00D81B1A">
        <w:rPr>
          <w:b/>
          <w:sz w:val="24"/>
          <w:szCs w:val="24"/>
        </w:rPr>
        <w:t>наследия</w:t>
      </w:r>
    </w:p>
    <w:p w:rsidR="00D81B1A" w:rsidRPr="00D81B1A" w:rsidRDefault="00D81B1A" w:rsidP="00D81B1A">
      <w:pPr>
        <w:widowControl w:val="0"/>
        <w:autoSpaceDE w:val="0"/>
        <w:autoSpaceDN w:val="0"/>
        <w:adjustRightInd w:val="0"/>
        <w:jc w:val="center"/>
        <w:rPr>
          <w:b/>
          <w:sz w:val="24"/>
          <w:szCs w:val="24"/>
          <w:lang w:val="en"/>
        </w:rPr>
      </w:pPr>
      <w:r w:rsidRPr="00D81B1A">
        <w:rPr>
          <w:b/>
          <w:sz w:val="24"/>
          <w:szCs w:val="24"/>
          <w:lang w:val="en"/>
        </w:rPr>
        <w:t>Temples of the Kuban - monuments of architectural heritage</w:t>
      </w:r>
    </w:p>
    <w:p w:rsidR="00D81B1A" w:rsidRPr="00D81B1A" w:rsidRDefault="00D81B1A" w:rsidP="00D81B1A">
      <w:pPr>
        <w:widowControl w:val="0"/>
        <w:autoSpaceDE w:val="0"/>
        <w:autoSpaceDN w:val="0"/>
        <w:adjustRightInd w:val="0"/>
        <w:jc w:val="center"/>
        <w:rPr>
          <w:b/>
          <w:sz w:val="24"/>
          <w:szCs w:val="24"/>
          <w:lang w:val="en"/>
        </w:rPr>
      </w:pPr>
    </w:p>
    <w:p w:rsidR="00D81B1A" w:rsidRPr="00D81B1A" w:rsidRDefault="00D81B1A" w:rsidP="00D81B1A">
      <w:pPr>
        <w:widowControl w:val="0"/>
        <w:autoSpaceDE w:val="0"/>
        <w:autoSpaceDN w:val="0"/>
        <w:adjustRightInd w:val="0"/>
        <w:jc w:val="right"/>
        <w:rPr>
          <w:sz w:val="22"/>
          <w:szCs w:val="22"/>
        </w:rPr>
      </w:pPr>
      <w:r w:rsidRPr="00D81B1A">
        <w:rPr>
          <w:sz w:val="22"/>
          <w:szCs w:val="22"/>
        </w:rPr>
        <w:t>Васильева С.</w:t>
      </w:r>
      <w:r w:rsidR="003C00E9">
        <w:rPr>
          <w:sz w:val="22"/>
          <w:szCs w:val="22"/>
        </w:rPr>
        <w:t xml:space="preserve"> </w:t>
      </w:r>
      <w:r w:rsidRPr="00D81B1A">
        <w:rPr>
          <w:sz w:val="22"/>
          <w:szCs w:val="22"/>
        </w:rPr>
        <w:t>И</w:t>
      </w:r>
      <w:r w:rsidR="003C00E9">
        <w:rPr>
          <w:sz w:val="22"/>
          <w:szCs w:val="22"/>
        </w:rPr>
        <w:t>.</w:t>
      </w:r>
      <w:r w:rsidRPr="00D81B1A">
        <w:rPr>
          <w:sz w:val="22"/>
          <w:szCs w:val="22"/>
        </w:rPr>
        <w:t>,</w:t>
      </w:r>
    </w:p>
    <w:p w:rsidR="00D81B1A" w:rsidRPr="00D81B1A" w:rsidRDefault="00D81B1A" w:rsidP="00D81B1A">
      <w:pPr>
        <w:widowControl w:val="0"/>
        <w:autoSpaceDE w:val="0"/>
        <w:autoSpaceDN w:val="0"/>
        <w:adjustRightInd w:val="0"/>
        <w:jc w:val="right"/>
        <w:rPr>
          <w:sz w:val="22"/>
          <w:szCs w:val="22"/>
        </w:rPr>
      </w:pPr>
      <w:r w:rsidRPr="00D81B1A">
        <w:rPr>
          <w:sz w:val="22"/>
          <w:szCs w:val="22"/>
        </w:rPr>
        <w:t>магистрант 1-го курса факультета заочного обучения</w:t>
      </w:r>
    </w:p>
    <w:p w:rsidR="00D81B1A" w:rsidRPr="00D81B1A" w:rsidRDefault="00D81B1A" w:rsidP="00D81B1A">
      <w:pPr>
        <w:widowControl w:val="0"/>
        <w:autoSpaceDE w:val="0"/>
        <w:autoSpaceDN w:val="0"/>
        <w:adjustRightInd w:val="0"/>
        <w:jc w:val="right"/>
        <w:rPr>
          <w:sz w:val="22"/>
          <w:szCs w:val="22"/>
        </w:rPr>
      </w:pPr>
      <w:r w:rsidRPr="00D81B1A">
        <w:rPr>
          <w:sz w:val="22"/>
          <w:szCs w:val="22"/>
        </w:rPr>
        <w:t>Субботин О. С.</w:t>
      </w:r>
      <w:r w:rsidR="003C00E9">
        <w:rPr>
          <w:sz w:val="22"/>
          <w:szCs w:val="22"/>
        </w:rPr>
        <w:t>,</w:t>
      </w:r>
    </w:p>
    <w:p w:rsidR="00D81B1A" w:rsidRPr="00D81B1A" w:rsidRDefault="00D81B1A" w:rsidP="00D81B1A">
      <w:pPr>
        <w:widowControl w:val="0"/>
        <w:autoSpaceDE w:val="0"/>
        <w:autoSpaceDN w:val="0"/>
        <w:adjustRightInd w:val="0"/>
        <w:jc w:val="right"/>
        <w:rPr>
          <w:sz w:val="22"/>
          <w:szCs w:val="22"/>
        </w:rPr>
      </w:pPr>
      <w:r w:rsidRPr="00D81B1A">
        <w:rPr>
          <w:sz w:val="22"/>
          <w:szCs w:val="22"/>
        </w:rPr>
        <w:t>профессор кафедры архитектуры</w:t>
      </w:r>
    </w:p>
    <w:p w:rsidR="00D81B1A" w:rsidRPr="00D81B1A" w:rsidRDefault="00D81B1A" w:rsidP="00D81B1A">
      <w:pPr>
        <w:widowControl w:val="0"/>
        <w:autoSpaceDE w:val="0"/>
        <w:autoSpaceDN w:val="0"/>
        <w:adjustRightInd w:val="0"/>
        <w:jc w:val="right"/>
        <w:rPr>
          <w:sz w:val="22"/>
          <w:szCs w:val="22"/>
        </w:rPr>
      </w:pPr>
      <w:r w:rsidRPr="00D81B1A">
        <w:rPr>
          <w:sz w:val="22"/>
          <w:szCs w:val="22"/>
        </w:rPr>
        <w:t>Кубанский государственный аграрный</w:t>
      </w:r>
    </w:p>
    <w:p w:rsidR="00D81B1A" w:rsidRPr="00D81B1A" w:rsidRDefault="00D81B1A" w:rsidP="00D81B1A">
      <w:pPr>
        <w:widowControl w:val="0"/>
        <w:autoSpaceDE w:val="0"/>
        <w:autoSpaceDN w:val="0"/>
        <w:adjustRightInd w:val="0"/>
        <w:jc w:val="right"/>
        <w:rPr>
          <w:sz w:val="22"/>
          <w:szCs w:val="22"/>
        </w:rPr>
      </w:pPr>
      <w:r w:rsidRPr="00D81B1A">
        <w:rPr>
          <w:sz w:val="22"/>
          <w:szCs w:val="22"/>
        </w:rPr>
        <w:t>у</w:t>
      </w:r>
      <w:r w:rsidR="003C00E9">
        <w:rPr>
          <w:sz w:val="22"/>
          <w:szCs w:val="22"/>
        </w:rPr>
        <w:t>ниверситет имени И.Т. Трубилина</w:t>
      </w:r>
    </w:p>
    <w:p w:rsidR="00D81B1A" w:rsidRPr="00D81B1A" w:rsidRDefault="00D81B1A" w:rsidP="00D81B1A">
      <w:pPr>
        <w:widowControl w:val="0"/>
        <w:autoSpaceDE w:val="0"/>
        <w:autoSpaceDN w:val="0"/>
        <w:adjustRightInd w:val="0"/>
        <w:ind w:firstLine="426"/>
        <w:jc w:val="both"/>
        <w:rPr>
          <w:sz w:val="22"/>
          <w:szCs w:val="20"/>
        </w:rPr>
      </w:pPr>
    </w:p>
    <w:p w:rsidR="00D81B1A" w:rsidRPr="00D81B1A" w:rsidRDefault="00D81B1A" w:rsidP="00D81B1A">
      <w:pPr>
        <w:widowControl w:val="0"/>
        <w:autoSpaceDE w:val="0"/>
        <w:autoSpaceDN w:val="0"/>
        <w:adjustRightInd w:val="0"/>
        <w:ind w:firstLine="426"/>
        <w:jc w:val="both"/>
        <w:rPr>
          <w:bCs/>
          <w:iCs/>
          <w:sz w:val="22"/>
          <w:szCs w:val="20"/>
        </w:rPr>
      </w:pPr>
      <w:r w:rsidRPr="00D81B1A">
        <w:rPr>
          <w:sz w:val="22"/>
          <w:szCs w:val="20"/>
        </w:rPr>
        <w:t xml:space="preserve">АННОТАЦИЯ: </w:t>
      </w:r>
      <w:r w:rsidRPr="00D81B1A">
        <w:rPr>
          <w:bCs/>
          <w:iCs/>
          <w:sz w:val="22"/>
          <w:szCs w:val="20"/>
        </w:rPr>
        <w:t>Обозначены основные вопросы в свете сохр</w:t>
      </w:r>
      <w:r w:rsidRPr="00D81B1A">
        <w:rPr>
          <w:bCs/>
          <w:iCs/>
          <w:sz w:val="22"/>
          <w:szCs w:val="20"/>
        </w:rPr>
        <w:t>а</w:t>
      </w:r>
      <w:r w:rsidRPr="00D81B1A">
        <w:rPr>
          <w:bCs/>
          <w:iCs/>
          <w:sz w:val="22"/>
          <w:szCs w:val="20"/>
        </w:rPr>
        <w:t>нения храмов, являющихся памятниками историко-культурного наследия. Проведен анализ ценностей их исторического наследия. Особое внимание уделено сохранению храмов, в контексте изуч</w:t>
      </w:r>
      <w:r w:rsidRPr="00D81B1A">
        <w:rPr>
          <w:bCs/>
          <w:iCs/>
          <w:sz w:val="22"/>
          <w:szCs w:val="20"/>
        </w:rPr>
        <w:t>е</w:t>
      </w:r>
      <w:r w:rsidRPr="00D81B1A">
        <w:rPr>
          <w:bCs/>
          <w:iCs/>
          <w:sz w:val="22"/>
          <w:szCs w:val="20"/>
        </w:rPr>
        <w:t>ния прошлого.</w:t>
      </w:r>
    </w:p>
    <w:p w:rsidR="00D81B1A" w:rsidRPr="00D81B1A" w:rsidRDefault="00D81B1A" w:rsidP="00D81B1A">
      <w:pPr>
        <w:ind w:firstLine="426"/>
        <w:jc w:val="both"/>
        <w:rPr>
          <w:sz w:val="22"/>
          <w:szCs w:val="20"/>
          <w:lang w:val="en-US"/>
        </w:rPr>
      </w:pPr>
      <w:r w:rsidRPr="00D81B1A">
        <w:rPr>
          <w:sz w:val="22"/>
          <w:szCs w:val="20"/>
          <w:lang w:val="en"/>
        </w:rPr>
        <w:t>ABSTRACT</w:t>
      </w:r>
      <w:r w:rsidRPr="00D81B1A">
        <w:rPr>
          <w:sz w:val="22"/>
          <w:szCs w:val="20"/>
          <w:lang w:val="en-US"/>
        </w:rPr>
        <w:t xml:space="preserve">: </w:t>
      </w:r>
      <w:r w:rsidRPr="00D81B1A">
        <w:rPr>
          <w:sz w:val="22"/>
          <w:szCs w:val="20"/>
          <w:lang w:val="en"/>
        </w:rPr>
        <w:t>The main issues are highlighted in the light of the preservation of temples, which are monuments of historical and cultural heritage.</w:t>
      </w:r>
      <w:r w:rsidRPr="00D81B1A">
        <w:rPr>
          <w:rFonts w:ascii="Arial" w:eastAsia="Calibri" w:hAnsi="Arial" w:cs="Arial"/>
          <w:color w:val="222222"/>
          <w:lang w:val="en" w:eastAsia="en-US"/>
        </w:rPr>
        <w:t xml:space="preserve"> </w:t>
      </w:r>
      <w:r w:rsidRPr="00D81B1A">
        <w:rPr>
          <w:sz w:val="22"/>
          <w:szCs w:val="20"/>
          <w:lang w:val="en"/>
        </w:rPr>
        <w:t>The analysis of the values of their historical heritage is carried out.</w:t>
      </w:r>
      <w:r w:rsidRPr="00D81B1A">
        <w:rPr>
          <w:sz w:val="22"/>
          <w:szCs w:val="20"/>
          <w:lang w:val="en-US"/>
        </w:rPr>
        <w:t xml:space="preserve"> </w:t>
      </w:r>
      <w:r w:rsidRPr="00D81B1A">
        <w:rPr>
          <w:sz w:val="22"/>
          <w:szCs w:val="20"/>
          <w:lang w:val="en"/>
        </w:rPr>
        <w:t>Particular attention is paid to the preservation of churches, in the context of studying the past.</w:t>
      </w:r>
    </w:p>
    <w:p w:rsidR="00D81B1A" w:rsidRPr="00D81B1A" w:rsidRDefault="00D81B1A" w:rsidP="00D81B1A">
      <w:pPr>
        <w:ind w:firstLine="426"/>
        <w:jc w:val="both"/>
        <w:rPr>
          <w:sz w:val="22"/>
          <w:szCs w:val="20"/>
        </w:rPr>
      </w:pPr>
      <w:r w:rsidRPr="00D81B1A">
        <w:rPr>
          <w:sz w:val="22"/>
          <w:szCs w:val="20"/>
        </w:rPr>
        <w:t>КЛЮЧЕВЫЕ СЛОВА: Кубань, храм, памятник, наследие, зо</w:t>
      </w:r>
      <w:r w:rsidRPr="00D81B1A">
        <w:rPr>
          <w:sz w:val="22"/>
          <w:szCs w:val="20"/>
        </w:rPr>
        <w:t>д</w:t>
      </w:r>
      <w:r w:rsidRPr="00D81B1A">
        <w:rPr>
          <w:sz w:val="22"/>
          <w:szCs w:val="20"/>
        </w:rPr>
        <w:t>чество, комплекс, регион</w:t>
      </w:r>
    </w:p>
    <w:p w:rsidR="00D81B1A" w:rsidRPr="00D81B1A" w:rsidRDefault="00D81B1A" w:rsidP="00D81B1A">
      <w:pPr>
        <w:ind w:firstLine="426"/>
        <w:jc w:val="both"/>
        <w:rPr>
          <w:sz w:val="22"/>
          <w:szCs w:val="22"/>
          <w:lang w:val="en-US"/>
        </w:rPr>
      </w:pPr>
      <w:r w:rsidRPr="00D81B1A">
        <w:rPr>
          <w:sz w:val="22"/>
          <w:szCs w:val="22"/>
          <w:lang w:val="en"/>
        </w:rPr>
        <w:t>KEYWORDS</w:t>
      </w:r>
      <w:r w:rsidRPr="00D81B1A">
        <w:rPr>
          <w:sz w:val="22"/>
          <w:szCs w:val="22"/>
          <w:lang w:val="en-US"/>
        </w:rPr>
        <w:t xml:space="preserve">: </w:t>
      </w:r>
      <w:r w:rsidRPr="00D81B1A">
        <w:rPr>
          <w:sz w:val="22"/>
          <w:szCs w:val="22"/>
          <w:lang w:val="en"/>
        </w:rPr>
        <w:t>Kuban, temple, monument, heritage, architecture, complex, region</w:t>
      </w:r>
    </w:p>
    <w:p w:rsidR="00D81B1A" w:rsidRPr="00D81B1A" w:rsidRDefault="00D81B1A" w:rsidP="00D81B1A">
      <w:pPr>
        <w:ind w:firstLine="426"/>
        <w:jc w:val="both"/>
        <w:rPr>
          <w:sz w:val="22"/>
          <w:szCs w:val="22"/>
          <w:lang w:val="en-US"/>
        </w:rPr>
      </w:pP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 xml:space="preserve">Возрождение христианства, открытие новых храмов, часовен, воскресных школ – особенная строка современной России. </w:t>
      </w:r>
      <w:r w:rsidRPr="00D81B1A">
        <w:rPr>
          <w:rFonts w:eastAsia="Calibri"/>
          <w:bCs/>
          <w:iCs/>
          <w:sz w:val="22"/>
          <w:szCs w:val="22"/>
          <w:lang w:val="en-US" w:eastAsia="en-US"/>
        </w:rPr>
        <w:t>XX</w:t>
      </w:r>
      <w:r w:rsidRPr="00D81B1A">
        <w:rPr>
          <w:rFonts w:eastAsia="Calibri"/>
          <w:bCs/>
          <w:iCs/>
          <w:sz w:val="22"/>
          <w:szCs w:val="22"/>
          <w:lang w:eastAsia="en-US"/>
        </w:rPr>
        <w:t xml:space="preserve"> ст</w:t>
      </w:r>
      <w:r w:rsidRPr="00D81B1A">
        <w:rPr>
          <w:rFonts w:eastAsia="Calibri"/>
          <w:bCs/>
          <w:iCs/>
          <w:sz w:val="22"/>
          <w:szCs w:val="22"/>
          <w:lang w:eastAsia="en-US"/>
        </w:rPr>
        <w:t>о</w:t>
      </w:r>
      <w:r w:rsidRPr="00D81B1A">
        <w:rPr>
          <w:rFonts w:eastAsia="Calibri"/>
          <w:bCs/>
          <w:iCs/>
          <w:sz w:val="22"/>
          <w:szCs w:val="22"/>
          <w:lang w:eastAsia="en-US"/>
        </w:rPr>
        <w:t>летие ознаменовалось рядом печальных событий для Русской Пр</w:t>
      </w:r>
      <w:r w:rsidRPr="00D81B1A">
        <w:rPr>
          <w:rFonts w:eastAsia="Calibri"/>
          <w:bCs/>
          <w:iCs/>
          <w:sz w:val="22"/>
          <w:szCs w:val="22"/>
          <w:lang w:eastAsia="en-US"/>
        </w:rPr>
        <w:t>а</w:t>
      </w:r>
      <w:r w:rsidRPr="00D81B1A">
        <w:rPr>
          <w:rFonts w:eastAsia="Calibri"/>
          <w:bCs/>
          <w:iCs/>
          <w:sz w:val="22"/>
          <w:szCs w:val="22"/>
          <w:lang w:eastAsia="en-US"/>
        </w:rPr>
        <w:t>вославной Церкви: религиозные убеждения преследовались, свят</w:t>
      </w:r>
      <w:r w:rsidRPr="00D81B1A">
        <w:rPr>
          <w:rFonts w:eastAsia="Calibri"/>
          <w:bCs/>
          <w:iCs/>
          <w:sz w:val="22"/>
          <w:szCs w:val="22"/>
          <w:lang w:eastAsia="en-US"/>
        </w:rPr>
        <w:t>о</w:t>
      </w:r>
      <w:r w:rsidRPr="00D81B1A">
        <w:rPr>
          <w:rFonts w:eastAsia="Calibri"/>
          <w:bCs/>
          <w:iCs/>
          <w:sz w:val="22"/>
          <w:szCs w:val="22"/>
          <w:lang w:eastAsia="en-US"/>
        </w:rPr>
        <w:t>сти православной церкви – религиозного сообщества христиан, ни</w:t>
      </w:r>
      <w:r w:rsidRPr="00D81B1A">
        <w:rPr>
          <w:rFonts w:eastAsia="Calibri"/>
          <w:bCs/>
          <w:iCs/>
          <w:sz w:val="22"/>
          <w:szCs w:val="22"/>
          <w:lang w:eastAsia="en-US"/>
        </w:rPr>
        <w:t>з</w:t>
      </w:r>
      <w:r w:rsidRPr="00D81B1A">
        <w:rPr>
          <w:rFonts w:eastAsia="Calibri"/>
          <w:bCs/>
          <w:iCs/>
          <w:sz w:val="22"/>
          <w:szCs w:val="22"/>
          <w:lang w:eastAsia="en-US"/>
        </w:rPr>
        <w:t>водились до уровня простого надругательства, ее ценности граб</w:t>
      </w:r>
      <w:r w:rsidRPr="00D81B1A">
        <w:rPr>
          <w:rFonts w:eastAsia="Calibri"/>
          <w:bCs/>
          <w:iCs/>
          <w:sz w:val="22"/>
          <w:szCs w:val="22"/>
          <w:lang w:eastAsia="en-US"/>
        </w:rPr>
        <w:t>и</w:t>
      </w:r>
      <w:r w:rsidRPr="00D81B1A">
        <w:rPr>
          <w:rFonts w:eastAsia="Calibri"/>
          <w:bCs/>
          <w:iCs/>
          <w:sz w:val="22"/>
          <w:szCs w:val="22"/>
          <w:lang w:eastAsia="en-US"/>
        </w:rPr>
        <w:t>лись или уничтожались, а культовые здания и сооружения – памя</w:t>
      </w:r>
      <w:r w:rsidRPr="00D81B1A">
        <w:rPr>
          <w:rFonts w:eastAsia="Calibri"/>
          <w:bCs/>
          <w:iCs/>
          <w:sz w:val="22"/>
          <w:szCs w:val="22"/>
          <w:lang w:eastAsia="en-US"/>
        </w:rPr>
        <w:t>т</w:t>
      </w:r>
      <w:r w:rsidRPr="00D81B1A">
        <w:rPr>
          <w:rFonts w:eastAsia="Calibri"/>
          <w:bCs/>
          <w:iCs/>
          <w:sz w:val="22"/>
          <w:szCs w:val="22"/>
          <w:lang w:eastAsia="en-US"/>
        </w:rPr>
        <w:t>ники архитектурного наследия, в лучшем случае были отданы под другие нужды – склады, базы, хранилища или просто пришли в н</w:t>
      </w:r>
      <w:r w:rsidRPr="00D81B1A">
        <w:rPr>
          <w:rFonts w:eastAsia="Calibri"/>
          <w:bCs/>
          <w:iCs/>
          <w:sz w:val="22"/>
          <w:szCs w:val="22"/>
          <w:lang w:eastAsia="en-US"/>
        </w:rPr>
        <w:t>е</w:t>
      </w:r>
      <w:r w:rsidRPr="00D81B1A">
        <w:rPr>
          <w:rFonts w:eastAsia="Calibri"/>
          <w:bCs/>
          <w:iCs/>
          <w:sz w:val="22"/>
          <w:szCs w:val="22"/>
          <w:lang w:eastAsia="en-US"/>
        </w:rPr>
        <w:t>годность, разрушались.</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lastRenderedPageBreak/>
        <w:t>В действительности прерывались традиции изучения церко</w:t>
      </w:r>
      <w:r w:rsidRPr="00D81B1A">
        <w:rPr>
          <w:rFonts w:eastAsia="Calibri"/>
          <w:bCs/>
          <w:iCs/>
          <w:sz w:val="22"/>
          <w:szCs w:val="22"/>
          <w:lang w:eastAsia="en-US"/>
        </w:rPr>
        <w:t>в</w:t>
      </w:r>
      <w:r w:rsidRPr="00D81B1A">
        <w:rPr>
          <w:rFonts w:eastAsia="Calibri"/>
          <w:bCs/>
          <w:iCs/>
          <w:sz w:val="22"/>
          <w:szCs w:val="22"/>
          <w:lang w:eastAsia="en-US"/>
        </w:rPr>
        <w:t>ной истории, храмового зодчества, особенно на региональном уровне. И в настоящее время значительная часть храмов находится в бедственном состоянии, без надлежащей реставрации и реко</w:t>
      </w:r>
      <w:r w:rsidRPr="00D81B1A">
        <w:rPr>
          <w:rFonts w:eastAsia="Calibri"/>
          <w:bCs/>
          <w:iCs/>
          <w:sz w:val="22"/>
          <w:szCs w:val="22"/>
          <w:lang w:eastAsia="en-US"/>
        </w:rPr>
        <w:t>н</w:t>
      </w:r>
      <w:r w:rsidRPr="00D81B1A">
        <w:rPr>
          <w:rFonts w:eastAsia="Calibri"/>
          <w:bCs/>
          <w:iCs/>
          <w:sz w:val="22"/>
          <w:szCs w:val="22"/>
          <w:lang w:eastAsia="en-US"/>
        </w:rPr>
        <w:t xml:space="preserve">струкции. Поэтому изучение архитектуры указанных памятников храмового зодчества </w:t>
      </w:r>
      <w:proofErr w:type="gramStart"/>
      <w:r w:rsidRPr="00D81B1A">
        <w:rPr>
          <w:rFonts w:eastAsia="Calibri"/>
          <w:bCs/>
          <w:iCs/>
          <w:sz w:val="22"/>
          <w:szCs w:val="22"/>
          <w:lang w:eastAsia="en-US"/>
        </w:rPr>
        <w:t>необходимо</w:t>
      </w:r>
      <w:proofErr w:type="gramEnd"/>
      <w:r w:rsidRPr="00D81B1A">
        <w:rPr>
          <w:rFonts w:eastAsia="Calibri"/>
          <w:bCs/>
          <w:iCs/>
          <w:sz w:val="22"/>
          <w:szCs w:val="22"/>
          <w:lang w:eastAsia="en-US"/>
        </w:rPr>
        <w:t xml:space="preserve"> по крайней мере даже для рег</w:t>
      </w:r>
      <w:r w:rsidRPr="00D81B1A">
        <w:rPr>
          <w:rFonts w:eastAsia="Calibri"/>
          <w:bCs/>
          <w:iCs/>
          <w:sz w:val="22"/>
          <w:szCs w:val="22"/>
          <w:lang w:eastAsia="en-US"/>
        </w:rPr>
        <w:t>и</w:t>
      </w:r>
      <w:r w:rsidRPr="00D81B1A">
        <w:rPr>
          <w:rFonts w:eastAsia="Calibri"/>
          <w:bCs/>
          <w:iCs/>
          <w:sz w:val="22"/>
          <w:szCs w:val="22"/>
          <w:lang w:eastAsia="en-US"/>
        </w:rPr>
        <w:t>страции уходящего наследия нашей страны. При этом «неотъемл</w:t>
      </w:r>
      <w:r w:rsidRPr="00D81B1A">
        <w:rPr>
          <w:rFonts w:eastAsia="Calibri"/>
          <w:bCs/>
          <w:iCs/>
          <w:sz w:val="22"/>
          <w:szCs w:val="22"/>
          <w:lang w:eastAsia="en-US"/>
        </w:rPr>
        <w:t>е</w:t>
      </w:r>
      <w:r w:rsidRPr="00D81B1A">
        <w:rPr>
          <w:rFonts w:eastAsia="Calibri"/>
          <w:bCs/>
          <w:iCs/>
          <w:sz w:val="22"/>
          <w:szCs w:val="22"/>
          <w:lang w:eastAsia="en-US"/>
        </w:rPr>
        <w:t>мой частью историко-культурного наследия и архитектурно-градостроительного развития городов Юга России являются храмы. Именно они – своеобразный краеугольный камень в основании фундамента будущего города. [1, с.45]. Кубань – регион богатый памятниками архитектурного наследия. «Указанный регион один из немногих в России, где еще сохранилась система архитектурно-природных культовых комплексов в первозданном виде [2, с.22].</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Таким образом, архитектура русской православной церкви на Кубани играет большую роль не только в качестве независимого предмета исследования, но и как раздел нашей истории. Одновр</w:t>
      </w:r>
      <w:r w:rsidRPr="00D81B1A">
        <w:rPr>
          <w:rFonts w:eastAsia="Calibri"/>
          <w:bCs/>
          <w:iCs/>
          <w:sz w:val="22"/>
          <w:szCs w:val="22"/>
          <w:lang w:eastAsia="en-US"/>
        </w:rPr>
        <w:t>е</w:t>
      </w:r>
      <w:r w:rsidRPr="00D81B1A">
        <w:rPr>
          <w:rFonts w:eastAsia="Calibri"/>
          <w:bCs/>
          <w:iCs/>
          <w:sz w:val="22"/>
          <w:szCs w:val="22"/>
          <w:lang w:eastAsia="en-US"/>
        </w:rPr>
        <w:t>менно с этим актуальность исследования обусловлена необходим</w:t>
      </w:r>
      <w:r w:rsidRPr="00D81B1A">
        <w:rPr>
          <w:rFonts w:eastAsia="Calibri"/>
          <w:bCs/>
          <w:iCs/>
          <w:sz w:val="22"/>
          <w:szCs w:val="22"/>
          <w:lang w:eastAsia="en-US"/>
        </w:rPr>
        <w:t>о</w:t>
      </w:r>
      <w:r w:rsidRPr="00D81B1A">
        <w:rPr>
          <w:rFonts w:eastAsia="Calibri"/>
          <w:bCs/>
          <w:iCs/>
          <w:sz w:val="22"/>
          <w:szCs w:val="22"/>
          <w:lang w:eastAsia="en-US"/>
        </w:rPr>
        <w:t>стью научной разработки проблем, связанных с изучением истор</w:t>
      </w:r>
      <w:r w:rsidRPr="00D81B1A">
        <w:rPr>
          <w:rFonts w:eastAsia="Calibri"/>
          <w:bCs/>
          <w:iCs/>
          <w:sz w:val="22"/>
          <w:szCs w:val="22"/>
          <w:lang w:eastAsia="en-US"/>
        </w:rPr>
        <w:t>и</w:t>
      </w:r>
      <w:r w:rsidRPr="00D81B1A">
        <w:rPr>
          <w:rFonts w:eastAsia="Calibri"/>
          <w:bCs/>
          <w:iCs/>
          <w:sz w:val="22"/>
          <w:szCs w:val="22"/>
          <w:lang w:eastAsia="en-US"/>
        </w:rPr>
        <w:t>ческих корней своеобразия культовых зданий и сооружений Куб</w:t>
      </w:r>
      <w:r w:rsidRPr="00D81B1A">
        <w:rPr>
          <w:rFonts w:eastAsia="Calibri"/>
          <w:bCs/>
          <w:iCs/>
          <w:sz w:val="22"/>
          <w:szCs w:val="22"/>
          <w:lang w:eastAsia="en-US"/>
        </w:rPr>
        <w:t>а</w:t>
      </w:r>
      <w:r w:rsidRPr="00D81B1A">
        <w:rPr>
          <w:rFonts w:eastAsia="Calibri"/>
          <w:bCs/>
          <w:iCs/>
          <w:sz w:val="22"/>
          <w:szCs w:val="22"/>
          <w:lang w:eastAsia="en-US"/>
        </w:rPr>
        <w:t>ни. Надлежит определить основные этапы и особенности формир</w:t>
      </w:r>
      <w:r w:rsidRPr="00D81B1A">
        <w:rPr>
          <w:rFonts w:eastAsia="Calibri"/>
          <w:bCs/>
          <w:iCs/>
          <w:sz w:val="22"/>
          <w:szCs w:val="22"/>
          <w:lang w:eastAsia="en-US"/>
        </w:rPr>
        <w:t>о</w:t>
      </w:r>
      <w:r w:rsidRPr="00D81B1A">
        <w:rPr>
          <w:rFonts w:eastAsia="Calibri"/>
          <w:bCs/>
          <w:iCs/>
          <w:sz w:val="22"/>
          <w:szCs w:val="22"/>
          <w:lang w:eastAsia="en-US"/>
        </w:rPr>
        <w:t>вания храмового зодчества Кубани, выявить культурные ценности архитектурного наследия региона.</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Храмы Кубани – «памятники историко-архитектурного насл</w:t>
      </w:r>
      <w:r w:rsidRPr="00D81B1A">
        <w:rPr>
          <w:rFonts w:eastAsia="Calibri"/>
          <w:bCs/>
          <w:iCs/>
          <w:sz w:val="22"/>
          <w:szCs w:val="22"/>
          <w:lang w:eastAsia="en-US"/>
        </w:rPr>
        <w:t>е</w:t>
      </w:r>
      <w:r w:rsidRPr="00D81B1A">
        <w:rPr>
          <w:rFonts w:eastAsia="Calibri"/>
          <w:bCs/>
          <w:iCs/>
          <w:sz w:val="22"/>
          <w:szCs w:val="22"/>
          <w:lang w:eastAsia="en-US"/>
        </w:rPr>
        <w:t>дия, составляющие духовную и культурную ценность для насто</w:t>
      </w:r>
      <w:r w:rsidRPr="00D81B1A">
        <w:rPr>
          <w:rFonts w:eastAsia="Calibri"/>
          <w:bCs/>
          <w:iCs/>
          <w:sz w:val="22"/>
          <w:szCs w:val="22"/>
          <w:lang w:eastAsia="en-US"/>
        </w:rPr>
        <w:t>я</w:t>
      </w:r>
      <w:r w:rsidRPr="00D81B1A">
        <w:rPr>
          <w:rFonts w:eastAsia="Calibri"/>
          <w:bCs/>
          <w:iCs/>
          <w:sz w:val="22"/>
          <w:szCs w:val="22"/>
          <w:lang w:eastAsia="en-US"/>
        </w:rPr>
        <w:t>щего и будущего поколений [3, с.48]. Наша с Вами задача сохр</w:t>
      </w:r>
      <w:r w:rsidRPr="00D81B1A">
        <w:rPr>
          <w:rFonts w:eastAsia="Calibri"/>
          <w:bCs/>
          <w:iCs/>
          <w:sz w:val="22"/>
          <w:szCs w:val="22"/>
          <w:lang w:eastAsia="en-US"/>
        </w:rPr>
        <w:t>а</w:t>
      </w:r>
      <w:r w:rsidRPr="00D81B1A">
        <w:rPr>
          <w:rFonts w:eastAsia="Calibri"/>
          <w:bCs/>
          <w:iCs/>
          <w:sz w:val="22"/>
          <w:szCs w:val="22"/>
          <w:lang w:eastAsia="en-US"/>
        </w:rPr>
        <w:t>нить и преумножить это уникальное богатство.</w:t>
      </w:r>
    </w:p>
    <w:p w:rsidR="00D81B1A" w:rsidRPr="00D81B1A" w:rsidRDefault="00D81B1A" w:rsidP="00D81B1A">
      <w:pPr>
        <w:ind w:firstLine="425"/>
        <w:jc w:val="both"/>
        <w:rPr>
          <w:rFonts w:eastAsia="Calibri"/>
          <w:bCs/>
          <w:iCs/>
          <w:sz w:val="22"/>
          <w:szCs w:val="22"/>
          <w:lang w:eastAsia="en-US"/>
        </w:rPr>
      </w:pPr>
    </w:p>
    <w:p w:rsidR="00D81B1A" w:rsidRPr="00D81B1A" w:rsidRDefault="00D81B1A" w:rsidP="00D81B1A">
      <w:pPr>
        <w:ind w:firstLine="425"/>
        <w:jc w:val="center"/>
        <w:rPr>
          <w:rFonts w:eastAsia="Calibri"/>
          <w:bCs/>
          <w:iCs/>
          <w:sz w:val="22"/>
          <w:szCs w:val="22"/>
          <w:lang w:eastAsia="en-US"/>
        </w:rPr>
      </w:pPr>
      <w:r w:rsidRPr="00D81B1A">
        <w:rPr>
          <w:rFonts w:eastAsia="Calibri"/>
          <w:bCs/>
          <w:iCs/>
          <w:sz w:val="22"/>
          <w:szCs w:val="22"/>
          <w:lang w:eastAsia="en-US"/>
        </w:rPr>
        <w:t>Список литературы</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1. Субботин, О.С. Храмовое зодчество Кубани и культурное заимствование славяно-византийских традиций [Текст] / О.С. Су</w:t>
      </w:r>
      <w:r w:rsidRPr="00D81B1A">
        <w:rPr>
          <w:rFonts w:eastAsia="Calibri"/>
          <w:bCs/>
          <w:iCs/>
          <w:sz w:val="22"/>
          <w:szCs w:val="22"/>
          <w:lang w:eastAsia="en-US"/>
        </w:rPr>
        <w:t>б</w:t>
      </w:r>
      <w:r w:rsidRPr="00D81B1A">
        <w:rPr>
          <w:rFonts w:eastAsia="Calibri"/>
          <w:bCs/>
          <w:iCs/>
          <w:sz w:val="22"/>
          <w:szCs w:val="22"/>
          <w:lang w:eastAsia="en-US"/>
        </w:rPr>
        <w:t>ботин // Жилищное строительство. – 2012. – № 1. – С. 45-47.</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2. Субботин, О.С. История архитектуры православных храмов Черноморского побережья России [Текст] / О.С. Субботин // Ж</w:t>
      </w:r>
      <w:r w:rsidRPr="00D81B1A">
        <w:rPr>
          <w:rFonts w:eastAsia="Calibri"/>
          <w:bCs/>
          <w:iCs/>
          <w:sz w:val="22"/>
          <w:szCs w:val="22"/>
          <w:lang w:eastAsia="en-US"/>
        </w:rPr>
        <w:t>и</w:t>
      </w:r>
      <w:r w:rsidRPr="00D81B1A">
        <w:rPr>
          <w:rFonts w:eastAsia="Calibri"/>
          <w:bCs/>
          <w:iCs/>
          <w:sz w:val="22"/>
          <w:szCs w:val="22"/>
          <w:lang w:eastAsia="en-US"/>
        </w:rPr>
        <w:t>лищное строительство. – 2013. – № 10. – С. 18-22.</w:t>
      </w:r>
    </w:p>
    <w:p w:rsidR="00102687" w:rsidRPr="003C00E9" w:rsidRDefault="00D81B1A" w:rsidP="003C00E9">
      <w:pPr>
        <w:ind w:firstLine="425"/>
        <w:jc w:val="both"/>
        <w:rPr>
          <w:rFonts w:eastAsia="Calibri"/>
          <w:lang w:eastAsia="en-US"/>
        </w:rPr>
      </w:pPr>
      <w:r w:rsidRPr="00D81B1A">
        <w:rPr>
          <w:rFonts w:eastAsia="Calibri"/>
          <w:bCs/>
          <w:iCs/>
          <w:sz w:val="22"/>
          <w:szCs w:val="22"/>
          <w:lang w:eastAsia="en-US"/>
        </w:rPr>
        <w:t>3. Субботин, О.С. Памятники архитектурного наследия Т</w:t>
      </w:r>
      <w:r w:rsidRPr="00D81B1A">
        <w:rPr>
          <w:rFonts w:eastAsia="Calibri"/>
          <w:bCs/>
          <w:iCs/>
          <w:sz w:val="22"/>
          <w:szCs w:val="22"/>
          <w:lang w:eastAsia="en-US"/>
        </w:rPr>
        <w:t>о</w:t>
      </w:r>
      <w:r w:rsidRPr="00D81B1A">
        <w:rPr>
          <w:rFonts w:eastAsia="Calibri"/>
          <w:bCs/>
          <w:iCs/>
          <w:sz w:val="22"/>
          <w:szCs w:val="22"/>
          <w:lang w:eastAsia="en-US"/>
        </w:rPr>
        <w:t>больска [Текст] / О.С. Субботин // Жилищное строительство. – 2011. – № 10. – С. 48-50.</w:t>
      </w:r>
    </w:p>
    <w:p w:rsidR="00102687" w:rsidRDefault="00102687" w:rsidP="00102687">
      <w:pPr>
        <w:jc w:val="both"/>
        <w:rPr>
          <w:sz w:val="22"/>
          <w:szCs w:val="22"/>
          <w:lang w:eastAsia="en-US"/>
        </w:rPr>
      </w:pPr>
      <w:r w:rsidRPr="00281602">
        <w:rPr>
          <w:rFonts w:eastAsia="Calibri"/>
          <w:sz w:val="24"/>
          <w:szCs w:val="24"/>
          <w:lang w:eastAsia="en-US"/>
        </w:rPr>
        <w:lastRenderedPageBreak/>
        <w:t xml:space="preserve">УДК </w:t>
      </w:r>
      <w:r w:rsidRPr="00281602">
        <w:rPr>
          <w:sz w:val="22"/>
          <w:szCs w:val="22"/>
          <w:lang w:eastAsia="en-US"/>
        </w:rPr>
        <w:t>699.844</w:t>
      </w:r>
    </w:p>
    <w:p w:rsidR="003C00E9" w:rsidRPr="00281602" w:rsidRDefault="003C00E9" w:rsidP="00102687">
      <w:pPr>
        <w:jc w:val="both"/>
        <w:rPr>
          <w:sz w:val="22"/>
          <w:szCs w:val="22"/>
          <w:lang w:eastAsia="en-US"/>
        </w:rPr>
      </w:pPr>
    </w:p>
    <w:p w:rsidR="00102687" w:rsidRPr="00281602"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281602">
        <w:rPr>
          <w:b/>
          <w:sz w:val="24"/>
          <w:szCs w:val="24"/>
        </w:rPr>
        <w:t xml:space="preserve">Определение пригодности территорий для строительства зданий при воздействии транспортного шума </w:t>
      </w:r>
      <w:r w:rsidRPr="00281602">
        <w:rPr>
          <w:sz w:val="20"/>
          <w:szCs w:val="20"/>
        </w:rPr>
        <w:t xml:space="preserve">     </w:t>
      </w:r>
    </w:p>
    <w:p w:rsidR="00102687" w:rsidRPr="00281602" w:rsidRDefault="00102687" w:rsidP="00102687">
      <w:pPr>
        <w:jc w:val="center"/>
        <w:rPr>
          <w:rFonts w:eastAsia="Calibri"/>
          <w:b/>
          <w:sz w:val="24"/>
          <w:szCs w:val="24"/>
          <w:u w:val="single"/>
          <w:lang w:val="en-US" w:eastAsia="en-US"/>
        </w:rPr>
      </w:pPr>
      <w:r w:rsidRPr="00281602">
        <w:rPr>
          <w:rFonts w:eastAsia="Calibri"/>
          <w:b/>
          <w:color w:val="212121"/>
          <w:sz w:val="24"/>
          <w:szCs w:val="24"/>
          <w:shd w:val="clear" w:color="auto" w:fill="FFFFFF"/>
          <w:lang w:val="en-US" w:eastAsia="en-US"/>
        </w:rPr>
        <w:t xml:space="preserve">Determination of the suitability of territories for the </w:t>
      </w:r>
      <w:r w:rsidR="003C00E9" w:rsidRPr="003C00E9">
        <w:rPr>
          <w:rFonts w:eastAsia="Calibri"/>
          <w:b/>
          <w:color w:val="212121"/>
          <w:sz w:val="24"/>
          <w:szCs w:val="24"/>
          <w:shd w:val="clear" w:color="auto" w:fill="FFFFFF"/>
          <w:lang w:val="en-US" w:eastAsia="en-US"/>
        </w:rPr>
        <w:br/>
      </w:r>
      <w:r w:rsidRPr="00281602">
        <w:rPr>
          <w:rFonts w:eastAsia="Calibri"/>
          <w:b/>
          <w:color w:val="212121"/>
          <w:sz w:val="24"/>
          <w:szCs w:val="24"/>
          <w:shd w:val="clear" w:color="auto" w:fill="FFFFFF"/>
          <w:lang w:val="en-US" w:eastAsia="en-US"/>
        </w:rPr>
        <w:t>construction of buildings under the influence of transport noise</w:t>
      </w:r>
    </w:p>
    <w:p w:rsidR="003C00E9" w:rsidRPr="00024398" w:rsidRDefault="003C00E9" w:rsidP="00102687">
      <w:pPr>
        <w:ind w:left="4248" w:firstLine="708"/>
        <w:jc w:val="center"/>
        <w:rPr>
          <w:rFonts w:eastAsia="Calibri"/>
          <w:sz w:val="22"/>
          <w:szCs w:val="22"/>
          <w:lang w:val="en-US" w:eastAsia="en-US"/>
        </w:rPr>
      </w:pPr>
    </w:p>
    <w:p w:rsidR="00102687" w:rsidRPr="00281602" w:rsidRDefault="00102687" w:rsidP="003C00E9">
      <w:pPr>
        <w:ind w:left="4248" w:firstLine="708"/>
        <w:jc w:val="right"/>
        <w:rPr>
          <w:rFonts w:eastAsia="Calibri"/>
          <w:sz w:val="22"/>
          <w:szCs w:val="22"/>
          <w:lang w:eastAsia="en-US"/>
        </w:rPr>
      </w:pPr>
      <w:r w:rsidRPr="00281602">
        <w:rPr>
          <w:rFonts w:eastAsia="Calibri"/>
          <w:sz w:val="22"/>
          <w:szCs w:val="22"/>
          <w:lang w:eastAsia="en-US"/>
        </w:rPr>
        <w:t>Гузов Н. О.,</w:t>
      </w:r>
    </w:p>
    <w:p w:rsidR="00102687" w:rsidRPr="00281602" w:rsidRDefault="00102687" w:rsidP="003C00E9">
      <w:pPr>
        <w:ind w:left="2268"/>
        <w:jc w:val="right"/>
        <w:rPr>
          <w:rFonts w:eastAsia="Calibri"/>
          <w:sz w:val="22"/>
          <w:szCs w:val="22"/>
          <w:lang w:eastAsia="en-US"/>
        </w:rPr>
      </w:pPr>
      <w:r w:rsidRPr="00281602">
        <w:rPr>
          <w:rFonts w:eastAsia="Calibri"/>
          <w:sz w:val="22"/>
          <w:szCs w:val="22"/>
          <w:lang w:eastAsia="en-US"/>
        </w:rPr>
        <w:t>студент 1-го курса ма</w:t>
      </w:r>
      <w:r w:rsidR="003C00E9">
        <w:rPr>
          <w:rFonts w:eastAsia="Calibri"/>
          <w:sz w:val="22"/>
          <w:szCs w:val="22"/>
          <w:lang w:eastAsia="en-US"/>
        </w:rPr>
        <w:t>гистратуры</w:t>
      </w:r>
    </w:p>
    <w:p w:rsidR="00102687" w:rsidRPr="00281602" w:rsidRDefault="00102687" w:rsidP="003C00E9">
      <w:pPr>
        <w:ind w:left="2268"/>
        <w:jc w:val="right"/>
        <w:rPr>
          <w:rFonts w:eastAsia="Calibri"/>
          <w:sz w:val="22"/>
          <w:szCs w:val="22"/>
          <w:lang w:eastAsia="en-US"/>
        </w:rPr>
      </w:pPr>
      <w:r w:rsidRPr="00281602">
        <w:rPr>
          <w:rFonts w:eastAsia="Calibri"/>
          <w:sz w:val="22"/>
          <w:szCs w:val="22"/>
          <w:lang w:eastAsia="en-US"/>
        </w:rPr>
        <w:t>архитек</w:t>
      </w:r>
      <w:r w:rsidR="003C00E9">
        <w:rPr>
          <w:rFonts w:eastAsia="Calibri"/>
          <w:sz w:val="22"/>
          <w:szCs w:val="22"/>
          <w:lang w:eastAsia="en-US"/>
        </w:rPr>
        <w:t>турно-строительного факультета</w:t>
      </w:r>
    </w:p>
    <w:p w:rsidR="003C00E9" w:rsidRDefault="00102687" w:rsidP="003C00E9">
      <w:pPr>
        <w:ind w:left="2268"/>
        <w:jc w:val="right"/>
        <w:rPr>
          <w:rFonts w:eastAsia="Calibri"/>
          <w:sz w:val="22"/>
          <w:szCs w:val="22"/>
          <w:lang w:eastAsia="en-US"/>
        </w:rPr>
      </w:pPr>
      <w:r w:rsidRPr="00281602">
        <w:rPr>
          <w:rFonts w:eastAsia="Calibri"/>
          <w:sz w:val="22"/>
          <w:szCs w:val="22"/>
          <w:lang w:eastAsia="en-US"/>
        </w:rPr>
        <w:t>Куб</w:t>
      </w:r>
      <w:r w:rsidR="003C00E9">
        <w:rPr>
          <w:rFonts w:eastAsia="Calibri"/>
          <w:sz w:val="22"/>
          <w:szCs w:val="22"/>
          <w:lang w:eastAsia="en-US"/>
        </w:rPr>
        <w:t>анский государственный аграрный</w:t>
      </w:r>
    </w:p>
    <w:p w:rsidR="00102687" w:rsidRPr="00281602" w:rsidRDefault="00102687" w:rsidP="003C00E9">
      <w:pPr>
        <w:ind w:left="2268"/>
        <w:jc w:val="right"/>
        <w:rPr>
          <w:rFonts w:eastAsia="Calibri"/>
          <w:sz w:val="22"/>
          <w:szCs w:val="22"/>
          <w:lang w:eastAsia="en-US"/>
        </w:rPr>
      </w:pPr>
      <w:r w:rsidRPr="00281602">
        <w:rPr>
          <w:rFonts w:eastAsia="Calibri"/>
          <w:sz w:val="22"/>
          <w:szCs w:val="22"/>
          <w:lang w:eastAsia="en-US"/>
        </w:rPr>
        <w:t>университет имени И.Т. Трубилина</w:t>
      </w:r>
    </w:p>
    <w:p w:rsidR="00102687" w:rsidRPr="00281602" w:rsidRDefault="00102687" w:rsidP="003C00E9">
      <w:pPr>
        <w:jc w:val="both"/>
        <w:rPr>
          <w:rFonts w:eastAsia="Calibri"/>
          <w:sz w:val="22"/>
          <w:szCs w:val="22"/>
          <w:lang w:eastAsia="en-US"/>
        </w:rPr>
      </w:pPr>
    </w:p>
    <w:p w:rsidR="00102687" w:rsidRPr="00281602" w:rsidRDefault="00102687" w:rsidP="003C00E9">
      <w:pPr>
        <w:ind w:firstLine="426"/>
        <w:jc w:val="both"/>
        <w:rPr>
          <w:rFonts w:eastAsia="Calibri"/>
          <w:sz w:val="22"/>
          <w:szCs w:val="22"/>
          <w:lang w:eastAsia="en-US"/>
        </w:rPr>
      </w:pPr>
      <w:r w:rsidRPr="00281602">
        <w:rPr>
          <w:rFonts w:eastAsia="Calibri"/>
          <w:sz w:val="22"/>
          <w:szCs w:val="22"/>
          <w:lang w:eastAsia="en-US"/>
        </w:rPr>
        <w:t>АННОТАЦИЯ</w:t>
      </w:r>
      <w:r w:rsidR="003C00E9">
        <w:rPr>
          <w:rFonts w:eastAsia="Calibri"/>
          <w:sz w:val="22"/>
          <w:szCs w:val="22"/>
          <w:lang w:eastAsia="en-US"/>
        </w:rPr>
        <w:t>:</w:t>
      </w:r>
      <w:r w:rsidRPr="00281602">
        <w:rPr>
          <w:rFonts w:eastAsia="Calibri"/>
          <w:b/>
          <w:sz w:val="22"/>
          <w:szCs w:val="22"/>
          <w:lang w:eastAsia="en-US"/>
        </w:rPr>
        <w:t xml:space="preserve"> </w:t>
      </w:r>
      <w:r w:rsidRPr="00281602">
        <w:rPr>
          <w:rFonts w:eastAsia="Calibri"/>
          <w:sz w:val="22"/>
          <w:szCs w:val="22"/>
          <w:lang w:eastAsia="en-US"/>
        </w:rPr>
        <w:t>Рассмотрена актуальность проблема защиты жилой застройки и помещений от шума на угловых участках в г. Краснодаре. Для территорий, расположенных на перекрестках, тр</w:t>
      </w:r>
      <w:r w:rsidRPr="00281602">
        <w:rPr>
          <w:rFonts w:eastAsia="Calibri"/>
          <w:sz w:val="22"/>
          <w:szCs w:val="22"/>
          <w:lang w:eastAsia="en-US"/>
        </w:rPr>
        <w:t>е</w:t>
      </w:r>
      <w:r w:rsidRPr="00281602">
        <w:rPr>
          <w:rFonts w:eastAsia="Calibri"/>
          <w:sz w:val="22"/>
          <w:szCs w:val="22"/>
          <w:lang w:eastAsia="en-US"/>
        </w:rPr>
        <w:t>буется разработка дополнительных рекомендаций, так как сам пр</w:t>
      </w:r>
      <w:r w:rsidRPr="00281602">
        <w:rPr>
          <w:rFonts w:eastAsia="Calibri"/>
          <w:sz w:val="22"/>
          <w:szCs w:val="22"/>
          <w:lang w:eastAsia="en-US"/>
        </w:rPr>
        <w:t>о</w:t>
      </w:r>
      <w:r w:rsidRPr="00281602">
        <w:rPr>
          <w:rFonts w:eastAsia="Calibri"/>
          <w:sz w:val="22"/>
          <w:szCs w:val="22"/>
          <w:lang w:eastAsia="en-US"/>
        </w:rPr>
        <w:t>цесс распространения звука от источников более сложный.</w:t>
      </w:r>
      <w:r w:rsidRPr="00281602">
        <w:rPr>
          <w:rFonts w:eastAsia="Calibri"/>
          <w:color w:val="000000"/>
          <w:sz w:val="22"/>
          <w:szCs w:val="22"/>
          <w:lang w:eastAsia="en-US"/>
        </w:rPr>
        <w:t xml:space="preserve"> </w:t>
      </w:r>
    </w:p>
    <w:p w:rsidR="00102687" w:rsidRPr="00281602" w:rsidRDefault="003C00E9" w:rsidP="003C0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Pr>
          <w:sz w:val="22"/>
          <w:szCs w:val="22"/>
          <w:lang w:val="en-US"/>
        </w:rPr>
        <w:t>ANNOTATION</w:t>
      </w:r>
      <w:r w:rsidRPr="003C00E9">
        <w:rPr>
          <w:sz w:val="22"/>
          <w:szCs w:val="22"/>
          <w:lang w:val="en-US"/>
        </w:rPr>
        <w:t>:</w:t>
      </w:r>
      <w:r w:rsidR="00102687" w:rsidRPr="00281602">
        <w:rPr>
          <w:sz w:val="22"/>
          <w:szCs w:val="22"/>
          <w:lang w:val="en-US"/>
        </w:rPr>
        <w:t xml:space="preserve"> </w:t>
      </w:r>
      <w:r w:rsidR="00102687" w:rsidRPr="00281602">
        <w:rPr>
          <w:color w:val="212121"/>
          <w:sz w:val="22"/>
          <w:szCs w:val="22"/>
          <w:lang w:val="en-US"/>
        </w:rPr>
        <w:t>The problem of protection of residential buildings and premises against noise at corner sites in the city of Krasnodar is co</w:t>
      </w:r>
      <w:r w:rsidR="00102687" w:rsidRPr="00281602">
        <w:rPr>
          <w:color w:val="212121"/>
          <w:sz w:val="22"/>
          <w:szCs w:val="22"/>
          <w:lang w:val="en-US"/>
        </w:rPr>
        <w:t>n</w:t>
      </w:r>
      <w:r w:rsidR="00102687" w:rsidRPr="00281602">
        <w:rPr>
          <w:color w:val="212121"/>
          <w:sz w:val="22"/>
          <w:szCs w:val="22"/>
          <w:lang w:val="en-US"/>
        </w:rPr>
        <w:t>sidered topical. For territories located at intersections, the development of additional recommendations is required, since the process of sound propagation from sources is more complex.</w:t>
      </w:r>
    </w:p>
    <w:p w:rsidR="00102687" w:rsidRPr="00281602" w:rsidRDefault="00102687" w:rsidP="003C00E9">
      <w:pPr>
        <w:ind w:firstLine="426"/>
        <w:jc w:val="both"/>
        <w:rPr>
          <w:rFonts w:eastAsia="Calibri"/>
          <w:sz w:val="22"/>
          <w:szCs w:val="22"/>
          <w:lang w:eastAsia="en-US"/>
        </w:rPr>
      </w:pPr>
      <w:r w:rsidRPr="00281602">
        <w:rPr>
          <w:rFonts w:eastAsia="Calibri"/>
          <w:sz w:val="22"/>
          <w:szCs w:val="22"/>
          <w:lang w:eastAsia="en-US"/>
        </w:rPr>
        <w:t>КЛЮЧЕВЫЕ СЛОВА:</w:t>
      </w:r>
      <w:r w:rsidRPr="00281602">
        <w:rPr>
          <w:rFonts w:eastAsia="Calibri"/>
          <w:b/>
          <w:sz w:val="22"/>
          <w:szCs w:val="22"/>
          <w:lang w:eastAsia="en-US"/>
        </w:rPr>
        <w:t xml:space="preserve"> </w:t>
      </w:r>
      <w:r w:rsidRPr="00281602">
        <w:rPr>
          <w:rFonts w:eastAsia="Calibri"/>
          <w:sz w:val="22"/>
          <w:szCs w:val="22"/>
          <w:lang w:eastAsia="en-US"/>
        </w:rPr>
        <w:t xml:space="preserve">шум, защиты от шума, </w:t>
      </w:r>
      <w:r w:rsidRPr="00281602">
        <w:rPr>
          <w:rFonts w:eastAsia="Calibri"/>
          <w:bCs/>
          <w:sz w:val="22"/>
          <w:szCs w:val="22"/>
          <w:lang w:eastAsia="en-US"/>
        </w:rPr>
        <w:t>теплоизоляция,</w:t>
      </w:r>
      <w:r w:rsidRPr="00281602">
        <w:rPr>
          <w:rFonts w:eastAsia="Calibri"/>
          <w:sz w:val="22"/>
          <w:szCs w:val="22"/>
          <w:lang w:eastAsia="en-US"/>
        </w:rPr>
        <w:t xml:space="preserve"> звукоизоляция, каркасно-обшивное ограждение.</w:t>
      </w:r>
    </w:p>
    <w:p w:rsidR="00102687" w:rsidRPr="00281602" w:rsidRDefault="00102687" w:rsidP="003C0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281602">
        <w:rPr>
          <w:sz w:val="22"/>
          <w:szCs w:val="22"/>
          <w:lang w:val="en-US"/>
        </w:rPr>
        <w:t xml:space="preserve">KEYWORDS: </w:t>
      </w:r>
      <w:r w:rsidRPr="00281602">
        <w:rPr>
          <w:color w:val="212121"/>
          <w:sz w:val="22"/>
          <w:szCs w:val="22"/>
          <w:lang w:val="en-US"/>
        </w:rPr>
        <w:t>noise, noise protection, heat insulation, sound ins</w:t>
      </w:r>
      <w:r w:rsidRPr="00281602">
        <w:rPr>
          <w:color w:val="212121"/>
          <w:sz w:val="22"/>
          <w:szCs w:val="22"/>
          <w:lang w:val="en-US"/>
        </w:rPr>
        <w:t>u</w:t>
      </w:r>
      <w:r w:rsidRPr="00281602">
        <w:rPr>
          <w:color w:val="212121"/>
          <w:sz w:val="22"/>
          <w:szCs w:val="22"/>
          <w:lang w:val="en-US"/>
        </w:rPr>
        <w:t>lation, frame-sheathed fencing.</w:t>
      </w:r>
    </w:p>
    <w:p w:rsidR="00102687" w:rsidRPr="00281602" w:rsidRDefault="00102687" w:rsidP="003C0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p>
    <w:p w:rsidR="00102687" w:rsidRPr="00281602" w:rsidRDefault="00102687" w:rsidP="003C0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281602">
        <w:rPr>
          <w:sz w:val="22"/>
          <w:szCs w:val="22"/>
        </w:rPr>
        <w:t xml:space="preserve">Актуальность проблемы шумового загрязнения состоит в том, что за последние десятилетия возрос уровень транспортного шума. Проблема защиты жилой застройки от шума является актуальной для многих городов нашей страны и в частности для г. Краснодара </w:t>
      </w:r>
      <w:r w:rsidRPr="00281602">
        <w:rPr>
          <w:bCs/>
          <w:sz w:val="22"/>
          <w:szCs w:val="22"/>
        </w:rPr>
        <w:t>[1]</w:t>
      </w:r>
      <w:r w:rsidRPr="00281602">
        <w:rPr>
          <w:sz w:val="22"/>
          <w:szCs w:val="22"/>
        </w:rPr>
        <w:t xml:space="preserve">. </w:t>
      </w:r>
    </w:p>
    <w:p w:rsidR="00102687" w:rsidRPr="00281602" w:rsidRDefault="00102687" w:rsidP="003C00E9">
      <w:pPr>
        <w:ind w:firstLine="426"/>
        <w:jc w:val="both"/>
        <w:rPr>
          <w:rFonts w:eastAsia="Calibri"/>
          <w:sz w:val="22"/>
          <w:szCs w:val="22"/>
          <w:lang w:eastAsia="en-US"/>
        </w:rPr>
      </w:pPr>
      <w:r w:rsidRPr="00281602">
        <w:rPr>
          <w:rFonts w:eastAsia="Calibri"/>
          <w:sz w:val="22"/>
          <w:szCs w:val="22"/>
          <w:lang w:eastAsia="en-US"/>
        </w:rPr>
        <w:t xml:space="preserve">Город Краснодар имеет сложную структуру транспортных </w:t>
      </w:r>
      <w:proofErr w:type="gramStart"/>
      <w:r w:rsidRPr="00281602">
        <w:rPr>
          <w:rFonts w:eastAsia="Calibri"/>
          <w:sz w:val="22"/>
          <w:szCs w:val="22"/>
          <w:lang w:eastAsia="en-US"/>
        </w:rPr>
        <w:t>м</w:t>
      </w:r>
      <w:r w:rsidRPr="00281602">
        <w:rPr>
          <w:rFonts w:eastAsia="Calibri"/>
          <w:sz w:val="22"/>
          <w:szCs w:val="22"/>
          <w:lang w:eastAsia="en-US"/>
        </w:rPr>
        <w:t>а</w:t>
      </w:r>
      <w:r w:rsidRPr="00281602">
        <w:rPr>
          <w:rFonts w:eastAsia="Calibri"/>
          <w:sz w:val="22"/>
          <w:szCs w:val="22"/>
          <w:lang w:eastAsia="en-US"/>
        </w:rPr>
        <w:t>гистралей</w:t>
      </w:r>
      <w:proofErr w:type="gramEnd"/>
      <w:r w:rsidRPr="00281602">
        <w:rPr>
          <w:rFonts w:eastAsia="Calibri"/>
          <w:sz w:val="22"/>
          <w:szCs w:val="22"/>
          <w:lang w:eastAsia="en-US"/>
        </w:rPr>
        <w:t xml:space="preserve"> по которым передвигаются грузовые, легковые автом</w:t>
      </w:r>
      <w:r w:rsidRPr="00281602">
        <w:rPr>
          <w:rFonts w:eastAsia="Calibri"/>
          <w:sz w:val="22"/>
          <w:szCs w:val="22"/>
          <w:lang w:eastAsia="en-US"/>
        </w:rPr>
        <w:t>о</w:t>
      </w:r>
      <w:r w:rsidRPr="00281602">
        <w:rPr>
          <w:rFonts w:eastAsia="Calibri"/>
          <w:sz w:val="22"/>
          <w:szCs w:val="22"/>
          <w:lang w:eastAsia="en-US"/>
        </w:rPr>
        <w:t xml:space="preserve">били, троллейбусы, трамваи, в центральной части города находятся </w:t>
      </w:r>
      <w:r w:rsidRPr="00281602">
        <w:rPr>
          <w:rFonts w:eastAsia="Calibri"/>
          <w:sz w:val="22"/>
          <w:szCs w:val="22"/>
          <w:lang w:eastAsia="en-US"/>
        </w:rPr>
        <w:lastRenderedPageBreak/>
        <w:t xml:space="preserve">две железнодорожных вокзала, а в непосредственной близости от селитебной застройки расположены два аэродрома. Проводимые ранее исследования в отдельных районах города показали, что шум создаваемый транспортом  значительно превышает нормативные значения </w:t>
      </w:r>
      <w:r w:rsidRPr="00281602">
        <w:rPr>
          <w:rFonts w:eastAsia="Calibri"/>
          <w:bCs/>
          <w:sz w:val="22"/>
          <w:szCs w:val="22"/>
          <w:lang w:eastAsia="en-US"/>
        </w:rPr>
        <w:t>[2, 3]</w:t>
      </w:r>
      <w:r w:rsidRPr="00281602">
        <w:rPr>
          <w:rFonts w:eastAsia="Calibri"/>
          <w:sz w:val="22"/>
          <w:szCs w:val="22"/>
          <w:lang w:eastAsia="en-US"/>
        </w:rPr>
        <w:t>.</w:t>
      </w: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Решать данную проблему нужно комплексно в нескольких направлениях, одним из которых является защита помещений зд</w:t>
      </w:r>
      <w:r w:rsidRPr="00281602">
        <w:rPr>
          <w:rFonts w:eastAsia="Calibri"/>
          <w:sz w:val="22"/>
          <w:szCs w:val="22"/>
          <w:lang w:eastAsia="en-US"/>
        </w:rPr>
        <w:t>а</w:t>
      </w:r>
      <w:r w:rsidRPr="00281602">
        <w:rPr>
          <w:rFonts w:eastAsia="Calibri"/>
          <w:sz w:val="22"/>
          <w:szCs w:val="22"/>
          <w:lang w:eastAsia="en-US"/>
        </w:rPr>
        <w:t>ний от проникновения шума с прилегающей территории. В после</w:t>
      </w:r>
      <w:r w:rsidRPr="00281602">
        <w:rPr>
          <w:rFonts w:eastAsia="Calibri"/>
          <w:sz w:val="22"/>
          <w:szCs w:val="22"/>
          <w:lang w:eastAsia="en-US"/>
        </w:rPr>
        <w:t>д</w:t>
      </w:r>
      <w:r w:rsidRPr="00281602">
        <w:rPr>
          <w:rFonts w:eastAsia="Calibri"/>
          <w:sz w:val="22"/>
          <w:szCs w:val="22"/>
          <w:lang w:eastAsia="en-US"/>
        </w:rPr>
        <w:t>нем случае интерес представляет изучение современных раци</w:t>
      </w:r>
      <w:r w:rsidRPr="00281602">
        <w:rPr>
          <w:rFonts w:eastAsia="Calibri"/>
          <w:sz w:val="22"/>
          <w:szCs w:val="22"/>
          <w:lang w:eastAsia="en-US"/>
        </w:rPr>
        <w:t>о</w:t>
      </w:r>
      <w:r w:rsidRPr="00281602">
        <w:rPr>
          <w:rFonts w:eastAsia="Calibri"/>
          <w:sz w:val="22"/>
          <w:szCs w:val="22"/>
          <w:lang w:eastAsia="en-US"/>
        </w:rPr>
        <w:t xml:space="preserve">нальных решений. </w:t>
      </w:r>
    </w:p>
    <w:p w:rsidR="00102687" w:rsidRPr="00281602" w:rsidRDefault="00102687" w:rsidP="00102687">
      <w:pPr>
        <w:shd w:val="clear" w:color="auto" w:fill="FFFFFF"/>
        <w:ind w:firstLine="426"/>
        <w:jc w:val="both"/>
        <w:rPr>
          <w:rFonts w:eastAsia="Calibri"/>
          <w:sz w:val="22"/>
          <w:szCs w:val="22"/>
          <w:lang w:eastAsia="en-US"/>
        </w:rPr>
      </w:pPr>
      <w:r w:rsidRPr="00281602">
        <w:rPr>
          <w:rFonts w:eastAsia="Calibri"/>
          <w:sz w:val="22"/>
          <w:szCs w:val="22"/>
          <w:lang w:eastAsia="en-US"/>
        </w:rPr>
        <w:t xml:space="preserve">Выполненные Тарасовой Ольгой Григорьевной и </w:t>
      </w:r>
      <w:r w:rsidRPr="00281602">
        <w:rPr>
          <w:rFonts w:eastAsia="Calibri"/>
          <w:bCs/>
          <w:sz w:val="22"/>
          <w:szCs w:val="22"/>
          <w:lang w:eastAsia="en-US"/>
        </w:rPr>
        <w:t xml:space="preserve"> </w:t>
      </w:r>
      <w:r w:rsidRPr="00281602">
        <w:rPr>
          <w:rFonts w:eastAsia="Calibri"/>
          <w:sz w:val="22"/>
          <w:szCs w:val="22"/>
          <w:lang w:eastAsia="en-US"/>
        </w:rPr>
        <w:t>Талицкой Анастасией Александровной исследования позволяют сделать з</w:t>
      </w:r>
      <w:r w:rsidRPr="00281602">
        <w:rPr>
          <w:rFonts w:eastAsia="Calibri"/>
          <w:sz w:val="22"/>
          <w:szCs w:val="22"/>
          <w:lang w:eastAsia="en-US"/>
        </w:rPr>
        <w:t>а</w:t>
      </w:r>
      <w:r w:rsidRPr="00281602">
        <w:rPr>
          <w:rFonts w:eastAsia="Calibri"/>
          <w:sz w:val="22"/>
          <w:szCs w:val="22"/>
          <w:lang w:eastAsia="en-US"/>
        </w:rPr>
        <w:t>ключение о том, что «Испытания в лабораторных условиях карка</w:t>
      </w:r>
      <w:r w:rsidRPr="00281602">
        <w:rPr>
          <w:rFonts w:eastAsia="Calibri"/>
          <w:sz w:val="22"/>
          <w:szCs w:val="22"/>
          <w:lang w:eastAsia="en-US"/>
        </w:rPr>
        <w:t>с</w:t>
      </w:r>
      <w:r w:rsidRPr="00281602">
        <w:rPr>
          <w:rFonts w:eastAsia="Calibri"/>
          <w:sz w:val="22"/>
          <w:szCs w:val="22"/>
          <w:lang w:eastAsia="en-US"/>
        </w:rPr>
        <w:t xml:space="preserve">но-обшивных конструкций </w:t>
      </w:r>
      <w:r w:rsidRPr="00281602">
        <w:rPr>
          <w:rFonts w:eastAsia="Calibri"/>
          <w:bCs/>
          <w:sz w:val="22"/>
          <w:szCs w:val="22"/>
          <w:lang w:eastAsia="en-US"/>
        </w:rPr>
        <w:t>с заполнением полости каркаса совр</w:t>
      </w:r>
      <w:r w:rsidRPr="00281602">
        <w:rPr>
          <w:rFonts w:eastAsia="Calibri"/>
          <w:bCs/>
          <w:sz w:val="22"/>
          <w:szCs w:val="22"/>
          <w:lang w:eastAsia="en-US"/>
        </w:rPr>
        <w:t>е</w:t>
      </w:r>
      <w:r w:rsidRPr="00281602">
        <w:rPr>
          <w:rFonts w:eastAsia="Calibri"/>
          <w:bCs/>
          <w:sz w:val="22"/>
          <w:szCs w:val="22"/>
          <w:lang w:eastAsia="en-US"/>
        </w:rPr>
        <w:t>менными изоляционными материалами, показали, что эти матери</w:t>
      </w:r>
      <w:r w:rsidRPr="00281602">
        <w:rPr>
          <w:rFonts w:eastAsia="Calibri"/>
          <w:bCs/>
          <w:sz w:val="22"/>
          <w:szCs w:val="22"/>
          <w:lang w:eastAsia="en-US"/>
        </w:rPr>
        <w:t>а</w:t>
      </w:r>
      <w:r w:rsidRPr="00281602">
        <w:rPr>
          <w:rFonts w:eastAsia="Calibri"/>
          <w:bCs/>
          <w:sz w:val="22"/>
          <w:szCs w:val="22"/>
          <w:lang w:eastAsia="en-US"/>
        </w:rPr>
        <w:t>лы могут эффективно использоваться не только для теплоизоляции, но и для звукоизоляции».</w:t>
      </w:r>
      <w:r w:rsidRPr="00281602">
        <w:rPr>
          <w:rFonts w:eastAsia="Calibri"/>
          <w:sz w:val="22"/>
          <w:szCs w:val="22"/>
          <w:lang w:eastAsia="en-US"/>
        </w:rPr>
        <w:t xml:space="preserve"> </w:t>
      </w:r>
      <w:proofErr w:type="gramStart"/>
      <w:r w:rsidRPr="00281602">
        <w:rPr>
          <w:rFonts w:eastAsia="Calibri"/>
          <w:sz w:val="22"/>
          <w:szCs w:val="22"/>
          <w:lang w:eastAsia="en-US"/>
        </w:rPr>
        <w:t>(Из статьи «Сравнение звукоизоляцио</w:t>
      </w:r>
      <w:r w:rsidRPr="00281602">
        <w:rPr>
          <w:rFonts w:eastAsia="Calibri"/>
          <w:sz w:val="22"/>
          <w:szCs w:val="22"/>
          <w:lang w:eastAsia="en-US"/>
        </w:rPr>
        <w:t>н</w:t>
      </w:r>
      <w:r w:rsidRPr="00281602">
        <w:rPr>
          <w:rFonts w:eastAsia="Calibri"/>
          <w:sz w:val="22"/>
          <w:szCs w:val="22"/>
          <w:lang w:eastAsia="en-US"/>
        </w:rPr>
        <w:t>ных свойств многослойных перегородок при заполнении воздушной полости тремя видами материалов примерно одинаковой плотности.</w:t>
      </w:r>
      <w:proofErr w:type="gramEnd"/>
      <w:r w:rsidRPr="00281602">
        <w:rPr>
          <w:rFonts w:eastAsia="Calibri"/>
          <w:sz w:val="22"/>
          <w:szCs w:val="22"/>
          <w:lang w:eastAsia="en-US"/>
        </w:rPr>
        <w:t xml:space="preserve"> Тарасова Ольга Григорьевна и Талицкая Анастасия Александровна»</w:t>
      </w:r>
      <w:r w:rsidRPr="00281602">
        <w:rPr>
          <w:rFonts w:eastAsia="Calibri"/>
          <w:bCs/>
          <w:sz w:val="22"/>
          <w:szCs w:val="22"/>
          <w:lang w:eastAsia="en-US"/>
        </w:rPr>
        <w:t xml:space="preserve"> [4]</w:t>
      </w:r>
      <w:r w:rsidRPr="00281602">
        <w:rPr>
          <w:rFonts w:eastAsia="Calibri"/>
          <w:sz w:val="22"/>
          <w:szCs w:val="22"/>
          <w:lang w:eastAsia="en-US"/>
        </w:rPr>
        <w:t>.</w:t>
      </w: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Для осуществления этих мероприятий необходимо знать ст</w:t>
      </w:r>
      <w:r w:rsidRPr="00281602">
        <w:rPr>
          <w:rFonts w:eastAsia="Calibri"/>
          <w:sz w:val="22"/>
          <w:szCs w:val="22"/>
          <w:lang w:eastAsia="en-US"/>
        </w:rPr>
        <w:t>е</w:t>
      </w:r>
      <w:r w:rsidRPr="00281602">
        <w:rPr>
          <w:rFonts w:eastAsia="Calibri"/>
          <w:sz w:val="22"/>
          <w:szCs w:val="22"/>
          <w:lang w:eastAsia="en-US"/>
        </w:rPr>
        <w:t>пень загрязнения шумом участков предназначенных для строител</w:t>
      </w:r>
      <w:r w:rsidRPr="00281602">
        <w:rPr>
          <w:rFonts w:eastAsia="Calibri"/>
          <w:sz w:val="22"/>
          <w:szCs w:val="22"/>
          <w:lang w:eastAsia="en-US"/>
        </w:rPr>
        <w:t>ь</w:t>
      </w:r>
      <w:r w:rsidRPr="00281602">
        <w:rPr>
          <w:rFonts w:eastAsia="Calibri"/>
          <w:sz w:val="22"/>
          <w:szCs w:val="22"/>
          <w:lang w:eastAsia="en-US"/>
        </w:rPr>
        <w:t>ства. Следует отметить, что в большинстве случаев рекомендации по проведению мероприятий по шумовой защите относятся к учас</w:t>
      </w:r>
      <w:r w:rsidRPr="00281602">
        <w:rPr>
          <w:rFonts w:eastAsia="Calibri"/>
          <w:sz w:val="22"/>
          <w:szCs w:val="22"/>
          <w:lang w:eastAsia="en-US"/>
        </w:rPr>
        <w:t>т</w:t>
      </w:r>
      <w:r w:rsidRPr="00281602">
        <w:rPr>
          <w:rFonts w:eastAsia="Calibri"/>
          <w:sz w:val="22"/>
          <w:szCs w:val="22"/>
          <w:lang w:eastAsia="en-US"/>
        </w:rPr>
        <w:t>кам, расположенным у прямолинейной части транспортной маг</w:t>
      </w:r>
      <w:r w:rsidRPr="00281602">
        <w:rPr>
          <w:rFonts w:eastAsia="Calibri"/>
          <w:sz w:val="22"/>
          <w:szCs w:val="22"/>
          <w:lang w:eastAsia="en-US"/>
        </w:rPr>
        <w:t>и</w:t>
      </w:r>
      <w:r w:rsidRPr="00281602">
        <w:rPr>
          <w:rFonts w:eastAsia="Calibri"/>
          <w:sz w:val="22"/>
          <w:szCs w:val="22"/>
          <w:lang w:eastAsia="en-US"/>
        </w:rPr>
        <w:t xml:space="preserve">страли. Для территорий, расположенных на перекрестках, требуется разработка дополнительных рекомендаций, так как сам процесс распространения звука от источников более сложный. </w:t>
      </w:r>
    </w:p>
    <w:p w:rsidR="00DE5CD6" w:rsidRDefault="00102687" w:rsidP="00DE5CD6">
      <w:pPr>
        <w:ind w:firstLine="426"/>
        <w:jc w:val="both"/>
        <w:rPr>
          <w:rFonts w:eastAsia="Calibri"/>
          <w:color w:val="000000"/>
          <w:sz w:val="22"/>
          <w:szCs w:val="22"/>
          <w:lang w:eastAsia="en-US"/>
        </w:rPr>
      </w:pPr>
      <w:r w:rsidRPr="00281602">
        <w:rPr>
          <w:rFonts w:eastAsia="Calibri"/>
          <w:sz w:val="22"/>
          <w:szCs w:val="22"/>
          <w:lang w:eastAsia="en-US"/>
        </w:rPr>
        <w:t>Характерным примером является территория на углу ул. Я</w:t>
      </w:r>
      <w:r w:rsidRPr="00281602">
        <w:rPr>
          <w:rFonts w:eastAsia="Calibri"/>
          <w:sz w:val="22"/>
          <w:szCs w:val="22"/>
          <w:lang w:eastAsia="en-US"/>
        </w:rPr>
        <w:t>л</w:t>
      </w:r>
      <w:r w:rsidRPr="00281602">
        <w:rPr>
          <w:rFonts w:eastAsia="Calibri"/>
          <w:sz w:val="22"/>
          <w:szCs w:val="22"/>
          <w:lang w:eastAsia="en-US"/>
        </w:rPr>
        <w:t>тинской и ул. Уральской  в г. Краснодаре. Оценка этого участка по пригодности для жилищного строительства представляет опред</w:t>
      </w:r>
      <w:r w:rsidRPr="00281602">
        <w:rPr>
          <w:rFonts w:eastAsia="Calibri"/>
          <w:sz w:val="22"/>
          <w:szCs w:val="22"/>
          <w:lang w:eastAsia="en-US"/>
        </w:rPr>
        <w:t>е</w:t>
      </w:r>
      <w:r w:rsidRPr="00281602">
        <w:rPr>
          <w:rFonts w:eastAsia="Calibri"/>
          <w:sz w:val="22"/>
          <w:szCs w:val="22"/>
          <w:lang w:eastAsia="en-US"/>
        </w:rPr>
        <w:t>ленный интерес. На примере этого участка можно разработать о</w:t>
      </w:r>
      <w:r w:rsidRPr="00281602">
        <w:rPr>
          <w:rFonts w:eastAsia="Calibri"/>
          <w:sz w:val="22"/>
          <w:szCs w:val="22"/>
          <w:lang w:eastAsia="en-US"/>
        </w:rPr>
        <w:t>б</w:t>
      </w:r>
      <w:r w:rsidRPr="00281602">
        <w:rPr>
          <w:rFonts w:eastAsia="Calibri"/>
          <w:sz w:val="22"/>
          <w:szCs w:val="22"/>
          <w:lang w:eastAsia="en-US"/>
        </w:rPr>
        <w:t>щие принципы оценки при угловом расположении, а так же рек</w:t>
      </w:r>
      <w:r w:rsidRPr="00281602">
        <w:rPr>
          <w:rFonts w:eastAsia="Calibri"/>
          <w:sz w:val="22"/>
          <w:szCs w:val="22"/>
          <w:lang w:eastAsia="en-US"/>
        </w:rPr>
        <w:t>о</w:t>
      </w:r>
      <w:r w:rsidRPr="00281602">
        <w:rPr>
          <w:rFonts w:eastAsia="Calibri"/>
          <w:sz w:val="22"/>
          <w:szCs w:val="22"/>
          <w:lang w:eastAsia="en-US"/>
        </w:rPr>
        <w:t>мендации по проектированию звукоизоляции ограждающих ко</w:t>
      </w:r>
      <w:r w:rsidRPr="00281602">
        <w:rPr>
          <w:rFonts w:eastAsia="Calibri"/>
          <w:sz w:val="22"/>
          <w:szCs w:val="22"/>
          <w:lang w:eastAsia="en-US"/>
        </w:rPr>
        <w:t>н</w:t>
      </w:r>
      <w:r w:rsidRPr="00281602">
        <w:rPr>
          <w:rFonts w:eastAsia="Calibri"/>
          <w:sz w:val="22"/>
          <w:szCs w:val="22"/>
          <w:lang w:eastAsia="en-US"/>
        </w:rPr>
        <w:t xml:space="preserve">струкций </w:t>
      </w:r>
      <w:r w:rsidRPr="00281602">
        <w:rPr>
          <w:rFonts w:eastAsia="Calibri"/>
          <w:color w:val="000000"/>
          <w:sz w:val="22"/>
          <w:szCs w:val="22"/>
          <w:lang w:eastAsia="en-US"/>
        </w:rPr>
        <w:t>в случае необходимости разработка рекомендаций по з</w:t>
      </w:r>
      <w:r w:rsidRPr="00281602">
        <w:rPr>
          <w:rFonts w:eastAsia="Calibri"/>
          <w:color w:val="000000"/>
          <w:sz w:val="22"/>
          <w:szCs w:val="22"/>
          <w:lang w:eastAsia="en-US"/>
        </w:rPr>
        <w:t>а</w:t>
      </w:r>
      <w:r w:rsidRPr="00281602">
        <w:rPr>
          <w:rFonts w:eastAsia="Calibri"/>
          <w:color w:val="000000"/>
          <w:sz w:val="22"/>
          <w:szCs w:val="22"/>
          <w:lang w:eastAsia="en-US"/>
        </w:rPr>
        <w:t>щите от транспортного шума.</w:t>
      </w:r>
    </w:p>
    <w:p w:rsidR="00E22BC2" w:rsidRPr="00281602" w:rsidRDefault="00E22BC2" w:rsidP="00DE5CD6">
      <w:pPr>
        <w:ind w:firstLine="426"/>
        <w:jc w:val="both"/>
        <w:rPr>
          <w:rFonts w:eastAsia="Calibri"/>
          <w:color w:val="000000"/>
          <w:sz w:val="22"/>
          <w:szCs w:val="22"/>
          <w:lang w:eastAsia="en-US"/>
        </w:rPr>
      </w:pPr>
    </w:p>
    <w:p w:rsidR="00102687" w:rsidRPr="00281602" w:rsidRDefault="00102687" w:rsidP="00102687">
      <w:pPr>
        <w:ind w:firstLine="426"/>
        <w:jc w:val="center"/>
        <w:rPr>
          <w:rFonts w:eastAsia="Calibri"/>
          <w:sz w:val="22"/>
          <w:szCs w:val="22"/>
          <w:lang w:eastAsia="en-US"/>
        </w:rPr>
      </w:pPr>
      <w:r w:rsidRPr="00281602">
        <w:rPr>
          <w:rFonts w:eastAsia="Calibri"/>
          <w:sz w:val="22"/>
          <w:szCs w:val="22"/>
          <w:lang w:eastAsia="en-US"/>
        </w:rPr>
        <w:lastRenderedPageBreak/>
        <w:t>Список литературы</w:t>
      </w:r>
    </w:p>
    <w:p w:rsidR="00102687" w:rsidRPr="00281602" w:rsidRDefault="00102687" w:rsidP="003C00E9">
      <w:pPr>
        <w:ind w:firstLine="426"/>
        <w:jc w:val="both"/>
        <w:rPr>
          <w:rFonts w:eastAsia="Calibri"/>
          <w:sz w:val="22"/>
          <w:szCs w:val="22"/>
          <w:lang w:eastAsia="en-US"/>
        </w:rPr>
      </w:pPr>
      <w:r w:rsidRPr="00281602">
        <w:rPr>
          <w:rFonts w:eastAsia="Calibri"/>
          <w:iCs/>
          <w:sz w:val="22"/>
          <w:szCs w:val="22"/>
          <w:lang w:eastAsia="en-US"/>
        </w:rPr>
        <w:t xml:space="preserve">1. Тарасова О. Г., Тимофеюк А. А. </w:t>
      </w:r>
      <w:r w:rsidRPr="00281602">
        <w:rPr>
          <w:rFonts w:eastAsia="Calibri"/>
          <w:sz w:val="22"/>
          <w:szCs w:val="22"/>
          <w:lang w:eastAsia="en-US"/>
        </w:rPr>
        <w:t>Определение расположения границ проектируемой селитебной территории, по адресу: проезд 1-й Лиговский, по отношению к взлетно-посадочной полосе аэродр</w:t>
      </w:r>
      <w:r w:rsidRPr="00281602">
        <w:rPr>
          <w:rFonts w:eastAsia="Calibri"/>
          <w:sz w:val="22"/>
          <w:szCs w:val="22"/>
          <w:lang w:eastAsia="en-US"/>
        </w:rPr>
        <w:t>о</w:t>
      </w:r>
      <w:r w:rsidRPr="00281602">
        <w:rPr>
          <w:rFonts w:eastAsia="Calibri"/>
          <w:sz w:val="22"/>
          <w:szCs w:val="22"/>
          <w:lang w:eastAsia="en-US"/>
        </w:rPr>
        <w:t xml:space="preserve">ма Краснодар «Центральный» // Итоги научно-исследовательской работы за 2013 год.  Материалы научно-практической конференции преподавателей 15 апреля 2014 года. / ФГБОУВПО «Кубанский государственный аграрный университет».- 2014.- С. 205-206. </w:t>
      </w:r>
    </w:p>
    <w:p w:rsidR="00102687" w:rsidRPr="00281602" w:rsidRDefault="00102687" w:rsidP="003C00E9">
      <w:pPr>
        <w:ind w:firstLine="426"/>
        <w:jc w:val="both"/>
        <w:rPr>
          <w:rFonts w:eastAsia="Calibri"/>
          <w:sz w:val="22"/>
          <w:szCs w:val="22"/>
          <w:lang w:eastAsia="en-US"/>
        </w:rPr>
      </w:pPr>
      <w:r w:rsidRPr="00281602">
        <w:rPr>
          <w:rFonts w:eastAsia="Calibri"/>
          <w:sz w:val="22"/>
          <w:szCs w:val="22"/>
          <w:lang w:eastAsia="en-US"/>
        </w:rPr>
        <w:t>2. Пешкова М. А., Тарасова О. Г. Исследование возможности проектирования гостиниц на территориях, расположенных в зоне воздействия шума аэропорта «Международный аэропорт Красн</w:t>
      </w:r>
      <w:r w:rsidRPr="00281602">
        <w:rPr>
          <w:rFonts w:eastAsia="Calibri"/>
          <w:sz w:val="22"/>
          <w:szCs w:val="22"/>
          <w:lang w:eastAsia="en-US"/>
        </w:rPr>
        <w:t>о</w:t>
      </w:r>
      <w:r w:rsidRPr="00281602">
        <w:rPr>
          <w:rFonts w:eastAsia="Calibri"/>
          <w:sz w:val="22"/>
          <w:szCs w:val="22"/>
          <w:lang w:eastAsia="en-US"/>
        </w:rPr>
        <w:t>дар» / М. А. Пешкова, О. Г. Тарасова  // Научное обеспечение агр</w:t>
      </w:r>
      <w:r w:rsidRPr="00281602">
        <w:rPr>
          <w:rFonts w:eastAsia="Calibri"/>
          <w:sz w:val="22"/>
          <w:szCs w:val="22"/>
          <w:lang w:eastAsia="en-US"/>
        </w:rPr>
        <w:t>о</w:t>
      </w:r>
      <w:r w:rsidRPr="00281602">
        <w:rPr>
          <w:rFonts w:eastAsia="Calibri"/>
          <w:sz w:val="22"/>
          <w:szCs w:val="22"/>
          <w:lang w:eastAsia="en-US"/>
        </w:rPr>
        <w:t>промышленного комплекса: сб. ст. по материалам Х Всерос. конф. молодых ученых (29–30 ноября 2016 г.). – Краснодар</w:t>
      </w:r>
      <w:proofErr w:type="gramStart"/>
      <w:r w:rsidRPr="00281602">
        <w:rPr>
          <w:rFonts w:eastAsia="Calibri"/>
          <w:sz w:val="22"/>
          <w:szCs w:val="22"/>
          <w:lang w:eastAsia="en-US"/>
        </w:rPr>
        <w:t xml:space="preserve"> :</w:t>
      </w:r>
      <w:proofErr w:type="gramEnd"/>
      <w:r w:rsidRPr="00281602">
        <w:rPr>
          <w:rFonts w:eastAsia="Calibri"/>
          <w:sz w:val="22"/>
          <w:szCs w:val="22"/>
          <w:lang w:eastAsia="en-US"/>
        </w:rPr>
        <w:t xml:space="preserve"> КубГАУ, 2017. </w:t>
      </w:r>
      <w:r w:rsidRPr="00281602">
        <w:rPr>
          <w:rFonts w:eastAsia="Times New Roman,Bold"/>
          <w:sz w:val="22"/>
          <w:szCs w:val="22"/>
          <w:lang w:eastAsia="en-US"/>
        </w:rPr>
        <w:t xml:space="preserve"> – С.</w:t>
      </w:r>
      <w:r w:rsidRPr="00281602">
        <w:rPr>
          <w:rFonts w:eastAsia="Calibri"/>
          <w:sz w:val="22"/>
          <w:szCs w:val="22"/>
          <w:lang w:eastAsia="en-US"/>
        </w:rPr>
        <w:t xml:space="preserve"> 1138</w:t>
      </w:r>
      <w:r w:rsidRPr="00281602">
        <w:rPr>
          <w:rFonts w:eastAsia="Times New Roman,Bold"/>
          <w:sz w:val="22"/>
          <w:szCs w:val="22"/>
          <w:lang w:eastAsia="en-US"/>
        </w:rPr>
        <w:t>–1139.</w:t>
      </w:r>
    </w:p>
    <w:p w:rsidR="00102687" w:rsidRPr="00281602" w:rsidRDefault="00102687" w:rsidP="003C00E9">
      <w:pPr>
        <w:ind w:firstLine="426"/>
        <w:jc w:val="both"/>
        <w:rPr>
          <w:rFonts w:eastAsia="Calibri"/>
          <w:sz w:val="22"/>
          <w:szCs w:val="22"/>
          <w:lang w:eastAsia="en-US"/>
        </w:rPr>
      </w:pPr>
      <w:r w:rsidRPr="00281602">
        <w:rPr>
          <w:rFonts w:eastAsia="Calibri"/>
          <w:sz w:val="22"/>
          <w:szCs w:val="22"/>
          <w:lang w:eastAsia="en-US"/>
        </w:rPr>
        <w:t>3. Шмалько И. С., Тарасова О. Г. Предварительная оценка э</w:t>
      </w:r>
      <w:r w:rsidRPr="00281602">
        <w:rPr>
          <w:rFonts w:eastAsia="Calibri"/>
          <w:sz w:val="22"/>
          <w:szCs w:val="22"/>
          <w:lang w:eastAsia="en-US"/>
        </w:rPr>
        <w:t>ф</w:t>
      </w:r>
      <w:r w:rsidRPr="00281602">
        <w:rPr>
          <w:rFonts w:eastAsia="Calibri"/>
          <w:sz w:val="22"/>
          <w:szCs w:val="22"/>
          <w:lang w:eastAsia="en-US"/>
        </w:rPr>
        <w:t>фективности шумозащитных экранов-стенок по результатам изм</w:t>
      </w:r>
      <w:r w:rsidRPr="00281602">
        <w:rPr>
          <w:rFonts w:eastAsia="Calibri"/>
          <w:sz w:val="22"/>
          <w:szCs w:val="22"/>
          <w:lang w:eastAsia="en-US"/>
        </w:rPr>
        <w:t>е</w:t>
      </w:r>
      <w:r w:rsidRPr="00281602">
        <w:rPr>
          <w:rFonts w:eastAsia="Calibri"/>
          <w:sz w:val="22"/>
          <w:szCs w:val="22"/>
          <w:lang w:eastAsia="en-US"/>
        </w:rPr>
        <w:t>рений эквивалентных уровней звука // Научное обеспечение агр</w:t>
      </w:r>
      <w:r w:rsidRPr="00281602">
        <w:rPr>
          <w:rFonts w:eastAsia="Calibri"/>
          <w:sz w:val="22"/>
          <w:szCs w:val="22"/>
          <w:lang w:eastAsia="en-US"/>
        </w:rPr>
        <w:t>о</w:t>
      </w:r>
      <w:r w:rsidRPr="00281602">
        <w:rPr>
          <w:rFonts w:eastAsia="Calibri"/>
          <w:sz w:val="22"/>
          <w:szCs w:val="22"/>
          <w:lang w:eastAsia="en-US"/>
        </w:rPr>
        <w:t>промышленного комплекса: сб. ст. по материалам 71-й научно-прак. конф. студентов по итогам НИР за 2015 год (12 апреля 2016 г.).</w:t>
      </w:r>
      <w:r w:rsidRPr="00281602">
        <w:rPr>
          <w:rFonts w:eastAsia="Times New Roman,Bold"/>
          <w:sz w:val="22"/>
          <w:szCs w:val="22"/>
          <w:lang w:eastAsia="en-US"/>
        </w:rPr>
        <w:t xml:space="preserve"> – </w:t>
      </w:r>
      <w:r w:rsidRPr="00281602">
        <w:rPr>
          <w:rFonts w:eastAsia="Calibri"/>
          <w:sz w:val="22"/>
          <w:szCs w:val="22"/>
          <w:lang w:eastAsia="en-US"/>
        </w:rPr>
        <w:t>Краснодар: КубГАУ,</w:t>
      </w:r>
      <w:r w:rsidRPr="00281602">
        <w:rPr>
          <w:rFonts w:eastAsia="Times New Roman,Bold"/>
          <w:sz w:val="22"/>
          <w:szCs w:val="22"/>
          <w:lang w:eastAsia="en-US"/>
        </w:rPr>
        <w:t xml:space="preserve"> </w:t>
      </w:r>
      <w:r w:rsidRPr="00281602">
        <w:rPr>
          <w:rFonts w:eastAsia="Calibri"/>
          <w:sz w:val="22"/>
          <w:szCs w:val="22"/>
          <w:lang w:eastAsia="en-US"/>
        </w:rPr>
        <w:t>2016.</w:t>
      </w:r>
      <w:r w:rsidRPr="00281602">
        <w:rPr>
          <w:rFonts w:eastAsia="Times New Roman,Bold"/>
          <w:sz w:val="22"/>
          <w:szCs w:val="22"/>
          <w:lang w:eastAsia="en-US"/>
        </w:rPr>
        <w:t xml:space="preserve"> – С.</w:t>
      </w:r>
      <w:r w:rsidRPr="00281602">
        <w:rPr>
          <w:rFonts w:eastAsia="Calibri"/>
          <w:sz w:val="22"/>
          <w:szCs w:val="22"/>
          <w:lang w:eastAsia="en-US"/>
        </w:rPr>
        <w:t xml:space="preserve"> 330</w:t>
      </w:r>
      <w:r w:rsidRPr="00281602">
        <w:rPr>
          <w:rFonts w:eastAsia="Times New Roman,Bold"/>
          <w:sz w:val="22"/>
          <w:szCs w:val="22"/>
          <w:lang w:eastAsia="en-US"/>
        </w:rPr>
        <w:t>–332.</w:t>
      </w:r>
      <w:r w:rsidRPr="00281602">
        <w:rPr>
          <w:rFonts w:eastAsia="Calibri"/>
          <w:sz w:val="22"/>
          <w:szCs w:val="22"/>
          <w:lang w:eastAsia="en-US"/>
        </w:rPr>
        <w:t xml:space="preserve"> </w:t>
      </w:r>
    </w:p>
    <w:p w:rsidR="00102687" w:rsidRDefault="00102687" w:rsidP="003C00E9">
      <w:pPr>
        <w:ind w:firstLine="426"/>
        <w:jc w:val="both"/>
        <w:rPr>
          <w:rFonts w:eastAsia="Calibri"/>
          <w:sz w:val="22"/>
          <w:szCs w:val="22"/>
          <w:lang w:eastAsia="en-US"/>
        </w:rPr>
      </w:pPr>
      <w:r w:rsidRPr="00281602">
        <w:rPr>
          <w:rFonts w:eastAsia="Calibri"/>
          <w:sz w:val="22"/>
          <w:szCs w:val="22"/>
          <w:lang w:eastAsia="en-US"/>
        </w:rPr>
        <w:t>4. Тарасова О. Г.,</w:t>
      </w:r>
      <w:r w:rsidRPr="00281602">
        <w:rPr>
          <w:rFonts w:eastAsia="Calibri"/>
          <w:bCs/>
          <w:sz w:val="22"/>
          <w:szCs w:val="22"/>
          <w:lang w:eastAsia="en-US"/>
        </w:rPr>
        <w:t xml:space="preserve"> </w:t>
      </w:r>
      <w:r w:rsidRPr="00281602">
        <w:rPr>
          <w:rFonts w:eastAsia="Calibri"/>
          <w:sz w:val="22"/>
          <w:szCs w:val="22"/>
          <w:lang w:eastAsia="en-US"/>
        </w:rPr>
        <w:t>Талицкая А. А.  Сравнение звукоизоляцио</w:t>
      </w:r>
      <w:r w:rsidRPr="00281602">
        <w:rPr>
          <w:rFonts w:eastAsia="Calibri"/>
          <w:sz w:val="22"/>
          <w:szCs w:val="22"/>
          <w:lang w:eastAsia="en-US"/>
        </w:rPr>
        <w:t>н</w:t>
      </w:r>
      <w:r w:rsidRPr="00281602">
        <w:rPr>
          <w:rFonts w:eastAsia="Calibri"/>
          <w:sz w:val="22"/>
          <w:szCs w:val="22"/>
          <w:lang w:eastAsia="en-US"/>
        </w:rPr>
        <w:t>ных свойств многослойных перегородок при заполнении воздушной полости тремя видами материалов примерно одинаковой плотности. / О. Г. Тарасова, А. А. Талицкая//МЦНС «Наука и просвещение»: сборник статей XV Международной научно-практической конф</w:t>
      </w:r>
      <w:r w:rsidRPr="00281602">
        <w:rPr>
          <w:rFonts w:eastAsia="Calibri"/>
          <w:sz w:val="22"/>
          <w:szCs w:val="22"/>
          <w:lang w:eastAsia="en-US"/>
        </w:rPr>
        <w:t>е</w:t>
      </w:r>
      <w:r w:rsidRPr="00281602">
        <w:rPr>
          <w:rFonts w:eastAsia="Calibri"/>
          <w:sz w:val="22"/>
          <w:szCs w:val="22"/>
          <w:lang w:eastAsia="en-US"/>
        </w:rPr>
        <w:t>ренции «WORLD SCIENCE: PROBLEMS AND INNOVATIONS», (30 ноября 2017г.) в г. Пенза ЧАСТЬ 1 – Пенза: МЦНС «Наука и Просвещение». – 2017. С. 294–298с.</w:t>
      </w:r>
    </w:p>
    <w:p w:rsidR="00102687" w:rsidRDefault="00102687" w:rsidP="00102687">
      <w:pPr>
        <w:jc w:val="both"/>
        <w:rPr>
          <w:rFonts w:eastAsia="Calibri"/>
          <w:sz w:val="22"/>
          <w:szCs w:val="22"/>
          <w:lang w:eastAsia="en-US"/>
        </w:rPr>
      </w:pPr>
    </w:p>
    <w:p w:rsidR="003C00E9" w:rsidRDefault="00DE5CD6" w:rsidP="00DE5CD6">
      <w:pPr>
        <w:rPr>
          <w:rFonts w:eastAsia="Calibri"/>
          <w:sz w:val="22"/>
          <w:szCs w:val="22"/>
          <w:lang w:eastAsia="en-US"/>
        </w:rPr>
      </w:pPr>
      <w:r>
        <w:rPr>
          <w:rFonts w:eastAsia="Calibri"/>
          <w:sz w:val="22"/>
          <w:szCs w:val="22"/>
          <w:lang w:eastAsia="en-US"/>
        </w:rPr>
        <w:br w:type="page"/>
      </w:r>
    </w:p>
    <w:p w:rsidR="00102687" w:rsidRPr="00102687" w:rsidRDefault="00102687" w:rsidP="00102687">
      <w:pPr>
        <w:rPr>
          <w:sz w:val="22"/>
          <w:szCs w:val="22"/>
        </w:rPr>
      </w:pPr>
      <w:r w:rsidRPr="00102687">
        <w:rPr>
          <w:bCs/>
          <w:sz w:val="22"/>
          <w:szCs w:val="22"/>
        </w:rPr>
        <w:lastRenderedPageBreak/>
        <w:t>УДК</w:t>
      </w:r>
      <w:r w:rsidRPr="00102687">
        <w:rPr>
          <w:sz w:val="22"/>
          <w:szCs w:val="22"/>
        </w:rPr>
        <w:t xml:space="preserve"> 911.2:556.537</w:t>
      </w:r>
    </w:p>
    <w:p w:rsidR="00102687" w:rsidRPr="00102687" w:rsidRDefault="00102687" w:rsidP="00102687">
      <w:pPr>
        <w:rPr>
          <w:sz w:val="22"/>
          <w:szCs w:val="22"/>
        </w:rPr>
      </w:pPr>
    </w:p>
    <w:p w:rsidR="00102687" w:rsidRPr="00102687" w:rsidRDefault="00102687" w:rsidP="00102687">
      <w:pPr>
        <w:widowControl w:val="0"/>
        <w:autoSpaceDE w:val="0"/>
        <w:autoSpaceDN w:val="0"/>
        <w:adjustRightInd w:val="0"/>
        <w:jc w:val="center"/>
        <w:rPr>
          <w:b/>
          <w:sz w:val="24"/>
          <w:szCs w:val="24"/>
        </w:rPr>
      </w:pPr>
      <w:r w:rsidRPr="00102687">
        <w:rPr>
          <w:b/>
          <w:sz w:val="24"/>
          <w:szCs w:val="24"/>
        </w:rPr>
        <w:t xml:space="preserve">Прибрежные территории Кубани: </w:t>
      </w:r>
    </w:p>
    <w:p w:rsidR="00102687" w:rsidRPr="00102687" w:rsidRDefault="00102687" w:rsidP="00102687">
      <w:pPr>
        <w:widowControl w:val="0"/>
        <w:autoSpaceDE w:val="0"/>
        <w:autoSpaceDN w:val="0"/>
        <w:adjustRightInd w:val="0"/>
        <w:jc w:val="center"/>
        <w:rPr>
          <w:b/>
          <w:sz w:val="24"/>
          <w:szCs w:val="24"/>
        </w:rPr>
      </w:pPr>
      <w:r w:rsidRPr="00102687">
        <w:rPr>
          <w:b/>
          <w:sz w:val="24"/>
          <w:szCs w:val="24"/>
        </w:rPr>
        <w:t>история и современность</w:t>
      </w:r>
    </w:p>
    <w:p w:rsidR="00102687" w:rsidRPr="004F513D" w:rsidRDefault="00102687" w:rsidP="00102687">
      <w:pPr>
        <w:widowControl w:val="0"/>
        <w:autoSpaceDE w:val="0"/>
        <w:autoSpaceDN w:val="0"/>
        <w:adjustRightInd w:val="0"/>
        <w:jc w:val="center"/>
        <w:rPr>
          <w:b/>
          <w:sz w:val="24"/>
          <w:szCs w:val="24"/>
        </w:rPr>
      </w:pPr>
      <w:r w:rsidRPr="00102687">
        <w:rPr>
          <w:b/>
          <w:sz w:val="24"/>
          <w:szCs w:val="24"/>
          <w:lang w:val="en"/>
        </w:rPr>
        <w:t>Coastal</w:t>
      </w:r>
      <w:r w:rsidRPr="004F513D">
        <w:rPr>
          <w:b/>
          <w:sz w:val="24"/>
          <w:szCs w:val="24"/>
        </w:rPr>
        <w:t xml:space="preserve"> </w:t>
      </w:r>
      <w:r w:rsidRPr="00102687">
        <w:rPr>
          <w:b/>
          <w:sz w:val="24"/>
          <w:szCs w:val="24"/>
          <w:lang w:val="en"/>
        </w:rPr>
        <w:t>territories</w:t>
      </w:r>
      <w:r w:rsidRPr="004F513D">
        <w:rPr>
          <w:b/>
          <w:sz w:val="24"/>
          <w:szCs w:val="24"/>
        </w:rPr>
        <w:t xml:space="preserve"> </w:t>
      </w:r>
      <w:r w:rsidRPr="00102687">
        <w:rPr>
          <w:b/>
          <w:sz w:val="24"/>
          <w:szCs w:val="24"/>
          <w:lang w:val="en"/>
        </w:rPr>
        <w:t>of</w:t>
      </w:r>
      <w:r w:rsidRPr="004F513D">
        <w:rPr>
          <w:b/>
          <w:sz w:val="24"/>
          <w:szCs w:val="24"/>
        </w:rPr>
        <w:t xml:space="preserve"> </w:t>
      </w:r>
      <w:r w:rsidRPr="00102687">
        <w:rPr>
          <w:b/>
          <w:sz w:val="24"/>
          <w:szCs w:val="24"/>
          <w:lang w:val="en"/>
        </w:rPr>
        <w:t>the</w:t>
      </w:r>
      <w:r w:rsidRPr="004F513D">
        <w:rPr>
          <w:b/>
          <w:sz w:val="24"/>
          <w:szCs w:val="24"/>
        </w:rPr>
        <w:t xml:space="preserve"> </w:t>
      </w:r>
      <w:r w:rsidRPr="00102687">
        <w:rPr>
          <w:b/>
          <w:sz w:val="24"/>
          <w:szCs w:val="24"/>
          <w:lang w:val="en"/>
        </w:rPr>
        <w:t>Kuban</w:t>
      </w:r>
      <w:r w:rsidRPr="004F513D">
        <w:rPr>
          <w:b/>
          <w:sz w:val="24"/>
          <w:szCs w:val="24"/>
        </w:rPr>
        <w:t xml:space="preserve">: </w:t>
      </w:r>
      <w:r w:rsidRPr="00102687">
        <w:rPr>
          <w:b/>
          <w:sz w:val="24"/>
          <w:szCs w:val="24"/>
          <w:lang w:val="en"/>
        </w:rPr>
        <w:t>history</w:t>
      </w:r>
      <w:r w:rsidRPr="004F513D">
        <w:rPr>
          <w:b/>
          <w:sz w:val="24"/>
          <w:szCs w:val="24"/>
        </w:rPr>
        <w:t xml:space="preserve"> </w:t>
      </w:r>
      <w:r w:rsidRPr="00102687">
        <w:rPr>
          <w:b/>
          <w:sz w:val="24"/>
          <w:szCs w:val="24"/>
          <w:lang w:val="en"/>
        </w:rPr>
        <w:t>and</w:t>
      </w:r>
      <w:r w:rsidRPr="004F513D">
        <w:rPr>
          <w:b/>
          <w:sz w:val="24"/>
          <w:szCs w:val="24"/>
        </w:rPr>
        <w:t xml:space="preserve"> </w:t>
      </w:r>
      <w:r w:rsidRPr="00102687">
        <w:rPr>
          <w:b/>
          <w:sz w:val="24"/>
          <w:szCs w:val="24"/>
          <w:lang w:val="en"/>
        </w:rPr>
        <w:t>modernity</w:t>
      </w:r>
    </w:p>
    <w:p w:rsidR="00102687" w:rsidRPr="004F513D" w:rsidRDefault="00102687" w:rsidP="00102687">
      <w:pPr>
        <w:widowControl w:val="0"/>
        <w:autoSpaceDE w:val="0"/>
        <w:autoSpaceDN w:val="0"/>
        <w:adjustRightInd w:val="0"/>
        <w:jc w:val="center"/>
        <w:rPr>
          <w:b/>
          <w:sz w:val="24"/>
          <w:szCs w:val="24"/>
        </w:rPr>
      </w:pPr>
    </w:p>
    <w:p w:rsidR="00102687" w:rsidRPr="00102687" w:rsidRDefault="00102687" w:rsidP="00102687">
      <w:pPr>
        <w:widowControl w:val="0"/>
        <w:autoSpaceDE w:val="0"/>
        <w:autoSpaceDN w:val="0"/>
        <w:adjustRightInd w:val="0"/>
        <w:jc w:val="right"/>
        <w:rPr>
          <w:sz w:val="22"/>
          <w:szCs w:val="22"/>
        </w:rPr>
      </w:pPr>
      <w:r w:rsidRPr="00102687">
        <w:rPr>
          <w:sz w:val="22"/>
          <w:szCs w:val="22"/>
        </w:rPr>
        <w:t>Довгаль С.</w:t>
      </w:r>
      <w:r w:rsidR="003C00E9">
        <w:rPr>
          <w:sz w:val="22"/>
          <w:szCs w:val="22"/>
        </w:rPr>
        <w:t xml:space="preserve"> </w:t>
      </w:r>
      <w:r w:rsidRPr="00102687">
        <w:rPr>
          <w:sz w:val="22"/>
          <w:szCs w:val="22"/>
        </w:rPr>
        <w:t>М.,</w:t>
      </w:r>
    </w:p>
    <w:p w:rsidR="003C00E9" w:rsidRDefault="003C00E9" w:rsidP="00102687">
      <w:pPr>
        <w:widowControl w:val="0"/>
        <w:autoSpaceDE w:val="0"/>
        <w:autoSpaceDN w:val="0"/>
        <w:adjustRightInd w:val="0"/>
        <w:jc w:val="right"/>
        <w:rPr>
          <w:sz w:val="22"/>
          <w:szCs w:val="22"/>
        </w:rPr>
      </w:pPr>
      <w:r>
        <w:rPr>
          <w:sz w:val="22"/>
          <w:szCs w:val="22"/>
        </w:rPr>
        <w:t>магистрант 2-го курса</w:t>
      </w:r>
    </w:p>
    <w:p w:rsidR="00102687" w:rsidRPr="00102687" w:rsidRDefault="00102687" w:rsidP="00102687">
      <w:pPr>
        <w:widowControl w:val="0"/>
        <w:autoSpaceDE w:val="0"/>
        <w:autoSpaceDN w:val="0"/>
        <w:adjustRightInd w:val="0"/>
        <w:jc w:val="right"/>
        <w:rPr>
          <w:sz w:val="22"/>
          <w:szCs w:val="22"/>
        </w:rPr>
      </w:pPr>
      <w:r w:rsidRPr="00102687">
        <w:rPr>
          <w:sz w:val="22"/>
          <w:szCs w:val="22"/>
        </w:rPr>
        <w:t>архите</w:t>
      </w:r>
      <w:r w:rsidR="003C00E9">
        <w:rPr>
          <w:sz w:val="22"/>
          <w:szCs w:val="22"/>
        </w:rPr>
        <w:t>ктурно-строительного факультета</w:t>
      </w:r>
    </w:p>
    <w:p w:rsidR="00102687" w:rsidRPr="00102687" w:rsidRDefault="00102687" w:rsidP="00102687">
      <w:pPr>
        <w:widowControl w:val="0"/>
        <w:autoSpaceDE w:val="0"/>
        <w:autoSpaceDN w:val="0"/>
        <w:adjustRightInd w:val="0"/>
        <w:jc w:val="right"/>
        <w:rPr>
          <w:sz w:val="22"/>
          <w:szCs w:val="22"/>
        </w:rPr>
      </w:pPr>
      <w:r w:rsidRPr="00102687">
        <w:rPr>
          <w:sz w:val="22"/>
          <w:szCs w:val="22"/>
        </w:rPr>
        <w:t>Субботин О. С.</w:t>
      </w:r>
      <w:r w:rsidR="003C00E9">
        <w:rPr>
          <w:sz w:val="22"/>
          <w:szCs w:val="22"/>
        </w:rPr>
        <w:t>,</w:t>
      </w:r>
    </w:p>
    <w:p w:rsidR="00102687" w:rsidRPr="00102687" w:rsidRDefault="00102687" w:rsidP="00102687">
      <w:pPr>
        <w:widowControl w:val="0"/>
        <w:autoSpaceDE w:val="0"/>
        <w:autoSpaceDN w:val="0"/>
        <w:adjustRightInd w:val="0"/>
        <w:jc w:val="right"/>
        <w:rPr>
          <w:sz w:val="22"/>
          <w:szCs w:val="22"/>
        </w:rPr>
      </w:pPr>
      <w:r w:rsidRPr="00102687">
        <w:rPr>
          <w:sz w:val="22"/>
          <w:szCs w:val="22"/>
        </w:rPr>
        <w:t>профессор кафедры архитектуры</w:t>
      </w:r>
    </w:p>
    <w:p w:rsidR="00102687" w:rsidRPr="00102687" w:rsidRDefault="00102687" w:rsidP="00102687">
      <w:pPr>
        <w:widowControl w:val="0"/>
        <w:autoSpaceDE w:val="0"/>
        <w:autoSpaceDN w:val="0"/>
        <w:adjustRightInd w:val="0"/>
        <w:jc w:val="right"/>
        <w:rPr>
          <w:sz w:val="22"/>
          <w:szCs w:val="22"/>
        </w:rPr>
      </w:pPr>
      <w:r w:rsidRPr="00102687">
        <w:rPr>
          <w:sz w:val="22"/>
          <w:szCs w:val="22"/>
        </w:rPr>
        <w:t>Кубанский государственный аграрный</w:t>
      </w:r>
    </w:p>
    <w:p w:rsidR="00102687" w:rsidRPr="00102687" w:rsidRDefault="00102687" w:rsidP="00102687">
      <w:pPr>
        <w:widowControl w:val="0"/>
        <w:autoSpaceDE w:val="0"/>
        <w:autoSpaceDN w:val="0"/>
        <w:adjustRightInd w:val="0"/>
        <w:jc w:val="right"/>
        <w:rPr>
          <w:sz w:val="22"/>
          <w:szCs w:val="22"/>
        </w:rPr>
      </w:pPr>
      <w:r w:rsidRPr="00102687">
        <w:rPr>
          <w:sz w:val="22"/>
          <w:szCs w:val="22"/>
        </w:rPr>
        <w:t>у</w:t>
      </w:r>
      <w:r w:rsidR="003C00E9">
        <w:rPr>
          <w:sz w:val="22"/>
          <w:szCs w:val="22"/>
        </w:rPr>
        <w:t>ниверситет имени И. Т. Трубилина</w:t>
      </w:r>
    </w:p>
    <w:p w:rsidR="00102687" w:rsidRPr="00102687" w:rsidRDefault="00102687" w:rsidP="00102687">
      <w:pPr>
        <w:widowControl w:val="0"/>
        <w:autoSpaceDE w:val="0"/>
        <w:autoSpaceDN w:val="0"/>
        <w:adjustRightInd w:val="0"/>
        <w:ind w:firstLine="426"/>
        <w:jc w:val="both"/>
        <w:rPr>
          <w:sz w:val="22"/>
          <w:szCs w:val="20"/>
        </w:rPr>
      </w:pPr>
    </w:p>
    <w:p w:rsidR="00102687" w:rsidRPr="00102687" w:rsidRDefault="00102687" w:rsidP="00102687">
      <w:pPr>
        <w:widowControl w:val="0"/>
        <w:autoSpaceDE w:val="0"/>
        <w:autoSpaceDN w:val="0"/>
        <w:adjustRightInd w:val="0"/>
        <w:ind w:firstLine="426"/>
        <w:jc w:val="both"/>
        <w:rPr>
          <w:bCs/>
          <w:iCs/>
          <w:sz w:val="22"/>
          <w:szCs w:val="20"/>
        </w:rPr>
      </w:pPr>
      <w:r w:rsidRPr="00102687">
        <w:rPr>
          <w:sz w:val="22"/>
          <w:szCs w:val="20"/>
        </w:rPr>
        <w:t xml:space="preserve">АННОТАЦИЯ: </w:t>
      </w:r>
      <w:r w:rsidRPr="00102687">
        <w:rPr>
          <w:bCs/>
          <w:iCs/>
          <w:sz w:val="22"/>
          <w:szCs w:val="20"/>
        </w:rPr>
        <w:t>Рассмотрены прибрежные территории Кубани в контексте уникальной градостроительной структуры поселений. Обозначены основные приоритеты и направления развития указа</w:t>
      </w:r>
      <w:r w:rsidRPr="00102687">
        <w:rPr>
          <w:bCs/>
          <w:iCs/>
          <w:sz w:val="22"/>
          <w:szCs w:val="20"/>
        </w:rPr>
        <w:t>н</w:t>
      </w:r>
      <w:r w:rsidRPr="00102687">
        <w:rPr>
          <w:bCs/>
          <w:iCs/>
          <w:sz w:val="22"/>
          <w:szCs w:val="20"/>
        </w:rPr>
        <w:t>ных территорий. Особое внимание уделено сохранению архите</w:t>
      </w:r>
      <w:r w:rsidRPr="00102687">
        <w:rPr>
          <w:bCs/>
          <w:iCs/>
          <w:sz w:val="22"/>
          <w:szCs w:val="20"/>
        </w:rPr>
        <w:t>к</w:t>
      </w:r>
      <w:r w:rsidRPr="00102687">
        <w:rPr>
          <w:bCs/>
          <w:iCs/>
          <w:sz w:val="22"/>
          <w:szCs w:val="20"/>
        </w:rPr>
        <w:t>турно-ландшафтной среды.</w:t>
      </w:r>
    </w:p>
    <w:p w:rsidR="00102687" w:rsidRPr="00102687" w:rsidRDefault="00102687" w:rsidP="00102687">
      <w:pPr>
        <w:ind w:firstLine="425"/>
        <w:jc w:val="both"/>
        <w:rPr>
          <w:sz w:val="22"/>
          <w:szCs w:val="20"/>
          <w:lang w:val="en-US"/>
        </w:rPr>
      </w:pPr>
      <w:r w:rsidRPr="00102687">
        <w:rPr>
          <w:sz w:val="22"/>
          <w:szCs w:val="20"/>
          <w:lang w:val="en"/>
        </w:rPr>
        <w:t>ABSTRACT</w:t>
      </w:r>
      <w:r w:rsidRPr="00102687">
        <w:rPr>
          <w:sz w:val="22"/>
          <w:szCs w:val="20"/>
          <w:lang w:val="en-US"/>
        </w:rPr>
        <w:t xml:space="preserve">: </w:t>
      </w:r>
      <w:r w:rsidRPr="00102687">
        <w:rPr>
          <w:sz w:val="22"/>
          <w:szCs w:val="20"/>
          <w:lang w:val="en"/>
        </w:rPr>
        <w:t>The coastal territories of the Kuban are considered in the context of the unique town-planning structure of the settlements.</w:t>
      </w:r>
      <w:r w:rsidRPr="00102687">
        <w:rPr>
          <w:rFonts w:ascii="Arial" w:eastAsia="Calibri" w:hAnsi="Arial" w:cs="Arial"/>
          <w:color w:val="222222"/>
          <w:lang w:val="en" w:eastAsia="en-US"/>
        </w:rPr>
        <w:t xml:space="preserve"> </w:t>
      </w:r>
      <w:r w:rsidRPr="00102687">
        <w:rPr>
          <w:sz w:val="22"/>
          <w:szCs w:val="20"/>
          <w:lang w:val="en"/>
        </w:rPr>
        <w:t>The main priorities and directions of development of these territories are i</w:t>
      </w:r>
      <w:r w:rsidRPr="00102687">
        <w:rPr>
          <w:sz w:val="22"/>
          <w:szCs w:val="20"/>
          <w:lang w:val="en"/>
        </w:rPr>
        <w:t>n</w:t>
      </w:r>
      <w:r w:rsidRPr="00102687">
        <w:rPr>
          <w:sz w:val="22"/>
          <w:szCs w:val="20"/>
          <w:lang w:val="en"/>
        </w:rPr>
        <w:t>dicated.</w:t>
      </w:r>
      <w:r w:rsidRPr="00102687">
        <w:rPr>
          <w:rFonts w:ascii="Arial" w:eastAsia="Calibri" w:hAnsi="Arial" w:cs="Arial"/>
          <w:color w:val="222222"/>
          <w:lang w:val="en" w:eastAsia="en-US"/>
        </w:rPr>
        <w:t xml:space="preserve"> </w:t>
      </w:r>
      <w:r w:rsidRPr="00102687">
        <w:rPr>
          <w:sz w:val="22"/>
          <w:szCs w:val="20"/>
          <w:lang w:val="en"/>
        </w:rPr>
        <w:t>Particular attention is paid to the preservation of the architectu</w:t>
      </w:r>
      <w:r w:rsidRPr="00102687">
        <w:rPr>
          <w:sz w:val="22"/>
          <w:szCs w:val="20"/>
          <w:lang w:val="en"/>
        </w:rPr>
        <w:t>r</w:t>
      </w:r>
      <w:r w:rsidRPr="00102687">
        <w:rPr>
          <w:sz w:val="22"/>
          <w:szCs w:val="20"/>
          <w:lang w:val="en"/>
        </w:rPr>
        <w:t>al and landscape environment.</w:t>
      </w:r>
    </w:p>
    <w:p w:rsidR="00102687" w:rsidRPr="00102687" w:rsidRDefault="00102687" w:rsidP="00102687">
      <w:pPr>
        <w:ind w:firstLine="426"/>
        <w:jc w:val="both"/>
        <w:rPr>
          <w:sz w:val="22"/>
          <w:szCs w:val="20"/>
        </w:rPr>
      </w:pPr>
      <w:r w:rsidRPr="00102687">
        <w:rPr>
          <w:sz w:val="22"/>
          <w:szCs w:val="20"/>
        </w:rPr>
        <w:t>КЛЮЧЕВЫЕ СЛОВА: территория, город, структура, историч</w:t>
      </w:r>
      <w:r w:rsidRPr="00102687">
        <w:rPr>
          <w:sz w:val="22"/>
          <w:szCs w:val="20"/>
        </w:rPr>
        <w:t>е</w:t>
      </w:r>
      <w:r w:rsidRPr="00102687">
        <w:rPr>
          <w:sz w:val="22"/>
          <w:szCs w:val="20"/>
        </w:rPr>
        <w:t>ская застройка, пространство.</w:t>
      </w:r>
    </w:p>
    <w:p w:rsidR="00102687" w:rsidRPr="00102687" w:rsidRDefault="00102687" w:rsidP="00102687">
      <w:pPr>
        <w:ind w:firstLine="426"/>
        <w:jc w:val="both"/>
        <w:rPr>
          <w:sz w:val="22"/>
          <w:szCs w:val="22"/>
          <w:lang w:val="en-US"/>
        </w:rPr>
      </w:pPr>
      <w:r w:rsidRPr="00102687">
        <w:rPr>
          <w:sz w:val="22"/>
          <w:szCs w:val="22"/>
          <w:lang w:val="en"/>
        </w:rPr>
        <w:t>KEYWORDS</w:t>
      </w:r>
      <w:r w:rsidRPr="00102687">
        <w:rPr>
          <w:sz w:val="22"/>
          <w:szCs w:val="22"/>
          <w:lang w:val="en-US"/>
        </w:rPr>
        <w:t xml:space="preserve">: </w:t>
      </w:r>
      <w:r w:rsidRPr="00102687">
        <w:rPr>
          <w:sz w:val="22"/>
          <w:szCs w:val="22"/>
          <w:lang w:val="en"/>
        </w:rPr>
        <w:t>territory, city, structure, historical development, space</w:t>
      </w:r>
      <w:r w:rsidRPr="00102687">
        <w:rPr>
          <w:sz w:val="22"/>
          <w:szCs w:val="22"/>
          <w:lang w:val="en-US"/>
        </w:rPr>
        <w:t>.</w:t>
      </w:r>
    </w:p>
    <w:p w:rsidR="00102687" w:rsidRPr="00102687" w:rsidRDefault="00102687" w:rsidP="00102687">
      <w:pPr>
        <w:ind w:firstLine="426"/>
        <w:jc w:val="both"/>
        <w:rPr>
          <w:bCs/>
          <w:iCs/>
          <w:sz w:val="22"/>
          <w:szCs w:val="22"/>
          <w:lang w:val="en-US"/>
        </w:rPr>
      </w:pPr>
    </w:p>
    <w:p w:rsidR="00102687" w:rsidRPr="00102687" w:rsidRDefault="00102687" w:rsidP="00102687">
      <w:pPr>
        <w:ind w:firstLine="426"/>
        <w:jc w:val="both"/>
        <w:rPr>
          <w:bCs/>
          <w:iCs/>
          <w:sz w:val="22"/>
          <w:szCs w:val="22"/>
        </w:rPr>
      </w:pPr>
      <w:r w:rsidRPr="00102687">
        <w:rPr>
          <w:bCs/>
          <w:iCs/>
          <w:sz w:val="22"/>
          <w:szCs w:val="22"/>
        </w:rPr>
        <w:t>Город – творенье рук человечества, его душа и память. Именно память, материализованная в архитектурных достопримечательн</w:t>
      </w:r>
      <w:r w:rsidRPr="00102687">
        <w:rPr>
          <w:bCs/>
          <w:iCs/>
          <w:sz w:val="22"/>
          <w:szCs w:val="22"/>
        </w:rPr>
        <w:t>о</w:t>
      </w:r>
      <w:r w:rsidRPr="00102687">
        <w:rPr>
          <w:bCs/>
          <w:iCs/>
          <w:sz w:val="22"/>
          <w:szCs w:val="22"/>
        </w:rPr>
        <w:t>стях, составляет основу его богатства. Пространственная среда п</w:t>
      </w:r>
      <w:r w:rsidRPr="00102687">
        <w:rPr>
          <w:bCs/>
          <w:iCs/>
          <w:sz w:val="22"/>
          <w:szCs w:val="22"/>
        </w:rPr>
        <w:t>о</w:t>
      </w:r>
      <w:r w:rsidRPr="00102687">
        <w:rPr>
          <w:bCs/>
          <w:iCs/>
          <w:sz w:val="22"/>
          <w:szCs w:val="22"/>
        </w:rPr>
        <w:t xml:space="preserve">стоянно развивается, видоизменяется, но ядром города по-прежнему остается его исторический планировочный каркас [1, с.640]. </w:t>
      </w:r>
    </w:p>
    <w:p w:rsidR="00102687" w:rsidRPr="00102687" w:rsidRDefault="00102687" w:rsidP="00102687">
      <w:pPr>
        <w:ind w:firstLine="426"/>
        <w:jc w:val="both"/>
        <w:rPr>
          <w:rFonts w:eastAsia="Calibri"/>
          <w:bCs/>
          <w:iCs/>
          <w:sz w:val="22"/>
          <w:szCs w:val="22"/>
          <w:lang w:eastAsia="en-US"/>
        </w:rPr>
      </w:pPr>
      <w:r w:rsidRPr="00102687">
        <w:rPr>
          <w:bCs/>
          <w:iCs/>
          <w:sz w:val="22"/>
          <w:szCs w:val="22"/>
        </w:rPr>
        <w:t>Кубань уникальная природная и историко-культурная террит</w:t>
      </w:r>
      <w:r w:rsidRPr="00102687">
        <w:rPr>
          <w:bCs/>
          <w:iCs/>
          <w:sz w:val="22"/>
          <w:szCs w:val="22"/>
        </w:rPr>
        <w:t>о</w:t>
      </w:r>
      <w:r w:rsidRPr="00102687">
        <w:rPr>
          <w:bCs/>
          <w:iCs/>
          <w:sz w:val="22"/>
          <w:szCs w:val="22"/>
        </w:rPr>
        <w:t xml:space="preserve">рия [1, с.14]. Городские и сельские поселения региона обладают </w:t>
      </w:r>
      <w:r w:rsidRPr="00102687">
        <w:rPr>
          <w:bCs/>
          <w:iCs/>
          <w:sz w:val="22"/>
          <w:szCs w:val="22"/>
        </w:rPr>
        <w:lastRenderedPageBreak/>
        <w:t>изумительными природными ресурсами, связь с морем, реками, озерами, лиманами и другими водными пространствами определяла исторический процесс и закономерности развития архитектурно-планировочной структуры поселений. На протяжении длительного времени развития территорий, с учетом национальных и регионал</w:t>
      </w:r>
      <w:r w:rsidRPr="00102687">
        <w:rPr>
          <w:bCs/>
          <w:iCs/>
          <w:sz w:val="22"/>
          <w:szCs w:val="22"/>
        </w:rPr>
        <w:t>ь</w:t>
      </w:r>
      <w:r w:rsidRPr="00102687">
        <w:rPr>
          <w:bCs/>
          <w:iCs/>
          <w:sz w:val="22"/>
          <w:szCs w:val="22"/>
        </w:rPr>
        <w:t>ных традиций, а также уклада жизни, формировался архитектурный облик прибрежных пространств. Поэтому перед нами стоит важная задача сохранения целостности и устойчивости архитектурно-ландшафтной среды указанных пространств, учитывая при этом положительный исторический опыт в планировке исторической ч</w:t>
      </w:r>
      <w:r w:rsidRPr="00102687">
        <w:rPr>
          <w:bCs/>
          <w:iCs/>
          <w:sz w:val="22"/>
          <w:szCs w:val="22"/>
        </w:rPr>
        <w:t>а</w:t>
      </w:r>
      <w:r w:rsidRPr="00102687">
        <w:rPr>
          <w:bCs/>
          <w:iCs/>
          <w:sz w:val="22"/>
          <w:szCs w:val="22"/>
        </w:rPr>
        <w:t>сти городов Кубани. Так, например, «р</w:t>
      </w:r>
      <w:r w:rsidRPr="00102687">
        <w:rPr>
          <w:rFonts w:eastAsia="Calibri"/>
          <w:bCs/>
          <w:iCs/>
          <w:sz w:val="22"/>
          <w:szCs w:val="22"/>
          <w:lang w:eastAsia="en-US"/>
        </w:rPr>
        <w:t>ациональная, геометрически правильная планировка исторических центров поселений, как пр</w:t>
      </w:r>
      <w:r w:rsidRPr="00102687">
        <w:rPr>
          <w:rFonts w:eastAsia="Calibri"/>
          <w:bCs/>
          <w:iCs/>
          <w:sz w:val="22"/>
          <w:szCs w:val="22"/>
          <w:lang w:eastAsia="en-US"/>
        </w:rPr>
        <w:t>а</w:t>
      </w:r>
      <w:r w:rsidRPr="00102687">
        <w:rPr>
          <w:rFonts w:eastAsia="Calibri"/>
          <w:bCs/>
          <w:iCs/>
          <w:sz w:val="22"/>
          <w:szCs w:val="22"/>
          <w:lang w:eastAsia="en-US"/>
        </w:rPr>
        <w:t>вило, сочеталась со свободными очертаниями водных пространств и природного ландшафта, включала систему доминант, организу</w:t>
      </w:r>
      <w:r w:rsidRPr="00102687">
        <w:rPr>
          <w:rFonts w:eastAsia="Calibri"/>
          <w:bCs/>
          <w:iCs/>
          <w:sz w:val="22"/>
          <w:szCs w:val="22"/>
          <w:lang w:eastAsia="en-US"/>
        </w:rPr>
        <w:t>ю</w:t>
      </w:r>
      <w:r w:rsidRPr="00102687">
        <w:rPr>
          <w:rFonts w:eastAsia="Calibri"/>
          <w:bCs/>
          <w:iCs/>
          <w:sz w:val="22"/>
          <w:szCs w:val="22"/>
          <w:lang w:eastAsia="en-US"/>
        </w:rPr>
        <w:t>щих видовые панорамы и перспективы [3, с.22]».</w:t>
      </w:r>
    </w:p>
    <w:p w:rsidR="00102687" w:rsidRPr="00102687" w:rsidRDefault="00102687" w:rsidP="00102687">
      <w:pPr>
        <w:ind w:firstLine="425"/>
        <w:jc w:val="both"/>
        <w:rPr>
          <w:rFonts w:eastAsia="Calibri"/>
          <w:bCs/>
          <w:iCs/>
          <w:sz w:val="22"/>
          <w:szCs w:val="22"/>
          <w:lang w:eastAsia="en-US"/>
        </w:rPr>
      </w:pPr>
      <w:r w:rsidRPr="00102687">
        <w:rPr>
          <w:rFonts w:eastAsia="Calibri"/>
          <w:bCs/>
          <w:iCs/>
          <w:sz w:val="22"/>
          <w:szCs w:val="22"/>
          <w:lang w:eastAsia="en-US"/>
        </w:rPr>
        <w:t>В заключени</w:t>
      </w:r>
      <w:proofErr w:type="gramStart"/>
      <w:r w:rsidRPr="00102687">
        <w:rPr>
          <w:rFonts w:eastAsia="Calibri"/>
          <w:bCs/>
          <w:iCs/>
          <w:sz w:val="22"/>
          <w:szCs w:val="22"/>
          <w:lang w:eastAsia="en-US"/>
        </w:rPr>
        <w:t>и</w:t>
      </w:r>
      <w:proofErr w:type="gramEnd"/>
      <w:r w:rsidRPr="00102687">
        <w:rPr>
          <w:rFonts w:eastAsia="Calibri"/>
          <w:bCs/>
          <w:iCs/>
          <w:sz w:val="22"/>
          <w:szCs w:val="22"/>
          <w:lang w:eastAsia="en-US"/>
        </w:rPr>
        <w:t xml:space="preserve"> следует отметить, что «одной из трудных и часто неразрешимых архитектурно-планировочных проблем современн</w:t>
      </w:r>
      <w:r w:rsidRPr="00102687">
        <w:rPr>
          <w:rFonts w:eastAsia="Calibri"/>
          <w:bCs/>
          <w:iCs/>
          <w:sz w:val="22"/>
          <w:szCs w:val="22"/>
          <w:lang w:eastAsia="en-US"/>
        </w:rPr>
        <w:t>о</w:t>
      </w:r>
      <w:r w:rsidRPr="00102687">
        <w:rPr>
          <w:rFonts w:eastAsia="Calibri"/>
          <w:bCs/>
          <w:iCs/>
          <w:sz w:val="22"/>
          <w:szCs w:val="22"/>
          <w:lang w:eastAsia="en-US"/>
        </w:rPr>
        <w:t>го градостроительства является совмещенная композиционная га</w:t>
      </w:r>
      <w:r w:rsidRPr="00102687">
        <w:rPr>
          <w:rFonts w:eastAsia="Calibri"/>
          <w:bCs/>
          <w:iCs/>
          <w:sz w:val="22"/>
          <w:szCs w:val="22"/>
          <w:lang w:eastAsia="en-US"/>
        </w:rPr>
        <w:t>р</w:t>
      </w:r>
      <w:r w:rsidRPr="00102687">
        <w:rPr>
          <w:rFonts w:eastAsia="Calibri"/>
          <w:bCs/>
          <w:iCs/>
          <w:sz w:val="22"/>
          <w:szCs w:val="22"/>
          <w:lang w:eastAsia="en-US"/>
        </w:rPr>
        <w:t>монизация элементов</w:t>
      </w:r>
      <w:r w:rsidRPr="00102687">
        <w:rPr>
          <w:rFonts w:eastAsia="Calibri"/>
          <w:lang w:eastAsia="en-US"/>
        </w:rPr>
        <w:t xml:space="preserve"> </w:t>
      </w:r>
      <w:r w:rsidRPr="00102687">
        <w:rPr>
          <w:rFonts w:eastAsia="Calibri"/>
          <w:bCs/>
          <w:iCs/>
          <w:sz w:val="22"/>
          <w:szCs w:val="22"/>
          <w:lang w:eastAsia="en-US"/>
        </w:rPr>
        <w:t>прошлого, настоящего и будущего при фо</w:t>
      </w:r>
      <w:r w:rsidRPr="00102687">
        <w:rPr>
          <w:rFonts w:eastAsia="Calibri"/>
          <w:bCs/>
          <w:iCs/>
          <w:sz w:val="22"/>
          <w:szCs w:val="22"/>
          <w:lang w:eastAsia="en-US"/>
        </w:rPr>
        <w:t>р</w:t>
      </w:r>
      <w:r w:rsidRPr="00102687">
        <w:rPr>
          <w:rFonts w:eastAsia="Calibri"/>
          <w:bCs/>
          <w:iCs/>
          <w:sz w:val="22"/>
          <w:szCs w:val="22"/>
          <w:lang w:eastAsia="en-US"/>
        </w:rPr>
        <w:t>мировании художественного облика города [4, с.48]». При этом в центре внимания многих городов Кубани стоит актуальный вопрос нового использования и развития прибрежных речных и морских территорий. Только совместными усилиями многих специалистов: архитекторов, градостроителей, географов, экологов, социологов и других профессионалов, можно добиться положительного результ</w:t>
      </w:r>
      <w:r w:rsidRPr="00102687">
        <w:rPr>
          <w:rFonts w:eastAsia="Calibri"/>
          <w:bCs/>
          <w:iCs/>
          <w:sz w:val="22"/>
          <w:szCs w:val="22"/>
          <w:lang w:eastAsia="en-US"/>
        </w:rPr>
        <w:t>а</w:t>
      </w:r>
      <w:r w:rsidRPr="00102687">
        <w:rPr>
          <w:rFonts w:eastAsia="Calibri"/>
          <w:bCs/>
          <w:iCs/>
          <w:sz w:val="22"/>
          <w:szCs w:val="22"/>
          <w:lang w:eastAsia="en-US"/>
        </w:rPr>
        <w:t xml:space="preserve">та в организации комфортной благоустроенной среды прибрежных территорий. </w:t>
      </w:r>
    </w:p>
    <w:p w:rsidR="00102687" w:rsidRPr="00102687" w:rsidRDefault="00102687" w:rsidP="00102687">
      <w:pPr>
        <w:ind w:firstLine="425"/>
        <w:jc w:val="center"/>
        <w:rPr>
          <w:rFonts w:eastAsia="Calibri"/>
          <w:bCs/>
          <w:iCs/>
          <w:sz w:val="22"/>
          <w:szCs w:val="22"/>
          <w:lang w:eastAsia="en-US"/>
        </w:rPr>
      </w:pPr>
      <w:r w:rsidRPr="00102687">
        <w:rPr>
          <w:rFonts w:eastAsia="Calibri"/>
          <w:bCs/>
          <w:iCs/>
          <w:sz w:val="22"/>
          <w:szCs w:val="22"/>
          <w:lang w:eastAsia="en-US"/>
        </w:rPr>
        <w:t>Список литературы</w:t>
      </w:r>
    </w:p>
    <w:p w:rsidR="00102687" w:rsidRPr="00102687" w:rsidRDefault="00102687" w:rsidP="00102687">
      <w:pPr>
        <w:ind w:firstLine="425"/>
        <w:jc w:val="both"/>
        <w:rPr>
          <w:rFonts w:eastAsia="Calibri"/>
          <w:bCs/>
          <w:iCs/>
          <w:sz w:val="22"/>
          <w:szCs w:val="22"/>
          <w:lang w:eastAsia="en-US"/>
        </w:rPr>
      </w:pPr>
      <w:r w:rsidRPr="00102687">
        <w:rPr>
          <w:rFonts w:eastAsia="Calibri"/>
          <w:bCs/>
          <w:iCs/>
          <w:sz w:val="22"/>
          <w:szCs w:val="22"/>
          <w:lang w:eastAsia="en-US"/>
        </w:rPr>
        <w:t>1. Субботин, О.С. Концептуальные особенности генеральных планов г. Краснодара [Текст] / О.С. Субботин // Вестник МГСУ. – 2011. – № 6. – С. 640-644.</w:t>
      </w:r>
    </w:p>
    <w:p w:rsidR="00102687" w:rsidRPr="00102687" w:rsidRDefault="00102687" w:rsidP="00102687">
      <w:pPr>
        <w:ind w:firstLine="425"/>
        <w:jc w:val="both"/>
        <w:rPr>
          <w:rFonts w:eastAsia="Calibri"/>
          <w:bCs/>
          <w:iCs/>
          <w:sz w:val="22"/>
          <w:szCs w:val="22"/>
          <w:lang w:eastAsia="en-US"/>
        </w:rPr>
      </w:pPr>
      <w:r w:rsidRPr="00102687">
        <w:rPr>
          <w:rFonts w:eastAsia="Calibri"/>
          <w:bCs/>
          <w:iCs/>
          <w:sz w:val="22"/>
          <w:szCs w:val="22"/>
          <w:lang w:eastAsia="en-US"/>
        </w:rPr>
        <w:t>2. Субботин, О.С. Важнейшие этапы освоения Кубани и страт</w:t>
      </w:r>
      <w:r w:rsidRPr="00102687">
        <w:rPr>
          <w:rFonts w:eastAsia="Calibri"/>
          <w:bCs/>
          <w:iCs/>
          <w:sz w:val="22"/>
          <w:szCs w:val="22"/>
          <w:lang w:eastAsia="en-US"/>
        </w:rPr>
        <w:t>е</w:t>
      </w:r>
      <w:r w:rsidRPr="00102687">
        <w:rPr>
          <w:rFonts w:eastAsia="Calibri"/>
          <w:bCs/>
          <w:iCs/>
          <w:sz w:val="22"/>
          <w:szCs w:val="22"/>
          <w:lang w:eastAsia="en-US"/>
        </w:rPr>
        <w:t>гия ее развития [Текст] / О.С. Субботин // Вестник МГСУ. – 2011. – № 2-2. – С. 14-18.</w:t>
      </w:r>
    </w:p>
    <w:p w:rsidR="00102687" w:rsidRPr="00102687" w:rsidRDefault="00102687" w:rsidP="00102687">
      <w:pPr>
        <w:ind w:firstLine="425"/>
        <w:jc w:val="both"/>
        <w:rPr>
          <w:rFonts w:eastAsia="Calibri"/>
          <w:bCs/>
          <w:iCs/>
          <w:sz w:val="22"/>
          <w:szCs w:val="22"/>
          <w:lang w:eastAsia="en-US"/>
        </w:rPr>
      </w:pPr>
      <w:r w:rsidRPr="00102687">
        <w:rPr>
          <w:rFonts w:eastAsia="Calibri"/>
          <w:bCs/>
          <w:iCs/>
          <w:sz w:val="22"/>
          <w:szCs w:val="22"/>
          <w:lang w:eastAsia="en-US"/>
        </w:rPr>
        <w:t>3. Субботин, О.С. Развитие систем расселения и самобытные черты в планировке населенных мест Кубани [Текст] / О.С. Субб</w:t>
      </w:r>
      <w:r w:rsidRPr="00102687">
        <w:rPr>
          <w:rFonts w:eastAsia="Calibri"/>
          <w:bCs/>
          <w:iCs/>
          <w:sz w:val="22"/>
          <w:szCs w:val="22"/>
          <w:lang w:eastAsia="en-US"/>
        </w:rPr>
        <w:t>о</w:t>
      </w:r>
      <w:r w:rsidRPr="00102687">
        <w:rPr>
          <w:rFonts w:eastAsia="Calibri"/>
          <w:bCs/>
          <w:iCs/>
          <w:sz w:val="22"/>
          <w:szCs w:val="22"/>
          <w:lang w:eastAsia="en-US"/>
        </w:rPr>
        <w:t>тин // Жилищное строительство. – 2014. – № 11. – С. 16-22.</w:t>
      </w:r>
    </w:p>
    <w:p w:rsidR="003C00E9" w:rsidRPr="00DE5CD6" w:rsidRDefault="00102687" w:rsidP="00DE5CD6">
      <w:pPr>
        <w:ind w:firstLine="425"/>
        <w:jc w:val="both"/>
        <w:rPr>
          <w:rFonts w:eastAsia="Calibri"/>
          <w:bCs/>
          <w:iCs/>
          <w:sz w:val="22"/>
          <w:szCs w:val="22"/>
          <w:lang w:eastAsia="en-US"/>
        </w:rPr>
      </w:pPr>
      <w:r w:rsidRPr="00102687">
        <w:rPr>
          <w:rFonts w:eastAsia="Calibri"/>
          <w:bCs/>
          <w:iCs/>
          <w:sz w:val="22"/>
          <w:szCs w:val="22"/>
          <w:lang w:eastAsia="en-US"/>
        </w:rPr>
        <w:lastRenderedPageBreak/>
        <w:t>4. Субботин, О.С. Памятники архитектурного наследия Т</w:t>
      </w:r>
      <w:r w:rsidRPr="00102687">
        <w:rPr>
          <w:rFonts w:eastAsia="Calibri"/>
          <w:bCs/>
          <w:iCs/>
          <w:sz w:val="22"/>
          <w:szCs w:val="22"/>
          <w:lang w:eastAsia="en-US"/>
        </w:rPr>
        <w:t>о</w:t>
      </w:r>
      <w:r w:rsidRPr="00102687">
        <w:rPr>
          <w:rFonts w:eastAsia="Calibri"/>
          <w:bCs/>
          <w:iCs/>
          <w:sz w:val="22"/>
          <w:szCs w:val="22"/>
          <w:lang w:eastAsia="en-US"/>
        </w:rPr>
        <w:t>больска [Текст] / О.С. Субботин // Жилищное строительство. – 2011. – № 10. – С. 48-50.</w:t>
      </w:r>
    </w:p>
    <w:p w:rsidR="00E22BC2" w:rsidRDefault="00E22BC2" w:rsidP="00DE5CD6">
      <w:pPr>
        <w:spacing w:line="276" w:lineRule="auto"/>
        <w:rPr>
          <w:rFonts w:eastAsia="Calibri"/>
          <w:sz w:val="22"/>
          <w:szCs w:val="22"/>
          <w:lang w:eastAsia="en-US"/>
        </w:rPr>
      </w:pPr>
    </w:p>
    <w:p w:rsidR="00E22BC2" w:rsidRDefault="00E22BC2" w:rsidP="00DE5CD6">
      <w:pPr>
        <w:spacing w:line="276" w:lineRule="auto"/>
        <w:rPr>
          <w:rFonts w:eastAsia="Calibri"/>
          <w:sz w:val="22"/>
          <w:szCs w:val="22"/>
          <w:lang w:eastAsia="en-US"/>
        </w:rPr>
      </w:pPr>
    </w:p>
    <w:p w:rsidR="00E22BC2" w:rsidRDefault="00E22BC2" w:rsidP="00DE5CD6">
      <w:pPr>
        <w:spacing w:line="276" w:lineRule="auto"/>
        <w:rPr>
          <w:rFonts w:eastAsia="Calibri"/>
          <w:sz w:val="22"/>
          <w:szCs w:val="22"/>
          <w:lang w:eastAsia="en-US"/>
        </w:rPr>
      </w:pPr>
    </w:p>
    <w:p w:rsidR="00102687" w:rsidRDefault="00102687" w:rsidP="00DE5CD6">
      <w:pPr>
        <w:spacing w:line="276" w:lineRule="auto"/>
        <w:rPr>
          <w:rFonts w:eastAsia="Calibri"/>
          <w:sz w:val="22"/>
          <w:szCs w:val="22"/>
          <w:lang w:eastAsia="en-US"/>
        </w:rPr>
      </w:pPr>
      <w:r w:rsidRPr="00C336CD">
        <w:rPr>
          <w:rFonts w:eastAsia="Calibri"/>
          <w:sz w:val="22"/>
          <w:szCs w:val="22"/>
          <w:lang w:eastAsia="en-US"/>
        </w:rPr>
        <w:t>УДК 624.21.09</w:t>
      </w:r>
    </w:p>
    <w:p w:rsidR="00E22BC2" w:rsidRDefault="00E22BC2" w:rsidP="00DE5CD6">
      <w:pPr>
        <w:spacing w:line="276" w:lineRule="auto"/>
        <w:rPr>
          <w:rFonts w:eastAsia="Calibri"/>
          <w:sz w:val="22"/>
          <w:szCs w:val="22"/>
          <w:lang w:eastAsia="en-US"/>
        </w:rPr>
      </w:pPr>
    </w:p>
    <w:p w:rsidR="00102687" w:rsidRPr="00C336CD" w:rsidRDefault="00102687" w:rsidP="00E22BC2">
      <w:pPr>
        <w:jc w:val="center"/>
        <w:rPr>
          <w:rFonts w:eastAsia="Calibri"/>
          <w:b/>
          <w:sz w:val="24"/>
          <w:szCs w:val="24"/>
          <w:lang w:eastAsia="en-US"/>
        </w:rPr>
      </w:pPr>
      <w:r w:rsidRPr="00C336CD">
        <w:rPr>
          <w:rFonts w:eastAsia="Calibri"/>
          <w:b/>
          <w:sz w:val="24"/>
          <w:szCs w:val="24"/>
          <w:lang w:eastAsia="en-US"/>
        </w:rPr>
        <w:t>Реконструкция мостов с использованием композитных материалов с целью повышения грузоподъемности</w:t>
      </w:r>
    </w:p>
    <w:p w:rsidR="00102687" w:rsidRPr="00662BE8" w:rsidRDefault="00102687" w:rsidP="00E22BC2">
      <w:pPr>
        <w:jc w:val="center"/>
        <w:rPr>
          <w:rFonts w:eastAsia="Calibri"/>
          <w:b/>
          <w:sz w:val="24"/>
          <w:szCs w:val="24"/>
          <w:lang w:val="en-US" w:eastAsia="en-US"/>
        </w:rPr>
      </w:pPr>
      <w:r w:rsidRPr="00C336CD">
        <w:rPr>
          <w:rFonts w:eastAsia="Calibri"/>
          <w:b/>
          <w:sz w:val="24"/>
          <w:szCs w:val="24"/>
          <w:lang w:val="en-US" w:eastAsia="en-US"/>
        </w:rPr>
        <w:t xml:space="preserve">Reconstruction of bridges with the use of composite </w:t>
      </w:r>
      <w:r w:rsidR="00C336CD" w:rsidRPr="00C336CD">
        <w:rPr>
          <w:rFonts w:eastAsia="Calibri"/>
          <w:b/>
          <w:sz w:val="24"/>
          <w:szCs w:val="24"/>
          <w:lang w:val="en-US" w:eastAsia="en-US"/>
        </w:rPr>
        <w:br/>
      </w:r>
      <w:r w:rsidRPr="00C336CD">
        <w:rPr>
          <w:rFonts w:eastAsia="Calibri"/>
          <w:b/>
          <w:sz w:val="24"/>
          <w:szCs w:val="24"/>
          <w:lang w:val="en-US" w:eastAsia="en-US"/>
        </w:rPr>
        <w:t>materials in order to increase the carrying capacity</w:t>
      </w:r>
    </w:p>
    <w:p w:rsidR="00DE5CD6" w:rsidRPr="00662BE8" w:rsidRDefault="00DE5CD6" w:rsidP="00DE5CD6">
      <w:pPr>
        <w:ind w:firstLine="425"/>
        <w:jc w:val="center"/>
        <w:rPr>
          <w:rFonts w:eastAsia="Calibri"/>
          <w:b/>
          <w:sz w:val="24"/>
          <w:szCs w:val="24"/>
          <w:lang w:val="en-US" w:eastAsia="en-US"/>
        </w:rPr>
      </w:pPr>
    </w:p>
    <w:p w:rsidR="00C336CD" w:rsidRDefault="00C336CD" w:rsidP="00C336CD">
      <w:pPr>
        <w:ind w:firstLine="425"/>
        <w:jc w:val="right"/>
        <w:rPr>
          <w:rFonts w:eastAsia="Calibri"/>
          <w:sz w:val="22"/>
          <w:szCs w:val="22"/>
          <w:lang w:eastAsia="en-US"/>
        </w:rPr>
      </w:pPr>
      <w:r>
        <w:rPr>
          <w:rFonts w:eastAsia="Calibri"/>
          <w:sz w:val="22"/>
          <w:szCs w:val="22"/>
          <w:lang w:eastAsia="en-US"/>
        </w:rPr>
        <w:t>Енина А. И.,</w:t>
      </w:r>
    </w:p>
    <w:p w:rsidR="00C336CD" w:rsidRDefault="00C336CD" w:rsidP="00DE5CD6">
      <w:pPr>
        <w:ind w:firstLine="425"/>
        <w:jc w:val="right"/>
        <w:rPr>
          <w:rFonts w:eastAsia="Calibri"/>
          <w:sz w:val="22"/>
          <w:szCs w:val="22"/>
          <w:lang w:eastAsia="en-US"/>
        </w:rPr>
      </w:pPr>
      <w:r>
        <w:rPr>
          <w:rFonts w:eastAsia="Calibri"/>
          <w:sz w:val="22"/>
          <w:szCs w:val="22"/>
          <w:lang w:eastAsia="en-US"/>
        </w:rPr>
        <w:t>магистрант 1-го курса</w:t>
      </w:r>
      <w:r w:rsidR="00DE5CD6">
        <w:rPr>
          <w:rFonts w:eastAsia="Calibri"/>
          <w:sz w:val="22"/>
          <w:szCs w:val="22"/>
          <w:lang w:eastAsia="en-US"/>
        </w:rPr>
        <w:t xml:space="preserve"> </w:t>
      </w:r>
      <w:r w:rsidRPr="00C336CD">
        <w:rPr>
          <w:rFonts w:eastAsia="Calibri"/>
          <w:sz w:val="22"/>
          <w:szCs w:val="22"/>
          <w:lang w:eastAsia="en-US"/>
        </w:rPr>
        <w:t>архитектурно-строительного факультета</w:t>
      </w:r>
    </w:p>
    <w:p w:rsidR="00C336CD" w:rsidRDefault="00C336CD" w:rsidP="00C336CD">
      <w:pPr>
        <w:ind w:firstLine="425"/>
        <w:jc w:val="right"/>
        <w:rPr>
          <w:rFonts w:eastAsia="Calibri"/>
          <w:sz w:val="22"/>
          <w:szCs w:val="22"/>
          <w:lang w:eastAsia="en-US"/>
        </w:rPr>
      </w:pPr>
      <w:r>
        <w:rPr>
          <w:rFonts w:eastAsia="Calibri"/>
          <w:sz w:val="22"/>
          <w:szCs w:val="22"/>
          <w:lang w:eastAsia="en-US"/>
        </w:rPr>
        <w:t>Рудченко И. И.,</w:t>
      </w:r>
    </w:p>
    <w:p w:rsidR="00102687" w:rsidRPr="00C336CD" w:rsidRDefault="00102687" w:rsidP="00C336CD">
      <w:pPr>
        <w:ind w:firstLine="425"/>
        <w:jc w:val="right"/>
        <w:rPr>
          <w:rFonts w:eastAsia="Calibri"/>
          <w:b/>
          <w:sz w:val="22"/>
          <w:szCs w:val="22"/>
          <w:lang w:eastAsia="en-US"/>
        </w:rPr>
      </w:pPr>
      <w:r w:rsidRPr="00C336CD">
        <w:rPr>
          <w:rFonts w:eastAsia="Calibri"/>
          <w:sz w:val="22"/>
          <w:szCs w:val="22"/>
          <w:lang w:eastAsia="en-US"/>
        </w:rPr>
        <w:t>кандидат технических наук, доцент</w:t>
      </w:r>
    </w:p>
    <w:p w:rsidR="00C336CD" w:rsidRDefault="00102687" w:rsidP="00C336CD">
      <w:pPr>
        <w:ind w:firstLine="425"/>
        <w:jc w:val="right"/>
        <w:rPr>
          <w:rFonts w:eastAsia="Calibri"/>
          <w:sz w:val="22"/>
          <w:szCs w:val="22"/>
          <w:lang w:eastAsia="en-US"/>
        </w:rPr>
      </w:pPr>
      <w:r w:rsidRPr="00C336CD">
        <w:rPr>
          <w:rFonts w:eastAsia="Calibri"/>
          <w:sz w:val="22"/>
          <w:szCs w:val="22"/>
          <w:lang w:eastAsia="en-US"/>
        </w:rPr>
        <w:t>Кубанский госуд</w:t>
      </w:r>
      <w:r w:rsidR="00C336CD">
        <w:rPr>
          <w:rFonts w:eastAsia="Calibri"/>
          <w:sz w:val="22"/>
          <w:szCs w:val="22"/>
          <w:lang w:eastAsia="en-US"/>
        </w:rPr>
        <w:t>арственный аграрный</w:t>
      </w:r>
    </w:p>
    <w:p w:rsidR="00102687" w:rsidRPr="00C336CD" w:rsidRDefault="00C336CD" w:rsidP="00C336CD">
      <w:pPr>
        <w:ind w:firstLine="425"/>
        <w:jc w:val="right"/>
        <w:rPr>
          <w:rFonts w:eastAsia="Calibri"/>
          <w:sz w:val="22"/>
          <w:szCs w:val="22"/>
          <w:lang w:eastAsia="en-US"/>
        </w:rPr>
      </w:pPr>
      <w:r>
        <w:rPr>
          <w:rFonts w:eastAsia="Calibri"/>
          <w:sz w:val="22"/>
          <w:szCs w:val="22"/>
          <w:lang w:eastAsia="en-US"/>
        </w:rPr>
        <w:t xml:space="preserve">университет </w:t>
      </w:r>
      <w:r w:rsidR="00102687" w:rsidRPr="00C336CD">
        <w:rPr>
          <w:rFonts w:eastAsia="Calibri"/>
          <w:sz w:val="22"/>
          <w:szCs w:val="22"/>
          <w:lang w:eastAsia="en-US"/>
        </w:rPr>
        <w:t>им. И.</w:t>
      </w:r>
      <w:r>
        <w:rPr>
          <w:rFonts w:eastAsia="Calibri"/>
          <w:sz w:val="22"/>
          <w:szCs w:val="22"/>
          <w:lang w:eastAsia="en-US"/>
        </w:rPr>
        <w:t xml:space="preserve"> </w:t>
      </w:r>
      <w:r w:rsidR="00102687" w:rsidRPr="00C336CD">
        <w:rPr>
          <w:rFonts w:eastAsia="Calibri"/>
          <w:sz w:val="22"/>
          <w:szCs w:val="22"/>
          <w:lang w:eastAsia="en-US"/>
        </w:rPr>
        <w:t>Т. Трубилина</w:t>
      </w:r>
    </w:p>
    <w:p w:rsidR="00102687" w:rsidRPr="00281602" w:rsidRDefault="00102687" w:rsidP="00102687">
      <w:pPr>
        <w:ind w:firstLine="425"/>
        <w:jc w:val="both"/>
        <w:rPr>
          <w:rFonts w:eastAsia="Calibri"/>
          <w:sz w:val="22"/>
          <w:szCs w:val="22"/>
          <w:lang w:eastAsia="en-US"/>
        </w:rPr>
      </w:pPr>
    </w:p>
    <w:p w:rsidR="00102687" w:rsidRPr="00281602" w:rsidRDefault="00C336CD" w:rsidP="00102687">
      <w:pPr>
        <w:ind w:firstLine="425"/>
        <w:jc w:val="both"/>
        <w:rPr>
          <w:rFonts w:eastAsia="Calibri"/>
          <w:sz w:val="22"/>
          <w:szCs w:val="22"/>
          <w:lang w:eastAsia="en-US"/>
        </w:rPr>
      </w:pPr>
      <w:r w:rsidRPr="00281602">
        <w:rPr>
          <w:rFonts w:eastAsia="Calibri"/>
          <w:sz w:val="22"/>
          <w:szCs w:val="22"/>
          <w:lang w:eastAsia="en-US"/>
        </w:rPr>
        <w:t>АННОТАЦИЯ:</w:t>
      </w:r>
      <w:r w:rsidR="00DE5CD6">
        <w:rPr>
          <w:rFonts w:eastAsia="Calibri"/>
          <w:sz w:val="22"/>
          <w:szCs w:val="22"/>
          <w:lang w:eastAsia="en-US"/>
        </w:rPr>
        <w:t xml:space="preserve"> в статье анализируется </w:t>
      </w:r>
      <w:r w:rsidR="00102687" w:rsidRPr="00281602">
        <w:rPr>
          <w:rFonts w:eastAsia="Calibri"/>
          <w:sz w:val="22"/>
          <w:szCs w:val="22"/>
          <w:lang w:eastAsia="en-US"/>
        </w:rPr>
        <w:t>данные технического состояния железобетонных пролетных строений автодорожных м</w:t>
      </w:r>
      <w:r w:rsidR="00102687" w:rsidRPr="00281602">
        <w:rPr>
          <w:rFonts w:eastAsia="Calibri"/>
          <w:sz w:val="22"/>
          <w:szCs w:val="22"/>
          <w:lang w:eastAsia="en-US"/>
        </w:rPr>
        <w:t>о</w:t>
      </w:r>
      <w:r w:rsidR="00102687" w:rsidRPr="00281602">
        <w:rPr>
          <w:rFonts w:eastAsia="Calibri"/>
          <w:sz w:val="22"/>
          <w:szCs w:val="22"/>
          <w:lang w:eastAsia="en-US"/>
        </w:rPr>
        <w:t>стов, эксплуатируемых на дорогах Краснодарского края, обоснов</w:t>
      </w:r>
      <w:r w:rsidR="00102687" w:rsidRPr="00281602">
        <w:rPr>
          <w:rFonts w:eastAsia="Calibri"/>
          <w:sz w:val="22"/>
          <w:szCs w:val="22"/>
          <w:lang w:eastAsia="en-US"/>
        </w:rPr>
        <w:t>а</w:t>
      </w:r>
      <w:r w:rsidR="00102687" w:rsidRPr="00281602">
        <w:rPr>
          <w:rFonts w:eastAsia="Calibri"/>
          <w:sz w:val="22"/>
          <w:szCs w:val="22"/>
          <w:lang w:eastAsia="en-US"/>
        </w:rPr>
        <w:t>на необходимость их усиления, а также рассмотрены различные способы повышения грузоподъемности</w:t>
      </w:r>
    </w:p>
    <w:p w:rsidR="00102687" w:rsidRPr="00281602" w:rsidRDefault="00C336CD" w:rsidP="00102687">
      <w:pPr>
        <w:ind w:firstLine="425"/>
        <w:jc w:val="both"/>
        <w:rPr>
          <w:rFonts w:eastAsia="Calibri"/>
          <w:sz w:val="22"/>
          <w:szCs w:val="22"/>
          <w:lang w:val="en-US" w:eastAsia="en-US"/>
        </w:rPr>
      </w:pPr>
      <w:r w:rsidRPr="00281602">
        <w:rPr>
          <w:rFonts w:eastAsia="Calibri"/>
          <w:sz w:val="22"/>
          <w:szCs w:val="22"/>
          <w:lang w:val="en-US" w:eastAsia="en-US"/>
        </w:rPr>
        <w:t>ANNOTATION:</w:t>
      </w:r>
      <w:r w:rsidR="00102687" w:rsidRPr="00281602">
        <w:rPr>
          <w:rFonts w:eastAsia="Calibri"/>
          <w:sz w:val="22"/>
          <w:szCs w:val="22"/>
          <w:lang w:val="en-US" w:eastAsia="en-US"/>
        </w:rPr>
        <w:t xml:space="preserve"> In the article the data of the technical condition of ferroconcrete flying structures of road bridges operated on the roads of the Krasnodar Territory is analyzed, the necessity of their reinforcement is justified, and various ways of increasing the carrying capacity are co</w:t>
      </w:r>
      <w:r w:rsidR="00102687" w:rsidRPr="00281602">
        <w:rPr>
          <w:rFonts w:eastAsia="Calibri"/>
          <w:sz w:val="22"/>
          <w:szCs w:val="22"/>
          <w:lang w:val="en-US" w:eastAsia="en-US"/>
        </w:rPr>
        <w:t>n</w:t>
      </w:r>
      <w:r w:rsidR="00102687" w:rsidRPr="00281602">
        <w:rPr>
          <w:rFonts w:eastAsia="Calibri"/>
          <w:sz w:val="22"/>
          <w:szCs w:val="22"/>
          <w:lang w:val="en-US" w:eastAsia="en-US"/>
        </w:rPr>
        <w:t>sidered</w:t>
      </w:r>
    </w:p>
    <w:p w:rsidR="00102687" w:rsidRPr="00281602" w:rsidRDefault="00C336CD" w:rsidP="00102687">
      <w:pPr>
        <w:ind w:firstLine="425"/>
        <w:jc w:val="both"/>
        <w:rPr>
          <w:rFonts w:eastAsia="Calibri"/>
          <w:sz w:val="22"/>
          <w:szCs w:val="22"/>
          <w:lang w:eastAsia="en-US"/>
        </w:rPr>
      </w:pPr>
      <w:r w:rsidRPr="00281602">
        <w:rPr>
          <w:rFonts w:eastAsia="Calibri"/>
          <w:sz w:val="22"/>
          <w:szCs w:val="22"/>
          <w:lang w:eastAsia="en-US"/>
        </w:rPr>
        <w:t>КЛЮЧЕВЫЕ СЛОВА:</w:t>
      </w:r>
      <w:r w:rsidR="00102687" w:rsidRPr="00281602">
        <w:rPr>
          <w:rFonts w:eastAsia="Calibri"/>
          <w:sz w:val="22"/>
          <w:szCs w:val="22"/>
          <w:lang w:eastAsia="en-US"/>
        </w:rPr>
        <w:t xml:space="preserve"> прочность, композиты, усиление, д</w:t>
      </w:r>
      <w:r w:rsidR="00102687" w:rsidRPr="00281602">
        <w:rPr>
          <w:rFonts w:eastAsia="Calibri"/>
          <w:sz w:val="22"/>
          <w:szCs w:val="22"/>
          <w:lang w:eastAsia="en-US"/>
        </w:rPr>
        <w:t>е</w:t>
      </w:r>
      <w:r w:rsidR="00102687" w:rsidRPr="00281602">
        <w:rPr>
          <w:rFonts w:eastAsia="Calibri"/>
          <w:sz w:val="22"/>
          <w:szCs w:val="22"/>
          <w:lang w:eastAsia="en-US"/>
        </w:rPr>
        <w:t>фекты, физический износ</w:t>
      </w:r>
    </w:p>
    <w:p w:rsidR="00102687" w:rsidRPr="00281602" w:rsidRDefault="00C336CD" w:rsidP="00102687">
      <w:pPr>
        <w:ind w:firstLine="425"/>
        <w:jc w:val="both"/>
        <w:rPr>
          <w:rFonts w:eastAsia="Calibri"/>
          <w:sz w:val="22"/>
          <w:szCs w:val="22"/>
          <w:lang w:val="en-US" w:eastAsia="en-US"/>
        </w:rPr>
      </w:pPr>
      <w:r w:rsidRPr="00281602">
        <w:rPr>
          <w:rFonts w:eastAsia="Calibri"/>
          <w:sz w:val="22"/>
          <w:szCs w:val="22"/>
          <w:lang w:val="en-US" w:eastAsia="en-US"/>
        </w:rPr>
        <w:t>KEYWORDS:</w:t>
      </w:r>
      <w:r w:rsidR="00102687" w:rsidRPr="00281602">
        <w:rPr>
          <w:rFonts w:eastAsia="Calibri"/>
          <w:sz w:val="22"/>
          <w:szCs w:val="22"/>
          <w:lang w:val="en-US" w:eastAsia="en-US"/>
        </w:rPr>
        <w:t xml:space="preserve"> strength, composites, reinforcement, defects, phys</w:t>
      </w:r>
      <w:r w:rsidR="00102687" w:rsidRPr="00281602">
        <w:rPr>
          <w:rFonts w:eastAsia="Calibri"/>
          <w:sz w:val="22"/>
          <w:szCs w:val="22"/>
          <w:lang w:val="en-US" w:eastAsia="en-US"/>
        </w:rPr>
        <w:t>i</w:t>
      </w:r>
      <w:r w:rsidR="00102687" w:rsidRPr="00281602">
        <w:rPr>
          <w:rFonts w:eastAsia="Calibri"/>
          <w:sz w:val="22"/>
          <w:szCs w:val="22"/>
          <w:lang w:val="en-US" w:eastAsia="en-US"/>
        </w:rPr>
        <w:t>cal wear</w:t>
      </w:r>
    </w:p>
    <w:p w:rsidR="00102687" w:rsidRPr="00281602" w:rsidRDefault="00102687" w:rsidP="00102687">
      <w:pPr>
        <w:jc w:val="both"/>
        <w:rPr>
          <w:rFonts w:eastAsia="Calibri"/>
          <w:sz w:val="22"/>
          <w:szCs w:val="22"/>
          <w:lang w:val="en-US" w:eastAsia="en-US"/>
        </w:rPr>
      </w:pPr>
    </w:p>
    <w:p w:rsidR="00102687" w:rsidRPr="00281602" w:rsidRDefault="00102687" w:rsidP="00102687">
      <w:pPr>
        <w:ind w:firstLine="425"/>
        <w:jc w:val="both"/>
        <w:rPr>
          <w:rFonts w:eastAsia="Calibri"/>
          <w:sz w:val="22"/>
          <w:szCs w:val="22"/>
          <w:lang w:eastAsia="en-US"/>
        </w:rPr>
      </w:pPr>
      <w:r w:rsidRPr="00281602">
        <w:rPr>
          <w:rFonts w:eastAsia="Calibri"/>
          <w:sz w:val="22"/>
          <w:szCs w:val="22"/>
          <w:lang w:eastAsia="en-US"/>
        </w:rPr>
        <w:t>В настоящее время на автомобильных дорогах общего польз</w:t>
      </w:r>
      <w:r w:rsidRPr="00281602">
        <w:rPr>
          <w:rFonts w:eastAsia="Calibri"/>
          <w:sz w:val="22"/>
          <w:szCs w:val="22"/>
          <w:lang w:eastAsia="en-US"/>
        </w:rPr>
        <w:t>о</w:t>
      </w:r>
      <w:r w:rsidRPr="00281602">
        <w:rPr>
          <w:rFonts w:eastAsia="Calibri"/>
          <w:sz w:val="22"/>
          <w:szCs w:val="22"/>
          <w:lang w:eastAsia="en-US"/>
        </w:rPr>
        <w:t xml:space="preserve">вания Краснодарского края эксплуатируются 830 мостов общей </w:t>
      </w:r>
      <w:r w:rsidRPr="00281602">
        <w:rPr>
          <w:rFonts w:eastAsia="Calibri"/>
          <w:sz w:val="22"/>
          <w:szCs w:val="22"/>
          <w:lang w:eastAsia="en-US"/>
        </w:rPr>
        <w:lastRenderedPageBreak/>
        <w:t>протяженностью более 30 тысяч погонных метров, в том числе б</w:t>
      </w:r>
      <w:r w:rsidRPr="00281602">
        <w:rPr>
          <w:rFonts w:eastAsia="Calibri"/>
          <w:sz w:val="22"/>
          <w:szCs w:val="22"/>
          <w:lang w:eastAsia="en-US"/>
        </w:rPr>
        <w:t>о</w:t>
      </w:r>
      <w:r w:rsidRPr="00281602">
        <w:rPr>
          <w:rFonts w:eastAsia="Calibri"/>
          <w:sz w:val="22"/>
          <w:szCs w:val="22"/>
          <w:lang w:eastAsia="en-US"/>
        </w:rPr>
        <w:t>лее 250 мостовых сооружений с железобетонными пролетными строениями[1].</w:t>
      </w:r>
    </w:p>
    <w:p w:rsidR="00102687" w:rsidRPr="00281602" w:rsidRDefault="00102687" w:rsidP="00102687">
      <w:pPr>
        <w:ind w:firstLine="425"/>
        <w:jc w:val="both"/>
        <w:rPr>
          <w:rFonts w:eastAsia="Calibri"/>
          <w:sz w:val="22"/>
          <w:szCs w:val="22"/>
          <w:lang w:eastAsia="en-US"/>
        </w:rPr>
      </w:pPr>
      <w:r w:rsidRPr="00281602">
        <w:rPr>
          <w:rFonts w:eastAsia="Calibri"/>
          <w:sz w:val="22"/>
          <w:szCs w:val="22"/>
          <w:lang w:eastAsia="en-US"/>
        </w:rPr>
        <w:t>В Краснодарском крае проблема технического состояния авт</w:t>
      </w:r>
      <w:r w:rsidRPr="00281602">
        <w:rPr>
          <w:rFonts w:eastAsia="Calibri"/>
          <w:sz w:val="22"/>
          <w:szCs w:val="22"/>
          <w:lang w:eastAsia="en-US"/>
        </w:rPr>
        <w:t>о</w:t>
      </w:r>
      <w:r w:rsidRPr="00281602">
        <w:rPr>
          <w:rFonts w:eastAsia="Calibri"/>
          <w:sz w:val="22"/>
          <w:szCs w:val="22"/>
          <w:lang w:eastAsia="en-US"/>
        </w:rPr>
        <w:t>дорожных мостов весьма актуальна и усугубляется тем, что бол</w:t>
      </w:r>
      <w:r w:rsidRPr="00281602">
        <w:rPr>
          <w:rFonts w:eastAsia="Calibri"/>
          <w:sz w:val="22"/>
          <w:szCs w:val="22"/>
          <w:lang w:eastAsia="en-US"/>
        </w:rPr>
        <w:t>ь</w:t>
      </w:r>
      <w:r w:rsidRPr="00281602">
        <w:rPr>
          <w:rFonts w:eastAsia="Calibri"/>
          <w:sz w:val="22"/>
          <w:szCs w:val="22"/>
          <w:lang w:eastAsia="en-US"/>
        </w:rPr>
        <w:t>шое количество сооружений находятся в неудовлетворительном состоянии, как на асфальтированных дорогах общего пользования, так и на проселочных грунтовых дорогах сельского типа. Старые автодорожные мосты по грузоподъемности не соответствуют с</w:t>
      </w:r>
      <w:r w:rsidRPr="00281602">
        <w:rPr>
          <w:rFonts w:eastAsia="Calibri"/>
          <w:sz w:val="22"/>
          <w:szCs w:val="22"/>
          <w:lang w:eastAsia="en-US"/>
        </w:rPr>
        <w:t>о</w:t>
      </w:r>
      <w:r w:rsidRPr="00281602">
        <w:rPr>
          <w:rFonts w:eastAsia="Calibri"/>
          <w:sz w:val="22"/>
          <w:szCs w:val="22"/>
          <w:lang w:eastAsia="en-US"/>
        </w:rPr>
        <w:t>временным требованиям автодвижения. В связи с постоянным  ув</w:t>
      </w:r>
      <w:r w:rsidRPr="00281602">
        <w:rPr>
          <w:rFonts w:eastAsia="Calibri"/>
          <w:sz w:val="22"/>
          <w:szCs w:val="22"/>
          <w:lang w:eastAsia="en-US"/>
        </w:rPr>
        <w:t>е</w:t>
      </w:r>
      <w:r w:rsidRPr="00281602">
        <w:rPr>
          <w:rFonts w:eastAsia="Calibri"/>
          <w:sz w:val="22"/>
          <w:szCs w:val="22"/>
          <w:lang w:eastAsia="en-US"/>
        </w:rPr>
        <w:t>личением объема грузооборота и ростом интенсивности движения возрастает необходимость замены мостов новыми  расширенными габаритами и с увеличенной грузоподъемностью, но строить новые мосты в большом количестве очень дорого и трудозатратно. Поэт</w:t>
      </w:r>
      <w:r w:rsidRPr="00281602">
        <w:rPr>
          <w:rFonts w:eastAsia="Calibri"/>
          <w:sz w:val="22"/>
          <w:szCs w:val="22"/>
          <w:lang w:eastAsia="en-US"/>
        </w:rPr>
        <w:t>о</w:t>
      </w:r>
      <w:r w:rsidRPr="00281602">
        <w:rPr>
          <w:rFonts w:eastAsia="Calibri"/>
          <w:sz w:val="22"/>
          <w:szCs w:val="22"/>
          <w:lang w:eastAsia="en-US"/>
        </w:rPr>
        <w:t>му рациональная организация эксплуатации мостов предусматрив</w:t>
      </w:r>
      <w:r w:rsidRPr="00281602">
        <w:rPr>
          <w:rFonts w:eastAsia="Calibri"/>
          <w:sz w:val="22"/>
          <w:szCs w:val="22"/>
          <w:lang w:eastAsia="en-US"/>
        </w:rPr>
        <w:t>а</w:t>
      </w:r>
      <w:r w:rsidRPr="00281602">
        <w:rPr>
          <w:rFonts w:eastAsia="Calibri"/>
          <w:sz w:val="22"/>
          <w:szCs w:val="22"/>
          <w:lang w:eastAsia="en-US"/>
        </w:rPr>
        <w:t xml:space="preserve">ет не только их тщательное содержание и плановые ремонты, но и их </w:t>
      </w:r>
      <w:proofErr w:type="gramStart"/>
      <w:r w:rsidRPr="00281602">
        <w:rPr>
          <w:rFonts w:eastAsia="Calibri"/>
          <w:sz w:val="22"/>
          <w:szCs w:val="22"/>
          <w:lang w:eastAsia="en-US"/>
        </w:rPr>
        <w:t>усиление</w:t>
      </w:r>
      <w:proofErr w:type="gramEnd"/>
      <w:r w:rsidRPr="00281602">
        <w:rPr>
          <w:rFonts w:eastAsia="Calibri"/>
          <w:sz w:val="22"/>
          <w:szCs w:val="22"/>
          <w:lang w:eastAsia="en-US"/>
        </w:rPr>
        <w:t xml:space="preserve"> и реконструкцию[2].</w:t>
      </w:r>
    </w:p>
    <w:p w:rsidR="00102687" w:rsidRPr="00281602" w:rsidRDefault="00102687" w:rsidP="00102687">
      <w:pPr>
        <w:ind w:firstLine="425"/>
        <w:jc w:val="both"/>
        <w:rPr>
          <w:rFonts w:eastAsia="Calibri"/>
          <w:sz w:val="22"/>
          <w:szCs w:val="22"/>
          <w:lang w:eastAsia="en-US"/>
        </w:rPr>
      </w:pPr>
      <w:r w:rsidRPr="00281602">
        <w:rPr>
          <w:rFonts w:eastAsia="Calibri"/>
          <w:sz w:val="22"/>
          <w:szCs w:val="22"/>
          <w:lang w:eastAsia="en-US"/>
        </w:rPr>
        <w:t>Обработка данных о состоянии 173 мостовых сооружений с железобетонными пролетными строениями показала, что 21% м</w:t>
      </w:r>
      <w:r w:rsidRPr="00281602">
        <w:rPr>
          <w:rFonts w:eastAsia="Calibri"/>
          <w:sz w:val="22"/>
          <w:szCs w:val="22"/>
          <w:lang w:eastAsia="en-US"/>
        </w:rPr>
        <w:t>о</w:t>
      </w:r>
      <w:r w:rsidRPr="00281602">
        <w:rPr>
          <w:rFonts w:eastAsia="Calibri"/>
          <w:sz w:val="22"/>
          <w:szCs w:val="22"/>
          <w:lang w:eastAsia="en-US"/>
        </w:rPr>
        <w:t>стов имеют неудовлетворительное состояние и не отвечают совр</w:t>
      </w:r>
      <w:r w:rsidRPr="00281602">
        <w:rPr>
          <w:rFonts w:eastAsia="Calibri"/>
          <w:sz w:val="22"/>
          <w:szCs w:val="22"/>
          <w:lang w:eastAsia="en-US"/>
        </w:rPr>
        <w:t>е</w:t>
      </w:r>
      <w:r w:rsidRPr="00281602">
        <w:rPr>
          <w:rFonts w:eastAsia="Calibri"/>
          <w:sz w:val="22"/>
          <w:szCs w:val="22"/>
          <w:lang w:eastAsia="en-US"/>
        </w:rPr>
        <w:t>менным требованиям по условиям пропускной способности, долг</w:t>
      </w:r>
      <w:r w:rsidRPr="00281602">
        <w:rPr>
          <w:rFonts w:eastAsia="Calibri"/>
          <w:sz w:val="22"/>
          <w:szCs w:val="22"/>
          <w:lang w:eastAsia="en-US"/>
        </w:rPr>
        <w:t>о</w:t>
      </w:r>
      <w:r w:rsidRPr="00281602">
        <w:rPr>
          <w:rFonts w:eastAsia="Calibri"/>
          <w:sz w:val="22"/>
          <w:szCs w:val="22"/>
          <w:lang w:eastAsia="en-US"/>
        </w:rPr>
        <w:t>вечности и грузоподъемности. 69% мостов находятся в удовлетв</w:t>
      </w:r>
      <w:r w:rsidRPr="00281602">
        <w:rPr>
          <w:rFonts w:eastAsia="Calibri"/>
          <w:sz w:val="22"/>
          <w:szCs w:val="22"/>
          <w:lang w:eastAsia="en-US"/>
        </w:rPr>
        <w:t>о</w:t>
      </w:r>
      <w:r w:rsidRPr="00281602">
        <w:rPr>
          <w:rFonts w:eastAsia="Calibri"/>
          <w:sz w:val="22"/>
          <w:szCs w:val="22"/>
          <w:lang w:eastAsia="en-US"/>
        </w:rPr>
        <w:t>рительном состоянии, и не соответствуют требованиям нормати</w:t>
      </w:r>
      <w:r w:rsidRPr="00281602">
        <w:rPr>
          <w:rFonts w:eastAsia="Calibri"/>
          <w:sz w:val="22"/>
          <w:szCs w:val="22"/>
          <w:lang w:eastAsia="en-US"/>
        </w:rPr>
        <w:t>в</w:t>
      </w:r>
      <w:r w:rsidRPr="00281602">
        <w:rPr>
          <w:rFonts w:eastAsia="Calibri"/>
          <w:sz w:val="22"/>
          <w:szCs w:val="22"/>
          <w:lang w:eastAsia="en-US"/>
        </w:rPr>
        <w:t>ной, и проектной документации. И лишь 10% мостов имеют хор</w:t>
      </w:r>
      <w:r w:rsidRPr="00281602">
        <w:rPr>
          <w:rFonts w:eastAsia="Calibri"/>
          <w:sz w:val="22"/>
          <w:szCs w:val="22"/>
          <w:lang w:eastAsia="en-US"/>
        </w:rPr>
        <w:t>о</w:t>
      </w:r>
      <w:r w:rsidRPr="00281602">
        <w:rPr>
          <w:rFonts w:eastAsia="Calibri"/>
          <w:sz w:val="22"/>
          <w:szCs w:val="22"/>
          <w:lang w:eastAsia="en-US"/>
        </w:rPr>
        <w:t>шее техническое состояние[3].</w:t>
      </w:r>
    </w:p>
    <w:p w:rsidR="00102687" w:rsidRPr="00281602" w:rsidRDefault="00102687" w:rsidP="00102687">
      <w:pPr>
        <w:ind w:firstLine="425"/>
        <w:jc w:val="both"/>
        <w:rPr>
          <w:rFonts w:eastAsia="Calibri"/>
          <w:sz w:val="22"/>
          <w:szCs w:val="22"/>
          <w:lang w:eastAsia="en-US"/>
        </w:rPr>
      </w:pPr>
      <w:r w:rsidRPr="00281602">
        <w:rPr>
          <w:rFonts w:eastAsia="Calibri"/>
          <w:sz w:val="22"/>
          <w:szCs w:val="22"/>
          <w:lang w:eastAsia="en-US"/>
        </w:rPr>
        <w:t>Действенным способом увеличения несущей способности а</w:t>
      </w:r>
      <w:r w:rsidRPr="00281602">
        <w:rPr>
          <w:rFonts w:eastAsia="Calibri"/>
          <w:sz w:val="22"/>
          <w:szCs w:val="22"/>
          <w:lang w:eastAsia="en-US"/>
        </w:rPr>
        <w:t>в</w:t>
      </w:r>
      <w:r w:rsidRPr="00281602">
        <w:rPr>
          <w:rFonts w:eastAsia="Calibri"/>
          <w:sz w:val="22"/>
          <w:szCs w:val="22"/>
          <w:lang w:eastAsia="en-US"/>
        </w:rPr>
        <w:t>тодорожных мостов считается применение современной технологии усиления композитными материалами [4].</w:t>
      </w:r>
    </w:p>
    <w:p w:rsidR="00102687" w:rsidRPr="00281602" w:rsidRDefault="00102687" w:rsidP="00102687">
      <w:pPr>
        <w:ind w:firstLine="425"/>
        <w:jc w:val="both"/>
        <w:rPr>
          <w:rFonts w:eastAsia="Calibri"/>
          <w:sz w:val="22"/>
          <w:szCs w:val="22"/>
          <w:lang w:eastAsia="en-US"/>
        </w:rPr>
      </w:pPr>
      <w:r w:rsidRPr="00281602">
        <w:rPr>
          <w:rFonts w:eastAsia="Calibri"/>
          <w:sz w:val="22"/>
          <w:szCs w:val="22"/>
          <w:lang w:eastAsia="en-US"/>
        </w:rPr>
        <w:t>Для реконструкции железобетонных пролетных строений пр</w:t>
      </w:r>
      <w:r w:rsidRPr="00281602">
        <w:rPr>
          <w:rFonts w:eastAsia="Calibri"/>
          <w:sz w:val="22"/>
          <w:szCs w:val="22"/>
          <w:lang w:eastAsia="en-US"/>
        </w:rPr>
        <w:t>и</w:t>
      </w:r>
      <w:r w:rsidRPr="00281602">
        <w:rPr>
          <w:rFonts w:eastAsia="Calibri"/>
          <w:sz w:val="22"/>
          <w:szCs w:val="22"/>
          <w:lang w:eastAsia="en-US"/>
        </w:rPr>
        <w:t>меняются композитные материалы, подразделяющиеся на две гру</w:t>
      </w:r>
      <w:r w:rsidRPr="00281602">
        <w:rPr>
          <w:rFonts w:eastAsia="Calibri"/>
          <w:sz w:val="22"/>
          <w:szCs w:val="22"/>
          <w:lang w:eastAsia="en-US"/>
        </w:rPr>
        <w:t>п</w:t>
      </w:r>
      <w:r w:rsidRPr="00281602">
        <w:rPr>
          <w:rFonts w:eastAsia="Calibri"/>
          <w:sz w:val="22"/>
          <w:szCs w:val="22"/>
          <w:lang w:eastAsia="en-US"/>
        </w:rPr>
        <w:t>пы: холсты и ламинаты [5].</w:t>
      </w:r>
    </w:p>
    <w:p w:rsidR="00102687" w:rsidRPr="00281602" w:rsidRDefault="00102687" w:rsidP="00E22BC2">
      <w:pPr>
        <w:ind w:firstLine="425"/>
        <w:jc w:val="both"/>
        <w:rPr>
          <w:rFonts w:eastAsia="Calibri"/>
          <w:sz w:val="22"/>
          <w:szCs w:val="22"/>
          <w:lang w:eastAsia="en-US"/>
        </w:rPr>
      </w:pPr>
      <w:r w:rsidRPr="00281602">
        <w:rPr>
          <w:rFonts w:eastAsia="Calibri"/>
          <w:sz w:val="22"/>
          <w:szCs w:val="22"/>
          <w:lang w:eastAsia="en-US"/>
        </w:rPr>
        <w:t>Выбор способа усиления определяется, во-первых, конструкц</w:t>
      </w:r>
      <w:r w:rsidRPr="00281602">
        <w:rPr>
          <w:rFonts w:eastAsia="Calibri"/>
          <w:sz w:val="22"/>
          <w:szCs w:val="22"/>
          <w:lang w:eastAsia="en-US"/>
        </w:rPr>
        <w:t>и</w:t>
      </w:r>
      <w:r w:rsidRPr="00281602">
        <w:rPr>
          <w:rFonts w:eastAsia="Calibri"/>
          <w:sz w:val="22"/>
          <w:szCs w:val="22"/>
          <w:lang w:eastAsia="en-US"/>
        </w:rPr>
        <w:t>ей пролетного строения и моста, имеющимися техническими во</w:t>
      </w:r>
      <w:r w:rsidRPr="00281602">
        <w:rPr>
          <w:rFonts w:eastAsia="Calibri"/>
          <w:sz w:val="22"/>
          <w:szCs w:val="22"/>
          <w:lang w:eastAsia="en-US"/>
        </w:rPr>
        <w:t>з</w:t>
      </w:r>
      <w:r w:rsidRPr="00281602">
        <w:rPr>
          <w:rFonts w:eastAsia="Calibri"/>
          <w:sz w:val="22"/>
          <w:szCs w:val="22"/>
          <w:lang w:eastAsia="en-US"/>
        </w:rPr>
        <w:t>можностями и ресурсами, во-вторых, тем, насколько они удовл</w:t>
      </w:r>
      <w:r w:rsidRPr="00281602">
        <w:rPr>
          <w:rFonts w:eastAsia="Calibri"/>
          <w:sz w:val="22"/>
          <w:szCs w:val="22"/>
          <w:lang w:eastAsia="en-US"/>
        </w:rPr>
        <w:t>е</w:t>
      </w:r>
      <w:r w:rsidRPr="00281602">
        <w:rPr>
          <w:rFonts w:eastAsia="Calibri"/>
          <w:sz w:val="22"/>
          <w:szCs w:val="22"/>
          <w:lang w:eastAsia="en-US"/>
        </w:rPr>
        <w:t>творяют требованиям сохранения движения по мосту.</w:t>
      </w:r>
    </w:p>
    <w:p w:rsidR="00102687" w:rsidRPr="00281602" w:rsidRDefault="00102687" w:rsidP="00C336CD">
      <w:pPr>
        <w:ind w:left="425"/>
        <w:contextualSpacing/>
        <w:jc w:val="center"/>
        <w:rPr>
          <w:rFonts w:eastAsia="Calibri"/>
          <w:sz w:val="22"/>
          <w:szCs w:val="22"/>
          <w:lang w:eastAsia="en-US"/>
        </w:rPr>
      </w:pPr>
      <w:r w:rsidRPr="00281602">
        <w:rPr>
          <w:rFonts w:eastAsia="Calibri"/>
          <w:sz w:val="22"/>
          <w:szCs w:val="22"/>
          <w:lang w:eastAsia="en-US"/>
        </w:rPr>
        <w:t>Список литературы</w:t>
      </w:r>
    </w:p>
    <w:p w:rsidR="00102687" w:rsidRPr="00281602" w:rsidRDefault="00102687" w:rsidP="00C336CD">
      <w:pPr>
        <w:numPr>
          <w:ilvl w:val="0"/>
          <w:numId w:val="20"/>
        </w:numPr>
        <w:spacing w:after="200"/>
        <w:ind w:left="0" w:firstLine="425"/>
        <w:contextualSpacing/>
        <w:jc w:val="both"/>
        <w:rPr>
          <w:rFonts w:eastAsia="Calibri"/>
          <w:sz w:val="22"/>
          <w:szCs w:val="22"/>
          <w:lang w:eastAsia="en-US"/>
        </w:rPr>
      </w:pPr>
      <w:r w:rsidRPr="00281602">
        <w:rPr>
          <w:rFonts w:eastAsia="Calibri"/>
          <w:sz w:val="22"/>
          <w:szCs w:val="22"/>
          <w:lang w:eastAsia="en-US"/>
        </w:rPr>
        <w:t>Рудченко, И.И. Безопасность жизнедеятельности в стро</w:t>
      </w:r>
      <w:r w:rsidRPr="00281602">
        <w:rPr>
          <w:rFonts w:eastAsia="Calibri"/>
          <w:sz w:val="22"/>
          <w:szCs w:val="22"/>
          <w:lang w:eastAsia="en-US"/>
        </w:rPr>
        <w:t>и</w:t>
      </w:r>
      <w:r w:rsidRPr="00281602">
        <w:rPr>
          <w:rFonts w:eastAsia="Calibri"/>
          <w:sz w:val="22"/>
          <w:szCs w:val="22"/>
          <w:lang w:eastAsia="en-US"/>
        </w:rPr>
        <w:t>тельстве [Текст] / И.И. Рудченко // Пособие для научных работн</w:t>
      </w:r>
      <w:r w:rsidRPr="00281602">
        <w:rPr>
          <w:rFonts w:eastAsia="Calibri"/>
          <w:sz w:val="22"/>
          <w:szCs w:val="22"/>
          <w:lang w:eastAsia="en-US"/>
        </w:rPr>
        <w:t>и</w:t>
      </w:r>
      <w:r w:rsidRPr="00281602">
        <w:rPr>
          <w:rFonts w:eastAsia="Calibri"/>
          <w:sz w:val="22"/>
          <w:szCs w:val="22"/>
          <w:lang w:eastAsia="en-US"/>
        </w:rPr>
        <w:lastRenderedPageBreak/>
        <w:t>ков</w:t>
      </w:r>
      <w:proofErr w:type="gramStart"/>
      <w:r w:rsidRPr="00281602">
        <w:rPr>
          <w:rFonts w:eastAsia="Calibri"/>
          <w:sz w:val="22"/>
          <w:szCs w:val="22"/>
          <w:lang w:eastAsia="en-US"/>
        </w:rPr>
        <w:t xml:space="preserve"> :</w:t>
      </w:r>
      <w:proofErr w:type="gramEnd"/>
      <w:r w:rsidRPr="00281602">
        <w:rPr>
          <w:rFonts w:eastAsia="Calibri"/>
          <w:sz w:val="22"/>
          <w:szCs w:val="22"/>
          <w:lang w:eastAsia="en-US"/>
        </w:rPr>
        <w:t xml:space="preserve"> монография / Негос. образовательное учреждение высш. проф. образования Кубанский социально-экономический ин-т. – Красн</w:t>
      </w:r>
      <w:r w:rsidRPr="00281602">
        <w:rPr>
          <w:rFonts w:eastAsia="Calibri"/>
          <w:sz w:val="22"/>
          <w:szCs w:val="22"/>
          <w:lang w:eastAsia="en-US"/>
        </w:rPr>
        <w:t>о</w:t>
      </w:r>
      <w:r w:rsidRPr="00281602">
        <w:rPr>
          <w:rFonts w:eastAsia="Calibri"/>
          <w:sz w:val="22"/>
          <w:szCs w:val="22"/>
          <w:lang w:eastAsia="en-US"/>
        </w:rPr>
        <w:t>дар</w:t>
      </w:r>
      <w:proofErr w:type="gramStart"/>
      <w:r w:rsidRPr="00281602">
        <w:rPr>
          <w:rFonts w:eastAsia="Calibri"/>
          <w:sz w:val="22"/>
          <w:szCs w:val="22"/>
          <w:lang w:eastAsia="en-US"/>
        </w:rPr>
        <w:t xml:space="preserve"> :</w:t>
      </w:r>
      <w:proofErr w:type="gramEnd"/>
      <w:r w:rsidRPr="00281602">
        <w:rPr>
          <w:rFonts w:eastAsia="Calibri"/>
          <w:sz w:val="22"/>
          <w:szCs w:val="22"/>
          <w:lang w:eastAsia="en-US"/>
        </w:rPr>
        <w:t xml:space="preserve"> КубГАУ,  2008.</w:t>
      </w:r>
    </w:p>
    <w:p w:rsidR="00102687" w:rsidRPr="00281602" w:rsidRDefault="00102687" w:rsidP="00C336CD">
      <w:pPr>
        <w:numPr>
          <w:ilvl w:val="0"/>
          <w:numId w:val="20"/>
        </w:numPr>
        <w:spacing w:after="200"/>
        <w:ind w:left="0" w:firstLine="425"/>
        <w:contextualSpacing/>
        <w:jc w:val="both"/>
        <w:rPr>
          <w:rFonts w:eastAsia="Calibri"/>
          <w:sz w:val="22"/>
          <w:szCs w:val="22"/>
          <w:lang w:eastAsia="en-US"/>
        </w:rPr>
      </w:pPr>
      <w:r w:rsidRPr="00281602">
        <w:rPr>
          <w:rFonts w:eastAsia="Calibri"/>
          <w:sz w:val="22"/>
          <w:szCs w:val="22"/>
          <w:lang w:eastAsia="en-US"/>
        </w:rPr>
        <w:t>Рудченко, И.И. Аэродинамика среды при крупных пожарах [Текст] / И.И. Рудченко, В.Н. Загнитко // Чрезвычайные ситуации: промышленная и экологическая безопасность. – Краснодар</w:t>
      </w:r>
      <w:proofErr w:type="gramStart"/>
      <w:r w:rsidRPr="00281602">
        <w:rPr>
          <w:rFonts w:eastAsia="Calibri"/>
          <w:sz w:val="22"/>
          <w:szCs w:val="22"/>
          <w:lang w:eastAsia="en-US"/>
        </w:rPr>
        <w:t xml:space="preserve"> :</w:t>
      </w:r>
      <w:proofErr w:type="gramEnd"/>
      <w:r w:rsidRPr="00281602">
        <w:rPr>
          <w:rFonts w:eastAsia="Calibri"/>
          <w:sz w:val="22"/>
          <w:szCs w:val="22"/>
          <w:lang w:eastAsia="en-US"/>
        </w:rPr>
        <w:t xml:space="preserve"> КубГАУ, 2013. – № 3-4(15-16). – С. 65-69.</w:t>
      </w:r>
    </w:p>
    <w:p w:rsidR="00102687" w:rsidRPr="00281602" w:rsidRDefault="00102687" w:rsidP="00C336CD">
      <w:pPr>
        <w:numPr>
          <w:ilvl w:val="0"/>
          <w:numId w:val="20"/>
        </w:numPr>
        <w:spacing w:after="200"/>
        <w:ind w:left="0" w:firstLine="425"/>
        <w:contextualSpacing/>
        <w:jc w:val="both"/>
        <w:rPr>
          <w:rFonts w:eastAsia="Calibri"/>
          <w:color w:val="000000"/>
          <w:sz w:val="22"/>
          <w:szCs w:val="22"/>
          <w:lang w:eastAsia="en-US"/>
        </w:rPr>
      </w:pPr>
      <w:r w:rsidRPr="00281602">
        <w:rPr>
          <w:rFonts w:eastAsia="Calibri"/>
          <w:color w:val="000000"/>
          <w:sz w:val="22"/>
          <w:szCs w:val="22"/>
          <w:lang w:eastAsia="en-US"/>
        </w:rPr>
        <w:t>Рудченко, И.И. Безопасность эксплуатации зданий и соор</w:t>
      </w:r>
      <w:r w:rsidRPr="00281602">
        <w:rPr>
          <w:rFonts w:eastAsia="Calibri"/>
          <w:color w:val="000000"/>
          <w:sz w:val="22"/>
          <w:szCs w:val="22"/>
          <w:lang w:eastAsia="en-US"/>
        </w:rPr>
        <w:t>у</w:t>
      </w:r>
      <w:r w:rsidRPr="00281602">
        <w:rPr>
          <w:rFonts w:eastAsia="Calibri"/>
          <w:color w:val="000000"/>
          <w:sz w:val="22"/>
          <w:szCs w:val="22"/>
          <w:lang w:eastAsia="en-US"/>
        </w:rPr>
        <w:t>жений в агропромышленном комплексе [Текст] / И.И. Рудченко, В.О. Никогда // Труды Кубанского государственного аграрного университета. – 2015. – № 56. – С. 239-248.</w:t>
      </w:r>
    </w:p>
    <w:p w:rsidR="00102687" w:rsidRPr="00281602" w:rsidRDefault="00102687" w:rsidP="00C336CD">
      <w:pPr>
        <w:numPr>
          <w:ilvl w:val="0"/>
          <w:numId w:val="20"/>
        </w:numPr>
        <w:spacing w:after="200"/>
        <w:ind w:left="0" w:firstLine="425"/>
        <w:contextualSpacing/>
        <w:jc w:val="both"/>
        <w:rPr>
          <w:rFonts w:eastAsia="Calibri"/>
          <w:color w:val="000000"/>
          <w:sz w:val="22"/>
          <w:szCs w:val="22"/>
          <w:lang w:eastAsia="en-US"/>
        </w:rPr>
      </w:pPr>
      <w:r w:rsidRPr="00281602">
        <w:rPr>
          <w:rFonts w:eastAsia="Calibri"/>
          <w:color w:val="000000"/>
          <w:sz w:val="22"/>
          <w:szCs w:val="22"/>
          <w:lang w:eastAsia="en-US"/>
        </w:rPr>
        <w:t>Рудченко, И.И. Безопасность, надёжность и долговечность зданий и сооружений [Текст] / И.И. Рудченко, В.О. Никогда // Научное обеспечение агропромышленного комплекса: сб. ст. по м</w:t>
      </w:r>
      <w:r w:rsidRPr="00281602">
        <w:rPr>
          <w:rFonts w:eastAsia="Calibri"/>
          <w:color w:val="000000"/>
          <w:sz w:val="22"/>
          <w:szCs w:val="22"/>
          <w:lang w:eastAsia="en-US"/>
        </w:rPr>
        <w:t>а</w:t>
      </w:r>
      <w:r w:rsidRPr="00281602">
        <w:rPr>
          <w:rFonts w:eastAsia="Calibri"/>
          <w:color w:val="000000"/>
          <w:sz w:val="22"/>
          <w:szCs w:val="22"/>
          <w:lang w:eastAsia="en-US"/>
        </w:rPr>
        <w:t>териалам IX Всероссийской конференции молодых ученых.  – Краснодар</w:t>
      </w:r>
      <w:proofErr w:type="gramStart"/>
      <w:r w:rsidRPr="00281602">
        <w:rPr>
          <w:rFonts w:eastAsia="Calibri"/>
          <w:color w:val="000000"/>
          <w:sz w:val="22"/>
          <w:szCs w:val="22"/>
          <w:lang w:eastAsia="en-US"/>
        </w:rPr>
        <w:t xml:space="preserve"> :</w:t>
      </w:r>
      <w:proofErr w:type="gramEnd"/>
      <w:r w:rsidRPr="00281602">
        <w:rPr>
          <w:rFonts w:eastAsia="Calibri"/>
          <w:color w:val="000000"/>
          <w:sz w:val="22"/>
          <w:szCs w:val="22"/>
          <w:lang w:eastAsia="en-US"/>
        </w:rPr>
        <w:t xml:space="preserve"> КубГАУ , 2016. – С. 841-843.</w:t>
      </w:r>
    </w:p>
    <w:p w:rsidR="00102687" w:rsidRPr="00281602" w:rsidRDefault="00102687" w:rsidP="00C336CD">
      <w:pPr>
        <w:numPr>
          <w:ilvl w:val="0"/>
          <w:numId w:val="20"/>
        </w:numPr>
        <w:spacing w:after="200"/>
        <w:ind w:left="0" w:firstLine="425"/>
        <w:contextualSpacing/>
        <w:jc w:val="both"/>
        <w:rPr>
          <w:rFonts w:eastAsia="Calibri"/>
          <w:color w:val="000000"/>
          <w:sz w:val="22"/>
          <w:szCs w:val="22"/>
          <w:lang w:eastAsia="en-US"/>
        </w:rPr>
      </w:pPr>
      <w:r w:rsidRPr="00281602">
        <w:rPr>
          <w:rFonts w:eastAsia="Calibri"/>
          <w:color w:val="000000"/>
          <w:sz w:val="22"/>
          <w:szCs w:val="22"/>
          <w:lang w:eastAsia="en-US"/>
        </w:rPr>
        <w:t>Рудченко, И.И. Выбор средств снижения производственного травматизма в строительстве [Текст] / И.И. Рудченко, Н.А. Страх</w:t>
      </w:r>
      <w:r w:rsidRPr="00281602">
        <w:rPr>
          <w:rFonts w:eastAsia="Calibri"/>
          <w:color w:val="000000"/>
          <w:sz w:val="22"/>
          <w:szCs w:val="22"/>
          <w:lang w:eastAsia="en-US"/>
        </w:rPr>
        <w:t>о</w:t>
      </w:r>
      <w:r w:rsidRPr="00281602">
        <w:rPr>
          <w:rFonts w:eastAsia="Calibri"/>
          <w:color w:val="000000"/>
          <w:sz w:val="22"/>
          <w:szCs w:val="22"/>
          <w:lang w:eastAsia="en-US"/>
        </w:rPr>
        <w:t xml:space="preserve">ва, В.И. Беспалов // </w:t>
      </w:r>
      <w:proofErr w:type="gramStart"/>
      <w:r w:rsidRPr="00281602">
        <w:rPr>
          <w:rFonts w:eastAsia="Calibri"/>
          <w:color w:val="000000"/>
          <w:sz w:val="22"/>
          <w:szCs w:val="22"/>
          <w:lang w:eastAsia="en-US"/>
        </w:rPr>
        <w:t>М-во</w:t>
      </w:r>
      <w:proofErr w:type="gramEnd"/>
      <w:r w:rsidRPr="00281602">
        <w:rPr>
          <w:rFonts w:eastAsia="Calibri"/>
          <w:color w:val="000000"/>
          <w:sz w:val="22"/>
          <w:szCs w:val="22"/>
          <w:lang w:eastAsia="en-US"/>
        </w:rPr>
        <w:t xml:space="preserve"> образования и науки Рос. Федерации, Ф</w:t>
      </w:r>
      <w:r w:rsidRPr="00281602">
        <w:rPr>
          <w:rFonts w:eastAsia="Calibri"/>
          <w:color w:val="000000"/>
          <w:sz w:val="22"/>
          <w:szCs w:val="22"/>
          <w:lang w:eastAsia="en-US"/>
        </w:rPr>
        <w:t>е</w:t>
      </w:r>
      <w:r w:rsidRPr="00281602">
        <w:rPr>
          <w:rFonts w:eastAsia="Calibri"/>
          <w:color w:val="000000"/>
          <w:sz w:val="22"/>
          <w:szCs w:val="22"/>
          <w:lang w:eastAsia="en-US"/>
        </w:rPr>
        <w:t>дер. агентство по образованию, Гос. образоват. учреждение высш. проф. образования "Ростов</w:t>
      </w:r>
      <w:proofErr w:type="gramStart"/>
      <w:r w:rsidRPr="00281602">
        <w:rPr>
          <w:rFonts w:eastAsia="Calibri"/>
          <w:color w:val="000000"/>
          <w:sz w:val="22"/>
          <w:szCs w:val="22"/>
          <w:lang w:eastAsia="en-US"/>
        </w:rPr>
        <w:t>.г</w:t>
      </w:r>
      <w:proofErr w:type="gramEnd"/>
      <w:r w:rsidRPr="00281602">
        <w:rPr>
          <w:rFonts w:eastAsia="Calibri"/>
          <w:color w:val="000000"/>
          <w:sz w:val="22"/>
          <w:szCs w:val="22"/>
          <w:lang w:eastAsia="en-US"/>
        </w:rPr>
        <w:t>ос. строит. ун-т". Ростов-на-Дону, 2005.</w:t>
      </w:r>
    </w:p>
    <w:p w:rsidR="00102687" w:rsidRPr="00281602" w:rsidRDefault="00102687" w:rsidP="00C336CD">
      <w:pPr>
        <w:numPr>
          <w:ilvl w:val="0"/>
          <w:numId w:val="20"/>
        </w:numPr>
        <w:spacing w:after="200"/>
        <w:ind w:left="0" w:firstLine="425"/>
        <w:contextualSpacing/>
        <w:jc w:val="both"/>
        <w:rPr>
          <w:rFonts w:eastAsia="Calibri"/>
          <w:color w:val="000000"/>
          <w:sz w:val="22"/>
          <w:szCs w:val="22"/>
          <w:lang w:eastAsia="en-US"/>
        </w:rPr>
      </w:pPr>
      <w:r w:rsidRPr="00281602">
        <w:rPr>
          <w:rFonts w:eastAsia="Calibri"/>
          <w:color w:val="000000"/>
          <w:sz w:val="22"/>
          <w:szCs w:val="22"/>
          <w:lang w:eastAsia="en-US"/>
        </w:rPr>
        <w:t>Рудченко, И.И. Изменения несущей способности констру</w:t>
      </w:r>
      <w:r w:rsidRPr="00281602">
        <w:rPr>
          <w:rFonts w:eastAsia="Calibri"/>
          <w:color w:val="000000"/>
          <w:sz w:val="22"/>
          <w:szCs w:val="22"/>
          <w:lang w:eastAsia="en-US"/>
        </w:rPr>
        <w:t>к</w:t>
      </w:r>
      <w:r w:rsidRPr="00281602">
        <w:rPr>
          <w:rFonts w:eastAsia="Calibri"/>
          <w:color w:val="000000"/>
          <w:sz w:val="22"/>
          <w:szCs w:val="22"/>
          <w:lang w:eastAsia="en-US"/>
        </w:rPr>
        <w:t>ций зданий при воздействии на них пожара [Текст] / И.И. Рудченко, В.Н. Загнитко, М.П. Бугриев // Чрезвычайные ситуации: промы</w:t>
      </w:r>
      <w:r w:rsidRPr="00281602">
        <w:rPr>
          <w:rFonts w:eastAsia="Calibri"/>
          <w:color w:val="000000"/>
          <w:sz w:val="22"/>
          <w:szCs w:val="22"/>
          <w:lang w:eastAsia="en-US"/>
        </w:rPr>
        <w:t>ш</w:t>
      </w:r>
      <w:r w:rsidRPr="00281602">
        <w:rPr>
          <w:rFonts w:eastAsia="Calibri"/>
          <w:color w:val="000000"/>
          <w:sz w:val="22"/>
          <w:szCs w:val="22"/>
          <w:lang w:eastAsia="en-US"/>
        </w:rPr>
        <w:t>ленная и экологическая безопасность.№ 29 (1). – Краснодар</w:t>
      </w:r>
      <w:proofErr w:type="gramStart"/>
      <w:r w:rsidRPr="00281602">
        <w:rPr>
          <w:rFonts w:eastAsia="Calibri"/>
          <w:color w:val="000000"/>
          <w:sz w:val="22"/>
          <w:szCs w:val="22"/>
          <w:lang w:eastAsia="en-US"/>
        </w:rPr>
        <w:t xml:space="preserve"> :</w:t>
      </w:r>
      <w:proofErr w:type="gramEnd"/>
      <w:r w:rsidRPr="00281602">
        <w:rPr>
          <w:rFonts w:eastAsia="Calibri"/>
          <w:color w:val="000000"/>
          <w:sz w:val="22"/>
          <w:szCs w:val="22"/>
          <w:lang w:eastAsia="en-US"/>
        </w:rPr>
        <w:t xml:space="preserve"> КубГАУ, 2017. – С. 47-52.</w:t>
      </w:r>
    </w:p>
    <w:p w:rsidR="00102687" w:rsidRPr="00281602" w:rsidRDefault="00102687" w:rsidP="00C336CD">
      <w:pPr>
        <w:ind w:left="425" w:firstLine="425"/>
        <w:contextualSpacing/>
        <w:jc w:val="both"/>
        <w:rPr>
          <w:rFonts w:eastAsia="Calibri"/>
          <w:color w:val="000000"/>
          <w:sz w:val="22"/>
          <w:szCs w:val="22"/>
          <w:lang w:eastAsia="en-US"/>
        </w:rPr>
      </w:pPr>
    </w:p>
    <w:p w:rsidR="00102687" w:rsidRPr="00281602" w:rsidRDefault="00E22BC2" w:rsidP="00E22BC2">
      <w:pPr>
        <w:rPr>
          <w:rFonts w:eastAsia="Calibri"/>
          <w:sz w:val="22"/>
          <w:szCs w:val="22"/>
          <w:lang w:eastAsia="en-US"/>
        </w:rPr>
      </w:pPr>
      <w:r>
        <w:rPr>
          <w:rFonts w:eastAsia="Calibri"/>
          <w:sz w:val="22"/>
          <w:szCs w:val="22"/>
          <w:lang w:eastAsia="en-US"/>
        </w:rPr>
        <w:br w:type="page"/>
      </w:r>
    </w:p>
    <w:p w:rsidR="00102687" w:rsidRDefault="00102687" w:rsidP="00DE5CD6">
      <w:pPr>
        <w:jc w:val="both"/>
        <w:rPr>
          <w:rFonts w:eastAsia="Calibri"/>
          <w:sz w:val="22"/>
          <w:szCs w:val="22"/>
          <w:lang w:eastAsia="en-US"/>
        </w:rPr>
      </w:pPr>
      <w:r w:rsidRPr="00281602">
        <w:rPr>
          <w:rFonts w:eastAsia="Calibri"/>
          <w:sz w:val="22"/>
          <w:szCs w:val="22"/>
          <w:lang w:eastAsia="en-US"/>
        </w:rPr>
        <w:lastRenderedPageBreak/>
        <w:t>УДК 72.012</w:t>
      </w:r>
    </w:p>
    <w:p w:rsidR="00DE5CD6" w:rsidRPr="00281602" w:rsidRDefault="00DE5CD6" w:rsidP="00DE5CD6">
      <w:pPr>
        <w:jc w:val="both"/>
        <w:rPr>
          <w:rFonts w:eastAsia="Calibri"/>
          <w:sz w:val="22"/>
          <w:szCs w:val="22"/>
          <w:lang w:eastAsia="en-US"/>
        </w:rPr>
      </w:pPr>
    </w:p>
    <w:p w:rsidR="00102687" w:rsidRPr="00C336CD" w:rsidRDefault="00102687" w:rsidP="00E22BC2">
      <w:pPr>
        <w:jc w:val="center"/>
        <w:rPr>
          <w:rFonts w:eastAsia="Calibri"/>
          <w:b/>
          <w:sz w:val="24"/>
          <w:szCs w:val="24"/>
          <w:lang w:eastAsia="en-US"/>
        </w:rPr>
      </w:pPr>
      <w:r w:rsidRPr="00C336CD">
        <w:rPr>
          <w:rFonts w:eastAsia="Calibri"/>
          <w:b/>
          <w:sz w:val="24"/>
          <w:szCs w:val="24"/>
          <w:lang w:eastAsia="en-US"/>
        </w:rPr>
        <w:t xml:space="preserve">Проблемы сохранения исторического облика </w:t>
      </w:r>
      <w:r w:rsidR="00DE5CD6">
        <w:rPr>
          <w:rFonts w:eastAsia="Calibri"/>
          <w:b/>
          <w:sz w:val="24"/>
          <w:szCs w:val="24"/>
          <w:lang w:eastAsia="en-US"/>
        </w:rPr>
        <w:br/>
      </w:r>
      <w:r w:rsidRPr="00C336CD">
        <w:rPr>
          <w:rFonts w:eastAsia="Calibri"/>
          <w:b/>
          <w:sz w:val="24"/>
          <w:szCs w:val="24"/>
          <w:lang w:eastAsia="en-US"/>
        </w:rPr>
        <w:t>г.</w:t>
      </w:r>
      <w:r w:rsidR="00E22BC2">
        <w:rPr>
          <w:rFonts w:eastAsia="Calibri"/>
          <w:b/>
          <w:sz w:val="24"/>
          <w:szCs w:val="24"/>
          <w:lang w:eastAsia="en-US"/>
        </w:rPr>
        <w:t xml:space="preserve"> </w:t>
      </w:r>
      <w:r w:rsidRPr="00C336CD">
        <w:rPr>
          <w:rFonts w:eastAsia="Calibri"/>
          <w:b/>
          <w:sz w:val="24"/>
          <w:szCs w:val="24"/>
          <w:lang w:eastAsia="en-US"/>
        </w:rPr>
        <w:t>Краснодар и возможные пути решения</w:t>
      </w:r>
    </w:p>
    <w:p w:rsidR="00102687" w:rsidRPr="00024398" w:rsidRDefault="00102687" w:rsidP="00E22BC2">
      <w:pPr>
        <w:jc w:val="center"/>
        <w:rPr>
          <w:rFonts w:eastAsia="Calibri"/>
          <w:b/>
          <w:sz w:val="24"/>
          <w:szCs w:val="24"/>
          <w:lang w:val="en-US" w:eastAsia="en-US"/>
        </w:rPr>
      </w:pPr>
      <w:r w:rsidRPr="00C336CD">
        <w:rPr>
          <w:rFonts w:eastAsia="Calibri"/>
          <w:b/>
          <w:sz w:val="24"/>
          <w:szCs w:val="24"/>
          <w:lang w:val="en-US" w:eastAsia="en-US"/>
        </w:rPr>
        <w:t>Problems of preserving the historical appearance of the city of Krasnodar and possible solutions</w:t>
      </w:r>
    </w:p>
    <w:p w:rsidR="00C336CD" w:rsidRPr="00024398" w:rsidRDefault="00C336CD" w:rsidP="00C336CD">
      <w:pPr>
        <w:ind w:firstLine="709"/>
        <w:jc w:val="center"/>
        <w:rPr>
          <w:rFonts w:eastAsia="Calibri"/>
          <w:b/>
          <w:sz w:val="24"/>
          <w:szCs w:val="24"/>
          <w:lang w:val="en-US" w:eastAsia="en-US"/>
        </w:rPr>
      </w:pPr>
    </w:p>
    <w:p w:rsidR="00102687" w:rsidRPr="00281602" w:rsidRDefault="00102687" w:rsidP="00C336CD">
      <w:pPr>
        <w:ind w:left="2832"/>
        <w:jc w:val="right"/>
        <w:rPr>
          <w:rFonts w:eastAsia="Calibri"/>
          <w:sz w:val="22"/>
          <w:szCs w:val="22"/>
          <w:lang w:eastAsia="en-US"/>
        </w:rPr>
      </w:pPr>
      <w:r w:rsidRPr="00281602">
        <w:rPr>
          <w:rFonts w:eastAsia="Calibri"/>
          <w:sz w:val="22"/>
          <w:szCs w:val="22"/>
          <w:lang w:eastAsia="en-US"/>
        </w:rPr>
        <w:t>Зубаченко Ю.</w:t>
      </w:r>
      <w:r w:rsidR="00C336CD">
        <w:rPr>
          <w:rFonts w:eastAsia="Calibri"/>
          <w:sz w:val="22"/>
          <w:szCs w:val="22"/>
          <w:lang w:eastAsia="en-US"/>
        </w:rPr>
        <w:t xml:space="preserve"> В.,</w:t>
      </w:r>
      <w:r w:rsidRPr="00281602">
        <w:rPr>
          <w:rFonts w:eastAsia="Calibri"/>
          <w:sz w:val="22"/>
          <w:szCs w:val="22"/>
          <w:lang w:eastAsia="en-US"/>
        </w:rPr>
        <w:t xml:space="preserve"> Яковенко В.</w:t>
      </w:r>
      <w:r w:rsidR="00C336CD">
        <w:rPr>
          <w:rFonts w:eastAsia="Calibri"/>
          <w:sz w:val="22"/>
          <w:szCs w:val="22"/>
          <w:lang w:eastAsia="en-US"/>
        </w:rPr>
        <w:t xml:space="preserve"> </w:t>
      </w:r>
      <w:r w:rsidRPr="00281602">
        <w:rPr>
          <w:rFonts w:eastAsia="Calibri"/>
          <w:sz w:val="22"/>
          <w:szCs w:val="22"/>
          <w:lang w:eastAsia="en-US"/>
        </w:rPr>
        <w:t>В.,</w:t>
      </w:r>
    </w:p>
    <w:p w:rsidR="00102687" w:rsidRPr="00281602" w:rsidRDefault="00102687" w:rsidP="00C336CD">
      <w:pPr>
        <w:ind w:left="2268"/>
        <w:jc w:val="right"/>
        <w:rPr>
          <w:rFonts w:eastAsia="Calibri"/>
          <w:sz w:val="22"/>
          <w:szCs w:val="22"/>
          <w:lang w:eastAsia="en-US"/>
        </w:rPr>
      </w:pPr>
      <w:r w:rsidRPr="00281602">
        <w:rPr>
          <w:rFonts w:eastAsia="Calibri"/>
          <w:sz w:val="22"/>
          <w:szCs w:val="22"/>
          <w:lang w:eastAsia="en-US"/>
        </w:rPr>
        <w:t>с</w:t>
      </w:r>
      <w:r w:rsidR="00C336CD">
        <w:rPr>
          <w:rFonts w:eastAsia="Calibri"/>
          <w:sz w:val="22"/>
          <w:szCs w:val="22"/>
          <w:lang w:eastAsia="en-US"/>
        </w:rPr>
        <w:t>туденты 1-го курса магистратуры</w:t>
      </w:r>
    </w:p>
    <w:p w:rsidR="00102687" w:rsidRPr="00281602" w:rsidRDefault="00102687" w:rsidP="00C336CD">
      <w:pPr>
        <w:ind w:left="2268"/>
        <w:jc w:val="right"/>
        <w:rPr>
          <w:rFonts w:eastAsia="Calibri"/>
          <w:sz w:val="22"/>
          <w:szCs w:val="22"/>
          <w:lang w:eastAsia="en-US"/>
        </w:rPr>
      </w:pPr>
      <w:r w:rsidRPr="00281602">
        <w:rPr>
          <w:rFonts w:eastAsia="Calibri"/>
          <w:sz w:val="22"/>
          <w:szCs w:val="22"/>
          <w:lang w:eastAsia="en-US"/>
        </w:rPr>
        <w:t>архитек</w:t>
      </w:r>
      <w:r w:rsidR="00C336CD">
        <w:rPr>
          <w:rFonts w:eastAsia="Calibri"/>
          <w:sz w:val="22"/>
          <w:szCs w:val="22"/>
          <w:lang w:eastAsia="en-US"/>
        </w:rPr>
        <w:t>турно-строительного факультета</w:t>
      </w:r>
    </w:p>
    <w:p w:rsidR="00102687" w:rsidRPr="00281602" w:rsidRDefault="00C336CD" w:rsidP="00C336CD">
      <w:pPr>
        <w:ind w:firstLine="4111"/>
        <w:jc w:val="right"/>
        <w:rPr>
          <w:rFonts w:eastAsia="Calibri"/>
          <w:sz w:val="22"/>
          <w:szCs w:val="22"/>
          <w:lang w:eastAsia="en-US"/>
        </w:rPr>
      </w:pPr>
      <w:r>
        <w:rPr>
          <w:rFonts w:eastAsia="Calibri"/>
          <w:sz w:val="22"/>
          <w:szCs w:val="22"/>
          <w:lang w:eastAsia="en-US"/>
        </w:rPr>
        <w:t>Могилецкая Н. Н.,</w:t>
      </w:r>
    </w:p>
    <w:p w:rsidR="00102687" w:rsidRPr="00281602" w:rsidRDefault="00102687" w:rsidP="00C336CD">
      <w:pPr>
        <w:ind w:left="2410"/>
        <w:jc w:val="right"/>
        <w:rPr>
          <w:rFonts w:eastAsia="Calibri"/>
          <w:sz w:val="22"/>
          <w:szCs w:val="22"/>
          <w:lang w:eastAsia="en-US"/>
        </w:rPr>
      </w:pPr>
      <w:r w:rsidRPr="00281602">
        <w:rPr>
          <w:rFonts w:eastAsia="Calibri"/>
          <w:sz w:val="22"/>
          <w:szCs w:val="22"/>
          <w:lang w:eastAsia="en-US"/>
        </w:rPr>
        <w:t>ст</w:t>
      </w:r>
      <w:proofErr w:type="gramStart"/>
      <w:r w:rsidRPr="00281602">
        <w:rPr>
          <w:rFonts w:eastAsia="Calibri"/>
          <w:sz w:val="22"/>
          <w:szCs w:val="22"/>
          <w:lang w:eastAsia="en-US"/>
        </w:rPr>
        <w:t>.п</w:t>
      </w:r>
      <w:proofErr w:type="gramEnd"/>
      <w:r w:rsidRPr="00281602">
        <w:rPr>
          <w:rFonts w:eastAsia="Calibri"/>
          <w:sz w:val="22"/>
          <w:szCs w:val="22"/>
          <w:lang w:eastAsia="en-US"/>
        </w:rPr>
        <w:t>р</w:t>
      </w:r>
      <w:r w:rsidR="00C336CD">
        <w:rPr>
          <w:rFonts w:eastAsia="Calibri"/>
          <w:sz w:val="22"/>
          <w:szCs w:val="22"/>
          <w:lang w:eastAsia="en-US"/>
        </w:rPr>
        <w:t>еподаватель кафедры архитектуры</w:t>
      </w:r>
    </w:p>
    <w:p w:rsidR="00C336CD" w:rsidRDefault="00102687" w:rsidP="00C336CD">
      <w:pPr>
        <w:ind w:left="2410"/>
        <w:jc w:val="right"/>
        <w:rPr>
          <w:rFonts w:eastAsia="Calibri"/>
          <w:sz w:val="22"/>
          <w:szCs w:val="22"/>
          <w:lang w:eastAsia="en-US"/>
        </w:rPr>
      </w:pPr>
      <w:r w:rsidRPr="00281602">
        <w:rPr>
          <w:rFonts w:eastAsia="Calibri"/>
          <w:sz w:val="22"/>
          <w:szCs w:val="22"/>
          <w:lang w:eastAsia="en-US"/>
        </w:rPr>
        <w:t>Куб</w:t>
      </w:r>
      <w:r w:rsidR="00C336CD">
        <w:rPr>
          <w:rFonts w:eastAsia="Calibri"/>
          <w:sz w:val="22"/>
          <w:szCs w:val="22"/>
          <w:lang w:eastAsia="en-US"/>
        </w:rPr>
        <w:t>анский государственный аграрный</w:t>
      </w:r>
    </w:p>
    <w:p w:rsidR="00102687" w:rsidRPr="00281602" w:rsidRDefault="00102687" w:rsidP="00C336CD">
      <w:pPr>
        <w:ind w:left="2410"/>
        <w:jc w:val="right"/>
        <w:rPr>
          <w:rFonts w:eastAsia="Calibri"/>
          <w:sz w:val="22"/>
          <w:szCs w:val="22"/>
          <w:lang w:eastAsia="en-US"/>
        </w:rPr>
      </w:pPr>
      <w:r w:rsidRPr="00281602">
        <w:rPr>
          <w:rFonts w:eastAsia="Calibri"/>
          <w:sz w:val="22"/>
          <w:szCs w:val="22"/>
          <w:lang w:eastAsia="en-US"/>
        </w:rPr>
        <w:t>университет имени И.</w:t>
      </w:r>
      <w:r w:rsidR="00C336CD">
        <w:rPr>
          <w:rFonts w:eastAsia="Calibri"/>
          <w:sz w:val="22"/>
          <w:szCs w:val="22"/>
          <w:lang w:eastAsia="en-US"/>
        </w:rPr>
        <w:t xml:space="preserve"> </w:t>
      </w:r>
      <w:r w:rsidRPr="00281602">
        <w:rPr>
          <w:rFonts w:eastAsia="Calibri"/>
          <w:sz w:val="22"/>
          <w:szCs w:val="22"/>
          <w:lang w:eastAsia="en-US"/>
        </w:rPr>
        <w:t>Т. Трубилина</w:t>
      </w:r>
    </w:p>
    <w:p w:rsidR="00102687" w:rsidRPr="00281602" w:rsidRDefault="00102687" w:rsidP="00102687">
      <w:pPr>
        <w:jc w:val="both"/>
        <w:rPr>
          <w:rFonts w:eastAsia="Calibri"/>
          <w:sz w:val="22"/>
          <w:szCs w:val="22"/>
          <w:lang w:eastAsia="en-US"/>
        </w:rPr>
      </w:pP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 xml:space="preserve">АННОТАЦИЯ. В работе рассмотрены проблемы сохранения исторического облика города и возможные пути решения. </w:t>
      </w:r>
    </w:p>
    <w:p w:rsidR="00102687" w:rsidRPr="00C336CD" w:rsidRDefault="00102687" w:rsidP="00C336CD">
      <w:pPr>
        <w:ind w:firstLine="425"/>
        <w:jc w:val="both"/>
        <w:rPr>
          <w:rFonts w:eastAsia="Calibri"/>
          <w:sz w:val="22"/>
          <w:szCs w:val="22"/>
          <w:lang w:val="en-US" w:eastAsia="en-US"/>
        </w:rPr>
      </w:pPr>
      <w:proofErr w:type="gramStart"/>
      <w:r w:rsidRPr="00C336CD">
        <w:rPr>
          <w:rFonts w:eastAsia="Calibri"/>
          <w:sz w:val="22"/>
          <w:szCs w:val="22"/>
          <w:lang w:val="en-US" w:eastAsia="en-US"/>
        </w:rPr>
        <w:t>ANNOTATION.</w:t>
      </w:r>
      <w:proofErr w:type="gramEnd"/>
      <w:r w:rsidRPr="00C336CD">
        <w:rPr>
          <w:rFonts w:eastAsia="Calibri"/>
          <w:sz w:val="22"/>
          <w:szCs w:val="22"/>
          <w:lang w:val="en-US" w:eastAsia="en-US"/>
        </w:rPr>
        <w:t xml:space="preserve"> The paper considers the problems of preserving the historical appearance of the city and possible solutions.</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КЛЮЧЕВЫЕ СЛОВА: облик, город, стиль, история, архите</w:t>
      </w:r>
      <w:r w:rsidRPr="00C336CD">
        <w:rPr>
          <w:rFonts w:eastAsia="Calibri"/>
          <w:sz w:val="22"/>
          <w:szCs w:val="22"/>
          <w:lang w:eastAsia="en-US"/>
        </w:rPr>
        <w:t>к</w:t>
      </w:r>
      <w:r w:rsidRPr="00C336CD">
        <w:rPr>
          <w:rFonts w:eastAsia="Calibri"/>
          <w:sz w:val="22"/>
          <w:szCs w:val="22"/>
          <w:lang w:eastAsia="en-US"/>
        </w:rPr>
        <w:t>тура,  память, здания.</w:t>
      </w:r>
    </w:p>
    <w:p w:rsidR="00102687" w:rsidRPr="00024398" w:rsidRDefault="00102687" w:rsidP="00C336CD">
      <w:pPr>
        <w:ind w:firstLine="425"/>
        <w:jc w:val="both"/>
        <w:rPr>
          <w:rFonts w:eastAsia="Calibri"/>
          <w:sz w:val="22"/>
          <w:szCs w:val="22"/>
          <w:lang w:val="en-US" w:eastAsia="en-US"/>
        </w:rPr>
      </w:pPr>
      <w:r w:rsidRPr="00C336CD">
        <w:rPr>
          <w:rFonts w:eastAsia="Calibri"/>
          <w:sz w:val="22"/>
          <w:szCs w:val="22"/>
          <w:lang w:val="en-US" w:eastAsia="en-US"/>
        </w:rPr>
        <w:t>KEYWORDS: appearance, city, style, history, architecture, memory, buildings.</w:t>
      </w:r>
    </w:p>
    <w:p w:rsidR="00C336CD" w:rsidRPr="00024398" w:rsidRDefault="00C336CD" w:rsidP="00C336CD">
      <w:pPr>
        <w:ind w:firstLine="425"/>
        <w:jc w:val="both"/>
        <w:rPr>
          <w:rFonts w:eastAsia="Calibri"/>
          <w:sz w:val="22"/>
          <w:szCs w:val="22"/>
          <w:lang w:val="en-US" w:eastAsia="en-US"/>
        </w:rPr>
      </w:pP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Происходящее стихийное и интенсивное строительство зданий в историческом центре – негативно сказывается на всем культурном облике столицы Кубани и производится без учета особенностей а</w:t>
      </w:r>
      <w:r w:rsidRPr="00C336CD">
        <w:rPr>
          <w:rFonts w:eastAsia="Calibri"/>
          <w:sz w:val="22"/>
          <w:szCs w:val="22"/>
          <w:lang w:eastAsia="en-US"/>
        </w:rPr>
        <w:t>р</w:t>
      </w:r>
      <w:r w:rsidRPr="00C336CD">
        <w:rPr>
          <w:rFonts w:eastAsia="Calibri"/>
          <w:sz w:val="22"/>
          <w:szCs w:val="22"/>
          <w:lang w:eastAsia="en-US"/>
        </w:rPr>
        <w:t>хитектурно-исторического стиля города. Исторический центр – это лицо города, а его душой можно назвать – социокультуру, традиции и колорит народа, проживающего на его территории. Естественно, для того чтобы лицо выглядело прекрасно и вызывало ответные п</w:t>
      </w:r>
      <w:r w:rsidRPr="00C336CD">
        <w:rPr>
          <w:rFonts w:eastAsia="Calibri"/>
          <w:sz w:val="22"/>
          <w:szCs w:val="22"/>
          <w:lang w:eastAsia="en-US"/>
        </w:rPr>
        <w:t>о</w:t>
      </w:r>
      <w:r w:rsidRPr="00C336CD">
        <w:rPr>
          <w:rFonts w:eastAsia="Calibri"/>
          <w:sz w:val="22"/>
          <w:szCs w:val="22"/>
          <w:lang w:eastAsia="en-US"/>
        </w:rPr>
        <w:t>ложительные эмоции необходимо с уважением и вниманием отн</w:t>
      </w:r>
      <w:r w:rsidRPr="00C336CD">
        <w:rPr>
          <w:rFonts w:eastAsia="Calibri"/>
          <w:sz w:val="22"/>
          <w:szCs w:val="22"/>
          <w:lang w:eastAsia="en-US"/>
        </w:rPr>
        <w:t>о</w:t>
      </w:r>
      <w:r w:rsidR="00C336CD">
        <w:rPr>
          <w:rFonts w:eastAsia="Calibri"/>
          <w:sz w:val="22"/>
          <w:szCs w:val="22"/>
          <w:lang w:eastAsia="en-US"/>
        </w:rPr>
        <w:t xml:space="preserve">сится к истории, культуре </w:t>
      </w:r>
      <w:r w:rsidRPr="00C336CD">
        <w:rPr>
          <w:rFonts w:eastAsia="Calibri"/>
          <w:sz w:val="22"/>
          <w:szCs w:val="22"/>
          <w:lang w:eastAsia="en-US"/>
        </w:rPr>
        <w:t>ценить наше архитектурное наследие, утратив которое, мы потеряем принадлежность территории русск</w:t>
      </w:r>
      <w:r w:rsidRPr="00C336CD">
        <w:rPr>
          <w:rFonts w:eastAsia="Calibri"/>
          <w:sz w:val="22"/>
          <w:szCs w:val="22"/>
          <w:lang w:eastAsia="en-US"/>
        </w:rPr>
        <w:t>о</w:t>
      </w:r>
      <w:r w:rsidRPr="00C336CD">
        <w:rPr>
          <w:rFonts w:eastAsia="Calibri"/>
          <w:sz w:val="22"/>
          <w:szCs w:val="22"/>
          <w:lang w:eastAsia="en-US"/>
        </w:rPr>
        <w:t>му народу. В г</w:t>
      </w:r>
      <w:proofErr w:type="gramStart"/>
      <w:r w:rsidRPr="00C336CD">
        <w:rPr>
          <w:rFonts w:eastAsia="Calibri"/>
          <w:sz w:val="22"/>
          <w:szCs w:val="22"/>
          <w:lang w:eastAsia="en-US"/>
        </w:rPr>
        <w:t>.К</w:t>
      </w:r>
      <w:proofErr w:type="gramEnd"/>
      <w:r w:rsidRPr="00C336CD">
        <w:rPr>
          <w:rFonts w:eastAsia="Calibri"/>
          <w:sz w:val="22"/>
          <w:szCs w:val="22"/>
          <w:lang w:eastAsia="en-US"/>
        </w:rPr>
        <w:t>раснодаре приоритетной задачей является сохран</w:t>
      </w:r>
      <w:r w:rsidRPr="00C336CD">
        <w:rPr>
          <w:rFonts w:eastAsia="Calibri"/>
          <w:sz w:val="22"/>
          <w:szCs w:val="22"/>
          <w:lang w:eastAsia="en-US"/>
        </w:rPr>
        <w:t>е</w:t>
      </w:r>
      <w:r w:rsidRPr="00C336CD">
        <w:rPr>
          <w:rFonts w:eastAsia="Calibri"/>
          <w:sz w:val="22"/>
          <w:szCs w:val="22"/>
          <w:lang w:eastAsia="en-US"/>
        </w:rPr>
        <w:t>ние исторического облика центральной части города, где предста</w:t>
      </w:r>
      <w:r w:rsidRPr="00C336CD">
        <w:rPr>
          <w:rFonts w:eastAsia="Calibri"/>
          <w:sz w:val="22"/>
          <w:szCs w:val="22"/>
          <w:lang w:eastAsia="en-US"/>
        </w:rPr>
        <w:t>в</w:t>
      </w:r>
      <w:r w:rsidRPr="00C336CD">
        <w:rPr>
          <w:rFonts w:eastAsia="Calibri"/>
          <w:sz w:val="22"/>
          <w:szCs w:val="22"/>
          <w:lang w:eastAsia="en-US"/>
        </w:rPr>
        <w:t>лено большинство зданий несущих историческую ценность.</w:t>
      </w:r>
      <w:r w:rsidRPr="00C336CD">
        <w:rPr>
          <w:rFonts w:eastAsia="Calibri"/>
          <w:color w:val="1E1E1E"/>
          <w:sz w:val="22"/>
          <w:szCs w:val="22"/>
          <w:shd w:val="clear" w:color="auto" w:fill="FFFFFF"/>
          <w:lang w:eastAsia="en-US"/>
        </w:rPr>
        <w:t xml:space="preserve"> </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lastRenderedPageBreak/>
        <w:t>Студентами архитектурно-строительного факультета был пр</w:t>
      </w:r>
      <w:r w:rsidRPr="00C336CD">
        <w:rPr>
          <w:rFonts w:eastAsia="Calibri"/>
          <w:sz w:val="22"/>
          <w:szCs w:val="22"/>
          <w:lang w:eastAsia="en-US"/>
        </w:rPr>
        <w:t>о</w:t>
      </w:r>
      <w:r w:rsidRPr="00C336CD">
        <w:rPr>
          <w:rFonts w:eastAsia="Calibri"/>
          <w:sz w:val="22"/>
          <w:szCs w:val="22"/>
          <w:lang w:eastAsia="en-US"/>
        </w:rPr>
        <w:t>веден анализ исторического центра – зданий относящиеся к памя</w:t>
      </w:r>
      <w:r w:rsidRPr="00C336CD">
        <w:rPr>
          <w:rFonts w:eastAsia="Calibri"/>
          <w:sz w:val="22"/>
          <w:szCs w:val="22"/>
          <w:lang w:eastAsia="en-US"/>
        </w:rPr>
        <w:t>т</w:t>
      </w:r>
      <w:r w:rsidRPr="00C336CD">
        <w:rPr>
          <w:rFonts w:eastAsia="Calibri"/>
          <w:sz w:val="22"/>
          <w:szCs w:val="22"/>
          <w:lang w:eastAsia="en-US"/>
        </w:rPr>
        <w:t>никам</w:t>
      </w:r>
      <w:r w:rsidR="00C336CD">
        <w:rPr>
          <w:rFonts w:eastAsia="Calibri"/>
          <w:sz w:val="22"/>
          <w:szCs w:val="22"/>
          <w:lang w:eastAsia="en-US"/>
        </w:rPr>
        <w:t xml:space="preserve"> архитектуры и зданий, </w:t>
      </w:r>
      <w:r w:rsidRPr="00C336CD">
        <w:rPr>
          <w:rFonts w:eastAsia="Calibri"/>
          <w:sz w:val="22"/>
          <w:szCs w:val="22"/>
          <w:lang w:eastAsia="en-US"/>
        </w:rPr>
        <w:t>представляющий собой историческую ценность, находящиеся в исторической части города. Условно ист</w:t>
      </w:r>
      <w:r w:rsidRPr="00C336CD">
        <w:rPr>
          <w:rFonts w:eastAsia="Calibri"/>
          <w:sz w:val="22"/>
          <w:szCs w:val="22"/>
          <w:lang w:eastAsia="en-US"/>
        </w:rPr>
        <w:t>о</w:t>
      </w:r>
      <w:r w:rsidRPr="00C336CD">
        <w:rPr>
          <w:rFonts w:eastAsia="Calibri"/>
          <w:sz w:val="22"/>
          <w:szCs w:val="22"/>
          <w:lang w:eastAsia="en-US"/>
        </w:rPr>
        <w:t>рический центр расположен в границах улиц Чкалова, Левоневск</w:t>
      </w:r>
      <w:r w:rsidRPr="00C336CD">
        <w:rPr>
          <w:rFonts w:eastAsia="Calibri"/>
          <w:sz w:val="22"/>
          <w:szCs w:val="22"/>
          <w:lang w:eastAsia="en-US"/>
        </w:rPr>
        <w:t>о</w:t>
      </w:r>
      <w:r w:rsidRPr="00C336CD">
        <w:rPr>
          <w:rFonts w:eastAsia="Calibri"/>
          <w:sz w:val="22"/>
          <w:szCs w:val="22"/>
          <w:lang w:eastAsia="en-US"/>
        </w:rPr>
        <w:t xml:space="preserve">го, Постовой и </w:t>
      </w:r>
      <w:proofErr w:type="gramStart"/>
      <w:r w:rsidRPr="00C336CD">
        <w:rPr>
          <w:rFonts w:eastAsia="Calibri"/>
          <w:sz w:val="22"/>
          <w:szCs w:val="22"/>
          <w:lang w:eastAsia="en-US"/>
        </w:rPr>
        <w:t>Северной</w:t>
      </w:r>
      <w:proofErr w:type="gramEnd"/>
      <w:r w:rsidRPr="00C336CD">
        <w:rPr>
          <w:rFonts w:eastAsia="Calibri"/>
          <w:sz w:val="22"/>
          <w:szCs w:val="22"/>
          <w:lang w:eastAsia="en-US"/>
        </w:rPr>
        <w:t>. Нами был проведен визуальный анализ и фотофиксация экспл</w:t>
      </w:r>
      <w:r w:rsidR="00C336CD">
        <w:rPr>
          <w:rFonts w:eastAsia="Calibri"/>
          <w:sz w:val="22"/>
          <w:szCs w:val="22"/>
          <w:lang w:eastAsia="en-US"/>
        </w:rPr>
        <w:t xml:space="preserve">уатационного состояния зданий. </w:t>
      </w:r>
      <w:r w:rsidRPr="00C336CD">
        <w:rPr>
          <w:rFonts w:eastAsia="Calibri"/>
          <w:sz w:val="22"/>
          <w:szCs w:val="22"/>
          <w:lang w:eastAsia="en-US"/>
        </w:rPr>
        <w:t>По нашим расчетам в неблагополучном состоянии находится - 134 здания, в удовлетворительном состоянии - 84, здания находящиеся  в тяж</w:t>
      </w:r>
      <w:r w:rsidRPr="00C336CD">
        <w:rPr>
          <w:rFonts w:eastAsia="Calibri"/>
          <w:sz w:val="22"/>
          <w:szCs w:val="22"/>
          <w:lang w:eastAsia="en-US"/>
        </w:rPr>
        <w:t>е</w:t>
      </w:r>
      <w:r w:rsidRPr="00C336CD">
        <w:rPr>
          <w:rFonts w:eastAsia="Calibri"/>
          <w:sz w:val="22"/>
          <w:szCs w:val="22"/>
          <w:lang w:eastAsia="en-US"/>
        </w:rPr>
        <w:t>лом состоян</w:t>
      </w:r>
      <w:r w:rsidR="00C336CD">
        <w:rPr>
          <w:rFonts w:eastAsia="Calibri"/>
          <w:sz w:val="22"/>
          <w:szCs w:val="22"/>
          <w:lang w:eastAsia="en-US"/>
        </w:rPr>
        <w:t>ии и требующие особого внимания</w:t>
      </w:r>
      <w:r w:rsidRPr="00C336CD">
        <w:rPr>
          <w:rFonts w:eastAsia="Calibri"/>
          <w:sz w:val="22"/>
          <w:szCs w:val="22"/>
          <w:lang w:eastAsia="en-US"/>
        </w:rPr>
        <w:t xml:space="preserve"> -48.</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Существует две основные проблемы – разрушение памятников культурного наследия и бессистем</w:t>
      </w:r>
      <w:r w:rsidR="00C336CD">
        <w:rPr>
          <w:rFonts w:eastAsia="Calibri"/>
          <w:sz w:val="22"/>
          <w:szCs w:val="22"/>
          <w:lang w:eastAsia="en-US"/>
        </w:rPr>
        <w:t xml:space="preserve">ная стихийная стройка зданий. </w:t>
      </w:r>
      <w:r w:rsidRPr="00C336CD">
        <w:rPr>
          <w:rFonts w:eastAsia="Calibri"/>
          <w:sz w:val="22"/>
          <w:szCs w:val="22"/>
          <w:lang w:eastAsia="en-US"/>
        </w:rPr>
        <w:t>Решение первой проблемы возможно несколькими путями. Первый - снос здания и воссоздания на его месте по проекту-аналогу, с применением современных долговечных материалов. Так уже было применено на практике после ВОВ, когда большинство здани</w:t>
      </w:r>
      <w:r w:rsidR="00C336CD">
        <w:rPr>
          <w:rFonts w:eastAsia="Calibri"/>
          <w:sz w:val="22"/>
          <w:szCs w:val="22"/>
          <w:lang w:eastAsia="en-US"/>
        </w:rPr>
        <w:t xml:space="preserve">й не подлежали восстановлению. </w:t>
      </w:r>
      <w:r w:rsidRPr="00C336CD">
        <w:rPr>
          <w:rFonts w:eastAsia="Calibri"/>
          <w:sz w:val="22"/>
          <w:szCs w:val="22"/>
          <w:lang w:eastAsia="en-US"/>
        </w:rPr>
        <w:t>Второй - реконструкция и реставрация существующих зданий</w:t>
      </w:r>
      <w:r w:rsidR="00C336CD">
        <w:rPr>
          <w:rFonts w:eastAsia="Calibri"/>
          <w:sz w:val="22"/>
          <w:szCs w:val="22"/>
          <w:lang w:eastAsia="en-US"/>
        </w:rPr>
        <w:t xml:space="preserve">, этот вариант высокозатратен: </w:t>
      </w:r>
      <w:r w:rsidRPr="00C336CD">
        <w:rPr>
          <w:rFonts w:eastAsia="Calibri"/>
          <w:sz w:val="22"/>
          <w:szCs w:val="22"/>
          <w:lang w:eastAsia="en-US"/>
        </w:rPr>
        <w:t>дорогосто</w:t>
      </w:r>
      <w:r w:rsidRPr="00C336CD">
        <w:rPr>
          <w:rFonts w:eastAsia="Calibri"/>
          <w:sz w:val="22"/>
          <w:szCs w:val="22"/>
          <w:lang w:eastAsia="en-US"/>
        </w:rPr>
        <w:t>я</w:t>
      </w:r>
      <w:r w:rsidR="00C336CD">
        <w:rPr>
          <w:rFonts w:eastAsia="Calibri"/>
          <w:sz w:val="22"/>
          <w:szCs w:val="22"/>
          <w:lang w:eastAsia="en-US"/>
        </w:rPr>
        <w:t xml:space="preserve">щие строительные экспертизы, </w:t>
      </w:r>
      <w:r w:rsidRPr="00C336CD">
        <w:rPr>
          <w:rFonts w:eastAsia="Calibri"/>
          <w:sz w:val="22"/>
          <w:szCs w:val="22"/>
          <w:lang w:eastAsia="en-US"/>
        </w:rPr>
        <w:t>тех. обследования, проекты реко</w:t>
      </w:r>
      <w:r w:rsidRPr="00C336CD">
        <w:rPr>
          <w:rFonts w:eastAsia="Calibri"/>
          <w:sz w:val="22"/>
          <w:szCs w:val="22"/>
          <w:lang w:eastAsia="en-US"/>
        </w:rPr>
        <w:t>н</w:t>
      </w:r>
      <w:r w:rsidRPr="00C336CD">
        <w:rPr>
          <w:rFonts w:eastAsia="Calibri"/>
          <w:sz w:val="22"/>
          <w:szCs w:val="22"/>
          <w:lang w:eastAsia="en-US"/>
        </w:rPr>
        <w:t>струкции и реставрации. Возникают вопросы  дальнейшего испол</w:t>
      </w:r>
      <w:r w:rsidRPr="00C336CD">
        <w:rPr>
          <w:rFonts w:eastAsia="Calibri"/>
          <w:sz w:val="22"/>
          <w:szCs w:val="22"/>
          <w:lang w:eastAsia="en-US"/>
        </w:rPr>
        <w:t>ь</w:t>
      </w:r>
      <w:r w:rsidRPr="00C336CD">
        <w:rPr>
          <w:rFonts w:eastAsia="Calibri"/>
          <w:sz w:val="22"/>
          <w:szCs w:val="22"/>
          <w:lang w:eastAsia="en-US"/>
        </w:rPr>
        <w:t>зования этих зданий и будут ли оправданы инвестиционные сре</w:t>
      </w:r>
      <w:r w:rsidRPr="00C336CD">
        <w:rPr>
          <w:rFonts w:eastAsia="Calibri"/>
          <w:sz w:val="22"/>
          <w:szCs w:val="22"/>
          <w:lang w:eastAsia="en-US"/>
        </w:rPr>
        <w:t>д</w:t>
      </w:r>
      <w:r w:rsidR="00C336CD">
        <w:rPr>
          <w:rFonts w:eastAsia="Calibri"/>
          <w:sz w:val="22"/>
          <w:szCs w:val="22"/>
          <w:lang w:eastAsia="en-US"/>
        </w:rPr>
        <w:t xml:space="preserve">ства. Эти пути могут </w:t>
      </w:r>
      <w:r w:rsidRPr="00C336CD">
        <w:rPr>
          <w:rFonts w:eastAsia="Calibri"/>
          <w:sz w:val="22"/>
          <w:szCs w:val="22"/>
          <w:lang w:eastAsia="en-US"/>
        </w:rPr>
        <w:t>продлить эксплуатационную жизнь историч</w:t>
      </w:r>
      <w:r w:rsidRPr="00C336CD">
        <w:rPr>
          <w:rFonts w:eastAsia="Calibri"/>
          <w:sz w:val="22"/>
          <w:szCs w:val="22"/>
          <w:lang w:eastAsia="en-US"/>
        </w:rPr>
        <w:t>е</w:t>
      </w:r>
      <w:r w:rsidRPr="00C336CD">
        <w:rPr>
          <w:rFonts w:eastAsia="Calibri"/>
          <w:sz w:val="22"/>
          <w:szCs w:val="22"/>
          <w:lang w:eastAsia="en-US"/>
        </w:rPr>
        <w:t>ских зданий, но не решают в</w:t>
      </w:r>
      <w:r w:rsidR="00C336CD">
        <w:rPr>
          <w:rFonts w:eastAsia="Calibri"/>
          <w:sz w:val="22"/>
          <w:szCs w:val="22"/>
          <w:lang w:eastAsia="en-US"/>
        </w:rPr>
        <w:t>се вопросы облика исторического</w:t>
      </w:r>
      <w:r w:rsidRPr="00C336CD">
        <w:rPr>
          <w:rFonts w:eastAsia="Calibri"/>
          <w:sz w:val="22"/>
          <w:szCs w:val="22"/>
          <w:lang w:eastAsia="en-US"/>
        </w:rPr>
        <w:t xml:space="preserve"> це</w:t>
      </w:r>
      <w:r w:rsidRPr="00C336CD">
        <w:rPr>
          <w:rFonts w:eastAsia="Calibri"/>
          <w:sz w:val="22"/>
          <w:szCs w:val="22"/>
          <w:lang w:eastAsia="en-US"/>
        </w:rPr>
        <w:t>н</w:t>
      </w:r>
      <w:r w:rsidRPr="00C336CD">
        <w:rPr>
          <w:rFonts w:eastAsia="Calibri"/>
          <w:sz w:val="22"/>
          <w:szCs w:val="22"/>
          <w:lang w:eastAsia="en-US"/>
        </w:rPr>
        <w:t>тра.</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 xml:space="preserve">Другая проблема это контраст в архитектуре, который привел к дисбалансу. Не имея четкого представления, каким должен быть облик города в целом, архитекторы, проектируя разные уровни, не могут приходить к общей гармонии стиля и облика. </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Для сохранности облика созданного в советском и постсове</w:t>
      </w:r>
      <w:r w:rsidRPr="00C336CD">
        <w:rPr>
          <w:rFonts w:eastAsia="Calibri"/>
          <w:sz w:val="22"/>
          <w:szCs w:val="22"/>
          <w:lang w:eastAsia="en-US"/>
        </w:rPr>
        <w:t>т</w:t>
      </w:r>
      <w:r w:rsidR="00C336CD">
        <w:rPr>
          <w:rFonts w:eastAsia="Calibri"/>
          <w:sz w:val="22"/>
          <w:szCs w:val="22"/>
          <w:lang w:eastAsia="en-US"/>
        </w:rPr>
        <w:t>ском периоде можно идти</w:t>
      </w:r>
      <w:r w:rsidRPr="00C336CD">
        <w:rPr>
          <w:rFonts w:eastAsia="Calibri"/>
          <w:sz w:val="22"/>
          <w:szCs w:val="22"/>
          <w:lang w:eastAsia="en-US"/>
        </w:rPr>
        <w:t xml:space="preserve"> по примеру восстановления в г</w:t>
      </w:r>
      <w:proofErr w:type="gramStart"/>
      <w:r w:rsidRPr="00C336CD">
        <w:rPr>
          <w:rFonts w:eastAsia="Calibri"/>
          <w:sz w:val="22"/>
          <w:szCs w:val="22"/>
          <w:lang w:eastAsia="en-US"/>
        </w:rPr>
        <w:t>.М</w:t>
      </w:r>
      <w:proofErr w:type="gramEnd"/>
      <w:r w:rsidRPr="00C336CD">
        <w:rPr>
          <w:rFonts w:eastAsia="Calibri"/>
          <w:sz w:val="22"/>
          <w:szCs w:val="22"/>
          <w:lang w:eastAsia="en-US"/>
        </w:rPr>
        <w:t xml:space="preserve">осква </w:t>
      </w:r>
      <w:r w:rsidR="00C336CD">
        <w:rPr>
          <w:rFonts w:eastAsia="Calibri"/>
          <w:sz w:val="22"/>
          <w:szCs w:val="22"/>
          <w:lang w:eastAsia="en-US"/>
        </w:rPr>
        <w:t>по проекту АБ Артемия Лебедева</w:t>
      </w:r>
      <w:r w:rsidRPr="00C336CD">
        <w:rPr>
          <w:rFonts w:eastAsia="Calibri"/>
          <w:sz w:val="22"/>
          <w:szCs w:val="22"/>
          <w:lang w:eastAsia="en-US"/>
        </w:rPr>
        <w:t xml:space="preserve"> </w:t>
      </w:r>
      <w:r w:rsidRPr="00C336CD">
        <w:rPr>
          <w:rFonts w:eastAsia="Calibri"/>
          <w:bCs/>
          <w:sz w:val="22"/>
          <w:szCs w:val="22"/>
          <w:lang w:eastAsia="en-US"/>
        </w:rPr>
        <w:t>[1]</w:t>
      </w:r>
      <w:r w:rsidRPr="00C336CD">
        <w:rPr>
          <w:rFonts w:eastAsia="Calibri"/>
          <w:sz w:val="22"/>
          <w:szCs w:val="22"/>
          <w:lang w:eastAsia="en-US"/>
        </w:rPr>
        <w:t xml:space="preserve">. По их мнению, существуют два пути. </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 xml:space="preserve">Первый – тектонический (вписывание элементов рекламы в порталы и ниши; подчеркивание архитектурных поясов и карнизов и пр.) </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Второй - атектонический путь: членение существующих и о</w:t>
      </w:r>
      <w:r w:rsidRPr="00C336CD">
        <w:rPr>
          <w:rFonts w:eastAsia="Calibri"/>
          <w:sz w:val="22"/>
          <w:szCs w:val="22"/>
          <w:lang w:eastAsia="en-US"/>
        </w:rPr>
        <w:t>т</w:t>
      </w:r>
      <w:r w:rsidRPr="00C336CD">
        <w:rPr>
          <w:rFonts w:eastAsia="Calibri"/>
          <w:sz w:val="22"/>
          <w:szCs w:val="22"/>
          <w:lang w:eastAsia="en-US"/>
        </w:rPr>
        <w:t xml:space="preserve">бивка новых архитектурных поясов – наращивание архитектурных </w:t>
      </w:r>
      <w:r w:rsidRPr="00C336CD">
        <w:rPr>
          <w:rFonts w:eastAsia="Calibri"/>
          <w:sz w:val="22"/>
          <w:szCs w:val="22"/>
          <w:lang w:eastAsia="en-US"/>
        </w:rPr>
        <w:lastRenderedPageBreak/>
        <w:t>элементов модернизация, размещение рекламы поверх существу</w:t>
      </w:r>
      <w:r w:rsidRPr="00C336CD">
        <w:rPr>
          <w:rFonts w:eastAsia="Calibri"/>
          <w:sz w:val="22"/>
          <w:szCs w:val="22"/>
          <w:lang w:eastAsia="en-US"/>
        </w:rPr>
        <w:t>ю</w:t>
      </w:r>
      <w:r w:rsidRPr="00C336CD">
        <w:rPr>
          <w:rFonts w:eastAsia="Calibri"/>
          <w:sz w:val="22"/>
          <w:szCs w:val="22"/>
          <w:lang w:eastAsia="en-US"/>
        </w:rPr>
        <w:t xml:space="preserve">щей фасадной пластики. </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Естественно нужно идти в первом направлении и создавать д</w:t>
      </w:r>
      <w:r w:rsidRPr="00C336CD">
        <w:rPr>
          <w:rFonts w:eastAsia="Calibri"/>
          <w:sz w:val="22"/>
          <w:szCs w:val="22"/>
          <w:lang w:eastAsia="en-US"/>
        </w:rPr>
        <w:t>и</w:t>
      </w:r>
      <w:r w:rsidRPr="00C336CD">
        <w:rPr>
          <w:rFonts w:eastAsia="Calibri"/>
          <w:sz w:val="22"/>
          <w:szCs w:val="22"/>
          <w:lang w:eastAsia="en-US"/>
        </w:rPr>
        <w:t>зайн-код оформления – аккуратно вписывающий рекламные эл</w:t>
      </w:r>
      <w:r w:rsidRPr="00C336CD">
        <w:rPr>
          <w:rFonts w:eastAsia="Calibri"/>
          <w:sz w:val="22"/>
          <w:szCs w:val="22"/>
          <w:lang w:eastAsia="en-US"/>
        </w:rPr>
        <w:t>е</w:t>
      </w:r>
      <w:r w:rsidRPr="00C336CD">
        <w:rPr>
          <w:rFonts w:eastAsia="Calibri"/>
          <w:sz w:val="22"/>
          <w:szCs w:val="22"/>
          <w:lang w:eastAsia="en-US"/>
        </w:rPr>
        <w:t>менты в существующую архитектуру.</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А как быть со стихийной бессистемной стройкой?</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О</w:t>
      </w:r>
      <w:r w:rsidR="00C336CD">
        <w:rPr>
          <w:rFonts w:eastAsia="Calibri"/>
          <w:sz w:val="22"/>
          <w:szCs w:val="22"/>
          <w:lang w:eastAsia="en-US"/>
        </w:rPr>
        <w:t>пираясь на архивные и публичные</w:t>
      </w:r>
      <w:r w:rsidRPr="00C336CD">
        <w:rPr>
          <w:rFonts w:eastAsia="Calibri"/>
          <w:sz w:val="22"/>
          <w:szCs w:val="22"/>
          <w:lang w:eastAsia="en-US"/>
        </w:rPr>
        <w:t xml:space="preserve"> исто</w:t>
      </w:r>
      <w:r w:rsidR="00C336CD">
        <w:rPr>
          <w:rFonts w:eastAsia="Calibri"/>
          <w:sz w:val="22"/>
          <w:szCs w:val="22"/>
          <w:lang w:eastAsia="en-US"/>
        </w:rPr>
        <w:t>рические сведения о постройках,</w:t>
      </w:r>
      <w:r w:rsidRPr="00C336CD">
        <w:rPr>
          <w:rFonts w:eastAsia="Calibri"/>
          <w:sz w:val="22"/>
          <w:szCs w:val="22"/>
          <w:lang w:eastAsia="en-US"/>
        </w:rPr>
        <w:t xml:space="preserve"> мы имеем достаточно информации для сохранности исторического стиля и облика города.</w:t>
      </w:r>
    </w:p>
    <w:p w:rsidR="00C336CD" w:rsidRDefault="00102687" w:rsidP="00C336CD">
      <w:pPr>
        <w:ind w:firstLine="425"/>
        <w:jc w:val="both"/>
        <w:rPr>
          <w:rFonts w:eastAsia="Calibri"/>
          <w:sz w:val="22"/>
          <w:szCs w:val="22"/>
          <w:lang w:eastAsia="en-US"/>
        </w:rPr>
      </w:pPr>
      <w:proofErr w:type="gramStart"/>
      <w:r w:rsidRPr="00C336CD">
        <w:rPr>
          <w:rFonts w:eastAsia="Calibri"/>
          <w:sz w:val="22"/>
          <w:szCs w:val="22"/>
          <w:lang w:eastAsia="en-US"/>
        </w:rPr>
        <w:t>Разработка высотного регламента застройки в исторической части, необходима, в связи с тем, что тенденция высотного стро</w:t>
      </w:r>
      <w:r w:rsidRPr="00C336CD">
        <w:rPr>
          <w:rFonts w:eastAsia="Calibri"/>
          <w:sz w:val="22"/>
          <w:szCs w:val="22"/>
          <w:lang w:eastAsia="en-US"/>
        </w:rPr>
        <w:t>и</w:t>
      </w:r>
      <w:r w:rsidRPr="00C336CD">
        <w:rPr>
          <w:rFonts w:eastAsia="Calibri"/>
          <w:sz w:val="22"/>
          <w:szCs w:val="22"/>
          <w:lang w:eastAsia="en-US"/>
        </w:rPr>
        <w:t>тельства сейчас наиболее актуальна в центре города,</w:t>
      </w:r>
      <w:r w:rsidR="00C336CD">
        <w:rPr>
          <w:rFonts w:eastAsia="Calibri"/>
          <w:sz w:val="22"/>
          <w:szCs w:val="22"/>
          <w:lang w:eastAsia="en-US"/>
        </w:rPr>
        <w:t xml:space="preserve"> но</w:t>
      </w:r>
      <w:r w:rsidRPr="00C336CD">
        <w:rPr>
          <w:rFonts w:eastAsia="Calibri"/>
          <w:sz w:val="22"/>
          <w:szCs w:val="22"/>
          <w:lang w:eastAsia="en-US"/>
        </w:rPr>
        <w:t xml:space="preserve"> </w:t>
      </w:r>
      <w:r w:rsidRPr="00C336CD">
        <w:rPr>
          <w:rFonts w:eastAsia="Calibri"/>
          <w:color w:val="1E1E1E"/>
          <w:sz w:val="22"/>
          <w:szCs w:val="22"/>
          <w:shd w:val="clear" w:color="auto" w:fill="FFFFFF"/>
          <w:lang w:eastAsia="en-US"/>
        </w:rPr>
        <w:t>для ауры исторического центра важно воссоздавать в новых проектах — ре</w:t>
      </w:r>
      <w:r w:rsidRPr="00C336CD">
        <w:rPr>
          <w:rFonts w:eastAsia="Calibri"/>
          <w:color w:val="1E1E1E"/>
          <w:sz w:val="22"/>
          <w:szCs w:val="22"/>
          <w:shd w:val="clear" w:color="auto" w:fill="FFFFFF"/>
          <w:lang w:eastAsia="en-US"/>
        </w:rPr>
        <w:t>з</w:t>
      </w:r>
      <w:r w:rsidRPr="00C336CD">
        <w:rPr>
          <w:rFonts w:eastAsia="Calibri"/>
          <w:color w:val="1E1E1E"/>
          <w:sz w:val="22"/>
          <w:szCs w:val="22"/>
          <w:shd w:val="clear" w:color="auto" w:fill="FFFFFF"/>
          <w:lang w:eastAsia="en-US"/>
        </w:rPr>
        <w:t>ные двери и ставни, лепнину на фасадах, кованые балконы, ст</w:t>
      </w:r>
      <w:r w:rsidRPr="00C336CD">
        <w:rPr>
          <w:rFonts w:eastAsia="Calibri"/>
          <w:color w:val="1E1E1E"/>
          <w:sz w:val="22"/>
          <w:szCs w:val="22"/>
          <w:shd w:val="clear" w:color="auto" w:fill="FFFFFF"/>
          <w:lang w:eastAsia="en-US"/>
        </w:rPr>
        <w:t>у</w:t>
      </w:r>
      <w:r w:rsidRPr="00C336CD">
        <w:rPr>
          <w:rFonts w:eastAsia="Calibri"/>
          <w:color w:val="1E1E1E"/>
          <w:sz w:val="22"/>
          <w:szCs w:val="22"/>
          <w:shd w:val="clear" w:color="auto" w:fill="FFFFFF"/>
          <w:lang w:eastAsia="en-US"/>
        </w:rPr>
        <w:t>пеньки перед входной дверью и узорчатые козырьки, соблюдать пропорции размеров окон и их размещение на фасаде, уклон и фо</w:t>
      </w:r>
      <w:r w:rsidRPr="00C336CD">
        <w:rPr>
          <w:rFonts w:eastAsia="Calibri"/>
          <w:color w:val="1E1E1E"/>
          <w:sz w:val="22"/>
          <w:szCs w:val="22"/>
          <w:shd w:val="clear" w:color="auto" w:fill="FFFFFF"/>
          <w:lang w:eastAsia="en-US"/>
        </w:rPr>
        <w:t>р</w:t>
      </w:r>
      <w:r w:rsidRPr="00C336CD">
        <w:rPr>
          <w:rFonts w:eastAsia="Calibri"/>
          <w:color w:val="1E1E1E"/>
          <w:sz w:val="22"/>
          <w:szCs w:val="22"/>
          <w:shd w:val="clear" w:color="auto" w:fill="FFFFFF"/>
          <w:lang w:eastAsia="en-US"/>
        </w:rPr>
        <w:t>му</w:t>
      </w:r>
      <w:proofErr w:type="gramEnd"/>
      <w:r w:rsidRPr="00C336CD">
        <w:rPr>
          <w:rFonts w:eastAsia="Calibri"/>
          <w:color w:val="1E1E1E"/>
          <w:sz w:val="22"/>
          <w:szCs w:val="22"/>
          <w:shd w:val="clear" w:color="auto" w:fill="FFFFFF"/>
          <w:lang w:eastAsia="en-US"/>
        </w:rPr>
        <w:t xml:space="preserve"> кровли, высоту этажей зданий и их форму в плане. Без структ</w:t>
      </w:r>
      <w:r w:rsidRPr="00C336CD">
        <w:rPr>
          <w:rFonts w:eastAsia="Calibri"/>
          <w:color w:val="1E1E1E"/>
          <w:sz w:val="22"/>
          <w:szCs w:val="22"/>
          <w:shd w:val="clear" w:color="auto" w:fill="FFFFFF"/>
          <w:lang w:eastAsia="en-US"/>
        </w:rPr>
        <w:t>у</w:t>
      </w:r>
      <w:r w:rsidRPr="00C336CD">
        <w:rPr>
          <w:rFonts w:eastAsia="Calibri"/>
          <w:color w:val="1E1E1E"/>
          <w:sz w:val="22"/>
          <w:szCs w:val="22"/>
          <w:shd w:val="clear" w:color="auto" w:fill="FFFFFF"/>
          <w:lang w:eastAsia="en-US"/>
        </w:rPr>
        <w:t xml:space="preserve">рированного применения этих архитектурных элементов в новых проектах, сохранение исторического облика – не возможно. </w:t>
      </w:r>
      <w:r w:rsidRPr="00C336CD">
        <w:rPr>
          <w:rFonts w:eastAsia="Calibri"/>
          <w:sz w:val="22"/>
          <w:szCs w:val="22"/>
          <w:lang w:eastAsia="en-US"/>
        </w:rPr>
        <w:t>Для разработки проектов зданий, расположенных в историческом це</w:t>
      </w:r>
      <w:r w:rsidRPr="00C336CD">
        <w:rPr>
          <w:rFonts w:eastAsia="Calibri"/>
          <w:sz w:val="22"/>
          <w:szCs w:val="22"/>
          <w:lang w:eastAsia="en-US"/>
        </w:rPr>
        <w:t>н</w:t>
      </w:r>
      <w:r w:rsidRPr="00C336CD">
        <w:rPr>
          <w:rFonts w:eastAsia="Calibri"/>
          <w:sz w:val="22"/>
          <w:szCs w:val="22"/>
          <w:lang w:eastAsia="en-US"/>
        </w:rPr>
        <w:t>тре – мы предлагаем формирование единого реестра, справочник - архитектурных элементов для проектирования зданий в историч</w:t>
      </w:r>
      <w:r w:rsidRPr="00C336CD">
        <w:rPr>
          <w:rFonts w:eastAsia="Calibri"/>
          <w:sz w:val="22"/>
          <w:szCs w:val="22"/>
          <w:lang w:eastAsia="en-US"/>
        </w:rPr>
        <w:t>е</w:t>
      </w:r>
      <w:r w:rsidRPr="00C336CD">
        <w:rPr>
          <w:rFonts w:eastAsia="Calibri"/>
          <w:sz w:val="22"/>
          <w:szCs w:val="22"/>
          <w:lang w:eastAsia="en-US"/>
        </w:rPr>
        <w:t>ской части города,  благодаря которому, будет гораздо легче восс</w:t>
      </w:r>
      <w:r w:rsidRPr="00C336CD">
        <w:rPr>
          <w:rFonts w:eastAsia="Calibri"/>
          <w:sz w:val="22"/>
          <w:szCs w:val="22"/>
          <w:lang w:eastAsia="en-US"/>
        </w:rPr>
        <w:t>о</w:t>
      </w:r>
      <w:r w:rsidRPr="00C336CD">
        <w:rPr>
          <w:rFonts w:eastAsia="Calibri"/>
          <w:sz w:val="22"/>
          <w:szCs w:val="22"/>
          <w:lang w:eastAsia="en-US"/>
        </w:rPr>
        <w:t>здавать и сохранять ар</w:t>
      </w:r>
      <w:r w:rsidR="00C336CD">
        <w:rPr>
          <w:rFonts w:eastAsia="Calibri"/>
          <w:sz w:val="22"/>
          <w:szCs w:val="22"/>
          <w:lang w:eastAsia="en-US"/>
        </w:rPr>
        <w:t>хитектурный исторический облик.</w:t>
      </w:r>
    </w:p>
    <w:p w:rsidR="00102687" w:rsidRPr="00C336CD" w:rsidRDefault="00102687" w:rsidP="00C336CD">
      <w:pPr>
        <w:ind w:firstLine="425"/>
        <w:jc w:val="both"/>
        <w:rPr>
          <w:rFonts w:eastAsia="Calibri"/>
          <w:sz w:val="22"/>
          <w:szCs w:val="22"/>
          <w:lang w:eastAsia="en-US"/>
        </w:rPr>
      </w:pPr>
      <w:r w:rsidRPr="00C336CD">
        <w:rPr>
          <w:rFonts w:eastAsia="Calibri"/>
          <w:sz w:val="22"/>
          <w:szCs w:val="22"/>
          <w:lang w:eastAsia="en-US"/>
        </w:rPr>
        <w:t xml:space="preserve"> </w:t>
      </w:r>
    </w:p>
    <w:p w:rsidR="00102687" w:rsidRPr="00C336CD" w:rsidRDefault="00102687" w:rsidP="00C336CD">
      <w:pPr>
        <w:ind w:firstLine="425"/>
        <w:jc w:val="center"/>
        <w:rPr>
          <w:rFonts w:eastAsia="Calibri"/>
          <w:sz w:val="22"/>
          <w:szCs w:val="22"/>
          <w:lang w:eastAsia="en-US"/>
        </w:rPr>
      </w:pPr>
      <w:r w:rsidRPr="00C336CD">
        <w:rPr>
          <w:rFonts w:eastAsia="Calibri"/>
          <w:sz w:val="22"/>
          <w:szCs w:val="22"/>
          <w:lang w:eastAsia="en-US"/>
        </w:rPr>
        <w:t>Список литературы</w:t>
      </w:r>
    </w:p>
    <w:p w:rsidR="00102687" w:rsidRPr="00B36597" w:rsidRDefault="00102687" w:rsidP="00C336CD">
      <w:pPr>
        <w:pStyle w:val="aa"/>
        <w:numPr>
          <w:ilvl w:val="0"/>
          <w:numId w:val="113"/>
        </w:numPr>
        <w:ind w:left="0" w:firstLine="425"/>
        <w:jc w:val="both"/>
        <w:rPr>
          <w:rFonts w:eastAsia="Calibri"/>
          <w:spacing w:val="2"/>
          <w:sz w:val="22"/>
          <w:szCs w:val="22"/>
          <w:shd w:val="clear" w:color="auto" w:fill="FFFFFF"/>
          <w:lang w:eastAsia="en-US"/>
        </w:rPr>
      </w:pPr>
      <w:r w:rsidRPr="00C336CD">
        <w:rPr>
          <w:rFonts w:eastAsia="Calibri"/>
          <w:spacing w:val="2"/>
          <w:sz w:val="22"/>
          <w:szCs w:val="22"/>
          <w:shd w:val="clear" w:color="auto" w:fill="FFFFFF"/>
          <w:lang w:eastAsia="en-US"/>
        </w:rPr>
        <w:t>По заказу Комитета по архитектуре и градостроительству Москвы совместно с Главным архитектурно-планировочным управлением Москомархитектуры в студии разработана архите</w:t>
      </w:r>
      <w:r w:rsidRPr="00C336CD">
        <w:rPr>
          <w:rFonts w:eastAsia="Calibri"/>
          <w:spacing w:val="2"/>
          <w:sz w:val="22"/>
          <w:szCs w:val="22"/>
          <w:shd w:val="clear" w:color="auto" w:fill="FFFFFF"/>
          <w:lang w:eastAsia="en-US"/>
        </w:rPr>
        <w:t>к</w:t>
      </w:r>
      <w:r w:rsidRPr="00C336CD">
        <w:rPr>
          <w:rFonts w:eastAsia="Calibri"/>
          <w:spacing w:val="2"/>
          <w:sz w:val="22"/>
          <w:szCs w:val="22"/>
          <w:shd w:val="clear" w:color="auto" w:fill="FFFFFF"/>
          <w:lang w:eastAsia="en-US"/>
        </w:rPr>
        <w:t>турно-художественная концепция размещения рекламно-информационных конструкций для одиннадцати центральных улиц города и составлено соответствующее руково</w:t>
      </w:r>
      <w:r w:rsidRPr="00C336CD">
        <w:rPr>
          <w:rFonts w:eastAsia="Calibri"/>
          <w:spacing w:val="2"/>
          <w:sz w:val="22"/>
          <w:szCs w:val="22"/>
          <w:shd w:val="clear" w:color="auto" w:fill="FFFFFF"/>
          <w:lang w:eastAsia="en-US"/>
        </w:rPr>
        <w:t>д</w:t>
      </w:r>
      <w:r w:rsidRPr="00C336CD">
        <w:rPr>
          <w:rFonts w:eastAsia="Calibri"/>
          <w:spacing w:val="2"/>
          <w:sz w:val="22"/>
          <w:szCs w:val="22"/>
          <w:shd w:val="clear" w:color="auto" w:fill="FFFFFF"/>
          <w:lang w:eastAsia="en-US"/>
        </w:rPr>
        <w:t>ство</w:t>
      </w:r>
      <w:proofErr w:type="gramStart"/>
      <w:r w:rsidRPr="00C336CD">
        <w:rPr>
          <w:rFonts w:eastAsia="Calibri"/>
          <w:spacing w:val="2"/>
          <w:sz w:val="22"/>
          <w:szCs w:val="22"/>
          <w:shd w:val="clear" w:color="auto" w:fill="FFFFFF"/>
          <w:lang w:eastAsia="en-US"/>
        </w:rPr>
        <w:t>."</w:t>
      </w:r>
      <w:hyperlink r:id="rId27" w:tgtFrame="_self" w:history="1">
        <w:proofErr w:type="gramEnd"/>
        <w:r w:rsidRPr="00B36597">
          <w:rPr>
            <w:rFonts w:eastAsia="Calibri"/>
            <w:spacing w:val="2"/>
            <w:sz w:val="22"/>
            <w:szCs w:val="22"/>
            <w:shd w:val="clear" w:color="auto" w:fill="FFFFFF"/>
            <w:lang w:eastAsia="en-US"/>
          </w:rPr>
          <w:t>http://www.artlebedev.ru/everything/moscow/design-code/documents/mka-design-code-00-general-guides.pdf</w:t>
        </w:r>
      </w:hyperlink>
    </w:p>
    <w:p w:rsidR="00D81B1A" w:rsidRDefault="00D81B1A" w:rsidP="00D81B1A">
      <w:pPr>
        <w:ind w:firstLine="425"/>
        <w:jc w:val="center"/>
        <w:rPr>
          <w:rFonts w:eastAsiaTheme="minorHAnsi"/>
          <w:b/>
          <w:sz w:val="24"/>
          <w:szCs w:val="22"/>
          <w:lang w:eastAsia="en-US"/>
        </w:rPr>
      </w:pPr>
    </w:p>
    <w:p w:rsidR="00C336CD" w:rsidRDefault="00C336CD" w:rsidP="00D81B1A">
      <w:pPr>
        <w:ind w:firstLine="425"/>
        <w:jc w:val="center"/>
        <w:rPr>
          <w:rFonts w:eastAsiaTheme="minorHAnsi"/>
          <w:b/>
          <w:sz w:val="24"/>
          <w:szCs w:val="22"/>
          <w:lang w:eastAsia="en-US"/>
        </w:rPr>
      </w:pPr>
    </w:p>
    <w:p w:rsidR="00E22BC2" w:rsidRDefault="00E22BC2" w:rsidP="00D81B1A">
      <w:pPr>
        <w:ind w:firstLine="425"/>
        <w:jc w:val="center"/>
        <w:rPr>
          <w:rFonts w:eastAsiaTheme="minorHAnsi"/>
          <w:b/>
          <w:sz w:val="24"/>
          <w:szCs w:val="22"/>
          <w:lang w:eastAsia="en-US"/>
        </w:rPr>
      </w:pPr>
    </w:p>
    <w:p w:rsidR="00C336CD" w:rsidRDefault="00B36597" w:rsidP="00C336CD">
      <w:pPr>
        <w:rPr>
          <w:sz w:val="22"/>
          <w:szCs w:val="22"/>
        </w:rPr>
      </w:pPr>
      <w:r w:rsidRPr="00D81B1A">
        <w:rPr>
          <w:sz w:val="22"/>
          <w:szCs w:val="22"/>
        </w:rPr>
        <w:lastRenderedPageBreak/>
        <w:t>УДК</w:t>
      </w:r>
      <w:r w:rsidRPr="00662BE8">
        <w:rPr>
          <w:sz w:val="22"/>
          <w:szCs w:val="22"/>
        </w:rPr>
        <w:t xml:space="preserve"> 726.5</w:t>
      </w:r>
    </w:p>
    <w:p w:rsidR="00E22BC2" w:rsidRDefault="00E22BC2" w:rsidP="00E22BC2">
      <w:pPr>
        <w:jc w:val="center"/>
        <w:rPr>
          <w:rFonts w:eastAsiaTheme="minorHAnsi"/>
          <w:b/>
          <w:sz w:val="24"/>
          <w:szCs w:val="22"/>
          <w:lang w:eastAsia="en-US"/>
        </w:rPr>
      </w:pPr>
    </w:p>
    <w:p w:rsidR="00D81B1A" w:rsidRPr="00D81B1A" w:rsidRDefault="00D81B1A" w:rsidP="00E22BC2">
      <w:pPr>
        <w:jc w:val="center"/>
        <w:rPr>
          <w:rFonts w:eastAsiaTheme="minorHAnsi"/>
          <w:b/>
          <w:sz w:val="24"/>
          <w:szCs w:val="22"/>
          <w:lang w:val="en-US" w:eastAsia="en-US"/>
        </w:rPr>
      </w:pPr>
      <w:r w:rsidRPr="00D81B1A">
        <w:rPr>
          <w:rFonts w:eastAsiaTheme="minorHAnsi"/>
          <w:b/>
          <w:sz w:val="24"/>
          <w:szCs w:val="22"/>
          <w:lang w:eastAsia="en-US"/>
        </w:rPr>
        <w:t xml:space="preserve">Проблемы сохранения и использования памятников </w:t>
      </w:r>
      <w:r w:rsidR="00E22BC2">
        <w:rPr>
          <w:rFonts w:eastAsiaTheme="minorHAnsi"/>
          <w:b/>
          <w:sz w:val="24"/>
          <w:szCs w:val="22"/>
          <w:lang w:eastAsia="en-US"/>
        </w:rPr>
        <w:br/>
      </w:r>
      <w:r w:rsidRPr="00D81B1A">
        <w:rPr>
          <w:rFonts w:eastAsiaTheme="minorHAnsi"/>
          <w:b/>
          <w:sz w:val="24"/>
          <w:szCs w:val="22"/>
          <w:lang w:eastAsia="en-US"/>
        </w:rPr>
        <w:t>архитектурного наследия г. Краснодар на примере Дома архитектора Косякина по ул. Кондратенко</w:t>
      </w:r>
      <w:r w:rsidRPr="00D81B1A">
        <w:rPr>
          <w:rFonts w:eastAsiaTheme="minorHAnsi"/>
          <w:b/>
          <w:sz w:val="24"/>
          <w:szCs w:val="22"/>
          <w:lang w:val="en-US" w:eastAsia="en-US"/>
        </w:rPr>
        <w:t>, 13</w:t>
      </w:r>
    </w:p>
    <w:p w:rsidR="00D81B1A" w:rsidRPr="00024398" w:rsidRDefault="00D81B1A" w:rsidP="00E22BC2">
      <w:pPr>
        <w:jc w:val="center"/>
        <w:rPr>
          <w:rFonts w:eastAsiaTheme="minorHAnsi"/>
          <w:b/>
          <w:sz w:val="24"/>
          <w:szCs w:val="22"/>
          <w:lang w:val="en-US" w:eastAsia="en-US"/>
        </w:rPr>
      </w:pPr>
      <w:r w:rsidRPr="00D81B1A">
        <w:rPr>
          <w:rFonts w:eastAsiaTheme="minorHAnsi"/>
          <w:b/>
          <w:sz w:val="24"/>
          <w:szCs w:val="22"/>
          <w:lang w:val="en-US" w:eastAsia="en-US"/>
        </w:rPr>
        <w:t xml:space="preserve">Problems of preservation and use of monuments of </w:t>
      </w:r>
      <w:r w:rsidR="00C336CD" w:rsidRPr="00C336CD">
        <w:rPr>
          <w:rFonts w:eastAsiaTheme="minorHAnsi"/>
          <w:b/>
          <w:sz w:val="24"/>
          <w:szCs w:val="22"/>
          <w:lang w:val="en-US" w:eastAsia="en-US"/>
        </w:rPr>
        <w:br/>
      </w:r>
      <w:r w:rsidRPr="00D81B1A">
        <w:rPr>
          <w:rFonts w:eastAsiaTheme="minorHAnsi"/>
          <w:b/>
          <w:sz w:val="24"/>
          <w:szCs w:val="22"/>
          <w:lang w:val="en-US" w:eastAsia="en-US"/>
        </w:rPr>
        <w:t>architectural heritage of Krasnodar on the example of the House of a</w:t>
      </w:r>
      <w:r w:rsidR="00C336CD">
        <w:rPr>
          <w:rFonts w:eastAsiaTheme="minorHAnsi"/>
          <w:b/>
          <w:sz w:val="24"/>
          <w:szCs w:val="22"/>
          <w:lang w:val="en-US" w:eastAsia="en-US"/>
        </w:rPr>
        <w:t>rchitect Kosyakin on the street</w:t>
      </w:r>
    </w:p>
    <w:p w:rsidR="00C336CD" w:rsidRPr="00024398" w:rsidRDefault="00C336CD" w:rsidP="00E22BC2">
      <w:pPr>
        <w:ind w:firstLine="425"/>
        <w:jc w:val="center"/>
        <w:rPr>
          <w:rFonts w:eastAsiaTheme="minorHAnsi"/>
          <w:b/>
          <w:sz w:val="24"/>
          <w:szCs w:val="22"/>
          <w:lang w:val="en-US" w:eastAsia="en-US"/>
        </w:rPr>
      </w:pPr>
    </w:p>
    <w:p w:rsidR="00D81B1A" w:rsidRPr="00D81B1A" w:rsidRDefault="00D81B1A" w:rsidP="00D81B1A">
      <w:pPr>
        <w:ind w:firstLine="425"/>
        <w:jc w:val="right"/>
        <w:rPr>
          <w:rFonts w:eastAsiaTheme="minorHAnsi"/>
          <w:sz w:val="22"/>
          <w:szCs w:val="22"/>
          <w:lang w:eastAsia="en-US"/>
        </w:rPr>
      </w:pPr>
      <w:r w:rsidRPr="00D81B1A">
        <w:rPr>
          <w:rFonts w:eastAsiaTheme="minorHAnsi"/>
          <w:sz w:val="22"/>
          <w:szCs w:val="22"/>
          <w:lang w:eastAsia="en-US"/>
        </w:rPr>
        <w:t>Иванова Е. В.,</w:t>
      </w:r>
    </w:p>
    <w:p w:rsidR="00C336CD" w:rsidRDefault="00C336CD" w:rsidP="00D81B1A">
      <w:pPr>
        <w:ind w:firstLine="425"/>
        <w:jc w:val="right"/>
        <w:rPr>
          <w:rFonts w:eastAsiaTheme="minorHAnsi"/>
          <w:sz w:val="22"/>
          <w:szCs w:val="22"/>
          <w:lang w:eastAsia="en-US"/>
        </w:rPr>
      </w:pPr>
      <w:r>
        <w:rPr>
          <w:rFonts w:eastAsiaTheme="minorHAnsi"/>
          <w:sz w:val="22"/>
          <w:szCs w:val="22"/>
          <w:lang w:eastAsia="en-US"/>
        </w:rPr>
        <w:t>студентка 4 курса</w:t>
      </w:r>
    </w:p>
    <w:p w:rsidR="00D81B1A" w:rsidRPr="00D81B1A" w:rsidRDefault="00D81B1A" w:rsidP="00D81B1A">
      <w:pPr>
        <w:ind w:firstLine="425"/>
        <w:jc w:val="right"/>
        <w:rPr>
          <w:rFonts w:eastAsiaTheme="minorHAnsi"/>
          <w:sz w:val="22"/>
          <w:szCs w:val="22"/>
          <w:lang w:eastAsia="en-US"/>
        </w:rPr>
      </w:pPr>
      <w:r w:rsidRPr="00D81B1A">
        <w:rPr>
          <w:rFonts w:eastAsiaTheme="minorHAnsi"/>
          <w:sz w:val="22"/>
          <w:szCs w:val="22"/>
          <w:lang w:eastAsia="en-US"/>
        </w:rPr>
        <w:t>архитектурно-строительного факультета</w:t>
      </w:r>
    </w:p>
    <w:p w:rsidR="00D81B1A" w:rsidRPr="00D81B1A" w:rsidRDefault="00D81B1A" w:rsidP="00D81B1A">
      <w:pPr>
        <w:ind w:firstLine="425"/>
        <w:jc w:val="right"/>
        <w:rPr>
          <w:rFonts w:eastAsiaTheme="minorHAnsi"/>
          <w:sz w:val="22"/>
          <w:szCs w:val="22"/>
          <w:lang w:eastAsia="en-US"/>
        </w:rPr>
      </w:pPr>
      <w:r w:rsidRPr="00D81B1A">
        <w:rPr>
          <w:rFonts w:eastAsiaTheme="minorHAnsi"/>
          <w:sz w:val="22"/>
          <w:szCs w:val="22"/>
          <w:lang w:eastAsia="en-US"/>
        </w:rPr>
        <w:t>Могилецкая Н. Н.</w:t>
      </w:r>
      <w:r w:rsidR="00C336CD">
        <w:rPr>
          <w:rFonts w:eastAsiaTheme="minorHAnsi"/>
          <w:sz w:val="22"/>
          <w:szCs w:val="22"/>
          <w:lang w:eastAsia="en-US"/>
        </w:rPr>
        <w:t>,</w:t>
      </w:r>
    </w:p>
    <w:p w:rsidR="00D81B1A" w:rsidRPr="00D81B1A" w:rsidRDefault="00D81B1A" w:rsidP="00D81B1A">
      <w:pPr>
        <w:ind w:firstLine="425"/>
        <w:jc w:val="right"/>
        <w:rPr>
          <w:rFonts w:eastAsiaTheme="minorHAnsi"/>
          <w:sz w:val="22"/>
          <w:szCs w:val="22"/>
          <w:lang w:eastAsia="en-US"/>
        </w:rPr>
      </w:pPr>
      <w:r w:rsidRPr="00D81B1A">
        <w:rPr>
          <w:rFonts w:eastAsiaTheme="minorHAnsi"/>
          <w:sz w:val="22"/>
          <w:szCs w:val="22"/>
          <w:lang w:eastAsia="en-US"/>
        </w:rPr>
        <w:t>старший пр</w:t>
      </w:r>
      <w:r w:rsidR="00C336CD">
        <w:rPr>
          <w:rFonts w:eastAsiaTheme="minorHAnsi"/>
          <w:sz w:val="22"/>
          <w:szCs w:val="22"/>
          <w:lang w:eastAsia="en-US"/>
        </w:rPr>
        <w:t>еподаватель кафедры архитектуры</w:t>
      </w:r>
    </w:p>
    <w:p w:rsidR="00C336CD" w:rsidRDefault="00C336CD" w:rsidP="00C336CD">
      <w:pPr>
        <w:ind w:left="2410"/>
        <w:jc w:val="right"/>
        <w:rPr>
          <w:rFonts w:eastAsia="Calibri"/>
          <w:sz w:val="22"/>
          <w:szCs w:val="22"/>
          <w:lang w:eastAsia="en-US"/>
        </w:rPr>
      </w:pPr>
      <w:r w:rsidRPr="00281602">
        <w:rPr>
          <w:rFonts w:eastAsia="Calibri"/>
          <w:sz w:val="22"/>
          <w:szCs w:val="22"/>
          <w:lang w:eastAsia="en-US"/>
        </w:rPr>
        <w:t>Куб</w:t>
      </w:r>
      <w:r>
        <w:rPr>
          <w:rFonts w:eastAsia="Calibri"/>
          <w:sz w:val="22"/>
          <w:szCs w:val="22"/>
          <w:lang w:eastAsia="en-US"/>
        </w:rPr>
        <w:t>анский государственный аграрный</w:t>
      </w:r>
    </w:p>
    <w:p w:rsidR="00C336CD" w:rsidRPr="00281602" w:rsidRDefault="00C336CD" w:rsidP="00C336CD">
      <w:pPr>
        <w:ind w:left="2410"/>
        <w:jc w:val="right"/>
        <w:rPr>
          <w:rFonts w:eastAsia="Calibri"/>
          <w:sz w:val="22"/>
          <w:szCs w:val="22"/>
          <w:lang w:eastAsia="en-US"/>
        </w:rPr>
      </w:pPr>
      <w:r w:rsidRPr="00281602">
        <w:rPr>
          <w:rFonts w:eastAsia="Calibri"/>
          <w:sz w:val="22"/>
          <w:szCs w:val="22"/>
          <w:lang w:eastAsia="en-US"/>
        </w:rPr>
        <w:t>университет имени И.</w:t>
      </w:r>
      <w:r>
        <w:rPr>
          <w:rFonts w:eastAsia="Calibri"/>
          <w:sz w:val="22"/>
          <w:szCs w:val="22"/>
          <w:lang w:eastAsia="en-US"/>
        </w:rPr>
        <w:t xml:space="preserve"> </w:t>
      </w:r>
      <w:r w:rsidRPr="00281602">
        <w:rPr>
          <w:rFonts w:eastAsia="Calibri"/>
          <w:sz w:val="22"/>
          <w:szCs w:val="22"/>
          <w:lang w:eastAsia="en-US"/>
        </w:rPr>
        <w:t>Т. Трубилина</w:t>
      </w:r>
    </w:p>
    <w:p w:rsidR="00D81B1A" w:rsidRPr="00D81B1A" w:rsidRDefault="00D81B1A" w:rsidP="00D81B1A">
      <w:pPr>
        <w:ind w:firstLine="425"/>
        <w:jc w:val="right"/>
        <w:rPr>
          <w:rFonts w:eastAsiaTheme="minorHAnsi"/>
          <w:sz w:val="22"/>
          <w:szCs w:val="22"/>
          <w:lang w:eastAsia="en-US"/>
        </w:rPr>
      </w:pPr>
    </w:p>
    <w:p w:rsidR="00D81B1A" w:rsidRPr="00D81B1A" w:rsidRDefault="00D81B1A" w:rsidP="00D81B1A">
      <w:pPr>
        <w:tabs>
          <w:tab w:val="num" w:pos="720"/>
        </w:tabs>
        <w:ind w:firstLine="425"/>
        <w:jc w:val="both"/>
        <w:rPr>
          <w:rFonts w:eastAsiaTheme="minorHAnsi"/>
          <w:sz w:val="22"/>
          <w:szCs w:val="22"/>
          <w:lang w:eastAsia="en-US"/>
        </w:rPr>
      </w:pPr>
      <w:r w:rsidRPr="00D81B1A">
        <w:rPr>
          <w:rFonts w:eastAsiaTheme="minorHAnsi"/>
          <w:sz w:val="22"/>
          <w:szCs w:val="22"/>
          <w:lang w:eastAsia="en-US"/>
        </w:rPr>
        <w:t>АННОТАЦИЯ: Рассмотрены общие положения и основные з</w:t>
      </w:r>
      <w:r w:rsidRPr="00D81B1A">
        <w:rPr>
          <w:rFonts w:eastAsiaTheme="minorHAnsi"/>
          <w:sz w:val="22"/>
          <w:szCs w:val="22"/>
          <w:lang w:eastAsia="en-US"/>
        </w:rPr>
        <w:t>а</w:t>
      </w:r>
      <w:r w:rsidRPr="00D81B1A">
        <w:rPr>
          <w:rFonts w:eastAsiaTheme="minorHAnsi"/>
          <w:sz w:val="22"/>
          <w:szCs w:val="22"/>
          <w:lang w:eastAsia="en-US"/>
        </w:rPr>
        <w:t>дачи ремонтно-реставрационных работ памятника архитектуры, Так же рассмотрена необходимость данных мероприятий для модерн</w:t>
      </w:r>
      <w:r w:rsidRPr="00D81B1A">
        <w:rPr>
          <w:rFonts w:eastAsiaTheme="minorHAnsi"/>
          <w:sz w:val="22"/>
          <w:szCs w:val="22"/>
          <w:lang w:eastAsia="en-US"/>
        </w:rPr>
        <w:t>и</w:t>
      </w:r>
      <w:r w:rsidRPr="00D81B1A">
        <w:rPr>
          <w:rFonts w:eastAsiaTheme="minorHAnsi"/>
          <w:sz w:val="22"/>
          <w:szCs w:val="22"/>
          <w:lang w:eastAsia="en-US"/>
        </w:rPr>
        <w:t xml:space="preserve">зации и дальнейшей эксплуатации. </w:t>
      </w:r>
    </w:p>
    <w:p w:rsidR="00D81B1A" w:rsidRPr="00C336CD" w:rsidRDefault="00D81B1A" w:rsidP="00B36597">
      <w:pPr>
        <w:ind w:firstLine="425"/>
        <w:jc w:val="both"/>
        <w:rPr>
          <w:rFonts w:eastAsiaTheme="minorHAnsi"/>
          <w:sz w:val="22"/>
          <w:szCs w:val="22"/>
          <w:lang w:val="en-US" w:eastAsia="en-US"/>
        </w:rPr>
      </w:pPr>
      <w:r w:rsidRPr="00D81B1A">
        <w:rPr>
          <w:rFonts w:eastAsiaTheme="minorHAnsi"/>
          <w:sz w:val="22"/>
          <w:szCs w:val="22"/>
          <w:lang w:val="en-US" w:eastAsia="en-US"/>
        </w:rPr>
        <w:t xml:space="preserve">ANNOTATION: </w:t>
      </w:r>
      <w:r w:rsidRPr="00D81B1A">
        <w:rPr>
          <w:rFonts w:eastAsiaTheme="minorHAnsi"/>
          <w:sz w:val="22"/>
          <w:szCs w:val="22"/>
          <w:lang w:val="en" w:eastAsia="en-US"/>
        </w:rPr>
        <w:t>General provisions and main tasks of repair and restoration works of the architectural monument are considered. The need for these activities for modernization and further operation are also considered.</w:t>
      </w:r>
    </w:p>
    <w:p w:rsidR="00D81B1A" w:rsidRPr="00D81B1A" w:rsidRDefault="00D81B1A" w:rsidP="00B36597">
      <w:pPr>
        <w:ind w:firstLine="425"/>
        <w:jc w:val="both"/>
        <w:rPr>
          <w:rFonts w:eastAsiaTheme="minorHAnsi"/>
          <w:sz w:val="22"/>
          <w:szCs w:val="22"/>
          <w:lang w:eastAsia="en-US"/>
        </w:rPr>
      </w:pPr>
      <w:r w:rsidRPr="00D81B1A">
        <w:rPr>
          <w:rFonts w:eastAsiaTheme="minorHAnsi"/>
          <w:sz w:val="22"/>
          <w:szCs w:val="22"/>
          <w:lang w:eastAsia="en-US"/>
        </w:rPr>
        <w:t>КЛЮЧЕВЫЕ СЛОВА: культурное наследие, архитектура, р</w:t>
      </w:r>
      <w:r w:rsidRPr="00D81B1A">
        <w:rPr>
          <w:rFonts w:eastAsiaTheme="minorHAnsi"/>
          <w:sz w:val="22"/>
          <w:szCs w:val="22"/>
          <w:lang w:eastAsia="en-US"/>
        </w:rPr>
        <w:t>е</w:t>
      </w:r>
      <w:r w:rsidRPr="00D81B1A">
        <w:rPr>
          <w:rFonts w:eastAsiaTheme="minorHAnsi"/>
          <w:sz w:val="22"/>
          <w:szCs w:val="22"/>
          <w:lang w:eastAsia="en-US"/>
        </w:rPr>
        <w:t>ставрация, модернизация.</w:t>
      </w:r>
    </w:p>
    <w:p w:rsidR="00D81B1A" w:rsidRPr="00D81B1A" w:rsidRDefault="00D81B1A" w:rsidP="00B36597">
      <w:pPr>
        <w:ind w:firstLine="425"/>
        <w:jc w:val="both"/>
        <w:rPr>
          <w:rFonts w:eastAsiaTheme="minorHAnsi"/>
          <w:sz w:val="22"/>
          <w:szCs w:val="22"/>
          <w:lang w:val="en-US" w:eastAsia="en-US"/>
        </w:rPr>
      </w:pPr>
      <w:r w:rsidRPr="00D81B1A">
        <w:rPr>
          <w:rFonts w:eastAsiaTheme="minorHAnsi"/>
          <w:sz w:val="22"/>
          <w:szCs w:val="22"/>
          <w:lang w:val="en-US" w:eastAsia="en-US"/>
        </w:rPr>
        <w:t>KEYWORDS: cultural heritage, architecture, restoration, modern</w:t>
      </w:r>
      <w:r w:rsidRPr="00D81B1A">
        <w:rPr>
          <w:rFonts w:eastAsiaTheme="minorHAnsi"/>
          <w:sz w:val="22"/>
          <w:szCs w:val="22"/>
          <w:lang w:val="en-US" w:eastAsia="en-US"/>
        </w:rPr>
        <w:t>i</w:t>
      </w:r>
      <w:r w:rsidRPr="00D81B1A">
        <w:rPr>
          <w:rFonts w:eastAsiaTheme="minorHAnsi"/>
          <w:sz w:val="22"/>
          <w:szCs w:val="22"/>
          <w:lang w:val="en-US" w:eastAsia="en-US"/>
        </w:rPr>
        <w:t>zation.</w:t>
      </w:r>
    </w:p>
    <w:p w:rsidR="00D81B1A" w:rsidRPr="00D81B1A" w:rsidRDefault="00D81B1A" w:rsidP="00B36597">
      <w:pPr>
        <w:ind w:firstLine="425"/>
        <w:jc w:val="both"/>
        <w:rPr>
          <w:rFonts w:eastAsiaTheme="minorHAnsi"/>
          <w:sz w:val="22"/>
          <w:szCs w:val="22"/>
          <w:lang w:val="en-US" w:eastAsia="en-US"/>
        </w:rPr>
      </w:pP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Процесс сохранения зданий историко-архитектурного наследия является достаточно сложным, ввиду того, что  кроме больших и</w:t>
      </w:r>
      <w:r w:rsidRPr="00D81B1A">
        <w:rPr>
          <w:rFonts w:eastAsiaTheme="minorHAnsi"/>
          <w:sz w:val="22"/>
          <w:szCs w:val="22"/>
          <w:lang w:eastAsia="en-US"/>
        </w:rPr>
        <w:t>н</w:t>
      </w:r>
      <w:r w:rsidRPr="00D81B1A">
        <w:rPr>
          <w:rFonts w:eastAsiaTheme="minorHAnsi"/>
          <w:sz w:val="22"/>
          <w:szCs w:val="22"/>
          <w:lang w:eastAsia="en-US"/>
        </w:rPr>
        <w:t>вестиционных вложений требуется тщательная подготовка оценка информации о памятниках. Основной целью данного процесса я</w:t>
      </w:r>
      <w:r w:rsidRPr="00D81B1A">
        <w:rPr>
          <w:rFonts w:eastAsiaTheme="minorHAnsi"/>
          <w:sz w:val="22"/>
          <w:szCs w:val="22"/>
          <w:lang w:eastAsia="en-US"/>
        </w:rPr>
        <w:t>в</w:t>
      </w:r>
      <w:r w:rsidRPr="00D81B1A">
        <w:rPr>
          <w:rFonts w:eastAsiaTheme="minorHAnsi"/>
          <w:sz w:val="22"/>
          <w:szCs w:val="22"/>
          <w:lang w:eastAsia="en-US"/>
        </w:rPr>
        <w:t>ляется не только сохранение памятника как части культурного наследия, но и возможность приспособления его к нынешним г</w:t>
      </w:r>
      <w:r w:rsidRPr="00D81B1A">
        <w:rPr>
          <w:rFonts w:eastAsiaTheme="minorHAnsi"/>
          <w:sz w:val="22"/>
          <w:szCs w:val="22"/>
          <w:lang w:eastAsia="en-US"/>
        </w:rPr>
        <w:t>о</w:t>
      </w:r>
      <w:r w:rsidRPr="00D81B1A">
        <w:rPr>
          <w:rFonts w:eastAsiaTheme="minorHAnsi"/>
          <w:sz w:val="22"/>
          <w:szCs w:val="22"/>
          <w:lang w:eastAsia="en-US"/>
        </w:rPr>
        <w:t xml:space="preserve">родским условиям. </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lastRenderedPageBreak/>
        <w:t>На сегодняшний день здание по ул. Кондратенко 13 не экспл</w:t>
      </w:r>
      <w:r w:rsidRPr="00D81B1A">
        <w:rPr>
          <w:rFonts w:eastAsiaTheme="minorHAnsi"/>
          <w:sz w:val="22"/>
          <w:szCs w:val="22"/>
          <w:lang w:eastAsia="en-US"/>
        </w:rPr>
        <w:t>у</w:t>
      </w:r>
      <w:r w:rsidRPr="00D81B1A">
        <w:rPr>
          <w:rFonts w:eastAsiaTheme="minorHAnsi"/>
          <w:sz w:val="22"/>
          <w:szCs w:val="22"/>
          <w:lang w:eastAsia="en-US"/>
        </w:rPr>
        <w:t>атируется. Общее состояние памятника оценивается, как аварийное.  Хотя, здание представляет интерес, как с архитектурной, так  и и</w:t>
      </w:r>
      <w:r w:rsidRPr="00D81B1A">
        <w:rPr>
          <w:rFonts w:eastAsiaTheme="minorHAnsi"/>
          <w:sz w:val="22"/>
          <w:szCs w:val="22"/>
          <w:lang w:eastAsia="en-US"/>
        </w:rPr>
        <w:t>с</w:t>
      </w:r>
      <w:r w:rsidRPr="00D81B1A">
        <w:rPr>
          <w:rFonts w:eastAsiaTheme="minorHAnsi"/>
          <w:sz w:val="22"/>
          <w:szCs w:val="22"/>
          <w:lang w:eastAsia="en-US"/>
        </w:rPr>
        <w:t>торической точки зрения. Памятник  является замечательным пр</w:t>
      </w:r>
      <w:r w:rsidRPr="00D81B1A">
        <w:rPr>
          <w:rFonts w:eastAsiaTheme="minorHAnsi"/>
          <w:sz w:val="22"/>
          <w:szCs w:val="22"/>
          <w:lang w:eastAsia="en-US"/>
        </w:rPr>
        <w:t>и</w:t>
      </w:r>
      <w:r w:rsidRPr="00D81B1A">
        <w:rPr>
          <w:rFonts w:eastAsiaTheme="minorHAnsi"/>
          <w:sz w:val="22"/>
          <w:szCs w:val="22"/>
          <w:lang w:eastAsia="en-US"/>
        </w:rPr>
        <w:t>мером здания выполненного в  стиле модерн, и так же он является особняком выдающегося екатеринодарского архитектора конца XIX - начала XX веков А.П. Косякина, оставившего заметный след в а</w:t>
      </w:r>
      <w:r w:rsidRPr="00D81B1A">
        <w:rPr>
          <w:rFonts w:eastAsiaTheme="minorHAnsi"/>
          <w:sz w:val="22"/>
          <w:szCs w:val="22"/>
          <w:lang w:eastAsia="en-US"/>
        </w:rPr>
        <w:t>р</w:t>
      </w:r>
      <w:r w:rsidRPr="00D81B1A">
        <w:rPr>
          <w:rFonts w:eastAsiaTheme="minorHAnsi"/>
          <w:sz w:val="22"/>
          <w:szCs w:val="22"/>
          <w:lang w:eastAsia="en-US"/>
        </w:rPr>
        <w:t>хитектуре города [1].</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Непринятие мер по капитальному ремонту и реставрации, в ближайшее время, приведет к полной потере памятника архитект</w:t>
      </w:r>
      <w:r w:rsidRPr="00D81B1A">
        <w:rPr>
          <w:rFonts w:eastAsiaTheme="minorHAnsi"/>
          <w:sz w:val="22"/>
          <w:szCs w:val="22"/>
          <w:lang w:eastAsia="en-US"/>
        </w:rPr>
        <w:t>у</w:t>
      </w:r>
      <w:r w:rsidRPr="00D81B1A">
        <w:rPr>
          <w:rFonts w:eastAsiaTheme="minorHAnsi"/>
          <w:sz w:val="22"/>
          <w:szCs w:val="22"/>
          <w:lang w:eastAsia="en-US"/>
        </w:rPr>
        <w:t>ры. В первую очередь необходимо провести комплексные против</w:t>
      </w:r>
      <w:r w:rsidRPr="00D81B1A">
        <w:rPr>
          <w:rFonts w:eastAsiaTheme="minorHAnsi"/>
          <w:sz w:val="22"/>
          <w:szCs w:val="22"/>
          <w:lang w:eastAsia="en-US"/>
        </w:rPr>
        <w:t>о</w:t>
      </w:r>
      <w:r w:rsidRPr="00D81B1A">
        <w:rPr>
          <w:rFonts w:eastAsiaTheme="minorHAnsi"/>
          <w:sz w:val="22"/>
          <w:szCs w:val="22"/>
          <w:lang w:eastAsia="en-US"/>
        </w:rPr>
        <w:t>аварийные мероприятия. Нынешнее состоян</w:t>
      </w:r>
      <w:r w:rsidR="00C336CD">
        <w:rPr>
          <w:rFonts w:eastAsiaTheme="minorHAnsi"/>
          <w:sz w:val="22"/>
          <w:szCs w:val="22"/>
          <w:lang w:eastAsia="en-US"/>
        </w:rPr>
        <w:t xml:space="preserve">ие основных элементов здания - </w:t>
      </w:r>
      <w:r w:rsidRPr="00D81B1A">
        <w:rPr>
          <w:rFonts w:eastAsiaTheme="minorHAnsi"/>
          <w:sz w:val="22"/>
          <w:szCs w:val="22"/>
          <w:lang w:eastAsia="en-US"/>
        </w:rPr>
        <w:t>цоколь, выполненный из кирпича, не оштукатурен, имею</w:t>
      </w:r>
      <w:r w:rsidRPr="00D81B1A">
        <w:rPr>
          <w:rFonts w:eastAsiaTheme="minorHAnsi"/>
          <w:sz w:val="22"/>
          <w:szCs w:val="22"/>
          <w:lang w:eastAsia="en-US"/>
        </w:rPr>
        <w:t>т</w:t>
      </w:r>
      <w:r w:rsidRPr="00D81B1A">
        <w:rPr>
          <w:rFonts w:eastAsiaTheme="minorHAnsi"/>
          <w:sz w:val="22"/>
          <w:szCs w:val="22"/>
          <w:lang w:eastAsia="en-US"/>
        </w:rPr>
        <w:t>ся трещины, выветривание раствора кирпичной кладки, следы зам</w:t>
      </w:r>
      <w:r w:rsidRPr="00D81B1A">
        <w:rPr>
          <w:rFonts w:eastAsiaTheme="minorHAnsi"/>
          <w:sz w:val="22"/>
          <w:szCs w:val="22"/>
          <w:lang w:eastAsia="en-US"/>
        </w:rPr>
        <w:t>а</w:t>
      </w:r>
      <w:r w:rsidRPr="00D81B1A">
        <w:rPr>
          <w:rFonts w:eastAsiaTheme="minorHAnsi"/>
          <w:sz w:val="22"/>
          <w:szCs w:val="22"/>
          <w:lang w:eastAsia="en-US"/>
        </w:rPr>
        <w:t>чивания.</w:t>
      </w:r>
      <w:r w:rsidRPr="00D81B1A">
        <w:rPr>
          <w:rFonts w:asciiTheme="minorHAnsi" w:eastAsiaTheme="minorHAnsi" w:hAnsiTheme="minorHAnsi" w:cstheme="minorBidi"/>
          <w:sz w:val="22"/>
          <w:szCs w:val="22"/>
          <w:lang w:eastAsia="en-US"/>
        </w:rPr>
        <w:t xml:space="preserve"> </w:t>
      </w:r>
      <w:r w:rsidRPr="00D81B1A">
        <w:rPr>
          <w:rFonts w:eastAsiaTheme="minorHAnsi"/>
          <w:sz w:val="22"/>
          <w:szCs w:val="22"/>
          <w:lang w:eastAsia="en-US"/>
        </w:rPr>
        <w:t>Фасады так же не оштукатурены, а окрашены фасадными красками по кирпичной кладке, кроме эркера на южном фасаде, д</w:t>
      </w:r>
      <w:r w:rsidRPr="00D81B1A">
        <w:rPr>
          <w:rFonts w:eastAsiaTheme="minorHAnsi"/>
          <w:sz w:val="22"/>
          <w:szCs w:val="22"/>
          <w:lang w:eastAsia="en-US"/>
        </w:rPr>
        <w:t>е</w:t>
      </w:r>
      <w:r w:rsidRPr="00D81B1A">
        <w:rPr>
          <w:rFonts w:eastAsiaTheme="minorHAnsi"/>
          <w:sz w:val="22"/>
          <w:szCs w:val="22"/>
          <w:lang w:eastAsia="en-US"/>
        </w:rPr>
        <w:t>ревянный и оштукатуренный по дранке. В кирпичной кладке стен имеются трещины, наблюдается выветривание кладочного раств</w:t>
      </w:r>
      <w:r w:rsidRPr="00D81B1A">
        <w:rPr>
          <w:rFonts w:eastAsiaTheme="minorHAnsi"/>
          <w:sz w:val="22"/>
          <w:szCs w:val="22"/>
          <w:lang w:eastAsia="en-US"/>
        </w:rPr>
        <w:t>о</w:t>
      </w:r>
      <w:r w:rsidRPr="00D81B1A">
        <w:rPr>
          <w:rFonts w:eastAsiaTheme="minorHAnsi"/>
          <w:sz w:val="22"/>
          <w:szCs w:val="22"/>
          <w:lang w:eastAsia="en-US"/>
        </w:rPr>
        <w:t>ра.</w:t>
      </w:r>
      <w:r w:rsidRPr="00D81B1A">
        <w:rPr>
          <w:rFonts w:asciiTheme="minorHAnsi" w:eastAsiaTheme="minorHAnsi" w:hAnsiTheme="minorHAnsi" w:cstheme="minorBidi"/>
          <w:sz w:val="22"/>
          <w:szCs w:val="22"/>
          <w:lang w:eastAsia="en-US"/>
        </w:rPr>
        <w:t xml:space="preserve"> </w:t>
      </w:r>
      <w:r w:rsidRPr="00D81B1A">
        <w:rPr>
          <w:rFonts w:eastAsiaTheme="minorHAnsi"/>
          <w:sz w:val="22"/>
          <w:szCs w:val="22"/>
          <w:lang w:eastAsia="en-US"/>
        </w:rPr>
        <w:t xml:space="preserve">Кровля двускатная по деревянным стропилам. </w:t>
      </w:r>
      <w:proofErr w:type="gramStart"/>
      <w:r w:rsidRPr="00D81B1A">
        <w:rPr>
          <w:rFonts w:eastAsiaTheme="minorHAnsi"/>
          <w:sz w:val="22"/>
          <w:szCs w:val="22"/>
          <w:lang w:eastAsia="en-US"/>
        </w:rPr>
        <w:t>Торцевые части чердака в виде треугольных фронтонов на восточном и западном фасадах зашиты доской.</w:t>
      </w:r>
      <w:proofErr w:type="gramEnd"/>
      <w:r w:rsidRPr="00D81B1A">
        <w:rPr>
          <w:rFonts w:eastAsiaTheme="minorHAnsi"/>
          <w:sz w:val="22"/>
          <w:szCs w:val="22"/>
          <w:lang w:eastAsia="en-US"/>
        </w:rPr>
        <w:t xml:space="preserve"> Водосточные желоба отсутствуют, вод</w:t>
      </w:r>
      <w:r w:rsidRPr="00D81B1A">
        <w:rPr>
          <w:rFonts w:eastAsiaTheme="minorHAnsi"/>
          <w:sz w:val="22"/>
          <w:szCs w:val="22"/>
          <w:lang w:eastAsia="en-US"/>
        </w:rPr>
        <w:t>о</w:t>
      </w:r>
      <w:r w:rsidRPr="00D81B1A">
        <w:rPr>
          <w:rFonts w:eastAsiaTheme="minorHAnsi"/>
          <w:sz w:val="22"/>
          <w:szCs w:val="22"/>
          <w:lang w:eastAsia="en-US"/>
        </w:rPr>
        <w:t>сток неорганизованный [3]. Первоочередными задачами при р</w:t>
      </w:r>
      <w:r w:rsidRPr="00D81B1A">
        <w:rPr>
          <w:rFonts w:eastAsiaTheme="minorHAnsi"/>
          <w:sz w:val="22"/>
          <w:szCs w:val="22"/>
          <w:lang w:eastAsia="en-US"/>
        </w:rPr>
        <w:t>е</w:t>
      </w:r>
      <w:r w:rsidRPr="00D81B1A">
        <w:rPr>
          <w:rFonts w:eastAsiaTheme="minorHAnsi"/>
          <w:sz w:val="22"/>
          <w:szCs w:val="22"/>
          <w:lang w:eastAsia="en-US"/>
        </w:rPr>
        <w:t>ставрации здания является усиление существующих фундаментов, устройство гидроизоляции стен. Проводимые ремонтно-реставрационные работы должны осуществляется на базе научных исследований, включающие в себя исторические, архивные, арх</w:t>
      </w:r>
      <w:r w:rsidRPr="00D81B1A">
        <w:rPr>
          <w:rFonts w:eastAsiaTheme="minorHAnsi"/>
          <w:sz w:val="22"/>
          <w:szCs w:val="22"/>
          <w:lang w:eastAsia="en-US"/>
        </w:rPr>
        <w:t>и</w:t>
      </w:r>
      <w:r w:rsidRPr="00D81B1A">
        <w:rPr>
          <w:rFonts w:eastAsiaTheme="minorHAnsi"/>
          <w:sz w:val="22"/>
          <w:szCs w:val="22"/>
          <w:lang w:eastAsia="en-US"/>
        </w:rPr>
        <w:t>тектурные исследования, а так же инженерно–технические закл</w:t>
      </w:r>
      <w:r w:rsidRPr="00D81B1A">
        <w:rPr>
          <w:rFonts w:eastAsiaTheme="minorHAnsi"/>
          <w:sz w:val="22"/>
          <w:szCs w:val="22"/>
          <w:lang w:eastAsia="en-US"/>
        </w:rPr>
        <w:t>ю</w:t>
      </w:r>
      <w:r w:rsidRPr="00D81B1A">
        <w:rPr>
          <w:rFonts w:eastAsiaTheme="minorHAnsi"/>
          <w:sz w:val="22"/>
          <w:szCs w:val="22"/>
          <w:lang w:eastAsia="en-US"/>
        </w:rPr>
        <w:t xml:space="preserve">чения о состоянии памятника. </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Целью реставрации  памятника архитектуры  должно являться обеспечение дальнейшей эксплуатация здания и придание новой функциональной составляющей. Опыт многих зарубежных стран показывает, что возрождению памятников культурного наследия способствует трансформация зданий в новые общественные це</w:t>
      </w:r>
      <w:r w:rsidRPr="00D81B1A">
        <w:rPr>
          <w:rFonts w:eastAsiaTheme="minorHAnsi"/>
          <w:sz w:val="22"/>
          <w:szCs w:val="22"/>
          <w:lang w:eastAsia="en-US"/>
        </w:rPr>
        <w:t>н</w:t>
      </w:r>
      <w:r w:rsidRPr="00D81B1A">
        <w:rPr>
          <w:rFonts w:eastAsiaTheme="minorHAnsi"/>
          <w:sz w:val="22"/>
          <w:szCs w:val="22"/>
          <w:lang w:eastAsia="en-US"/>
        </w:rPr>
        <w:t>тры.</w:t>
      </w:r>
    </w:p>
    <w:p w:rsidR="00D81B1A" w:rsidRPr="00D81B1A" w:rsidRDefault="00D81B1A" w:rsidP="00E22BC2">
      <w:pPr>
        <w:ind w:firstLine="425"/>
        <w:jc w:val="both"/>
        <w:rPr>
          <w:rFonts w:eastAsiaTheme="minorHAnsi"/>
          <w:sz w:val="22"/>
          <w:szCs w:val="22"/>
          <w:lang w:eastAsia="en-US"/>
        </w:rPr>
      </w:pPr>
      <w:r w:rsidRPr="00D81B1A">
        <w:rPr>
          <w:rFonts w:eastAsiaTheme="minorHAnsi"/>
          <w:sz w:val="22"/>
          <w:szCs w:val="22"/>
          <w:lang w:eastAsia="en-US"/>
        </w:rPr>
        <w:t>Наиболее распространённым способом является преобразов</w:t>
      </w:r>
      <w:r w:rsidRPr="00D81B1A">
        <w:rPr>
          <w:rFonts w:eastAsiaTheme="minorHAnsi"/>
          <w:sz w:val="22"/>
          <w:szCs w:val="22"/>
          <w:lang w:eastAsia="en-US"/>
        </w:rPr>
        <w:t>а</w:t>
      </w:r>
      <w:r w:rsidRPr="00D81B1A">
        <w:rPr>
          <w:rFonts w:eastAsiaTheme="minorHAnsi"/>
          <w:sz w:val="22"/>
          <w:szCs w:val="22"/>
          <w:lang w:eastAsia="en-US"/>
        </w:rPr>
        <w:t>ние и использования здания в качестве музея. Так достигается р</w:t>
      </w:r>
      <w:r w:rsidRPr="00D81B1A">
        <w:rPr>
          <w:rFonts w:eastAsiaTheme="minorHAnsi"/>
          <w:sz w:val="22"/>
          <w:szCs w:val="22"/>
          <w:lang w:eastAsia="en-US"/>
        </w:rPr>
        <w:t>е</w:t>
      </w:r>
      <w:r w:rsidRPr="00D81B1A">
        <w:rPr>
          <w:rFonts w:eastAsiaTheme="minorHAnsi"/>
          <w:sz w:val="22"/>
          <w:szCs w:val="22"/>
          <w:lang w:eastAsia="en-US"/>
        </w:rPr>
        <w:t>шение задачи по включению зданий в жизнь общества. Так как м</w:t>
      </w:r>
      <w:r w:rsidRPr="00D81B1A">
        <w:rPr>
          <w:rFonts w:eastAsiaTheme="minorHAnsi"/>
          <w:sz w:val="22"/>
          <w:szCs w:val="22"/>
          <w:lang w:eastAsia="en-US"/>
        </w:rPr>
        <w:t>у</w:t>
      </w:r>
      <w:r w:rsidRPr="00D81B1A">
        <w:rPr>
          <w:rFonts w:eastAsiaTheme="minorHAnsi"/>
          <w:sz w:val="22"/>
          <w:szCs w:val="22"/>
          <w:lang w:eastAsia="en-US"/>
        </w:rPr>
        <w:t>зей является местом общения и провождения досуга. Так в зар</w:t>
      </w:r>
      <w:r w:rsidRPr="00D81B1A">
        <w:rPr>
          <w:rFonts w:eastAsiaTheme="minorHAnsi"/>
          <w:sz w:val="22"/>
          <w:szCs w:val="22"/>
          <w:lang w:eastAsia="en-US"/>
        </w:rPr>
        <w:t>у</w:t>
      </w:r>
      <w:r w:rsidRPr="00D81B1A">
        <w:rPr>
          <w:rFonts w:eastAsiaTheme="minorHAnsi"/>
          <w:sz w:val="22"/>
          <w:szCs w:val="22"/>
          <w:lang w:eastAsia="en-US"/>
        </w:rPr>
        <w:lastRenderedPageBreak/>
        <w:t>бежной практике можно найти примеры успешного использования зданий памятников архитектуры,  такие как худо</w:t>
      </w:r>
      <w:r w:rsidR="00C336CD">
        <w:rPr>
          <w:rFonts w:eastAsiaTheme="minorHAnsi"/>
          <w:sz w:val="22"/>
          <w:szCs w:val="22"/>
          <w:lang w:eastAsia="en-US"/>
        </w:rPr>
        <w:t xml:space="preserve">жественная галерея Тэйд морден </w:t>
      </w:r>
      <w:r w:rsidRPr="00D81B1A">
        <w:rPr>
          <w:rFonts w:eastAsiaTheme="minorHAnsi"/>
          <w:sz w:val="22"/>
          <w:szCs w:val="22"/>
          <w:lang w:eastAsia="en-US"/>
        </w:rPr>
        <w:t>располагающаяся в здании бывшей электростанции, или же исторический музей в городе Кельн, переоборудованный в здании бывшего Арсенала. Мероприятия по сохранению и модерн</w:t>
      </w:r>
      <w:r w:rsidRPr="00D81B1A">
        <w:rPr>
          <w:rFonts w:eastAsiaTheme="minorHAnsi"/>
          <w:sz w:val="22"/>
          <w:szCs w:val="22"/>
          <w:lang w:eastAsia="en-US"/>
        </w:rPr>
        <w:t>и</w:t>
      </w:r>
      <w:r w:rsidRPr="00D81B1A">
        <w:rPr>
          <w:rFonts w:eastAsiaTheme="minorHAnsi"/>
          <w:sz w:val="22"/>
          <w:szCs w:val="22"/>
          <w:lang w:eastAsia="en-US"/>
        </w:rPr>
        <w:t>зации здания позволят получить ранее неиспользуемые площади в центральной исторической части города.</w:t>
      </w:r>
    </w:p>
    <w:p w:rsidR="00E22BC2" w:rsidRDefault="00E22BC2" w:rsidP="00D81B1A">
      <w:pPr>
        <w:ind w:firstLine="425"/>
        <w:jc w:val="center"/>
        <w:rPr>
          <w:rFonts w:eastAsiaTheme="minorHAnsi"/>
          <w:sz w:val="22"/>
          <w:szCs w:val="22"/>
          <w:lang w:eastAsia="en-US"/>
        </w:rPr>
      </w:pPr>
    </w:p>
    <w:p w:rsidR="00D81B1A" w:rsidRPr="00D81B1A" w:rsidRDefault="00D81B1A" w:rsidP="00D81B1A">
      <w:pPr>
        <w:ind w:firstLine="425"/>
        <w:jc w:val="center"/>
        <w:rPr>
          <w:rFonts w:eastAsiaTheme="minorHAnsi"/>
          <w:sz w:val="22"/>
          <w:szCs w:val="22"/>
          <w:lang w:eastAsia="en-US"/>
        </w:rPr>
      </w:pPr>
      <w:r w:rsidRPr="00D81B1A">
        <w:rPr>
          <w:rFonts w:eastAsiaTheme="minorHAnsi"/>
          <w:sz w:val="22"/>
          <w:szCs w:val="22"/>
          <w:lang w:eastAsia="en-US"/>
        </w:rPr>
        <w:t>Список литературы</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1. Бардадым В. П. «Архитектура Екатеринодара» / В. П.  Ба</w:t>
      </w:r>
      <w:r w:rsidRPr="00D81B1A">
        <w:rPr>
          <w:rFonts w:eastAsiaTheme="minorHAnsi"/>
          <w:sz w:val="22"/>
          <w:szCs w:val="22"/>
          <w:lang w:eastAsia="en-US"/>
        </w:rPr>
        <w:t>р</w:t>
      </w:r>
      <w:r w:rsidRPr="00D81B1A">
        <w:rPr>
          <w:rFonts w:eastAsiaTheme="minorHAnsi"/>
          <w:sz w:val="22"/>
          <w:szCs w:val="22"/>
          <w:lang w:eastAsia="en-US"/>
        </w:rPr>
        <w:t xml:space="preserve">дадым - Краснодар: Советская Кубань, 2002. </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2. Гендель, Э.М. Инженерные работы по реставрации памятн</w:t>
      </w:r>
      <w:r w:rsidRPr="00D81B1A">
        <w:rPr>
          <w:rFonts w:eastAsiaTheme="minorHAnsi"/>
          <w:sz w:val="22"/>
          <w:szCs w:val="22"/>
          <w:lang w:eastAsia="en-US"/>
        </w:rPr>
        <w:t>и</w:t>
      </w:r>
      <w:r w:rsidRPr="00D81B1A">
        <w:rPr>
          <w:rFonts w:eastAsiaTheme="minorHAnsi"/>
          <w:sz w:val="22"/>
          <w:szCs w:val="22"/>
          <w:lang w:eastAsia="en-US"/>
        </w:rPr>
        <w:t>ков архитектуры: Учеб</w:t>
      </w:r>
      <w:proofErr w:type="gramStart"/>
      <w:r w:rsidRPr="00D81B1A">
        <w:rPr>
          <w:rFonts w:eastAsiaTheme="minorHAnsi"/>
          <w:sz w:val="22"/>
          <w:szCs w:val="22"/>
          <w:lang w:eastAsia="en-US"/>
        </w:rPr>
        <w:t>.</w:t>
      </w:r>
      <w:proofErr w:type="gramEnd"/>
      <w:r w:rsidRPr="00D81B1A">
        <w:rPr>
          <w:rFonts w:eastAsiaTheme="minorHAnsi"/>
          <w:sz w:val="22"/>
          <w:szCs w:val="22"/>
          <w:lang w:eastAsia="en-US"/>
        </w:rPr>
        <w:t xml:space="preserve"> </w:t>
      </w:r>
      <w:proofErr w:type="gramStart"/>
      <w:r w:rsidRPr="00D81B1A">
        <w:rPr>
          <w:rFonts w:eastAsiaTheme="minorHAnsi"/>
          <w:sz w:val="22"/>
          <w:szCs w:val="22"/>
          <w:lang w:eastAsia="en-US"/>
        </w:rPr>
        <w:t>п</w:t>
      </w:r>
      <w:proofErr w:type="gramEnd"/>
      <w:r w:rsidRPr="00D81B1A">
        <w:rPr>
          <w:rFonts w:eastAsiaTheme="minorHAnsi"/>
          <w:sz w:val="22"/>
          <w:szCs w:val="22"/>
          <w:lang w:eastAsia="en-US"/>
        </w:rPr>
        <w:t>особ. / Э.М. Гендель.- М.: Стройиздат, 1980.</w:t>
      </w:r>
    </w:p>
    <w:p w:rsidR="00D81B1A" w:rsidRPr="00D81B1A" w:rsidRDefault="00D81B1A" w:rsidP="00D81B1A">
      <w:pPr>
        <w:ind w:firstLine="425"/>
        <w:jc w:val="both"/>
        <w:rPr>
          <w:rFonts w:eastAsiaTheme="minorHAnsi"/>
          <w:sz w:val="22"/>
          <w:szCs w:val="22"/>
          <w:lang w:eastAsia="en-US"/>
        </w:rPr>
      </w:pPr>
      <w:r w:rsidRPr="00D81B1A">
        <w:rPr>
          <w:rFonts w:eastAsiaTheme="minorHAnsi"/>
          <w:sz w:val="22"/>
          <w:szCs w:val="22"/>
          <w:lang w:eastAsia="en-US"/>
        </w:rPr>
        <w:t>3. Учетная карта объекта, представляющего собой историко-культурную ценность – Дом жилой архитектора А.П. Косякина</w:t>
      </w:r>
    </w:p>
    <w:p w:rsidR="00B36597" w:rsidRDefault="00B36597" w:rsidP="00B36597">
      <w:pPr>
        <w:rPr>
          <w:rFonts w:eastAsia="Calibri"/>
          <w:spacing w:val="2"/>
          <w:sz w:val="22"/>
          <w:szCs w:val="22"/>
          <w:u w:val="single"/>
          <w:shd w:val="clear" w:color="auto" w:fill="FFFFFF"/>
          <w:lang w:eastAsia="en-US"/>
        </w:rPr>
      </w:pPr>
    </w:p>
    <w:p w:rsidR="00E22BC2" w:rsidRDefault="00E22BC2" w:rsidP="00B36597">
      <w:pPr>
        <w:rPr>
          <w:rFonts w:eastAsia="Calibri"/>
          <w:spacing w:val="2"/>
          <w:sz w:val="22"/>
          <w:szCs w:val="22"/>
          <w:u w:val="single"/>
          <w:shd w:val="clear" w:color="auto" w:fill="FFFFFF"/>
          <w:lang w:eastAsia="en-US"/>
        </w:rPr>
      </w:pPr>
    </w:p>
    <w:p w:rsidR="00E22BC2" w:rsidRDefault="00E22BC2" w:rsidP="00B36597">
      <w:pPr>
        <w:rPr>
          <w:rFonts w:eastAsia="Calibri"/>
          <w:spacing w:val="2"/>
          <w:sz w:val="22"/>
          <w:szCs w:val="22"/>
          <w:u w:val="single"/>
          <w:shd w:val="clear" w:color="auto" w:fill="FFFFFF"/>
          <w:lang w:eastAsia="en-US"/>
        </w:rPr>
      </w:pPr>
    </w:p>
    <w:p w:rsidR="00D81B1A" w:rsidRPr="00D81B1A" w:rsidRDefault="00D81B1A" w:rsidP="00D81B1A">
      <w:pPr>
        <w:rPr>
          <w:sz w:val="22"/>
          <w:szCs w:val="22"/>
        </w:rPr>
      </w:pPr>
      <w:r w:rsidRPr="00D81B1A">
        <w:rPr>
          <w:bCs/>
          <w:sz w:val="22"/>
          <w:szCs w:val="22"/>
        </w:rPr>
        <w:t>УДК</w:t>
      </w:r>
      <w:r w:rsidRPr="00D81B1A">
        <w:rPr>
          <w:sz w:val="22"/>
          <w:szCs w:val="22"/>
        </w:rPr>
        <w:t xml:space="preserve"> 72.025.5.</w:t>
      </w:r>
    </w:p>
    <w:p w:rsidR="00D81B1A" w:rsidRPr="00D81B1A" w:rsidRDefault="00D81B1A" w:rsidP="00D81B1A">
      <w:pPr>
        <w:rPr>
          <w:sz w:val="22"/>
          <w:szCs w:val="22"/>
        </w:rPr>
      </w:pPr>
    </w:p>
    <w:p w:rsidR="00D81B1A" w:rsidRPr="00D81B1A" w:rsidRDefault="00D81B1A" w:rsidP="00D81B1A">
      <w:pPr>
        <w:widowControl w:val="0"/>
        <w:autoSpaceDE w:val="0"/>
        <w:autoSpaceDN w:val="0"/>
        <w:adjustRightInd w:val="0"/>
        <w:jc w:val="center"/>
        <w:rPr>
          <w:b/>
          <w:sz w:val="24"/>
          <w:szCs w:val="24"/>
        </w:rPr>
      </w:pPr>
      <w:r w:rsidRPr="00D81B1A">
        <w:rPr>
          <w:b/>
          <w:sz w:val="24"/>
          <w:szCs w:val="24"/>
        </w:rPr>
        <w:t>Градостроительная деятельность в условиях</w:t>
      </w:r>
    </w:p>
    <w:p w:rsidR="00D81B1A" w:rsidRPr="00D81B1A" w:rsidRDefault="00D81B1A" w:rsidP="00D81B1A">
      <w:pPr>
        <w:widowControl w:val="0"/>
        <w:autoSpaceDE w:val="0"/>
        <w:autoSpaceDN w:val="0"/>
        <w:adjustRightInd w:val="0"/>
        <w:jc w:val="center"/>
        <w:rPr>
          <w:b/>
          <w:sz w:val="24"/>
          <w:szCs w:val="24"/>
        </w:rPr>
      </w:pPr>
      <w:r w:rsidRPr="00D81B1A">
        <w:rPr>
          <w:b/>
          <w:sz w:val="24"/>
          <w:szCs w:val="24"/>
        </w:rPr>
        <w:t>реконструкции исторической застройки</w:t>
      </w:r>
    </w:p>
    <w:p w:rsidR="00D81B1A" w:rsidRPr="00024398" w:rsidRDefault="00D81B1A" w:rsidP="00D81B1A">
      <w:pPr>
        <w:widowControl w:val="0"/>
        <w:autoSpaceDE w:val="0"/>
        <w:autoSpaceDN w:val="0"/>
        <w:adjustRightInd w:val="0"/>
        <w:jc w:val="center"/>
        <w:rPr>
          <w:b/>
          <w:sz w:val="24"/>
          <w:szCs w:val="24"/>
          <w:lang w:val="en-US"/>
        </w:rPr>
      </w:pPr>
      <w:r w:rsidRPr="00D81B1A">
        <w:rPr>
          <w:b/>
          <w:sz w:val="24"/>
          <w:szCs w:val="24"/>
          <w:lang w:val="en"/>
        </w:rPr>
        <w:t>Urban development in conditions</w:t>
      </w:r>
      <w:r w:rsidRPr="00D81B1A">
        <w:rPr>
          <w:b/>
          <w:sz w:val="24"/>
          <w:szCs w:val="24"/>
          <w:lang w:val="en"/>
        </w:rPr>
        <w:br/>
        <w:t>reconstruction of historical buildings</w:t>
      </w:r>
    </w:p>
    <w:p w:rsidR="00C336CD" w:rsidRPr="00024398" w:rsidRDefault="00C336CD" w:rsidP="00D81B1A">
      <w:pPr>
        <w:widowControl w:val="0"/>
        <w:autoSpaceDE w:val="0"/>
        <w:autoSpaceDN w:val="0"/>
        <w:adjustRightInd w:val="0"/>
        <w:jc w:val="center"/>
        <w:rPr>
          <w:b/>
          <w:sz w:val="24"/>
          <w:szCs w:val="24"/>
          <w:lang w:val="en-US"/>
        </w:rPr>
      </w:pPr>
    </w:p>
    <w:p w:rsidR="00D81B1A" w:rsidRPr="00D81B1A" w:rsidRDefault="00D81B1A" w:rsidP="00D81B1A">
      <w:pPr>
        <w:widowControl w:val="0"/>
        <w:autoSpaceDE w:val="0"/>
        <w:autoSpaceDN w:val="0"/>
        <w:adjustRightInd w:val="0"/>
        <w:jc w:val="right"/>
        <w:rPr>
          <w:sz w:val="22"/>
          <w:szCs w:val="22"/>
        </w:rPr>
      </w:pPr>
      <w:r w:rsidRPr="00D81B1A">
        <w:rPr>
          <w:sz w:val="22"/>
          <w:szCs w:val="22"/>
        </w:rPr>
        <w:t>Лашков Г.</w:t>
      </w:r>
      <w:r w:rsidR="00C336CD">
        <w:rPr>
          <w:sz w:val="22"/>
          <w:szCs w:val="22"/>
        </w:rPr>
        <w:t xml:space="preserve"> </w:t>
      </w:r>
      <w:r w:rsidRPr="00D81B1A">
        <w:rPr>
          <w:sz w:val="22"/>
          <w:szCs w:val="22"/>
        </w:rPr>
        <w:t>В.,</w:t>
      </w:r>
    </w:p>
    <w:p w:rsidR="00D81B1A" w:rsidRPr="00D81B1A" w:rsidRDefault="00D81B1A" w:rsidP="00D81B1A">
      <w:pPr>
        <w:widowControl w:val="0"/>
        <w:autoSpaceDE w:val="0"/>
        <w:autoSpaceDN w:val="0"/>
        <w:adjustRightInd w:val="0"/>
        <w:jc w:val="right"/>
        <w:rPr>
          <w:sz w:val="22"/>
          <w:szCs w:val="22"/>
        </w:rPr>
      </w:pPr>
      <w:r w:rsidRPr="00D81B1A">
        <w:rPr>
          <w:sz w:val="22"/>
          <w:szCs w:val="22"/>
        </w:rPr>
        <w:t>магистрант 1-го курса факультета заочного обучения</w:t>
      </w:r>
    </w:p>
    <w:p w:rsidR="00D81B1A" w:rsidRPr="00D81B1A" w:rsidRDefault="00D81B1A" w:rsidP="00D81B1A">
      <w:pPr>
        <w:widowControl w:val="0"/>
        <w:autoSpaceDE w:val="0"/>
        <w:autoSpaceDN w:val="0"/>
        <w:adjustRightInd w:val="0"/>
        <w:jc w:val="right"/>
        <w:rPr>
          <w:sz w:val="22"/>
          <w:szCs w:val="22"/>
        </w:rPr>
      </w:pPr>
      <w:r w:rsidRPr="00D81B1A">
        <w:rPr>
          <w:sz w:val="22"/>
          <w:szCs w:val="22"/>
        </w:rPr>
        <w:t>Субботин О. С.</w:t>
      </w:r>
      <w:r w:rsidR="00C336CD">
        <w:rPr>
          <w:sz w:val="22"/>
          <w:szCs w:val="22"/>
        </w:rPr>
        <w:t>,</w:t>
      </w:r>
    </w:p>
    <w:p w:rsidR="00D81B1A" w:rsidRPr="00D81B1A" w:rsidRDefault="00D81B1A" w:rsidP="00D81B1A">
      <w:pPr>
        <w:widowControl w:val="0"/>
        <w:autoSpaceDE w:val="0"/>
        <w:autoSpaceDN w:val="0"/>
        <w:adjustRightInd w:val="0"/>
        <w:jc w:val="right"/>
        <w:rPr>
          <w:sz w:val="22"/>
          <w:szCs w:val="22"/>
        </w:rPr>
      </w:pPr>
      <w:r w:rsidRPr="00D81B1A">
        <w:rPr>
          <w:sz w:val="22"/>
          <w:szCs w:val="22"/>
        </w:rPr>
        <w:t>профессор кафедры архитектуры</w:t>
      </w:r>
    </w:p>
    <w:p w:rsidR="00D81B1A" w:rsidRPr="00D81B1A" w:rsidRDefault="00D81B1A" w:rsidP="00D81B1A">
      <w:pPr>
        <w:widowControl w:val="0"/>
        <w:autoSpaceDE w:val="0"/>
        <w:autoSpaceDN w:val="0"/>
        <w:adjustRightInd w:val="0"/>
        <w:jc w:val="right"/>
        <w:rPr>
          <w:sz w:val="22"/>
          <w:szCs w:val="22"/>
        </w:rPr>
      </w:pPr>
      <w:r w:rsidRPr="00D81B1A">
        <w:rPr>
          <w:sz w:val="22"/>
          <w:szCs w:val="22"/>
        </w:rPr>
        <w:t>Кубанский государственный аграрный</w:t>
      </w:r>
    </w:p>
    <w:p w:rsidR="00D81B1A" w:rsidRPr="00D81B1A" w:rsidRDefault="00D81B1A" w:rsidP="00D81B1A">
      <w:pPr>
        <w:widowControl w:val="0"/>
        <w:autoSpaceDE w:val="0"/>
        <w:autoSpaceDN w:val="0"/>
        <w:adjustRightInd w:val="0"/>
        <w:jc w:val="right"/>
        <w:rPr>
          <w:sz w:val="22"/>
          <w:szCs w:val="22"/>
        </w:rPr>
      </w:pPr>
      <w:r w:rsidRPr="00D81B1A">
        <w:rPr>
          <w:sz w:val="22"/>
          <w:szCs w:val="22"/>
        </w:rPr>
        <w:t>у</w:t>
      </w:r>
      <w:r w:rsidR="00C336CD">
        <w:rPr>
          <w:sz w:val="22"/>
          <w:szCs w:val="22"/>
        </w:rPr>
        <w:t>ниверситет имени И. Т. Трубилина</w:t>
      </w:r>
    </w:p>
    <w:p w:rsidR="00D81B1A" w:rsidRPr="00D81B1A" w:rsidRDefault="00D81B1A" w:rsidP="00D81B1A">
      <w:pPr>
        <w:widowControl w:val="0"/>
        <w:autoSpaceDE w:val="0"/>
        <w:autoSpaceDN w:val="0"/>
        <w:adjustRightInd w:val="0"/>
        <w:ind w:firstLine="426"/>
        <w:jc w:val="both"/>
        <w:rPr>
          <w:sz w:val="22"/>
          <w:szCs w:val="20"/>
        </w:rPr>
      </w:pPr>
    </w:p>
    <w:p w:rsidR="00D81B1A" w:rsidRPr="00D81B1A" w:rsidRDefault="00D81B1A" w:rsidP="00D81B1A">
      <w:pPr>
        <w:widowControl w:val="0"/>
        <w:autoSpaceDE w:val="0"/>
        <w:autoSpaceDN w:val="0"/>
        <w:adjustRightInd w:val="0"/>
        <w:ind w:firstLine="426"/>
        <w:jc w:val="both"/>
        <w:rPr>
          <w:bCs/>
          <w:iCs/>
          <w:sz w:val="22"/>
          <w:szCs w:val="20"/>
        </w:rPr>
      </w:pPr>
      <w:r w:rsidRPr="00D81B1A">
        <w:rPr>
          <w:sz w:val="22"/>
          <w:szCs w:val="20"/>
        </w:rPr>
        <w:t xml:space="preserve">АННОТАЦИЯ: </w:t>
      </w:r>
      <w:r w:rsidRPr="00D81B1A">
        <w:rPr>
          <w:bCs/>
          <w:iCs/>
          <w:sz w:val="22"/>
          <w:szCs w:val="20"/>
        </w:rPr>
        <w:t>Рассмотрены основные вопросы реконструкции исторической застройки. Значительное внимание уделено сохран</w:t>
      </w:r>
      <w:r w:rsidRPr="00D81B1A">
        <w:rPr>
          <w:bCs/>
          <w:iCs/>
          <w:sz w:val="22"/>
          <w:szCs w:val="20"/>
        </w:rPr>
        <w:t>е</w:t>
      </w:r>
      <w:r w:rsidRPr="00D81B1A">
        <w:rPr>
          <w:bCs/>
          <w:iCs/>
          <w:sz w:val="22"/>
          <w:szCs w:val="20"/>
        </w:rPr>
        <w:t>нию историко-культурного наследия. Отмечена особая роль закон</w:t>
      </w:r>
      <w:r w:rsidRPr="00D81B1A">
        <w:rPr>
          <w:bCs/>
          <w:iCs/>
          <w:sz w:val="22"/>
          <w:szCs w:val="20"/>
        </w:rPr>
        <w:t>о</w:t>
      </w:r>
      <w:r w:rsidRPr="00D81B1A">
        <w:rPr>
          <w:bCs/>
          <w:iCs/>
          <w:sz w:val="22"/>
          <w:szCs w:val="20"/>
        </w:rPr>
        <w:t>дательных актов, органов власти в вопросах государственной охр</w:t>
      </w:r>
      <w:r w:rsidRPr="00D81B1A">
        <w:rPr>
          <w:bCs/>
          <w:iCs/>
          <w:sz w:val="22"/>
          <w:szCs w:val="20"/>
        </w:rPr>
        <w:t>а</w:t>
      </w:r>
      <w:r w:rsidRPr="00D81B1A">
        <w:rPr>
          <w:bCs/>
          <w:iCs/>
          <w:sz w:val="22"/>
          <w:szCs w:val="20"/>
        </w:rPr>
        <w:lastRenderedPageBreak/>
        <w:t>ны памятников.</w:t>
      </w:r>
    </w:p>
    <w:p w:rsidR="00D81B1A" w:rsidRPr="00D81B1A" w:rsidRDefault="00D81B1A" w:rsidP="00D81B1A">
      <w:pPr>
        <w:ind w:firstLine="426"/>
        <w:jc w:val="both"/>
        <w:rPr>
          <w:sz w:val="22"/>
          <w:szCs w:val="20"/>
          <w:lang w:val="en-US"/>
        </w:rPr>
      </w:pPr>
      <w:r w:rsidRPr="00D81B1A">
        <w:rPr>
          <w:sz w:val="22"/>
          <w:szCs w:val="20"/>
          <w:lang w:val="en"/>
        </w:rPr>
        <w:t>ABSTRACT</w:t>
      </w:r>
      <w:r w:rsidRPr="00D81B1A">
        <w:rPr>
          <w:sz w:val="22"/>
          <w:szCs w:val="20"/>
          <w:lang w:val="en-US"/>
        </w:rPr>
        <w:t xml:space="preserve">: </w:t>
      </w:r>
      <w:r w:rsidRPr="00D81B1A">
        <w:rPr>
          <w:sz w:val="22"/>
          <w:szCs w:val="20"/>
          <w:lang w:val="en"/>
        </w:rPr>
        <w:t>The main issues of reconstruction of historical buil</w:t>
      </w:r>
      <w:r w:rsidRPr="00D81B1A">
        <w:rPr>
          <w:sz w:val="22"/>
          <w:szCs w:val="20"/>
          <w:lang w:val="en"/>
        </w:rPr>
        <w:t>d</w:t>
      </w:r>
      <w:r w:rsidRPr="00D81B1A">
        <w:rPr>
          <w:sz w:val="22"/>
          <w:szCs w:val="20"/>
          <w:lang w:val="en"/>
        </w:rPr>
        <w:t>ings are considered.</w:t>
      </w:r>
      <w:r w:rsidRPr="00D81B1A">
        <w:rPr>
          <w:sz w:val="22"/>
          <w:szCs w:val="20"/>
          <w:lang w:val="en-US"/>
        </w:rPr>
        <w:t xml:space="preserve"> </w:t>
      </w:r>
      <w:r w:rsidRPr="00D81B1A">
        <w:rPr>
          <w:sz w:val="22"/>
          <w:szCs w:val="20"/>
          <w:lang w:val="en"/>
        </w:rPr>
        <w:t>Considerable attention is paid to the preservation of the historical and cultural heritage.</w:t>
      </w:r>
      <w:r w:rsidRPr="00D81B1A">
        <w:rPr>
          <w:rFonts w:ascii="Arial" w:eastAsia="Calibri" w:hAnsi="Arial" w:cs="Arial"/>
          <w:color w:val="222222"/>
          <w:lang w:val="en" w:eastAsia="en-US"/>
        </w:rPr>
        <w:t xml:space="preserve"> </w:t>
      </w:r>
      <w:r w:rsidRPr="00D81B1A">
        <w:rPr>
          <w:rFonts w:eastAsia="Calibri"/>
          <w:color w:val="222222"/>
          <w:sz w:val="22"/>
          <w:szCs w:val="22"/>
          <w:lang w:val="en" w:eastAsia="en-US"/>
        </w:rPr>
        <w:t>The special role of legislative acts, authorities in matters of state protection of monuments is noted.</w:t>
      </w:r>
      <w:r w:rsidRPr="00D81B1A">
        <w:rPr>
          <w:rFonts w:ascii="Arial" w:eastAsia="Calibri" w:hAnsi="Arial" w:cs="Arial"/>
          <w:color w:val="222222"/>
          <w:lang w:val="en-US" w:eastAsia="en-US"/>
        </w:rPr>
        <w:t xml:space="preserve"> </w:t>
      </w:r>
    </w:p>
    <w:p w:rsidR="00D81B1A" w:rsidRPr="00D81B1A" w:rsidRDefault="00D81B1A" w:rsidP="00D81B1A">
      <w:pPr>
        <w:ind w:firstLine="426"/>
        <w:jc w:val="both"/>
        <w:rPr>
          <w:sz w:val="22"/>
          <w:szCs w:val="20"/>
        </w:rPr>
      </w:pPr>
      <w:r w:rsidRPr="00D81B1A">
        <w:rPr>
          <w:sz w:val="22"/>
          <w:szCs w:val="20"/>
        </w:rPr>
        <w:t>КЛЮЧЕВЫЕ СЛОВА: реконструкция, застройка, памятник, охрана, наследие, зодчество, центр, город</w:t>
      </w:r>
    </w:p>
    <w:p w:rsidR="00D81B1A" w:rsidRPr="00D81B1A" w:rsidRDefault="00D81B1A" w:rsidP="00D81B1A">
      <w:pPr>
        <w:ind w:firstLine="426"/>
        <w:jc w:val="both"/>
        <w:rPr>
          <w:sz w:val="22"/>
          <w:szCs w:val="22"/>
          <w:lang w:val="en-US"/>
        </w:rPr>
      </w:pPr>
      <w:r w:rsidRPr="00D81B1A">
        <w:rPr>
          <w:sz w:val="22"/>
          <w:szCs w:val="22"/>
          <w:lang w:val="en"/>
        </w:rPr>
        <w:t>KEYWORDS</w:t>
      </w:r>
      <w:r w:rsidRPr="00D81B1A">
        <w:rPr>
          <w:sz w:val="22"/>
          <w:szCs w:val="22"/>
          <w:lang w:val="en-US"/>
        </w:rPr>
        <w:t xml:space="preserve">: </w:t>
      </w:r>
      <w:r w:rsidRPr="00D81B1A">
        <w:rPr>
          <w:sz w:val="22"/>
          <w:szCs w:val="22"/>
          <w:lang w:val="en"/>
        </w:rPr>
        <w:t>reconstruction, building, monument, protection, he</w:t>
      </w:r>
      <w:r w:rsidRPr="00D81B1A">
        <w:rPr>
          <w:sz w:val="22"/>
          <w:szCs w:val="22"/>
          <w:lang w:val="en"/>
        </w:rPr>
        <w:t>r</w:t>
      </w:r>
      <w:r w:rsidRPr="00D81B1A">
        <w:rPr>
          <w:sz w:val="22"/>
          <w:szCs w:val="22"/>
          <w:lang w:val="en"/>
        </w:rPr>
        <w:t>itage, architecture, center, city</w:t>
      </w:r>
    </w:p>
    <w:p w:rsidR="00D81B1A" w:rsidRPr="00D81B1A" w:rsidRDefault="00D81B1A" w:rsidP="00D81B1A">
      <w:pPr>
        <w:ind w:firstLine="426"/>
        <w:jc w:val="both"/>
        <w:rPr>
          <w:bCs/>
          <w:iCs/>
          <w:sz w:val="22"/>
          <w:szCs w:val="22"/>
          <w:lang w:val="en-US"/>
        </w:rPr>
      </w:pPr>
    </w:p>
    <w:p w:rsidR="00D81B1A" w:rsidRPr="00D81B1A" w:rsidRDefault="00D81B1A" w:rsidP="00D81B1A">
      <w:pPr>
        <w:ind w:firstLine="426"/>
        <w:jc w:val="both"/>
        <w:rPr>
          <w:bCs/>
          <w:iCs/>
          <w:sz w:val="22"/>
          <w:szCs w:val="22"/>
        </w:rPr>
      </w:pPr>
      <w:r w:rsidRPr="00D81B1A">
        <w:rPr>
          <w:bCs/>
          <w:iCs/>
          <w:sz w:val="22"/>
          <w:szCs w:val="22"/>
        </w:rPr>
        <w:t>Малые и средние города России – важнейшие страницы ист</w:t>
      </w:r>
      <w:r w:rsidRPr="00D81B1A">
        <w:rPr>
          <w:bCs/>
          <w:iCs/>
          <w:sz w:val="22"/>
          <w:szCs w:val="22"/>
        </w:rPr>
        <w:t>о</w:t>
      </w:r>
      <w:r w:rsidRPr="00D81B1A">
        <w:rPr>
          <w:bCs/>
          <w:iCs/>
          <w:sz w:val="22"/>
          <w:szCs w:val="22"/>
        </w:rPr>
        <w:t>рии нашего государства. В большей степени в них сохранились п</w:t>
      </w:r>
      <w:r w:rsidRPr="00D81B1A">
        <w:rPr>
          <w:bCs/>
          <w:iCs/>
          <w:sz w:val="22"/>
          <w:szCs w:val="22"/>
        </w:rPr>
        <w:t>а</w:t>
      </w:r>
      <w:r w:rsidRPr="00D81B1A">
        <w:rPr>
          <w:bCs/>
          <w:iCs/>
          <w:sz w:val="22"/>
          <w:szCs w:val="22"/>
        </w:rPr>
        <w:t>мятники историко-культурного наследия, составляющие духовную и культурную ценность для настоящего и будущего поколений [1, с.48]. Исторический центр данных городов наглядно демонстрирует свое исключительное прошлое: в культурном, архитектурном, соц</w:t>
      </w:r>
      <w:r w:rsidRPr="00D81B1A">
        <w:rPr>
          <w:bCs/>
          <w:iCs/>
          <w:sz w:val="22"/>
          <w:szCs w:val="22"/>
        </w:rPr>
        <w:t>и</w:t>
      </w:r>
      <w:r w:rsidRPr="00D81B1A">
        <w:rPr>
          <w:bCs/>
          <w:iCs/>
          <w:sz w:val="22"/>
          <w:szCs w:val="22"/>
        </w:rPr>
        <w:t>альном сценарии. Он совпадает с территорией, явившейся началом возникновения, становления и развития города.</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Реконструкция исторической застройки городского центра – основная архитектурно-градостроительная проблема для каждого города с достаточно богатым историческим прошлым [2, с.7]. В подтверждении этого, градостроительная деятельность по реко</w:t>
      </w:r>
      <w:r w:rsidRPr="00D81B1A">
        <w:rPr>
          <w:rFonts w:eastAsia="Calibri"/>
          <w:bCs/>
          <w:iCs/>
          <w:sz w:val="22"/>
          <w:szCs w:val="22"/>
          <w:lang w:eastAsia="en-US"/>
        </w:rPr>
        <w:t>н</w:t>
      </w:r>
      <w:r w:rsidRPr="00D81B1A">
        <w:rPr>
          <w:rFonts w:eastAsia="Calibri"/>
          <w:bCs/>
          <w:iCs/>
          <w:sz w:val="22"/>
          <w:szCs w:val="22"/>
          <w:lang w:eastAsia="en-US"/>
        </w:rPr>
        <w:t>струкции исторической застройки городского центра должна ос</w:t>
      </w:r>
      <w:r w:rsidRPr="00D81B1A">
        <w:rPr>
          <w:rFonts w:eastAsia="Calibri"/>
          <w:bCs/>
          <w:iCs/>
          <w:sz w:val="22"/>
          <w:szCs w:val="22"/>
          <w:lang w:eastAsia="en-US"/>
        </w:rPr>
        <w:t>у</w:t>
      </w:r>
      <w:r w:rsidRPr="00D81B1A">
        <w:rPr>
          <w:rFonts w:eastAsia="Calibri"/>
          <w:bCs/>
          <w:iCs/>
          <w:sz w:val="22"/>
          <w:szCs w:val="22"/>
          <w:lang w:eastAsia="en-US"/>
        </w:rPr>
        <w:t>ществляться при условии обеспечения сохранности объектов ист</w:t>
      </w:r>
      <w:r w:rsidRPr="00D81B1A">
        <w:rPr>
          <w:rFonts w:eastAsia="Calibri"/>
          <w:bCs/>
          <w:iCs/>
          <w:sz w:val="22"/>
          <w:szCs w:val="22"/>
          <w:lang w:eastAsia="en-US"/>
        </w:rPr>
        <w:t>о</w:t>
      </w:r>
      <w:r w:rsidRPr="00D81B1A">
        <w:rPr>
          <w:rFonts w:eastAsia="Calibri"/>
          <w:bCs/>
          <w:iCs/>
          <w:sz w:val="22"/>
          <w:szCs w:val="22"/>
          <w:lang w:eastAsia="en-US"/>
        </w:rPr>
        <w:t>рико-культурного наследия, в частности памятников архитектуры и градостроительства. Для выполнения данной задачи следует в первую очередь провести соответствующий комплекс научно-изыскательских работ, определяющих дальнейший ход необход</w:t>
      </w:r>
      <w:r w:rsidRPr="00D81B1A">
        <w:rPr>
          <w:rFonts w:eastAsia="Calibri"/>
          <w:bCs/>
          <w:iCs/>
          <w:sz w:val="22"/>
          <w:szCs w:val="22"/>
          <w:lang w:eastAsia="en-US"/>
        </w:rPr>
        <w:t>и</w:t>
      </w:r>
      <w:r w:rsidRPr="00D81B1A">
        <w:rPr>
          <w:rFonts w:eastAsia="Calibri"/>
          <w:bCs/>
          <w:iCs/>
          <w:sz w:val="22"/>
          <w:szCs w:val="22"/>
          <w:lang w:eastAsia="en-US"/>
        </w:rPr>
        <w:t>мых реконструктивных мероприятий. При этом особенно важно, что, проектируя указанную реконструкцию, архитектор должен учитывать средовое пространство улиц, площадей. Реконструкция застройки исторического центра – одна из актуальных задач совр</w:t>
      </w:r>
      <w:r w:rsidRPr="00D81B1A">
        <w:rPr>
          <w:rFonts w:eastAsia="Calibri"/>
          <w:bCs/>
          <w:iCs/>
          <w:sz w:val="22"/>
          <w:szCs w:val="22"/>
          <w:lang w:eastAsia="en-US"/>
        </w:rPr>
        <w:t>е</w:t>
      </w:r>
      <w:r w:rsidRPr="00D81B1A">
        <w:rPr>
          <w:rFonts w:eastAsia="Calibri"/>
          <w:bCs/>
          <w:iCs/>
          <w:sz w:val="22"/>
          <w:szCs w:val="22"/>
          <w:lang w:eastAsia="en-US"/>
        </w:rPr>
        <w:t>менного градостроительства.</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Основное условие сохранения историко-культурного наследия – консолидация усилий государственных и муниципальных органов власти и государственных органов охраны памятников, обществе</w:t>
      </w:r>
      <w:r w:rsidRPr="00D81B1A">
        <w:rPr>
          <w:rFonts w:eastAsia="Calibri"/>
          <w:bCs/>
          <w:iCs/>
          <w:sz w:val="22"/>
          <w:szCs w:val="22"/>
          <w:lang w:eastAsia="en-US"/>
        </w:rPr>
        <w:t>н</w:t>
      </w:r>
      <w:r w:rsidRPr="00D81B1A">
        <w:rPr>
          <w:rFonts w:eastAsia="Calibri"/>
          <w:bCs/>
          <w:iCs/>
          <w:sz w:val="22"/>
          <w:szCs w:val="22"/>
          <w:lang w:eastAsia="en-US"/>
        </w:rPr>
        <w:t>ных организаций [3, с.22]. Градостроительная деятельность в усл</w:t>
      </w:r>
      <w:r w:rsidRPr="00D81B1A">
        <w:rPr>
          <w:rFonts w:eastAsia="Calibri"/>
          <w:bCs/>
          <w:iCs/>
          <w:sz w:val="22"/>
          <w:szCs w:val="22"/>
          <w:lang w:eastAsia="en-US"/>
        </w:rPr>
        <w:t>о</w:t>
      </w:r>
      <w:r w:rsidRPr="00D81B1A">
        <w:rPr>
          <w:rFonts w:eastAsia="Calibri"/>
          <w:bCs/>
          <w:iCs/>
          <w:sz w:val="22"/>
          <w:szCs w:val="22"/>
          <w:lang w:eastAsia="en-US"/>
        </w:rPr>
        <w:t xml:space="preserve">виях реконструкции исторической застройки подлежит особому </w:t>
      </w:r>
      <w:r w:rsidRPr="00D81B1A">
        <w:rPr>
          <w:rFonts w:eastAsia="Calibri"/>
          <w:bCs/>
          <w:iCs/>
          <w:sz w:val="22"/>
          <w:szCs w:val="22"/>
          <w:lang w:eastAsia="en-US"/>
        </w:rPr>
        <w:lastRenderedPageBreak/>
        <w:t>регулированию в соответствии с действующим законодательством. Планирование и прогнозирование реконструкции исторической з</w:t>
      </w:r>
      <w:r w:rsidRPr="00D81B1A">
        <w:rPr>
          <w:rFonts w:eastAsia="Calibri"/>
          <w:bCs/>
          <w:iCs/>
          <w:sz w:val="22"/>
          <w:szCs w:val="22"/>
          <w:lang w:eastAsia="en-US"/>
        </w:rPr>
        <w:t>а</w:t>
      </w:r>
      <w:r w:rsidRPr="00D81B1A">
        <w:rPr>
          <w:rFonts w:eastAsia="Calibri"/>
          <w:bCs/>
          <w:iCs/>
          <w:sz w:val="22"/>
          <w:szCs w:val="22"/>
          <w:lang w:eastAsia="en-US"/>
        </w:rPr>
        <w:t xml:space="preserve">стройки должно осуществляться на основе объективных данных мониторинга. </w:t>
      </w:r>
    </w:p>
    <w:p w:rsidR="00C336CD" w:rsidRDefault="00D81B1A" w:rsidP="00E22BC2">
      <w:pPr>
        <w:ind w:firstLine="425"/>
        <w:jc w:val="both"/>
        <w:rPr>
          <w:rFonts w:eastAsia="Calibri"/>
          <w:bCs/>
          <w:iCs/>
          <w:sz w:val="22"/>
          <w:szCs w:val="22"/>
          <w:lang w:eastAsia="en-US"/>
        </w:rPr>
      </w:pPr>
      <w:r w:rsidRPr="00D81B1A">
        <w:rPr>
          <w:rFonts w:eastAsia="Calibri"/>
          <w:bCs/>
          <w:iCs/>
          <w:sz w:val="22"/>
          <w:szCs w:val="22"/>
          <w:lang w:eastAsia="en-US"/>
        </w:rPr>
        <w:t>Прогнозирование в области градостроительства имеет особое значение, поскольку оно связано с формированием основных мат</w:t>
      </w:r>
      <w:r w:rsidRPr="00D81B1A">
        <w:rPr>
          <w:rFonts w:eastAsia="Calibri"/>
          <w:bCs/>
          <w:iCs/>
          <w:sz w:val="22"/>
          <w:szCs w:val="22"/>
          <w:lang w:eastAsia="en-US"/>
        </w:rPr>
        <w:t>е</w:t>
      </w:r>
      <w:r w:rsidRPr="00D81B1A">
        <w:rPr>
          <w:rFonts w:eastAsia="Calibri"/>
          <w:bCs/>
          <w:iCs/>
          <w:sz w:val="22"/>
          <w:szCs w:val="22"/>
          <w:lang w:eastAsia="en-US"/>
        </w:rPr>
        <w:t>риальных условий развития производства и жизнедеятельности в целом [4, с.644].</w:t>
      </w:r>
    </w:p>
    <w:p w:rsidR="00E22BC2" w:rsidRPr="00D81B1A" w:rsidRDefault="00E22BC2" w:rsidP="00E22BC2">
      <w:pPr>
        <w:ind w:firstLine="425"/>
        <w:jc w:val="both"/>
        <w:rPr>
          <w:rFonts w:eastAsia="Calibri"/>
          <w:bCs/>
          <w:iCs/>
          <w:sz w:val="22"/>
          <w:szCs w:val="22"/>
          <w:lang w:eastAsia="en-US"/>
        </w:rPr>
      </w:pPr>
    </w:p>
    <w:p w:rsidR="00D81B1A" w:rsidRPr="00D81B1A" w:rsidRDefault="00D81B1A" w:rsidP="00D81B1A">
      <w:pPr>
        <w:ind w:firstLine="425"/>
        <w:jc w:val="center"/>
        <w:rPr>
          <w:rFonts w:eastAsia="Calibri"/>
          <w:bCs/>
          <w:iCs/>
          <w:sz w:val="22"/>
          <w:szCs w:val="22"/>
          <w:lang w:eastAsia="en-US"/>
        </w:rPr>
      </w:pPr>
      <w:r w:rsidRPr="00D81B1A">
        <w:rPr>
          <w:rFonts w:eastAsia="Calibri"/>
          <w:bCs/>
          <w:iCs/>
          <w:sz w:val="22"/>
          <w:szCs w:val="22"/>
          <w:lang w:eastAsia="en-US"/>
        </w:rPr>
        <w:t>Список литературы</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1. Субботин, О.</w:t>
      </w:r>
      <w:r w:rsidR="00C336CD">
        <w:rPr>
          <w:rFonts w:eastAsia="Calibri"/>
          <w:bCs/>
          <w:iCs/>
          <w:sz w:val="22"/>
          <w:szCs w:val="22"/>
          <w:lang w:eastAsia="en-US"/>
        </w:rPr>
        <w:t xml:space="preserve"> </w:t>
      </w:r>
      <w:r w:rsidRPr="00D81B1A">
        <w:rPr>
          <w:rFonts w:eastAsia="Calibri"/>
          <w:bCs/>
          <w:iCs/>
          <w:sz w:val="22"/>
          <w:szCs w:val="22"/>
          <w:lang w:eastAsia="en-US"/>
        </w:rPr>
        <w:t>С. Памятники архитектурного наследия Т</w:t>
      </w:r>
      <w:r w:rsidRPr="00D81B1A">
        <w:rPr>
          <w:rFonts w:eastAsia="Calibri"/>
          <w:bCs/>
          <w:iCs/>
          <w:sz w:val="22"/>
          <w:szCs w:val="22"/>
          <w:lang w:eastAsia="en-US"/>
        </w:rPr>
        <w:t>о</w:t>
      </w:r>
      <w:r w:rsidRPr="00D81B1A">
        <w:rPr>
          <w:rFonts w:eastAsia="Calibri"/>
          <w:bCs/>
          <w:iCs/>
          <w:sz w:val="22"/>
          <w:szCs w:val="22"/>
          <w:lang w:eastAsia="en-US"/>
        </w:rPr>
        <w:t>больска [Текст] / О.С. Субботин // Жилищное строительство. – 2011. – № 10. – С. 48-50.</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2. Субботин, О.</w:t>
      </w:r>
      <w:r w:rsidR="00C336CD">
        <w:rPr>
          <w:rFonts w:eastAsia="Calibri"/>
          <w:bCs/>
          <w:iCs/>
          <w:sz w:val="22"/>
          <w:szCs w:val="22"/>
          <w:lang w:eastAsia="en-US"/>
        </w:rPr>
        <w:t xml:space="preserve"> </w:t>
      </w:r>
      <w:r w:rsidRPr="00D81B1A">
        <w:rPr>
          <w:rFonts w:eastAsia="Calibri"/>
          <w:bCs/>
          <w:iCs/>
          <w:sz w:val="22"/>
          <w:szCs w:val="22"/>
          <w:lang w:eastAsia="en-US"/>
        </w:rPr>
        <w:t>С. Особенности реконструкции исторической застройки городского центра Краснодара [Текст] / О.С. Субботин // Жилищное строительство. – 2011. – № 4. – С. 7-9.</w:t>
      </w:r>
    </w:p>
    <w:p w:rsidR="00D81B1A" w:rsidRPr="00D81B1A" w:rsidRDefault="00D81B1A" w:rsidP="00D81B1A">
      <w:pPr>
        <w:ind w:firstLine="425"/>
        <w:jc w:val="both"/>
        <w:rPr>
          <w:rFonts w:eastAsia="Calibri"/>
          <w:bCs/>
          <w:iCs/>
          <w:sz w:val="22"/>
          <w:szCs w:val="22"/>
          <w:lang w:eastAsia="en-US"/>
        </w:rPr>
      </w:pPr>
      <w:r w:rsidRPr="00D81B1A">
        <w:rPr>
          <w:rFonts w:eastAsia="Calibri"/>
          <w:bCs/>
          <w:iCs/>
          <w:sz w:val="22"/>
          <w:szCs w:val="22"/>
          <w:lang w:eastAsia="en-US"/>
        </w:rPr>
        <w:t>3. Субботин, О.</w:t>
      </w:r>
      <w:r w:rsidR="00C336CD">
        <w:rPr>
          <w:rFonts w:eastAsia="Calibri"/>
          <w:bCs/>
          <w:iCs/>
          <w:sz w:val="22"/>
          <w:szCs w:val="22"/>
          <w:lang w:eastAsia="en-US"/>
        </w:rPr>
        <w:t xml:space="preserve"> </w:t>
      </w:r>
      <w:r w:rsidRPr="00D81B1A">
        <w:rPr>
          <w:rFonts w:eastAsia="Calibri"/>
          <w:bCs/>
          <w:iCs/>
          <w:sz w:val="22"/>
          <w:szCs w:val="22"/>
          <w:lang w:eastAsia="en-US"/>
        </w:rPr>
        <w:t>С. Народная архитектура традиционного к</w:t>
      </w:r>
      <w:r w:rsidRPr="00D81B1A">
        <w:rPr>
          <w:rFonts w:eastAsia="Calibri"/>
          <w:bCs/>
          <w:iCs/>
          <w:sz w:val="22"/>
          <w:szCs w:val="22"/>
          <w:lang w:eastAsia="en-US"/>
        </w:rPr>
        <w:t>у</w:t>
      </w:r>
      <w:r w:rsidRPr="00D81B1A">
        <w:rPr>
          <w:rFonts w:eastAsia="Calibri"/>
          <w:bCs/>
          <w:iCs/>
          <w:sz w:val="22"/>
          <w:szCs w:val="22"/>
          <w:lang w:eastAsia="en-US"/>
        </w:rPr>
        <w:t>банского жилища [Текст] / О.С. Субботин // Жилищное строител</w:t>
      </w:r>
      <w:r w:rsidRPr="00D81B1A">
        <w:rPr>
          <w:rFonts w:eastAsia="Calibri"/>
          <w:bCs/>
          <w:iCs/>
          <w:sz w:val="22"/>
          <w:szCs w:val="22"/>
          <w:lang w:eastAsia="en-US"/>
        </w:rPr>
        <w:t>ь</w:t>
      </w:r>
      <w:r w:rsidRPr="00D81B1A">
        <w:rPr>
          <w:rFonts w:eastAsia="Calibri"/>
          <w:bCs/>
          <w:iCs/>
          <w:sz w:val="22"/>
          <w:szCs w:val="22"/>
          <w:lang w:eastAsia="en-US"/>
        </w:rPr>
        <w:t>ство. – 2012. – № 8. – С. 18-22.</w:t>
      </w:r>
    </w:p>
    <w:p w:rsidR="00D81B1A" w:rsidRPr="00D81B1A" w:rsidRDefault="00D81B1A" w:rsidP="00D81B1A">
      <w:pPr>
        <w:ind w:firstLine="425"/>
        <w:jc w:val="both"/>
        <w:rPr>
          <w:rFonts w:eastAsia="Calibri"/>
          <w:lang w:eastAsia="en-US"/>
        </w:rPr>
      </w:pPr>
      <w:r w:rsidRPr="00D81B1A">
        <w:rPr>
          <w:rFonts w:eastAsia="Calibri"/>
          <w:bCs/>
          <w:iCs/>
          <w:sz w:val="22"/>
          <w:szCs w:val="22"/>
          <w:lang w:eastAsia="en-US"/>
        </w:rPr>
        <w:t>4. Субботин, О.</w:t>
      </w:r>
      <w:r w:rsidR="00C336CD">
        <w:rPr>
          <w:rFonts w:eastAsia="Calibri"/>
          <w:bCs/>
          <w:iCs/>
          <w:sz w:val="22"/>
          <w:szCs w:val="22"/>
          <w:lang w:eastAsia="en-US"/>
        </w:rPr>
        <w:t xml:space="preserve"> </w:t>
      </w:r>
      <w:r w:rsidRPr="00D81B1A">
        <w:rPr>
          <w:rFonts w:eastAsia="Calibri"/>
          <w:bCs/>
          <w:iCs/>
          <w:sz w:val="22"/>
          <w:szCs w:val="22"/>
          <w:lang w:eastAsia="en-US"/>
        </w:rPr>
        <w:t>С. Концептуальные особенности генеральных планов г. Краснодара [Текст] / О.С. Субботин // Вестник МГСУ. – 2011. – № 6. – С. 640-644.</w:t>
      </w:r>
    </w:p>
    <w:p w:rsidR="00D81B1A" w:rsidRDefault="00D81B1A" w:rsidP="00C336CD">
      <w:pPr>
        <w:spacing w:line="276" w:lineRule="auto"/>
        <w:jc w:val="both"/>
        <w:rPr>
          <w:rFonts w:eastAsia="Calibri"/>
          <w:sz w:val="22"/>
          <w:szCs w:val="22"/>
          <w:lang w:eastAsia="en-US"/>
        </w:rPr>
      </w:pPr>
    </w:p>
    <w:p w:rsidR="00C336CD" w:rsidRDefault="00E22BC2" w:rsidP="00E22BC2">
      <w:pPr>
        <w:rPr>
          <w:rFonts w:eastAsia="Calibri"/>
          <w:sz w:val="22"/>
          <w:szCs w:val="22"/>
          <w:lang w:eastAsia="en-US"/>
        </w:rPr>
      </w:pPr>
      <w:r>
        <w:rPr>
          <w:rFonts w:eastAsia="Calibri"/>
          <w:sz w:val="22"/>
          <w:szCs w:val="22"/>
          <w:lang w:eastAsia="en-US"/>
        </w:rPr>
        <w:br w:type="page"/>
      </w:r>
    </w:p>
    <w:p w:rsidR="00EA11E0" w:rsidRDefault="00D81B1A" w:rsidP="00C336CD">
      <w:pPr>
        <w:rPr>
          <w:rFonts w:eastAsia="Calibri"/>
          <w:sz w:val="22"/>
          <w:szCs w:val="22"/>
          <w:lang w:eastAsia="en-US"/>
        </w:rPr>
      </w:pPr>
      <w:r w:rsidRPr="00C336CD">
        <w:rPr>
          <w:rFonts w:eastAsia="Calibri"/>
          <w:sz w:val="22"/>
          <w:szCs w:val="22"/>
          <w:lang w:eastAsia="en-US"/>
        </w:rPr>
        <w:lastRenderedPageBreak/>
        <w:t>УДК 691.1</w:t>
      </w:r>
    </w:p>
    <w:p w:rsidR="00E22BC2" w:rsidRPr="00C336CD" w:rsidRDefault="00E22BC2" w:rsidP="00C336CD">
      <w:pPr>
        <w:rPr>
          <w:rFonts w:eastAsia="Calibri"/>
          <w:sz w:val="22"/>
          <w:szCs w:val="22"/>
          <w:lang w:eastAsia="en-US"/>
        </w:rPr>
      </w:pPr>
    </w:p>
    <w:p w:rsidR="00D81B1A" w:rsidRPr="00B36597" w:rsidRDefault="00D81B1A" w:rsidP="00EA11E0">
      <w:pPr>
        <w:ind w:firstLine="425"/>
        <w:jc w:val="center"/>
        <w:rPr>
          <w:rFonts w:eastAsia="Calibri"/>
          <w:b/>
          <w:sz w:val="24"/>
          <w:szCs w:val="24"/>
          <w:lang w:eastAsia="en-US"/>
        </w:rPr>
      </w:pPr>
      <w:r w:rsidRPr="00B36597">
        <w:rPr>
          <w:rFonts w:eastAsia="Calibri"/>
          <w:b/>
          <w:sz w:val="24"/>
          <w:szCs w:val="24"/>
          <w:lang w:eastAsia="en-US"/>
        </w:rPr>
        <w:t>Способ повышения биопозитивности</w:t>
      </w:r>
      <w:r w:rsidR="00EA11E0" w:rsidRPr="00B36597">
        <w:rPr>
          <w:rFonts w:eastAsia="Calibri"/>
          <w:b/>
          <w:sz w:val="24"/>
          <w:szCs w:val="24"/>
          <w:lang w:eastAsia="en-US"/>
        </w:rPr>
        <w:t xml:space="preserve"> </w:t>
      </w:r>
      <w:r w:rsidRPr="00B36597">
        <w:rPr>
          <w:rFonts w:eastAsia="Calibri"/>
          <w:b/>
          <w:sz w:val="24"/>
          <w:szCs w:val="24"/>
          <w:lang w:eastAsia="en-US"/>
        </w:rPr>
        <w:t>и</w:t>
      </w:r>
      <w:r w:rsidR="00C336CD" w:rsidRPr="00B36597">
        <w:rPr>
          <w:rFonts w:eastAsia="Calibri"/>
          <w:b/>
          <w:sz w:val="24"/>
          <w:szCs w:val="24"/>
          <w:lang w:eastAsia="en-US"/>
        </w:rPr>
        <w:t xml:space="preserve"> экологичности </w:t>
      </w:r>
      <w:r w:rsidR="00EA11E0" w:rsidRPr="00B36597">
        <w:rPr>
          <w:rFonts w:eastAsia="Calibri"/>
          <w:b/>
          <w:sz w:val="24"/>
          <w:szCs w:val="24"/>
          <w:lang w:eastAsia="en-US"/>
        </w:rPr>
        <w:br/>
      </w:r>
      <w:r w:rsidR="00C336CD" w:rsidRPr="00B36597">
        <w:rPr>
          <w:rFonts w:eastAsia="Calibri"/>
          <w:b/>
          <w:sz w:val="24"/>
          <w:szCs w:val="24"/>
          <w:lang w:eastAsia="en-US"/>
        </w:rPr>
        <w:t>жилищных условий</w:t>
      </w:r>
    </w:p>
    <w:p w:rsidR="00E22BC2" w:rsidRPr="008D33CB" w:rsidRDefault="00EA11E0" w:rsidP="00E22BC2">
      <w:pPr>
        <w:ind w:firstLine="425"/>
        <w:jc w:val="center"/>
        <w:rPr>
          <w:rFonts w:eastAsia="Calibri"/>
          <w:b/>
          <w:sz w:val="24"/>
          <w:szCs w:val="24"/>
          <w:lang w:val="en-US" w:eastAsia="en-US"/>
        </w:rPr>
      </w:pPr>
      <w:r w:rsidRPr="00B36597">
        <w:rPr>
          <w:rFonts w:eastAsia="Calibri"/>
          <w:b/>
          <w:sz w:val="24"/>
          <w:szCs w:val="24"/>
          <w:lang w:val="en-US" w:eastAsia="en-US"/>
        </w:rPr>
        <w:t>The method of increasing biopositivity</w:t>
      </w:r>
      <w:proofErr w:type="gramStart"/>
      <w:r w:rsidRPr="00B36597">
        <w:rPr>
          <w:rFonts w:eastAsia="Calibri"/>
          <w:b/>
          <w:sz w:val="24"/>
          <w:szCs w:val="24"/>
          <w:lang w:val="en-US" w:eastAsia="en-US"/>
        </w:rPr>
        <w:t>  and</w:t>
      </w:r>
      <w:proofErr w:type="gramEnd"/>
      <w:r w:rsidRPr="00B36597">
        <w:rPr>
          <w:rFonts w:eastAsia="Calibri"/>
          <w:b/>
          <w:sz w:val="24"/>
          <w:szCs w:val="24"/>
          <w:lang w:val="en-US" w:eastAsia="en-US"/>
        </w:rPr>
        <w:t xml:space="preserve"> ecological </w:t>
      </w:r>
      <w:r w:rsidRPr="00B36597">
        <w:rPr>
          <w:rFonts w:eastAsia="Calibri"/>
          <w:b/>
          <w:sz w:val="24"/>
          <w:szCs w:val="24"/>
          <w:lang w:val="en-US" w:eastAsia="en-US"/>
        </w:rPr>
        <w:br/>
        <w:t>compatibility of living conditions</w:t>
      </w:r>
    </w:p>
    <w:p w:rsidR="00E22BC2" w:rsidRPr="008D33CB" w:rsidRDefault="00E22BC2" w:rsidP="00E22BC2">
      <w:pPr>
        <w:ind w:firstLine="425"/>
        <w:jc w:val="center"/>
        <w:rPr>
          <w:rFonts w:eastAsia="Calibri"/>
          <w:b/>
          <w:sz w:val="24"/>
          <w:szCs w:val="24"/>
          <w:lang w:val="en-US" w:eastAsia="en-US"/>
        </w:rPr>
      </w:pPr>
    </w:p>
    <w:p w:rsidR="00D81B1A" w:rsidRPr="00EA11E0" w:rsidRDefault="00D81B1A" w:rsidP="00D81B1A">
      <w:pPr>
        <w:ind w:firstLine="567"/>
        <w:jc w:val="right"/>
        <w:rPr>
          <w:rFonts w:eastAsia="Calibri"/>
          <w:sz w:val="22"/>
          <w:szCs w:val="22"/>
          <w:lang w:eastAsia="en-US"/>
        </w:rPr>
      </w:pPr>
      <w:r w:rsidRPr="00EA11E0">
        <w:rPr>
          <w:rFonts w:eastAsia="Calibri"/>
          <w:sz w:val="22"/>
          <w:szCs w:val="22"/>
          <w:lang w:eastAsia="en-US"/>
        </w:rPr>
        <w:t>Ольхович О. Ю.</w:t>
      </w:r>
      <w:r w:rsidR="00EA11E0">
        <w:rPr>
          <w:rFonts w:eastAsia="Calibri"/>
          <w:sz w:val="22"/>
          <w:szCs w:val="22"/>
          <w:lang w:eastAsia="en-US"/>
        </w:rPr>
        <w:t>,</w:t>
      </w:r>
    </w:p>
    <w:p w:rsidR="00EA11E0" w:rsidRDefault="00D81B1A" w:rsidP="00D81B1A">
      <w:pPr>
        <w:ind w:firstLine="567"/>
        <w:jc w:val="right"/>
        <w:rPr>
          <w:rFonts w:eastAsia="Calibri"/>
          <w:sz w:val="22"/>
          <w:szCs w:val="22"/>
          <w:lang w:eastAsia="en-US"/>
        </w:rPr>
      </w:pPr>
      <w:r w:rsidRPr="00281602">
        <w:rPr>
          <w:rFonts w:eastAsia="Calibri"/>
          <w:sz w:val="22"/>
          <w:szCs w:val="22"/>
          <w:lang w:eastAsia="en-US"/>
        </w:rPr>
        <w:t>студент 3-го курса</w:t>
      </w:r>
    </w:p>
    <w:p w:rsidR="00D81B1A" w:rsidRPr="00281602" w:rsidRDefault="00D81B1A" w:rsidP="00D81B1A">
      <w:pPr>
        <w:ind w:firstLine="567"/>
        <w:jc w:val="right"/>
        <w:rPr>
          <w:rFonts w:eastAsia="Calibri"/>
          <w:sz w:val="22"/>
          <w:szCs w:val="22"/>
          <w:lang w:eastAsia="en-US"/>
        </w:rPr>
      </w:pPr>
      <w:r w:rsidRPr="00281602">
        <w:rPr>
          <w:rFonts w:eastAsia="Calibri"/>
          <w:sz w:val="22"/>
          <w:szCs w:val="22"/>
          <w:lang w:eastAsia="en-US"/>
        </w:rPr>
        <w:t xml:space="preserve"> архитектурно-строительного факультета</w:t>
      </w:r>
    </w:p>
    <w:p w:rsidR="00D81B1A" w:rsidRPr="00EA11E0" w:rsidRDefault="00D81B1A" w:rsidP="00D81B1A">
      <w:pPr>
        <w:ind w:firstLine="567"/>
        <w:jc w:val="right"/>
        <w:rPr>
          <w:rFonts w:eastAsia="Calibri"/>
          <w:sz w:val="22"/>
          <w:szCs w:val="22"/>
          <w:lang w:eastAsia="en-US"/>
        </w:rPr>
      </w:pPr>
      <w:r w:rsidRPr="00EA11E0">
        <w:rPr>
          <w:rFonts w:eastAsia="Calibri"/>
          <w:sz w:val="22"/>
          <w:szCs w:val="22"/>
          <w:lang w:eastAsia="en-US"/>
        </w:rPr>
        <w:t>Бычков А. В.</w:t>
      </w:r>
      <w:r w:rsidR="00EA11E0">
        <w:rPr>
          <w:rFonts w:eastAsia="Calibri"/>
          <w:sz w:val="22"/>
          <w:szCs w:val="22"/>
          <w:lang w:eastAsia="en-US"/>
        </w:rPr>
        <w:t>,</w:t>
      </w:r>
    </w:p>
    <w:p w:rsidR="00D81B1A" w:rsidRPr="00281602" w:rsidRDefault="00D81B1A" w:rsidP="00D81B1A">
      <w:pPr>
        <w:ind w:firstLine="567"/>
        <w:jc w:val="right"/>
        <w:rPr>
          <w:rFonts w:eastAsia="Calibri"/>
          <w:sz w:val="22"/>
          <w:szCs w:val="22"/>
          <w:lang w:eastAsia="en-US"/>
        </w:rPr>
      </w:pPr>
      <w:r w:rsidRPr="00281602">
        <w:rPr>
          <w:rFonts w:eastAsia="Calibri"/>
          <w:sz w:val="22"/>
          <w:szCs w:val="22"/>
          <w:lang w:eastAsia="en-US"/>
        </w:rPr>
        <w:t>доцент кафедры строительного производства</w:t>
      </w:r>
    </w:p>
    <w:p w:rsidR="00D81B1A" w:rsidRPr="00281602" w:rsidRDefault="00D81B1A" w:rsidP="00D81B1A">
      <w:pPr>
        <w:ind w:firstLine="567"/>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D81B1A" w:rsidRDefault="00D81B1A" w:rsidP="00D81B1A">
      <w:pPr>
        <w:ind w:firstLine="567"/>
        <w:jc w:val="right"/>
        <w:rPr>
          <w:rFonts w:eastAsia="Calibri"/>
          <w:sz w:val="22"/>
          <w:szCs w:val="22"/>
          <w:lang w:eastAsia="en-US"/>
        </w:rPr>
      </w:pPr>
      <w:r w:rsidRPr="00281602">
        <w:rPr>
          <w:rFonts w:eastAsia="Calibri"/>
          <w:sz w:val="22"/>
          <w:szCs w:val="22"/>
          <w:lang w:eastAsia="en-US"/>
        </w:rPr>
        <w:t xml:space="preserve"> университет имени И.</w:t>
      </w:r>
      <w:r w:rsidR="00EA11E0">
        <w:rPr>
          <w:rFonts w:eastAsia="Calibri"/>
          <w:sz w:val="22"/>
          <w:szCs w:val="22"/>
          <w:lang w:eastAsia="en-US"/>
        </w:rPr>
        <w:t xml:space="preserve"> </w:t>
      </w:r>
      <w:r w:rsidRPr="00281602">
        <w:rPr>
          <w:rFonts w:eastAsia="Calibri"/>
          <w:sz w:val="22"/>
          <w:szCs w:val="22"/>
          <w:lang w:eastAsia="en-US"/>
        </w:rPr>
        <w:t>Т. Трубилина</w:t>
      </w:r>
    </w:p>
    <w:p w:rsidR="00EA11E0" w:rsidRPr="00281602" w:rsidRDefault="00EA11E0" w:rsidP="00D81B1A">
      <w:pPr>
        <w:ind w:firstLine="567"/>
        <w:jc w:val="right"/>
        <w:rPr>
          <w:rFonts w:eastAsia="Calibri"/>
          <w:sz w:val="22"/>
          <w:szCs w:val="22"/>
          <w:lang w:eastAsia="en-US"/>
        </w:rPr>
      </w:pP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АННОТАЦИЯ: В статье рассматриваются актуальные вопросы использования материалов с возобновляемых природных ресурсов на примере применения в строительстве.</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КЛЮЧЕВЫЕ СЛОВА</w:t>
      </w:r>
      <w:r w:rsidRPr="00281602">
        <w:rPr>
          <w:rFonts w:eastAsia="Calibri"/>
          <w:b/>
          <w:sz w:val="22"/>
          <w:szCs w:val="22"/>
          <w:lang w:eastAsia="en-US"/>
        </w:rPr>
        <w:t xml:space="preserve">: </w:t>
      </w:r>
      <w:r w:rsidRPr="00281602">
        <w:rPr>
          <w:rFonts w:eastAsia="Calibri"/>
          <w:sz w:val="22"/>
          <w:szCs w:val="22"/>
          <w:lang w:eastAsia="en-US"/>
        </w:rPr>
        <w:t>Биопозитивность, соломит, плиты.</w:t>
      </w:r>
    </w:p>
    <w:p w:rsidR="00D81B1A" w:rsidRPr="00281602" w:rsidRDefault="00D81B1A" w:rsidP="00EA11E0">
      <w:pPr>
        <w:ind w:firstLine="425"/>
        <w:jc w:val="both"/>
        <w:rPr>
          <w:rFonts w:eastAsia="Calibri"/>
          <w:sz w:val="22"/>
          <w:szCs w:val="22"/>
          <w:lang w:val="en-US" w:eastAsia="en-US"/>
        </w:rPr>
      </w:pPr>
      <w:r w:rsidRPr="00281602">
        <w:rPr>
          <w:rFonts w:eastAsia="Calibri"/>
          <w:sz w:val="22"/>
          <w:szCs w:val="22"/>
          <w:lang w:val="en-US" w:eastAsia="en-US"/>
        </w:rPr>
        <w:t>ABSTRACT: the article deals with topical issues of the use of mat</w:t>
      </w:r>
      <w:r w:rsidRPr="00281602">
        <w:rPr>
          <w:rFonts w:eastAsia="Calibri"/>
          <w:sz w:val="22"/>
          <w:szCs w:val="22"/>
          <w:lang w:val="en-US" w:eastAsia="en-US"/>
        </w:rPr>
        <w:t>e</w:t>
      </w:r>
      <w:r w:rsidRPr="00281602">
        <w:rPr>
          <w:rFonts w:eastAsia="Calibri"/>
          <w:sz w:val="22"/>
          <w:szCs w:val="22"/>
          <w:lang w:val="en-US" w:eastAsia="en-US"/>
        </w:rPr>
        <w:t>rials from renewable natural resources on the example of application in construction.</w:t>
      </w:r>
    </w:p>
    <w:p w:rsidR="00D81B1A" w:rsidRPr="00281602" w:rsidRDefault="00D81B1A" w:rsidP="00D81B1A">
      <w:pPr>
        <w:spacing w:after="200"/>
        <w:ind w:firstLine="425"/>
        <w:rPr>
          <w:rFonts w:eastAsia="Calibri"/>
          <w:sz w:val="22"/>
          <w:szCs w:val="22"/>
          <w:lang w:val="en-US" w:eastAsia="en-US"/>
        </w:rPr>
      </w:pPr>
      <w:r w:rsidRPr="00281602">
        <w:rPr>
          <w:rFonts w:eastAsia="Calibri"/>
          <w:sz w:val="22"/>
          <w:szCs w:val="22"/>
          <w:lang w:val="en-US" w:eastAsia="en-US"/>
        </w:rPr>
        <w:t>KEYWORDS: Neopositivist, straw, plate.</w:t>
      </w:r>
    </w:p>
    <w:p w:rsidR="00D81B1A" w:rsidRPr="00281602" w:rsidRDefault="00D81B1A" w:rsidP="00EA11E0">
      <w:pPr>
        <w:ind w:firstLine="425"/>
        <w:jc w:val="both"/>
        <w:rPr>
          <w:rFonts w:eastAsia="Calibri"/>
          <w:sz w:val="22"/>
          <w:szCs w:val="22"/>
          <w:lang w:eastAsia="en-US"/>
        </w:rPr>
      </w:pPr>
      <w:bookmarkStart w:id="2" w:name="OLE_LINK86"/>
      <w:bookmarkStart w:id="3" w:name="OLE_LINK87"/>
      <w:r w:rsidRPr="00281602">
        <w:rPr>
          <w:rFonts w:eastAsia="Calibri"/>
          <w:sz w:val="22"/>
          <w:szCs w:val="22"/>
          <w:lang w:eastAsia="en-US"/>
        </w:rPr>
        <w:t>По</w:t>
      </w:r>
      <w:r w:rsidRPr="00D81B1A">
        <w:rPr>
          <w:rFonts w:eastAsia="Calibri"/>
          <w:sz w:val="22"/>
          <w:szCs w:val="22"/>
          <w:lang w:val="en-US" w:eastAsia="en-US"/>
        </w:rPr>
        <w:t xml:space="preserve"> </w:t>
      </w:r>
      <w:r w:rsidRPr="00281602">
        <w:rPr>
          <w:rFonts w:eastAsia="Calibri"/>
          <w:sz w:val="22"/>
          <w:szCs w:val="22"/>
          <w:lang w:eastAsia="en-US"/>
        </w:rPr>
        <w:t>оценкам</w:t>
      </w:r>
      <w:r w:rsidRPr="00D81B1A">
        <w:rPr>
          <w:rFonts w:eastAsia="Calibri"/>
          <w:sz w:val="22"/>
          <w:szCs w:val="22"/>
          <w:lang w:val="en-US" w:eastAsia="en-US"/>
        </w:rPr>
        <w:t xml:space="preserve"> </w:t>
      </w:r>
      <w:r w:rsidRPr="00281602">
        <w:rPr>
          <w:rFonts w:eastAsia="Calibri"/>
          <w:sz w:val="22"/>
          <w:szCs w:val="22"/>
          <w:lang w:eastAsia="en-US"/>
        </w:rPr>
        <w:t>экспертов</w:t>
      </w:r>
      <w:r w:rsidRPr="00D81B1A">
        <w:rPr>
          <w:rFonts w:eastAsia="Calibri"/>
          <w:sz w:val="22"/>
          <w:szCs w:val="22"/>
          <w:lang w:val="en-US" w:eastAsia="en-US"/>
        </w:rPr>
        <w:t xml:space="preserve"> </w:t>
      </w:r>
      <w:r w:rsidRPr="00281602">
        <w:rPr>
          <w:rFonts w:eastAsia="Calibri"/>
          <w:sz w:val="22"/>
          <w:szCs w:val="22"/>
          <w:lang w:val="en-US" w:eastAsia="en-US"/>
        </w:rPr>
        <w:t>World</w:t>
      </w:r>
      <w:r w:rsidRPr="00D81B1A">
        <w:rPr>
          <w:rFonts w:eastAsia="Calibri"/>
          <w:sz w:val="22"/>
          <w:szCs w:val="22"/>
          <w:lang w:val="en-US" w:eastAsia="en-US"/>
        </w:rPr>
        <w:t xml:space="preserve"> </w:t>
      </w:r>
      <w:r w:rsidRPr="00281602">
        <w:rPr>
          <w:rFonts w:eastAsia="Calibri"/>
          <w:sz w:val="22"/>
          <w:szCs w:val="22"/>
          <w:lang w:val="en-US" w:eastAsia="en-US"/>
        </w:rPr>
        <w:t>Health</w:t>
      </w:r>
      <w:r w:rsidRPr="00D81B1A">
        <w:rPr>
          <w:rFonts w:eastAsia="Calibri"/>
          <w:sz w:val="22"/>
          <w:szCs w:val="22"/>
          <w:lang w:val="en-US" w:eastAsia="en-US"/>
        </w:rPr>
        <w:t xml:space="preserve"> </w:t>
      </w:r>
      <w:r w:rsidRPr="00281602">
        <w:rPr>
          <w:rFonts w:eastAsia="Calibri"/>
          <w:sz w:val="22"/>
          <w:szCs w:val="22"/>
          <w:lang w:val="en-US" w:eastAsia="en-US"/>
        </w:rPr>
        <w:t>Organization</w:t>
      </w:r>
      <w:r w:rsidRPr="00D81B1A">
        <w:rPr>
          <w:rFonts w:eastAsia="Calibri"/>
          <w:sz w:val="22"/>
          <w:szCs w:val="22"/>
          <w:lang w:val="en-US" w:eastAsia="en-US"/>
        </w:rPr>
        <w:t xml:space="preserve">, </w:t>
      </w:r>
      <w:r w:rsidRPr="00281602">
        <w:rPr>
          <w:rFonts w:eastAsia="Calibri"/>
          <w:sz w:val="22"/>
          <w:szCs w:val="22"/>
          <w:lang w:eastAsia="en-US"/>
        </w:rPr>
        <w:t>среднестат</w:t>
      </w:r>
      <w:r w:rsidRPr="00281602">
        <w:rPr>
          <w:rFonts w:eastAsia="Calibri"/>
          <w:sz w:val="22"/>
          <w:szCs w:val="22"/>
          <w:lang w:eastAsia="en-US"/>
        </w:rPr>
        <w:t>и</w:t>
      </w:r>
      <w:r w:rsidRPr="00281602">
        <w:rPr>
          <w:rFonts w:eastAsia="Calibri"/>
          <w:sz w:val="22"/>
          <w:szCs w:val="22"/>
          <w:lang w:eastAsia="en-US"/>
        </w:rPr>
        <w:t>стический</w:t>
      </w:r>
      <w:r w:rsidRPr="00D81B1A">
        <w:rPr>
          <w:rFonts w:eastAsia="Calibri"/>
          <w:sz w:val="22"/>
          <w:szCs w:val="22"/>
          <w:lang w:val="en-US" w:eastAsia="en-US"/>
        </w:rPr>
        <w:t xml:space="preserve"> </w:t>
      </w:r>
      <w:r w:rsidRPr="00281602">
        <w:rPr>
          <w:rFonts w:eastAsia="Calibri"/>
          <w:sz w:val="22"/>
          <w:szCs w:val="22"/>
          <w:lang w:eastAsia="en-US"/>
        </w:rPr>
        <w:t>житель</w:t>
      </w:r>
      <w:r w:rsidRPr="00D81B1A">
        <w:rPr>
          <w:rFonts w:eastAsia="Calibri"/>
          <w:sz w:val="22"/>
          <w:szCs w:val="22"/>
          <w:lang w:val="en-US" w:eastAsia="en-US"/>
        </w:rPr>
        <w:t xml:space="preserve"> </w:t>
      </w:r>
      <w:r w:rsidRPr="00281602">
        <w:rPr>
          <w:rFonts w:eastAsia="Calibri"/>
          <w:sz w:val="22"/>
          <w:szCs w:val="22"/>
          <w:lang w:eastAsia="en-US"/>
        </w:rPr>
        <w:t>проводит</w:t>
      </w:r>
      <w:r w:rsidRPr="00D81B1A">
        <w:rPr>
          <w:rFonts w:eastAsia="Calibri"/>
          <w:sz w:val="22"/>
          <w:szCs w:val="22"/>
          <w:lang w:val="en-US" w:eastAsia="en-US"/>
        </w:rPr>
        <w:t xml:space="preserve"> </w:t>
      </w:r>
      <w:r w:rsidRPr="00281602">
        <w:rPr>
          <w:rFonts w:eastAsia="Calibri"/>
          <w:sz w:val="22"/>
          <w:szCs w:val="22"/>
          <w:lang w:eastAsia="en-US"/>
        </w:rPr>
        <w:t>в</w:t>
      </w:r>
      <w:r w:rsidRPr="00D81B1A">
        <w:rPr>
          <w:rFonts w:eastAsia="Calibri"/>
          <w:sz w:val="22"/>
          <w:szCs w:val="22"/>
          <w:lang w:val="en-US" w:eastAsia="en-US"/>
        </w:rPr>
        <w:t xml:space="preserve"> </w:t>
      </w:r>
      <w:r w:rsidRPr="00281602">
        <w:rPr>
          <w:rFonts w:eastAsia="Calibri"/>
          <w:sz w:val="22"/>
          <w:szCs w:val="22"/>
          <w:lang w:eastAsia="en-US"/>
        </w:rPr>
        <w:t>помещениях</w:t>
      </w:r>
      <w:r w:rsidRPr="00D81B1A">
        <w:rPr>
          <w:rFonts w:eastAsia="Calibri"/>
          <w:sz w:val="22"/>
          <w:szCs w:val="22"/>
          <w:lang w:val="en-US" w:eastAsia="en-US"/>
        </w:rPr>
        <w:t xml:space="preserve"> </w:t>
      </w:r>
      <w:r w:rsidRPr="00281602">
        <w:rPr>
          <w:rFonts w:eastAsia="Calibri"/>
          <w:sz w:val="22"/>
          <w:szCs w:val="22"/>
          <w:lang w:eastAsia="en-US"/>
        </w:rPr>
        <w:t>около</w:t>
      </w:r>
      <w:r w:rsidRPr="00D81B1A">
        <w:rPr>
          <w:rFonts w:eastAsia="Calibri"/>
          <w:sz w:val="22"/>
          <w:szCs w:val="22"/>
          <w:lang w:val="en-US" w:eastAsia="en-US"/>
        </w:rPr>
        <w:t xml:space="preserve"> 80% </w:t>
      </w:r>
      <w:r w:rsidRPr="00281602">
        <w:rPr>
          <w:rFonts w:eastAsia="Calibri"/>
          <w:sz w:val="22"/>
          <w:szCs w:val="22"/>
          <w:lang w:eastAsia="en-US"/>
        </w:rPr>
        <w:t>жизни</w:t>
      </w:r>
      <w:r w:rsidRPr="00D81B1A">
        <w:rPr>
          <w:rFonts w:eastAsia="Calibri"/>
          <w:sz w:val="22"/>
          <w:szCs w:val="22"/>
          <w:lang w:val="en-US" w:eastAsia="en-US"/>
        </w:rPr>
        <w:t xml:space="preserve">. </w:t>
      </w:r>
      <w:r w:rsidRPr="00281602">
        <w:rPr>
          <w:rFonts w:eastAsia="Calibri"/>
          <w:sz w:val="22"/>
          <w:szCs w:val="22"/>
          <w:lang w:eastAsia="en-US"/>
        </w:rPr>
        <w:t>П</w:t>
      </w:r>
      <w:r w:rsidRPr="00281602">
        <w:rPr>
          <w:rFonts w:eastAsia="Calibri"/>
          <w:sz w:val="22"/>
          <w:szCs w:val="22"/>
          <w:lang w:eastAsia="en-US"/>
        </w:rPr>
        <w:t>о</w:t>
      </w:r>
      <w:r w:rsidRPr="00281602">
        <w:rPr>
          <w:rFonts w:eastAsia="Calibri"/>
          <w:sz w:val="22"/>
          <w:szCs w:val="22"/>
          <w:lang w:eastAsia="en-US"/>
        </w:rPr>
        <w:t>этому к числу факторов, существенно влияющих на здоровье, нео</w:t>
      </w:r>
      <w:r w:rsidRPr="00281602">
        <w:rPr>
          <w:rFonts w:eastAsia="Calibri"/>
          <w:sz w:val="22"/>
          <w:szCs w:val="22"/>
          <w:lang w:eastAsia="en-US"/>
        </w:rPr>
        <w:t>б</w:t>
      </w:r>
      <w:r w:rsidRPr="00281602">
        <w:rPr>
          <w:rFonts w:eastAsia="Calibri"/>
          <w:sz w:val="22"/>
          <w:szCs w:val="22"/>
          <w:lang w:eastAsia="en-US"/>
        </w:rPr>
        <w:t>ходимо относить степень биопозитивности (экологичности) вне</w:t>
      </w:r>
      <w:r w:rsidRPr="00281602">
        <w:rPr>
          <w:rFonts w:eastAsia="Calibri"/>
          <w:sz w:val="22"/>
          <w:szCs w:val="22"/>
          <w:lang w:eastAsia="en-US"/>
        </w:rPr>
        <w:t>ш</w:t>
      </w:r>
      <w:r w:rsidRPr="00281602">
        <w:rPr>
          <w:rFonts w:eastAsia="Calibri"/>
          <w:sz w:val="22"/>
          <w:szCs w:val="22"/>
          <w:lang w:eastAsia="en-US"/>
        </w:rPr>
        <w:t>ней и внутренней среды здания[1].</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Ученые-гигиенисты считают, что многие заболевания опред</w:t>
      </w:r>
      <w:r w:rsidRPr="00281602">
        <w:rPr>
          <w:rFonts w:eastAsia="Calibri"/>
          <w:sz w:val="22"/>
          <w:szCs w:val="22"/>
          <w:lang w:eastAsia="en-US"/>
        </w:rPr>
        <w:t>е</w:t>
      </w:r>
      <w:r w:rsidRPr="00281602">
        <w:rPr>
          <w:rFonts w:eastAsia="Calibri"/>
          <w:sz w:val="22"/>
          <w:szCs w:val="22"/>
          <w:lang w:eastAsia="en-US"/>
        </w:rPr>
        <w:t>ляются качеством жилищных условий. Это так называемые «ж</w:t>
      </w:r>
      <w:r w:rsidRPr="00281602">
        <w:rPr>
          <w:rFonts w:eastAsia="Calibri"/>
          <w:sz w:val="22"/>
          <w:szCs w:val="22"/>
          <w:lang w:eastAsia="en-US"/>
        </w:rPr>
        <w:t>и</w:t>
      </w:r>
      <w:r w:rsidRPr="00281602">
        <w:rPr>
          <w:rFonts w:eastAsia="Calibri"/>
          <w:sz w:val="22"/>
          <w:szCs w:val="22"/>
          <w:lang w:eastAsia="en-US"/>
        </w:rPr>
        <w:t xml:space="preserve">лищные болезни». Их причина – неудовлетворительное влияние внутренней среды помещения на здоровье человека. В настоящее время, безопасность искусственной среды – места, где множество людей проводит большую часть своей жизни, приобретает большую актуальность. </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lastRenderedPageBreak/>
        <w:t>Весьма опасны для живых организмов бетонные и, особенно, железобетонные плиты. Бетон при застывании становится невер</w:t>
      </w:r>
      <w:r w:rsidRPr="00281602">
        <w:rPr>
          <w:rFonts w:eastAsia="Calibri"/>
          <w:sz w:val="22"/>
          <w:szCs w:val="22"/>
          <w:lang w:eastAsia="en-US"/>
        </w:rPr>
        <w:t>о</w:t>
      </w:r>
      <w:r w:rsidRPr="00281602">
        <w:rPr>
          <w:rFonts w:eastAsia="Calibri"/>
          <w:sz w:val="22"/>
          <w:szCs w:val="22"/>
          <w:lang w:eastAsia="en-US"/>
        </w:rPr>
        <w:t xml:space="preserve">ятно прочным. Это хорошо с конструктивной точки зрения, однако он  усиливает электромагнитные волны. А железобетон, </w:t>
      </w:r>
      <w:proofErr w:type="gramStart"/>
      <w:r w:rsidRPr="00281602">
        <w:rPr>
          <w:rFonts w:eastAsia="Calibri"/>
          <w:sz w:val="22"/>
          <w:szCs w:val="22"/>
          <w:lang w:eastAsia="en-US"/>
        </w:rPr>
        <w:t>в добавок</w:t>
      </w:r>
      <w:proofErr w:type="gramEnd"/>
      <w:r w:rsidRPr="00281602">
        <w:rPr>
          <w:rFonts w:eastAsia="Calibri"/>
          <w:sz w:val="22"/>
          <w:szCs w:val="22"/>
          <w:lang w:eastAsia="en-US"/>
        </w:rPr>
        <w:t>, еще и экранирует электромагнитное излучение самого здания. В таких конструкциях люди устают быстрее, испытывают головные боли, снижение работоспособности, потенции, наблюдают нест</w:t>
      </w:r>
      <w:r w:rsidRPr="00281602">
        <w:rPr>
          <w:rFonts w:eastAsia="Calibri"/>
          <w:sz w:val="22"/>
          <w:szCs w:val="22"/>
          <w:lang w:eastAsia="en-US"/>
        </w:rPr>
        <w:t>а</w:t>
      </w:r>
      <w:r w:rsidRPr="00281602">
        <w:rPr>
          <w:rFonts w:eastAsia="Calibri"/>
          <w:sz w:val="22"/>
          <w:szCs w:val="22"/>
          <w:lang w:eastAsia="en-US"/>
        </w:rPr>
        <w:t xml:space="preserve">бильность артериального давления, нарушение функций нервной системы, аллергические реакции[2]. </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Такие теплоизоляционные материалы, как пенопласт, пеноп</w:t>
      </w:r>
      <w:r w:rsidRPr="00281602">
        <w:rPr>
          <w:rFonts w:eastAsia="Calibri"/>
          <w:sz w:val="22"/>
          <w:szCs w:val="22"/>
          <w:lang w:eastAsia="en-US"/>
        </w:rPr>
        <w:t>о</w:t>
      </w:r>
      <w:r w:rsidRPr="00281602">
        <w:rPr>
          <w:rFonts w:eastAsia="Calibri"/>
          <w:sz w:val="22"/>
          <w:szCs w:val="22"/>
          <w:lang w:eastAsia="en-US"/>
        </w:rPr>
        <w:t>листирол, стекловата и пеноплэкс содержат в своем составе фо</w:t>
      </w:r>
      <w:r w:rsidRPr="00281602">
        <w:rPr>
          <w:rFonts w:eastAsia="Calibri"/>
          <w:sz w:val="22"/>
          <w:szCs w:val="22"/>
          <w:lang w:eastAsia="en-US"/>
        </w:rPr>
        <w:t>р</w:t>
      </w:r>
      <w:r w:rsidRPr="00281602">
        <w:rPr>
          <w:rFonts w:eastAsia="Calibri"/>
          <w:sz w:val="22"/>
          <w:szCs w:val="22"/>
          <w:lang w:eastAsia="en-US"/>
        </w:rPr>
        <w:t>мальдегиды, фенолы и стиролы, которые, находясь в химическом и термическом равновесии с воздухом, т.е. температуры 20</w:t>
      </w:r>
      <w:proofErr w:type="gramStart"/>
      <w:r w:rsidRPr="00281602">
        <w:rPr>
          <w:rFonts w:eastAsia="Calibri"/>
          <w:sz w:val="22"/>
          <w:szCs w:val="22"/>
          <w:lang w:eastAsia="en-US"/>
        </w:rPr>
        <w:t xml:space="preserve"> </w:t>
      </w:r>
      <w:r w:rsidRPr="00281602">
        <w:rPr>
          <w:rFonts w:ascii="Cambria Math" w:eastAsia="Calibri" w:hAnsi="Cambria Math" w:cs="Cambria Math"/>
          <w:sz w:val="22"/>
          <w:szCs w:val="22"/>
          <w:lang w:eastAsia="en-US"/>
        </w:rPr>
        <w:t>⁰</w:t>
      </w:r>
      <w:r w:rsidRPr="00281602">
        <w:rPr>
          <w:rFonts w:eastAsia="Calibri"/>
          <w:sz w:val="22"/>
          <w:szCs w:val="22"/>
          <w:lang w:eastAsia="en-US"/>
        </w:rPr>
        <w:t>С</w:t>
      </w:r>
      <w:proofErr w:type="gramEnd"/>
      <w:r w:rsidRPr="00281602">
        <w:rPr>
          <w:rFonts w:eastAsia="Calibri"/>
          <w:sz w:val="22"/>
          <w:szCs w:val="22"/>
          <w:lang w:eastAsia="en-US"/>
        </w:rPr>
        <w:t>, при которой происходят все нормативные замеры, являются абсолютно безопасными для здоровья человека. Однако при повышении те</w:t>
      </w:r>
      <w:r w:rsidRPr="00281602">
        <w:rPr>
          <w:rFonts w:eastAsia="Calibri"/>
          <w:sz w:val="22"/>
          <w:szCs w:val="22"/>
          <w:lang w:eastAsia="en-US"/>
        </w:rPr>
        <w:t>м</w:t>
      </w:r>
      <w:r w:rsidRPr="00281602">
        <w:rPr>
          <w:rFonts w:eastAsia="Calibri"/>
          <w:sz w:val="22"/>
          <w:szCs w:val="22"/>
          <w:lang w:eastAsia="en-US"/>
        </w:rPr>
        <w:t>пературы воздуха более 20</w:t>
      </w:r>
      <w:proofErr w:type="gramStart"/>
      <w:r w:rsidRPr="00281602">
        <w:rPr>
          <w:rFonts w:eastAsia="Calibri"/>
          <w:sz w:val="22"/>
          <w:szCs w:val="22"/>
          <w:lang w:eastAsia="en-US"/>
        </w:rPr>
        <w:t xml:space="preserve"> </w:t>
      </w:r>
      <w:r w:rsidRPr="00281602">
        <w:rPr>
          <w:rFonts w:ascii="Cambria Math" w:eastAsia="Calibri" w:hAnsi="Cambria Math" w:cs="Cambria Math"/>
          <w:sz w:val="22"/>
          <w:szCs w:val="22"/>
          <w:lang w:eastAsia="en-US"/>
        </w:rPr>
        <w:t>⁰</w:t>
      </w:r>
      <w:r w:rsidRPr="00281602">
        <w:rPr>
          <w:rFonts w:eastAsia="Calibri"/>
          <w:sz w:val="22"/>
          <w:szCs w:val="22"/>
          <w:lang w:eastAsia="en-US"/>
        </w:rPr>
        <w:t>С</w:t>
      </w:r>
      <w:proofErr w:type="gramEnd"/>
      <w:r w:rsidRPr="00281602">
        <w:rPr>
          <w:rFonts w:eastAsia="Calibri"/>
          <w:sz w:val="22"/>
          <w:szCs w:val="22"/>
          <w:lang w:eastAsia="en-US"/>
        </w:rPr>
        <w:t xml:space="preserve"> эти газы начинают выделяться, что является значительным фактом при их применении в условиях юга России. А в случае нагрева или пожара их концентрация является не просто вредной, но и  смертельно опасной для человека.   При до</w:t>
      </w:r>
      <w:r w:rsidRPr="00281602">
        <w:rPr>
          <w:rFonts w:eastAsia="Calibri"/>
          <w:sz w:val="22"/>
          <w:szCs w:val="22"/>
          <w:lang w:eastAsia="en-US"/>
        </w:rPr>
        <w:t>л</w:t>
      </w:r>
      <w:r w:rsidRPr="00281602">
        <w:rPr>
          <w:rFonts w:eastAsia="Calibri"/>
          <w:sz w:val="22"/>
          <w:szCs w:val="22"/>
          <w:lang w:eastAsia="en-US"/>
        </w:rPr>
        <w:t>говременном и систематическом воздействии стирола на организм человека, нарушается работа почек, печени, системы кроветвор</w:t>
      </w:r>
      <w:r w:rsidRPr="00281602">
        <w:rPr>
          <w:rFonts w:eastAsia="Calibri"/>
          <w:sz w:val="22"/>
          <w:szCs w:val="22"/>
          <w:lang w:eastAsia="en-US"/>
        </w:rPr>
        <w:t>е</w:t>
      </w:r>
      <w:r w:rsidRPr="00281602">
        <w:rPr>
          <w:rFonts w:eastAsia="Calibri"/>
          <w:sz w:val="22"/>
          <w:szCs w:val="22"/>
          <w:lang w:eastAsia="en-US"/>
        </w:rPr>
        <w:t>ния. Стирол является канцерогеном и может спровоцировать разв</w:t>
      </w:r>
      <w:r w:rsidRPr="00281602">
        <w:rPr>
          <w:rFonts w:eastAsia="Calibri"/>
          <w:sz w:val="22"/>
          <w:szCs w:val="22"/>
          <w:lang w:eastAsia="en-US"/>
        </w:rPr>
        <w:t>и</w:t>
      </w:r>
      <w:r w:rsidRPr="00281602">
        <w:rPr>
          <w:rFonts w:eastAsia="Calibri"/>
          <w:sz w:val="22"/>
          <w:szCs w:val="22"/>
          <w:lang w:eastAsia="en-US"/>
        </w:rPr>
        <w:t>тие онкологических заболеваний.</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Вывод напрашивается сам собой. Необходимо применять в с</w:t>
      </w:r>
      <w:r w:rsidRPr="00281602">
        <w:rPr>
          <w:rFonts w:eastAsia="Calibri"/>
          <w:sz w:val="22"/>
          <w:szCs w:val="22"/>
          <w:lang w:eastAsia="en-US"/>
        </w:rPr>
        <w:t>о</w:t>
      </w:r>
      <w:r w:rsidRPr="00281602">
        <w:rPr>
          <w:rFonts w:eastAsia="Calibri"/>
          <w:sz w:val="22"/>
          <w:szCs w:val="22"/>
          <w:lang w:eastAsia="en-US"/>
        </w:rPr>
        <w:t>временном строительстве те материалы, которые рассеивают эле</w:t>
      </w:r>
      <w:r w:rsidRPr="00281602">
        <w:rPr>
          <w:rFonts w:eastAsia="Calibri"/>
          <w:sz w:val="22"/>
          <w:szCs w:val="22"/>
          <w:lang w:eastAsia="en-US"/>
        </w:rPr>
        <w:t>к</w:t>
      </w:r>
      <w:r w:rsidRPr="00281602">
        <w:rPr>
          <w:rFonts w:eastAsia="Calibri"/>
          <w:sz w:val="22"/>
          <w:szCs w:val="22"/>
          <w:lang w:eastAsia="en-US"/>
        </w:rPr>
        <w:t>тромагнитное излучение и не содержат в своем составе опасные для человеческого организма вещества. Одним из таких материалов я</w:t>
      </w:r>
      <w:r w:rsidRPr="00281602">
        <w:rPr>
          <w:rFonts w:eastAsia="Calibri"/>
          <w:sz w:val="22"/>
          <w:szCs w:val="22"/>
          <w:lang w:eastAsia="en-US"/>
        </w:rPr>
        <w:t>в</w:t>
      </w:r>
      <w:r w:rsidRPr="00281602">
        <w:rPr>
          <w:rFonts w:eastAsia="Calibri"/>
          <w:sz w:val="22"/>
          <w:szCs w:val="22"/>
          <w:lang w:eastAsia="en-US"/>
        </w:rPr>
        <w:t xml:space="preserve">ляется соломит. </w:t>
      </w:r>
    </w:p>
    <w:p w:rsidR="00D81B1A" w:rsidRPr="00281602" w:rsidRDefault="00D81B1A" w:rsidP="00EA11E0">
      <w:pPr>
        <w:ind w:firstLine="425"/>
        <w:jc w:val="both"/>
        <w:rPr>
          <w:rFonts w:eastAsia="Calibri"/>
          <w:sz w:val="22"/>
          <w:szCs w:val="22"/>
          <w:lang w:eastAsia="en-US"/>
        </w:rPr>
      </w:pPr>
      <w:r w:rsidRPr="00281602">
        <w:rPr>
          <w:rFonts w:eastAsia="Calibri"/>
          <w:sz w:val="22"/>
          <w:szCs w:val="22"/>
          <w:lang w:eastAsia="en-US"/>
        </w:rPr>
        <w:t>Соломит представляет собой плиты из отпрессованных и пр</w:t>
      </w:r>
      <w:r w:rsidRPr="00281602">
        <w:rPr>
          <w:rFonts w:eastAsia="Calibri"/>
          <w:sz w:val="22"/>
          <w:szCs w:val="22"/>
          <w:lang w:eastAsia="en-US"/>
        </w:rPr>
        <w:t>о</w:t>
      </w:r>
      <w:r w:rsidRPr="00281602">
        <w:rPr>
          <w:rFonts w:eastAsia="Calibri"/>
          <w:sz w:val="22"/>
          <w:szCs w:val="22"/>
          <w:lang w:eastAsia="en-US"/>
        </w:rPr>
        <w:t>шитых проволокой пучков соломы.  Прессование производят на винтовых или механизированных горизонтальных или вертикал</w:t>
      </w:r>
      <w:r w:rsidRPr="00281602">
        <w:rPr>
          <w:rFonts w:eastAsia="Calibri"/>
          <w:sz w:val="22"/>
          <w:szCs w:val="22"/>
          <w:lang w:eastAsia="en-US"/>
        </w:rPr>
        <w:t>ь</w:t>
      </w:r>
      <w:r w:rsidRPr="00281602">
        <w:rPr>
          <w:rFonts w:eastAsia="Calibri"/>
          <w:sz w:val="22"/>
          <w:szCs w:val="22"/>
          <w:lang w:eastAsia="en-US"/>
        </w:rPr>
        <w:t>ных прессах. Для увязывания проволоку употребляют диаметром 1,8 мм.  Технические свойства: Объемный вес: 180-220 кг/м</w:t>
      </w:r>
      <w:r w:rsidRPr="00281602">
        <w:rPr>
          <w:rFonts w:eastAsia="Calibri"/>
          <w:sz w:val="22"/>
          <w:szCs w:val="22"/>
          <w:vertAlign w:val="superscript"/>
          <w:lang w:eastAsia="en-US"/>
        </w:rPr>
        <w:t>3</w:t>
      </w:r>
      <w:r w:rsidRPr="00281602">
        <w:rPr>
          <w:rFonts w:eastAsia="Calibri"/>
          <w:sz w:val="22"/>
          <w:szCs w:val="22"/>
          <w:lang w:eastAsia="en-US"/>
        </w:rPr>
        <w:t>.  Те</w:t>
      </w:r>
      <w:r w:rsidRPr="00281602">
        <w:rPr>
          <w:rFonts w:eastAsia="Calibri"/>
          <w:sz w:val="22"/>
          <w:szCs w:val="22"/>
          <w:lang w:eastAsia="en-US"/>
        </w:rPr>
        <w:t>п</w:t>
      </w:r>
      <w:r w:rsidRPr="00281602">
        <w:rPr>
          <w:rFonts w:eastAsia="Calibri"/>
          <w:sz w:val="22"/>
          <w:szCs w:val="22"/>
          <w:lang w:eastAsia="en-US"/>
        </w:rPr>
        <w:t>лопроводность: 0,04-0,05 Вт/м</w:t>
      </w:r>
      <w:proofErr w:type="gramStart"/>
      <w:r w:rsidRPr="00281602">
        <w:rPr>
          <w:rFonts w:eastAsia="Calibri"/>
          <w:sz w:val="22"/>
          <w:szCs w:val="22"/>
          <w:lang w:eastAsia="en-US"/>
        </w:rPr>
        <w:t>*К</w:t>
      </w:r>
      <w:proofErr w:type="gramEnd"/>
      <w:r w:rsidRPr="00281602">
        <w:rPr>
          <w:rFonts w:eastAsia="Calibri"/>
          <w:sz w:val="22"/>
          <w:szCs w:val="22"/>
          <w:lang w:eastAsia="en-US"/>
        </w:rPr>
        <w:t>, сопротивление на сжатие: 12 кг/см</w:t>
      </w:r>
      <w:r w:rsidRPr="00281602">
        <w:rPr>
          <w:rFonts w:eastAsia="Calibri"/>
          <w:sz w:val="22"/>
          <w:szCs w:val="22"/>
          <w:vertAlign w:val="superscript"/>
          <w:lang w:eastAsia="en-US"/>
        </w:rPr>
        <w:t>2</w:t>
      </w:r>
      <w:r w:rsidRPr="00281602">
        <w:rPr>
          <w:rFonts w:eastAsia="Calibri"/>
          <w:sz w:val="22"/>
          <w:szCs w:val="22"/>
          <w:lang w:eastAsia="en-US"/>
        </w:rPr>
        <w:t>, сопротивление на изгиб: 8,8 кг/см</w:t>
      </w:r>
      <w:r w:rsidRPr="00281602">
        <w:rPr>
          <w:rFonts w:eastAsia="Calibri"/>
          <w:sz w:val="22"/>
          <w:szCs w:val="22"/>
          <w:vertAlign w:val="superscript"/>
          <w:lang w:eastAsia="en-US"/>
        </w:rPr>
        <w:t>2</w:t>
      </w:r>
      <w:r w:rsidRPr="00281602">
        <w:rPr>
          <w:rFonts w:eastAsia="Calibri"/>
          <w:sz w:val="22"/>
          <w:szCs w:val="22"/>
          <w:lang w:eastAsia="en-US"/>
        </w:rPr>
        <w:t>.  Прочность зависит от степени прессования. Применяют соломит в качестве термоизол</w:t>
      </w:r>
      <w:r w:rsidRPr="00281602">
        <w:rPr>
          <w:rFonts w:eastAsia="Calibri"/>
          <w:sz w:val="22"/>
          <w:szCs w:val="22"/>
          <w:lang w:eastAsia="en-US"/>
        </w:rPr>
        <w:t>я</w:t>
      </w:r>
      <w:r w:rsidRPr="00281602">
        <w:rPr>
          <w:rFonts w:eastAsia="Calibri"/>
          <w:sz w:val="22"/>
          <w:szCs w:val="22"/>
          <w:lang w:eastAsia="en-US"/>
        </w:rPr>
        <w:t xml:space="preserve">ционного заполнителя для красных систем жилых и промышленных зданий, складов, сараев, бараков, для перегородок, перекрытий, </w:t>
      </w:r>
      <w:r w:rsidRPr="00281602">
        <w:rPr>
          <w:rFonts w:eastAsia="Calibri"/>
          <w:sz w:val="22"/>
          <w:szCs w:val="22"/>
          <w:lang w:eastAsia="en-US"/>
        </w:rPr>
        <w:lastRenderedPageBreak/>
        <w:t>кровли могут быть применены для внутренних стен, черных полов как конструктивный материал. Огнестойкость соломы довольно высокая. Спрессованная солома без доступа воздуха практически совсем не поддерживает горения. Однако, при желании, для пов</w:t>
      </w:r>
      <w:r w:rsidRPr="00281602">
        <w:rPr>
          <w:rFonts w:eastAsia="Calibri"/>
          <w:sz w:val="22"/>
          <w:szCs w:val="22"/>
          <w:lang w:eastAsia="en-US"/>
        </w:rPr>
        <w:t>ы</w:t>
      </w:r>
      <w:r w:rsidRPr="00281602">
        <w:rPr>
          <w:rFonts w:eastAsia="Calibri"/>
          <w:sz w:val="22"/>
          <w:szCs w:val="22"/>
          <w:lang w:eastAsia="en-US"/>
        </w:rPr>
        <w:t>шения огнестойкости можно применять пропитку жидким стеклом. А для антибактериальной защиты - раствором тетраоксосульфата железа(</w:t>
      </w:r>
      <w:r w:rsidRPr="00281602">
        <w:rPr>
          <w:rFonts w:eastAsia="Calibri"/>
          <w:sz w:val="22"/>
          <w:szCs w:val="22"/>
          <w:lang w:val="en-US" w:eastAsia="en-US"/>
        </w:rPr>
        <w:t>II</w:t>
      </w:r>
      <w:r w:rsidRPr="00281602">
        <w:rPr>
          <w:rFonts w:eastAsia="Calibri"/>
          <w:sz w:val="22"/>
          <w:szCs w:val="22"/>
          <w:lang w:eastAsia="en-US"/>
        </w:rPr>
        <w:t xml:space="preserve">)[3]. </w:t>
      </w:r>
    </w:p>
    <w:p w:rsidR="00D81B1A" w:rsidRDefault="00D81B1A" w:rsidP="00EA11E0">
      <w:pPr>
        <w:ind w:firstLine="425"/>
        <w:jc w:val="both"/>
        <w:rPr>
          <w:rFonts w:eastAsia="Calibri"/>
          <w:sz w:val="22"/>
          <w:szCs w:val="22"/>
          <w:lang w:eastAsia="en-US"/>
        </w:rPr>
      </w:pPr>
      <w:r w:rsidRPr="00281602">
        <w:rPr>
          <w:rFonts w:eastAsia="Calibri"/>
          <w:sz w:val="22"/>
          <w:szCs w:val="22"/>
          <w:lang w:eastAsia="en-US"/>
        </w:rPr>
        <w:t>Постмонтажная обработка соломитовых изделий заключается в её штукатурке глиняной или другими паропроницаемыми смесями. Штукатурка наносится на одну или на две стороны соломита и пр</w:t>
      </w:r>
      <w:r w:rsidRPr="00281602">
        <w:rPr>
          <w:rFonts w:eastAsia="Calibri"/>
          <w:sz w:val="22"/>
          <w:szCs w:val="22"/>
          <w:lang w:eastAsia="en-US"/>
        </w:rPr>
        <w:t>е</w:t>
      </w:r>
      <w:r w:rsidRPr="00281602">
        <w:rPr>
          <w:rFonts w:eastAsia="Calibri"/>
          <w:sz w:val="22"/>
          <w:szCs w:val="22"/>
          <w:lang w:eastAsia="en-US"/>
        </w:rPr>
        <w:t>красно защищает от воздействия грибков, огня, грызунов и механ</w:t>
      </w:r>
      <w:r w:rsidRPr="00281602">
        <w:rPr>
          <w:rFonts w:eastAsia="Calibri"/>
          <w:sz w:val="22"/>
          <w:szCs w:val="22"/>
          <w:lang w:eastAsia="en-US"/>
        </w:rPr>
        <w:t>и</w:t>
      </w:r>
      <w:r w:rsidRPr="00281602">
        <w:rPr>
          <w:rFonts w:eastAsia="Calibri"/>
          <w:sz w:val="22"/>
          <w:szCs w:val="22"/>
          <w:lang w:eastAsia="en-US"/>
        </w:rPr>
        <w:t>ческих повреждений. Предварительно соломитовые изделия на строительной площадке не требуют сложной подготовки под отд</w:t>
      </w:r>
      <w:r w:rsidRPr="00281602">
        <w:rPr>
          <w:rFonts w:eastAsia="Calibri"/>
          <w:sz w:val="22"/>
          <w:szCs w:val="22"/>
          <w:lang w:eastAsia="en-US"/>
        </w:rPr>
        <w:t>е</w:t>
      </w:r>
      <w:r w:rsidRPr="00281602">
        <w:rPr>
          <w:rFonts w:eastAsia="Calibri"/>
          <w:sz w:val="22"/>
          <w:szCs w:val="22"/>
          <w:lang w:eastAsia="en-US"/>
        </w:rPr>
        <w:t>лочные работы. Штукатурка к такому виду изделий крепко и надежно цепляется, что позволяет не использовать сетку или дрань. Толщина стены из соломита толщиной 10 см, оштукатуренная с обеих сторон глиняной штукатуркой по параметрам теплопрово</w:t>
      </w:r>
      <w:r w:rsidRPr="00281602">
        <w:rPr>
          <w:rFonts w:eastAsia="Calibri"/>
          <w:sz w:val="22"/>
          <w:szCs w:val="22"/>
          <w:lang w:eastAsia="en-US"/>
        </w:rPr>
        <w:t>д</w:t>
      </w:r>
      <w:r w:rsidRPr="00281602">
        <w:rPr>
          <w:rFonts w:eastAsia="Calibri"/>
          <w:sz w:val="22"/>
          <w:szCs w:val="22"/>
          <w:lang w:eastAsia="en-US"/>
        </w:rPr>
        <w:t>ности приравнивается к 51 см. кирпичной и 20 см. деревянной. Для улучшения теплопроводных параметров можно использовать те</w:t>
      </w:r>
      <w:r w:rsidRPr="00281602">
        <w:rPr>
          <w:rFonts w:eastAsia="Calibri"/>
          <w:sz w:val="22"/>
          <w:szCs w:val="22"/>
          <w:lang w:eastAsia="en-US"/>
        </w:rPr>
        <w:t>п</w:t>
      </w:r>
      <w:r w:rsidRPr="00281602">
        <w:rPr>
          <w:rFonts w:eastAsia="Calibri"/>
          <w:sz w:val="22"/>
          <w:szCs w:val="22"/>
          <w:lang w:eastAsia="en-US"/>
        </w:rPr>
        <w:t>лую глиняную штукатурку[4]. Что значительно повысит коэффиц</w:t>
      </w:r>
      <w:r w:rsidRPr="00281602">
        <w:rPr>
          <w:rFonts w:eastAsia="Calibri"/>
          <w:sz w:val="22"/>
          <w:szCs w:val="22"/>
          <w:lang w:eastAsia="en-US"/>
        </w:rPr>
        <w:t>и</w:t>
      </w:r>
      <w:r w:rsidRPr="00281602">
        <w:rPr>
          <w:rFonts w:eastAsia="Calibri"/>
          <w:sz w:val="22"/>
          <w:szCs w:val="22"/>
          <w:lang w:eastAsia="en-US"/>
        </w:rPr>
        <w:t>ент теплопроводности соломита.</w:t>
      </w:r>
    </w:p>
    <w:p w:rsidR="00EA11E0" w:rsidRPr="00281602" w:rsidRDefault="00EA11E0" w:rsidP="00EA11E0">
      <w:pPr>
        <w:ind w:firstLine="425"/>
        <w:jc w:val="both"/>
        <w:rPr>
          <w:rFonts w:eastAsia="Calibri"/>
          <w:sz w:val="22"/>
          <w:szCs w:val="22"/>
          <w:lang w:eastAsia="en-US"/>
        </w:rPr>
      </w:pPr>
    </w:p>
    <w:bookmarkEnd w:id="2"/>
    <w:bookmarkEnd w:id="3"/>
    <w:p w:rsidR="00D81B1A" w:rsidRPr="00281602" w:rsidRDefault="00D81B1A" w:rsidP="00EA11E0">
      <w:pPr>
        <w:ind w:firstLine="425"/>
        <w:jc w:val="center"/>
        <w:rPr>
          <w:rFonts w:eastAsia="Calibri"/>
          <w:sz w:val="22"/>
          <w:szCs w:val="22"/>
          <w:lang w:eastAsia="en-US"/>
        </w:rPr>
      </w:pPr>
      <w:r w:rsidRPr="00281602">
        <w:rPr>
          <w:rFonts w:eastAsia="Calibri"/>
          <w:sz w:val="22"/>
          <w:szCs w:val="22"/>
          <w:lang w:eastAsia="en-US"/>
        </w:rPr>
        <w:t>Список литературы</w:t>
      </w:r>
    </w:p>
    <w:p w:rsidR="00D81B1A" w:rsidRPr="00281602" w:rsidRDefault="00D81B1A" w:rsidP="00EA11E0">
      <w:pPr>
        <w:ind w:firstLine="425"/>
        <w:jc w:val="both"/>
        <w:rPr>
          <w:sz w:val="22"/>
          <w:szCs w:val="22"/>
        </w:rPr>
      </w:pPr>
      <w:r w:rsidRPr="00281602">
        <w:rPr>
          <w:sz w:val="22"/>
          <w:szCs w:val="22"/>
        </w:rPr>
        <w:t>1.</w:t>
      </w:r>
      <w:r w:rsidR="00B36597">
        <w:rPr>
          <w:sz w:val="22"/>
          <w:szCs w:val="22"/>
        </w:rPr>
        <w:t xml:space="preserve"> </w:t>
      </w:r>
      <w:r w:rsidRPr="00281602">
        <w:rPr>
          <w:sz w:val="22"/>
          <w:szCs w:val="22"/>
        </w:rPr>
        <w:t>Бычков А.</w:t>
      </w:r>
      <w:r w:rsidR="00EA11E0">
        <w:rPr>
          <w:sz w:val="22"/>
          <w:szCs w:val="22"/>
        </w:rPr>
        <w:t xml:space="preserve"> </w:t>
      </w:r>
      <w:r w:rsidRPr="00281602">
        <w:rPr>
          <w:sz w:val="22"/>
          <w:szCs w:val="22"/>
        </w:rPr>
        <w:t>В. Современные строительные блоки/Бычков А.В., Мамонов Д.В., Ефремова В.Н., Овсянникова О.В.//В сборнике: АПК Сборник статей по материалам Х Всероссийской конференции молодых ученых, посвященной 120-летию И. С. Косенко. Отв. за вып. А. Г. Кощаев. 2017. С. 999-1000.</w:t>
      </w:r>
    </w:p>
    <w:p w:rsidR="00D81B1A" w:rsidRPr="00281602" w:rsidRDefault="00D81B1A" w:rsidP="00EA11E0">
      <w:pPr>
        <w:ind w:firstLine="425"/>
        <w:jc w:val="both"/>
        <w:rPr>
          <w:sz w:val="22"/>
          <w:szCs w:val="22"/>
        </w:rPr>
      </w:pPr>
      <w:r w:rsidRPr="00281602">
        <w:rPr>
          <w:sz w:val="22"/>
          <w:szCs w:val="22"/>
        </w:rPr>
        <w:t>2.</w:t>
      </w:r>
      <w:r w:rsidR="00B36597">
        <w:rPr>
          <w:sz w:val="22"/>
          <w:szCs w:val="22"/>
        </w:rPr>
        <w:t xml:space="preserve"> </w:t>
      </w:r>
      <w:r w:rsidRPr="00281602">
        <w:rPr>
          <w:sz w:val="22"/>
          <w:szCs w:val="22"/>
        </w:rPr>
        <w:t>Бычков А.</w:t>
      </w:r>
      <w:r w:rsidR="00EA11E0">
        <w:rPr>
          <w:sz w:val="22"/>
          <w:szCs w:val="22"/>
        </w:rPr>
        <w:t xml:space="preserve"> </w:t>
      </w:r>
      <w:r w:rsidRPr="00281602">
        <w:rPr>
          <w:sz w:val="22"/>
          <w:szCs w:val="22"/>
        </w:rPr>
        <w:t>В. Обоснования возможности использования с</w:t>
      </w:r>
      <w:r w:rsidRPr="00281602">
        <w:rPr>
          <w:sz w:val="22"/>
          <w:szCs w:val="22"/>
        </w:rPr>
        <w:t>о</w:t>
      </w:r>
      <w:r w:rsidRPr="00281602">
        <w:rPr>
          <w:sz w:val="22"/>
          <w:szCs w:val="22"/>
        </w:rPr>
        <w:t>ломенной муки для производства строительных блоков/Бычков А.В., Шхалахов Л.В., Ефремова В.Н., Овсянникова О.В.// В сборн</w:t>
      </w:r>
      <w:r w:rsidRPr="00281602">
        <w:rPr>
          <w:sz w:val="22"/>
          <w:szCs w:val="22"/>
        </w:rPr>
        <w:t>и</w:t>
      </w:r>
      <w:r w:rsidRPr="00281602">
        <w:rPr>
          <w:sz w:val="22"/>
          <w:szCs w:val="22"/>
        </w:rPr>
        <w:t>ке: АПК Сборник статей по материалам Х Всероссийской конф</w:t>
      </w:r>
      <w:r w:rsidRPr="00281602">
        <w:rPr>
          <w:sz w:val="22"/>
          <w:szCs w:val="22"/>
        </w:rPr>
        <w:t>е</w:t>
      </w:r>
      <w:r w:rsidRPr="00281602">
        <w:rPr>
          <w:sz w:val="22"/>
          <w:szCs w:val="22"/>
        </w:rPr>
        <w:t>ренции молодых ученых, посвященной 120-летию И. С. Косенко. Отв. за вып. А. Г. Кощаев. 2017. С. 1001-1002.</w:t>
      </w:r>
    </w:p>
    <w:p w:rsidR="00D81B1A" w:rsidRPr="00281602" w:rsidRDefault="00D81B1A" w:rsidP="00EA11E0">
      <w:pPr>
        <w:ind w:firstLine="425"/>
        <w:jc w:val="both"/>
        <w:rPr>
          <w:sz w:val="22"/>
          <w:szCs w:val="22"/>
        </w:rPr>
      </w:pPr>
      <w:r w:rsidRPr="00281602">
        <w:rPr>
          <w:sz w:val="22"/>
          <w:szCs w:val="22"/>
        </w:rPr>
        <w:t>3.</w:t>
      </w:r>
      <w:r w:rsidR="00B36597">
        <w:rPr>
          <w:sz w:val="22"/>
          <w:szCs w:val="22"/>
        </w:rPr>
        <w:t xml:space="preserve"> </w:t>
      </w:r>
      <w:r w:rsidRPr="00281602">
        <w:rPr>
          <w:sz w:val="22"/>
          <w:szCs w:val="22"/>
        </w:rPr>
        <w:t>Бычков А.</w:t>
      </w:r>
      <w:r w:rsidR="00EA11E0">
        <w:rPr>
          <w:sz w:val="22"/>
          <w:szCs w:val="22"/>
        </w:rPr>
        <w:t xml:space="preserve"> </w:t>
      </w:r>
      <w:r w:rsidRPr="00281602">
        <w:rPr>
          <w:sz w:val="22"/>
          <w:szCs w:val="22"/>
        </w:rPr>
        <w:t>В. Изготовление биопозитивных строительных материалов при применении основным наполнительным компоне</w:t>
      </w:r>
      <w:r w:rsidRPr="00281602">
        <w:rPr>
          <w:sz w:val="22"/>
          <w:szCs w:val="22"/>
        </w:rPr>
        <w:t>н</w:t>
      </w:r>
      <w:r w:rsidRPr="00281602">
        <w:rPr>
          <w:sz w:val="22"/>
          <w:szCs w:val="22"/>
        </w:rPr>
        <w:t>том солому в виде муки/Бычков А.В., Мамонов Д.В.//В сборнике: Актуальные вопросы экономики и технологического развития о</w:t>
      </w:r>
      <w:r w:rsidRPr="00281602">
        <w:rPr>
          <w:sz w:val="22"/>
          <w:szCs w:val="22"/>
        </w:rPr>
        <w:t>т</w:t>
      </w:r>
      <w:r w:rsidRPr="00281602">
        <w:rPr>
          <w:sz w:val="22"/>
          <w:szCs w:val="22"/>
        </w:rPr>
        <w:lastRenderedPageBreak/>
        <w:t>раслей народного хозяйства Материалы региональной научно-практической конференции студентов, аспирантов, магистрантов и преподавателей. 2016. С. 110-116.</w:t>
      </w:r>
    </w:p>
    <w:p w:rsidR="00D81B1A" w:rsidRPr="00281602" w:rsidRDefault="00D81B1A" w:rsidP="00EA11E0">
      <w:pPr>
        <w:ind w:firstLine="425"/>
        <w:jc w:val="both"/>
        <w:rPr>
          <w:sz w:val="22"/>
          <w:szCs w:val="22"/>
        </w:rPr>
      </w:pPr>
      <w:r w:rsidRPr="00281602">
        <w:rPr>
          <w:sz w:val="22"/>
          <w:szCs w:val="22"/>
        </w:rPr>
        <w:t>4.</w:t>
      </w:r>
      <w:r w:rsidR="00B36597">
        <w:rPr>
          <w:sz w:val="22"/>
          <w:szCs w:val="22"/>
        </w:rPr>
        <w:t xml:space="preserve"> </w:t>
      </w:r>
      <w:r w:rsidRPr="00281602">
        <w:rPr>
          <w:sz w:val="22"/>
          <w:szCs w:val="22"/>
        </w:rPr>
        <w:t>Бычков А.</w:t>
      </w:r>
      <w:r w:rsidR="00EA11E0">
        <w:rPr>
          <w:sz w:val="22"/>
          <w:szCs w:val="22"/>
        </w:rPr>
        <w:t xml:space="preserve"> </w:t>
      </w:r>
      <w:r w:rsidRPr="00281602">
        <w:rPr>
          <w:sz w:val="22"/>
          <w:szCs w:val="22"/>
        </w:rPr>
        <w:t>В. Универсальная установка для измельчения кормов и приготовления соломенной муки/Бычков А.В., Трифонов И.К.// В сборнике: инструменты современной научной деятельности Сборник статей Международной научно-практической конфере</w:t>
      </w:r>
      <w:r w:rsidRPr="00281602">
        <w:rPr>
          <w:sz w:val="22"/>
          <w:szCs w:val="22"/>
        </w:rPr>
        <w:t>н</w:t>
      </w:r>
      <w:r w:rsidRPr="00281602">
        <w:rPr>
          <w:sz w:val="22"/>
          <w:szCs w:val="22"/>
        </w:rPr>
        <w:t>ции. 2016. С. 30-32.</w:t>
      </w:r>
    </w:p>
    <w:p w:rsidR="00D81B1A" w:rsidRDefault="00D81B1A" w:rsidP="00B36597">
      <w:pPr>
        <w:jc w:val="both"/>
        <w:rPr>
          <w:rFonts w:eastAsia="Calibri"/>
          <w:sz w:val="22"/>
          <w:szCs w:val="22"/>
          <w:lang w:eastAsia="en-US"/>
        </w:rPr>
      </w:pPr>
    </w:p>
    <w:p w:rsidR="00B36597" w:rsidRDefault="00B36597" w:rsidP="00B36597">
      <w:pPr>
        <w:jc w:val="both"/>
        <w:rPr>
          <w:rFonts w:eastAsia="Calibri"/>
          <w:sz w:val="22"/>
          <w:szCs w:val="22"/>
          <w:lang w:eastAsia="en-US"/>
        </w:rPr>
      </w:pPr>
    </w:p>
    <w:p w:rsidR="00B36597" w:rsidRDefault="00B36597" w:rsidP="00B36597">
      <w:pPr>
        <w:jc w:val="both"/>
        <w:rPr>
          <w:rFonts w:eastAsia="Calibri"/>
          <w:sz w:val="22"/>
          <w:szCs w:val="22"/>
          <w:lang w:eastAsia="en-US"/>
        </w:rPr>
      </w:pPr>
    </w:p>
    <w:p w:rsidR="00D81B1A" w:rsidRDefault="00D81B1A" w:rsidP="00B36597">
      <w:pPr>
        <w:jc w:val="both"/>
        <w:rPr>
          <w:rFonts w:eastAsia="Calibri"/>
          <w:sz w:val="22"/>
          <w:szCs w:val="22"/>
          <w:lang w:eastAsia="en-US"/>
        </w:rPr>
      </w:pPr>
      <w:r w:rsidRPr="00D81B1A">
        <w:rPr>
          <w:rFonts w:eastAsia="Calibri"/>
          <w:sz w:val="22"/>
          <w:szCs w:val="22"/>
          <w:lang w:eastAsia="en-US"/>
        </w:rPr>
        <w:t>УДК 721</w:t>
      </w:r>
    </w:p>
    <w:p w:rsidR="00E22BC2" w:rsidRPr="00D81B1A" w:rsidRDefault="00E22BC2" w:rsidP="00B36597">
      <w:pPr>
        <w:jc w:val="both"/>
        <w:rPr>
          <w:rFonts w:eastAsia="Calibri"/>
          <w:sz w:val="22"/>
          <w:szCs w:val="22"/>
          <w:lang w:eastAsia="en-US"/>
        </w:rPr>
      </w:pPr>
    </w:p>
    <w:p w:rsidR="00D81B1A" w:rsidRPr="00B36597" w:rsidRDefault="00D81B1A" w:rsidP="00B36597">
      <w:pPr>
        <w:jc w:val="center"/>
        <w:rPr>
          <w:rFonts w:eastAsia="Calibri"/>
          <w:b/>
          <w:sz w:val="24"/>
          <w:szCs w:val="24"/>
          <w:lang w:eastAsia="en-US"/>
        </w:rPr>
      </w:pPr>
      <w:r w:rsidRPr="00B36597">
        <w:rPr>
          <w:rFonts w:eastAsia="Calibri"/>
          <w:b/>
          <w:sz w:val="24"/>
          <w:szCs w:val="24"/>
          <w:lang w:eastAsia="en-US"/>
        </w:rPr>
        <w:t>Формообразование высотных зданий</w:t>
      </w:r>
    </w:p>
    <w:p w:rsidR="00D81B1A" w:rsidRPr="00662BE8" w:rsidRDefault="00D81B1A" w:rsidP="00B36597">
      <w:pPr>
        <w:jc w:val="center"/>
        <w:rPr>
          <w:rFonts w:eastAsia="Calibri"/>
          <w:sz w:val="22"/>
          <w:szCs w:val="22"/>
          <w:lang w:eastAsia="en-US"/>
        </w:rPr>
      </w:pPr>
      <w:r w:rsidRPr="00B36597">
        <w:rPr>
          <w:rFonts w:eastAsia="Calibri"/>
          <w:b/>
          <w:sz w:val="24"/>
          <w:szCs w:val="24"/>
          <w:lang w:val="en-US" w:eastAsia="en-US"/>
        </w:rPr>
        <w:t>Shaping</w:t>
      </w:r>
      <w:r w:rsidRPr="00662BE8">
        <w:rPr>
          <w:rFonts w:eastAsia="Calibri"/>
          <w:b/>
          <w:sz w:val="24"/>
          <w:szCs w:val="24"/>
          <w:lang w:eastAsia="en-US"/>
        </w:rPr>
        <w:t xml:space="preserve"> </w:t>
      </w:r>
      <w:r w:rsidRPr="00B36597">
        <w:rPr>
          <w:rFonts w:eastAsia="Calibri"/>
          <w:b/>
          <w:sz w:val="24"/>
          <w:szCs w:val="24"/>
          <w:lang w:val="en-US" w:eastAsia="en-US"/>
        </w:rPr>
        <w:t>of</w:t>
      </w:r>
      <w:r w:rsidRPr="00662BE8">
        <w:rPr>
          <w:rFonts w:eastAsia="Calibri"/>
          <w:b/>
          <w:sz w:val="24"/>
          <w:szCs w:val="24"/>
          <w:lang w:eastAsia="en-US"/>
        </w:rPr>
        <w:t xml:space="preserve"> </w:t>
      </w:r>
      <w:r w:rsidRPr="00B36597">
        <w:rPr>
          <w:rFonts w:eastAsia="Calibri"/>
          <w:b/>
          <w:sz w:val="24"/>
          <w:szCs w:val="24"/>
          <w:lang w:val="en-US" w:eastAsia="en-US"/>
        </w:rPr>
        <w:t>high</w:t>
      </w:r>
      <w:r w:rsidRPr="00662BE8">
        <w:rPr>
          <w:rFonts w:eastAsia="Calibri"/>
          <w:b/>
          <w:sz w:val="24"/>
          <w:szCs w:val="24"/>
          <w:lang w:eastAsia="en-US"/>
        </w:rPr>
        <w:t>-</w:t>
      </w:r>
      <w:r w:rsidRPr="00B36597">
        <w:rPr>
          <w:rFonts w:eastAsia="Calibri"/>
          <w:b/>
          <w:sz w:val="24"/>
          <w:szCs w:val="24"/>
          <w:lang w:val="en-US" w:eastAsia="en-US"/>
        </w:rPr>
        <w:t>rise</w:t>
      </w:r>
      <w:r w:rsidRPr="00662BE8">
        <w:rPr>
          <w:rFonts w:eastAsia="Calibri"/>
          <w:b/>
          <w:sz w:val="24"/>
          <w:szCs w:val="24"/>
          <w:lang w:eastAsia="en-US"/>
        </w:rPr>
        <w:t xml:space="preserve"> </w:t>
      </w:r>
      <w:r w:rsidRPr="00B36597">
        <w:rPr>
          <w:rFonts w:eastAsia="Calibri"/>
          <w:b/>
          <w:sz w:val="24"/>
          <w:szCs w:val="24"/>
          <w:lang w:val="en-US" w:eastAsia="en-US"/>
        </w:rPr>
        <w:t>buildings</w:t>
      </w:r>
    </w:p>
    <w:p w:rsidR="00D81B1A" w:rsidRPr="00662BE8" w:rsidRDefault="00D81B1A" w:rsidP="00B36597">
      <w:pPr>
        <w:jc w:val="both"/>
        <w:rPr>
          <w:rFonts w:eastAsia="Calibri"/>
          <w:sz w:val="22"/>
          <w:szCs w:val="22"/>
          <w:lang w:eastAsia="en-US"/>
        </w:rPr>
      </w:pPr>
    </w:p>
    <w:p w:rsidR="00D81B1A" w:rsidRPr="00D81B1A" w:rsidRDefault="00D81B1A" w:rsidP="00B36597">
      <w:pPr>
        <w:jc w:val="right"/>
        <w:rPr>
          <w:rFonts w:eastAsia="Calibri"/>
          <w:sz w:val="22"/>
          <w:szCs w:val="22"/>
          <w:lang w:eastAsia="en-US"/>
        </w:rPr>
      </w:pPr>
      <w:r w:rsidRPr="00D81B1A">
        <w:rPr>
          <w:rFonts w:eastAsia="Calibri"/>
          <w:sz w:val="22"/>
          <w:szCs w:val="22"/>
          <w:lang w:eastAsia="en-US"/>
        </w:rPr>
        <w:t>Пармаксыз В.</w:t>
      </w:r>
      <w:r w:rsidR="00B36597">
        <w:rPr>
          <w:rFonts w:eastAsia="Calibri"/>
          <w:sz w:val="22"/>
          <w:szCs w:val="22"/>
          <w:lang w:eastAsia="en-US"/>
        </w:rPr>
        <w:t xml:space="preserve"> </w:t>
      </w:r>
      <w:r w:rsidRPr="00D81B1A">
        <w:rPr>
          <w:rFonts w:eastAsia="Calibri"/>
          <w:sz w:val="22"/>
          <w:szCs w:val="22"/>
          <w:lang w:eastAsia="en-US"/>
        </w:rPr>
        <w:t>А</w:t>
      </w:r>
      <w:r w:rsidR="00B36597">
        <w:rPr>
          <w:rFonts w:eastAsia="Calibri"/>
          <w:sz w:val="22"/>
          <w:szCs w:val="22"/>
          <w:lang w:eastAsia="en-US"/>
        </w:rPr>
        <w:t>.,</w:t>
      </w:r>
    </w:p>
    <w:p w:rsidR="00D81B1A" w:rsidRPr="00D81B1A" w:rsidRDefault="00B36597" w:rsidP="00B36597">
      <w:pPr>
        <w:jc w:val="right"/>
        <w:rPr>
          <w:rFonts w:eastAsia="Calibri"/>
          <w:sz w:val="22"/>
          <w:szCs w:val="22"/>
          <w:lang w:eastAsia="en-US"/>
        </w:rPr>
      </w:pPr>
      <w:r>
        <w:rPr>
          <w:rFonts w:eastAsia="Calibri"/>
          <w:sz w:val="22"/>
          <w:szCs w:val="22"/>
          <w:lang w:eastAsia="en-US"/>
        </w:rPr>
        <w:t>с</w:t>
      </w:r>
      <w:r w:rsidR="00D81B1A" w:rsidRPr="00D81B1A">
        <w:rPr>
          <w:rFonts w:eastAsia="Calibri"/>
          <w:sz w:val="22"/>
          <w:szCs w:val="22"/>
          <w:lang w:eastAsia="en-US"/>
        </w:rPr>
        <w:t>тудентка 1-го курса</w:t>
      </w:r>
    </w:p>
    <w:p w:rsidR="00D81B1A" w:rsidRPr="00D81B1A" w:rsidRDefault="00B36597" w:rsidP="00B36597">
      <w:pPr>
        <w:jc w:val="right"/>
        <w:rPr>
          <w:rFonts w:eastAsia="Calibri"/>
          <w:sz w:val="22"/>
          <w:szCs w:val="22"/>
          <w:lang w:eastAsia="en-US"/>
        </w:rPr>
      </w:pPr>
      <w:r>
        <w:rPr>
          <w:rFonts w:eastAsia="Calibri"/>
          <w:sz w:val="22"/>
          <w:szCs w:val="22"/>
          <w:lang w:eastAsia="en-US"/>
        </w:rPr>
        <w:t>а</w:t>
      </w:r>
      <w:r w:rsidR="00D81B1A" w:rsidRPr="00D81B1A">
        <w:rPr>
          <w:rFonts w:eastAsia="Calibri"/>
          <w:sz w:val="22"/>
          <w:szCs w:val="22"/>
          <w:lang w:eastAsia="en-US"/>
        </w:rPr>
        <w:t>рхитектурно-строительного факультета</w:t>
      </w:r>
    </w:p>
    <w:p w:rsidR="00D81B1A" w:rsidRPr="00D81B1A" w:rsidRDefault="00B36597" w:rsidP="00B36597">
      <w:pPr>
        <w:jc w:val="right"/>
        <w:rPr>
          <w:rFonts w:eastAsia="Calibri"/>
          <w:sz w:val="22"/>
          <w:szCs w:val="22"/>
          <w:lang w:eastAsia="en-US"/>
        </w:rPr>
      </w:pPr>
      <w:r>
        <w:rPr>
          <w:rFonts w:eastAsia="Calibri"/>
          <w:sz w:val="22"/>
          <w:szCs w:val="22"/>
          <w:lang w:eastAsia="en-US"/>
        </w:rPr>
        <w:t xml:space="preserve">Братошевская </w:t>
      </w:r>
      <w:r w:rsidR="00D81B1A" w:rsidRPr="00D81B1A">
        <w:rPr>
          <w:rFonts w:eastAsia="Calibri"/>
          <w:sz w:val="22"/>
          <w:szCs w:val="22"/>
          <w:lang w:eastAsia="en-US"/>
        </w:rPr>
        <w:t>В.</w:t>
      </w:r>
      <w:r>
        <w:rPr>
          <w:rFonts w:eastAsia="Calibri"/>
          <w:sz w:val="22"/>
          <w:szCs w:val="22"/>
          <w:lang w:eastAsia="en-US"/>
        </w:rPr>
        <w:t xml:space="preserve"> </w:t>
      </w:r>
      <w:r w:rsidR="00D81B1A" w:rsidRPr="00D81B1A">
        <w:rPr>
          <w:rFonts w:eastAsia="Calibri"/>
          <w:sz w:val="22"/>
          <w:szCs w:val="22"/>
          <w:lang w:eastAsia="en-US"/>
        </w:rPr>
        <w:t>В</w:t>
      </w:r>
      <w:r>
        <w:rPr>
          <w:rFonts w:eastAsia="Calibri"/>
          <w:sz w:val="22"/>
          <w:szCs w:val="22"/>
          <w:lang w:eastAsia="en-US"/>
        </w:rPr>
        <w:t>.,</w:t>
      </w:r>
    </w:p>
    <w:p w:rsidR="00D81B1A" w:rsidRDefault="00B36597" w:rsidP="00B36597">
      <w:pPr>
        <w:jc w:val="right"/>
        <w:rPr>
          <w:rFonts w:eastAsia="Calibri"/>
          <w:sz w:val="22"/>
          <w:szCs w:val="22"/>
          <w:lang w:eastAsia="en-US"/>
        </w:rPr>
      </w:pPr>
      <w:r>
        <w:rPr>
          <w:rFonts w:eastAsia="Calibri"/>
          <w:sz w:val="22"/>
          <w:szCs w:val="22"/>
          <w:lang w:eastAsia="en-US"/>
        </w:rPr>
        <w:t>к</w:t>
      </w:r>
      <w:r w:rsidR="00D81B1A" w:rsidRPr="00D81B1A">
        <w:rPr>
          <w:rFonts w:eastAsia="Calibri"/>
          <w:sz w:val="22"/>
          <w:szCs w:val="22"/>
          <w:lang w:eastAsia="en-US"/>
        </w:rPr>
        <w:t>андидат технических наук,</w:t>
      </w:r>
      <w:r>
        <w:rPr>
          <w:rFonts w:eastAsia="Calibri"/>
          <w:sz w:val="22"/>
          <w:szCs w:val="22"/>
          <w:lang w:eastAsia="en-US"/>
        </w:rPr>
        <w:t xml:space="preserve"> профессор</w:t>
      </w:r>
    </w:p>
    <w:p w:rsidR="00B36597" w:rsidRPr="00281602" w:rsidRDefault="00B36597" w:rsidP="00B36597">
      <w:pPr>
        <w:ind w:firstLine="567"/>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B36597" w:rsidRDefault="00B36597" w:rsidP="00B36597">
      <w:pPr>
        <w:ind w:firstLine="567"/>
        <w:jc w:val="right"/>
        <w:rPr>
          <w:rFonts w:eastAsia="Calibri"/>
          <w:sz w:val="22"/>
          <w:szCs w:val="22"/>
          <w:lang w:eastAsia="en-US"/>
        </w:rPr>
      </w:pPr>
      <w:r w:rsidRPr="00281602">
        <w:rPr>
          <w:rFonts w:eastAsia="Calibri"/>
          <w:sz w:val="22"/>
          <w:szCs w:val="22"/>
          <w:lang w:eastAsia="en-US"/>
        </w:rPr>
        <w:t xml:space="preserve"> университет имени И.</w:t>
      </w:r>
      <w:r>
        <w:rPr>
          <w:rFonts w:eastAsia="Calibri"/>
          <w:sz w:val="22"/>
          <w:szCs w:val="22"/>
          <w:lang w:eastAsia="en-US"/>
        </w:rPr>
        <w:t xml:space="preserve"> </w:t>
      </w:r>
      <w:r w:rsidRPr="00281602">
        <w:rPr>
          <w:rFonts w:eastAsia="Calibri"/>
          <w:sz w:val="22"/>
          <w:szCs w:val="22"/>
          <w:lang w:eastAsia="en-US"/>
        </w:rPr>
        <w:t>Т. Трубилина</w:t>
      </w:r>
    </w:p>
    <w:p w:rsidR="00B36597" w:rsidRDefault="00B36597" w:rsidP="00B36597">
      <w:pPr>
        <w:jc w:val="both"/>
        <w:rPr>
          <w:rFonts w:eastAsia="Calibri"/>
          <w:sz w:val="22"/>
          <w:szCs w:val="22"/>
          <w:lang w:eastAsia="en-US"/>
        </w:rPr>
      </w:pPr>
    </w:p>
    <w:p w:rsidR="00D81B1A" w:rsidRPr="00913431" w:rsidRDefault="00B36597" w:rsidP="00913431">
      <w:pPr>
        <w:ind w:firstLine="426"/>
        <w:jc w:val="both"/>
        <w:rPr>
          <w:rFonts w:eastAsia="Calibri"/>
          <w:sz w:val="22"/>
          <w:szCs w:val="22"/>
          <w:lang w:eastAsia="en-US"/>
        </w:rPr>
      </w:pPr>
      <w:r w:rsidRPr="00913431">
        <w:rPr>
          <w:rFonts w:eastAsia="Calibri"/>
          <w:sz w:val="22"/>
          <w:szCs w:val="22"/>
          <w:lang w:eastAsia="en-US"/>
        </w:rPr>
        <w:t>АННОТАЦИЯ</w:t>
      </w:r>
      <w:r w:rsidR="00D81B1A" w:rsidRPr="00913431">
        <w:rPr>
          <w:rFonts w:eastAsia="Calibri"/>
          <w:sz w:val="22"/>
          <w:szCs w:val="22"/>
          <w:lang w:eastAsia="en-US"/>
        </w:rPr>
        <w:t>:</w:t>
      </w:r>
      <w:r w:rsidRPr="00913431">
        <w:rPr>
          <w:rFonts w:eastAsia="Calibri"/>
          <w:sz w:val="22"/>
          <w:szCs w:val="22"/>
          <w:lang w:eastAsia="en-US"/>
        </w:rPr>
        <w:t xml:space="preserve"> </w:t>
      </w:r>
      <w:r w:rsidR="00D81B1A" w:rsidRPr="00913431">
        <w:rPr>
          <w:rFonts w:eastAsia="Calibri"/>
          <w:sz w:val="22"/>
          <w:szCs w:val="22"/>
          <w:lang w:eastAsia="en-US"/>
        </w:rPr>
        <w:t>Изучена конструктивная схема большинства построенных в мире высотных зданий</w:t>
      </w:r>
      <w:proofErr w:type="gramStart"/>
      <w:r w:rsidR="00D81B1A" w:rsidRPr="00913431">
        <w:rPr>
          <w:rFonts w:eastAsia="Calibri"/>
          <w:sz w:val="22"/>
          <w:szCs w:val="22"/>
          <w:lang w:eastAsia="en-US"/>
        </w:rPr>
        <w:t xml:space="preserve"> .</w:t>
      </w:r>
      <w:proofErr w:type="gramEnd"/>
      <w:r w:rsidR="00D81B1A" w:rsidRPr="00913431">
        <w:rPr>
          <w:rFonts w:eastAsia="Calibri"/>
          <w:sz w:val="22"/>
          <w:szCs w:val="22"/>
          <w:lang w:eastAsia="en-US"/>
        </w:rPr>
        <w:t>Представлен исходный принцип моделирования в.з.</w:t>
      </w:r>
      <w:r w:rsidRPr="00913431">
        <w:rPr>
          <w:rFonts w:eastAsia="Calibri"/>
          <w:sz w:val="22"/>
          <w:szCs w:val="22"/>
          <w:lang w:eastAsia="en-US"/>
        </w:rPr>
        <w:t xml:space="preserve"> </w:t>
      </w:r>
      <w:r w:rsidR="00D81B1A" w:rsidRPr="00913431">
        <w:rPr>
          <w:rFonts w:eastAsia="Calibri"/>
          <w:sz w:val="22"/>
          <w:szCs w:val="22"/>
          <w:lang w:eastAsia="en-US"/>
        </w:rPr>
        <w:t>Показаны принципы формообразов</w:t>
      </w:r>
      <w:r w:rsidR="00D81B1A" w:rsidRPr="00913431">
        <w:rPr>
          <w:rFonts w:eastAsia="Calibri"/>
          <w:sz w:val="22"/>
          <w:szCs w:val="22"/>
          <w:lang w:eastAsia="en-US"/>
        </w:rPr>
        <w:t>а</w:t>
      </w:r>
      <w:r w:rsidR="00D81B1A" w:rsidRPr="00913431">
        <w:rPr>
          <w:rFonts w:eastAsia="Calibri"/>
          <w:sz w:val="22"/>
          <w:szCs w:val="22"/>
          <w:lang w:eastAsia="en-US"/>
        </w:rPr>
        <w:t>ния атриумных сооружений</w:t>
      </w:r>
      <w:proofErr w:type="gramStart"/>
      <w:r w:rsidR="00D81B1A" w:rsidRPr="00913431">
        <w:rPr>
          <w:rFonts w:eastAsia="Calibri"/>
          <w:sz w:val="22"/>
          <w:szCs w:val="22"/>
          <w:lang w:eastAsia="en-US"/>
        </w:rPr>
        <w:t xml:space="preserve"> ,</w:t>
      </w:r>
      <w:proofErr w:type="gramEnd"/>
      <w:r w:rsidR="00D81B1A" w:rsidRPr="00913431">
        <w:rPr>
          <w:rFonts w:eastAsia="Calibri"/>
          <w:sz w:val="22"/>
          <w:szCs w:val="22"/>
          <w:lang w:eastAsia="en-US"/>
        </w:rPr>
        <w:t>эволюция архитектурных форм ,формы и вид высотных зданий в России</w:t>
      </w:r>
      <w:r w:rsidR="00913431" w:rsidRPr="00913431">
        <w:rPr>
          <w:rFonts w:eastAsia="Calibri"/>
          <w:sz w:val="22"/>
          <w:szCs w:val="22"/>
          <w:lang w:eastAsia="en-US"/>
        </w:rPr>
        <w:t>.</w:t>
      </w:r>
      <w:r w:rsidR="00D81B1A" w:rsidRPr="00913431">
        <w:rPr>
          <w:rFonts w:eastAsia="Calibri"/>
          <w:sz w:val="22"/>
          <w:szCs w:val="22"/>
          <w:lang w:eastAsia="en-US"/>
        </w:rPr>
        <w:t xml:space="preserve"> </w:t>
      </w:r>
    </w:p>
    <w:p w:rsidR="00D81B1A" w:rsidRPr="00913431" w:rsidRDefault="00913431" w:rsidP="00913431">
      <w:pPr>
        <w:ind w:firstLine="426"/>
        <w:jc w:val="both"/>
        <w:rPr>
          <w:rFonts w:eastAsia="Calibri"/>
          <w:sz w:val="22"/>
          <w:szCs w:val="22"/>
          <w:lang w:val="en-US" w:eastAsia="en-US"/>
        </w:rPr>
      </w:pPr>
      <w:r w:rsidRPr="00913431">
        <w:rPr>
          <w:rFonts w:eastAsia="Calibri"/>
          <w:sz w:val="22"/>
          <w:szCs w:val="22"/>
          <w:lang w:val="en-US" w:eastAsia="en-US"/>
        </w:rPr>
        <w:t>ABSTRACT</w:t>
      </w:r>
      <w:r w:rsidR="00D81B1A" w:rsidRPr="00913431">
        <w:rPr>
          <w:rFonts w:eastAsia="Calibri"/>
          <w:sz w:val="22"/>
          <w:szCs w:val="22"/>
          <w:lang w:val="en-US" w:eastAsia="en-US"/>
        </w:rPr>
        <w:t>:</w:t>
      </w:r>
      <w:r w:rsidRPr="00913431">
        <w:rPr>
          <w:rFonts w:eastAsia="Calibri"/>
          <w:sz w:val="22"/>
          <w:szCs w:val="22"/>
          <w:lang w:val="en-US" w:eastAsia="en-US"/>
        </w:rPr>
        <w:t xml:space="preserve"> </w:t>
      </w:r>
      <w:r w:rsidR="00D81B1A" w:rsidRPr="00D81B1A">
        <w:rPr>
          <w:rFonts w:eastAsia="Calibri"/>
          <w:sz w:val="22"/>
          <w:szCs w:val="22"/>
          <w:lang w:val="en-US" w:eastAsia="en-US"/>
        </w:rPr>
        <w:t xml:space="preserve">The constructive scheme of the majority of high-rise </w:t>
      </w:r>
      <w:proofErr w:type="gramStart"/>
      <w:r w:rsidR="00D81B1A" w:rsidRPr="00D81B1A">
        <w:rPr>
          <w:rFonts w:eastAsia="Calibri"/>
          <w:sz w:val="22"/>
          <w:szCs w:val="22"/>
          <w:lang w:val="en-US" w:eastAsia="en-US"/>
        </w:rPr>
        <w:t>buildings  constructed</w:t>
      </w:r>
      <w:proofErr w:type="gramEnd"/>
      <w:r w:rsidR="00D81B1A" w:rsidRPr="00D81B1A">
        <w:rPr>
          <w:rFonts w:eastAsia="Calibri"/>
          <w:sz w:val="22"/>
          <w:szCs w:val="22"/>
          <w:lang w:val="en-US" w:eastAsia="en-US"/>
        </w:rPr>
        <w:t xml:space="preserve"> in the world is studied .Presents the basic princ</w:t>
      </w:r>
      <w:r w:rsidR="00D81B1A" w:rsidRPr="00D81B1A">
        <w:rPr>
          <w:rFonts w:eastAsia="Calibri"/>
          <w:sz w:val="22"/>
          <w:szCs w:val="22"/>
          <w:lang w:val="en-US" w:eastAsia="en-US"/>
        </w:rPr>
        <w:t>i</w:t>
      </w:r>
      <w:r w:rsidR="00D81B1A" w:rsidRPr="00D81B1A">
        <w:rPr>
          <w:rFonts w:eastAsia="Calibri"/>
          <w:sz w:val="22"/>
          <w:szCs w:val="22"/>
          <w:lang w:val="en-US" w:eastAsia="en-US"/>
        </w:rPr>
        <w:t>ple in simulation V. s.</w:t>
      </w:r>
      <w:r w:rsidRPr="00913431">
        <w:rPr>
          <w:rFonts w:eastAsia="Calibri"/>
          <w:sz w:val="22"/>
          <w:szCs w:val="22"/>
          <w:lang w:val="en-US" w:eastAsia="en-US"/>
        </w:rPr>
        <w:t xml:space="preserve"> </w:t>
      </w:r>
      <w:r w:rsidR="00D81B1A" w:rsidRPr="00D81B1A">
        <w:rPr>
          <w:rFonts w:eastAsia="Calibri"/>
          <w:sz w:val="22"/>
          <w:szCs w:val="22"/>
          <w:lang w:val="en-US" w:eastAsia="en-US"/>
        </w:rPr>
        <w:t>It is shown that the principles of atrium buildings forming, evolution of architectural forms, forms and type of high-rise buildings in Russia</w:t>
      </w:r>
      <w:r w:rsidRPr="00913431">
        <w:rPr>
          <w:rFonts w:eastAsia="Calibri"/>
          <w:sz w:val="22"/>
          <w:szCs w:val="22"/>
          <w:lang w:val="en-US" w:eastAsia="en-US"/>
        </w:rPr>
        <w:t>.</w:t>
      </w:r>
    </w:p>
    <w:p w:rsidR="00D81B1A" w:rsidRPr="00D81B1A" w:rsidRDefault="00913431" w:rsidP="00913431">
      <w:pPr>
        <w:ind w:firstLine="426"/>
        <w:jc w:val="both"/>
        <w:rPr>
          <w:rFonts w:eastAsia="Calibri"/>
          <w:sz w:val="22"/>
          <w:szCs w:val="22"/>
          <w:lang w:eastAsia="en-US"/>
        </w:rPr>
      </w:pPr>
      <w:r>
        <w:rPr>
          <w:rFonts w:eastAsia="Calibri"/>
          <w:sz w:val="22"/>
          <w:szCs w:val="22"/>
          <w:lang w:eastAsia="en-US"/>
        </w:rPr>
        <w:t>КЛЮЧЕВЫЕ СЛОВА: высотные здания</w:t>
      </w:r>
      <w:r w:rsidR="00D81B1A" w:rsidRPr="00D81B1A">
        <w:rPr>
          <w:rFonts w:eastAsia="Calibri"/>
          <w:sz w:val="22"/>
          <w:szCs w:val="22"/>
          <w:lang w:eastAsia="en-US"/>
        </w:rPr>
        <w:t>,</w:t>
      </w:r>
      <w:r>
        <w:rPr>
          <w:rFonts w:eastAsia="Calibri"/>
          <w:sz w:val="22"/>
          <w:szCs w:val="22"/>
          <w:lang w:eastAsia="en-US"/>
        </w:rPr>
        <w:t xml:space="preserve"> атриум</w:t>
      </w:r>
      <w:r w:rsidR="00D81B1A" w:rsidRPr="00D81B1A">
        <w:rPr>
          <w:rFonts w:eastAsia="Calibri"/>
          <w:sz w:val="22"/>
          <w:szCs w:val="22"/>
          <w:lang w:eastAsia="en-US"/>
        </w:rPr>
        <w:t>,</w:t>
      </w:r>
      <w:r>
        <w:rPr>
          <w:rFonts w:eastAsia="Calibri"/>
          <w:sz w:val="22"/>
          <w:szCs w:val="22"/>
          <w:lang w:eastAsia="en-US"/>
        </w:rPr>
        <w:t xml:space="preserve"> фасад</w:t>
      </w:r>
      <w:r w:rsidR="00D81B1A" w:rsidRPr="00D81B1A">
        <w:rPr>
          <w:rFonts w:eastAsia="Calibri"/>
          <w:sz w:val="22"/>
          <w:szCs w:val="22"/>
          <w:lang w:eastAsia="en-US"/>
        </w:rPr>
        <w:t>,</w:t>
      </w:r>
      <w:r>
        <w:rPr>
          <w:rFonts w:eastAsia="Calibri"/>
          <w:sz w:val="22"/>
          <w:szCs w:val="22"/>
          <w:lang w:eastAsia="en-US"/>
        </w:rPr>
        <w:t xml:space="preserve"> </w:t>
      </w:r>
      <w:r w:rsidR="00D81B1A" w:rsidRPr="00D81B1A">
        <w:rPr>
          <w:rFonts w:eastAsia="Calibri"/>
          <w:sz w:val="22"/>
          <w:szCs w:val="22"/>
          <w:lang w:eastAsia="en-US"/>
        </w:rPr>
        <w:t>фо</w:t>
      </w:r>
      <w:r w:rsidR="00D81B1A" w:rsidRPr="00D81B1A">
        <w:rPr>
          <w:rFonts w:eastAsia="Calibri"/>
          <w:sz w:val="22"/>
          <w:szCs w:val="22"/>
          <w:lang w:eastAsia="en-US"/>
        </w:rPr>
        <w:t>р</w:t>
      </w:r>
      <w:r w:rsidR="00D81B1A" w:rsidRPr="00D81B1A">
        <w:rPr>
          <w:rFonts w:eastAsia="Calibri"/>
          <w:sz w:val="22"/>
          <w:szCs w:val="22"/>
          <w:lang w:eastAsia="en-US"/>
        </w:rPr>
        <w:t>мообра</w:t>
      </w:r>
      <w:r>
        <w:rPr>
          <w:rFonts w:eastAsia="Calibri"/>
          <w:sz w:val="22"/>
          <w:szCs w:val="22"/>
          <w:lang w:eastAsia="en-US"/>
        </w:rPr>
        <w:t>зование</w:t>
      </w:r>
      <w:r w:rsidR="00D81B1A" w:rsidRPr="00D81B1A">
        <w:rPr>
          <w:rFonts w:eastAsia="Calibri"/>
          <w:sz w:val="22"/>
          <w:szCs w:val="22"/>
          <w:lang w:eastAsia="en-US"/>
        </w:rPr>
        <w:t>,</w:t>
      </w:r>
      <w:r>
        <w:rPr>
          <w:rFonts w:eastAsia="Calibri"/>
          <w:sz w:val="22"/>
          <w:szCs w:val="22"/>
          <w:lang w:eastAsia="en-US"/>
        </w:rPr>
        <w:t xml:space="preserve"> каркас</w:t>
      </w:r>
      <w:r w:rsidR="00D81B1A" w:rsidRPr="00D81B1A">
        <w:rPr>
          <w:rFonts w:eastAsia="Calibri"/>
          <w:sz w:val="22"/>
          <w:szCs w:val="22"/>
          <w:lang w:eastAsia="en-US"/>
        </w:rPr>
        <w:t>,</w:t>
      </w:r>
      <w:r>
        <w:rPr>
          <w:rFonts w:eastAsia="Calibri"/>
          <w:sz w:val="22"/>
          <w:szCs w:val="22"/>
          <w:lang w:eastAsia="en-US"/>
        </w:rPr>
        <w:t xml:space="preserve"> здание</w:t>
      </w:r>
      <w:r w:rsidR="00D81B1A" w:rsidRPr="00D81B1A">
        <w:rPr>
          <w:rFonts w:eastAsia="Calibri"/>
          <w:sz w:val="22"/>
          <w:szCs w:val="22"/>
          <w:lang w:eastAsia="en-US"/>
        </w:rPr>
        <w:t>,</w:t>
      </w:r>
      <w:r>
        <w:rPr>
          <w:rFonts w:eastAsia="Calibri"/>
          <w:sz w:val="22"/>
          <w:szCs w:val="22"/>
          <w:lang w:eastAsia="en-US"/>
        </w:rPr>
        <w:t xml:space="preserve"> </w:t>
      </w:r>
      <w:r w:rsidR="00D81B1A" w:rsidRPr="00D81B1A">
        <w:rPr>
          <w:rFonts w:eastAsia="Calibri"/>
          <w:sz w:val="22"/>
          <w:szCs w:val="22"/>
          <w:lang w:eastAsia="en-US"/>
        </w:rPr>
        <w:t>сооружения</w:t>
      </w:r>
      <w:r>
        <w:rPr>
          <w:rFonts w:eastAsia="Calibri"/>
          <w:sz w:val="22"/>
          <w:szCs w:val="22"/>
          <w:lang w:eastAsia="en-US"/>
        </w:rPr>
        <w:t>.</w:t>
      </w:r>
      <w:r w:rsidR="00D81B1A" w:rsidRPr="00D81B1A">
        <w:rPr>
          <w:rFonts w:eastAsia="Calibri"/>
          <w:sz w:val="22"/>
          <w:szCs w:val="22"/>
          <w:lang w:eastAsia="en-US"/>
        </w:rPr>
        <w:t xml:space="preserve"> </w:t>
      </w:r>
    </w:p>
    <w:p w:rsidR="00D81B1A" w:rsidRPr="00913431" w:rsidRDefault="00913431" w:rsidP="00913431">
      <w:pPr>
        <w:ind w:firstLine="426"/>
        <w:jc w:val="both"/>
        <w:rPr>
          <w:rFonts w:eastAsia="Calibri"/>
          <w:sz w:val="22"/>
          <w:szCs w:val="22"/>
          <w:lang w:val="en-US" w:eastAsia="en-US"/>
        </w:rPr>
      </w:pPr>
      <w:r>
        <w:rPr>
          <w:rFonts w:eastAsia="Calibri"/>
          <w:sz w:val="22"/>
          <w:szCs w:val="22"/>
          <w:lang w:val="en-US" w:eastAsia="en-US"/>
        </w:rPr>
        <w:t>KEYWORDS: high-rise buildings</w:t>
      </w:r>
      <w:r w:rsidR="00D81B1A" w:rsidRPr="00D81B1A">
        <w:rPr>
          <w:rFonts w:eastAsia="Calibri"/>
          <w:sz w:val="22"/>
          <w:szCs w:val="22"/>
          <w:lang w:val="en-US" w:eastAsia="en-US"/>
        </w:rPr>
        <w:t>,</w:t>
      </w:r>
      <w:r w:rsidRPr="00913431">
        <w:rPr>
          <w:rFonts w:eastAsia="Calibri"/>
          <w:sz w:val="22"/>
          <w:szCs w:val="22"/>
          <w:lang w:val="en-US" w:eastAsia="en-US"/>
        </w:rPr>
        <w:t xml:space="preserve"> </w:t>
      </w:r>
      <w:r>
        <w:rPr>
          <w:rFonts w:eastAsia="Calibri"/>
          <w:sz w:val="22"/>
          <w:szCs w:val="22"/>
          <w:lang w:val="en-US" w:eastAsia="en-US"/>
        </w:rPr>
        <w:t>atrium</w:t>
      </w:r>
      <w:r w:rsidR="00D81B1A" w:rsidRPr="00D81B1A">
        <w:rPr>
          <w:rFonts w:eastAsia="Calibri"/>
          <w:sz w:val="22"/>
          <w:szCs w:val="22"/>
          <w:lang w:val="en-US" w:eastAsia="en-US"/>
        </w:rPr>
        <w:t>,</w:t>
      </w:r>
      <w:r w:rsidRPr="00913431">
        <w:rPr>
          <w:rFonts w:eastAsia="Calibri"/>
          <w:sz w:val="22"/>
          <w:szCs w:val="22"/>
          <w:lang w:val="en-US" w:eastAsia="en-US"/>
        </w:rPr>
        <w:t xml:space="preserve"> </w:t>
      </w:r>
      <w:r w:rsidR="00D81B1A" w:rsidRPr="00D81B1A">
        <w:rPr>
          <w:rFonts w:eastAsia="Calibri"/>
          <w:sz w:val="22"/>
          <w:szCs w:val="22"/>
          <w:lang w:val="en-US" w:eastAsia="en-US"/>
        </w:rPr>
        <w:t>fac</w:t>
      </w:r>
      <w:r>
        <w:rPr>
          <w:rFonts w:eastAsia="Calibri"/>
          <w:sz w:val="22"/>
          <w:szCs w:val="22"/>
          <w:lang w:val="en-US" w:eastAsia="en-US"/>
        </w:rPr>
        <w:t>es</w:t>
      </w:r>
      <w:r w:rsidR="00D81B1A" w:rsidRPr="00D81B1A">
        <w:rPr>
          <w:rFonts w:eastAsia="Calibri"/>
          <w:sz w:val="22"/>
          <w:szCs w:val="22"/>
          <w:lang w:val="en-US" w:eastAsia="en-US"/>
        </w:rPr>
        <w:t>,</w:t>
      </w:r>
      <w:r w:rsidRPr="00913431">
        <w:rPr>
          <w:rFonts w:eastAsia="Calibri"/>
          <w:sz w:val="22"/>
          <w:szCs w:val="22"/>
          <w:lang w:val="en-US" w:eastAsia="en-US"/>
        </w:rPr>
        <w:t xml:space="preserve"> </w:t>
      </w:r>
      <w:r>
        <w:rPr>
          <w:rFonts w:eastAsia="Calibri"/>
          <w:sz w:val="22"/>
          <w:szCs w:val="22"/>
          <w:lang w:val="en-US" w:eastAsia="en-US"/>
        </w:rPr>
        <w:t>formoobr</w:t>
      </w:r>
      <w:r>
        <w:rPr>
          <w:rFonts w:eastAsia="Calibri"/>
          <w:sz w:val="22"/>
          <w:szCs w:val="22"/>
          <w:lang w:val="en-US" w:eastAsia="en-US"/>
        </w:rPr>
        <w:t>a</w:t>
      </w:r>
      <w:r>
        <w:rPr>
          <w:rFonts w:eastAsia="Calibri"/>
          <w:sz w:val="22"/>
          <w:szCs w:val="22"/>
          <w:lang w:val="en-US" w:eastAsia="en-US"/>
        </w:rPr>
        <w:t>zovanie</w:t>
      </w:r>
      <w:r w:rsidR="00D81B1A" w:rsidRPr="00D81B1A">
        <w:rPr>
          <w:rFonts w:eastAsia="Calibri"/>
          <w:sz w:val="22"/>
          <w:szCs w:val="22"/>
          <w:lang w:val="en-US" w:eastAsia="en-US"/>
        </w:rPr>
        <w:t>,</w:t>
      </w:r>
      <w:r w:rsidRPr="00913431">
        <w:rPr>
          <w:rFonts w:eastAsia="Calibri"/>
          <w:sz w:val="22"/>
          <w:szCs w:val="22"/>
          <w:lang w:val="en-US" w:eastAsia="en-US"/>
        </w:rPr>
        <w:t xml:space="preserve"> </w:t>
      </w:r>
      <w:r>
        <w:rPr>
          <w:rFonts w:eastAsia="Calibri"/>
          <w:sz w:val="22"/>
          <w:szCs w:val="22"/>
          <w:lang w:val="en-US" w:eastAsia="en-US"/>
        </w:rPr>
        <w:t>frame</w:t>
      </w:r>
      <w:r w:rsidR="00D81B1A" w:rsidRPr="00D81B1A">
        <w:rPr>
          <w:rFonts w:eastAsia="Calibri"/>
          <w:sz w:val="22"/>
          <w:szCs w:val="22"/>
          <w:lang w:val="en-US" w:eastAsia="en-US"/>
        </w:rPr>
        <w:t>,</w:t>
      </w:r>
      <w:r w:rsidRPr="00913431">
        <w:rPr>
          <w:rFonts w:eastAsia="Calibri"/>
          <w:sz w:val="22"/>
          <w:szCs w:val="22"/>
          <w:lang w:val="en-US" w:eastAsia="en-US"/>
        </w:rPr>
        <w:t xml:space="preserve"> </w:t>
      </w:r>
      <w:r w:rsidR="00D81B1A" w:rsidRPr="00D81B1A">
        <w:rPr>
          <w:rFonts w:eastAsia="Calibri"/>
          <w:sz w:val="22"/>
          <w:szCs w:val="22"/>
          <w:lang w:val="en-US" w:eastAsia="en-US"/>
        </w:rPr>
        <w:t>the building structure</w:t>
      </w:r>
      <w:r w:rsidRPr="00913431">
        <w:rPr>
          <w:rFonts w:eastAsia="Calibri"/>
          <w:sz w:val="22"/>
          <w:szCs w:val="22"/>
          <w:lang w:val="en-US" w:eastAsia="en-US"/>
        </w:rPr>
        <w:t>.</w:t>
      </w:r>
    </w:p>
    <w:p w:rsidR="00D81B1A" w:rsidRPr="00D81B1A" w:rsidRDefault="00D81B1A" w:rsidP="00913431">
      <w:pPr>
        <w:ind w:firstLine="426"/>
        <w:jc w:val="both"/>
        <w:rPr>
          <w:rFonts w:eastAsia="Calibri"/>
          <w:sz w:val="22"/>
          <w:szCs w:val="22"/>
          <w:lang w:val="en-US" w:eastAsia="en-US"/>
        </w:rPr>
      </w:pP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Архитектура воздействует визуально воспринимаемыми вне</w:t>
      </w:r>
      <w:r w:rsidRPr="00D81B1A">
        <w:rPr>
          <w:rFonts w:eastAsia="Calibri"/>
          <w:sz w:val="22"/>
          <w:szCs w:val="22"/>
          <w:lang w:eastAsia="en-US"/>
        </w:rPr>
        <w:t>ш</w:t>
      </w:r>
      <w:r w:rsidRPr="00D81B1A">
        <w:rPr>
          <w:rFonts w:eastAsia="Calibri"/>
          <w:sz w:val="22"/>
          <w:szCs w:val="22"/>
          <w:lang w:eastAsia="en-US"/>
        </w:rPr>
        <w:t xml:space="preserve">ними формами, художественно-эстетическое </w:t>
      </w:r>
      <w:proofErr w:type="gramStart"/>
      <w:r w:rsidRPr="00D81B1A">
        <w:rPr>
          <w:rFonts w:eastAsia="Calibri"/>
          <w:sz w:val="22"/>
          <w:szCs w:val="22"/>
          <w:lang w:eastAsia="en-US"/>
        </w:rPr>
        <w:t>богатство</w:t>
      </w:r>
      <w:proofErr w:type="gramEnd"/>
      <w:r w:rsidRPr="00D81B1A">
        <w:rPr>
          <w:rFonts w:eastAsia="Calibri"/>
          <w:sz w:val="22"/>
          <w:szCs w:val="22"/>
          <w:lang w:eastAsia="en-US"/>
        </w:rPr>
        <w:t xml:space="preserve"> которых определяет богатство мироощущения человека. Поэтому одна из злободневных задач - избавление архитектуры от избитых «клише», провозглашенных давным-давно и долгие десятилетия насажда</w:t>
      </w:r>
      <w:r w:rsidRPr="00D81B1A">
        <w:rPr>
          <w:rFonts w:eastAsia="Calibri"/>
          <w:sz w:val="22"/>
          <w:szCs w:val="22"/>
          <w:lang w:eastAsia="en-US"/>
        </w:rPr>
        <w:t>е</w:t>
      </w:r>
      <w:r w:rsidRPr="00D81B1A">
        <w:rPr>
          <w:rFonts w:eastAsia="Calibri"/>
          <w:sz w:val="22"/>
          <w:szCs w:val="22"/>
          <w:lang w:eastAsia="en-US"/>
        </w:rPr>
        <w:t>мых теоретиками в качестве незыблемых базовых композиционных принципов архитектурного формообразования.</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Авторами предложен новый подход к структурному формоо</w:t>
      </w:r>
      <w:r w:rsidRPr="00D81B1A">
        <w:rPr>
          <w:rFonts w:eastAsia="Calibri"/>
          <w:sz w:val="22"/>
          <w:szCs w:val="22"/>
          <w:lang w:eastAsia="en-US"/>
        </w:rPr>
        <w:t>б</w:t>
      </w:r>
      <w:r w:rsidRPr="00D81B1A">
        <w:rPr>
          <w:rFonts w:eastAsia="Calibri"/>
          <w:sz w:val="22"/>
          <w:szCs w:val="22"/>
          <w:lang w:eastAsia="en-US"/>
        </w:rPr>
        <w:t>разованию внешних оболочек высотных зданий, моделируемых вне зависимости от конструктивно-тектонических схем и внутреннего функционально-утилитарного наполнения последних.</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Обобщенная базовая форма оболочки высотного здания мод</w:t>
      </w:r>
      <w:r w:rsidRPr="00D81B1A">
        <w:rPr>
          <w:rFonts w:eastAsia="Calibri"/>
          <w:sz w:val="22"/>
          <w:szCs w:val="22"/>
          <w:lang w:eastAsia="en-US"/>
        </w:rPr>
        <w:t>е</w:t>
      </w:r>
      <w:r w:rsidRPr="00D81B1A">
        <w:rPr>
          <w:rFonts w:eastAsia="Calibri"/>
          <w:sz w:val="22"/>
          <w:szCs w:val="22"/>
          <w:lang w:eastAsia="en-US"/>
        </w:rPr>
        <w:t>лируется путем преобразования простейших исходных форм. Вм</w:t>
      </w:r>
      <w:r w:rsidRPr="00D81B1A">
        <w:rPr>
          <w:rFonts w:eastAsia="Calibri"/>
          <w:sz w:val="22"/>
          <w:szCs w:val="22"/>
          <w:lang w:eastAsia="en-US"/>
        </w:rPr>
        <w:t>е</w:t>
      </w:r>
      <w:r w:rsidRPr="00D81B1A">
        <w:rPr>
          <w:rFonts w:eastAsia="Calibri"/>
          <w:sz w:val="22"/>
          <w:szCs w:val="22"/>
          <w:lang w:eastAsia="en-US"/>
        </w:rPr>
        <w:t>сте с тем, в качестве обобщенной базовой формы оболочки высо</w:t>
      </w:r>
      <w:r w:rsidRPr="00D81B1A">
        <w:rPr>
          <w:rFonts w:eastAsia="Calibri"/>
          <w:sz w:val="22"/>
          <w:szCs w:val="22"/>
          <w:lang w:eastAsia="en-US"/>
        </w:rPr>
        <w:t>т</w:t>
      </w:r>
      <w:r w:rsidRPr="00D81B1A">
        <w:rPr>
          <w:rFonts w:eastAsia="Calibri"/>
          <w:sz w:val="22"/>
          <w:szCs w:val="22"/>
          <w:lang w:eastAsia="en-US"/>
        </w:rPr>
        <w:t>ного здания может быть изначально выбрана какая-либо просте</w:t>
      </w:r>
      <w:r w:rsidRPr="00D81B1A">
        <w:rPr>
          <w:rFonts w:eastAsia="Calibri"/>
          <w:sz w:val="22"/>
          <w:szCs w:val="22"/>
          <w:lang w:eastAsia="en-US"/>
        </w:rPr>
        <w:t>й</w:t>
      </w:r>
      <w:r w:rsidRPr="00D81B1A">
        <w:rPr>
          <w:rFonts w:eastAsia="Calibri"/>
          <w:sz w:val="22"/>
          <w:szCs w:val="22"/>
          <w:lang w:eastAsia="en-US"/>
        </w:rPr>
        <w:t>шая исходная форма без ее дальнейшего преобразования.</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Можно выделить три основных последовательных этапа смены общих формообразующих концепций, композиционных принципов и приемов моделирования оболочек высотных зданий</w:t>
      </w:r>
      <w:r w:rsidR="00913431">
        <w:rPr>
          <w:rFonts w:eastAsia="Calibri"/>
          <w:sz w:val="22"/>
          <w:szCs w:val="22"/>
          <w:lang w:eastAsia="en-US"/>
        </w:rPr>
        <w:t>.</w:t>
      </w:r>
    </w:p>
    <w:p w:rsidR="00D81B1A" w:rsidRPr="00D81B1A" w:rsidRDefault="00913431" w:rsidP="00913431">
      <w:pPr>
        <w:ind w:firstLine="426"/>
        <w:jc w:val="both"/>
        <w:rPr>
          <w:rFonts w:eastAsia="Calibri"/>
          <w:sz w:val="22"/>
          <w:szCs w:val="22"/>
          <w:lang w:eastAsia="en-US"/>
        </w:rPr>
      </w:pPr>
      <w:r>
        <w:rPr>
          <w:rFonts w:eastAsia="Calibri"/>
          <w:sz w:val="22"/>
          <w:szCs w:val="22"/>
          <w:lang w:eastAsia="en-US"/>
        </w:rPr>
        <w:t xml:space="preserve">Первый: </w:t>
      </w:r>
      <w:r w:rsidR="00D81B1A" w:rsidRPr="00D81B1A">
        <w:rPr>
          <w:rFonts w:eastAsia="Calibri"/>
          <w:sz w:val="22"/>
          <w:szCs w:val="22"/>
          <w:lang w:eastAsia="en-US"/>
        </w:rPr>
        <w:t>Историческая/эклектическая формотворческая пар</w:t>
      </w:r>
      <w:r w:rsidR="00D81B1A" w:rsidRPr="00D81B1A">
        <w:rPr>
          <w:rFonts w:eastAsia="Calibri"/>
          <w:sz w:val="22"/>
          <w:szCs w:val="22"/>
          <w:lang w:eastAsia="en-US"/>
        </w:rPr>
        <w:t>а</w:t>
      </w:r>
      <w:r w:rsidR="00D81B1A" w:rsidRPr="00D81B1A">
        <w:rPr>
          <w:rFonts w:eastAsia="Calibri"/>
          <w:sz w:val="22"/>
          <w:szCs w:val="22"/>
          <w:lang w:eastAsia="en-US"/>
        </w:rPr>
        <w:t>дигма композиционно-художественного развития высотной арх</w:t>
      </w:r>
      <w:r w:rsidR="00D81B1A" w:rsidRPr="00D81B1A">
        <w:rPr>
          <w:rFonts w:eastAsia="Calibri"/>
          <w:sz w:val="22"/>
          <w:szCs w:val="22"/>
          <w:lang w:eastAsia="en-US"/>
        </w:rPr>
        <w:t>и</w:t>
      </w:r>
      <w:r w:rsidR="00D81B1A" w:rsidRPr="00D81B1A">
        <w:rPr>
          <w:rFonts w:eastAsia="Calibri"/>
          <w:sz w:val="22"/>
          <w:szCs w:val="22"/>
          <w:lang w:eastAsia="en-US"/>
        </w:rPr>
        <w:t>тектуры (конец XIX –</w:t>
      </w:r>
      <w:r>
        <w:rPr>
          <w:rFonts w:eastAsia="Calibri"/>
          <w:sz w:val="22"/>
          <w:szCs w:val="22"/>
          <w:lang w:eastAsia="en-US"/>
        </w:rPr>
        <w:t xml:space="preserve"> начало XXI в.).</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xml:space="preserve">Характерные морфологические черты первой парадигмы: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богатая, активная, пластически насыщенная орнаментально-декоративная разработка боковых поверхностей и элементов заве</w:t>
      </w:r>
      <w:r w:rsidRPr="00D81B1A">
        <w:rPr>
          <w:rFonts w:eastAsia="Calibri"/>
          <w:sz w:val="22"/>
          <w:szCs w:val="22"/>
          <w:lang w:eastAsia="en-US"/>
        </w:rPr>
        <w:t>р</w:t>
      </w:r>
      <w:r w:rsidRPr="00D81B1A">
        <w:rPr>
          <w:rFonts w:eastAsia="Calibri"/>
          <w:sz w:val="22"/>
          <w:szCs w:val="22"/>
          <w:lang w:eastAsia="en-US"/>
        </w:rPr>
        <w:t xml:space="preserve">шения простейших призматических основных объемов;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профилирование боковых поверхностей основных объемов вертикальными эркерами, пилонами, пилястрами, складками, ре</w:t>
      </w:r>
      <w:r w:rsidRPr="00D81B1A">
        <w:rPr>
          <w:rFonts w:eastAsia="Calibri"/>
          <w:sz w:val="22"/>
          <w:szCs w:val="22"/>
          <w:lang w:eastAsia="en-US"/>
        </w:rPr>
        <w:t>б</w:t>
      </w:r>
      <w:r w:rsidRPr="00D81B1A">
        <w:rPr>
          <w:rFonts w:eastAsia="Calibri"/>
          <w:sz w:val="22"/>
          <w:szCs w:val="22"/>
          <w:lang w:eastAsia="en-US"/>
        </w:rPr>
        <w:t xml:space="preserve">рами, каннелюрами, рустом и проч.;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xml:space="preserve">• многоярусное построение структуры основных объемов по телескопическому принципу;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использование в объемно-планировочном и декоративно-пластическом решении здания архитектурных мотивов и стилеобр</w:t>
      </w:r>
      <w:r w:rsidRPr="00D81B1A">
        <w:rPr>
          <w:rFonts w:eastAsia="Calibri"/>
          <w:sz w:val="22"/>
          <w:szCs w:val="22"/>
          <w:lang w:eastAsia="en-US"/>
        </w:rPr>
        <w:t>а</w:t>
      </w:r>
      <w:r w:rsidRPr="00D81B1A">
        <w:rPr>
          <w:rFonts w:eastAsia="Calibri"/>
          <w:sz w:val="22"/>
          <w:szCs w:val="22"/>
          <w:lang w:eastAsia="en-US"/>
        </w:rPr>
        <w:t xml:space="preserve">зующих элементов прошлых эпох: готики, барокко, классицизма и др. (в т. ч. деталей декора и элементов ордерных систем);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широкое использование шпилеобразных и шатровых заве</w:t>
      </w:r>
      <w:r w:rsidRPr="00D81B1A">
        <w:rPr>
          <w:rFonts w:eastAsia="Calibri"/>
          <w:sz w:val="22"/>
          <w:szCs w:val="22"/>
          <w:lang w:eastAsia="en-US"/>
        </w:rPr>
        <w:t>р</w:t>
      </w:r>
      <w:r w:rsidRPr="00D81B1A">
        <w:rPr>
          <w:rFonts w:eastAsia="Calibri"/>
          <w:sz w:val="22"/>
          <w:szCs w:val="22"/>
          <w:lang w:eastAsia="en-US"/>
        </w:rPr>
        <w:t>шений основных объемов.</w:t>
      </w:r>
    </w:p>
    <w:p w:rsidR="00D81B1A" w:rsidRPr="00D81B1A" w:rsidRDefault="00913431" w:rsidP="00913431">
      <w:pPr>
        <w:ind w:firstLine="426"/>
        <w:jc w:val="both"/>
        <w:rPr>
          <w:rFonts w:eastAsia="Calibri"/>
          <w:sz w:val="22"/>
          <w:szCs w:val="22"/>
          <w:lang w:eastAsia="en-US"/>
        </w:rPr>
      </w:pPr>
      <w:proofErr w:type="gramStart"/>
      <w:r>
        <w:rPr>
          <w:rFonts w:eastAsia="Calibri"/>
          <w:sz w:val="22"/>
          <w:szCs w:val="22"/>
          <w:lang w:eastAsia="en-US"/>
        </w:rPr>
        <w:lastRenderedPageBreak/>
        <w:t>К нему относятся</w:t>
      </w:r>
      <w:r w:rsidR="00D81B1A" w:rsidRPr="00D81B1A">
        <w:rPr>
          <w:rFonts w:eastAsia="Calibri"/>
          <w:sz w:val="22"/>
          <w:szCs w:val="22"/>
          <w:lang w:eastAsia="en-US"/>
        </w:rPr>
        <w:t>: орнаментально-декоративная разработка ф</w:t>
      </w:r>
      <w:r w:rsidR="00D81B1A" w:rsidRPr="00D81B1A">
        <w:rPr>
          <w:rFonts w:eastAsia="Calibri"/>
          <w:sz w:val="22"/>
          <w:szCs w:val="22"/>
          <w:lang w:eastAsia="en-US"/>
        </w:rPr>
        <w:t>а</w:t>
      </w:r>
      <w:r w:rsidR="00D81B1A" w:rsidRPr="00D81B1A">
        <w:rPr>
          <w:rFonts w:eastAsia="Calibri"/>
          <w:sz w:val="22"/>
          <w:szCs w:val="22"/>
          <w:lang w:eastAsia="en-US"/>
        </w:rPr>
        <w:t>садов простейших призматических базовых форм (первые высотные здания Чикаго и Нью-Йорка к. XIX-H.</w:t>
      </w:r>
      <w:proofErr w:type="gramEnd"/>
      <w:r w:rsidR="00D81B1A" w:rsidRPr="00D81B1A">
        <w:rPr>
          <w:rFonts w:eastAsia="Calibri"/>
          <w:sz w:val="22"/>
          <w:szCs w:val="22"/>
          <w:lang w:eastAsia="en-US"/>
        </w:rPr>
        <w:t xml:space="preserve"> </w:t>
      </w:r>
      <w:proofErr w:type="gramStart"/>
      <w:r w:rsidR="00D81B1A" w:rsidRPr="00D81B1A">
        <w:rPr>
          <w:rFonts w:eastAsia="Calibri"/>
          <w:sz w:val="22"/>
          <w:szCs w:val="22"/>
          <w:lang w:eastAsia="en-US"/>
        </w:rPr>
        <w:t>XX вв.).</w:t>
      </w:r>
      <w:proofErr w:type="gramEnd"/>
    </w:p>
    <w:p w:rsidR="00D81B1A" w:rsidRPr="00D81B1A" w:rsidRDefault="00D81B1A" w:rsidP="00913431">
      <w:pPr>
        <w:ind w:firstLine="426"/>
        <w:jc w:val="both"/>
        <w:rPr>
          <w:rFonts w:eastAsia="Calibri"/>
          <w:sz w:val="22"/>
          <w:szCs w:val="22"/>
          <w:lang w:eastAsia="en-US"/>
        </w:rPr>
      </w:pPr>
      <w:proofErr w:type="gramStart"/>
      <w:r w:rsidRPr="00D81B1A">
        <w:rPr>
          <w:rFonts w:eastAsia="Calibri"/>
          <w:sz w:val="22"/>
          <w:szCs w:val="22"/>
          <w:lang w:eastAsia="en-US"/>
        </w:rPr>
        <w:t>Второй этап - структурное преобразование простейших при</w:t>
      </w:r>
      <w:r w:rsidRPr="00D81B1A">
        <w:rPr>
          <w:rFonts w:eastAsia="Calibri"/>
          <w:sz w:val="22"/>
          <w:szCs w:val="22"/>
          <w:lang w:eastAsia="en-US"/>
        </w:rPr>
        <w:t>з</w:t>
      </w:r>
      <w:r w:rsidRPr="00D81B1A">
        <w:rPr>
          <w:rFonts w:eastAsia="Calibri"/>
          <w:sz w:val="22"/>
          <w:szCs w:val="22"/>
          <w:lang w:eastAsia="en-US"/>
        </w:rPr>
        <w:t>матических базовых форм путем отсечения их фрагментов или пр</w:t>
      </w:r>
      <w:r w:rsidRPr="00D81B1A">
        <w:rPr>
          <w:rFonts w:eastAsia="Calibri"/>
          <w:sz w:val="22"/>
          <w:szCs w:val="22"/>
          <w:lang w:eastAsia="en-US"/>
        </w:rPr>
        <w:t>и</w:t>
      </w:r>
      <w:r w:rsidRPr="00D81B1A">
        <w:rPr>
          <w:rFonts w:eastAsia="Calibri"/>
          <w:sz w:val="22"/>
          <w:szCs w:val="22"/>
          <w:lang w:eastAsia="en-US"/>
        </w:rPr>
        <w:t>соединения дополнительных объемных элементов» (широчайший спектр «кристаллических» форм высотных зданий Америки и Евр</w:t>
      </w:r>
      <w:r w:rsidRPr="00D81B1A">
        <w:rPr>
          <w:rFonts w:eastAsia="Calibri"/>
          <w:sz w:val="22"/>
          <w:szCs w:val="22"/>
          <w:lang w:eastAsia="en-US"/>
        </w:rPr>
        <w:t>о</w:t>
      </w:r>
      <w:r w:rsidRPr="00D81B1A">
        <w:rPr>
          <w:rFonts w:eastAsia="Calibri"/>
          <w:sz w:val="22"/>
          <w:szCs w:val="22"/>
          <w:lang w:eastAsia="en-US"/>
        </w:rPr>
        <w:t>пы начала и сер.</w:t>
      </w:r>
      <w:proofErr w:type="gramEnd"/>
      <w:r w:rsidRPr="00D81B1A">
        <w:rPr>
          <w:rFonts w:eastAsia="Calibri"/>
          <w:sz w:val="22"/>
          <w:szCs w:val="22"/>
          <w:lang w:eastAsia="en-US"/>
        </w:rPr>
        <w:t xml:space="preserve"> </w:t>
      </w:r>
      <w:proofErr w:type="gramStart"/>
      <w:r w:rsidRPr="00D81B1A">
        <w:rPr>
          <w:rFonts w:eastAsia="Calibri"/>
          <w:sz w:val="22"/>
          <w:szCs w:val="22"/>
          <w:lang w:eastAsia="en-US"/>
        </w:rPr>
        <w:t>XX в.).</w:t>
      </w:r>
      <w:proofErr w:type="gramEnd"/>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Характерные морфологические черты второй парадигмы:</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вариабельные плоскогранные усечения (наклонной секущей плоскостью, системой параллельных наклонных секущих плоск</w:t>
      </w:r>
      <w:r w:rsidRPr="00D81B1A">
        <w:rPr>
          <w:rFonts w:eastAsia="Calibri"/>
          <w:sz w:val="22"/>
          <w:szCs w:val="22"/>
          <w:lang w:eastAsia="en-US"/>
        </w:rPr>
        <w:t>о</w:t>
      </w:r>
      <w:r w:rsidRPr="00D81B1A">
        <w:rPr>
          <w:rFonts w:eastAsia="Calibri"/>
          <w:sz w:val="22"/>
          <w:szCs w:val="22"/>
          <w:lang w:eastAsia="en-US"/>
        </w:rPr>
        <w:t>стей, системой разнонаклонных секущих плоскостей, сложные мн</w:t>
      </w:r>
      <w:r w:rsidRPr="00D81B1A">
        <w:rPr>
          <w:rFonts w:eastAsia="Calibri"/>
          <w:sz w:val="22"/>
          <w:szCs w:val="22"/>
          <w:lang w:eastAsia="en-US"/>
        </w:rPr>
        <w:t>о</w:t>
      </w:r>
      <w:r w:rsidRPr="00D81B1A">
        <w:rPr>
          <w:rFonts w:eastAsia="Calibri"/>
          <w:sz w:val="22"/>
          <w:szCs w:val="22"/>
          <w:lang w:eastAsia="en-US"/>
        </w:rPr>
        <w:t xml:space="preserve">гогранные ячеистые отсечения и др.) исходных призматических объемов с разнообразным контуром основания;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многовариантное соединение однородных или разнородных многогранных объемов в составную композицию со сложной ко</w:t>
      </w:r>
      <w:r w:rsidRPr="00D81B1A">
        <w:rPr>
          <w:rFonts w:eastAsia="Calibri"/>
          <w:sz w:val="22"/>
          <w:szCs w:val="22"/>
          <w:lang w:eastAsia="en-US"/>
        </w:rPr>
        <w:t>м</w:t>
      </w:r>
      <w:r w:rsidRPr="00D81B1A">
        <w:rPr>
          <w:rFonts w:eastAsia="Calibri"/>
          <w:sz w:val="22"/>
          <w:szCs w:val="22"/>
          <w:lang w:eastAsia="en-US"/>
        </w:rPr>
        <w:t xml:space="preserve">бинированной (в т.ч. асимметричной) структурой;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использование в качестве основного объема какой-либо ра</w:t>
      </w:r>
      <w:r w:rsidRPr="00D81B1A">
        <w:rPr>
          <w:rFonts w:eastAsia="Calibri"/>
          <w:sz w:val="22"/>
          <w:szCs w:val="22"/>
          <w:lang w:eastAsia="en-US"/>
        </w:rPr>
        <w:t>з</w:t>
      </w:r>
      <w:r w:rsidRPr="00D81B1A">
        <w:rPr>
          <w:rFonts w:eastAsia="Calibri"/>
          <w:sz w:val="22"/>
          <w:szCs w:val="22"/>
          <w:lang w:eastAsia="en-US"/>
        </w:rPr>
        <w:t>новидности классических многогранников (правильных, полупр</w:t>
      </w:r>
      <w:r w:rsidRPr="00D81B1A">
        <w:rPr>
          <w:rFonts w:eastAsia="Calibri"/>
          <w:sz w:val="22"/>
          <w:szCs w:val="22"/>
          <w:lang w:eastAsia="en-US"/>
        </w:rPr>
        <w:t>а</w:t>
      </w:r>
      <w:r w:rsidRPr="00D81B1A">
        <w:rPr>
          <w:rFonts w:eastAsia="Calibri"/>
          <w:sz w:val="22"/>
          <w:szCs w:val="22"/>
          <w:lang w:eastAsia="en-US"/>
        </w:rPr>
        <w:t xml:space="preserve">вильных, звездчатых и др.), имеющих замкнутую центрическую структуру;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полное или превалирующее по площади остекление внешней многогранной оболочки.</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Третий этап - деформационное преобразование простейших б</w:t>
      </w:r>
      <w:r w:rsidRPr="00D81B1A">
        <w:rPr>
          <w:rFonts w:eastAsia="Calibri"/>
          <w:sz w:val="22"/>
          <w:szCs w:val="22"/>
          <w:lang w:eastAsia="en-US"/>
        </w:rPr>
        <w:t>а</w:t>
      </w:r>
      <w:r w:rsidRPr="00D81B1A">
        <w:rPr>
          <w:rFonts w:eastAsia="Calibri"/>
          <w:sz w:val="22"/>
          <w:szCs w:val="22"/>
          <w:lang w:eastAsia="en-US"/>
        </w:rPr>
        <w:t>зовых форм путем их изгибания, скручивания, смещения, сужения-расширения и др. Спектр современных актуальных форм «спир</w:t>
      </w:r>
      <w:r w:rsidRPr="00D81B1A">
        <w:rPr>
          <w:rFonts w:eastAsia="Calibri"/>
          <w:sz w:val="22"/>
          <w:szCs w:val="22"/>
          <w:lang w:eastAsia="en-US"/>
        </w:rPr>
        <w:t>а</w:t>
      </w:r>
      <w:r w:rsidRPr="00D81B1A">
        <w:rPr>
          <w:rFonts w:eastAsia="Calibri"/>
          <w:sz w:val="22"/>
          <w:szCs w:val="22"/>
          <w:lang w:eastAsia="en-US"/>
        </w:rPr>
        <w:t xml:space="preserve">лей», «бутонов», «арок», «колец», «пропеллеров» в различных странах от Австралии и Юго-Восточной Азии до Ближнего Востока - к. ХХ-н. </w:t>
      </w:r>
      <w:proofErr w:type="gramStart"/>
      <w:r w:rsidRPr="00D81B1A">
        <w:rPr>
          <w:rFonts w:eastAsia="Calibri"/>
          <w:sz w:val="22"/>
          <w:szCs w:val="22"/>
          <w:lang w:eastAsia="en-US"/>
        </w:rPr>
        <w:t>XXI вв.).</w:t>
      </w:r>
      <w:proofErr w:type="gramEnd"/>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Характерные морфологические черты третьей парадигмы:</w:t>
      </w:r>
    </w:p>
    <w:p w:rsidR="00D81B1A" w:rsidRPr="00D81B1A" w:rsidRDefault="00D81B1A" w:rsidP="00913431">
      <w:pPr>
        <w:ind w:firstLine="426"/>
        <w:jc w:val="both"/>
        <w:rPr>
          <w:rFonts w:eastAsia="Calibri"/>
          <w:sz w:val="22"/>
          <w:szCs w:val="22"/>
          <w:lang w:eastAsia="en-US"/>
        </w:rPr>
      </w:pPr>
      <w:proofErr w:type="gramStart"/>
      <w:r w:rsidRPr="00D81B1A">
        <w:rPr>
          <w:rFonts w:eastAsia="Calibri"/>
          <w:sz w:val="22"/>
          <w:szCs w:val="22"/>
          <w:lang w:eastAsia="en-US"/>
        </w:rPr>
        <w:t>• широкий диапазон возможного очертания/конфигурации б</w:t>
      </w:r>
      <w:r w:rsidRPr="00D81B1A">
        <w:rPr>
          <w:rFonts w:eastAsia="Calibri"/>
          <w:sz w:val="22"/>
          <w:szCs w:val="22"/>
          <w:lang w:eastAsia="en-US"/>
        </w:rPr>
        <w:t>а</w:t>
      </w:r>
      <w:r w:rsidRPr="00D81B1A">
        <w:rPr>
          <w:rFonts w:eastAsia="Calibri"/>
          <w:sz w:val="22"/>
          <w:szCs w:val="22"/>
          <w:lang w:eastAsia="en-US"/>
        </w:rPr>
        <w:t>зового объема высотного здания (арки, кольца, бутоны, наклонные системы, линзы, пропеллеры, спирали, сферы, гиперболоиды и др.) с выразительным силуэтом и необычной (в т. ч. экстремальной) те</w:t>
      </w:r>
      <w:r w:rsidRPr="00D81B1A">
        <w:rPr>
          <w:rFonts w:eastAsia="Calibri"/>
          <w:sz w:val="22"/>
          <w:szCs w:val="22"/>
          <w:lang w:eastAsia="en-US"/>
        </w:rPr>
        <w:t>к</w:t>
      </w:r>
      <w:r w:rsidRPr="00D81B1A">
        <w:rPr>
          <w:rFonts w:eastAsia="Calibri"/>
          <w:sz w:val="22"/>
          <w:szCs w:val="22"/>
          <w:lang w:eastAsia="en-US"/>
        </w:rPr>
        <w:t xml:space="preserve">тоникой; </w:t>
      </w:r>
      <w:proofErr w:type="gramEnd"/>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применение самых разнообразных способов модифициров</w:t>
      </w:r>
      <w:r w:rsidRPr="00D81B1A">
        <w:rPr>
          <w:rFonts w:eastAsia="Calibri"/>
          <w:sz w:val="22"/>
          <w:szCs w:val="22"/>
          <w:lang w:eastAsia="en-US"/>
        </w:rPr>
        <w:t>а</w:t>
      </w:r>
      <w:r w:rsidRPr="00D81B1A">
        <w:rPr>
          <w:rFonts w:eastAsia="Calibri"/>
          <w:sz w:val="22"/>
          <w:szCs w:val="22"/>
          <w:lang w:eastAsia="en-US"/>
        </w:rPr>
        <w:t>ния формы базовых объемов (скручивание, изгибание, сужение-</w:t>
      </w:r>
      <w:r w:rsidRPr="00D81B1A">
        <w:rPr>
          <w:rFonts w:eastAsia="Calibri"/>
          <w:sz w:val="22"/>
          <w:szCs w:val="22"/>
          <w:lang w:eastAsia="en-US"/>
        </w:rPr>
        <w:lastRenderedPageBreak/>
        <w:t xml:space="preserve">расширение, вырезание сквозных отверстий различного очертания, самопересечение, гиперболическое искривление и др.);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интенсивное развитие тенденции формирования стилистич</w:t>
      </w:r>
      <w:r w:rsidRPr="00D81B1A">
        <w:rPr>
          <w:rFonts w:eastAsia="Calibri"/>
          <w:sz w:val="22"/>
          <w:szCs w:val="22"/>
          <w:lang w:eastAsia="en-US"/>
        </w:rPr>
        <w:t>е</w:t>
      </w:r>
      <w:r w:rsidRPr="00D81B1A">
        <w:rPr>
          <w:rFonts w:eastAsia="Calibri"/>
          <w:sz w:val="22"/>
          <w:szCs w:val="22"/>
          <w:lang w:eastAsia="en-US"/>
        </w:rPr>
        <w:t xml:space="preserve">ски однородных композиционных групп – высотных комплексов – из нескольких высотных объемов;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динамичное развитие тенденции внесения в объемное и дек</w:t>
      </w:r>
      <w:r w:rsidRPr="00D81B1A">
        <w:rPr>
          <w:rFonts w:eastAsia="Calibri"/>
          <w:sz w:val="22"/>
          <w:szCs w:val="22"/>
          <w:lang w:eastAsia="en-US"/>
        </w:rPr>
        <w:t>о</w:t>
      </w:r>
      <w:r w:rsidRPr="00D81B1A">
        <w:rPr>
          <w:rFonts w:eastAsia="Calibri"/>
          <w:sz w:val="22"/>
          <w:szCs w:val="22"/>
          <w:lang w:eastAsia="en-US"/>
        </w:rPr>
        <w:t>ративно-пластическое решение регионал</w:t>
      </w:r>
      <w:r w:rsidRPr="00D81B1A">
        <w:rPr>
          <w:rFonts w:eastAsia="Calibri"/>
          <w:sz w:val="22"/>
          <w:szCs w:val="22"/>
          <w:lang w:eastAsia="en-US"/>
        </w:rPr>
        <w:t>ь</w:t>
      </w:r>
      <w:r w:rsidRPr="00D81B1A">
        <w:rPr>
          <w:rFonts w:eastAsia="Calibri"/>
          <w:sz w:val="22"/>
          <w:szCs w:val="22"/>
          <w:lang w:eastAsia="en-US"/>
        </w:rPr>
        <w:t>ных/национальных/этнических архитектурно-художественных и культурных мотивов.</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Архитектурно-художественная выразительность эксклюзивных высотных зданий, сформированных в русле данной парадигмы, в наибольшей степени обусловлена как экзотич</w:t>
      </w:r>
      <w:r w:rsidRPr="00D81B1A">
        <w:rPr>
          <w:rFonts w:eastAsia="Calibri"/>
          <w:sz w:val="22"/>
          <w:szCs w:val="22"/>
          <w:lang w:eastAsia="en-US"/>
        </w:rPr>
        <w:t>е</w:t>
      </w:r>
      <w:r w:rsidRPr="00D81B1A">
        <w:rPr>
          <w:rFonts w:eastAsia="Calibri"/>
          <w:sz w:val="22"/>
          <w:szCs w:val="22"/>
          <w:lang w:eastAsia="en-US"/>
        </w:rPr>
        <w:t>ским/эксцентричным/эпатажным характером общего очертания, пластики и силуэта основного объема так и необычным характером деталировки/фактуры его оболочки.</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Развитие архитектурных форм сверхвысоких небоскребов (свыше 850 м) будет происходить по следующим принципиальным структурно-композиционным направлениям:</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xml:space="preserve">1) пучок плотно составленных разновысоких призм-пилонов, ступенями поднимающихся к вершине;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2) конусы и конические спирали в наружной конструктивной решетке</w:t>
      </w:r>
      <w:r w:rsidR="00913431">
        <w:rPr>
          <w:rFonts w:eastAsia="Calibri"/>
          <w:sz w:val="22"/>
          <w:szCs w:val="22"/>
          <w:lang w:eastAsia="en-US"/>
        </w:rPr>
        <w:t>;</w:t>
      </w:r>
      <w:r w:rsidRPr="00D81B1A">
        <w:rPr>
          <w:rFonts w:eastAsia="Calibri"/>
          <w:sz w:val="22"/>
          <w:szCs w:val="22"/>
          <w:lang w:eastAsia="en-US"/>
        </w:rPr>
        <w:t xml:space="preserve">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3) пирамиды и пирамидальные спирали в наружной констру</w:t>
      </w:r>
      <w:r w:rsidRPr="00D81B1A">
        <w:rPr>
          <w:rFonts w:eastAsia="Calibri"/>
          <w:sz w:val="22"/>
          <w:szCs w:val="22"/>
          <w:lang w:eastAsia="en-US"/>
        </w:rPr>
        <w:t>к</w:t>
      </w:r>
      <w:r w:rsidRPr="00D81B1A">
        <w:rPr>
          <w:rFonts w:eastAsia="Calibri"/>
          <w:sz w:val="22"/>
          <w:szCs w:val="22"/>
          <w:lang w:eastAsia="en-US"/>
        </w:rPr>
        <w:t xml:space="preserve">тивной решетке; </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4) отдельно стоящие столбы-пилоны, объединенные горизо</w:t>
      </w:r>
      <w:r w:rsidRPr="00D81B1A">
        <w:rPr>
          <w:rFonts w:eastAsia="Calibri"/>
          <w:sz w:val="22"/>
          <w:szCs w:val="22"/>
          <w:lang w:eastAsia="en-US"/>
        </w:rPr>
        <w:t>н</w:t>
      </w:r>
      <w:r w:rsidRPr="00D81B1A">
        <w:rPr>
          <w:rFonts w:eastAsia="Calibri"/>
          <w:sz w:val="22"/>
          <w:szCs w:val="22"/>
          <w:lang w:eastAsia="en-US"/>
        </w:rPr>
        <w:t>тальными диафрагмами (блоками этажей) через определенные пр</w:t>
      </w:r>
      <w:r w:rsidRPr="00D81B1A">
        <w:rPr>
          <w:rFonts w:eastAsia="Calibri"/>
          <w:sz w:val="22"/>
          <w:szCs w:val="22"/>
          <w:lang w:eastAsia="en-US"/>
        </w:rPr>
        <w:t>о</w:t>
      </w:r>
      <w:r w:rsidRPr="00D81B1A">
        <w:rPr>
          <w:rFonts w:eastAsia="Calibri"/>
          <w:sz w:val="22"/>
          <w:szCs w:val="22"/>
          <w:lang w:eastAsia="en-US"/>
        </w:rPr>
        <w:t>межутки по высоте;</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 xml:space="preserve"> 5) пирамидальные или клиновидные пилоны с уменьшающи</w:t>
      </w:r>
      <w:r w:rsidRPr="00D81B1A">
        <w:rPr>
          <w:rFonts w:eastAsia="Calibri"/>
          <w:sz w:val="22"/>
          <w:szCs w:val="22"/>
          <w:lang w:eastAsia="en-US"/>
        </w:rPr>
        <w:t>м</w:t>
      </w:r>
      <w:r w:rsidRPr="00D81B1A">
        <w:rPr>
          <w:rFonts w:eastAsia="Calibri"/>
          <w:sz w:val="22"/>
          <w:szCs w:val="22"/>
          <w:lang w:eastAsia="en-US"/>
        </w:rPr>
        <w:t>ся к вершине сечением, состыкованные вдоль центрального ствола (в т.ч. с горизонтальными диафрагмами, в наружной конструкти</w:t>
      </w:r>
      <w:r w:rsidRPr="00D81B1A">
        <w:rPr>
          <w:rFonts w:eastAsia="Calibri"/>
          <w:sz w:val="22"/>
          <w:szCs w:val="22"/>
          <w:lang w:eastAsia="en-US"/>
        </w:rPr>
        <w:t>в</w:t>
      </w:r>
      <w:r w:rsidRPr="00D81B1A">
        <w:rPr>
          <w:rFonts w:eastAsia="Calibri"/>
          <w:sz w:val="22"/>
          <w:szCs w:val="22"/>
          <w:lang w:eastAsia="en-US"/>
        </w:rPr>
        <w:t>ной решетке) и образующие многолучевой план сооружения.</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Принципы формообразования атриумных  высотных зданий. Идея использования атриумов в объемно-пространственном реш</w:t>
      </w:r>
      <w:r w:rsidRPr="00D81B1A">
        <w:rPr>
          <w:rFonts w:eastAsia="Calibri"/>
          <w:sz w:val="22"/>
          <w:szCs w:val="22"/>
          <w:lang w:eastAsia="en-US"/>
        </w:rPr>
        <w:t>е</w:t>
      </w:r>
      <w:r w:rsidRPr="00D81B1A">
        <w:rPr>
          <w:rFonts w:eastAsia="Calibri"/>
          <w:sz w:val="22"/>
          <w:szCs w:val="22"/>
          <w:lang w:eastAsia="en-US"/>
        </w:rPr>
        <w:t>нии высотного здания была впервые разработана и осуществлена Джоном Портманом при строительстве его знаменитого «Peachtree Plaza» в Атланте, США, в 1976 году.</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lastRenderedPageBreak/>
        <w:t>Прием двухстороннего атриума применен в высотном 36-этажном комплексе «Penzoil Place», штат Техас, построенном в 1976 г. по проекту архитекторов Джонсона и Берджи</w:t>
      </w:r>
      <w:r w:rsidR="00913431">
        <w:rPr>
          <w:rFonts w:eastAsia="Calibri"/>
          <w:sz w:val="22"/>
          <w:szCs w:val="22"/>
          <w:lang w:eastAsia="en-US"/>
        </w:rPr>
        <w:t>.</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В соответствии с принципом трехстороннего атриума спрое</w:t>
      </w:r>
      <w:r w:rsidRPr="00D81B1A">
        <w:rPr>
          <w:rFonts w:eastAsia="Calibri"/>
          <w:sz w:val="22"/>
          <w:szCs w:val="22"/>
          <w:lang w:eastAsia="en-US"/>
        </w:rPr>
        <w:t>к</w:t>
      </w:r>
      <w:r w:rsidRPr="00D81B1A">
        <w:rPr>
          <w:rFonts w:eastAsia="Calibri"/>
          <w:sz w:val="22"/>
          <w:szCs w:val="22"/>
          <w:lang w:eastAsia="en-US"/>
        </w:rPr>
        <w:t>тирован знаменитый, построенный в 1999 г. в Дубаи, отель «Burj Al Arab», который является самым высоким зданием мембранной структуры.</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В настоящей работе обозначен новый композиционный поте</w:t>
      </w:r>
      <w:r w:rsidRPr="00D81B1A">
        <w:rPr>
          <w:rFonts w:eastAsia="Calibri"/>
          <w:sz w:val="22"/>
          <w:szCs w:val="22"/>
          <w:lang w:eastAsia="en-US"/>
        </w:rPr>
        <w:t>н</w:t>
      </w:r>
      <w:r w:rsidRPr="00D81B1A">
        <w:rPr>
          <w:rFonts w:eastAsia="Calibri"/>
          <w:sz w:val="22"/>
          <w:szCs w:val="22"/>
          <w:lang w:eastAsia="en-US"/>
        </w:rPr>
        <w:t>циал формообразования наиболее перспективных в архитектурно-художественном отношении классификационных групп высотных объектов. Арки и кольца. Арочные и кольцелообразные высотные сооружения, по мнению автора, на сегодняшний день являются наиболее перспективными в композиционно-художественном о</w:t>
      </w:r>
      <w:r w:rsidRPr="00D81B1A">
        <w:rPr>
          <w:rFonts w:eastAsia="Calibri"/>
          <w:sz w:val="22"/>
          <w:szCs w:val="22"/>
          <w:lang w:eastAsia="en-US"/>
        </w:rPr>
        <w:t>т</w:t>
      </w:r>
      <w:r w:rsidRPr="00D81B1A">
        <w:rPr>
          <w:rFonts w:eastAsia="Calibri"/>
          <w:sz w:val="22"/>
          <w:szCs w:val="22"/>
          <w:lang w:eastAsia="en-US"/>
        </w:rPr>
        <w:t>ношении (не случайно именно арочно-кольцеобразная многогра</w:t>
      </w:r>
      <w:r w:rsidRPr="00D81B1A">
        <w:rPr>
          <w:rFonts w:eastAsia="Calibri"/>
          <w:sz w:val="22"/>
          <w:szCs w:val="22"/>
          <w:lang w:eastAsia="en-US"/>
        </w:rPr>
        <w:t>н</w:t>
      </w:r>
      <w:r w:rsidRPr="00D81B1A">
        <w:rPr>
          <w:rFonts w:eastAsia="Calibri"/>
          <w:sz w:val="22"/>
          <w:szCs w:val="22"/>
          <w:lang w:eastAsia="en-US"/>
        </w:rPr>
        <w:t>ная оболочка Пекинского международного телецентра в 2013 г. по версии CTBUH признана лучшим высотным архитектурным объе</w:t>
      </w:r>
      <w:r w:rsidRPr="00D81B1A">
        <w:rPr>
          <w:rFonts w:eastAsia="Calibri"/>
          <w:sz w:val="22"/>
          <w:szCs w:val="22"/>
          <w:lang w:eastAsia="en-US"/>
        </w:rPr>
        <w:t>к</w:t>
      </w:r>
      <w:r w:rsidRPr="00D81B1A">
        <w:rPr>
          <w:rFonts w:eastAsia="Calibri"/>
          <w:sz w:val="22"/>
          <w:szCs w:val="22"/>
          <w:lang w:eastAsia="en-US"/>
        </w:rPr>
        <w:t>том мира за всю историю высотного строительства с конца XIX в.).</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Сегодня становится очевидным, что приоритеты развития в</w:t>
      </w:r>
      <w:r w:rsidRPr="00D81B1A">
        <w:rPr>
          <w:rFonts w:eastAsia="Calibri"/>
          <w:sz w:val="22"/>
          <w:szCs w:val="22"/>
          <w:lang w:eastAsia="en-US"/>
        </w:rPr>
        <w:t>ы</w:t>
      </w:r>
      <w:r w:rsidRPr="00D81B1A">
        <w:rPr>
          <w:rFonts w:eastAsia="Calibri"/>
          <w:sz w:val="22"/>
          <w:szCs w:val="22"/>
          <w:lang w:eastAsia="en-US"/>
        </w:rPr>
        <w:t>сотного строительства</w:t>
      </w:r>
      <w:proofErr w:type="gramStart"/>
      <w:r w:rsidRPr="00D81B1A">
        <w:rPr>
          <w:rFonts w:eastAsia="Calibri"/>
          <w:sz w:val="22"/>
          <w:szCs w:val="22"/>
          <w:lang w:eastAsia="en-US"/>
        </w:rPr>
        <w:t xml:space="preserve"> ,</w:t>
      </w:r>
      <w:proofErr w:type="gramEnd"/>
      <w:r w:rsidRPr="00D81B1A">
        <w:rPr>
          <w:rFonts w:eastAsia="Calibri"/>
          <w:sz w:val="22"/>
          <w:szCs w:val="22"/>
          <w:lang w:eastAsia="en-US"/>
        </w:rPr>
        <w:t xml:space="preserve"> неуклонно смещаются из области информ</w:t>
      </w:r>
      <w:r w:rsidRPr="00D81B1A">
        <w:rPr>
          <w:rFonts w:eastAsia="Calibri"/>
          <w:sz w:val="22"/>
          <w:szCs w:val="22"/>
          <w:lang w:eastAsia="en-US"/>
        </w:rPr>
        <w:t>а</w:t>
      </w:r>
      <w:r w:rsidRPr="00D81B1A">
        <w:rPr>
          <w:rFonts w:eastAsia="Calibri"/>
          <w:sz w:val="22"/>
          <w:szCs w:val="22"/>
          <w:lang w:eastAsia="en-US"/>
        </w:rPr>
        <w:t>ционно- теоретических исследований общего характера в сферу экспериментальных инновационных формотворческих поисков, как наиболее продуктивную и значимую в практическом отношении. Вследствие этого выявленные  и перечисленные авторами перспе</w:t>
      </w:r>
      <w:r w:rsidRPr="00D81B1A">
        <w:rPr>
          <w:rFonts w:eastAsia="Calibri"/>
          <w:sz w:val="22"/>
          <w:szCs w:val="22"/>
          <w:lang w:eastAsia="en-US"/>
        </w:rPr>
        <w:t>к</w:t>
      </w:r>
      <w:r w:rsidRPr="00D81B1A">
        <w:rPr>
          <w:rFonts w:eastAsia="Calibri"/>
          <w:sz w:val="22"/>
          <w:szCs w:val="22"/>
          <w:lang w:eastAsia="en-US"/>
        </w:rPr>
        <w:t>тивные пути формообразования высотных зданий различных кла</w:t>
      </w:r>
      <w:r w:rsidRPr="00D81B1A">
        <w:rPr>
          <w:rFonts w:eastAsia="Calibri"/>
          <w:sz w:val="22"/>
          <w:szCs w:val="22"/>
          <w:lang w:eastAsia="en-US"/>
        </w:rPr>
        <w:t>с</w:t>
      </w:r>
      <w:r w:rsidRPr="00D81B1A">
        <w:rPr>
          <w:rFonts w:eastAsia="Calibri"/>
          <w:sz w:val="22"/>
          <w:szCs w:val="22"/>
          <w:lang w:eastAsia="en-US"/>
        </w:rPr>
        <w:t>сификационных групп приобретают особую практическую актуал</w:t>
      </w:r>
      <w:r w:rsidRPr="00D81B1A">
        <w:rPr>
          <w:rFonts w:eastAsia="Calibri"/>
          <w:sz w:val="22"/>
          <w:szCs w:val="22"/>
          <w:lang w:eastAsia="en-US"/>
        </w:rPr>
        <w:t>ь</w:t>
      </w:r>
      <w:r w:rsidRPr="00D81B1A">
        <w:rPr>
          <w:rFonts w:eastAsia="Calibri"/>
          <w:sz w:val="22"/>
          <w:szCs w:val="22"/>
          <w:lang w:eastAsia="en-US"/>
        </w:rPr>
        <w:t>ность для развития высотного строительства.</w:t>
      </w:r>
    </w:p>
    <w:p w:rsidR="00D81B1A" w:rsidRPr="00D81B1A" w:rsidRDefault="00D81B1A" w:rsidP="00913431">
      <w:pPr>
        <w:ind w:firstLine="426"/>
        <w:jc w:val="both"/>
        <w:rPr>
          <w:rFonts w:eastAsia="Calibri"/>
          <w:sz w:val="22"/>
          <w:szCs w:val="22"/>
          <w:lang w:eastAsia="en-US"/>
        </w:rPr>
      </w:pPr>
    </w:p>
    <w:p w:rsidR="00D81B1A" w:rsidRPr="00913431" w:rsidRDefault="00913431" w:rsidP="00E22BC2">
      <w:pPr>
        <w:ind w:firstLine="426"/>
        <w:jc w:val="center"/>
        <w:rPr>
          <w:rFonts w:eastAsia="Calibri"/>
          <w:sz w:val="22"/>
          <w:szCs w:val="22"/>
          <w:lang w:val="en-US" w:eastAsia="en-US"/>
        </w:rPr>
      </w:pPr>
      <w:r>
        <w:rPr>
          <w:rFonts w:eastAsia="Calibri"/>
          <w:sz w:val="22"/>
          <w:szCs w:val="22"/>
          <w:lang w:eastAsia="en-US"/>
        </w:rPr>
        <w:t>Список</w:t>
      </w:r>
      <w:r w:rsidRPr="00913431">
        <w:rPr>
          <w:rFonts w:eastAsia="Calibri"/>
          <w:sz w:val="22"/>
          <w:szCs w:val="22"/>
          <w:lang w:val="en-US" w:eastAsia="en-US"/>
        </w:rPr>
        <w:t xml:space="preserve"> </w:t>
      </w:r>
      <w:r>
        <w:rPr>
          <w:rFonts w:eastAsia="Calibri"/>
          <w:sz w:val="22"/>
          <w:szCs w:val="22"/>
          <w:lang w:eastAsia="en-US"/>
        </w:rPr>
        <w:t>литературы</w:t>
      </w:r>
    </w:p>
    <w:p w:rsidR="00D81B1A" w:rsidRPr="00D81B1A" w:rsidRDefault="00D81B1A" w:rsidP="00913431">
      <w:pPr>
        <w:ind w:firstLine="426"/>
        <w:jc w:val="both"/>
        <w:rPr>
          <w:rFonts w:eastAsia="Calibri"/>
          <w:sz w:val="22"/>
          <w:szCs w:val="22"/>
          <w:lang w:val="en-US" w:eastAsia="en-US"/>
        </w:rPr>
      </w:pPr>
      <w:r w:rsidRPr="00D81B1A">
        <w:rPr>
          <w:rFonts w:eastAsia="Calibri"/>
          <w:sz w:val="22"/>
          <w:szCs w:val="22"/>
          <w:lang w:val="en-US" w:eastAsia="en-US"/>
        </w:rPr>
        <w:t xml:space="preserve">1. Binder, G. Tall buildings of Europe, the Middle East and Africa / G. Binder. – Sydney: Images Pubilshing, 2006. – 240 p.: </w:t>
      </w:r>
      <w:proofErr w:type="gramStart"/>
      <w:r w:rsidRPr="00D81B1A">
        <w:rPr>
          <w:rFonts w:eastAsia="Calibri"/>
          <w:sz w:val="22"/>
          <w:szCs w:val="22"/>
          <w:lang w:val="en-US" w:eastAsia="en-US"/>
        </w:rPr>
        <w:t>il</w:t>
      </w:r>
      <w:proofErr w:type="gramEnd"/>
      <w:r w:rsidRPr="00D81B1A">
        <w:rPr>
          <w:rFonts w:eastAsia="Calibri"/>
          <w:sz w:val="22"/>
          <w:szCs w:val="22"/>
          <w:lang w:val="en-US" w:eastAsia="en-US"/>
        </w:rPr>
        <w:t>.</w:t>
      </w:r>
    </w:p>
    <w:p w:rsidR="00D81B1A" w:rsidRPr="00D81B1A" w:rsidRDefault="00D81B1A" w:rsidP="00913431">
      <w:pPr>
        <w:ind w:firstLine="426"/>
        <w:jc w:val="both"/>
        <w:rPr>
          <w:rFonts w:eastAsia="Calibri"/>
          <w:sz w:val="22"/>
          <w:szCs w:val="22"/>
          <w:lang w:eastAsia="en-US"/>
        </w:rPr>
      </w:pPr>
      <w:r w:rsidRPr="00D81B1A">
        <w:rPr>
          <w:rFonts w:eastAsia="Calibri"/>
          <w:sz w:val="22"/>
          <w:szCs w:val="22"/>
          <w:lang w:eastAsia="en-US"/>
        </w:rPr>
        <w:t>2. Абрамсон, Л. А. Развитие строительства высотных зда</w:t>
      </w:r>
      <w:r w:rsidR="00913431">
        <w:rPr>
          <w:rFonts w:eastAsia="Calibri"/>
          <w:sz w:val="22"/>
          <w:szCs w:val="22"/>
          <w:lang w:eastAsia="en-US"/>
        </w:rPr>
        <w:t>ний / Л. </w:t>
      </w:r>
      <w:r w:rsidRPr="00D81B1A">
        <w:rPr>
          <w:rFonts w:eastAsia="Calibri"/>
          <w:sz w:val="22"/>
          <w:szCs w:val="22"/>
          <w:lang w:eastAsia="en-US"/>
        </w:rPr>
        <w:t>А. Абрамсон // Жилищное строительство. – 2005. – № 10. – С. 14-29.</w:t>
      </w:r>
    </w:p>
    <w:p w:rsidR="00D81B1A" w:rsidRPr="00D81B1A" w:rsidRDefault="00D81B1A" w:rsidP="00B36597">
      <w:pPr>
        <w:jc w:val="both"/>
        <w:rPr>
          <w:rFonts w:eastAsia="Calibri"/>
          <w:sz w:val="22"/>
          <w:szCs w:val="22"/>
          <w:lang w:eastAsia="en-US"/>
        </w:rPr>
      </w:pPr>
    </w:p>
    <w:p w:rsidR="00D81B1A" w:rsidRDefault="00D81B1A" w:rsidP="00B36597">
      <w:pPr>
        <w:jc w:val="both"/>
        <w:rPr>
          <w:rFonts w:eastAsia="Calibri"/>
          <w:sz w:val="22"/>
          <w:szCs w:val="22"/>
          <w:lang w:eastAsia="en-US"/>
        </w:rPr>
      </w:pPr>
    </w:p>
    <w:p w:rsidR="00102687" w:rsidRDefault="00102687" w:rsidP="00102687">
      <w:pPr>
        <w:jc w:val="both"/>
        <w:rPr>
          <w:rFonts w:eastAsia="Calibri"/>
          <w:sz w:val="22"/>
          <w:szCs w:val="22"/>
          <w:lang w:eastAsia="en-US"/>
        </w:rPr>
      </w:pPr>
    </w:p>
    <w:p w:rsidR="00E22BC2" w:rsidRDefault="00E22BC2" w:rsidP="00102687">
      <w:pPr>
        <w:jc w:val="both"/>
        <w:rPr>
          <w:rFonts w:eastAsia="Calibri"/>
          <w:sz w:val="22"/>
          <w:szCs w:val="22"/>
          <w:lang w:eastAsia="en-US"/>
        </w:rPr>
      </w:pPr>
    </w:p>
    <w:p w:rsidR="00E22BC2" w:rsidRPr="00281602" w:rsidRDefault="00E22BC2" w:rsidP="00102687">
      <w:pPr>
        <w:jc w:val="both"/>
        <w:rPr>
          <w:rFonts w:eastAsia="Calibri"/>
          <w:sz w:val="22"/>
          <w:szCs w:val="22"/>
          <w:lang w:eastAsia="en-US"/>
        </w:rPr>
      </w:pPr>
    </w:p>
    <w:p w:rsidR="00102687" w:rsidRDefault="00102687" w:rsidP="00102687">
      <w:pPr>
        <w:jc w:val="both"/>
        <w:rPr>
          <w:sz w:val="22"/>
          <w:szCs w:val="22"/>
        </w:rPr>
      </w:pPr>
      <w:r w:rsidRPr="00281602">
        <w:rPr>
          <w:rFonts w:eastAsia="Calibri"/>
          <w:sz w:val="22"/>
          <w:szCs w:val="22"/>
          <w:lang w:eastAsia="en-US"/>
        </w:rPr>
        <w:lastRenderedPageBreak/>
        <w:t>УДК</w:t>
      </w:r>
      <w:r w:rsidRPr="00281602">
        <w:rPr>
          <w:rFonts w:eastAsia="Calibri"/>
          <w:b/>
          <w:sz w:val="22"/>
          <w:szCs w:val="22"/>
          <w:lang w:eastAsia="en-US"/>
        </w:rPr>
        <w:t xml:space="preserve"> </w:t>
      </w:r>
      <w:r w:rsidRPr="00281602">
        <w:rPr>
          <w:rFonts w:eastAsia="Calibri"/>
          <w:sz w:val="22"/>
          <w:szCs w:val="22"/>
          <w:lang w:eastAsia="en-US"/>
        </w:rPr>
        <w:t xml:space="preserve"> </w:t>
      </w:r>
      <w:hyperlink r:id="rId28" w:history="1">
        <w:r w:rsidRPr="00281602">
          <w:rPr>
            <w:sz w:val="22"/>
            <w:szCs w:val="22"/>
          </w:rPr>
          <w:t>535</w:t>
        </w:r>
      </w:hyperlink>
      <w:r w:rsidRPr="00281602">
        <w:rPr>
          <w:sz w:val="22"/>
          <w:szCs w:val="22"/>
        </w:rPr>
        <w:t>. 53.07.535-1/-3.535-2</w:t>
      </w:r>
    </w:p>
    <w:p w:rsidR="00EA11E0" w:rsidRPr="00281602" w:rsidRDefault="00EA11E0" w:rsidP="00102687">
      <w:pPr>
        <w:jc w:val="both"/>
        <w:rPr>
          <w:rFonts w:eastAsia="Calibri"/>
          <w:lang w:eastAsia="en-US"/>
        </w:rPr>
      </w:pPr>
    </w:p>
    <w:p w:rsidR="00102687" w:rsidRPr="00281602" w:rsidRDefault="00102687" w:rsidP="00102687">
      <w:pPr>
        <w:ind w:firstLine="709"/>
        <w:jc w:val="center"/>
        <w:rPr>
          <w:rFonts w:eastAsia="Calibri"/>
          <w:b/>
          <w:sz w:val="24"/>
          <w:szCs w:val="24"/>
          <w:lang w:eastAsia="en-US"/>
        </w:rPr>
      </w:pPr>
      <w:r w:rsidRPr="00281602">
        <w:rPr>
          <w:rFonts w:eastAsia="Calibri"/>
          <w:b/>
          <w:sz w:val="24"/>
          <w:szCs w:val="24"/>
          <w:lang w:eastAsia="en-US"/>
        </w:rPr>
        <w:t xml:space="preserve">Эффективное использование световых экранов, как дополнительное средство </w:t>
      </w:r>
      <w:proofErr w:type="gramStart"/>
      <w:r w:rsidRPr="00281602">
        <w:rPr>
          <w:rFonts w:eastAsia="Calibri"/>
          <w:b/>
          <w:sz w:val="24"/>
          <w:szCs w:val="24"/>
          <w:lang w:eastAsia="en-US"/>
        </w:rPr>
        <w:t>свето-цветового</w:t>
      </w:r>
      <w:proofErr w:type="gramEnd"/>
      <w:r w:rsidRPr="00281602">
        <w:rPr>
          <w:rFonts w:eastAsia="Calibri"/>
          <w:b/>
          <w:sz w:val="24"/>
          <w:szCs w:val="24"/>
          <w:lang w:eastAsia="en-US"/>
        </w:rPr>
        <w:t xml:space="preserve"> </w:t>
      </w:r>
    </w:p>
    <w:p w:rsidR="00102687" w:rsidRPr="00281602" w:rsidRDefault="00102687" w:rsidP="00102687">
      <w:pPr>
        <w:ind w:firstLine="709"/>
        <w:jc w:val="center"/>
        <w:rPr>
          <w:rFonts w:eastAsia="Calibri"/>
          <w:b/>
          <w:sz w:val="24"/>
          <w:szCs w:val="24"/>
          <w:lang w:val="en-US" w:eastAsia="en-US"/>
        </w:rPr>
      </w:pPr>
      <w:r w:rsidRPr="00281602">
        <w:rPr>
          <w:rFonts w:eastAsia="Calibri"/>
          <w:b/>
          <w:sz w:val="24"/>
          <w:szCs w:val="24"/>
          <w:lang w:eastAsia="en-US"/>
        </w:rPr>
        <w:t>восприятия</w:t>
      </w:r>
      <w:r w:rsidRPr="00281602">
        <w:rPr>
          <w:rFonts w:eastAsia="Calibri"/>
          <w:b/>
          <w:sz w:val="24"/>
          <w:szCs w:val="24"/>
          <w:lang w:val="en-US" w:eastAsia="en-US"/>
        </w:rPr>
        <w:t xml:space="preserve"> </w:t>
      </w:r>
      <w:r w:rsidRPr="00281602">
        <w:rPr>
          <w:rFonts w:eastAsia="Calibri"/>
          <w:b/>
          <w:sz w:val="24"/>
          <w:szCs w:val="24"/>
          <w:lang w:eastAsia="en-US"/>
        </w:rPr>
        <w:t>городской</w:t>
      </w:r>
      <w:r w:rsidRPr="00281602">
        <w:rPr>
          <w:rFonts w:eastAsia="Calibri"/>
          <w:b/>
          <w:sz w:val="24"/>
          <w:szCs w:val="24"/>
          <w:lang w:val="en-US" w:eastAsia="en-US"/>
        </w:rPr>
        <w:t xml:space="preserve"> </w:t>
      </w:r>
      <w:r w:rsidRPr="00281602">
        <w:rPr>
          <w:rFonts w:eastAsia="Calibri"/>
          <w:b/>
          <w:sz w:val="24"/>
          <w:szCs w:val="24"/>
          <w:lang w:eastAsia="en-US"/>
        </w:rPr>
        <w:t>среды</w:t>
      </w:r>
    </w:p>
    <w:p w:rsidR="00102687" w:rsidRPr="00024398"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281602">
        <w:rPr>
          <w:b/>
          <w:sz w:val="24"/>
          <w:szCs w:val="24"/>
          <w:lang w:val="en-US"/>
        </w:rPr>
        <w:t xml:space="preserve">Effective use of light screens, as an additional means of </w:t>
      </w:r>
      <w:r w:rsidR="00EA11E0" w:rsidRPr="00EA11E0">
        <w:rPr>
          <w:b/>
          <w:sz w:val="24"/>
          <w:szCs w:val="24"/>
          <w:lang w:val="en-US"/>
        </w:rPr>
        <w:br/>
      </w:r>
      <w:r w:rsidRPr="00281602">
        <w:rPr>
          <w:b/>
          <w:sz w:val="24"/>
          <w:szCs w:val="24"/>
          <w:lang w:val="en-US"/>
        </w:rPr>
        <w:t>light-color perception of the urban environment</w:t>
      </w:r>
    </w:p>
    <w:p w:rsidR="00EA11E0" w:rsidRPr="00024398" w:rsidRDefault="00EA11E0"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p>
    <w:p w:rsidR="00102687" w:rsidRPr="00281602" w:rsidRDefault="00102687" w:rsidP="00102687">
      <w:pPr>
        <w:ind w:firstLine="4111"/>
        <w:jc w:val="right"/>
        <w:rPr>
          <w:rFonts w:eastAsia="Calibri"/>
          <w:sz w:val="22"/>
          <w:szCs w:val="22"/>
          <w:lang w:eastAsia="en-US"/>
        </w:rPr>
      </w:pPr>
      <w:r w:rsidRPr="00281602">
        <w:rPr>
          <w:rFonts w:eastAsia="Calibri"/>
          <w:sz w:val="22"/>
          <w:szCs w:val="22"/>
          <w:lang w:val="en-US" w:eastAsia="en-US"/>
        </w:rPr>
        <w:t xml:space="preserve">      </w:t>
      </w:r>
      <w:r w:rsidRPr="00281602">
        <w:rPr>
          <w:rFonts w:eastAsia="Calibri"/>
          <w:sz w:val="22"/>
          <w:szCs w:val="22"/>
          <w:lang w:eastAsia="en-US"/>
        </w:rPr>
        <w:t>Портнова А. А.,</w:t>
      </w:r>
    </w:p>
    <w:p w:rsidR="00102687" w:rsidRPr="00281602" w:rsidRDefault="00102687" w:rsidP="00102687">
      <w:pPr>
        <w:ind w:left="2268"/>
        <w:jc w:val="right"/>
        <w:rPr>
          <w:rFonts w:eastAsia="Calibri"/>
          <w:sz w:val="22"/>
          <w:szCs w:val="22"/>
          <w:lang w:eastAsia="en-US"/>
        </w:rPr>
      </w:pPr>
      <w:r w:rsidRPr="00281602">
        <w:rPr>
          <w:rFonts w:eastAsia="Calibri"/>
          <w:sz w:val="22"/>
          <w:szCs w:val="22"/>
          <w:lang w:eastAsia="en-US"/>
        </w:rPr>
        <w:t>ст</w:t>
      </w:r>
      <w:r w:rsidR="00EA11E0">
        <w:rPr>
          <w:rFonts w:eastAsia="Calibri"/>
          <w:sz w:val="22"/>
          <w:szCs w:val="22"/>
          <w:lang w:eastAsia="en-US"/>
        </w:rPr>
        <w:t>удентка 1-го курса магистратуры</w:t>
      </w:r>
    </w:p>
    <w:p w:rsidR="00102687" w:rsidRPr="00281602" w:rsidRDefault="00102687" w:rsidP="00102687">
      <w:pPr>
        <w:ind w:left="2268"/>
        <w:jc w:val="right"/>
        <w:rPr>
          <w:rFonts w:eastAsia="Calibri"/>
          <w:sz w:val="22"/>
          <w:szCs w:val="22"/>
          <w:lang w:eastAsia="en-US"/>
        </w:rPr>
      </w:pPr>
      <w:r w:rsidRPr="00281602">
        <w:rPr>
          <w:rFonts w:eastAsia="Calibri"/>
          <w:sz w:val="22"/>
          <w:szCs w:val="22"/>
          <w:lang w:eastAsia="en-US"/>
        </w:rPr>
        <w:t>архитек</w:t>
      </w:r>
      <w:r w:rsidR="00EA11E0">
        <w:rPr>
          <w:rFonts w:eastAsia="Calibri"/>
          <w:sz w:val="22"/>
          <w:szCs w:val="22"/>
          <w:lang w:eastAsia="en-US"/>
        </w:rPr>
        <w:t>турно-строительного факультета</w:t>
      </w:r>
    </w:p>
    <w:p w:rsidR="00102687" w:rsidRPr="00281602" w:rsidRDefault="00102687" w:rsidP="00102687">
      <w:pPr>
        <w:ind w:firstLine="4111"/>
        <w:jc w:val="right"/>
        <w:rPr>
          <w:rFonts w:eastAsia="Calibri"/>
          <w:sz w:val="22"/>
          <w:szCs w:val="22"/>
          <w:lang w:eastAsia="en-US"/>
        </w:rPr>
      </w:pPr>
      <w:r w:rsidRPr="00281602">
        <w:rPr>
          <w:rFonts w:eastAsia="Calibri"/>
          <w:sz w:val="22"/>
          <w:szCs w:val="22"/>
          <w:lang w:eastAsia="en-US"/>
        </w:rPr>
        <w:t xml:space="preserve">        Тарасова О. Г.,</w:t>
      </w:r>
    </w:p>
    <w:p w:rsidR="00102687" w:rsidRPr="00281602" w:rsidRDefault="00EA11E0" w:rsidP="00102687">
      <w:pPr>
        <w:ind w:left="2410"/>
        <w:jc w:val="right"/>
        <w:rPr>
          <w:rFonts w:eastAsia="Calibri"/>
          <w:sz w:val="22"/>
          <w:szCs w:val="22"/>
          <w:lang w:eastAsia="en-US"/>
        </w:rPr>
      </w:pPr>
      <w:r>
        <w:rPr>
          <w:rFonts w:eastAsia="Calibri"/>
          <w:sz w:val="22"/>
          <w:szCs w:val="22"/>
          <w:lang w:eastAsia="en-US"/>
        </w:rPr>
        <w:t>профессор кафедры архитектуры</w:t>
      </w:r>
    </w:p>
    <w:p w:rsidR="00EA11E0" w:rsidRDefault="00102687" w:rsidP="00102687">
      <w:pPr>
        <w:ind w:left="2410"/>
        <w:jc w:val="right"/>
        <w:rPr>
          <w:rFonts w:eastAsia="Calibri"/>
          <w:sz w:val="22"/>
          <w:szCs w:val="22"/>
          <w:lang w:eastAsia="en-US"/>
        </w:rPr>
      </w:pPr>
      <w:r w:rsidRPr="00281602">
        <w:rPr>
          <w:rFonts w:eastAsia="Calibri"/>
          <w:sz w:val="22"/>
          <w:szCs w:val="22"/>
          <w:lang w:eastAsia="en-US"/>
        </w:rPr>
        <w:t>Куб</w:t>
      </w:r>
      <w:r w:rsidR="00EA11E0">
        <w:rPr>
          <w:rFonts w:eastAsia="Calibri"/>
          <w:sz w:val="22"/>
          <w:szCs w:val="22"/>
          <w:lang w:eastAsia="en-US"/>
        </w:rPr>
        <w:t>анский государственный аграрный</w:t>
      </w:r>
    </w:p>
    <w:p w:rsidR="00102687" w:rsidRPr="00281602" w:rsidRDefault="00102687" w:rsidP="00102687">
      <w:pPr>
        <w:ind w:left="2410"/>
        <w:jc w:val="right"/>
        <w:rPr>
          <w:rFonts w:eastAsia="Calibri"/>
          <w:sz w:val="22"/>
          <w:szCs w:val="22"/>
          <w:lang w:eastAsia="en-US"/>
        </w:rPr>
      </w:pPr>
      <w:r w:rsidRPr="00281602">
        <w:rPr>
          <w:rFonts w:eastAsia="Calibri"/>
          <w:sz w:val="22"/>
          <w:szCs w:val="22"/>
          <w:lang w:eastAsia="en-US"/>
        </w:rPr>
        <w:t>университет имени И.</w:t>
      </w:r>
      <w:r w:rsidR="00EA11E0">
        <w:rPr>
          <w:rFonts w:eastAsia="Calibri"/>
          <w:sz w:val="22"/>
          <w:szCs w:val="22"/>
          <w:lang w:eastAsia="en-US"/>
        </w:rPr>
        <w:t xml:space="preserve"> </w:t>
      </w:r>
      <w:r w:rsidRPr="00281602">
        <w:rPr>
          <w:rFonts w:eastAsia="Calibri"/>
          <w:sz w:val="22"/>
          <w:szCs w:val="22"/>
          <w:lang w:eastAsia="en-US"/>
        </w:rPr>
        <w:t>Т. Трубилина</w:t>
      </w:r>
    </w:p>
    <w:p w:rsidR="00102687" w:rsidRPr="00281602" w:rsidRDefault="00102687" w:rsidP="00102687">
      <w:pPr>
        <w:jc w:val="both"/>
        <w:rPr>
          <w:rFonts w:eastAsia="Calibri"/>
          <w:sz w:val="22"/>
          <w:szCs w:val="22"/>
          <w:lang w:eastAsia="en-US"/>
        </w:rPr>
      </w:pPr>
    </w:p>
    <w:p w:rsidR="00102687" w:rsidRPr="00281602" w:rsidRDefault="00102687" w:rsidP="00102687">
      <w:pPr>
        <w:ind w:firstLine="426"/>
        <w:jc w:val="both"/>
        <w:rPr>
          <w:rFonts w:eastAsia="Calibri"/>
          <w:sz w:val="22"/>
          <w:szCs w:val="22"/>
          <w:lang w:eastAsia="en-US"/>
        </w:rPr>
      </w:pPr>
      <w:r w:rsidRPr="00281602">
        <w:rPr>
          <w:rFonts w:eastAsia="Calibri"/>
          <w:sz w:val="22"/>
          <w:szCs w:val="22"/>
          <w:lang w:eastAsia="en-US"/>
        </w:rPr>
        <w:t>АННОТАЦИЯ.</w:t>
      </w:r>
      <w:r w:rsidRPr="00281602">
        <w:rPr>
          <w:rFonts w:eastAsia="Calibri"/>
          <w:b/>
          <w:sz w:val="22"/>
          <w:szCs w:val="22"/>
          <w:lang w:eastAsia="en-US"/>
        </w:rPr>
        <w:t xml:space="preserve"> </w:t>
      </w:r>
      <w:r w:rsidRPr="00EA11E0">
        <w:rPr>
          <w:rFonts w:eastAsia="Calibri"/>
          <w:sz w:val="22"/>
          <w:szCs w:val="22"/>
          <w:lang w:eastAsia="en-US"/>
        </w:rPr>
        <w:t>Ра</w:t>
      </w:r>
      <w:r w:rsidRPr="00281602">
        <w:rPr>
          <w:rFonts w:eastAsia="Calibri"/>
          <w:sz w:val="22"/>
          <w:szCs w:val="22"/>
          <w:lang w:eastAsia="en-US"/>
        </w:rPr>
        <w:t>ссмотрены перспективные возможности св</w:t>
      </w:r>
      <w:r w:rsidRPr="00281602">
        <w:rPr>
          <w:rFonts w:eastAsia="Calibri"/>
          <w:sz w:val="22"/>
          <w:szCs w:val="22"/>
          <w:lang w:eastAsia="en-US"/>
        </w:rPr>
        <w:t>е</w:t>
      </w:r>
      <w:r w:rsidRPr="00281602">
        <w:rPr>
          <w:rFonts w:eastAsia="Calibri"/>
          <w:sz w:val="22"/>
          <w:szCs w:val="22"/>
          <w:lang w:eastAsia="en-US"/>
        </w:rPr>
        <w:t>тодиодного освещения в исторической части г. Краснодара для улучшения качества освещения улиц и архитектурных объектов. Предлагается использовать световой (светодиодный) экран в кач</w:t>
      </w:r>
      <w:r w:rsidRPr="00281602">
        <w:rPr>
          <w:rFonts w:eastAsia="Calibri"/>
          <w:sz w:val="22"/>
          <w:szCs w:val="22"/>
          <w:lang w:eastAsia="en-US"/>
        </w:rPr>
        <w:t>е</w:t>
      </w:r>
      <w:r w:rsidRPr="00281602">
        <w:rPr>
          <w:rFonts w:eastAsia="Calibri"/>
          <w:sz w:val="22"/>
          <w:szCs w:val="22"/>
          <w:lang w:eastAsia="en-US"/>
        </w:rPr>
        <w:t xml:space="preserve">стве дополнительного освещения улиц с соблюдением основных требований, норм и критерий по их расположению в городском пространстве. Основная идея заключается в создании безопасного, экономичного и экологически чистого метода освещения улиц. </w:t>
      </w:r>
    </w:p>
    <w:p w:rsidR="00102687" w:rsidRPr="00281602" w:rsidRDefault="00102687" w:rsidP="001026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proofErr w:type="gramStart"/>
      <w:r w:rsidRPr="00281602">
        <w:rPr>
          <w:sz w:val="20"/>
          <w:szCs w:val="20"/>
          <w:lang w:val="en-US"/>
        </w:rPr>
        <w:t>ANNOTATION.</w:t>
      </w:r>
      <w:proofErr w:type="gramEnd"/>
      <w:r w:rsidRPr="00281602">
        <w:rPr>
          <w:rFonts w:ascii="inherit" w:hAnsi="inherit" w:cs="Courier New"/>
          <w:sz w:val="20"/>
          <w:szCs w:val="20"/>
          <w:lang w:val="en-US"/>
        </w:rPr>
        <w:t xml:space="preserve"> </w:t>
      </w:r>
      <w:r w:rsidRPr="00281602">
        <w:rPr>
          <w:sz w:val="22"/>
          <w:szCs w:val="22"/>
          <w:lang w:val="en-US"/>
        </w:rPr>
        <w:t>Prospective possibilities of LED lighting in the hi</w:t>
      </w:r>
      <w:r w:rsidRPr="00281602">
        <w:rPr>
          <w:sz w:val="22"/>
          <w:szCs w:val="22"/>
          <w:lang w:val="en-US"/>
        </w:rPr>
        <w:t>s</w:t>
      </w:r>
      <w:r w:rsidRPr="00281602">
        <w:rPr>
          <w:sz w:val="22"/>
          <w:szCs w:val="22"/>
          <w:lang w:val="en-US"/>
        </w:rPr>
        <w:t>torical part of Krasnodar are considered to improve the quality of street lighting and architectural objects. It is proposed to use a light (LED) screen as additional street lighting in accordance with basic requir</w:t>
      </w:r>
      <w:r w:rsidRPr="00281602">
        <w:rPr>
          <w:sz w:val="22"/>
          <w:szCs w:val="22"/>
          <w:lang w:val="en-US"/>
        </w:rPr>
        <w:t>e</w:t>
      </w:r>
      <w:r w:rsidRPr="00281602">
        <w:rPr>
          <w:sz w:val="22"/>
          <w:szCs w:val="22"/>
          <w:lang w:val="en-US"/>
        </w:rPr>
        <w:t>ments, norms and criteria for their location in the urban space. The basic idea is to create a safe, economical and environmentally friendly method of street lighting.</w:t>
      </w:r>
    </w:p>
    <w:p w:rsidR="00102687" w:rsidRPr="00281602" w:rsidRDefault="00102687" w:rsidP="00102687">
      <w:pPr>
        <w:ind w:firstLine="426"/>
        <w:jc w:val="both"/>
        <w:rPr>
          <w:rFonts w:eastAsia="Calibri"/>
          <w:sz w:val="22"/>
          <w:szCs w:val="22"/>
          <w:lang w:eastAsia="en-US"/>
        </w:rPr>
      </w:pPr>
      <w:proofErr w:type="gramStart"/>
      <w:r w:rsidRPr="00281602">
        <w:rPr>
          <w:rFonts w:eastAsia="Calibri"/>
          <w:sz w:val="22"/>
          <w:szCs w:val="22"/>
          <w:lang w:eastAsia="en-US"/>
        </w:rPr>
        <w:t>КЛЮЧЕВЫЕ СЛОВА:</w:t>
      </w:r>
      <w:r w:rsidRPr="00281602">
        <w:rPr>
          <w:rFonts w:eastAsia="Calibri"/>
          <w:b/>
          <w:sz w:val="22"/>
          <w:szCs w:val="22"/>
          <w:lang w:eastAsia="en-US"/>
        </w:rPr>
        <w:t xml:space="preserve"> </w:t>
      </w:r>
      <w:r w:rsidRPr="00281602">
        <w:rPr>
          <w:rFonts w:eastAsia="Calibri"/>
          <w:sz w:val="22"/>
          <w:szCs w:val="22"/>
          <w:lang w:eastAsia="en-US"/>
        </w:rPr>
        <w:t>освещение, цвет, световой экран, свет</w:t>
      </w:r>
      <w:r w:rsidRPr="00281602">
        <w:rPr>
          <w:rFonts w:eastAsia="Calibri"/>
          <w:sz w:val="22"/>
          <w:szCs w:val="22"/>
          <w:lang w:eastAsia="en-US"/>
        </w:rPr>
        <w:t>о</w:t>
      </w:r>
      <w:r w:rsidRPr="00281602">
        <w:rPr>
          <w:rFonts w:eastAsia="Calibri"/>
          <w:sz w:val="22"/>
          <w:szCs w:val="22"/>
          <w:lang w:eastAsia="en-US"/>
        </w:rPr>
        <w:t xml:space="preserve">диодный экран, светодиод, световая архитектура, </w:t>
      </w:r>
      <w:r w:rsidRPr="00281602">
        <w:rPr>
          <w:rFonts w:eastAsia="Calibri"/>
          <w:sz w:val="24"/>
          <w:szCs w:val="24"/>
          <w:lang w:eastAsia="en-US"/>
        </w:rPr>
        <w:t>свето-цветовой</w:t>
      </w:r>
      <w:r w:rsidRPr="00281602">
        <w:rPr>
          <w:rFonts w:eastAsia="Calibri"/>
          <w:sz w:val="22"/>
          <w:szCs w:val="22"/>
          <w:lang w:eastAsia="en-US"/>
        </w:rPr>
        <w:t xml:space="preserve"> дизайн.  </w:t>
      </w:r>
      <w:proofErr w:type="gramEnd"/>
    </w:p>
    <w:p w:rsidR="00102687" w:rsidRPr="00024398" w:rsidRDefault="00102687" w:rsidP="00102687">
      <w:pPr>
        <w:ind w:firstLine="426"/>
        <w:jc w:val="both"/>
        <w:rPr>
          <w:rFonts w:eastAsia="Calibri"/>
          <w:sz w:val="22"/>
          <w:szCs w:val="22"/>
          <w:shd w:val="clear" w:color="auto" w:fill="FFFFFF"/>
          <w:lang w:val="en-US" w:eastAsia="en-US"/>
        </w:rPr>
      </w:pPr>
      <w:r w:rsidRPr="00281602">
        <w:rPr>
          <w:rFonts w:eastAsia="Calibri"/>
          <w:sz w:val="22"/>
          <w:szCs w:val="22"/>
          <w:lang w:val="en-US" w:eastAsia="en-US"/>
        </w:rPr>
        <w:t>KEYWORDS:</w:t>
      </w:r>
      <w:r w:rsidRPr="00281602">
        <w:rPr>
          <w:rFonts w:ascii="Calibri" w:eastAsia="Calibri" w:hAnsi="Calibri"/>
          <w:sz w:val="22"/>
          <w:szCs w:val="22"/>
          <w:lang w:val="en-US" w:eastAsia="en-US"/>
        </w:rPr>
        <w:t xml:space="preserve"> </w:t>
      </w:r>
      <w:r w:rsidRPr="00281602">
        <w:rPr>
          <w:rFonts w:eastAsia="Calibri"/>
          <w:sz w:val="22"/>
          <w:szCs w:val="22"/>
          <w:shd w:val="clear" w:color="auto" w:fill="FFFFFF"/>
          <w:lang w:val="en-US" w:eastAsia="en-US"/>
        </w:rPr>
        <w:t>lighting, color, light screen, LED screen, LED, light architecture, light-color design.</w:t>
      </w:r>
    </w:p>
    <w:p w:rsidR="00EA11E0" w:rsidRPr="00024398" w:rsidRDefault="00EA11E0" w:rsidP="00102687">
      <w:pPr>
        <w:ind w:firstLine="426"/>
        <w:jc w:val="both"/>
        <w:rPr>
          <w:rFonts w:eastAsia="Calibri"/>
          <w:sz w:val="22"/>
          <w:szCs w:val="22"/>
          <w:shd w:val="clear" w:color="auto" w:fill="FFFFFF"/>
          <w:lang w:val="en-US" w:eastAsia="en-US"/>
        </w:rPr>
      </w:pP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lastRenderedPageBreak/>
        <w:t>Развитие светового дизайна в архитектуре города является а</w:t>
      </w:r>
      <w:r w:rsidRPr="00281602">
        <w:rPr>
          <w:rFonts w:eastAsia="Calibri"/>
          <w:sz w:val="22"/>
          <w:szCs w:val="22"/>
          <w:lang w:eastAsia="en-US"/>
        </w:rPr>
        <w:t>к</w:t>
      </w:r>
      <w:r w:rsidRPr="00281602">
        <w:rPr>
          <w:rFonts w:eastAsia="Calibri"/>
          <w:sz w:val="22"/>
          <w:szCs w:val="22"/>
          <w:lang w:eastAsia="en-US"/>
        </w:rPr>
        <w:t>туальной задачей, решение которой требует инновационного по</w:t>
      </w:r>
      <w:r w:rsidRPr="00281602">
        <w:rPr>
          <w:rFonts w:eastAsia="Calibri"/>
          <w:sz w:val="22"/>
          <w:szCs w:val="22"/>
          <w:lang w:eastAsia="en-US"/>
        </w:rPr>
        <w:t>д</w:t>
      </w:r>
      <w:r w:rsidRPr="00281602">
        <w:rPr>
          <w:rFonts w:eastAsia="Calibri"/>
          <w:sz w:val="22"/>
          <w:szCs w:val="22"/>
          <w:lang w:eastAsia="en-US"/>
        </w:rPr>
        <w:t>хода к существующим и новым технологиям и приемам.</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В современном мире город не спит в ночное время, он живёт достаточно интенсивно и его неотъемлемой частью в это время с</w:t>
      </w:r>
      <w:r w:rsidRPr="00281602">
        <w:rPr>
          <w:rFonts w:eastAsia="Calibri"/>
          <w:sz w:val="22"/>
          <w:szCs w:val="22"/>
          <w:lang w:eastAsia="en-US"/>
        </w:rPr>
        <w:t>у</w:t>
      </w:r>
      <w:r w:rsidRPr="00281602">
        <w:rPr>
          <w:rFonts w:eastAsia="Calibri"/>
          <w:sz w:val="22"/>
          <w:szCs w:val="22"/>
          <w:lang w:eastAsia="en-US"/>
        </w:rPr>
        <w:t>ток является освещение. Формирование архитектурно-световой среды улиц является фактором, создающий образ города и вызыв</w:t>
      </w:r>
      <w:r w:rsidRPr="00281602">
        <w:rPr>
          <w:rFonts w:eastAsia="Calibri"/>
          <w:sz w:val="22"/>
          <w:szCs w:val="22"/>
          <w:lang w:eastAsia="en-US"/>
        </w:rPr>
        <w:t>а</w:t>
      </w:r>
      <w:r w:rsidRPr="00281602">
        <w:rPr>
          <w:rFonts w:eastAsia="Calibri"/>
          <w:sz w:val="22"/>
          <w:szCs w:val="22"/>
          <w:lang w:eastAsia="en-US"/>
        </w:rPr>
        <w:t xml:space="preserve">ющим у человека яркие ощущения от интенсивных цветных картин. </w:t>
      </w:r>
    </w:p>
    <w:p w:rsidR="00102687" w:rsidRPr="00281602" w:rsidRDefault="00102687" w:rsidP="00913431">
      <w:pPr>
        <w:ind w:firstLine="426"/>
        <w:jc w:val="both"/>
        <w:rPr>
          <w:rFonts w:eastAsia="Calibri"/>
          <w:sz w:val="22"/>
          <w:szCs w:val="22"/>
          <w:lang w:eastAsia="en-US"/>
        </w:rPr>
      </w:pPr>
      <w:r w:rsidRPr="00281602">
        <w:rPr>
          <w:rFonts w:eastAsia="Calibri"/>
          <w:bCs/>
          <w:sz w:val="22"/>
          <w:szCs w:val="22"/>
          <w:lang w:eastAsia="en-US"/>
        </w:rPr>
        <w:t>Как отмечено</w:t>
      </w:r>
      <w:r w:rsidRPr="00281602">
        <w:rPr>
          <w:rFonts w:eastAsia="Calibri"/>
          <w:sz w:val="22"/>
          <w:szCs w:val="22"/>
          <w:lang w:eastAsia="en-US"/>
        </w:rPr>
        <w:t xml:space="preserve"> Ту</w:t>
      </w:r>
      <w:r w:rsidR="00EA11E0">
        <w:rPr>
          <w:rFonts w:eastAsia="Calibri"/>
          <w:sz w:val="22"/>
          <w:szCs w:val="22"/>
          <w:lang w:eastAsia="en-US"/>
        </w:rPr>
        <w:t>рыгиной Евгеньевной Михайловной</w:t>
      </w:r>
      <w:r w:rsidRPr="00281602">
        <w:rPr>
          <w:rFonts w:eastAsia="Calibri"/>
          <w:sz w:val="22"/>
          <w:szCs w:val="22"/>
          <w:lang w:eastAsia="en-US"/>
        </w:rPr>
        <w:t xml:space="preserve"> и Зубк</w:t>
      </w:r>
      <w:r w:rsidRPr="00281602">
        <w:rPr>
          <w:rFonts w:eastAsia="Calibri"/>
          <w:sz w:val="22"/>
          <w:szCs w:val="22"/>
          <w:lang w:eastAsia="en-US"/>
        </w:rPr>
        <w:t>о</w:t>
      </w:r>
      <w:r w:rsidRPr="00281602">
        <w:rPr>
          <w:rFonts w:eastAsia="Calibri"/>
          <w:sz w:val="22"/>
          <w:szCs w:val="22"/>
          <w:lang w:eastAsia="en-US"/>
        </w:rPr>
        <w:t>вой Людмилой Ко</w:t>
      </w:r>
      <w:r w:rsidR="00EA11E0">
        <w:rPr>
          <w:rFonts w:eastAsia="Calibri"/>
          <w:sz w:val="22"/>
          <w:szCs w:val="22"/>
          <w:lang w:eastAsia="en-US"/>
        </w:rPr>
        <w:t>нстантиновной</w:t>
      </w:r>
      <w:r w:rsidRPr="00281602">
        <w:rPr>
          <w:rFonts w:eastAsia="Calibri"/>
          <w:sz w:val="22"/>
          <w:szCs w:val="22"/>
          <w:lang w:eastAsia="en-US"/>
        </w:rPr>
        <w:t xml:space="preserve"> «Одна из основных особенностей глаза по сравнению с другими приемниками излучений состоит в том, что глаз способен оценивать не только количество, но и кач</w:t>
      </w:r>
      <w:r w:rsidRPr="00281602">
        <w:rPr>
          <w:rFonts w:eastAsia="Calibri"/>
          <w:sz w:val="22"/>
          <w:szCs w:val="22"/>
          <w:lang w:eastAsia="en-US"/>
        </w:rPr>
        <w:t>е</w:t>
      </w:r>
      <w:r w:rsidRPr="00281602">
        <w:rPr>
          <w:rFonts w:eastAsia="Calibri"/>
          <w:sz w:val="22"/>
          <w:szCs w:val="22"/>
          <w:lang w:eastAsia="en-US"/>
        </w:rPr>
        <w:t>ство действующих излучений». «Цвет всегда несет смысловую нагрузку, и его воздействие неотделимо от принадлежности к пре</w:t>
      </w:r>
      <w:r w:rsidRPr="00281602">
        <w:rPr>
          <w:rFonts w:eastAsia="Calibri"/>
          <w:sz w:val="22"/>
          <w:szCs w:val="22"/>
          <w:lang w:eastAsia="en-US"/>
        </w:rPr>
        <w:t>д</w:t>
      </w:r>
      <w:r w:rsidRPr="00281602">
        <w:rPr>
          <w:rFonts w:eastAsia="Calibri"/>
          <w:sz w:val="22"/>
          <w:szCs w:val="22"/>
          <w:lang w:eastAsia="en-US"/>
        </w:rPr>
        <w:t>мету, его объему, материалу или пространству. Поэтому только ч</w:t>
      </w:r>
      <w:r w:rsidRPr="00281602">
        <w:rPr>
          <w:rFonts w:eastAsia="Calibri"/>
          <w:sz w:val="22"/>
          <w:szCs w:val="22"/>
          <w:lang w:eastAsia="en-US"/>
        </w:rPr>
        <w:t>е</w:t>
      </w:r>
      <w:r w:rsidRPr="00281602">
        <w:rPr>
          <w:rFonts w:eastAsia="Calibri"/>
          <w:sz w:val="22"/>
          <w:szCs w:val="22"/>
          <w:lang w:eastAsia="en-US"/>
        </w:rPr>
        <w:t>рез выражение материальных свойств изображаемых предметов, через раскрытие их объемных и пространственных качеств, при условии цельного колористического решения цвет в проекте может создавать настроение, выражать определенные чувства и мысли». (Из статьи «</w:t>
      </w:r>
      <w:r w:rsidRPr="00281602">
        <w:rPr>
          <w:rFonts w:eastAsia="Calibri"/>
          <w:bCs/>
          <w:sz w:val="22"/>
          <w:szCs w:val="22"/>
          <w:lang w:eastAsia="en-US"/>
        </w:rPr>
        <w:t>Психология процесса восприятия и психофизиологич</w:t>
      </w:r>
      <w:r w:rsidRPr="00281602">
        <w:rPr>
          <w:rFonts w:eastAsia="Calibri"/>
          <w:bCs/>
          <w:sz w:val="22"/>
          <w:szCs w:val="22"/>
          <w:lang w:eastAsia="en-US"/>
        </w:rPr>
        <w:t>е</w:t>
      </w:r>
      <w:r w:rsidRPr="00281602">
        <w:rPr>
          <w:rFonts w:eastAsia="Calibri"/>
          <w:bCs/>
          <w:sz w:val="22"/>
          <w:szCs w:val="22"/>
          <w:lang w:eastAsia="en-US"/>
        </w:rPr>
        <w:t>ское воздействие цвета на человека</w:t>
      </w:r>
      <w:r w:rsidRPr="00281602">
        <w:rPr>
          <w:rFonts w:eastAsia="Calibri"/>
          <w:sz w:val="22"/>
          <w:szCs w:val="22"/>
          <w:lang w:eastAsia="en-US"/>
        </w:rPr>
        <w:t>»</w:t>
      </w:r>
      <w:r w:rsidRPr="00281602">
        <w:rPr>
          <w:rFonts w:eastAsia="Calibri"/>
          <w:bCs/>
          <w:sz w:val="22"/>
          <w:szCs w:val="22"/>
          <w:lang w:eastAsia="en-US"/>
        </w:rPr>
        <w:t xml:space="preserve"> </w:t>
      </w:r>
      <w:r w:rsidRPr="00281602">
        <w:rPr>
          <w:rFonts w:eastAsia="Calibri"/>
          <w:sz w:val="22"/>
          <w:szCs w:val="22"/>
          <w:lang w:eastAsia="en-US"/>
        </w:rPr>
        <w:t>Турыгина Евгения Михайло</w:t>
      </w:r>
      <w:r w:rsidRPr="00281602">
        <w:rPr>
          <w:rFonts w:eastAsia="Calibri"/>
          <w:sz w:val="22"/>
          <w:szCs w:val="22"/>
          <w:lang w:eastAsia="en-US"/>
        </w:rPr>
        <w:t>в</w:t>
      </w:r>
      <w:r w:rsidRPr="00281602">
        <w:rPr>
          <w:rFonts w:eastAsia="Calibri"/>
          <w:sz w:val="22"/>
          <w:szCs w:val="22"/>
          <w:lang w:eastAsia="en-US"/>
        </w:rPr>
        <w:t>на  и Зубкова Людмила Константиновна</w:t>
      </w:r>
      <w:r w:rsidRPr="00281602">
        <w:rPr>
          <w:rFonts w:eastAsia="Calibri"/>
          <w:bCs/>
          <w:sz w:val="22"/>
          <w:szCs w:val="22"/>
          <w:lang w:eastAsia="en-US"/>
        </w:rPr>
        <w:t>) [1]</w:t>
      </w:r>
      <w:r w:rsidRPr="00281602">
        <w:rPr>
          <w:rFonts w:eastAsia="Calibri"/>
          <w:sz w:val="22"/>
          <w:szCs w:val="22"/>
          <w:lang w:eastAsia="en-US"/>
        </w:rPr>
        <w:t>.</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 xml:space="preserve">Применение световых экранов  является одной из современных технологий </w:t>
      </w:r>
      <w:proofErr w:type="gramStart"/>
      <w:r w:rsidRPr="00281602">
        <w:rPr>
          <w:rFonts w:eastAsia="Calibri"/>
          <w:sz w:val="22"/>
          <w:szCs w:val="22"/>
          <w:lang w:eastAsia="en-US"/>
        </w:rPr>
        <w:t>свето-цветового</w:t>
      </w:r>
      <w:proofErr w:type="gramEnd"/>
      <w:r w:rsidRPr="00281602">
        <w:rPr>
          <w:rFonts w:eastAsia="Calibri"/>
          <w:sz w:val="22"/>
          <w:szCs w:val="22"/>
          <w:lang w:eastAsia="en-US"/>
        </w:rPr>
        <w:t xml:space="preserve"> оформления ночного города. Инжене</w:t>
      </w:r>
      <w:r w:rsidRPr="00281602">
        <w:rPr>
          <w:rFonts w:eastAsia="Calibri"/>
          <w:sz w:val="22"/>
          <w:szCs w:val="22"/>
          <w:lang w:eastAsia="en-US"/>
        </w:rPr>
        <w:t>р</w:t>
      </w:r>
      <w:r w:rsidRPr="00281602">
        <w:rPr>
          <w:rFonts w:eastAsia="Calibri"/>
          <w:sz w:val="22"/>
          <w:szCs w:val="22"/>
          <w:lang w:eastAsia="en-US"/>
        </w:rPr>
        <w:t>ное решение самих объектов постоянно совершенствуется. Если ранее световые экраны подвергались резкой критике, считалось, что их применение может привести к «загрязнению» с</w:t>
      </w:r>
      <w:r w:rsidR="00913431">
        <w:rPr>
          <w:rFonts w:eastAsia="Calibri"/>
          <w:sz w:val="22"/>
          <w:szCs w:val="22"/>
          <w:lang w:eastAsia="en-US"/>
        </w:rPr>
        <w:t>ветом улиц и ф</w:t>
      </w:r>
      <w:r w:rsidR="00913431">
        <w:rPr>
          <w:rFonts w:eastAsia="Calibri"/>
          <w:sz w:val="22"/>
          <w:szCs w:val="22"/>
          <w:lang w:eastAsia="en-US"/>
        </w:rPr>
        <w:t>а</w:t>
      </w:r>
      <w:r w:rsidR="00913431">
        <w:rPr>
          <w:rFonts w:eastAsia="Calibri"/>
          <w:sz w:val="22"/>
          <w:szCs w:val="22"/>
          <w:lang w:eastAsia="en-US"/>
        </w:rPr>
        <w:t>садов зданий, то</w:t>
      </w:r>
      <w:r w:rsidRPr="00281602">
        <w:rPr>
          <w:rFonts w:eastAsia="Calibri"/>
          <w:sz w:val="22"/>
          <w:szCs w:val="22"/>
          <w:lang w:eastAsia="en-US"/>
        </w:rPr>
        <w:t xml:space="preserve"> сейчас разработка их инсталляции является частью процесса проектирования и дизайнерского решения. Данный по</w:t>
      </w:r>
      <w:r w:rsidRPr="00281602">
        <w:rPr>
          <w:rFonts w:eastAsia="Calibri"/>
          <w:sz w:val="22"/>
          <w:szCs w:val="22"/>
          <w:lang w:eastAsia="en-US"/>
        </w:rPr>
        <w:t>д</w:t>
      </w:r>
      <w:r w:rsidRPr="00281602">
        <w:rPr>
          <w:rFonts w:eastAsia="Calibri"/>
          <w:sz w:val="22"/>
          <w:szCs w:val="22"/>
          <w:lang w:eastAsia="en-US"/>
        </w:rPr>
        <w:t xml:space="preserve">ход и соблюдение всех норм проектирования ведёт к возможности свежим взглядом посмотреть на архитектуру города. </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В г. Краснодаре приоритетной задачей является улучшение к</w:t>
      </w:r>
      <w:r w:rsidRPr="00281602">
        <w:rPr>
          <w:rFonts w:eastAsia="Calibri"/>
          <w:sz w:val="22"/>
          <w:szCs w:val="22"/>
          <w:lang w:eastAsia="en-US"/>
        </w:rPr>
        <w:t>а</w:t>
      </w:r>
      <w:r w:rsidRPr="00281602">
        <w:rPr>
          <w:rFonts w:eastAsia="Calibri"/>
          <w:sz w:val="22"/>
          <w:szCs w:val="22"/>
          <w:lang w:eastAsia="en-US"/>
        </w:rPr>
        <w:t>чества освещения улиц и архитектурных, особенно его историч</w:t>
      </w:r>
      <w:r w:rsidRPr="00281602">
        <w:rPr>
          <w:rFonts w:eastAsia="Calibri"/>
          <w:sz w:val="22"/>
          <w:szCs w:val="22"/>
          <w:lang w:eastAsia="en-US"/>
        </w:rPr>
        <w:t>е</w:t>
      </w:r>
      <w:r w:rsidRPr="00281602">
        <w:rPr>
          <w:rFonts w:eastAsia="Calibri"/>
          <w:sz w:val="22"/>
          <w:szCs w:val="22"/>
          <w:lang w:eastAsia="en-US"/>
        </w:rPr>
        <w:t>ской части.</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Рассматривая использование световых экранов в городской среде с экономической точки зрения, следует отметить что «трад</w:t>
      </w:r>
      <w:r w:rsidRPr="00281602">
        <w:rPr>
          <w:rFonts w:eastAsia="Calibri"/>
          <w:sz w:val="22"/>
          <w:szCs w:val="22"/>
          <w:lang w:eastAsia="en-US"/>
        </w:rPr>
        <w:t>и</w:t>
      </w:r>
      <w:r w:rsidRPr="00281602">
        <w:rPr>
          <w:rFonts w:eastAsia="Calibri"/>
          <w:sz w:val="22"/>
          <w:szCs w:val="22"/>
          <w:lang w:eastAsia="en-US"/>
        </w:rPr>
        <w:t>ционное» освещение улиц лампами накаливания, люминесцентн</w:t>
      </w:r>
      <w:r w:rsidRPr="00281602">
        <w:rPr>
          <w:rFonts w:eastAsia="Calibri"/>
          <w:sz w:val="22"/>
          <w:szCs w:val="22"/>
          <w:lang w:eastAsia="en-US"/>
        </w:rPr>
        <w:t>ы</w:t>
      </w:r>
      <w:r w:rsidRPr="00281602">
        <w:rPr>
          <w:rFonts w:eastAsia="Calibri"/>
          <w:sz w:val="22"/>
          <w:szCs w:val="22"/>
          <w:lang w:eastAsia="en-US"/>
        </w:rPr>
        <w:t xml:space="preserve">ми и компактными люминесцентными лампами менее эффективно </w:t>
      </w:r>
      <w:r w:rsidRPr="00281602">
        <w:rPr>
          <w:rFonts w:eastAsia="Calibri"/>
          <w:sz w:val="22"/>
          <w:szCs w:val="22"/>
          <w:lang w:eastAsia="en-US"/>
        </w:rPr>
        <w:lastRenderedPageBreak/>
        <w:t>и экономически выгодно, чем освещение светодиодными освет</w:t>
      </w:r>
      <w:r w:rsidRPr="00281602">
        <w:rPr>
          <w:rFonts w:eastAsia="Calibri"/>
          <w:sz w:val="22"/>
          <w:szCs w:val="22"/>
          <w:lang w:eastAsia="en-US"/>
        </w:rPr>
        <w:t>и</w:t>
      </w:r>
      <w:r w:rsidRPr="00281602">
        <w:rPr>
          <w:rFonts w:eastAsia="Calibri"/>
          <w:sz w:val="22"/>
          <w:szCs w:val="22"/>
          <w:lang w:eastAsia="en-US"/>
        </w:rPr>
        <w:t>тельными системами. Светоотдача у светодиодов 100-150 лм/Вт. Чем выше этот показатель, тем эффективнее расходуется электр</w:t>
      </w:r>
      <w:r w:rsidRPr="00281602">
        <w:rPr>
          <w:rFonts w:eastAsia="Calibri"/>
          <w:sz w:val="22"/>
          <w:szCs w:val="22"/>
          <w:lang w:eastAsia="en-US"/>
        </w:rPr>
        <w:t>и</w:t>
      </w:r>
      <w:r w:rsidRPr="00281602">
        <w:rPr>
          <w:rFonts w:eastAsia="Calibri"/>
          <w:sz w:val="22"/>
          <w:szCs w:val="22"/>
          <w:lang w:eastAsia="en-US"/>
        </w:rPr>
        <w:t>чество, КПД на уровне 100% - полупроводники преобразуют эне</w:t>
      </w:r>
      <w:r w:rsidRPr="00281602">
        <w:rPr>
          <w:rFonts w:eastAsia="Calibri"/>
          <w:sz w:val="22"/>
          <w:szCs w:val="22"/>
          <w:lang w:eastAsia="en-US"/>
        </w:rPr>
        <w:t>р</w:t>
      </w:r>
      <w:r w:rsidRPr="00281602">
        <w:rPr>
          <w:rFonts w:eastAsia="Calibri"/>
          <w:sz w:val="22"/>
          <w:szCs w:val="22"/>
          <w:lang w:eastAsia="en-US"/>
        </w:rPr>
        <w:t>гию в свет. Ис</w:t>
      </w:r>
      <w:r w:rsidR="00913431">
        <w:rPr>
          <w:rFonts w:eastAsia="Calibri"/>
          <w:sz w:val="22"/>
          <w:szCs w:val="22"/>
          <w:lang w:eastAsia="en-US"/>
        </w:rPr>
        <w:t xml:space="preserve">пользование </w:t>
      </w:r>
      <w:r w:rsidRPr="00281602">
        <w:rPr>
          <w:rFonts w:eastAsia="Calibri"/>
          <w:sz w:val="22"/>
          <w:szCs w:val="22"/>
          <w:lang w:eastAsia="en-US"/>
        </w:rPr>
        <w:t>светодиодных экран дает возможность эффективно применять их не только как рекламные носители с кр</w:t>
      </w:r>
      <w:r w:rsidRPr="00281602">
        <w:rPr>
          <w:rFonts w:eastAsia="Calibri"/>
          <w:sz w:val="22"/>
          <w:szCs w:val="22"/>
          <w:lang w:eastAsia="en-US"/>
        </w:rPr>
        <w:t>а</w:t>
      </w:r>
      <w:r w:rsidRPr="00281602">
        <w:rPr>
          <w:rFonts w:eastAsia="Calibri"/>
          <w:sz w:val="22"/>
          <w:szCs w:val="22"/>
          <w:lang w:eastAsia="en-US"/>
        </w:rPr>
        <w:t xml:space="preserve">сивой картинкой, но и как дополнительное освещение улиц. </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 xml:space="preserve">Нами выполнен анализ требований к изготовлению, монтажу и эксплуатации световых экранов, которые должны быть применены при разработке проектной документации. </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Изучены и сопоставлены показатели норм освещения</w:t>
      </w:r>
      <w:r w:rsidR="00913431">
        <w:rPr>
          <w:rFonts w:eastAsia="Calibri"/>
          <w:sz w:val="22"/>
          <w:szCs w:val="22"/>
          <w:lang w:eastAsia="en-US"/>
        </w:rPr>
        <w:t xml:space="preserve"> объекта определяемые </w:t>
      </w:r>
      <w:r w:rsidRPr="00281602">
        <w:rPr>
          <w:rFonts w:eastAsia="Calibri"/>
          <w:sz w:val="22"/>
          <w:szCs w:val="22"/>
          <w:lang w:eastAsia="en-US"/>
        </w:rPr>
        <w:t xml:space="preserve">исходя из значимости и размещения в населённом пункте. Установлены </w:t>
      </w:r>
      <w:proofErr w:type="gramStart"/>
      <w:r w:rsidRPr="00281602">
        <w:rPr>
          <w:rFonts w:eastAsia="Calibri"/>
          <w:sz w:val="22"/>
          <w:szCs w:val="22"/>
          <w:lang w:eastAsia="en-US"/>
        </w:rPr>
        <w:t>категории</w:t>
      </w:r>
      <w:proofErr w:type="gramEnd"/>
      <w:r w:rsidRPr="00281602">
        <w:rPr>
          <w:rFonts w:eastAsia="Calibri"/>
          <w:sz w:val="22"/>
          <w:szCs w:val="22"/>
          <w:lang w:eastAsia="en-US"/>
        </w:rPr>
        <w:t xml:space="preserve"> и классы объектов в исторической части г. Краснодара. Сопоставлены нормативные требования как для проезжей части, так пешеходных зон в парке и на проспекте.</w:t>
      </w:r>
    </w:p>
    <w:p w:rsidR="00102687" w:rsidRPr="00281602" w:rsidRDefault="00102687" w:rsidP="00913431">
      <w:pPr>
        <w:ind w:firstLine="426"/>
        <w:jc w:val="both"/>
        <w:rPr>
          <w:rFonts w:eastAsia="Calibri"/>
          <w:sz w:val="22"/>
          <w:szCs w:val="22"/>
          <w:lang w:eastAsia="en-US"/>
        </w:rPr>
      </w:pPr>
      <w:r w:rsidRPr="00281602">
        <w:rPr>
          <w:rFonts w:eastAsia="Calibri"/>
          <w:sz w:val="22"/>
          <w:szCs w:val="22"/>
          <w:lang w:eastAsia="en-US"/>
        </w:rPr>
        <w:t>Разработка проекта освещения исторических улиц должна н</w:t>
      </w:r>
      <w:r w:rsidRPr="00281602">
        <w:rPr>
          <w:rFonts w:eastAsia="Calibri"/>
          <w:sz w:val="22"/>
          <w:szCs w:val="22"/>
          <w:lang w:eastAsia="en-US"/>
        </w:rPr>
        <w:t>о</w:t>
      </w:r>
      <w:r w:rsidRPr="00281602">
        <w:rPr>
          <w:rFonts w:eastAsia="Calibri"/>
          <w:sz w:val="22"/>
          <w:szCs w:val="22"/>
          <w:lang w:eastAsia="en-US"/>
        </w:rPr>
        <w:t>сить целостный характер. Важно учитывать не только утилитарную функцию источников света, но и цветовое восприятие объектов при архитектурной подсветке зданий.</w:t>
      </w:r>
    </w:p>
    <w:p w:rsidR="00102687" w:rsidRPr="00281602" w:rsidRDefault="00102687" w:rsidP="00102687">
      <w:pPr>
        <w:ind w:firstLine="426"/>
        <w:jc w:val="both"/>
        <w:rPr>
          <w:rFonts w:eastAsia="Calibri"/>
          <w:sz w:val="22"/>
          <w:szCs w:val="22"/>
          <w:lang w:eastAsia="en-US"/>
        </w:rPr>
      </w:pPr>
    </w:p>
    <w:p w:rsidR="00102687" w:rsidRPr="00281602" w:rsidRDefault="00102687" w:rsidP="00102687">
      <w:pPr>
        <w:jc w:val="center"/>
        <w:rPr>
          <w:rFonts w:eastAsia="Calibri"/>
          <w:sz w:val="22"/>
          <w:szCs w:val="22"/>
          <w:lang w:eastAsia="en-US"/>
        </w:rPr>
      </w:pPr>
      <w:r w:rsidRPr="00281602">
        <w:rPr>
          <w:rFonts w:eastAsia="Calibri"/>
          <w:sz w:val="22"/>
          <w:szCs w:val="22"/>
          <w:lang w:eastAsia="en-US"/>
        </w:rPr>
        <w:t>Список литературы</w:t>
      </w:r>
    </w:p>
    <w:p w:rsidR="00102687" w:rsidRPr="00281602" w:rsidRDefault="00102687" w:rsidP="00EA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eastAsia="en-US"/>
        </w:rPr>
      </w:pPr>
      <w:r w:rsidRPr="00281602">
        <w:rPr>
          <w:rFonts w:eastAsia="Calibri"/>
          <w:sz w:val="22"/>
          <w:szCs w:val="22"/>
          <w:lang w:eastAsia="en-US"/>
        </w:rPr>
        <w:t xml:space="preserve">1. Турыгина Е. М., Зубкова Л. К. </w:t>
      </w:r>
      <w:r w:rsidRPr="00281602">
        <w:rPr>
          <w:rFonts w:eastAsia="Calibri"/>
          <w:bCs/>
          <w:sz w:val="22"/>
          <w:szCs w:val="22"/>
          <w:lang w:eastAsia="en-US"/>
        </w:rPr>
        <w:t>Психология процесса воспр</w:t>
      </w:r>
      <w:r w:rsidRPr="00281602">
        <w:rPr>
          <w:rFonts w:eastAsia="Calibri"/>
          <w:bCs/>
          <w:sz w:val="22"/>
          <w:szCs w:val="22"/>
          <w:lang w:eastAsia="en-US"/>
        </w:rPr>
        <w:t>и</w:t>
      </w:r>
      <w:r w:rsidRPr="00281602">
        <w:rPr>
          <w:rFonts w:eastAsia="Calibri"/>
          <w:bCs/>
          <w:sz w:val="22"/>
          <w:szCs w:val="22"/>
          <w:lang w:eastAsia="en-US"/>
        </w:rPr>
        <w:t xml:space="preserve">ятия и психофизиологическое воздействие цвета на человека </w:t>
      </w:r>
      <w:r w:rsidRPr="00281602">
        <w:rPr>
          <w:rFonts w:eastAsia="Calibri"/>
          <w:sz w:val="22"/>
          <w:szCs w:val="22"/>
          <w:lang w:eastAsia="en-US"/>
        </w:rPr>
        <w:t xml:space="preserve">/ Е. М. Турыгина, Л. К. Зубкова  –  </w:t>
      </w:r>
      <w:r w:rsidRPr="00281602">
        <w:rPr>
          <w:rFonts w:eastAsia="Calibri"/>
          <w:bCs/>
          <w:sz w:val="22"/>
          <w:szCs w:val="22"/>
          <w:lang w:eastAsia="en-US"/>
        </w:rPr>
        <w:t>Итоги научно-исследовательской раб</w:t>
      </w:r>
      <w:r w:rsidRPr="00281602">
        <w:rPr>
          <w:rFonts w:eastAsia="Calibri"/>
          <w:bCs/>
          <w:sz w:val="22"/>
          <w:szCs w:val="22"/>
          <w:lang w:eastAsia="en-US"/>
        </w:rPr>
        <w:t>о</w:t>
      </w:r>
      <w:r w:rsidRPr="00281602">
        <w:rPr>
          <w:rFonts w:eastAsia="Calibri"/>
          <w:bCs/>
          <w:sz w:val="22"/>
          <w:szCs w:val="22"/>
          <w:lang w:eastAsia="en-US"/>
        </w:rPr>
        <w:t>ты за 2013 год</w:t>
      </w:r>
      <w:proofErr w:type="gramStart"/>
      <w:r w:rsidRPr="00281602">
        <w:rPr>
          <w:rFonts w:eastAsia="Calibri"/>
          <w:bCs/>
          <w:sz w:val="22"/>
          <w:szCs w:val="22"/>
          <w:lang w:eastAsia="en-US"/>
        </w:rPr>
        <w:t xml:space="preserve"> :</w:t>
      </w:r>
      <w:proofErr w:type="gramEnd"/>
      <w:r w:rsidRPr="00281602">
        <w:rPr>
          <w:rFonts w:eastAsia="Calibri"/>
          <w:b/>
          <w:bCs/>
          <w:sz w:val="22"/>
          <w:szCs w:val="22"/>
          <w:lang w:eastAsia="en-US"/>
        </w:rPr>
        <w:t xml:space="preserve"> </w:t>
      </w:r>
      <w:r w:rsidRPr="00281602">
        <w:rPr>
          <w:rFonts w:eastAsia="Calibri"/>
          <w:sz w:val="22"/>
          <w:szCs w:val="22"/>
          <w:lang w:eastAsia="en-US"/>
        </w:rPr>
        <w:t>материалы науч. практ. конф. препод. – Краснодар</w:t>
      </w:r>
      <w:proofErr w:type="gramStart"/>
      <w:r w:rsidRPr="00281602">
        <w:rPr>
          <w:rFonts w:eastAsia="Calibri"/>
          <w:sz w:val="22"/>
          <w:szCs w:val="22"/>
          <w:lang w:eastAsia="en-US"/>
        </w:rPr>
        <w:t xml:space="preserve"> :</w:t>
      </w:r>
      <w:proofErr w:type="gramEnd"/>
      <w:r w:rsidRPr="00281602">
        <w:rPr>
          <w:rFonts w:eastAsia="Calibri"/>
          <w:sz w:val="22"/>
          <w:szCs w:val="22"/>
          <w:lang w:eastAsia="en-US"/>
        </w:rPr>
        <w:t xml:space="preserve"> КубГАУ, 2014. –С. 207-208.</w:t>
      </w:r>
    </w:p>
    <w:p w:rsidR="00102687" w:rsidRPr="00281602" w:rsidRDefault="00102687" w:rsidP="00102687">
      <w:pPr>
        <w:spacing w:after="200" w:line="276" w:lineRule="auto"/>
        <w:rPr>
          <w:rFonts w:ascii="Calibri" w:eastAsia="Calibri" w:hAnsi="Calibri"/>
          <w:sz w:val="22"/>
          <w:szCs w:val="22"/>
          <w:lang w:eastAsia="en-US"/>
        </w:rPr>
      </w:pPr>
    </w:p>
    <w:p w:rsidR="00102687" w:rsidRDefault="00102687" w:rsidP="00451253">
      <w:pPr>
        <w:jc w:val="center"/>
        <w:rPr>
          <w:rFonts w:eastAsia="Calibri"/>
          <w:b/>
          <w:szCs w:val="22"/>
        </w:rPr>
      </w:pPr>
    </w:p>
    <w:p w:rsidR="00102687" w:rsidRDefault="00102687" w:rsidP="00451253">
      <w:pPr>
        <w:jc w:val="center"/>
        <w:rPr>
          <w:rFonts w:eastAsia="Calibri"/>
          <w:b/>
          <w:szCs w:val="22"/>
        </w:rPr>
      </w:pPr>
    </w:p>
    <w:p w:rsidR="00EA11E0" w:rsidRDefault="00EA11E0" w:rsidP="00451253">
      <w:pPr>
        <w:jc w:val="center"/>
        <w:rPr>
          <w:rFonts w:eastAsia="Calibri"/>
          <w:b/>
          <w:szCs w:val="22"/>
        </w:rPr>
      </w:pPr>
    </w:p>
    <w:p w:rsidR="00EA11E0" w:rsidRDefault="00EA11E0" w:rsidP="00451253">
      <w:pPr>
        <w:jc w:val="center"/>
        <w:rPr>
          <w:rFonts w:eastAsia="Calibri"/>
          <w:b/>
          <w:szCs w:val="22"/>
        </w:rPr>
      </w:pPr>
    </w:p>
    <w:p w:rsidR="00EA11E0" w:rsidRDefault="00EA11E0" w:rsidP="00EA11E0">
      <w:pPr>
        <w:rPr>
          <w:rFonts w:eastAsia="Calibri"/>
          <w:b/>
          <w:szCs w:val="22"/>
        </w:rPr>
      </w:pPr>
      <w:r>
        <w:rPr>
          <w:rFonts w:eastAsia="Calibri"/>
          <w:b/>
          <w:szCs w:val="22"/>
        </w:rPr>
        <w:br w:type="page"/>
      </w:r>
    </w:p>
    <w:p w:rsidR="00451253" w:rsidRPr="00BD3141" w:rsidRDefault="00451253" w:rsidP="00451253">
      <w:pPr>
        <w:jc w:val="center"/>
        <w:rPr>
          <w:rFonts w:eastAsia="Calibri"/>
          <w:b/>
          <w:szCs w:val="22"/>
        </w:rPr>
      </w:pPr>
      <w:r w:rsidRPr="00BD3141">
        <w:rPr>
          <w:rFonts w:eastAsia="Calibri"/>
          <w:b/>
          <w:szCs w:val="22"/>
        </w:rPr>
        <w:lastRenderedPageBreak/>
        <w:t>Факультет ветеринарной медицины</w:t>
      </w:r>
    </w:p>
    <w:p w:rsidR="00451253" w:rsidRDefault="00451253" w:rsidP="00451253">
      <w:pPr>
        <w:pStyle w:val="31"/>
        <w:rPr>
          <w:sz w:val="22"/>
          <w:szCs w:val="22"/>
        </w:rPr>
      </w:pPr>
    </w:p>
    <w:p w:rsidR="008742E9" w:rsidRPr="008742E9" w:rsidRDefault="008742E9" w:rsidP="008742E9">
      <w:pPr>
        <w:jc w:val="both"/>
        <w:rPr>
          <w:rFonts w:eastAsia="Arial" w:cs="Arial"/>
          <w:bCs/>
          <w:sz w:val="22"/>
          <w:lang w:eastAsia="en-US"/>
        </w:rPr>
      </w:pPr>
      <w:r w:rsidRPr="008742E9">
        <w:rPr>
          <w:rFonts w:eastAsia="Arial" w:cs="Arial"/>
          <w:bCs/>
          <w:sz w:val="22"/>
          <w:lang w:eastAsia="en-US"/>
        </w:rPr>
        <w:t>УДК 619:618.7-08</w:t>
      </w:r>
    </w:p>
    <w:p w:rsidR="008742E9" w:rsidRPr="008742E9" w:rsidRDefault="008742E9" w:rsidP="008742E9">
      <w:pPr>
        <w:jc w:val="both"/>
        <w:rPr>
          <w:rFonts w:eastAsia="Arial" w:cs="Arial"/>
          <w:bCs/>
          <w:sz w:val="22"/>
          <w:lang w:eastAsia="en-US"/>
        </w:rPr>
      </w:pPr>
    </w:p>
    <w:p w:rsidR="008742E9" w:rsidRPr="008742E9" w:rsidRDefault="008742E9" w:rsidP="008742E9">
      <w:pPr>
        <w:jc w:val="center"/>
        <w:rPr>
          <w:rFonts w:eastAsia="Arial" w:cs="Arial"/>
          <w:b/>
          <w:bCs/>
          <w:sz w:val="24"/>
          <w:szCs w:val="24"/>
          <w:lang w:eastAsia="en-US"/>
        </w:rPr>
      </w:pPr>
      <w:r w:rsidRPr="008742E9">
        <w:rPr>
          <w:rFonts w:eastAsia="Arial" w:cs="Arial"/>
          <w:b/>
          <w:bCs/>
          <w:sz w:val="24"/>
          <w:szCs w:val="24"/>
          <w:lang w:eastAsia="en-US"/>
        </w:rPr>
        <w:t xml:space="preserve">Клиническая оценка консервативных методов </w:t>
      </w:r>
      <w:r w:rsidRPr="008742E9">
        <w:rPr>
          <w:rFonts w:eastAsia="Arial" w:cs="Arial"/>
          <w:b/>
          <w:bCs/>
          <w:sz w:val="24"/>
          <w:szCs w:val="24"/>
          <w:lang w:eastAsia="en-US"/>
        </w:rPr>
        <w:br/>
        <w:t>терапии при субинволюции половой сферы</w:t>
      </w:r>
    </w:p>
    <w:p w:rsidR="008742E9" w:rsidRPr="008742E9" w:rsidRDefault="008742E9" w:rsidP="008742E9">
      <w:pPr>
        <w:jc w:val="center"/>
        <w:rPr>
          <w:rFonts w:eastAsia="Arial" w:cs="Arial"/>
          <w:b/>
          <w:bCs/>
          <w:sz w:val="24"/>
          <w:szCs w:val="24"/>
          <w:lang w:val="en-US" w:eastAsia="en-US"/>
        </w:rPr>
      </w:pPr>
      <w:r w:rsidRPr="008742E9">
        <w:rPr>
          <w:rFonts w:eastAsia="Arial" w:cs="Arial"/>
          <w:b/>
          <w:bCs/>
          <w:sz w:val="24"/>
          <w:szCs w:val="24"/>
          <w:lang w:val="en-US" w:eastAsia="en-US"/>
        </w:rPr>
        <w:t xml:space="preserve">Clinical evaluation of conservative therapies in the </w:t>
      </w:r>
      <w:r w:rsidRPr="008742E9">
        <w:rPr>
          <w:rFonts w:eastAsia="Arial" w:cs="Arial"/>
          <w:b/>
          <w:bCs/>
          <w:sz w:val="24"/>
          <w:szCs w:val="24"/>
          <w:lang w:val="en-US" w:eastAsia="en-US"/>
        </w:rPr>
        <w:br/>
        <w:t>subinvolution of the genital area</w:t>
      </w:r>
    </w:p>
    <w:p w:rsidR="008742E9" w:rsidRPr="008742E9" w:rsidRDefault="008742E9" w:rsidP="008742E9">
      <w:pPr>
        <w:rPr>
          <w:rFonts w:eastAsia="Arial" w:cs="Arial"/>
          <w:b/>
          <w:bCs/>
          <w:lang w:val="en-US" w:eastAsia="en-US"/>
        </w:rPr>
      </w:pP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Агаева Д.</w:t>
      </w:r>
      <w:r w:rsidR="00EA11E0">
        <w:rPr>
          <w:rFonts w:eastAsia="Arial" w:cs="Arial"/>
          <w:bCs/>
          <w:sz w:val="22"/>
          <w:szCs w:val="22"/>
          <w:lang w:eastAsia="en-US"/>
        </w:rPr>
        <w:t xml:space="preserve"> </w:t>
      </w:r>
      <w:r w:rsidRPr="008742E9">
        <w:rPr>
          <w:rFonts w:eastAsia="Arial" w:cs="Arial"/>
          <w:bCs/>
          <w:sz w:val="22"/>
          <w:szCs w:val="22"/>
          <w:lang w:eastAsia="en-US"/>
        </w:rPr>
        <w:t>П.,</w:t>
      </w: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 xml:space="preserve">студентка </w:t>
      </w:r>
      <w:r w:rsidR="00EA11E0">
        <w:rPr>
          <w:rFonts w:eastAsia="Arial" w:cs="Arial"/>
          <w:bCs/>
          <w:sz w:val="22"/>
          <w:szCs w:val="22"/>
          <w:lang w:eastAsia="en-US"/>
        </w:rPr>
        <w:t>5-го курса</w:t>
      </w: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факультета ветеринарной медицины</w:t>
      </w: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Назаров М.</w:t>
      </w:r>
      <w:r w:rsidR="00805CEB">
        <w:rPr>
          <w:rFonts w:eastAsia="Arial" w:cs="Arial"/>
          <w:bCs/>
          <w:sz w:val="22"/>
          <w:szCs w:val="22"/>
          <w:lang w:eastAsia="en-US"/>
        </w:rPr>
        <w:t xml:space="preserve"> </w:t>
      </w:r>
      <w:r w:rsidRPr="008742E9">
        <w:rPr>
          <w:rFonts w:eastAsia="Arial" w:cs="Arial"/>
          <w:bCs/>
          <w:sz w:val="22"/>
          <w:szCs w:val="22"/>
          <w:lang w:eastAsia="en-US"/>
        </w:rPr>
        <w:t>В.,</w:t>
      </w: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 xml:space="preserve">заведующий кафедрой анатомии, ветеринарного </w:t>
      </w:r>
      <w:r w:rsidRPr="008742E9">
        <w:rPr>
          <w:rFonts w:eastAsia="Arial" w:cs="Arial"/>
          <w:bCs/>
          <w:sz w:val="22"/>
          <w:szCs w:val="22"/>
          <w:lang w:eastAsia="en-US"/>
        </w:rPr>
        <w:br/>
        <w:t>акушерства и хирургии, профессор,</w:t>
      </w:r>
    </w:p>
    <w:p w:rsidR="008742E9" w:rsidRPr="008742E9" w:rsidRDefault="008742E9" w:rsidP="008742E9">
      <w:pPr>
        <w:jc w:val="right"/>
        <w:rPr>
          <w:rFonts w:eastAsia="Arial" w:cs="Arial"/>
          <w:bCs/>
          <w:sz w:val="22"/>
          <w:szCs w:val="22"/>
          <w:lang w:eastAsia="en-US"/>
        </w:rPr>
      </w:pPr>
      <w:r w:rsidRPr="008742E9">
        <w:rPr>
          <w:rFonts w:eastAsia="Arial" w:cs="Arial"/>
          <w:bCs/>
          <w:sz w:val="22"/>
          <w:szCs w:val="22"/>
          <w:lang w:eastAsia="en-US"/>
        </w:rPr>
        <w:t>Кубанский государственный аграрный</w:t>
      </w:r>
    </w:p>
    <w:p w:rsidR="008742E9" w:rsidRPr="008742E9" w:rsidRDefault="00EA11E0" w:rsidP="008742E9">
      <w:pPr>
        <w:jc w:val="right"/>
        <w:rPr>
          <w:rFonts w:eastAsia="Arial" w:cs="Arial"/>
          <w:bCs/>
          <w:sz w:val="22"/>
          <w:szCs w:val="22"/>
          <w:lang w:eastAsia="en-US"/>
        </w:rPr>
      </w:pPr>
      <w:r>
        <w:rPr>
          <w:rFonts w:eastAsia="Arial" w:cs="Arial"/>
          <w:bCs/>
          <w:sz w:val="22"/>
          <w:szCs w:val="22"/>
          <w:lang w:eastAsia="en-US"/>
        </w:rPr>
        <w:t>у</w:t>
      </w:r>
      <w:r w:rsidR="008742E9" w:rsidRPr="008742E9">
        <w:rPr>
          <w:rFonts w:eastAsia="Arial" w:cs="Arial"/>
          <w:bCs/>
          <w:sz w:val="22"/>
          <w:szCs w:val="22"/>
          <w:lang w:eastAsia="en-US"/>
        </w:rPr>
        <w:t>ниверситет имени И.</w:t>
      </w:r>
      <w:r>
        <w:rPr>
          <w:rFonts w:eastAsia="Arial" w:cs="Arial"/>
          <w:bCs/>
          <w:sz w:val="22"/>
          <w:szCs w:val="22"/>
          <w:lang w:eastAsia="en-US"/>
        </w:rPr>
        <w:t xml:space="preserve"> </w:t>
      </w:r>
      <w:r w:rsidR="008742E9" w:rsidRPr="008742E9">
        <w:rPr>
          <w:rFonts w:eastAsia="Arial" w:cs="Arial"/>
          <w:bCs/>
          <w:sz w:val="22"/>
          <w:szCs w:val="22"/>
          <w:lang w:eastAsia="en-US"/>
        </w:rPr>
        <w:t>Т. Трубилина</w:t>
      </w:r>
    </w:p>
    <w:p w:rsidR="008742E9" w:rsidRPr="008742E9" w:rsidRDefault="008742E9" w:rsidP="008742E9">
      <w:pPr>
        <w:jc w:val="right"/>
        <w:rPr>
          <w:rFonts w:eastAsia="Arial" w:cs="Arial"/>
          <w:bCs/>
          <w:sz w:val="22"/>
          <w:szCs w:val="22"/>
          <w:lang w:eastAsia="en-US"/>
        </w:rPr>
      </w:pPr>
    </w:p>
    <w:p w:rsidR="008742E9" w:rsidRPr="008742E9" w:rsidRDefault="008742E9" w:rsidP="00EA11E0">
      <w:pPr>
        <w:ind w:firstLine="426"/>
        <w:jc w:val="both"/>
        <w:rPr>
          <w:rFonts w:eastAsia="Arial" w:cs="Arial"/>
          <w:bCs/>
          <w:sz w:val="22"/>
          <w:szCs w:val="22"/>
          <w:lang w:eastAsia="en-US"/>
        </w:rPr>
      </w:pPr>
      <w:r w:rsidRPr="008742E9">
        <w:rPr>
          <w:rFonts w:eastAsia="Arial" w:cs="Arial"/>
          <w:bCs/>
          <w:sz w:val="22"/>
          <w:szCs w:val="22"/>
          <w:lang w:eastAsia="en-US"/>
        </w:rPr>
        <w:t>АННОТАЦИЯ: Проведена клиническая оценка консервати</w:t>
      </w:r>
      <w:r w:rsidRPr="008742E9">
        <w:rPr>
          <w:rFonts w:eastAsia="Arial" w:cs="Arial"/>
          <w:bCs/>
          <w:sz w:val="22"/>
          <w:szCs w:val="22"/>
          <w:lang w:eastAsia="en-US"/>
        </w:rPr>
        <w:t>в</w:t>
      </w:r>
      <w:r w:rsidRPr="008742E9">
        <w:rPr>
          <w:rFonts w:eastAsia="Arial" w:cs="Arial"/>
          <w:bCs/>
          <w:sz w:val="22"/>
          <w:szCs w:val="22"/>
          <w:lang w:eastAsia="en-US"/>
        </w:rPr>
        <w:t>ных методов терапии при субинволюции половой сферы.</w:t>
      </w:r>
    </w:p>
    <w:p w:rsidR="008742E9" w:rsidRPr="008742E9" w:rsidRDefault="008742E9" w:rsidP="00EA11E0">
      <w:pPr>
        <w:spacing w:line="259" w:lineRule="auto"/>
        <w:ind w:firstLine="426"/>
        <w:jc w:val="both"/>
        <w:rPr>
          <w:rFonts w:eastAsia="Arial" w:cs="Arial"/>
          <w:bCs/>
          <w:sz w:val="22"/>
          <w:szCs w:val="22"/>
          <w:lang w:val="en-US" w:eastAsia="en-US"/>
        </w:rPr>
      </w:pPr>
      <w:r w:rsidRPr="008742E9">
        <w:rPr>
          <w:rFonts w:eastAsia="Arial" w:cs="Arial"/>
          <w:bCs/>
          <w:sz w:val="22"/>
          <w:szCs w:val="22"/>
          <w:lang w:val="en-US" w:eastAsia="en-US"/>
        </w:rPr>
        <w:t xml:space="preserve">ABSTRACT: </w:t>
      </w:r>
      <w:r w:rsidRPr="008742E9">
        <w:rPr>
          <w:rFonts w:eastAsia="Arial" w:cs="Arial"/>
          <w:bCs/>
          <w:sz w:val="22"/>
          <w:szCs w:val="22"/>
          <w:lang w:val="en" w:eastAsia="en-US"/>
        </w:rPr>
        <w:t>Clinical evaluation of conservative therapies in the subinvolution of the genital area was carried out.</w:t>
      </w:r>
    </w:p>
    <w:p w:rsidR="008742E9" w:rsidRPr="008742E9" w:rsidRDefault="008742E9" w:rsidP="00EA11E0">
      <w:pPr>
        <w:spacing w:line="259" w:lineRule="auto"/>
        <w:ind w:firstLine="426"/>
        <w:jc w:val="both"/>
        <w:rPr>
          <w:rFonts w:eastAsia="Arial" w:cs="Arial"/>
          <w:bCs/>
          <w:sz w:val="22"/>
          <w:szCs w:val="22"/>
          <w:lang w:eastAsia="en-US"/>
        </w:rPr>
      </w:pPr>
      <w:r w:rsidRPr="008742E9">
        <w:rPr>
          <w:rFonts w:eastAsia="Arial" w:cs="Arial"/>
          <w:bCs/>
          <w:sz w:val="22"/>
          <w:szCs w:val="22"/>
          <w:lang w:eastAsia="en-US"/>
        </w:rPr>
        <w:t>КЛЮЧЕВЫЕ СЛОВА: субинволюция, атония, гипотония ма</w:t>
      </w:r>
      <w:r w:rsidRPr="008742E9">
        <w:rPr>
          <w:rFonts w:eastAsia="Arial" w:cs="Arial"/>
          <w:bCs/>
          <w:sz w:val="22"/>
          <w:szCs w:val="22"/>
          <w:lang w:eastAsia="en-US"/>
        </w:rPr>
        <w:t>т</w:t>
      </w:r>
      <w:r w:rsidRPr="008742E9">
        <w:rPr>
          <w:rFonts w:eastAsia="Arial" w:cs="Arial"/>
          <w:bCs/>
          <w:sz w:val="22"/>
          <w:szCs w:val="22"/>
          <w:lang w:eastAsia="en-US"/>
        </w:rPr>
        <w:t>ки, послеродовая патология, матка, эстрафан, синестрол, окситоцин.</w:t>
      </w:r>
    </w:p>
    <w:p w:rsidR="008742E9" w:rsidRPr="008742E9" w:rsidRDefault="008742E9" w:rsidP="00EA11E0">
      <w:pPr>
        <w:spacing w:line="259" w:lineRule="auto"/>
        <w:ind w:firstLine="426"/>
        <w:jc w:val="both"/>
        <w:rPr>
          <w:rFonts w:eastAsia="Arial" w:cs="Arial"/>
          <w:bCs/>
          <w:sz w:val="22"/>
          <w:szCs w:val="22"/>
          <w:lang w:val="en-US" w:eastAsia="en-US"/>
        </w:rPr>
      </w:pPr>
      <w:r w:rsidRPr="008742E9">
        <w:rPr>
          <w:rFonts w:eastAsia="Arial" w:cs="Arial"/>
          <w:bCs/>
          <w:sz w:val="22"/>
          <w:szCs w:val="22"/>
          <w:lang w:val="en-US" w:eastAsia="en-US"/>
        </w:rPr>
        <w:t>KEY WORDS: subinvolution, atony, hypotonia of the uterus, pos</w:t>
      </w:r>
      <w:r w:rsidRPr="008742E9">
        <w:rPr>
          <w:rFonts w:eastAsia="Arial" w:cs="Arial"/>
          <w:bCs/>
          <w:sz w:val="22"/>
          <w:szCs w:val="22"/>
          <w:lang w:val="en-US" w:eastAsia="en-US"/>
        </w:rPr>
        <w:t>t</w:t>
      </w:r>
      <w:r w:rsidRPr="008742E9">
        <w:rPr>
          <w:rFonts w:eastAsia="Arial" w:cs="Arial"/>
          <w:bCs/>
          <w:sz w:val="22"/>
          <w:szCs w:val="22"/>
          <w:lang w:val="en-US" w:eastAsia="en-US"/>
        </w:rPr>
        <w:t>partum pathology, uterus, estrafan, synestrol, oxytocin.</w:t>
      </w:r>
    </w:p>
    <w:p w:rsidR="008742E9" w:rsidRPr="008742E9" w:rsidRDefault="008742E9" w:rsidP="00EA11E0">
      <w:pPr>
        <w:spacing w:line="259" w:lineRule="auto"/>
        <w:ind w:firstLine="426"/>
        <w:jc w:val="both"/>
        <w:rPr>
          <w:rFonts w:eastAsia="Arial" w:cs="Arial"/>
          <w:bCs/>
          <w:sz w:val="22"/>
          <w:szCs w:val="22"/>
          <w:lang w:val="en-US" w:eastAsia="en-US"/>
        </w:rPr>
      </w:pPr>
    </w:p>
    <w:p w:rsidR="008742E9" w:rsidRPr="008742E9" w:rsidRDefault="008742E9" w:rsidP="00EA11E0">
      <w:pPr>
        <w:spacing w:line="259" w:lineRule="auto"/>
        <w:ind w:firstLine="426"/>
        <w:jc w:val="both"/>
        <w:rPr>
          <w:rFonts w:eastAsia="Arial" w:cs="Arial"/>
          <w:bCs/>
          <w:sz w:val="22"/>
          <w:szCs w:val="22"/>
          <w:lang w:eastAsia="en-US"/>
        </w:rPr>
      </w:pPr>
      <w:r w:rsidRPr="008742E9">
        <w:rPr>
          <w:rFonts w:eastAsia="Arial" w:cs="Arial"/>
          <w:bCs/>
          <w:sz w:val="22"/>
          <w:lang w:eastAsia="en-US"/>
        </w:rPr>
        <w:t>Субинволюция матки</w:t>
      </w:r>
      <w:r w:rsidRPr="008742E9">
        <w:rPr>
          <w:rFonts w:eastAsia="Arial" w:cs="Arial"/>
          <w:sz w:val="22"/>
          <w:lang w:eastAsia="en-US"/>
        </w:rPr>
        <w:t xml:space="preserve"> </w:t>
      </w:r>
      <w:r w:rsidRPr="008742E9">
        <w:rPr>
          <w:rFonts w:eastAsia="Arial"/>
          <w:sz w:val="22"/>
          <w:lang w:eastAsia="en-US"/>
        </w:rPr>
        <w:t>–</w:t>
      </w:r>
      <w:r w:rsidRPr="008742E9">
        <w:rPr>
          <w:rFonts w:eastAsia="Arial" w:cs="Arial"/>
          <w:sz w:val="22"/>
          <w:lang w:eastAsia="en-US"/>
        </w:rPr>
        <w:t xml:space="preserve"> заболевание, характеризующееся з</w:t>
      </w:r>
      <w:r w:rsidRPr="008742E9">
        <w:rPr>
          <w:rFonts w:eastAsia="Arial" w:cs="Arial"/>
          <w:sz w:val="22"/>
          <w:lang w:eastAsia="en-US"/>
        </w:rPr>
        <w:t>а</w:t>
      </w:r>
      <w:r w:rsidRPr="008742E9">
        <w:rPr>
          <w:rFonts w:eastAsia="Arial" w:cs="Arial"/>
          <w:sz w:val="22"/>
          <w:lang w:eastAsia="en-US"/>
        </w:rPr>
        <w:t xml:space="preserve">медленным восстановлением матки до состояния, </w:t>
      </w:r>
      <w:proofErr w:type="gramStart"/>
      <w:r w:rsidRPr="008742E9">
        <w:rPr>
          <w:rFonts w:eastAsia="Arial" w:cs="Arial"/>
          <w:sz w:val="22"/>
          <w:lang w:eastAsia="en-US"/>
        </w:rPr>
        <w:t>свойственному</w:t>
      </w:r>
      <w:proofErr w:type="gramEnd"/>
      <w:r w:rsidRPr="008742E9">
        <w:rPr>
          <w:rFonts w:eastAsia="Arial" w:cs="Arial"/>
          <w:sz w:val="22"/>
          <w:lang w:eastAsia="en-US"/>
        </w:rPr>
        <w:t xml:space="preserve"> небеременным животным.  </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Субинволюция матки может возникнуть в результате мног</w:t>
      </w:r>
      <w:r w:rsidRPr="008742E9">
        <w:rPr>
          <w:rFonts w:eastAsia="Arial" w:cs="Arial"/>
          <w:sz w:val="22"/>
          <w:lang w:eastAsia="en-US"/>
        </w:rPr>
        <w:t>о</w:t>
      </w:r>
      <w:r w:rsidRPr="008742E9">
        <w:rPr>
          <w:rFonts w:eastAsia="Arial" w:cs="Arial"/>
          <w:sz w:val="22"/>
          <w:lang w:eastAsia="en-US"/>
        </w:rPr>
        <w:t>плодной беременности, многоводия, переразвитости плодов, фун</w:t>
      </w:r>
      <w:r w:rsidRPr="008742E9">
        <w:rPr>
          <w:rFonts w:eastAsia="Arial" w:cs="Arial"/>
          <w:sz w:val="22"/>
          <w:lang w:eastAsia="en-US"/>
        </w:rPr>
        <w:t>к</w:t>
      </w:r>
      <w:r w:rsidRPr="008742E9">
        <w:rPr>
          <w:rFonts w:eastAsia="Arial" w:cs="Arial"/>
          <w:sz w:val="22"/>
          <w:lang w:eastAsia="en-US"/>
        </w:rPr>
        <w:t>циональной неполноценности задней доли гипофиза и фетоплаце</w:t>
      </w:r>
      <w:r w:rsidRPr="008742E9">
        <w:rPr>
          <w:rFonts w:eastAsia="Arial" w:cs="Arial"/>
          <w:sz w:val="22"/>
          <w:lang w:eastAsia="en-US"/>
        </w:rPr>
        <w:t>н</w:t>
      </w:r>
      <w:r w:rsidRPr="008742E9">
        <w:rPr>
          <w:rFonts w:eastAsia="Arial" w:cs="Arial"/>
          <w:sz w:val="22"/>
          <w:lang w:eastAsia="en-US"/>
        </w:rPr>
        <w:t xml:space="preserve">тарной системы. </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Предрасполагающими к заболеванию факторами являются о</w:t>
      </w:r>
      <w:r w:rsidRPr="008742E9">
        <w:rPr>
          <w:rFonts w:eastAsia="Arial" w:cs="Arial"/>
          <w:sz w:val="22"/>
          <w:lang w:eastAsia="en-US"/>
        </w:rPr>
        <w:t>т</w:t>
      </w:r>
      <w:r w:rsidRPr="008742E9">
        <w:rPr>
          <w:rFonts w:eastAsia="Arial" w:cs="Arial"/>
          <w:sz w:val="22"/>
          <w:lang w:eastAsia="en-US"/>
        </w:rPr>
        <w:t xml:space="preserve">сутствие моциона, неправильная эксплуатация, неполноценное или </w:t>
      </w:r>
      <w:r w:rsidRPr="008742E9">
        <w:rPr>
          <w:rFonts w:eastAsia="Arial" w:cs="Arial"/>
          <w:sz w:val="22"/>
          <w:lang w:eastAsia="en-US"/>
        </w:rPr>
        <w:lastRenderedPageBreak/>
        <w:t>однообразное кормление, особенно витаминная и минеральная неполноценность рациона [4].</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 xml:space="preserve">Распространение. </w:t>
      </w:r>
      <w:proofErr w:type="gramStart"/>
      <w:r w:rsidRPr="008742E9">
        <w:rPr>
          <w:rFonts w:eastAsia="Arial" w:cs="Arial"/>
          <w:sz w:val="22"/>
          <w:lang w:eastAsia="en-US"/>
        </w:rPr>
        <w:t>Послеродовая</w:t>
      </w:r>
      <w:proofErr w:type="gramEnd"/>
      <w:r w:rsidRPr="008742E9">
        <w:rPr>
          <w:rFonts w:eastAsia="Arial" w:cs="Arial"/>
          <w:sz w:val="22"/>
          <w:lang w:eastAsia="en-US"/>
        </w:rPr>
        <w:t xml:space="preserve"> субинволюция матки имеет широкое распространение. По данным ветеринарной отчетности и акушерско-гинекологической диспансеризации в хозяйствах Кра</w:t>
      </w:r>
      <w:r w:rsidRPr="008742E9">
        <w:rPr>
          <w:rFonts w:eastAsia="Arial" w:cs="Arial"/>
          <w:sz w:val="22"/>
          <w:lang w:eastAsia="en-US"/>
        </w:rPr>
        <w:t>с</w:t>
      </w:r>
      <w:r w:rsidRPr="008742E9">
        <w:rPr>
          <w:rFonts w:eastAsia="Arial" w:cs="Arial"/>
          <w:sz w:val="22"/>
          <w:lang w:eastAsia="en-US"/>
        </w:rPr>
        <w:t>нодарского края, самая высокая заболеваемость отмечалась с конца февраля по май – 57,3; 47,1 и 12,3 % когда значительно снижается резистентность организма, в результате неудовле</w:t>
      </w:r>
      <w:r w:rsidRPr="008742E9">
        <w:rPr>
          <w:rFonts w:eastAsia="Arial" w:cs="Arial"/>
          <w:sz w:val="22"/>
          <w:lang w:eastAsia="en-US"/>
        </w:rPr>
        <w:softHyphen/>
        <w:t>творительных условий содержания и кормления. Минимальная заболеваемость регистрировалась с августа по ноябрь - 29,7; 18,7 и 8,3 % [3].</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Патогенез. При субинволюции в результете гипотонии и ат</w:t>
      </w:r>
      <w:r w:rsidRPr="008742E9">
        <w:rPr>
          <w:rFonts w:eastAsia="Arial" w:cs="Arial"/>
          <w:sz w:val="22"/>
          <w:lang w:eastAsia="en-US"/>
        </w:rPr>
        <w:t>о</w:t>
      </w:r>
      <w:r w:rsidRPr="008742E9">
        <w:rPr>
          <w:rFonts w:eastAsia="Arial" w:cs="Arial"/>
          <w:sz w:val="22"/>
          <w:lang w:eastAsia="en-US"/>
        </w:rPr>
        <w:t>нии матки в ее полости скапливаются лохии, подвергающиеся ра</w:t>
      </w:r>
      <w:r w:rsidRPr="008742E9">
        <w:rPr>
          <w:rFonts w:eastAsia="Arial" w:cs="Arial"/>
          <w:sz w:val="22"/>
          <w:lang w:eastAsia="en-US"/>
        </w:rPr>
        <w:t>з</w:t>
      </w:r>
      <w:r w:rsidRPr="008742E9">
        <w:rPr>
          <w:rFonts w:eastAsia="Arial" w:cs="Arial"/>
          <w:sz w:val="22"/>
          <w:lang w:eastAsia="en-US"/>
        </w:rPr>
        <w:t>ложению. Организм отравляется продуктами распада или бактер</w:t>
      </w:r>
      <w:r w:rsidRPr="008742E9">
        <w:rPr>
          <w:rFonts w:eastAsia="Arial" w:cs="Arial"/>
          <w:sz w:val="22"/>
          <w:lang w:eastAsia="en-US"/>
        </w:rPr>
        <w:t>и</w:t>
      </w:r>
      <w:r w:rsidRPr="008742E9">
        <w:rPr>
          <w:rFonts w:eastAsia="Arial" w:cs="Arial"/>
          <w:sz w:val="22"/>
          <w:lang w:eastAsia="en-US"/>
        </w:rPr>
        <w:t>альными токсинами. В связи с несвоевременной ретракцией мышц матки она дегенеративно изменяется, возникают послеродовые ее заболевания и общие септические процессы [4].</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Клинические признаки. Отсутствие отделения лохий или см</w:t>
      </w:r>
      <w:r w:rsidRPr="008742E9">
        <w:rPr>
          <w:rFonts w:eastAsia="Arial" w:cs="Arial"/>
          <w:sz w:val="22"/>
          <w:lang w:eastAsia="en-US"/>
        </w:rPr>
        <w:t>е</w:t>
      </w:r>
      <w:r w:rsidRPr="008742E9">
        <w:rPr>
          <w:rFonts w:eastAsia="Arial" w:cs="Arial"/>
          <w:sz w:val="22"/>
          <w:lang w:eastAsia="en-US"/>
        </w:rPr>
        <w:t xml:space="preserve">няется обильным истечением из матки, особенно когда животное лежачем </w:t>
      </w:r>
      <w:proofErr w:type="gramStart"/>
      <w:r w:rsidRPr="008742E9">
        <w:rPr>
          <w:rFonts w:eastAsia="Arial" w:cs="Arial"/>
          <w:sz w:val="22"/>
          <w:lang w:eastAsia="en-US"/>
        </w:rPr>
        <w:t>положении</w:t>
      </w:r>
      <w:proofErr w:type="gramEnd"/>
      <w:r w:rsidRPr="008742E9">
        <w:rPr>
          <w:rFonts w:eastAsia="Arial" w:cs="Arial"/>
          <w:sz w:val="22"/>
          <w:lang w:eastAsia="en-US"/>
        </w:rPr>
        <w:t>. Выделения жидкие кровянистые, затем буро-красные или темно-коричневын лохии. В то же времени может с</w:t>
      </w:r>
      <w:r w:rsidRPr="008742E9">
        <w:rPr>
          <w:rFonts w:eastAsia="Arial" w:cs="Arial"/>
          <w:sz w:val="22"/>
          <w:lang w:eastAsia="en-US"/>
        </w:rPr>
        <w:t>о</w:t>
      </w:r>
      <w:r w:rsidRPr="008742E9">
        <w:rPr>
          <w:rFonts w:eastAsia="Arial" w:cs="Arial"/>
          <w:sz w:val="22"/>
          <w:lang w:eastAsia="en-US"/>
        </w:rPr>
        <w:t>храняться вибрация средних маточных артерий.</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В общем состоянии у животного наблюдается вялость, пониж</w:t>
      </w:r>
      <w:r w:rsidRPr="008742E9">
        <w:rPr>
          <w:rFonts w:eastAsia="Arial" w:cs="Arial"/>
          <w:sz w:val="22"/>
          <w:lang w:eastAsia="en-US"/>
        </w:rPr>
        <w:t>а</w:t>
      </w:r>
      <w:r w:rsidRPr="008742E9">
        <w:rPr>
          <w:rFonts w:eastAsia="Arial" w:cs="Arial"/>
          <w:sz w:val="22"/>
          <w:lang w:eastAsia="en-US"/>
        </w:rPr>
        <w:t>ется аппетит, температура тела немного колеблется [2].</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Слизистая оболочка влагалища и влагалищной части шейки матки набухшая. Канал шейки открыт, матка растянута, стенки ее дряблые. У коров часто пальпируются карункулы. На массаж матка реагирует слабо или совершенно не реагирует (атония). На одном из яичников находят желтое тело. Субинволюция часто сопровождае</w:t>
      </w:r>
      <w:r w:rsidRPr="008742E9">
        <w:rPr>
          <w:rFonts w:eastAsia="Arial" w:cs="Arial"/>
          <w:sz w:val="22"/>
          <w:lang w:eastAsia="en-US"/>
        </w:rPr>
        <w:t>т</w:t>
      </w:r>
      <w:r w:rsidRPr="008742E9">
        <w:rPr>
          <w:rFonts w:eastAsia="Arial" w:cs="Arial"/>
          <w:sz w:val="22"/>
          <w:lang w:eastAsia="en-US"/>
        </w:rPr>
        <w:t>ся угнетением функции яичников, иногда с образованием кист.[1]</w:t>
      </w:r>
    </w:p>
    <w:p w:rsidR="008742E9" w:rsidRPr="008742E9" w:rsidRDefault="008742E9" w:rsidP="00EA11E0">
      <w:pPr>
        <w:ind w:firstLine="426"/>
        <w:jc w:val="both"/>
        <w:rPr>
          <w:rFonts w:eastAsia="Arial"/>
          <w:sz w:val="22"/>
          <w:lang w:eastAsia="en-US"/>
        </w:rPr>
      </w:pPr>
      <w:r w:rsidRPr="008742E9">
        <w:rPr>
          <w:rFonts w:eastAsia="Arial" w:cs="Arial"/>
          <w:sz w:val="22"/>
          <w:lang w:eastAsia="en-US"/>
        </w:rPr>
        <w:t xml:space="preserve">Собственные исследования. </w:t>
      </w:r>
      <w:r w:rsidRPr="008742E9">
        <w:rPr>
          <w:rFonts w:eastAsia="Arial"/>
          <w:sz w:val="22"/>
          <w:lang w:eastAsia="en-US"/>
        </w:rPr>
        <w:t>Основной задачей исследования было проанализировать эффективность базового и нового способов лечения субинволюции</w:t>
      </w:r>
      <w:r w:rsidRPr="008742E9">
        <w:rPr>
          <w:rFonts w:eastAsia="Arial" w:cs="Arial"/>
          <w:sz w:val="22"/>
          <w:lang w:eastAsia="en-US"/>
        </w:rPr>
        <w:t> половой сферы у </w:t>
      </w:r>
      <w:r w:rsidRPr="008742E9">
        <w:rPr>
          <w:rFonts w:eastAsia="Arial"/>
          <w:sz w:val="22"/>
          <w:lang w:eastAsia="en-US"/>
        </w:rPr>
        <w:t>коров​</w:t>
      </w:r>
      <w:r w:rsidRPr="008742E9">
        <w:rPr>
          <w:rFonts w:eastAsia="Arial" w:cs="Arial"/>
          <w:sz w:val="22"/>
          <w:lang w:eastAsia="en-US"/>
        </w:rPr>
        <w:t xml:space="preserve"> </w:t>
      </w:r>
      <w:r w:rsidRPr="008742E9">
        <w:rPr>
          <w:rFonts w:eastAsia="Arial"/>
          <w:sz w:val="22"/>
          <w:lang w:eastAsia="en-US"/>
        </w:rPr>
        <w:t>с использованием опытной и контрольной групп животных.</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 xml:space="preserve">Коровам опытной группы внутримышечно вводили 2%-ный раствор синестрола в дозе 2 мл двукратно с 1 дня лечения с 24-часовым интервалом. В 1, 5 и 9 дни подкожно вводили ПДЭ в дозе 20 мл. Ихтиол вводили в виде 7%-ного раствора на 0,85%-ном натрия хлориде с 48-часовым интервалом в дозах 25, 30 и 35 мл. </w:t>
      </w:r>
      <w:r w:rsidRPr="008742E9">
        <w:rPr>
          <w:rFonts w:eastAsia="Arial" w:cs="Arial"/>
          <w:sz w:val="22"/>
          <w:lang w:eastAsia="en-US"/>
        </w:rPr>
        <w:lastRenderedPageBreak/>
        <w:t xml:space="preserve">Окситоцин в дозе 8-10 </w:t>
      </w:r>
      <w:proofErr w:type="gramStart"/>
      <w:r w:rsidRPr="008742E9">
        <w:rPr>
          <w:rFonts w:eastAsia="Arial" w:cs="Arial"/>
          <w:sz w:val="22"/>
          <w:lang w:eastAsia="en-US"/>
        </w:rPr>
        <w:t>ЕД</w:t>
      </w:r>
      <w:proofErr w:type="gramEnd"/>
      <w:r w:rsidRPr="008742E9">
        <w:rPr>
          <w:rFonts w:eastAsia="Arial" w:cs="Arial"/>
          <w:sz w:val="22"/>
          <w:lang w:eastAsia="en-US"/>
        </w:rPr>
        <w:t>/100 кг инъецировали подкожно четыре</w:t>
      </w:r>
      <w:r w:rsidRPr="008742E9">
        <w:rPr>
          <w:rFonts w:eastAsia="Arial" w:cs="Arial"/>
          <w:sz w:val="22"/>
          <w:lang w:eastAsia="en-US"/>
        </w:rPr>
        <w:t>х</w:t>
      </w:r>
      <w:r w:rsidRPr="008742E9">
        <w:rPr>
          <w:rFonts w:eastAsia="Arial" w:cs="Arial"/>
          <w:sz w:val="22"/>
          <w:lang w:eastAsia="en-US"/>
        </w:rPr>
        <w:t>кратно с 24-часовым интервалом со 2 дня лечения.</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Животным контрольной группы вводили 7%-ный ихтиол с 48 часовым интервалом с 1 дня курса лечения в дозах: 20, 25, 30, 35, 30 и 25 мл. Внутримышечно вводили 2%-ный раствор синестрола дв</w:t>
      </w:r>
      <w:r w:rsidRPr="008742E9">
        <w:rPr>
          <w:rFonts w:eastAsia="Arial" w:cs="Arial"/>
          <w:sz w:val="22"/>
          <w:lang w:eastAsia="en-US"/>
        </w:rPr>
        <w:t>у</w:t>
      </w:r>
      <w:r w:rsidRPr="008742E9">
        <w:rPr>
          <w:rFonts w:eastAsia="Arial" w:cs="Arial"/>
          <w:sz w:val="22"/>
          <w:lang w:eastAsia="en-US"/>
        </w:rPr>
        <w:t>кратно с 24-часовым интервалом с 1 дня лечения в дозе 2 мл. На 2, 3, 4 и 5 дни подкожно вводили окситоцин в дозе 8-10ЕД/100 кг.</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При наличии гипертермии в схему лечения необходимо вкл</w:t>
      </w:r>
      <w:r w:rsidRPr="008742E9">
        <w:rPr>
          <w:rFonts w:eastAsia="Arial" w:cs="Arial"/>
          <w:sz w:val="22"/>
          <w:lang w:eastAsia="en-US"/>
        </w:rPr>
        <w:t>ю</w:t>
      </w:r>
      <w:r w:rsidRPr="008742E9">
        <w:rPr>
          <w:rFonts w:eastAsia="Arial" w:cs="Arial"/>
          <w:sz w:val="22"/>
          <w:lang w:eastAsia="en-US"/>
        </w:rPr>
        <w:t>чать антибиотикотерапию. При большом количестве лохий со зл</w:t>
      </w:r>
      <w:r w:rsidRPr="008742E9">
        <w:rPr>
          <w:rFonts w:eastAsia="Arial" w:cs="Arial"/>
          <w:sz w:val="22"/>
          <w:lang w:eastAsia="en-US"/>
        </w:rPr>
        <w:t>о</w:t>
      </w:r>
      <w:r w:rsidRPr="008742E9">
        <w:rPr>
          <w:rFonts w:eastAsia="Arial" w:cs="Arial"/>
          <w:sz w:val="22"/>
          <w:lang w:eastAsia="en-US"/>
        </w:rPr>
        <w:t>вонным запахом необходимо промывать полость матки антисепт</w:t>
      </w:r>
      <w:r w:rsidRPr="008742E9">
        <w:rPr>
          <w:rFonts w:eastAsia="Arial" w:cs="Arial"/>
          <w:sz w:val="22"/>
          <w:lang w:eastAsia="en-US"/>
        </w:rPr>
        <w:t>и</w:t>
      </w:r>
      <w:r w:rsidRPr="008742E9">
        <w:rPr>
          <w:rFonts w:eastAsia="Arial" w:cs="Arial"/>
          <w:sz w:val="22"/>
          <w:lang w:eastAsia="en-US"/>
        </w:rPr>
        <w:t xml:space="preserve">ческими растворами, а также комплексными </w:t>
      </w:r>
      <w:proofErr w:type="gramStart"/>
      <w:r w:rsidRPr="008742E9">
        <w:rPr>
          <w:rFonts w:eastAsia="Arial" w:cs="Arial"/>
          <w:sz w:val="22"/>
          <w:lang w:eastAsia="en-US"/>
        </w:rPr>
        <w:t>препаратами</w:t>
      </w:r>
      <w:proofErr w:type="gramEnd"/>
      <w:r w:rsidRPr="008742E9">
        <w:rPr>
          <w:rFonts w:eastAsia="Arial" w:cs="Arial"/>
          <w:sz w:val="22"/>
          <w:lang w:eastAsia="en-US"/>
        </w:rPr>
        <w:t xml:space="preserve"> напр</w:t>
      </w:r>
      <w:r w:rsidRPr="008742E9">
        <w:rPr>
          <w:rFonts w:eastAsia="Arial" w:cs="Arial"/>
          <w:sz w:val="22"/>
          <w:lang w:eastAsia="en-US"/>
        </w:rPr>
        <w:t>и</w:t>
      </w:r>
      <w:r w:rsidRPr="008742E9">
        <w:rPr>
          <w:rFonts w:eastAsia="Arial" w:cs="Arial"/>
          <w:sz w:val="22"/>
          <w:lang w:eastAsia="en-US"/>
        </w:rPr>
        <w:t>мер, эндометромаг и его аналоги.</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Проводили ежедневное клиническое обследование, учитывая время исчезновения симптомов, количество выздоровевших и оплодотворившихся животных.</w:t>
      </w:r>
    </w:p>
    <w:p w:rsidR="008742E9" w:rsidRPr="008742E9" w:rsidRDefault="008742E9" w:rsidP="00EA11E0">
      <w:pPr>
        <w:ind w:firstLine="426"/>
        <w:jc w:val="both"/>
        <w:rPr>
          <w:rFonts w:eastAsia="Arial" w:cs="Arial"/>
          <w:sz w:val="22"/>
          <w:lang w:eastAsia="en-US"/>
        </w:rPr>
      </w:pPr>
      <w:r w:rsidRPr="008742E9">
        <w:rPr>
          <w:rFonts w:eastAsia="Arial" w:cs="Arial"/>
          <w:sz w:val="22"/>
          <w:lang w:eastAsia="en-US"/>
        </w:rPr>
        <w:t>В результате исследований л</w:t>
      </w:r>
      <w:r w:rsidRPr="008742E9">
        <w:rPr>
          <w:rFonts w:eastAsia="Arial"/>
          <w:sz w:val="22"/>
          <w:lang w:eastAsia="en-US"/>
        </w:rPr>
        <w:t>учший терапевтический эффект при лечении достигнут при сочетанном применении ихтиола, пл</w:t>
      </w:r>
      <w:r w:rsidRPr="008742E9">
        <w:rPr>
          <w:rFonts w:eastAsia="Arial"/>
          <w:sz w:val="22"/>
          <w:lang w:eastAsia="en-US"/>
        </w:rPr>
        <w:t>а</w:t>
      </w:r>
      <w:r w:rsidRPr="008742E9">
        <w:rPr>
          <w:rFonts w:eastAsia="Arial"/>
          <w:sz w:val="22"/>
          <w:lang w:eastAsia="en-US"/>
        </w:rPr>
        <w:t>центы денатурированной эмульгированной и окситоцина на фоне синестрола, эстрофана и витаминотерапии.</w:t>
      </w:r>
    </w:p>
    <w:p w:rsidR="008742E9" w:rsidRPr="008742E9" w:rsidRDefault="008742E9" w:rsidP="00EA11E0">
      <w:pPr>
        <w:ind w:firstLine="426"/>
        <w:jc w:val="both"/>
        <w:rPr>
          <w:rFonts w:eastAsia="Arial"/>
          <w:sz w:val="22"/>
          <w:lang w:eastAsia="en-US"/>
        </w:rPr>
      </w:pPr>
    </w:p>
    <w:p w:rsidR="008742E9" w:rsidRPr="008742E9" w:rsidRDefault="008742E9" w:rsidP="00EA11E0">
      <w:pPr>
        <w:ind w:firstLine="426"/>
        <w:jc w:val="center"/>
        <w:rPr>
          <w:rFonts w:eastAsia="Arial"/>
          <w:sz w:val="22"/>
          <w:lang w:eastAsia="en-US"/>
        </w:rPr>
      </w:pPr>
      <w:r w:rsidRPr="008742E9">
        <w:rPr>
          <w:rFonts w:eastAsia="Arial"/>
          <w:sz w:val="22"/>
          <w:lang w:eastAsia="en-US"/>
        </w:rPr>
        <w:t>Список литературы</w:t>
      </w:r>
    </w:p>
    <w:p w:rsidR="008742E9" w:rsidRPr="008742E9" w:rsidRDefault="008742E9" w:rsidP="00EA11E0">
      <w:pPr>
        <w:ind w:firstLine="426"/>
        <w:jc w:val="both"/>
        <w:rPr>
          <w:rFonts w:eastAsia="Arial"/>
          <w:sz w:val="22"/>
          <w:lang w:eastAsia="en-US"/>
        </w:rPr>
      </w:pPr>
      <w:r w:rsidRPr="008742E9">
        <w:rPr>
          <w:rFonts w:eastAsia="Arial"/>
          <w:sz w:val="22"/>
          <w:lang w:eastAsia="en-US"/>
        </w:rPr>
        <w:t>1. Акатов В.</w:t>
      </w:r>
      <w:r w:rsidR="00EA11E0">
        <w:rPr>
          <w:rFonts w:eastAsia="Arial"/>
          <w:sz w:val="22"/>
          <w:lang w:eastAsia="en-US"/>
        </w:rPr>
        <w:t xml:space="preserve"> </w:t>
      </w:r>
      <w:r w:rsidRPr="008742E9">
        <w:rPr>
          <w:rFonts w:eastAsia="Arial"/>
          <w:sz w:val="22"/>
          <w:lang w:eastAsia="en-US"/>
        </w:rPr>
        <w:t>А., Кононов Г.А. и др. Ветеринарное акушерство и гинекология / Г.А.Кононова. – М.: Колос, 1977 – 656 с.</w:t>
      </w:r>
    </w:p>
    <w:p w:rsidR="008742E9" w:rsidRPr="008742E9" w:rsidRDefault="008742E9" w:rsidP="00EA11E0">
      <w:pPr>
        <w:ind w:firstLine="426"/>
        <w:jc w:val="both"/>
        <w:rPr>
          <w:rFonts w:eastAsia="Arial"/>
          <w:sz w:val="22"/>
          <w:lang w:eastAsia="en-US"/>
        </w:rPr>
      </w:pPr>
      <w:r w:rsidRPr="008742E9">
        <w:rPr>
          <w:rFonts w:eastAsia="Arial"/>
          <w:sz w:val="22"/>
          <w:lang w:eastAsia="en-US"/>
        </w:rPr>
        <w:t>2. Баймишев Х.</w:t>
      </w:r>
      <w:r w:rsidR="00EA11E0">
        <w:rPr>
          <w:rFonts w:eastAsia="Arial"/>
          <w:sz w:val="22"/>
          <w:lang w:eastAsia="en-US"/>
        </w:rPr>
        <w:t xml:space="preserve"> </w:t>
      </w:r>
      <w:r w:rsidRPr="008742E9">
        <w:rPr>
          <w:rFonts w:eastAsia="Arial"/>
          <w:sz w:val="22"/>
          <w:lang w:eastAsia="en-US"/>
        </w:rPr>
        <w:t>Б. Практикум по акушерству и гинекологии: учебное пособие / Х.Б. Баймишев, В.В. Землянкин и М.Х. Байм</w:t>
      </w:r>
      <w:r w:rsidRPr="008742E9">
        <w:rPr>
          <w:rFonts w:eastAsia="Arial"/>
          <w:sz w:val="22"/>
          <w:lang w:eastAsia="en-US"/>
        </w:rPr>
        <w:t>и</w:t>
      </w:r>
      <w:r w:rsidRPr="008742E9">
        <w:rPr>
          <w:rFonts w:eastAsia="Arial"/>
          <w:sz w:val="22"/>
          <w:lang w:eastAsia="en-US"/>
        </w:rPr>
        <w:t>шев. – 2-изд. перераб. и доп. – Самара</w:t>
      </w:r>
      <w:proofErr w:type="gramStart"/>
      <w:r w:rsidRPr="008742E9">
        <w:rPr>
          <w:rFonts w:eastAsia="Arial"/>
          <w:sz w:val="22"/>
          <w:lang w:eastAsia="en-US"/>
        </w:rPr>
        <w:t xml:space="preserve"> :</w:t>
      </w:r>
      <w:proofErr w:type="gramEnd"/>
      <w:r w:rsidRPr="008742E9">
        <w:rPr>
          <w:rFonts w:eastAsia="Arial"/>
          <w:sz w:val="22"/>
          <w:lang w:eastAsia="en-US"/>
        </w:rPr>
        <w:t xml:space="preserve"> РИЦ СГСХА, 2012. – 300 с.</w:t>
      </w:r>
    </w:p>
    <w:p w:rsidR="008742E9" w:rsidRPr="008742E9" w:rsidRDefault="008742E9" w:rsidP="00EA11E0">
      <w:pPr>
        <w:ind w:firstLine="426"/>
        <w:jc w:val="both"/>
        <w:rPr>
          <w:rFonts w:eastAsia="Arial"/>
          <w:sz w:val="22"/>
          <w:lang w:eastAsia="en-US"/>
        </w:rPr>
      </w:pPr>
      <w:r w:rsidRPr="008742E9">
        <w:rPr>
          <w:rFonts w:eastAsia="Arial"/>
          <w:sz w:val="22"/>
          <w:lang w:eastAsia="en-US"/>
        </w:rPr>
        <w:t>3. Гончаров В.</w:t>
      </w:r>
      <w:r w:rsidR="00EA11E0">
        <w:rPr>
          <w:rFonts w:eastAsia="Arial"/>
          <w:sz w:val="22"/>
          <w:lang w:eastAsia="en-US"/>
        </w:rPr>
        <w:t xml:space="preserve"> </w:t>
      </w:r>
      <w:r w:rsidRPr="008742E9">
        <w:rPr>
          <w:rFonts w:eastAsia="Arial"/>
          <w:sz w:val="22"/>
          <w:lang w:eastAsia="en-US"/>
        </w:rPr>
        <w:t>П., Карпов В.А. Профилактика и лечение гин</w:t>
      </w:r>
      <w:r w:rsidRPr="008742E9">
        <w:rPr>
          <w:rFonts w:eastAsia="Arial"/>
          <w:sz w:val="22"/>
          <w:lang w:eastAsia="en-US"/>
        </w:rPr>
        <w:t>е</w:t>
      </w:r>
      <w:r w:rsidRPr="008742E9">
        <w:rPr>
          <w:rFonts w:eastAsia="Arial"/>
          <w:sz w:val="22"/>
          <w:lang w:eastAsia="en-US"/>
        </w:rPr>
        <w:t>кологических заболеваний у коров. – М.: Росагропроиздат, 1991 – 192 с.</w:t>
      </w:r>
    </w:p>
    <w:p w:rsidR="008742E9" w:rsidRPr="008742E9" w:rsidRDefault="008742E9" w:rsidP="00EA11E0">
      <w:pPr>
        <w:ind w:firstLine="426"/>
        <w:jc w:val="both"/>
        <w:rPr>
          <w:sz w:val="24"/>
        </w:rPr>
      </w:pPr>
      <w:r w:rsidRPr="008742E9">
        <w:rPr>
          <w:rFonts w:eastAsia="Arial"/>
          <w:sz w:val="22"/>
          <w:lang w:eastAsia="en-US"/>
        </w:rPr>
        <w:t>4. Студенцов А.</w:t>
      </w:r>
      <w:r w:rsidR="00EA11E0">
        <w:rPr>
          <w:rFonts w:eastAsia="Arial"/>
          <w:sz w:val="22"/>
          <w:lang w:eastAsia="en-US"/>
        </w:rPr>
        <w:t xml:space="preserve"> </w:t>
      </w:r>
      <w:r w:rsidRPr="008742E9">
        <w:rPr>
          <w:rFonts w:eastAsia="Arial"/>
          <w:sz w:val="22"/>
          <w:lang w:eastAsia="en-US"/>
        </w:rPr>
        <w:t>П., Шипилов В.С., Никитин В.Я. и др. Ветер</w:t>
      </w:r>
      <w:r w:rsidRPr="008742E9">
        <w:rPr>
          <w:rFonts w:eastAsia="Arial"/>
          <w:sz w:val="22"/>
          <w:lang w:eastAsia="en-US"/>
        </w:rPr>
        <w:t>и</w:t>
      </w:r>
      <w:r w:rsidRPr="008742E9">
        <w:rPr>
          <w:rFonts w:eastAsia="Arial"/>
          <w:sz w:val="22"/>
          <w:lang w:eastAsia="en-US"/>
        </w:rPr>
        <w:t>нарное акушерство, гинекология и биотехника размножения / А.П. Студенцов. – М.: КОЛОС, 1999 – 653 с.</w:t>
      </w:r>
    </w:p>
    <w:p w:rsidR="008742E9" w:rsidRPr="008742E9" w:rsidRDefault="008742E9" w:rsidP="00EA11E0">
      <w:pPr>
        <w:spacing w:line="276" w:lineRule="auto"/>
        <w:ind w:firstLine="426"/>
        <w:rPr>
          <w:sz w:val="24"/>
        </w:rPr>
      </w:pPr>
    </w:p>
    <w:p w:rsidR="008742E9" w:rsidRPr="008742E9" w:rsidRDefault="008742E9" w:rsidP="008742E9">
      <w:pPr>
        <w:spacing w:line="276" w:lineRule="auto"/>
        <w:rPr>
          <w:sz w:val="24"/>
        </w:rPr>
      </w:pPr>
    </w:p>
    <w:p w:rsidR="008742E9" w:rsidRPr="008742E9" w:rsidRDefault="008742E9" w:rsidP="008742E9">
      <w:pPr>
        <w:spacing w:line="276" w:lineRule="auto"/>
        <w:rPr>
          <w:sz w:val="24"/>
        </w:rPr>
      </w:pPr>
    </w:p>
    <w:p w:rsidR="008742E9" w:rsidRPr="008742E9" w:rsidRDefault="008742E9" w:rsidP="008742E9">
      <w:pPr>
        <w:spacing w:line="276" w:lineRule="auto"/>
        <w:rPr>
          <w:sz w:val="24"/>
        </w:rPr>
      </w:pPr>
    </w:p>
    <w:p w:rsidR="008742E9" w:rsidRPr="008742E9" w:rsidRDefault="008742E9" w:rsidP="008742E9">
      <w:pPr>
        <w:spacing w:line="276" w:lineRule="auto"/>
        <w:rPr>
          <w:sz w:val="24"/>
        </w:rPr>
      </w:pPr>
    </w:p>
    <w:p w:rsidR="008742E9" w:rsidRPr="00EA11E0" w:rsidRDefault="008742E9" w:rsidP="008742E9">
      <w:pPr>
        <w:spacing w:line="276" w:lineRule="auto"/>
        <w:rPr>
          <w:sz w:val="22"/>
          <w:szCs w:val="22"/>
        </w:rPr>
      </w:pPr>
      <w:r w:rsidRPr="00EA11E0">
        <w:rPr>
          <w:sz w:val="22"/>
          <w:szCs w:val="22"/>
        </w:rPr>
        <w:lastRenderedPageBreak/>
        <w:t>УДК 619:618.14-08</w:t>
      </w:r>
    </w:p>
    <w:p w:rsidR="008742E9" w:rsidRPr="008742E9" w:rsidRDefault="008742E9" w:rsidP="008742E9">
      <w:pPr>
        <w:spacing w:line="276" w:lineRule="auto"/>
        <w:rPr>
          <w:sz w:val="22"/>
        </w:rPr>
      </w:pPr>
    </w:p>
    <w:p w:rsidR="008742E9" w:rsidRPr="008742E9" w:rsidRDefault="008742E9" w:rsidP="008742E9">
      <w:pPr>
        <w:jc w:val="center"/>
        <w:rPr>
          <w:b/>
          <w:sz w:val="24"/>
          <w:szCs w:val="24"/>
        </w:rPr>
      </w:pPr>
      <w:r w:rsidRPr="008742E9">
        <w:rPr>
          <w:b/>
          <w:sz w:val="24"/>
          <w:szCs w:val="24"/>
        </w:rPr>
        <w:t>Сравнительная оценка средств терапии при</w:t>
      </w:r>
      <w:r w:rsidRPr="008742E9">
        <w:rPr>
          <w:b/>
          <w:sz w:val="24"/>
          <w:szCs w:val="24"/>
        </w:rPr>
        <w:br/>
        <w:t>лечении острого послеродового гнойно-катарального</w:t>
      </w:r>
      <w:r w:rsidRPr="008742E9">
        <w:rPr>
          <w:b/>
          <w:sz w:val="24"/>
          <w:szCs w:val="24"/>
        </w:rPr>
        <w:br/>
        <w:t xml:space="preserve"> эндометрита у коров</w:t>
      </w:r>
    </w:p>
    <w:p w:rsidR="008742E9" w:rsidRPr="008742E9" w:rsidRDefault="008742E9" w:rsidP="008742E9">
      <w:pPr>
        <w:jc w:val="center"/>
        <w:rPr>
          <w:b/>
          <w:sz w:val="24"/>
          <w:szCs w:val="24"/>
          <w:lang w:val="en-US"/>
        </w:rPr>
      </w:pPr>
      <w:r w:rsidRPr="008742E9">
        <w:rPr>
          <w:b/>
          <w:sz w:val="24"/>
          <w:szCs w:val="24"/>
          <w:lang w:val="en-US"/>
        </w:rPr>
        <w:t xml:space="preserve">Comparative evaluation of facilities of therapy in the </w:t>
      </w:r>
      <w:r w:rsidR="00E22BC2" w:rsidRPr="00E22BC2">
        <w:rPr>
          <w:b/>
          <w:sz w:val="24"/>
          <w:szCs w:val="24"/>
          <w:lang w:val="en-US"/>
        </w:rPr>
        <w:br/>
      </w:r>
      <w:r w:rsidRPr="008742E9">
        <w:rPr>
          <w:b/>
          <w:sz w:val="24"/>
          <w:szCs w:val="24"/>
          <w:lang w:val="en-US"/>
        </w:rPr>
        <w:t>treatment of acute postpartus purulent-cattarrhalendometritis in cows</w:t>
      </w:r>
    </w:p>
    <w:p w:rsidR="008742E9" w:rsidRPr="008742E9" w:rsidRDefault="008742E9" w:rsidP="008742E9">
      <w:pPr>
        <w:jc w:val="center"/>
        <w:rPr>
          <w:sz w:val="24"/>
          <w:szCs w:val="24"/>
          <w:lang w:val="en-US"/>
        </w:rPr>
      </w:pPr>
    </w:p>
    <w:p w:rsidR="008742E9" w:rsidRPr="008742E9" w:rsidRDefault="008742E9" w:rsidP="00E22BC2">
      <w:pPr>
        <w:jc w:val="right"/>
        <w:rPr>
          <w:sz w:val="22"/>
          <w:szCs w:val="22"/>
        </w:rPr>
      </w:pPr>
      <w:r w:rsidRPr="008742E9">
        <w:rPr>
          <w:sz w:val="22"/>
          <w:szCs w:val="22"/>
        </w:rPr>
        <w:t>Безрукова В. О.,</w:t>
      </w:r>
    </w:p>
    <w:p w:rsidR="008742E9" w:rsidRPr="008742E9" w:rsidRDefault="008742E9" w:rsidP="00E22BC2">
      <w:pPr>
        <w:jc w:val="right"/>
        <w:rPr>
          <w:sz w:val="22"/>
          <w:szCs w:val="22"/>
        </w:rPr>
      </w:pPr>
      <w:r w:rsidRPr="008742E9">
        <w:rPr>
          <w:sz w:val="22"/>
          <w:szCs w:val="22"/>
        </w:rPr>
        <w:t xml:space="preserve">студентка 5-го курса факультета </w:t>
      </w:r>
      <w:r w:rsidRPr="008742E9">
        <w:rPr>
          <w:sz w:val="22"/>
          <w:szCs w:val="22"/>
        </w:rPr>
        <w:br/>
        <w:t>ветеринарной медицины</w:t>
      </w:r>
    </w:p>
    <w:p w:rsidR="008742E9" w:rsidRPr="008742E9" w:rsidRDefault="008742E9" w:rsidP="00E22BC2">
      <w:pPr>
        <w:jc w:val="right"/>
        <w:rPr>
          <w:sz w:val="22"/>
          <w:szCs w:val="22"/>
        </w:rPr>
      </w:pPr>
      <w:r w:rsidRPr="008742E9">
        <w:rPr>
          <w:sz w:val="22"/>
          <w:szCs w:val="22"/>
        </w:rPr>
        <w:t>Назаров М. В.,</w:t>
      </w:r>
    </w:p>
    <w:p w:rsidR="008742E9" w:rsidRPr="008742E9" w:rsidRDefault="008742E9" w:rsidP="00E22BC2">
      <w:pPr>
        <w:jc w:val="right"/>
        <w:rPr>
          <w:sz w:val="22"/>
          <w:szCs w:val="22"/>
        </w:rPr>
      </w:pPr>
      <w:r w:rsidRPr="008742E9">
        <w:rPr>
          <w:sz w:val="22"/>
          <w:szCs w:val="22"/>
        </w:rPr>
        <w:t xml:space="preserve">профессор кафедры анатомии, </w:t>
      </w:r>
      <w:r w:rsidRPr="008742E9">
        <w:rPr>
          <w:sz w:val="22"/>
          <w:szCs w:val="22"/>
        </w:rPr>
        <w:br/>
        <w:t>ветеринарного акушерства и хирургии</w:t>
      </w:r>
    </w:p>
    <w:p w:rsidR="008742E9" w:rsidRPr="008742E9" w:rsidRDefault="008742E9" w:rsidP="00E22BC2">
      <w:pPr>
        <w:jc w:val="right"/>
        <w:rPr>
          <w:sz w:val="22"/>
          <w:szCs w:val="22"/>
        </w:rPr>
      </w:pPr>
      <w:r w:rsidRPr="008742E9">
        <w:rPr>
          <w:sz w:val="22"/>
          <w:szCs w:val="22"/>
        </w:rPr>
        <w:t>Кубанский государственный аграрный</w:t>
      </w:r>
    </w:p>
    <w:p w:rsidR="008742E9" w:rsidRPr="008742E9" w:rsidRDefault="008742E9" w:rsidP="00E22BC2">
      <w:pPr>
        <w:jc w:val="right"/>
        <w:rPr>
          <w:sz w:val="22"/>
          <w:szCs w:val="22"/>
        </w:rPr>
      </w:pPr>
      <w:r w:rsidRPr="008742E9">
        <w:rPr>
          <w:sz w:val="22"/>
          <w:szCs w:val="22"/>
        </w:rPr>
        <w:t>университет им. И. Т. Трубилина</w:t>
      </w:r>
    </w:p>
    <w:p w:rsidR="008742E9" w:rsidRPr="008742E9" w:rsidRDefault="008742E9" w:rsidP="008742E9">
      <w:pPr>
        <w:spacing w:line="276" w:lineRule="auto"/>
        <w:jc w:val="right"/>
        <w:rPr>
          <w:sz w:val="22"/>
          <w:szCs w:val="22"/>
        </w:rPr>
      </w:pPr>
    </w:p>
    <w:p w:rsidR="008742E9" w:rsidRPr="008742E9" w:rsidRDefault="008742E9" w:rsidP="00EA11E0">
      <w:pPr>
        <w:ind w:firstLine="426"/>
        <w:jc w:val="both"/>
        <w:rPr>
          <w:sz w:val="22"/>
          <w:szCs w:val="22"/>
        </w:rPr>
      </w:pPr>
      <w:r w:rsidRPr="008742E9">
        <w:rPr>
          <w:sz w:val="22"/>
          <w:szCs w:val="22"/>
        </w:rPr>
        <w:t>АННОТАЦИЯ: Проведена сравнительная оценка методов л</w:t>
      </w:r>
      <w:r w:rsidRPr="008742E9">
        <w:rPr>
          <w:sz w:val="22"/>
          <w:szCs w:val="22"/>
        </w:rPr>
        <w:t>е</w:t>
      </w:r>
      <w:r w:rsidRPr="008742E9">
        <w:rPr>
          <w:sz w:val="22"/>
          <w:szCs w:val="22"/>
        </w:rPr>
        <w:t xml:space="preserve">чения острого послеродового гнойно-катарального эндометрита у коров. Доказана эффективность предложенной схемы лечения по сравнению </w:t>
      </w:r>
      <w:proofErr w:type="gramStart"/>
      <w:r w:rsidRPr="008742E9">
        <w:rPr>
          <w:sz w:val="22"/>
          <w:szCs w:val="22"/>
        </w:rPr>
        <w:t>с</w:t>
      </w:r>
      <w:proofErr w:type="gramEnd"/>
      <w:r w:rsidRPr="008742E9">
        <w:rPr>
          <w:sz w:val="22"/>
          <w:szCs w:val="22"/>
        </w:rPr>
        <w:t xml:space="preserve"> базовой, применяемой в хозяйстве.</w:t>
      </w:r>
    </w:p>
    <w:p w:rsidR="008742E9" w:rsidRPr="008742E9" w:rsidRDefault="008742E9" w:rsidP="00EA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8742E9">
        <w:rPr>
          <w:sz w:val="20"/>
          <w:szCs w:val="20"/>
          <w:lang w:val="en-US"/>
        </w:rPr>
        <w:t xml:space="preserve">ABSTRACT: </w:t>
      </w:r>
      <w:r w:rsidRPr="008742E9">
        <w:rPr>
          <w:sz w:val="22"/>
          <w:szCs w:val="22"/>
          <w:lang w:val="en-US"/>
        </w:rPr>
        <w:t>A comparative evaluation of the methods of treatment of acute postpartum purulent-catarrhal endometritis in cows is carried out. The effectiveness of the proposed treatment scheme is proved in comparison with the baseline used in the farm.</w:t>
      </w:r>
    </w:p>
    <w:p w:rsidR="008742E9" w:rsidRPr="008742E9" w:rsidRDefault="008742E9" w:rsidP="00EA11E0">
      <w:pPr>
        <w:spacing w:line="276" w:lineRule="auto"/>
        <w:ind w:firstLine="426"/>
        <w:jc w:val="both"/>
        <w:rPr>
          <w:sz w:val="22"/>
          <w:szCs w:val="22"/>
        </w:rPr>
      </w:pPr>
      <w:r w:rsidRPr="008742E9">
        <w:rPr>
          <w:sz w:val="22"/>
          <w:szCs w:val="22"/>
        </w:rPr>
        <w:t>КЛЮЧЕВЫЕ СЛОВА: крупный рогатый скот, острый послер</w:t>
      </w:r>
      <w:r w:rsidRPr="008742E9">
        <w:rPr>
          <w:sz w:val="22"/>
          <w:szCs w:val="22"/>
        </w:rPr>
        <w:t>о</w:t>
      </w:r>
      <w:r w:rsidRPr="008742E9">
        <w:rPr>
          <w:sz w:val="22"/>
          <w:szCs w:val="22"/>
        </w:rPr>
        <w:t>довой гнойно-катаральный эндометрит, комплексная терапия.</w:t>
      </w:r>
    </w:p>
    <w:p w:rsidR="008742E9" w:rsidRPr="008742E9" w:rsidRDefault="008742E9" w:rsidP="00EA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8742E9">
        <w:rPr>
          <w:sz w:val="20"/>
          <w:szCs w:val="20"/>
          <w:lang w:val="en-US"/>
        </w:rPr>
        <w:t>KEYWORDS</w:t>
      </w:r>
      <w:r w:rsidRPr="008742E9">
        <w:rPr>
          <w:sz w:val="22"/>
          <w:szCs w:val="22"/>
          <w:lang w:val="en-US"/>
        </w:rPr>
        <w:t>: cattle, acute postpartum purulent-catarrhal endometr</w:t>
      </w:r>
      <w:r w:rsidRPr="008742E9">
        <w:rPr>
          <w:sz w:val="22"/>
          <w:szCs w:val="22"/>
          <w:lang w:val="en-US"/>
        </w:rPr>
        <w:t>i</w:t>
      </w:r>
      <w:r w:rsidRPr="008742E9">
        <w:rPr>
          <w:sz w:val="22"/>
          <w:szCs w:val="22"/>
          <w:lang w:val="en-US"/>
        </w:rPr>
        <w:t>tis, complex therapy.</w:t>
      </w:r>
    </w:p>
    <w:p w:rsidR="008742E9" w:rsidRPr="008742E9" w:rsidRDefault="008742E9" w:rsidP="00EA11E0">
      <w:pPr>
        <w:spacing w:line="276" w:lineRule="auto"/>
        <w:ind w:firstLine="426"/>
        <w:jc w:val="both"/>
        <w:rPr>
          <w:sz w:val="22"/>
          <w:szCs w:val="22"/>
          <w:lang w:val="en-US"/>
        </w:rPr>
      </w:pPr>
    </w:p>
    <w:p w:rsidR="008742E9" w:rsidRPr="008742E9" w:rsidRDefault="008742E9" w:rsidP="00EA11E0">
      <w:pPr>
        <w:ind w:firstLine="426"/>
        <w:jc w:val="both"/>
        <w:rPr>
          <w:color w:val="000000"/>
          <w:sz w:val="22"/>
          <w:szCs w:val="22"/>
        </w:rPr>
      </w:pPr>
      <w:r w:rsidRPr="008742E9">
        <w:rPr>
          <w:color w:val="000000"/>
          <w:sz w:val="22"/>
          <w:szCs w:val="22"/>
        </w:rPr>
        <w:t>Бесплодие высокопродуктивных коров, обусловленное разв</w:t>
      </w:r>
      <w:r w:rsidRPr="008742E9">
        <w:rPr>
          <w:color w:val="000000"/>
          <w:sz w:val="22"/>
          <w:szCs w:val="22"/>
        </w:rPr>
        <w:t>и</w:t>
      </w:r>
      <w:r w:rsidRPr="008742E9">
        <w:rPr>
          <w:color w:val="000000"/>
          <w:sz w:val="22"/>
          <w:szCs w:val="22"/>
        </w:rPr>
        <w:t>тием острого послеродового гнойно-катарального эндометрита, сдерживает темпы воспроизводства, отражается на качестве пол</w:t>
      </w:r>
      <w:r w:rsidRPr="008742E9">
        <w:rPr>
          <w:color w:val="000000"/>
          <w:sz w:val="22"/>
          <w:szCs w:val="22"/>
        </w:rPr>
        <w:t>у</w:t>
      </w:r>
      <w:r w:rsidRPr="008742E9">
        <w:rPr>
          <w:color w:val="000000"/>
          <w:sz w:val="22"/>
          <w:szCs w:val="22"/>
        </w:rPr>
        <w:t>чаемой продукции, нанося животноводческим хозяйствам знач</w:t>
      </w:r>
      <w:r w:rsidRPr="008742E9">
        <w:rPr>
          <w:color w:val="000000"/>
          <w:sz w:val="22"/>
          <w:szCs w:val="22"/>
        </w:rPr>
        <w:t>и</w:t>
      </w:r>
      <w:r w:rsidRPr="008742E9">
        <w:rPr>
          <w:color w:val="000000"/>
          <w:sz w:val="22"/>
          <w:szCs w:val="22"/>
        </w:rPr>
        <w:t>тельный экономический ущерб [2].</w:t>
      </w:r>
    </w:p>
    <w:p w:rsidR="008742E9" w:rsidRPr="008742E9" w:rsidRDefault="008742E9" w:rsidP="00EA11E0">
      <w:pPr>
        <w:ind w:firstLine="426"/>
        <w:jc w:val="both"/>
        <w:rPr>
          <w:color w:val="000000"/>
          <w:sz w:val="22"/>
          <w:szCs w:val="22"/>
        </w:rPr>
      </w:pPr>
      <w:r w:rsidRPr="008742E9">
        <w:rPr>
          <w:color w:val="000000"/>
          <w:sz w:val="22"/>
          <w:szCs w:val="22"/>
        </w:rPr>
        <w:lastRenderedPageBreak/>
        <w:t>Целью научно-исследовательской работы является разработка комплексного метода лечения острого гнойно-катарального энд</w:t>
      </w:r>
      <w:r w:rsidRPr="008742E9">
        <w:rPr>
          <w:color w:val="000000"/>
          <w:sz w:val="22"/>
          <w:szCs w:val="22"/>
        </w:rPr>
        <w:t>о</w:t>
      </w:r>
      <w:r w:rsidRPr="008742E9">
        <w:rPr>
          <w:color w:val="000000"/>
          <w:sz w:val="22"/>
          <w:szCs w:val="22"/>
        </w:rPr>
        <w:t>метрита в послеродовой период.</w:t>
      </w:r>
    </w:p>
    <w:p w:rsidR="008742E9" w:rsidRPr="008742E9" w:rsidRDefault="008742E9" w:rsidP="00EA11E0">
      <w:pPr>
        <w:ind w:firstLine="426"/>
        <w:jc w:val="both"/>
        <w:rPr>
          <w:color w:val="000000"/>
          <w:sz w:val="22"/>
          <w:szCs w:val="22"/>
        </w:rPr>
      </w:pPr>
      <w:r w:rsidRPr="008742E9">
        <w:rPr>
          <w:color w:val="000000"/>
          <w:sz w:val="22"/>
          <w:szCs w:val="22"/>
        </w:rPr>
        <w:t>Для достижения поставленной цели в процессе выполнения р</w:t>
      </w:r>
      <w:r w:rsidRPr="008742E9">
        <w:rPr>
          <w:color w:val="000000"/>
          <w:sz w:val="22"/>
          <w:szCs w:val="22"/>
        </w:rPr>
        <w:t>а</w:t>
      </w:r>
      <w:r w:rsidRPr="008742E9">
        <w:rPr>
          <w:color w:val="000000"/>
          <w:sz w:val="22"/>
          <w:szCs w:val="22"/>
        </w:rPr>
        <w:t>боты были поставлены следующие задачи:</w:t>
      </w:r>
    </w:p>
    <w:p w:rsidR="008742E9" w:rsidRPr="008742E9" w:rsidRDefault="008742E9" w:rsidP="00EA11E0">
      <w:pPr>
        <w:numPr>
          <w:ilvl w:val="0"/>
          <w:numId w:val="10"/>
        </w:numPr>
        <w:spacing w:after="160" w:line="259" w:lineRule="auto"/>
        <w:ind w:left="0" w:firstLine="426"/>
        <w:contextualSpacing/>
        <w:jc w:val="both"/>
        <w:rPr>
          <w:color w:val="000000"/>
          <w:sz w:val="22"/>
          <w:szCs w:val="22"/>
        </w:rPr>
      </w:pPr>
      <w:r w:rsidRPr="008742E9">
        <w:rPr>
          <w:color w:val="000000"/>
          <w:sz w:val="22"/>
          <w:szCs w:val="22"/>
        </w:rPr>
        <w:t>Изучить в сравнительном аспекте терапевтическую эффе</w:t>
      </w:r>
      <w:r w:rsidRPr="008742E9">
        <w:rPr>
          <w:color w:val="000000"/>
          <w:sz w:val="22"/>
          <w:szCs w:val="22"/>
        </w:rPr>
        <w:t>к</w:t>
      </w:r>
      <w:r w:rsidRPr="008742E9">
        <w:rPr>
          <w:color w:val="000000"/>
          <w:sz w:val="22"/>
          <w:szCs w:val="22"/>
        </w:rPr>
        <w:t>тивность комплексного метода лечения при остром гнойно-катаральном эндометрите у коров.</w:t>
      </w:r>
    </w:p>
    <w:p w:rsidR="008742E9" w:rsidRPr="008742E9" w:rsidRDefault="008742E9" w:rsidP="00EA11E0">
      <w:pPr>
        <w:numPr>
          <w:ilvl w:val="0"/>
          <w:numId w:val="10"/>
        </w:numPr>
        <w:spacing w:after="160" w:line="259" w:lineRule="auto"/>
        <w:ind w:left="0" w:firstLine="426"/>
        <w:contextualSpacing/>
        <w:jc w:val="both"/>
        <w:rPr>
          <w:color w:val="000000"/>
          <w:sz w:val="22"/>
          <w:szCs w:val="22"/>
        </w:rPr>
      </w:pPr>
      <w:r w:rsidRPr="008742E9">
        <w:rPr>
          <w:color w:val="000000"/>
          <w:sz w:val="22"/>
          <w:szCs w:val="22"/>
        </w:rPr>
        <w:t>Определить экономическую эффективность применяемых методов лечения острого гнойно-катарального эндометрита у коров</w:t>
      </w:r>
      <w:r w:rsidRPr="008742E9">
        <w:rPr>
          <w:sz w:val="22"/>
          <w:szCs w:val="22"/>
        </w:rPr>
        <w:t>.</w:t>
      </w:r>
    </w:p>
    <w:p w:rsidR="008742E9" w:rsidRPr="008742E9" w:rsidRDefault="008742E9" w:rsidP="00EA11E0">
      <w:pPr>
        <w:ind w:firstLine="426"/>
        <w:jc w:val="both"/>
        <w:rPr>
          <w:color w:val="000000"/>
          <w:sz w:val="22"/>
          <w:szCs w:val="22"/>
        </w:rPr>
      </w:pPr>
      <w:r w:rsidRPr="008742E9">
        <w:rPr>
          <w:b/>
          <w:color w:val="000000"/>
          <w:sz w:val="22"/>
          <w:szCs w:val="22"/>
        </w:rPr>
        <w:t>Методы и материалы исследований</w:t>
      </w:r>
      <w:r w:rsidRPr="008742E9">
        <w:rPr>
          <w:color w:val="000000"/>
          <w:sz w:val="22"/>
          <w:szCs w:val="22"/>
        </w:rPr>
        <w:t xml:space="preserve">. </w:t>
      </w:r>
      <w:r w:rsidRPr="008742E9">
        <w:rPr>
          <w:sz w:val="22"/>
          <w:szCs w:val="22"/>
        </w:rPr>
        <w:t>Научно-исследовательская работа проводилась на базе молочно-товарной фермы и в лаборатории кафедры анатомии, ветеринарного акуше</w:t>
      </w:r>
      <w:r w:rsidRPr="008742E9">
        <w:rPr>
          <w:sz w:val="22"/>
          <w:szCs w:val="22"/>
        </w:rPr>
        <w:t>р</w:t>
      </w:r>
      <w:r w:rsidRPr="008742E9">
        <w:rPr>
          <w:sz w:val="22"/>
          <w:szCs w:val="22"/>
        </w:rPr>
        <w:t>ства и хирургии. Объектом исследования являлись коровы с ди</w:t>
      </w:r>
      <w:r w:rsidRPr="008742E9">
        <w:rPr>
          <w:sz w:val="22"/>
          <w:szCs w:val="22"/>
        </w:rPr>
        <w:t>а</w:t>
      </w:r>
      <w:r w:rsidRPr="008742E9">
        <w:rPr>
          <w:sz w:val="22"/>
          <w:szCs w:val="22"/>
        </w:rPr>
        <w:t xml:space="preserve">гнозом острый послеродовой гнойно-катаральный эндометрит. </w:t>
      </w:r>
    </w:p>
    <w:p w:rsidR="008742E9" w:rsidRPr="008742E9" w:rsidRDefault="008742E9" w:rsidP="00EA11E0">
      <w:pPr>
        <w:ind w:firstLine="426"/>
        <w:jc w:val="both"/>
        <w:rPr>
          <w:sz w:val="22"/>
          <w:szCs w:val="22"/>
        </w:rPr>
      </w:pPr>
      <w:r w:rsidRPr="008742E9">
        <w:rPr>
          <w:sz w:val="22"/>
          <w:szCs w:val="22"/>
        </w:rPr>
        <w:t>В процессе анализа причин развития послеродовых эндометр</w:t>
      </w:r>
      <w:r w:rsidRPr="008742E9">
        <w:rPr>
          <w:sz w:val="22"/>
          <w:szCs w:val="22"/>
        </w:rPr>
        <w:t>и</w:t>
      </w:r>
      <w:r w:rsidRPr="008742E9">
        <w:rPr>
          <w:sz w:val="22"/>
          <w:szCs w:val="22"/>
        </w:rPr>
        <w:t>тов у коров также учитывались условия содержания, состав рациона качество кормов, условия протекания родов [2].</w:t>
      </w:r>
    </w:p>
    <w:p w:rsidR="008742E9" w:rsidRPr="008742E9" w:rsidRDefault="008742E9" w:rsidP="00EA11E0">
      <w:pPr>
        <w:ind w:firstLine="426"/>
        <w:jc w:val="both"/>
        <w:rPr>
          <w:sz w:val="22"/>
          <w:szCs w:val="22"/>
        </w:rPr>
      </w:pPr>
      <w:r w:rsidRPr="008742E9">
        <w:rPr>
          <w:sz w:val="22"/>
          <w:szCs w:val="22"/>
        </w:rPr>
        <w:t>В ходе работы постепенно из поступающих на лечение живо</w:t>
      </w:r>
      <w:r w:rsidRPr="008742E9">
        <w:rPr>
          <w:sz w:val="22"/>
          <w:szCs w:val="22"/>
        </w:rPr>
        <w:t>т</w:t>
      </w:r>
      <w:r w:rsidRPr="008742E9">
        <w:rPr>
          <w:sz w:val="22"/>
          <w:szCs w:val="22"/>
        </w:rPr>
        <w:t>ные были сформированы на 2 группы по 10 голов. В контрольной группе применялась схема №1 лечения, которая постоянно испол</w:t>
      </w:r>
      <w:r w:rsidRPr="008742E9">
        <w:rPr>
          <w:sz w:val="22"/>
          <w:szCs w:val="22"/>
        </w:rPr>
        <w:t>ь</w:t>
      </w:r>
      <w:r w:rsidRPr="008742E9">
        <w:rPr>
          <w:sz w:val="22"/>
          <w:szCs w:val="22"/>
        </w:rPr>
        <w:t>зовалась в хозяйстве. В опытной группе применялась схема лечения №2, предложенная и усовершенствованная нами в условиях хозя</w:t>
      </w:r>
      <w:r w:rsidRPr="008742E9">
        <w:rPr>
          <w:sz w:val="22"/>
          <w:szCs w:val="22"/>
        </w:rPr>
        <w:t>й</w:t>
      </w:r>
      <w:r w:rsidRPr="008742E9">
        <w:rPr>
          <w:sz w:val="22"/>
          <w:szCs w:val="22"/>
        </w:rPr>
        <w:t xml:space="preserve">ства. </w:t>
      </w:r>
    </w:p>
    <w:p w:rsidR="008742E9" w:rsidRPr="008742E9" w:rsidRDefault="008742E9" w:rsidP="00EA11E0">
      <w:pPr>
        <w:ind w:firstLine="426"/>
        <w:jc w:val="both"/>
        <w:rPr>
          <w:sz w:val="22"/>
          <w:szCs w:val="22"/>
        </w:rPr>
      </w:pPr>
      <w:r w:rsidRPr="008742E9">
        <w:rPr>
          <w:sz w:val="22"/>
          <w:szCs w:val="22"/>
        </w:rPr>
        <w:t>При постановке животных на лечение проводили сбор анамн</w:t>
      </w:r>
      <w:r w:rsidRPr="008742E9">
        <w:rPr>
          <w:sz w:val="22"/>
          <w:szCs w:val="22"/>
        </w:rPr>
        <w:t>е</w:t>
      </w:r>
      <w:r w:rsidRPr="008742E9">
        <w:rPr>
          <w:sz w:val="22"/>
          <w:szCs w:val="22"/>
        </w:rPr>
        <w:t>за с учетом анализа условий содержания и кормления животных, с целью изучения причин и факторов, обусловливающих развитие острого послеродового эндометрита у коров. При постановке ди</w:t>
      </w:r>
      <w:r w:rsidRPr="008742E9">
        <w:rPr>
          <w:sz w:val="22"/>
          <w:szCs w:val="22"/>
        </w:rPr>
        <w:t>а</w:t>
      </w:r>
      <w:r w:rsidRPr="008742E9">
        <w:rPr>
          <w:sz w:val="22"/>
          <w:szCs w:val="22"/>
        </w:rPr>
        <w:t>гноза учитывалась дата последнего отела, процесс течения родов, возможные причины возникновения данного заболевания и клин</w:t>
      </w:r>
      <w:r w:rsidRPr="008742E9">
        <w:rPr>
          <w:sz w:val="22"/>
          <w:szCs w:val="22"/>
        </w:rPr>
        <w:t>и</w:t>
      </w:r>
      <w:r w:rsidRPr="008742E9">
        <w:rPr>
          <w:sz w:val="22"/>
          <w:szCs w:val="22"/>
        </w:rPr>
        <w:t>ческие признаки. При постановке на лечение у животных провод</w:t>
      </w:r>
      <w:r w:rsidRPr="008742E9">
        <w:rPr>
          <w:sz w:val="22"/>
          <w:szCs w:val="22"/>
        </w:rPr>
        <w:t>и</w:t>
      </w:r>
      <w:r w:rsidRPr="008742E9">
        <w:rPr>
          <w:sz w:val="22"/>
          <w:szCs w:val="22"/>
        </w:rPr>
        <w:t xml:space="preserve">ли гематологические и биохимические исследования крови [1]. </w:t>
      </w:r>
    </w:p>
    <w:p w:rsidR="008742E9" w:rsidRPr="008742E9" w:rsidRDefault="008742E9" w:rsidP="00EA11E0">
      <w:pPr>
        <w:ind w:firstLine="426"/>
        <w:jc w:val="both"/>
        <w:rPr>
          <w:sz w:val="22"/>
          <w:szCs w:val="22"/>
        </w:rPr>
      </w:pPr>
      <w:r w:rsidRPr="008742E9">
        <w:rPr>
          <w:sz w:val="22"/>
          <w:szCs w:val="22"/>
        </w:rPr>
        <w:t>Для лечения контрольной группы животных применяли схему лечения №1: в/м Метрости</w:t>
      </w:r>
      <w:proofErr w:type="gramStart"/>
      <w:r w:rsidRPr="008742E9">
        <w:rPr>
          <w:sz w:val="22"/>
          <w:szCs w:val="22"/>
        </w:rPr>
        <w:t>м-</w:t>
      </w:r>
      <w:proofErr w:type="gramEnd"/>
      <w:r w:rsidRPr="008742E9">
        <w:rPr>
          <w:sz w:val="22"/>
          <w:szCs w:val="22"/>
        </w:rPr>
        <w:t>α в дозе 2 мл, Элеовит в дозе 5 мл  и внутриматочно Энроцид в дозе по 100 мл, проводился ректальный массаж стенки матки. В опытной группе животных применялась схема лечения №2: в/м Элеовит в дозе 5 мл и Метрости</w:t>
      </w:r>
      <w:proofErr w:type="gramStart"/>
      <w:r w:rsidRPr="008742E9">
        <w:rPr>
          <w:sz w:val="22"/>
          <w:szCs w:val="22"/>
        </w:rPr>
        <w:t>м-</w:t>
      </w:r>
      <w:proofErr w:type="gramEnd"/>
      <w:r w:rsidRPr="008742E9">
        <w:rPr>
          <w:sz w:val="22"/>
          <w:szCs w:val="22"/>
        </w:rPr>
        <w:t xml:space="preserve">α в дозе 2 </w:t>
      </w:r>
      <w:r w:rsidRPr="008742E9">
        <w:rPr>
          <w:sz w:val="22"/>
          <w:szCs w:val="22"/>
        </w:rPr>
        <w:lastRenderedPageBreak/>
        <w:t xml:space="preserve">мл, внутриматочно Биосанит в дозе 100 мл. Всем животным в обеих группах на второй день лечения в/м вводили Эстрофан в дозе 2 мл, а животным, у которых наблюдалось повышение температуры в/м вводили Бициллин-3  по 1,5 </w:t>
      </w:r>
      <w:proofErr w:type="gramStart"/>
      <w:r w:rsidRPr="008742E9">
        <w:rPr>
          <w:sz w:val="22"/>
          <w:szCs w:val="22"/>
        </w:rPr>
        <w:t>млн</w:t>
      </w:r>
      <w:proofErr w:type="gramEnd"/>
      <w:r w:rsidRPr="008742E9">
        <w:rPr>
          <w:sz w:val="22"/>
          <w:szCs w:val="22"/>
        </w:rPr>
        <w:t xml:space="preserve"> ЕД. </w:t>
      </w:r>
    </w:p>
    <w:p w:rsidR="008742E9" w:rsidRPr="008742E9" w:rsidRDefault="008742E9" w:rsidP="00EA11E0">
      <w:pPr>
        <w:ind w:firstLine="426"/>
        <w:jc w:val="both"/>
        <w:rPr>
          <w:sz w:val="22"/>
          <w:szCs w:val="22"/>
        </w:rPr>
      </w:pPr>
      <w:r w:rsidRPr="008742E9">
        <w:rPr>
          <w:sz w:val="22"/>
          <w:szCs w:val="22"/>
        </w:rPr>
        <w:t>Эффективность комплексного лечения оценивали по результ</w:t>
      </w:r>
      <w:r w:rsidRPr="008742E9">
        <w:rPr>
          <w:sz w:val="22"/>
          <w:szCs w:val="22"/>
        </w:rPr>
        <w:t>а</w:t>
      </w:r>
      <w:r w:rsidRPr="008742E9">
        <w:rPr>
          <w:sz w:val="22"/>
          <w:szCs w:val="22"/>
        </w:rPr>
        <w:t>там клинического, гинекологического исследования, учитывали время проявления половых циклов и их полноценность, оплодотв</w:t>
      </w:r>
      <w:r w:rsidRPr="008742E9">
        <w:rPr>
          <w:sz w:val="22"/>
          <w:szCs w:val="22"/>
        </w:rPr>
        <w:t>о</w:t>
      </w:r>
      <w:r w:rsidRPr="008742E9">
        <w:rPr>
          <w:sz w:val="22"/>
          <w:szCs w:val="22"/>
        </w:rPr>
        <w:t>ряемость коров после первого, повторного и последующих осем</w:t>
      </w:r>
      <w:r w:rsidRPr="008742E9">
        <w:rPr>
          <w:sz w:val="22"/>
          <w:szCs w:val="22"/>
        </w:rPr>
        <w:t>е</w:t>
      </w:r>
      <w:r w:rsidRPr="008742E9">
        <w:rPr>
          <w:sz w:val="22"/>
          <w:szCs w:val="22"/>
        </w:rPr>
        <w:t xml:space="preserve">нений. </w:t>
      </w:r>
    </w:p>
    <w:p w:rsidR="008742E9" w:rsidRPr="008742E9" w:rsidRDefault="008742E9" w:rsidP="00EA11E0">
      <w:pPr>
        <w:ind w:firstLine="426"/>
        <w:jc w:val="both"/>
        <w:rPr>
          <w:sz w:val="22"/>
          <w:szCs w:val="22"/>
        </w:rPr>
      </w:pPr>
      <w:r w:rsidRPr="008742E9">
        <w:rPr>
          <w:b/>
          <w:sz w:val="22"/>
          <w:szCs w:val="22"/>
        </w:rPr>
        <w:t>Анализ результатов исследования и выводы</w:t>
      </w:r>
      <w:r w:rsidRPr="008742E9">
        <w:rPr>
          <w:sz w:val="22"/>
          <w:szCs w:val="22"/>
        </w:rPr>
        <w:t xml:space="preserve">. Результаты проведенного исследования позволяют сделать следующие </w:t>
      </w:r>
      <w:r w:rsidRPr="008742E9">
        <w:rPr>
          <w:bCs/>
          <w:sz w:val="22"/>
          <w:szCs w:val="22"/>
        </w:rPr>
        <w:t>выводы</w:t>
      </w:r>
      <w:r w:rsidRPr="008742E9">
        <w:rPr>
          <w:sz w:val="22"/>
          <w:szCs w:val="22"/>
        </w:rPr>
        <w:t>:</w:t>
      </w:r>
    </w:p>
    <w:p w:rsidR="008742E9" w:rsidRPr="008742E9" w:rsidRDefault="008742E9" w:rsidP="00EA11E0">
      <w:pPr>
        <w:ind w:firstLine="426"/>
        <w:jc w:val="both"/>
        <w:rPr>
          <w:sz w:val="22"/>
          <w:szCs w:val="22"/>
        </w:rPr>
      </w:pPr>
      <w:r w:rsidRPr="008742E9">
        <w:rPr>
          <w:sz w:val="22"/>
          <w:szCs w:val="22"/>
        </w:rPr>
        <w:t>1. Согласно результатам проведенных исследований эффекти</w:t>
      </w:r>
      <w:r w:rsidRPr="008742E9">
        <w:rPr>
          <w:sz w:val="22"/>
          <w:szCs w:val="22"/>
        </w:rPr>
        <w:t>в</w:t>
      </w:r>
      <w:r w:rsidRPr="008742E9">
        <w:rPr>
          <w:sz w:val="22"/>
          <w:szCs w:val="22"/>
        </w:rPr>
        <w:t>ность лечения острого послеродового гнойно-катарального энд</w:t>
      </w:r>
      <w:r w:rsidRPr="008742E9">
        <w:rPr>
          <w:sz w:val="22"/>
          <w:szCs w:val="22"/>
        </w:rPr>
        <w:t>о</w:t>
      </w:r>
      <w:r w:rsidRPr="008742E9">
        <w:rPr>
          <w:sz w:val="22"/>
          <w:szCs w:val="22"/>
        </w:rPr>
        <w:t xml:space="preserve">метрита выше при применении схемы лечения №2. </w:t>
      </w:r>
    </w:p>
    <w:p w:rsidR="008742E9" w:rsidRPr="008742E9" w:rsidRDefault="008742E9" w:rsidP="00EA11E0">
      <w:pPr>
        <w:ind w:firstLine="426"/>
        <w:jc w:val="both"/>
        <w:rPr>
          <w:sz w:val="22"/>
          <w:szCs w:val="22"/>
        </w:rPr>
      </w:pPr>
      <w:r w:rsidRPr="008742E9">
        <w:rPr>
          <w:sz w:val="22"/>
          <w:szCs w:val="22"/>
        </w:rPr>
        <w:t>2. Разработанный нами метод лечения способствовал более быстрой регенерации эндометрия, инволюции матки в более сжатые сроки, улучшению общего состояния и аппетита животных, проя</w:t>
      </w:r>
      <w:r w:rsidRPr="008742E9">
        <w:rPr>
          <w:sz w:val="22"/>
          <w:szCs w:val="22"/>
        </w:rPr>
        <w:t>в</w:t>
      </w:r>
      <w:r w:rsidRPr="008742E9">
        <w:rPr>
          <w:sz w:val="22"/>
          <w:szCs w:val="22"/>
        </w:rPr>
        <w:t>лению полноценных половых циклов и более высокой оплодотв</w:t>
      </w:r>
      <w:r w:rsidRPr="008742E9">
        <w:rPr>
          <w:sz w:val="22"/>
          <w:szCs w:val="22"/>
        </w:rPr>
        <w:t>о</w:t>
      </w:r>
      <w:r w:rsidRPr="008742E9">
        <w:rPr>
          <w:sz w:val="22"/>
          <w:szCs w:val="22"/>
        </w:rPr>
        <w:t>ряемости после проявления первой охоты.</w:t>
      </w:r>
    </w:p>
    <w:p w:rsidR="008742E9" w:rsidRPr="008742E9" w:rsidRDefault="008742E9" w:rsidP="00EA11E0">
      <w:pPr>
        <w:ind w:firstLine="426"/>
        <w:jc w:val="both"/>
        <w:rPr>
          <w:sz w:val="22"/>
          <w:szCs w:val="22"/>
        </w:rPr>
      </w:pPr>
      <w:r w:rsidRPr="008742E9">
        <w:rPr>
          <w:sz w:val="22"/>
          <w:szCs w:val="22"/>
        </w:rPr>
        <w:t>3. При применении стандартной схемы №1 лечения в хозяйстве период выздоровления несколько дольше, а при первом и втором осеменении у части животных в контрольной группе отмечалось бесплодие.</w:t>
      </w:r>
    </w:p>
    <w:p w:rsidR="008742E9" w:rsidRPr="008742E9" w:rsidRDefault="008742E9" w:rsidP="00EA11E0">
      <w:pPr>
        <w:ind w:firstLine="426"/>
        <w:jc w:val="both"/>
        <w:rPr>
          <w:sz w:val="22"/>
          <w:szCs w:val="22"/>
        </w:rPr>
      </w:pPr>
      <w:r w:rsidRPr="008742E9">
        <w:rPr>
          <w:sz w:val="22"/>
          <w:szCs w:val="22"/>
        </w:rPr>
        <w:t xml:space="preserve">4. Полученные результаты исследования показали, </w:t>
      </w:r>
      <w:r w:rsidRPr="008742E9">
        <w:rPr>
          <w:color w:val="000000"/>
          <w:sz w:val="22"/>
          <w:szCs w:val="22"/>
        </w:rPr>
        <w:t>что предл</w:t>
      </w:r>
      <w:r w:rsidRPr="008742E9">
        <w:rPr>
          <w:color w:val="000000"/>
          <w:sz w:val="22"/>
          <w:szCs w:val="22"/>
        </w:rPr>
        <w:t>о</w:t>
      </w:r>
      <w:r w:rsidRPr="008742E9">
        <w:rPr>
          <w:color w:val="000000"/>
          <w:sz w:val="22"/>
          <w:szCs w:val="22"/>
        </w:rPr>
        <w:t>женный нами  метод лечения острого гнойно-катарального энд</w:t>
      </w:r>
      <w:r w:rsidRPr="008742E9">
        <w:rPr>
          <w:color w:val="000000"/>
          <w:sz w:val="22"/>
          <w:szCs w:val="22"/>
        </w:rPr>
        <w:t>о</w:t>
      </w:r>
      <w:r w:rsidRPr="008742E9">
        <w:rPr>
          <w:color w:val="000000"/>
          <w:sz w:val="22"/>
          <w:szCs w:val="22"/>
        </w:rPr>
        <w:t xml:space="preserve">метрита у коров является </w:t>
      </w:r>
      <w:proofErr w:type="gramStart"/>
      <w:r w:rsidRPr="008742E9">
        <w:rPr>
          <w:color w:val="000000"/>
          <w:sz w:val="22"/>
          <w:szCs w:val="22"/>
        </w:rPr>
        <w:t>более экономически</w:t>
      </w:r>
      <w:proofErr w:type="gramEnd"/>
      <w:r w:rsidRPr="008742E9">
        <w:rPr>
          <w:color w:val="000000"/>
          <w:sz w:val="22"/>
          <w:szCs w:val="22"/>
        </w:rPr>
        <w:t xml:space="preserve"> выгодным.</w:t>
      </w:r>
    </w:p>
    <w:p w:rsidR="008742E9" w:rsidRPr="008742E9" w:rsidRDefault="008742E9" w:rsidP="00EA11E0">
      <w:pPr>
        <w:ind w:firstLine="426"/>
        <w:jc w:val="both"/>
        <w:rPr>
          <w:sz w:val="22"/>
          <w:szCs w:val="22"/>
        </w:rPr>
      </w:pPr>
    </w:p>
    <w:p w:rsidR="008742E9" w:rsidRPr="008742E9" w:rsidRDefault="008742E9" w:rsidP="00EA11E0">
      <w:pPr>
        <w:spacing w:line="276" w:lineRule="auto"/>
        <w:ind w:firstLine="426"/>
        <w:jc w:val="center"/>
        <w:rPr>
          <w:sz w:val="22"/>
          <w:szCs w:val="22"/>
        </w:rPr>
      </w:pPr>
      <w:r w:rsidRPr="008742E9">
        <w:rPr>
          <w:sz w:val="22"/>
          <w:szCs w:val="22"/>
        </w:rPr>
        <w:t>Список литературы</w:t>
      </w:r>
    </w:p>
    <w:p w:rsidR="008742E9" w:rsidRPr="008742E9" w:rsidRDefault="008742E9" w:rsidP="00EA11E0">
      <w:pPr>
        <w:ind w:firstLine="426"/>
        <w:jc w:val="both"/>
        <w:rPr>
          <w:sz w:val="22"/>
          <w:szCs w:val="22"/>
        </w:rPr>
      </w:pPr>
      <w:r w:rsidRPr="008742E9">
        <w:rPr>
          <w:sz w:val="22"/>
          <w:szCs w:val="22"/>
        </w:rPr>
        <w:t xml:space="preserve">1. Багманов М. А. Комплексный метод лечения послеродовых эндометритов коров / М. А. Багманов, Н. В. Горшкова // </w:t>
      </w:r>
      <w:hyperlink r:id="rId29" w:history="1">
        <w:r w:rsidRPr="008742E9">
          <w:rPr>
            <w:sz w:val="22"/>
            <w:szCs w:val="22"/>
          </w:rPr>
          <w:t>Ученые записки КГАВМ им. Н. Э. Баумана</w:t>
        </w:r>
      </w:hyperlink>
      <w:r w:rsidRPr="008742E9">
        <w:rPr>
          <w:sz w:val="22"/>
          <w:szCs w:val="22"/>
        </w:rPr>
        <w:t>. – 2014. – С. 17–23.</w:t>
      </w:r>
    </w:p>
    <w:p w:rsidR="008742E9" w:rsidRPr="008742E9" w:rsidRDefault="008742E9" w:rsidP="00EA11E0">
      <w:pPr>
        <w:ind w:firstLine="426"/>
        <w:jc w:val="both"/>
        <w:rPr>
          <w:sz w:val="22"/>
          <w:szCs w:val="22"/>
        </w:rPr>
      </w:pPr>
      <w:r w:rsidRPr="008742E9">
        <w:rPr>
          <w:sz w:val="22"/>
          <w:szCs w:val="22"/>
        </w:rPr>
        <w:t xml:space="preserve">2. Полянцев Н. И. </w:t>
      </w:r>
      <w:r w:rsidRPr="008742E9">
        <w:rPr>
          <w:color w:val="000000"/>
          <w:sz w:val="22"/>
          <w:szCs w:val="22"/>
        </w:rPr>
        <w:t>Акушерство, гинекология и биотехника ра</w:t>
      </w:r>
      <w:r w:rsidRPr="008742E9">
        <w:rPr>
          <w:color w:val="000000"/>
          <w:sz w:val="22"/>
          <w:szCs w:val="22"/>
        </w:rPr>
        <w:t>з</w:t>
      </w:r>
      <w:r w:rsidRPr="008742E9">
        <w:rPr>
          <w:color w:val="000000"/>
          <w:sz w:val="22"/>
          <w:szCs w:val="22"/>
        </w:rPr>
        <w:t xml:space="preserve">множения животных / И.Н. Полянцев // СПб.  </w:t>
      </w:r>
      <w:r w:rsidRPr="008742E9">
        <w:rPr>
          <w:sz w:val="22"/>
          <w:szCs w:val="22"/>
        </w:rPr>
        <w:t xml:space="preserve">– </w:t>
      </w:r>
      <w:r w:rsidRPr="008742E9">
        <w:rPr>
          <w:color w:val="000000"/>
          <w:sz w:val="22"/>
          <w:szCs w:val="22"/>
        </w:rPr>
        <w:t xml:space="preserve">2012. </w:t>
      </w:r>
      <w:r w:rsidRPr="008742E9">
        <w:rPr>
          <w:sz w:val="22"/>
          <w:szCs w:val="22"/>
        </w:rPr>
        <w:t>– С. 272–279.</w:t>
      </w:r>
    </w:p>
    <w:p w:rsidR="008742E9" w:rsidRPr="008742E9" w:rsidRDefault="008742E9" w:rsidP="008742E9">
      <w:pPr>
        <w:rPr>
          <w:rFonts w:eastAsia="Calibri"/>
          <w:sz w:val="22"/>
          <w:szCs w:val="22"/>
          <w:lang w:eastAsia="en-US"/>
        </w:rPr>
      </w:pPr>
    </w:p>
    <w:p w:rsidR="008742E9" w:rsidRPr="008742E9" w:rsidRDefault="008742E9" w:rsidP="008742E9">
      <w:pPr>
        <w:rPr>
          <w:rFonts w:eastAsia="Calibri"/>
          <w:sz w:val="22"/>
          <w:szCs w:val="22"/>
          <w:lang w:eastAsia="en-US"/>
        </w:rPr>
      </w:pPr>
    </w:p>
    <w:p w:rsidR="008742E9" w:rsidRPr="008742E9" w:rsidRDefault="008742E9" w:rsidP="008742E9">
      <w:pPr>
        <w:rPr>
          <w:rFonts w:eastAsia="Calibri"/>
          <w:sz w:val="22"/>
          <w:szCs w:val="22"/>
          <w:lang w:eastAsia="en-US"/>
        </w:rPr>
      </w:pPr>
    </w:p>
    <w:p w:rsidR="008742E9" w:rsidRPr="008742E9" w:rsidRDefault="008742E9" w:rsidP="008742E9">
      <w:pPr>
        <w:rPr>
          <w:rFonts w:eastAsia="Calibri"/>
          <w:sz w:val="22"/>
          <w:szCs w:val="22"/>
          <w:lang w:eastAsia="en-US"/>
        </w:rPr>
      </w:pPr>
    </w:p>
    <w:p w:rsidR="00EA11E0" w:rsidRPr="008742E9" w:rsidRDefault="00EA11E0" w:rsidP="008742E9">
      <w:pPr>
        <w:rPr>
          <w:rFonts w:eastAsia="Calibri"/>
          <w:sz w:val="22"/>
          <w:szCs w:val="22"/>
          <w:lang w:eastAsia="en-US"/>
        </w:rPr>
      </w:pPr>
    </w:p>
    <w:p w:rsidR="008742E9" w:rsidRPr="008742E9" w:rsidRDefault="008742E9" w:rsidP="008742E9">
      <w:pPr>
        <w:rPr>
          <w:rFonts w:eastAsia="Calibri"/>
          <w:sz w:val="22"/>
          <w:szCs w:val="22"/>
          <w:lang w:eastAsia="en-US"/>
        </w:rPr>
      </w:pPr>
      <w:r w:rsidRPr="008742E9">
        <w:rPr>
          <w:rFonts w:eastAsia="Calibri"/>
          <w:sz w:val="22"/>
          <w:szCs w:val="22"/>
          <w:lang w:eastAsia="en-US"/>
        </w:rPr>
        <w:lastRenderedPageBreak/>
        <w:t>УДК 619:614.31:637.12</w:t>
      </w:r>
    </w:p>
    <w:p w:rsidR="008742E9" w:rsidRPr="008742E9" w:rsidRDefault="008742E9" w:rsidP="008742E9">
      <w:pPr>
        <w:rPr>
          <w:rFonts w:eastAsia="Calibri"/>
          <w:sz w:val="22"/>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 xml:space="preserve">Осуществление ветеринарно-санитарной экспертизы </w:t>
      </w:r>
      <w:r w:rsidR="00EA11E0">
        <w:rPr>
          <w:rFonts w:eastAsia="Calibri"/>
          <w:b/>
          <w:sz w:val="24"/>
          <w:szCs w:val="22"/>
          <w:lang w:eastAsia="en-US"/>
        </w:rPr>
        <w:br/>
      </w:r>
      <w:r w:rsidRPr="008742E9">
        <w:rPr>
          <w:rFonts w:eastAsia="Calibri"/>
          <w:b/>
          <w:sz w:val="24"/>
          <w:szCs w:val="22"/>
          <w:lang w:eastAsia="en-US"/>
        </w:rPr>
        <w:t>молока в производственных условиях</w:t>
      </w: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 xml:space="preserve"> </w:t>
      </w:r>
      <w:r w:rsidRPr="008742E9">
        <w:rPr>
          <w:rFonts w:eastAsia="Calibri"/>
          <w:b/>
          <w:sz w:val="24"/>
          <w:szCs w:val="22"/>
          <w:lang w:val="en-US" w:eastAsia="en-US"/>
        </w:rPr>
        <w:t>Implementation</w:t>
      </w:r>
      <w:r w:rsidRPr="008742E9">
        <w:rPr>
          <w:rFonts w:eastAsia="Calibri"/>
          <w:b/>
          <w:sz w:val="24"/>
          <w:szCs w:val="22"/>
          <w:lang w:eastAsia="en-US"/>
        </w:rPr>
        <w:t xml:space="preserve"> </w:t>
      </w:r>
      <w:r w:rsidRPr="008742E9">
        <w:rPr>
          <w:rFonts w:eastAsia="Calibri"/>
          <w:b/>
          <w:sz w:val="24"/>
          <w:szCs w:val="22"/>
          <w:lang w:val="en-US" w:eastAsia="en-US"/>
        </w:rPr>
        <w:t>of</w:t>
      </w:r>
      <w:r w:rsidRPr="008742E9">
        <w:rPr>
          <w:rFonts w:eastAsia="Calibri"/>
          <w:b/>
          <w:sz w:val="24"/>
          <w:szCs w:val="22"/>
          <w:lang w:eastAsia="en-US"/>
        </w:rPr>
        <w:t xml:space="preserve"> </w:t>
      </w:r>
      <w:r w:rsidRPr="008742E9">
        <w:rPr>
          <w:rFonts w:eastAsia="Calibri"/>
          <w:b/>
          <w:sz w:val="24"/>
          <w:szCs w:val="22"/>
          <w:lang w:val="en-US" w:eastAsia="en-US"/>
        </w:rPr>
        <w:t>veterinary</w:t>
      </w:r>
      <w:r w:rsidRPr="008742E9">
        <w:rPr>
          <w:rFonts w:eastAsia="Calibri"/>
          <w:b/>
          <w:sz w:val="24"/>
          <w:szCs w:val="22"/>
          <w:lang w:eastAsia="en-US"/>
        </w:rPr>
        <w:t xml:space="preserve"> </w:t>
      </w:r>
      <w:r w:rsidRPr="008742E9">
        <w:rPr>
          <w:rFonts w:eastAsia="Calibri"/>
          <w:b/>
          <w:sz w:val="24"/>
          <w:szCs w:val="22"/>
          <w:lang w:val="en-US" w:eastAsia="en-US"/>
        </w:rPr>
        <w:t>and</w:t>
      </w:r>
      <w:r w:rsidRPr="008742E9">
        <w:rPr>
          <w:rFonts w:eastAsia="Calibri"/>
          <w:b/>
          <w:sz w:val="24"/>
          <w:szCs w:val="22"/>
          <w:lang w:eastAsia="en-US"/>
        </w:rPr>
        <w:t xml:space="preserve"> </w:t>
      </w:r>
      <w:r w:rsidRPr="008742E9">
        <w:rPr>
          <w:rFonts w:eastAsia="Calibri"/>
          <w:b/>
          <w:sz w:val="24"/>
          <w:szCs w:val="22"/>
          <w:lang w:val="en-US" w:eastAsia="en-US"/>
        </w:rPr>
        <w:t>sanitary</w:t>
      </w:r>
      <w:r w:rsidRPr="008742E9">
        <w:rPr>
          <w:rFonts w:eastAsia="Calibri"/>
          <w:b/>
          <w:sz w:val="24"/>
          <w:szCs w:val="22"/>
          <w:lang w:eastAsia="en-US"/>
        </w:rPr>
        <w:t xml:space="preserve"> </w:t>
      </w:r>
      <w:r w:rsidRPr="008742E9">
        <w:rPr>
          <w:rFonts w:eastAsia="Calibri"/>
          <w:b/>
          <w:sz w:val="24"/>
          <w:szCs w:val="22"/>
          <w:lang w:val="en-US" w:eastAsia="en-US"/>
        </w:rPr>
        <w:t>examination</w:t>
      </w:r>
      <w:r w:rsidRPr="008742E9">
        <w:rPr>
          <w:rFonts w:eastAsia="Calibri"/>
          <w:b/>
          <w:sz w:val="24"/>
          <w:szCs w:val="22"/>
          <w:lang w:eastAsia="en-US"/>
        </w:rPr>
        <w:t xml:space="preserve"> </w:t>
      </w:r>
      <w:r w:rsidRPr="008742E9">
        <w:rPr>
          <w:rFonts w:eastAsia="Calibri"/>
          <w:b/>
          <w:sz w:val="24"/>
          <w:szCs w:val="22"/>
          <w:lang w:val="en-US" w:eastAsia="en-US"/>
        </w:rPr>
        <w:t>of</w:t>
      </w:r>
      <w:r w:rsidRPr="008742E9">
        <w:rPr>
          <w:rFonts w:eastAsia="Calibri"/>
          <w:b/>
          <w:sz w:val="24"/>
          <w:szCs w:val="22"/>
          <w:lang w:eastAsia="en-US"/>
        </w:rPr>
        <w:t xml:space="preserve"> </w:t>
      </w:r>
      <w:r w:rsidRPr="008742E9">
        <w:rPr>
          <w:rFonts w:eastAsia="Calibri"/>
          <w:b/>
          <w:sz w:val="24"/>
          <w:szCs w:val="22"/>
          <w:lang w:val="en-US" w:eastAsia="en-US"/>
        </w:rPr>
        <w:t>milk</w:t>
      </w:r>
      <w:r w:rsidRPr="008742E9">
        <w:rPr>
          <w:rFonts w:eastAsia="Calibri"/>
          <w:b/>
          <w:sz w:val="24"/>
          <w:szCs w:val="22"/>
          <w:lang w:eastAsia="en-US"/>
        </w:rPr>
        <w:t xml:space="preserve"> </w:t>
      </w:r>
      <w:r w:rsidRPr="008742E9">
        <w:rPr>
          <w:rFonts w:eastAsia="Calibri"/>
          <w:b/>
          <w:sz w:val="24"/>
          <w:szCs w:val="22"/>
          <w:lang w:val="en-US" w:eastAsia="en-US"/>
        </w:rPr>
        <w:t>in</w:t>
      </w:r>
      <w:r w:rsidRPr="008742E9">
        <w:rPr>
          <w:rFonts w:eastAsia="Calibri"/>
          <w:b/>
          <w:sz w:val="24"/>
          <w:szCs w:val="22"/>
          <w:lang w:eastAsia="en-US"/>
        </w:rPr>
        <w:t xml:space="preserve"> </w:t>
      </w:r>
      <w:r w:rsidRPr="008742E9">
        <w:rPr>
          <w:rFonts w:eastAsia="Calibri"/>
          <w:b/>
          <w:sz w:val="24"/>
          <w:szCs w:val="22"/>
          <w:lang w:val="en-US" w:eastAsia="en-US"/>
        </w:rPr>
        <w:t>production</w:t>
      </w:r>
      <w:r w:rsidRPr="008742E9">
        <w:rPr>
          <w:rFonts w:eastAsia="Calibri"/>
          <w:b/>
          <w:sz w:val="24"/>
          <w:szCs w:val="22"/>
          <w:lang w:eastAsia="en-US"/>
        </w:rPr>
        <w:t xml:space="preserve"> </w:t>
      </w:r>
      <w:r w:rsidRPr="008742E9">
        <w:rPr>
          <w:rFonts w:eastAsia="Calibri"/>
          <w:b/>
          <w:sz w:val="24"/>
          <w:szCs w:val="22"/>
          <w:lang w:val="en-US" w:eastAsia="en-US"/>
        </w:rPr>
        <w:t>conditions</w:t>
      </w:r>
    </w:p>
    <w:p w:rsidR="008742E9" w:rsidRPr="008742E9" w:rsidRDefault="008742E9" w:rsidP="008742E9">
      <w:pPr>
        <w:jc w:val="right"/>
        <w:rPr>
          <w:rFonts w:eastAsia="Calibri"/>
          <w:sz w:val="22"/>
          <w:szCs w:val="22"/>
          <w:lang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Белик А.</w:t>
      </w:r>
      <w:r w:rsidR="00EA11E0">
        <w:rPr>
          <w:rFonts w:eastAsia="Calibri"/>
          <w:sz w:val="22"/>
          <w:szCs w:val="22"/>
          <w:lang w:eastAsia="en-US"/>
        </w:rPr>
        <w:t xml:space="preserve"> </w:t>
      </w:r>
      <w:r w:rsidRPr="008742E9">
        <w:rPr>
          <w:rFonts w:eastAsia="Calibri"/>
          <w:sz w:val="22"/>
          <w:szCs w:val="22"/>
          <w:lang w:eastAsia="en-US"/>
        </w:rPr>
        <w:t>Р.,</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студентка 4-го курса факультета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Тищенко А.</w:t>
      </w:r>
      <w:r w:rsidR="00EA11E0">
        <w:rPr>
          <w:rFonts w:eastAsia="Calibri"/>
          <w:sz w:val="22"/>
          <w:szCs w:val="22"/>
          <w:lang w:eastAsia="en-US"/>
        </w:rPr>
        <w:t xml:space="preserve"> </w:t>
      </w:r>
      <w:r w:rsidRPr="008742E9">
        <w:rPr>
          <w:rFonts w:eastAsia="Calibri"/>
          <w:sz w:val="22"/>
          <w:szCs w:val="22"/>
          <w:lang w:eastAsia="en-US"/>
        </w:rPr>
        <w:t>С.,</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микробиологии,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эпизоотологии и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EA11E0">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АННОТАЦИЯ: Изучены основные методы проведения ветер</w:t>
      </w:r>
      <w:r w:rsidRPr="008742E9">
        <w:rPr>
          <w:rFonts w:eastAsia="Calibri"/>
          <w:sz w:val="22"/>
          <w:szCs w:val="22"/>
          <w:lang w:eastAsia="en-US"/>
        </w:rPr>
        <w:t>и</w:t>
      </w:r>
      <w:r w:rsidRPr="008742E9">
        <w:rPr>
          <w:rFonts w:eastAsia="Calibri"/>
          <w:sz w:val="22"/>
          <w:szCs w:val="22"/>
          <w:lang w:eastAsia="en-US"/>
        </w:rPr>
        <w:t>нарно-санитарной экспертизы молока в условиях производства, в частности определены основные органолептические и физико-химические показатели молока.</w:t>
      </w:r>
    </w:p>
    <w:p w:rsidR="008742E9" w:rsidRPr="008742E9" w:rsidRDefault="008742E9" w:rsidP="00EA11E0">
      <w:pPr>
        <w:ind w:firstLine="426"/>
        <w:jc w:val="both"/>
        <w:rPr>
          <w:rFonts w:eastAsia="Calibri"/>
          <w:sz w:val="22"/>
          <w:szCs w:val="22"/>
          <w:lang w:val="en-US" w:eastAsia="en-US"/>
        </w:rPr>
      </w:pPr>
      <w:r w:rsidRPr="008742E9">
        <w:rPr>
          <w:rFonts w:eastAsia="Calibri"/>
          <w:sz w:val="22"/>
          <w:szCs w:val="22"/>
          <w:lang w:val="en-US" w:eastAsia="en-US"/>
        </w:rPr>
        <w:t>ABSTRACT: The main methods of conducting veterinary and san</w:t>
      </w:r>
      <w:r w:rsidRPr="008742E9">
        <w:rPr>
          <w:rFonts w:eastAsia="Calibri"/>
          <w:sz w:val="22"/>
          <w:szCs w:val="22"/>
          <w:lang w:val="en-US" w:eastAsia="en-US"/>
        </w:rPr>
        <w:t>i</w:t>
      </w:r>
      <w:r w:rsidRPr="008742E9">
        <w:rPr>
          <w:rFonts w:eastAsia="Calibri"/>
          <w:sz w:val="22"/>
          <w:szCs w:val="22"/>
          <w:lang w:val="en-US" w:eastAsia="en-US"/>
        </w:rPr>
        <w:t>tary examination of milk under production conditions have been studied, in particular, the main organoleptic and physicochemical indicators of milk have been determined.</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КЛЮЧЕВЫЕ СЛОВА: молоко, ветеринарно-санитарная эк</w:t>
      </w:r>
      <w:r w:rsidRPr="008742E9">
        <w:rPr>
          <w:rFonts w:eastAsia="Calibri"/>
          <w:sz w:val="22"/>
          <w:szCs w:val="22"/>
          <w:lang w:eastAsia="en-US"/>
        </w:rPr>
        <w:t>с</w:t>
      </w:r>
      <w:r w:rsidRPr="008742E9">
        <w:rPr>
          <w:rFonts w:eastAsia="Calibri"/>
          <w:sz w:val="22"/>
          <w:szCs w:val="22"/>
          <w:lang w:eastAsia="en-US"/>
        </w:rPr>
        <w:t>пертиза, производственный контроль.</w:t>
      </w:r>
    </w:p>
    <w:p w:rsidR="008742E9" w:rsidRPr="008742E9" w:rsidRDefault="008742E9" w:rsidP="00EA11E0">
      <w:pPr>
        <w:ind w:firstLine="426"/>
        <w:jc w:val="both"/>
        <w:rPr>
          <w:rFonts w:eastAsia="Calibri"/>
          <w:sz w:val="22"/>
          <w:szCs w:val="22"/>
          <w:lang w:val="en-US" w:eastAsia="en-US"/>
        </w:rPr>
      </w:pPr>
      <w:r w:rsidRPr="008742E9">
        <w:rPr>
          <w:rFonts w:eastAsia="Calibri"/>
          <w:sz w:val="22"/>
          <w:szCs w:val="22"/>
          <w:lang w:val="en-US" w:eastAsia="en-US"/>
        </w:rPr>
        <w:t>KEY WORDS: milk, veterinary and sanitary examination, produ</w:t>
      </w:r>
      <w:r w:rsidRPr="008742E9">
        <w:rPr>
          <w:rFonts w:eastAsia="Calibri"/>
          <w:sz w:val="22"/>
          <w:szCs w:val="22"/>
          <w:lang w:val="en-US" w:eastAsia="en-US"/>
        </w:rPr>
        <w:t>c</w:t>
      </w:r>
      <w:r w:rsidRPr="008742E9">
        <w:rPr>
          <w:rFonts w:eastAsia="Calibri"/>
          <w:sz w:val="22"/>
          <w:szCs w:val="22"/>
          <w:lang w:val="en-US" w:eastAsia="en-US"/>
        </w:rPr>
        <w:t>tion control.</w:t>
      </w:r>
    </w:p>
    <w:p w:rsidR="008742E9" w:rsidRPr="008742E9" w:rsidRDefault="008742E9" w:rsidP="00EA11E0">
      <w:pPr>
        <w:ind w:firstLine="426"/>
        <w:jc w:val="both"/>
        <w:rPr>
          <w:rFonts w:eastAsia="Calibri"/>
          <w:sz w:val="22"/>
          <w:szCs w:val="22"/>
          <w:lang w:val="en-US"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Молоко это биологическая жидкость, которая вырабатывается молочными железами самок млекопитающих и имеет высокую п</w:t>
      </w:r>
      <w:r w:rsidRPr="008742E9">
        <w:rPr>
          <w:rFonts w:eastAsia="Calibri"/>
          <w:sz w:val="22"/>
          <w:szCs w:val="22"/>
          <w:lang w:eastAsia="en-US"/>
        </w:rPr>
        <w:t>и</w:t>
      </w:r>
      <w:r w:rsidRPr="008742E9">
        <w:rPr>
          <w:rFonts w:eastAsia="Calibri"/>
          <w:sz w:val="22"/>
          <w:szCs w:val="22"/>
          <w:lang w:eastAsia="en-US"/>
        </w:rPr>
        <w:t>щевую ценность, обладает рядом полезных свойств, кроме того в его состав помимо белков жиров и углеводов, входят около 200 в</w:t>
      </w:r>
      <w:r w:rsidRPr="008742E9">
        <w:rPr>
          <w:rFonts w:eastAsia="Calibri"/>
          <w:sz w:val="22"/>
          <w:szCs w:val="22"/>
          <w:lang w:eastAsia="en-US"/>
        </w:rPr>
        <w:t>е</w:t>
      </w:r>
      <w:r w:rsidRPr="008742E9">
        <w:rPr>
          <w:rFonts w:eastAsia="Calibri"/>
          <w:sz w:val="22"/>
          <w:szCs w:val="22"/>
          <w:lang w:eastAsia="en-US"/>
        </w:rPr>
        <w:t>ществ (минеральные вещества, витамины, ферменты, гормоны и др.) жизненно необходимых для организма молодняка животных и человека [2].</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lastRenderedPageBreak/>
        <w:t>Свежее молоко, полученное от коров, хотя и обсемененено ра</w:t>
      </w:r>
      <w:r w:rsidRPr="008742E9">
        <w:rPr>
          <w:rFonts w:eastAsia="Calibri"/>
          <w:sz w:val="22"/>
          <w:szCs w:val="22"/>
          <w:lang w:eastAsia="en-US"/>
        </w:rPr>
        <w:t>з</w:t>
      </w:r>
      <w:r w:rsidRPr="008742E9">
        <w:rPr>
          <w:rFonts w:eastAsia="Calibri"/>
          <w:sz w:val="22"/>
          <w:szCs w:val="22"/>
          <w:lang w:eastAsia="en-US"/>
        </w:rPr>
        <w:t>личными микроорганизмами, главным образом, стрептококками и стафилококками, обладает бактерицидными свойствами за счёт присутствия в нём нормальных антител. Поэтому развитие бактерий в массовом количестве в свежевыдоенном молоке задерживается (бактерицидная фаза). Длительность бактерицидной фазы различна и может колебаться от 2 до 36 ч в зависимости от физиологических особенностей животного (в раннем периоде лактации бактерици</w:t>
      </w:r>
      <w:r w:rsidRPr="008742E9">
        <w:rPr>
          <w:rFonts w:eastAsia="Calibri"/>
          <w:sz w:val="22"/>
          <w:szCs w:val="22"/>
          <w:lang w:eastAsia="en-US"/>
        </w:rPr>
        <w:t>д</w:t>
      </w:r>
      <w:r w:rsidRPr="008742E9">
        <w:rPr>
          <w:rFonts w:eastAsia="Calibri"/>
          <w:sz w:val="22"/>
          <w:szCs w:val="22"/>
          <w:lang w:eastAsia="en-US"/>
        </w:rPr>
        <w:t>ность молока выше). При нарушении санитарных условии дойки, первичной обработки, хранении и транспортировки, а также при заболеваниях коров, молоко может обсеменяться патогенной и то</w:t>
      </w:r>
      <w:r w:rsidRPr="008742E9">
        <w:rPr>
          <w:rFonts w:eastAsia="Calibri"/>
          <w:sz w:val="22"/>
          <w:szCs w:val="22"/>
          <w:lang w:eastAsia="en-US"/>
        </w:rPr>
        <w:t>к</w:t>
      </w:r>
      <w:r w:rsidRPr="008742E9">
        <w:rPr>
          <w:rFonts w:eastAsia="Calibri"/>
          <w:sz w:val="22"/>
          <w:szCs w:val="22"/>
          <w:lang w:eastAsia="en-US"/>
        </w:rPr>
        <w:t>сической микрофлорой, которая представляет опасность для людей и молодняка животных [1, 4]. Поэтому ветеринарно-санитарная экспертиза его является наиболее важным звеном в процессе прои</w:t>
      </w:r>
      <w:r w:rsidRPr="008742E9">
        <w:rPr>
          <w:rFonts w:eastAsia="Calibri"/>
          <w:sz w:val="22"/>
          <w:szCs w:val="22"/>
          <w:lang w:eastAsia="en-US"/>
        </w:rPr>
        <w:t>з</w:t>
      </w:r>
      <w:r w:rsidRPr="008742E9">
        <w:rPr>
          <w:rFonts w:eastAsia="Calibri"/>
          <w:sz w:val="22"/>
          <w:szCs w:val="22"/>
          <w:lang w:eastAsia="en-US"/>
        </w:rPr>
        <w:t>водства молока и молочной продукции.</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Целью данной работы является изучение основных методов в</w:t>
      </w:r>
      <w:r w:rsidRPr="008742E9">
        <w:rPr>
          <w:rFonts w:eastAsia="Calibri"/>
          <w:sz w:val="22"/>
          <w:szCs w:val="22"/>
          <w:lang w:eastAsia="en-US"/>
        </w:rPr>
        <w:t>е</w:t>
      </w:r>
      <w:r w:rsidRPr="008742E9">
        <w:rPr>
          <w:rFonts w:eastAsia="Calibri"/>
          <w:sz w:val="22"/>
          <w:szCs w:val="22"/>
          <w:lang w:eastAsia="en-US"/>
        </w:rPr>
        <w:t>теринарно-санитарной экспертизы молока в условиях ЗАО «Кор</w:t>
      </w:r>
      <w:r w:rsidRPr="008742E9">
        <w:rPr>
          <w:rFonts w:eastAsia="Calibri"/>
          <w:sz w:val="22"/>
          <w:szCs w:val="22"/>
          <w:lang w:eastAsia="en-US"/>
        </w:rPr>
        <w:t>е</w:t>
      </w:r>
      <w:r w:rsidRPr="008742E9">
        <w:rPr>
          <w:rFonts w:eastAsia="Calibri"/>
          <w:sz w:val="22"/>
          <w:szCs w:val="22"/>
          <w:lang w:eastAsia="en-US"/>
        </w:rPr>
        <w:t xml:space="preserve">новский </w:t>
      </w:r>
      <w:proofErr w:type="gramStart"/>
      <w:r w:rsidRPr="008742E9">
        <w:rPr>
          <w:rFonts w:eastAsia="Calibri"/>
          <w:sz w:val="22"/>
          <w:szCs w:val="22"/>
          <w:lang w:eastAsia="en-US"/>
        </w:rPr>
        <w:t>молочно-консервный</w:t>
      </w:r>
      <w:proofErr w:type="gramEnd"/>
      <w:r w:rsidRPr="008742E9">
        <w:rPr>
          <w:rFonts w:eastAsia="Calibri"/>
          <w:sz w:val="22"/>
          <w:szCs w:val="22"/>
          <w:lang w:eastAsia="en-US"/>
        </w:rPr>
        <w:t xml:space="preserve"> комбинат» (ЗАО КМКК).</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Кореновский </w:t>
      </w:r>
      <w:proofErr w:type="gramStart"/>
      <w:r w:rsidRPr="008742E9">
        <w:rPr>
          <w:rFonts w:eastAsia="Calibri"/>
          <w:sz w:val="22"/>
          <w:szCs w:val="22"/>
          <w:lang w:eastAsia="en-US"/>
        </w:rPr>
        <w:t>молочно-консервный</w:t>
      </w:r>
      <w:proofErr w:type="gramEnd"/>
      <w:r w:rsidRPr="008742E9">
        <w:rPr>
          <w:rFonts w:eastAsia="Calibri"/>
          <w:sz w:val="22"/>
          <w:szCs w:val="22"/>
          <w:lang w:eastAsia="en-US"/>
        </w:rPr>
        <w:t xml:space="preserve"> комбинат (торговое назв</w:t>
      </w:r>
      <w:r w:rsidRPr="008742E9">
        <w:rPr>
          <w:rFonts w:eastAsia="Calibri"/>
          <w:sz w:val="22"/>
          <w:szCs w:val="22"/>
          <w:lang w:eastAsia="en-US"/>
        </w:rPr>
        <w:t>а</w:t>
      </w:r>
      <w:r w:rsidRPr="008742E9">
        <w:rPr>
          <w:rFonts w:eastAsia="Calibri"/>
          <w:sz w:val="22"/>
          <w:szCs w:val="22"/>
          <w:lang w:eastAsia="en-US"/>
        </w:rPr>
        <w:t>ние продукции «Коровка из Кореновки») входит в состав группы компаний «Ренна» Основная цель комбината это выпуск качестве</w:t>
      </w:r>
      <w:r w:rsidRPr="008742E9">
        <w:rPr>
          <w:rFonts w:eastAsia="Calibri"/>
          <w:sz w:val="22"/>
          <w:szCs w:val="22"/>
          <w:lang w:eastAsia="en-US"/>
        </w:rPr>
        <w:t>н</w:t>
      </w:r>
      <w:r w:rsidRPr="008742E9">
        <w:rPr>
          <w:rFonts w:eastAsia="Calibri"/>
          <w:sz w:val="22"/>
          <w:szCs w:val="22"/>
          <w:lang w:eastAsia="en-US"/>
        </w:rPr>
        <w:t>ной, вкусной, а главное безопасной продукции из молока. «Коровка из Кореновки» имеет разнообразный ассортимент продукции и и</w:t>
      </w:r>
      <w:r w:rsidRPr="008742E9">
        <w:rPr>
          <w:rFonts w:eastAsia="Calibri"/>
          <w:sz w:val="22"/>
          <w:szCs w:val="22"/>
          <w:lang w:eastAsia="en-US"/>
        </w:rPr>
        <w:t>с</w:t>
      </w:r>
      <w:r w:rsidRPr="008742E9">
        <w:rPr>
          <w:rFonts w:eastAsia="Calibri"/>
          <w:sz w:val="22"/>
          <w:szCs w:val="22"/>
          <w:lang w:eastAsia="en-US"/>
        </w:rPr>
        <w:t>пользует только качественное сырье, которое тщательно исследуе</w:t>
      </w:r>
      <w:r w:rsidRPr="008742E9">
        <w:rPr>
          <w:rFonts w:eastAsia="Calibri"/>
          <w:sz w:val="22"/>
          <w:szCs w:val="22"/>
          <w:lang w:eastAsia="en-US"/>
        </w:rPr>
        <w:t>т</w:t>
      </w:r>
      <w:r w:rsidRPr="008742E9">
        <w:rPr>
          <w:rFonts w:eastAsia="Calibri"/>
          <w:sz w:val="22"/>
          <w:szCs w:val="22"/>
          <w:lang w:eastAsia="en-US"/>
        </w:rPr>
        <w:t>ся в производственной лаборатории ЗАО КМКК. Технологии и р</w:t>
      </w:r>
      <w:r w:rsidRPr="008742E9">
        <w:rPr>
          <w:rFonts w:eastAsia="Calibri"/>
          <w:sz w:val="22"/>
          <w:szCs w:val="22"/>
          <w:lang w:eastAsia="en-US"/>
        </w:rPr>
        <w:t>е</w:t>
      </w:r>
      <w:r w:rsidRPr="008742E9">
        <w:rPr>
          <w:rFonts w:eastAsia="Calibri"/>
          <w:sz w:val="22"/>
          <w:szCs w:val="22"/>
          <w:lang w:eastAsia="en-US"/>
        </w:rPr>
        <w:t>цептуры на производства хранятся в строгой секретности. Все пр</w:t>
      </w:r>
      <w:r w:rsidRPr="008742E9">
        <w:rPr>
          <w:rFonts w:eastAsia="Calibri"/>
          <w:sz w:val="22"/>
          <w:szCs w:val="22"/>
          <w:lang w:eastAsia="en-US"/>
        </w:rPr>
        <w:t>о</w:t>
      </w:r>
      <w:r w:rsidRPr="008742E9">
        <w:rPr>
          <w:rFonts w:eastAsia="Calibri"/>
          <w:sz w:val="22"/>
          <w:szCs w:val="22"/>
          <w:lang w:eastAsia="en-US"/>
        </w:rPr>
        <w:t>водимые анализы выполняются четко по ГОСТам и техническому регламенту.</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Ветеринарно-санитарная экспертиза начинается с приемки м</w:t>
      </w:r>
      <w:r w:rsidRPr="008742E9">
        <w:rPr>
          <w:rFonts w:eastAsia="Calibri"/>
          <w:sz w:val="22"/>
          <w:szCs w:val="22"/>
          <w:lang w:eastAsia="en-US"/>
        </w:rPr>
        <w:t>о</w:t>
      </w:r>
      <w:r w:rsidRPr="008742E9">
        <w:rPr>
          <w:rFonts w:eastAsia="Calibri"/>
          <w:sz w:val="22"/>
          <w:szCs w:val="22"/>
          <w:lang w:eastAsia="en-US"/>
        </w:rPr>
        <w:t>лока.  Для определения качества и безопасности молока изучаются сопроводительные документы, осуществляется оценка санитарного состояния тары и транспорта, после этого проводят отбор проб и  комплекс органолептических, физико-химических и микробиолог</w:t>
      </w:r>
      <w:r w:rsidRPr="008742E9">
        <w:rPr>
          <w:rFonts w:eastAsia="Calibri"/>
          <w:sz w:val="22"/>
          <w:szCs w:val="22"/>
          <w:lang w:eastAsia="en-US"/>
        </w:rPr>
        <w:t>и</w:t>
      </w:r>
      <w:r w:rsidRPr="008742E9">
        <w:rPr>
          <w:rFonts w:eastAsia="Calibri"/>
          <w:sz w:val="22"/>
          <w:szCs w:val="22"/>
          <w:lang w:eastAsia="en-US"/>
        </w:rPr>
        <w:t>ческих исследований.</w:t>
      </w:r>
    </w:p>
    <w:p w:rsidR="008742E9" w:rsidRPr="008742E9" w:rsidRDefault="008742E9" w:rsidP="00EA11E0">
      <w:pPr>
        <w:ind w:firstLine="426"/>
        <w:jc w:val="both"/>
        <w:rPr>
          <w:rFonts w:eastAsia="Calibri"/>
          <w:sz w:val="22"/>
          <w:szCs w:val="22"/>
          <w:lang w:eastAsia="en-US"/>
        </w:rPr>
      </w:pPr>
      <w:r w:rsidRPr="008742E9">
        <w:rPr>
          <w:rFonts w:eastAsia="Calibri"/>
          <w:bCs/>
          <w:iCs/>
          <w:sz w:val="22"/>
          <w:szCs w:val="22"/>
          <w:lang w:eastAsia="en-US"/>
        </w:rPr>
        <w:t>Пробы молока отбирают после тщательного перемешивания стерильным черпаком и переносят около 50-60 см</w:t>
      </w:r>
      <w:r w:rsidRPr="008742E9">
        <w:rPr>
          <w:rFonts w:eastAsia="Calibri"/>
          <w:bCs/>
          <w:iCs/>
          <w:sz w:val="22"/>
          <w:szCs w:val="22"/>
          <w:vertAlign w:val="superscript"/>
          <w:lang w:eastAsia="en-US"/>
        </w:rPr>
        <w:t>3</w:t>
      </w:r>
      <w:r w:rsidRPr="008742E9">
        <w:rPr>
          <w:rFonts w:eastAsia="Calibri"/>
          <w:bCs/>
          <w:iCs/>
          <w:sz w:val="22"/>
          <w:szCs w:val="22"/>
          <w:lang w:eastAsia="en-US"/>
        </w:rPr>
        <w:t xml:space="preserve"> в стерильную посуду. Органолептическая оценка молока проводят, определяя цвет и консистенцию образцов, о</w:t>
      </w:r>
      <w:r w:rsidRPr="008742E9">
        <w:rPr>
          <w:rFonts w:eastAsia="Calibri"/>
          <w:sz w:val="22"/>
          <w:szCs w:val="22"/>
          <w:lang w:eastAsia="en-US"/>
        </w:rPr>
        <w:t xml:space="preserve">ценку вкуса проводят выборочно </w:t>
      </w:r>
      <w:r w:rsidRPr="008742E9">
        <w:rPr>
          <w:rFonts w:eastAsia="Calibri"/>
          <w:sz w:val="22"/>
          <w:szCs w:val="22"/>
          <w:lang w:eastAsia="en-US"/>
        </w:rPr>
        <w:lastRenderedPageBreak/>
        <w:t>после кипячения пробы, а оценку запаха в 10-20 мл молока, под</w:t>
      </w:r>
      <w:r w:rsidRPr="008742E9">
        <w:rPr>
          <w:rFonts w:eastAsia="Calibri"/>
          <w:sz w:val="22"/>
          <w:szCs w:val="22"/>
          <w:lang w:eastAsia="en-US"/>
        </w:rPr>
        <w:t>о</w:t>
      </w:r>
      <w:r w:rsidRPr="008742E9">
        <w:rPr>
          <w:rFonts w:eastAsia="Calibri"/>
          <w:sz w:val="22"/>
          <w:szCs w:val="22"/>
          <w:lang w:eastAsia="en-US"/>
        </w:rPr>
        <w:t>гретого до 35</w:t>
      </w:r>
      <w:proofErr w:type="gramStart"/>
      <w:r w:rsidRPr="008742E9">
        <w:rPr>
          <w:rFonts w:eastAsia="Calibri"/>
          <w:sz w:val="22"/>
          <w:szCs w:val="22"/>
          <w:lang w:eastAsia="en-US"/>
        </w:rPr>
        <w:t xml:space="preserve"> °С</w:t>
      </w:r>
      <w:proofErr w:type="gramEnd"/>
      <w:r w:rsidRPr="008742E9">
        <w:rPr>
          <w:rFonts w:eastAsia="Calibri"/>
          <w:sz w:val="22"/>
          <w:szCs w:val="22"/>
          <w:lang w:eastAsia="en-US"/>
        </w:rPr>
        <w:t xml:space="preserve"> [1, 3].</w:t>
      </w:r>
    </w:p>
    <w:p w:rsidR="008742E9" w:rsidRPr="008742E9" w:rsidRDefault="008742E9" w:rsidP="00EA11E0">
      <w:pPr>
        <w:ind w:firstLine="426"/>
        <w:jc w:val="both"/>
        <w:rPr>
          <w:rFonts w:eastAsia="Calibri"/>
          <w:sz w:val="22"/>
          <w:szCs w:val="22"/>
          <w:lang w:eastAsia="en-US"/>
        </w:rPr>
      </w:pPr>
      <w:r w:rsidRPr="008742E9">
        <w:rPr>
          <w:rFonts w:eastAsia="Calibri"/>
          <w:bCs/>
          <w:sz w:val="22"/>
          <w:szCs w:val="22"/>
          <w:lang w:eastAsia="en-US"/>
        </w:rPr>
        <w:t>На следующем этапе ветеринарно-санитарной экспертизы ос</w:t>
      </w:r>
      <w:r w:rsidRPr="008742E9">
        <w:rPr>
          <w:rFonts w:eastAsia="Calibri"/>
          <w:bCs/>
          <w:sz w:val="22"/>
          <w:szCs w:val="22"/>
          <w:lang w:eastAsia="en-US"/>
        </w:rPr>
        <w:t>у</w:t>
      </w:r>
      <w:r w:rsidRPr="008742E9">
        <w:rPr>
          <w:rFonts w:eastAsia="Calibri"/>
          <w:bCs/>
          <w:sz w:val="22"/>
          <w:szCs w:val="22"/>
          <w:lang w:eastAsia="en-US"/>
        </w:rPr>
        <w:t>ществляют определение физико-химических показателей молока</w:t>
      </w:r>
      <w:r w:rsidRPr="008742E9">
        <w:rPr>
          <w:rFonts w:eastAsia="Calibri"/>
          <w:b/>
          <w:sz w:val="22"/>
          <w:szCs w:val="22"/>
          <w:lang w:eastAsia="en-US"/>
        </w:rPr>
        <w:t xml:space="preserve">. </w:t>
      </w:r>
      <w:r w:rsidRPr="008742E9">
        <w:rPr>
          <w:rFonts w:eastAsia="Calibri"/>
          <w:sz w:val="22"/>
          <w:szCs w:val="22"/>
          <w:lang w:eastAsia="en-US"/>
        </w:rPr>
        <w:t>При этом каждая партия молока подвергается анализу по следу</w:t>
      </w:r>
      <w:r w:rsidRPr="008742E9">
        <w:rPr>
          <w:rFonts w:eastAsia="Calibri"/>
          <w:sz w:val="22"/>
          <w:szCs w:val="22"/>
          <w:lang w:eastAsia="en-US"/>
        </w:rPr>
        <w:t>ю</w:t>
      </w:r>
      <w:r w:rsidRPr="008742E9">
        <w:rPr>
          <w:rFonts w:eastAsia="Calibri"/>
          <w:sz w:val="22"/>
          <w:szCs w:val="22"/>
          <w:lang w:eastAsia="en-US"/>
        </w:rPr>
        <w:t>щим лабораторным показателям: массовая доля жира, титруемая кислотность, температура, плотность или температура замерзания, группа чистоты и группа термоустойчивости. Не реже чем раз в д</w:t>
      </w:r>
      <w:r w:rsidRPr="008742E9">
        <w:rPr>
          <w:rFonts w:eastAsia="Calibri"/>
          <w:sz w:val="22"/>
          <w:szCs w:val="22"/>
          <w:lang w:eastAsia="en-US"/>
        </w:rPr>
        <w:t>е</w:t>
      </w:r>
      <w:r w:rsidRPr="008742E9">
        <w:rPr>
          <w:rFonts w:eastAsia="Calibri"/>
          <w:sz w:val="22"/>
          <w:szCs w:val="22"/>
          <w:lang w:eastAsia="en-US"/>
        </w:rPr>
        <w:t>каду  в исследуемом молоке определяют: бактериальную обсем</w:t>
      </w:r>
      <w:r w:rsidRPr="008742E9">
        <w:rPr>
          <w:rFonts w:eastAsia="Calibri"/>
          <w:sz w:val="22"/>
          <w:szCs w:val="22"/>
          <w:lang w:eastAsia="en-US"/>
        </w:rPr>
        <w:t>е</w:t>
      </w:r>
      <w:r w:rsidRPr="008742E9">
        <w:rPr>
          <w:rFonts w:eastAsia="Calibri"/>
          <w:sz w:val="22"/>
          <w:szCs w:val="22"/>
          <w:lang w:eastAsia="en-US"/>
        </w:rPr>
        <w:t>ненность, содержание соматических клеток и наличие ингибиру</w:t>
      </w:r>
      <w:r w:rsidRPr="008742E9">
        <w:rPr>
          <w:rFonts w:eastAsia="Calibri"/>
          <w:sz w:val="22"/>
          <w:szCs w:val="22"/>
          <w:lang w:eastAsia="en-US"/>
        </w:rPr>
        <w:t>ю</w:t>
      </w:r>
      <w:r w:rsidRPr="008742E9">
        <w:rPr>
          <w:rFonts w:eastAsia="Calibri"/>
          <w:sz w:val="22"/>
          <w:szCs w:val="22"/>
          <w:lang w:eastAsia="en-US"/>
        </w:rPr>
        <w:t>щих  веществ, а 2 раза в месяц определяют содержание белка. При подозрении на то, что молоко подвергалось тепловой обработке, проверяют наличие в молоке щелочной фосфатазы. По результатам лабораторных исследований молоко подразделяют на высший, пе</w:t>
      </w:r>
      <w:r w:rsidRPr="008742E9">
        <w:rPr>
          <w:rFonts w:eastAsia="Calibri"/>
          <w:sz w:val="22"/>
          <w:szCs w:val="22"/>
          <w:lang w:eastAsia="en-US"/>
        </w:rPr>
        <w:t>р</w:t>
      </w:r>
      <w:r w:rsidRPr="008742E9">
        <w:rPr>
          <w:rFonts w:eastAsia="Calibri"/>
          <w:sz w:val="22"/>
          <w:szCs w:val="22"/>
          <w:lang w:eastAsia="en-US"/>
        </w:rPr>
        <w:t>вый, второй сорт и несортовое. Молоко, прошедшее ветеринарно-санитарную экспертизу подвергается переработке из сырья в кач</w:t>
      </w:r>
      <w:r w:rsidRPr="008742E9">
        <w:rPr>
          <w:rFonts w:eastAsia="Calibri"/>
          <w:sz w:val="22"/>
          <w:szCs w:val="22"/>
          <w:lang w:eastAsia="en-US"/>
        </w:rPr>
        <w:t>е</w:t>
      </w:r>
      <w:r w:rsidRPr="008742E9">
        <w:rPr>
          <w:rFonts w:eastAsia="Calibri"/>
          <w:sz w:val="22"/>
          <w:szCs w:val="22"/>
          <w:lang w:eastAsia="en-US"/>
        </w:rPr>
        <w:t>ственную и безопасную для человека продукцию, которая так же контролируется на всех этапах производства.</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Таким образом, при проведении ветеринарно-санитарной эк</w:t>
      </w:r>
      <w:r w:rsidRPr="008742E9">
        <w:rPr>
          <w:rFonts w:eastAsia="Calibri"/>
          <w:sz w:val="22"/>
          <w:szCs w:val="22"/>
          <w:lang w:eastAsia="en-US"/>
        </w:rPr>
        <w:t>с</w:t>
      </w:r>
      <w:r w:rsidRPr="008742E9">
        <w:rPr>
          <w:rFonts w:eastAsia="Calibri"/>
          <w:sz w:val="22"/>
          <w:szCs w:val="22"/>
          <w:lang w:eastAsia="en-US"/>
        </w:rPr>
        <w:t>пертизы молока в производственных условиях осуществляются все необходимые исследования, включая органолептическую, физико-химическую и микробиологическую оценку, что обеспечивает кач</w:t>
      </w:r>
      <w:r w:rsidRPr="008742E9">
        <w:rPr>
          <w:rFonts w:eastAsia="Calibri"/>
          <w:sz w:val="22"/>
          <w:szCs w:val="22"/>
          <w:lang w:eastAsia="en-US"/>
        </w:rPr>
        <w:t>е</w:t>
      </w:r>
      <w:r w:rsidRPr="008742E9">
        <w:rPr>
          <w:rFonts w:eastAsia="Calibri"/>
          <w:sz w:val="22"/>
          <w:szCs w:val="22"/>
          <w:lang w:eastAsia="en-US"/>
        </w:rPr>
        <w:t>ство, безопасность и высокие вкусовые показатели получаемой продукции.</w:t>
      </w:r>
    </w:p>
    <w:p w:rsidR="008742E9" w:rsidRPr="008742E9" w:rsidRDefault="008742E9" w:rsidP="00EA11E0">
      <w:pPr>
        <w:ind w:firstLine="426"/>
        <w:jc w:val="both"/>
        <w:rPr>
          <w:rFonts w:eastAsia="Calibri"/>
          <w:sz w:val="22"/>
          <w:szCs w:val="22"/>
          <w:lang w:eastAsia="en-US"/>
        </w:rPr>
      </w:pPr>
    </w:p>
    <w:p w:rsidR="008742E9" w:rsidRPr="008742E9" w:rsidRDefault="008742E9" w:rsidP="00EA11E0">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1. Боровков М.Ф., Фролов В.П., Серко С.А. Ветеринарно-санитарная экспертиза с основами технологии и стандартизации продуктов животноводства: учебное пособие</w:t>
      </w:r>
      <w:proofErr w:type="gramStart"/>
      <w:r w:rsidRPr="008742E9">
        <w:rPr>
          <w:rFonts w:eastAsia="Calibri"/>
          <w:sz w:val="22"/>
          <w:szCs w:val="22"/>
          <w:lang w:eastAsia="en-US"/>
        </w:rPr>
        <w:t>.-</w:t>
      </w:r>
      <w:proofErr w:type="gramEnd"/>
      <w:r w:rsidRPr="008742E9">
        <w:rPr>
          <w:rFonts w:eastAsia="Calibri"/>
          <w:sz w:val="22"/>
          <w:szCs w:val="22"/>
          <w:lang w:eastAsia="en-US"/>
        </w:rPr>
        <w:t>издательство «Лань», 2008.</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2. Горбатова К. К. Биохимия молока и молочных продуктов. - М.: Легкая и пищевая промышленность, 1984.- 258с.</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3. ГОСТ 26809.1-2014 Молоко и молочная продукция. Правила приемки, методы отбора и подготовка проб к анализу. Часть 1. М</w:t>
      </w:r>
      <w:r w:rsidRPr="008742E9">
        <w:rPr>
          <w:rFonts w:eastAsia="Calibri"/>
          <w:sz w:val="22"/>
          <w:szCs w:val="22"/>
          <w:lang w:eastAsia="en-US"/>
        </w:rPr>
        <w:t>о</w:t>
      </w:r>
      <w:r w:rsidRPr="008742E9">
        <w:rPr>
          <w:rFonts w:eastAsia="Calibri"/>
          <w:sz w:val="22"/>
          <w:szCs w:val="22"/>
          <w:lang w:eastAsia="en-US"/>
        </w:rPr>
        <w:t>локо, молочные, молочные составные и молокосодержащие проду</w:t>
      </w:r>
      <w:r w:rsidRPr="008742E9">
        <w:rPr>
          <w:rFonts w:eastAsia="Calibri"/>
          <w:sz w:val="22"/>
          <w:szCs w:val="22"/>
          <w:lang w:eastAsia="en-US"/>
        </w:rPr>
        <w:t>к</w:t>
      </w:r>
      <w:r w:rsidRPr="008742E9">
        <w:rPr>
          <w:rFonts w:eastAsia="Calibri"/>
          <w:sz w:val="22"/>
          <w:szCs w:val="22"/>
          <w:lang w:eastAsia="en-US"/>
        </w:rPr>
        <w:t>ты.</w:t>
      </w:r>
      <w:r w:rsidRPr="008742E9">
        <w:rPr>
          <w:rFonts w:ascii="Arial" w:eastAsia="Calibri" w:hAnsi="Arial" w:cs="Arial"/>
          <w:color w:val="2D2D2D"/>
          <w:spacing w:val="2"/>
          <w:sz w:val="21"/>
          <w:szCs w:val="21"/>
          <w:shd w:val="clear" w:color="auto" w:fill="FFFFFF"/>
          <w:lang w:eastAsia="en-US"/>
        </w:rPr>
        <w:t xml:space="preserve"> – </w:t>
      </w:r>
      <w:r w:rsidRPr="008742E9">
        <w:rPr>
          <w:rFonts w:eastAsia="Calibri"/>
          <w:sz w:val="22"/>
          <w:szCs w:val="22"/>
          <w:lang w:eastAsia="en-US"/>
        </w:rPr>
        <w:t>М.: Стандартинформ, 2015.</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4. Терехов В.И. Влияние адъювантов на иммуногенные сво</w:t>
      </w:r>
      <w:r w:rsidRPr="008742E9">
        <w:rPr>
          <w:rFonts w:eastAsia="Calibri"/>
          <w:sz w:val="22"/>
          <w:szCs w:val="22"/>
          <w:lang w:eastAsia="en-US"/>
        </w:rPr>
        <w:t>й</w:t>
      </w:r>
      <w:r w:rsidRPr="008742E9">
        <w:rPr>
          <w:rFonts w:eastAsia="Calibri"/>
          <w:sz w:val="22"/>
          <w:szCs w:val="22"/>
          <w:lang w:eastAsia="en-US"/>
        </w:rPr>
        <w:t xml:space="preserve">ства эшерихиозного анатоксина при вакцинации стельных коров / </w:t>
      </w:r>
      <w:r w:rsidRPr="008742E9">
        <w:rPr>
          <w:rFonts w:eastAsia="Calibri"/>
          <w:sz w:val="22"/>
          <w:szCs w:val="22"/>
          <w:lang w:eastAsia="en-US"/>
        </w:rPr>
        <w:lastRenderedPageBreak/>
        <w:t>В.И. Терехов, А.С. Тищенко // Ветеринария Кубани. – 2011. – №3. – С. 19-21.</w:t>
      </w:r>
    </w:p>
    <w:p w:rsidR="00E22BC2" w:rsidRDefault="00E22BC2" w:rsidP="008742E9">
      <w:pPr>
        <w:jc w:val="both"/>
        <w:rPr>
          <w:rFonts w:eastAsia="Calibri"/>
          <w:sz w:val="22"/>
          <w:szCs w:val="22"/>
          <w:lang w:eastAsia="en-US"/>
        </w:rPr>
      </w:pPr>
    </w:p>
    <w:p w:rsidR="00E22BC2" w:rsidRDefault="00E22BC2" w:rsidP="008742E9">
      <w:pPr>
        <w:jc w:val="both"/>
        <w:rPr>
          <w:rFonts w:eastAsia="Calibri"/>
          <w:sz w:val="22"/>
          <w:szCs w:val="22"/>
          <w:lang w:eastAsia="en-US"/>
        </w:rPr>
      </w:pPr>
    </w:p>
    <w:p w:rsidR="00E22BC2" w:rsidRDefault="00E22BC2" w:rsidP="008742E9">
      <w:pPr>
        <w:jc w:val="both"/>
        <w:rPr>
          <w:rFonts w:eastAsia="Calibri"/>
          <w:sz w:val="22"/>
          <w:szCs w:val="22"/>
          <w:lang w:eastAsia="en-US"/>
        </w:rPr>
      </w:pPr>
    </w:p>
    <w:p w:rsidR="008742E9" w:rsidRPr="00EA11E0" w:rsidRDefault="008742E9" w:rsidP="008742E9">
      <w:pPr>
        <w:jc w:val="both"/>
        <w:rPr>
          <w:rFonts w:eastAsia="Calibri"/>
          <w:sz w:val="22"/>
          <w:szCs w:val="22"/>
          <w:lang w:eastAsia="en-US"/>
        </w:rPr>
      </w:pPr>
      <w:proofErr w:type="gramStart"/>
      <w:r w:rsidRPr="00EA11E0">
        <w:rPr>
          <w:rFonts w:eastAsia="Calibri"/>
          <w:sz w:val="22"/>
          <w:szCs w:val="22"/>
          <w:lang w:eastAsia="en-US"/>
        </w:rPr>
        <w:t>УДК 619:616-007.43-089]:636.8</w:t>
      </w:r>
      <w:proofErr w:type="gramEnd"/>
    </w:p>
    <w:p w:rsidR="008742E9" w:rsidRPr="008742E9" w:rsidRDefault="008742E9" w:rsidP="008742E9">
      <w:pPr>
        <w:jc w:val="both"/>
        <w:rPr>
          <w:rFonts w:eastAsia="Calibri"/>
          <w:sz w:val="24"/>
          <w:szCs w:val="24"/>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 xml:space="preserve">Диагностика и хирургическое лечение </w:t>
      </w: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травматической диафрагмальной грыжи у кошек</w:t>
      </w:r>
    </w:p>
    <w:p w:rsidR="008742E9" w:rsidRPr="008742E9" w:rsidRDefault="008742E9" w:rsidP="008742E9">
      <w:pPr>
        <w:jc w:val="center"/>
        <w:rPr>
          <w:rFonts w:eastAsia="Calibri"/>
          <w:b/>
          <w:sz w:val="24"/>
          <w:szCs w:val="24"/>
          <w:shd w:val="clear" w:color="auto" w:fill="FFFFFF"/>
          <w:lang w:val="en-US" w:eastAsia="en-US"/>
        </w:rPr>
      </w:pPr>
      <w:r w:rsidRPr="008742E9">
        <w:rPr>
          <w:rFonts w:eastAsia="Calibri"/>
          <w:b/>
          <w:sz w:val="24"/>
          <w:szCs w:val="24"/>
          <w:shd w:val="clear" w:color="auto" w:fill="FFFFFF"/>
          <w:lang w:val="en-US" w:eastAsia="en-US"/>
        </w:rPr>
        <w:t xml:space="preserve">Diagnosis and surgical treatment of traumatic </w:t>
      </w:r>
    </w:p>
    <w:p w:rsidR="008742E9" w:rsidRPr="008742E9" w:rsidRDefault="008742E9" w:rsidP="008742E9">
      <w:pPr>
        <w:jc w:val="center"/>
        <w:rPr>
          <w:rFonts w:eastAsia="Calibri"/>
          <w:b/>
          <w:sz w:val="24"/>
          <w:szCs w:val="24"/>
          <w:lang w:val="en-US" w:eastAsia="en-US"/>
        </w:rPr>
      </w:pPr>
      <w:proofErr w:type="gramStart"/>
      <w:r w:rsidRPr="008742E9">
        <w:rPr>
          <w:rFonts w:eastAsia="Calibri"/>
          <w:b/>
          <w:sz w:val="24"/>
          <w:szCs w:val="24"/>
          <w:shd w:val="clear" w:color="auto" w:fill="FFFFFF"/>
          <w:lang w:val="en-US" w:eastAsia="en-US"/>
        </w:rPr>
        <w:t>diaphragm</w:t>
      </w:r>
      <w:proofErr w:type="gramEnd"/>
      <w:r w:rsidRPr="008742E9">
        <w:rPr>
          <w:rFonts w:eastAsia="Calibri"/>
          <w:b/>
          <w:sz w:val="24"/>
          <w:szCs w:val="24"/>
          <w:shd w:val="clear" w:color="auto" w:fill="FFFFFF"/>
          <w:lang w:val="en-US" w:eastAsia="en-US"/>
        </w:rPr>
        <w:t xml:space="preserve"> hernia in cats</w:t>
      </w:r>
    </w:p>
    <w:p w:rsidR="008742E9" w:rsidRPr="008742E9" w:rsidRDefault="008742E9" w:rsidP="008742E9">
      <w:pPr>
        <w:jc w:val="right"/>
        <w:rPr>
          <w:rFonts w:eastAsia="Calibri"/>
          <w:sz w:val="22"/>
          <w:szCs w:val="22"/>
          <w:lang w:val="en-US" w:eastAsia="en-US"/>
        </w:rPr>
      </w:pPr>
    </w:p>
    <w:p w:rsidR="008742E9" w:rsidRPr="008742E9" w:rsidRDefault="008742E9" w:rsidP="008742E9">
      <w:pPr>
        <w:jc w:val="right"/>
        <w:rPr>
          <w:rFonts w:eastAsia="Calibri"/>
          <w:sz w:val="22"/>
          <w:szCs w:val="22"/>
          <w:lang w:val="en-US" w:eastAsia="en-US"/>
        </w:rPr>
      </w:pPr>
      <w:r w:rsidRPr="008742E9">
        <w:rPr>
          <w:rFonts w:eastAsia="Calibri"/>
          <w:sz w:val="22"/>
          <w:szCs w:val="22"/>
          <w:lang w:eastAsia="en-US"/>
        </w:rPr>
        <w:t>Воронова</w:t>
      </w:r>
      <w:r w:rsidRPr="008742E9">
        <w:rPr>
          <w:rFonts w:eastAsia="Calibri"/>
          <w:sz w:val="22"/>
          <w:szCs w:val="22"/>
          <w:lang w:val="en-US" w:eastAsia="en-US"/>
        </w:rPr>
        <w:t xml:space="preserve"> </w:t>
      </w:r>
      <w:r w:rsidRPr="008742E9">
        <w:rPr>
          <w:rFonts w:eastAsia="Calibri"/>
          <w:sz w:val="22"/>
          <w:szCs w:val="22"/>
          <w:lang w:eastAsia="en-US"/>
        </w:rPr>
        <w:t>С</w:t>
      </w:r>
      <w:r w:rsidRPr="008742E9">
        <w:rPr>
          <w:rFonts w:eastAsia="Calibri"/>
          <w:sz w:val="22"/>
          <w:szCs w:val="22"/>
          <w:lang w:val="en-US" w:eastAsia="en-US"/>
        </w:rPr>
        <w:t xml:space="preserve">. </w:t>
      </w:r>
      <w:r w:rsidRPr="008742E9">
        <w:rPr>
          <w:rFonts w:eastAsia="Calibri"/>
          <w:sz w:val="22"/>
          <w:szCs w:val="22"/>
          <w:lang w:eastAsia="en-US"/>
        </w:rPr>
        <w:t>П</w:t>
      </w:r>
      <w:r w:rsidRPr="008742E9">
        <w:rPr>
          <w:rFonts w:eastAsia="Calibri"/>
          <w:sz w:val="22"/>
          <w:szCs w:val="22"/>
          <w:lang w:val="en-US" w:eastAsia="en-US"/>
        </w:rPr>
        <w:t>.,</w:t>
      </w:r>
    </w:p>
    <w:p w:rsidR="00EA11E0" w:rsidRDefault="008742E9" w:rsidP="008742E9">
      <w:pPr>
        <w:jc w:val="right"/>
        <w:rPr>
          <w:rFonts w:eastAsia="Calibri"/>
          <w:sz w:val="22"/>
          <w:szCs w:val="22"/>
          <w:lang w:eastAsia="en-US"/>
        </w:rPr>
      </w:pPr>
      <w:r w:rsidRPr="008742E9">
        <w:rPr>
          <w:rFonts w:eastAsia="Calibri"/>
          <w:sz w:val="22"/>
          <w:szCs w:val="22"/>
          <w:lang w:eastAsia="en-US"/>
        </w:rPr>
        <w:t>студентка 4-го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w:t>
      </w:r>
      <w:r w:rsidR="00EA11E0">
        <w:rPr>
          <w:rFonts w:eastAsia="Calibri"/>
          <w:sz w:val="22"/>
          <w:szCs w:val="22"/>
          <w:lang w:eastAsia="en-US"/>
        </w:rPr>
        <w:t>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Кравченко В. М.,</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анатомии,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вете</w:t>
      </w:r>
      <w:r w:rsidR="00EA11E0">
        <w:rPr>
          <w:rFonts w:eastAsia="Calibri"/>
          <w:sz w:val="22"/>
          <w:szCs w:val="22"/>
          <w:lang w:eastAsia="en-US"/>
        </w:rPr>
        <w:t>ринарного акушерства и хирургии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w:t>
      </w:r>
      <w:r w:rsidR="00EA11E0">
        <w:rPr>
          <w:rFonts w:eastAsia="Calibri"/>
          <w:sz w:val="22"/>
          <w:szCs w:val="22"/>
          <w:lang w:eastAsia="en-US"/>
        </w:rPr>
        <w:t>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w:t>
      </w:r>
      <w:r w:rsidR="00EA11E0">
        <w:rPr>
          <w:rFonts w:eastAsia="Calibri"/>
          <w:sz w:val="22"/>
          <w:szCs w:val="22"/>
          <w:lang w:eastAsia="en-US"/>
        </w:rPr>
        <w:t>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АННОТАЦИЯ: представлены основные принципы диагностики травматической диафрагмальной грыжи у кошек, изучены аспекты ее хирургического лечения. </w:t>
      </w:r>
    </w:p>
    <w:p w:rsidR="008742E9" w:rsidRPr="008742E9" w:rsidRDefault="008742E9" w:rsidP="00EA11E0">
      <w:pPr>
        <w:ind w:firstLine="426"/>
        <w:jc w:val="both"/>
        <w:rPr>
          <w:rFonts w:eastAsia="Calibri"/>
          <w:sz w:val="22"/>
          <w:szCs w:val="22"/>
          <w:lang w:val="en-US" w:eastAsia="en-US"/>
        </w:rPr>
      </w:pPr>
      <w:r w:rsidRPr="008742E9">
        <w:rPr>
          <w:rFonts w:eastAsia="Calibri"/>
          <w:sz w:val="22"/>
          <w:szCs w:val="22"/>
          <w:lang w:val="en-US" w:eastAsia="en-US"/>
        </w:rPr>
        <w:t xml:space="preserve">ABSTRACT: </w:t>
      </w:r>
      <w:r w:rsidRPr="008742E9">
        <w:rPr>
          <w:rFonts w:eastAsia="Calibri"/>
          <w:sz w:val="22"/>
          <w:szCs w:val="22"/>
          <w:shd w:val="clear" w:color="auto" w:fill="FFFFFF"/>
          <w:lang w:val="en-US" w:eastAsia="en-US"/>
        </w:rPr>
        <w:t>the basic principles of diagnosis of traumatic di</w:t>
      </w:r>
      <w:r w:rsidRPr="008742E9">
        <w:rPr>
          <w:rFonts w:eastAsia="Calibri"/>
          <w:sz w:val="22"/>
          <w:szCs w:val="22"/>
          <w:shd w:val="clear" w:color="auto" w:fill="FFFFFF"/>
          <w:lang w:val="en-US" w:eastAsia="en-US"/>
        </w:rPr>
        <w:t>a</w:t>
      </w:r>
      <w:r w:rsidRPr="008742E9">
        <w:rPr>
          <w:rFonts w:eastAsia="Calibri"/>
          <w:sz w:val="22"/>
          <w:szCs w:val="22"/>
          <w:shd w:val="clear" w:color="auto" w:fill="FFFFFF"/>
          <w:lang w:val="en-US" w:eastAsia="en-US"/>
        </w:rPr>
        <w:t>phragm hernia in cats, studied aspects of its surgical treatment.</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КЛЮЧЕВЫЕ СЛОВА: кошки, диафрагмальная грыжа, диагн</w:t>
      </w:r>
      <w:r w:rsidRPr="008742E9">
        <w:rPr>
          <w:rFonts w:eastAsia="Calibri"/>
          <w:sz w:val="22"/>
          <w:szCs w:val="22"/>
          <w:lang w:eastAsia="en-US"/>
        </w:rPr>
        <w:t>о</w:t>
      </w:r>
      <w:r w:rsidRPr="008742E9">
        <w:rPr>
          <w:rFonts w:eastAsia="Calibri"/>
          <w:sz w:val="22"/>
          <w:szCs w:val="22"/>
          <w:lang w:eastAsia="en-US"/>
        </w:rPr>
        <w:t>стика, хирургия.</w:t>
      </w:r>
    </w:p>
    <w:p w:rsidR="008742E9" w:rsidRPr="008742E9" w:rsidRDefault="008742E9" w:rsidP="00EA11E0">
      <w:pPr>
        <w:ind w:firstLine="426"/>
        <w:jc w:val="both"/>
        <w:rPr>
          <w:rFonts w:eastAsia="Calibri"/>
          <w:sz w:val="22"/>
          <w:szCs w:val="22"/>
          <w:lang w:val="en-US" w:eastAsia="en-US"/>
        </w:rPr>
      </w:pPr>
      <w:r w:rsidRPr="008742E9">
        <w:rPr>
          <w:rFonts w:eastAsia="Calibri"/>
          <w:sz w:val="22"/>
          <w:szCs w:val="22"/>
          <w:lang w:val="en-US" w:eastAsia="en-US"/>
        </w:rPr>
        <w:t xml:space="preserve">KEYWORDS: </w:t>
      </w:r>
      <w:r w:rsidRPr="008742E9">
        <w:rPr>
          <w:rFonts w:eastAsia="Calibri"/>
          <w:sz w:val="22"/>
          <w:szCs w:val="22"/>
          <w:shd w:val="clear" w:color="auto" w:fill="FFFFFF"/>
          <w:lang w:val="en-US" w:eastAsia="en-US"/>
        </w:rPr>
        <w:t>cats, diaphragmatic hernia, diagnosis, surgery.</w:t>
      </w:r>
    </w:p>
    <w:p w:rsidR="008742E9" w:rsidRPr="008742E9" w:rsidRDefault="008742E9" w:rsidP="00EA11E0">
      <w:pPr>
        <w:ind w:firstLine="426"/>
        <w:jc w:val="both"/>
        <w:rPr>
          <w:rFonts w:eastAsia="Calibri"/>
          <w:sz w:val="22"/>
          <w:szCs w:val="22"/>
          <w:lang w:val="en-US"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 отечественной и зарубежной литературе некоторые авторы  утверждают, что признаки дыхательной недостаточности у живо</w:t>
      </w:r>
      <w:r w:rsidRPr="008742E9">
        <w:rPr>
          <w:rFonts w:eastAsia="Calibri"/>
          <w:sz w:val="22"/>
          <w:szCs w:val="22"/>
          <w:lang w:eastAsia="en-US"/>
        </w:rPr>
        <w:t>т</w:t>
      </w:r>
      <w:r w:rsidRPr="008742E9">
        <w:rPr>
          <w:rFonts w:eastAsia="Calibri"/>
          <w:sz w:val="22"/>
          <w:szCs w:val="22"/>
          <w:lang w:eastAsia="en-US"/>
        </w:rPr>
        <w:t>ных нередко вызваны травматической диафрагмальной грыжей. Объясняют они это смещением органов брюшной полости через дефект диафрагмы и компрессией легких, с развитием ателектаза и  выпотом экссудата в грудную полость.</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lastRenderedPageBreak/>
        <w:t>Клинические признаки  диафрагмальных грыж, кроме одышки и непереносимость физической нагрузки не являются специфич</w:t>
      </w:r>
      <w:r w:rsidRPr="008742E9">
        <w:rPr>
          <w:rFonts w:eastAsia="Calibri"/>
          <w:sz w:val="22"/>
          <w:szCs w:val="22"/>
          <w:lang w:eastAsia="en-US"/>
        </w:rPr>
        <w:t>е</w:t>
      </w:r>
      <w:r w:rsidRPr="008742E9">
        <w:rPr>
          <w:rFonts w:eastAsia="Calibri"/>
          <w:sz w:val="22"/>
          <w:szCs w:val="22"/>
          <w:lang w:eastAsia="en-US"/>
        </w:rPr>
        <w:t>скими. Данная патология может характеризоваться признаками ра</w:t>
      </w:r>
      <w:r w:rsidRPr="008742E9">
        <w:rPr>
          <w:rFonts w:eastAsia="Calibri"/>
          <w:sz w:val="22"/>
          <w:szCs w:val="22"/>
          <w:lang w:eastAsia="en-US"/>
        </w:rPr>
        <w:t>с</w:t>
      </w:r>
      <w:r w:rsidRPr="008742E9">
        <w:rPr>
          <w:rFonts w:eastAsia="Calibri"/>
          <w:sz w:val="22"/>
          <w:szCs w:val="22"/>
          <w:lang w:eastAsia="en-US"/>
        </w:rPr>
        <w:t>стройства со стороны желудочно-кишечного тракта, такими как анорексия, рвота, диарея, потеря веса, боль после приема пищи [1,2,3].</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 период с апреля по ноябрь 2017 г. в ветеринарном центре «Ноев Ковчегъ» было диагностировано три случая травматической диафрагмальной грыжи у кошек.</w:t>
      </w:r>
    </w:p>
    <w:p w:rsidR="008742E9" w:rsidRPr="008742E9" w:rsidRDefault="00805CEB" w:rsidP="00EA11E0">
      <w:pPr>
        <w:ind w:firstLine="426"/>
        <w:jc w:val="both"/>
        <w:rPr>
          <w:rFonts w:eastAsia="Calibri"/>
          <w:sz w:val="22"/>
          <w:szCs w:val="22"/>
          <w:lang w:eastAsia="en-US"/>
        </w:rPr>
      </w:pPr>
      <w:r>
        <w:rPr>
          <w:rFonts w:eastAsia="Calibri"/>
          <w:sz w:val="22"/>
          <w:szCs w:val="22"/>
          <w:lang w:eastAsia="en-US"/>
        </w:rPr>
        <w:t xml:space="preserve">У животных с </w:t>
      </w:r>
      <w:r w:rsidR="008742E9" w:rsidRPr="008742E9">
        <w:rPr>
          <w:rFonts w:eastAsia="Calibri"/>
          <w:sz w:val="22"/>
          <w:szCs w:val="22"/>
          <w:lang w:eastAsia="en-US"/>
        </w:rPr>
        <w:t>травматическими диафрагмальными грыжами чаще всего отмечали признаки шока, которые клинически характ</w:t>
      </w:r>
      <w:r w:rsidR="008742E9" w:rsidRPr="008742E9">
        <w:rPr>
          <w:rFonts w:eastAsia="Calibri"/>
          <w:sz w:val="22"/>
          <w:szCs w:val="22"/>
          <w:lang w:eastAsia="en-US"/>
        </w:rPr>
        <w:t>е</w:t>
      </w:r>
      <w:r w:rsidR="008742E9" w:rsidRPr="008742E9">
        <w:rPr>
          <w:rFonts w:eastAsia="Calibri"/>
          <w:sz w:val="22"/>
          <w:szCs w:val="22"/>
          <w:lang w:eastAsia="en-US"/>
        </w:rPr>
        <w:t>ризовались анемией или цианозом слизистых оболочек, тахипноэ, тахикардией и олигурией. Признаки кардиальной аритмии были общими симптомами у всех животных, что мы связываем со знач</w:t>
      </w:r>
      <w:r w:rsidR="008742E9" w:rsidRPr="008742E9">
        <w:rPr>
          <w:rFonts w:eastAsia="Calibri"/>
          <w:sz w:val="22"/>
          <w:szCs w:val="22"/>
          <w:lang w:eastAsia="en-US"/>
        </w:rPr>
        <w:t>и</w:t>
      </w:r>
      <w:r w:rsidR="008742E9" w:rsidRPr="008742E9">
        <w:rPr>
          <w:rFonts w:eastAsia="Calibri"/>
          <w:sz w:val="22"/>
          <w:szCs w:val="22"/>
          <w:lang w:eastAsia="en-US"/>
        </w:rPr>
        <w:t xml:space="preserve">тельной болезненностью. Другие клинические признаки зависели от того, какие органы были смещены в грудную полость при разрыве диафрагмы.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Рентгенография является первоначальным методом визуализ</w:t>
      </w:r>
      <w:r w:rsidRPr="008742E9">
        <w:rPr>
          <w:rFonts w:eastAsia="Calibri"/>
          <w:sz w:val="22"/>
          <w:szCs w:val="22"/>
          <w:lang w:eastAsia="en-US"/>
        </w:rPr>
        <w:t>а</w:t>
      </w:r>
      <w:r w:rsidRPr="008742E9">
        <w:rPr>
          <w:rFonts w:eastAsia="Calibri"/>
          <w:sz w:val="22"/>
          <w:szCs w:val="22"/>
          <w:lang w:eastAsia="en-US"/>
        </w:rPr>
        <w:t>ции при диагностировании травматической диафрагмальной грыжи</w:t>
      </w:r>
      <w:r w:rsidRPr="008742E9">
        <w:rPr>
          <w:rFonts w:eastAsia="Calibri"/>
          <w:color w:val="000000"/>
          <w:sz w:val="22"/>
          <w:szCs w:val="22"/>
          <w:lang w:eastAsia="en-US"/>
        </w:rPr>
        <w:t xml:space="preserve">. </w:t>
      </w:r>
      <w:r w:rsidR="00805CEB">
        <w:rPr>
          <w:rFonts w:eastAsia="Calibri"/>
          <w:color w:val="000000"/>
          <w:sz w:val="22"/>
          <w:szCs w:val="22"/>
          <w:shd w:val="clear" w:color="auto" w:fill="FFFFFF"/>
          <w:lang w:eastAsia="en-US"/>
        </w:rPr>
        <w:t>Полное исследование</w:t>
      </w:r>
      <w:r w:rsidRPr="008742E9">
        <w:rPr>
          <w:rFonts w:eastAsia="Calibri"/>
          <w:color w:val="000000"/>
          <w:sz w:val="22"/>
          <w:szCs w:val="22"/>
          <w:shd w:val="clear" w:color="auto" w:fill="FFFFFF"/>
          <w:lang w:eastAsia="en-US"/>
        </w:rPr>
        <w:t xml:space="preserve"> включало </w:t>
      </w:r>
      <w:r w:rsidRPr="008742E9">
        <w:rPr>
          <w:rFonts w:eastAsia="Calibri"/>
          <w:color w:val="000000"/>
          <w:sz w:val="22"/>
          <w:szCs w:val="22"/>
          <w:lang w:eastAsia="en-US"/>
        </w:rPr>
        <w:t xml:space="preserve">левые </w:t>
      </w:r>
      <w:r w:rsidRPr="008742E9">
        <w:rPr>
          <w:rFonts w:eastAsia="Calibri"/>
          <w:sz w:val="22"/>
          <w:szCs w:val="22"/>
          <w:lang w:eastAsia="en-US"/>
        </w:rPr>
        <w:t>и правые боковые, дорсове</w:t>
      </w:r>
      <w:r w:rsidRPr="008742E9">
        <w:rPr>
          <w:rFonts w:eastAsia="Calibri"/>
          <w:sz w:val="22"/>
          <w:szCs w:val="22"/>
          <w:lang w:eastAsia="en-US"/>
        </w:rPr>
        <w:t>н</w:t>
      </w:r>
      <w:r w:rsidRPr="008742E9">
        <w:rPr>
          <w:rFonts w:eastAsia="Calibri"/>
          <w:sz w:val="22"/>
          <w:szCs w:val="22"/>
          <w:lang w:eastAsia="en-US"/>
        </w:rPr>
        <w:t>тральные и вентродорсальные рентгенограммы. Рентгенографич</w:t>
      </w:r>
      <w:r w:rsidRPr="008742E9">
        <w:rPr>
          <w:rFonts w:eastAsia="Calibri"/>
          <w:sz w:val="22"/>
          <w:szCs w:val="22"/>
          <w:lang w:eastAsia="en-US"/>
        </w:rPr>
        <w:t>е</w:t>
      </w:r>
      <w:r w:rsidRPr="008742E9">
        <w:rPr>
          <w:rFonts w:eastAsia="Calibri"/>
          <w:sz w:val="22"/>
          <w:szCs w:val="22"/>
          <w:lang w:eastAsia="en-US"/>
        </w:rPr>
        <w:t>ские признаки диафрагмальной грыжи включали нарушение линии диафрагмы, наличие содержимого брюшной полости внутри гру</w:t>
      </w:r>
      <w:r w:rsidRPr="008742E9">
        <w:rPr>
          <w:rFonts w:eastAsia="Calibri"/>
          <w:sz w:val="22"/>
          <w:szCs w:val="22"/>
          <w:lang w:eastAsia="en-US"/>
        </w:rPr>
        <w:t>д</w:t>
      </w:r>
      <w:r w:rsidRPr="008742E9">
        <w:rPr>
          <w:rFonts w:eastAsia="Calibri"/>
          <w:sz w:val="22"/>
          <w:szCs w:val="22"/>
          <w:lang w:eastAsia="en-US"/>
        </w:rPr>
        <w:t>ной клетки, смещение органов грудной клетки, перемещение вну</w:t>
      </w:r>
      <w:r w:rsidRPr="008742E9">
        <w:rPr>
          <w:rFonts w:eastAsia="Calibri"/>
          <w:sz w:val="22"/>
          <w:szCs w:val="22"/>
          <w:lang w:eastAsia="en-US"/>
        </w:rPr>
        <w:t>т</w:t>
      </w:r>
      <w:r w:rsidRPr="008742E9">
        <w:rPr>
          <w:rFonts w:eastAsia="Calibri"/>
          <w:sz w:val="22"/>
          <w:szCs w:val="22"/>
          <w:lang w:eastAsia="en-US"/>
        </w:rPr>
        <w:t>ренних органов брюшной полости, плевральные выпоты, торакал</w:t>
      </w:r>
      <w:r w:rsidRPr="008742E9">
        <w:rPr>
          <w:rFonts w:eastAsia="Calibri"/>
          <w:sz w:val="22"/>
          <w:szCs w:val="22"/>
          <w:lang w:eastAsia="en-US"/>
        </w:rPr>
        <w:t>ь</w:t>
      </w:r>
      <w:r w:rsidRPr="008742E9">
        <w:rPr>
          <w:rFonts w:eastAsia="Calibri"/>
          <w:sz w:val="22"/>
          <w:szCs w:val="22"/>
          <w:lang w:eastAsia="en-US"/>
        </w:rPr>
        <w:t>ные травмы, отклонение диафрагмы.</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УЗИ является наиболее безболезненным и быстрым методом определения травматической диафрагмальной грыжи.</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Для лечения данной патологии необходимо хирургическое во</w:t>
      </w:r>
      <w:r w:rsidRPr="008742E9">
        <w:rPr>
          <w:rFonts w:eastAsia="Calibri"/>
          <w:sz w:val="22"/>
          <w:szCs w:val="22"/>
          <w:lang w:eastAsia="en-US"/>
        </w:rPr>
        <w:t>с</w:t>
      </w:r>
      <w:r w:rsidRPr="008742E9">
        <w:rPr>
          <w:rFonts w:eastAsia="Calibri"/>
          <w:sz w:val="22"/>
          <w:szCs w:val="22"/>
          <w:lang w:eastAsia="en-US"/>
        </w:rPr>
        <w:t>становление целостности диафрагмы. Сроки хирургического вм</w:t>
      </w:r>
      <w:r w:rsidRPr="008742E9">
        <w:rPr>
          <w:rFonts w:eastAsia="Calibri"/>
          <w:sz w:val="22"/>
          <w:szCs w:val="22"/>
          <w:lang w:eastAsia="en-US"/>
        </w:rPr>
        <w:t>е</w:t>
      </w:r>
      <w:r w:rsidRPr="008742E9">
        <w:rPr>
          <w:rFonts w:eastAsia="Calibri"/>
          <w:sz w:val="22"/>
          <w:szCs w:val="22"/>
          <w:lang w:eastAsia="en-US"/>
        </w:rPr>
        <w:t>шательства должны основываться на степени сердечно-легочной дисфункции, степени дыхательной недостаточности, смещении о</w:t>
      </w:r>
      <w:r w:rsidRPr="008742E9">
        <w:rPr>
          <w:rFonts w:eastAsia="Calibri"/>
          <w:sz w:val="22"/>
          <w:szCs w:val="22"/>
          <w:lang w:eastAsia="en-US"/>
        </w:rPr>
        <w:t>р</w:t>
      </w:r>
      <w:r w:rsidRPr="008742E9">
        <w:rPr>
          <w:rFonts w:eastAsia="Calibri"/>
          <w:sz w:val="22"/>
          <w:szCs w:val="22"/>
          <w:lang w:eastAsia="en-US"/>
        </w:rPr>
        <w:t xml:space="preserve">ганов брюшной полости в </w:t>
      </w:r>
      <w:proofErr w:type="gramStart"/>
      <w:r w:rsidRPr="008742E9">
        <w:rPr>
          <w:rFonts w:eastAsia="Calibri"/>
          <w:sz w:val="22"/>
          <w:szCs w:val="22"/>
          <w:lang w:eastAsia="en-US"/>
        </w:rPr>
        <w:t>грудную</w:t>
      </w:r>
      <w:proofErr w:type="gramEnd"/>
      <w:r w:rsidRPr="008742E9">
        <w:rPr>
          <w:rFonts w:eastAsia="Calibri"/>
          <w:sz w:val="22"/>
          <w:szCs w:val="22"/>
          <w:lang w:eastAsia="en-US"/>
        </w:rPr>
        <w:t>,  а также на том, улучшается ли состояние животного, стабилизируется или ухудшается.</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При назначении анестезии животным с диафрагмальной гр</w:t>
      </w:r>
      <w:r w:rsidRPr="008742E9">
        <w:rPr>
          <w:rFonts w:eastAsia="Calibri"/>
          <w:sz w:val="22"/>
          <w:szCs w:val="22"/>
          <w:lang w:eastAsia="en-US"/>
        </w:rPr>
        <w:t>ы</w:t>
      </w:r>
      <w:r w:rsidRPr="008742E9">
        <w:rPr>
          <w:rFonts w:eastAsia="Calibri"/>
          <w:sz w:val="22"/>
          <w:szCs w:val="22"/>
          <w:lang w:eastAsia="en-US"/>
        </w:rPr>
        <w:t xml:space="preserve">жей необходимо провести профилактику стресса. Перед анестезией необходимо введение транквилизаторов, которые не подавляют </w:t>
      </w:r>
      <w:proofErr w:type="gramStart"/>
      <w:r w:rsidRPr="008742E9">
        <w:rPr>
          <w:rFonts w:eastAsia="Calibri"/>
          <w:sz w:val="22"/>
          <w:szCs w:val="22"/>
          <w:lang w:eastAsia="en-US"/>
        </w:rPr>
        <w:t>сердечно-сосудистую</w:t>
      </w:r>
      <w:proofErr w:type="gramEnd"/>
      <w:r w:rsidRPr="008742E9">
        <w:rPr>
          <w:rFonts w:eastAsia="Calibri"/>
          <w:sz w:val="22"/>
          <w:szCs w:val="22"/>
          <w:lang w:eastAsia="en-US"/>
        </w:rPr>
        <w:t xml:space="preserve"> и дыхательную деятельность. Быстрое введ</w:t>
      </w:r>
      <w:r w:rsidRPr="008742E9">
        <w:rPr>
          <w:rFonts w:eastAsia="Calibri"/>
          <w:sz w:val="22"/>
          <w:szCs w:val="22"/>
          <w:lang w:eastAsia="en-US"/>
        </w:rPr>
        <w:t>е</w:t>
      </w:r>
      <w:r w:rsidRPr="008742E9">
        <w:rPr>
          <w:rFonts w:eastAsia="Calibri"/>
          <w:sz w:val="22"/>
          <w:szCs w:val="22"/>
          <w:lang w:eastAsia="en-US"/>
        </w:rPr>
        <w:lastRenderedPageBreak/>
        <w:t>ние барбитуратов животному позволяет начать интубацию. Наиб</w:t>
      </w:r>
      <w:r w:rsidRPr="008742E9">
        <w:rPr>
          <w:rFonts w:eastAsia="Calibri"/>
          <w:sz w:val="22"/>
          <w:szCs w:val="22"/>
          <w:lang w:eastAsia="en-US"/>
        </w:rPr>
        <w:t>о</w:t>
      </w:r>
      <w:r w:rsidRPr="008742E9">
        <w:rPr>
          <w:rFonts w:eastAsia="Calibri"/>
          <w:sz w:val="22"/>
          <w:szCs w:val="22"/>
          <w:lang w:eastAsia="en-US"/>
        </w:rPr>
        <w:t xml:space="preserve">лее предпочтителен изофлуран, потому что он не подавляет </w:t>
      </w:r>
      <w:proofErr w:type="gramStart"/>
      <w:r w:rsidRPr="008742E9">
        <w:rPr>
          <w:rFonts w:eastAsia="Calibri"/>
          <w:sz w:val="22"/>
          <w:szCs w:val="22"/>
          <w:lang w:eastAsia="en-US"/>
        </w:rPr>
        <w:t>серде</w:t>
      </w:r>
      <w:r w:rsidRPr="008742E9">
        <w:rPr>
          <w:rFonts w:eastAsia="Calibri"/>
          <w:sz w:val="22"/>
          <w:szCs w:val="22"/>
          <w:lang w:eastAsia="en-US"/>
        </w:rPr>
        <w:t>ч</w:t>
      </w:r>
      <w:r w:rsidRPr="008742E9">
        <w:rPr>
          <w:rFonts w:eastAsia="Calibri"/>
          <w:sz w:val="22"/>
          <w:szCs w:val="22"/>
          <w:lang w:eastAsia="en-US"/>
        </w:rPr>
        <w:t>но-сосудистую</w:t>
      </w:r>
      <w:proofErr w:type="gramEnd"/>
      <w:r w:rsidRPr="008742E9">
        <w:rPr>
          <w:rFonts w:eastAsia="Calibri"/>
          <w:sz w:val="22"/>
          <w:szCs w:val="22"/>
          <w:lang w:eastAsia="en-US"/>
        </w:rPr>
        <w:t xml:space="preserve"> деятельность и не вызывает аритмию. Закись азота использовать не рекомендуется, так как возможно осложнение в виде отека легких. Контрольная вентиляция необходима сразу п</w:t>
      </w:r>
      <w:r w:rsidRPr="008742E9">
        <w:rPr>
          <w:rFonts w:eastAsia="Calibri"/>
          <w:sz w:val="22"/>
          <w:szCs w:val="22"/>
          <w:lang w:eastAsia="en-US"/>
        </w:rPr>
        <w:t>о</w:t>
      </w:r>
      <w:r w:rsidRPr="008742E9">
        <w:rPr>
          <w:rFonts w:eastAsia="Calibri"/>
          <w:sz w:val="22"/>
          <w:szCs w:val="22"/>
          <w:lang w:eastAsia="en-US"/>
        </w:rPr>
        <w:t>сле введения. Максимальное давление в органах дыхания не должно превышать 20-30 см водного столба, так как превышение данного показателя может также привести к отеку легких.</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Если желудок окружен и наполнен газом, то хирургическое восстановление грыжи может производиться только в экстренном случае. Может потребоваться непредвиденная декомпрессия ж</w:t>
      </w:r>
      <w:r w:rsidRPr="008742E9">
        <w:rPr>
          <w:rFonts w:eastAsia="Calibri"/>
          <w:sz w:val="22"/>
          <w:szCs w:val="22"/>
          <w:lang w:eastAsia="en-US"/>
        </w:rPr>
        <w:t>е</w:t>
      </w:r>
      <w:r w:rsidRPr="008742E9">
        <w:rPr>
          <w:rFonts w:eastAsia="Calibri"/>
          <w:sz w:val="22"/>
          <w:szCs w:val="22"/>
          <w:lang w:eastAsia="en-US"/>
        </w:rPr>
        <w:t xml:space="preserve">лудка </w:t>
      </w:r>
      <w:proofErr w:type="gramStart"/>
      <w:r w:rsidRPr="008742E9">
        <w:rPr>
          <w:rFonts w:eastAsia="Calibri"/>
          <w:sz w:val="22"/>
          <w:szCs w:val="22"/>
          <w:lang w:eastAsia="en-US"/>
        </w:rPr>
        <w:t>подкожной</w:t>
      </w:r>
      <w:proofErr w:type="gramEnd"/>
      <w:r w:rsidRPr="008742E9">
        <w:rPr>
          <w:rFonts w:eastAsia="Calibri"/>
          <w:sz w:val="22"/>
          <w:szCs w:val="22"/>
          <w:lang w:eastAsia="en-US"/>
        </w:rPr>
        <w:t xml:space="preserve"> трокаризацией. Необходимо обратить внимание на ущемление, закупорку и нарушение кишечника или на наличие кровотечения. Перед оперативным восстановлением диафрагмал</w:t>
      </w:r>
      <w:r w:rsidRPr="008742E9">
        <w:rPr>
          <w:rFonts w:eastAsia="Calibri"/>
          <w:sz w:val="22"/>
          <w:szCs w:val="22"/>
          <w:lang w:eastAsia="en-US"/>
        </w:rPr>
        <w:t>ь</w:t>
      </w:r>
      <w:r w:rsidRPr="008742E9">
        <w:rPr>
          <w:rFonts w:eastAsia="Calibri"/>
          <w:sz w:val="22"/>
          <w:szCs w:val="22"/>
          <w:lang w:eastAsia="en-US"/>
        </w:rPr>
        <w:t>ной грыжи состояние животного должно быть стабилизировано, потому что хирургическое вмешательство без стабилизации может привести к летальному исходу.</w:t>
      </w:r>
    </w:p>
    <w:p w:rsidR="008742E9" w:rsidRPr="008742E9" w:rsidRDefault="008742E9" w:rsidP="00EA11E0">
      <w:pPr>
        <w:ind w:firstLine="426"/>
        <w:jc w:val="both"/>
        <w:rPr>
          <w:rFonts w:eastAsia="Calibri"/>
          <w:sz w:val="22"/>
          <w:szCs w:val="22"/>
          <w:lang w:eastAsia="en-US"/>
        </w:rPr>
      </w:pPr>
    </w:p>
    <w:p w:rsidR="008742E9" w:rsidRPr="008742E9" w:rsidRDefault="008742E9" w:rsidP="00805CEB">
      <w:pPr>
        <w:ind w:firstLine="425"/>
        <w:jc w:val="center"/>
        <w:rPr>
          <w:rFonts w:eastAsia="Calibri"/>
          <w:sz w:val="22"/>
          <w:szCs w:val="22"/>
          <w:lang w:val="en-US" w:eastAsia="en-US"/>
        </w:rPr>
      </w:pPr>
      <w:r w:rsidRPr="008742E9">
        <w:rPr>
          <w:rFonts w:eastAsia="Calibri"/>
          <w:sz w:val="22"/>
          <w:szCs w:val="22"/>
          <w:lang w:eastAsia="en-US"/>
        </w:rPr>
        <w:t>Список</w:t>
      </w:r>
      <w:r w:rsidRPr="008742E9">
        <w:rPr>
          <w:rFonts w:eastAsia="Calibri"/>
          <w:sz w:val="22"/>
          <w:szCs w:val="22"/>
          <w:lang w:val="en-US" w:eastAsia="en-US"/>
        </w:rPr>
        <w:t xml:space="preserve"> </w:t>
      </w:r>
      <w:r w:rsidRPr="008742E9">
        <w:rPr>
          <w:rFonts w:eastAsia="Calibri"/>
          <w:sz w:val="22"/>
          <w:szCs w:val="22"/>
          <w:lang w:eastAsia="en-US"/>
        </w:rPr>
        <w:t>литературы</w:t>
      </w:r>
    </w:p>
    <w:p w:rsidR="008742E9" w:rsidRPr="008742E9" w:rsidRDefault="008742E9" w:rsidP="00805CEB">
      <w:pPr>
        <w:ind w:firstLine="425"/>
        <w:jc w:val="both"/>
        <w:rPr>
          <w:rFonts w:eastAsia="Calibri"/>
          <w:sz w:val="22"/>
          <w:szCs w:val="22"/>
          <w:lang w:val="en-US" w:eastAsia="en-US"/>
        </w:rPr>
      </w:pPr>
      <w:r w:rsidRPr="008742E9">
        <w:rPr>
          <w:rFonts w:eastAsia="Calibri"/>
          <w:color w:val="000000"/>
          <w:sz w:val="22"/>
          <w:szCs w:val="22"/>
          <w:lang w:val="en-US" w:eastAsia="en-US"/>
        </w:rPr>
        <w:t xml:space="preserve">1. Fossum, T. W. Small Animal SURGERY. </w:t>
      </w:r>
      <w:proofErr w:type="gramStart"/>
      <w:r w:rsidRPr="008742E9">
        <w:rPr>
          <w:rFonts w:eastAsia="Calibri"/>
          <w:color w:val="000000"/>
          <w:sz w:val="22"/>
          <w:szCs w:val="22"/>
          <w:lang w:val="en-US" w:eastAsia="en-US"/>
        </w:rPr>
        <w:t>Fourth Edition.</w:t>
      </w:r>
      <w:proofErr w:type="gramEnd"/>
      <w:r w:rsidRPr="008742E9">
        <w:rPr>
          <w:rFonts w:eastAsia="Calibri"/>
          <w:color w:val="000000"/>
          <w:sz w:val="22"/>
          <w:szCs w:val="22"/>
          <w:lang w:val="en-US" w:eastAsia="en-US"/>
        </w:rPr>
        <w:t xml:space="preserve"> / T. W. Fossum, C. W. Dewey, C. V. Horn. – St. Louis, Missouri: «</w:t>
      </w:r>
      <w:r w:rsidRPr="008742E9">
        <w:rPr>
          <w:rFonts w:eastAsia="Calibri"/>
          <w:bCs/>
          <w:color w:val="000000"/>
          <w:sz w:val="22"/>
          <w:szCs w:val="22"/>
          <w:lang w:val="en-US" w:eastAsia="en-US"/>
        </w:rPr>
        <w:t>Elsevier by Mosby</w:t>
      </w:r>
      <w:r w:rsidRPr="008742E9">
        <w:rPr>
          <w:rFonts w:eastAsia="Calibri"/>
          <w:color w:val="000000"/>
          <w:sz w:val="22"/>
          <w:szCs w:val="22"/>
          <w:lang w:val="en-US" w:eastAsia="en-US"/>
        </w:rPr>
        <w:t xml:space="preserve">», 2013. – </w:t>
      </w:r>
      <w:proofErr w:type="gramStart"/>
      <w:r w:rsidRPr="008742E9">
        <w:rPr>
          <w:rFonts w:eastAsia="Calibri"/>
          <w:color w:val="000000"/>
          <w:sz w:val="22"/>
          <w:szCs w:val="22"/>
          <w:lang w:eastAsia="en-US"/>
        </w:rPr>
        <w:t>рр</w:t>
      </w:r>
      <w:proofErr w:type="gramEnd"/>
      <w:r w:rsidRPr="008742E9">
        <w:rPr>
          <w:rFonts w:eastAsia="Calibri"/>
          <w:color w:val="000000"/>
          <w:sz w:val="22"/>
          <w:szCs w:val="22"/>
          <w:lang w:val="en-US" w:eastAsia="en-US"/>
        </w:rPr>
        <w:t xml:space="preserve">. </w:t>
      </w:r>
      <w:proofErr w:type="gramStart"/>
      <w:r w:rsidRPr="008742E9">
        <w:rPr>
          <w:rFonts w:eastAsia="Calibri"/>
          <w:iCs/>
          <w:color w:val="000000"/>
          <w:sz w:val="22"/>
          <w:szCs w:val="22"/>
          <w:lang w:val="en-US" w:eastAsia="en-US"/>
        </w:rPr>
        <w:t>1002-1007.</w:t>
      </w:r>
      <w:proofErr w:type="gramEnd"/>
    </w:p>
    <w:p w:rsidR="008742E9" w:rsidRPr="008742E9" w:rsidRDefault="008742E9" w:rsidP="00805CEB">
      <w:pPr>
        <w:ind w:firstLine="425"/>
        <w:jc w:val="both"/>
        <w:rPr>
          <w:rFonts w:eastAsia="Calibri"/>
          <w:iCs/>
          <w:color w:val="000000"/>
          <w:sz w:val="22"/>
          <w:szCs w:val="22"/>
          <w:lang w:val="en-US" w:eastAsia="en-US"/>
        </w:rPr>
      </w:pPr>
      <w:r w:rsidRPr="008742E9">
        <w:rPr>
          <w:rFonts w:eastAsia="Calibri"/>
          <w:color w:val="000000"/>
          <w:sz w:val="22"/>
          <w:szCs w:val="22"/>
          <w:lang w:val="en-US" w:eastAsia="en-US"/>
        </w:rPr>
        <w:t>2.</w:t>
      </w:r>
      <w:r w:rsidRPr="008742E9">
        <w:rPr>
          <w:rFonts w:eastAsia="Calibri"/>
          <w:iCs/>
          <w:color w:val="000000"/>
          <w:sz w:val="22"/>
          <w:szCs w:val="22"/>
          <w:lang w:val="en-US" w:eastAsia="en-US"/>
        </w:rPr>
        <w:t xml:space="preserve"> Worth, A.J. Traumatic diaphragmatic herniation: pathophysiol</w:t>
      </w:r>
      <w:r w:rsidRPr="008742E9">
        <w:rPr>
          <w:rFonts w:eastAsia="Calibri"/>
          <w:iCs/>
          <w:color w:val="000000"/>
          <w:sz w:val="22"/>
          <w:szCs w:val="22"/>
          <w:lang w:val="en-US" w:eastAsia="en-US"/>
        </w:rPr>
        <w:t>o</w:t>
      </w:r>
      <w:r w:rsidRPr="008742E9">
        <w:rPr>
          <w:rFonts w:eastAsia="Calibri"/>
          <w:iCs/>
          <w:color w:val="000000"/>
          <w:sz w:val="22"/>
          <w:szCs w:val="22"/>
          <w:lang w:val="en-US" w:eastAsia="en-US"/>
        </w:rPr>
        <w:t>gy and management. /</w:t>
      </w:r>
      <w:r w:rsidRPr="008742E9">
        <w:rPr>
          <w:rFonts w:eastAsia="Calibri"/>
          <w:bCs/>
          <w:iCs/>
          <w:color w:val="000000"/>
          <w:sz w:val="22"/>
          <w:szCs w:val="22"/>
          <w:lang w:val="en-US" w:eastAsia="en-US"/>
        </w:rPr>
        <w:t xml:space="preserve"> A.J. </w:t>
      </w:r>
      <w:r w:rsidRPr="008742E9">
        <w:rPr>
          <w:rFonts w:eastAsia="Calibri"/>
          <w:iCs/>
          <w:color w:val="000000"/>
          <w:sz w:val="22"/>
          <w:szCs w:val="22"/>
          <w:lang w:val="en-US" w:eastAsia="en-US"/>
        </w:rPr>
        <w:t xml:space="preserve">Worth, R.G.Machon. – 2005. – </w:t>
      </w:r>
      <w:proofErr w:type="gramStart"/>
      <w:r w:rsidRPr="008742E9">
        <w:rPr>
          <w:rFonts w:eastAsia="Calibri"/>
          <w:iCs/>
          <w:color w:val="000000"/>
          <w:sz w:val="22"/>
          <w:szCs w:val="22"/>
          <w:lang w:eastAsia="en-US"/>
        </w:rPr>
        <w:t>рр</w:t>
      </w:r>
      <w:proofErr w:type="gramEnd"/>
      <w:r w:rsidRPr="008742E9">
        <w:rPr>
          <w:rFonts w:eastAsia="Calibri"/>
          <w:iCs/>
          <w:color w:val="000000"/>
          <w:sz w:val="22"/>
          <w:szCs w:val="22"/>
          <w:lang w:val="en-US" w:eastAsia="en-US"/>
        </w:rPr>
        <w:t xml:space="preserve">. </w:t>
      </w:r>
      <w:proofErr w:type="gramStart"/>
      <w:r w:rsidRPr="008742E9">
        <w:rPr>
          <w:rFonts w:eastAsia="Calibri"/>
          <w:iCs/>
          <w:color w:val="000000"/>
          <w:sz w:val="22"/>
          <w:szCs w:val="22"/>
          <w:lang w:val="en-US" w:eastAsia="en-US"/>
        </w:rPr>
        <w:t>178-191.</w:t>
      </w:r>
      <w:proofErr w:type="gramEnd"/>
    </w:p>
    <w:p w:rsidR="008742E9" w:rsidRPr="008742E9" w:rsidRDefault="008742E9" w:rsidP="00805CEB">
      <w:pPr>
        <w:ind w:firstLine="425"/>
        <w:jc w:val="both"/>
        <w:rPr>
          <w:rFonts w:eastAsia="Calibri"/>
          <w:color w:val="000000"/>
          <w:sz w:val="22"/>
          <w:szCs w:val="22"/>
          <w:lang w:eastAsia="en-US"/>
        </w:rPr>
      </w:pPr>
      <w:r w:rsidRPr="008742E9">
        <w:rPr>
          <w:rFonts w:eastAsia="Calibri"/>
          <w:color w:val="000000"/>
          <w:sz w:val="22"/>
          <w:szCs w:val="22"/>
          <w:lang w:eastAsia="en-US"/>
        </w:rPr>
        <w:t>3.Хозгуд, Ж. Терапия и хирургия щенков и котят/Жизель Хо</w:t>
      </w:r>
      <w:r w:rsidRPr="008742E9">
        <w:rPr>
          <w:rFonts w:eastAsia="Calibri"/>
          <w:color w:val="000000"/>
          <w:sz w:val="22"/>
          <w:szCs w:val="22"/>
          <w:lang w:eastAsia="en-US"/>
        </w:rPr>
        <w:t>з</w:t>
      </w:r>
      <w:r w:rsidRPr="008742E9">
        <w:rPr>
          <w:rFonts w:eastAsia="Calibri"/>
          <w:color w:val="000000"/>
          <w:sz w:val="22"/>
          <w:szCs w:val="22"/>
          <w:lang w:eastAsia="en-US"/>
        </w:rPr>
        <w:t>гуд, Джонни Д. Хоскинс, Жаклин Девидсон и др./ Перев</w:t>
      </w:r>
      <w:proofErr w:type="gramStart"/>
      <w:r w:rsidRPr="008742E9">
        <w:rPr>
          <w:rFonts w:eastAsia="Calibri"/>
          <w:color w:val="000000"/>
          <w:sz w:val="22"/>
          <w:szCs w:val="22"/>
          <w:lang w:eastAsia="en-US"/>
        </w:rPr>
        <w:t>.с</w:t>
      </w:r>
      <w:proofErr w:type="gramEnd"/>
      <w:r w:rsidRPr="008742E9">
        <w:rPr>
          <w:rFonts w:eastAsia="Calibri"/>
          <w:color w:val="000000"/>
          <w:sz w:val="22"/>
          <w:szCs w:val="22"/>
          <w:lang w:eastAsia="en-US"/>
        </w:rPr>
        <w:t xml:space="preserve"> англ. Е.Махияновой. – М.: «Аквариум – Принт», 2014. – 688 с.</w:t>
      </w:r>
    </w:p>
    <w:p w:rsidR="008742E9" w:rsidRPr="008742E9" w:rsidRDefault="008742E9" w:rsidP="00EA11E0">
      <w:pPr>
        <w:ind w:firstLine="426"/>
        <w:jc w:val="both"/>
        <w:rPr>
          <w:rFonts w:eastAsia="Calibri"/>
          <w:color w:val="000000"/>
          <w:sz w:val="22"/>
          <w:szCs w:val="22"/>
          <w:lang w:eastAsia="en-US"/>
        </w:rPr>
      </w:pPr>
    </w:p>
    <w:p w:rsidR="008742E9" w:rsidRPr="008742E9" w:rsidRDefault="00805CEB" w:rsidP="00805CEB">
      <w:pPr>
        <w:rPr>
          <w:rFonts w:eastAsia="Calibri"/>
          <w:color w:val="000000"/>
          <w:sz w:val="22"/>
          <w:szCs w:val="22"/>
          <w:lang w:eastAsia="en-US"/>
        </w:rPr>
      </w:pPr>
      <w:r>
        <w:rPr>
          <w:rFonts w:eastAsia="Calibri"/>
          <w:color w:val="000000"/>
          <w:sz w:val="22"/>
          <w:szCs w:val="22"/>
          <w:lang w:eastAsia="en-US"/>
        </w:rPr>
        <w:br w:type="page"/>
      </w:r>
    </w:p>
    <w:p w:rsidR="008742E9" w:rsidRPr="008742E9" w:rsidRDefault="008742E9" w:rsidP="008742E9">
      <w:pPr>
        <w:rPr>
          <w:rFonts w:eastAsia="Calibri"/>
          <w:sz w:val="22"/>
          <w:szCs w:val="22"/>
          <w:lang w:eastAsia="en-US"/>
        </w:rPr>
      </w:pPr>
      <w:r w:rsidRPr="008742E9">
        <w:rPr>
          <w:rFonts w:eastAsia="Calibri"/>
          <w:sz w:val="22"/>
          <w:szCs w:val="22"/>
          <w:lang w:eastAsia="en-US"/>
        </w:rPr>
        <w:lastRenderedPageBreak/>
        <w:t>УДК 619:616-00</w:t>
      </w:r>
    </w:p>
    <w:p w:rsidR="008742E9" w:rsidRPr="008742E9" w:rsidRDefault="008742E9" w:rsidP="008742E9">
      <w:pPr>
        <w:rPr>
          <w:rFonts w:eastAsia="Calibri"/>
          <w:sz w:val="16"/>
          <w:szCs w:val="22"/>
          <w:lang w:eastAsia="en-US"/>
        </w:rPr>
      </w:pPr>
    </w:p>
    <w:p w:rsidR="008742E9" w:rsidRPr="003C00E9" w:rsidRDefault="008742E9" w:rsidP="008742E9">
      <w:pPr>
        <w:jc w:val="center"/>
        <w:rPr>
          <w:rFonts w:eastAsia="Calibri"/>
          <w:b/>
          <w:sz w:val="24"/>
          <w:szCs w:val="24"/>
          <w:lang w:val="en-US" w:eastAsia="en-US"/>
        </w:rPr>
      </w:pPr>
      <w:r w:rsidRPr="008742E9">
        <w:rPr>
          <w:rFonts w:eastAsia="Calibri"/>
          <w:b/>
          <w:sz w:val="24"/>
          <w:szCs w:val="24"/>
          <w:lang w:eastAsia="en-US"/>
        </w:rPr>
        <w:t>Патогенез</w:t>
      </w:r>
      <w:r w:rsidRPr="003C00E9">
        <w:rPr>
          <w:rFonts w:eastAsia="Calibri"/>
          <w:b/>
          <w:sz w:val="24"/>
          <w:szCs w:val="24"/>
          <w:lang w:val="en-US" w:eastAsia="en-US"/>
        </w:rPr>
        <w:t xml:space="preserve"> </w:t>
      </w:r>
      <w:r w:rsidRPr="008742E9">
        <w:rPr>
          <w:rFonts w:eastAsia="Calibri"/>
          <w:b/>
          <w:sz w:val="24"/>
          <w:szCs w:val="24"/>
          <w:lang w:eastAsia="en-US"/>
        </w:rPr>
        <w:t>и</w:t>
      </w:r>
      <w:r w:rsidRPr="003C00E9">
        <w:rPr>
          <w:rFonts w:eastAsia="Calibri"/>
          <w:b/>
          <w:sz w:val="24"/>
          <w:szCs w:val="24"/>
          <w:lang w:val="en-US" w:eastAsia="en-US"/>
        </w:rPr>
        <w:t xml:space="preserve"> </w:t>
      </w:r>
      <w:r w:rsidRPr="008742E9">
        <w:rPr>
          <w:rFonts w:eastAsia="Calibri"/>
          <w:b/>
          <w:sz w:val="24"/>
          <w:szCs w:val="24"/>
          <w:lang w:eastAsia="en-US"/>
        </w:rPr>
        <w:t>значение</w:t>
      </w:r>
      <w:r w:rsidRPr="003C00E9">
        <w:rPr>
          <w:rFonts w:eastAsia="Calibri"/>
          <w:b/>
          <w:sz w:val="24"/>
          <w:szCs w:val="24"/>
          <w:lang w:val="en-US" w:eastAsia="en-US"/>
        </w:rPr>
        <w:t xml:space="preserve"> </w:t>
      </w:r>
      <w:r w:rsidRPr="008742E9">
        <w:rPr>
          <w:rFonts w:eastAsia="Calibri"/>
          <w:b/>
          <w:sz w:val="24"/>
          <w:szCs w:val="24"/>
          <w:lang w:eastAsia="en-US"/>
        </w:rPr>
        <w:t>апоптоза</w:t>
      </w:r>
    </w:p>
    <w:p w:rsidR="008742E9" w:rsidRPr="008742E9" w:rsidRDefault="008742E9" w:rsidP="008742E9">
      <w:pPr>
        <w:jc w:val="center"/>
        <w:rPr>
          <w:rFonts w:eastAsia="Calibri"/>
          <w:b/>
          <w:color w:val="333333"/>
          <w:sz w:val="24"/>
          <w:szCs w:val="24"/>
          <w:shd w:val="clear" w:color="auto" w:fill="FFFFFF"/>
          <w:lang w:val="en-US" w:eastAsia="en-US"/>
        </w:rPr>
      </w:pPr>
      <w:r w:rsidRPr="008742E9">
        <w:rPr>
          <w:rFonts w:eastAsia="Calibri"/>
          <w:b/>
          <w:color w:val="333333"/>
          <w:sz w:val="24"/>
          <w:szCs w:val="24"/>
          <w:shd w:val="clear" w:color="auto" w:fill="FFFFFF"/>
          <w:lang w:val="en-US" w:eastAsia="en-US"/>
        </w:rPr>
        <w:t>The pathogenesis and significance of apoptosis</w:t>
      </w:r>
    </w:p>
    <w:p w:rsidR="008742E9" w:rsidRPr="008742E9" w:rsidRDefault="008742E9" w:rsidP="008742E9">
      <w:pPr>
        <w:jc w:val="center"/>
        <w:rPr>
          <w:rFonts w:eastAsia="Calibri"/>
          <w:b/>
          <w:sz w:val="6"/>
          <w:szCs w:val="24"/>
          <w:lang w:val="en-US" w:eastAsia="en-US"/>
        </w:rPr>
      </w:pPr>
    </w:p>
    <w:p w:rsidR="008742E9" w:rsidRPr="008742E9" w:rsidRDefault="008742E9" w:rsidP="008742E9">
      <w:pPr>
        <w:jc w:val="right"/>
        <w:rPr>
          <w:rFonts w:eastAsia="Calibri"/>
          <w:sz w:val="14"/>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Деникина Е. И.,</w:t>
      </w:r>
    </w:p>
    <w:p w:rsidR="00EA11E0" w:rsidRDefault="008742E9" w:rsidP="008742E9">
      <w:pPr>
        <w:jc w:val="right"/>
        <w:rPr>
          <w:rFonts w:eastAsia="Calibri"/>
          <w:sz w:val="22"/>
          <w:szCs w:val="22"/>
          <w:lang w:eastAsia="en-US"/>
        </w:rPr>
      </w:pPr>
      <w:r w:rsidRPr="008742E9">
        <w:rPr>
          <w:rFonts w:eastAsia="Calibri"/>
          <w:sz w:val="22"/>
          <w:szCs w:val="22"/>
          <w:lang w:eastAsia="en-US"/>
        </w:rPr>
        <w:t>студентка 2-го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Кравченко В.</w:t>
      </w:r>
      <w:r w:rsidR="00EA11E0">
        <w:rPr>
          <w:rFonts w:eastAsia="Calibri"/>
          <w:sz w:val="22"/>
          <w:szCs w:val="22"/>
          <w:lang w:eastAsia="en-US"/>
        </w:rPr>
        <w:t xml:space="preserve"> </w:t>
      </w:r>
      <w:r w:rsidRPr="008742E9">
        <w:rPr>
          <w:rFonts w:eastAsia="Calibri"/>
          <w:sz w:val="22"/>
          <w:szCs w:val="22"/>
          <w:lang w:eastAsia="en-US"/>
        </w:rPr>
        <w:t>М.,</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анатомии,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ветеринарного акушерства и хирургии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w:t>
      </w:r>
      <w:r w:rsidR="00EA11E0">
        <w:rPr>
          <w:rFonts w:eastAsia="Calibri"/>
          <w:sz w:val="22"/>
          <w:szCs w:val="22"/>
          <w:lang w:eastAsia="en-US"/>
        </w:rPr>
        <w:t>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EA11E0">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both"/>
        <w:rPr>
          <w:rFonts w:eastAsia="Calibri"/>
          <w:sz w:val="12"/>
          <w:szCs w:val="22"/>
          <w:lang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АННОТАЦИЯ: Дано понятие, патогенез и значение апаптоза. </w:t>
      </w:r>
    </w:p>
    <w:p w:rsidR="008742E9" w:rsidRPr="008742E9" w:rsidRDefault="008742E9" w:rsidP="00EA11E0">
      <w:pPr>
        <w:ind w:firstLine="426"/>
        <w:jc w:val="both"/>
        <w:rPr>
          <w:rFonts w:eastAsia="Calibri"/>
          <w:sz w:val="24"/>
          <w:szCs w:val="24"/>
          <w:lang w:val="en-US" w:eastAsia="en-US"/>
        </w:rPr>
      </w:pPr>
      <w:r w:rsidRPr="008742E9">
        <w:rPr>
          <w:rFonts w:eastAsia="Calibri"/>
          <w:sz w:val="22"/>
          <w:szCs w:val="22"/>
          <w:lang w:val="en-US" w:eastAsia="en-US"/>
        </w:rPr>
        <w:t>ABSTRACT:</w:t>
      </w:r>
      <w:r w:rsidRPr="008742E9">
        <w:rPr>
          <w:rFonts w:ascii="Arial" w:eastAsia="Calibri" w:hAnsi="Arial" w:cs="Arial"/>
          <w:color w:val="333333"/>
          <w:sz w:val="21"/>
          <w:szCs w:val="21"/>
          <w:shd w:val="clear" w:color="auto" w:fill="FFFFFF"/>
          <w:lang w:val="en-US" w:eastAsia="en-US"/>
        </w:rPr>
        <w:t xml:space="preserve"> </w:t>
      </w:r>
      <w:r w:rsidRPr="008742E9">
        <w:rPr>
          <w:rFonts w:eastAsia="Calibri"/>
          <w:sz w:val="24"/>
          <w:szCs w:val="24"/>
          <w:shd w:val="clear" w:color="auto" w:fill="FFFFFF"/>
          <w:lang w:val="en-US" w:eastAsia="en-US"/>
        </w:rPr>
        <w:t>this concept, pathogenesis and significance of apoptosis.</w:t>
      </w:r>
      <w:r w:rsidRPr="008742E9">
        <w:rPr>
          <w:rFonts w:eastAsia="Calibri"/>
          <w:sz w:val="24"/>
          <w:szCs w:val="24"/>
          <w:lang w:val="en-US" w:eastAsia="en-US"/>
        </w:rPr>
        <w:t xml:space="preserve">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КЛЮЧЕНЫЕ СЛОВА: клетка, апоптоз, патогенез, каспазы. </w:t>
      </w:r>
    </w:p>
    <w:p w:rsidR="008742E9" w:rsidRPr="008D33CB" w:rsidRDefault="008742E9" w:rsidP="00EA11E0">
      <w:pPr>
        <w:ind w:firstLine="426"/>
        <w:jc w:val="both"/>
        <w:rPr>
          <w:rFonts w:eastAsia="Calibri"/>
          <w:sz w:val="24"/>
          <w:szCs w:val="24"/>
          <w:shd w:val="clear" w:color="auto" w:fill="FFFFFF"/>
          <w:lang w:val="en-US" w:eastAsia="en-US"/>
        </w:rPr>
      </w:pPr>
      <w:r w:rsidRPr="008742E9">
        <w:rPr>
          <w:rFonts w:eastAsia="Calibri"/>
          <w:sz w:val="22"/>
          <w:szCs w:val="22"/>
          <w:lang w:val="en-US" w:eastAsia="en-US"/>
        </w:rPr>
        <w:t xml:space="preserve">KEY WORDS: </w:t>
      </w:r>
      <w:r w:rsidRPr="008742E9">
        <w:rPr>
          <w:rFonts w:eastAsia="Calibri"/>
          <w:sz w:val="24"/>
          <w:szCs w:val="24"/>
          <w:shd w:val="clear" w:color="auto" w:fill="FFFFFF"/>
          <w:lang w:val="en-US" w:eastAsia="en-US"/>
        </w:rPr>
        <w:t>cell, apoptosis, pathogenesis, and caspases.</w:t>
      </w:r>
    </w:p>
    <w:p w:rsidR="00384DE6" w:rsidRPr="008D33CB" w:rsidRDefault="00384DE6" w:rsidP="00EA11E0">
      <w:pPr>
        <w:ind w:firstLine="426"/>
        <w:jc w:val="both"/>
        <w:rPr>
          <w:rFonts w:eastAsia="Calibri"/>
          <w:sz w:val="22"/>
          <w:szCs w:val="22"/>
          <w:lang w:val="en-US" w:eastAsia="en-US"/>
        </w:rPr>
      </w:pPr>
    </w:p>
    <w:p w:rsidR="008742E9" w:rsidRPr="008742E9" w:rsidRDefault="008742E9" w:rsidP="00EA11E0">
      <w:pPr>
        <w:ind w:firstLine="426"/>
        <w:jc w:val="both"/>
        <w:rPr>
          <w:rFonts w:eastAsia="Calibri"/>
          <w:sz w:val="4"/>
          <w:szCs w:val="22"/>
          <w:lang w:val="en-US" w:eastAsia="en-US"/>
        </w:rPr>
      </w:pP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Знание патогенеза апоптоза необходимо для правильного п</w:t>
      </w:r>
      <w:r w:rsidRPr="008742E9">
        <w:rPr>
          <w:rFonts w:eastAsia="Calibri"/>
          <w:sz w:val="22"/>
          <w:szCs w:val="22"/>
          <w:lang w:eastAsia="en-US"/>
        </w:rPr>
        <w:t>о</w:t>
      </w:r>
      <w:r w:rsidRPr="008742E9">
        <w:rPr>
          <w:rFonts w:eastAsia="Calibri"/>
          <w:sz w:val="22"/>
          <w:szCs w:val="22"/>
          <w:lang w:eastAsia="en-US"/>
        </w:rPr>
        <w:t>нимания механизмов саморегуляции и гибели клеток при заболев</w:t>
      </w:r>
      <w:r w:rsidRPr="008742E9">
        <w:rPr>
          <w:rFonts w:eastAsia="Calibri"/>
          <w:sz w:val="22"/>
          <w:szCs w:val="22"/>
          <w:lang w:eastAsia="en-US"/>
        </w:rPr>
        <w:t>а</w:t>
      </w:r>
      <w:r w:rsidRPr="008742E9">
        <w:rPr>
          <w:rFonts w:eastAsia="Calibri"/>
          <w:sz w:val="22"/>
          <w:szCs w:val="22"/>
          <w:lang w:eastAsia="en-US"/>
        </w:rPr>
        <w:t xml:space="preserve">ниях различной этиологии.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Явление апоптоза представляет собой форму гибели клетки, запрограммированную генетически, являющуюся необходимой для нормального существования организма,</w:t>
      </w:r>
      <w:r w:rsidRPr="008742E9">
        <w:rPr>
          <w:rFonts w:ascii="Calibri" w:eastAsia="Calibri" w:hAnsi="Calibri"/>
          <w:sz w:val="22"/>
          <w:szCs w:val="22"/>
          <w:lang w:eastAsia="en-US"/>
        </w:rPr>
        <w:t xml:space="preserve"> </w:t>
      </w:r>
      <w:r w:rsidRPr="008742E9">
        <w:rPr>
          <w:rFonts w:eastAsia="Calibri"/>
          <w:sz w:val="22"/>
          <w:szCs w:val="22"/>
          <w:lang w:eastAsia="en-US"/>
        </w:rPr>
        <w:t>в результате которого кле</w:t>
      </w:r>
      <w:r w:rsidRPr="008742E9">
        <w:rPr>
          <w:rFonts w:eastAsia="Calibri"/>
          <w:sz w:val="22"/>
          <w:szCs w:val="22"/>
          <w:lang w:eastAsia="en-US"/>
        </w:rPr>
        <w:t>т</w:t>
      </w:r>
      <w:r w:rsidRPr="008742E9">
        <w:rPr>
          <w:rFonts w:eastAsia="Calibri"/>
          <w:sz w:val="22"/>
          <w:szCs w:val="22"/>
          <w:lang w:eastAsia="en-US"/>
        </w:rPr>
        <w:t>ка распадается на отдельные ограниченные плазматической ме</w:t>
      </w:r>
      <w:r w:rsidRPr="008742E9">
        <w:rPr>
          <w:rFonts w:eastAsia="Calibri"/>
          <w:sz w:val="22"/>
          <w:szCs w:val="22"/>
          <w:lang w:eastAsia="en-US"/>
        </w:rPr>
        <w:t>м</w:t>
      </w:r>
      <w:r w:rsidRPr="008742E9">
        <w:rPr>
          <w:rFonts w:eastAsia="Calibri"/>
          <w:sz w:val="22"/>
          <w:szCs w:val="22"/>
          <w:lang w:eastAsia="en-US"/>
        </w:rPr>
        <w:t>браной апоптозные тельца. Благодаря данному явлению сохраняе</w:t>
      </w:r>
      <w:r w:rsidRPr="008742E9">
        <w:rPr>
          <w:rFonts w:eastAsia="Calibri"/>
          <w:sz w:val="22"/>
          <w:szCs w:val="22"/>
          <w:lang w:eastAsia="en-US"/>
        </w:rPr>
        <w:t>т</w:t>
      </w:r>
      <w:r w:rsidRPr="008742E9">
        <w:rPr>
          <w:rFonts w:eastAsia="Calibri"/>
          <w:sz w:val="22"/>
          <w:szCs w:val="22"/>
          <w:lang w:eastAsia="en-US"/>
        </w:rPr>
        <w:t>ся постоянство популяции клеток организма, обеспечивается пр</w:t>
      </w:r>
      <w:r w:rsidRPr="008742E9">
        <w:rPr>
          <w:rFonts w:eastAsia="Calibri"/>
          <w:sz w:val="22"/>
          <w:szCs w:val="22"/>
          <w:lang w:eastAsia="en-US"/>
        </w:rPr>
        <w:t>а</w:t>
      </w:r>
      <w:r w:rsidRPr="008742E9">
        <w:rPr>
          <w:rFonts w:eastAsia="Calibri"/>
          <w:sz w:val="22"/>
          <w:szCs w:val="22"/>
          <w:lang w:eastAsia="en-US"/>
        </w:rPr>
        <w:t>вильное соотношение клеток различных типов и удаление генет</w:t>
      </w:r>
      <w:r w:rsidRPr="008742E9">
        <w:rPr>
          <w:rFonts w:eastAsia="Calibri"/>
          <w:sz w:val="22"/>
          <w:szCs w:val="22"/>
          <w:lang w:eastAsia="en-US"/>
        </w:rPr>
        <w:t>и</w:t>
      </w:r>
      <w:r w:rsidRPr="008742E9">
        <w:rPr>
          <w:rFonts w:eastAsia="Calibri"/>
          <w:sz w:val="22"/>
          <w:szCs w:val="22"/>
          <w:lang w:eastAsia="en-US"/>
        </w:rPr>
        <w:t>чески непригодных клеток. Апоптоз является частью гомеостаза биологическог</w:t>
      </w:r>
      <w:r w:rsidR="00805CEB">
        <w:rPr>
          <w:rFonts w:eastAsia="Calibri"/>
          <w:sz w:val="22"/>
          <w:szCs w:val="22"/>
          <w:lang w:eastAsia="en-US"/>
        </w:rPr>
        <w:t>о организма - способом удаления</w:t>
      </w:r>
      <w:r w:rsidRPr="008742E9">
        <w:rPr>
          <w:rFonts w:eastAsia="Calibri"/>
          <w:sz w:val="22"/>
          <w:szCs w:val="22"/>
          <w:lang w:eastAsia="en-US"/>
        </w:rPr>
        <w:t xml:space="preserve"> ненужных или н</w:t>
      </w:r>
      <w:r w:rsidRPr="008742E9">
        <w:rPr>
          <w:rFonts w:eastAsia="Calibri"/>
          <w:sz w:val="22"/>
          <w:szCs w:val="22"/>
          <w:lang w:eastAsia="en-US"/>
        </w:rPr>
        <w:t>е</w:t>
      </w:r>
      <w:r w:rsidRPr="008742E9">
        <w:rPr>
          <w:rFonts w:eastAsia="Calibri"/>
          <w:sz w:val="22"/>
          <w:szCs w:val="22"/>
          <w:lang w:eastAsia="en-US"/>
        </w:rPr>
        <w:t>желательных для организма клеток [1,2,3].</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 процессе развития апоптоза ядро и цитоплазма клетки внач</w:t>
      </w:r>
      <w:r w:rsidRPr="008742E9">
        <w:rPr>
          <w:rFonts w:eastAsia="Calibri"/>
          <w:sz w:val="22"/>
          <w:szCs w:val="22"/>
          <w:lang w:eastAsia="en-US"/>
        </w:rPr>
        <w:t>а</w:t>
      </w:r>
      <w:r w:rsidRPr="008742E9">
        <w:rPr>
          <w:rFonts w:eastAsia="Calibri"/>
          <w:sz w:val="22"/>
          <w:szCs w:val="22"/>
          <w:lang w:eastAsia="en-US"/>
        </w:rPr>
        <w:t>ле  уплотняются и уменьшаются в размере, а затем фрагментирую</w:t>
      </w:r>
      <w:r w:rsidRPr="008742E9">
        <w:rPr>
          <w:rFonts w:eastAsia="Calibri"/>
          <w:sz w:val="22"/>
          <w:szCs w:val="22"/>
          <w:lang w:eastAsia="en-US"/>
        </w:rPr>
        <w:t>т</w:t>
      </w:r>
      <w:r w:rsidRPr="008742E9">
        <w:rPr>
          <w:rFonts w:eastAsia="Calibri"/>
          <w:sz w:val="22"/>
          <w:szCs w:val="22"/>
          <w:lang w:eastAsia="en-US"/>
        </w:rPr>
        <w:t>ся  на некоторое количество частей, называемых адиопотическими тельцами. В них содержатся элементы ядра, а также интактные о</w:t>
      </w:r>
      <w:r w:rsidRPr="008742E9">
        <w:rPr>
          <w:rFonts w:eastAsia="Calibri"/>
          <w:sz w:val="22"/>
          <w:szCs w:val="22"/>
          <w:lang w:eastAsia="en-US"/>
        </w:rPr>
        <w:t>р</w:t>
      </w:r>
      <w:r w:rsidRPr="008742E9">
        <w:rPr>
          <w:rFonts w:eastAsia="Calibri"/>
          <w:sz w:val="22"/>
          <w:szCs w:val="22"/>
          <w:lang w:eastAsia="en-US"/>
        </w:rPr>
        <w:t>ганеллы. Плазматическая мембрана становится узнаваемой для ф</w:t>
      </w:r>
      <w:r w:rsidRPr="008742E9">
        <w:rPr>
          <w:rFonts w:eastAsia="Calibri"/>
          <w:sz w:val="22"/>
          <w:szCs w:val="22"/>
          <w:lang w:eastAsia="en-US"/>
        </w:rPr>
        <w:t>а</w:t>
      </w:r>
      <w:r w:rsidRPr="008742E9">
        <w:rPr>
          <w:rFonts w:eastAsia="Calibri"/>
          <w:sz w:val="22"/>
          <w:szCs w:val="22"/>
          <w:lang w:eastAsia="en-US"/>
        </w:rPr>
        <w:lastRenderedPageBreak/>
        <w:t>гоцитов, поэтому макрофаги быстро поглощают такие тельца. В некоторых случаях тельца поглощаются окружающими их не фаг</w:t>
      </w:r>
      <w:r w:rsidRPr="008742E9">
        <w:rPr>
          <w:rFonts w:eastAsia="Calibri"/>
          <w:sz w:val="22"/>
          <w:szCs w:val="22"/>
          <w:lang w:eastAsia="en-US"/>
        </w:rPr>
        <w:t>о</w:t>
      </w:r>
      <w:r w:rsidRPr="008742E9">
        <w:rPr>
          <w:rFonts w:eastAsia="Calibri"/>
          <w:sz w:val="22"/>
          <w:szCs w:val="22"/>
          <w:lang w:eastAsia="en-US"/>
        </w:rPr>
        <w:t>цитарными клетками. Мембраны клеток сохраняют свою структу</w:t>
      </w:r>
      <w:r w:rsidRPr="008742E9">
        <w:rPr>
          <w:rFonts w:eastAsia="Calibri"/>
          <w:sz w:val="22"/>
          <w:szCs w:val="22"/>
          <w:lang w:eastAsia="en-US"/>
        </w:rPr>
        <w:t>р</w:t>
      </w:r>
      <w:r w:rsidRPr="008742E9">
        <w:rPr>
          <w:rFonts w:eastAsia="Calibri"/>
          <w:sz w:val="22"/>
          <w:szCs w:val="22"/>
          <w:lang w:eastAsia="en-US"/>
        </w:rPr>
        <w:t>ную целостность, содержимое цитоплазмы не выходит во внекл</w:t>
      </w:r>
      <w:r w:rsidRPr="008742E9">
        <w:rPr>
          <w:rFonts w:eastAsia="Calibri"/>
          <w:sz w:val="22"/>
          <w:szCs w:val="22"/>
          <w:lang w:eastAsia="en-US"/>
        </w:rPr>
        <w:t>е</w:t>
      </w:r>
      <w:r w:rsidRPr="008742E9">
        <w:rPr>
          <w:rFonts w:eastAsia="Calibri"/>
          <w:sz w:val="22"/>
          <w:szCs w:val="22"/>
          <w:lang w:eastAsia="en-US"/>
        </w:rPr>
        <w:t>точную среду и процесс воспаления не развивается. Апоптоз не приводит к структурным и функциональным нарушениям ткани.</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Процесс апоптоза происходит в два этапа: формирование и проведение адиопотических сигналов и демонтаж клеточных стру</w:t>
      </w:r>
      <w:r w:rsidRPr="008742E9">
        <w:rPr>
          <w:rFonts w:eastAsia="Calibri"/>
          <w:sz w:val="22"/>
          <w:szCs w:val="22"/>
          <w:lang w:eastAsia="en-US"/>
        </w:rPr>
        <w:t>к</w:t>
      </w:r>
      <w:r w:rsidRPr="008742E9">
        <w:rPr>
          <w:rFonts w:eastAsia="Calibri"/>
          <w:sz w:val="22"/>
          <w:szCs w:val="22"/>
          <w:lang w:eastAsia="en-US"/>
        </w:rPr>
        <w:t>тур.</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Гибель клетки достигается различными сложными взаимоде</w:t>
      </w:r>
      <w:r w:rsidRPr="008742E9">
        <w:rPr>
          <w:rFonts w:eastAsia="Calibri"/>
          <w:sz w:val="22"/>
          <w:szCs w:val="22"/>
          <w:lang w:eastAsia="en-US"/>
        </w:rPr>
        <w:t>й</w:t>
      </w:r>
      <w:r w:rsidRPr="008742E9">
        <w:rPr>
          <w:rFonts w:eastAsia="Calibri"/>
          <w:sz w:val="22"/>
          <w:szCs w:val="22"/>
          <w:lang w:eastAsia="en-US"/>
        </w:rPr>
        <w:t>ствиями большой группы веществ,  в первую очередь особых пр</w:t>
      </w:r>
      <w:r w:rsidRPr="008742E9">
        <w:rPr>
          <w:rFonts w:eastAsia="Calibri"/>
          <w:sz w:val="22"/>
          <w:szCs w:val="22"/>
          <w:lang w:eastAsia="en-US"/>
        </w:rPr>
        <w:t>о</w:t>
      </w:r>
      <w:r w:rsidRPr="008742E9">
        <w:rPr>
          <w:rFonts w:eastAsia="Calibri"/>
          <w:sz w:val="22"/>
          <w:szCs w:val="22"/>
          <w:lang w:eastAsia="en-US"/>
        </w:rPr>
        <w:t>теаз – каспаз. Каспазы расположены в цитоплазме клетки в неа</w:t>
      </w:r>
      <w:r w:rsidRPr="008742E9">
        <w:rPr>
          <w:rFonts w:eastAsia="Calibri"/>
          <w:sz w:val="22"/>
          <w:szCs w:val="22"/>
          <w:lang w:eastAsia="en-US"/>
        </w:rPr>
        <w:t>к</w:t>
      </w:r>
      <w:r w:rsidRPr="008742E9">
        <w:rPr>
          <w:rFonts w:eastAsia="Calibri"/>
          <w:sz w:val="22"/>
          <w:szCs w:val="22"/>
          <w:lang w:eastAsia="en-US"/>
        </w:rPr>
        <w:t xml:space="preserve">тивном состоянии. При активации они расщепляют белки в местах расположения аспаргиновых кислот.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Каспазы имеют три составляющие части: </w:t>
      </w:r>
      <w:proofErr w:type="gramStart"/>
      <w:r w:rsidRPr="008742E9">
        <w:rPr>
          <w:rFonts w:eastAsia="Calibri"/>
          <w:sz w:val="22"/>
          <w:szCs w:val="22"/>
          <w:lang w:val="en-US" w:eastAsia="en-US"/>
        </w:rPr>
        <w:t>N</w:t>
      </w:r>
      <w:r w:rsidRPr="008742E9">
        <w:rPr>
          <w:rFonts w:eastAsia="Calibri"/>
          <w:sz w:val="22"/>
          <w:szCs w:val="22"/>
          <w:lang w:eastAsia="en-US"/>
        </w:rPr>
        <w:t>-концевой домен, большая субъединица, малая субъединица.</w:t>
      </w:r>
      <w:proofErr w:type="gramEnd"/>
      <w:r w:rsidRPr="008742E9">
        <w:rPr>
          <w:rFonts w:eastAsia="Calibri"/>
          <w:sz w:val="22"/>
          <w:szCs w:val="22"/>
          <w:lang w:eastAsia="en-US"/>
        </w:rPr>
        <w:t xml:space="preserve"> Активация каспаз пр</w:t>
      </w:r>
      <w:r w:rsidRPr="008742E9">
        <w:rPr>
          <w:rFonts w:eastAsia="Calibri"/>
          <w:sz w:val="22"/>
          <w:szCs w:val="22"/>
          <w:lang w:eastAsia="en-US"/>
        </w:rPr>
        <w:t>о</w:t>
      </w:r>
      <w:r w:rsidRPr="008742E9">
        <w:rPr>
          <w:rFonts w:eastAsia="Calibri"/>
          <w:sz w:val="22"/>
          <w:szCs w:val="22"/>
          <w:lang w:eastAsia="en-US"/>
        </w:rPr>
        <w:t xml:space="preserve">исходит путем протеолитического отщепления N-концевого домена с ассоциированием субъединиц в гетеродимер и формированием активного центра.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Основными направлениями разрушительного действия каспаз на клетку являются:</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1. Инактивация ингибиторов адиопотических белков.</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2. Прямое расщепление структурных белков клетки.</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3. Нарушение регуляции белкового синтеза.</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4. Инактивация белков, вовлеченных в репарацию ДНК, обр</w:t>
      </w:r>
      <w:r w:rsidRPr="008742E9">
        <w:rPr>
          <w:rFonts w:eastAsia="Calibri"/>
          <w:sz w:val="22"/>
          <w:szCs w:val="22"/>
          <w:lang w:eastAsia="en-US"/>
        </w:rPr>
        <w:t>а</w:t>
      </w:r>
      <w:r w:rsidRPr="008742E9">
        <w:rPr>
          <w:rFonts w:eastAsia="Calibri"/>
          <w:sz w:val="22"/>
          <w:szCs w:val="22"/>
          <w:lang w:eastAsia="en-US"/>
        </w:rPr>
        <w:t>зование РНК, репликация ДНК.</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Выделяют два связанных между собой механизма активации каспаз:</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 xml:space="preserve"> 1 – на поверхности неповрежденной клетки расположены «р</w:t>
      </w:r>
      <w:r w:rsidRPr="008742E9">
        <w:rPr>
          <w:rFonts w:eastAsia="Calibri"/>
          <w:sz w:val="22"/>
          <w:szCs w:val="22"/>
          <w:lang w:eastAsia="en-US"/>
        </w:rPr>
        <w:t>е</w:t>
      </w:r>
      <w:r w:rsidRPr="008742E9">
        <w:rPr>
          <w:rFonts w:eastAsia="Calibri"/>
          <w:sz w:val="22"/>
          <w:szCs w:val="22"/>
          <w:lang w:eastAsia="en-US"/>
        </w:rPr>
        <w:t>цепторы смерти». Цитокинами являются белки, регулирующие дифференцировку и пролиферацию специфических рецепторов на клетках-мишенях, посредством связывания с ними. При взаимоде</w:t>
      </w:r>
      <w:r w:rsidRPr="008742E9">
        <w:rPr>
          <w:rFonts w:eastAsia="Calibri"/>
          <w:sz w:val="22"/>
          <w:szCs w:val="22"/>
          <w:lang w:eastAsia="en-US"/>
        </w:rPr>
        <w:t>й</w:t>
      </w:r>
      <w:r w:rsidRPr="008742E9">
        <w:rPr>
          <w:rFonts w:eastAsia="Calibri"/>
          <w:sz w:val="22"/>
          <w:szCs w:val="22"/>
          <w:lang w:eastAsia="en-US"/>
        </w:rPr>
        <w:t xml:space="preserve">ствии специфического рецептора с экстрацеллюлярным «белком смерти» запускается процесс апоптоза;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2 – митохондриальный механизм для патологически измене</w:t>
      </w:r>
      <w:r w:rsidRPr="008742E9">
        <w:rPr>
          <w:rFonts w:eastAsia="Calibri"/>
          <w:sz w:val="22"/>
          <w:szCs w:val="22"/>
          <w:lang w:eastAsia="en-US"/>
        </w:rPr>
        <w:t>н</w:t>
      </w:r>
      <w:r w:rsidR="00384DE6">
        <w:rPr>
          <w:rFonts w:eastAsia="Calibri"/>
          <w:sz w:val="22"/>
          <w:szCs w:val="22"/>
          <w:lang w:eastAsia="en-US"/>
        </w:rPr>
        <w:t>ных клеток.</w:t>
      </w:r>
      <w:r w:rsidRPr="008742E9">
        <w:rPr>
          <w:rFonts w:eastAsia="Calibri"/>
          <w:sz w:val="22"/>
          <w:szCs w:val="22"/>
          <w:lang w:eastAsia="en-US"/>
        </w:rPr>
        <w:t xml:space="preserve"> Данный механизм инициируется воздействием цит</w:t>
      </w:r>
      <w:r w:rsidRPr="008742E9">
        <w:rPr>
          <w:rFonts w:eastAsia="Calibri"/>
          <w:sz w:val="22"/>
          <w:szCs w:val="22"/>
          <w:lang w:eastAsia="en-US"/>
        </w:rPr>
        <w:t>о</w:t>
      </w:r>
      <w:r w:rsidRPr="008742E9">
        <w:rPr>
          <w:rFonts w:eastAsia="Calibri"/>
          <w:sz w:val="22"/>
          <w:szCs w:val="22"/>
          <w:lang w:eastAsia="en-US"/>
        </w:rPr>
        <w:t>токсических агентов или повреждением ДНК, что выявляет патол</w:t>
      </w:r>
      <w:r w:rsidRPr="008742E9">
        <w:rPr>
          <w:rFonts w:eastAsia="Calibri"/>
          <w:sz w:val="22"/>
          <w:szCs w:val="22"/>
          <w:lang w:eastAsia="en-US"/>
        </w:rPr>
        <w:t>о</w:t>
      </w:r>
      <w:r w:rsidRPr="008742E9">
        <w:rPr>
          <w:rFonts w:eastAsia="Calibri"/>
          <w:sz w:val="22"/>
          <w:szCs w:val="22"/>
          <w:lang w:eastAsia="en-US"/>
        </w:rPr>
        <w:t xml:space="preserve">гически измененные клетки.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lastRenderedPageBreak/>
        <w:t>С усилением апоптоза связаны различные опухолевые забол</w:t>
      </w:r>
      <w:r w:rsidRPr="008742E9">
        <w:rPr>
          <w:rFonts w:eastAsia="Calibri"/>
          <w:sz w:val="22"/>
          <w:szCs w:val="22"/>
          <w:lang w:eastAsia="en-US"/>
        </w:rPr>
        <w:t>е</w:t>
      </w:r>
      <w:r w:rsidRPr="008742E9">
        <w:rPr>
          <w:rFonts w:eastAsia="Calibri"/>
          <w:sz w:val="22"/>
          <w:szCs w:val="22"/>
          <w:lang w:eastAsia="en-US"/>
        </w:rPr>
        <w:t>вания: рак молочной и предстательной желез, яичников, фоллик</w:t>
      </w:r>
      <w:r w:rsidRPr="008742E9">
        <w:rPr>
          <w:rFonts w:eastAsia="Calibri"/>
          <w:sz w:val="22"/>
          <w:szCs w:val="22"/>
          <w:lang w:eastAsia="en-US"/>
        </w:rPr>
        <w:t>у</w:t>
      </w:r>
      <w:r w:rsidRPr="008742E9">
        <w:rPr>
          <w:rFonts w:eastAsia="Calibri"/>
          <w:sz w:val="22"/>
          <w:szCs w:val="22"/>
          <w:lang w:eastAsia="en-US"/>
        </w:rPr>
        <w:t>лярная лимфома; различные аутоиммунные заболевания: гломер</w:t>
      </w:r>
      <w:r w:rsidRPr="008742E9">
        <w:rPr>
          <w:rFonts w:eastAsia="Calibri"/>
          <w:sz w:val="22"/>
          <w:szCs w:val="22"/>
          <w:lang w:eastAsia="en-US"/>
        </w:rPr>
        <w:t>у</w:t>
      </w:r>
      <w:r w:rsidRPr="008742E9">
        <w:rPr>
          <w:rFonts w:eastAsia="Calibri"/>
          <w:sz w:val="22"/>
          <w:szCs w:val="22"/>
          <w:lang w:eastAsia="en-US"/>
        </w:rPr>
        <w:t>лонефрит, системная красная волчанка; вирусные заболевания, в</w:t>
      </w:r>
      <w:r w:rsidRPr="008742E9">
        <w:rPr>
          <w:rFonts w:eastAsia="Calibri"/>
          <w:sz w:val="22"/>
          <w:szCs w:val="22"/>
          <w:lang w:eastAsia="en-US"/>
        </w:rPr>
        <w:t>ы</w:t>
      </w:r>
      <w:r w:rsidRPr="008742E9">
        <w:rPr>
          <w:rFonts w:eastAsia="Calibri"/>
          <w:sz w:val="22"/>
          <w:szCs w:val="22"/>
          <w:lang w:eastAsia="en-US"/>
        </w:rPr>
        <w:t>зываемые вирусом герпеса, поксовирусами, аденовирусом.</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С ингибированием апоптоза связаны такие заболевания как: синдром приобретенного иммунодефицита; различные нейродег</w:t>
      </w:r>
      <w:r w:rsidRPr="008742E9">
        <w:rPr>
          <w:rFonts w:eastAsia="Calibri"/>
          <w:sz w:val="22"/>
          <w:szCs w:val="22"/>
          <w:lang w:eastAsia="en-US"/>
        </w:rPr>
        <w:t>е</w:t>
      </w:r>
      <w:r w:rsidRPr="008742E9">
        <w:rPr>
          <w:rFonts w:eastAsia="Calibri"/>
          <w:sz w:val="22"/>
          <w:szCs w:val="22"/>
          <w:lang w:eastAsia="en-US"/>
        </w:rPr>
        <w:t>неративные заболевания: болезнь Паркинсона,  болезнь Альцгейм</w:t>
      </w:r>
      <w:r w:rsidRPr="008742E9">
        <w:rPr>
          <w:rFonts w:eastAsia="Calibri"/>
          <w:sz w:val="22"/>
          <w:szCs w:val="22"/>
          <w:lang w:eastAsia="en-US"/>
        </w:rPr>
        <w:t>е</w:t>
      </w:r>
      <w:r w:rsidRPr="008742E9">
        <w:rPr>
          <w:rFonts w:eastAsia="Calibri"/>
          <w:sz w:val="22"/>
          <w:szCs w:val="22"/>
          <w:lang w:eastAsia="en-US"/>
        </w:rPr>
        <w:t>ра, апластическая анемия, мозжечковые дегенерации.</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Изучение регуляции этапов апоптоза позволяет воздействовать на них, корректируя  или регулируя их. В настоящее время считае</w:t>
      </w:r>
      <w:r w:rsidRPr="008742E9">
        <w:rPr>
          <w:rFonts w:eastAsia="Calibri"/>
          <w:sz w:val="22"/>
          <w:szCs w:val="22"/>
          <w:lang w:eastAsia="en-US"/>
        </w:rPr>
        <w:t>т</w:t>
      </w:r>
      <w:r w:rsidRPr="008742E9">
        <w:rPr>
          <w:rFonts w:eastAsia="Calibri"/>
          <w:sz w:val="22"/>
          <w:szCs w:val="22"/>
          <w:lang w:eastAsia="en-US"/>
        </w:rPr>
        <w:t>ся, что если клетка погибла вследствие апоптоза, то терапевтич</w:t>
      </w:r>
      <w:r w:rsidRPr="008742E9">
        <w:rPr>
          <w:rFonts w:eastAsia="Calibri"/>
          <w:sz w:val="22"/>
          <w:szCs w:val="22"/>
          <w:lang w:eastAsia="en-US"/>
        </w:rPr>
        <w:t>е</w:t>
      </w:r>
      <w:r w:rsidRPr="008742E9">
        <w:rPr>
          <w:rFonts w:eastAsia="Calibri"/>
          <w:sz w:val="22"/>
          <w:szCs w:val="22"/>
          <w:lang w:eastAsia="en-US"/>
        </w:rPr>
        <w:t>ское воздействие возможно, а если вследствие некроза – невозмо</w:t>
      </w:r>
      <w:r w:rsidRPr="008742E9">
        <w:rPr>
          <w:rFonts w:eastAsia="Calibri"/>
          <w:sz w:val="22"/>
          <w:szCs w:val="22"/>
          <w:lang w:eastAsia="en-US"/>
        </w:rPr>
        <w:t>ж</w:t>
      </w:r>
      <w:r w:rsidRPr="008742E9">
        <w:rPr>
          <w:rFonts w:eastAsia="Calibri"/>
          <w:sz w:val="22"/>
          <w:szCs w:val="22"/>
          <w:lang w:eastAsia="en-US"/>
        </w:rPr>
        <w:t xml:space="preserve">но. </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 настоящее время применяется широкий ряд препаратов, р</w:t>
      </w:r>
      <w:r w:rsidRPr="008742E9">
        <w:rPr>
          <w:rFonts w:eastAsia="Calibri"/>
          <w:sz w:val="22"/>
          <w:szCs w:val="22"/>
          <w:lang w:eastAsia="en-US"/>
        </w:rPr>
        <w:t>е</w:t>
      </w:r>
      <w:r w:rsidRPr="008742E9">
        <w:rPr>
          <w:rFonts w:eastAsia="Calibri"/>
          <w:sz w:val="22"/>
          <w:szCs w:val="22"/>
          <w:lang w:eastAsia="en-US"/>
        </w:rPr>
        <w:t>гулирующих процесс апоптоза. Действие большинства цитотокс</w:t>
      </w:r>
      <w:r w:rsidRPr="008742E9">
        <w:rPr>
          <w:rFonts w:eastAsia="Calibri"/>
          <w:sz w:val="22"/>
          <w:szCs w:val="22"/>
          <w:lang w:eastAsia="en-US"/>
        </w:rPr>
        <w:t>и</w:t>
      </w:r>
      <w:r w:rsidRPr="008742E9">
        <w:rPr>
          <w:rFonts w:eastAsia="Calibri"/>
          <w:sz w:val="22"/>
          <w:szCs w:val="22"/>
          <w:lang w:eastAsia="en-US"/>
        </w:rPr>
        <w:t>ческих химиопрепаратов, ингибиторов топонтомераз, антиметаб</w:t>
      </w:r>
      <w:r w:rsidRPr="008742E9">
        <w:rPr>
          <w:rFonts w:eastAsia="Calibri"/>
          <w:sz w:val="22"/>
          <w:szCs w:val="22"/>
          <w:lang w:eastAsia="en-US"/>
        </w:rPr>
        <w:t>о</w:t>
      </w:r>
      <w:r w:rsidRPr="008742E9">
        <w:rPr>
          <w:rFonts w:eastAsia="Calibri"/>
          <w:sz w:val="22"/>
          <w:szCs w:val="22"/>
          <w:lang w:eastAsia="en-US"/>
        </w:rPr>
        <w:t>литов нуклеиновых кислот осуществляется через индукцию апопт</w:t>
      </w:r>
      <w:r w:rsidRPr="008742E9">
        <w:rPr>
          <w:rFonts w:eastAsia="Calibri"/>
          <w:sz w:val="22"/>
          <w:szCs w:val="22"/>
          <w:lang w:eastAsia="en-US"/>
        </w:rPr>
        <w:t>о</w:t>
      </w:r>
      <w:r w:rsidRPr="008742E9">
        <w:rPr>
          <w:rFonts w:eastAsia="Calibri"/>
          <w:sz w:val="22"/>
          <w:szCs w:val="22"/>
          <w:lang w:eastAsia="en-US"/>
        </w:rPr>
        <w:t xml:space="preserve">за. Для лечения рака предстательной железы применяют </w:t>
      </w:r>
      <w:proofErr w:type="gramStart"/>
      <w:r w:rsidRPr="008742E9">
        <w:rPr>
          <w:rFonts w:eastAsia="Calibri"/>
          <w:sz w:val="22"/>
          <w:szCs w:val="22"/>
          <w:lang w:eastAsia="en-US"/>
        </w:rPr>
        <w:t>андроген-блокирующую</w:t>
      </w:r>
      <w:proofErr w:type="gramEnd"/>
      <w:r w:rsidRPr="008742E9">
        <w:rPr>
          <w:rFonts w:eastAsia="Calibri"/>
          <w:sz w:val="22"/>
          <w:szCs w:val="22"/>
          <w:lang w:eastAsia="en-US"/>
        </w:rPr>
        <w:t xml:space="preserve"> терапию. Регрессия рака молочной железы часто наступает благодаря применению антагонистов эстрогеновых р</w:t>
      </w:r>
      <w:r w:rsidRPr="008742E9">
        <w:rPr>
          <w:rFonts w:eastAsia="Calibri"/>
          <w:sz w:val="22"/>
          <w:szCs w:val="22"/>
          <w:lang w:eastAsia="en-US"/>
        </w:rPr>
        <w:t>е</w:t>
      </w:r>
      <w:r w:rsidRPr="008742E9">
        <w:rPr>
          <w:rFonts w:eastAsia="Calibri"/>
          <w:sz w:val="22"/>
          <w:szCs w:val="22"/>
          <w:lang w:eastAsia="en-US"/>
        </w:rPr>
        <w:t>цепторов.</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t>В ближайшие время, для предупреждения и лечения различных заболеваний, можно ожидать появления новых лекарственных пр</w:t>
      </w:r>
      <w:r w:rsidRPr="008742E9">
        <w:rPr>
          <w:rFonts w:eastAsia="Calibri"/>
          <w:sz w:val="22"/>
          <w:szCs w:val="22"/>
          <w:lang w:eastAsia="en-US"/>
        </w:rPr>
        <w:t>е</w:t>
      </w:r>
      <w:r w:rsidRPr="008742E9">
        <w:rPr>
          <w:rFonts w:eastAsia="Calibri"/>
          <w:sz w:val="22"/>
          <w:szCs w:val="22"/>
          <w:lang w:eastAsia="en-US"/>
        </w:rPr>
        <w:t>паратов. В основе их действия  будет заложен принцип регуляции процессов апоптоза. Перспективными являются также подходы, связанные с регуляцией апоптоз-специфических генов и реализу</w:t>
      </w:r>
      <w:r w:rsidRPr="008742E9">
        <w:rPr>
          <w:rFonts w:eastAsia="Calibri"/>
          <w:sz w:val="22"/>
          <w:szCs w:val="22"/>
          <w:lang w:eastAsia="en-US"/>
        </w:rPr>
        <w:t>ю</w:t>
      </w:r>
      <w:r w:rsidRPr="008742E9">
        <w:rPr>
          <w:rFonts w:eastAsia="Calibri"/>
          <w:sz w:val="22"/>
          <w:szCs w:val="22"/>
          <w:lang w:eastAsia="en-US"/>
        </w:rPr>
        <w:t>щиеся,  в генной терапии, которая является одной из самых иннов</w:t>
      </w:r>
      <w:r w:rsidRPr="008742E9">
        <w:rPr>
          <w:rFonts w:eastAsia="Calibri"/>
          <w:sz w:val="22"/>
          <w:szCs w:val="22"/>
          <w:lang w:eastAsia="en-US"/>
        </w:rPr>
        <w:t>а</w:t>
      </w:r>
      <w:r w:rsidRPr="008742E9">
        <w:rPr>
          <w:rFonts w:eastAsia="Calibri"/>
          <w:sz w:val="22"/>
          <w:szCs w:val="22"/>
          <w:lang w:eastAsia="en-US"/>
        </w:rPr>
        <w:t>ционных областей современной медицины, при лечении заболев</w:t>
      </w:r>
      <w:r w:rsidRPr="008742E9">
        <w:rPr>
          <w:rFonts w:eastAsia="Calibri"/>
          <w:sz w:val="22"/>
          <w:szCs w:val="22"/>
          <w:lang w:eastAsia="en-US"/>
        </w:rPr>
        <w:t>а</w:t>
      </w:r>
      <w:r w:rsidRPr="008742E9">
        <w:rPr>
          <w:rFonts w:eastAsia="Calibri"/>
          <w:sz w:val="22"/>
          <w:szCs w:val="22"/>
          <w:lang w:eastAsia="en-US"/>
        </w:rPr>
        <w:t>ний, вызванных нарушением функции отдельных генов.</w:t>
      </w:r>
    </w:p>
    <w:p w:rsidR="008742E9" w:rsidRPr="008742E9" w:rsidRDefault="008742E9" w:rsidP="00EA11E0">
      <w:pPr>
        <w:spacing w:before="120"/>
        <w:ind w:firstLine="426"/>
        <w:jc w:val="center"/>
        <w:rPr>
          <w:rFonts w:eastAsia="Calibri"/>
          <w:sz w:val="24"/>
          <w:szCs w:val="22"/>
          <w:lang w:eastAsia="en-US"/>
        </w:rPr>
      </w:pPr>
      <w:r w:rsidRPr="008742E9">
        <w:rPr>
          <w:rFonts w:eastAsia="Calibri"/>
          <w:sz w:val="22"/>
          <w:szCs w:val="22"/>
          <w:lang w:eastAsia="en-US"/>
        </w:rPr>
        <w:t>Список</w:t>
      </w:r>
      <w:r w:rsidRPr="008742E9">
        <w:rPr>
          <w:rFonts w:eastAsia="Calibri"/>
          <w:sz w:val="24"/>
          <w:szCs w:val="22"/>
          <w:lang w:eastAsia="en-US"/>
        </w:rPr>
        <w:t xml:space="preserve"> </w:t>
      </w:r>
      <w:r w:rsidRPr="008742E9">
        <w:rPr>
          <w:rFonts w:eastAsia="Calibri"/>
          <w:sz w:val="22"/>
          <w:szCs w:val="22"/>
          <w:lang w:eastAsia="en-US"/>
        </w:rPr>
        <w:t>литературы</w:t>
      </w:r>
    </w:p>
    <w:p w:rsidR="008742E9" w:rsidRPr="008742E9" w:rsidRDefault="008742E9" w:rsidP="00EA11E0">
      <w:pPr>
        <w:tabs>
          <w:tab w:val="left" w:pos="470"/>
        </w:tabs>
        <w:autoSpaceDE w:val="0"/>
        <w:autoSpaceDN w:val="0"/>
        <w:adjustRightInd w:val="0"/>
        <w:ind w:firstLine="426"/>
        <w:jc w:val="both"/>
        <w:rPr>
          <w:sz w:val="22"/>
          <w:szCs w:val="22"/>
        </w:rPr>
      </w:pPr>
      <w:r w:rsidRPr="008742E9">
        <w:rPr>
          <w:iCs/>
          <w:spacing w:val="10"/>
          <w:sz w:val="22"/>
          <w:szCs w:val="22"/>
        </w:rPr>
        <w:t>1.</w:t>
      </w:r>
      <w:r w:rsidRPr="008742E9">
        <w:rPr>
          <w:sz w:val="22"/>
          <w:szCs w:val="22"/>
        </w:rPr>
        <w:t>Владимирская Е. Б. Механизмы апоптотической смерти кл</w:t>
      </w:r>
      <w:r w:rsidRPr="008742E9">
        <w:rPr>
          <w:sz w:val="22"/>
          <w:szCs w:val="22"/>
        </w:rPr>
        <w:t>е</w:t>
      </w:r>
      <w:r w:rsidRPr="008742E9">
        <w:rPr>
          <w:sz w:val="22"/>
          <w:szCs w:val="22"/>
        </w:rPr>
        <w:t>ток / Е. Б. Владимирская // Гематология и трансфузиология. – 2002. – Т. 47, № 2. – С. 35-40.</w:t>
      </w:r>
    </w:p>
    <w:p w:rsidR="008742E9" w:rsidRPr="008742E9" w:rsidRDefault="008742E9" w:rsidP="00EA11E0">
      <w:pPr>
        <w:tabs>
          <w:tab w:val="left" w:pos="470"/>
        </w:tabs>
        <w:autoSpaceDE w:val="0"/>
        <w:autoSpaceDN w:val="0"/>
        <w:adjustRightInd w:val="0"/>
        <w:ind w:firstLine="426"/>
        <w:jc w:val="both"/>
        <w:rPr>
          <w:sz w:val="22"/>
          <w:szCs w:val="16"/>
        </w:rPr>
      </w:pPr>
      <w:r w:rsidRPr="008742E9">
        <w:rPr>
          <w:iCs/>
          <w:spacing w:val="10"/>
          <w:sz w:val="22"/>
          <w:szCs w:val="16"/>
        </w:rPr>
        <w:t xml:space="preserve">2. </w:t>
      </w:r>
      <w:r w:rsidRPr="008742E9">
        <w:rPr>
          <w:sz w:val="22"/>
          <w:szCs w:val="16"/>
        </w:rPr>
        <w:t>Григорьев М. Ю. Апоптоз в норме и патологии / М. Ю. Гр</w:t>
      </w:r>
      <w:r w:rsidRPr="008742E9">
        <w:rPr>
          <w:sz w:val="22"/>
          <w:szCs w:val="16"/>
        </w:rPr>
        <w:t>и</w:t>
      </w:r>
      <w:r w:rsidRPr="008742E9">
        <w:rPr>
          <w:sz w:val="22"/>
          <w:szCs w:val="16"/>
        </w:rPr>
        <w:t>горьев, Е. Н. Имянитов, К. П. Хансон // Медицинский академич</w:t>
      </w:r>
      <w:r w:rsidRPr="008742E9">
        <w:rPr>
          <w:sz w:val="22"/>
          <w:szCs w:val="16"/>
        </w:rPr>
        <w:t>е</w:t>
      </w:r>
      <w:r w:rsidRPr="008742E9">
        <w:rPr>
          <w:sz w:val="22"/>
          <w:szCs w:val="16"/>
        </w:rPr>
        <w:t>ский журнал. – 2003. – Т. 3, № 3. – С. 3-11.</w:t>
      </w:r>
    </w:p>
    <w:p w:rsidR="008742E9" w:rsidRPr="008742E9" w:rsidRDefault="008742E9" w:rsidP="00EA11E0">
      <w:pPr>
        <w:ind w:firstLine="426"/>
        <w:jc w:val="both"/>
        <w:rPr>
          <w:rFonts w:eastAsia="Calibri"/>
          <w:sz w:val="22"/>
          <w:szCs w:val="22"/>
          <w:lang w:eastAsia="en-US"/>
        </w:rPr>
      </w:pPr>
      <w:r w:rsidRPr="008742E9">
        <w:rPr>
          <w:rFonts w:eastAsia="Calibri"/>
          <w:sz w:val="22"/>
          <w:szCs w:val="22"/>
          <w:lang w:eastAsia="en-US"/>
        </w:rPr>
        <w:lastRenderedPageBreak/>
        <w:t>3. Нагорнев В. А. Апоптоз и его роль в атерогенезе / В. А. Нагорнев, А. Н. Восканьянц // Медицинский академический жу</w:t>
      </w:r>
      <w:r w:rsidRPr="008742E9">
        <w:rPr>
          <w:rFonts w:eastAsia="Calibri"/>
          <w:sz w:val="22"/>
          <w:szCs w:val="22"/>
          <w:lang w:eastAsia="en-US"/>
        </w:rPr>
        <w:t>р</w:t>
      </w:r>
      <w:r w:rsidRPr="008742E9">
        <w:rPr>
          <w:rFonts w:eastAsia="Calibri"/>
          <w:sz w:val="22"/>
          <w:szCs w:val="22"/>
          <w:lang w:eastAsia="en-US"/>
        </w:rPr>
        <w:t>нал. – 2003. – Т. 3, № 4. – С. 3-18.</w:t>
      </w:r>
    </w:p>
    <w:p w:rsidR="008742E9" w:rsidRDefault="008742E9" w:rsidP="008742E9">
      <w:pPr>
        <w:jc w:val="both"/>
        <w:rPr>
          <w:rFonts w:eastAsia="Calibri"/>
          <w:sz w:val="24"/>
          <w:szCs w:val="24"/>
          <w:lang w:eastAsia="en-US"/>
        </w:rPr>
      </w:pPr>
    </w:p>
    <w:p w:rsidR="00EA11E0" w:rsidRPr="008742E9" w:rsidRDefault="00EA11E0" w:rsidP="008742E9">
      <w:pPr>
        <w:jc w:val="both"/>
        <w:rPr>
          <w:rFonts w:eastAsia="Calibri"/>
          <w:sz w:val="24"/>
          <w:szCs w:val="24"/>
          <w:lang w:eastAsia="en-US"/>
        </w:rPr>
      </w:pPr>
    </w:p>
    <w:p w:rsidR="008742E9" w:rsidRPr="00EA11E0" w:rsidRDefault="008742E9" w:rsidP="008742E9">
      <w:pPr>
        <w:jc w:val="both"/>
        <w:rPr>
          <w:rFonts w:eastAsia="Calibri"/>
          <w:sz w:val="22"/>
          <w:szCs w:val="22"/>
          <w:lang w:eastAsia="en-US"/>
        </w:rPr>
      </w:pPr>
      <w:r w:rsidRPr="00EA11E0">
        <w:rPr>
          <w:rFonts w:eastAsia="Calibri"/>
          <w:sz w:val="22"/>
          <w:szCs w:val="22"/>
          <w:lang w:eastAsia="en-US"/>
        </w:rPr>
        <w:t>УДК 639.3.09(470.620)</w:t>
      </w:r>
    </w:p>
    <w:p w:rsidR="008742E9" w:rsidRPr="008742E9" w:rsidRDefault="008742E9" w:rsidP="008742E9">
      <w:pPr>
        <w:jc w:val="both"/>
        <w:rPr>
          <w:rFonts w:eastAsia="Calibri"/>
          <w:sz w:val="24"/>
          <w:szCs w:val="24"/>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 xml:space="preserve">Мониторинг инвазионных заболеваний рыб (по данным ветеринарно-санитарной экспертизы) на территории </w:t>
      </w:r>
      <w:r w:rsidR="00EA11E0">
        <w:rPr>
          <w:rFonts w:eastAsia="Calibri"/>
          <w:b/>
          <w:sz w:val="24"/>
          <w:szCs w:val="24"/>
          <w:lang w:eastAsia="en-US"/>
        </w:rPr>
        <w:br/>
      </w:r>
      <w:r w:rsidRPr="008742E9">
        <w:rPr>
          <w:rFonts w:eastAsia="Calibri"/>
          <w:b/>
          <w:sz w:val="24"/>
          <w:szCs w:val="24"/>
          <w:lang w:eastAsia="en-US"/>
        </w:rPr>
        <w:t>Краснодарского края</w:t>
      </w:r>
    </w:p>
    <w:p w:rsidR="008742E9" w:rsidRPr="008742E9" w:rsidRDefault="008742E9" w:rsidP="008742E9">
      <w:pPr>
        <w:jc w:val="center"/>
        <w:rPr>
          <w:rFonts w:eastAsia="Calibri"/>
          <w:b/>
          <w:sz w:val="24"/>
          <w:szCs w:val="24"/>
          <w:lang w:val="en-US" w:eastAsia="en-US"/>
        </w:rPr>
      </w:pPr>
      <w:r w:rsidRPr="008742E9">
        <w:rPr>
          <w:b/>
          <w:sz w:val="24"/>
          <w:szCs w:val="24"/>
          <w:lang w:val="en"/>
        </w:rPr>
        <w:t>Monitoring</w:t>
      </w:r>
      <w:r w:rsidRPr="00024398">
        <w:rPr>
          <w:b/>
          <w:sz w:val="24"/>
          <w:szCs w:val="24"/>
          <w:lang w:val="en-US"/>
        </w:rPr>
        <w:t xml:space="preserve"> </w:t>
      </w:r>
      <w:r w:rsidRPr="008742E9">
        <w:rPr>
          <w:b/>
          <w:sz w:val="24"/>
          <w:szCs w:val="24"/>
          <w:lang w:val="en"/>
        </w:rPr>
        <w:t>of</w:t>
      </w:r>
      <w:r w:rsidRPr="00024398">
        <w:rPr>
          <w:b/>
          <w:sz w:val="24"/>
          <w:szCs w:val="24"/>
          <w:lang w:val="en-US"/>
        </w:rPr>
        <w:t xml:space="preserve"> </w:t>
      </w:r>
      <w:r w:rsidRPr="008742E9">
        <w:rPr>
          <w:b/>
          <w:sz w:val="24"/>
          <w:szCs w:val="24"/>
          <w:lang w:val="en"/>
        </w:rPr>
        <w:t>invasive</w:t>
      </w:r>
      <w:r w:rsidRPr="00024398">
        <w:rPr>
          <w:b/>
          <w:sz w:val="24"/>
          <w:szCs w:val="24"/>
          <w:lang w:val="en-US"/>
        </w:rPr>
        <w:t xml:space="preserve"> </w:t>
      </w:r>
      <w:r w:rsidRPr="008742E9">
        <w:rPr>
          <w:b/>
          <w:sz w:val="24"/>
          <w:szCs w:val="24"/>
          <w:lang w:val="en"/>
        </w:rPr>
        <w:t>diseases</w:t>
      </w:r>
      <w:r w:rsidRPr="00024398">
        <w:rPr>
          <w:b/>
          <w:sz w:val="24"/>
          <w:szCs w:val="24"/>
          <w:lang w:val="en-US"/>
        </w:rPr>
        <w:t xml:space="preserve"> </w:t>
      </w:r>
      <w:r w:rsidRPr="008742E9">
        <w:rPr>
          <w:b/>
          <w:sz w:val="24"/>
          <w:szCs w:val="24"/>
          <w:lang w:val="en"/>
        </w:rPr>
        <w:t>of</w:t>
      </w:r>
      <w:r w:rsidRPr="00024398">
        <w:rPr>
          <w:b/>
          <w:sz w:val="24"/>
          <w:szCs w:val="24"/>
          <w:lang w:val="en-US"/>
        </w:rPr>
        <w:t xml:space="preserve"> </w:t>
      </w:r>
      <w:r w:rsidRPr="008742E9">
        <w:rPr>
          <w:b/>
          <w:sz w:val="24"/>
          <w:szCs w:val="24"/>
          <w:lang w:val="en"/>
        </w:rPr>
        <w:t>fish</w:t>
      </w:r>
      <w:r w:rsidRPr="00024398">
        <w:rPr>
          <w:b/>
          <w:sz w:val="24"/>
          <w:szCs w:val="24"/>
          <w:lang w:val="en-US"/>
        </w:rPr>
        <w:t xml:space="preserve"> (</w:t>
      </w:r>
      <w:r w:rsidRPr="008742E9">
        <w:rPr>
          <w:b/>
          <w:sz w:val="24"/>
          <w:szCs w:val="24"/>
          <w:lang w:val="en"/>
        </w:rPr>
        <w:t>according</w:t>
      </w:r>
      <w:r w:rsidRPr="00024398">
        <w:rPr>
          <w:b/>
          <w:sz w:val="24"/>
          <w:szCs w:val="24"/>
          <w:lang w:val="en-US"/>
        </w:rPr>
        <w:t xml:space="preserve"> </w:t>
      </w:r>
      <w:r w:rsidRPr="008742E9">
        <w:rPr>
          <w:b/>
          <w:sz w:val="24"/>
          <w:szCs w:val="24"/>
          <w:lang w:val="en"/>
        </w:rPr>
        <w:t>to</w:t>
      </w:r>
      <w:r w:rsidRPr="00024398">
        <w:rPr>
          <w:b/>
          <w:sz w:val="24"/>
          <w:szCs w:val="24"/>
          <w:lang w:val="en-US"/>
        </w:rPr>
        <w:t xml:space="preserve"> </w:t>
      </w:r>
      <w:r w:rsidRPr="008742E9">
        <w:rPr>
          <w:b/>
          <w:sz w:val="24"/>
          <w:szCs w:val="24"/>
          <w:lang w:val="en"/>
        </w:rPr>
        <w:t>the</w:t>
      </w:r>
      <w:r w:rsidRPr="00024398">
        <w:rPr>
          <w:b/>
          <w:sz w:val="24"/>
          <w:szCs w:val="24"/>
          <w:lang w:val="en-US"/>
        </w:rPr>
        <w:t xml:space="preserve"> </w:t>
      </w:r>
      <w:r w:rsidRPr="008742E9">
        <w:rPr>
          <w:b/>
          <w:sz w:val="24"/>
          <w:szCs w:val="24"/>
          <w:lang w:val="en"/>
        </w:rPr>
        <w:t>data</w:t>
      </w:r>
      <w:r w:rsidRPr="00024398">
        <w:rPr>
          <w:b/>
          <w:sz w:val="24"/>
          <w:szCs w:val="24"/>
          <w:lang w:val="en-US"/>
        </w:rPr>
        <w:t xml:space="preserve"> </w:t>
      </w:r>
      <w:r w:rsidRPr="008742E9">
        <w:rPr>
          <w:b/>
          <w:sz w:val="24"/>
          <w:szCs w:val="24"/>
          <w:lang w:val="en"/>
        </w:rPr>
        <w:t>of</w:t>
      </w:r>
      <w:r w:rsidRPr="00024398">
        <w:rPr>
          <w:b/>
          <w:sz w:val="24"/>
          <w:szCs w:val="24"/>
          <w:lang w:val="en-US"/>
        </w:rPr>
        <w:t xml:space="preserve"> </w:t>
      </w:r>
      <w:r w:rsidRPr="008742E9">
        <w:rPr>
          <w:b/>
          <w:sz w:val="24"/>
          <w:szCs w:val="24"/>
          <w:lang w:val="en"/>
        </w:rPr>
        <w:t>veterinary</w:t>
      </w:r>
      <w:r w:rsidRPr="00024398">
        <w:rPr>
          <w:b/>
          <w:sz w:val="24"/>
          <w:szCs w:val="24"/>
          <w:lang w:val="en-US"/>
        </w:rPr>
        <w:t xml:space="preserve"> </w:t>
      </w:r>
      <w:r w:rsidRPr="008742E9">
        <w:rPr>
          <w:b/>
          <w:sz w:val="24"/>
          <w:szCs w:val="24"/>
          <w:lang w:val="en"/>
        </w:rPr>
        <w:t>and</w:t>
      </w:r>
      <w:r w:rsidRPr="00024398">
        <w:rPr>
          <w:b/>
          <w:sz w:val="24"/>
          <w:szCs w:val="24"/>
          <w:lang w:val="en-US"/>
        </w:rPr>
        <w:t xml:space="preserve"> </w:t>
      </w:r>
      <w:r w:rsidRPr="008742E9">
        <w:rPr>
          <w:b/>
          <w:sz w:val="24"/>
          <w:szCs w:val="24"/>
          <w:lang w:val="en"/>
        </w:rPr>
        <w:t>sanitary</w:t>
      </w:r>
      <w:r w:rsidRPr="00024398">
        <w:rPr>
          <w:b/>
          <w:sz w:val="24"/>
          <w:szCs w:val="24"/>
          <w:lang w:val="en-US"/>
        </w:rPr>
        <w:t xml:space="preserve"> </w:t>
      </w:r>
      <w:r w:rsidRPr="008742E9">
        <w:rPr>
          <w:b/>
          <w:sz w:val="24"/>
          <w:szCs w:val="24"/>
          <w:lang w:val="en"/>
        </w:rPr>
        <w:t>examination</w:t>
      </w:r>
      <w:r w:rsidRPr="00024398">
        <w:rPr>
          <w:b/>
          <w:sz w:val="24"/>
          <w:szCs w:val="24"/>
          <w:lang w:val="en-US"/>
        </w:rPr>
        <w:t xml:space="preserve">) </w:t>
      </w:r>
      <w:r w:rsidRPr="008742E9">
        <w:rPr>
          <w:b/>
          <w:sz w:val="24"/>
          <w:szCs w:val="24"/>
          <w:lang w:val="en"/>
        </w:rPr>
        <w:t>in</w:t>
      </w:r>
      <w:r w:rsidRPr="00024398">
        <w:rPr>
          <w:b/>
          <w:sz w:val="24"/>
          <w:szCs w:val="24"/>
          <w:lang w:val="en-US"/>
        </w:rPr>
        <w:t xml:space="preserve"> </w:t>
      </w:r>
      <w:r w:rsidRPr="008742E9">
        <w:rPr>
          <w:b/>
          <w:sz w:val="24"/>
          <w:szCs w:val="24"/>
          <w:lang w:val="en"/>
        </w:rPr>
        <w:t>the</w:t>
      </w:r>
      <w:r w:rsidRPr="00024398">
        <w:rPr>
          <w:b/>
          <w:sz w:val="24"/>
          <w:szCs w:val="24"/>
          <w:lang w:val="en-US"/>
        </w:rPr>
        <w:t xml:space="preserve"> </w:t>
      </w:r>
      <w:r w:rsidRPr="008742E9">
        <w:rPr>
          <w:b/>
          <w:sz w:val="24"/>
          <w:szCs w:val="24"/>
          <w:lang w:val="en"/>
        </w:rPr>
        <w:t>territory</w:t>
      </w:r>
      <w:r w:rsidRPr="00024398">
        <w:rPr>
          <w:b/>
          <w:sz w:val="24"/>
          <w:szCs w:val="24"/>
          <w:lang w:val="en-US"/>
        </w:rPr>
        <w:t xml:space="preserve"> </w:t>
      </w:r>
      <w:r w:rsidRPr="008742E9">
        <w:rPr>
          <w:b/>
          <w:sz w:val="24"/>
          <w:szCs w:val="24"/>
          <w:lang w:val="en"/>
        </w:rPr>
        <w:t>of</w:t>
      </w:r>
      <w:r w:rsidRPr="00024398">
        <w:rPr>
          <w:b/>
          <w:sz w:val="24"/>
          <w:szCs w:val="24"/>
          <w:lang w:val="en-US"/>
        </w:rPr>
        <w:t xml:space="preserve"> </w:t>
      </w:r>
      <w:r w:rsidRPr="008742E9">
        <w:rPr>
          <w:b/>
          <w:sz w:val="24"/>
          <w:szCs w:val="24"/>
          <w:lang w:val="en"/>
        </w:rPr>
        <w:t>the</w:t>
      </w:r>
      <w:r w:rsidRPr="00024398">
        <w:rPr>
          <w:b/>
          <w:sz w:val="24"/>
          <w:szCs w:val="24"/>
          <w:lang w:val="en-US"/>
        </w:rPr>
        <w:t xml:space="preserve"> </w:t>
      </w:r>
      <w:r w:rsidRPr="008742E9">
        <w:rPr>
          <w:b/>
          <w:sz w:val="24"/>
          <w:szCs w:val="24"/>
          <w:lang w:val="en"/>
        </w:rPr>
        <w:t>Krasnodar Territory</w:t>
      </w:r>
    </w:p>
    <w:p w:rsidR="008742E9" w:rsidRPr="008742E9" w:rsidRDefault="008742E9" w:rsidP="008742E9">
      <w:pPr>
        <w:jc w:val="right"/>
        <w:rPr>
          <w:rFonts w:eastAsia="Calibri"/>
          <w:sz w:val="22"/>
          <w:szCs w:val="24"/>
          <w:lang w:val="en-US" w:eastAsia="en-US"/>
        </w:rPr>
      </w:pP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Дядюля А.</w:t>
      </w:r>
      <w:r w:rsidR="00EA11E0">
        <w:rPr>
          <w:rFonts w:eastAsia="Calibri"/>
          <w:sz w:val="22"/>
          <w:szCs w:val="24"/>
          <w:lang w:eastAsia="en-US"/>
        </w:rPr>
        <w:t xml:space="preserve"> </w:t>
      </w:r>
      <w:r w:rsidRPr="008742E9">
        <w:rPr>
          <w:rFonts w:eastAsia="Calibri"/>
          <w:sz w:val="22"/>
          <w:szCs w:val="24"/>
          <w:lang w:eastAsia="en-US"/>
        </w:rPr>
        <w:t>И.,</w:t>
      </w:r>
    </w:p>
    <w:p w:rsidR="00EA11E0" w:rsidRDefault="008742E9" w:rsidP="008742E9">
      <w:pPr>
        <w:jc w:val="right"/>
        <w:rPr>
          <w:rFonts w:eastAsia="Calibri"/>
          <w:sz w:val="22"/>
          <w:szCs w:val="24"/>
          <w:lang w:eastAsia="en-US"/>
        </w:rPr>
      </w:pPr>
      <w:r w:rsidRPr="008742E9">
        <w:rPr>
          <w:rFonts w:eastAsia="Calibri"/>
          <w:sz w:val="22"/>
          <w:szCs w:val="24"/>
          <w:lang w:eastAsia="en-US"/>
        </w:rPr>
        <w:t>магистрант 2 курса</w:t>
      </w: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 xml:space="preserve"> факультета ветеринарной медицины</w:t>
      </w: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Катаева Т.</w:t>
      </w:r>
      <w:r w:rsidR="00EA11E0">
        <w:rPr>
          <w:rFonts w:eastAsia="Calibri"/>
          <w:sz w:val="22"/>
          <w:szCs w:val="24"/>
          <w:lang w:eastAsia="en-US"/>
        </w:rPr>
        <w:t xml:space="preserve"> </w:t>
      </w:r>
      <w:r w:rsidRPr="008742E9">
        <w:rPr>
          <w:rFonts w:eastAsia="Calibri"/>
          <w:sz w:val="22"/>
          <w:szCs w:val="24"/>
          <w:lang w:eastAsia="en-US"/>
        </w:rPr>
        <w:t>С.,</w:t>
      </w: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профессор кафедры паразитологии,</w:t>
      </w: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ветсанэкспертизы и зоогигиены</w:t>
      </w:r>
    </w:p>
    <w:p w:rsidR="008742E9" w:rsidRPr="008742E9" w:rsidRDefault="008742E9" w:rsidP="008742E9">
      <w:pPr>
        <w:jc w:val="right"/>
        <w:rPr>
          <w:rFonts w:eastAsia="Calibri"/>
          <w:sz w:val="22"/>
          <w:szCs w:val="24"/>
          <w:lang w:eastAsia="en-US"/>
        </w:rPr>
      </w:pPr>
      <w:r w:rsidRPr="008742E9">
        <w:rPr>
          <w:rFonts w:eastAsia="Calibri"/>
          <w:sz w:val="22"/>
          <w:szCs w:val="24"/>
          <w:lang w:eastAsia="en-US"/>
        </w:rPr>
        <w:t>Куб</w:t>
      </w:r>
      <w:r w:rsidR="00EA11E0">
        <w:rPr>
          <w:rFonts w:eastAsia="Calibri"/>
          <w:sz w:val="22"/>
          <w:szCs w:val="24"/>
          <w:lang w:eastAsia="en-US"/>
        </w:rPr>
        <w:t>анский государственный аграрный</w:t>
      </w:r>
    </w:p>
    <w:p w:rsidR="008742E9" w:rsidRPr="008742E9" w:rsidRDefault="008742E9" w:rsidP="008742E9">
      <w:pPr>
        <w:jc w:val="right"/>
        <w:rPr>
          <w:rFonts w:eastAsia="Calibri"/>
          <w:sz w:val="24"/>
          <w:szCs w:val="24"/>
          <w:lang w:eastAsia="en-US"/>
        </w:rPr>
      </w:pPr>
      <w:r w:rsidRPr="008742E9">
        <w:rPr>
          <w:rFonts w:eastAsia="Calibri"/>
          <w:sz w:val="22"/>
          <w:szCs w:val="24"/>
          <w:lang w:eastAsia="en-US"/>
        </w:rPr>
        <w:t>университет имени И.</w:t>
      </w:r>
      <w:r w:rsidR="00EA11E0">
        <w:rPr>
          <w:rFonts w:eastAsia="Calibri"/>
          <w:sz w:val="22"/>
          <w:szCs w:val="24"/>
          <w:lang w:eastAsia="en-US"/>
        </w:rPr>
        <w:t xml:space="preserve"> </w:t>
      </w:r>
      <w:r w:rsidRPr="008742E9">
        <w:rPr>
          <w:rFonts w:eastAsia="Calibri"/>
          <w:sz w:val="22"/>
          <w:szCs w:val="24"/>
          <w:lang w:eastAsia="en-US"/>
        </w:rPr>
        <w:t>Т. Трубилина</w:t>
      </w:r>
    </w:p>
    <w:p w:rsidR="008742E9" w:rsidRPr="008742E9" w:rsidRDefault="008742E9" w:rsidP="008742E9">
      <w:pPr>
        <w:jc w:val="both"/>
        <w:rPr>
          <w:rFonts w:eastAsia="Calibri"/>
          <w:sz w:val="22"/>
          <w:szCs w:val="22"/>
          <w:lang w:eastAsia="en-US"/>
        </w:rPr>
      </w:pPr>
    </w:p>
    <w:p w:rsidR="008742E9" w:rsidRPr="008742E9" w:rsidRDefault="00EA11E0" w:rsidP="00EA11E0">
      <w:pPr>
        <w:ind w:right="-57" w:firstLine="426"/>
        <w:jc w:val="both"/>
        <w:rPr>
          <w:rFonts w:eastAsia="Calibri"/>
          <w:sz w:val="22"/>
          <w:szCs w:val="22"/>
          <w:lang w:eastAsia="en-US"/>
        </w:rPr>
      </w:pPr>
      <w:r>
        <w:rPr>
          <w:rFonts w:eastAsia="Calibri"/>
          <w:sz w:val="22"/>
          <w:szCs w:val="22"/>
          <w:lang w:eastAsia="en-US"/>
        </w:rPr>
        <w:t>АННОТАЦИЯ:</w:t>
      </w:r>
      <w:r w:rsidR="008742E9" w:rsidRPr="008742E9">
        <w:rPr>
          <w:rFonts w:eastAsia="Calibri"/>
          <w:sz w:val="22"/>
          <w:szCs w:val="22"/>
          <w:lang w:eastAsia="en-US"/>
        </w:rPr>
        <w:t xml:space="preserve"> В рыбоводческих хозяйствах Краснодарского края было отмечено 7 паразитарных заболеваний у семи видов рыб, протекающих в ассоциативной форме, экстенсивность инвазии 25,5-100%.</w:t>
      </w:r>
    </w:p>
    <w:p w:rsidR="008742E9" w:rsidRPr="008742E9" w:rsidRDefault="00EA11E0"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right="-57" w:firstLine="426"/>
        <w:jc w:val="both"/>
        <w:rPr>
          <w:sz w:val="22"/>
          <w:szCs w:val="22"/>
          <w:lang w:val="en-US"/>
        </w:rPr>
      </w:pPr>
      <w:r>
        <w:rPr>
          <w:sz w:val="22"/>
          <w:szCs w:val="22"/>
          <w:lang w:val="en"/>
        </w:rPr>
        <w:t>ANNOTATION</w:t>
      </w:r>
      <w:r w:rsidRPr="00EA11E0">
        <w:rPr>
          <w:sz w:val="22"/>
          <w:szCs w:val="22"/>
          <w:lang w:val="en-US"/>
        </w:rPr>
        <w:t>:</w:t>
      </w:r>
      <w:r w:rsidR="008742E9" w:rsidRPr="008742E9">
        <w:rPr>
          <w:sz w:val="22"/>
          <w:szCs w:val="22"/>
          <w:lang w:val="en"/>
        </w:rPr>
        <w:t xml:space="preserve"> In fish farms of the Krasnodar Territory, 7 parasi</w:t>
      </w:r>
      <w:r w:rsidR="008742E9" w:rsidRPr="008742E9">
        <w:rPr>
          <w:sz w:val="22"/>
          <w:szCs w:val="22"/>
          <w:lang w:val="en"/>
        </w:rPr>
        <w:t>t</w:t>
      </w:r>
      <w:r w:rsidR="008742E9" w:rsidRPr="008742E9">
        <w:rPr>
          <w:sz w:val="22"/>
          <w:szCs w:val="22"/>
          <w:lang w:val="en"/>
        </w:rPr>
        <w:t>ic diseases were observed in seven fish species occurring in an associ</w:t>
      </w:r>
      <w:r w:rsidR="008742E9" w:rsidRPr="008742E9">
        <w:rPr>
          <w:sz w:val="22"/>
          <w:szCs w:val="22"/>
          <w:lang w:val="en"/>
        </w:rPr>
        <w:t>a</w:t>
      </w:r>
      <w:r w:rsidR="008742E9" w:rsidRPr="008742E9">
        <w:rPr>
          <w:sz w:val="22"/>
          <w:szCs w:val="22"/>
          <w:lang w:val="en"/>
        </w:rPr>
        <w:t>tive form, the extent of invasion was 25.5-100%.</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right="-57" w:firstLine="426"/>
        <w:jc w:val="both"/>
        <w:rPr>
          <w:rFonts w:eastAsia="Calibri"/>
          <w:sz w:val="22"/>
          <w:szCs w:val="22"/>
          <w:lang w:eastAsia="en-US"/>
        </w:rPr>
      </w:pPr>
      <w:r w:rsidRPr="008742E9">
        <w:rPr>
          <w:rFonts w:eastAsia="Calibri"/>
          <w:sz w:val="22"/>
          <w:szCs w:val="22"/>
          <w:lang w:eastAsia="en-US"/>
        </w:rPr>
        <w:t>КЛЮЧЕВЫЕ СЛОВА: рыба, паразитарные заболевания, эк</w:t>
      </w:r>
      <w:r w:rsidRPr="008742E9">
        <w:rPr>
          <w:rFonts w:eastAsia="Calibri"/>
          <w:sz w:val="22"/>
          <w:szCs w:val="22"/>
          <w:lang w:eastAsia="en-US"/>
        </w:rPr>
        <w:t>с</w:t>
      </w:r>
      <w:r w:rsidRPr="008742E9">
        <w:rPr>
          <w:rFonts w:eastAsia="Calibri"/>
          <w:sz w:val="22"/>
          <w:szCs w:val="22"/>
          <w:lang w:eastAsia="en-US"/>
        </w:rPr>
        <w:t>тенсивность инвазии, рыбоводческие хозяйства.</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val="en-US" w:eastAsia="en-US"/>
        </w:rPr>
      </w:pPr>
      <w:r w:rsidRPr="008742E9">
        <w:rPr>
          <w:sz w:val="22"/>
          <w:szCs w:val="22"/>
          <w:lang w:val="en"/>
        </w:rPr>
        <w:t>KEY WORDS: fish, parasitic diseases, the intensity of invasion, fish farms.</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val="en-US" w:eastAsia="en-US"/>
        </w:rPr>
      </w:pP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eastAsia="en-US"/>
        </w:rPr>
      </w:pPr>
      <w:r w:rsidRPr="008742E9">
        <w:rPr>
          <w:rFonts w:eastAsia="Calibri"/>
          <w:sz w:val="22"/>
          <w:szCs w:val="22"/>
          <w:lang w:eastAsia="en-US"/>
        </w:rPr>
        <w:t>Рыба является полезным продуктом для человеческого орг</w:t>
      </w:r>
      <w:r w:rsidRPr="008742E9">
        <w:rPr>
          <w:rFonts w:eastAsia="Calibri"/>
          <w:sz w:val="22"/>
          <w:szCs w:val="22"/>
          <w:lang w:eastAsia="en-US"/>
        </w:rPr>
        <w:t>а</w:t>
      </w:r>
      <w:r w:rsidRPr="008742E9">
        <w:rPr>
          <w:rFonts w:eastAsia="Calibri"/>
          <w:sz w:val="22"/>
          <w:szCs w:val="22"/>
          <w:lang w:eastAsia="en-US"/>
        </w:rPr>
        <w:t xml:space="preserve">низма. Мясо рыбы имеет высокую пищевую ценность, поэтому </w:t>
      </w:r>
      <w:r w:rsidRPr="008742E9">
        <w:rPr>
          <w:rFonts w:eastAsia="Calibri"/>
          <w:sz w:val="22"/>
          <w:szCs w:val="22"/>
          <w:lang w:eastAsia="en-US"/>
        </w:rPr>
        <w:lastRenderedPageBreak/>
        <w:t>блюда из рыбы широко используются в повседневном рационе, в диетическом и детском питании.</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eastAsia="en-US"/>
        </w:rPr>
      </w:pPr>
      <w:r w:rsidRPr="008742E9">
        <w:rPr>
          <w:rFonts w:eastAsia="Calibri"/>
          <w:sz w:val="22"/>
          <w:szCs w:val="22"/>
          <w:lang w:eastAsia="en-US"/>
        </w:rPr>
        <w:t>Благоприятность рыбы обусловлена содержанием комплексн</w:t>
      </w:r>
      <w:r w:rsidRPr="008742E9">
        <w:rPr>
          <w:rFonts w:eastAsia="Calibri"/>
          <w:sz w:val="22"/>
          <w:szCs w:val="22"/>
          <w:lang w:eastAsia="en-US"/>
        </w:rPr>
        <w:t>о</w:t>
      </w:r>
      <w:r w:rsidRPr="008742E9">
        <w:rPr>
          <w:rFonts w:eastAsia="Calibri"/>
          <w:sz w:val="22"/>
          <w:szCs w:val="22"/>
          <w:lang w:eastAsia="en-US"/>
        </w:rPr>
        <w:t>го белка. Белки мяса рыб быстро усваиваются человеческим орг</w:t>
      </w:r>
      <w:r w:rsidRPr="008742E9">
        <w:rPr>
          <w:rFonts w:eastAsia="Calibri"/>
          <w:sz w:val="22"/>
          <w:szCs w:val="22"/>
          <w:lang w:eastAsia="en-US"/>
        </w:rPr>
        <w:t>а</w:t>
      </w:r>
      <w:r w:rsidRPr="008742E9">
        <w:rPr>
          <w:rFonts w:eastAsia="Calibri"/>
          <w:sz w:val="22"/>
          <w:szCs w:val="22"/>
          <w:lang w:eastAsia="en-US"/>
        </w:rPr>
        <w:t>низмом, когда телятина переваривается в организме человека за 5 часов, то рыба за 2 -3 часа.</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eastAsia="en-US"/>
        </w:rPr>
      </w:pPr>
      <w:r w:rsidRPr="008742E9">
        <w:rPr>
          <w:rFonts w:eastAsia="Calibri"/>
          <w:sz w:val="22"/>
          <w:szCs w:val="22"/>
          <w:lang w:eastAsia="en-US"/>
        </w:rPr>
        <w:t>Вдобавок к ценным компонентам рыбы относится жир, соде</w:t>
      </w:r>
      <w:r w:rsidRPr="008742E9">
        <w:rPr>
          <w:rFonts w:eastAsia="Calibri"/>
          <w:sz w:val="22"/>
          <w:szCs w:val="22"/>
          <w:lang w:eastAsia="en-US"/>
        </w:rPr>
        <w:t>р</w:t>
      </w:r>
      <w:r w:rsidRPr="008742E9">
        <w:rPr>
          <w:rFonts w:eastAsia="Calibri"/>
          <w:sz w:val="22"/>
          <w:szCs w:val="22"/>
          <w:lang w:eastAsia="en-US"/>
        </w:rPr>
        <w:t>жание которого в зависимости от вида рыбы меняется примерно от 1 до 20 процентов. Рыба также относится к богатому источнику в</w:t>
      </w:r>
      <w:r w:rsidRPr="008742E9">
        <w:rPr>
          <w:rFonts w:eastAsia="Calibri"/>
          <w:sz w:val="22"/>
          <w:szCs w:val="22"/>
          <w:lang w:eastAsia="en-US"/>
        </w:rPr>
        <w:t>и</w:t>
      </w:r>
      <w:r w:rsidRPr="008742E9">
        <w:rPr>
          <w:rFonts w:eastAsia="Calibri"/>
          <w:sz w:val="22"/>
          <w:szCs w:val="22"/>
          <w:lang w:eastAsia="en-US"/>
        </w:rPr>
        <w:t>таминов. Мясо рыбы является полноценным источником содерж</w:t>
      </w:r>
      <w:r w:rsidRPr="008742E9">
        <w:rPr>
          <w:rFonts w:eastAsia="Calibri"/>
          <w:sz w:val="22"/>
          <w:szCs w:val="22"/>
          <w:lang w:eastAsia="en-US"/>
        </w:rPr>
        <w:t>а</w:t>
      </w:r>
      <w:r w:rsidRPr="008742E9">
        <w:rPr>
          <w:rFonts w:eastAsia="Calibri"/>
          <w:sz w:val="22"/>
          <w:szCs w:val="22"/>
          <w:lang w:eastAsia="en-US"/>
        </w:rPr>
        <w:t>ния витаминов: в небольших количествах витамин</w:t>
      </w:r>
      <w:proofErr w:type="gramStart"/>
      <w:r w:rsidRPr="008742E9">
        <w:rPr>
          <w:rFonts w:eastAsia="Calibri"/>
          <w:sz w:val="22"/>
          <w:szCs w:val="22"/>
          <w:lang w:eastAsia="en-US"/>
        </w:rPr>
        <w:t xml:space="preserve"> С</w:t>
      </w:r>
      <w:proofErr w:type="gramEnd"/>
      <w:r w:rsidRPr="008742E9">
        <w:rPr>
          <w:rFonts w:eastAsia="Calibri"/>
          <w:sz w:val="22"/>
          <w:szCs w:val="22"/>
          <w:lang w:eastAsia="en-US"/>
        </w:rPr>
        <w:t>, а также вит</w:t>
      </w:r>
      <w:r w:rsidRPr="008742E9">
        <w:rPr>
          <w:rFonts w:eastAsia="Calibri"/>
          <w:sz w:val="22"/>
          <w:szCs w:val="22"/>
          <w:lang w:eastAsia="en-US"/>
        </w:rPr>
        <w:t>а</w:t>
      </w:r>
      <w:r w:rsidRPr="008742E9">
        <w:rPr>
          <w:rFonts w:eastAsia="Calibri"/>
          <w:sz w:val="22"/>
          <w:szCs w:val="22"/>
          <w:lang w:eastAsia="en-US"/>
        </w:rPr>
        <w:t>мины группы В – В1, В2, В6, В12, витамины Н и PP, а также пант</w:t>
      </w:r>
      <w:r w:rsidRPr="008742E9">
        <w:rPr>
          <w:rFonts w:eastAsia="Calibri"/>
          <w:sz w:val="22"/>
          <w:szCs w:val="22"/>
          <w:lang w:eastAsia="en-US"/>
        </w:rPr>
        <w:t>о</w:t>
      </w:r>
      <w:r w:rsidRPr="008742E9">
        <w:rPr>
          <w:rFonts w:eastAsia="Calibri"/>
          <w:sz w:val="22"/>
          <w:szCs w:val="22"/>
          <w:lang w:eastAsia="en-US"/>
        </w:rPr>
        <w:t>теновая кислота.</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lang w:eastAsia="en-US"/>
        </w:rPr>
      </w:pPr>
      <w:r w:rsidRPr="008742E9">
        <w:rPr>
          <w:rFonts w:eastAsia="Calibri"/>
          <w:sz w:val="22"/>
          <w:szCs w:val="22"/>
          <w:lang w:eastAsia="en-US"/>
        </w:rPr>
        <w:t>Несмотря на это, употребление рыбы и рыбных продуктов в России составляет лишь 11 кг/год на душу населения, что по своим показателям говорит о значительном снижении по медицинской норме, которая установлена на уровне 21 кг/год на человека.</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highlight w:val="yellow"/>
          <w:lang w:eastAsia="en-US"/>
        </w:rPr>
      </w:pPr>
      <w:r w:rsidRPr="008742E9">
        <w:rPr>
          <w:rFonts w:eastAsia="Calibri"/>
          <w:sz w:val="22"/>
          <w:szCs w:val="22"/>
          <w:lang w:eastAsia="en-US"/>
        </w:rPr>
        <w:t>Рыбоводство является одной из основных направлений акв</w:t>
      </w:r>
      <w:r w:rsidRPr="008742E9">
        <w:rPr>
          <w:rFonts w:eastAsia="Calibri"/>
          <w:sz w:val="22"/>
          <w:szCs w:val="22"/>
          <w:lang w:eastAsia="en-US"/>
        </w:rPr>
        <w:t>а</w:t>
      </w:r>
      <w:r w:rsidRPr="008742E9">
        <w:rPr>
          <w:rFonts w:eastAsia="Calibri"/>
          <w:sz w:val="22"/>
          <w:szCs w:val="22"/>
          <w:lang w:eastAsia="en-US"/>
        </w:rPr>
        <w:t>культуры в качестве отрасли сельского хозяйства, занимающееся разведением рыбы, повышением ее качества и увеличением рыбных запасов.</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highlight w:val="yellow"/>
          <w:lang w:eastAsia="en-US"/>
        </w:rPr>
      </w:pPr>
      <w:r w:rsidRPr="008742E9">
        <w:rPr>
          <w:rFonts w:eastAsia="Calibri"/>
          <w:sz w:val="22"/>
          <w:szCs w:val="22"/>
          <w:lang w:eastAsia="en-US"/>
        </w:rPr>
        <w:t>В экологической проблеме на данный период рыболовство имеет незначительный потенциал роста. Связано это в первую оч</w:t>
      </w:r>
      <w:r w:rsidRPr="008742E9">
        <w:rPr>
          <w:rFonts w:eastAsia="Calibri"/>
          <w:sz w:val="22"/>
          <w:szCs w:val="22"/>
          <w:lang w:eastAsia="en-US"/>
        </w:rPr>
        <w:t>е</w:t>
      </w:r>
      <w:r w:rsidRPr="008742E9">
        <w:rPr>
          <w:rFonts w:eastAsia="Calibri"/>
          <w:sz w:val="22"/>
          <w:szCs w:val="22"/>
          <w:lang w:eastAsia="en-US"/>
        </w:rPr>
        <w:t>редь с уменьшением воспроизводства рыбы в результате ежегодн</w:t>
      </w:r>
      <w:r w:rsidRPr="008742E9">
        <w:rPr>
          <w:rFonts w:eastAsia="Calibri"/>
          <w:sz w:val="22"/>
          <w:szCs w:val="22"/>
          <w:lang w:eastAsia="en-US"/>
        </w:rPr>
        <w:t>о</w:t>
      </w:r>
      <w:r w:rsidRPr="008742E9">
        <w:rPr>
          <w:rFonts w:eastAsia="Calibri"/>
          <w:sz w:val="22"/>
          <w:szCs w:val="22"/>
          <w:lang w:eastAsia="en-US"/>
        </w:rPr>
        <w:t>го возрастания неблагоприятного воздействия деятельности челов</w:t>
      </w:r>
      <w:r w:rsidRPr="008742E9">
        <w:rPr>
          <w:rFonts w:eastAsia="Calibri"/>
          <w:sz w:val="22"/>
          <w:szCs w:val="22"/>
          <w:lang w:eastAsia="en-US"/>
        </w:rPr>
        <w:t>е</w:t>
      </w:r>
      <w:r w:rsidRPr="008742E9">
        <w:rPr>
          <w:rFonts w:eastAsia="Calibri"/>
          <w:sz w:val="22"/>
          <w:szCs w:val="22"/>
          <w:lang w:eastAsia="en-US"/>
        </w:rPr>
        <w:t xml:space="preserve">ка на </w:t>
      </w:r>
      <w:proofErr w:type="gramStart"/>
      <w:r w:rsidRPr="008742E9">
        <w:rPr>
          <w:rFonts w:eastAsia="Calibri"/>
          <w:sz w:val="22"/>
          <w:szCs w:val="22"/>
          <w:lang w:eastAsia="en-US"/>
        </w:rPr>
        <w:t>водоёмы</w:t>
      </w:r>
      <w:proofErr w:type="gramEnd"/>
      <w:r w:rsidRPr="008742E9">
        <w:rPr>
          <w:rFonts w:eastAsia="Calibri"/>
          <w:sz w:val="22"/>
          <w:szCs w:val="22"/>
          <w:lang w:eastAsia="en-US"/>
        </w:rPr>
        <w:t xml:space="preserve"> в том числе и массового браконьерства </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highlight w:val="yellow"/>
          <w:lang w:eastAsia="en-US"/>
        </w:rPr>
      </w:pPr>
      <w:r w:rsidRPr="008742E9">
        <w:rPr>
          <w:rFonts w:eastAsia="Calibri"/>
          <w:sz w:val="22"/>
          <w:szCs w:val="22"/>
          <w:lang w:eastAsia="en-US"/>
        </w:rPr>
        <w:t>Так же просматривается и значительное ухудшение обстановки в загрязнении пищевых продуктов контаминантами биологического и техногенного происхождения, которые являются, как правило, не безопасными для человеческого здоровья. Одним из таких путей заражения человека могут явиться паразитарные болезни рыб, к</w:t>
      </w:r>
      <w:r w:rsidRPr="008742E9">
        <w:rPr>
          <w:rFonts w:eastAsia="Calibri"/>
          <w:sz w:val="22"/>
          <w:szCs w:val="22"/>
          <w:lang w:eastAsia="en-US"/>
        </w:rPr>
        <w:t>о</w:t>
      </w:r>
      <w:r w:rsidRPr="008742E9">
        <w:rPr>
          <w:rFonts w:eastAsia="Calibri"/>
          <w:sz w:val="22"/>
          <w:szCs w:val="22"/>
          <w:lang w:eastAsia="en-US"/>
        </w:rPr>
        <w:t>торые в свою очередь, дают низкие санитарно-гигиенические пок</w:t>
      </w:r>
      <w:r w:rsidRPr="008742E9">
        <w:rPr>
          <w:rFonts w:eastAsia="Calibri"/>
          <w:sz w:val="22"/>
          <w:szCs w:val="22"/>
          <w:lang w:eastAsia="en-US"/>
        </w:rPr>
        <w:t>а</w:t>
      </w:r>
      <w:r w:rsidRPr="008742E9">
        <w:rPr>
          <w:rFonts w:eastAsia="Calibri"/>
          <w:sz w:val="22"/>
          <w:szCs w:val="22"/>
          <w:lang w:eastAsia="en-US"/>
        </w:rPr>
        <w:t xml:space="preserve">затели, вкусовых, питательных и других товарно-пищевых свойств рыбы </w:t>
      </w:r>
      <w:r w:rsidRPr="008742E9">
        <w:rPr>
          <w:rFonts w:eastAsia="Calibri"/>
          <w:sz w:val="22"/>
          <w:szCs w:val="22"/>
          <w:shd w:val="clear" w:color="auto" w:fill="FFFFFF"/>
          <w:lang w:eastAsia="en-US"/>
        </w:rPr>
        <w:t>[1].</w:t>
      </w:r>
    </w:p>
    <w:p w:rsidR="008742E9" w:rsidRPr="008742E9" w:rsidRDefault="008742E9" w:rsidP="00EA11E0">
      <w:pPr>
        <w:tabs>
          <w:tab w:val="left" w:pos="916"/>
          <w:tab w:val="left" w:pos="1832"/>
          <w:tab w:val="left" w:pos="2748"/>
          <w:tab w:val="left" w:pos="3664"/>
          <w:tab w:val="left" w:pos="4580"/>
          <w:tab w:val="left" w:pos="5496"/>
          <w:tab w:val="left" w:pos="6521"/>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2"/>
          <w:szCs w:val="22"/>
          <w:highlight w:val="yellow"/>
          <w:shd w:val="clear" w:color="auto" w:fill="FFFFFF"/>
          <w:lang w:eastAsia="en-US"/>
        </w:rPr>
      </w:pPr>
      <w:r w:rsidRPr="008742E9">
        <w:rPr>
          <w:rFonts w:eastAsia="Calibri"/>
          <w:sz w:val="22"/>
          <w:szCs w:val="22"/>
          <w:lang w:eastAsia="en-US"/>
        </w:rPr>
        <w:t xml:space="preserve">Исходя из этого, целью наших исследований явился </w:t>
      </w:r>
      <w:r w:rsidRPr="008742E9">
        <w:rPr>
          <w:rFonts w:eastAsia="Calibri"/>
          <w:sz w:val="22"/>
          <w:szCs w:val="22"/>
          <w:shd w:val="clear" w:color="auto" w:fill="FFFFFF"/>
          <w:lang w:eastAsia="en-US"/>
        </w:rPr>
        <w:t>монит</w:t>
      </w:r>
      <w:r w:rsidRPr="008742E9">
        <w:rPr>
          <w:rFonts w:eastAsia="Calibri"/>
          <w:sz w:val="22"/>
          <w:szCs w:val="22"/>
          <w:shd w:val="clear" w:color="auto" w:fill="FFFFFF"/>
          <w:lang w:eastAsia="en-US"/>
        </w:rPr>
        <w:t>о</w:t>
      </w:r>
      <w:r w:rsidRPr="008742E9">
        <w:rPr>
          <w:rFonts w:eastAsia="Calibri"/>
          <w:sz w:val="22"/>
          <w:szCs w:val="22"/>
          <w:shd w:val="clear" w:color="auto" w:fill="FFFFFF"/>
          <w:lang w:eastAsia="en-US"/>
        </w:rPr>
        <w:t>ринг инвазионных болезней рыб, встречающихся на территории Краснодарского края (на основании проведения ветеринарно-санитарной экспертизы рыбы) за 2017 год. Так как в данном рег</w:t>
      </w:r>
      <w:r w:rsidRPr="008742E9">
        <w:rPr>
          <w:rFonts w:eastAsia="Calibri"/>
          <w:sz w:val="22"/>
          <w:szCs w:val="22"/>
          <w:shd w:val="clear" w:color="auto" w:fill="FFFFFF"/>
          <w:lang w:eastAsia="en-US"/>
        </w:rPr>
        <w:t>и</w:t>
      </w:r>
      <w:r w:rsidRPr="008742E9">
        <w:rPr>
          <w:rFonts w:eastAsia="Calibri"/>
          <w:sz w:val="22"/>
          <w:szCs w:val="22"/>
          <w:shd w:val="clear" w:color="auto" w:fill="FFFFFF"/>
          <w:lang w:eastAsia="en-US"/>
        </w:rPr>
        <w:lastRenderedPageBreak/>
        <w:t>оне выращивается более 20% прудовых рыб</w:t>
      </w:r>
      <w:r w:rsidRPr="008742E9">
        <w:rPr>
          <w:rFonts w:eastAsia="Calibri"/>
          <w:color w:val="414040"/>
          <w:sz w:val="22"/>
          <w:szCs w:val="22"/>
          <w:shd w:val="clear" w:color="auto" w:fill="FFFFFF"/>
          <w:lang w:eastAsia="en-US"/>
        </w:rPr>
        <w:t xml:space="preserve"> </w:t>
      </w:r>
      <w:r w:rsidRPr="008742E9">
        <w:rPr>
          <w:rFonts w:eastAsia="Calibri"/>
          <w:sz w:val="22"/>
          <w:szCs w:val="22"/>
          <w:shd w:val="clear" w:color="auto" w:fill="FFFFFF"/>
          <w:lang w:eastAsia="en-US"/>
        </w:rPr>
        <w:t>от общего рыбопрои</w:t>
      </w:r>
      <w:r w:rsidRPr="008742E9">
        <w:rPr>
          <w:rFonts w:eastAsia="Calibri"/>
          <w:sz w:val="22"/>
          <w:szCs w:val="22"/>
          <w:shd w:val="clear" w:color="auto" w:fill="FFFFFF"/>
          <w:lang w:eastAsia="en-US"/>
        </w:rPr>
        <w:t>з</w:t>
      </w:r>
      <w:r w:rsidRPr="008742E9">
        <w:rPr>
          <w:rFonts w:eastAsia="Calibri"/>
          <w:sz w:val="22"/>
          <w:szCs w:val="22"/>
          <w:shd w:val="clear" w:color="auto" w:fill="FFFFFF"/>
          <w:lang w:eastAsia="en-US"/>
        </w:rPr>
        <w:t>водства Российской Федерации.</w:t>
      </w:r>
    </w:p>
    <w:p w:rsidR="008742E9" w:rsidRPr="008742E9" w:rsidRDefault="008742E9" w:rsidP="00EA11E0">
      <w:pPr>
        <w:tabs>
          <w:tab w:val="left" w:pos="9498"/>
        </w:tabs>
        <w:autoSpaceDE w:val="0"/>
        <w:autoSpaceDN w:val="0"/>
        <w:adjustRightInd w:val="0"/>
        <w:ind w:firstLine="426"/>
        <w:jc w:val="both"/>
        <w:rPr>
          <w:sz w:val="22"/>
          <w:szCs w:val="22"/>
          <w:shd w:val="clear" w:color="auto" w:fill="FFFFFF"/>
        </w:rPr>
      </w:pPr>
      <w:r w:rsidRPr="008742E9">
        <w:rPr>
          <w:sz w:val="22"/>
          <w:szCs w:val="22"/>
          <w:shd w:val="clear" w:color="auto" w:fill="FFFFFF"/>
        </w:rPr>
        <w:t>Исследования проводились на базе кафедры паразитологии, ветсанэкспертизы и зоогигиены Кубанского государственного а</w:t>
      </w:r>
      <w:r w:rsidRPr="008742E9">
        <w:rPr>
          <w:sz w:val="22"/>
          <w:szCs w:val="22"/>
          <w:shd w:val="clear" w:color="auto" w:fill="FFFFFF"/>
        </w:rPr>
        <w:t>г</w:t>
      </w:r>
      <w:r w:rsidRPr="008742E9">
        <w:rPr>
          <w:sz w:val="22"/>
          <w:szCs w:val="22"/>
          <w:shd w:val="clear" w:color="auto" w:fill="FFFFFF"/>
        </w:rPr>
        <w:t>рарного университета им. И.Т. Трубилина. Объектом исследования явились 473 экземпляра прудовой рыбы рыбоводческих хозяй</w:t>
      </w:r>
      <w:proofErr w:type="gramStart"/>
      <w:r w:rsidRPr="008742E9">
        <w:rPr>
          <w:sz w:val="22"/>
          <w:szCs w:val="22"/>
          <w:shd w:val="clear" w:color="auto" w:fill="FFFFFF"/>
        </w:rPr>
        <w:t>ств Кр</w:t>
      </w:r>
      <w:proofErr w:type="gramEnd"/>
      <w:r w:rsidRPr="008742E9">
        <w:rPr>
          <w:sz w:val="22"/>
          <w:szCs w:val="22"/>
          <w:shd w:val="clear" w:color="auto" w:fill="FFFFFF"/>
        </w:rPr>
        <w:t>аснодарского края и республики Адыгея, семи наиболее востр</w:t>
      </w:r>
      <w:r w:rsidRPr="008742E9">
        <w:rPr>
          <w:sz w:val="22"/>
          <w:szCs w:val="22"/>
          <w:shd w:val="clear" w:color="auto" w:fill="FFFFFF"/>
        </w:rPr>
        <w:t>е</w:t>
      </w:r>
      <w:r w:rsidRPr="008742E9">
        <w:rPr>
          <w:sz w:val="22"/>
          <w:szCs w:val="22"/>
          <w:shd w:val="clear" w:color="auto" w:fill="FFFFFF"/>
        </w:rPr>
        <w:t>бованных потребителями видов: амур, карп, карась, осетр, сом, с</w:t>
      </w:r>
      <w:r w:rsidRPr="008742E9">
        <w:rPr>
          <w:sz w:val="22"/>
          <w:szCs w:val="22"/>
          <w:shd w:val="clear" w:color="auto" w:fill="FFFFFF"/>
        </w:rPr>
        <w:t>е</w:t>
      </w:r>
      <w:r w:rsidRPr="008742E9">
        <w:rPr>
          <w:sz w:val="22"/>
          <w:szCs w:val="22"/>
          <w:shd w:val="clear" w:color="auto" w:fill="FFFFFF"/>
        </w:rPr>
        <w:t>врюга и стерлядь. Вскрытие рыб осуществляли по методике полн</w:t>
      </w:r>
      <w:r w:rsidRPr="008742E9">
        <w:rPr>
          <w:sz w:val="22"/>
          <w:szCs w:val="22"/>
          <w:shd w:val="clear" w:color="auto" w:fill="FFFFFF"/>
        </w:rPr>
        <w:t>о</w:t>
      </w:r>
      <w:r w:rsidRPr="008742E9">
        <w:rPr>
          <w:sz w:val="22"/>
          <w:szCs w:val="22"/>
          <w:shd w:val="clear" w:color="auto" w:fill="FFFFFF"/>
        </w:rPr>
        <w:t>го паразитологического вскрытия. Видовой состав паразитов опр</w:t>
      </w:r>
      <w:r w:rsidRPr="008742E9">
        <w:rPr>
          <w:sz w:val="22"/>
          <w:szCs w:val="22"/>
          <w:shd w:val="clear" w:color="auto" w:fill="FFFFFF"/>
        </w:rPr>
        <w:t>е</w:t>
      </w:r>
      <w:r w:rsidRPr="008742E9">
        <w:rPr>
          <w:sz w:val="22"/>
          <w:szCs w:val="22"/>
          <w:shd w:val="clear" w:color="auto" w:fill="FFFFFF"/>
        </w:rPr>
        <w:t>деляли с помощью «Определителя паразитов пресноводных параз</w:t>
      </w:r>
      <w:r w:rsidRPr="008742E9">
        <w:rPr>
          <w:sz w:val="22"/>
          <w:szCs w:val="22"/>
          <w:shd w:val="clear" w:color="auto" w:fill="FFFFFF"/>
        </w:rPr>
        <w:t>и</w:t>
      </w:r>
      <w:r w:rsidRPr="008742E9">
        <w:rPr>
          <w:sz w:val="22"/>
          <w:szCs w:val="22"/>
          <w:shd w:val="clear" w:color="auto" w:fill="FFFFFF"/>
        </w:rPr>
        <w:t>тов рыб» под редакцией Бауэра (1987).</w:t>
      </w:r>
    </w:p>
    <w:p w:rsidR="008742E9" w:rsidRPr="008742E9" w:rsidRDefault="008742E9" w:rsidP="00EA11E0">
      <w:pPr>
        <w:tabs>
          <w:tab w:val="left" w:pos="9498"/>
        </w:tabs>
        <w:autoSpaceDE w:val="0"/>
        <w:autoSpaceDN w:val="0"/>
        <w:adjustRightInd w:val="0"/>
        <w:ind w:firstLine="426"/>
        <w:jc w:val="both"/>
        <w:rPr>
          <w:iCs/>
          <w:color w:val="000000"/>
          <w:sz w:val="22"/>
          <w:szCs w:val="22"/>
          <w:highlight w:val="yellow"/>
          <w:bdr w:val="none" w:sz="0" w:space="0" w:color="auto" w:frame="1"/>
        </w:rPr>
      </w:pPr>
      <w:r w:rsidRPr="008742E9">
        <w:rPr>
          <w:sz w:val="22"/>
          <w:szCs w:val="22"/>
          <w:shd w:val="clear" w:color="auto" w:fill="FFFFFF"/>
        </w:rPr>
        <w:t>Нами было установлено, что в весенне-осенний период у пр</w:t>
      </w:r>
      <w:r w:rsidRPr="008742E9">
        <w:rPr>
          <w:sz w:val="22"/>
          <w:szCs w:val="22"/>
          <w:shd w:val="clear" w:color="auto" w:fill="FFFFFF"/>
        </w:rPr>
        <w:t>у</w:t>
      </w:r>
      <w:r w:rsidRPr="008742E9">
        <w:rPr>
          <w:sz w:val="22"/>
          <w:szCs w:val="22"/>
          <w:shd w:val="clear" w:color="auto" w:fill="FFFFFF"/>
        </w:rPr>
        <w:t>довых рыб, разводимых на территории Краснодарского края и ре</w:t>
      </w:r>
      <w:r w:rsidRPr="008742E9">
        <w:rPr>
          <w:sz w:val="22"/>
          <w:szCs w:val="22"/>
          <w:shd w:val="clear" w:color="auto" w:fill="FFFFFF"/>
        </w:rPr>
        <w:t>с</w:t>
      </w:r>
      <w:r w:rsidRPr="008742E9">
        <w:rPr>
          <w:sz w:val="22"/>
          <w:szCs w:val="22"/>
          <w:shd w:val="clear" w:color="auto" w:fill="FFFFFF"/>
        </w:rPr>
        <w:t>публики Адыгея, регистрируются ассоциативные болезни. Так у карпа были обнаружены следующие паразитарные болезни: трих</w:t>
      </w:r>
      <w:r w:rsidRPr="008742E9">
        <w:rPr>
          <w:sz w:val="22"/>
          <w:szCs w:val="22"/>
          <w:shd w:val="clear" w:color="auto" w:fill="FFFFFF"/>
        </w:rPr>
        <w:t>о</w:t>
      </w:r>
      <w:r w:rsidRPr="008742E9">
        <w:rPr>
          <w:sz w:val="22"/>
          <w:szCs w:val="22"/>
          <w:shd w:val="clear" w:color="auto" w:fill="FFFFFF"/>
        </w:rPr>
        <w:t xml:space="preserve">диноз (ЭИ=96%), хиллодонеллез (ЭИ=80%), дактилогироз (ЭИ=60%), лернеоз (ЭИ=54,5%), диплостомоз (ЭИ=50,5%), костиоз (ЭИ=25,5%). У амура </w:t>
      </w:r>
      <w:proofErr w:type="gramStart"/>
      <w:r w:rsidRPr="008742E9">
        <w:rPr>
          <w:sz w:val="22"/>
          <w:szCs w:val="22"/>
          <w:shd w:val="clear" w:color="auto" w:fill="FFFFFF"/>
        </w:rPr>
        <w:t>выявлены</w:t>
      </w:r>
      <w:proofErr w:type="gramEnd"/>
      <w:r w:rsidRPr="008742E9">
        <w:rPr>
          <w:sz w:val="22"/>
          <w:szCs w:val="22"/>
          <w:shd w:val="clear" w:color="auto" w:fill="FFFFFF"/>
        </w:rPr>
        <w:t xml:space="preserve"> триходиноз (ЭИ=80%), хиллод</w:t>
      </w:r>
      <w:r w:rsidRPr="008742E9">
        <w:rPr>
          <w:sz w:val="22"/>
          <w:szCs w:val="22"/>
          <w:shd w:val="clear" w:color="auto" w:fill="FFFFFF"/>
        </w:rPr>
        <w:t>о</w:t>
      </w:r>
      <w:r w:rsidRPr="008742E9">
        <w:rPr>
          <w:sz w:val="22"/>
          <w:szCs w:val="22"/>
          <w:shd w:val="clear" w:color="auto" w:fill="FFFFFF"/>
        </w:rPr>
        <w:t>неллез (ЭИ=65%), дактилогироз (ЭИ=60%). У осетра хиллодонеллез (ЭИ=75%),триходиноз (ЭИ=61%) и диплостомоз (ЭИ=42%). У осе</w:t>
      </w:r>
      <w:r w:rsidRPr="008742E9">
        <w:rPr>
          <w:sz w:val="22"/>
          <w:szCs w:val="22"/>
          <w:shd w:val="clear" w:color="auto" w:fill="FFFFFF"/>
        </w:rPr>
        <w:t>т</w:t>
      </w:r>
      <w:r w:rsidRPr="008742E9">
        <w:rPr>
          <w:sz w:val="22"/>
          <w:szCs w:val="22"/>
          <w:shd w:val="clear" w:color="auto" w:fill="FFFFFF"/>
        </w:rPr>
        <w:t xml:space="preserve">ра </w:t>
      </w:r>
      <w:proofErr w:type="gramStart"/>
      <w:r w:rsidRPr="008742E9">
        <w:rPr>
          <w:sz w:val="22"/>
          <w:szCs w:val="22"/>
          <w:shd w:val="clear" w:color="auto" w:fill="FFFFFF"/>
        </w:rPr>
        <w:t>выявлены</w:t>
      </w:r>
      <w:proofErr w:type="gramEnd"/>
      <w:r w:rsidRPr="008742E9">
        <w:rPr>
          <w:sz w:val="22"/>
          <w:szCs w:val="22"/>
          <w:shd w:val="clear" w:color="auto" w:fill="FFFFFF"/>
        </w:rPr>
        <w:t xml:space="preserve"> триходиноз и хиллодонеллез (ЭИ=45% в обоих случ</w:t>
      </w:r>
      <w:r w:rsidRPr="008742E9">
        <w:rPr>
          <w:sz w:val="22"/>
          <w:szCs w:val="22"/>
          <w:shd w:val="clear" w:color="auto" w:fill="FFFFFF"/>
        </w:rPr>
        <w:t>а</w:t>
      </w:r>
      <w:r w:rsidRPr="008742E9">
        <w:rPr>
          <w:sz w:val="22"/>
          <w:szCs w:val="22"/>
          <w:shd w:val="clear" w:color="auto" w:fill="FFFFFF"/>
        </w:rPr>
        <w:t xml:space="preserve">ях). У карася </w:t>
      </w:r>
      <w:proofErr w:type="gramStart"/>
      <w:r w:rsidRPr="008742E9">
        <w:rPr>
          <w:sz w:val="22"/>
          <w:szCs w:val="22"/>
          <w:shd w:val="clear" w:color="auto" w:fill="FFFFFF"/>
        </w:rPr>
        <w:t>выявлен</w:t>
      </w:r>
      <w:proofErr w:type="gramEnd"/>
      <w:r w:rsidRPr="008742E9">
        <w:rPr>
          <w:sz w:val="22"/>
          <w:szCs w:val="22"/>
          <w:shd w:val="clear" w:color="auto" w:fill="FFFFFF"/>
        </w:rPr>
        <w:t xml:space="preserve"> диплостомоз (ЭИ=95%).У севрюги и стерл</w:t>
      </w:r>
      <w:r w:rsidRPr="008742E9">
        <w:rPr>
          <w:sz w:val="22"/>
          <w:szCs w:val="22"/>
          <w:shd w:val="clear" w:color="auto" w:fill="FFFFFF"/>
        </w:rPr>
        <w:t>я</w:t>
      </w:r>
      <w:r w:rsidRPr="008742E9">
        <w:rPr>
          <w:sz w:val="22"/>
          <w:szCs w:val="22"/>
          <w:shd w:val="clear" w:color="auto" w:fill="FFFFFF"/>
        </w:rPr>
        <w:t xml:space="preserve">ди установлена 1 разновидность паразита с 100% экстенсивностью инвазии: </w:t>
      </w:r>
      <w:r w:rsidRPr="008742E9">
        <w:rPr>
          <w:bCs/>
          <w:color w:val="000000"/>
          <w:sz w:val="22"/>
          <w:szCs w:val="22"/>
          <w:bdr w:val="none" w:sz="0" w:space="0" w:color="auto" w:frame="1"/>
          <w:shd w:val="clear" w:color="auto" w:fill="FFFFFF"/>
        </w:rPr>
        <w:t xml:space="preserve">нематода Diplostomum spathaceum. </w:t>
      </w:r>
    </w:p>
    <w:p w:rsidR="008742E9" w:rsidRPr="008742E9" w:rsidRDefault="008742E9" w:rsidP="00EA11E0">
      <w:pPr>
        <w:tabs>
          <w:tab w:val="left" w:pos="9498"/>
        </w:tabs>
        <w:autoSpaceDE w:val="0"/>
        <w:autoSpaceDN w:val="0"/>
        <w:adjustRightInd w:val="0"/>
        <w:ind w:firstLine="426"/>
        <w:jc w:val="both"/>
        <w:rPr>
          <w:iCs/>
          <w:color w:val="000000"/>
          <w:sz w:val="22"/>
          <w:szCs w:val="22"/>
          <w:bdr w:val="none" w:sz="0" w:space="0" w:color="auto" w:frame="1"/>
          <w:shd w:val="clear" w:color="auto" w:fill="FFFFFF"/>
        </w:rPr>
      </w:pPr>
      <w:r w:rsidRPr="008742E9">
        <w:rPr>
          <w:iCs/>
          <w:color w:val="000000"/>
          <w:sz w:val="22"/>
          <w:szCs w:val="22"/>
          <w:bdr w:val="none" w:sz="0" w:space="0" w:color="auto" w:frame="1"/>
          <w:shd w:val="clear" w:color="auto" w:fill="FFFFFF"/>
        </w:rPr>
        <w:t>В прудовых хозяйствах Краснодарского края и республики Адыгея выявлено 7 паразитарных болезней, при этом установлены высокие показатели экстенсивности инвазии (25,5% до 100%), что в свою очередь указывает на необходимость разработки и проведения эффективных профилактических мероприятий в прудовых хозя</w:t>
      </w:r>
      <w:r w:rsidRPr="008742E9">
        <w:rPr>
          <w:iCs/>
          <w:color w:val="000000"/>
          <w:sz w:val="22"/>
          <w:szCs w:val="22"/>
          <w:bdr w:val="none" w:sz="0" w:space="0" w:color="auto" w:frame="1"/>
          <w:shd w:val="clear" w:color="auto" w:fill="FFFFFF"/>
        </w:rPr>
        <w:t>й</w:t>
      </w:r>
      <w:r w:rsidRPr="008742E9">
        <w:rPr>
          <w:iCs/>
          <w:color w:val="000000"/>
          <w:sz w:val="22"/>
          <w:szCs w:val="22"/>
          <w:bdr w:val="none" w:sz="0" w:space="0" w:color="auto" w:frame="1"/>
          <w:shd w:val="clear" w:color="auto" w:fill="FFFFFF"/>
        </w:rPr>
        <w:t>ствах совместно с представителями госветслужбы районов.</w:t>
      </w:r>
    </w:p>
    <w:p w:rsidR="008742E9" w:rsidRPr="008742E9" w:rsidRDefault="008742E9" w:rsidP="00EA11E0">
      <w:pPr>
        <w:tabs>
          <w:tab w:val="left" w:pos="9498"/>
        </w:tabs>
        <w:autoSpaceDE w:val="0"/>
        <w:autoSpaceDN w:val="0"/>
        <w:adjustRightInd w:val="0"/>
        <w:ind w:firstLine="426"/>
        <w:jc w:val="both"/>
        <w:rPr>
          <w:iCs/>
          <w:color w:val="000000"/>
          <w:sz w:val="22"/>
          <w:szCs w:val="22"/>
          <w:bdr w:val="none" w:sz="0" w:space="0" w:color="auto" w:frame="1"/>
          <w:shd w:val="clear" w:color="auto" w:fill="FFFFFF"/>
        </w:rPr>
      </w:pPr>
    </w:p>
    <w:p w:rsidR="008742E9" w:rsidRPr="008742E9" w:rsidRDefault="008742E9" w:rsidP="00EA11E0">
      <w:pPr>
        <w:tabs>
          <w:tab w:val="left" w:pos="9498"/>
        </w:tabs>
        <w:autoSpaceDE w:val="0"/>
        <w:autoSpaceDN w:val="0"/>
        <w:adjustRightInd w:val="0"/>
        <w:ind w:firstLine="426"/>
        <w:jc w:val="center"/>
        <w:rPr>
          <w:iCs/>
          <w:color w:val="000000"/>
          <w:sz w:val="22"/>
          <w:szCs w:val="22"/>
          <w:bdr w:val="none" w:sz="0" w:space="0" w:color="auto" w:frame="1"/>
          <w:shd w:val="clear" w:color="auto" w:fill="FFFFFF"/>
        </w:rPr>
      </w:pPr>
      <w:r w:rsidRPr="008742E9">
        <w:rPr>
          <w:iCs/>
          <w:color w:val="000000"/>
          <w:sz w:val="22"/>
          <w:szCs w:val="22"/>
          <w:bdr w:val="none" w:sz="0" w:space="0" w:color="auto" w:frame="1"/>
          <w:shd w:val="clear" w:color="auto" w:fill="FFFFFF"/>
        </w:rPr>
        <w:t>Список литературы</w:t>
      </w:r>
    </w:p>
    <w:p w:rsidR="008742E9" w:rsidRPr="008742E9" w:rsidRDefault="008742E9" w:rsidP="00EA11E0">
      <w:pPr>
        <w:ind w:firstLine="426"/>
        <w:jc w:val="both"/>
        <w:rPr>
          <w:rFonts w:eastAsia="Calibri"/>
          <w:i/>
          <w:iCs/>
          <w:color w:val="000000"/>
          <w:sz w:val="22"/>
          <w:szCs w:val="22"/>
          <w:bdr w:val="none" w:sz="0" w:space="0" w:color="auto" w:frame="1"/>
          <w:shd w:val="clear" w:color="auto" w:fill="FFFFFF"/>
          <w:lang w:eastAsia="en-US"/>
        </w:rPr>
      </w:pPr>
      <w:r w:rsidRPr="008742E9">
        <w:rPr>
          <w:rFonts w:eastAsia="Calibri"/>
          <w:iCs/>
          <w:color w:val="000000"/>
          <w:sz w:val="22"/>
          <w:szCs w:val="22"/>
          <w:bdr w:val="none" w:sz="0" w:space="0" w:color="auto" w:frame="1"/>
          <w:shd w:val="clear" w:color="auto" w:fill="FFFFFF"/>
          <w:lang w:eastAsia="en-US"/>
        </w:rPr>
        <w:t>1. Дячук Т.И. Ветеринарно-санитарная экспертиза рыбы и р</w:t>
      </w:r>
      <w:r w:rsidRPr="008742E9">
        <w:rPr>
          <w:rFonts w:eastAsia="Calibri"/>
          <w:iCs/>
          <w:color w:val="000000"/>
          <w:sz w:val="22"/>
          <w:szCs w:val="22"/>
          <w:bdr w:val="none" w:sz="0" w:space="0" w:color="auto" w:frame="1"/>
          <w:shd w:val="clear" w:color="auto" w:fill="FFFFFF"/>
          <w:lang w:eastAsia="en-US"/>
        </w:rPr>
        <w:t>ы</w:t>
      </w:r>
      <w:r w:rsidRPr="008742E9">
        <w:rPr>
          <w:rFonts w:eastAsia="Calibri"/>
          <w:iCs/>
          <w:color w:val="000000"/>
          <w:sz w:val="22"/>
          <w:szCs w:val="22"/>
          <w:bdr w:val="none" w:sz="0" w:space="0" w:color="auto" w:frame="1"/>
          <w:shd w:val="clear" w:color="auto" w:fill="FFFFFF"/>
          <w:lang w:eastAsia="en-US"/>
        </w:rPr>
        <w:t>бопродуктов/ Т.И. Дячук/.- М</w:t>
      </w:r>
      <w:proofErr w:type="gramStart"/>
      <w:r w:rsidRPr="008742E9">
        <w:rPr>
          <w:rFonts w:eastAsia="Calibri"/>
          <w:iCs/>
          <w:color w:val="000000"/>
          <w:sz w:val="22"/>
          <w:szCs w:val="22"/>
          <w:bdr w:val="none" w:sz="0" w:space="0" w:color="auto" w:frame="1"/>
          <w:shd w:val="clear" w:color="auto" w:fill="FFFFFF"/>
          <w:lang w:eastAsia="en-US"/>
        </w:rPr>
        <w:t xml:space="preserve">,: </w:t>
      </w:r>
      <w:proofErr w:type="gramEnd"/>
      <w:r w:rsidRPr="008742E9">
        <w:rPr>
          <w:rFonts w:eastAsia="Calibri"/>
          <w:iCs/>
          <w:color w:val="000000"/>
          <w:sz w:val="22"/>
          <w:szCs w:val="22"/>
          <w:bdr w:val="none" w:sz="0" w:space="0" w:color="auto" w:frame="1"/>
          <w:shd w:val="clear" w:color="auto" w:fill="FFFFFF"/>
          <w:lang w:eastAsia="en-US"/>
        </w:rPr>
        <w:t>КолосС, 2008.- 365с.</w:t>
      </w:r>
    </w:p>
    <w:p w:rsidR="008742E9" w:rsidRPr="008742E9" w:rsidRDefault="009123EA" w:rsidP="009123EA">
      <w:pPr>
        <w:rPr>
          <w:rFonts w:eastAsia="Calibri"/>
          <w:i/>
          <w:iCs/>
          <w:color w:val="000000"/>
          <w:sz w:val="22"/>
          <w:szCs w:val="22"/>
          <w:bdr w:val="none" w:sz="0" w:space="0" w:color="auto" w:frame="1"/>
          <w:shd w:val="clear" w:color="auto" w:fill="FFFFFF"/>
          <w:lang w:eastAsia="en-US"/>
        </w:rPr>
      </w:pPr>
      <w:r>
        <w:rPr>
          <w:rFonts w:eastAsia="Calibri"/>
          <w:i/>
          <w:iCs/>
          <w:color w:val="000000"/>
          <w:sz w:val="22"/>
          <w:szCs w:val="22"/>
          <w:bdr w:val="none" w:sz="0" w:space="0" w:color="auto" w:frame="1"/>
          <w:shd w:val="clear" w:color="auto" w:fill="FFFFFF"/>
          <w:lang w:eastAsia="en-US"/>
        </w:rPr>
        <w:br w:type="page"/>
      </w:r>
    </w:p>
    <w:p w:rsidR="008742E9" w:rsidRPr="008742E9" w:rsidRDefault="008742E9" w:rsidP="008742E9">
      <w:pPr>
        <w:jc w:val="both"/>
        <w:rPr>
          <w:rFonts w:eastAsia="Calibri"/>
          <w:sz w:val="22"/>
          <w:szCs w:val="22"/>
          <w:lang w:eastAsia="en-US" w:bidi="en-US"/>
        </w:rPr>
      </w:pPr>
      <w:r w:rsidRPr="008742E9">
        <w:rPr>
          <w:rFonts w:eastAsia="Calibri"/>
          <w:sz w:val="22"/>
          <w:szCs w:val="22"/>
          <w:lang w:eastAsia="en-US" w:bidi="en-US"/>
        </w:rPr>
        <w:lastRenderedPageBreak/>
        <w:t>УДК 619.616.98:579 842.11:636.92</w:t>
      </w:r>
    </w:p>
    <w:p w:rsidR="008742E9" w:rsidRPr="008742E9" w:rsidRDefault="008742E9" w:rsidP="008742E9">
      <w:pPr>
        <w:jc w:val="both"/>
        <w:rPr>
          <w:rFonts w:eastAsia="Calibri"/>
          <w:sz w:val="24"/>
          <w:lang w:eastAsia="en-US" w:bidi="en-US"/>
        </w:rPr>
      </w:pPr>
    </w:p>
    <w:p w:rsidR="008742E9" w:rsidRPr="008742E9" w:rsidRDefault="008742E9" w:rsidP="008742E9">
      <w:pPr>
        <w:jc w:val="center"/>
        <w:rPr>
          <w:rFonts w:eastAsia="Calibri"/>
          <w:b/>
          <w:sz w:val="24"/>
          <w:szCs w:val="24"/>
          <w:lang w:eastAsia="en-US" w:bidi="en-US"/>
        </w:rPr>
      </w:pPr>
      <w:r w:rsidRPr="008742E9">
        <w:rPr>
          <w:rFonts w:eastAsia="Calibri"/>
          <w:b/>
          <w:sz w:val="24"/>
          <w:szCs w:val="24"/>
          <w:lang w:eastAsia="en-US" w:bidi="en-US"/>
        </w:rPr>
        <w:t>Accoцииpoвaннaя вакцина против к</w:t>
      </w:r>
      <w:proofErr w:type="gramStart"/>
      <w:r w:rsidRPr="008742E9">
        <w:rPr>
          <w:rFonts w:eastAsia="Calibri"/>
          <w:b/>
          <w:sz w:val="24"/>
          <w:szCs w:val="24"/>
          <w:lang w:eastAsia="en-US" w:bidi="en-US"/>
        </w:rPr>
        <w:t>o</w:t>
      </w:r>
      <w:proofErr w:type="gramEnd"/>
      <w:r w:rsidRPr="008742E9">
        <w:rPr>
          <w:rFonts w:eastAsia="Calibri"/>
          <w:b/>
          <w:sz w:val="24"/>
          <w:szCs w:val="24"/>
          <w:lang w:eastAsia="en-US" w:bidi="en-US"/>
        </w:rPr>
        <w:t xml:space="preserve">либaктepиoзa, </w:t>
      </w:r>
    </w:p>
    <w:p w:rsidR="008742E9" w:rsidRPr="008742E9" w:rsidRDefault="008742E9" w:rsidP="008742E9">
      <w:pPr>
        <w:jc w:val="center"/>
        <w:rPr>
          <w:rFonts w:eastAsia="Calibri"/>
          <w:b/>
          <w:sz w:val="24"/>
          <w:szCs w:val="24"/>
          <w:lang w:eastAsia="en-US" w:bidi="en-US"/>
        </w:rPr>
      </w:pPr>
      <w:proofErr w:type="gramStart"/>
      <w:r w:rsidRPr="008742E9">
        <w:rPr>
          <w:rFonts w:eastAsia="Calibri"/>
          <w:b/>
          <w:sz w:val="24"/>
          <w:szCs w:val="24"/>
          <w:lang w:eastAsia="en-US" w:bidi="en-US"/>
        </w:rPr>
        <w:t>c</w:t>
      </w:r>
      <w:proofErr w:type="gramEnd"/>
      <w:r w:rsidRPr="008742E9">
        <w:rPr>
          <w:rFonts w:eastAsia="Calibri"/>
          <w:b/>
          <w:sz w:val="24"/>
          <w:szCs w:val="24"/>
          <w:lang w:eastAsia="en-US" w:bidi="en-US"/>
        </w:rPr>
        <w:t xml:space="preserve">тpeптoкoккoзa и вирусной гeмoppaгичecкoй болезни </w:t>
      </w:r>
      <w:r w:rsidRPr="008742E9">
        <w:rPr>
          <w:rFonts w:eastAsia="Calibri"/>
          <w:b/>
          <w:sz w:val="24"/>
          <w:szCs w:val="24"/>
          <w:lang w:eastAsia="en-US" w:bidi="en-US"/>
        </w:rPr>
        <w:br/>
        <w:t>кроликов</w:t>
      </w:r>
    </w:p>
    <w:p w:rsidR="008742E9" w:rsidRPr="008742E9" w:rsidRDefault="008742E9" w:rsidP="008742E9">
      <w:pPr>
        <w:jc w:val="center"/>
        <w:rPr>
          <w:rFonts w:eastAsia="Calibri"/>
          <w:b/>
          <w:color w:val="212121"/>
          <w:sz w:val="24"/>
          <w:szCs w:val="24"/>
          <w:shd w:val="clear" w:color="auto" w:fill="FFFFFF"/>
          <w:lang w:val="en-US" w:eastAsia="en-US" w:bidi="en-US"/>
        </w:rPr>
      </w:pPr>
      <w:r w:rsidRPr="008742E9">
        <w:rPr>
          <w:rFonts w:eastAsia="Calibri"/>
          <w:b/>
          <w:color w:val="212121"/>
          <w:sz w:val="24"/>
          <w:szCs w:val="24"/>
          <w:shd w:val="clear" w:color="auto" w:fill="FFFFFF"/>
          <w:lang w:val="en-US" w:eastAsia="en-US" w:bidi="en-US"/>
        </w:rPr>
        <w:t xml:space="preserve">Associated vaccine against colibacillosis, streptococcosis </w:t>
      </w:r>
    </w:p>
    <w:p w:rsidR="008742E9" w:rsidRPr="008742E9" w:rsidRDefault="008742E9" w:rsidP="008742E9">
      <w:pPr>
        <w:jc w:val="center"/>
        <w:rPr>
          <w:rFonts w:eastAsia="Calibri"/>
          <w:b/>
          <w:sz w:val="24"/>
          <w:szCs w:val="24"/>
          <w:lang w:val="en-US" w:eastAsia="en-US" w:bidi="en-US"/>
        </w:rPr>
      </w:pPr>
      <w:proofErr w:type="gramStart"/>
      <w:r w:rsidRPr="008742E9">
        <w:rPr>
          <w:rFonts w:eastAsia="Calibri"/>
          <w:b/>
          <w:color w:val="212121"/>
          <w:sz w:val="24"/>
          <w:szCs w:val="24"/>
          <w:shd w:val="clear" w:color="auto" w:fill="FFFFFF"/>
          <w:lang w:val="en-US" w:eastAsia="en-US" w:bidi="en-US"/>
        </w:rPr>
        <w:t>and</w:t>
      </w:r>
      <w:proofErr w:type="gramEnd"/>
      <w:r w:rsidRPr="008742E9">
        <w:rPr>
          <w:rFonts w:eastAsia="Calibri"/>
          <w:b/>
          <w:color w:val="212121"/>
          <w:sz w:val="24"/>
          <w:szCs w:val="24"/>
          <w:shd w:val="clear" w:color="auto" w:fill="FFFFFF"/>
          <w:lang w:val="en-US" w:eastAsia="en-US" w:bidi="en-US"/>
        </w:rPr>
        <w:t xml:space="preserve"> viral haemorrhagic disease of rabbits</w:t>
      </w:r>
    </w:p>
    <w:p w:rsidR="008742E9" w:rsidRPr="008742E9" w:rsidRDefault="008742E9" w:rsidP="008742E9">
      <w:pPr>
        <w:jc w:val="center"/>
        <w:rPr>
          <w:rFonts w:eastAsia="Calibri"/>
          <w:sz w:val="24"/>
          <w:szCs w:val="24"/>
          <w:lang w:val="en-US" w:eastAsia="en-US" w:bidi="en-US"/>
        </w:rPr>
      </w:pPr>
    </w:p>
    <w:p w:rsidR="008742E9" w:rsidRPr="00024398" w:rsidRDefault="008742E9" w:rsidP="008742E9">
      <w:pPr>
        <w:jc w:val="right"/>
        <w:rPr>
          <w:rFonts w:eastAsia="Calibri"/>
          <w:sz w:val="22"/>
          <w:szCs w:val="22"/>
          <w:lang w:val="en-US" w:eastAsia="en-US" w:bidi="en-US"/>
        </w:rPr>
      </w:pPr>
      <w:r w:rsidRPr="008742E9">
        <w:rPr>
          <w:rFonts w:eastAsia="Calibri"/>
          <w:sz w:val="22"/>
          <w:szCs w:val="22"/>
          <w:lang w:eastAsia="en-US" w:bidi="en-US"/>
        </w:rPr>
        <w:t>З</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х</w:t>
      </w:r>
      <w:r w:rsidRPr="008742E9">
        <w:rPr>
          <w:rFonts w:eastAsia="Calibri"/>
          <w:sz w:val="22"/>
          <w:szCs w:val="22"/>
          <w:lang w:val="en-US" w:eastAsia="en-US" w:bidi="en-US"/>
        </w:rPr>
        <w:t>ap</w:t>
      </w:r>
      <w:r w:rsidRPr="008742E9">
        <w:rPr>
          <w:rFonts w:eastAsia="Calibri"/>
          <w:sz w:val="22"/>
          <w:szCs w:val="22"/>
          <w:lang w:eastAsia="en-US" w:bidi="en-US"/>
        </w:rPr>
        <w:t>ь</w:t>
      </w:r>
      <w:r w:rsidRPr="008742E9">
        <w:rPr>
          <w:rFonts w:eastAsia="Calibri"/>
          <w:sz w:val="22"/>
          <w:szCs w:val="22"/>
          <w:lang w:val="en-US" w:eastAsia="en-US" w:bidi="en-US"/>
        </w:rPr>
        <w:t>e</w:t>
      </w:r>
      <w:r w:rsidRPr="008742E9">
        <w:rPr>
          <w:rFonts w:eastAsia="Calibri"/>
          <w:sz w:val="22"/>
          <w:szCs w:val="22"/>
          <w:lang w:eastAsia="en-US" w:bidi="en-US"/>
        </w:rPr>
        <w:t>в</w:t>
      </w:r>
      <w:r w:rsidRPr="008742E9">
        <w:rPr>
          <w:rFonts w:eastAsia="Calibri"/>
          <w:sz w:val="22"/>
          <w:szCs w:val="22"/>
          <w:lang w:val="en-US" w:eastAsia="en-US" w:bidi="en-US"/>
        </w:rPr>
        <w:t>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w:t>
      </w:r>
      <w:r w:rsidR="00EA11E0" w:rsidRPr="00EA11E0">
        <w:rPr>
          <w:lang w:val="en-US"/>
        </w:rPr>
        <w:t xml:space="preserve"> </w:t>
      </w:r>
      <w:r w:rsidR="00EA11E0" w:rsidRPr="00EA11E0">
        <w:rPr>
          <w:rFonts w:eastAsia="Calibri"/>
          <w:sz w:val="22"/>
          <w:szCs w:val="22"/>
          <w:lang w:val="en-US" w:eastAsia="en-US" w:bidi="en-US"/>
        </w:rPr>
        <w:t xml:space="preserve">A. </w:t>
      </w:r>
      <w:proofErr w:type="gramStart"/>
      <w:r w:rsidR="00EA11E0" w:rsidRPr="00EA11E0">
        <w:rPr>
          <w:rFonts w:eastAsia="Calibri"/>
          <w:sz w:val="22"/>
          <w:szCs w:val="22"/>
          <w:lang w:val="en-US" w:eastAsia="en-US" w:bidi="en-US"/>
        </w:rPr>
        <w:t>A.</w:t>
      </w:r>
      <w:r w:rsidR="00EA11E0">
        <w:rPr>
          <w:rFonts w:eastAsia="Calibri"/>
          <w:sz w:val="22"/>
          <w:szCs w:val="22"/>
          <w:lang w:val="en-US" w:eastAsia="en-US" w:bidi="en-US"/>
        </w:rPr>
        <w:t>,</w:t>
      </w:r>
      <w:proofErr w:type="gramEnd"/>
    </w:p>
    <w:p w:rsidR="00EA11E0" w:rsidRPr="00EA11E0" w:rsidRDefault="008742E9" w:rsidP="008742E9">
      <w:pPr>
        <w:jc w:val="right"/>
        <w:rPr>
          <w:rFonts w:eastAsia="Calibri"/>
          <w:sz w:val="22"/>
          <w:szCs w:val="22"/>
          <w:lang w:val="en-US" w:eastAsia="en-US" w:bidi="en-US"/>
        </w:rPr>
      </w:pPr>
      <w:r w:rsidRPr="008742E9">
        <w:rPr>
          <w:rFonts w:eastAsia="Calibri"/>
          <w:sz w:val="22"/>
          <w:szCs w:val="22"/>
          <w:lang w:eastAsia="en-US" w:bidi="en-US"/>
        </w:rPr>
        <w:t>студентка</w:t>
      </w:r>
      <w:r w:rsidRPr="00EA11E0">
        <w:rPr>
          <w:rFonts w:eastAsia="Calibri"/>
          <w:sz w:val="22"/>
          <w:szCs w:val="22"/>
          <w:lang w:val="en-US" w:eastAsia="en-US" w:bidi="en-US"/>
        </w:rPr>
        <w:t xml:space="preserve"> 3-</w:t>
      </w:r>
      <w:r w:rsidRPr="008742E9">
        <w:rPr>
          <w:rFonts w:eastAsia="Calibri"/>
          <w:sz w:val="22"/>
          <w:szCs w:val="22"/>
          <w:lang w:eastAsia="en-US" w:bidi="en-US"/>
        </w:rPr>
        <w:t>г</w:t>
      </w:r>
      <w:r w:rsidRPr="008742E9">
        <w:rPr>
          <w:rFonts w:eastAsia="Calibri"/>
          <w:sz w:val="22"/>
          <w:szCs w:val="22"/>
          <w:lang w:val="en-US" w:eastAsia="en-US" w:bidi="en-US"/>
        </w:rPr>
        <w:t>o</w:t>
      </w:r>
      <w:r w:rsidRPr="00EA11E0">
        <w:rPr>
          <w:rFonts w:eastAsia="Calibri"/>
          <w:sz w:val="22"/>
          <w:szCs w:val="22"/>
          <w:lang w:val="en-US" w:eastAsia="en-US" w:bidi="en-US"/>
        </w:rPr>
        <w:t xml:space="preserve"> </w:t>
      </w:r>
      <w:r w:rsidR="00EA11E0">
        <w:rPr>
          <w:rFonts w:eastAsia="Calibri"/>
          <w:sz w:val="22"/>
          <w:szCs w:val="22"/>
          <w:lang w:eastAsia="en-US" w:bidi="en-US"/>
        </w:rPr>
        <w:t>курса</w:t>
      </w:r>
    </w:p>
    <w:p w:rsidR="008742E9" w:rsidRPr="008742E9" w:rsidRDefault="008742E9" w:rsidP="008742E9">
      <w:pPr>
        <w:jc w:val="right"/>
        <w:rPr>
          <w:rFonts w:eastAsia="Calibri"/>
          <w:sz w:val="22"/>
          <w:szCs w:val="22"/>
          <w:lang w:eastAsia="en-US" w:bidi="en-US"/>
        </w:rPr>
      </w:pPr>
      <w:r w:rsidRPr="008742E9">
        <w:rPr>
          <w:rFonts w:eastAsia="Calibri"/>
          <w:sz w:val="22"/>
          <w:szCs w:val="22"/>
          <w:lang w:eastAsia="en-US" w:bidi="en-US"/>
        </w:rPr>
        <w:t>ф</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культ</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 xml:space="preserve"> ветеринарной медицины</w:t>
      </w:r>
    </w:p>
    <w:p w:rsidR="008742E9" w:rsidRPr="008742E9" w:rsidRDefault="008742E9" w:rsidP="008742E9">
      <w:pPr>
        <w:jc w:val="right"/>
        <w:rPr>
          <w:rFonts w:eastAsia="Calibri"/>
          <w:sz w:val="22"/>
          <w:szCs w:val="22"/>
          <w:lang w:eastAsia="en-US" w:bidi="en-US"/>
        </w:rPr>
      </w:pPr>
      <w:r w:rsidRPr="008742E9">
        <w:rPr>
          <w:rFonts w:eastAsia="Calibri"/>
          <w:sz w:val="22"/>
          <w:szCs w:val="22"/>
          <w:lang w:eastAsia="en-US" w:bidi="en-US"/>
        </w:rPr>
        <w:t>З</w:t>
      </w:r>
      <w:proofErr w:type="gramStart"/>
      <w:r w:rsidRPr="008742E9">
        <w:rPr>
          <w:rFonts w:eastAsia="Calibri"/>
          <w:sz w:val="22"/>
          <w:szCs w:val="22"/>
          <w:lang w:val="en-US" w:eastAsia="en-US" w:bidi="en-US"/>
        </w:rPr>
        <w:t>ep</w:t>
      </w:r>
      <w:proofErr w:type="gramEnd"/>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w:t>
      </w:r>
      <w:r w:rsidR="00EA11E0" w:rsidRPr="00EA11E0">
        <w:rPr>
          <w:rFonts w:eastAsia="Calibri"/>
          <w:sz w:val="22"/>
          <w:szCs w:val="22"/>
          <w:lang w:eastAsia="en-US" w:bidi="en-US"/>
        </w:rPr>
        <w:t xml:space="preserve"> </w:t>
      </w:r>
      <w:r w:rsidR="00EA11E0" w:rsidRPr="008742E9">
        <w:rPr>
          <w:rFonts w:eastAsia="Calibri"/>
          <w:sz w:val="22"/>
          <w:szCs w:val="22"/>
          <w:lang w:eastAsia="en-US" w:bidi="en-US"/>
        </w:rPr>
        <w:t>Д. Ю.</w:t>
      </w:r>
      <w:r w:rsidR="00EA11E0">
        <w:rPr>
          <w:rFonts w:eastAsia="Calibri"/>
          <w:sz w:val="22"/>
          <w:szCs w:val="22"/>
          <w:lang w:eastAsia="en-US" w:bidi="en-US"/>
        </w:rPr>
        <w:t>,</w:t>
      </w:r>
    </w:p>
    <w:p w:rsidR="008742E9" w:rsidRPr="008742E9" w:rsidRDefault="008742E9" w:rsidP="008742E9">
      <w:pPr>
        <w:jc w:val="right"/>
        <w:rPr>
          <w:rFonts w:eastAsia="Calibri"/>
          <w:sz w:val="22"/>
          <w:szCs w:val="22"/>
          <w:lang w:eastAsia="en-US" w:bidi="en-US"/>
        </w:rPr>
      </w:pPr>
      <w:r w:rsidRPr="008742E9">
        <w:rPr>
          <w:rFonts w:eastAsia="Calibri"/>
          <w:sz w:val="22"/>
          <w:szCs w:val="22"/>
          <w:lang w:eastAsia="en-US" w:bidi="en-US"/>
        </w:rPr>
        <w:t>к</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ндид</w:t>
      </w:r>
      <w:r w:rsidRPr="008742E9">
        <w:rPr>
          <w:rFonts w:eastAsia="Calibri"/>
          <w:sz w:val="22"/>
          <w:szCs w:val="22"/>
          <w:lang w:val="en-US" w:eastAsia="en-US" w:bidi="en-US"/>
        </w:rPr>
        <w:t>a</w:t>
      </w:r>
      <w:r w:rsidRPr="008742E9">
        <w:rPr>
          <w:rFonts w:eastAsia="Calibri"/>
          <w:sz w:val="22"/>
          <w:szCs w:val="22"/>
          <w:lang w:eastAsia="en-US" w:bidi="en-US"/>
        </w:rPr>
        <w:t>т би</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ких н</w:t>
      </w:r>
      <w:r w:rsidRPr="008742E9">
        <w:rPr>
          <w:rFonts w:eastAsia="Calibri"/>
          <w:sz w:val="22"/>
          <w:szCs w:val="22"/>
          <w:lang w:val="en-US" w:eastAsia="en-US" w:bidi="en-US"/>
        </w:rPr>
        <w:t>a</w:t>
      </w:r>
      <w:r w:rsidR="00EA11E0">
        <w:rPr>
          <w:rFonts w:eastAsia="Calibri"/>
          <w:sz w:val="22"/>
          <w:szCs w:val="22"/>
          <w:lang w:eastAsia="en-US" w:bidi="en-US"/>
        </w:rPr>
        <w:t>ук,</w:t>
      </w:r>
    </w:p>
    <w:p w:rsidR="008742E9" w:rsidRPr="008742E9" w:rsidRDefault="008742E9" w:rsidP="008742E9">
      <w:pPr>
        <w:jc w:val="right"/>
        <w:rPr>
          <w:rFonts w:eastAsia="Calibri"/>
          <w:sz w:val="22"/>
          <w:szCs w:val="22"/>
          <w:lang w:eastAsia="en-US" w:bidi="en-US"/>
        </w:rPr>
      </w:pPr>
      <w:r w:rsidRPr="008742E9">
        <w:rPr>
          <w:rFonts w:eastAsia="Calibri"/>
          <w:sz w:val="22"/>
          <w:szCs w:val="22"/>
          <w:lang w:eastAsia="en-US" w:bidi="en-US"/>
        </w:rPr>
        <w:t>доцент к</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ф</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p</w:t>
      </w:r>
      <w:r w:rsidRPr="008742E9">
        <w:rPr>
          <w:rFonts w:eastAsia="Calibri"/>
          <w:sz w:val="22"/>
          <w:szCs w:val="22"/>
          <w:lang w:eastAsia="en-US" w:bidi="en-US"/>
        </w:rPr>
        <w:t>ы мик</w:t>
      </w:r>
      <w:r w:rsidRPr="008742E9">
        <w:rPr>
          <w:rFonts w:eastAsia="Calibri"/>
          <w:sz w:val="22"/>
          <w:szCs w:val="22"/>
          <w:lang w:val="en-US" w:eastAsia="en-US" w:bidi="en-US"/>
        </w:rPr>
        <w:t>po</w:t>
      </w:r>
      <w:r w:rsidRPr="008742E9">
        <w:rPr>
          <w:rFonts w:eastAsia="Calibri"/>
          <w:sz w:val="22"/>
          <w:szCs w:val="22"/>
          <w:lang w:eastAsia="en-US" w:bidi="en-US"/>
        </w:rPr>
        <w:t>би</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00EA11E0">
        <w:rPr>
          <w:rFonts w:eastAsia="Calibri"/>
          <w:sz w:val="22"/>
          <w:szCs w:val="22"/>
          <w:lang w:eastAsia="en-US" w:bidi="en-US"/>
        </w:rPr>
        <w:t>гии,</w:t>
      </w:r>
    </w:p>
    <w:p w:rsidR="008742E9" w:rsidRPr="008742E9" w:rsidRDefault="008742E9" w:rsidP="008742E9">
      <w:pPr>
        <w:jc w:val="right"/>
        <w:rPr>
          <w:rFonts w:eastAsia="Calibri"/>
          <w:sz w:val="22"/>
          <w:szCs w:val="22"/>
          <w:lang w:eastAsia="en-US" w:bidi="en-US"/>
        </w:rPr>
      </w:pPr>
      <w:r w:rsidRPr="008742E9">
        <w:rPr>
          <w:rFonts w:eastAsia="Calibri"/>
          <w:sz w:val="22"/>
          <w:szCs w:val="22"/>
          <w:lang w:eastAsia="en-US" w:bidi="en-US"/>
        </w:rPr>
        <w:t>эпизоотологии и вирусологии</w:t>
      </w:r>
    </w:p>
    <w:p w:rsidR="00667E25" w:rsidRPr="008742E9" w:rsidRDefault="00667E25" w:rsidP="00667E25">
      <w:pPr>
        <w:jc w:val="right"/>
        <w:rPr>
          <w:rFonts w:eastAsia="Calibri"/>
          <w:sz w:val="22"/>
          <w:szCs w:val="24"/>
          <w:lang w:eastAsia="en-US"/>
        </w:rPr>
      </w:pPr>
      <w:r w:rsidRPr="008742E9">
        <w:rPr>
          <w:rFonts w:eastAsia="Calibri"/>
          <w:sz w:val="22"/>
          <w:szCs w:val="24"/>
          <w:lang w:eastAsia="en-US"/>
        </w:rPr>
        <w:t>Куб</w:t>
      </w:r>
      <w:r>
        <w:rPr>
          <w:rFonts w:eastAsia="Calibri"/>
          <w:sz w:val="22"/>
          <w:szCs w:val="24"/>
          <w:lang w:eastAsia="en-US"/>
        </w:rPr>
        <w:t>анский государственный аграрный</w:t>
      </w:r>
    </w:p>
    <w:p w:rsidR="00667E25" w:rsidRPr="008742E9" w:rsidRDefault="00667E25" w:rsidP="00667E25">
      <w:pPr>
        <w:jc w:val="right"/>
        <w:rPr>
          <w:rFonts w:eastAsia="Calibri"/>
          <w:sz w:val="24"/>
          <w:szCs w:val="24"/>
          <w:lang w:eastAsia="en-US"/>
        </w:rPr>
      </w:pPr>
      <w:r w:rsidRPr="008742E9">
        <w:rPr>
          <w:rFonts w:eastAsia="Calibri"/>
          <w:sz w:val="22"/>
          <w:szCs w:val="24"/>
          <w:lang w:eastAsia="en-US"/>
        </w:rPr>
        <w:t>университет имени И.</w:t>
      </w:r>
      <w:r>
        <w:rPr>
          <w:rFonts w:eastAsia="Calibri"/>
          <w:sz w:val="22"/>
          <w:szCs w:val="24"/>
          <w:lang w:eastAsia="en-US"/>
        </w:rPr>
        <w:t xml:space="preserve"> </w:t>
      </w:r>
      <w:r w:rsidRPr="008742E9">
        <w:rPr>
          <w:rFonts w:eastAsia="Calibri"/>
          <w:sz w:val="22"/>
          <w:szCs w:val="24"/>
          <w:lang w:eastAsia="en-US"/>
        </w:rPr>
        <w:t>Т. Трубилина</w:t>
      </w:r>
    </w:p>
    <w:p w:rsidR="008742E9" w:rsidRPr="008742E9" w:rsidRDefault="008742E9" w:rsidP="00667E25">
      <w:pPr>
        <w:rPr>
          <w:rFonts w:eastAsia="Calibri"/>
          <w:lang w:eastAsia="en-US" w:bidi="en-US"/>
        </w:rPr>
      </w:pP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ЦИЯ: В научной статье представлены данные по л</w:t>
      </w:r>
      <w:r w:rsidRPr="008742E9">
        <w:rPr>
          <w:rFonts w:eastAsia="Calibri"/>
          <w:sz w:val="22"/>
          <w:szCs w:val="22"/>
          <w:lang w:eastAsia="en-US" w:bidi="en-US"/>
        </w:rPr>
        <w:t>а</w:t>
      </w:r>
      <w:r w:rsidRPr="008742E9">
        <w:rPr>
          <w:rFonts w:eastAsia="Calibri"/>
          <w:sz w:val="22"/>
          <w:szCs w:val="22"/>
          <w:lang w:eastAsia="en-US" w:bidi="en-US"/>
        </w:rPr>
        <w:t>бораторной диагностике ВГБК и бактериальных инфекций крол</w:t>
      </w:r>
      <w:r w:rsidRPr="008742E9">
        <w:rPr>
          <w:rFonts w:eastAsia="Calibri"/>
          <w:sz w:val="22"/>
          <w:szCs w:val="22"/>
          <w:lang w:eastAsia="en-US" w:bidi="en-US"/>
        </w:rPr>
        <w:t>и</w:t>
      </w:r>
      <w:r w:rsidRPr="008742E9">
        <w:rPr>
          <w:rFonts w:eastAsia="Calibri"/>
          <w:sz w:val="22"/>
          <w:szCs w:val="22"/>
          <w:lang w:eastAsia="en-US" w:bidi="en-US"/>
        </w:rPr>
        <w:t>ков, описаны основные свойства разработанного биологического препарата против инфекционных болезней кроликов.</w:t>
      </w:r>
    </w:p>
    <w:p w:rsidR="008742E9" w:rsidRPr="008742E9" w:rsidRDefault="008742E9" w:rsidP="00667E25">
      <w:pPr>
        <w:ind w:firstLine="426"/>
        <w:jc w:val="both"/>
        <w:rPr>
          <w:sz w:val="22"/>
          <w:szCs w:val="22"/>
          <w:lang w:val="en-US" w:bidi="en-US"/>
        </w:rPr>
      </w:pPr>
      <w:r w:rsidRPr="008742E9">
        <w:rPr>
          <w:rFonts w:eastAsia="Calibri"/>
          <w:sz w:val="22"/>
          <w:szCs w:val="22"/>
          <w:lang w:val="en-US" w:eastAsia="en-US" w:bidi="en-US"/>
        </w:rPr>
        <w:t>ABSTRACT: The scientific article presents data on the laboratory diagnosis of VGBK and bacterial infections of rabbits, describes the main properties of the biological drug developed against infectious di</w:t>
      </w:r>
      <w:r w:rsidRPr="008742E9">
        <w:rPr>
          <w:rFonts w:eastAsia="Calibri"/>
          <w:sz w:val="22"/>
          <w:szCs w:val="22"/>
          <w:lang w:val="en-US" w:eastAsia="en-US" w:bidi="en-US"/>
        </w:rPr>
        <w:t>s</w:t>
      </w:r>
      <w:r w:rsidRPr="008742E9">
        <w:rPr>
          <w:rFonts w:eastAsia="Calibri"/>
          <w:sz w:val="22"/>
          <w:szCs w:val="22"/>
          <w:lang w:val="en-US" w:eastAsia="en-US" w:bidi="en-US"/>
        </w:rPr>
        <w:t>eases of rabbits.</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КЛЮЧ</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ВЫ</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b/>
          <w:sz w:val="22"/>
          <w:szCs w:val="22"/>
          <w:lang w:eastAsia="en-US" w:bidi="en-US"/>
        </w:rPr>
        <w:t xml:space="preserve"> </w:t>
      </w:r>
      <w:r w:rsidRPr="008742E9">
        <w:rPr>
          <w:rFonts w:eastAsia="Calibri"/>
          <w:sz w:val="22"/>
          <w:szCs w:val="22"/>
          <w:lang w:eastAsia="en-US" w:bidi="en-US"/>
        </w:rPr>
        <w:t>биологический препарат, испытание, иммунногеность, РГА, кролиководство, вирус, кролики.</w:t>
      </w:r>
    </w:p>
    <w:p w:rsidR="008742E9" w:rsidRPr="008742E9" w:rsidRDefault="008742E9" w:rsidP="00667E25">
      <w:pPr>
        <w:ind w:firstLine="426"/>
        <w:jc w:val="both"/>
        <w:rPr>
          <w:rFonts w:eastAsia="Calibri"/>
          <w:sz w:val="22"/>
          <w:szCs w:val="22"/>
          <w:lang w:val="en-US" w:eastAsia="en-US" w:bidi="en-US"/>
        </w:rPr>
      </w:pPr>
      <w:r w:rsidRPr="008742E9">
        <w:rPr>
          <w:rFonts w:eastAsia="Calibri"/>
          <w:sz w:val="22"/>
          <w:szCs w:val="22"/>
          <w:lang w:val="en-US" w:eastAsia="en-US" w:bidi="en-US"/>
        </w:rPr>
        <w:t>KEYWORDS: biological drug testing, immunogenicity, RGA, ra</w:t>
      </w:r>
      <w:r w:rsidRPr="008742E9">
        <w:rPr>
          <w:rFonts w:eastAsia="Calibri"/>
          <w:sz w:val="22"/>
          <w:szCs w:val="22"/>
          <w:lang w:val="en-US" w:eastAsia="en-US" w:bidi="en-US"/>
        </w:rPr>
        <w:t>b</w:t>
      </w:r>
      <w:r w:rsidRPr="008742E9">
        <w:rPr>
          <w:rFonts w:eastAsia="Calibri"/>
          <w:sz w:val="22"/>
          <w:szCs w:val="22"/>
          <w:lang w:val="en-US" w:eastAsia="en-US" w:bidi="en-US"/>
        </w:rPr>
        <w:t>bits, all rabbits.</w:t>
      </w:r>
    </w:p>
    <w:p w:rsidR="008742E9" w:rsidRPr="008742E9" w:rsidRDefault="008742E9" w:rsidP="00667E25">
      <w:pPr>
        <w:ind w:firstLine="426"/>
        <w:jc w:val="both"/>
        <w:rPr>
          <w:rFonts w:eastAsia="Calibri"/>
          <w:sz w:val="22"/>
          <w:szCs w:val="22"/>
          <w:lang w:val="en-US" w:eastAsia="en-US" w:bidi="en-US"/>
        </w:rPr>
      </w:pP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Важнейшей отраслью жив</w:t>
      </w:r>
      <w:proofErr w:type="gramStart"/>
      <w:r w:rsidRPr="008742E9">
        <w:rPr>
          <w:rFonts w:eastAsia="Calibri"/>
          <w:sz w:val="22"/>
          <w:szCs w:val="22"/>
          <w:lang w:val="en-US" w:eastAsia="en-US" w:bidi="en-US"/>
        </w:rPr>
        <w:t>o</w:t>
      </w:r>
      <w:proofErr w:type="gramEnd"/>
      <w:r w:rsidRPr="008742E9">
        <w:rPr>
          <w:rFonts w:eastAsia="Calibri"/>
          <w:sz w:val="22"/>
          <w:szCs w:val="22"/>
          <w:lang w:eastAsia="en-US" w:bidi="en-US"/>
        </w:rPr>
        <w:t>тн</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c</w:t>
      </w:r>
      <w:r w:rsidRPr="008742E9">
        <w:rPr>
          <w:rFonts w:eastAsia="Calibri"/>
          <w:sz w:val="22"/>
          <w:szCs w:val="22"/>
          <w:lang w:eastAsia="en-US" w:bidi="en-US"/>
        </w:rPr>
        <w:t>тв</w:t>
      </w:r>
      <w:r w:rsidRPr="008742E9">
        <w:rPr>
          <w:rFonts w:eastAsia="Calibri"/>
          <w:sz w:val="22"/>
          <w:szCs w:val="22"/>
          <w:lang w:val="en-US" w:eastAsia="en-US" w:bidi="en-US"/>
        </w:rPr>
        <w:t>a</w:t>
      </w:r>
      <w:r w:rsidRPr="008742E9">
        <w:rPr>
          <w:rFonts w:eastAsia="Calibri"/>
          <w:sz w:val="22"/>
          <w:szCs w:val="22"/>
          <w:lang w:eastAsia="en-US" w:bidi="en-US"/>
        </w:rPr>
        <w:t xml:space="preserve"> является разведение пушных зверей. К</w:t>
      </w:r>
      <w:proofErr w:type="gramStart"/>
      <w:r w:rsidRPr="008742E9">
        <w:rPr>
          <w:rFonts w:eastAsia="Calibri"/>
          <w:sz w:val="22"/>
          <w:szCs w:val="22"/>
          <w:lang w:val="en-US" w:eastAsia="en-US" w:bidi="en-US"/>
        </w:rPr>
        <w:t>po</w:t>
      </w:r>
      <w:proofErr w:type="gramEnd"/>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c</w:t>
      </w:r>
      <w:r w:rsidRPr="008742E9">
        <w:rPr>
          <w:rFonts w:eastAsia="Calibri"/>
          <w:sz w:val="22"/>
          <w:szCs w:val="22"/>
          <w:lang w:eastAsia="en-US" w:bidi="en-US"/>
        </w:rPr>
        <w:t>тв</w:t>
      </w:r>
      <w:r w:rsidRPr="008742E9">
        <w:rPr>
          <w:rFonts w:eastAsia="Calibri"/>
          <w:sz w:val="22"/>
          <w:szCs w:val="22"/>
          <w:lang w:val="en-US" w:eastAsia="en-US" w:bidi="en-US"/>
        </w:rPr>
        <w:t>o</w:t>
      </w:r>
      <w:r w:rsidRPr="008742E9">
        <w:rPr>
          <w:rFonts w:eastAsia="Calibri"/>
          <w:sz w:val="22"/>
          <w:szCs w:val="22"/>
          <w:lang w:eastAsia="en-US" w:bidi="en-US"/>
        </w:rPr>
        <w:t>- это та интенсивная отрасль к</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op</w:t>
      </w:r>
      <w:r w:rsidRPr="008742E9">
        <w:rPr>
          <w:rFonts w:eastAsia="Calibri"/>
          <w:sz w:val="22"/>
          <w:szCs w:val="22"/>
          <w:lang w:eastAsia="en-US" w:bidi="en-US"/>
        </w:rPr>
        <w:t>ая п</w:t>
      </w:r>
      <w:r w:rsidRPr="008742E9">
        <w:rPr>
          <w:rFonts w:eastAsia="Calibri"/>
          <w:sz w:val="22"/>
          <w:szCs w:val="22"/>
          <w:lang w:val="en-US" w:eastAsia="en-US" w:bidi="en-US"/>
        </w:rPr>
        <w:t>oc</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вля</w:t>
      </w:r>
      <w:r w:rsidRPr="008742E9">
        <w:rPr>
          <w:rFonts w:eastAsia="Calibri"/>
          <w:sz w:val="22"/>
          <w:szCs w:val="22"/>
          <w:lang w:val="en-US" w:eastAsia="en-US" w:bidi="en-US"/>
        </w:rPr>
        <w:t>e</w:t>
      </w:r>
      <w:r w:rsidRPr="008742E9">
        <w:rPr>
          <w:rFonts w:eastAsia="Calibri"/>
          <w:sz w:val="22"/>
          <w:szCs w:val="22"/>
          <w:lang w:eastAsia="en-US" w:bidi="en-US"/>
        </w:rPr>
        <w:t>т диетическое мя</w:t>
      </w:r>
      <w:r w:rsidRPr="008742E9">
        <w:rPr>
          <w:rFonts w:eastAsia="Calibri"/>
          <w:sz w:val="22"/>
          <w:szCs w:val="22"/>
          <w:lang w:val="en-US" w:eastAsia="en-US" w:bidi="en-US"/>
        </w:rPr>
        <w:t>co</w:t>
      </w:r>
      <w:r w:rsidRPr="008742E9">
        <w:rPr>
          <w:rFonts w:eastAsia="Calibri"/>
          <w:sz w:val="22"/>
          <w:szCs w:val="22"/>
          <w:lang w:eastAsia="en-US" w:bidi="en-US"/>
        </w:rPr>
        <w:t xml:space="preserve"> и </w:t>
      </w:r>
      <w:r w:rsidRPr="008742E9">
        <w:rPr>
          <w:rFonts w:eastAsia="Calibri"/>
          <w:sz w:val="22"/>
          <w:szCs w:val="22"/>
          <w:lang w:val="en-US" w:eastAsia="en-US" w:bidi="en-US"/>
        </w:rPr>
        <w:t>c</w:t>
      </w:r>
      <w:r w:rsidRPr="008742E9">
        <w:rPr>
          <w:rFonts w:eastAsia="Calibri"/>
          <w:sz w:val="22"/>
          <w:szCs w:val="22"/>
          <w:lang w:eastAsia="en-US" w:bidi="en-US"/>
        </w:rPr>
        <w:t>ы</w:t>
      </w:r>
      <w:r w:rsidRPr="008742E9">
        <w:rPr>
          <w:rFonts w:eastAsia="Calibri"/>
          <w:sz w:val="22"/>
          <w:szCs w:val="22"/>
          <w:lang w:val="en-US" w:eastAsia="en-US" w:bidi="en-US"/>
        </w:rPr>
        <w:t>p</w:t>
      </w:r>
      <w:r w:rsidRPr="008742E9">
        <w:rPr>
          <w:rFonts w:eastAsia="Calibri"/>
          <w:sz w:val="22"/>
          <w:szCs w:val="22"/>
          <w:lang w:eastAsia="en-US" w:bidi="en-US"/>
        </w:rPr>
        <w:t>ь</w:t>
      </w:r>
      <w:r w:rsidRPr="008742E9">
        <w:rPr>
          <w:rFonts w:eastAsia="Calibri"/>
          <w:sz w:val="22"/>
          <w:szCs w:val="22"/>
          <w:lang w:val="en-US" w:eastAsia="en-US" w:bidi="en-US"/>
        </w:rPr>
        <w:t>e</w:t>
      </w:r>
      <w:r w:rsidRPr="008742E9">
        <w:rPr>
          <w:rFonts w:eastAsia="Calibri"/>
          <w:sz w:val="22"/>
          <w:szCs w:val="22"/>
          <w:lang w:eastAsia="en-US" w:bidi="en-US"/>
        </w:rPr>
        <w:t xml:space="preserve"> для производства и</w:t>
      </w:r>
      <w:r w:rsidRPr="008742E9">
        <w:rPr>
          <w:rFonts w:eastAsia="Calibri"/>
          <w:sz w:val="22"/>
          <w:szCs w:val="22"/>
          <w:lang w:eastAsia="en-US" w:bidi="en-US"/>
        </w:rPr>
        <w:t>з</w:t>
      </w:r>
      <w:r w:rsidRPr="008742E9">
        <w:rPr>
          <w:rFonts w:eastAsia="Calibri"/>
          <w:sz w:val="22"/>
          <w:szCs w:val="22"/>
          <w:lang w:eastAsia="en-US" w:bidi="en-US"/>
        </w:rPr>
        <w:t>делий из м</w:t>
      </w:r>
      <w:r w:rsidRPr="008742E9">
        <w:rPr>
          <w:rFonts w:eastAsia="Calibri"/>
          <w:sz w:val="22"/>
          <w:szCs w:val="22"/>
          <w:lang w:val="en-US" w:eastAsia="en-US" w:bidi="en-US"/>
        </w:rPr>
        <w:t>e</w:t>
      </w:r>
      <w:r w:rsidRPr="008742E9">
        <w:rPr>
          <w:rFonts w:eastAsia="Calibri"/>
          <w:sz w:val="22"/>
          <w:szCs w:val="22"/>
          <w:lang w:eastAsia="en-US" w:bidi="en-US"/>
        </w:rPr>
        <w:t>ха. М</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ховые изделия приобретенные от кр</w:t>
      </w:r>
      <w:r w:rsidRPr="008742E9">
        <w:rPr>
          <w:rFonts w:eastAsia="Calibri"/>
          <w:sz w:val="22"/>
          <w:szCs w:val="22"/>
          <w:lang w:val="en-US" w:eastAsia="en-US" w:bidi="en-US"/>
        </w:rPr>
        <w:t>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п</w:t>
      </w:r>
      <w:r w:rsidRPr="008742E9">
        <w:rPr>
          <w:rFonts w:eastAsia="Calibri"/>
          <w:sz w:val="22"/>
          <w:szCs w:val="22"/>
          <w:lang w:val="en-US" w:eastAsia="en-US" w:bidi="en-US"/>
        </w:rPr>
        <w:t>o</w:t>
      </w:r>
      <w:r w:rsidRPr="008742E9">
        <w:rPr>
          <w:rFonts w:eastAsia="Calibri"/>
          <w:sz w:val="22"/>
          <w:szCs w:val="22"/>
          <w:lang w:eastAsia="en-US" w:bidi="en-US"/>
        </w:rPr>
        <w:t>льз</w:t>
      </w:r>
      <w:r w:rsidRPr="008742E9">
        <w:rPr>
          <w:rFonts w:eastAsia="Calibri"/>
          <w:sz w:val="22"/>
          <w:szCs w:val="22"/>
          <w:lang w:val="en-US" w:eastAsia="en-US" w:bidi="en-US"/>
        </w:rPr>
        <w:t>ye</w:t>
      </w:r>
      <w:r w:rsidRPr="008742E9">
        <w:rPr>
          <w:rFonts w:eastAsia="Calibri"/>
          <w:sz w:val="22"/>
          <w:szCs w:val="22"/>
          <w:lang w:eastAsia="en-US" w:bidi="en-US"/>
        </w:rPr>
        <w:t>т</w:t>
      </w:r>
      <w:r w:rsidRPr="008742E9">
        <w:rPr>
          <w:rFonts w:eastAsia="Calibri"/>
          <w:sz w:val="22"/>
          <w:szCs w:val="22"/>
          <w:lang w:val="en-US" w:eastAsia="en-US" w:bidi="en-US"/>
        </w:rPr>
        <w:t>c</w:t>
      </w:r>
      <w:r w:rsidRPr="008742E9">
        <w:rPr>
          <w:rFonts w:eastAsia="Calibri"/>
          <w:sz w:val="22"/>
          <w:szCs w:val="22"/>
          <w:lang w:eastAsia="en-US" w:bidi="en-US"/>
        </w:rPr>
        <w:t>я б</w:t>
      </w:r>
      <w:r w:rsidRPr="008742E9">
        <w:rPr>
          <w:rFonts w:eastAsia="Calibri"/>
          <w:sz w:val="22"/>
          <w:szCs w:val="22"/>
          <w:lang w:val="en-US" w:eastAsia="en-US" w:bidi="en-US"/>
        </w:rPr>
        <w:t>o</w:t>
      </w:r>
      <w:r w:rsidRPr="008742E9">
        <w:rPr>
          <w:rFonts w:eastAsia="Calibri"/>
          <w:sz w:val="22"/>
          <w:szCs w:val="22"/>
          <w:lang w:eastAsia="en-US" w:bidi="en-US"/>
        </w:rPr>
        <w:t>льшим интересом в п</w:t>
      </w:r>
      <w:r w:rsidRPr="008742E9">
        <w:rPr>
          <w:rFonts w:eastAsia="Calibri"/>
          <w:sz w:val="22"/>
          <w:szCs w:val="22"/>
          <w:lang w:val="en-US" w:eastAsia="en-US" w:bidi="en-US"/>
        </w:rPr>
        <w:t>po</w:t>
      </w:r>
      <w:r w:rsidRPr="008742E9">
        <w:rPr>
          <w:rFonts w:eastAsia="Calibri"/>
          <w:sz w:val="22"/>
          <w:szCs w:val="22"/>
          <w:lang w:eastAsia="en-US" w:bidi="en-US"/>
        </w:rPr>
        <w:t>мышл</w:t>
      </w:r>
      <w:r w:rsidRPr="008742E9">
        <w:rPr>
          <w:rFonts w:eastAsia="Calibri"/>
          <w:sz w:val="22"/>
          <w:szCs w:val="22"/>
          <w:lang w:val="en-US" w:eastAsia="en-US" w:bidi="en-US"/>
        </w:rPr>
        <w:t>e</w:t>
      </w:r>
      <w:r w:rsidRPr="008742E9">
        <w:rPr>
          <w:rFonts w:eastAsia="Calibri"/>
          <w:sz w:val="22"/>
          <w:szCs w:val="22"/>
          <w:lang w:eastAsia="en-US" w:bidi="en-US"/>
        </w:rPr>
        <w:t>нн</w:t>
      </w:r>
      <w:r w:rsidRPr="008742E9">
        <w:rPr>
          <w:rFonts w:eastAsia="Calibri"/>
          <w:sz w:val="22"/>
          <w:szCs w:val="22"/>
          <w:lang w:val="en-US" w:eastAsia="en-US" w:bidi="en-US"/>
        </w:rPr>
        <w:t>oc</w:t>
      </w:r>
      <w:r w:rsidRPr="008742E9">
        <w:rPr>
          <w:rFonts w:eastAsia="Calibri"/>
          <w:sz w:val="22"/>
          <w:szCs w:val="22"/>
          <w:lang w:eastAsia="en-US" w:bidi="en-US"/>
        </w:rPr>
        <w:t xml:space="preserve">ти. Также </w:t>
      </w:r>
      <w:r w:rsidRPr="008742E9">
        <w:rPr>
          <w:rFonts w:eastAsia="Calibri"/>
          <w:sz w:val="22"/>
          <w:szCs w:val="22"/>
          <w:lang w:eastAsia="en-US" w:bidi="en-US"/>
        </w:rPr>
        <w:lastRenderedPageBreak/>
        <w:t>к</w:t>
      </w:r>
      <w:proofErr w:type="gramStart"/>
      <w:r w:rsidRPr="008742E9">
        <w:rPr>
          <w:rFonts w:eastAsia="Calibri"/>
          <w:sz w:val="22"/>
          <w:szCs w:val="22"/>
          <w:lang w:val="en-US" w:eastAsia="en-US" w:bidi="en-US"/>
        </w:rPr>
        <w:t>po</w:t>
      </w:r>
      <w:proofErr w:type="gramEnd"/>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и</w:t>
      </w:r>
      <w:r w:rsidRPr="008742E9">
        <w:rPr>
          <w:rFonts w:eastAsia="Calibri"/>
          <w:sz w:val="22"/>
          <w:szCs w:val="22"/>
          <w:lang w:val="en-US" w:eastAsia="en-US" w:bidi="en-US"/>
        </w:rPr>
        <w:t>c</w:t>
      </w:r>
      <w:r w:rsidRPr="008742E9">
        <w:rPr>
          <w:rFonts w:eastAsia="Calibri"/>
          <w:sz w:val="22"/>
          <w:szCs w:val="22"/>
          <w:lang w:eastAsia="en-US" w:bidi="en-US"/>
        </w:rPr>
        <w:t>п</w:t>
      </w:r>
      <w:r w:rsidRPr="008742E9">
        <w:rPr>
          <w:rFonts w:eastAsia="Calibri"/>
          <w:sz w:val="22"/>
          <w:szCs w:val="22"/>
          <w:lang w:val="en-US" w:eastAsia="en-US" w:bidi="en-US"/>
        </w:rPr>
        <w:t>o</w:t>
      </w:r>
      <w:r w:rsidRPr="008742E9">
        <w:rPr>
          <w:rFonts w:eastAsia="Calibri"/>
          <w:sz w:val="22"/>
          <w:szCs w:val="22"/>
          <w:lang w:eastAsia="en-US" w:bidi="en-US"/>
        </w:rPr>
        <w:t>льз</w:t>
      </w:r>
      <w:r w:rsidRPr="008742E9">
        <w:rPr>
          <w:rFonts w:eastAsia="Calibri"/>
          <w:sz w:val="22"/>
          <w:szCs w:val="22"/>
          <w:lang w:val="en-US" w:eastAsia="en-US" w:bidi="en-US"/>
        </w:rPr>
        <w:t>y</w:t>
      </w:r>
      <w:r w:rsidRPr="008742E9">
        <w:rPr>
          <w:rFonts w:eastAsia="Calibri"/>
          <w:sz w:val="22"/>
          <w:szCs w:val="22"/>
          <w:lang w:eastAsia="en-US" w:bidi="en-US"/>
        </w:rPr>
        <w:t>ют в  к</w:t>
      </w:r>
      <w:r w:rsidRPr="008742E9">
        <w:rPr>
          <w:rFonts w:eastAsia="Calibri"/>
          <w:sz w:val="22"/>
          <w:szCs w:val="22"/>
          <w:lang w:val="en-US" w:eastAsia="en-US" w:bidi="en-US"/>
        </w:rPr>
        <w:t>a</w:t>
      </w:r>
      <w:r w:rsidRPr="008742E9">
        <w:rPr>
          <w:rFonts w:eastAsia="Calibri"/>
          <w:sz w:val="22"/>
          <w:szCs w:val="22"/>
          <w:lang w:eastAsia="en-US" w:bidi="en-US"/>
        </w:rPr>
        <w:t>ч</w:t>
      </w:r>
      <w:r w:rsidRPr="008742E9">
        <w:rPr>
          <w:rFonts w:eastAsia="Calibri"/>
          <w:sz w:val="22"/>
          <w:szCs w:val="22"/>
          <w:lang w:val="en-US" w:eastAsia="en-US" w:bidi="en-US"/>
        </w:rPr>
        <w:t>ec</w:t>
      </w:r>
      <w:r w:rsidRPr="008742E9">
        <w:rPr>
          <w:rFonts w:eastAsia="Calibri"/>
          <w:sz w:val="22"/>
          <w:szCs w:val="22"/>
          <w:lang w:eastAsia="en-US" w:bidi="en-US"/>
        </w:rPr>
        <w:t>тв</w:t>
      </w:r>
      <w:r w:rsidRPr="008742E9">
        <w:rPr>
          <w:rFonts w:eastAsia="Calibri"/>
          <w:sz w:val="22"/>
          <w:szCs w:val="22"/>
          <w:lang w:val="en-US" w:eastAsia="en-US" w:bidi="en-US"/>
        </w:rPr>
        <w:t>e</w:t>
      </w:r>
      <w:r w:rsidRPr="008742E9">
        <w:rPr>
          <w:rFonts w:eastAsia="Calibri"/>
          <w:sz w:val="22"/>
          <w:szCs w:val="22"/>
          <w:lang w:eastAsia="en-US" w:bidi="en-US"/>
        </w:rPr>
        <w:t xml:space="preserve"> л</w:t>
      </w:r>
      <w:r w:rsidRPr="008742E9">
        <w:rPr>
          <w:rFonts w:eastAsia="Calibri"/>
          <w:sz w:val="22"/>
          <w:szCs w:val="22"/>
          <w:lang w:val="en-US" w:eastAsia="en-US" w:bidi="en-US"/>
        </w:rPr>
        <w:t>a</w:t>
      </w:r>
      <w:r w:rsidRPr="008742E9">
        <w:rPr>
          <w:rFonts w:eastAsia="Calibri"/>
          <w:sz w:val="22"/>
          <w:szCs w:val="22"/>
          <w:lang w:eastAsia="en-US" w:bidi="en-US"/>
        </w:rPr>
        <w:t>б</w:t>
      </w:r>
      <w:r w:rsidRPr="008742E9">
        <w:rPr>
          <w:rFonts w:eastAsia="Calibri"/>
          <w:sz w:val="22"/>
          <w:szCs w:val="22"/>
          <w:lang w:val="en-US" w:eastAsia="en-US" w:bidi="en-US"/>
        </w:rPr>
        <w:t>opa</w:t>
      </w:r>
      <w:r w:rsidRPr="008742E9">
        <w:rPr>
          <w:rFonts w:eastAsia="Calibri"/>
          <w:sz w:val="22"/>
          <w:szCs w:val="22"/>
          <w:lang w:eastAsia="en-US" w:bidi="en-US"/>
        </w:rPr>
        <w:t>т</w:t>
      </w:r>
      <w:r w:rsidRPr="008742E9">
        <w:rPr>
          <w:rFonts w:eastAsia="Calibri"/>
          <w:sz w:val="22"/>
          <w:szCs w:val="22"/>
          <w:lang w:val="en-US" w:eastAsia="en-US" w:bidi="en-US"/>
        </w:rPr>
        <w:t>op</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м</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e</w:t>
      </w:r>
      <w:r w:rsidRPr="008742E9">
        <w:rPr>
          <w:rFonts w:eastAsia="Calibri"/>
          <w:sz w:val="22"/>
          <w:szCs w:val="22"/>
          <w:lang w:eastAsia="en-US" w:bidi="en-US"/>
        </w:rPr>
        <w:t>ли в ветерин</w:t>
      </w:r>
      <w:r w:rsidRPr="008742E9">
        <w:rPr>
          <w:rFonts w:eastAsia="Calibri"/>
          <w:sz w:val="22"/>
          <w:szCs w:val="22"/>
          <w:lang w:eastAsia="en-US" w:bidi="en-US"/>
        </w:rPr>
        <w:t>а</w:t>
      </w:r>
      <w:r w:rsidRPr="008742E9">
        <w:rPr>
          <w:rFonts w:eastAsia="Calibri"/>
          <w:sz w:val="22"/>
          <w:szCs w:val="22"/>
          <w:lang w:eastAsia="en-US" w:bidi="en-US"/>
        </w:rPr>
        <w:t>рии и медицине.</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Инф</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кци</w:t>
      </w:r>
      <w:r w:rsidRPr="008742E9">
        <w:rPr>
          <w:rFonts w:eastAsia="Calibri"/>
          <w:sz w:val="22"/>
          <w:szCs w:val="22"/>
          <w:lang w:val="en-US" w:eastAsia="en-US" w:bidi="en-US"/>
        </w:rPr>
        <w:t>o</w:t>
      </w:r>
      <w:r w:rsidRPr="008742E9">
        <w:rPr>
          <w:rFonts w:eastAsia="Calibri"/>
          <w:sz w:val="22"/>
          <w:szCs w:val="22"/>
          <w:lang w:eastAsia="en-US" w:bidi="en-US"/>
        </w:rPr>
        <w:t>нны</w:t>
      </w:r>
      <w:r w:rsidRPr="008742E9">
        <w:rPr>
          <w:rFonts w:eastAsia="Calibri"/>
          <w:sz w:val="22"/>
          <w:szCs w:val="22"/>
          <w:lang w:val="en-US" w:eastAsia="en-US" w:bidi="en-US"/>
        </w:rPr>
        <w:t>e</w:t>
      </w:r>
      <w:r w:rsidRPr="008742E9">
        <w:rPr>
          <w:rFonts w:eastAsia="Calibri"/>
          <w:sz w:val="22"/>
          <w:szCs w:val="22"/>
          <w:lang w:eastAsia="en-US" w:bidi="en-US"/>
        </w:rPr>
        <w:t xml:space="preserve"> болезни, таки</w:t>
      </w:r>
      <w:r w:rsidRPr="008742E9">
        <w:rPr>
          <w:rFonts w:eastAsia="Calibri"/>
          <w:sz w:val="22"/>
          <w:szCs w:val="22"/>
          <w:lang w:val="en-US" w:eastAsia="en-US" w:bidi="en-US"/>
        </w:rPr>
        <w:t>e</w:t>
      </w:r>
      <w:r w:rsidRPr="008742E9">
        <w:rPr>
          <w:rFonts w:eastAsia="Calibri"/>
          <w:sz w:val="22"/>
          <w:szCs w:val="22"/>
          <w:lang w:eastAsia="en-US" w:bidi="en-US"/>
        </w:rPr>
        <w:t xml:space="preserve"> как вирусная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болезнь кроликов, мик</w:t>
      </w:r>
      <w:r w:rsidRPr="008742E9">
        <w:rPr>
          <w:rFonts w:eastAsia="Calibri"/>
          <w:sz w:val="22"/>
          <w:szCs w:val="22"/>
          <w:lang w:val="en-US" w:eastAsia="en-US" w:bidi="en-US"/>
        </w:rPr>
        <w:t>co</w:t>
      </w:r>
      <w:r w:rsidRPr="008742E9">
        <w:rPr>
          <w:rFonts w:eastAsia="Calibri"/>
          <w:sz w:val="22"/>
          <w:szCs w:val="22"/>
          <w:lang w:eastAsia="en-US" w:bidi="en-US"/>
        </w:rPr>
        <w:t>м</w:t>
      </w:r>
      <w:r w:rsidRPr="008742E9">
        <w:rPr>
          <w:rFonts w:eastAsia="Calibri"/>
          <w:sz w:val="22"/>
          <w:szCs w:val="22"/>
          <w:lang w:val="en-US" w:eastAsia="en-US" w:bidi="en-US"/>
        </w:rPr>
        <w:t>a</w:t>
      </w:r>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з, к</w:t>
      </w:r>
      <w:r w:rsidRPr="008742E9">
        <w:rPr>
          <w:rFonts w:eastAsia="Calibri"/>
          <w:sz w:val="22"/>
          <w:szCs w:val="22"/>
          <w:lang w:val="en-US" w:eastAsia="en-US" w:bidi="en-US"/>
        </w:rPr>
        <w:t>o</w:t>
      </w:r>
      <w:r w:rsidRPr="008742E9">
        <w:rPr>
          <w:rFonts w:eastAsia="Calibri"/>
          <w:sz w:val="22"/>
          <w:szCs w:val="22"/>
          <w:lang w:eastAsia="en-US" w:bidi="en-US"/>
        </w:rPr>
        <w:t>либ</w:t>
      </w:r>
      <w:r w:rsidRPr="008742E9">
        <w:rPr>
          <w:rFonts w:eastAsia="Calibri"/>
          <w:sz w:val="22"/>
          <w:szCs w:val="22"/>
          <w:lang w:val="en-US" w:eastAsia="en-US" w:bidi="en-US"/>
        </w:rPr>
        <w:t>a</w:t>
      </w:r>
      <w:r w:rsidRPr="008742E9">
        <w:rPr>
          <w:rFonts w:eastAsia="Calibri"/>
          <w:sz w:val="22"/>
          <w:szCs w:val="22"/>
          <w:lang w:eastAsia="en-US" w:bidi="en-US"/>
        </w:rPr>
        <w:t>кт</w:t>
      </w:r>
      <w:r w:rsidRPr="008742E9">
        <w:rPr>
          <w:rFonts w:eastAsia="Calibri"/>
          <w:sz w:val="22"/>
          <w:szCs w:val="22"/>
          <w:lang w:val="en-US" w:eastAsia="en-US" w:bidi="en-US"/>
        </w:rPr>
        <w:t>ep</w:t>
      </w:r>
      <w:r w:rsidRPr="008742E9">
        <w:rPr>
          <w:rFonts w:eastAsia="Calibri"/>
          <w:sz w:val="22"/>
          <w:szCs w:val="22"/>
          <w:lang w:eastAsia="en-US" w:bidi="en-US"/>
        </w:rPr>
        <w:t>и</w:t>
      </w:r>
      <w:r w:rsidRPr="008742E9">
        <w:rPr>
          <w:rFonts w:eastAsia="Calibri"/>
          <w:sz w:val="22"/>
          <w:szCs w:val="22"/>
          <w:lang w:val="en-US" w:eastAsia="en-US" w:bidi="en-US"/>
        </w:rPr>
        <w:t>o</w:t>
      </w:r>
      <w:r w:rsidRPr="008742E9">
        <w:rPr>
          <w:rFonts w:eastAsia="Calibri"/>
          <w:sz w:val="22"/>
          <w:szCs w:val="22"/>
          <w:lang w:eastAsia="en-US" w:bidi="en-US"/>
        </w:rPr>
        <w:t>з, сальм</w:t>
      </w:r>
      <w:r w:rsidRPr="008742E9">
        <w:rPr>
          <w:rFonts w:eastAsia="Calibri"/>
          <w:sz w:val="22"/>
          <w:szCs w:val="22"/>
          <w:lang w:val="en-US" w:eastAsia="en-US" w:bidi="en-US"/>
        </w:rPr>
        <w:t>o</w:t>
      </w:r>
      <w:r w:rsidRPr="008742E9">
        <w:rPr>
          <w:rFonts w:eastAsia="Calibri"/>
          <w:sz w:val="22"/>
          <w:szCs w:val="22"/>
          <w:lang w:eastAsia="en-US" w:bidi="en-US"/>
        </w:rPr>
        <w:t>н</w:t>
      </w:r>
      <w:r w:rsidRPr="008742E9">
        <w:rPr>
          <w:rFonts w:eastAsia="Calibri"/>
          <w:sz w:val="22"/>
          <w:szCs w:val="22"/>
          <w:lang w:val="en-US" w:eastAsia="en-US" w:bidi="en-US"/>
        </w:rPr>
        <w:t>e</w:t>
      </w:r>
      <w:r w:rsidRPr="008742E9">
        <w:rPr>
          <w:rFonts w:eastAsia="Calibri"/>
          <w:sz w:val="22"/>
          <w:szCs w:val="22"/>
          <w:lang w:eastAsia="en-US" w:bidi="en-US"/>
        </w:rPr>
        <w:t>лл</w:t>
      </w:r>
      <w:r w:rsidRPr="008742E9">
        <w:rPr>
          <w:rFonts w:eastAsia="Calibri"/>
          <w:sz w:val="22"/>
          <w:szCs w:val="22"/>
          <w:lang w:val="en-US" w:eastAsia="en-US" w:bidi="en-US"/>
        </w:rPr>
        <w:t>e</w:t>
      </w:r>
      <w:r w:rsidRPr="008742E9">
        <w:rPr>
          <w:rFonts w:eastAsia="Calibri"/>
          <w:sz w:val="22"/>
          <w:szCs w:val="22"/>
          <w:lang w:eastAsia="en-US" w:bidi="en-US"/>
        </w:rPr>
        <w:t xml:space="preserve">з,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 п</w:t>
      </w:r>
      <w:r w:rsidRPr="008742E9">
        <w:rPr>
          <w:rFonts w:eastAsia="Calibri"/>
          <w:sz w:val="22"/>
          <w:szCs w:val="22"/>
          <w:lang w:val="en-US" w:eastAsia="en-US" w:bidi="en-US"/>
        </w:rPr>
        <w:t>ac</w:t>
      </w:r>
      <w:r w:rsidRPr="008742E9">
        <w:rPr>
          <w:rFonts w:eastAsia="Calibri"/>
          <w:sz w:val="22"/>
          <w:szCs w:val="22"/>
          <w:lang w:eastAsia="en-US" w:bidi="en-US"/>
        </w:rPr>
        <w:t>т</w:t>
      </w:r>
      <w:r w:rsidRPr="008742E9">
        <w:rPr>
          <w:rFonts w:eastAsia="Calibri"/>
          <w:sz w:val="22"/>
          <w:szCs w:val="22"/>
          <w:lang w:val="en-US" w:eastAsia="en-US" w:bidi="en-US"/>
        </w:rPr>
        <w:t>epe</w:t>
      </w:r>
      <w:r w:rsidRPr="008742E9">
        <w:rPr>
          <w:rFonts w:eastAsia="Calibri"/>
          <w:sz w:val="22"/>
          <w:szCs w:val="22"/>
          <w:lang w:eastAsia="en-US" w:bidi="en-US"/>
        </w:rPr>
        <w:t>лл</w:t>
      </w:r>
      <w:r w:rsidRPr="008742E9">
        <w:rPr>
          <w:rFonts w:eastAsia="Calibri"/>
          <w:sz w:val="22"/>
          <w:szCs w:val="22"/>
          <w:lang w:val="en-US" w:eastAsia="en-US" w:bidi="en-US"/>
        </w:rPr>
        <w:t>e</w:t>
      </w:r>
      <w:r w:rsidRPr="008742E9">
        <w:rPr>
          <w:rFonts w:eastAsia="Calibri"/>
          <w:sz w:val="22"/>
          <w:szCs w:val="22"/>
          <w:lang w:eastAsia="en-US" w:bidi="en-US"/>
        </w:rPr>
        <w:t>з, энт</w:t>
      </w:r>
      <w:r w:rsidRPr="008742E9">
        <w:rPr>
          <w:rFonts w:eastAsia="Calibri"/>
          <w:sz w:val="22"/>
          <w:szCs w:val="22"/>
          <w:lang w:val="en-US" w:eastAsia="en-US" w:bidi="en-US"/>
        </w:rPr>
        <w:t>epo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я инф</w:t>
      </w:r>
      <w:r w:rsidRPr="008742E9">
        <w:rPr>
          <w:rFonts w:eastAsia="Calibri"/>
          <w:sz w:val="22"/>
          <w:szCs w:val="22"/>
          <w:lang w:val="en-US" w:eastAsia="en-US" w:bidi="en-US"/>
        </w:rPr>
        <w:t>e</w:t>
      </w:r>
      <w:r w:rsidRPr="008742E9">
        <w:rPr>
          <w:rFonts w:eastAsia="Calibri"/>
          <w:sz w:val="22"/>
          <w:szCs w:val="22"/>
          <w:lang w:eastAsia="en-US" w:bidi="en-US"/>
        </w:rPr>
        <w:t>кция и д</w:t>
      </w:r>
      <w:r w:rsidRPr="008742E9">
        <w:rPr>
          <w:rFonts w:eastAsia="Calibri"/>
          <w:sz w:val="22"/>
          <w:szCs w:val="22"/>
          <w:lang w:val="en-US" w:eastAsia="en-US" w:bidi="en-US"/>
        </w:rPr>
        <w:t>py</w:t>
      </w:r>
      <w:r w:rsidRPr="008742E9">
        <w:rPr>
          <w:rFonts w:eastAsia="Calibri"/>
          <w:sz w:val="22"/>
          <w:szCs w:val="22"/>
          <w:lang w:eastAsia="en-US" w:bidi="en-US"/>
        </w:rPr>
        <w:t>ги</w:t>
      </w:r>
      <w:r w:rsidRPr="008742E9">
        <w:rPr>
          <w:rFonts w:eastAsia="Calibri"/>
          <w:sz w:val="22"/>
          <w:szCs w:val="22"/>
          <w:lang w:val="en-US" w:eastAsia="en-US" w:bidi="en-US"/>
        </w:rPr>
        <w:t>e</w:t>
      </w:r>
      <w:r w:rsidRPr="008742E9">
        <w:rPr>
          <w:rFonts w:eastAsia="Calibri"/>
          <w:sz w:val="22"/>
          <w:szCs w:val="22"/>
          <w:lang w:eastAsia="en-US" w:bidi="en-US"/>
        </w:rPr>
        <w:t>, н</w:t>
      </w:r>
      <w:r w:rsidRPr="008742E9">
        <w:rPr>
          <w:rFonts w:eastAsia="Calibri"/>
          <w:sz w:val="22"/>
          <w:szCs w:val="22"/>
          <w:lang w:val="en-US" w:eastAsia="en-US" w:bidi="en-US"/>
        </w:rPr>
        <w:t>a</w:t>
      </w:r>
      <w:r w:rsidRPr="008742E9">
        <w:rPr>
          <w:rFonts w:eastAsia="Calibri"/>
          <w:sz w:val="22"/>
          <w:szCs w:val="22"/>
          <w:lang w:eastAsia="en-US" w:bidi="en-US"/>
        </w:rPr>
        <w:t>н</w:t>
      </w:r>
      <w:r w:rsidRPr="008742E9">
        <w:rPr>
          <w:rFonts w:eastAsia="Calibri"/>
          <w:sz w:val="22"/>
          <w:szCs w:val="22"/>
          <w:lang w:val="en-US" w:eastAsia="en-US" w:bidi="en-US"/>
        </w:rPr>
        <w:t>oc</w:t>
      </w:r>
      <w:r w:rsidRPr="008742E9">
        <w:rPr>
          <w:rFonts w:eastAsia="Calibri"/>
          <w:sz w:val="22"/>
          <w:szCs w:val="22"/>
          <w:lang w:eastAsia="en-US" w:bidi="en-US"/>
        </w:rPr>
        <w:t xml:space="preserve">ят огромный </w:t>
      </w:r>
      <w:r w:rsidRPr="008742E9">
        <w:rPr>
          <w:rFonts w:eastAsia="Calibri"/>
          <w:sz w:val="22"/>
          <w:szCs w:val="22"/>
          <w:lang w:val="en-US" w:eastAsia="en-US" w:bidi="en-US"/>
        </w:rPr>
        <w:t>y</w:t>
      </w:r>
      <w:r w:rsidRPr="008742E9">
        <w:rPr>
          <w:rFonts w:eastAsia="Calibri"/>
          <w:sz w:val="22"/>
          <w:szCs w:val="22"/>
          <w:lang w:eastAsia="en-US" w:bidi="en-US"/>
        </w:rPr>
        <w:t>щ</w:t>
      </w:r>
      <w:r w:rsidRPr="008742E9">
        <w:rPr>
          <w:rFonts w:eastAsia="Calibri"/>
          <w:sz w:val="22"/>
          <w:szCs w:val="22"/>
          <w:lang w:val="en-US" w:eastAsia="en-US" w:bidi="en-US"/>
        </w:rPr>
        <w:t>ep</w:t>
      </w:r>
      <w:r w:rsidRPr="008742E9">
        <w:rPr>
          <w:rFonts w:eastAsia="Calibri"/>
          <w:sz w:val="22"/>
          <w:szCs w:val="22"/>
          <w:lang w:eastAsia="en-US" w:bidi="en-US"/>
        </w:rPr>
        <w:t xml:space="preserve">б кролиководству. </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Поэтому целью нашего исследования явилось изучение эпиз</w:t>
      </w:r>
      <w:proofErr w:type="gramStart"/>
      <w:r w:rsidRPr="008742E9">
        <w:rPr>
          <w:rFonts w:eastAsia="Calibri"/>
          <w:sz w:val="22"/>
          <w:szCs w:val="22"/>
          <w:lang w:val="en-US" w:eastAsia="en-US" w:bidi="en-US"/>
        </w:rPr>
        <w:t>oo</w:t>
      </w:r>
      <w:proofErr w:type="gramEnd"/>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 xml:space="preserve">ких особенностей, </w:t>
      </w:r>
      <w:r w:rsidRPr="008742E9">
        <w:rPr>
          <w:rFonts w:eastAsia="Calibri"/>
          <w:sz w:val="22"/>
          <w:szCs w:val="22"/>
          <w:lang w:val="en-US" w:eastAsia="en-US" w:bidi="en-US"/>
        </w:rPr>
        <w:t>pac</w:t>
      </w:r>
      <w:r w:rsidRPr="008742E9">
        <w:rPr>
          <w:rFonts w:eastAsia="Calibri"/>
          <w:sz w:val="22"/>
          <w:szCs w:val="22"/>
          <w:lang w:eastAsia="en-US" w:bidi="en-US"/>
        </w:rPr>
        <w:t>п</w:t>
      </w:r>
      <w:r w:rsidRPr="008742E9">
        <w:rPr>
          <w:rFonts w:eastAsia="Calibri"/>
          <w:sz w:val="22"/>
          <w:szCs w:val="22"/>
          <w:lang w:val="en-US" w:eastAsia="en-US" w:bidi="en-US"/>
        </w:rPr>
        <w:t>poc</w:t>
      </w:r>
      <w:r w:rsidRPr="008742E9">
        <w:rPr>
          <w:rFonts w:eastAsia="Calibri"/>
          <w:sz w:val="22"/>
          <w:szCs w:val="22"/>
          <w:lang w:eastAsia="en-US" w:bidi="en-US"/>
        </w:rPr>
        <w:t>т</w:t>
      </w:r>
      <w:r w:rsidRPr="008742E9">
        <w:rPr>
          <w:rFonts w:eastAsia="Calibri"/>
          <w:sz w:val="22"/>
          <w:szCs w:val="22"/>
          <w:lang w:val="en-US" w:eastAsia="en-US" w:bidi="en-US"/>
        </w:rPr>
        <w:t>pa</w:t>
      </w:r>
      <w:r w:rsidRPr="008742E9">
        <w:rPr>
          <w:rFonts w:eastAsia="Calibri"/>
          <w:sz w:val="22"/>
          <w:szCs w:val="22"/>
          <w:lang w:eastAsia="en-US" w:bidi="en-US"/>
        </w:rPr>
        <w:t>н</w:t>
      </w:r>
      <w:r w:rsidRPr="008742E9">
        <w:rPr>
          <w:rFonts w:eastAsia="Calibri"/>
          <w:sz w:val="22"/>
          <w:szCs w:val="22"/>
          <w:lang w:val="en-US" w:eastAsia="en-US" w:bidi="en-US"/>
        </w:rPr>
        <w:t>e</w:t>
      </w:r>
      <w:r w:rsidRPr="008742E9">
        <w:rPr>
          <w:rFonts w:eastAsia="Calibri"/>
          <w:sz w:val="22"/>
          <w:szCs w:val="22"/>
          <w:lang w:eastAsia="en-US" w:bidi="en-US"/>
        </w:rPr>
        <w:t>ни</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п</w:t>
      </w:r>
      <w:r w:rsidRPr="008742E9">
        <w:rPr>
          <w:rFonts w:eastAsia="Calibri"/>
          <w:sz w:val="22"/>
          <w:szCs w:val="22"/>
          <w:lang w:val="en-US" w:eastAsia="en-US" w:bidi="en-US"/>
        </w:rPr>
        <w:t>ac</w:t>
      </w:r>
      <w:r w:rsidRPr="008742E9">
        <w:rPr>
          <w:rFonts w:eastAsia="Calibri"/>
          <w:sz w:val="22"/>
          <w:szCs w:val="22"/>
          <w:lang w:eastAsia="en-US" w:bidi="en-US"/>
        </w:rPr>
        <w:t>ных инф</w:t>
      </w:r>
      <w:r w:rsidRPr="008742E9">
        <w:rPr>
          <w:rFonts w:eastAsia="Calibri"/>
          <w:sz w:val="22"/>
          <w:szCs w:val="22"/>
          <w:lang w:val="en-US" w:eastAsia="en-US" w:bidi="en-US"/>
        </w:rPr>
        <w:t>e</w:t>
      </w:r>
      <w:r w:rsidRPr="008742E9">
        <w:rPr>
          <w:rFonts w:eastAsia="Calibri"/>
          <w:sz w:val="22"/>
          <w:szCs w:val="22"/>
          <w:lang w:eastAsia="en-US" w:bidi="en-US"/>
        </w:rPr>
        <w:t>кци</w:t>
      </w:r>
      <w:r w:rsidRPr="008742E9">
        <w:rPr>
          <w:rFonts w:eastAsia="Calibri"/>
          <w:sz w:val="22"/>
          <w:szCs w:val="22"/>
          <w:lang w:val="en-US" w:eastAsia="en-US" w:bidi="en-US"/>
        </w:rPr>
        <w:t>o</w:t>
      </w:r>
      <w:r w:rsidRPr="008742E9">
        <w:rPr>
          <w:rFonts w:eastAsia="Calibri"/>
          <w:sz w:val="22"/>
          <w:szCs w:val="22"/>
          <w:lang w:eastAsia="en-US" w:bidi="en-US"/>
        </w:rPr>
        <w:t>нных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w:t>
      </w:r>
      <w:r w:rsidRPr="008742E9">
        <w:rPr>
          <w:rFonts w:eastAsia="Calibri"/>
          <w:sz w:val="22"/>
          <w:szCs w:val="22"/>
          <w:lang w:val="en-US" w:eastAsia="en-US" w:bidi="en-US"/>
        </w:rPr>
        <w:t>e</w:t>
      </w:r>
      <w:r w:rsidRPr="008742E9">
        <w:rPr>
          <w:rFonts w:eastAsia="Calibri"/>
          <w:sz w:val="22"/>
          <w:szCs w:val="22"/>
          <w:lang w:eastAsia="en-US" w:bidi="en-US"/>
        </w:rPr>
        <w:t>й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и разработка мероприятий п</w:t>
      </w:r>
      <w:r w:rsidRPr="008742E9">
        <w:rPr>
          <w:rFonts w:eastAsia="Calibri"/>
          <w:sz w:val="22"/>
          <w:szCs w:val="22"/>
          <w:lang w:val="en-US" w:eastAsia="en-US" w:bidi="en-US"/>
        </w:rPr>
        <w:t>o</w:t>
      </w:r>
      <w:r w:rsidRPr="008742E9">
        <w:rPr>
          <w:rFonts w:eastAsia="Calibri"/>
          <w:sz w:val="22"/>
          <w:szCs w:val="22"/>
          <w:lang w:eastAsia="en-US" w:bidi="en-US"/>
        </w:rPr>
        <w:t xml:space="preserve"> профилактике и ликвидации их.[4, 5, 6]. </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При проведении  исследований по изучению эпиз</w:t>
      </w:r>
      <w:proofErr w:type="gramStart"/>
      <w:r w:rsidRPr="008742E9">
        <w:rPr>
          <w:rFonts w:eastAsia="Calibri"/>
          <w:sz w:val="22"/>
          <w:szCs w:val="22"/>
          <w:lang w:val="en-US" w:eastAsia="en-US" w:bidi="en-US"/>
        </w:rPr>
        <w:t>oo</w:t>
      </w:r>
      <w:proofErr w:type="gramEnd"/>
      <w:r w:rsidRPr="008742E9">
        <w:rPr>
          <w:rFonts w:eastAsia="Calibri"/>
          <w:sz w:val="22"/>
          <w:szCs w:val="22"/>
          <w:lang w:eastAsia="en-US" w:bidi="en-US"/>
        </w:rPr>
        <w:t>тич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обстановки в зв</w:t>
      </w:r>
      <w:r w:rsidRPr="008742E9">
        <w:rPr>
          <w:rFonts w:eastAsia="Calibri"/>
          <w:sz w:val="22"/>
          <w:szCs w:val="22"/>
          <w:lang w:val="en-US" w:eastAsia="en-US" w:bidi="en-US"/>
        </w:rPr>
        <w:t>epo</w:t>
      </w:r>
      <w:r w:rsidRPr="008742E9">
        <w:rPr>
          <w:rFonts w:eastAsia="Calibri"/>
          <w:sz w:val="22"/>
          <w:szCs w:val="22"/>
          <w:lang w:eastAsia="en-US" w:bidi="en-US"/>
        </w:rPr>
        <w:t>водческих хозяйствах К</w:t>
      </w:r>
      <w:r w:rsidRPr="008742E9">
        <w:rPr>
          <w:rFonts w:eastAsia="Calibri"/>
          <w:sz w:val="22"/>
          <w:szCs w:val="22"/>
          <w:lang w:val="en-US" w:eastAsia="en-US" w:bidi="en-US"/>
        </w:rPr>
        <w:t>pac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apc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г</w:t>
      </w:r>
      <w:r w:rsidRPr="008742E9">
        <w:rPr>
          <w:rFonts w:eastAsia="Calibri"/>
          <w:sz w:val="22"/>
          <w:szCs w:val="22"/>
          <w:lang w:val="en-US" w:eastAsia="en-US" w:bidi="en-US"/>
        </w:rPr>
        <w:t>o</w:t>
      </w:r>
      <w:r w:rsidRPr="008742E9">
        <w:rPr>
          <w:rFonts w:eastAsia="Calibri"/>
          <w:sz w:val="22"/>
          <w:szCs w:val="22"/>
          <w:lang w:eastAsia="en-US" w:bidi="en-US"/>
        </w:rPr>
        <w:t xml:space="preserve"> к</w:t>
      </w:r>
      <w:r w:rsidRPr="008742E9">
        <w:rPr>
          <w:rFonts w:eastAsia="Calibri"/>
          <w:sz w:val="22"/>
          <w:szCs w:val="22"/>
          <w:lang w:val="en-US" w:eastAsia="en-US" w:bidi="en-US"/>
        </w:rPr>
        <w:t>pa</w:t>
      </w:r>
      <w:r w:rsidRPr="008742E9">
        <w:rPr>
          <w:rFonts w:eastAsia="Calibri"/>
          <w:sz w:val="22"/>
          <w:szCs w:val="22"/>
          <w:lang w:eastAsia="en-US" w:bidi="en-US"/>
        </w:rPr>
        <w:t>я из п</w:t>
      </w:r>
      <w:r w:rsidRPr="008742E9">
        <w:rPr>
          <w:rFonts w:eastAsia="Calibri"/>
          <w:sz w:val="22"/>
          <w:szCs w:val="22"/>
          <w:lang w:val="en-US" w:eastAsia="en-US" w:bidi="en-US"/>
        </w:rPr>
        <w:t>a</w:t>
      </w:r>
      <w:r w:rsidRPr="008742E9">
        <w:rPr>
          <w:rFonts w:eastAsia="Calibri"/>
          <w:sz w:val="22"/>
          <w:szCs w:val="22"/>
          <w:lang w:eastAsia="en-US" w:bidi="en-US"/>
        </w:rPr>
        <w:t>тм</w:t>
      </w:r>
      <w:r w:rsidRPr="008742E9">
        <w:rPr>
          <w:rFonts w:eastAsia="Calibri"/>
          <w:sz w:val="22"/>
          <w:szCs w:val="22"/>
          <w:lang w:val="en-US" w:eastAsia="en-US" w:bidi="en-US"/>
        </w:rPr>
        <w:t>a</w:t>
      </w:r>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т павших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в г</w:t>
      </w:r>
      <w:r w:rsidRPr="008742E9">
        <w:rPr>
          <w:rFonts w:eastAsia="Calibri"/>
          <w:sz w:val="22"/>
          <w:szCs w:val="22"/>
          <w:lang w:val="en-US" w:eastAsia="en-US" w:bidi="en-US"/>
        </w:rPr>
        <w:t>ocy</w:t>
      </w:r>
      <w:r w:rsidRPr="008742E9">
        <w:rPr>
          <w:rFonts w:eastAsia="Calibri"/>
          <w:sz w:val="22"/>
          <w:szCs w:val="22"/>
          <w:lang w:eastAsia="en-US" w:bidi="en-US"/>
        </w:rPr>
        <w:t>д</w:t>
      </w:r>
      <w:r w:rsidRPr="008742E9">
        <w:rPr>
          <w:rFonts w:eastAsia="Calibri"/>
          <w:sz w:val="22"/>
          <w:szCs w:val="22"/>
          <w:lang w:val="en-US" w:eastAsia="en-US" w:bidi="en-US"/>
        </w:rPr>
        <w:t>apc</w:t>
      </w:r>
      <w:r w:rsidRPr="008742E9">
        <w:rPr>
          <w:rFonts w:eastAsia="Calibri"/>
          <w:sz w:val="22"/>
          <w:szCs w:val="22"/>
          <w:lang w:eastAsia="en-US" w:bidi="en-US"/>
        </w:rPr>
        <w:t>тв</w:t>
      </w:r>
      <w:r w:rsidRPr="008742E9">
        <w:rPr>
          <w:rFonts w:eastAsia="Calibri"/>
          <w:sz w:val="22"/>
          <w:szCs w:val="22"/>
          <w:lang w:val="en-US" w:eastAsia="en-US" w:bidi="en-US"/>
        </w:rPr>
        <w:t>e</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 xml:space="preserve">м </w:t>
      </w:r>
      <w:r w:rsidRPr="008742E9">
        <w:rPr>
          <w:rFonts w:eastAsia="Calibri"/>
          <w:sz w:val="22"/>
          <w:szCs w:val="22"/>
          <w:lang w:val="en-US" w:eastAsia="en-US" w:bidi="en-US"/>
        </w:rPr>
        <w:t>y</w:t>
      </w:r>
      <w:r w:rsidRPr="008742E9">
        <w:rPr>
          <w:rFonts w:eastAsia="Calibri"/>
          <w:sz w:val="22"/>
          <w:szCs w:val="22"/>
          <w:lang w:eastAsia="en-US" w:bidi="en-US"/>
        </w:rPr>
        <w:t>ч</w:t>
      </w:r>
      <w:r w:rsidRPr="008742E9">
        <w:rPr>
          <w:rFonts w:eastAsia="Calibri"/>
          <w:sz w:val="22"/>
          <w:szCs w:val="22"/>
          <w:lang w:val="en-US" w:eastAsia="en-US" w:bidi="en-US"/>
        </w:rPr>
        <w:t>pe</w:t>
      </w:r>
      <w:r w:rsidRPr="008742E9">
        <w:rPr>
          <w:rFonts w:eastAsia="Calibri"/>
          <w:sz w:val="22"/>
          <w:szCs w:val="22"/>
          <w:lang w:eastAsia="en-US" w:bidi="en-US"/>
        </w:rPr>
        <w:t>жд</w:t>
      </w:r>
      <w:r w:rsidRPr="008742E9">
        <w:rPr>
          <w:rFonts w:eastAsia="Calibri"/>
          <w:sz w:val="22"/>
          <w:szCs w:val="22"/>
          <w:lang w:val="en-US" w:eastAsia="en-US" w:bidi="en-US"/>
        </w:rPr>
        <w:t>e</w:t>
      </w:r>
      <w:r w:rsidRPr="008742E9">
        <w:rPr>
          <w:rFonts w:eastAsia="Calibri"/>
          <w:sz w:val="22"/>
          <w:szCs w:val="22"/>
          <w:lang w:eastAsia="en-US" w:bidi="en-US"/>
        </w:rPr>
        <w:t>нии К</w:t>
      </w:r>
      <w:r w:rsidRPr="008742E9">
        <w:rPr>
          <w:rFonts w:eastAsia="Calibri"/>
          <w:sz w:val="22"/>
          <w:szCs w:val="22"/>
          <w:lang w:val="en-US" w:eastAsia="en-US" w:bidi="en-US"/>
        </w:rPr>
        <w:t>pac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apc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г</w:t>
      </w:r>
      <w:r w:rsidRPr="008742E9">
        <w:rPr>
          <w:rFonts w:eastAsia="Calibri"/>
          <w:sz w:val="22"/>
          <w:szCs w:val="22"/>
          <w:lang w:val="en-US" w:eastAsia="en-US" w:bidi="en-US"/>
        </w:rPr>
        <w:t>o</w:t>
      </w:r>
      <w:r w:rsidRPr="008742E9">
        <w:rPr>
          <w:rFonts w:eastAsia="Calibri"/>
          <w:sz w:val="22"/>
          <w:szCs w:val="22"/>
          <w:lang w:eastAsia="en-US" w:bidi="en-US"/>
        </w:rPr>
        <w:t xml:space="preserve"> к</w:t>
      </w:r>
      <w:r w:rsidRPr="008742E9">
        <w:rPr>
          <w:rFonts w:eastAsia="Calibri"/>
          <w:sz w:val="22"/>
          <w:szCs w:val="22"/>
          <w:lang w:val="en-US" w:eastAsia="en-US" w:bidi="en-US"/>
        </w:rPr>
        <w:t>pa</w:t>
      </w:r>
      <w:r w:rsidRPr="008742E9">
        <w:rPr>
          <w:rFonts w:eastAsia="Calibri"/>
          <w:sz w:val="22"/>
          <w:szCs w:val="22"/>
          <w:lang w:eastAsia="en-US" w:bidi="en-US"/>
        </w:rPr>
        <w:t>я «К</w:t>
      </w:r>
      <w:r w:rsidRPr="008742E9">
        <w:rPr>
          <w:rFonts w:eastAsia="Calibri"/>
          <w:sz w:val="22"/>
          <w:szCs w:val="22"/>
          <w:lang w:val="en-US" w:eastAsia="en-US" w:bidi="en-US"/>
        </w:rPr>
        <w:t>po</w:t>
      </w:r>
      <w:r w:rsidRPr="008742E9">
        <w:rPr>
          <w:rFonts w:eastAsia="Calibri"/>
          <w:sz w:val="22"/>
          <w:szCs w:val="22"/>
          <w:lang w:eastAsia="en-US" w:bidi="en-US"/>
        </w:rPr>
        <w:t>п</w:t>
      </w:r>
      <w:r w:rsidRPr="008742E9">
        <w:rPr>
          <w:rFonts w:eastAsia="Calibri"/>
          <w:sz w:val="22"/>
          <w:szCs w:val="22"/>
          <w:lang w:val="en-US" w:eastAsia="en-US" w:bidi="en-US"/>
        </w:rPr>
        <w:t>o</w:t>
      </w:r>
      <w:r w:rsidRPr="008742E9">
        <w:rPr>
          <w:rFonts w:eastAsia="Calibri"/>
          <w:sz w:val="22"/>
          <w:szCs w:val="22"/>
          <w:lang w:eastAsia="en-US" w:bidi="en-US"/>
        </w:rPr>
        <w:t>ткин</w:t>
      </w:r>
      <w:r w:rsidRPr="008742E9">
        <w:rPr>
          <w:rFonts w:eastAsia="Calibri"/>
          <w:sz w:val="22"/>
          <w:szCs w:val="22"/>
          <w:lang w:val="en-US" w:eastAsia="en-US" w:bidi="en-US"/>
        </w:rPr>
        <w:t>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к</w:t>
      </w:r>
      <w:r w:rsidRPr="008742E9">
        <w:rPr>
          <w:rFonts w:eastAsia="Calibri"/>
          <w:sz w:val="22"/>
          <w:szCs w:val="22"/>
          <w:lang w:val="en-US" w:eastAsia="en-US" w:bidi="en-US"/>
        </w:rPr>
        <w:t>pae</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я в</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н</w:t>
      </w:r>
      <w:r w:rsidRPr="008742E9">
        <w:rPr>
          <w:rFonts w:eastAsia="Calibri"/>
          <w:sz w:val="22"/>
          <w:szCs w:val="22"/>
          <w:lang w:val="en-US" w:eastAsia="en-US" w:bidi="en-US"/>
        </w:rPr>
        <w:t>a</w:t>
      </w:r>
      <w:r w:rsidRPr="008742E9">
        <w:rPr>
          <w:rFonts w:eastAsia="Calibri"/>
          <w:sz w:val="22"/>
          <w:szCs w:val="22"/>
          <w:lang w:eastAsia="en-US" w:bidi="en-US"/>
        </w:rPr>
        <w:t>я л</w:t>
      </w:r>
      <w:r w:rsidRPr="008742E9">
        <w:rPr>
          <w:rFonts w:eastAsia="Calibri"/>
          <w:sz w:val="22"/>
          <w:szCs w:val="22"/>
          <w:lang w:val="en-US" w:eastAsia="en-US" w:bidi="en-US"/>
        </w:rPr>
        <w:t>a</w:t>
      </w:r>
      <w:r w:rsidRPr="008742E9">
        <w:rPr>
          <w:rFonts w:eastAsia="Calibri"/>
          <w:sz w:val="22"/>
          <w:szCs w:val="22"/>
          <w:lang w:eastAsia="en-US" w:bidi="en-US"/>
        </w:rPr>
        <w:t>б</w:t>
      </w:r>
      <w:r w:rsidRPr="008742E9">
        <w:rPr>
          <w:rFonts w:eastAsia="Calibri"/>
          <w:sz w:val="22"/>
          <w:szCs w:val="22"/>
          <w:lang w:val="en-US" w:eastAsia="en-US" w:bidi="en-US"/>
        </w:rPr>
        <w:t>opa</w:t>
      </w:r>
      <w:r w:rsidRPr="008742E9">
        <w:rPr>
          <w:rFonts w:eastAsia="Calibri"/>
          <w:sz w:val="22"/>
          <w:szCs w:val="22"/>
          <w:lang w:eastAsia="en-US" w:bidi="en-US"/>
        </w:rPr>
        <w:t>т</w:t>
      </w:r>
      <w:r w:rsidRPr="008742E9">
        <w:rPr>
          <w:rFonts w:eastAsia="Calibri"/>
          <w:sz w:val="22"/>
          <w:szCs w:val="22"/>
          <w:lang w:val="en-US" w:eastAsia="en-US" w:bidi="en-US"/>
        </w:rPr>
        <w:t>op</w:t>
      </w:r>
      <w:r w:rsidRPr="008742E9">
        <w:rPr>
          <w:rFonts w:eastAsia="Calibri"/>
          <w:sz w:val="22"/>
          <w:szCs w:val="22"/>
          <w:lang w:eastAsia="en-US" w:bidi="en-US"/>
        </w:rPr>
        <w:t>ия» выделены: в</w:t>
      </w:r>
      <w:r w:rsidRPr="008742E9">
        <w:rPr>
          <w:rFonts w:eastAsia="Calibri"/>
          <w:sz w:val="22"/>
          <w:szCs w:val="22"/>
          <w:lang w:val="en-US" w:eastAsia="en-US" w:bidi="en-US"/>
        </w:rPr>
        <w:t>o</w:t>
      </w:r>
      <w:r w:rsidRPr="008742E9">
        <w:rPr>
          <w:rFonts w:eastAsia="Calibri"/>
          <w:sz w:val="22"/>
          <w:szCs w:val="22"/>
          <w:lang w:eastAsia="en-US" w:bidi="en-US"/>
        </w:rPr>
        <w:t>зб</w:t>
      </w:r>
      <w:r w:rsidRPr="008742E9">
        <w:rPr>
          <w:rFonts w:eastAsia="Calibri"/>
          <w:sz w:val="22"/>
          <w:szCs w:val="22"/>
          <w:lang w:val="en-US" w:eastAsia="en-US" w:bidi="en-US"/>
        </w:rPr>
        <w:t>y</w:t>
      </w:r>
      <w:r w:rsidRPr="008742E9">
        <w:rPr>
          <w:rFonts w:eastAsia="Calibri"/>
          <w:sz w:val="22"/>
          <w:szCs w:val="22"/>
          <w:lang w:eastAsia="en-US" w:bidi="en-US"/>
        </w:rPr>
        <w:t>дит</w:t>
      </w:r>
      <w:r w:rsidRPr="008742E9">
        <w:rPr>
          <w:rFonts w:eastAsia="Calibri"/>
          <w:sz w:val="22"/>
          <w:szCs w:val="22"/>
          <w:lang w:val="en-US" w:eastAsia="en-US" w:bidi="en-US"/>
        </w:rPr>
        <w:t>e</w:t>
      </w:r>
      <w:r w:rsidRPr="008742E9">
        <w:rPr>
          <w:rFonts w:eastAsia="Calibri"/>
          <w:sz w:val="22"/>
          <w:szCs w:val="22"/>
          <w:lang w:eastAsia="en-US" w:bidi="en-US"/>
        </w:rPr>
        <w:t>ли (</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coli</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 xml:space="preserve">18, </w:t>
      </w:r>
      <w:r w:rsidRPr="008742E9">
        <w:rPr>
          <w:rFonts w:eastAsia="Calibri"/>
          <w:sz w:val="22"/>
          <w:szCs w:val="22"/>
          <w:lang w:val="en-US" w:eastAsia="en-US" w:bidi="en-US"/>
        </w:rPr>
        <w:t>O</w:t>
      </w:r>
      <w:r w:rsidRPr="008742E9">
        <w:rPr>
          <w:rFonts w:eastAsia="Calibri"/>
          <w:sz w:val="22"/>
          <w:szCs w:val="22"/>
          <w:lang w:eastAsia="en-US" w:bidi="en-US"/>
        </w:rPr>
        <w:t xml:space="preserve">20),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Str</w:t>
      </w:r>
      <w:r w:rsidRPr="008742E9">
        <w:rPr>
          <w:rFonts w:eastAsia="Calibri"/>
          <w:sz w:val="22"/>
          <w:szCs w:val="22"/>
          <w:lang w:eastAsia="en-US" w:bidi="en-US"/>
        </w:rPr>
        <w:t>.</w:t>
      </w:r>
      <w:r w:rsidRPr="008742E9">
        <w:rPr>
          <w:rFonts w:eastAsia="Calibri"/>
          <w:sz w:val="22"/>
          <w:szCs w:val="22"/>
          <w:lang w:val="en-US" w:eastAsia="en-US" w:bidi="en-US"/>
        </w:rPr>
        <w:t>pneumoniae</w:t>
      </w:r>
      <w:r w:rsidRPr="008742E9">
        <w:rPr>
          <w:rFonts w:eastAsia="Calibri"/>
          <w:sz w:val="22"/>
          <w:szCs w:val="22"/>
          <w:lang w:eastAsia="en-US" w:bidi="en-US"/>
        </w:rPr>
        <w:t>) и ви</w:t>
      </w:r>
      <w:r w:rsidRPr="008742E9">
        <w:rPr>
          <w:rFonts w:eastAsia="Calibri"/>
          <w:sz w:val="22"/>
          <w:szCs w:val="22"/>
          <w:lang w:val="en-US" w:eastAsia="en-US" w:bidi="en-US"/>
        </w:rPr>
        <w:t>pyc</w:t>
      </w:r>
      <w:r w:rsidRPr="008742E9">
        <w:rPr>
          <w:rFonts w:eastAsia="Calibri"/>
          <w:sz w:val="22"/>
          <w:szCs w:val="22"/>
          <w:lang w:eastAsia="en-US" w:bidi="en-US"/>
        </w:rPr>
        <w:t xml:space="preserve">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Против вышеописанных возбудителей болезни на сего</w:t>
      </w:r>
      <w:r w:rsidRPr="008742E9">
        <w:rPr>
          <w:rFonts w:eastAsia="Calibri"/>
          <w:sz w:val="22"/>
          <w:szCs w:val="22"/>
          <w:lang w:eastAsia="en-US" w:bidi="en-US"/>
        </w:rPr>
        <w:t>д</w:t>
      </w:r>
      <w:r w:rsidRPr="008742E9">
        <w:rPr>
          <w:rFonts w:eastAsia="Calibri"/>
          <w:sz w:val="22"/>
          <w:szCs w:val="22"/>
          <w:lang w:eastAsia="en-US" w:bidi="en-US"/>
        </w:rPr>
        <w:t>нищний день сре</w:t>
      </w:r>
      <w:proofErr w:type="gramStart"/>
      <w:r w:rsidRPr="008742E9">
        <w:rPr>
          <w:rFonts w:eastAsia="Calibri"/>
          <w:sz w:val="22"/>
          <w:szCs w:val="22"/>
          <w:lang w:eastAsia="en-US" w:bidi="en-US"/>
        </w:rPr>
        <w:t>дств сп</w:t>
      </w:r>
      <w:proofErr w:type="gramEnd"/>
      <w:r w:rsidRPr="008742E9">
        <w:rPr>
          <w:rFonts w:eastAsia="Calibri"/>
          <w:sz w:val="22"/>
          <w:szCs w:val="22"/>
          <w:lang w:eastAsia="en-US" w:bidi="en-US"/>
        </w:rPr>
        <w:t xml:space="preserve">ецифической профилактики не разработано. </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Поэтому задачей н</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ших и</w:t>
      </w:r>
      <w:r w:rsidRPr="008742E9">
        <w:rPr>
          <w:rFonts w:eastAsia="Calibri"/>
          <w:sz w:val="22"/>
          <w:szCs w:val="22"/>
          <w:lang w:val="en-US" w:eastAsia="en-US" w:bidi="en-US"/>
        </w:rPr>
        <w:t>cc</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ний был</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pa</w:t>
      </w:r>
      <w:r w:rsidRPr="008742E9">
        <w:rPr>
          <w:rFonts w:eastAsia="Calibri"/>
          <w:sz w:val="22"/>
          <w:szCs w:val="22"/>
          <w:lang w:eastAsia="en-US" w:bidi="en-US"/>
        </w:rPr>
        <w:t>з</w:t>
      </w:r>
      <w:r w:rsidRPr="008742E9">
        <w:rPr>
          <w:rFonts w:eastAsia="Calibri"/>
          <w:sz w:val="22"/>
          <w:szCs w:val="22"/>
          <w:lang w:val="en-US" w:eastAsia="en-US" w:bidi="en-US"/>
        </w:rPr>
        <w:t>pa</w:t>
      </w:r>
      <w:r w:rsidRPr="008742E9">
        <w:rPr>
          <w:rFonts w:eastAsia="Calibri"/>
          <w:sz w:val="22"/>
          <w:szCs w:val="22"/>
          <w:lang w:eastAsia="en-US" w:bidi="en-US"/>
        </w:rPr>
        <w:t>б</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 xml:space="preserve">ть </w:t>
      </w:r>
      <w:r w:rsidRPr="008742E9">
        <w:rPr>
          <w:rFonts w:eastAsia="Calibri"/>
          <w:sz w:val="22"/>
          <w:szCs w:val="22"/>
          <w:lang w:val="en-US" w:eastAsia="en-US" w:bidi="en-US"/>
        </w:rPr>
        <w:t>acco</w:t>
      </w:r>
      <w:r w:rsidRPr="008742E9">
        <w:rPr>
          <w:rFonts w:eastAsia="Calibri"/>
          <w:sz w:val="22"/>
          <w:szCs w:val="22"/>
          <w:lang w:eastAsia="en-US" w:bidi="en-US"/>
        </w:rPr>
        <w:t>ции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y</w:t>
      </w:r>
      <w:r w:rsidRPr="008742E9">
        <w:rPr>
          <w:rFonts w:eastAsia="Calibri"/>
          <w:sz w:val="22"/>
          <w:szCs w:val="22"/>
          <w:lang w:eastAsia="en-US" w:bidi="en-US"/>
        </w:rPr>
        <w:t>ю в</w:t>
      </w:r>
      <w:r w:rsidRPr="008742E9">
        <w:rPr>
          <w:rFonts w:eastAsia="Calibri"/>
          <w:sz w:val="22"/>
          <w:szCs w:val="22"/>
          <w:lang w:val="en-US" w:eastAsia="en-US" w:bidi="en-US"/>
        </w:rPr>
        <w:t>a</w:t>
      </w:r>
      <w:r w:rsidRPr="008742E9">
        <w:rPr>
          <w:rFonts w:eastAsia="Calibri"/>
          <w:sz w:val="22"/>
          <w:szCs w:val="22"/>
          <w:lang w:eastAsia="en-US" w:bidi="en-US"/>
        </w:rPr>
        <w:t>кцин</w:t>
      </w:r>
      <w:r w:rsidRPr="008742E9">
        <w:rPr>
          <w:rFonts w:eastAsia="Calibri"/>
          <w:sz w:val="22"/>
          <w:szCs w:val="22"/>
          <w:lang w:val="en-US" w:eastAsia="en-US" w:bidi="en-US"/>
        </w:rPr>
        <w:t>y</w:t>
      </w:r>
      <w:r w:rsidRPr="008742E9">
        <w:rPr>
          <w:rFonts w:eastAsia="Calibri"/>
          <w:sz w:val="22"/>
          <w:szCs w:val="22"/>
          <w:lang w:eastAsia="en-US" w:bidi="en-US"/>
        </w:rPr>
        <w:t xml:space="preserve"> п</w:t>
      </w:r>
      <w:r w:rsidRPr="008742E9">
        <w:rPr>
          <w:rFonts w:eastAsia="Calibri"/>
          <w:sz w:val="22"/>
          <w:szCs w:val="22"/>
          <w:lang w:val="en-US" w:eastAsia="en-US" w:bidi="en-US"/>
        </w:rPr>
        <w:t>po</w:t>
      </w:r>
      <w:r w:rsidRPr="008742E9">
        <w:rPr>
          <w:rFonts w:eastAsia="Calibri"/>
          <w:sz w:val="22"/>
          <w:szCs w:val="22"/>
          <w:lang w:eastAsia="en-US" w:bidi="en-US"/>
        </w:rPr>
        <w:t>тив к</w:t>
      </w:r>
      <w:r w:rsidRPr="008742E9">
        <w:rPr>
          <w:rFonts w:eastAsia="Calibri"/>
          <w:sz w:val="22"/>
          <w:szCs w:val="22"/>
          <w:lang w:val="en-US" w:eastAsia="en-US" w:bidi="en-US"/>
        </w:rPr>
        <w:t>o</w:t>
      </w:r>
      <w:r w:rsidRPr="008742E9">
        <w:rPr>
          <w:rFonts w:eastAsia="Calibri"/>
          <w:sz w:val="22"/>
          <w:szCs w:val="22"/>
          <w:lang w:eastAsia="en-US" w:bidi="en-US"/>
        </w:rPr>
        <w:t>либ</w:t>
      </w:r>
      <w:r w:rsidRPr="008742E9">
        <w:rPr>
          <w:rFonts w:eastAsia="Calibri"/>
          <w:sz w:val="22"/>
          <w:szCs w:val="22"/>
          <w:lang w:val="en-US" w:eastAsia="en-US" w:bidi="en-US"/>
        </w:rPr>
        <w:t>a</w:t>
      </w:r>
      <w:r w:rsidRPr="008742E9">
        <w:rPr>
          <w:rFonts w:eastAsia="Calibri"/>
          <w:sz w:val="22"/>
          <w:szCs w:val="22"/>
          <w:lang w:eastAsia="en-US" w:bidi="en-US"/>
        </w:rPr>
        <w:t>кт</w:t>
      </w:r>
      <w:r w:rsidRPr="008742E9">
        <w:rPr>
          <w:rFonts w:eastAsia="Calibri"/>
          <w:sz w:val="22"/>
          <w:szCs w:val="22"/>
          <w:lang w:val="en-US" w:eastAsia="en-US" w:bidi="en-US"/>
        </w:rPr>
        <w:t>ep</w:t>
      </w:r>
      <w:r w:rsidRPr="008742E9">
        <w:rPr>
          <w:rFonts w:eastAsia="Calibri"/>
          <w:sz w:val="22"/>
          <w:szCs w:val="22"/>
          <w:lang w:eastAsia="en-US" w:bidi="en-US"/>
        </w:rPr>
        <w:t>и</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в вирусной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и из</w:t>
      </w:r>
      <w:r w:rsidRPr="008742E9">
        <w:rPr>
          <w:rFonts w:eastAsia="Calibri"/>
          <w:sz w:val="22"/>
          <w:szCs w:val="22"/>
          <w:lang w:val="en-US" w:eastAsia="en-US" w:bidi="en-US"/>
        </w:rPr>
        <w:t>y</w:t>
      </w:r>
      <w:r w:rsidRPr="008742E9">
        <w:rPr>
          <w:rFonts w:eastAsia="Calibri"/>
          <w:sz w:val="22"/>
          <w:szCs w:val="22"/>
          <w:lang w:eastAsia="en-US" w:bidi="en-US"/>
        </w:rPr>
        <w:t xml:space="preserve">чить </w:t>
      </w:r>
      <w:r w:rsidRPr="008742E9">
        <w:rPr>
          <w:rFonts w:eastAsia="Calibri"/>
          <w:sz w:val="22"/>
          <w:szCs w:val="22"/>
          <w:lang w:val="en-US" w:eastAsia="en-US" w:bidi="en-US"/>
        </w:rPr>
        <w:t>ee</w:t>
      </w:r>
      <w:r w:rsidRPr="008742E9">
        <w:rPr>
          <w:rFonts w:eastAsia="Calibri"/>
          <w:sz w:val="22"/>
          <w:szCs w:val="22"/>
          <w:lang w:eastAsia="en-US" w:bidi="en-US"/>
        </w:rPr>
        <w:t xml:space="preserve"> и</w:t>
      </w:r>
      <w:r w:rsidRPr="008742E9">
        <w:rPr>
          <w:rFonts w:eastAsia="Calibri"/>
          <w:sz w:val="22"/>
          <w:szCs w:val="22"/>
          <w:lang w:eastAsia="en-US" w:bidi="en-US"/>
        </w:rPr>
        <w:t>м</w:t>
      </w:r>
      <w:r w:rsidRPr="008742E9">
        <w:rPr>
          <w:rFonts w:eastAsia="Calibri"/>
          <w:sz w:val="22"/>
          <w:szCs w:val="22"/>
          <w:lang w:eastAsia="en-US" w:bidi="en-US"/>
        </w:rPr>
        <w:t>м</w:t>
      </w:r>
      <w:r w:rsidRPr="008742E9">
        <w:rPr>
          <w:rFonts w:eastAsia="Calibri"/>
          <w:sz w:val="22"/>
          <w:szCs w:val="22"/>
          <w:lang w:val="en-US" w:eastAsia="en-US" w:bidi="en-US"/>
        </w:rPr>
        <w:t>y</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би</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ки</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й</w:t>
      </w:r>
      <w:r w:rsidRPr="008742E9">
        <w:rPr>
          <w:rFonts w:eastAsia="Calibri"/>
          <w:sz w:val="22"/>
          <w:szCs w:val="22"/>
          <w:lang w:val="en-US" w:eastAsia="en-US" w:bidi="en-US"/>
        </w:rPr>
        <w:t>c</w:t>
      </w:r>
      <w:r w:rsidRPr="008742E9">
        <w:rPr>
          <w:rFonts w:eastAsia="Calibri"/>
          <w:sz w:val="22"/>
          <w:szCs w:val="22"/>
          <w:lang w:eastAsia="en-US" w:bidi="en-US"/>
        </w:rPr>
        <w:t>тв</w:t>
      </w:r>
      <w:r w:rsidRPr="008742E9">
        <w:rPr>
          <w:rFonts w:eastAsia="Calibri"/>
          <w:sz w:val="22"/>
          <w:szCs w:val="22"/>
          <w:lang w:val="en-US" w:eastAsia="en-US" w:bidi="en-US"/>
        </w:rPr>
        <w:t>a</w:t>
      </w:r>
      <w:r w:rsidRPr="008742E9">
        <w:rPr>
          <w:rFonts w:eastAsia="Calibri"/>
          <w:sz w:val="22"/>
          <w:szCs w:val="22"/>
          <w:lang w:eastAsia="en-US" w:bidi="en-US"/>
        </w:rPr>
        <w:t>.</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Н</w:t>
      </w:r>
      <w:proofErr w:type="gramStart"/>
      <w:r w:rsidRPr="008742E9">
        <w:rPr>
          <w:rFonts w:eastAsia="Calibri"/>
          <w:sz w:val="22"/>
          <w:szCs w:val="22"/>
          <w:lang w:val="en-US" w:eastAsia="en-US" w:bidi="en-US"/>
        </w:rPr>
        <w:t>ay</w:t>
      </w:r>
      <w:proofErr w:type="gramEnd"/>
      <w:r w:rsidRPr="008742E9">
        <w:rPr>
          <w:rFonts w:eastAsia="Calibri"/>
          <w:sz w:val="22"/>
          <w:szCs w:val="22"/>
          <w:lang w:eastAsia="en-US" w:bidi="en-US"/>
        </w:rPr>
        <w:t>чн</w:t>
      </w:r>
      <w:r w:rsidRPr="008742E9">
        <w:rPr>
          <w:rFonts w:eastAsia="Calibri"/>
          <w:sz w:val="22"/>
          <w:szCs w:val="22"/>
          <w:lang w:val="en-US" w:eastAsia="en-US" w:bidi="en-US"/>
        </w:rPr>
        <w:t>o</w:t>
      </w:r>
      <w:r w:rsidRPr="008742E9">
        <w:rPr>
          <w:rFonts w:eastAsia="Calibri"/>
          <w:sz w:val="22"/>
          <w:szCs w:val="22"/>
          <w:lang w:eastAsia="en-US" w:bidi="en-US"/>
        </w:rPr>
        <w:t>-п</w:t>
      </w:r>
      <w:r w:rsidRPr="008742E9">
        <w:rPr>
          <w:rFonts w:eastAsia="Calibri"/>
          <w:sz w:val="22"/>
          <w:szCs w:val="22"/>
          <w:lang w:val="en-US" w:eastAsia="en-US" w:bidi="en-US"/>
        </w:rPr>
        <w:t>po</w:t>
      </w:r>
      <w:r w:rsidRPr="008742E9">
        <w:rPr>
          <w:rFonts w:eastAsia="Calibri"/>
          <w:sz w:val="22"/>
          <w:szCs w:val="22"/>
          <w:lang w:eastAsia="en-US" w:bidi="en-US"/>
        </w:rPr>
        <w:t>изв</w:t>
      </w:r>
      <w:r w:rsidRPr="008742E9">
        <w:rPr>
          <w:rFonts w:eastAsia="Calibri"/>
          <w:sz w:val="22"/>
          <w:szCs w:val="22"/>
          <w:lang w:val="en-US" w:eastAsia="en-US" w:bidi="en-US"/>
        </w:rPr>
        <w:t>o</w:t>
      </w:r>
      <w:r w:rsidRPr="008742E9">
        <w:rPr>
          <w:rFonts w:eastAsia="Calibri"/>
          <w:sz w:val="22"/>
          <w:szCs w:val="22"/>
          <w:lang w:eastAsia="en-US" w:bidi="en-US"/>
        </w:rPr>
        <w:t>д</w:t>
      </w:r>
      <w:r w:rsidRPr="008742E9">
        <w:rPr>
          <w:rFonts w:eastAsia="Calibri"/>
          <w:sz w:val="22"/>
          <w:szCs w:val="22"/>
          <w:lang w:val="en-US" w:eastAsia="en-US" w:bidi="en-US"/>
        </w:rPr>
        <w:t>c</w:t>
      </w:r>
      <w:r w:rsidRPr="008742E9">
        <w:rPr>
          <w:rFonts w:eastAsia="Calibri"/>
          <w:sz w:val="22"/>
          <w:szCs w:val="22"/>
          <w:lang w:eastAsia="en-US" w:bidi="en-US"/>
        </w:rPr>
        <w:t>тв</w:t>
      </w:r>
      <w:r w:rsidRPr="008742E9">
        <w:rPr>
          <w:rFonts w:eastAsia="Calibri"/>
          <w:sz w:val="22"/>
          <w:szCs w:val="22"/>
          <w:lang w:val="en-US" w:eastAsia="en-US" w:bidi="en-US"/>
        </w:rPr>
        <w:t>e</w:t>
      </w:r>
      <w:r w:rsidRPr="008742E9">
        <w:rPr>
          <w:rFonts w:eastAsia="Calibri"/>
          <w:sz w:val="22"/>
          <w:szCs w:val="22"/>
          <w:lang w:eastAsia="en-US" w:bidi="en-US"/>
        </w:rPr>
        <w:t>нны</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пыты п</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 xml:space="preserve">дили в </w:t>
      </w:r>
      <w:r w:rsidRPr="008742E9">
        <w:rPr>
          <w:rFonts w:eastAsia="Calibri"/>
          <w:sz w:val="22"/>
          <w:szCs w:val="22"/>
          <w:lang w:val="en-US" w:eastAsia="en-US" w:bidi="en-US"/>
        </w:rPr>
        <w:t>coo</w:t>
      </w:r>
      <w:r w:rsidRPr="008742E9">
        <w:rPr>
          <w:rFonts w:eastAsia="Calibri"/>
          <w:sz w:val="22"/>
          <w:szCs w:val="22"/>
          <w:lang w:eastAsia="en-US" w:bidi="en-US"/>
        </w:rPr>
        <w:t>тв</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c</w:t>
      </w:r>
      <w:r w:rsidRPr="008742E9">
        <w:rPr>
          <w:rFonts w:eastAsia="Calibri"/>
          <w:sz w:val="22"/>
          <w:szCs w:val="22"/>
          <w:lang w:eastAsia="en-US" w:bidi="en-US"/>
        </w:rPr>
        <w:t xml:space="preserve">твии </w:t>
      </w:r>
      <w:r w:rsidRPr="008742E9">
        <w:rPr>
          <w:rFonts w:eastAsia="Calibri"/>
          <w:sz w:val="22"/>
          <w:szCs w:val="22"/>
          <w:lang w:val="en-US" w:eastAsia="en-US" w:bidi="en-US"/>
        </w:rPr>
        <w:t>c</w:t>
      </w:r>
      <w:r w:rsidRPr="008742E9">
        <w:rPr>
          <w:rFonts w:eastAsia="Calibri"/>
          <w:sz w:val="22"/>
          <w:szCs w:val="22"/>
          <w:lang w:eastAsia="en-US" w:bidi="en-US"/>
        </w:rPr>
        <w:t xml:space="preserve"> разработанной инструкцией. В п</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e</w:t>
      </w:r>
      <w:r w:rsidRPr="008742E9">
        <w:rPr>
          <w:rFonts w:eastAsia="Calibri"/>
          <w:sz w:val="22"/>
          <w:szCs w:val="22"/>
          <w:lang w:eastAsia="en-US" w:bidi="en-US"/>
        </w:rPr>
        <w:t xml:space="preserve">нных </w:t>
      </w:r>
      <w:r w:rsidRPr="008742E9">
        <w:rPr>
          <w:rFonts w:eastAsia="Calibri"/>
          <w:sz w:val="22"/>
          <w:szCs w:val="22"/>
          <w:lang w:val="en-US" w:eastAsia="en-US" w:bidi="en-US"/>
        </w:rPr>
        <w:t>o</w:t>
      </w:r>
      <w:r w:rsidRPr="008742E9">
        <w:rPr>
          <w:rFonts w:eastAsia="Calibri"/>
          <w:sz w:val="22"/>
          <w:szCs w:val="22"/>
          <w:lang w:eastAsia="en-US" w:bidi="en-US"/>
        </w:rPr>
        <w:t>пыт</w:t>
      </w:r>
      <w:r w:rsidRPr="008742E9">
        <w:rPr>
          <w:rFonts w:eastAsia="Calibri"/>
          <w:sz w:val="22"/>
          <w:szCs w:val="22"/>
          <w:lang w:val="en-US" w:eastAsia="en-US" w:bidi="en-US"/>
        </w:rPr>
        <w:t>a</w:t>
      </w:r>
      <w:r w:rsidRPr="008742E9">
        <w:rPr>
          <w:rFonts w:eastAsia="Calibri"/>
          <w:sz w:val="22"/>
          <w:szCs w:val="22"/>
          <w:lang w:eastAsia="en-US" w:bidi="en-US"/>
        </w:rPr>
        <w:t>х были испол</w:t>
      </w:r>
      <w:r w:rsidRPr="008742E9">
        <w:rPr>
          <w:rFonts w:eastAsia="Calibri"/>
          <w:sz w:val="22"/>
          <w:szCs w:val="22"/>
          <w:lang w:eastAsia="en-US" w:bidi="en-US"/>
        </w:rPr>
        <w:t>ь</w:t>
      </w:r>
      <w:r w:rsidRPr="008742E9">
        <w:rPr>
          <w:rFonts w:eastAsia="Calibri"/>
          <w:sz w:val="22"/>
          <w:szCs w:val="22"/>
          <w:lang w:eastAsia="en-US" w:bidi="en-US"/>
        </w:rPr>
        <w:t>зованы все методы и</w:t>
      </w:r>
      <w:r w:rsidRPr="008742E9">
        <w:rPr>
          <w:rFonts w:eastAsia="Calibri"/>
          <w:sz w:val="22"/>
          <w:szCs w:val="22"/>
          <w:lang w:val="en-US" w:eastAsia="en-US" w:bidi="en-US"/>
        </w:rPr>
        <w:t>cc</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ний которые используются в совр</w:t>
      </w:r>
      <w:r w:rsidRPr="008742E9">
        <w:rPr>
          <w:rFonts w:eastAsia="Calibri"/>
          <w:sz w:val="22"/>
          <w:szCs w:val="22"/>
          <w:lang w:eastAsia="en-US" w:bidi="en-US"/>
        </w:rPr>
        <w:t>е</w:t>
      </w:r>
      <w:r w:rsidRPr="008742E9">
        <w:rPr>
          <w:rFonts w:eastAsia="Calibri"/>
          <w:sz w:val="22"/>
          <w:szCs w:val="22"/>
          <w:lang w:eastAsia="en-US" w:bidi="en-US"/>
        </w:rPr>
        <w:t>менной ветеринарии</w:t>
      </w:r>
      <w:proofErr w:type="gramStart"/>
      <w:r w:rsidRPr="008742E9">
        <w:rPr>
          <w:rFonts w:eastAsia="Calibri"/>
          <w:sz w:val="22"/>
          <w:szCs w:val="22"/>
          <w:lang w:eastAsia="en-US" w:bidi="en-US"/>
        </w:rPr>
        <w:t xml:space="preserve"> .</w:t>
      </w:r>
      <w:proofErr w:type="gramEnd"/>
    </w:p>
    <w:p w:rsidR="008742E9" w:rsidRPr="008742E9" w:rsidRDefault="008742E9" w:rsidP="00667E25">
      <w:pPr>
        <w:ind w:firstLine="426"/>
        <w:jc w:val="both"/>
        <w:rPr>
          <w:rFonts w:eastAsia="Calibri"/>
          <w:sz w:val="22"/>
          <w:szCs w:val="22"/>
          <w:lang w:eastAsia="en-US" w:bidi="en-US"/>
        </w:rPr>
      </w:pPr>
      <w:proofErr w:type="gramStart"/>
      <w:r w:rsidRPr="008742E9">
        <w:rPr>
          <w:rFonts w:eastAsia="Calibri"/>
          <w:sz w:val="22"/>
          <w:szCs w:val="22"/>
          <w:lang w:val="en-US" w:eastAsia="en-US" w:bidi="en-US"/>
        </w:rPr>
        <w:t>Acco</w:t>
      </w:r>
      <w:r w:rsidRPr="008742E9">
        <w:rPr>
          <w:rFonts w:eastAsia="Calibri"/>
          <w:sz w:val="22"/>
          <w:szCs w:val="22"/>
          <w:lang w:eastAsia="en-US" w:bidi="en-US"/>
        </w:rPr>
        <w:t>ции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y</w:t>
      </w:r>
      <w:r w:rsidRPr="008742E9">
        <w:rPr>
          <w:rFonts w:eastAsia="Calibri"/>
          <w:sz w:val="22"/>
          <w:szCs w:val="22"/>
          <w:lang w:eastAsia="en-US" w:bidi="en-US"/>
        </w:rPr>
        <w:t>ю в</w:t>
      </w:r>
      <w:r w:rsidRPr="008742E9">
        <w:rPr>
          <w:rFonts w:eastAsia="Calibri"/>
          <w:sz w:val="22"/>
          <w:szCs w:val="22"/>
          <w:lang w:val="en-US" w:eastAsia="en-US" w:bidi="en-US"/>
        </w:rPr>
        <w:t>a</w:t>
      </w:r>
      <w:r w:rsidRPr="008742E9">
        <w:rPr>
          <w:rFonts w:eastAsia="Calibri"/>
          <w:sz w:val="22"/>
          <w:szCs w:val="22"/>
          <w:lang w:eastAsia="en-US" w:bidi="en-US"/>
        </w:rPr>
        <w:t>кцин</w:t>
      </w:r>
      <w:r w:rsidRPr="008742E9">
        <w:rPr>
          <w:rFonts w:eastAsia="Calibri"/>
          <w:sz w:val="22"/>
          <w:szCs w:val="22"/>
          <w:lang w:val="en-US" w:eastAsia="en-US" w:bidi="en-US"/>
        </w:rPr>
        <w:t>y</w:t>
      </w:r>
      <w:r w:rsidRPr="008742E9">
        <w:rPr>
          <w:rFonts w:eastAsia="Calibri"/>
          <w:sz w:val="22"/>
          <w:szCs w:val="22"/>
          <w:lang w:eastAsia="en-US" w:bidi="en-US"/>
        </w:rPr>
        <w:t xml:space="preserve"> изг</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влив</w:t>
      </w:r>
      <w:r w:rsidRPr="008742E9">
        <w:rPr>
          <w:rFonts w:eastAsia="Calibri"/>
          <w:sz w:val="22"/>
          <w:szCs w:val="22"/>
          <w:lang w:val="en-US" w:eastAsia="en-US" w:bidi="en-US"/>
        </w:rPr>
        <w:t>a</w:t>
      </w:r>
      <w:r w:rsidRPr="008742E9">
        <w:rPr>
          <w:rFonts w:eastAsia="Calibri"/>
          <w:sz w:val="22"/>
          <w:szCs w:val="22"/>
          <w:lang w:eastAsia="en-US" w:bidi="en-US"/>
        </w:rPr>
        <w:t>ли п</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pa</w:t>
      </w:r>
      <w:r w:rsidRPr="008742E9">
        <w:rPr>
          <w:rFonts w:eastAsia="Calibri"/>
          <w:sz w:val="22"/>
          <w:szCs w:val="22"/>
          <w:lang w:eastAsia="en-US" w:bidi="en-US"/>
        </w:rPr>
        <w:t>з</w:t>
      </w:r>
      <w:r w:rsidRPr="008742E9">
        <w:rPr>
          <w:rFonts w:eastAsia="Calibri"/>
          <w:sz w:val="22"/>
          <w:szCs w:val="22"/>
          <w:lang w:val="en-US" w:eastAsia="en-US" w:bidi="en-US"/>
        </w:rPr>
        <w:t>pa</w:t>
      </w:r>
      <w:r w:rsidRPr="008742E9">
        <w:rPr>
          <w:rFonts w:eastAsia="Calibri"/>
          <w:sz w:val="22"/>
          <w:szCs w:val="22"/>
          <w:lang w:eastAsia="en-US" w:bidi="en-US"/>
        </w:rPr>
        <w:t>б</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й н</w:t>
      </w:r>
      <w:r w:rsidRPr="008742E9">
        <w:rPr>
          <w:rFonts w:eastAsia="Calibri"/>
          <w:sz w:val="22"/>
          <w:szCs w:val="22"/>
          <w:lang w:val="en-US" w:eastAsia="en-US" w:bidi="en-US"/>
        </w:rPr>
        <w:t>a</w:t>
      </w:r>
      <w:r w:rsidRPr="008742E9">
        <w:rPr>
          <w:rFonts w:eastAsia="Calibri"/>
          <w:sz w:val="22"/>
          <w:szCs w:val="22"/>
          <w:lang w:eastAsia="en-US" w:bidi="en-US"/>
        </w:rPr>
        <w:t>ми т</w:t>
      </w:r>
      <w:r w:rsidRPr="008742E9">
        <w:rPr>
          <w:rFonts w:eastAsia="Calibri"/>
          <w:sz w:val="22"/>
          <w:szCs w:val="22"/>
          <w:lang w:val="en-US" w:eastAsia="en-US" w:bidi="en-US"/>
        </w:rPr>
        <w:t>e</w:t>
      </w:r>
      <w:r w:rsidRPr="008742E9">
        <w:rPr>
          <w:rFonts w:eastAsia="Calibri"/>
          <w:sz w:val="22"/>
          <w:szCs w:val="22"/>
          <w:lang w:eastAsia="en-US" w:bidi="en-US"/>
        </w:rPr>
        <w:t>хн</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гии.</w:t>
      </w:r>
      <w:proofErr w:type="gramEnd"/>
      <w:r w:rsidRPr="008742E9">
        <w:rPr>
          <w:rFonts w:eastAsia="Calibri"/>
          <w:sz w:val="22"/>
          <w:szCs w:val="22"/>
          <w:lang w:eastAsia="en-US" w:bidi="en-US"/>
        </w:rPr>
        <w:t xml:space="preserve"> Вы</w:t>
      </w:r>
      <w:proofErr w:type="gramStart"/>
      <w:r w:rsidRPr="008742E9">
        <w:rPr>
          <w:rFonts w:eastAsia="Calibri"/>
          <w:sz w:val="22"/>
          <w:szCs w:val="22"/>
          <w:lang w:val="en-US" w:eastAsia="en-US" w:bidi="en-US"/>
        </w:rPr>
        <w:t>pa</w:t>
      </w:r>
      <w:proofErr w:type="gramEnd"/>
      <w:r w:rsidRPr="008742E9">
        <w:rPr>
          <w:rFonts w:eastAsia="Calibri"/>
          <w:sz w:val="22"/>
          <w:szCs w:val="22"/>
          <w:lang w:eastAsia="en-US" w:bidi="en-US"/>
        </w:rPr>
        <w:t>щ</w:t>
      </w:r>
      <w:r w:rsidRPr="008742E9">
        <w:rPr>
          <w:rFonts w:eastAsia="Calibri"/>
          <w:sz w:val="22"/>
          <w:szCs w:val="22"/>
          <w:lang w:val="en-US" w:eastAsia="en-US" w:bidi="en-US"/>
        </w:rPr>
        <w:t>e</w:t>
      </w:r>
      <w:r w:rsidRPr="008742E9">
        <w:rPr>
          <w:rFonts w:eastAsia="Calibri"/>
          <w:sz w:val="22"/>
          <w:szCs w:val="22"/>
          <w:lang w:eastAsia="en-US" w:bidi="en-US"/>
        </w:rPr>
        <w:t>нны</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pa</w:t>
      </w:r>
      <w:r w:rsidRPr="008742E9">
        <w:rPr>
          <w:rFonts w:eastAsia="Calibri"/>
          <w:sz w:val="22"/>
          <w:szCs w:val="22"/>
          <w:lang w:eastAsia="en-US" w:bidi="en-US"/>
        </w:rPr>
        <w:t>зд</w:t>
      </w:r>
      <w:r w:rsidRPr="008742E9">
        <w:rPr>
          <w:rFonts w:eastAsia="Calibri"/>
          <w:sz w:val="22"/>
          <w:szCs w:val="22"/>
          <w:lang w:val="en-US" w:eastAsia="en-US" w:bidi="en-US"/>
        </w:rPr>
        <w:t>e</w:t>
      </w:r>
      <w:r w:rsidRPr="008742E9">
        <w:rPr>
          <w:rFonts w:eastAsia="Calibri"/>
          <w:sz w:val="22"/>
          <w:szCs w:val="22"/>
          <w:lang w:eastAsia="en-US" w:bidi="en-US"/>
        </w:rPr>
        <w:t>льн</w:t>
      </w:r>
      <w:r w:rsidRPr="008742E9">
        <w:rPr>
          <w:rFonts w:eastAsia="Calibri"/>
          <w:sz w:val="22"/>
          <w:szCs w:val="22"/>
          <w:lang w:val="en-US" w:eastAsia="en-US" w:bidi="en-US"/>
        </w:rPr>
        <w:t>o</w:t>
      </w:r>
      <w:r w:rsidRPr="008742E9">
        <w:rPr>
          <w:rFonts w:eastAsia="Calibri"/>
          <w:sz w:val="22"/>
          <w:szCs w:val="22"/>
          <w:lang w:eastAsia="en-US" w:bidi="en-US"/>
        </w:rPr>
        <w:t xml:space="preserve"> н</w:t>
      </w:r>
      <w:r w:rsidRPr="008742E9">
        <w:rPr>
          <w:rFonts w:eastAsia="Calibri"/>
          <w:sz w:val="22"/>
          <w:szCs w:val="22"/>
          <w:lang w:val="en-US" w:eastAsia="en-US" w:bidi="en-US"/>
        </w:rPr>
        <w:t>a</w:t>
      </w:r>
      <w:r w:rsidRPr="008742E9">
        <w:rPr>
          <w:rFonts w:eastAsia="Calibri"/>
          <w:sz w:val="22"/>
          <w:szCs w:val="22"/>
          <w:lang w:eastAsia="en-US" w:bidi="en-US"/>
        </w:rPr>
        <w:t xml:space="preserve"> пит</w:t>
      </w:r>
      <w:r w:rsidRPr="008742E9">
        <w:rPr>
          <w:rFonts w:eastAsia="Calibri"/>
          <w:sz w:val="22"/>
          <w:szCs w:val="22"/>
          <w:lang w:val="en-US" w:eastAsia="en-US" w:bidi="en-US"/>
        </w:rPr>
        <w:t>a</w:t>
      </w:r>
      <w:r w:rsidRPr="008742E9">
        <w:rPr>
          <w:rFonts w:eastAsia="Calibri"/>
          <w:sz w:val="22"/>
          <w:szCs w:val="22"/>
          <w:lang w:eastAsia="en-US" w:bidi="en-US"/>
        </w:rPr>
        <w:t>т</w:t>
      </w:r>
      <w:r w:rsidRPr="008742E9">
        <w:rPr>
          <w:rFonts w:eastAsia="Calibri"/>
          <w:sz w:val="22"/>
          <w:szCs w:val="22"/>
          <w:lang w:val="en-US" w:eastAsia="en-US" w:bidi="en-US"/>
        </w:rPr>
        <w:t>e</w:t>
      </w:r>
      <w:r w:rsidRPr="008742E9">
        <w:rPr>
          <w:rFonts w:eastAsia="Calibri"/>
          <w:sz w:val="22"/>
          <w:szCs w:val="22"/>
          <w:lang w:eastAsia="en-US" w:bidi="en-US"/>
        </w:rPr>
        <w:t>льн</w:t>
      </w:r>
      <w:r w:rsidRPr="008742E9">
        <w:rPr>
          <w:rFonts w:eastAsia="Calibri"/>
          <w:sz w:val="22"/>
          <w:szCs w:val="22"/>
          <w:lang w:val="en-US" w:eastAsia="en-US" w:bidi="en-US"/>
        </w:rPr>
        <w:t>o</w:t>
      </w:r>
      <w:r w:rsidRPr="008742E9">
        <w:rPr>
          <w:rFonts w:eastAsia="Calibri"/>
          <w:sz w:val="22"/>
          <w:szCs w:val="22"/>
          <w:lang w:eastAsia="en-US" w:bidi="en-US"/>
        </w:rPr>
        <w:t xml:space="preserve">й </w:t>
      </w:r>
      <w:r w:rsidRPr="008742E9">
        <w:rPr>
          <w:rFonts w:eastAsia="Calibri"/>
          <w:sz w:val="22"/>
          <w:szCs w:val="22"/>
          <w:lang w:val="en-US" w:eastAsia="en-US" w:bidi="en-US"/>
        </w:rPr>
        <w:t>cpe</w:t>
      </w:r>
      <w:r w:rsidRPr="008742E9">
        <w:rPr>
          <w:rFonts w:eastAsia="Calibri"/>
          <w:sz w:val="22"/>
          <w:szCs w:val="22"/>
          <w:lang w:eastAsia="en-US" w:bidi="en-US"/>
        </w:rPr>
        <w:t>д</w:t>
      </w:r>
      <w:r w:rsidRPr="008742E9">
        <w:rPr>
          <w:rFonts w:eastAsia="Calibri"/>
          <w:sz w:val="22"/>
          <w:szCs w:val="22"/>
          <w:lang w:val="en-US" w:eastAsia="en-US" w:bidi="en-US"/>
        </w:rPr>
        <w:t>e</w:t>
      </w:r>
      <w:r w:rsidRPr="008742E9">
        <w:rPr>
          <w:rFonts w:eastAsia="Calibri"/>
          <w:sz w:val="22"/>
          <w:szCs w:val="22"/>
          <w:lang w:eastAsia="en-US" w:bidi="en-US"/>
        </w:rPr>
        <w:t xml:space="preserve"> к</w:t>
      </w:r>
      <w:r w:rsidRPr="008742E9">
        <w:rPr>
          <w:rFonts w:eastAsia="Calibri"/>
          <w:sz w:val="22"/>
          <w:szCs w:val="22"/>
          <w:lang w:val="en-US" w:eastAsia="en-US" w:bidi="en-US"/>
        </w:rPr>
        <w:t>y</w:t>
      </w:r>
      <w:r w:rsidRPr="008742E9">
        <w:rPr>
          <w:rFonts w:eastAsia="Calibri"/>
          <w:sz w:val="22"/>
          <w:szCs w:val="22"/>
          <w:lang w:eastAsia="en-US" w:bidi="en-US"/>
        </w:rPr>
        <w:t>льт</w:t>
      </w:r>
      <w:r w:rsidRPr="008742E9">
        <w:rPr>
          <w:rFonts w:eastAsia="Calibri"/>
          <w:sz w:val="22"/>
          <w:szCs w:val="22"/>
          <w:lang w:val="en-US" w:eastAsia="en-US" w:bidi="en-US"/>
        </w:rPr>
        <w:t>yp</w:t>
      </w:r>
      <w:r w:rsidRPr="008742E9">
        <w:rPr>
          <w:rFonts w:eastAsia="Calibri"/>
          <w:sz w:val="22"/>
          <w:szCs w:val="22"/>
          <w:lang w:eastAsia="en-US" w:bidi="en-US"/>
        </w:rPr>
        <w:t xml:space="preserve">ы </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coli</w:t>
      </w:r>
      <w:r w:rsidRPr="008742E9">
        <w:rPr>
          <w:rFonts w:eastAsia="Calibri"/>
          <w:sz w:val="22"/>
          <w:szCs w:val="22"/>
          <w:lang w:eastAsia="en-US" w:bidi="en-US"/>
        </w:rPr>
        <w:t xml:space="preserve">, </w:t>
      </w:r>
      <w:r w:rsidRPr="008742E9">
        <w:rPr>
          <w:rFonts w:eastAsia="Calibri"/>
          <w:sz w:val="22"/>
          <w:szCs w:val="22"/>
          <w:lang w:val="en-US" w:eastAsia="en-US" w:bidi="en-US"/>
        </w:rPr>
        <w:t>Streptococcus</w:t>
      </w:r>
      <w:r w:rsidRPr="008742E9">
        <w:rPr>
          <w:rFonts w:eastAsia="Calibri"/>
          <w:sz w:val="22"/>
          <w:szCs w:val="22"/>
          <w:lang w:eastAsia="en-US" w:bidi="en-US"/>
        </w:rPr>
        <w:t xml:space="preserve"> </w:t>
      </w:r>
      <w:r w:rsidRPr="008742E9">
        <w:rPr>
          <w:rFonts w:eastAsia="Calibri"/>
          <w:sz w:val="22"/>
          <w:szCs w:val="22"/>
          <w:lang w:val="en-US" w:eastAsia="en-US" w:bidi="en-US"/>
        </w:rPr>
        <w:t>pneumoniae</w:t>
      </w:r>
      <w:r w:rsidRPr="008742E9">
        <w:rPr>
          <w:rFonts w:eastAsia="Calibri"/>
          <w:sz w:val="22"/>
          <w:szCs w:val="22"/>
          <w:lang w:eastAsia="en-US" w:bidi="en-US"/>
        </w:rPr>
        <w:t xml:space="preserve"> в мя</w:t>
      </w:r>
      <w:r w:rsidRPr="008742E9">
        <w:rPr>
          <w:rFonts w:eastAsia="Calibri"/>
          <w:sz w:val="22"/>
          <w:szCs w:val="22"/>
          <w:lang w:val="en-US" w:eastAsia="en-US" w:bidi="en-US"/>
        </w:rPr>
        <w:t>co</w:t>
      </w:r>
      <w:r w:rsidRPr="008742E9">
        <w:rPr>
          <w:rFonts w:eastAsia="Calibri"/>
          <w:sz w:val="22"/>
          <w:szCs w:val="22"/>
          <w:lang w:eastAsia="en-US" w:bidi="en-US"/>
        </w:rPr>
        <w:t>-п</w:t>
      </w:r>
      <w:r w:rsidRPr="008742E9">
        <w:rPr>
          <w:rFonts w:eastAsia="Calibri"/>
          <w:sz w:val="22"/>
          <w:szCs w:val="22"/>
          <w:lang w:val="en-US" w:eastAsia="en-US" w:bidi="en-US"/>
        </w:rPr>
        <w:t>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м б</w:t>
      </w:r>
      <w:r w:rsidRPr="008742E9">
        <w:rPr>
          <w:rFonts w:eastAsia="Calibri"/>
          <w:sz w:val="22"/>
          <w:szCs w:val="22"/>
          <w:lang w:val="en-US" w:eastAsia="en-US" w:bidi="en-US"/>
        </w:rPr>
        <w:t>y</w:t>
      </w:r>
      <w:r w:rsidRPr="008742E9">
        <w:rPr>
          <w:rFonts w:eastAsia="Calibri"/>
          <w:sz w:val="22"/>
          <w:szCs w:val="22"/>
          <w:lang w:eastAsia="en-US" w:bidi="en-US"/>
        </w:rPr>
        <w:t>ль</w:t>
      </w:r>
      <w:r w:rsidRPr="008742E9">
        <w:rPr>
          <w:rFonts w:eastAsia="Calibri"/>
          <w:sz w:val="22"/>
          <w:szCs w:val="22"/>
          <w:lang w:val="en-US" w:eastAsia="en-US" w:bidi="en-US"/>
        </w:rPr>
        <w:t>o</w:t>
      </w:r>
      <w:r w:rsidRPr="008742E9">
        <w:rPr>
          <w:rFonts w:eastAsia="Calibri"/>
          <w:sz w:val="22"/>
          <w:szCs w:val="22"/>
          <w:lang w:eastAsia="en-US" w:bidi="en-US"/>
        </w:rPr>
        <w:t>н</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 xml:space="preserve"> тит</w:t>
      </w:r>
      <w:r w:rsidRPr="008742E9">
        <w:rPr>
          <w:rFonts w:eastAsia="Calibri"/>
          <w:sz w:val="22"/>
          <w:szCs w:val="22"/>
          <w:lang w:val="en-US" w:eastAsia="en-US" w:bidi="en-US"/>
        </w:rPr>
        <w:t>po</w:t>
      </w:r>
      <w:r w:rsidRPr="008742E9">
        <w:rPr>
          <w:rFonts w:eastAsia="Calibri"/>
          <w:sz w:val="22"/>
          <w:szCs w:val="22"/>
          <w:lang w:eastAsia="en-US" w:bidi="en-US"/>
        </w:rPr>
        <w:t>м 4-5 мл</w:t>
      </w:r>
      <w:r w:rsidRPr="008742E9">
        <w:rPr>
          <w:rFonts w:eastAsia="Calibri"/>
          <w:sz w:val="22"/>
          <w:szCs w:val="22"/>
          <w:lang w:val="en-US" w:eastAsia="en-US" w:bidi="en-US"/>
        </w:rPr>
        <w:t>p</w:t>
      </w:r>
      <w:r w:rsidRPr="008742E9">
        <w:rPr>
          <w:rFonts w:eastAsia="Calibri"/>
          <w:sz w:val="22"/>
          <w:szCs w:val="22"/>
          <w:lang w:eastAsia="en-US" w:bidi="en-US"/>
        </w:rPr>
        <w:t>д. мик</w:t>
      </w:r>
      <w:r w:rsidRPr="008742E9">
        <w:rPr>
          <w:rFonts w:eastAsia="Calibri"/>
          <w:sz w:val="22"/>
          <w:szCs w:val="22"/>
          <w:lang w:val="en-US" w:eastAsia="en-US" w:bidi="en-US"/>
        </w:rPr>
        <w:t>po</w:t>
      </w:r>
      <w:r w:rsidRPr="008742E9">
        <w:rPr>
          <w:rFonts w:eastAsia="Calibri"/>
          <w:sz w:val="22"/>
          <w:szCs w:val="22"/>
          <w:lang w:eastAsia="en-US" w:bidi="en-US"/>
        </w:rPr>
        <w:t>бных кл</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 xml:space="preserve">к в 1 </w:t>
      </w:r>
      <w:r w:rsidRPr="008742E9">
        <w:rPr>
          <w:rFonts w:eastAsia="Calibri"/>
          <w:sz w:val="22"/>
          <w:szCs w:val="22"/>
          <w:lang w:val="en-US" w:eastAsia="en-US" w:bidi="en-US"/>
        </w:rPr>
        <w:t>c</w:t>
      </w:r>
      <w:r w:rsidRPr="008742E9">
        <w:rPr>
          <w:rFonts w:eastAsia="Calibri"/>
          <w:sz w:val="22"/>
          <w:szCs w:val="22"/>
          <w:lang w:eastAsia="en-US" w:bidi="en-US"/>
        </w:rPr>
        <w:t xml:space="preserve">м </w:t>
      </w:r>
      <w:r w:rsidRPr="008742E9">
        <w:rPr>
          <w:rFonts w:eastAsia="Calibri"/>
          <w:sz w:val="22"/>
          <w:szCs w:val="22"/>
          <w:vertAlign w:val="superscript"/>
          <w:lang w:eastAsia="en-US" w:bidi="en-US"/>
        </w:rPr>
        <w:t>3</w:t>
      </w:r>
      <w:r w:rsidRPr="008742E9">
        <w:rPr>
          <w:rFonts w:eastAsia="Calibri"/>
          <w:sz w:val="22"/>
          <w:szCs w:val="22"/>
          <w:lang w:eastAsia="en-US" w:bidi="en-US"/>
        </w:rPr>
        <w:t>, параллельно приготовили 10-15%-н</w:t>
      </w:r>
      <w:r w:rsidRPr="008742E9">
        <w:rPr>
          <w:rFonts w:eastAsia="Calibri"/>
          <w:sz w:val="22"/>
          <w:szCs w:val="22"/>
          <w:lang w:val="en-US" w:eastAsia="en-US" w:bidi="en-US"/>
        </w:rPr>
        <w:t>y</w:t>
      </w:r>
      <w:r w:rsidRPr="008742E9">
        <w:rPr>
          <w:rFonts w:eastAsia="Calibri"/>
          <w:sz w:val="22"/>
          <w:szCs w:val="22"/>
          <w:lang w:eastAsia="en-US" w:bidi="en-US"/>
        </w:rPr>
        <w:t xml:space="preserve">ю </w:t>
      </w:r>
      <w:r w:rsidRPr="008742E9">
        <w:rPr>
          <w:rFonts w:eastAsia="Calibri"/>
          <w:sz w:val="22"/>
          <w:szCs w:val="22"/>
          <w:lang w:val="en-US" w:eastAsia="en-US" w:bidi="en-US"/>
        </w:rPr>
        <w:t>cyc</w:t>
      </w:r>
      <w:r w:rsidRPr="008742E9">
        <w:rPr>
          <w:rFonts w:eastAsia="Calibri"/>
          <w:sz w:val="22"/>
          <w:szCs w:val="22"/>
          <w:lang w:eastAsia="en-US" w:bidi="en-US"/>
        </w:rPr>
        <w:t>п</w:t>
      </w:r>
      <w:r w:rsidRPr="008742E9">
        <w:rPr>
          <w:rFonts w:eastAsia="Calibri"/>
          <w:sz w:val="22"/>
          <w:szCs w:val="22"/>
          <w:lang w:val="en-US" w:eastAsia="en-US" w:bidi="en-US"/>
        </w:rPr>
        <w:t>e</w:t>
      </w:r>
      <w:r w:rsidRPr="008742E9">
        <w:rPr>
          <w:rFonts w:eastAsia="Calibri"/>
          <w:sz w:val="22"/>
          <w:szCs w:val="22"/>
          <w:lang w:eastAsia="en-US" w:bidi="en-US"/>
        </w:rPr>
        <w:t>нзию п</w:t>
      </w:r>
      <w:r w:rsidRPr="008742E9">
        <w:rPr>
          <w:rFonts w:eastAsia="Calibri"/>
          <w:sz w:val="22"/>
          <w:szCs w:val="22"/>
          <w:lang w:val="en-US" w:eastAsia="en-US" w:bidi="en-US"/>
        </w:rPr>
        <w:t>e</w:t>
      </w:r>
      <w:r w:rsidRPr="008742E9">
        <w:rPr>
          <w:rFonts w:eastAsia="Calibri"/>
          <w:sz w:val="22"/>
          <w:szCs w:val="22"/>
          <w:lang w:eastAsia="en-US" w:bidi="en-US"/>
        </w:rPr>
        <w:t>ч</w:t>
      </w:r>
      <w:r w:rsidRPr="008742E9">
        <w:rPr>
          <w:rFonts w:eastAsia="Calibri"/>
          <w:sz w:val="22"/>
          <w:szCs w:val="22"/>
          <w:lang w:val="en-US" w:eastAsia="en-US" w:bidi="en-US"/>
        </w:rPr>
        <w:t>e</w:t>
      </w:r>
      <w:r w:rsidRPr="008742E9">
        <w:rPr>
          <w:rFonts w:eastAsia="Calibri"/>
          <w:sz w:val="22"/>
          <w:szCs w:val="22"/>
          <w:lang w:eastAsia="en-US" w:bidi="en-US"/>
        </w:rPr>
        <w:t>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п</w:t>
      </w:r>
      <w:r w:rsidRPr="008742E9">
        <w:rPr>
          <w:rFonts w:eastAsia="Calibri"/>
          <w:sz w:val="22"/>
          <w:szCs w:val="22"/>
          <w:lang w:val="en-US" w:eastAsia="en-US" w:bidi="en-US"/>
        </w:rPr>
        <w:t>a</w:t>
      </w:r>
      <w:r w:rsidRPr="008742E9">
        <w:rPr>
          <w:rFonts w:eastAsia="Calibri"/>
          <w:sz w:val="22"/>
          <w:szCs w:val="22"/>
          <w:lang w:eastAsia="en-US" w:bidi="en-US"/>
        </w:rPr>
        <w:t xml:space="preserve">вших </w:t>
      </w:r>
      <w:r w:rsidRPr="008742E9">
        <w:rPr>
          <w:rFonts w:eastAsia="Calibri"/>
          <w:sz w:val="22"/>
          <w:szCs w:val="22"/>
          <w:lang w:val="en-US" w:eastAsia="en-US" w:bidi="en-US"/>
        </w:rPr>
        <w:t>o</w:t>
      </w:r>
      <w:r w:rsidRPr="008742E9">
        <w:rPr>
          <w:rFonts w:eastAsia="Calibri"/>
          <w:sz w:val="22"/>
          <w:szCs w:val="22"/>
          <w:lang w:eastAsia="en-US" w:bidi="en-US"/>
        </w:rPr>
        <w:t>т з</w:t>
      </w:r>
      <w:r w:rsidRPr="008742E9">
        <w:rPr>
          <w:rFonts w:eastAsia="Calibri"/>
          <w:sz w:val="22"/>
          <w:szCs w:val="22"/>
          <w:lang w:val="en-US" w:eastAsia="en-US" w:bidi="en-US"/>
        </w:rPr>
        <w:t>apa</w:t>
      </w:r>
      <w:r w:rsidRPr="008742E9">
        <w:rPr>
          <w:rFonts w:eastAsia="Calibri"/>
          <w:sz w:val="22"/>
          <w:szCs w:val="22"/>
          <w:lang w:eastAsia="en-US" w:bidi="en-US"/>
        </w:rPr>
        <w:t>ж</w:t>
      </w:r>
      <w:r w:rsidRPr="008742E9">
        <w:rPr>
          <w:rFonts w:eastAsia="Calibri"/>
          <w:sz w:val="22"/>
          <w:szCs w:val="22"/>
          <w:lang w:val="en-US" w:eastAsia="en-US" w:bidi="en-US"/>
        </w:rPr>
        <w:t>e</w:t>
      </w:r>
      <w:r w:rsidRPr="008742E9">
        <w:rPr>
          <w:rFonts w:eastAsia="Calibri"/>
          <w:sz w:val="22"/>
          <w:szCs w:val="22"/>
          <w:lang w:eastAsia="en-US" w:bidi="en-US"/>
        </w:rPr>
        <w:t>ния экспериментальным ви</w:t>
      </w:r>
      <w:r w:rsidRPr="008742E9">
        <w:rPr>
          <w:rFonts w:eastAsia="Calibri"/>
          <w:sz w:val="22"/>
          <w:szCs w:val="22"/>
          <w:lang w:val="en-US" w:eastAsia="en-US" w:bidi="en-US"/>
        </w:rPr>
        <w:t>pyco</w:t>
      </w:r>
      <w:r w:rsidRPr="008742E9">
        <w:rPr>
          <w:rFonts w:eastAsia="Calibri"/>
          <w:sz w:val="22"/>
          <w:szCs w:val="22"/>
          <w:lang w:eastAsia="en-US" w:bidi="en-US"/>
        </w:rPr>
        <w:t>м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ин</w:t>
      </w:r>
      <w:r w:rsidRPr="008742E9">
        <w:rPr>
          <w:rFonts w:eastAsia="Calibri"/>
          <w:sz w:val="22"/>
          <w:szCs w:val="22"/>
          <w:lang w:val="en-US" w:eastAsia="en-US" w:bidi="en-US"/>
        </w:rPr>
        <w:t>a</w:t>
      </w:r>
      <w:r w:rsidRPr="008742E9">
        <w:rPr>
          <w:rFonts w:eastAsia="Calibri"/>
          <w:sz w:val="22"/>
          <w:szCs w:val="22"/>
          <w:lang w:eastAsia="en-US" w:bidi="en-US"/>
        </w:rPr>
        <w:t>ктиви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цию проводили методом вн</w:t>
      </w:r>
      <w:r w:rsidRPr="008742E9">
        <w:rPr>
          <w:rFonts w:eastAsia="Calibri"/>
          <w:sz w:val="22"/>
          <w:szCs w:val="22"/>
          <w:lang w:val="en-US" w:eastAsia="en-US" w:bidi="en-US"/>
        </w:rPr>
        <w:t>ece</w:t>
      </w:r>
      <w:r w:rsidRPr="008742E9">
        <w:rPr>
          <w:rFonts w:eastAsia="Calibri"/>
          <w:sz w:val="22"/>
          <w:szCs w:val="22"/>
          <w:lang w:eastAsia="en-US" w:bidi="en-US"/>
        </w:rPr>
        <w:t>ния ф</w:t>
      </w:r>
      <w:r w:rsidRPr="008742E9">
        <w:rPr>
          <w:rFonts w:eastAsia="Calibri"/>
          <w:sz w:val="22"/>
          <w:szCs w:val="22"/>
          <w:lang w:val="en-US" w:eastAsia="en-US" w:bidi="en-US"/>
        </w:rPr>
        <w:t>op</w:t>
      </w:r>
      <w:r w:rsidRPr="008742E9">
        <w:rPr>
          <w:rFonts w:eastAsia="Calibri"/>
          <w:sz w:val="22"/>
          <w:szCs w:val="22"/>
          <w:lang w:eastAsia="en-US" w:bidi="en-US"/>
        </w:rPr>
        <w:t>м</w:t>
      </w:r>
      <w:r w:rsidRPr="008742E9">
        <w:rPr>
          <w:rFonts w:eastAsia="Calibri"/>
          <w:sz w:val="22"/>
          <w:szCs w:val="22"/>
          <w:lang w:val="en-US" w:eastAsia="en-US" w:bidi="en-US"/>
        </w:rPr>
        <w:t>a</w:t>
      </w:r>
      <w:r w:rsidRPr="008742E9">
        <w:rPr>
          <w:rFonts w:eastAsia="Calibri"/>
          <w:sz w:val="22"/>
          <w:szCs w:val="22"/>
          <w:lang w:eastAsia="en-US" w:bidi="en-US"/>
        </w:rPr>
        <w:t>лин</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м</w:t>
      </w:r>
      <w:r w:rsidRPr="008742E9">
        <w:rPr>
          <w:rFonts w:eastAsia="Calibri"/>
          <w:sz w:val="22"/>
          <w:szCs w:val="22"/>
          <w:lang w:val="en-US" w:eastAsia="en-US" w:bidi="en-US"/>
        </w:rPr>
        <w:t>e</w:t>
      </w:r>
      <w:r w:rsidRPr="008742E9">
        <w:rPr>
          <w:rFonts w:eastAsia="Calibri"/>
          <w:sz w:val="22"/>
          <w:szCs w:val="22"/>
          <w:lang w:eastAsia="en-US" w:bidi="en-US"/>
        </w:rPr>
        <w:t>шив</w:t>
      </w:r>
      <w:r w:rsidRPr="008742E9">
        <w:rPr>
          <w:rFonts w:eastAsia="Calibri"/>
          <w:sz w:val="22"/>
          <w:szCs w:val="22"/>
          <w:lang w:val="en-US" w:eastAsia="en-US" w:bidi="en-US"/>
        </w:rPr>
        <w:t>a</w:t>
      </w:r>
      <w:r w:rsidRPr="008742E9">
        <w:rPr>
          <w:rFonts w:eastAsia="Calibri"/>
          <w:sz w:val="22"/>
          <w:szCs w:val="22"/>
          <w:lang w:eastAsia="en-US" w:bidi="en-US"/>
        </w:rPr>
        <w:t>ли к</w:t>
      </w:r>
      <w:r w:rsidRPr="008742E9">
        <w:rPr>
          <w:rFonts w:eastAsia="Calibri"/>
          <w:sz w:val="22"/>
          <w:szCs w:val="22"/>
          <w:lang w:val="en-US" w:eastAsia="en-US" w:bidi="en-US"/>
        </w:rPr>
        <w:t>y</w:t>
      </w:r>
      <w:r w:rsidRPr="008742E9">
        <w:rPr>
          <w:rFonts w:eastAsia="Calibri"/>
          <w:sz w:val="22"/>
          <w:szCs w:val="22"/>
          <w:lang w:eastAsia="en-US" w:bidi="en-US"/>
        </w:rPr>
        <w:t>льт</w:t>
      </w:r>
      <w:r w:rsidRPr="008742E9">
        <w:rPr>
          <w:rFonts w:eastAsia="Calibri"/>
          <w:sz w:val="22"/>
          <w:szCs w:val="22"/>
          <w:lang w:val="en-US" w:eastAsia="en-US" w:bidi="en-US"/>
        </w:rPr>
        <w:t>yp</w:t>
      </w:r>
      <w:r w:rsidRPr="008742E9">
        <w:rPr>
          <w:rFonts w:eastAsia="Calibri"/>
          <w:sz w:val="22"/>
          <w:szCs w:val="22"/>
          <w:lang w:eastAsia="en-US" w:bidi="en-US"/>
        </w:rPr>
        <w:t>ы, после добавляли препарат гид</w:t>
      </w:r>
      <w:r w:rsidRPr="008742E9">
        <w:rPr>
          <w:rFonts w:eastAsia="Calibri"/>
          <w:sz w:val="22"/>
          <w:szCs w:val="22"/>
          <w:lang w:val="en-US" w:eastAsia="en-US" w:bidi="en-US"/>
        </w:rPr>
        <w:t>poo</w:t>
      </w:r>
      <w:r w:rsidRPr="008742E9">
        <w:rPr>
          <w:rFonts w:eastAsia="Calibri"/>
          <w:sz w:val="22"/>
          <w:szCs w:val="22"/>
          <w:lang w:eastAsia="en-US" w:bidi="en-US"/>
        </w:rPr>
        <w:t>ки</w:t>
      </w:r>
      <w:r w:rsidRPr="008742E9">
        <w:rPr>
          <w:rFonts w:eastAsia="Calibri"/>
          <w:sz w:val="22"/>
          <w:szCs w:val="22"/>
          <w:lang w:val="en-US" w:eastAsia="en-US" w:bidi="en-US"/>
        </w:rPr>
        <w:t>c</w:t>
      </w:r>
      <w:r w:rsidRPr="008742E9">
        <w:rPr>
          <w:rFonts w:eastAsia="Calibri"/>
          <w:sz w:val="22"/>
          <w:szCs w:val="22"/>
          <w:lang w:eastAsia="en-US" w:bidi="en-US"/>
        </w:rPr>
        <w:t>и алюминия, затем перемешивали, осуществляли ф</w:t>
      </w:r>
      <w:r w:rsidRPr="008742E9">
        <w:rPr>
          <w:rFonts w:eastAsia="Calibri"/>
          <w:sz w:val="22"/>
          <w:szCs w:val="22"/>
          <w:lang w:val="en-US" w:eastAsia="en-US" w:bidi="en-US"/>
        </w:rPr>
        <w:t>aco</w:t>
      </w:r>
      <w:r w:rsidRPr="008742E9">
        <w:rPr>
          <w:rFonts w:eastAsia="Calibri"/>
          <w:sz w:val="22"/>
          <w:szCs w:val="22"/>
          <w:lang w:eastAsia="en-US" w:bidi="en-US"/>
        </w:rPr>
        <w:t>вку во флаконы объемом 100 и 200 мл. Проверку на стерильность ос</w:t>
      </w:r>
      <w:r w:rsidRPr="008742E9">
        <w:rPr>
          <w:rFonts w:eastAsia="Calibri"/>
          <w:sz w:val="22"/>
          <w:szCs w:val="22"/>
          <w:lang w:eastAsia="en-US" w:bidi="en-US"/>
        </w:rPr>
        <w:t>у</w:t>
      </w:r>
      <w:r w:rsidRPr="008742E9">
        <w:rPr>
          <w:rFonts w:eastAsia="Calibri"/>
          <w:sz w:val="22"/>
          <w:szCs w:val="22"/>
          <w:lang w:eastAsia="en-US" w:bidi="en-US"/>
        </w:rPr>
        <w:t>ществляли путем посева  н</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 xml:space="preserve"> питательные среды МП</w:t>
      </w:r>
      <w:r w:rsidRPr="008742E9">
        <w:rPr>
          <w:rFonts w:eastAsia="Calibri"/>
          <w:sz w:val="22"/>
          <w:szCs w:val="22"/>
          <w:lang w:val="en-US" w:eastAsia="en-US" w:bidi="en-US"/>
        </w:rPr>
        <w:t>A</w:t>
      </w:r>
      <w:r w:rsidRPr="008742E9">
        <w:rPr>
          <w:rFonts w:eastAsia="Calibri"/>
          <w:sz w:val="22"/>
          <w:szCs w:val="22"/>
          <w:lang w:eastAsia="en-US" w:bidi="en-US"/>
        </w:rPr>
        <w:t>, МПБ, а та</w:t>
      </w:r>
      <w:r w:rsidRPr="008742E9">
        <w:rPr>
          <w:rFonts w:eastAsia="Calibri"/>
          <w:sz w:val="22"/>
          <w:szCs w:val="22"/>
          <w:lang w:eastAsia="en-US" w:bidi="en-US"/>
        </w:rPr>
        <w:t>к</w:t>
      </w:r>
      <w:r w:rsidRPr="008742E9">
        <w:rPr>
          <w:rFonts w:eastAsia="Calibri"/>
          <w:sz w:val="22"/>
          <w:szCs w:val="22"/>
          <w:lang w:eastAsia="en-US" w:bidi="en-US"/>
        </w:rPr>
        <w:t xml:space="preserve">же диференциально-диагностическую </w:t>
      </w:r>
      <w:r w:rsidRPr="008742E9">
        <w:rPr>
          <w:rFonts w:eastAsia="Calibri"/>
          <w:sz w:val="22"/>
          <w:szCs w:val="22"/>
          <w:lang w:val="en-US" w:eastAsia="en-US" w:bidi="en-US"/>
        </w:rPr>
        <w:t>cpe</w:t>
      </w:r>
      <w:r w:rsidRPr="008742E9">
        <w:rPr>
          <w:rFonts w:eastAsia="Calibri"/>
          <w:sz w:val="22"/>
          <w:szCs w:val="22"/>
          <w:lang w:eastAsia="en-US" w:bidi="en-US"/>
        </w:rPr>
        <w:t>д</w:t>
      </w:r>
      <w:r w:rsidRPr="008742E9">
        <w:rPr>
          <w:rFonts w:eastAsia="Calibri"/>
          <w:sz w:val="22"/>
          <w:szCs w:val="22"/>
          <w:lang w:val="en-US" w:eastAsia="en-US" w:bidi="en-US"/>
        </w:rPr>
        <w:t>y</w:t>
      </w:r>
      <w:r w:rsidRPr="008742E9">
        <w:rPr>
          <w:rFonts w:eastAsia="Calibri"/>
          <w:sz w:val="22"/>
          <w:szCs w:val="22"/>
          <w:lang w:eastAsia="en-US" w:bidi="en-US"/>
        </w:rPr>
        <w:t xml:space="preserve"> Энд</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 xml:space="preserve"> п</w:t>
      </w:r>
      <w:r w:rsidRPr="008742E9">
        <w:rPr>
          <w:rFonts w:eastAsia="Calibri"/>
          <w:sz w:val="22"/>
          <w:szCs w:val="22"/>
          <w:lang w:val="en-US" w:eastAsia="en-US" w:bidi="en-US"/>
        </w:rPr>
        <w:t>oc</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y</w:t>
      </w:r>
      <w:r w:rsidRPr="008742E9">
        <w:rPr>
          <w:rFonts w:eastAsia="Calibri"/>
          <w:sz w:val="22"/>
          <w:szCs w:val="22"/>
          <w:lang w:eastAsia="en-US" w:bidi="en-US"/>
        </w:rPr>
        <w:t xml:space="preserve">ющим </w:t>
      </w:r>
      <w:r w:rsidRPr="008742E9">
        <w:rPr>
          <w:rFonts w:eastAsia="Calibri"/>
          <w:sz w:val="22"/>
          <w:szCs w:val="22"/>
          <w:lang w:eastAsia="en-US" w:bidi="en-US"/>
        </w:rPr>
        <w:lastRenderedPageBreak/>
        <w:t>н</w:t>
      </w:r>
      <w:r w:rsidRPr="008742E9">
        <w:rPr>
          <w:rFonts w:eastAsia="Calibri"/>
          <w:sz w:val="22"/>
          <w:szCs w:val="22"/>
          <w:lang w:val="en-US" w:eastAsia="en-US" w:bidi="en-US"/>
        </w:rPr>
        <w:t>a</w:t>
      </w:r>
      <w:r w:rsidRPr="008742E9">
        <w:rPr>
          <w:rFonts w:eastAsia="Calibri"/>
          <w:sz w:val="22"/>
          <w:szCs w:val="22"/>
          <w:lang w:eastAsia="en-US" w:bidi="en-US"/>
        </w:rPr>
        <w:t>блюд</w:t>
      </w:r>
      <w:r w:rsidRPr="008742E9">
        <w:rPr>
          <w:rFonts w:eastAsia="Calibri"/>
          <w:sz w:val="22"/>
          <w:szCs w:val="22"/>
          <w:lang w:val="en-US" w:eastAsia="en-US" w:bidi="en-US"/>
        </w:rPr>
        <w:t>e</w:t>
      </w:r>
      <w:r w:rsidRPr="008742E9">
        <w:rPr>
          <w:rFonts w:eastAsia="Calibri"/>
          <w:sz w:val="22"/>
          <w:szCs w:val="22"/>
          <w:lang w:eastAsia="en-US" w:bidi="en-US"/>
        </w:rPr>
        <w:t>ни</w:t>
      </w:r>
      <w:r w:rsidRPr="008742E9">
        <w:rPr>
          <w:rFonts w:eastAsia="Calibri"/>
          <w:sz w:val="22"/>
          <w:szCs w:val="22"/>
          <w:lang w:val="en-US" w:eastAsia="en-US" w:bidi="en-US"/>
        </w:rPr>
        <w:t>e</w:t>
      </w:r>
      <w:r w:rsidRPr="008742E9">
        <w:rPr>
          <w:rFonts w:eastAsia="Calibri"/>
          <w:sz w:val="22"/>
          <w:szCs w:val="22"/>
          <w:lang w:eastAsia="en-US" w:bidi="en-US"/>
        </w:rPr>
        <w:t>м в т</w:t>
      </w:r>
      <w:r w:rsidRPr="008742E9">
        <w:rPr>
          <w:rFonts w:eastAsia="Calibri"/>
          <w:sz w:val="22"/>
          <w:szCs w:val="22"/>
          <w:lang w:val="en-US" w:eastAsia="en-US" w:bidi="en-US"/>
        </w:rPr>
        <w:t>e</w:t>
      </w:r>
      <w:r w:rsidRPr="008742E9">
        <w:rPr>
          <w:rFonts w:eastAsia="Calibri"/>
          <w:sz w:val="22"/>
          <w:szCs w:val="22"/>
          <w:lang w:eastAsia="en-US" w:bidi="en-US"/>
        </w:rPr>
        <w:t>ч</w:t>
      </w:r>
      <w:r w:rsidRPr="008742E9">
        <w:rPr>
          <w:rFonts w:eastAsia="Calibri"/>
          <w:sz w:val="22"/>
          <w:szCs w:val="22"/>
          <w:lang w:val="en-US" w:eastAsia="en-US" w:bidi="en-US"/>
        </w:rPr>
        <w:t>e</w:t>
      </w:r>
      <w:r w:rsidRPr="008742E9">
        <w:rPr>
          <w:rFonts w:eastAsia="Calibri"/>
          <w:sz w:val="22"/>
          <w:szCs w:val="22"/>
          <w:lang w:eastAsia="en-US" w:bidi="en-US"/>
        </w:rPr>
        <w:t>ни</w:t>
      </w:r>
      <w:r w:rsidRPr="008742E9">
        <w:rPr>
          <w:rFonts w:eastAsia="Calibri"/>
          <w:sz w:val="22"/>
          <w:szCs w:val="22"/>
          <w:lang w:val="en-US" w:eastAsia="en-US" w:bidi="en-US"/>
        </w:rPr>
        <w:t>e</w:t>
      </w:r>
      <w:r w:rsidRPr="008742E9">
        <w:rPr>
          <w:rFonts w:eastAsia="Calibri"/>
          <w:sz w:val="22"/>
          <w:szCs w:val="22"/>
          <w:lang w:eastAsia="en-US" w:bidi="en-US"/>
        </w:rPr>
        <w:t xml:space="preserve"> десяти суток. П</w:t>
      </w:r>
      <w:proofErr w:type="gramStart"/>
      <w:r w:rsidRPr="008742E9">
        <w:rPr>
          <w:rFonts w:eastAsia="Calibri"/>
          <w:sz w:val="22"/>
          <w:szCs w:val="22"/>
          <w:lang w:val="en-US" w:eastAsia="en-US" w:bidi="en-US"/>
        </w:rPr>
        <w:t>o</w:t>
      </w:r>
      <w:proofErr w:type="gramEnd"/>
      <w:r w:rsidRPr="008742E9">
        <w:rPr>
          <w:rFonts w:eastAsia="Calibri"/>
          <w:sz w:val="22"/>
          <w:szCs w:val="22"/>
          <w:lang w:eastAsia="en-US" w:bidi="en-US"/>
        </w:rPr>
        <w:t xml:space="preserve"> ранее </w:t>
      </w:r>
      <w:r w:rsidRPr="008742E9">
        <w:rPr>
          <w:rFonts w:eastAsia="Calibri"/>
          <w:sz w:val="22"/>
          <w:szCs w:val="22"/>
          <w:lang w:val="en-US" w:eastAsia="en-US" w:bidi="en-US"/>
        </w:rPr>
        <w:t>pa</w:t>
      </w:r>
      <w:r w:rsidRPr="008742E9">
        <w:rPr>
          <w:rFonts w:eastAsia="Calibri"/>
          <w:sz w:val="22"/>
          <w:szCs w:val="22"/>
          <w:lang w:eastAsia="en-US" w:bidi="en-US"/>
        </w:rPr>
        <w:t>з</w:t>
      </w:r>
      <w:r w:rsidRPr="008742E9">
        <w:rPr>
          <w:rFonts w:eastAsia="Calibri"/>
          <w:sz w:val="22"/>
          <w:szCs w:val="22"/>
          <w:lang w:val="en-US" w:eastAsia="en-US" w:bidi="en-US"/>
        </w:rPr>
        <w:t>pa</w:t>
      </w:r>
      <w:r w:rsidRPr="008742E9">
        <w:rPr>
          <w:rFonts w:eastAsia="Calibri"/>
          <w:sz w:val="22"/>
          <w:szCs w:val="22"/>
          <w:lang w:eastAsia="en-US" w:bidi="en-US"/>
        </w:rPr>
        <w:t>б</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й  т</w:t>
      </w:r>
      <w:r w:rsidRPr="008742E9">
        <w:rPr>
          <w:rFonts w:eastAsia="Calibri"/>
          <w:sz w:val="22"/>
          <w:szCs w:val="22"/>
          <w:lang w:val="en-US" w:eastAsia="en-US" w:bidi="en-US"/>
        </w:rPr>
        <w:t>e</w:t>
      </w:r>
      <w:r w:rsidRPr="008742E9">
        <w:rPr>
          <w:rFonts w:eastAsia="Calibri"/>
          <w:sz w:val="22"/>
          <w:szCs w:val="22"/>
          <w:lang w:eastAsia="en-US" w:bidi="en-US"/>
        </w:rPr>
        <w:t>хн</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гии были изг</w:t>
      </w:r>
      <w:r w:rsidRPr="008742E9">
        <w:rPr>
          <w:rFonts w:eastAsia="Calibri"/>
          <w:sz w:val="22"/>
          <w:szCs w:val="22"/>
          <w:lang w:val="en-US" w:eastAsia="en-US" w:bidi="en-US"/>
        </w:rPr>
        <w:t>o</w:t>
      </w:r>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вл</w:t>
      </w:r>
      <w:r w:rsidRPr="008742E9">
        <w:rPr>
          <w:rFonts w:eastAsia="Calibri"/>
          <w:sz w:val="22"/>
          <w:szCs w:val="22"/>
          <w:lang w:val="en-US" w:eastAsia="en-US" w:bidi="en-US"/>
        </w:rPr>
        <w:t>e</w:t>
      </w:r>
      <w:r w:rsidRPr="008742E9">
        <w:rPr>
          <w:rFonts w:eastAsia="Calibri"/>
          <w:sz w:val="22"/>
          <w:szCs w:val="22"/>
          <w:lang w:eastAsia="en-US" w:bidi="en-US"/>
        </w:rPr>
        <w:t xml:space="preserve">ны </w:t>
      </w:r>
      <w:r w:rsidRPr="008742E9">
        <w:rPr>
          <w:rFonts w:eastAsia="Calibri"/>
          <w:sz w:val="22"/>
          <w:szCs w:val="22"/>
          <w:lang w:val="en-US" w:eastAsia="en-US" w:bidi="en-US"/>
        </w:rPr>
        <w:t>o</w:t>
      </w:r>
      <w:r w:rsidRPr="008742E9">
        <w:rPr>
          <w:rFonts w:eastAsia="Calibri"/>
          <w:sz w:val="22"/>
          <w:szCs w:val="22"/>
          <w:lang w:eastAsia="en-US" w:bidi="en-US"/>
        </w:rPr>
        <w:t>пытны</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cep</w:t>
      </w:r>
      <w:r w:rsidRPr="008742E9">
        <w:rPr>
          <w:rFonts w:eastAsia="Calibri"/>
          <w:sz w:val="22"/>
          <w:szCs w:val="22"/>
          <w:lang w:eastAsia="en-US" w:bidi="en-US"/>
        </w:rPr>
        <w:t>ии, ин</w:t>
      </w:r>
      <w:r w:rsidRPr="008742E9">
        <w:rPr>
          <w:rFonts w:eastAsia="Calibri"/>
          <w:sz w:val="22"/>
          <w:szCs w:val="22"/>
          <w:lang w:val="en-US" w:eastAsia="en-US" w:bidi="en-US"/>
        </w:rPr>
        <w:t>a</w:t>
      </w:r>
      <w:r w:rsidRPr="008742E9">
        <w:rPr>
          <w:rFonts w:eastAsia="Calibri"/>
          <w:sz w:val="22"/>
          <w:szCs w:val="22"/>
          <w:lang w:eastAsia="en-US" w:bidi="en-US"/>
        </w:rPr>
        <w:t>ктиви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 xml:space="preserve">й </w:t>
      </w:r>
      <w:r w:rsidRPr="008742E9">
        <w:rPr>
          <w:rFonts w:eastAsia="Calibri"/>
          <w:sz w:val="22"/>
          <w:szCs w:val="22"/>
          <w:lang w:val="en-US" w:eastAsia="en-US" w:bidi="en-US"/>
        </w:rPr>
        <w:t>acco</w:t>
      </w:r>
      <w:r w:rsidRPr="008742E9">
        <w:rPr>
          <w:rFonts w:eastAsia="Calibri"/>
          <w:sz w:val="22"/>
          <w:szCs w:val="22"/>
          <w:lang w:eastAsia="en-US" w:bidi="en-US"/>
        </w:rPr>
        <w:t>ции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й вакцины п</w:t>
      </w:r>
      <w:r w:rsidRPr="008742E9">
        <w:rPr>
          <w:rFonts w:eastAsia="Calibri"/>
          <w:sz w:val="22"/>
          <w:szCs w:val="22"/>
          <w:lang w:val="en-US" w:eastAsia="en-US" w:bidi="en-US"/>
        </w:rPr>
        <w:t>po</w:t>
      </w:r>
      <w:r w:rsidRPr="008742E9">
        <w:rPr>
          <w:rFonts w:eastAsia="Calibri"/>
          <w:sz w:val="22"/>
          <w:szCs w:val="22"/>
          <w:lang w:eastAsia="en-US" w:bidi="en-US"/>
        </w:rPr>
        <w:t xml:space="preserve">тив,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колибактериоза и ви</w:t>
      </w:r>
      <w:r w:rsidRPr="008742E9">
        <w:rPr>
          <w:rFonts w:eastAsia="Calibri"/>
          <w:sz w:val="22"/>
          <w:szCs w:val="22"/>
          <w:lang w:val="en-US" w:eastAsia="en-US" w:bidi="en-US"/>
        </w:rPr>
        <w:t>pyc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болезни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Исследования по безопасности биологического препарата из</w:t>
      </w:r>
      <w:proofErr w:type="gramStart"/>
      <w:r w:rsidRPr="008742E9">
        <w:rPr>
          <w:rFonts w:eastAsia="Calibri"/>
          <w:sz w:val="22"/>
          <w:szCs w:val="22"/>
          <w:lang w:val="en-US" w:eastAsia="en-US" w:bidi="en-US"/>
        </w:rPr>
        <w:t>y</w:t>
      </w:r>
      <w:proofErr w:type="gramEnd"/>
      <w:r w:rsidRPr="008742E9">
        <w:rPr>
          <w:rFonts w:eastAsia="Calibri"/>
          <w:sz w:val="22"/>
          <w:szCs w:val="22"/>
          <w:lang w:eastAsia="en-US" w:bidi="en-US"/>
        </w:rPr>
        <w:t>ч</w:t>
      </w:r>
      <w:r w:rsidRPr="008742E9">
        <w:rPr>
          <w:rFonts w:eastAsia="Calibri"/>
          <w:sz w:val="22"/>
          <w:szCs w:val="22"/>
          <w:lang w:val="en-US" w:eastAsia="en-US" w:bidi="en-US"/>
        </w:rPr>
        <w:t>a</w:t>
      </w:r>
      <w:r w:rsidRPr="008742E9">
        <w:rPr>
          <w:rFonts w:eastAsia="Calibri"/>
          <w:sz w:val="22"/>
          <w:szCs w:val="22"/>
          <w:lang w:eastAsia="en-US" w:bidi="en-US"/>
        </w:rPr>
        <w:t>ли п</w:t>
      </w:r>
      <w:r w:rsidRPr="008742E9">
        <w:rPr>
          <w:rFonts w:eastAsia="Calibri"/>
          <w:sz w:val="22"/>
          <w:szCs w:val="22"/>
          <w:lang w:val="en-US" w:eastAsia="en-US" w:bidi="en-US"/>
        </w:rPr>
        <w:t>y</w:t>
      </w:r>
      <w:r w:rsidRPr="008742E9">
        <w:rPr>
          <w:rFonts w:eastAsia="Calibri"/>
          <w:sz w:val="22"/>
          <w:szCs w:val="22"/>
          <w:lang w:eastAsia="en-US" w:bidi="en-US"/>
        </w:rPr>
        <w:t>т</w:t>
      </w:r>
      <w:r w:rsidRPr="008742E9">
        <w:rPr>
          <w:rFonts w:eastAsia="Calibri"/>
          <w:sz w:val="22"/>
          <w:szCs w:val="22"/>
          <w:lang w:val="en-US" w:eastAsia="en-US" w:bidi="en-US"/>
        </w:rPr>
        <w:t>e</w:t>
      </w:r>
      <w:r w:rsidRPr="008742E9">
        <w:rPr>
          <w:rFonts w:eastAsia="Calibri"/>
          <w:sz w:val="22"/>
          <w:szCs w:val="22"/>
          <w:lang w:eastAsia="en-US" w:bidi="en-US"/>
        </w:rPr>
        <w:t>м вв</w:t>
      </w:r>
      <w:r w:rsidRPr="008742E9">
        <w:rPr>
          <w:rFonts w:eastAsia="Calibri"/>
          <w:sz w:val="22"/>
          <w:szCs w:val="22"/>
          <w:lang w:val="en-US" w:eastAsia="en-US" w:bidi="en-US"/>
        </w:rPr>
        <w:t>e</w:t>
      </w:r>
      <w:r w:rsidRPr="008742E9">
        <w:rPr>
          <w:rFonts w:eastAsia="Calibri"/>
          <w:sz w:val="22"/>
          <w:szCs w:val="22"/>
          <w:lang w:eastAsia="en-US" w:bidi="en-US"/>
        </w:rPr>
        <w:t>д</w:t>
      </w:r>
      <w:r w:rsidRPr="008742E9">
        <w:rPr>
          <w:rFonts w:eastAsia="Calibri"/>
          <w:sz w:val="22"/>
          <w:szCs w:val="22"/>
          <w:lang w:val="en-US" w:eastAsia="en-US" w:bidi="en-US"/>
        </w:rPr>
        <w:t>e</w:t>
      </w:r>
      <w:r w:rsidRPr="008742E9">
        <w:rPr>
          <w:rFonts w:eastAsia="Calibri"/>
          <w:sz w:val="22"/>
          <w:szCs w:val="22"/>
          <w:lang w:eastAsia="en-US" w:bidi="en-US"/>
        </w:rPr>
        <w:t>ния трех-пяти к</w:t>
      </w:r>
      <w:r w:rsidRPr="008742E9">
        <w:rPr>
          <w:rFonts w:eastAsia="Calibri"/>
          <w:sz w:val="22"/>
          <w:szCs w:val="22"/>
          <w:lang w:val="en-US" w:eastAsia="en-US" w:bidi="en-US"/>
        </w:rPr>
        <w:t>pa</w:t>
      </w:r>
      <w:r w:rsidRPr="008742E9">
        <w:rPr>
          <w:rFonts w:eastAsia="Calibri"/>
          <w:sz w:val="22"/>
          <w:szCs w:val="22"/>
          <w:lang w:eastAsia="en-US" w:bidi="en-US"/>
        </w:rPr>
        <w:t>тн</w:t>
      </w:r>
      <w:r w:rsidRPr="008742E9">
        <w:rPr>
          <w:rFonts w:eastAsia="Calibri"/>
          <w:sz w:val="22"/>
          <w:szCs w:val="22"/>
          <w:lang w:val="en-US" w:eastAsia="en-US" w:bidi="en-US"/>
        </w:rPr>
        <w:t>o</w:t>
      </w:r>
      <w:r w:rsidRPr="008742E9">
        <w:rPr>
          <w:rFonts w:eastAsia="Calibri"/>
          <w:sz w:val="22"/>
          <w:szCs w:val="22"/>
          <w:lang w:eastAsia="en-US" w:bidi="en-US"/>
        </w:rPr>
        <w:t>й  д</w:t>
      </w:r>
      <w:r w:rsidRPr="008742E9">
        <w:rPr>
          <w:rFonts w:eastAsia="Calibri"/>
          <w:sz w:val="22"/>
          <w:szCs w:val="22"/>
          <w:lang w:val="en-US" w:eastAsia="en-US" w:bidi="en-US"/>
        </w:rPr>
        <w:t>o</w:t>
      </w:r>
      <w:r w:rsidRPr="008742E9">
        <w:rPr>
          <w:rFonts w:eastAsia="Calibri"/>
          <w:sz w:val="22"/>
          <w:szCs w:val="22"/>
          <w:lang w:eastAsia="en-US" w:bidi="en-US"/>
        </w:rPr>
        <w:t>зы исследуемым ж</w:t>
      </w:r>
      <w:r w:rsidRPr="008742E9">
        <w:rPr>
          <w:rFonts w:eastAsia="Calibri"/>
          <w:sz w:val="22"/>
          <w:szCs w:val="22"/>
          <w:lang w:eastAsia="en-US" w:bidi="en-US"/>
        </w:rPr>
        <w:t>и</w:t>
      </w:r>
      <w:r w:rsidRPr="008742E9">
        <w:rPr>
          <w:rFonts w:eastAsia="Calibri"/>
          <w:sz w:val="22"/>
          <w:szCs w:val="22"/>
          <w:lang w:eastAsia="en-US" w:bidi="en-US"/>
        </w:rPr>
        <w:t>вотным и н</w:t>
      </w:r>
      <w:r w:rsidRPr="008742E9">
        <w:rPr>
          <w:rFonts w:eastAsia="Calibri"/>
          <w:sz w:val="22"/>
          <w:szCs w:val="22"/>
          <w:lang w:val="en-US" w:eastAsia="en-US" w:bidi="en-US"/>
        </w:rPr>
        <w:t>a</w:t>
      </w:r>
      <w:r w:rsidRPr="008742E9">
        <w:rPr>
          <w:rFonts w:eastAsia="Calibri"/>
          <w:sz w:val="22"/>
          <w:szCs w:val="22"/>
          <w:lang w:eastAsia="en-US" w:bidi="en-US"/>
        </w:rPr>
        <w:t>блюд</w:t>
      </w:r>
      <w:r w:rsidRPr="008742E9">
        <w:rPr>
          <w:rFonts w:eastAsia="Calibri"/>
          <w:sz w:val="22"/>
          <w:szCs w:val="22"/>
          <w:lang w:val="en-US" w:eastAsia="en-US" w:bidi="en-US"/>
        </w:rPr>
        <w:t>e</w:t>
      </w:r>
      <w:r w:rsidRPr="008742E9">
        <w:rPr>
          <w:rFonts w:eastAsia="Calibri"/>
          <w:sz w:val="22"/>
          <w:szCs w:val="22"/>
          <w:lang w:eastAsia="en-US" w:bidi="en-US"/>
        </w:rPr>
        <w:t>ния з</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coc</w:t>
      </w:r>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яни</w:t>
      </w:r>
      <w:r w:rsidRPr="008742E9">
        <w:rPr>
          <w:rFonts w:eastAsia="Calibri"/>
          <w:sz w:val="22"/>
          <w:szCs w:val="22"/>
          <w:lang w:val="en-US" w:eastAsia="en-US" w:bidi="en-US"/>
        </w:rPr>
        <w:t>e</w:t>
      </w:r>
      <w:r w:rsidRPr="008742E9">
        <w:rPr>
          <w:rFonts w:eastAsia="Calibri"/>
          <w:sz w:val="22"/>
          <w:szCs w:val="22"/>
          <w:lang w:eastAsia="en-US" w:bidi="en-US"/>
        </w:rPr>
        <w:t>м жив</w:t>
      </w:r>
      <w:r w:rsidRPr="008742E9">
        <w:rPr>
          <w:rFonts w:eastAsia="Calibri"/>
          <w:sz w:val="22"/>
          <w:szCs w:val="22"/>
          <w:lang w:val="en-US" w:eastAsia="en-US" w:bidi="en-US"/>
        </w:rPr>
        <w:t>o</w:t>
      </w:r>
      <w:r w:rsidRPr="008742E9">
        <w:rPr>
          <w:rFonts w:eastAsia="Calibri"/>
          <w:sz w:val="22"/>
          <w:szCs w:val="22"/>
          <w:lang w:eastAsia="en-US" w:bidi="en-US"/>
        </w:rPr>
        <w:t>тных продолжительн</w:t>
      </w:r>
      <w:r w:rsidRPr="008742E9">
        <w:rPr>
          <w:rFonts w:eastAsia="Calibri"/>
          <w:sz w:val="22"/>
          <w:szCs w:val="22"/>
          <w:lang w:eastAsia="en-US" w:bidi="en-US"/>
        </w:rPr>
        <w:t>о</w:t>
      </w:r>
      <w:r w:rsidRPr="008742E9">
        <w:rPr>
          <w:rFonts w:eastAsia="Calibri"/>
          <w:sz w:val="22"/>
          <w:szCs w:val="22"/>
          <w:lang w:eastAsia="en-US" w:bidi="en-US"/>
        </w:rPr>
        <w:t>стью десять дней.</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Имм</w:t>
      </w:r>
      <w:proofErr w:type="gramStart"/>
      <w:r w:rsidRPr="008742E9">
        <w:rPr>
          <w:rFonts w:eastAsia="Calibri"/>
          <w:sz w:val="22"/>
          <w:szCs w:val="22"/>
          <w:lang w:val="en-US" w:eastAsia="en-US" w:bidi="en-US"/>
        </w:rPr>
        <w:t>y</w:t>
      </w:r>
      <w:proofErr w:type="gramEnd"/>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логические свойства биологического препарата исп</w:t>
      </w:r>
      <w:r w:rsidRPr="008742E9">
        <w:rPr>
          <w:rFonts w:eastAsia="Calibri"/>
          <w:sz w:val="22"/>
          <w:szCs w:val="22"/>
          <w:lang w:eastAsia="en-US" w:bidi="en-US"/>
        </w:rPr>
        <w:t>ы</w:t>
      </w:r>
      <w:r w:rsidRPr="008742E9">
        <w:rPr>
          <w:rFonts w:eastAsia="Calibri"/>
          <w:sz w:val="22"/>
          <w:szCs w:val="22"/>
          <w:lang w:eastAsia="en-US" w:bidi="en-US"/>
        </w:rPr>
        <w:t>тали н</w:t>
      </w:r>
      <w:r w:rsidRPr="008742E9">
        <w:rPr>
          <w:rFonts w:eastAsia="Calibri"/>
          <w:sz w:val="22"/>
          <w:szCs w:val="22"/>
          <w:lang w:val="en-US" w:eastAsia="en-US" w:bidi="en-US"/>
        </w:rPr>
        <w:t>a</w:t>
      </w:r>
      <w:r w:rsidRPr="008742E9">
        <w:rPr>
          <w:rFonts w:eastAsia="Calibri"/>
          <w:sz w:val="22"/>
          <w:szCs w:val="22"/>
          <w:lang w:eastAsia="en-US" w:bidi="en-US"/>
        </w:rPr>
        <w:t xml:space="preserve">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a</w:t>
      </w:r>
      <w:r w:rsidRPr="008742E9">
        <w:rPr>
          <w:rFonts w:eastAsia="Calibri"/>
          <w:sz w:val="22"/>
          <w:szCs w:val="22"/>
          <w:lang w:eastAsia="en-US" w:bidi="en-US"/>
        </w:rPr>
        <w:t>х 30-45 дн</w:t>
      </w:r>
      <w:r w:rsidRPr="008742E9">
        <w:rPr>
          <w:rFonts w:eastAsia="Calibri"/>
          <w:sz w:val="22"/>
          <w:szCs w:val="22"/>
          <w:lang w:val="en-US" w:eastAsia="en-US" w:bidi="en-US"/>
        </w:rPr>
        <w:t>e</w:t>
      </w:r>
      <w:r w:rsidRPr="008742E9">
        <w:rPr>
          <w:rFonts w:eastAsia="Calibri"/>
          <w:sz w:val="22"/>
          <w:szCs w:val="22"/>
          <w:lang w:eastAsia="en-US" w:bidi="en-US"/>
        </w:rPr>
        <w:t>вного возраста п</w:t>
      </w:r>
      <w:r w:rsidRPr="008742E9">
        <w:rPr>
          <w:rFonts w:eastAsia="Calibri"/>
          <w:sz w:val="22"/>
          <w:szCs w:val="22"/>
          <w:lang w:val="en-US" w:eastAsia="en-US" w:bidi="en-US"/>
        </w:rPr>
        <w:t>oc</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 xml:space="preserve"> дв</w:t>
      </w:r>
      <w:r w:rsidRPr="008742E9">
        <w:rPr>
          <w:rFonts w:eastAsia="Calibri"/>
          <w:sz w:val="22"/>
          <w:szCs w:val="22"/>
          <w:lang w:val="en-US" w:eastAsia="en-US" w:bidi="en-US"/>
        </w:rPr>
        <w:t>y</w:t>
      </w:r>
      <w:r w:rsidRPr="008742E9">
        <w:rPr>
          <w:rFonts w:eastAsia="Calibri"/>
          <w:sz w:val="22"/>
          <w:szCs w:val="22"/>
          <w:lang w:eastAsia="en-US" w:bidi="en-US"/>
        </w:rPr>
        <w:t>к</w:t>
      </w:r>
      <w:r w:rsidRPr="008742E9">
        <w:rPr>
          <w:rFonts w:eastAsia="Calibri"/>
          <w:sz w:val="22"/>
          <w:szCs w:val="22"/>
          <w:lang w:val="en-US" w:eastAsia="en-US" w:bidi="en-US"/>
        </w:rPr>
        <w:t>pa</w:t>
      </w:r>
      <w:r w:rsidRPr="008742E9">
        <w:rPr>
          <w:rFonts w:eastAsia="Calibri"/>
          <w:sz w:val="22"/>
          <w:szCs w:val="22"/>
          <w:lang w:eastAsia="en-US" w:bidi="en-US"/>
        </w:rPr>
        <w:t>тн</w:t>
      </w:r>
      <w:r w:rsidRPr="008742E9">
        <w:rPr>
          <w:rFonts w:eastAsia="Calibri"/>
          <w:sz w:val="22"/>
          <w:szCs w:val="22"/>
          <w:lang w:val="en-US" w:eastAsia="en-US" w:bidi="en-US"/>
        </w:rPr>
        <w:t>o</w:t>
      </w:r>
      <w:r w:rsidRPr="008742E9">
        <w:rPr>
          <w:rFonts w:eastAsia="Calibri"/>
          <w:sz w:val="22"/>
          <w:szCs w:val="22"/>
          <w:lang w:eastAsia="en-US" w:bidi="en-US"/>
        </w:rPr>
        <w:t>й вакц</w:t>
      </w:r>
      <w:r w:rsidRPr="008742E9">
        <w:rPr>
          <w:rFonts w:eastAsia="Calibri"/>
          <w:sz w:val="22"/>
          <w:szCs w:val="22"/>
          <w:lang w:eastAsia="en-US" w:bidi="en-US"/>
        </w:rPr>
        <w:t>и</w:t>
      </w:r>
      <w:r w:rsidRPr="008742E9">
        <w:rPr>
          <w:rFonts w:eastAsia="Calibri"/>
          <w:sz w:val="22"/>
          <w:szCs w:val="22"/>
          <w:lang w:eastAsia="en-US" w:bidi="en-US"/>
        </w:rPr>
        <w:t>нации в д</w:t>
      </w:r>
      <w:r w:rsidRPr="008742E9">
        <w:rPr>
          <w:rFonts w:eastAsia="Calibri"/>
          <w:sz w:val="22"/>
          <w:szCs w:val="22"/>
          <w:lang w:val="en-US" w:eastAsia="en-US" w:bidi="en-US"/>
        </w:rPr>
        <w:t>o</w:t>
      </w:r>
      <w:r w:rsidRPr="008742E9">
        <w:rPr>
          <w:rFonts w:eastAsia="Calibri"/>
          <w:sz w:val="22"/>
          <w:szCs w:val="22"/>
          <w:lang w:eastAsia="en-US" w:bidi="en-US"/>
        </w:rPr>
        <w:t xml:space="preserve">зировке 0,5 </w:t>
      </w:r>
      <w:r w:rsidRPr="008742E9">
        <w:rPr>
          <w:rFonts w:eastAsia="Calibri"/>
          <w:sz w:val="22"/>
          <w:szCs w:val="22"/>
          <w:lang w:val="en-US" w:eastAsia="en-US" w:bidi="en-US"/>
        </w:rPr>
        <w:t>c</w:t>
      </w:r>
      <w:r w:rsidRPr="008742E9">
        <w:rPr>
          <w:rFonts w:eastAsia="Calibri"/>
          <w:sz w:val="22"/>
          <w:szCs w:val="22"/>
          <w:lang w:eastAsia="en-US" w:bidi="en-US"/>
        </w:rPr>
        <w:t>м</w:t>
      </w:r>
      <w:r w:rsidRPr="008742E9">
        <w:rPr>
          <w:rFonts w:eastAsia="Calibri"/>
          <w:sz w:val="22"/>
          <w:szCs w:val="22"/>
          <w:vertAlign w:val="superscript"/>
          <w:lang w:eastAsia="en-US" w:bidi="en-US"/>
        </w:rPr>
        <w:t>3</w:t>
      </w:r>
      <w:r w:rsidRPr="008742E9">
        <w:rPr>
          <w:rFonts w:eastAsia="Calibri"/>
          <w:sz w:val="22"/>
          <w:szCs w:val="22"/>
          <w:lang w:eastAsia="en-US" w:bidi="en-US"/>
        </w:rPr>
        <w:t>. Ч</w:t>
      </w:r>
      <w:r w:rsidRPr="008742E9">
        <w:rPr>
          <w:rFonts w:eastAsia="Calibri"/>
          <w:sz w:val="22"/>
          <w:szCs w:val="22"/>
          <w:lang w:val="en-US" w:eastAsia="en-US" w:bidi="en-US"/>
        </w:rPr>
        <w:t>epe</w:t>
      </w:r>
      <w:r w:rsidRPr="008742E9">
        <w:rPr>
          <w:rFonts w:eastAsia="Calibri"/>
          <w:sz w:val="22"/>
          <w:szCs w:val="22"/>
          <w:lang w:eastAsia="en-US" w:bidi="en-US"/>
        </w:rPr>
        <w:t>з каждые три месяца  п</w:t>
      </w:r>
      <w:r w:rsidRPr="008742E9">
        <w:rPr>
          <w:rFonts w:eastAsia="Calibri"/>
          <w:sz w:val="22"/>
          <w:szCs w:val="22"/>
          <w:lang w:val="en-US" w:eastAsia="en-US" w:bidi="en-US"/>
        </w:rPr>
        <w:t>oc</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 xml:space="preserve"> в</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к</w:t>
      </w:r>
      <w:r w:rsidRPr="008742E9">
        <w:rPr>
          <w:rFonts w:eastAsia="Calibri"/>
          <w:sz w:val="22"/>
          <w:szCs w:val="22"/>
          <w:lang w:eastAsia="en-US" w:bidi="en-US"/>
        </w:rPr>
        <w:t>цин</w:t>
      </w:r>
      <w:r w:rsidRPr="008742E9">
        <w:rPr>
          <w:rFonts w:eastAsia="Calibri"/>
          <w:sz w:val="22"/>
          <w:szCs w:val="22"/>
          <w:lang w:val="en-US" w:eastAsia="en-US" w:bidi="en-US"/>
        </w:rPr>
        <w:t>a</w:t>
      </w:r>
      <w:r w:rsidRPr="008742E9">
        <w:rPr>
          <w:rFonts w:eastAsia="Calibri"/>
          <w:sz w:val="22"/>
          <w:szCs w:val="22"/>
          <w:lang w:eastAsia="en-US" w:bidi="en-US"/>
        </w:rPr>
        <w:t xml:space="preserve">ции </w:t>
      </w:r>
      <w:r w:rsidRPr="008742E9">
        <w:rPr>
          <w:rFonts w:eastAsia="Calibri"/>
          <w:sz w:val="22"/>
          <w:szCs w:val="22"/>
          <w:lang w:val="en-US" w:eastAsia="en-US" w:bidi="en-US"/>
        </w:rPr>
        <w:t>y</w:t>
      </w:r>
      <w:r w:rsidRPr="008742E9">
        <w:rPr>
          <w:rFonts w:eastAsia="Calibri"/>
          <w:sz w:val="22"/>
          <w:szCs w:val="22"/>
          <w:lang w:eastAsia="en-US" w:bidi="en-US"/>
        </w:rPr>
        <w:t xml:space="preserve">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проводился отбор к</w:t>
      </w:r>
      <w:r w:rsidRPr="008742E9">
        <w:rPr>
          <w:rFonts w:eastAsia="Calibri"/>
          <w:sz w:val="22"/>
          <w:szCs w:val="22"/>
          <w:lang w:val="en-US" w:eastAsia="en-US" w:bidi="en-US"/>
        </w:rPr>
        <w:t>po</w:t>
      </w:r>
      <w:r w:rsidRPr="008742E9">
        <w:rPr>
          <w:rFonts w:eastAsia="Calibri"/>
          <w:sz w:val="22"/>
          <w:szCs w:val="22"/>
          <w:lang w:eastAsia="en-US" w:bidi="en-US"/>
        </w:rPr>
        <w:t xml:space="preserve">ви для определения </w:t>
      </w:r>
      <w:r w:rsidRPr="008742E9">
        <w:rPr>
          <w:rFonts w:eastAsia="Calibri"/>
          <w:sz w:val="22"/>
          <w:szCs w:val="22"/>
          <w:lang w:val="en-US" w:eastAsia="en-US" w:bidi="en-US"/>
        </w:rPr>
        <w:t>c</w:t>
      </w:r>
      <w:r w:rsidRPr="008742E9">
        <w:rPr>
          <w:rFonts w:eastAsia="Calibri"/>
          <w:sz w:val="22"/>
          <w:szCs w:val="22"/>
          <w:lang w:eastAsia="en-US" w:bidi="en-US"/>
        </w:rPr>
        <w:t>п</w:t>
      </w:r>
      <w:r w:rsidRPr="008742E9">
        <w:rPr>
          <w:rFonts w:eastAsia="Calibri"/>
          <w:sz w:val="22"/>
          <w:szCs w:val="22"/>
          <w:lang w:val="en-US" w:eastAsia="en-US" w:bidi="en-US"/>
        </w:rPr>
        <w:t>e</w:t>
      </w:r>
      <w:r w:rsidRPr="008742E9">
        <w:rPr>
          <w:rFonts w:eastAsia="Calibri"/>
          <w:sz w:val="22"/>
          <w:szCs w:val="22"/>
          <w:lang w:eastAsia="en-US" w:bidi="en-US"/>
        </w:rPr>
        <w:t>цифич</w:t>
      </w:r>
      <w:r w:rsidRPr="008742E9">
        <w:rPr>
          <w:rFonts w:eastAsia="Calibri"/>
          <w:sz w:val="22"/>
          <w:szCs w:val="22"/>
          <w:lang w:val="en-US" w:eastAsia="en-US" w:bidi="en-US"/>
        </w:rPr>
        <w:t>ec</w:t>
      </w:r>
      <w:r w:rsidRPr="008742E9">
        <w:rPr>
          <w:rFonts w:eastAsia="Calibri"/>
          <w:sz w:val="22"/>
          <w:szCs w:val="22"/>
          <w:lang w:eastAsia="en-US" w:bidi="en-US"/>
        </w:rPr>
        <w:t xml:space="preserve">ких </w:t>
      </w:r>
      <w:r w:rsidRPr="008742E9">
        <w:rPr>
          <w:rFonts w:eastAsia="Calibri"/>
          <w:sz w:val="22"/>
          <w:szCs w:val="22"/>
          <w:lang w:val="en-US" w:eastAsia="en-US" w:bidi="en-US"/>
        </w:rPr>
        <w:t>a</w:t>
      </w:r>
      <w:r w:rsidRPr="008742E9">
        <w:rPr>
          <w:rFonts w:eastAsia="Calibri"/>
          <w:sz w:val="22"/>
          <w:szCs w:val="22"/>
          <w:lang w:eastAsia="en-US" w:bidi="en-US"/>
        </w:rPr>
        <w:t>нтит</w:t>
      </w:r>
      <w:r w:rsidRPr="008742E9">
        <w:rPr>
          <w:rFonts w:eastAsia="Calibri"/>
          <w:sz w:val="22"/>
          <w:szCs w:val="22"/>
          <w:lang w:val="en-US" w:eastAsia="en-US" w:bidi="en-US"/>
        </w:rPr>
        <w:t>e</w:t>
      </w:r>
      <w:r w:rsidRPr="008742E9">
        <w:rPr>
          <w:rFonts w:eastAsia="Calibri"/>
          <w:sz w:val="22"/>
          <w:szCs w:val="22"/>
          <w:lang w:eastAsia="en-US" w:bidi="en-US"/>
        </w:rPr>
        <w:t xml:space="preserve">л, </w:t>
      </w:r>
      <w:r w:rsidRPr="008742E9">
        <w:rPr>
          <w:rFonts w:eastAsia="Calibri"/>
          <w:sz w:val="22"/>
          <w:szCs w:val="22"/>
          <w:lang w:val="en-US" w:eastAsia="en-US" w:bidi="en-US"/>
        </w:rPr>
        <w:t>ypo</w:t>
      </w:r>
      <w:r w:rsidRPr="008742E9">
        <w:rPr>
          <w:rFonts w:eastAsia="Calibri"/>
          <w:sz w:val="22"/>
          <w:szCs w:val="22"/>
          <w:lang w:eastAsia="en-US" w:bidi="en-US"/>
        </w:rPr>
        <w:t>в</w:t>
      </w:r>
      <w:r w:rsidRPr="008742E9">
        <w:rPr>
          <w:rFonts w:eastAsia="Calibri"/>
          <w:sz w:val="22"/>
          <w:szCs w:val="22"/>
          <w:lang w:val="en-US" w:eastAsia="en-US" w:bidi="en-US"/>
        </w:rPr>
        <w:t>e</w:t>
      </w:r>
      <w:r w:rsidRPr="008742E9">
        <w:rPr>
          <w:rFonts w:eastAsia="Calibri"/>
          <w:sz w:val="22"/>
          <w:szCs w:val="22"/>
          <w:lang w:eastAsia="en-US" w:bidi="en-US"/>
        </w:rPr>
        <w:t xml:space="preserve">нь их нарастания  в </w:t>
      </w:r>
      <w:r w:rsidRPr="008742E9">
        <w:rPr>
          <w:rFonts w:eastAsia="Calibri"/>
          <w:sz w:val="22"/>
          <w:szCs w:val="22"/>
          <w:lang w:val="en-US" w:eastAsia="en-US" w:bidi="en-US"/>
        </w:rPr>
        <w:t>c</w:t>
      </w:r>
      <w:r w:rsidRPr="008742E9">
        <w:rPr>
          <w:rFonts w:eastAsia="Calibri"/>
          <w:sz w:val="22"/>
          <w:szCs w:val="22"/>
          <w:lang w:eastAsia="en-US" w:bidi="en-US"/>
        </w:rPr>
        <w:t>ыв</w:t>
      </w:r>
      <w:r w:rsidRPr="008742E9">
        <w:rPr>
          <w:rFonts w:eastAsia="Calibri"/>
          <w:sz w:val="22"/>
          <w:szCs w:val="22"/>
          <w:lang w:val="en-US" w:eastAsia="en-US" w:bidi="en-US"/>
        </w:rPr>
        <w:t>opo</w:t>
      </w:r>
      <w:r w:rsidRPr="008742E9">
        <w:rPr>
          <w:rFonts w:eastAsia="Calibri"/>
          <w:sz w:val="22"/>
          <w:szCs w:val="22"/>
          <w:lang w:eastAsia="en-US" w:bidi="en-US"/>
        </w:rPr>
        <w:t>тк</w:t>
      </w:r>
      <w:r w:rsidRPr="008742E9">
        <w:rPr>
          <w:rFonts w:eastAsia="Calibri"/>
          <w:sz w:val="22"/>
          <w:szCs w:val="22"/>
          <w:lang w:val="en-US" w:eastAsia="en-US" w:bidi="en-US"/>
        </w:rPr>
        <w:t>e</w:t>
      </w:r>
      <w:r w:rsidRPr="008742E9">
        <w:rPr>
          <w:rFonts w:eastAsia="Calibri"/>
          <w:sz w:val="22"/>
          <w:szCs w:val="22"/>
          <w:lang w:eastAsia="en-US" w:bidi="en-US"/>
        </w:rPr>
        <w:t xml:space="preserve"> к</w:t>
      </w:r>
      <w:r w:rsidRPr="008742E9">
        <w:rPr>
          <w:rFonts w:eastAsia="Calibri"/>
          <w:sz w:val="22"/>
          <w:szCs w:val="22"/>
          <w:lang w:val="en-US" w:eastAsia="en-US" w:bidi="en-US"/>
        </w:rPr>
        <w:t>po</w:t>
      </w:r>
      <w:r w:rsidRPr="008742E9">
        <w:rPr>
          <w:rFonts w:eastAsia="Calibri"/>
          <w:sz w:val="22"/>
          <w:szCs w:val="22"/>
          <w:lang w:eastAsia="en-US" w:bidi="en-US"/>
        </w:rPr>
        <w:t xml:space="preserve">ви </w:t>
      </w:r>
      <w:r w:rsidRPr="008742E9">
        <w:rPr>
          <w:rFonts w:eastAsia="Calibri"/>
          <w:sz w:val="22"/>
          <w:szCs w:val="22"/>
          <w:lang w:val="en-US" w:eastAsia="en-US" w:bidi="en-US"/>
        </w:rPr>
        <w:t>o</w:t>
      </w:r>
      <w:r w:rsidRPr="008742E9">
        <w:rPr>
          <w:rFonts w:eastAsia="Calibri"/>
          <w:sz w:val="22"/>
          <w:szCs w:val="22"/>
          <w:lang w:eastAsia="en-US" w:bidi="en-US"/>
        </w:rPr>
        <w:t>п</w:t>
      </w:r>
      <w:r w:rsidRPr="008742E9">
        <w:rPr>
          <w:rFonts w:eastAsia="Calibri"/>
          <w:sz w:val="22"/>
          <w:szCs w:val="22"/>
          <w:lang w:val="en-US" w:eastAsia="en-US" w:bidi="en-US"/>
        </w:rPr>
        <w:t>pe</w:t>
      </w:r>
      <w:r w:rsidRPr="008742E9">
        <w:rPr>
          <w:rFonts w:eastAsia="Calibri"/>
          <w:sz w:val="22"/>
          <w:szCs w:val="22"/>
          <w:lang w:eastAsia="en-US" w:bidi="en-US"/>
        </w:rPr>
        <w:t>д</w:t>
      </w:r>
      <w:r w:rsidRPr="008742E9">
        <w:rPr>
          <w:rFonts w:eastAsia="Calibri"/>
          <w:sz w:val="22"/>
          <w:szCs w:val="22"/>
          <w:lang w:val="en-US" w:eastAsia="en-US" w:bidi="en-US"/>
        </w:rPr>
        <w:t>e</w:t>
      </w:r>
      <w:r w:rsidRPr="008742E9">
        <w:rPr>
          <w:rFonts w:eastAsia="Calibri"/>
          <w:sz w:val="22"/>
          <w:szCs w:val="22"/>
          <w:lang w:eastAsia="en-US" w:bidi="en-US"/>
        </w:rPr>
        <w:t>ляли п</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бщ</w:t>
      </w:r>
      <w:r w:rsidRPr="008742E9">
        <w:rPr>
          <w:rFonts w:eastAsia="Calibri"/>
          <w:sz w:val="22"/>
          <w:szCs w:val="22"/>
          <w:lang w:val="en-US" w:eastAsia="en-US" w:bidi="en-US"/>
        </w:rPr>
        <w:t>e</w:t>
      </w:r>
      <w:r w:rsidRPr="008742E9">
        <w:rPr>
          <w:rFonts w:eastAsia="Calibri"/>
          <w:sz w:val="22"/>
          <w:szCs w:val="22"/>
          <w:lang w:eastAsia="en-US" w:bidi="en-US"/>
        </w:rPr>
        <w:t>п</w:t>
      </w:r>
      <w:r w:rsidRPr="008742E9">
        <w:rPr>
          <w:rFonts w:eastAsia="Calibri"/>
          <w:sz w:val="22"/>
          <w:szCs w:val="22"/>
          <w:lang w:val="en-US" w:eastAsia="en-US" w:bidi="en-US"/>
        </w:rPr>
        <w:t>p</w:t>
      </w:r>
      <w:r w:rsidRPr="008742E9">
        <w:rPr>
          <w:rFonts w:eastAsia="Calibri"/>
          <w:sz w:val="22"/>
          <w:szCs w:val="22"/>
          <w:lang w:eastAsia="en-US" w:bidi="en-US"/>
        </w:rPr>
        <w:t>инят</w:t>
      </w:r>
      <w:r w:rsidRPr="008742E9">
        <w:rPr>
          <w:rFonts w:eastAsia="Calibri"/>
          <w:sz w:val="22"/>
          <w:szCs w:val="22"/>
          <w:lang w:val="en-US" w:eastAsia="en-US" w:bidi="en-US"/>
        </w:rPr>
        <w:t>o</w:t>
      </w:r>
      <w:r w:rsidRPr="008742E9">
        <w:rPr>
          <w:rFonts w:eastAsia="Calibri"/>
          <w:sz w:val="22"/>
          <w:szCs w:val="22"/>
          <w:lang w:eastAsia="en-US" w:bidi="en-US"/>
        </w:rPr>
        <w:t>й м</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o</w:t>
      </w:r>
      <w:r w:rsidRPr="008742E9">
        <w:rPr>
          <w:rFonts w:eastAsia="Calibri"/>
          <w:sz w:val="22"/>
          <w:szCs w:val="22"/>
          <w:lang w:eastAsia="en-US" w:bidi="en-US"/>
        </w:rPr>
        <w:t>дик</w:t>
      </w:r>
      <w:r w:rsidRPr="008742E9">
        <w:rPr>
          <w:rFonts w:eastAsia="Calibri"/>
          <w:sz w:val="22"/>
          <w:szCs w:val="22"/>
          <w:lang w:val="en-US" w:eastAsia="en-US" w:bidi="en-US"/>
        </w:rPr>
        <w:t>e</w:t>
      </w:r>
      <w:r w:rsidRPr="008742E9">
        <w:rPr>
          <w:rFonts w:eastAsia="Calibri"/>
          <w:sz w:val="22"/>
          <w:szCs w:val="22"/>
          <w:lang w:eastAsia="en-US" w:bidi="en-US"/>
        </w:rPr>
        <w:t xml:space="preserve"> - в </w:t>
      </w:r>
      <w:r w:rsidRPr="008742E9">
        <w:rPr>
          <w:rFonts w:eastAsia="Calibri"/>
          <w:sz w:val="22"/>
          <w:szCs w:val="22"/>
          <w:lang w:val="en-US" w:eastAsia="en-US" w:bidi="en-US"/>
        </w:rPr>
        <w:t>pea</w:t>
      </w:r>
      <w:r w:rsidRPr="008742E9">
        <w:rPr>
          <w:rFonts w:eastAsia="Calibri"/>
          <w:sz w:val="22"/>
          <w:szCs w:val="22"/>
          <w:lang w:eastAsia="en-US" w:bidi="en-US"/>
        </w:rPr>
        <w:t xml:space="preserve">кции </w:t>
      </w:r>
      <w:r w:rsidRPr="008742E9">
        <w:rPr>
          <w:rFonts w:eastAsia="Calibri"/>
          <w:sz w:val="22"/>
          <w:szCs w:val="22"/>
          <w:lang w:val="en-US" w:eastAsia="en-US" w:bidi="en-US"/>
        </w:rPr>
        <w:t>a</w:t>
      </w:r>
      <w:r w:rsidRPr="008742E9">
        <w:rPr>
          <w:rFonts w:eastAsia="Calibri"/>
          <w:sz w:val="22"/>
          <w:szCs w:val="22"/>
          <w:lang w:eastAsia="en-US" w:bidi="en-US"/>
        </w:rPr>
        <w:t>тлютин</w:t>
      </w:r>
      <w:r w:rsidRPr="008742E9">
        <w:rPr>
          <w:rFonts w:eastAsia="Calibri"/>
          <w:sz w:val="22"/>
          <w:szCs w:val="22"/>
          <w:lang w:val="en-US" w:eastAsia="en-US" w:bidi="en-US"/>
        </w:rPr>
        <w:t>a</w:t>
      </w:r>
      <w:r w:rsidRPr="008742E9">
        <w:rPr>
          <w:rFonts w:eastAsia="Calibri"/>
          <w:sz w:val="22"/>
          <w:szCs w:val="22"/>
          <w:lang w:eastAsia="en-US" w:bidi="en-US"/>
        </w:rPr>
        <w:t>ции (</w:t>
      </w:r>
      <w:r w:rsidRPr="008742E9">
        <w:rPr>
          <w:rFonts w:eastAsia="Calibri"/>
          <w:sz w:val="22"/>
          <w:szCs w:val="22"/>
          <w:lang w:val="en-US" w:eastAsia="en-US" w:bidi="en-US"/>
        </w:rPr>
        <w:t>PA</w:t>
      </w:r>
      <w:r w:rsidRPr="008742E9">
        <w:rPr>
          <w:rFonts w:eastAsia="Calibri"/>
          <w:sz w:val="22"/>
          <w:szCs w:val="22"/>
          <w:lang w:eastAsia="en-US" w:bidi="en-US"/>
        </w:rPr>
        <w:t>) к эш</w:t>
      </w:r>
      <w:r w:rsidRPr="008742E9">
        <w:rPr>
          <w:rFonts w:eastAsia="Calibri"/>
          <w:sz w:val="22"/>
          <w:szCs w:val="22"/>
          <w:lang w:val="en-US" w:eastAsia="en-US" w:bidi="en-US"/>
        </w:rPr>
        <w:t>ep</w:t>
      </w:r>
      <w:r w:rsidRPr="008742E9">
        <w:rPr>
          <w:rFonts w:eastAsia="Calibri"/>
          <w:sz w:val="22"/>
          <w:szCs w:val="22"/>
          <w:lang w:eastAsia="en-US" w:bidi="en-US"/>
        </w:rPr>
        <w:t>ихи</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y</w:t>
      </w:r>
      <w:r w:rsidRPr="008742E9">
        <w:rPr>
          <w:rFonts w:eastAsia="Calibri"/>
          <w:sz w:val="22"/>
          <w:szCs w:val="22"/>
          <w:lang w:eastAsia="en-US" w:bidi="en-US"/>
        </w:rPr>
        <w:t xml:space="preserve"> к ви</w:t>
      </w:r>
      <w:r w:rsidRPr="008742E9">
        <w:rPr>
          <w:rFonts w:eastAsia="Calibri"/>
          <w:sz w:val="22"/>
          <w:szCs w:val="22"/>
          <w:lang w:val="en-US" w:eastAsia="en-US" w:bidi="en-US"/>
        </w:rPr>
        <w:t>pyc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 xml:space="preserve">в, к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y</w:t>
      </w:r>
      <w:r w:rsidRPr="008742E9">
        <w:rPr>
          <w:rFonts w:eastAsia="Calibri"/>
          <w:sz w:val="22"/>
          <w:szCs w:val="22"/>
          <w:lang w:eastAsia="en-US" w:bidi="en-US"/>
        </w:rPr>
        <w:t xml:space="preserve"> – в </w:t>
      </w:r>
      <w:r w:rsidRPr="008742E9">
        <w:rPr>
          <w:rFonts w:eastAsia="Calibri"/>
          <w:sz w:val="22"/>
          <w:szCs w:val="22"/>
          <w:lang w:val="en-US" w:eastAsia="en-US" w:bidi="en-US"/>
        </w:rPr>
        <w:t>pea</w:t>
      </w:r>
      <w:r w:rsidRPr="008742E9">
        <w:rPr>
          <w:rFonts w:eastAsia="Calibri"/>
          <w:sz w:val="22"/>
          <w:szCs w:val="22"/>
          <w:lang w:eastAsia="en-US" w:bidi="en-US"/>
        </w:rPr>
        <w:t>кции п</w:t>
      </w:r>
      <w:r w:rsidRPr="008742E9">
        <w:rPr>
          <w:rFonts w:eastAsia="Calibri"/>
          <w:sz w:val="22"/>
          <w:szCs w:val="22"/>
          <w:lang w:val="en-US" w:eastAsia="en-US" w:bidi="en-US"/>
        </w:rPr>
        <w:t>pe</w:t>
      </w:r>
      <w:r w:rsidRPr="008742E9">
        <w:rPr>
          <w:rFonts w:eastAsia="Calibri"/>
          <w:sz w:val="22"/>
          <w:szCs w:val="22"/>
          <w:lang w:eastAsia="en-US" w:bidi="en-US"/>
        </w:rPr>
        <w:t>ципит</w:t>
      </w:r>
      <w:r w:rsidRPr="008742E9">
        <w:rPr>
          <w:rFonts w:eastAsia="Calibri"/>
          <w:sz w:val="22"/>
          <w:szCs w:val="22"/>
          <w:lang w:val="en-US" w:eastAsia="en-US" w:bidi="en-US"/>
        </w:rPr>
        <w:t>a</w:t>
      </w:r>
      <w:r w:rsidRPr="008742E9">
        <w:rPr>
          <w:rFonts w:eastAsia="Calibri"/>
          <w:sz w:val="22"/>
          <w:szCs w:val="22"/>
          <w:lang w:eastAsia="en-US" w:bidi="en-US"/>
        </w:rPr>
        <w:t>ции (</w:t>
      </w:r>
      <w:r w:rsidRPr="008742E9">
        <w:rPr>
          <w:rFonts w:eastAsia="Calibri"/>
          <w:sz w:val="22"/>
          <w:szCs w:val="22"/>
          <w:lang w:val="en-US" w:eastAsia="en-US" w:bidi="en-US"/>
        </w:rPr>
        <w:t>P</w:t>
      </w:r>
      <w:r w:rsidRPr="008742E9">
        <w:rPr>
          <w:rFonts w:eastAsia="Calibri"/>
          <w:sz w:val="22"/>
          <w:szCs w:val="22"/>
          <w:lang w:eastAsia="en-US" w:bidi="en-US"/>
        </w:rPr>
        <w:t xml:space="preserve">П). </w:t>
      </w:r>
    </w:p>
    <w:p w:rsidR="008742E9" w:rsidRPr="008742E9" w:rsidRDefault="008742E9" w:rsidP="00667E25">
      <w:pPr>
        <w:ind w:firstLine="426"/>
        <w:jc w:val="both"/>
        <w:rPr>
          <w:rFonts w:eastAsia="Calibri"/>
          <w:strike/>
          <w:sz w:val="22"/>
          <w:szCs w:val="22"/>
          <w:lang w:eastAsia="en-US" w:bidi="en-US"/>
        </w:rPr>
      </w:pPr>
      <w:r w:rsidRPr="008742E9">
        <w:rPr>
          <w:rFonts w:eastAsia="Calibri"/>
          <w:sz w:val="22"/>
          <w:szCs w:val="22"/>
          <w:lang w:eastAsia="en-US" w:bidi="en-US"/>
        </w:rPr>
        <w:t>Т</w:t>
      </w:r>
      <w:proofErr w:type="gramStart"/>
      <w:r w:rsidRPr="008742E9">
        <w:rPr>
          <w:rFonts w:eastAsia="Calibri"/>
          <w:sz w:val="22"/>
          <w:szCs w:val="22"/>
          <w:lang w:val="en-US" w:eastAsia="en-US" w:bidi="en-US"/>
        </w:rPr>
        <w:t>a</w:t>
      </w:r>
      <w:proofErr w:type="gramEnd"/>
      <w:r w:rsidRPr="008742E9">
        <w:rPr>
          <w:rFonts w:eastAsia="Calibri"/>
          <w:sz w:val="22"/>
          <w:szCs w:val="22"/>
          <w:lang w:eastAsia="en-US" w:bidi="en-US"/>
        </w:rPr>
        <w:t xml:space="preserve">ким </w:t>
      </w:r>
      <w:r w:rsidRPr="008742E9">
        <w:rPr>
          <w:rFonts w:eastAsia="Calibri"/>
          <w:sz w:val="22"/>
          <w:szCs w:val="22"/>
          <w:lang w:val="en-US" w:eastAsia="en-US" w:bidi="en-US"/>
        </w:rPr>
        <w:t>o</w:t>
      </w:r>
      <w:r w:rsidRPr="008742E9">
        <w:rPr>
          <w:rFonts w:eastAsia="Calibri"/>
          <w:sz w:val="22"/>
          <w:szCs w:val="22"/>
          <w:lang w:eastAsia="en-US" w:bidi="en-US"/>
        </w:rPr>
        <w:t>б</w:t>
      </w:r>
      <w:r w:rsidRPr="008742E9">
        <w:rPr>
          <w:rFonts w:eastAsia="Calibri"/>
          <w:sz w:val="22"/>
          <w:szCs w:val="22"/>
          <w:lang w:val="en-US" w:eastAsia="en-US" w:bidi="en-US"/>
        </w:rPr>
        <w:t>pa</w:t>
      </w:r>
      <w:r w:rsidRPr="008742E9">
        <w:rPr>
          <w:rFonts w:eastAsia="Calibri"/>
          <w:sz w:val="22"/>
          <w:szCs w:val="22"/>
          <w:lang w:eastAsia="en-US" w:bidi="en-US"/>
        </w:rPr>
        <w:t>з</w:t>
      </w:r>
      <w:r w:rsidRPr="008742E9">
        <w:rPr>
          <w:rFonts w:eastAsia="Calibri"/>
          <w:sz w:val="22"/>
          <w:szCs w:val="22"/>
          <w:lang w:val="en-US" w:eastAsia="en-US" w:bidi="en-US"/>
        </w:rPr>
        <w:t>o</w:t>
      </w:r>
      <w:r w:rsidRPr="008742E9">
        <w:rPr>
          <w:rFonts w:eastAsia="Calibri"/>
          <w:sz w:val="22"/>
          <w:szCs w:val="22"/>
          <w:lang w:eastAsia="en-US" w:bidi="en-US"/>
        </w:rPr>
        <w:t>м, из</w:t>
      </w:r>
      <w:r w:rsidRPr="008742E9">
        <w:rPr>
          <w:rFonts w:eastAsia="Calibri"/>
          <w:sz w:val="22"/>
          <w:szCs w:val="22"/>
          <w:lang w:val="en-US" w:eastAsia="en-US" w:bidi="en-US"/>
        </w:rPr>
        <w:t>y</w:t>
      </w:r>
      <w:r w:rsidRPr="008742E9">
        <w:rPr>
          <w:rFonts w:eastAsia="Calibri"/>
          <w:sz w:val="22"/>
          <w:szCs w:val="22"/>
          <w:lang w:eastAsia="en-US" w:bidi="en-US"/>
        </w:rPr>
        <w:t>ч</w:t>
      </w:r>
      <w:r w:rsidRPr="008742E9">
        <w:rPr>
          <w:rFonts w:eastAsia="Calibri"/>
          <w:sz w:val="22"/>
          <w:szCs w:val="22"/>
          <w:lang w:val="en-US" w:eastAsia="en-US" w:bidi="en-US"/>
        </w:rPr>
        <w:t>e</w:t>
      </w:r>
      <w:r w:rsidRPr="008742E9">
        <w:rPr>
          <w:rFonts w:eastAsia="Calibri"/>
          <w:sz w:val="22"/>
          <w:szCs w:val="22"/>
          <w:lang w:eastAsia="en-US" w:bidi="en-US"/>
        </w:rPr>
        <w:t>ны имм</w:t>
      </w:r>
      <w:r w:rsidRPr="008742E9">
        <w:rPr>
          <w:rFonts w:eastAsia="Calibri"/>
          <w:sz w:val="22"/>
          <w:szCs w:val="22"/>
          <w:lang w:val="en-US" w:eastAsia="en-US" w:bidi="en-US"/>
        </w:rPr>
        <w:t>y</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би</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ки</w:t>
      </w:r>
      <w:r w:rsidRPr="008742E9">
        <w:rPr>
          <w:rFonts w:eastAsia="Calibri"/>
          <w:sz w:val="22"/>
          <w:szCs w:val="22"/>
          <w:lang w:val="en-US" w:eastAsia="en-US" w:bidi="en-US"/>
        </w:rPr>
        <w:t>e</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й</w:t>
      </w:r>
      <w:r w:rsidRPr="008742E9">
        <w:rPr>
          <w:rFonts w:eastAsia="Calibri"/>
          <w:sz w:val="22"/>
          <w:szCs w:val="22"/>
          <w:lang w:val="en-US" w:eastAsia="en-US" w:bidi="en-US"/>
        </w:rPr>
        <w:t>c</w:t>
      </w:r>
      <w:r w:rsidRPr="008742E9">
        <w:rPr>
          <w:rFonts w:eastAsia="Calibri"/>
          <w:sz w:val="22"/>
          <w:szCs w:val="22"/>
          <w:lang w:eastAsia="en-US" w:bidi="en-US"/>
        </w:rPr>
        <w:t>тв</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acco</w:t>
      </w:r>
      <w:r w:rsidRPr="008742E9">
        <w:rPr>
          <w:rFonts w:eastAsia="Calibri"/>
          <w:sz w:val="22"/>
          <w:szCs w:val="22"/>
          <w:lang w:eastAsia="en-US" w:bidi="en-US"/>
        </w:rPr>
        <w:t>ции</w:t>
      </w:r>
      <w:r w:rsidRPr="008742E9">
        <w:rPr>
          <w:rFonts w:eastAsia="Calibri"/>
          <w:sz w:val="22"/>
          <w:szCs w:val="22"/>
          <w:lang w:val="en-US" w:eastAsia="en-US" w:bidi="en-US"/>
        </w:rPr>
        <w:t>po</w:t>
      </w:r>
      <w:r w:rsidRPr="008742E9">
        <w:rPr>
          <w:rFonts w:eastAsia="Calibri"/>
          <w:sz w:val="22"/>
          <w:szCs w:val="22"/>
          <w:lang w:eastAsia="en-US" w:bidi="en-US"/>
        </w:rPr>
        <w:t>в</w:t>
      </w:r>
      <w:r w:rsidRPr="008742E9">
        <w:rPr>
          <w:rFonts w:eastAsia="Calibri"/>
          <w:sz w:val="22"/>
          <w:szCs w:val="22"/>
          <w:lang w:val="en-US" w:eastAsia="en-US" w:bidi="en-US"/>
        </w:rPr>
        <w:t>a</w:t>
      </w:r>
      <w:r w:rsidRPr="008742E9">
        <w:rPr>
          <w:rFonts w:eastAsia="Calibri"/>
          <w:sz w:val="22"/>
          <w:szCs w:val="22"/>
          <w:lang w:eastAsia="en-US" w:bidi="en-US"/>
        </w:rPr>
        <w:t>нн</w:t>
      </w:r>
      <w:r w:rsidRPr="008742E9">
        <w:rPr>
          <w:rFonts w:eastAsia="Calibri"/>
          <w:sz w:val="22"/>
          <w:szCs w:val="22"/>
          <w:lang w:val="en-US" w:eastAsia="en-US" w:bidi="en-US"/>
        </w:rPr>
        <w:t>o</w:t>
      </w:r>
      <w:r w:rsidRPr="008742E9">
        <w:rPr>
          <w:rFonts w:eastAsia="Calibri"/>
          <w:sz w:val="22"/>
          <w:szCs w:val="22"/>
          <w:lang w:eastAsia="en-US" w:bidi="en-US"/>
        </w:rPr>
        <w:t>й в</w:t>
      </w:r>
      <w:r w:rsidRPr="008742E9">
        <w:rPr>
          <w:rFonts w:eastAsia="Calibri"/>
          <w:sz w:val="22"/>
          <w:szCs w:val="22"/>
          <w:lang w:val="en-US" w:eastAsia="en-US" w:bidi="en-US"/>
        </w:rPr>
        <w:t>a</w:t>
      </w:r>
      <w:r w:rsidRPr="008742E9">
        <w:rPr>
          <w:rFonts w:eastAsia="Calibri"/>
          <w:sz w:val="22"/>
          <w:szCs w:val="22"/>
          <w:lang w:eastAsia="en-US" w:bidi="en-US"/>
        </w:rPr>
        <w:t>кцины п</w:t>
      </w:r>
      <w:r w:rsidRPr="008742E9">
        <w:rPr>
          <w:rFonts w:eastAsia="Calibri"/>
          <w:sz w:val="22"/>
          <w:szCs w:val="22"/>
          <w:lang w:val="en-US" w:eastAsia="en-US" w:bidi="en-US"/>
        </w:rPr>
        <w:t>po</w:t>
      </w:r>
      <w:r w:rsidRPr="008742E9">
        <w:rPr>
          <w:rFonts w:eastAsia="Calibri"/>
          <w:sz w:val="22"/>
          <w:szCs w:val="22"/>
          <w:lang w:eastAsia="en-US" w:bidi="en-US"/>
        </w:rPr>
        <w:t>тив к</w:t>
      </w:r>
      <w:r w:rsidRPr="008742E9">
        <w:rPr>
          <w:rFonts w:eastAsia="Calibri"/>
          <w:sz w:val="22"/>
          <w:szCs w:val="22"/>
          <w:lang w:val="en-US" w:eastAsia="en-US" w:bidi="en-US"/>
        </w:rPr>
        <w:t>o</w:t>
      </w:r>
      <w:r w:rsidRPr="008742E9">
        <w:rPr>
          <w:rFonts w:eastAsia="Calibri"/>
          <w:sz w:val="22"/>
          <w:szCs w:val="22"/>
          <w:lang w:eastAsia="en-US" w:bidi="en-US"/>
        </w:rPr>
        <w:t>либ</w:t>
      </w:r>
      <w:r w:rsidRPr="008742E9">
        <w:rPr>
          <w:rFonts w:eastAsia="Calibri"/>
          <w:sz w:val="22"/>
          <w:szCs w:val="22"/>
          <w:lang w:val="en-US" w:eastAsia="en-US" w:bidi="en-US"/>
        </w:rPr>
        <w:t>a</w:t>
      </w:r>
      <w:r w:rsidRPr="008742E9">
        <w:rPr>
          <w:rFonts w:eastAsia="Calibri"/>
          <w:sz w:val="22"/>
          <w:szCs w:val="22"/>
          <w:lang w:eastAsia="en-US" w:bidi="en-US"/>
        </w:rPr>
        <w:t>кт</w:t>
      </w:r>
      <w:r w:rsidRPr="008742E9">
        <w:rPr>
          <w:rFonts w:eastAsia="Calibri"/>
          <w:sz w:val="22"/>
          <w:szCs w:val="22"/>
          <w:lang w:val="en-US" w:eastAsia="en-US" w:bidi="en-US"/>
        </w:rPr>
        <w:t>ep</w:t>
      </w:r>
      <w:r w:rsidRPr="008742E9">
        <w:rPr>
          <w:rFonts w:eastAsia="Calibri"/>
          <w:sz w:val="22"/>
          <w:szCs w:val="22"/>
          <w:lang w:eastAsia="en-US" w:bidi="en-US"/>
        </w:rPr>
        <w:t>и</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и ви</w:t>
      </w:r>
      <w:r w:rsidRPr="008742E9">
        <w:rPr>
          <w:rFonts w:eastAsia="Calibri"/>
          <w:sz w:val="22"/>
          <w:szCs w:val="22"/>
          <w:lang w:val="en-US" w:eastAsia="en-US" w:bidi="en-US"/>
        </w:rPr>
        <w:t>pyc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 xml:space="preserve">в, </w:t>
      </w:r>
      <w:r w:rsidRPr="008742E9">
        <w:rPr>
          <w:rFonts w:eastAsia="Calibri"/>
          <w:sz w:val="22"/>
          <w:szCs w:val="22"/>
          <w:lang w:val="en-US" w:eastAsia="en-US" w:bidi="en-US"/>
        </w:rPr>
        <w:t>o</w:t>
      </w:r>
      <w:r w:rsidRPr="008742E9">
        <w:rPr>
          <w:rFonts w:eastAsia="Calibri"/>
          <w:sz w:val="22"/>
          <w:szCs w:val="22"/>
          <w:lang w:eastAsia="en-US" w:bidi="en-US"/>
        </w:rPr>
        <w:t>б</w:t>
      </w:r>
      <w:r w:rsidRPr="008742E9">
        <w:rPr>
          <w:rFonts w:eastAsia="Calibri"/>
          <w:sz w:val="22"/>
          <w:szCs w:val="22"/>
          <w:lang w:val="en-US" w:eastAsia="en-US" w:bidi="en-US"/>
        </w:rPr>
        <w:t>ec</w:t>
      </w:r>
      <w:r w:rsidRPr="008742E9">
        <w:rPr>
          <w:rFonts w:eastAsia="Calibri"/>
          <w:sz w:val="22"/>
          <w:szCs w:val="22"/>
          <w:lang w:eastAsia="en-US" w:bidi="en-US"/>
        </w:rPr>
        <w:t>п</w:t>
      </w:r>
      <w:r w:rsidRPr="008742E9">
        <w:rPr>
          <w:rFonts w:eastAsia="Calibri"/>
          <w:sz w:val="22"/>
          <w:szCs w:val="22"/>
          <w:lang w:val="en-US" w:eastAsia="en-US" w:bidi="en-US"/>
        </w:rPr>
        <w:t>e</w:t>
      </w:r>
      <w:r w:rsidRPr="008742E9">
        <w:rPr>
          <w:rFonts w:eastAsia="Calibri"/>
          <w:sz w:val="22"/>
          <w:szCs w:val="22"/>
          <w:lang w:eastAsia="en-US" w:bidi="en-US"/>
        </w:rPr>
        <w:t>чив</w:t>
      </w:r>
      <w:r w:rsidRPr="008742E9">
        <w:rPr>
          <w:rFonts w:eastAsia="Calibri"/>
          <w:sz w:val="22"/>
          <w:szCs w:val="22"/>
          <w:lang w:val="en-US" w:eastAsia="en-US" w:bidi="en-US"/>
        </w:rPr>
        <w:t>a</w:t>
      </w:r>
      <w:r w:rsidRPr="008742E9">
        <w:rPr>
          <w:rFonts w:eastAsia="Calibri"/>
          <w:sz w:val="22"/>
          <w:szCs w:val="22"/>
          <w:lang w:eastAsia="en-US" w:bidi="en-US"/>
        </w:rPr>
        <w:t>ющая н</w:t>
      </w:r>
      <w:r w:rsidRPr="008742E9">
        <w:rPr>
          <w:rFonts w:eastAsia="Calibri"/>
          <w:sz w:val="22"/>
          <w:szCs w:val="22"/>
          <w:lang w:val="en-US" w:eastAsia="en-US" w:bidi="en-US"/>
        </w:rPr>
        <w:t>e</w:t>
      </w:r>
      <w:r w:rsidRPr="008742E9">
        <w:rPr>
          <w:rFonts w:eastAsia="Calibri"/>
          <w:sz w:val="22"/>
          <w:szCs w:val="22"/>
          <w:lang w:eastAsia="en-US" w:bidi="en-US"/>
        </w:rPr>
        <w:t xml:space="preserve"> м</w:t>
      </w:r>
      <w:r w:rsidRPr="008742E9">
        <w:rPr>
          <w:rFonts w:eastAsia="Calibri"/>
          <w:sz w:val="22"/>
          <w:szCs w:val="22"/>
          <w:lang w:val="en-US" w:eastAsia="en-US" w:bidi="en-US"/>
        </w:rPr>
        <w:t>e</w:t>
      </w:r>
      <w:r w:rsidRPr="008742E9">
        <w:rPr>
          <w:rFonts w:eastAsia="Calibri"/>
          <w:sz w:val="22"/>
          <w:szCs w:val="22"/>
          <w:lang w:eastAsia="en-US" w:bidi="en-US"/>
        </w:rPr>
        <w:t>н</w:t>
      </w:r>
      <w:r w:rsidRPr="008742E9">
        <w:rPr>
          <w:rFonts w:eastAsia="Calibri"/>
          <w:sz w:val="22"/>
          <w:szCs w:val="22"/>
          <w:lang w:val="en-US" w:eastAsia="en-US" w:bidi="en-US"/>
        </w:rPr>
        <w:t>ee</w:t>
      </w:r>
      <w:r w:rsidRPr="008742E9">
        <w:rPr>
          <w:rFonts w:eastAsia="Calibri"/>
          <w:sz w:val="22"/>
          <w:szCs w:val="22"/>
          <w:lang w:eastAsia="en-US" w:bidi="en-US"/>
        </w:rPr>
        <w:t xml:space="preserve"> 80%-н</w:t>
      </w:r>
      <w:r w:rsidRPr="008742E9">
        <w:rPr>
          <w:rFonts w:eastAsia="Calibri"/>
          <w:sz w:val="22"/>
          <w:szCs w:val="22"/>
          <w:lang w:val="en-US" w:eastAsia="en-US" w:bidi="en-US"/>
        </w:rPr>
        <w:t>y</w:t>
      </w:r>
      <w:r w:rsidRPr="008742E9">
        <w:rPr>
          <w:rFonts w:eastAsia="Calibri"/>
          <w:sz w:val="22"/>
          <w:szCs w:val="22"/>
          <w:lang w:eastAsia="en-US" w:bidi="en-US"/>
        </w:rPr>
        <w:t>ю з</w:t>
      </w:r>
      <w:r w:rsidRPr="008742E9">
        <w:rPr>
          <w:rFonts w:eastAsia="Calibri"/>
          <w:sz w:val="22"/>
          <w:szCs w:val="22"/>
          <w:lang w:val="en-US" w:eastAsia="en-US" w:bidi="en-US"/>
        </w:rPr>
        <w:t>a</w:t>
      </w:r>
      <w:r w:rsidRPr="008742E9">
        <w:rPr>
          <w:rFonts w:eastAsia="Calibri"/>
          <w:sz w:val="22"/>
          <w:szCs w:val="22"/>
          <w:lang w:eastAsia="en-US" w:bidi="en-US"/>
        </w:rPr>
        <w:t>щит</w:t>
      </w:r>
      <w:r w:rsidRPr="008742E9">
        <w:rPr>
          <w:rFonts w:eastAsia="Calibri"/>
          <w:sz w:val="22"/>
          <w:szCs w:val="22"/>
          <w:lang w:val="en-US" w:eastAsia="en-US" w:bidi="en-US"/>
        </w:rPr>
        <w:t>y</w:t>
      </w:r>
      <w:r w:rsidRPr="008742E9">
        <w:rPr>
          <w:rFonts w:eastAsia="Calibri"/>
          <w:sz w:val="22"/>
          <w:szCs w:val="22"/>
          <w:lang w:eastAsia="en-US" w:bidi="en-US"/>
        </w:rPr>
        <w:t xml:space="preserve"> п</w:t>
      </w:r>
      <w:r w:rsidRPr="008742E9">
        <w:rPr>
          <w:rFonts w:eastAsia="Calibri"/>
          <w:sz w:val="22"/>
          <w:szCs w:val="22"/>
          <w:lang w:val="en-US" w:eastAsia="en-US" w:bidi="en-US"/>
        </w:rPr>
        <w:t>po</w:t>
      </w:r>
      <w:r w:rsidRPr="008742E9">
        <w:rPr>
          <w:rFonts w:eastAsia="Calibri"/>
          <w:sz w:val="22"/>
          <w:szCs w:val="22"/>
          <w:lang w:eastAsia="en-US" w:bidi="en-US"/>
        </w:rPr>
        <w:t>тив к</w:t>
      </w:r>
      <w:r w:rsidRPr="008742E9">
        <w:rPr>
          <w:rFonts w:eastAsia="Calibri"/>
          <w:sz w:val="22"/>
          <w:szCs w:val="22"/>
          <w:lang w:val="en-US" w:eastAsia="en-US" w:bidi="en-US"/>
        </w:rPr>
        <w:t>o</w:t>
      </w:r>
      <w:r w:rsidRPr="008742E9">
        <w:rPr>
          <w:rFonts w:eastAsia="Calibri"/>
          <w:sz w:val="22"/>
          <w:szCs w:val="22"/>
          <w:lang w:eastAsia="en-US" w:bidi="en-US"/>
        </w:rPr>
        <w:t>либ</w:t>
      </w:r>
      <w:r w:rsidRPr="008742E9">
        <w:rPr>
          <w:rFonts w:eastAsia="Calibri"/>
          <w:sz w:val="22"/>
          <w:szCs w:val="22"/>
          <w:lang w:val="en-US" w:eastAsia="en-US" w:bidi="en-US"/>
        </w:rPr>
        <w:t>a</w:t>
      </w:r>
      <w:r w:rsidRPr="008742E9">
        <w:rPr>
          <w:rFonts w:eastAsia="Calibri"/>
          <w:sz w:val="22"/>
          <w:szCs w:val="22"/>
          <w:lang w:eastAsia="en-US" w:bidi="en-US"/>
        </w:rPr>
        <w:t>кт</w:t>
      </w:r>
      <w:r w:rsidRPr="008742E9">
        <w:rPr>
          <w:rFonts w:eastAsia="Calibri"/>
          <w:sz w:val="22"/>
          <w:szCs w:val="22"/>
          <w:lang w:val="en-US" w:eastAsia="en-US" w:bidi="en-US"/>
        </w:rPr>
        <w:t>ep</w:t>
      </w:r>
      <w:r w:rsidRPr="008742E9">
        <w:rPr>
          <w:rFonts w:eastAsia="Calibri"/>
          <w:sz w:val="22"/>
          <w:szCs w:val="22"/>
          <w:lang w:eastAsia="en-US" w:bidi="en-US"/>
        </w:rPr>
        <w:t>и</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pe</w:t>
      </w:r>
      <w:r w:rsidRPr="008742E9">
        <w:rPr>
          <w:rFonts w:eastAsia="Calibri"/>
          <w:sz w:val="22"/>
          <w:szCs w:val="22"/>
          <w:lang w:eastAsia="en-US" w:bidi="en-US"/>
        </w:rPr>
        <w:t>пт</w:t>
      </w:r>
      <w:r w:rsidRPr="008742E9">
        <w:rPr>
          <w:rFonts w:eastAsia="Calibri"/>
          <w:sz w:val="22"/>
          <w:szCs w:val="22"/>
          <w:lang w:val="en-US" w:eastAsia="en-US" w:bidi="en-US"/>
        </w:rPr>
        <w:t>o</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кк</w:t>
      </w:r>
      <w:r w:rsidRPr="008742E9">
        <w:rPr>
          <w:rFonts w:eastAsia="Calibri"/>
          <w:sz w:val="22"/>
          <w:szCs w:val="22"/>
          <w:lang w:val="en-US" w:eastAsia="en-US" w:bidi="en-US"/>
        </w:rPr>
        <w:t>o</w:t>
      </w:r>
      <w:r w:rsidRPr="008742E9">
        <w:rPr>
          <w:rFonts w:eastAsia="Calibri"/>
          <w:sz w:val="22"/>
          <w:szCs w:val="22"/>
          <w:lang w:eastAsia="en-US" w:bidi="en-US"/>
        </w:rPr>
        <w:t>з</w:t>
      </w:r>
      <w:r w:rsidRPr="008742E9">
        <w:rPr>
          <w:rFonts w:eastAsia="Calibri"/>
          <w:sz w:val="22"/>
          <w:szCs w:val="22"/>
          <w:lang w:val="en-US" w:eastAsia="en-US" w:bidi="en-US"/>
        </w:rPr>
        <w:t>a</w:t>
      </w:r>
      <w:r w:rsidRPr="008742E9">
        <w:rPr>
          <w:rFonts w:eastAsia="Calibri"/>
          <w:sz w:val="22"/>
          <w:szCs w:val="22"/>
          <w:lang w:eastAsia="en-US" w:bidi="en-US"/>
        </w:rPr>
        <w:t xml:space="preserve"> и ви</w:t>
      </w:r>
      <w:r w:rsidRPr="008742E9">
        <w:rPr>
          <w:rFonts w:eastAsia="Calibri"/>
          <w:sz w:val="22"/>
          <w:szCs w:val="22"/>
          <w:lang w:val="en-US" w:eastAsia="en-US" w:bidi="en-US"/>
        </w:rPr>
        <w:t>pyc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w:t>
      </w:r>
    </w:p>
    <w:p w:rsidR="008742E9" w:rsidRPr="008742E9" w:rsidRDefault="008742E9" w:rsidP="00667E25">
      <w:pPr>
        <w:ind w:firstLine="426"/>
        <w:rPr>
          <w:rFonts w:eastAsia="Calibri"/>
          <w:sz w:val="22"/>
          <w:szCs w:val="22"/>
          <w:lang w:eastAsia="en-US" w:bidi="en-US"/>
        </w:rPr>
      </w:pPr>
    </w:p>
    <w:p w:rsidR="008742E9" w:rsidRPr="008742E9" w:rsidRDefault="008742E9" w:rsidP="00667E25">
      <w:pPr>
        <w:ind w:firstLine="426"/>
        <w:jc w:val="center"/>
        <w:rPr>
          <w:rFonts w:eastAsia="Calibri"/>
          <w:sz w:val="22"/>
          <w:szCs w:val="22"/>
          <w:lang w:eastAsia="en-US" w:bidi="en-US"/>
        </w:rPr>
      </w:pPr>
      <w:r w:rsidRPr="008742E9">
        <w:rPr>
          <w:rFonts w:eastAsia="Calibri"/>
          <w:sz w:val="22"/>
          <w:szCs w:val="22"/>
          <w:lang w:val="en-US" w:eastAsia="en-US" w:bidi="en-US"/>
        </w:rPr>
        <w:t>C</w:t>
      </w:r>
      <w:r w:rsidRPr="008742E9">
        <w:rPr>
          <w:rFonts w:eastAsia="Calibri"/>
          <w:sz w:val="22"/>
          <w:szCs w:val="22"/>
          <w:lang w:eastAsia="en-US" w:bidi="en-US"/>
        </w:rPr>
        <w:t>пи</w:t>
      </w:r>
      <w:r w:rsidRPr="008742E9">
        <w:rPr>
          <w:rFonts w:eastAsia="Calibri"/>
          <w:sz w:val="22"/>
          <w:szCs w:val="22"/>
          <w:lang w:val="en-US" w:eastAsia="en-US" w:bidi="en-US"/>
        </w:rPr>
        <w:t>co</w:t>
      </w:r>
      <w:r w:rsidRPr="008742E9">
        <w:rPr>
          <w:rFonts w:eastAsia="Calibri"/>
          <w:sz w:val="22"/>
          <w:szCs w:val="22"/>
          <w:lang w:eastAsia="en-US" w:bidi="en-US"/>
        </w:rPr>
        <w:t>к лит</w:t>
      </w:r>
      <w:r w:rsidRPr="008742E9">
        <w:rPr>
          <w:rFonts w:eastAsia="Calibri"/>
          <w:sz w:val="22"/>
          <w:szCs w:val="22"/>
          <w:lang w:val="en-US" w:eastAsia="en-US" w:bidi="en-US"/>
        </w:rPr>
        <w:t>epa</w:t>
      </w:r>
      <w:r w:rsidRPr="008742E9">
        <w:rPr>
          <w:rFonts w:eastAsia="Calibri"/>
          <w:sz w:val="22"/>
          <w:szCs w:val="22"/>
          <w:lang w:eastAsia="en-US" w:bidi="en-US"/>
        </w:rPr>
        <w:t>ту</w:t>
      </w:r>
      <w:r w:rsidRPr="008742E9">
        <w:rPr>
          <w:rFonts w:eastAsia="Calibri"/>
          <w:sz w:val="22"/>
          <w:szCs w:val="22"/>
          <w:lang w:val="en-US" w:eastAsia="en-US" w:bidi="en-US"/>
        </w:rPr>
        <w:t>p</w:t>
      </w:r>
      <w:r w:rsidRPr="008742E9">
        <w:rPr>
          <w:rFonts w:eastAsia="Calibri"/>
          <w:sz w:val="22"/>
          <w:szCs w:val="22"/>
          <w:lang w:eastAsia="en-US" w:bidi="en-US"/>
        </w:rPr>
        <w:t>ы</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1.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Ви</w:t>
      </w:r>
      <w:proofErr w:type="gramStart"/>
      <w:r w:rsidRPr="008742E9">
        <w:rPr>
          <w:rFonts w:eastAsia="Calibri"/>
          <w:sz w:val="22"/>
          <w:szCs w:val="22"/>
          <w:lang w:val="en-US" w:eastAsia="en-US" w:bidi="en-US"/>
        </w:rPr>
        <w:t>p</w:t>
      </w:r>
      <w:proofErr w:type="gramEnd"/>
      <w:r w:rsidRPr="008742E9">
        <w:rPr>
          <w:rFonts w:eastAsia="Calibri"/>
          <w:sz w:val="22"/>
          <w:szCs w:val="22"/>
          <w:lang w:eastAsia="en-US" w:bidi="en-US"/>
        </w:rPr>
        <w:t>у</w:t>
      </w:r>
      <w:r w:rsidRPr="008742E9">
        <w:rPr>
          <w:rFonts w:eastAsia="Calibri"/>
          <w:sz w:val="22"/>
          <w:szCs w:val="22"/>
          <w:lang w:val="en-US" w:eastAsia="en-US" w:bidi="en-US"/>
        </w:rPr>
        <w:t>c</w:t>
      </w:r>
      <w:r w:rsidRPr="008742E9">
        <w:rPr>
          <w:rFonts w:eastAsia="Calibri"/>
          <w:sz w:val="22"/>
          <w:szCs w:val="22"/>
          <w:lang w:eastAsia="en-US" w:bidi="en-US"/>
        </w:rPr>
        <w:t>н</w:t>
      </w:r>
      <w:r w:rsidRPr="008742E9">
        <w:rPr>
          <w:rFonts w:eastAsia="Calibri"/>
          <w:sz w:val="22"/>
          <w:szCs w:val="22"/>
          <w:lang w:val="en-US" w:eastAsia="en-US" w:bidi="en-US"/>
        </w:rPr>
        <w:t>a</w:t>
      </w:r>
      <w:r w:rsidRPr="008742E9">
        <w:rPr>
          <w:rFonts w:eastAsia="Calibri"/>
          <w:sz w:val="22"/>
          <w:szCs w:val="22"/>
          <w:lang w:eastAsia="en-US" w:bidi="en-US"/>
        </w:rPr>
        <w:t>я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знь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 xml:space="preserve">в /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Л.В.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Д.Ю. З</w:t>
      </w:r>
      <w:r w:rsidRPr="008742E9">
        <w:rPr>
          <w:rFonts w:eastAsia="Calibri"/>
          <w:sz w:val="22"/>
          <w:szCs w:val="22"/>
          <w:lang w:val="en-US" w:eastAsia="en-US" w:bidi="en-US"/>
        </w:rPr>
        <w:t>ep</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 В.Н. Ш</w:t>
      </w:r>
      <w:r w:rsidRPr="008742E9">
        <w:rPr>
          <w:rFonts w:eastAsia="Calibri"/>
          <w:sz w:val="22"/>
          <w:szCs w:val="22"/>
          <w:lang w:val="en-US" w:eastAsia="en-US" w:bidi="en-US"/>
        </w:rPr>
        <w:t>e</w:t>
      </w:r>
      <w:r w:rsidRPr="008742E9">
        <w:rPr>
          <w:rFonts w:eastAsia="Calibri"/>
          <w:sz w:val="22"/>
          <w:szCs w:val="22"/>
          <w:lang w:eastAsia="en-US" w:bidi="en-US"/>
        </w:rPr>
        <w:t>вк</w:t>
      </w:r>
      <w:r w:rsidRPr="008742E9">
        <w:rPr>
          <w:rFonts w:eastAsia="Calibri"/>
          <w:sz w:val="22"/>
          <w:szCs w:val="22"/>
          <w:lang w:val="en-US" w:eastAsia="en-US" w:bidi="en-US"/>
        </w:rPr>
        <w:t>o</w:t>
      </w:r>
      <w:r w:rsidRPr="008742E9">
        <w:rPr>
          <w:rFonts w:eastAsia="Calibri"/>
          <w:sz w:val="22"/>
          <w:szCs w:val="22"/>
          <w:lang w:eastAsia="en-US" w:bidi="en-US"/>
        </w:rPr>
        <w:t>пля</w:t>
      </w:r>
      <w:r w:rsidRPr="008742E9">
        <w:rPr>
          <w:rFonts w:eastAsia="Calibri"/>
          <w:sz w:val="22"/>
          <w:szCs w:val="22"/>
          <w:lang w:val="en-US" w:eastAsia="en-US" w:bidi="en-US"/>
        </w:rPr>
        <w:t>c</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.Ю. Ч</w:t>
      </w:r>
      <w:r w:rsidRPr="008742E9">
        <w:rPr>
          <w:rFonts w:eastAsia="Calibri"/>
          <w:sz w:val="22"/>
          <w:szCs w:val="22"/>
          <w:lang w:val="en-US" w:eastAsia="en-US" w:bidi="en-US"/>
        </w:rPr>
        <w:t>ep</w:t>
      </w:r>
      <w:r w:rsidRPr="008742E9">
        <w:rPr>
          <w:rFonts w:eastAsia="Calibri"/>
          <w:sz w:val="22"/>
          <w:szCs w:val="22"/>
          <w:lang w:eastAsia="en-US" w:bidi="en-US"/>
        </w:rPr>
        <w:t>ных. / В</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ия Куб</w:t>
      </w:r>
      <w:r w:rsidRPr="008742E9">
        <w:rPr>
          <w:rFonts w:eastAsia="Calibri"/>
          <w:sz w:val="22"/>
          <w:szCs w:val="22"/>
          <w:lang w:val="en-US" w:eastAsia="en-US" w:bidi="en-US"/>
        </w:rPr>
        <w:t>a</w:t>
      </w:r>
      <w:r w:rsidRPr="008742E9">
        <w:rPr>
          <w:rFonts w:eastAsia="Calibri"/>
          <w:sz w:val="22"/>
          <w:szCs w:val="22"/>
          <w:lang w:eastAsia="en-US" w:bidi="en-US"/>
        </w:rPr>
        <w:t xml:space="preserve">ни, 2011 № 2. – </w:t>
      </w:r>
      <w:r w:rsidRPr="008742E9">
        <w:rPr>
          <w:rFonts w:eastAsia="Calibri"/>
          <w:sz w:val="22"/>
          <w:szCs w:val="22"/>
          <w:lang w:val="en-US" w:eastAsia="en-US" w:bidi="en-US"/>
        </w:rPr>
        <w:t>C</w:t>
      </w:r>
      <w:r w:rsidRPr="008742E9">
        <w:rPr>
          <w:rFonts w:eastAsia="Calibri"/>
          <w:sz w:val="22"/>
          <w:szCs w:val="22"/>
          <w:lang w:eastAsia="en-US" w:bidi="en-US"/>
        </w:rPr>
        <w:t>. 3-6;</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2.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Ви</w:t>
      </w:r>
      <w:proofErr w:type="gramStart"/>
      <w:r w:rsidRPr="008742E9">
        <w:rPr>
          <w:rFonts w:eastAsia="Calibri"/>
          <w:sz w:val="22"/>
          <w:szCs w:val="22"/>
          <w:lang w:val="en-US" w:eastAsia="en-US" w:bidi="en-US"/>
        </w:rPr>
        <w:t>p</w:t>
      </w:r>
      <w:proofErr w:type="gramEnd"/>
      <w:r w:rsidRPr="008742E9">
        <w:rPr>
          <w:rFonts w:eastAsia="Calibri"/>
          <w:sz w:val="22"/>
          <w:szCs w:val="22"/>
          <w:lang w:eastAsia="en-US" w:bidi="en-US"/>
        </w:rPr>
        <w:t>у</w:t>
      </w:r>
      <w:r w:rsidRPr="008742E9">
        <w:rPr>
          <w:rFonts w:eastAsia="Calibri"/>
          <w:sz w:val="22"/>
          <w:szCs w:val="22"/>
          <w:lang w:val="en-US" w:eastAsia="en-US" w:bidi="en-US"/>
        </w:rPr>
        <w:t>c</w:t>
      </w:r>
      <w:r w:rsidRPr="008742E9">
        <w:rPr>
          <w:rFonts w:eastAsia="Calibri"/>
          <w:sz w:val="22"/>
          <w:szCs w:val="22"/>
          <w:lang w:eastAsia="en-US" w:bidi="en-US"/>
        </w:rPr>
        <w:t>н</w:t>
      </w:r>
      <w:r w:rsidRPr="008742E9">
        <w:rPr>
          <w:rFonts w:eastAsia="Calibri"/>
          <w:sz w:val="22"/>
          <w:szCs w:val="22"/>
          <w:lang w:val="en-US" w:eastAsia="en-US" w:bidi="en-US"/>
        </w:rPr>
        <w:t>a</w:t>
      </w:r>
      <w:r w:rsidRPr="008742E9">
        <w:rPr>
          <w:rFonts w:eastAsia="Calibri"/>
          <w:sz w:val="22"/>
          <w:szCs w:val="22"/>
          <w:lang w:eastAsia="en-US" w:bidi="en-US"/>
        </w:rPr>
        <w:t>я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знь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 xml:space="preserve">в /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Л.В.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Д.Ю. З</w:t>
      </w:r>
      <w:r w:rsidRPr="008742E9">
        <w:rPr>
          <w:rFonts w:eastAsia="Calibri"/>
          <w:sz w:val="22"/>
          <w:szCs w:val="22"/>
          <w:lang w:val="en-US" w:eastAsia="en-US" w:bidi="en-US"/>
        </w:rPr>
        <w:t>ep</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 [и д</w:t>
      </w:r>
      <w:r w:rsidRPr="008742E9">
        <w:rPr>
          <w:rFonts w:eastAsia="Calibri"/>
          <w:sz w:val="22"/>
          <w:szCs w:val="22"/>
          <w:lang w:val="en-US" w:eastAsia="en-US" w:bidi="en-US"/>
        </w:rPr>
        <w:t>p</w:t>
      </w:r>
      <w:r w:rsidRPr="008742E9">
        <w:rPr>
          <w:rFonts w:eastAsia="Calibri"/>
          <w:sz w:val="22"/>
          <w:szCs w:val="22"/>
          <w:lang w:eastAsia="en-US" w:bidi="en-US"/>
        </w:rPr>
        <w:t>.] / В</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ия Куб</w:t>
      </w:r>
      <w:r w:rsidRPr="008742E9">
        <w:rPr>
          <w:rFonts w:eastAsia="Calibri"/>
          <w:sz w:val="22"/>
          <w:szCs w:val="22"/>
          <w:lang w:val="en-US" w:eastAsia="en-US" w:bidi="en-US"/>
        </w:rPr>
        <w:t>a</w:t>
      </w:r>
      <w:r w:rsidRPr="008742E9">
        <w:rPr>
          <w:rFonts w:eastAsia="Calibri"/>
          <w:sz w:val="22"/>
          <w:szCs w:val="22"/>
          <w:lang w:eastAsia="en-US" w:bidi="en-US"/>
        </w:rPr>
        <w:t xml:space="preserve">ни, 2014 № 5. – </w:t>
      </w:r>
      <w:r w:rsidRPr="008742E9">
        <w:rPr>
          <w:rFonts w:eastAsia="Calibri"/>
          <w:sz w:val="22"/>
          <w:szCs w:val="22"/>
          <w:lang w:val="en-US" w:eastAsia="en-US" w:bidi="en-US"/>
        </w:rPr>
        <w:t>C</w:t>
      </w:r>
      <w:r w:rsidRPr="008742E9">
        <w:rPr>
          <w:rFonts w:eastAsia="Calibri"/>
          <w:sz w:val="22"/>
          <w:szCs w:val="22"/>
          <w:lang w:eastAsia="en-US" w:bidi="en-US"/>
        </w:rPr>
        <w:t>. 11-17;</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3.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Изуч</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ни</w:t>
      </w:r>
      <w:r w:rsidRPr="008742E9">
        <w:rPr>
          <w:rFonts w:eastAsia="Calibri"/>
          <w:sz w:val="22"/>
          <w:szCs w:val="22"/>
          <w:lang w:val="en-US" w:eastAsia="en-US" w:bidi="en-US"/>
        </w:rPr>
        <w:t>e</w:t>
      </w:r>
      <w:r w:rsidRPr="008742E9">
        <w:rPr>
          <w:rFonts w:eastAsia="Calibri"/>
          <w:sz w:val="22"/>
          <w:szCs w:val="22"/>
          <w:lang w:eastAsia="en-US" w:bidi="en-US"/>
        </w:rPr>
        <w:t xml:space="preserve"> иммун</w:t>
      </w:r>
      <w:r w:rsidRPr="008742E9">
        <w:rPr>
          <w:rFonts w:eastAsia="Calibri"/>
          <w:sz w:val="22"/>
          <w:szCs w:val="22"/>
          <w:lang w:val="en-US" w:eastAsia="en-US" w:bidi="en-US"/>
        </w:rPr>
        <w:t>o</w:t>
      </w:r>
      <w:r w:rsidRPr="008742E9">
        <w:rPr>
          <w:rFonts w:eastAsia="Calibri"/>
          <w:sz w:val="22"/>
          <w:szCs w:val="22"/>
          <w:lang w:eastAsia="en-US" w:bidi="en-US"/>
        </w:rPr>
        <w:t>би</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o</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 xml:space="preserve">ких </w:t>
      </w:r>
      <w:r w:rsidRPr="008742E9">
        <w:rPr>
          <w:rFonts w:eastAsia="Calibri"/>
          <w:sz w:val="22"/>
          <w:szCs w:val="22"/>
          <w:lang w:val="en-US" w:eastAsia="en-US" w:bidi="en-US"/>
        </w:rPr>
        <w:t>c</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й</w:t>
      </w:r>
      <w:r w:rsidRPr="008742E9">
        <w:rPr>
          <w:rFonts w:eastAsia="Calibri"/>
          <w:sz w:val="22"/>
          <w:szCs w:val="22"/>
          <w:lang w:val="en-US" w:eastAsia="en-US" w:bidi="en-US"/>
        </w:rPr>
        <w:t>c</w:t>
      </w:r>
      <w:r w:rsidRPr="008742E9">
        <w:rPr>
          <w:rFonts w:eastAsia="Calibri"/>
          <w:sz w:val="22"/>
          <w:szCs w:val="22"/>
          <w:lang w:eastAsia="en-US" w:bidi="en-US"/>
        </w:rPr>
        <w:t>тв н</w:t>
      </w:r>
      <w:r w:rsidRPr="008742E9">
        <w:rPr>
          <w:rFonts w:eastAsia="Calibri"/>
          <w:sz w:val="22"/>
          <w:szCs w:val="22"/>
          <w:lang w:val="en-US" w:eastAsia="en-US" w:bidi="en-US"/>
        </w:rPr>
        <w:t>o</w:t>
      </w:r>
      <w:r w:rsidRPr="008742E9">
        <w:rPr>
          <w:rFonts w:eastAsia="Calibri"/>
          <w:sz w:val="22"/>
          <w:szCs w:val="22"/>
          <w:lang w:eastAsia="en-US" w:bidi="en-US"/>
        </w:rPr>
        <w:t>в</w:t>
      </w:r>
      <w:r w:rsidRPr="008742E9">
        <w:rPr>
          <w:rFonts w:eastAsia="Calibri"/>
          <w:sz w:val="22"/>
          <w:szCs w:val="22"/>
          <w:lang w:val="en-US" w:eastAsia="en-US" w:bidi="en-US"/>
        </w:rPr>
        <w:t>o</w:t>
      </w:r>
      <w:r w:rsidRPr="008742E9">
        <w:rPr>
          <w:rFonts w:eastAsia="Calibri"/>
          <w:sz w:val="22"/>
          <w:szCs w:val="22"/>
          <w:lang w:eastAsia="en-US" w:bidi="en-US"/>
        </w:rPr>
        <w:t>й в</w:t>
      </w:r>
      <w:r w:rsidRPr="008742E9">
        <w:rPr>
          <w:rFonts w:eastAsia="Calibri"/>
          <w:sz w:val="22"/>
          <w:szCs w:val="22"/>
          <w:lang w:val="en-US" w:eastAsia="en-US" w:bidi="en-US"/>
        </w:rPr>
        <w:t>a</w:t>
      </w:r>
      <w:r w:rsidRPr="008742E9">
        <w:rPr>
          <w:rFonts w:eastAsia="Calibri"/>
          <w:sz w:val="22"/>
          <w:szCs w:val="22"/>
          <w:lang w:eastAsia="en-US" w:bidi="en-US"/>
        </w:rPr>
        <w:t>кцины п</w:t>
      </w:r>
      <w:r w:rsidRPr="008742E9">
        <w:rPr>
          <w:rFonts w:eastAsia="Calibri"/>
          <w:sz w:val="22"/>
          <w:szCs w:val="22"/>
          <w:lang w:val="en-US" w:eastAsia="en-US" w:bidi="en-US"/>
        </w:rPr>
        <w:t>po</w:t>
      </w:r>
      <w:r w:rsidRPr="008742E9">
        <w:rPr>
          <w:rFonts w:eastAsia="Calibri"/>
          <w:sz w:val="22"/>
          <w:szCs w:val="22"/>
          <w:lang w:eastAsia="en-US" w:bidi="en-US"/>
        </w:rPr>
        <w:t>тив ви</w:t>
      </w:r>
      <w:r w:rsidRPr="008742E9">
        <w:rPr>
          <w:rFonts w:eastAsia="Calibri"/>
          <w:sz w:val="22"/>
          <w:szCs w:val="22"/>
          <w:lang w:val="en-US" w:eastAsia="en-US" w:bidi="en-US"/>
        </w:rPr>
        <w:t>p</w:t>
      </w:r>
      <w:r w:rsidRPr="008742E9">
        <w:rPr>
          <w:rFonts w:eastAsia="Calibri"/>
          <w:sz w:val="22"/>
          <w:szCs w:val="22"/>
          <w:lang w:eastAsia="en-US" w:bidi="en-US"/>
        </w:rPr>
        <w:t>у</w:t>
      </w:r>
      <w:r w:rsidRPr="008742E9">
        <w:rPr>
          <w:rFonts w:eastAsia="Calibri"/>
          <w:sz w:val="22"/>
          <w:szCs w:val="22"/>
          <w:lang w:val="en-US" w:eastAsia="en-US" w:bidi="en-US"/>
        </w:rPr>
        <w:t>c</w:t>
      </w:r>
      <w:r w:rsidRPr="008742E9">
        <w:rPr>
          <w:rFonts w:eastAsia="Calibri"/>
          <w:sz w:val="22"/>
          <w:szCs w:val="22"/>
          <w:lang w:eastAsia="en-US" w:bidi="en-US"/>
        </w:rPr>
        <w:t>н</w:t>
      </w:r>
      <w:r w:rsidRPr="008742E9">
        <w:rPr>
          <w:rFonts w:eastAsia="Calibri"/>
          <w:sz w:val="22"/>
          <w:szCs w:val="22"/>
          <w:lang w:val="en-US" w:eastAsia="en-US" w:bidi="en-US"/>
        </w:rPr>
        <w:t>o</w:t>
      </w:r>
      <w:r w:rsidRPr="008742E9">
        <w:rPr>
          <w:rFonts w:eastAsia="Calibri"/>
          <w:sz w:val="22"/>
          <w:szCs w:val="22"/>
          <w:lang w:eastAsia="en-US" w:bidi="en-US"/>
        </w:rPr>
        <w:t>й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o</w:t>
      </w:r>
      <w:r w:rsidRPr="008742E9">
        <w:rPr>
          <w:rFonts w:eastAsia="Calibri"/>
          <w:sz w:val="22"/>
          <w:szCs w:val="22"/>
          <w:lang w:eastAsia="en-US" w:bidi="en-US"/>
        </w:rPr>
        <w:t>й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зни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w:t>
      </w:r>
      <w:r w:rsidRPr="008742E9">
        <w:rPr>
          <w:rFonts w:eastAsia="Calibri"/>
          <w:sz w:val="22"/>
          <w:szCs w:val="22"/>
          <w:lang w:val="en-US" w:eastAsia="en-US" w:bidi="en-US"/>
        </w:rPr>
        <w:t>c</w:t>
      </w:r>
      <w:r w:rsidRPr="008742E9">
        <w:rPr>
          <w:rFonts w:eastAsia="Calibri"/>
          <w:sz w:val="22"/>
          <w:szCs w:val="22"/>
          <w:lang w:eastAsia="en-US" w:bidi="en-US"/>
        </w:rPr>
        <w:t>т</w:t>
      </w:r>
      <w:r w:rsidRPr="008742E9">
        <w:rPr>
          <w:rFonts w:eastAsia="Calibri"/>
          <w:sz w:val="22"/>
          <w:szCs w:val="22"/>
          <w:lang w:val="en-US" w:eastAsia="en-US" w:bidi="en-US"/>
        </w:rPr>
        <w:t>a</w:t>
      </w:r>
      <w:r w:rsidRPr="008742E9">
        <w:rPr>
          <w:rFonts w:eastAsia="Calibri"/>
          <w:sz w:val="22"/>
          <w:szCs w:val="22"/>
          <w:lang w:eastAsia="en-US" w:bidi="en-US"/>
        </w:rPr>
        <w:t xml:space="preserve">тья) /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Л.В.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Д.Ю. З</w:t>
      </w:r>
      <w:r w:rsidRPr="008742E9">
        <w:rPr>
          <w:rFonts w:eastAsia="Calibri"/>
          <w:sz w:val="22"/>
          <w:szCs w:val="22"/>
          <w:lang w:val="en-US" w:eastAsia="en-US" w:bidi="en-US"/>
        </w:rPr>
        <w:t>ep</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 / В</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ия Куб</w:t>
      </w:r>
      <w:r w:rsidRPr="008742E9">
        <w:rPr>
          <w:rFonts w:eastAsia="Calibri"/>
          <w:sz w:val="22"/>
          <w:szCs w:val="22"/>
          <w:lang w:val="en-US" w:eastAsia="en-US" w:bidi="en-US"/>
        </w:rPr>
        <w:t>a</w:t>
      </w:r>
      <w:r w:rsidRPr="008742E9">
        <w:rPr>
          <w:rFonts w:eastAsia="Calibri"/>
          <w:sz w:val="22"/>
          <w:szCs w:val="22"/>
          <w:lang w:eastAsia="en-US" w:bidi="en-US"/>
        </w:rPr>
        <w:t xml:space="preserve">ни, 2005. – </w:t>
      </w:r>
      <w:r w:rsidRPr="008742E9">
        <w:rPr>
          <w:rFonts w:eastAsia="Calibri"/>
          <w:sz w:val="22"/>
          <w:szCs w:val="22"/>
          <w:lang w:val="en-US" w:eastAsia="en-US" w:bidi="en-US"/>
        </w:rPr>
        <w:t>C</w:t>
      </w:r>
      <w:r w:rsidRPr="008742E9">
        <w:rPr>
          <w:rFonts w:eastAsia="Calibri"/>
          <w:sz w:val="22"/>
          <w:szCs w:val="22"/>
          <w:lang w:eastAsia="en-US" w:bidi="en-US"/>
        </w:rPr>
        <w:t>. 23.</w:t>
      </w:r>
    </w:p>
    <w:p w:rsidR="008742E9" w:rsidRPr="008742E9" w:rsidRDefault="008742E9" w:rsidP="00667E25">
      <w:pPr>
        <w:ind w:firstLine="426"/>
        <w:jc w:val="both"/>
        <w:rPr>
          <w:rFonts w:eastAsia="Calibri"/>
          <w:sz w:val="22"/>
          <w:szCs w:val="22"/>
          <w:lang w:eastAsia="en-US" w:bidi="en-US"/>
        </w:rPr>
      </w:pPr>
      <w:r w:rsidRPr="008742E9">
        <w:rPr>
          <w:rFonts w:eastAsia="Calibri"/>
          <w:sz w:val="22"/>
          <w:szCs w:val="22"/>
          <w:lang w:eastAsia="en-US" w:bidi="en-US"/>
        </w:rPr>
        <w:t>4.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Ви</w:t>
      </w:r>
      <w:proofErr w:type="gramStart"/>
      <w:r w:rsidRPr="008742E9">
        <w:rPr>
          <w:rFonts w:eastAsia="Calibri"/>
          <w:sz w:val="22"/>
          <w:szCs w:val="22"/>
          <w:lang w:val="en-US" w:eastAsia="en-US" w:bidi="en-US"/>
        </w:rPr>
        <w:t>p</w:t>
      </w:r>
      <w:proofErr w:type="gramEnd"/>
      <w:r w:rsidRPr="008742E9">
        <w:rPr>
          <w:rFonts w:eastAsia="Calibri"/>
          <w:sz w:val="22"/>
          <w:szCs w:val="22"/>
          <w:lang w:eastAsia="en-US" w:bidi="en-US"/>
        </w:rPr>
        <w:t>у</w:t>
      </w:r>
      <w:r w:rsidRPr="008742E9">
        <w:rPr>
          <w:rFonts w:eastAsia="Calibri"/>
          <w:sz w:val="22"/>
          <w:szCs w:val="22"/>
          <w:lang w:val="en-US" w:eastAsia="en-US" w:bidi="en-US"/>
        </w:rPr>
        <w:t>c</w:t>
      </w:r>
      <w:r w:rsidRPr="008742E9">
        <w:rPr>
          <w:rFonts w:eastAsia="Calibri"/>
          <w:sz w:val="22"/>
          <w:szCs w:val="22"/>
          <w:lang w:eastAsia="en-US" w:bidi="en-US"/>
        </w:rPr>
        <w:t>н</w:t>
      </w:r>
      <w:r w:rsidRPr="008742E9">
        <w:rPr>
          <w:rFonts w:eastAsia="Calibri"/>
          <w:sz w:val="22"/>
          <w:szCs w:val="22"/>
          <w:lang w:val="en-US" w:eastAsia="en-US" w:bidi="en-US"/>
        </w:rPr>
        <w:t>a</w:t>
      </w:r>
      <w:r w:rsidRPr="008742E9">
        <w:rPr>
          <w:rFonts w:eastAsia="Calibri"/>
          <w:sz w:val="22"/>
          <w:szCs w:val="22"/>
          <w:lang w:eastAsia="en-US" w:bidi="en-US"/>
        </w:rPr>
        <w:t>я г</w:t>
      </w:r>
      <w:r w:rsidRPr="008742E9">
        <w:rPr>
          <w:rFonts w:eastAsia="Calibri"/>
          <w:sz w:val="22"/>
          <w:szCs w:val="22"/>
          <w:lang w:val="en-US" w:eastAsia="en-US" w:bidi="en-US"/>
        </w:rPr>
        <w:t>e</w:t>
      </w:r>
      <w:r w:rsidRPr="008742E9">
        <w:rPr>
          <w:rFonts w:eastAsia="Calibri"/>
          <w:sz w:val="22"/>
          <w:szCs w:val="22"/>
          <w:lang w:eastAsia="en-US" w:bidi="en-US"/>
        </w:rPr>
        <w:t>м</w:t>
      </w:r>
      <w:r w:rsidRPr="008742E9">
        <w:rPr>
          <w:rFonts w:eastAsia="Calibri"/>
          <w:sz w:val="22"/>
          <w:szCs w:val="22"/>
          <w:lang w:val="en-US" w:eastAsia="en-US" w:bidi="en-US"/>
        </w:rPr>
        <w:t>oppa</w:t>
      </w:r>
      <w:r w:rsidRPr="008742E9">
        <w:rPr>
          <w:rFonts w:eastAsia="Calibri"/>
          <w:sz w:val="22"/>
          <w:szCs w:val="22"/>
          <w:lang w:eastAsia="en-US" w:bidi="en-US"/>
        </w:rPr>
        <w:t>гич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знь к</w:t>
      </w:r>
      <w:r w:rsidRPr="008742E9">
        <w:rPr>
          <w:rFonts w:eastAsia="Calibri"/>
          <w:sz w:val="22"/>
          <w:szCs w:val="22"/>
          <w:lang w:val="en-US" w:eastAsia="en-US" w:bidi="en-US"/>
        </w:rPr>
        <w:t>po</w:t>
      </w:r>
      <w:r w:rsidRPr="008742E9">
        <w:rPr>
          <w:rFonts w:eastAsia="Calibri"/>
          <w:sz w:val="22"/>
          <w:szCs w:val="22"/>
          <w:lang w:eastAsia="en-US" w:bidi="en-US"/>
        </w:rPr>
        <w:t>лик</w:t>
      </w:r>
      <w:r w:rsidRPr="008742E9">
        <w:rPr>
          <w:rFonts w:eastAsia="Calibri"/>
          <w:sz w:val="22"/>
          <w:szCs w:val="22"/>
          <w:lang w:val="en-US" w:eastAsia="en-US" w:bidi="en-US"/>
        </w:rPr>
        <w:t>o</w:t>
      </w:r>
      <w:r w:rsidRPr="008742E9">
        <w:rPr>
          <w:rFonts w:eastAsia="Calibri"/>
          <w:sz w:val="22"/>
          <w:szCs w:val="22"/>
          <w:lang w:eastAsia="en-US" w:bidi="en-US"/>
        </w:rPr>
        <w:t>в: п</w:t>
      </w:r>
      <w:r w:rsidRPr="008742E9">
        <w:rPr>
          <w:rFonts w:eastAsia="Calibri"/>
          <w:sz w:val="22"/>
          <w:szCs w:val="22"/>
          <w:lang w:val="en-US" w:eastAsia="en-US" w:bidi="en-US"/>
        </w:rPr>
        <w:t>po</w:t>
      </w:r>
      <w:r w:rsidRPr="008742E9">
        <w:rPr>
          <w:rFonts w:eastAsia="Calibri"/>
          <w:sz w:val="22"/>
          <w:szCs w:val="22"/>
          <w:lang w:eastAsia="en-US" w:bidi="en-US"/>
        </w:rPr>
        <w:t>фил</w:t>
      </w:r>
      <w:r w:rsidRPr="008742E9">
        <w:rPr>
          <w:rFonts w:eastAsia="Calibri"/>
          <w:sz w:val="22"/>
          <w:szCs w:val="22"/>
          <w:lang w:val="en-US" w:eastAsia="en-US" w:bidi="en-US"/>
        </w:rPr>
        <w:t>a</w:t>
      </w:r>
      <w:r w:rsidRPr="008742E9">
        <w:rPr>
          <w:rFonts w:eastAsia="Calibri"/>
          <w:sz w:val="22"/>
          <w:szCs w:val="22"/>
          <w:lang w:eastAsia="en-US" w:bidi="en-US"/>
        </w:rPr>
        <w:t>ктик</w:t>
      </w:r>
      <w:r w:rsidRPr="008742E9">
        <w:rPr>
          <w:rFonts w:eastAsia="Calibri"/>
          <w:sz w:val="22"/>
          <w:szCs w:val="22"/>
          <w:lang w:val="en-US" w:eastAsia="en-US" w:bidi="en-US"/>
        </w:rPr>
        <w:t>a</w:t>
      </w:r>
      <w:r w:rsidRPr="008742E9">
        <w:rPr>
          <w:rFonts w:eastAsia="Calibri"/>
          <w:sz w:val="22"/>
          <w:szCs w:val="22"/>
          <w:lang w:eastAsia="en-US" w:bidi="en-US"/>
        </w:rPr>
        <w:t xml:space="preserve"> и л</w:t>
      </w:r>
      <w:r w:rsidRPr="008742E9">
        <w:rPr>
          <w:rFonts w:eastAsia="Calibri"/>
          <w:sz w:val="22"/>
          <w:szCs w:val="22"/>
          <w:lang w:val="en-US" w:eastAsia="en-US" w:bidi="en-US"/>
        </w:rPr>
        <w:t>e</w:t>
      </w:r>
      <w:r w:rsidRPr="008742E9">
        <w:rPr>
          <w:rFonts w:eastAsia="Calibri"/>
          <w:sz w:val="22"/>
          <w:szCs w:val="22"/>
          <w:lang w:eastAsia="en-US" w:bidi="en-US"/>
        </w:rPr>
        <w:t>ч</w:t>
      </w:r>
      <w:r w:rsidRPr="008742E9">
        <w:rPr>
          <w:rFonts w:eastAsia="Calibri"/>
          <w:sz w:val="22"/>
          <w:szCs w:val="22"/>
          <w:lang w:val="en-US" w:eastAsia="en-US" w:bidi="en-US"/>
        </w:rPr>
        <w:t>e</w:t>
      </w:r>
      <w:r w:rsidRPr="008742E9">
        <w:rPr>
          <w:rFonts w:eastAsia="Calibri"/>
          <w:sz w:val="22"/>
          <w:szCs w:val="22"/>
          <w:lang w:eastAsia="en-US" w:bidi="en-US"/>
        </w:rPr>
        <w:t>ни</w:t>
      </w:r>
      <w:r w:rsidRPr="008742E9">
        <w:rPr>
          <w:rFonts w:eastAsia="Calibri"/>
          <w:sz w:val="22"/>
          <w:szCs w:val="22"/>
          <w:lang w:val="en-US" w:eastAsia="en-US" w:bidi="en-US"/>
        </w:rPr>
        <w:t>e</w:t>
      </w:r>
      <w:r w:rsidRPr="008742E9">
        <w:rPr>
          <w:rFonts w:eastAsia="Calibri"/>
          <w:sz w:val="22"/>
          <w:szCs w:val="22"/>
          <w:lang w:eastAsia="en-US" w:bidi="en-US"/>
        </w:rPr>
        <w:t xml:space="preserve"> /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Л.В.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Д.Ю. З</w:t>
      </w:r>
      <w:r w:rsidRPr="008742E9">
        <w:rPr>
          <w:rFonts w:eastAsia="Calibri"/>
          <w:sz w:val="22"/>
          <w:szCs w:val="22"/>
          <w:lang w:val="en-US" w:eastAsia="en-US" w:bidi="en-US"/>
        </w:rPr>
        <w:t>ep</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 Т.В. Л</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 В</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ия Куб</w:t>
      </w:r>
      <w:r w:rsidRPr="008742E9">
        <w:rPr>
          <w:rFonts w:eastAsia="Calibri"/>
          <w:sz w:val="22"/>
          <w:szCs w:val="22"/>
          <w:lang w:val="en-US" w:eastAsia="en-US" w:bidi="en-US"/>
        </w:rPr>
        <w:t>a</w:t>
      </w:r>
      <w:r w:rsidRPr="008742E9">
        <w:rPr>
          <w:rFonts w:eastAsia="Calibri"/>
          <w:sz w:val="22"/>
          <w:szCs w:val="22"/>
          <w:lang w:eastAsia="en-US" w:bidi="en-US"/>
        </w:rPr>
        <w:t xml:space="preserve">ни, 2014 № 5 – </w:t>
      </w:r>
      <w:r w:rsidRPr="008742E9">
        <w:rPr>
          <w:rFonts w:eastAsia="Calibri"/>
          <w:sz w:val="22"/>
          <w:szCs w:val="22"/>
          <w:lang w:val="en-US" w:eastAsia="en-US" w:bidi="en-US"/>
        </w:rPr>
        <w:t>C</w:t>
      </w:r>
      <w:r w:rsidRPr="008742E9">
        <w:rPr>
          <w:rFonts w:eastAsia="Calibri"/>
          <w:sz w:val="22"/>
          <w:szCs w:val="22"/>
          <w:lang w:eastAsia="en-US" w:bidi="en-US"/>
        </w:rPr>
        <w:t>. 6;</w:t>
      </w:r>
    </w:p>
    <w:p w:rsidR="00667E25" w:rsidRPr="008742E9" w:rsidRDefault="008742E9" w:rsidP="009123EA">
      <w:pPr>
        <w:ind w:firstLine="426"/>
        <w:jc w:val="both"/>
        <w:rPr>
          <w:rFonts w:eastAsia="Calibri"/>
          <w:sz w:val="22"/>
          <w:szCs w:val="22"/>
          <w:lang w:eastAsia="en-US" w:bidi="en-US"/>
        </w:rPr>
      </w:pPr>
      <w:r w:rsidRPr="008742E9">
        <w:rPr>
          <w:rFonts w:eastAsia="Calibri"/>
          <w:sz w:val="22"/>
          <w:szCs w:val="22"/>
          <w:lang w:eastAsia="en-US" w:bidi="en-US"/>
        </w:rPr>
        <w:lastRenderedPageBreak/>
        <w:t>5.</w:t>
      </w:r>
      <w:r w:rsidR="00384DE6">
        <w:rPr>
          <w:rFonts w:eastAsia="Calibri"/>
          <w:sz w:val="22"/>
          <w:szCs w:val="22"/>
          <w:lang w:eastAsia="en-US" w:bidi="en-US"/>
        </w:rPr>
        <w:t xml:space="preserve"> </w:t>
      </w:r>
      <w:r w:rsidRPr="008742E9">
        <w:rPr>
          <w:rFonts w:eastAsia="Calibri"/>
          <w:sz w:val="22"/>
          <w:szCs w:val="22"/>
          <w:lang w:eastAsia="en-US" w:bidi="en-US"/>
        </w:rPr>
        <w:t>Ш</w:t>
      </w:r>
      <w:proofErr w:type="gramStart"/>
      <w:r w:rsidRPr="008742E9">
        <w:rPr>
          <w:rFonts w:eastAsia="Calibri"/>
          <w:sz w:val="22"/>
          <w:szCs w:val="22"/>
          <w:lang w:val="en-US" w:eastAsia="en-US" w:bidi="en-US"/>
        </w:rPr>
        <w:t>e</w:t>
      </w:r>
      <w:proofErr w:type="gramEnd"/>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xml:space="preserve">. </w:t>
      </w:r>
      <w:proofErr w:type="gramStart"/>
      <w:r w:rsidRPr="008742E9">
        <w:rPr>
          <w:rFonts w:eastAsia="Calibri"/>
          <w:sz w:val="22"/>
          <w:szCs w:val="22"/>
          <w:lang w:val="en-US" w:eastAsia="en-US" w:bidi="en-US"/>
        </w:rPr>
        <w:t>C</w:t>
      </w:r>
      <w:r w:rsidRPr="008742E9">
        <w:rPr>
          <w:rFonts w:eastAsia="Calibri"/>
          <w:sz w:val="22"/>
          <w:szCs w:val="22"/>
          <w:lang w:eastAsia="en-US" w:bidi="en-US"/>
        </w:rPr>
        <w:t>п</w:t>
      </w:r>
      <w:r w:rsidRPr="008742E9">
        <w:rPr>
          <w:rFonts w:eastAsia="Calibri"/>
          <w:sz w:val="22"/>
          <w:szCs w:val="22"/>
          <w:lang w:val="en-US" w:eastAsia="en-US" w:bidi="en-US"/>
        </w:rPr>
        <w:t>e</w:t>
      </w:r>
      <w:r w:rsidRPr="008742E9">
        <w:rPr>
          <w:rFonts w:eastAsia="Calibri"/>
          <w:sz w:val="22"/>
          <w:szCs w:val="22"/>
          <w:lang w:eastAsia="en-US" w:bidi="en-US"/>
        </w:rPr>
        <w:t>цифич</w:t>
      </w:r>
      <w:r w:rsidRPr="008742E9">
        <w:rPr>
          <w:rFonts w:eastAsia="Calibri"/>
          <w:sz w:val="22"/>
          <w:szCs w:val="22"/>
          <w:lang w:val="en-US" w:eastAsia="en-US" w:bidi="en-US"/>
        </w:rPr>
        <w:t>ec</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я п</w:t>
      </w:r>
      <w:r w:rsidRPr="008742E9">
        <w:rPr>
          <w:rFonts w:eastAsia="Calibri"/>
          <w:sz w:val="22"/>
          <w:szCs w:val="22"/>
          <w:lang w:val="en-US" w:eastAsia="en-US" w:bidi="en-US"/>
        </w:rPr>
        <w:t>po</w:t>
      </w:r>
      <w:r w:rsidRPr="008742E9">
        <w:rPr>
          <w:rFonts w:eastAsia="Calibri"/>
          <w:sz w:val="22"/>
          <w:szCs w:val="22"/>
          <w:lang w:eastAsia="en-US" w:bidi="en-US"/>
        </w:rPr>
        <w:t>фил</w:t>
      </w:r>
      <w:r w:rsidRPr="008742E9">
        <w:rPr>
          <w:rFonts w:eastAsia="Calibri"/>
          <w:sz w:val="22"/>
          <w:szCs w:val="22"/>
          <w:lang w:val="en-US" w:eastAsia="en-US" w:bidi="en-US"/>
        </w:rPr>
        <w:t>a</w:t>
      </w:r>
      <w:r w:rsidRPr="008742E9">
        <w:rPr>
          <w:rFonts w:eastAsia="Calibri"/>
          <w:sz w:val="22"/>
          <w:szCs w:val="22"/>
          <w:lang w:eastAsia="en-US" w:bidi="en-US"/>
        </w:rPr>
        <w:t>ктик</w:t>
      </w:r>
      <w:r w:rsidRPr="008742E9">
        <w:rPr>
          <w:rFonts w:eastAsia="Calibri"/>
          <w:sz w:val="22"/>
          <w:szCs w:val="22"/>
          <w:lang w:val="en-US" w:eastAsia="en-US" w:bidi="en-US"/>
        </w:rPr>
        <w:t>a</w:t>
      </w:r>
      <w:r w:rsidRPr="008742E9">
        <w:rPr>
          <w:rFonts w:eastAsia="Calibri"/>
          <w:sz w:val="22"/>
          <w:szCs w:val="22"/>
          <w:lang w:eastAsia="en-US" w:bidi="en-US"/>
        </w:rPr>
        <w:t xml:space="preserve"> инф</w:t>
      </w:r>
      <w:r w:rsidRPr="008742E9">
        <w:rPr>
          <w:rFonts w:eastAsia="Calibri"/>
          <w:sz w:val="22"/>
          <w:szCs w:val="22"/>
          <w:lang w:val="en-US" w:eastAsia="en-US" w:bidi="en-US"/>
        </w:rPr>
        <w:t>e</w:t>
      </w:r>
      <w:r w:rsidRPr="008742E9">
        <w:rPr>
          <w:rFonts w:eastAsia="Calibri"/>
          <w:sz w:val="22"/>
          <w:szCs w:val="22"/>
          <w:lang w:eastAsia="en-US" w:bidi="en-US"/>
        </w:rPr>
        <w:t>кци</w:t>
      </w:r>
      <w:r w:rsidRPr="008742E9">
        <w:rPr>
          <w:rFonts w:eastAsia="Calibri"/>
          <w:sz w:val="22"/>
          <w:szCs w:val="22"/>
          <w:lang w:val="en-US" w:eastAsia="en-US" w:bidi="en-US"/>
        </w:rPr>
        <w:t>o</w:t>
      </w:r>
      <w:r w:rsidRPr="008742E9">
        <w:rPr>
          <w:rFonts w:eastAsia="Calibri"/>
          <w:sz w:val="22"/>
          <w:szCs w:val="22"/>
          <w:lang w:eastAsia="en-US" w:bidi="en-US"/>
        </w:rPr>
        <w:t>н</w:t>
      </w:r>
      <w:r w:rsidRPr="008742E9">
        <w:rPr>
          <w:rFonts w:eastAsia="Calibri"/>
          <w:sz w:val="22"/>
          <w:szCs w:val="22"/>
          <w:lang w:eastAsia="en-US" w:bidi="en-US"/>
        </w:rPr>
        <w:t>ных б</w:t>
      </w:r>
      <w:r w:rsidRPr="008742E9">
        <w:rPr>
          <w:rFonts w:eastAsia="Calibri"/>
          <w:sz w:val="22"/>
          <w:szCs w:val="22"/>
          <w:lang w:val="en-US" w:eastAsia="en-US" w:bidi="en-US"/>
        </w:rPr>
        <w:t>o</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зн</w:t>
      </w:r>
      <w:r w:rsidRPr="008742E9">
        <w:rPr>
          <w:rFonts w:eastAsia="Calibri"/>
          <w:sz w:val="22"/>
          <w:szCs w:val="22"/>
          <w:lang w:val="en-US" w:eastAsia="en-US" w:bidi="en-US"/>
        </w:rPr>
        <w:t>e</w:t>
      </w:r>
      <w:r w:rsidRPr="008742E9">
        <w:rPr>
          <w:rFonts w:eastAsia="Calibri"/>
          <w:sz w:val="22"/>
          <w:szCs w:val="22"/>
          <w:lang w:eastAsia="en-US" w:bidi="en-US"/>
        </w:rPr>
        <w:t>й пушных зв</w:t>
      </w:r>
      <w:r w:rsidRPr="008742E9">
        <w:rPr>
          <w:rFonts w:eastAsia="Calibri"/>
          <w:sz w:val="22"/>
          <w:szCs w:val="22"/>
          <w:lang w:val="en-US" w:eastAsia="en-US" w:bidi="en-US"/>
        </w:rPr>
        <w:t>epe</w:t>
      </w:r>
      <w:r w:rsidRPr="008742E9">
        <w:rPr>
          <w:rFonts w:eastAsia="Calibri"/>
          <w:sz w:val="22"/>
          <w:szCs w:val="22"/>
          <w:lang w:eastAsia="en-US" w:bidi="en-US"/>
        </w:rPr>
        <w:t xml:space="preserve">й / </w:t>
      </w:r>
      <w:r w:rsidRPr="008742E9">
        <w:rPr>
          <w:rFonts w:eastAsia="Calibri"/>
          <w:sz w:val="22"/>
          <w:szCs w:val="22"/>
          <w:lang w:val="en-US" w:eastAsia="en-US" w:bidi="en-US"/>
        </w:rPr>
        <w:t>A</w:t>
      </w:r>
      <w:r w:rsidRPr="008742E9">
        <w:rPr>
          <w:rFonts w:eastAsia="Calibri"/>
          <w:sz w:val="22"/>
          <w:szCs w:val="22"/>
          <w:lang w:eastAsia="en-US" w:bidi="en-US"/>
        </w:rPr>
        <w:t>.</w:t>
      </w:r>
      <w:r w:rsidRPr="008742E9">
        <w:rPr>
          <w:rFonts w:eastAsia="Calibri"/>
          <w:sz w:val="22"/>
          <w:szCs w:val="22"/>
          <w:lang w:val="en-US" w:eastAsia="en-US" w:bidi="en-US"/>
        </w:rPr>
        <w:t>A</w:t>
      </w:r>
      <w:r w:rsidRPr="008742E9">
        <w:rPr>
          <w:rFonts w:eastAsia="Calibri"/>
          <w:sz w:val="22"/>
          <w:szCs w:val="22"/>
          <w:lang w:eastAsia="en-US" w:bidi="en-US"/>
        </w:rPr>
        <w:t>.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Л.В. Ш</w:t>
      </w:r>
      <w:r w:rsidRPr="008742E9">
        <w:rPr>
          <w:rFonts w:eastAsia="Calibri"/>
          <w:sz w:val="22"/>
          <w:szCs w:val="22"/>
          <w:lang w:val="en-US" w:eastAsia="en-US" w:bidi="en-US"/>
        </w:rPr>
        <w:t>e</w:t>
      </w:r>
      <w:r w:rsidRPr="008742E9">
        <w:rPr>
          <w:rFonts w:eastAsia="Calibri"/>
          <w:sz w:val="22"/>
          <w:szCs w:val="22"/>
          <w:lang w:eastAsia="en-US" w:bidi="en-US"/>
        </w:rPr>
        <w:t>вч</w:t>
      </w:r>
      <w:r w:rsidRPr="008742E9">
        <w:rPr>
          <w:rFonts w:eastAsia="Calibri"/>
          <w:sz w:val="22"/>
          <w:szCs w:val="22"/>
          <w:lang w:val="en-US" w:eastAsia="en-US" w:bidi="en-US"/>
        </w:rPr>
        <w:t>e</w:t>
      </w:r>
      <w:r w:rsidRPr="008742E9">
        <w:rPr>
          <w:rFonts w:eastAsia="Calibri"/>
          <w:sz w:val="22"/>
          <w:szCs w:val="22"/>
          <w:lang w:eastAsia="en-US" w:bidi="en-US"/>
        </w:rPr>
        <w:t>нк</w:t>
      </w:r>
      <w:r w:rsidRPr="008742E9">
        <w:rPr>
          <w:rFonts w:eastAsia="Calibri"/>
          <w:sz w:val="22"/>
          <w:szCs w:val="22"/>
          <w:lang w:val="en-US" w:eastAsia="en-US" w:bidi="en-US"/>
        </w:rPr>
        <w:t>o</w:t>
      </w:r>
      <w:r w:rsidRPr="008742E9">
        <w:rPr>
          <w:rFonts w:eastAsia="Calibri"/>
          <w:sz w:val="22"/>
          <w:szCs w:val="22"/>
          <w:lang w:eastAsia="en-US" w:bidi="en-US"/>
        </w:rPr>
        <w:t xml:space="preserve">, </w:t>
      </w:r>
      <w:r w:rsidRPr="008742E9">
        <w:rPr>
          <w:rFonts w:eastAsia="Calibri"/>
          <w:sz w:val="22"/>
          <w:szCs w:val="22"/>
          <w:lang w:val="en-US" w:eastAsia="en-US" w:bidi="en-US"/>
        </w:rPr>
        <w:t>O</w:t>
      </w:r>
      <w:r w:rsidRPr="008742E9">
        <w:rPr>
          <w:rFonts w:eastAsia="Calibri"/>
          <w:sz w:val="22"/>
          <w:szCs w:val="22"/>
          <w:lang w:eastAsia="en-US" w:bidi="en-US"/>
        </w:rPr>
        <w:t>.Ю. Ч</w:t>
      </w:r>
      <w:r w:rsidRPr="008742E9">
        <w:rPr>
          <w:rFonts w:eastAsia="Calibri"/>
          <w:sz w:val="22"/>
          <w:szCs w:val="22"/>
          <w:lang w:val="en-US" w:eastAsia="en-US" w:bidi="en-US"/>
        </w:rPr>
        <w:t>ep</w:t>
      </w:r>
      <w:r w:rsidRPr="008742E9">
        <w:rPr>
          <w:rFonts w:eastAsia="Calibri"/>
          <w:sz w:val="22"/>
          <w:szCs w:val="22"/>
          <w:lang w:eastAsia="en-US" w:bidi="en-US"/>
        </w:rPr>
        <w:t>ных, Д.Ю. З</w:t>
      </w:r>
      <w:r w:rsidRPr="008742E9">
        <w:rPr>
          <w:rFonts w:eastAsia="Calibri"/>
          <w:sz w:val="22"/>
          <w:szCs w:val="22"/>
          <w:lang w:val="en-US" w:eastAsia="en-US" w:bidi="en-US"/>
        </w:rPr>
        <w:t>ep</w:t>
      </w:r>
      <w:r w:rsidRPr="008742E9">
        <w:rPr>
          <w:rFonts w:eastAsia="Calibri"/>
          <w:sz w:val="22"/>
          <w:szCs w:val="22"/>
          <w:lang w:eastAsia="en-US" w:bidi="en-US"/>
        </w:rPr>
        <w:t>к</w:t>
      </w:r>
      <w:r w:rsidRPr="008742E9">
        <w:rPr>
          <w:rFonts w:eastAsia="Calibri"/>
          <w:sz w:val="22"/>
          <w:szCs w:val="22"/>
          <w:lang w:val="en-US" w:eastAsia="en-US" w:bidi="en-US"/>
        </w:rPr>
        <w:t>a</w:t>
      </w:r>
      <w:r w:rsidRPr="008742E9">
        <w:rPr>
          <w:rFonts w:eastAsia="Calibri"/>
          <w:sz w:val="22"/>
          <w:szCs w:val="22"/>
          <w:lang w:eastAsia="en-US" w:bidi="en-US"/>
        </w:rPr>
        <w:t>л</w:t>
      </w:r>
      <w:r w:rsidRPr="008742E9">
        <w:rPr>
          <w:rFonts w:eastAsia="Calibri"/>
          <w:sz w:val="22"/>
          <w:szCs w:val="22"/>
          <w:lang w:val="en-US" w:eastAsia="en-US" w:bidi="en-US"/>
        </w:rPr>
        <w:t>e</w:t>
      </w:r>
      <w:r w:rsidRPr="008742E9">
        <w:rPr>
          <w:rFonts w:eastAsia="Calibri"/>
          <w:sz w:val="22"/>
          <w:szCs w:val="22"/>
          <w:lang w:eastAsia="en-US" w:bidi="en-US"/>
        </w:rPr>
        <w:t>в / В</w:t>
      </w:r>
      <w:r w:rsidRPr="008742E9">
        <w:rPr>
          <w:rFonts w:eastAsia="Calibri"/>
          <w:sz w:val="22"/>
          <w:szCs w:val="22"/>
          <w:lang w:val="en-US" w:eastAsia="en-US" w:bidi="en-US"/>
        </w:rPr>
        <w:t>ec</w:t>
      </w:r>
      <w:r w:rsidRPr="008742E9">
        <w:rPr>
          <w:rFonts w:eastAsia="Calibri"/>
          <w:sz w:val="22"/>
          <w:szCs w:val="22"/>
          <w:lang w:eastAsia="en-US" w:bidi="en-US"/>
        </w:rPr>
        <w:t>тник в</w:t>
      </w:r>
      <w:r w:rsidRPr="008742E9">
        <w:rPr>
          <w:rFonts w:eastAsia="Calibri"/>
          <w:sz w:val="22"/>
          <w:szCs w:val="22"/>
          <w:lang w:val="en-US" w:eastAsia="en-US" w:bidi="en-US"/>
        </w:rPr>
        <w:t>e</w:t>
      </w:r>
      <w:r w:rsidRPr="008742E9">
        <w:rPr>
          <w:rFonts w:eastAsia="Calibri"/>
          <w:sz w:val="22"/>
          <w:szCs w:val="22"/>
          <w:lang w:eastAsia="en-US" w:bidi="en-US"/>
        </w:rPr>
        <w:t>т</w:t>
      </w:r>
      <w:r w:rsidRPr="008742E9">
        <w:rPr>
          <w:rFonts w:eastAsia="Calibri"/>
          <w:sz w:val="22"/>
          <w:szCs w:val="22"/>
          <w:lang w:val="en-US" w:eastAsia="en-US" w:bidi="en-US"/>
        </w:rPr>
        <w:t>ep</w:t>
      </w:r>
      <w:r w:rsidRPr="008742E9">
        <w:rPr>
          <w:rFonts w:eastAsia="Calibri"/>
          <w:sz w:val="22"/>
          <w:szCs w:val="22"/>
          <w:lang w:eastAsia="en-US" w:bidi="en-US"/>
        </w:rPr>
        <w:t>ин</w:t>
      </w:r>
      <w:r w:rsidRPr="008742E9">
        <w:rPr>
          <w:rFonts w:eastAsia="Calibri"/>
          <w:sz w:val="22"/>
          <w:szCs w:val="22"/>
          <w:lang w:val="en-US" w:eastAsia="en-US" w:bidi="en-US"/>
        </w:rPr>
        <w:t>ap</w:t>
      </w:r>
      <w:r w:rsidRPr="008742E9">
        <w:rPr>
          <w:rFonts w:eastAsia="Calibri"/>
          <w:sz w:val="22"/>
          <w:szCs w:val="22"/>
          <w:lang w:eastAsia="en-US" w:bidi="en-US"/>
        </w:rPr>
        <w:t>ии, 2007 № 1-2 (40-41).</w:t>
      </w:r>
      <w:proofErr w:type="gramEnd"/>
      <w:r w:rsidRPr="008742E9">
        <w:rPr>
          <w:rFonts w:eastAsia="Calibri"/>
          <w:sz w:val="22"/>
          <w:szCs w:val="22"/>
          <w:lang w:eastAsia="en-US" w:bidi="en-US"/>
        </w:rPr>
        <w:t xml:space="preserve"> – </w:t>
      </w:r>
      <w:r w:rsidRPr="008742E9">
        <w:rPr>
          <w:rFonts w:eastAsia="Calibri"/>
          <w:sz w:val="22"/>
          <w:szCs w:val="22"/>
          <w:lang w:val="en-US" w:eastAsia="en-US" w:bidi="en-US"/>
        </w:rPr>
        <w:t>C</w:t>
      </w:r>
      <w:r w:rsidRPr="008742E9">
        <w:rPr>
          <w:rFonts w:eastAsia="Calibri"/>
          <w:sz w:val="22"/>
          <w:szCs w:val="22"/>
          <w:lang w:eastAsia="en-US" w:bidi="en-US"/>
        </w:rPr>
        <w:t>. 144-148.</w:t>
      </w:r>
    </w:p>
    <w:p w:rsidR="00384DE6" w:rsidRDefault="00384DE6" w:rsidP="00667E25">
      <w:pPr>
        <w:shd w:val="clear" w:color="auto" w:fill="FFFFFF"/>
        <w:outlineLvl w:val="0"/>
        <w:rPr>
          <w:color w:val="000000"/>
          <w:kern w:val="36"/>
          <w:sz w:val="22"/>
          <w:szCs w:val="22"/>
        </w:rPr>
      </w:pPr>
    </w:p>
    <w:p w:rsidR="00384DE6" w:rsidRDefault="00384DE6" w:rsidP="00667E25">
      <w:pPr>
        <w:shd w:val="clear" w:color="auto" w:fill="FFFFFF"/>
        <w:outlineLvl w:val="0"/>
        <w:rPr>
          <w:color w:val="000000"/>
          <w:kern w:val="36"/>
          <w:sz w:val="22"/>
          <w:szCs w:val="22"/>
        </w:rPr>
      </w:pPr>
    </w:p>
    <w:p w:rsidR="00384DE6" w:rsidRDefault="00384DE6" w:rsidP="00667E25">
      <w:pPr>
        <w:shd w:val="clear" w:color="auto" w:fill="FFFFFF"/>
        <w:outlineLvl w:val="0"/>
        <w:rPr>
          <w:color w:val="000000"/>
          <w:kern w:val="36"/>
          <w:sz w:val="22"/>
          <w:szCs w:val="22"/>
        </w:rPr>
      </w:pPr>
    </w:p>
    <w:p w:rsidR="008742E9" w:rsidRDefault="008742E9" w:rsidP="00667E25">
      <w:pPr>
        <w:shd w:val="clear" w:color="auto" w:fill="FFFFFF"/>
        <w:outlineLvl w:val="0"/>
        <w:rPr>
          <w:color w:val="000000"/>
          <w:kern w:val="36"/>
          <w:sz w:val="22"/>
          <w:szCs w:val="22"/>
        </w:rPr>
      </w:pPr>
      <w:r w:rsidRPr="008742E9">
        <w:rPr>
          <w:color w:val="000000"/>
          <w:kern w:val="36"/>
          <w:sz w:val="22"/>
          <w:szCs w:val="22"/>
        </w:rPr>
        <w:t>УДК 636.8.045</w:t>
      </w:r>
    </w:p>
    <w:p w:rsidR="00667E25" w:rsidRPr="008742E9" w:rsidRDefault="00667E25" w:rsidP="00667E25">
      <w:pPr>
        <w:shd w:val="clear" w:color="auto" w:fill="FFFFFF"/>
        <w:outlineLvl w:val="0"/>
        <w:rPr>
          <w:color w:val="000000"/>
          <w:kern w:val="36"/>
          <w:sz w:val="22"/>
          <w:szCs w:val="22"/>
        </w:rPr>
      </w:pPr>
    </w:p>
    <w:p w:rsidR="008742E9" w:rsidRPr="008742E9" w:rsidRDefault="008742E9" w:rsidP="00667E25">
      <w:pPr>
        <w:shd w:val="clear" w:color="auto" w:fill="FFFFFF"/>
        <w:jc w:val="center"/>
        <w:outlineLvl w:val="0"/>
        <w:rPr>
          <w:b/>
          <w:color w:val="000000"/>
          <w:kern w:val="36"/>
          <w:sz w:val="24"/>
          <w:szCs w:val="24"/>
        </w:rPr>
      </w:pPr>
      <w:r w:rsidRPr="008742E9">
        <w:rPr>
          <w:b/>
          <w:color w:val="000000"/>
          <w:kern w:val="36"/>
          <w:sz w:val="24"/>
          <w:szCs w:val="24"/>
        </w:rPr>
        <w:t xml:space="preserve">Опыт лечения отодектоза кошек в </w:t>
      </w:r>
      <w:r w:rsidR="00667E25">
        <w:rPr>
          <w:b/>
          <w:color w:val="000000"/>
          <w:kern w:val="36"/>
          <w:sz w:val="24"/>
          <w:szCs w:val="24"/>
        </w:rPr>
        <w:br/>
      </w:r>
      <w:r w:rsidRPr="008742E9">
        <w:rPr>
          <w:b/>
          <w:color w:val="000000"/>
          <w:kern w:val="36"/>
          <w:sz w:val="24"/>
          <w:szCs w:val="24"/>
        </w:rPr>
        <w:t>городе Приморско-Ахта</w:t>
      </w:r>
      <w:proofErr w:type="gramStart"/>
      <w:r w:rsidRPr="008742E9">
        <w:rPr>
          <w:b/>
          <w:color w:val="000000"/>
          <w:kern w:val="36"/>
          <w:sz w:val="24"/>
          <w:szCs w:val="24"/>
        </w:rPr>
        <w:t>рск Кр</w:t>
      </w:r>
      <w:proofErr w:type="gramEnd"/>
      <w:r w:rsidRPr="008742E9">
        <w:rPr>
          <w:b/>
          <w:color w:val="000000"/>
          <w:kern w:val="36"/>
          <w:sz w:val="24"/>
          <w:szCs w:val="24"/>
        </w:rPr>
        <w:t>аснодарского края</w:t>
      </w:r>
    </w:p>
    <w:p w:rsidR="008742E9" w:rsidRPr="00024398" w:rsidRDefault="008742E9" w:rsidP="00667E25">
      <w:pPr>
        <w:shd w:val="clear" w:color="auto" w:fill="FFFFFF"/>
        <w:jc w:val="center"/>
        <w:outlineLvl w:val="0"/>
        <w:rPr>
          <w:b/>
          <w:color w:val="000000"/>
          <w:sz w:val="24"/>
          <w:szCs w:val="24"/>
          <w:shd w:val="clear" w:color="auto" w:fill="FFFFFF"/>
          <w:lang w:val="en-US"/>
        </w:rPr>
      </w:pPr>
      <w:r w:rsidRPr="008742E9">
        <w:rPr>
          <w:b/>
          <w:color w:val="000000"/>
          <w:sz w:val="24"/>
          <w:szCs w:val="24"/>
          <w:shd w:val="clear" w:color="auto" w:fill="FFFFFF"/>
          <w:lang w:val="en-US"/>
        </w:rPr>
        <w:t>Experience</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in</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the</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treatment</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of</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otodectes</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cats</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in</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the</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town</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of</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Primorsko</w:t>
      </w:r>
      <w:r w:rsidRPr="00024398">
        <w:rPr>
          <w:b/>
          <w:color w:val="000000"/>
          <w:sz w:val="24"/>
          <w:szCs w:val="24"/>
          <w:shd w:val="clear" w:color="auto" w:fill="FFFFFF"/>
          <w:lang w:val="en-US"/>
        </w:rPr>
        <w:t>-</w:t>
      </w:r>
      <w:r w:rsidRPr="008742E9">
        <w:rPr>
          <w:b/>
          <w:color w:val="000000"/>
          <w:sz w:val="24"/>
          <w:szCs w:val="24"/>
          <w:shd w:val="clear" w:color="auto" w:fill="FFFFFF"/>
          <w:lang w:val="en-US"/>
        </w:rPr>
        <w:t>Akhtarsk</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Krasnodar</w:t>
      </w:r>
      <w:r w:rsidRPr="00024398">
        <w:rPr>
          <w:b/>
          <w:color w:val="000000"/>
          <w:sz w:val="24"/>
          <w:szCs w:val="24"/>
          <w:shd w:val="clear" w:color="auto" w:fill="FFFFFF"/>
          <w:lang w:val="en-US"/>
        </w:rPr>
        <w:t xml:space="preserve"> </w:t>
      </w:r>
      <w:r w:rsidRPr="008742E9">
        <w:rPr>
          <w:b/>
          <w:color w:val="000000"/>
          <w:sz w:val="24"/>
          <w:szCs w:val="24"/>
          <w:shd w:val="clear" w:color="auto" w:fill="FFFFFF"/>
          <w:lang w:val="en-US"/>
        </w:rPr>
        <w:t>Krai</w:t>
      </w:r>
    </w:p>
    <w:p w:rsidR="00667E25" w:rsidRPr="00024398" w:rsidRDefault="00667E25" w:rsidP="00667E25">
      <w:pPr>
        <w:shd w:val="clear" w:color="auto" w:fill="FFFFFF"/>
        <w:jc w:val="center"/>
        <w:outlineLvl w:val="0"/>
        <w:rPr>
          <w:b/>
          <w:color w:val="000000"/>
          <w:sz w:val="24"/>
          <w:szCs w:val="24"/>
          <w:shd w:val="clear" w:color="auto" w:fill="FFFFFF"/>
          <w:lang w:val="en-US"/>
        </w:rPr>
      </w:pPr>
    </w:p>
    <w:p w:rsidR="008742E9" w:rsidRPr="008742E9" w:rsidRDefault="008742E9" w:rsidP="008742E9">
      <w:pPr>
        <w:shd w:val="clear" w:color="auto" w:fill="FFFFFF"/>
        <w:jc w:val="right"/>
        <w:rPr>
          <w:color w:val="000000"/>
          <w:sz w:val="22"/>
          <w:szCs w:val="22"/>
        </w:rPr>
      </w:pPr>
      <w:r w:rsidRPr="008742E9">
        <w:rPr>
          <w:color w:val="000000"/>
          <w:sz w:val="22"/>
          <w:szCs w:val="22"/>
        </w:rPr>
        <w:t>Катеров В.</w:t>
      </w:r>
      <w:r w:rsidR="00667E25">
        <w:rPr>
          <w:color w:val="000000"/>
          <w:sz w:val="22"/>
          <w:szCs w:val="22"/>
        </w:rPr>
        <w:t xml:space="preserve"> </w:t>
      </w:r>
      <w:r w:rsidRPr="008742E9">
        <w:rPr>
          <w:color w:val="000000"/>
          <w:sz w:val="22"/>
          <w:szCs w:val="22"/>
        </w:rPr>
        <w:t>П.,</w:t>
      </w:r>
    </w:p>
    <w:p w:rsidR="008742E9" w:rsidRPr="008742E9" w:rsidRDefault="008742E9" w:rsidP="008742E9">
      <w:pPr>
        <w:shd w:val="clear" w:color="auto" w:fill="FFFFFF"/>
        <w:jc w:val="right"/>
        <w:rPr>
          <w:color w:val="000000"/>
          <w:sz w:val="22"/>
          <w:szCs w:val="22"/>
        </w:rPr>
      </w:pPr>
      <w:r w:rsidRPr="008742E9">
        <w:rPr>
          <w:color w:val="000000"/>
          <w:sz w:val="22"/>
          <w:szCs w:val="22"/>
        </w:rPr>
        <w:t>студент 5-го курса факультета</w:t>
      </w:r>
    </w:p>
    <w:p w:rsidR="008742E9" w:rsidRPr="008742E9" w:rsidRDefault="008742E9" w:rsidP="008742E9">
      <w:pPr>
        <w:shd w:val="clear" w:color="auto" w:fill="FFFFFF"/>
        <w:jc w:val="right"/>
        <w:rPr>
          <w:color w:val="000000"/>
          <w:sz w:val="22"/>
          <w:szCs w:val="22"/>
        </w:rPr>
      </w:pPr>
      <w:r w:rsidRPr="008742E9">
        <w:rPr>
          <w:color w:val="000000"/>
          <w:sz w:val="22"/>
          <w:szCs w:val="22"/>
        </w:rPr>
        <w:t xml:space="preserve"> ветеринарной медицины</w:t>
      </w:r>
    </w:p>
    <w:p w:rsidR="008742E9" w:rsidRPr="008742E9" w:rsidRDefault="008742E9" w:rsidP="008742E9">
      <w:pPr>
        <w:shd w:val="clear" w:color="auto" w:fill="FFFFFF"/>
        <w:jc w:val="right"/>
        <w:rPr>
          <w:color w:val="000000"/>
          <w:sz w:val="22"/>
          <w:szCs w:val="22"/>
        </w:rPr>
      </w:pPr>
      <w:r w:rsidRPr="008742E9">
        <w:rPr>
          <w:color w:val="000000"/>
          <w:sz w:val="22"/>
          <w:szCs w:val="22"/>
        </w:rPr>
        <w:t>Катаева Т.</w:t>
      </w:r>
      <w:r w:rsidR="00667E25">
        <w:rPr>
          <w:color w:val="000000"/>
          <w:sz w:val="22"/>
          <w:szCs w:val="22"/>
        </w:rPr>
        <w:t xml:space="preserve"> </w:t>
      </w:r>
      <w:r w:rsidRPr="008742E9">
        <w:rPr>
          <w:color w:val="000000"/>
          <w:sz w:val="22"/>
          <w:szCs w:val="22"/>
        </w:rPr>
        <w:t>С.,</w:t>
      </w:r>
    </w:p>
    <w:p w:rsidR="008742E9" w:rsidRPr="008742E9" w:rsidRDefault="008742E9" w:rsidP="008742E9">
      <w:pPr>
        <w:shd w:val="clear" w:color="auto" w:fill="FFFFFF"/>
        <w:jc w:val="right"/>
        <w:rPr>
          <w:color w:val="000000"/>
          <w:sz w:val="22"/>
          <w:szCs w:val="22"/>
        </w:rPr>
      </w:pPr>
      <w:r w:rsidRPr="008742E9">
        <w:rPr>
          <w:color w:val="000000"/>
          <w:sz w:val="22"/>
          <w:szCs w:val="22"/>
        </w:rPr>
        <w:t>профессор кафедры паразитологии,</w:t>
      </w:r>
    </w:p>
    <w:p w:rsidR="008742E9" w:rsidRPr="008742E9" w:rsidRDefault="008742E9" w:rsidP="008742E9">
      <w:pPr>
        <w:shd w:val="clear" w:color="auto" w:fill="FFFFFF"/>
        <w:jc w:val="right"/>
        <w:rPr>
          <w:color w:val="000000"/>
          <w:sz w:val="22"/>
          <w:szCs w:val="22"/>
        </w:rPr>
      </w:pPr>
      <w:r w:rsidRPr="008742E9">
        <w:rPr>
          <w:color w:val="000000"/>
          <w:sz w:val="22"/>
          <w:szCs w:val="22"/>
        </w:rPr>
        <w:t>ветсанэкспертизы и зоогигиены</w:t>
      </w:r>
    </w:p>
    <w:p w:rsidR="008742E9" w:rsidRPr="008742E9" w:rsidRDefault="008742E9" w:rsidP="008742E9">
      <w:pPr>
        <w:shd w:val="clear" w:color="auto" w:fill="FFFFFF"/>
        <w:jc w:val="right"/>
        <w:rPr>
          <w:color w:val="000000"/>
          <w:sz w:val="22"/>
          <w:szCs w:val="22"/>
        </w:rPr>
      </w:pPr>
      <w:r w:rsidRPr="008742E9">
        <w:rPr>
          <w:color w:val="000000"/>
          <w:sz w:val="22"/>
          <w:szCs w:val="22"/>
        </w:rPr>
        <w:t>Кубанский государственный агр</w:t>
      </w:r>
      <w:r w:rsidR="00667E25">
        <w:rPr>
          <w:color w:val="000000"/>
          <w:sz w:val="22"/>
          <w:szCs w:val="22"/>
        </w:rPr>
        <w:t>арный</w:t>
      </w:r>
    </w:p>
    <w:p w:rsidR="008742E9" w:rsidRPr="008742E9" w:rsidRDefault="008742E9" w:rsidP="008742E9">
      <w:pPr>
        <w:shd w:val="clear" w:color="auto" w:fill="FFFFFF"/>
        <w:jc w:val="right"/>
        <w:rPr>
          <w:color w:val="000000"/>
          <w:sz w:val="22"/>
          <w:szCs w:val="22"/>
        </w:rPr>
      </w:pPr>
      <w:r w:rsidRPr="008742E9">
        <w:rPr>
          <w:color w:val="000000"/>
          <w:sz w:val="22"/>
          <w:szCs w:val="22"/>
        </w:rPr>
        <w:t>у</w:t>
      </w:r>
      <w:r w:rsidR="00667E25">
        <w:rPr>
          <w:color w:val="000000"/>
          <w:sz w:val="22"/>
          <w:szCs w:val="22"/>
        </w:rPr>
        <w:t>ниверситет имени И. Т. Трубилина</w:t>
      </w:r>
    </w:p>
    <w:p w:rsidR="008742E9" w:rsidRPr="008742E9" w:rsidRDefault="008742E9" w:rsidP="008742E9">
      <w:pPr>
        <w:shd w:val="clear" w:color="auto" w:fill="FFFFFF"/>
        <w:jc w:val="right"/>
        <w:rPr>
          <w:color w:val="000000"/>
          <w:sz w:val="22"/>
          <w:szCs w:val="22"/>
        </w:rPr>
      </w:pPr>
    </w:p>
    <w:p w:rsidR="008742E9" w:rsidRPr="008742E9" w:rsidRDefault="008742E9" w:rsidP="00667E25">
      <w:pPr>
        <w:shd w:val="clear" w:color="auto" w:fill="FFFFFF"/>
        <w:ind w:firstLine="426"/>
        <w:jc w:val="both"/>
        <w:rPr>
          <w:color w:val="000000"/>
          <w:sz w:val="22"/>
          <w:szCs w:val="22"/>
          <w:lang w:val="en-US"/>
        </w:rPr>
      </w:pPr>
      <w:r w:rsidRPr="008742E9">
        <w:rPr>
          <w:color w:val="000000"/>
          <w:sz w:val="22"/>
          <w:szCs w:val="22"/>
        </w:rPr>
        <w:t>АННОТАЦИЯ: Изучена этиология отодектоза. Изучены сим</w:t>
      </w:r>
      <w:r w:rsidRPr="008742E9">
        <w:rPr>
          <w:color w:val="000000"/>
          <w:sz w:val="22"/>
          <w:szCs w:val="22"/>
        </w:rPr>
        <w:t>п</w:t>
      </w:r>
      <w:r w:rsidRPr="008742E9">
        <w:rPr>
          <w:color w:val="000000"/>
          <w:sz w:val="22"/>
          <w:szCs w:val="22"/>
        </w:rPr>
        <w:t>томы отодектоза на разных этапах развития болезни. Отработаны</w:t>
      </w:r>
      <w:r w:rsidRPr="008742E9">
        <w:rPr>
          <w:color w:val="000000"/>
          <w:sz w:val="22"/>
          <w:szCs w:val="22"/>
          <w:lang w:val="en-US"/>
        </w:rPr>
        <w:t xml:space="preserve"> </w:t>
      </w:r>
      <w:r w:rsidRPr="008742E9">
        <w:rPr>
          <w:color w:val="000000"/>
          <w:sz w:val="22"/>
          <w:szCs w:val="22"/>
        </w:rPr>
        <w:t>схемы</w:t>
      </w:r>
      <w:r w:rsidRPr="008742E9">
        <w:rPr>
          <w:color w:val="000000"/>
          <w:sz w:val="22"/>
          <w:szCs w:val="22"/>
          <w:lang w:val="en-US"/>
        </w:rPr>
        <w:t xml:space="preserve"> </w:t>
      </w:r>
      <w:r w:rsidRPr="008742E9">
        <w:rPr>
          <w:color w:val="000000"/>
          <w:sz w:val="22"/>
          <w:szCs w:val="22"/>
        </w:rPr>
        <w:t>лечения</w:t>
      </w:r>
      <w:r w:rsidRPr="008742E9">
        <w:rPr>
          <w:color w:val="000000"/>
          <w:sz w:val="22"/>
          <w:szCs w:val="22"/>
          <w:lang w:val="en-US"/>
        </w:rPr>
        <w:t xml:space="preserve"> </w:t>
      </w:r>
      <w:r w:rsidRPr="008742E9">
        <w:rPr>
          <w:color w:val="000000"/>
          <w:sz w:val="22"/>
          <w:szCs w:val="22"/>
        </w:rPr>
        <w:t>различными</w:t>
      </w:r>
      <w:r w:rsidRPr="008742E9">
        <w:rPr>
          <w:color w:val="000000"/>
          <w:sz w:val="22"/>
          <w:szCs w:val="22"/>
          <w:lang w:val="en-US"/>
        </w:rPr>
        <w:t xml:space="preserve"> </w:t>
      </w:r>
      <w:r w:rsidRPr="008742E9">
        <w:rPr>
          <w:color w:val="000000"/>
          <w:sz w:val="22"/>
          <w:szCs w:val="22"/>
        </w:rPr>
        <w:t>препаратами</w:t>
      </w:r>
      <w:r w:rsidRPr="008742E9">
        <w:rPr>
          <w:color w:val="000000"/>
          <w:sz w:val="22"/>
          <w:szCs w:val="22"/>
          <w:lang w:val="en-US"/>
        </w:rPr>
        <w:t>.</w:t>
      </w:r>
    </w:p>
    <w:p w:rsidR="008742E9" w:rsidRPr="008742E9" w:rsidRDefault="008742E9" w:rsidP="00667E25">
      <w:pPr>
        <w:shd w:val="clear" w:color="auto" w:fill="FFFFFF"/>
        <w:ind w:firstLine="426"/>
        <w:jc w:val="both"/>
        <w:rPr>
          <w:color w:val="000000"/>
          <w:sz w:val="22"/>
          <w:szCs w:val="22"/>
          <w:lang w:val="en-US"/>
        </w:rPr>
      </w:pPr>
      <w:r w:rsidRPr="008742E9">
        <w:rPr>
          <w:color w:val="000000"/>
          <w:sz w:val="22"/>
          <w:szCs w:val="22"/>
          <w:lang w:val="en-US"/>
        </w:rPr>
        <w:t>ABSTRACT: The etiology of odeotectosis has been studied. The symptoms of otodectosis at different stages of the disease development are studied. Schemes of treatment with various drugs have been worked out.</w:t>
      </w:r>
    </w:p>
    <w:p w:rsidR="008742E9" w:rsidRPr="008742E9" w:rsidRDefault="008742E9" w:rsidP="00667E25">
      <w:pPr>
        <w:shd w:val="clear" w:color="auto" w:fill="FFFFFF"/>
        <w:ind w:firstLine="426"/>
        <w:jc w:val="both"/>
        <w:rPr>
          <w:color w:val="000000"/>
          <w:sz w:val="22"/>
          <w:szCs w:val="22"/>
        </w:rPr>
      </w:pPr>
      <w:r w:rsidRPr="008742E9">
        <w:rPr>
          <w:color w:val="000000"/>
          <w:sz w:val="22"/>
          <w:szCs w:val="22"/>
        </w:rPr>
        <w:t>КЛЮЧЕВЫЕ СЛОВА: отодектоз, животные, форма лека</w:t>
      </w:r>
      <w:r w:rsidRPr="008742E9">
        <w:rPr>
          <w:color w:val="000000"/>
          <w:sz w:val="22"/>
          <w:szCs w:val="22"/>
        </w:rPr>
        <w:t>р</w:t>
      </w:r>
      <w:r w:rsidRPr="008742E9">
        <w:rPr>
          <w:color w:val="000000"/>
          <w:sz w:val="22"/>
          <w:szCs w:val="22"/>
        </w:rPr>
        <w:t>ственного препарата, гигиена, санация, лечение.</w:t>
      </w:r>
    </w:p>
    <w:p w:rsidR="008742E9" w:rsidRPr="008742E9" w:rsidRDefault="008742E9" w:rsidP="00667E25">
      <w:pPr>
        <w:shd w:val="clear" w:color="auto" w:fill="FFFFFF"/>
        <w:ind w:firstLine="426"/>
        <w:jc w:val="both"/>
        <w:rPr>
          <w:color w:val="000000"/>
          <w:sz w:val="22"/>
          <w:szCs w:val="22"/>
          <w:lang w:val="en-US"/>
        </w:rPr>
      </w:pPr>
      <w:r w:rsidRPr="008742E9">
        <w:rPr>
          <w:color w:val="000000"/>
          <w:sz w:val="22"/>
          <w:szCs w:val="22"/>
          <w:lang w:val="en-US"/>
        </w:rPr>
        <w:t>KEY WORDS: otodectosis, animals, form of medicinal product, hygiene, sonation, treatment.</w:t>
      </w:r>
    </w:p>
    <w:p w:rsidR="008742E9" w:rsidRPr="008742E9" w:rsidRDefault="008742E9" w:rsidP="00667E25">
      <w:pPr>
        <w:ind w:firstLine="426"/>
        <w:jc w:val="both"/>
        <w:rPr>
          <w:color w:val="000000"/>
          <w:sz w:val="22"/>
          <w:szCs w:val="22"/>
          <w:lang w:val="en-US"/>
        </w:rPr>
      </w:pPr>
    </w:p>
    <w:p w:rsidR="008742E9" w:rsidRPr="008742E9" w:rsidRDefault="008742E9" w:rsidP="00667E25">
      <w:pPr>
        <w:ind w:firstLine="426"/>
        <w:jc w:val="both"/>
        <w:rPr>
          <w:color w:val="000000"/>
          <w:sz w:val="22"/>
          <w:szCs w:val="22"/>
          <w:lang w:val="en-US"/>
        </w:rPr>
      </w:pPr>
      <w:r w:rsidRPr="008742E9">
        <w:rPr>
          <w:color w:val="000000"/>
          <w:sz w:val="22"/>
          <w:szCs w:val="22"/>
        </w:rPr>
        <w:t>Отодектоз</w:t>
      </w:r>
      <w:r w:rsidR="00667E25">
        <w:rPr>
          <w:color w:val="000000"/>
          <w:sz w:val="22"/>
          <w:szCs w:val="22"/>
          <w:lang w:val="en-US"/>
        </w:rPr>
        <w:t xml:space="preserve"> - </w:t>
      </w:r>
      <w:r w:rsidRPr="008742E9">
        <w:rPr>
          <w:color w:val="000000"/>
          <w:sz w:val="22"/>
          <w:szCs w:val="22"/>
        </w:rPr>
        <w:t>инфест</w:t>
      </w:r>
      <w:proofErr w:type="gramStart"/>
      <w:r w:rsidRPr="008742E9">
        <w:rPr>
          <w:color w:val="000000"/>
          <w:sz w:val="22"/>
          <w:szCs w:val="22"/>
          <w:lang w:val="en-US"/>
        </w:rPr>
        <w:t>a</w:t>
      </w:r>
      <w:proofErr w:type="gramEnd"/>
      <w:r w:rsidRPr="008742E9">
        <w:rPr>
          <w:color w:val="000000"/>
          <w:sz w:val="22"/>
          <w:szCs w:val="22"/>
        </w:rPr>
        <w:t>ционное</w:t>
      </w:r>
      <w:r w:rsidRPr="008742E9">
        <w:rPr>
          <w:color w:val="000000"/>
          <w:sz w:val="22"/>
          <w:szCs w:val="22"/>
          <w:lang w:val="en-US"/>
        </w:rPr>
        <w:t xml:space="preserve"> </w:t>
      </w:r>
      <w:r w:rsidRPr="008742E9">
        <w:rPr>
          <w:color w:val="000000"/>
          <w:sz w:val="22"/>
          <w:szCs w:val="22"/>
        </w:rPr>
        <w:t>заболевание</w:t>
      </w:r>
      <w:r w:rsidRPr="008742E9">
        <w:rPr>
          <w:color w:val="000000"/>
          <w:sz w:val="22"/>
          <w:szCs w:val="22"/>
          <w:lang w:val="en-US"/>
        </w:rPr>
        <w:t xml:space="preserve"> </w:t>
      </w:r>
      <w:r w:rsidRPr="008742E9">
        <w:rPr>
          <w:color w:val="000000"/>
          <w:sz w:val="22"/>
          <w:szCs w:val="22"/>
        </w:rPr>
        <w:t>плотоядных</w:t>
      </w:r>
      <w:r w:rsidRPr="008742E9">
        <w:rPr>
          <w:color w:val="000000"/>
          <w:sz w:val="22"/>
          <w:szCs w:val="22"/>
          <w:lang w:val="en-US"/>
        </w:rPr>
        <w:t xml:space="preserve">, </w:t>
      </w:r>
      <w:r w:rsidRPr="008742E9">
        <w:rPr>
          <w:color w:val="000000"/>
          <w:sz w:val="22"/>
          <w:szCs w:val="22"/>
        </w:rPr>
        <w:t>вызва</w:t>
      </w:r>
      <w:r w:rsidRPr="008742E9">
        <w:rPr>
          <w:color w:val="000000"/>
          <w:sz w:val="22"/>
          <w:szCs w:val="22"/>
        </w:rPr>
        <w:t>н</w:t>
      </w:r>
      <w:r w:rsidRPr="008742E9">
        <w:rPr>
          <w:color w:val="000000"/>
          <w:sz w:val="22"/>
          <w:szCs w:val="22"/>
        </w:rPr>
        <w:t>ное</w:t>
      </w:r>
      <w:r w:rsidRPr="008742E9">
        <w:rPr>
          <w:color w:val="000000"/>
          <w:sz w:val="22"/>
          <w:szCs w:val="22"/>
          <w:lang w:val="en-US"/>
        </w:rPr>
        <w:t xml:space="preserve"> </w:t>
      </w:r>
      <w:r w:rsidRPr="008742E9">
        <w:rPr>
          <w:color w:val="000000"/>
          <w:sz w:val="22"/>
          <w:szCs w:val="22"/>
        </w:rPr>
        <w:t>п</w:t>
      </w:r>
      <w:r w:rsidRPr="008742E9">
        <w:rPr>
          <w:color w:val="000000"/>
          <w:sz w:val="22"/>
          <w:szCs w:val="22"/>
          <w:lang w:val="en-US"/>
        </w:rPr>
        <w:t>a</w:t>
      </w:r>
      <w:r w:rsidRPr="008742E9">
        <w:rPr>
          <w:color w:val="000000"/>
          <w:sz w:val="22"/>
          <w:szCs w:val="22"/>
        </w:rPr>
        <w:t>р</w:t>
      </w:r>
      <w:r w:rsidRPr="008742E9">
        <w:rPr>
          <w:color w:val="000000"/>
          <w:sz w:val="22"/>
          <w:szCs w:val="22"/>
          <w:lang w:val="en-US"/>
        </w:rPr>
        <w:t>a</w:t>
      </w:r>
      <w:r w:rsidRPr="008742E9">
        <w:rPr>
          <w:color w:val="000000"/>
          <w:sz w:val="22"/>
          <w:szCs w:val="22"/>
        </w:rPr>
        <w:t>зитиров</w:t>
      </w:r>
      <w:r w:rsidRPr="008742E9">
        <w:rPr>
          <w:color w:val="000000"/>
          <w:sz w:val="22"/>
          <w:szCs w:val="22"/>
          <w:lang w:val="en-US"/>
        </w:rPr>
        <w:t>a</w:t>
      </w:r>
      <w:r w:rsidRPr="008742E9">
        <w:rPr>
          <w:color w:val="000000"/>
          <w:sz w:val="22"/>
          <w:szCs w:val="22"/>
        </w:rPr>
        <w:t>нием</w:t>
      </w:r>
      <w:r w:rsidRPr="008742E9">
        <w:rPr>
          <w:color w:val="000000"/>
          <w:sz w:val="22"/>
          <w:szCs w:val="22"/>
          <w:lang w:val="en-US"/>
        </w:rPr>
        <w:t xml:space="preserve"> </w:t>
      </w:r>
      <w:r w:rsidRPr="008742E9">
        <w:rPr>
          <w:color w:val="000000"/>
          <w:sz w:val="22"/>
          <w:szCs w:val="22"/>
        </w:rPr>
        <w:t>в</w:t>
      </w:r>
      <w:r w:rsidRPr="008742E9">
        <w:rPr>
          <w:color w:val="000000"/>
          <w:sz w:val="22"/>
          <w:szCs w:val="22"/>
          <w:lang w:val="en-US"/>
        </w:rPr>
        <w:t xml:space="preserve"> </w:t>
      </w:r>
      <w:r w:rsidRPr="008742E9">
        <w:rPr>
          <w:color w:val="000000"/>
          <w:sz w:val="22"/>
          <w:szCs w:val="22"/>
        </w:rPr>
        <w:t>ушной</w:t>
      </w:r>
      <w:r w:rsidRPr="008742E9">
        <w:rPr>
          <w:color w:val="000000"/>
          <w:sz w:val="22"/>
          <w:szCs w:val="22"/>
          <w:lang w:val="en-US"/>
        </w:rPr>
        <w:t xml:space="preserve"> </w:t>
      </w:r>
      <w:r w:rsidRPr="008742E9">
        <w:rPr>
          <w:color w:val="000000"/>
          <w:sz w:val="22"/>
          <w:szCs w:val="22"/>
        </w:rPr>
        <w:t>р</w:t>
      </w:r>
      <w:r w:rsidRPr="008742E9">
        <w:rPr>
          <w:color w:val="000000"/>
          <w:sz w:val="22"/>
          <w:szCs w:val="22"/>
          <w:lang w:val="en-US"/>
        </w:rPr>
        <w:t>a</w:t>
      </w:r>
      <w:r w:rsidRPr="008742E9">
        <w:rPr>
          <w:color w:val="000000"/>
          <w:sz w:val="22"/>
          <w:szCs w:val="22"/>
        </w:rPr>
        <w:t>ковине</w:t>
      </w:r>
      <w:r w:rsidRPr="008742E9">
        <w:rPr>
          <w:color w:val="000000"/>
          <w:sz w:val="22"/>
          <w:szCs w:val="22"/>
          <w:lang w:val="en-US"/>
        </w:rPr>
        <w:t xml:space="preserve"> </w:t>
      </w:r>
      <w:r w:rsidRPr="008742E9">
        <w:rPr>
          <w:color w:val="000000"/>
          <w:sz w:val="22"/>
          <w:szCs w:val="22"/>
        </w:rPr>
        <w:t>и</w:t>
      </w:r>
      <w:r w:rsidRPr="008742E9">
        <w:rPr>
          <w:color w:val="000000"/>
          <w:sz w:val="22"/>
          <w:szCs w:val="22"/>
          <w:lang w:val="en-US"/>
        </w:rPr>
        <w:t xml:space="preserve"> </w:t>
      </w:r>
      <w:r w:rsidRPr="008742E9">
        <w:rPr>
          <w:color w:val="000000"/>
          <w:sz w:val="22"/>
          <w:szCs w:val="22"/>
        </w:rPr>
        <w:t>н</w:t>
      </w:r>
      <w:r w:rsidRPr="008742E9">
        <w:rPr>
          <w:color w:val="000000"/>
          <w:sz w:val="22"/>
          <w:szCs w:val="22"/>
          <w:lang w:val="en-US"/>
        </w:rPr>
        <w:t>a</w:t>
      </w:r>
      <w:r w:rsidRPr="008742E9">
        <w:rPr>
          <w:color w:val="000000"/>
          <w:sz w:val="22"/>
          <w:szCs w:val="22"/>
        </w:rPr>
        <w:t>ружном</w:t>
      </w:r>
      <w:r w:rsidRPr="008742E9">
        <w:rPr>
          <w:color w:val="000000"/>
          <w:sz w:val="22"/>
          <w:szCs w:val="22"/>
          <w:lang w:val="en-US"/>
        </w:rPr>
        <w:t xml:space="preserve"> </w:t>
      </w:r>
      <w:r w:rsidRPr="008742E9">
        <w:rPr>
          <w:color w:val="000000"/>
          <w:sz w:val="22"/>
          <w:szCs w:val="22"/>
        </w:rPr>
        <w:t>слуховом</w:t>
      </w:r>
      <w:r w:rsidRPr="008742E9">
        <w:rPr>
          <w:color w:val="000000"/>
          <w:sz w:val="22"/>
          <w:szCs w:val="22"/>
          <w:lang w:val="en-US"/>
        </w:rPr>
        <w:t xml:space="preserve"> </w:t>
      </w:r>
      <w:r w:rsidRPr="008742E9">
        <w:rPr>
          <w:color w:val="000000"/>
          <w:sz w:val="22"/>
          <w:szCs w:val="22"/>
        </w:rPr>
        <w:lastRenderedPageBreak/>
        <w:t>проходе</w:t>
      </w:r>
      <w:r w:rsidRPr="008742E9">
        <w:rPr>
          <w:color w:val="000000"/>
          <w:sz w:val="22"/>
          <w:szCs w:val="22"/>
          <w:lang w:val="en-US"/>
        </w:rPr>
        <w:t xml:space="preserve"> </w:t>
      </w:r>
      <w:r w:rsidRPr="008742E9">
        <w:rPr>
          <w:color w:val="000000"/>
          <w:sz w:val="22"/>
          <w:szCs w:val="22"/>
        </w:rPr>
        <w:t>клещей</w:t>
      </w:r>
      <w:r w:rsidRPr="008742E9">
        <w:rPr>
          <w:color w:val="000000"/>
          <w:sz w:val="22"/>
          <w:szCs w:val="22"/>
          <w:lang w:val="en-US"/>
        </w:rPr>
        <w:t xml:space="preserve"> </w:t>
      </w:r>
      <w:r w:rsidRPr="008742E9">
        <w:rPr>
          <w:color w:val="000000"/>
          <w:sz w:val="22"/>
          <w:szCs w:val="22"/>
        </w:rPr>
        <w:t>рода</w:t>
      </w:r>
      <w:r w:rsidRPr="008742E9">
        <w:rPr>
          <w:color w:val="000000"/>
          <w:sz w:val="22"/>
          <w:szCs w:val="22"/>
          <w:lang w:val="en-US"/>
        </w:rPr>
        <w:t xml:space="preserve"> </w:t>
      </w:r>
      <w:r w:rsidRPr="008742E9">
        <w:rPr>
          <w:color w:val="000000"/>
          <w:sz w:val="22"/>
          <w:szCs w:val="22"/>
          <w:shd w:val="clear" w:color="auto" w:fill="FFFFFF"/>
          <w:lang w:val="en-US"/>
        </w:rPr>
        <w:t>Otodectes</w:t>
      </w:r>
      <w:r w:rsidRPr="008742E9">
        <w:rPr>
          <w:color w:val="000000"/>
          <w:sz w:val="22"/>
          <w:szCs w:val="22"/>
          <w:lang w:val="en-US"/>
        </w:rPr>
        <w:t xml:space="preserve"> (</w:t>
      </w:r>
      <w:r w:rsidRPr="008742E9">
        <w:rPr>
          <w:color w:val="000000"/>
          <w:sz w:val="22"/>
          <w:szCs w:val="22"/>
        </w:rPr>
        <w:t>вид</w:t>
      </w:r>
      <w:r w:rsidRPr="008742E9">
        <w:rPr>
          <w:color w:val="000000"/>
          <w:sz w:val="22"/>
          <w:szCs w:val="22"/>
          <w:lang w:val="en-US"/>
        </w:rPr>
        <w:t xml:space="preserve"> </w:t>
      </w:r>
      <w:r w:rsidRPr="008742E9">
        <w:rPr>
          <w:color w:val="000000"/>
          <w:sz w:val="22"/>
          <w:szCs w:val="22"/>
        </w:rPr>
        <w:t>О</w:t>
      </w:r>
      <w:r w:rsidRPr="008742E9">
        <w:rPr>
          <w:color w:val="000000"/>
          <w:sz w:val="22"/>
          <w:szCs w:val="22"/>
          <w:lang w:val="en-US"/>
        </w:rPr>
        <w:t xml:space="preserve">todectes cynotis canis – </w:t>
      </w:r>
      <w:r w:rsidRPr="008742E9">
        <w:rPr>
          <w:color w:val="000000"/>
          <w:sz w:val="22"/>
          <w:szCs w:val="22"/>
        </w:rPr>
        <w:t>у</w:t>
      </w:r>
      <w:r w:rsidRPr="008742E9">
        <w:rPr>
          <w:color w:val="000000"/>
          <w:sz w:val="22"/>
          <w:szCs w:val="22"/>
          <w:lang w:val="en-US"/>
        </w:rPr>
        <w:t xml:space="preserve"> </w:t>
      </w:r>
      <w:r w:rsidRPr="008742E9">
        <w:rPr>
          <w:color w:val="000000"/>
          <w:sz w:val="22"/>
          <w:szCs w:val="22"/>
        </w:rPr>
        <w:t>собак</w:t>
      </w:r>
      <w:r w:rsidRPr="008742E9">
        <w:rPr>
          <w:color w:val="000000"/>
          <w:sz w:val="22"/>
          <w:szCs w:val="22"/>
          <w:lang w:val="en-US"/>
        </w:rPr>
        <w:t xml:space="preserve">,  O. cynotis cati – </w:t>
      </w:r>
      <w:r w:rsidRPr="008742E9">
        <w:rPr>
          <w:color w:val="000000"/>
          <w:sz w:val="22"/>
          <w:szCs w:val="22"/>
        </w:rPr>
        <w:t>у</w:t>
      </w:r>
      <w:r w:rsidRPr="008742E9">
        <w:rPr>
          <w:color w:val="000000"/>
          <w:sz w:val="22"/>
          <w:szCs w:val="22"/>
          <w:lang w:val="en-US"/>
        </w:rPr>
        <w:t xml:space="preserve"> </w:t>
      </w:r>
      <w:r w:rsidRPr="008742E9">
        <w:rPr>
          <w:color w:val="000000"/>
          <w:sz w:val="22"/>
          <w:szCs w:val="22"/>
        </w:rPr>
        <w:t>кошек</w:t>
      </w:r>
      <w:r w:rsidRPr="008742E9">
        <w:rPr>
          <w:color w:val="000000"/>
          <w:sz w:val="22"/>
          <w:szCs w:val="22"/>
          <w:lang w:val="en-US"/>
        </w:rPr>
        <w:t xml:space="preserve">), </w:t>
      </w:r>
      <w:r w:rsidRPr="008742E9">
        <w:rPr>
          <w:color w:val="000000"/>
          <w:sz w:val="22"/>
          <w:szCs w:val="22"/>
        </w:rPr>
        <w:t>семейств</w:t>
      </w:r>
      <w:r w:rsidRPr="008742E9">
        <w:rPr>
          <w:color w:val="000000"/>
          <w:sz w:val="22"/>
          <w:szCs w:val="22"/>
          <w:lang w:val="en-US"/>
        </w:rPr>
        <w:t>a Psoroptide [3].</w:t>
      </w:r>
    </w:p>
    <w:p w:rsidR="008742E9" w:rsidRPr="008742E9" w:rsidRDefault="008742E9" w:rsidP="00667E25">
      <w:pPr>
        <w:ind w:firstLine="426"/>
        <w:jc w:val="both"/>
        <w:rPr>
          <w:color w:val="000000"/>
          <w:sz w:val="22"/>
          <w:szCs w:val="22"/>
        </w:rPr>
      </w:pPr>
      <w:r w:rsidRPr="008742E9">
        <w:rPr>
          <w:color w:val="000000"/>
          <w:sz w:val="22"/>
          <w:szCs w:val="22"/>
        </w:rPr>
        <w:t>Отодектоз среди животных на территории города Приморско-Ахтарск регистрируется круглый год, так как не имеет сезонности, занимает около 30% от всех случаев заболевания кошек другими болезнями различной этиологии. Следовательно, необходимо обр</w:t>
      </w:r>
      <w:r w:rsidRPr="008742E9">
        <w:rPr>
          <w:color w:val="000000"/>
          <w:sz w:val="22"/>
          <w:szCs w:val="22"/>
        </w:rPr>
        <w:t>а</w:t>
      </w:r>
      <w:r w:rsidRPr="008742E9">
        <w:rPr>
          <w:color w:val="000000"/>
          <w:sz w:val="22"/>
          <w:szCs w:val="22"/>
        </w:rPr>
        <w:t>тить внимание на своевременное, правильное и комплексное леч</w:t>
      </w:r>
      <w:r w:rsidRPr="008742E9">
        <w:rPr>
          <w:color w:val="000000"/>
          <w:sz w:val="22"/>
          <w:szCs w:val="22"/>
        </w:rPr>
        <w:t>е</w:t>
      </w:r>
      <w:r w:rsidRPr="008742E9">
        <w:rPr>
          <w:color w:val="000000"/>
          <w:sz w:val="22"/>
          <w:szCs w:val="22"/>
        </w:rPr>
        <w:t>ние данного заболевания.</w:t>
      </w:r>
    </w:p>
    <w:p w:rsidR="008742E9" w:rsidRPr="008742E9" w:rsidRDefault="008742E9" w:rsidP="00667E25">
      <w:pPr>
        <w:ind w:firstLine="426"/>
        <w:jc w:val="both"/>
        <w:rPr>
          <w:color w:val="000000"/>
          <w:sz w:val="22"/>
          <w:szCs w:val="22"/>
        </w:rPr>
      </w:pPr>
      <w:r w:rsidRPr="008742E9">
        <w:rPr>
          <w:color w:val="000000"/>
          <w:sz w:val="22"/>
          <w:szCs w:val="22"/>
        </w:rPr>
        <w:t xml:space="preserve">У больных животных клещи </w:t>
      </w:r>
      <w:proofErr w:type="gramStart"/>
      <w:r w:rsidRPr="008742E9">
        <w:rPr>
          <w:color w:val="000000"/>
          <w:sz w:val="22"/>
          <w:szCs w:val="22"/>
        </w:rPr>
        <w:t>О</w:t>
      </w:r>
      <w:proofErr w:type="gramEnd"/>
      <w:r w:rsidRPr="008742E9">
        <w:rPr>
          <w:color w:val="000000"/>
          <w:sz w:val="22"/>
          <w:szCs w:val="22"/>
          <w:lang w:val="en-US"/>
        </w:rPr>
        <w:t>todectes</w:t>
      </w:r>
      <w:r w:rsidRPr="008742E9">
        <w:rPr>
          <w:color w:val="000000"/>
          <w:sz w:val="22"/>
          <w:szCs w:val="22"/>
        </w:rPr>
        <w:t xml:space="preserve"> </w:t>
      </w:r>
      <w:r w:rsidRPr="008742E9">
        <w:rPr>
          <w:color w:val="000000"/>
          <w:sz w:val="22"/>
          <w:szCs w:val="22"/>
          <w:lang w:val="en-US"/>
        </w:rPr>
        <w:t>cynotis</w:t>
      </w:r>
      <w:r w:rsidRPr="008742E9">
        <w:rPr>
          <w:color w:val="000000"/>
          <w:sz w:val="22"/>
          <w:szCs w:val="22"/>
        </w:rPr>
        <w:t xml:space="preserve"> поселяются на коже внутренней поверхности ушной раковины, в наружном слух</w:t>
      </w:r>
      <w:r w:rsidRPr="008742E9">
        <w:rPr>
          <w:color w:val="000000"/>
          <w:sz w:val="22"/>
          <w:szCs w:val="22"/>
        </w:rPr>
        <w:t>о</w:t>
      </w:r>
      <w:r w:rsidRPr="008742E9">
        <w:rPr>
          <w:color w:val="000000"/>
          <w:sz w:val="22"/>
          <w:szCs w:val="22"/>
        </w:rPr>
        <w:t>вом проходе и на барабанной перепонке, травмируют кожу, а пр</w:t>
      </w:r>
      <w:r w:rsidRPr="008742E9">
        <w:rPr>
          <w:color w:val="000000"/>
          <w:sz w:val="22"/>
          <w:szCs w:val="22"/>
        </w:rPr>
        <w:t>о</w:t>
      </w:r>
      <w:r w:rsidRPr="008742E9">
        <w:rPr>
          <w:color w:val="000000"/>
          <w:sz w:val="22"/>
          <w:szCs w:val="22"/>
        </w:rPr>
        <w:t>дукты их жизнедеятельности вызывают сильное раздражение око</w:t>
      </w:r>
      <w:r w:rsidRPr="008742E9">
        <w:rPr>
          <w:color w:val="000000"/>
          <w:sz w:val="22"/>
          <w:szCs w:val="22"/>
        </w:rPr>
        <w:t>н</w:t>
      </w:r>
      <w:r w:rsidRPr="008742E9">
        <w:rPr>
          <w:color w:val="000000"/>
          <w:sz w:val="22"/>
          <w:szCs w:val="22"/>
        </w:rPr>
        <w:t>чаний нервов, следствием чего является сильный зуд. В местах п</w:t>
      </w:r>
      <w:r w:rsidRPr="008742E9">
        <w:rPr>
          <w:color w:val="000000"/>
          <w:sz w:val="22"/>
          <w:szCs w:val="22"/>
        </w:rPr>
        <w:t>а</w:t>
      </w:r>
      <w:r w:rsidRPr="008742E9">
        <w:rPr>
          <w:color w:val="000000"/>
          <w:sz w:val="22"/>
          <w:szCs w:val="22"/>
        </w:rPr>
        <w:t>разитирования клещей возникает гиперемия, сопровождающаяся отечностью кожи с последующим выпотеванием экссудата, кот</w:t>
      </w:r>
      <w:r w:rsidRPr="008742E9">
        <w:rPr>
          <w:color w:val="000000"/>
          <w:sz w:val="22"/>
          <w:szCs w:val="22"/>
        </w:rPr>
        <w:t>о</w:t>
      </w:r>
      <w:r w:rsidRPr="008742E9">
        <w:rPr>
          <w:color w:val="000000"/>
          <w:sz w:val="22"/>
          <w:szCs w:val="22"/>
        </w:rPr>
        <w:t>рый, смешиваясь с отмершим эпидермисом, секретом сальных ж</w:t>
      </w:r>
      <w:r w:rsidRPr="008742E9">
        <w:rPr>
          <w:color w:val="000000"/>
          <w:sz w:val="22"/>
          <w:szCs w:val="22"/>
        </w:rPr>
        <w:t>е</w:t>
      </w:r>
      <w:r w:rsidRPr="008742E9">
        <w:rPr>
          <w:color w:val="000000"/>
          <w:sz w:val="22"/>
          <w:szCs w:val="22"/>
        </w:rPr>
        <w:t>лез, а так же продуктами выделения клеща, подсыхает, формируя в ушной раковине темно-коричневые струпья. В пораженные участки кожи внедряется секундарная микрофлора (чаще всего стафилоко</w:t>
      </w:r>
      <w:r w:rsidRPr="008742E9">
        <w:rPr>
          <w:color w:val="000000"/>
          <w:sz w:val="22"/>
          <w:szCs w:val="22"/>
        </w:rPr>
        <w:t>к</w:t>
      </w:r>
      <w:r w:rsidRPr="008742E9">
        <w:rPr>
          <w:color w:val="000000"/>
          <w:sz w:val="22"/>
          <w:szCs w:val="22"/>
        </w:rPr>
        <w:t>ки), эти микроорганизмы очень быстро размножаются при пораж</w:t>
      </w:r>
      <w:r w:rsidRPr="008742E9">
        <w:rPr>
          <w:color w:val="000000"/>
          <w:sz w:val="22"/>
          <w:szCs w:val="22"/>
        </w:rPr>
        <w:t>е</w:t>
      </w:r>
      <w:r w:rsidRPr="008742E9">
        <w:rPr>
          <w:color w:val="000000"/>
          <w:sz w:val="22"/>
          <w:szCs w:val="22"/>
        </w:rPr>
        <w:t>нии слухового прохода либо при изменении микроклимата в ухе, усугубляющая процесс в ушной раковине [1].</w:t>
      </w:r>
    </w:p>
    <w:p w:rsidR="008742E9" w:rsidRPr="008742E9" w:rsidRDefault="008742E9" w:rsidP="00667E25">
      <w:pPr>
        <w:ind w:firstLine="426"/>
        <w:jc w:val="both"/>
        <w:rPr>
          <w:color w:val="000000"/>
          <w:sz w:val="22"/>
          <w:szCs w:val="22"/>
        </w:rPr>
      </w:pPr>
      <w:r w:rsidRPr="008742E9">
        <w:rPr>
          <w:color w:val="000000"/>
          <w:sz w:val="22"/>
          <w:szCs w:val="22"/>
        </w:rPr>
        <w:t>Целью нашей работы являлось изучение эпизоотической сит</w:t>
      </w:r>
      <w:r w:rsidRPr="008742E9">
        <w:rPr>
          <w:color w:val="000000"/>
          <w:sz w:val="22"/>
          <w:szCs w:val="22"/>
        </w:rPr>
        <w:t>у</w:t>
      </w:r>
      <w:r w:rsidRPr="008742E9">
        <w:rPr>
          <w:color w:val="000000"/>
          <w:sz w:val="22"/>
          <w:szCs w:val="22"/>
        </w:rPr>
        <w:t>ации по отодектозу плотоядных в городе Приморско-Ахт</w:t>
      </w:r>
      <w:proofErr w:type="gramStart"/>
      <w:r w:rsidRPr="008742E9">
        <w:rPr>
          <w:color w:val="000000"/>
          <w:sz w:val="22"/>
          <w:szCs w:val="22"/>
        </w:rPr>
        <w:t>a</w:t>
      </w:r>
      <w:proofErr w:type="gramEnd"/>
      <w:r w:rsidRPr="008742E9">
        <w:rPr>
          <w:color w:val="000000"/>
          <w:sz w:val="22"/>
          <w:szCs w:val="22"/>
        </w:rPr>
        <w:t>рск, вл</w:t>
      </w:r>
      <w:r w:rsidRPr="008742E9">
        <w:rPr>
          <w:color w:val="000000"/>
          <w:sz w:val="22"/>
          <w:szCs w:val="22"/>
        </w:rPr>
        <w:t>и</w:t>
      </w:r>
      <w:r w:rsidRPr="008742E9">
        <w:rPr>
          <w:color w:val="000000"/>
          <w:sz w:val="22"/>
          <w:szCs w:val="22"/>
        </w:rPr>
        <w:t>яние различных лекарственных форм на организм животного, ра</w:t>
      </w:r>
      <w:r w:rsidRPr="008742E9">
        <w:rPr>
          <w:color w:val="000000"/>
          <w:sz w:val="22"/>
          <w:szCs w:val="22"/>
        </w:rPr>
        <w:t>з</w:t>
      </w:r>
      <w:r w:rsidRPr="008742E9">
        <w:rPr>
          <w:color w:val="000000"/>
          <w:sz w:val="22"/>
          <w:szCs w:val="22"/>
        </w:rPr>
        <w:t>работка оптимальных схем лечения кошек.</w:t>
      </w:r>
    </w:p>
    <w:p w:rsidR="008742E9" w:rsidRPr="008742E9" w:rsidRDefault="008742E9" w:rsidP="00667E25">
      <w:pPr>
        <w:ind w:firstLine="426"/>
        <w:jc w:val="both"/>
        <w:rPr>
          <w:color w:val="000000"/>
          <w:sz w:val="22"/>
          <w:szCs w:val="22"/>
        </w:rPr>
      </w:pPr>
      <w:r w:rsidRPr="008742E9">
        <w:rPr>
          <w:color w:val="000000"/>
          <w:sz w:val="22"/>
          <w:szCs w:val="22"/>
        </w:rPr>
        <w:t>Обследованию и дальнейшему лечению нами было подвергн</w:t>
      </w:r>
      <w:r w:rsidRPr="008742E9">
        <w:rPr>
          <w:color w:val="000000"/>
          <w:sz w:val="22"/>
          <w:szCs w:val="22"/>
        </w:rPr>
        <w:t>у</w:t>
      </w:r>
      <w:r w:rsidRPr="008742E9">
        <w:rPr>
          <w:color w:val="000000"/>
          <w:sz w:val="22"/>
          <w:szCs w:val="22"/>
        </w:rPr>
        <w:t>то 12 кошек, где наблюдались следующие клинические признаки: беспокойство, расчесы в области уха, наклон головы в бок, наличие нетипичного содержимого в ухе. Для подтверждения диагноза бр</w:t>
      </w:r>
      <w:r w:rsidRPr="008742E9">
        <w:rPr>
          <w:color w:val="000000"/>
          <w:sz w:val="22"/>
          <w:szCs w:val="22"/>
        </w:rPr>
        <w:t>а</w:t>
      </w:r>
      <w:r w:rsidRPr="008742E9">
        <w:rPr>
          <w:color w:val="000000"/>
          <w:sz w:val="22"/>
          <w:szCs w:val="22"/>
        </w:rPr>
        <w:t xml:space="preserve">ли соскобы на наличие ушного клеща </w:t>
      </w:r>
      <w:proofErr w:type="gramStart"/>
      <w:r w:rsidRPr="008742E9">
        <w:rPr>
          <w:color w:val="000000"/>
          <w:sz w:val="22"/>
          <w:szCs w:val="22"/>
        </w:rPr>
        <w:t>О</w:t>
      </w:r>
      <w:proofErr w:type="gramEnd"/>
      <w:r w:rsidRPr="008742E9">
        <w:rPr>
          <w:color w:val="000000"/>
          <w:sz w:val="22"/>
          <w:szCs w:val="22"/>
          <w:lang w:val="en-US"/>
        </w:rPr>
        <w:t>todectes</w:t>
      </w:r>
      <w:r w:rsidRPr="008742E9">
        <w:rPr>
          <w:color w:val="000000"/>
          <w:sz w:val="22"/>
          <w:szCs w:val="22"/>
        </w:rPr>
        <w:t xml:space="preserve"> </w:t>
      </w:r>
      <w:r w:rsidRPr="008742E9">
        <w:rPr>
          <w:color w:val="000000"/>
          <w:sz w:val="22"/>
          <w:szCs w:val="22"/>
          <w:lang w:val="en-US"/>
        </w:rPr>
        <w:t>cynotis</w:t>
      </w:r>
      <w:r w:rsidRPr="008742E9">
        <w:rPr>
          <w:color w:val="000000"/>
          <w:sz w:val="22"/>
          <w:szCs w:val="22"/>
        </w:rPr>
        <w:t xml:space="preserve"> [3]. Живо</w:t>
      </w:r>
      <w:r w:rsidRPr="008742E9">
        <w:rPr>
          <w:color w:val="000000"/>
          <w:sz w:val="22"/>
          <w:szCs w:val="22"/>
        </w:rPr>
        <w:t>т</w:t>
      </w:r>
      <w:r w:rsidRPr="008742E9">
        <w:rPr>
          <w:color w:val="000000"/>
          <w:sz w:val="22"/>
          <w:szCs w:val="22"/>
        </w:rPr>
        <w:t>ных осматривали периодически с интервалом в 1-3 дня. Группы формировали по 4 животных по методу пар-аналогов.</w:t>
      </w:r>
    </w:p>
    <w:p w:rsidR="008742E9" w:rsidRPr="008742E9" w:rsidRDefault="008742E9" w:rsidP="00667E25">
      <w:pPr>
        <w:ind w:firstLine="426"/>
        <w:jc w:val="both"/>
        <w:rPr>
          <w:color w:val="000000"/>
          <w:sz w:val="22"/>
          <w:szCs w:val="22"/>
        </w:rPr>
      </w:pPr>
      <w:r w:rsidRPr="008742E9">
        <w:rPr>
          <w:color w:val="000000"/>
          <w:sz w:val="22"/>
          <w:szCs w:val="22"/>
        </w:rPr>
        <w:t xml:space="preserve">В первой подопытной группе использовали очищающий лосьон </w:t>
      </w:r>
      <w:r w:rsidRPr="008742E9">
        <w:rPr>
          <w:color w:val="000000"/>
          <w:sz w:val="22"/>
          <w:szCs w:val="22"/>
          <w:lang w:val="en-US"/>
        </w:rPr>
        <w:t>Otodine</w:t>
      </w:r>
      <w:r w:rsidRPr="008742E9">
        <w:rPr>
          <w:color w:val="000000"/>
          <w:sz w:val="22"/>
          <w:szCs w:val="22"/>
        </w:rPr>
        <w:t>. В качестве лечебного препарата использовали Ивермек, который вводили по 2 мг/кг массы тела подкожно в области холки. После проведенного лечения улучшение общего состояния, отсу</w:t>
      </w:r>
      <w:r w:rsidRPr="008742E9">
        <w:rPr>
          <w:color w:val="000000"/>
          <w:sz w:val="22"/>
          <w:szCs w:val="22"/>
        </w:rPr>
        <w:t>т</w:t>
      </w:r>
      <w:r w:rsidRPr="008742E9">
        <w:rPr>
          <w:color w:val="000000"/>
          <w:sz w:val="22"/>
          <w:szCs w:val="22"/>
        </w:rPr>
        <w:t xml:space="preserve">ствие зуда и повышение активности у животных наступило на 5-6 </w:t>
      </w:r>
      <w:r w:rsidRPr="008742E9">
        <w:rPr>
          <w:color w:val="000000"/>
          <w:sz w:val="22"/>
          <w:szCs w:val="22"/>
        </w:rPr>
        <w:lastRenderedPageBreak/>
        <w:t>сутки. Аппетит нормализовался на второй-третий день у всех ж</w:t>
      </w:r>
      <w:r w:rsidRPr="008742E9">
        <w:rPr>
          <w:color w:val="000000"/>
          <w:sz w:val="22"/>
          <w:szCs w:val="22"/>
        </w:rPr>
        <w:t>и</w:t>
      </w:r>
      <w:r w:rsidRPr="008742E9">
        <w:rPr>
          <w:color w:val="000000"/>
          <w:sz w:val="22"/>
          <w:szCs w:val="22"/>
        </w:rPr>
        <w:t>вотных, и сохранялся на протяжении всего лечения. В ушных рак</w:t>
      </w:r>
      <w:r w:rsidRPr="008742E9">
        <w:rPr>
          <w:color w:val="000000"/>
          <w:sz w:val="22"/>
          <w:szCs w:val="22"/>
        </w:rPr>
        <w:t>о</w:t>
      </w:r>
      <w:r w:rsidRPr="008742E9">
        <w:rPr>
          <w:color w:val="000000"/>
          <w:sz w:val="22"/>
          <w:szCs w:val="22"/>
        </w:rPr>
        <w:t>винах корочки отсутствовали, выделение ушной серы слегка пов</w:t>
      </w:r>
      <w:r w:rsidRPr="008742E9">
        <w:rPr>
          <w:color w:val="000000"/>
          <w:sz w:val="22"/>
          <w:szCs w:val="22"/>
        </w:rPr>
        <w:t>ы</w:t>
      </w:r>
      <w:r w:rsidRPr="008742E9">
        <w:rPr>
          <w:color w:val="000000"/>
          <w:sz w:val="22"/>
          <w:szCs w:val="22"/>
        </w:rPr>
        <w:t xml:space="preserve">шено. Повторная обработка ивермеком проводилась на 7 сутки. Нормализация выработки ушной серы наступила на 8-10 день. На 30-ый день в соскобе клещей рода </w:t>
      </w:r>
      <w:r w:rsidRPr="008742E9">
        <w:rPr>
          <w:color w:val="000000"/>
          <w:sz w:val="22"/>
          <w:szCs w:val="22"/>
          <w:shd w:val="clear" w:color="auto" w:fill="FFFFFF"/>
          <w:lang w:val="en-US"/>
        </w:rPr>
        <w:t>Otodectes</w:t>
      </w:r>
      <w:r w:rsidRPr="008742E9">
        <w:rPr>
          <w:color w:val="000000"/>
          <w:sz w:val="22"/>
          <w:szCs w:val="22"/>
        </w:rPr>
        <w:t xml:space="preserve"> у всех животных не обнаружено [2].</w:t>
      </w:r>
    </w:p>
    <w:p w:rsidR="008742E9" w:rsidRPr="008742E9" w:rsidRDefault="008742E9" w:rsidP="00667E25">
      <w:pPr>
        <w:ind w:firstLine="426"/>
        <w:jc w:val="both"/>
        <w:rPr>
          <w:color w:val="000000"/>
          <w:sz w:val="22"/>
          <w:szCs w:val="22"/>
        </w:rPr>
      </w:pPr>
      <w:r w:rsidRPr="008742E9">
        <w:rPr>
          <w:color w:val="000000"/>
          <w:sz w:val="22"/>
          <w:szCs w:val="22"/>
        </w:rPr>
        <w:t>Во второй подопытной группе использовали очищающий лос</w:t>
      </w:r>
      <w:r w:rsidRPr="008742E9">
        <w:rPr>
          <w:color w:val="000000"/>
          <w:sz w:val="22"/>
          <w:szCs w:val="22"/>
        </w:rPr>
        <w:t>ь</w:t>
      </w:r>
      <w:r w:rsidRPr="008742E9">
        <w:rPr>
          <w:color w:val="000000"/>
          <w:sz w:val="22"/>
          <w:szCs w:val="22"/>
        </w:rPr>
        <w:t xml:space="preserve">он </w:t>
      </w:r>
      <w:r w:rsidRPr="008742E9">
        <w:rPr>
          <w:color w:val="000000"/>
          <w:sz w:val="22"/>
          <w:szCs w:val="22"/>
          <w:lang w:val="en-US"/>
        </w:rPr>
        <w:t>Otodine</w:t>
      </w:r>
      <w:r w:rsidRPr="008742E9">
        <w:rPr>
          <w:color w:val="000000"/>
          <w:sz w:val="22"/>
          <w:szCs w:val="22"/>
        </w:rPr>
        <w:t xml:space="preserve">. В качестве лечебного препарата использовали капли </w:t>
      </w:r>
      <w:r w:rsidRPr="008742E9">
        <w:rPr>
          <w:color w:val="000000"/>
          <w:sz w:val="22"/>
          <w:szCs w:val="22"/>
          <w:lang w:val="en-US"/>
        </w:rPr>
        <w:t>Frontline</w:t>
      </w:r>
      <w:r w:rsidRPr="008742E9">
        <w:rPr>
          <w:color w:val="000000"/>
          <w:sz w:val="22"/>
          <w:szCs w:val="22"/>
        </w:rPr>
        <w:t xml:space="preserve"> </w:t>
      </w:r>
      <w:r w:rsidRPr="008742E9">
        <w:rPr>
          <w:color w:val="000000"/>
          <w:sz w:val="22"/>
          <w:szCs w:val="22"/>
          <w:lang w:val="en-US"/>
        </w:rPr>
        <w:t>Spot</w:t>
      </w:r>
      <w:r w:rsidRPr="008742E9">
        <w:rPr>
          <w:color w:val="000000"/>
          <w:sz w:val="22"/>
          <w:szCs w:val="22"/>
        </w:rPr>
        <w:t xml:space="preserve"> </w:t>
      </w:r>
      <w:r w:rsidRPr="008742E9">
        <w:rPr>
          <w:color w:val="000000"/>
          <w:sz w:val="22"/>
          <w:szCs w:val="22"/>
          <w:lang w:val="en-US"/>
        </w:rPr>
        <w:t>On</w:t>
      </w:r>
      <w:r w:rsidRPr="008742E9">
        <w:rPr>
          <w:color w:val="000000"/>
          <w:sz w:val="22"/>
          <w:szCs w:val="22"/>
        </w:rPr>
        <w:t>, наносили 1 пипетку, однократно на кожу в о</w:t>
      </w:r>
      <w:r w:rsidRPr="008742E9">
        <w:rPr>
          <w:color w:val="000000"/>
          <w:sz w:val="22"/>
          <w:szCs w:val="22"/>
        </w:rPr>
        <w:t>б</w:t>
      </w:r>
      <w:r w:rsidRPr="008742E9">
        <w:rPr>
          <w:color w:val="000000"/>
          <w:sz w:val="22"/>
          <w:szCs w:val="22"/>
        </w:rPr>
        <w:t xml:space="preserve">ласть холки, по одной капле на ушную раковину. После применения </w:t>
      </w:r>
      <w:r w:rsidRPr="008742E9">
        <w:rPr>
          <w:color w:val="000000"/>
          <w:sz w:val="22"/>
          <w:szCs w:val="22"/>
          <w:lang w:val="en-US"/>
        </w:rPr>
        <w:t>Frontline</w:t>
      </w:r>
      <w:r w:rsidRPr="008742E9">
        <w:rPr>
          <w:color w:val="000000"/>
          <w:sz w:val="22"/>
          <w:szCs w:val="22"/>
        </w:rPr>
        <w:t xml:space="preserve"> </w:t>
      </w:r>
      <w:r w:rsidRPr="008742E9">
        <w:rPr>
          <w:color w:val="000000"/>
          <w:sz w:val="22"/>
          <w:szCs w:val="22"/>
          <w:lang w:val="en-US"/>
        </w:rPr>
        <w:t>Spot</w:t>
      </w:r>
      <w:r w:rsidRPr="008742E9">
        <w:rPr>
          <w:color w:val="000000"/>
          <w:sz w:val="22"/>
          <w:szCs w:val="22"/>
        </w:rPr>
        <w:t xml:space="preserve"> </w:t>
      </w:r>
      <w:r w:rsidRPr="008742E9">
        <w:rPr>
          <w:color w:val="000000"/>
          <w:sz w:val="22"/>
          <w:szCs w:val="22"/>
          <w:lang w:val="en-US"/>
        </w:rPr>
        <w:t>On</w:t>
      </w:r>
      <w:r w:rsidRPr="008742E9">
        <w:rPr>
          <w:color w:val="000000"/>
          <w:sz w:val="22"/>
          <w:szCs w:val="22"/>
        </w:rPr>
        <w:t>, улучшение состояния наблюдалось уже на 4-5 сутки у всех животных. На 4-5 день снизился зуд, появился аппетит и сохранялся на протяжении всего лечения. Полностью прекратился зуд на 7-8 сутки. Стабильное состояние сохранилось на протяжении всего лечения. Эффективность лечения составила 100% [1].</w:t>
      </w:r>
    </w:p>
    <w:p w:rsidR="008742E9" w:rsidRPr="008742E9" w:rsidRDefault="008742E9" w:rsidP="00667E25">
      <w:pPr>
        <w:ind w:firstLine="426"/>
        <w:jc w:val="both"/>
        <w:rPr>
          <w:color w:val="000000"/>
          <w:sz w:val="22"/>
          <w:szCs w:val="22"/>
        </w:rPr>
      </w:pPr>
      <w:proofErr w:type="gramStart"/>
      <w:r w:rsidRPr="008742E9">
        <w:rPr>
          <w:color w:val="000000"/>
          <w:sz w:val="22"/>
          <w:szCs w:val="22"/>
        </w:rPr>
        <w:t>В</w:t>
      </w:r>
      <w:proofErr w:type="gramEnd"/>
      <w:r w:rsidRPr="008742E9">
        <w:rPr>
          <w:color w:val="000000"/>
          <w:sz w:val="22"/>
          <w:szCs w:val="22"/>
        </w:rPr>
        <w:t xml:space="preserve"> </w:t>
      </w:r>
      <w:proofErr w:type="gramStart"/>
      <w:r w:rsidRPr="008742E9">
        <w:rPr>
          <w:color w:val="000000"/>
          <w:sz w:val="22"/>
          <w:szCs w:val="22"/>
        </w:rPr>
        <w:t>третей</w:t>
      </w:r>
      <w:proofErr w:type="gramEnd"/>
      <w:r w:rsidRPr="008742E9">
        <w:rPr>
          <w:color w:val="000000"/>
          <w:sz w:val="22"/>
          <w:szCs w:val="22"/>
        </w:rPr>
        <w:t xml:space="preserve"> группе использовали очищающий лосьон </w:t>
      </w:r>
      <w:r w:rsidRPr="008742E9">
        <w:rPr>
          <w:color w:val="000000"/>
          <w:sz w:val="22"/>
          <w:szCs w:val="22"/>
          <w:lang w:val="en-US"/>
        </w:rPr>
        <w:t>Otodine</w:t>
      </w:r>
      <w:r w:rsidRPr="008742E9">
        <w:rPr>
          <w:color w:val="000000"/>
          <w:sz w:val="22"/>
          <w:szCs w:val="22"/>
        </w:rPr>
        <w:t>. В качестве лечебного препарата использовали Аверсектиновую мазь, втирали в ушную раковину 2-кратно с интервалом 5-7 дней. После лечения Аверсектиновой мазью, улучшение общего состояния и уменьшение зуда наступило на 3-5 сутки. Аппетит нормализовался на 2-3 сутки. Выделение ушной серы нормализовалось на 8-9 сутки. Все животные выздоровели, эффективность составила 100% [1].</w:t>
      </w:r>
    </w:p>
    <w:p w:rsidR="008742E9" w:rsidRPr="008742E9" w:rsidRDefault="008742E9" w:rsidP="00667E25">
      <w:pPr>
        <w:widowControl w:val="0"/>
        <w:autoSpaceDE w:val="0"/>
        <w:autoSpaceDN w:val="0"/>
        <w:adjustRightInd w:val="0"/>
        <w:ind w:firstLine="426"/>
        <w:jc w:val="both"/>
        <w:rPr>
          <w:color w:val="000000"/>
          <w:sz w:val="22"/>
          <w:szCs w:val="22"/>
        </w:rPr>
      </w:pPr>
      <w:r w:rsidRPr="008742E9">
        <w:rPr>
          <w:color w:val="000000"/>
          <w:sz w:val="22"/>
          <w:szCs w:val="22"/>
        </w:rPr>
        <w:t>Таким образом, взяв во внимание полученные результаты, сч</w:t>
      </w:r>
      <w:r w:rsidRPr="008742E9">
        <w:rPr>
          <w:color w:val="000000"/>
          <w:sz w:val="22"/>
          <w:szCs w:val="22"/>
        </w:rPr>
        <w:t>и</w:t>
      </w:r>
      <w:r w:rsidRPr="008742E9">
        <w:rPr>
          <w:color w:val="000000"/>
          <w:sz w:val="22"/>
          <w:szCs w:val="22"/>
        </w:rPr>
        <w:t>таем, что лечение необходимо проводить с предварительной чис</w:t>
      </w:r>
      <w:r w:rsidRPr="008742E9">
        <w:rPr>
          <w:color w:val="000000"/>
          <w:sz w:val="22"/>
          <w:szCs w:val="22"/>
        </w:rPr>
        <w:t>т</w:t>
      </w:r>
      <w:r w:rsidRPr="008742E9">
        <w:rPr>
          <w:color w:val="000000"/>
          <w:sz w:val="22"/>
          <w:szCs w:val="22"/>
        </w:rPr>
        <w:t xml:space="preserve">кой ушной раковины и слуховых проходов с помощью лосьонов, в качестве лечебных препаратов рекомендуем использовать: раствор для инъекций Ивермек, капли </w:t>
      </w:r>
      <w:r w:rsidRPr="008742E9">
        <w:rPr>
          <w:color w:val="000000"/>
          <w:sz w:val="22"/>
          <w:szCs w:val="22"/>
          <w:lang w:val="en-US"/>
        </w:rPr>
        <w:t>Frontline</w:t>
      </w:r>
      <w:r w:rsidRPr="008742E9">
        <w:rPr>
          <w:color w:val="000000"/>
          <w:sz w:val="22"/>
          <w:szCs w:val="22"/>
        </w:rPr>
        <w:t xml:space="preserve"> </w:t>
      </w:r>
      <w:r w:rsidRPr="008742E9">
        <w:rPr>
          <w:color w:val="000000"/>
          <w:sz w:val="22"/>
          <w:szCs w:val="22"/>
          <w:lang w:val="en-US"/>
        </w:rPr>
        <w:t>Spot</w:t>
      </w:r>
      <w:r w:rsidRPr="008742E9">
        <w:rPr>
          <w:color w:val="000000"/>
          <w:sz w:val="22"/>
          <w:szCs w:val="22"/>
        </w:rPr>
        <w:t xml:space="preserve"> </w:t>
      </w:r>
      <w:r w:rsidRPr="008742E9">
        <w:rPr>
          <w:color w:val="000000"/>
          <w:sz w:val="22"/>
          <w:szCs w:val="22"/>
          <w:lang w:val="en-US"/>
        </w:rPr>
        <w:t>On</w:t>
      </w:r>
      <w:r w:rsidRPr="008742E9">
        <w:rPr>
          <w:color w:val="000000"/>
          <w:sz w:val="22"/>
          <w:szCs w:val="22"/>
        </w:rPr>
        <w:t>, Аверсектиновую мазь, которые показали в нашем опыте 100% эффективность. Для профилактики отодектоза рекомендуем не допускать контактов здоровых животных с больными, в частности, с бездомными. Сл</w:t>
      </w:r>
      <w:r w:rsidRPr="008742E9">
        <w:rPr>
          <w:color w:val="000000"/>
          <w:sz w:val="22"/>
          <w:szCs w:val="22"/>
        </w:rPr>
        <w:t>е</w:t>
      </w:r>
      <w:r w:rsidRPr="008742E9">
        <w:rPr>
          <w:color w:val="000000"/>
          <w:sz w:val="22"/>
          <w:szCs w:val="22"/>
        </w:rPr>
        <w:t>дить за гигиеной слуховых проходов, ежемесячно проводить сан</w:t>
      </w:r>
      <w:r w:rsidRPr="008742E9">
        <w:rPr>
          <w:color w:val="000000"/>
          <w:sz w:val="22"/>
          <w:szCs w:val="22"/>
        </w:rPr>
        <w:t>а</w:t>
      </w:r>
      <w:r w:rsidRPr="008742E9">
        <w:rPr>
          <w:color w:val="000000"/>
          <w:sz w:val="22"/>
          <w:szCs w:val="22"/>
        </w:rPr>
        <w:t>цию слухового канала [2].</w:t>
      </w:r>
    </w:p>
    <w:p w:rsidR="008742E9" w:rsidRPr="008742E9" w:rsidRDefault="008742E9" w:rsidP="00667E25">
      <w:pPr>
        <w:widowControl w:val="0"/>
        <w:autoSpaceDE w:val="0"/>
        <w:autoSpaceDN w:val="0"/>
        <w:adjustRightInd w:val="0"/>
        <w:ind w:firstLine="426"/>
        <w:jc w:val="both"/>
        <w:rPr>
          <w:color w:val="000000"/>
          <w:sz w:val="22"/>
          <w:szCs w:val="22"/>
        </w:rPr>
      </w:pPr>
    </w:p>
    <w:p w:rsidR="008742E9" w:rsidRPr="008742E9" w:rsidRDefault="008742E9" w:rsidP="00667E25">
      <w:pPr>
        <w:widowControl w:val="0"/>
        <w:autoSpaceDE w:val="0"/>
        <w:autoSpaceDN w:val="0"/>
        <w:adjustRightInd w:val="0"/>
        <w:ind w:firstLine="426"/>
        <w:jc w:val="center"/>
        <w:rPr>
          <w:color w:val="000000"/>
          <w:sz w:val="22"/>
          <w:szCs w:val="22"/>
        </w:rPr>
      </w:pPr>
      <w:r w:rsidRPr="008742E9">
        <w:rPr>
          <w:color w:val="000000"/>
          <w:sz w:val="22"/>
          <w:szCs w:val="22"/>
        </w:rPr>
        <w:t>Список литературы</w:t>
      </w:r>
    </w:p>
    <w:p w:rsidR="008742E9" w:rsidRPr="008742E9" w:rsidRDefault="008742E9" w:rsidP="00667E25">
      <w:pPr>
        <w:ind w:firstLine="426"/>
        <w:jc w:val="both"/>
        <w:rPr>
          <w:color w:val="000000"/>
          <w:sz w:val="22"/>
          <w:szCs w:val="22"/>
        </w:rPr>
      </w:pPr>
      <w:r w:rsidRPr="008742E9">
        <w:rPr>
          <w:color w:val="000000"/>
          <w:sz w:val="22"/>
          <w:szCs w:val="22"/>
          <w:shd w:val="clear" w:color="auto" w:fill="FFFFFF"/>
        </w:rPr>
        <w:t>1. Алтухов Н.М. Справочник ветеринарного врача / Н.М. Алт</w:t>
      </w:r>
      <w:r w:rsidRPr="008742E9">
        <w:rPr>
          <w:color w:val="000000"/>
          <w:sz w:val="22"/>
          <w:szCs w:val="22"/>
          <w:shd w:val="clear" w:color="auto" w:fill="FFFFFF"/>
        </w:rPr>
        <w:t>у</w:t>
      </w:r>
      <w:r w:rsidRPr="008742E9">
        <w:rPr>
          <w:color w:val="000000"/>
          <w:sz w:val="22"/>
          <w:szCs w:val="22"/>
          <w:shd w:val="clear" w:color="auto" w:fill="FFFFFF"/>
        </w:rPr>
        <w:t>хов, В.И. Афанасьев, Б.А. Башкиров. - М.: Колос, 1996. - 25 с.</w:t>
      </w:r>
    </w:p>
    <w:p w:rsidR="008742E9" w:rsidRPr="008742E9" w:rsidRDefault="008742E9" w:rsidP="00667E25">
      <w:pPr>
        <w:ind w:firstLine="426"/>
        <w:jc w:val="both"/>
        <w:rPr>
          <w:color w:val="000000"/>
          <w:sz w:val="22"/>
          <w:szCs w:val="22"/>
          <w:shd w:val="clear" w:color="auto" w:fill="FFFFFF"/>
        </w:rPr>
      </w:pPr>
      <w:r w:rsidRPr="008742E9">
        <w:rPr>
          <w:color w:val="000000"/>
          <w:sz w:val="22"/>
          <w:szCs w:val="22"/>
        </w:rPr>
        <w:lastRenderedPageBreak/>
        <w:t>2. Богданов</w:t>
      </w:r>
      <w:r w:rsidRPr="008742E9">
        <w:rPr>
          <w:color w:val="000000"/>
          <w:sz w:val="22"/>
          <w:szCs w:val="22"/>
          <w:shd w:val="clear" w:color="auto" w:fill="FFFFFF"/>
        </w:rPr>
        <w:t> Н.Н. Курс кожных заболеваний домашних живо</w:t>
      </w:r>
      <w:r w:rsidRPr="008742E9">
        <w:rPr>
          <w:color w:val="000000"/>
          <w:sz w:val="22"/>
          <w:szCs w:val="22"/>
          <w:shd w:val="clear" w:color="auto" w:fill="FFFFFF"/>
        </w:rPr>
        <w:t>т</w:t>
      </w:r>
      <w:r w:rsidRPr="008742E9">
        <w:rPr>
          <w:color w:val="000000"/>
          <w:sz w:val="22"/>
          <w:szCs w:val="22"/>
          <w:shd w:val="clear" w:color="auto" w:fill="FFFFFF"/>
        </w:rPr>
        <w:t>ных / Н.Н. Богданов</w:t>
      </w:r>
      <w:proofErr w:type="gramStart"/>
      <w:r w:rsidRPr="008742E9">
        <w:rPr>
          <w:color w:val="000000"/>
          <w:sz w:val="22"/>
          <w:szCs w:val="22"/>
          <w:shd w:val="clear" w:color="auto" w:fill="FFFFFF"/>
        </w:rPr>
        <w:t>.-</w:t>
      </w:r>
      <w:proofErr w:type="gramEnd"/>
      <w:r w:rsidRPr="008742E9">
        <w:rPr>
          <w:color w:val="000000"/>
          <w:sz w:val="22"/>
          <w:szCs w:val="22"/>
          <w:shd w:val="clear" w:color="auto" w:fill="FFFFFF"/>
        </w:rPr>
        <w:t xml:space="preserve">М., 1973. - 359 с.   </w:t>
      </w:r>
    </w:p>
    <w:p w:rsidR="008742E9" w:rsidRPr="008742E9" w:rsidRDefault="00667E25" w:rsidP="00667E25">
      <w:pPr>
        <w:ind w:firstLine="426"/>
        <w:jc w:val="both"/>
        <w:rPr>
          <w:color w:val="000000"/>
          <w:sz w:val="22"/>
          <w:szCs w:val="22"/>
          <w:shd w:val="clear" w:color="auto" w:fill="FFFFFF"/>
        </w:rPr>
      </w:pPr>
      <w:r>
        <w:rPr>
          <w:color w:val="000000"/>
          <w:sz w:val="22"/>
          <w:szCs w:val="22"/>
          <w:shd w:val="clear" w:color="auto" w:fill="FFFFFF"/>
        </w:rPr>
        <w:t xml:space="preserve">3. </w:t>
      </w:r>
      <w:r w:rsidR="008742E9" w:rsidRPr="008742E9">
        <w:rPr>
          <w:color w:val="000000"/>
          <w:sz w:val="22"/>
          <w:szCs w:val="22"/>
          <w:shd w:val="clear" w:color="auto" w:fill="FFFFFF"/>
        </w:rPr>
        <w:t>Ятусевич А.И. Арахноэнтомозы домашних животных и о</w:t>
      </w:r>
      <w:r w:rsidR="008742E9" w:rsidRPr="008742E9">
        <w:rPr>
          <w:color w:val="000000"/>
          <w:sz w:val="22"/>
          <w:szCs w:val="22"/>
          <w:shd w:val="clear" w:color="auto" w:fill="FFFFFF"/>
        </w:rPr>
        <w:t>д</w:t>
      </w:r>
      <w:r w:rsidR="008742E9" w:rsidRPr="008742E9">
        <w:rPr>
          <w:color w:val="000000"/>
          <w:sz w:val="22"/>
          <w:szCs w:val="22"/>
          <w:shd w:val="clear" w:color="auto" w:fill="FFFFFF"/>
        </w:rPr>
        <w:t>нокопытных: монография / А.И. Ятусевич - Витебск: ВГАВМ, 2006. – 213 с.</w:t>
      </w:r>
    </w:p>
    <w:p w:rsidR="008742E9" w:rsidRPr="008742E9" w:rsidRDefault="008742E9" w:rsidP="008742E9">
      <w:pPr>
        <w:jc w:val="both"/>
        <w:rPr>
          <w:color w:val="000000"/>
          <w:sz w:val="22"/>
          <w:szCs w:val="22"/>
          <w:shd w:val="clear" w:color="auto" w:fill="FFFFFF"/>
        </w:rPr>
      </w:pPr>
    </w:p>
    <w:p w:rsidR="00667E25" w:rsidRDefault="00667E25" w:rsidP="008742E9">
      <w:pPr>
        <w:jc w:val="both"/>
        <w:rPr>
          <w:color w:val="000000"/>
          <w:sz w:val="22"/>
          <w:szCs w:val="22"/>
          <w:shd w:val="clear" w:color="auto" w:fill="FFFFFF"/>
        </w:rPr>
      </w:pPr>
    </w:p>
    <w:p w:rsidR="00384DE6" w:rsidRPr="008742E9" w:rsidRDefault="00384DE6" w:rsidP="008742E9">
      <w:pPr>
        <w:jc w:val="both"/>
        <w:rPr>
          <w:color w:val="000000"/>
          <w:sz w:val="22"/>
          <w:szCs w:val="22"/>
          <w:shd w:val="clear" w:color="auto" w:fill="FFFFFF"/>
        </w:rPr>
      </w:pPr>
    </w:p>
    <w:p w:rsidR="008742E9" w:rsidRPr="008742E9" w:rsidRDefault="008742E9" w:rsidP="008742E9">
      <w:pPr>
        <w:jc w:val="both"/>
        <w:rPr>
          <w:rFonts w:eastAsia="Calibri"/>
          <w:sz w:val="22"/>
          <w:szCs w:val="22"/>
          <w:lang w:eastAsia="en-US"/>
        </w:rPr>
      </w:pPr>
      <w:r w:rsidRPr="008742E9">
        <w:rPr>
          <w:rFonts w:eastAsia="Calibri"/>
          <w:sz w:val="22"/>
          <w:szCs w:val="22"/>
          <w:lang w:eastAsia="en-US"/>
        </w:rPr>
        <w:t>УДК 637.07</w:t>
      </w:r>
    </w:p>
    <w:p w:rsidR="008742E9" w:rsidRPr="008742E9" w:rsidRDefault="008742E9" w:rsidP="008742E9">
      <w:pPr>
        <w:jc w:val="center"/>
        <w:rPr>
          <w:rFonts w:eastAsia="Calibri"/>
          <w:sz w:val="22"/>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Особенности ветеринарно-санитарной экспертизы</w:t>
      </w: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цельного коровьего молока</w:t>
      </w:r>
    </w:p>
    <w:p w:rsidR="008742E9" w:rsidRPr="008742E9" w:rsidRDefault="008742E9" w:rsidP="008742E9">
      <w:pPr>
        <w:jc w:val="center"/>
        <w:rPr>
          <w:rFonts w:eastAsia="Calibri"/>
          <w:b/>
          <w:sz w:val="24"/>
          <w:szCs w:val="22"/>
          <w:lang w:val="en-US" w:eastAsia="en-US"/>
        </w:rPr>
      </w:pPr>
      <w:r w:rsidRPr="008742E9">
        <w:rPr>
          <w:rFonts w:eastAsia="Calibri"/>
          <w:b/>
          <w:sz w:val="24"/>
          <w:szCs w:val="22"/>
          <w:lang w:val="en-US" w:eastAsia="en-US"/>
        </w:rPr>
        <w:t>Features of veterinary and sanitary expertise</w:t>
      </w:r>
    </w:p>
    <w:p w:rsidR="008742E9" w:rsidRPr="008742E9" w:rsidRDefault="008742E9" w:rsidP="008742E9">
      <w:pPr>
        <w:jc w:val="center"/>
        <w:rPr>
          <w:rFonts w:eastAsia="Calibri"/>
          <w:b/>
          <w:sz w:val="24"/>
          <w:szCs w:val="22"/>
          <w:lang w:val="en-US" w:eastAsia="en-US"/>
        </w:rPr>
      </w:pPr>
      <w:proofErr w:type="gramStart"/>
      <w:r w:rsidRPr="008742E9">
        <w:rPr>
          <w:rFonts w:eastAsia="Calibri"/>
          <w:b/>
          <w:sz w:val="24"/>
          <w:szCs w:val="22"/>
          <w:lang w:val="en-US" w:eastAsia="en-US"/>
        </w:rPr>
        <w:t>whole</w:t>
      </w:r>
      <w:proofErr w:type="gramEnd"/>
      <w:r w:rsidRPr="008742E9">
        <w:rPr>
          <w:rFonts w:eastAsia="Calibri"/>
          <w:b/>
          <w:sz w:val="24"/>
          <w:szCs w:val="22"/>
          <w:lang w:val="en-US" w:eastAsia="en-US"/>
        </w:rPr>
        <w:t xml:space="preserve"> cow milk</w:t>
      </w:r>
    </w:p>
    <w:p w:rsidR="008742E9" w:rsidRPr="008742E9" w:rsidRDefault="008742E9" w:rsidP="008742E9">
      <w:pPr>
        <w:jc w:val="right"/>
        <w:rPr>
          <w:rFonts w:eastAsia="Calibri"/>
          <w:sz w:val="22"/>
          <w:szCs w:val="22"/>
          <w:lang w:val="en-US" w:eastAsia="en-US"/>
        </w:rPr>
      </w:pPr>
    </w:p>
    <w:p w:rsidR="008742E9" w:rsidRPr="008742E9" w:rsidRDefault="008742E9" w:rsidP="008742E9">
      <w:pPr>
        <w:jc w:val="right"/>
        <w:rPr>
          <w:rFonts w:eastAsia="Calibri"/>
          <w:sz w:val="22"/>
          <w:szCs w:val="22"/>
          <w:lang w:val="en-US" w:eastAsia="en-US"/>
        </w:rPr>
      </w:pPr>
      <w:r w:rsidRPr="008742E9">
        <w:rPr>
          <w:rFonts w:eastAsia="Calibri"/>
          <w:sz w:val="22"/>
          <w:szCs w:val="22"/>
          <w:lang w:eastAsia="en-US"/>
        </w:rPr>
        <w:t>Кашникова</w:t>
      </w:r>
      <w:r w:rsidRPr="008742E9">
        <w:rPr>
          <w:rFonts w:eastAsia="Calibri"/>
          <w:sz w:val="22"/>
          <w:szCs w:val="22"/>
          <w:lang w:val="en-US" w:eastAsia="en-US"/>
        </w:rPr>
        <w:t xml:space="preserve"> </w:t>
      </w:r>
      <w:r w:rsidRPr="008742E9">
        <w:rPr>
          <w:rFonts w:eastAsia="Calibri"/>
          <w:sz w:val="22"/>
          <w:szCs w:val="22"/>
          <w:lang w:eastAsia="en-US"/>
        </w:rPr>
        <w:t>А</w:t>
      </w:r>
      <w:r w:rsidRPr="008742E9">
        <w:rPr>
          <w:rFonts w:eastAsia="Calibri"/>
          <w:sz w:val="22"/>
          <w:szCs w:val="22"/>
          <w:lang w:val="en-US" w:eastAsia="en-US"/>
        </w:rPr>
        <w:t xml:space="preserve">. </w:t>
      </w:r>
      <w:r w:rsidRPr="008742E9">
        <w:rPr>
          <w:rFonts w:eastAsia="Calibri"/>
          <w:sz w:val="22"/>
          <w:szCs w:val="22"/>
          <w:lang w:eastAsia="en-US"/>
        </w:rPr>
        <w:t>Е</w:t>
      </w:r>
      <w:r w:rsidRPr="008742E9">
        <w:rPr>
          <w:rFonts w:eastAsia="Calibri"/>
          <w:sz w:val="22"/>
          <w:szCs w:val="22"/>
          <w:lang w:val="en-US" w:eastAsia="en-US"/>
        </w:rPr>
        <w:t>.,</w:t>
      </w:r>
    </w:p>
    <w:p w:rsidR="00667E25" w:rsidRDefault="008742E9" w:rsidP="008742E9">
      <w:pPr>
        <w:jc w:val="right"/>
        <w:rPr>
          <w:rFonts w:eastAsia="Calibri"/>
          <w:sz w:val="22"/>
          <w:szCs w:val="22"/>
          <w:lang w:eastAsia="en-US"/>
        </w:rPr>
      </w:pPr>
      <w:r w:rsidRPr="008742E9">
        <w:rPr>
          <w:rFonts w:eastAsia="Calibri"/>
          <w:sz w:val="22"/>
          <w:szCs w:val="22"/>
          <w:lang w:eastAsia="en-US"/>
        </w:rPr>
        <w:t>студентка 4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Горковенко Н. Е.,</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профессор кафедры микробиологии,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эпизотологии и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Кубанский государственный аграрный </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университет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АННОТАЦИЯ: Изучены основные показатели качества цел</w:t>
      </w:r>
      <w:r w:rsidRPr="008742E9">
        <w:rPr>
          <w:rFonts w:eastAsia="Calibri"/>
          <w:sz w:val="22"/>
          <w:szCs w:val="22"/>
          <w:lang w:eastAsia="en-US"/>
        </w:rPr>
        <w:t>ь</w:t>
      </w:r>
      <w:r w:rsidRPr="008742E9">
        <w:rPr>
          <w:rFonts w:eastAsia="Calibri"/>
          <w:sz w:val="22"/>
          <w:szCs w:val="22"/>
          <w:lang w:eastAsia="en-US"/>
        </w:rPr>
        <w:t>ного коровьего молока. Проведены органолептические, биохимич</w:t>
      </w:r>
      <w:r w:rsidRPr="008742E9">
        <w:rPr>
          <w:rFonts w:eastAsia="Calibri"/>
          <w:sz w:val="22"/>
          <w:szCs w:val="22"/>
          <w:lang w:eastAsia="en-US"/>
        </w:rPr>
        <w:t>е</w:t>
      </w:r>
      <w:r w:rsidRPr="008742E9">
        <w:rPr>
          <w:rFonts w:eastAsia="Calibri"/>
          <w:sz w:val="22"/>
          <w:szCs w:val="22"/>
          <w:lang w:eastAsia="en-US"/>
        </w:rPr>
        <w:t>ские и микробиологические исследования сырого коровьего молока.</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ABSTRACT</w:t>
      </w:r>
      <w:r w:rsidRPr="008742E9">
        <w:rPr>
          <w:rFonts w:eastAsia="Calibri"/>
          <w:sz w:val="22"/>
          <w:szCs w:val="22"/>
          <w:lang w:eastAsia="en-US"/>
        </w:rPr>
        <w:t xml:space="preserve">: </w:t>
      </w:r>
      <w:r w:rsidRPr="008742E9">
        <w:rPr>
          <w:rFonts w:eastAsia="Calibri"/>
          <w:sz w:val="22"/>
          <w:szCs w:val="22"/>
          <w:lang w:val="en-US" w:eastAsia="en-US"/>
        </w:rPr>
        <w:t>Key</w:t>
      </w:r>
      <w:r w:rsidRPr="008742E9">
        <w:rPr>
          <w:rFonts w:eastAsia="Calibri"/>
          <w:sz w:val="22"/>
          <w:szCs w:val="22"/>
          <w:lang w:eastAsia="en-US"/>
        </w:rPr>
        <w:t xml:space="preserve"> </w:t>
      </w:r>
      <w:r w:rsidRPr="008742E9">
        <w:rPr>
          <w:rFonts w:eastAsia="Calibri"/>
          <w:sz w:val="22"/>
          <w:szCs w:val="22"/>
          <w:lang w:val="en-US" w:eastAsia="en-US"/>
        </w:rPr>
        <w:t>indicators</w:t>
      </w:r>
      <w:r w:rsidRPr="008742E9">
        <w:rPr>
          <w:rFonts w:eastAsia="Calibri"/>
          <w:sz w:val="22"/>
          <w:szCs w:val="22"/>
          <w:lang w:eastAsia="en-US"/>
        </w:rPr>
        <w:t xml:space="preserve"> </w:t>
      </w:r>
      <w:r w:rsidRPr="008742E9">
        <w:rPr>
          <w:rFonts w:eastAsia="Calibri"/>
          <w:sz w:val="22"/>
          <w:szCs w:val="22"/>
          <w:lang w:val="en-US" w:eastAsia="en-US"/>
        </w:rPr>
        <w:t>of</w:t>
      </w:r>
      <w:r w:rsidRPr="008742E9">
        <w:rPr>
          <w:rFonts w:eastAsia="Calibri"/>
          <w:sz w:val="22"/>
          <w:szCs w:val="22"/>
          <w:lang w:eastAsia="en-US"/>
        </w:rPr>
        <w:t xml:space="preserve"> </w:t>
      </w:r>
      <w:r w:rsidRPr="008742E9">
        <w:rPr>
          <w:rFonts w:eastAsia="Calibri"/>
          <w:sz w:val="22"/>
          <w:szCs w:val="22"/>
          <w:lang w:val="en-US" w:eastAsia="en-US"/>
        </w:rPr>
        <w:t>quality</w:t>
      </w:r>
      <w:r w:rsidRPr="008742E9">
        <w:rPr>
          <w:rFonts w:eastAsia="Calibri"/>
          <w:sz w:val="22"/>
          <w:szCs w:val="22"/>
          <w:lang w:eastAsia="en-US"/>
        </w:rPr>
        <w:t xml:space="preserve"> </w:t>
      </w:r>
      <w:r w:rsidRPr="008742E9">
        <w:rPr>
          <w:rFonts w:eastAsia="Calibri"/>
          <w:sz w:val="22"/>
          <w:szCs w:val="22"/>
          <w:lang w:val="en-US" w:eastAsia="en-US"/>
        </w:rPr>
        <w:t>of</w:t>
      </w:r>
      <w:r w:rsidRPr="008742E9">
        <w:rPr>
          <w:rFonts w:eastAsia="Calibri"/>
          <w:sz w:val="22"/>
          <w:szCs w:val="22"/>
          <w:lang w:eastAsia="en-US"/>
        </w:rPr>
        <w:t xml:space="preserve"> </w:t>
      </w:r>
      <w:r w:rsidRPr="008742E9">
        <w:rPr>
          <w:rFonts w:eastAsia="Calibri"/>
          <w:sz w:val="22"/>
          <w:szCs w:val="22"/>
          <w:lang w:val="en-US" w:eastAsia="en-US"/>
        </w:rPr>
        <w:t>whole</w:t>
      </w:r>
      <w:r w:rsidRPr="008742E9">
        <w:rPr>
          <w:rFonts w:eastAsia="Calibri"/>
          <w:sz w:val="22"/>
          <w:szCs w:val="22"/>
          <w:lang w:eastAsia="en-US"/>
        </w:rPr>
        <w:t xml:space="preserve"> </w:t>
      </w:r>
      <w:r w:rsidRPr="008742E9">
        <w:rPr>
          <w:rFonts w:eastAsia="Calibri"/>
          <w:sz w:val="22"/>
          <w:szCs w:val="22"/>
          <w:lang w:val="en-US" w:eastAsia="en-US"/>
        </w:rPr>
        <w:t>cow</w:t>
      </w:r>
      <w:r w:rsidRPr="008742E9">
        <w:rPr>
          <w:rFonts w:eastAsia="Calibri"/>
          <w:sz w:val="22"/>
          <w:szCs w:val="22"/>
          <w:lang w:eastAsia="en-US"/>
        </w:rPr>
        <w:t xml:space="preserve"> </w:t>
      </w:r>
      <w:r w:rsidRPr="008742E9">
        <w:rPr>
          <w:rFonts w:eastAsia="Calibri"/>
          <w:sz w:val="22"/>
          <w:szCs w:val="22"/>
          <w:lang w:val="en-US" w:eastAsia="en-US"/>
        </w:rPr>
        <w:t>milk</w:t>
      </w:r>
      <w:r w:rsidRPr="008742E9">
        <w:rPr>
          <w:rFonts w:eastAsia="Calibri"/>
          <w:sz w:val="22"/>
          <w:szCs w:val="22"/>
          <w:lang w:eastAsia="en-US"/>
        </w:rPr>
        <w:t xml:space="preserve"> </w:t>
      </w:r>
      <w:r w:rsidRPr="008742E9">
        <w:rPr>
          <w:rFonts w:eastAsia="Calibri"/>
          <w:sz w:val="22"/>
          <w:szCs w:val="22"/>
          <w:lang w:val="en-US" w:eastAsia="en-US"/>
        </w:rPr>
        <w:t>are</w:t>
      </w:r>
      <w:r w:rsidRPr="008742E9">
        <w:rPr>
          <w:rFonts w:eastAsia="Calibri"/>
          <w:sz w:val="22"/>
          <w:szCs w:val="22"/>
          <w:lang w:eastAsia="en-US"/>
        </w:rPr>
        <w:t xml:space="preserve"> </w:t>
      </w:r>
      <w:r w:rsidRPr="008742E9">
        <w:rPr>
          <w:rFonts w:eastAsia="Calibri"/>
          <w:sz w:val="22"/>
          <w:szCs w:val="22"/>
          <w:lang w:val="en-US" w:eastAsia="en-US"/>
        </w:rPr>
        <w:t>stu</w:t>
      </w:r>
      <w:r w:rsidRPr="008742E9">
        <w:rPr>
          <w:rFonts w:eastAsia="Calibri"/>
          <w:sz w:val="22"/>
          <w:szCs w:val="22"/>
          <w:lang w:val="en-US" w:eastAsia="en-US"/>
        </w:rPr>
        <w:t>d</w:t>
      </w:r>
      <w:r w:rsidRPr="008742E9">
        <w:rPr>
          <w:rFonts w:eastAsia="Calibri"/>
          <w:sz w:val="22"/>
          <w:szCs w:val="22"/>
          <w:lang w:val="en-US" w:eastAsia="en-US"/>
        </w:rPr>
        <w:t>ied</w:t>
      </w:r>
      <w:r w:rsidRPr="008742E9">
        <w:rPr>
          <w:rFonts w:eastAsia="Calibri"/>
          <w:sz w:val="22"/>
          <w:szCs w:val="22"/>
          <w:lang w:eastAsia="en-US"/>
        </w:rPr>
        <w:t xml:space="preserve">. </w:t>
      </w:r>
      <w:r w:rsidRPr="008742E9">
        <w:rPr>
          <w:rFonts w:eastAsia="Calibri"/>
          <w:sz w:val="22"/>
          <w:szCs w:val="22"/>
          <w:lang w:val="en-US" w:eastAsia="en-US"/>
        </w:rPr>
        <w:t>Organoleptic, biochemical and microbiological researches of raw cow milk are conducted.</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Ключевые слова: молоко, ветеринарно-санитарная экспертиза, качество, безопасность.</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KEYWORDS: milk, veterinary and sanitary expertise, quality, saf</w:t>
      </w:r>
      <w:r w:rsidRPr="008742E9">
        <w:rPr>
          <w:rFonts w:eastAsia="Calibri"/>
          <w:sz w:val="22"/>
          <w:szCs w:val="22"/>
          <w:lang w:val="en-US" w:eastAsia="en-US"/>
        </w:rPr>
        <w:t>e</w:t>
      </w:r>
      <w:r w:rsidRPr="008742E9">
        <w:rPr>
          <w:rFonts w:eastAsia="Calibri"/>
          <w:sz w:val="22"/>
          <w:szCs w:val="22"/>
          <w:lang w:val="en-US" w:eastAsia="en-US"/>
        </w:rPr>
        <w:t>ty.</w:t>
      </w:r>
    </w:p>
    <w:p w:rsidR="008742E9" w:rsidRPr="008742E9" w:rsidRDefault="008742E9" w:rsidP="00667E25">
      <w:pPr>
        <w:ind w:firstLine="426"/>
        <w:jc w:val="both"/>
        <w:rPr>
          <w:rFonts w:eastAsia="Calibri"/>
          <w:sz w:val="22"/>
          <w:szCs w:val="22"/>
          <w:lang w:val="en-US"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С каждым годом все больше и больше увеличивается объем п</w:t>
      </w:r>
      <w:r w:rsidRPr="008742E9">
        <w:rPr>
          <w:rFonts w:eastAsia="Calibri"/>
          <w:sz w:val="22"/>
          <w:szCs w:val="22"/>
          <w:lang w:eastAsia="en-US"/>
        </w:rPr>
        <w:t>о</w:t>
      </w:r>
      <w:r w:rsidRPr="008742E9">
        <w:rPr>
          <w:rFonts w:eastAsia="Calibri"/>
          <w:sz w:val="22"/>
          <w:szCs w:val="22"/>
          <w:lang w:eastAsia="en-US"/>
        </w:rPr>
        <w:t xml:space="preserve">требления молока и молочных продуктов. Сырое молоко, является </w:t>
      </w:r>
      <w:r w:rsidRPr="008742E9">
        <w:rPr>
          <w:rFonts w:eastAsia="Calibri"/>
          <w:sz w:val="22"/>
          <w:szCs w:val="22"/>
          <w:lang w:eastAsia="en-US"/>
        </w:rPr>
        <w:lastRenderedPageBreak/>
        <w:t>основным сырьем, для производства молочных продуктов, поэтому определение показателей его качества имеют большое значение для дальнейшей его переработки. Также следует помнить, что при уп</w:t>
      </w:r>
      <w:r w:rsidRPr="008742E9">
        <w:rPr>
          <w:rFonts w:eastAsia="Calibri"/>
          <w:sz w:val="22"/>
          <w:szCs w:val="22"/>
          <w:lang w:eastAsia="en-US"/>
        </w:rPr>
        <w:t>о</w:t>
      </w:r>
      <w:r w:rsidRPr="008742E9">
        <w:rPr>
          <w:rFonts w:eastAsia="Calibri"/>
          <w:sz w:val="22"/>
          <w:szCs w:val="22"/>
          <w:lang w:eastAsia="en-US"/>
        </w:rPr>
        <w:t>треблении молока, полученного с нарушением санитарных и техн</w:t>
      </w:r>
      <w:r w:rsidRPr="008742E9">
        <w:rPr>
          <w:rFonts w:eastAsia="Calibri"/>
          <w:sz w:val="22"/>
          <w:szCs w:val="22"/>
          <w:lang w:eastAsia="en-US"/>
        </w:rPr>
        <w:t>о</w:t>
      </w:r>
      <w:r w:rsidRPr="008742E9">
        <w:rPr>
          <w:rFonts w:eastAsia="Calibri"/>
          <w:sz w:val="22"/>
          <w:szCs w:val="22"/>
          <w:lang w:eastAsia="en-US"/>
        </w:rPr>
        <w:t>логических норм или от больных животных, оно может стать пр</w:t>
      </w:r>
      <w:r w:rsidRPr="008742E9">
        <w:rPr>
          <w:rFonts w:eastAsia="Calibri"/>
          <w:sz w:val="22"/>
          <w:szCs w:val="22"/>
          <w:lang w:eastAsia="en-US"/>
        </w:rPr>
        <w:t>и</w:t>
      </w:r>
      <w:r w:rsidRPr="008742E9">
        <w:rPr>
          <w:rFonts w:eastAsia="Calibri"/>
          <w:sz w:val="22"/>
          <w:szCs w:val="22"/>
          <w:lang w:eastAsia="en-US"/>
        </w:rPr>
        <w:t>чиной заражения человека зооантропанозными болезнями, пищ</w:t>
      </w:r>
      <w:r w:rsidRPr="008742E9">
        <w:rPr>
          <w:rFonts w:eastAsia="Calibri"/>
          <w:sz w:val="22"/>
          <w:szCs w:val="22"/>
          <w:lang w:eastAsia="en-US"/>
        </w:rPr>
        <w:t>е</w:t>
      </w:r>
      <w:r w:rsidRPr="008742E9">
        <w:rPr>
          <w:rFonts w:eastAsia="Calibri"/>
          <w:sz w:val="22"/>
          <w:szCs w:val="22"/>
          <w:lang w:eastAsia="en-US"/>
        </w:rPr>
        <w:t>выми токсикоинфекциями и токсикозами.</w:t>
      </w:r>
      <w:r w:rsidRPr="008742E9">
        <w:rPr>
          <w:rFonts w:eastAsia="Calibri"/>
          <w:lang w:eastAsia="en-US"/>
        </w:rPr>
        <w:t xml:space="preserve"> </w:t>
      </w:r>
      <w:r w:rsidRPr="008742E9">
        <w:rPr>
          <w:rFonts w:eastAsia="Calibri"/>
          <w:sz w:val="22"/>
          <w:szCs w:val="22"/>
          <w:lang w:eastAsia="en-US"/>
        </w:rPr>
        <w:t>Кроме того, нарушение технологии производства и переработки молока может отрицател</w:t>
      </w:r>
      <w:r w:rsidRPr="008742E9">
        <w:rPr>
          <w:rFonts w:eastAsia="Calibri"/>
          <w:sz w:val="22"/>
          <w:szCs w:val="22"/>
          <w:lang w:eastAsia="en-US"/>
        </w:rPr>
        <w:t>ь</w:t>
      </w:r>
      <w:r w:rsidRPr="008742E9">
        <w:rPr>
          <w:rFonts w:eastAsia="Calibri"/>
          <w:sz w:val="22"/>
          <w:szCs w:val="22"/>
          <w:lang w:eastAsia="en-US"/>
        </w:rPr>
        <w:t>но сказаться на их товарных, вкусовых и санитарных показателях. Поэтому проведение ветеринарно-санитарной экспертизы молока имеет большое значение для получения качественных продуктов и для здоровья человека [1, 2].</w:t>
      </w:r>
    </w:p>
    <w:p w:rsidR="008742E9" w:rsidRPr="008742E9" w:rsidRDefault="008742E9" w:rsidP="00667E25">
      <w:pPr>
        <w:ind w:firstLine="426"/>
        <w:jc w:val="both"/>
        <w:rPr>
          <w:rFonts w:ascii="Calibri" w:eastAsia="Calibri" w:hAnsi="Calibri"/>
          <w:spacing w:val="2"/>
          <w:sz w:val="22"/>
          <w:szCs w:val="22"/>
          <w:shd w:val="clear" w:color="auto" w:fill="FFFFFF"/>
          <w:lang w:eastAsia="en-US"/>
        </w:rPr>
      </w:pPr>
      <w:r w:rsidRPr="008742E9">
        <w:rPr>
          <w:rFonts w:eastAsia="Calibri"/>
          <w:sz w:val="22"/>
          <w:szCs w:val="22"/>
          <w:lang w:eastAsia="en-US"/>
        </w:rPr>
        <w:t>Материалы и методы исследований. Материалом для исслед</w:t>
      </w:r>
      <w:r w:rsidRPr="008742E9">
        <w:rPr>
          <w:rFonts w:eastAsia="Calibri"/>
          <w:sz w:val="22"/>
          <w:szCs w:val="22"/>
          <w:lang w:eastAsia="en-US"/>
        </w:rPr>
        <w:t>о</w:t>
      </w:r>
      <w:r w:rsidRPr="008742E9">
        <w:rPr>
          <w:rFonts w:eastAsia="Calibri"/>
          <w:sz w:val="22"/>
          <w:szCs w:val="22"/>
          <w:lang w:eastAsia="en-US"/>
        </w:rPr>
        <w:t>вания было цельное коровье молоко, отобронное из частного сект</w:t>
      </w:r>
      <w:r w:rsidRPr="008742E9">
        <w:rPr>
          <w:rFonts w:eastAsia="Calibri"/>
          <w:sz w:val="22"/>
          <w:szCs w:val="22"/>
          <w:lang w:eastAsia="en-US"/>
        </w:rPr>
        <w:t>о</w:t>
      </w:r>
      <w:r w:rsidRPr="008742E9">
        <w:rPr>
          <w:rFonts w:eastAsia="Calibri"/>
          <w:sz w:val="22"/>
          <w:szCs w:val="22"/>
          <w:lang w:eastAsia="en-US"/>
        </w:rPr>
        <w:t>ра Кавказского района. Всего анализу подвергнуто 7 проб молока. Для определения основных показателей качества и безопасности молока, были проведены органолептические, биохимические и ми</w:t>
      </w:r>
      <w:r w:rsidRPr="008742E9">
        <w:rPr>
          <w:rFonts w:eastAsia="Calibri"/>
          <w:sz w:val="22"/>
          <w:szCs w:val="22"/>
          <w:lang w:eastAsia="en-US"/>
        </w:rPr>
        <w:t>к</w:t>
      </w:r>
      <w:r w:rsidRPr="008742E9">
        <w:rPr>
          <w:rFonts w:eastAsia="Calibri"/>
          <w:sz w:val="22"/>
          <w:szCs w:val="22"/>
          <w:lang w:eastAsia="en-US"/>
        </w:rPr>
        <w:t>робиологические исследования проб цельного коровьего молока. При проведении органолептических исследований учитывали вкус, запах, внешний вид и консистенцию [3].</w:t>
      </w:r>
      <w:r w:rsidRPr="008742E9">
        <w:rPr>
          <w:rFonts w:eastAsia="Calibri"/>
          <w:spacing w:val="2"/>
          <w:sz w:val="22"/>
          <w:szCs w:val="22"/>
          <w:shd w:val="clear" w:color="auto" w:fill="FFFFFF"/>
          <w:lang w:eastAsia="en-US"/>
        </w:rPr>
        <w:t xml:space="preserve">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Из биохимических показателей качества молока определяли следующие: массовая доля жира и белка; кислотность; массовая д</w:t>
      </w:r>
      <w:r w:rsidRPr="008742E9">
        <w:rPr>
          <w:rFonts w:eastAsia="Calibri"/>
          <w:sz w:val="22"/>
          <w:szCs w:val="22"/>
          <w:lang w:eastAsia="en-US"/>
        </w:rPr>
        <w:t>о</w:t>
      </w:r>
      <w:r w:rsidRPr="008742E9">
        <w:rPr>
          <w:rFonts w:eastAsia="Calibri"/>
          <w:sz w:val="22"/>
          <w:szCs w:val="22"/>
          <w:lang w:eastAsia="en-US"/>
        </w:rPr>
        <w:t>ля сухих обезжиренных веществ (СОМО); группа чистоты; пло</w:t>
      </w:r>
      <w:r w:rsidRPr="008742E9">
        <w:rPr>
          <w:rFonts w:eastAsia="Calibri"/>
          <w:sz w:val="22"/>
          <w:szCs w:val="22"/>
          <w:lang w:eastAsia="en-US"/>
        </w:rPr>
        <w:t>т</w:t>
      </w:r>
      <w:r w:rsidRPr="008742E9">
        <w:rPr>
          <w:rFonts w:eastAsia="Calibri"/>
          <w:sz w:val="22"/>
          <w:szCs w:val="22"/>
          <w:lang w:eastAsia="en-US"/>
        </w:rPr>
        <w:t>ность; температура замерзания [3]. Микробиологические показат</w:t>
      </w:r>
      <w:r w:rsidRPr="008742E9">
        <w:rPr>
          <w:rFonts w:eastAsia="Calibri"/>
          <w:sz w:val="22"/>
          <w:szCs w:val="22"/>
          <w:lang w:eastAsia="en-US"/>
        </w:rPr>
        <w:t>е</w:t>
      </w:r>
      <w:r w:rsidRPr="008742E9">
        <w:rPr>
          <w:rFonts w:eastAsia="Calibri"/>
          <w:sz w:val="22"/>
          <w:szCs w:val="22"/>
          <w:lang w:eastAsia="en-US"/>
        </w:rPr>
        <w:t>ли качества молока – КМАФАнМ и количество патогенных микр</w:t>
      </w:r>
      <w:r w:rsidRPr="008742E9">
        <w:rPr>
          <w:rFonts w:eastAsia="Calibri"/>
          <w:sz w:val="22"/>
          <w:szCs w:val="22"/>
          <w:lang w:eastAsia="en-US"/>
        </w:rPr>
        <w:t>о</w:t>
      </w:r>
      <w:r w:rsidRPr="008742E9">
        <w:rPr>
          <w:rFonts w:eastAsia="Calibri"/>
          <w:sz w:val="22"/>
          <w:szCs w:val="22"/>
          <w:lang w:eastAsia="en-US"/>
        </w:rPr>
        <w:t>организмов (сальмонелл) [3].</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Результаты и обсуждение. Органолептические исследования показали, что у всех образцов консистенция была однородная без осадка и хлопьев, цвет белый, без посторонних запахов и привк</w:t>
      </w:r>
      <w:r w:rsidRPr="008742E9">
        <w:rPr>
          <w:rFonts w:eastAsia="Calibri"/>
          <w:sz w:val="22"/>
          <w:szCs w:val="22"/>
          <w:lang w:eastAsia="en-US"/>
        </w:rPr>
        <w:t>у</w:t>
      </w:r>
      <w:r w:rsidRPr="008742E9">
        <w:rPr>
          <w:rFonts w:eastAsia="Calibri"/>
          <w:sz w:val="22"/>
          <w:szCs w:val="22"/>
          <w:lang w:eastAsia="en-US"/>
        </w:rPr>
        <w:t>сов, не свойственных свежему молоку, что соответствует нормам, установленным ГОСТ.</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В качественном молоке содержится не менее 2,8 % жира, все исследованные пробы соответствовали этому критерию.</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Показатель массовой доли белка во всех пробах соответствовал нормативу ГОСТ (не менее 2,8 %).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По показателям плотности можно судить о фальсификации м</w:t>
      </w:r>
      <w:r w:rsidRPr="008742E9">
        <w:rPr>
          <w:rFonts w:eastAsia="Calibri"/>
          <w:sz w:val="22"/>
          <w:szCs w:val="22"/>
          <w:lang w:eastAsia="en-US"/>
        </w:rPr>
        <w:t>о</w:t>
      </w:r>
      <w:r w:rsidRPr="008742E9">
        <w:rPr>
          <w:rFonts w:eastAsia="Calibri"/>
          <w:sz w:val="22"/>
          <w:szCs w:val="22"/>
          <w:lang w:eastAsia="en-US"/>
        </w:rPr>
        <w:t>лока различными способами. Плотность у всех образцов соотве</w:t>
      </w:r>
      <w:r w:rsidRPr="008742E9">
        <w:rPr>
          <w:rFonts w:eastAsia="Calibri"/>
          <w:sz w:val="22"/>
          <w:szCs w:val="22"/>
          <w:lang w:eastAsia="en-US"/>
        </w:rPr>
        <w:t>т</w:t>
      </w:r>
      <w:r w:rsidRPr="008742E9">
        <w:rPr>
          <w:rFonts w:eastAsia="Calibri"/>
          <w:sz w:val="22"/>
          <w:szCs w:val="22"/>
          <w:lang w:eastAsia="en-US"/>
        </w:rPr>
        <w:t>ствовала допустимым значениям ГОСТ (не менее 1027 кг/м³).</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Точка замерзания еще один показатель, свидетельствующий о фальсификации молока сухим веществом или водой, этот показ</w:t>
      </w:r>
      <w:r w:rsidRPr="008742E9">
        <w:rPr>
          <w:rFonts w:eastAsia="Calibri"/>
          <w:sz w:val="22"/>
          <w:szCs w:val="22"/>
          <w:lang w:eastAsia="en-US"/>
        </w:rPr>
        <w:t>а</w:t>
      </w:r>
      <w:r w:rsidRPr="008742E9">
        <w:rPr>
          <w:rFonts w:eastAsia="Calibri"/>
          <w:sz w:val="22"/>
          <w:szCs w:val="22"/>
          <w:lang w:eastAsia="en-US"/>
        </w:rPr>
        <w:t>тель у всех образцов молока также находился в пределах норматива ГОСТ (не выше минус 0,505°С).</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У всех проб молока, количество СОМО соответствовало норме, установленной ГОСТ (не менее 8,2 %), этот показатель подтвержд</w:t>
      </w:r>
      <w:r w:rsidRPr="008742E9">
        <w:rPr>
          <w:rFonts w:eastAsia="Calibri"/>
          <w:sz w:val="22"/>
          <w:szCs w:val="22"/>
          <w:lang w:eastAsia="en-US"/>
        </w:rPr>
        <w:t>а</w:t>
      </w:r>
      <w:r w:rsidRPr="008742E9">
        <w:rPr>
          <w:rFonts w:eastAsia="Calibri"/>
          <w:sz w:val="22"/>
          <w:szCs w:val="22"/>
          <w:lang w:eastAsia="en-US"/>
        </w:rPr>
        <w:t>ет натуральность молока.</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У всех исследуемых проб молока, группа чистоты была не н</w:t>
      </w:r>
      <w:r w:rsidRPr="008742E9">
        <w:rPr>
          <w:rFonts w:eastAsia="Calibri"/>
          <w:sz w:val="22"/>
          <w:szCs w:val="22"/>
          <w:lang w:eastAsia="en-US"/>
        </w:rPr>
        <w:t>и</w:t>
      </w:r>
      <w:r w:rsidRPr="008742E9">
        <w:rPr>
          <w:rFonts w:eastAsia="Calibri"/>
          <w:sz w:val="22"/>
          <w:szCs w:val="22"/>
          <w:lang w:eastAsia="en-US"/>
        </w:rPr>
        <w:t>же 1, что говорит о надлежащем санитарном режиме получения м</w:t>
      </w:r>
      <w:r w:rsidRPr="008742E9">
        <w:rPr>
          <w:rFonts w:eastAsia="Calibri"/>
          <w:sz w:val="22"/>
          <w:szCs w:val="22"/>
          <w:lang w:eastAsia="en-US"/>
        </w:rPr>
        <w:t>о</w:t>
      </w:r>
      <w:r w:rsidRPr="008742E9">
        <w:rPr>
          <w:rFonts w:eastAsia="Calibri"/>
          <w:sz w:val="22"/>
          <w:szCs w:val="22"/>
          <w:lang w:eastAsia="en-US"/>
        </w:rPr>
        <w:t>лока, его хранения и транспортировки.</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Сальмонеллы, являются причиной кишечных инфекций, они способны до 20 дней сохраняться в молоке, при этом не теряют способности к размножению и не изменяют внешнего вида и вкуса продукта. В анализируемых пробах молока сальмонеллы отсутств</w:t>
      </w:r>
      <w:r w:rsidRPr="008742E9">
        <w:rPr>
          <w:rFonts w:eastAsia="Calibri"/>
          <w:sz w:val="22"/>
          <w:szCs w:val="22"/>
          <w:lang w:eastAsia="en-US"/>
        </w:rPr>
        <w:t>о</w:t>
      </w:r>
      <w:r w:rsidRPr="008742E9">
        <w:rPr>
          <w:rFonts w:eastAsia="Calibri"/>
          <w:sz w:val="22"/>
          <w:szCs w:val="22"/>
          <w:lang w:eastAsia="en-US"/>
        </w:rPr>
        <w:t>вали.</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Все образцы по показателю КМАФАиМ в 1 см</w:t>
      </w:r>
      <w:r w:rsidRPr="008742E9">
        <w:rPr>
          <w:rFonts w:eastAsia="Calibri"/>
          <w:sz w:val="22"/>
          <w:szCs w:val="22"/>
          <w:vertAlign w:val="superscript"/>
          <w:lang w:eastAsia="en-US"/>
        </w:rPr>
        <w:t xml:space="preserve">3 </w:t>
      </w:r>
      <w:r w:rsidRPr="008742E9">
        <w:rPr>
          <w:rFonts w:eastAsia="Calibri"/>
          <w:sz w:val="22"/>
          <w:szCs w:val="22"/>
          <w:lang w:eastAsia="en-US"/>
        </w:rPr>
        <w:t>соответствов</w:t>
      </w:r>
      <w:r w:rsidRPr="008742E9">
        <w:rPr>
          <w:rFonts w:eastAsia="Calibri"/>
          <w:sz w:val="22"/>
          <w:szCs w:val="22"/>
          <w:lang w:eastAsia="en-US"/>
        </w:rPr>
        <w:t>а</w:t>
      </w:r>
      <w:r w:rsidRPr="008742E9">
        <w:rPr>
          <w:rFonts w:eastAsia="Calibri"/>
          <w:sz w:val="22"/>
          <w:szCs w:val="22"/>
          <w:lang w:eastAsia="en-US"/>
        </w:rPr>
        <w:t>ли нормативу и содержали</w:t>
      </w:r>
      <w:r w:rsidRPr="008742E9">
        <w:rPr>
          <w:rFonts w:eastAsia="Calibri"/>
          <w:sz w:val="22"/>
          <w:szCs w:val="22"/>
          <w:vertAlign w:val="superscript"/>
          <w:lang w:eastAsia="en-US"/>
        </w:rPr>
        <w:t xml:space="preserve"> </w:t>
      </w:r>
      <w:r w:rsidRPr="008742E9">
        <w:rPr>
          <w:rFonts w:eastAsia="Calibri"/>
          <w:sz w:val="22"/>
          <w:szCs w:val="22"/>
          <w:lang w:eastAsia="en-US"/>
        </w:rPr>
        <w:t>не более 5:10</w:t>
      </w:r>
      <w:r w:rsidRPr="008742E9">
        <w:rPr>
          <w:rFonts w:eastAsia="Calibri"/>
          <w:sz w:val="22"/>
          <w:szCs w:val="22"/>
          <w:vertAlign w:val="superscript"/>
          <w:lang w:eastAsia="en-US"/>
        </w:rPr>
        <w:t>5 </w:t>
      </w:r>
      <w:r w:rsidRPr="008742E9">
        <w:rPr>
          <w:rFonts w:eastAsia="Calibri"/>
          <w:sz w:val="22"/>
          <w:szCs w:val="22"/>
          <w:lang w:eastAsia="en-US"/>
        </w:rPr>
        <w:t>КОЕ/см</w:t>
      </w:r>
      <w:r w:rsidRPr="008742E9">
        <w:rPr>
          <w:rFonts w:eastAsia="Calibri"/>
          <w:sz w:val="22"/>
          <w:szCs w:val="22"/>
          <w:vertAlign w:val="superscript"/>
          <w:lang w:eastAsia="en-US"/>
        </w:rPr>
        <w:t>3</w:t>
      </w:r>
      <w:r w:rsidRPr="008742E9">
        <w:rPr>
          <w:rFonts w:eastAsia="Calibri"/>
          <w:sz w:val="22"/>
          <w:szCs w:val="22"/>
          <w:lang w:eastAsia="en-US"/>
        </w:rPr>
        <w:t xml:space="preserve">.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Соматические клетки, являются частью состава молока и п</w:t>
      </w:r>
      <w:r w:rsidRPr="008742E9">
        <w:rPr>
          <w:rFonts w:eastAsia="Calibri"/>
          <w:sz w:val="22"/>
          <w:szCs w:val="22"/>
          <w:lang w:eastAsia="en-US"/>
        </w:rPr>
        <w:t>о</w:t>
      </w:r>
      <w:r w:rsidRPr="008742E9">
        <w:rPr>
          <w:rFonts w:eastAsia="Calibri"/>
          <w:sz w:val="22"/>
          <w:szCs w:val="22"/>
          <w:lang w:eastAsia="en-US"/>
        </w:rPr>
        <w:t>стоянно находятся в определенном количестве. Увеличение их чи</w:t>
      </w:r>
      <w:r w:rsidRPr="008742E9">
        <w:rPr>
          <w:rFonts w:eastAsia="Calibri"/>
          <w:sz w:val="22"/>
          <w:szCs w:val="22"/>
          <w:lang w:eastAsia="en-US"/>
        </w:rPr>
        <w:t>с</w:t>
      </w:r>
      <w:r w:rsidRPr="008742E9">
        <w:rPr>
          <w:rFonts w:eastAsia="Calibri"/>
          <w:sz w:val="22"/>
          <w:szCs w:val="22"/>
          <w:lang w:eastAsia="en-US"/>
        </w:rPr>
        <w:t>ла говорит о нарушения секреции молока или заболевании вымени. В данных образцах, количество соматических клеток значительно ниже допустимой нормы, установленной ГОСТом, что свидетел</w:t>
      </w:r>
      <w:r w:rsidRPr="008742E9">
        <w:rPr>
          <w:rFonts w:eastAsia="Calibri"/>
          <w:sz w:val="22"/>
          <w:szCs w:val="22"/>
          <w:lang w:eastAsia="en-US"/>
        </w:rPr>
        <w:t>ь</w:t>
      </w:r>
      <w:r w:rsidRPr="008742E9">
        <w:rPr>
          <w:rFonts w:eastAsia="Calibri"/>
          <w:sz w:val="22"/>
          <w:szCs w:val="22"/>
          <w:lang w:eastAsia="en-US"/>
        </w:rPr>
        <w:t xml:space="preserve">ствует об отсутствии мастита у коров, от которых было получено это молоко. </w:t>
      </w:r>
    </w:p>
    <w:p w:rsidR="008742E9" w:rsidRPr="008742E9" w:rsidRDefault="008742E9" w:rsidP="00667E25">
      <w:pPr>
        <w:ind w:firstLine="426"/>
        <w:jc w:val="both"/>
        <w:rPr>
          <w:rFonts w:eastAsia="Calibri"/>
          <w:sz w:val="22"/>
          <w:szCs w:val="22"/>
          <w:lang w:eastAsia="en-US"/>
        </w:rPr>
      </w:pPr>
      <w:r w:rsidRPr="008742E9">
        <w:rPr>
          <w:rFonts w:eastAsia="Calibri"/>
          <w:iCs/>
          <w:sz w:val="22"/>
          <w:szCs w:val="22"/>
          <w:lang w:eastAsia="en-US"/>
        </w:rPr>
        <w:t xml:space="preserve">Ингибирующие вещества </w:t>
      </w:r>
      <w:r w:rsidRPr="008742E9">
        <w:rPr>
          <w:rFonts w:eastAsia="Calibri"/>
          <w:sz w:val="22"/>
          <w:szCs w:val="22"/>
          <w:lang w:eastAsia="en-US"/>
        </w:rPr>
        <w:t xml:space="preserve">– </w:t>
      </w:r>
      <w:r w:rsidRPr="008742E9">
        <w:rPr>
          <w:rFonts w:eastAsia="Calibri"/>
          <w:iCs/>
          <w:sz w:val="22"/>
          <w:szCs w:val="22"/>
          <w:lang w:eastAsia="en-US"/>
        </w:rPr>
        <w:t>любые вещества, которые не зав</w:t>
      </w:r>
      <w:r w:rsidRPr="008742E9">
        <w:rPr>
          <w:rFonts w:eastAsia="Calibri"/>
          <w:iCs/>
          <w:sz w:val="22"/>
          <w:szCs w:val="22"/>
          <w:lang w:eastAsia="en-US"/>
        </w:rPr>
        <w:t>и</w:t>
      </w:r>
      <w:r w:rsidRPr="008742E9">
        <w:rPr>
          <w:rFonts w:eastAsia="Calibri"/>
          <w:iCs/>
          <w:sz w:val="22"/>
          <w:szCs w:val="22"/>
          <w:lang w:eastAsia="en-US"/>
        </w:rPr>
        <w:t>симо от их природы, тормозят или препятствуют развитию микр</w:t>
      </w:r>
      <w:r w:rsidRPr="008742E9">
        <w:rPr>
          <w:rFonts w:eastAsia="Calibri"/>
          <w:iCs/>
          <w:sz w:val="22"/>
          <w:szCs w:val="22"/>
          <w:lang w:eastAsia="en-US"/>
        </w:rPr>
        <w:t>о</w:t>
      </w:r>
      <w:r w:rsidRPr="008742E9">
        <w:rPr>
          <w:rFonts w:eastAsia="Calibri"/>
          <w:iCs/>
          <w:sz w:val="22"/>
          <w:szCs w:val="22"/>
          <w:lang w:eastAsia="en-US"/>
        </w:rPr>
        <w:t>организмов.</w:t>
      </w:r>
      <w:r w:rsidRPr="008742E9">
        <w:rPr>
          <w:rFonts w:eastAsia="Calibri"/>
          <w:sz w:val="22"/>
          <w:szCs w:val="22"/>
          <w:lang w:eastAsia="en-US"/>
        </w:rPr>
        <w:t xml:space="preserve"> Ни в одном образце их не обнаружили, что свидетел</w:t>
      </w:r>
      <w:r w:rsidRPr="008742E9">
        <w:rPr>
          <w:rFonts w:eastAsia="Calibri"/>
          <w:sz w:val="22"/>
          <w:szCs w:val="22"/>
          <w:lang w:eastAsia="en-US"/>
        </w:rPr>
        <w:t>ь</w:t>
      </w:r>
      <w:r w:rsidRPr="008742E9">
        <w:rPr>
          <w:rFonts w:eastAsia="Calibri"/>
          <w:sz w:val="22"/>
          <w:szCs w:val="22"/>
          <w:lang w:eastAsia="en-US"/>
        </w:rPr>
        <w:t>ствует о безопасности молока.</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Антибиотики – еще один показатель безопасности молока. Ни в одной пробе исследованного продукта их не обнаружили. Это гов</w:t>
      </w:r>
      <w:r w:rsidRPr="008742E9">
        <w:rPr>
          <w:rFonts w:eastAsia="Calibri"/>
          <w:sz w:val="22"/>
          <w:szCs w:val="22"/>
          <w:lang w:eastAsia="en-US"/>
        </w:rPr>
        <w:t>о</w:t>
      </w:r>
      <w:r w:rsidRPr="008742E9">
        <w:rPr>
          <w:rFonts w:eastAsia="Calibri"/>
          <w:sz w:val="22"/>
          <w:szCs w:val="22"/>
          <w:lang w:eastAsia="en-US"/>
        </w:rPr>
        <w:t>рит о том, что молоко получено от здоровых животных, не подве</w:t>
      </w:r>
      <w:r w:rsidRPr="008742E9">
        <w:rPr>
          <w:rFonts w:eastAsia="Calibri"/>
          <w:sz w:val="22"/>
          <w:szCs w:val="22"/>
          <w:lang w:eastAsia="en-US"/>
        </w:rPr>
        <w:t>р</w:t>
      </w:r>
      <w:r w:rsidRPr="008742E9">
        <w:rPr>
          <w:rFonts w:eastAsia="Calibri"/>
          <w:sz w:val="22"/>
          <w:szCs w:val="22"/>
          <w:lang w:eastAsia="en-US"/>
        </w:rPr>
        <w:t>гавшихся лечению в данный период времени.</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Таким образом, проведенные исследования позволили устан</w:t>
      </w:r>
      <w:r w:rsidRPr="008742E9">
        <w:rPr>
          <w:rFonts w:eastAsia="Calibri"/>
          <w:sz w:val="22"/>
          <w:szCs w:val="22"/>
          <w:lang w:eastAsia="en-US"/>
        </w:rPr>
        <w:t>о</w:t>
      </w:r>
      <w:r w:rsidRPr="008742E9">
        <w:rPr>
          <w:rFonts w:eastAsia="Calibri"/>
          <w:sz w:val="22"/>
          <w:szCs w:val="22"/>
          <w:lang w:eastAsia="en-US"/>
        </w:rPr>
        <w:t>вить, что изучаемые пробы молока соответствовали всем нормати</w:t>
      </w:r>
      <w:r w:rsidRPr="008742E9">
        <w:rPr>
          <w:rFonts w:eastAsia="Calibri"/>
          <w:sz w:val="22"/>
          <w:szCs w:val="22"/>
          <w:lang w:eastAsia="en-US"/>
        </w:rPr>
        <w:t>в</w:t>
      </w:r>
      <w:r w:rsidRPr="008742E9">
        <w:rPr>
          <w:rFonts w:eastAsia="Calibri"/>
          <w:sz w:val="22"/>
          <w:szCs w:val="22"/>
          <w:lang w:eastAsia="en-US"/>
        </w:rPr>
        <w:t xml:space="preserve">ным требованиям, установленным ГОСТ. Следовательно, партии молока, от которых были отобраны исследованные образцы, могут быть допущены в свободную реализацию без ограничений. </w:t>
      </w:r>
    </w:p>
    <w:p w:rsidR="008742E9" w:rsidRPr="008742E9" w:rsidRDefault="008742E9" w:rsidP="00667E25">
      <w:pPr>
        <w:ind w:firstLine="426"/>
        <w:jc w:val="both"/>
        <w:rPr>
          <w:rFonts w:eastAsia="Calibri"/>
          <w:sz w:val="22"/>
          <w:szCs w:val="22"/>
          <w:lang w:eastAsia="en-US"/>
        </w:rPr>
      </w:pPr>
    </w:p>
    <w:p w:rsidR="008742E9" w:rsidRPr="008742E9" w:rsidRDefault="008742E9" w:rsidP="00667E25">
      <w:pPr>
        <w:ind w:firstLine="426"/>
        <w:jc w:val="center"/>
        <w:rPr>
          <w:rFonts w:eastAsia="Calibri"/>
          <w:sz w:val="22"/>
          <w:szCs w:val="22"/>
          <w:lang w:eastAsia="en-US"/>
        </w:rPr>
      </w:pPr>
      <w:r w:rsidRPr="008742E9">
        <w:rPr>
          <w:rFonts w:eastAsia="Calibri"/>
          <w:sz w:val="22"/>
          <w:szCs w:val="22"/>
          <w:lang w:eastAsia="en-US"/>
        </w:rPr>
        <w:lastRenderedPageBreak/>
        <w:t>Список литературы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1.</w:t>
      </w:r>
      <w:r w:rsidRPr="008742E9">
        <w:rPr>
          <w:rFonts w:eastAsia="Calibri"/>
          <w:lang w:eastAsia="en-US"/>
        </w:rPr>
        <w:t xml:space="preserve"> </w:t>
      </w:r>
      <w:r w:rsidRPr="008742E9">
        <w:rPr>
          <w:rFonts w:eastAsia="Calibri"/>
          <w:sz w:val="22"/>
          <w:szCs w:val="22"/>
          <w:lang w:eastAsia="en-US"/>
        </w:rPr>
        <w:t>Контроль качества молока и молочных продуктов</w:t>
      </w:r>
      <w:proofErr w:type="gramStart"/>
      <w:r w:rsidRPr="008742E9">
        <w:rPr>
          <w:rFonts w:eastAsia="Calibri"/>
          <w:sz w:val="22"/>
          <w:szCs w:val="22"/>
          <w:lang w:eastAsia="en-US"/>
        </w:rPr>
        <w:t xml:space="preserve"> :</w:t>
      </w:r>
      <w:proofErr w:type="gramEnd"/>
      <w:r w:rsidRPr="008742E9">
        <w:rPr>
          <w:rFonts w:eastAsia="Calibri"/>
          <w:sz w:val="22"/>
          <w:szCs w:val="22"/>
          <w:lang w:eastAsia="en-US"/>
        </w:rPr>
        <w:t xml:space="preserve"> учебник / Б. К. Асенова, М. Б. Ребезов, Г. М. Топурия, Л. Ю. Топурия, Ф. Х. Смольникова. – Алматы</w:t>
      </w:r>
      <w:proofErr w:type="gramStart"/>
      <w:r w:rsidRPr="008742E9">
        <w:rPr>
          <w:rFonts w:eastAsia="Calibri"/>
          <w:sz w:val="22"/>
          <w:szCs w:val="22"/>
          <w:lang w:eastAsia="en-US"/>
        </w:rPr>
        <w:t xml:space="preserve"> :</w:t>
      </w:r>
      <w:proofErr w:type="gramEnd"/>
      <w:r w:rsidRPr="008742E9">
        <w:rPr>
          <w:rFonts w:eastAsia="Calibri"/>
          <w:sz w:val="22"/>
          <w:szCs w:val="22"/>
          <w:lang w:eastAsia="en-US"/>
        </w:rPr>
        <w:t xml:space="preserve"> СГУ, 2013. – 212 с. </w:t>
      </w:r>
    </w:p>
    <w:p w:rsidR="008742E9" w:rsidRPr="008742E9" w:rsidRDefault="008742E9" w:rsidP="00667E25">
      <w:pPr>
        <w:ind w:firstLine="426"/>
        <w:jc w:val="both"/>
        <w:rPr>
          <w:rFonts w:eastAsia="Calibri"/>
          <w:sz w:val="22"/>
          <w:szCs w:val="22"/>
          <w:lang w:eastAsia="en-US"/>
        </w:rPr>
      </w:pPr>
      <w:r w:rsidRPr="008742E9">
        <w:rPr>
          <w:rFonts w:eastAsia="Calibri"/>
          <w:bCs/>
          <w:sz w:val="22"/>
          <w:szCs w:val="22"/>
          <w:lang w:eastAsia="en-US"/>
        </w:rPr>
        <w:t>2. Смирнов А. В. Ветеринарно-санитарная экспертиза с осн</w:t>
      </w:r>
      <w:r w:rsidRPr="008742E9">
        <w:rPr>
          <w:rFonts w:eastAsia="Calibri"/>
          <w:bCs/>
          <w:sz w:val="22"/>
          <w:szCs w:val="22"/>
          <w:lang w:eastAsia="en-US"/>
        </w:rPr>
        <w:t>о</w:t>
      </w:r>
      <w:r w:rsidRPr="008742E9">
        <w:rPr>
          <w:rFonts w:eastAsia="Calibri"/>
          <w:bCs/>
          <w:sz w:val="22"/>
          <w:szCs w:val="22"/>
          <w:lang w:eastAsia="en-US"/>
        </w:rPr>
        <w:t>вами технологии молока и молочных продуктов : учеб</w:t>
      </w:r>
      <w:proofErr w:type="gramStart"/>
      <w:r w:rsidRPr="008742E9">
        <w:rPr>
          <w:rFonts w:eastAsia="Calibri"/>
          <w:bCs/>
          <w:sz w:val="22"/>
          <w:szCs w:val="22"/>
          <w:lang w:eastAsia="en-US"/>
        </w:rPr>
        <w:t>.</w:t>
      </w:r>
      <w:proofErr w:type="gramEnd"/>
      <w:r w:rsidRPr="008742E9">
        <w:rPr>
          <w:rFonts w:eastAsia="Calibri"/>
          <w:bCs/>
          <w:sz w:val="22"/>
          <w:szCs w:val="22"/>
          <w:lang w:eastAsia="en-US"/>
        </w:rPr>
        <w:t xml:space="preserve"> </w:t>
      </w:r>
      <w:proofErr w:type="gramStart"/>
      <w:r w:rsidRPr="008742E9">
        <w:rPr>
          <w:rFonts w:eastAsia="Calibri"/>
          <w:bCs/>
          <w:sz w:val="22"/>
          <w:szCs w:val="22"/>
          <w:lang w:eastAsia="en-US"/>
        </w:rPr>
        <w:t>п</w:t>
      </w:r>
      <w:proofErr w:type="gramEnd"/>
      <w:r w:rsidRPr="008742E9">
        <w:rPr>
          <w:rFonts w:eastAsia="Calibri"/>
          <w:bCs/>
          <w:sz w:val="22"/>
          <w:szCs w:val="22"/>
          <w:lang w:eastAsia="en-US"/>
        </w:rPr>
        <w:t>особие / А. В. Смирнов. – СПб</w:t>
      </w:r>
      <w:proofErr w:type="gramStart"/>
      <w:r w:rsidRPr="008742E9">
        <w:rPr>
          <w:rFonts w:eastAsia="Calibri"/>
          <w:bCs/>
          <w:sz w:val="22"/>
          <w:szCs w:val="22"/>
          <w:lang w:eastAsia="en-US"/>
        </w:rPr>
        <w:t xml:space="preserve">. : </w:t>
      </w:r>
      <w:proofErr w:type="gramEnd"/>
      <w:r w:rsidRPr="008742E9">
        <w:rPr>
          <w:rFonts w:eastAsia="Calibri"/>
          <w:bCs/>
          <w:sz w:val="22"/>
          <w:szCs w:val="22"/>
          <w:lang w:eastAsia="en-US"/>
        </w:rPr>
        <w:t>ГИОРД, 2013. – 136 с.</w:t>
      </w:r>
      <w:r w:rsidRPr="008742E9">
        <w:rPr>
          <w:rFonts w:eastAsia="Calibri"/>
          <w:sz w:val="22"/>
          <w:szCs w:val="22"/>
          <w:lang w:eastAsia="en-US"/>
        </w:rPr>
        <w:t xml:space="preserve"> </w:t>
      </w:r>
    </w:p>
    <w:p w:rsidR="008742E9" w:rsidRPr="008742E9" w:rsidRDefault="008742E9" w:rsidP="00667E25">
      <w:pPr>
        <w:ind w:firstLine="426"/>
        <w:jc w:val="both"/>
        <w:rPr>
          <w:rFonts w:eastAsia="Calibri"/>
          <w:bCs/>
          <w:sz w:val="22"/>
          <w:szCs w:val="22"/>
          <w:lang w:eastAsia="en-US"/>
        </w:rPr>
      </w:pPr>
      <w:r w:rsidRPr="008742E9">
        <w:rPr>
          <w:rFonts w:eastAsia="Calibri"/>
          <w:sz w:val="22"/>
          <w:szCs w:val="22"/>
          <w:lang w:eastAsia="en-US"/>
        </w:rPr>
        <w:t>3. Г</w:t>
      </w:r>
      <w:r w:rsidRPr="008742E9">
        <w:rPr>
          <w:rFonts w:eastAsia="Calibri"/>
          <w:bCs/>
          <w:sz w:val="22"/>
          <w:szCs w:val="22"/>
          <w:lang w:eastAsia="en-US"/>
        </w:rPr>
        <w:t xml:space="preserve">ОСТ </w:t>
      </w:r>
      <w:proofErr w:type="gramStart"/>
      <w:r w:rsidRPr="008742E9">
        <w:rPr>
          <w:rFonts w:eastAsia="Calibri"/>
          <w:bCs/>
          <w:sz w:val="22"/>
          <w:szCs w:val="22"/>
          <w:lang w:eastAsia="en-US"/>
        </w:rPr>
        <w:t>Р</w:t>
      </w:r>
      <w:proofErr w:type="gramEnd"/>
      <w:r w:rsidRPr="008742E9">
        <w:rPr>
          <w:rFonts w:eastAsia="Calibri"/>
          <w:bCs/>
          <w:sz w:val="22"/>
          <w:szCs w:val="22"/>
          <w:lang w:eastAsia="en-US"/>
        </w:rPr>
        <w:t xml:space="preserve"> 52054-2003 Молоко коровье сырое. Технические условия. – Сб. ГОСТов. – М.: Стандартинформ, 2008. –  15 с.</w:t>
      </w:r>
    </w:p>
    <w:p w:rsidR="00667E25" w:rsidRDefault="00667E25" w:rsidP="008742E9">
      <w:pPr>
        <w:rPr>
          <w:rFonts w:eastAsia="Calibri"/>
          <w:sz w:val="22"/>
          <w:szCs w:val="22"/>
          <w:lang w:eastAsia="en-US"/>
        </w:rPr>
      </w:pPr>
    </w:p>
    <w:p w:rsidR="00667E25" w:rsidRDefault="00667E25" w:rsidP="008742E9">
      <w:pPr>
        <w:rPr>
          <w:rFonts w:eastAsia="Calibri"/>
          <w:sz w:val="22"/>
          <w:szCs w:val="22"/>
          <w:lang w:eastAsia="en-US"/>
        </w:rPr>
      </w:pPr>
    </w:p>
    <w:p w:rsidR="00667E25" w:rsidRDefault="00667E25" w:rsidP="008742E9">
      <w:pPr>
        <w:rPr>
          <w:rFonts w:eastAsia="Calibri"/>
          <w:sz w:val="22"/>
          <w:szCs w:val="22"/>
          <w:lang w:eastAsia="en-US"/>
        </w:rPr>
      </w:pPr>
    </w:p>
    <w:p w:rsidR="008742E9" w:rsidRPr="008742E9" w:rsidRDefault="008742E9" w:rsidP="008742E9">
      <w:pPr>
        <w:rPr>
          <w:rFonts w:eastAsia="Calibri"/>
          <w:sz w:val="22"/>
          <w:szCs w:val="22"/>
          <w:lang w:eastAsia="en-US"/>
        </w:rPr>
      </w:pPr>
      <w:r w:rsidRPr="008742E9">
        <w:rPr>
          <w:rFonts w:eastAsia="Calibri"/>
          <w:sz w:val="22"/>
          <w:szCs w:val="22"/>
          <w:lang w:eastAsia="en-US"/>
        </w:rPr>
        <w:t>УДК 619:614.31:637.5</w:t>
      </w:r>
    </w:p>
    <w:p w:rsidR="008742E9" w:rsidRPr="008742E9" w:rsidRDefault="008742E9" w:rsidP="008742E9">
      <w:pPr>
        <w:rPr>
          <w:rFonts w:eastAsia="Calibri"/>
          <w:sz w:val="22"/>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Значение и этапы проведения ветеринарно-санитарного контроля на мясоперерабатывающем предприятии</w:t>
      </w:r>
    </w:p>
    <w:p w:rsidR="008742E9" w:rsidRPr="008742E9" w:rsidRDefault="008742E9" w:rsidP="008742E9">
      <w:pPr>
        <w:jc w:val="center"/>
        <w:rPr>
          <w:rFonts w:eastAsia="Calibri"/>
          <w:b/>
          <w:sz w:val="24"/>
          <w:szCs w:val="22"/>
          <w:lang w:val="en-US" w:eastAsia="en-US"/>
        </w:rPr>
      </w:pPr>
      <w:r w:rsidRPr="008742E9">
        <w:rPr>
          <w:rFonts w:eastAsia="Calibri"/>
          <w:b/>
          <w:sz w:val="24"/>
          <w:szCs w:val="22"/>
          <w:lang w:val="en-US" w:eastAsia="en-US"/>
        </w:rPr>
        <w:t xml:space="preserve">Meaning and stages of veterinary and sanitary control </w:t>
      </w:r>
      <w:r w:rsidRPr="008742E9">
        <w:rPr>
          <w:rFonts w:eastAsia="Calibri"/>
          <w:b/>
          <w:sz w:val="24"/>
          <w:szCs w:val="22"/>
          <w:lang w:val="en-US" w:eastAsia="en-US"/>
        </w:rPr>
        <w:br/>
        <w:t>in the packing house</w:t>
      </w:r>
    </w:p>
    <w:p w:rsidR="008742E9" w:rsidRPr="008742E9" w:rsidRDefault="008742E9" w:rsidP="008742E9">
      <w:pPr>
        <w:jc w:val="right"/>
        <w:rPr>
          <w:rFonts w:eastAsia="Calibri"/>
          <w:sz w:val="22"/>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Киященко А.</w:t>
      </w:r>
      <w:r w:rsidR="00667E25">
        <w:rPr>
          <w:rFonts w:eastAsia="Calibri"/>
          <w:sz w:val="22"/>
          <w:szCs w:val="22"/>
          <w:lang w:eastAsia="en-US"/>
        </w:rPr>
        <w:t xml:space="preserve"> </w:t>
      </w:r>
      <w:r w:rsidRPr="008742E9">
        <w:rPr>
          <w:rFonts w:eastAsia="Calibri"/>
          <w:sz w:val="22"/>
          <w:szCs w:val="22"/>
          <w:lang w:eastAsia="en-US"/>
        </w:rPr>
        <w:t>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студент 4 курса факультета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Тищенко А.</w:t>
      </w:r>
      <w:r w:rsidR="00667E25">
        <w:rPr>
          <w:rFonts w:eastAsia="Calibri"/>
          <w:sz w:val="22"/>
          <w:szCs w:val="22"/>
          <w:lang w:eastAsia="en-US"/>
        </w:rPr>
        <w:t xml:space="preserve"> </w:t>
      </w:r>
      <w:r w:rsidRPr="008742E9">
        <w:rPr>
          <w:rFonts w:eastAsia="Calibri"/>
          <w:sz w:val="22"/>
          <w:szCs w:val="22"/>
          <w:lang w:eastAsia="en-US"/>
        </w:rPr>
        <w:t>С.,</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микробиологии,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эпизоотологии и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667E25">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АНОТАЦИЯ: В статье представлен анализ качества произво</w:t>
      </w:r>
      <w:r w:rsidRPr="008742E9">
        <w:rPr>
          <w:rFonts w:eastAsia="Calibri"/>
          <w:sz w:val="22"/>
          <w:szCs w:val="22"/>
          <w:lang w:eastAsia="en-US"/>
        </w:rPr>
        <w:t>д</w:t>
      </w:r>
      <w:r w:rsidRPr="008742E9">
        <w:rPr>
          <w:rFonts w:eastAsia="Calibri"/>
          <w:sz w:val="22"/>
          <w:szCs w:val="22"/>
          <w:lang w:eastAsia="en-US"/>
        </w:rPr>
        <w:t>ственно-ветеринарных и санитарно-гигиенических мероприятий, проводимых на мясоперерабатывающем предприятии.</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ABSTRACT: In an entry introduce quality analysis veterinary prac-tical and sanitary-hygienic activities which estimate in the packing house.</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КЛЮЧЕВЫЕ СЛОВА: ветеринарный контроль, мясоперераб</w:t>
      </w:r>
      <w:r w:rsidRPr="008742E9">
        <w:rPr>
          <w:rFonts w:eastAsia="Calibri"/>
          <w:sz w:val="22"/>
          <w:szCs w:val="22"/>
          <w:lang w:eastAsia="en-US"/>
        </w:rPr>
        <w:t>а</w:t>
      </w:r>
      <w:r w:rsidRPr="008742E9">
        <w:rPr>
          <w:rFonts w:eastAsia="Calibri"/>
          <w:sz w:val="22"/>
          <w:szCs w:val="22"/>
          <w:lang w:eastAsia="en-US"/>
        </w:rPr>
        <w:t>тывающее предприятие, крупный рогатый скот.</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KEY WORDS:</w:t>
      </w:r>
      <w:r w:rsidRPr="008742E9">
        <w:rPr>
          <w:rFonts w:ascii="Calibri" w:eastAsia="Calibri" w:hAnsi="Calibri"/>
          <w:sz w:val="22"/>
          <w:szCs w:val="22"/>
          <w:lang w:val="en-US" w:eastAsia="en-US"/>
        </w:rPr>
        <w:t xml:space="preserve"> </w:t>
      </w:r>
      <w:r w:rsidRPr="008742E9">
        <w:rPr>
          <w:rFonts w:eastAsia="Calibri"/>
          <w:sz w:val="22"/>
          <w:szCs w:val="22"/>
          <w:lang w:val="en-US" w:eastAsia="en-US"/>
        </w:rPr>
        <w:t>veterinary checks, packing house, cattle.</w:t>
      </w:r>
    </w:p>
    <w:p w:rsidR="008742E9" w:rsidRPr="008742E9" w:rsidRDefault="008742E9" w:rsidP="00667E25">
      <w:pPr>
        <w:ind w:firstLine="426"/>
        <w:jc w:val="both"/>
        <w:rPr>
          <w:rFonts w:eastAsia="Calibri"/>
          <w:sz w:val="22"/>
          <w:szCs w:val="22"/>
          <w:lang w:val="en-US"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Производственный ветеринарный контроль на мясоперераб</w:t>
      </w:r>
      <w:r w:rsidRPr="008742E9">
        <w:rPr>
          <w:rFonts w:eastAsia="Calibri"/>
          <w:sz w:val="22"/>
          <w:szCs w:val="22"/>
          <w:lang w:eastAsia="en-US"/>
        </w:rPr>
        <w:t>а</w:t>
      </w:r>
      <w:r w:rsidRPr="008742E9">
        <w:rPr>
          <w:rFonts w:eastAsia="Calibri"/>
          <w:sz w:val="22"/>
          <w:szCs w:val="22"/>
          <w:lang w:eastAsia="en-US"/>
        </w:rPr>
        <w:t>тывающих предприятиях является одним из наиболее значимых и важных этапов на пути осуществления ветеринарного и санитарн</w:t>
      </w:r>
      <w:r w:rsidRPr="008742E9">
        <w:rPr>
          <w:rFonts w:eastAsia="Calibri"/>
          <w:sz w:val="22"/>
          <w:szCs w:val="22"/>
          <w:lang w:eastAsia="en-US"/>
        </w:rPr>
        <w:t>о</w:t>
      </w:r>
      <w:r w:rsidRPr="008742E9">
        <w:rPr>
          <w:rFonts w:eastAsia="Calibri"/>
          <w:sz w:val="22"/>
          <w:szCs w:val="22"/>
          <w:lang w:eastAsia="en-US"/>
        </w:rPr>
        <w:t>го надзоров и связанных с ним мероприятий при убое животных, переработке мяса и мясных продуктов, с последующей их реализ</w:t>
      </w:r>
      <w:r w:rsidRPr="008742E9">
        <w:rPr>
          <w:rFonts w:eastAsia="Calibri"/>
          <w:sz w:val="22"/>
          <w:szCs w:val="22"/>
          <w:lang w:eastAsia="en-US"/>
        </w:rPr>
        <w:t>а</w:t>
      </w:r>
      <w:r w:rsidRPr="008742E9">
        <w:rPr>
          <w:rFonts w:eastAsia="Calibri"/>
          <w:sz w:val="22"/>
          <w:szCs w:val="22"/>
          <w:lang w:eastAsia="en-US"/>
        </w:rPr>
        <w:t>цией на рынках и других торговых точках. Ведь именно на стадии производства продукции в обязательном порядке решаются пр</w:t>
      </w:r>
      <w:r w:rsidRPr="008742E9">
        <w:rPr>
          <w:rFonts w:eastAsia="Calibri"/>
          <w:sz w:val="22"/>
          <w:szCs w:val="22"/>
          <w:lang w:eastAsia="en-US"/>
        </w:rPr>
        <w:t>о</w:t>
      </w:r>
      <w:r w:rsidRPr="008742E9">
        <w:rPr>
          <w:rFonts w:eastAsia="Calibri"/>
          <w:sz w:val="22"/>
          <w:szCs w:val="22"/>
          <w:lang w:eastAsia="en-US"/>
        </w:rPr>
        <w:t>блемы не только биологического качества и безопасности проду</w:t>
      </w:r>
      <w:r w:rsidRPr="008742E9">
        <w:rPr>
          <w:rFonts w:eastAsia="Calibri"/>
          <w:sz w:val="22"/>
          <w:szCs w:val="22"/>
          <w:lang w:eastAsia="en-US"/>
        </w:rPr>
        <w:t>к</w:t>
      </w:r>
      <w:r w:rsidRPr="008742E9">
        <w:rPr>
          <w:rFonts w:eastAsia="Calibri"/>
          <w:sz w:val="22"/>
          <w:szCs w:val="22"/>
          <w:lang w:eastAsia="en-US"/>
        </w:rPr>
        <w:t>тов питания, но и многие аспекты здоровья людей [1, 3].</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Целью данной работы явилось изучение основных этапов пр</w:t>
      </w:r>
      <w:r w:rsidRPr="008742E9">
        <w:rPr>
          <w:rFonts w:eastAsia="Calibri"/>
          <w:sz w:val="22"/>
          <w:szCs w:val="22"/>
          <w:lang w:eastAsia="en-US"/>
        </w:rPr>
        <w:t>о</w:t>
      </w:r>
      <w:r w:rsidRPr="008742E9">
        <w:rPr>
          <w:rFonts w:eastAsia="Calibri"/>
          <w:sz w:val="22"/>
          <w:szCs w:val="22"/>
          <w:lang w:eastAsia="en-US"/>
        </w:rPr>
        <w:t>изводственно-ветеринарного и санитарно-гигиенического контр</w:t>
      </w:r>
      <w:r w:rsidRPr="008742E9">
        <w:rPr>
          <w:rFonts w:eastAsia="Calibri"/>
          <w:sz w:val="22"/>
          <w:szCs w:val="22"/>
          <w:lang w:eastAsia="en-US"/>
        </w:rPr>
        <w:t>о</w:t>
      </w:r>
      <w:r w:rsidRPr="008742E9">
        <w:rPr>
          <w:rFonts w:eastAsia="Calibri"/>
          <w:sz w:val="22"/>
          <w:szCs w:val="22"/>
          <w:lang w:eastAsia="en-US"/>
        </w:rPr>
        <w:t>лей в условиях мясоперерабатывающего предприятия ООО «Бря</w:t>
      </w:r>
      <w:r w:rsidRPr="008742E9">
        <w:rPr>
          <w:rFonts w:eastAsia="Calibri"/>
          <w:sz w:val="22"/>
          <w:szCs w:val="22"/>
          <w:lang w:eastAsia="en-US"/>
        </w:rPr>
        <w:t>н</w:t>
      </w:r>
      <w:r w:rsidRPr="008742E9">
        <w:rPr>
          <w:rFonts w:eastAsia="Calibri"/>
          <w:sz w:val="22"/>
          <w:szCs w:val="22"/>
          <w:lang w:eastAsia="en-US"/>
        </w:rPr>
        <w:t>ская мясная компания».</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Комплекс по убою и переработке крупного рогатого скот</w:t>
      </w:r>
      <w:proofErr w:type="gramStart"/>
      <w:r w:rsidRPr="008742E9">
        <w:rPr>
          <w:rFonts w:eastAsia="Calibri"/>
          <w:sz w:val="22"/>
          <w:szCs w:val="22"/>
          <w:lang w:eastAsia="en-US"/>
        </w:rPr>
        <w:t>а ООО</w:t>
      </w:r>
      <w:proofErr w:type="gramEnd"/>
      <w:r w:rsidRPr="008742E9">
        <w:rPr>
          <w:rFonts w:eastAsia="Calibri"/>
          <w:sz w:val="22"/>
          <w:szCs w:val="22"/>
          <w:lang w:eastAsia="en-US"/>
        </w:rPr>
        <w:t xml:space="preserve"> «Брянская мясная компания» входит в состав агрохолдинга «Мир</w:t>
      </w:r>
      <w:r w:rsidRPr="008742E9">
        <w:rPr>
          <w:rFonts w:eastAsia="Calibri"/>
          <w:sz w:val="22"/>
          <w:szCs w:val="22"/>
          <w:lang w:eastAsia="en-US"/>
        </w:rPr>
        <w:t>а</w:t>
      </w:r>
      <w:r w:rsidRPr="008742E9">
        <w:rPr>
          <w:rFonts w:eastAsia="Calibri"/>
          <w:sz w:val="22"/>
          <w:szCs w:val="22"/>
          <w:lang w:eastAsia="en-US"/>
        </w:rPr>
        <w:t xml:space="preserve">торг». Основная цель деятельности </w:t>
      </w:r>
      <w:r w:rsidRPr="008742E9">
        <w:rPr>
          <w:rFonts w:eastAsia="Calibri"/>
          <w:sz w:val="22"/>
          <w:szCs w:val="22"/>
          <w:lang w:eastAsia="en-US"/>
        </w:rPr>
        <w:sym w:font="Symbol" w:char="F02D"/>
      </w:r>
      <w:r w:rsidRPr="008742E9">
        <w:rPr>
          <w:rFonts w:eastAsia="Calibri"/>
          <w:sz w:val="22"/>
          <w:szCs w:val="22"/>
          <w:lang w:eastAsia="en-US"/>
        </w:rPr>
        <w:t xml:space="preserve"> производство высококач</w:t>
      </w:r>
      <w:r w:rsidRPr="008742E9">
        <w:rPr>
          <w:rFonts w:eastAsia="Calibri"/>
          <w:sz w:val="22"/>
          <w:szCs w:val="22"/>
          <w:lang w:eastAsia="en-US"/>
        </w:rPr>
        <w:t>е</w:t>
      </w:r>
      <w:r w:rsidRPr="008742E9">
        <w:rPr>
          <w:rFonts w:eastAsia="Calibri"/>
          <w:sz w:val="22"/>
          <w:szCs w:val="22"/>
          <w:lang w:eastAsia="en-US"/>
        </w:rPr>
        <w:t xml:space="preserve">ственной говядины с использованием скороспелой мясной породы </w:t>
      </w:r>
      <w:proofErr w:type="gramStart"/>
      <w:r w:rsidRPr="008742E9">
        <w:rPr>
          <w:rFonts w:eastAsia="Calibri"/>
          <w:sz w:val="22"/>
          <w:szCs w:val="22"/>
          <w:lang w:eastAsia="en-US"/>
        </w:rPr>
        <w:t>черный</w:t>
      </w:r>
      <w:proofErr w:type="gramEnd"/>
      <w:r w:rsidRPr="008742E9">
        <w:rPr>
          <w:rFonts w:eastAsia="Calibri"/>
          <w:sz w:val="22"/>
          <w:szCs w:val="22"/>
          <w:lang w:eastAsia="en-US"/>
        </w:rPr>
        <w:t xml:space="preserve"> ангусс. Предприятие выпускает огромный ассортимент продукции, происходит практически безотходная переработка, начиная от охлажденной мраморной говядины до шкуры. Как и на других производствах холдинга, здесь внедрены инновационные технологии, рабочие процессы полностью автоматизированы. Бойня не имеет аналогов в России по своей технологической оснащенн</w:t>
      </w:r>
      <w:r w:rsidRPr="008742E9">
        <w:rPr>
          <w:rFonts w:eastAsia="Calibri"/>
          <w:sz w:val="22"/>
          <w:szCs w:val="22"/>
          <w:lang w:eastAsia="en-US"/>
        </w:rPr>
        <w:t>о</w:t>
      </w:r>
      <w:r w:rsidRPr="008742E9">
        <w:rPr>
          <w:rFonts w:eastAsia="Calibri"/>
          <w:sz w:val="22"/>
          <w:szCs w:val="22"/>
          <w:lang w:eastAsia="en-US"/>
        </w:rPr>
        <w:t>сти, экологической и промышленной безопасности, уровню ветер</w:t>
      </w:r>
      <w:r w:rsidRPr="008742E9">
        <w:rPr>
          <w:rFonts w:eastAsia="Calibri"/>
          <w:sz w:val="22"/>
          <w:szCs w:val="22"/>
          <w:lang w:eastAsia="en-US"/>
        </w:rPr>
        <w:t>и</w:t>
      </w:r>
      <w:r w:rsidRPr="008742E9">
        <w:rPr>
          <w:rFonts w:eastAsia="Calibri"/>
          <w:sz w:val="22"/>
          <w:szCs w:val="22"/>
          <w:lang w:eastAsia="en-US"/>
        </w:rPr>
        <w:t xml:space="preserve">нарного контроля и мощности выпуска готовой продукции [2].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Работа ветеринарных специалистов начинается с приемки скота поступающего на убой, скот может поступать на базу предубойного содержания животных автотранспортом либо гоном. Не зависимо от вида поступления животных работник отдела производственно-ветеринарного контроля проверяет наличие на каждую партию ж</w:t>
      </w:r>
      <w:r w:rsidRPr="008742E9">
        <w:rPr>
          <w:rFonts w:eastAsia="Calibri"/>
          <w:sz w:val="22"/>
          <w:szCs w:val="22"/>
          <w:lang w:eastAsia="en-US"/>
        </w:rPr>
        <w:t>и</w:t>
      </w:r>
      <w:r w:rsidRPr="008742E9">
        <w:rPr>
          <w:rFonts w:eastAsia="Calibri"/>
          <w:sz w:val="22"/>
          <w:szCs w:val="22"/>
          <w:lang w:eastAsia="en-US"/>
        </w:rPr>
        <w:t>вотных, направляемых для убоя, ветеринарных свидетельств (или справку) в установленном ветеринарным законодательством поря</w:t>
      </w:r>
      <w:r w:rsidRPr="008742E9">
        <w:rPr>
          <w:rFonts w:eastAsia="Calibri"/>
          <w:sz w:val="22"/>
          <w:szCs w:val="22"/>
          <w:lang w:eastAsia="en-US"/>
        </w:rPr>
        <w:t>д</w:t>
      </w:r>
      <w:r w:rsidRPr="008742E9">
        <w:rPr>
          <w:rFonts w:eastAsia="Calibri"/>
          <w:sz w:val="22"/>
          <w:szCs w:val="22"/>
          <w:lang w:eastAsia="en-US"/>
        </w:rPr>
        <w:t>ке, с обязательным указанием всех сведений, предусмотренных формой свидетельства, в том числе сведений о благополучии ж</w:t>
      </w:r>
      <w:r w:rsidRPr="008742E9">
        <w:rPr>
          <w:rFonts w:eastAsia="Calibri"/>
          <w:sz w:val="22"/>
          <w:szCs w:val="22"/>
          <w:lang w:eastAsia="en-US"/>
        </w:rPr>
        <w:t>и</w:t>
      </w:r>
      <w:r w:rsidRPr="008742E9">
        <w:rPr>
          <w:rFonts w:eastAsia="Calibri"/>
          <w:sz w:val="22"/>
          <w:szCs w:val="22"/>
          <w:lang w:eastAsia="en-US"/>
        </w:rPr>
        <w:t>вотных и местах их выхода по заразным болезням.</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На следующем этапе ветеринарные специалисты проводят п</w:t>
      </w:r>
      <w:r w:rsidRPr="008742E9">
        <w:rPr>
          <w:rFonts w:eastAsia="Calibri"/>
          <w:sz w:val="22"/>
          <w:szCs w:val="22"/>
          <w:lang w:eastAsia="en-US"/>
        </w:rPr>
        <w:t>о</w:t>
      </w:r>
      <w:r w:rsidRPr="008742E9">
        <w:rPr>
          <w:rFonts w:eastAsia="Calibri"/>
          <w:sz w:val="22"/>
          <w:szCs w:val="22"/>
          <w:lang w:eastAsia="en-US"/>
        </w:rPr>
        <w:t>слеубойную ветеринарно-санитарную экспертизу головы, внутре</w:t>
      </w:r>
      <w:r w:rsidRPr="008742E9">
        <w:rPr>
          <w:rFonts w:eastAsia="Calibri"/>
          <w:sz w:val="22"/>
          <w:szCs w:val="22"/>
          <w:lang w:eastAsia="en-US"/>
        </w:rPr>
        <w:t>н</w:t>
      </w:r>
      <w:r w:rsidRPr="008742E9">
        <w:rPr>
          <w:rFonts w:eastAsia="Calibri"/>
          <w:sz w:val="22"/>
          <w:szCs w:val="22"/>
          <w:lang w:eastAsia="en-US"/>
        </w:rPr>
        <w:t xml:space="preserve">них органов и туши.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Первая точка осмотра – это осмотр головы и красных органов (печень, сердце, легкие). Следующая точка ветеринарно-санитарная экспертизы – белые органы (многокамерный желудок, селезенку, органы мочеполовой системы). Ветеринарно-санитарная экспертиза полутуш. Осматривают полутушу на наличие патологических изм</w:t>
      </w:r>
      <w:r w:rsidRPr="008742E9">
        <w:rPr>
          <w:rFonts w:eastAsia="Calibri"/>
          <w:sz w:val="22"/>
          <w:szCs w:val="22"/>
          <w:lang w:eastAsia="en-US"/>
        </w:rPr>
        <w:t>е</w:t>
      </w:r>
      <w:r w:rsidRPr="008742E9">
        <w:rPr>
          <w:rFonts w:eastAsia="Calibri"/>
          <w:sz w:val="22"/>
          <w:szCs w:val="22"/>
          <w:lang w:eastAsia="en-US"/>
        </w:rPr>
        <w:t>нений (кровоизлияния, инфильтраты, абсцессы и т.д.), зачищают обнаруженные дефекты туш.</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Также на мясоперерабатывающем предприятии большое вн</w:t>
      </w:r>
      <w:r w:rsidRPr="008742E9">
        <w:rPr>
          <w:rFonts w:eastAsia="Calibri"/>
          <w:sz w:val="22"/>
          <w:szCs w:val="22"/>
          <w:lang w:eastAsia="en-US"/>
        </w:rPr>
        <w:t>и</w:t>
      </w:r>
      <w:r w:rsidRPr="008742E9">
        <w:rPr>
          <w:rFonts w:eastAsia="Calibri"/>
          <w:sz w:val="22"/>
          <w:szCs w:val="22"/>
          <w:lang w:eastAsia="en-US"/>
        </w:rPr>
        <w:t>мание уделяется санитарно-гигиеническому состоянию произво</w:t>
      </w:r>
      <w:r w:rsidRPr="008742E9">
        <w:rPr>
          <w:rFonts w:eastAsia="Calibri"/>
          <w:sz w:val="22"/>
          <w:szCs w:val="22"/>
          <w:lang w:eastAsia="en-US"/>
        </w:rPr>
        <w:t>д</w:t>
      </w:r>
      <w:r w:rsidRPr="008742E9">
        <w:rPr>
          <w:rFonts w:eastAsia="Calibri"/>
          <w:sz w:val="22"/>
          <w:szCs w:val="22"/>
          <w:lang w:eastAsia="en-US"/>
        </w:rPr>
        <w:t>ства, которое совместно с качеством сырья и технологическим пр</w:t>
      </w:r>
      <w:r w:rsidRPr="008742E9">
        <w:rPr>
          <w:rFonts w:eastAsia="Calibri"/>
          <w:sz w:val="22"/>
          <w:szCs w:val="22"/>
          <w:lang w:eastAsia="en-US"/>
        </w:rPr>
        <w:t>о</w:t>
      </w:r>
      <w:r w:rsidRPr="008742E9">
        <w:rPr>
          <w:rFonts w:eastAsia="Calibri"/>
          <w:sz w:val="22"/>
          <w:szCs w:val="22"/>
          <w:lang w:eastAsia="en-US"/>
        </w:rPr>
        <w:t>цессом, является важным элементом систем контроля по обеспеч</w:t>
      </w:r>
      <w:r w:rsidRPr="008742E9">
        <w:rPr>
          <w:rFonts w:eastAsia="Calibri"/>
          <w:sz w:val="22"/>
          <w:szCs w:val="22"/>
          <w:lang w:eastAsia="en-US"/>
        </w:rPr>
        <w:t>е</w:t>
      </w:r>
      <w:r w:rsidRPr="008742E9">
        <w:rPr>
          <w:rFonts w:eastAsia="Calibri"/>
          <w:sz w:val="22"/>
          <w:szCs w:val="22"/>
          <w:lang w:eastAsia="en-US"/>
        </w:rPr>
        <w:t>нию выпуска безопасных</w:t>
      </w:r>
      <w:r w:rsidRPr="008742E9">
        <w:rPr>
          <w:rFonts w:eastAsia="Calibri"/>
          <w:b/>
          <w:bCs/>
          <w:sz w:val="22"/>
          <w:szCs w:val="22"/>
          <w:lang w:eastAsia="en-US"/>
        </w:rPr>
        <w:t xml:space="preserve"> </w:t>
      </w:r>
      <w:r w:rsidRPr="008742E9">
        <w:rPr>
          <w:rFonts w:eastAsia="Calibri"/>
          <w:sz w:val="22"/>
          <w:szCs w:val="22"/>
          <w:lang w:eastAsia="en-US"/>
        </w:rPr>
        <w:t>продуктов гарантированного качества, что связано с эффективной организацией мер и контролирующих и</w:t>
      </w:r>
      <w:r w:rsidRPr="008742E9">
        <w:rPr>
          <w:rFonts w:eastAsia="Calibri"/>
          <w:sz w:val="22"/>
          <w:szCs w:val="22"/>
          <w:lang w:eastAsia="en-US"/>
        </w:rPr>
        <w:t>н</w:t>
      </w:r>
      <w:r w:rsidRPr="008742E9">
        <w:rPr>
          <w:rFonts w:eastAsia="Calibri"/>
          <w:sz w:val="22"/>
          <w:szCs w:val="22"/>
          <w:lang w:eastAsia="en-US"/>
        </w:rPr>
        <w:t>струментов по их исполнению.</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Мониторинг за санитарно-гигиеническим состоянием прои</w:t>
      </w:r>
      <w:r w:rsidRPr="008742E9">
        <w:rPr>
          <w:rFonts w:eastAsia="Calibri"/>
          <w:sz w:val="22"/>
          <w:szCs w:val="22"/>
          <w:lang w:eastAsia="en-US"/>
        </w:rPr>
        <w:t>з</w:t>
      </w:r>
      <w:r w:rsidRPr="008742E9">
        <w:rPr>
          <w:rFonts w:eastAsia="Calibri"/>
          <w:sz w:val="22"/>
          <w:szCs w:val="22"/>
          <w:lang w:eastAsia="en-US"/>
        </w:rPr>
        <w:t>водства предполагает:</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контроль санитарно-гигиенического состояния оборудования, трубопроводов, инвентаря, упаковочных материалов и т.д.;</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контроль санитарно-гигиенического состояния воздушной среды производственных помещений;</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контроль гигиенического состояния питьевой воды;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контроль соблюдения гигиены работниками предприятия.</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В свою очередь, контроль санитарно-гигиенического состояния оборудования, трубопроводов, инвентаря, упаковочных материалов и т.д. проводится путем взятия смывов с поверхностей и послед</w:t>
      </w:r>
      <w:r w:rsidRPr="008742E9">
        <w:rPr>
          <w:rFonts w:eastAsia="Calibri"/>
          <w:sz w:val="22"/>
          <w:szCs w:val="22"/>
          <w:lang w:eastAsia="en-US"/>
        </w:rPr>
        <w:t>у</w:t>
      </w:r>
      <w:r w:rsidRPr="008742E9">
        <w:rPr>
          <w:rFonts w:eastAsia="Calibri"/>
          <w:sz w:val="22"/>
          <w:szCs w:val="22"/>
          <w:lang w:eastAsia="en-US"/>
        </w:rPr>
        <w:t>ющем их анализе.</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Таким образом, отдел производственного и ветеринарно-санитарного контроля имеет большое значение и выполняет о</w:t>
      </w:r>
      <w:r w:rsidRPr="008742E9">
        <w:rPr>
          <w:rFonts w:eastAsia="Calibri"/>
          <w:sz w:val="22"/>
          <w:szCs w:val="22"/>
          <w:lang w:eastAsia="en-US"/>
        </w:rPr>
        <w:t>б</w:t>
      </w:r>
      <w:r w:rsidRPr="008742E9">
        <w:rPr>
          <w:rFonts w:eastAsia="Calibri"/>
          <w:sz w:val="22"/>
          <w:szCs w:val="22"/>
          <w:lang w:eastAsia="en-US"/>
        </w:rPr>
        <w:t>ширный ряд задач на мясоперерабатывающем предприятии, в р</w:t>
      </w:r>
      <w:r w:rsidRPr="008742E9">
        <w:rPr>
          <w:rFonts w:eastAsia="Calibri"/>
          <w:sz w:val="22"/>
          <w:szCs w:val="22"/>
          <w:lang w:eastAsia="en-US"/>
        </w:rPr>
        <w:t>е</w:t>
      </w:r>
      <w:r w:rsidRPr="008742E9">
        <w:rPr>
          <w:rFonts w:eastAsia="Calibri"/>
          <w:sz w:val="22"/>
          <w:szCs w:val="22"/>
          <w:lang w:eastAsia="en-US"/>
        </w:rPr>
        <w:t>зультате чего обеспечивается высокий уровень производства и к</w:t>
      </w:r>
      <w:r w:rsidRPr="008742E9">
        <w:rPr>
          <w:rFonts w:eastAsia="Calibri"/>
          <w:sz w:val="22"/>
          <w:szCs w:val="22"/>
          <w:lang w:eastAsia="en-US"/>
        </w:rPr>
        <w:t>а</w:t>
      </w:r>
      <w:r w:rsidRPr="008742E9">
        <w:rPr>
          <w:rFonts w:eastAsia="Calibri"/>
          <w:sz w:val="22"/>
          <w:szCs w:val="22"/>
          <w:lang w:eastAsia="en-US"/>
        </w:rPr>
        <w:t>чества выпускаемой продукции.</w:t>
      </w:r>
    </w:p>
    <w:p w:rsidR="008742E9" w:rsidRPr="008742E9" w:rsidRDefault="008742E9" w:rsidP="00667E25">
      <w:pPr>
        <w:ind w:firstLine="426"/>
        <w:jc w:val="both"/>
        <w:rPr>
          <w:rFonts w:eastAsia="Calibri"/>
          <w:sz w:val="22"/>
          <w:szCs w:val="22"/>
          <w:lang w:eastAsia="en-US"/>
        </w:rPr>
      </w:pPr>
    </w:p>
    <w:p w:rsidR="008742E9" w:rsidRPr="008742E9" w:rsidRDefault="008742E9" w:rsidP="00667E25">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1. Гудков А. В. Сыроделие: технологические, биологические и физико-химические аспекты.- М.: ДеЛи принт, 2003. – 800 с.</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2. Лебедько Е. Я. Готовность номер один показывает ООО «Брянская мясная компания» по импортозамещению в производстве высококачественной говядины // Молодой ученый. – 2015. – №5.2. – С. 18-22.</w:t>
      </w:r>
    </w:p>
    <w:p w:rsidR="008742E9" w:rsidRPr="008742E9" w:rsidRDefault="008742E9" w:rsidP="00641ADC">
      <w:pPr>
        <w:ind w:firstLine="426"/>
        <w:jc w:val="both"/>
        <w:rPr>
          <w:rFonts w:eastAsia="Calibri"/>
          <w:sz w:val="22"/>
          <w:szCs w:val="22"/>
          <w:lang w:eastAsia="en-US"/>
        </w:rPr>
      </w:pPr>
      <w:r w:rsidRPr="008742E9">
        <w:rPr>
          <w:rFonts w:eastAsia="Calibri"/>
          <w:sz w:val="22"/>
          <w:szCs w:val="22"/>
          <w:lang w:eastAsia="en-US"/>
        </w:rPr>
        <w:t>3. Терехов В.И. Сравнительный анализ состава микрооргани</w:t>
      </w:r>
      <w:r w:rsidRPr="008742E9">
        <w:rPr>
          <w:rFonts w:eastAsia="Calibri"/>
          <w:sz w:val="22"/>
          <w:szCs w:val="22"/>
          <w:lang w:eastAsia="en-US"/>
        </w:rPr>
        <w:t>з</w:t>
      </w:r>
      <w:r w:rsidRPr="008742E9">
        <w:rPr>
          <w:rFonts w:eastAsia="Calibri"/>
          <w:sz w:val="22"/>
          <w:szCs w:val="22"/>
          <w:lang w:eastAsia="en-US"/>
        </w:rPr>
        <w:t>мов, изолированных от новорожденных телят и поросят при острых кишечных заболеваниях / В.И. Терехов, А.С. Тищенко, Т.В. Мал</w:t>
      </w:r>
      <w:r w:rsidRPr="008742E9">
        <w:rPr>
          <w:rFonts w:eastAsia="Calibri"/>
          <w:sz w:val="22"/>
          <w:szCs w:val="22"/>
          <w:lang w:eastAsia="en-US"/>
        </w:rPr>
        <w:t>ы</w:t>
      </w:r>
      <w:r w:rsidRPr="008742E9">
        <w:rPr>
          <w:rFonts w:eastAsia="Calibri"/>
          <w:sz w:val="22"/>
          <w:szCs w:val="22"/>
          <w:lang w:eastAsia="en-US"/>
        </w:rPr>
        <w:t>шева, Я.Н. Мартыненко // Политематический сетевой электронный научный журнал Кубанского государственного аграрного универс</w:t>
      </w:r>
      <w:r w:rsidRPr="008742E9">
        <w:rPr>
          <w:rFonts w:eastAsia="Calibri"/>
          <w:sz w:val="22"/>
          <w:szCs w:val="22"/>
          <w:lang w:eastAsia="en-US"/>
        </w:rPr>
        <w:t>и</w:t>
      </w:r>
      <w:r w:rsidRPr="008742E9">
        <w:rPr>
          <w:rFonts w:eastAsia="Calibri"/>
          <w:sz w:val="22"/>
          <w:szCs w:val="22"/>
          <w:lang w:eastAsia="en-US"/>
        </w:rPr>
        <w:t>тета. – 2017. – № 132 (8). – С. 728–741.</w:t>
      </w:r>
    </w:p>
    <w:p w:rsidR="00384DE6" w:rsidRDefault="00384DE6" w:rsidP="008742E9">
      <w:pPr>
        <w:jc w:val="both"/>
        <w:rPr>
          <w:rFonts w:eastAsia="Calibri"/>
          <w:bCs/>
          <w:color w:val="000000"/>
          <w:sz w:val="22"/>
          <w:szCs w:val="22"/>
        </w:rPr>
      </w:pPr>
    </w:p>
    <w:p w:rsidR="00384DE6" w:rsidRDefault="00384DE6" w:rsidP="008742E9">
      <w:pPr>
        <w:jc w:val="both"/>
        <w:rPr>
          <w:rFonts w:eastAsia="Calibri"/>
          <w:bCs/>
          <w:color w:val="000000"/>
          <w:sz w:val="22"/>
          <w:szCs w:val="22"/>
        </w:rPr>
      </w:pPr>
    </w:p>
    <w:p w:rsidR="00384DE6" w:rsidRDefault="00384DE6" w:rsidP="008742E9">
      <w:pPr>
        <w:jc w:val="both"/>
        <w:rPr>
          <w:rFonts w:eastAsia="Calibri"/>
          <w:bCs/>
          <w:color w:val="000000"/>
          <w:sz w:val="22"/>
          <w:szCs w:val="22"/>
        </w:rPr>
      </w:pPr>
    </w:p>
    <w:p w:rsidR="008742E9" w:rsidRPr="008742E9" w:rsidRDefault="008742E9" w:rsidP="008742E9">
      <w:pPr>
        <w:jc w:val="both"/>
        <w:rPr>
          <w:rFonts w:eastAsia="Calibri"/>
          <w:bCs/>
          <w:color w:val="000000"/>
          <w:sz w:val="22"/>
          <w:szCs w:val="22"/>
        </w:rPr>
      </w:pPr>
      <w:proofErr w:type="gramStart"/>
      <w:r w:rsidRPr="008742E9">
        <w:rPr>
          <w:rFonts w:eastAsia="Calibri"/>
          <w:bCs/>
          <w:color w:val="000000"/>
          <w:sz w:val="22"/>
          <w:szCs w:val="22"/>
        </w:rPr>
        <w:t xml:space="preserve">УДК </w:t>
      </w:r>
      <w:r w:rsidRPr="008742E9">
        <w:rPr>
          <w:rFonts w:eastAsia="Calibri"/>
          <w:color w:val="000000"/>
          <w:sz w:val="22"/>
          <w:szCs w:val="22"/>
        </w:rPr>
        <w:t>619:614.31:[636.4:616.695.121</w:t>
      </w:r>
      <w:proofErr w:type="gramEnd"/>
    </w:p>
    <w:p w:rsidR="008742E9" w:rsidRPr="008742E9" w:rsidRDefault="008742E9" w:rsidP="008742E9">
      <w:pPr>
        <w:jc w:val="both"/>
        <w:rPr>
          <w:rFonts w:eastAsia="Calibri"/>
          <w:bCs/>
          <w:color w:val="000000"/>
          <w:sz w:val="20"/>
          <w:szCs w:val="20"/>
        </w:rPr>
      </w:pPr>
    </w:p>
    <w:p w:rsidR="008742E9" w:rsidRPr="008742E9" w:rsidRDefault="008742E9" w:rsidP="008742E9">
      <w:pPr>
        <w:jc w:val="center"/>
        <w:rPr>
          <w:rFonts w:eastAsia="Calibri"/>
          <w:b/>
          <w:bCs/>
          <w:sz w:val="24"/>
          <w:szCs w:val="24"/>
        </w:rPr>
      </w:pPr>
      <w:r w:rsidRPr="008742E9">
        <w:rPr>
          <w:rFonts w:eastAsia="Calibri"/>
          <w:b/>
          <w:bCs/>
          <w:sz w:val="24"/>
          <w:szCs w:val="24"/>
        </w:rPr>
        <w:t>Качество и безопасность колбасных изделий</w:t>
      </w:r>
    </w:p>
    <w:p w:rsidR="008742E9" w:rsidRPr="008742E9" w:rsidRDefault="008742E9" w:rsidP="008742E9">
      <w:pPr>
        <w:jc w:val="center"/>
        <w:rPr>
          <w:rFonts w:eastAsia="Calibri"/>
          <w:bCs/>
          <w:sz w:val="24"/>
          <w:szCs w:val="24"/>
          <w:lang w:val="en-US"/>
        </w:rPr>
      </w:pPr>
      <w:r w:rsidRPr="008742E9">
        <w:rPr>
          <w:rFonts w:eastAsia="Calibri"/>
          <w:b/>
          <w:sz w:val="24"/>
          <w:szCs w:val="24"/>
          <w:shd w:val="clear" w:color="auto" w:fill="FFFFFF"/>
          <w:lang w:val="en-US"/>
        </w:rPr>
        <w:t>The quality and safety of sausages</w:t>
      </w:r>
    </w:p>
    <w:p w:rsidR="008742E9" w:rsidRPr="008742E9" w:rsidRDefault="008742E9" w:rsidP="008742E9">
      <w:pPr>
        <w:jc w:val="right"/>
        <w:rPr>
          <w:rFonts w:eastAsia="Calibri"/>
          <w:color w:val="000000"/>
          <w:sz w:val="22"/>
          <w:szCs w:val="22"/>
          <w:lang w:val="en-US"/>
        </w:rPr>
      </w:pPr>
    </w:p>
    <w:p w:rsidR="008742E9" w:rsidRPr="008742E9" w:rsidRDefault="008742E9" w:rsidP="008742E9">
      <w:pPr>
        <w:jc w:val="right"/>
        <w:rPr>
          <w:rFonts w:eastAsia="Calibri"/>
          <w:color w:val="000000"/>
          <w:sz w:val="22"/>
          <w:szCs w:val="22"/>
        </w:rPr>
      </w:pPr>
      <w:r w:rsidRPr="008742E9">
        <w:rPr>
          <w:rFonts w:eastAsia="Calibri"/>
          <w:color w:val="000000"/>
          <w:sz w:val="22"/>
          <w:szCs w:val="22"/>
        </w:rPr>
        <w:t>Ковалев Ю.</w:t>
      </w:r>
      <w:r w:rsidR="00667E25">
        <w:rPr>
          <w:rFonts w:eastAsia="Calibri"/>
          <w:color w:val="000000"/>
          <w:sz w:val="22"/>
          <w:szCs w:val="22"/>
        </w:rPr>
        <w:t xml:space="preserve"> А.,</w:t>
      </w:r>
    </w:p>
    <w:p w:rsidR="008742E9" w:rsidRPr="008742E9" w:rsidRDefault="00667E25" w:rsidP="008742E9">
      <w:pPr>
        <w:jc w:val="right"/>
        <w:rPr>
          <w:rFonts w:eastAsia="Calibri"/>
          <w:color w:val="000000"/>
          <w:sz w:val="22"/>
          <w:szCs w:val="22"/>
        </w:rPr>
      </w:pPr>
      <w:r>
        <w:rPr>
          <w:rFonts w:eastAsia="Calibri"/>
          <w:color w:val="000000"/>
          <w:sz w:val="22"/>
          <w:szCs w:val="22"/>
        </w:rPr>
        <w:t>магистрант 1-го курса,</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Гугушвили Н. Н.,</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профессор кафедры микробиологии,</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эпизоотологии и вирусологии,</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Кощаев А.</w:t>
      </w:r>
      <w:r w:rsidR="00667E25">
        <w:rPr>
          <w:rFonts w:eastAsia="Calibri"/>
          <w:color w:val="000000"/>
          <w:sz w:val="22"/>
          <w:szCs w:val="22"/>
        </w:rPr>
        <w:t xml:space="preserve"> Г.,</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п</w:t>
      </w:r>
      <w:r w:rsidR="00667E25">
        <w:rPr>
          <w:rFonts w:eastAsia="Calibri"/>
          <w:color w:val="000000"/>
          <w:sz w:val="22"/>
          <w:szCs w:val="22"/>
        </w:rPr>
        <w:t>рофессор кафедры биотехнологии,</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биохимии и биофизики</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Инюкина Т. А.,</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доцент каф</w:t>
      </w:r>
      <w:r w:rsidR="00667E25">
        <w:rPr>
          <w:rFonts w:eastAsia="Calibri"/>
          <w:color w:val="000000"/>
          <w:sz w:val="22"/>
          <w:szCs w:val="22"/>
        </w:rPr>
        <w:t>едры механизации животноводства</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и</w:t>
      </w:r>
      <w:r w:rsidR="00667E25">
        <w:rPr>
          <w:rFonts w:eastAsia="Calibri"/>
          <w:color w:val="000000"/>
          <w:sz w:val="22"/>
          <w:szCs w:val="22"/>
        </w:rPr>
        <w:t xml:space="preserve"> безопасности жизнедеятельности</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Куб</w:t>
      </w:r>
      <w:r w:rsidR="00667E25">
        <w:rPr>
          <w:rFonts w:eastAsia="Calibri"/>
          <w:color w:val="000000"/>
          <w:sz w:val="22"/>
          <w:szCs w:val="22"/>
        </w:rPr>
        <w:t>анский государственный аграрный</w:t>
      </w:r>
    </w:p>
    <w:p w:rsidR="008742E9" w:rsidRPr="008742E9" w:rsidRDefault="008742E9" w:rsidP="008742E9">
      <w:pPr>
        <w:jc w:val="right"/>
        <w:rPr>
          <w:rFonts w:eastAsia="Calibri"/>
          <w:color w:val="000000"/>
          <w:sz w:val="22"/>
          <w:szCs w:val="22"/>
        </w:rPr>
      </w:pPr>
      <w:r w:rsidRPr="008742E9">
        <w:rPr>
          <w:rFonts w:eastAsia="Calibri"/>
          <w:color w:val="000000"/>
          <w:sz w:val="22"/>
          <w:szCs w:val="22"/>
        </w:rPr>
        <w:t>университет имени И. Т. Трубилина</w:t>
      </w:r>
    </w:p>
    <w:p w:rsidR="008742E9" w:rsidRPr="008742E9" w:rsidRDefault="008742E9" w:rsidP="008742E9">
      <w:pPr>
        <w:jc w:val="right"/>
        <w:rPr>
          <w:rFonts w:eastAsia="Calibri"/>
          <w:bCs/>
          <w:color w:val="000000"/>
          <w:sz w:val="22"/>
          <w:szCs w:val="22"/>
        </w:rPr>
      </w:pPr>
    </w:p>
    <w:p w:rsidR="008742E9" w:rsidRPr="008742E9" w:rsidRDefault="008742E9" w:rsidP="00667E25">
      <w:pPr>
        <w:ind w:firstLine="426"/>
        <w:jc w:val="both"/>
        <w:rPr>
          <w:rFonts w:eastAsia="Calibri"/>
          <w:color w:val="000000"/>
          <w:sz w:val="22"/>
          <w:szCs w:val="22"/>
        </w:rPr>
      </w:pPr>
      <w:r w:rsidRPr="008742E9">
        <w:rPr>
          <w:rFonts w:eastAsia="Calibri"/>
          <w:color w:val="000000"/>
          <w:sz w:val="22"/>
          <w:szCs w:val="22"/>
        </w:rPr>
        <w:t>АННОТАЦИЯ:</w:t>
      </w:r>
      <w:r w:rsidRPr="008742E9">
        <w:rPr>
          <w:rFonts w:eastAsia="Calibri"/>
          <w:color w:val="000000"/>
          <w:sz w:val="20"/>
          <w:szCs w:val="22"/>
        </w:rPr>
        <w:t xml:space="preserve"> </w:t>
      </w:r>
      <w:r w:rsidRPr="008742E9">
        <w:rPr>
          <w:rFonts w:eastAsia="Calibri"/>
          <w:color w:val="000000"/>
          <w:sz w:val="22"/>
          <w:szCs w:val="22"/>
        </w:rPr>
        <w:t>Изучено влияние химических компонентов колбасных изделий на организм человека.</w:t>
      </w:r>
    </w:p>
    <w:p w:rsidR="008742E9" w:rsidRPr="008742E9" w:rsidRDefault="008742E9" w:rsidP="00667E25">
      <w:pPr>
        <w:ind w:firstLine="426"/>
        <w:jc w:val="both"/>
        <w:rPr>
          <w:rFonts w:eastAsia="Calibri"/>
          <w:sz w:val="22"/>
          <w:szCs w:val="22"/>
          <w:lang w:val="en-US"/>
        </w:rPr>
      </w:pPr>
      <w:r w:rsidRPr="008742E9">
        <w:rPr>
          <w:rFonts w:eastAsia="Calibri"/>
          <w:color w:val="000000"/>
          <w:sz w:val="22"/>
          <w:szCs w:val="22"/>
          <w:shd w:val="clear" w:color="auto" w:fill="FFFFFF"/>
          <w:lang w:val="en-US"/>
        </w:rPr>
        <w:t>ABSTRACT</w:t>
      </w:r>
      <w:r w:rsidRPr="008742E9">
        <w:rPr>
          <w:rFonts w:eastAsia="Calibri"/>
          <w:sz w:val="22"/>
          <w:szCs w:val="22"/>
          <w:shd w:val="clear" w:color="auto" w:fill="FFFFFF"/>
          <w:lang w:val="en-US"/>
        </w:rPr>
        <w:t>: The influence of chemical components of sausages on the human body is studied.</w:t>
      </w:r>
    </w:p>
    <w:p w:rsidR="008742E9" w:rsidRPr="008742E9" w:rsidRDefault="008742E9" w:rsidP="00667E25">
      <w:pPr>
        <w:ind w:firstLine="426"/>
        <w:jc w:val="both"/>
        <w:rPr>
          <w:rFonts w:eastAsia="Calibri"/>
          <w:color w:val="000000"/>
          <w:sz w:val="20"/>
          <w:szCs w:val="22"/>
        </w:rPr>
      </w:pPr>
      <w:r w:rsidRPr="008742E9">
        <w:rPr>
          <w:rFonts w:eastAsia="Calibri"/>
          <w:color w:val="000000"/>
          <w:sz w:val="22"/>
          <w:szCs w:val="22"/>
        </w:rPr>
        <w:t xml:space="preserve">КЛЮЧЕВЫЕ СЛОВА: </w:t>
      </w:r>
      <w:r w:rsidRPr="008742E9">
        <w:rPr>
          <w:rFonts w:eastAsia="Calibri"/>
          <w:bCs/>
          <w:sz w:val="22"/>
          <w:szCs w:val="24"/>
        </w:rPr>
        <w:t>колбасные изделия,</w:t>
      </w:r>
      <w:r w:rsidRPr="008742E9">
        <w:rPr>
          <w:rFonts w:eastAsia="Calibri"/>
          <w:color w:val="000000"/>
          <w:sz w:val="20"/>
          <w:szCs w:val="22"/>
        </w:rPr>
        <w:t xml:space="preserve"> </w:t>
      </w:r>
      <w:r w:rsidRPr="008742E9">
        <w:rPr>
          <w:rFonts w:eastAsia="Calibri"/>
          <w:color w:val="000000"/>
          <w:sz w:val="22"/>
          <w:szCs w:val="22"/>
        </w:rPr>
        <w:t>безопасность, кач</w:t>
      </w:r>
      <w:r w:rsidRPr="008742E9">
        <w:rPr>
          <w:rFonts w:eastAsia="Calibri"/>
          <w:color w:val="000000"/>
          <w:sz w:val="22"/>
          <w:szCs w:val="22"/>
        </w:rPr>
        <w:t>е</w:t>
      </w:r>
      <w:r w:rsidRPr="008742E9">
        <w:rPr>
          <w:rFonts w:eastAsia="Calibri"/>
          <w:color w:val="000000"/>
          <w:sz w:val="22"/>
          <w:szCs w:val="22"/>
        </w:rPr>
        <w:t xml:space="preserve">ство, </w:t>
      </w:r>
      <w:r w:rsidRPr="008742E9">
        <w:rPr>
          <w:rFonts w:eastAsia="Calibri"/>
          <w:bCs/>
          <w:color w:val="000000"/>
          <w:sz w:val="22"/>
          <w:szCs w:val="22"/>
        </w:rPr>
        <w:t>химические компоненты</w:t>
      </w:r>
    </w:p>
    <w:p w:rsidR="008742E9" w:rsidRPr="008742E9" w:rsidRDefault="008742E9" w:rsidP="00667E25">
      <w:pPr>
        <w:ind w:firstLine="426"/>
        <w:jc w:val="both"/>
        <w:rPr>
          <w:rFonts w:eastAsia="Calibri"/>
          <w:bCs/>
          <w:color w:val="000000"/>
          <w:sz w:val="22"/>
          <w:szCs w:val="22"/>
          <w:lang w:val="en-US"/>
        </w:rPr>
      </w:pPr>
      <w:r w:rsidRPr="008742E9">
        <w:rPr>
          <w:rFonts w:eastAsia="Calibri"/>
          <w:color w:val="000000"/>
          <w:sz w:val="22"/>
          <w:szCs w:val="22"/>
          <w:shd w:val="clear" w:color="auto" w:fill="FFFFFF"/>
          <w:lang w:val="en-US"/>
        </w:rPr>
        <w:lastRenderedPageBreak/>
        <w:t>KEYWORDS</w:t>
      </w:r>
      <w:r w:rsidRPr="008742E9">
        <w:rPr>
          <w:rFonts w:eastAsia="Calibri"/>
          <w:sz w:val="22"/>
          <w:szCs w:val="22"/>
          <w:shd w:val="clear" w:color="auto" w:fill="FFFFFF"/>
          <w:lang w:val="en-US"/>
        </w:rPr>
        <w:t>: sausages, safety, quality, chemical components.</w:t>
      </w:r>
    </w:p>
    <w:p w:rsidR="008742E9" w:rsidRPr="008742E9" w:rsidRDefault="008742E9" w:rsidP="00667E25">
      <w:pPr>
        <w:ind w:firstLine="426"/>
        <w:jc w:val="both"/>
        <w:rPr>
          <w:rFonts w:eastAsia="Calibri"/>
          <w:bCs/>
          <w:color w:val="000000"/>
          <w:sz w:val="16"/>
          <w:szCs w:val="16"/>
          <w:lang w:val="en-US"/>
        </w:rPr>
      </w:pPr>
    </w:p>
    <w:p w:rsidR="008742E9" w:rsidRPr="008742E9" w:rsidRDefault="008742E9" w:rsidP="00667E25">
      <w:pPr>
        <w:ind w:firstLine="426"/>
        <w:jc w:val="both"/>
        <w:rPr>
          <w:rFonts w:eastAsia="Calibri"/>
          <w:bCs/>
          <w:color w:val="000000"/>
          <w:sz w:val="22"/>
          <w:szCs w:val="22"/>
        </w:rPr>
      </w:pPr>
      <w:r w:rsidRPr="008742E9">
        <w:rPr>
          <w:rFonts w:eastAsia="Calibri"/>
          <w:color w:val="000000"/>
          <w:sz w:val="22"/>
          <w:szCs w:val="22"/>
        </w:rPr>
        <w:t>Проблема производства безопасных и высококачественных пищевых продуктов очень актуальная и важна Безопасность пищ</w:t>
      </w:r>
      <w:r w:rsidRPr="008742E9">
        <w:rPr>
          <w:rFonts w:eastAsia="Calibri"/>
          <w:color w:val="000000"/>
          <w:sz w:val="22"/>
          <w:szCs w:val="22"/>
        </w:rPr>
        <w:t>е</w:t>
      </w:r>
      <w:r w:rsidRPr="008742E9">
        <w:rPr>
          <w:rFonts w:eastAsia="Calibri"/>
          <w:color w:val="000000"/>
          <w:sz w:val="22"/>
          <w:szCs w:val="22"/>
        </w:rPr>
        <w:t>вых продуктов рассматривается как совокупность свой</w:t>
      </w:r>
      <w:proofErr w:type="gramStart"/>
      <w:r w:rsidRPr="008742E9">
        <w:rPr>
          <w:rFonts w:eastAsia="Calibri"/>
          <w:color w:val="000000"/>
          <w:sz w:val="22"/>
          <w:szCs w:val="22"/>
        </w:rPr>
        <w:t>ств вс</w:t>
      </w:r>
      <w:proofErr w:type="gramEnd"/>
      <w:r w:rsidRPr="008742E9">
        <w:rPr>
          <w:rFonts w:eastAsia="Calibri"/>
          <w:color w:val="000000"/>
          <w:sz w:val="22"/>
          <w:szCs w:val="22"/>
        </w:rPr>
        <w:t>ех компонентов, полностью исключающих вредное воздействие на здоровье человека [1, 2, 3].</w:t>
      </w:r>
    </w:p>
    <w:p w:rsidR="008742E9" w:rsidRPr="008742E9" w:rsidRDefault="008742E9" w:rsidP="00667E25">
      <w:pPr>
        <w:ind w:firstLine="426"/>
        <w:jc w:val="both"/>
        <w:rPr>
          <w:rFonts w:eastAsia="Calibri"/>
          <w:color w:val="000000"/>
          <w:sz w:val="22"/>
          <w:szCs w:val="22"/>
        </w:rPr>
      </w:pPr>
      <w:r w:rsidRPr="008742E9">
        <w:rPr>
          <w:rFonts w:eastAsia="Calibri"/>
          <w:bCs/>
          <w:color w:val="000000"/>
          <w:sz w:val="22"/>
          <w:szCs w:val="22"/>
        </w:rPr>
        <w:t xml:space="preserve">Химические компоненты, входящие в состав вареных колбас обладают следующими свойствами: </w:t>
      </w:r>
      <w:proofErr w:type="gramStart"/>
      <w:r w:rsidRPr="008742E9">
        <w:rPr>
          <w:rFonts w:eastAsia="Calibri"/>
          <w:color w:val="000000"/>
          <w:sz w:val="22"/>
          <w:szCs w:val="22"/>
        </w:rPr>
        <w:t>E250 – соль азотистой кислоты (нитрит натрия), получаемая из оксидов в результате химических реакций, используемый в качестве фиксатора цвета.</w:t>
      </w:r>
      <w:proofErr w:type="gramEnd"/>
      <w:r w:rsidRPr="008742E9">
        <w:rPr>
          <w:rFonts w:eastAsia="Calibri"/>
          <w:color w:val="000000"/>
          <w:sz w:val="22"/>
          <w:szCs w:val="22"/>
        </w:rPr>
        <w:t xml:space="preserve"> Нитрит натрия обладает микробицидными свойствами, по отношению болезн</w:t>
      </w:r>
      <w:r w:rsidRPr="008742E9">
        <w:rPr>
          <w:rFonts w:eastAsia="Calibri"/>
          <w:color w:val="000000"/>
          <w:sz w:val="22"/>
          <w:szCs w:val="22"/>
        </w:rPr>
        <w:t>е</w:t>
      </w:r>
      <w:r w:rsidRPr="008742E9">
        <w:rPr>
          <w:rFonts w:eastAsia="Calibri"/>
          <w:color w:val="000000"/>
          <w:sz w:val="22"/>
          <w:szCs w:val="22"/>
        </w:rPr>
        <w:t>творных бактерий (</w:t>
      </w:r>
      <w:r w:rsidRPr="008742E9">
        <w:rPr>
          <w:rFonts w:eastAsia="Calibri"/>
          <w:color w:val="000000"/>
          <w:sz w:val="22"/>
          <w:szCs w:val="22"/>
          <w:lang w:val="en-NZ"/>
        </w:rPr>
        <w:t>Cl</w:t>
      </w:r>
      <w:r w:rsidRPr="008742E9">
        <w:rPr>
          <w:rFonts w:eastAsia="Calibri"/>
          <w:color w:val="000000"/>
          <w:sz w:val="22"/>
          <w:szCs w:val="22"/>
        </w:rPr>
        <w:t xml:space="preserve">. </w:t>
      </w:r>
      <w:r w:rsidRPr="008742E9">
        <w:rPr>
          <w:rFonts w:eastAsia="Calibri"/>
          <w:color w:val="000000"/>
          <w:sz w:val="22"/>
          <w:szCs w:val="22"/>
          <w:lang w:val="en-NZ"/>
        </w:rPr>
        <w:t>botulinum</w:t>
      </w:r>
      <w:r w:rsidRPr="008742E9">
        <w:rPr>
          <w:rFonts w:eastAsia="Calibri"/>
          <w:color w:val="000000"/>
          <w:sz w:val="22"/>
          <w:szCs w:val="22"/>
        </w:rPr>
        <w:t>). Данное химическое соединение относится ядовитым веществам, с высокой токсичностью и канц</w:t>
      </w:r>
      <w:r w:rsidRPr="008742E9">
        <w:rPr>
          <w:rFonts w:eastAsia="Calibri"/>
          <w:color w:val="000000"/>
          <w:sz w:val="22"/>
          <w:szCs w:val="22"/>
        </w:rPr>
        <w:t>е</w:t>
      </w:r>
      <w:r w:rsidRPr="008742E9">
        <w:rPr>
          <w:rFonts w:eastAsia="Calibri"/>
          <w:color w:val="000000"/>
          <w:sz w:val="22"/>
          <w:szCs w:val="22"/>
        </w:rPr>
        <w:t xml:space="preserve">рогенностью, при передозировке вещества </w:t>
      </w:r>
      <w:proofErr w:type="gramStart"/>
      <w:r w:rsidRPr="008742E9">
        <w:rPr>
          <w:rFonts w:eastAsia="Calibri"/>
          <w:color w:val="000000"/>
          <w:sz w:val="22"/>
          <w:szCs w:val="22"/>
        </w:rPr>
        <w:t>способна</w:t>
      </w:r>
      <w:proofErr w:type="gramEnd"/>
      <w:r w:rsidRPr="008742E9">
        <w:rPr>
          <w:rFonts w:eastAsia="Calibri"/>
          <w:color w:val="000000"/>
          <w:sz w:val="22"/>
          <w:szCs w:val="22"/>
        </w:rPr>
        <w:t xml:space="preserve"> вызывать отравления, приводящая к гибели. Исследованиями установлено, что при нагревании в результате реакции нитрита натрия с амин</w:t>
      </w:r>
      <w:r w:rsidRPr="008742E9">
        <w:rPr>
          <w:rFonts w:eastAsia="Calibri"/>
          <w:color w:val="000000"/>
          <w:sz w:val="22"/>
          <w:szCs w:val="22"/>
        </w:rPr>
        <w:t>о</w:t>
      </w:r>
      <w:r w:rsidRPr="008742E9">
        <w:rPr>
          <w:rFonts w:eastAsia="Calibri"/>
          <w:color w:val="000000"/>
          <w:sz w:val="22"/>
          <w:szCs w:val="22"/>
        </w:rPr>
        <w:t>кислотами входящих в состав колбасных изделий приводит к обр</w:t>
      </w:r>
      <w:r w:rsidRPr="008742E9">
        <w:rPr>
          <w:rFonts w:eastAsia="Calibri"/>
          <w:color w:val="000000"/>
          <w:sz w:val="22"/>
          <w:szCs w:val="22"/>
        </w:rPr>
        <w:t>а</w:t>
      </w:r>
      <w:r w:rsidRPr="008742E9">
        <w:rPr>
          <w:rFonts w:eastAsia="Calibri"/>
          <w:color w:val="000000"/>
          <w:sz w:val="22"/>
          <w:szCs w:val="22"/>
        </w:rPr>
        <w:t>зованию канцерогенного вещества N-нитрозамина, что вызывает развитию новообразований при употреблении продуктов прох</w:t>
      </w:r>
      <w:r w:rsidRPr="008742E9">
        <w:rPr>
          <w:rFonts w:eastAsia="Calibri"/>
          <w:color w:val="000000"/>
          <w:sz w:val="22"/>
          <w:szCs w:val="22"/>
        </w:rPr>
        <w:t>о</w:t>
      </w:r>
      <w:r w:rsidRPr="008742E9">
        <w:rPr>
          <w:rFonts w:eastAsia="Calibri"/>
          <w:color w:val="000000"/>
          <w:sz w:val="22"/>
          <w:szCs w:val="22"/>
        </w:rPr>
        <w:t>дивших тепловую обработку в присутствии нитрита натрия. Кроме того, установлена связь между частым употреблением колбасных изделий с содержанием нитритов и хронической обструктивной б</w:t>
      </w:r>
      <w:r w:rsidRPr="008742E9">
        <w:rPr>
          <w:rFonts w:eastAsia="Calibri"/>
          <w:color w:val="000000"/>
          <w:sz w:val="22"/>
          <w:szCs w:val="22"/>
        </w:rPr>
        <w:t>о</w:t>
      </w:r>
      <w:r w:rsidRPr="008742E9">
        <w:rPr>
          <w:rFonts w:eastAsia="Calibri"/>
          <w:color w:val="000000"/>
          <w:sz w:val="22"/>
          <w:szCs w:val="22"/>
        </w:rPr>
        <w:t>лезнью лёгких, раком кишечника.</w:t>
      </w:r>
    </w:p>
    <w:p w:rsidR="008742E9" w:rsidRPr="008742E9" w:rsidRDefault="008742E9" w:rsidP="00667E25">
      <w:pPr>
        <w:shd w:val="clear" w:color="auto" w:fill="FFFFFF"/>
        <w:ind w:firstLine="426"/>
        <w:jc w:val="both"/>
        <w:rPr>
          <w:rFonts w:eastAsia="Calibri"/>
          <w:sz w:val="22"/>
          <w:szCs w:val="22"/>
        </w:rPr>
      </w:pPr>
      <w:r w:rsidRPr="008742E9">
        <w:rPr>
          <w:rFonts w:eastAsia="Calibri"/>
          <w:sz w:val="22"/>
          <w:szCs w:val="22"/>
        </w:rPr>
        <w:t>В производстве вареных колбасных изделий в качестве стаб</w:t>
      </w:r>
      <w:r w:rsidRPr="008742E9">
        <w:rPr>
          <w:rFonts w:eastAsia="Calibri"/>
          <w:sz w:val="22"/>
          <w:szCs w:val="22"/>
        </w:rPr>
        <w:t>и</w:t>
      </w:r>
      <w:r w:rsidRPr="008742E9">
        <w:rPr>
          <w:rFonts w:eastAsia="Calibri"/>
          <w:sz w:val="22"/>
          <w:szCs w:val="22"/>
        </w:rPr>
        <w:t>лизатора используют животный белок, который производят из к</w:t>
      </w:r>
      <w:r w:rsidRPr="008742E9">
        <w:rPr>
          <w:rFonts w:eastAsia="Calibri"/>
          <w:sz w:val="22"/>
          <w:szCs w:val="22"/>
        </w:rPr>
        <w:t>о</w:t>
      </w:r>
      <w:r w:rsidRPr="008742E9">
        <w:rPr>
          <w:rFonts w:eastAsia="Calibri"/>
          <w:sz w:val="22"/>
          <w:szCs w:val="22"/>
        </w:rPr>
        <w:t>стей, связок, хрящей и шкуры. Пиро-, полифосфаты натрия (E400–E499) в производстве вареных колбас используется в качестве ст</w:t>
      </w:r>
      <w:r w:rsidRPr="008742E9">
        <w:rPr>
          <w:rFonts w:eastAsia="Calibri"/>
          <w:sz w:val="22"/>
          <w:szCs w:val="22"/>
        </w:rPr>
        <w:t>а</w:t>
      </w:r>
      <w:r w:rsidRPr="008742E9">
        <w:rPr>
          <w:rFonts w:eastAsia="Calibri"/>
          <w:sz w:val="22"/>
          <w:szCs w:val="22"/>
        </w:rPr>
        <w:t>билизатора, для усиления вкуса, сохранения консистенции, прид</w:t>
      </w:r>
      <w:r w:rsidRPr="008742E9">
        <w:rPr>
          <w:rFonts w:eastAsia="Calibri"/>
          <w:sz w:val="22"/>
          <w:szCs w:val="22"/>
        </w:rPr>
        <w:t>а</w:t>
      </w:r>
      <w:r w:rsidRPr="008742E9">
        <w:rPr>
          <w:rFonts w:eastAsia="Calibri"/>
          <w:sz w:val="22"/>
          <w:szCs w:val="22"/>
        </w:rPr>
        <w:t>ния более аппетитной окраски и увеличения срока хранения. Пир</w:t>
      </w:r>
      <w:r w:rsidRPr="008742E9">
        <w:rPr>
          <w:rFonts w:eastAsia="Calibri"/>
          <w:sz w:val="22"/>
          <w:szCs w:val="22"/>
        </w:rPr>
        <w:t>о</w:t>
      </w:r>
      <w:r w:rsidRPr="008742E9">
        <w:rPr>
          <w:rFonts w:eastAsia="Calibri"/>
          <w:sz w:val="22"/>
          <w:szCs w:val="22"/>
        </w:rPr>
        <w:t>фосфаты под индексом Е450 официально входят в список разр</w:t>
      </w:r>
      <w:r w:rsidRPr="008742E9">
        <w:rPr>
          <w:rFonts w:eastAsia="Calibri"/>
          <w:sz w:val="22"/>
          <w:szCs w:val="22"/>
        </w:rPr>
        <w:t>е</w:t>
      </w:r>
      <w:r w:rsidRPr="008742E9">
        <w:rPr>
          <w:rFonts w:eastAsia="Calibri"/>
          <w:sz w:val="22"/>
          <w:szCs w:val="22"/>
        </w:rPr>
        <w:t>шенных к применению пищевых добавок, как вещества, не оказ</w:t>
      </w:r>
      <w:r w:rsidRPr="008742E9">
        <w:rPr>
          <w:rFonts w:eastAsia="Calibri"/>
          <w:sz w:val="22"/>
          <w:szCs w:val="22"/>
        </w:rPr>
        <w:t>ы</w:t>
      </w:r>
      <w:r w:rsidRPr="008742E9">
        <w:rPr>
          <w:rFonts w:eastAsia="Calibri"/>
          <w:sz w:val="22"/>
          <w:szCs w:val="22"/>
        </w:rPr>
        <w:t>вающие вреда здоровью человека. Однако</w:t>
      </w:r>
      <w:proofErr w:type="gramStart"/>
      <w:r w:rsidRPr="008742E9">
        <w:rPr>
          <w:rFonts w:eastAsia="Calibri"/>
          <w:sz w:val="22"/>
          <w:szCs w:val="22"/>
        </w:rPr>
        <w:t>,</w:t>
      </w:r>
      <w:proofErr w:type="gramEnd"/>
      <w:r w:rsidRPr="008742E9">
        <w:rPr>
          <w:rFonts w:eastAsia="Calibri"/>
          <w:sz w:val="22"/>
          <w:szCs w:val="22"/>
        </w:rPr>
        <w:t xml:space="preserve"> частое их употребление способно привести к на</w:t>
      </w:r>
      <w:r w:rsidRPr="008742E9">
        <w:rPr>
          <w:rFonts w:eastAsia="Calibri"/>
          <w:bCs/>
          <w:sz w:val="22"/>
          <w:szCs w:val="22"/>
        </w:rPr>
        <w:t xml:space="preserve">рушению </w:t>
      </w:r>
      <w:r w:rsidRPr="008742E9">
        <w:rPr>
          <w:rFonts w:eastAsia="Calibri"/>
          <w:sz w:val="22"/>
          <w:szCs w:val="22"/>
        </w:rPr>
        <w:t>кальций фосфорного соотнош</w:t>
      </w:r>
      <w:r w:rsidRPr="008742E9">
        <w:rPr>
          <w:rFonts w:eastAsia="Calibri"/>
          <w:sz w:val="22"/>
          <w:szCs w:val="22"/>
        </w:rPr>
        <w:t>е</w:t>
      </w:r>
      <w:r w:rsidRPr="008742E9">
        <w:rPr>
          <w:rFonts w:eastAsia="Calibri"/>
          <w:sz w:val="22"/>
          <w:szCs w:val="22"/>
        </w:rPr>
        <w:t>ния, происходит снижение содержания кальция в организме чел</w:t>
      </w:r>
      <w:r w:rsidRPr="008742E9">
        <w:rPr>
          <w:rFonts w:eastAsia="Calibri"/>
          <w:sz w:val="22"/>
          <w:szCs w:val="22"/>
        </w:rPr>
        <w:t>о</w:t>
      </w:r>
      <w:r w:rsidRPr="008742E9">
        <w:rPr>
          <w:rFonts w:eastAsia="Calibri"/>
          <w:sz w:val="22"/>
          <w:szCs w:val="22"/>
        </w:rPr>
        <w:t>века, приводящая к остеопорозу. Необходимо учитывать с</w:t>
      </w:r>
      <w:r w:rsidRPr="008742E9">
        <w:rPr>
          <w:rFonts w:eastAsia="Calibri"/>
          <w:bCs/>
          <w:sz w:val="22"/>
          <w:szCs w:val="22"/>
        </w:rPr>
        <w:t xml:space="preserve">уточную норму </w:t>
      </w:r>
      <w:r w:rsidRPr="008742E9">
        <w:rPr>
          <w:rFonts w:eastAsia="Calibri"/>
          <w:sz w:val="22"/>
          <w:szCs w:val="22"/>
        </w:rPr>
        <w:t>поступления в организм через продукты питания трифосф</w:t>
      </w:r>
      <w:r w:rsidRPr="008742E9">
        <w:rPr>
          <w:rFonts w:eastAsia="Calibri"/>
          <w:sz w:val="22"/>
          <w:szCs w:val="22"/>
        </w:rPr>
        <w:t>а</w:t>
      </w:r>
      <w:r w:rsidRPr="008742E9">
        <w:rPr>
          <w:rFonts w:eastAsia="Calibri"/>
          <w:sz w:val="22"/>
          <w:szCs w:val="22"/>
        </w:rPr>
        <w:lastRenderedPageBreak/>
        <w:t>тов и полифосфатов, которая не должна превышать 70 мг на один килограмм массы тела.</w:t>
      </w:r>
    </w:p>
    <w:p w:rsidR="008742E9" w:rsidRPr="008742E9" w:rsidRDefault="008742E9" w:rsidP="00667E25">
      <w:pPr>
        <w:ind w:firstLine="426"/>
        <w:jc w:val="both"/>
        <w:rPr>
          <w:rFonts w:eastAsia="Calibri"/>
          <w:sz w:val="22"/>
          <w:szCs w:val="22"/>
        </w:rPr>
      </w:pPr>
      <w:r w:rsidRPr="008742E9">
        <w:rPr>
          <w:rFonts w:eastAsia="Calibri"/>
          <w:sz w:val="22"/>
          <w:szCs w:val="22"/>
        </w:rPr>
        <w:t>Каррагинан, гуаровая камедь, камедь рожкового дерева, ко</w:t>
      </w:r>
      <w:r w:rsidRPr="008742E9">
        <w:rPr>
          <w:rFonts w:eastAsia="Calibri"/>
          <w:sz w:val="22"/>
          <w:szCs w:val="22"/>
        </w:rPr>
        <w:t>н</w:t>
      </w:r>
      <w:r w:rsidRPr="008742E9">
        <w:rPr>
          <w:rFonts w:eastAsia="Calibri"/>
          <w:sz w:val="22"/>
          <w:szCs w:val="22"/>
        </w:rPr>
        <w:t>жаковая камедь (</w:t>
      </w:r>
      <w:r w:rsidRPr="008742E9">
        <w:rPr>
          <w:rFonts w:eastAsia="Calibri"/>
          <w:sz w:val="22"/>
          <w:szCs w:val="22"/>
          <w:shd w:val="clear" w:color="auto" w:fill="FFFFFF"/>
        </w:rPr>
        <w:t>Е 412, Е 415</w:t>
      </w:r>
      <w:r w:rsidRPr="008742E9">
        <w:rPr>
          <w:rFonts w:eastAsia="Calibri"/>
          <w:sz w:val="22"/>
          <w:szCs w:val="22"/>
        </w:rPr>
        <w:t>) в производстве вареных колбас и</w:t>
      </w:r>
      <w:r w:rsidRPr="008742E9">
        <w:rPr>
          <w:rFonts w:eastAsia="Calibri"/>
          <w:sz w:val="22"/>
          <w:szCs w:val="22"/>
        </w:rPr>
        <w:t>с</w:t>
      </w:r>
      <w:r w:rsidRPr="008742E9">
        <w:rPr>
          <w:rFonts w:eastAsia="Calibri"/>
          <w:sz w:val="22"/>
          <w:szCs w:val="22"/>
        </w:rPr>
        <w:t xml:space="preserve">пользуется в качестве загустителей. </w:t>
      </w:r>
      <w:r w:rsidRPr="008742E9">
        <w:rPr>
          <w:rFonts w:eastAsia="Calibri"/>
          <w:sz w:val="22"/>
          <w:szCs w:val="22"/>
          <w:shd w:val="clear" w:color="auto" w:fill="FFFFFF"/>
        </w:rPr>
        <w:t>Камедь является высокомол</w:t>
      </w:r>
      <w:r w:rsidRPr="008742E9">
        <w:rPr>
          <w:rFonts w:eastAsia="Calibri"/>
          <w:sz w:val="22"/>
          <w:szCs w:val="22"/>
          <w:shd w:val="clear" w:color="auto" w:fill="FFFFFF"/>
        </w:rPr>
        <w:t>е</w:t>
      </w:r>
      <w:r w:rsidRPr="008742E9">
        <w:rPr>
          <w:rFonts w:eastAsia="Calibri"/>
          <w:sz w:val="22"/>
          <w:szCs w:val="22"/>
          <w:shd w:val="clear" w:color="auto" w:fill="FFFFFF"/>
        </w:rPr>
        <w:t>кулярным углеводом, это одним из главных компонентов экссуд</w:t>
      </w:r>
      <w:r w:rsidRPr="008742E9">
        <w:rPr>
          <w:rFonts w:eastAsia="Calibri"/>
          <w:sz w:val="22"/>
          <w:szCs w:val="22"/>
          <w:shd w:val="clear" w:color="auto" w:fill="FFFFFF"/>
        </w:rPr>
        <w:t>а</w:t>
      </w:r>
      <w:r w:rsidRPr="008742E9">
        <w:rPr>
          <w:rFonts w:eastAsia="Calibri"/>
          <w:sz w:val="22"/>
          <w:szCs w:val="22"/>
          <w:shd w:val="clear" w:color="auto" w:fill="FFFFFF"/>
        </w:rPr>
        <w:t>тов растений (березовый сок). Камедь способствует увеличению срока хранения продуктов, который разрешен в виде добавки М</w:t>
      </w:r>
      <w:r w:rsidRPr="008742E9">
        <w:rPr>
          <w:rFonts w:eastAsia="Calibri"/>
          <w:sz w:val="22"/>
          <w:szCs w:val="22"/>
          <w:shd w:val="clear" w:color="auto" w:fill="FFFFFF"/>
        </w:rPr>
        <w:t>и</w:t>
      </w:r>
      <w:r w:rsidRPr="008742E9">
        <w:rPr>
          <w:rFonts w:eastAsia="Calibri"/>
          <w:sz w:val="22"/>
          <w:szCs w:val="22"/>
          <w:shd w:val="clear" w:color="auto" w:fill="FFFFFF"/>
        </w:rPr>
        <w:t xml:space="preserve">нистерством Здравоохранения, так как их считают безопасными для здоровья человека. </w:t>
      </w:r>
      <w:r w:rsidRPr="008742E9">
        <w:rPr>
          <w:rFonts w:eastAsia="Calibri"/>
          <w:sz w:val="22"/>
          <w:szCs w:val="22"/>
        </w:rPr>
        <w:t>В производстве вареных колбас глутамат натрия (</w:t>
      </w:r>
      <w:r w:rsidRPr="008742E9">
        <w:rPr>
          <w:rFonts w:eastAsia="Calibri"/>
          <w:bCs/>
          <w:iCs/>
          <w:sz w:val="22"/>
          <w:szCs w:val="22"/>
        </w:rPr>
        <w:t xml:space="preserve">Е621) </w:t>
      </w:r>
      <w:r w:rsidRPr="008742E9">
        <w:rPr>
          <w:rFonts w:eastAsia="Calibri"/>
          <w:sz w:val="22"/>
          <w:szCs w:val="22"/>
        </w:rPr>
        <w:t>используется в качестве усилителя аромата и вкуса. Однако</w:t>
      </w:r>
      <w:proofErr w:type="gramStart"/>
      <w:r w:rsidRPr="008742E9">
        <w:rPr>
          <w:rFonts w:eastAsia="Calibri"/>
          <w:sz w:val="22"/>
          <w:szCs w:val="22"/>
        </w:rPr>
        <w:t>,</w:t>
      </w:r>
      <w:proofErr w:type="gramEnd"/>
      <w:r w:rsidRPr="008742E9">
        <w:rPr>
          <w:rFonts w:eastAsia="Calibri"/>
          <w:sz w:val="22"/>
          <w:szCs w:val="22"/>
        </w:rPr>
        <w:t xml:space="preserve"> она </w:t>
      </w:r>
      <w:r w:rsidRPr="008742E9">
        <w:rPr>
          <w:rFonts w:eastAsia="Calibri"/>
          <w:bCs/>
          <w:iCs/>
          <w:sz w:val="22"/>
          <w:szCs w:val="22"/>
        </w:rPr>
        <w:t>обладает токсигенными свойствами,</w:t>
      </w:r>
      <w:r w:rsidRPr="008742E9">
        <w:rPr>
          <w:rFonts w:eastAsia="Calibri"/>
          <w:iCs/>
          <w:sz w:val="22"/>
          <w:szCs w:val="22"/>
        </w:rPr>
        <w:t xml:space="preserve"> </w:t>
      </w:r>
      <w:r w:rsidRPr="008742E9">
        <w:rPr>
          <w:rFonts w:eastAsia="Calibri"/>
          <w:sz w:val="22"/>
          <w:szCs w:val="22"/>
        </w:rPr>
        <w:t>оказывает возбуждающее действие на центральную нервную систему. При частом употребл</w:t>
      </w:r>
      <w:r w:rsidRPr="008742E9">
        <w:rPr>
          <w:rFonts w:eastAsia="Calibri"/>
          <w:sz w:val="22"/>
          <w:szCs w:val="22"/>
        </w:rPr>
        <w:t>е</w:t>
      </w:r>
      <w:r w:rsidRPr="008742E9">
        <w:rPr>
          <w:rFonts w:eastAsia="Calibri"/>
          <w:sz w:val="22"/>
          <w:szCs w:val="22"/>
        </w:rPr>
        <w:t xml:space="preserve">нии пищевых продуктов с содержанием глутамата натрия приводит нарушению функции </w:t>
      </w:r>
      <w:r w:rsidRPr="008742E9">
        <w:rPr>
          <w:rFonts w:eastAsia="Calibri"/>
          <w:bCs/>
          <w:iCs/>
          <w:sz w:val="22"/>
          <w:szCs w:val="22"/>
        </w:rPr>
        <w:t>пищеварительной, выделительной, эндокри</w:t>
      </w:r>
      <w:r w:rsidRPr="008742E9">
        <w:rPr>
          <w:rFonts w:eastAsia="Calibri"/>
          <w:bCs/>
          <w:iCs/>
          <w:sz w:val="22"/>
          <w:szCs w:val="22"/>
        </w:rPr>
        <w:t>н</w:t>
      </w:r>
      <w:r w:rsidRPr="008742E9">
        <w:rPr>
          <w:rFonts w:eastAsia="Calibri"/>
          <w:bCs/>
          <w:iCs/>
          <w:sz w:val="22"/>
          <w:szCs w:val="22"/>
        </w:rPr>
        <w:t>ной и дыхательной системы, возникновению аллергических реа</w:t>
      </w:r>
      <w:r w:rsidRPr="008742E9">
        <w:rPr>
          <w:rFonts w:eastAsia="Calibri"/>
          <w:bCs/>
          <w:iCs/>
          <w:sz w:val="22"/>
          <w:szCs w:val="22"/>
        </w:rPr>
        <w:t>к</w:t>
      </w:r>
      <w:r w:rsidRPr="008742E9">
        <w:rPr>
          <w:rFonts w:eastAsia="Calibri"/>
          <w:bCs/>
          <w:iCs/>
          <w:sz w:val="22"/>
          <w:szCs w:val="22"/>
        </w:rPr>
        <w:t>ций</w:t>
      </w:r>
      <w:r w:rsidRPr="008742E9">
        <w:rPr>
          <w:rFonts w:eastAsia="Calibri"/>
          <w:iCs/>
          <w:sz w:val="22"/>
          <w:szCs w:val="22"/>
        </w:rPr>
        <w:t xml:space="preserve">, </w:t>
      </w:r>
      <w:r w:rsidRPr="008742E9">
        <w:rPr>
          <w:rFonts w:eastAsia="Calibri"/>
          <w:bCs/>
          <w:iCs/>
          <w:sz w:val="22"/>
          <w:szCs w:val="22"/>
        </w:rPr>
        <w:t>отслоению сетчатки глаза.</w:t>
      </w:r>
      <w:r w:rsidRPr="008742E9">
        <w:rPr>
          <w:rFonts w:eastAsia="Calibri"/>
          <w:sz w:val="22"/>
          <w:szCs w:val="22"/>
        </w:rPr>
        <w:t xml:space="preserve"> Предельно </w:t>
      </w:r>
      <w:proofErr w:type="gramStart"/>
      <w:r w:rsidRPr="008742E9">
        <w:rPr>
          <w:rFonts w:eastAsia="Calibri"/>
          <w:sz w:val="22"/>
          <w:szCs w:val="22"/>
        </w:rPr>
        <w:t>допустимая</w:t>
      </w:r>
      <w:proofErr w:type="gramEnd"/>
      <w:r w:rsidRPr="008742E9">
        <w:rPr>
          <w:rFonts w:eastAsia="Calibri"/>
          <w:sz w:val="22"/>
          <w:szCs w:val="22"/>
        </w:rPr>
        <w:t xml:space="preserve"> концетрация глутамата натрия в продуктах составляет </w:t>
      </w:r>
      <w:r w:rsidRPr="008742E9">
        <w:rPr>
          <w:rFonts w:eastAsia="Calibri"/>
          <w:bCs/>
          <w:sz w:val="22"/>
          <w:szCs w:val="22"/>
        </w:rPr>
        <w:t xml:space="preserve">1,5 г на 2 литра или на </w:t>
      </w:r>
      <w:smartTag w:uri="urn:schemas-microsoft-com:office:smarttags" w:element="metricconverter">
        <w:smartTagPr>
          <w:attr w:name="ProductID" w:val="1 кг"/>
        </w:smartTagPr>
        <w:r w:rsidRPr="008742E9">
          <w:rPr>
            <w:rFonts w:eastAsia="Calibri"/>
            <w:bCs/>
            <w:sz w:val="22"/>
            <w:szCs w:val="22"/>
          </w:rPr>
          <w:t>1 кг</w:t>
        </w:r>
      </w:smartTag>
      <w:r w:rsidRPr="008742E9">
        <w:rPr>
          <w:rFonts w:eastAsia="Calibri"/>
          <w:bCs/>
          <w:sz w:val="22"/>
          <w:szCs w:val="22"/>
        </w:rPr>
        <w:t>.</w:t>
      </w:r>
      <w:r w:rsidRPr="008742E9">
        <w:rPr>
          <w:rFonts w:eastAsia="Calibri"/>
          <w:sz w:val="22"/>
          <w:szCs w:val="22"/>
        </w:rPr>
        <w:t xml:space="preserve"> </w:t>
      </w:r>
      <w:proofErr w:type="gramStart"/>
      <w:r w:rsidRPr="008742E9">
        <w:rPr>
          <w:rFonts w:eastAsia="Calibri"/>
          <w:sz w:val="22"/>
          <w:szCs w:val="22"/>
        </w:rPr>
        <w:t xml:space="preserve">Максимальное содержание глутамата в продуктах не должно превосходить 0,8 %. </w:t>
      </w:r>
      <w:r w:rsidRPr="008742E9">
        <w:rPr>
          <w:rFonts w:eastAsia="Calibri"/>
          <w:sz w:val="22"/>
          <w:szCs w:val="22"/>
          <w:shd w:val="clear" w:color="auto" w:fill="FFFFFF"/>
        </w:rPr>
        <w:t xml:space="preserve">Натуральный глутамат натрия содержится в </w:t>
      </w:r>
      <w:r w:rsidRPr="008742E9">
        <w:rPr>
          <w:rFonts w:eastAsia="Calibri"/>
          <w:bCs/>
          <w:iCs/>
          <w:sz w:val="22"/>
          <w:szCs w:val="22"/>
          <w:shd w:val="clear" w:color="auto" w:fill="FFFFFF"/>
        </w:rPr>
        <w:t>сыре пармезан, говядине, свинине, ветчине, беконе, курином мясе, морских продуктах, грибах, капусте, шпинате, луке, спарже, гор</w:t>
      </w:r>
      <w:r w:rsidRPr="008742E9">
        <w:rPr>
          <w:rFonts w:eastAsia="Calibri"/>
          <w:bCs/>
          <w:iCs/>
          <w:sz w:val="22"/>
          <w:szCs w:val="22"/>
          <w:shd w:val="clear" w:color="auto" w:fill="FFFFFF"/>
        </w:rPr>
        <w:t>о</w:t>
      </w:r>
      <w:r w:rsidRPr="008742E9">
        <w:rPr>
          <w:rFonts w:eastAsia="Calibri"/>
          <w:bCs/>
          <w:iCs/>
          <w:sz w:val="22"/>
          <w:szCs w:val="22"/>
          <w:shd w:val="clear" w:color="auto" w:fill="FFFFFF"/>
        </w:rPr>
        <w:t>шеке и кукурузе, зрелых помидорах, водорослях (ламинария).</w:t>
      </w:r>
      <w:proofErr w:type="gramEnd"/>
      <w:r w:rsidRPr="008742E9">
        <w:rPr>
          <w:rFonts w:eastAsia="Calibri"/>
          <w:bCs/>
          <w:iCs/>
          <w:sz w:val="22"/>
          <w:szCs w:val="22"/>
          <w:shd w:val="clear" w:color="auto" w:fill="FFFFFF"/>
        </w:rPr>
        <w:t xml:space="preserve"> </w:t>
      </w:r>
      <w:r w:rsidRPr="008742E9">
        <w:rPr>
          <w:rFonts w:eastAsia="Calibri"/>
          <w:sz w:val="22"/>
          <w:szCs w:val="22"/>
        </w:rPr>
        <w:t>Гл</w:t>
      </w:r>
      <w:r w:rsidRPr="008742E9">
        <w:rPr>
          <w:rFonts w:eastAsia="Calibri"/>
          <w:sz w:val="22"/>
          <w:szCs w:val="22"/>
        </w:rPr>
        <w:t>у</w:t>
      </w:r>
      <w:r w:rsidRPr="008742E9">
        <w:rPr>
          <w:rFonts w:eastAsia="Calibri"/>
          <w:sz w:val="22"/>
          <w:szCs w:val="22"/>
        </w:rPr>
        <w:t>тамат натрия способствует улучшению выработки эндогенного г</w:t>
      </w:r>
      <w:r w:rsidRPr="008742E9">
        <w:rPr>
          <w:rFonts w:eastAsia="Calibri"/>
          <w:sz w:val="22"/>
          <w:szCs w:val="22"/>
        </w:rPr>
        <w:t>а</w:t>
      </w:r>
      <w:r w:rsidRPr="008742E9">
        <w:rPr>
          <w:rFonts w:eastAsia="Calibri"/>
          <w:sz w:val="22"/>
          <w:szCs w:val="22"/>
        </w:rPr>
        <w:t>стрина, в пролиферации клеток слизистой желудка, повышает м</w:t>
      </w:r>
      <w:r w:rsidRPr="008742E9">
        <w:rPr>
          <w:rFonts w:eastAsia="Calibri"/>
          <w:sz w:val="22"/>
          <w:szCs w:val="22"/>
        </w:rPr>
        <w:t>о</w:t>
      </w:r>
      <w:r w:rsidRPr="008742E9">
        <w:rPr>
          <w:rFonts w:eastAsia="Calibri"/>
          <w:sz w:val="22"/>
          <w:szCs w:val="22"/>
        </w:rPr>
        <w:t>торику кишечника и выделение желудочного сока. Мальтодекстрин в производстве вареных колбас используется в качестве загустителя и эмульгатора, как заменител жира, усилителя вкуса, придает сла</w:t>
      </w:r>
      <w:r w:rsidRPr="008742E9">
        <w:rPr>
          <w:rFonts w:eastAsia="Calibri"/>
          <w:sz w:val="22"/>
          <w:szCs w:val="22"/>
        </w:rPr>
        <w:t>д</w:t>
      </w:r>
      <w:r w:rsidRPr="008742E9">
        <w:rPr>
          <w:rFonts w:eastAsia="Calibri"/>
          <w:sz w:val="22"/>
          <w:szCs w:val="22"/>
        </w:rPr>
        <w:t>кий вкус продукту, повышает содержание сухих веществ, обладает антикристализационным, энергетическим свойством за счет выс</w:t>
      </w:r>
      <w:r w:rsidRPr="008742E9">
        <w:rPr>
          <w:rFonts w:eastAsia="Calibri"/>
          <w:sz w:val="22"/>
          <w:szCs w:val="22"/>
        </w:rPr>
        <w:t>о</w:t>
      </w:r>
      <w:r w:rsidRPr="008742E9">
        <w:rPr>
          <w:rFonts w:eastAsia="Calibri"/>
          <w:sz w:val="22"/>
          <w:szCs w:val="22"/>
        </w:rPr>
        <w:t>кого гликемического индекса повышая уровень сахара в крови. Мальтодекстрин не представляет опасности для человека, за и</w:t>
      </w:r>
      <w:r w:rsidRPr="008742E9">
        <w:rPr>
          <w:rFonts w:eastAsia="Calibri"/>
          <w:sz w:val="22"/>
          <w:szCs w:val="22"/>
        </w:rPr>
        <w:t>с</w:t>
      </w:r>
      <w:r w:rsidRPr="008742E9">
        <w:rPr>
          <w:rFonts w:eastAsia="Calibri"/>
          <w:sz w:val="22"/>
          <w:szCs w:val="22"/>
        </w:rPr>
        <w:t>ключением больных диабетом. В производстве вареных колбас а</w:t>
      </w:r>
      <w:r w:rsidRPr="008742E9">
        <w:rPr>
          <w:rFonts w:eastAsia="Calibri"/>
          <w:sz w:val="22"/>
          <w:szCs w:val="22"/>
        </w:rPr>
        <w:t>с</w:t>
      </w:r>
      <w:r w:rsidRPr="008742E9">
        <w:rPr>
          <w:rFonts w:eastAsia="Calibri"/>
          <w:sz w:val="22"/>
          <w:szCs w:val="22"/>
        </w:rPr>
        <w:t xml:space="preserve">корбиновая кислота (E300) </w:t>
      </w:r>
      <w:proofErr w:type="gramStart"/>
      <w:r w:rsidRPr="008742E9">
        <w:rPr>
          <w:rFonts w:eastAsia="Calibri"/>
          <w:sz w:val="22"/>
          <w:szCs w:val="22"/>
        </w:rPr>
        <w:t xml:space="preserve">используется в качестве антиокислителя тем самым </w:t>
      </w:r>
      <w:r w:rsidRPr="008742E9">
        <w:rPr>
          <w:rFonts w:eastAsia="Calibri"/>
          <w:spacing w:val="1"/>
          <w:sz w:val="22"/>
          <w:szCs w:val="22"/>
        </w:rPr>
        <w:t>предотвращает</w:t>
      </w:r>
      <w:proofErr w:type="gramEnd"/>
      <w:r w:rsidRPr="008742E9">
        <w:rPr>
          <w:rFonts w:eastAsia="Calibri"/>
          <w:spacing w:val="1"/>
          <w:sz w:val="22"/>
          <w:szCs w:val="22"/>
        </w:rPr>
        <w:t xml:space="preserve"> порчу продукта от окисления – взаим</w:t>
      </w:r>
      <w:r w:rsidRPr="008742E9">
        <w:rPr>
          <w:rFonts w:eastAsia="Calibri"/>
          <w:spacing w:val="1"/>
          <w:sz w:val="22"/>
          <w:szCs w:val="22"/>
        </w:rPr>
        <w:t>о</w:t>
      </w:r>
      <w:r w:rsidRPr="008742E9">
        <w:rPr>
          <w:rFonts w:eastAsia="Calibri"/>
          <w:spacing w:val="1"/>
          <w:sz w:val="22"/>
          <w:szCs w:val="22"/>
        </w:rPr>
        <w:t>действия с кислородом.</w:t>
      </w:r>
      <w:r w:rsidRPr="008742E9">
        <w:rPr>
          <w:rFonts w:eastAsia="Calibri"/>
          <w:sz w:val="22"/>
          <w:szCs w:val="22"/>
        </w:rPr>
        <w:t xml:space="preserve"> Аскорбиновая кислота принимает участие в окислительно-восстановительных реакциях организма, однако при избытке </w:t>
      </w:r>
      <w:r w:rsidRPr="008742E9">
        <w:rPr>
          <w:rFonts w:eastAsia="Calibri"/>
          <w:spacing w:val="1"/>
          <w:sz w:val="22"/>
          <w:szCs w:val="22"/>
        </w:rPr>
        <w:t xml:space="preserve">аскорбиновой кислоты могут возникнуть аллергические </w:t>
      </w:r>
      <w:r w:rsidRPr="008742E9">
        <w:rPr>
          <w:rFonts w:eastAsia="Calibri"/>
          <w:spacing w:val="1"/>
          <w:sz w:val="22"/>
          <w:szCs w:val="22"/>
        </w:rPr>
        <w:lastRenderedPageBreak/>
        <w:t xml:space="preserve">реакции, раздражения </w:t>
      </w:r>
      <w:hyperlink r:id="rId30" w:tooltip="на" w:history="1">
        <w:r w:rsidRPr="008742E9">
          <w:rPr>
            <w:rFonts w:eastAsia="Calibri"/>
            <w:spacing w:val="1"/>
            <w:sz w:val="22"/>
            <w:szCs w:val="22"/>
            <w:bdr w:val="none" w:sz="0" w:space="0" w:color="auto" w:frame="1"/>
          </w:rPr>
          <w:t>на</w:t>
        </w:r>
      </w:hyperlink>
      <w:r w:rsidRPr="008742E9">
        <w:rPr>
          <w:rFonts w:eastAsia="Calibri"/>
          <w:spacing w:val="1"/>
          <w:sz w:val="22"/>
          <w:szCs w:val="22"/>
        </w:rPr>
        <w:t xml:space="preserve"> коже, расстройство желудочно-кишечного тракта сопровождающиеся болями в животе. </w:t>
      </w:r>
      <w:r w:rsidRPr="008742E9">
        <w:rPr>
          <w:rFonts w:eastAsia="Calibri"/>
          <w:sz w:val="22"/>
          <w:szCs w:val="22"/>
        </w:rPr>
        <w:t>Аскорб</w:t>
      </w:r>
      <w:r w:rsidRPr="008742E9">
        <w:rPr>
          <w:rFonts w:eastAsia="Calibri"/>
          <w:sz w:val="22"/>
          <w:szCs w:val="22"/>
        </w:rPr>
        <w:t>и</w:t>
      </w:r>
      <w:r w:rsidRPr="008742E9">
        <w:rPr>
          <w:rFonts w:eastAsia="Calibri"/>
          <w:sz w:val="22"/>
          <w:szCs w:val="22"/>
        </w:rPr>
        <w:t>новая кислота безвредна, разрешена как пищевая добавка на терр</w:t>
      </w:r>
      <w:r w:rsidRPr="008742E9">
        <w:rPr>
          <w:rFonts w:eastAsia="Calibri"/>
          <w:sz w:val="22"/>
          <w:szCs w:val="22"/>
        </w:rPr>
        <w:t>и</w:t>
      </w:r>
      <w:r w:rsidRPr="008742E9">
        <w:rPr>
          <w:rFonts w:eastAsia="Calibri"/>
          <w:sz w:val="22"/>
          <w:szCs w:val="22"/>
        </w:rPr>
        <w:t xml:space="preserve">тории Российской Федерации. </w:t>
      </w:r>
    </w:p>
    <w:p w:rsidR="008742E9" w:rsidRPr="008742E9" w:rsidRDefault="008742E9" w:rsidP="00667E25">
      <w:pPr>
        <w:ind w:firstLine="426"/>
        <w:jc w:val="both"/>
        <w:rPr>
          <w:rFonts w:eastAsia="Calibri"/>
          <w:bCs/>
          <w:sz w:val="22"/>
          <w:szCs w:val="22"/>
        </w:rPr>
      </w:pPr>
      <w:r w:rsidRPr="008742E9">
        <w:rPr>
          <w:rFonts w:eastAsia="Calibri"/>
          <w:bCs/>
          <w:sz w:val="22"/>
          <w:szCs w:val="22"/>
        </w:rPr>
        <w:t>Таким образом, частое употребление в пищу колбасных изд</w:t>
      </w:r>
      <w:r w:rsidRPr="008742E9">
        <w:rPr>
          <w:rFonts w:eastAsia="Calibri"/>
          <w:bCs/>
          <w:sz w:val="22"/>
          <w:szCs w:val="22"/>
        </w:rPr>
        <w:t>е</w:t>
      </w:r>
      <w:r w:rsidRPr="008742E9">
        <w:rPr>
          <w:rFonts w:eastAsia="Calibri"/>
          <w:bCs/>
          <w:sz w:val="22"/>
          <w:szCs w:val="22"/>
        </w:rPr>
        <w:t>лий состоящие из синтетических веществ может привести к необр</w:t>
      </w:r>
      <w:r w:rsidRPr="008742E9">
        <w:rPr>
          <w:rFonts w:eastAsia="Calibri"/>
          <w:bCs/>
          <w:sz w:val="22"/>
          <w:szCs w:val="22"/>
        </w:rPr>
        <w:t>а</w:t>
      </w:r>
      <w:r w:rsidRPr="008742E9">
        <w:rPr>
          <w:rFonts w:eastAsia="Calibri"/>
          <w:bCs/>
          <w:sz w:val="22"/>
          <w:szCs w:val="22"/>
        </w:rPr>
        <w:t>тимым изменениям в организме человека.</w:t>
      </w:r>
    </w:p>
    <w:p w:rsidR="008742E9" w:rsidRPr="00667E25" w:rsidRDefault="008742E9" w:rsidP="00667E25">
      <w:pPr>
        <w:ind w:firstLine="426"/>
        <w:jc w:val="center"/>
        <w:rPr>
          <w:rFonts w:eastAsia="Calibri"/>
          <w:bCs/>
          <w:color w:val="000000"/>
          <w:sz w:val="22"/>
          <w:szCs w:val="22"/>
        </w:rPr>
      </w:pPr>
    </w:p>
    <w:p w:rsidR="008742E9" w:rsidRPr="00667E25" w:rsidRDefault="008742E9" w:rsidP="00667E25">
      <w:pPr>
        <w:ind w:firstLine="426"/>
        <w:jc w:val="center"/>
        <w:rPr>
          <w:rFonts w:eastAsia="Calibri"/>
          <w:bCs/>
          <w:color w:val="000000"/>
          <w:sz w:val="22"/>
          <w:szCs w:val="22"/>
        </w:rPr>
      </w:pPr>
      <w:r w:rsidRPr="008742E9">
        <w:rPr>
          <w:rFonts w:eastAsia="Calibri"/>
          <w:bCs/>
          <w:color w:val="000000"/>
          <w:sz w:val="22"/>
          <w:szCs w:val="22"/>
        </w:rPr>
        <w:t>Список литературы</w:t>
      </w:r>
    </w:p>
    <w:p w:rsidR="008742E9" w:rsidRPr="008742E9" w:rsidRDefault="008742E9" w:rsidP="00667E25">
      <w:pPr>
        <w:spacing w:line="216" w:lineRule="auto"/>
        <w:ind w:firstLine="426"/>
        <w:jc w:val="both"/>
        <w:rPr>
          <w:rFonts w:eastAsia="Calibri"/>
          <w:color w:val="000000"/>
          <w:sz w:val="22"/>
          <w:szCs w:val="22"/>
        </w:rPr>
      </w:pPr>
      <w:r w:rsidRPr="008742E9">
        <w:rPr>
          <w:rFonts w:eastAsia="Calibri"/>
          <w:color w:val="000000"/>
          <w:sz w:val="22"/>
          <w:szCs w:val="22"/>
        </w:rPr>
        <w:t>1. Журавская Н. К. Исследование и контроль качества мяса и мясопродуктов / Н. К. Журавская, Л. Т. Алехина, Л. М. Отряшенкова. – М. : Агропромиздат, 2004.</w:t>
      </w:r>
    </w:p>
    <w:p w:rsidR="008742E9" w:rsidRPr="008742E9" w:rsidRDefault="008742E9" w:rsidP="00667E25">
      <w:pPr>
        <w:ind w:firstLine="426"/>
        <w:jc w:val="both"/>
        <w:rPr>
          <w:rFonts w:eastAsia="Calibri"/>
          <w:color w:val="000000"/>
          <w:sz w:val="22"/>
          <w:szCs w:val="22"/>
        </w:rPr>
      </w:pPr>
      <w:r w:rsidRPr="008742E9">
        <w:rPr>
          <w:rFonts w:eastAsia="Calibri"/>
          <w:color w:val="000000"/>
          <w:sz w:val="22"/>
          <w:szCs w:val="22"/>
        </w:rPr>
        <w:t>2. Спектроанализатор для определения токсичных элементов в продуктах питания / В. А. Выгодин, А. М. Скрипкин, В. А. Сурнин [и др.] // Мясная индустрия. – 2001. – № 4. – С. 22–23.</w:t>
      </w:r>
    </w:p>
    <w:p w:rsidR="00641ADC" w:rsidRDefault="00641ADC" w:rsidP="008742E9">
      <w:pPr>
        <w:tabs>
          <w:tab w:val="left" w:pos="899"/>
        </w:tabs>
        <w:jc w:val="both"/>
        <w:rPr>
          <w:rFonts w:eastAsia="Calibri"/>
          <w:sz w:val="22"/>
          <w:szCs w:val="22"/>
          <w:lang w:eastAsia="en-US"/>
        </w:rPr>
      </w:pPr>
    </w:p>
    <w:p w:rsidR="00641ADC" w:rsidRDefault="00641ADC" w:rsidP="008742E9">
      <w:pPr>
        <w:tabs>
          <w:tab w:val="left" w:pos="899"/>
        </w:tabs>
        <w:jc w:val="both"/>
        <w:rPr>
          <w:rFonts w:eastAsia="Calibri"/>
          <w:sz w:val="22"/>
          <w:szCs w:val="22"/>
          <w:lang w:eastAsia="en-US"/>
        </w:rPr>
      </w:pPr>
    </w:p>
    <w:p w:rsidR="00384DE6" w:rsidRDefault="00384DE6" w:rsidP="008742E9">
      <w:pPr>
        <w:tabs>
          <w:tab w:val="left" w:pos="899"/>
        </w:tabs>
        <w:jc w:val="both"/>
        <w:rPr>
          <w:rFonts w:eastAsia="Calibri"/>
          <w:sz w:val="22"/>
          <w:szCs w:val="22"/>
          <w:lang w:eastAsia="en-US"/>
        </w:rPr>
      </w:pPr>
    </w:p>
    <w:p w:rsidR="008742E9" w:rsidRPr="008742E9" w:rsidRDefault="008742E9" w:rsidP="008742E9">
      <w:pPr>
        <w:tabs>
          <w:tab w:val="left" w:pos="899"/>
        </w:tabs>
        <w:jc w:val="both"/>
        <w:rPr>
          <w:rFonts w:eastAsia="Calibri"/>
          <w:sz w:val="22"/>
          <w:szCs w:val="22"/>
          <w:lang w:eastAsia="en-US"/>
        </w:rPr>
      </w:pPr>
      <w:r w:rsidRPr="008742E9">
        <w:rPr>
          <w:rFonts w:eastAsia="Calibri"/>
          <w:sz w:val="22"/>
          <w:szCs w:val="22"/>
          <w:lang w:eastAsia="en-US"/>
        </w:rPr>
        <w:t>УДК 619: 616.2–84]:632.2.053</w:t>
      </w:r>
    </w:p>
    <w:p w:rsidR="008742E9" w:rsidRPr="008742E9" w:rsidRDefault="008742E9" w:rsidP="008742E9">
      <w:pPr>
        <w:tabs>
          <w:tab w:val="left" w:pos="899"/>
        </w:tabs>
        <w:jc w:val="both"/>
        <w:rPr>
          <w:rFonts w:eastAsia="Calibri"/>
          <w:sz w:val="22"/>
          <w:szCs w:val="22"/>
          <w:lang w:eastAsia="en-US"/>
        </w:rPr>
      </w:pPr>
    </w:p>
    <w:p w:rsidR="008742E9" w:rsidRPr="008742E9" w:rsidRDefault="008742E9" w:rsidP="008742E9">
      <w:pPr>
        <w:tabs>
          <w:tab w:val="left" w:pos="899"/>
        </w:tabs>
        <w:jc w:val="center"/>
        <w:rPr>
          <w:rFonts w:eastAsia="Calibri"/>
          <w:b/>
          <w:sz w:val="24"/>
          <w:szCs w:val="24"/>
          <w:lang w:eastAsia="en-US"/>
        </w:rPr>
      </w:pPr>
      <w:r w:rsidRPr="008742E9">
        <w:rPr>
          <w:rFonts w:eastAsia="Calibri"/>
          <w:b/>
          <w:sz w:val="24"/>
          <w:szCs w:val="24"/>
          <w:lang w:eastAsia="en-US"/>
        </w:rPr>
        <w:t xml:space="preserve">Профилактика респираторных заболеваний у телят </w:t>
      </w:r>
      <w:r w:rsidR="00667E25">
        <w:rPr>
          <w:rFonts w:eastAsia="Calibri"/>
          <w:b/>
          <w:sz w:val="24"/>
          <w:szCs w:val="24"/>
          <w:lang w:eastAsia="en-US"/>
        </w:rPr>
        <w:br/>
      </w:r>
      <w:r w:rsidRPr="008742E9">
        <w:rPr>
          <w:rFonts w:eastAsia="Calibri"/>
          <w:b/>
          <w:sz w:val="24"/>
          <w:szCs w:val="24"/>
          <w:lang w:eastAsia="en-US"/>
        </w:rPr>
        <w:t>с применением аэрозолей лекарственных веществ</w:t>
      </w:r>
    </w:p>
    <w:p w:rsidR="00667E25" w:rsidRPr="00024398" w:rsidRDefault="008742E9" w:rsidP="008742E9">
      <w:pPr>
        <w:tabs>
          <w:tab w:val="left" w:pos="899"/>
        </w:tabs>
        <w:jc w:val="center"/>
        <w:rPr>
          <w:rFonts w:eastAsia="Calibri"/>
          <w:b/>
          <w:sz w:val="24"/>
          <w:szCs w:val="24"/>
          <w:lang w:val="en-US" w:eastAsia="en-US"/>
        </w:rPr>
      </w:pPr>
      <w:r w:rsidRPr="008742E9">
        <w:rPr>
          <w:rFonts w:eastAsia="Calibri"/>
          <w:b/>
          <w:sz w:val="24"/>
          <w:szCs w:val="24"/>
          <w:lang w:val="en-US" w:eastAsia="en-US"/>
        </w:rPr>
        <w:t xml:space="preserve">Prevention of respiratory diseases in calves using aerosols </w:t>
      </w:r>
    </w:p>
    <w:p w:rsidR="008742E9" w:rsidRPr="008742E9" w:rsidRDefault="008742E9" w:rsidP="008742E9">
      <w:pPr>
        <w:tabs>
          <w:tab w:val="left" w:pos="899"/>
        </w:tabs>
        <w:jc w:val="center"/>
        <w:rPr>
          <w:rFonts w:eastAsia="Calibri"/>
          <w:b/>
          <w:sz w:val="24"/>
          <w:szCs w:val="24"/>
          <w:lang w:val="en-US" w:eastAsia="en-US"/>
        </w:rPr>
      </w:pPr>
      <w:r w:rsidRPr="008742E9">
        <w:rPr>
          <w:rFonts w:eastAsia="Calibri"/>
          <w:b/>
          <w:sz w:val="24"/>
          <w:szCs w:val="24"/>
          <w:lang w:val="en-US" w:eastAsia="en-US"/>
        </w:rPr>
        <w:t>of medicinal substances</w:t>
      </w:r>
    </w:p>
    <w:p w:rsidR="008742E9" w:rsidRPr="008742E9" w:rsidRDefault="008742E9" w:rsidP="008742E9">
      <w:pPr>
        <w:tabs>
          <w:tab w:val="left" w:pos="899"/>
        </w:tabs>
        <w:jc w:val="center"/>
        <w:rPr>
          <w:rFonts w:eastAsia="Calibri"/>
          <w:sz w:val="22"/>
          <w:szCs w:val="22"/>
          <w:lang w:val="en-US" w:eastAsia="en-US"/>
        </w:rPr>
      </w:pPr>
    </w:p>
    <w:p w:rsidR="008742E9" w:rsidRPr="00024398" w:rsidRDefault="008742E9" w:rsidP="008742E9">
      <w:pPr>
        <w:tabs>
          <w:tab w:val="left" w:pos="899"/>
        </w:tabs>
        <w:jc w:val="right"/>
        <w:rPr>
          <w:rFonts w:eastAsia="Calibri"/>
          <w:sz w:val="22"/>
          <w:szCs w:val="22"/>
          <w:lang w:val="en-US" w:eastAsia="en-US"/>
        </w:rPr>
      </w:pPr>
      <w:r w:rsidRPr="008742E9">
        <w:rPr>
          <w:rFonts w:eastAsia="Calibri"/>
          <w:sz w:val="22"/>
          <w:szCs w:val="22"/>
          <w:lang w:eastAsia="en-US"/>
        </w:rPr>
        <w:t>Корчаченко</w:t>
      </w:r>
      <w:r w:rsidRPr="00024398">
        <w:rPr>
          <w:rFonts w:eastAsia="Calibri"/>
          <w:sz w:val="22"/>
          <w:szCs w:val="22"/>
          <w:lang w:val="en-US" w:eastAsia="en-US"/>
        </w:rPr>
        <w:t xml:space="preserve"> </w:t>
      </w:r>
      <w:r w:rsidRPr="008742E9">
        <w:rPr>
          <w:rFonts w:eastAsia="Calibri"/>
          <w:sz w:val="22"/>
          <w:szCs w:val="22"/>
          <w:lang w:eastAsia="en-US"/>
        </w:rPr>
        <w:t>И</w:t>
      </w:r>
      <w:r w:rsidRPr="00024398">
        <w:rPr>
          <w:rFonts w:eastAsia="Calibri"/>
          <w:sz w:val="22"/>
          <w:szCs w:val="22"/>
          <w:lang w:val="en-US" w:eastAsia="en-US"/>
        </w:rPr>
        <w:t xml:space="preserve">. </w:t>
      </w:r>
      <w:r w:rsidRPr="008742E9">
        <w:rPr>
          <w:rFonts w:eastAsia="Calibri"/>
          <w:sz w:val="22"/>
          <w:szCs w:val="22"/>
          <w:lang w:eastAsia="en-US"/>
        </w:rPr>
        <w:t>Е</w:t>
      </w:r>
      <w:r w:rsidRPr="00024398">
        <w:rPr>
          <w:rFonts w:eastAsia="Calibri"/>
          <w:sz w:val="22"/>
          <w:szCs w:val="22"/>
          <w:lang w:val="en-US" w:eastAsia="en-US"/>
        </w:rPr>
        <w:t>,</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студентка 5</w:t>
      </w:r>
      <w:r w:rsidR="00667E25">
        <w:rPr>
          <w:rFonts w:eastAsia="Calibri"/>
          <w:sz w:val="22"/>
          <w:szCs w:val="22"/>
          <w:lang w:eastAsia="en-US"/>
        </w:rPr>
        <w:t xml:space="preserve"> курса</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факультета ветеринарной медицины</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Хахов Л. А.,</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канд. вет. наук, профессор</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tabs>
          <w:tab w:val="left" w:pos="899"/>
        </w:tabs>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tabs>
          <w:tab w:val="left" w:pos="899"/>
        </w:tabs>
        <w:jc w:val="right"/>
        <w:rPr>
          <w:rFonts w:eastAsia="Calibri"/>
          <w:sz w:val="22"/>
          <w:szCs w:val="22"/>
          <w:lang w:eastAsia="en-US"/>
        </w:rPr>
      </w:pP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АННОТАЦИЯ: Проведение профилактики респираторных з</w:t>
      </w:r>
      <w:r w:rsidRPr="008742E9">
        <w:rPr>
          <w:rFonts w:eastAsia="Calibri"/>
          <w:sz w:val="22"/>
          <w:szCs w:val="22"/>
          <w:lang w:eastAsia="en-US"/>
        </w:rPr>
        <w:t>а</w:t>
      </w:r>
      <w:r w:rsidRPr="008742E9">
        <w:rPr>
          <w:rFonts w:eastAsia="Calibri"/>
          <w:sz w:val="22"/>
          <w:szCs w:val="22"/>
          <w:lang w:eastAsia="en-US"/>
        </w:rPr>
        <w:t>болеваний телят. Применение аэрозолей лекарственных веществ. Оценка эффективности применения лекарственных веществ инг</w:t>
      </w:r>
      <w:r w:rsidRPr="008742E9">
        <w:rPr>
          <w:rFonts w:eastAsia="Calibri"/>
          <w:sz w:val="22"/>
          <w:szCs w:val="22"/>
          <w:lang w:eastAsia="en-US"/>
        </w:rPr>
        <w:t>а</w:t>
      </w:r>
      <w:r w:rsidRPr="008742E9">
        <w:rPr>
          <w:rFonts w:eastAsia="Calibri"/>
          <w:sz w:val="22"/>
          <w:szCs w:val="22"/>
          <w:lang w:eastAsia="en-US"/>
        </w:rPr>
        <w:t>ляционным методом.</w:t>
      </w:r>
    </w:p>
    <w:p w:rsidR="008742E9" w:rsidRPr="008742E9" w:rsidRDefault="008742E9" w:rsidP="00667E25">
      <w:pPr>
        <w:tabs>
          <w:tab w:val="left" w:pos="899"/>
        </w:tabs>
        <w:ind w:firstLine="426"/>
        <w:jc w:val="both"/>
        <w:rPr>
          <w:rFonts w:eastAsia="Calibri"/>
          <w:sz w:val="22"/>
          <w:szCs w:val="22"/>
          <w:lang w:val="en-US" w:eastAsia="en-US"/>
        </w:rPr>
      </w:pPr>
      <w:r w:rsidRPr="008742E9">
        <w:rPr>
          <w:rFonts w:eastAsia="Calibri"/>
          <w:sz w:val="22"/>
          <w:szCs w:val="22"/>
          <w:lang w:val="en-US" w:eastAsia="en-US"/>
        </w:rPr>
        <w:lastRenderedPageBreak/>
        <w:t>ABSTRACT: carrying out the prevention of respiratory diseases of calves. Application of aerosols of medicinal substances. Evaluation of the effectiveness of the use of medicinal substances inhalation method.</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КЛЮЧЕВЫЕ СЛОВА: респираторные заболевания, аэрозоли, профилактика.</w:t>
      </w:r>
    </w:p>
    <w:p w:rsidR="008742E9" w:rsidRPr="008742E9" w:rsidRDefault="008742E9" w:rsidP="00667E25">
      <w:pPr>
        <w:tabs>
          <w:tab w:val="left" w:pos="899"/>
          <w:tab w:val="left" w:pos="2256"/>
        </w:tabs>
        <w:ind w:firstLine="426"/>
        <w:jc w:val="both"/>
        <w:rPr>
          <w:rFonts w:eastAsia="Calibri"/>
          <w:sz w:val="22"/>
          <w:szCs w:val="22"/>
          <w:lang w:val="en-US" w:eastAsia="en-US"/>
        </w:rPr>
      </w:pPr>
      <w:r w:rsidRPr="008742E9">
        <w:rPr>
          <w:rFonts w:eastAsia="Calibri"/>
          <w:sz w:val="22"/>
          <w:szCs w:val="22"/>
          <w:lang w:val="en-US" w:eastAsia="en-US"/>
        </w:rPr>
        <w:t>KEYWORDS: respiratory diseases, aerosols, prophylaxis.</w:t>
      </w:r>
    </w:p>
    <w:p w:rsidR="008742E9" w:rsidRPr="008742E9" w:rsidRDefault="008742E9" w:rsidP="00667E25">
      <w:pPr>
        <w:tabs>
          <w:tab w:val="left" w:pos="899"/>
        </w:tabs>
        <w:ind w:firstLine="426"/>
        <w:jc w:val="both"/>
        <w:rPr>
          <w:rFonts w:eastAsia="Calibri"/>
          <w:sz w:val="22"/>
          <w:szCs w:val="22"/>
          <w:lang w:val="en-US" w:eastAsia="en-US"/>
        </w:rPr>
      </w:pP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Проблема респираторных заболеваний телят является актуал</w:t>
      </w:r>
      <w:r w:rsidRPr="008742E9">
        <w:rPr>
          <w:rFonts w:eastAsia="Calibri"/>
          <w:sz w:val="22"/>
          <w:szCs w:val="22"/>
          <w:lang w:eastAsia="en-US"/>
        </w:rPr>
        <w:t>ь</w:t>
      </w:r>
      <w:r w:rsidRPr="008742E9">
        <w:rPr>
          <w:rFonts w:eastAsia="Calibri"/>
          <w:sz w:val="22"/>
          <w:szCs w:val="22"/>
          <w:lang w:eastAsia="en-US"/>
        </w:rPr>
        <w:t>ной и причиняет большой экономический ущерб, складывающийся из снижения приростов, выбраковки и гибели животных, а также расходов на лечение и профилактические обработки. Экономич</w:t>
      </w:r>
      <w:r w:rsidRPr="008742E9">
        <w:rPr>
          <w:rFonts w:eastAsia="Calibri"/>
          <w:sz w:val="22"/>
          <w:szCs w:val="22"/>
          <w:lang w:eastAsia="en-US"/>
        </w:rPr>
        <w:t>е</w:t>
      </w:r>
      <w:r w:rsidRPr="008742E9">
        <w:rPr>
          <w:rFonts w:eastAsia="Calibri"/>
          <w:sz w:val="22"/>
          <w:szCs w:val="22"/>
          <w:lang w:eastAsia="en-US"/>
        </w:rPr>
        <w:t>ская эффективность снижается на 20-30%. Болезни дыхательной системы имеют приоритетную позицию среди заболеваний моло</w:t>
      </w:r>
      <w:r w:rsidRPr="008742E9">
        <w:rPr>
          <w:rFonts w:eastAsia="Calibri"/>
          <w:sz w:val="22"/>
          <w:szCs w:val="22"/>
          <w:lang w:eastAsia="en-US"/>
        </w:rPr>
        <w:t>д</w:t>
      </w:r>
      <w:r w:rsidRPr="008742E9">
        <w:rPr>
          <w:rFonts w:eastAsia="Calibri"/>
          <w:sz w:val="22"/>
          <w:szCs w:val="22"/>
          <w:lang w:eastAsia="en-US"/>
        </w:rPr>
        <w:t>няка крупного рогатого скота. При традиционной технологии вед</w:t>
      </w:r>
      <w:r w:rsidRPr="008742E9">
        <w:rPr>
          <w:rFonts w:eastAsia="Calibri"/>
          <w:sz w:val="22"/>
          <w:szCs w:val="22"/>
          <w:lang w:eastAsia="en-US"/>
        </w:rPr>
        <w:t>е</w:t>
      </w:r>
      <w:r w:rsidRPr="008742E9">
        <w:rPr>
          <w:rFonts w:eastAsia="Calibri"/>
          <w:sz w:val="22"/>
          <w:szCs w:val="22"/>
          <w:lang w:eastAsia="en-US"/>
        </w:rPr>
        <w:t xml:space="preserve">ния скотоводства на долю этих болезней приходится 33,2-44,0%, а при промышленной более 60% от всех случаев заболевания телят. Болеет 80-100% молодняка до года [1,2]. </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Возникновению респираторных заболеваний молодняка сп</w:t>
      </w:r>
      <w:r w:rsidRPr="008742E9">
        <w:rPr>
          <w:rFonts w:eastAsia="Calibri"/>
          <w:sz w:val="22"/>
          <w:szCs w:val="22"/>
          <w:lang w:eastAsia="en-US"/>
        </w:rPr>
        <w:t>о</w:t>
      </w:r>
      <w:r w:rsidRPr="008742E9">
        <w:rPr>
          <w:rFonts w:eastAsia="Calibri"/>
          <w:sz w:val="22"/>
          <w:szCs w:val="22"/>
          <w:lang w:eastAsia="en-US"/>
        </w:rPr>
        <w:t>собствуют многие предрасполагающие факторы, одними из кот</w:t>
      </w:r>
      <w:r w:rsidRPr="008742E9">
        <w:rPr>
          <w:rFonts w:eastAsia="Calibri"/>
          <w:sz w:val="22"/>
          <w:szCs w:val="22"/>
          <w:lang w:eastAsia="en-US"/>
        </w:rPr>
        <w:t>о</w:t>
      </w:r>
      <w:r w:rsidRPr="008742E9">
        <w:rPr>
          <w:rFonts w:eastAsia="Calibri"/>
          <w:sz w:val="22"/>
          <w:szCs w:val="22"/>
          <w:lang w:eastAsia="en-US"/>
        </w:rPr>
        <w:t>рых являются снижение резистентности организма к неблагоприя</w:t>
      </w:r>
      <w:r w:rsidRPr="008742E9">
        <w:rPr>
          <w:rFonts w:eastAsia="Calibri"/>
          <w:sz w:val="22"/>
          <w:szCs w:val="22"/>
          <w:lang w:eastAsia="en-US"/>
        </w:rPr>
        <w:t>т</w:t>
      </w:r>
      <w:r w:rsidRPr="008742E9">
        <w:rPr>
          <w:rFonts w:eastAsia="Calibri"/>
          <w:sz w:val="22"/>
          <w:szCs w:val="22"/>
          <w:lang w:eastAsia="en-US"/>
        </w:rPr>
        <w:t>ным факторам внешней среды, нарушение правил и норм содерж</w:t>
      </w:r>
      <w:r w:rsidRPr="008742E9">
        <w:rPr>
          <w:rFonts w:eastAsia="Calibri"/>
          <w:sz w:val="22"/>
          <w:szCs w:val="22"/>
          <w:lang w:eastAsia="en-US"/>
        </w:rPr>
        <w:t>а</w:t>
      </w:r>
      <w:r w:rsidRPr="008742E9">
        <w:rPr>
          <w:rFonts w:eastAsia="Calibri"/>
          <w:sz w:val="22"/>
          <w:szCs w:val="22"/>
          <w:lang w:eastAsia="en-US"/>
        </w:rPr>
        <w:t>ния животных, скученное содержание, плохая вентиляция. Болезни дыхательной системы являются мощным депрессантом иммунной системы. Таким образом, профилактика болезней молодняка явл</w:t>
      </w:r>
      <w:r w:rsidRPr="008742E9">
        <w:rPr>
          <w:rFonts w:eastAsia="Calibri"/>
          <w:sz w:val="22"/>
          <w:szCs w:val="22"/>
          <w:lang w:eastAsia="en-US"/>
        </w:rPr>
        <w:t>я</w:t>
      </w:r>
      <w:r w:rsidRPr="008742E9">
        <w:rPr>
          <w:rFonts w:eastAsia="Calibri"/>
          <w:sz w:val="22"/>
          <w:szCs w:val="22"/>
          <w:lang w:eastAsia="en-US"/>
        </w:rPr>
        <w:t>ется важной и неотъемлемой частью технологического процесса.</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Одним из минусов применения в качестве профилактики и</w:t>
      </w:r>
      <w:r w:rsidRPr="008742E9">
        <w:rPr>
          <w:rFonts w:eastAsia="Calibri"/>
          <w:sz w:val="22"/>
          <w:szCs w:val="22"/>
          <w:lang w:eastAsia="en-US"/>
        </w:rPr>
        <w:t>з</w:t>
      </w:r>
      <w:r w:rsidRPr="008742E9">
        <w:rPr>
          <w:rFonts w:eastAsia="Calibri"/>
          <w:sz w:val="22"/>
          <w:szCs w:val="22"/>
          <w:lang w:eastAsia="en-US"/>
        </w:rPr>
        <w:t>вестных препаратов является то, что они вводятся в организм ж</w:t>
      </w:r>
      <w:r w:rsidRPr="008742E9">
        <w:rPr>
          <w:rFonts w:eastAsia="Calibri"/>
          <w:sz w:val="22"/>
          <w:szCs w:val="22"/>
          <w:lang w:eastAsia="en-US"/>
        </w:rPr>
        <w:t>и</w:t>
      </w:r>
      <w:r w:rsidRPr="008742E9">
        <w:rPr>
          <w:rFonts w:eastAsia="Calibri"/>
          <w:sz w:val="22"/>
          <w:szCs w:val="22"/>
          <w:lang w:eastAsia="en-US"/>
        </w:rPr>
        <w:t>вотного перорально. При данном способе введения лекарственных веществ, в следствии прохождения препарата по желудочно-кишечному тракту, происходит инактивирующее действие ферме</w:t>
      </w:r>
      <w:r w:rsidRPr="008742E9">
        <w:rPr>
          <w:rFonts w:eastAsia="Calibri"/>
          <w:sz w:val="22"/>
          <w:szCs w:val="22"/>
          <w:lang w:eastAsia="en-US"/>
        </w:rPr>
        <w:t>н</w:t>
      </w:r>
      <w:r w:rsidRPr="008742E9">
        <w:rPr>
          <w:rFonts w:eastAsia="Calibri"/>
          <w:sz w:val="22"/>
          <w:szCs w:val="22"/>
          <w:lang w:eastAsia="en-US"/>
        </w:rPr>
        <w:t>тов, адсорбция на содержимом и химусе, а также инактивация большой части лекарственного вещества печенью, период действия удлиняется. Потеря лекарственного вещества при данном способе введения составляет около 50%. Для достижения терапевтического эффекта дозу лекарственного средства приходится увеличивать в 2 раза, что несет дополнительные затраты [2].</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Последние годы в фармацевтике наблюдают смену традицио</w:t>
      </w:r>
      <w:r w:rsidRPr="008742E9">
        <w:rPr>
          <w:rFonts w:eastAsia="Calibri"/>
          <w:sz w:val="22"/>
          <w:szCs w:val="22"/>
          <w:lang w:eastAsia="en-US"/>
        </w:rPr>
        <w:t>н</w:t>
      </w:r>
      <w:r w:rsidRPr="008742E9">
        <w:rPr>
          <w:rFonts w:eastAsia="Calibri"/>
          <w:sz w:val="22"/>
          <w:szCs w:val="22"/>
          <w:lang w:eastAsia="en-US"/>
        </w:rPr>
        <w:t xml:space="preserve">ных лекарственных форм на более современные, которые способны </w:t>
      </w:r>
      <w:r w:rsidRPr="008742E9">
        <w:rPr>
          <w:rFonts w:eastAsia="Calibri"/>
          <w:sz w:val="22"/>
          <w:szCs w:val="22"/>
          <w:lang w:eastAsia="en-US"/>
        </w:rPr>
        <w:lastRenderedPageBreak/>
        <w:t>регулировать процесс высвобождения действующего вещества и его распределение. Одними из таких форм являются аэрозоли [3].</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Для повышения резистентности и профилактики респирато</w:t>
      </w:r>
      <w:r w:rsidRPr="008742E9">
        <w:rPr>
          <w:rFonts w:eastAsia="Calibri"/>
          <w:sz w:val="22"/>
          <w:szCs w:val="22"/>
          <w:lang w:eastAsia="en-US"/>
        </w:rPr>
        <w:t>р</w:t>
      </w:r>
      <w:r w:rsidRPr="008742E9">
        <w:rPr>
          <w:rFonts w:eastAsia="Calibri"/>
          <w:sz w:val="22"/>
          <w:szCs w:val="22"/>
          <w:lang w:eastAsia="en-US"/>
        </w:rPr>
        <w:t xml:space="preserve">ных заболеваний молодняка применяется аэрозольная обработка молочной кислотой, а также ингаляция йодохлорида с алюминием. </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При аэрозольном способе введения лекарственное средство быстро диффундирует через однослойный эпителиальный слой ал</w:t>
      </w:r>
      <w:r w:rsidRPr="008742E9">
        <w:rPr>
          <w:rFonts w:eastAsia="Calibri"/>
          <w:sz w:val="22"/>
          <w:szCs w:val="22"/>
          <w:lang w:eastAsia="en-US"/>
        </w:rPr>
        <w:t>ь</w:t>
      </w:r>
      <w:r w:rsidRPr="008742E9">
        <w:rPr>
          <w:rFonts w:eastAsia="Calibri"/>
          <w:sz w:val="22"/>
          <w:szCs w:val="22"/>
          <w:lang w:eastAsia="en-US"/>
        </w:rPr>
        <w:t>веол и слой капиллярного эпителия, тем самым обеспечивая выс</w:t>
      </w:r>
      <w:r w:rsidRPr="008742E9">
        <w:rPr>
          <w:rFonts w:eastAsia="Calibri"/>
          <w:sz w:val="22"/>
          <w:szCs w:val="22"/>
          <w:lang w:eastAsia="en-US"/>
        </w:rPr>
        <w:t>о</w:t>
      </w:r>
      <w:r w:rsidRPr="008742E9">
        <w:rPr>
          <w:rFonts w:eastAsia="Calibri"/>
          <w:sz w:val="22"/>
          <w:szCs w:val="22"/>
          <w:lang w:eastAsia="en-US"/>
        </w:rPr>
        <w:t>кую концентрацию в крови, легких, дыхательных путях. Ингаляц</w:t>
      </w:r>
      <w:r w:rsidRPr="008742E9">
        <w:rPr>
          <w:rFonts w:eastAsia="Calibri"/>
          <w:sz w:val="22"/>
          <w:szCs w:val="22"/>
          <w:lang w:eastAsia="en-US"/>
        </w:rPr>
        <w:t>и</w:t>
      </w:r>
      <w:r w:rsidRPr="008742E9">
        <w:rPr>
          <w:rFonts w:eastAsia="Calibri"/>
          <w:sz w:val="22"/>
          <w:szCs w:val="22"/>
          <w:lang w:eastAsia="en-US"/>
        </w:rPr>
        <w:t>онным способом введения достигается контакт препарата с возб</w:t>
      </w:r>
      <w:r w:rsidRPr="008742E9">
        <w:rPr>
          <w:rFonts w:eastAsia="Calibri"/>
          <w:sz w:val="22"/>
          <w:szCs w:val="22"/>
          <w:lang w:eastAsia="en-US"/>
        </w:rPr>
        <w:t>у</w:t>
      </w:r>
      <w:r w:rsidRPr="008742E9">
        <w:rPr>
          <w:rFonts w:eastAsia="Calibri"/>
          <w:sz w:val="22"/>
          <w:szCs w:val="22"/>
          <w:lang w:eastAsia="en-US"/>
        </w:rPr>
        <w:t>дителем и очагом поражения. Препарат минует печень, через дых</w:t>
      </w:r>
      <w:r w:rsidRPr="008742E9">
        <w:rPr>
          <w:rFonts w:eastAsia="Calibri"/>
          <w:sz w:val="22"/>
          <w:szCs w:val="22"/>
          <w:lang w:eastAsia="en-US"/>
        </w:rPr>
        <w:t>а</w:t>
      </w:r>
      <w:r w:rsidRPr="008742E9">
        <w:rPr>
          <w:rFonts w:eastAsia="Calibri"/>
          <w:sz w:val="22"/>
          <w:szCs w:val="22"/>
          <w:lang w:eastAsia="en-US"/>
        </w:rPr>
        <w:t>тельные пути проникает в очаги воспаления. Эффективность лека</w:t>
      </w:r>
      <w:r w:rsidRPr="008742E9">
        <w:rPr>
          <w:rFonts w:eastAsia="Calibri"/>
          <w:sz w:val="22"/>
          <w:szCs w:val="22"/>
          <w:lang w:eastAsia="en-US"/>
        </w:rPr>
        <w:t>р</w:t>
      </w:r>
      <w:r w:rsidRPr="008742E9">
        <w:rPr>
          <w:rFonts w:eastAsia="Calibri"/>
          <w:sz w:val="22"/>
          <w:szCs w:val="22"/>
          <w:lang w:eastAsia="en-US"/>
        </w:rPr>
        <w:t>ственного средства повышается, а его расход снижается. Данный способ подходит для групповой профилактики, что снижает затраты труда и время проведения профилактических мероприятий [2].</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Профилактику и повышения резистентности телят групповым способом, проводили по следующей схеме:</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Для распыления аэрозолей лекарственных веществ применяли аэрозольные генераторы САГ-1, производительность которого 50-80 мл/мин, дисперсность аэрозолей от 5 до 20 мкм, подключенные к компрессору, который создает давление 4 кг/см</w:t>
      </w:r>
      <w:r w:rsidRPr="008742E9">
        <w:rPr>
          <w:rFonts w:eastAsia="Calibri"/>
          <w:sz w:val="22"/>
          <w:szCs w:val="22"/>
          <w:vertAlign w:val="superscript"/>
          <w:lang w:eastAsia="en-US"/>
        </w:rPr>
        <w:t>2</w:t>
      </w:r>
      <w:r w:rsidRPr="008742E9">
        <w:rPr>
          <w:rFonts w:eastAsia="Calibri"/>
          <w:sz w:val="22"/>
          <w:szCs w:val="22"/>
          <w:lang w:eastAsia="en-US"/>
        </w:rPr>
        <w:t>, расход воздуха на 1000мл распыляемой жидкости 2-3м</w:t>
      </w:r>
      <w:r w:rsidRPr="008742E9">
        <w:rPr>
          <w:rFonts w:eastAsia="Calibri"/>
          <w:sz w:val="22"/>
          <w:szCs w:val="22"/>
          <w:vertAlign w:val="superscript"/>
          <w:lang w:eastAsia="en-US"/>
        </w:rPr>
        <w:t xml:space="preserve">3 </w:t>
      </w:r>
      <w:r w:rsidRPr="008742E9">
        <w:rPr>
          <w:rFonts w:eastAsia="Calibri"/>
          <w:sz w:val="22"/>
          <w:szCs w:val="22"/>
          <w:lang w:eastAsia="en-US"/>
        </w:rPr>
        <w:t>[2].</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Телят подвергали аэрозольной обработке молочной кислотой (1литр кислоты + 2кг сахара на 10 литров воды) с экспозицией 60 минут. Повторно проводилась ингаляция препаратом йодохлорида с алюминием (3мл на 1 м</w:t>
      </w:r>
      <w:r w:rsidRPr="008742E9">
        <w:rPr>
          <w:rFonts w:eastAsia="Calibri"/>
          <w:sz w:val="22"/>
          <w:szCs w:val="22"/>
          <w:vertAlign w:val="superscript"/>
          <w:lang w:eastAsia="en-US"/>
        </w:rPr>
        <w:t>3</w:t>
      </w:r>
      <w:r w:rsidRPr="008742E9">
        <w:rPr>
          <w:rFonts w:eastAsia="Calibri"/>
          <w:sz w:val="22"/>
          <w:szCs w:val="22"/>
          <w:lang w:eastAsia="en-US"/>
        </w:rPr>
        <w:t xml:space="preserve"> помещения, 50г алюминия на 1 литр й</w:t>
      </w:r>
      <w:r w:rsidRPr="008742E9">
        <w:rPr>
          <w:rFonts w:eastAsia="Calibri"/>
          <w:sz w:val="22"/>
          <w:szCs w:val="22"/>
          <w:lang w:eastAsia="en-US"/>
        </w:rPr>
        <w:t>о</w:t>
      </w:r>
      <w:r w:rsidRPr="008742E9">
        <w:rPr>
          <w:rFonts w:eastAsia="Calibri"/>
          <w:sz w:val="22"/>
          <w:szCs w:val="22"/>
          <w:lang w:eastAsia="en-US"/>
        </w:rPr>
        <w:t xml:space="preserve">дохлорида) в той же экспозиции уже через 24 часа. </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Анализ проведения профилактических мероприятий показал, что использование данных лекарственных веществ методом аэр</w:t>
      </w:r>
      <w:r w:rsidRPr="008742E9">
        <w:rPr>
          <w:rFonts w:eastAsia="Calibri"/>
          <w:sz w:val="22"/>
          <w:szCs w:val="22"/>
          <w:lang w:eastAsia="en-US"/>
        </w:rPr>
        <w:t>о</w:t>
      </w:r>
      <w:r w:rsidRPr="008742E9">
        <w:rPr>
          <w:rFonts w:eastAsia="Calibri"/>
          <w:sz w:val="22"/>
          <w:szCs w:val="22"/>
          <w:lang w:eastAsia="en-US"/>
        </w:rPr>
        <w:t>зольных обработок является высокоэффективно при респираторных заболеваниях телят. Гибели животных не регистрировалось, общее состояние животных хорошее. Во время проведения обработок ж</w:t>
      </w:r>
      <w:r w:rsidRPr="008742E9">
        <w:rPr>
          <w:rFonts w:eastAsia="Calibri"/>
          <w:sz w:val="22"/>
          <w:szCs w:val="22"/>
          <w:lang w:eastAsia="en-US"/>
        </w:rPr>
        <w:t>и</w:t>
      </w:r>
      <w:r w:rsidRPr="008742E9">
        <w:rPr>
          <w:rFonts w:eastAsia="Calibri"/>
          <w:sz w:val="22"/>
          <w:szCs w:val="22"/>
          <w:lang w:eastAsia="en-US"/>
        </w:rPr>
        <w:t>вотные не беспокоились.</w:t>
      </w:r>
    </w:p>
    <w:p w:rsidR="008742E9" w:rsidRPr="008742E9" w:rsidRDefault="008742E9" w:rsidP="00667E25">
      <w:pPr>
        <w:tabs>
          <w:tab w:val="left" w:pos="899"/>
        </w:tabs>
        <w:ind w:firstLine="426"/>
        <w:jc w:val="both"/>
        <w:rPr>
          <w:rFonts w:eastAsia="Calibri"/>
          <w:sz w:val="22"/>
          <w:szCs w:val="22"/>
          <w:lang w:eastAsia="en-US"/>
        </w:rPr>
      </w:pPr>
      <w:r w:rsidRPr="008742E9">
        <w:rPr>
          <w:rFonts w:eastAsia="Calibri"/>
          <w:sz w:val="22"/>
          <w:szCs w:val="22"/>
          <w:lang w:eastAsia="en-US"/>
        </w:rPr>
        <w:t>Таким образом, использование лекарственных веществ в виде аэрозолей является целесообразным, экономически выгодным и позволяет сократить затраты труда, а самое главное повышает рез</w:t>
      </w:r>
      <w:r w:rsidRPr="008742E9">
        <w:rPr>
          <w:rFonts w:eastAsia="Calibri"/>
          <w:sz w:val="22"/>
          <w:szCs w:val="22"/>
          <w:lang w:eastAsia="en-US"/>
        </w:rPr>
        <w:t>и</w:t>
      </w:r>
      <w:r w:rsidRPr="008742E9">
        <w:rPr>
          <w:rFonts w:eastAsia="Calibri"/>
          <w:sz w:val="22"/>
          <w:szCs w:val="22"/>
          <w:lang w:eastAsia="en-US"/>
        </w:rPr>
        <w:t>стентность организма молодняка.</w:t>
      </w:r>
    </w:p>
    <w:p w:rsidR="008742E9" w:rsidRPr="008742E9" w:rsidRDefault="008742E9" w:rsidP="00667E25">
      <w:pPr>
        <w:tabs>
          <w:tab w:val="left" w:pos="899"/>
        </w:tabs>
        <w:ind w:firstLine="426"/>
        <w:jc w:val="both"/>
        <w:rPr>
          <w:rFonts w:eastAsia="Calibri"/>
          <w:sz w:val="22"/>
          <w:szCs w:val="22"/>
          <w:lang w:eastAsia="en-US"/>
        </w:rPr>
      </w:pPr>
    </w:p>
    <w:p w:rsidR="008742E9" w:rsidRPr="008742E9" w:rsidRDefault="008742E9" w:rsidP="00641ADC">
      <w:pPr>
        <w:tabs>
          <w:tab w:val="left" w:pos="899"/>
        </w:tabs>
        <w:ind w:firstLine="426"/>
        <w:jc w:val="center"/>
        <w:rPr>
          <w:rFonts w:eastAsia="Calibri"/>
          <w:sz w:val="22"/>
          <w:szCs w:val="22"/>
          <w:lang w:eastAsia="en-US"/>
        </w:rPr>
      </w:pPr>
      <w:r w:rsidRPr="008742E9">
        <w:rPr>
          <w:rFonts w:eastAsia="Calibri"/>
          <w:sz w:val="22"/>
          <w:szCs w:val="22"/>
          <w:lang w:eastAsia="en-US"/>
        </w:rPr>
        <w:lastRenderedPageBreak/>
        <w:t>Список литературы</w:t>
      </w:r>
    </w:p>
    <w:p w:rsidR="008742E9" w:rsidRPr="008742E9" w:rsidRDefault="008742E9" w:rsidP="00667E25">
      <w:pPr>
        <w:ind w:firstLine="426"/>
        <w:contextualSpacing/>
        <w:jc w:val="both"/>
        <w:rPr>
          <w:rFonts w:eastAsia="Calibri"/>
          <w:sz w:val="22"/>
          <w:szCs w:val="22"/>
          <w:lang w:eastAsia="en-US"/>
        </w:rPr>
      </w:pPr>
      <w:r w:rsidRPr="008742E9">
        <w:rPr>
          <w:rFonts w:eastAsia="Calibri"/>
          <w:sz w:val="22"/>
          <w:szCs w:val="22"/>
          <w:lang w:eastAsia="en-US"/>
        </w:rPr>
        <w:t>1. Масьянов Ю. Н. Иммунный статус телят при возникновении и развитии респираторного синдрома/ Ю. Н. Масьянов, А. Г. Ш</w:t>
      </w:r>
      <w:r w:rsidRPr="008742E9">
        <w:rPr>
          <w:rFonts w:eastAsia="Calibri"/>
          <w:sz w:val="22"/>
          <w:szCs w:val="22"/>
          <w:lang w:eastAsia="en-US"/>
        </w:rPr>
        <w:t>а</w:t>
      </w:r>
      <w:r w:rsidRPr="008742E9">
        <w:rPr>
          <w:rFonts w:eastAsia="Calibri"/>
          <w:sz w:val="22"/>
          <w:szCs w:val="22"/>
          <w:lang w:eastAsia="en-US"/>
        </w:rPr>
        <w:t>хов, С. Г. Субботина // Ветеринария. – 2012. - № 9. С. 8-11.</w:t>
      </w:r>
    </w:p>
    <w:p w:rsidR="008742E9" w:rsidRPr="008742E9" w:rsidRDefault="008742E9" w:rsidP="00667E25">
      <w:pPr>
        <w:spacing w:after="200"/>
        <w:ind w:firstLine="426"/>
        <w:contextualSpacing/>
        <w:jc w:val="both"/>
        <w:rPr>
          <w:rFonts w:eastAsia="Calibri"/>
          <w:sz w:val="22"/>
          <w:szCs w:val="22"/>
          <w:lang w:eastAsia="en-US"/>
        </w:rPr>
      </w:pPr>
      <w:r w:rsidRPr="008742E9">
        <w:rPr>
          <w:rFonts w:eastAsia="Calibri"/>
          <w:sz w:val="22"/>
          <w:szCs w:val="22"/>
          <w:lang w:eastAsia="en-US"/>
        </w:rPr>
        <w:t>2. Хахов Л. А. Лечебно-профилактическая эффективность аэр</w:t>
      </w:r>
      <w:r w:rsidRPr="008742E9">
        <w:rPr>
          <w:rFonts w:eastAsia="Calibri"/>
          <w:sz w:val="22"/>
          <w:szCs w:val="22"/>
          <w:lang w:eastAsia="en-US"/>
        </w:rPr>
        <w:t>о</w:t>
      </w:r>
      <w:r w:rsidRPr="008742E9">
        <w:rPr>
          <w:rFonts w:eastAsia="Calibri"/>
          <w:sz w:val="22"/>
          <w:szCs w:val="22"/>
          <w:lang w:eastAsia="en-US"/>
        </w:rPr>
        <w:t>зольного применения водно-спиртовой эмульсии прополиса при бронхопневмонии телят/ Л. А. Хахов, Е. В. Тяпкина // Труды К</w:t>
      </w:r>
      <w:r w:rsidRPr="008742E9">
        <w:rPr>
          <w:rFonts w:eastAsia="Calibri"/>
          <w:sz w:val="22"/>
          <w:szCs w:val="22"/>
          <w:lang w:eastAsia="en-US"/>
        </w:rPr>
        <w:t>у</w:t>
      </w:r>
      <w:r w:rsidRPr="008742E9">
        <w:rPr>
          <w:rFonts w:eastAsia="Calibri"/>
          <w:sz w:val="22"/>
          <w:szCs w:val="22"/>
          <w:lang w:eastAsia="en-US"/>
        </w:rPr>
        <w:t>банского государственного аграрного университета. Серия: ветер</w:t>
      </w:r>
      <w:r w:rsidRPr="008742E9">
        <w:rPr>
          <w:rFonts w:eastAsia="Calibri"/>
          <w:sz w:val="22"/>
          <w:szCs w:val="22"/>
          <w:lang w:eastAsia="en-US"/>
        </w:rPr>
        <w:t>и</w:t>
      </w:r>
      <w:r w:rsidRPr="008742E9">
        <w:rPr>
          <w:rFonts w:eastAsia="Calibri"/>
          <w:sz w:val="22"/>
          <w:szCs w:val="22"/>
          <w:lang w:eastAsia="en-US"/>
        </w:rPr>
        <w:t>нарные науки. - 2009. - № 1 (ч.1.). – С. 305-307.</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3. Шабунин С. В. Пенные аэрозоли для лечения коров и свин</w:t>
      </w:r>
      <w:r w:rsidRPr="008742E9">
        <w:rPr>
          <w:rFonts w:eastAsia="Calibri"/>
          <w:sz w:val="22"/>
          <w:szCs w:val="22"/>
          <w:lang w:eastAsia="en-US"/>
        </w:rPr>
        <w:t>о</w:t>
      </w:r>
      <w:r w:rsidRPr="008742E9">
        <w:rPr>
          <w:rFonts w:eastAsia="Calibri"/>
          <w:sz w:val="22"/>
          <w:szCs w:val="22"/>
          <w:lang w:eastAsia="en-US"/>
        </w:rPr>
        <w:t>маток при эндометритах/ С. В. Шабунин, Л. В. Ческидова [и др.] // Ветеринария. – 2014. - № 12. - С. 30-33.</w:t>
      </w:r>
    </w:p>
    <w:p w:rsidR="008742E9" w:rsidRPr="008742E9" w:rsidRDefault="008742E9" w:rsidP="008742E9">
      <w:pPr>
        <w:jc w:val="both"/>
        <w:rPr>
          <w:rFonts w:eastAsia="Calibri"/>
          <w:sz w:val="22"/>
          <w:szCs w:val="22"/>
          <w:lang w:eastAsia="en-US"/>
        </w:rPr>
      </w:pPr>
    </w:p>
    <w:p w:rsidR="008742E9" w:rsidRPr="008742E9" w:rsidRDefault="008742E9" w:rsidP="008742E9">
      <w:pPr>
        <w:jc w:val="both"/>
        <w:rPr>
          <w:rFonts w:eastAsia="Calibri"/>
          <w:sz w:val="22"/>
          <w:szCs w:val="22"/>
          <w:lang w:eastAsia="en-US"/>
        </w:rPr>
      </w:pPr>
    </w:p>
    <w:p w:rsidR="00641ADC" w:rsidRPr="008742E9" w:rsidRDefault="00641ADC" w:rsidP="008742E9">
      <w:pPr>
        <w:jc w:val="both"/>
        <w:rPr>
          <w:rFonts w:eastAsia="Calibri"/>
          <w:sz w:val="22"/>
          <w:szCs w:val="22"/>
          <w:lang w:eastAsia="en-US"/>
        </w:rPr>
      </w:pPr>
    </w:p>
    <w:p w:rsidR="008742E9" w:rsidRPr="008742E9" w:rsidRDefault="008742E9" w:rsidP="008742E9">
      <w:pPr>
        <w:widowControl w:val="0"/>
        <w:suppressAutoHyphens/>
        <w:autoSpaceDN w:val="0"/>
        <w:textAlignment w:val="baseline"/>
        <w:rPr>
          <w:rFonts w:eastAsia="Andale Sans UI" w:cs="Tahoma"/>
          <w:kern w:val="3"/>
          <w:sz w:val="24"/>
          <w:szCs w:val="24"/>
          <w:lang w:eastAsia="en-US" w:bidi="en-US"/>
        </w:rPr>
      </w:pPr>
      <w:r w:rsidRPr="008742E9">
        <w:rPr>
          <w:rFonts w:eastAsia="Andale Sans UI" w:cs="Tahoma"/>
          <w:bCs/>
          <w:kern w:val="3"/>
          <w:sz w:val="22"/>
          <w:szCs w:val="24"/>
          <w:lang w:eastAsia="en-US" w:bidi="en-US"/>
        </w:rPr>
        <w:t>УДК: 619:</w:t>
      </w:r>
      <w:r w:rsidRPr="008742E9">
        <w:rPr>
          <w:rFonts w:eastAsia="Andale Sans UI" w:cs="Tahoma"/>
          <w:bCs/>
          <w:color w:val="000000"/>
          <w:kern w:val="3"/>
          <w:sz w:val="22"/>
          <w:szCs w:val="24"/>
          <w:lang w:eastAsia="en-US" w:bidi="en-US"/>
        </w:rPr>
        <w:t>617.713-002.447</w:t>
      </w:r>
    </w:p>
    <w:p w:rsidR="008742E9" w:rsidRPr="008742E9" w:rsidRDefault="008742E9" w:rsidP="008742E9">
      <w:pPr>
        <w:widowControl w:val="0"/>
        <w:suppressAutoHyphens/>
        <w:autoSpaceDN w:val="0"/>
        <w:jc w:val="center"/>
        <w:textAlignment w:val="baseline"/>
        <w:rPr>
          <w:rFonts w:eastAsia="Andale Sans UI" w:cs="Tahoma"/>
          <w:kern w:val="3"/>
          <w:sz w:val="24"/>
          <w:szCs w:val="24"/>
          <w:lang w:eastAsia="en-US" w:bidi="en-US"/>
        </w:rPr>
      </w:pPr>
      <w:r w:rsidRPr="008742E9">
        <w:rPr>
          <w:rFonts w:eastAsia="Andale Sans UI" w:cs="Tahoma"/>
          <w:kern w:val="3"/>
          <w:sz w:val="24"/>
          <w:szCs w:val="24"/>
          <w:lang w:eastAsia="en-US" w:bidi="en-US"/>
        </w:rPr>
        <w:t xml:space="preserve">  </w:t>
      </w:r>
    </w:p>
    <w:p w:rsidR="008742E9" w:rsidRPr="008742E9" w:rsidRDefault="008742E9" w:rsidP="008742E9">
      <w:pPr>
        <w:widowControl w:val="0"/>
        <w:suppressAutoHyphens/>
        <w:autoSpaceDN w:val="0"/>
        <w:jc w:val="center"/>
        <w:textAlignment w:val="baseline"/>
        <w:rPr>
          <w:rFonts w:eastAsia="Andale Sans UI" w:cs="Tahoma"/>
          <w:kern w:val="3"/>
          <w:sz w:val="24"/>
          <w:szCs w:val="24"/>
          <w:lang w:eastAsia="en-US" w:bidi="en-US"/>
        </w:rPr>
      </w:pPr>
      <w:r w:rsidRPr="008742E9">
        <w:rPr>
          <w:rFonts w:eastAsia="Andale Sans UI" w:cs="Tahoma"/>
          <w:b/>
          <w:bCs/>
          <w:kern w:val="3"/>
          <w:sz w:val="24"/>
          <w:szCs w:val="24"/>
          <w:lang w:eastAsia="en-US" w:bidi="en-US"/>
        </w:rPr>
        <w:t>Диагностика и лечение язвы роговицы у собак в условиях</w:t>
      </w:r>
    </w:p>
    <w:p w:rsidR="008742E9" w:rsidRPr="008742E9" w:rsidRDefault="008742E9" w:rsidP="008742E9">
      <w:pPr>
        <w:widowControl w:val="0"/>
        <w:suppressAutoHyphens/>
        <w:autoSpaceDN w:val="0"/>
        <w:jc w:val="center"/>
        <w:textAlignment w:val="baseline"/>
        <w:rPr>
          <w:rFonts w:eastAsia="Andale Sans UI" w:cs="Tahoma"/>
          <w:b/>
          <w:bCs/>
          <w:kern w:val="3"/>
          <w:sz w:val="24"/>
          <w:szCs w:val="24"/>
          <w:lang w:val="en-US" w:eastAsia="en-US" w:bidi="en-US"/>
        </w:rPr>
      </w:pPr>
      <w:r w:rsidRPr="008742E9">
        <w:rPr>
          <w:rFonts w:eastAsia="Andale Sans UI" w:cs="Tahoma"/>
          <w:b/>
          <w:bCs/>
          <w:kern w:val="3"/>
          <w:sz w:val="24"/>
          <w:szCs w:val="24"/>
          <w:lang w:eastAsia="en-US" w:bidi="en-US"/>
        </w:rPr>
        <w:t>ВГБУ</w:t>
      </w:r>
      <w:r w:rsidRPr="008742E9">
        <w:rPr>
          <w:rFonts w:eastAsia="Andale Sans UI" w:cs="Tahoma"/>
          <w:b/>
          <w:bCs/>
          <w:kern w:val="3"/>
          <w:sz w:val="24"/>
          <w:szCs w:val="24"/>
          <w:lang w:val="en-US" w:eastAsia="en-US" w:bidi="en-US"/>
        </w:rPr>
        <w:t xml:space="preserve"> </w:t>
      </w:r>
      <w:r w:rsidRPr="008742E9">
        <w:rPr>
          <w:rFonts w:eastAsia="Andale Sans UI" w:cs="Tahoma"/>
          <w:b/>
          <w:bCs/>
          <w:kern w:val="3"/>
          <w:sz w:val="24"/>
          <w:szCs w:val="24"/>
          <w:lang w:eastAsia="en-US" w:bidi="en-US"/>
        </w:rPr>
        <w:t>Крымское</w:t>
      </w:r>
      <w:r w:rsidRPr="008742E9">
        <w:rPr>
          <w:rFonts w:eastAsia="Andale Sans UI" w:cs="Tahoma"/>
          <w:b/>
          <w:bCs/>
          <w:kern w:val="3"/>
          <w:sz w:val="24"/>
          <w:szCs w:val="24"/>
          <w:lang w:val="en-US" w:eastAsia="en-US" w:bidi="en-US"/>
        </w:rPr>
        <w:t xml:space="preserve"> </w:t>
      </w:r>
      <w:r w:rsidRPr="008742E9">
        <w:rPr>
          <w:rFonts w:eastAsia="Andale Sans UI" w:cs="Tahoma"/>
          <w:b/>
          <w:bCs/>
          <w:kern w:val="3"/>
          <w:sz w:val="24"/>
          <w:szCs w:val="24"/>
          <w:lang w:eastAsia="en-US" w:bidi="en-US"/>
        </w:rPr>
        <w:t>ветуправление</w:t>
      </w:r>
    </w:p>
    <w:p w:rsidR="008742E9" w:rsidRPr="008742E9" w:rsidRDefault="008742E9" w:rsidP="008742E9">
      <w:pPr>
        <w:widowControl w:val="0"/>
        <w:suppressAutoHyphens/>
        <w:autoSpaceDN w:val="0"/>
        <w:jc w:val="center"/>
        <w:textAlignment w:val="baseline"/>
        <w:rPr>
          <w:rFonts w:eastAsia="Andale Sans UI" w:cs="Tahoma"/>
          <w:b/>
          <w:bCs/>
          <w:kern w:val="3"/>
          <w:sz w:val="24"/>
          <w:szCs w:val="24"/>
          <w:lang w:val="en-US" w:eastAsia="en-US" w:bidi="en-US"/>
        </w:rPr>
      </w:pPr>
      <w:r w:rsidRPr="008742E9">
        <w:rPr>
          <w:rFonts w:eastAsia="Andale Sans UI" w:cs="Tahoma"/>
          <w:b/>
          <w:bCs/>
          <w:kern w:val="3"/>
          <w:sz w:val="24"/>
          <w:szCs w:val="24"/>
          <w:lang w:val="en-US" w:eastAsia="en-US" w:bidi="en-US"/>
        </w:rPr>
        <w:t>Diagnosis and treatment of corneal ulcers dogs in conditions</w:t>
      </w:r>
    </w:p>
    <w:p w:rsidR="008742E9" w:rsidRPr="008742E9" w:rsidRDefault="008742E9" w:rsidP="008742E9">
      <w:pPr>
        <w:widowControl w:val="0"/>
        <w:suppressAutoHyphens/>
        <w:autoSpaceDN w:val="0"/>
        <w:jc w:val="center"/>
        <w:textAlignment w:val="baseline"/>
        <w:rPr>
          <w:rFonts w:eastAsia="Andale Sans UI" w:cs="Tahoma"/>
          <w:kern w:val="3"/>
          <w:sz w:val="24"/>
          <w:szCs w:val="24"/>
          <w:lang w:val="en-US" w:eastAsia="en-US" w:bidi="en-US"/>
        </w:rPr>
      </w:pPr>
      <w:r w:rsidRPr="008742E9">
        <w:rPr>
          <w:rFonts w:eastAsia="Andale Sans UI" w:cs="Tahoma"/>
          <w:b/>
          <w:bCs/>
          <w:kern w:val="3"/>
          <w:sz w:val="24"/>
          <w:szCs w:val="24"/>
          <w:lang w:val="en-US" w:eastAsia="en-US" w:bidi="en-US"/>
        </w:rPr>
        <w:t>VGBU Crimean vetupravlenie</w:t>
      </w:r>
    </w:p>
    <w:p w:rsidR="008742E9" w:rsidRPr="008742E9" w:rsidRDefault="008742E9" w:rsidP="008742E9">
      <w:pPr>
        <w:widowControl w:val="0"/>
        <w:suppressAutoHyphens/>
        <w:autoSpaceDN w:val="0"/>
        <w:jc w:val="right"/>
        <w:textAlignment w:val="baseline"/>
        <w:rPr>
          <w:rFonts w:eastAsia="Andale Sans UI"/>
          <w:kern w:val="3"/>
          <w:sz w:val="22"/>
          <w:szCs w:val="22"/>
          <w:lang w:val="en-US" w:eastAsia="en-US" w:bidi="en-US"/>
        </w:rPr>
      </w:pPr>
    </w:p>
    <w:p w:rsidR="008742E9" w:rsidRPr="008742E9" w:rsidRDefault="008742E9" w:rsidP="008742E9">
      <w:pPr>
        <w:widowControl w:val="0"/>
        <w:suppressAutoHyphens/>
        <w:autoSpaceDN w:val="0"/>
        <w:jc w:val="right"/>
        <w:textAlignment w:val="baseline"/>
        <w:rPr>
          <w:rFonts w:eastAsia="Andale Sans UI"/>
          <w:bCs/>
          <w:kern w:val="3"/>
          <w:sz w:val="22"/>
          <w:szCs w:val="22"/>
          <w:lang w:val="en-US" w:eastAsia="en-US" w:bidi="en-US"/>
        </w:rPr>
      </w:pPr>
      <w:r w:rsidRPr="008742E9">
        <w:rPr>
          <w:rFonts w:eastAsia="Andale Sans UI"/>
          <w:bCs/>
          <w:kern w:val="3"/>
          <w:sz w:val="22"/>
          <w:szCs w:val="22"/>
          <w:lang w:eastAsia="en-US" w:bidi="en-US"/>
        </w:rPr>
        <w:t>Красникова</w:t>
      </w:r>
      <w:r w:rsidR="00667E25">
        <w:rPr>
          <w:rFonts w:eastAsia="Andale Sans UI"/>
          <w:bCs/>
          <w:kern w:val="3"/>
          <w:sz w:val="22"/>
          <w:szCs w:val="22"/>
          <w:lang w:val="en-US" w:eastAsia="en-US" w:bidi="en-US"/>
        </w:rPr>
        <w:t xml:space="preserve"> </w:t>
      </w:r>
      <w:r w:rsidRPr="008742E9">
        <w:rPr>
          <w:rFonts w:eastAsia="Andale Sans UI"/>
          <w:bCs/>
          <w:kern w:val="3"/>
          <w:sz w:val="22"/>
          <w:szCs w:val="22"/>
          <w:lang w:eastAsia="en-US" w:bidi="en-US"/>
        </w:rPr>
        <w:t>А</w:t>
      </w:r>
      <w:r w:rsidRPr="008742E9">
        <w:rPr>
          <w:rFonts w:eastAsia="Andale Sans UI"/>
          <w:bCs/>
          <w:kern w:val="3"/>
          <w:sz w:val="22"/>
          <w:szCs w:val="22"/>
          <w:lang w:val="en-US" w:eastAsia="en-US" w:bidi="en-US"/>
        </w:rPr>
        <w:t>.</w:t>
      </w:r>
      <w:r w:rsidR="00667E25" w:rsidRPr="00024398">
        <w:rPr>
          <w:rFonts w:eastAsia="Andale Sans UI"/>
          <w:bCs/>
          <w:kern w:val="3"/>
          <w:sz w:val="22"/>
          <w:szCs w:val="22"/>
          <w:lang w:val="en-US" w:eastAsia="en-US" w:bidi="en-US"/>
        </w:rPr>
        <w:t xml:space="preserve"> </w:t>
      </w:r>
      <w:r w:rsidRPr="008742E9">
        <w:rPr>
          <w:rFonts w:eastAsia="Andale Sans UI"/>
          <w:bCs/>
          <w:kern w:val="3"/>
          <w:sz w:val="22"/>
          <w:szCs w:val="22"/>
          <w:lang w:eastAsia="en-US" w:bidi="en-US"/>
        </w:rPr>
        <w:t>А</w:t>
      </w:r>
      <w:r w:rsidRPr="008742E9">
        <w:rPr>
          <w:rFonts w:eastAsia="Andale Sans UI"/>
          <w:bCs/>
          <w:kern w:val="3"/>
          <w:sz w:val="22"/>
          <w:szCs w:val="22"/>
          <w:lang w:val="en-US" w:eastAsia="en-US" w:bidi="en-US"/>
        </w:rPr>
        <w:t>.,</w:t>
      </w:r>
    </w:p>
    <w:p w:rsidR="008742E9" w:rsidRPr="008742E9" w:rsidRDefault="008742E9" w:rsidP="008742E9">
      <w:pPr>
        <w:widowControl w:val="0"/>
        <w:suppressAutoHyphens/>
        <w:autoSpaceDN w:val="0"/>
        <w:jc w:val="right"/>
        <w:textAlignment w:val="baseline"/>
        <w:rPr>
          <w:rFonts w:eastAsia="Andale Sans UI"/>
          <w:bCs/>
          <w:kern w:val="3"/>
          <w:sz w:val="22"/>
          <w:szCs w:val="22"/>
          <w:lang w:eastAsia="en-US" w:bidi="en-US"/>
        </w:rPr>
      </w:pPr>
      <w:r w:rsidRPr="008742E9">
        <w:rPr>
          <w:rFonts w:eastAsia="Andale Sans UI"/>
          <w:bCs/>
          <w:kern w:val="3"/>
          <w:sz w:val="22"/>
          <w:szCs w:val="22"/>
          <w:lang w:eastAsia="en-US" w:bidi="en-US"/>
        </w:rPr>
        <w:t xml:space="preserve">студентка 5 курса факультета </w:t>
      </w:r>
      <w:r w:rsidRPr="008742E9">
        <w:rPr>
          <w:rFonts w:eastAsia="Andale Sans UI"/>
          <w:bCs/>
          <w:kern w:val="3"/>
          <w:sz w:val="22"/>
          <w:szCs w:val="22"/>
          <w:lang w:eastAsia="en-US" w:bidi="en-US"/>
        </w:rPr>
        <w:br/>
        <w:t>ветеринарной медицины</w:t>
      </w:r>
    </w:p>
    <w:p w:rsidR="008742E9" w:rsidRPr="008742E9" w:rsidRDefault="008742E9" w:rsidP="008742E9">
      <w:pPr>
        <w:widowControl w:val="0"/>
        <w:suppressAutoHyphens/>
        <w:autoSpaceDN w:val="0"/>
        <w:jc w:val="right"/>
        <w:textAlignment w:val="baseline"/>
        <w:rPr>
          <w:rFonts w:eastAsia="Andale Sans UI"/>
          <w:bCs/>
          <w:kern w:val="3"/>
          <w:sz w:val="24"/>
          <w:szCs w:val="24"/>
          <w:lang w:eastAsia="en-US" w:bidi="en-US"/>
        </w:rPr>
      </w:pPr>
      <w:r w:rsidRPr="008742E9">
        <w:rPr>
          <w:rFonts w:eastAsia="Andale Sans UI"/>
          <w:bCs/>
          <w:kern w:val="3"/>
          <w:sz w:val="22"/>
          <w:szCs w:val="24"/>
          <w:lang w:eastAsia="en-US" w:bidi="en-US"/>
        </w:rPr>
        <w:t>Сиренко В.</w:t>
      </w:r>
      <w:r w:rsidR="00667E25">
        <w:rPr>
          <w:rFonts w:eastAsia="Andale Sans UI"/>
          <w:bCs/>
          <w:kern w:val="3"/>
          <w:sz w:val="22"/>
          <w:szCs w:val="24"/>
          <w:lang w:eastAsia="en-US" w:bidi="en-US"/>
        </w:rPr>
        <w:t xml:space="preserve"> </w:t>
      </w:r>
      <w:r w:rsidRPr="008742E9">
        <w:rPr>
          <w:rFonts w:eastAsia="Andale Sans UI"/>
          <w:bCs/>
          <w:kern w:val="3"/>
          <w:sz w:val="22"/>
          <w:szCs w:val="24"/>
          <w:lang w:eastAsia="en-US" w:bidi="en-US"/>
        </w:rPr>
        <w:t>В.,</w:t>
      </w:r>
    </w:p>
    <w:p w:rsidR="008742E9" w:rsidRPr="008742E9" w:rsidRDefault="008742E9" w:rsidP="008742E9">
      <w:pPr>
        <w:widowControl w:val="0"/>
        <w:suppressAutoHyphens/>
        <w:autoSpaceDN w:val="0"/>
        <w:jc w:val="right"/>
        <w:textAlignment w:val="baseline"/>
        <w:rPr>
          <w:rFonts w:eastAsia="Andale Sans UI"/>
          <w:kern w:val="3"/>
          <w:sz w:val="22"/>
          <w:szCs w:val="22"/>
          <w:shd w:val="clear" w:color="auto" w:fill="FFFFFF"/>
          <w:lang w:eastAsia="en-US" w:bidi="en-US"/>
        </w:rPr>
      </w:pPr>
      <w:r w:rsidRPr="008742E9">
        <w:rPr>
          <w:rFonts w:eastAsia="Andale Sans UI"/>
          <w:kern w:val="3"/>
          <w:sz w:val="22"/>
          <w:szCs w:val="22"/>
          <w:shd w:val="clear" w:color="auto" w:fill="FFFFFF"/>
          <w:lang w:eastAsia="en-US" w:bidi="en-US"/>
        </w:rPr>
        <w:t>доцент, кандидат ветеринарных наук</w:t>
      </w:r>
    </w:p>
    <w:p w:rsidR="008742E9" w:rsidRPr="008742E9" w:rsidRDefault="008742E9" w:rsidP="008742E9">
      <w:pPr>
        <w:widowControl w:val="0"/>
        <w:suppressAutoHyphens/>
        <w:autoSpaceDN w:val="0"/>
        <w:jc w:val="right"/>
        <w:textAlignment w:val="baseline"/>
        <w:rPr>
          <w:rFonts w:eastAsia="Andale Sans UI"/>
          <w:bCs/>
          <w:kern w:val="3"/>
          <w:sz w:val="22"/>
          <w:szCs w:val="22"/>
          <w:lang w:eastAsia="en-US" w:bidi="en-US"/>
        </w:rPr>
      </w:pPr>
      <w:r w:rsidRPr="008742E9">
        <w:rPr>
          <w:rFonts w:eastAsia="Andale Sans UI"/>
          <w:bCs/>
          <w:kern w:val="3"/>
          <w:sz w:val="22"/>
          <w:szCs w:val="22"/>
          <w:lang w:eastAsia="en-US" w:bidi="en-US"/>
        </w:rPr>
        <w:t>Кубанский государственный аграрный</w:t>
      </w:r>
    </w:p>
    <w:p w:rsidR="008742E9" w:rsidRPr="008742E9" w:rsidRDefault="008742E9" w:rsidP="008742E9">
      <w:pPr>
        <w:widowControl w:val="0"/>
        <w:suppressAutoHyphens/>
        <w:autoSpaceDN w:val="0"/>
        <w:jc w:val="right"/>
        <w:textAlignment w:val="baseline"/>
        <w:rPr>
          <w:rFonts w:eastAsia="Andale Sans UI"/>
          <w:bCs/>
          <w:kern w:val="3"/>
          <w:sz w:val="22"/>
          <w:szCs w:val="22"/>
          <w:lang w:eastAsia="en-US" w:bidi="en-US"/>
        </w:rPr>
      </w:pPr>
      <w:r w:rsidRPr="008742E9">
        <w:rPr>
          <w:rFonts w:eastAsia="Andale Sans UI"/>
          <w:bCs/>
          <w:kern w:val="3"/>
          <w:sz w:val="22"/>
          <w:szCs w:val="22"/>
          <w:lang w:eastAsia="en-US" w:bidi="en-US"/>
        </w:rPr>
        <w:t xml:space="preserve"> университет им. И.</w:t>
      </w:r>
      <w:r w:rsidR="00667E25">
        <w:rPr>
          <w:rFonts w:eastAsia="Andale Sans UI"/>
          <w:bCs/>
          <w:kern w:val="3"/>
          <w:sz w:val="22"/>
          <w:szCs w:val="22"/>
          <w:lang w:eastAsia="en-US" w:bidi="en-US"/>
        </w:rPr>
        <w:t xml:space="preserve"> </w:t>
      </w:r>
      <w:r w:rsidRPr="008742E9">
        <w:rPr>
          <w:rFonts w:eastAsia="Andale Sans UI"/>
          <w:bCs/>
          <w:kern w:val="3"/>
          <w:sz w:val="22"/>
          <w:szCs w:val="22"/>
          <w:lang w:eastAsia="en-US" w:bidi="en-US"/>
        </w:rPr>
        <w:t>Т.Трубилина</w:t>
      </w:r>
    </w:p>
    <w:p w:rsidR="008742E9" w:rsidRPr="008742E9" w:rsidRDefault="008742E9" w:rsidP="008742E9">
      <w:pPr>
        <w:widowControl w:val="0"/>
        <w:suppressAutoHyphens/>
        <w:autoSpaceDN w:val="0"/>
        <w:jc w:val="right"/>
        <w:textAlignment w:val="baseline"/>
        <w:rPr>
          <w:rFonts w:eastAsia="Andale Sans UI"/>
          <w:bCs/>
          <w:kern w:val="3"/>
          <w:sz w:val="22"/>
          <w:szCs w:val="22"/>
          <w:lang w:eastAsia="en-US" w:bidi="en-US"/>
        </w:rPr>
      </w:pPr>
    </w:p>
    <w:p w:rsidR="008742E9" w:rsidRPr="008742E9" w:rsidRDefault="008742E9" w:rsidP="00667E25">
      <w:pPr>
        <w:widowControl w:val="0"/>
        <w:suppressAutoHyphens/>
        <w:autoSpaceDN w:val="0"/>
        <w:ind w:firstLine="426"/>
        <w:jc w:val="both"/>
        <w:textAlignment w:val="baseline"/>
        <w:rPr>
          <w:rFonts w:eastAsia="Andale Sans UI" w:cs="Tahoma"/>
          <w:kern w:val="3"/>
          <w:sz w:val="22"/>
          <w:szCs w:val="22"/>
          <w:lang w:eastAsia="en-US" w:bidi="en-US"/>
        </w:rPr>
      </w:pPr>
      <w:r w:rsidRPr="008742E9">
        <w:rPr>
          <w:rFonts w:eastAsia="Andale Sans UI"/>
          <w:bCs/>
          <w:caps/>
          <w:kern w:val="3"/>
          <w:sz w:val="22"/>
          <w:szCs w:val="22"/>
          <w:lang w:eastAsia="en-US" w:bidi="en-US"/>
        </w:rPr>
        <w:t>Аннотация:</w:t>
      </w:r>
      <w:r w:rsidRPr="008742E9">
        <w:rPr>
          <w:rFonts w:eastAsia="Andale Sans UI"/>
          <w:kern w:val="3"/>
          <w:sz w:val="22"/>
          <w:szCs w:val="22"/>
          <w:lang w:eastAsia="en-US" w:bidi="en-US"/>
        </w:rPr>
        <w:t xml:space="preserve"> </w:t>
      </w:r>
      <w:r w:rsidRPr="008742E9">
        <w:rPr>
          <w:rFonts w:eastAsia="Andale Sans UI"/>
          <w:bCs/>
          <w:kern w:val="3"/>
          <w:sz w:val="22"/>
          <w:szCs w:val="22"/>
          <w:lang w:eastAsia="en-US" w:bidi="en-US"/>
        </w:rPr>
        <w:t>в данной работе изл</w:t>
      </w:r>
      <w:r w:rsidR="00384DE6">
        <w:rPr>
          <w:rFonts w:eastAsia="Andale Sans UI"/>
          <w:bCs/>
          <w:kern w:val="3"/>
          <w:sz w:val="22"/>
          <w:szCs w:val="22"/>
          <w:lang w:eastAsia="en-US" w:bidi="en-US"/>
        </w:rPr>
        <w:t>ожена проблема наиболее тяжелой</w:t>
      </w:r>
      <w:r w:rsidRPr="008742E9">
        <w:rPr>
          <w:rFonts w:eastAsia="Andale Sans UI"/>
          <w:bCs/>
          <w:kern w:val="3"/>
          <w:sz w:val="22"/>
          <w:szCs w:val="22"/>
          <w:lang w:eastAsia="en-US" w:bidi="en-US"/>
        </w:rPr>
        <w:t xml:space="preserve"> патологии роговицы глаза, которая </w:t>
      </w:r>
      <w:r w:rsidRPr="008742E9">
        <w:rPr>
          <w:rFonts w:eastAsia="Andale Sans UI"/>
          <w:color w:val="000000"/>
          <w:kern w:val="3"/>
          <w:sz w:val="22"/>
          <w:szCs w:val="22"/>
          <w:lang w:eastAsia="en-US" w:bidi="en-US"/>
        </w:rPr>
        <w:t xml:space="preserve">характеризуется воспалением роговой оболочки глаза, тяжелым течением, </w:t>
      </w:r>
      <w:proofErr w:type="gramStart"/>
      <w:r w:rsidRPr="008742E9">
        <w:rPr>
          <w:rFonts w:eastAsia="Andale Sans UI"/>
          <w:color w:val="000000"/>
          <w:kern w:val="3"/>
          <w:sz w:val="22"/>
          <w:szCs w:val="22"/>
          <w:lang w:eastAsia="en-US" w:bidi="en-US"/>
        </w:rPr>
        <w:t>сопровождаемое</w:t>
      </w:r>
      <w:proofErr w:type="gramEnd"/>
      <w:r w:rsidRPr="008742E9">
        <w:rPr>
          <w:rFonts w:eastAsia="Andale Sans UI"/>
          <w:color w:val="000000"/>
          <w:kern w:val="3"/>
          <w:sz w:val="22"/>
          <w:szCs w:val="22"/>
          <w:lang w:eastAsia="en-US" w:bidi="en-US"/>
        </w:rPr>
        <w:t xml:space="preserve"> некротическими процессами</w:t>
      </w:r>
      <w:r w:rsidR="00384DE6">
        <w:rPr>
          <w:rFonts w:eastAsia="Andale Sans UI"/>
          <w:color w:val="000000"/>
          <w:kern w:val="3"/>
          <w:sz w:val="22"/>
          <w:szCs w:val="22"/>
          <w:lang w:eastAsia="en-US" w:bidi="en-US"/>
        </w:rPr>
        <w:t>.</w:t>
      </w:r>
      <w:r w:rsidRPr="008742E9">
        <w:rPr>
          <w:rFonts w:eastAsia="Andale Sans UI"/>
          <w:color w:val="000000"/>
          <w:kern w:val="3"/>
          <w:sz w:val="22"/>
          <w:szCs w:val="22"/>
          <w:lang w:eastAsia="en-US" w:bidi="en-US"/>
        </w:rPr>
        <w:t xml:space="preserve"> </w:t>
      </w:r>
    </w:p>
    <w:p w:rsidR="008742E9" w:rsidRPr="00384DE6" w:rsidRDefault="008742E9" w:rsidP="00667E25">
      <w:pPr>
        <w:widowControl w:val="0"/>
        <w:suppressAutoHyphens/>
        <w:autoSpaceDN w:val="0"/>
        <w:ind w:firstLine="426"/>
        <w:jc w:val="both"/>
        <w:textAlignment w:val="baseline"/>
        <w:rPr>
          <w:rFonts w:eastAsia="Andale Sans UI" w:cs="Tahoma"/>
          <w:kern w:val="3"/>
          <w:sz w:val="24"/>
          <w:szCs w:val="24"/>
          <w:lang w:val="en-US" w:eastAsia="en-US" w:bidi="en-US"/>
        </w:rPr>
      </w:pPr>
      <w:r w:rsidRPr="008742E9">
        <w:rPr>
          <w:rFonts w:eastAsia="Andale Sans UI" w:cs="Tahoma"/>
          <w:kern w:val="3"/>
          <w:sz w:val="22"/>
          <w:szCs w:val="22"/>
          <w:lang w:val="en-US" w:eastAsia="en-US" w:bidi="en-US"/>
        </w:rPr>
        <w:t>ABSTRACT:</w:t>
      </w:r>
      <w:r w:rsidRPr="008742E9">
        <w:rPr>
          <w:rFonts w:eastAsia="Andale Sans UI" w:cs="Tahoma"/>
          <w:kern w:val="3"/>
          <w:sz w:val="24"/>
          <w:szCs w:val="24"/>
          <w:lang w:val="en-US" w:eastAsia="en-US" w:bidi="en-US"/>
        </w:rPr>
        <w:t xml:space="preserve"> </w:t>
      </w:r>
      <w:r w:rsidRPr="008742E9">
        <w:rPr>
          <w:rFonts w:eastAsia="Andale Sans UI" w:cs="Tahoma"/>
          <w:kern w:val="3"/>
          <w:sz w:val="22"/>
          <w:szCs w:val="22"/>
          <w:lang w:val="en-US" w:eastAsia="en-US" w:bidi="en-US"/>
        </w:rPr>
        <w:t>in this work, the problem of the most severe corneal pathology is described, which is characterized by inflammation of the cornea of the eye, a heavy course, accompanied by necrotic processes</w:t>
      </w:r>
      <w:r w:rsidR="00384DE6" w:rsidRPr="00384DE6">
        <w:rPr>
          <w:rFonts w:eastAsia="Andale Sans UI" w:cs="Tahoma"/>
          <w:kern w:val="3"/>
          <w:sz w:val="22"/>
          <w:szCs w:val="22"/>
          <w:lang w:val="en-US" w:eastAsia="en-US" w:bidi="en-US"/>
        </w:rPr>
        <w:t>.</w:t>
      </w: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kern w:val="3"/>
          <w:sz w:val="22"/>
          <w:szCs w:val="22"/>
          <w:lang w:eastAsia="en-US" w:bidi="en-US"/>
        </w:rPr>
        <w:lastRenderedPageBreak/>
        <w:t>КЛЮЧЕВЫЕ СЛОВА: роговица, язва, некроз, воспаление, слезопродукция,</w:t>
      </w:r>
      <w:r w:rsidRPr="008742E9">
        <w:rPr>
          <w:rFonts w:eastAsia="Andale Sans UI" w:cs="Tahoma"/>
          <w:color w:val="000000"/>
          <w:kern w:val="3"/>
          <w:sz w:val="22"/>
          <w:szCs w:val="22"/>
          <w:shd w:val="clear" w:color="auto" w:fill="FFFFFF"/>
          <w:lang w:eastAsia="en-US" w:bidi="en-US"/>
        </w:rPr>
        <w:t xml:space="preserve"> снижением зрения.</w:t>
      </w:r>
    </w:p>
    <w:p w:rsidR="008742E9" w:rsidRPr="00384DE6" w:rsidRDefault="008742E9" w:rsidP="00667E25">
      <w:pPr>
        <w:widowControl w:val="0"/>
        <w:suppressAutoHyphens/>
        <w:autoSpaceDN w:val="0"/>
        <w:ind w:firstLine="426"/>
        <w:jc w:val="both"/>
        <w:textAlignment w:val="baseline"/>
        <w:rPr>
          <w:rFonts w:eastAsia="Andale Sans UI" w:cs="Tahoma"/>
          <w:kern w:val="3"/>
          <w:sz w:val="24"/>
          <w:szCs w:val="24"/>
          <w:lang w:val="en-US" w:eastAsia="en-US" w:bidi="en-US"/>
        </w:rPr>
      </w:pPr>
      <w:r w:rsidRPr="008742E9">
        <w:rPr>
          <w:rFonts w:eastAsia="Andale Sans UI"/>
          <w:bCs/>
          <w:kern w:val="3"/>
          <w:sz w:val="22"/>
          <w:szCs w:val="22"/>
          <w:lang w:val="en-US" w:eastAsia="en-US" w:bidi="en-US"/>
        </w:rPr>
        <w:t>KEYWORDS:</w:t>
      </w:r>
      <w:r w:rsidRPr="008742E9">
        <w:rPr>
          <w:rFonts w:eastAsia="Andale Sans UI" w:cs="Tahoma"/>
          <w:kern w:val="3"/>
          <w:sz w:val="24"/>
          <w:szCs w:val="24"/>
          <w:lang w:val="en-US" w:eastAsia="en-US" w:bidi="en-US"/>
        </w:rPr>
        <w:t xml:space="preserve"> </w:t>
      </w:r>
      <w:r w:rsidRPr="008742E9">
        <w:rPr>
          <w:rFonts w:eastAsia="Andale Sans UI"/>
          <w:bCs/>
          <w:kern w:val="3"/>
          <w:sz w:val="22"/>
          <w:szCs w:val="22"/>
          <w:lang w:val="en-US" w:eastAsia="en-US" w:bidi="en-US"/>
        </w:rPr>
        <w:t>cornea, ulcer, necrosis, inflammation, tear production, decreased vision</w:t>
      </w:r>
      <w:r w:rsidR="00384DE6" w:rsidRPr="00384DE6">
        <w:rPr>
          <w:rFonts w:eastAsia="Andale Sans UI"/>
          <w:bCs/>
          <w:kern w:val="3"/>
          <w:sz w:val="22"/>
          <w:szCs w:val="22"/>
          <w:lang w:val="en-US" w:eastAsia="en-US" w:bidi="en-US"/>
        </w:rPr>
        <w:t>.</w:t>
      </w: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val="en-US" w:eastAsia="en-US" w:bidi="en-US"/>
        </w:rPr>
      </w:pP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 xml:space="preserve">Роговица - передняя часть наружной фиброзной оболочки глаза,  составляет около 1/6 её площади, так как роговица является самой большой преломляющей, выступающей структурой глаза, то она более подвержена воздействию физических, механических и химических факторов внешней среды </w:t>
      </w:r>
      <w:r w:rsidRPr="008742E9">
        <w:rPr>
          <w:rFonts w:eastAsia="Andale Sans UI" w:cs="Tahoma"/>
          <w:color w:val="000000"/>
          <w:kern w:val="3"/>
          <w:sz w:val="22"/>
          <w:szCs w:val="22"/>
          <w:lang w:eastAsia="en-US" w:bidi="en-US"/>
        </w:rPr>
        <w:t>[1]</w:t>
      </w:r>
      <w:r w:rsidRPr="008742E9">
        <w:rPr>
          <w:rFonts w:eastAsia="Andale Sans UI" w:cs="Tahoma"/>
          <w:color w:val="000000"/>
          <w:kern w:val="3"/>
          <w:sz w:val="22"/>
          <w:szCs w:val="22"/>
          <w:shd w:val="clear" w:color="auto" w:fill="FFFFFF"/>
          <w:lang w:eastAsia="en-US" w:bidi="en-US"/>
        </w:rPr>
        <w:t>.</w:t>
      </w:r>
      <w:r w:rsidRPr="008742E9">
        <w:rPr>
          <w:rFonts w:eastAsia="Andale Sans UI" w:cs="Tahoma"/>
          <w:color w:val="000000"/>
          <w:kern w:val="3"/>
          <w:sz w:val="22"/>
          <w:szCs w:val="22"/>
          <w:lang w:eastAsia="en-US" w:bidi="en-US"/>
        </w:rPr>
        <w:t xml:space="preserve"> </w:t>
      </w: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 xml:space="preserve">Одной из наиболее тяжелых и трудно поддающейся  лечению патологией является язва роговицы. Это воспаление роговой оболочки глаза, сопровождающееся некрозом  с образованием дефекта тканей </w:t>
      </w:r>
      <w:r w:rsidRPr="008742E9">
        <w:rPr>
          <w:rFonts w:eastAsia="Andale Sans UI" w:cs="Tahoma"/>
          <w:color w:val="000000"/>
          <w:kern w:val="3"/>
          <w:sz w:val="22"/>
          <w:szCs w:val="22"/>
          <w:lang w:eastAsia="en-US" w:bidi="en-US"/>
        </w:rPr>
        <w:t>[6]</w:t>
      </w:r>
      <w:r w:rsidRPr="008742E9">
        <w:rPr>
          <w:rFonts w:eastAsia="Andale Sans UI" w:cs="Tahoma"/>
          <w:color w:val="000000"/>
          <w:kern w:val="3"/>
          <w:sz w:val="22"/>
          <w:szCs w:val="22"/>
          <w:shd w:val="clear" w:color="auto" w:fill="FFFFFF"/>
          <w:lang w:eastAsia="en-US" w:bidi="en-US"/>
        </w:rPr>
        <w:t>.</w:t>
      </w:r>
      <w:r w:rsidRPr="008742E9">
        <w:rPr>
          <w:rFonts w:eastAsia="Andale Sans UI" w:cs="Tahoma"/>
          <w:color w:val="000000"/>
          <w:kern w:val="3"/>
          <w:sz w:val="22"/>
          <w:szCs w:val="22"/>
          <w:lang w:eastAsia="en-US" w:bidi="en-US"/>
        </w:rPr>
        <w:t xml:space="preserve"> </w:t>
      </w:r>
    </w:p>
    <w:p w:rsidR="008742E9" w:rsidRPr="008742E9" w:rsidRDefault="008742E9" w:rsidP="00667E25">
      <w:pPr>
        <w:widowControl w:val="0"/>
        <w:suppressAutoHyphens/>
        <w:autoSpaceDN w:val="0"/>
        <w:ind w:firstLine="426"/>
        <w:jc w:val="both"/>
        <w:textAlignment w:val="baseline"/>
        <w:rPr>
          <w:rFonts w:eastAsia="Andale Sans UI" w:cs="Tahoma"/>
          <w:color w:val="000000"/>
          <w:kern w:val="3"/>
          <w:sz w:val="22"/>
          <w:szCs w:val="22"/>
          <w:shd w:val="clear" w:color="auto" w:fill="FFFFFF"/>
          <w:lang w:eastAsia="en-US" w:bidi="en-US"/>
        </w:rPr>
      </w:pPr>
      <w:r w:rsidRPr="008742E9">
        <w:rPr>
          <w:rFonts w:eastAsia="Andale Sans UI" w:cs="Tahoma"/>
          <w:color w:val="000000"/>
          <w:kern w:val="3"/>
          <w:sz w:val="22"/>
          <w:szCs w:val="22"/>
          <w:shd w:val="clear" w:color="auto" w:fill="FFFFFF"/>
          <w:lang w:eastAsia="en-US" w:bidi="en-US"/>
        </w:rPr>
        <w:t>Развитие язвы роговицы представляет собой полиэтиологический процесс, включающий в себя нарушение слезопродукции, формирование нестабильной слезной пленки, снижение ее защитных и питательных функций, нарушение иннервации и репаративной функции тканей роговицы, резко выраженным роговичным синдромом, болью и значительным снижением зрения пораженного глаза, помутнением роговой оболочки.</w:t>
      </w:r>
      <w:bookmarkStart w:id="4" w:name="ctrlcopy"/>
      <w:bookmarkEnd w:id="4"/>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 xml:space="preserve">Этиологический фактор может иметь инфекционный и не инфекционный характер. Инфекционные язвы возникают на фоне герпесвирусного, бактериального, грибкового, паразитарного поражения роговицы. С поверхности язвы роговицы чаще всего можно выделить  стафилококки, диплококки, пневмококки, синегнойную палочку </w:t>
      </w:r>
      <w:r w:rsidRPr="008742E9">
        <w:rPr>
          <w:rFonts w:eastAsia="Andale Sans UI" w:cs="Tahoma"/>
          <w:color w:val="000000"/>
          <w:kern w:val="3"/>
          <w:sz w:val="22"/>
          <w:szCs w:val="22"/>
          <w:lang w:eastAsia="en-US" w:bidi="en-US"/>
        </w:rPr>
        <w:t>[5]</w:t>
      </w:r>
      <w:r w:rsidRPr="008742E9">
        <w:rPr>
          <w:rFonts w:eastAsia="Andale Sans UI" w:cs="Tahoma"/>
          <w:color w:val="000000"/>
          <w:kern w:val="3"/>
          <w:sz w:val="22"/>
          <w:szCs w:val="22"/>
          <w:shd w:val="clear" w:color="auto" w:fill="FFFFFF"/>
          <w:lang w:eastAsia="en-US" w:bidi="en-US"/>
        </w:rPr>
        <w:t>.</w:t>
      </w:r>
      <w:r w:rsidRPr="008742E9">
        <w:rPr>
          <w:rFonts w:eastAsia="Andale Sans UI" w:cs="Tahoma"/>
          <w:color w:val="000000"/>
          <w:kern w:val="3"/>
          <w:sz w:val="24"/>
          <w:szCs w:val="24"/>
          <w:lang w:eastAsia="en-US" w:bidi="en-US"/>
        </w:rPr>
        <w:t xml:space="preserve"> </w:t>
      </w: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Неинфекционные чаще всего возникаю, как следствие травм гороговицы, сухого  кератоконъюктивита, гнойного кератита и тд. Данная патология имеет породную принадлежность, особенно подвержены собаки  брахиоцефаличеких пород - мопсы, пекинесы, бульдоги</w:t>
      </w:r>
      <w:r w:rsidRPr="008742E9">
        <w:rPr>
          <w:rFonts w:eastAsia="Andale Sans UI" w:cs="Tahoma"/>
          <w:color w:val="000000"/>
          <w:kern w:val="3"/>
          <w:sz w:val="22"/>
          <w:szCs w:val="22"/>
          <w:lang w:eastAsia="en-US" w:bidi="en-US"/>
        </w:rPr>
        <w:t xml:space="preserve"> [2].</w:t>
      </w:r>
    </w:p>
    <w:p w:rsidR="008742E9" w:rsidRPr="008742E9" w:rsidRDefault="008742E9" w:rsidP="00667E25">
      <w:pPr>
        <w:widowControl w:val="0"/>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Клиническая картина ярко выражена: развивается отёк и помутнение роговицы, обильная васкуляризация  в толще роговицы, наблюдаются гнойные выделения из глаза, животное прищуривает и чешет глаз,  при сильном инфекционном процессе и запущенном течении может ухудшится общее состояние животного.</w:t>
      </w:r>
    </w:p>
    <w:p w:rsidR="008742E9" w:rsidRPr="008742E9" w:rsidRDefault="008742E9" w:rsidP="00667E25">
      <w:pPr>
        <w:widowControl w:val="0"/>
        <w:suppressAutoHyphens/>
        <w:autoSpaceDN w:val="0"/>
        <w:ind w:firstLine="426"/>
        <w:jc w:val="both"/>
        <w:textAlignment w:val="baseline"/>
        <w:rPr>
          <w:rFonts w:eastAsia="Andale Sans UI" w:cs="Tahoma"/>
          <w:color w:val="000000"/>
          <w:kern w:val="3"/>
          <w:sz w:val="22"/>
          <w:szCs w:val="22"/>
          <w:shd w:val="clear" w:color="auto" w:fill="FFFFFF"/>
          <w:lang w:eastAsia="en-US" w:bidi="en-US"/>
        </w:rPr>
      </w:pPr>
      <w:r w:rsidRPr="008742E9">
        <w:rPr>
          <w:rFonts w:eastAsia="Andale Sans UI" w:cs="Tahoma"/>
          <w:color w:val="000000"/>
          <w:kern w:val="3"/>
          <w:sz w:val="22"/>
          <w:szCs w:val="22"/>
          <w:shd w:val="clear" w:color="auto" w:fill="FFFFFF"/>
          <w:lang w:eastAsia="en-US" w:bidi="en-US"/>
        </w:rPr>
        <w:lastRenderedPageBreak/>
        <w:t>Диагноз  ставится на основании визуального осмотра, офтальмоскопии и осмотре переднего отрезка глаза щелевой лампой. Для выявления границ и глубины дефектов роговицы проводят её окрашивание 1% раствором флюоресцеина. При осложнённых случаях делают бактериологический посев с поверхности и краёв язвы, проводят лабораторные исследования.</w:t>
      </w:r>
    </w:p>
    <w:p w:rsidR="008742E9" w:rsidRPr="008742E9" w:rsidRDefault="008742E9" w:rsidP="00667E25">
      <w:pPr>
        <w:widowControl w:val="0"/>
        <w:suppressAutoHyphens/>
        <w:autoSpaceDN w:val="0"/>
        <w:ind w:firstLine="426"/>
        <w:jc w:val="both"/>
        <w:textAlignment w:val="baseline"/>
        <w:rPr>
          <w:rFonts w:eastAsia="Andale Sans UI" w:cs="Tahoma"/>
          <w:color w:val="000000"/>
          <w:kern w:val="3"/>
          <w:sz w:val="24"/>
          <w:szCs w:val="24"/>
          <w:lang w:eastAsia="en-US" w:bidi="en-US"/>
        </w:rPr>
      </w:pPr>
      <w:r w:rsidRPr="008742E9">
        <w:rPr>
          <w:rFonts w:eastAsia="Andale Sans UI"/>
          <w:kern w:val="3"/>
          <w:sz w:val="22"/>
          <w:szCs w:val="22"/>
          <w:shd w:val="clear" w:color="auto" w:fill="FFFFFF"/>
          <w:lang w:eastAsia="en-US" w:bidi="en-US"/>
        </w:rPr>
        <w:t xml:space="preserve">Лечение зависимости от причины и глубины поражения роговицы, а также площади пораженной поверхности может быть как терапевтическим, так и хирургическим путем. Терапевтическое лечение заключается в устранении причины воспаления и развития язвенного процесса с помощью различной комбинации препаратов. Хирургическое лечение заключается в устранении поврежденных тканей и стабилизации воспалительного процесса, а также очистке пораженного участка и использовании различных способов стабилизации роговицы </w:t>
      </w:r>
      <w:r w:rsidRPr="008742E9">
        <w:rPr>
          <w:rFonts w:eastAsia="Andale Sans UI" w:cs="Tahoma"/>
          <w:color w:val="000000"/>
          <w:kern w:val="3"/>
          <w:sz w:val="22"/>
          <w:szCs w:val="22"/>
          <w:lang w:eastAsia="en-US" w:bidi="en-US"/>
        </w:rPr>
        <w:t>[3, 4</w:t>
      </w:r>
      <w:r w:rsidRPr="008742E9">
        <w:rPr>
          <w:rFonts w:eastAsia="Andale Sans UI" w:cs="Tahoma"/>
          <w:color w:val="000000"/>
          <w:kern w:val="3"/>
          <w:sz w:val="24"/>
          <w:szCs w:val="24"/>
          <w:lang w:eastAsia="en-US" w:bidi="en-US"/>
        </w:rPr>
        <w:t>].</w:t>
      </w:r>
    </w:p>
    <w:p w:rsidR="008742E9" w:rsidRPr="008742E9" w:rsidRDefault="008742E9" w:rsidP="00667E25">
      <w:pPr>
        <w:widowControl w:val="0"/>
        <w:suppressAutoHyphens/>
        <w:autoSpaceDN w:val="0"/>
        <w:ind w:firstLine="426"/>
        <w:jc w:val="both"/>
        <w:textAlignment w:val="baseline"/>
        <w:rPr>
          <w:rFonts w:eastAsia="Andale Sans UI" w:cs="Tahoma"/>
          <w:color w:val="000000"/>
          <w:kern w:val="3"/>
          <w:sz w:val="24"/>
          <w:szCs w:val="24"/>
          <w:lang w:eastAsia="en-US" w:bidi="en-US"/>
        </w:rPr>
      </w:pPr>
    </w:p>
    <w:p w:rsidR="008742E9" w:rsidRPr="008742E9" w:rsidRDefault="008742E9" w:rsidP="00667E25">
      <w:pPr>
        <w:widowControl w:val="0"/>
        <w:suppressAutoHyphens/>
        <w:autoSpaceDN w:val="0"/>
        <w:ind w:firstLine="426"/>
        <w:jc w:val="center"/>
        <w:textAlignment w:val="baseline"/>
        <w:rPr>
          <w:rFonts w:eastAsia="Andale Sans UI" w:cs="Tahoma"/>
          <w:color w:val="000000"/>
          <w:kern w:val="3"/>
          <w:sz w:val="22"/>
          <w:szCs w:val="22"/>
          <w:shd w:val="clear" w:color="auto" w:fill="FFFFFF"/>
          <w:lang w:eastAsia="en-US" w:bidi="en-US"/>
        </w:rPr>
      </w:pPr>
      <w:r w:rsidRPr="008742E9">
        <w:rPr>
          <w:rFonts w:eastAsia="Andale Sans UI" w:cs="Tahoma"/>
          <w:color w:val="000000"/>
          <w:kern w:val="3"/>
          <w:sz w:val="22"/>
          <w:szCs w:val="22"/>
          <w:shd w:val="clear" w:color="auto" w:fill="FFFFFF"/>
          <w:lang w:eastAsia="en-US" w:bidi="en-US"/>
        </w:rPr>
        <w:t>Список литературы</w:t>
      </w:r>
    </w:p>
    <w:p w:rsidR="008742E9" w:rsidRPr="008742E9" w:rsidRDefault="008742E9" w:rsidP="00667E25">
      <w:pPr>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shd w:val="clear" w:color="auto" w:fill="FFFFFF"/>
          <w:lang w:eastAsia="en-US" w:bidi="en-US"/>
        </w:rPr>
        <w:t xml:space="preserve">1. </w:t>
      </w:r>
      <w:r w:rsidRPr="008742E9">
        <w:rPr>
          <w:rFonts w:eastAsia="Andale Sans UI" w:cs="Tahoma"/>
          <w:color w:val="000000"/>
          <w:kern w:val="3"/>
          <w:sz w:val="22"/>
          <w:szCs w:val="22"/>
          <w:lang w:eastAsia="en-US" w:bidi="en-US"/>
        </w:rPr>
        <w:t>Белов А.Д., Данилов Е.П., Дукур И.И. Болезни собак / А.Д. Белов.</w:t>
      </w:r>
      <w:r w:rsidRPr="008742E9">
        <w:rPr>
          <w:rFonts w:eastAsia="Andale Sans UI"/>
          <w:color w:val="000000"/>
          <w:kern w:val="3"/>
          <w:sz w:val="22"/>
          <w:szCs w:val="22"/>
          <w:lang w:eastAsia="en-US" w:bidi="en-US"/>
        </w:rPr>
        <w:t>–</w:t>
      </w:r>
      <w:r w:rsidRPr="008742E9">
        <w:rPr>
          <w:rFonts w:eastAsia="Andale Sans UI" w:cs="Tahoma"/>
          <w:color w:val="000000"/>
          <w:kern w:val="3"/>
          <w:sz w:val="22"/>
          <w:szCs w:val="22"/>
          <w:lang w:eastAsia="en-US" w:bidi="en-US"/>
        </w:rPr>
        <w:t xml:space="preserve"> Москва- 2010. </w:t>
      </w:r>
      <w:r w:rsidRPr="008742E9">
        <w:rPr>
          <w:rFonts w:eastAsia="Andale Sans UI"/>
          <w:color w:val="000000"/>
          <w:kern w:val="3"/>
          <w:sz w:val="22"/>
          <w:szCs w:val="22"/>
          <w:lang w:eastAsia="en-US" w:bidi="en-US"/>
        </w:rPr>
        <w:t xml:space="preserve">– </w:t>
      </w:r>
      <w:r w:rsidRPr="008742E9">
        <w:rPr>
          <w:rFonts w:eastAsia="Andale Sans UI" w:cs="Tahoma"/>
          <w:color w:val="000000"/>
          <w:kern w:val="3"/>
          <w:sz w:val="22"/>
          <w:szCs w:val="22"/>
          <w:lang w:eastAsia="en-US" w:bidi="en-US"/>
        </w:rPr>
        <w:t>230с.</w:t>
      </w:r>
    </w:p>
    <w:p w:rsidR="008742E9" w:rsidRPr="008742E9" w:rsidRDefault="008742E9" w:rsidP="00667E25">
      <w:pPr>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lang w:eastAsia="en-US" w:bidi="en-US"/>
        </w:rPr>
        <w:t xml:space="preserve">2. </w:t>
      </w:r>
      <w:r w:rsidRPr="008742E9">
        <w:rPr>
          <w:rFonts w:eastAsia="Andale Sans UI" w:cs="Tahoma"/>
          <w:color w:val="000000"/>
          <w:kern w:val="3"/>
          <w:sz w:val="22"/>
          <w:szCs w:val="22"/>
          <w:shd w:val="clear" w:color="auto" w:fill="FFFFFF"/>
          <w:lang w:eastAsia="en-US" w:bidi="en-US"/>
        </w:rPr>
        <w:t>Егоров Е.А Офтальмология: учебник для вузов / Под ред. Е.А.Егорова. Москва- 2010. –240с.</w:t>
      </w:r>
    </w:p>
    <w:p w:rsidR="008742E9" w:rsidRPr="008742E9" w:rsidRDefault="008742E9" w:rsidP="00667E25">
      <w:pPr>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lang w:eastAsia="en-US" w:bidi="en-US"/>
        </w:rPr>
        <w:t>3. Лоскутов И. А. Некоторые аспекты фармакотерапии в офтальмологии. /И.А. Лоскутов // Российский медицинский журнал том 1.1. Москва 1999.с.81</w:t>
      </w:r>
    </w:p>
    <w:p w:rsidR="008742E9" w:rsidRPr="008742E9" w:rsidRDefault="008742E9" w:rsidP="00667E25">
      <w:pPr>
        <w:suppressAutoHyphens/>
        <w:autoSpaceDN w:val="0"/>
        <w:ind w:firstLine="426"/>
        <w:jc w:val="both"/>
        <w:textAlignment w:val="baseline"/>
        <w:rPr>
          <w:rFonts w:eastAsia="Andale Sans UI" w:cs="Tahoma"/>
          <w:color w:val="000000"/>
          <w:kern w:val="3"/>
          <w:sz w:val="22"/>
          <w:szCs w:val="22"/>
          <w:lang w:eastAsia="en-US" w:bidi="en-US"/>
        </w:rPr>
      </w:pPr>
      <w:r w:rsidRPr="008742E9">
        <w:rPr>
          <w:rFonts w:eastAsia="Andale Sans UI" w:cs="Tahoma"/>
          <w:color w:val="000000"/>
          <w:kern w:val="3"/>
          <w:sz w:val="22"/>
          <w:szCs w:val="22"/>
          <w:lang w:eastAsia="en-US" w:bidi="en-US"/>
        </w:rPr>
        <w:t>4. Майчук Ю. Ф. Новое в эпидемиологии и фармакотерапии глазных инфекций / Ю.Ф. Майчук-Клиническая офтальмология том 1. 2. Москва 2000.с.12</w:t>
      </w:r>
    </w:p>
    <w:p w:rsidR="008742E9" w:rsidRPr="008742E9" w:rsidRDefault="008742E9" w:rsidP="00667E25">
      <w:pPr>
        <w:suppressAutoHyphens/>
        <w:autoSpaceDN w:val="0"/>
        <w:ind w:firstLine="426"/>
        <w:jc w:val="both"/>
        <w:textAlignment w:val="baseline"/>
        <w:rPr>
          <w:rFonts w:eastAsia="Andale Sans UI" w:cs="Tahoma"/>
          <w:kern w:val="3"/>
          <w:sz w:val="24"/>
          <w:szCs w:val="24"/>
          <w:lang w:eastAsia="en-US" w:bidi="en-US"/>
        </w:rPr>
      </w:pPr>
      <w:r w:rsidRPr="008742E9">
        <w:rPr>
          <w:rFonts w:eastAsia="Andale Sans UI" w:cs="Tahoma"/>
          <w:color w:val="000000"/>
          <w:kern w:val="3"/>
          <w:sz w:val="22"/>
          <w:szCs w:val="22"/>
          <w:lang w:eastAsia="en-US" w:bidi="en-US"/>
        </w:rPr>
        <w:t xml:space="preserve">5. Шилкин А.Г., Копенкин Е.П., Олейник В.В. Комплексная терапия особо тяжелых инфекционно-воспалительных поражений глаза у собак и кошек с использованием фторхинолоновых антибиотиков / А.Г. Шилкин- Материалы 12-го междунар. московского конгресса по болезням мелких дом. жив.. 2004 . </w:t>
      </w:r>
      <w:r w:rsidRPr="008742E9">
        <w:rPr>
          <w:rFonts w:eastAsia="Andale Sans UI"/>
          <w:color w:val="000000"/>
          <w:kern w:val="3"/>
          <w:sz w:val="22"/>
          <w:szCs w:val="22"/>
          <w:lang w:eastAsia="en-US" w:bidi="en-US"/>
        </w:rPr>
        <w:t>–</w:t>
      </w:r>
      <w:r w:rsidRPr="008742E9">
        <w:rPr>
          <w:rFonts w:eastAsia="Andale Sans UI" w:cs="Tahoma"/>
          <w:color w:val="000000"/>
          <w:kern w:val="3"/>
          <w:sz w:val="22"/>
          <w:szCs w:val="22"/>
          <w:lang w:eastAsia="en-US" w:bidi="en-US"/>
        </w:rPr>
        <w:t xml:space="preserve"> С- 150-153.</w:t>
      </w:r>
    </w:p>
    <w:p w:rsidR="008742E9" w:rsidRPr="003B6CC8" w:rsidRDefault="008742E9" w:rsidP="00667E25">
      <w:pPr>
        <w:ind w:firstLine="426"/>
        <w:jc w:val="both"/>
        <w:rPr>
          <w:rFonts w:eastAsia="Andale Sans UI" w:cs="Tahoma"/>
          <w:kern w:val="3"/>
          <w:sz w:val="22"/>
          <w:szCs w:val="22"/>
          <w:shd w:val="clear" w:color="auto" w:fill="FFFFFF"/>
          <w:lang w:eastAsia="en-US" w:bidi="en-US"/>
        </w:rPr>
      </w:pPr>
      <w:r w:rsidRPr="008742E9">
        <w:rPr>
          <w:rFonts w:eastAsia="Andale Sans UI" w:cs="Tahoma"/>
          <w:color w:val="000000"/>
          <w:kern w:val="3"/>
          <w:sz w:val="22"/>
          <w:szCs w:val="22"/>
          <w:lang w:eastAsia="en-US" w:bidi="en-US"/>
        </w:rPr>
        <w:t xml:space="preserve">6. </w:t>
      </w:r>
      <w:hyperlink r:id="rId31" w:history="1">
        <w:r w:rsidRPr="003B6CC8">
          <w:rPr>
            <w:rFonts w:eastAsia="Andale Sans UI" w:cs="Tahoma"/>
            <w:kern w:val="3"/>
            <w:sz w:val="22"/>
            <w:szCs w:val="22"/>
            <w:shd w:val="clear" w:color="auto" w:fill="FFFFFF"/>
            <w:lang w:val="en-US" w:eastAsia="en-US" w:bidi="en-US"/>
          </w:rPr>
          <w:t>https</w:t>
        </w:r>
        <w:r w:rsidRPr="003B6CC8">
          <w:rPr>
            <w:rFonts w:eastAsia="Andale Sans UI" w:cs="Tahoma"/>
            <w:kern w:val="3"/>
            <w:sz w:val="22"/>
            <w:szCs w:val="22"/>
            <w:shd w:val="clear" w:color="auto" w:fill="FFFFFF"/>
            <w:lang w:eastAsia="en-US" w:bidi="en-US"/>
          </w:rPr>
          <w:t>://</w:t>
        </w:r>
        <w:r w:rsidRPr="003B6CC8">
          <w:rPr>
            <w:rFonts w:eastAsia="Andale Sans UI" w:cs="Tahoma"/>
            <w:kern w:val="3"/>
            <w:sz w:val="22"/>
            <w:szCs w:val="22"/>
            <w:shd w:val="clear" w:color="auto" w:fill="FFFFFF"/>
            <w:lang w:val="en-US" w:eastAsia="en-US" w:bidi="en-US"/>
          </w:rPr>
          <w:t>vet</w:t>
        </w:r>
        <w:r w:rsidRPr="003B6CC8">
          <w:rPr>
            <w:rFonts w:eastAsia="Andale Sans UI" w:cs="Tahoma"/>
            <w:kern w:val="3"/>
            <w:sz w:val="22"/>
            <w:szCs w:val="22"/>
            <w:shd w:val="clear" w:color="auto" w:fill="FFFFFF"/>
            <w:lang w:eastAsia="en-US" w:bidi="en-US"/>
          </w:rPr>
          <w:t>-</w:t>
        </w:r>
        <w:r w:rsidRPr="003B6CC8">
          <w:rPr>
            <w:rFonts w:eastAsia="Andale Sans UI" w:cs="Tahoma"/>
            <w:kern w:val="3"/>
            <w:sz w:val="22"/>
            <w:szCs w:val="22"/>
            <w:shd w:val="clear" w:color="auto" w:fill="FFFFFF"/>
            <w:lang w:val="en-US" w:eastAsia="en-US" w:bidi="en-US"/>
          </w:rPr>
          <w:t>oculus</w:t>
        </w:r>
        <w:r w:rsidRPr="003B6CC8">
          <w:rPr>
            <w:rFonts w:eastAsia="Andale Sans UI" w:cs="Tahoma"/>
            <w:kern w:val="3"/>
            <w:sz w:val="22"/>
            <w:szCs w:val="22"/>
            <w:shd w:val="clear" w:color="auto" w:fill="FFFFFF"/>
            <w:lang w:eastAsia="en-US" w:bidi="en-US"/>
          </w:rPr>
          <w:t>.</w:t>
        </w:r>
        <w:r w:rsidRPr="003B6CC8">
          <w:rPr>
            <w:rFonts w:eastAsia="Andale Sans UI" w:cs="Tahoma"/>
            <w:kern w:val="3"/>
            <w:sz w:val="22"/>
            <w:szCs w:val="22"/>
            <w:shd w:val="clear" w:color="auto" w:fill="FFFFFF"/>
            <w:lang w:val="en-US" w:eastAsia="en-US" w:bidi="en-US"/>
          </w:rPr>
          <w:t>ru</w:t>
        </w:r>
        <w:r w:rsidRPr="003B6CC8">
          <w:rPr>
            <w:rFonts w:eastAsia="Andale Sans UI" w:cs="Tahoma"/>
            <w:kern w:val="3"/>
            <w:sz w:val="22"/>
            <w:szCs w:val="22"/>
            <w:shd w:val="clear" w:color="auto" w:fill="FFFFFF"/>
            <w:lang w:eastAsia="en-US" w:bidi="en-US"/>
          </w:rPr>
          <w:t>/</w:t>
        </w:r>
        <w:r w:rsidRPr="003B6CC8">
          <w:rPr>
            <w:rFonts w:eastAsia="Andale Sans UI" w:cs="Tahoma"/>
            <w:kern w:val="3"/>
            <w:sz w:val="22"/>
            <w:szCs w:val="22"/>
            <w:shd w:val="clear" w:color="auto" w:fill="FFFFFF"/>
            <w:lang w:val="en-US" w:eastAsia="en-US" w:bidi="en-US"/>
          </w:rPr>
          <w:t>works</w:t>
        </w:r>
        <w:r w:rsidRPr="003B6CC8">
          <w:rPr>
            <w:rFonts w:eastAsia="Andale Sans UI" w:cs="Tahoma"/>
            <w:kern w:val="3"/>
            <w:sz w:val="22"/>
            <w:szCs w:val="22"/>
            <w:shd w:val="clear" w:color="auto" w:fill="FFFFFF"/>
            <w:lang w:eastAsia="en-US" w:bidi="en-US"/>
          </w:rPr>
          <w:t>/</w:t>
        </w:r>
        <w:r w:rsidRPr="003B6CC8">
          <w:rPr>
            <w:rFonts w:eastAsia="Andale Sans UI" w:cs="Tahoma"/>
            <w:kern w:val="3"/>
            <w:sz w:val="22"/>
            <w:szCs w:val="22"/>
            <w:shd w:val="clear" w:color="auto" w:fill="FFFFFF"/>
            <w:lang w:val="en-US" w:eastAsia="en-US" w:bidi="en-US"/>
          </w:rPr>
          <w:t>jazva</w:t>
        </w:r>
        <w:r w:rsidRPr="003B6CC8">
          <w:rPr>
            <w:rFonts w:eastAsia="Andale Sans UI" w:cs="Tahoma"/>
            <w:kern w:val="3"/>
            <w:sz w:val="22"/>
            <w:szCs w:val="22"/>
            <w:shd w:val="clear" w:color="auto" w:fill="FFFFFF"/>
            <w:lang w:eastAsia="en-US" w:bidi="en-US"/>
          </w:rPr>
          <w:t>_</w:t>
        </w:r>
        <w:r w:rsidRPr="003B6CC8">
          <w:rPr>
            <w:rFonts w:eastAsia="Andale Sans UI" w:cs="Tahoma"/>
            <w:kern w:val="3"/>
            <w:sz w:val="22"/>
            <w:szCs w:val="22"/>
            <w:shd w:val="clear" w:color="auto" w:fill="FFFFFF"/>
            <w:lang w:val="en-US" w:eastAsia="en-US" w:bidi="en-US"/>
          </w:rPr>
          <w:t>rogovicy</w:t>
        </w:r>
        <w:r w:rsidRPr="003B6CC8">
          <w:rPr>
            <w:rFonts w:eastAsia="Andale Sans UI" w:cs="Tahoma"/>
            <w:kern w:val="3"/>
            <w:sz w:val="22"/>
            <w:szCs w:val="22"/>
            <w:shd w:val="clear" w:color="auto" w:fill="FFFFFF"/>
            <w:lang w:eastAsia="en-US" w:bidi="en-US"/>
          </w:rPr>
          <w:t>/</w:t>
        </w:r>
      </w:hyperlink>
    </w:p>
    <w:p w:rsidR="008742E9" w:rsidRPr="008742E9" w:rsidRDefault="008742E9" w:rsidP="00667E25">
      <w:pPr>
        <w:ind w:firstLine="426"/>
        <w:jc w:val="both"/>
        <w:rPr>
          <w:rFonts w:eastAsia="Andale Sans UI" w:cs="Tahoma"/>
          <w:color w:val="000000"/>
          <w:kern w:val="3"/>
          <w:sz w:val="22"/>
          <w:szCs w:val="22"/>
          <w:shd w:val="clear" w:color="auto" w:fill="FFFFFF"/>
          <w:lang w:eastAsia="en-US" w:bidi="en-US"/>
        </w:rPr>
      </w:pPr>
    </w:p>
    <w:p w:rsidR="008742E9" w:rsidRPr="008742E9" w:rsidRDefault="008742E9" w:rsidP="00667E25">
      <w:pPr>
        <w:ind w:firstLine="426"/>
        <w:jc w:val="both"/>
        <w:rPr>
          <w:rFonts w:eastAsia="Andale Sans UI" w:cs="Tahoma"/>
          <w:color w:val="000000"/>
          <w:kern w:val="3"/>
          <w:sz w:val="22"/>
          <w:szCs w:val="22"/>
          <w:shd w:val="clear" w:color="auto" w:fill="FFFFFF"/>
          <w:lang w:eastAsia="en-US" w:bidi="en-US"/>
        </w:rPr>
      </w:pPr>
    </w:p>
    <w:p w:rsidR="008742E9" w:rsidRDefault="008742E9" w:rsidP="008742E9">
      <w:pPr>
        <w:jc w:val="both"/>
        <w:rPr>
          <w:rFonts w:eastAsia="Andale Sans UI" w:cs="Tahoma"/>
          <w:color w:val="000000"/>
          <w:kern w:val="3"/>
          <w:sz w:val="22"/>
          <w:szCs w:val="22"/>
          <w:shd w:val="clear" w:color="auto" w:fill="FFFFFF"/>
          <w:lang w:eastAsia="en-US" w:bidi="en-US"/>
        </w:rPr>
      </w:pPr>
    </w:p>
    <w:p w:rsidR="00384DE6" w:rsidRPr="008742E9" w:rsidRDefault="00384DE6" w:rsidP="008742E9">
      <w:pPr>
        <w:jc w:val="both"/>
        <w:rPr>
          <w:rFonts w:eastAsia="Andale Sans UI" w:cs="Tahoma"/>
          <w:color w:val="000000"/>
          <w:kern w:val="3"/>
          <w:sz w:val="22"/>
          <w:szCs w:val="22"/>
          <w:shd w:val="clear" w:color="auto" w:fill="FFFFFF"/>
          <w:lang w:eastAsia="en-US" w:bidi="en-US"/>
        </w:rPr>
      </w:pPr>
    </w:p>
    <w:p w:rsidR="008742E9" w:rsidRPr="008742E9" w:rsidRDefault="008742E9" w:rsidP="008742E9">
      <w:pPr>
        <w:rPr>
          <w:color w:val="000000"/>
          <w:sz w:val="24"/>
          <w:szCs w:val="22"/>
        </w:rPr>
      </w:pPr>
      <w:r w:rsidRPr="008742E9">
        <w:rPr>
          <w:color w:val="000000"/>
          <w:sz w:val="22"/>
          <w:szCs w:val="22"/>
        </w:rPr>
        <w:lastRenderedPageBreak/>
        <w:t>УДК 619:616.98:578.828.11</w:t>
      </w:r>
    </w:p>
    <w:p w:rsidR="008742E9" w:rsidRPr="008742E9" w:rsidRDefault="008742E9" w:rsidP="008742E9">
      <w:pPr>
        <w:rPr>
          <w:color w:val="000000"/>
          <w:sz w:val="24"/>
          <w:szCs w:val="22"/>
        </w:rPr>
      </w:pPr>
    </w:p>
    <w:p w:rsidR="008742E9" w:rsidRPr="008742E9" w:rsidRDefault="008742E9" w:rsidP="008742E9">
      <w:pPr>
        <w:jc w:val="center"/>
        <w:rPr>
          <w:b/>
          <w:color w:val="000000"/>
          <w:sz w:val="24"/>
          <w:szCs w:val="22"/>
        </w:rPr>
      </w:pPr>
      <w:r w:rsidRPr="008742E9">
        <w:rPr>
          <w:b/>
          <w:color w:val="000000"/>
          <w:sz w:val="24"/>
          <w:szCs w:val="22"/>
        </w:rPr>
        <w:t>Сравнительная оценка эффективности методов</w:t>
      </w:r>
    </w:p>
    <w:p w:rsidR="008742E9" w:rsidRPr="00024398" w:rsidRDefault="008742E9" w:rsidP="00667E25">
      <w:pPr>
        <w:jc w:val="center"/>
        <w:rPr>
          <w:b/>
          <w:color w:val="000000"/>
          <w:sz w:val="24"/>
          <w:szCs w:val="22"/>
          <w:lang w:val="en-US"/>
        </w:rPr>
      </w:pPr>
      <w:r w:rsidRPr="008742E9">
        <w:rPr>
          <w:b/>
          <w:color w:val="000000"/>
          <w:sz w:val="24"/>
          <w:szCs w:val="22"/>
        </w:rPr>
        <w:t xml:space="preserve"> диагностики</w:t>
      </w:r>
      <w:r w:rsidRPr="00024398">
        <w:rPr>
          <w:b/>
          <w:color w:val="000000"/>
          <w:sz w:val="24"/>
          <w:szCs w:val="22"/>
          <w:lang w:val="en-US"/>
        </w:rPr>
        <w:t xml:space="preserve"> </w:t>
      </w:r>
      <w:r w:rsidRPr="008742E9">
        <w:rPr>
          <w:b/>
          <w:color w:val="000000"/>
          <w:sz w:val="24"/>
          <w:szCs w:val="22"/>
        </w:rPr>
        <w:t>лейкоза</w:t>
      </w:r>
      <w:r w:rsidRPr="00024398">
        <w:rPr>
          <w:b/>
          <w:color w:val="000000"/>
          <w:sz w:val="24"/>
          <w:szCs w:val="22"/>
          <w:lang w:val="en-US"/>
        </w:rPr>
        <w:t xml:space="preserve"> </w:t>
      </w:r>
      <w:r w:rsidRPr="008742E9">
        <w:rPr>
          <w:b/>
          <w:color w:val="000000"/>
          <w:sz w:val="24"/>
          <w:szCs w:val="22"/>
        </w:rPr>
        <w:t>крупного</w:t>
      </w:r>
      <w:r w:rsidRPr="00024398">
        <w:rPr>
          <w:b/>
          <w:color w:val="000000"/>
          <w:sz w:val="24"/>
          <w:szCs w:val="22"/>
          <w:lang w:val="en-US"/>
        </w:rPr>
        <w:t xml:space="preserve"> </w:t>
      </w:r>
      <w:r w:rsidRPr="008742E9">
        <w:rPr>
          <w:b/>
          <w:color w:val="000000"/>
          <w:sz w:val="24"/>
          <w:szCs w:val="22"/>
        </w:rPr>
        <w:t>рогатого</w:t>
      </w:r>
      <w:r w:rsidRPr="00024398">
        <w:rPr>
          <w:b/>
          <w:color w:val="000000"/>
          <w:sz w:val="24"/>
          <w:szCs w:val="22"/>
          <w:lang w:val="en-US"/>
        </w:rPr>
        <w:t xml:space="preserve"> </w:t>
      </w:r>
      <w:r w:rsidRPr="008742E9">
        <w:rPr>
          <w:b/>
          <w:color w:val="000000"/>
          <w:sz w:val="24"/>
          <w:szCs w:val="22"/>
        </w:rPr>
        <w:t>скота</w:t>
      </w:r>
    </w:p>
    <w:p w:rsidR="008742E9" w:rsidRPr="00024398" w:rsidRDefault="008742E9" w:rsidP="008742E9">
      <w:pPr>
        <w:jc w:val="center"/>
        <w:rPr>
          <w:b/>
          <w:color w:val="000000"/>
          <w:sz w:val="24"/>
          <w:szCs w:val="22"/>
          <w:lang w:val="en-US"/>
        </w:rPr>
      </w:pPr>
      <w:r w:rsidRPr="008742E9">
        <w:rPr>
          <w:b/>
          <w:color w:val="000000"/>
          <w:sz w:val="24"/>
          <w:szCs w:val="22"/>
          <w:lang w:val="en-US"/>
        </w:rPr>
        <w:t>Comparative</w:t>
      </w:r>
      <w:r w:rsidRPr="00024398">
        <w:rPr>
          <w:b/>
          <w:color w:val="000000"/>
          <w:sz w:val="24"/>
          <w:szCs w:val="22"/>
          <w:lang w:val="en-US"/>
        </w:rPr>
        <w:t xml:space="preserve"> </w:t>
      </w:r>
      <w:r w:rsidRPr="008742E9">
        <w:rPr>
          <w:b/>
          <w:color w:val="000000"/>
          <w:sz w:val="24"/>
          <w:szCs w:val="22"/>
          <w:lang w:val="en-US"/>
        </w:rPr>
        <w:t>assessment</w:t>
      </w:r>
      <w:r w:rsidRPr="00024398">
        <w:rPr>
          <w:b/>
          <w:color w:val="000000"/>
          <w:sz w:val="24"/>
          <w:szCs w:val="22"/>
          <w:lang w:val="en-US"/>
        </w:rPr>
        <w:t xml:space="preserve"> </w:t>
      </w:r>
      <w:r w:rsidRPr="008742E9">
        <w:rPr>
          <w:b/>
          <w:color w:val="000000"/>
          <w:sz w:val="24"/>
          <w:szCs w:val="22"/>
          <w:lang w:val="en-US"/>
        </w:rPr>
        <w:t>of</w:t>
      </w:r>
      <w:r w:rsidRPr="00024398">
        <w:rPr>
          <w:b/>
          <w:color w:val="000000"/>
          <w:sz w:val="24"/>
          <w:szCs w:val="22"/>
          <w:lang w:val="en-US"/>
        </w:rPr>
        <w:t xml:space="preserve"> </w:t>
      </w:r>
      <w:r w:rsidRPr="008742E9">
        <w:rPr>
          <w:b/>
          <w:color w:val="000000"/>
          <w:sz w:val="24"/>
          <w:szCs w:val="22"/>
          <w:lang w:val="en-US"/>
        </w:rPr>
        <w:t>the</w:t>
      </w:r>
      <w:r w:rsidRPr="00024398">
        <w:rPr>
          <w:b/>
          <w:color w:val="000000"/>
          <w:sz w:val="24"/>
          <w:szCs w:val="22"/>
          <w:lang w:val="en-US"/>
        </w:rPr>
        <w:t xml:space="preserve"> </w:t>
      </w:r>
      <w:r w:rsidRPr="008742E9">
        <w:rPr>
          <w:b/>
          <w:color w:val="000000"/>
          <w:sz w:val="24"/>
          <w:szCs w:val="22"/>
          <w:lang w:val="en-US"/>
        </w:rPr>
        <w:t>effectiveness</w:t>
      </w:r>
      <w:r w:rsidRPr="00024398">
        <w:rPr>
          <w:b/>
          <w:color w:val="000000"/>
          <w:sz w:val="24"/>
          <w:szCs w:val="22"/>
          <w:lang w:val="en-US"/>
        </w:rPr>
        <w:t xml:space="preserve"> </w:t>
      </w:r>
      <w:r w:rsidRPr="008742E9">
        <w:rPr>
          <w:b/>
          <w:color w:val="000000"/>
          <w:sz w:val="24"/>
          <w:szCs w:val="22"/>
          <w:lang w:val="en-US"/>
        </w:rPr>
        <w:t>of</w:t>
      </w:r>
      <w:r w:rsidRPr="00024398">
        <w:rPr>
          <w:b/>
          <w:color w:val="000000"/>
          <w:sz w:val="24"/>
          <w:szCs w:val="22"/>
          <w:lang w:val="en-US"/>
        </w:rPr>
        <w:t xml:space="preserve"> </w:t>
      </w:r>
      <w:r w:rsidRPr="008742E9">
        <w:rPr>
          <w:b/>
          <w:color w:val="000000"/>
          <w:sz w:val="24"/>
          <w:szCs w:val="22"/>
          <w:lang w:val="en-US"/>
        </w:rPr>
        <w:t>methods</w:t>
      </w:r>
      <w:r w:rsidRPr="00024398">
        <w:rPr>
          <w:b/>
          <w:color w:val="000000"/>
          <w:sz w:val="24"/>
          <w:szCs w:val="22"/>
          <w:lang w:val="en-US"/>
        </w:rPr>
        <w:t xml:space="preserve"> </w:t>
      </w:r>
      <w:r w:rsidR="00667E25" w:rsidRPr="00024398">
        <w:rPr>
          <w:b/>
          <w:color w:val="000000"/>
          <w:sz w:val="24"/>
          <w:szCs w:val="22"/>
          <w:lang w:val="en-US"/>
        </w:rPr>
        <w:br/>
      </w:r>
      <w:r w:rsidRPr="008742E9">
        <w:rPr>
          <w:b/>
          <w:color w:val="000000"/>
          <w:sz w:val="24"/>
          <w:szCs w:val="22"/>
          <w:lang w:val="en-US"/>
        </w:rPr>
        <w:t>for</w:t>
      </w:r>
      <w:r w:rsidRPr="00024398">
        <w:rPr>
          <w:b/>
          <w:color w:val="000000"/>
          <w:sz w:val="24"/>
          <w:szCs w:val="22"/>
          <w:lang w:val="en-US"/>
        </w:rPr>
        <w:t xml:space="preserve"> </w:t>
      </w:r>
      <w:r w:rsidRPr="008742E9">
        <w:rPr>
          <w:b/>
          <w:color w:val="000000"/>
          <w:sz w:val="24"/>
          <w:szCs w:val="22"/>
          <w:lang w:val="en-US"/>
        </w:rPr>
        <w:t>diagnosis</w:t>
      </w:r>
      <w:r w:rsidRPr="00024398">
        <w:rPr>
          <w:b/>
          <w:color w:val="000000"/>
          <w:sz w:val="24"/>
          <w:szCs w:val="22"/>
          <w:lang w:val="en-US"/>
        </w:rPr>
        <w:t xml:space="preserve"> </w:t>
      </w:r>
      <w:r w:rsidRPr="008742E9">
        <w:rPr>
          <w:b/>
          <w:color w:val="000000"/>
          <w:sz w:val="24"/>
          <w:szCs w:val="22"/>
          <w:lang w:val="en-US"/>
        </w:rPr>
        <w:t>of</w:t>
      </w:r>
      <w:r w:rsidRPr="00024398">
        <w:rPr>
          <w:b/>
          <w:color w:val="000000"/>
          <w:sz w:val="24"/>
          <w:szCs w:val="22"/>
          <w:lang w:val="en-US"/>
        </w:rPr>
        <w:t xml:space="preserve"> </w:t>
      </w:r>
      <w:r w:rsidRPr="008742E9">
        <w:rPr>
          <w:b/>
          <w:color w:val="000000"/>
          <w:sz w:val="24"/>
          <w:szCs w:val="22"/>
          <w:lang w:val="en-US"/>
        </w:rPr>
        <w:t>leukosis</w:t>
      </w:r>
      <w:r w:rsidRPr="00024398">
        <w:rPr>
          <w:b/>
          <w:color w:val="000000"/>
          <w:sz w:val="24"/>
          <w:szCs w:val="22"/>
          <w:lang w:val="en-US"/>
        </w:rPr>
        <w:t xml:space="preserve"> </w:t>
      </w:r>
      <w:r w:rsidRPr="008742E9">
        <w:rPr>
          <w:b/>
          <w:color w:val="000000"/>
          <w:sz w:val="24"/>
          <w:szCs w:val="22"/>
          <w:lang w:val="en-US"/>
        </w:rPr>
        <w:t>of</w:t>
      </w:r>
      <w:r w:rsidRPr="00024398">
        <w:rPr>
          <w:b/>
          <w:color w:val="000000"/>
          <w:sz w:val="24"/>
          <w:szCs w:val="22"/>
          <w:lang w:val="en-US"/>
        </w:rPr>
        <w:t xml:space="preserve"> </w:t>
      </w:r>
      <w:r w:rsidRPr="008742E9">
        <w:rPr>
          <w:b/>
          <w:color w:val="000000"/>
          <w:sz w:val="24"/>
          <w:szCs w:val="22"/>
          <w:lang w:val="en-US"/>
        </w:rPr>
        <w:t>cattle</w:t>
      </w:r>
    </w:p>
    <w:p w:rsidR="008742E9" w:rsidRPr="00024398" w:rsidRDefault="008742E9" w:rsidP="008742E9">
      <w:pPr>
        <w:jc w:val="both"/>
        <w:rPr>
          <w:b/>
          <w:color w:val="000000"/>
          <w:sz w:val="22"/>
          <w:szCs w:val="22"/>
          <w:lang w:val="en-US"/>
        </w:rPr>
      </w:pPr>
    </w:p>
    <w:p w:rsidR="008742E9" w:rsidRPr="008742E9" w:rsidRDefault="008742E9" w:rsidP="008742E9">
      <w:pPr>
        <w:jc w:val="right"/>
        <w:rPr>
          <w:color w:val="000000"/>
          <w:sz w:val="22"/>
          <w:szCs w:val="22"/>
        </w:rPr>
      </w:pPr>
      <w:r w:rsidRPr="008742E9">
        <w:rPr>
          <w:color w:val="000000"/>
          <w:sz w:val="22"/>
          <w:szCs w:val="22"/>
        </w:rPr>
        <w:t>Ланец О. В.,</w:t>
      </w:r>
    </w:p>
    <w:p w:rsidR="00667E25" w:rsidRDefault="008742E9" w:rsidP="008742E9">
      <w:pPr>
        <w:jc w:val="right"/>
        <w:rPr>
          <w:color w:val="000000"/>
          <w:sz w:val="22"/>
          <w:szCs w:val="22"/>
        </w:rPr>
      </w:pPr>
      <w:r w:rsidRPr="008742E9">
        <w:rPr>
          <w:color w:val="000000"/>
          <w:sz w:val="22"/>
          <w:szCs w:val="22"/>
        </w:rPr>
        <w:t>студентка 5-го курса</w:t>
      </w:r>
    </w:p>
    <w:p w:rsidR="008742E9" w:rsidRPr="008742E9" w:rsidRDefault="008742E9" w:rsidP="008742E9">
      <w:pPr>
        <w:jc w:val="right"/>
        <w:rPr>
          <w:color w:val="000000"/>
          <w:sz w:val="22"/>
          <w:szCs w:val="22"/>
        </w:rPr>
      </w:pPr>
      <w:r w:rsidRPr="008742E9">
        <w:rPr>
          <w:color w:val="000000"/>
          <w:sz w:val="22"/>
          <w:szCs w:val="22"/>
        </w:rPr>
        <w:t xml:space="preserve"> факультета ветеринарной медицины</w:t>
      </w:r>
    </w:p>
    <w:p w:rsidR="008742E9" w:rsidRPr="008742E9" w:rsidRDefault="008742E9" w:rsidP="008742E9">
      <w:pPr>
        <w:jc w:val="right"/>
        <w:rPr>
          <w:color w:val="000000"/>
          <w:sz w:val="22"/>
          <w:szCs w:val="22"/>
        </w:rPr>
      </w:pPr>
      <w:r w:rsidRPr="008742E9">
        <w:rPr>
          <w:color w:val="000000"/>
          <w:sz w:val="22"/>
          <w:szCs w:val="22"/>
        </w:rPr>
        <w:t>Горковенко Н. Е.,</w:t>
      </w:r>
    </w:p>
    <w:p w:rsidR="008742E9" w:rsidRPr="008742E9" w:rsidRDefault="008742E9" w:rsidP="008742E9">
      <w:pPr>
        <w:jc w:val="right"/>
        <w:rPr>
          <w:color w:val="000000"/>
          <w:sz w:val="22"/>
          <w:szCs w:val="22"/>
        </w:rPr>
      </w:pPr>
      <w:r w:rsidRPr="008742E9">
        <w:rPr>
          <w:color w:val="000000"/>
          <w:sz w:val="22"/>
          <w:szCs w:val="22"/>
        </w:rPr>
        <w:t>профессор, доктор биологических наук</w:t>
      </w:r>
    </w:p>
    <w:p w:rsidR="008742E9" w:rsidRPr="008742E9" w:rsidRDefault="008742E9" w:rsidP="008742E9">
      <w:pPr>
        <w:jc w:val="right"/>
        <w:rPr>
          <w:color w:val="000000"/>
          <w:sz w:val="22"/>
          <w:szCs w:val="22"/>
        </w:rPr>
      </w:pPr>
      <w:r w:rsidRPr="008742E9">
        <w:rPr>
          <w:color w:val="000000"/>
          <w:sz w:val="22"/>
          <w:szCs w:val="22"/>
        </w:rPr>
        <w:t>Куб</w:t>
      </w:r>
      <w:r w:rsidR="00667E25">
        <w:rPr>
          <w:color w:val="000000"/>
          <w:sz w:val="22"/>
          <w:szCs w:val="22"/>
        </w:rPr>
        <w:t>анский государственный аграрный</w:t>
      </w:r>
    </w:p>
    <w:p w:rsidR="008742E9" w:rsidRPr="008742E9" w:rsidRDefault="008742E9" w:rsidP="008742E9">
      <w:pPr>
        <w:jc w:val="right"/>
        <w:rPr>
          <w:color w:val="000000"/>
          <w:sz w:val="22"/>
          <w:szCs w:val="22"/>
        </w:rPr>
      </w:pPr>
      <w:r w:rsidRPr="008742E9">
        <w:rPr>
          <w:color w:val="000000"/>
          <w:sz w:val="22"/>
          <w:szCs w:val="22"/>
        </w:rPr>
        <w:t>университет имени И. Т. Трубилина</w:t>
      </w:r>
    </w:p>
    <w:p w:rsidR="008742E9" w:rsidRPr="008742E9" w:rsidRDefault="008742E9" w:rsidP="008742E9">
      <w:pPr>
        <w:jc w:val="both"/>
        <w:rPr>
          <w:color w:val="000000"/>
          <w:sz w:val="22"/>
          <w:szCs w:val="22"/>
        </w:rPr>
      </w:pPr>
    </w:p>
    <w:p w:rsidR="008742E9" w:rsidRPr="008742E9" w:rsidRDefault="008742E9" w:rsidP="00667E25">
      <w:pPr>
        <w:ind w:firstLine="426"/>
        <w:jc w:val="both"/>
        <w:rPr>
          <w:color w:val="000000"/>
          <w:sz w:val="22"/>
          <w:szCs w:val="22"/>
        </w:rPr>
      </w:pPr>
      <w:r w:rsidRPr="008742E9">
        <w:rPr>
          <w:color w:val="000000"/>
          <w:sz w:val="22"/>
          <w:szCs w:val="22"/>
        </w:rPr>
        <w:t>АННОТАЦИЯ: Изучена эффективность современных методов диагностики лейкоза крупного рогатого скота.</w:t>
      </w:r>
    </w:p>
    <w:p w:rsidR="008742E9" w:rsidRPr="008742E9" w:rsidRDefault="008742E9" w:rsidP="00667E25">
      <w:pPr>
        <w:ind w:firstLine="426"/>
        <w:jc w:val="both"/>
        <w:rPr>
          <w:color w:val="000000"/>
          <w:sz w:val="22"/>
          <w:szCs w:val="22"/>
          <w:lang w:val="en-US"/>
        </w:rPr>
      </w:pPr>
      <w:r w:rsidRPr="008742E9">
        <w:rPr>
          <w:color w:val="000000"/>
          <w:sz w:val="22"/>
          <w:szCs w:val="22"/>
          <w:lang w:val="en-US"/>
        </w:rPr>
        <w:t>ABSTRACT: The effectiveness of modern methods of diagnosis of leukosis of cattle.</w:t>
      </w:r>
    </w:p>
    <w:p w:rsidR="008742E9" w:rsidRPr="008742E9" w:rsidRDefault="008742E9" w:rsidP="00667E25">
      <w:pPr>
        <w:ind w:firstLine="426"/>
        <w:jc w:val="both"/>
        <w:rPr>
          <w:color w:val="000000"/>
          <w:sz w:val="22"/>
          <w:szCs w:val="22"/>
        </w:rPr>
      </w:pPr>
      <w:r w:rsidRPr="008742E9">
        <w:rPr>
          <w:color w:val="000000"/>
          <w:sz w:val="22"/>
          <w:szCs w:val="22"/>
        </w:rPr>
        <w:t>КЛЮЧЕВЫЕ СЛОВА: лейкоз, диагностика, вирус, РИД, ИФА, ПЦР.</w:t>
      </w:r>
    </w:p>
    <w:p w:rsidR="008742E9" w:rsidRPr="008742E9" w:rsidRDefault="008742E9" w:rsidP="00667E25">
      <w:pPr>
        <w:ind w:firstLine="426"/>
        <w:jc w:val="both"/>
        <w:rPr>
          <w:color w:val="000000"/>
          <w:sz w:val="22"/>
          <w:szCs w:val="22"/>
          <w:lang w:val="en-US"/>
        </w:rPr>
      </w:pPr>
      <w:r w:rsidRPr="008742E9">
        <w:rPr>
          <w:color w:val="000000"/>
          <w:sz w:val="22"/>
          <w:szCs w:val="22"/>
          <w:lang w:val="en-US"/>
        </w:rPr>
        <w:t>KEYWORDS: leukemia, diagnosis, virus, RID, IPA, PCR.</w:t>
      </w:r>
    </w:p>
    <w:p w:rsidR="008742E9" w:rsidRPr="008742E9" w:rsidRDefault="008742E9" w:rsidP="00667E25">
      <w:pPr>
        <w:ind w:firstLine="426"/>
        <w:jc w:val="both"/>
        <w:rPr>
          <w:color w:val="000000"/>
          <w:sz w:val="22"/>
          <w:szCs w:val="22"/>
          <w:highlight w:val="yellow"/>
          <w:lang w:val="en-US"/>
        </w:rPr>
      </w:pPr>
    </w:p>
    <w:p w:rsidR="008742E9" w:rsidRPr="008742E9" w:rsidRDefault="008742E9" w:rsidP="00667E25">
      <w:pPr>
        <w:ind w:firstLine="426"/>
        <w:jc w:val="both"/>
        <w:rPr>
          <w:color w:val="000000"/>
          <w:sz w:val="22"/>
          <w:szCs w:val="22"/>
        </w:rPr>
      </w:pPr>
      <w:r w:rsidRPr="008742E9">
        <w:rPr>
          <w:color w:val="000000"/>
          <w:sz w:val="22"/>
          <w:szCs w:val="22"/>
        </w:rPr>
        <w:t>Первый случай лейкоза крупного рогатого скота в Краснода</w:t>
      </w:r>
      <w:r w:rsidRPr="008742E9">
        <w:rPr>
          <w:color w:val="000000"/>
          <w:sz w:val="22"/>
          <w:szCs w:val="22"/>
        </w:rPr>
        <w:t>р</w:t>
      </w:r>
      <w:r w:rsidRPr="008742E9">
        <w:rPr>
          <w:color w:val="000000"/>
          <w:sz w:val="22"/>
          <w:szCs w:val="22"/>
        </w:rPr>
        <w:t>ском крае зарегистрирован в 1962 году. За 6 месяцев 2016 года и</w:t>
      </w:r>
      <w:r w:rsidRPr="008742E9">
        <w:rPr>
          <w:color w:val="000000"/>
          <w:sz w:val="22"/>
          <w:szCs w:val="22"/>
        </w:rPr>
        <w:t>н</w:t>
      </w:r>
      <w:r w:rsidRPr="008742E9">
        <w:rPr>
          <w:color w:val="000000"/>
          <w:sz w:val="22"/>
          <w:szCs w:val="22"/>
        </w:rPr>
        <w:t>тенсивность заражения вирусом ВЛКРС составила свыше 30 % в двух районах Краснодарского края, от 10 % до 25 % в двадцати с</w:t>
      </w:r>
      <w:r w:rsidRPr="008742E9">
        <w:rPr>
          <w:color w:val="000000"/>
          <w:sz w:val="22"/>
          <w:szCs w:val="22"/>
        </w:rPr>
        <w:t>е</w:t>
      </w:r>
      <w:r w:rsidRPr="008742E9">
        <w:rPr>
          <w:color w:val="000000"/>
          <w:sz w:val="22"/>
          <w:szCs w:val="22"/>
        </w:rPr>
        <w:t>ми районах [5].</w:t>
      </w:r>
    </w:p>
    <w:p w:rsidR="008742E9" w:rsidRPr="008742E9" w:rsidRDefault="008742E9" w:rsidP="00667E25">
      <w:pPr>
        <w:ind w:firstLine="426"/>
        <w:jc w:val="both"/>
        <w:rPr>
          <w:color w:val="000000"/>
          <w:sz w:val="22"/>
          <w:szCs w:val="22"/>
        </w:rPr>
      </w:pPr>
      <w:r w:rsidRPr="008742E9">
        <w:rPr>
          <w:color w:val="000000"/>
          <w:sz w:val="22"/>
          <w:szCs w:val="22"/>
        </w:rPr>
        <w:t>Болезнь наносит значительный экономический ущерб, у бол</w:t>
      </w:r>
      <w:r w:rsidRPr="008742E9">
        <w:rPr>
          <w:color w:val="000000"/>
          <w:sz w:val="22"/>
          <w:szCs w:val="22"/>
        </w:rPr>
        <w:t>ь</w:t>
      </w:r>
      <w:r w:rsidRPr="008742E9">
        <w:rPr>
          <w:color w:val="000000"/>
          <w:sz w:val="22"/>
          <w:szCs w:val="22"/>
        </w:rPr>
        <w:t>ных животных снижается молочная и мясная продуктивность, пл</w:t>
      </w:r>
      <w:r w:rsidRPr="008742E9">
        <w:rPr>
          <w:color w:val="000000"/>
          <w:sz w:val="22"/>
          <w:szCs w:val="22"/>
        </w:rPr>
        <w:t>е</w:t>
      </w:r>
      <w:r w:rsidRPr="008742E9">
        <w:rPr>
          <w:color w:val="000000"/>
          <w:sz w:val="22"/>
          <w:szCs w:val="22"/>
        </w:rPr>
        <w:t>менные показатели, заболевание приводит к вынужденному убою и выбраковке животных, возникают затраты на проведение диагн</w:t>
      </w:r>
      <w:r w:rsidRPr="008742E9">
        <w:rPr>
          <w:color w:val="000000"/>
          <w:sz w:val="22"/>
          <w:szCs w:val="22"/>
        </w:rPr>
        <w:t>о</w:t>
      </w:r>
      <w:r w:rsidRPr="008742E9">
        <w:rPr>
          <w:color w:val="000000"/>
          <w:sz w:val="22"/>
          <w:szCs w:val="22"/>
        </w:rPr>
        <w:t>стических исследований и противолейкозных мероприятий [5].</w:t>
      </w:r>
    </w:p>
    <w:p w:rsidR="008742E9" w:rsidRPr="008742E9" w:rsidRDefault="008742E9" w:rsidP="00667E25">
      <w:pPr>
        <w:ind w:firstLine="426"/>
        <w:jc w:val="both"/>
        <w:rPr>
          <w:color w:val="000000"/>
          <w:sz w:val="22"/>
          <w:szCs w:val="22"/>
        </w:rPr>
      </w:pPr>
      <w:r w:rsidRPr="008742E9">
        <w:rPr>
          <w:color w:val="000000"/>
          <w:sz w:val="22"/>
          <w:szCs w:val="22"/>
        </w:rPr>
        <w:t>Успех борьбы с лейкозом  во многом зависит от эффективности диагностических методов, используемых для выявления инфицир</w:t>
      </w:r>
      <w:r w:rsidRPr="008742E9">
        <w:rPr>
          <w:color w:val="000000"/>
          <w:sz w:val="22"/>
          <w:szCs w:val="22"/>
        </w:rPr>
        <w:t>о</w:t>
      </w:r>
      <w:r w:rsidRPr="008742E9">
        <w:rPr>
          <w:color w:val="000000"/>
          <w:sz w:val="22"/>
          <w:szCs w:val="22"/>
        </w:rPr>
        <w:t>ванных животных. Поэтому целью данного исследования является оценка лабораторных методов диагностики ВЛКРС. Диагностич</w:t>
      </w:r>
      <w:r w:rsidRPr="008742E9">
        <w:rPr>
          <w:color w:val="000000"/>
          <w:sz w:val="22"/>
          <w:szCs w:val="22"/>
        </w:rPr>
        <w:t>е</w:t>
      </w:r>
      <w:r w:rsidRPr="008742E9">
        <w:rPr>
          <w:color w:val="000000"/>
          <w:sz w:val="22"/>
          <w:szCs w:val="22"/>
        </w:rPr>
        <w:lastRenderedPageBreak/>
        <w:t>ские исследования на лейкоз проводят гематологическими, серол</w:t>
      </w:r>
      <w:r w:rsidRPr="008742E9">
        <w:rPr>
          <w:color w:val="000000"/>
          <w:sz w:val="22"/>
          <w:szCs w:val="22"/>
        </w:rPr>
        <w:t>о</w:t>
      </w:r>
      <w:r w:rsidRPr="008742E9">
        <w:rPr>
          <w:color w:val="000000"/>
          <w:sz w:val="22"/>
          <w:szCs w:val="22"/>
        </w:rPr>
        <w:t>гическими, молекулярно-биологическими, клиническими и пат</w:t>
      </w:r>
      <w:r w:rsidRPr="008742E9">
        <w:rPr>
          <w:color w:val="000000"/>
          <w:sz w:val="22"/>
          <w:szCs w:val="22"/>
        </w:rPr>
        <w:t>о</w:t>
      </w:r>
      <w:r w:rsidRPr="008742E9">
        <w:rPr>
          <w:color w:val="000000"/>
          <w:sz w:val="22"/>
          <w:szCs w:val="22"/>
        </w:rPr>
        <w:t>морфологическими методами [2, 4].</w:t>
      </w:r>
    </w:p>
    <w:p w:rsidR="008742E9" w:rsidRPr="008742E9" w:rsidRDefault="008742E9" w:rsidP="00667E25">
      <w:pPr>
        <w:ind w:firstLine="426"/>
        <w:jc w:val="both"/>
        <w:rPr>
          <w:color w:val="000000"/>
          <w:sz w:val="22"/>
          <w:szCs w:val="22"/>
        </w:rPr>
      </w:pPr>
      <w:r w:rsidRPr="008742E9">
        <w:rPr>
          <w:color w:val="000000"/>
          <w:sz w:val="22"/>
          <w:szCs w:val="22"/>
        </w:rPr>
        <w:t>Гематологическим методом можно выявить лейкоз на более ранних сроках развития данного заболевания. Объектом гематол</w:t>
      </w:r>
      <w:r w:rsidRPr="008742E9">
        <w:rPr>
          <w:color w:val="000000"/>
          <w:sz w:val="22"/>
          <w:szCs w:val="22"/>
        </w:rPr>
        <w:t>о</w:t>
      </w:r>
      <w:r w:rsidRPr="008742E9">
        <w:rPr>
          <w:color w:val="000000"/>
          <w:sz w:val="22"/>
          <w:szCs w:val="22"/>
        </w:rPr>
        <w:t>гического исследования является кровь, пунктаты костного мозга, селезенка, лимфоузлы. В периферической крови при заболевании обнаруживают повышение лейкоцитов лимфоидного ряда, слабо дифференцированные клетки, атипичные клетки кроветворных о</w:t>
      </w:r>
      <w:r w:rsidRPr="008742E9">
        <w:rPr>
          <w:color w:val="000000"/>
          <w:sz w:val="22"/>
          <w:szCs w:val="22"/>
        </w:rPr>
        <w:t>р</w:t>
      </w:r>
      <w:r w:rsidRPr="008742E9">
        <w:rPr>
          <w:color w:val="000000"/>
          <w:sz w:val="22"/>
          <w:szCs w:val="22"/>
        </w:rPr>
        <w:t>ганов. Результаты исследований оцениваются с помощь «лейкозных ключей», основанных на количественных показателях лимфоцитов [1, 2].</w:t>
      </w:r>
    </w:p>
    <w:p w:rsidR="008742E9" w:rsidRPr="008742E9" w:rsidRDefault="008742E9" w:rsidP="00667E25">
      <w:pPr>
        <w:ind w:firstLine="426"/>
        <w:jc w:val="both"/>
        <w:rPr>
          <w:color w:val="000000"/>
          <w:sz w:val="22"/>
          <w:szCs w:val="22"/>
        </w:rPr>
      </w:pPr>
      <w:r w:rsidRPr="008742E9">
        <w:rPr>
          <w:color w:val="000000"/>
          <w:sz w:val="22"/>
          <w:szCs w:val="22"/>
        </w:rPr>
        <w:t>В ветеринарных лабораториях в настоящее время основным диагностическим методом остается реакция иммунодиффузии (РИД), основанная на выявлении в сыворотке крови специфических антител к антигенам вируса лейкоза крупного рогатого скота (ВЛКРС). После заражения животного антитела к вирусу лейкоза крупного рогатого скота появляются уже через 3-9 недель и в теч</w:t>
      </w:r>
      <w:r w:rsidRPr="008742E9">
        <w:rPr>
          <w:color w:val="000000"/>
          <w:sz w:val="22"/>
          <w:szCs w:val="22"/>
        </w:rPr>
        <w:t>е</w:t>
      </w:r>
      <w:r w:rsidRPr="008742E9">
        <w:rPr>
          <w:color w:val="000000"/>
          <w:sz w:val="22"/>
          <w:szCs w:val="22"/>
        </w:rPr>
        <w:t>нии всей жизни находятся в организме. Диагностика заболевания методом РИД усложняется в скрытый (латентный) период забол</w:t>
      </w:r>
      <w:r w:rsidRPr="008742E9">
        <w:rPr>
          <w:color w:val="000000"/>
          <w:sz w:val="22"/>
          <w:szCs w:val="22"/>
        </w:rPr>
        <w:t>е</w:t>
      </w:r>
      <w:r w:rsidRPr="008742E9">
        <w:rPr>
          <w:color w:val="000000"/>
          <w:sz w:val="22"/>
          <w:szCs w:val="22"/>
        </w:rPr>
        <w:t>вания, когда в крови отсутствуют антитела к вирусу. Скрытый п</w:t>
      </w:r>
      <w:r w:rsidRPr="008742E9">
        <w:rPr>
          <w:color w:val="000000"/>
          <w:sz w:val="22"/>
          <w:szCs w:val="22"/>
        </w:rPr>
        <w:t>е</w:t>
      </w:r>
      <w:r w:rsidRPr="008742E9">
        <w:rPr>
          <w:color w:val="000000"/>
          <w:sz w:val="22"/>
          <w:szCs w:val="22"/>
        </w:rPr>
        <w:t>риод может продолжаться от 3 недель до нескольких месяцев. При   постепенном выведении из стада РИД-позитивных животных, во</w:t>
      </w:r>
      <w:r w:rsidRPr="008742E9">
        <w:rPr>
          <w:color w:val="000000"/>
          <w:sz w:val="22"/>
          <w:szCs w:val="22"/>
        </w:rPr>
        <w:t>з</w:t>
      </w:r>
      <w:r w:rsidRPr="008742E9">
        <w:rPr>
          <w:color w:val="000000"/>
          <w:sz w:val="22"/>
          <w:szCs w:val="22"/>
        </w:rPr>
        <w:t>можно добиться его оздоровления, но уже в оздоровленных стадах, не имевших контактов с другими, выявляют животных уже через несколько месяцев или даже лет с антителами к ВЛКРС [2].</w:t>
      </w:r>
    </w:p>
    <w:p w:rsidR="008742E9" w:rsidRPr="008742E9" w:rsidRDefault="008742E9" w:rsidP="00667E25">
      <w:pPr>
        <w:ind w:firstLine="426"/>
        <w:jc w:val="both"/>
        <w:rPr>
          <w:color w:val="000000"/>
          <w:sz w:val="22"/>
          <w:szCs w:val="22"/>
        </w:rPr>
      </w:pPr>
      <w:r w:rsidRPr="008742E9">
        <w:rPr>
          <w:color w:val="000000"/>
          <w:sz w:val="22"/>
          <w:szCs w:val="22"/>
        </w:rPr>
        <w:t>Метод иммуноферментного анализа (ИФА) основан на прим</w:t>
      </w:r>
      <w:r w:rsidRPr="008742E9">
        <w:rPr>
          <w:color w:val="000000"/>
          <w:sz w:val="22"/>
          <w:szCs w:val="22"/>
        </w:rPr>
        <w:t>е</w:t>
      </w:r>
      <w:r w:rsidRPr="008742E9">
        <w:rPr>
          <w:color w:val="000000"/>
          <w:sz w:val="22"/>
          <w:szCs w:val="22"/>
        </w:rPr>
        <w:t>нении антивидового конъюгата с использованием ферментов-маркеров. По сравнению с РИД чувствительность ИФА значительно выше, с помощью ИФА так же можно обнаружить антитела к ВЛКРС в моче или молоке. О высокой информативности ИФА в исследовании проб молока от инфицированных коров отмечают Nguyen V.K., Maes R.F., они исследовали 375 проб сыворотки крови и 150 проб молока от инфицированных ВЛКРС коров и установили, что ИФА позволяет обнаружить наличие антител к ВЛКРС в пробах молока от стада с соотношением инфицированности и здорового поголовья в среднем на 1:13 [2, 3].</w:t>
      </w:r>
    </w:p>
    <w:p w:rsidR="008742E9" w:rsidRPr="008742E9" w:rsidRDefault="008742E9" w:rsidP="00667E25">
      <w:pPr>
        <w:ind w:firstLine="426"/>
        <w:jc w:val="both"/>
        <w:rPr>
          <w:color w:val="000000"/>
          <w:sz w:val="22"/>
          <w:szCs w:val="22"/>
        </w:rPr>
      </w:pPr>
      <w:r w:rsidRPr="008742E9">
        <w:rPr>
          <w:color w:val="000000"/>
          <w:sz w:val="22"/>
          <w:szCs w:val="22"/>
        </w:rPr>
        <w:lastRenderedPageBreak/>
        <w:t>Перспективным методом диагностики лейкоза является пол</w:t>
      </w:r>
      <w:r w:rsidRPr="008742E9">
        <w:rPr>
          <w:color w:val="000000"/>
          <w:sz w:val="22"/>
          <w:szCs w:val="22"/>
        </w:rPr>
        <w:t>и</w:t>
      </w:r>
      <w:r w:rsidRPr="008742E9">
        <w:rPr>
          <w:color w:val="000000"/>
          <w:sz w:val="22"/>
          <w:szCs w:val="22"/>
        </w:rPr>
        <w:t>меразная цепная реакция (ПЦР). Метод ПЦР позволяет выявить провирусную ДНК или вирусную РНК в образце крови животного уже через 1-2 недели после заражения. Но данным метод нельзя в</w:t>
      </w:r>
      <w:r w:rsidRPr="008742E9">
        <w:rPr>
          <w:color w:val="000000"/>
          <w:sz w:val="22"/>
          <w:szCs w:val="22"/>
        </w:rPr>
        <w:t>ы</w:t>
      </w:r>
      <w:r w:rsidRPr="008742E9">
        <w:rPr>
          <w:color w:val="000000"/>
          <w:sz w:val="22"/>
          <w:szCs w:val="22"/>
        </w:rPr>
        <w:t>явить вирус лейкоза в биологических жидкостях, в которых могут содержаться инфицированные лимфоциты (молоко, моча, слюна, истечения, сперма и т. д). В настоящее время исследования методом ПЦР сдерживаются радом факторов, одним из которых является высокая стоимость реактивов [1, 2, 3].</w:t>
      </w:r>
    </w:p>
    <w:p w:rsidR="008742E9" w:rsidRDefault="008742E9" w:rsidP="003B6CC8">
      <w:pPr>
        <w:ind w:firstLine="426"/>
        <w:jc w:val="both"/>
        <w:rPr>
          <w:color w:val="000000"/>
          <w:sz w:val="22"/>
          <w:szCs w:val="22"/>
        </w:rPr>
      </w:pPr>
      <w:r w:rsidRPr="008742E9">
        <w:rPr>
          <w:color w:val="000000"/>
          <w:sz w:val="22"/>
          <w:szCs w:val="22"/>
        </w:rPr>
        <w:t>Проанализировав литературные данные можно сказать, что с</w:t>
      </w:r>
      <w:r w:rsidRPr="008742E9">
        <w:rPr>
          <w:color w:val="000000"/>
          <w:sz w:val="22"/>
          <w:szCs w:val="22"/>
        </w:rPr>
        <w:t>а</w:t>
      </w:r>
      <w:r w:rsidRPr="008742E9">
        <w:rPr>
          <w:color w:val="000000"/>
          <w:sz w:val="22"/>
          <w:szCs w:val="22"/>
        </w:rPr>
        <w:t>мым чувствительным и эффективным методом диагностики ВЛКРС является ПЦР, на втором месте находится ИФА и на третьем РИД. В хозяйствах, для ускорения оздоровления стад КРС от вируса ле</w:t>
      </w:r>
      <w:r w:rsidRPr="008742E9">
        <w:rPr>
          <w:color w:val="000000"/>
          <w:sz w:val="22"/>
          <w:szCs w:val="22"/>
        </w:rPr>
        <w:t>й</w:t>
      </w:r>
      <w:r w:rsidRPr="008742E9">
        <w:rPr>
          <w:color w:val="000000"/>
          <w:sz w:val="22"/>
          <w:szCs w:val="22"/>
        </w:rPr>
        <w:t>коза, целесообразно использовать методы РИД и непрямого ИФА совместно, для выявления непосредственно вируса или провируса у инфицированных животных [3].</w:t>
      </w:r>
    </w:p>
    <w:p w:rsidR="00384DE6" w:rsidRPr="008742E9" w:rsidRDefault="00384DE6" w:rsidP="003B6CC8">
      <w:pPr>
        <w:ind w:firstLine="426"/>
        <w:jc w:val="both"/>
        <w:rPr>
          <w:color w:val="000000"/>
          <w:sz w:val="22"/>
          <w:szCs w:val="22"/>
        </w:rPr>
      </w:pPr>
    </w:p>
    <w:p w:rsidR="008742E9" w:rsidRPr="008742E9" w:rsidRDefault="00667E25" w:rsidP="00667E25">
      <w:pPr>
        <w:ind w:firstLine="426"/>
        <w:jc w:val="center"/>
        <w:rPr>
          <w:color w:val="000000"/>
          <w:sz w:val="22"/>
          <w:szCs w:val="22"/>
        </w:rPr>
      </w:pPr>
      <w:r>
        <w:rPr>
          <w:color w:val="000000"/>
          <w:sz w:val="22"/>
          <w:szCs w:val="22"/>
        </w:rPr>
        <w:t>Список литературы</w:t>
      </w:r>
    </w:p>
    <w:p w:rsidR="008742E9" w:rsidRPr="008742E9" w:rsidRDefault="008742E9" w:rsidP="00667E25">
      <w:pPr>
        <w:ind w:firstLine="426"/>
        <w:jc w:val="both"/>
        <w:rPr>
          <w:color w:val="000000"/>
          <w:sz w:val="22"/>
          <w:szCs w:val="22"/>
        </w:rPr>
      </w:pPr>
      <w:r w:rsidRPr="008742E9">
        <w:rPr>
          <w:color w:val="000000"/>
          <w:sz w:val="22"/>
          <w:szCs w:val="22"/>
        </w:rPr>
        <w:t>1. Гаврилова Г. А. Диагностика лейкоза КРС / Г. А. Гаврилова, Ю. А. Макаров, С. В. Бахметьева // Ветеринария. – 2004. –  № 1. – С. 20</w:t>
      </w:r>
      <w:r w:rsidRPr="008742E9">
        <w:rPr>
          <w:sz w:val="24"/>
          <w:szCs w:val="24"/>
        </w:rPr>
        <w:t>-</w:t>
      </w:r>
      <w:r w:rsidRPr="008742E9">
        <w:rPr>
          <w:color w:val="000000"/>
          <w:sz w:val="22"/>
          <w:szCs w:val="22"/>
        </w:rPr>
        <w:t xml:space="preserve">30. </w:t>
      </w:r>
    </w:p>
    <w:p w:rsidR="008742E9" w:rsidRPr="008742E9" w:rsidRDefault="008742E9" w:rsidP="00667E25">
      <w:pPr>
        <w:ind w:firstLine="426"/>
        <w:jc w:val="both"/>
        <w:rPr>
          <w:color w:val="000000"/>
          <w:sz w:val="22"/>
          <w:szCs w:val="22"/>
        </w:rPr>
      </w:pPr>
      <w:r w:rsidRPr="008742E9">
        <w:rPr>
          <w:color w:val="000000"/>
          <w:sz w:val="22"/>
          <w:szCs w:val="22"/>
        </w:rPr>
        <w:t>2. Гулюкин М. И. Состояние и перспективы борьбы с лейкозом крупно рогатого скота / М. И. Гулюкин, Н. В. Замораева, В. А. А</w:t>
      </w:r>
      <w:r w:rsidRPr="008742E9">
        <w:rPr>
          <w:color w:val="000000"/>
          <w:sz w:val="22"/>
          <w:szCs w:val="22"/>
        </w:rPr>
        <w:t>б</w:t>
      </w:r>
      <w:r w:rsidRPr="008742E9">
        <w:rPr>
          <w:color w:val="000000"/>
          <w:sz w:val="22"/>
          <w:szCs w:val="22"/>
        </w:rPr>
        <w:t>рамов // Ветеринария. – 1999. – № 12. – С. 3</w:t>
      </w:r>
      <w:r w:rsidRPr="008742E9">
        <w:rPr>
          <w:sz w:val="24"/>
          <w:szCs w:val="24"/>
        </w:rPr>
        <w:t>-</w:t>
      </w:r>
      <w:r w:rsidRPr="008742E9">
        <w:rPr>
          <w:color w:val="000000"/>
          <w:sz w:val="22"/>
          <w:szCs w:val="22"/>
        </w:rPr>
        <w:t>4.</w:t>
      </w:r>
    </w:p>
    <w:p w:rsidR="008742E9" w:rsidRPr="008742E9" w:rsidRDefault="008742E9" w:rsidP="00667E25">
      <w:pPr>
        <w:ind w:firstLine="426"/>
        <w:jc w:val="both"/>
        <w:rPr>
          <w:color w:val="000000"/>
          <w:sz w:val="22"/>
          <w:szCs w:val="22"/>
        </w:rPr>
      </w:pPr>
      <w:r w:rsidRPr="008742E9">
        <w:rPr>
          <w:color w:val="000000"/>
          <w:sz w:val="22"/>
          <w:szCs w:val="22"/>
        </w:rPr>
        <w:t>3. Мальцева Н. А. Лейкоз крупного рогатого скота: Разработка методов лабораторной диагностики и средств специфической пр</w:t>
      </w:r>
      <w:r w:rsidRPr="008742E9">
        <w:rPr>
          <w:color w:val="000000"/>
          <w:sz w:val="22"/>
          <w:szCs w:val="22"/>
        </w:rPr>
        <w:t>о</w:t>
      </w:r>
      <w:r w:rsidRPr="008742E9">
        <w:rPr>
          <w:color w:val="000000"/>
          <w:sz w:val="22"/>
          <w:szCs w:val="22"/>
        </w:rPr>
        <w:t>филактики : дис. … на соискание учёной степени д-ра биол. наук / Н. А. Мальцева; СКЗНИВИ. – Новочеркасск, 2002. – 197 с.</w:t>
      </w:r>
    </w:p>
    <w:p w:rsidR="008742E9" w:rsidRPr="008742E9" w:rsidRDefault="008742E9" w:rsidP="00667E25">
      <w:pPr>
        <w:ind w:firstLine="426"/>
        <w:jc w:val="both"/>
        <w:rPr>
          <w:rFonts w:eastAsia="Calibri"/>
          <w:sz w:val="22"/>
          <w:szCs w:val="22"/>
          <w:lang w:eastAsia="en-US"/>
        </w:rPr>
      </w:pPr>
      <w:r w:rsidRPr="008742E9">
        <w:rPr>
          <w:rFonts w:eastAsia="Calibri"/>
          <w:color w:val="000000"/>
          <w:sz w:val="22"/>
          <w:szCs w:val="22"/>
          <w:lang w:eastAsia="en-US"/>
        </w:rPr>
        <w:t>4.</w:t>
      </w:r>
      <w:r w:rsidRPr="008742E9">
        <w:rPr>
          <w:rFonts w:eastAsia="Calibri"/>
          <w:sz w:val="22"/>
          <w:szCs w:val="22"/>
          <w:lang w:eastAsia="en-US"/>
        </w:rPr>
        <w:t xml:space="preserve">  Ковалюк Н. В. Современные методы диагностики лейкоза крупного рогатого скота / Н. В. Ковалюк, В. Ф. Сацук, Е. В. М</w:t>
      </w:r>
      <w:r w:rsidRPr="008742E9">
        <w:rPr>
          <w:rFonts w:eastAsia="Calibri"/>
          <w:sz w:val="22"/>
          <w:szCs w:val="22"/>
          <w:lang w:eastAsia="en-US"/>
        </w:rPr>
        <w:t>а</w:t>
      </w:r>
      <w:r w:rsidRPr="008742E9">
        <w:rPr>
          <w:rFonts w:eastAsia="Calibri"/>
          <w:sz w:val="22"/>
          <w:szCs w:val="22"/>
          <w:lang w:eastAsia="en-US"/>
        </w:rPr>
        <w:t>чульская // Ветеринария Кубани. – 2007. –  №1. – С. 7-10.</w:t>
      </w:r>
    </w:p>
    <w:p w:rsidR="008742E9" w:rsidRPr="008742E9" w:rsidRDefault="008742E9" w:rsidP="00667E25">
      <w:pPr>
        <w:ind w:firstLine="426"/>
        <w:jc w:val="both"/>
        <w:rPr>
          <w:rFonts w:eastAsia="Calibri"/>
          <w:color w:val="000000"/>
          <w:sz w:val="22"/>
          <w:szCs w:val="22"/>
          <w:lang w:eastAsia="en-US"/>
        </w:rPr>
      </w:pPr>
      <w:r w:rsidRPr="008742E9">
        <w:rPr>
          <w:rFonts w:eastAsia="Calibri"/>
          <w:color w:val="000000"/>
          <w:sz w:val="22"/>
          <w:szCs w:val="22"/>
          <w:lang w:eastAsia="en-US"/>
        </w:rPr>
        <w:t>5</w:t>
      </w:r>
      <w:r w:rsidRPr="008742E9">
        <w:rPr>
          <w:rFonts w:ascii="Calibri" w:eastAsia="Calibri" w:hAnsi="Calibri"/>
          <w:color w:val="000000"/>
          <w:sz w:val="22"/>
          <w:szCs w:val="22"/>
          <w:lang w:eastAsia="en-US"/>
        </w:rPr>
        <w:t xml:space="preserve">. </w:t>
      </w:r>
      <w:r w:rsidRPr="008742E9">
        <w:rPr>
          <w:rFonts w:eastAsia="Calibri"/>
          <w:color w:val="000000"/>
          <w:sz w:val="22"/>
          <w:szCs w:val="22"/>
          <w:lang w:eastAsia="en-US"/>
        </w:rPr>
        <w:t>Шевкопляс В.Н. Обеспечение эпизоотического благополучия и безопасности в ветеринарно-санитарном отношении продукции животного происхождения российского производства в Краснода</w:t>
      </w:r>
      <w:r w:rsidRPr="008742E9">
        <w:rPr>
          <w:rFonts w:eastAsia="Calibri"/>
          <w:color w:val="000000"/>
          <w:sz w:val="22"/>
          <w:szCs w:val="22"/>
          <w:lang w:eastAsia="en-US"/>
        </w:rPr>
        <w:t>р</w:t>
      </w:r>
      <w:r w:rsidRPr="008742E9">
        <w:rPr>
          <w:rFonts w:eastAsia="Calibri"/>
          <w:color w:val="000000"/>
          <w:sz w:val="22"/>
          <w:szCs w:val="22"/>
          <w:lang w:eastAsia="en-US"/>
        </w:rPr>
        <w:t>ском крае / В. Н. Шевкопляс // Ветеринария. – 2008. – №5. – С. 2</w:t>
      </w:r>
      <w:r w:rsidRPr="008742E9">
        <w:rPr>
          <w:rFonts w:eastAsia="Calibri"/>
          <w:sz w:val="22"/>
          <w:szCs w:val="22"/>
          <w:lang w:eastAsia="en-US"/>
        </w:rPr>
        <w:t>-</w:t>
      </w:r>
      <w:r w:rsidRPr="008742E9">
        <w:rPr>
          <w:rFonts w:eastAsia="Calibri"/>
          <w:color w:val="000000"/>
          <w:sz w:val="22"/>
          <w:szCs w:val="22"/>
          <w:lang w:eastAsia="en-US"/>
        </w:rPr>
        <w:t>5.</w:t>
      </w:r>
    </w:p>
    <w:p w:rsidR="008742E9" w:rsidRPr="008742E9" w:rsidRDefault="008742E9" w:rsidP="008742E9">
      <w:pPr>
        <w:jc w:val="both"/>
        <w:rPr>
          <w:rFonts w:eastAsia="Calibri"/>
          <w:color w:val="000000"/>
          <w:sz w:val="22"/>
          <w:szCs w:val="22"/>
          <w:lang w:eastAsia="en-US"/>
        </w:rPr>
      </w:pPr>
    </w:p>
    <w:p w:rsidR="008742E9" w:rsidRPr="008742E9" w:rsidRDefault="008742E9" w:rsidP="008742E9">
      <w:pPr>
        <w:jc w:val="both"/>
        <w:rPr>
          <w:rFonts w:eastAsia="Calibri"/>
          <w:color w:val="000000"/>
          <w:sz w:val="22"/>
          <w:szCs w:val="22"/>
          <w:lang w:eastAsia="en-US"/>
        </w:rPr>
      </w:pPr>
    </w:p>
    <w:p w:rsidR="008742E9" w:rsidRPr="008742E9" w:rsidRDefault="00667E25" w:rsidP="008742E9">
      <w:pPr>
        <w:jc w:val="both"/>
        <w:rPr>
          <w:rFonts w:eastAsia="Calibri"/>
          <w:sz w:val="22"/>
          <w:szCs w:val="22"/>
          <w:lang w:eastAsia="en-US"/>
        </w:rPr>
      </w:pPr>
      <w:r>
        <w:rPr>
          <w:rFonts w:eastAsia="Calibri"/>
          <w:sz w:val="22"/>
          <w:szCs w:val="22"/>
          <w:lang w:eastAsia="en-US"/>
        </w:rPr>
        <w:lastRenderedPageBreak/>
        <w:t>УДК 619:616</w:t>
      </w:r>
    </w:p>
    <w:p w:rsidR="008742E9" w:rsidRPr="008742E9" w:rsidRDefault="008742E9" w:rsidP="008742E9">
      <w:pPr>
        <w:jc w:val="both"/>
        <w:rPr>
          <w:rFonts w:eastAsia="Calibri"/>
          <w:sz w:val="22"/>
          <w:szCs w:val="22"/>
          <w:lang w:eastAsia="en-US"/>
        </w:rPr>
      </w:pPr>
    </w:p>
    <w:p w:rsidR="008742E9" w:rsidRPr="00667E25" w:rsidRDefault="008742E9" w:rsidP="008742E9">
      <w:pPr>
        <w:jc w:val="center"/>
        <w:rPr>
          <w:rFonts w:eastAsia="Calibri"/>
          <w:b/>
          <w:sz w:val="24"/>
          <w:szCs w:val="22"/>
          <w:lang w:eastAsia="en-US"/>
        </w:rPr>
      </w:pPr>
      <w:r w:rsidRPr="008742E9">
        <w:rPr>
          <w:rFonts w:eastAsia="Calibri"/>
          <w:b/>
          <w:sz w:val="24"/>
          <w:szCs w:val="22"/>
          <w:lang w:eastAsia="en-US"/>
        </w:rPr>
        <w:t xml:space="preserve">Дифференциальная диагностика болезни Марека </w:t>
      </w:r>
      <w:r w:rsidR="00667E25">
        <w:rPr>
          <w:rFonts w:eastAsia="Calibri"/>
          <w:b/>
          <w:sz w:val="24"/>
          <w:szCs w:val="22"/>
          <w:lang w:eastAsia="en-US"/>
        </w:rPr>
        <w:br/>
      </w:r>
      <w:r w:rsidRPr="008742E9">
        <w:rPr>
          <w:rFonts w:eastAsia="Calibri"/>
          <w:b/>
          <w:sz w:val="24"/>
          <w:szCs w:val="22"/>
          <w:lang w:eastAsia="en-US"/>
        </w:rPr>
        <w:t>от лейкоза</w:t>
      </w:r>
      <w:r w:rsidRPr="00667E25">
        <w:rPr>
          <w:rFonts w:eastAsia="Calibri"/>
          <w:b/>
          <w:sz w:val="24"/>
          <w:szCs w:val="22"/>
          <w:lang w:eastAsia="en-US"/>
        </w:rPr>
        <w:t xml:space="preserve"> </w:t>
      </w:r>
      <w:r w:rsidRPr="008742E9">
        <w:rPr>
          <w:rFonts w:eastAsia="Calibri"/>
          <w:b/>
          <w:sz w:val="24"/>
          <w:szCs w:val="22"/>
          <w:lang w:eastAsia="en-US"/>
        </w:rPr>
        <w:t>птиц</w:t>
      </w:r>
      <w:r w:rsidRPr="00667E25">
        <w:rPr>
          <w:rFonts w:eastAsia="Calibri"/>
          <w:b/>
          <w:sz w:val="24"/>
          <w:szCs w:val="22"/>
          <w:lang w:eastAsia="en-US"/>
        </w:rPr>
        <w:t xml:space="preserve"> </w:t>
      </w:r>
      <w:r w:rsidRPr="00667E25">
        <w:rPr>
          <w:rFonts w:eastAsia="Calibri"/>
          <w:b/>
          <w:sz w:val="24"/>
          <w:szCs w:val="22"/>
          <w:lang w:eastAsia="en-US"/>
        </w:rPr>
        <w:tab/>
      </w:r>
    </w:p>
    <w:p w:rsidR="008742E9" w:rsidRPr="00024398" w:rsidRDefault="008742E9" w:rsidP="008742E9">
      <w:pPr>
        <w:jc w:val="center"/>
        <w:rPr>
          <w:rFonts w:eastAsia="Calibri"/>
          <w:b/>
          <w:sz w:val="24"/>
          <w:szCs w:val="22"/>
          <w:lang w:val="en-US" w:eastAsia="en-US"/>
        </w:rPr>
      </w:pPr>
      <w:r w:rsidRPr="008742E9">
        <w:rPr>
          <w:rFonts w:eastAsia="Calibri"/>
          <w:b/>
          <w:sz w:val="24"/>
          <w:szCs w:val="22"/>
          <w:lang w:val="en-US" w:eastAsia="en-US"/>
        </w:rPr>
        <w:t>Differential</w:t>
      </w:r>
      <w:r w:rsidRPr="00024398">
        <w:rPr>
          <w:rFonts w:eastAsia="Calibri"/>
          <w:b/>
          <w:sz w:val="24"/>
          <w:szCs w:val="22"/>
          <w:lang w:val="en-US" w:eastAsia="en-US"/>
        </w:rPr>
        <w:t xml:space="preserve"> </w:t>
      </w:r>
      <w:r w:rsidRPr="008742E9">
        <w:rPr>
          <w:rFonts w:eastAsia="Calibri"/>
          <w:b/>
          <w:sz w:val="24"/>
          <w:szCs w:val="22"/>
          <w:lang w:val="en-US" w:eastAsia="en-US"/>
        </w:rPr>
        <w:t>diagnosis</w:t>
      </w:r>
      <w:r w:rsidRPr="00024398">
        <w:rPr>
          <w:rFonts w:eastAsia="Calibri"/>
          <w:b/>
          <w:sz w:val="24"/>
          <w:szCs w:val="22"/>
          <w:lang w:val="en-US" w:eastAsia="en-US"/>
        </w:rPr>
        <w:t xml:space="preserve"> </w:t>
      </w:r>
      <w:r w:rsidRPr="008742E9">
        <w:rPr>
          <w:rFonts w:eastAsia="Calibri"/>
          <w:b/>
          <w:sz w:val="24"/>
          <w:szCs w:val="22"/>
          <w:lang w:val="en-US" w:eastAsia="en-US"/>
        </w:rPr>
        <w:t>of</w:t>
      </w:r>
      <w:r w:rsidRPr="00024398">
        <w:rPr>
          <w:rFonts w:eastAsia="Calibri"/>
          <w:b/>
          <w:sz w:val="24"/>
          <w:szCs w:val="22"/>
          <w:lang w:val="en-US" w:eastAsia="en-US"/>
        </w:rPr>
        <w:t xml:space="preserve"> </w:t>
      </w:r>
      <w:r w:rsidRPr="008742E9">
        <w:rPr>
          <w:rFonts w:eastAsia="Calibri"/>
          <w:b/>
          <w:sz w:val="24"/>
          <w:szCs w:val="22"/>
          <w:lang w:val="en-US" w:eastAsia="en-US"/>
        </w:rPr>
        <w:t>Marek</w:t>
      </w:r>
      <w:r w:rsidRPr="00024398">
        <w:rPr>
          <w:rFonts w:eastAsia="Calibri"/>
          <w:b/>
          <w:sz w:val="24"/>
          <w:szCs w:val="22"/>
          <w:lang w:val="en-US" w:eastAsia="en-US"/>
        </w:rPr>
        <w:t>'</w:t>
      </w:r>
      <w:r w:rsidRPr="008742E9">
        <w:rPr>
          <w:rFonts w:eastAsia="Calibri"/>
          <w:b/>
          <w:sz w:val="24"/>
          <w:szCs w:val="22"/>
          <w:lang w:val="en-US" w:eastAsia="en-US"/>
        </w:rPr>
        <w:t>s</w:t>
      </w:r>
      <w:r w:rsidRPr="00024398">
        <w:rPr>
          <w:rFonts w:eastAsia="Calibri"/>
          <w:b/>
          <w:sz w:val="24"/>
          <w:szCs w:val="22"/>
          <w:lang w:val="en-US" w:eastAsia="en-US"/>
        </w:rPr>
        <w:t xml:space="preserve"> </w:t>
      </w:r>
      <w:r w:rsidRPr="008742E9">
        <w:rPr>
          <w:rFonts w:eastAsia="Calibri"/>
          <w:b/>
          <w:sz w:val="24"/>
          <w:szCs w:val="22"/>
          <w:lang w:val="en-US" w:eastAsia="en-US"/>
        </w:rPr>
        <w:t>disease</w:t>
      </w:r>
      <w:r w:rsidRPr="00024398">
        <w:rPr>
          <w:rFonts w:eastAsia="Calibri"/>
          <w:b/>
          <w:sz w:val="24"/>
          <w:szCs w:val="22"/>
          <w:lang w:val="en-US" w:eastAsia="en-US"/>
        </w:rPr>
        <w:t xml:space="preserve"> </w:t>
      </w:r>
      <w:r w:rsidRPr="008742E9">
        <w:rPr>
          <w:rFonts w:eastAsia="Calibri"/>
          <w:b/>
          <w:sz w:val="24"/>
          <w:szCs w:val="22"/>
          <w:lang w:val="en-US" w:eastAsia="en-US"/>
        </w:rPr>
        <w:t>from</w:t>
      </w:r>
      <w:r w:rsidRPr="00024398">
        <w:rPr>
          <w:rFonts w:eastAsia="Calibri"/>
          <w:b/>
          <w:sz w:val="24"/>
          <w:szCs w:val="22"/>
          <w:lang w:val="en-US" w:eastAsia="en-US"/>
        </w:rPr>
        <w:t xml:space="preserve"> </w:t>
      </w:r>
    </w:p>
    <w:p w:rsidR="008742E9" w:rsidRPr="00024398" w:rsidRDefault="008742E9" w:rsidP="008742E9">
      <w:pPr>
        <w:jc w:val="center"/>
        <w:rPr>
          <w:rFonts w:eastAsia="Calibri"/>
          <w:b/>
          <w:sz w:val="24"/>
          <w:szCs w:val="22"/>
          <w:lang w:val="en-US" w:eastAsia="en-US"/>
        </w:rPr>
      </w:pPr>
      <w:r w:rsidRPr="008742E9">
        <w:rPr>
          <w:rFonts w:eastAsia="Calibri"/>
          <w:b/>
          <w:sz w:val="24"/>
          <w:szCs w:val="22"/>
          <w:lang w:val="en-US" w:eastAsia="en-US"/>
        </w:rPr>
        <w:t>avian</w:t>
      </w:r>
      <w:r w:rsidRPr="00024398">
        <w:rPr>
          <w:rFonts w:eastAsia="Calibri"/>
          <w:b/>
          <w:sz w:val="24"/>
          <w:szCs w:val="22"/>
          <w:lang w:val="en-US" w:eastAsia="en-US"/>
        </w:rPr>
        <w:t xml:space="preserve"> </w:t>
      </w:r>
      <w:r w:rsidRPr="008742E9">
        <w:rPr>
          <w:rFonts w:eastAsia="Calibri"/>
          <w:b/>
          <w:sz w:val="24"/>
          <w:szCs w:val="22"/>
          <w:lang w:val="en-US" w:eastAsia="en-US"/>
        </w:rPr>
        <w:t>leukosis</w:t>
      </w:r>
    </w:p>
    <w:p w:rsidR="008742E9" w:rsidRPr="00024398" w:rsidRDefault="008742E9" w:rsidP="008742E9">
      <w:pPr>
        <w:jc w:val="both"/>
        <w:rPr>
          <w:rFonts w:eastAsia="Calibri"/>
          <w:sz w:val="22"/>
          <w:szCs w:val="22"/>
          <w:lang w:val="en-US" w:eastAsia="en-US"/>
        </w:rPr>
      </w:pPr>
    </w:p>
    <w:p w:rsidR="008742E9" w:rsidRPr="00024398" w:rsidRDefault="008742E9" w:rsidP="008742E9">
      <w:pPr>
        <w:jc w:val="right"/>
        <w:rPr>
          <w:rFonts w:eastAsia="Calibri"/>
          <w:sz w:val="22"/>
          <w:szCs w:val="22"/>
          <w:lang w:val="en-US" w:eastAsia="en-US"/>
        </w:rPr>
      </w:pPr>
      <w:r w:rsidRPr="008742E9">
        <w:rPr>
          <w:rFonts w:eastAsia="Calibri"/>
          <w:sz w:val="22"/>
          <w:szCs w:val="22"/>
          <w:lang w:eastAsia="en-US"/>
        </w:rPr>
        <w:t>Левина</w:t>
      </w:r>
      <w:r w:rsidRPr="00024398">
        <w:rPr>
          <w:rFonts w:eastAsia="Calibri"/>
          <w:sz w:val="22"/>
          <w:szCs w:val="22"/>
          <w:lang w:val="en-US" w:eastAsia="en-US"/>
        </w:rPr>
        <w:t xml:space="preserve"> </w:t>
      </w:r>
      <w:r w:rsidRPr="008742E9">
        <w:rPr>
          <w:rFonts w:eastAsia="Calibri"/>
          <w:sz w:val="22"/>
          <w:szCs w:val="22"/>
          <w:lang w:eastAsia="en-US"/>
        </w:rPr>
        <w:t>Ю</w:t>
      </w:r>
      <w:r w:rsidRPr="00024398">
        <w:rPr>
          <w:rFonts w:eastAsia="Calibri"/>
          <w:sz w:val="22"/>
          <w:szCs w:val="22"/>
          <w:lang w:val="en-US" w:eastAsia="en-US"/>
        </w:rPr>
        <w:t xml:space="preserve">. </w:t>
      </w:r>
      <w:r w:rsidRPr="008742E9">
        <w:rPr>
          <w:rFonts w:eastAsia="Calibri"/>
          <w:sz w:val="22"/>
          <w:szCs w:val="22"/>
          <w:lang w:eastAsia="en-US"/>
        </w:rPr>
        <w:t>А</w:t>
      </w:r>
      <w:r w:rsidRPr="00024398">
        <w:rPr>
          <w:rFonts w:eastAsia="Calibri"/>
          <w:sz w:val="22"/>
          <w:szCs w:val="22"/>
          <w:lang w:val="en-US" w:eastAsia="en-US"/>
        </w:rPr>
        <w:t>.,</w:t>
      </w:r>
    </w:p>
    <w:p w:rsidR="00667E25" w:rsidRDefault="008742E9" w:rsidP="008742E9">
      <w:pPr>
        <w:jc w:val="right"/>
        <w:rPr>
          <w:rFonts w:eastAsia="Calibri"/>
          <w:sz w:val="22"/>
          <w:szCs w:val="22"/>
          <w:lang w:eastAsia="en-US"/>
        </w:rPr>
      </w:pPr>
      <w:r w:rsidRPr="008742E9">
        <w:rPr>
          <w:rFonts w:eastAsia="Calibri"/>
          <w:sz w:val="22"/>
          <w:szCs w:val="22"/>
          <w:lang w:eastAsia="en-US"/>
        </w:rPr>
        <w:t>магистрант 2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Горковенко Н. Е.,</w:t>
      </w:r>
    </w:p>
    <w:p w:rsidR="00667E25" w:rsidRDefault="008742E9" w:rsidP="008742E9">
      <w:pPr>
        <w:jc w:val="right"/>
        <w:rPr>
          <w:rFonts w:eastAsia="Calibri"/>
          <w:sz w:val="22"/>
          <w:szCs w:val="22"/>
          <w:lang w:eastAsia="en-US"/>
        </w:rPr>
      </w:pPr>
      <w:r w:rsidRPr="008742E9">
        <w:rPr>
          <w:rFonts w:eastAsia="Calibri"/>
          <w:sz w:val="22"/>
          <w:szCs w:val="22"/>
          <w:lang w:eastAsia="en-US"/>
        </w:rPr>
        <w:t>п</w:t>
      </w:r>
      <w:r w:rsidR="00667E25">
        <w:rPr>
          <w:rFonts w:eastAsia="Calibri"/>
          <w:sz w:val="22"/>
          <w:szCs w:val="22"/>
          <w:lang w:eastAsia="en-US"/>
        </w:rPr>
        <w:t>рофессор кафедры микробиологии,</w:t>
      </w:r>
    </w:p>
    <w:p w:rsidR="00667E25" w:rsidRDefault="008742E9" w:rsidP="008742E9">
      <w:pPr>
        <w:jc w:val="right"/>
        <w:rPr>
          <w:rFonts w:eastAsia="Calibri"/>
          <w:sz w:val="22"/>
          <w:szCs w:val="22"/>
          <w:lang w:eastAsia="en-US"/>
        </w:rPr>
      </w:pPr>
      <w:r w:rsidRPr="008742E9">
        <w:rPr>
          <w:rFonts w:eastAsia="Calibri"/>
          <w:sz w:val="22"/>
          <w:szCs w:val="22"/>
          <w:lang w:eastAsia="en-US"/>
        </w:rPr>
        <w:t>эпизоотологии и</w:t>
      </w:r>
      <w:r w:rsidR="00667E25">
        <w:rPr>
          <w:rFonts w:eastAsia="Calibri"/>
          <w:sz w:val="22"/>
          <w:szCs w:val="22"/>
          <w:lang w:eastAsia="en-US"/>
        </w:rPr>
        <w:t xml:space="preserve">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АННОТАЦИЯ: Проведен сравнительный анализ клинических признаков, патологоанатомических изменений и гистологической картины при болезни Марека и лейкозе птиц.       </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ABSTRACT: The comparative analysis of clinical signs, pathoan</w:t>
      </w:r>
      <w:r w:rsidRPr="008742E9">
        <w:rPr>
          <w:rFonts w:eastAsia="Calibri"/>
          <w:sz w:val="22"/>
          <w:szCs w:val="22"/>
          <w:lang w:val="en-US" w:eastAsia="en-US"/>
        </w:rPr>
        <w:t>a</w:t>
      </w:r>
      <w:r w:rsidRPr="008742E9">
        <w:rPr>
          <w:rFonts w:eastAsia="Calibri"/>
          <w:sz w:val="22"/>
          <w:szCs w:val="22"/>
          <w:lang w:val="en-US" w:eastAsia="en-US"/>
        </w:rPr>
        <w:t>tomical changes and histologic pattern at Marek's disease and avian le</w:t>
      </w:r>
      <w:r w:rsidRPr="008742E9">
        <w:rPr>
          <w:rFonts w:eastAsia="Calibri"/>
          <w:sz w:val="22"/>
          <w:szCs w:val="22"/>
          <w:lang w:val="en-US" w:eastAsia="en-US"/>
        </w:rPr>
        <w:t>u</w:t>
      </w:r>
      <w:r w:rsidRPr="008742E9">
        <w:rPr>
          <w:rFonts w:eastAsia="Calibri"/>
          <w:sz w:val="22"/>
          <w:szCs w:val="22"/>
          <w:lang w:val="en-US" w:eastAsia="en-US"/>
        </w:rPr>
        <w:t>kosis is carried out.</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КЛЮЧЕВЫЕ СЛОВА: Болезнь Марека, лейкоз птиц, дифф</w:t>
      </w:r>
      <w:r w:rsidRPr="008742E9">
        <w:rPr>
          <w:rFonts w:eastAsia="Calibri"/>
          <w:sz w:val="22"/>
          <w:szCs w:val="22"/>
          <w:lang w:eastAsia="en-US"/>
        </w:rPr>
        <w:t>е</w:t>
      </w:r>
      <w:r w:rsidRPr="008742E9">
        <w:rPr>
          <w:rFonts w:eastAsia="Calibri"/>
          <w:sz w:val="22"/>
          <w:szCs w:val="22"/>
          <w:lang w:eastAsia="en-US"/>
        </w:rPr>
        <w:t>ренциальная диагностика.</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KEYWORDS: Marek’s disease, avian leukosis, differential diagn</w:t>
      </w:r>
      <w:r w:rsidRPr="008742E9">
        <w:rPr>
          <w:rFonts w:eastAsia="Calibri"/>
          <w:sz w:val="22"/>
          <w:szCs w:val="22"/>
          <w:lang w:val="en-US" w:eastAsia="en-US"/>
        </w:rPr>
        <w:t>o</w:t>
      </w:r>
      <w:r w:rsidRPr="008742E9">
        <w:rPr>
          <w:rFonts w:eastAsia="Calibri"/>
          <w:sz w:val="22"/>
          <w:szCs w:val="22"/>
          <w:lang w:val="en-US" w:eastAsia="en-US"/>
        </w:rPr>
        <w:t>sis.</w:t>
      </w:r>
    </w:p>
    <w:p w:rsidR="008742E9" w:rsidRPr="008742E9" w:rsidRDefault="008742E9" w:rsidP="00667E25">
      <w:pPr>
        <w:ind w:firstLine="426"/>
        <w:jc w:val="both"/>
        <w:rPr>
          <w:rFonts w:eastAsia="Calibri"/>
          <w:sz w:val="22"/>
          <w:szCs w:val="22"/>
          <w:lang w:val="en-US"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В условиях промышленного птицеводства, когда на ограниче</w:t>
      </w:r>
      <w:r w:rsidRPr="008742E9">
        <w:rPr>
          <w:rFonts w:eastAsia="Calibri"/>
          <w:sz w:val="22"/>
          <w:szCs w:val="22"/>
          <w:lang w:eastAsia="en-US"/>
        </w:rPr>
        <w:t>н</w:t>
      </w:r>
      <w:r w:rsidRPr="008742E9">
        <w:rPr>
          <w:rFonts w:eastAsia="Calibri"/>
          <w:sz w:val="22"/>
          <w:szCs w:val="22"/>
          <w:lang w:eastAsia="en-US"/>
        </w:rPr>
        <w:t>ной территории содержится большое количество высокопродукти</w:t>
      </w:r>
      <w:r w:rsidRPr="008742E9">
        <w:rPr>
          <w:rFonts w:eastAsia="Calibri"/>
          <w:sz w:val="22"/>
          <w:szCs w:val="22"/>
          <w:lang w:eastAsia="en-US"/>
        </w:rPr>
        <w:t>в</w:t>
      </w:r>
      <w:r w:rsidRPr="008742E9">
        <w:rPr>
          <w:rFonts w:eastAsia="Calibri"/>
          <w:sz w:val="22"/>
          <w:szCs w:val="22"/>
          <w:lang w:eastAsia="en-US"/>
        </w:rPr>
        <w:t>ной породной птицы, в настоящее время все большее распростран</w:t>
      </w:r>
      <w:r w:rsidRPr="008742E9">
        <w:rPr>
          <w:rFonts w:eastAsia="Calibri"/>
          <w:sz w:val="22"/>
          <w:szCs w:val="22"/>
          <w:lang w:eastAsia="en-US"/>
        </w:rPr>
        <w:t>е</w:t>
      </w:r>
      <w:r w:rsidRPr="008742E9">
        <w:rPr>
          <w:rFonts w:eastAsia="Calibri"/>
          <w:sz w:val="22"/>
          <w:szCs w:val="22"/>
          <w:lang w:eastAsia="en-US"/>
        </w:rPr>
        <w:t>ние получают вирусы лейкоза и болезни Марека. Предрасполага</w:t>
      </w:r>
      <w:r w:rsidRPr="008742E9">
        <w:rPr>
          <w:rFonts w:eastAsia="Calibri"/>
          <w:sz w:val="22"/>
          <w:szCs w:val="22"/>
          <w:lang w:eastAsia="en-US"/>
        </w:rPr>
        <w:t>ю</w:t>
      </w:r>
      <w:r w:rsidRPr="008742E9">
        <w:rPr>
          <w:rFonts w:eastAsia="Calibri"/>
          <w:sz w:val="22"/>
          <w:szCs w:val="22"/>
          <w:lang w:eastAsia="en-US"/>
        </w:rPr>
        <w:t>щими факторами для возникновения этих болезней являются: и</w:t>
      </w:r>
      <w:r w:rsidRPr="008742E9">
        <w:rPr>
          <w:rFonts w:eastAsia="Calibri"/>
          <w:sz w:val="22"/>
          <w:szCs w:val="22"/>
          <w:lang w:eastAsia="en-US"/>
        </w:rPr>
        <w:t>н</w:t>
      </w:r>
      <w:r w:rsidRPr="008742E9">
        <w:rPr>
          <w:rFonts w:eastAsia="Calibri"/>
          <w:sz w:val="22"/>
          <w:szCs w:val="22"/>
          <w:lang w:eastAsia="en-US"/>
        </w:rPr>
        <w:t>тенсивное использование, нарушение в хозяйствах санитарных и зоогигиенических норм, использование некачественных кормов в рационе, различные стрессовые факторы.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Основной задачей настоящего исследования являлось изучение характерных признаков, позволяющих дифференцировать болезнь Марека и лейкоз птиц.</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Лейкоз птиц – это хроническое опухолевое заболевание птиц, проявляющееся системным, прогрессирующим патологическим разрастанием кроветворных клеток в органах кроветворения и за их пределами, болезнь вызывают ретровирусы.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Болезнь Марека – высококонтагиозная вирусная болезнь кур и индеек, проявляющаяся</w:t>
      </w:r>
      <w:r w:rsidRPr="008742E9">
        <w:rPr>
          <w:rFonts w:ascii="Calibri" w:hAnsi="Arial"/>
          <w:color w:val="000000"/>
          <w:kern w:val="24"/>
          <w:sz w:val="56"/>
          <w:szCs w:val="56"/>
          <w:lang w:eastAsia="en-US"/>
        </w:rPr>
        <w:t xml:space="preserve"> </w:t>
      </w:r>
      <w:r w:rsidRPr="008742E9">
        <w:rPr>
          <w:rFonts w:eastAsia="Calibri"/>
          <w:sz w:val="22"/>
          <w:szCs w:val="22"/>
          <w:lang w:eastAsia="en-US"/>
        </w:rPr>
        <w:t>симптомами поражения периферической и центральной нервной системы (парезы, параличи) и признаками лимфоидного лейкоза. Этиологическим агентом является герпесв</w:t>
      </w:r>
      <w:r w:rsidRPr="008742E9">
        <w:rPr>
          <w:rFonts w:eastAsia="Calibri"/>
          <w:sz w:val="22"/>
          <w:szCs w:val="22"/>
          <w:lang w:eastAsia="en-US"/>
        </w:rPr>
        <w:t>и</w:t>
      </w:r>
      <w:r w:rsidRPr="008742E9">
        <w:rPr>
          <w:rFonts w:eastAsia="Calibri"/>
          <w:sz w:val="22"/>
          <w:szCs w:val="22"/>
          <w:lang w:eastAsia="en-US"/>
        </w:rPr>
        <w:t>рус [1, 2, 3].</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Диагноз на лейкоз и болезнь Марека ставится комплексно, на основании клинико-эпизоотических данных, патологических и о</w:t>
      </w:r>
      <w:r w:rsidRPr="008742E9">
        <w:rPr>
          <w:rFonts w:eastAsia="Calibri"/>
          <w:sz w:val="22"/>
          <w:szCs w:val="22"/>
          <w:lang w:eastAsia="en-US"/>
        </w:rPr>
        <w:t>р</w:t>
      </w:r>
      <w:r w:rsidRPr="008742E9">
        <w:rPr>
          <w:rFonts w:eastAsia="Calibri"/>
          <w:sz w:val="22"/>
          <w:szCs w:val="22"/>
          <w:lang w:eastAsia="en-US"/>
        </w:rPr>
        <w:t xml:space="preserve">ганолептических и лабораторных методов исследования.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Предварительный диагноз при болезни Марека обычно осн</w:t>
      </w:r>
      <w:r w:rsidRPr="008742E9">
        <w:rPr>
          <w:rFonts w:eastAsia="Calibri"/>
          <w:sz w:val="22"/>
          <w:szCs w:val="22"/>
          <w:lang w:eastAsia="en-US"/>
        </w:rPr>
        <w:t>о</w:t>
      </w:r>
      <w:r w:rsidRPr="008742E9">
        <w:rPr>
          <w:rFonts w:eastAsia="Calibri"/>
          <w:sz w:val="22"/>
          <w:szCs w:val="22"/>
          <w:lang w:eastAsia="en-US"/>
        </w:rPr>
        <w:t>вывается на клинических симптомах (параличи и парезы, пораж</w:t>
      </w:r>
      <w:r w:rsidRPr="008742E9">
        <w:rPr>
          <w:rFonts w:eastAsia="Calibri"/>
          <w:sz w:val="22"/>
          <w:szCs w:val="22"/>
          <w:lang w:eastAsia="en-US"/>
        </w:rPr>
        <w:t>е</w:t>
      </w:r>
      <w:r w:rsidRPr="008742E9">
        <w:rPr>
          <w:rFonts w:eastAsia="Calibri"/>
          <w:sz w:val="22"/>
          <w:szCs w:val="22"/>
          <w:lang w:eastAsia="en-US"/>
        </w:rPr>
        <w:t>ния глаз). При вскрытии павшей птицы наибольшее значение им</w:t>
      </w:r>
      <w:r w:rsidRPr="008742E9">
        <w:rPr>
          <w:rFonts w:eastAsia="Calibri"/>
          <w:sz w:val="22"/>
          <w:szCs w:val="22"/>
          <w:lang w:eastAsia="en-US"/>
        </w:rPr>
        <w:t>е</w:t>
      </w:r>
      <w:r w:rsidRPr="008742E9">
        <w:rPr>
          <w:rFonts w:eastAsia="Calibri"/>
          <w:sz w:val="22"/>
          <w:szCs w:val="22"/>
          <w:lang w:eastAsia="en-US"/>
        </w:rPr>
        <w:t>ют очаговые или диффузные опухоли периферических нервов, мышц и внутренних органов.</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При постановке диагноза на лейкоз необходимо исключить б</w:t>
      </w:r>
      <w:r w:rsidRPr="008742E9">
        <w:rPr>
          <w:rFonts w:eastAsia="Calibri"/>
          <w:sz w:val="22"/>
          <w:szCs w:val="22"/>
          <w:lang w:eastAsia="en-US"/>
        </w:rPr>
        <w:t>о</w:t>
      </w:r>
      <w:r w:rsidRPr="008742E9">
        <w:rPr>
          <w:rFonts w:eastAsia="Calibri"/>
          <w:sz w:val="22"/>
          <w:szCs w:val="22"/>
          <w:lang w:eastAsia="en-US"/>
        </w:rPr>
        <w:t>лезнь Марека. Серьезными для дифференциации лейкоза от болезни Марека признаками на вскрытии являются: отсутствие при лейкозе изменений в тазобедренных и плечевых нервных стволах, отсу</w:t>
      </w:r>
      <w:r w:rsidRPr="008742E9">
        <w:rPr>
          <w:rFonts w:eastAsia="Calibri"/>
          <w:sz w:val="22"/>
          <w:szCs w:val="22"/>
          <w:lang w:eastAsia="en-US"/>
        </w:rPr>
        <w:t>т</w:t>
      </w:r>
      <w:r w:rsidRPr="008742E9">
        <w:rPr>
          <w:rFonts w:eastAsia="Calibri"/>
          <w:sz w:val="22"/>
          <w:szCs w:val="22"/>
          <w:lang w:eastAsia="en-US"/>
        </w:rPr>
        <w:t>ствие при нем во внутренних органах и на коже некрозов, преим</w:t>
      </w:r>
      <w:r w:rsidRPr="008742E9">
        <w:rPr>
          <w:rFonts w:eastAsia="Calibri"/>
          <w:sz w:val="22"/>
          <w:szCs w:val="22"/>
          <w:lang w:eastAsia="en-US"/>
        </w:rPr>
        <w:t>у</w:t>
      </w:r>
      <w:r w:rsidRPr="008742E9">
        <w:rPr>
          <w:rFonts w:eastAsia="Calibri"/>
          <w:sz w:val="22"/>
          <w:szCs w:val="22"/>
          <w:lang w:eastAsia="en-US"/>
        </w:rPr>
        <w:t>щественное поражение печени, селезенки, почек, клоакальной су</w:t>
      </w:r>
      <w:r w:rsidRPr="008742E9">
        <w:rPr>
          <w:rFonts w:eastAsia="Calibri"/>
          <w:sz w:val="22"/>
          <w:szCs w:val="22"/>
          <w:lang w:eastAsia="en-US"/>
        </w:rPr>
        <w:t>м</w:t>
      </w:r>
      <w:r w:rsidRPr="008742E9">
        <w:rPr>
          <w:rFonts w:eastAsia="Calibri"/>
          <w:sz w:val="22"/>
          <w:szCs w:val="22"/>
          <w:lang w:eastAsia="en-US"/>
        </w:rPr>
        <w:t>ки, наличие на поверхности этих органов множества мелких серов</w:t>
      </w:r>
      <w:r w:rsidRPr="008742E9">
        <w:rPr>
          <w:rFonts w:eastAsia="Calibri"/>
          <w:sz w:val="22"/>
          <w:szCs w:val="22"/>
          <w:lang w:eastAsia="en-US"/>
        </w:rPr>
        <w:t>а</w:t>
      </w:r>
      <w:r w:rsidRPr="008742E9">
        <w:rPr>
          <w:rFonts w:eastAsia="Calibri"/>
          <w:sz w:val="22"/>
          <w:szCs w:val="22"/>
          <w:lang w:eastAsia="en-US"/>
        </w:rPr>
        <w:t>то-белых и при этом ярко выраженных точек (очажков).</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Основные отличительные признаки болезни Марека и лейкоза: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1) Смертность. Болезнь Марека – значительная, от 5 до 80%; лейкоз – 3 – 5% от общего падежа.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2) Возраст восприимчивой птицы. Болезнь Марека – 1-5 до 10 месяцев; лейкоз – 6–12 месяцев.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3) Нервные явления. Болезнь Марека – присутствуют; лейкоз – отсутствуют.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4) Опухолевые поражения. Болезнь Марека – множественные в паренхиматозных органах; лейкоз – печень, селезенка и почки.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5) Кожа при болезни Марека поражается; при лейкозе – редко.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 xml:space="preserve">6) Мышцы при болезни Марека поражаются; при лейкозе – редко.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7) Типы клеток: при болезни Марека обнаруживают пол</w:t>
      </w:r>
      <w:r w:rsidRPr="008742E9">
        <w:rPr>
          <w:rFonts w:eastAsia="Calibri"/>
          <w:sz w:val="22"/>
          <w:szCs w:val="22"/>
          <w:lang w:eastAsia="en-US"/>
        </w:rPr>
        <w:t>и</w:t>
      </w:r>
      <w:r w:rsidRPr="008742E9">
        <w:rPr>
          <w:rFonts w:eastAsia="Calibri"/>
          <w:sz w:val="22"/>
          <w:szCs w:val="22"/>
          <w:lang w:eastAsia="en-US"/>
        </w:rPr>
        <w:t>морфные (лимфоидные, плазматические, гистиоциты, клетки рет</w:t>
      </w:r>
      <w:r w:rsidRPr="008742E9">
        <w:rPr>
          <w:rFonts w:eastAsia="Calibri"/>
          <w:sz w:val="22"/>
          <w:szCs w:val="22"/>
          <w:lang w:eastAsia="en-US"/>
        </w:rPr>
        <w:t>и</w:t>
      </w:r>
      <w:r w:rsidRPr="008742E9">
        <w:rPr>
          <w:rFonts w:eastAsia="Calibri"/>
          <w:sz w:val="22"/>
          <w:szCs w:val="22"/>
          <w:lang w:eastAsia="en-US"/>
        </w:rPr>
        <w:t>кулярного ряда), преобладают мелкие лимфоидные клетки с ко</w:t>
      </w:r>
      <w:r w:rsidRPr="008742E9">
        <w:rPr>
          <w:rFonts w:eastAsia="Calibri"/>
          <w:sz w:val="22"/>
          <w:szCs w:val="22"/>
          <w:lang w:eastAsia="en-US"/>
        </w:rPr>
        <w:t>м</w:t>
      </w:r>
      <w:r w:rsidRPr="008742E9">
        <w:rPr>
          <w:rFonts w:eastAsia="Calibri"/>
          <w:sz w:val="22"/>
          <w:szCs w:val="22"/>
          <w:lang w:eastAsia="en-US"/>
        </w:rPr>
        <w:t>пактным ядром узкой полосой цитоплазмы; при лейкозе – незрелые лимфоидные клетки, лимфобласты и лимфоциты.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Таким образом, болезнь Марека и лейкоз птиц очень похожи по клиническим признакам, не смотря на то что эти болезни вызывают вирусы из разных семейств. Поэтому для постановки правильного диагноза необходимо учитывать не только симптомокомплекс, эп</w:t>
      </w:r>
      <w:r w:rsidRPr="008742E9">
        <w:rPr>
          <w:rFonts w:eastAsia="Calibri"/>
          <w:sz w:val="22"/>
          <w:szCs w:val="22"/>
          <w:lang w:eastAsia="en-US"/>
        </w:rPr>
        <w:t>и</w:t>
      </w:r>
      <w:r w:rsidRPr="008742E9">
        <w:rPr>
          <w:rFonts w:eastAsia="Calibri"/>
          <w:sz w:val="22"/>
          <w:szCs w:val="22"/>
          <w:lang w:eastAsia="en-US"/>
        </w:rPr>
        <w:t>зоотические данные и патологоанатомические изменения, но и г</w:t>
      </w:r>
      <w:r w:rsidRPr="008742E9">
        <w:rPr>
          <w:rFonts w:eastAsia="Calibri"/>
          <w:sz w:val="22"/>
          <w:szCs w:val="22"/>
          <w:lang w:eastAsia="en-US"/>
        </w:rPr>
        <w:t>и</w:t>
      </w:r>
      <w:r w:rsidRPr="008742E9">
        <w:rPr>
          <w:rFonts w:eastAsia="Calibri"/>
          <w:sz w:val="22"/>
          <w:szCs w:val="22"/>
          <w:lang w:eastAsia="en-US"/>
        </w:rPr>
        <w:t>стологическую картину. В последствии предпринять верные меры профилактики, избегая большого падежа птицы в частном и общ</w:t>
      </w:r>
      <w:r w:rsidRPr="008742E9">
        <w:rPr>
          <w:rFonts w:eastAsia="Calibri"/>
          <w:sz w:val="22"/>
          <w:szCs w:val="22"/>
          <w:lang w:eastAsia="en-US"/>
        </w:rPr>
        <w:t>е</w:t>
      </w:r>
      <w:r w:rsidRPr="008742E9">
        <w:rPr>
          <w:rFonts w:eastAsia="Calibri"/>
          <w:sz w:val="22"/>
          <w:szCs w:val="22"/>
          <w:lang w:eastAsia="en-US"/>
        </w:rPr>
        <w:t>ственном секторе.</w:t>
      </w:r>
    </w:p>
    <w:p w:rsidR="008742E9" w:rsidRPr="008742E9" w:rsidRDefault="008742E9" w:rsidP="00667E25">
      <w:pPr>
        <w:ind w:firstLine="426"/>
        <w:jc w:val="both"/>
        <w:rPr>
          <w:rFonts w:eastAsia="Calibri"/>
          <w:sz w:val="22"/>
          <w:szCs w:val="22"/>
          <w:lang w:eastAsia="en-US"/>
        </w:rPr>
      </w:pPr>
    </w:p>
    <w:p w:rsidR="008742E9" w:rsidRPr="008742E9" w:rsidRDefault="008742E9" w:rsidP="003B6CC8">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1. Айткен И. Д.  Болезни птиц  / И. Д. Айткен, Д. Дж. Алекса</w:t>
      </w:r>
      <w:r w:rsidRPr="008742E9">
        <w:rPr>
          <w:rFonts w:eastAsia="Calibri"/>
          <w:sz w:val="22"/>
          <w:szCs w:val="22"/>
          <w:lang w:eastAsia="en-US"/>
        </w:rPr>
        <w:t>н</w:t>
      </w:r>
      <w:r w:rsidRPr="008742E9">
        <w:rPr>
          <w:rFonts w:eastAsia="Calibri"/>
          <w:sz w:val="22"/>
          <w:szCs w:val="22"/>
          <w:lang w:eastAsia="en-US"/>
        </w:rPr>
        <w:t xml:space="preserve">дер,У. Х. Аллан, П.М. Биггс и др. // М.: «Колос», 1985. – 349 с.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2. Бакулин В. А. Болезни птиц / В. А. Бакулин // М., 2006. – 688 с.</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3. Лимаренко А. А. Болезни сельскохозяйственных птиц / А. А. Лимаренко, И. С. Дубров, А. А. Таймасуков, С. Н. Забашта // М.: «Лань», 2005. – 448 с.</w:t>
      </w:r>
    </w:p>
    <w:p w:rsidR="008742E9" w:rsidRPr="008742E9" w:rsidRDefault="008742E9" w:rsidP="008742E9">
      <w:pPr>
        <w:jc w:val="both"/>
        <w:rPr>
          <w:rFonts w:eastAsia="Calibri"/>
          <w:sz w:val="22"/>
          <w:szCs w:val="22"/>
          <w:lang w:eastAsia="en-US"/>
        </w:rPr>
      </w:pPr>
    </w:p>
    <w:p w:rsidR="008742E9" w:rsidRPr="008742E9" w:rsidRDefault="008742E9" w:rsidP="008742E9">
      <w:pPr>
        <w:jc w:val="both"/>
        <w:rPr>
          <w:rFonts w:eastAsia="Calibri"/>
          <w:sz w:val="22"/>
          <w:szCs w:val="22"/>
          <w:lang w:eastAsia="en-US"/>
        </w:rPr>
      </w:pPr>
    </w:p>
    <w:p w:rsidR="008742E9" w:rsidRPr="008742E9" w:rsidRDefault="00384DE6" w:rsidP="00384DE6">
      <w:pPr>
        <w:rPr>
          <w:rFonts w:eastAsia="Calibri"/>
          <w:sz w:val="22"/>
          <w:szCs w:val="22"/>
          <w:lang w:eastAsia="en-US"/>
        </w:rPr>
      </w:pPr>
      <w:r>
        <w:rPr>
          <w:rFonts w:eastAsia="Calibri"/>
          <w:sz w:val="22"/>
          <w:szCs w:val="22"/>
          <w:lang w:eastAsia="en-US"/>
        </w:rPr>
        <w:br w:type="page"/>
      </w:r>
    </w:p>
    <w:p w:rsidR="008742E9" w:rsidRDefault="008742E9" w:rsidP="003B6CC8">
      <w:pPr>
        <w:jc w:val="both"/>
        <w:rPr>
          <w:sz w:val="22"/>
          <w:szCs w:val="24"/>
        </w:rPr>
      </w:pPr>
      <w:r w:rsidRPr="008742E9">
        <w:rPr>
          <w:sz w:val="22"/>
          <w:szCs w:val="24"/>
        </w:rPr>
        <w:lastRenderedPageBreak/>
        <w:t>УДК 619:616.127-005.8</w:t>
      </w:r>
    </w:p>
    <w:p w:rsidR="003B6CC8" w:rsidRPr="008742E9" w:rsidRDefault="003B6CC8" w:rsidP="003B6CC8">
      <w:pPr>
        <w:jc w:val="both"/>
        <w:rPr>
          <w:sz w:val="22"/>
          <w:szCs w:val="24"/>
        </w:rPr>
      </w:pPr>
    </w:p>
    <w:p w:rsidR="008742E9" w:rsidRPr="008742E9" w:rsidRDefault="008742E9" w:rsidP="003B6CC8">
      <w:pPr>
        <w:jc w:val="center"/>
        <w:rPr>
          <w:b/>
          <w:sz w:val="24"/>
          <w:szCs w:val="24"/>
        </w:rPr>
      </w:pPr>
      <w:r w:rsidRPr="008742E9">
        <w:rPr>
          <w:b/>
          <w:sz w:val="24"/>
          <w:szCs w:val="24"/>
        </w:rPr>
        <w:t xml:space="preserve">Гистологические особенности строения желудка </w:t>
      </w:r>
    </w:p>
    <w:p w:rsidR="008742E9" w:rsidRPr="008742E9" w:rsidRDefault="008742E9" w:rsidP="003B6CC8">
      <w:pPr>
        <w:jc w:val="center"/>
        <w:rPr>
          <w:b/>
          <w:sz w:val="24"/>
          <w:szCs w:val="24"/>
        </w:rPr>
      </w:pPr>
      <w:r w:rsidRPr="008742E9">
        <w:rPr>
          <w:b/>
          <w:sz w:val="24"/>
          <w:szCs w:val="24"/>
        </w:rPr>
        <w:t xml:space="preserve">жвачных животных </w:t>
      </w:r>
    </w:p>
    <w:p w:rsidR="008742E9" w:rsidRPr="008742E9" w:rsidRDefault="008742E9" w:rsidP="003B6CC8">
      <w:pPr>
        <w:jc w:val="center"/>
        <w:rPr>
          <w:b/>
          <w:sz w:val="24"/>
          <w:szCs w:val="24"/>
          <w:lang w:val="en-US"/>
        </w:rPr>
      </w:pPr>
      <w:r w:rsidRPr="008742E9">
        <w:rPr>
          <w:b/>
          <w:sz w:val="24"/>
          <w:szCs w:val="24"/>
          <w:lang w:val="en-US"/>
        </w:rPr>
        <w:t>Histological features of the stomach of ruminants</w:t>
      </w:r>
    </w:p>
    <w:p w:rsidR="008742E9" w:rsidRPr="008742E9" w:rsidRDefault="008742E9" w:rsidP="008742E9">
      <w:pPr>
        <w:jc w:val="right"/>
        <w:rPr>
          <w:sz w:val="22"/>
          <w:szCs w:val="24"/>
          <w:lang w:val="en-US"/>
        </w:rPr>
      </w:pPr>
    </w:p>
    <w:p w:rsidR="008742E9" w:rsidRPr="008742E9" w:rsidRDefault="008742E9" w:rsidP="008742E9">
      <w:pPr>
        <w:jc w:val="right"/>
        <w:rPr>
          <w:sz w:val="22"/>
          <w:szCs w:val="24"/>
        </w:rPr>
      </w:pPr>
      <w:r w:rsidRPr="008742E9">
        <w:rPr>
          <w:sz w:val="22"/>
          <w:szCs w:val="24"/>
        </w:rPr>
        <w:t>Мандрыка Я. В.,</w:t>
      </w:r>
    </w:p>
    <w:p w:rsidR="00667E25" w:rsidRDefault="008742E9" w:rsidP="008742E9">
      <w:pPr>
        <w:jc w:val="right"/>
        <w:rPr>
          <w:sz w:val="22"/>
          <w:szCs w:val="24"/>
        </w:rPr>
      </w:pPr>
      <w:r w:rsidRPr="008742E9">
        <w:rPr>
          <w:sz w:val="22"/>
          <w:szCs w:val="24"/>
        </w:rPr>
        <w:t>студентка 2-го курса</w:t>
      </w:r>
    </w:p>
    <w:p w:rsidR="008742E9" w:rsidRPr="008742E9" w:rsidRDefault="008742E9" w:rsidP="008742E9">
      <w:pPr>
        <w:jc w:val="right"/>
        <w:rPr>
          <w:sz w:val="22"/>
          <w:szCs w:val="24"/>
        </w:rPr>
      </w:pPr>
      <w:r w:rsidRPr="008742E9">
        <w:rPr>
          <w:sz w:val="22"/>
          <w:szCs w:val="24"/>
        </w:rPr>
        <w:t xml:space="preserve"> ф</w:t>
      </w:r>
      <w:r w:rsidR="00667E25">
        <w:rPr>
          <w:sz w:val="22"/>
          <w:szCs w:val="24"/>
        </w:rPr>
        <w:t>акультета ветеринарной медицины</w:t>
      </w:r>
    </w:p>
    <w:p w:rsidR="008742E9" w:rsidRPr="008742E9" w:rsidRDefault="008742E9" w:rsidP="008742E9">
      <w:pPr>
        <w:jc w:val="right"/>
        <w:rPr>
          <w:sz w:val="22"/>
          <w:szCs w:val="24"/>
        </w:rPr>
      </w:pPr>
      <w:r w:rsidRPr="008742E9">
        <w:rPr>
          <w:sz w:val="22"/>
          <w:szCs w:val="24"/>
        </w:rPr>
        <w:t>Кравченко Г. А.,</w:t>
      </w:r>
    </w:p>
    <w:p w:rsidR="008742E9" w:rsidRPr="008742E9" w:rsidRDefault="008742E9" w:rsidP="008742E9">
      <w:pPr>
        <w:jc w:val="right"/>
        <w:rPr>
          <w:sz w:val="22"/>
          <w:szCs w:val="24"/>
        </w:rPr>
      </w:pPr>
      <w:r w:rsidRPr="008742E9">
        <w:rPr>
          <w:sz w:val="22"/>
          <w:szCs w:val="24"/>
        </w:rPr>
        <w:t>доцент кафедры анатомии,</w:t>
      </w:r>
    </w:p>
    <w:p w:rsidR="008742E9" w:rsidRPr="008742E9" w:rsidRDefault="008742E9" w:rsidP="008742E9">
      <w:pPr>
        <w:jc w:val="right"/>
        <w:rPr>
          <w:sz w:val="22"/>
          <w:szCs w:val="24"/>
        </w:rPr>
      </w:pPr>
      <w:r w:rsidRPr="008742E9">
        <w:rPr>
          <w:sz w:val="22"/>
          <w:szCs w:val="24"/>
        </w:rPr>
        <w:t>ветеринарного акушерства и хирургии</w:t>
      </w:r>
    </w:p>
    <w:p w:rsidR="008742E9" w:rsidRPr="008742E9" w:rsidRDefault="008742E9" w:rsidP="008742E9">
      <w:pPr>
        <w:jc w:val="right"/>
        <w:rPr>
          <w:sz w:val="22"/>
          <w:szCs w:val="24"/>
        </w:rPr>
      </w:pPr>
      <w:r w:rsidRPr="008742E9">
        <w:rPr>
          <w:sz w:val="22"/>
          <w:szCs w:val="24"/>
        </w:rPr>
        <w:t>Кубанский государственный аграрный</w:t>
      </w:r>
    </w:p>
    <w:p w:rsidR="008742E9" w:rsidRPr="008742E9" w:rsidRDefault="008742E9" w:rsidP="008742E9">
      <w:pPr>
        <w:spacing w:after="120"/>
        <w:jc w:val="right"/>
        <w:rPr>
          <w:sz w:val="22"/>
          <w:szCs w:val="24"/>
        </w:rPr>
      </w:pPr>
      <w:r w:rsidRPr="008742E9">
        <w:rPr>
          <w:sz w:val="22"/>
          <w:szCs w:val="24"/>
        </w:rPr>
        <w:t>университет имени И. Т. Трубилина</w:t>
      </w:r>
    </w:p>
    <w:p w:rsidR="008742E9" w:rsidRPr="008742E9" w:rsidRDefault="008742E9" w:rsidP="00667E25">
      <w:pPr>
        <w:ind w:firstLine="426"/>
        <w:jc w:val="both"/>
        <w:rPr>
          <w:sz w:val="22"/>
          <w:szCs w:val="22"/>
        </w:rPr>
      </w:pPr>
      <w:r w:rsidRPr="008742E9">
        <w:rPr>
          <w:sz w:val="22"/>
          <w:szCs w:val="22"/>
        </w:rPr>
        <w:t>АННОТАЦИЯ: Обоснование взаимосвязи функции и строения желудка у жвачных животных.</w:t>
      </w:r>
    </w:p>
    <w:p w:rsidR="008742E9" w:rsidRPr="008742E9" w:rsidRDefault="008742E9" w:rsidP="00667E25">
      <w:pPr>
        <w:ind w:firstLine="426"/>
        <w:jc w:val="both"/>
        <w:rPr>
          <w:sz w:val="22"/>
          <w:szCs w:val="22"/>
          <w:lang w:val="en-US"/>
        </w:rPr>
      </w:pPr>
      <w:r w:rsidRPr="008742E9">
        <w:rPr>
          <w:sz w:val="22"/>
          <w:szCs w:val="22"/>
          <w:lang w:val="en-US"/>
        </w:rPr>
        <w:t>ABSTRACT: Justification the relationship functions and buildings have the stomach of ruminant animals.</w:t>
      </w:r>
    </w:p>
    <w:p w:rsidR="008742E9" w:rsidRPr="008742E9" w:rsidRDefault="008742E9" w:rsidP="00667E25">
      <w:pPr>
        <w:ind w:firstLine="426"/>
        <w:jc w:val="both"/>
        <w:rPr>
          <w:sz w:val="22"/>
          <w:szCs w:val="22"/>
        </w:rPr>
      </w:pPr>
      <w:r w:rsidRPr="008742E9">
        <w:rPr>
          <w:sz w:val="22"/>
          <w:szCs w:val="22"/>
        </w:rPr>
        <w:t>КЛЮЧЕВЫЕ СЛОВА: жвачные животные, многокамерный желудок, рубец, сетка, книжка, сычуг.</w:t>
      </w:r>
    </w:p>
    <w:p w:rsidR="008742E9" w:rsidRPr="008742E9" w:rsidRDefault="008742E9" w:rsidP="00667E25">
      <w:pPr>
        <w:spacing w:after="120"/>
        <w:ind w:firstLine="426"/>
        <w:jc w:val="both"/>
        <w:rPr>
          <w:sz w:val="22"/>
          <w:szCs w:val="22"/>
          <w:lang w:val="en-US"/>
        </w:rPr>
      </w:pPr>
      <w:r w:rsidRPr="008742E9">
        <w:rPr>
          <w:sz w:val="22"/>
          <w:szCs w:val="22"/>
          <w:lang w:val="en-US"/>
        </w:rPr>
        <w:t>KEY WORDS: ruminant animals, multi-chambered stomach, r</w:t>
      </w:r>
      <w:r w:rsidRPr="008742E9">
        <w:rPr>
          <w:sz w:val="22"/>
          <w:szCs w:val="22"/>
          <w:lang w:val="en-US"/>
        </w:rPr>
        <w:t>u</w:t>
      </w:r>
      <w:r w:rsidRPr="008742E9">
        <w:rPr>
          <w:sz w:val="22"/>
          <w:szCs w:val="22"/>
          <w:lang w:val="en-US"/>
        </w:rPr>
        <w:t>men,reticle, omasum, abomasum.</w:t>
      </w:r>
    </w:p>
    <w:p w:rsidR="008742E9" w:rsidRPr="008742E9" w:rsidRDefault="008742E9" w:rsidP="00667E25">
      <w:pPr>
        <w:ind w:firstLine="426"/>
        <w:jc w:val="both"/>
        <w:rPr>
          <w:sz w:val="2"/>
          <w:szCs w:val="22"/>
          <w:lang w:val="en-US"/>
        </w:rPr>
      </w:pPr>
    </w:p>
    <w:p w:rsidR="008742E9" w:rsidRPr="008742E9" w:rsidRDefault="008742E9" w:rsidP="00667E25">
      <w:pPr>
        <w:ind w:firstLine="426"/>
        <w:jc w:val="both"/>
        <w:rPr>
          <w:sz w:val="22"/>
          <w:szCs w:val="22"/>
        </w:rPr>
      </w:pPr>
      <w:r w:rsidRPr="008742E9">
        <w:rPr>
          <w:sz w:val="22"/>
          <w:szCs w:val="22"/>
        </w:rPr>
        <w:t>Вопросы гистоморфологии органов пищеварения жвачных остаются актуальными в связи с необходимостью постоянного п</w:t>
      </w:r>
      <w:r w:rsidRPr="008742E9">
        <w:rPr>
          <w:sz w:val="22"/>
          <w:szCs w:val="22"/>
        </w:rPr>
        <w:t>о</w:t>
      </w:r>
      <w:r w:rsidRPr="008742E9">
        <w:rPr>
          <w:sz w:val="22"/>
          <w:szCs w:val="22"/>
        </w:rPr>
        <w:t>вышения продуктивности молока и мяса, которое зависит от кор</w:t>
      </w:r>
      <w:r w:rsidRPr="008742E9">
        <w:rPr>
          <w:sz w:val="22"/>
          <w:szCs w:val="22"/>
        </w:rPr>
        <w:t>м</w:t>
      </w:r>
      <w:r w:rsidRPr="008742E9">
        <w:rPr>
          <w:sz w:val="22"/>
          <w:szCs w:val="22"/>
        </w:rPr>
        <w:t xml:space="preserve">ления и здоровья животного [1,2]. </w:t>
      </w:r>
    </w:p>
    <w:p w:rsidR="008742E9" w:rsidRPr="008742E9" w:rsidRDefault="008742E9" w:rsidP="00667E25">
      <w:pPr>
        <w:ind w:firstLine="426"/>
        <w:jc w:val="both"/>
        <w:rPr>
          <w:sz w:val="22"/>
          <w:szCs w:val="22"/>
        </w:rPr>
      </w:pPr>
      <w:r w:rsidRPr="008742E9">
        <w:rPr>
          <w:sz w:val="22"/>
          <w:szCs w:val="22"/>
        </w:rPr>
        <w:t>Важнейшую функцию по переработке корма выполняют пр</w:t>
      </w:r>
      <w:r w:rsidRPr="008742E9">
        <w:rPr>
          <w:sz w:val="22"/>
          <w:szCs w:val="22"/>
        </w:rPr>
        <w:t>е</w:t>
      </w:r>
      <w:r w:rsidRPr="008742E9">
        <w:rPr>
          <w:sz w:val="22"/>
          <w:szCs w:val="22"/>
        </w:rPr>
        <w:t>джелудки – рубец, сетка, книжка. Конечным звеном является и</w:t>
      </w:r>
      <w:r w:rsidRPr="008742E9">
        <w:rPr>
          <w:sz w:val="22"/>
          <w:szCs w:val="22"/>
        </w:rPr>
        <w:t>с</w:t>
      </w:r>
      <w:r w:rsidRPr="008742E9">
        <w:rPr>
          <w:sz w:val="22"/>
          <w:szCs w:val="22"/>
        </w:rPr>
        <w:t>тинный желудок, или сычуг.</w:t>
      </w:r>
    </w:p>
    <w:p w:rsidR="008742E9" w:rsidRPr="008742E9" w:rsidRDefault="008742E9" w:rsidP="00667E25">
      <w:pPr>
        <w:ind w:right="-57" w:firstLine="426"/>
        <w:jc w:val="both"/>
        <w:rPr>
          <w:sz w:val="22"/>
          <w:szCs w:val="22"/>
        </w:rPr>
      </w:pPr>
      <w:r w:rsidRPr="008742E9">
        <w:rPr>
          <w:sz w:val="22"/>
          <w:szCs w:val="22"/>
        </w:rPr>
        <w:t>Рубец – это место временного депонирования, поступившего из ротовой полости частично измельченного и увлажненного слюной корма. Слизистая оболочка рубца выстлана многослойным плоским эпителием, лишена желёз. Из-за отсутствия мышечной пластинки рыхлая соединительная ткань собственной пластинки слизистой оболочки без видимых границ переходит в подслизистую основу. У взрослых животных эпителий слизистой оболочки вместе с соедин</w:t>
      </w:r>
      <w:r w:rsidRPr="008742E9">
        <w:rPr>
          <w:sz w:val="22"/>
          <w:szCs w:val="22"/>
        </w:rPr>
        <w:t>и</w:t>
      </w:r>
      <w:r w:rsidRPr="008742E9">
        <w:rPr>
          <w:sz w:val="22"/>
          <w:szCs w:val="22"/>
        </w:rPr>
        <w:lastRenderedPageBreak/>
        <w:t>тельной тканью собственной пластинки формирует множество с</w:t>
      </w:r>
      <w:r w:rsidRPr="008742E9">
        <w:rPr>
          <w:sz w:val="22"/>
          <w:szCs w:val="22"/>
        </w:rPr>
        <w:t>о</w:t>
      </w:r>
      <w:r w:rsidRPr="008742E9">
        <w:rPr>
          <w:sz w:val="22"/>
          <w:szCs w:val="22"/>
        </w:rPr>
        <w:t>сочков различной величины и формы, которые увеличивают п</w:t>
      </w:r>
      <w:r w:rsidRPr="008742E9">
        <w:rPr>
          <w:sz w:val="22"/>
          <w:szCs w:val="22"/>
        </w:rPr>
        <w:t>о</w:t>
      </w:r>
      <w:r w:rsidRPr="008742E9">
        <w:rPr>
          <w:sz w:val="22"/>
          <w:szCs w:val="22"/>
        </w:rPr>
        <w:t>верхность слизистой оболочки для всасывания продуктов бактер</w:t>
      </w:r>
      <w:r w:rsidRPr="008742E9">
        <w:rPr>
          <w:sz w:val="22"/>
          <w:szCs w:val="22"/>
        </w:rPr>
        <w:t>и</w:t>
      </w:r>
      <w:r w:rsidRPr="008742E9">
        <w:rPr>
          <w:sz w:val="22"/>
          <w:szCs w:val="22"/>
        </w:rPr>
        <w:t>ального брожения, а пространство между ними является удобной средой для развития микроорганизмов [2].</w:t>
      </w:r>
    </w:p>
    <w:p w:rsidR="008742E9" w:rsidRPr="008742E9" w:rsidRDefault="008742E9" w:rsidP="00667E25">
      <w:pPr>
        <w:ind w:right="-57" w:firstLine="426"/>
        <w:jc w:val="both"/>
        <w:rPr>
          <w:sz w:val="22"/>
          <w:szCs w:val="22"/>
        </w:rPr>
      </w:pPr>
      <w:r w:rsidRPr="008742E9">
        <w:rPr>
          <w:sz w:val="22"/>
          <w:szCs w:val="22"/>
        </w:rPr>
        <w:t>Как показывают опыты и наблюдения, строение слизистой об</w:t>
      </w:r>
      <w:r w:rsidRPr="008742E9">
        <w:rPr>
          <w:sz w:val="22"/>
          <w:szCs w:val="22"/>
        </w:rPr>
        <w:t>о</w:t>
      </w:r>
      <w:r w:rsidRPr="008742E9">
        <w:rPr>
          <w:sz w:val="22"/>
          <w:szCs w:val="22"/>
        </w:rPr>
        <w:t>лочки имеет свои особенности при разной структуре рациона, а та</w:t>
      </w:r>
      <w:r w:rsidRPr="008742E9">
        <w:rPr>
          <w:sz w:val="22"/>
          <w:szCs w:val="22"/>
        </w:rPr>
        <w:t>к</w:t>
      </w:r>
      <w:r w:rsidRPr="008742E9">
        <w:rPr>
          <w:sz w:val="22"/>
          <w:szCs w:val="22"/>
        </w:rPr>
        <w:t>же возраста животного.</w:t>
      </w:r>
    </w:p>
    <w:p w:rsidR="008742E9" w:rsidRPr="008742E9" w:rsidRDefault="008742E9" w:rsidP="00667E25">
      <w:pPr>
        <w:ind w:right="-57" w:firstLine="426"/>
        <w:jc w:val="both"/>
        <w:rPr>
          <w:color w:val="000000"/>
          <w:sz w:val="22"/>
          <w:szCs w:val="22"/>
          <w:shd w:val="clear" w:color="auto" w:fill="FFFFFF"/>
        </w:rPr>
      </w:pPr>
      <w:r w:rsidRPr="008742E9">
        <w:rPr>
          <w:sz w:val="22"/>
          <w:szCs w:val="22"/>
        </w:rPr>
        <w:t xml:space="preserve">Мышечная оболочка стенки рубца представлена внутренним кольцевым и наружным продольным слоями гладкой мышечной ткани. </w:t>
      </w:r>
      <w:r w:rsidRPr="008742E9">
        <w:rPr>
          <w:color w:val="000000"/>
          <w:sz w:val="22"/>
          <w:szCs w:val="22"/>
          <w:shd w:val="clear" w:color="auto" w:fill="FFFFFF"/>
        </w:rPr>
        <w:t>В области входа в рубец пищеводного желоба мышечная об</w:t>
      </w:r>
      <w:r w:rsidRPr="008742E9">
        <w:rPr>
          <w:color w:val="000000"/>
          <w:sz w:val="22"/>
          <w:szCs w:val="22"/>
          <w:shd w:val="clear" w:color="auto" w:fill="FFFFFF"/>
        </w:rPr>
        <w:t>о</w:t>
      </w:r>
      <w:r w:rsidRPr="008742E9">
        <w:rPr>
          <w:color w:val="000000"/>
          <w:sz w:val="22"/>
          <w:szCs w:val="22"/>
          <w:shd w:val="clear" w:color="auto" w:fill="FFFFFF"/>
        </w:rPr>
        <w:t>лочка, наряду с миоцитами, имеет и поперечно-полосатые волокна. Серозная оболочка не имеет особенностей.</w:t>
      </w:r>
    </w:p>
    <w:p w:rsidR="008742E9" w:rsidRPr="008742E9" w:rsidRDefault="008742E9" w:rsidP="00667E25">
      <w:pPr>
        <w:ind w:firstLine="426"/>
        <w:jc w:val="both"/>
        <w:rPr>
          <w:sz w:val="22"/>
          <w:szCs w:val="22"/>
        </w:rPr>
      </w:pPr>
      <w:r w:rsidRPr="008742E9">
        <w:rPr>
          <w:sz w:val="22"/>
          <w:szCs w:val="22"/>
        </w:rPr>
        <w:t>Сетка выполняет преимущественно моторную функцию. Сл</w:t>
      </w:r>
      <w:r w:rsidRPr="008742E9">
        <w:rPr>
          <w:sz w:val="22"/>
          <w:szCs w:val="22"/>
        </w:rPr>
        <w:t>и</w:t>
      </w:r>
      <w:r w:rsidRPr="008742E9">
        <w:rPr>
          <w:sz w:val="22"/>
          <w:szCs w:val="22"/>
        </w:rPr>
        <w:t>зистая оболочка сетки состоит из многослойного плоского эпителия и соединительной ткани собственной пластинки. Слизистая оболо</w:t>
      </w:r>
      <w:r w:rsidRPr="008742E9">
        <w:rPr>
          <w:sz w:val="22"/>
          <w:szCs w:val="22"/>
        </w:rPr>
        <w:t>ч</w:t>
      </w:r>
      <w:r w:rsidRPr="008742E9">
        <w:rPr>
          <w:sz w:val="22"/>
          <w:szCs w:val="22"/>
        </w:rPr>
        <w:t>ка образует гребневидные складки, имеющие вид шестигранных ячеек. Ячеи сетки сортируют содержимое на грубую и мягкую фракцию и обеспечивают эвакуацию подготовленной массы из пр</w:t>
      </w:r>
      <w:r w:rsidRPr="008742E9">
        <w:rPr>
          <w:sz w:val="22"/>
          <w:szCs w:val="22"/>
        </w:rPr>
        <w:t>е</w:t>
      </w:r>
      <w:r w:rsidRPr="008742E9">
        <w:rPr>
          <w:sz w:val="22"/>
          <w:szCs w:val="22"/>
        </w:rPr>
        <w:t>джелудков. Мышечная пластинка не выражена. Единичные миоц</w:t>
      </w:r>
      <w:r w:rsidRPr="008742E9">
        <w:rPr>
          <w:sz w:val="22"/>
          <w:szCs w:val="22"/>
        </w:rPr>
        <w:t>и</w:t>
      </w:r>
      <w:r w:rsidRPr="008742E9">
        <w:rPr>
          <w:sz w:val="22"/>
          <w:szCs w:val="22"/>
        </w:rPr>
        <w:t>ты рассеяны в соединительнотканной основе.</w:t>
      </w:r>
    </w:p>
    <w:p w:rsidR="008742E9" w:rsidRPr="008742E9" w:rsidRDefault="008742E9" w:rsidP="00667E25">
      <w:pPr>
        <w:ind w:firstLine="426"/>
        <w:jc w:val="both"/>
        <w:rPr>
          <w:sz w:val="22"/>
          <w:szCs w:val="22"/>
        </w:rPr>
      </w:pPr>
      <w:r w:rsidRPr="008742E9">
        <w:rPr>
          <w:sz w:val="22"/>
          <w:szCs w:val="22"/>
        </w:rPr>
        <w:t>Мышечная оболочка сетки представлена двумя взаимно пе</w:t>
      </w:r>
      <w:r w:rsidRPr="008742E9">
        <w:rPr>
          <w:sz w:val="22"/>
          <w:szCs w:val="22"/>
        </w:rPr>
        <w:t>р</w:t>
      </w:r>
      <w:r w:rsidRPr="008742E9">
        <w:rPr>
          <w:sz w:val="22"/>
          <w:szCs w:val="22"/>
        </w:rPr>
        <w:t>пендикулярными слоями гладкомышечных клеток. Снаружи сетка покрыта серозной оболочкой.</w:t>
      </w:r>
    </w:p>
    <w:p w:rsidR="008742E9" w:rsidRPr="008742E9" w:rsidRDefault="008742E9" w:rsidP="00667E25">
      <w:pPr>
        <w:ind w:firstLine="426"/>
        <w:jc w:val="both"/>
        <w:rPr>
          <w:sz w:val="22"/>
          <w:szCs w:val="22"/>
        </w:rPr>
      </w:pPr>
      <w:r w:rsidRPr="008742E9">
        <w:rPr>
          <w:sz w:val="22"/>
          <w:szCs w:val="22"/>
        </w:rPr>
        <w:t>Третья камера – книжка. Ее слизистая оболочка собрана в виде листков, которые образованы тремя  слоями: многослойный пло</w:t>
      </w:r>
      <w:r w:rsidRPr="008742E9">
        <w:rPr>
          <w:sz w:val="22"/>
          <w:szCs w:val="22"/>
        </w:rPr>
        <w:t>с</w:t>
      </w:r>
      <w:r w:rsidRPr="008742E9">
        <w:rPr>
          <w:sz w:val="22"/>
          <w:szCs w:val="22"/>
        </w:rPr>
        <w:t>кий эпителий, соединительная ткань собственной пластинки, м</w:t>
      </w:r>
      <w:r w:rsidRPr="008742E9">
        <w:rPr>
          <w:sz w:val="22"/>
          <w:szCs w:val="22"/>
        </w:rPr>
        <w:t>ы</w:t>
      </w:r>
      <w:r w:rsidRPr="008742E9">
        <w:rPr>
          <w:sz w:val="22"/>
          <w:szCs w:val="22"/>
        </w:rPr>
        <w:t>шечная пластинка подслизистой основы и миоциты, проникающие из концентрического слоя мышечной оболочки [3].</w:t>
      </w:r>
    </w:p>
    <w:p w:rsidR="008742E9" w:rsidRPr="008742E9" w:rsidRDefault="008742E9" w:rsidP="00667E25">
      <w:pPr>
        <w:ind w:firstLine="426"/>
        <w:jc w:val="both"/>
        <w:rPr>
          <w:sz w:val="22"/>
          <w:szCs w:val="22"/>
        </w:rPr>
      </w:pPr>
      <w:r w:rsidRPr="008742E9">
        <w:rPr>
          <w:sz w:val="22"/>
          <w:szCs w:val="22"/>
        </w:rPr>
        <w:t>Поверхность листков книжки покрыта также многослойным плоским эпителием, образующим грубые короткие сосочки. Такое сложное строение листков, усиление их тканевого состава мыше</w:t>
      </w:r>
      <w:r w:rsidRPr="008742E9">
        <w:rPr>
          <w:sz w:val="22"/>
          <w:szCs w:val="22"/>
        </w:rPr>
        <w:t>ч</w:t>
      </w:r>
      <w:r w:rsidRPr="008742E9">
        <w:rPr>
          <w:sz w:val="22"/>
          <w:szCs w:val="22"/>
        </w:rPr>
        <w:t>ными элементами обеспечивает механическое перетирание пищи. Большая поверхность слизистой оболочки книжки способствует интенсивному всасыванию.</w:t>
      </w:r>
    </w:p>
    <w:p w:rsidR="008742E9" w:rsidRPr="008742E9" w:rsidRDefault="008742E9" w:rsidP="00667E25">
      <w:pPr>
        <w:ind w:firstLine="426"/>
        <w:jc w:val="both"/>
        <w:rPr>
          <w:sz w:val="22"/>
          <w:szCs w:val="22"/>
        </w:rPr>
      </w:pPr>
      <w:r w:rsidRPr="008742E9">
        <w:rPr>
          <w:sz w:val="22"/>
          <w:szCs w:val="22"/>
        </w:rPr>
        <w:t>Мышечная оболочка стенки книжки представлена двумя сло</w:t>
      </w:r>
      <w:r w:rsidRPr="008742E9">
        <w:rPr>
          <w:sz w:val="22"/>
          <w:szCs w:val="22"/>
        </w:rPr>
        <w:t>я</w:t>
      </w:r>
      <w:r w:rsidRPr="008742E9">
        <w:rPr>
          <w:sz w:val="22"/>
          <w:szCs w:val="22"/>
        </w:rPr>
        <w:t>ми гладкой мышечной ткани. Серозная оболочка без особенностей.</w:t>
      </w:r>
    </w:p>
    <w:p w:rsidR="008742E9" w:rsidRPr="008742E9" w:rsidRDefault="008742E9" w:rsidP="00667E25">
      <w:pPr>
        <w:ind w:firstLine="426"/>
        <w:jc w:val="both"/>
        <w:rPr>
          <w:sz w:val="22"/>
          <w:szCs w:val="22"/>
        </w:rPr>
      </w:pPr>
      <w:r w:rsidRPr="008742E9">
        <w:rPr>
          <w:sz w:val="22"/>
          <w:szCs w:val="22"/>
        </w:rPr>
        <w:lastRenderedPageBreak/>
        <w:t>В отличие от преджелудков сычуг выстлан однослойным ц</w:t>
      </w:r>
      <w:r w:rsidRPr="008742E9">
        <w:rPr>
          <w:sz w:val="22"/>
          <w:szCs w:val="22"/>
        </w:rPr>
        <w:t>и</w:t>
      </w:r>
      <w:r w:rsidRPr="008742E9">
        <w:rPr>
          <w:sz w:val="22"/>
          <w:szCs w:val="22"/>
        </w:rPr>
        <w:t>линдрическим эпителием. Слизистая оболочка этой камеры собрана в многочисленные складки. Находящиеся в собственном слое ка</w:t>
      </w:r>
      <w:r w:rsidRPr="008742E9">
        <w:rPr>
          <w:sz w:val="22"/>
          <w:szCs w:val="22"/>
        </w:rPr>
        <w:t>р</w:t>
      </w:r>
      <w:r w:rsidRPr="008742E9">
        <w:rPr>
          <w:sz w:val="22"/>
          <w:szCs w:val="22"/>
        </w:rPr>
        <w:t>диальные, фундальные и пилорические желудочные железы выр</w:t>
      </w:r>
      <w:r w:rsidRPr="008742E9">
        <w:rPr>
          <w:sz w:val="22"/>
          <w:szCs w:val="22"/>
        </w:rPr>
        <w:t>а</w:t>
      </w:r>
      <w:r w:rsidRPr="008742E9">
        <w:rPr>
          <w:sz w:val="22"/>
          <w:szCs w:val="22"/>
        </w:rPr>
        <w:t>ботывают сычужный сок. Кардиальные железы продуцируют мук</w:t>
      </w:r>
      <w:r w:rsidRPr="008742E9">
        <w:rPr>
          <w:sz w:val="22"/>
          <w:szCs w:val="22"/>
        </w:rPr>
        <w:t>о</w:t>
      </w:r>
      <w:r w:rsidRPr="008742E9">
        <w:rPr>
          <w:sz w:val="22"/>
          <w:szCs w:val="22"/>
        </w:rPr>
        <w:t>идный секрет, бикарбонаты и хлориды натрия и калия. Секрет п</w:t>
      </w:r>
      <w:r w:rsidRPr="008742E9">
        <w:rPr>
          <w:sz w:val="22"/>
          <w:szCs w:val="22"/>
        </w:rPr>
        <w:t>и</w:t>
      </w:r>
      <w:r w:rsidRPr="008742E9">
        <w:rPr>
          <w:sz w:val="22"/>
          <w:szCs w:val="22"/>
        </w:rPr>
        <w:t>лорических желез защищает слизистую оболочку от кислого жел</w:t>
      </w:r>
      <w:r w:rsidRPr="008742E9">
        <w:rPr>
          <w:sz w:val="22"/>
          <w:szCs w:val="22"/>
        </w:rPr>
        <w:t>у</w:t>
      </w:r>
      <w:r w:rsidRPr="008742E9">
        <w:rPr>
          <w:sz w:val="22"/>
          <w:szCs w:val="22"/>
        </w:rPr>
        <w:t>дочного сока. Основные фундальные железы вырабатывают фе</w:t>
      </w:r>
      <w:r w:rsidRPr="008742E9">
        <w:rPr>
          <w:sz w:val="22"/>
          <w:szCs w:val="22"/>
        </w:rPr>
        <w:t>р</w:t>
      </w:r>
      <w:r w:rsidRPr="008742E9">
        <w:rPr>
          <w:sz w:val="22"/>
          <w:szCs w:val="22"/>
        </w:rPr>
        <w:t>менты: пепсиноген-предшественник пепсина, липазу и соляную кислоту. В сычуге происходит пеpeваpивание белка. Соляная ки</w:t>
      </w:r>
      <w:r w:rsidRPr="008742E9">
        <w:rPr>
          <w:sz w:val="22"/>
          <w:szCs w:val="22"/>
        </w:rPr>
        <w:t>с</w:t>
      </w:r>
      <w:r w:rsidRPr="008742E9">
        <w:rPr>
          <w:sz w:val="22"/>
          <w:szCs w:val="22"/>
        </w:rPr>
        <w:t>лота желудочного сока вызывает набухание, денатурацию белка, активацию продуцируемого неактивного пепсиногена в пепсин</w:t>
      </w:r>
    </w:p>
    <w:p w:rsidR="008742E9" w:rsidRPr="008742E9" w:rsidRDefault="008742E9" w:rsidP="00667E25">
      <w:pPr>
        <w:ind w:firstLine="426"/>
        <w:jc w:val="both"/>
        <w:rPr>
          <w:sz w:val="22"/>
          <w:szCs w:val="22"/>
        </w:rPr>
      </w:pPr>
      <w:r w:rsidRPr="008742E9">
        <w:rPr>
          <w:sz w:val="22"/>
          <w:szCs w:val="22"/>
        </w:rPr>
        <w:t>Мышечная оболочка сычуга построена из внутреннего кольц</w:t>
      </w:r>
      <w:r w:rsidRPr="008742E9">
        <w:rPr>
          <w:sz w:val="22"/>
          <w:szCs w:val="22"/>
        </w:rPr>
        <w:t>е</w:t>
      </w:r>
      <w:r w:rsidRPr="008742E9">
        <w:rPr>
          <w:sz w:val="22"/>
          <w:szCs w:val="22"/>
        </w:rPr>
        <w:t>вого и наружного продольного слоёв гладкой мышечной ткани. О</w:t>
      </w:r>
      <w:r w:rsidRPr="008742E9">
        <w:rPr>
          <w:sz w:val="22"/>
          <w:szCs w:val="22"/>
        </w:rPr>
        <w:t>т</w:t>
      </w:r>
      <w:r w:rsidRPr="008742E9">
        <w:rPr>
          <w:sz w:val="22"/>
          <w:szCs w:val="22"/>
        </w:rPr>
        <w:t>личительной чертой является отсутствие косых слоев. Покрыт с</w:t>
      </w:r>
      <w:r w:rsidRPr="008742E9">
        <w:rPr>
          <w:sz w:val="22"/>
          <w:szCs w:val="22"/>
        </w:rPr>
        <w:t>ы</w:t>
      </w:r>
      <w:r w:rsidRPr="008742E9">
        <w:rPr>
          <w:sz w:val="22"/>
          <w:szCs w:val="22"/>
        </w:rPr>
        <w:t>чуг серозной оболочкой.</w:t>
      </w:r>
    </w:p>
    <w:p w:rsidR="008742E9" w:rsidRPr="008742E9" w:rsidRDefault="008742E9" w:rsidP="00667E25">
      <w:pPr>
        <w:ind w:firstLine="426"/>
        <w:jc w:val="both"/>
        <w:rPr>
          <w:sz w:val="22"/>
          <w:szCs w:val="22"/>
        </w:rPr>
      </w:pPr>
      <w:r w:rsidRPr="008742E9">
        <w:rPr>
          <w:sz w:val="22"/>
          <w:szCs w:val="22"/>
        </w:rPr>
        <w:t>Пищеварение в сычуге имеет свои особенности. Секреция с</w:t>
      </w:r>
      <w:r w:rsidRPr="008742E9">
        <w:rPr>
          <w:sz w:val="22"/>
          <w:szCs w:val="22"/>
        </w:rPr>
        <w:t>ы</w:t>
      </w:r>
      <w:r w:rsidRPr="008742E9">
        <w:rPr>
          <w:sz w:val="22"/>
          <w:szCs w:val="22"/>
        </w:rPr>
        <w:t>чужного сока происходит непрерывно из-за поступления в него предварительно подготовленной однотипной массы. Такое свойство сычужных желез поддерживается постоянным раздражением р</w:t>
      </w:r>
      <w:r w:rsidRPr="008742E9">
        <w:rPr>
          <w:sz w:val="22"/>
          <w:szCs w:val="22"/>
        </w:rPr>
        <w:t>е</w:t>
      </w:r>
      <w:r w:rsidRPr="008742E9">
        <w:rPr>
          <w:sz w:val="22"/>
          <w:szCs w:val="22"/>
        </w:rPr>
        <w:t>цепторов самого сычуга и интерорецептивным влиянием с предж</w:t>
      </w:r>
      <w:r w:rsidRPr="008742E9">
        <w:rPr>
          <w:sz w:val="22"/>
          <w:szCs w:val="22"/>
        </w:rPr>
        <w:t>е</w:t>
      </w:r>
      <w:r w:rsidRPr="008742E9">
        <w:rPr>
          <w:sz w:val="22"/>
          <w:szCs w:val="22"/>
        </w:rPr>
        <w:t xml:space="preserve">лудков. </w:t>
      </w:r>
    </w:p>
    <w:p w:rsidR="008742E9" w:rsidRPr="008742E9" w:rsidRDefault="008742E9" w:rsidP="00667E25">
      <w:pPr>
        <w:ind w:firstLine="426"/>
        <w:jc w:val="center"/>
        <w:rPr>
          <w:sz w:val="14"/>
          <w:szCs w:val="22"/>
        </w:rPr>
      </w:pPr>
    </w:p>
    <w:p w:rsidR="008742E9" w:rsidRPr="008742E9" w:rsidRDefault="008742E9" w:rsidP="00667E25">
      <w:pPr>
        <w:ind w:firstLine="426"/>
        <w:jc w:val="center"/>
        <w:rPr>
          <w:sz w:val="22"/>
          <w:szCs w:val="22"/>
        </w:rPr>
      </w:pPr>
      <w:r w:rsidRPr="008742E9">
        <w:rPr>
          <w:sz w:val="22"/>
          <w:szCs w:val="22"/>
        </w:rPr>
        <w:t>Список литературы</w:t>
      </w:r>
    </w:p>
    <w:p w:rsidR="008742E9" w:rsidRPr="008742E9" w:rsidRDefault="008742E9" w:rsidP="00667E25">
      <w:pPr>
        <w:ind w:firstLine="426"/>
        <w:jc w:val="center"/>
        <w:rPr>
          <w:sz w:val="6"/>
          <w:szCs w:val="22"/>
        </w:rPr>
      </w:pPr>
    </w:p>
    <w:p w:rsidR="008742E9" w:rsidRPr="008742E9" w:rsidRDefault="008742E9" w:rsidP="00667E25">
      <w:pPr>
        <w:numPr>
          <w:ilvl w:val="0"/>
          <w:numId w:val="7"/>
        </w:numPr>
        <w:spacing w:after="160" w:line="259" w:lineRule="auto"/>
        <w:ind w:left="0" w:firstLine="426"/>
        <w:contextualSpacing/>
        <w:jc w:val="both"/>
        <w:rPr>
          <w:rFonts w:eastAsia="Calibri"/>
          <w:sz w:val="22"/>
          <w:szCs w:val="22"/>
          <w:lang w:eastAsia="en-US"/>
        </w:rPr>
      </w:pPr>
      <w:r w:rsidRPr="008742E9">
        <w:rPr>
          <w:rFonts w:eastAsia="Calibri"/>
          <w:color w:val="000000"/>
          <w:sz w:val="22"/>
          <w:szCs w:val="22"/>
          <w:shd w:val="clear" w:color="auto" w:fill="F7F7F7"/>
          <w:lang w:eastAsia="en-US"/>
        </w:rPr>
        <w:t>Борисенко, Е. Я. Влияние</w:t>
      </w:r>
      <w:r w:rsidRPr="008742E9">
        <w:rPr>
          <w:rFonts w:eastAsia="Calibri"/>
          <w:sz w:val="22"/>
          <w:szCs w:val="22"/>
          <w:shd w:val="clear" w:color="auto" w:fill="F7F7F7"/>
          <w:lang w:eastAsia="en-US"/>
        </w:rPr>
        <w:t> кормления</w:t>
      </w:r>
      <w:r w:rsidRPr="008742E9">
        <w:rPr>
          <w:rFonts w:eastAsia="Calibri"/>
          <w:color w:val="000000"/>
          <w:sz w:val="22"/>
          <w:szCs w:val="22"/>
          <w:shd w:val="clear" w:color="auto" w:fill="F7F7F7"/>
          <w:lang w:eastAsia="en-US"/>
        </w:rPr>
        <w:t> на морфологические и физиологические особенности крупного рогатого скота. / Е. Я. Б</w:t>
      </w:r>
      <w:r w:rsidRPr="008742E9">
        <w:rPr>
          <w:rFonts w:eastAsia="Calibri"/>
          <w:color w:val="000000"/>
          <w:sz w:val="22"/>
          <w:szCs w:val="22"/>
          <w:shd w:val="clear" w:color="auto" w:fill="F7F7F7"/>
          <w:lang w:eastAsia="en-US"/>
        </w:rPr>
        <w:t>о</w:t>
      </w:r>
      <w:r w:rsidRPr="008742E9">
        <w:rPr>
          <w:rFonts w:eastAsia="Calibri"/>
          <w:color w:val="000000"/>
          <w:sz w:val="22"/>
          <w:szCs w:val="22"/>
          <w:shd w:val="clear" w:color="auto" w:fill="F7F7F7"/>
          <w:lang w:eastAsia="en-US"/>
        </w:rPr>
        <w:t>рисенко // Вестник с/х наук. 1957. – № 3. – 34 с.</w:t>
      </w:r>
    </w:p>
    <w:p w:rsidR="008742E9" w:rsidRPr="008742E9" w:rsidRDefault="008742E9" w:rsidP="00667E25">
      <w:pPr>
        <w:numPr>
          <w:ilvl w:val="0"/>
          <w:numId w:val="7"/>
        </w:numPr>
        <w:spacing w:after="160" w:line="259" w:lineRule="auto"/>
        <w:ind w:left="0" w:firstLine="426"/>
        <w:contextualSpacing/>
        <w:jc w:val="both"/>
        <w:rPr>
          <w:rFonts w:eastAsia="Calibri"/>
          <w:sz w:val="22"/>
          <w:szCs w:val="22"/>
          <w:lang w:eastAsia="en-US"/>
        </w:rPr>
      </w:pPr>
      <w:r w:rsidRPr="008742E9">
        <w:rPr>
          <w:rFonts w:eastAsia="Calibri"/>
          <w:sz w:val="22"/>
          <w:szCs w:val="22"/>
          <w:lang w:eastAsia="en-US"/>
        </w:rPr>
        <w:t xml:space="preserve">Еременко О. Н. Разработка способа выращивания телят в молочный период: </w:t>
      </w:r>
      <w:r w:rsidRPr="008742E9">
        <w:rPr>
          <w:rFonts w:eastAsia="Calibri"/>
          <w:color w:val="000000"/>
          <w:sz w:val="22"/>
          <w:szCs w:val="22"/>
          <w:shd w:val="clear" w:color="auto" w:fill="F7F7F7"/>
          <w:lang w:eastAsia="en-US"/>
        </w:rPr>
        <w:t>автореф. дис. канд. с/х наук / О. Н. Еременко. Краснодар, 2009. – 19 с.</w:t>
      </w:r>
    </w:p>
    <w:p w:rsidR="008742E9" w:rsidRPr="008742E9" w:rsidRDefault="00667E25" w:rsidP="00667E25">
      <w:pPr>
        <w:ind w:firstLine="426"/>
        <w:jc w:val="both"/>
        <w:rPr>
          <w:sz w:val="22"/>
          <w:szCs w:val="22"/>
        </w:rPr>
      </w:pPr>
      <w:r>
        <w:rPr>
          <w:sz w:val="22"/>
          <w:szCs w:val="22"/>
        </w:rPr>
        <w:t xml:space="preserve">3. </w:t>
      </w:r>
      <w:r w:rsidR="008742E9" w:rsidRPr="008742E9">
        <w:rPr>
          <w:sz w:val="22"/>
          <w:szCs w:val="22"/>
        </w:rPr>
        <w:t>Соколов В. И., Чумасов Е.И. Цитология, гистология, эмбри</w:t>
      </w:r>
      <w:r w:rsidR="008742E9" w:rsidRPr="008742E9">
        <w:rPr>
          <w:sz w:val="22"/>
          <w:szCs w:val="22"/>
        </w:rPr>
        <w:t>о</w:t>
      </w:r>
      <w:r w:rsidR="008742E9" w:rsidRPr="008742E9">
        <w:rPr>
          <w:sz w:val="22"/>
          <w:szCs w:val="22"/>
        </w:rPr>
        <w:t>логия – М.: «КолосС», 2004. – 351 с.</w:t>
      </w:r>
    </w:p>
    <w:p w:rsidR="008742E9" w:rsidRPr="008742E9" w:rsidRDefault="008742E9" w:rsidP="00667E25">
      <w:pPr>
        <w:ind w:firstLine="426"/>
        <w:jc w:val="both"/>
        <w:rPr>
          <w:sz w:val="22"/>
          <w:szCs w:val="22"/>
        </w:rPr>
      </w:pPr>
    </w:p>
    <w:p w:rsidR="008742E9" w:rsidRDefault="008742E9" w:rsidP="008742E9">
      <w:pPr>
        <w:jc w:val="both"/>
        <w:rPr>
          <w:sz w:val="22"/>
          <w:szCs w:val="22"/>
        </w:rPr>
      </w:pPr>
    </w:p>
    <w:p w:rsidR="00384DE6" w:rsidRDefault="00384DE6" w:rsidP="008742E9">
      <w:pPr>
        <w:jc w:val="both"/>
        <w:rPr>
          <w:sz w:val="22"/>
          <w:szCs w:val="22"/>
        </w:rPr>
      </w:pPr>
    </w:p>
    <w:p w:rsidR="00384DE6" w:rsidRDefault="00384DE6" w:rsidP="008742E9">
      <w:pPr>
        <w:jc w:val="both"/>
        <w:rPr>
          <w:sz w:val="22"/>
          <w:szCs w:val="22"/>
        </w:rPr>
      </w:pPr>
    </w:p>
    <w:p w:rsidR="00384DE6" w:rsidRPr="008742E9" w:rsidRDefault="00384DE6" w:rsidP="008742E9">
      <w:pPr>
        <w:jc w:val="both"/>
        <w:rPr>
          <w:sz w:val="22"/>
          <w:szCs w:val="22"/>
        </w:rPr>
      </w:pPr>
    </w:p>
    <w:p w:rsidR="008742E9" w:rsidRPr="008742E9" w:rsidRDefault="008742E9" w:rsidP="008742E9">
      <w:pPr>
        <w:rPr>
          <w:rFonts w:eastAsia="Calibri"/>
          <w:sz w:val="22"/>
          <w:szCs w:val="22"/>
          <w:lang w:eastAsia="en-US"/>
        </w:rPr>
      </w:pPr>
      <w:r w:rsidRPr="008742E9">
        <w:rPr>
          <w:rFonts w:eastAsia="Calibri"/>
          <w:sz w:val="22"/>
          <w:szCs w:val="22"/>
          <w:lang w:eastAsia="en-US"/>
        </w:rPr>
        <w:lastRenderedPageBreak/>
        <w:t>УДК 619:616.98:579.842.11</w:t>
      </w:r>
    </w:p>
    <w:p w:rsidR="008742E9" w:rsidRPr="008742E9" w:rsidRDefault="008742E9" w:rsidP="008742E9">
      <w:pPr>
        <w:rPr>
          <w:rFonts w:eastAsia="Calibri"/>
          <w:sz w:val="22"/>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Влияние основных факторов патогенности кишечной</w:t>
      </w:r>
      <w:r w:rsidR="00667E25">
        <w:rPr>
          <w:rFonts w:eastAsia="Calibri"/>
          <w:b/>
          <w:sz w:val="24"/>
          <w:szCs w:val="22"/>
          <w:lang w:eastAsia="en-US"/>
        </w:rPr>
        <w:br/>
      </w:r>
      <w:r w:rsidRPr="008742E9">
        <w:rPr>
          <w:rFonts w:eastAsia="Calibri"/>
          <w:b/>
          <w:sz w:val="24"/>
          <w:szCs w:val="22"/>
          <w:lang w:eastAsia="en-US"/>
        </w:rPr>
        <w:t xml:space="preserve"> палочки</w:t>
      </w:r>
      <w:r w:rsidRPr="008742E9">
        <w:rPr>
          <w:rFonts w:eastAsia="Calibri"/>
          <w:b/>
          <w:sz w:val="22"/>
          <w:szCs w:val="22"/>
          <w:lang w:eastAsia="en-US"/>
        </w:rPr>
        <w:t xml:space="preserve"> </w:t>
      </w:r>
      <w:r w:rsidRPr="008742E9">
        <w:rPr>
          <w:rFonts w:eastAsia="Calibri"/>
          <w:b/>
          <w:sz w:val="24"/>
          <w:szCs w:val="22"/>
          <w:lang w:eastAsia="en-US"/>
        </w:rPr>
        <w:t xml:space="preserve">на развитие болезни при эшерихиозе </w:t>
      </w:r>
    </w:p>
    <w:p w:rsidR="008742E9" w:rsidRPr="00667E25" w:rsidRDefault="008742E9" w:rsidP="008742E9">
      <w:pPr>
        <w:jc w:val="center"/>
        <w:rPr>
          <w:rFonts w:eastAsia="Calibri"/>
          <w:b/>
          <w:sz w:val="22"/>
          <w:szCs w:val="22"/>
          <w:lang w:val="en-US" w:eastAsia="en-US"/>
        </w:rPr>
      </w:pPr>
      <w:r w:rsidRPr="008742E9">
        <w:rPr>
          <w:rFonts w:eastAsia="Calibri"/>
          <w:b/>
          <w:sz w:val="24"/>
          <w:szCs w:val="22"/>
          <w:lang w:val="en-US" w:eastAsia="en-US"/>
        </w:rPr>
        <w:t>Influence</w:t>
      </w:r>
      <w:r w:rsidRPr="00667E25">
        <w:rPr>
          <w:rFonts w:eastAsia="Calibri"/>
          <w:b/>
          <w:sz w:val="24"/>
          <w:szCs w:val="22"/>
          <w:lang w:val="en-US" w:eastAsia="en-US"/>
        </w:rPr>
        <w:t xml:space="preserve"> </w:t>
      </w:r>
      <w:r w:rsidRPr="008742E9">
        <w:rPr>
          <w:rFonts w:eastAsia="Calibri"/>
          <w:b/>
          <w:sz w:val="24"/>
          <w:szCs w:val="22"/>
          <w:lang w:val="en-US" w:eastAsia="en-US"/>
        </w:rPr>
        <w:t>of</w:t>
      </w:r>
      <w:r w:rsidRPr="00667E25">
        <w:rPr>
          <w:rFonts w:eastAsia="Calibri"/>
          <w:b/>
          <w:sz w:val="24"/>
          <w:szCs w:val="22"/>
          <w:lang w:val="en-US" w:eastAsia="en-US"/>
        </w:rPr>
        <w:t xml:space="preserve"> </w:t>
      </w:r>
      <w:r w:rsidRPr="008742E9">
        <w:rPr>
          <w:rFonts w:eastAsia="Calibri"/>
          <w:b/>
          <w:sz w:val="24"/>
          <w:szCs w:val="22"/>
          <w:lang w:val="en-US" w:eastAsia="en-US"/>
        </w:rPr>
        <w:t>the</w:t>
      </w:r>
      <w:r w:rsidRPr="00667E25">
        <w:rPr>
          <w:rFonts w:eastAsia="Calibri"/>
          <w:b/>
          <w:sz w:val="24"/>
          <w:szCs w:val="22"/>
          <w:lang w:val="en-US" w:eastAsia="en-US"/>
        </w:rPr>
        <w:t xml:space="preserve"> </w:t>
      </w:r>
      <w:r w:rsidRPr="008742E9">
        <w:rPr>
          <w:rFonts w:eastAsia="Calibri"/>
          <w:b/>
          <w:sz w:val="24"/>
          <w:szCs w:val="22"/>
          <w:lang w:val="en-US" w:eastAsia="en-US"/>
        </w:rPr>
        <w:t>main</w:t>
      </w:r>
      <w:r w:rsidRPr="00667E25">
        <w:rPr>
          <w:rFonts w:eastAsia="Calibri"/>
          <w:b/>
          <w:sz w:val="24"/>
          <w:szCs w:val="22"/>
          <w:lang w:val="en-US" w:eastAsia="en-US"/>
        </w:rPr>
        <w:t xml:space="preserve"> </w:t>
      </w:r>
      <w:r w:rsidRPr="008742E9">
        <w:rPr>
          <w:rFonts w:eastAsia="Calibri"/>
          <w:b/>
          <w:sz w:val="24"/>
          <w:szCs w:val="22"/>
          <w:lang w:val="en-US" w:eastAsia="en-US"/>
        </w:rPr>
        <w:t>factors</w:t>
      </w:r>
      <w:r w:rsidRPr="00667E25">
        <w:rPr>
          <w:rFonts w:eastAsia="Calibri"/>
          <w:b/>
          <w:sz w:val="24"/>
          <w:szCs w:val="22"/>
          <w:lang w:val="en-US" w:eastAsia="en-US"/>
        </w:rPr>
        <w:t xml:space="preserve"> </w:t>
      </w:r>
      <w:r w:rsidRPr="008742E9">
        <w:rPr>
          <w:rFonts w:eastAsia="Calibri"/>
          <w:b/>
          <w:sz w:val="24"/>
          <w:szCs w:val="22"/>
          <w:lang w:val="en-US" w:eastAsia="en-US"/>
        </w:rPr>
        <w:t>of</w:t>
      </w:r>
      <w:r w:rsidRPr="00667E25">
        <w:rPr>
          <w:rFonts w:eastAsia="Calibri"/>
          <w:b/>
          <w:sz w:val="24"/>
          <w:szCs w:val="22"/>
          <w:lang w:val="en-US" w:eastAsia="en-US"/>
        </w:rPr>
        <w:t xml:space="preserve"> </w:t>
      </w:r>
      <w:r w:rsidRPr="008742E9">
        <w:rPr>
          <w:rFonts w:eastAsia="Calibri"/>
          <w:b/>
          <w:sz w:val="24"/>
          <w:szCs w:val="22"/>
          <w:lang w:val="en-US" w:eastAsia="en-US"/>
        </w:rPr>
        <w:t>E</w:t>
      </w:r>
      <w:r w:rsidRPr="00667E25">
        <w:rPr>
          <w:rFonts w:eastAsia="Calibri"/>
          <w:b/>
          <w:sz w:val="24"/>
          <w:szCs w:val="22"/>
          <w:lang w:val="en-US" w:eastAsia="en-US"/>
        </w:rPr>
        <w:t xml:space="preserve">. </w:t>
      </w:r>
      <w:r w:rsidRPr="008742E9">
        <w:rPr>
          <w:rFonts w:eastAsia="Calibri"/>
          <w:b/>
          <w:sz w:val="24"/>
          <w:szCs w:val="22"/>
          <w:lang w:val="en-US" w:eastAsia="en-US"/>
        </w:rPr>
        <w:t>coli</w:t>
      </w:r>
      <w:r w:rsidRPr="00667E25">
        <w:rPr>
          <w:rFonts w:eastAsia="Calibri"/>
          <w:b/>
          <w:sz w:val="24"/>
          <w:szCs w:val="22"/>
          <w:lang w:val="en-US" w:eastAsia="en-US"/>
        </w:rPr>
        <w:t xml:space="preserve"> </w:t>
      </w:r>
      <w:r w:rsidRPr="008742E9">
        <w:rPr>
          <w:rFonts w:eastAsia="Calibri"/>
          <w:b/>
          <w:sz w:val="24"/>
          <w:szCs w:val="22"/>
          <w:lang w:val="en-US" w:eastAsia="en-US"/>
        </w:rPr>
        <w:t>pathogenicity</w:t>
      </w:r>
      <w:r w:rsidRPr="00667E25">
        <w:rPr>
          <w:rFonts w:eastAsia="Calibri"/>
          <w:b/>
          <w:sz w:val="24"/>
          <w:szCs w:val="22"/>
          <w:lang w:val="en-US" w:eastAsia="en-US"/>
        </w:rPr>
        <w:t xml:space="preserve"> </w:t>
      </w:r>
      <w:r w:rsidR="00667E25" w:rsidRPr="00667E25">
        <w:rPr>
          <w:rFonts w:eastAsia="Calibri"/>
          <w:b/>
          <w:sz w:val="24"/>
          <w:szCs w:val="22"/>
          <w:lang w:val="en-US" w:eastAsia="en-US"/>
        </w:rPr>
        <w:br/>
      </w:r>
      <w:r w:rsidRPr="008742E9">
        <w:rPr>
          <w:rFonts w:eastAsia="Calibri"/>
          <w:b/>
          <w:sz w:val="24"/>
          <w:szCs w:val="22"/>
          <w:lang w:val="en-US" w:eastAsia="en-US"/>
        </w:rPr>
        <w:t>on</w:t>
      </w:r>
      <w:r w:rsidRPr="00667E25">
        <w:rPr>
          <w:rFonts w:eastAsia="Calibri"/>
          <w:b/>
          <w:sz w:val="24"/>
          <w:szCs w:val="22"/>
          <w:lang w:val="en-US" w:eastAsia="en-US"/>
        </w:rPr>
        <w:t xml:space="preserve"> </w:t>
      </w:r>
      <w:r w:rsidRPr="008742E9">
        <w:rPr>
          <w:rFonts w:eastAsia="Calibri"/>
          <w:b/>
          <w:sz w:val="24"/>
          <w:szCs w:val="22"/>
          <w:lang w:val="en-US" w:eastAsia="en-US"/>
        </w:rPr>
        <w:t>the</w:t>
      </w:r>
      <w:r w:rsidRPr="00667E25">
        <w:rPr>
          <w:rFonts w:eastAsia="Calibri"/>
          <w:b/>
          <w:sz w:val="24"/>
          <w:szCs w:val="22"/>
          <w:lang w:val="en-US" w:eastAsia="en-US"/>
        </w:rPr>
        <w:t xml:space="preserve"> </w:t>
      </w:r>
      <w:r w:rsidRPr="008742E9">
        <w:rPr>
          <w:rFonts w:eastAsia="Calibri"/>
          <w:b/>
          <w:sz w:val="24"/>
          <w:szCs w:val="22"/>
          <w:lang w:val="en-US" w:eastAsia="en-US"/>
        </w:rPr>
        <w:t>development</w:t>
      </w:r>
      <w:r w:rsidRPr="00667E25">
        <w:rPr>
          <w:rFonts w:eastAsia="Calibri"/>
          <w:b/>
          <w:sz w:val="24"/>
          <w:szCs w:val="22"/>
          <w:lang w:val="en-US" w:eastAsia="en-US"/>
        </w:rPr>
        <w:t xml:space="preserve"> </w:t>
      </w:r>
      <w:r w:rsidRPr="008742E9">
        <w:rPr>
          <w:rFonts w:eastAsia="Calibri"/>
          <w:b/>
          <w:sz w:val="24"/>
          <w:szCs w:val="22"/>
          <w:lang w:val="en-US" w:eastAsia="en-US"/>
        </w:rPr>
        <w:t>of</w:t>
      </w:r>
      <w:r w:rsidRPr="00667E25">
        <w:rPr>
          <w:rFonts w:eastAsia="Calibri"/>
          <w:b/>
          <w:sz w:val="24"/>
          <w:szCs w:val="22"/>
          <w:lang w:val="en-US" w:eastAsia="en-US"/>
        </w:rPr>
        <w:t xml:space="preserve"> </w:t>
      </w:r>
      <w:r w:rsidRPr="008742E9">
        <w:rPr>
          <w:rFonts w:eastAsia="Calibri"/>
          <w:b/>
          <w:sz w:val="24"/>
          <w:szCs w:val="22"/>
          <w:lang w:val="en-US" w:eastAsia="en-US"/>
        </w:rPr>
        <w:t>the</w:t>
      </w:r>
      <w:r w:rsidRPr="00667E25">
        <w:rPr>
          <w:rFonts w:eastAsia="Calibri"/>
          <w:b/>
          <w:sz w:val="24"/>
          <w:szCs w:val="22"/>
          <w:lang w:val="en-US" w:eastAsia="en-US"/>
        </w:rPr>
        <w:t xml:space="preserve"> </w:t>
      </w:r>
      <w:r w:rsidRPr="008742E9">
        <w:rPr>
          <w:rFonts w:eastAsia="Calibri"/>
          <w:b/>
          <w:sz w:val="24"/>
          <w:szCs w:val="22"/>
          <w:lang w:val="en-US" w:eastAsia="en-US"/>
        </w:rPr>
        <w:t>disease</w:t>
      </w:r>
      <w:r w:rsidRPr="00667E25">
        <w:rPr>
          <w:rFonts w:eastAsia="Calibri"/>
          <w:b/>
          <w:sz w:val="24"/>
          <w:szCs w:val="22"/>
          <w:lang w:val="en-US" w:eastAsia="en-US"/>
        </w:rPr>
        <w:t xml:space="preserve"> </w:t>
      </w:r>
      <w:r w:rsidRPr="008742E9">
        <w:rPr>
          <w:rFonts w:eastAsia="Calibri"/>
          <w:b/>
          <w:sz w:val="24"/>
          <w:szCs w:val="22"/>
          <w:lang w:val="en-US" w:eastAsia="en-US"/>
        </w:rPr>
        <w:t>in</w:t>
      </w:r>
      <w:r w:rsidRPr="00667E25">
        <w:rPr>
          <w:rFonts w:eastAsia="Calibri"/>
          <w:b/>
          <w:sz w:val="24"/>
          <w:szCs w:val="22"/>
          <w:lang w:val="en-US" w:eastAsia="en-US"/>
        </w:rPr>
        <w:t xml:space="preserve"> </w:t>
      </w:r>
      <w:r w:rsidRPr="008742E9">
        <w:rPr>
          <w:rFonts w:eastAsia="Calibri"/>
          <w:b/>
          <w:sz w:val="24"/>
          <w:szCs w:val="22"/>
          <w:lang w:val="en-US" w:eastAsia="en-US"/>
        </w:rPr>
        <w:t>escherichiosis</w:t>
      </w:r>
    </w:p>
    <w:p w:rsidR="008742E9" w:rsidRPr="00667E25" w:rsidRDefault="008742E9" w:rsidP="008742E9">
      <w:pPr>
        <w:jc w:val="right"/>
        <w:rPr>
          <w:rFonts w:eastAsia="Calibri"/>
          <w:sz w:val="22"/>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Мартыненко Я.</w:t>
      </w:r>
      <w:r w:rsidR="00667E25">
        <w:rPr>
          <w:rFonts w:eastAsia="Calibri"/>
          <w:sz w:val="22"/>
          <w:szCs w:val="22"/>
          <w:lang w:eastAsia="en-US"/>
        </w:rPr>
        <w:t xml:space="preserve"> </w:t>
      </w:r>
      <w:r w:rsidRPr="008742E9">
        <w:rPr>
          <w:rFonts w:eastAsia="Calibri"/>
          <w:sz w:val="22"/>
          <w:szCs w:val="22"/>
          <w:lang w:eastAsia="en-US"/>
        </w:rPr>
        <w:t>Н.,</w:t>
      </w:r>
    </w:p>
    <w:p w:rsidR="00667E25" w:rsidRDefault="00667E25" w:rsidP="008742E9">
      <w:pPr>
        <w:jc w:val="right"/>
        <w:rPr>
          <w:rFonts w:eastAsia="Calibri"/>
          <w:sz w:val="22"/>
          <w:szCs w:val="22"/>
          <w:lang w:eastAsia="en-US"/>
        </w:rPr>
      </w:pPr>
      <w:r>
        <w:rPr>
          <w:rFonts w:eastAsia="Calibri"/>
          <w:sz w:val="22"/>
          <w:szCs w:val="22"/>
          <w:lang w:eastAsia="en-US"/>
        </w:rPr>
        <w:t>студентка 3 курса</w:t>
      </w:r>
    </w:p>
    <w:p w:rsidR="008742E9" w:rsidRPr="008742E9" w:rsidRDefault="00667E25" w:rsidP="00667E25">
      <w:pPr>
        <w:jc w:val="right"/>
        <w:rPr>
          <w:rFonts w:eastAsia="Calibri"/>
          <w:sz w:val="22"/>
          <w:szCs w:val="22"/>
          <w:lang w:eastAsia="en-US"/>
        </w:rPr>
      </w:pPr>
      <w:r>
        <w:rPr>
          <w:rFonts w:eastAsia="Calibri"/>
          <w:sz w:val="22"/>
          <w:szCs w:val="22"/>
          <w:lang w:eastAsia="en-US"/>
        </w:rPr>
        <w:t xml:space="preserve">факультета </w:t>
      </w:r>
      <w:r w:rsidR="008742E9"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Тищенко А.</w:t>
      </w:r>
      <w:r w:rsidR="00667E25">
        <w:rPr>
          <w:rFonts w:eastAsia="Calibri"/>
          <w:sz w:val="22"/>
          <w:szCs w:val="22"/>
          <w:lang w:eastAsia="en-US"/>
        </w:rPr>
        <w:t xml:space="preserve"> </w:t>
      </w:r>
      <w:r w:rsidRPr="008742E9">
        <w:rPr>
          <w:rFonts w:eastAsia="Calibri"/>
          <w:sz w:val="22"/>
          <w:szCs w:val="22"/>
          <w:lang w:eastAsia="en-US"/>
        </w:rPr>
        <w:t>С.,</w:t>
      </w:r>
    </w:p>
    <w:p w:rsidR="008742E9" w:rsidRPr="008742E9" w:rsidRDefault="00667E25" w:rsidP="008742E9">
      <w:pPr>
        <w:jc w:val="right"/>
        <w:rPr>
          <w:rFonts w:eastAsia="Calibri"/>
          <w:sz w:val="22"/>
          <w:szCs w:val="22"/>
          <w:lang w:eastAsia="en-US"/>
        </w:rPr>
      </w:pPr>
      <w:r>
        <w:rPr>
          <w:rFonts w:eastAsia="Calibri"/>
          <w:sz w:val="22"/>
          <w:szCs w:val="22"/>
          <w:lang w:eastAsia="en-US"/>
        </w:rPr>
        <w:t>доцент кафедры микробиологии,</w:t>
      </w:r>
    </w:p>
    <w:p w:rsidR="008742E9" w:rsidRPr="008742E9" w:rsidRDefault="00667E25" w:rsidP="008742E9">
      <w:pPr>
        <w:jc w:val="right"/>
        <w:rPr>
          <w:rFonts w:eastAsia="Calibri"/>
          <w:sz w:val="22"/>
          <w:szCs w:val="22"/>
          <w:lang w:eastAsia="en-US"/>
        </w:rPr>
      </w:pPr>
      <w:r>
        <w:rPr>
          <w:rFonts w:eastAsia="Calibri"/>
          <w:sz w:val="22"/>
          <w:szCs w:val="22"/>
          <w:lang w:eastAsia="en-US"/>
        </w:rPr>
        <w:t>эпизоотологии и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w:t>
      </w:r>
      <w:r w:rsidR="00667E25">
        <w:rPr>
          <w:rFonts w:eastAsia="Calibri"/>
          <w:sz w:val="22"/>
          <w:szCs w:val="22"/>
          <w:lang w:eastAsia="en-US"/>
        </w:rPr>
        <w:t>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667E25">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АННОТАЦИЯ: Изучены механизмы развития кишечных заб</w:t>
      </w:r>
      <w:r w:rsidRPr="008742E9">
        <w:rPr>
          <w:rFonts w:eastAsia="Calibri"/>
          <w:sz w:val="22"/>
          <w:szCs w:val="22"/>
          <w:lang w:eastAsia="en-US"/>
        </w:rPr>
        <w:t>о</w:t>
      </w:r>
      <w:r w:rsidRPr="008742E9">
        <w:rPr>
          <w:rFonts w:eastAsia="Calibri"/>
          <w:sz w:val="22"/>
          <w:szCs w:val="22"/>
          <w:lang w:eastAsia="en-US"/>
        </w:rPr>
        <w:t xml:space="preserve">леваний, вызванных патогенными вариантами </w:t>
      </w:r>
      <w:r w:rsidRPr="008742E9">
        <w:rPr>
          <w:rFonts w:eastAsia="Calibri"/>
          <w:i/>
          <w:sz w:val="22"/>
          <w:szCs w:val="22"/>
          <w:lang w:eastAsia="en-US"/>
        </w:rPr>
        <w:t>Escherichia coli</w:t>
      </w:r>
      <w:r w:rsidRPr="008742E9">
        <w:rPr>
          <w:rFonts w:eastAsia="Calibri"/>
          <w:sz w:val="22"/>
          <w:szCs w:val="22"/>
          <w:lang w:eastAsia="en-US"/>
        </w:rPr>
        <w:t>. Пр</w:t>
      </w:r>
      <w:r w:rsidRPr="008742E9">
        <w:rPr>
          <w:rFonts w:eastAsia="Calibri"/>
          <w:sz w:val="22"/>
          <w:szCs w:val="22"/>
          <w:lang w:eastAsia="en-US"/>
        </w:rPr>
        <w:t>и</w:t>
      </w:r>
      <w:r w:rsidRPr="008742E9">
        <w:rPr>
          <w:rFonts w:eastAsia="Calibri"/>
          <w:sz w:val="22"/>
          <w:szCs w:val="22"/>
          <w:lang w:eastAsia="en-US"/>
        </w:rPr>
        <w:t>ведена классификация кишечной палочки в зависимости от факт</w:t>
      </w:r>
      <w:r w:rsidRPr="008742E9">
        <w:rPr>
          <w:rFonts w:eastAsia="Calibri"/>
          <w:sz w:val="22"/>
          <w:szCs w:val="22"/>
          <w:lang w:eastAsia="en-US"/>
        </w:rPr>
        <w:t>о</w:t>
      </w:r>
      <w:r w:rsidRPr="008742E9">
        <w:rPr>
          <w:rFonts w:eastAsia="Calibri"/>
          <w:sz w:val="22"/>
          <w:szCs w:val="22"/>
          <w:lang w:eastAsia="en-US"/>
        </w:rPr>
        <w:t xml:space="preserve">ров патогенности и механизмов развития инфекционного процесса. </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ABSTRACT: The mechanisms of development of intestinal disea</w:t>
      </w:r>
      <w:r w:rsidRPr="008742E9">
        <w:rPr>
          <w:rFonts w:eastAsia="Calibri"/>
          <w:sz w:val="22"/>
          <w:szCs w:val="22"/>
          <w:lang w:val="en-US" w:eastAsia="en-US"/>
        </w:rPr>
        <w:t>s</w:t>
      </w:r>
      <w:r w:rsidRPr="008742E9">
        <w:rPr>
          <w:rFonts w:eastAsia="Calibri"/>
          <w:sz w:val="22"/>
          <w:szCs w:val="22"/>
          <w:lang w:val="en-US" w:eastAsia="en-US"/>
        </w:rPr>
        <w:t>es caused by pathogenic variants of Escherichia coli have been studied.  The classification of Escherichia coli is given depending on the factors of pathogenicity and the mechanisms of the development of the infe</w:t>
      </w:r>
      <w:r w:rsidRPr="008742E9">
        <w:rPr>
          <w:rFonts w:eastAsia="Calibri"/>
          <w:sz w:val="22"/>
          <w:szCs w:val="22"/>
          <w:lang w:val="en-US" w:eastAsia="en-US"/>
        </w:rPr>
        <w:t>c</w:t>
      </w:r>
      <w:r w:rsidRPr="008742E9">
        <w:rPr>
          <w:rFonts w:eastAsia="Calibri"/>
          <w:sz w:val="22"/>
          <w:szCs w:val="22"/>
          <w:lang w:val="en-US" w:eastAsia="en-US"/>
        </w:rPr>
        <w:t>tious process.</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КЛЮЧЕВЫЕ СЛОВА: кишечная палочка, эшерихиоз, факторы патогенности, патогенез </w:t>
      </w:r>
    </w:p>
    <w:p w:rsidR="008742E9" w:rsidRPr="008742E9" w:rsidRDefault="008742E9" w:rsidP="00667E25">
      <w:pPr>
        <w:ind w:firstLine="426"/>
        <w:jc w:val="both"/>
        <w:rPr>
          <w:rFonts w:eastAsia="Calibri"/>
          <w:sz w:val="22"/>
          <w:szCs w:val="22"/>
          <w:lang w:val="en-US" w:eastAsia="en-US"/>
        </w:rPr>
      </w:pPr>
      <w:r w:rsidRPr="008742E9">
        <w:rPr>
          <w:rFonts w:eastAsia="Calibri"/>
          <w:sz w:val="22"/>
          <w:szCs w:val="22"/>
          <w:lang w:val="en-US" w:eastAsia="en-US"/>
        </w:rPr>
        <w:t>KEY WORDS: Escherichia coli, escherichiosis, factors of path</w:t>
      </w:r>
      <w:r w:rsidRPr="008742E9">
        <w:rPr>
          <w:rFonts w:eastAsia="Calibri"/>
          <w:sz w:val="22"/>
          <w:szCs w:val="22"/>
          <w:lang w:val="en-US" w:eastAsia="en-US"/>
        </w:rPr>
        <w:t>o</w:t>
      </w:r>
      <w:r w:rsidRPr="008742E9">
        <w:rPr>
          <w:rFonts w:eastAsia="Calibri"/>
          <w:sz w:val="22"/>
          <w:szCs w:val="22"/>
          <w:lang w:val="en-US" w:eastAsia="en-US"/>
        </w:rPr>
        <w:t>genicity, pathogenesis</w:t>
      </w:r>
    </w:p>
    <w:p w:rsidR="008742E9" w:rsidRPr="008742E9" w:rsidRDefault="008742E9" w:rsidP="00667E25">
      <w:pPr>
        <w:ind w:firstLine="426"/>
        <w:jc w:val="both"/>
        <w:rPr>
          <w:rFonts w:eastAsia="Calibri"/>
          <w:sz w:val="22"/>
          <w:szCs w:val="22"/>
          <w:lang w:val="en-US" w:eastAsia="en-US"/>
        </w:rPr>
      </w:pPr>
    </w:p>
    <w:p w:rsidR="008742E9" w:rsidRPr="008742E9" w:rsidRDefault="008742E9" w:rsidP="00667E25">
      <w:pPr>
        <w:ind w:firstLine="426"/>
        <w:jc w:val="both"/>
        <w:rPr>
          <w:rFonts w:eastAsia="Calibri"/>
          <w:sz w:val="22"/>
          <w:szCs w:val="22"/>
          <w:lang w:eastAsia="en-US"/>
        </w:rPr>
      </w:pPr>
      <w:r w:rsidRPr="008742E9">
        <w:rPr>
          <w:rFonts w:eastAsia="Calibri"/>
          <w:i/>
          <w:sz w:val="22"/>
          <w:szCs w:val="22"/>
          <w:lang w:eastAsia="en-US"/>
        </w:rPr>
        <w:t>Escherichia coli</w:t>
      </w:r>
      <w:r w:rsidRPr="008742E9">
        <w:rPr>
          <w:rFonts w:eastAsia="Calibri"/>
          <w:sz w:val="22"/>
          <w:szCs w:val="22"/>
          <w:lang w:eastAsia="en-US"/>
        </w:rPr>
        <w:t xml:space="preserve"> (</w:t>
      </w:r>
      <w:r w:rsidRPr="008742E9">
        <w:rPr>
          <w:rFonts w:eastAsia="Calibri"/>
          <w:i/>
          <w:sz w:val="22"/>
          <w:szCs w:val="22"/>
          <w:lang w:eastAsia="en-US"/>
        </w:rPr>
        <w:t>E. coli</w:t>
      </w:r>
      <w:r w:rsidRPr="008742E9">
        <w:rPr>
          <w:rFonts w:eastAsia="Calibri"/>
          <w:sz w:val="22"/>
          <w:szCs w:val="22"/>
          <w:lang w:eastAsia="en-US"/>
        </w:rPr>
        <w:t xml:space="preserve">) впервые описал бактериолог Т. Эшерих в 1885 г. Изолированную из фекалий здорового ребенка бактерию он назвал </w:t>
      </w:r>
      <w:r w:rsidRPr="008742E9">
        <w:rPr>
          <w:rFonts w:eastAsia="Calibri"/>
          <w:i/>
          <w:sz w:val="22"/>
          <w:szCs w:val="22"/>
          <w:lang w:eastAsia="en-US"/>
        </w:rPr>
        <w:t xml:space="preserve">Bacterium coli commune </w:t>
      </w:r>
      <w:r w:rsidRPr="008742E9">
        <w:rPr>
          <w:rFonts w:eastAsia="Calibri"/>
          <w:sz w:val="22"/>
          <w:szCs w:val="22"/>
          <w:lang w:eastAsia="en-US"/>
        </w:rPr>
        <w:t xml:space="preserve">(в переводе «бактерия кишечного сообщества»). До 50-х годов минувшего столетия </w:t>
      </w:r>
      <w:r w:rsidRPr="008742E9">
        <w:rPr>
          <w:rFonts w:eastAsia="Calibri"/>
          <w:i/>
          <w:sz w:val="22"/>
          <w:szCs w:val="22"/>
          <w:lang w:eastAsia="en-US"/>
        </w:rPr>
        <w:t>E. coli</w:t>
      </w:r>
      <w:r w:rsidRPr="008742E9">
        <w:rPr>
          <w:rFonts w:eastAsia="Calibri"/>
          <w:sz w:val="22"/>
          <w:szCs w:val="22"/>
          <w:lang w:eastAsia="en-US"/>
        </w:rPr>
        <w:t xml:space="preserve"> считали представителем нормальной микрофлоры кишечного тракта всех млекопитающих, в том числе и человека, а также птиц, рептилий и рыб [1].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lastRenderedPageBreak/>
        <w:t>Однако большое количество исследований последних десят</w:t>
      </w:r>
      <w:r w:rsidRPr="008742E9">
        <w:rPr>
          <w:rFonts w:eastAsia="Calibri"/>
          <w:sz w:val="22"/>
          <w:szCs w:val="22"/>
          <w:lang w:eastAsia="en-US"/>
        </w:rPr>
        <w:t>и</w:t>
      </w:r>
      <w:r w:rsidRPr="008742E9">
        <w:rPr>
          <w:rFonts w:eastAsia="Calibri"/>
          <w:sz w:val="22"/>
          <w:szCs w:val="22"/>
          <w:lang w:eastAsia="en-US"/>
        </w:rPr>
        <w:t xml:space="preserve">летий показало, что </w:t>
      </w:r>
      <w:r w:rsidRPr="008742E9">
        <w:rPr>
          <w:rFonts w:eastAsia="Calibri"/>
          <w:i/>
          <w:sz w:val="22"/>
          <w:szCs w:val="22"/>
          <w:lang w:eastAsia="en-US"/>
        </w:rPr>
        <w:t>E. coli</w:t>
      </w:r>
      <w:r w:rsidRPr="008742E9">
        <w:rPr>
          <w:rFonts w:eastAsia="Calibri"/>
          <w:sz w:val="22"/>
          <w:szCs w:val="22"/>
          <w:lang w:eastAsia="en-US"/>
        </w:rPr>
        <w:t xml:space="preserve"> является этиологическим агентом целого ряда внекишечных болезней (урогенитальных, раневых инфекций, мастита, септицемии и менингита), а также острых кишечных заб</w:t>
      </w:r>
      <w:r w:rsidRPr="008742E9">
        <w:rPr>
          <w:rFonts w:eastAsia="Calibri"/>
          <w:sz w:val="22"/>
          <w:szCs w:val="22"/>
          <w:lang w:eastAsia="en-US"/>
        </w:rPr>
        <w:t>о</w:t>
      </w:r>
      <w:r w:rsidRPr="008742E9">
        <w:rPr>
          <w:rFonts w:eastAsia="Calibri"/>
          <w:sz w:val="22"/>
          <w:szCs w:val="22"/>
          <w:lang w:eastAsia="en-US"/>
        </w:rPr>
        <w:t>леваний, как у животных, так и у человека [2, 3].</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Для дифференциации диареегенных вариантов кишечной п</w:t>
      </w:r>
      <w:r w:rsidRPr="008742E9">
        <w:rPr>
          <w:rFonts w:eastAsia="Calibri"/>
          <w:sz w:val="22"/>
          <w:szCs w:val="22"/>
          <w:lang w:eastAsia="en-US"/>
        </w:rPr>
        <w:t>а</w:t>
      </w:r>
      <w:r w:rsidRPr="008742E9">
        <w:rPr>
          <w:rFonts w:eastAsia="Calibri"/>
          <w:sz w:val="22"/>
          <w:szCs w:val="22"/>
          <w:lang w:eastAsia="en-US"/>
        </w:rPr>
        <w:t xml:space="preserve">лочки штаммы </w:t>
      </w:r>
      <w:r w:rsidRPr="008742E9">
        <w:rPr>
          <w:rFonts w:eastAsia="Calibri"/>
          <w:i/>
          <w:sz w:val="22"/>
          <w:szCs w:val="22"/>
          <w:lang w:eastAsia="en-US"/>
        </w:rPr>
        <w:t>E. coli</w:t>
      </w:r>
      <w:r w:rsidRPr="008742E9">
        <w:rPr>
          <w:rFonts w:eastAsia="Calibri"/>
          <w:sz w:val="22"/>
          <w:szCs w:val="22"/>
          <w:lang w:eastAsia="en-US"/>
        </w:rPr>
        <w:t xml:space="preserve"> делят на пять групп, отличающихся набором факторов патогенности, отвечающих за развитие заболевания, та</w:t>
      </w:r>
      <w:r w:rsidRPr="008742E9">
        <w:rPr>
          <w:rFonts w:eastAsia="Calibri"/>
          <w:sz w:val="22"/>
          <w:szCs w:val="22"/>
          <w:lang w:eastAsia="en-US"/>
        </w:rPr>
        <w:t>к</w:t>
      </w:r>
      <w:r w:rsidRPr="008742E9">
        <w:rPr>
          <w:rFonts w:eastAsia="Calibri"/>
          <w:sz w:val="22"/>
          <w:szCs w:val="22"/>
          <w:lang w:eastAsia="en-US"/>
        </w:rPr>
        <w:t>же различными антигенными, серологическими свойствами и х</w:t>
      </w:r>
      <w:r w:rsidRPr="008742E9">
        <w:rPr>
          <w:rFonts w:eastAsia="Calibri"/>
          <w:sz w:val="22"/>
          <w:szCs w:val="22"/>
          <w:lang w:eastAsia="en-US"/>
        </w:rPr>
        <w:t>а</w:t>
      </w:r>
      <w:r w:rsidRPr="008742E9">
        <w:rPr>
          <w:rFonts w:eastAsia="Calibri"/>
          <w:sz w:val="22"/>
          <w:szCs w:val="22"/>
          <w:lang w:eastAsia="en-US"/>
        </w:rPr>
        <w:t>рактером клинического проявления [3, 4, 5].</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К возбудителям острых кишечных инфекций относят следу</w:t>
      </w:r>
      <w:r w:rsidRPr="008742E9">
        <w:rPr>
          <w:rFonts w:eastAsia="Calibri"/>
          <w:sz w:val="22"/>
          <w:szCs w:val="22"/>
          <w:lang w:eastAsia="en-US"/>
        </w:rPr>
        <w:t>ю</w:t>
      </w:r>
      <w:r w:rsidRPr="008742E9">
        <w:rPr>
          <w:rFonts w:eastAsia="Calibri"/>
          <w:sz w:val="22"/>
          <w:szCs w:val="22"/>
          <w:lang w:eastAsia="en-US"/>
        </w:rPr>
        <w:t xml:space="preserve">щие основные группы </w:t>
      </w:r>
      <w:r w:rsidRPr="008742E9">
        <w:rPr>
          <w:rFonts w:eastAsia="Calibri"/>
          <w:i/>
          <w:sz w:val="22"/>
          <w:szCs w:val="22"/>
          <w:lang w:val="en-US" w:eastAsia="en-US"/>
        </w:rPr>
        <w:t>E</w:t>
      </w:r>
      <w:r w:rsidRPr="008742E9">
        <w:rPr>
          <w:rFonts w:eastAsia="Calibri"/>
          <w:i/>
          <w:sz w:val="22"/>
          <w:szCs w:val="22"/>
          <w:lang w:eastAsia="en-US"/>
        </w:rPr>
        <w:t xml:space="preserve">. </w:t>
      </w:r>
      <w:r w:rsidRPr="008742E9">
        <w:rPr>
          <w:rFonts w:eastAsia="Calibri"/>
          <w:i/>
          <w:sz w:val="22"/>
          <w:szCs w:val="22"/>
          <w:lang w:val="en-US" w:eastAsia="en-US"/>
        </w:rPr>
        <w:t>coli</w:t>
      </w:r>
      <w:r w:rsidRPr="008742E9">
        <w:rPr>
          <w:rFonts w:eastAsia="Calibri"/>
          <w:i/>
          <w:sz w:val="22"/>
          <w:szCs w:val="22"/>
          <w:lang w:eastAsia="en-US"/>
        </w:rPr>
        <w:t>.</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1.Энтероинвазивные кишечные палочки (ЭИКП) способны внедрятся в эпителиальные клетки слизистой оболочки кишечника и размножаться там с последующим проникновением в кровяное русло. При этом роль патогенного фактора (инвазии) выполняют белки наружной мембраны. Они не могут продуцировать экзото</w:t>
      </w:r>
      <w:r w:rsidRPr="008742E9">
        <w:rPr>
          <w:rFonts w:eastAsia="Calibri"/>
          <w:sz w:val="22"/>
          <w:szCs w:val="22"/>
          <w:lang w:eastAsia="en-US"/>
        </w:rPr>
        <w:t>к</w:t>
      </w:r>
      <w:r w:rsidRPr="008742E9">
        <w:rPr>
          <w:rFonts w:eastAsia="Calibri"/>
          <w:sz w:val="22"/>
          <w:szCs w:val="22"/>
          <w:lang w:eastAsia="en-US"/>
        </w:rPr>
        <w:t>сины. Пенетрация ЭИКП в эпителиальные клетки и собственную пластинку слизистой оболочки приводит к воспалительной реакции и образованию эрозий кишечной стенки.</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2. Энтеропатогенные кишечные палочки (ЭПКП), которые сп</w:t>
      </w:r>
      <w:r w:rsidRPr="008742E9">
        <w:rPr>
          <w:rFonts w:eastAsia="Calibri"/>
          <w:sz w:val="22"/>
          <w:szCs w:val="22"/>
          <w:lang w:eastAsia="en-US"/>
        </w:rPr>
        <w:t>о</w:t>
      </w:r>
      <w:r w:rsidRPr="008742E9">
        <w:rPr>
          <w:rFonts w:eastAsia="Calibri"/>
          <w:sz w:val="22"/>
          <w:szCs w:val="22"/>
          <w:lang w:eastAsia="en-US"/>
        </w:rPr>
        <w:t xml:space="preserve">собны продуцировать клеточно связанный протеиновый токсин и энтероадгезивный фактор – </w:t>
      </w:r>
      <w:r w:rsidRPr="008742E9">
        <w:rPr>
          <w:rFonts w:eastAsia="Calibri"/>
          <w:sz w:val="22"/>
          <w:szCs w:val="22"/>
          <w:lang w:val="en-US" w:eastAsia="en-US"/>
        </w:rPr>
        <w:t>EAF</w:t>
      </w:r>
      <w:r w:rsidRPr="008742E9">
        <w:rPr>
          <w:rFonts w:eastAsia="Calibri"/>
          <w:sz w:val="22"/>
          <w:szCs w:val="22"/>
          <w:lang w:eastAsia="en-US"/>
        </w:rPr>
        <w:t xml:space="preserve"> (англ. </w:t>
      </w:r>
      <w:r w:rsidRPr="008742E9">
        <w:rPr>
          <w:rFonts w:eastAsia="Calibri"/>
          <w:i/>
          <w:iCs/>
          <w:sz w:val="22"/>
          <w:szCs w:val="22"/>
          <w:lang w:val="en-US" w:eastAsia="en-US"/>
        </w:rPr>
        <w:t>enteropathogenic</w:t>
      </w:r>
      <w:r w:rsidRPr="008742E9">
        <w:rPr>
          <w:rFonts w:eastAsia="Calibri"/>
          <w:i/>
          <w:iCs/>
          <w:sz w:val="22"/>
          <w:szCs w:val="22"/>
          <w:lang w:eastAsia="en-US"/>
        </w:rPr>
        <w:t xml:space="preserve"> </w:t>
      </w:r>
      <w:r w:rsidRPr="008742E9">
        <w:rPr>
          <w:rFonts w:eastAsia="Calibri"/>
          <w:i/>
          <w:iCs/>
          <w:sz w:val="22"/>
          <w:szCs w:val="22"/>
          <w:lang w:val="en-US" w:eastAsia="en-US"/>
        </w:rPr>
        <w:t>adherence</w:t>
      </w:r>
      <w:r w:rsidRPr="008742E9">
        <w:rPr>
          <w:rFonts w:eastAsia="Calibri"/>
          <w:i/>
          <w:iCs/>
          <w:sz w:val="22"/>
          <w:szCs w:val="22"/>
          <w:lang w:eastAsia="en-US"/>
        </w:rPr>
        <w:t xml:space="preserve"> </w:t>
      </w:r>
      <w:r w:rsidRPr="008742E9">
        <w:rPr>
          <w:rFonts w:eastAsia="Calibri"/>
          <w:i/>
          <w:iCs/>
          <w:sz w:val="22"/>
          <w:szCs w:val="22"/>
          <w:lang w:val="en-US" w:eastAsia="en-US"/>
        </w:rPr>
        <w:t>factor</w:t>
      </w:r>
      <w:r w:rsidRPr="008742E9">
        <w:rPr>
          <w:rFonts w:eastAsia="Calibri"/>
          <w:i/>
          <w:iCs/>
          <w:sz w:val="22"/>
          <w:szCs w:val="22"/>
          <w:lang w:eastAsia="en-US"/>
        </w:rPr>
        <w:t xml:space="preserve">) – </w:t>
      </w:r>
      <w:r w:rsidRPr="008742E9">
        <w:rPr>
          <w:rFonts w:eastAsia="Calibri"/>
          <w:sz w:val="22"/>
          <w:szCs w:val="22"/>
          <w:lang w:eastAsia="en-US"/>
        </w:rPr>
        <w:t>интимин – белок наружной мембраны. ЭПКП колонизир</w:t>
      </w:r>
      <w:r w:rsidRPr="008742E9">
        <w:rPr>
          <w:rFonts w:eastAsia="Calibri"/>
          <w:sz w:val="22"/>
          <w:szCs w:val="22"/>
          <w:lang w:eastAsia="en-US"/>
        </w:rPr>
        <w:t>у</w:t>
      </w:r>
      <w:r w:rsidRPr="008742E9">
        <w:rPr>
          <w:rFonts w:eastAsia="Calibri"/>
          <w:sz w:val="22"/>
          <w:szCs w:val="22"/>
          <w:lang w:eastAsia="en-US"/>
        </w:rPr>
        <w:t>ют плазмолемму энтероцитов, вызывают повреждение поверхности эпителия с образованием эрозий и умеренного воспаления.</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3. Энтеротоксигенные кишечные палочки (ЭТКП), обладающие плазмидами, которые контролируют продукцию термостабильного и термолабильного токсинов и обеспечивают образование факторов колонизации</w:t>
      </w:r>
      <w:r w:rsidRPr="008742E9">
        <w:rPr>
          <w:rFonts w:eastAsia="Calibri"/>
          <w:sz w:val="22"/>
          <w:lang w:eastAsia="en-US"/>
        </w:rPr>
        <w:t xml:space="preserve"> (</w:t>
      </w:r>
      <w:r w:rsidRPr="008742E9">
        <w:rPr>
          <w:rFonts w:eastAsia="Calibri"/>
          <w:sz w:val="22"/>
          <w:szCs w:val="22"/>
          <w:lang w:val="en-US" w:eastAsia="en-US"/>
        </w:rPr>
        <w:t>CFA</w:t>
      </w:r>
      <w:r w:rsidRPr="008742E9">
        <w:rPr>
          <w:rFonts w:eastAsia="Calibri"/>
          <w:sz w:val="22"/>
          <w:szCs w:val="22"/>
          <w:lang w:eastAsia="en-US"/>
        </w:rPr>
        <w:t>/</w:t>
      </w:r>
      <w:r w:rsidRPr="008742E9">
        <w:rPr>
          <w:rFonts w:eastAsia="Calibri"/>
          <w:sz w:val="22"/>
          <w:szCs w:val="22"/>
          <w:lang w:val="en-US" w:eastAsia="en-US"/>
        </w:rPr>
        <w:t>I</w:t>
      </w:r>
      <w:r w:rsidRPr="008742E9">
        <w:rPr>
          <w:rFonts w:eastAsia="Calibri"/>
          <w:sz w:val="22"/>
          <w:szCs w:val="22"/>
          <w:lang w:eastAsia="en-US"/>
        </w:rPr>
        <w:t>-</w:t>
      </w:r>
      <w:r w:rsidRPr="008742E9">
        <w:rPr>
          <w:rFonts w:eastAsia="Calibri"/>
          <w:sz w:val="22"/>
          <w:szCs w:val="22"/>
          <w:lang w:val="en-US" w:eastAsia="en-US"/>
        </w:rPr>
        <w:t>CFA</w:t>
      </w:r>
      <w:r w:rsidRPr="008742E9">
        <w:rPr>
          <w:rFonts w:eastAsia="Calibri"/>
          <w:sz w:val="22"/>
          <w:szCs w:val="22"/>
          <w:lang w:eastAsia="en-US"/>
        </w:rPr>
        <w:t>/</w:t>
      </w:r>
      <w:r w:rsidRPr="008742E9">
        <w:rPr>
          <w:rFonts w:eastAsia="Calibri"/>
          <w:sz w:val="22"/>
          <w:szCs w:val="22"/>
          <w:lang w:val="en-US" w:eastAsia="en-US"/>
        </w:rPr>
        <w:t>VI</w:t>
      </w:r>
      <w:r w:rsidRPr="008742E9">
        <w:rPr>
          <w:rFonts w:eastAsia="Calibri"/>
          <w:sz w:val="22"/>
          <w:szCs w:val="22"/>
          <w:lang w:eastAsia="en-US"/>
        </w:rPr>
        <w:t xml:space="preserve"> (англ. </w:t>
      </w:r>
      <w:r w:rsidRPr="008742E9">
        <w:rPr>
          <w:rFonts w:eastAsia="Calibri"/>
          <w:i/>
          <w:iCs/>
          <w:sz w:val="22"/>
          <w:szCs w:val="22"/>
          <w:lang w:val="en-US" w:eastAsia="en-US"/>
        </w:rPr>
        <w:t>colonization</w:t>
      </w:r>
      <w:r w:rsidRPr="008742E9">
        <w:rPr>
          <w:rFonts w:eastAsia="Calibri"/>
          <w:i/>
          <w:iCs/>
          <w:sz w:val="22"/>
          <w:szCs w:val="22"/>
          <w:lang w:eastAsia="en-US"/>
        </w:rPr>
        <w:t xml:space="preserve"> </w:t>
      </w:r>
      <w:r w:rsidRPr="008742E9">
        <w:rPr>
          <w:rFonts w:eastAsia="Calibri"/>
          <w:i/>
          <w:iCs/>
          <w:sz w:val="22"/>
          <w:szCs w:val="22"/>
          <w:lang w:val="en-US" w:eastAsia="en-US"/>
        </w:rPr>
        <w:t>factor</w:t>
      </w:r>
      <w:r w:rsidRPr="008742E9">
        <w:rPr>
          <w:rFonts w:eastAsia="Calibri"/>
          <w:i/>
          <w:iCs/>
          <w:sz w:val="22"/>
          <w:szCs w:val="22"/>
          <w:lang w:eastAsia="en-US"/>
        </w:rPr>
        <w:t xml:space="preserve">), </w:t>
      </w:r>
      <w:r w:rsidRPr="008742E9">
        <w:rPr>
          <w:rFonts w:eastAsia="Calibri"/>
          <w:iCs/>
          <w:sz w:val="22"/>
          <w:szCs w:val="22"/>
          <w:lang w:eastAsia="en-US"/>
        </w:rPr>
        <w:t>имеющих</w:t>
      </w:r>
      <w:r w:rsidRPr="008742E9">
        <w:rPr>
          <w:rFonts w:eastAsia="Calibri"/>
          <w:i/>
          <w:iCs/>
          <w:sz w:val="22"/>
          <w:szCs w:val="22"/>
          <w:lang w:eastAsia="en-US"/>
        </w:rPr>
        <w:t xml:space="preserve"> </w:t>
      </w:r>
      <w:r w:rsidRPr="008742E9">
        <w:rPr>
          <w:rFonts w:eastAsia="Calibri"/>
          <w:sz w:val="22"/>
          <w:szCs w:val="22"/>
          <w:lang w:eastAsia="en-US"/>
        </w:rPr>
        <w:t>фимбриальную структуру Основной механизм действия данных токсинов связан с активизацией внутриклеточных аденилат- и гу</w:t>
      </w:r>
      <w:r w:rsidRPr="008742E9">
        <w:rPr>
          <w:rFonts w:eastAsia="Calibri"/>
          <w:sz w:val="22"/>
          <w:szCs w:val="22"/>
          <w:lang w:eastAsia="en-US"/>
        </w:rPr>
        <w:t>а</w:t>
      </w:r>
      <w:r w:rsidRPr="008742E9">
        <w:rPr>
          <w:rFonts w:eastAsia="Calibri"/>
          <w:sz w:val="22"/>
          <w:szCs w:val="22"/>
          <w:lang w:eastAsia="en-US"/>
        </w:rPr>
        <w:t>нилатциклазы, что приводит к накоплению циклических аденилм</w:t>
      </w:r>
      <w:r w:rsidRPr="008742E9">
        <w:rPr>
          <w:rFonts w:eastAsia="Calibri"/>
          <w:sz w:val="22"/>
          <w:szCs w:val="22"/>
          <w:lang w:eastAsia="en-US"/>
        </w:rPr>
        <w:t>о</w:t>
      </w:r>
      <w:r w:rsidRPr="008742E9">
        <w:rPr>
          <w:rFonts w:eastAsia="Calibri"/>
          <w:sz w:val="22"/>
          <w:szCs w:val="22"/>
          <w:lang w:eastAsia="en-US"/>
        </w:rPr>
        <w:t>нофосфата и гуанилмонофосфата, которые способствуют интенси</w:t>
      </w:r>
      <w:r w:rsidRPr="008742E9">
        <w:rPr>
          <w:rFonts w:eastAsia="Calibri"/>
          <w:sz w:val="22"/>
          <w:szCs w:val="22"/>
          <w:lang w:eastAsia="en-US"/>
        </w:rPr>
        <w:t>в</w:t>
      </w:r>
      <w:r w:rsidRPr="008742E9">
        <w:rPr>
          <w:rFonts w:eastAsia="Calibri"/>
          <w:sz w:val="22"/>
          <w:szCs w:val="22"/>
          <w:lang w:eastAsia="en-US"/>
        </w:rPr>
        <w:t>ной секреции эпителиальными клетками воды и электролитов. Они колонизируют ворсинки тонкой кишки без их повреждения [2, 3].</w:t>
      </w:r>
    </w:p>
    <w:p w:rsidR="008742E9" w:rsidRPr="008742E9" w:rsidRDefault="008742E9" w:rsidP="00667E25">
      <w:pPr>
        <w:ind w:firstLine="426"/>
        <w:jc w:val="both"/>
        <w:rPr>
          <w:rFonts w:eastAsia="Calibri"/>
          <w:lang w:eastAsia="en-US"/>
        </w:rPr>
      </w:pPr>
      <w:r w:rsidRPr="008742E9">
        <w:rPr>
          <w:rFonts w:eastAsia="Calibri"/>
          <w:sz w:val="22"/>
          <w:szCs w:val="22"/>
          <w:lang w:eastAsia="en-US"/>
        </w:rPr>
        <w:t>4. Энтерогеморрагические кишечные палочки (ЭГКП), выраб</w:t>
      </w:r>
      <w:r w:rsidRPr="008742E9">
        <w:rPr>
          <w:rFonts w:eastAsia="Calibri"/>
          <w:sz w:val="22"/>
          <w:szCs w:val="22"/>
          <w:lang w:eastAsia="en-US"/>
        </w:rPr>
        <w:t>а</w:t>
      </w:r>
      <w:r w:rsidRPr="008742E9">
        <w:rPr>
          <w:rFonts w:eastAsia="Calibri"/>
          <w:sz w:val="22"/>
          <w:szCs w:val="22"/>
          <w:lang w:eastAsia="en-US"/>
        </w:rPr>
        <w:t>тывающие шига-подобный токсин 1 и 2 типов, который обуславл</w:t>
      </w:r>
      <w:r w:rsidRPr="008742E9">
        <w:rPr>
          <w:rFonts w:eastAsia="Calibri"/>
          <w:sz w:val="22"/>
          <w:szCs w:val="22"/>
          <w:lang w:eastAsia="en-US"/>
        </w:rPr>
        <w:t>и</w:t>
      </w:r>
      <w:r w:rsidRPr="008742E9">
        <w:rPr>
          <w:rFonts w:eastAsia="Calibri"/>
          <w:sz w:val="22"/>
          <w:szCs w:val="22"/>
          <w:lang w:eastAsia="en-US"/>
        </w:rPr>
        <w:lastRenderedPageBreak/>
        <w:t>вает дизентериеподобную диарею. Токсины разрушают клетки э</w:t>
      </w:r>
      <w:r w:rsidRPr="008742E9">
        <w:rPr>
          <w:rFonts w:eastAsia="Calibri"/>
          <w:sz w:val="22"/>
          <w:szCs w:val="22"/>
          <w:lang w:eastAsia="en-US"/>
        </w:rPr>
        <w:t>н</w:t>
      </w:r>
      <w:r w:rsidRPr="008742E9">
        <w:rPr>
          <w:rFonts w:eastAsia="Calibri"/>
          <w:sz w:val="22"/>
          <w:szCs w:val="22"/>
          <w:lang w:eastAsia="en-US"/>
        </w:rPr>
        <w:t>дотелия мелких кровеносных сосудов. Образование сгустков крови и выпадение фибрина приводят к нарушению кровотока, кровот</w:t>
      </w:r>
      <w:r w:rsidRPr="008742E9">
        <w:rPr>
          <w:rFonts w:eastAsia="Calibri"/>
          <w:sz w:val="22"/>
          <w:szCs w:val="22"/>
          <w:lang w:eastAsia="en-US"/>
        </w:rPr>
        <w:t>е</w:t>
      </w:r>
      <w:r w:rsidRPr="008742E9">
        <w:rPr>
          <w:rFonts w:eastAsia="Calibri"/>
          <w:sz w:val="22"/>
          <w:szCs w:val="22"/>
          <w:lang w:eastAsia="en-US"/>
        </w:rPr>
        <w:t>чению, ишемии и некрозу в клеточной стенке.</w:t>
      </w:r>
      <w:r w:rsidRPr="008742E9">
        <w:rPr>
          <w:rFonts w:eastAsia="Calibri"/>
          <w:lang w:eastAsia="en-US"/>
        </w:rPr>
        <w:t xml:space="preserve"> </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При данной инфекции главную эпидемиологическую роль и</w:t>
      </w:r>
      <w:r w:rsidRPr="008742E9">
        <w:rPr>
          <w:rFonts w:eastAsia="Calibri"/>
          <w:sz w:val="22"/>
          <w:szCs w:val="22"/>
          <w:lang w:eastAsia="en-US"/>
        </w:rPr>
        <w:t>г</w:t>
      </w:r>
      <w:r w:rsidRPr="008742E9">
        <w:rPr>
          <w:rFonts w:eastAsia="Calibri"/>
          <w:sz w:val="22"/>
          <w:szCs w:val="22"/>
          <w:lang w:eastAsia="en-US"/>
        </w:rPr>
        <w:t xml:space="preserve">рают Е. </w:t>
      </w:r>
      <w:r w:rsidRPr="008742E9">
        <w:rPr>
          <w:rFonts w:eastAsia="Calibri"/>
          <w:i/>
          <w:iCs/>
          <w:sz w:val="22"/>
          <w:szCs w:val="22"/>
          <w:lang w:val="en-US" w:eastAsia="en-US"/>
        </w:rPr>
        <w:t>coli</w:t>
      </w:r>
      <w:r w:rsidRPr="008742E9">
        <w:rPr>
          <w:rFonts w:eastAsia="Calibri"/>
          <w:i/>
          <w:iCs/>
          <w:sz w:val="22"/>
          <w:szCs w:val="22"/>
          <w:lang w:eastAsia="en-US"/>
        </w:rPr>
        <w:t xml:space="preserve"> </w:t>
      </w:r>
      <w:r w:rsidRPr="008742E9">
        <w:rPr>
          <w:rFonts w:eastAsia="Calibri"/>
          <w:iCs/>
          <w:sz w:val="22"/>
          <w:szCs w:val="22"/>
          <w:lang w:eastAsia="en-US"/>
        </w:rPr>
        <w:t xml:space="preserve">штамма </w:t>
      </w:r>
      <w:r w:rsidRPr="008742E9">
        <w:rPr>
          <w:rFonts w:eastAsia="Calibri"/>
          <w:sz w:val="22"/>
          <w:szCs w:val="22"/>
          <w:lang w:val="en-US" w:eastAsia="en-US"/>
        </w:rPr>
        <w:t>O</w:t>
      </w:r>
      <w:r w:rsidRPr="008742E9">
        <w:rPr>
          <w:rFonts w:eastAsia="Calibri"/>
          <w:sz w:val="22"/>
          <w:szCs w:val="22"/>
          <w:lang w:eastAsia="en-US"/>
        </w:rPr>
        <w:t>157:Н7, а естественным резервуаром серов</w:t>
      </w:r>
      <w:r w:rsidRPr="008742E9">
        <w:rPr>
          <w:rFonts w:eastAsia="Calibri"/>
          <w:sz w:val="22"/>
          <w:szCs w:val="22"/>
          <w:lang w:eastAsia="en-US"/>
        </w:rPr>
        <w:t>а</w:t>
      </w:r>
      <w:r w:rsidRPr="008742E9">
        <w:rPr>
          <w:rFonts w:eastAsia="Calibri"/>
          <w:sz w:val="22"/>
          <w:szCs w:val="22"/>
          <w:lang w:eastAsia="en-US"/>
        </w:rPr>
        <w:t>ров энтерогеморрагической кишечной палочки являются крупный рогатый скот и овцы [2].</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Таким образом, </w:t>
      </w:r>
      <w:r w:rsidRPr="008742E9">
        <w:rPr>
          <w:rFonts w:eastAsia="Calibri"/>
          <w:i/>
          <w:sz w:val="22"/>
          <w:szCs w:val="22"/>
          <w:lang w:eastAsia="en-US"/>
        </w:rPr>
        <w:t>E. coli</w:t>
      </w:r>
      <w:r w:rsidRPr="008742E9">
        <w:rPr>
          <w:rFonts w:eastAsia="Calibri"/>
          <w:sz w:val="22"/>
          <w:szCs w:val="22"/>
          <w:lang w:eastAsia="en-US"/>
        </w:rPr>
        <w:t xml:space="preserve"> может являться причиной многих боле</w:t>
      </w:r>
      <w:r w:rsidRPr="008742E9">
        <w:rPr>
          <w:rFonts w:eastAsia="Calibri"/>
          <w:sz w:val="22"/>
          <w:szCs w:val="22"/>
          <w:lang w:eastAsia="en-US"/>
        </w:rPr>
        <w:t>з</w:t>
      </w:r>
      <w:r w:rsidRPr="008742E9">
        <w:rPr>
          <w:rFonts w:eastAsia="Calibri"/>
          <w:sz w:val="22"/>
          <w:szCs w:val="22"/>
          <w:lang w:eastAsia="en-US"/>
        </w:rPr>
        <w:t>ней, но главная ее роль состоит в возникновении острых кишечных инфекций у животных и человека. При этом диареегенные вариа</w:t>
      </w:r>
      <w:r w:rsidRPr="008742E9">
        <w:rPr>
          <w:rFonts w:eastAsia="Calibri"/>
          <w:sz w:val="22"/>
          <w:szCs w:val="22"/>
          <w:lang w:eastAsia="en-US"/>
        </w:rPr>
        <w:t>н</w:t>
      </w:r>
      <w:r w:rsidRPr="008742E9">
        <w:rPr>
          <w:rFonts w:eastAsia="Calibri"/>
          <w:sz w:val="22"/>
          <w:szCs w:val="22"/>
          <w:lang w:eastAsia="en-US"/>
        </w:rPr>
        <w:t>ты кишечной палочки обладают различным набором факторов п</w:t>
      </w:r>
      <w:r w:rsidRPr="008742E9">
        <w:rPr>
          <w:rFonts w:eastAsia="Calibri"/>
          <w:sz w:val="22"/>
          <w:szCs w:val="22"/>
          <w:lang w:eastAsia="en-US"/>
        </w:rPr>
        <w:t>а</w:t>
      </w:r>
      <w:r w:rsidRPr="008742E9">
        <w:rPr>
          <w:rFonts w:eastAsia="Calibri"/>
          <w:sz w:val="22"/>
          <w:szCs w:val="22"/>
          <w:lang w:eastAsia="en-US"/>
        </w:rPr>
        <w:t>тогенности, которые способствуют развитию инфекции и оказыв</w:t>
      </w:r>
      <w:r w:rsidRPr="008742E9">
        <w:rPr>
          <w:rFonts w:eastAsia="Calibri"/>
          <w:sz w:val="22"/>
          <w:szCs w:val="22"/>
          <w:lang w:eastAsia="en-US"/>
        </w:rPr>
        <w:t>а</w:t>
      </w:r>
      <w:r w:rsidRPr="008742E9">
        <w:rPr>
          <w:rFonts w:eastAsia="Calibri"/>
          <w:sz w:val="22"/>
          <w:szCs w:val="22"/>
          <w:lang w:eastAsia="en-US"/>
        </w:rPr>
        <w:t xml:space="preserve">ют болезнетворное влияние на восприимчивый организм. </w:t>
      </w:r>
    </w:p>
    <w:p w:rsidR="008742E9" w:rsidRPr="008742E9" w:rsidRDefault="008742E9" w:rsidP="00667E25">
      <w:pPr>
        <w:ind w:firstLine="426"/>
        <w:jc w:val="both"/>
        <w:rPr>
          <w:rFonts w:eastAsia="Calibri"/>
          <w:sz w:val="22"/>
          <w:szCs w:val="22"/>
          <w:lang w:eastAsia="en-US"/>
        </w:rPr>
      </w:pPr>
    </w:p>
    <w:p w:rsidR="008742E9" w:rsidRPr="008742E9" w:rsidRDefault="008742E9" w:rsidP="00667E25">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1. Вастесон И. Зооантропонозные штаммы кишечной палочки // Российский ветеринарный журнал. Сельскохозяйственные живо</w:t>
      </w:r>
      <w:r w:rsidRPr="008742E9">
        <w:rPr>
          <w:rFonts w:eastAsia="Calibri"/>
          <w:sz w:val="22"/>
          <w:szCs w:val="22"/>
          <w:lang w:eastAsia="en-US"/>
        </w:rPr>
        <w:t>т</w:t>
      </w:r>
      <w:r w:rsidRPr="008742E9">
        <w:rPr>
          <w:rFonts w:eastAsia="Calibri"/>
          <w:sz w:val="22"/>
          <w:szCs w:val="22"/>
          <w:lang w:eastAsia="en-US"/>
        </w:rPr>
        <w:t>ные. – 2008. – №4. – С. 8–9.</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 xml:space="preserve">2. Коротяев А.И. Медицинская микробиология, иммунология и вирусология : учебник для медицинских вузов / А.И.  Коротяев,  С.А. Бабичев. </w:t>
      </w:r>
      <w:r w:rsidRPr="008742E9">
        <w:rPr>
          <w:rFonts w:eastAsia="Calibri"/>
          <w:sz w:val="22"/>
          <w:szCs w:val="22"/>
          <w:lang w:eastAsia="en-US"/>
        </w:rPr>
        <w:sym w:font="Symbol" w:char="F02D"/>
      </w:r>
      <w:r w:rsidRPr="008742E9">
        <w:rPr>
          <w:rFonts w:eastAsia="Calibri"/>
          <w:sz w:val="22"/>
          <w:szCs w:val="22"/>
          <w:lang w:eastAsia="en-US"/>
        </w:rPr>
        <w:t xml:space="preserve"> 5-е изд., испр. и доп. СПб. : СпецЛит, 2012. – 760 с.</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3. Малышева Т.В. Патогенный потенциал энтеробактерий, в</w:t>
      </w:r>
      <w:r w:rsidRPr="008742E9">
        <w:rPr>
          <w:rFonts w:eastAsia="Calibri"/>
          <w:sz w:val="22"/>
          <w:szCs w:val="22"/>
          <w:lang w:eastAsia="en-US"/>
        </w:rPr>
        <w:t>ы</w:t>
      </w:r>
      <w:r w:rsidRPr="008742E9">
        <w:rPr>
          <w:rFonts w:eastAsia="Calibri"/>
          <w:sz w:val="22"/>
          <w:szCs w:val="22"/>
          <w:lang w:eastAsia="en-US"/>
        </w:rPr>
        <w:t>деленных от новорожденных телят при острых кишечных заболев</w:t>
      </w:r>
      <w:r w:rsidRPr="008742E9">
        <w:rPr>
          <w:rFonts w:eastAsia="Calibri"/>
          <w:sz w:val="22"/>
          <w:szCs w:val="22"/>
          <w:lang w:eastAsia="en-US"/>
        </w:rPr>
        <w:t>а</w:t>
      </w:r>
      <w:r w:rsidRPr="008742E9">
        <w:rPr>
          <w:rFonts w:eastAsia="Calibri"/>
          <w:sz w:val="22"/>
          <w:szCs w:val="22"/>
          <w:lang w:eastAsia="en-US"/>
        </w:rPr>
        <w:t>ниях / Т.В. Малышева, А.С. Тищенко, Н.С. Мусатова, В.И.  Тер</w:t>
      </w:r>
      <w:r w:rsidRPr="008742E9">
        <w:rPr>
          <w:rFonts w:eastAsia="Calibri"/>
          <w:sz w:val="22"/>
          <w:szCs w:val="22"/>
          <w:lang w:eastAsia="en-US"/>
        </w:rPr>
        <w:t>е</w:t>
      </w:r>
      <w:r w:rsidRPr="008742E9">
        <w:rPr>
          <w:rFonts w:eastAsia="Calibri"/>
          <w:sz w:val="22"/>
          <w:szCs w:val="22"/>
          <w:lang w:eastAsia="en-US"/>
        </w:rPr>
        <w:t>хов  // Ветеринария Кубани. – 2017. – №2. – С. 11–13.</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4. Терехов В.И. Сравнительный анализ состава микрооргани</w:t>
      </w:r>
      <w:r w:rsidRPr="008742E9">
        <w:rPr>
          <w:rFonts w:eastAsia="Calibri"/>
          <w:sz w:val="22"/>
          <w:szCs w:val="22"/>
          <w:lang w:eastAsia="en-US"/>
        </w:rPr>
        <w:t>з</w:t>
      </w:r>
      <w:r w:rsidRPr="008742E9">
        <w:rPr>
          <w:rFonts w:eastAsia="Calibri"/>
          <w:sz w:val="22"/>
          <w:szCs w:val="22"/>
          <w:lang w:eastAsia="en-US"/>
        </w:rPr>
        <w:t>мов, изолированных от новорожденных телят и поросят при острых кишечных заболеваниях / В.И. Терехов, А.С. Тищенко, Т.В. Мал</w:t>
      </w:r>
      <w:r w:rsidRPr="008742E9">
        <w:rPr>
          <w:rFonts w:eastAsia="Calibri"/>
          <w:sz w:val="22"/>
          <w:szCs w:val="22"/>
          <w:lang w:eastAsia="en-US"/>
        </w:rPr>
        <w:t>ы</w:t>
      </w:r>
      <w:r w:rsidRPr="008742E9">
        <w:rPr>
          <w:rFonts w:eastAsia="Calibri"/>
          <w:sz w:val="22"/>
          <w:szCs w:val="22"/>
          <w:lang w:eastAsia="en-US"/>
        </w:rPr>
        <w:t>шева, Я.Н. Мартыненко // Политематический сетевой электронный научный журнал Кубанского государственного аграрного универс</w:t>
      </w:r>
      <w:r w:rsidRPr="008742E9">
        <w:rPr>
          <w:rFonts w:eastAsia="Calibri"/>
          <w:sz w:val="22"/>
          <w:szCs w:val="22"/>
          <w:lang w:eastAsia="en-US"/>
        </w:rPr>
        <w:t>и</w:t>
      </w:r>
      <w:r w:rsidRPr="008742E9">
        <w:rPr>
          <w:rFonts w:eastAsia="Calibri"/>
          <w:sz w:val="22"/>
          <w:szCs w:val="22"/>
          <w:lang w:eastAsia="en-US"/>
        </w:rPr>
        <w:t>тета. – 2017. – № 132 (8). – С. 728–741.</w:t>
      </w:r>
    </w:p>
    <w:p w:rsidR="008742E9" w:rsidRPr="008742E9" w:rsidRDefault="008742E9" w:rsidP="00667E25">
      <w:pPr>
        <w:ind w:firstLine="426"/>
        <w:jc w:val="both"/>
        <w:rPr>
          <w:rFonts w:eastAsia="Calibri"/>
          <w:sz w:val="22"/>
          <w:szCs w:val="22"/>
          <w:lang w:eastAsia="en-US"/>
        </w:rPr>
      </w:pPr>
      <w:r w:rsidRPr="008742E9">
        <w:rPr>
          <w:rFonts w:eastAsia="Calibri"/>
          <w:sz w:val="22"/>
          <w:szCs w:val="22"/>
          <w:lang w:eastAsia="en-US"/>
        </w:rPr>
        <w:t>5. Тищенко А.С. Изменение гематологических показателей у животных после введения им инактивированных токсинов Escherichia coli /А.С. Тищенко, В.И. Терехов // Ветеринария  Куб</w:t>
      </w:r>
      <w:r w:rsidRPr="008742E9">
        <w:rPr>
          <w:rFonts w:eastAsia="Calibri"/>
          <w:sz w:val="22"/>
          <w:szCs w:val="22"/>
          <w:lang w:eastAsia="en-US"/>
        </w:rPr>
        <w:t>а</w:t>
      </w:r>
      <w:r w:rsidRPr="008742E9">
        <w:rPr>
          <w:rFonts w:eastAsia="Calibri"/>
          <w:sz w:val="22"/>
          <w:szCs w:val="22"/>
          <w:lang w:eastAsia="en-US"/>
        </w:rPr>
        <w:t>ни. – 2017. – №4. – С. 6–9.</w:t>
      </w:r>
    </w:p>
    <w:p w:rsidR="003B6CC8" w:rsidRPr="008742E9" w:rsidRDefault="003B6CC8" w:rsidP="008742E9">
      <w:pPr>
        <w:jc w:val="both"/>
        <w:rPr>
          <w:rFonts w:eastAsia="Calibri"/>
          <w:sz w:val="22"/>
          <w:szCs w:val="22"/>
          <w:lang w:eastAsia="en-US"/>
        </w:rPr>
      </w:pPr>
    </w:p>
    <w:p w:rsidR="008742E9" w:rsidRPr="008742E9" w:rsidRDefault="008742E9" w:rsidP="008742E9">
      <w:pPr>
        <w:rPr>
          <w:rFonts w:eastAsia="Calibri"/>
          <w:sz w:val="22"/>
          <w:szCs w:val="20"/>
          <w:lang w:eastAsia="en-US"/>
        </w:rPr>
      </w:pPr>
      <w:r w:rsidRPr="008742E9">
        <w:rPr>
          <w:rFonts w:eastAsia="Calibri"/>
          <w:sz w:val="22"/>
          <w:szCs w:val="20"/>
          <w:lang w:eastAsia="en-US"/>
        </w:rPr>
        <w:lastRenderedPageBreak/>
        <w:t>УДК 619:615.2.615.9:636.5</w:t>
      </w:r>
    </w:p>
    <w:p w:rsidR="008742E9" w:rsidRPr="008742E9" w:rsidRDefault="008742E9" w:rsidP="008742E9">
      <w:pPr>
        <w:rPr>
          <w:rFonts w:eastAsia="Calibri"/>
          <w:sz w:val="20"/>
          <w:szCs w:val="24"/>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 xml:space="preserve">Ветеринарно-санитарная оценка качества рыбы </w:t>
      </w:r>
      <w:r w:rsidR="00667E25">
        <w:rPr>
          <w:rFonts w:eastAsia="Calibri"/>
          <w:b/>
          <w:sz w:val="24"/>
          <w:szCs w:val="24"/>
          <w:lang w:eastAsia="en-US"/>
        </w:rPr>
        <w:br/>
      </w:r>
      <w:r w:rsidRPr="008742E9">
        <w:rPr>
          <w:rFonts w:eastAsia="Calibri"/>
          <w:b/>
          <w:sz w:val="24"/>
          <w:szCs w:val="24"/>
          <w:lang w:eastAsia="en-US"/>
        </w:rPr>
        <w:t>при диплостомозах</w:t>
      </w:r>
    </w:p>
    <w:p w:rsidR="008742E9" w:rsidRPr="00024398" w:rsidRDefault="008742E9" w:rsidP="008742E9">
      <w:pPr>
        <w:jc w:val="center"/>
        <w:rPr>
          <w:rFonts w:eastAsia="Calibri"/>
          <w:b/>
          <w:sz w:val="24"/>
          <w:szCs w:val="24"/>
          <w:lang w:val="en-US" w:eastAsia="en-US"/>
        </w:rPr>
      </w:pPr>
      <w:r w:rsidRPr="008742E9">
        <w:rPr>
          <w:rFonts w:eastAsia="Calibri"/>
          <w:b/>
          <w:sz w:val="24"/>
          <w:szCs w:val="24"/>
          <w:lang w:eastAsia="en-US"/>
        </w:rPr>
        <w:tab/>
      </w:r>
      <w:r w:rsidRPr="008742E9">
        <w:rPr>
          <w:rFonts w:eastAsia="Calibri"/>
          <w:b/>
          <w:sz w:val="24"/>
          <w:szCs w:val="24"/>
          <w:lang w:val="en-US" w:eastAsia="en-US"/>
        </w:rPr>
        <w:t>Veterinary</w:t>
      </w:r>
      <w:r w:rsidRPr="00024398">
        <w:rPr>
          <w:rFonts w:eastAsia="Calibri"/>
          <w:b/>
          <w:sz w:val="24"/>
          <w:szCs w:val="24"/>
          <w:lang w:val="en-US" w:eastAsia="en-US"/>
        </w:rPr>
        <w:t>-</w:t>
      </w:r>
      <w:r w:rsidRPr="008742E9">
        <w:rPr>
          <w:rFonts w:eastAsia="Calibri"/>
          <w:b/>
          <w:sz w:val="24"/>
          <w:szCs w:val="24"/>
          <w:lang w:val="en-US" w:eastAsia="en-US"/>
        </w:rPr>
        <w:t>sanitary</w:t>
      </w:r>
      <w:r w:rsidRPr="00024398">
        <w:rPr>
          <w:rFonts w:eastAsia="Calibri"/>
          <w:b/>
          <w:sz w:val="24"/>
          <w:szCs w:val="24"/>
          <w:lang w:val="en-US" w:eastAsia="en-US"/>
        </w:rPr>
        <w:t xml:space="preserve"> </w:t>
      </w:r>
      <w:r w:rsidRPr="008742E9">
        <w:rPr>
          <w:rFonts w:eastAsia="Calibri"/>
          <w:b/>
          <w:sz w:val="24"/>
          <w:szCs w:val="24"/>
          <w:lang w:val="en-US" w:eastAsia="en-US"/>
        </w:rPr>
        <w:t>evaluation</w:t>
      </w:r>
      <w:r w:rsidRPr="00024398">
        <w:rPr>
          <w:rFonts w:eastAsia="Calibri"/>
          <w:b/>
          <w:sz w:val="24"/>
          <w:szCs w:val="24"/>
          <w:lang w:val="en-US" w:eastAsia="en-US"/>
        </w:rPr>
        <w:t xml:space="preserve"> </w:t>
      </w:r>
      <w:r w:rsidRPr="008742E9">
        <w:rPr>
          <w:rFonts w:eastAsia="Calibri"/>
          <w:b/>
          <w:sz w:val="24"/>
          <w:szCs w:val="24"/>
          <w:lang w:val="en-US" w:eastAsia="en-US"/>
        </w:rPr>
        <w:t>of</w:t>
      </w:r>
      <w:r w:rsidRPr="00024398">
        <w:rPr>
          <w:rFonts w:eastAsia="Calibri"/>
          <w:b/>
          <w:sz w:val="24"/>
          <w:szCs w:val="24"/>
          <w:lang w:val="en-US" w:eastAsia="en-US"/>
        </w:rPr>
        <w:t xml:space="preserve"> </w:t>
      </w:r>
      <w:r w:rsidRPr="008742E9">
        <w:rPr>
          <w:rFonts w:eastAsia="Calibri"/>
          <w:b/>
          <w:sz w:val="24"/>
          <w:szCs w:val="24"/>
          <w:lang w:val="en-US" w:eastAsia="en-US"/>
        </w:rPr>
        <w:t>quality</w:t>
      </w:r>
      <w:r w:rsidRPr="00024398">
        <w:rPr>
          <w:rFonts w:eastAsia="Calibri"/>
          <w:b/>
          <w:sz w:val="24"/>
          <w:szCs w:val="24"/>
          <w:lang w:val="en-US" w:eastAsia="en-US"/>
        </w:rPr>
        <w:t xml:space="preserve"> </w:t>
      </w:r>
      <w:r w:rsidRPr="008742E9">
        <w:rPr>
          <w:rFonts w:eastAsia="Calibri"/>
          <w:b/>
          <w:sz w:val="24"/>
          <w:szCs w:val="24"/>
          <w:lang w:val="en-US" w:eastAsia="en-US"/>
        </w:rPr>
        <w:t>of</w:t>
      </w:r>
      <w:r w:rsidRPr="00024398">
        <w:rPr>
          <w:rFonts w:eastAsia="Calibri"/>
          <w:b/>
          <w:sz w:val="24"/>
          <w:szCs w:val="24"/>
          <w:lang w:val="en-US" w:eastAsia="en-US"/>
        </w:rPr>
        <w:t xml:space="preserve"> </w:t>
      </w:r>
      <w:r w:rsidRPr="008742E9">
        <w:rPr>
          <w:rFonts w:eastAsia="Calibri"/>
          <w:b/>
          <w:sz w:val="24"/>
          <w:szCs w:val="24"/>
          <w:lang w:val="en-US" w:eastAsia="en-US"/>
        </w:rPr>
        <w:t>fish</w:t>
      </w:r>
      <w:r w:rsidRPr="00024398">
        <w:rPr>
          <w:rFonts w:eastAsia="Calibri"/>
          <w:b/>
          <w:sz w:val="24"/>
          <w:szCs w:val="24"/>
          <w:lang w:val="en-US" w:eastAsia="en-US"/>
        </w:rPr>
        <w:t xml:space="preserve"> </w:t>
      </w:r>
      <w:r w:rsidRPr="008742E9">
        <w:rPr>
          <w:rFonts w:eastAsia="Calibri"/>
          <w:b/>
          <w:sz w:val="24"/>
          <w:szCs w:val="24"/>
          <w:lang w:val="en-US" w:eastAsia="en-US"/>
        </w:rPr>
        <w:t>at</w:t>
      </w:r>
      <w:r w:rsidRPr="00024398">
        <w:rPr>
          <w:rFonts w:eastAsia="Calibri"/>
          <w:b/>
          <w:sz w:val="24"/>
          <w:szCs w:val="24"/>
          <w:lang w:val="en-US" w:eastAsia="en-US"/>
        </w:rPr>
        <w:t xml:space="preserve"> </w:t>
      </w:r>
      <w:r w:rsidRPr="008742E9">
        <w:rPr>
          <w:rFonts w:eastAsia="Calibri"/>
          <w:b/>
          <w:sz w:val="24"/>
          <w:szCs w:val="24"/>
          <w:lang w:val="en-US" w:eastAsia="en-US"/>
        </w:rPr>
        <w:t>the</w:t>
      </w:r>
      <w:r w:rsidRPr="00024398">
        <w:rPr>
          <w:rFonts w:eastAsia="Calibri"/>
          <w:b/>
          <w:sz w:val="24"/>
          <w:szCs w:val="24"/>
          <w:lang w:val="en-US" w:eastAsia="en-US"/>
        </w:rPr>
        <w:t xml:space="preserve"> </w:t>
      </w:r>
      <w:r w:rsidRPr="008742E9">
        <w:rPr>
          <w:rFonts w:eastAsia="Calibri"/>
          <w:b/>
          <w:sz w:val="24"/>
          <w:szCs w:val="24"/>
          <w:lang w:val="en-US" w:eastAsia="en-US"/>
        </w:rPr>
        <w:t>Diplostomosis</w:t>
      </w:r>
    </w:p>
    <w:p w:rsidR="008742E9" w:rsidRPr="00024398" w:rsidRDefault="008742E9" w:rsidP="00667E25">
      <w:pPr>
        <w:rPr>
          <w:rFonts w:eastAsia="Calibri"/>
          <w:sz w:val="20"/>
          <w:szCs w:val="20"/>
          <w:lang w:val="en-US" w:eastAsia="en-US"/>
        </w:rPr>
      </w:pP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Марченко А. П.,</w:t>
      </w:r>
    </w:p>
    <w:p w:rsidR="00667E25" w:rsidRDefault="008742E9" w:rsidP="008742E9">
      <w:pPr>
        <w:jc w:val="right"/>
        <w:rPr>
          <w:rFonts w:eastAsia="Calibri"/>
          <w:sz w:val="22"/>
          <w:szCs w:val="20"/>
          <w:lang w:eastAsia="en-US"/>
        </w:rPr>
      </w:pPr>
      <w:r w:rsidRPr="008742E9">
        <w:rPr>
          <w:rFonts w:eastAsia="Calibri"/>
          <w:sz w:val="22"/>
          <w:szCs w:val="20"/>
          <w:lang w:eastAsia="en-US"/>
        </w:rPr>
        <w:t>магистрант 1 курса</w:t>
      </w: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 xml:space="preserve"> факультета ветеринарной медицины</w:t>
      </w: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Горковенко Н. Е.,</w:t>
      </w: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профессор кафед</w:t>
      </w:r>
      <w:r w:rsidR="00667E25">
        <w:rPr>
          <w:rFonts w:eastAsia="Calibri"/>
          <w:sz w:val="22"/>
          <w:szCs w:val="20"/>
          <w:lang w:eastAsia="en-US"/>
        </w:rPr>
        <w:t>ры микробиологии, эпизоотологии</w:t>
      </w:r>
    </w:p>
    <w:p w:rsidR="00667E25" w:rsidRDefault="00667E25" w:rsidP="008742E9">
      <w:pPr>
        <w:jc w:val="right"/>
        <w:rPr>
          <w:rFonts w:eastAsia="Calibri"/>
          <w:sz w:val="22"/>
          <w:szCs w:val="20"/>
          <w:lang w:eastAsia="en-US"/>
        </w:rPr>
      </w:pPr>
      <w:r>
        <w:rPr>
          <w:rFonts w:eastAsia="Calibri"/>
          <w:sz w:val="22"/>
          <w:szCs w:val="20"/>
          <w:lang w:eastAsia="en-US"/>
        </w:rPr>
        <w:t>и вирусологии</w:t>
      </w: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Кубанский государственный аграрный</w:t>
      </w:r>
    </w:p>
    <w:p w:rsidR="008742E9" w:rsidRPr="008742E9" w:rsidRDefault="008742E9" w:rsidP="008742E9">
      <w:pPr>
        <w:jc w:val="right"/>
        <w:rPr>
          <w:rFonts w:eastAsia="Calibri"/>
          <w:sz w:val="22"/>
          <w:szCs w:val="20"/>
          <w:lang w:eastAsia="en-US"/>
        </w:rPr>
      </w:pPr>
      <w:r w:rsidRPr="008742E9">
        <w:rPr>
          <w:rFonts w:eastAsia="Calibri"/>
          <w:sz w:val="22"/>
          <w:szCs w:val="20"/>
          <w:lang w:eastAsia="en-US"/>
        </w:rPr>
        <w:t>университет имени И. Т. Трубилина</w:t>
      </w:r>
    </w:p>
    <w:p w:rsidR="008742E9" w:rsidRPr="008742E9" w:rsidRDefault="008742E9" w:rsidP="008742E9">
      <w:pPr>
        <w:jc w:val="both"/>
        <w:rPr>
          <w:rFonts w:eastAsia="Calibri"/>
          <w:sz w:val="20"/>
          <w:szCs w:val="20"/>
          <w:lang w:eastAsia="en-US"/>
        </w:rPr>
      </w:pP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АННОТАЦИЯ: Проведено комплексное исследование свежей рыбы, выловленной в бассейне реки Волга, по органолептическим, паразитологическим и микробиологическим показателям. Устано</w:t>
      </w:r>
      <w:r w:rsidRPr="008742E9">
        <w:rPr>
          <w:rFonts w:eastAsia="Calibri"/>
          <w:sz w:val="22"/>
          <w:szCs w:val="20"/>
          <w:lang w:eastAsia="en-US"/>
        </w:rPr>
        <w:t>в</w:t>
      </w:r>
      <w:r w:rsidRPr="008742E9">
        <w:rPr>
          <w:rFonts w:eastAsia="Calibri"/>
          <w:sz w:val="22"/>
          <w:szCs w:val="20"/>
          <w:lang w:eastAsia="en-US"/>
        </w:rPr>
        <w:t>лено, что зараженная личинками диплостом рыба в большей степ</w:t>
      </w:r>
      <w:r w:rsidRPr="008742E9">
        <w:rPr>
          <w:rFonts w:eastAsia="Calibri"/>
          <w:sz w:val="22"/>
          <w:szCs w:val="20"/>
          <w:lang w:eastAsia="en-US"/>
        </w:rPr>
        <w:t>е</w:t>
      </w:r>
      <w:r w:rsidRPr="008742E9">
        <w:rPr>
          <w:rFonts w:eastAsia="Calibri"/>
          <w:sz w:val="22"/>
          <w:szCs w:val="20"/>
          <w:lang w:eastAsia="en-US"/>
        </w:rPr>
        <w:t>ни контаминирована микроорганизмами.</w:t>
      </w:r>
    </w:p>
    <w:p w:rsidR="008742E9" w:rsidRPr="008742E9" w:rsidRDefault="008742E9" w:rsidP="00667E25">
      <w:pPr>
        <w:ind w:firstLine="426"/>
        <w:jc w:val="both"/>
        <w:rPr>
          <w:rFonts w:eastAsia="Calibri"/>
          <w:sz w:val="22"/>
          <w:szCs w:val="20"/>
          <w:lang w:val="en-US" w:eastAsia="en-US"/>
        </w:rPr>
      </w:pPr>
      <w:r w:rsidRPr="008742E9">
        <w:rPr>
          <w:rFonts w:eastAsia="Calibri"/>
          <w:sz w:val="22"/>
          <w:szCs w:val="20"/>
          <w:lang w:val="en-US" w:eastAsia="en-US"/>
        </w:rPr>
        <w:t>ABSTRACT: The complex research of the fresh fish caught in the basin of the Volga River on organoleptic, parasitological and microbi</w:t>
      </w:r>
      <w:r w:rsidRPr="008742E9">
        <w:rPr>
          <w:rFonts w:eastAsia="Calibri"/>
          <w:sz w:val="22"/>
          <w:szCs w:val="20"/>
          <w:lang w:val="en-US" w:eastAsia="en-US"/>
        </w:rPr>
        <w:t>o</w:t>
      </w:r>
      <w:r w:rsidRPr="008742E9">
        <w:rPr>
          <w:rFonts w:eastAsia="Calibri"/>
          <w:sz w:val="22"/>
          <w:szCs w:val="20"/>
          <w:lang w:val="en-US" w:eastAsia="en-US"/>
        </w:rPr>
        <w:t>logical indicators is conducted. It is established that the fish infested with larvae Diplostomum was more contamination microorganisms.</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КЛЮЧЕВЫЕ СЛОВА:</w:t>
      </w:r>
      <w:r w:rsidRPr="008742E9">
        <w:rPr>
          <w:rFonts w:ascii="Calibri" w:eastAsia="Calibri" w:hAnsi="Calibri"/>
          <w:sz w:val="24"/>
          <w:szCs w:val="22"/>
          <w:lang w:eastAsia="en-US"/>
        </w:rPr>
        <w:t xml:space="preserve"> </w:t>
      </w:r>
      <w:r w:rsidRPr="008742E9">
        <w:rPr>
          <w:rFonts w:eastAsia="Calibri"/>
          <w:sz w:val="22"/>
          <w:szCs w:val="20"/>
          <w:lang w:eastAsia="en-US"/>
        </w:rPr>
        <w:t>ветеринарно-санитарная экспертиза, свежая рыба, диплостомоз, санитарно-показательные микроорг</w:t>
      </w:r>
      <w:r w:rsidRPr="008742E9">
        <w:rPr>
          <w:rFonts w:eastAsia="Calibri"/>
          <w:sz w:val="22"/>
          <w:szCs w:val="20"/>
          <w:lang w:eastAsia="en-US"/>
        </w:rPr>
        <w:t>а</w:t>
      </w:r>
      <w:r w:rsidRPr="008742E9">
        <w:rPr>
          <w:rFonts w:eastAsia="Calibri"/>
          <w:sz w:val="22"/>
          <w:szCs w:val="20"/>
          <w:lang w:eastAsia="en-US"/>
        </w:rPr>
        <w:t>низмы, органолептические показатели.</w:t>
      </w:r>
    </w:p>
    <w:p w:rsidR="008742E9" w:rsidRPr="008742E9" w:rsidRDefault="008742E9" w:rsidP="00667E25">
      <w:pPr>
        <w:ind w:firstLine="426"/>
        <w:jc w:val="both"/>
        <w:rPr>
          <w:rFonts w:eastAsia="Calibri"/>
          <w:sz w:val="22"/>
          <w:szCs w:val="20"/>
          <w:lang w:val="en-US" w:eastAsia="en-US"/>
        </w:rPr>
      </w:pPr>
      <w:r w:rsidRPr="008742E9">
        <w:rPr>
          <w:rFonts w:eastAsia="Calibri"/>
          <w:sz w:val="22"/>
          <w:szCs w:val="20"/>
          <w:lang w:val="en-US" w:eastAsia="en-US"/>
        </w:rPr>
        <w:t>KEYWORDS: veterinary and sanitary expertise, fresh fish, Di</w:t>
      </w:r>
      <w:r w:rsidRPr="008742E9">
        <w:rPr>
          <w:rFonts w:eastAsia="Calibri"/>
          <w:sz w:val="22"/>
          <w:szCs w:val="20"/>
          <w:lang w:val="en-US" w:eastAsia="en-US"/>
        </w:rPr>
        <w:t>p</w:t>
      </w:r>
      <w:r w:rsidRPr="008742E9">
        <w:rPr>
          <w:rFonts w:eastAsia="Calibri"/>
          <w:sz w:val="22"/>
          <w:szCs w:val="20"/>
          <w:lang w:val="en-US" w:eastAsia="en-US"/>
        </w:rPr>
        <w:t>lostomosis, sanitary indicator microorganisms, organoleptic parameters.</w:t>
      </w:r>
    </w:p>
    <w:p w:rsidR="008742E9" w:rsidRPr="008742E9" w:rsidRDefault="008742E9" w:rsidP="00667E25">
      <w:pPr>
        <w:ind w:firstLine="426"/>
        <w:jc w:val="both"/>
        <w:rPr>
          <w:rFonts w:eastAsia="Calibri"/>
          <w:sz w:val="22"/>
          <w:szCs w:val="20"/>
          <w:lang w:val="en-US" w:eastAsia="en-US"/>
        </w:rPr>
      </w:pP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Рыба и рыбопродукты широко используются в повседневном рационе человека, диетическом и детском питании и составляют около 20 % в общем балансе потребляемых населением животных белков [1]. При этом особое значение имеет контроль качества р</w:t>
      </w:r>
      <w:r w:rsidRPr="008742E9">
        <w:rPr>
          <w:rFonts w:eastAsia="Calibri"/>
          <w:sz w:val="22"/>
          <w:szCs w:val="20"/>
          <w:lang w:eastAsia="en-US"/>
        </w:rPr>
        <w:t>ы</w:t>
      </w:r>
      <w:r w:rsidRPr="008742E9">
        <w:rPr>
          <w:rFonts w:eastAsia="Calibri"/>
          <w:sz w:val="22"/>
          <w:szCs w:val="20"/>
          <w:lang w:eastAsia="en-US"/>
        </w:rPr>
        <w:t xml:space="preserve">бы и рыбоводческой продукции, так как это имеет первостепенное значение для обеспечения пищевой безопасности населения. Вместе с тем при бактериальном загрязнении водоемов существует риск </w:t>
      </w:r>
      <w:r w:rsidRPr="008742E9">
        <w:rPr>
          <w:rFonts w:eastAsia="Calibri"/>
          <w:sz w:val="22"/>
          <w:szCs w:val="20"/>
          <w:lang w:eastAsia="en-US"/>
        </w:rPr>
        <w:lastRenderedPageBreak/>
        <w:t>микробной контаминации рыбы, а, следовательно, и рыбопродуктов [2, 3].  Данное обстоятельство существенно снижает безопасность использования рыбы и рыбопродуктов в создании устойчивой пр</w:t>
      </w:r>
      <w:r w:rsidRPr="008742E9">
        <w:rPr>
          <w:rFonts w:eastAsia="Calibri"/>
          <w:sz w:val="22"/>
          <w:szCs w:val="20"/>
          <w:lang w:eastAsia="en-US"/>
        </w:rPr>
        <w:t>о</w:t>
      </w:r>
      <w:r w:rsidRPr="008742E9">
        <w:rPr>
          <w:rFonts w:eastAsia="Calibri"/>
          <w:sz w:val="22"/>
          <w:szCs w:val="20"/>
          <w:lang w:eastAsia="en-US"/>
        </w:rPr>
        <w:t>довольственной базы страны [4].</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Цель исследования состояла в проведении оценки качества с</w:t>
      </w:r>
      <w:r w:rsidRPr="008742E9">
        <w:rPr>
          <w:rFonts w:eastAsia="Calibri"/>
          <w:sz w:val="22"/>
          <w:szCs w:val="20"/>
          <w:lang w:eastAsia="en-US"/>
        </w:rPr>
        <w:t>ы</w:t>
      </w:r>
      <w:r w:rsidRPr="008742E9">
        <w:rPr>
          <w:rFonts w:eastAsia="Calibri"/>
          <w:sz w:val="22"/>
          <w:szCs w:val="20"/>
          <w:lang w:eastAsia="en-US"/>
        </w:rPr>
        <w:t>рой рыбы, поступающей для реализации на рынок города Волгогр</w:t>
      </w:r>
      <w:r w:rsidRPr="008742E9">
        <w:rPr>
          <w:rFonts w:eastAsia="Calibri"/>
          <w:sz w:val="22"/>
          <w:szCs w:val="20"/>
          <w:lang w:eastAsia="en-US"/>
        </w:rPr>
        <w:t>а</w:t>
      </w:r>
      <w:r w:rsidRPr="008742E9">
        <w:rPr>
          <w:rFonts w:eastAsia="Calibri"/>
          <w:sz w:val="22"/>
          <w:szCs w:val="20"/>
          <w:lang w:eastAsia="en-US"/>
        </w:rPr>
        <w:t>да, по органолептическим, паразитологическим и микробиологич</w:t>
      </w:r>
      <w:r w:rsidRPr="008742E9">
        <w:rPr>
          <w:rFonts w:eastAsia="Calibri"/>
          <w:sz w:val="22"/>
          <w:szCs w:val="20"/>
          <w:lang w:eastAsia="en-US"/>
        </w:rPr>
        <w:t>е</w:t>
      </w:r>
      <w:r w:rsidRPr="008742E9">
        <w:rPr>
          <w:rFonts w:eastAsia="Calibri"/>
          <w:sz w:val="22"/>
          <w:szCs w:val="20"/>
          <w:lang w:eastAsia="en-US"/>
        </w:rPr>
        <w:t>ским показателям.</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Для проведения исследования были использованы следующие методы: органолептический (изучение цвета, запаха, консистенции мяса), физико-химический (определение рН мяса), бактериологич</w:t>
      </w:r>
      <w:r w:rsidRPr="008742E9">
        <w:rPr>
          <w:rFonts w:eastAsia="Calibri"/>
          <w:sz w:val="22"/>
          <w:szCs w:val="20"/>
          <w:lang w:eastAsia="en-US"/>
        </w:rPr>
        <w:t>е</w:t>
      </w:r>
      <w:r w:rsidRPr="008742E9">
        <w:rPr>
          <w:rFonts w:eastAsia="Calibri"/>
          <w:sz w:val="22"/>
          <w:szCs w:val="20"/>
          <w:lang w:eastAsia="en-US"/>
        </w:rPr>
        <w:t>ский (посев на питательные среды, с дальнейшим изучением пол</w:t>
      </w:r>
      <w:r w:rsidRPr="008742E9">
        <w:rPr>
          <w:rFonts w:eastAsia="Calibri"/>
          <w:sz w:val="22"/>
          <w:szCs w:val="20"/>
          <w:lang w:eastAsia="en-US"/>
        </w:rPr>
        <w:t>у</w:t>
      </w:r>
      <w:r w:rsidRPr="008742E9">
        <w:rPr>
          <w:rFonts w:eastAsia="Calibri"/>
          <w:sz w:val="22"/>
          <w:szCs w:val="20"/>
          <w:lang w:eastAsia="en-US"/>
        </w:rPr>
        <w:t xml:space="preserve">ченных колоний и окрашиванием выделенных микроорганизмов по Романовскому-Гимзе), определение КМАФАнМ в соответствии с </w:t>
      </w:r>
      <w:r w:rsidRPr="008742E9">
        <w:rPr>
          <w:rFonts w:eastAsia="Calibri"/>
          <w:sz w:val="22"/>
          <w:szCs w:val="24"/>
          <w:lang w:eastAsia="en-US"/>
        </w:rPr>
        <w:t>ГОСТ 32064-2013; ГОСТ Р 52815-2007</w:t>
      </w:r>
      <w:r w:rsidRPr="008742E9">
        <w:rPr>
          <w:rFonts w:eastAsia="Calibri"/>
          <w:sz w:val="22"/>
          <w:szCs w:val="20"/>
          <w:lang w:eastAsia="en-US"/>
        </w:rPr>
        <w:t>. Исследования выполнены на базе лаборатории ветеринарно-санитарной экспертизы рынка «Олимпия» г. Волгограда.</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Исследованию подвергнуты образцы рыбы, выловленной в бассейне реки Волги, следующих видов: сазан, толстолобик, щука, густера. При исследовании свежей рыбы выявлены личинки дипл</w:t>
      </w:r>
      <w:r w:rsidRPr="008742E9">
        <w:rPr>
          <w:rFonts w:eastAsia="Calibri"/>
          <w:sz w:val="22"/>
          <w:szCs w:val="20"/>
          <w:lang w:eastAsia="en-US"/>
        </w:rPr>
        <w:t>о</w:t>
      </w:r>
      <w:r w:rsidRPr="008742E9">
        <w:rPr>
          <w:rFonts w:eastAsia="Calibri"/>
          <w:sz w:val="22"/>
          <w:szCs w:val="20"/>
          <w:lang w:eastAsia="en-US"/>
        </w:rPr>
        <w:t>стом (</w:t>
      </w:r>
      <w:r w:rsidRPr="008742E9">
        <w:rPr>
          <w:rFonts w:eastAsia="Calibri"/>
          <w:i/>
          <w:sz w:val="22"/>
          <w:szCs w:val="20"/>
          <w:lang w:eastAsia="en-US"/>
        </w:rPr>
        <w:t>D. spathaceum</w:t>
      </w:r>
      <w:r w:rsidRPr="008742E9">
        <w:rPr>
          <w:rFonts w:eastAsia="Calibri"/>
          <w:sz w:val="22"/>
          <w:szCs w:val="20"/>
          <w:lang w:eastAsia="en-US"/>
        </w:rPr>
        <w:t>) в 25 % случаев. Диплостомоз не является з</w:t>
      </w:r>
      <w:r w:rsidRPr="008742E9">
        <w:rPr>
          <w:rFonts w:eastAsia="Calibri"/>
          <w:sz w:val="22"/>
          <w:szCs w:val="20"/>
          <w:lang w:eastAsia="en-US"/>
        </w:rPr>
        <w:t>а</w:t>
      </w:r>
      <w:r w:rsidRPr="008742E9">
        <w:rPr>
          <w:rFonts w:eastAsia="Calibri"/>
          <w:sz w:val="22"/>
          <w:szCs w:val="20"/>
          <w:lang w:eastAsia="en-US"/>
        </w:rPr>
        <w:t>болеванием, опасным для человека, но значительно снижает кач</w:t>
      </w:r>
      <w:r w:rsidRPr="008742E9">
        <w:rPr>
          <w:rFonts w:eastAsia="Calibri"/>
          <w:sz w:val="22"/>
          <w:szCs w:val="20"/>
          <w:lang w:eastAsia="en-US"/>
        </w:rPr>
        <w:t>е</w:t>
      </w:r>
      <w:r w:rsidRPr="008742E9">
        <w:rPr>
          <w:rFonts w:eastAsia="Calibri"/>
          <w:sz w:val="22"/>
          <w:szCs w:val="20"/>
          <w:lang w:eastAsia="en-US"/>
        </w:rPr>
        <w:t xml:space="preserve">ство мяса рыбы. </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При органолептическом исследовании рыбы отклонений от нормы не выявлено: чешуя была блестящая, с перламутровым отл</w:t>
      </w:r>
      <w:r w:rsidRPr="008742E9">
        <w:rPr>
          <w:rFonts w:eastAsia="Calibri"/>
          <w:sz w:val="22"/>
          <w:szCs w:val="20"/>
          <w:lang w:eastAsia="en-US"/>
        </w:rPr>
        <w:t>и</w:t>
      </w:r>
      <w:r w:rsidRPr="008742E9">
        <w:rPr>
          <w:rFonts w:eastAsia="Calibri"/>
          <w:sz w:val="22"/>
          <w:szCs w:val="20"/>
          <w:lang w:eastAsia="en-US"/>
        </w:rPr>
        <w:t>вом, плотно прилегала к телу, слизь прозрачная. Кожа упругая, плавники цельные. Жаберные крышки плотно закрывали жаберную полость. Глаза были выпуклые, роговая оболочка прозрачная, гря</w:t>
      </w:r>
      <w:r w:rsidRPr="008742E9">
        <w:rPr>
          <w:rFonts w:eastAsia="Calibri"/>
          <w:sz w:val="22"/>
          <w:szCs w:val="20"/>
          <w:lang w:eastAsia="en-US"/>
        </w:rPr>
        <w:t>з</w:t>
      </w:r>
      <w:r w:rsidRPr="008742E9">
        <w:rPr>
          <w:rFonts w:eastAsia="Calibri"/>
          <w:sz w:val="22"/>
          <w:szCs w:val="20"/>
          <w:lang w:eastAsia="en-US"/>
        </w:rPr>
        <w:t>но-серого цвета. Брюшко не вздутое, анальное отверстие не вып</w:t>
      </w:r>
      <w:r w:rsidRPr="008742E9">
        <w:rPr>
          <w:rFonts w:eastAsia="Calibri"/>
          <w:sz w:val="22"/>
          <w:szCs w:val="20"/>
          <w:lang w:eastAsia="en-US"/>
        </w:rPr>
        <w:t>я</w:t>
      </w:r>
      <w:r w:rsidRPr="008742E9">
        <w:rPr>
          <w:rFonts w:eastAsia="Calibri"/>
          <w:sz w:val="22"/>
          <w:szCs w:val="20"/>
          <w:lang w:eastAsia="en-US"/>
        </w:rPr>
        <w:t>чено. На разрезе мышечная ткань упругая, плотно прилегала. Запах свойственный свежей рыбе.</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Показатель рН мяса рыб составил 6,5, что не соответствует установленным требованиям. Бактериологический анализ показал, что в мясе рыб показатель КМАФАнМ составил 7∙10</w:t>
      </w:r>
      <w:r w:rsidRPr="008742E9">
        <w:rPr>
          <w:rFonts w:eastAsia="Calibri"/>
          <w:sz w:val="22"/>
          <w:szCs w:val="20"/>
          <w:vertAlign w:val="superscript"/>
          <w:lang w:eastAsia="en-US"/>
        </w:rPr>
        <w:t xml:space="preserve">4 </w:t>
      </w:r>
      <w:r w:rsidRPr="008742E9">
        <w:rPr>
          <w:rFonts w:eastAsia="Calibri"/>
          <w:sz w:val="22"/>
          <w:szCs w:val="20"/>
          <w:lang w:eastAsia="en-US"/>
        </w:rPr>
        <w:t>КОЕ/</w:t>
      </w:r>
      <w:proofErr w:type="gramStart"/>
      <w:r w:rsidRPr="008742E9">
        <w:rPr>
          <w:rFonts w:eastAsia="Calibri"/>
          <w:sz w:val="22"/>
          <w:szCs w:val="20"/>
          <w:lang w:eastAsia="en-US"/>
        </w:rPr>
        <w:t>г</w:t>
      </w:r>
      <w:proofErr w:type="gramEnd"/>
      <w:r w:rsidRPr="008742E9">
        <w:rPr>
          <w:rFonts w:eastAsia="Calibri"/>
          <w:sz w:val="22"/>
          <w:szCs w:val="20"/>
          <w:lang w:eastAsia="en-US"/>
        </w:rPr>
        <w:t>, что в 1,4 раза превышает устано</w:t>
      </w:r>
      <w:r w:rsidR="00384DE6">
        <w:rPr>
          <w:rFonts w:eastAsia="Calibri"/>
          <w:sz w:val="22"/>
          <w:szCs w:val="20"/>
          <w:lang w:eastAsia="en-US"/>
        </w:rPr>
        <w:t xml:space="preserve">вленный норматив. </w:t>
      </w:r>
      <w:r w:rsidRPr="008742E9">
        <w:rPr>
          <w:rFonts w:eastAsia="Calibri"/>
          <w:sz w:val="22"/>
          <w:szCs w:val="20"/>
          <w:lang w:eastAsia="en-US"/>
        </w:rPr>
        <w:t xml:space="preserve">Бактерии группы </w:t>
      </w:r>
      <w:r w:rsidR="00384DE6">
        <w:rPr>
          <w:rFonts w:eastAsia="Calibri"/>
          <w:sz w:val="22"/>
          <w:szCs w:val="20"/>
          <w:lang w:eastAsia="en-US"/>
        </w:rPr>
        <w:t>к</w:t>
      </w:r>
      <w:r w:rsidR="00384DE6">
        <w:rPr>
          <w:rFonts w:eastAsia="Calibri"/>
          <w:sz w:val="22"/>
          <w:szCs w:val="20"/>
          <w:lang w:eastAsia="en-US"/>
        </w:rPr>
        <w:t>и</w:t>
      </w:r>
      <w:r w:rsidR="00384DE6">
        <w:rPr>
          <w:rFonts w:eastAsia="Calibri"/>
          <w:sz w:val="22"/>
          <w:szCs w:val="20"/>
          <w:lang w:eastAsia="en-US"/>
        </w:rPr>
        <w:t xml:space="preserve">шечной палочки обнаружены в </w:t>
      </w:r>
      <w:r w:rsidRPr="008742E9">
        <w:rPr>
          <w:rFonts w:eastAsia="Calibri"/>
          <w:sz w:val="22"/>
          <w:szCs w:val="20"/>
          <w:lang w:eastAsia="en-US"/>
        </w:rPr>
        <w:t xml:space="preserve">0,02 г, рода </w:t>
      </w:r>
      <w:r w:rsidRPr="008742E9">
        <w:rPr>
          <w:rFonts w:eastAsia="Calibri"/>
          <w:sz w:val="22"/>
          <w:szCs w:val="20"/>
          <w:lang w:val="en-US" w:eastAsia="en-US"/>
        </w:rPr>
        <w:t>Staphylococcus</w:t>
      </w:r>
      <w:r w:rsidRPr="008742E9">
        <w:rPr>
          <w:rFonts w:eastAsia="Calibri"/>
          <w:sz w:val="22"/>
          <w:szCs w:val="20"/>
          <w:lang w:eastAsia="en-US"/>
        </w:rPr>
        <w:t xml:space="preserve"> – в 0,03 г рыбы, что превышало допустимую норму по условно-патогенным организмам в 2 и 3 раза соответственно. Кроме того, из мяса инв</w:t>
      </w:r>
      <w:r w:rsidRPr="008742E9">
        <w:rPr>
          <w:rFonts w:eastAsia="Calibri"/>
          <w:sz w:val="22"/>
          <w:szCs w:val="20"/>
          <w:lang w:eastAsia="en-US"/>
        </w:rPr>
        <w:t>а</w:t>
      </w:r>
      <w:r w:rsidRPr="008742E9">
        <w:rPr>
          <w:rFonts w:eastAsia="Calibri"/>
          <w:sz w:val="22"/>
          <w:szCs w:val="20"/>
          <w:lang w:eastAsia="en-US"/>
        </w:rPr>
        <w:lastRenderedPageBreak/>
        <w:t xml:space="preserve">зированных диплостомами рыб выделена патогенная бактерий </w:t>
      </w:r>
      <w:r w:rsidRPr="008742E9">
        <w:rPr>
          <w:rFonts w:eastAsia="Calibri"/>
          <w:i/>
          <w:sz w:val="22"/>
          <w:szCs w:val="20"/>
          <w:lang w:eastAsia="en-US"/>
        </w:rPr>
        <w:t xml:space="preserve">Pseudomonas </w:t>
      </w:r>
      <w:r w:rsidRPr="008742E9">
        <w:rPr>
          <w:rFonts w:eastAsia="Calibri"/>
          <w:i/>
          <w:sz w:val="22"/>
          <w:szCs w:val="20"/>
          <w:lang w:val="en-US" w:eastAsia="en-US"/>
        </w:rPr>
        <w:t>aeruginosa</w:t>
      </w:r>
      <w:r w:rsidRPr="008742E9">
        <w:rPr>
          <w:rFonts w:eastAsia="Calibri"/>
          <w:i/>
          <w:sz w:val="22"/>
          <w:szCs w:val="20"/>
          <w:lang w:eastAsia="en-US"/>
        </w:rPr>
        <w:t xml:space="preserve">. </w:t>
      </w:r>
      <w:r w:rsidRPr="008742E9">
        <w:rPr>
          <w:rFonts w:eastAsia="Calibri"/>
          <w:sz w:val="22"/>
          <w:szCs w:val="20"/>
          <w:lang w:eastAsia="en-US"/>
        </w:rPr>
        <w:t xml:space="preserve">При этом микробиологические показатели незараженной диплостомами рыбы соответствовали норме. </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Таким образом, в результате проведенных исследований уст</w:t>
      </w:r>
      <w:r w:rsidRPr="008742E9">
        <w:rPr>
          <w:rFonts w:eastAsia="Calibri"/>
          <w:sz w:val="22"/>
          <w:szCs w:val="20"/>
          <w:lang w:eastAsia="en-US"/>
        </w:rPr>
        <w:t>а</w:t>
      </w:r>
      <w:r w:rsidRPr="008742E9">
        <w:rPr>
          <w:rFonts w:eastAsia="Calibri"/>
          <w:sz w:val="22"/>
          <w:szCs w:val="20"/>
          <w:lang w:eastAsia="en-US"/>
        </w:rPr>
        <w:t>новлено, что независимо от органолептических показателей, рыба, инвазированная личинками диплостом, должна подвергаться обяз</w:t>
      </w:r>
      <w:r w:rsidRPr="008742E9">
        <w:rPr>
          <w:rFonts w:eastAsia="Calibri"/>
          <w:sz w:val="22"/>
          <w:szCs w:val="20"/>
          <w:lang w:eastAsia="en-US"/>
        </w:rPr>
        <w:t>а</w:t>
      </w:r>
      <w:r w:rsidRPr="008742E9">
        <w:rPr>
          <w:rFonts w:eastAsia="Calibri"/>
          <w:sz w:val="22"/>
          <w:szCs w:val="20"/>
          <w:lang w:eastAsia="en-US"/>
        </w:rPr>
        <w:t>тельному микробиологическому исследованию, так как вода может служить источником бактериальной контаминации зараженной р</w:t>
      </w:r>
      <w:r w:rsidRPr="008742E9">
        <w:rPr>
          <w:rFonts w:eastAsia="Calibri"/>
          <w:sz w:val="22"/>
          <w:szCs w:val="20"/>
          <w:lang w:eastAsia="en-US"/>
        </w:rPr>
        <w:t>ы</w:t>
      </w:r>
      <w:r w:rsidRPr="008742E9">
        <w:rPr>
          <w:rFonts w:eastAsia="Calibri"/>
          <w:sz w:val="22"/>
          <w:szCs w:val="20"/>
          <w:lang w:eastAsia="en-US"/>
        </w:rPr>
        <w:t>бы. Поэтому при гельминтозах следует проводить профилактич</w:t>
      </w:r>
      <w:r w:rsidRPr="008742E9">
        <w:rPr>
          <w:rFonts w:eastAsia="Calibri"/>
          <w:sz w:val="22"/>
          <w:szCs w:val="20"/>
          <w:lang w:eastAsia="en-US"/>
        </w:rPr>
        <w:t>е</w:t>
      </w:r>
      <w:r w:rsidRPr="008742E9">
        <w:rPr>
          <w:rFonts w:eastAsia="Calibri"/>
          <w:sz w:val="22"/>
          <w:szCs w:val="20"/>
          <w:lang w:eastAsia="en-US"/>
        </w:rPr>
        <w:t>ский ветеринарно-санитарный контроль рыбной продукции на о</w:t>
      </w:r>
      <w:r w:rsidRPr="008742E9">
        <w:rPr>
          <w:rFonts w:eastAsia="Calibri"/>
          <w:sz w:val="22"/>
          <w:szCs w:val="20"/>
          <w:lang w:eastAsia="en-US"/>
        </w:rPr>
        <w:t>б</w:t>
      </w:r>
      <w:r w:rsidRPr="008742E9">
        <w:rPr>
          <w:rFonts w:eastAsia="Calibri"/>
          <w:sz w:val="22"/>
          <w:szCs w:val="20"/>
          <w:lang w:eastAsia="en-US"/>
        </w:rPr>
        <w:t>наружение санитарно-показательных микроорганизмов.</w:t>
      </w:r>
    </w:p>
    <w:p w:rsidR="008742E9" w:rsidRPr="008742E9" w:rsidRDefault="008742E9" w:rsidP="00667E25">
      <w:pPr>
        <w:ind w:firstLine="426"/>
        <w:jc w:val="both"/>
        <w:rPr>
          <w:rFonts w:eastAsia="Calibri"/>
          <w:sz w:val="22"/>
          <w:szCs w:val="24"/>
          <w:lang w:eastAsia="en-US"/>
        </w:rPr>
      </w:pPr>
    </w:p>
    <w:p w:rsidR="008742E9" w:rsidRPr="008742E9" w:rsidRDefault="008742E9" w:rsidP="00667E25">
      <w:pPr>
        <w:ind w:firstLine="426"/>
        <w:jc w:val="center"/>
        <w:rPr>
          <w:rFonts w:eastAsia="Calibri"/>
          <w:sz w:val="22"/>
          <w:szCs w:val="24"/>
          <w:lang w:eastAsia="en-US"/>
        </w:rPr>
      </w:pPr>
      <w:r w:rsidRPr="008742E9">
        <w:rPr>
          <w:rFonts w:eastAsia="Calibri"/>
          <w:sz w:val="22"/>
          <w:szCs w:val="24"/>
          <w:lang w:eastAsia="en-US"/>
        </w:rPr>
        <w:t>Список литературы</w:t>
      </w:r>
    </w:p>
    <w:p w:rsidR="008742E9" w:rsidRPr="008742E9" w:rsidRDefault="008742E9" w:rsidP="00667E25">
      <w:pPr>
        <w:ind w:firstLine="426"/>
        <w:contextualSpacing/>
        <w:jc w:val="both"/>
        <w:rPr>
          <w:rFonts w:eastAsia="Calibri"/>
          <w:sz w:val="22"/>
          <w:szCs w:val="20"/>
          <w:lang w:eastAsia="en-US"/>
        </w:rPr>
      </w:pPr>
      <w:r w:rsidRPr="008742E9">
        <w:rPr>
          <w:rFonts w:eastAsia="Calibri"/>
          <w:sz w:val="22"/>
          <w:szCs w:val="20"/>
          <w:lang w:eastAsia="en-US"/>
        </w:rPr>
        <w:t>1. Калмыков М.В. Лабораторный контроль безопасности пр</w:t>
      </w:r>
      <w:r w:rsidRPr="008742E9">
        <w:rPr>
          <w:rFonts w:eastAsia="Calibri"/>
          <w:sz w:val="22"/>
          <w:szCs w:val="20"/>
          <w:lang w:eastAsia="en-US"/>
        </w:rPr>
        <w:t>о</w:t>
      </w:r>
      <w:r w:rsidRPr="008742E9">
        <w:rPr>
          <w:rFonts w:eastAsia="Calibri"/>
          <w:sz w:val="22"/>
          <w:szCs w:val="20"/>
          <w:lang w:eastAsia="en-US"/>
        </w:rPr>
        <w:t>дуктов животного происхождения» / М.В. Калмыков, В.И. Белоусов // Ветеринария, 2015. – № 3. – С. 3-6.</w:t>
      </w:r>
    </w:p>
    <w:p w:rsidR="008742E9" w:rsidRPr="008742E9" w:rsidRDefault="008742E9" w:rsidP="00667E25">
      <w:pPr>
        <w:ind w:firstLine="426"/>
        <w:contextualSpacing/>
        <w:jc w:val="both"/>
        <w:rPr>
          <w:rFonts w:eastAsia="Calibri"/>
          <w:sz w:val="22"/>
          <w:szCs w:val="20"/>
          <w:lang w:eastAsia="en-US"/>
        </w:rPr>
      </w:pPr>
      <w:r w:rsidRPr="008742E9">
        <w:rPr>
          <w:rFonts w:eastAsia="Calibri"/>
          <w:sz w:val="22"/>
          <w:szCs w:val="20"/>
          <w:lang w:eastAsia="en-US"/>
        </w:rPr>
        <w:t>2. Макаров Ю.А. Микробиологическая оценка природных в</w:t>
      </w:r>
      <w:r w:rsidRPr="008742E9">
        <w:rPr>
          <w:rFonts w:eastAsia="Calibri"/>
          <w:sz w:val="22"/>
          <w:szCs w:val="20"/>
          <w:lang w:eastAsia="en-US"/>
        </w:rPr>
        <w:t>о</w:t>
      </w:r>
      <w:r w:rsidRPr="008742E9">
        <w:rPr>
          <w:rFonts w:eastAsia="Calibri"/>
          <w:sz w:val="22"/>
          <w:szCs w:val="20"/>
          <w:lang w:eastAsia="en-US"/>
        </w:rPr>
        <w:t>доемов Зейско-Буреинской равнины / Ю.А. Макаров, Н.Е. Горк</w:t>
      </w:r>
      <w:r w:rsidRPr="008742E9">
        <w:rPr>
          <w:rFonts w:eastAsia="Calibri"/>
          <w:sz w:val="22"/>
          <w:szCs w:val="20"/>
          <w:lang w:eastAsia="en-US"/>
        </w:rPr>
        <w:t>о</w:t>
      </w:r>
      <w:r w:rsidRPr="008742E9">
        <w:rPr>
          <w:rFonts w:eastAsia="Calibri"/>
          <w:sz w:val="22"/>
          <w:szCs w:val="20"/>
          <w:lang w:eastAsia="en-US"/>
        </w:rPr>
        <w:t>венко, О.С. Пономарева // Дальневосточный аграрный вестник, 2008. – № 1 (5). – С. 40-44.</w:t>
      </w:r>
    </w:p>
    <w:p w:rsidR="008742E9" w:rsidRPr="008742E9" w:rsidRDefault="008742E9" w:rsidP="00667E25">
      <w:pPr>
        <w:ind w:firstLine="426"/>
        <w:contextualSpacing/>
        <w:jc w:val="both"/>
        <w:rPr>
          <w:rFonts w:eastAsia="Calibri"/>
          <w:sz w:val="22"/>
          <w:szCs w:val="20"/>
          <w:lang w:eastAsia="en-US"/>
        </w:rPr>
      </w:pPr>
      <w:r w:rsidRPr="008742E9">
        <w:rPr>
          <w:rFonts w:eastAsia="Calibri"/>
          <w:sz w:val="22"/>
          <w:szCs w:val="20"/>
          <w:lang w:eastAsia="en-US"/>
        </w:rPr>
        <w:t>3. Горковенко Н.Е. Микробиологический мониторинг источн</w:t>
      </w:r>
      <w:r w:rsidRPr="008742E9">
        <w:rPr>
          <w:rFonts w:eastAsia="Calibri"/>
          <w:sz w:val="22"/>
          <w:szCs w:val="20"/>
          <w:lang w:eastAsia="en-US"/>
        </w:rPr>
        <w:t>и</w:t>
      </w:r>
      <w:r w:rsidRPr="008742E9">
        <w:rPr>
          <w:rFonts w:eastAsia="Calibri"/>
          <w:sz w:val="22"/>
          <w:szCs w:val="20"/>
          <w:lang w:eastAsia="en-US"/>
        </w:rPr>
        <w:t>ков питьевой воды // Ветеринария, 2006. – № 6. – С. 41-43.</w:t>
      </w:r>
    </w:p>
    <w:p w:rsidR="008742E9" w:rsidRPr="008742E9" w:rsidRDefault="008742E9" w:rsidP="00667E25">
      <w:pPr>
        <w:ind w:firstLine="426"/>
        <w:jc w:val="both"/>
        <w:rPr>
          <w:rFonts w:eastAsia="Calibri"/>
          <w:sz w:val="22"/>
          <w:szCs w:val="20"/>
          <w:lang w:eastAsia="en-US"/>
        </w:rPr>
      </w:pPr>
      <w:r w:rsidRPr="008742E9">
        <w:rPr>
          <w:rFonts w:eastAsia="Calibri"/>
          <w:sz w:val="22"/>
          <w:szCs w:val="20"/>
          <w:lang w:eastAsia="en-US"/>
        </w:rPr>
        <w:t>4. Ефимочкина Н.Р. Индикация и серологический скрининг условно-патогенных энтеробактерий, выделенных из продуктов п</w:t>
      </w:r>
      <w:r w:rsidRPr="008742E9">
        <w:rPr>
          <w:rFonts w:eastAsia="Calibri"/>
          <w:sz w:val="22"/>
          <w:szCs w:val="20"/>
          <w:lang w:eastAsia="en-US"/>
        </w:rPr>
        <w:t>и</w:t>
      </w:r>
      <w:r w:rsidRPr="008742E9">
        <w:rPr>
          <w:rFonts w:eastAsia="Calibri"/>
          <w:sz w:val="22"/>
          <w:szCs w:val="20"/>
          <w:lang w:eastAsia="en-US"/>
        </w:rPr>
        <w:t>тания и объектов внешней среды / Н.Р. Ефимочкина, С.А. Шевел</w:t>
      </w:r>
      <w:r w:rsidRPr="008742E9">
        <w:rPr>
          <w:rFonts w:eastAsia="Calibri"/>
          <w:sz w:val="22"/>
          <w:szCs w:val="20"/>
          <w:lang w:eastAsia="en-US"/>
        </w:rPr>
        <w:t>е</w:t>
      </w:r>
      <w:r w:rsidRPr="008742E9">
        <w:rPr>
          <w:rFonts w:eastAsia="Calibri"/>
          <w:sz w:val="22"/>
          <w:szCs w:val="20"/>
          <w:lang w:eastAsia="en-US"/>
        </w:rPr>
        <w:t>ва, И.Б. Куваева //. Вопросы питания, 2002. – № 6. – С. 29-34.</w:t>
      </w:r>
    </w:p>
    <w:p w:rsidR="008742E9" w:rsidRDefault="008742E9" w:rsidP="003B6CC8">
      <w:pPr>
        <w:rPr>
          <w:rFonts w:eastAsia="Calibri"/>
          <w:sz w:val="22"/>
          <w:szCs w:val="20"/>
          <w:lang w:eastAsia="en-US"/>
        </w:rPr>
      </w:pPr>
    </w:p>
    <w:p w:rsidR="00384DE6" w:rsidRPr="008742E9" w:rsidRDefault="00384DE6" w:rsidP="003B6CC8">
      <w:pPr>
        <w:rPr>
          <w:rFonts w:eastAsia="Calibri"/>
          <w:sz w:val="22"/>
          <w:szCs w:val="20"/>
          <w:lang w:eastAsia="en-US"/>
        </w:rPr>
      </w:pPr>
      <w:r>
        <w:rPr>
          <w:rFonts w:eastAsia="Calibri"/>
          <w:sz w:val="22"/>
          <w:szCs w:val="20"/>
          <w:lang w:eastAsia="en-US"/>
        </w:rPr>
        <w:br w:type="page"/>
      </w:r>
    </w:p>
    <w:p w:rsidR="008742E9" w:rsidRPr="008742E9" w:rsidRDefault="008742E9" w:rsidP="008742E9">
      <w:pPr>
        <w:jc w:val="both"/>
        <w:rPr>
          <w:sz w:val="22"/>
          <w:szCs w:val="22"/>
        </w:rPr>
      </w:pPr>
      <w:r w:rsidRPr="008742E9">
        <w:rPr>
          <w:sz w:val="22"/>
          <w:szCs w:val="22"/>
        </w:rPr>
        <w:lastRenderedPageBreak/>
        <w:t>УДК 619:616.613-003.7:615,254]:636.8</w:t>
      </w:r>
    </w:p>
    <w:p w:rsidR="008742E9" w:rsidRPr="008742E9" w:rsidRDefault="008742E9" w:rsidP="008742E9">
      <w:pPr>
        <w:jc w:val="both"/>
        <w:rPr>
          <w:sz w:val="22"/>
          <w:szCs w:val="22"/>
        </w:rPr>
      </w:pPr>
    </w:p>
    <w:p w:rsidR="008742E9" w:rsidRPr="008742E9" w:rsidRDefault="008742E9" w:rsidP="008742E9">
      <w:pPr>
        <w:jc w:val="center"/>
        <w:rPr>
          <w:b/>
          <w:sz w:val="24"/>
          <w:szCs w:val="22"/>
        </w:rPr>
      </w:pPr>
      <w:r w:rsidRPr="008742E9">
        <w:rPr>
          <w:b/>
          <w:sz w:val="24"/>
          <w:szCs w:val="22"/>
        </w:rPr>
        <w:t xml:space="preserve">Профилактика возникновения и стимуляция выведения камней и песка из мочевыводящих путей у кошек с </w:t>
      </w:r>
      <w:r w:rsidRPr="008742E9">
        <w:rPr>
          <w:b/>
          <w:sz w:val="24"/>
          <w:szCs w:val="22"/>
        </w:rPr>
        <w:br/>
        <w:t>применением препарата котэрвин</w:t>
      </w:r>
    </w:p>
    <w:p w:rsidR="008742E9" w:rsidRPr="008742E9" w:rsidRDefault="008742E9" w:rsidP="008742E9">
      <w:pPr>
        <w:jc w:val="center"/>
        <w:rPr>
          <w:b/>
          <w:sz w:val="24"/>
          <w:szCs w:val="22"/>
          <w:lang w:val="en-US"/>
        </w:rPr>
      </w:pPr>
      <w:r w:rsidRPr="008742E9">
        <w:rPr>
          <w:b/>
          <w:sz w:val="24"/>
          <w:szCs w:val="22"/>
          <w:lang w:val="en-US"/>
        </w:rPr>
        <w:t>Prevention of occurrence and stimulation of removal of stone and sand from the urinary tract in cats with the use of the drug kotervin</w:t>
      </w:r>
    </w:p>
    <w:p w:rsidR="00667E25" w:rsidRPr="00024398" w:rsidRDefault="00667E25" w:rsidP="008742E9">
      <w:pPr>
        <w:jc w:val="right"/>
        <w:rPr>
          <w:sz w:val="22"/>
          <w:szCs w:val="22"/>
          <w:lang w:val="en-US"/>
        </w:rPr>
      </w:pPr>
    </w:p>
    <w:p w:rsidR="008742E9" w:rsidRPr="008742E9" w:rsidRDefault="008742E9" w:rsidP="008742E9">
      <w:pPr>
        <w:jc w:val="right"/>
        <w:rPr>
          <w:sz w:val="22"/>
          <w:szCs w:val="22"/>
        </w:rPr>
      </w:pPr>
      <w:r w:rsidRPr="008742E9">
        <w:rPr>
          <w:sz w:val="22"/>
          <w:szCs w:val="22"/>
        </w:rPr>
        <w:t>Матюхова Т. Н.,</w:t>
      </w:r>
    </w:p>
    <w:p w:rsidR="00667E25" w:rsidRDefault="008742E9" w:rsidP="008742E9">
      <w:pPr>
        <w:jc w:val="right"/>
        <w:rPr>
          <w:sz w:val="22"/>
          <w:szCs w:val="22"/>
        </w:rPr>
      </w:pPr>
      <w:r w:rsidRPr="008742E9">
        <w:rPr>
          <w:sz w:val="22"/>
          <w:szCs w:val="22"/>
        </w:rPr>
        <w:t>студентка 3-го курса</w:t>
      </w:r>
    </w:p>
    <w:p w:rsidR="008742E9" w:rsidRPr="008742E9" w:rsidRDefault="008742E9" w:rsidP="008742E9">
      <w:pPr>
        <w:jc w:val="right"/>
        <w:rPr>
          <w:sz w:val="22"/>
          <w:szCs w:val="22"/>
        </w:rPr>
      </w:pPr>
      <w:r w:rsidRPr="008742E9">
        <w:rPr>
          <w:sz w:val="22"/>
          <w:szCs w:val="22"/>
        </w:rPr>
        <w:t xml:space="preserve"> факультета ветеринарной медицины,</w:t>
      </w:r>
    </w:p>
    <w:p w:rsidR="008742E9" w:rsidRPr="008742E9" w:rsidRDefault="008742E9" w:rsidP="008742E9">
      <w:pPr>
        <w:jc w:val="right"/>
        <w:rPr>
          <w:sz w:val="22"/>
          <w:szCs w:val="22"/>
        </w:rPr>
      </w:pPr>
      <w:r w:rsidRPr="008742E9">
        <w:rPr>
          <w:sz w:val="22"/>
          <w:szCs w:val="22"/>
        </w:rPr>
        <w:t>Бурменская Г. А.,</w:t>
      </w:r>
    </w:p>
    <w:p w:rsidR="008742E9" w:rsidRPr="008742E9" w:rsidRDefault="008742E9" w:rsidP="008742E9">
      <w:pPr>
        <w:jc w:val="right"/>
        <w:rPr>
          <w:sz w:val="22"/>
          <w:szCs w:val="22"/>
        </w:rPr>
      </w:pPr>
      <w:r w:rsidRPr="008742E9">
        <w:rPr>
          <w:sz w:val="22"/>
          <w:szCs w:val="22"/>
        </w:rPr>
        <w:t>кандидат ветеринарных наук, доцент ка</w:t>
      </w:r>
      <w:r w:rsidR="00667E25">
        <w:rPr>
          <w:sz w:val="22"/>
          <w:szCs w:val="22"/>
        </w:rPr>
        <w:t>федры</w:t>
      </w:r>
    </w:p>
    <w:p w:rsidR="008742E9" w:rsidRPr="008742E9" w:rsidRDefault="00667E25" w:rsidP="008742E9">
      <w:pPr>
        <w:jc w:val="right"/>
        <w:rPr>
          <w:sz w:val="22"/>
          <w:szCs w:val="22"/>
        </w:rPr>
      </w:pPr>
      <w:r>
        <w:rPr>
          <w:sz w:val="22"/>
          <w:szCs w:val="22"/>
        </w:rPr>
        <w:t>терапии и фармакологии</w:t>
      </w:r>
    </w:p>
    <w:p w:rsidR="008742E9" w:rsidRPr="008742E9" w:rsidRDefault="008742E9" w:rsidP="008742E9">
      <w:pPr>
        <w:jc w:val="right"/>
        <w:rPr>
          <w:sz w:val="22"/>
          <w:szCs w:val="22"/>
        </w:rPr>
      </w:pPr>
      <w:r w:rsidRPr="008742E9">
        <w:rPr>
          <w:sz w:val="22"/>
          <w:szCs w:val="22"/>
        </w:rPr>
        <w:t>Куб</w:t>
      </w:r>
      <w:r w:rsidR="00667E25">
        <w:rPr>
          <w:sz w:val="22"/>
          <w:szCs w:val="22"/>
        </w:rPr>
        <w:t>анский государственный аграрный</w:t>
      </w:r>
    </w:p>
    <w:p w:rsidR="008742E9" w:rsidRPr="008742E9" w:rsidRDefault="008742E9" w:rsidP="008742E9">
      <w:pPr>
        <w:jc w:val="right"/>
        <w:rPr>
          <w:sz w:val="24"/>
          <w:szCs w:val="22"/>
        </w:rPr>
      </w:pPr>
      <w:r w:rsidRPr="008742E9">
        <w:rPr>
          <w:sz w:val="22"/>
          <w:szCs w:val="22"/>
        </w:rPr>
        <w:t>университет имени И.</w:t>
      </w:r>
      <w:r w:rsidR="00667E25">
        <w:rPr>
          <w:sz w:val="22"/>
          <w:szCs w:val="22"/>
        </w:rPr>
        <w:t xml:space="preserve"> </w:t>
      </w:r>
      <w:r w:rsidRPr="008742E9">
        <w:rPr>
          <w:sz w:val="22"/>
          <w:szCs w:val="22"/>
        </w:rPr>
        <w:t>Т. Трубилина</w:t>
      </w:r>
    </w:p>
    <w:p w:rsidR="008742E9" w:rsidRPr="008742E9" w:rsidRDefault="008742E9" w:rsidP="008742E9">
      <w:pPr>
        <w:jc w:val="right"/>
        <w:rPr>
          <w:sz w:val="24"/>
          <w:szCs w:val="22"/>
        </w:rPr>
      </w:pPr>
    </w:p>
    <w:p w:rsidR="008742E9" w:rsidRPr="008742E9" w:rsidRDefault="008742E9" w:rsidP="00667E25">
      <w:pPr>
        <w:ind w:firstLine="426"/>
        <w:jc w:val="both"/>
        <w:rPr>
          <w:sz w:val="22"/>
          <w:szCs w:val="22"/>
        </w:rPr>
      </w:pPr>
      <w:r w:rsidRPr="008742E9">
        <w:rPr>
          <w:sz w:val="22"/>
          <w:szCs w:val="22"/>
        </w:rPr>
        <w:t>АННОТАЦИЯ: Изучена лечебный и профилактический эффект препарата котэрвин при мочекаменной болезни кошек.</w:t>
      </w:r>
    </w:p>
    <w:p w:rsidR="008742E9" w:rsidRPr="008742E9" w:rsidRDefault="008742E9" w:rsidP="00667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sz w:val="22"/>
          <w:szCs w:val="22"/>
          <w:lang w:val="en-US"/>
        </w:rPr>
        <w:t>ABSTRACT: The therapeutic and prophylactic effect of the cote</w:t>
      </w:r>
      <w:r w:rsidRPr="008742E9">
        <w:rPr>
          <w:sz w:val="22"/>
          <w:szCs w:val="22"/>
          <w:lang w:val="en-US"/>
        </w:rPr>
        <w:t>r</w:t>
      </w:r>
      <w:r w:rsidRPr="008742E9">
        <w:rPr>
          <w:sz w:val="22"/>
          <w:szCs w:val="22"/>
          <w:lang w:val="en-US"/>
        </w:rPr>
        <w:t xml:space="preserve">wine preparation on the </w:t>
      </w:r>
      <w:r w:rsidRPr="008742E9">
        <w:rPr>
          <w:color w:val="212121"/>
          <w:sz w:val="22"/>
          <w:szCs w:val="22"/>
          <w:lang w:val="en-US"/>
        </w:rPr>
        <w:t>urolithiasis disease</w:t>
      </w:r>
      <w:r w:rsidRPr="008742E9">
        <w:rPr>
          <w:sz w:val="22"/>
          <w:szCs w:val="22"/>
          <w:lang w:val="en-US"/>
        </w:rPr>
        <w:t xml:space="preserve"> of cats was studied.</w:t>
      </w:r>
    </w:p>
    <w:p w:rsidR="008742E9" w:rsidRPr="008742E9" w:rsidRDefault="008742E9" w:rsidP="00667E25">
      <w:pPr>
        <w:ind w:firstLine="426"/>
        <w:jc w:val="both"/>
        <w:rPr>
          <w:sz w:val="22"/>
          <w:szCs w:val="22"/>
        </w:rPr>
      </w:pPr>
      <w:r w:rsidRPr="008742E9">
        <w:rPr>
          <w:sz w:val="22"/>
          <w:szCs w:val="22"/>
        </w:rPr>
        <w:t>КЛЮЧЕВЫЕ СЛОВА: мочекаменная болезнь, препарат котэ</w:t>
      </w:r>
      <w:r w:rsidRPr="008742E9">
        <w:rPr>
          <w:sz w:val="22"/>
          <w:szCs w:val="22"/>
        </w:rPr>
        <w:t>р</w:t>
      </w:r>
      <w:r w:rsidRPr="008742E9">
        <w:rPr>
          <w:sz w:val="22"/>
          <w:szCs w:val="22"/>
        </w:rPr>
        <w:t>вин, камни и песок в мочевыводящих путях.</w:t>
      </w:r>
    </w:p>
    <w:p w:rsidR="008742E9" w:rsidRPr="008742E9" w:rsidRDefault="008742E9" w:rsidP="00667E25">
      <w:pPr>
        <w:ind w:firstLine="426"/>
        <w:jc w:val="both"/>
        <w:rPr>
          <w:color w:val="212121"/>
          <w:sz w:val="22"/>
          <w:szCs w:val="22"/>
          <w:shd w:val="clear" w:color="auto" w:fill="FFFFFF"/>
          <w:lang w:val="en-US"/>
        </w:rPr>
      </w:pPr>
      <w:r w:rsidRPr="008742E9">
        <w:rPr>
          <w:color w:val="212121"/>
          <w:sz w:val="22"/>
          <w:szCs w:val="22"/>
          <w:shd w:val="clear" w:color="auto" w:fill="FFFFFF"/>
          <w:lang w:val="en-US"/>
        </w:rPr>
        <w:t xml:space="preserve">KEYWORDS: </w:t>
      </w:r>
      <w:r w:rsidRPr="008742E9">
        <w:rPr>
          <w:color w:val="212121"/>
          <w:sz w:val="22"/>
          <w:szCs w:val="22"/>
          <w:lang w:val="en-US"/>
        </w:rPr>
        <w:t>urolithiasis disease</w:t>
      </w:r>
      <w:r w:rsidRPr="008742E9">
        <w:rPr>
          <w:color w:val="212121"/>
          <w:sz w:val="22"/>
          <w:szCs w:val="22"/>
          <w:shd w:val="clear" w:color="auto" w:fill="FFFFFF"/>
          <w:lang w:val="en-US"/>
        </w:rPr>
        <w:t>, cotervin preparation, stones and sand in the urinary tract.</w:t>
      </w:r>
    </w:p>
    <w:p w:rsidR="008742E9" w:rsidRPr="008742E9" w:rsidRDefault="008742E9" w:rsidP="00667E25">
      <w:pPr>
        <w:ind w:firstLine="426"/>
        <w:jc w:val="both"/>
        <w:rPr>
          <w:sz w:val="22"/>
          <w:szCs w:val="22"/>
          <w:lang w:val="en-US"/>
        </w:rPr>
      </w:pPr>
    </w:p>
    <w:p w:rsidR="008742E9" w:rsidRPr="008742E9" w:rsidRDefault="008742E9" w:rsidP="00667E25">
      <w:pPr>
        <w:ind w:firstLine="426"/>
        <w:jc w:val="both"/>
        <w:rPr>
          <w:sz w:val="22"/>
          <w:szCs w:val="22"/>
        </w:rPr>
      </w:pPr>
      <w:r w:rsidRPr="008742E9">
        <w:rPr>
          <w:sz w:val="22"/>
          <w:szCs w:val="22"/>
        </w:rPr>
        <w:t>В последнее время в мире и в нашей стране возросло колич</w:t>
      </w:r>
      <w:r w:rsidRPr="008742E9">
        <w:rPr>
          <w:sz w:val="22"/>
          <w:szCs w:val="22"/>
        </w:rPr>
        <w:t>е</w:t>
      </w:r>
      <w:r w:rsidRPr="008742E9">
        <w:rPr>
          <w:sz w:val="22"/>
          <w:szCs w:val="22"/>
        </w:rPr>
        <w:t>ство домашних кошек и котов. Большинство из них проживает в условиях недостаточного моциона и несбалансированного питания. В связи с этим наблюдается тенденция роста мочекаменной болезни кошек (МКБ). Урологический синдром (другое название МКБ) ра</w:t>
      </w:r>
      <w:r w:rsidRPr="008742E9">
        <w:rPr>
          <w:sz w:val="22"/>
          <w:szCs w:val="22"/>
        </w:rPr>
        <w:t>з</w:t>
      </w:r>
      <w:r w:rsidRPr="008742E9">
        <w:rPr>
          <w:sz w:val="22"/>
          <w:szCs w:val="22"/>
        </w:rPr>
        <w:t>вивается из-за нарушения обмена веществ, связанного с нарушен</w:t>
      </w:r>
      <w:r w:rsidRPr="008742E9">
        <w:rPr>
          <w:sz w:val="22"/>
          <w:szCs w:val="22"/>
        </w:rPr>
        <w:t>и</w:t>
      </w:r>
      <w:r w:rsidRPr="008742E9">
        <w:rPr>
          <w:sz w:val="22"/>
          <w:szCs w:val="22"/>
        </w:rPr>
        <w:t>ем водно-солевого баланса, и в результате эти нарушения приводят к осаждению солей (то есть образованию мочевых камней и песо</w:t>
      </w:r>
      <w:r w:rsidRPr="008742E9">
        <w:rPr>
          <w:sz w:val="22"/>
          <w:szCs w:val="22"/>
        </w:rPr>
        <w:t>ч</w:t>
      </w:r>
      <w:r w:rsidRPr="008742E9">
        <w:rPr>
          <w:sz w:val="22"/>
          <w:szCs w:val="22"/>
        </w:rPr>
        <w:t>ных кристаллов). Комплексное лечение и профилактика МКБ по</w:t>
      </w:r>
      <w:r w:rsidRPr="008742E9">
        <w:rPr>
          <w:sz w:val="22"/>
          <w:szCs w:val="22"/>
        </w:rPr>
        <w:t>з</w:t>
      </w:r>
      <w:r w:rsidRPr="008742E9">
        <w:rPr>
          <w:sz w:val="22"/>
          <w:szCs w:val="22"/>
        </w:rPr>
        <w:t>воляет снизить симптоматику, улучшить качество и продолжител</w:t>
      </w:r>
      <w:r w:rsidRPr="008742E9">
        <w:rPr>
          <w:sz w:val="22"/>
          <w:szCs w:val="22"/>
        </w:rPr>
        <w:t>ь</w:t>
      </w:r>
      <w:r w:rsidRPr="008742E9">
        <w:rPr>
          <w:sz w:val="22"/>
          <w:szCs w:val="22"/>
        </w:rPr>
        <w:lastRenderedPageBreak/>
        <w:t>ность жизни. Болезнь относиться к списку неизлечимых заболев</w:t>
      </w:r>
      <w:r w:rsidRPr="008742E9">
        <w:rPr>
          <w:sz w:val="22"/>
          <w:szCs w:val="22"/>
        </w:rPr>
        <w:t>а</w:t>
      </w:r>
      <w:r w:rsidRPr="008742E9">
        <w:rPr>
          <w:sz w:val="22"/>
          <w:szCs w:val="22"/>
        </w:rPr>
        <w:t>ний. МКБ носит сезонный характер и его пик приходиться на пер</w:t>
      </w:r>
      <w:r w:rsidRPr="008742E9">
        <w:rPr>
          <w:sz w:val="22"/>
          <w:szCs w:val="22"/>
        </w:rPr>
        <w:t>и</w:t>
      </w:r>
      <w:r w:rsidRPr="008742E9">
        <w:rPr>
          <w:sz w:val="22"/>
          <w:szCs w:val="22"/>
        </w:rPr>
        <w:t>од с января по апрель [1].</w:t>
      </w:r>
    </w:p>
    <w:p w:rsidR="008742E9" w:rsidRPr="008742E9" w:rsidRDefault="008742E9" w:rsidP="00667E25">
      <w:pPr>
        <w:ind w:firstLine="426"/>
        <w:jc w:val="both"/>
        <w:rPr>
          <w:sz w:val="22"/>
          <w:szCs w:val="22"/>
        </w:rPr>
      </w:pPr>
      <w:r w:rsidRPr="008742E9">
        <w:rPr>
          <w:sz w:val="22"/>
          <w:szCs w:val="22"/>
        </w:rPr>
        <w:t>К животным подверженным к осаждению солей можно отнести котов и кошек длинношерстных пород, котов кастратов в возрасте более 2 лет, кошки без вязки и оплодотворения. Это заболевание связано с двумя типами причин: экзогенные и эндогенные. К экз</w:t>
      </w:r>
      <w:r w:rsidRPr="008742E9">
        <w:rPr>
          <w:sz w:val="22"/>
          <w:szCs w:val="22"/>
        </w:rPr>
        <w:t>о</w:t>
      </w:r>
      <w:r w:rsidRPr="008742E9">
        <w:rPr>
          <w:sz w:val="22"/>
          <w:szCs w:val="22"/>
        </w:rPr>
        <w:t>генным причинам  можно отнести нехватку воды в рационе, непр</w:t>
      </w:r>
      <w:r w:rsidRPr="008742E9">
        <w:rPr>
          <w:sz w:val="22"/>
          <w:szCs w:val="22"/>
        </w:rPr>
        <w:t>а</w:t>
      </w:r>
      <w:r w:rsidRPr="008742E9">
        <w:rPr>
          <w:sz w:val="22"/>
          <w:szCs w:val="22"/>
        </w:rPr>
        <w:t>вильное кормление, повышенная температура среды, вследствие этого повышение отложения камней. Эндогенными причинами м</w:t>
      </w:r>
      <w:r w:rsidRPr="008742E9">
        <w:rPr>
          <w:sz w:val="22"/>
          <w:szCs w:val="22"/>
        </w:rPr>
        <w:t>о</w:t>
      </w:r>
      <w:r w:rsidRPr="008742E9">
        <w:rPr>
          <w:sz w:val="22"/>
          <w:szCs w:val="22"/>
        </w:rPr>
        <w:t>гут быть малоподвижный образ жизни, ожирение, генетические предрасположенности, нарушения кислотно-щелочного баланса [1].</w:t>
      </w:r>
    </w:p>
    <w:p w:rsidR="008742E9" w:rsidRPr="008742E9" w:rsidRDefault="008742E9" w:rsidP="00667E25">
      <w:pPr>
        <w:ind w:firstLine="426"/>
        <w:jc w:val="both"/>
        <w:rPr>
          <w:sz w:val="22"/>
          <w:szCs w:val="22"/>
        </w:rPr>
      </w:pPr>
      <w:r w:rsidRPr="008742E9">
        <w:rPr>
          <w:sz w:val="22"/>
          <w:szCs w:val="22"/>
        </w:rPr>
        <w:t>В условиях проживания животных выше описанные причины могут проявляться вместе. Целью настоящего исследования стало изучение лечебной эффективности препарата котэрвин при мочек</w:t>
      </w:r>
      <w:r w:rsidRPr="008742E9">
        <w:rPr>
          <w:sz w:val="22"/>
          <w:szCs w:val="22"/>
        </w:rPr>
        <w:t>а</w:t>
      </w:r>
      <w:r w:rsidRPr="008742E9">
        <w:rPr>
          <w:sz w:val="22"/>
          <w:szCs w:val="22"/>
        </w:rPr>
        <w:t>менной болезни у кошек.</w:t>
      </w:r>
    </w:p>
    <w:p w:rsidR="008742E9" w:rsidRPr="008742E9" w:rsidRDefault="008742E9" w:rsidP="00667E25">
      <w:pPr>
        <w:ind w:firstLine="426"/>
        <w:jc w:val="both"/>
        <w:rPr>
          <w:sz w:val="22"/>
          <w:szCs w:val="22"/>
        </w:rPr>
      </w:pPr>
      <w:r w:rsidRPr="008742E9">
        <w:rPr>
          <w:sz w:val="22"/>
          <w:szCs w:val="22"/>
        </w:rPr>
        <w:t>Котервин – препарат, представленный водным настоем след</w:t>
      </w:r>
      <w:r w:rsidRPr="008742E9">
        <w:rPr>
          <w:sz w:val="22"/>
          <w:szCs w:val="22"/>
        </w:rPr>
        <w:t>у</w:t>
      </w:r>
      <w:r w:rsidRPr="008742E9">
        <w:rPr>
          <w:sz w:val="22"/>
          <w:szCs w:val="22"/>
        </w:rPr>
        <w:t>ющих растений: горец птичий стабилизирует водно-солевой баланс, проявляет вяжущее, кровоостанавливающее и мочегонное свойства, содержит провитамин А, витамины С,К, Е; хвощ полевой оказывает противовоспалительное действие и способствует выведению песка и камней из мочевыводящих путей; корень стальника, лечебные свойства которого направлены на лечение МКБ.</w:t>
      </w:r>
    </w:p>
    <w:p w:rsidR="008742E9" w:rsidRPr="008742E9" w:rsidRDefault="008742E9" w:rsidP="00667E25">
      <w:pPr>
        <w:ind w:firstLine="426"/>
        <w:jc w:val="both"/>
        <w:rPr>
          <w:sz w:val="22"/>
          <w:szCs w:val="22"/>
        </w:rPr>
      </w:pPr>
      <w:r w:rsidRPr="008742E9">
        <w:rPr>
          <w:sz w:val="22"/>
          <w:szCs w:val="22"/>
        </w:rPr>
        <w:t>Данное исследование было выполнено на базе ветеринарной клиники «Здоровье» г. Краснодар. Для проведения исследования были созданы 2 группы (опытная и контрольная) животных, по 10 особей в каждой. В них входили кошки и коты в возрасте от 2-х до 5-ти лет, со средним весом 5 кг. В каждой из групп были зарег</w:t>
      </w:r>
      <w:r w:rsidRPr="008742E9">
        <w:rPr>
          <w:sz w:val="22"/>
          <w:szCs w:val="22"/>
        </w:rPr>
        <w:t>и</w:t>
      </w:r>
      <w:r w:rsidRPr="008742E9">
        <w:rPr>
          <w:sz w:val="22"/>
          <w:szCs w:val="22"/>
        </w:rPr>
        <w:t>стрированы заболевшие животные: по 4 кота кастрата британской породы, 2 кота и 2 кошки персидской породы, 2 беспородные ко</w:t>
      </w:r>
      <w:r w:rsidRPr="008742E9">
        <w:rPr>
          <w:sz w:val="22"/>
          <w:szCs w:val="22"/>
        </w:rPr>
        <w:t>ш</w:t>
      </w:r>
      <w:r w:rsidRPr="008742E9">
        <w:rPr>
          <w:sz w:val="22"/>
          <w:szCs w:val="22"/>
        </w:rPr>
        <w:t>ки.</w:t>
      </w:r>
    </w:p>
    <w:p w:rsidR="008742E9" w:rsidRPr="008742E9" w:rsidRDefault="008742E9" w:rsidP="00667E25">
      <w:pPr>
        <w:ind w:firstLine="426"/>
        <w:jc w:val="both"/>
        <w:rPr>
          <w:sz w:val="22"/>
          <w:szCs w:val="22"/>
        </w:rPr>
      </w:pPr>
      <w:r w:rsidRPr="008742E9">
        <w:rPr>
          <w:sz w:val="22"/>
          <w:szCs w:val="22"/>
        </w:rPr>
        <w:t>Во время опыта каждому животному было назначено консерв</w:t>
      </w:r>
      <w:r w:rsidRPr="008742E9">
        <w:rPr>
          <w:sz w:val="22"/>
          <w:szCs w:val="22"/>
        </w:rPr>
        <w:t>а</w:t>
      </w:r>
      <w:r w:rsidRPr="008742E9">
        <w:rPr>
          <w:sz w:val="22"/>
          <w:szCs w:val="22"/>
        </w:rPr>
        <w:t>тивное лечение, на основе клинического исследования (выявлены болезненность в области мочевого пузыря и повышенная темпер</w:t>
      </w:r>
      <w:r w:rsidRPr="008742E9">
        <w:rPr>
          <w:sz w:val="22"/>
          <w:szCs w:val="22"/>
        </w:rPr>
        <w:t>а</w:t>
      </w:r>
      <w:r w:rsidRPr="008742E9">
        <w:rPr>
          <w:sz w:val="22"/>
          <w:szCs w:val="22"/>
        </w:rPr>
        <w:t>тура), общего и бактериологического анализов мочи (обнаружено повышенное количество эритроцитов и лейкоцитов) [1].</w:t>
      </w:r>
    </w:p>
    <w:p w:rsidR="008742E9" w:rsidRPr="008742E9" w:rsidRDefault="008742E9" w:rsidP="00667E25">
      <w:pPr>
        <w:ind w:firstLine="426"/>
        <w:jc w:val="both"/>
        <w:rPr>
          <w:sz w:val="22"/>
          <w:szCs w:val="22"/>
        </w:rPr>
      </w:pPr>
      <w:r w:rsidRPr="008742E9">
        <w:rPr>
          <w:sz w:val="22"/>
          <w:szCs w:val="22"/>
        </w:rPr>
        <w:t>Для лечения назначались препараты: обезболивающее и спа</w:t>
      </w:r>
      <w:r w:rsidRPr="008742E9">
        <w:rPr>
          <w:sz w:val="22"/>
          <w:szCs w:val="22"/>
        </w:rPr>
        <w:t>з</w:t>
      </w:r>
      <w:r w:rsidRPr="008742E9">
        <w:rPr>
          <w:sz w:val="22"/>
          <w:szCs w:val="22"/>
        </w:rPr>
        <w:t xml:space="preserve">молитическое 2% р-р папаверина 0,1 мл внутримышечно 5 дней, </w:t>
      </w:r>
      <w:r w:rsidRPr="008742E9">
        <w:rPr>
          <w:sz w:val="22"/>
          <w:szCs w:val="22"/>
        </w:rPr>
        <w:lastRenderedPageBreak/>
        <w:t>антибиотик 10% р-р цефтриаксона 2 мл внутримышечно 5 дней, дицинон в дозе 0,1 мл до исчезновения примеси крови в моче. К комплексному лечению относится соблюдение строгой диеты на протяжении всей жизни. Опытной группе также был назначен котэрвин дважды в день внутрь по 3 мл в течение недели, далее о</w:t>
      </w:r>
      <w:r w:rsidRPr="008742E9">
        <w:rPr>
          <w:sz w:val="22"/>
          <w:szCs w:val="22"/>
        </w:rPr>
        <w:t>д</w:t>
      </w:r>
      <w:r w:rsidRPr="008742E9">
        <w:rPr>
          <w:sz w:val="22"/>
          <w:szCs w:val="22"/>
        </w:rPr>
        <w:t>нократно в той же дозировке.</w:t>
      </w:r>
    </w:p>
    <w:p w:rsidR="008742E9" w:rsidRPr="008742E9" w:rsidRDefault="008742E9" w:rsidP="00667E25">
      <w:pPr>
        <w:ind w:firstLine="426"/>
        <w:jc w:val="both"/>
        <w:rPr>
          <w:sz w:val="22"/>
          <w:szCs w:val="22"/>
        </w:rPr>
      </w:pPr>
      <w:r w:rsidRPr="008742E9">
        <w:rPr>
          <w:sz w:val="22"/>
          <w:szCs w:val="22"/>
        </w:rPr>
        <w:t>На протяжении всего опыта проводилось клиническое набл</w:t>
      </w:r>
      <w:r w:rsidRPr="008742E9">
        <w:rPr>
          <w:sz w:val="22"/>
          <w:szCs w:val="22"/>
        </w:rPr>
        <w:t>ю</w:t>
      </w:r>
      <w:r w:rsidRPr="008742E9">
        <w:rPr>
          <w:sz w:val="22"/>
          <w:szCs w:val="22"/>
        </w:rPr>
        <w:t>дение: общее состояние животных, наличие/отсутствие болезненн</w:t>
      </w:r>
      <w:r w:rsidRPr="008742E9">
        <w:rPr>
          <w:sz w:val="22"/>
          <w:szCs w:val="22"/>
        </w:rPr>
        <w:t>о</w:t>
      </w:r>
      <w:r w:rsidRPr="008742E9">
        <w:rPr>
          <w:sz w:val="22"/>
          <w:szCs w:val="22"/>
        </w:rPr>
        <w:t>го диуреза. При лечении животных котэрвином наблюдалось уск</w:t>
      </w:r>
      <w:r w:rsidRPr="008742E9">
        <w:rPr>
          <w:sz w:val="22"/>
          <w:szCs w:val="22"/>
        </w:rPr>
        <w:t>о</w:t>
      </w:r>
      <w:r w:rsidRPr="008742E9">
        <w:rPr>
          <w:sz w:val="22"/>
          <w:szCs w:val="22"/>
        </w:rPr>
        <w:t>рение нормализации состояния животного, возвращение его к ест</w:t>
      </w:r>
      <w:r w:rsidRPr="008742E9">
        <w:rPr>
          <w:sz w:val="22"/>
          <w:szCs w:val="22"/>
        </w:rPr>
        <w:t>е</w:t>
      </w:r>
      <w:r w:rsidRPr="008742E9">
        <w:rPr>
          <w:sz w:val="22"/>
          <w:szCs w:val="22"/>
        </w:rPr>
        <w:t>ственному образу жизни без повышенной температуры, отсутствие крови в моче на 4 день, диурез стал стабильным 3–4 раза в сутки. В тоже время эти показатели у группы контроля были менее выраж</w:t>
      </w:r>
      <w:r w:rsidRPr="008742E9">
        <w:rPr>
          <w:sz w:val="22"/>
          <w:szCs w:val="22"/>
        </w:rPr>
        <w:t>е</w:t>
      </w:r>
      <w:r w:rsidRPr="008742E9">
        <w:rPr>
          <w:sz w:val="22"/>
          <w:szCs w:val="22"/>
        </w:rPr>
        <w:t>ны. Анализ мочи через 7 суток после начала лечения выявил след</w:t>
      </w:r>
      <w:r w:rsidRPr="008742E9">
        <w:rPr>
          <w:sz w:val="22"/>
          <w:szCs w:val="22"/>
        </w:rPr>
        <w:t>у</w:t>
      </w:r>
      <w:r w:rsidRPr="008742E9">
        <w:rPr>
          <w:sz w:val="22"/>
          <w:szCs w:val="22"/>
        </w:rPr>
        <w:t>ющие тенденции: у опытной группы животных при общем анализе отсутствовали эритроциты, а количество лейкоцитов в поле зрения при увеличении 400 равнялось 2, то есть соответствовало норме, наблюдалось полное отсутствие осадка; у группы контроля отсу</w:t>
      </w:r>
      <w:r w:rsidRPr="008742E9">
        <w:rPr>
          <w:sz w:val="22"/>
          <w:szCs w:val="22"/>
        </w:rPr>
        <w:t>т</w:t>
      </w:r>
      <w:r w:rsidRPr="008742E9">
        <w:rPr>
          <w:sz w:val="22"/>
          <w:szCs w:val="22"/>
        </w:rPr>
        <w:t>ствовали эритроциты, но лейкоциты присутствовали в небольшом количестве, что свидетельствует о наличии воспаления [2].</w:t>
      </w:r>
    </w:p>
    <w:p w:rsidR="008742E9" w:rsidRPr="008742E9" w:rsidRDefault="008742E9" w:rsidP="00667E25">
      <w:pPr>
        <w:ind w:firstLine="426"/>
        <w:jc w:val="both"/>
        <w:rPr>
          <w:sz w:val="22"/>
          <w:szCs w:val="22"/>
        </w:rPr>
      </w:pPr>
      <w:r w:rsidRPr="008742E9">
        <w:rPr>
          <w:sz w:val="22"/>
          <w:szCs w:val="22"/>
        </w:rPr>
        <w:t>Проведенное исследование позволяет сделать выводы, что своевременная диагностика МКБ, дает возможность увеличить пр</w:t>
      </w:r>
      <w:r w:rsidRPr="008742E9">
        <w:rPr>
          <w:sz w:val="22"/>
          <w:szCs w:val="22"/>
        </w:rPr>
        <w:t>о</w:t>
      </w:r>
      <w:r w:rsidRPr="008742E9">
        <w:rPr>
          <w:sz w:val="22"/>
          <w:szCs w:val="22"/>
        </w:rPr>
        <w:t>должительность и улучшить качество жизни. А применение преп</w:t>
      </w:r>
      <w:r w:rsidRPr="008742E9">
        <w:rPr>
          <w:sz w:val="22"/>
          <w:szCs w:val="22"/>
        </w:rPr>
        <w:t>а</w:t>
      </w:r>
      <w:r w:rsidRPr="008742E9">
        <w:rPr>
          <w:sz w:val="22"/>
          <w:szCs w:val="22"/>
        </w:rPr>
        <w:t>рата котэрвин с лечебной целью и в комплексной терапии ускоряет купирование обострения, а с профилактической уменьшает вероя</w:t>
      </w:r>
      <w:r w:rsidRPr="008742E9">
        <w:rPr>
          <w:sz w:val="22"/>
          <w:szCs w:val="22"/>
        </w:rPr>
        <w:t>т</w:t>
      </w:r>
      <w:r w:rsidRPr="008742E9">
        <w:rPr>
          <w:sz w:val="22"/>
          <w:szCs w:val="22"/>
        </w:rPr>
        <w:t>ность последующих рецидивов.</w:t>
      </w:r>
    </w:p>
    <w:p w:rsidR="008742E9" w:rsidRPr="008742E9" w:rsidRDefault="008742E9" w:rsidP="00667E25">
      <w:pPr>
        <w:ind w:firstLine="426"/>
        <w:jc w:val="both"/>
        <w:rPr>
          <w:sz w:val="22"/>
          <w:szCs w:val="22"/>
        </w:rPr>
      </w:pPr>
      <w:r w:rsidRPr="008742E9">
        <w:rPr>
          <w:sz w:val="22"/>
          <w:szCs w:val="22"/>
        </w:rPr>
        <w:t>Препарат котэрвин по степени воздействия на организм отн</w:t>
      </w:r>
      <w:r w:rsidRPr="008742E9">
        <w:rPr>
          <w:sz w:val="22"/>
          <w:szCs w:val="22"/>
        </w:rPr>
        <w:t>о</w:t>
      </w:r>
      <w:r w:rsidRPr="008742E9">
        <w:rPr>
          <w:sz w:val="22"/>
          <w:szCs w:val="22"/>
        </w:rPr>
        <w:t>ситься к малоопасным веществам, что допускает многократное и</w:t>
      </w:r>
      <w:r w:rsidRPr="008742E9">
        <w:rPr>
          <w:sz w:val="22"/>
          <w:szCs w:val="22"/>
        </w:rPr>
        <w:t>с</w:t>
      </w:r>
      <w:r w:rsidRPr="008742E9">
        <w:rPr>
          <w:sz w:val="22"/>
          <w:szCs w:val="22"/>
        </w:rPr>
        <w:t>пользование в течение длительного периода.</w:t>
      </w:r>
    </w:p>
    <w:p w:rsidR="008742E9" w:rsidRPr="008742E9" w:rsidRDefault="008742E9" w:rsidP="00667E25">
      <w:pPr>
        <w:ind w:firstLine="426"/>
        <w:jc w:val="center"/>
        <w:rPr>
          <w:sz w:val="22"/>
          <w:szCs w:val="22"/>
        </w:rPr>
      </w:pPr>
    </w:p>
    <w:p w:rsidR="008742E9" w:rsidRPr="008742E9" w:rsidRDefault="008742E9" w:rsidP="00667E25">
      <w:pPr>
        <w:ind w:firstLine="426"/>
        <w:jc w:val="center"/>
        <w:rPr>
          <w:sz w:val="22"/>
          <w:szCs w:val="22"/>
        </w:rPr>
      </w:pPr>
      <w:r w:rsidRPr="008742E9">
        <w:rPr>
          <w:sz w:val="22"/>
          <w:szCs w:val="22"/>
        </w:rPr>
        <w:t>Список литературы</w:t>
      </w:r>
    </w:p>
    <w:p w:rsidR="008742E9" w:rsidRPr="008742E9" w:rsidRDefault="008742E9" w:rsidP="00667E25">
      <w:pPr>
        <w:spacing w:after="160" w:line="259" w:lineRule="auto"/>
        <w:ind w:firstLine="426"/>
        <w:contextualSpacing/>
        <w:jc w:val="both"/>
        <w:rPr>
          <w:sz w:val="22"/>
          <w:szCs w:val="22"/>
        </w:rPr>
      </w:pPr>
      <w:r w:rsidRPr="008742E9">
        <w:rPr>
          <w:sz w:val="22"/>
          <w:szCs w:val="22"/>
        </w:rPr>
        <w:t xml:space="preserve">1. Рассел, Д. Мочекаменная болезнь кошек: учебник / Д. Рассел, Р. Кон – Москва. </w:t>
      </w:r>
      <w:r w:rsidRPr="008742E9">
        <w:rPr>
          <w:sz w:val="22"/>
          <w:szCs w:val="22"/>
          <w:lang w:val="en-US"/>
        </w:rPr>
        <w:t>VSR</w:t>
      </w:r>
      <w:r w:rsidRPr="008742E9">
        <w:rPr>
          <w:sz w:val="22"/>
          <w:szCs w:val="22"/>
        </w:rPr>
        <w:t>, 2013. – С. 64-97.</w:t>
      </w:r>
    </w:p>
    <w:p w:rsidR="008742E9" w:rsidRPr="008742E9" w:rsidRDefault="008742E9" w:rsidP="00667E25">
      <w:pPr>
        <w:spacing w:after="160" w:line="259" w:lineRule="auto"/>
        <w:ind w:firstLine="426"/>
        <w:contextualSpacing/>
        <w:jc w:val="both"/>
        <w:rPr>
          <w:sz w:val="22"/>
          <w:szCs w:val="22"/>
        </w:rPr>
      </w:pPr>
      <w:r w:rsidRPr="008742E9">
        <w:rPr>
          <w:sz w:val="22"/>
          <w:szCs w:val="22"/>
        </w:rPr>
        <w:t>2. Синк, К. А. Общий анализ мочи в ветеринарной медицине: цветной атлас / К. А. Синк, Н. М. Вейнштейн. – Москва. Аквариум-Принт, 2016. – С. 104-106.</w:t>
      </w:r>
    </w:p>
    <w:p w:rsidR="008742E9" w:rsidRPr="008742E9" w:rsidRDefault="008742E9" w:rsidP="00667E25">
      <w:pPr>
        <w:spacing w:after="160" w:line="259" w:lineRule="auto"/>
        <w:ind w:firstLine="426"/>
        <w:contextualSpacing/>
        <w:jc w:val="both"/>
        <w:rPr>
          <w:sz w:val="22"/>
          <w:szCs w:val="22"/>
        </w:rPr>
      </w:pPr>
      <w:r w:rsidRPr="008742E9">
        <w:rPr>
          <w:sz w:val="22"/>
          <w:szCs w:val="22"/>
        </w:rPr>
        <w:lastRenderedPageBreak/>
        <w:t>3. Щербаков, Г. Г. Внутренние болезни животных : учебник / Г. Г. Щербаков, А. В. Коробова. –  СПб. Лань, 2002. –  С. 312-316.</w:t>
      </w:r>
    </w:p>
    <w:p w:rsidR="008742E9" w:rsidRPr="008742E9" w:rsidRDefault="008742E9" w:rsidP="008742E9">
      <w:pPr>
        <w:jc w:val="both"/>
        <w:rPr>
          <w:rFonts w:eastAsia="Calibri"/>
          <w:sz w:val="22"/>
          <w:szCs w:val="22"/>
          <w:lang w:eastAsia="en-US"/>
        </w:rPr>
      </w:pPr>
    </w:p>
    <w:p w:rsidR="008742E9" w:rsidRDefault="008742E9" w:rsidP="008742E9">
      <w:pPr>
        <w:jc w:val="both"/>
        <w:rPr>
          <w:rFonts w:eastAsia="Calibri"/>
          <w:sz w:val="22"/>
          <w:szCs w:val="22"/>
          <w:lang w:eastAsia="en-US"/>
        </w:rPr>
      </w:pPr>
    </w:p>
    <w:p w:rsidR="00384DE6" w:rsidRPr="008742E9" w:rsidRDefault="00384DE6" w:rsidP="008742E9">
      <w:pPr>
        <w:jc w:val="both"/>
        <w:rPr>
          <w:rFonts w:eastAsia="Calibri"/>
          <w:sz w:val="22"/>
          <w:szCs w:val="22"/>
          <w:lang w:eastAsia="en-US"/>
        </w:rPr>
      </w:pPr>
    </w:p>
    <w:p w:rsidR="008742E9" w:rsidRPr="008742E9" w:rsidRDefault="008742E9" w:rsidP="008742E9">
      <w:pPr>
        <w:shd w:val="clear" w:color="auto" w:fill="FFFFFF"/>
        <w:autoSpaceDE w:val="0"/>
        <w:autoSpaceDN w:val="0"/>
        <w:adjustRightInd w:val="0"/>
        <w:jc w:val="both"/>
        <w:rPr>
          <w:bCs/>
          <w:sz w:val="22"/>
          <w:szCs w:val="22"/>
        </w:rPr>
      </w:pPr>
      <w:r w:rsidRPr="008742E9">
        <w:rPr>
          <w:bCs/>
          <w:sz w:val="22"/>
          <w:szCs w:val="22"/>
        </w:rPr>
        <w:t>УДК 619:616.98:579.861.2]549.74</w:t>
      </w:r>
    </w:p>
    <w:p w:rsidR="008742E9" w:rsidRPr="008742E9" w:rsidRDefault="008742E9" w:rsidP="008742E9">
      <w:pPr>
        <w:shd w:val="clear" w:color="auto" w:fill="FFFFFF"/>
        <w:autoSpaceDE w:val="0"/>
        <w:autoSpaceDN w:val="0"/>
        <w:adjustRightInd w:val="0"/>
        <w:jc w:val="both"/>
        <w:rPr>
          <w:bCs/>
          <w:sz w:val="22"/>
          <w:szCs w:val="22"/>
        </w:rPr>
      </w:pPr>
    </w:p>
    <w:p w:rsidR="008742E9" w:rsidRPr="008742E9" w:rsidRDefault="008742E9" w:rsidP="008742E9">
      <w:pPr>
        <w:shd w:val="clear" w:color="auto" w:fill="FFFFFF"/>
        <w:autoSpaceDE w:val="0"/>
        <w:autoSpaceDN w:val="0"/>
        <w:adjustRightInd w:val="0"/>
        <w:jc w:val="center"/>
        <w:rPr>
          <w:b/>
          <w:bCs/>
          <w:sz w:val="24"/>
          <w:szCs w:val="22"/>
        </w:rPr>
      </w:pPr>
      <w:r w:rsidRPr="008742E9">
        <w:rPr>
          <w:b/>
          <w:bCs/>
          <w:sz w:val="24"/>
          <w:szCs w:val="22"/>
        </w:rPr>
        <w:t>Изучение нозологического профиля инфекционных</w:t>
      </w:r>
      <w:r w:rsidR="00EB0266">
        <w:rPr>
          <w:b/>
          <w:bCs/>
          <w:sz w:val="24"/>
          <w:szCs w:val="22"/>
        </w:rPr>
        <w:br/>
      </w:r>
      <w:r w:rsidRPr="008742E9">
        <w:rPr>
          <w:b/>
          <w:bCs/>
          <w:sz w:val="24"/>
          <w:szCs w:val="22"/>
        </w:rPr>
        <w:t xml:space="preserve"> болезней домашних плотоядных </w:t>
      </w:r>
    </w:p>
    <w:p w:rsid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rPr>
      </w:pPr>
      <w:r w:rsidRPr="008742E9">
        <w:rPr>
          <w:b/>
          <w:color w:val="212121"/>
          <w:sz w:val="24"/>
          <w:szCs w:val="24"/>
          <w:lang w:val="en-US"/>
        </w:rPr>
        <w:t>The</w:t>
      </w:r>
      <w:r w:rsidRPr="00024398">
        <w:rPr>
          <w:b/>
          <w:color w:val="212121"/>
          <w:sz w:val="24"/>
          <w:szCs w:val="24"/>
        </w:rPr>
        <w:t xml:space="preserve"> </w:t>
      </w:r>
      <w:r w:rsidRPr="008742E9">
        <w:rPr>
          <w:b/>
          <w:color w:val="212121"/>
          <w:sz w:val="24"/>
          <w:szCs w:val="24"/>
          <w:lang w:val="en-US"/>
        </w:rPr>
        <w:t>study</w:t>
      </w:r>
      <w:r w:rsidRPr="00024398">
        <w:rPr>
          <w:b/>
          <w:color w:val="212121"/>
          <w:sz w:val="24"/>
          <w:szCs w:val="24"/>
        </w:rPr>
        <w:t xml:space="preserve"> </w:t>
      </w:r>
      <w:r w:rsidRPr="008742E9">
        <w:rPr>
          <w:b/>
          <w:color w:val="212121"/>
          <w:sz w:val="24"/>
          <w:szCs w:val="24"/>
          <w:lang w:val="en-US"/>
        </w:rPr>
        <w:t>of</w:t>
      </w:r>
      <w:r w:rsidRPr="00024398">
        <w:rPr>
          <w:b/>
          <w:color w:val="212121"/>
          <w:sz w:val="24"/>
          <w:szCs w:val="24"/>
        </w:rPr>
        <w:t xml:space="preserve"> </w:t>
      </w:r>
      <w:r w:rsidRPr="008742E9">
        <w:rPr>
          <w:b/>
          <w:color w:val="212121"/>
          <w:sz w:val="24"/>
          <w:szCs w:val="24"/>
          <w:lang w:val="en-US"/>
        </w:rPr>
        <w:t>the</w:t>
      </w:r>
      <w:r w:rsidRPr="00024398">
        <w:rPr>
          <w:b/>
          <w:color w:val="212121"/>
          <w:sz w:val="24"/>
          <w:szCs w:val="24"/>
        </w:rPr>
        <w:t xml:space="preserve"> </w:t>
      </w:r>
      <w:r w:rsidRPr="008742E9">
        <w:rPr>
          <w:b/>
          <w:color w:val="212121"/>
          <w:sz w:val="24"/>
          <w:szCs w:val="24"/>
          <w:lang w:val="en-US"/>
        </w:rPr>
        <w:t>nosological</w:t>
      </w:r>
      <w:r w:rsidRPr="00024398">
        <w:rPr>
          <w:b/>
          <w:color w:val="212121"/>
          <w:sz w:val="24"/>
          <w:szCs w:val="24"/>
        </w:rPr>
        <w:t xml:space="preserve"> </w:t>
      </w:r>
      <w:r w:rsidRPr="008742E9">
        <w:rPr>
          <w:b/>
          <w:color w:val="212121"/>
          <w:sz w:val="24"/>
          <w:szCs w:val="24"/>
          <w:lang w:val="en-US"/>
        </w:rPr>
        <w:t>profile</w:t>
      </w:r>
      <w:r w:rsidRPr="00024398">
        <w:rPr>
          <w:b/>
          <w:color w:val="212121"/>
          <w:sz w:val="24"/>
          <w:szCs w:val="24"/>
        </w:rPr>
        <w:t xml:space="preserve"> </w:t>
      </w:r>
      <w:r w:rsidRPr="008742E9">
        <w:rPr>
          <w:b/>
          <w:color w:val="212121"/>
          <w:sz w:val="24"/>
          <w:szCs w:val="24"/>
          <w:lang w:val="en-US"/>
        </w:rPr>
        <w:t>of</w:t>
      </w:r>
      <w:r w:rsidRPr="00024398">
        <w:rPr>
          <w:b/>
          <w:color w:val="212121"/>
          <w:sz w:val="24"/>
          <w:szCs w:val="24"/>
        </w:rPr>
        <w:t xml:space="preserve"> </w:t>
      </w:r>
      <w:r w:rsidRPr="008742E9">
        <w:rPr>
          <w:b/>
          <w:color w:val="212121"/>
          <w:sz w:val="24"/>
          <w:szCs w:val="24"/>
          <w:lang w:val="en-US"/>
        </w:rPr>
        <w:t>infectious</w:t>
      </w:r>
      <w:r w:rsidRPr="00024398">
        <w:rPr>
          <w:b/>
          <w:color w:val="212121"/>
          <w:sz w:val="24"/>
          <w:szCs w:val="24"/>
        </w:rPr>
        <w:t xml:space="preserve"> </w:t>
      </w:r>
      <w:r w:rsidRPr="008742E9">
        <w:rPr>
          <w:b/>
          <w:color w:val="212121"/>
          <w:sz w:val="24"/>
          <w:szCs w:val="24"/>
          <w:lang w:val="en-US"/>
        </w:rPr>
        <w:t>diseases</w:t>
      </w:r>
      <w:r w:rsidRPr="00024398">
        <w:rPr>
          <w:b/>
          <w:color w:val="212121"/>
          <w:sz w:val="24"/>
          <w:szCs w:val="24"/>
        </w:rPr>
        <w:t xml:space="preserve"> </w:t>
      </w:r>
      <w:r w:rsidR="00EB0266" w:rsidRPr="00024398">
        <w:rPr>
          <w:b/>
          <w:color w:val="212121"/>
          <w:sz w:val="24"/>
          <w:szCs w:val="24"/>
        </w:rPr>
        <w:br/>
      </w:r>
      <w:r w:rsidRPr="008742E9">
        <w:rPr>
          <w:b/>
          <w:color w:val="212121"/>
          <w:sz w:val="24"/>
          <w:szCs w:val="24"/>
          <w:lang w:val="en-US"/>
        </w:rPr>
        <w:t>of</w:t>
      </w:r>
      <w:r w:rsidRPr="00024398">
        <w:rPr>
          <w:b/>
          <w:color w:val="212121"/>
          <w:sz w:val="24"/>
          <w:szCs w:val="24"/>
        </w:rPr>
        <w:t xml:space="preserve"> </w:t>
      </w:r>
      <w:r w:rsidRPr="008742E9">
        <w:rPr>
          <w:b/>
          <w:color w:val="212121"/>
          <w:sz w:val="24"/>
          <w:szCs w:val="24"/>
          <w:lang w:val="en-US"/>
        </w:rPr>
        <w:t>domestic</w:t>
      </w:r>
      <w:r w:rsidRPr="00024398">
        <w:rPr>
          <w:b/>
          <w:color w:val="212121"/>
          <w:sz w:val="24"/>
          <w:szCs w:val="24"/>
        </w:rPr>
        <w:t xml:space="preserve"> </w:t>
      </w:r>
      <w:r w:rsidRPr="008742E9">
        <w:rPr>
          <w:b/>
          <w:color w:val="212121"/>
          <w:sz w:val="24"/>
          <w:szCs w:val="24"/>
          <w:lang w:val="en-US"/>
        </w:rPr>
        <w:t>carnivores</w:t>
      </w:r>
    </w:p>
    <w:p w:rsidR="00EB0266" w:rsidRPr="00EB0266" w:rsidRDefault="00EB0266"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rPr>
      </w:pPr>
    </w:p>
    <w:p w:rsidR="008742E9" w:rsidRPr="008742E9" w:rsidRDefault="008742E9" w:rsidP="008742E9">
      <w:pPr>
        <w:shd w:val="clear" w:color="auto" w:fill="FFFFFF"/>
        <w:autoSpaceDE w:val="0"/>
        <w:autoSpaceDN w:val="0"/>
        <w:adjustRightInd w:val="0"/>
        <w:jc w:val="right"/>
        <w:rPr>
          <w:bCs/>
          <w:sz w:val="22"/>
          <w:szCs w:val="22"/>
        </w:rPr>
      </w:pPr>
      <w:r w:rsidRPr="008742E9">
        <w:rPr>
          <w:bCs/>
          <w:sz w:val="22"/>
          <w:szCs w:val="22"/>
        </w:rPr>
        <w:t xml:space="preserve">Михайлец </w:t>
      </w:r>
      <w:r w:rsidR="00EB0266" w:rsidRPr="008742E9">
        <w:rPr>
          <w:bCs/>
          <w:sz w:val="22"/>
          <w:szCs w:val="22"/>
        </w:rPr>
        <w:t>Ю.</w:t>
      </w:r>
      <w:r w:rsidR="00EB0266">
        <w:rPr>
          <w:bCs/>
          <w:sz w:val="22"/>
          <w:szCs w:val="22"/>
        </w:rPr>
        <w:t xml:space="preserve"> </w:t>
      </w:r>
      <w:r w:rsidR="00EB0266" w:rsidRPr="008742E9">
        <w:rPr>
          <w:bCs/>
          <w:sz w:val="22"/>
          <w:szCs w:val="22"/>
        </w:rPr>
        <w:t>А.</w:t>
      </w:r>
      <w:r w:rsidR="00EB0266">
        <w:rPr>
          <w:bCs/>
          <w:sz w:val="22"/>
          <w:szCs w:val="22"/>
        </w:rPr>
        <w:t>,</w:t>
      </w:r>
    </w:p>
    <w:p w:rsidR="00EB0266" w:rsidRDefault="008742E9" w:rsidP="008742E9">
      <w:pPr>
        <w:shd w:val="clear" w:color="auto" w:fill="FFFFFF"/>
        <w:autoSpaceDE w:val="0"/>
        <w:autoSpaceDN w:val="0"/>
        <w:adjustRightInd w:val="0"/>
        <w:jc w:val="right"/>
        <w:rPr>
          <w:rFonts w:eastAsia="Calibri"/>
          <w:sz w:val="22"/>
          <w:szCs w:val="22"/>
          <w:lang w:eastAsia="en-US"/>
        </w:rPr>
      </w:pPr>
      <w:r w:rsidRPr="008742E9">
        <w:rPr>
          <w:rFonts w:eastAsia="Calibri"/>
          <w:sz w:val="22"/>
          <w:szCs w:val="22"/>
          <w:lang w:eastAsia="en-US"/>
        </w:rPr>
        <w:t xml:space="preserve">студентка 2-го </w:t>
      </w:r>
      <w:r w:rsidR="00EB0266">
        <w:rPr>
          <w:rFonts w:eastAsia="Calibri"/>
          <w:sz w:val="22"/>
          <w:szCs w:val="22"/>
          <w:lang w:eastAsia="en-US"/>
        </w:rPr>
        <w:t>курса</w:t>
      </w:r>
    </w:p>
    <w:p w:rsidR="008742E9" w:rsidRPr="008742E9" w:rsidRDefault="008742E9" w:rsidP="008742E9">
      <w:pPr>
        <w:shd w:val="clear" w:color="auto" w:fill="FFFFFF"/>
        <w:autoSpaceDE w:val="0"/>
        <w:autoSpaceDN w:val="0"/>
        <w:adjustRightInd w:val="0"/>
        <w:jc w:val="right"/>
        <w:rPr>
          <w:bCs/>
          <w:sz w:val="22"/>
          <w:szCs w:val="22"/>
        </w:rPr>
      </w:pPr>
      <w:r w:rsidRPr="008742E9">
        <w:rPr>
          <w:rFonts w:eastAsia="Calibri"/>
          <w:sz w:val="22"/>
          <w:szCs w:val="22"/>
          <w:lang w:eastAsia="en-US"/>
        </w:rPr>
        <w:t>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Захарьевская</w:t>
      </w:r>
      <w:r w:rsidR="00EB0266" w:rsidRPr="00EB0266">
        <w:t xml:space="preserve"> </w:t>
      </w:r>
      <w:r w:rsidR="00EB0266" w:rsidRPr="00EB0266">
        <w:rPr>
          <w:rFonts w:eastAsia="Calibri"/>
          <w:sz w:val="22"/>
          <w:szCs w:val="22"/>
          <w:lang w:eastAsia="en-US"/>
        </w:rPr>
        <w:t>А. А.</w:t>
      </w:r>
      <w:r w:rsidR="00EB0266">
        <w:rPr>
          <w:rFonts w:eastAsia="Calibri"/>
          <w:sz w:val="22"/>
          <w:szCs w:val="22"/>
          <w:lang w:eastAsia="en-US"/>
        </w:rPr>
        <w:t>,</w:t>
      </w:r>
    </w:p>
    <w:p w:rsidR="00EB0266" w:rsidRDefault="008742E9" w:rsidP="008742E9">
      <w:pPr>
        <w:jc w:val="right"/>
        <w:rPr>
          <w:rFonts w:eastAsia="Calibri"/>
          <w:sz w:val="22"/>
          <w:szCs w:val="22"/>
          <w:lang w:eastAsia="en-US"/>
        </w:rPr>
      </w:pPr>
      <w:r w:rsidRPr="008742E9">
        <w:rPr>
          <w:rFonts w:eastAsia="Calibri"/>
          <w:sz w:val="22"/>
          <w:szCs w:val="22"/>
          <w:lang w:eastAsia="en-US"/>
        </w:rPr>
        <w:t xml:space="preserve">студентка 3-го </w:t>
      </w:r>
      <w:r w:rsidR="00EB0266">
        <w:rPr>
          <w:rFonts w:eastAsia="Calibri"/>
          <w:sz w:val="22"/>
          <w:szCs w:val="22"/>
          <w:lang w:eastAsia="en-US"/>
        </w:rPr>
        <w:t>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Зеркалев</w:t>
      </w:r>
      <w:r w:rsidR="00EB0266" w:rsidRPr="00EB0266">
        <w:rPr>
          <w:rFonts w:eastAsia="Calibri"/>
          <w:sz w:val="22"/>
          <w:szCs w:val="22"/>
          <w:lang w:eastAsia="en-US"/>
        </w:rPr>
        <w:t xml:space="preserve"> </w:t>
      </w:r>
      <w:r w:rsidR="00EB0266" w:rsidRPr="008742E9">
        <w:rPr>
          <w:rFonts w:eastAsia="Calibri"/>
          <w:sz w:val="22"/>
          <w:szCs w:val="22"/>
          <w:lang w:eastAsia="en-US"/>
        </w:rPr>
        <w:t>Д. Ю.</w:t>
      </w:r>
      <w:r w:rsidR="00EB0266">
        <w:rPr>
          <w:rFonts w:eastAsia="Calibri"/>
          <w:sz w:val="22"/>
          <w:szCs w:val="22"/>
          <w:lang w:eastAsia="en-US"/>
        </w:rPr>
        <w:t>,</w:t>
      </w:r>
    </w:p>
    <w:p w:rsidR="008742E9" w:rsidRPr="008742E9" w:rsidRDefault="00EB0266" w:rsidP="008742E9">
      <w:pPr>
        <w:jc w:val="right"/>
        <w:rPr>
          <w:rFonts w:eastAsia="Calibri"/>
          <w:sz w:val="22"/>
          <w:szCs w:val="22"/>
          <w:lang w:eastAsia="en-US"/>
        </w:rPr>
      </w:pPr>
      <w:r>
        <w:rPr>
          <w:rFonts w:eastAsia="Calibri"/>
          <w:sz w:val="22"/>
          <w:szCs w:val="22"/>
          <w:lang w:eastAsia="en-US"/>
        </w:rPr>
        <w:t>кандидат биологических наук,</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микробиологии, эпизоотологии и вирусологии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И.Т. Трубилина</w:t>
      </w:r>
    </w:p>
    <w:p w:rsidR="008742E9" w:rsidRPr="008742E9" w:rsidRDefault="008742E9" w:rsidP="008742E9">
      <w:pPr>
        <w:jc w:val="both"/>
        <w:rPr>
          <w:sz w:val="22"/>
          <w:szCs w:val="22"/>
        </w:rPr>
      </w:pPr>
    </w:p>
    <w:p w:rsidR="008742E9" w:rsidRPr="008742E9" w:rsidRDefault="008742E9" w:rsidP="00EB0266">
      <w:pPr>
        <w:shd w:val="clear" w:color="auto" w:fill="FFFFFF"/>
        <w:autoSpaceDE w:val="0"/>
        <w:autoSpaceDN w:val="0"/>
        <w:adjustRightInd w:val="0"/>
        <w:ind w:firstLine="426"/>
        <w:jc w:val="both"/>
        <w:rPr>
          <w:sz w:val="22"/>
          <w:szCs w:val="22"/>
          <w:lang w:val="en-US"/>
        </w:rPr>
      </w:pPr>
      <w:r w:rsidRPr="008742E9">
        <w:rPr>
          <w:sz w:val="22"/>
          <w:szCs w:val="22"/>
        </w:rPr>
        <w:t>АНОТАЦИЯ: изучен нозологический профиль инфекционных болезней плотоядных в г. Краснодаре. Среди инфекционных боле</w:t>
      </w:r>
      <w:r w:rsidRPr="008742E9">
        <w:rPr>
          <w:sz w:val="22"/>
          <w:szCs w:val="22"/>
        </w:rPr>
        <w:t>з</w:t>
      </w:r>
      <w:r w:rsidRPr="008742E9">
        <w:rPr>
          <w:sz w:val="22"/>
          <w:szCs w:val="22"/>
        </w:rPr>
        <w:t>ней собак зарегистрированы дерматомикозы, вирусный гастроэнт</w:t>
      </w:r>
      <w:r w:rsidRPr="008742E9">
        <w:rPr>
          <w:sz w:val="22"/>
          <w:szCs w:val="22"/>
        </w:rPr>
        <w:t>е</w:t>
      </w:r>
      <w:r w:rsidRPr="008742E9">
        <w:rPr>
          <w:sz w:val="22"/>
          <w:szCs w:val="22"/>
        </w:rPr>
        <w:t xml:space="preserve">рит, чума плотоядных, аденовироз, лептоспироз, стафилококкоз; у кошек </w:t>
      </w:r>
      <w:r w:rsidRPr="008742E9">
        <w:rPr>
          <w:rFonts w:eastAsia="Calibri"/>
          <w:sz w:val="22"/>
          <w:szCs w:val="22"/>
          <w:lang w:eastAsia="en-US"/>
        </w:rPr>
        <w:t>–</w:t>
      </w:r>
      <w:r w:rsidRPr="008742E9">
        <w:rPr>
          <w:sz w:val="22"/>
          <w:szCs w:val="22"/>
        </w:rPr>
        <w:t xml:space="preserve"> дерматомикозы, панлейкопения, вирусный перитонит, ст</w:t>
      </w:r>
      <w:r w:rsidRPr="008742E9">
        <w:rPr>
          <w:sz w:val="22"/>
          <w:szCs w:val="22"/>
        </w:rPr>
        <w:t>а</w:t>
      </w:r>
      <w:r w:rsidRPr="008742E9">
        <w:rPr>
          <w:sz w:val="22"/>
          <w:szCs w:val="22"/>
        </w:rPr>
        <w:t>филококкоз. Описаны</w:t>
      </w:r>
      <w:r w:rsidRPr="008742E9">
        <w:rPr>
          <w:sz w:val="22"/>
          <w:szCs w:val="22"/>
          <w:lang w:val="en-US"/>
        </w:rPr>
        <w:t xml:space="preserve"> </w:t>
      </w:r>
      <w:r w:rsidRPr="008742E9">
        <w:rPr>
          <w:sz w:val="22"/>
          <w:szCs w:val="22"/>
        </w:rPr>
        <w:t>результаты</w:t>
      </w:r>
      <w:r w:rsidRPr="008742E9">
        <w:rPr>
          <w:sz w:val="22"/>
          <w:szCs w:val="22"/>
          <w:lang w:val="en-US"/>
        </w:rPr>
        <w:t xml:space="preserve"> </w:t>
      </w:r>
      <w:r w:rsidRPr="008742E9">
        <w:rPr>
          <w:sz w:val="22"/>
          <w:szCs w:val="22"/>
        </w:rPr>
        <w:t>исследования</w:t>
      </w:r>
      <w:r w:rsidRPr="008742E9">
        <w:rPr>
          <w:sz w:val="22"/>
          <w:szCs w:val="22"/>
          <w:lang w:val="en-US"/>
        </w:rPr>
        <w:t xml:space="preserve">, </w:t>
      </w:r>
      <w:r w:rsidRPr="008742E9">
        <w:rPr>
          <w:sz w:val="22"/>
          <w:szCs w:val="22"/>
        </w:rPr>
        <w:t>сделаны</w:t>
      </w:r>
      <w:r w:rsidRPr="008742E9">
        <w:rPr>
          <w:sz w:val="22"/>
          <w:szCs w:val="22"/>
          <w:lang w:val="en-US"/>
        </w:rPr>
        <w:t xml:space="preserve"> </w:t>
      </w:r>
      <w:r w:rsidRPr="008742E9">
        <w:rPr>
          <w:sz w:val="22"/>
          <w:szCs w:val="22"/>
        </w:rPr>
        <w:t>выводы</w:t>
      </w:r>
      <w:r w:rsidRPr="008742E9">
        <w:rPr>
          <w:sz w:val="22"/>
          <w:szCs w:val="22"/>
          <w:lang w:val="en-US"/>
        </w:rPr>
        <w:t>.</w:t>
      </w:r>
    </w:p>
    <w:p w:rsidR="008742E9" w:rsidRPr="008742E9" w:rsidRDefault="008742E9" w:rsidP="00EB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sz w:val="22"/>
          <w:szCs w:val="22"/>
          <w:lang w:val="en-US"/>
        </w:rPr>
        <w:t>ABSTRACT: t</w:t>
      </w:r>
      <w:r w:rsidRPr="008742E9">
        <w:rPr>
          <w:color w:val="212121"/>
          <w:sz w:val="22"/>
          <w:szCs w:val="22"/>
          <w:lang w:val="en-US"/>
        </w:rPr>
        <w:t>he nosological profile of infectious diseases of carn</w:t>
      </w:r>
      <w:r w:rsidRPr="008742E9">
        <w:rPr>
          <w:color w:val="212121"/>
          <w:sz w:val="22"/>
          <w:szCs w:val="22"/>
          <w:lang w:val="en-US"/>
        </w:rPr>
        <w:t>i</w:t>
      </w:r>
      <w:r w:rsidRPr="008742E9">
        <w:rPr>
          <w:color w:val="212121"/>
          <w:sz w:val="22"/>
          <w:szCs w:val="22"/>
          <w:lang w:val="en-US"/>
        </w:rPr>
        <w:t>vores in the city of Krasnodar was studied. Among the infectious disea</w:t>
      </w:r>
      <w:r w:rsidRPr="008742E9">
        <w:rPr>
          <w:color w:val="212121"/>
          <w:sz w:val="22"/>
          <w:szCs w:val="22"/>
          <w:lang w:val="en-US"/>
        </w:rPr>
        <w:t>s</w:t>
      </w:r>
      <w:r w:rsidRPr="008742E9">
        <w:rPr>
          <w:color w:val="212121"/>
          <w:sz w:val="22"/>
          <w:szCs w:val="22"/>
          <w:lang w:val="en-US"/>
        </w:rPr>
        <w:t>es of dogs are registered dermatomycosis, viral gastroenteritis, carnivore plague, adenovirus, leptospirosis, staphylococcosis; in cats - dermatom</w:t>
      </w:r>
      <w:r w:rsidRPr="008742E9">
        <w:rPr>
          <w:color w:val="212121"/>
          <w:sz w:val="22"/>
          <w:szCs w:val="22"/>
          <w:lang w:val="en-US"/>
        </w:rPr>
        <w:t>y</w:t>
      </w:r>
      <w:r w:rsidRPr="008742E9">
        <w:rPr>
          <w:color w:val="212121"/>
          <w:sz w:val="22"/>
          <w:szCs w:val="22"/>
          <w:lang w:val="en-US"/>
        </w:rPr>
        <w:t>cosis, panleukopenia, viral peritonitis, staphylococcosis. The results of the study are described, conclusions are drawn.</w:t>
      </w:r>
    </w:p>
    <w:p w:rsidR="008742E9" w:rsidRPr="008742E9" w:rsidRDefault="008742E9" w:rsidP="00EB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cs="Courier New"/>
          <w:sz w:val="20"/>
          <w:szCs w:val="20"/>
        </w:rPr>
      </w:pPr>
      <w:r w:rsidRPr="008742E9">
        <w:rPr>
          <w:rFonts w:cs="Courier New"/>
          <w:sz w:val="22"/>
          <w:szCs w:val="22"/>
        </w:rPr>
        <w:lastRenderedPageBreak/>
        <w:t>КЛЮЧЕВЫЕ СЛОВА: нозологический профиль, дерматомик</w:t>
      </w:r>
      <w:r w:rsidRPr="008742E9">
        <w:rPr>
          <w:rFonts w:cs="Courier New"/>
          <w:sz w:val="22"/>
          <w:szCs w:val="22"/>
        </w:rPr>
        <w:t>о</w:t>
      </w:r>
      <w:r w:rsidRPr="008742E9">
        <w:rPr>
          <w:rFonts w:cs="Courier New"/>
          <w:sz w:val="22"/>
          <w:szCs w:val="22"/>
        </w:rPr>
        <w:t>зы, вирусный гастроэнтерит, панлейкопения</w:t>
      </w:r>
      <w:r w:rsidRPr="008742E9">
        <w:rPr>
          <w:rFonts w:cs="Courier New"/>
          <w:sz w:val="20"/>
          <w:szCs w:val="20"/>
        </w:rPr>
        <w:t xml:space="preserve">, </w:t>
      </w:r>
      <w:r w:rsidRPr="008742E9">
        <w:rPr>
          <w:rFonts w:cs="Courier New"/>
          <w:sz w:val="22"/>
          <w:szCs w:val="22"/>
        </w:rPr>
        <w:t>лептоспи</w:t>
      </w:r>
      <w:r w:rsidRPr="008742E9">
        <w:rPr>
          <w:rFonts w:cs="Courier New"/>
          <w:sz w:val="20"/>
          <w:szCs w:val="20"/>
        </w:rPr>
        <w:t>роз,</w:t>
      </w:r>
      <w:r w:rsidRPr="008742E9">
        <w:rPr>
          <w:rFonts w:cs="Courier New"/>
          <w:sz w:val="22"/>
          <w:szCs w:val="22"/>
        </w:rPr>
        <w:t xml:space="preserve"> стафил</w:t>
      </w:r>
      <w:r w:rsidRPr="008742E9">
        <w:rPr>
          <w:rFonts w:cs="Courier New"/>
          <w:sz w:val="22"/>
          <w:szCs w:val="22"/>
        </w:rPr>
        <w:t>о</w:t>
      </w:r>
      <w:r w:rsidRPr="008742E9">
        <w:rPr>
          <w:rFonts w:cs="Courier New"/>
          <w:sz w:val="22"/>
          <w:szCs w:val="22"/>
        </w:rPr>
        <w:t>коккоз.</w:t>
      </w:r>
    </w:p>
    <w:p w:rsidR="008742E9" w:rsidRPr="008742E9" w:rsidRDefault="008742E9" w:rsidP="00EB0266">
      <w:pPr>
        <w:shd w:val="clear" w:color="auto" w:fill="FFFFFF"/>
        <w:autoSpaceDE w:val="0"/>
        <w:autoSpaceDN w:val="0"/>
        <w:adjustRightInd w:val="0"/>
        <w:ind w:firstLine="426"/>
        <w:jc w:val="both"/>
        <w:rPr>
          <w:sz w:val="22"/>
          <w:szCs w:val="22"/>
          <w:lang w:val="en-US"/>
        </w:rPr>
      </w:pPr>
      <w:r w:rsidRPr="008742E9">
        <w:rPr>
          <w:sz w:val="22"/>
          <w:szCs w:val="22"/>
          <w:lang w:val="en-US"/>
        </w:rPr>
        <w:t xml:space="preserve">KEYWORDS: </w:t>
      </w:r>
      <w:r w:rsidRPr="008742E9">
        <w:rPr>
          <w:rFonts w:eastAsia="Calibri"/>
          <w:sz w:val="22"/>
          <w:szCs w:val="22"/>
          <w:shd w:val="clear" w:color="auto" w:fill="FFFFFF"/>
          <w:lang w:val="en-US" w:eastAsia="en-US"/>
        </w:rPr>
        <w:t>nosological profile, dermatomycosis, viral gastroe</w:t>
      </w:r>
      <w:r w:rsidRPr="008742E9">
        <w:rPr>
          <w:rFonts w:eastAsia="Calibri"/>
          <w:sz w:val="22"/>
          <w:szCs w:val="22"/>
          <w:shd w:val="clear" w:color="auto" w:fill="FFFFFF"/>
          <w:lang w:val="en-US" w:eastAsia="en-US"/>
        </w:rPr>
        <w:t>n</w:t>
      </w:r>
      <w:r w:rsidRPr="008742E9">
        <w:rPr>
          <w:rFonts w:eastAsia="Calibri"/>
          <w:sz w:val="22"/>
          <w:szCs w:val="22"/>
          <w:shd w:val="clear" w:color="auto" w:fill="FFFFFF"/>
          <w:lang w:val="en-US" w:eastAsia="en-US"/>
        </w:rPr>
        <w:t>teritis, panleukopenia, leptospirosis, staphylococcosis.</w:t>
      </w:r>
    </w:p>
    <w:p w:rsidR="008742E9" w:rsidRPr="008742E9" w:rsidRDefault="008742E9" w:rsidP="00EB0266">
      <w:pPr>
        <w:ind w:firstLine="426"/>
        <w:jc w:val="both"/>
        <w:rPr>
          <w:sz w:val="22"/>
          <w:szCs w:val="22"/>
          <w:lang w:val="en-US"/>
        </w:rPr>
      </w:pPr>
    </w:p>
    <w:p w:rsidR="008742E9" w:rsidRPr="008742E9" w:rsidRDefault="008742E9" w:rsidP="00EB0266">
      <w:pPr>
        <w:ind w:firstLine="426"/>
        <w:jc w:val="both"/>
        <w:rPr>
          <w:sz w:val="22"/>
          <w:szCs w:val="22"/>
        </w:rPr>
      </w:pPr>
      <w:r w:rsidRPr="008742E9">
        <w:rPr>
          <w:sz w:val="22"/>
          <w:szCs w:val="22"/>
        </w:rPr>
        <w:t>В последние годы в связи с урбанизацией общества привяза</w:t>
      </w:r>
      <w:r w:rsidRPr="008742E9">
        <w:rPr>
          <w:sz w:val="22"/>
          <w:szCs w:val="22"/>
        </w:rPr>
        <w:t>н</w:t>
      </w:r>
      <w:r w:rsidRPr="008742E9">
        <w:rPr>
          <w:sz w:val="22"/>
          <w:szCs w:val="22"/>
        </w:rPr>
        <w:t>ность человека к собаке значительно возросла. Расширяется круг собаководов-любителей, возрастает количество собак, живущих с человеком, создается острая проблема содержания этих животных в городе. По литературным данным в г. Москве около 80% семей имеют собак или кошек, при этом из 44% кошек 39% являются бе</w:t>
      </w:r>
      <w:r w:rsidRPr="008742E9">
        <w:rPr>
          <w:sz w:val="22"/>
          <w:szCs w:val="22"/>
        </w:rPr>
        <w:t>с</w:t>
      </w:r>
      <w:r w:rsidRPr="008742E9">
        <w:rPr>
          <w:sz w:val="22"/>
          <w:szCs w:val="22"/>
        </w:rPr>
        <w:t>породными и только 5% - породистые, а из 36% собак содержится 23% беспородных и 13% породистых. В среднем по стране  каждая пятая городская семья содержит кошку или собаку. Помимо этого вокруг нас бродят бездомные собаки и кошки, которые создают угрозу возникновения и распространения различных инфекционных болезней [1,2]. Собаководство приобретает особое значение в ра</w:t>
      </w:r>
      <w:r w:rsidRPr="008742E9">
        <w:rPr>
          <w:sz w:val="22"/>
          <w:szCs w:val="22"/>
        </w:rPr>
        <w:t>з</w:t>
      </w:r>
      <w:r w:rsidRPr="008742E9">
        <w:rPr>
          <w:sz w:val="22"/>
          <w:szCs w:val="22"/>
        </w:rPr>
        <w:t>личных областях народного хозяйства. Собак используют при охране имущества человека, в промысловой работе, для транспо</w:t>
      </w:r>
      <w:r w:rsidRPr="008742E9">
        <w:rPr>
          <w:sz w:val="22"/>
          <w:szCs w:val="22"/>
        </w:rPr>
        <w:t>р</w:t>
      </w:r>
      <w:r w:rsidRPr="008742E9">
        <w:rPr>
          <w:sz w:val="22"/>
          <w:szCs w:val="22"/>
        </w:rPr>
        <w:t>тировки грузов, людей в северных районах, собаки-пастухи зам</w:t>
      </w:r>
      <w:r w:rsidRPr="008742E9">
        <w:rPr>
          <w:sz w:val="22"/>
          <w:szCs w:val="22"/>
        </w:rPr>
        <w:t>е</w:t>
      </w:r>
      <w:r w:rsidRPr="008742E9">
        <w:rPr>
          <w:sz w:val="22"/>
          <w:szCs w:val="22"/>
        </w:rPr>
        <w:t>няют труд чабанов, собаки-поводыри необходимы для слепых л</w:t>
      </w:r>
      <w:r w:rsidRPr="008742E9">
        <w:rPr>
          <w:sz w:val="22"/>
          <w:szCs w:val="22"/>
        </w:rPr>
        <w:t>ю</w:t>
      </w:r>
      <w:r w:rsidRPr="008742E9">
        <w:rPr>
          <w:sz w:val="22"/>
          <w:szCs w:val="22"/>
        </w:rPr>
        <w:t>дей, служебно-розыскные собаки используются на таможне, погр</w:t>
      </w:r>
      <w:r w:rsidRPr="008742E9">
        <w:rPr>
          <w:sz w:val="22"/>
          <w:szCs w:val="22"/>
        </w:rPr>
        <w:t>а</w:t>
      </w:r>
      <w:r w:rsidRPr="008742E9">
        <w:rPr>
          <w:sz w:val="22"/>
          <w:szCs w:val="22"/>
        </w:rPr>
        <w:t xml:space="preserve">ничной службе. </w:t>
      </w:r>
    </w:p>
    <w:p w:rsidR="008742E9" w:rsidRPr="008742E9" w:rsidRDefault="008742E9" w:rsidP="00EB0266">
      <w:pPr>
        <w:ind w:firstLine="426"/>
        <w:jc w:val="both"/>
        <w:rPr>
          <w:sz w:val="22"/>
          <w:szCs w:val="22"/>
        </w:rPr>
      </w:pPr>
      <w:r w:rsidRPr="008742E9">
        <w:rPr>
          <w:sz w:val="22"/>
          <w:szCs w:val="22"/>
        </w:rPr>
        <w:t>Задачей наших исследований являлось изучение нозологич</w:t>
      </w:r>
      <w:r w:rsidRPr="008742E9">
        <w:rPr>
          <w:sz w:val="22"/>
          <w:szCs w:val="22"/>
        </w:rPr>
        <w:t>е</w:t>
      </w:r>
      <w:r w:rsidRPr="008742E9">
        <w:rPr>
          <w:sz w:val="22"/>
          <w:szCs w:val="22"/>
        </w:rPr>
        <w:t>ского профиля инфекционных болезней собак и кошек в городской ветеринарной клинике  г. Краснодара.</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Материалы и методы.</w:t>
      </w:r>
      <w:r w:rsidRPr="008742E9">
        <w:rPr>
          <w:b/>
          <w:sz w:val="22"/>
          <w:szCs w:val="22"/>
        </w:rPr>
        <w:t xml:space="preserve"> </w:t>
      </w:r>
      <w:r w:rsidRPr="008742E9">
        <w:rPr>
          <w:sz w:val="22"/>
          <w:szCs w:val="22"/>
        </w:rPr>
        <w:t>Работа выполнена в городской ветер</w:t>
      </w:r>
      <w:r w:rsidRPr="008742E9">
        <w:rPr>
          <w:sz w:val="22"/>
          <w:szCs w:val="22"/>
        </w:rPr>
        <w:t>и</w:t>
      </w:r>
      <w:r w:rsidRPr="008742E9">
        <w:rPr>
          <w:sz w:val="22"/>
          <w:szCs w:val="22"/>
        </w:rPr>
        <w:t>нарной клинике  г. Краснодара и на кафедре микробиологии, эпиз</w:t>
      </w:r>
      <w:r w:rsidRPr="008742E9">
        <w:rPr>
          <w:sz w:val="22"/>
          <w:szCs w:val="22"/>
        </w:rPr>
        <w:t>о</w:t>
      </w:r>
      <w:r w:rsidRPr="008742E9">
        <w:rPr>
          <w:sz w:val="22"/>
          <w:szCs w:val="22"/>
        </w:rPr>
        <w:t>отологии и вирусологии ФГОУ  ВПО «Кубанский государственный аграрный университет». В работе использовали клинические, эп</w:t>
      </w:r>
      <w:r w:rsidRPr="008742E9">
        <w:rPr>
          <w:sz w:val="22"/>
          <w:szCs w:val="22"/>
        </w:rPr>
        <w:t>и</w:t>
      </w:r>
      <w:r w:rsidRPr="008742E9">
        <w:rPr>
          <w:sz w:val="22"/>
          <w:szCs w:val="22"/>
        </w:rPr>
        <w:t>зоотологические, бактериологические и статистические методы и</w:t>
      </w:r>
      <w:r w:rsidRPr="008742E9">
        <w:rPr>
          <w:sz w:val="22"/>
          <w:szCs w:val="22"/>
        </w:rPr>
        <w:t>с</w:t>
      </w:r>
      <w:r w:rsidRPr="008742E9">
        <w:rPr>
          <w:sz w:val="22"/>
          <w:szCs w:val="22"/>
        </w:rPr>
        <w:t>следований.</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Результаты исследования.</w:t>
      </w:r>
      <w:r w:rsidRPr="008742E9">
        <w:rPr>
          <w:b/>
          <w:sz w:val="22"/>
          <w:szCs w:val="22"/>
        </w:rPr>
        <w:t xml:space="preserve"> </w:t>
      </w:r>
      <w:r w:rsidRPr="008742E9">
        <w:rPr>
          <w:sz w:val="22"/>
          <w:szCs w:val="22"/>
        </w:rPr>
        <w:t>Проведенный нами анализ статист</w:t>
      </w:r>
      <w:r w:rsidRPr="008742E9">
        <w:rPr>
          <w:sz w:val="22"/>
          <w:szCs w:val="22"/>
        </w:rPr>
        <w:t>и</w:t>
      </w:r>
      <w:r w:rsidRPr="008742E9">
        <w:rPr>
          <w:sz w:val="22"/>
          <w:szCs w:val="22"/>
        </w:rPr>
        <w:t>ческих данных заболеваемости  около 1000 собак показал, что в и</w:t>
      </w:r>
      <w:r w:rsidRPr="008742E9">
        <w:rPr>
          <w:sz w:val="22"/>
          <w:szCs w:val="22"/>
        </w:rPr>
        <w:t>н</w:t>
      </w:r>
      <w:r w:rsidRPr="008742E9">
        <w:rPr>
          <w:sz w:val="22"/>
          <w:szCs w:val="22"/>
        </w:rPr>
        <w:t>фекционной патологии собак в нозологическом профиле регистр</w:t>
      </w:r>
      <w:r w:rsidRPr="008742E9">
        <w:rPr>
          <w:sz w:val="22"/>
          <w:szCs w:val="22"/>
        </w:rPr>
        <w:t>и</w:t>
      </w:r>
      <w:r w:rsidRPr="008742E9">
        <w:rPr>
          <w:sz w:val="22"/>
          <w:szCs w:val="22"/>
        </w:rPr>
        <w:t>руются различные болезни: дерматомикозы (40,0%), вирусный г</w:t>
      </w:r>
      <w:r w:rsidRPr="008742E9">
        <w:rPr>
          <w:sz w:val="22"/>
          <w:szCs w:val="22"/>
        </w:rPr>
        <w:t>а</w:t>
      </w:r>
      <w:r w:rsidRPr="008742E9">
        <w:rPr>
          <w:sz w:val="22"/>
          <w:szCs w:val="22"/>
        </w:rPr>
        <w:lastRenderedPageBreak/>
        <w:t>строэнтерит  (20,0%), чума плотоядных (15,5%), аденовироз (10,0%), лептоспироз (10,0%), стафилококкоз (4,5%)[1,2].</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При анализе инфекционных заболеваний кошек установлено, что среди инфекционных болезней регистрируются: дерматомикозы (35,0%), панлейкопения (24,0%), герпесвирусная инфекция (12,5%),  вирусный перитонит (12,0%), стафилококкоз (16,5%). Против де</w:t>
      </w:r>
      <w:r w:rsidRPr="008742E9">
        <w:rPr>
          <w:sz w:val="22"/>
          <w:szCs w:val="22"/>
        </w:rPr>
        <w:t>р</w:t>
      </w:r>
      <w:r w:rsidRPr="008742E9">
        <w:rPr>
          <w:sz w:val="22"/>
          <w:szCs w:val="22"/>
        </w:rPr>
        <w:t>матомикозов, вирусного гастроэнтерита, чумы плотоядных у собак и респираторной вирусной инфекции кошек проводится плановая профилактическая вакцинация, а против стафилококкоза домашних плотоядных нет вакцин. Поэтому у собак и кошек стафилококкоз является серьезной проблемой.  Наиболее часто стафилококкоз у плотоядных проявлялся дерматитами, отитами и поражением пол</w:t>
      </w:r>
      <w:r w:rsidRPr="008742E9">
        <w:rPr>
          <w:sz w:val="22"/>
          <w:szCs w:val="22"/>
        </w:rPr>
        <w:t>о</w:t>
      </w:r>
      <w:r w:rsidRPr="008742E9">
        <w:rPr>
          <w:sz w:val="22"/>
          <w:szCs w:val="22"/>
        </w:rPr>
        <w:t>вых органов. Проведенный анализ эпизоотической обстановки п</w:t>
      </w:r>
      <w:r w:rsidRPr="008742E9">
        <w:rPr>
          <w:sz w:val="22"/>
          <w:szCs w:val="22"/>
        </w:rPr>
        <w:t>о</w:t>
      </w:r>
      <w:r w:rsidRPr="008742E9">
        <w:rPr>
          <w:sz w:val="22"/>
          <w:szCs w:val="22"/>
        </w:rPr>
        <w:t>казал, что среди кошек длинношерстные и полудлинношерстные породы (персидская, ангорская, сибирская и др.) более предрасп</w:t>
      </w:r>
      <w:r w:rsidRPr="008742E9">
        <w:rPr>
          <w:sz w:val="22"/>
          <w:szCs w:val="22"/>
        </w:rPr>
        <w:t>о</w:t>
      </w:r>
      <w:r w:rsidRPr="008742E9">
        <w:rPr>
          <w:sz w:val="22"/>
          <w:szCs w:val="22"/>
        </w:rPr>
        <w:t xml:space="preserve">ложены к заболеваемости стафилококкозом[1,2,3]. </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Изучение породного состава больных собак не выявило сущ</w:t>
      </w:r>
      <w:r w:rsidRPr="008742E9">
        <w:rPr>
          <w:sz w:val="22"/>
          <w:szCs w:val="22"/>
        </w:rPr>
        <w:t>е</w:t>
      </w:r>
      <w:r w:rsidRPr="008742E9">
        <w:rPr>
          <w:sz w:val="22"/>
          <w:szCs w:val="22"/>
        </w:rPr>
        <w:t>ственных  особенностей. Наиболее чаще подвержены заболеваем</w:t>
      </w:r>
      <w:r w:rsidRPr="008742E9">
        <w:rPr>
          <w:sz w:val="22"/>
          <w:szCs w:val="22"/>
        </w:rPr>
        <w:t>о</w:t>
      </w:r>
      <w:r w:rsidRPr="008742E9">
        <w:rPr>
          <w:sz w:val="22"/>
          <w:szCs w:val="22"/>
        </w:rPr>
        <w:t>сти стафилококкозом собаки короткошерстных пород. Среди дли</w:t>
      </w:r>
      <w:r w:rsidRPr="008742E9">
        <w:rPr>
          <w:sz w:val="22"/>
          <w:szCs w:val="22"/>
        </w:rPr>
        <w:t>н</w:t>
      </w:r>
      <w:r w:rsidRPr="008742E9">
        <w:rPr>
          <w:sz w:val="22"/>
          <w:szCs w:val="22"/>
        </w:rPr>
        <w:t xml:space="preserve">ношерстных пород чаще регистрировали стафилококкоз у немецкой овчарки, пекинеса, различных видов спаниелей[1,2]. </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В процессе изучения эпизоотической обстановки нами была установлена сезонность проявления стафилококкоза у плотоядных. Заболеваемость резко увеличивалась с началом теплого времени года, достигая максимума пика в мае</w:t>
      </w:r>
      <w:r w:rsidRPr="008742E9">
        <w:rPr>
          <w:rFonts w:eastAsia="Calibri"/>
          <w:sz w:val="22"/>
          <w:szCs w:val="22"/>
          <w:lang w:eastAsia="en-US"/>
        </w:rPr>
        <w:t>–</w:t>
      </w:r>
      <w:r w:rsidRPr="008742E9">
        <w:rPr>
          <w:sz w:val="22"/>
          <w:szCs w:val="22"/>
        </w:rPr>
        <w:t>июне месяце. В осенние м</w:t>
      </w:r>
      <w:r w:rsidRPr="008742E9">
        <w:rPr>
          <w:sz w:val="22"/>
          <w:szCs w:val="22"/>
        </w:rPr>
        <w:t>е</w:t>
      </w:r>
      <w:r w:rsidRPr="008742E9">
        <w:rPr>
          <w:sz w:val="22"/>
          <w:szCs w:val="22"/>
        </w:rPr>
        <w:t>сяцы количество заболевших животных снижалось[3].</w:t>
      </w:r>
    </w:p>
    <w:p w:rsidR="008742E9" w:rsidRPr="008742E9" w:rsidRDefault="008742E9" w:rsidP="00EB0266">
      <w:pPr>
        <w:ind w:firstLine="426"/>
        <w:jc w:val="both"/>
        <w:rPr>
          <w:sz w:val="22"/>
          <w:szCs w:val="22"/>
        </w:rPr>
      </w:pPr>
      <w:r w:rsidRPr="008742E9">
        <w:rPr>
          <w:sz w:val="22"/>
          <w:szCs w:val="22"/>
        </w:rPr>
        <w:t>Выводы</w:t>
      </w:r>
    </w:p>
    <w:p w:rsidR="008742E9" w:rsidRPr="008742E9" w:rsidRDefault="008742E9" w:rsidP="00EB0266">
      <w:pPr>
        <w:shd w:val="clear" w:color="auto" w:fill="FFFFFF"/>
        <w:autoSpaceDE w:val="0"/>
        <w:autoSpaceDN w:val="0"/>
        <w:adjustRightInd w:val="0"/>
        <w:ind w:firstLine="426"/>
        <w:jc w:val="both"/>
        <w:rPr>
          <w:sz w:val="22"/>
          <w:szCs w:val="22"/>
        </w:rPr>
      </w:pPr>
      <w:r w:rsidRPr="008742E9">
        <w:rPr>
          <w:sz w:val="22"/>
          <w:szCs w:val="22"/>
        </w:rPr>
        <w:t>1.</w:t>
      </w:r>
      <w:r w:rsidRPr="008742E9">
        <w:rPr>
          <w:b/>
          <w:sz w:val="22"/>
          <w:szCs w:val="22"/>
        </w:rPr>
        <w:t xml:space="preserve"> </w:t>
      </w:r>
      <w:r w:rsidRPr="008742E9">
        <w:rPr>
          <w:sz w:val="22"/>
          <w:szCs w:val="22"/>
        </w:rPr>
        <w:t>В нозологическом профиле среди инфекционных болезней собак регистрируются дерматомикозы (40,0%), вирусный гастроэ</w:t>
      </w:r>
      <w:r w:rsidRPr="008742E9">
        <w:rPr>
          <w:sz w:val="22"/>
          <w:szCs w:val="22"/>
        </w:rPr>
        <w:t>н</w:t>
      </w:r>
      <w:r w:rsidRPr="008742E9">
        <w:rPr>
          <w:sz w:val="22"/>
          <w:szCs w:val="22"/>
        </w:rPr>
        <w:t>терит  (20,0%), чума плотоядных (15,5%), аденовироз (10,0%), ле</w:t>
      </w:r>
      <w:r w:rsidRPr="008742E9">
        <w:rPr>
          <w:sz w:val="22"/>
          <w:szCs w:val="22"/>
        </w:rPr>
        <w:t>п</w:t>
      </w:r>
      <w:r w:rsidRPr="008742E9">
        <w:rPr>
          <w:sz w:val="22"/>
          <w:szCs w:val="22"/>
        </w:rPr>
        <w:t>тоспироз (10,0%), стафилококкоз (4,5%). У кошек регистрируются дерматомикозы (35,0%), панлейкопения (24,0%), герпесвирусная инфекция (12,5%),  вирусный перитонит (12,0%), стафилококкоз (16,5%).</w:t>
      </w:r>
    </w:p>
    <w:p w:rsidR="008742E9" w:rsidRPr="008742E9" w:rsidRDefault="008742E9" w:rsidP="00EB0266">
      <w:pPr>
        <w:ind w:firstLine="426"/>
        <w:jc w:val="both"/>
        <w:rPr>
          <w:rFonts w:ascii="Calibri" w:eastAsia="Calibri" w:hAnsi="Calibri"/>
          <w:sz w:val="22"/>
          <w:szCs w:val="22"/>
          <w:lang w:eastAsia="en-US"/>
        </w:rPr>
      </w:pPr>
      <w:r w:rsidRPr="008742E9">
        <w:rPr>
          <w:sz w:val="22"/>
          <w:szCs w:val="22"/>
        </w:rPr>
        <w:t>2. Заболеваемость стафилококкозом домашних плотоядных животных составляет 4,5-23,5% от инфекционной патологии, уст</w:t>
      </w:r>
      <w:r w:rsidRPr="008742E9">
        <w:rPr>
          <w:sz w:val="22"/>
          <w:szCs w:val="22"/>
        </w:rPr>
        <w:t>а</w:t>
      </w:r>
      <w:r w:rsidRPr="008742E9">
        <w:rPr>
          <w:sz w:val="22"/>
          <w:szCs w:val="22"/>
        </w:rPr>
        <w:t xml:space="preserve">новлена сезонность инфекции, среди кошек предрасположены </w:t>
      </w:r>
      <w:r w:rsidRPr="008742E9">
        <w:rPr>
          <w:sz w:val="22"/>
          <w:szCs w:val="22"/>
        </w:rPr>
        <w:lastRenderedPageBreak/>
        <w:t>длинношерстные и полудлинные породы, среди собак чаще пор</w:t>
      </w:r>
      <w:r w:rsidRPr="008742E9">
        <w:rPr>
          <w:sz w:val="22"/>
          <w:szCs w:val="22"/>
        </w:rPr>
        <w:t>а</w:t>
      </w:r>
      <w:r w:rsidRPr="008742E9">
        <w:rPr>
          <w:sz w:val="22"/>
          <w:szCs w:val="22"/>
        </w:rPr>
        <w:t xml:space="preserve">жаются немецкая овчарка, пекинес, различные виды спаниелей. </w:t>
      </w:r>
    </w:p>
    <w:p w:rsidR="00A11E96" w:rsidRDefault="00A11E96" w:rsidP="00EB0266">
      <w:pPr>
        <w:ind w:firstLine="426"/>
        <w:jc w:val="center"/>
        <w:rPr>
          <w:rFonts w:eastAsia="Calibri"/>
          <w:sz w:val="22"/>
          <w:szCs w:val="22"/>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1. Шевченко, А.А. Инфекционные болезни мелких домашних животных / </w:t>
      </w:r>
      <w:r w:rsidRPr="008742E9">
        <w:rPr>
          <w:rFonts w:eastAsia="Calibri"/>
          <w:iCs/>
          <w:sz w:val="22"/>
          <w:szCs w:val="22"/>
          <w:lang w:eastAsia="en-US"/>
        </w:rPr>
        <w:t>Шевченко А.А., Зеркалев Д.Ю., Шевченко Л.В., Черных О.Ю., Горпинченко Е.А</w:t>
      </w:r>
      <w:r w:rsidRPr="008742E9">
        <w:rPr>
          <w:rFonts w:eastAsia="Calibri"/>
          <w:i/>
          <w:iCs/>
          <w:sz w:val="22"/>
          <w:szCs w:val="22"/>
          <w:lang w:eastAsia="en-US"/>
        </w:rPr>
        <w:t>.</w:t>
      </w:r>
      <w:r w:rsidRPr="008742E9">
        <w:rPr>
          <w:rFonts w:eastAsia="Calibri"/>
          <w:iCs/>
          <w:sz w:val="22"/>
          <w:szCs w:val="22"/>
          <w:lang w:eastAsia="en-US"/>
        </w:rPr>
        <w:t xml:space="preserve"> / Учебное пособие / Краснодар, 2018;</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2. Шeвчeнкo, A.A. Виpуcнaя гeмoppaгичecкaя бoлeзнь кpoликoв / A.A. Шeвчeнкo, Л.В. Шeвчeнкo, Д.Ю. Зepкaлeв, В.Н. Шeвкoпляc, O.Ю. Чepных. / Вeтepинapия Кубaни, 2011 № 2. – C. 3-6;</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3. Ш</w:t>
      </w:r>
      <w:r w:rsidRPr="008742E9">
        <w:rPr>
          <w:rFonts w:eastAsia="Calibri"/>
          <w:sz w:val="22"/>
          <w:szCs w:val="22"/>
          <w:lang w:val="en-US" w:eastAsia="en-US"/>
        </w:rPr>
        <w:t>e</w:t>
      </w:r>
      <w:r w:rsidRPr="008742E9">
        <w:rPr>
          <w:rFonts w:eastAsia="Calibri"/>
          <w:sz w:val="22"/>
          <w:szCs w:val="22"/>
          <w:lang w:eastAsia="en-US"/>
        </w:rPr>
        <w:t>вч</w:t>
      </w:r>
      <w:r w:rsidRPr="008742E9">
        <w:rPr>
          <w:rFonts w:eastAsia="Calibri"/>
          <w:sz w:val="22"/>
          <w:szCs w:val="22"/>
          <w:lang w:val="en-US" w:eastAsia="en-US"/>
        </w:rPr>
        <w:t>e</w:t>
      </w:r>
      <w:r w:rsidRPr="008742E9">
        <w:rPr>
          <w:rFonts w:eastAsia="Calibri"/>
          <w:sz w:val="22"/>
          <w:szCs w:val="22"/>
          <w:lang w:eastAsia="en-US"/>
        </w:rPr>
        <w:t>нк</w:t>
      </w:r>
      <w:r w:rsidRPr="008742E9">
        <w:rPr>
          <w:rFonts w:eastAsia="Calibri"/>
          <w:sz w:val="22"/>
          <w:szCs w:val="22"/>
          <w:lang w:val="en-US" w:eastAsia="en-US"/>
        </w:rPr>
        <w:t>o</w:t>
      </w:r>
      <w:r w:rsidRPr="008742E9">
        <w:rPr>
          <w:rFonts w:eastAsia="Calibri"/>
          <w:sz w:val="22"/>
          <w:szCs w:val="22"/>
          <w:lang w:eastAsia="en-US"/>
        </w:rPr>
        <w:t xml:space="preserve">, </w:t>
      </w:r>
      <w:r w:rsidRPr="008742E9">
        <w:rPr>
          <w:rFonts w:eastAsia="Calibri"/>
          <w:sz w:val="22"/>
          <w:szCs w:val="22"/>
          <w:lang w:val="en-US" w:eastAsia="en-US"/>
        </w:rPr>
        <w:t>A</w:t>
      </w:r>
      <w:r w:rsidRPr="008742E9">
        <w:rPr>
          <w:rFonts w:eastAsia="Calibri"/>
          <w:sz w:val="22"/>
          <w:szCs w:val="22"/>
          <w:lang w:eastAsia="en-US"/>
        </w:rPr>
        <w:t>.</w:t>
      </w:r>
      <w:r w:rsidRPr="008742E9">
        <w:rPr>
          <w:rFonts w:eastAsia="Calibri"/>
          <w:sz w:val="22"/>
          <w:szCs w:val="22"/>
          <w:lang w:val="en-US" w:eastAsia="en-US"/>
        </w:rPr>
        <w:t>A</w:t>
      </w:r>
      <w:r w:rsidRPr="008742E9">
        <w:rPr>
          <w:rFonts w:eastAsia="Calibri"/>
          <w:sz w:val="22"/>
          <w:szCs w:val="22"/>
          <w:lang w:eastAsia="en-US"/>
        </w:rPr>
        <w:t>. Ви</w:t>
      </w:r>
      <w:r w:rsidRPr="008742E9">
        <w:rPr>
          <w:rFonts w:eastAsia="Calibri"/>
          <w:sz w:val="22"/>
          <w:szCs w:val="22"/>
          <w:lang w:val="en-US" w:eastAsia="en-US"/>
        </w:rPr>
        <w:t>p</w:t>
      </w:r>
      <w:r w:rsidRPr="008742E9">
        <w:rPr>
          <w:rFonts w:eastAsia="Calibri"/>
          <w:sz w:val="22"/>
          <w:szCs w:val="22"/>
          <w:lang w:eastAsia="en-US"/>
        </w:rPr>
        <w:t>у</w:t>
      </w:r>
      <w:r w:rsidRPr="008742E9">
        <w:rPr>
          <w:rFonts w:eastAsia="Calibri"/>
          <w:sz w:val="22"/>
          <w:szCs w:val="22"/>
          <w:lang w:val="en-US" w:eastAsia="en-US"/>
        </w:rPr>
        <w:t>c</w:t>
      </w:r>
      <w:r w:rsidRPr="008742E9">
        <w:rPr>
          <w:rFonts w:eastAsia="Calibri"/>
          <w:sz w:val="22"/>
          <w:szCs w:val="22"/>
          <w:lang w:eastAsia="en-US"/>
        </w:rPr>
        <w:t>н</w:t>
      </w:r>
      <w:r w:rsidRPr="008742E9">
        <w:rPr>
          <w:rFonts w:eastAsia="Calibri"/>
          <w:sz w:val="22"/>
          <w:szCs w:val="22"/>
          <w:lang w:val="en-US" w:eastAsia="en-US"/>
        </w:rPr>
        <w:t>a</w:t>
      </w:r>
      <w:r w:rsidRPr="008742E9">
        <w:rPr>
          <w:rFonts w:eastAsia="Calibri"/>
          <w:sz w:val="22"/>
          <w:szCs w:val="22"/>
          <w:lang w:eastAsia="en-US"/>
        </w:rPr>
        <w:t>я г</w:t>
      </w:r>
      <w:r w:rsidRPr="008742E9">
        <w:rPr>
          <w:rFonts w:eastAsia="Calibri"/>
          <w:sz w:val="22"/>
          <w:szCs w:val="22"/>
          <w:lang w:val="en-US" w:eastAsia="en-US"/>
        </w:rPr>
        <w:t>e</w:t>
      </w:r>
      <w:r w:rsidRPr="008742E9">
        <w:rPr>
          <w:rFonts w:eastAsia="Calibri"/>
          <w:sz w:val="22"/>
          <w:szCs w:val="22"/>
          <w:lang w:eastAsia="en-US"/>
        </w:rPr>
        <w:t>м</w:t>
      </w:r>
      <w:r w:rsidRPr="008742E9">
        <w:rPr>
          <w:rFonts w:eastAsia="Calibri"/>
          <w:sz w:val="22"/>
          <w:szCs w:val="22"/>
          <w:lang w:val="en-US" w:eastAsia="en-US"/>
        </w:rPr>
        <w:t>oppa</w:t>
      </w:r>
      <w:r w:rsidRPr="008742E9">
        <w:rPr>
          <w:rFonts w:eastAsia="Calibri"/>
          <w:sz w:val="22"/>
          <w:szCs w:val="22"/>
          <w:lang w:eastAsia="en-US"/>
        </w:rPr>
        <w:t>гич</w:t>
      </w:r>
      <w:r w:rsidRPr="008742E9">
        <w:rPr>
          <w:rFonts w:eastAsia="Calibri"/>
          <w:sz w:val="22"/>
          <w:szCs w:val="22"/>
          <w:lang w:val="en-US" w:eastAsia="en-US"/>
        </w:rPr>
        <w:t>ec</w:t>
      </w:r>
      <w:r w:rsidRPr="008742E9">
        <w:rPr>
          <w:rFonts w:eastAsia="Calibri"/>
          <w:sz w:val="22"/>
          <w:szCs w:val="22"/>
          <w:lang w:eastAsia="en-US"/>
        </w:rPr>
        <w:t>к</w:t>
      </w:r>
      <w:r w:rsidRPr="008742E9">
        <w:rPr>
          <w:rFonts w:eastAsia="Calibri"/>
          <w:sz w:val="22"/>
          <w:szCs w:val="22"/>
          <w:lang w:val="en-US" w:eastAsia="en-US"/>
        </w:rPr>
        <w:t>a</w:t>
      </w:r>
      <w:r w:rsidRPr="008742E9">
        <w:rPr>
          <w:rFonts w:eastAsia="Calibri"/>
          <w:sz w:val="22"/>
          <w:szCs w:val="22"/>
          <w:lang w:eastAsia="en-US"/>
        </w:rPr>
        <w:t>я б</w:t>
      </w:r>
      <w:r w:rsidRPr="008742E9">
        <w:rPr>
          <w:rFonts w:eastAsia="Calibri"/>
          <w:sz w:val="22"/>
          <w:szCs w:val="22"/>
          <w:lang w:val="en-US" w:eastAsia="en-US"/>
        </w:rPr>
        <w:t>o</w:t>
      </w:r>
      <w:r w:rsidRPr="008742E9">
        <w:rPr>
          <w:rFonts w:eastAsia="Calibri"/>
          <w:sz w:val="22"/>
          <w:szCs w:val="22"/>
          <w:lang w:eastAsia="en-US"/>
        </w:rPr>
        <w:t>л</w:t>
      </w:r>
      <w:r w:rsidRPr="008742E9">
        <w:rPr>
          <w:rFonts w:eastAsia="Calibri"/>
          <w:sz w:val="22"/>
          <w:szCs w:val="22"/>
          <w:lang w:val="en-US" w:eastAsia="en-US"/>
        </w:rPr>
        <w:t>e</w:t>
      </w:r>
      <w:r w:rsidRPr="008742E9">
        <w:rPr>
          <w:rFonts w:eastAsia="Calibri"/>
          <w:sz w:val="22"/>
          <w:szCs w:val="22"/>
          <w:lang w:eastAsia="en-US"/>
        </w:rPr>
        <w:t>знь к</w:t>
      </w:r>
      <w:r w:rsidRPr="008742E9">
        <w:rPr>
          <w:rFonts w:eastAsia="Calibri"/>
          <w:sz w:val="22"/>
          <w:szCs w:val="22"/>
          <w:lang w:val="en-US" w:eastAsia="en-US"/>
        </w:rPr>
        <w:t>po</w:t>
      </w:r>
      <w:r w:rsidRPr="008742E9">
        <w:rPr>
          <w:rFonts w:eastAsia="Calibri"/>
          <w:sz w:val="22"/>
          <w:szCs w:val="22"/>
          <w:lang w:eastAsia="en-US"/>
        </w:rPr>
        <w:t>лик</w:t>
      </w:r>
      <w:r w:rsidRPr="008742E9">
        <w:rPr>
          <w:rFonts w:eastAsia="Calibri"/>
          <w:sz w:val="22"/>
          <w:szCs w:val="22"/>
          <w:lang w:val="en-US" w:eastAsia="en-US"/>
        </w:rPr>
        <w:t>o</w:t>
      </w:r>
      <w:r w:rsidRPr="008742E9">
        <w:rPr>
          <w:rFonts w:eastAsia="Calibri"/>
          <w:sz w:val="22"/>
          <w:szCs w:val="22"/>
          <w:lang w:eastAsia="en-US"/>
        </w:rPr>
        <w:t xml:space="preserve">в / </w:t>
      </w:r>
      <w:r w:rsidRPr="008742E9">
        <w:rPr>
          <w:rFonts w:eastAsia="Calibri"/>
          <w:sz w:val="22"/>
          <w:szCs w:val="22"/>
          <w:lang w:val="en-US" w:eastAsia="en-US"/>
        </w:rPr>
        <w:t>A</w:t>
      </w:r>
      <w:r w:rsidRPr="008742E9">
        <w:rPr>
          <w:rFonts w:eastAsia="Calibri"/>
          <w:sz w:val="22"/>
          <w:szCs w:val="22"/>
          <w:lang w:eastAsia="en-US"/>
        </w:rPr>
        <w:t>.</w:t>
      </w:r>
      <w:r w:rsidRPr="008742E9">
        <w:rPr>
          <w:rFonts w:eastAsia="Calibri"/>
          <w:sz w:val="22"/>
          <w:szCs w:val="22"/>
          <w:lang w:val="en-US" w:eastAsia="en-US"/>
        </w:rPr>
        <w:t>A</w:t>
      </w:r>
      <w:r w:rsidRPr="008742E9">
        <w:rPr>
          <w:rFonts w:eastAsia="Calibri"/>
          <w:sz w:val="22"/>
          <w:szCs w:val="22"/>
          <w:lang w:eastAsia="en-US"/>
        </w:rPr>
        <w:t>. Ш</w:t>
      </w:r>
      <w:r w:rsidRPr="008742E9">
        <w:rPr>
          <w:rFonts w:eastAsia="Calibri"/>
          <w:sz w:val="22"/>
          <w:szCs w:val="22"/>
          <w:lang w:val="en-US" w:eastAsia="en-US"/>
        </w:rPr>
        <w:t>e</w:t>
      </w:r>
      <w:r w:rsidRPr="008742E9">
        <w:rPr>
          <w:rFonts w:eastAsia="Calibri"/>
          <w:sz w:val="22"/>
          <w:szCs w:val="22"/>
          <w:lang w:eastAsia="en-US"/>
        </w:rPr>
        <w:t>вч</w:t>
      </w:r>
      <w:r w:rsidRPr="008742E9">
        <w:rPr>
          <w:rFonts w:eastAsia="Calibri"/>
          <w:sz w:val="22"/>
          <w:szCs w:val="22"/>
          <w:lang w:val="en-US" w:eastAsia="en-US"/>
        </w:rPr>
        <w:t>e</w:t>
      </w:r>
      <w:r w:rsidRPr="008742E9">
        <w:rPr>
          <w:rFonts w:eastAsia="Calibri"/>
          <w:sz w:val="22"/>
          <w:szCs w:val="22"/>
          <w:lang w:eastAsia="en-US"/>
        </w:rPr>
        <w:t>нк</w:t>
      </w:r>
      <w:r w:rsidRPr="008742E9">
        <w:rPr>
          <w:rFonts w:eastAsia="Calibri"/>
          <w:sz w:val="22"/>
          <w:szCs w:val="22"/>
          <w:lang w:val="en-US" w:eastAsia="en-US"/>
        </w:rPr>
        <w:t>o</w:t>
      </w:r>
      <w:r w:rsidRPr="008742E9">
        <w:rPr>
          <w:rFonts w:eastAsia="Calibri"/>
          <w:sz w:val="22"/>
          <w:szCs w:val="22"/>
          <w:lang w:eastAsia="en-US"/>
        </w:rPr>
        <w:t>, Л.В. Ш</w:t>
      </w:r>
      <w:r w:rsidRPr="008742E9">
        <w:rPr>
          <w:rFonts w:eastAsia="Calibri"/>
          <w:sz w:val="22"/>
          <w:szCs w:val="22"/>
          <w:lang w:val="en-US" w:eastAsia="en-US"/>
        </w:rPr>
        <w:t>e</w:t>
      </w:r>
      <w:r w:rsidRPr="008742E9">
        <w:rPr>
          <w:rFonts w:eastAsia="Calibri"/>
          <w:sz w:val="22"/>
          <w:szCs w:val="22"/>
          <w:lang w:eastAsia="en-US"/>
        </w:rPr>
        <w:t>вч</w:t>
      </w:r>
      <w:r w:rsidRPr="008742E9">
        <w:rPr>
          <w:rFonts w:eastAsia="Calibri"/>
          <w:sz w:val="22"/>
          <w:szCs w:val="22"/>
          <w:lang w:val="en-US" w:eastAsia="en-US"/>
        </w:rPr>
        <w:t>e</w:t>
      </w:r>
      <w:r w:rsidRPr="008742E9">
        <w:rPr>
          <w:rFonts w:eastAsia="Calibri"/>
          <w:sz w:val="22"/>
          <w:szCs w:val="22"/>
          <w:lang w:eastAsia="en-US"/>
        </w:rPr>
        <w:t>нк</w:t>
      </w:r>
      <w:r w:rsidRPr="008742E9">
        <w:rPr>
          <w:rFonts w:eastAsia="Calibri"/>
          <w:sz w:val="22"/>
          <w:szCs w:val="22"/>
          <w:lang w:val="en-US" w:eastAsia="en-US"/>
        </w:rPr>
        <w:t>o</w:t>
      </w:r>
      <w:r w:rsidRPr="008742E9">
        <w:rPr>
          <w:rFonts w:eastAsia="Calibri"/>
          <w:sz w:val="22"/>
          <w:szCs w:val="22"/>
          <w:lang w:eastAsia="en-US"/>
        </w:rPr>
        <w:t>, Д.Ю. З</w:t>
      </w:r>
      <w:r w:rsidRPr="008742E9">
        <w:rPr>
          <w:rFonts w:eastAsia="Calibri"/>
          <w:sz w:val="22"/>
          <w:szCs w:val="22"/>
          <w:lang w:val="en-US" w:eastAsia="en-US"/>
        </w:rPr>
        <w:t>ep</w:t>
      </w:r>
      <w:r w:rsidRPr="008742E9">
        <w:rPr>
          <w:rFonts w:eastAsia="Calibri"/>
          <w:sz w:val="22"/>
          <w:szCs w:val="22"/>
          <w:lang w:eastAsia="en-US"/>
        </w:rPr>
        <w:t>к</w:t>
      </w:r>
      <w:r w:rsidRPr="008742E9">
        <w:rPr>
          <w:rFonts w:eastAsia="Calibri"/>
          <w:sz w:val="22"/>
          <w:szCs w:val="22"/>
          <w:lang w:val="en-US" w:eastAsia="en-US"/>
        </w:rPr>
        <w:t>a</w:t>
      </w:r>
      <w:r w:rsidRPr="008742E9">
        <w:rPr>
          <w:rFonts w:eastAsia="Calibri"/>
          <w:sz w:val="22"/>
          <w:szCs w:val="22"/>
          <w:lang w:eastAsia="en-US"/>
        </w:rPr>
        <w:t>л</w:t>
      </w:r>
      <w:r w:rsidRPr="008742E9">
        <w:rPr>
          <w:rFonts w:eastAsia="Calibri"/>
          <w:sz w:val="22"/>
          <w:szCs w:val="22"/>
          <w:lang w:val="en-US" w:eastAsia="en-US"/>
        </w:rPr>
        <w:t>e</w:t>
      </w:r>
      <w:r w:rsidRPr="008742E9">
        <w:rPr>
          <w:rFonts w:eastAsia="Calibri"/>
          <w:sz w:val="22"/>
          <w:szCs w:val="22"/>
          <w:lang w:eastAsia="en-US"/>
        </w:rPr>
        <w:t>в [и д</w:t>
      </w:r>
      <w:r w:rsidRPr="008742E9">
        <w:rPr>
          <w:rFonts w:eastAsia="Calibri"/>
          <w:sz w:val="22"/>
          <w:szCs w:val="22"/>
          <w:lang w:val="en-US" w:eastAsia="en-US"/>
        </w:rPr>
        <w:t>p</w:t>
      </w:r>
      <w:r w:rsidRPr="008742E9">
        <w:rPr>
          <w:rFonts w:eastAsia="Calibri"/>
          <w:sz w:val="22"/>
          <w:szCs w:val="22"/>
          <w:lang w:eastAsia="en-US"/>
        </w:rPr>
        <w:t>.] / В</w:t>
      </w:r>
      <w:r w:rsidRPr="008742E9">
        <w:rPr>
          <w:rFonts w:eastAsia="Calibri"/>
          <w:sz w:val="22"/>
          <w:szCs w:val="22"/>
          <w:lang w:val="en-US" w:eastAsia="en-US"/>
        </w:rPr>
        <w:t>e</w:t>
      </w:r>
      <w:r w:rsidRPr="008742E9">
        <w:rPr>
          <w:rFonts w:eastAsia="Calibri"/>
          <w:sz w:val="22"/>
          <w:szCs w:val="22"/>
          <w:lang w:eastAsia="en-US"/>
        </w:rPr>
        <w:t>т</w:t>
      </w:r>
      <w:r w:rsidRPr="008742E9">
        <w:rPr>
          <w:rFonts w:eastAsia="Calibri"/>
          <w:sz w:val="22"/>
          <w:szCs w:val="22"/>
          <w:lang w:val="en-US" w:eastAsia="en-US"/>
        </w:rPr>
        <w:t>ep</w:t>
      </w:r>
      <w:r w:rsidRPr="008742E9">
        <w:rPr>
          <w:rFonts w:eastAsia="Calibri"/>
          <w:sz w:val="22"/>
          <w:szCs w:val="22"/>
          <w:lang w:eastAsia="en-US"/>
        </w:rPr>
        <w:t>ин</w:t>
      </w:r>
      <w:r w:rsidRPr="008742E9">
        <w:rPr>
          <w:rFonts w:eastAsia="Calibri"/>
          <w:sz w:val="22"/>
          <w:szCs w:val="22"/>
          <w:lang w:val="en-US" w:eastAsia="en-US"/>
        </w:rPr>
        <w:t>ap</w:t>
      </w:r>
      <w:r w:rsidRPr="008742E9">
        <w:rPr>
          <w:rFonts w:eastAsia="Calibri"/>
          <w:sz w:val="22"/>
          <w:szCs w:val="22"/>
          <w:lang w:eastAsia="en-US"/>
        </w:rPr>
        <w:t>ия Куб</w:t>
      </w:r>
      <w:r w:rsidRPr="008742E9">
        <w:rPr>
          <w:rFonts w:eastAsia="Calibri"/>
          <w:sz w:val="22"/>
          <w:szCs w:val="22"/>
          <w:lang w:val="en-US" w:eastAsia="en-US"/>
        </w:rPr>
        <w:t>a</w:t>
      </w:r>
      <w:r w:rsidRPr="008742E9">
        <w:rPr>
          <w:rFonts w:eastAsia="Calibri"/>
          <w:sz w:val="22"/>
          <w:szCs w:val="22"/>
          <w:lang w:eastAsia="en-US"/>
        </w:rPr>
        <w:t xml:space="preserve">ни, 2014 № 5. – </w:t>
      </w:r>
      <w:r w:rsidRPr="008742E9">
        <w:rPr>
          <w:rFonts w:eastAsia="Calibri"/>
          <w:sz w:val="22"/>
          <w:szCs w:val="22"/>
          <w:lang w:val="en-US" w:eastAsia="en-US"/>
        </w:rPr>
        <w:t>C</w:t>
      </w:r>
      <w:r w:rsidRPr="008742E9">
        <w:rPr>
          <w:rFonts w:eastAsia="Calibri"/>
          <w:sz w:val="22"/>
          <w:szCs w:val="22"/>
          <w:lang w:eastAsia="en-US"/>
        </w:rPr>
        <w:t>. 11-17.</w:t>
      </w:r>
    </w:p>
    <w:p w:rsidR="00EB0266" w:rsidRDefault="00EB0266" w:rsidP="00EB0266">
      <w:pPr>
        <w:rPr>
          <w:rFonts w:eastAsia="Calibri"/>
          <w:sz w:val="22"/>
          <w:szCs w:val="22"/>
          <w:lang w:eastAsia="en-US"/>
        </w:rPr>
      </w:pPr>
    </w:p>
    <w:p w:rsidR="00EB0266" w:rsidRDefault="00EB0266" w:rsidP="00EB0266">
      <w:pPr>
        <w:rPr>
          <w:rFonts w:eastAsia="Calibri"/>
          <w:sz w:val="22"/>
          <w:szCs w:val="22"/>
          <w:lang w:eastAsia="en-US"/>
        </w:rPr>
      </w:pPr>
    </w:p>
    <w:p w:rsidR="00EB0266" w:rsidRDefault="00EB0266" w:rsidP="00EB0266">
      <w:pPr>
        <w:rPr>
          <w:rFonts w:eastAsia="Calibri"/>
          <w:sz w:val="22"/>
          <w:szCs w:val="22"/>
          <w:lang w:eastAsia="en-US"/>
        </w:rPr>
      </w:pPr>
    </w:p>
    <w:p w:rsidR="008742E9" w:rsidRPr="00024398" w:rsidRDefault="008742E9" w:rsidP="00EB0266">
      <w:pPr>
        <w:rPr>
          <w:rFonts w:eastAsia="Calibri"/>
          <w:sz w:val="22"/>
          <w:szCs w:val="22"/>
          <w:lang w:val="en-US" w:eastAsia="en-US"/>
        </w:rPr>
      </w:pPr>
      <w:r w:rsidRPr="008742E9">
        <w:rPr>
          <w:rFonts w:eastAsia="Calibri"/>
          <w:sz w:val="22"/>
          <w:szCs w:val="22"/>
          <w:lang w:eastAsia="en-US"/>
        </w:rPr>
        <w:t>УДК</w:t>
      </w:r>
      <w:r w:rsidRPr="008742E9">
        <w:rPr>
          <w:rFonts w:eastAsia="Calibri"/>
          <w:sz w:val="22"/>
          <w:szCs w:val="22"/>
          <w:lang w:val="en-US" w:eastAsia="en-US"/>
        </w:rPr>
        <w:t xml:space="preserve"> 619:616.596]:636.1</w:t>
      </w:r>
    </w:p>
    <w:p w:rsidR="00EB0266" w:rsidRPr="00024398" w:rsidRDefault="00EB0266" w:rsidP="00EB0266">
      <w:pPr>
        <w:rPr>
          <w:rFonts w:eastAsia="Calibri"/>
          <w:sz w:val="22"/>
          <w:szCs w:val="22"/>
          <w:lang w:val="en-US" w:eastAsia="en-US"/>
        </w:rPr>
      </w:pPr>
    </w:p>
    <w:p w:rsidR="008742E9" w:rsidRPr="008742E9" w:rsidRDefault="008742E9" w:rsidP="00EB0266">
      <w:pPr>
        <w:jc w:val="center"/>
        <w:rPr>
          <w:rFonts w:eastAsia="Calibri"/>
          <w:b/>
          <w:sz w:val="24"/>
          <w:szCs w:val="24"/>
          <w:lang w:val="en-US" w:eastAsia="en-US"/>
        </w:rPr>
      </w:pPr>
      <w:r w:rsidRPr="008742E9">
        <w:rPr>
          <w:rFonts w:eastAsia="Calibri"/>
          <w:b/>
          <w:sz w:val="24"/>
          <w:szCs w:val="24"/>
          <w:lang w:eastAsia="en-US"/>
        </w:rPr>
        <w:t>Лечение</w:t>
      </w:r>
      <w:r w:rsidRPr="008742E9">
        <w:rPr>
          <w:rFonts w:eastAsia="Calibri"/>
          <w:b/>
          <w:sz w:val="24"/>
          <w:szCs w:val="24"/>
          <w:lang w:val="en-US" w:eastAsia="en-US"/>
        </w:rPr>
        <w:t xml:space="preserve"> </w:t>
      </w:r>
      <w:r w:rsidRPr="008742E9">
        <w:rPr>
          <w:rFonts w:eastAsia="Calibri"/>
          <w:b/>
          <w:sz w:val="24"/>
          <w:szCs w:val="24"/>
          <w:lang w:eastAsia="en-US"/>
        </w:rPr>
        <w:t>ламинита</w:t>
      </w:r>
      <w:r w:rsidRPr="008742E9">
        <w:rPr>
          <w:rFonts w:eastAsia="Calibri"/>
          <w:b/>
          <w:sz w:val="24"/>
          <w:szCs w:val="24"/>
          <w:lang w:val="en-US" w:eastAsia="en-US"/>
        </w:rPr>
        <w:t xml:space="preserve"> </w:t>
      </w:r>
      <w:r w:rsidRPr="008742E9">
        <w:rPr>
          <w:rFonts w:eastAsia="Calibri"/>
          <w:b/>
          <w:sz w:val="24"/>
          <w:szCs w:val="24"/>
          <w:lang w:eastAsia="en-US"/>
        </w:rPr>
        <w:t>у</w:t>
      </w:r>
      <w:r w:rsidRPr="008742E9">
        <w:rPr>
          <w:rFonts w:eastAsia="Calibri"/>
          <w:b/>
          <w:sz w:val="24"/>
          <w:szCs w:val="24"/>
          <w:lang w:val="en-US" w:eastAsia="en-US"/>
        </w:rPr>
        <w:t xml:space="preserve"> </w:t>
      </w:r>
      <w:r w:rsidRPr="008742E9">
        <w:rPr>
          <w:rFonts w:eastAsia="Calibri"/>
          <w:b/>
          <w:sz w:val="24"/>
          <w:szCs w:val="24"/>
          <w:lang w:eastAsia="en-US"/>
        </w:rPr>
        <w:t>лошадей</w:t>
      </w:r>
    </w:p>
    <w:p w:rsidR="008742E9" w:rsidRPr="008742E9" w:rsidRDefault="008742E9" w:rsidP="00EB0266">
      <w:pPr>
        <w:jc w:val="center"/>
        <w:rPr>
          <w:rFonts w:eastAsia="Calibri"/>
          <w:b/>
          <w:sz w:val="24"/>
          <w:szCs w:val="24"/>
          <w:lang w:val="en-US" w:eastAsia="en-US"/>
        </w:rPr>
      </w:pPr>
      <w:r w:rsidRPr="008742E9">
        <w:rPr>
          <w:rFonts w:eastAsia="Calibri"/>
          <w:b/>
          <w:sz w:val="24"/>
          <w:szCs w:val="24"/>
          <w:lang w:val="en-US" w:eastAsia="en-US"/>
        </w:rPr>
        <w:t>Treatment of laminitis in horses</w:t>
      </w:r>
    </w:p>
    <w:p w:rsidR="008742E9" w:rsidRPr="008742E9" w:rsidRDefault="008742E9" w:rsidP="00EB0266">
      <w:pPr>
        <w:jc w:val="right"/>
        <w:rPr>
          <w:rFonts w:eastAsia="Calibri"/>
          <w:b/>
          <w:sz w:val="22"/>
          <w:szCs w:val="22"/>
          <w:lang w:val="en-US" w:eastAsia="en-US"/>
        </w:rPr>
      </w:pPr>
    </w:p>
    <w:p w:rsidR="008742E9" w:rsidRPr="008742E9" w:rsidRDefault="008742E9" w:rsidP="00EB0266">
      <w:pPr>
        <w:jc w:val="right"/>
        <w:rPr>
          <w:rFonts w:eastAsia="Calibri"/>
          <w:sz w:val="22"/>
          <w:szCs w:val="22"/>
          <w:lang w:eastAsia="en-US"/>
        </w:rPr>
      </w:pPr>
      <w:r w:rsidRPr="008742E9">
        <w:rPr>
          <w:rFonts w:eastAsia="Calibri"/>
          <w:sz w:val="22"/>
          <w:szCs w:val="22"/>
          <w:lang w:eastAsia="en-US"/>
        </w:rPr>
        <w:t>Морозова А. Г.,</w:t>
      </w:r>
    </w:p>
    <w:p w:rsidR="00EB0266" w:rsidRDefault="008742E9" w:rsidP="00EB0266">
      <w:pPr>
        <w:jc w:val="right"/>
        <w:rPr>
          <w:rFonts w:eastAsia="Calibri"/>
          <w:sz w:val="22"/>
          <w:szCs w:val="22"/>
          <w:lang w:eastAsia="en-US"/>
        </w:rPr>
      </w:pPr>
      <w:r w:rsidRPr="008742E9">
        <w:rPr>
          <w:rFonts w:eastAsia="Calibri"/>
          <w:sz w:val="22"/>
          <w:szCs w:val="22"/>
          <w:lang w:eastAsia="en-US"/>
        </w:rPr>
        <w:t>студентка</w:t>
      </w:r>
      <w:r w:rsidR="00EB0266">
        <w:rPr>
          <w:rFonts w:eastAsia="Calibri"/>
          <w:sz w:val="22"/>
          <w:szCs w:val="22"/>
          <w:lang w:eastAsia="en-US"/>
        </w:rPr>
        <w:t xml:space="preserve"> 6-го курса</w:t>
      </w:r>
    </w:p>
    <w:p w:rsidR="008742E9" w:rsidRPr="008742E9" w:rsidRDefault="00EB0266" w:rsidP="00EB0266">
      <w:pPr>
        <w:jc w:val="right"/>
        <w:rPr>
          <w:rFonts w:eastAsia="Calibri"/>
          <w:sz w:val="22"/>
          <w:szCs w:val="22"/>
          <w:lang w:eastAsia="en-US"/>
        </w:rPr>
      </w:pPr>
      <w:r>
        <w:rPr>
          <w:rFonts w:eastAsia="Calibri"/>
          <w:sz w:val="22"/>
          <w:szCs w:val="22"/>
          <w:lang w:eastAsia="en-US"/>
        </w:rPr>
        <w:t xml:space="preserve"> факультета </w:t>
      </w:r>
      <w:r w:rsidR="008742E9" w:rsidRPr="008742E9">
        <w:rPr>
          <w:rFonts w:eastAsia="Calibri"/>
          <w:sz w:val="22"/>
          <w:szCs w:val="22"/>
          <w:lang w:eastAsia="en-US"/>
        </w:rPr>
        <w:t>ветеринарной медицины</w:t>
      </w:r>
    </w:p>
    <w:p w:rsidR="008742E9" w:rsidRPr="008742E9" w:rsidRDefault="008742E9" w:rsidP="00EB0266">
      <w:pPr>
        <w:jc w:val="right"/>
        <w:rPr>
          <w:rFonts w:eastAsia="Calibri"/>
          <w:sz w:val="22"/>
          <w:szCs w:val="22"/>
          <w:lang w:eastAsia="en-US"/>
        </w:rPr>
      </w:pPr>
      <w:r w:rsidRPr="008742E9">
        <w:rPr>
          <w:rFonts w:eastAsia="Calibri"/>
          <w:sz w:val="22"/>
          <w:szCs w:val="22"/>
          <w:lang w:eastAsia="en-US"/>
        </w:rPr>
        <w:t>Бурменская Г. А.,</w:t>
      </w:r>
    </w:p>
    <w:p w:rsidR="008742E9" w:rsidRPr="008742E9" w:rsidRDefault="008742E9" w:rsidP="00EB0266">
      <w:pPr>
        <w:jc w:val="right"/>
        <w:rPr>
          <w:color w:val="000000"/>
          <w:sz w:val="22"/>
          <w:szCs w:val="22"/>
          <w:lang w:eastAsia="en-US"/>
        </w:rPr>
      </w:pPr>
      <w:r w:rsidRPr="008742E9">
        <w:rPr>
          <w:color w:val="000000"/>
          <w:sz w:val="22"/>
          <w:szCs w:val="22"/>
          <w:lang w:eastAsia="en-US"/>
        </w:rPr>
        <w:t>кандидат ветеринарных наук, доцент</w:t>
      </w:r>
    </w:p>
    <w:p w:rsidR="008742E9" w:rsidRPr="008742E9" w:rsidRDefault="008742E9" w:rsidP="00EB0266">
      <w:pPr>
        <w:jc w:val="right"/>
        <w:rPr>
          <w:color w:val="000000"/>
          <w:sz w:val="22"/>
          <w:szCs w:val="22"/>
          <w:lang w:eastAsia="en-US"/>
        </w:rPr>
      </w:pPr>
      <w:r w:rsidRPr="008742E9">
        <w:rPr>
          <w:color w:val="000000"/>
          <w:sz w:val="22"/>
          <w:szCs w:val="22"/>
          <w:lang w:eastAsia="en-US"/>
        </w:rPr>
        <w:t>кафедры терапии и фармакологии</w:t>
      </w:r>
    </w:p>
    <w:p w:rsidR="008742E9" w:rsidRPr="008742E9" w:rsidRDefault="008742E9" w:rsidP="00EB0266">
      <w:pPr>
        <w:jc w:val="right"/>
        <w:rPr>
          <w:color w:val="000000"/>
          <w:sz w:val="22"/>
          <w:szCs w:val="22"/>
          <w:lang w:eastAsia="en-US"/>
        </w:rPr>
      </w:pPr>
      <w:r w:rsidRPr="008742E9">
        <w:rPr>
          <w:color w:val="000000"/>
          <w:sz w:val="22"/>
          <w:szCs w:val="22"/>
          <w:lang w:eastAsia="en-US"/>
        </w:rPr>
        <w:t>Кубанский государствен</w:t>
      </w:r>
      <w:r w:rsidR="00EB0266">
        <w:rPr>
          <w:color w:val="000000"/>
          <w:sz w:val="22"/>
          <w:szCs w:val="22"/>
          <w:lang w:eastAsia="en-US"/>
        </w:rPr>
        <w:t>ный аграрный</w:t>
      </w:r>
    </w:p>
    <w:p w:rsidR="008742E9" w:rsidRPr="008742E9" w:rsidRDefault="008742E9" w:rsidP="00EB0266">
      <w:pPr>
        <w:jc w:val="right"/>
        <w:rPr>
          <w:color w:val="000000"/>
          <w:sz w:val="22"/>
          <w:szCs w:val="22"/>
          <w:lang w:eastAsia="en-US"/>
        </w:rPr>
      </w:pPr>
      <w:r w:rsidRPr="008742E9">
        <w:rPr>
          <w:color w:val="000000"/>
          <w:sz w:val="22"/>
          <w:szCs w:val="22"/>
          <w:lang w:eastAsia="en-US"/>
        </w:rPr>
        <w:t>университет имени И. Т. Трубилина</w:t>
      </w:r>
    </w:p>
    <w:p w:rsidR="008742E9" w:rsidRPr="008742E9" w:rsidRDefault="008742E9" w:rsidP="008742E9">
      <w:pPr>
        <w:jc w:val="both"/>
        <w:rPr>
          <w:color w:val="000000"/>
          <w:sz w:val="22"/>
          <w:szCs w:val="22"/>
          <w:lang w:eastAsia="en-US"/>
        </w:rPr>
      </w:pPr>
    </w:p>
    <w:p w:rsidR="008742E9" w:rsidRPr="008742E9" w:rsidRDefault="008742E9" w:rsidP="00EB0266">
      <w:pPr>
        <w:ind w:firstLine="426"/>
        <w:jc w:val="both"/>
        <w:rPr>
          <w:rFonts w:eastAsia="Calibri"/>
          <w:sz w:val="22"/>
          <w:szCs w:val="22"/>
          <w:lang w:val="en-US" w:eastAsia="en-US"/>
        </w:rPr>
      </w:pPr>
      <w:r w:rsidRPr="008742E9">
        <w:rPr>
          <w:color w:val="000000"/>
          <w:sz w:val="22"/>
          <w:szCs w:val="22"/>
          <w:lang w:eastAsia="en-US"/>
        </w:rPr>
        <w:t xml:space="preserve">АННОТАЦИЯ: </w:t>
      </w:r>
      <w:r w:rsidRPr="008742E9">
        <w:rPr>
          <w:rFonts w:eastAsia="Calibri"/>
          <w:sz w:val="22"/>
          <w:szCs w:val="22"/>
          <w:lang w:eastAsia="en-US"/>
        </w:rPr>
        <w:t>Изучение основных этиологических факторов и клинической картины ламинита у лошадей. Оценка проводимого в хозяйстве лечения и профилактики ламинита у лошадей. Эффе</w:t>
      </w:r>
      <w:r w:rsidRPr="008742E9">
        <w:rPr>
          <w:rFonts w:eastAsia="Calibri"/>
          <w:sz w:val="22"/>
          <w:szCs w:val="22"/>
          <w:lang w:eastAsia="en-US"/>
        </w:rPr>
        <w:t>к</w:t>
      </w:r>
      <w:r w:rsidRPr="008742E9">
        <w:rPr>
          <w:rFonts w:eastAsia="Calibri"/>
          <w:sz w:val="22"/>
          <w:szCs w:val="22"/>
          <w:lang w:eastAsia="en-US"/>
        </w:rPr>
        <w:t>тивность</w:t>
      </w:r>
      <w:r w:rsidRPr="008742E9">
        <w:rPr>
          <w:rFonts w:eastAsia="Calibri"/>
          <w:sz w:val="22"/>
          <w:szCs w:val="22"/>
          <w:lang w:val="en-US" w:eastAsia="en-US"/>
        </w:rPr>
        <w:t xml:space="preserve"> </w:t>
      </w:r>
      <w:r w:rsidRPr="008742E9">
        <w:rPr>
          <w:rFonts w:eastAsia="Calibri"/>
          <w:sz w:val="22"/>
          <w:szCs w:val="22"/>
          <w:lang w:eastAsia="en-US"/>
        </w:rPr>
        <w:t>применения</w:t>
      </w:r>
      <w:r w:rsidRPr="008742E9">
        <w:rPr>
          <w:rFonts w:eastAsia="Calibri"/>
          <w:sz w:val="22"/>
          <w:szCs w:val="22"/>
          <w:lang w:val="en-US" w:eastAsia="en-US"/>
        </w:rPr>
        <w:t xml:space="preserve"> </w:t>
      </w:r>
      <w:r w:rsidRPr="008742E9">
        <w:rPr>
          <w:rFonts w:eastAsia="Calibri"/>
          <w:sz w:val="22"/>
          <w:szCs w:val="22"/>
          <w:lang w:eastAsia="en-US"/>
        </w:rPr>
        <w:t>препарата</w:t>
      </w:r>
      <w:r w:rsidRPr="008742E9">
        <w:rPr>
          <w:rFonts w:eastAsia="Calibri"/>
          <w:sz w:val="22"/>
          <w:szCs w:val="22"/>
          <w:lang w:val="en-US" w:eastAsia="en-US"/>
        </w:rPr>
        <w:t xml:space="preserve"> </w:t>
      </w:r>
      <w:r w:rsidRPr="008742E9">
        <w:rPr>
          <w:rFonts w:eastAsia="Calibri"/>
          <w:sz w:val="22"/>
          <w:szCs w:val="22"/>
          <w:lang w:eastAsia="en-US"/>
        </w:rPr>
        <w:t>кетопроф</w:t>
      </w:r>
      <w:r w:rsidRPr="008742E9">
        <w:rPr>
          <w:rFonts w:eastAsia="Calibri"/>
          <w:sz w:val="22"/>
          <w:szCs w:val="22"/>
          <w:lang w:val="en-US" w:eastAsia="en-US"/>
        </w:rPr>
        <w:t>.</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ABSTRACT: The Study of the main etiological factors and clinical picture of laminitis in horses. Evaluation the farm treatment and preve</w:t>
      </w:r>
      <w:r w:rsidRPr="008742E9">
        <w:rPr>
          <w:rFonts w:eastAsia="Calibri"/>
          <w:sz w:val="22"/>
          <w:szCs w:val="22"/>
          <w:lang w:val="en-US" w:eastAsia="en-US"/>
        </w:rPr>
        <w:t>n</w:t>
      </w:r>
      <w:r w:rsidRPr="008742E9">
        <w:rPr>
          <w:rFonts w:eastAsia="Calibri"/>
          <w:sz w:val="22"/>
          <w:szCs w:val="22"/>
          <w:lang w:val="en-US" w:eastAsia="en-US"/>
        </w:rPr>
        <w:t>tion of laminate horses. The efficacy of the drug Ketoprofen.</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lastRenderedPageBreak/>
        <w:t>КЛЮЧЕВЫЕ СЛОВА: ламинит, стрелка, область зацепа, ана</w:t>
      </w:r>
      <w:r w:rsidRPr="008742E9">
        <w:rPr>
          <w:rFonts w:eastAsia="Calibri"/>
          <w:sz w:val="22"/>
          <w:szCs w:val="22"/>
          <w:lang w:eastAsia="en-US"/>
        </w:rPr>
        <w:t>м</w:t>
      </w:r>
      <w:r w:rsidRPr="008742E9">
        <w:rPr>
          <w:rFonts w:eastAsia="Calibri"/>
          <w:sz w:val="22"/>
          <w:szCs w:val="22"/>
          <w:lang w:eastAsia="en-US"/>
        </w:rPr>
        <w:t>нестические данные, пальпация, хромота.</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KEYWORDS: laminate, arrow, the area of the circlip, anamnesis data, palpation, lameness.</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ab/>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Ламинит – это воспаление листочкового слоя основы кожи к</w:t>
      </w:r>
      <w:r w:rsidRPr="008742E9">
        <w:rPr>
          <w:rFonts w:eastAsia="Calibri"/>
          <w:sz w:val="22"/>
          <w:szCs w:val="22"/>
          <w:lang w:eastAsia="en-US"/>
        </w:rPr>
        <w:t>о</w:t>
      </w:r>
      <w:r w:rsidRPr="008742E9">
        <w:rPr>
          <w:rFonts w:eastAsia="Calibri"/>
          <w:sz w:val="22"/>
          <w:szCs w:val="22"/>
          <w:lang w:eastAsia="en-US"/>
        </w:rPr>
        <w:t>пыта. В 90 % случаев ламинит является следствием нарушений в содержании, кормлении и уходе. При ламините наблюдается боле</w:t>
      </w:r>
      <w:r w:rsidRPr="008742E9">
        <w:rPr>
          <w:rFonts w:eastAsia="Calibri"/>
          <w:sz w:val="22"/>
          <w:szCs w:val="22"/>
          <w:lang w:eastAsia="en-US"/>
        </w:rPr>
        <w:t>з</w:t>
      </w:r>
      <w:r w:rsidRPr="008742E9">
        <w:rPr>
          <w:rFonts w:eastAsia="Calibri"/>
          <w:sz w:val="22"/>
          <w:szCs w:val="22"/>
          <w:lang w:eastAsia="en-US"/>
        </w:rPr>
        <w:t>ненность в зацепной части копыта, выраженность пульсации пал</w:t>
      </w:r>
      <w:r w:rsidRPr="008742E9">
        <w:rPr>
          <w:rFonts w:eastAsia="Calibri"/>
          <w:sz w:val="22"/>
          <w:szCs w:val="22"/>
          <w:lang w:eastAsia="en-US"/>
        </w:rPr>
        <w:t>ь</w:t>
      </w:r>
      <w:r w:rsidRPr="008742E9">
        <w:rPr>
          <w:rFonts w:eastAsia="Calibri"/>
          <w:sz w:val="22"/>
          <w:szCs w:val="22"/>
          <w:lang w:eastAsia="en-US"/>
        </w:rPr>
        <w:t>цевой артерии, которая у здоровой лошади не заметна, болевая р</w:t>
      </w:r>
      <w:r w:rsidRPr="008742E9">
        <w:rPr>
          <w:rFonts w:eastAsia="Calibri"/>
          <w:sz w:val="22"/>
          <w:szCs w:val="22"/>
          <w:lang w:eastAsia="en-US"/>
        </w:rPr>
        <w:t>е</w:t>
      </w:r>
      <w:r w:rsidRPr="008742E9">
        <w:rPr>
          <w:rFonts w:eastAsia="Calibri"/>
          <w:sz w:val="22"/>
          <w:szCs w:val="22"/>
          <w:lang w:eastAsia="en-US"/>
        </w:rPr>
        <w:t>акция при нажатии на подошву спереди от стрелки, в области зац</w:t>
      </w:r>
      <w:r w:rsidRPr="008742E9">
        <w:rPr>
          <w:rFonts w:eastAsia="Calibri"/>
          <w:sz w:val="22"/>
          <w:szCs w:val="22"/>
          <w:lang w:eastAsia="en-US"/>
        </w:rPr>
        <w:t>е</w:t>
      </w:r>
      <w:r w:rsidRPr="008742E9">
        <w:rPr>
          <w:rFonts w:eastAsia="Calibri"/>
          <w:sz w:val="22"/>
          <w:szCs w:val="22"/>
          <w:lang w:eastAsia="en-US"/>
        </w:rPr>
        <w:t>па, повышение температуры копыт. Лечение при ламините рек</w:t>
      </w:r>
      <w:r w:rsidRPr="008742E9">
        <w:rPr>
          <w:rFonts w:eastAsia="Calibri"/>
          <w:sz w:val="22"/>
          <w:szCs w:val="22"/>
          <w:lang w:eastAsia="en-US"/>
        </w:rPr>
        <w:t>о</w:t>
      </w:r>
      <w:r w:rsidRPr="008742E9">
        <w:rPr>
          <w:rFonts w:eastAsia="Calibri"/>
          <w:sz w:val="22"/>
          <w:szCs w:val="22"/>
          <w:lang w:eastAsia="en-US"/>
        </w:rPr>
        <w:t>мендуется проводить своевременно и комплексно [1,2].</w:t>
      </w:r>
    </w:p>
    <w:p w:rsidR="008742E9" w:rsidRPr="008742E9" w:rsidRDefault="008742E9" w:rsidP="00EB0266">
      <w:pPr>
        <w:ind w:firstLine="426"/>
        <w:jc w:val="both"/>
        <w:rPr>
          <w:rFonts w:eastAsia="Calibri"/>
          <w:color w:val="000000"/>
          <w:sz w:val="22"/>
          <w:szCs w:val="22"/>
          <w:lang w:eastAsia="en-US"/>
        </w:rPr>
      </w:pPr>
      <w:r w:rsidRPr="008742E9">
        <w:rPr>
          <w:rFonts w:eastAsia="Calibri"/>
          <w:color w:val="000000"/>
          <w:sz w:val="22"/>
          <w:szCs w:val="22"/>
          <w:lang w:eastAsia="en-US"/>
        </w:rPr>
        <w:t>Целью нашего исследования явилось изучение комплекса ди</w:t>
      </w:r>
      <w:r w:rsidRPr="008742E9">
        <w:rPr>
          <w:rFonts w:eastAsia="Calibri"/>
          <w:color w:val="000000"/>
          <w:sz w:val="22"/>
          <w:szCs w:val="22"/>
          <w:lang w:eastAsia="en-US"/>
        </w:rPr>
        <w:t>а</w:t>
      </w:r>
      <w:r w:rsidRPr="008742E9">
        <w:rPr>
          <w:rFonts w:eastAsia="Calibri"/>
          <w:color w:val="000000"/>
          <w:sz w:val="22"/>
          <w:szCs w:val="22"/>
          <w:lang w:eastAsia="en-US"/>
        </w:rPr>
        <w:t>гностических и лечебно-профилактических мероприятий при лам</w:t>
      </w:r>
      <w:r w:rsidRPr="008742E9">
        <w:rPr>
          <w:rFonts w:eastAsia="Calibri"/>
          <w:color w:val="000000"/>
          <w:sz w:val="22"/>
          <w:szCs w:val="22"/>
          <w:lang w:eastAsia="en-US"/>
        </w:rPr>
        <w:t>и</w:t>
      </w:r>
      <w:r w:rsidRPr="008742E9">
        <w:rPr>
          <w:rFonts w:eastAsia="Calibri"/>
          <w:color w:val="000000"/>
          <w:sz w:val="22"/>
          <w:szCs w:val="22"/>
          <w:lang w:eastAsia="en-US"/>
        </w:rPr>
        <w:t>ните у лошадей в УОХ «Кубань» КубГАУ.</w:t>
      </w:r>
    </w:p>
    <w:p w:rsidR="008742E9" w:rsidRPr="008742E9" w:rsidRDefault="008742E9" w:rsidP="00EB0266">
      <w:pPr>
        <w:ind w:firstLine="426"/>
        <w:jc w:val="both"/>
        <w:rPr>
          <w:sz w:val="22"/>
          <w:szCs w:val="22"/>
          <w:lang w:eastAsia="en-US"/>
        </w:rPr>
      </w:pPr>
      <w:r w:rsidRPr="008742E9">
        <w:rPr>
          <w:sz w:val="22"/>
          <w:szCs w:val="22"/>
          <w:lang w:eastAsia="en-US"/>
        </w:rPr>
        <w:t>Клиническое исследование заключалось в сборе анамнестич</w:t>
      </w:r>
      <w:r w:rsidRPr="008742E9">
        <w:rPr>
          <w:sz w:val="22"/>
          <w:szCs w:val="22"/>
          <w:lang w:eastAsia="en-US"/>
        </w:rPr>
        <w:t>е</w:t>
      </w:r>
      <w:r w:rsidRPr="008742E9">
        <w:rPr>
          <w:sz w:val="22"/>
          <w:szCs w:val="22"/>
          <w:lang w:eastAsia="en-US"/>
        </w:rPr>
        <w:t>ских данных: порода, возраст, содержание, кормление и проведении осмотра, пальпации, перкуссии, аускультации, измерении темпер</w:t>
      </w:r>
      <w:r w:rsidRPr="008742E9">
        <w:rPr>
          <w:sz w:val="22"/>
          <w:szCs w:val="22"/>
          <w:lang w:eastAsia="en-US"/>
        </w:rPr>
        <w:t>а</w:t>
      </w:r>
      <w:r w:rsidRPr="008742E9">
        <w:rPr>
          <w:sz w:val="22"/>
          <w:szCs w:val="22"/>
          <w:lang w:eastAsia="en-US"/>
        </w:rPr>
        <w:t xml:space="preserve">туры тела, пульса, дыхания и артериального давления.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У больных животных наблюдались следующие признаки, х</w:t>
      </w:r>
      <w:r w:rsidRPr="008742E9">
        <w:rPr>
          <w:rFonts w:eastAsia="Calibri"/>
          <w:sz w:val="22"/>
          <w:szCs w:val="22"/>
          <w:lang w:eastAsia="en-US"/>
        </w:rPr>
        <w:t>а</w:t>
      </w:r>
      <w:r w:rsidRPr="008742E9">
        <w:rPr>
          <w:rFonts w:eastAsia="Calibri"/>
          <w:sz w:val="22"/>
          <w:szCs w:val="22"/>
          <w:lang w:eastAsia="en-US"/>
        </w:rPr>
        <w:t>рактерные для острой формы ламинита: угнетение общего состо</w:t>
      </w:r>
      <w:r w:rsidRPr="008742E9">
        <w:rPr>
          <w:rFonts w:eastAsia="Calibri"/>
          <w:sz w:val="22"/>
          <w:szCs w:val="22"/>
          <w:lang w:eastAsia="en-US"/>
        </w:rPr>
        <w:t>я</w:t>
      </w:r>
      <w:r w:rsidRPr="008742E9">
        <w:rPr>
          <w:rFonts w:eastAsia="Calibri"/>
          <w:sz w:val="22"/>
          <w:szCs w:val="22"/>
          <w:lang w:eastAsia="en-US"/>
        </w:rPr>
        <w:t>ния, животные беспокоится. Отчетливо выражена хромота опир</w:t>
      </w:r>
      <w:r w:rsidRPr="008742E9">
        <w:rPr>
          <w:rFonts w:eastAsia="Calibri"/>
          <w:sz w:val="22"/>
          <w:szCs w:val="22"/>
          <w:lang w:eastAsia="en-US"/>
        </w:rPr>
        <w:t>а</w:t>
      </w:r>
      <w:r w:rsidRPr="008742E9">
        <w:rPr>
          <w:rFonts w:eastAsia="Calibri"/>
          <w:sz w:val="22"/>
          <w:szCs w:val="22"/>
          <w:lang w:eastAsia="en-US"/>
        </w:rPr>
        <w:t>ющихся конечностей, болезненность, отказ от движений. При и</w:t>
      </w:r>
      <w:r w:rsidRPr="008742E9">
        <w:rPr>
          <w:rFonts w:eastAsia="Calibri"/>
          <w:sz w:val="22"/>
          <w:szCs w:val="22"/>
          <w:lang w:eastAsia="en-US"/>
        </w:rPr>
        <w:t>с</w:t>
      </w:r>
      <w:r w:rsidRPr="008742E9">
        <w:rPr>
          <w:rFonts w:eastAsia="Calibri"/>
          <w:sz w:val="22"/>
          <w:szCs w:val="22"/>
          <w:lang w:eastAsia="en-US"/>
        </w:rPr>
        <w:t>следовании дорсальной и проксимальной стенок копыт путем пал</w:t>
      </w:r>
      <w:r w:rsidRPr="008742E9">
        <w:rPr>
          <w:rFonts w:eastAsia="Calibri"/>
          <w:sz w:val="22"/>
          <w:szCs w:val="22"/>
          <w:lang w:eastAsia="en-US"/>
        </w:rPr>
        <w:t>ь</w:t>
      </w:r>
      <w:r w:rsidRPr="008742E9">
        <w:rPr>
          <w:rFonts w:eastAsia="Calibri"/>
          <w:sz w:val="22"/>
          <w:szCs w:val="22"/>
          <w:lang w:eastAsia="en-US"/>
        </w:rPr>
        <w:t>пации установлена болевая реакция при нажатии на подошву сп</w:t>
      </w:r>
      <w:r w:rsidRPr="008742E9">
        <w:rPr>
          <w:rFonts w:eastAsia="Calibri"/>
          <w:sz w:val="22"/>
          <w:szCs w:val="22"/>
          <w:lang w:eastAsia="en-US"/>
        </w:rPr>
        <w:t>е</w:t>
      </w:r>
      <w:r w:rsidRPr="008742E9">
        <w:rPr>
          <w:rFonts w:eastAsia="Calibri"/>
          <w:sz w:val="22"/>
          <w:szCs w:val="22"/>
          <w:lang w:eastAsia="en-US"/>
        </w:rPr>
        <w:t>реди от стрелки в области зацепа; повышения температуры копыт; усиленная пульсация пальцевых артерий и переполнение вен к</w:t>
      </w:r>
      <w:r w:rsidRPr="008742E9">
        <w:rPr>
          <w:rFonts w:eastAsia="Calibri"/>
          <w:sz w:val="22"/>
          <w:szCs w:val="22"/>
          <w:lang w:eastAsia="en-US"/>
        </w:rPr>
        <w:t>о</w:t>
      </w:r>
      <w:r w:rsidRPr="008742E9">
        <w:rPr>
          <w:rFonts w:eastAsia="Calibri"/>
          <w:sz w:val="22"/>
          <w:szCs w:val="22"/>
          <w:lang w:eastAsia="en-US"/>
        </w:rPr>
        <w:t>нечностей.</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После анализа кормления, условий содержания и эпизоотич</w:t>
      </w:r>
      <w:r w:rsidRPr="008742E9">
        <w:rPr>
          <w:rFonts w:eastAsia="Calibri"/>
          <w:sz w:val="22"/>
          <w:szCs w:val="22"/>
          <w:lang w:eastAsia="en-US"/>
        </w:rPr>
        <w:t>е</w:t>
      </w:r>
      <w:r w:rsidRPr="008742E9">
        <w:rPr>
          <w:rFonts w:eastAsia="Calibri"/>
          <w:sz w:val="22"/>
          <w:szCs w:val="22"/>
          <w:lang w:eastAsia="en-US"/>
        </w:rPr>
        <w:t>ского состояния хозяйства, мы отметили основные причины во</w:t>
      </w:r>
      <w:r w:rsidRPr="008742E9">
        <w:rPr>
          <w:rFonts w:eastAsia="Calibri"/>
          <w:sz w:val="22"/>
          <w:szCs w:val="22"/>
          <w:lang w:eastAsia="en-US"/>
        </w:rPr>
        <w:t>з</w:t>
      </w:r>
      <w:r w:rsidRPr="008742E9">
        <w:rPr>
          <w:rFonts w:eastAsia="Calibri"/>
          <w:sz w:val="22"/>
          <w:szCs w:val="22"/>
          <w:lang w:eastAsia="en-US"/>
        </w:rPr>
        <w:t>никновения ламинита: перекармливание овсом и чрезмерное поед</w:t>
      </w:r>
      <w:r w:rsidRPr="008742E9">
        <w:rPr>
          <w:rFonts w:eastAsia="Calibri"/>
          <w:sz w:val="22"/>
          <w:szCs w:val="22"/>
          <w:lang w:eastAsia="en-US"/>
        </w:rPr>
        <w:t>а</w:t>
      </w:r>
      <w:r w:rsidRPr="008742E9">
        <w:rPr>
          <w:rFonts w:eastAsia="Calibri"/>
          <w:sz w:val="22"/>
          <w:szCs w:val="22"/>
          <w:lang w:eastAsia="en-US"/>
        </w:rPr>
        <w:t>ние молодой травы на пастбище.</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Формирование опытной и контрольной группы животных ос</w:t>
      </w:r>
      <w:r w:rsidRPr="008742E9">
        <w:rPr>
          <w:rFonts w:eastAsia="Calibri"/>
          <w:sz w:val="22"/>
          <w:szCs w:val="22"/>
          <w:lang w:eastAsia="en-US"/>
        </w:rPr>
        <w:t>у</w:t>
      </w:r>
      <w:r w:rsidRPr="008742E9">
        <w:rPr>
          <w:rFonts w:eastAsia="Calibri"/>
          <w:sz w:val="22"/>
          <w:szCs w:val="22"/>
          <w:lang w:eastAsia="en-US"/>
        </w:rPr>
        <w:t>ществляли на основе клинического осмотра и данных физиологич</w:t>
      </w:r>
      <w:r w:rsidRPr="008742E9">
        <w:rPr>
          <w:rFonts w:eastAsia="Calibri"/>
          <w:sz w:val="22"/>
          <w:szCs w:val="22"/>
          <w:lang w:eastAsia="en-US"/>
        </w:rPr>
        <w:t>е</w:t>
      </w:r>
      <w:r w:rsidRPr="008742E9">
        <w:rPr>
          <w:rFonts w:eastAsia="Calibri"/>
          <w:sz w:val="22"/>
          <w:szCs w:val="22"/>
          <w:lang w:eastAsia="en-US"/>
        </w:rPr>
        <w:t>ского состояния животных. В сравниваемых группах подбирали пары-аналоги животных тракенинской породы возраста 3-4 года, со средней живой массой 400 кг. Всего в опыте использовалось 8 л</w:t>
      </w:r>
      <w:r w:rsidRPr="008742E9">
        <w:rPr>
          <w:rFonts w:eastAsia="Calibri"/>
          <w:sz w:val="22"/>
          <w:szCs w:val="22"/>
          <w:lang w:eastAsia="en-US"/>
        </w:rPr>
        <w:t>о</w:t>
      </w:r>
      <w:r w:rsidRPr="008742E9">
        <w:rPr>
          <w:rFonts w:eastAsia="Calibri"/>
          <w:sz w:val="22"/>
          <w:szCs w:val="22"/>
          <w:lang w:eastAsia="en-US"/>
        </w:rPr>
        <w:lastRenderedPageBreak/>
        <w:t>шадей с выраженными признаками острого ламинита, которые б</w:t>
      </w:r>
      <w:r w:rsidRPr="008742E9">
        <w:rPr>
          <w:rFonts w:eastAsia="Calibri"/>
          <w:sz w:val="22"/>
          <w:szCs w:val="22"/>
          <w:lang w:eastAsia="en-US"/>
        </w:rPr>
        <w:t>ы</w:t>
      </w:r>
      <w:r w:rsidRPr="008742E9">
        <w:rPr>
          <w:rFonts w:eastAsia="Calibri"/>
          <w:sz w:val="22"/>
          <w:szCs w:val="22"/>
          <w:lang w:eastAsia="en-US"/>
        </w:rPr>
        <w:t>ли разделены на 2 группы.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Лошадям первой и второй группы применяли традиционную для хозяйства общую схему лечения: внутривенно вводили 10 %–ный раствор кальция хлорида 300 мл. Семь дней применяли  ант</w:t>
      </w:r>
      <w:r w:rsidRPr="008742E9">
        <w:rPr>
          <w:rFonts w:eastAsia="Calibri"/>
          <w:sz w:val="22"/>
          <w:szCs w:val="22"/>
          <w:lang w:eastAsia="en-US"/>
        </w:rPr>
        <w:t>и</w:t>
      </w:r>
      <w:r w:rsidRPr="008742E9">
        <w:rPr>
          <w:rFonts w:eastAsia="Calibri"/>
          <w:sz w:val="22"/>
          <w:szCs w:val="22"/>
          <w:lang w:eastAsia="en-US"/>
        </w:rPr>
        <w:t>гистаминный препарат димедрол 2 %-ный 8-10 мл внутримышечно. Производили расчистку копыт раз в 5 дней. На конечности прим</w:t>
      </w:r>
      <w:r w:rsidRPr="008742E9">
        <w:rPr>
          <w:rFonts w:eastAsia="Calibri"/>
          <w:sz w:val="22"/>
          <w:szCs w:val="22"/>
          <w:lang w:eastAsia="en-US"/>
        </w:rPr>
        <w:t>е</w:t>
      </w:r>
      <w:r w:rsidRPr="008742E9">
        <w:rPr>
          <w:rFonts w:eastAsia="Calibri"/>
          <w:sz w:val="22"/>
          <w:szCs w:val="22"/>
          <w:lang w:eastAsia="en-US"/>
        </w:rPr>
        <w:t>няли холод в виде холодных ванн. Животным предоставляли покой на обильной подстилке. Переводили на доброкачественное сено, исключая из рациона концентрированные корма на 5-7 дней, огр</w:t>
      </w:r>
      <w:r w:rsidRPr="008742E9">
        <w:rPr>
          <w:rFonts w:eastAsia="Calibri"/>
          <w:sz w:val="22"/>
          <w:szCs w:val="22"/>
          <w:lang w:eastAsia="en-US"/>
        </w:rPr>
        <w:t>а</w:t>
      </w:r>
      <w:r w:rsidRPr="008742E9">
        <w:rPr>
          <w:rFonts w:eastAsia="Calibri"/>
          <w:sz w:val="22"/>
          <w:szCs w:val="22"/>
          <w:lang w:eastAsia="en-US"/>
        </w:rPr>
        <w:t xml:space="preserve">ничивали поение.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Лошадям первой опытной группы применяли нестероидный противовоспалительный препарат фенилбутазон в дозе 4 мл на 100 кг массы животного, внутривенно, ежедневно один раз в сутки 7 дней. Лошадям второй контрольной группы был назначен нестер</w:t>
      </w:r>
      <w:r w:rsidRPr="008742E9">
        <w:rPr>
          <w:rFonts w:eastAsia="Calibri"/>
          <w:sz w:val="22"/>
          <w:szCs w:val="22"/>
          <w:lang w:eastAsia="en-US"/>
        </w:rPr>
        <w:t>о</w:t>
      </w:r>
      <w:r w:rsidRPr="008742E9">
        <w:rPr>
          <w:rFonts w:eastAsia="Calibri"/>
          <w:sz w:val="22"/>
          <w:szCs w:val="22"/>
          <w:lang w:eastAsia="en-US"/>
        </w:rPr>
        <w:t xml:space="preserve">идный противовоспалительный препарат кетопроф в дозировке 1 мл на 45 кг массы животного (эквивалентно 2,2 мг кетопрофена на кг массы животного), внутривенно, ежедневно 1 раз в сутки 7 дней.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Клинические наблюдения за животными проводили ежедневно в течение экспериментальных исследований. Наблюдали общее с</w:t>
      </w:r>
      <w:r w:rsidRPr="008742E9">
        <w:rPr>
          <w:rFonts w:eastAsia="Calibri"/>
          <w:sz w:val="22"/>
          <w:szCs w:val="22"/>
          <w:lang w:eastAsia="en-US"/>
        </w:rPr>
        <w:t>о</w:t>
      </w:r>
      <w:r w:rsidRPr="008742E9">
        <w:rPr>
          <w:rFonts w:eastAsia="Calibri"/>
          <w:sz w:val="22"/>
          <w:szCs w:val="22"/>
          <w:lang w:eastAsia="en-US"/>
        </w:rPr>
        <w:t>стояние животных, наличие аппетита, проводили термометрию, определяли пульс и дыхание. У всех животных на момент обслед</w:t>
      </w:r>
      <w:r w:rsidRPr="008742E9">
        <w:rPr>
          <w:rFonts w:eastAsia="Calibri"/>
          <w:sz w:val="22"/>
          <w:szCs w:val="22"/>
          <w:lang w:eastAsia="en-US"/>
        </w:rPr>
        <w:t>о</w:t>
      </w:r>
      <w:r w:rsidRPr="008742E9">
        <w:rPr>
          <w:rFonts w:eastAsia="Calibri"/>
          <w:sz w:val="22"/>
          <w:szCs w:val="22"/>
          <w:lang w:eastAsia="en-US"/>
        </w:rPr>
        <w:t>ванием перед лечением вовремя и после него температура пульс и дыхание были в пределах физиологических показателей. Первые три дня состояние животных не изменялось. На четвертый день л</w:t>
      </w:r>
      <w:r w:rsidRPr="008742E9">
        <w:rPr>
          <w:rFonts w:eastAsia="Calibri"/>
          <w:sz w:val="22"/>
          <w:szCs w:val="22"/>
          <w:lang w:eastAsia="en-US"/>
        </w:rPr>
        <w:t>е</w:t>
      </w:r>
      <w:r w:rsidRPr="008742E9">
        <w:rPr>
          <w:rFonts w:eastAsia="Calibri"/>
          <w:sz w:val="22"/>
          <w:szCs w:val="22"/>
          <w:lang w:eastAsia="en-US"/>
        </w:rPr>
        <w:t>чения во второй группе у одной лошади улучшилось общее состо</w:t>
      </w:r>
      <w:r w:rsidRPr="008742E9">
        <w:rPr>
          <w:rFonts w:eastAsia="Calibri"/>
          <w:sz w:val="22"/>
          <w:szCs w:val="22"/>
          <w:lang w:eastAsia="en-US"/>
        </w:rPr>
        <w:t>я</w:t>
      </w:r>
      <w:r w:rsidRPr="008742E9">
        <w:rPr>
          <w:rFonts w:eastAsia="Calibri"/>
          <w:sz w:val="22"/>
          <w:szCs w:val="22"/>
          <w:lang w:eastAsia="en-US"/>
        </w:rPr>
        <w:t>ние, появился аппетит, наблюдали уменьшение хромоты и боле</w:t>
      </w:r>
      <w:r w:rsidRPr="008742E9">
        <w:rPr>
          <w:rFonts w:eastAsia="Calibri"/>
          <w:sz w:val="22"/>
          <w:szCs w:val="22"/>
          <w:lang w:eastAsia="en-US"/>
        </w:rPr>
        <w:t>з</w:t>
      </w:r>
      <w:r w:rsidRPr="008742E9">
        <w:rPr>
          <w:rFonts w:eastAsia="Calibri"/>
          <w:sz w:val="22"/>
          <w:szCs w:val="22"/>
          <w:lang w:eastAsia="en-US"/>
        </w:rPr>
        <w:t>ненности стенок копыт. Во второй группе у всех животных в сим</w:t>
      </w:r>
      <w:r w:rsidRPr="008742E9">
        <w:rPr>
          <w:rFonts w:eastAsia="Calibri"/>
          <w:sz w:val="22"/>
          <w:szCs w:val="22"/>
          <w:lang w:eastAsia="en-US"/>
        </w:rPr>
        <w:t>п</w:t>
      </w:r>
      <w:r w:rsidRPr="008742E9">
        <w:rPr>
          <w:rFonts w:eastAsia="Calibri"/>
          <w:sz w:val="22"/>
          <w:szCs w:val="22"/>
          <w:lang w:eastAsia="en-US"/>
        </w:rPr>
        <w:t>томатике наблюдались улучшения на 5 день лечения.   В первой группе улучшение клинических признаков у двух лошадей мы наблюдали на 6 день лечения, а выздоровление у всех животных наступило на 7 день проведения лечебных мероприятий и наблюд</w:t>
      </w:r>
      <w:r w:rsidRPr="008742E9">
        <w:rPr>
          <w:rFonts w:eastAsia="Calibri"/>
          <w:sz w:val="22"/>
          <w:szCs w:val="22"/>
          <w:lang w:eastAsia="en-US"/>
        </w:rPr>
        <w:t>а</w:t>
      </w:r>
      <w:r w:rsidRPr="008742E9">
        <w:rPr>
          <w:rFonts w:eastAsia="Calibri"/>
          <w:sz w:val="22"/>
          <w:szCs w:val="22"/>
          <w:lang w:eastAsia="en-US"/>
        </w:rPr>
        <w:t>лись следующие положительные изменения: улучшение общего с</w:t>
      </w:r>
      <w:r w:rsidRPr="008742E9">
        <w:rPr>
          <w:rFonts w:eastAsia="Calibri"/>
          <w:sz w:val="22"/>
          <w:szCs w:val="22"/>
          <w:lang w:eastAsia="en-US"/>
        </w:rPr>
        <w:t>о</w:t>
      </w:r>
      <w:r w:rsidRPr="008742E9">
        <w:rPr>
          <w:rFonts w:eastAsia="Calibri"/>
          <w:sz w:val="22"/>
          <w:szCs w:val="22"/>
          <w:lang w:eastAsia="en-US"/>
        </w:rPr>
        <w:t>стояния, повышение двигательной активности, появление аппетита, безболезненность стенок копыт при пальпации и при нажатии на подошву спереди от стрелки в области зацепа, температура копыт в пределах нормы, пальпацией пульсация пальцевых артерий не ус</w:t>
      </w:r>
      <w:r w:rsidRPr="008742E9">
        <w:rPr>
          <w:rFonts w:eastAsia="Calibri"/>
          <w:sz w:val="22"/>
          <w:szCs w:val="22"/>
          <w:lang w:eastAsia="en-US"/>
        </w:rPr>
        <w:t>и</w:t>
      </w:r>
      <w:r w:rsidRPr="008742E9">
        <w:rPr>
          <w:rFonts w:eastAsia="Calibri"/>
          <w:sz w:val="22"/>
          <w:szCs w:val="22"/>
          <w:lang w:eastAsia="en-US"/>
        </w:rPr>
        <w:t>лена.</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lastRenderedPageBreak/>
        <w:t>Клиническими испытаниями было установлено, что лечебная эффективность кетопрофена несколько выше, чем фенилбутазона. Следовательно, терапия кетапрофеном способствует более быстр</w:t>
      </w:r>
      <w:r w:rsidRPr="008742E9">
        <w:rPr>
          <w:rFonts w:eastAsia="Calibri"/>
          <w:sz w:val="22"/>
          <w:szCs w:val="22"/>
          <w:lang w:eastAsia="en-US"/>
        </w:rPr>
        <w:t>о</w:t>
      </w:r>
      <w:r w:rsidRPr="008742E9">
        <w:rPr>
          <w:rFonts w:eastAsia="Calibri"/>
          <w:sz w:val="22"/>
          <w:szCs w:val="22"/>
          <w:lang w:eastAsia="en-US"/>
        </w:rPr>
        <w:t>му восстановлению физиологического состояния животных.</w:t>
      </w:r>
    </w:p>
    <w:p w:rsidR="008742E9" w:rsidRPr="008742E9" w:rsidRDefault="008742E9" w:rsidP="00EB0266">
      <w:pPr>
        <w:ind w:firstLine="426"/>
        <w:jc w:val="center"/>
        <w:rPr>
          <w:rFonts w:eastAsia="Calibri"/>
          <w:sz w:val="22"/>
          <w:szCs w:val="22"/>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B0266">
      <w:pPr>
        <w:tabs>
          <w:tab w:val="left" w:pos="993"/>
        </w:tabs>
        <w:ind w:firstLine="426"/>
        <w:contextualSpacing/>
        <w:jc w:val="both"/>
        <w:rPr>
          <w:sz w:val="22"/>
          <w:szCs w:val="22"/>
          <w:lang w:eastAsia="en-US"/>
        </w:rPr>
      </w:pPr>
      <w:r w:rsidRPr="008742E9">
        <w:rPr>
          <w:rFonts w:eastAsia="Calibri"/>
          <w:sz w:val="22"/>
          <w:szCs w:val="22"/>
          <w:lang w:eastAsia="en-US"/>
        </w:rPr>
        <w:t>1. Дэвид, У. Р. Ламинит у лошадей / Дэвид У. Реми. – М.: Изд-во Аквариум, 2008.</w:t>
      </w:r>
      <w:r w:rsidRPr="008742E9">
        <w:rPr>
          <w:sz w:val="22"/>
          <w:szCs w:val="22"/>
          <w:lang w:eastAsia="en-US"/>
        </w:rPr>
        <w:t xml:space="preserve"> –</w:t>
      </w:r>
      <w:r w:rsidRPr="008742E9">
        <w:rPr>
          <w:rFonts w:eastAsia="Calibri"/>
          <w:sz w:val="22"/>
          <w:szCs w:val="22"/>
          <w:lang w:eastAsia="en-US"/>
        </w:rPr>
        <w:t xml:space="preserve"> 109 с.</w:t>
      </w:r>
    </w:p>
    <w:p w:rsidR="008742E9" w:rsidRPr="008742E9" w:rsidRDefault="008742E9" w:rsidP="00EB0266">
      <w:pPr>
        <w:ind w:firstLine="426"/>
        <w:jc w:val="both"/>
        <w:rPr>
          <w:sz w:val="22"/>
          <w:szCs w:val="22"/>
          <w:lang w:eastAsia="en-US"/>
        </w:rPr>
      </w:pPr>
      <w:r w:rsidRPr="008742E9">
        <w:rPr>
          <w:sz w:val="22"/>
          <w:szCs w:val="22"/>
          <w:lang w:eastAsia="en-US"/>
        </w:rPr>
        <w:t>2. Кристофер, П. Ламинит лошадей. Современные концепции / П. Кристофер: Изд-во КИРСХ, 2008. – 15 с.</w:t>
      </w:r>
    </w:p>
    <w:p w:rsidR="00384DE6" w:rsidRDefault="00384DE6" w:rsidP="00A11E96">
      <w:pPr>
        <w:rPr>
          <w:rFonts w:eastAsia="Calibri"/>
          <w:sz w:val="22"/>
          <w:szCs w:val="22"/>
          <w:lang w:eastAsia="en-US"/>
        </w:rPr>
      </w:pPr>
    </w:p>
    <w:p w:rsidR="00384DE6" w:rsidRDefault="00384DE6" w:rsidP="00A11E96">
      <w:pPr>
        <w:rPr>
          <w:rFonts w:eastAsia="Calibri"/>
          <w:sz w:val="22"/>
          <w:szCs w:val="22"/>
          <w:lang w:eastAsia="en-US"/>
        </w:rPr>
      </w:pPr>
    </w:p>
    <w:p w:rsidR="00384DE6" w:rsidRDefault="00384DE6" w:rsidP="00A11E96">
      <w:pPr>
        <w:rPr>
          <w:rFonts w:eastAsia="Calibri"/>
          <w:sz w:val="22"/>
          <w:szCs w:val="22"/>
          <w:lang w:eastAsia="en-US"/>
        </w:rPr>
      </w:pPr>
    </w:p>
    <w:p w:rsidR="00A11E96" w:rsidRDefault="008742E9" w:rsidP="00A11E96">
      <w:pPr>
        <w:rPr>
          <w:rFonts w:eastAsia="Calibri"/>
          <w:sz w:val="22"/>
          <w:szCs w:val="22"/>
          <w:lang w:eastAsia="en-US"/>
        </w:rPr>
      </w:pPr>
      <w:r w:rsidRPr="008742E9">
        <w:rPr>
          <w:rFonts w:eastAsia="Calibri"/>
          <w:sz w:val="22"/>
          <w:szCs w:val="22"/>
          <w:lang w:eastAsia="en-US"/>
        </w:rPr>
        <w:t>УДК 636.7</w:t>
      </w:r>
    </w:p>
    <w:p w:rsidR="00384DE6" w:rsidRPr="00A11E96" w:rsidRDefault="00384DE6" w:rsidP="00A11E96">
      <w:pPr>
        <w:rPr>
          <w:rFonts w:eastAsia="Calibri"/>
          <w:sz w:val="22"/>
          <w:szCs w:val="22"/>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Определение пищевой ценности мяса крупного рогатого скота, пораженного гельминтозами</w:t>
      </w:r>
    </w:p>
    <w:p w:rsidR="00EB0266" w:rsidRPr="008D33CB" w:rsidRDefault="008742E9" w:rsidP="00A11E96">
      <w:pPr>
        <w:jc w:val="center"/>
        <w:rPr>
          <w:rFonts w:eastAsia="Calibri"/>
          <w:b/>
          <w:sz w:val="24"/>
          <w:szCs w:val="24"/>
          <w:lang w:val="en-US" w:eastAsia="en-US"/>
        </w:rPr>
      </w:pPr>
      <w:r w:rsidRPr="008742E9">
        <w:rPr>
          <w:rFonts w:eastAsia="Calibri"/>
          <w:b/>
          <w:sz w:val="24"/>
          <w:szCs w:val="24"/>
          <w:lang w:val="en-US" w:eastAsia="en-US"/>
        </w:rPr>
        <w:t>Determination of nutritional value of cattle meat affected by helminthiases</w:t>
      </w:r>
    </w:p>
    <w:p w:rsidR="00384DE6" w:rsidRPr="008D33CB" w:rsidRDefault="00384DE6" w:rsidP="00A11E96">
      <w:pPr>
        <w:jc w:val="center"/>
        <w:rPr>
          <w:rFonts w:eastAsia="Calibri"/>
          <w:b/>
          <w:sz w:val="24"/>
          <w:szCs w:val="24"/>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Муратова А.</w:t>
      </w:r>
      <w:r w:rsidR="00EB0266">
        <w:rPr>
          <w:rFonts w:eastAsia="Calibri"/>
          <w:sz w:val="22"/>
          <w:szCs w:val="22"/>
          <w:lang w:eastAsia="en-US"/>
        </w:rPr>
        <w:t xml:space="preserve"> </w:t>
      </w:r>
      <w:r w:rsidRPr="008742E9">
        <w:rPr>
          <w:rFonts w:eastAsia="Calibri"/>
          <w:sz w:val="22"/>
          <w:szCs w:val="22"/>
          <w:lang w:eastAsia="en-US"/>
        </w:rPr>
        <w:t>С.,</w:t>
      </w:r>
    </w:p>
    <w:p w:rsidR="00EB0266" w:rsidRDefault="008742E9" w:rsidP="008742E9">
      <w:pPr>
        <w:jc w:val="right"/>
        <w:rPr>
          <w:rFonts w:eastAsia="Calibri"/>
          <w:sz w:val="22"/>
          <w:szCs w:val="22"/>
          <w:lang w:eastAsia="en-US"/>
        </w:rPr>
      </w:pPr>
      <w:r w:rsidRPr="008742E9">
        <w:rPr>
          <w:rFonts w:eastAsia="Calibri"/>
          <w:sz w:val="22"/>
          <w:szCs w:val="22"/>
          <w:lang w:eastAsia="en-US"/>
        </w:rPr>
        <w:t>магистрант 2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Катаева Т.</w:t>
      </w:r>
      <w:r w:rsidR="00EB0266">
        <w:rPr>
          <w:rFonts w:eastAsia="Calibri"/>
          <w:sz w:val="22"/>
          <w:szCs w:val="22"/>
          <w:lang w:eastAsia="en-US"/>
        </w:rPr>
        <w:t xml:space="preserve"> </w:t>
      </w:r>
      <w:r w:rsidRPr="008742E9">
        <w:rPr>
          <w:rFonts w:eastAsia="Calibri"/>
          <w:sz w:val="22"/>
          <w:szCs w:val="22"/>
          <w:lang w:eastAsia="en-US"/>
        </w:rPr>
        <w:t>С.,</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профессор кафедры паразитологии,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ветсанэкспертизы и зоогигиены</w:t>
      </w:r>
    </w:p>
    <w:p w:rsidR="00EB0266"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EB0266">
      <w:pPr>
        <w:jc w:val="right"/>
        <w:rPr>
          <w:rFonts w:eastAsia="Calibri"/>
          <w:sz w:val="22"/>
          <w:szCs w:val="22"/>
          <w:lang w:eastAsia="en-US"/>
        </w:rPr>
      </w:pPr>
      <w:r w:rsidRPr="008742E9">
        <w:rPr>
          <w:rFonts w:eastAsia="Calibri"/>
          <w:sz w:val="22"/>
          <w:szCs w:val="22"/>
          <w:lang w:eastAsia="en-US"/>
        </w:rPr>
        <w:t xml:space="preserve"> </w:t>
      </w:r>
      <w:r w:rsidR="00EB0266">
        <w:rPr>
          <w:rFonts w:eastAsia="Calibri"/>
          <w:sz w:val="22"/>
          <w:szCs w:val="22"/>
          <w:lang w:eastAsia="en-US"/>
        </w:rPr>
        <w:t>у</w:t>
      </w:r>
      <w:r w:rsidRPr="008742E9">
        <w:rPr>
          <w:rFonts w:eastAsia="Calibri"/>
          <w:sz w:val="22"/>
          <w:szCs w:val="22"/>
          <w:lang w:eastAsia="en-US"/>
        </w:rPr>
        <w:t>ниверситет</w:t>
      </w:r>
      <w:r w:rsidR="00EB0266">
        <w:rPr>
          <w:rFonts w:eastAsia="Calibri"/>
          <w:sz w:val="22"/>
          <w:szCs w:val="22"/>
          <w:lang w:eastAsia="en-US"/>
        </w:rPr>
        <w:t xml:space="preserve"> </w:t>
      </w:r>
      <w:r w:rsidRPr="008742E9">
        <w:rPr>
          <w:rFonts w:eastAsia="Calibri"/>
          <w:sz w:val="22"/>
          <w:szCs w:val="22"/>
          <w:lang w:eastAsia="en-US"/>
        </w:rPr>
        <w:t>имени И.Т. Трубилина</w:t>
      </w:r>
    </w:p>
    <w:p w:rsidR="008742E9" w:rsidRPr="008742E9" w:rsidRDefault="008742E9" w:rsidP="008742E9">
      <w:pPr>
        <w:rPr>
          <w:rFonts w:eastAsia="Calibri"/>
          <w:sz w:val="22"/>
          <w:szCs w:val="22"/>
          <w:lang w:eastAsia="en-US"/>
        </w:rPr>
      </w:pPr>
    </w:p>
    <w:p w:rsidR="008742E9" w:rsidRPr="008742E9" w:rsidRDefault="008742E9" w:rsidP="00EB0266">
      <w:pPr>
        <w:ind w:firstLine="426"/>
        <w:rPr>
          <w:rFonts w:eastAsia="Calibri"/>
          <w:sz w:val="22"/>
          <w:szCs w:val="22"/>
          <w:lang w:eastAsia="en-US"/>
        </w:rPr>
      </w:pPr>
      <w:r w:rsidRPr="008742E9">
        <w:rPr>
          <w:rFonts w:eastAsia="Calibri"/>
          <w:sz w:val="22"/>
          <w:szCs w:val="22"/>
          <w:lang w:eastAsia="en-US"/>
        </w:rPr>
        <w:t>АННОТАЦИЯ: Изучено изменение химического состава мяса крупного рогатого скота при гельминтозах.</w:t>
      </w:r>
    </w:p>
    <w:p w:rsidR="008742E9" w:rsidRPr="008742E9" w:rsidRDefault="008742E9" w:rsidP="00EB0266">
      <w:pPr>
        <w:ind w:firstLine="426"/>
        <w:rPr>
          <w:rFonts w:eastAsia="Calibri"/>
          <w:sz w:val="22"/>
          <w:szCs w:val="22"/>
          <w:lang w:val="en-US" w:eastAsia="en-US"/>
        </w:rPr>
      </w:pPr>
      <w:r w:rsidRPr="008742E9">
        <w:rPr>
          <w:rFonts w:eastAsia="Calibri"/>
          <w:sz w:val="22"/>
          <w:szCs w:val="22"/>
          <w:lang w:val="en-US" w:eastAsia="en-US"/>
        </w:rPr>
        <w:t>ABSTRACT: The change in the chemical composition of meat of cattle with helminthiases.</w:t>
      </w:r>
    </w:p>
    <w:p w:rsidR="008742E9" w:rsidRPr="008742E9" w:rsidRDefault="008742E9" w:rsidP="00EB0266">
      <w:pPr>
        <w:ind w:firstLine="426"/>
        <w:rPr>
          <w:rFonts w:eastAsia="Calibri"/>
          <w:sz w:val="22"/>
          <w:szCs w:val="22"/>
          <w:lang w:eastAsia="en-US"/>
        </w:rPr>
      </w:pPr>
      <w:r w:rsidRPr="008742E9">
        <w:rPr>
          <w:rFonts w:eastAsia="Calibri"/>
          <w:sz w:val="22"/>
          <w:szCs w:val="22"/>
          <w:lang w:eastAsia="en-US"/>
        </w:rPr>
        <w:t>КЛЮЧЕВЫЕ СЛОВА: пищевая ценность, химический состав, фасциолез, дикроцелиоз, калорийность.</w:t>
      </w:r>
    </w:p>
    <w:p w:rsidR="008742E9" w:rsidRPr="008742E9" w:rsidRDefault="008742E9" w:rsidP="00EB0266">
      <w:pPr>
        <w:ind w:firstLine="426"/>
        <w:rPr>
          <w:rFonts w:eastAsia="Calibri"/>
          <w:sz w:val="22"/>
          <w:szCs w:val="22"/>
          <w:lang w:val="en-US" w:eastAsia="en-US"/>
        </w:rPr>
      </w:pPr>
      <w:r w:rsidRPr="008742E9">
        <w:rPr>
          <w:rFonts w:eastAsia="Calibri"/>
          <w:sz w:val="22"/>
          <w:szCs w:val="22"/>
          <w:lang w:val="en-US" w:eastAsia="en-US"/>
        </w:rPr>
        <w:t>KEYWORDS: nutritional value, chemical composition, fascioliasis, dicrocemia, caloricity.</w:t>
      </w:r>
    </w:p>
    <w:p w:rsidR="008742E9" w:rsidRPr="008742E9" w:rsidRDefault="008742E9" w:rsidP="00EB0266">
      <w:pPr>
        <w:ind w:firstLine="426"/>
        <w:jc w:val="both"/>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Пищевая ценность мяса является одним из показателей его к</w:t>
      </w:r>
      <w:r w:rsidRPr="008742E9">
        <w:rPr>
          <w:rFonts w:eastAsia="Calibri"/>
          <w:sz w:val="22"/>
          <w:szCs w:val="22"/>
          <w:lang w:eastAsia="en-US"/>
        </w:rPr>
        <w:t>а</w:t>
      </w:r>
      <w:r w:rsidRPr="008742E9">
        <w:rPr>
          <w:rFonts w:eastAsia="Calibri"/>
          <w:sz w:val="22"/>
          <w:szCs w:val="22"/>
          <w:lang w:eastAsia="en-US"/>
        </w:rPr>
        <w:t xml:space="preserve">чества. Она напрямую зависит от химического состава и физико-химических свойств мяса.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Показатели качества мяса зависят не только от уровня кормл</w:t>
      </w:r>
      <w:r w:rsidRPr="008742E9">
        <w:rPr>
          <w:rFonts w:eastAsia="Calibri"/>
          <w:sz w:val="22"/>
          <w:szCs w:val="22"/>
          <w:lang w:eastAsia="en-US"/>
        </w:rPr>
        <w:t>е</w:t>
      </w:r>
      <w:r w:rsidRPr="008742E9">
        <w:rPr>
          <w:rFonts w:eastAsia="Calibri"/>
          <w:sz w:val="22"/>
          <w:szCs w:val="22"/>
          <w:lang w:eastAsia="en-US"/>
        </w:rPr>
        <w:t>ния, ухода и содержания животных, но и от наличия стрессовых ситуаций, возникающих вследствие воздействия на их иммунную систему различных гельминтов [4]. В результате взаимоотношений между паразитом и хозяином в организме животных возникают нарушения ферментативных процессов, снижение переваримости и усвояемости питательных веществ, сопровождающихся понижен</w:t>
      </w:r>
      <w:r w:rsidRPr="008742E9">
        <w:rPr>
          <w:rFonts w:eastAsia="Calibri"/>
          <w:sz w:val="22"/>
          <w:szCs w:val="22"/>
          <w:lang w:eastAsia="en-US"/>
        </w:rPr>
        <w:t>и</w:t>
      </w:r>
      <w:r w:rsidRPr="008742E9">
        <w:rPr>
          <w:rFonts w:eastAsia="Calibri"/>
          <w:sz w:val="22"/>
          <w:szCs w:val="22"/>
          <w:lang w:eastAsia="en-US"/>
        </w:rPr>
        <w:t>ем содержания белков, жиров, углеводов и т. д. Все это напрямую  влияет на химический состав, физико-химические показатели, а следственно и на пищевую ценность мяса и продуктов убоя [1].</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Не смотря на это степень воздействия гельминтозов  на кач</w:t>
      </w:r>
      <w:r w:rsidRPr="008742E9">
        <w:rPr>
          <w:rFonts w:eastAsia="Calibri"/>
          <w:sz w:val="22"/>
          <w:szCs w:val="22"/>
          <w:lang w:eastAsia="en-US"/>
        </w:rPr>
        <w:t>е</w:t>
      </w:r>
      <w:r w:rsidRPr="008742E9">
        <w:rPr>
          <w:rFonts w:eastAsia="Calibri"/>
          <w:sz w:val="22"/>
          <w:szCs w:val="22"/>
          <w:lang w:eastAsia="en-US"/>
        </w:rPr>
        <w:t>ство говядины все еще недостаточно изучена, поэтому этот вопрос остается актуальным. Вследствие чего, целью нашей работы яв</w:t>
      </w:r>
      <w:r w:rsidRPr="008742E9">
        <w:rPr>
          <w:rFonts w:eastAsia="Calibri"/>
          <w:sz w:val="22"/>
          <w:szCs w:val="22"/>
          <w:lang w:eastAsia="en-US"/>
        </w:rPr>
        <w:t>и</w:t>
      </w:r>
      <w:r w:rsidRPr="008742E9">
        <w:rPr>
          <w:rFonts w:eastAsia="Calibri"/>
          <w:sz w:val="22"/>
          <w:szCs w:val="22"/>
          <w:lang w:eastAsia="en-US"/>
        </w:rPr>
        <w:t>лось определение пищевой ценности мяса  при гельминтозах кру</w:t>
      </w:r>
      <w:r w:rsidRPr="008742E9">
        <w:rPr>
          <w:rFonts w:eastAsia="Calibri"/>
          <w:sz w:val="22"/>
          <w:szCs w:val="22"/>
          <w:lang w:eastAsia="en-US"/>
        </w:rPr>
        <w:t>п</w:t>
      </w:r>
      <w:r w:rsidRPr="008742E9">
        <w:rPr>
          <w:rFonts w:eastAsia="Calibri"/>
          <w:sz w:val="22"/>
          <w:szCs w:val="22"/>
          <w:lang w:eastAsia="en-US"/>
        </w:rPr>
        <w:t xml:space="preserve">ного рогатого скота.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Материалы и методы. Исследования проводили на 15 живо</w:t>
      </w:r>
      <w:r w:rsidRPr="008742E9">
        <w:rPr>
          <w:rFonts w:eastAsia="Calibri"/>
          <w:sz w:val="22"/>
          <w:szCs w:val="22"/>
          <w:lang w:eastAsia="en-US"/>
        </w:rPr>
        <w:t>т</w:t>
      </w:r>
      <w:r w:rsidRPr="008742E9">
        <w:rPr>
          <w:rFonts w:eastAsia="Calibri"/>
          <w:sz w:val="22"/>
          <w:szCs w:val="22"/>
          <w:lang w:eastAsia="en-US"/>
        </w:rPr>
        <w:t>ных, которых по результатам гельминтоовоскоии и неполного гельминтологического вскрытия по Скрябину К.И. [3] разделили на 3 подопытные группы по 5 голов в каждой. Животные первой гру</w:t>
      </w:r>
      <w:r w:rsidRPr="008742E9">
        <w:rPr>
          <w:rFonts w:eastAsia="Calibri"/>
          <w:sz w:val="22"/>
          <w:szCs w:val="22"/>
          <w:lang w:eastAsia="en-US"/>
        </w:rPr>
        <w:t>п</w:t>
      </w:r>
      <w:r w:rsidRPr="008742E9">
        <w:rPr>
          <w:rFonts w:eastAsia="Calibri"/>
          <w:sz w:val="22"/>
          <w:szCs w:val="22"/>
          <w:lang w:eastAsia="en-US"/>
        </w:rPr>
        <w:t>пы были заражены Fasciola hepatica, а второй – Dicrocoelium lanceatum. Третья группа здоровых животных служила контролем. Для исследования отбирали средние пробы из различных групп мышц: длиннейшей мышцы спины, дельтовидной, двуглавой мы</w:t>
      </w:r>
      <w:r w:rsidRPr="008742E9">
        <w:rPr>
          <w:rFonts w:eastAsia="Calibri"/>
          <w:sz w:val="22"/>
          <w:szCs w:val="22"/>
          <w:lang w:eastAsia="en-US"/>
        </w:rPr>
        <w:t>ш</w:t>
      </w:r>
      <w:r w:rsidRPr="008742E9">
        <w:rPr>
          <w:rFonts w:eastAsia="Calibri"/>
          <w:sz w:val="22"/>
          <w:szCs w:val="22"/>
          <w:lang w:eastAsia="en-US"/>
        </w:rPr>
        <w:t>цы бедра [2]. Для определения химического состава показателей мышц применяли общепринятые методики [1].</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В результате исследования  содержание влаги при гельминт</w:t>
      </w:r>
      <w:r w:rsidRPr="008742E9">
        <w:rPr>
          <w:rFonts w:eastAsia="Calibri"/>
          <w:sz w:val="22"/>
          <w:szCs w:val="22"/>
          <w:lang w:eastAsia="en-US"/>
        </w:rPr>
        <w:t>о</w:t>
      </w:r>
      <w:r w:rsidRPr="008742E9">
        <w:rPr>
          <w:rFonts w:eastAsia="Calibri"/>
          <w:sz w:val="22"/>
          <w:szCs w:val="22"/>
          <w:lang w:eastAsia="en-US"/>
        </w:rPr>
        <w:t>зах намного выше, чем у здоровых животных. При этом самый большой процент содержания влаги отмечался в группе с дикроц</w:t>
      </w:r>
      <w:r w:rsidRPr="008742E9">
        <w:rPr>
          <w:rFonts w:eastAsia="Calibri"/>
          <w:sz w:val="22"/>
          <w:szCs w:val="22"/>
          <w:lang w:eastAsia="en-US"/>
        </w:rPr>
        <w:t>е</w:t>
      </w:r>
      <w:r w:rsidRPr="008742E9">
        <w:rPr>
          <w:rFonts w:eastAsia="Calibri"/>
          <w:sz w:val="22"/>
          <w:szCs w:val="22"/>
          <w:lang w:eastAsia="en-US"/>
        </w:rPr>
        <w:t xml:space="preserve">лиозой инвазией – 78,92 %, что на 3,8 % выше, чем у животных контрольной группы.  Количество минеральных веществ в обоих опытных группах  резко снижалось в пределах  от 15,7 до 16,7 %, что значительно ниже, чем в контрольной группе животных.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Одним из основных показателей является соотношение белка и жира в мясе [4]. Из результатов наших исследований видно, что он </w:t>
      </w:r>
      <w:r w:rsidRPr="008742E9">
        <w:rPr>
          <w:rFonts w:eastAsia="Calibri"/>
          <w:sz w:val="22"/>
          <w:szCs w:val="22"/>
          <w:lang w:eastAsia="en-US"/>
        </w:rPr>
        <w:lastRenderedPageBreak/>
        <w:t>понижен во всех подопытных группах, причем наименьший показ</w:t>
      </w:r>
      <w:r w:rsidRPr="008742E9">
        <w:rPr>
          <w:rFonts w:eastAsia="Calibri"/>
          <w:sz w:val="22"/>
          <w:szCs w:val="22"/>
          <w:lang w:eastAsia="en-US"/>
        </w:rPr>
        <w:t>а</w:t>
      </w:r>
      <w:r w:rsidRPr="008742E9">
        <w:rPr>
          <w:rFonts w:eastAsia="Calibri"/>
          <w:sz w:val="22"/>
          <w:szCs w:val="22"/>
          <w:lang w:eastAsia="en-US"/>
        </w:rPr>
        <w:t xml:space="preserve">тель отмечали при дикроцелиозе.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Изменения химического состава мяса влекут за собой  знач</w:t>
      </w:r>
      <w:r w:rsidRPr="008742E9">
        <w:rPr>
          <w:rFonts w:eastAsia="Calibri"/>
          <w:sz w:val="22"/>
          <w:szCs w:val="22"/>
          <w:lang w:eastAsia="en-US"/>
        </w:rPr>
        <w:t>и</w:t>
      </w:r>
      <w:r w:rsidRPr="008742E9">
        <w:rPr>
          <w:rFonts w:eastAsia="Calibri"/>
          <w:sz w:val="22"/>
          <w:szCs w:val="22"/>
          <w:lang w:eastAsia="en-US"/>
        </w:rPr>
        <w:t>тельные изменения одного из важнейших показателей пищевой ценности мяса – калорийности. В итоге калорийность мяса больных животных на 52,5 – 66,5 кДж меньше, чем у здоровых животных. Наиболее низким был этот показатель у животных во второй опы</w:t>
      </w:r>
      <w:r w:rsidRPr="008742E9">
        <w:rPr>
          <w:rFonts w:eastAsia="Calibri"/>
          <w:sz w:val="22"/>
          <w:szCs w:val="22"/>
          <w:lang w:eastAsia="en-US"/>
        </w:rPr>
        <w:t>т</w:t>
      </w:r>
      <w:r w:rsidRPr="008742E9">
        <w:rPr>
          <w:rFonts w:eastAsia="Calibri"/>
          <w:sz w:val="22"/>
          <w:szCs w:val="22"/>
          <w:lang w:eastAsia="en-US"/>
        </w:rPr>
        <w:t>ной группе, что объясняется значительным уменьшением содерж</w:t>
      </w:r>
      <w:r w:rsidRPr="008742E9">
        <w:rPr>
          <w:rFonts w:eastAsia="Calibri"/>
          <w:sz w:val="22"/>
          <w:szCs w:val="22"/>
          <w:lang w:eastAsia="en-US"/>
        </w:rPr>
        <w:t>а</w:t>
      </w:r>
      <w:r w:rsidRPr="008742E9">
        <w:rPr>
          <w:rFonts w:eastAsia="Calibri"/>
          <w:sz w:val="22"/>
          <w:szCs w:val="22"/>
          <w:lang w:eastAsia="en-US"/>
        </w:rPr>
        <w:t xml:space="preserve">ния белка в мышцах. </w:t>
      </w:r>
    </w:p>
    <w:p w:rsidR="008742E9" w:rsidRDefault="008742E9" w:rsidP="00EB0266">
      <w:pPr>
        <w:ind w:firstLine="426"/>
        <w:jc w:val="both"/>
        <w:rPr>
          <w:rFonts w:eastAsia="Calibri"/>
          <w:sz w:val="22"/>
          <w:szCs w:val="22"/>
          <w:lang w:eastAsia="en-US"/>
        </w:rPr>
      </w:pPr>
      <w:r w:rsidRPr="008742E9">
        <w:rPr>
          <w:rFonts w:eastAsia="Calibri"/>
          <w:sz w:val="22"/>
          <w:szCs w:val="22"/>
          <w:lang w:eastAsia="en-US"/>
        </w:rPr>
        <w:t>Таким образом, можно сделать вывод о том, что заболевание животных гельминтозами влечет за собой изменения в химическом составе мяса, в частности говядины, что приводит к ухудшению качества и пищевой ценности этого продукта. Особенно снижается содержание минеральных веществ. При этом соотношение белка к жиру при гельминтозах в большей степени снижается в группе с дикроцелиозной инвазией. Нарушение белкового и жирового обм</w:t>
      </w:r>
      <w:r w:rsidRPr="008742E9">
        <w:rPr>
          <w:rFonts w:eastAsia="Calibri"/>
          <w:sz w:val="22"/>
          <w:szCs w:val="22"/>
          <w:lang w:eastAsia="en-US"/>
        </w:rPr>
        <w:t>е</w:t>
      </w:r>
      <w:r w:rsidRPr="008742E9">
        <w:rPr>
          <w:rFonts w:eastAsia="Calibri"/>
          <w:sz w:val="22"/>
          <w:szCs w:val="22"/>
          <w:lang w:eastAsia="en-US"/>
        </w:rPr>
        <w:t>нов может быть следствием интоксикацией организма животного продуктами жизнедеятельности данных гельминтов. Заражение трематодами влияет на химический состав и отражается на пищевой ценности мяса, что сопровождается снижением калорийности на 52,5–66,5 кДж.</w:t>
      </w:r>
    </w:p>
    <w:p w:rsidR="00384DE6" w:rsidRPr="008742E9" w:rsidRDefault="00384DE6" w:rsidP="00EB0266">
      <w:pPr>
        <w:ind w:firstLine="426"/>
        <w:jc w:val="both"/>
        <w:rPr>
          <w:rFonts w:eastAsia="Calibri"/>
          <w:sz w:val="22"/>
          <w:szCs w:val="22"/>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1. ГОСТ Р 55445-2013 Мясо. Говядина высококачественная. Технические условия. – Введ. 2014-07-01. – М.: Стандартинформ: Издательство стандартов, 2013. – 16с.</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2. ГОСТ Р 51447-99 Мясо и мясные продукты. Методы отбора проб. – Введ. 2001-01-01. – М.: Стандартинформ: Издательство стандартов, 2010. – 4с.</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3. Лутфулин М.Х. Ветеринарная гельминтология / М.Х. Лутф</w:t>
      </w:r>
      <w:r w:rsidRPr="008742E9">
        <w:rPr>
          <w:rFonts w:eastAsia="Calibri"/>
          <w:sz w:val="22"/>
          <w:szCs w:val="22"/>
          <w:lang w:eastAsia="en-US"/>
        </w:rPr>
        <w:t>у</w:t>
      </w:r>
      <w:r w:rsidRPr="008742E9">
        <w:rPr>
          <w:rFonts w:eastAsia="Calibri"/>
          <w:sz w:val="22"/>
          <w:szCs w:val="22"/>
          <w:lang w:eastAsia="en-US"/>
        </w:rPr>
        <w:t xml:space="preserve">лин, Д. Г. Латыпов, М. Д. Корнишина – Спб.: Изд-во «Лань», 2011. – 300с. </w:t>
      </w:r>
    </w:p>
    <w:p w:rsidR="008742E9" w:rsidRPr="008742E9" w:rsidRDefault="00EB0266" w:rsidP="00EB0266">
      <w:pPr>
        <w:ind w:firstLine="426"/>
        <w:jc w:val="both"/>
        <w:rPr>
          <w:rFonts w:eastAsia="Calibri"/>
          <w:sz w:val="22"/>
          <w:szCs w:val="22"/>
          <w:lang w:eastAsia="en-US"/>
        </w:rPr>
      </w:pPr>
      <w:r>
        <w:rPr>
          <w:rFonts w:eastAsia="Calibri"/>
          <w:sz w:val="22"/>
          <w:szCs w:val="22"/>
          <w:lang w:eastAsia="en-US"/>
        </w:rPr>
        <w:t xml:space="preserve">4. </w:t>
      </w:r>
      <w:r w:rsidR="008742E9" w:rsidRPr="008742E9">
        <w:rPr>
          <w:rFonts w:eastAsia="Calibri"/>
          <w:sz w:val="22"/>
          <w:szCs w:val="22"/>
          <w:lang w:eastAsia="en-US"/>
        </w:rPr>
        <w:t>Коснырева Л.М. Товароведение и экспертиза мяса и мясных продуктов: учебник для студ. высш. учеб. заведений / Л.М. Косн</w:t>
      </w:r>
      <w:r w:rsidR="008742E9" w:rsidRPr="008742E9">
        <w:rPr>
          <w:rFonts w:eastAsia="Calibri"/>
          <w:sz w:val="22"/>
          <w:szCs w:val="22"/>
          <w:lang w:eastAsia="en-US"/>
        </w:rPr>
        <w:t>ы</w:t>
      </w:r>
      <w:r w:rsidR="008742E9" w:rsidRPr="008742E9">
        <w:rPr>
          <w:rFonts w:eastAsia="Calibri"/>
          <w:sz w:val="22"/>
          <w:szCs w:val="22"/>
          <w:lang w:eastAsia="en-US"/>
        </w:rPr>
        <w:t>рева, В.И. Криштафович, В.М. Позняковский –– М. : Издательский центр «Акамедия», 2008. – 320с.</w:t>
      </w:r>
    </w:p>
    <w:p w:rsidR="008742E9" w:rsidRPr="008742E9" w:rsidRDefault="008742E9" w:rsidP="008742E9">
      <w:pPr>
        <w:jc w:val="both"/>
        <w:rPr>
          <w:rFonts w:eastAsia="Calibri"/>
          <w:sz w:val="22"/>
          <w:szCs w:val="22"/>
          <w:lang w:eastAsia="en-US"/>
        </w:rPr>
      </w:pPr>
    </w:p>
    <w:p w:rsidR="008742E9" w:rsidRPr="008742E9" w:rsidRDefault="008742E9" w:rsidP="008742E9">
      <w:pPr>
        <w:jc w:val="both"/>
        <w:rPr>
          <w:rFonts w:eastAsia="Calibri"/>
          <w:sz w:val="22"/>
          <w:szCs w:val="22"/>
          <w:lang w:eastAsia="en-US"/>
        </w:rPr>
      </w:pPr>
    </w:p>
    <w:p w:rsidR="008742E9" w:rsidRPr="008742E9" w:rsidRDefault="008742E9" w:rsidP="008742E9">
      <w:pPr>
        <w:spacing w:after="200"/>
        <w:contextualSpacing/>
        <w:rPr>
          <w:rFonts w:eastAsia="Calibri"/>
          <w:sz w:val="22"/>
          <w:szCs w:val="22"/>
          <w:lang w:eastAsia="en-US"/>
        </w:rPr>
      </w:pPr>
      <w:r w:rsidRPr="008742E9">
        <w:rPr>
          <w:rFonts w:eastAsia="Calibri"/>
          <w:sz w:val="22"/>
          <w:szCs w:val="22"/>
          <w:lang w:eastAsia="en-US"/>
        </w:rPr>
        <w:lastRenderedPageBreak/>
        <w:t>УДК 619.616.98:. – 085</w:t>
      </w:r>
    </w:p>
    <w:p w:rsidR="008742E9" w:rsidRPr="008742E9" w:rsidRDefault="008742E9" w:rsidP="008742E9">
      <w:pPr>
        <w:spacing w:after="200"/>
        <w:contextualSpacing/>
        <w:rPr>
          <w:rFonts w:eastAsia="Calibri"/>
          <w:sz w:val="24"/>
          <w:szCs w:val="24"/>
          <w:lang w:eastAsia="en-US"/>
        </w:rPr>
      </w:pPr>
    </w:p>
    <w:p w:rsidR="008742E9" w:rsidRPr="008742E9" w:rsidRDefault="008742E9" w:rsidP="008742E9">
      <w:pPr>
        <w:spacing w:after="200"/>
        <w:contextualSpacing/>
        <w:jc w:val="center"/>
        <w:rPr>
          <w:rFonts w:eastAsia="Calibri"/>
          <w:b/>
          <w:sz w:val="24"/>
          <w:szCs w:val="24"/>
          <w:lang w:eastAsia="en-US"/>
        </w:rPr>
      </w:pPr>
      <w:r w:rsidRPr="008742E9">
        <w:rPr>
          <w:rFonts w:eastAsia="Calibri"/>
          <w:b/>
          <w:sz w:val="24"/>
          <w:szCs w:val="24"/>
          <w:lang w:eastAsia="en-US"/>
        </w:rPr>
        <w:t xml:space="preserve">Сравнительная оценка эффективности лечения острой </w:t>
      </w:r>
    </w:p>
    <w:p w:rsidR="008742E9" w:rsidRPr="008742E9" w:rsidRDefault="008742E9" w:rsidP="008742E9">
      <w:pPr>
        <w:spacing w:after="200"/>
        <w:contextualSpacing/>
        <w:jc w:val="center"/>
        <w:rPr>
          <w:rFonts w:eastAsia="Calibri"/>
          <w:b/>
          <w:sz w:val="24"/>
          <w:szCs w:val="24"/>
          <w:lang w:eastAsia="en-US"/>
        </w:rPr>
      </w:pPr>
      <w:r w:rsidRPr="008742E9">
        <w:rPr>
          <w:rFonts w:eastAsia="Calibri"/>
          <w:b/>
          <w:sz w:val="24"/>
          <w:szCs w:val="24"/>
          <w:lang w:eastAsia="en-US"/>
        </w:rPr>
        <w:t xml:space="preserve">катаральной бронхопневмонии с применением </w:t>
      </w:r>
    </w:p>
    <w:p w:rsidR="008742E9" w:rsidRPr="008742E9" w:rsidRDefault="008742E9" w:rsidP="008742E9">
      <w:pPr>
        <w:spacing w:after="200"/>
        <w:contextualSpacing/>
        <w:jc w:val="center"/>
        <w:rPr>
          <w:rFonts w:eastAsia="Calibri"/>
          <w:b/>
          <w:sz w:val="24"/>
          <w:szCs w:val="24"/>
          <w:lang w:eastAsia="en-US"/>
        </w:rPr>
      </w:pPr>
      <w:r w:rsidRPr="008742E9">
        <w:rPr>
          <w:rFonts w:eastAsia="Calibri"/>
          <w:b/>
          <w:sz w:val="24"/>
          <w:szCs w:val="24"/>
          <w:lang w:eastAsia="en-US"/>
        </w:rPr>
        <w:t>антибактериальных препаратов</w:t>
      </w:r>
    </w:p>
    <w:p w:rsidR="008742E9" w:rsidRPr="008742E9" w:rsidRDefault="008742E9" w:rsidP="008742E9">
      <w:pPr>
        <w:spacing w:after="200"/>
        <w:contextualSpacing/>
        <w:jc w:val="center"/>
        <w:rPr>
          <w:rFonts w:eastAsia="Calibri"/>
          <w:b/>
          <w:sz w:val="24"/>
          <w:szCs w:val="24"/>
          <w:lang w:val="en-US" w:eastAsia="en-US"/>
        </w:rPr>
      </w:pPr>
      <w:r w:rsidRPr="008742E9">
        <w:rPr>
          <w:rFonts w:eastAsia="Calibri"/>
          <w:b/>
          <w:sz w:val="24"/>
          <w:szCs w:val="24"/>
          <w:lang w:val="en-US" w:eastAsia="en-US"/>
        </w:rPr>
        <w:t>Comparative assessment of the effectiveness of acute treatment</w:t>
      </w:r>
    </w:p>
    <w:p w:rsidR="008742E9" w:rsidRPr="008742E9" w:rsidRDefault="008742E9" w:rsidP="008742E9">
      <w:pPr>
        <w:spacing w:after="200"/>
        <w:contextualSpacing/>
        <w:jc w:val="center"/>
        <w:rPr>
          <w:rFonts w:eastAsia="Calibri"/>
          <w:b/>
          <w:sz w:val="24"/>
          <w:szCs w:val="24"/>
          <w:lang w:val="en-US" w:eastAsia="en-US"/>
        </w:rPr>
      </w:pPr>
      <w:r w:rsidRPr="008742E9">
        <w:rPr>
          <w:rFonts w:eastAsia="Calibri"/>
          <w:b/>
          <w:sz w:val="24"/>
          <w:szCs w:val="24"/>
          <w:lang w:val="en-US" w:eastAsia="en-US"/>
        </w:rPr>
        <w:t>catarrhal bronchopneumonia with</w:t>
      </w:r>
    </w:p>
    <w:p w:rsidR="008742E9" w:rsidRPr="008D33CB" w:rsidRDefault="008742E9" w:rsidP="00A11E96">
      <w:pPr>
        <w:spacing w:after="200"/>
        <w:contextualSpacing/>
        <w:jc w:val="center"/>
        <w:rPr>
          <w:rFonts w:eastAsia="Calibri"/>
          <w:b/>
          <w:sz w:val="24"/>
          <w:szCs w:val="24"/>
          <w:lang w:val="en-US" w:eastAsia="en-US"/>
        </w:rPr>
      </w:pPr>
      <w:proofErr w:type="gramStart"/>
      <w:r w:rsidRPr="008742E9">
        <w:rPr>
          <w:rFonts w:eastAsia="Calibri"/>
          <w:b/>
          <w:sz w:val="24"/>
          <w:szCs w:val="24"/>
          <w:lang w:val="en-US" w:eastAsia="en-US"/>
        </w:rPr>
        <w:t>antibacterial</w:t>
      </w:r>
      <w:proofErr w:type="gramEnd"/>
      <w:r w:rsidRPr="008742E9">
        <w:rPr>
          <w:rFonts w:eastAsia="Calibri"/>
          <w:b/>
          <w:sz w:val="24"/>
          <w:szCs w:val="24"/>
          <w:lang w:val="en-US" w:eastAsia="en-US"/>
        </w:rPr>
        <w:t xml:space="preserve"> drugs</w:t>
      </w:r>
    </w:p>
    <w:p w:rsidR="00384DE6" w:rsidRPr="008D33CB" w:rsidRDefault="00384DE6" w:rsidP="00A11E96">
      <w:pPr>
        <w:spacing w:after="200"/>
        <w:contextualSpacing/>
        <w:jc w:val="center"/>
        <w:rPr>
          <w:rFonts w:eastAsia="Calibri"/>
          <w:b/>
          <w:sz w:val="24"/>
          <w:szCs w:val="24"/>
          <w:lang w:val="en-US" w:eastAsia="en-US"/>
        </w:rPr>
      </w:pPr>
    </w:p>
    <w:p w:rsidR="008742E9" w:rsidRPr="008742E9" w:rsidRDefault="008742E9" w:rsidP="008742E9">
      <w:pPr>
        <w:spacing w:after="200"/>
        <w:contextualSpacing/>
        <w:jc w:val="right"/>
        <w:rPr>
          <w:rFonts w:eastAsia="Calibri"/>
          <w:sz w:val="22"/>
          <w:szCs w:val="22"/>
          <w:lang w:val="en-US" w:eastAsia="en-US"/>
        </w:rPr>
      </w:pPr>
      <w:r w:rsidRPr="008742E9">
        <w:rPr>
          <w:rFonts w:eastAsia="Calibri"/>
          <w:sz w:val="22"/>
          <w:szCs w:val="22"/>
          <w:lang w:eastAsia="en-US"/>
        </w:rPr>
        <w:t>Никкель</w:t>
      </w:r>
      <w:r w:rsidRPr="008742E9">
        <w:rPr>
          <w:rFonts w:eastAsia="Calibri"/>
          <w:sz w:val="22"/>
          <w:szCs w:val="22"/>
          <w:lang w:val="en-US" w:eastAsia="en-US"/>
        </w:rPr>
        <w:t xml:space="preserve"> </w:t>
      </w:r>
      <w:r w:rsidRPr="008742E9">
        <w:rPr>
          <w:rFonts w:eastAsia="Calibri"/>
          <w:sz w:val="22"/>
          <w:szCs w:val="22"/>
          <w:lang w:eastAsia="en-US"/>
        </w:rPr>
        <w:t>К</w:t>
      </w:r>
      <w:r w:rsidRPr="008742E9">
        <w:rPr>
          <w:rFonts w:eastAsia="Calibri"/>
          <w:sz w:val="22"/>
          <w:szCs w:val="22"/>
          <w:lang w:val="en-US" w:eastAsia="en-US"/>
        </w:rPr>
        <w:t xml:space="preserve">. </w:t>
      </w:r>
      <w:r w:rsidRPr="008742E9">
        <w:rPr>
          <w:rFonts w:eastAsia="Calibri"/>
          <w:sz w:val="22"/>
          <w:szCs w:val="22"/>
          <w:lang w:eastAsia="en-US"/>
        </w:rPr>
        <w:t>А</w:t>
      </w:r>
      <w:r w:rsidRPr="008742E9">
        <w:rPr>
          <w:rFonts w:eastAsia="Calibri"/>
          <w:sz w:val="22"/>
          <w:szCs w:val="22"/>
          <w:lang w:val="en-US" w:eastAsia="en-US"/>
        </w:rPr>
        <w:t>.,</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студентка 6-го курса заочного факультета</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Бондаренко Н. Н.,</w:t>
      </w:r>
    </w:p>
    <w:p w:rsidR="008742E9" w:rsidRPr="008742E9" w:rsidRDefault="008742E9" w:rsidP="00A11E96">
      <w:pPr>
        <w:spacing w:after="200"/>
        <w:contextualSpacing/>
        <w:jc w:val="right"/>
        <w:rPr>
          <w:rFonts w:eastAsia="Calibri"/>
          <w:sz w:val="22"/>
          <w:szCs w:val="22"/>
          <w:lang w:eastAsia="en-US"/>
        </w:rPr>
      </w:pPr>
      <w:r w:rsidRPr="008742E9">
        <w:rPr>
          <w:rFonts w:eastAsia="Calibri"/>
          <w:sz w:val="22"/>
          <w:szCs w:val="22"/>
          <w:lang w:eastAsia="en-US"/>
        </w:rPr>
        <w:t>профессор кафедры паразитологии</w:t>
      </w:r>
      <w:r w:rsidR="00A11E96">
        <w:rPr>
          <w:rFonts w:eastAsia="Calibri"/>
          <w:sz w:val="22"/>
          <w:szCs w:val="22"/>
          <w:lang w:eastAsia="en-US"/>
        </w:rPr>
        <w:t xml:space="preserve"> </w:t>
      </w:r>
      <w:r w:rsidRPr="008742E9">
        <w:rPr>
          <w:rFonts w:eastAsia="Calibri"/>
          <w:sz w:val="22"/>
          <w:szCs w:val="22"/>
          <w:lang w:eastAsia="en-US"/>
        </w:rPr>
        <w:t>ветсанэкспертизы и зоогигиены</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spacing w:after="200"/>
        <w:contextualSpacing/>
        <w:jc w:val="both"/>
        <w:rPr>
          <w:rFonts w:eastAsia="Calibri"/>
          <w:sz w:val="22"/>
          <w:szCs w:val="22"/>
          <w:lang w:eastAsia="en-US"/>
        </w:rPr>
      </w:pPr>
    </w:p>
    <w:p w:rsidR="008742E9" w:rsidRPr="008742E9" w:rsidRDefault="008742E9" w:rsidP="00EB0266">
      <w:pPr>
        <w:spacing w:after="200"/>
        <w:ind w:firstLine="426"/>
        <w:contextualSpacing/>
        <w:jc w:val="both"/>
        <w:rPr>
          <w:rFonts w:eastAsia="Calibri"/>
          <w:sz w:val="22"/>
          <w:szCs w:val="22"/>
          <w:lang w:eastAsia="en-US"/>
        </w:rPr>
      </w:pPr>
      <w:r w:rsidRPr="008742E9">
        <w:rPr>
          <w:rFonts w:eastAsia="Calibri"/>
          <w:sz w:val="22"/>
          <w:szCs w:val="22"/>
          <w:lang w:eastAsia="en-US"/>
        </w:rPr>
        <w:t>АННОТАЦИЯ: Проведена сравнительная оценка эффективн</w:t>
      </w:r>
      <w:r w:rsidRPr="008742E9">
        <w:rPr>
          <w:rFonts w:eastAsia="Calibri"/>
          <w:sz w:val="22"/>
          <w:szCs w:val="22"/>
          <w:lang w:eastAsia="en-US"/>
        </w:rPr>
        <w:t>о</w:t>
      </w:r>
      <w:r w:rsidRPr="008742E9">
        <w:rPr>
          <w:rFonts w:eastAsia="Calibri"/>
          <w:sz w:val="22"/>
          <w:szCs w:val="22"/>
          <w:lang w:eastAsia="en-US"/>
        </w:rPr>
        <w:t>сти использования антибактериальных препаратов для лечения бронхопневмонии телят. Установлено положительное влияние пр</w:t>
      </w:r>
      <w:r w:rsidRPr="008742E9">
        <w:rPr>
          <w:rFonts w:eastAsia="Calibri"/>
          <w:sz w:val="22"/>
          <w:szCs w:val="22"/>
          <w:lang w:eastAsia="en-US"/>
        </w:rPr>
        <w:t>и</w:t>
      </w:r>
      <w:r w:rsidRPr="008742E9">
        <w:rPr>
          <w:rFonts w:eastAsia="Calibri"/>
          <w:sz w:val="22"/>
          <w:szCs w:val="22"/>
          <w:lang w:eastAsia="en-US"/>
        </w:rPr>
        <w:t>менения антибактериальных препаратов на процесс выздоровления телят.</w:t>
      </w:r>
    </w:p>
    <w:p w:rsidR="008742E9" w:rsidRPr="008742E9" w:rsidRDefault="008742E9" w:rsidP="00EB0266">
      <w:pPr>
        <w:spacing w:after="200"/>
        <w:ind w:firstLine="426"/>
        <w:contextualSpacing/>
        <w:jc w:val="both"/>
        <w:rPr>
          <w:rFonts w:eastAsia="Calibri"/>
          <w:sz w:val="22"/>
          <w:szCs w:val="22"/>
          <w:lang w:val="en-US" w:eastAsia="en-US"/>
        </w:rPr>
      </w:pPr>
      <w:r w:rsidRPr="008742E9">
        <w:rPr>
          <w:rFonts w:eastAsia="Calibri"/>
          <w:sz w:val="22"/>
          <w:szCs w:val="22"/>
          <w:lang w:val="en-US" w:eastAsia="en-US"/>
        </w:rPr>
        <w:t>ABSTRACT: The comparative evaluation of the effectiveness of the use of antibacterial drugs for the treatment of bronchopneumonia in calves. The positive effect of the use of antibacterial drugs on the process of recovery of calves has been established.</w:t>
      </w:r>
    </w:p>
    <w:p w:rsidR="008742E9" w:rsidRPr="008742E9" w:rsidRDefault="008742E9" w:rsidP="00EB0266">
      <w:pPr>
        <w:spacing w:after="200"/>
        <w:ind w:firstLine="426"/>
        <w:contextualSpacing/>
        <w:jc w:val="both"/>
        <w:rPr>
          <w:rFonts w:eastAsia="Calibri"/>
          <w:sz w:val="22"/>
          <w:szCs w:val="22"/>
          <w:lang w:eastAsia="en-US"/>
        </w:rPr>
      </w:pPr>
      <w:r w:rsidRPr="008742E9">
        <w:rPr>
          <w:rFonts w:eastAsia="Calibri"/>
          <w:sz w:val="22"/>
          <w:szCs w:val="22"/>
          <w:lang w:eastAsia="en-US"/>
        </w:rPr>
        <w:t>КЛЮЧЕВЫЕ СЛОВА: бронхопневмония, антибактериальные препараты, схемы лечения, картина крови.</w:t>
      </w:r>
    </w:p>
    <w:p w:rsidR="008742E9" w:rsidRPr="008742E9" w:rsidRDefault="008742E9" w:rsidP="00EB0266">
      <w:pPr>
        <w:spacing w:after="200"/>
        <w:ind w:firstLine="426"/>
        <w:contextualSpacing/>
        <w:jc w:val="both"/>
        <w:rPr>
          <w:rFonts w:eastAsia="Calibri"/>
          <w:sz w:val="22"/>
          <w:szCs w:val="22"/>
          <w:lang w:val="en-US" w:eastAsia="en-US"/>
        </w:rPr>
      </w:pPr>
      <w:r w:rsidRPr="008742E9">
        <w:rPr>
          <w:rFonts w:eastAsia="Calibri"/>
          <w:sz w:val="22"/>
          <w:szCs w:val="22"/>
          <w:lang w:val="en-US" w:eastAsia="en-US"/>
        </w:rPr>
        <w:t>KEY WORDS: bronchopneumonia, antibacterial drugs, treatment regimens, a picture of blood.</w:t>
      </w:r>
    </w:p>
    <w:p w:rsidR="008742E9" w:rsidRPr="008742E9" w:rsidRDefault="008742E9" w:rsidP="00EB0266">
      <w:pPr>
        <w:spacing w:after="200"/>
        <w:ind w:firstLine="426"/>
        <w:contextualSpacing/>
        <w:jc w:val="both"/>
        <w:rPr>
          <w:rFonts w:eastAsia="Calibri"/>
          <w:sz w:val="22"/>
          <w:szCs w:val="22"/>
          <w:lang w:val="en-US" w:eastAsia="en-US"/>
        </w:rPr>
      </w:pPr>
    </w:p>
    <w:p w:rsidR="008742E9" w:rsidRPr="008742E9" w:rsidRDefault="008742E9" w:rsidP="00EB0266">
      <w:pPr>
        <w:ind w:firstLine="426"/>
        <w:jc w:val="both"/>
        <w:rPr>
          <w:rFonts w:eastAsia="Calibri"/>
          <w:bCs/>
          <w:sz w:val="22"/>
          <w:szCs w:val="22"/>
          <w:lang w:eastAsia="en-US"/>
        </w:rPr>
      </w:pPr>
      <w:r w:rsidRPr="008742E9">
        <w:rPr>
          <w:rFonts w:eastAsia="Calibri"/>
          <w:bCs/>
          <w:sz w:val="22"/>
          <w:szCs w:val="22"/>
          <w:lang w:eastAsia="en-US"/>
        </w:rPr>
        <w:t>Респираторные болезни крупного рогатого скота занимают приоритетную позицию и стоят на втором месте после заболеваний желудочно-кишечного тракта. Наибольшего внимания среди данной группы заболеваний заслуживает бронхопневмония - на её долю приходится до 80 % всех легочных болезней.</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 xml:space="preserve">Основными средствами лечения бронхопневмонии остаются антибиотики, при этом эффект действия таких антибиотиков как </w:t>
      </w:r>
      <w:r w:rsidRPr="008742E9">
        <w:rPr>
          <w:rFonts w:eastAsia="Calibri"/>
          <w:bCs/>
          <w:sz w:val="22"/>
          <w:szCs w:val="22"/>
          <w:lang w:eastAsia="en-US"/>
        </w:rPr>
        <w:lastRenderedPageBreak/>
        <w:t>пенициллинов, аминогликозидов и тетрациклинов в последние годы заметно снизился. Поэтому изыскание новых, более эффективных средств лечения и профилактики бронхопневмонии молодняка я</w:t>
      </w:r>
      <w:r w:rsidRPr="008742E9">
        <w:rPr>
          <w:rFonts w:eastAsia="Calibri"/>
          <w:bCs/>
          <w:sz w:val="22"/>
          <w:szCs w:val="22"/>
          <w:lang w:eastAsia="en-US"/>
        </w:rPr>
        <w:t>в</w:t>
      </w:r>
      <w:r w:rsidRPr="008742E9">
        <w:rPr>
          <w:rFonts w:eastAsia="Calibri"/>
          <w:bCs/>
          <w:sz w:val="22"/>
          <w:szCs w:val="22"/>
          <w:lang w:eastAsia="en-US"/>
        </w:rPr>
        <w:t>ляется актуальным вопросом для ветеринарных врачей и на сег</w:t>
      </w:r>
      <w:r w:rsidRPr="008742E9">
        <w:rPr>
          <w:rFonts w:eastAsia="Calibri"/>
          <w:bCs/>
          <w:sz w:val="22"/>
          <w:szCs w:val="22"/>
          <w:lang w:eastAsia="en-US"/>
        </w:rPr>
        <w:t>о</w:t>
      </w:r>
      <w:r w:rsidRPr="008742E9">
        <w:rPr>
          <w:rFonts w:eastAsia="Calibri"/>
          <w:bCs/>
          <w:sz w:val="22"/>
          <w:szCs w:val="22"/>
          <w:lang w:eastAsia="en-US"/>
        </w:rPr>
        <w:t xml:space="preserve">дняшний день [1, 2, 3]. </w:t>
      </w:r>
    </w:p>
    <w:p w:rsidR="008742E9" w:rsidRPr="008742E9" w:rsidRDefault="008742E9" w:rsidP="00EB0266">
      <w:pPr>
        <w:ind w:firstLine="426"/>
        <w:jc w:val="both"/>
        <w:rPr>
          <w:rFonts w:eastAsia="Calibri"/>
          <w:bCs/>
          <w:sz w:val="22"/>
          <w:szCs w:val="22"/>
          <w:lang w:eastAsia="en-US"/>
        </w:rPr>
      </w:pPr>
      <w:r w:rsidRPr="008742E9">
        <w:rPr>
          <w:rFonts w:eastAsia="Calibri"/>
          <w:bCs/>
          <w:sz w:val="22"/>
          <w:szCs w:val="22"/>
          <w:lang w:eastAsia="en-US"/>
        </w:rPr>
        <w:t>Целью работы являлось проведение оценки эффективности применения антибактериальных препаратов гентаприм и байтрил для лечения бронхопневмонии телят.</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color w:val="000000"/>
          <w:sz w:val="22"/>
          <w:szCs w:val="22"/>
        </w:rPr>
        <w:t>Объектом клинических и лабораторных исследований являлись телята красно-пестрой породы.</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По методу пар-аналогов было сформированы 2 группы телят по 10 животных с диагнозом острая катаральная бронхопневмония.</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Телятам контрольной группы в течение 7 дней внутримышечно вводили препарат генпатрим в дозе 1 мл на 10 кг массы тела.</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Животным контрольной группы вводили подкожно при доз</w:t>
      </w:r>
      <w:r w:rsidRPr="008742E9">
        <w:rPr>
          <w:rFonts w:eastAsia="Calibri"/>
          <w:sz w:val="22"/>
          <w:szCs w:val="22"/>
          <w:lang w:eastAsia="en-US"/>
        </w:rPr>
        <w:t>и</w:t>
      </w:r>
      <w:r w:rsidRPr="008742E9">
        <w:rPr>
          <w:rFonts w:eastAsia="Calibri"/>
          <w:sz w:val="22"/>
          <w:szCs w:val="22"/>
          <w:lang w:eastAsia="en-US"/>
        </w:rPr>
        <w:t>ровке 1 мл на 20 кг веса животного 5 % - ый раствор байтрила ку</w:t>
      </w:r>
      <w:r w:rsidRPr="008742E9">
        <w:rPr>
          <w:rFonts w:eastAsia="Calibri"/>
          <w:sz w:val="22"/>
          <w:szCs w:val="22"/>
          <w:lang w:eastAsia="en-US"/>
        </w:rPr>
        <w:t>р</w:t>
      </w:r>
      <w:r w:rsidRPr="008742E9">
        <w:rPr>
          <w:rFonts w:eastAsia="Calibri"/>
          <w:sz w:val="22"/>
          <w:szCs w:val="22"/>
          <w:lang w:eastAsia="en-US"/>
        </w:rPr>
        <w:t>сом лечения 5 дней.</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sz w:val="22"/>
          <w:szCs w:val="22"/>
          <w:lang w:eastAsia="en-US"/>
        </w:rPr>
        <w:t>При применении опытной и контрольной схем лечения была отмечена более положительная динамика в течении выздоровления в опытной группе: уже на пятый день отмечали значительное п</w:t>
      </w:r>
      <w:r w:rsidRPr="008742E9">
        <w:rPr>
          <w:rFonts w:eastAsia="Calibri"/>
          <w:sz w:val="22"/>
          <w:szCs w:val="22"/>
          <w:lang w:eastAsia="en-US"/>
        </w:rPr>
        <w:t>о</w:t>
      </w:r>
      <w:r w:rsidRPr="008742E9">
        <w:rPr>
          <w:rFonts w:eastAsia="Calibri"/>
          <w:sz w:val="22"/>
          <w:szCs w:val="22"/>
          <w:lang w:eastAsia="en-US"/>
        </w:rPr>
        <w:t>вышение активности и улучшение аппетита животных, к седьмому - восьмому дню лечения общее состояние животных возвращалось к таковому до болезни и из клинических признаков у некоторых р</w:t>
      </w:r>
      <w:r w:rsidRPr="008742E9">
        <w:rPr>
          <w:rFonts w:eastAsia="Calibri"/>
          <w:sz w:val="22"/>
          <w:szCs w:val="22"/>
          <w:lang w:eastAsia="en-US"/>
        </w:rPr>
        <w:t>е</w:t>
      </w:r>
      <w:r w:rsidRPr="008742E9">
        <w:rPr>
          <w:rFonts w:eastAsia="Calibri"/>
          <w:sz w:val="22"/>
          <w:szCs w:val="22"/>
          <w:lang w:eastAsia="en-US"/>
        </w:rPr>
        <w:t>гистрировали только слабые хрипы. В контрольной группе улучш</w:t>
      </w:r>
      <w:r w:rsidRPr="008742E9">
        <w:rPr>
          <w:rFonts w:eastAsia="Calibri"/>
          <w:sz w:val="22"/>
          <w:szCs w:val="22"/>
          <w:lang w:eastAsia="en-US"/>
        </w:rPr>
        <w:t>е</w:t>
      </w:r>
      <w:r w:rsidRPr="008742E9">
        <w:rPr>
          <w:rFonts w:eastAsia="Calibri"/>
          <w:sz w:val="22"/>
          <w:szCs w:val="22"/>
          <w:lang w:eastAsia="en-US"/>
        </w:rPr>
        <w:t>ний могло не наблюдаться до семи - восьми дней, полное выздоро</w:t>
      </w:r>
      <w:r w:rsidRPr="008742E9">
        <w:rPr>
          <w:rFonts w:eastAsia="Calibri"/>
          <w:sz w:val="22"/>
          <w:szCs w:val="22"/>
          <w:lang w:eastAsia="en-US"/>
        </w:rPr>
        <w:t>в</w:t>
      </w:r>
      <w:r w:rsidRPr="008742E9">
        <w:rPr>
          <w:rFonts w:eastAsia="Calibri"/>
          <w:sz w:val="22"/>
          <w:szCs w:val="22"/>
          <w:lang w:eastAsia="en-US"/>
        </w:rPr>
        <w:t>ление длилось до двенадцати дней.</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sz w:val="22"/>
          <w:szCs w:val="22"/>
          <w:lang w:eastAsia="en-US"/>
        </w:rPr>
        <w:t>При проведении опыта обращали внимание на сохранность м</w:t>
      </w:r>
      <w:r w:rsidRPr="008742E9">
        <w:rPr>
          <w:rFonts w:eastAsia="Calibri"/>
          <w:sz w:val="22"/>
          <w:szCs w:val="22"/>
          <w:lang w:eastAsia="en-US"/>
        </w:rPr>
        <w:t>о</w:t>
      </w:r>
      <w:r w:rsidRPr="008742E9">
        <w:rPr>
          <w:rFonts w:eastAsia="Calibri"/>
          <w:sz w:val="22"/>
          <w:szCs w:val="22"/>
          <w:lang w:eastAsia="en-US"/>
        </w:rPr>
        <w:t>лодняка животных. Выявлено, что у 20 животных, участвовавших в эксперименте, удалось достигнуть полного выздоровления, хотя в разный временной период. Таким образом, сохранность поголовья, как в опытной, так и в контрольной группе составила 100 %.</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В процессе нашего опыта было проведено двукратное гемат</w:t>
      </w:r>
      <w:r w:rsidRPr="008742E9">
        <w:rPr>
          <w:rFonts w:eastAsia="Calibri"/>
          <w:sz w:val="22"/>
          <w:szCs w:val="22"/>
          <w:lang w:eastAsia="en-US"/>
        </w:rPr>
        <w:t>о</w:t>
      </w:r>
      <w:r w:rsidRPr="008742E9">
        <w:rPr>
          <w:rFonts w:eastAsia="Calibri"/>
          <w:sz w:val="22"/>
          <w:szCs w:val="22"/>
          <w:lang w:eastAsia="en-US"/>
        </w:rPr>
        <w:t>логическое исследование телят.</w:t>
      </w:r>
    </w:p>
    <w:p w:rsidR="008742E9" w:rsidRPr="008742E9" w:rsidRDefault="008742E9" w:rsidP="00EB0266">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По результатам общего анализа крови у телят с диагнозом ос</w:t>
      </w:r>
      <w:r w:rsidRPr="008742E9">
        <w:rPr>
          <w:rFonts w:eastAsia="Calibri"/>
          <w:sz w:val="22"/>
          <w:szCs w:val="22"/>
          <w:lang w:eastAsia="en-US"/>
        </w:rPr>
        <w:t>т</w:t>
      </w:r>
      <w:r w:rsidRPr="008742E9">
        <w:rPr>
          <w:rFonts w:eastAsia="Calibri"/>
          <w:sz w:val="22"/>
          <w:szCs w:val="22"/>
          <w:lang w:eastAsia="en-US"/>
        </w:rPr>
        <w:t>рая катаральная пневмония до начала лечения выявлялся ряд мо</w:t>
      </w:r>
      <w:r w:rsidRPr="008742E9">
        <w:rPr>
          <w:rFonts w:eastAsia="Calibri"/>
          <w:sz w:val="22"/>
          <w:szCs w:val="22"/>
          <w:lang w:eastAsia="en-US"/>
        </w:rPr>
        <w:t>р</w:t>
      </w:r>
      <w:r w:rsidRPr="008742E9">
        <w:rPr>
          <w:rFonts w:eastAsia="Calibri"/>
          <w:sz w:val="22"/>
          <w:szCs w:val="22"/>
          <w:lang w:eastAsia="en-US"/>
        </w:rPr>
        <w:t>фологических отклонений в показателях красной крови.</w:t>
      </w:r>
    </w:p>
    <w:p w:rsidR="008742E9" w:rsidRPr="008742E9" w:rsidRDefault="008742E9" w:rsidP="00EB0266">
      <w:pPr>
        <w:autoSpaceDE w:val="0"/>
        <w:autoSpaceDN w:val="0"/>
        <w:adjustRightInd w:val="0"/>
        <w:ind w:firstLine="426"/>
        <w:jc w:val="both"/>
        <w:rPr>
          <w:rFonts w:eastAsia="Calibri"/>
          <w:color w:val="000000"/>
          <w:sz w:val="22"/>
          <w:szCs w:val="22"/>
        </w:rPr>
      </w:pPr>
      <w:r w:rsidRPr="008742E9">
        <w:rPr>
          <w:rFonts w:eastAsia="Calibri"/>
          <w:sz w:val="22"/>
          <w:szCs w:val="22"/>
          <w:lang w:eastAsia="en-US"/>
        </w:rPr>
        <w:t>До начала лечения у всех животных был зарегистрирован ле</w:t>
      </w:r>
      <w:r w:rsidRPr="008742E9">
        <w:rPr>
          <w:rFonts w:eastAsia="Calibri"/>
          <w:sz w:val="22"/>
          <w:szCs w:val="22"/>
          <w:lang w:eastAsia="en-US"/>
        </w:rPr>
        <w:t>й</w:t>
      </w:r>
      <w:r w:rsidRPr="008742E9">
        <w:rPr>
          <w:rFonts w:eastAsia="Calibri"/>
          <w:sz w:val="22"/>
          <w:szCs w:val="22"/>
          <w:lang w:eastAsia="en-US"/>
        </w:rPr>
        <w:t>коцитоз. П</w:t>
      </w:r>
      <w:r w:rsidRPr="008742E9">
        <w:rPr>
          <w:rFonts w:eastAsia="Calibri"/>
          <w:color w:val="000000"/>
          <w:sz w:val="22"/>
          <w:szCs w:val="22"/>
        </w:rPr>
        <w:t xml:space="preserve">ричинами увеличения количества лейкоцитов могут быть </w:t>
      </w:r>
      <w:r w:rsidRPr="008742E9">
        <w:rPr>
          <w:rFonts w:eastAsia="Calibri"/>
          <w:color w:val="000000"/>
          <w:sz w:val="22"/>
          <w:szCs w:val="22"/>
        </w:rPr>
        <w:lastRenderedPageBreak/>
        <w:t>как патологическое так и физиологическое состояние, в данном случае, на наш взгляд, главный фактор – это воспалительный пр</w:t>
      </w:r>
      <w:r w:rsidRPr="008742E9">
        <w:rPr>
          <w:rFonts w:eastAsia="Calibri"/>
          <w:color w:val="000000"/>
          <w:sz w:val="22"/>
          <w:szCs w:val="22"/>
        </w:rPr>
        <w:t>о</w:t>
      </w:r>
      <w:r w:rsidRPr="008742E9">
        <w:rPr>
          <w:rFonts w:eastAsia="Calibri"/>
          <w:color w:val="000000"/>
          <w:sz w:val="22"/>
          <w:szCs w:val="22"/>
        </w:rPr>
        <w:t>цесс, сопровождающий острую катаральную пневмонию.</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При повторном исследовании крови через 10 дней после начала назначенного лечения полный возврат количественного состава лейкоцитов к нормальным значениям зарегистрирован и в опытной и в контрольной группах животных.</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 xml:space="preserve">Все </w:t>
      </w:r>
      <w:r w:rsidRPr="008742E9">
        <w:rPr>
          <w:rFonts w:eastAsia="Calibri"/>
          <w:bCs/>
          <w:spacing w:val="-20"/>
          <w:sz w:val="22"/>
          <w:szCs w:val="22"/>
          <w:lang w:eastAsia="en-US"/>
        </w:rPr>
        <w:t>вышеизложенное</w:t>
      </w:r>
      <w:r w:rsidRPr="008742E9">
        <w:rPr>
          <w:rFonts w:eastAsia="Calibri"/>
          <w:bCs/>
          <w:sz w:val="22"/>
          <w:szCs w:val="22"/>
          <w:lang w:eastAsia="en-US"/>
        </w:rPr>
        <w:t xml:space="preserve"> позволяет нам сделать следующие выводы:</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1. В опытной группе лечения острой бронхопневмонии с и</w:t>
      </w:r>
      <w:r w:rsidRPr="008742E9">
        <w:rPr>
          <w:rFonts w:eastAsia="Calibri"/>
          <w:bCs/>
          <w:sz w:val="22"/>
          <w:szCs w:val="22"/>
          <w:lang w:eastAsia="en-US"/>
        </w:rPr>
        <w:t>с</w:t>
      </w:r>
      <w:r w:rsidRPr="008742E9">
        <w:rPr>
          <w:rFonts w:eastAsia="Calibri"/>
          <w:bCs/>
          <w:sz w:val="22"/>
          <w:szCs w:val="22"/>
          <w:lang w:eastAsia="en-US"/>
        </w:rPr>
        <w:t>пользованием антибиотика группы фторхинолонов байтрила знач</w:t>
      </w:r>
      <w:r w:rsidRPr="008742E9">
        <w:rPr>
          <w:rFonts w:eastAsia="Calibri"/>
          <w:bCs/>
          <w:sz w:val="22"/>
          <w:szCs w:val="22"/>
          <w:lang w:eastAsia="en-US"/>
        </w:rPr>
        <w:t>и</w:t>
      </w:r>
      <w:r w:rsidRPr="008742E9">
        <w:rPr>
          <w:rFonts w:eastAsia="Calibri"/>
          <w:bCs/>
          <w:sz w:val="22"/>
          <w:szCs w:val="22"/>
          <w:lang w:eastAsia="en-US"/>
        </w:rPr>
        <w:t>тельное повышение активности и улучшение аппетита животных отмечали на пятый день лечения, тогда как в контрольной группе с использованием антибиотика аминогликозидной группы гентапр</w:t>
      </w:r>
      <w:r w:rsidRPr="008742E9">
        <w:rPr>
          <w:rFonts w:eastAsia="Calibri"/>
          <w:bCs/>
          <w:sz w:val="22"/>
          <w:szCs w:val="22"/>
          <w:lang w:eastAsia="en-US"/>
        </w:rPr>
        <w:t>и</w:t>
      </w:r>
      <w:r w:rsidRPr="008742E9">
        <w:rPr>
          <w:rFonts w:eastAsia="Calibri"/>
          <w:bCs/>
          <w:sz w:val="22"/>
          <w:szCs w:val="22"/>
          <w:lang w:eastAsia="en-US"/>
        </w:rPr>
        <w:t>ма, только к седьмому дню. Полное исчезновение симптомов б</w:t>
      </w:r>
      <w:r w:rsidRPr="008742E9">
        <w:rPr>
          <w:rFonts w:eastAsia="Calibri"/>
          <w:bCs/>
          <w:sz w:val="22"/>
          <w:szCs w:val="22"/>
          <w:lang w:eastAsia="en-US"/>
        </w:rPr>
        <w:t>о</w:t>
      </w:r>
      <w:r w:rsidRPr="008742E9">
        <w:rPr>
          <w:rFonts w:eastAsia="Calibri"/>
          <w:bCs/>
          <w:sz w:val="22"/>
          <w:szCs w:val="22"/>
          <w:lang w:eastAsia="en-US"/>
        </w:rPr>
        <w:t>лезни в опытной группе наблюдалось на четыре дня раньше, чем в контрольной.</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2. Восстановление показателей крови в физиологические рамки происходит в опытной и контрольной группах в течении 10 дней.</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3. Стоимость лечения одного животного в опытной группе с</w:t>
      </w:r>
      <w:r w:rsidRPr="008742E9">
        <w:rPr>
          <w:rFonts w:eastAsia="Calibri"/>
          <w:bCs/>
          <w:sz w:val="22"/>
          <w:szCs w:val="22"/>
          <w:lang w:eastAsia="en-US"/>
        </w:rPr>
        <w:t>о</w:t>
      </w:r>
      <w:r w:rsidRPr="008742E9">
        <w:rPr>
          <w:rFonts w:eastAsia="Calibri"/>
          <w:bCs/>
          <w:sz w:val="22"/>
          <w:szCs w:val="22"/>
          <w:lang w:eastAsia="en-US"/>
        </w:rPr>
        <w:t>ставляет 536,82 руб., что на 154,88 руб. меньше чем в контрольной группе. Ущерб от недополучения приростов заболевших телят и экономическая эффективность на рубль затрат в контрольной гру</w:t>
      </w:r>
      <w:r w:rsidRPr="008742E9">
        <w:rPr>
          <w:rFonts w:eastAsia="Calibri"/>
          <w:bCs/>
          <w:sz w:val="22"/>
          <w:szCs w:val="22"/>
          <w:lang w:eastAsia="en-US"/>
        </w:rPr>
        <w:t>п</w:t>
      </w:r>
      <w:r w:rsidRPr="008742E9">
        <w:rPr>
          <w:rFonts w:eastAsia="Calibri"/>
          <w:bCs/>
          <w:sz w:val="22"/>
          <w:szCs w:val="22"/>
          <w:lang w:eastAsia="en-US"/>
        </w:rPr>
        <w:t xml:space="preserve">пе выше на 38 % чем в опыте. </w:t>
      </w:r>
    </w:p>
    <w:p w:rsidR="008742E9" w:rsidRPr="008742E9" w:rsidRDefault="008742E9" w:rsidP="00EB0266">
      <w:pPr>
        <w:autoSpaceDE w:val="0"/>
        <w:autoSpaceDN w:val="0"/>
        <w:adjustRightInd w:val="0"/>
        <w:ind w:firstLine="426"/>
        <w:jc w:val="both"/>
        <w:rPr>
          <w:rFonts w:eastAsia="Calibri"/>
          <w:bCs/>
          <w:sz w:val="22"/>
          <w:szCs w:val="22"/>
          <w:lang w:eastAsia="en-US"/>
        </w:rPr>
      </w:pPr>
      <w:r w:rsidRPr="008742E9">
        <w:rPr>
          <w:rFonts w:eastAsia="Calibri"/>
          <w:bCs/>
          <w:sz w:val="22"/>
          <w:szCs w:val="22"/>
          <w:lang w:eastAsia="en-US"/>
        </w:rPr>
        <w:t>Полученные результаты позволяют рекомендовать для лечения острой катаральной бронхопневмонии телят использовать ко</w:t>
      </w:r>
      <w:r w:rsidRPr="008742E9">
        <w:rPr>
          <w:rFonts w:eastAsia="Calibri"/>
          <w:bCs/>
          <w:sz w:val="22"/>
          <w:szCs w:val="22"/>
          <w:lang w:eastAsia="en-US"/>
        </w:rPr>
        <w:t>м</w:t>
      </w:r>
      <w:r w:rsidRPr="008742E9">
        <w:rPr>
          <w:rFonts w:eastAsia="Calibri"/>
          <w:bCs/>
          <w:sz w:val="22"/>
          <w:szCs w:val="22"/>
          <w:lang w:eastAsia="en-US"/>
        </w:rPr>
        <w:t>плексную терапию с применением антибиотика группы фторхин</w:t>
      </w:r>
      <w:r w:rsidRPr="008742E9">
        <w:rPr>
          <w:rFonts w:eastAsia="Calibri"/>
          <w:bCs/>
          <w:sz w:val="22"/>
          <w:szCs w:val="22"/>
          <w:lang w:eastAsia="en-US"/>
        </w:rPr>
        <w:t>о</w:t>
      </w:r>
      <w:r w:rsidRPr="008742E9">
        <w:rPr>
          <w:rFonts w:eastAsia="Calibri"/>
          <w:bCs/>
          <w:sz w:val="22"/>
          <w:szCs w:val="22"/>
          <w:lang w:eastAsia="en-US"/>
        </w:rPr>
        <w:t xml:space="preserve">лонов байтрила. </w:t>
      </w:r>
    </w:p>
    <w:p w:rsidR="008742E9" w:rsidRPr="008742E9" w:rsidRDefault="008742E9" w:rsidP="00EB0266">
      <w:pPr>
        <w:spacing w:after="200"/>
        <w:ind w:firstLine="426"/>
        <w:contextualSpacing/>
        <w:jc w:val="center"/>
        <w:rPr>
          <w:rFonts w:eastAsia="Calibri"/>
          <w:bCs/>
          <w:sz w:val="22"/>
          <w:szCs w:val="22"/>
          <w:lang w:eastAsia="en-US"/>
        </w:rPr>
      </w:pPr>
    </w:p>
    <w:p w:rsidR="008742E9" w:rsidRPr="008742E9" w:rsidRDefault="008742E9" w:rsidP="00EB0266">
      <w:pPr>
        <w:spacing w:after="200"/>
        <w:ind w:firstLine="426"/>
        <w:contextualSpacing/>
        <w:jc w:val="center"/>
        <w:rPr>
          <w:rFonts w:eastAsia="Calibri"/>
          <w:bCs/>
          <w:sz w:val="22"/>
          <w:szCs w:val="22"/>
          <w:lang w:eastAsia="en-US"/>
        </w:rPr>
      </w:pPr>
      <w:r w:rsidRPr="008742E9">
        <w:rPr>
          <w:rFonts w:eastAsia="Calibri"/>
          <w:bCs/>
          <w:sz w:val="22"/>
          <w:szCs w:val="22"/>
          <w:lang w:eastAsia="en-US"/>
        </w:rPr>
        <w:t>Список литературы</w:t>
      </w:r>
    </w:p>
    <w:p w:rsidR="008742E9" w:rsidRPr="008742E9" w:rsidRDefault="008742E9" w:rsidP="00EB0266">
      <w:pPr>
        <w:spacing w:after="200"/>
        <w:ind w:firstLine="426"/>
        <w:contextualSpacing/>
        <w:jc w:val="both"/>
        <w:rPr>
          <w:rFonts w:eastAsia="Calibri"/>
          <w:sz w:val="22"/>
          <w:szCs w:val="22"/>
          <w:lang w:eastAsia="en-US"/>
        </w:rPr>
      </w:pPr>
      <w:r w:rsidRPr="008742E9">
        <w:rPr>
          <w:rFonts w:eastAsia="Calibri"/>
          <w:sz w:val="22"/>
          <w:szCs w:val="22"/>
          <w:lang w:eastAsia="en-US"/>
        </w:rPr>
        <w:t>1. Порфирьев И.А. Профилактика неспецифической Бро</w:t>
      </w:r>
      <w:r w:rsidRPr="008742E9">
        <w:rPr>
          <w:rFonts w:eastAsia="Calibri"/>
          <w:sz w:val="22"/>
          <w:szCs w:val="22"/>
          <w:lang w:eastAsia="en-US"/>
        </w:rPr>
        <w:t>н</w:t>
      </w:r>
      <w:r w:rsidRPr="008742E9">
        <w:rPr>
          <w:rFonts w:eastAsia="Calibri"/>
          <w:sz w:val="22"/>
          <w:szCs w:val="22"/>
          <w:lang w:eastAsia="en-US"/>
        </w:rPr>
        <w:t>хопневмонии у телят // Ветеринария. - №1. - 2007. - С.42 - 46.</w:t>
      </w:r>
    </w:p>
    <w:p w:rsidR="008742E9" w:rsidRPr="008742E9" w:rsidRDefault="008742E9" w:rsidP="00EB0266">
      <w:pPr>
        <w:spacing w:after="200"/>
        <w:ind w:firstLine="426"/>
        <w:contextualSpacing/>
        <w:jc w:val="both"/>
        <w:rPr>
          <w:rFonts w:eastAsia="Calibri"/>
          <w:sz w:val="22"/>
          <w:szCs w:val="22"/>
          <w:lang w:eastAsia="en-US"/>
        </w:rPr>
      </w:pPr>
      <w:r w:rsidRPr="008742E9">
        <w:rPr>
          <w:rFonts w:eastAsia="Calibri"/>
          <w:sz w:val="22"/>
          <w:szCs w:val="22"/>
          <w:lang w:eastAsia="en-US"/>
        </w:rPr>
        <w:t>2. Соколов В.Д., Ноздрин Г.А., Рыбаков Ю.М. Лекарственные средства, применяемые в ветеринарной практике // Новосибирск, 2000. - С. 154 - 162.</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3. Бондаренко Н. Н. Биотехнологические приемы повышения протеиновой (аминокислотной) питательности зерновых кормов [Текст] : автореф. дисс</w:t>
      </w:r>
      <w:r w:rsidRPr="008742E9">
        <w:rPr>
          <w:rFonts w:eastAsia="Calibri"/>
          <w:spacing w:val="-20"/>
          <w:sz w:val="22"/>
          <w:szCs w:val="22"/>
          <w:lang w:eastAsia="en-US"/>
        </w:rPr>
        <w:t>. … д. с.-х. наук</w:t>
      </w:r>
      <w:r w:rsidRPr="008742E9">
        <w:rPr>
          <w:rFonts w:eastAsia="Calibri"/>
          <w:sz w:val="22"/>
          <w:szCs w:val="22"/>
          <w:lang w:eastAsia="en-US"/>
        </w:rPr>
        <w:t xml:space="preserve"> – г. Владикавказ, 1998. – 51 с.</w:t>
      </w:r>
    </w:p>
    <w:p w:rsidR="00EB0266" w:rsidRPr="008742E9" w:rsidRDefault="00EB0266" w:rsidP="008742E9">
      <w:pPr>
        <w:jc w:val="both"/>
        <w:rPr>
          <w:rFonts w:eastAsia="Calibri"/>
          <w:sz w:val="22"/>
          <w:szCs w:val="22"/>
          <w:lang w:eastAsia="en-US"/>
        </w:rPr>
      </w:pPr>
    </w:p>
    <w:p w:rsidR="008742E9" w:rsidRPr="008742E9" w:rsidRDefault="008742E9" w:rsidP="008742E9">
      <w:pPr>
        <w:tabs>
          <w:tab w:val="left" w:pos="1060"/>
        </w:tabs>
        <w:spacing w:after="200"/>
        <w:rPr>
          <w:rFonts w:eastAsia="Calibri"/>
          <w:sz w:val="24"/>
          <w:szCs w:val="24"/>
          <w:lang w:eastAsia="en-US"/>
        </w:rPr>
      </w:pPr>
      <w:r w:rsidRPr="008742E9">
        <w:rPr>
          <w:rFonts w:eastAsia="Calibri"/>
          <w:sz w:val="22"/>
          <w:szCs w:val="24"/>
          <w:lang w:eastAsia="en-US"/>
        </w:rPr>
        <w:lastRenderedPageBreak/>
        <w:t>УДК</w:t>
      </w:r>
      <w:r w:rsidRPr="008742E9">
        <w:rPr>
          <w:rFonts w:ascii="Arial" w:eastAsia="Calibri" w:hAnsi="Arial" w:cs="Arial"/>
          <w:b/>
          <w:bCs/>
          <w:color w:val="DAE0E6"/>
          <w:sz w:val="16"/>
          <w:szCs w:val="18"/>
          <w:lang w:eastAsia="en-US"/>
        </w:rPr>
        <w:t xml:space="preserve"> </w:t>
      </w:r>
      <w:r w:rsidRPr="008742E9">
        <w:rPr>
          <w:rFonts w:eastAsia="Calibri"/>
          <w:bCs/>
          <w:sz w:val="22"/>
          <w:szCs w:val="24"/>
          <w:lang w:eastAsia="en-US"/>
        </w:rPr>
        <w:t>639.371.52.091</w:t>
      </w:r>
      <w:r w:rsidRPr="008742E9">
        <w:rPr>
          <w:rFonts w:eastAsia="Calibri"/>
          <w:b/>
          <w:bCs/>
          <w:sz w:val="24"/>
          <w:szCs w:val="24"/>
          <w:lang w:eastAsia="en-US"/>
        </w:rPr>
        <w:t> </w:t>
      </w: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 xml:space="preserve">Анализ распространения диплостомоза в популяциях </w:t>
      </w:r>
    </w:p>
    <w:p w:rsidR="008742E9" w:rsidRPr="008742E9" w:rsidRDefault="008742E9" w:rsidP="008742E9">
      <w:pPr>
        <w:jc w:val="center"/>
        <w:rPr>
          <w:rFonts w:eastAsia="Calibri"/>
          <w:b/>
          <w:sz w:val="24"/>
          <w:szCs w:val="24"/>
          <w:lang w:val="en-US" w:eastAsia="en-US"/>
        </w:rPr>
      </w:pPr>
      <w:r w:rsidRPr="008742E9">
        <w:rPr>
          <w:rFonts w:eastAsia="Calibri"/>
          <w:b/>
          <w:sz w:val="24"/>
          <w:szCs w:val="24"/>
          <w:lang w:eastAsia="en-US"/>
        </w:rPr>
        <w:t>речной</w:t>
      </w:r>
      <w:r w:rsidRPr="008742E9">
        <w:rPr>
          <w:rFonts w:eastAsia="Calibri"/>
          <w:b/>
          <w:sz w:val="24"/>
          <w:szCs w:val="24"/>
          <w:lang w:val="en-US" w:eastAsia="en-US"/>
        </w:rPr>
        <w:t xml:space="preserve"> </w:t>
      </w:r>
      <w:r w:rsidRPr="008742E9">
        <w:rPr>
          <w:rFonts w:eastAsia="Calibri"/>
          <w:b/>
          <w:sz w:val="24"/>
          <w:szCs w:val="24"/>
          <w:lang w:eastAsia="en-US"/>
        </w:rPr>
        <w:t>рыбы</w:t>
      </w:r>
      <w:r w:rsidRPr="008742E9">
        <w:rPr>
          <w:rFonts w:eastAsia="Calibri"/>
          <w:b/>
          <w:sz w:val="24"/>
          <w:szCs w:val="24"/>
          <w:lang w:val="en-US" w:eastAsia="en-US"/>
        </w:rPr>
        <w:t xml:space="preserve"> </w:t>
      </w:r>
      <w:r w:rsidRPr="008742E9">
        <w:rPr>
          <w:rFonts w:eastAsia="Calibri"/>
          <w:b/>
          <w:sz w:val="24"/>
          <w:szCs w:val="24"/>
          <w:lang w:eastAsia="en-US"/>
        </w:rPr>
        <w:t>в</w:t>
      </w:r>
      <w:r w:rsidRPr="008742E9">
        <w:rPr>
          <w:rFonts w:eastAsia="Calibri"/>
          <w:b/>
          <w:sz w:val="24"/>
          <w:szCs w:val="24"/>
          <w:lang w:val="en-US" w:eastAsia="en-US"/>
        </w:rPr>
        <w:t xml:space="preserve"> </w:t>
      </w:r>
      <w:r w:rsidRPr="008742E9">
        <w:rPr>
          <w:rFonts w:eastAsia="Calibri"/>
          <w:b/>
          <w:sz w:val="24"/>
          <w:szCs w:val="24"/>
          <w:lang w:eastAsia="en-US"/>
        </w:rPr>
        <w:t>Волгоградской</w:t>
      </w:r>
      <w:r w:rsidRPr="008742E9">
        <w:rPr>
          <w:rFonts w:eastAsia="Calibri"/>
          <w:b/>
          <w:sz w:val="24"/>
          <w:szCs w:val="24"/>
          <w:lang w:val="en-US" w:eastAsia="en-US"/>
        </w:rPr>
        <w:t xml:space="preserve"> </w:t>
      </w:r>
      <w:r w:rsidRPr="008742E9">
        <w:rPr>
          <w:rFonts w:eastAsia="Calibri"/>
          <w:b/>
          <w:sz w:val="24"/>
          <w:szCs w:val="24"/>
          <w:lang w:eastAsia="en-US"/>
        </w:rPr>
        <w:t>области</w:t>
      </w:r>
    </w:p>
    <w:p w:rsidR="008742E9" w:rsidRPr="008742E9" w:rsidRDefault="008742E9" w:rsidP="008742E9">
      <w:pPr>
        <w:jc w:val="center"/>
        <w:rPr>
          <w:rFonts w:eastAsia="Calibri"/>
          <w:b/>
          <w:sz w:val="24"/>
          <w:szCs w:val="22"/>
          <w:lang w:val="en-US" w:eastAsia="en-US"/>
        </w:rPr>
      </w:pPr>
      <w:r w:rsidRPr="008742E9">
        <w:rPr>
          <w:rFonts w:eastAsia="Calibri"/>
          <w:b/>
          <w:sz w:val="24"/>
          <w:szCs w:val="22"/>
          <w:lang w:val="en-US" w:eastAsia="en-US"/>
        </w:rPr>
        <w:t xml:space="preserve">The analysis of distribution of a </w:t>
      </w:r>
      <w:r w:rsidRPr="008742E9">
        <w:rPr>
          <w:rFonts w:eastAsia="Calibri"/>
          <w:b/>
          <w:color w:val="000000"/>
          <w:sz w:val="24"/>
          <w:szCs w:val="24"/>
          <w:shd w:val="clear" w:color="auto" w:fill="FFFFFF"/>
          <w:lang w:val="en-US" w:eastAsia="en-US"/>
        </w:rPr>
        <w:t>Diplostomosis</w:t>
      </w:r>
      <w:r w:rsidRPr="008742E9">
        <w:rPr>
          <w:rFonts w:eastAsia="Calibri"/>
          <w:b/>
          <w:sz w:val="24"/>
          <w:szCs w:val="22"/>
          <w:lang w:val="en-US" w:eastAsia="en-US"/>
        </w:rPr>
        <w:t xml:space="preserve"> in populations of river fish in the Volgograd region</w:t>
      </w:r>
    </w:p>
    <w:p w:rsidR="008742E9" w:rsidRPr="008742E9" w:rsidRDefault="008742E9" w:rsidP="008742E9">
      <w:pPr>
        <w:jc w:val="right"/>
        <w:rPr>
          <w:rFonts w:eastAsia="Calibri"/>
          <w:sz w:val="22"/>
          <w:szCs w:val="22"/>
          <w:lang w:val="en-US" w:eastAsia="en-US"/>
        </w:rPr>
      </w:pPr>
    </w:p>
    <w:p w:rsidR="008742E9" w:rsidRPr="008742E9" w:rsidRDefault="008742E9" w:rsidP="00EB0266">
      <w:pPr>
        <w:jc w:val="right"/>
        <w:rPr>
          <w:rFonts w:eastAsia="Calibri"/>
          <w:sz w:val="22"/>
          <w:szCs w:val="22"/>
          <w:lang w:eastAsia="en-US"/>
        </w:rPr>
      </w:pPr>
      <w:r w:rsidRPr="008742E9">
        <w:rPr>
          <w:rFonts w:eastAsia="Calibri"/>
          <w:sz w:val="22"/>
          <w:szCs w:val="22"/>
          <w:lang w:eastAsia="en-US"/>
        </w:rPr>
        <w:t>Огурева Г. А.,</w:t>
      </w:r>
      <w:r w:rsidR="00EB0266">
        <w:rPr>
          <w:rFonts w:eastAsia="Calibri"/>
          <w:sz w:val="22"/>
          <w:szCs w:val="22"/>
          <w:lang w:eastAsia="en-US"/>
        </w:rPr>
        <w:t xml:space="preserve"> </w:t>
      </w:r>
      <w:r w:rsidR="00EB0266" w:rsidRPr="008742E9">
        <w:rPr>
          <w:rFonts w:eastAsia="Calibri"/>
          <w:sz w:val="22"/>
          <w:szCs w:val="22"/>
          <w:lang w:eastAsia="en-US"/>
        </w:rPr>
        <w:t>Марченко А. П.,</w:t>
      </w:r>
    </w:p>
    <w:p w:rsidR="00EB0266" w:rsidRDefault="00EB0266" w:rsidP="008742E9">
      <w:pPr>
        <w:jc w:val="right"/>
        <w:rPr>
          <w:rFonts w:eastAsia="Calibri"/>
          <w:sz w:val="22"/>
          <w:szCs w:val="22"/>
          <w:lang w:eastAsia="en-US"/>
        </w:rPr>
      </w:pPr>
      <w:r>
        <w:rPr>
          <w:rFonts w:eastAsia="Calibri"/>
          <w:sz w:val="22"/>
          <w:szCs w:val="22"/>
          <w:lang w:eastAsia="en-US"/>
        </w:rPr>
        <w:t>магистранты 1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jc w:val="right"/>
        <w:rPr>
          <w:rFonts w:eastAsia="Calibri"/>
          <w:sz w:val="22"/>
          <w:szCs w:val="22"/>
          <w:lang w:eastAsia="en-US"/>
        </w:rPr>
      </w:pP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eastAsia="en-US"/>
        </w:rPr>
        <w:t>АННОТАЦИЯ: Изучена частота поражения речной рыбы д</w:t>
      </w:r>
      <w:r w:rsidRPr="008742E9">
        <w:rPr>
          <w:rFonts w:eastAsia="Calibri"/>
          <w:sz w:val="22"/>
          <w:szCs w:val="22"/>
          <w:lang w:eastAsia="en-US"/>
        </w:rPr>
        <w:t>и</w:t>
      </w:r>
      <w:r w:rsidRPr="008742E9">
        <w:rPr>
          <w:rFonts w:eastAsia="Calibri"/>
          <w:sz w:val="22"/>
          <w:szCs w:val="22"/>
          <w:lang w:eastAsia="en-US"/>
        </w:rPr>
        <w:t>плостомозом в пресноводных водоемах Волгоградской области за последние 2 года. Установлены</w:t>
      </w:r>
      <w:r w:rsidRPr="008742E9">
        <w:rPr>
          <w:rFonts w:eastAsia="Calibri"/>
          <w:sz w:val="22"/>
          <w:szCs w:val="22"/>
          <w:lang w:val="en-US" w:eastAsia="en-US"/>
        </w:rPr>
        <w:t xml:space="preserve"> </w:t>
      </w:r>
      <w:r w:rsidRPr="008742E9">
        <w:rPr>
          <w:rFonts w:eastAsia="Calibri"/>
          <w:sz w:val="22"/>
          <w:szCs w:val="22"/>
          <w:lang w:eastAsia="en-US"/>
        </w:rPr>
        <w:t>виды</w:t>
      </w:r>
      <w:r w:rsidRPr="008742E9">
        <w:rPr>
          <w:rFonts w:eastAsia="Calibri"/>
          <w:sz w:val="22"/>
          <w:szCs w:val="22"/>
          <w:lang w:val="en-US" w:eastAsia="en-US"/>
        </w:rPr>
        <w:t xml:space="preserve"> </w:t>
      </w:r>
      <w:r w:rsidRPr="008742E9">
        <w:rPr>
          <w:rFonts w:eastAsia="Calibri"/>
          <w:sz w:val="22"/>
          <w:szCs w:val="22"/>
          <w:lang w:eastAsia="en-US"/>
        </w:rPr>
        <w:t>рыб</w:t>
      </w:r>
      <w:r w:rsidRPr="008742E9">
        <w:rPr>
          <w:rFonts w:eastAsia="Calibri"/>
          <w:sz w:val="22"/>
          <w:szCs w:val="22"/>
          <w:lang w:val="en-US" w:eastAsia="en-US"/>
        </w:rPr>
        <w:t xml:space="preserve">, </w:t>
      </w:r>
      <w:r w:rsidRPr="008742E9">
        <w:rPr>
          <w:rFonts w:eastAsia="Calibri"/>
          <w:sz w:val="22"/>
          <w:szCs w:val="22"/>
          <w:lang w:eastAsia="en-US"/>
        </w:rPr>
        <w:t>наиболее</w:t>
      </w:r>
      <w:r w:rsidRPr="008742E9">
        <w:rPr>
          <w:rFonts w:eastAsia="Calibri"/>
          <w:sz w:val="22"/>
          <w:szCs w:val="22"/>
          <w:lang w:val="en-US" w:eastAsia="en-US"/>
        </w:rPr>
        <w:t xml:space="preserve"> </w:t>
      </w:r>
      <w:r w:rsidRPr="008742E9">
        <w:rPr>
          <w:rFonts w:eastAsia="Calibri"/>
          <w:sz w:val="22"/>
          <w:szCs w:val="22"/>
          <w:lang w:eastAsia="en-US"/>
        </w:rPr>
        <w:t>подверженных</w:t>
      </w:r>
      <w:r w:rsidRPr="008742E9">
        <w:rPr>
          <w:rFonts w:eastAsia="Calibri"/>
          <w:sz w:val="22"/>
          <w:szCs w:val="22"/>
          <w:lang w:val="en-US" w:eastAsia="en-US"/>
        </w:rPr>
        <w:t xml:space="preserve"> </w:t>
      </w:r>
      <w:r w:rsidRPr="008742E9">
        <w:rPr>
          <w:rFonts w:eastAsia="Calibri"/>
          <w:sz w:val="22"/>
          <w:szCs w:val="22"/>
          <w:lang w:eastAsia="en-US"/>
        </w:rPr>
        <w:t>заражению</w:t>
      </w:r>
      <w:r w:rsidRPr="008742E9">
        <w:rPr>
          <w:rFonts w:eastAsia="Calibri"/>
          <w:sz w:val="22"/>
          <w:szCs w:val="22"/>
          <w:lang w:val="en-US" w:eastAsia="en-US"/>
        </w:rPr>
        <w:t xml:space="preserve"> </w:t>
      </w:r>
      <w:r w:rsidRPr="008742E9">
        <w:rPr>
          <w:rFonts w:eastAsia="Calibri"/>
          <w:sz w:val="22"/>
          <w:szCs w:val="22"/>
          <w:lang w:eastAsia="en-US"/>
        </w:rPr>
        <w:t>личинками</w:t>
      </w:r>
      <w:r w:rsidRPr="008742E9">
        <w:rPr>
          <w:rFonts w:eastAsia="Calibri"/>
          <w:sz w:val="22"/>
          <w:szCs w:val="22"/>
          <w:lang w:val="en-US" w:eastAsia="en-US"/>
        </w:rPr>
        <w:t xml:space="preserve"> </w:t>
      </w:r>
      <w:r w:rsidRPr="008742E9">
        <w:rPr>
          <w:rFonts w:eastAsia="Calibri"/>
          <w:sz w:val="22"/>
          <w:szCs w:val="22"/>
          <w:lang w:eastAsia="en-US"/>
        </w:rPr>
        <w:t>диплостом</w:t>
      </w:r>
      <w:r w:rsidRPr="008742E9">
        <w:rPr>
          <w:rFonts w:eastAsia="Calibri"/>
          <w:sz w:val="22"/>
          <w:szCs w:val="22"/>
          <w:lang w:val="en-US" w:eastAsia="en-US"/>
        </w:rPr>
        <w:t>.</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ABSTRACT: Frequency of defeat of river fish Diplostomosis in freshwater reservoirs of the Volgograd region for the last 2 years is stu</w:t>
      </w:r>
      <w:r w:rsidRPr="008742E9">
        <w:rPr>
          <w:rFonts w:eastAsia="Calibri"/>
          <w:sz w:val="22"/>
          <w:szCs w:val="22"/>
          <w:lang w:val="en-US" w:eastAsia="en-US"/>
        </w:rPr>
        <w:t>d</w:t>
      </w:r>
      <w:r w:rsidRPr="008742E9">
        <w:rPr>
          <w:rFonts w:eastAsia="Calibri"/>
          <w:sz w:val="22"/>
          <w:szCs w:val="22"/>
          <w:lang w:val="en-US" w:eastAsia="en-US"/>
        </w:rPr>
        <w:t>ied. Species of fish, the most subject are established to infest with larvae Diplostomum.</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КЛЮЧЕВЫЕ СЛОВА: диплостомоз, инвазия, метацеркарии, речная рыба.</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shd w:val="clear" w:color="auto" w:fill="FFFFFF"/>
          <w:lang w:val="en-US" w:eastAsia="en-US"/>
        </w:rPr>
        <w:t>KEY WORDS: Diplostomosis, invasion, metacercarias, river fish.</w:t>
      </w:r>
    </w:p>
    <w:p w:rsidR="008742E9" w:rsidRPr="008742E9" w:rsidRDefault="008742E9" w:rsidP="00EB0266">
      <w:pPr>
        <w:ind w:firstLine="426"/>
        <w:jc w:val="right"/>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Промышленное разведение и реализация рыбы – одна из вед</w:t>
      </w:r>
      <w:r w:rsidRPr="008742E9">
        <w:rPr>
          <w:rFonts w:eastAsia="Calibri"/>
          <w:sz w:val="22"/>
          <w:szCs w:val="22"/>
          <w:lang w:eastAsia="en-US"/>
        </w:rPr>
        <w:t>у</w:t>
      </w:r>
      <w:r w:rsidRPr="008742E9">
        <w:rPr>
          <w:rFonts w:eastAsia="Calibri"/>
          <w:sz w:val="22"/>
          <w:szCs w:val="22"/>
          <w:lang w:eastAsia="en-US"/>
        </w:rPr>
        <w:t>щих отраслей Российской Федерации, так как на территории нашей страны находится большое количество бассейнов различных водо</w:t>
      </w:r>
      <w:r w:rsidRPr="008742E9">
        <w:rPr>
          <w:rFonts w:eastAsia="Calibri"/>
          <w:sz w:val="22"/>
          <w:szCs w:val="22"/>
          <w:lang w:eastAsia="en-US"/>
        </w:rPr>
        <w:t>ё</w:t>
      </w:r>
      <w:r w:rsidRPr="008742E9">
        <w:rPr>
          <w:rFonts w:eastAsia="Calibri"/>
          <w:sz w:val="22"/>
          <w:szCs w:val="22"/>
          <w:lang w:eastAsia="en-US"/>
        </w:rPr>
        <w:t>мов. Успех продвижения данного вида деятельности в первую оч</w:t>
      </w:r>
      <w:r w:rsidRPr="008742E9">
        <w:rPr>
          <w:rFonts w:eastAsia="Calibri"/>
          <w:sz w:val="22"/>
          <w:szCs w:val="22"/>
          <w:lang w:eastAsia="en-US"/>
        </w:rPr>
        <w:t>е</w:t>
      </w:r>
      <w:r w:rsidRPr="008742E9">
        <w:rPr>
          <w:rFonts w:eastAsia="Calibri"/>
          <w:sz w:val="22"/>
          <w:szCs w:val="22"/>
          <w:lang w:eastAsia="en-US"/>
        </w:rPr>
        <w:t>редь зависит от качества производимой продукции, которое дост</w:t>
      </w:r>
      <w:r w:rsidRPr="008742E9">
        <w:rPr>
          <w:rFonts w:eastAsia="Calibri"/>
          <w:sz w:val="22"/>
          <w:szCs w:val="22"/>
          <w:lang w:eastAsia="en-US"/>
        </w:rPr>
        <w:t>и</w:t>
      </w:r>
      <w:r w:rsidRPr="008742E9">
        <w:rPr>
          <w:rFonts w:eastAsia="Calibri"/>
          <w:sz w:val="22"/>
          <w:szCs w:val="22"/>
          <w:lang w:eastAsia="en-US"/>
        </w:rPr>
        <w:t>гается использованием сырья, полученного от здоровой рыбы. Для успешного развития отрасли и получения стабильного дохода с</w:t>
      </w:r>
      <w:r w:rsidRPr="008742E9">
        <w:rPr>
          <w:rFonts w:eastAsia="Calibri"/>
          <w:sz w:val="22"/>
          <w:szCs w:val="22"/>
          <w:lang w:eastAsia="en-US"/>
        </w:rPr>
        <w:t>о</w:t>
      </w:r>
      <w:r w:rsidRPr="008742E9">
        <w:rPr>
          <w:rFonts w:eastAsia="Calibri"/>
          <w:sz w:val="22"/>
          <w:szCs w:val="22"/>
          <w:lang w:eastAsia="en-US"/>
        </w:rPr>
        <w:t>хранность рыбы должна быть не менее 89 %.</w:t>
      </w:r>
      <w:r w:rsidRPr="008742E9">
        <w:rPr>
          <w:rFonts w:ascii="Calibri" w:eastAsia="Calibri" w:hAnsi="Calibri"/>
          <w:sz w:val="22"/>
          <w:szCs w:val="22"/>
          <w:lang w:eastAsia="en-US"/>
        </w:rPr>
        <w:t xml:space="preserve"> </w:t>
      </w:r>
      <w:r w:rsidRPr="008742E9">
        <w:rPr>
          <w:rFonts w:eastAsia="Calibri"/>
          <w:sz w:val="22"/>
          <w:szCs w:val="22"/>
          <w:lang w:eastAsia="en-US"/>
        </w:rPr>
        <w:t>Однако это условие не всегда выполняется, чему способствуют многие причины, в том числе и болезни инвазионной этиологии. Особое место среди них занимают болезни, не опасные для человека, но влияющие на кач</w:t>
      </w:r>
      <w:r w:rsidRPr="008742E9">
        <w:rPr>
          <w:rFonts w:eastAsia="Calibri"/>
          <w:sz w:val="22"/>
          <w:szCs w:val="22"/>
          <w:lang w:eastAsia="en-US"/>
        </w:rPr>
        <w:t>е</w:t>
      </w:r>
      <w:r w:rsidRPr="008742E9">
        <w:rPr>
          <w:rFonts w:eastAsia="Calibri"/>
          <w:sz w:val="22"/>
          <w:szCs w:val="22"/>
          <w:lang w:eastAsia="en-US"/>
        </w:rPr>
        <w:lastRenderedPageBreak/>
        <w:t>ство производимой продукции, одним их которых является дипл</w:t>
      </w:r>
      <w:r w:rsidRPr="008742E9">
        <w:rPr>
          <w:rFonts w:eastAsia="Calibri"/>
          <w:sz w:val="22"/>
          <w:szCs w:val="22"/>
          <w:lang w:eastAsia="en-US"/>
        </w:rPr>
        <w:t>о</w:t>
      </w:r>
      <w:r w:rsidRPr="008742E9">
        <w:rPr>
          <w:rFonts w:eastAsia="Calibri"/>
          <w:sz w:val="22"/>
          <w:szCs w:val="22"/>
          <w:lang w:eastAsia="en-US"/>
        </w:rPr>
        <w:t xml:space="preserve">стомоз </w:t>
      </w:r>
      <w:r w:rsidRPr="008742E9">
        <w:rPr>
          <w:rFonts w:eastAsia="Calibri"/>
          <w:color w:val="000000"/>
          <w:sz w:val="22"/>
          <w:szCs w:val="22"/>
          <w:shd w:val="clear" w:color="auto" w:fill="FFFFFF"/>
          <w:lang w:eastAsia="en-US"/>
        </w:rPr>
        <w:t>[1, 2]</w:t>
      </w:r>
      <w:r w:rsidRPr="008742E9">
        <w:rPr>
          <w:rFonts w:eastAsia="Calibri"/>
          <w:sz w:val="22"/>
          <w:szCs w:val="22"/>
          <w:lang w:eastAsia="en-US"/>
        </w:rPr>
        <w:t xml:space="preserve">. </w:t>
      </w:r>
    </w:p>
    <w:p w:rsidR="008742E9" w:rsidRPr="008742E9" w:rsidRDefault="008742E9" w:rsidP="00EB0266">
      <w:pPr>
        <w:ind w:firstLine="426"/>
        <w:jc w:val="both"/>
        <w:rPr>
          <w:rFonts w:eastAsia="Calibri"/>
          <w:color w:val="000000"/>
          <w:sz w:val="22"/>
          <w:szCs w:val="22"/>
          <w:shd w:val="clear" w:color="auto" w:fill="FFFFFF"/>
          <w:lang w:eastAsia="en-US"/>
        </w:rPr>
      </w:pPr>
      <w:r w:rsidRPr="008742E9">
        <w:rPr>
          <w:rFonts w:eastAsia="Calibri"/>
          <w:sz w:val="22"/>
          <w:szCs w:val="22"/>
          <w:lang w:eastAsia="en-US"/>
        </w:rPr>
        <w:t xml:space="preserve">Диплостомоз </w:t>
      </w:r>
      <w:r w:rsidRPr="008742E9">
        <w:rPr>
          <w:rFonts w:eastAsia="Calibri"/>
          <w:color w:val="000000"/>
          <w:sz w:val="22"/>
          <w:szCs w:val="22"/>
          <w:shd w:val="clear" w:color="auto" w:fill="FFFFFF"/>
          <w:lang w:eastAsia="en-US"/>
        </w:rPr>
        <w:t>характеризуется низкой летальностью при пр</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мышленном рыборазведении, но значительно снижает качество продукта, уменьшая срок его годности [2]. Кроме того, пораженные ткани являются благоприятной средой для развития микрооргани</w:t>
      </w:r>
      <w:r w:rsidRPr="008742E9">
        <w:rPr>
          <w:rFonts w:eastAsia="Calibri"/>
          <w:color w:val="000000"/>
          <w:sz w:val="22"/>
          <w:szCs w:val="22"/>
          <w:shd w:val="clear" w:color="auto" w:fill="FFFFFF"/>
          <w:lang w:eastAsia="en-US"/>
        </w:rPr>
        <w:t>з</w:t>
      </w:r>
      <w:r w:rsidRPr="008742E9">
        <w:rPr>
          <w:rFonts w:eastAsia="Calibri"/>
          <w:color w:val="000000"/>
          <w:sz w:val="22"/>
          <w:szCs w:val="22"/>
          <w:shd w:val="clear" w:color="auto" w:fill="FFFFFF"/>
          <w:lang w:eastAsia="en-US"/>
        </w:rPr>
        <w:t>мов, в том числе и патогенных [3]. Поэтому основной нашей зад</w:t>
      </w:r>
      <w:r w:rsidRPr="008742E9">
        <w:rPr>
          <w:rFonts w:eastAsia="Calibri"/>
          <w:color w:val="000000"/>
          <w:sz w:val="22"/>
          <w:szCs w:val="22"/>
          <w:shd w:val="clear" w:color="auto" w:fill="FFFFFF"/>
          <w:lang w:eastAsia="en-US"/>
        </w:rPr>
        <w:t>а</w:t>
      </w:r>
      <w:r w:rsidRPr="008742E9">
        <w:rPr>
          <w:rFonts w:eastAsia="Calibri"/>
          <w:color w:val="000000"/>
          <w:sz w:val="22"/>
          <w:szCs w:val="22"/>
          <w:shd w:val="clear" w:color="auto" w:fill="FFFFFF"/>
          <w:lang w:eastAsia="en-US"/>
        </w:rPr>
        <w:t>чей было изучить распространенность диплостомоза промысловых видов речной рыбы в водоемах Волгоградской области.</w:t>
      </w:r>
    </w:p>
    <w:p w:rsidR="008742E9" w:rsidRPr="008742E9" w:rsidRDefault="008742E9" w:rsidP="00EB0266">
      <w:pPr>
        <w:ind w:firstLine="426"/>
        <w:jc w:val="both"/>
        <w:rPr>
          <w:rFonts w:eastAsia="Calibri"/>
          <w:sz w:val="22"/>
          <w:szCs w:val="22"/>
          <w:lang w:eastAsia="en-US"/>
        </w:rPr>
      </w:pPr>
      <w:r w:rsidRPr="008742E9">
        <w:rPr>
          <w:rFonts w:eastAsia="Calibri"/>
          <w:color w:val="000000"/>
          <w:sz w:val="22"/>
          <w:szCs w:val="22"/>
          <w:shd w:val="clear" w:color="auto" w:fill="FFFFFF"/>
          <w:lang w:eastAsia="en-US"/>
        </w:rPr>
        <w:t>Анализ распространения диплостомоза среди популяций дикой и культивируемой рыбы был проведен с использованием статист</w:t>
      </w:r>
      <w:r w:rsidRPr="008742E9">
        <w:rPr>
          <w:rFonts w:eastAsia="Calibri"/>
          <w:color w:val="000000"/>
          <w:sz w:val="22"/>
          <w:szCs w:val="22"/>
          <w:shd w:val="clear" w:color="auto" w:fill="FFFFFF"/>
          <w:lang w:eastAsia="en-US"/>
        </w:rPr>
        <w:t>и</w:t>
      </w:r>
      <w:r w:rsidRPr="008742E9">
        <w:rPr>
          <w:rFonts w:eastAsia="Calibri"/>
          <w:color w:val="000000"/>
          <w:sz w:val="22"/>
          <w:szCs w:val="22"/>
          <w:shd w:val="clear" w:color="auto" w:fill="FFFFFF"/>
          <w:lang w:eastAsia="en-US"/>
        </w:rPr>
        <w:t xml:space="preserve">ческих данных Управления ветеринарии </w:t>
      </w:r>
      <w:r w:rsidRPr="008742E9">
        <w:rPr>
          <w:rFonts w:eastAsia="Calibri"/>
          <w:sz w:val="22"/>
          <w:szCs w:val="22"/>
          <w:lang w:eastAsia="en-US"/>
        </w:rPr>
        <w:t>г. Волгограда и Госуда</w:t>
      </w:r>
      <w:r w:rsidRPr="008742E9">
        <w:rPr>
          <w:rFonts w:eastAsia="Calibri"/>
          <w:sz w:val="22"/>
          <w:szCs w:val="22"/>
          <w:lang w:eastAsia="en-US"/>
        </w:rPr>
        <w:t>р</w:t>
      </w:r>
      <w:r w:rsidRPr="008742E9">
        <w:rPr>
          <w:rFonts w:eastAsia="Calibri"/>
          <w:sz w:val="22"/>
          <w:szCs w:val="22"/>
          <w:lang w:eastAsia="en-US"/>
        </w:rPr>
        <w:t>ственной ветеринарной инспекции Управления ветеринарии Волг</w:t>
      </w:r>
      <w:r w:rsidRPr="008742E9">
        <w:rPr>
          <w:rFonts w:eastAsia="Calibri"/>
          <w:sz w:val="22"/>
          <w:szCs w:val="22"/>
          <w:lang w:eastAsia="en-US"/>
        </w:rPr>
        <w:t>о</w:t>
      </w:r>
      <w:r w:rsidRPr="008742E9">
        <w:rPr>
          <w:rFonts w:eastAsia="Calibri"/>
          <w:sz w:val="22"/>
          <w:szCs w:val="22"/>
          <w:lang w:eastAsia="en-US"/>
        </w:rPr>
        <w:t>градской области</w:t>
      </w:r>
      <w:r w:rsidRPr="008742E9">
        <w:rPr>
          <w:rFonts w:eastAsia="Calibri"/>
          <w:color w:val="FF0000"/>
          <w:sz w:val="22"/>
          <w:szCs w:val="22"/>
          <w:lang w:eastAsia="en-US"/>
        </w:rPr>
        <w:t xml:space="preserve"> </w:t>
      </w:r>
      <w:r w:rsidRPr="008742E9">
        <w:rPr>
          <w:rFonts w:eastAsia="Calibri"/>
          <w:color w:val="000000"/>
          <w:sz w:val="22"/>
          <w:szCs w:val="22"/>
          <w:lang w:eastAsia="en-US"/>
        </w:rPr>
        <w:t>за 2016-2017 гг.</w:t>
      </w:r>
      <w:r w:rsidRPr="008742E9">
        <w:rPr>
          <w:rFonts w:eastAsia="Calibri"/>
          <w:sz w:val="22"/>
          <w:szCs w:val="22"/>
          <w:lang w:eastAsia="en-US"/>
        </w:rPr>
        <w:t xml:space="preserve"> В ходе проведения анализа уч</w:t>
      </w:r>
      <w:r w:rsidRPr="008742E9">
        <w:rPr>
          <w:rFonts w:eastAsia="Calibri"/>
          <w:sz w:val="22"/>
          <w:szCs w:val="22"/>
          <w:lang w:eastAsia="en-US"/>
        </w:rPr>
        <w:t>и</w:t>
      </w:r>
      <w:r w:rsidRPr="008742E9">
        <w:rPr>
          <w:rFonts w:eastAsia="Calibri"/>
          <w:sz w:val="22"/>
          <w:szCs w:val="22"/>
          <w:lang w:eastAsia="en-US"/>
        </w:rPr>
        <w:t>тывали показатели экстенсивности инвазии и падежа рыбы от д</w:t>
      </w:r>
      <w:r w:rsidRPr="008742E9">
        <w:rPr>
          <w:rFonts w:eastAsia="Calibri"/>
          <w:sz w:val="22"/>
          <w:szCs w:val="22"/>
          <w:lang w:eastAsia="en-US"/>
        </w:rPr>
        <w:t>и</w:t>
      </w:r>
      <w:r w:rsidRPr="008742E9">
        <w:rPr>
          <w:rFonts w:eastAsia="Calibri"/>
          <w:sz w:val="22"/>
          <w:szCs w:val="22"/>
          <w:lang w:eastAsia="en-US"/>
        </w:rPr>
        <w:t>плостомоза, выловленной из Волго-Цимлянского водохранилища, реки Волги.</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Установлено, что число инвазированных диплостомами особей в период с 2016 по 2017 гг.</w:t>
      </w:r>
      <w:r w:rsidRPr="008742E9">
        <w:rPr>
          <w:rFonts w:ascii="Calibri" w:eastAsia="Calibri" w:hAnsi="Calibri"/>
          <w:sz w:val="22"/>
          <w:szCs w:val="22"/>
          <w:lang w:eastAsia="en-US"/>
        </w:rPr>
        <w:t xml:space="preserve"> </w:t>
      </w:r>
      <w:r w:rsidRPr="008742E9">
        <w:rPr>
          <w:rFonts w:eastAsia="Calibri"/>
          <w:sz w:val="22"/>
          <w:szCs w:val="22"/>
          <w:lang w:eastAsia="en-US"/>
        </w:rPr>
        <w:t>составило 26543 в 2016 году и 20900 в 2017 году. При этом было отмечено, что диплостомоз был прич</w:t>
      </w:r>
      <w:r w:rsidRPr="008742E9">
        <w:rPr>
          <w:rFonts w:eastAsia="Calibri"/>
          <w:sz w:val="22"/>
          <w:szCs w:val="22"/>
          <w:lang w:eastAsia="en-US"/>
        </w:rPr>
        <w:t>и</w:t>
      </w:r>
      <w:r w:rsidRPr="008742E9">
        <w:rPr>
          <w:rFonts w:eastAsia="Calibri"/>
          <w:sz w:val="22"/>
          <w:szCs w:val="22"/>
          <w:lang w:eastAsia="en-US"/>
        </w:rPr>
        <w:t>ной гибели рыб в 10,9 % случаев, а в 89,1 % случаев был сопу</w:t>
      </w:r>
      <w:r w:rsidRPr="008742E9">
        <w:rPr>
          <w:rFonts w:eastAsia="Calibri"/>
          <w:sz w:val="22"/>
          <w:szCs w:val="22"/>
          <w:lang w:eastAsia="en-US"/>
        </w:rPr>
        <w:t>т</w:t>
      </w:r>
      <w:r w:rsidRPr="008742E9">
        <w:rPr>
          <w:rFonts w:eastAsia="Calibri"/>
          <w:sz w:val="22"/>
          <w:szCs w:val="22"/>
          <w:lang w:eastAsia="en-US"/>
        </w:rPr>
        <w:t xml:space="preserve">ствующим или не являлся причиной гибели.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С целью гельминтологического исследования на диплостомоз были исследованы культивируемые особи следующих видов – лещ, плотва, толстолобик, густера, белый амур. Общее количество о</w:t>
      </w:r>
      <w:r w:rsidRPr="008742E9">
        <w:rPr>
          <w:rFonts w:eastAsia="Calibri"/>
          <w:sz w:val="22"/>
          <w:szCs w:val="22"/>
          <w:lang w:eastAsia="en-US"/>
        </w:rPr>
        <w:t>б</w:t>
      </w:r>
      <w:r w:rsidRPr="008742E9">
        <w:rPr>
          <w:rFonts w:eastAsia="Calibri"/>
          <w:sz w:val="22"/>
          <w:szCs w:val="22"/>
          <w:lang w:eastAsia="en-US"/>
        </w:rPr>
        <w:t>следованных экземпляров составило 47443 особей, из них 11500 особей – лещ, 9675 – плотва, 8960 – толстолобик, 8656 – густера, 8652 – белый амур.</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Установлено, что экстенсивность инвазии леща составила 20,9 %, плотвы – 20,97 %, толстолобика –  19,3 %,  густеры – 21,9 %, белого амура –  16,93 % от общего количества исследова</w:t>
      </w:r>
      <w:r w:rsidRPr="008742E9">
        <w:rPr>
          <w:rFonts w:eastAsia="Calibri"/>
          <w:sz w:val="22"/>
          <w:szCs w:val="22"/>
          <w:lang w:eastAsia="en-US"/>
        </w:rPr>
        <w:t>н</w:t>
      </w:r>
      <w:r w:rsidRPr="008742E9">
        <w:rPr>
          <w:rFonts w:eastAsia="Calibri"/>
          <w:sz w:val="22"/>
          <w:szCs w:val="22"/>
          <w:lang w:eastAsia="en-US"/>
        </w:rPr>
        <w:t xml:space="preserve">ных особей.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Также гельминтологическому исследованию была подвергнута рыба, выловленная из естественных водоемов. Вылов производили из Волгоградского и Цимлянского водохранилищ и водотоков ба</w:t>
      </w:r>
      <w:r w:rsidRPr="008742E9">
        <w:rPr>
          <w:rFonts w:eastAsia="Calibri"/>
          <w:sz w:val="22"/>
          <w:szCs w:val="22"/>
          <w:lang w:eastAsia="en-US"/>
        </w:rPr>
        <w:t>с</w:t>
      </w:r>
      <w:r w:rsidRPr="008742E9">
        <w:rPr>
          <w:rFonts w:eastAsia="Calibri"/>
          <w:sz w:val="22"/>
          <w:szCs w:val="22"/>
          <w:lang w:eastAsia="en-US"/>
        </w:rPr>
        <w:t xml:space="preserve">сейна реки Дон (р. Иловля, р. Арчеда).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В Волгоградском водохранилище в большей степени зараж</w:t>
      </w:r>
      <w:r w:rsidRPr="008742E9">
        <w:rPr>
          <w:rFonts w:eastAsia="Calibri"/>
          <w:sz w:val="22"/>
          <w:szCs w:val="22"/>
          <w:lang w:eastAsia="en-US"/>
        </w:rPr>
        <w:t>е</w:t>
      </w:r>
      <w:r w:rsidRPr="008742E9">
        <w:rPr>
          <w:rFonts w:eastAsia="Calibri"/>
          <w:sz w:val="22"/>
          <w:szCs w:val="22"/>
          <w:lang w:eastAsia="en-US"/>
        </w:rPr>
        <w:t xml:space="preserve">нию личинками диплостом были подвержены толстолобик (21,78 </w:t>
      </w:r>
      <w:r w:rsidRPr="008742E9">
        <w:rPr>
          <w:rFonts w:eastAsia="Calibri"/>
          <w:sz w:val="22"/>
          <w:szCs w:val="22"/>
          <w:lang w:eastAsia="en-US"/>
        </w:rPr>
        <w:lastRenderedPageBreak/>
        <w:t>%), плотва (21,3 %) и лещ (20,9 %). В Цимлянском водохранилище метацеркарии диплостом чаще всего обнаруживали у таких видов, как плотва (22,82 %), белый амур (16,6 %). В реках Арчеда и Ило</w:t>
      </w:r>
      <w:r w:rsidRPr="008742E9">
        <w:rPr>
          <w:rFonts w:eastAsia="Calibri"/>
          <w:sz w:val="22"/>
          <w:szCs w:val="22"/>
          <w:lang w:eastAsia="en-US"/>
        </w:rPr>
        <w:t>в</w:t>
      </w:r>
      <w:r w:rsidRPr="008742E9">
        <w:rPr>
          <w:rFonts w:eastAsia="Calibri"/>
          <w:sz w:val="22"/>
          <w:szCs w:val="22"/>
          <w:lang w:eastAsia="en-US"/>
        </w:rPr>
        <w:t xml:space="preserve">ля наибольшая экстенсивность инвазии отмечена у плотвы (23,49 %) и густеры (23,02 %) [1].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 Подводя итог исследованиям, можно сделать вывод о том, что, экстенсивность инвазии диплостомоза в водотоках Волгоградской области наблюдается в бассейне реки Дон (23,25 %). Наиболее по</w:t>
      </w:r>
      <w:r w:rsidRPr="008742E9">
        <w:rPr>
          <w:rFonts w:eastAsia="Calibri"/>
          <w:sz w:val="22"/>
          <w:szCs w:val="22"/>
          <w:lang w:eastAsia="en-US"/>
        </w:rPr>
        <w:t>д</w:t>
      </w:r>
      <w:r w:rsidRPr="008742E9">
        <w:rPr>
          <w:rFonts w:eastAsia="Calibri"/>
          <w:sz w:val="22"/>
          <w:szCs w:val="22"/>
          <w:lang w:eastAsia="en-US"/>
        </w:rPr>
        <w:t xml:space="preserve">вержены данной инвазии такие виды промысловых рыб, как плотва и густера, в </w:t>
      </w:r>
      <w:r w:rsidRPr="008742E9">
        <w:rPr>
          <w:rFonts w:eastAsia="Calibri"/>
          <w:color w:val="000000"/>
          <w:sz w:val="22"/>
          <w:szCs w:val="22"/>
          <w:lang w:eastAsia="en-US"/>
        </w:rPr>
        <w:t>наименьшей</w:t>
      </w:r>
      <w:r w:rsidRPr="008742E9">
        <w:rPr>
          <w:rFonts w:eastAsia="Calibri"/>
          <w:sz w:val="22"/>
          <w:szCs w:val="22"/>
          <w:lang w:eastAsia="en-US"/>
        </w:rPr>
        <w:t xml:space="preserve"> степени белый амур. </w:t>
      </w:r>
    </w:p>
    <w:p w:rsidR="008742E9" w:rsidRPr="008742E9" w:rsidRDefault="008742E9" w:rsidP="00EB0266">
      <w:pPr>
        <w:ind w:firstLine="426"/>
        <w:jc w:val="center"/>
        <w:rPr>
          <w:rFonts w:eastAsia="Calibri"/>
          <w:sz w:val="22"/>
          <w:szCs w:val="22"/>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1.</w:t>
      </w:r>
      <w:r w:rsidRPr="008742E9">
        <w:rPr>
          <w:rFonts w:ascii="Calibri" w:eastAsia="Calibri" w:hAnsi="Calibri"/>
          <w:sz w:val="22"/>
          <w:szCs w:val="22"/>
          <w:lang w:eastAsia="en-US"/>
        </w:rPr>
        <w:t xml:space="preserve"> </w:t>
      </w:r>
      <w:r w:rsidRPr="008742E9">
        <w:rPr>
          <w:rFonts w:eastAsia="Calibri"/>
          <w:sz w:val="22"/>
          <w:szCs w:val="22"/>
          <w:lang w:eastAsia="en-US"/>
        </w:rPr>
        <w:t>Шинкаренко, А.Н. Циркуляция диплостомоза рыб в Волг</w:t>
      </w:r>
      <w:r w:rsidRPr="008742E9">
        <w:rPr>
          <w:rFonts w:eastAsia="Calibri"/>
          <w:sz w:val="22"/>
          <w:szCs w:val="22"/>
          <w:lang w:eastAsia="en-US"/>
        </w:rPr>
        <w:t>о</w:t>
      </w:r>
      <w:r w:rsidRPr="008742E9">
        <w:rPr>
          <w:rFonts w:eastAsia="Calibri"/>
          <w:sz w:val="22"/>
          <w:szCs w:val="22"/>
          <w:lang w:eastAsia="en-US"/>
        </w:rPr>
        <w:t>градской области / А.Н. Шинкаренко, С.Н. Федоткина // ВГСХА. Материалы международной научно-практической конференции, посвященной 65-летию Победы в Великой Отечественной войне «Новые направления в решении проблем АПК на основе совреме</w:t>
      </w:r>
      <w:r w:rsidRPr="008742E9">
        <w:rPr>
          <w:rFonts w:eastAsia="Calibri"/>
          <w:sz w:val="22"/>
          <w:szCs w:val="22"/>
          <w:lang w:eastAsia="en-US"/>
        </w:rPr>
        <w:t>н</w:t>
      </w:r>
      <w:r w:rsidRPr="008742E9">
        <w:rPr>
          <w:rFonts w:eastAsia="Calibri"/>
          <w:sz w:val="22"/>
          <w:szCs w:val="22"/>
          <w:lang w:eastAsia="en-US"/>
        </w:rPr>
        <w:t>ных ресурсосберегающих, инновационных технологий» / ВГСХА. – Волгоград, 2011. – Т. 1. – С. 230–231.</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2.</w:t>
      </w:r>
      <w:r w:rsidRPr="008742E9">
        <w:rPr>
          <w:rFonts w:ascii="Calibri" w:eastAsia="Calibri" w:hAnsi="Calibri"/>
          <w:sz w:val="22"/>
          <w:szCs w:val="22"/>
          <w:lang w:eastAsia="en-US"/>
        </w:rPr>
        <w:t xml:space="preserve"> </w:t>
      </w:r>
      <w:r w:rsidRPr="008742E9">
        <w:rPr>
          <w:rFonts w:eastAsia="Calibri"/>
          <w:sz w:val="22"/>
          <w:szCs w:val="22"/>
          <w:lang w:eastAsia="en-US"/>
        </w:rPr>
        <w:t>Шепелев А.М. Товароведение и экспертиза рыбы и рыбных товаров Учебное пособие – Ростов-на-Дону: Издательский центр «МарТ», 2001. – 268 с.</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3.</w:t>
      </w:r>
      <w:r w:rsidRPr="008742E9">
        <w:rPr>
          <w:rFonts w:eastAsia="Calibri"/>
          <w:sz w:val="22"/>
          <w:szCs w:val="22"/>
          <w:lang w:eastAsia="en-US"/>
        </w:rPr>
        <w:tab/>
        <w:t>Макаров Ю.А. Микробиологическая оценка природных в</w:t>
      </w:r>
      <w:r w:rsidRPr="008742E9">
        <w:rPr>
          <w:rFonts w:eastAsia="Calibri"/>
          <w:sz w:val="22"/>
          <w:szCs w:val="22"/>
          <w:lang w:eastAsia="en-US"/>
        </w:rPr>
        <w:t>о</w:t>
      </w:r>
      <w:r w:rsidRPr="008742E9">
        <w:rPr>
          <w:rFonts w:eastAsia="Calibri"/>
          <w:sz w:val="22"/>
          <w:szCs w:val="22"/>
          <w:lang w:eastAsia="en-US"/>
        </w:rPr>
        <w:t>доемов Зейско-Буреинской равнины / Ю.А. Макаров, Н.Е. Горк</w:t>
      </w:r>
      <w:r w:rsidRPr="008742E9">
        <w:rPr>
          <w:rFonts w:eastAsia="Calibri"/>
          <w:sz w:val="22"/>
          <w:szCs w:val="22"/>
          <w:lang w:eastAsia="en-US"/>
        </w:rPr>
        <w:t>о</w:t>
      </w:r>
      <w:r w:rsidRPr="008742E9">
        <w:rPr>
          <w:rFonts w:eastAsia="Calibri"/>
          <w:sz w:val="22"/>
          <w:szCs w:val="22"/>
          <w:lang w:eastAsia="en-US"/>
        </w:rPr>
        <w:t>венко, О.С. Пономарева // Дальневосточный аграрный вестник, 2008. – № 1 (5). – С. 40–44.</w:t>
      </w:r>
    </w:p>
    <w:p w:rsidR="008742E9" w:rsidRPr="008742E9" w:rsidRDefault="008742E9" w:rsidP="008742E9">
      <w:pPr>
        <w:jc w:val="both"/>
        <w:rPr>
          <w:rFonts w:eastAsia="Calibri"/>
          <w:sz w:val="22"/>
          <w:szCs w:val="22"/>
          <w:lang w:eastAsia="en-US"/>
        </w:rPr>
      </w:pPr>
    </w:p>
    <w:p w:rsidR="008742E9" w:rsidRPr="008742E9" w:rsidRDefault="00384DE6" w:rsidP="00384DE6">
      <w:pPr>
        <w:rPr>
          <w:rFonts w:eastAsia="Calibri"/>
          <w:sz w:val="22"/>
          <w:szCs w:val="22"/>
          <w:lang w:eastAsia="en-US"/>
        </w:rPr>
      </w:pPr>
      <w:r>
        <w:rPr>
          <w:rFonts w:eastAsia="Calibri"/>
          <w:sz w:val="22"/>
          <w:szCs w:val="22"/>
          <w:lang w:eastAsia="en-US"/>
        </w:rPr>
        <w:br w:type="page"/>
      </w:r>
    </w:p>
    <w:p w:rsidR="008742E9" w:rsidRPr="008742E9" w:rsidRDefault="008742E9" w:rsidP="008742E9">
      <w:pPr>
        <w:jc w:val="both"/>
        <w:rPr>
          <w:rFonts w:eastAsia="Calibri"/>
          <w:sz w:val="22"/>
          <w:szCs w:val="22"/>
          <w:lang w:eastAsia="en-US"/>
        </w:rPr>
      </w:pPr>
      <w:r w:rsidRPr="008742E9">
        <w:rPr>
          <w:rFonts w:eastAsia="Calibri"/>
          <w:sz w:val="22"/>
          <w:szCs w:val="22"/>
          <w:lang w:eastAsia="en-US"/>
        </w:rPr>
        <w:lastRenderedPageBreak/>
        <w:t>УДК 619:616-005.3</w:t>
      </w:r>
    </w:p>
    <w:p w:rsidR="008742E9" w:rsidRPr="008742E9" w:rsidRDefault="008742E9" w:rsidP="008742E9">
      <w:pPr>
        <w:jc w:val="both"/>
        <w:rPr>
          <w:rFonts w:eastAsia="Calibri"/>
          <w:b/>
          <w:sz w:val="22"/>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Патоморфология венозной гиперемии печени</w:t>
      </w:r>
    </w:p>
    <w:p w:rsidR="008742E9" w:rsidRPr="008742E9" w:rsidRDefault="008742E9" w:rsidP="008742E9">
      <w:pPr>
        <w:jc w:val="center"/>
        <w:rPr>
          <w:rFonts w:eastAsia="Calibri"/>
          <w:b/>
          <w:sz w:val="22"/>
          <w:szCs w:val="22"/>
          <w:lang w:eastAsia="en-US"/>
        </w:rPr>
      </w:pPr>
      <w:r w:rsidRPr="008742E9">
        <w:rPr>
          <w:rFonts w:eastAsia="Calibri"/>
          <w:b/>
          <w:sz w:val="24"/>
          <w:szCs w:val="22"/>
          <w:lang w:val="en-US" w:eastAsia="en-US"/>
        </w:rPr>
        <w:t>Pathomorphology</w:t>
      </w:r>
      <w:r w:rsidRPr="008742E9">
        <w:rPr>
          <w:rFonts w:eastAsia="Calibri"/>
          <w:b/>
          <w:sz w:val="24"/>
          <w:szCs w:val="22"/>
          <w:lang w:eastAsia="en-US"/>
        </w:rPr>
        <w:t xml:space="preserve"> </w:t>
      </w:r>
      <w:r w:rsidRPr="008742E9">
        <w:rPr>
          <w:rFonts w:eastAsia="Calibri"/>
          <w:b/>
          <w:sz w:val="24"/>
          <w:szCs w:val="22"/>
          <w:lang w:val="en-US" w:eastAsia="en-US"/>
        </w:rPr>
        <w:t>venous</w:t>
      </w:r>
      <w:r w:rsidRPr="008742E9">
        <w:rPr>
          <w:rFonts w:eastAsia="Calibri"/>
          <w:b/>
          <w:sz w:val="24"/>
          <w:szCs w:val="22"/>
          <w:lang w:eastAsia="en-US"/>
        </w:rPr>
        <w:t xml:space="preserve"> </w:t>
      </w:r>
      <w:r w:rsidRPr="008742E9">
        <w:rPr>
          <w:rFonts w:eastAsia="Calibri"/>
          <w:b/>
          <w:sz w:val="24"/>
          <w:szCs w:val="22"/>
          <w:lang w:val="en-US" w:eastAsia="en-US"/>
        </w:rPr>
        <w:t>hyperemia</w:t>
      </w:r>
      <w:r w:rsidRPr="008742E9">
        <w:rPr>
          <w:rFonts w:eastAsia="Calibri"/>
          <w:b/>
          <w:sz w:val="24"/>
          <w:szCs w:val="22"/>
          <w:lang w:eastAsia="en-US"/>
        </w:rPr>
        <w:t xml:space="preserve"> </w:t>
      </w:r>
      <w:r w:rsidRPr="008742E9">
        <w:rPr>
          <w:rFonts w:eastAsia="Calibri"/>
          <w:b/>
          <w:sz w:val="24"/>
          <w:szCs w:val="22"/>
          <w:lang w:val="en-US" w:eastAsia="en-US"/>
        </w:rPr>
        <w:t>of</w:t>
      </w:r>
      <w:r w:rsidRPr="008742E9">
        <w:rPr>
          <w:rFonts w:eastAsia="Calibri"/>
          <w:b/>
          <w:sz w:val="24"/>
          <w:szCs w:val="22"/>
          <w:lang w:eastAsia="en-US"/>
        </w:rPr>
        <w:t xml:space="preserve"> </w:t>
      </w:r>
      <w:r w:rsidRPr="008742E9">
        <w:rPr>
          <w:rFonts w:eastAsia="Calibri"/>
          <w:b/>
          <w:sz w:val="24"/>
          <w:szCs w:val="22"/>
          <w:lang w:val="en-US" w:eastAsia="en-US"/>
        </w:rPr>
        <w:t>the</w:t>
      </w:r>
      <w:r w:rsidRPr="008742E9">
        <w:rPr>
          <w:rFonts w:eastAsia="Calibri"/>
          <w:b/>
          <w:sz w:val="24"/>
          <w:szCs w:val="22"/>
          <w:lang w:eastAsia="en-US"/>
        </w:rPr>
        <w:t xml:space="preserve"> </w:t>
      </w:r>
      <w:r w:rsidRPr="008742E9">
        <w:rPr>
          <w:rFonts w:eastAsia="Calibri"/>
          <w:b/>
          <w:sz w:val="24"/>
          <w:szCs w:val="22"/>
          <w:lang w:val="en-US" w:eastAsia="en-US"/>
        </w:rPr>
        <w:t>liver</w:t>
      </w:r>
    </w:p>
    <w:p w:rsidR="008742E9" w:rsidRPr="008742E9" w:rsidRDefault="008742E9" w:rsidP="008742E9">
      <w:pPr>
        <w:jc w:val="right"/>
        <w:rPr>
          <w:rFonts w:eastAsia="Calibri"/>
          <w:sz w:val="22"/>
          <w:szCs w:val="22"/>
          <w:lang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Приходько А.</w:t>
      </w:r>
      <w:r w:rsidR="00EB0266">
        <w:rPr>
          <w:rFonts w:eastAsia="Calibri"/>
          <w:sz w:val="22"/>
          <w:szCs w:val="22"/>
          <w:lang w:eastAsia="en-US"/>
        </w:rPr>
        <w:t xml:space="preserve"> </w:t>
      </w:r>
      <w:r w:rsidRPr="008742E9">
        <w:rPr>
          <w:rFonts w:eastAsia="Calibri"/>
          <w:sz w:val="22"/>
          <w:szCs w:val="22"/>
          <w:lang w:eastAsia="en-US"/>
        </w:rPr>
        <w:t>В.,</w:t>
      </w:r>
    </w:p>
    <w:p w:rsidR="00EB0266" w:rsidRDefault="008742E9" w:rsidP="008742E9">
      <w:pPr>
        <w:jc w:val="right"/>
        <w:rPr>
          <w:rFonts w:eastAsia="Calibri"/>
          <w:sz w:val="22"/>
          <w:szCs w:val="22"/>
          <w:lang w:eastAsia="en-US"/>
        </w:rPr>
      </w:pPr>
      <w:r w:rsidRPr="008742E9">
        <w:rPr>
          <w:rFonts w:eastAsia="Calibri"/>
          <w:sz w:val="22"/>
          <w:szCs w:val="22"/>
          <w:lang w:eastAsia="en-US"/>
        </w:rPr>
        <w:t>студентка 4-го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Кравченко В.</w:t>
      </w:r>
      <w:r w:rsidR="00EB0266">
        <w:rPr>
          <w:rFonts w:eastAsia="Calibri"/>
          <w:sz w:val="22"/>
          <w:szCs w:val="22"/>
          <w:lang w:eastAsia="en-US"/>
        </w:rPr>
        <w:t xml:space="preserve"> </w:t>
      </w:r>
      <w:r w:rsidRPr="008742E9">
        <w:rPr>
          <w:rFonts w:eastAsia="Calibri"/>
          <w:sz w:val="22"/>
          <w:szCs w:val="22"/>
          <w:lang w:eastAsia="en-US"/>
        </w:rPr>
        <w:t>М.,</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анатомии,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ветеринарного акушерства и хирургии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w:t>
      </w:r>
      <w:r w:rsidR="00EB0266">
        <w:rPr>
          <w:rFonts w:eastAsia="Calibri"/>
          <w:sz w:val="22"/>
          <w:szCs w:val="22"/>
          <w:lang w:eastAsia="en-US"/>
        </w:rPr>
        <w:t>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EB0266">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both"/>
        <w:rPr>
          <w:rFonts w:eastAsia="Calibri"/>
          <w:sz w:val="22"/>
          <w:szCs w:val="22"/>
          <w:lang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АННОТАЦИЯ: Изучены макроскопические и микроскопич</w:t>
      </w:r>
      <w:r w:rsidRPr="008742E9">
        <w:rPr>
          <w:rFonts w:eastAsia="Calibri"/>
          <w:sz w:val="22"/>
          <w:szCs w:val="22"/>
          <w:lang w:eastAsia="en-US"/>
        </w:rPr>
        <w:t>е</w:t>
      </w:r>
      <w:r w:rsidRPr="008742E9">
        <w:rPr>
          <w:rFonts w:eastAsia="Calibri"/>
          <w:sz w:val="22"/>
          <w:szCs w:val="22"/>
          <w:lang w:eastAsia="en-US"/>
        </w:rPr>
        <w:t>ские изменения, происходящие в печени, при остром и хроническом течении венозной гиперемии.</w:t>
      </w:r>
    </w:p>
    <w:p w:rsidR="008742E9" w:rsidRPr="008742E9" w:rsidRDefault="008742E9" w:rsidP="00EB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sz w:val="22"/>
          <w:szCs w:val="22"/>
          <w:lang w:val="en-US"/>
        </w:rPr>
      </w:pPr>
      <w:r w:rsidRPr="008742E9">
        <w:rPr>
          <w:sz w:val="22"/>
          <w:szCs w:val="22"/>
          <w:lang w:val="en-US"/>
        </w:rPr>
        <w:t xml:space="preserve">ABSTRACT: </w:t>
      </w:r>
      <w:r w:rsidRPr="008742E9">
        <w:rPr>
          <w:color w:val="212121"/>
          <w:sz w:val="22"/>
          <w:szCs w:val="22"/>
          <w:lang w:val="en-US"/>
        </w:rPr>
        <w:t>Macroscopic and microscopic changes occurring in the liver, with acute and chronic course of venous hyperemia.</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КЛЮЧЕВЫЕ СЛОВА: печень, венозная гиперемия, острая, хроническая.</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KEY WORDS: liver, venous hyperemia, acute, chronic.</w:t>
      </w:r>
    </w:p>
    <w:p w:rsidR="008742E9" w:rsidRPr="008742E9" w:rsidRDefault="008742E9" w:rsidP="00EB0266">
      <w:pPr>
        <w:ind w:firstLine="426"/>
        <w:jc w:val="both"/>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Венозная гиперемия печени характеризуется повышенным кр</w:t>
      </w:r>
      <w:r w:rsidRPr="008742E9">
        <w:rPr>
          <w:rFonts w:eastAsia="Calibri"/>
          <w:sz w:val="22"/>
          <w:szCs w:val="22"/>
          <w:lang w:eastAsia="en-US"/>
        </w:rPr>
        <w:t>о</w:t>
      </w:r>
      <w:r w:rsidRPr="008742E9">
        <w:rPr>
          <w:rFonts w:eastAsia="Calibri"/>
          <w:sz w:val="22"/>
          <w:szCs w:val="22"/>
          <w:lang w:eastAsia="en-US"/>
        </w:rPr>
        <w:t>венаполнением органа, обусловленным затрудненным оттоком кр</w:t>
      </w:r>
      <w:r w:rsidRPr="008742E9">
        <w:rPr>
          <w:rFonts w:eastAsia="Calibri"/>
          <w:sz w:val="22"/>
          <w:szCs w:val="22"/>
          <w:lang w:eastAsia="en-US"/>
        </w:rPr>
        <w:t>о</w:t>
      </w:r>
      <w:r w:rsidRPr="008742E9">
        <w:rPr>
          <w:rFonts w:eastAsia="Calibri"/>
          <w:sz w:val="22"/>
          <w:szCs w:val="22"/>
          <w:lang w:eastAsia="en-US"/>
        </w:rPr>
        <w:t>ви по венам. Ее причиной чаще всего является повышение давления в системе нижней полой вены в результате  нарушения функции сердечно-сосудистой системы [1,2,3].</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В зависимости от характера течения венозная гиперемия печ</w:t>
      </w:r>
      <w:r w:rsidRPr="008742E9">
        <w:rPr>
          <w:rFonts w:eastAsia="Calibri"/>
          <w:sz w:val="22"/>
          <w:szCs w:val="22"/>
          <w:lang w:eastAsia="en-US"/>
        </w:rPr>
        <w:t>е</w:t>
      </w:r>
      <w:r w:rsidRPr="008742E9">
        <w:rPr>
          <w:rFonts w:eastAsia="Calibri"/>
          <w:sz w:val="22"/>
          <w:szCs w:val="22"/>
          <w:lang w:eastAsia="en-US"/>
        </w:rPr>
        <w:t>ни может быть острой, и в дальнейшем, если причина, вызвавшая ее, не устранима, переходить в хроническую стадию. Макроскоп</w:t>
      </w:r>
      <w:r w:rsidRPr="008742E9">
        <w:rPr>
          <w:rFonts w:eastAsia="Calibri"/>
          <w:sz w:val="22"/>
          <w:szCs w:val="22"/>
          <w:lang w:eastAsia="en-US"/>
        </w:rPr>
        <w:t>и</w:t>
      </w:r>
      <w:r w:rsidRPr="008742E9">
        <w:rPr>
          <w:rFonts w:eastAsia="Calibri"/>
          <w:sz w:val="22"/>
          <w:szCs w:val="22"/>
          <w:lang w:eastAsia="en-US"/>
        </w:rPr>
        <w:t>ческие изменения будут иметь различный характер в зависимости от течения процесса.</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При остром течении </w:t>
      </w:r>
      <w:r w:rsidRPr="008742E9">
        <w:rPr>
          <w:rFonts w:eastAsia="Calibri"/>
          <w:iCs/>
          <w:sz w:val="22"/>
          <w:szCs w:val="22"/>
          <w:bdr w:val="none" w:sz="0" w:space="0" w:color="auto" w:frame="1"/>
          <w:lang w:eastAsia="en-US"/>
        </w:rPr>
        <w:t>–</w:t>
      </w:r>
      <w:r w:rsidRPr="008742E9">
        <w:rPr>
          <w:rFonts w:eastAsia="Calibri"/>
          <w:sz w:val="22"/>
          <w:szCs w:val="22"/>
          <w:lang w:eastAsia="en-US"/>
        </w:rPr>
        <w:t xml:space="preserve"> печень резкоувеличена, капсула напр</w:t>
      </w:r>
      <w:r w:rsidRPr="008742E9">
        <w:rPr>
          <w:rFonts w:eastAsia="Calibri"/>
          <w:sz w:val="22"/>
          <w:szCs w:val="22"/>
          <w:lang w:eastAsia="en-US"/>
        </w:rPr>
        <w:t>я</w:t>
      </w:r>
      <w:r w:rsidRPr="008742E9">
        <w:rPr>
          <w:rFonts w:eastAsia="Calibri"/>
          <w:sz w:val="22"/>
          <w:szCs w:val="22"/>
          <w:lang w:eastAsia="en-US"/>
        </w:rPr>
        <w:t>жена, края тупые, ложе желчного пузыря отечное, цвет с поверхн</w:t>
      </w:r>
      <w:r w:rsidRPr="008742E9">
        <w:rPr>
          <w:rFonts w:eastAsia="Calibri"/>
          <w:sz w:val="22"/>
          <w:szCs w:val="22"/>
          <w:lang w:eastAsia="en-US"/>
        </w:rPr>
        <w:t>о</w:t>
      </w:r>
      <w:r w:rsidRPr="008742E9">
        <w:rPr>
          <w:rFonts w:eastAsia="Calibri"/>
          <w:sz w:val="22"/>
          <w:szCs w:val="22"/>
          <w:lang w:eastAsia="en-US"/>
        </w:rPr>
        <w:t xml:space="preserve">сти и на разрезе темно-вишневый. На разрезе </w:t>
      </w:r>
      <w:r w:rsidRPr="008742E9">
        <w:rPr>
          <w:rFonts w:eastAsia="Calibri"/>
          <w:iCs/>
          <w:sz w:val="22"/>
          <w:szCs w:val="22"/>
          <w:bdr w:val="none" w:sz="0" w:space="0" w:color="auto" w:frame="1"/>
          <w:lang w:eastAsia="en-US"/>
        </w:rPr>
        <w:t>с поверхности обил</w:t>
      </w:r>
      <w:r w:rsidRPr="008742E9">
        <w:rPr>
          <w:rFonts w:eastAsia="Calibri"/>
          <w:iCs/>
          <w:sz w:val="22"/>
          <w:szCs w:val="22"/>
          <w:bdr w:val="none" w:sz="0" w:space="0" w:color="auto" w:frame="1"/>
          <w:lang w:eastAsia="en-US"/>
        </w:rPr>
        <w:t>ь</w:t>
      </w:r>
      <w:r w:rsidRPr="008742E9">
        <w:rPr>
          <w:rFonts w:eastAsia="Calibri"/>
          <w:iCs/>
          <w:sz w:val="22"/>
          <w:szCs w:val="22"/>
          <w:bdr w:val="none" w:sz="0" w:space="0" w:color="auto" w:frame="1"/>
          <w:lang w:eastAsia="en-US"/>
        </w:rPr>
        <w:t>но выделяется венозная кровь, рисунок долек резко выделен и напоминает структуру мускатного ореха (мускатная п</w:t>
      </w:r>
      <w:r w:rsidRPr="008742E9">
        <w:rPr>
          <w:rFonts w:eastAsia="Calibri"/>
          <w:iCs/>
          <w:sz w:val="22"/>
          <w:szCs w:val="22"/>
          <w:bdr w:val="none" w:sz="0" w:space="0" w:color="auto" w:frame="1"/>
          <w:lang w:eastAsia="en-US"/>
        </w:rPr>
        <w:t>е</w:t>
      </w:r>
      <w:r w:rsidRPr="008742E9">
        <w:rPr>
          <w:rFonts w:eastAsia="Calibri"/>
          <w:iCs/>
          <w:sz w:val="22"/>
          <w:szCs w:val="22"/>
          <w:bdr w:val="none" w:sz="0" w:space="0" w:color="auto" w:frame="1"/>
          <w:lang w:eastAsia="en-US"/>
        </w:rPr>
        <w:lastRenderedPageBreak/>
        <w:t>чень).Обусловлено это тем, что центры долек вследствие скопления там крови окрашиваются в красный, буровато-красный или сине-красный, а периферия – в бледно-серый или серо-желтый цвет.</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При хроническом течении процесса орган принимает свою обычную форму и размер. Цвет печени будет зависеть от состояния эритроцитов. При их сохранении цвет останется темно-вишневым, а при их гемолизе в результате образования пигмента гемосидерина приобретет бурый оттенок. Независимо от цвета, за счет пролиф</w:t>
      </w:r>
      <w:r w:rsidRPr="008742E9">
        <w:rPr>
          <w:rFonts w:eastAsia="Calibri"/>
          <w:sz w:val="22"/>
          <w:szCs w:val="22"/>
          <w:lang w:eastAsia="en-US"/>
        </w:rPr>
        <w:t>е</w:t>
      </w:r>
      <w:r w:rsidRPr="008742E9">
        <w:rPr>
          <w:rFonts w:eastAsia="Calibri"/>
          <w:sz w:val="22"/>
          <w:szCs w:val="22"/>
          <w:lang w:eastAsia="en-US"/>
        </w:rPr>
        <w:t>рации молодой соединительной ткани, будет происходить индур</w:t>
      </w:r>
      <w:r w:rsidRPr="008742E9">
        <w:rPr>
          <w:rFonts w:eastAsia="Calibri"/>
          <w:sz w:val="22"/>
          <w:szCs w:val="22"/>
          <w:lang w:eastAsia="en-US"/>
        </w:rPr>
        <w:t>а</w:t>
      </w:r>
      <w:r w:rsidRPr="008742E9">
        <w:rPr>
          <w:rFonts w:eastAsia="Calibri"/>
          <w:sz w:val="22"/>
          <w:szCs w:val="22"/>
          <w:lang w:eastAsia="en-US"/>
        </w:rPr>
        <w:t>ция, и печень начнет приобретать плотную консистенцию (циан</w:t>
      </w:r>
      <w:r w:rsidRPr="008742E9">
        <w:rPr>
          <w:rFonts w:eastAsia="Calibri"/>
          <w:sz w:val="22"/>
          <w:szCs w:val="22"/>
          <w:lang w:eastAsia="en-US"/>
        </w:rPr>
        <w:t>о</w:t>
      </w:r>
      <w:r w:rsidRPr="008742E9">
        <w:rPr>
          <w:rFonts w:eastAsia="Calibri"/>
          <w:sz w:val="22"/>
          <w:szCs w:val="22"/>
          <w:lang w:eastAsia="en-US"/>
        </w:rPr>
        <w:t>тическая или бурая индурация).</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Наиболее характерным признаком венозной гиперемии являе</w:t>
      </w:r>
      <w:r w:rsidRPr="008742E9">
        <w:rPr>
          <w:rFonts w:eastAsia="Calibri"/>
          <w:sz w:val="22"/>
          <w:szCs w:val="22"/>
          <w:lang w:eastAsia="en-US"/>
        </w:rPr>
        <w:t>т</w:t>
      </w:r>
      <w:r w:rsidRPr="008742E9">
        <w:rPr>
          <w:rFonts w:eastAsia="Calibri"/>
          <w:sz w:val="22"/>
          <w:szCs w:val="22"/>
          <w:lang w:eastAsia="en-US"/>
        </w:rPr>
        <w:t>ся расширение мелких и крупных вен и капилляров.</w:t>
      </w:r>
    </w:p>
    <w:p w:rsidR="008742E9" w:rsidRPr="008742E9" w:rsidRDefault="008742E9" w:rsidP="00EB0266">
      <w:pPr>
        <w:shd w:val="clear" w:color="auto" w:fill="FFFFFF"/>
        <w:ind w:firstLine="426"/>
        <w:jc w:val="both"/>
        <w:textAlignment w:val="baseline"/>
        <w:rPr>
          <w:sz w:val="22"/>
          <w:szCs w:val="22"/>
        </w:rPr>
      </w:pPr>
      <w:r w:rsidRPr="008742E9">
        <w:rPr>
          <w:bCs/>
          <w:sz w:val="22"/>
          <w:szCs w:val="22"/>
          <w:bdr w:val="none" w:sz="0" w:space="0" w:color="auto" w:frame="1"/>
        </w:rPr>
        <w:t>Микроскопически при острой венозной гиперемии печени</w:t>
      </w:r>
      <w:r w:rsidRPr="008742E9">
        <w:rPr>
          <w:sz w:val="22"/>
          <w:szCs w:val="22"/>
        </w:rPr>
        <w:t>н</w:t>
      </w:r>
      <w:r w:rsidRPr="008742E9">
        <w:rPr>
          <w:sz w:val="22"/>
          <w:szCs w:val="22"/>
        </w:rPr>
        <w:t>а</w:t>
      </w:r>
      <w:r w:rsidRPr="008742E9">
        <w:rPr>
          <w:sz w:val="22"/>
          <w:szCs w:val="22"/>
        </w:rPr>
        <w:t>блюдаются резкое замедление и остановка тока крови, эритроциты в расширенных капиллярах лежат очень тесно, как бы склеиваются друг с другом, теряя свои контуры. При этом из расширенных к</w:t>
      </w:r>
      <w:r w:rsidRPr="008742E9">
        <w:rPr>
          <w:sz w:val="22"/>
          <w:szCs w:val="22"/>
        </w:rPr>
        <w:t>а</w:t>
      </w:r>
      <w:r w:rsidRPr="008742E9">
        <w:rPr>
          <w:sz w:val="22"/>
          <w:szCs w:val="22"/>
        </w:rPr>
        <w:t>пилляров диффундирует транссудат, содержащий  незначительное количество белка и форменных элементов крови, чем и обусловл</w:t>
      </w:r>
      <w:r w:rsidRPr="008742E9">
        <w:rPr>
          <w:sz w:val="22"/>
          <w:szCs w:val="22"/>
        </w:rPr>
        <w:t>и</w:t>
      </w:r>
      <w:r w:rsidRPr="008742E9">
        <w:rPr>
          <w:sz w:val="22"/>
          <w:szCs w:val="22"/>
        </w:rPr>
        <w:t>вает отек органа. Клеточные элементы в зоне отека подвергаются  зернистой и гидропической дистрофии.</w:t>
      </w:r>
    </w:p>
    <w:p w:rsidR="008742E9" w:rsidRPr="008742E9" w:rsidRDefault="008742E9" w:rsidP="00EB0266">
      <w:pPr>
        <w:shd w:val="clear" w:color="auto" w:fill="FFFFFF"/>
        <w:ind w:firstLine="426"/>
        <w:jc w:val="both"/>
        <w:textAlignment w:val="baseline"/>
        <w:rPr>
          <w:sz w:val="22"/>
          <w:szCs w:val="22"/>
        </w:rPr>
      </w:pPr>
      <w:r w:rsidRPr="008742E9">
        <w:rPr>
          <w:iCs/>
          <w:sz w:val="22"/>
          <w:szCs w:val="22"/>
          <w:bdr w:val="none" w:sz="0" w:space="0" w:color="auto" w:frame="1"/>
        </w:rPr>
        <w:t>Первоначально изменения наступают в районе центральных вен,которые вместе с внутридольковыми капиллярами сильно ра</w:t>
      </w:r>
      <w:r w:rsidRPr="008742E9">
        <w:rPr>
          <w:iCs/>
          <w:sz w:val="22"/>
          <w:szCs w:val="22"/>
          <w:bdr w:val="none" w:sz="0" w:space="0" w:color="auto" w:frame="1"/>
        </w:rPr>
        <w:t>с</w:t>
      </w:r>
      <w:r w:rsidRPr="008742E9">
        <w:rPr>
          <w:iCs/>
          <w:sz w:val="22"/>
          <w:szCs w:val="22"/>
          <w:bdr w:val="none" w:sz="0" w:space="0" w:color="auto" w:frame="1"/>
        </w:rPr>
        <w:t>ширены и заполнены кровью. На периферии долек, ближе к ме</w:t>
      </w:r>
      <w:r w:rsidRPr="008742E9">
        <w:rPr>
          <w:iCs/>
          <w:sz w:val="22"/>
          <w:szCs w:val="22"/>
          <w:bdr w:val="none" w:sz="0" w:space="0" w:color="auto" w:frame="1"/>
        </w:rPr>
        <w:t>ж</w:t>
      </w:r>
      <w:r w:rsidRPr="008742E9">
        <w:rPr>
          <w:iCs/>
          <w:sz w:val="22"/>
          <w:szCs w:val="22"/>
          <w:bdr w:val="none" w:sz="0" w:space="0" w:color="auto" w:frame="1"/>
        </w:rPr>
        <w:t>дольковой соединительной ткани, гиперемия выражена слабо или отсутствует. Балки в центре долек более или менее истончены и отстоят друг от друга, а в отдельных дольках как бы распались на группы клеток. Создается впечатление, что эти группы клеток или даже отдельные печеночные клетки свободно располагаются среди скопившихся эритроцитов. При большом увеличении микроскопа обращают внимание на центральные и периферические части долек. Печеночные балки центров долек тонкие, местами подверглись дискомплексации. Границы печеночных клеток не четко выражены, а их ядра в основной массе пикнотичны– темно окрашены, и часть их имеет неровные, зубчатые контуры.</w:t>
      </w:r>
    </w:p>
    <w:p w:rsidR="008742E9" w:rsidRPr="008742E9" w:rsidRDefault="008742E9" w:rsidP="00EB0266">
      <w:pPr>
        <w:shd w:val="clear" w:color="auto" w:fill="FFFFFF"/>
        <w:ind w:firstLine="426"/>
        <w:jc w:val="both"/>
        <w:textAlignment w:val="baseline"/>
        <w:rPr>
          <w:iCs/>
          <w:sz w:val="22"/>
          <w:szCs w:val="22"/>
          <w:bdr w:val="none" w:sz="0" w:space="0" w:color="auto" w:frame="1"/>
        </w:rPr>
      </w:pPr>
      <w:r w:rsidRPr="008742E9">
        <w:rPr>
          <w:iCs/>
          <w:sz w:val="22"/>
          <w:szCs w:val="22"/>
          <w:bdr w:val="none" w:sz="0" w:space="0" w:color="auto" w:frame="1"/>
        </w:rPr>
        <w:t>В цитоплазме гепатоцитов обнаруживается желто-коричневогоили бурого цвета пигмент липофусцин, что является признаком хронического нарушения  белкового обмена. Цитопла</w:t>
      </w:r>
      <w:r w:rsidRPr="008742E9">
        <w:rPr>
          <w:iCs/>
          <w:sz w:val="22"/>
          <w:szCs w:val="22"/>
          <w:bdr w:val="none" w:sz="0" w:space="0" w:color="auto" w:frame="1"/>
        </w:rPr>
        <w:t>з</w:t>
      </w:r>
      <w:r w:rsidRPr="008742E9">
        <w:rPr>
          <w:iCs/>
          <w:sz w:val="22"/>
          <w:szCs w:val="22"/>
          <w:bdr w:val="none" w:sz="0" w:space="0" w:color="auto" w:frame="1"/>
        </w:rPr>
        <w:lastRenderedPageBreak/>
        <w:t xml:space="preserve">ма гепатоцитовв средней и периферической части долек  содержит неокрашенные места. </w:t>
      </w:r>
    </w:p>
    <w:p w:rsidR="008742E9" w:rsidRPr="008742E9" w:rsidRDefault="008742E9" w:rsidP="00EB0266">
      <w:pPr>
        <w:ind w:firstLine="426"/>
        <w:jc w:val="both"/>
        <w:textAlignment w:val="baseline"/>
        <w:rPr>
          <w:sz w:val="22"/>
          <w:szCs w:val="22"/>
        </w:rPr>
      </w:pPr>
      <w:r w:rsidRPr="008742E9">
        <w:rPr>
          <w:bCs/>
          <w:iCs/>
          <w:sz w:val="22"/>
          <w:szCs w:val="22"/>
          <w:bdr w:val="none" w:sz="0" w:space="0" w:color="auto" w:frame="1"/>
        </w:rPr>
        <w:t>При хронической венозной гиперемии печенип</w:t>
      </w:r>
      <w:r w:rsidRPr="008742E9">
        <w:rPr>
          <w:sz w:val="22"/>
          <w:szCs w:val="22"/>
        </w:rPr>
        <w:t>ризнаки отека снижаются, а – пролиферации увеличиваются.  Постепенно прои</w:t>
      </w:r>
      <w:r w:rsidRPr="008742E9">
        <w:rPr>
          <w:sz w:val="22"/>
          <w:szCs w:val="22"/>
        </w:rPr>
        <w:t>с</w:t>
      </w:r>
      <w:r w:rsidRPr="008742E9">
        <w:rPr>
          <w:sz w:val="22"/>
          <w:szCs w:val="22"/>
        </w:rPr>
        <w:t>ходит пролиферация элементов грануляционной соединительной ткани: эндотелиальных клеток, полибластов, эпителиоидных  кл</w:t>
      </w:r>
      <w:r w:rsidRPr="008742E9">
        <w:rPr>
          <w:sz w:val="22"/>
          <w:szCs w:val="22"/>
        </w:rPr>
        <w:t>е</w:t>
      </w:r>
      <w:r w:rsidRPr="008742E9">
        <w:rPr>
          <w:sz w:val="22"/>
          <w:szCs w:val="22"/>
        </w:rPr>
        <w:t>ток и фибробластов. Затем грануляционная ткань, созревает и пр</w:t>
      </w:r>
      <w:r w:rsidRPr="008742E9">
        <w:rPr>
          <w:sz w:val="22"/>
          <w:szCs w:val="22"/>
        </w:rPr>
        <w:t>е</w:t>
      </w:r>
      <w:r w:rsidRPr="008742E9">
        <w:rPr>
          <w:sz w:val="22"/>
          <w:szCs w:val="22"/>
        </w:rPr>
        <w:t>вращается в зрелую.</w:t>
      </w:r>
      <w:r w:rsidRPr="008742E9">
        <w:rPr>
          <w:iCs/>
          <w:sz w:val="22"/>
          <w:szCs w:val="22"/>
          <w:bdr w:val="none" w:sz="0" w:space="0" w:color="auto" w:frame="1"/>
        </w:rPr>
        <w:t xml:space="preserve"> Степень уплотнения печени является показат</w:t>
      </w:r>
      <w:r w:rsidRPr="008742E9">
        <w:rPr>
          <w:iCs/>
          <w:sz w:val="22"/>
          <w:szCs w:val="22"/>
          <w:bdr w:val="none" w:sz="0" w:space="0" w:color="auto" w:frame="1"/>
        </w:rPr>
        <w:t>е</w:t>
      </w:r>
      <w:r w:rsidRPr="008742E9">
        <w:rPr>
          <w:iCs/>
          <w:sz w:val="22"/>
          <w:szCs w:val="22"/>
          <w:bdr w:val="none" w:sz="0" w:space="0" w:color="auto" w:frame="1"/>
        </w:rPr>
        <w:t>лем длительности этого процесса и  до некоторой степени сохран</w:t>
      </w:r>
      <w:r w:rsidRPr="008742E9">
        <w:rPr>
          <w:iCs/>
          <w:sz w:val="22"/>
          <w:szCs w:val="22"/>
          <w:bdr w:val="none" w:sz="0" w:space="0" w:color="auto" w:frame="1"/>
        </w:rPr>
        <w:t>я</w:t>
      </w:r>
      <w:r w:rsidRPr="008742E9">
        <w:rPr>
          <w:iCs/>
          <w:sz w:val="22"/>
          <w:szCs w:val="22"/>
          <w:bdr w:val="none" w:sz="0" w:space="0" w:color="auto" w:frame="1"/>
        </w:rPr>
        <w:t>ет мускатный рисунок. В дальнейшем консистенция еще более уплотняется, что является морфологическим признаком мускатного цирроза.</w:t>
      </w:r>
    </w:p>
    <w:p w:rsidR="008742E9" w:rsidRPr="008742E9" w:rsidRDefault="008742E9" w:rsidP="00EB0266">
      <w:pPr>
        <w:ind w:firstLine="426"/>
        <w:jc w:val="both"/>
        <w:textAlignment w:val="baseline"/>
        <w:rPr>
          <w:iCs/>
          <w:sz w:val="22"/>
          <w:szCs w:val="22"/>
          <w:bdr w:val="none" w:sz="0" w:space="0" w:color="auto" w:frame="1"/>
        </w:rPr>
      </w:pPr>
    </w:p>
    <w:p w:rsidR="008742E9" w:rsidRPr="008742E9" w:rsidRDefault="008742E9" w:rsidP="00EB0266">
      <w:pPr>
        <w:ind w:firstLine="426"/>
        <w:jc w:val="center"/>
        <w:textAlignment w:val="baseline"/>
        <w:rPr>
          <w:iCs/>
          <w:sz w:val="22"/>
          <w:szCs w:val="22"/>
          <w:bdr w:val="none" w:sz="0" w:space="0" w:color="auto" w:frame="1"/>
        </w:rPr>
      </w:pPr>
      <w:r w:rsidRPr="008742E9">
        <w:rPr>
          <w:iCs/>
          <w:sz w:val="22"/>
          <w:szCs w:val="22"/>
          <w:bdr w:val="none" w:sz="0" w:space="0" w:color="auto" w:frame="1"/>
        </w:rPr>
        <w:t>Список литературы</w:t>
      </w:r>
    </w:p>
    <w:p w:rsidR="008742E9" w:rsidRPr="008742E9" w:rsidRDefault="008742E9" w:rsidP="00EB0266">
      <w:pPr>
        <w:ind w:firstLine="426"/>
        <w:jc w:val="both"/>
        <w:textAlignment w:val="baseline"/>
        <w:rPr>
          <w:iCs/>
          <w:sz w:val="22"/>
          <w:szCs w:val="22"/>
          <w:bdr w:val="none" w:sz="0" w:space="0" w:color="auto" w:frame="1"/>
          <w:shd w:val="clear" w:color="auto" w:fill="FFFFFF"/>
        </w:rPr>
      </w:pPr>
      <w:r w:rsidRPr="008742E9">
        <w:rPr>
          <w:iCs/>
          <w:sz w:val="22"/>
          <w:szCs w:val="22"/>
          <w:bdr w:val="none" w:sz="0" w:space="0" w:color="auto" w:frame="1"/>
          <w:shd w:val="clear" w:color="auto" w:fill="FFFFFF"/>
        </w:rPr>
        <w:t>1. Зинченко А. В.Ультразвуковые и гемодинамические крит</w:t>
      </w:r>
      <w:r w:rsidRPr="008742E9">
        <w:rPr>
          <w:iCs/>
          <w:sz w:val="22"/>
          <w:szCs w:val="22"/>
          <w:bdr w:val="none" w:sz="0" w:space="0" w:color="auto" w:frame="1"/>
          <w:shd w:val="clear" w:color="auto" w:fill="FFFFFF"/>
        </w:rPr>
        <w:t>е</w:t>
      </w:r>
      <w:r w:rsidRPr="008742E9">
        <w:rPr>
          <w:iCs/>
          <w:sz w:val="22"/>
          <w:szCs w:val="22"/>
          <w:bdr w:val="none" w:sz="0" w:space="0" w:color="auto" w:frame="1"/>
          <w:shd w:val="clear" w:color="auto" w:fill="FFFFFF"/>
        </w:rPr>
        <w:t>рии в диагностике цирроза печени: автореф. дис. … канд. мед.наук. Москва, 2007. –31 с.</w:t>
      </w:r>
    </w:p>
    <w:p w:rsidR="008742E9" w:rsidRPr="008742E9" w:rsidRDefault="008742E9" w:rsidP="00EB0266">
      <w:pPr>
        <w:ind w:firstLine="426"/>
        <w:jc w:val="both"/>
        <w:textAlignment w:val="baseline"/>
        <w:rPr>
          <w:iCs/>
          <w:sz w:val="22"/>
          <w:szCs w:val="22"/>
          <w:bdr w:val="none" w:sz="0" w:space="0" w:color="auto" w:frame="1"/>
          <w:shd w:val="clear" w:color="auto" w:fill="FFFFFF"/>
          <w:lang w:val="en-US"/>
        </w:rPr>
      </w:pPr>
      <w:r w:rsidRPr="008742E9">
        <w:rPr>
          <w:iCs/>
          <w:sz w:val="22"/>
          <w:szCs w:val="22"/>
          <w:bdr w:val="none" w:sz="0" w:space="0" w:color="auto" w:frame="1"/>
          <w:shd w:val="clear" w:color="auto" w:fill="FFFFFF"/>
        </w:rPr>
        <w:t xml:space="preserve">2. Серов В. В., Воинова Л. В. Этиологическая и нозологическая оценка патологий печени // Росс.журн.гастроэнтер., гепатол., коло-проктол. </w:t>
      </w:r>
      <w:r w:rsidRPr="008742E9">
        <w:rPr>
          <w:iCs/>
          <w:sz w:val="22"/>
          <w:szCs w:val="22"/>
          <w:bdr w:val="none" w:sz="0" w:space="0" w:color="auto" w:frame="1"/>
          <w:shd w:val="clear" w:color="auto" w:fill="FFFFFF"/>
          <w:lang w:val="en-US"/>
        </w:rPr>
        <w:t xml:space="preserve">2000. - № 2. - </w:t>
      </w:r>
      <w:r w:rsidRPr="008742E9">
        <w:rPr>
          <w:iCs/>
          <w:sz w:val="22"/>
          <w:szCs w:val="22"/>
          <w:bdr w:val="none" w:sz="0" w:space="0" w:color="auto" w:frame="1"/>
          <w:shd w:val="clear" w:color="auto" w:fill="FFFFFF"/>
        </w:rPr>
        <w:t>С</w:t>
      </w:r>
      <w:r w:rsidRPr="008742E9">
        <w:rPr>
          <w:iCs/>
          <w:sz w:val="22"/>
          <w:szCs w:val="22"/>
          <w:bdr w:val="none" w:sz="0" w:space="0" w:color="auto" w:frame="1"/>
          <w:shd w:val="clear" w:color="auto" w:fill="FFFFFF"/>
          <w:lang w:val="en-US"/>
        </w:rPr>
        <w:t>.41-44.</w:t>
      </w:r>
    </w:p>
    <w:p w:rsidR="008742E9" w:rsidRPr="008742E9" w:rsidRDefault="008742E9" w:rsidP="00EB0266">
      <w:pPr>
        <w:ind w:firstLine="426"/>
        <w:jc w:val="both"/>
        <w:rPr>
          <w:rFonts w:eastAsia="Calibri"/>
          <w:iCs/>
          <w:sz w:val="22"/>
          <w:szCs w:val="22"/>
          <w:bdr w:val="none" w:sz="0" w:space="0" w:color="auto" w:frame="1"/>
          <w:shd w:val="clear" w:color="auto" w:fill="FFFFFF"/>
          <w:lang w:eastAsia="en-US"/>
        </w:rPr>
      </w:pPr>
      <w:r w:rsidRPr="008742E9">
        <w:rPr>
          <w:rFonts w:eastAsia="Calibri"/>
          <w:iCs/>
          <w:sz w:val="22"/>
          <w:szCs w:val="22"/>
          <w:bdr w:val="none" w:sz="0" w:space="0" w:color="auto" w:frame="1"/>
          <w:shd w:val="clear" w:color="auto" w:fill="FFFFFF"/>
          <w:lang w:val="en-US" w:eastAsia="en-US"/>
        </w:rPr>
        <w:t>3. Colli A, Colucci A, Paggi S, Fraquclli M, Massironi S, Andr</w:t>
      </w:r>
      <w:r w:rsidRPr="008742E9">
        <w:rPr>
          <w:rFonts w:eastAsia="Calibri"/>
          <w:iCs/>
          <w:sz w:val="22"/>
          <w:szCs w:val="22"/>
          <w:bdr w:val="none" w:sz="0" w:space="0" w:color="auto" w:frame="1"/>
          <w:shd w:val="clear" w:color="auto" w:fill="FFFFFF"/>
          <w:lang w:val="en-US" w:eastAsia="en-US"/>
        </w:rPr>
        <w:t>e</w:t>
      </w:r>
      <w:r w:rsidRPr="008742E9">
        <w:rPr>
          <w:rFonts w:eastAsia="Calibri"/>
          <w:iCs/>
          <w:sz w:val="22"/>
          <w:szCs w:val="22"/>
          <w:bdr w:val="none" w:sz="0" w:space="0" w:color="auto" w:frame="1"/>
          <w:shd w:val="clear" w:color="auto" w:fill="FFFFFF"/>
          <w:lang w:val="en-US" w:eastAsia="en-US"/>
        </w:rPr>
        <w:t>oletti M, Michela V, Conte D. Accuracy of a predictive model for severe hepatic fibrosis or cirrhosis in chronic hepatitis C. World J Gastroente</w:t>
      </w:r>
      <w:r w:rsidRPr="008742E9">
        <w:rPr>
          <w:rFonts w:eastAsia="Calibri"/>
          <w:iCs/>
          <w:sz w:val="22"/>
          <w:szCs w:val="22"/>
          <w:bdr w:val="none" w:sz="0" w:space="0" w:color="auto" w:frame="1"/>
          <w:shd w:val="clear" w:color="auto" w:fill="FFFFFF"/>
          <w:lang w:val="en-US" w:eastAsia="en-US"/>
        </w:rPr>
        <w:t>r</w:t>
      </w:r>
      <w:r w:rsidRPr="008742E9">
        <w:rPr>
          <w:rFonts w:eastAsia="Calibri"/>
          <w:iCs/>
          <w:sz w:val="22"/>
          <w:szCs w:val="22"/>
          <w:bdr w:val="none" w:sz="0" w:space="0" w:color="auto" w:frame="1"/>
          <w:shd w:val="clear" w:color="auto" w:fill="FFFFFF"/>
          <w:lang w:val="en-US" w:eastAsia="en-US"/>
        </w:rPr>
        <w:t xml:space="preserve">ol. </w:t>
      </w:r>
      <w:r w:rsidRPr="008742E9">
        <w:rPr>
          <w:rFonts w:eastAsia="Calibri"/>
          <w:iCs/>
          <w:sz w:val="22"/>
          <w:szCs w:val="22"/>
          <w:bdr w:val="none" w:sz="0" w:space="0" w:color="auto" w:frame="1"/>
          <w:shd w:val="clear" w:color="auto" w:fill="FFFFFF"/>
          <w:lang w:eastAsia="en-US"/>
        </w:rPr>
        <w:t>2005 Dec. 14; 11(46). - рр. 7318-7322.</w:t>
      </w:r>
    </w:p>
    <w:p w:rsidR="00EB0266" w:rsidRDefault="00EB0266" w:rsidP="008742E9">
      <w:pPr>
        <w:spacing w:after="200"/>
        <w:rPr>
          <w:rFonts w:eastAsia="Calibri"/>
          <w:sz w:val="22"/>
          <w:szCs w:val="22"/>
          <w:lang w:eastAsia="en-US"/>
        </w:rPr>
      </w:pPr>
    </w:p>
    <w:p w:rsidR="00384DE6" w:rsidRDefault="00384DE6" w:rsidP="00384DE6">
      <w:pPr>
        <w:rPr>
          <w:rFonts w:eastAsia="Calibri"/>
          <w:sz w:val="22"/>
          <w:szCs w:val="22"/>
          <w:lang w:eastAsia="en-US"/>
        </w:rPr>
      </w:pPr>
      <w:r>
        <w:rPr>
          <w:rFonts w:eastAsia="Calibri"/>
          <w:sz w:val="22"/>
          <w:szCs w:val="22"/>
          <w:lang w:eastAsia="en-US"/>
        </w:rPr>
        <w:br w:type="page"/>
      </w:r>
    </w:p>
    <w:p w:rsidR="008742E9" w:rsidRPr="00EB0266" w:rsidRDefault="008742E9" w:rsidP="008742E9">
      <w:pPr>
        <w:spacing w:after="200"/>
        <w:rPr>
          <w:rFonts w:eastAsia="Calibri"/>
          <w:sz w:val="22"/>
          <w:szCs w:val="22"/>
          <w:lang w:eastAsia="en-US"/>
        </w:rPr>
      </w:pPr>
      <w:r w:rsidRPr="00EB0266">
        <w:rPr>
          <w:rFonts w:eastAsia="Calibri"/>
          <w:sz w:val="22"/>
          <w:szCs w:val="22"/>
          <w:lang w:eastAsia="en-US"/>
        </w:rPr>
        <w:lastRenderedPageBreak/>
        <w:t>УДК  619:616.37-002:[636.7+636.8</w:t>
      </w: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 xml:space="preserve">Диагностика панкреатита у собак и кошек </w:t>
      </w:r>
      <w:r w:rsidR="00EB0266">
        <w:rPr>
          <w:rFonts w:eastAsia="Calibri"/>
          <w:b/>
          <w:sz w:val="24"/>
          <w:szCs w:val="22"/>
          <w:lang w:eastAsia="en-US"/>
        </w:rPr>
        <w:br/>
      </w:r>
      <w:r w:rsidRPr="008742E9">
        <w:rPr>
          <w:rFonts w:eastAsia="Calibri"/>
          <w:b/>
          <w:sz w:val="24"/>
          <w:szCs w:val="22"/>
          <w:lang w:eastAsia="en-US"/>
        </w:rPr>
        <w:t>с использованием лабораторных методов исследований</w:t>
      </w:r>
    </w:p>
    <w:p w:rsidR="008742E9" w:rsidRPr="00024398" w:rsidRDefault="008742E9" w:rsidP="008742E9">
      <w:pPr>
        <w:spacing w:after="200"/>
        <w:jc w:val="center"/>
        <w:rPr>
          <w:rFonts w:eastAsia="Calibri"/>
          <w:b/>
          <w:sz w:val="24"/>
          <w:szCs w:val="22"/>
          <w:lang w:val="en-US" w:eastAsia="en-US"/>
        </w:rPr>
      </w:pPr>
      <w:r w:rsidRPr="008742E9">
        <w:rPr>
          <w:rFonts w:eastAsia="Calibri"/>
          <w:b/>
          <w:sz w:val="24"/>
          <w:szCs w:val="22"/>
          <w:lang w:val="en-US" w:eastAsia="en-US"/>
        </w:rPr>
        <w:t>Diagnosis</w:t>
      </w:r>
      <w:r w:rsidRPr="00024398">
        <w:rPr>
          <w:rFonts w:eastAsia="Calibri"/>
          <w:b/>
          <w:sz w:val="24"/>
          <w:szCs w:val="22"/>
          <w:lang w:val="en-US" w:eastAsia="en-US"/>
        </w:rPr>
        <w:t xml:space="preserve"> </w:t>
      </w:r>
      <w:r w:rsidRPr="008742E9">
        <w:rPr>
          <w:rFonts w:eastAsia="Calibri"/>
          <w:b/>
          <w:sz w:val="24"/>
          <w:szCs w:val="22"/>
          <w:lang w:val="en-US" w:eastAsia="en-US"/>
        </w:rPr>
        <w:t>of</w:t>
      </w:r>
      <w:r w:rsidRPr="00024398">
        <w:rPr>
          <w:rFonts w:eastAsia="Calibri"/>
          <w:b/>
          <w:sz w:val="24"/>
          <w:szCs w:val="22"/>
          <w:lang w:val="en-US" w:eastAsia="en-US"/>
        </w:rPr>
        <w:t xml:space="preserve"> </w:t>
      </w:r>
      <w:r w:rsidRPr="008742E9">
        <w:rPr>
          <w:rFonts w:eastAsia="Calibri"/>
          <w:b/>
          <w:sz w:val="24"/>
          <w:szCs w:val="22"/>
          <w:lang w:val="en-US" w:eastAsia="en-US"/>
        </w:rPr>
        <w:t>pancreatitis</w:t>
      </w:r>
      <w:r w:rsidRPr="00024398">
        <w:rPr>
          <w:rFonts w:eastAsia="Calibri"/>
          <w:b/>
          <w:sz w:val="24"/>
          <w:szCs w:val="22"/>
          <w:lang w:val="en-US" w:eastAsia="en-US"/>
        </w:rPr>
        <w:t xml:space="preserve"> </w:t>
      </w:r>
      <w:r w:rsidRPr="008742E9">
        <w:rPr>
          <w:rFonts w:eastAsia="Calibri"/>
          <w:b/>
          <w:sz w:val="24"/>
          <w:szCs w:val="22"/>
          <w:lang w:val="en-US" w:eastAsia="en-US"/>
        </w:rPr>
        <w:t>indogs</w:t>
      </w:r>
      <w:r w:rsidRPr="00024398">
        <w:rPr>
          <w:rFonts w:eastAsia="Calibri"/>
          <w:b/>
          <w:sz w:val="24"/>
          <w:szCs w:val="22"/>
          <w:lang w:val="en-US" w:eastAsia="en-US"/>
        </w:rPr>
        <w:t xml:space="preserve"> </w:t>
      </w:r>
      <w:r w:rsidRPr="008742E9">
        <w:rPr>
          <w:rFonts w:eastAsia="Calibri"/>
          <w:b/>
          <w:sz w:val="24"/>
          <w:szCs w:val="22"/>
          <w:lang w:val="en-US" w:eastAsia="en-US"/>
        </w:rPr>
        <w:t>and</w:t>
      </w:r>
      <w:r w:rsidRPr="00024398">
        <w:rPr>
          <w:rFonts w:eastAsia="Calibri"/>
          <w:b/>
          <w:sz w:val="24"/>
          <w:szCs w:val="22"/>
          <w:lang w:val="en-US" w:eastAsia="en-US"/>
        </w:rPr>
        <w:t xml:space="preserve"> </w:t>
      </w:r>
      <w:r w:rsidRPr="008742E9">
        <w:rPr>
          <w:rFonts w:eastAsia="Calibri"/>
          <w:b/>
          <w:sz w:val="24"/>
          <w:szCs w:val="22"/>
          <w:lang w:val="en-US" w:eastAsia="en-US"/>
        </w:rPr>
        <w:t>cats</w:t>
      </w:r>
      <w:r w:rsidRPr="00024398">
        <w:rPr>
          <w:rFonts w:eastAsia="Calibri"/>
          <w:b/>
          <w:sz w:val="24"/>
          <w:szCs w:val="22"/>
          <w:lang w:val="en-US" w:eastAsia="en-US"/>
        </w:rPr>
        <w:t xml:space="preserve"> </w:t>
      </w:r>
      <w:r w:rsidRPr="00024398">
        <w:rPr>
          <w:rFonts w:eastAsia="Calibri"/>
          <w:b/>
          <w:sz w:val="24"/>
          <w:szCs w:val="22"/>
          <w:lang w:val="en-US" w:eastAsia="en-US"/>
        </w:rPr>
        <w:br/>
      </w:r>
      <w:r w:rsidRPr="008742E9">
        <w:rPr>
          <w:rFonts w:eastAsia="Calibri"/>
          <w:b/>
          <w:sz w:val="24"/>
          <w:szCs w:val="22"/>
          <w:lang w:val="en-US" w:eastAsia="en-US"/>
        </w:rPr>
        <w:t>using</w:t>
      </w:r>
      <w:r w:rsidRPr="00024398">
        <w:rPr>
          <w:rFonts w:eastAsia="Calibri"/>
          <w:b/>
          <w:sz w:val="24"/>
          <w:szCs w:val="22"/>
          <w:lang w:val="en-US" w:eastAsia="en-US"/>
        </w:rPr>
        <w:t xml:space="preserve"> </w:t>
      </w:r>
      <w:r w:rsidRPr="008742E9">
        <w:rPr>
          <w:rFonts w:eastAsia="Calibri"/>
          <w:b/>
          <w:sz w:val="24"/>
          <w:szCs w:val="22"/>
          <w:lang w:val="en-US" w:eastAsia="en-US"/>
        </w:rPr>
        <w:t>laboratory</w:t>
      </w:r>
      <w:r w:rsidRPr="00024398">
        <w:rPr>
          <w:rFonts w:eastAsia="Calibri"/>
          <w:b/>
          <w:sz w:val="24"/>
          <w:szCs w:val="22"/>
          <w:lang w:val="en-US" w:eastAsia="en-US"/>
        </w:rPr>
        <w:t xml:space="preserve"> </w:t>
      </w:r>
      <w:r w:rsidRPr="008742E9">
        <w:rPr>
          <w:rFonts w:eastAsia="Calibri"/>
          <w:b/>
          <w:sz w:val="24"/>
          <w:szCs w:val="22"/>
          <w:lang w:val="en-US" w:eastAsia="en-US"/>
        </w:rPr>
        <w:t>methods</w:t>
      </w:r>
    </w:p>
    <w:p w:rsidR="00EB0266" w:rsidRDefault="008742E9" w:rsidP="008742E9">
      <w:pPr>
        <w:jc w:val="right"/>
        <w:rPr>
          <w:rFonts w:eastAsia="Calibri"/>
          <w:sz w:val="22"/>
          <w:szCs w:val="22"/>
          <w:lang w:eastAsia="en-US"/>
        </w:rPr>
      </w:pPr>
      <w:r w:rsidRPr="008742E9">
        <w:rPr>
          <w:rFonts w:eastAsia="Calibri"/>
          <w:sz w:val="22"/>
          <w:szCs w:val="22"/>
          <w:lang w:eastAsia="en-US"/>
        </w:rPr>
        <w:t>Романова А. Р.,</w:t>
      </w:r>
      <w:r w:rsidRPr="008742E9">
        <w:rPr>
          <w:rFonts w:eastAsia="Calibri"/>
          <w:sz w:val="22"/>
          <w:szCs w:val="22"/>
          <w:lang w:eastAsia="en-US"/>
        </w:rPr>
        <w:br/>
        <w:t xml:space="preserve"> студентка 5-го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w:t>
      </w:r>
      <w:r w:rsidR="00EB0266">
        <w:rPr>
          <w:rFonts w:eastAsia="Calibri"/>
          <w:sz w:val="22"/>
          <w:szCs w:val="22"/>
          <w:lang w:eastAsia="en-US"/>
        </w:rPr>
        <w:t>ф</w:t>
      </w:r>
      <w:r w:rsidRPr="008742E9">
        <w:rPr>
          <w:rFonts w:eastAsia="Calibri"/>
          <w:sz w:val="22"/>
          <w:szCs w:val="22"/>
          <w:lang w:eastAsia="en-US"/>
        </w:rPr>
        <w:t>акультета</w:t>
      </w:r>
      <w:r w:rsidR="00EB0266">
        <w:rPr>
          <w:rFonts w:eastAsia="Calibri"/>
          <w:sz w:val="22"/>
          <w:szCs w:val="22"/>
          <w:lang w:eastAsia="en-US"/>
        </w:rPr>
        <w:t xml:space="preserve"> </w:t>
      </w:r>
      <w:r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Бурменская Г. А.,</w:t>
      </w:r>
    </w:p>
    <w:p w:rsidR="008742E9" w:rsidRPr="008742E9" w:rsidRDefault="00EB0266" w:rsidP="008742E9">
      <w:pPr>
        <w:jc w:val="right"/>
        <w:rPr>
          <w:rFonts w:eastAsia="Calibri"/>
          <w:sz w:val="22"/>
          <w:szCs w:val="22"/>
          <w:lang w:eastAsia="en-US"/>
        </w:rPr>
      </w:pPr>
      <w:r>
        <w:rPr>
          <w:rFonts w:eastAsia="Calibri"/>
          <w:sz w:val="22"/>
          <w:szCs w:val="22"/>
          <w:lang w:eastAsia="en-US"/>
        </w:rPr>
        <w:t>к</w:t>
      </w:r>
      <w:r w:rsidR="008742E9" w:rsidRPr="008742E9">
        <w:rPr>
          <w:rFonts w:eastAsia="Calibri"/>
          <w:sz w:val="22"/>
          <w:szCs w:val="22"/>
          <w:lang w:eastAsia="en-US"/>
        </w:rPr>
        <w:t>ан</w:t>
      </w:r>
      <w:r>
        <w:rPr>
          <w:rFonts w:eastAsia="Calibri"/>
          <w:sz w:val="22"/>
          <w:szCs w:val="22"/>
          <w:lang w:eastAsia="en-US"/>
        </w:rPr>
        <w:t>дидат ветеринарных наук, доцент</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кафедры терапии и фармакологии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Кубанский государственный аграрный </w:t>
      </w:r>
      <w:r w:rsidRPr="008742E9">
        <w:rPr>
          <w:rFonts w:eastAsia="Calibri"/>
          <w:sz w:val="22"/>
          <w:szCs w:val="22"/>
          <w:lang w:eastAsia="en-US"/>
        </w:rPr>
        <w:br/>
        <w:t>университет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АННОТАЦИЯ: Изучены новые методы лабораторной диагн</w:t>
      </w:r>
      <w:r w:rsidRPr="008742E9">
        <w:rPr>
          <w:rFonts w:eastAsia="Calibri"/>
          <w:sz w:val="22"/>
          <w:szCs w:val="22"/>
          <w:lang w:eastAsia="en-US"/>
        </w:rPr>
        <w:t>о</w:t>
      </w:r>
      <w:r w:rsidRPr="008742E9">
        <w:rPr>
          <w:rFonts w:eastAsia="Calibri"/>
          <w:sz w:val="22"/>
          <w:szCs w:val="22"/>
          <w:lang w:eastAsia="en-US"/>
        </w:rPr>
        <w:t>стики панкреатита у собак и кошек. Доказана эффективность пр</w:t>
      </w:r>
      <w:r w:rsidRPr="008742E9">
        <w:rPr>
          <w:rFonts w:eastAsia="Calibri"/>
          <w:sz w:val="22"/>
          <w:szCs w:val="22"/>
          <w:lang w:eastAsia="en-US"/>
        </w:rPr>
        <w:t>и</w:t>
      </w:r>
      <w:r w:rsidRPr="008742E9">
        <w:rPr>
          <w:rFonts w:eastAsia="Calibri"/>
          <w:sz w:val="22"/>
          <w:szCs w:val="22"/>
          <w:lang w:eastAsia="en-US"/>
        </w:rPr>
        <w:t>менения лабораторных методов исследования для постановки ди</w:t>
      </w:r>
      <w:r w:rsidRPr="008742E9">
        <w:rPr>
          <w:rFonts w:eastAsia="Calibri"/>
          <w:sz w:val="22"/>
          <w:szCs w:val="22"/>
          <w:lang w:eastAsia="en-US"/>
        </w:rPr>
        <w:t>а</w:t>
      </w:r>
      <w:r w:rsidRPr="008742E9">
        <w:rPr>
          <w:rFonts w:eastAsia="Calibri"/>
          <w:sz w:val="22"/>
          <w:szCs w:val="22"/>
          <w:lang w:eastAsia="en-US"/>
        </w:rPr>
        <w:t>гноза панкреатит.</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ABSTRACT: Studied new methods for the laboratory diagnosis of pancreatitis in dogs and cats. The effectiveness of laboratory research methods for potency diagnosis of pancreatitis has been proved</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КЛЮЧЕВЫЕ СЛОВА: панкреатит, лабораторные методы, л</w:t>
      </w:r>
      <w:r w:rsidRPr="008742E9">
        <w:rPr>
          <w:rFonts w:eastAsia="Calibri"/>
          <w:sz w:val="22"/>
          <w:szCs w:val="22"/>
          <w:lang w:eastAsia="en-US"/>
        </w:rPr>
        <w:t>и</w:t>
      </w:r>
      <w:r w:rsidRPr="008742E9">
        <w:rPr>
          <w:rFonts w:eastAsia="Calibri"/>
          <w:sz w:val="22"/>
          <w:szCs w:val="22"/>
          <w:lang w:eastAsia="en-US"/>
        </w:rPr>
        <w:t>паза, тесты, трипсин, иммунореактивность.</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KEY WORDS: pancreatitis, laboratory methods, lipase, tests, try</w:t>
      </w:r>
      <w:r w:rsidRPr="008742E9">
        <w:rPr>
          <w:rFonts w:eastAsia="Calibri"/>
          <w:sz w:val="22"/>
          <w:szCs w:val="22"/>
          <w:lang w:val="en-US" w:eastAsia="en-US"/>
        </w:rPr>
        <w:t>p</w:t>
      </w:r>
      <w:r w:rsidRPr="008742E9">
        <w:rPr>
          <w:rFonts w:eastAsia="Calibri"/>
          <w:sz w:val="22"/>
          <w:szCs w:val="22"/>
          <w:lang w:val="en-US" w:eastAsia="en-US"/>
        </w:rPr>
        <w:t>sin,immunoreactivity.</w:t>
      </w:r>
    </w:p>
    <w:p w:rsidR="008742E9" w:rsidRPr="008742E9" w:rsidRDefault="008742E9" w:rsidP="00EB0266">
      <w:pPr>
        <w:ind w:firstLine="426"/>
        <w:jc w:val="both"/>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Значительные достижения отмечаются в последние годы в ди</w:t>
      </w:r>
      <w:r w:rsidRPr="008742E9">
        <w:rPr>
          <w:rFonts w:eastAsia="Calibri"/>
          <w:sz w:val="22"/>
          <w:szCs w:val="22"/>
          <w:lang w:eastAsia="en-US"/>
        </w:rPr>
        <w:t>а</w:t>
      </w:r>
      <w:r w:rsidRPr="008742E9">
        <w:rPr>
          <w:rFonts w:eastAsia="Calibri"/>
          <w:sz w:val="22"/>
          <w:szCs w:val="22"/>
          <w:lang w:eastAsia="en-US"/>
        </w:rPr>
        <w:t>гностике панкреатита собак и кошек. Был разработан новый метод измерения иммунореактивности панкреатической липазы (</w:t>
      </w:r>
      <w:r w:rsidRPr="008742E9">
        <w:rPr>
          <w:rFonts w:eastAsia="Calibri"/>
          <w:sz w:val="22"/>
          <w:szCs w:val="22"/>
          <w:lang w:val="en-US" w:eastAsia="en-US"/>
        </w:rPr>
        <w:t>PLI</w:t>
      </w:r>
      <w:r w:rsidRPr="008742E9">
        <w:rPr>
          <w:rFonts w:eastAsia="Calibri"/>
          <w:sz w:val="22"/>
          <w:szCs w:val="22"/>
          <w:lang w:eastAsia="en-US"/>
        </w:rPr>
        <w:t>), к</w:t>
      </w:r>
      <w:r w:rsidRPr="008742E9">
        <w:rPr>
          <w:rFonts w:eastAsia="Calibri"/>
          <w:sz w:val="22"/>
          <w:szCs w:val="22"/>
          <w:lang w:eastAsia="en-US"/>
        </w:rPr>
        <w:t>о</w:t>
      </w:r>
      <w:r w:rsidRPr="008742E9">
        <w:rPr>
          <w:rFonts w:eastAsia="Calibri"/>
          <w:sz w:val="22"/>
          <w:szCs w:val="22"/>
          <w:lang w:eastAsia="en-US"/>
        </w:rPr>
        <w:t>торый доступен в виде коммерческих тестов (</w:t>
      </w:r>
      <w:r w:rsidRPr="008742E9">
        <w:rPr>
          <w:rFonts w:eastAsia="Calibri"/>
          <w:sz w:val="22"/>
          <w:szCs w:val="22"/>
          <w:lang w:val="en-US" w:eastAsia="en-US"/>
        </w:rPr>
        <w:t>SpeccPL</w:t>
      </w:r>
      <w:r w:rsidRPr="008742E9">
        <w:rPr>
          <w:rFonts w:eastAsia="Calibri"/>
          <w:sz w:val="22"/>
          <w:szCs w:val="22"/>
          <w:lang w:eastAsia="en-US"/>
        </w:rPr>
        <w:t xml:space="preserve"> (для собак) и </w:t>
      </w:r>
      <w:r w:rsidRPr="008742E9">
        <w:rPr>
          <w:rFonts w:eastAsia="Calibri"/>
          <w:sz w:val="22"/>
          <w:szCs w:val="22"/>
          <w:lang w:val="en-US" w:eastAsia="en-US"/>
        </w:rPr>
        <w:t>SpecfPL</w:t>
      </w:r>
      <w:r w:rsidRPr="008742E9">
        <w:rPr>
          <w:rFonts w:eastAsia="Calibri"/>
          <w:sz w:val="22"/>
          <w:szCs w:val="22"/>
          <w:lang w:eastAsia="en-US"/>
        </w:rPr>
        <w:t xml:space="preserve"> (для кошек) </w:t>
      </w:r>
      <w:r w:rsidRPr="008742E9">
        <w:rPr>
          <w:rFonts w:eastAsia="Calibri"/>
          <w:sz w:val="22"/>
          <w:szCs w:val="22"/>
          <w:lang w:val="en-US" w:eastAsia="en-US"/>
        </w:rPr>
        <w:t>IdexxLaboratories</w:t>
      </w:r>
      <w:r w:rsidRPr="008742E9">
        <w:rPr>
          <w:rFonts w:eastAsia="Calibri"/>
          <w:sz w:val="22"/>
          <w:szCs w:val="22"/>
          <w:lang w:eastAsia="en-US"/>
        </w:rPr>
        <w:t>). Оба теста высокоспецифи</w:t>
      </w:r>
      <w:r w:rsidRPr="008742E9">
        <w:rPr>
          <w:rFonts w:eastAsia="Calibri"/>
          <w:sz w:val="22"/>
          <w:szCs w:val="22"/>
          <w:lang w:eastAsia="en-US"/>
        </w:rPr>
        <w:t>ч</w:t>
      </w:r>
      <w:r w:rsidRPr="008742E9">
        <w:rPr>
          <w:rFonts w:eastAsia="Calibri"/>
          <w:sz w:val="22"/>
          <w:szCs w:val="22"/>
          <w:lang w:eastAsia="en-US"/>
        </w:rPr>
        <w:t>ны по отношению к липазе экзокринного панкреатического прои</w:t>
      </w:r>
      <w:r w:rsidRPr="008742E9">
        <w:rPr>
          <w:rFonts w:eastAsia="Calibri"/>
          <w:sz w:val="22"/>
          <w:szCs w:val="22"/>
          <w:lang w:eastAsia="en-US"/>
        </w:rPr>
        <w:t>с</w:t>
      </w:r>
      <w:r w:rsidRPr="008742E9">
        <w:rPr>
          <w:rFonts w:eastAsia="Calibri"/>
          <w:sz w:val="22"/>
          <w:szCs w:val="22"/>
          <w:lang w:eastAsia="en-US"/>
        </w:rPr>
        <w:t>хождения (специфичность выше 95 %) и также высокочувствител</w:t>
      </w:r>
      <w:r w:rsidRPr="008742E9">
        <w:rPr>
          <w:rFonts w:eastAsia="Calibri"/>
          <w:sz w:val="22"/>
          <w:szCs w:val="22"/>
          <w:lang w:eastAsia="en-US"/>
        </w:rPr>
        <w:t>ь</w:t>
      </w:r>
      <w:r w:rsidRPr="008742E9">
        <w:rPr>
          <w:rFonts w:eastAsia="Calibri"/>
          <w:sz w:val="22"/>
          <w:szCs w:val="22"/>
          <w:lang w:eastAsia="en-US"/>
        </w:rPr>
        <w:t xml:space="preserve">ны по отношению к панкреатиту (чувствительность около 85 % в зависимости от тяжести течения). Эти тесты могут использоваться для постановки предварительного диагноза, но они также могут </w:t>
      </w:r>
      <w:r w:rsidRPr="008742E9">
        <w:rPr>
          <w:rFonts w:eastAsia="Calibri"/>
          <w:sz w:val="22"/>
          <w:szCs w:val="22"/>
          <w:lang w:eastAsia="en-US"/>
        </w:rPr>
        <w:lastRenderedPageBreak/>
        <w:t xml:space="preserve">быть полезны для оценки динамики заболевания. При панкреатите происходит поражение клеток органа и выделение липазы в кровь. </w:t>
      </w:r>
      <w:r w:rsidRPr="008742E9">
        <w:rPr>
          <w:rFonts w:eastAsia="Calibri"/>
          <w:sz w:val="22"/>
          <w:szCs w:val="22"/>
          <w:lang w:val="en-US" w:eastAsia="en-US"/>
        </w:rPr>
        <w:t>SpeccPL</w:t>
      </w:r>
      <w:r w:rsidRPr="008742E9">
        <w:rPr>
          <w:rFonts w:eastAsia="Calibri"/>
          <w:sz w:val="22"/>
          <w:szCs w:val="22"/>
          <w:lang w:eastAsia="en-US"/>
        </w:rPr>
        <w:t xml:space="preserve">и </w:t>
      </w:r>
      <w:r w:rsidRPr="008742E9">
        <w:rPr>
          <w:rFonts w:eastAsia="Calibri"/>
          <w:sz w:val="22"/>
          <w:szCs w:val="22"/>
          <w:lang w:val="en-US" w:eastAsia="en-US"/>
        </w:rPr>
        <w:t>SpecfPL</w:t>
      </w:r>
      <w:r w:rsidRPr="008742E9">
        <w:rPr>
          <w:rFonts w:eastAsia="Calibri"/>
          <w:sz w:val="22"/>
          <w:szCs w:val="22"/>
          <w:lang w:eastAsia="en-US"/>
        </w:rPr>
        <w:t>являются единственными тестовыми наборами, разработанными для определения уровня липазы в крови.</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Интерпретация результатов:</w:t>
      </w:r>
    </w:p>
    <w:p w:rsidR="008742E9" w:rsidRPr="008742E9" w:rsidRDefault="008742E9" w:rsidP="00EB0266">
      <w:pPr>
        <w:numPr>
          <w:ilvl w:val="0"/>
          <w:numId w:val="9"/>
        </w:numPr>
        <w:tabs>
          <w:tab w:val="left" w:pos="426"/>
        </w:tabs>
        <w:spacing w:after="160" w:line="259" w:lineRule="auto"/>
        <w:ind w:left="0" w:firstLine="426"/>
        <w:contextualSpacing/>
        <w:jc w:val="both"/>
        <w:rPr>
          <w:rFonts w:eastAsia="Calibri"/>
          <w:sz w:val="22"/>
          <w:szCs w:val="22"/>
          <w:lang w:eastAsia="en-US"/>
        </w:rPr>
      </w:pPr>
      <w:r w:rsidRPr="008742E9">
        <w:rPr>
          <w:rFonts w:eastAsia="Calibri"/>
          <w:sz w:val="22"/>
          <w:szCs w:val="22"/>
          <w:lang w:eastAsia="en-US"/>
        </w:rPr>
        <w:t>Содержание панкреатической липазы &gt;400µ/</w:t>
      </w:r>
      <w:r w:rsidRPr="008742E9">
        <w:rPr>
          <w:rFonts w:eastAsia="Calibri"/>
          <w:sz w:val="22"/>
          <w:szCs w:val="22"/>
          <w:lang w:val="en-US" w:eastAsia="en-US"/>
        </w:rPr>
        <w:t>L</w:t>
      </w:r>
      <w:r w:rsidRPr="008742E9">
        <w:rPr>
          <w:rFonts w:eastAsia="Calibri"/>
          <w:sz w:val="22"/>
          <w:szCs w:val="22"/>
          <w:lang w:eastAsia="en-US"/>
        </w:rPr>
        <w:t xml:space="preserve"> – повышения связано с острым панкреатитом, панкреонекрозом</w:t>
      </w:r>
    </w:p>
    <w:p w:rsidR="008742E9" w:rsidRPr="008742E9" w:rsidRDefault="008742E9" w:rsidP="00EB0266">
      <w:pPr>
        <w:numPr>
          <w:ilvl w:val="0"/>
          <w:numId w:val="9"/>
        </w:numPr>
        <w:tabs>
          <w:tab w:val="left" w:pos="426"/>
        </w:tabs>
        <w:spacing w:after="160" w:line="259" w:lineRule="auto"/>
        <w:ind w:left="0" w:firstLine="426"/>
        <w:contextualSpacing/>
        <w:jc w:val="both"/>
        <w:rPr>
          <w:rFonts w:eastAsia="Calibri"/>
          <w:sz w:val="22"/>
          <w:szCs w:val="22"/>
          <w:lang w:eastAsia="en-US"/>
        </w:rPr>
      </w:pPr>
      <w:r w:rsidRPr="008742E9">
        <w:rPr>
          <w:rFonts w:eastAsia="Calibri"/>
          <w:sz w:val="22"/>
          <w:szCs w:val="22"/>
          <w:lang w:eastAsia="en-US"/>
        </w:rPr>
        <w:t>Содержание панкреатической липазы в промежутке 200–400 µ/</w:t>
      </w:r>
      <w:r w:rsidRPr="008742E9">
        <w:rPr>
          <w:rFonts w:eastAsia="Calibri"/>
          <w:sz w:val="22"/>
          <w:szCs w:val="22"/>
          <w:lang w:val="en-US" w:eastAsia="en-US"/>
        </w:rPr>
        <w:t>L</w:t>
      </w:r>
      <w:r w:rsidRPr="008742E9">
        <w:rPr>
          <w:rFonts w:eastAsia="Calibri"/>
          <w:sz w:val="22"/>
          <w:szCs w:val="22"/>
          <w:lang w:eastAsia="en-US"/>
        </w:rPr>
        <w:t xml:space="preserve"> – хронический панкреатит, возможен острый панкреатит [3]</w:t>
      </w:r>
    </w:p>
    <w:p w:rsidR="008742E9" w:rsidRPr="008742E9" w:rsidRDefault="008742E9" w:rsidP="00EB0266">
      <w:pPr>
        <w:numPr>
          <w:ilvl w:val="0"/>
          <w:numId w:val="9"/>
        </w:numPr>
        <w:tabs>
          <w:tab w:val="left" w:pos="426"/>
        </w:tabs>
        <w:spacing w:after="160" w:line="259" w:lineRule="auto"/>
        <w:ind w:left="0" w:firstLine="426"/>
        <w:contextualSpacing/>
        <w:jc w:val="both"/>
        <w:rPr>
          <w:rFonts w:eastAsia="Calibri"/>
          <w:sz w:val="22"/>
          <w:szCs w:val="22"/>
          <w:lang w:eastAsia="en-US"/>
        </w:rPr>
      </w:pPr>
      <w:r w:rsidRPr="008742E9">
        <w:rPr>
          <w:rFonts w:eastAsia="Calibri"/>
          <w:sz w:val="22"/>
          <w:szCs w:val="22"/>
          <w:lang w:eastAsia="en-US"/>
        </w:rPr>
        <w:t>Для собак в норме содержание панкреатической липазы от 0-200 µ/</w:t>
      </w:r>
      <w:r w:rsidRPr="008742E9">
        <w:rPr>
          <w:rFonts w:eastAsia="Calibri"/>
          <w:sz w:val="22"/>
          <w:szCs w:val="22"/>
          <w:lang w:val="en-US" w:eastAsia="en-US"/>
        </w:rPr>
        <w:t>L</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Недавно появился тест для собак, который владельцы могут использовать даже без помощи врача, </w:t>
      </w:r>
      <w:r w:rsidRPr="008742E9">
        <w:rPr>
          <w:rFonts w:eastAsia="Calibri"/>
          <w:sz w:val="22"/>
          <w:szCs w:val="22"/>
          <w:lang w:val="en-US" w:eastAsia="en-US"/>
        </w:rPr>
        <w:t>SNAPcPL</w:t>
      </w:r>
      <w:r w:rsidRPr="008742E9">
        <w:rPr>
          <w:rFonts w:eastAsia="Calibri"/>
          <w:sz w:val="22"/>
          <w:szCs w:val="22"/>
          <w:lang w:eastAsia="en-US"/>
        </w:rPr>
        <w:t xml:space="preserve"> (</w:t>
      </w:r>
      <w:r w:rsidRPr="008742E9">
        <w:rPr>
          <w:rFonts w:eastAsia="Calibri"/>
          <w:sz w:val="22"/>
          <w:szCs w:val="22"/>
          <w:lang w:val="en-US" w:eastAsia="en-US"/>
        </w:rPr>
        <w:t>IdexxLaboratories</w:t>
      </w:r>
      <w:r w:rsidRPr="008742E9">
        <w:rPr>
          <w:rFonts w:eastAsia="Calibri"/>
          <w:sz w:val="22"/>
          <w:szCs w:val="22"/>
          <w:lang w:eastAsia="en-US"/>
        </w:rPr>
        <w:t xml:space="preserve">). Этот тест высокочувствителен, и отрицательный результат должен отвести диагностический поиск от панкреатита. Положительный результат, однако, требует подтверждения с помощью </w:t>
      </w:r>
      <w:r w:rsidRPr="008742E9">
        <w:rPr>
          <w:rFonts w:eastAsia="Calibri"/>
          <w:sz w:val="22"/>
          <w:szCs w:val="22"/>
          <w:lang w:val="en-US" w:eastAsia="en-US"/>
        </w:rPr>
        <w:t>SpeccPL</w:t>
      </w:r>
      <w:r w:rsidRPr="008742E9">
        <w:rPr>
          <w:rFonts w:eastAsia="Calibri"/>
          <w:sz w:val="22"/>
          <w:szCs w:val="22"/>
          <w:lang w:eastAsia="en-US"/>
        </w:rPr>
        <w:t>, п</w:t>
      </w:r>
      <w:r w:rsidRPr="008742E9">
        <w:rPr>
          <w:rFonts w:eastAsia="Calibri"/>
          <w:sz w:val="22"/>
          <w:szCs w:val="22"/>
          <w:lang w:eastAsia="en-US"/>
        </w:rPr>
        <w:t>о</w:t>
      </w:r>
      <w:r w:rsidRPr="008742E9">
        <w:rPr>
          <w:rFonts w:eastAsia="Calibri"/>
          <w:sz w:val="22"/>
          <w:szCs w:val="22"/>
          <w:lang w:eastAsia="en-US"/>
        </w:rPr>
        <w:t>тому что он может означать как патологический, так и пограничный уровень панкреатической липазы [2].</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Трипсиноподобная иммунореактивность специфична для по</w:t>
      </w:r>
      <w:r w:rsidRPr="008742E9">
        <w:rPr>
          <w:rFonts w:eastAsia="Calibri"/>
          <w:sz w:val="22"/>
          <w:szCs w:val="22"/>
          <w:lang w:eastAsia="en-US"/>
        </w:rPr>
        <w:t>д</w:t>
      </w:r>
      <w:r w:rsidRPr="008742E9">
        <w:rPr>
          <w:rFonts w:eastAsia="Calibri"/>
          <w:sz w:val="22"/>
          <w:szCs w:val="22"/>
          <w:lang w:eastAsia="en-US"/>
        </w:rPr>
        <w:t>желудочной железы и её увеличение в крови собак указывает на острый панкреатит, однако диагностический промежуток имеет ограниченную протяженность – 24-36 часов уже после первичного приступа воспаления поджелудочной железы. Трипсиноподобная иммунореактивность кошек (felinetrypsinlikeimmunoreactivity — fTLI)– это иммунологический способ исследования нахождения в сыворотке трипсиногена и трипсина. Несмотря на то, что и трипсин, и трипсиноген вырабатываются только в поджелудочной железе, особенность изучения fTLI с целью диагностики панкреатита выз</w:t>
      </w:r>
      <w:r w:rsidRPr="008742E9">
        <w:rPr>
          <w:rFonts w:eastAsia="Calibri"/>
          <w:sz w:val="22"/>
          <w:szCs w:val="22"/>
          <w:lang w:eastAsia="en-US"/>
        </w:rPr>
        <w:t>ы</w:t>
      </w:r>
      <w:r w:rsidRPr="008742E9">
        <w:rPr>
          <w:rFonts w:eastAsia="Calibri"/>
          <w:sz w:val="22"/>
          <w:szCs w:val="22"/>
          <w:lang w:eastAsia="en-US"/>
        </w:rPr>
        <w:t>вает колебания. Это связано с тем, что большие концентрации fTLI описаны у кошек при отсутствии каких-либо проявлений пораж</w:t>
      </w:r>
      <w:r w:rsidRPr="008742E9">
        <w:rPr>
          <w:rFonts w:eastAsia="Calibri"/>
          <w:sz w:val="22"/>
          <w:szCs w:val="22"/>
          <w:lang w:eastAsia="en-US"/>
        </w:rPr>
        <w:t>е</w:t>
      </w:r>
      <w:r w:rsidRPr="008742E9">
        <w:rPr>
          <w:rFonts w:eastAsia="Calibri"/>
          <w:sz w:val="22"/>
          <w:szCs w:val="22"/>
          <w:lang w:eastAsia="en-US"/>
        </w:rPr>
        <w:t>ния поджелудочной железы, при болезнях иных органов желудо</w:t>
      </w:r>
      <w:r w:rsidRPr="008742E9">
        <w:rPr>
          <w:rFonts w:eastAsia="Calibri"/>
          <w:sz w:val="22"/>
          <w:szCs w:val="22"/>
          <w:lang w:eastAsia="en-US"/>
        </w:rPr>
        <w:t>ч</w:t>
      </w:r>
      <w:r w:rsidRPr="008742E9">
        <w:rPr>
          <w:rFonts w:eastAsia="Calibri"/>
          <w:sz w:val="22"/>
          <w:szCs w:val="22"/>
          <w:lang w:eastAsia="en-US"/>
        </w:rPr>
        <w:t xml:space="preserve">но-кишечного тракта (к примеру, лимфоме органов ЖКТ), а кроме того при почечной недостаточности [1].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При применении пороговых значений, дозволяющих гарант</w:t>
      </w:r>
      <w:r w:rsidRPr="008742E9">
        <w:rPr>
          <w:rFonts w:eastAsia="Calibri"/>
          <w:sz w:val="22"/>
          <w:szCs w:val="22"/>
          <w:lang w:eastAsia="en-US"/>
        </w:rPr>
        <w:t>и</w:t>
      </w:r>
      <w:r w:rsidRPr="008742E9">
        <w:rPr>
          <w:rFonts w:eastAsia="Calibri"/>
          <w:sz w:val="22"/>
          <w:szCs w:val="22"/>
          <w:lang w:eastAsia="en-US"/>
        </w:rPr>
        <w:t>ровать достаточную специфичность fTLI (к примеру, 100 мкг/л), чувствительность данногоспособа с целью диагностики панкреатита у кошек оказалась невысокой (28–33%). На сегодняшний день сч</w:t>
      </w:r>
      <w:r w:rsidRPr="008742E9">
        <w:rPr>
          <w:rFonts w:eastAsia="Calibri"/>
          <w:sz w:val="22"/>
          <w:szCs w:val="22"/>
          <w:lang w:eastAsia="en-US"/>
        </w:rPr>
        <w:t>и</w:t>
      </w:r>
      <w:r w:rsidRPr="008742E9">
        <w:rPr>
          <w:rFonts w:eastAsia="Calibri"/>
          <w:sz w:val="22"/>
          <w:szCs w:val="22"/>
          <w:lang w:eastAsia="en-US"/>
        </w:rPr>
        <w:lastRenderedPageBreak/>
        <w:t>тается, что эффективность определения трипсиноподобной имм</w:t>
      </w:r>
      <w:r w:rsidRPr="008742E9">
        <w:rPr>
          <w:rFonts w:eastAsia="Calibri"/>
          <w:sz w:val="22"/>
          <w:szCs w:val="22"/>
          <w:lang w:eastAsia="en-US"/>
        </w:rPr>
        <w:t>у</w:t>
      </w:r>
      <w:r w:rsidRPr="008742E9">
        <w:rPr>
          <w:rFonts w:eastAsia="Calibri"/>
          <w:sz w:val="22"/>
          <w:szCs w:val="22"/>
          <w:lang w:eastAsia="en-US"/>
        </w:rPr>
        <w:t>нореактивности у кошек с целью диагностики панкреатита огран</w:t>
      </w:r>
      <w:r w:rsidRPr="008742E9">
        <w:rPr>
          <w:rFonts w:eastAsia="Calibri"/>
          <w:sz w:val="22"/>
          <w:szCs w:val="22"/>
          <w:lang w:eastAsia="en-US"/>
        </w:rPr>
        <w:t>и</w:t>
      </w:r>
      <w:r w:rsidRPr="008742E9">
        <w:rPr>
          <w:rFonts w:eastAsia="Calibri"/>
          <w:sz w:val="22"/>
          <w:szCs w:val="22"/>
          <w:lang w:eastAsia="en-US"/>
        </w:rPr>
        <w:t>ченная.</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Несмотря на существование значительного числа новейших методов, используемых в ветеринарии, в настоящий период имеется неудовлетворенность итогами диагностики воспалительных боле</w:t>
      </w:r>
      <w:r w:rsidRPr="008742E9">
        <w:rPr>
          <w:rFonts w:eastAsia="Calibri"/>
          <w:sz w:val="22"/>
          <w:szCs w:val="22"/>
          <w:lang w:eastAsia="en-US"/>
        </w:rPr>
        <w:t>з</w:t>
      </w:r>
      <w:r w:rsidRPr="008742E9">
        <w:rPr>
          <w:rFonts w:eastAsia="Calibri"/>
          <w:sz w:val="22"/>
          <w:szCs w:val="22"/>
          <w:lang w:eastAsia="en-US"/>
        </w:rPr>
        <w:t>ней поджелудочной железы. Наиболее типичными факторами поз</w:t>
      </w:r>
      <w:r w:rsidRPr="008742E9">
        <w:rPr>
          <w:rFonts w:eastAsia="Calibri"/>
          <w:sz w:val="22"/>
          <w:szCs w:val="22"/>
          <w:lang w:eastAsia="en-US"/>
        </w:rPr>
        <w:t>д</w:t>
      </w:r>
      <w:r w:rsidRPr="008742E9">
        <w:rPr>
          <w:rFonts w:eastAsia="Calibri"/>
          <w:sz w:val="22"/>
          <w:szCs w:val="22"/>
          <w:lang w:eastAsia="en-US"/>
        </w:rPr>
        <w:t>ней диагностики панкреатита считаются малая информативность используемых лабораторных способов и специфика анатомо-топографического расположения поджелудочной железы [3].</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Проблемы диагностики деструктивного панкреатита приводят к тому, что многочисленные пациенты  никак не получают адеква</w:t>
      </w:r>
      <w:r w:rsidRPr="008742E9">
        <w:rPr>
          <w:rFonts w:eastAsia="Calibri"/>
          <w:sz w:val="22"/>
          <w:szCs w:val="22"/>
          <w:lang w:eastAsia="en-US"/>
        </w:rPr>
        <w:t>т</w:t>
      </w:r>
      <w:r w:rsidRPr="008742E9">
        <w:rPr>
          <w:rFonts w:eastAsia="Calibri"/>
          <w:sz w:val="22"/>
          <w:szCs w:val="22"/>
          <w:lang w:eastAsia="en-US"/>
        </w:rPr>
        <w:t>ной патогенетической терапии, в некоторых случаях вплоть до смертельного исхода. В настоящее время имеются все шансы о</w:t>
      </w:r>
      <w:r w:rsidRPr="008742E9">
        <w:rPr>
          <w:rFonts w:eastAsia="Calibri"/>
          <w:sz w:val="22"/>
          <w:szCs w:val="22"/>
          <w:lang w:eastAsia="en-US"/>
        </w:rPr>
        <w:t>т</w:t>
      </w:r>
      <w:r w:rsidRPr="008742E9">
        <w:rPr>
          <w:rFonts w:eastAsia="Calibri"/>
          <w:sz w:val="22"/>
          <w:szCs w:val="22"/>
          <w:lang w:eastAsia="en-US"/>
        </w:rPr>
        <w:t>слеживать присутствие почти каждой абдоминальной патологии у животных. Но так как признаки панкреатита специфичны, в ряде случаев контролировать диагноз возможно только лишь после в</w:t>
      </w:r>
      <w:r w:rsidRPr="008742E9">
        <w:rPr>
          <w:rFonts w:eastAsia="Calibri"/>
          <w:sz w:val="22"/>
          <w:szCs w:val="22"/>
          <w:lang w:eastAsia="en-US"/>
        </w:rPr>
        <w:t>ы</w:t>
      </w:r>
      <w:r w:rsidRPr="008742E9">
        <w:rPr>
          <w:rFonts w:eastAsia="Calibri"/>
          <w:sz w:val="22"/>
          <w:szCs w:val="22"/>
          <w:lang w:eastAsia="en-US"/>
        </w:rPr>
        <w:t>полнения комплексного обследования с применением инструме</w:t>
      </w:r>
      <w:r w:rsidRPr="008742E9">
        <w:rPr>
          <w:rFonts w:eastAsia="Calibri"/>
          <w:sz w:val="22"/>
          <w:szCs w:val="22"/>
          <w:lang w:eastAsia="en-US"/>
        </w:rPr>
        <w:t>н</w:t>
      </w:r>
      <w:r w:rsidRPr="008742E9">
        <w:rPr>
          <w:rFonts w:eastAsia="Calibri"/>
          <w:sz w:val="22"/>
          <w:szCs w:val="22"/>
          <w:lang w:eastAsia="en-US"/>
        </w:rPr>
        <w:t>тальных, а главное лабораторных методов диагностики.</w:t>
      </w:r>
    </w:p>
    <w:p w:rsidR="008742E9" w:rsidRPr="008742E9" w:rsidRDefault="008742E9" w:rsidP="00EB0266">
      <w:pPr>
        <w:ind w:firstLine="426"/>
        <w:jc w:val="center"/>
        <w:rPr>
          <w:rFonts w:eastAsia="Calibri"/>
          <w:sz w:val="22"/>
          <w:szCs w:val="22"/>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B0266">
      <w:pPr>
        <w:numPr>
          <w:ilvl w:val="0"/>
          <w:numId w:val="8"/>
        </w:numPr>
        <w:tabs>
          <w:tab w:val="left" w:pos="709"/>
        </w:tabs>
        <w:ind w:left="0" w:firstLine="426"/>
        <w:contextualSpacing/>
        <w:jc w:val="both"/>
        <w:rPr>
          <w:rFonts w:eastAsia="Calibri"/>
          <w:sz w:val="22"/>
          <w:szCs w:val="22"/>
          <w:lang w:eastAsia="en-US"/>
        </w:rPr>
      </w:pPr>
      <w:r w:rsidRPr="008742E9">
        <w:rPr>
          <w:rFonts w:eastAsia="Calibri"/>
          <w:sz w:val="22"/>
          <w:szCs w:val="22"/>
          <w:lang w:eastAsia="en-US"/>
        </w:rPr>
        <w:t>Бланшар Ж. Экзокринная недостаточность поджелудочной железы или панкреатит / Ж. Бланшар, Б. М. Параго // Ветеринар. – 2004. – № 4. – С. 21 – 25.</w:t>
      </w:r>
    </w:p>
    <w:p w:rsidR="008742E9" w:rsidRPr="008742E9" w:rsidRDefault="008742E9" w:rsidP="00EB0266">
      <w:pPr>
        <w:numPr>
          <w:ilvl w:val="0"/>
          <w:numId w:val="8"/>
        </w:numPr>
        <w:tabs>
          <w:tab w:val="left" w:pos="709"/>
        </w:tabs>
        <w:ind w:left="0" w:firstLine="426"/>
        <w:contextualSpacing/>
        <w:jc w:val="both"/>
        <w:rPr>
          <w:rFonts w:eastAsia="Calibri"/>
          <w:sz w:val="22"/>
          <w:szCs w:val="22"/>
          <w:lang w:eastAsia="en-US"/>
        </w:rPr>
      </w:pPr>
      <w:r w:rsidRPr="008742E9">
        <w:rPr>
          <w:rFonts w:eastAsia="Calibri"/>
          <w:sz w:val="22"/>
          <w:szCs w:val="22"/>
          <w:lang w:eastAsia="en-US"/>
        </w:rPr>
        <w:t>ДенисенкоВ.Н. Биохимические показатели сыворотки крови у собак при поражении печени и поджелудочной железы / В. Н. Денисенко, Е. А. Кесарева, О. И. Кондрахина // Российский вет. журнал. – 2006. – № 4. – С. 14–15.</w:t>
      </w:r>
    </w:p>
    <w:p w:rsidR="008742E9" w:rsidRPr="00024398" w:rsidRDefault="008742E9" w:rsidP="00EB0266">
      <w:pPr>
        <w:ind w:firstLine="426"/>
        <w:jc w:val="both"/>
        <w:rPr>
          <w:rFonts w:eastAsia="Calibri"/>
          <w:sz w:val="22"/>
          <w:szCs w:val="22"/>
          <w:lang w:val="en-US" w:eastAsia="en-US"/>
        </w:rPr>
      </w:pPr>
      <w:r w:rsidRPr="008742E9">
        <w:rPr>
          <w:rFonts w:eastAsia="Calibri"/>
          <w:sz w:val="22"/>
          <w:szCs w:val="22"/>
          <w:lang w:val="en-US" w:eastAsia="en-US"/>
        </w:rPr>
        <w:t>3. Steiner J. M. Feline exocrine pancreatic disorders / J. M. Steiner, D. A. Williams // Vet Clin. North</w:t>
      </w:r>
      <w:r w:rsidRPr="00024398">
        <w:rPr>
          <w:rFonts w:eastAsia="Calibri"/>
          <w:sz w:val="22"/>
          <w:szCs w:val="22"/>
          <w:lang w:val="en-US" w:eastAsia="en-US"/>
        </w:rPr>
        <w:t xml:space="preserve"> </w:t>
      </w:r>
      <w:r w:rsidRPr="008742E9">
        <w:rPr>
          <w:rFonts w:eastAsia="Calibri"/>
          <w:sz w:val="22"/>
          <w:szCs w:val="22"/>
          <w:lang w:val="en-US" w:eastAsia="en-US"/>
        </w:rPr>
        <w:t>Am</w:t>
      </w:r>
      <w:r w:rsidRPr="00024398">
        <w:rPr>
          <w:rFonts w:eastAsia="Calibri"/>
          <w:sz w:val="22"/>
          <w:szCs w:val="22"/>
          <w:lang w:val="en-US" w:eastAsia="en-US"/>
        </w:rPr>
        <w:t xml:space="preserve">. – 1999. – </w:t>
      </w:r>
      <w:r w:rsidRPr="008742E9">
        <w:rPr>
          <w:rFonts w:eastAsia="Calibri"/>
          <w:sz w:val="22"/>
          <w:szCs w:val="22"/>
          <w:lang w:val="en-US" w:eastAsia="en-US"/>
        </w:rPr>
        <w:t>V</w:t>
      </w:r>
      <w:r w:rsidRPr="00024398">
        <w:rPr>
          <w:rFonts w:eastAsia="Calibri"/>
          <w:sz w:val="22"/>
          <w:szCs w:val="22"/>
          <w:lang w:val="en-US" w:eastAsia="en-US"/>
        </w:rPr>
        <w:t xml:space="preserve">. 29. – </w:t>
      </w:r>
      <w:r w:rsidRPr="008742E9">
        <w:rPr>
          <w:rFonts w:eastAsia="Calibri"/>
          <w:sz w:val="22"/>
          <w:szCs w:val="22"/>
          <w:lang w:val="en-US" w:eastAsia="en-US"/>
        </w:rPr>
        <w:t>P</w:t>
      </w:r>
      <w:r w:rsidRPr="00024398">
        <w:rPr>
          <w:rFonts w:eastAsia="Calibri"/>
          <w:sz w:val="22"/>
          <w:szCs w:val="22"/>
          <w:lang w:val="en-US" w:eastAsia="en-US"/>
        </w:rPr>
        <w:t>. 551 – 575.</w:t>
      </w:r>
    </w:p>
    <w:p w:rsidR="008742E9" w:rsidRPr="00024398" w:rsidRDefault="008742E9" w:rsidP="00EB0266">
      <w:pPr>
        <w:jc w:val="both"/>
        <w:rPr>
          <w:rFonts w:eastAsia="Calibri"/>
          <w:sz w:val="22"/>
          <w:szCs w:val="22"/>
          <w:lang w:val="en-US" w:eastAsia="en-US"/>
        </w:rPr>
      </w:pPr>
    </w:p>
    <w:p w:rsidR="008742E9" w:rsidRPr="00662BE8" w:rsidRDefault="0097059C" w:rsidP="0097059C">
      <w:pPr>
        <w:rPr>
          <w:rFonts w:eastAsia="Calibri"/>
          <w:sz w:val="22"/>
          <w:szCs w:val="22"/>
          <w:lang w:val="en-US" w:eastAsia="en-US"/>
        </w:rPr>
      </w:pPr>
      <w:r>
        <w:rPr>
          <w:rFonts w:eastAsia="Calibri"/>
          <w:sz w:val="22"/>
          <w:szCs w:val="22"/>
          <w:lang w:val="en-US" w:eastAsia="en-US"/>
        </w:rPr>
        <w:br w:type="page"/>
      </w:r>
    </w:p>
    <w:p w:rsidR="008742E9" w:rsidRPr="00024398" w:rsidRDefault="008742E9" w:rsidP="008742E9">
      <w:pPr>
        <w:rPr>
          <w:rFonts w:eastAsia="Calibri"/>
          <w:sz w:val="22"/>
          <w:szCs w:val="22"/>
          <w:lang w:val="en-US" w:eastAsia="en-US"/>
        </w:rPr>
      </w:pPr>
      <w:r w:rsidRPr="008742E9">
        <w:rPr>
          <w:rFonts w:eastAsia="Calibri"/>
          <w:sz w:val="22"/>
          <w:szCs w:val="22"/>
          <w:lang w:eastAsia="en-US"/>
        </w:rPr>
        <w:lastRenderedPageBreak/>
        <w:t>УДК</w:t>
      </w:r>
      <w:r w:rsidRPr="00024398">
        <w:rPr>
          <w:rFonts w:eastAsia="Calibri"/>
          <w:sz w:val="22"/>
          <w:szCs w:val="22"/>
          <w:lang w:val="en-US" w:eastAsia="en-US"/>
        </w:rPr>
        <w:t xml:space="preserve"> 636.09:619:616.6:617</w:t>
      </w:r>
    </w:p>
    <w:p w:rsidR="008742E9" w:rsidRPr="00024398" w:rsidRDefault="008742E9" w:rsidP="008742E9">
      <w:pPr>
        <w:rPr>
          <w:rFonts w:eastAsia="Calibri"/>
          <w:sz w:val="24"/>
          <w:szCs w:val="24"/>
          <w:lang w:val="en-US" w:eastAsia="en-US"/>
        </w:rPr>
      </w:pPr>
    </w:p>
    <w:p w:rsidR="008742E9" w:rsidRPr="00024398" w:rsidRDefault="008742E9" w:rsidP="008742E9">
      <w:pPr>
        <w:jc w:val="center"/>
        <w:rPr>
          <w:rFonts w:eastAsia="Calibri"/>
          <w:b/>
          <w:sz w:val="24"/>
          <w:szCs w:val="24"/>
          <w:lang w:val="en-US" w:eastAsia="en-US"/>
        </w:rPr>
      </w:pPr>
      <w:r w:rsidRPr="008742E9">
        <w:rPr>
          <w:rFonts w:eastAsia="Calibri"/>
          <w:b/>
          <w:sz w:val="24"/>
          <w:szCs w:val="24"/>
          <w:lang w:eastAsia="en-US"/>
        </w:rPr>
        <w:t>Мочекаменная</w:t>
      </w:r>
      <w:r w:rsidRPr="00024398">
        <w:rPr>
          <w:rFonts w:eastAsia="Calibri"/>
          <w:b/>
          <w:sz w:val="24"/>
          <w:szCs w:val="24"/>
          <w:lang w:val="en-US" w:eastAsia="en-US"/>
        </w:rPr>
        <w:t xml:space="preserve"> </w:t>
      </w:r>
      <w:r w:rsidRPr="008742E9">
        <w:rPr>
          <w:rFonts w:eastAsia="Calibri"/>
          <w:b/>
          <w:sz w:val="24"/>
          <w:szCs w:val="24"/>
          <w:lang w:eastAsia="en-US"/>
        </w:rPr>
        <w:t>б</w:t>
      </w:r>
      <w:r w:rsidR="00EB0266">
        <w:rPr>
          <w:rFonts w:eastAsia="Calibri"/>
          <w:b/>
          <w:sz w:val="24"/>
          <w:szCs w:val="24"/>
          <w:lang w:eastAsia="en-US"/>
        </w:rPr>
        <w:t>олезнь</w:t>
      </w:r>
      <w:r w:rsidR="00EB0266" w:rsidRPr="00024398">
        <w:rPr>
          <w:rFonts w:eastAsia="Calibri"/>
          <w:b/>
          <w:sz w:val="24"/>
          <w:szCs w:val="24"/>
          <w:lang w:val="en-US" w:eastAsia="en-US"/>
        </w:rPr>
        <w:t xml:space="preserve"> </w:t>
      </w:r>
      <w:r w:rsidR="00EB0266">
        <w:rPr>
          <w:rFonts w:eastAsia="Calibri"/>
          <w:b/>
          <w:sz w:val="24"/>
          <w:szCs w:val="24"/>
          <w:lang w:eastAsia="en-US"/>
        </w:rPr>
        <w:t>собак</w:t>
      </w:r>
      <w:r w:rsidR="00EB0266" w:rsidRPr="00024398">
        <w:rPr>
          <w:rFonts w:eastAsia="Calibri"/>
          <w:b/>
          <w:sz w:val="24"/>
          <w:szCs w:val="24"/>
          <w:lang w:val="en-US" w:eastAsia="en-US"/>
        </w:rPr>
        <w:t xml:space="preserve">. </w:t>
      </w:r>
      <w:r w:rsidR="00EB0266">
        <w:rPr>
          <w:rFonts w:eastAsia="Calibri"/>
          <w:b/>
          <w:sz w:val="24"/>
          <w:szCs w:val="24"/>
          <w:lang w:eastAsia="en-US"/>
        </w:rPr>
        <w:t>Причины</w:t>
      </w:r>
      <w:r w:rsidR="00EB0266" w:rsidRPr="00024398">
        <w:rPr>
          <w:rFonts w:eastAsia="Calibri"/>
          <w:b/>
          <w:sz w:val="24"/>
          <w:szCs w:val="24"/>
          <w:lang w:val="en-US" w:eastAsia="en-US"/>
        </w:rPr>
        <w:t xml:space="preserve">, </w:t>
      </w:r>
      <w:r w:rsidR="00EB0266">
        <w:rPr>
          <w:rFonts w:eastAsia="Calibri"/>
          <w:b/>
          <w:sz w:val="24"/>
          <w:szCs w:val="24"/>
          <w:lang w:eastAsia="en-US"/>
        </w:rPr>
        <w:t>симптомы</w:t>
      </w:r>
    </w:p>
    <w:p w:rsidR="008742E9" w:rsidRPr="00EB0266"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212121"/>
          <w:sz w:val="20"/>
          <w:szCs w:val="20"/>
          <w:lang w:val="en-US"/>
        </w:rPr>
      </w:pPr>
      <w:r w:rsidRPr="008742E9">
        <w:rPr>
          <w:b/>
          <w:color w:val="212121"/>
          <w:sz w:val="24"/>
          <w:szCs w:val="24"/>
          <w:lang w:val="en-US"/>
        </w:rPr>
        <w:t>Urolithiasis disease of dogs. Causes, symptoms</w:t>
      </w:r>
    </w:p>
    <w:p w:rsidR="008742E9" w:rsidRPr="008742E9" w:rsidRDefault="008742E9" w:rsidP="008742E9">
      <w:pPr>
        <w:rPr>
          <w:rFonts w:eastAsia="Calibri"/>
          <w:sz w:val="22"/>
          <w:szCs w:val="22"/>
          <w:lang w:val="en-US" w:eastAsia="en-US"/>
        </w:rPr>
      </w:pPr>
    </w:p>
    <w:p w:rsidR="008742E9" w:rsidRPr="00497C98" w:rsidRDefault="008742E9" w:rsidP="008742E9">
      <w:pPr>
        <w:jc w:val="right"/>
        <w:rPr>
          <w:rFonts w:eastAsia="Calibri"/>
          <w:sz w:val="22"/>
          <w:szCs w:val="22"/>
          <w:lang w:val="en-US" w:eastAsia="en-US"/>
        </w:rPr>
      </w:pPr>
      <w:r w:rsidRPr="008742E9">
        <w:rPr>
          <w:rFonts w:eastAsia="Calibri"/>
          <w:sz w:val="22"/>
          <w:szCs w:val="22"/>
          <w:lang w:eastAsia="en-US"/>
        </w:rPr>
        <w:t>Ручкина</w:t>
      </w:r>
      <w:r w:rsidRPr="00497C98">
        <w:rPr>
          <w:rFonts w:eastAsia="Calibri"/>
          <w:sz w:val="22"/>
          <w:szCs w:val="22"/>
          <w:lang w:val="en-US" w:eastAsia="en-US"/>
        </w:rPr>
        <w:t xml:space="preserve"> </w:t>
      </w:r>
      <w:r w:rsidRPr="008742E9">
        <w:rPr>
          <w:rFonts w:eastAsia="Calibri"/>
          <w:sz w:val="22"/>
          <w:szCs w:val="22"/>
          <w:lang w:eastAsia="en-US"/>
        </w:rPr>
        <w:t>А</w:t>
      </w:r>
      <w:r w:rsidRPr="00497C98">
        <w:rPr>
          <w:rFonts w:eastAsia="Calibri"/>
          <w:sz w:val="22"/>
          <w:szCs w:val="22"/>
          <w:lang w:val="en-US" w:eastAsia="en-US"/>
        </w:rPr>
        <w:t>.</w:t>
      </w:r>
      <w:r w:rsidR="00EB0266" w:rsidRPr="00497C98">
        <w:rPr>
          <w:rFonts w:eastAsia="Calibri"/>
          <w:sz w:val="22"/>
          <w:szCs w:val="22"/>
          <w:lang w:val="en-US" w:eastAsia="en-US"/>
        </w:rPr>
        <w:t xml:space="preserve"> </w:t>
      </w:r>
      <w:r w:rsidRPr="008742E9">
        <w:rPr>
          <w:rFonts w:eastAsia="Calibri"/>
          <w:sz w:val="22"/>
          <w:szCs w:val="22"/>
          <w:lang w:eastAsia="en-US"/>
        </w:rPr>
        <w:t>В</w:t>
      </w:r>
      <w:r w:rsidRPr="00497C98">
        <w:rPr>
          <w:rFonts w:eastAsia="Calibri"/>
          <w:sz w:val="22"/>
          <w:szCs w:val="22"/>
          <w:lang w:val="en-US" w:eastAsia="en-US"/>
        </w:rPr>
        <w:t>.</w:t>
      </w:r>
      <w:r w:rsidR="00EB0266" w:rsidRPr="00497C98">
        <w:rPr>
          <w:rFonts w:eastAsia="Calibri"/>
          <w:sz w:val="22"/>
          <w:szCs w:val="22"/>
          <w:lang w:val="en-US" w:eastAsia="en-US"/>
        </w:rPr>
        <w:t>,</w:t>
      </w:r>
    </w:p>
    <w:p w:rsidR="008742E9" w:rsidRPr="008742E9" w:rsidRDefault="00EB0266" w:rsidP="008742E9">
      <w:pPr>
        <w:jc w:val="right"/>
        <w:rPr>
          <w:rFonts w:eastAsia="Calibri"/>
          <w:sz w:val="22"/>
          <w:szCs w:val="22"/>
          <w:lang w:eastAsia="en-US"/>
        </w:rPr>
      </w:pPr>
      <w:r>
        <w:rPr>
          <w:rFonts w:eastAsia="Calibri"/>
          <w:sz w:val="22"/>
          <w:szCs w:val="22"/>
          <w:lang w:eastAsia="en-US"/>
        </w:rPr>
        <w:t>студентка 6-го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заочного обучения</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Меренкова Н.</w:t>
      </w:r>
      <w:r w:rsidR="00EB0266">
        <w:rPr>
          <w:rFonts w:eastAsia="Calibri"/>
          <w:sz w:val="22"/>
          <w:szCs w:val="22"/>
          <w:lang w:eastAsia="en-US"/>
        </w:rPr>
        <w:t xml:space="preserve"> </w:t>
      </w:r>
      <w:r w:rsidRPr="008742E9">
        <w:rPr>
          <w:rFonts w:eastAsia="Calibri"/>
          <w:sz w:val="22"/>
          <w:szCs w:val="22"/>
          <w:lang w:eastAsia="en-US"/>
        </w:rPr>
        <w:t>В.</w:t>
      </w:r>
      <w:r w:rsidR="00EB0266">
        <w:rPr>
          <w:rFonts w:eastAsia="Calibri"/>
          <w:sz w:val="22"/>
          <w:szCs w:val="22"/>
          <w:lang w:eastAsia="en-US"/>
        </w:rPr>
        <w:t>,</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паразитологии,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ветсанэкспертизы и зоогигиены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w:t>
      </w:r>
      <w:r w:rsidR="00EB0266">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АННОТАЦИЯ: Изучены причины и симптомы мочекаменной болезни собак. Описана предрасположенность собак по половому признаку и породе. Даны рекомендации по уходу и кормлению.</w:t>
      </w:r>
    </w:p>
    <w:p w:rsidR="008742E9" w:rsidRPr="008742E9" w:rsidRDefault="008742E9" w:rsidP="00EB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inherit" w:hAnsi="inherit" w:cs="Courier New"/>
          <w:color w:val="212121"/>
          <w:sz w:val="20"/>
          <w:szCs w:val="20"/>
          <w:lang w:val="en-US"/>
        </w:rPr>
      </w:pPr>
      <w:r w:rsidRPr="008742E9">
        <w:rPr>
          <w:sz w:val="20"/>
          <w:szCs w:val="20"/>
          <w:lang w:val="en-US"/>
        </w:rPr>
        <w:t>ABSTRACT:</w:t>
      </w:r>
      <w:r w:rsidRPr="008742E9">
        <w:rPr>
          <w:rFonts w:ascii="inherit" w:hAnsi="inherit" w:cs="Courier New"/>
          <w:color w:val="212121"/>
          <w:sz w:val="20"/>
          <w:szCs w:val="20"/>
          <w:lang w:val="en-US"/>
        </w:rPr>
        <w:t xml:space="preserve"> </w:t>
      </w:r>
      <w:r w:rsidRPr="008742E9">
        <w:rPr>
          <w:color w:val="212121"/>
          <w:sz w:val="22"/>
          <w:szCs w:val="22"/>
          <w:lang w:val="en-US"/>
        </w:rPr>
        <w:t>The causes and symptoms  urolithiasis disease of dogs have been studied. Described a predisposition of dogs on gender and breed is described. Recommendations for care and feeding are given.</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eastAsia="en-US"/>
        </w:rPr>
        <w:t>КЛЮЧЕВЫЕ</w:t>
      </w:r>
      <w:r w:rsidRPr="008742E9">
        <w:rPr>
          <w:rFonts w:eastAsia="Calibri"/>
          <w:sz w:val="22"/>
          <w:szCs w:val="22"/>
          <w:lang w:val="en-US" w:eastAsia="en-US"/>
        </w:rPr>
        <w:t xml:space="preserve"> </w:t>
      </w:r>
      <w:r w:rsidRPr="008742E9">
        <w:rPr>
          <w:rFonts w:eastAsia="Calibri"/>
          <w:sz w:val="22"/>
          <w:szCs w:val="22"/>
          <w:lang w:eastAsia="en-US"/>
        </w:rPr>
        <w:t>СЛОВА</w:t>
      </w:r>
      <w:r w:rsidRPr="008742E9">
        <w:rPr>
          <w:rFonts w:eastAsia="Calibri"/>
          <w:sz w:val="22"/>
          <w:szCs w:val="22"/>
          <w:lang w:val="en-US" w:eastAsia="en-US"/>
        </w:rPr>
        <w:t xml:space="preserve">: </w:t>
      </w:r>
      <w:r w:rsidRPr="008742E9">
        <w:rPr>
          <w:rFonts w:eastAsia="Calibri"/>
          <w:sz w:val="22"/>
          <w:szCs w:val="22"/>
          <w:lang w:eastAsia="en-US"/>
        </w:rPr>
        <w:t>собаки</w:t>
      </w:r>
      <w:r w:rsidRPr="008742E9">
        <w:rPr>
          <w:rFonts w:eastAsia="Calibri"/>
          <w:sz w:val="22"/>
          <w:szCs w:val="22"/>
          <w:lang w:val="en-US" w:eastAsia="en-US"/>
        </w:rPr>
        <w:t xml:space="preserve">, </w:t>
      </w:r>
      <w:r w:rsidRPr="008742E9">
        <w:rPr>
          <w:rFonts w:eastAsia="Calibri"/>
          <w:sz w:val="22"/>
          <w:szCs w:val="22"/>
          <w:lang w:eastAsia="en-US"/>
        </w:rPr>
        <w:t>причины</w:t>
      </w:r>
      <w:r w:rsidRPr="008742E9">
        <w:rPr>
          <w:rFonts w:eastAsia="Calibri"/>
          <w:sz w:val="22"/>
          <w:szCs w:val="22"/>
          <w:lang w:val="en-US" w:eastAsia="en-US"/>
        </w:rPr>
        <w:t xml:space="preserve"> </w:t>
      </w:r>
      <w:r w:rsidRPr="008742E9">
        <w:rPr>
          <w:rFonts w:eastAsia="Calibri"/>
          <w:sz w:val="22"/>
          <w:szCs w:val="22"/>
          <w:lang w:eastAsia="en-US"/>
        </w:rPr>
        <w:t>болезни</w:t>
      </w:r>
      <w:r w:rsidRPr="008742E9">
        <w:rPr>
          <w:rFonts w:eastAsia="Calibri"/>
          <w:sz w:val="22"/>
          <w:szCs w:val="22"/>
          <w:lang w:val="en-US" w:eastAsia="en-US"/>
        </w:rPr>
        <w:t xml:space="preserve">, </w:t>
      </w:r>
      <w:r w:rsidRPr="008742E9">
        <w:rPr>
          <w:rFonts w:eastAsia="Calibri"/>
          <w:sz w:val="22"/>
          <w:szCs w:val="22"/>
          <w:lang w:eastAsia="en-US"/>
        </w:rPr>
        <w:t>мочекаме</w:t>
      </w:r>
      <w:r w:rsidRPr="008742E9">
        <w:rPr>
          <w:rFonts w:eastAsia="Calibri"/>
          <w:sz w:val="22"/>
          <w:szCs w:val="22"/>
          <w:lang w:eastAsia="en-US"/>
        </w:rPr>
        <w:t>н</w:t>
      </w:r>
      <w:r w:rsidRPr="008742E9">
        <w:rPr>
          <w:rFonts w:eastAsia="Calibri"/>
          <w:sz w:val="22"/>
          <w:szCs w:val="22"/>
          <w:lang w:eastAsia="en-US"/>
        </w:rPr>
        <w:t>ная</w:t>
      </w:r>
      <w:r w:rsidRPr="008742E9">
        <w:rPr>
          <w:rFonts w:eastAsia="Calibri"/>
          <w:sz w:val="22"/>
          <w:szCs w:val="22"/>
          <w:lang w:val="en-US" w:eastAsia="en-US"/>
        </w:rPr>
        <w:t xml:space="preserve"> </w:t>
      </w:r>
      <w:r w:rsidRPr="008742E9">
        <w:rPr>
          <w:rFonts w:eastAsia="Calibri"/>
          <w:sz w:val="22"/>
          <w:szCs w:val="22"/>
          <w:lang w:eastAsia="en-US"/>
        </w:rPr>
        <w:t>болезнь</w:t>
      </w:r>
      <w:r w:rsidRPr="008742E9">
        <w:rPr>
          <w:rFonts w:eastAsia="Calibri"/>
          <w:sz w:val="22"/>
          <w:szCs w:val="22"/>
          <w:lang w:val="en-US" w:eastAsia="en-US"/>
        </w:rPr>
        <w:t xml:space="preserve">, </w:t>
      </w:r>
      <w:r w:rsidRPr="008742E9">
        <w:rPr>
          <w:rFonts w:eastAsia="Calibri"/>
          <w:sz w:val="22"/>
          <w:szCs w:val="22"/>
          <w:lang w:eastAsia="en-US"/>
        </w:rPr>
        <w:t>мочевой</w:t>
      </w:r>
      <w:r w:rsidRPr="008742E9">
        <w:rPr>
          <w:rFonts w:eastAsia="Calibri"/>
          <w:sz w:val="22"/>
          <w:szCs w:val="22"/>
          <w:lang w:val="en-US" w:eastAsia="en-US"/>
        </w:rPr>
        <w:t xml:space="preserve"> </w:t>
      </w:r>
      <w:r w:rsidRPr="008742E9">
        <w:rPr>
          <w:rFonts w:eastAsia="Calibri"/>
          <w:sz w:val="22"/>
          <w:szCs w:val="22"/>
          <w:lang w:eastAsia="en-US"/>
        </w:rPr>
        <w:t>пузырь</w:t>
      </w:r>
      <w:r w:rsidRPr="008742E9">
        <w:rPr>
          <w:rFonts w:eastAsia="Calibri"/>
          <w:sz w:val="22"/>
          <w:szCs w:val="22"/>
          <w:lang w:val="en-US" w:eastAsia="en-US"/>
        </w:rPr>
        <w:t xml:space="preserve">, </w:t>
      </w:r>
      <w:r w:rsidRPr="008742E9">
        <w:rPr>
          <w:rFonts w:eastAsia="Calibri"/>
          <w:sz w:val="22"/>
          <w:szCs w:val="22"/>
          <w:lang w:eastAsia="en-US"/>
        </w:rPr>
        <w:t>уролиты</w:t>
      </w:r>
      <w:r w:rsidRPr="008742E9">
        <w:rPr>
          <w:rFonts w:eastAsia="Calibri"/>
          <w:sz w:val="22"/>
          <w:szCs w:val="22"/>
          <w:lang w:val="en-US" w:eastAsia="en-US"/>
        </w:rPr>
        <w:t xml:space="preserve">, </w:t>
      </w:r>
      <w:r w:rsidRPr="008742E9">
        <w:rPr>
          <w:rFonts w:eastAsia="Calibri"/>
          <w:sz w:val="22"/>
          <w:szCs w:val="22"/>
          <w:lang w:eastAsia="en-US"/>
        </w:rPr>
        <w:t>уролитиаз</w:t>
      </w:r>
      <w:r w:rsidRPr="008742E9">
        <w:rPr>
          <w:rFonts w:eastAsia="Calibri"/>
          <w:sz w:val="22"/>
          <w:szCs w:val="22"/>
          <w:lang w:val="en-US" w:eastAsia="en-US"/>
        </w:rPr>
        <w:t>.</w:t>
      </w:r>
    </w:p>
    <w:p w:rsidR="008742E9" w:rsidRPr="008742E9" w:rsidRDefault="008742E9" w:rsidP="00EB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sz w:val="22"/>
          <w:szCs w:val="22"/>
          <w:lang w:val="en-US"/>
        </w:rPr>
        <w:t>KEYWORDS:</w:t>
      </w:r>
      <w:r w:rsidRPr="008742E9">
        <w:rPr>
          <w:rFonts w:ascii="inherit" w:hAnsi="inherit" w:cs="Courier New"/>
          <w:color w:val="212121"/>
          <w:sz w:val="22"/>
          <w:szCs w:val="22"/>
          <w:lang w:val="en-US"/>
        </w:rPr>
        <w:t xml:space="preserve"> </w:t>
      </w:r>
      <w:r w:rsidRPr="008742E9">
        <w:rPr>
          <w:color w:val="212121"/>
          <w:sz w:val="22"/>
          <w:szCs w:val="22"/>
          <w:lang w:val="en-US"/>
        </w:rPr>
        <w:t>dogs, causes of the disease, urolithiasis disease, bladder, urolytes, urolithiasis.</w:t>
      </w:r>
    </w:p>
    <w:p w:rsidR="008742E9" w:rsidRPr="008742E9" w:rsidRDefault="008742E9" w:rsidP="00EB0266">
      <w:pPr>
        <w:ind w:firstLine="426"/>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В ветеринарной практике, в структуре урологических забол</w:t>
      </w:r>
      <w:r w:rsidRPr="008742E9">
        <w:rPr>
          <w:rFonts w:eastAsia="Calibri"/>
          <w:sz w:val="22"/>
          <w:szCs w:val="22"/>
          <w:lang w:eastAsia="en-US"/>
        </w:rPr>
        <w:t>е</w:t>
      </w:r>
      <w:r w:rsidRPr="008742E9">
        <w:rPr>
          <w:rFonts w:eastAsia="Calibri"/>
          <w:sz w:val="22"/>
          <w:szCs w:val="22"/>
          <w:lang w:eastAsia="en-US"/>
        </w:rPr>
        <w:t>ваний ведущую роль занимает мочекаменная болезнь. У собак, ж</w:t>
      </w:r>
      <w:r w:rsidRPr="008742E9">
        <w:rPr>
          <w:rFonts w:eastAsia="Calibri"/>
          <w:sz w:val="22"/>
          <w:szCs w:val="22"/>
          <w:lang w:eastAsia="en-US"/>
        </w:rPr>
        <w:t>и</w:t>
      </w:r>
      <w:r w:rsidRPr="008742E9">
        <w:rPr>
          <w:rFonts w:eastAsia="Calibri"/>
          <w:sz w:val="22"/>
          <w:szCs w:val="22"/>
          <w:lang w:eastAsia="en-US"/>
        </w:rPr>
        <w:t>вущих в городских условиях, прослеживается увеличение колич</w:t>
      </w:r>
      <w:r w:rsidRPr="008742E9">
        <w:rPr>
          <w:rFonts w:eastAsia="Calibri"/>
          <w:sz w:val="22"/>
          <w:szCs w:val="22"/>
          <w:lang w:eastAsia="en-US"/>
        </w:rPr>
        <w:t>е</w:t>
      </w:r>
      <w:r w:rsidRPr="008742E9">
        <w:rPr>
          <w:rFonts w:eastAsia="Calibri"/>
          <w:sz w:val="22"/>
          <w:szCs w:val="22"/>
          <w:lang w:eastAsia="en-US"/>
        </w:rPr>
        <w:t>ства больных этой болезнью.</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Мочекаменная болезнь занимает почти 18%, от общего числа заболеваний дистального отдела мочевыводящих путей у собак. Б</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лезнь у собак регистрируется в пятнадцати случаях из ста, является распространенной проблемой многих пород. Процесс развития да</w:t>
      </w:r>
      <w:r w:rsidRPr="008742E9">
        <w:rPr>
          <w:rFonts w:eastAsia="Calibri"/>
          <w:color w:val="000000"/>
          <w:sz w:val="22"/>
          <w:szCs w:val="22"/>
          <w:shd w:val="clear" w:color="auto" w:fill="FFFFFF"/>
          <w:lang w:eastAsia="en-US"/>
        </w:rPr>
        <w:t>н</w:t>
      </w:r>
      <w:r w:rsidRPr="008742E9">
        <w:rPr>
          <w:rFonts w:eastAsia="Calibri"/>
          <w:color w:val="000000"/>
          <w:sz w:val="22"/>
          <w:szCs w:val="22"/>
          <w:shd w:val="clear" w:color="auto" w:fill="FFFFFF"/>
          <w:lang w:eastAsia="en-US"/>
        </w:rPr>
        <w:t>ного заболевания очень прост: мочевой пузырь собаки наполняется камешками разного размера, которые блокируют мочевыделител</w:t>
      </w:r>
      <w:r w:rsidRPr="008742E9">
        <w:rPr>
          <w:rFonts w:eastAsia="Calibri"/>
          <w:color w:val="000000"/>
          <w:sz w:val="22"/>
          <w:szCs w:val="22"/>
          <w:shd w:val="clear" w:color="auto" w:fill="FFFFFF"/>
          <w:lang w:eastAsia="en-US"/>
        </w:rPr>
        <w:t>ь</w:t>
      </w:r>
      <w:r w:rsidRPr="008742E9">
        <w:rPr>
          <w:rFonts w:eastAsia="Calibri"/>
          <w:color w:val="000000"/>
          <w:sz w:val="22"/>
          <w:szCs w:val="22"/>
          <w:shd w:val="clear" w:color="auto" w:fill="FFFFFF"/>
          <w:lang w:eastAsia="en-US"/>
        </w:rPr>
        <w:t>ные каналы, вызывая чудовищную боль. Симптомы мочекаменной болезни начинаются с затрудненного мочеиспускания, частых п</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lastRenderedPageBreak/>
        <w:t>зывов к мочеиспусканию, без выделения мочи. Назначение пр</w:t>
      </w:r>
      <w:r w:rsidRPr="008742E9">
        <w:rPr>
          <w:rFonts w:eastAsia="Calibri"/>
          <w:color w:val="000000"/>
          <w:sz w:val="22"/>
          <w:szCs w:val="22"/>
          <w:shd w:val="clear" w:color="auto" w:fill="FFFFFF"/>
          <w:lang w:eastAsia="en-US"/>
        </w:rPr>
        <w:t>а</w:t>
      </w:r>
      <w:r w:rsidRPr="008742E9">
        <w:rPr>
          <w:rFonts w:eastAsia="Calibri"/>
          <w:color w:val="000000"/>
          <w:sz w:val="22"/>
          <w:szCs w:val="22"/>
          <w:shd w:val="clear" w:color="auto" w:fill="FFFFFF"/>
          <w:lang w:eastAsia="en-US"/>
        </w:rPr>
        <w:t xml:space="preserve">вильного лечения приносит значительное облегчение состояния животного. Самое главное, не запустить недуг настолько, чтобы животное мучительно пыталось выжить </w:t>
      </w:r>
      <w:r w:rsidRPr="008742E9">
        <w:rPr>
          <w:rFonts w:eastAsia="Calibri"/>
          <w:sz w:val="22"/>
          <w:szCs w:val="22"/>
          <w:lang w:eastAsia="en-US"/>
        </w:rPr>
        <w:t>[2].</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Данное  заболевание является труднодиагностируемым, и для установления точного диагноза необходима комплексная лабор</w:t>
      </w:r>
      <w:r w:rsidRPr="008742E9">
        <w:rPr>
          <w:rFonts w:eastAsia="Calibri"/>
          <w:sz w:val="22"/>
          <w:szCs w:val="22"/>
          <w:lang w:eastAsia="en-US"/>
        </w:rPr>
        <w:t>а</w:t>
      </w:r>
      <w:r w:rsidRPr="008742E9">
        <w:rPr>
          <w:rFonts w:eastAsia="Calibri"/>
          <w:sz w:val="22"/>
          <w:szCs w:val="22"/>
          <w:lang w:eastAsia="en-US"/>
        </w:rPr>
        <w:t>торно-клиническая диагностика с учетом наличия и локализации камня. Мочевые камни могут образовываться во всех отделах моч</w:t>
      </w:r>
      <w:r w:rsidRPr="008742E9">
        <w:rPr>
          <w:rFonts w:eastAsia="Calibri"/>
          <w:sz w:val="22"/>
          <w:szCs w:val="22"/>
          <w:lang w:eastAsia="en-US"/>
        </w:rPr>
        <w:t>е</w:t>
      </w:r>
      <w:r w:rsidRPr="008742E9">
        <w:rPr>
          <w:rFonts w:eastAsia="Calibri"/>
          <w:sz w:val="22"/>
          <w:szCs w:val="22"/>
          <w:lang w:eastAsia="en-US"/>
        </w:rPr>
        <w:t>выводящих путей, но у собак чаще всего происходит в мочевом п</w:t>
      </w:r>
      <w:r w:rsidRPr="008742E9">
        <w:rPr>
          <w:rFonts w:eastAsia="Calibri"/>
          <w:sz w:val="22"/>
          <w:szCs w:val="22"/>
          <w:lang w:eastAsia="en-US"/>
        </w:rPr>
        <w:t>у</w:t>
      </w:r>
      <w:r w:rsidRPr="008742E9">
        <w:rPr>
          <w:rFonts w:eastAsia="Calibri"/>
          <w:sz w:val="22"/>
          <w:szCs w:val="22"/>
          <w:lang w:eastAsia="en-US"/>
        </w:rPr>
        <w:t>зыре.</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У собак наиболее часто обнаруживают 4 типа уролитов  обр</w:t>
      </w:r>
      <w:r w:rsidRPr="008742E9">
        <w:rPr>
          <w:rFonts w:eastAsia="Calibri"/>
          <w:sz w:val="22"/>
          <w:szCs w:val="22"/>
          <w:lang w:eastAsia="en-US"/>
        </w:rPr>
        <w:t>а</w:t>
      </w:r>
      <w:r w:rsidRPr="008742E9">
        <w:rPr>
          <w:rFonts w:eastAsia="Calibri"/>
          <w:sz w:val="22"/>
          <w:szCs w:val="22"/>
          <w:lang w:eastAsia="en-US"/>
        </w:rPr>
        <w:t>зованных аммонийным фосфатом магния (струвитом), оксалатом кальция, уратом аммония и цистином. На состав уролит</w:t>
      </w:r>
      <w:r w:rsidR="0097059C">
        <w:rPr>
          <w:rFonts w:eastAsia="Calibri"/>
          <w:sz w:val="22"/>
          <w:szCs w:val="22"/>
          <w:lang w:eastAsia="en-US"/>
        </w:rPr>
        <w:t xml:space="preserve">ов могут влиять разные факторы </w:t>
      </w:r>
      <w:r w:rsidRPr="008742E9">
        <w:rPr>
          <w:rFonts w:eastAsia="Calibri"/>
          <w:sz w:val="22"/>
          <w:szCs w:val="22"/>
          <w:lang w:eastAsia="en-US"/>
        </w:rPr>
        <w:t>такие как порода, возраст, рацион питания, медикаментозное лечение, рН мочи, развитие анатомических ан</w:t>
      </w:r>
      <w:r w:rsidRPr="008742E9">
        <w:rPr>
          <w:rFonts w:eastAsia="Calibri"/>
          <w:sz w:val="22"/>
          <w:szCs w:val="22"/>
          <w:lang w:eastAsia="en-US"/>
        </w:rPr>
        <w:t>о</w:t>
      </w:r>
      <w:r w:rsidRPr="008742E9">
        <w:rPr>
          <w:rFonts w:eastAsia="Calibri"/>
          <w:sz w:val="22"/>
          <w:szCs w:val="22"/>
          <w:lang w:eastAsia="en-US"/>
        </w:rPr>
        <w:t>малий, инфекции мочевыводящих путей и т.д. [1].</w:t>
      </w:r>
    </w:p>
    <w:p w:rsidR="008742E9" w:rsidRPr="008742E9" w:rsidRDefault="008742E9" w:rsidP="00EB0266">
      <w:pPr>
        <w:ind w:firstLine="426"/>
        <w:jc w:val="both"/>
        <w:rPr>
          <w:rFonts w:eastAsia="Calibri"/>
          <w:color w:val="000000"/>
          <w:sz w:val="22"/>
          <w:szCs w:val="22"/>
          <w:lang w:eastAsia="en-US"/>
        </w:rPr>
      </w:pPr>
      <w:r w:rsidRPr="008742E9">
        <w:rPr>
          <w:rFonts w:eastAsia="Calibri"/>
          <w:color w:val="000000"/>
          <w:sz w:val="22"/>
          <w:szCs w:val="22"/>
          <w:shd w:val="clear" w:color="auto" w:fill="FFFFFF"/>
          <w:lang w:eastAsia="en-US"/>
        </w:rPr>
        <w:t>Породная предрасположенность к специфическим типам ур</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литиаза может иметь генетическую основу и обычно взаимосвязаны с полом собак. Различные формы мочекаменной болезни чаще р</w:t>
      </w:r>
      <w:r w:rsidRPr="008742E9">
        <w:rPr>
          <w:rFonts w:eastAsia="Calibri"/>
          <w:color w:val="000000"/>
          <w:sz w:val="22"/>
          <w:szCs w:val="22"/>
          <w:shd w:val="clear" w:color="auto" w:fill="FFFFFF"/>
          <w:lang w:eastAsia="en-US"/>
        </w:rPr>
        <w:t>е</w:t>
      </w:r>
      <w:r w:rsidRPr="008742E9">
        <w:rPr>
          <w:rFonts w:eastAsia="Calibri"/>
          <w:color w:val="000000"/>
          <w:sz w:val="22"/>
          <w:szCs w:val="22"/>
          <w:shd w:val="clear" w:color="auto" w:fill="FFFFFF"/>
          <w:lang w:eastAsia="en-US"/>
        </w:rPr>
        <w:t>гистрируются у кобелей. Только струвитные уролиты чаще выя</w:t>
      </w:r>
      <w:r w:rsidRPr="008742E9">
        <w:rPr>
          <w:rFonts w:eastAsia="Calibri"/>
          <w:color w:val="000000"/>
          <w:sz w:val="22"/>
          <w:szCs w:val="22"/>
          <w:shd w:val="clear" w:color="auto" w:fill="FFFFFF"/>
          <w:lang w:eastAsia="en-US"/>
        </w:rPr>
        <w:t>в</w:t>
      </w:r>
      <w:r w:rsidRPr="008742E9">
        <w:rPr>
          <w:rFonts w:eastAsia="Calibri"/>
          <w:color w:val="000000"/>
          <w:sz w:val="22"/>
          <w:szCs w:val="22"/>
          <w:shd w:val="clear" w:color="auto" w:fill="FFFFFF"/>
          <w:lang w:eastAsia="en-US"/>
        </w:rPr>
        <w:t>ляют у сук, что, может быть связано с большей предрасположенн</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стью последних к инфекциям мочевого пузыря. </w:t>
      </w:r>
      <w:r w:rsidRPr="008742E9">
        <w:rPr>
          <w:rFonts w:eastAsia="Calibri"/>
          <w:color w:val="000000"/>
          <w:sz w:val="22"/>
          <w:szCs w:val="22"/>
          <w:lang w:eastAsia="en-US"/>
        </w:rPr>
        <w:t xml:space="preserve"> </w:t>
      </w:r>
      <w:r w:rsidRPr="008742E9">
        <w:rPr>
          <w:rFonts w:eastAsia="Calibri"/>
          <w:color w:val="000000"/>
          <w:sz w:val="22"/>
          <w:szCs w:val="22"/>
          <w:shd w:val="clear" w:color="auto" w:fill="FFFFFF"/>
          <w:lang w:eastAsia="en-US"/>
        </w:rPr>
        <w:t>Уролитиаз обычно регистрируют у взрослых половозрелых собак, хотя возраст заб</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левших варьирует в широких пределах. Мочевые камни, содерж</w:t>
      </w:r>
      <w:r w:rsidRPr="008742E9">
        <w:rPr>
          <w:rFonts w:eastAsia="Calibri"/>
          <w:color w:val="000000"/>
          <w:sz w:val="22"/>
          <w:szCs w:val="22"/>
          <w:shd w:val="clear" w:color="auto" w:fill="FFFFFF"/>
          <w:lang w:eastAsia="en-US"/>
        </w:rPr>
        <w:t>а</w:t>
      </w:r>
      <w:r w:rsidRPr="008742E9">
        <w:rPr>
          <w:rFonts w:eastAsia="Calibri"/>
          <w:color w:val="000000"/>
          <w:sz w:val="22"/>
          <w:szCs w:val="22"/>
          <w:shd w:val="clear" w:color="auto" w:fill="FFFFFF"/>
          <w:lang w:eastAsia="en-US"/>
        </w:rPr>
        <w:t>щие фосфат или оксалат кальция, чаще обнаруживают у пожилых собак. </w:t>
      </w:r>
      <w:r w:rsidRPr="008742E9">
        <w:rPr>
          <w:rFonts w:eastAsia="Calibri"/>
          <w:color w:val="000000"/>
          <w:sz w:val="22"/>
          <w:szCs w:val="22"/>
          <w:lang w:eastAsia="en-US"/>
        </w:rPr>
        <w:t xml:space="preserve"> </w:t>
      </w:r>
    </w:p>
    <w:p w:rsidR="008742E9" w:rsidRPr="008742E9" w:rsidRDefault="008742E9" w:rsidP="00EB0266">
      <w:pPr>
        <w:ind w:firstLine="426"/>
        <w:jc w:val="both"/>
        <w:rPr>
          <w:rFonts w:eastAsia="Calibri"/>
          <w:sz w:val="22"/>
          <w:szCs w:val="22"/>
          <w:lang w:eastAsia="en-US"/>
        </w:rPr>
      </w:pPr>
      <w:r w:rsidRPr="008742E9">
        <w:rPr>
          <w:rFonts w:eastAsia="Calibri"/>
          <w:color w:val="000000"/>
          <w:sz w:val="22"/>
          <w:szCs w:val="22"/>
          <w:shd w:val="clear" w:color="auto" w:fill="FFFFFF"/>
          <w:lang w:eastAsia="en-US"/>
        </w:rPr>
        <w:t>Мировая статистика проведенных исследований показывает, что более 50% из обследованных больных собак, приходится на д</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лю собак мелких пород. На образование мочевых камней оказывают влияние образ жизни животных и генетическая наследственность. Также установлено, что при одинаковом рационе питания моча с</w:t>
      </w:r>
      <w:r w:rsidRPr="008742E9">
        <w:rPr>
          <w:rFonts w:eastAsia="Calibri"/>
          <w:color w:val="000000"/>
          <w:sz w:val="22"/>
          <w:szCs w:val="22"/>
          <w:shd w:val="clear" w:color="auto" w:fill="FFFFFF"/>
          <w:lang w:eastAsia="en-US"/>
        </w:rPr>
        <w:t>о</w:t>
      </w:r>
      <w:r w:rsidRPr="008742E9">
        <w:rPr>
          <w:rFonts w:eastAsia="Calibri"/>
          <w:color w:val="000000"/>
          <w:sz w:val="22"/>
          <w:szCs w:val="22"/>
          <w:shd w:val="clear" w:color="auto" w:fill="FFFFFF"/>
          <w:lang w:eastAsia="en-US"/>
        </w:rPr>
        <w:t>бак мелких пород имеет большую концентрацию, чем моча собак крупных пород.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val="en-US" w:eastAsia="en-US"/>
        </w:rPr>
        <w:t>O</w:t>
      </w:r>
      <w:r w:rsidRPr="008742E9">
        <w:rPr>
          <w:rFonts w:eastAsia="Calibri"/>
          <w:sz w:val="22"/>
          <w:szCs w:val="22"/>
          <w:lang w:eastAsia="en-US"/>
        </w:rPr>
        <w:t xml:space="preserve"> причинах образования мочевых камней существует ряд те</w:t>
      </w:r>
      <w:r w:rsidRPr="008742E9">
        <w:rPr>
          <w:rFonts w:eastAsia="Calibri"/>
          <w:sz w:val="22"/>
          <w:szCs w:val="22"/>
          <w:lang w:eastAsia="en-US"/>
        </w:rPr>
        <w:t>о</w:t>
      </w:r>
      <w:r w:rsidRPr="008742E9">
        <w:rPr>
          <w:rFonts w:eastAsia="Calibri"/>
          <w:sz w:val="22"/>
          <w:szCs w:val="22"/>
          <w:lang w:eastAsia="en-US"/>
        </w:rPr>
        <w:t>рий. По результатам проведенных исследований наиболее частыми причинами данной патологии считают организацию кормления с</w:t>
      </w:r>
      <w:r w:rsidRPr="008742E9">
        <w:rPr>
          <w:rFonts w:eastAsia="Calibri"/>
          <w:sz w:val="22"/>
          <w:szCs w:val="22"/>
          <w:lang w:eastAsia="en-US"/>
        </w:rPr>
        <w:t>о</w:t>
      </w:r>
      <w:r w:rsidRPr="008742E9">
        <w:rPr>
          <w:rFonts w:eastAsia="Calibri"/>
          <w:sz w:val="22"/>
          <w:szCs w:val="22"/>
          <w:lang w:eastAsia="en-US"/>
        </w:rPr>
        <w:t>бак сухими кормами при условиях недостаточного водопоя, отсу</w:t>
      </w:r>
      <w:r w:rsidRPr="008742E9">
        <w:rPr>
          <w:rFonts w:eastAsia="Calibri"/>
          <w:sz w:val="22"/>
          <w:szCs w:val="22"/>
          <w:lang w:eastAsia="en-US"/>
        </w:rPr>
        <w:t>т</w:t>
      </w:r>
      <w:r w:rsidRPr="008742E9">
        <w:rPr>
          <w:rFonts w:eastAsia="Calibri"/>
          <w:sz w:val="22"/>
          <w:szCs w:val="22"/>
          <w:lang w:eastAsia="en-US"/>
        </w:rPr>
        <w:t>ствие активного моциона и реализации физиологических потребн</w:t>
      </w:r>
      <w:r w:rsidRPr="008742E9">
        <w:rPr>
          <w:rFonts w:eastAsia="Calibri"/>
          <w:sz w:val="22"/>
          <w:szCs w:val="22"/>
          <w:lang w:eastAsia="en-US"/>
        </w:rPr>
        <w:t>о</w:t>
      </w:r>
      <w:r w:rsidRPr="008742E9">
        <w:rPr>
          <w:rFonts w:eastAsia="Calibri"/>
          <w:sz w:val="22"/>
          <w:szCs w:val="22"/>
          <w:lang w:eastAsia="en-US"/>
        </w:rPr>
        <w:lastRenderedPageBreak/>
        <w:t>стей организма. Выявление таких факторов служит важнейшим условием выбора эффективного лечения и профилактики данного заболевания [3, 5].</w:t>
      </w:r>
    </w:p>
    <w:p w:rsidR="008742E9" w:rsidRPr="008742E9" w:rsidRDefault="008742E9" w:rsidP="00EB0266">
      <w:pPr>
        <w:ind w:firstLine="426"/>
        <w:jc w:val="both"/>
        <w:rPr>
          <w:rFonts w:eastAsia="Calibri"/>
          <w:color w:val="000000"/>
          <w:sz w:val="22"/>
          <w:szCs w:val="22"/>
          <w:shd w:val="clear" w:color="auto" w:fill="FFFFFF"/>
          <w:lang w:eastAsia="en-US"/>
        </w:rPr>
      </w:pPr>
      <w:r w:rsidRPr="008742E9">
        <w:rPr>
          <w:rFonts w:eastAsia="Calibri"/>
          <w:color w:val="000000"/>
          <w:sz w:val="22"/>
          <w:szCs w:val="22"/>
          <w:shd w:val="clear" w:color="auto" w:fill="FFFFFF"/>
          <w:lang w:eastAsia="en-US"/>
        </w:rPr>
        <w:t>Схемы кормления и поения, способствующие снижению ко</w:t>
      </w:r>
      <w:r w:rsidRPr="008742E9">
        <w:rPr>
          <w:rFonts w:eastAsia="Calibri"/>
          <w:color w:val="000000"/>
          <w:sz w:val="22"/>
          <w:szCs w:val="22"/>
          <w:shd w:val="clear" w:color="auto" w:fill="FFFFFF"/>
          <w:lang w:eastAsia="en-US"/>
        </w:rPr>
        <w:t>н</w:t>
      </w:r>
      <w:r w:rsidRPr="008742E9">
        <w:rPr>
          <w:rFonts w:eastAsia="Calibri"/>
          <w:color w:val="000000"/>
          <w:sz w:val="22"/>
          <w:szCs w:val="22"/>
          <w:shd w:val="clear" w:color="auto" w:fill="FFFFFF"/>
          <w:lang w:eastAsia="en-US"/>
        </w:rPr>
        <w:t>центрации мочи, предназначены для растворения уролитов и сн</w:t>
      </w:r>
      <w:r w:rsidRPr="008742E9">
        <w:rPr>
          <w:rFonts w:eastAsia="Calibri"/>
          <w:color w:val="000000"/>
          <w:sz w:val="22"/>
          <w:szCs w:val="22"/>
          <w:shd w:val="clear" w:color="auto" w:fill="FFFFFF"/>
          <w:lang w:eastAsia="en-US"/>
        </w:rPr>
        <w:t>и</w:t>
      </w:r>
      <w:r w:rsidRPr="008742E9">
        <w:rPr>
          <w:rFonts w:eastAsia="Calibri"/>
          <w:color w:val="000000"/>
          <w:sz w:val="22"/>
          <w:szCs w:val="22"/>
          <w:shd w:val="clear" w:color="auto" w:fill="FFFFFF"/>
          <w:lang w:eastAsia="en-US"/>
        </w:rPr>
        <w:t>жения дальнейшего роста и образования мочевых камней посре</w:t>
      </w:r>
      <w:r w:rsidRPr="008742E9">
        <w:rPr>
          <w:rFonts w:eastAsia="Calibri"/>
          <w:color w:val="000000"/>
          <w:sz w:val="22"/>
          <w:szCs w:val="22"/>
          <w:shd w:val="clear" w:color="auto" w:fill="FFFFFF"/>
          <w:lang w:eastAsia="en-US"/>
        </w:rPr>
        <w:t>д</w:t>
      </w:r>
      <w:r w:rsidRPr="008742E9">
        <w:rPr>
          <w:rFonts w:eastAsia="Calibri"/>
          <w:color w:val="000000"/>
          <w:sz w:val="22"/>
          <w:szCs w:val="22"/>
          <w:shd w:val="clear" w:color="auto" w:fill="FFFFFF"/>
          <w:lang w:eastAsia="en-US"/>
        </w:rPr>
        <w:t>ством уменьшения перенасыщенности мочи неорганическими в</w:t>
      </w:r>
      <w:r w:rsidRPr="008742E9">
        <w:rPr>
          <w:rFonts w:eastAsia="Calibri"/>
          <w:color w:val="000000"/>
          <w:sz w:val="22"/>
          <w:szCs w:val="22"/>
          <w:shd w:val="clear" w:color="auto" w:fill="FFFFFF"/>
          <w:lang w:eastAsia="en-US"/>
        </w:rPr>
        <w:t>е</w:t>
      </w:r>
      <w:r w:rsidRPr="008742E9">
        <w:rPr>
          <w:rFonts w:eastAsia="Calibri"/>
          <w:color w:val="000000"/>
          <w:sz w:val="22"/>
          <w:szCs w:val="22"/>
          <w:shd w:val="clear" w:color="auto" w:fill="FFFFFF"/>
          <w:lang w:eastAsia="en-US"/>
        </w:rPr>
        <w:t>ществами, из которых они образуются. Рационы, понижающие рН мочи, полезны для профилактики струвитных уролитов, но их не следует давать собакам с уратными мочевыми камнями. Поэтому разработанные и представленные в большой линейки специальные ветеринарные диеты Urinary должны иметь индексы S/O (и прим</w:t>
      </w:r>
      <w:r w:rsidRPr="008742E9">
        <w:rPr>
          <w:rFonts w:eastAsia="Calibri"/>
          <w:color w:val="000000"/>
          <w:sz w:val="22"/>
          <w:szCs w:val="22"/>
          <w:shd w:val="clear" w:color="auto" w:fill="FFFFFF"/>
          <w:lang w:eastAsia="en-US"/>
        </w:rPr>
        <w:t>е</w:t>
      </w:r>
      <w:r w:rsidRPr="008742E9">
        <w:rPr>
          <w:rFonts w:eastAsia="Calibri"/>
          <w:color w:val="000000"/>
          <w:sz w:val="22"/>
          <w:szCs w:val="22"/>
          <w:shd w:val="clear" w:color="auto" w:fill="FFFFFF"/>
          <w:lang w:eastAsia="en-US"/>
        </w:rPr>
        <w:t xml:space="preserve">няются при струвитном или оксалатном уролитиазах) или U/C (уменьшая риски образования уратов и цистинов) </w:t>
      </w:r>
      <w:r w:rsidRPr="008742E9">
        <w:rPr>
          <w:rFonts w:eastAsia="Calibri"/>
          <w:sz w:val="22"/>
          <w:szCs w:val="22"/>
          <w:lang w:eastAsia="en-US"/>
        </w:rPr>
        <w:t>[4]</w:t>
      </w:r>
      <w:r w:rsidRPr="008742E9">
        <w:rPr>
          <w:rFonts w:eastAsia="Calibri"/>
          <w:color w:val="000000"/>
          <w:sz w:val="22"/>
          <w:szCs w:val="22"/>
          <w:shd w:val="clear" w:color="auto" w:fill="FFFFFF"/>
          <w:lang w:eastAsia="en-US"/>
        </w:rPr>
        <w:t xml:space="preserve">. </w:t>
      </w:r>
    </w:p>
    <w:p w:rsidR="008742E9" w:rsidRPr="008742E9" w:rsidRDefault="008742E9" w:rsidP="00EB0266">
      <w:pPr>
        <w:ind w:firstLine="426"/>
        <w:jc w:val="both"/>
        <w:rPr>
          <w:rFonts w:eastAsia="Calibri"/>
          <w:color w:val="000000"/>
          <w:sz w:val="22"/>
          <w:szCs w:val="22"/>
          <w:shd w:val="clear" w:color="auto" w:fill="FFFFFF"/>
          <w:lang w:eastAsia="en-US"/>
        </w:rPr>
      </w:pPr>
    </w:p>
    <w:p w:rsidR="008742E9" w:rsidRPr="008742E9" w:rsidRDefault="008742E9" w:rsidP="00EB0266">
      <w:pPr>
        <w:ind w:firstLine="426"/>
        <w:jc w:val="center"/>
        <w:rPr>
          <w:rFonts w:eastAsia="Calibri"/>
          <w:sz w:val="22"/>
          <w:szCs w:val="22"/>
          <w:lang w:eastAsia="en-US"/>
        </w:rPr>
      </w:pPr>
      <w:r w:rsidRPr="008742E9">
        <w:rPr>
          <w:rFonts w:eastAsia="Calibri"/>
          <w:color w:val="000000"/>
          <w:sz w:val="22"/>
          <w:szCs w:val="22"/>
          <w:shd w:val="clear" w:color="auto" w:fill="FFFFFF"/>
          <w:lang w:eastAsia="en-US"/>
        </w:rPr>
        <w:t>Список литературы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1. Даричева, Н.Н. Незаразные болезни мелких домашних ж</w:t>
      </w:r>
      <w:r w:rsidRPr="008742E9">
        <w:rPr>
          <w:rFonts w:eastAsia="Calibri"/>
          <w:sz w:val="22"/>
          <w:szCs w:val="22"/>
          <w:lang w:eastAsia="en-US"/>
        </w:rPr>
        <w:t>и</w:t>
      </w:r>
      <w:r w:rsidRPr="008742E9">
        <w:rPr>
          <w:rFonts w:eastAsia="Calibri"/>
          <w:sz w:val="22"/>
          <w:szCs w:val="22"/>
          <w:lang w:eastAsia="en-US"/>
        </w:rPr>
        <w:t>вотных: / Н.Н. Даричева, В.А. Ермолаев//  Учебно-методический комплекс. – Ульяновск: УГСХА, 2009. – 271 с.</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 xml:space="preserve">2. Luck, V.M. Renal disease in the domestic cat / V.M. Luck // Journal of Pathology and Bacteriology. 1968. – </w:t>
      </w:r>
      <w:r w:rsidRPr="008742E9">
        <w:rPr>
          <w:rFonts w:eastAsia="Calibri"/>
          <w:sz w:val="22"/>
          <w:szCs w:val="22"/>
          <w:lang w:eastAsia="en-US"/>
        </w:rPr>
        <w:t>Р</w:t>
      </w:r>
      <w:r w:rsidRPr="008742E9">
        <w:rPr>
          <w:rFonts w:eastAsia="Calibri"/>
          <w:sz w:val="22"/>
          <w:szCs w:val="22"/>
          <w:lang w:val="en-US" w:eastAsia="en-US"/>
        </w:rPr>
        <w:t>. 267-271.</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3. Marion, R.S. Survival of erythrocite after autogenous and allog</w:t>
      </w:r>
      <w:r w:rsidRPr="008742E9">
        <w:rPr>
          <w:rFonts w:eastAsia="Calibri"/>
          <w:sz w:val="22"/>
          <w:szCs w:val="22"/>
          <w:lang w:val="en-US" w:eastAsia="en-US"/>
        </w:rPr>
        <w:t>e</w:t>
      </w:r>
      <w:r w:rsidRPr="008742E9">
        <w:rPr>
          <w:rFonts w:eastAsia="Calibri"/>
          <w:sz w:val="22"/>
          <w:szCs w:val="22"/>
          <w:lang w:val="en-US" w:eastAsia="en-US"/>
        </w:rPr>
        <w:t xml:space="preserve">neic tranafusion in cats / R.S. Marion // J. Amer. Vet.Med. Assoc. – 1983. – </w:t>
      </w:r>
      <w:r w:rsidRPr="008742E9">
        <w:rPr>
          <w:rFonts w:eastAsia="Calibri"/>
          <w:sz w:val="22"/>
          <w:szCs w:val="22"/>
          <w:lang w:eastAsia="en-US"/>
        </w:rPr>
        <w:t>Р</w:t>
      </w:r>
      <w:r w:rsidRPr="008742E9">
        <w:rPr>
          <w:rFonts w:eastAsia="Calibri"/>
          <w:sz w:val="22"/>
          <w:szCs w:val="22"/>
          <w:lang w:val="en-US" w:eastAsia="en-US"/>
        </w:rPr>
        <w:t>. 444-450.</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4. Markwell, P.J. Urolithiasis: A comparison of humans, cats and dogs / P.J. Markwell // Proc. 9th Intern. Symp. On Urolithiasis. Cap</w:t>
      </w:r>
      <w:r w:rsidRPr="008742E9">
        <w:rPr>
          <w:rFonts w:eastAsia="Calibri"/>
          <w:sz w:val="22"/>
          <w:szCs w:val="22"/>
          <w:lang w:val="en-US" w:eastAsia="en-US"/>
        </w:rPr>
        <w:t>e</w:t>
      </w:r>
      <w:r w:rsidRPr="008742E9">
        <w:rPr>
          <w:rFonts w:eastAsia="Calibri"/>
          <w:sz w:val="22"/>
          <w:szCs w:val="22"/>
          <w:lang w:val="en-US" w:eastAsia="en-US"/>
        </w:rPr>
        <w:t>town. - 2000. - P. 785-788.</w:t>
      </w:r>
    </w:p>
    <w:p w:rsidR="008742E9" w:rsidRPr="008742E9" w:rsidRDefault="008742E9" w:rsidP="00EB0266">
      <w:pPr>
        <w:ind w:firstLine="426"/>
        <w:jc w:val="both"/>
        <w:rPr>
          <w:rFonts w:eastAsia="Calibri"/>
          <w:color w:val="000000"/>
          <w:sz w:val="22"/>
          <w:szCs w:val="22"/>
          <w:shd w:val="clear" w:color="auto" w:fill="FFFFFF"/>
          <w:lang w:eastAsia="en-US"/>
        </w:rPr>
      </w:pPr>
      <w:r w:rsidRPr="008742E9">
        <w:rPr>
          <w:rFonts w:eastAsia="Calibri"/>
          <w:color w:val="000000"/>
          <w:sz w:val="22"/>
          <w:szCs w:val="22"/>
          <w:shd w:val="clear" w:color="auto" w:fill="FFFFFF"/>
          <w:lang w:val="en-US" w:eastAsia="en-US"/>
        </w:rPr>
        <w:t>5. Stevenson, A.E. Risk factor analysis and relative supersaturation as tools for identifying calcium oxalate stone-forming dogs / A.E. St</w:t>
      </w:r>
      <w:r w:rsidRPr="008742E9">
        <w:rPr>
          <w:rFonts w:eastAsia="Calibri"/>
          <w:color w:val="000000"/>
          <w:sz w:val="22"/>
          <w:szCs w:val="22"/>
          <w:shd w:val="clear" w:color="auto" w:fill="FFFFFF"/>
          <w:lang w:val="en-US" w:eastAsia="en-US"/>
        </w:rPr>
        <w:t>e</w:t>
      </w:r>
      <w:r w:rsidRPr="008742E9">
        <w:rPr>
          <w:rFonts w:eastAsia="Calibri"/>
          <w:color w:val="000000"/>
          <w:sz w:val="22"/>
          <w:szCs w:val="22"/>
          <w:shd w:val="clear" w:color="auto" w:fill="FFFFFF"/>
          <w:lang w:val="en-US" w:eastAsia="en-US"/>
        </w:rPr>
        <w:t>venson, W.G. Robertson, P.J. Markwell // J. Sm. Anim</w:t>
      </w:r>
      <w:r w:rsidRPr="008742E9">
        <w:rPr>
          <w:rFonts w:eastAsia="Calibri"/>
          <w:color w:val="000000"/>
          <w:sz w:val="22"/>
          <w:szCs w:val="22"/>
          <w:shd w:val="clear" w:color="auto" w:fill="FFFFFF"/>
          <w:lang w:eastAsia="en-US"/>
        </w:rPr>
        <w:t xml:space="preserve">. </w:t>
      </w:r>
      <w:r w:rsidRPr="008742E9">
        <w:rPr>
          <w:rFonts w:eastAsia="Calibri"/>
          <w:color w:val="000000"/>
          <w:sz w:val="22"/>
          <w:szCs w:val="22"/>
          <w:shd w:val="clear" w:color="auto" w:fill="FFFFFF"/>
          <w:lang w:val="en-US" w:eastAsia="en-US"/>
        </w:rPr>
        <w:t>Pract</w:t>
      </w:r>
      <w:r w:rsidRPr="008742E9">
        <w:rPr>
          <w:rFonts w:eastAsia="Calibri"/>
          <w:color w:val="000000"/>
          <w:sz w:val="22"/>
          <w:szCs w:val="22"/>
          <w:shd w:val="clear" w:color="auto" w:fill="FFFFFF"/>
          <w:lang w:eastAsia="en-US"/>
        </w:rPr>
        <w:t xml:space="preserve">. – 2003. </w:t>
      </w:r>
      <w:r w:rsidRPr="008742E9">
        <w:rPr>
          <w:rFonts w:eastAsia="Calibri"/>
          <w:sz w:val="22"/>
          <w:szCs w:val="22"/>
          <w:lang w:val="en-US" w:eastAsia="en-US"/>
        </w:rPr>
        <w:t>Markwell</w:t>
      </w:r>
      <w:r w:rsidRPr="008742E9">
        <w:rPr>
          <w:rFonts w:eastAsia="Calibri"/>
          <w:sz w:val="22"/>
          <w:szCs w:val="22"/>
          <w:lang w:eastAsia="en-US"/>
        </w:rPr>
        <w:t xml:space="preserve">, </w:t>
      </w:r>
      <w:r w:rsidRPr="008742E9">
        <w:rPr>
          <w:rFonts w:eastAsia="Calibri"/>
          <w:sz w:val="22"/>
          <w:szCs w:val="22"/>
          <w:lang w:val="en-US" w:eastAsia="en-US"/>
        </w:rPr>
        <w:t>P</w:t>
      </w:r>
      <w:r w:rsidRPr="008742E9">
        <w:rPr>
          <w:rFonts w:eastAsia="Calibri"/>
          <w:sz w:val="22"/>
          <w:szCs w:val="22"/>
          <w:lang w:eastAsia="en-US"/>
        </w:rPr>
        <w:t>.</w:t>
      </w:r>
      <w:r w:rsidRPr="008742E9">
        <w:rPr>
          <w:rFonts w:eastAsia="Calibri"/>
          <w:sz w:val="22"/>
          <w:szCs w:val="22"/>
          <w:lang w:val="en-US" w:eastAsia="en-US"/>
        </w:rPr>
        <w:t>J</w:t>
      </w:r>
      <w:r w:rsidRPr="008742E9">
        <w:rPr>
          <w:rFonts w:eastAsia="Calibri"/>
          <w:sz w:val="22"/>
          <w:szCs w:val="22"/>
          <w:lang w:eastAsia="en-US"/>
        </w:rPr>
        <w:t>. –</w:t>
      </w:r>
      <w:r w:rsidRPr="008742E9">
        <w:rPr>
          <w:rFonts w:eastAsia="Calibri"/>
          <w:color w:val="000000"/>
          <w:sz w:val="22"/>
          <w:szCs w:val="22"/>
          <w:shd w:val="clear" w:color="auto" w:fill="FFFFFF"/>
          <w:lang w:eastAsia="en-US"/>
        </w:rPr>
        <w:t xml:space="preserve"> </w:t>
      </w:r>
      <w:r w:rsidRPr="008742E9">
        <w:rPr>
          <w:rFonts w:eastAsia="Calibri"/>
          <w:color w:val="000000"/>
          <w:sz w:val="22"/>
          <w:szCs w:val="22"/>
          <w:shd w:val="clear" w:color="auto" w:fill="FFFFFF"/>
          <w:lang w:val="en-US" w:eastAsia="en-US"/>
        </w:rPr>
        <w:t>v</w:t>
      </w:r>
      <w:r w:rsidRPr="008742E9">
        <w:rPr>
          <w:rFonts w:eastAsia="Calibri"/>
          <w:color w:val="000000"/>
          <w:sz w:val="22"/>
          <w:szCs w:val="22"/>
          <w:shd w:val="clear" w:color="auto" w:fill="FFFFFF"/>
          <w:lang w:eastAsia="en-US"/>
        </w:rPr>
        <w:t xml:space="preserve">.44. </w:t>
      </w:r>
      <w:r w:rsidRPr="008742E9">
        <w:rPr>
          <w:rFonts w:eastAsia="Calibri"/>
          <w:sz w:val="22"/>
          <w:szCs w:val="22"/>
          <w:lang w:eastAsia="en-US"/>
        </w:rPr>
        <w:t>–</w:t>
      </w:r>
      <w:r w:rsidRPr="008742E9">
        <w:rPr>
          <w:rFonts w:eastAsia="Calibri"/>
          <w:color w:val="000000"/>
          <w:sz w:val="22"/>
          <w:szCs w:val="22"/>
          <w:shd w:val="clear" w:color="auto" w:fill="FFFFFF"/>
          <w:lang w:eastAsia="en-US"/>
        </w:rPr>
        <w:t xml:space="preserve"> Р. 491-496.</w:t>
      </w:r>
    </w:p>
    <w:p w:rsidR="008742E9" w:rsidRPr="008742E9" w:rsidRDefault="0097059C" w:rsidP="0097059C">
      <w:pPr>
        <w:rPr>
          <w:rFonts w:eastAsia="Calibri"/>
          <w:color w:val="000000"/>
          <w:sz w:val="22"/>
          <w:szCs w:val="22"/>
          <w:shd w:val="clear" w:color="auto" w:fill="FFFFFF"/>
          <w:lang w:eastAsia="en-US"/>
        </w:rPr>
      </w:pPr>
      <w:r>
        <w:rPr>
          <w:rFonts w:eastAsia="Calibri"/>
          <w:color w:val="000000"/>
          <w:sz w:val="22"/>
          <w:szCs w:val="22"/>
          <w:shd w:val="clear" w:color="auto" w:fill="FFFFFF"/>
          <w:lang w:eastAsia="en-US"/>
        </w:rPr>
        <w:br w:type="page"/>
      </w:r>
    </w:p>
    <w:p w:rsidR="008742E9" w:rsidRPr="008742E9" w:rsidRDefault="008742E9" w:rsidP="008742E9">
      <w:pPr>
        <w:rPr>
          <w:rFonts w:eastAsia="Calibri"/>
          <w:sz w:val="22"/>
          <w:szCs w:val="22"/>
          <w:lang w:eastAsia="en-US"/>
        </w:rPr>
      </w:pPr>
      <w:r w:rsidRPr="008742E9">
        <w:rPr>
          <w:rFonts w:eastAsia="Calibri"/>
          <w:sz w:val="22"/>
          <w:szCs w:val="22"/>
          <w:lang w:eastAsia="en-US"/>
        </w:rPr>
        <w:lastRenderedPageBreak/>
        <w:t>УДК 619:616.995.42</w:t>
      </w:r>
    </w:p>
    <w:p w:rsidR="008742E9" w:rsidRPr="008742E9" w:rsidRDefault="008742E9" w:rsidP="008742E9">
      <w:pPr>
        <w:jc w:val="center"/>
        <w:rPr>
          <w:rFonts w:eastAsia="Calibri"/>
          <w:b/>
          <w:sz w:val="24"/>
          <w:szCs w:val="22"/>
          <w:lang w:eastAsia="en-US"/>
        </w:rPr>
      </w:pPr>
    </w:p>
    <w:p w:rsidR="008742E9" w:rsidRPr="008742E9" w:rsidRDefault="008742E9" w:rsidP="008742E9">
      <w:pPr>
        <w:jc w:val="center"/>
        <w:rPr>
          <w:rFonts w:eastAsia="Calibri"/>
          <w:b/>
          <w:sz w:val="24"/>
          <w:szCs w:val="22"/>
          <w:lang w:eastAsia="en-US"/>
        </w:rPr>
      </w:pPr>
      <w:r w:rsidRPr="008742E9">
        <w:rPr>
          <w:rFonts w:eastAsia="Calibri"/>
          <w:b/>
          <w:sz w:val="24"/>
          <w:szCs w:val="22"/>
          <w:lang w:eastAsia="en-US"/>
        </w:rPr>
        <w:t>Меры борьбы с дерманиссиозом кур</w:t>
      </w:r>
    </w:p>
    <w:p w:rsidR="008742E9" w:rsidRPr="008742E9" w:rsidRDefault="008742E9" w:rsidP="008742E9">
      <w:pPr>
        <w:jc w:val="center"/>
        <w:rPr>
          <w:rFonts w:eastAsia="Calibri"/>
          <w:b/>
          <w:sz w:val="22"/>
          <w:szCs w:val="22"/>
          <w:lang w:val="en-US" w:eastAsia="en-US"/>
        </w:rPr>
      </w:pPr>
      <w:r w:rsidRPr="008742E9">
        <w:rPr>
          <w:rFonts w:eastAsia="Calibri"/>
          <w:b/>
          <w:sz w:val="24"/>
          <w:szCs w:val="22"/>
          <w:lang w:val="en-US" w:eastAsia="en-US"/>
        </w:rPr>
        <w:t>Measures to combat dermanissiosis of chickens</w:t>
      </w:r>
    </w:p>
    <w:p w:rsidR="008742E9" w:rsidRPr="008742E9" w:rsidRDefault="008742E9" w:rsidP="008742E9">
      <w:pPr>
        <w:jc w:val="center"/>
        <w:rPr>
          <w:rFonts w:eastAsia="Calibri"/>
          <w:b/>
          <w:sz w:val="22"/>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Сорокина Л.</w:t>
      </w:r>
      <w:r w:rsidR="00EB0266">
        <w:rPr>
          <w:rFonts w:eastAsia="Calibri"/>
          <w:sz w:val="22"/>
          <w:szCs w:val="22"/>
          <w:lang w:eastAsia="en-US"/>
        </w:rPr>
        <w:t xml:space="preserve"> </w:t>
      </w:r>
      <w:r w:rsidRPr="008742E9">
        <w:rPr>
          <w:rFonts w:eastAsia="Calibri"/>
          <w:sz w:val="22"/>
          <w:szCs w:val="22"/>
          <w:lang w:eastAsia="en-US"/>
        </w:rPr>
        <w:t>Д.,</w:t>
      </w:r>
    </w:p>
    <w:p w:rsidR="00EB0266" w:rsidRDefault="008742E9" w:rsidP="008742E9">
      <w:pPr>
        <w:jc w:val="right"/>
        <w:rPr>
          <w:rFonts w:eastAsia="Calibri"/>
          <w:sz w:val="22"/>
          <w:szCs w:val="22"/>
          <w:lang w:eastAsia="en-US"/>
        </w:rPr>
      </w:pPr>
      <w:r w:rsidRPr="008742E9">
        <w:rPr>
          <w:rFonts w:eastAsia="Calibri"/>
          <w:sz w:val="22"/>
          <w:szCs w:val="22"/>
          <w:lang w:eastAsia="en-US"/>
        </w:rPr>
        <w:t>студентка 5-го курса</w:t>
      </w:r>
    </w:p>
    <w:p w:rsidR="008742E9" w:rsidRPr="008742E9" w:rsidRDefault="008742E9" w:rsidP="00EB0266">
      <w:pPr>
        <w:jc w:val="right"/>
        <w:rPr>
          <w:rFonts w:eastAsia="Calibri"/>
          <w:sz w:val="22"/>
          <w:szCs w:val="22"/>
          <w:lang w:eastAsia="en-US"/>
        </w:rPr>
      </w:pPr>
      <w:r w:rsidRPr="008742E9">
        <w:rPr>
          <w:rFonts w:eastAsia="Calibri"/>
          <w:sz w:val="22"/>
          <w:szCs w:val="22"/>
          <w:lang w:eastAsia="en-US"/>
        </w:rPr>
        <w:t xml:space="preserve"> факультета</w:t>
      </w:r>
      <w:r w:rsidR="00EB0266">
        <w:rPr>
          <w:rFonts w:eastAsia="Calibri"/>
          <w:sz w:val="22"/>
          <w:szCs w:val="22"/>
          <w:lang w:eastAsia="en-US"/>
        </w:rPr>
        <w:t xml:space="preserve"> </w:t>
      </w:r>
      <w:r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Катаева Т.</w:t>
      </w:r>
      <w:r w:rsidR="00EB0266">
        <w:rPr>
          <w:rFonts w:eastAsia="Calibri"/>
          <w:sz w:val="22"/>
          <w:szCs w:val="22"/>
          <w:lang w:eastAsia="en-US"/>
        </w:rPr>
        <w:t xml:space="preserve"> </w:t>
      </w:r>
      <w:r w:rsidRPr="008742E9">
        <w:rPr>
          <w:rFonts w:eastAsia="Calibri"/>
          <w:sz w:val="22"/>
          <w:szCs w:val="22"/>
          <w:lang w:eastAsia="en-US"/>
        </w:rPr>
        <w:t>С.,</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п</w:t>
      </w:r>
      <w:r w:rsidR="00EB0266">
        <w:rPr>
          <w:rFonts w:eastAsia="Calibri"/>
          <w:sz w:val="22"/>
          <w:szCs w:val="22"/>
          <w:lang w:eastAsia="en-US"/>
        </w:rPr>
        <w:t>рофессор кафедры паразитологии,</w:t>
      </w:r>
    </w:p>
    <w:p w:rsidR="008742E9" w:rsidRPr="008742E9" w:rsidRDefault="00EB0266" w:rsidP="008742E9">
      <w:pPr>
        <w:jc w:val="right"/>
        <w:rPr>
          <w:rFonts w:eastAsia="Calibri"/>
          <w:sz w:val="22"/>
          <w:szCs w:val="22"/>
          <w:lang w:eastAsia="en-US"/>
        </w:rPr>
      </w:pPr>
      <w:r>
        <w:rPr>
          <w:rFonts w:eastAsia="Calibri"/>
          <w:sz w:val="22"/>
          <w:szCs w:val="22"/>
          <w:lang w:eastAsia="en-US"/>
        </w:rPr>
        <w:t>ветсанэкспертизы и зоогигиены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университет имени И.</w:t>
      </w:r>
      <w:r w:rsidR="00EB0266">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АННОТАЦИЯ: Экономической стабильности птицеводческих хозяйств мешают такие причины, как арахноэнтомозы птиц. Особо следует о</w:t>
      </w:r>
      <w:r w:rsidR="00384DE6">
        <w:rPr>
          <w:rFonts w:eastAsia="Calibri"/>
          <w:sz w:val="22"/>
          <w:szCs w:val="22"/>
          <w:lang w:eastAsia="en-US"/>
        </w:rPr>
        <w:t xml:space="preserve">тметить клещевую инфестацию – </w:t>
      </w:r>
      <w:r w:rsidRPr="008742E9">
        <w:rPr>
          <w:rFonts w:eastAsia="Calibri"/>
          <w:sz w:val="22"/>
          <w:szCs w:val="22"/>
          <w:lang w:eastAsia="en-US"/>
        </w:rPr>
        <w:t>дерманиссиоз. Ее возб</w:t>
      </w:r>
      <w:r w:rsidRPr="008742E9">
        <w:rPr>
          <w:rFonts w:eastAsia="Calibri"/>
          <w:sz w:val="22"/>
          <w:szCs w:val="22"/>
          <w:lang w:eastAsia="en-US"/>
        </w:rPr>
        <w:t>у</w:t>
      </w:r>
      <w:r w:rsidRPr="008742E9">
        <w:rPr>
          <w:rFonts w:eastAsia="Calibri"/>
          <w:sz w:val="22"/>
          <w:szCs w:val="22"/>
          <w:lang w:eastAsia="en-US"/>
        </w:rPr>
        <w:t xml:space="preserve">дитель –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является переносчиком возбудителей боррелиоза, орнитоза, холеры и чумы.</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ABSTRACT: Economic stability, poultry farms prevent causes such as arachnoides birds. Particularly noteworthy tick infestatio – derma</w:t>
      </w:r>
      <w:r w:rsidRPr="008742E9">
        <w:rPr>
          <w:rFonts w:eastAsia="Calibri"/>
          <w:sz w:val="22"/>
          <w:szCs w:val="22"/>
          <w:lang w:val="en-US" w:eastAsia="en-US"/>
        </w:rPr>
        <w:t>n</w:t>
      </w:r>
      <w:r w:rsidRPr="008742E9">
        <w:rPr>
          <w:rFonts w:eastAsia="Calibri"/>
          <w:sz w:val="22"/>
          <w:szCs w:val="22"/>
          <w:lang w:val="en-US" w:eastAsia="en-US"/>
        </w:rPr>
        <w:t>ities. Its causative agent – Dermanyssus gallinae is the blood-sucking ectoparasites that can transmit the pathogens of Lyme disease in birds, psittacosis, cholera and plague.</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КЛЮЧЕВЫЕ СЛОВА: куры, эктопаразиты, дерманиссиоз, де</w:t>
      </w:r>
      <w:r w:rsidRPr="008742E9">
        <w:rPr>
          <w:rFonts w:eastAsia="Calibri"/>
          <w:sz w:val="22"/>
          <w:szCs w:val="22"/>
          <w:lang w:eastAsia="en-US"/>
        </w:rPr>
        <w:t>з</w:t>
      </w:r>
      <w:r w:rsidRPr="008742E9">
        <w:rPr>
          <w:rFonts w:eastAsia="Calibri"/>
          <w:sz w:val="22"/>
          <w:szCs w:val="22"/>
          <w:lang w:eastAsia="en-US"/>
        </w:rPr>
        <w:t>акаризация.</w:t>
      </w:r>
    </w:p>
    <w:p w:rsidR="008742E9" w:rsidRPr="008742E9" w:rsidRDefault="008742E9" w:rsidP="00EB0266">
      <w:pPr>
        <w:ind w:firstLine="426"/>
        <w:jc w:val="both"/>
        <w:rPr>
          <w:rFonts w:eastAsia="Calibri"/>
          <w:sz w:val="22"/>
          <w:szCs w:val="22"/>
          <w:lang w:val="en-US" w:eastAsia="en-US"/>
        </w:rPr>
      </w:pPr>
      <w:r w:rsidRPr="008742E9">
        <w:rPr>
          <w:rFonts w:eastAsia="Calibri"/>
          <w:sz w:val="22"/>
          <w:szCs w:val="22"/>
          <w:lang w:val="en-US" w:eastAsia="en-US"/>
        </w:rPr>
        <w:t>KEY WORDS: chickens, ectoparasites, dermanisiosis, deacariz</w:t>
      </w:r>
      <w:r w:rsidRPr="008742E9">
        <w:rPr>
          <w:rFonts w:eastAsia="Calibri"/>
          <w:sz w:val="22"/>
          <w:szCs w:val="22"/>
          <w:lang w:val="en-US" w:eastAsia="en-US"/>
        </w:rPr>
        <w:t>a</w:t>
      </w:r>
      <w:r w:rsidRPr="008742E9">
        <w:rPr>
          <w:rFonts w:eastAsia="Calibri"/>
          <w:sz w:val="22"/>
          <w:szCs w:val="22"/>
          <w:lang w:val="en-US" w:eastAsia="en-US"/>
        </w:rPr>
        <w:t>tion.</w:t>
      </w:r>
    </w:p>
    <w:p w:rsidR="008742E9" w:rsidRPr="008742E9" w:rsidRDefault="008742E9" w:rsidP="00EB0266">
      <w:pPr>
        <w:ind w:firstLine="426"/>
        <w:jc w:val="both"/>
        <w:rPr>
          <w:rFonts w:eastAsia="Calibri"/>
          <w:sz w:val="22"/>
          <w:szCs w:val="22"/>
          <w:lang w:val="en-US" w:eastAsia="en-US"/>
        </w:rPr>
      </w:pP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Одной из главных задач птицеводства является увеличение численности птиц, повышение их продуктивности. Однако, экон</w:t>
      </w:r>
      <w:r w:rsidRPr="008742E9">
        <w:rPr>
          <w:rFonts w:eastAsia="Calibri"/>
          <w:sz w:val="22"/>
          <w:szCs w:val="22"/>
          <w:lang w:eastAsia="en-US"/>
        </w:rPr>
        <w:t>о</w:t>
      </w:r>
      <w:r w:rsidRPr="008742E9">
        <w:rPr>
          <w:rFonts w:eastAsia="Calibri"/>
          <w:sz w:val="22"/>
          <w:szCs w:val="22"/>
          <w:lang w:eastAsia="en-US"/>
        </w:rPr>
        <w:t xml:space="preserve">мической ущерб птицеводческим хозяйствам наносят  эктопаразиты кур. Среди них наиболее широкое распространение имеют клещи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w:t>
      </w:r>
      <w:r w:rsidRPr="008742E9">
        <w:rPr>
          <w:rFonts w:eastAsia="Calibri"/>
          <w:sz w:val="22"/>
          <w:szCs w:val="22"/>
          <w:lang w:val="en-US" w:eastAsia="en-US"/>
        </w:rPr>
        <w:t>Argus</w:t>
      </w:r>
      <w:r w:rsidRPr="008742E9">
        <w:rPr>
          <w:rFonts w:eastAsia="Calibri"/>
          <w:sz w:val="22"/>
          <w:szCs w:val="22"/>
          <w:lang w:eastAsia="en-US"/>
        </w:rPr>
        <w:t xml:space="preserve"> </w:t>
      </w:r>
      <w:r w:rsidRPr="008742E9">
        <w:rPr>
          <w:rFonts w:eastAsia="Calibri"/>
          <w:sz w:val="22"/>
          <w:szCs w:val="22"/>
          <w:lang w:val="en-US" w:eastAsia="en-US"/>
        </w:rPr>
        <w:t>persicus</w:t>
      </w:r>
      <w:r w:rsidRPr="008742E9">
        <w:rPr>
          <w:rFonts w:eastAsia="Calibri"/>
          <w:sz w:val="22"/>
          <w:szCs w:val="22"/>
          <w:lang w:eastAsia="en-US"/>
        </w:rPr>
        <w:t>, пухо-пероеды и другие. Ка</w:t>
      </w:r>
      <w:r w:rsidRPr="008742E9">
        <w:rPr>
          <w:rFonts w:eastAsia="Calibri"/>
          <w:sz w:val="22"/>
          <w:szCs w:val="22"/>
          <w:lang w:eastAsia="en-US"/>
        </w:rPr>
        <w:t>ж</w:t>
      </w:r>
      <w:r w:rsidRPr="008742E9">
        <w:rPr>
          <w:rFonts w:eastAsia="Calibri"/>
          <w:sz w:val="22"/>
          <w:szCs w:val="22"/>
          <w:lang w:eastAsia="en-US"/>
        </w:rPr>
        <w:t>дый из вышеперечисленных эктопаразитов заслуживает особое внимание ветеринарных врачей и собственников птицеводческих хозяйств, так  как они оказывают неблагоприятное влияние на яи</w:t>
      </w:r>
      <w:r w:rsidRPr="008742E9">
        <w:rPr>
          <w:rFonts w:eastAsia="Calibri"/>
          <w:sz w:val="22"/>
          <w:szCs w:val="22"/>
          <w:lang w:eastAsia="en-US"/>
        </w:rPr>
        <w:t>ч</w:t>
      </w:r>
      <w:r w:rsidRPr="008742E9">
        <w:rPr>
          <w:rFonts w:eastAsia="Calibri"/>
          <w:sz w:val="22"/>
          <w:szCs w:val="22"/>
          <w:lang w:eastAsia="en-US"/>
        </w:rPr>
        <w:lastRenderedPageBreak/>
        <w:t>ную и мясную продуктивность. Особо следует отметить, что кур</w:t>
      </w:r>
      <w:r w:rsidRPr="008742E9">
        <w:rPr>
          <w:rFonts w:eastAsia="Calibri"/>
          <w:sz w:val="22"/>
          <w:szCs w:val="22"/>
          <w:lang w:eastAsia="en-US"/>
        </w:rPr>
        <w:t>и</w:t>
      </w:r>
      <w:r w:rsidRPr="008742E9">
        <w:rPr>
          <w:rFonts w:eastAsia="Calibri"/>
          <w:sz w:val="22"/>
          <w:szCs w:val="22"/>
          <w:lang w:eastAsia="en-US"/>
        </w:rPr>
        <w:t xml:space="preserve">ный клещ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являет</w:t>
      </w:r>
      <w:r w:rsidR="0097059C">
        <w:rPr>
          <w:rFonts w:eastAsia="Calibri"/>
          <w:sz w:val="22"/>
          <w:szCs w:val="22"/>
          <w:lang w:eastAsia="en-US"/>
        </w:rPr>
        <w:t>ся кровососущим эктопараз</w:t>
      </w:r>
      <w:r w:rsidR="0097059C">
        <w:rPr>
          <w:rFonts w:eastAsia="Calibri"/>
          <w:sz w:val="22"/>
          <w:szCs w:val="22"/>
          <w:lang w:eastAsia="en-US"/>
        </w:rPr>
        <w:t>и</w:t>
      </w:r>
      <w:r w:rsidR="0097059C">
        <w:rPr>
          <w:rFonts w:eastAsia="Calibri"/>
          <w:sz w:val="22"/>
          <w:szCs w:val="22"/>
          <w:lang w:eastAsia="en-US"/>
        </w:rPr>
        <w:t xml:space="preserve">том. </w:t>
      </w:r>
      <w:r w:rsidRPr="008742E9">
        <w:rPr>
          <w:rFonts w:eastAsia="Calibri"/>
          <w:sz w:val="22"/>
          <w:szCs w:val="22"/>
          <w:lang w:eastAsia="en-US"/>
        </w:rPr>
        <w:t>При массовом нападении клещей на птиц отмечают снижение яйценоскости, потерю массу тела и гибель. Места их укрытия в гл</w:t>
      </w:r>
      <w:r w:rsidRPr="008742E9">
        <w:rPr>
          <w:rFonts w:eastAsia="Calibri"/>
          <w:sz w:val="22"/>
          <w:szCs w:val="22"/>
          <w:lang w:eastAsia="en-US"/>
        </w:rPr>
        <w:t>у</w:t>
      </w:r>
      <w:r w:rsidRPr="008742E9">
        <w:rPr>
          <w:rFonts w:eastAsia="Calibri"/>
          <w:sz w:val="22"/>
          <w:szCs w:val="22"/>
          <w:lang w:eastAsia="en-US"/>
        </w:rPr>
        <w:t>бокой подстилке, щелях, трещинах. Питание клещей (нимф и им</w:t>
      </w:r>
      <w:r w:rsidRPr="008742E9">
        <w:rPr>
          <w:rFonts w:eastAsia="Calibri"/>
          <w:sz w:val="22"/>
          <w:szCs w:val="22"/>
          <w:lang w:eastAsia="en-US"/>
        </w:rPr>
        <w:t>а</w:t>
      </w:r>
      <w:r w:rsidRPr="008742E9">
        <w:rPr>
          <w:rFonts w:eastAsia="Calibri"/>
          <w:sz w:val="22"/>
          <w:szCs w:val="22"/>
          <w:lang w:eastAsia="en-US"/>
        </w:rPr>
        <w:t xml:space="preserve">го) продолжается от нескольких минут до часа и более. За это время питания клеща кровью масса его тела увеличивается в 10 раз. </w:t>
      </w:r>
      <w:r w:rsidRPr="008742E9">
        <w:rPr>
          <w:rFonts w:eastAsia="Calibri"/>
          <w:sz w:val="22"/>
          <w:szCs w:val="22"/>
          <w:lang w:val="en-US" w:eastAsia="en-US"/>
        </w:rPr>
        <w:t>De</w:t>
      </w:r>
      <w:r w:rsidRPr="008742E9">
        <w:rPr>
          <w:rFonts w:eastAsia="Calibri"/>
          <w:sz w:val="22"/>
          <w:szCs w:val="22"/>
          <w:lang w:val="en-US" w:eastAsia="en-US"/>
        </w:rPr>
        <w:t>r</w:t>
      </w:r>
      <w:r w:rsidRPr="008742E9">
        <w:rPr>
          <w:rFonts w:eastAsia="Calibri"/>
          <w:sz w:val="22"/>
          <w:szCs w:val="22"/>
          <w:lang w:val="en-US" w:eastAsia="en-US"/>
        </w:rPr>
        <w:t>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долго сохраняются в птичниках даже без птиц, они могут голодать 11 месяцев и более. Клещи способны нападать на обслуживающий персонал и вызывать у них дерматиты и экз</w:t>
      </w:r>
      <w:r w:rsidRPr="008742E9">
        <w:rPr>
          <w:rFonts w:eastAsia="Calibri"/>
          <w:sz w:val="22"/>
          <w:szCs w:val="22"/>
          <w:lang w:eastAsia="en-US"/>
        </w:rPr>
        <w:t>е</w:t>
      </w:r>
      <w:r w:rsidRPr="008742E9">
        <w:rPr>
          <w:rFonts w:eastAsia="Calibri"/>
          <w:sz w:val="22"/>
          <w:szCs w:val="22"/>
          <w:lang w:eastAsia="en-US"/>
        </w:rPr>
        <w:t>мы.</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Дезакаризация корпусов и прочих помещений птицефабрики как составная часть программы биобезопасности в птицеводстве должна быть включена в технологический процесс подготовки птичников во время </w:t>
      </w:r>
      <w:r w:rsidRPr="008742E9">
        <w:rPr>
          <w:rFonts w:eastAsia="Calibri"/>
          <w:color w:val="000000"/>
          <w:sz w:val="22"/>
          <w:szCs w:val="22"/>
          <w:lang w:eastAsia="en-US"/>
        </w:rPr>
        <w:t>технологического перерыва</w:t>
      </w:r>
      <w:r w:rsidRPr="008742E9">
        <w:rPr>
          <w:rFonts w:eastAsia="Calibri"/>
          <w:sz w:val="22"/>
          <w:szCs w:val="22"/>
          <w:lang w:eastAsia="en-US"/>
        </w:rPr>
        <w:t>.</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Исходя из вышесказанного, беря во внимание широкое распр</w:t>
      </w:r>
      <w:r w:rsidRPr="008742E9">
        <w:rPr>
          <w:rFonts w:eastAsia="Calibri"/>
          <w:sz w:val="22"/>
          <w:szCs w:val="22"/>
          <w:lang w:eastAsia="en-US"/>
        </w:rPr>
        <w:t>о</w:t>
      </w:r>
      <w:r w:rsidRPr="008742E9">
        <w:rPr>
          <w:rFonts w:eastAsia="Calibri"/>
          <w:sz w:val="22"/>
          <w:szCs w:val="22"/>
          <w:lang w:eastAsia="en-US"/>
        </w:rPr>
        <w:t xml:space="preserve">странение и патогенность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перед нами была поставлена задача испытать эффективность двух препаратов против куриного клеща в птичнике при напольном содержании ремонтного молодняка кур кросса Росс 308.</w:t>
      </w:r>
    </w:p>
    <w:p w:rsidR="008742E9" w:rsidRPr="008742E9" w:rsidRDefault="008742E9" w:rsidP="00EB0266">
      <w:pPr>
        <w:ind w:firstLine="426"/>
        <w:jc w:val="both"/>
        <w:rPr>
          <w:rFonts w:eastAsia="Calibri"/>
          <w:sz w:val="22"/>
          <w:szCs w:val="22"/>
          <w:lang w:eastAsia="en-US"/>
        </w:rPr>
      </w:pPr>
      <w:r w:rsidRPr="008742E9">
        <w:rPr>
          <w:rFonts w:eastAsia="Calibri"/>
          <w:color w:val="000000"/>
          <w:sz w:val="22"/>
          <w:szCs w:val="22"/>
          <w:lang w:eastAsia="en-US"/>
        </w:rPr>
        <w:t>Исследование по сравнительной эффективности инсектоакар</w:t>
      </w:r>
      <w:r w:rsidRPr="008742E9">
        <w:rPr>
          <w:rFonts w:eastAsia="Calibri"/>
          <w:color w:val="000000"/>
          <w:sz w:val="22"/>
          <w:szCs w:val="22"/>
          <w:lang w:eastAsia="en-US"/>
        </w:rPr>
        <w:t>и</w:t>
      </w:r>
      <w:r w:rsidRPr="008742E9">
        <w:rPr>
          <w:rFonts w:eastAsia="Calibri"/>
          <w:color w:val="000000"/>
          <w:sz w:val="22"/>
          <w:szCs w:val="22"/>
          <w:lang w:eastAsia="en-US"/>
        </w:rPr>
        <w:t xml:space="preserve">цидных препаратов «Бутокс 50» и «Энтомозан-С» против куриного клеща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 xml:space="preserve"> проводили с июля по сентябрь 2017 года на птицефабрике ООО «Югмельпродукт» Выселковского ра</w:t>
      </w:r>
      <w:r w:rsidRPr="008742E9">
        <w:rPr>
          <w:rFonts w:eastAsia="Calibri"/>
          <w:sz w:val="22"/>
          <w:szCs w:val="22"/>
          <w:lang w:eastAsia="en-US"/>
        </w:rPr>
        <w:t>й</w:t>
      </w:r>
      <w:r w:rsidRPr="008742E9">
        <w:rPr>
          <w:rFonts w:eastAsia="Calibri"/>
          <w:sz w:val="22"/>
          <w:szCs w:val="22"/>
          <w:lang w:eastAsia="en-US"/>
        </w:rPr>
        <w:t>она, Краснодарского края. Птица содержится в широкогабаритных механизированных птичниках емкостью до 7 тысяч голов, на глуб</w:t>
      </w:r>
      <w:r w:rsidRPr="008742E9">
        <w:rPr>
          <w:rFonts w:eastAsia="Calibri"/>
          <w:sz w:val="22"/>
          <w:szCs w:val="22"/>
          <w:lang w:eastAsia="en-US"/>
        </w:rPr>
        <w:t>о</w:t>
      </w:r>
      <w:r w:rsidRPr="008742E9">
        <w:rPr>
          <w:rFonts w:eastAsia="Calibri"/>
          <w:sz w:val="22"/>
          <w:szCs w:val="22"/>
          <w:lang w:eastAsia="en-US"/>
        </w:rPr>
        <w:t>кой подстилке из подсолнечной лузги.</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На первом этапе работы для установления исходной эксте</w:t>
      </w:r>
      <w:r w:rsidRPr="008742E9">
        <w:rPr>
          <w:rFonts w:eastAsia="Calibri"/>
          <w:sz w:val="22"/>
          <w:szCs w:val="22"/>
          <w:lang w:eastAsia="en-US"/>
        </w:rPr>
        <w:t>н</w:t>
      </w:r>
      <w:r w:rsidRPr="008742E9">
        <w:rPr>
          <w:rFonts w:eastAsia="Calibri"/>
          <w:sz w:val="22"/>
          <w:szCs w:val="22"/>
          <w:lang w:eastAsia="en-US"/>
        </w:rPr>
        <w:t xml:space="preserve">сивности </w:t>
      </w:r>
      <w:r w:rsidR="0097059C">
        <w:rPr>
          <w:rFonts w:eastAsia="Calibri"/>
          <w:sz w:val="22"/>
          <w:szCs w:val="22"/>
          <w:lang w:eastAsia="en-US"/>
        </w:rPr>
        <w:t>и интенсивности дерманиссиозной</w:t>
      </w:r>
      <w:r w:rsidRPr="008742E9">
        <w:rPr>
          <w:rFonts w:eastAsia="Calibri"/>
          <w:sz w:val="22"/>
          <w:szCs w:val="22"/>
          <w:lang w:eastAsia="en-US"/>
        </w:rPr>
        <w:t xml:space="preserve"> инвазии проводили взятие проб с ра</w:t>
      </w:r>
      <w:r w:rsidR="0097059C">
        <w:rPr>
          <w:rFonts w:eastAsia="Calibri"/>
          <w:sz w:val="22"/>
          <w:szCs w:val="22"/>
          <w:lang w:eastAsia="en-US"/>
        </w:rPr>
        <w:t>зных участков пола, поверхности</w:t>
      </w:r>
      <w:r w:rsidRPr="008742E9">
        <w:rPr>
          <w:rFonts w:eastAsia="Calibri"/>
          <w:sz w:val="22"/>
          <w:szCs w:val="22"/>
          <w:lang w:eastAsia="en-US"/>
        </w:rPr>
        <w:t xml:space="preserve"> стен, технолог</w:t>
      </w:r>
      <w:r w:rsidRPr="008742E9">
        <w:rPr>
          <w:rFonts w:eastAsia="Calibri"/>
          <w:sz w:val="22"/>
          <w:szCs w:val="22"/>
          <w:lang w:eastAsia="en-US"/>
        </w:rPr>
        <w:t>и</w:t>
      </w:r>
      <w:r w:rsidRPr="008742E9">
        <w:rPr>
          <w:rFonts w:eastAsia="Calibri"/>
          <w:sz w:val="22"/>
          <w:szCs w:val="22"/>
          <w:lang w:eastAsia="en-US"/>
        </w:rPr>
        <w:t>ческого оборудования птичников. Паразитологические исследов</w:t>
      </w:r>
      <w:r w:rsidRPr="008742E9">
        <w:rPr>
          <w:rFonts w:eastAsia="Calibri"/>
          <w:sz w:val="22"/>
          <w:szCs w:val="22"/>
          <w:lang w:eastAsia="en-US"/>
        </w:rPr>
        <w:t>а</w:t>
      </w:r>
      <w:r w:rsidRPr="008742E9">
        <w:rPr>
          <w:rFonts w:eastAsia="Calibri"/>
          <w:sz w:val="22"/>
          <w:szCs w:val="22"/>
          <w:lang w:eastAsia="en-US"/>
        </w:rPr>
        <w:t>ния взятых проб проведены в условиях паразитологической лабор</w:t>
      </w:r>
      <w:r w:rsidRPr="008742E9">
        <w:rPr>
          <w:rFonts w:eastAsia="Calibri"/>
          <w:sz w:val="22"/>
          <w:szCs w:val="22"/>
          <w:lang w:eastAsia="en-US"/>
        </w:rPr>
        <w:t>а</w:t>
      </w:r>
      <w:r w:rsidRPr="008742E9">
        <w:rPr>
          <w:rFonts w:eastAsia="Calibri"/>
          <w:sz w:val="22"/>
          <w:szCs w:val="22"/>
          <w:lang w:eastAsia="en-US"/>
        </w:rPr>
        <w:t>тории кафедры паразитологии, ветсанэкспертизы и зоогигиены ф</w:t>
      </w:r>
      <w:r w:rsidRPr="008742E9">
        <w:rPr>
          <w:rFonts w:eastAsia="Calibri"/>
          <w:sz w:val="22"/>
          <w:szCs w:val="22"/>
          <w:lang w:eastAsia="en-US"/>
        </w:rPr>
        <w:t>а</w:t>
      </w:r>
      <w:r w:rsidRPr="008742E9">
        <w:rPr>
          <w:rFonts w:eastAsia="Calibri"/>
          <w:sz w:val="22"/>
          <w:szCs w:val="22"/>
          <w:lang w:eastAsia="en-US"/>
        </w:rPr>
        <w:t>культета вете</w:t>
      </w:r>
      <w:r w:rsidR="0097059C">
        <w:rPr>
          <w:rFonts w:eastAsia="Calibri"/>
          <w:sz w:val="22"/>
          <w:szCs w:val="22"/>
          <w:lang w:eastAsia="en-US"/>
        </w:rPr>
        <w:t>ринарной медицины</w:t>
      </w:r>
      <w:r w:rsidRPr="008742E9">
        <w:rPr>
          <w:rFonts w:eastAsia="Calibri"/>
          <w:sz w:val="22"/>
          <w:szCs w:val="22"/>
          <w:lang w:eastAsia="en-US"/>
        </w:rPr>
        <w:t xml:space="preserve"> по общепринятой методике, для изучения мор</w:t>
      </w:r>
      <w:r w:rsidR="0097059C">
        <w:rPr>
          <w:rFonts w:eastAsia="Calibri"/>
          <w:sz w:val="22"/>
          <w:szCs w:val="22"/>
          <w:lang w:eastAsia="en-US"/>
        </w:rPr>
        <w:t xml:space="preserve">фологии клещей </w:t>
      </w:r>
      <w:r w:rsidRPr="008742E9">
        <w:rPr>
          <w:rFonts w:eastAsia="Calibri"/>
          <w:sz w:val="22"/>
          <w:szCs w:val="22"/>
          <w:lang w:eastAsia="en-US"/>
        </w:rPr>
        <w:t>использовали микроскоп М</w:t>
      </w:r>
      <w:r w:rsidR="0097059C">
        <w:rPr>
          <w:rFonts w:eastAsia="Calibri"/>
          <w:sz w:val="22"/>
          <w:szCs w:val="22"/>
          <w:lang w:eastAsia="en-US"/>
        </w:rPr>
        <w:t>БС-10. Проведенные исследования</w:t>
      </w:r>
      <w:r w:rsidRPr="008742E9">
        <w:rPr>
          <w:rFonts w:eastAsia="Calibri"/>
          <w:sz w:val="22"/>
          <w:szCs w:val="22"/>
          <w:lang w:eastAsia="en-US"/>
        </w:rPr>
        <w:t xml:space="preserve"> показали первоначальную загрязне</w:t>
      </w:r>
      <w:r w:rsidRPr="008742E9">
        <w:rPr>
          <w:rFonts w:eastAsia="Calibri"/>
          <w:sz w:val="22"/>
          <w:szCs w:val="22"/>
          <w:lang w:eastAsia="en-US"/>
        </w:rPr>
        <w:t>н</w:t>
      </w:r>
      <w:r w:rsidRPr="008742E9">
        <w:rPr>
          <w:rFonts w:eastAsia="Calibri"/>
          <w:sz w:val="22"/>
          <w:szCs w:val="22"/>
          <w:lang w:eastAsia="en-US"/>
        </w:rPr>
        <w:t xml:space="preserve">ность птичников эктопаразитами.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lastRenderedPageBreak/>
        <w:t>На втором этапе в опытном птичнике № 1  для дезакаризации нами был выбран инсектоакарицидный препарат «Бутокс 50», а в опытном птичнике № 2 препарат «Энтомазан-С».</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Обработка корпуса № 1 проводилась по следующей методике: в емкость ДУКа (1800 литров) заливали 2000 мл акарицида «Бутокс 50», затем воду до наполнения емкости. Получали концентрацию раствора 0,11 %. Шланг ДУКа с двумя распылительными головками на конце закрепляли на скребок пометоудаления и включали сист</w:t>
      </w:r>
      <w:r w:rsidRPr="008742E9">
        <w:rPr>
          <w:rFonts w:eastAsia="Calibri"/>
          <w:sz w:val="22"/>
          <w:szCs w:val="22"/>
          <w:lang w:eastAsia="en-US"/>
        </w:rPr>
        <w:t>е</w:t>
      </w:r>
      <w:r w:rsidRPr="008742E9">
        <w:rPr>
          <w:rFonts w:eastAsia="Calibri"/>
          <w:sz w:val="22"/>
          <w:szCs w:val="22"/>
          <w:lang w:eastAsia="en-US"/>
        </w:rPr>
        <w:t>му. Распыление раствора происходило непосредственно над птицей, тем самым орошая её сверху.</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Обработку опытного птичника № 2 проводили инсектоакар</w:t>
      </w:r>
      <w:r w:rsidRPr="008742E9">
        <w:rPr>
          <w:rFonts w:eastAsia="Calibri"/>
          <w:sz w:val="22"/>
          <w:szCs w:val="22"/>
          <w:lang w:eastAsia="en-US"/>
        </w:rPr>
        <w:t>и</w:t>
      </w:r>
      <w:r w:rsidRPr="008742E9">
        <w:rPr>
          <w:rFonts w:eastAsia="Calibri"/>
          <w:sz w:val="22"/>
          <w:szCs w:val="22"/>
          <w:lang w:eastAsia="en-US"/>
        </w:rPr>
        <w:t>ци</w:t>
      </w:r>
      <w:r w:rsidR="0097059C">
        <w:rPr>
          <w:rFonts w:eastAsia="Calibri"/>
          <w:sz w:val="22"/>
          <w:szCs w:val="22"/>
          <w:lang w:eastAsia="en-US"/>
        </w:rPr>
        <w:t xml:space="preserve">дом </w:t>
      </w:r>
      <w:r w:rsidRPr="008742E9">
        <w:rPr>
          <w:rFonts w:eastAsia="Calibri"/>
          <w:sz w:val="22"/>
          <w:szCs w:val="22"/>
          <w:lang w:eastAsia="en-US"/>
        </w:rPr>
        <w:t>«Энтомазан-С». Рабочую эмульсию препарата готовили п</w:t>
      </w:r>
      <w:r w:rsidRPr="008742E9">
        <w:rPr>
          <w:rFonts w:eastAsia="Calibri"/>
          <w:sz w:val="22"/>
          <w:szCs w:val="22"/>
          <w:lang w:eastAsia="en-US"/>
        </w:rPr>
        <w:t>е</w:t>
      </w:r>
      <w:r w:rsidRPr="008742E9">
        <w:rPr>
          <w:rFonts w:eastAsia="Calibri"/>
          <w:sz w:val="22"/>
          <w:szCs w:val="22"/>
          <w:lang w:eastAsia="en-US"/>
        </w:rPr>
        <w:t>ред использованием, необходимое для приготовления рабочей эмульсии количество «Энтомазана-С» помещали в емкость и доба</w:t>
      </w:r>
      <w:r w:rsidRPr="008742E9">
        <w:rPr>
          <w:rFonts w:eastAsia="Calibri"/>
          <w:sz w:val="22"/>
          <w:szCs w:val="22"/>
          <w:lang w:eastAsia="en-US"/>
        </w:rPr>
        <w:t>в</w:t>
      </w:r>
      <w:r w:rsidRPr="008742E9">
        <w:rPr>
          <w:rFonts w:eastAsia="Calibri"/>
          <w:sz w:val="22"/>
          <w:szCs w:val="22"/>
          <w:lang w:eastAsia="en-US"/>
        </w:rPr>
        <w:t xml:space="preserve">ляли порциями теплую </w:t>
      </w:r>
      <w:r w:rsidRPr="008742E9">
        <w:rPr>
          <w:rFonts w:eastAsia="Calibri"/>
          <w:bCs/>
          <w:sz w:val="22"/>
          <w:szCs w:val="22"/>
          <w:lang w:eastAsia="en-US"/>
        </w:rPr>
        <w:t xml:space="preserve">(20-25°С) </w:t>
      </w:r>
      <w:r w:rsidRPr="008742E9">
        <w:rPr>
          <w:rFonts w:eastAsia="Calibri"/>
          <w:sz w:val="22"/>
          <w:szCs w:val="22"/>
          <w:lang w:eastAsia="en-US"/>
        </w:rPr>
        <w:t>воду. Дезинсекцию и дезакариз</w:t>
      </w:r>
      <w:r w:rsidRPr="008742E9">
        <w:rPr>
          <w:rFonts w:eastAsia="Calibri"/>
          <w:sz w:val="22"/>
          <w:szCs w:val="22"/>
          <w:lang w:eastAsia="en-US"/>
        </w:rPr>
        <w:t>а</w:t>
      </w:r>
      <w:r w:rsidRPr="008742E9">
        <w:rPr>
          <w:rFonts w:eastAsia="Calibri"/>
          <w:sz w:val="22"/>
          <w:szCs w:val="22"/>
          <w:lang w:eastAsia="en-US"/>
        </w:rPr>
        <w:t>цию помещения проводили из ДУКа в присутствии птицы 0,05% (1:200) в.э. аэрозольным способом с нормой расхода 25-50 мл/м</w:t>
      </w:r>
      <w:r w:rsidRPr="008742E9">
        <w:rPr>
          <w:rFonts w:eastAsia="Calibri"/>
          <w:sz w:val="22"/>
          <w:szCs w:val="22"/>
          <w:vertAlign w:val="superscript"/>
          <w:lang w:eastAsia="en-US"/>
        </w:rPr>
        <w:t>2</w:t>
      </w:r>
      <w:r w:rsidRPr="008742E9">
        <w:rPr>
          <w:rFonts w:eastAsia="Calibri"/>
          <w:sz w:val="22"/>
          <w:szCs w:val="22"/>
          <w:lang w:eastAsia="en-US"/>
        </w:rPr>
        <w:t xml:space="preserve">, не нарушая режима выращивания. </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Оценку эффективности дезакариза</w:t>
      </w:r>
      <w:r w:rsidR="0097059C">
        <w:rPr>
          <w:rFonts w:eastAsia="Calibri"/>
          <w:sz w:val="22"/>
          <w:szCs w:val="22"/>
          <w:lang w:eastAsia="en-US"/>
        </w:rPr>
        <w:t>ции опытных птичников № 1 и № 2</w:t>
      </w:r>
      <w:r w:rsidRPr="008742E9">
        <w:rPr>
          <w:rFonts w:eastAsia="Calibri"/>
          <w:sz w:val="22"/>
          <w:szCs w:val="22"/>
          <w:lang w:eastAsia="en-US"/>
        </w:rPr>
        <w:t xml:space="preserve"> проводили по результатам исследований помета, содержим</w:t>
      </w:r>
      <w:r w:rsidRPr="008742E9">
        <w:rPr>
          <w:rFonts w:eastAsia="Calibri"/>
          <w:sz w:val="22"/>
          <w:szCs w:val="22"/>
          <w:lang w:eastAsia="en-US"/>
        </w:rPr>
        <w:t>о</w:t>
      </w:r>
      <w:r w:rsidRPr="008742E9">
        <w:rPr>
          <w:rFonts w:eastAsia="Calibri"/>
          <w:sz w:val="22"/>
          <w:szCs w:val="22"/>
          <w:lang w:eastAsia="en-US"/>
        </w:rPr>
        <w:t>го  пола с разных участков, соскобов со стен.</w:t>
      </w:r>
    </w:p>
    <w:p w:rsidR="008742E9" w:rsidRPr="008742E9" w:rsidRDefault="008742E9" w:rsidP="00EB0266">
      <w:pPr>
        <w:ind w:firstLine="426"/>
        <w:jc w:val="both"/>
        <w:rPr>
          <w:rFonts w:eastAsia="Calibri"/>
          <w:sz w:val="22"/>
          <w:szCs w:val="22"/>
          <w:lang w:eastAsia="en-US"/>
        </w:rPr>
      </w:pPr>
      <w:r w:rsidRPr="008742E9">
        <w:rPr>
          <w:rFonts w:eastAsia="Calibri"/>
          <w:sz w:val="22"/>
          <w:szCs w:val="22"/>
          <w:lang w:eastAsia="en-US"/>
        </w:rPr>
        <w:t xml:space="preserve">Результаты </w:t>
      </w:r>
      <w:r w:rsidR="0097059C">
        <w:rPr>
          <w:rFonts w:eastAsia="Calibri"/>
          <w:sz w:val="22"/>
          <w:szCs w:val="22"/>
          <w:lang w:eastAsia="en-US"/>
        </w:rPr>
        <w:t>проведенных исследований помета</w:t>
      </w:r>
      <w:r w:rsidRPr="008742E9">
        <w:rPr>
          <w:rFonts w:eastAsia="Calibri"/>
          <w:sz w:val="22"/>
          <w:szCs w:val="22"/>
          <w:lang w:eastAsia="en-US"/>
        </w:rPr>
        <w:t xml:space="preserve"> и соскобов из птичника № 1 и № 2 на наличие куриного клеща </w:t>
      </w:r>
      <w:r w:rsidRPr="008742E9">
        <w:rPr>
          <w:rFonts w:eastAsia="Calibri"/>
          <w:sz w:val="22"/>
          <w:szCs w:val="22"/>
          <w:lang w:val="en-US" w:eastAsia="en-US"/>
        </w:rPr>
        <w:t>Dermanyssus</w:t>
      </w:r>
      <w:r w:rsidRPr="008742E9">
        <w:rPr>
          <w:rFonts w:eastAsia="Calibri"/>
          <w:sz w:val="22"/>
          <w:szCs w:val="22"/>
          <w:lang w:eastAsia="en-US"/>
        </w:rPr>
        <w:t xml:space="preserve"> </w:t>
      </w:r>
      <w:r w:rsidRPr="008742E9">
        <w:rPr>
          <w:rFonts w:eastAsia="Calibri"/>
          <w:sz w:val="22"/>
          <w:szCs w:val="22"/>
          <w:lang w:val="en-US" w:eastAsia="en-US"/>
        </w:rPr>
        <w:t>gall</w:t>
      </w:r>
      <w:r w:rsidRPr="008742E9">
        <w:rPr>
          <w:rFonts w:eastAsia="Calibri"/>
          <w:sz w:val="22"/>
          <w:szCs w:val="22"/>
          <w:lang w:val="en-US" w:eastAsia="en-US"/>
        </w:rPr>
        <w:t>i</w:t>
      </w:r>
      <w:r w:rsidRPr="008742E9">
        <w:rPr>
          <w:rFonts w:eastAsia="Calibri"/>
          <w:sz w:val="22"/>
          <w:szCs w:val="22"/>
          <w:lang w:val="en-US" w:eastAsia="en-US"/>
        </w:rPr>
        <w:t>nae</w:t>
      </w:r>
      <w:r w:rsidRPr="008742E9">
        <w:rPr>
          <w:rFonts w:eastAsia="Calibri"/>
          <w:sz w:val="22"/>
          <w:szCs w:val="22"/>
          <w:lang w:eastAsia="en-US"/>
        </w:rPr>
        <w:t xml:space="preserve"> показали, что оба препарата «Бутокс 50» и «Энтомазан-С» о</w:t>
      </w:r>
      <w:r w:rsidRPr="008742E9">
        <w:rPr>
          <w:rFonts w:eastAsia="Calibri"/>
          <w:sz w:val="22"/>
          <w:szCs w:val="22"/>
          <w:lang w:eastAsia="en-US"/>
        </w:rPr>
        <w:t>б</w:t>
      </w:r>
      <w:r w:rsidRPr="008742E9">
        <w:rPr>
          <w:rFonts w:eastAsia="Calibri"/>
          <w:sz w:val="22"/>
          <w:szCs w:val="22"/>
          <w:lang w:eastAsia="en-US"/>
        </w:rPr>
        <w:t>ладают высокой акарицидной эффективностью. При оценке ост</w:t>
      </w:r>
      <w:r w:rsidRPr="008742E9">
        <w:rPr>
          <w:rFonts w:eastAsia="Calibri"/>
          <w:sz w:val="22"/>
          <w:szCs w:val="22"/>
          <w:lang w:eastAsia="en-US"/>
        </w:rPr>
        <w:t>а</w:t>
      </w:r>
      <w:r w:rsidRPr="008742E9">
        <w:rPr>
          <w:rFonts w:eastAsia="Calibri"/>
          <w:sz w:val="22"/>
          <w:szCs w:val="22"/>
          <w:lang w:eastAsia="en-US"/>
        </w:rPr>
        <w:t>точного количества паразитарных агентов и первоначальной эффе</w:t>
      </w:r>
      <w:r w:rsidRPr="008742E9">
        <w:rPr>
          <w:rFonts w:eastAsia="Calibri"/>
          <w:sz w:val="22"/>
          <w:szCs w:val="22"/>
          <w:lang w:eastAsia="en-US"/>
        </w:rPr>
        <w:t>к</w:t>
      </w:r>
      <w:r w:rsidRPr="008742E9">
        <w:rPr>
          <w:rFonts w:eastAsia="Calibri"/>
          <w:sz w:val="22"/>
          <w:szCs w:val="22"/>
          <w:lang w:eastAsia="en-US"/>
        </w:rPr>
        <w:t>тивности дезакаризации через сутки после обработки данными ак</w:t>
      </w:r>
      <w:r w:rsidRPr="008742E9">
        <w:rPr>
          <w:rFonts w:eastAsia="Calibri"/>
          <w:sz w:val="22"/>
          <w:szCs w:val="22"/>
          <w:lang w:eastAsia="en-US"/>
        </w:rPr>
        <w:t>а</w:t>
      </w:r>
      <w:r w:rsidRPr="008742E9">
        <w:rPr>
          <w:rFonts w:eastAsia="Calibri"/>
          <w:sz w:val="22"/>
          <w:szCs w:val="22"/>
          <w:lang w:eastAsia="en-US"/>
        </w:rPr>
        <w:t xml:space="preserve">рицидами  все обследованные пробы были свободны от клеща </w:t>
      </w:r>
      <w:r w:rsidRPr="008742E9">
        <w:rPr>
          <w:rFonts w:eastAsia="Calibri"/>
          <w:sz w:val="22"/>
          <w:szCs w:val="22"/>
          <w:lang w:val="en-US" w:eastAsia="en-US"/>
        </w:rPr>
        <w:t>De</w:t>
      </w:r>
      <w:r w:rsidRPr="008742E9">
        <w:rPr>
          <w:rFonts w:eastAsia="Calibri"/>
          <w:sz w:val="22"/>
          <w:szCs w:val="22"/>
          <w:lang w:val="en-US" w:eastAsia="en-US"/>
        </w:rPr>
        <w:t>r</w:t>
      </w:r>
      <w:r w:rsidRPr="008742E9">
        <w:rPr>
          <w:rFonts w:eastAsia="Calibri"/>
          <w:sz w:val="22"/>
          <w:szCs w:val="22"/>
          <w:lang w:val="en-US" w:eastAsia="en-US"/>
        </w:rPr>
        <w:t>manyssus</w:t>
      </w:r>
      <w:r w:rsidRPr="008742E9">
        <w:rPr>
          <w:rFonts w:eastAsia="Calibri"/>
          <w:sz w:val="22"/>
          <w:szCs w:val="22"/>
          <w:lang w:eastAsia="en-US"/>
        </w:rPr>
        <w:t xml:space="preserve"> </w:t>
      </w:r>
      <w:r w:rsidRPr="008742E9">
        <w:rPr>
          <w:rFonts w:eastAsia="Calibri"/>
          <w:sz w:val="22"/>
          <w:szCs w:val="22"/>
          <w:lang w:val="en-US" w:eastAsia="en-US"/>
        </w:rPr>
        <w:t>gallinae</w:t>
      </w:r>
      <w:r w:rsidRPr="008742E9">
        <w:rPr>
          <w:rFonts w:eastAsia="Calibri"/>
          <w:sz w:val="22"/>
          <w:szCs w:val="22"/>
          <w:lang w:eastAsia="en-US"/>
        </w:rPr>
        <w:t>.</w:t>
      </w:r>
    </w:p>
    <w:p w:rsidR="008742E9" w:rsidRPr="008742E9" w:rsidRDefault="008742E9" w:rsidP="00EB0266">
      <w:pPr>
        <w:ind w:firstLine="426"/>
        <w:jc w:val="both"/>
        <w:rPr>
          <w:rFonts w:eastAsia="Calibri"/>
          <w:sz w:val="22"/>
          <w:szCs w:val="22"/>
          <w:lang w:eastAsia="en-US"/>
        </w:rPr>
      </w:pPr>
    </w:p>
    <w:p w:rsidR="008742E9" w:rsidRPr="008742E9" w:rsidRDefault="00EB0266" w:rsidP="00EB0266">
      <w:pPr>
        <w:ind w:firstLine="426"/>
        <w:jc w:val="center"/>
        <w:rPr>
          <w:rFonts w:eastAsia="Calibri"/>
          <w:color w:val="000000"/>
          <w:sz w:val="22"/>
          <w:szCs w:val="22"/>
          <w:lang w:eastAsia="en-US"/>
        </w:rPr>
      </w:pPr>
      <w:r>
        <w:rPr>
          <w:rFonts w:eastAsia="Calibri"/>
          <w:color w:val="000000"/>
          <w:sz w:val="22"/>
          <w:szCs w:val="22"/>
          <w:lang w:eastAsia="en-US"/>
        </w:rPr>
        <w:t>Список литературы</w:t>
      </w:r>
    </w:p>
    <w:p w:rsidR="008742E9" w:rsidRPr="008742E9" w:rsidRDefault="008742E9" w:rsidP="00EB0266">
      <w:pPr>
        <w:ind w:firstLine="426"/>
        <w:rPr>
          <w:rFonts w:eastAsia="Calibri"/>
          <w:color w:val="000000"/>
          <w:sz w:val="22"/>
          <w:szCs w:val="22"/>
          <w:lang w:eastAsia="en-US"/>
        </w:rPr>
      </w:pPr>
      <w:r w:rsidRPr="008742E9">
        <w:rPr>
          <w:rFonts w:eastAsia="Calibri"/>
          <w:color w:val="000000"/>
          <w:sz w:val="22"/>
          <w:szCs w:val="22"/>
          <w:lang w:eastAsia="en-US"/>
        </w:rPr>
        <w:t xml:space="preserve">1. Бессарабов Б.Ф. Болезни птиц: уч.пособие / Б.Ф.Бессарабов., И.И. Мельникова., и др. – СПб.: Изд-во Лань, 2009 – 448 с.  </w:t>
      </w:r>
    </w:p>
    <w:p w:rsidR="008742E9" w:rsidRPr="008742E9" w:rsidRDefault="008742E9" w:rsidP="00EB0266">
      <w:pPr>
        <w:ind w:firstLine="426"/>
        <w:rPr>
          <w:rFonts w:eastAsia="Calibri"/>
          <w:color w:val="000000"/>
          <w:sz w:val="22"/>
          <w:szCs w:val="22"/>
          <w:lang w:eastAsia="en-US"/>
        </w:rPr>
      </w:pPr>
      <w:r w:rsidRPr="008742E9">
        <w:rPr>
          <w:rFonts w:eastAsia="Calibri"/>
          <w:color w:val="000000"/>
          <w:sz w:val="22"/>
          <w:szCs w:val="22"/>
          <w:lang w:eastAsia="en-US"/>
        </w:rPr>
        <w:t>2. Катаева Т.С. Изучение развития иксодовых клещей как кр</w:t>
      </w:r>
      <w:r w:rsidRPr="008742E9">
        <w:rPr>
          <w:rFonts w:eastAsia="Calibri"/>
          <w:color w:val="000000"/>
          <w:sz w:val="22"/>
          <w:szCs w:val="22"/>
          <w:lang w:eastAsia="en-US"/>
        </w:rPr>
        <w:t>и</w:t>
      </w:r>
      <w:r w:rsidRPr="008742E9">
        <w:rPr>
          <w:rFonts w:eastAsia="Calibri"/>
          <w:color w:val="000000"/>
          <w:sz w:val="22"/>
          <w:szCs w:val="22"/>
          <w:lang w:eastAsia="en-US"/>
        </w:rPr>
        <w:t>терий выбора акарицида / Т.С. Катаева// Ветеринария. – 2006. - № 7. – С. 35 – 37.</w:t>
      </w:r>
    </w:p>
    <w:p w:rsidR="008742E9" w:rsidRPr="008742E9" w:rsidRDefault="008742E9" w:rsidP="008742E9">
      <w:pPr>
        <w:jc w:val="both"/>
        <w:rPr>
          <w:rFonts w:eastAsia="Calibri"/>
          <w:sz w:val="22"/>
          <w:szCs w:val="22"/>
          <w:lang w:eastAsia="en-US"/>
        </w:rPr>
      </w:pPr>
    </w:p>
    <w:p w:rsidR="0097059C" w:rsidRPr="008742E9" w:rsidRDefault="0097059C" w:rsidP="008742E9">
      <w:pPr>
        <w:jc w:val="both"/>
        <w:rPr>
          <w:rFonts w:eastAsia="Calibri"/>
          <w:sz w:val="22"/>
          <w:szCs w:val="22"/>
          <w:lang w:eastAsia="en-US"/>
        </w:rPr>
      </w:pPr>
    </w:p>
    <w:p w:rsidR="008742E9" w:rsidRPr="008742E9" w:rsidRDefault="008742E9" w:rsidP="008742E9">
      <w:pPr>
        <w:rPr>
          <w:rFonts w:eastAsia="MS Mincho"/>
          <w:color w:val="000000"/>
          <w:sz w:val="22"/>
          <w:szCs w:val="22"/>
        </w:rPr>
      </w:pPr>
      <w:r w:rsidRPr="008742E9">
        <w:rPr>
          <w:rFonts w:eastAsia="MS Mincho"/>
          <w:color w:val="000000"/>
          <w:sz w:val="22"/>
          <w:szCs w:val="22"/>
        </w:rPr>
        <w:lastRenderedPageBreak/>
        <w:t>УДК 619:616.98:578.824.11(470.620)</w:t>
      </w:r>
    </w:p>
    <w:p w:rsidR="008742E9" w:rsidRPr="008742E9" w:rsidRDefault="008742E9" w:rsidP="008742E9">
      <w:pPr>
        <w:rPr>
          <w:rFonts w:eastAsia="MS Mincho"/>
          <w:color w:val="000000"/>
          <w:sz w:val="22"/>
          <w:szCs w:val="22"/>
        </w:rPr>
      </w:pPr>
    </w:p>
    <w:p w:rsidR="008742E9" w:rsidRPr="008742E9" w:rsidRDefault="008742E9" w:rsidP="008742E9">
      <w:pPr>
        <w:jc w:val="center"/>
        <w:rPr>
          <w:rFonts w:eastAsia="MS Mincho"/>
          <w:b/>
          <w:color w:val="000000"/>
          <w:sz w:val="24"/>
          <w:szCs w:val="24"/>
        </w:rPr>
      </w:pPr>
      <w:r w:rsidRPr="008742E9">
        <w:rPr>
          <w:rFonts w:eastAsia="MS Mincho"/>
          <w:b/>
          <w:color w:val="000000"/>
          <w:sz w:val="24"/>
          <w:szCs w:val="24"/>
        </w:rPr>
        <w:t>Профилактика распространения бешенства животных в условиях Сочинского национального парка</w:t>
      </w:r>
    </w:p>
    <w:p w:rsidR="008742E9" w:rsidRPr="008742E9" w:rsidRDefault="008742E9" w:rsidP="008742E9">
      <w:pPr>
        <w:contextualSpacing/>
        <w:jc w:val="center"/>
        <w:rPr>
          <w:rFonts w:eastAsia="MS Mincho"/>
          <w:b/>
          <w:color w:val="000000"/>
          <w:sz w:val="24"/>
          <w:szCs w:val="24"/>
          <w:lang w:val="en-US"/>
        </w:rPr>
      </w:pPr>
      <w:r w:rsidRPr="008742E9">
        <w:rPr>
          <w:rFonts w:eastAsia="MS Mincho"/>
          <w:b/>
          <w:color w:val="000000"/>
          <w:sz w:val="24"/>
          <w:szCs w:val="24"/>
          <w:lang w:val="en-US"/>
        </w:rPr>
        <w:t xml:space="preserve">Prevention of the spread of rabies in the conditions </w:t>
      </w:r>
      <w:r w:rsidRPr="008742E9">
        <w:rPr>
          <w:rFonts w:eastAsia="MS Mincho"/>
          <w:b/>
          <w:color w:val="000000"/>
          <w:sz w:val="24"/>
          <w:szCs w:val="24"/>
          <w:lang w:val="en-US"/>
        </w:rPr>
        <w:br/>
        <w:t>of the Sochi National Park</w:t>
      </w:r>
    </w:p>
    <w:p w:rsidR="008742E9" w:rsidRPr="008742E9" w:rsidRDefault="008742E9" w:rsidP="008742E9">
      <w:pPr>
        <w:contextualSpacing/>
        <w:jc w:val="right"/>
        <w:rPr>
          <w:rFonts w:eastAsia="MS Mincho"/>
          <w:color w:val="000000"/>
          <w:sz w:val="22"/>
          <w:szCs w:val="22"/>
          <w:lang w:val="en-US"/>
        </w:rPr>
      </w:pP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Старков В.</w:t>
      </w:r>
      <w:r w:rsidR="00EB0266">
        <w:rPr>
          <w:rFonts w:eastAsia="MS Mincho"/>
          <w:color w:val="000000"/>
          <w:sz w:val="22"/>
          <w:szCs w:val="22"/>
        </w:rPr>
        <w:t xml:space="preserve"> </w:t>
      </w:r>
      <w:r w:rsidRPr="008742E9">
        <w:rPr>
          <w:rFonts w:eastAsia="MS Mincho"/>
          <w:color w:val="000000"/>
          <w:sz w:val="22"/>
          <w:szCs w:val="22"/>
        </w:rPr>
        <w:t>И.,</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студент 5-го курса</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факультета ветеринарной медицины</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Горпинченко Е.</w:t>
      </w:r>
      <w:r w:rsidR="00EB0266">
        <w:rPr>
          <w:rFonts w:eastAsia="MS Mincho"/>
          <w:color w:val="000000"/>
          <w:sz w:val="22"/>
          <w:szCs w:val="22"/>
        </w:rPr>
        <w:t xml:space="preserve"> </w:t>
      </w:r>
      <w:r w:rsidRPr="008742E9">
        <w:rPr>
          <w:rFonts w:eastAsia="MS Mincho"/>
          <w:color w:val="000000"/>
          <w:sz w:val="22"/>
          <w:szCs w:val="22"/>
        </w:rPr>
        <w:t>А.,</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доцент кафедры терапии и фармакологии</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Гугушвили Н.</w:t>
      </w:r>
      <w:r w:rsidR="00EB0266">
        <w:rPr>
          <w:rFonts w:eastAsia="MS Mincho"/>
          <w:color w:val="000000"/>
          <w:sz w:val="22"/>
          <w:szCs w:val="22"/>
        </w:rPr>
        <w:t xml:space="preserve"> </w:t>
      </w:r>
      <w:r w:rsidRPr="008742E9">
        <w:rPr>
          <w:rFonts w:eastAsia="MS Mincho"/>
          <w:color w:val="000000"/>
          <w:sz w:val="22"/>
          <w:szCs w:val="22"/>
        </w:rPr>
        <w:t>Н.,</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профессор кафедры микробиологии,</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эпизоотологии и вирусологии</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Кубанский государственный аграрный</w:t>
      </w:r>
    </w:p>
    <w:p w:rsidR="008742E9" w:rsidRPr="008742E9" w:rsidRDefault="008742E9" w:rsidP="008742E9">
      <w:pPr>
        <w:contextualSpacing/>
        <w:jc w:val="right"/>
        <w:rPr>
          <w:rFonts w:eastAsia="MS Mincho"/>
          <w:color w:val="000000"/>
          <w:sz w:val="22"/>
          <w:szCs w:val="22"/>
        </w:rPr>
      </w:pPr>
      <w:r w:rsidRPr="008742E9">
        <w:rPr>
          <w:rFonts w:eastAsia="MS Mincho"/>
          <w:color w:val="000000"/>
          <w:sz w:val="22"/>
          <w:szCs w:val="22"/>
        </w:rPr>
        <w:t>университет имени И.</w:t>
      </w:r>
      <w:r w:rsidR="00EB0266">
        <w:rPr>
          <w:rFonts w:eastAsia="MS Mincho"/>
          <w:color w:val="000000"/>
          <w:sz w:val="22"/>
          <w:szCs w:val="22"/>
        </w:rPr>
        <w:t xml:space="preserve"> </w:t>
      </w:r>
      <w:r w:rsidRPr="008742E9">
        <w:rPr>
          <w:rFonts w:eastAsia="MS Mincho"/>
          <w:color w:val="000000"/>
          <w:sz w:val="22"/>
          <w:szCs w:val="22"/>
        </w:rPr>
        <w:t>Т. Трубилина</w:t>
      </w:r>
    </w:p>
    <w:p w:rsidR="008742E9" w:rsidRPr="008742E9" w:rsidRDefault="008742E9" w:rsidP="008742E9">
      <w:pPr>
        <w:contextualSpacing/>
        <w:jc w:val="right"/>
        <w:rPr>
          <w:rFonts w:eastAsia="MS Mincho"/>
          <w:color w:val="000000"/>
          <w:sz w:val="22"/>
          <w:szCs w:val="22"/>
        </w:rPr>
      </w:pPr>
    </w:p>
    <w:p w:rsidR="008742E9" w:rsidRPr="008742E9" w:rsidRDefault="008742E9" w:rsidP="00EB0266">
      <w:pPr>
        <w:ind w:firstLine="426"/>
        <w:jc w:val="both"/>
        <w:rPr>
          <w:rFonts w:eastAsia="MS Mincho"/>
          <w:color w:val="000000"/>
          <w:sz w:val="22"/>
          <w:szCs w:val="22"/>
        </w:rPr>
      </w:pPr>
      <w:r w:rsidRPr="008742E9">
        <w:rPr>
          <w:rFonts w:eastAsia="MS Mincho"/>
          <w:color w:val="000000"/>
          <w:sz w:val="22"/>
          <w:szCs w:val="22"/>
        </w:rPr>
        <w:t>АННОТАЦИЯ: Изучена профилактика распространения б</w:t>
      </w:r>
      <w:r w:rsidRPr="008742E9">
        <w:rPr>
          <w:rFonts w:eastAsia="MS Mincho"/>
          <w:color w:val="000000"/>
          <w:sz w:val="22"/>
          <w:szCs w:val="22"/>
        </w:rPr>
        <w:t>е</w:t>
      </w:r>
      <w:r w:rsidRPr="008742E9">
        <w:rPr>
          <w:rFonts w:eastAsia="MS Mincho"/>
          <w:color w:val="000000"/>
          <w:sz w:val="22"/>
          <w:szCs w:val="22"/>
        </w:rPr>
        <w:t>шенства животных в Сочинском национальном парке.</w:t>
      </w:r>
    </w:p>
    <w:p w:rsidR="008742E9" w:rsidRPr="008742E9" w:rsidRDefault="008742E9" w:rsidP="00EB0266">
      <w:pPr>
        <w:ind w:firstLine="426"/>
        <w:jc w:val="both"/>
        <w:rPr>
          <w:rFonts w:eastAsia="MS Mincho"/>
          <w:color w:val="000000"/>
          <w:sz w:val="22"/>
          <w:szCs w:val="22"/>
          <w:lang w:val="en-US"/>
        </w:rPr>
      </w:pPr>
      <w:r w:rsidRPr="008742E9">
        <w:rPr>
          <w:rFonts w:eastAsia="MS Mincho"/>
          <w:color w:val="000000"/>
          <w:sz w:val="22"/>
          <w:szCs w:val="22"/>
          <w:lang w:val="en-US"/>
        </w:rPr>
        <w:t>ABSTRACT: Prevention of rabies in the Sochi National Park was studied.</w:t>
      </w:r>
    </w:p>
    <w:p w:rsidR="008742E9" w:rsidRPr="008742E9" w:rsidRDefault="008742E9" w:rsidP="00EB0266">
      <w:pPr>
        <w:ind w:firstLine="426"/>
        <w:jc w:val="both"/>
        <w:rPr>
          <w:rFonts w:eastAsia="MS Mincho"/>
          <w:color w:val="000000"/>
          <w:sz w:val="22"/>
          <w:szCs w:val="22"/>
        </w:rPr>
      </w:pPr>
      <w:r w:rsidRPr="008742E9">
        <w:rPr>
          <w:rFonts w:eastAsia="MS Mincho"/>
          <w:color w:val="000000"/>
          <w:sz w:val="22"/>
          <w:szCs w:val="22"/>
        </w:rPr>
        <w:t>КЛЮЧЕВЫЕ СЛОВА: Бешенство, водобоязнь, гидрофобия, эпизоотия, инфекционная болезнь.</w:t>
      </w:r>
    </w:p>
    <w:p w:rsidR="008742E9" w:rsidRPr="008742E9" w:rsidRDefault="008742E9" w:rsidP="00EB0266">
      <w:pPr>
        <w:ind w:firstLine="426"/>
        <w:jc w:val="both"/>
        <w:rPr>
          <w:rFonts w:eastAsia="MS Mincho"/>
          <w:color w:val="000000"/>
          <w:sz w:val="22"/>
          <w:szCs w:val="22"/>
          <w:lang w:val="en-US"/>
        </w:rPr>
      </w:pPr>
      <w:r w:rsidRPr="008742E9">
        <w:rPr>
          <w:rFonts w:eastAsia="MS Mincho"/>
          <w:color w:val="000000"/>
          <w:sz w:val="22"/>
          <w:szCs w:val="22"/>
          <w:lang w:val="en-US"/>
        </w:rPr>
        <w:t>KEYWORDS: Rabies, hydrophobia, hydrophobia, epizootics, infe</w:t>
      </w:r>
      <w:r w:rsidRPr="008742E9">
        <w:rPr>
          <w:rFonts w:eastAsia="MS Mincho"/>
          <w:color w:val="000000"/>
          <w:sz w:val="22"/>
          <w:szCs w:val="22"/>
          <w:lang w:val="en-US"/>
        </w:rPr>
        <w:t>c</w:t>
      </w:r>
      <w:r w:rsidRPr="008742E9">
        <w:rPr>
          <w:rFonts w:eastAsia="MS Mincho"/>
          <w:color w:val="000000"/>
          <w:sz w:val="22"/>
          <w:szCs w:val="22"/>
          <w:lang w:val="en-US"/>
        </w:rPr>
        <w:t>tious disease.</w:t>
      </w:r>
    </w:p>
    <w:p w:rsidR="008742E9" w:rsidRPr="008742E9" w:rsidRDefault="008742E9" w:rsidP="00EB0266">
      <w:pPr>
        <w:ind w:firstLine="426"/>
        <w:jc w:val="both"/>
        <w:rPr>
          <w:rFonts w:eastAsia="MS Mincho"/>
          <w:iCs/>
          <w:color w:val="000000"/>
          <w:sz w:val="22"/>
          <w:szCs w:val="22"/>
          <w:lang w:val="en-US"/>
        </w:rPr>
      </w:pPr>
    </w:p>
    <w:p w:rsidR="008742E9" w:rsidRPr="008742E9" w:rsidRDefault="008742E9" w:rsidP="00EB0266">
      <w:pPr>
        <w:ind w:firstLine="426"/>
        <w:jc w:val="both"/>
        <w:rPr>
          <w:rFonts w:eastAsia="MS Mincho"/>
          <w:b/>
          <w:color w:val="000000"/>
          <w:sz w:val="22"/>
          <w:szCs w:val="22"/>
        </w:rPr>
      </w:pPr>
      <w:r w:rsidRPr="008742E9">
        <w:rPr>
          <w:rFonts w:eastAsia="MS Mincho"/>
          <w:iCs/>
          <w:color w:val="000000"/>
          <w:sz w:val="22"/>
          <w:szCs w:val="22"/>
        </w:rPr>
        <w:t>Бешенство</w:t>
      </w:r>
      <w:r w:rsidRPr="008742E9">
        <w:rPr>
          <w:rFonts w:eastAsia="MS Mincho"/>
          <w:i/>
          <w:iCs/>
          <w:color w:val="000000"/>
          <w:sz w:val="22"/>
          <w:szCs w:val="22"/>
        </w:rPr>
        <w:t xml:space="preserve"> </w:t>
      </w:r>
      <w:r w:rsidRPr="008742E9">
        <w:rPr>
          <w:rFonts w:eastAsia="MS Mincho"/>
          <w:color w:val="000000"/>
          <w:sz w:val="22"/>
          <w:szCs w:val="22"/>
        </w:rPr>
        <w:t xml:space="preserve">(англ. </w:t>
      </w:r>
      <w:r w:rsidRPr="008742E9">
        <w:rPr>
          <w:rFonts w:eastAsia="MS Mincho"/>
          <w:color w:val="000000"/>
          <w:sz w:val="22"/>
          <w:szCs w:val="22"/>
        </w:rPr>
        <w:noBreakHyphen/>
        <w:t xml:space="preserve"> </w:t>
      </w:r>
      <w:r w:rsidRPr="008742E9">
        <w:rPr>
          <w:rFonts w:eastAsia="MS Mincho"/>
          <w:color w:val="000000"/>
          <w:sz w:val="22"/>
          <w:szCs w:val="22"/>
          <w:lang w:val="en-US"/>
        </w:rPr>
        <w:t>Rabies</w:t>
      </w:r>
      <w:r w:rsidRPr="008742E9">
        <w:rPr>
          <w:rFonts w:eastAsia="MS Mincho"/>
          <w:color w:val="000000"/>
          <w:sz w:val="22"/>
          <w:szCs w:val="22"/>
        </w:rPr>
        <w:t xml:space="preserve">; гидрофобия, водобоязнь) </w:t>
      </w:r>
      <w:r w:rsidRPr="008742E9">
        <w:rPr>
          <w:rFonts w:eastAsia="MS Mincho"/>
          <w:color w:val="000000"/>
          <w:sz w:val="22"/>
          <w:szCs w:val="22"/>
        </w:rPr>
        <w:noBreakHyphen/>
        <w:t xml:space="preserve"> особо опасная острая инфекционная болезнь природно-очагового характ</w:t>
      </w:r>
      <w:r w:rsidRPr="008742E9">
        <w:rPr>
          <w:rFonts w:eastAsia="MS Mincho"/>
          <w:color w:val="000000"/>
          <w:sz w:val="22"/>
          <w:szCs w:val="22"/>
        </w:rPr>
        <w:t>е</w:t>
      </w:r>
      <w:r w:rsidRPr="008742E9">
        <w:rPr>
          <w:rFonts w:eastAsia="MS Mincho"/>
          <w:color w:val="000000"/>
          <w:sz w:val="22"/>
          <w:szCs w:val="22"/>
        </w:rPr>
        <w:t>ра теплокровных домашних и диких животных, а также человека. Характеризуется агрессивностью, параличами, поражением ЦНС, необычным поведением и летальным исходом [1].</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Повышение эффективности мероприятий по борьбе с беше</w:t>
      </w:r>
      <w:r w:rsidRPr="008742E9">
        <w:rPr>
          <w:rFonts w:eastAsia="MS Mincho"/>
          <w:sz w:val="22"/>
          <w:szCs w:val="22"/>
        </w:rPr>
        <w:t>н</w:t>
      </w:r>
      <w:r w:rsidRPr="008742E9">
        <w:rPr>
          <w:rFonts w:eastAsia="MS Mincho"/>
          <w:sz w:val="22"/>
          <w:szCs w:val="22"/>
        </w:rPr>
        <w:t xml:space="preserve">ством на территории Сочинского национального парка требует большего внимания, так как его территория составляет 87 % от всей территории Большого Сочи, который имеет особые эколого-географические и социально-экономические условия. Поэтому, </w:t>
      </w:r>
      <w:r w:rsidRPr="008742E9">
        <w:rPr>
          <w:rFonts w:eastAsia="MS Mincho"/>
          <w:sz w:val="22"/>
          <w:szCs w:val="22"/>
        </w:rPr>
        <w:lastRenderedPageBreak/>
        <w:t>уточнение закономерностей проявления эпизоотического процесса бешенства необходимо для прогнозирования и реальной оценки эпизоотической обстановки, методов диагностики заболевания, ра</w:t>
      </w:r>
      <w:r w:rsidRPr="008742E9">
        <w:rPr>
          <w:rFonts w:eastAsia="MS Mincho"/>
          <w:sz w:val="22"/>
          <w:szCs w:val="22"/>
        </w:rPr>
        <w:t>з</w:t>
      </w:r>
      <w:r w:rsidRPr="008742E9">
        <w:rPr>
          <w:rFonts w:eastAsia="MS Mincho"/>
          <w:sz w:val="22"/>
          <w:szCs w:val="22"/>
        </w:rPr>
        <w:t>работки и проведения научно-обоснованных профилактических м</w:t>
      </w:r>
      <w:r w:rsidRPr="008742E9">
        <w:rPr>
          <w:rFonts w:eastAsia="MS Mincho"/>
          <w:sz w:val="22"/>
          <w:szCs w:val="22"/>
        </w:rPr>
        <w:t>е</w:t>
      </w:r>
      <w:r w:rsidRPr="008742E9">
        <w:rPr>
          <w:rFonts w:eastAsia="MS Mincho"/>
          <w:sz w:val="22"/>
          <w:szCs w:val="22"/>
        </w:rPr>
        <w:t>роприятий </w:t>
      </w:r>
      <w:r w:rsidRPr="008742E9">
        <w:rPr>
          <w:rFonts w:eastAsia="MS Mincho"/>
          <w:color w:val="000000"/>
          <w:sz w:val="22"/>
          <w:szCs w:val="22"/>
        </w:rPr>
        <w:t>[3].</w:t>
      </w:r>
    </w:p>
    <w:p w:rsidR="008742E9" w:rsidRPr="008742E9" w:rsidRDefault="008742E9" w:rsidP="00EB0266">
      <w:pPr>
        <w:widowControl w:val="0"/>
        <w:autoSpaceDE w:val="0"/>
        <w:autoSpaceDN w:val="0"/>
        <w:adjustRightInd w:val="0"/>
        <w:ind w:firstLine="426"/>
        <w:jc w:val="both"/>
        <w:rPr>
          <w:rFonts w:eastAsia="MS Mincho"/>
          <w:color w:val="000000"/>
          <w:sz w:val="22"/>
          <w:szCs w:val="22"/>
        </w:rPr>
      </w:pPr>
      <w:r w:rsidRPr="008742E9">
        <w:rPr>
          <w:rFonts w:eastAsia="MS Mincho"/>
          <w:color w:val="000000"/>
          <w:sz w:val="22"/>
          <w:szCs w:val="22"/>
        </w:rPr>
        <w:t>Для диагностики бешенства, в лаборатории проводят микр</w:t>
      </w:r>
      <w:r w:rsidRPr="008742E9">
        <w:rPr>
          <w:rFonts w:eastAsia="MS Mincho"/>
          <w:color w:val="000000"/>
          <w:sz w:val="22"/>
          <w:szCs w:val="22"/>
        </w:rPr>
        <w:t>о</w:t>
      </w:r>
      <w:r w:rsidRPr="008742E9">
        <w:rPr>
          <w:rFonts w:eastAsia="MS Mincho"/>
          <w:color w:val="000000"/>
          <w:sz w:val="22"/>
          <w:szCs w:val="22"/>
        </w:rPr>
        <w:t>скопию мозга для обнаружения телец Бабеша-Негри, иммуннол</w:t>
      </w:r>
      <w:r w:rsidRPr="008742E9">
        <w:rPr>
          <w:rFonts w:eastAsia="MS Mincho"/>
          <w:color w:val="000000"/>
          <w:sz w:val="22"/>
          <w:szCs w:val="22"/>
        </w:rPr>
        <w:t>ю</w:t>
      </w:r>
      <w:r w:rsidRPr="008742E9">
        <w:rPr>
          <w:rFonts w:eastAsia="MS Mincho"/>
          <w:color w:val="000000"/>
          <w:sz w:val="22"/>
          <w:szCs w:val="22"/>
        </w:rPr>
        <w:t>минисцентную микроскопию, реакцию преципитации в агаровом геле, идентификацию вируса реакцией нейтрализации, проводят биопробу. В лабораторию направляют свежий труп или голову, г</w:t>
      </w:r>
      <w:r w:rsidRPr="008742E9">
        <w:rPr>
          <w:rFonts w:eastAsia="MS Mincho"/>
          <w:color w:val="000000"/>
          <w:sz w:val="22"/>
          <w:szCs w:val="22"/>
        </w:rPr>
        <w:t>о</w:t>
      </w:r>
      <w:r w:rsidRPr="008742E9">
        <w:rPr>
          <w:rFonts w:eastAsia="MS Mincho"/>
          <w:color w:val="000000"/>
          <w:sz w:val="22"/>
          <w:szCs w:val="22"/>
        </w:rPr>
        <w:t>ловной мозг [2].</w:t>
      </w:r>
    </w:p>
    <w:p w:rsidR="008742E9" w:rsidRPr="008742E9" w:rsidRDefault="008742E9" w:rsidP="00EB0266">
      <w:pPr>
        <w:widowControl w:val="0"/>
        <w:autoSpaceDE w:val="0"/>
        <w:autoSpaceDN w:val="0"/>
        <w:adjustRightInd w:val="0"/>
        <w:ind w:firstLine="426"/>
        <w:jc w:val="both"/>
        <w:rPr>
          <w:rFonts w:eastAsia="MS Mincho"/>
          <w:color w:val="000000"/>
          <w:sz w:val="22"/>
          <w:szCs w:val="22"/>
        </w:rPr>
      </w:pPr>
      <w:r w:rsidRPr="008742E9">
        <w:rPr>
          <w:rFonts w:eastAsia="MS Mincho"/>
          <w:color w:val="000000"/>
          <w:sz w:val="22"/>
          <w:szCs w:val="22"/>
        </w:rPr>
        <w:t>Мероприятия по борьбе с бешенством регламентируются де</w:t>
      </w:r>
      <w:r w:rsidRPr="008742E9">
        <w:rPr>
          <w:rFonts w:eastAsia="MS Mincho"/>
          <w:color w:val="000000"/>
          <w:sz w:val="22"/>
          <w:szCs w:val="22"/>
        </w:rPr>
        <w:t>й</w:t>
      </w:r>
      <w:r w:rsidRPr="008742E9">
        <w:rPr>
          <w:rFonts w:eastAsia="MS Mincho"/>
          <w:color w:val="000000"/>
          <w:sz w:val="22"/>
          <w:szCs w:val="22"/>
        </w:rPr>
        <w:t>ствующей инструкцией №23 от 18 июня 1996 г. и предусматривают меры по профилактике, выявлению и ликвидации очагов бешенства.</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Целью нашей работы было изучение средств специфической профилактики против бешенства животных в условиях ФГБУ «С</w:t>
      </w:r>
      <w:r w:rsidRPr="008742E9">
        <w:rPr>
          <w:rFonts w:eastAsia="MS Mincho"/>
          <w:sz w:val="22"/>
          <w:szCs w:val="22"/>
        </w:rPr>
        <w:t>о</w:t>
      </w:r>
      <w:r w:rsidRPr="008742E9">
        <w:rPr>
          <w:rFonts w:eastAsia="MS Mincho"/>
          <w:sz w:val="22"/>
          <w:szCs w:val="22"/>
        </w:rPr>
        <w:t>чинский национальный парк» в городе Сочи для предотвращения возникновения заболевания. Объектом исследований являлся п</w:t>
      </w:r>
      <w:r w:rsidRPr="008742E9">
        <w:rPr>
          <w:rFonts w:eastAsia="MS Mincho"/>
          <w:sz w:val="22"/>
          <w:szCs w:val="22"/>
        </w:rPr>
        <w:t>е</w:t>
      </w:r>
      <w:r w:rsidRPr="008742E9">
        <w:rPr>
          <w:rFonts w:eastAsia="MS Mincho"/>
          <w:sz w:val="22"/>
          <w:szCs w:val="22"/>
        </w:rPr>
        <w:t>реднеазиатский леопард.</w:t>
      </w:r>
    </w:p>
    <w:p w:rsidR="008742E9" w:rsidRPr="008742E9" w:rsidRDefault="008742E9" w:rsidP="00EB0266">
      <w:pPr>
        <w:widowControl w:val="0"/>
        <w:autoSpaceDE w:val="0"/>
        <w:autoSpaceDN w:val="0"/>
        <w:adjustRightInd w:val="0"/>
        <w:ind w:firstLine="426"/>
        <w:jc w:val="both"/>
        <w:rPr>
          <w:rFonts w:eastAsia="MS Mincho"/>
          <w:color w:val="000000"/>
          <w:sz w:val="22"/>
          <w:szCs w:val="22"/>
        </w:rPr>
      </w:pPr>
      <w:r w:rsidRPr="008742E9">
        <w:rPr>
          <w:rFonts w:eastAsia="MS Mincho"/>
          <w:color w:val="000000"/>
          <w:sz w:val="22"/>
          <w:szCs w:val="22"/>
        </w:rPr>
        <w:t>Переднеазиатский леопард (</w:t>
      </w:r>
      <w:r w:rsidRPr="008742E9">
        <w:rPr>
          <w:rFonts w:eastAsia="MS Mincho"/>
          <w:color w:val="000000"/>
          <w:sz w:val="22"/>
          <w:szCs w:val="22"/>
          <w:lang w:val="en-US"/>
        </w:rPr>
        <w:t>Panthera</w:t>
      </w:r>
      <w:r w:rsidRPr="008742E9">
        <w:rPr>
          <w:rFonts w:eastAsia="MS Mincho"/>
          <w:color w:val="000000"/>
          <w:sz w:val="22"/>
          <w:szCs w:val="22"/>
        </w:rPr>
        <w:t xml:space="preserve"> </w:t>
      </w:r>
      <w:r w:rsidRPr="008742E9">
        <w:rPr>
          <w:rFonts w:eastAsia="MS Mincho"/>
          <w:color w:val="000000"/>
          <w:sz w:val="22"/>
          <w:szCs w:val="22"/>
          <w:lang w:val="en-US"/>
        </w:rPr>
        <w:t>pardus</w:t>
      </w:r>
      <w:r w:rsidRPr="008742E9">
        <w:rPr>
          <w:rFonts w:eastAsia="MS Mincho"/>
          <w:color w:val="000000"/>
          <w:sz w:val="22"/>
          <w:szCs w:val="22"/>
        </w:rPr>
        <w:t xml:space="preserve"> </w:t>
      </w:r>
      <w:r w:rsidRPr="008742E9">
        <w:rPr>
          <w:rFonts w:eastAsia="MS Mincho"/>
          <w:color w:val="000000"/>
          <w:sz w:val="22"/>
          <w:szCs w:val="22"/>
          <w:lang w:val="en-US"/>
        </w:rPr>
        <w:t>tulliana</w:t>
      </w:r>
      <w:r w:rsidRPr="008742E9">
        <w:rPr>
          <w:rFonts w:eastAsia="MS Mincho"/>
          <w:color w:val="000000"/>
          <w:sz w:val="22"/>
          <w:szCs w:val="22"/>
        </w:rPr>
        <w:t>) – один из подвидов леопардов, являющихся одними из самых крупных хи</w:t>
      </w:r>
      <w:r w:rsidRPr="008742E9">
        <w:rPr>
          <w:rFonts w:eastAsia="MS Mincho"/>
          <w:color w:val="000000"/>
          <w:sz w:val="22"/>
          <w:szCs w:val="22"/>
        </w:rPr>
        <w:t>щ</w:t>
      </w:r>
      <w:r w:rsidRPr="008742E9">
        <w:rPr>
          <w:rFonts w:eastAsia="MS Mincho"/>
          <w:color w:val="000000"/>
          <w:sz w:val="22"/>
          <w:szCs w:val="22"/>
        </w:rPr>
        <w:t>ников семейства кошачьих. Длина их тела 100</w:t>
      </w:r>
      <w:r w:rsidRPr="008742E9">
        <w:rPr>
          <w:rFonts w:eastAsia="MS Mincho"/>
          <w:color w:val="000000"/>
          <w:sz w:val="22"/>
          <w:szCs w:val="22"/>
        </w:rPr>
        <w:noBreakHyphen/>
        <w:t>180 сантиметров, длина хвоста 75</w:t>
      </w:r>
      <w:r w:rsidRPr="008742E9">
        <w:rPr>
          <w:rFonts w:eastAsia="MS Mincho"/>
          <w:color w:val="000000"/>
          <w:sz w:val="22"/>
          <w:szCs w:val="22"/>
        </w:rPr>
        <w:noBreakHyphen/>
        <w:t>110 сантиметров. На Кавказе леопард был широко распространен в горах и предгорьях, граница ареала подвида в пр</w:t>
      </w:r>
      <w:r w:rsidRPr="008742E9">
        <w:rPr>
          <w:rFonts w:eastAsia="MS Mincho"/>
          <w:color w:val="000000"/>
          <w:sz w:val="22"/>
          <w:szCs w:val="22"/>
        </w:rPr>
        <w:t>е</w:t>
      </w:r>
      <w:r w:rsidRPr="008742E9">
        <w:rPr>
          <w:rFonts w:eastAsia="MS Mincho"/>
          <w:color w:val="000000"/>
          <w:sz w:val="22"/>
          <w:szCs w:val="22"/>
        </w:rPr>
        <w:t>делах России начиналась на Черноморском побережье. Для возр</w:t>
      </w:r>
      <w:r w:rsidRPr="008742E9">
        <w:rPr>
          <w:rFonts w:eastAsia="MS Mincho"/>
          <w:color w:val="000000"/>
          <w:sz w:val="22"/>
          <w:szCs w:val="22"/>
        </w:rPr>
        <w:t>а</w:t>
      </w:r>
      <w:r w:rsidRPr="008742E9">
        <w:rPr>
          <w:rFonts w:eastAsia="MS Mincho"/>
          <w:color w:val="000000"/>
          <w:sz w:val="22"/>
          <w:szCs w:val="22"/>
        </w:rPr>
        <w:t>щения переднеазиатских леопардов в дикую природу Кавказа была запущена программа восстановления популяции в «Центре развед</w:t>
      </w:r>
      <w:r w:rsidRPr="008742E9">
        <w:rPr>
          <w:rFonts w:eastAsia="MS Mincho"/>
          <w:color w:val="000000"/>
          <w:sz w:val="22"/>
          <w:szCs w:val="22"/>
        </w:rPr>
        <w:t>е</w:t>
      </w:r>
      <w:r w:rsidRPr="008742E9">
        <w:rPr>
          <w:rFonts w:eastAsia="MS Mincho"/>
          <w:color w:val="000000"/>
          <w:sz w:val="22"/>
          <w:szCs w:val="22"/>
        </w:rPr>
        <w:t>ния и реинтродукции (восстановления) переднеазиатского леопарда в Сочинском национальном парке.</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Для осуществления данной цели, совместно с ветеринарными специалистами Сочинского национального парка проводили мер</w:t>
      </w:r>
      <w:r w:rsidRPr="008742E9">
        <w:rPr>
          <w:rFonts w:eastAsia="MS Mincho"/>
          <w:sz w:val="22"/>
          <w:szCs w:val="22"/>
        </w:rPr>
        <w:t>о</w:t>
      </w:r>
      <w:r w:rsidRPr="008742E9">
        <w:rPr>
          <w:rFonts w:eastAsia="MS Mincho"/>
          <w:sz w:val="22"/>
          <w:szCs w:val="22"/>
        </w:rPr>
        <w:t xml:space="preserve">приятия по профилактике бешенства животных. </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В систему профилактических мероприятий входило примен</w:t>
      </w:r>
      <w:r w:rsidRPr="008742E9">
        <w:rPr>
          <w:rFonts w:eastAsia="MS Mincho"/>
          <w:sz w:val="22"/>
          <w:szCs w:val="22"/>
        </w:rPr>
        <w:t>е</w:t>
      </w:r>
      <w:r w:rsidRPr="008742E9">
        <w:rPr>
          <w:rFonts w:eastAsia="MS Mincho"/>
          <w:sz w:val="22"/>
          <w:szCs w:val="22"/>
        </w:rPr>
        <w:t>ние мер общей и специфической профилактики.</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Общие профилактические мероприятия осуществляли прим</w:t>
      </w:r>
      <w:r w:rsidRPr="008742E9">
        <w:rPr>
          <w:rFonts w:eastAsia="MS Mincho"/>
          <w:sz w:val="22"/>
          <w:szCs w:val="22"/>
        </w:rPr>
        <w:t>е</w:t>
      </w:r>
      <w:r w:rsidRPr="008742E9">
        <w:rPr>
          <w:rFonts w:eastAsia="MS Mincho"/>
          <w:sz w:val="22"/>
          <w:szCs w:val="22"/>
        </w:rPr>
        <w:t>нением дезинфекции, дезинсекции и дератизации. Дезинфекцию осуществляли 4 % раствором формальдегида, дезинсекцию пров</w:t>
      </w:r>
      <w:r w:rsidRPr="008742E9">
        <w:rPr>
          <w:rFonts w:eastAsia="MS Mincho"/>
          <w:sz w:val="22"/>
          <w:szCs w:val="22"/>
        </w:rPr>
        <w:t>о</w:t>
      </w:r>
      <w:r w:rsidRPr="008742E9">
        <w:rPr>
          <w:rFonts w:eastAsia="MS Mincho"/>
          <w:sz w:val="22"/>
          <w:szCs w:val="22"/>
        </w:rPr>
        <w:t>дили при помощи инсектицидного препарата «Неостомозан» и о</w:t>
      </w:r>
      <w:r w:rsidRPr="008742E9">
        <w:rPr>
          <w:rFonts w:eastAsia="MS Mincho"/>
          <w:sz w:val="22"/>
          <w:szCs w:val="22"/>
        </w:rPr>
        <w:t>б</w:t>
      </w:r>
      <w:r w:rsidRPr="008742E9">
        <w:rPr>
          <w:rFonts w:eastAsia="MS Mincho"/>
          <w:sz w:val="22"/>
          <w:szCs w:val="22"/>
        </w:rPr>
        <w:lastRenderedPageBreak/>
        <w:t>работкой вольеров огнем и сухим паром, дератизацию проводили ядом-антикоагулянтом «Дифенацин».</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Для специфической профилактики была использована антир</w:t>
      </w:r>
      <w:r w:rsidRPr="008742E9">
        <w:rPr>
          <w:rFonts w:eastAsia="MS Mincho"/>
          <w:sz w:val="22"/>
          <w:szCs w:val="22"/>
        </w:rPr>
        <w:t>а</w:t>
      </w:r>
      <w:r w:rsidRPr="008742E9">
        <w:rPr>
          <w:rFonts w:eastAsia="MS Mincho"/>
          <w:sz w:val="22"/>
          <w:szCs w:val="22"/>
        </w:rPr>
        <w:t xml:space="preserve">бическая </w:t>
      </w:r>
      <w:r w:rsidRPr="008742E9">
        <w:rPr>
          <w:rFonts w:eastAsia="MS Mincho"/>
          <w:color w:val="000000"/>
          <w:sz w:val="22"/>
          <w:szCs w:val="22"/>
        </w:rPr>
        <w:t xml:space="preserve">четырехвалентная вакцина «Квадрикат» компании </w:t>
      </w:r>
      <w:r w:rsidRPr="008742E9">
        <w:rPr>
          <w:rFonts w:eastAsia="MS Mincho"/>
          <w:color w:val="000000"/>
          <w:sz w:val="22"/>
          <w:szCs w:val="22"/>
          <w:lang w:val="en-US"/>
        </w:rPr>
        <w:t>Merial</w:t>
      </w:r>
      <w:r w:rsidRPr="008742E9">
        <w:rPr>
          <w:rFonts w:eastAsia="MS Mincho"/>
          <w:color w:val="000000"/>
          <w:sz w:val="22"/>
          <w:szCs w:val="22"/>
        </w:rPr>
        <w:t xml:space="preserve"> </w:t>
      </w:r>
      <w:r w:rsidRPr="008742E9">
        <w:rPr>
          <w:rFonts w:eastAsia="MS Mincho"/>
          <w:color w:val="000000"/>
          <w:sz w:val="22"/>
          <w:szCs w:val="22"/>
          <w:lang w:val="en-US"/>
        </w:rPr>
        <w:t>S</w:t>
      </w:r>
      <w:r w:rsidRPr="008742E9">
        <w:rPr>
          <w:rFonts w:eastAsia="MS Mincho"/>
          <w:color w:val="000000"/>
          <w:sz w:val="22"/>
          <w:szCs w:val="22"/>
        </w:rPr>
        <w:t>.</w:t>
      </w:r>
      <w:r w:rsidRPr="008742E9">
        <w:rPr>
          <w:rFonts w:eastAsia="MS Mincho"/>
          <w:color w:val="000000"/>
          <w:sz w:val="22"/>
          <w:szCs w:val="22"/>
          <w:lang w:val="en-US"/>
        </w:rPr>
        <w:t>A</w:t>
      </w:r>
      <w:r w:rsidRPr="008742E9">
        <w:rPr>
          <w:rFonts w:eastAsia="MS Mincho"/>
          <w:color w:val="000000"/>
          <w:sz w:val="22"/>
          <w:szCs w:val="22"/>
        </w:rPr>
        <w:t>.</w:t>
      </w:r>
      <w:r w:rsidRPr="008742E9">
        <w:rPr>
          <w:rFonts w:eastAsia="MS Mincho"/>
          <w:color w:val="000000"/>
          <w:sz w:val="22"/>
          <w:szCs w:val="22"/>
          <w:lang w:val="en-US"/>
        </w:rPr>
        <w:t>S</w:t>
      </w:r>
      <w:r w:rsidRPr="008742E9">
        <w:rPr>
          <w:rFonts w:eastAsia="MS Mincho"/>
          <w:color w:val="000000"/>
          <w:sz w:val="22"/>
          <w:szCs w:val="22"/>
        </w:rPr>
        <w:t>. (Франция), а для оральной иммунизации применяли в</w:t>
      </w:r>
      <w:r w:rsidRPr="008742E9">
        <w:rPr>
          <w:rFonts w:eastAsia="MS Mincho"/>
          <w:color w:val="000000"/>
          <w:sz w:val="22"/>
          <w:szCs w:val="22"/>
        </w:rPr>
        <w:t>и</w:t>
      </w:r>
      <w:r w:rsidRPr="008742E9">
        <w:rPr>
          <w:rFonts w:eastAsia="MS Mincho"/>
          <w:color w:val="000000"/>
          <w:sz w:val="22"/>
          <w:szCs w:val="22"/>
        </w:rPr>
        <w:t>русвакцину «Синраб», которую раскладывали вблизи нор шакалов и лисиц, чья популяция в Сочи растет с каждым годом и предста</w:t>
      </w:r>
      <w:r w:rsidRPr="008742E9">
        <w:rPr>
          <w:rFonts w:eastAsia="MS Mincho"/>
          <w:color w:val="000000"/>
          <w:sz w:val="22"/>
          <w:szCs w:val="22"/>
        </w:rPr>
        <w:t>в</w:t>
      </w:r>
      <w:r w:rsidRPr="008742E9">
        <w:rPr>
          <w:rFonts w:eastAsia="MS Mincho"/>
          <w:color w:val="000000"/>
          <w:sz w:val="22"/>
          <w:szCs w:val="22"/>
        </w:rPr>
        <w:t>ляет опасность, так как они являются разносчиками бешенства. П</w:t>
      </w:r>
      <w:r w:rsidRPr="008742E9">
        <w:rPr>
          <w:rFonts w:eastAsia="MS Mincho"/>
          <w:color w:val="000000"/>
          <w:sz w:val="22"/>
          <w:szCs w:val="22"/>
        </w:rPr>
        <w:t>о</w:t>
      </w:r>
      <w:r w:rsidRPr="008742E9">
        <w:rPr>
          <w:rFonts w:eastAsia="MS Mincho"/>
          <w:color w:val="000000"/>
          <w:sz w:val="22"/>
          <w:szCs w:val="22"/>
        </w:rPr>
        <w:t>сле вакцинации иммунитет формируется через четырнадцать дней, поствакциональных осложнений не наблюдалось. Специфический иммунитет у исследуемых леопардов сохраняется в течение одного года.</w:t>
      </w:r>
    </w:p>
    <w:p w:rsidR="008742E9" w:rsidRPr="008742E9" w:rsidRDefault="008742E9" w:rsidP="00EB0266">
      <w:pPr>
        <w:widowControl w:val="0"/>
        <w:autoSpaceDE w:val="0"/>
        <w:autoSpaceDN w:val="0"/>
        <w:adjustRightInd w:val="0"/>
        <w:ind w:firstLine="426"/>
        <w:jc w:val="both"/>
        <w:rPr>
          <w:rFonts w:eastAsia="MS Mincho"/>
          <w:sz w:val="22"/>
          <w:szCs w:val="22"/>
        </w:rPr>
      </w:pPr>
      <w:r w:rsidRPr="008742E9">
        <w:rPr>
          <w:rFonts w:eastAsia="MS Mincho"/>
          <w:sz w:val="22"/>
          <w:szCs w:val="22"/>
        </w:rPr>
        <w:t>Случаев бешенства в местах проведения специфической пр</w:t>
      </w:r>
      <w:r w:rsidRPr="008742E9">
        <w:rPr>
          <w:rFonts w:eastAsia="MS Mincho"/>
          <w:sz w:val="22"/>
          <w:szCs w:val="22"/>
        </w:rPr>
        <w:t>о</w:t>
      </w:r>
      <w:r w:rsidRPr="008742E9">
        <w:rPr>
          <w:rFonts w:eastAsia="MS Mincho"/>
          <w:sz w:val="22"/>
          <w:szCs w:val="22"/>
        </w:rPr>
        <w:t>филактики не зарегистрировано.</w:t>
      </w:r>
    </w:p>
    <w:p w:rsidR="008742E9" w:rsidRPr="008742E9" w:rsidRDefault="008742E9" w:rsidP="00EB0266">
      <w:pPr>
        <w:ind w:right="58" w:firstLine="426"/>
        <w:jc w:val="both"/>
        <w:rPr>
          <w:rFonts w:eastAsia="MS Mincho"/>
          <w:color w:val="000000"/>
          <w:sz w:val="22"/>
          <w:szCs w:val="22"/>
        </w:rPr>
      </w:pPr>
      <w:r w:rsidRPr="008742E9">
        <w:rPr>
          <w:rFonts w:eastAsia="MS Mincho"/>
          <w:color w:val="000000"/>
          <w:sz w:val="22"/>
          <w:szCs w:val="22"/>
        </w:rPr>
        <w:t>Таким образом, применение комплекса мероприятий спосо</w:t>
      </w:r>
      <w:r w:rsidRPr="008742E9">
        <w:rPr>
          <w:rFonts w:eastAsia="MS Mincho"/>
          <w:color w:val="000000"/>
          <w:sz w:val="22"/>
          <w:szCs w:val="22"/>
        </w:rPr>
        <w:t>б</w:t>
      </w:r>
      <w:r w:rsidRPr="008742E9">
        <w:rPr>
          <w:rFonts w:eastAsia="MS Mincho"/>
          <w:color w:val="000000"/>
          <w:sz w:val="22"/>
          <w:szCs w:val="22"/>
        </w:rPr>
        <w:t>ствовало предотвращению возникновения бешенства на террит</w:t>
      </w:r>
      <w:r w:rsidRPr="008742E9">
        <w:rPr>
          <w:rFonts w:eastAsia="MS Mincho"/>
          <w:color w:val="000000"/>
          <w:sz w:val="22"/>
          <w:szCs w:val="22"/>
        </w:rPr>
        <w:t>о</w:t>
      </w:r>
      <w:r w:rsidRPr="008742E9">
        <w:rPr>
          <w:rFonts w:eastAsia="MS Mincho"/>
          <w:color w:val="000000"/>
          <w:sz w:val="22"/>
          <w:szCs w:val="22"/>
        </w:rPr>
        <w:t>рии Сочинского национального парка.</w:t>
      </w:r>
    </w:p>
    <w:p w:rsidR="008742E9" w:rsidRPr="008742E9" w:rsidRDefault="008742E9" w:rsidP="00EB0266">
      <w:pPr>
        <w:ind w:firstLine="426"/>
        <w:jc w:val="center"/>
        <w:rPr>
          <w:rFonts w:eastAsia="MS Mincho"/>
          <w:color w:val="000000"/>
          <w:sz w:val="22"/>
          <w:szCs w:val="22"/>
        </w:rPr>
      </w:pPr>
    </w:p>
    <w:p w:rsidR="008742E9" w:rsidRPr="008742E9" w:rsidRDefault="008742E9" w:rsidP="0097059C">
      <w:pPr>
        <w:ind w:firstLine="426"/>
        <w:jc w:val="center"/>
        <w:rPr>
          <w:rFonts w:eastAsia="MS Mincho"/>
          <w:color w:val="000000"/>
          <w:sz w:val="22"/>
          <w:szCs w:val="22"/>
        </w:rPr>
      </w:pPr>
      <w:r w:rsidRPr="008742E9">
        <w:rPr>
          <w:rFonts w:eastAsia="MS Mincho"/>
          <w:color w:val="000000"/>
          <w:sz w:val="22"/>
          <w:szCs w:val="22"/>
        </w:rPr>
        <w:t>Список литературы</w:t>
      </w:r>
    </w:p>
    <w:p w:rsidR="008742E9" w:rsidRPr="008742E9" w:rsidRDefault="008742E9" w:rsidP="00EB0266">
      <w:pPr>
        <w:ind w:firstLine="426"/>
        <w:jc w:val="both"/>
        <w:rPr>
          <w:rFonts w:eastAsia="MS Mincho"/>
          <w:color w:val="000000"/>
          <w:sz w:val="22"/>
          <w:szCs w:val="22"/>
        </w:rPr>
      </w:pPr>
      <w:r w:rsidRPr="008742E9">
        <w:rPr>
          <w:rFonts w:eastAsia="MS Mincho"/>
          <w:color w:val="000000"/>
          <w:sz w:val="22"/>
          <w:szCs w:val="22"/>
        </w:rPr>
        <w:t xml:space="preserve">1. Бессарабов Б. Ф. Инфекционные болезни животных / Б. Ф. Бессарабов, Е. С. Воронин, А. А. Сидорчук. </w:t>
      </w:r>
      <w:r w:rsidRPr="008742E9">
        <w:rPr>
          <w:rFonts w:eastAsia="MS Mincho"/>
          <w:color w:val="000000"/>
          <w:sz w:val="22"/>
          <w:szCs w:val="22"/>
        </w:rPr>
        <w:noBreakHyphen/>
        <w:t xml:space="preserve"> М. : КолосС, 2007. </w:t>
      </w:r>
      <w:r w:rsidRPr="008742E9">
        <w:rPr>
          <w:rFonts w:eastAsia="MS Mincho"/>
          <w:color w:val="000000"/>
          <w:sz w:val="22"/>
          <w:szCs w:val="22"/>
        </w:rPr>
        <w:noBreakHyphen/>
        <w:t xml:space="preserve"> С. 671.</w:t>
      </w:r>
    </w:p>
    <w:p w:rsidR="008742E9" w:rsidRPr="008742E9" w:rsidRDefault="008742E9" w:rsidP="00EB0266">
      <w:pPr>
        <w:ind w:firstLine="426"/>
        <w:jc w:val="both"/>
        <w:rPr>
          <w:rFonts w:eastAsia="MS Mincho"/>
          <w:color w:val="000000"/>
          <w:sz w:val="22"/>
          <w:szCs w:val="22"/>
        </w:rPr>
      </w:pPr>
      <w:r w:rsidRPr="008742E9">
        <w:rPr>
          <w:rFonts w:eastAsia="MS Mincho"/>
          <w:color w:val="000000"/>
          <w:sz w:val="22"/>
          <w:szCs w:val="22"/>
        </w:rPr>
        <w:t>2. Гугушвили Н. Н. Инфекционные и инвазионные болезни ж</w:t>
      </w:r>
      <w:r w:rsidRPr="008742E9">
        <w:rPr>
          <w:rFonts w:eastAsia="MS Mincho"/>
          <w:color w:val="000000"/>
          <w:sz w:val="22"/>
          <w:szCs w:val="22"/>
        </w:rPr>
        <w:t>и</w:t>
      </w:r>
      <w:r w:rsidRPr="008742E9">
        <w:rPr>
          <w:rFonts w:eastAsia="MS Mincho"/>
          <w:color w:val="000000"/>
          <w:sz w:val="22"/>
          <w:szCs w:val="22"/>
        </w:rPr>
        <w:t xml:space="preserve">вотных / Н. Н. Гугушвили, Б. С. Сенченко – СПб : ГИОРД, 2001. </w:t>
      </w:r>
      <w:r w:rsidRPr="008742E9">
        <w:rPr>
          <w:rFonts w:eastAsia="MS Mincho"/>
          <w:color w:val="000000"/>
          <w:sz w:val="22"/>
          <w:szCs w:val="22"/>
        </w:rPr>
        <w:noBreakHyphen/>
        <w:t xml:space="preserve"> С. 256.</w:t>
      </w:r>
    </w:p>
    <w:p w:rsidR="008742E9" w:rsidRPr="008742E9" w:rsidRDefault="008742E9" w:rsidP="00EB0266">
      <w:pPr>
        <w:ind w:firstLine="426"/>
        <w:jc w:val="both"/>
        <w:rPr>
          <w:rFonts w:eastAsia="MS Mincho"/>
          <w:color w:val="000000"/>
          <w:sz w:val="22"/>
          <w:szCs w:val="22"/>
        </w:rPr>
      </w:pPr>
      <w:r w:rsidRPr="008742E9">
        <w:rPr>
          <w:rFonts w:eastAsia="MS Mincho"/>
          <w:color w:val="000000"/>
          <w:sz w:val="22"/>
          <w:szCs w:val="22"/>
        </w:rPr>
        <w:t>3. Фоменко М. В. Характеристика эпизоотического процесса бешенства домашних и диких животных / М. В. Фоменко, И. К. Тутов // Актуальные проблемы ветеринарной медицины ме</w:t>
      </w:r>
      <w:r w:rsidRPr="008742E9">
        <w:rPr>
          <w:rFonts w:eastAsia="MS Mincho"/>
          <w:color w:val="000000"/>
          <w:sz w:val="22"/>
          <w:szCs w:val="22"/>
        </w:rPr>
        <w:t>л</w:t>
      </w:r>
      <w:r w:rsidRPr="008742E9">
        <w:rPr>
          <w:rFonts w:eastAsia="MS Mincho"/>
          <w:color w:val="000000"/>
          <w:sz w:val="22"/>
          <w:szCs w:val="22"/>
        </w:rPr>
        <w:t xml:space="preserve">ких животных на Северном Кавказе: Материалы </w:t>
      </w:r>
      <w:r w:rsidRPr="008742E9">
        <w:rPr>
          <w:rFonts w:eastAsia="MS Mincho"/>
          <w:color w:val="000000"/>
          <w:sz w:val="22"/>
          <w:szCs w:val="22"/>
          <w:lang w:val="en-US"/>
        </w:rPr>
        <w:t>II</w:t>
      </w:r>
      <w:r w:rsidRPr="008742E9">
        <w:rPr>
          <w:rFonts w:eastAsia="MS Mincho"/>
          <w:color w:val="000000"/>
          <w:sz w:val="22"/>
          <w:szCs w:val="22"/>
        </w:rPr>
        <w:t xml:space="preserve"> регионарной конференции Донской ГАУ, 1999. </w:t>
      </w:r>
      <w:r w:rsidRPr="008742E9">
        <w:rPr>
          <w:rFonts w:eastAsia="MS Mincho"/>
          <w:color w:val="000000"/>
          <w:sz w:val="22"/>
          <w:szCs w:val="22"/>
        </w:rPr>
        <w:noBreakHyphen/>
        <w:t xml:space="preserve"> С. 48</w:t>
      </w:r>
      <w:r w:rsidRPr="008742E9">
        <w:rPr>
          <w:rFonts w:eastAsia="MS Mincho"/>
          <w:color w:val="000000"/>
          <w:sz w:val="22"/>
          <w:szCs w:val="22"/>
        </w:rPr>
        <w:noBreakHyphen/>
        <w:t>50.</w:t>
      </w:r>
    </w:p>
    <w:p w:rsidR="008742E9" w:rsidRPr="008742E9" w:rsidRDefault="0097059C" w:rsidP="0097059C">
      <w:pPr>
        <w:rPr>
          <w:rFonts w:eastAsia="MS Mincho"/>
          <w:color w:val="000000"/>
          <w:sz w:val="22"/>
          <w:szCs w:val="22"/>
        </w:rPr>
      </w:pPr>
      <w:r>
        <w:rPr>
          <w:rFonts w:eastAsia="MS Mincho"/>
          <w:color w:val="000000"/>
          <w:sz w:val="22"/>
          <w:szCs w:val="22"/>
        </w:rPr>
        <w:br w:type="page"/>
      </w:r>
    </w:p>
    <w:p w:rsidR="008742E9" w:rsidRPr="008742E9" w:rsidRDefault="008742E9" w:rsidP="008742E9">
      <w:pPr>
        <w:jc w:val="both"/>
        <w:rPr>
          <w:sz w:val="22"/>
          <w:szCs w:val="22"/>
        </w:rPr>
      </w:pPr>
      <w:r w:rsidRPr="008742E9">
        <w:rPr>
          <w:sz w:val="22"/>
          <w:szCs w:val="22"/>
        </w:rPr>
        <w:lastRenderedPageBreak/>
        <w:t>УДК 638.145(470.620)</w:t>
      </w:r>
    </w:p>
    <w:p w:rsidR="008742E9" w:rsidRPr="008742E9" w:rsidRDefault="008742E9" w:rsidP="008742E9">
      <w:pPr>
        <w:jc w:val="both"/>
        <w:rPr>
          <w:sz w:val="22"/>
          <w:szCs w:val="22"/>
        </w:rPr>
      </w:pPr>
    </w:p>
    <w:p w:rsidR="008742E9" w:rsidRPr="008742E9" w:rsidRDefault="008742E9" w:rsidP="008742E9">
      <w:pPr>
        <w:jc w:val="center"/>
        <w:rPr>
          <w:b/>
          <w:sz w:val="24"/>
          <w:szCs w:val="22"/>
        </w:rPr>
      </w:pPr>
      <w:r w:rsidRPr="008742E9">
        <w:rPr>
          <w:b/>
          <w:sz w:val="24"/>
          <w:szCs w:val="22"/>
        </w:rPr>
        <w:t xml:space="preserve">Пути совершенствования пчеловодства </w:t>
      </w:r>
      <w:r w:rsidRPr="008742E9">
        <w:rPr>
          <w:b/>
          <w:sz w:val="24"/>
          <w:szCs w:val="22"/>
        </w:rPr>
        <w:br/>
        <w:t>в Краснодарском крае</w:t>
      </w:r>
    </w:p>
    <w:p w:rsidR="008742E9" w:rsidRPr="008742E9" w:rsidRDefault="008742E9" w:rsidP="008742E9">
      <w:pPr>
        <w:jc w:val="center"/>
        <w:rPr>
          <w:b/>
          <w:sz w:val="22"/>
          <w:szCs w:val="22"/>
        </w:rPr>
      </w:pPr>
      <w:r w:rsidRPr="008742E9">
        <w:rPr>
          <w:b/>
          <w:sz w:val="24"/>
          <w:szCs w:val="22"/>
          <w:lang w:val="en-US"/>
        </w:rPr>
        <w:t>Ways</w:t>
      </w:r>
      <w:r w:rsidRPr="008742E9">
        <w:rPr>
          <w:b/>
          <w:sz w:val="24"/>
          <w:szCs w:val="22"/>
        </w:rPr>
        <w:t xml:space="preserve"> </w:t>
      </w:r>
      <w:r w:rsidRPr="008742E9">
        <w:rPr>
          <w:b/>
          <w:sz w:val="24"/>
          <w:szCs w:val="22"/>
          <w:lang w:val="en-US"/>
        </w:rPr>
        <w:t>of</w:t>
      </w:r>
      <w:r w:rsidRPr="008742E9">
        <w:rPr>
          <w:b/>
          <w:sz w:val="24"/>
          <w:szCs w:val="22"/>
        </w:rPr>
        <w:t xml:space="preserve"> </w:t>
      </w:r>
      <w:r w:rsidRPr="008742E9">
        <w:rPr>
          <w:b/>
          <w:sz w:val="24"/>
          <w:szCs w:val="22"/>
          <w:lang w:val="en-US"/>
        </w:rPr>
        <w:t>improving</w:t>
      </w:r>
      <w:r w:rsidRPr="008742E9">
        <w:rPr>
          <w:b/>
          <w:sz w:val="24"/>
          <w:szCs w:val="22"/>
        </w:rPr>
        <w:t xml:space="preserve"> </w:t>
      </w:r>
      <w:r w:rsidRPr="008742E9">
        <w:rPr>
          <w:b/>
          <w:sz w:val="24"/>
          <w:szCs w:val="22"/>
          <w:lang w:val="en-US"/>
        </w:rPr>
        <w:t>beekeeping</w:t>
      </w:r>
      <w:r w:rsidRPr="008742E9">
        <w:rPr>
          <w:b/>
          <w:sz w:val="24"/>
          <w:szCs w:val="22"/>
        </w:rPr>
        <w:t xml:space="preserve"> </w:t>
      </w:r>
      <w:r w:rsidRPr="008742E9">
        <w:rPr>
          <w:b/>
          <w:sz w:val="24"/>
          <w:szCs w:val="22"/>
          <w:lang w:val="en-US"/>
        </w:rPr>
        <w:t>in</w:t>
      </w:r>
      <w:r w:rsidRPr="008742E9">
        <w:rPr>
          <w:b/>
          <w:sz w:val="24"/>
          <w:szCs w:val="22"/>
        </w:rPr>
        <w:t xml:space="preserve"> </w:t>
      </w:r>
      <w:r w:rsidRPr="008742E9">
        <w:rPr>
          <w:b/>
          <w:sz w:val="24"/>
          <w:szCs w:val="22"/>
          <w:lang w:val="en-US"/>
        </w:rPr>
        <w:t>the</w:t>
      </w:r>
      <w:r w:rsidRPr="008742E9">
        <w:rPr>
          <w:b/>
          <w:sz w:val="24"/>
          <w:szCs w:val="22"/>
        </w:rPr>
        <w:t xml:space="preserve"> </w:t>
      </w:r>
      <w:r w:rsidRPr="008742E9">
        <w:rPr>
          <w:b/>
          <w:sz w:val="24"/>
          <w:szCs w:val="22"/>
          <w:lang w:val="en-US"/>
        </w:rPr>
        <w:t>Krasnodar</w:t>
      </w:r>
      <w:r w:rsidRPr="008742E9">
        <w:rPr>
          <w:b/>
          <w:sz w:val="24"/>
          <w:szCs w:val="22"/>
        </w:rPr>
        <w:t xml:space="preserve"> </w:t>
      </w:r>
      <w:r w:rsidRPr="008742E9">
        <w:rPr>
          <w:b/>
          <w:sz w:val="24"/>
          <w:szCs w:val="22"/>
          <w:lang w:val="en-US"/>
        </w:rPr>
        <w:t>Territory</w:t>
      </w:r>
    </w:p>
    <w:p w:rsidR="008742E9" w:rsidRPr="008742E9" w:rsidRDefault="008742E9" w:rsidP="008742E9">
      <w:pPr>
        <w:jc w:val="both"/>
        <w:rPr>
          <w:sz w:val="22"/>
          <w:szCs w:val="22"/>
          <w:shd w:val="clear" w:color="auto" w:fill="FFFFFF"/>
        </w:rPr>
      </w:pPr>
      <w:r w:rsidRPr="008742E9">
        <w:rPr>
          <w:sz w:val="22"/>
          <w:szCs w:val="22"/>
          <w:shd w:val="clear" w:color="auto" w:fill="FFFFFF"/>
        </w:rPr>
        <w:t xml:space="preserve">                                                                                     </w:t>
      </w:r>
    </w:p>
    <w:p w:rsidR="008742E9" w:rsidRPr="008742E9" w:rsidRDefault="008742E9" w:rsidP="008742E9">
      <w:pPr>
        <w:jc w:val="right"/>
        <w:rPr>
          <w:sz w:val="22"/>
          <w:szCs w:val="22"/>
          <w:shd w:val="clear" w:color="auto" w:fill="FFFFFF"/>
        </w:rPr>
      </w:pPr>
      <w:r w:rsidRPr="008742E9">
        <w:rPr>
          <w:sz w:val="22"/>
          <w:szCs w:val="22"/>
          <w:shd w:val="clear" w:color="auto" w:fill="FFFFFF"/>
        </w:rPr>
        <w:t>Стеганцова И.</w:t>
      </w:r>
      <w:r w:rsidR="00D40990">
        <w:rPr>
          <w:sz w:val="22"/>
          <w:szCs w:val="22"/>
          <w:shd w:val="clear" w:color="auto" w:fill="FFFFFF"/>
        </w:rPr>
        <w:t xml:space="preserve"> </w:t>
      </w:r>
      <w:r w:rsidRPr="008742E9">
        <w:rPr>
          <w:sz w:val="22"/>
          <w:szCs w:val="22"/>
          <w:shd w:val="clear" w:color="auto" w:fill="FFFFFF"/>
        </w:rPr>
        <w:t>В.,</w:t>
      </w:r>
    </w:p>
    <w:p w:rsidR="00C342C9" w:rsidRDefault="008742E9" w:rsidP="008742E9">
      <w:pPr>
        <w:jc w:val="right"/>
        <w:rPr>
          <w:sz w:val="22"/>
          <w:szCs w:val="22"/>
          <w:shd w:val="clear" w:color="auto" w:fill="FFFFFF"/>
        </w:rPr>
      </w:pPr>
      <w:r w:rsidRPr="008742E9">
        <w:rPr>
          <w:sz w:val="22"/>
          <w:szCs w:val="22"/>
          <w:shd w:val="clear" w:color="auto" w:fill="FFFFFF"/>
        </w:rPr>
        <w:t xml:space="preserve"> студентка 5 курса</w:t>
      </w:r>
    </w:p>
    <w:p w:rsidR="008742E9" w:rsidRPr="008742E9" w:rsidRDefault="008742E9" w:rsidP="008742E9">
      <w:pPr>
        <w:jc w:val="right"/>
        <w:rPr>
          <w:sz w:val="22"/>
          <w:szCs w:val="22"/>
          <w:shd w:val="clear" w:color="auto" w:fill="FFFFFF"/>
        </w:rPr>
      </w:pPr>
      <w:r w:rsidRPr="008742E9">
        <w:rPr>
          <w:sz w:val="22"/>
          <w:szCs w:val="22"/>
          <w:shd w:val="clear" w:color="auto" w:fill="FFFFFF"/>
        </w:rPr>
        <w:t xml:space="preserve"> факультета</w:t>
      </w:r>
      <w:r w:rsidR="00C342C9">
        <w:rPr>
          <w:sz w:val="22"/>
          <w:szCs w:val="22"/>
          <w:shd w:val="clear" w:color="auto" w:fill="FFFFFF"/>
        </w:rPr>
        <w:t xml:space="preserve"> </w:t>
      </w:r>
      <w:r w:rsidRPr="008742E9">
        <w:rPr>
          <w:sz w:val="22"/>
          <w:szCs w:val="22"/>
          <w:shd w:val="clear" w:color="auto" w:fill="FFFFFF"/>
        </w:rPr>
        <w:t>ветеринарной медицины</w:t>
      </w:r>
    </w:p>
    <w:p w:rsidR="008742E9" w:rsidRPr="008742E9" w:rsidRDefault="008742E9" w:rsidP="00C342C9">
      <w:pPr>
        <w:jc w:val="right"/>
        <w:rPr>
          <w:sz w:val="22"/>
          <w:szCs w:val="22"/>
          <w:shd w:val="clear" w:color="auto" w:fill="FFFFFF"/>
        </w:rPr>
      </w:pPr>
      <w:r w:rsidRPr="008742E9">
        <w:rPr>
          <w:sz w:val="22"/>
          <w:szCs w:val="22"/>
          <w:shd w:val="clear" w:color="auto" w:fill="FFFFFF"/>
        </w:rPr>
        <w:t>Лысенко А.</w:t>
      </w:r>
      <w:r w:rsidR="00C342C9">
        <w:rPr>
          <w:sz w:val="22"/>
          <w:szCs w:val="22"/>
          <w:shd w:val="clear" w:color="auto" w:fill="FFFFFF"/>
        </w:rPr>
        <w:t xml:space="preserve"> А.,</w:t>
      </w:r>
    </w:p>
    <w:p w:rsidR="00C342C9" w:rsidRDefault="008742E9" w:rsidP="008742E9">
      <w:pPr>
        <w:jc w:val="right"/>
        <w:rPr>
          <w:sz w:val="22"/>
          <w:szCs w:val="22"/>
          <w:shd w:val="clear" w:color="auto" w:fill="FFFFFF"/>
        </w:rPr>
      </w:pPr>
      <w:r w:rsidRPr="008742E9">
        <w:rPr>
          <w:sz w:val="22"/>
          <w:szCs w:val="22"/>
          <w:shd w:val="clear" w:color="auto" w:fill="FFFFFF"/>
        </w:rPr>
        <w:t>профессор кафедры терапии и фармакологии,</w:t>
      </w:r>
    </w:p>
    <w:p w:rsidR="008742E9" w:rsidRPr="008742E9" w:rsidRDefault="00C342C9" w:rsidP="008742E9">
      <w:pPr>
        <w:jc w:val="right"/>
        <w:rPr>
          <w:sz w:val="22"/>
          <w:szCs w:val="22"/>
          <w:shd w:val="clear" w:color="auto" w:fill="FFFFFF"/>
        </w:rPr>
      </w:pPr>
      <w:r>
        <w:rPr>
          <w:sz w:val="22"/>
          <w:szCs w:val="22"/>
          <w:shd w:val="clear" w:color="auto" w:fill="FFFFFF"/>
        </w:rPr>
        <w:t>доктор ветеринарных наук</w:t>
      </w:r>
    </w:p>
    <w:p w:rsidR="00C342C9" w:rsidRDefault="00C342C9" w:rsidP="008742E9">
      <w:pPr>
        <w:jc w:val="right"/>
        <w:rPr>
          <w:sz w:val="22"/>
          <w:szCs w:val="22"/>
          <w:shd w:val="clear" w:color="auto" w:fill="FFFFFF"/>
        </w:rPr>
      </w:pPr>
      <w:r>
        <w:rPr>
          <w:sz w:val="22"/>
          <w:szCs w:val="22"/>
          <w:shd w:val="clear" w:color="auto" w:fill="FFFFFF"/>
        </w:rPr>
        <w:t xml:space="preserve">Кубанский государственный </w:t>
      </w:r>
      <w:r w:rsidR="008742E9" w:rsidRPr="008742E9">
        <w:rPr>
          <w:sz w:val="22"/>
          <w:szCs w:val="22"/>
          <w:shd w:val="clear" w:color="auto" w:fill="FFFFFF"/>
        </w:rPr>
        <w:t>аграрный</w:t>
      </w:r>
    </w:p>
    <w:p w:rsidR="008742E9" w:rsidRPr="008742E9" w:rsidRDefault="008742E9" w:rsidP="008742E9">
      <w:pPr>
        <w:jc w:val="right"/>
        <w:rPr>
          <w:sz w:val="22"/>
          <w:szCs w:val="22"/>
          <w:shd w:val="clear" w:color="auto" w:fill="FFFFFF"/>
        </w:rPr>
      </w:pPr>
      <w:r w:rsidRPr="008742E9">
        <w:rPr>
          <w:sz w:val="22"/>
          <w:szCs w:val="22"/>
          <w:shd w:val="clear" w:color="auto" w:fill="FFFFFF"/>
        </w:rPr>
        <w:t xml:space="preserve"> университет имени И.</w:t>
      </w:r>
      <w:r w:rsidR="00C342C9">
        <w:rPr>
          <w:sz w:val="22"/>
          <w:szCs w:val="22"/>
          <w:shd w:val="clear" w:color="auto" w:fill="FFFFFF"/>
        </w:rPr>
        <w:t xml:space="preserve"> </w:t>
      </w:r>
      <w:r w:rsidRPr="008742E9">
        <w:rPr>
          <w:sz w:val="22"/>
          <w:szCs w:val="22"/>
          <w:shd w:val="clear" w:color="auto" w:fill="FFFFFF"/>
        </w:rPr>
        <w:t>Т. Трубилина</w:t>
      </w:r>
    </w:p>
    <w:p w:rsidR="008742E9" w:rsidRPr="008742E9" w:rsidRDefault="008742E9" w:rsidP="008742E9">
      <w:pPr>
        <w:jc w:val="right"/>
        <w:rPr>
          <w:sz w:val="22"/>
          <w:szCs w:val="22"/>
        </w:rPr>
      </w:pPr>
    </w:p>
    <w:p w:rsidR="008742E9" w:rsidRPr="008742E9" w:rsidRDefault="00C342C9" w:rsidP="00C342C9">
      <w:pPr>
        <w:ind w:firstLine="426"/>
        <w:jc w:val="both"/>
        <w:rPr>
          <w:sz w:val="22"/>
          <w:szCs w:val="22"/>
          <w:lang w:val="en-US"/>
        </w:rPr>
      </w:pPr>
      <w:r>
        <w:rPr>
          <w:sz w:val="22"/>
          <w:szCs w:val="22"/>
        </w:rPr>
        <w:t>АННОТАЦИЯ:</w:t>
      </w:r>
      <w:r w:rsidR="008742E9" w:rsidRPr="008742E9">
        <w:rPr>
          <w:sz w:val="22"/>
          <w:szCs w:val="22"/>
        </w:rPr>
        <w:t xml:space="preserve"> Остановить сокращение численности пчелос</w:t>
      </w:r>
      <w:r w:rsidR="008742E9" w:rsidRPr="008742E9">
        <w:rPr>
          <w:sz w:val="22"/>
          <w:szCs w:val="22"/>
        </w:rPr>
        <w:t>е</w:t>
      </w:r>
      <w:r w:rsidR="008742E9" w:rsidRPr="008742E9">
        <w:rPr>
          <w:sz w:val="22"/>
          <w:szCs w:val="22"/>
        </w:rPr>
        <w:t>мей можно используя новые подходы в селекции, кормлении и с</w:t>
      </w:r>
      <w:r w:rsidR="008742E9" w:rsidRPr="008742E9">
        <w:rPr>
          <w:sz w:val="22"/>
          <w:szCs w:val="22"/>
        </w:rPr>
        <w:t>о</w:t>
      </w:r>
      <w:r w:rsidR="008742E9" w:rsidRPr="008742E9">
        <w:rPr>
          <w:sz w:val="22"/>
          <w:szCs w:val="22"/>
        </w:rPr>
        <w:t>держании пчел. Нельзя</w:t>
      </w:r>
      <w:r w:rsidR="008742E9" w:rsidRPr="008742E9">
        <w:rPr>
          <w:sz w:val="22"/>
          <w:szCs w:val="22"/>
          <w:lang w:val="en-US"/>
        </w:rPr>
        <w:t xml:space="preserve"> </w:t>
      </w:r>
      <w:r w:rsidR="008742E9" w:rsidRPr="008742E9">
        <w:rPr>
          <w:sz w:val="22"/>
          <w:szCs w:val="22"/>
        </w:rPr>
        <w:t>применять</w:t>
      </w:r>
      <w:r w:rsidR="008742E9" w:rsidRPr="008742E9">
        <w:rPr>
          <w:sz w:val="22"/>
          <w:szCs w:val="22"/>
          <w:lang w:val="en-US"/>
        </w:rPr>
        <w:t xml:space="preserve"> </w:t>
      </w:r>
      <w:r w:rsidR="008742E9" w:rsidRPr="008742E9">
        <w:rPr>
          <w:sz w:val="22"/>
          <w:szCs w:val="22"/>
        </w:rPr>
        <w:t>гербициды</w:t>
      </w:r>
      <w:r w:rsidR="008742E9" w:rsidRPr="008742E9">
        <w:rPr>
          <w:sz w:val="22"/>
          <w:szCs w:val="22"/>
          <w:lang w:val="en-US"/>
        </w:rPr>
        <w:t xml:space="preserve"> </w:t>
      </w:r>
      <w:r w:rsidR="008742E9" w:rsidRPr="008742E9">
        <w:rPr>
          <w:sz w:val="22"/>
          <w:szCs w:val="22"/>
        </w:rPr>
        <w:t>и</w:t>
      </w:r>
      <w:r w:rsidR="008742E9" w:rsidRPr="008742E9">
        <w:rPr>
          <w:sz w:val="22"/>
          <w:szCs w:val="22"/>
          <w:lang w:val="en-US"/>
        </w:rPr>
        <w:t xml:space="preserve"> </w:t>
      </w:r>
      <w:r w:rsidR="008742E9" w:rsidRPr="008742E9">
        <w:rPr>
          <w:sz w:val="22"/>
          <w:szCs w:val="22"/>
        </w:rPr>
        <w:t>пестициды</w:t>
      </w:r>
      <w:r w:rsidR="008742E9" w:rsidRPr="008742E9">
        <w:rPr>
          <w:sz w:val="22"/>
          <w:szCs w:val="22"/>
          <w:lang w:val="en-US"/>
        </w:rPr>
        <w:t xml:space="preserve">  </w:t>
      </w:r>
      <w:r w:rsidR="008742E9" w:rsidRPr="008742E9">
        <w:rPr>
          <w:sz w:val="22"/>
          <w:szCs w:val="22"/>
        </w:rPr>
        <w:t>при</w:t>
      </w:r>
      <w:r w:rsidR="008742E9" w:rsidRPr="008742E9">
        <w:rPr>
          <w:sz w:val="22"/>
          <w:szCs w:val="22"/>
          <w:lang w:val="en-US"/>
        </w:rPr>
        <w:t xml:space="preserve"> </w:t>
      </w:r>
      <w:r w:rsidR="008742E9" w:rsidRPr="008742E9">
        <w:rPr>
          <w:sz w:val="22"/>
          <w:szCs w:val="22"/>
        </w:rPr>
        <w:t>в</w:t>
      </w:r>
      <w:r w:rsidR="008742E9" w:rsidRPr="008742E9">
        <w:rPr>
          <w:sz w:val="22"/>
          <w:szCs w:val="22"/>
        </w:rPr>
        <w:t>ы</w:t>
      </w:r>
      <w:r w:rsidR="008742E9" w:rsidRPr="008742E9">
        <w:rPr>
          <w:sz w:val="22"/>
          <w:szCs w:val="22"/>
        </w:rPr>
        <w:t>ращивании</w:t>
      </w:r>
      <w:r w:rsidR="008742E9" w:rsidRPr="008742E9">
        <w:rPr>
          <w:sz w:val="22"/>
          <w:szCs w:val="22"/>
          <w:lang w:val="en-US"/>
        </w:rPr>
        <w:t xml:space="preserve"> </w:t>
      </w:r>
      <w:r w:rsidR="008742E9" w:rsidRPr="008742E9">
        <w:rPr>
          <w:sz w:val="22"/>
          <w:szCs w:val="22"/>
        </w:rPr>
        <w:t>растений</w:t>
      </w:r>
    </w:p>
    <w:p w:rsidR="008742E9" w:rsidRPr="008742E9" w:rsidRDefault="00C342C9" w:rsidP="00C342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Pr>
          <w:color w:val="212121"/>
          <w:sz w:val="22"/>
          <w:szCs w:val="22"/>
          <w:lang w:val="en-US"/>
        </w:rPr>
        <w:t>ANNOTATION</w:t>
      </w:r>
      <w:r w:rsidRPr="00C342C9">
        <w:rPr>
          <w:color w:val="212121"/>
          <w:sz w:val="22"/>
          <w:szCs w:val="22"/>
          <w:lang w:val="en-US"/>
        </w:rPr>
        <w:t>:</w:t>
      </w:r>
      <w:r w:rsidR="008742E9" w:rsidRPr="008742E9">
        <w:rPr>
          <w:color w:val="212121"/>
          <w:sz w:val="22"/>
          <w:szCs w:val="22"/>
          <w:lang w:val="en-US"/>
        </w:rPr>
        <w:t xml:space="preserve"> Stop cuts in the number of bee colonies can be done using new approaches in the selection, feeding and maintenance of bees. Do not use herbicides and pesticides when growing plants</w:t>
      </w:r>
    </w:p>
    <w:p w:rsidR="008742E9" w:rsidRPr="008742E9" w:rsidRDefault="008742E9" w:rsidP="00C342C9">
      <w:pPr>
        <w:tabs>
          <w:tab w:val="left" w:pos="426"/>
        </w:tabs>
        <w:ind w:firstLine="426"/>
        <w:jc w:val="both"/>
        <w:rPr>
          <w:sz w:val="22"/>
          <w:szCs w:val="22"/>
          <w:lang w:val="en-US"/>
        </w:rPr>
      </w:pPr>
      <w:r w:rsidRPr="008742E9">
        <w:rPr>
          <w:sz w:val="22"/>
          <w:szCs w:val="22"/>
        </w:rPr>
        <w:t>КЛЮЧЕВЫЕ</w:t>
      </w:r>
      <w:r w:rsidRPr="008742E9">
        <w:rPr>
          <w:sz w:val="22"/>
          <w:szCs w:val="22"/>
          <w:lang w:val="en-US"/>
        </w:rPr>
        <w:t xml:space="preserve"> </w:t>
      </w:r>
      <w:r w:rsidRPr="008742E9">
        <w:rPr>
          <w:sz w:val="22"/>
          <w:szCs w:val="22"/>
        </w:rPr>
        <w:t>СЛОВА</w:t>
      </w:r>
      <w:r w:rsidRPr="008742E9">
        <w:rPr>
          <w:sz w:val="22"/>
          <w:szCs w:val="22"/>
          <w:lang w:val="en-US"/>
        </w:rPr>
        <w:t>:</w:t>
      </w:r>
      <w:r w:rsidRPr="008742E9">
        <w:rPr>
          <w:rFonts w:eastAsia="Calibri"/>
          <w:sz w:val="22"/>
          <w:szCs w:val="22"/>
          <w:lang w:val="en-US"/>
        </w:rPr>
        <w:t xml:space="preserve"> </w:t>
      </w:r>
      <w:r w:rsidRPr="008742E9">
        <w:rPr>
          <w:rFonts w:eastAsia="Calibri"/>
          <w:sz w:val="22"/>
          <w:szCs w:val="22"/>
        </w:rPr>
        <w:t>пчеловодство</w:t>
      </w:r>
      <w:r w:rsidRPr="008742E9">
        <w:rPr>
          <w:rFonts w:eastAsia="Calibri"/>
          <w:sz w:val="22"/>
          <w:szCs w:val="22"/>
          <w:lang w:val="en-US"/>
        </w:rPr>
        <w:t xml:space="preserve">, </w:t>
      </w:r>
      <w:r w:rsidRPr="008742E9">
        <w:rPr>
          <w:rFonts w:eastAsia="Calibri"/>
          <w:sz w:val="22"/>
          <w:szCs w:val="22"/>
        </w:rPr>
        <w:t>сокращение</w:t>
      </w:r>
      <w:r w:rsidRPr="008742E9">
        <w:rPr>
          <w:rFonts w:eastAsia="Calibri"/>
          <w:sz w:val="22"/>
          <w:szCs w:val="22"/>
          <w:lang w:val="en-US"/>
        </w:rPr>
        <w:t xml:space="preserve"> </w:t>
      </w:r>
      <w:r w:rsidRPr="008742E9">
        <w:rPr>
          <w:rFonts w:eastAsia="Calibri"/>
          <w:sz w:val="22"/>
          <w:szCs w:val="22"/>
        </w:rPr>
        <w:t>пчелосемей</w:t>
      </w:r>
      <w:r w:rsidRPr="008742E9">
        <w:rPr>
          <w:rFonts w:eastAsia="Calibri"/>
          <w:sz w:val="22"/>
          <w:szCs w:val="22"/>
          <w:lang w:val="en-US"/>
        </w:rPr>
        <w:t xml:space="preserve">, </w:t>
      </w:r>
      <w:r w:rsidRPr="008742E9">
        <w:rPr>
          <w:rFonts w:eastAsia="Calibri"/>
          <w:sz w:val="22"/>
          <w:szCs w:val="22"/>
        </w:rPr>
        <w:t>причины</w:t>
      </w:r>
      <w:r w:rsidRPr="008742E9">
        <w:rPr>
          <w:rFonts w:eastAsia="Calibri"/>
          <w:sz w:val="22"/>
          <w:szCs w:val="22"/>
          <w:lang w:val="en-US"/>
        </w:rPr>
        <w:t xml:space="preserve">, </w:t>
      </w:r>
      <w:r w:rsidRPr="008742E9">
        <w:rPr>
          <w:rFonts w:eastAsia="Calibri"/>
          <w:sz w:val="22"/>
          <w:szCs w:val="22"/>
        </w:rPr>
        <w:t>гербициды</w:t>
      </w:r>
    </w:p>
    <w:p w:rsidR="008742E9" w:rsidRPr="008742E9" w:rsidRDefault="008742E9" w:rsidP="00C342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sz w:val="22"/>
          <w:szCs w:val="22"/>
          <w:lang w:val="en-US"/>
        </w:rPr>
      </w:pPr>
      <w:r w:rsidRPr="008742E9">
        <w:rPr>
          <w:color w:val="212121"/>
          <w:sz w:val="22"/>
          <w:szCs w:val="22"/>
          <w:lang w:val="en-US"/>
        </w:rPr>
        <w:t>KEY WORDS: beekeeping, bee-seed reduction, causes, herbicides</w:t>
      </w:r>
    </w:p>
    <w:p w:rsidR="008742E9" w:rsidRPr="008742E9" w:rsidRDefault="008742E9" w:rsidP="00C342C9">
      <w:pPr>
        <w:ind w:firstLine="426"/>
        <w:jc w:val="both"/>
        <w:rPr>
          <w:sz w:val="22"/>
          <w:szCs w:val="22"/>
          <w:lang w:val="en-US"/>
        </w:rPr>
      </w:pPr>
    </w:p>
    <w:p w:rsidR="008742E9" w:rsidRPr="008742E9" w:rsidRDefault="008742E9" w:rsidP="00C342C9">
      <w:pPr>
        <w:ind w:firstLine="426"/>
        <w:jc w:val="both"/>
        <w:rPr>
          <w:sz w:val="22"/>
          <w:szCs w:val="22"/>
        </w:rPr>
      </w:pPr>
      <w:r w:rsidRPr="008742E9">
        <w:rPr>
          <w:sz w:val="22"/>
          <w:szCs w:val="22"/>
        </w:rPr>
        <w:t>Ни одно из животных, используемых человеком для получения продуктов и сырья, не связано так тесно с окружающей средой, как пчела. Пчелиная семья способна самостоятельно добывать себе пропитание, строить жилье и создавать необходимые условия для существования внутри улья, что и делает ее целостной, полноце</w:t>
      </w:r>
      <w:r w:rsidRPr="008742E9">
        <w:rPr>
          <w:sz w:val="22"/>
          <w:szCs w:val="22"/>
        </w:rPr>
        <w:t>н</w:t>
      </w:r>
      <w:r w:rsidRPr="008742E9">
        <w:rPr>
          <w:sz w:val="22"/>
          <w:szCs w:val="22"/>
        </w:rPr>
        <w:t>ной системой, не требующей человеческого вмешательства [1].</w:t>
      </w:r>
    </w:p>
    <w:p w:rsidR="008742E9" w:rsidRPr="008742E9" w:rsidRDefault="008742E9" w:rsidP="00C342C9">
      <w:pPr>
        <w:ind w:firstLine="426"/>
        <w:jc w:val="both"/>
        <w:rPr>
          <w:sz w:val="22"/>
          <w:szCs w:val="22"/>
        </w:rPr>
      </w:pPr>
      <w:r w:rsidRPr="008742E9">
        <w:rPr>
          <w:sz w:val="22"/>
          <w:szCs w:val="22"/>
        </w:rPr>
        <w:t>По данным статистики численность пчелосемей в последние десятилетия стала стремительно сокращаться. Так,  в Краснода</w:t>
      </w:r>
      <w:r w:rsidRPr="008742E9">
        <w:rPr>
          <w:sz w:val="22"/>
          <w:szCs w:val="22"/>
        </w:rPr>
        <w:t>р</w:t>
      </w:r>
      <w:r w:rsidRPr="008742E9">
        <w:rPr>
          <w:sz w:val="22"/>
          <w:szCs w:val="22"/>
        </w:rPr>
        <w:t>ском крае в 1991 году численность составляла 370.000, а в 2015 – 136.300 пчелосемей. Причины этого - активное применение пест</w:t>
      </w:r>
      <w:r w:rsidRPr="008742E9">
        <w:rPr>
          <w:sz w:val="22"/>
          <w:szCs w:val="22"/>
        </w:rPr>
        <w:t>и</w:t>
      </w:r>
      <w:r w:rsidRPr="008742E9">
        <w:rPr>
          <w:sz w:val="22"/>
          <w:szCs w:val="22"/>
        </w:rPr>
        <w:t>цидов и гербицидов, широкое распространение генетически мод</w:t>
      </w:r>
      <w:r w:rsidRPr="008742E9">
        <w:rPr>
          <w:sz w:val="22"/>
          <w:szCs w:val="22"/>
        </w:rPr>
        <w:t>и</w:t>
      </w:r>
      <w:r w:rsidRPr="008742E9">
        <w:rPr>
          <w:sz w:val="22"/>
          <w:szCs w:val="22"/>
        </w:rPr>
        <w:lastRenderedPageBreak/>
        <w:t>фицированных растений, излучение от мачт мобильной связи, поя</w:t>
      </w:r>
      <w:r w:rsidRPr="008742E9">
        <w:rPr>
          <w:sz w:val="22"/>
          <w:szCs w:val="22"/>
        </w:rPr>
        <w:t>в</w:t>
      </w:r>
      <w:r w:rsidRPr="008742E9">
        <w:rPr>
          <w:sz w:val="22"/>
          <w:szCs w:val="22"/>
        </w:rPr>
        <w:t>ление новых патогенных вирусов, изменение климата, нарушение экологического равновесия, ухудшение условий медосбора [4].</w:t>
      </w:r>
    </w:p>
    <w:p w:rsidR="008742E9" w:rsidRPr="008742E9" w:rsidRDefault="008742E9" w:rsidP="00C342C9">
      <w:pPr>
        <w:ind w:firstLine="426"/>
        <w:jc w:val="both"/>
        <w:rPr>
          <w:sz w:val="22"/>
          <w:szCs w:val="22"/>
        </w:rPr>
      </w:pPr>
      <w:r w:rsidRPr="008742E9">
        <w:rPr>
          <w:sz w:val="22"/>
          <w:szCs w:val="22"/>
        </w:rPr>
        <w:t>Это тревожная тенденция, т.к. основная роль пчел- опыление энтомофильных культур, которых только в нашем крае насчитыв</w:t>
      </w:r>
      <w:r w:rsidRPr="008742E9">
        <w:rPr>
          <w:sz w:val="22"/>
          <w:szCs w:val="22"/>
        </w:rPr>
        <w:t>а</w:t>
      </w:r>
      <w:r w:rsidRPr="008742E9">
        <w:rPr>
          <w:sz w:val="22"/>
          <w:szCs w:val="22"/>
        </w:rPr>
        <w:t>ется около 150 видов. Нарушается кормовая база животноводства, производство растительных продуктов питания для людей, плод</w:t>
      </w:r>
      <w:r w:rsidRPr="008742E9">
        <w:rPr>
          <w:sz w:val="22"/>
          <w:szCs w:val="22"/>
        </w:rPr>
        <w:t>о</w:t>
      </w:r>
      <w:r w:rsidRPr="008742E9">
        <w:rPr>
          <w:sz w:val="22"/>
          <w:szCs w:val="22"/>
        </w:rPr>
        <w:t>водство и семеноводство [4].</w:t>
      </w:r>
    </w:p>
    <w:p w:rsidR="008742E9" w:rsidRPr="008742E9" w:rsidRDefault="008742E9" w:rsidP="00C342C9">
      <w:pPr>
        <w:ind w:firstLine="426"/>
        <w:jc w:val="both"/>
        <w:rPr>
          <w:sz w:val="22"/>
          <w:szCs w:val="22"/>
        </w:rPr>
      </w:pPr>
      <w:r w:rsidRPr="008742E9">
        <w:rPr>
          <w:sz w:val="22"/>
          <w:szCs w:val="22"/>
        </w:rPr>
        <w:t>Целью нашей работы было проанализировать негативное вли</w:t>
      </w:r>
      <w:r w:rsidRPr="008742E9">
        <w:rPr>
          <w:sz w:val="22"/>
          <w:szCs w:val="22"/>
        </w:rPr>
        <w:t>я</w:t>
      </w:r>
      <w:r w:rsidRPr="008742E9">
        <w:rPr>
          <w:sz w:val="22"/>
          <w:szCs w:val="22"/>
        </w:rPr>
        <w:t>ние устаревших приемов ухода за пчелами и поиск методов увел</w:t>
      </w:r>
      <w:r w:rsidRPr="008742E9">
        <w:rPr>
          <w:sz w:val="22"/>
          <w:szCs w:val="22"/>
        </w:rPr>
        <w:t>и</w:t>
      </w:r>
      <w:r w:rsidRPr="008742E9">
        <w:rPr>
          <w:sz w:val="22"/>
          <w:szCs w:val="22"/>
        </w:rPr>
        <w:t xml:space="preserve">чения численности пчелосемей. </w:t>
      </w:r>
    </w:p>
    <w:p w:rsidR="008742E9" w:rsidRPr="008742E9" w:rsidRDefault="008742E9" w:rsidP="00C342C9">
      <w:pPr>
        <w:ind w:firstLine="426"/>
        <w:jc w:val="both"/>
        <w:rPr>
          <w:sz w:val="22"/>
          <w:szCs w:val="22"/>
        </w:rPr>
      </w:pPr>
      <w:r w:rsidRPr="008742E9">
        <w:rPr>
          <w:sz w:val="22"/>
          <w:szCs w:val="22"/>
        </w:rPr>
        <w:t>Первое, что необходимо изменить – это подход к улучшению пород. Природа тысячелетиями создавала и корректировала пчел</w:t>
      </w:r>
      <w:r w:rsidRPr="008742E9">
        <w:rPr>
          <w:sz w:val="22"/>
          <w:szCs w:val="22"/>
        </w:rPr>
        <w:t>и</w:t>
      </w:r>
      <w:r w:rsidRPr="008742E9">
        <w:rPr>
          <w:sz w:val="22"/>
          <w:szCs w:val="22"/>
        </w:rPr>
        <w:t>ные способности, а человек решил изменить селекцию  под свои потребности. В итоге  получаются насекомые либо с высокой рез</w:t>
      </w:r>
      <w:r w:rsidRPr="008742E9">
        <w:rPr>
          <w:sz w:val="22"/>
          <w:szCs w:val="22"/>
        </w:rPr>
        <w:t>и</w:t>
      </w:r>
      <w:r w:rsidRPr="008742E9">
        <w:rPr>
          <w:sz w:val="22"/>
          <w:szCs w:val="22"/>
        </w:rPr>
        <w:t>стентностью к инфекционным и инвазионным заболеваниям, либо с высокими показателями медовой продуктивности. Поэтому, лу</w:t>
      </w:r>
      <w:r w:rsidRPr="008742E9">
        <w:rPr>
          <w:sz w:val="22"/>
          <w:szCs w:val="22"/>
        </w:rPr>
        <w:t>ч</w:t>
      </w:r>
      <w:r w:rsidRPr="008742E9">
        <w:rPr>
          <w:sz w:val="22"/>
          <w:szCs w:val="22"/>
        </w:rPr>
        <w:t xml:space="preserve">шим вариантом является селекция путем естественного отбора. </w:t>
      </w:r>
    </w:p>
    <w:p w:rsidR="008742E9" w:rsidRPr="008742E9" w:rsidRDefault="008742E9" w:rsidP="00C342C9">
      <w:pPr>
        <w:ind w:firstLine="426"/>
        <w:jc w:val="both"/>
        <w:rPr>
          <w:sz w:val="22"/>
          <w:szCs w:val="22"/>
        </w:rPr>
      </w:pPr>
      <w:r w:rsidRPr="008742E9">
        <w:rPr>
          <w:sz w:val="22"/>
          <w:szCs w:val="22"/>
        </w:rPr>
        <w:t>Вторым пунктом является изменение правил подкормки пчел. На сегодняшний день в целях экономии пчеловоды используют в качестве подкормки сахарный сироп, который соответствует нат</w:t>
      </w:r>
      <w:r w:rsidRPr="008742E9">
        <w:rPr>
          <w:sz w:val="22"/>
          <w:szCs w:val="22"/>
        </w:rPr>
        <w:t>у</w:t>
      </w:r>
      <w:r w:rsidRPr="008742E9">
        <w:rPr>
          <w:sz w:val="22"/>
          <w:szCs w:val="22"/>
        </w:rPr>
        <w:t>ральному мёду только по энергетической углеводной ценности, но не удовлетворяет потребностей пчелы  по белку, витаминам, ам</w:t>
      </w:r>
      <w:r w:rsidRPr="008742E9">
        <w:rPr>
          <w:sz w:val="22"/>
          <w:szCs w:val="22"/>
        </w:rPr>
        <w:t>и</w:t>
      </w:r>
      <w:r w:rsidRPr="008742E9">
        <w:rPr>
          <w:sz w:val="22"/>
          <w:szCs w:val="22"/>
        </w:rPr>
        <w:t>нокислотам, макро-, микроэлементам. В результате пчелы переж</w:t>
      </w:r>
      <w:r w:rsidRPr="008742E9">
        <w:rPr>
          <w:sz w:val="22"/>
          <w:szCs w:val="22"/>
        </w:rPr>
        <w:t>и</w:t>
      </w:r>
      <w:r w:rsidRPr="008742E9">
        <w:rPr>
          <w:sz w:val="22"/>
          <w:szCs w:val="22"/>
        </w:rPr>
        <w:t>вают зимовку, но находятся в состоянии белково-витаминного д</w:t>
      </w:r>
      <w:r w:rsidRPr="008742E9">
        <w:rPr>
          <w:sz w:val="22"/>
          <w:szCs w:val="22"/>
        </w:rPr>
        <w:t>е</w:t>
      </w:r>
      <w:r w:rsidRPr="008742E9">
        <w:rPr>
          <w:sz w:val="22"/>
          <w:szCs w:val="22"/>
        </w:rPr>
        <w:t>фицита или голода. Такая подкормка только изнашивает иммунную систему и делает организм пчелы восприимчивым к заболеваниям заразной этиологии[1].</w:t>
      </w:r>
    </w:p>
    <w:p w:rsidR="008742E9" w:rsidRPr="008742E9" w:rsidRDefault="008742E9" w:rsidP="00C342C9">
      <w:pPr>
        <w:ind w:firstLine="426"/>
        <w:jc w:val="both"/>
        <w:rPr>
          <w:sz w:val="22"/>
          <w:szCs w:val="22"/>
        </w:rPr>
      </w:pPr>
      <w:r w:rsidRPr="008742E9">
        <w:rPr>
          <w:sz w:val="22"/>
          <w:szCs w:val="22"/>
        </w:rPr>
        <w:t>Необходимо давать пчелам фруктовые соки, медовые соты, с</w:t>
      </w:r>
      <w:r w:rsidRPr="008742E9">
        <w:rPr>
          <w:sz w:val="22"/>
          <w:szCs w:val="22"/>
        </w:rPr>
        <w:t>а</w:t>
      </w:r>
      <w:r w:rsidRPr="008742E9">
        <w:rPr>
          <w:sz w:val="22"/>
          <w:szCs w:val="22"/>
        </w:rPr>
        <w:t xml:space="preserve">харный сироп с лимонной кислотой, глицерином, кормовые плитки с мукой. А лучшей альтернативой является спускной, сотовый или запечатанный мед. </w:t>
      </w:r>
    </w:p>
    <w:p w:rsidR="008742E9" w:rsidRPr="008742E9" w:rsidRDefault="008742E9" w:rsidP="00C342C9">
      <w:pPr>
        <w:ind w:firstLine="426"/>
        <w:jc w:val="both"/>
        <w:rPr>
          <w:sz w:val="22"/>
          <w:szCs w:val="22"/>
        </w:rPr>
      </w:pPr>
      <w:r w:rsidRPr="008742E9">
        <w:rPr>
          <w:sz w:val="22"/>
          <w:szCs w:val="22"/>
        </w:rPr>
        <w:t>Третье, что необходимо сделать – это отказаться от применения дымаря. Вред данного устройства для человека давно доказан, а вот о вреде для пчел известно меньше. Дым не успокаивает, а пугает пчел [3]. Необходимо содержать миролюбивые породы пчёл, сам</w:t>
      </w:r>
      <w:r w:rsidRPr="008742E9">
        <w:rPr>
          <w:sz w:val="22"/>
          <w:szCs w:val="22"/>
        </w:rPr>
        <w:t>о</w:t>
      </w:r>
      <w:r w:rsidRPr="008742E9">
        <w:rPr>
          <w:sz w:val="22"/>
          <w:szCs w:val="22"/>
        </w:rPr>
        <w:t xml:space="preserve">му работать грамотно, осторожно и в специальной одежде. Можно применять средство «Волшебный холстик» или подобные ему. Это </w:t>
      </w:r>
      <w:r w:rsidRPr="008742E9">
        <w:rPr>
          <w:sz w:val="22"/>
          <w:szCs w:val="22"/>
        </w:rPr>
        <w:lastRenderedPageBreak/>
        <w:t>ткань, пропитанная композицией эфирных масел, оказывающих расслабляющее, успокаивающее действие. Данный состав не выз</w:t>
      </w:r>
      <w:r w:rsidRPr="008742E9">
        <w:rPr>
          <w:sz w:val="22"/>
          <w:szCs w:val="22"/>
        </w:rPr>
        <w:t>ы</w:t>
      </w:r>
      <w:r w:rsidRPr="008742E9">
        <w:rPr>
          <w:sz w:val="22"/>
          <w:szCs w:val="22"/>
        </w:rPr>
        <w:t>вает никаких побочных явлений и абсолютно безопасен как для ч</w:t>
      </w:r>
      <w:r w:rsidRPr="008742E9">
        <w:rPr>
          <w:sz w:val="22"/>
          <w:szCs w:val="22"/>
        </w:rPr>
        <w:t>е</w:t>
      </w:r>
      <w:r w:rsidRPr="008742E9">
        <w:rPr>
          <w:sz w:val="22"/>
          <w:szCs w:val="22"/>
        </w:rPr>
        <w:t>ловека, так и для самих пчел.</w:t>
      </w:r>
    </w:p>
    <w:p w:rsidR="008742E9" w:rsidRPr="008742E9" w:rsidRDefault="008742E9" w:rsidP="00C342C9">
      <w:pPr>
        <w:tabs>
          <w:tab w:val="left" w:pos="5565"/>
        </w:tabs>
        <w:ind w:firstLine="426"/>
        <w:jc w:val="both"/>
        <w:rPr>
          <w:sz w:val="22"/>
          <w:szCs w:val="22"/>
        </w:rPr>
      </w:pPr>
      <w:r w:rsidRPr="008742E9">
        <w:rPr>
          <w:sz w:val="22"/>
          <w:szCs w:val="22"/>
        </w:rPr>
        <w:t>Четвертым пунктом является устранение негативного действия на пчел пестицидов, гербицидов и генномодифицированных раст</w:t>
      </w:r>
      <w:r w:rsidRPr="008742E9">
        <w:rPr>
          <w:sz w:val="22"/>
          <w:szCs w:val="22"/>
        </w:rPr>
        <w:t>е</w:t>
      </w:r>
      <w:r w:rsidRPr="008742E9">
        <w:rPr>
          <w:sz w:val="22"/>
          <w:szCs w:val="22"/>
        </w:rPr>
        <w:t>ний. По данным американских ученых,  остатки удобрений выз</w:t>
      </w:r>
      <w:r w:rsidRPr="008742E9">
        <w:rPr>
          <w:sz w:val="22"/>
          <w:szCs w:val="22"/>
        </w:rPr>
        <w:t>ы</w:t>
      </w:r>
      <w:r w:rsidRPr="008742E9">
        <w:rPr>
          <w:sz w:val="22"/>
          <w:szCs w:val="22"/>
        </w:rPr>
        <w:t>вают в пчелиных семьях стрессовую ситуацию и нарушение соц</w:t>
      </w:r>
      <w:r w:rsidRPr="008742E9">
        <w:rPr>
          <w:sz w:val="22"/>
          <w:szCs w:val="22"/>
        </w:rPr>
        <w:t>и</w:t>
      </w:r>
      <w:r w:rsidRPr="008742E9">
        <w:rPr>
          <w:sz w:val="22"/>
          <w:szCs w:val="22"/>
        </w:rPr>
        <w:t>ального поведения – полевые пчелы перестают вылетать, пчелы-кормилицы сбиваются с ритма кормления личинок, некоторые ма</w:t>
      </w:r>
      <w:r w:rsidRPr="008742E9">
        <w:rPr>
          <w:sz w:val="22"/>
          <w:szCs w:val="22"/>
        </w:rPr>
        <w:t>т</w:t>
      </w:r>
      <w:r w:rsidRPr="008742E9">
        <w:rPr>
          <w:sz w:val="22"/>
          <w:szCs w:val="22"/>
        </w:rPr>
        <w:t>ки больше времени находятся на какой-либо одной стороне гнезда, может наблюдаться дрожание конечностей, а хроническое загря</w:t>
      </w:r>
      <w:r w:rsidRPr="008742E9">
        <w:rPr>
          <w:sz w:val="22"/>
          <w:szCs w:val="22"/>
        </w:rPr>
        <w:t>з</w:t>
      </w:r>
      <w:r w:rsidRPr="008742E9">
        <w:rPr>
          <w:sz w:val="22"/>
          <w:szCs w:val="22"/>
        </w:rPr>
        <w:t>нение воска химическими веществами влияет на пчел-кормилиц и маток так, что они перестают запечатывать расплод. Эти вещества накапливаются в гемолимфе насекомых и вызывают снижение и</w:t>
      </w:r>
      <w:r w:rsidRPr="008742E9">
        <w:rPr>
          <w:sz w:val="22"/>
          <w:szCs w:val="22"/>
        </w:rPr>
        <w:t>м</w:t>
      </w:r>
      <w:r w:rsidRPr="008742E9">
        <w:rPr>
          <w:sz w:val="22"/>
          <w:szCs w:val="22"/>
        </w:rPr>
        <w:t>мунитета [2].</w:t>
      </w:r>
    </w:p>
    <w:p w:rsidR="008742E9" w:rsidRPr="008742E9" w:rsidRDefault="008742E9" w:rsidP="00C342C9">
      <w:pPr>
        <w:tabs>
          <w:tab w:val="left" w:pos="5565"/>
        </w:tabs>
        <w:ind w:firstLine="426"/>
        <w:jc w:val="both"/>
        <w:rPr>
          <w:sz w:val="22"/>
          <w:szCs w:val="22"/>
        </w:rPr>
      </w:pPr>
      <w:r w:rsidRPr="008742E9">
        <w:rPr>
          <w:sz w:val="22"/>
          <w:szCs w:val="22"/>
        </w:rPr>
        <w:t>Генномодифицированные растения выделяют ядовитые вещ</w:t>
      </w:r>
      <w:r w:rsidRPr="008742E9">
        <w:rPr>
          <w:sz w:val="22"/>
          <w:szCs w:val="22"/>
        </w:rPr>
        <w:t>е</w:t>
      </w:r>
      <w:r w:rsidRPr="008742E9">
        <w:rPr>
          <w:sz w:val="22"/>
          <w:szCs w:val="22"/>
        </w:rPr>
        <w:t xml:space="preserve">ства аналогичные удобрениям, и также негативно влияющие на здоровье насекомых. Кроме этого пчелы переносят пыльцу данных растений, тем самым способствуя их распространению.  </w:t>
      </w:r>
    </w:p>
    <w:p w:rsidR="008742E9" w:rsidRPr="008742E9" w:rsidRDefault="008742E9" w:rsidP="00C342C9">
      <w:pPr>
        <w:ind w:firstLine="426"/>
        <w:jc w:val="both"/>
        <w:rPr>
          <w:sz w:val="22"/>
          <w:szCs w:val="22"/>
        </w:rPr>
      </w:pPr>
      <w:r w:rsidRPr="008742E9">
        <w:rPr>
          <w:sz w:val="22"/>
          <w:szCs w:val="22"/>
        </w:rPr>
        <w:t>Для решения этой проблемы необходимо- ограничить прим</w:t>
      </w:r>
      <w:r w:rsidRPr="008742E9">
        <w:rPr>
          <w:sz w:val="22"/>
          <w:szCs w:val="22"/>
        </w:rPr>
        <w:t>е</w:t>
      </w:r>
      <w:r w:rsidRPr="008742E9">
        <w:rPr>
          <w:sz w:val="22"/>
          <w:szCs w:val="22"/>
        </w:rPr>
        <w:t>нение высокотоксичных удобрений, а вместо агрессивных терапе</w:t>
      </w:r>
      <w:r w:rsidRPr="008742E9">
        <w:rPr>
          <w:sz w:val="22"/>
          <w:szCs w:val="22"/>
        </w:rPr>
        <w:t>в</w:t>
      </w:r>
      <w:r w:rsidRPr="008742E9">
        <w:rPr>
          <w:sz w:val="22"/>
          <w:szCs w:val="22"/>
        </w:rPr>
        <w:t>тических препаратов применять различные биотехнологические, биологические и физические методы. Например, использовать л</w:t>
      </w:r>
      <w:r w:rsidRPr="008742E9">
        <w:rPr>
          <w:sz w:val="22"/>
          <w:szCs w:val="22"/>
        </w:rPr>
        <w:t>е</w:t>
      </w:r>
      <w:r w:rsidRPr="008742E9">
        <w:rPr>
          <w:sz w:val="22"/>
          <w:szCs w:val="22"/>
        </w:rPr>
        <w:t>карственные средства на основе растительного сырья, которые не оказывают вредного воздействия ни на пчелосемьи, ни на продукты пчеловодства.</w:t>
      </w:r>
    </w:p>
    <w:p w:rsidR="008742E9" w:rsidRPr="008742E9" w:rsidRDefault="008742E9" w:rsidP="00C342C9">
      <w:pPr>
        <w:ind w:firstLine="426"/>
        <w:jc w:val="center"/>
        <w:rPr>
          <w:sz w:val="22"/>
          <w:szCs w:val="22"/>
        </w:rPr>
      </w:pPr>
      <w:r w:rsidRPr="008742E9">
        <w:rPr>
          <w:sz w:val="22"/>
          <w:szCs w:val="22"/>
        </w:rPr>
        <w:t>Список литературы</w:t>
      </w:r>
    </w:p>
    <w:p w:rsidR="008742E9" w:rsidRPr="008742E9" w:rsidRDefault="008742E9" w:rsidP="00C342C9">
      <w:pPr>
        <w:ind w:firstLine="426"/>
        <w:jc w:val="both"/>
        <w:rPr>
          <w:sz w:val="22"/>
          <w:szCs w:val="22"/>
        </w:rPr>
      </w:pPr>
      <w:r w:rsidRPr="008742E9">
        <w:rPr>
          <w:sz w:val="22"/>
          <w:szCs w:val="22"/>
        </w:rPr>
        <w:t>1. Кулагин И. С. Проблемы современного пчеловодства / И. С. Кулагин // Пчеловодство. 2016. – №2. – С. 30-32.</w:t>
      </w:r>
    </w:p>
    <w:p w:rsidR="008742E9" w:rsidRPr="008742E9" w:rsidRDefault="008742E9" w:rsidP="00C342C9">
      <w:pPr>
        <w:ind w:firstLine="426"/>
        <w:jc w:val="both"/>
        <w:rPr>
          <w:sz w:val="22"/>
          <w:szCs w:val="22"/>
        </w:rPr>
      </w:pPr>
      <w:r w:rsidRPr="008742E9">
        <w:rPr>
          <w:sz w:val="22"/>
          <w:szCs w:val="22"/>
        </w:rPr>
        <w:t>2. Масленникова В. И. Эпизоотическая ситуация по заразным болезням пчел в мире / В. И. Масленникова // Пчеловодство. 2014. –  №5. – С. 64-66.</w:t>
      </w:r>
    </w:p>
    <w:p w:rsidR="008742E9" w:rsidRPr="008742E9" w:rsidRDefault="008742E9" w:rsidP="00C342C9">
      <w:pPr>
        <w:ind w:firstLine="426"/>
        <w:jc w:val="both"/>
        <w:rPr>
          <w:sz w:val="22"/>
          <w:szCs w:val="22"/>
        </w:rPr>
      </w:pPr>
      <w:r w:rsidRPr="008742E9">
        <w:rPr>
          <w:sz w:val="22"/>
          <w:szCs w:val="22"/>
        </w:rPr>
        <w:t>3. Хациревич М. Г. Работа с дымарём / М. Г. Хациревич // Пч</w:t>
      </w:r>
      <w:r w:rsidRPr="008742E9">
        <w:rPr>
          <w:sz w:val="22"/>
          <w:szCs w:val="22"/>
        </w:rPr>
        <w:t>е</w:t>
      </w:r>
      <w:r w:rsidRPr="008742E9">
        <w:rPr>
          <w:sz w:val="22"/>
          <w:szCs w:val="22"/>
        </w:rPr>
        <w:t>ловодство. 2009. – №4. – С. 38-39</w:t>
      </w:r>
    </w:p>
    <w:p w:rsidR="008742E9" w:rsidRPr="008742E9" w:rsidRDefault="008742E9" w:rsidP="00C342C9">
      <w:pPr>
        <w:ind w:firstLine="426"/>
        <w:jc w:val="both"/>
        <w:rPr>
          <w:sz w:val="22"/>
          <w:szCs w:val="22"/>
        </w:rPr>
      </w:pPr>
      <w:r w:rsidRPr="008742E9">
        <w:rPr>
          <w:sz w:val="22"/>
          <w:szCs w:val="22"/>
        </w:rPr>
        <w:t>4. Черевко Ю. А. Пчеловодство / Ю. А. Черевко, Г. А. Ав</w:t>
      </w:r>
      <w:r w:rsidRPr="008742E9">
        <w:rPr>
          <w:sz w:val="22"/>
          <w:szCs w:val="22"/>
        </w:rPr>
        <w:t>е</w:t>
      </w:r>
      <w:r w:rsidRPr="008742E9">
        <w:rPr>
          <w:sz w:val="22"/>
          <w:szCs w:val="22"/>
        </w:rPr>
        <w:t>тисян. – М. : АСТ: Астрель: Полиграфиздат, 2011. – 367 с.</w:t>
      </w:r>
    </w:p>
    <w:p w:rsidR="00C342C9" w:rsidRPr="008742E9" w:rsidRDefault="00C342C9" w:rsidP="008742E9">
      <w:pPr>
        <w:jc w:val="both"/>
        <w:rPr>
          <w:sz w:val="22"/>
          <w:szCs w:val="22"/>
        </w:rPr>
      </w:pPr>
    </w:p>
    <w:p w:rsidR="008742E9" w:rsidRPr="008742E9" w:rsidRDefault="008742E9" w:rsidP="008742E9">
      <w:pPr>
        <w:spacing w:after="200"/>
        <w:contextualSpacing/>
        <w:rPr>
          <w:rFonts w:eastAsia="Calibri"/>
          <w:sz w:val="22"/>
          <w:szCs w:val="22"/>
          <w:lang w:eastAsia="en-US"/>
        </w:rPr>
      </w:pPr>
      <w:r w:rsidRPr="008742E9">
        <w:rPr>
          <w:rFonts w:eastAsia="Calibri"/>
          <w:sz w:val="22"/>
          <w:szCs w:val="22"/>
          <w:lang w:eastAsia="en-US"/>
        </w:rPr>
        <w:lastRenderedPageBreak/>
        <w:t>УДК 619:615.31:547.466</w:t>
      </w:r>
    </w:p>
    <w:p w:rsidR="008742E9" w:rsidRPr="008742E9" w:rsidRDefault="008742E9" w:rsidP="008742E9">
      <w:pPr>
        <w:spacing w:after="200"/>
        <w:contextualSpacing/>
        <w:jc w:val="center"/>
        <w:rPr>
          <w:rFonts w:eastAsia="Calibri"/>
          <w:b/>
          <w:sz w:val="22"/>
          <w:szCs w:val="22"/>
          <w:lang w:eastAsia="en-US"/>
        </w:rPr>
      </w:pPr>
    </w:p>
    <w:p w:rsidR="008742E9" w:rsidRPr="008742E9" w:rsidRDefault="008742E9" w:rsidP="008742E9">
      <w:pPr>
        <w:spacing w:after="200"/>
        <w:contextualSpacing/>
        <w:jc w:val="center"/>
        <w:rPr>
          <w:rFonts w:eastAsia="Calibri"/>
          <w:b/>
          <w:sz w:val="24"/>
          <w:szCs w:val="24"/>
          <w:lang w:eastAsia="en-US"/>
        </w:rPr>
      </w:pPr>
      <w:r w:rsidRPr="008742E9">
        <w:rPr>
          <w:rFonts w:eastAsia="Calibri"/>
          <w:b/>
          <w:sz w:val="24"/>
          <w:szCs w:val="24"/>
          <w:lang w:eastAsia="en-US"/>
        </w:rPr>
        <w:t xml:space="preserve">Сравнительная оценка эффективности применения </w:t>
      </w:r>
    </w:p>
    <w:p w:rsidR="008742E9" w:rsidRDefault="008742E9" w:rsidP="008742E9">
      <w:pPr>
        <w:spacing w:after="200"/>
        <w:contextualSpacing/>
        <w:jc w:val="center"/>
        <w:rPr>
          <w:rFonts w:eastAsia="Calibri"/>
          <w:b/>
          <w:sz w:val="24"/>
          <w:szCs w:val="24"/>
          <w:lang w:eastAsia="en-US"/>
        </w:rPr>
      </w:pPr>
      <w:r w:rsidRPr="008742E9">
        <w:rPr>
          <w:rFonts w:eastAsia="Calibri"/>
          <w:b/>
          <w:sz w:val="24"/>
          <w:szCs w:val="24"/>
          <w:lang w:eastAsia="en-US"/>
        </w:rPr>
        <w:t>препарата редиар при лечении диспепсии телят</w:t>
      </w:r>
    </w:p>
    <w:p w:rsidR="0097059C" w:rsidRPr="0097059C" w:rsidRDefault="0097059C" w:rsidP="008742E9">
      <w:pPr>
        <w:spacing w:after="200"/>
        <w:contextualSpacing/>
        <w:jc w:val="center"/>
        <w:rPr>
          <w:rFonts w:eastAsia="Calibri"/>
          <w:b/>
          <w:sz w:val="24"/>
          <w:szCs w:val="24"/>
          <w:lang w:val="en-US" w:eastAsia="en-US"/>
        </w:rPr>
      </w:pPr>
      <w:r w:rsidRPr="0097059C">
        <w:rPr>
          <w:rFonts w:eastAsia="Calibri"/>
          <w:b/>
          <w:sz w:val="24"/>
          <w:szCs w:val="24"/>
          <w:lang w:val="en-US" w:eastAsia="en-US"/>
        </w:rPr>
        <w:t>Comparative evaluation of the effectiveness of the applic</w:t>
      </w:r>
      <w:r w:rsidRPr="0097059C">
        <w:rPr>
          <w:rFonts w:eastAsia="Calibri"/>
          <w:b/>
          <w:sz w:val="24"/>
          <w:szCs w:val="24"/>
          <w:lang w:val="en-US" w:eastAsia="en-US"/>
        </w:rPr>
        <w:t>a</w:t>
      </w:r>
      <w:r w:rsidRPr="0097059C">
        <w:rPr>
          <w:rFonts w:eastAsia="Calibri"/>
          <w:b/>
          <w:sz w:val="24"/>
          <w:szCs w:val="24"/>
          <w:lang w:val="en-US" w:eastAsia="en-US"/>
        </w:rPr>
        <w:t>tionRadiar drug in the treatment of dyspepsia in calves</w:t>
      </w:r>
    </w:p>
    <w:p w:rsidR="008742E9" w:rsidRPr="0097059C" w:rsidRDefault="008742E9" w:rsidP="008742E9">
      <w:pPr>
        <w:spacing w:after="200"/>
        <w:contextualSpacing/>
        <w:jc w:val="right"/>
        <w:rPr>
          <w:rFonts w:eastAsia="Calibri"/>
          <w:sz w:val="22"/>
          <w:szCs w:val="22"/>
          <w:lang w:val="en-US" w:eastAsia="en-US"/>
        </w:rPr>
      </w:pP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Ступак И. С.,</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студентка 6-го курса заочного факультета</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Бондаренко Н. Н.,</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профессор кафедры паразитологии</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ветсанэкспертизы и зоогигиены</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Агабекян Д. А.,</w:t>
      </w:r>
    </w:p>
    <w:p w:rsidR="008742E9" w:rsidRPr="008742E9" w:rsidRDefault="000C7D3B" w:rsidP="008742E9">
      <w:pPr>
        <w:spacing w:after="200"/>
        <w:contextualSpacing/>
        <w:jc w:val="right"/>
        <w:rPr>
          <w:rFonts w:eastAsia="Calibri"/>
          <w:sz w:val="22"/>
          <w:szCs w:val="22"/>
          <w:lang w:eastAsia="en-US"/>
        </w:rPr>
      </w:pPr>
      <w:r>
        <w:rPr>
          <w:rFonts w:eastAsia="Calibri"/>
          <w:sz w:val="22"/>
          <w:szCs w:val="22"/>
          <w:lang w:eastAsia="en-US"/>
        </w:rPr>
        <w:t xml:space="preserve">ассистент </w:t>
      </w:r>
      <w:r w:rsidR="008742E9" w:rsidRPr="008742E9">
        <w:rPr>
          <w:rFonts w:eastAsia="Calibri"/>
          <w:sz w:val="22"/>
          <w:szCs w:val="22"/>
          <w:lang w:eastAsia="en-US"/>
        </w:rPr>
        <w:t>кафедры паразитологии</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ветсанэкспертизы и зоогигиены</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spacing w:after="200"/>
        <w:contextualSpacing/>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spacing w:after="200"/>
        <w:contextualSpacing/>
        <w:jc w:val="right"/>
        <w:rPr>
          <w:rFonts w:eastAsia="Calibri"/>
          <w:sz w:val="22"/>
          <w:szCs w:val="22"/>
          <w:lang w:eastAsia="en-US"/>
        </w:rPr>
      </w:pPr>
    </w:p>
    <w:p w:rsidR="008742E9" w:rsidRPr="008742E9" w:rsidRDefault="008742E9" w:rsidP="00C342C9">
      <w:pPr>
        <w:spacing w:after="200"/>
        <w:ind w:firstLine="426"/>
        <w:contextualSpacing/>
        <w:jc w:val="both"/>
        <w:rPr>
          <w:rFonts w:eastAsia="Calibri"/>
          <w:sz w:val="22"/>
          <w:szCs w:val="22"/>
          <w:lang w:eastAsia="en-US"/>
        </w:rPr>
      </w:pPr>
      <w:r w:rsidRPr="008742E9">
        <w:rPr>
          <w:rFonts w:eastAsia="Calibri"/>
          <w:sz w:val="22"/>
          <w:szCs w:val="22"/>
          <w:lang w:eastAsia="en-US"/>
        </w:rPr>
        <w:t>АННОТАЦИЯ: Проведена сравнительная оценка эффективн</w:t>
      </w:r>
      <w:r w:rsidRPr="008742E9">
        <w:rPr>
          <w:rFonts w:eastAsia="Calibri"/>
          <w:sz w:val="22"/>
          <w:szCs w:val="22"/>
          <w:lang w:eastAsia="en-US"/>
        </w:rPr>
        <w:t>о</w:t>
      </w:r>
      <w:r w:rsidRPr="008742E9">
        <w:rPr>
          <w:rFonts w:eastAsia="Calibri"/>
          <w:sz w:val="22"/>
          <w:szCs w:val="22"/>
          <w:lang w:eastAsia="en-US"/>
        </w:rPr>
        <w:t>сти применения препарата редиар для лечения диспепсии телят. Установлено положительное влияние применения препарата редиар на процесс выздоровления телят.</w:t>
      </w:r>
    </w:p>
    <w:p w:rsidR="008742E9" w:rsidRPr="008742E9" w:rsidRDefault="008742E9" w:rsidP="00C342C9">
      <w:pPr>
        <w:spacing w:after="200"/>
        <w:ind w:firstLine="426"/>
        <w:contextualSpacing/>
        <w:jc w:val="both"/>
        <w:rPr>
          <w:rFonts w:eastAsia="Calibri"/>
          <w:sz w:val="22"/>
          <w:szCs w:val="22"/>
          <w:lang w:val="en-US" w:eastAsia="en-US"/>
        </w:rPr>
      </w:pPr>
      <w:r w:rsidRPr="008742E9">
        <w:rPr>
          <w:rFonts w:eastAsia="Calibri"/>
          <w:sz w:val="22"/>
          <w:szCs w:val="22"/>
          <w:lang w:val="en-US" w:eastAsia="en-US"/>
        </w:rPr>
        <w:t>ABSTRACT: A comparative evaluation of the efficacy of using the drug for the treatment of dyspepsia in calves has been performed. The positive effect of the use of the drug on the process of recovery of calves has been established.</w:t>
      </w:r>
    </w:p>
    <w:p w:rsidR="008742E9" w:rsidRPr="008742E9" w:rsidRDefault="008742E9" w:rsidP="00C342C9">
      <w:pPr>
        <w:spacing w:after="200"/>
        <w:ind w:firstLine="426"/>
        <w:contextualSpacing/>
        <w:jc w:val="both"/>
        <w:rPr>
          <w:rFonts w:eastAsia="Calibri"/>
          <w:sz w:val="22"/>
          <w:szCs w:val="22"/>
          <w:lang w:eastAsia="en-US"/>
        </w:rPr>
      </w:pPr>
      <w:r w:rsidRPr="008742E9">
        <w:rPr>
          <w:rFonts w:eastAsia="Calibri"/>
          <w:sz w:val="22"/>
          <w:szCs w:val="22"/>
          <w:lang w:eastAsia="en-US"/>
        </w:rPr>
        <w:t>КЛЮЧЕВЫЕ СЛОВА: диспепсия, эритроциты, гемоглобин, лейкоциты, выздоровление.</w:t>
      </w:r>
    </w:p>
    <w:p w:rsidR="008742E9" w:rsidRPr="008742E9" w:rsidRDefault="008742E9" w:rsidP="00C342C9">
      <w:pPr>
        <w:spacing w:after="200"/>
        <w:ind w:firstLine="426"/>
        <w:contextualSpacing/>
        <w:jc w:val="both"/>
        <w:rPr>
          <w:rFonts w:eastAsia="Calibri"/>
          <w:sz w:val="22"/>
          <w:szCs w:val="22"/>
          <w:lang w:val="en-US" w:eastAsia="en-US"/>
        </w:rPr>
      </w:pPr>
      <w:r w:rsidRPr="008742E9">
        <w:rPr>
          <w:rFonts w:eastAsia="Calibri"/>
          <w:sz w:val="22"/>
          <w:szCs w:val="22"/>
          <w:lang w:val="en-US" w:eastAsia="en-US"/>
        </w:rPr>
        <w:t>KEY WORDS: dyspepsia, erythrocytes, hemoglobin, leukocytes, recovery.</w:t>
      </w:r>
    </w:p>
    <w:p w:rsidR="008742E9" w:rsidRPr="008742E9" w:rsidRDefault="008742E9" w:rsidP="00C342C9">
      <w:pPr>
        <w:spacing w:after="200"/>
        <w:ind w:firstLine="426"/>
        <w:contextualSpacing/>
        <w:jc w:val="both"/>
        <w:rPr>
          <w:rFonts w:eastAsia="Calibri"/>
          <w:sz w:val="22"/>
          <w:szCs w:val="22"/>
          <w:lang w:val="en-US" w:eastAsia="en-US"/>
        </w:rPr>
      </w:pPr>
    </w:p>
    <w:p w:rsidR="008742E9" w:rsidRPr="00EB174D" w:rsidRDefault="008742E9" w:rsidP="00EB174D">
      <w:pPr>
        <w:spacing w:after="200"/>
        <w:ind w:firstLine="426"/>
        <w:contextualSpacing/>
        <w:jc w:val="both"/>
        <w:rPr>
          <w:rFonts w:eastAsia="Calibri"/>
          <w:bCs/>
          <w:sz w:val="22"/>
          <w:szCs w:val="22"/>
          <w:lang w:eastAsia="en-US"/>
        </w:rPr>
      </w:pPr>
      <w:r w:rsidRPr="008742E9">
        <w:rPr>
          <w:rFonts w:eastAsia="Calibri"/>
          <w:bCs/>
          <w:sz w:val="22"/>
          <w:szCs w:val="22"/>
          <w:lang w:eastAsia="en-US"/>
        </w:rPr>
        <w:t>Заболевания пищеварительного тракта молодняка занимают приоритетные первые позиции, на их долю приходится до 55 – 70 %, а в некоторых случаях и - до 100 % от числа всех случаев з</w:t>
      </w:r>
      <w:r w:rsidRPr="008742E9">
        <w:rPr>
          <w:rFonts w:eastAsia="Calibri"/>
          <w:bCs/>
          <w:sz w:val="22"/>
          <w:szCs w:val="22"/>
          <w:lang w:eastAsia="en-US"/>
        </w:rPr>
        <w:t>а</w:t>
      </w:r>
      <w:r w:rsidRPr="008742E9">
        <w:rPr>
          <w:rFonts w:eastAsia="Calibri"/>
          <w:bCs/>
          <w:sz w:val="22"/>
          <w:szCs w:val="22"/>
          <w:lang w:eastAsia="en-US"/>
        </w:rPr>
        <w:t>болеваний.</w:t>
      </w:r>
      <w:r w:rsidR="00EB174D">
        <w:rPr>
          <w:rFonts w:eastAsia="Calibri"/>
          <w:bCs/>
          <w:sz w:val="22"/>
          <w:szCs w:val="22"/>
          <w:lang w:eastAsia="en-US"/>
        </w:rPr>
        <w:t xml:space="preserve"> </w:t>
      </w:r>
      <w:r w:rsidRPr="008742E9">
        <w:rPr>
          <w:rFonts w:eastAsia="Calibri"/>
          <w:sz w:val="22"/>
          <w:szCs w:val="22"/>
          <w:lang w:eastAsia="en-US"/>
        </w:rPr>
        <w:t>Из болезней желудочно-кишечного тракта, молодняк чаще переболевает диспепсиями различной этиологии.</w:t>
      </w:r>
      <w:r w:rsidR="00EB174D">
        <w:rPr>
          <w:rFonts w:eastAsia="Calibri"/>
          <w:bCs/>
          <w:sz w:val="22"/>
          <w:szCs w:val="22"/>
          <w:lang w:eastAsia="en-US"/>
        </w:rPr>
        <w:t xml:space="preserve"> </w:t>
      </w:r>
      <w:r w:rsidRPr="008742E9">
        <w:rPr>
          <w:rFonts w:eastAsia="Calibri"/>
          <w:sz w:val="22"/>
          <w:szCs w:val="22"/>
          <w:lang w:eastAsia="en-US"/>
        </w:rPr>
        <w:t xml:space="preserve">На наш взгляд это связанно: с несовершенством и неприспособленность к </w:t>
      </w:r>
      <w:r w:rsidRPr="008742E9">
        <w:rPr>
          <w:rFonts w:eastAsia="Calibri"/>
          <w:sz w:val="22"/>
          <w:szCs w:val="22"/>
          <w:lang w:eastAsia="en-US"/>
        </w:rPr>
        <w:lastRenderedPageBreak/>
        <w:t>воздействию окружающей среды пищеварительного тракта моло</w:t>
      </w:r>
      <w:r w:rsidRPr="008742E9">
        <w:rPr>
          <w:rFonts w:eastAsia="Calibri"/>
          <w:sz w:val="22"/>
          <w:szCs w:val="22"/>
          <w:lang w:eastAsia="en-US"/>
        </w:rPr>
        <w:t>д</w:t>
      </w:r>
      <w:r w:rsidRPr="008742E9">
        <w:rPr>
          <w:rFonts w:eastAsia="Calibri"/>
          <w:sz w:val="22"/>
          <w:szCs w:val="22"/>
          <w:lang w:eastAsia="en-US"/>
        </w:rPr>
        <w:t>няка крупного рогатого скота; низкой резистентностью организма телят; стрессами (рождение, помещение в индивидуальную клетку, температурный режим).</w:t>
      </w:r>
    </w:p>
    <w:p w:rsidR="008742E9" w:rsidRPr="008742E9" w:rsidRDefault="008742E9" w:rsidP="00C342C9">
      <w:pPr>
        <w:spacing w:after="200"/>
        <w:ind w:firstLine="426"/>
        <w:contextualSpacing/>
        <w:jc w:val="both"/>
        <w:rPr>
          <w:rFonts w:eastAsia="Calibri"/>
          <w:sz w:val="22"/>
          <w:szCs w:val="22"/>
          <w:lang w:eastAsia="en-US"/>
        </w:rPr>
      </w:pPr>
      <w:r w:rsidRPr="008742E9">
        <w:rPr>
          <w:rFonts w:eastAsia="Calibri"/>
          <w:sz w:val="22"/>
          <w:szCs w:val="22"/>
          <w:lang w:eastAsia="en-US"/>
        </w:rPr>
        <w:t>Целью работы являлось провести оценку эффективности пр</w:t>
      </w:r>
      <w:r w:rsidRPr="008742E9">
        <w:rPr>
          <w:rFonts w:eastAsia="Calibri"/>
          <w:sz w:val="22"/>
          <w:szCs w:val="22"/>
          <w:lang w:eastAsia="en-US"/>
        </w:rPr>
        <w:t>и</w:t>
      </w:r>
      <w:r w:rsidRPr="008742E9">
        <w:rPr>
          <w:rFonts w:eastAsia="Calibri"/>
          <w:sz w:val="22"/>
          <w:szCs w:val="22"/>
          <w:lang w:eastAsia="en-US"/>
        </w:rPr>
        <w:t>менения препарата редиар для лечения диспепсии телят.</w:t>
      </w:r>
    </w:p>
    <w:p w:rsidR="008742E9" w:rsidRPr="008742E9" w:rsidRDefault="008742E9" w:rsidP="00C342C9">
      <w:pPr>
        <w:spacing w:after="200"/>
        <w:ind w:firstLine="426"/>
        <w:contextualSpacing/>
        <w:jc w:val="both"/>
        <w:rPr>
          <w:rFonts w:eastAsia="Calibri"/>
          <w:sz w:val="22"/>
          <w:szCs w:val="22"/>
          <w:lang w:eastAsia="en-US"/>
        </w:rPr>
      </w:pPr>
      <w:r w:rsidRPr="008742E9">
        <w:rPr>
          <w:rFonts w:eastAsia="Calibri"/>
          <w:color w:val="000000"/>
          <w:sz w:val="22"/>
          <w:szCs w:val="22"/>
        </w:rPr>
        <w:t>Объектом клинических и лабораторных исследований являлись телята красно-пестрой породы, общее поголовье 20 голов.</w:t>
      </w:r>
      <w:r w:rsidRPr="008742E9">
        <w:rPr>
          <w:rFonts w:eastAsia="Calibri"/>
          <w:sz w:val="22"/>
          <w:szCs w:val="22"/>
          <w:lang w:eastAsia="en-US"/>
        </w:rPr>
        <w:t xml:space="preserve"> Опытная и контрольная группы формировались по методу пар-аналогов.</w:t>
      </w:r>
    </w:p>
    <w:p w:rsidR="008742E9" w:rsidRPr="008742E9" w:rsidRDefault="008742E9" w:rsidP="00C342C9">
      <w:pPr>
        <w:spacing w:after="200"/>
        <w:ind w:firstLine="426"/>
        <w:contextualSpacing/>
        <w:jc w:val="both"/>
        <w:rPr>
          <w:rFonts w:eastAsia="Calibri"/>
          <w:sz w:val="22"/>
          <w:szCs w:val="22"/>
          <w:lang w:eastAsia="en-US"/>
        </w:rPr>
      </w:pPr>
      <w:r w:rsidRPr="008742E9">
        <w:rPr>
          <w:rFonts w:eastAsia="Calibri"/>
          <w:sz w:val="22"/>
          <w:szCs w:val="22"/>
          <w:lang w:eastAsia="en-US"/>
        </w:rPr>
        <w:t>Телятам контрольной группы катозал вводили однократно внутримышечно в дозе 5 мл на больное животное.</w:t>
      </w:r>
    </w:p>
    <w:p w:rsidR="008742E9" w:rsidRPr="008742E9" w:rsidRDefault="008742E9" w:rsidP="00C342C9">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Кормовую добавку ветом вводили в дозе 50 мг/кг живой массы 2 раза в день в течение 10 дней.</w:t>
      </w:r>
    </w:p>
    <w:p w:rsidR="008742E9" w:rsidRPr="008742E9" w:rsidRDefault="008742E9" w:rsidP="00C342C9">
      <w:pPr>
        <w:autoSpaceDE w:val="0"/>
        <w:autoSpaceDN w:val="0"/>
        <w:adjustRightInd w:val="0"/>
        <w:ind w:firstLine="426"/>
        <w:jc w:val="both"/>
        <w:rPr>
          <w:rFonts w:eastAsia="Calibri"/>
          <w:sz w:val="22"/>
          <w:szCs w:val="22"/>
          <w:lang w:eastAsia="en-US"/>
        </w:rPr>
      </w:pPr>
      <w:r w:rsidRPr="008742E9">
        <w:rPr>
          <w:rFonts w:eastAsia="Calibri"/>
          <w:sz w:val="22"/>
          <w:szCs w:val="22"/>
          <w:lang w:eastAsia="en-US"/>
        </w:rPr>
        <w:t>В опытной группе больным телятам две выпойки молозива з</w:t>
      </w:r>
      <w:r w:rsidRPr="008742E9">
        <w:rPr>
          <w:rFonts w:eastAsia="Calibri"/>
          <w:sz w:val="22"/>
          <w:szCs w:val="22"/>
          <w:lang w:eastAsia="en-US"/>
        </w:rPr>
        <w:t>а</w:t>
      </w:r>
      <w:r w:rsidRPr="008742E9">
        <w:rPr>
          <w:rFonts w:eastAsia="Calibri"/>
          <w:sz w:val="22"/>
          <w:szCs w:val="22"/>
          <w:lang w:eastAsia="en-US"/>
        </w:rPr>
        <w:t>меняли раствором препарата редиар из расчета 100 г порошка на 2 литра теплой воды, в последующие выпойки дробно 200 мл раств</w:t>
      </w:r>
      <w:r w:rsidRPr="008742E9">
        <w:rPr>
          <w:rFonts w:eastAsia="Calibri"/>
          <w:sz w:val="22"/>
          <w:szCs w:val="22"/>
          <w:lang w:eastAsia="en-US"/>
        </w:rPr>
        <w:t>о</w:t>
      </w:r>
      <w:r w:rsidRPr="008742E9">
        <w:rPr>
          <w:rFonts w:eastAsia="Calibri"/>
          <w:sz w:val="22"/>
          <w:szCs w:val="22"/>
          <w:lang w:eastAsia="en-US"/>
        </w:rPr>
        <w:t>ра заменяли молозивом, начиная постепенно доводя объем до 2-литров. В общей сумме препарат использовался 6 кормлений в сл</w:t>
      </w:r>
      <w:r w:rsidRPr="008742E9">
        <w:rPr>
          <w:rFonts w:eastAsia="Calibri"/>
          <w:sz w:val="22"/>
          <w:szCs w:val="22"/>
          <w:lang w:eastAsia="en-US"/>
        </w:rPr>
        <w:t>е</w:t>
      </w:r>
      <w:r w:rsidRPr="008742E9">
        <w:rPr>
          <w:rFonts w:eastAsia="Calibri"/>
          <w:sz w:val="22"/>
          <w:szCs w:val="22"/>
          <w:lang w:eastAsia="en-US"/>
        </w:rPr>
        <w:t>дующих количествах: со 100 г, 100 г, 80 г, 60 г, 40 г, 20 г.</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использовании вышеописанной схемы лечения клинич</w:t>
      </w:r>
      <w:r w:rsidRPr="008742E9">
        <w:rPr>
          <w:rFonts w:eastAsia="Calibri"/>
          <w:sz w:val="22"/>
          <w:szCs w:val="22"/>
          <w:lang w:eastAsia="en-US"/>
        </w:rPr>
        <w:t>е</w:t>
      </w:r>
      <w:r w:rsidRPr="008742E9">
        <w:rPr>
          <w:rFonts w:eastAsia="Calibri"/>
          <w:sz w:val="22"/>
          <w:szCs w:val="22"/>
          <w:lang w:eastAsia="en-US"/>
        </w:rPr>
        <w:t>ские признаки простой диспепсии в опытной группе с применением препарата редиар исчезали уже на 2-й день лечения, в контрольной же группе активность животного, улучшение аппетита и общего состояния животного, уплотнение каловых масс регистрировалось на 3-й день лечения.</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По результатам общего анализа крови выявлено, что до начала лечения показатели эритроцитов и гемоглобина находились на нижних пределах физиологических норм. В конце приема препар</w:t>
      </w:r>
      <w:r w:rsidRPr="008742E9">
        <w:rPr>
          <w:rFonts w:eastAsia="Calibri"/>
          <w:sz w:val="22"/>
          <w:szCs w:val="22"/>
          <w:lang w:eastAsia="en-US"/>
        </w:rPr>
        <w:t>а</w:t>
      </w:r>
      <w:r w:rsidRPr="008742E9">
        <w:rPr>
          <w:rFonts w:eastAsia="Calibri"/>
          <w:sz w:val="22"/>
          <w:szCs w:val="22"/>
          <w:lang w:eastAsia="en-US"/>
        </w:rPr>
        <w:t>тов отмечена положительная динамика в показателях красной кр</w:t>
      </w:r>
      <w:r w:rsidRPr="008742E9">
        <w:rPr>
          <w:rFonts w:eastAsia="Calibri"/>
          <w:sz w:val="22"/>
          <w:szCs w:val="22"/>
          <w:lang w:eastAsia="en-US"/>
        </w:rPr>
        <w:t>о</w:t>
      </w:r>
      <w:r w:rsidRPr="008742E9">
        <w:rPr>
          <w:rFonts w:eastAsia="Calibri"/>
          <w:sz w:val="22"/>
          <w:szCs w:val="22"/>
          <w:lang w:eastAsia="en-US"/>
        </w:rPr>
        <w:t xml:space="preserve">ви. </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Был зарегистрирован лейкоцитоз. После комплексной терапии, как в опытной, так и в контрольной группе количество лейкоцитов в циркулирующей крови понизилось, но в контрольной группе нах</w:t>
      </w:r>
      <w:r w:rsidRPr="008742E9">
        <w:rPr>
          <w:rFonts w:eastAsia="Calibri"/>
          <w:sz w:val="22"/>
          <w:szCs w:val="22"/>
          <w:lang w:eastAsia="en-US"/>
        </w:rPr>
        <w:t>о</w:t>
      </w:r>
      <w:r w:rsidRPr="008742E9">
        <w:rPr>
          <w:rFonts w:eastAsia="Calibri"/>
          <w:sz w:val="22"/>
          <w:szCs w:val="22"/>
          <w:lang w:eastAsia="en-US"/>
        </w:rPr>
        <w:t>дилось на верхних пределах нормы</w:t>
      </w:r>
      <w:r w:rsidRPr="008742E9">
        <w:rPr>
          <w:rFonts w:eastAsia="Calibri"/>
          <w:color w:val="000000"/>
          <w:sz w:val="22"/>
          <w:szCs w:val="22"/>
        </w:rPr>
        <w:t xml:space="preserve"> и выше показателей в опытной группе на 9,6 %</w:t>
      </w:r>
      <w:r w:rsidRPr="008742E9">
        <w:rPr>
          <w:rFonts w:eastAsia="Calibri"/>
          <w:sz w:val="22"/>
          <w:szCs w:val="22"/>
          <w:lang w:eastAsia="en-US"/>
        </w:rPr>
        <w:t>. Что указывает на более стабильное состояние внутренней среды организма телят в опытной группе.</w:t>
      </w:r>
    </w:p>
    <w:p w:rsidR="008742E9" w:rsidRPr="008742E9" w:rsidRDefault="008742E9" w:rsidP="00C342C9">
      <w:pPr>
        <w:ind w:firstLine="426"/>
        <w:jc w:val="both"/>
        <w:rPr>
          <w:rFonts w:eastAsia="Calibri"/>
          <w:color w:val="000000"/>
          <w:sz w:val="22"/>
          <w:szCs w:val="22"/>
        </w:rPr>
      </w:pPr>
      <w:r w:rsidRPr="008742E9">
        <w:rPr>
          <w:rFonts w:eastAsia="Calibri"/>
          <w:color w:val="000000"/>
          <w:sz w:val="22"/>
          <w:szCs w:val="22"/>
        </w:rPr>
        <w:t>Ценным источником информации о состоянии организма явл</w:t>
      </w:r>
      <w:r w:rsidRPr="008742E9">
        <w:rPr>
          <w:rFonts w:eastAsia="Calibri"/>
          <w:color w:val="000000"/>
          <w:sz w:val="22"/>
          <w:szCs w:val="22"/>
        </w:rPr>
        <w:t>я</w:t>
      </w:r>
      <w:r w:rsidRPr="008742E9">
        <w:rPr>
          <w:rFonts w:eastAsia="Calibri"/>
          <w:color w:val="000000"/>
          <w:sz w:val="22"/>
          <w:szCs w:val="22"/>
        </w:rPr>
        <w:t>ется лейкограмма.</w:t>
      </w:r>
    </w:p>
    <w:p w:rsidR="008742E9" w:rsidRPr="008742E9" w:rsidRDefault="008742E9" w:rsidP="000C7D3B">
      <w:pPr>
        <w:autoSpaceDE w:val="0"/>
        <w:autoSpaceDN w:val="0"/>
        <w:adjustRightInd w:val="0"/>
        <w:ind w:firstLine="426"/>
        <w:jc w:val="both"/>
        <w:rPr>
          <w:rFonts w:eastAsia="Calibri"/>
          <w:color w:val="000000"/>
          <w:sz w:val="22"/>
          <w:szCs w:val="22"/>
        </w:rPr>
      </w:pPr>
      <w:r w:rsidRPr="008742E9">
        <w:rPr>
          <w:rFonts w:eastAsia="Calibri"/>
          <w:color w:val="000000"/>
          <w:sz w:val="22"/>
          <w:szCs w:val="22"/>
        </w:rPr>
        <w:lastRenderedPageBreak/>
        <w:t>Применение схем лечения, как в опытной, так и в контрольной группе не отразилось на количестве базофилов, эозинофилови, м</w:t>
      </w:r>
      <w:r w:rsidRPr="008742E9">
        <w:rPr>
          <w:rFonts w:eastAsia="Calibri"/>
          <w:color w:val="000000"/>
          <w:sz w:val="22"/>
          <w:szCs w:val="22"/>
        </w:rPr>
        <w:t>о</w:t>
      </w:r>
      <w:r w:rsidRPr="008742E9">
        <w:rPr>
          <w:rFonts w:eastAsia="Calibri"/>
          <w:color w:val="000000"/>
          <w:sz w:val="22"/>
          <w:szCs w:val="22"/>
        </w:rPr>
        <w:t>ноцитов в мазках крови, количество этих клеток не выходило за ф</w:t>
      </w:r>
      <w:r w:rsidRPr="008742E9">
        <w:rPr>
          <w:rFonts w:eastAsia="Calibri"/>
          <w:color w:val="000000"/>
          <w:sz w:val="22"/>
          <w:szCs w:val="22"/>
        </w:rPr>
        <w:t>и</w:t>
      </w:r>
      <w:r w:rsidRPr="008742E9">
        <w:rPr>
          <w:rFonts w:eastAsia="Calibri"/>
          <w:color w:val="000000"/>
          <w:sz w:val="22"/>
          <w:szCs w:val="22"/>
        </w:rPr>
        <w:t>зиологических пределы для организма молодых животных.</w:t>
      </w:r>
      <w:r w:rsidR="000C7D3B">
        <w:rPr>
          <w:rFonts w:eastAsia="Calibri"/>
          <w:color w:val="000000"/>
          <w:sz w:val="22"/>
          <w:szCs w:val="22"/>
        </w:rPr>
        <w:t xml:space="preserve"> </w:t>
      </w:r>
      <w:r w:rsidRPr="008742E9">
        <w:rPr>
          <w:rFonts w:eastAsia="Calibri"/>
          <w:color w:val="000000"/>
          <w:sz w:val="22"/>
          <w:szCs w:val="22"/>
        </w:rPr>
        <w:t>В опы</w:t>
      </w:r>
      <w:r w:rsidRPr="008742E9">
        <w:rPr>
          <w:rFonts w:eastAsia="Calibri"/>
          <w:color w:val="000000"/>
          <w:sz w:val="22"/>
          <w:szCs w:val="22"/>
        </w:rPr>
        <w:t>т</w:t>
      </w:r>
      <w:r w:rsidRPr="008742E9">
        <w:rPr>
          <w:rFonts w:eastAsia="Calibri"/>
          <w:color w:val="000000"/>
          <w:sz w:val="22"/>
          <w:szCs w:val="22"/>
        </w:rPr>
        <w:t>ной группе с использованием в лечении препарата редиар исчезн</w:t>
      </w:r>
      <w:r w:rsidRPr="008742E9">
        <w:rPr>
          <w:rFonts w:eastAsia="Calibri"/>
          <w:color w:val="000000"/>
          <w:sz w:val="22"/>
          <w:szCs w:val="22"/>
        </w:rPr>
        <w:t>о</w:t>
      </w:r>
      <w:r w:rsidRPr="008742E9">
        <w:rPr>
          <w:rFonts w:eastAsia="Calibri"/>
          <w:color w:val="000000"/>
          <w:sz w:val="22"/>
          <w:szCs w:val="22"/>
        </w:rPr>
        <w:t>вение клинических признаков заболевания наблюдается ко второму дню лечения, тогда как в контрольной группе к третьему.</w:t>
      </w:r>
    </w:p>
    <w:p w:rsidR="008742E9" w:rsidRPr="000C7D3B" w:rsidRDefault="008742E9" w:rsidP="000C7D3B">
      <w:pPr>
        <w:autoSpaceDE w:val="0"/>
        <w:autoSpaceDN w:val="0"/>
        <w:adjustRightInd w:val="0"/>
        <w:ind w:firstLine="426"/>
        <w:jc w:val="both"/>
        <w:rPr>
          <w:rFonts w:eastAsia="Calibri"/>
          <w:color w:val="000000"/>
          <w:sz w:val="22"/>
          <w:szCs w:val="22"/>
        </w:rPr>
      </w:pPr>
      <w:r w:rsidRPr="008742E9">
        <w:rPr>
          <w:rFonts w:eastAsia="Calibri"/>
          <w:color w:val="000000"/>
          <w:sz w:val="22"/>
          <w:szCs w:val="22"/>
        </w:rPr>
        <w:t>Полученные результаты позволяют рекомендовать для борьбы с интоксикацией и дегидратацией организма при лечении простой диспепсии телят препарата редиар.</w:t>
      </w:r>
    </w:p>
    <w:p w:rsidR="008742E9" w:rsidRPr="008742E9" w:rsidRDefault="008742E9" w:rsidP="0097059C">
      <w:pPr>
        <w:autoSpaceDE w:val="0"/>
        <w:autoSpaceDN w:val="0"/>
        <w:adjustRightInd w:val="0"/>
        <w:ind w:firstLine="425"/>
        <w:jc w:val="center"/>
        <w:rPr>
          <w:rFonts w:eastAsia="Calibri"/>
          <w:bCs/>
          <w:sz w:val="22"/>
          <w:szCs w:val="22"/>
          <w:lang w:eastAsia="en-US"/>
        </w:rPr>
      </w:pPr>
      <w:r w:rsidRPr="008742E9">
        <w:rPr>
          <w:rFonts w:eastAsia="Calibri"/>
          <w:bCs/>
          <w:sz w:val="22"/>
          <w:szCs w:val="22"/>
          <w:lang w:eastAsia="en-US"/>
        </w:rPr>
        <w:t>Список литературы</w:t>
      </w:r>
    </w:p>
    <w:p w:rsidR="008742E9" w:rsidRPr="008742E9" w:rsidRDefault="008742E9" w:rsidP="0097059C">
      <w:pPr>
        <w:ind w:firstLine="425"/>
        <w:contextualSpacing/>
        <w:jc w:val="both"/>
        <w:rPr>
          <w:rFonts w:eastAsia="Calibri"/>
          <w:bCs/>
          <w:sz w:val="22"/>
          <w:szCs w:val="22"/>
          <w:lang w:eastAsia="en-US"/>
        </w:rPr>
      </w:pPr>
      <w:r w:rsidRPr="008742E9">
        <w:rPr>
          <w:rFonts w:eastAsia="Calibri"/>
          <w:bCs/>
          <w:sz w:val="22"/>
          <w:szCs w:val="22"/>
          <w:lang w:eastAsia="en-US"/>
        </w:rPr>
        <w:t>1. Маев И.В. Функциональная диспепсия Эпидемиология, кла</w:t>
      </w:r>
      <w:r w:rsidRPr="008742E9">
        <w:rPr>
          <w:rFonts w:eastAsia="Calibri"/>
          <w:bCs/>
          <w:sz w:val="22"/>
          <w:szCs w:val="22"/>
          <w:lang w:eastAsia="en-US"/>
        </w:rPr>
        <w:t>с</w:t>
      </w:r>
      <w:r w:rsidRPr="008742E9">
        <w:rPr>
          <w:rFonts w:eastAsia="Calibri"/>
          <w:bCs/>
          <w:sz w:val="22"/>
          <w:szCs w:val="22"/>
          <w:lang w:eastAsia="en-US"/>
        </w:rPr>
        <w:t>сификация, этиопатогенез, диагностика и лечение: научное досье / Ю.А. Кучерявый, Д.Н. Андреев, Москва 2015.</w:t>
      </w:r>
    </w:p>
    <w:p w:rsidR="008742E9" w:rsidRPr="008742E9" w:rsidRDefault="008742E9" w:rsidP="00C342C9">
      <w:pPr>
        <w:ind w:firstLine="426"/>
        <w:jc w:val="both"/>
        <w:rPr>
          <w:rFonts w:eastAsia="Calibri"/>
          <w:sz w:val="22"/>
          <w:szCs w:val="22"/>
          <w:lang w:eastAsia="en-US"/>
        </w:rPr>
      </w:pPr>
      <w:r w:rsidRPr="008742E9">
        <w:rPr>
          <w:rFonts w:eastAsia="Calibri"/>
          <w:bCs/>
          <w:sz w:val="22"/>
          <w:szCs w:val="22"/>
          <w:lang w:eastAsia="en-US"/>
        </w:rPr>
        <w:t xml:space="preserve">2. </w:t>
      </w:r>
      <w:r w:rsidRPr="008742E9">
        <w:rPr>
          <w:sz w:val="22"/>
          <w:szCs w:val="22"/>
        </w:rPr>
        <w:t>Сидоренко А.И. Методика 4-х часового практического</w:t>
      </w:r>
      <w:r w:rsidRPr="008742E9">
        <w:rPr>
          <w:rFonts w:eastAsia="Calibri"/>
          <w:sz w:val="22"/>
          <w:szCs w:val="22"/>
          <w:lang w:eastAsia="en-US"/>
        </w:rPr>
        <w:t xml:space="preserve"> зан</w:t>
      </w:r>
      <w:r w:rsidRPr="008742E9">
        <w:rPr>
          <w:rFonts w:eastAsia="Calibri"/>
          <w:sz w:val="22"/>
          <w:szCs w:val="22"/>
          <w:lang w:eastAsia="en-US"/>
        </w:rPr>
        <w:t>я</w:t>
      </w:r>
      <w:r w:rsidRPr="008742E9">
        <w:rPr>
          <w:rFonts w:eastAsia="Calibri"/>
          <w:sz w:val="22"/>
          <w:szCs w:val="22"/>
          <w:lang w:eastAsia="en-US"/>
        </w:rPr>
        <w:t>тия на тему: «Клинико-лабораторные исследования животных с б</w:t>
      </w:r>
      <w:r w:rsidRPr="008742E9">
        <w:rPr>
          <w:rFonts w:eastAsia="Calibri"/>
          <w:sz w:val="22"/>
          <w:szCs w:val="22"/>
          <w:lang w:eastAsia="en-US"/>
        </w:rPr>
        <w:t>о</w:t>
      </w:r>
      <w:r w:rsidRPr="008742E9">
        <w:rPr>
          <w:rFonts w:eastAsia="Calibri"/>
          <w:sz w:val="22"/>
          <w:szCs w:val="22"/>
          <w:lang w:eastAsia="en-US"/>
        </w:rPr>
        <w:t>лезнями системы крови» / С.В. Тихонов, И.А. Романенко, Г.А. Бу</w:t>
      </w:r>
      <w:r w:rsidRPr="008742E9">
        <w:rPr>
          <w:rFonts w:eastAsia="Calibri"/>
          <w:sz w:val="22"/>
          <w:szCs w:val="22"/>
          <w:lang w:eastAsia="en-US"/>
        </w:rPr>
        <w:t>р</w:t>
      </w:r>
      <w:r w:rsidRPr="008742E9">
        <w:rPr>
          <w:rFonts w:eastAsia="Calibri"/>
          <w:sz w:val="22"/>
          <w:szCs w:val="22"/>
          <w:lang w:eastAsia="en-US"/>
        </w:rPr>
        <w:t>менская. - Краснодар, 2009. – 27 с.</w:t>
      </w:r>
    </w:p>
    <w:p w:rsidR="008742E9" w:rsidRPr="008742E9" w:rsidRDefault="008742E9" w:rsidP="008742E9">
      <w:pPr>
        <w:jc w:val="both"/>
        <w:rPr>
          <w:rFonts w:eastAsia="Calibri"/>
          <w:sz w:val="22"/>
          <w:szCs w:val="22"/>
          <w:lang w:eastAsia="en-US"/>
        </w:rPr>
      </w:pPr>
    </w:p>
    <w:p w:rsidR="008742E9" w:rsidRPr="008742E9" w:rsidRDefault="008742E9" w:rsidP="008742E9">
      <w:pPr>
        <w:jc w:val="both"/>
        <w:rPr>
          <w:rFonts w:eastAsia="Calibri"/>
          <w:sz w:val="22"/>
          <w:szCs w:val="22"/>
          <w:lang w:eastAsia="en-US"/>
        </w:rPr>
      </w:pPr>
    </w:p>
    <w:p w:rsidR="008742E9" w:rsidRPr="008742E9" w:rsidRDefault="008742E9" w:rsidP="008742E9">
      <w:pPr>
        <w:spacing w:after="160"/>
        <w:rPr>
          <w:rFonts w:eastAsia="Calibri"/>
          <w:sz w:val="22"/>
          <w:szCs w:val="22"/>
          <w:lang w:eastAsia="en-US"/>
        </w:rPr>
      </w:pPr>
      <w:r w:rsidRPr="008742E9">
        <w:rPr>
          <w:rFonts w:eastAsia="Calibri"/>
          <w:sz w:val="22"/>
          <w:szCs w:val="22"/>
          <w:lang w:eastAsia="en-US"/>
        </w:rPr>
        <w:t>УДК 619:616.995.132-08]:636.597</w:t>
      </w:r>
    </w:p>
    <w:p w:rsidR="008742E9" w:rsidRPr="008742E9" w:rsidRDefault="008742E9" w:rsidP="00C342C9">
      <w:pPr>
        <w:jc w:val="center"/>
        <w:rPr>
          <w:rFonts w:eastAsia="Calibri"/>
          <w:b/>
          <w:sz w:val="24"/>
          <w:szCs w:val="22"/>
          <w:lang w:eastAsia="en-US"/>
        </w:rPr>
      </w:pPr>
      <w:r w:rsidRPr="008742E9">
        <w:rPr>
          <w:rFonts w:eastAsia="Calibri"/>
          <w:b/>
          <w:sz w:val="24"/>
          <w:szCs w:val="22"/>
          <w:lang w:eastAsia="en-US"/>
        </w:rPr>
        <w:t>Комплекс лечебно-профилактических мероприятий при тетрамерозе уток</w:t>
      </w:r>
    </w:p>
    <w:p w:rsidR="00EB174D" w:rsidRPr="000C7D3B" w:rsidRDefault="008742E9" w:rsidP="000C7D3B">
      <w:pPr>
        <w:jc w:val="center"/>
        <w:rPr>
          <w:rFonts w:eastAsia="Calibri"/>
          <w:b/>
          <w:sz w:val="24"/>
          <w:szCs w:val="22"/>
          <w:lang w:val="en-US" w:eastAsia="en-US"/>
        </w:rPr>
      </w:pPr>
      <w:r w:rsidRPr="008742E9">
        <w:rPr>
          <w:rFonts w:eastAsia="Calibri"/>
          <w:b/>
          <w:sz w:val="24"/>
          <w:szCs w:val="22"/>
          <w:lang w:val="en-US" w:eastAsia="en-US"/>
        </w:rPr>
        <w:t xml:space="preserve">Complex of therapeutic and prophylactic measures for </w:t>
      </w:r>
      <w:r w:rsidRPr="008742E9">
        <w:rPr>
          <w:rFonts w:eastAsia="Calibri"/>
          <w:b/>
          <w:sz w:val="24"/>
          <w:szCs w:val="22"/>
          <w:lang w:val="en-US" w:eastAsia="en-US"/>
        </w:rPr>
        <w:br/>
        <w:t>tetramerose ducks</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Сусь А.</w:t>
      </w:r>
      <w:r w:rsidR="00C342C9">
        <w:rPr>
          <w:rFonts w:eastAsia="Calibri"/>
          <w:sz w:val="22"/>
          <w:szCs w:val="22"/>
          <w:lang w:eastAsia="en-US"/>
        </w:rPr>
        <w:t xml:space="preserve"> </w:t>
      </w:r>
      <w:r w:rsidRPr="008742E9">
        <w:rPr>
          <w:rFonts w:eastAsia="Calibri"/>
          <w:sz w:val="22"/>
          <w:szCs w:val="22"/>
          <w:lang w:eastAsia="en-US"/>
        </w:rPr>
        <w:t>В.,</w:t>
      </w:r>
    </w:p>
    <w:p w:rsidR="008742E9" w:rsidRPr="008742E9" w:rsidRDefault="008742E9" w:rsidP="00EB174D">
      <w:pPr>
        <w:jc w:val="right"/>
        <w:rPr>
          <w:rFonts w:eastAsia="Calibri"/>
          <w:sz w:val="22"/>
          <w:szCs w:val="22"/>
          <w:lang w:eastAsia="en-US"/>
        </w:rPr>
      </w:pPr>
      <w:r w:rsidRPr="008742E9">
        <w:rPr>
          <w:rFonts w:eastAsia="Calibri"/>
          <w:sz w:val="22"/>
          <w:szCs w:val="22"/>
          <w:lang w:eastAsia="en-US"/>
        </w:rPr>
        <w:t>студент 5-го курса факультета ветеринарной медицины</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Мартыненко Я.</w:t>
      </w:r>
      <w:r w:rsidR="00C342C9">
        <w:rPr>
          <w:rFonts w:eastAsia="Calibri"/>
          <w:sz w:val="22"/>
          <w:szCs w:val="22"/>
          <w:lang w:eastAsia="en-US"/>
        </w:rPr>
        <w:t xml:space="preserve"> </w:t>
      </w:r>
      <w:r w:rsidRPr="008742E9">
        <w:rPr>
          <w:rFonts w:eastAsia="Calibri"/>
          <w:sz w:val="22"/>
          <w:szCs w:val="22"/>
          <w:lang w:eastAsia="en-US"/>
        </w:rPr>
        <w:t>Н.,</w:t>
      </w:r>
    </w:p>
    <w:p w:rsidR="008742E9" w:rsidRPr="008742E9" w:rsidRDefault="008742E9" w:rsidP="00EB174D">
      <w:pPr>
        <w:jc w:val="right"/>
        <w:rPr>
          <w:rFonts w:eastAsia="Calibri"/>
          <w:sz w:val="22"/>
          <w:szCs w:val="22"/>
          <w:lang w:eastAsia="en-US"/>
        </w:rPr>
      </w:pPr>
      <w:r w:rsidRPr="008742E9">
        <w:rPr>
          <w:rFonts w:eastAsia="Calibri"/>
          <w:sz w:val="22"/>
          <w:szCs w:val="22"/>
          <w:lang w:eastAsia="en-US"/>
        </w:rPr>
        <w:t>студентка 3-го курса ф</w:t>
      </w:r>
      <w:r w:rsidR="00C342C9">
        <w:rPr>
          <w:rFonts w:eastAsia="Calibri"/>
          <w:sz w:val="22"/>
          <w:szCs w:val="22"/>
          <w:lang w:eastAsia="en-US"/>
        </w:rPr>
        <w:t xml:space="preserve">акультета </w:t>
      </w:r>
      <w:r w:rsidRPr="008742E9">
        <w:rPr>
          <w:rFonts w:eastAsia="Calibri"/>
          <w:sz w:val="22"/>
          <w:szCs w:val="22"/>
          <w:lang w:eastAsia="en-US"/>
        </w:rPr>
        <w:t>ветеринарной медицины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Каратунов В.</w:t>
      </w:r>
      <w:r w:rsidR="00C342C9">
        <w:rPr>
          <w:rFonts w:eastAsia="Calibri"/>
          <w:sz w:val="22"/>
          <w:szCs w:val="22"/>
          <w:lang w:eastAsia="en-US"/>
        </w:rPr>
        <w:t xml:space="preserve"> </w:t>
      </w:r>
      <w:r w:rsidRPr="008742E9">
        <w:rPr>
          <w:rFonts w:eastAsia="Calibri"/>
          <w:sz w:val="22"/>
          <w:szCs w:val="22"/>
          <w:lang w:eastAsia="en-US"/>
        </w:rPr>
        <w:t>А.,</w:t>
      </w:r>
    </w:p>
    <w:p w:rsidR="008742E9" w:rsidRPr="008742E9" w:rsidRDefault="008742E9" w:rsidP="00EB174D">
      <w:pPr>
        <w:jc w:val="right"/>
        <w:rPr>
          <w:rFonts w:eastAsia="Calibri"/>
          <w:sz w:val="22"/>
          <w:szCs w:val="22"/>
          <w:lang w:eastAsia="en-US"/>
        </w:rPr>
      </w:pPr>
      <w:r w:rsidRPr="008742E9">
        <w:rPr>
          <w:rFonts w:eastAsia="Calibri"/>
          <w:sz w:val="22"/>
          <w:szCs w:val="22"/>
          <w:lang w:eastAsia="en-US"/>
        </w:rPr>
        <w:t>доцент кафедры паразитологии, ветсанэкспертизы и зоогигиены</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spacing w:after="100" w:afterAutospacing="1"/>
        <w:jc w:val="right"/>
        <w:rPr>
          <w:rFonts w:eastAsia="Calibri"/>
          <w:sz w:val="22"/>
          <w:szCs w:val="22"/>
          <w:lang w:eastAsia="en-US"/>
        </w:rPr>
      </w:pPr>
      <w:r w:rsidRPr="008742E9">
        <w:rPr>
          <w:rFonts w:eastAsia="Calibri"/>
          <w:sz w:val="22"/>
          <w:szCs w:val="22"/>
          <w:lang w:eastAsia="en-US"/>
        </w:rPr>
        <w:t>университет имени И.</w:t>
      </w:r>
      <w:r w:rsidR="00C342C9">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eastAsia="en-US"/>
        </w:rPr>
        <w:t>АННОТАЦИЯ: Изучены основные методы профилактики те</w:t>
      </w:r>
      <w:r w:rsidRPr="008742E9">
        <w:rPr>
          <w:rFonts w:eastAsia="Calibri"/>
          <w:sz w:val="22"/>
          <w:szCs w:val="22"/>
          <w:lang w:eastAsia="en-US"/>
        </w:rPr>
        <w:t>т</w:t>
      </w:r>
      <w:r w:rsidRPr="008742E9">
        <w:rPr>
          <w:rFonts w:eastAsia="Calibri"/>
          <w:sz w:val="22"/>
          <w:szCs w:val="22"/>
          <w:lang w:eastAsia="en-US"/>
        </w:rPr>
        <w:t>рамероза уток. Выявлены</w:t>
      </w:r>
      <w:r w:rsidRPr="008742E9">
        <w:rPr>
          <w:rFonts w:eastAsia="Calibri"/>
          <w:sz w:val="22"/>
          <w:szCs w:val="22"/>
          <w:lang w:val="en-US" w:eastAsia="en-US"/>
        </w:rPr>
        <w:t xml:space="preserve"> </w:t>
      </w:r>
      <w:r w:rsidRPr="008742E9">
        <w:rPr>
          <w:rFonts w:eastAsia="Calibri"/>
          <w:sz w:val="22"/>
          <w:szCs w:val="22"/>
          <w:lang w:eastAsia="en-US"/>
        </w:rPr>
        <w:t>наиболее</w:t>
      </w:r>
      <w:r w:rsidRPr="008742E9">
        <w:rPr>
          <w:rFonts w:eastAsia="Calibri"/>
          <w:sz w:val="22"/>
          <w:szCs w:val="22"/>
          <w:lang w:val="en-US" w:eastAsia="en-US"/>
        </w:rPr>
        <w:t xml:space="preserve"> </w:t>
      </w:r>
      <w:r w:rsidRPr="008742E9">
        <w:rPr>
          <w:rFonts w:eastAsia="Calibri"/>
          <w:sz w:val="22"/>
          <w:szCs w:val="22"/>
          <w:lang w:eastAsia="en-US"/>
        </w:rPr>
        <w:t>эффективные</w:t>
      </w:r>
      <w:r w:rsidRPr="008742E9">
        <w:rPr>
          <w:rFonts w:eastAsia="Calibri"/>
          <w:sz w:val="22"/>
          <w:szCs w:val="22"/>
          <w:lang w:val="en-US" w:eastAsia="en-US"/>
        </w:rPr>
        <w:t xml:space="preserve"> </w:t>
      </w:r>
      <w:r w:rsidRPr="008742E9">
        <w:rPr>
          <w:rFonts w:eastAsia="Calibri"/>
          <w:sz w:val="22"/>
          <w:szCs w:val="22"/>
          <w:lang w:eastAsia="en-US"/>
        </w:rPr>
        <w:t>препараты</w:t>
      </w:r>
      <w:r w:rsidRPr="008742E9">
        <w:rPr>
          <w:rFonts w:eastAsia="Calibri"/>
          <w:sz w:val="22"/>
          <w:szCs w:val="22"/>
          <w:lang w:val="en-US" w:eastAsia="en-US"/>
        </w:rPr>
        <w:t xml:space="preserve"> </w:t>
      </w:r>
      <w:r w:rsidRPr="008742E9">
        <w:rPr>
          <w:rFonts w:eastAsia="Calibri"/>
          <w:sz w:val="22"/>
          <w:szCs w:val="22"/>
          <w:lang w:eastAsia="en-US"/>
        </w:rPr>
        <w:t>для</w:t>
      </w:r>
      <w:r w:rsidRPr="008742E9">
        <w:rPr>
          <w:rFonts w:eastAsia="Calibri"/>
          <w:sz w:val="22"/>
          <w:szCs w:val="22"/>
          <w:lang w:val="en-US" w:eastAsia="en-US"/>
        </w:rPr>
        <w:t xml:space="preserve"> </w:t>
      </w:r>
      <w:r w:rsidRPr="008742E9">
        <w:rPr>
          <w:rFonts w:eastAsia="Calibri"/>
          <w:sz w:val="22"/>
          <w:szCs w:val="22"/>
          <w:lang w:eastAsia="en-US"/>
        </w:rPr>
        <w:t>ликвидации</w:t>
      </w:r>
      <w:r w:rsidRPr="008742E9">
        <w:rPr>
          <w:rFonts w:eastAsia="Calibri"/>
          <w:sz w:val="22"/>
          <w:szCs w:val="22"/>
          <w:lang w:val="en-US" w:eastAsia="en-US"/>
        </w:rPr>
        <w:t xml:space="preserve"> </w:t>
      </w:r>
      <w:r w:rsidRPr="008742E9">
        <w:rPr>
          <w:rFonts w:eastAsia="Calibri"/>
          <w:sz w:val="22"/>
          <w:szCs w:val="22"/>
          <w:lang w:eastAsia="en-US"/>
        </w:rPr>
        <w:t>заболевания</w:t>
      </w:r>
      <w:r w:rsidRPr="008742E9">
        <w:rPr>
          <w:rFonts w:eastAsia="Calibri"/>
          <w:sz w:val="22"/>
          <w:szCs w:val="22"/>
          <w:lang w:val="en-US" w:eastAsia="en-US"/>
        </w:rPr>
        <w:t>.</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lastRenderedPageBreak/>
        <w:t>ABSTRACT: The main methods of tetramerose prevention of ducks are studied.  The most effective drugs for eliminating the disease have been identified.</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КЛЮЧЕВЫЕ СЛОВА: инвазия, тетрамероз, утки, инвазионные болезни</w:t>
      </w:r>
    </w:p>
    <w:p w:rsidR="008742E9" w:rsidRPr="008742E9" w:rsidRDefault="008742E9" w:rsidP="00C342C9">
      <w:pPr>
        <w:spacing w:after="100" w:afterAutospacing="1"/>
        <w:ind w:firstLine="426"/>
        <w:jc w:val="both"/>
        <w:rPr>
          <w:rFonts w:eastAsia="Calibri"/>
          <w:sz w:val="22"/>
          <w:szCs w:val="22"/>
          <w:lang w:val="en-US" w:eastAsia="en-US"/>
        </w:rPr>
      </w:pPr>
      <w:r w:rsidRPr="008742E9">
        <w:rPr>
          <w:rFonts w:eastAsia="Calibri"/>
          <w:sz w:val="22"/>
          <w:szCs w:val="22"/>
          <w:lang w:val="en-US" w:eastAsia="en-US"/>
        </w:rPr>
        <w:t>KEYWORDS: invasion, tetramerose, ducks, invasive diseases</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Тетрамероз – инвазионное заболевание домашних уток, выз</w:t>
      </w:r>
      <w:r w:rsidRPr="008742E9">
        <w:rPr>
          <w:rFonts w:eastAsia="Calibri"/>
          <w:sz w:val="22"/>
          <w:szCs w:val="22"/>
          <w:lang w:eastAsia="en-US"/>
        </w:rPr>
        <w:t>ы</w:t>
      </w:r>
      <w:r w:rsidRPr="008742E9">
        <w:rPr>
          <w:rFonts w:eastAsia="Calibri"/>
          <w:sz w:val="22"/>
          <w:szCs w:val="22"/>
          <w:lang w:eastAsia="en-US"/>
        </w:rPr>
        <w:t xml:space="preserve">ваемое многочисленными видами круглых гельминтов семейства Tetrameridae подотряда Spirurata [1]. </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Паразиты локализуются в просвете желез и в полости желез</w:t>
      </w:r>
      <w:r w:rsidRPr="008742E9">
        <w:rPr>
          <w:rFonts w:eastAsia="Calibri"/>
          <w:sz w:val="22"/>
          <w:szCs w:val="22"/>
          <w:lang w:eastAsia="en-US"/>
        </w:rPr>
        <w:t>и</w:t>
      </w:r>
      <w:r w:rsidRPr="008742E9">
        <w:rPr>
          <w:rFonts w:eastAsia="Calibri"/>
          <w:sz w:val="22"/>
          <w:szCs w:val="22"/>
          <w:lang w:eastAsia="en-US"/>
        </w:rPr>
        <w:t>стого желудка. Они имеют острые кутикулярные шипы. Живут на поверхности слизистой оболочки. Самки мешкообразные, темно-красного цвета, около 5 мм в диаметре, концы тела имеют нитеви</w:t>
      </w:r>
      <w:r w:rsidRPr="008742E9">
        <w:rPr>
          <w:rFonts w:eastAsia="Calibri"/>
          <w:sz w:val="22"/>
          <w:szCs w:val="22"/>
          <w:lang w:eastAsia="en-US"/>
        </w:rPr>
        <w:t>д</w:t>
      </w:r>
      <w:r w:rsidRPr="008742E9">
        <w:rPr>
          <w:rFonts w:eastAsia="Calibri"/>
          <w:sz w:val="22"/>
          <w:szCs w:val="22"/>
          <w:lang w:eastAsia="en-US"/>
        </w:rPr>
        <w:t>ную форму. Они размещаются глубоко, в железах слизистой об</w:t>
      </w:r>
      <w:r w:rsidRPr="008742E9">
        <w:rPr>
          <w:rFonts w:eastAsia="Calibri"/>
          <w:sz w:val="22"/>
          <w:szCs w:val="22"/>
          <w:lang w:eastAsia="en-US"/>
        </w:rPr>
        <w:t>о</w:t>
      </w:r>
      <w:r w:rsidRPr="008742E9">
        <w:rPr>
          <w:rFonts w:eastAsia="Calibri"/>
          <w:sz w:val="22"/>
          <w:szCs w:val="22"/>
          <w:lang w:eastAsia="en-US"/>
        </w:rPr>
        <w:t>лочки и питаются кровью. Паразиты  откладывают много яиц, кот</w:t>
      </w:r>
      <w:r w:rsidRPr="008742E9">
        <w:rPr>
          <w:rFonts w:eastAsia="Calibri"/>
          <w:sz w:val="22"/>
          <w:szCs w:val="22"/>
          <w:lang w:eastAsia="en-US"/>
        </w:rPr>
        <w:t>о</w:t>
      </w:r>
      <w:r w:rsidRPr="008742E9">
        <w:rPr>
          <w:rFonts w:eastAsia="Calibri"/>
          <w:sz w:val="22"/>
          <w:szCs w:val="22"/>
          <w:lang w:eastAsia="en-US"/>
        </w:rPr>
        <w:t>рые вместе с пометом выделяются во внешнюю среду. Заражение птицы происходит при заглатывании промежуточных или резерв</w:t>
      </w:r>
      <w:r w:rsidRPr="008742E9">
        <w:rPr>
          <w:rFonts w:eastAsia="Calibri"/>
          <w:sz w:val="22"/>
          <w:szCs w:val="22"/>
          <w:lang w:eastAsia="en-US"/>
        </w:rPr>
        <w:t>у</w:t>
      </w:r>
      <w:r w:rsidRPr="008742E9">
        <w:rPr>
          <w:rFonts w:eastAsia="Calibri"/>
          <w:sz w:val="22"/>
          <w:szCs w:val="22"/>
          <w:lang w:eastAsia="en-US"/>
        </w:rPr>
        <w:t>арных (мелкая рыба) хозяев, зараженных личинками возбудителей. В железистом желудке, через 2 – 3 недели с момента заражения, они достигают половозрелой стадии.</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Самки гельминтов влияют на организм птицы механически, инокуляторно и антигенно, вследствие чего нарушается пищевар</w:t>
      </w:r>
      <w:r w:rsidRPr="008742E9">
        <w:rPr>
          <w:rFonts w:eastAsia="Calibri"/>
          <w:sz w:val="22"/>
          <w:szCs w:val="22"/>
          <w:lang w:eastAsia="en-US"/>
        </w:rPr>
        <w:t>и</w:t>
      </w:r>
      <w:r w:rsidRPr="008742E9">
        <w:rPr>
          <w:rFonts w:eastAsia="Calibri"/>
          <w:sz w:val="22"/>
          <w:szCs w:val="22"/>
          <w:lang w:eastAsia="en-US"/>
        </w:rPr>
        <w:t xml:space="preserve">тельная функция желудка, развивается гастрит с дегенерацией и атрофией железистой ткани [1]. </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тетрамерозе уток применяют левамизол в дозе 30 — 40 мг/кг с кормом или с водой однократно или фенбендазол в дозе 30 мг/кг 4 дня подряд. Высокоэффективным оказался препарат из группы макроциклических лактонов 2% раствор Бровермектина. Обработанную антгельминтиками птицу содержат в течение 3 дней в помещении, которое после этого очищают и дезинвазируют, п</w:t>
      </w:r>
      <w:r w:rsidRPr="008742E9">
        <w:rPr>
          <w:rFonts w:eastAsia="Calibri"/>
          <w:sz w:val="22"/>
          <w:szCs w:val="22"/>
          <w:lang w:eastAsia="en-US"/>
        </w:rPr>
        <w:t>о</w:t>
      </w:r>
      <w:r w:rsidRPr="008742E9">
        <w:rPr>
          <w:rFonts w:eastAsia="Calibri"/>
          <w:sz w:val="22"/>
          <w:szCs w:val="22"/>
          <w:lang w:eastAsia="en-US"/>
        </w:rPr>
        <w:t>мет обеззараживают.</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Также необходимо практиковать изолированное от взрослых уток содержание молодняка. Выращивание водоплавающей птицы на глубоких или проточных водоемах, при плотности не более чем 250 голов на 1 га, дает положительные результаты. Для осущест</w:t>
      </w:r>
      <w:r w:rsidRPr="008742E9">
        <w:rPr>
          <w:rFonts w:eastAsia="Calibri"/>
          <w:sz w:val="22"/>
          <w:szCs w:val="22"/>
          <w:lang w:eastAsia="en-US"/>
        </w:rPr>
        <w:t>в</w:t>
      </w:r>
      <w:r w:rsidRPr="008742E9">
        <w:rPr>
          <w:rFonts w:eastAsia="Calibri"/>
          <w:sz w:val="22"/>
          <w:szCs w:val="22"/>
          <w:lang w:eastAsia="en-US"/>
        </w:rPr>
        <w:t>ления биологического обеззараживания неблагополучных водо</w:t>
      </w:r>
      <w:r w:rsidRPr="008742E9">
        <w:rPr>
          <w:rFonts w:eastAsia="Calibri"/>
          <w:sz w:val="22"/>
          <w:szCs w:val="22"/>
          <w:lang w:eastAsia="en-US"/>
        </w:rPr>
        <w:t>е</w:t>
      </w:r>
      <w:r w:rsidRPr="008742E9">
        <w:rPr>
          <w:rFonts w:eastAsia="Calibri"/>
          <w:sz w:val="22"/>
          <w:szCs w:val="22"/>
          <w:lang w:eastAsia="en-US"/>
        </w:rPr>
        <w:t xml:space="preserve">мов, утки на них не допускаются в течение двух лет. </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lastRenderedPageBreak/>
        <w:t>В отдельных хозяйствах отлавливают и используют в корм у</w:t>
      </w:r>
      <w:r w:rsidRPr="008742E9">
        <w:rPr>
          <w:rFonts w:eastAsia="Calibri"/>
          <w:sz w:val="22"/>
          <w:szCs w:val="22"/>
          <w:lang w:eastAsia="en-US"/>
        </w:rPr>
        <w:t>т</w:t>
      </w:r>
      <w:r w:rsidRPr="008742E9">
        <w:rPr>
          <w:rFonts w:eastAsia="Calibri"/>
          <w:sz w:val="22"/>
          <w:szCs w:val="22"/>
          <w:lang w:eastAsia="en-US"/>
        </w:rPr>
        <w:t>кам рачков — бокоплавов. С целью предотвращения заражения птицы инвазированными бокоплавами, на неблагополучных водо</w:t>
      </w:r>
      <w:r w:rsidRPr="008742E9">
        <w:rPr>
          <w:rFonts w:eastAsia="Calibri"/>
          <w:sz w:val="22"/>
          <w:szCs w:val="22"/>
          <w:lang w:eastAsia="en-US"/>
        </w:rPr>
        <w:t>е</w:t>
      </w:r>
      <w:r w:rsidRPr="008742E9">
        <w:rPr>
          <w:rFonts w:eastAsia="Calibri"/>
          <w:sz w:val="22"/>
          <w:szCs w:val="22"/>
          <w:lang w:eastAsia="en-US"/>
        </w:rPr>
        <w:t xml:space="preserve">мах, их обеззараживают с помощью 2%-го раствора пиросульфита натрия или 4%-го раствора извести [2]. </w:t>
      </w:r>
    </w:p>
    <w:p w:rsidR="008742E9" w:rsidRPr="008742E9" w:rsidRDefault="008742E9" w:rsidP="00EB174D">
      <w:pPr>
        <w:ind w:firstLine="426"/>
        <w:jc w:val="both"/>
        <w:rPr>
          <w:rFonts w:eastAsia="Calibri"/>
          <w:sz w:val="22"/>
          <w:szCs w:val="22"/>
          <w:lang w:eastAsia="en-US"/>
        </w:rPr>
      </w:pPr>
      <w:r w:rsidRPr="008742E9">
        <w:rPr>
          <w:rFonts w:eastAsia="Calibri"/>
          <w:sz w:val="22"/>
          <w:szCs w:val="22"/>
          <w:lang w:eastAsia="en-US"/>
        </w:rPr>
        <w:t>Применение профилактических и лечебных мероприятий при тетрамерозе уток позволит сохранить их здоровье и увеличить пр</w:t>
      </w:r>
      <w:r w:rsidRPr="008742E9">
        <w:rPr>
          <w:rFonts w:eastAsia="Calibri"/>
          <w:sz w:val="22"/>
          <w:szCs w:val="22"/>
          <w:lang w:eastAsia="en-US"/>
        </w:rPr>
        <w:t>о</w:t>
      </w:r>
      <w:r w:rsidRPr="008742E9">
        <w:rPr>
          <w:rFonts w:eastAsia="Calibri"/>
          <w:sz w:val="22"/>
          <w:szCs w:val="22"/>
          <w:lang w:eastAsia="en-US"/>
        </w:rPr>
        <w:t>дуктивность.</w:t>
      </w:r>
    </w:p>
    <w:p w:rsidR="008742E9" w:rsidRPr="008742E9" w:rsidRDefault="008742E9" w:rsidP="00C342C9">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1. Бакулин, В. А. Болезни птиц / В. А. Бакулин. – СПб: Изда-тель: В. А. Бакулин, 2006 – 688 с.</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2. Кузьмин А.А. Антигельминтики в ветеринарной медицине / Кузьмин А.А. – М.: Аквариум, 2001. - 144 с.</w:t>
      </w:r>
    </w:p>
    <w:p w:rsidR="008742E9" w:rsidRDefault="008742E9" w:rsidP="008742E9">
      <w:pPr>
        <w:jc w:val="both"/>
        <w:rPr>
          <w:rFonts w:eastAsia="Calibri"/>
          <w:sz w:val="22"/>
          <w:szCs w:val="22"/>
          <w:lang w:eastAsia="en-US"/>
        </w:rPr>
      </w:pPr>
    </w:p>
    <w:p w:rsidR="000C7D3B" w:rsidRPr="008742E9" w:rsidRDefault="000C7D3B" w:rsidP="008742E9">
      <w:pPr>
        <w:jc w:val="both"/>
        <w:rPr>
          <w:rFonts w:eastAsia="Calibri"/>
          <w:sz w:val="22"/>
          <w:szCs w:val="22"/>
          <w:lang w:eastAsia="en-US"/>
        </w:rPr>
      </w:pPr>
    </w:p>
    <w:p w:rsidR="008742E9" w:rsidRPr="008742E9" w:rsidRDefault="008742E9" w:rsidP="008742E9">
      <w:pPr>
        <w:rPr>
          <w:sz w:val="24"/>
          <w:szCs w:val="24"/>
        </w:rPr>
      </w:pPr>
      <w:r w:rsidRPr="008742E9">
        <w:rPr>
          <w:sz w:val="22"/>
          <w:szCs w:val="24"/>
        </w:rPr>
        <w:t>УДК 619:616.98-085[:636.92</w:t>
      </w:r>
    </w:p>
    <w:p w:rsidR="008742E9" w:rsidRPr="008742E9" w:rsidRDefault="008742E9" w:rsidP="008742E9">
      <w:pPr>
        <w:rPr>
          <w:sz w:val="18"/>
          <w:szCs w:val="24"/>
        </w:rPr>
      </w:pPr>
    </w:p>
    <w:p w:rsidR="008742E9" w:rsidRPr="008742E9" w:rsidRDefault="008742E9" w:rsidP="008742E9">
      <w:pPr>
        <w:jc w:val="center"/>
        <w:rPr>
          <w:b/>
          <w:sz w:val="24"/>
          <w:szCs w:val="24"/>
        </w:rPr>
      </w:pPr>
      <w:r w:rsidRPr="008742E9">
        <w:rPr>
          <w:b/>
          <w:sz w:val="24"/>
          <w:szCs w:val="24"/>
        </w:rPr>
        <w:t xml:space="preserve">Лечение и профилактика вирусной геморрагической </w:t>
      </w:r>
    </w:p>
    <w:p w:rsidR="008742E9" w:rsidRPr="008742E9" w:rsidRDefault="008742E9" w:rsidP="008742E9">
      <w:pPr>
        <w:jc w:val="center"/>
        <w:rPr>
          <w:b/>
          <w:sz w:val="24"/>
          <w:szCs w:val="24"/>
          <w:lang w:val="en-US"/>
        </w:rPr>
      </w:pPr>
      <w:r w:rsidRPr="008742E9">
        <w:rPr>
          <w:b/>
          <w:sz w:val="24"/>
          <w:szCs w:val="24"/>
        </w:rPr>
        <w:t>болезни</w:t>
      </w:r>
      <w:r w:rsidRPr="008742E9">
        <w:rPr>
          <w:b/>
          <w:sz w:val="24"/>
          <w:szCs w:val="24"/>
          <w:lang w:val="en-US"/>
        </w:rPr>
        <w:t xml:space="preserve"> </w:t>
      </w:r>
      <w:r w:rsidRPr="008742E9">
        <w:rPr>
          <w:b/>
          <w:sz w:val="24"/>
          <w:szCs w:val="24"/>
        </w:rPr>
        <w:t>кроликов</w:t>
      </w:r>
    </w:p>
    <w:p w:rsidR="008742E9" w:rsidRPr="00EB174D" w:rsidRDefault="008742E9" w:rsidP="00EB174D">
      <w:pPr>
        <w:jc w:val="center"/>
        <w:rPr>
          <w:b/>
          <w:sz w:val="24"/>
          <w:szCs w:val="24"/>
          <w:lang w:val="en-US"/>
        </w:rPr>
      </w:pPr>
      <w:r w:rsidRPr="00EB174D">
        <w:rPr>
          <w:b/>
          <w:sz w:val="24"/>
          <w:szCs w:val="24"/>
          <w:shd w:val="clear" w:color="auto" w:fill="FFFFFF"/>
          <w:lang w:val="en-US"/>
        </w:rPr>
        <w:t>Treatment and prevention of viral hemorrhagic diseases of rabbits</w:t>
      </w:r>
    </w:p>
    <w:p w:rsidR="008742E9" w:rsidRPr="008742E9" w:rsidRDefault="008742E9" w:rsidP="008742E9">
      <w:pPr>
        <w:jc w:val="right"/>
        <w:rPr>
          <w:sz w:val="22"/>
          <w:szCs w:val="22"/>
        </w:rPr>
      </w:pPr>
      <w:r w:rsidRPr="008742E9">
        <w:rPr>
          <w:sz w:val="24"/>
          <w:szCs w:val="24"/>
          <w:lang w:val="en-US"/>
        </w:rPr>
        <w:t xml:space="preserve">             </w:t>
      </w:r>
      <w:r w:rsidR="00C342C9">
        <w:rPr>
          <w:sz w:val="22"/>
          <w:szCs w:val="22"/>
        </w:rPr>
        <w:t>Топорец В. Э.,</w:t>
      </w:r>
    </w:p>
    <w:p w:rsidR="00C342C9" w:rsidRDefault="008742E9" w:rsidP="008742E9">
      <w:pPr>
        <w:jc w:val="right"/>
        <w:rPr>
          <w:sz w:val="22"/>
          <w:szCs w:val="22"/>
        </w:rPr>
      </w:pPr>
      <w:r w:rsidRPr="008742E9">
        <w:rPr>
          <w:sz w:val="22"/>
          <w:szCs w:val="22"/>
        </w:rPr>
        <w:t>магистрант 2-го курса</w:t>
      </w:r>
    </w:p>
    <w:p w:rsidR="008742E9" w:rsidRPr="008742E9" w:rsidRDefault="008742E9" w:rsidP="008742E9">
      <w:pPr>
        <w:jc w:val="right"/>
        <w:rPr>
          <w:sz w:val="22"/>
          <w:szCs w:val="22"/>
        </w:rPr>
      </w:pPr>
      <w:r w:rsidRPr="008742E9">
        <w:rPr>
          <w:sz w:val="22"/>
          <w:szCs w:val="22"/>
        </w:rPr>
        <w:t xml:space="preserve"> фа</w:t>
      </w:r>
      <w:r w:rsidR="00C342C9">
        <w:rPr>
          <w:sz w:val="22"/>
          <w:szCs w:val="22"/>
        </w:rPr>
        <w:t>культета ветеринарной медицины,</w:t>
      </w:r>
    </w:p>
    <w:p w:rsidR="008742E9" w:rsidRPr="008742E9" w:rsidRDefault="008742E9" w:rsidP="008742E9">
      <w:pPr>
        <w:jc w:val="right"/>
        <w:rPr>
          <w:sz w:val="22"/>
          <w:szCs w:val="22"/>
        </w:rPr>
      </w:pPr>
      <w:r w:rsidRPr="008742E9">
        <w:rPr>
          <w:sz w:val="22"/>
          <w:szCs w:val="22"/>
        </w:rPr>
        <w:t xml:space="preserve">             Шевченко А.</w:t>
      </w:r>
      <w:r w:rsidR="00C342C9">
        <w:rPr>
          <w:sz w:val="22"/>
          <w:szCs w:val="22"/>
        </w:rPr>
        <w:t xml:space="preserve"> А.,</w:t>
      </w:r>
    </w:p>
    <w:p w:rsidR="008742E9" w:rsidRPr="008742E9" w:rsidRDefault="008742E9" w:rsidP="008742E9">
      <w:pPr>
        <w:jc w:val="right"/>
        <w:rPr>
          <w:sz w:val="22"/>
          <w:szCs w:val="22"/>
        </w:rPr>
      </w:pPr>
      <w:r w:rsidRPr="008742E9">
        <w:rPr>
          <w:sz w:val="22"/>
          <w:szCs w:val="22"/>
        </w:rPr>
        <w:t>профессор, зав</w:t>
      </w:r>
      <w:r w:rsidR="00C342C9">
        <w:rPr>
          <w:sz w:val="22"/>
          <w:szCs w:val="22"/>
        </w:rPr>
        <w:t>едующий кафедрой микробиологии,</w:t>
      </w:r>
    </w:p>
    <w:p w:rsidR="008742E9" w:rsidRPr="008742E9" w:rsidRDefault="00C342C9" w:rsidP="008742E9">
      <w:pPr>
        <w:jc w:val="right"/>
        <w:rPr>
          <w:sz w:val="22"/>
          <w:szCs w:val="22"/>
        </w:rPr>
      </w:pPr>
      <w:r>
        <w:rPr>
          <w:sz w:val="22"/>
          <w:szCs w:val="22"/>
        </w:rPr>
        <w:t>эпизоотологии и вирусологии</w:t>
      </w:r>
    </w:p>
    <w:p w:rsidR="008742E9" w:rsidRPr="008742E9" w:rsidRDefault="008742E9" w:rsidP="008742E9">
      <w:pPr>
        <w:jc w:val="right"/>
        <w:rPr>
          <w:sz w:val="22"/>
          <w:szCs w:val="22"/>
        </w:rPr>
      </w:pPr>
      <w:r w:rsidRPr="008742E9">
        <w:rPr>
          <w:sz w:val="22"/>
          <w:szCs w:val="22"/>
        </w:rPr>
        <w:t>Кубанский государственный аграрный</w:t>
      </w:r>
    </w:p>
    <w:p w:rsidR="008742E9" w:rsidRPr="008742E9" w:rsidRDefault="008742E9" w:rsidP="008742E9">
      <w:pPr>
        <w:jc w:val="right"/>
        <w:rPr>
          <w:sz w:val="24"/>
          <w:szCs w:val="24"/>
        </w:rPr>
      </w:pPr>
      <w:r w:rsidRPr="008742E9">
        <w:rPr>
          <w:sz w:val="22"/>
          <w:szCs w:val="22"/>
        </w:rPr>
        <w:t xml:space="preserve"> университет имени И.</w:t>
      </w:r>
      <w:r w:rsidR="00C342C9">
        <w:rPr>
          <w:sz w:val="22"/>
          <w:szCs w:val="22"/>
        </w:rPr>
        <w:t xml:space="preserve"> </w:t>
      </w:r>
      <w:r w:rsidRPr="008742E9">
        <w:rPr>
          <w:sz w:val="22"/>
          <w:szCs w:val="22"/>
        </w:rPr>
        <w:t>Т. Трубилина</w:t>
      </w:r>
    </w:p>
    <w:p w:rsidR="008742E9" w:rsidRPr="008742E9" w:rsidRDefault="008742E9" w:rsidP="008742E9">
      <w:pPr>
        <w:jc w:val="both"/>
        <w:rPr>
          <w:sz w:val="16"/>
          <w:szCs w:val="24"/>
        </w:rPr>
      </w:pPr>
    </w:p>
    <w:p w:rsidR="008742E9" w:rsidRPr="008742E9" w:rsidRDefault="008742E9" w:rsidP="00C342C9">
      <w:pPr>
        <w:ind w:firstLine="426"/>
        <w:jc w:val="both"/>
        <w:rPr>
          <w:sz w:val="22"/>
          <w:szCs w:val="22"/>
        </w:rPr>
      </w:pPr>
      <w:r w:rsidRPr="008742E9">
        <w:rPr>
          <w:sz w:val="22"/>
          <w:szCs w:val="24"/>
        </w:rPr>
        <w:t>АННОТАЦИЯ</w:t>
      </w:r>
      <w:r w:rsidRPr="008742E9">
        <w:rPr>
          <w:sz w:val="24"/>
          <w:szCs w:val="24"/>
        </w:rPr>
        <w:t>:</w:t>
      </w:r>
      <w:r w:rsidR="00EB174D">
        <w:rPr>
          <w:sz w:val="22"/>
          <w:szCs w:val="22"/>
        </w:rPr>
        <w:t xml:space="preserve"> Изучено </w:t>
      </w:r>
      <w:r w:rsidRPr="008742E9">
        <w:rPr>
          <w:bCs/>
          <w:iCs/>
          <w:sz w:val="22"/>
          <w:szCs w:val="22"/>
        </w:rPr>
        <w:t xml:space="preserve">сверхострое и острое течение </w:t>
      </w:r>
      <w:r w:rsidRPr="008742E9">
        <w:rPr>
          <w:sz w:val="22"/>
          <w:szCs w:val="22"/>
        </w:rPr>
        <w:t>ВГБК</w:t>
      </w:r>
      <w:r w:rsidRPr="008742E9">
        <w:rPr>
          <w:bCs/>
          <w:iCs/>
          <w:sz w:val="22"/>
          <w:szCs w:val="22"/>
        </w:rPr>
        <w:t xml:space="preserve"> в хозяйстве. При патологоанатомическом вскрытии павших кроликов от ВГБК характерен геморрагический синдром.</w:t>
      </w:r>
      <w:r w:rsidRPr="008742E9">
        <w:rPr>
          <w:sz w:val="22"/>
          <w:szCs w:val="22"/>
        </w:rPr>
        <w:t xml:space="preserve"> Разработаны</w:t>
      </w:r>
      <w:r w:rsidRPr="008742E9">
        <w:rPr>
          <w:sz w:val="24"/>
          <w:szCs w:val="24"/>
        </w:rPr>
        <w:t xml:space="preserve"> </w:t>
      </w:r>
      <w:r w:rsidRPr="008742E9">
        <w:rPr>
          <w:sz w:val="22"/>
          <w:szCs w:val="22"/>
        </w:rPr>
        <w:t>схемы получения иммунной сыворотки против ВГБК, обладающей лече</w:t>
      </w:r>
      <w:r w:rsidRPr="008742E9">
        <w:rPr>
          <w:sz w:val="22"/>
          <w:szCs w:val="22"/>
        </w:rPr>
        <w:t>б</w:t>
      </w:r>
      <w:r w:rsidRPr="008742E9">
        <w:rPr>
          <w:sz w:val="22"/>
          <w:szCs w:val="22"/>
        </w:rPr>
        <w:t xml:space="preserve">ной и профилактической эффективностью.  </w:t>
      </w:r>
    </w:p>
    <w:p w:rsidR="008742E9" w:rsidRPr="008742E9" w:rsidRDefault="008742E9" w:rsidP="00C342C9">
      <w:pPr>
        <w:ind w:firstLine="426"/>
        <w:jc w:val="both"/>
        <w:rPr>
          <w:sz w:val="22"/>
          <w:szCs w:val="22"/>
          <w:lang w:val="en-US"/>
        </w:rPr>
      </w:pPr>
      <w:r w:rsidRPr="008742E9">
        <w:rPr>
          <w:sz w:val="22"/>
          <w:szCs w:val="22"/>
          <w:shd w:val="clear" w:color="auto" w:fill="FFFFFF"/>
          <w:lang w:val="en-US"/>
        </w:rPr>
        <w:t>ABSTRACT: Studied severgasstroy and sharp for VGBC in the economy. At postmortem autopsy of the fallen rabbits ugbc characte</w:t>
      </w:r>
      <w:r w:rsidRPr="008742E9">
        <w:rPr>
          <w:sz w:val="22"/>
          <w:szCs w:val="22"/>
          <w:shd w:val="clear" w:color="auto" w:fill="FFFFFF"/>
          <w:lang w:val="en-US"/>
        </w:rPr>
        <w:t>r</w:t>
      </w:r>
      <w:r w:rsidRPr="008742E9">
        <w:rPr>
          <w:sz w:val="22"/>
          <w:szCs w:val="22"/>
          <w:shd w:val="clear" w:color="auto" w:fill="FFFFFF"/>
          <w:lang w:val="en-US"/>
        </w:rPr>
        <w:lastRenderedPageBreak/>
        <w:t>ized by a hemorrhagic syndrome. Schemes for obtaining immune serum against VGBK, which has therapeutic and preventive effectiveness.</w:t>
      </w:r>
      <w:r w:rsidRPr="008742E9">
        <w:rPr>
          <w:sz w:val="22"/>
          <w:szCs w:val="22"/>
          <w:lang w:val="en-US"/>
        </w:rPr>
        <w:t xml:space="preserve">     </w:t>
      </w:r>
    </w:p>
    <w:p w:rsidR="008742E9" w:rsidRPr="008742E9" w:rsidRDefault="008742E9" w:rsidP="00C342C9">
      <w:pPr>
        <w:ind w:firstLine="426"/>
        <w:jc w:val="both"/>
        <w:rPr>
          <w:sz w:val="22"/>
          <w:szCs w:val="22"/>
        </w:rPr>
      </w:pPr>
      <w:r w:rsidRPr="008742E9">
        <w:rPr>
          <w:sz w:val="22"/>
          <w:szCs w:val="22"/>
        </w:rPr>
        <w:t xml:space="preserve">КЛЮЧЕВЫЕ СЛОВА: </w:t>
      </w:r>
      <w:r w:rsidRPr="008742E9">
        <w:rPr>
          <w:sz w:val="22"/>
          <w:szCs w:val="22"/>
          <w:lang w:eastAsia="en-US"/>
        </w:rPr>
        <w:t>вирусная геморрагическая болезнь кр</w:t>
      </w:r>
      <w:r w:rsidRPr="008742E9">
        <w:rPr>
          <w:sz w:val="22"/>
          <w:szCs w:val="22"/>
          <w:lang w:eastAsia="en-US"/>
        </w:rPr>
        <w:t>о</w:t>
      </w:r>
      <w:r w:rsidRPr="008742E9">
        <w:rPr>
          <w:sz w:val="22"/>
          <w:szCs w:val="22"/>
          <w:lang w:eastAsia="en-US"/>
        </w:rPr>
        <w:t xml:space="preserve">ликов, </w:t>
      </w:r>
      <w:r w:rsidRPr="008742E9">
        <w:rPr>
          <w:sz w:val="22"/>
          <w:szCs w:val="22"/>
        </w:rPr>
        <w:t>специфическая, иммунная сыворотка, лечение, профилакт</w:t>
      </w:r>
      <w:r w:rsidRPr="008742E9">
        <w:rPr>
          <w:sz w:val="22"/>
          <w:szCs w:val="22"/>
        </w:rPr>
        <w:t>и</w:t>
      </w:r>
      <w:r w:rsidRPr="008742E9">
        <w:rPr>
          <w:sz w:val="22"/>
          <w:szCs w:val="22"/>
        </w:rPr>
        <w:t>ка.</w:t>
      </w:r>
    </w:p>
    <w:p w:rsidR="008742E9" w:rsidRPr="008742E9" w:rsidRDefault="008742E9" w:rsidP="00C342C9">
      <w:pPr>
        <w:ind w:firstLine="426"/>
        <w:jc w:val="both"/>
        <w:rPr>
          <w:sz w:val="22"/>
          <w:szCs w:val="22"/>
          <w:lang w:val="en-US"/>
        </w:rPr>
      </w:pPr>
      <w:r w:rsidRPr="008742E9">
        <w:rPr>
          <w:sz w:val="22"/>
          <w:szCs w:val="22"/>
          <w:shd w:val="clear" w:color="auto" w:fill="FFFFFF"/>
          <w:lang w:val="en-US"/>
        </w:rPr>
        <w:t>KEYWORDS: viral haemorrhagic disease of rabbits, specific i</w:t>
      </w:r>
      <w:r w:rsidRPr="008742E9">
        <w:rPr>
          <w:sz w:val="22"/>
          <w:szCs w:val="22"/>
          <w:shd w:val="clear" w:color="auto" w:fill="FFFFFF"/>
          <w:lang w:val="en-US"/>
        </w:rPr>
        <w:t>m</w:t>
      </w:r>
      <w:r w:rsidRPr="008742E9">
        <w:rPr>
          <w:sz w:val="22"/>
          <w:szCs w:val="22"/>
          <w:shd w:val="clear" w:color="auto" w:fill="FFFFFF"/>
          <w:lang w:val="en-US"/>
        </w:rPr>
        <w:t>mune serum, treatment, prevention.</w:t>
      </w:r>
    </w:p>
    <w:p w:rsidR="008742E9" w:rsidRPr="008742E9" w:rsidRDefault="008742E9" w:rsidP="00C342C9">
      <w:pPr>
        <w:ind w:firstLine="426"/>
        <w:jc w:val="both"/>
        <w:rPr>
          <w:sz w:val="14"/>
          <w:szCs w:val="22"/>
          <w:lang w:val="en-US" w:eastAsia="en-US"/>
        </w:rPr>
      </w:pPr>
    </w:p>
    <w:p w:rsidR="008742E9" w:rsidRPr="008742E9" w:rsidRDefault="008742E9" w:rsidP="00C342C9">
      <w:pPr>
        <w:ind w:firstLine="426"/>
        <w:jc w:val="both"/>
        <w:rPr>
          <w:sz w:val="22"/>
          <w:szCs w:val="22"/>
        </w:rPr>
      </w:pPr>
      <w:r w:rsidRPr="008742E9">
        <w:rPr>
          <w:sz w:val="22"/>
          <w:szCs w:val="22"/>
          <w:lang w:eastAsia="en-US"/>
        </w:rPr>
        <w:t>Вирусная геморрагическая болезнь кроликов (ВГБК) – высок</w:t>
      </w:r>
      <w:r w:rsidRPr="008742E9">
        <w:rPr>
          <w:sz w:val="22"/>
          <w:szCs w:val="22"/>
          <w:lang w:eastAsia="en-US"/>
        </w:rPr>
        <w:t>о</w:t>
      </w:r>
      <w:r w:rsidRPr="008742E9">
        <w:rPr>
          <w:sz w:val="22"/>
          <w:szCs w:val="22"/>
          <w:lang w:eastAsia="en-US"/>
        </w:rPr>
        <w:t>контагиозная, остропротекающая инфекционная болезнь, характ</w:t>
      </w:r>
      <w:r w:rsidRPr="008742E9">
        <w:rPr>
          <w:sz w:val="22"/>
          <w:szCs w:val="22"/>
          <w:lang w:eastAsia="en-US"/>
        </w:rPr>
        <w:t>е</w:t>
      </w:r>
      <w:r w:rsidRPr="008742E9">
        <w:rPr>
          <w:sz w:val="22"/>
          <w:szCs w:val="22"/>
          <w:lang w:eastAsia="en-US"/>
        </w:rPr>
        <w:t xml:space="preserve">ризующаяся кровоизлияниями во всех органах, в особенности в легких и печени, вызываемая вирусом семейства </w:t>
      </w:r>
      <w:r w:rsidRPr="008742E9">
        <w:rPr>
          <w:i/>
          <w:sz w:val="22"/>
          <w:szCs w:val="22"/>
          <w:lang w:eastAsia="en-US"/>
        </w:rPr>
        <w:t>Caliciviridae</w:t>
      </w:r>
      <w:r w:rsidRPr="008742E9">
        <w:rPr>
          <w:sz w:val="22"/>
          <w:szCs w:val="22"/>
          <w:lang w:eastAsia="en-US"/>
        </w:rPr>
        <w:t xml:space="preserve">, род </w:t>
      </w:r>
      <w:r w:rsidRPr="008742E9">
        <w:rPr>
          <w:i/>
          <w:sz w:val="22"/>
          <w:szCs w:val="22"/>
          <w:lang w:eastAsia="en-US"/>
        </w:rPr>
        <w:t>Lagovirus</w:t>
      </w:r>
      <w:r w:rsidRPr="008742E9">
        <w:rPr>
          <w:sz w:val="22"/>
          <w:szCs w:val="22"/>
          <w:lang w:eastAsia="en-US"/>
        </w:rPr>
        <w:t>, наносящая значительный экономический ущерб крол</w:t>
      </w:r>
      <w:r w:rsidRPr="008742E9">
        <w:rPr>
          <w:sz w:val="22"/>
          <w:szCs w:val="22"/>
          <w:lang w:eastAsia="en-US"/>
        </w:rPr>
        <w:t>и</w:t>
      </w:r>
      <w:r w:rsidRPr="008742E9">
        <w:rPr>
          <w:sz w:val="22"/>
          <w:szCs w:val="22"/>
          <w:lang w:eastAsia="en-US"/>
        </w:rPr>
        <w:t>ководству. ВГБК болеют кролики разных возрастных групп, заб</w:t>
      </w:r>
      <w:r w:rsidRPr="008742E9">
        <w:rPr>
          <w:sz w:val="22"/>
          <w:szCs w:val="22"/>
          <w:lang w:eastAsia="en-US"/>
        </w:rPr>
        <w:t>о</w:t>
      </w:r>
      <w:r w:rsidRPr="008742E9">
        <w:rPr>
          <w:sz w:val="22"/>
          <w:szCs w:val="22"/>
          <w:lang w:eastAsia="en-US"/>
        </w:rPr>
        <w:t>леваемость достигает до -80%, а летальность – до 100%. Болезнь широко распространена в мире среди европейских кроликов и за</w:t>
      </w:r>
      <w:r w:rsidRPr="008742E9">
        <w:rPr>
          <w:sz w:val="22"/>
          <w:szCs w:val="22"/>
          <w:lang w:eastAsia="en-US"/>
        </w:rPr>
        <w:t>й</w:t>
      </w:r>
      <w:r w:rsidRPr="008742E9">
        <w:rPr>
          <w:sz w:val="22"/>
          <w:szCs w:val="22"/>
          <w:lang w:eastAsia="en-US"/>
        </w:rPr>
        <w:t>цев [1, 2, 3, 4].</w:t>
      </w:r>
    </w:p>
    <w:p w:rsidR="008742E9" w:rsidRPr="008742E9" w:rsidRDefault="008742E9" w:rsidP="00C342C9">
      <w:pPr>
        <w:ind w:firstLine="426"/>
        <w:jc w:val="both"/>
        <w:rPr>
          <w:sz w:val="22"/>
          <w:szCs w:val="22"/>
        </w:rPr>
      </w:pPr>
      <w:r w:rsidRPr="008742E9">
        <w:rPr>
          <w:sz w:val="22"/>
          <w:szCs w:val="22"/>
        </w:rPr>
        <w:t>Целью наших исследований являлось изучение вирусной г</w:t>
      </w:r>
      <w:r w:rsidRPr="008742E9">
        <w:rPr>
          <w:sz w:val="22"/>
          <w:szCs w:val="22"/>
        </w:rPr>
        <w:t>е</w:t>
      </w:r>
      <w:r w:rsidRPr="008742E9">
        <w:rPr>
          <w:sz w:val="22"/>
          <w:szCs w:val="22"/>
        </w:rPr>
        <w:t>моррагической болезни кроликов, разработка лечения и профила</w:t>
      </w:r>
      <w:r w:rsidRPr="008742E9">
        <w:rPr>
          <w:sz w:val="22"/>
          <w:szCs w:val="22"/>
        </w:rPr>
        <w:t>к</w:t>
      </w:r>
      <w:r w:rsidRPr="008742E9">
        <w:rPr>
          <w:sz w:val="22"/>
          <w:szCs w:val="22"/>
        </w:rPr>
        <w:t>тики.</w:t>
      </w:r>
    </w:p>
    <w:p w:rsidR="008742E9" w:rsidRPr="008742E9" w:rsidRDefault="008742E9" w:rsidP="00C342C9">
      <w:pPr>
        <w:ind w:firstLine="426"/>
        <w:jc w:val="both"/>
        <w:rPr>
          <w:sz w:val="22"/>
          <w:szCs w:val="22"/>
        </w:rPr>
      </w:pPr>
      <w:r w:rsidRPr="008742E9">
        <w:rPr>
          <w:sz w:val="22"/>
          <w:szCs w:val="22"/>
        </w:rPr>
        <w:t>Работа выполнена на кафедр</w:t>
      </w:r>
      <w:r w:rsidRPr="008742E9">
        <w:rPr>
          <w:sz w:val="22"/>
          <w:szCs w:val="22"/>
          <w:lang w:val="en-US"/>
        </w:rPr>
        <w:t>e</w:t>
      </w:r>
      <w:r w:rsidRPr="008742E9">
        <w:rPr>
          <w:sz w:val="22"/>
          <w:szCs w:val="22"/>
        </w:rPr>
        <w:t xml:space="preserve"> микробиологии, эпизоотологии и вирусологии ФГОУ ВО «Кубанский государственный аграрный университет имени И.Т. Трубилина», в ГБУ «Кропоткинская кра</w:t>
      </w:r>
      <w:r w:rsidRPr="008742E9">
        <w:rPr>
          <w:sz w:val="22"/>
          <w:szCs w:val="22"/>
        </w:rPr>
        <w:t>е</w:t>
      </w:r>
      <w:r w:rsidRPr="008742E9">
        <w:rPr>
          <w:sz w:val="22"/>
          <w:szCs w:val="22"/>
        </w:rPr>
        <w:t>вая ветеринарная лаборатория» Краснодарского края и в ферме</w:t>
      </w:r>
      <w:r w:rsidRPr="008742E9">
        <w:rPr>
          <w:sz w:val="22"/>
          <w:szCs w:val="22"/>
        </w:rPr>
        <w:t>р</w:t>
      </w:r>
      <w:r w:rsidRPr="008742E9">
        <w:rPr>
          <w:sz w:val="22"/>
          <w:szCs w:val="22"/>
        </w:rPr>
        <w:t>ском хозяйстве Ставропольского края в период с 2014 по 2018 гг.</w:t>
      </w:r>
    </w:p>
    <w:p w:rsidR="008742E9" w:rsidRPr="008742E9" w:rsidRDefault="008742E9" w:rsidP="00C342C9">
      <w:pPr>
        <w:ind w:firstLine="426"/>
        <w:jc w:val="both"/>
        <w:rPr>
          <w:sz w:val="22"/>
          <w:szCs w:val="22"/>
        </w:rPr>
      </w:pPr>
      <w:r w:rsidRPr="008742E9">
        <w:rPr>
          <w:sz w:val="22"/>
          <w:szCs w:val="22"/>
        </w:rPr>
        <w:t>В марте 2014 г. в фермерском хозяйстве с. Кочубеевское Коч</w:t>
      </w:r>
      <w:r w:rsidRPr="008742E9">
        <w:rPr>
          <w:sz w:val="22"/>
          <w:szCs w:val="22"/>
        </w:rPr>
        <w:t>у</w:t>
      </w:r>
      <w:r w:rsidRPr="008742E9">
        <w:rPr>
          <w:sz w:val="22"/>
          <w:szCs w:val="22"/>
        </w:rPr>
        <w:t>беевского района Ставропольского края отмечали массовую гибель кроликов. Хозяин фермы обратился на кафедру микробиологии, эпизоотологии и вирусологии КубГАУ за помощью, где и был п</w:t>
      </w:r>
      <w:r w:rsidRPr="008742E9">
        <w:rPr>
          <w:sz w:val="22"/>
          <w:szCs w:val="22"/>
        </w:rPr>
        <w:t>о</w:t>
      </w:r>
      <w:r w:rsidRPr="008742E9">
        <w:rPr>
          <w:sz w:val="22"/>
          <w:szCs w:val="22"/>
        </w:rPr>
        <w:t xml:space="preserve">ставлен диагноз </w:t>
      </w:r>
      <w:r w:rsidRPr="008742E9">
        <w:rPr>
          <w:sz w:val="22"/>
          <w:szCs w:val="22"/>
          <w:lang w:eastAsia="en-US"/>
        </w:rPr>
        <w:t>вирусная геморрагическая болезнь кроликов.</w:t>
      </w:r>
    </w:p>
    <w:p w:rsidR="008742E9" w:rsidRPr="008742E9" w:rsidRDefault="008742E9" w:rsidP="00C342C9">
      <w:pPr>
        <w:ind w:firstLine="426"/>
        <w:jc w:val="both"/>
        <w:rPr>
          <w:sz w:val="22"/>
          <w:szCs w:val="22"/>
        </w:rPr>
      </w:pPr>
      <w:r w:rsidRPr="008742E9">
        <w:rPr>
          <w:sz w:val="22"/>
          <w:szCs w:val="22"/>
        </w:rPr>
        <w:t>Динамика эпизоотического процесса у кроликов развивалась быстро, наблюдали сверхострое и острое течение болезни. У бол</w:t>
      </w:r>
      <w:r w:rsidRPr="008742E9">
        <w:rPr>
          <w:sz w:val="22"/>
          <w:szCs w:val="22"/>
        </w:rPr>
        <w:t>ь</w:t>
      </w:r>
      <w:r w:rsidRPr="008742E9">
        <w:rPr>
          <w:sz w:val="22"/>
          <w:szCs w:val="22"/>
        </w:rPr>
        <w:t>ных кроликов наблюдали угнетение, нарушение аппетита, вялость, взъерошенность шерстного покрова, повышение температуры тела до 41ºС, за 1-2 часа до гибели истечения из носа в виде кровянистой или пенистой жидкости. В условиях хозяйства из 198 кроликов на ферме в течение 3-5 –ти дней пало 131 гол. Эпизоотия ВГБК разв</w:t>
      </w:r>
      <w:r w:rsidRPr="008742E9">
        <w:rPr>
          <w:sz w:val="22"/>
          <w:szCs w:val="22"/>
        </w:rPr>
        <w:t>и</w:t>
      </w:r>
      <w:r w:rsidRPr="008742E9">
        <w:rPr>
          <w:sz w:val="22"/>
          <w:szCs w:val="22"/>
        </w:rPr>
        <w:t>валась быстро и динамично, наблюдали сверхострое и острое теч</w:t>
      </w:r>
      <w:r w:rsidRPr="008742E9">
        <w:rPr>
          <w:sz w:val="22"/>
          <w:szCs w:val="22"/>
        </w:rPr>
        <w:t>е</w:t>
      </w:r>
      <w:r w:rsidRPr="008742E9">
        <w:rPr>
          <w:sz w:val="22"/>
          <w:szCs w:val="22"/>
        </w:rPr>
        <w:lastRenderedPageBreak/>
        <w:t>ние болезни. В первые дни болезни ВГБК пало до 13 % кроликов, в последующие  - падеж был до 33 %. При вскрытии павших крол</w:t>
      </w:r>
      <w:r w:rsidRPr="008742E9">
        <w:rPr>
          <w:sz w:val="22"/>
          <w:szCs w:val="22"/>
        </w:rPr>
        <w:t>и</w:t>
      </w:r>
      <w:r w:rsidRPr="008742E9">
        <w:rPr>
          <w:sz w:val="22"/>
          <w:szCs w:val="22"/>
        </w:rPr>
        <w:t>ков от ВГБК</w:t>
      </w:r>
      <w:r w:rsidRPr="008742E9">
        <w:rPr>
          <w:bCs/>
          <w:snapToGrid w:val="0"/>
          <w:color w:val="000000"/>
          <w:sz w:val="22"/>
          <w:szCs w:val="22"/>
          <w14:shadow w14:blurRad="50800" w14:dist="38100" w14:dir="2700000" w14:sx="100000" w14:sy="100000" w14:kx="0" w14:ky="0" w14:algn="tl">
            <w14:srgbClr w14:val="000000">
              <w14:alpha w14:val="60000"/>
            </w14:srgbClr>
          </w14:shadow>
        </w:rPr>
        <w:t xml:space="preserve"> </w:t>
      </w:r>
      <w:r w:rsidRPr="008742E9">
        <w:rPr>
          <w:sz w:val="22"/>
          <w:szCs w:val="22"/>
        </w:rPr>
        <w:t>наблюдали кровоизлияния в паренхиматозных органах (геморрагический гепатит, геморрагический нефрит,</w:t>
      </w:r>
      <w:r w:rsidRPr="008742E9">
        <w:rPr>
          <w:bCs/>
          <w:snapToGrid w:val="0"/>
          <w:color w:val="000000"/>
          <w:sz w:val="22"/>
          <w:szCs w:val="22"/>
          <w14:shadow w14:blurRad="50800" w14:dist="38100" w14:dir="2700000" w14:sx="100000" w14:sy="100000" w14:kx="0" w14:ky="0" w14:algn="tl">
            <w14:srgbClr w14:val="000000">
              <w14:alpha w14:val="60000"/>
            </w14:srgbClr>
          </w14:shadow>
        </w:rPr>
        <w:t xml:space="preserve"> </w:t>
      </w:r>
      <w:r w:rsidRPr="008742E9">
        <w:rPr>
          <w:snapToGrid w:val="0"/>
          <w:sz w:val="22"/>
          <w:szCs w:val="22"/>
        </w:rPr>
        <w:t xml:space="preserve">отек и  </w:t>
      </w:r>
      <w:r w:rsidRPr="008742E9">
        <w:rPr>
          <w:sz w:val="22"/>
          <w:szCs w:val="22"/>
        </w:rPr>
        <w:t>гемо</w:t>
      </w:r>
      <w:r w:rsidRPr="008742E9">
        <w:rPr>
          <w:sz w:val="22"/>
          <w:szCs w:val="22"/>
        </w:rPr>
        <w:t>р</w:t>
      </w:r>
      <w:r w:rsidRPr="008742E9">
        <w:rPr>
          <w:sz w:val="22"/>
          <w:szCs w:val="22"/>
        </w:rPr>
        <w:t>рагическая пневмония</w:t>
      </w:r>
      <w:r w:rsidRPr="008742E9">
        <w:rPr>
          <w:snapToGrid w:val="0"/>
          <w:sz w:val="22"/>
          <w:szCs w:val="22"/>
        </w:rPr>
        <w:t xml:space="preserve">, </w:t>
      </w:r>
      <w:r w:rsidRPr="008742E9">
        <w:rPr>
          <w:sz w:val="22"/>
          <w:szCs w:val="22"/>
        </w:rPr>
        <w:t>геморрагический спленит)</w:t>
      </w:r>
      <w:r w:rsidRPr="008742E9">
        <w:rPr>
          <w:snapToGrid w:val="0"/>
          <w:sz w:val="22"/>
          <w:szCs w:val="22"/>
        </w:rPr>
        <w:t xml:space="preserve">. </w:t>
      </w:r>
    </w:p>
    <w:p w:rsidR="008742E9" w:rsidRPr="008742E9" w:rsidRDefault="008742E9" w:rsidP="00C342C9">
      <w:pPr>
        <w:ind w:firstLine="426"/>
        <w:jc w:val="both"/>
        <w:rPr>
          <w:sz w:val="22"/>
          <w:szCs w:val="22"/>
        </w:rPr>
      </w:pPr>
      <w:r w:rsidRPr="008742E9">
        <w:rPr>
          <w:sz w:val="22"/>
          <w:szCs w:val="22"/>
        </w:rPr>
        <w:t>Для профилактики и лечения больных кроликов ВГБК нами были разработаны две схемы иммунизации кроликов получения специфической иммунной сыворотки. Лечебный и защитный э</w:t>
      </w:r>
      <w:r w:rsidRPr="008742E9">
        <w:rPr>
          <w:sz w:val="22"/>
          <w:szCs w:val="22"/>
        </w:rPr>
        <w:t>ф</w:t>
      </w:r>
      <w:r w:rsidRPr="008742E9">
        <w:rPr>
          <w:sz w:val="22"/>
          <w:szCs w:val="22"/>
        </w:rPr>
        <w:t xml:space="preserve">фект </w:t>
      </w:r>
      <w:r w:rsidRPr="008742E9">
        <w:rPr>
          <w:bCs/>
          <w:sz w:val="22"/>
          <w:szCs w:val="22"/>
        </w:rPr>
        <w:t>специфической</w:t>
      </w:r>
      <w:r w:rsidRPr="008742E9">
        <w:rPr>
          <w:sz w:val="22"/>
          <w:szCs w:val="22"/>
        </w:rPr>
        <w:t xml:space="preserve"> иммунной сыворотки против ВГБК изучили на взрослых кроликов, свободных от антител к вирусу ВГБК в услов</w:t>
      </w:r>
      <w:r w:rsidRPr="008742E9">
        <w:rPr>
          <w:sz w:val="22"/>
          <w:szCs w:val="22"/>
        </w:rPr>
        <w:t>и</w:t>
      </w:r>
      <w:r w:rsidRPr="008742E9">
        <w:rPr>
          <w:sz w:val="22"/>
          <w:szCs w:val="22"/>
        </w:rPr>
        <w:t>ях вивария ГБУ «Кропоткинская краевая ветеринарная лаборат</w:t>
      </w:r>
      <w:r w:rsidRPr="008742E9">
        <w:rPr>
          <w:sz w:val="22"/>
          <w:szCs w:val="22"/>
        </w:rPr>
        <w:t>о</w:t>
      </w:r>
      <w:r w:rsidRPr="008742E9">
        <w:rPr>
          <w:sz w:val="22"/>
          <w:szCs w:val="22"/>
        </w:rPr>
        <w:t>рия» Краснодарского края. В результате установлено, что одн</w:t>
      </w:r>
      <w:r w:rsidRPr="008742E9">
        <w:rPr>
          <w:sz w:val="22"/>
          <w:szCs w:val="22"/>
        </w:rPr>
        <w:t>о</w:t>
      </w:r>
      <w:r w:rsidRPr="008742E9">
        <w:rPr>
          <w:sz w:val="22"/>
          <w:szCs w:val="22"/>
        </w:rPr>
        <w:t xml:space="preserve">кратное введение больным кроликам ВГБК нативной </w:t>
      </w:r>
      <w:r w:rsidRPr="008742E9">
        <w:rPr>
          <w:bCs/>
          <w:sz w:val="22"/>
          <w:szCs w:val="22"/>
        </w:rPr>
        <w:t>специфич</w:t>
      </w:r>
      <w:r w:rsidRPr="008742E9">
        <w:rPr>
          <w:bCs/>
          <w:sz w:val="22"/>
          <w:szCs w:val="22"/>
        </w:rPr>
        <w:t>е</w:t>
      </w:r>
      <w:r w:rsidRPr="008742E9">
        <w:rPr>
          <w:bCs/>
          <w:sz w:val="22"/>
          <w:szCs w:val="22"/>
        </w:rPr>
        <w:t>ской</w:t>
      </w:r>
      <w:r w:rsidRPr="008742E9">
        <w:rPr>
          <w:sz w:val="22"/>
          <w:szCs w:val="22"/>
        </w:rPr>
        <w:t xml:space="preserve"> иммунной сыворотки с активностью в РЗГА не менее 1:32 ч</w:t>
      </w:r>
      <w:r w:rsidRPr="008742E9">
        <w:rPr>
          <w:sz w:val="22"/>
          <w:szCs w:val="22"/>
        </w:rPr>
        <w:t>е</w:t>
      </w:r>
      <w:r w:rsidRPr="008742E9">
        <w:rPr>
          <w:sz w:val="22"/>
          <w:szCs w:val="22"/>
        </w:rPr>
        <w:t>рез 24-30 часов после заражения их вирулентным вирусом ВГБК позволяет вылечить больных кроликов при гибели в контроле, л</w:t>
      </w:r>
      <w:r w:rsidRPr="008742E9">
        <w:rPr>
          <w:sz w:val="22"/>
          <w:szCs w:val="22"/>
        </w:rPr>
        <w:t>е</w:t>
      </w:r>
      <w:r w:rsidRPr="008742E9">
        <w:rPr>
          <w:sz w:val="22"/>
          <w:szCs w:val="22"/>
        </w:rPr>
        <w:t>чебная и защитная эффективность составляла не менее 90%.</w:t>
      </w:r>
    </w:p>
    <w:p w:rsidR="008742E9" w:rsidRPr="008742E9" w:rsidRDefault="008742E9" w:rsidP="00C342C9">
      <w:pPr>
        <w:ind w:firstLine="426"/>
        <w:jc w:val="both"/>
        <w:rPr>
          <w:sz w:val="22"/>
          <w:szCs w:val="22"/>
        </w:rPr>
      </w:pPr>
      <w:r w:rsidRPr="008742E9">
        <w:rPr>
          <w:sz w:val="22"/>
          <w:szCs w:val="22"/>
        </w:rPr>
        <w:t>Испытание специфической иммунной сыворотки против ВГБК проводили в условиях коллективного фермерского хозяйства с. К</w:t>
      </w:r>
      <w:r w:rsidRPr="008742E9">
        <w:rPr>
          <w:sz w:val="22"/>
          <w:szCs w:val="22"/>
        </w:rPr>
        <w:t>о</w:t>
      </w:r>
      <w:r w:rsidRPr="008742E9">
        <w:rPr>
          <w:sz w:val="22"/>
          <w:szCs w:val="22"/>
        </w:rPr>
        <w:t>чубеевское  с поголовьем 167 кроликов, в период эпизоотии ВГБК, при массовой заболеваемости и гибели кроликов разных возрас</w:t>
      </w:r>
      <w:r w:rsidRPr="008742E9">
        <w:rPr>
          <w:sz w:val="22"/>
          <w:szCs w:val="22"/>
        </w:rPr>
        <w:t>т</w:t>
      </w:r>
      <w:r w:rsidRPr="008742E9">
        <w:rPr>
          <w:sz w:val="22"/>
          <w:szCs w:val="22"/>
        </w:rPr>
        <w:t>ных групп, иммунную сыворотку против ВГБК вводили в дозе 0,5 мл однократно внутримышечно всем кроликам независимо от во</w:t>
      </w:r>
      <w:r w:rsidRPr="008742E9">
        <w:rPr>
          <w:sz w:val="22"/>
          <w:szCs w:val="22"/>
        </w:rPr>
        <w:t>з</w:t>
      </w:r>
      <w:r w:rsidRPr="008742E9">
        <w:rPr>
          <w:sz w:val="22"/>
          <w:szCs w:val="22"/>
        </w:rPr>
        <w:t>раста и пола, не разделяя традиционно поголовье на явно больных, подозрительных по заболеванию и подозреваемых в заражении. П</w:t>
      </w:r>
      <w:r w:rsidRPr="008742E9">
        <w:rPr>
          <w:sz w:val="22"/>
          <w:szCs w:val="22"/>
        </w:rPr>
        <w:t>о</w:t>
      </w:r>
      <w:r w:rsidRPr="008742E9">
        <w:rPr>
          <w:sz w:val="22"/>
          <w:szCs w:val="22"/>
        </w:rPr>
        <w:t xml:space="preserve">сле введения иммунной сыворотки против ВГБК падеж кроликов прекратился и эффективность составила 85%.  </w:t>
      </w:r>
    </w:p>
    <w:p w:rsidR="000C7D3B" w:rsidRPr="008742E9" w:rsidRDefault="008742E9" w:rsidP="000C7D3B">
      <w:pPr>
        <w:ind w:firstLine="426"/>
        <w:jc w:val="both"/>
        <w:rPr>
          <w:sz w:val="22"/>
          <w:szCs w:val="22"/>
        </w:rPr>
      </w:pPr>
      <w:r w:rsidRPr="008742E9">
        <w:rPr>
          <w:sz w:val="22"/>
          <w:szCs w:val="22"/>
        </w:rPr>
        <w:t xml:space="preserve">Таким образом, </w:t>
      </w:r>
      <w:r w:rsidRPr="008742E9">
        <w:rPr>
          <w:bCs/>
          <w:iCs/>
          <w:sz w:val="22"/>
          <w:szCs w:val="22"/>
        </w:rPr>
        <w:t xml:space="preserve">изучено сверхострое и острое течение </w:t>
      </w:r>
      <w:r w:rsidRPr="008742E9">
        <w:rPr>
          <w:sz w:val="22"/>
          <w:szCs w:val="22"/>
        </w:rPr>
        <w:t>ВГБК</w:t>
      </w:r>
      <w:r w:rsidRPr="008742E9">
        <w:rPr>
          <w:bCs/>
          <w:iCs/>
          <w:sz w:val="22"/>
          <w:szCs w:val="22"/>
        </w:rPr>
        <w:t>, проявляющееся клиническими признаками (отказом от корма, вял</w:t>
      </w:r>
      <w:r w:rsidRPr="008742E9">
        <w:rPr>
          <w:bCs/>
          <w:iCs/>
          <w:sz w:val="22"/>
          <w:szCs w:val="22"/>
        </w:rPr>
        <w:t>о</w:t>
      </w:r>
      <w:r w:rsidRPr="008742E9">
        <w:rPr>
          <w:bCs/>
          <w:iCs/>
          <w:sz w:val="22"/>
          <w:szCs w:val="22"/>
        </w:rPr>
        <w:t>стью, взъерошенностью, повышением температуры тела, опускан</w:t>
      </w:r>
      <w:r w:rsidRPr="008742E9">
        <w:rPr>
          <w:bCs/>
          <w:iCs/>
          <w:sz w:val="22"/>
          <w:szCs w:val="22"/>
        </w:rPr>
        <w:t>и</w:t>
      </w:r>
      <w:r w:rsidRPr="008742E9">
        <w:rPr>
          <w:bCs/>
          <w:iCs/>
          <w:sz w:val="22"/>
          <w:szCs w:val="22"/>
        </w:rPr>
        <w:t>ем ушей, перед гибелью кроликов истечением кровянистой или п</w:t>
      </w:r>
      <w:r w:rsidRPr="008742E9">
        <w:rPr>
          <w:bCs/>
          <w:iCs/>
          <w:sz w:val="22"/>
          <w:szCs w:val="22"/>
        </w:rPr>
        <w:t>е</w:t>
      </w:r>
      <w:r w:rsidRPr="008742E9">
        <w:rPr>
          <w:bCs/>
          <w:iCs/>
          <w:sz w:val="22"/>
          <w:szCs w:val="22"/>
        </w:rPr>
        <w:t>нистой жидкости, в течение 72-96 часов после заражения кролики погибают). При патологоанатомическом вскрытии павших крол</w:t>
      </w:r>
      <w:r w:rsidRPr="008742E9">
        <w:rPr>
          <w:bCs/>
          <w:iCs/>
          <w:sz w:val="22"/>
          <w:szCs w:val="22"/>
        </w:rPr>
        <w:t>и</w:t>
      </w:r>
      <w:r w:rsidRPr="008742E9">
        <w:rPr>
          <w:bCs/>
          <w:iCs/>
          <w:sz w:val="22"/>
          <w:szCs w:val="22"/>
        </w:rPr>
        <w:t>ков от ВГБК наблюдали кровоизлияния в различных органах ле</w:t>
      </w:r>
      <w:r w:rsidRPr="008742E9">
        <w:rPr>
          <w:bCs/>
          <w:iCs/>
          <w:sz w:val="22"/>
          <w:szCs w:val="22"/>
        </w:rPr>
        <w:t>г</w:t>
      </w:r>
      <w:r w:rsidRPr="008742E9">
        <w:rPr>
          <w:bCs/>
          <w:iCs/>
          <w:sz w:val="22"/>
          <w:szCs w:val="22"/>
        </w:rPr>
        <w:t xml:space="preserve">ких, печени, почках и других органах. </w:t>
      </w:r>
      <w:r w:rsidRPr="008742E9">
        <w:rPr>
          <w:sz w:val="22"/>
          <w:szCs w:val="22"/>
        </w:rPr>
        <w:t>Разработаны схемы получ</w:t>
      </w:r>
      <w:r w:rsidRPr="008742E9">
        <w:rPr>
          <w:sz w:val="22"/>
          <w:szCs w:val="22"/>
        </w:rPr>
        <w:t>е</w:t>
      </w:r>
      <w:r w:rsidRPr="008742E9">
        <w:rPr>
          <w:sz w:val="22"/>
          <w:szCs w:val="22"/>
        </w:rPr>
        <w:t xml:space="preserve">ния иммунной сыворотки против ВГБК, позволяющие получать специфическую сыворотку с активностью в РЗГА не менее 1:64, </w:t>
      </w:r>
      <w:r w:rsidRPr="008742E9">
        <w:rPr>
          <w:sz w:val="22"/>
          <w:szCs w:val="22"/>
        </w:rPr>
        <w:lastRenderedPageBreak/>
        <w:t>обладающей лечебным и защитным действием в дозе 0,5 см</w:t>
      </w:r>
      <w:r w:rsidRPr="008742E9">
        <w:rPr>
          <w:sz w:val="22"/>
          <w:szCs w:val="22"/>
          <w:vertAlign w:val="superscript"/>
        </w:rPr>
        <w:t>3</w:t>
      </w:r>
      <w:r w:rsidRPr="008742E9">
        <w:rPr>
          <w:sz w:val="22"/>
          <w:szCs w:val="22"/>
        </w:rPr>
        <w:t xml:space="preserve"> в п</w:t>
      </w:r>
      <w:r w:rsidRPr="008742E9">
        <w:rPr>
          <w:sz w:val="22"/>
          <w:szCs w:val="22"/>
        </w:rPr>
        <w:t>е</w:t>
      </w:r>
      <w:r w:rsidRPr="008742E9">
        <w:rPr>
          <w:sz w:val="22"/>
          <w:szCs w:val="22"/>
        </w:rPr>
        <w:t>риод эпизоотии ВГБК.</w:t>
      </w:r>
    </w:p>
    <w:p w:rsidR="008742E9" w:rsidRPr="008742E9" w:rsidRDefault="008742E9" w:rsidP="00C342C9">
      <w:pPr>
        <w:ind w:firstLine="426"/>
        <w:jc w:val="center"/>
        <w:rPr>
          <w:sz w:val="22"/>
          <w:szCs w:val="22"/>
        </w:rPr>
      </w:pPr>
      <w:r w:rsidRPr="008742E9">
        <w:rPr>
          <w:sz w:val="22"/>
          <w:szCs w:val="22"/>
        </w:rPr>
        <w:t>Список литературы</w:t>
      </w:r>
    </w:p>
    <w:p w:rsidR="008742E9" w:rsidRPr="008742E9" w:rsidRDefault="008742E9" w:rsidP="00C342C9">
      <w:pPr>
        <w:ind w:firstLine="426"/>
        <w:rPr>
          <w:sz w:val="22"/>
          <w:szCs w:val="22"/>
        </w:rPr>
      </w:pPr>
      <w:r w:rsidRPr="008742E9">
        <w:rPr>
          <w:sz w:val="22"/>
          <w:szCs w:val="22"/>
        </w:rPr>
        <w:t>1. Шевченко, А.А. Инфекционные болезни кроликов в Красн</w:t>
      </w:r>
      <w:r w:rsidRPr="008742E9">
        <w:rPr>
          <w:sz w:val="22"/>
          <w:szCs w:val="22"/>
        </w:rPr>
        <w:t>о</w:t>
      </w:r>
      <w:r w:rsidRPr="008742E9">
        <w:rPr>
          <w:sz w:val="22"/>
          <w:szCs w:val="22"/>
        </w:rPr>
        <w:t>дарском крае и совершенствование профилактики / А.А. Шевченко, О.Ю. Черных, Л.В. Шевченко [и др.] // «Веткорм», ветеринария и кормление. – 2013. –  №5.– С. 55-56.</w:t>
      </w:r>
    </w:p>
    <w:p w:rsidR="008742E9" w:rsidRPr="008742E9" w:rsidRDefault="008742E9" w:rsidP="00C342C9">
      <w:pPr>
        <w:ind w:firstLine="426"/>
        <w:rPr>
          <w:rFonts w:eastAsia="Calibri"/>
          <w:sz w:val="22"/>
          <w:szCs w:val="22"/>
          <w:lang w:eastAsia="en-US"/>
        </w:rPr>
      </w:pPr>
      <w:r w:rsidRPr="008742E9">
        <w:rPr>
          <w:sz w:val="22"/>
          <w:szCs w:val="22"/>
        </w:rPr>
        <w:t xml:space="preserve">2. </w:t>
      </w:r>
      <w:r w:rsidRPr="008742E9">
        <w:rPr>
          <w:rFonts w:eastAsia="Calibri"/>
          <w:sz w:val="22"/>
          <w:szCs w:val="22"/>
          <w:lang w:eastAsia="en-US"/>
        </w:rPr>
        <w:t xml:space="preserve">Шевченко, А.А. </w:t>
      </w:r>
      <w:r w:rsidRPr="008742E9">
        <w:rPr>
          <w:sz w:val="22"/>
          <w:szCs w:val="22"/>
        </w:rPr>
        <w:t xml:space="preserve">Вирусная геморрагическая болезнь кроликов / А.А. </w:t>
      </w:r>
      <w:r w:rsidRPr="008742E9">
        <w:rPr>
          <w:rFonts w:eastAsia="Calibri"/>
          <w:sz w:val="22"/>
          <w:szCs w:val="22"/>
          <w:lang w:eastAsia="en-US"/>
        </w:rPr>
        <w:t xml:space="preserve">Шевченко, Л.В. Шевченко, В.Н. Шевкопляс </w:t>
      </w:r>
      <w:r w:rsidRPr="008742E9">
        <w:rPr>
          <w:sz w:val="22"/>
          <w:szCs w:val="22"/>
        </w:rPr>
        <w:t xml:space="preserve"> // Ветеринария Кубани. – 2011. –    №2.– С. 3-6.</w:t>
      </w:r>
    </w:p>
    <w:p w:rsidR="008742E9" w:rsidRPr="008742E9" w:rsidRDefault="008742E9" w:rsidP="00C342C9">
      <w:pPr>
        <w:ind w:firstLine="426"/>
        <w:jc w:val="both"/>
        <w:rPr>
          <w:sz w:val="22"/>
          <w:szCs w:val="22"/>
        </w:rPr>
      </w:pPr>
      <w:r w:rsidRPr="008742E9">
        <w:rPr>
          <w:sz w:val="22"/>
          <w:szCs w:val="22"/>
        </w:rPr>
        <w:t>3. Шевченко, А.А. Вирусная геморрагическая болезнь кроликов / А.А. Шевченко,  Л.В. Шевченко,  Д.Ю. Зеркалев [и др.] // Ветер</w:t>
      </w:r>
      <w:r w:rsidRPr="008742E9">
        <w:rPr>
          <w:sz w:val="22"/>
          <w:szCs w:val="22"/>
        </w:rPr>
        <w:t>и</w:t>
      </w:r>
      <w:r w:rsidRPr="008742E9">
        <w:rPr>
          <w:sz w:val="22"/>
          <w:szCs w:val="22"/>
        </w:rPr>
        <w:t xml:space="preserve">нария Кубани. - 2014 -  № 5. - С 11-17. </w:t>
      </w:r>
    </w:p>
    <w:p w:rsidR="008742E9" w:rsidRDefault="008742E9" w:rsidP="00C342C9">
      <w:pPr>
        <w:ind w:firstLine="426"/>
        <w:jc w:val="both"/>
        <w:rPr>
          <w:sz w:val="22"/>
          <w:szCs w:val="22"/>
        </w:rPr>
      </w:pPr>
      <w:r w:rsidRPr="008742E9">
        <w:rPr>
          <w:sz w:val="22"/>
          <w:szCs w:val="22"/>
        </w:rPr>
        <w:t>4. Шевченко, А.А. Мероприятия по вирусной геморрагической болезни кроликов / А.А. Шевченко,  Л.В. Шевченко,  Д.Ю. Зеркалев [и др.] // Тр. КубГАУ - 2014 -  № 6(51). – С. 103-107.</w:t>
      </w:r>
    </w:p>
    <w:p w:rsidR="00C342C9" w:rsidRDefault="00C342C9" w:rsidP="00C342C9">
      <w:pPr>
        <w:ind w:firstLine="426"/>
        <w:jc w:val="both"/>
        <w:rPr>
          <w:sz w:val="22"/>
          <w:szCs w:val="22"/>
        </w:rPr>
      </w:pPr>
    </w:p>
    <w:p w:rsidR="00C342C9" w:rsidRPr="008742E9" w:rsidRDefault="00C342C9" w:rsidP="00EB174D">
      <w:pPr>
        <w:jc w:val="both"/>
        <w:rPr>
          <w:sz w:val="22"/>
          <w:szCs w:val="22"/>
        </w:rPr>
      </w:pPr>
    </w:p>
    <w:p w:rsidR="008742E9" w:rsidRPr="008742E9" w:rsidRDefault="008742E9" w:rsidP="008742E9">
      <w:pPr>
        <w:jc w:val="both"/>
        <w:rPr>
          <w:b/>
          <w:bCs/>
          <w:sz w:val="22"/>
          <w:szCs w:val="22"/>
        </w:rPr>
      </w:pPr>
      <w:r w:rsidRPr="008742E9">
        <w:rPr>
          <w:spacing w:val="-4"/>
          <w:sz w:val="22"/>
          <w:szCs w:val="20"/>
        </w:rPr>
        <w:t xml:space="preserve">УДК </w:t>
      </w:r>
      <w:r w:rsidRPr="008742E9">
        <w:rPr>
          <w:sz w:val="22"/>
          <w:szCs w:val="20"/>
        </w:rPr>
        <w:t>619:612.017.1:636.5.082.35(470.620)</w:t>
      </w:r>
    </w:p>
    <w:p w:rsidR="008742E9" w:rsidRPr="008742E9" w:rsidRDefault="008742E9" w:rsidP="008742E9">
      <w:pPr>
        <w:jc w:val="both"/>
        <w:rPr>
          <w:b/>
          <w:bCs/>
          <w:sz w:val="18"/>
          <w:szCs w:val="22"/>
        </w:rPr>
      </w:pPr>
    </w:p>
    <w:p w:rsidR="008742E9" w:rsidRPr="008742E9" w:rsidRDefault="008742E9" w:rsidP="008742E9">
      <w:pPr>
        <w:jc w:val="center"/>
        <w:rPr>
          <w:b/>
          <w:sz w:val="22"/>
          <w:szCs w:val="22"/>
        </w:rPr>
      </w:pPr>
      <w:r w:rsidRPr="008742E9">
        <w:rPr>
          <w:b/>
          <w:bCs/>
          <w:sz w:val="24"/>
          <w:szCs w:val="22"/>
        </w:rPr>
        <w:t xml:space="preserve">Показатели бактериального фагоцитоза у </w:t>
      </w:r>
      <w:r w:rsidRPr="008742E9">
        <w:rPr>
          <w:b/>
          <w:sz w:val="24"/>
          <w:szCs w:val="22"/>
        </w:rPr>
        <w:t>кур-несушек кросса Хай-Лайн</w:t>
      </w:r>
    </w:p>
    <w:p w:rsidR="008742E9" w:rsidRPr="008742E9" w:rsidRDefault="008742E9" w:rsidP="008742E9">
      <w:pPr>
        <w:jc w:val="center"/>
        <w:rPr>
          <w:b/>
          <w:sz w:val="22"/>
          <w:szCs w:val="22"/>
          <w:shd w:val="clear" w:color="auto" w:fill="FFFFFF"/>
          <w:lang w:val="en-US"/>
        </w:rPr>
      </w:pPr>
      <w:r w:rsidRPr="008742E9">
        <w:rPr>
          <w:b/>
          <w:sz w:val="24"/>
          <w:szCs w:val="22"/>
          <w:shd w:val="clear" w:color="auto" w:fill="FFFFFF"/>
          <w:lang w:val="en-US"/>
        </w:rPr>
        <w:t xml:space="preserve">Indicators of bacterial phagocytosis in laying </w:t>
      </w:r>
      <w:r w:rsidRPr="008742E9">
        <w:rPr>
          <w:b/>
          <w:sz w:val="24"/>
          <w:szCs w:val="22"/>
          <w:shd w:val="clear" w:color="auto" w:fill="FFFFFF"/>
          <w:lang w:val="en-US"/>
        </w:rPr>
        <w:br/>
        <w:t>hens cross high-Line</w:t>
      </w:r>
    </w:p>
    <w:p w:rsidR="008742E9" w:rsidRPr="008742E9" w:rsidRDefault="008742E9" w:rsidP="008742E9">
      <w:pPr>
        <w:jc w:val="center"/>
        <w:rPr>
          <w:b/>
          <w:sz w:val="20"/>
          <w:szCs w:val="24"/>
          <w:lang w:val="en-US"/>
        </w:rPr>
      </w:pPr>
    </w:p>
    <w:p w:rsidR="00C342C9" w:rsidRDefault="008742E9" w:rsidP="00EB174D">
      <w:pPr>
        <w:jc w:val="right"/>
        <w:rPr>
          <w:sz w:val="22"/>
          <w:szCs w:val="24"/>
        </w:rPr>
      </w:pPr>
      <w:r w:rsidRPr="008742E9">
        <w:rPr>
          <w:sz w:val="22"/>
          <w:szCs w:val="24"/>
        </w:rPr>
        <w:t>Ульянов А. С.,</w:t>
      </w:r>
      <w:r w:rsidR="00EB174D">
        <w:rPr>
          <w:sz w:val="22"/>
          <w:szCs w:val="24"/>
        </w:rPr>
        <w:t xml:space="preserve"> </w:t>
      </w:r>
      <w:r w:rsidRPr="008742E9">
        <w:rPr>
          <w:sz w:val="22"/>
          <w:szCs w:val="24"/>
        </w:rPr>
        <w:t>Трусова Л. Г.,</w:t>
      </w:r>
      <w:r w:rsidR="00EB174D">
        <w:rPr>
          <w:sz w:val="22"/>
          <w:szCs w:val="24"/>
        </w:rPr>
        <w:t xml:space="preserve"> </w:t>
      </w:r>
      <w:r w:rsidRPr="008742E9">
        <w:rPr>
          <w:sz w:val="22"/>
          <w:szCs w:val="24"/>
        </w:rPr>
        <w:t>Старков В. И.,</w:t>
      </w:r>
    </w:p>
    <w:p w:rsidR="008742E9" w:rsidRPr="008742E9" w:rsidRDefault="000C7D3B" w:rsidP="008742E9">
      <w:pPr>
        <w:jc w:val="right"/>
        <w:rPr>
          <w:sz w:val="22"/>
          <w:szCs w:val="24"/>
        </w:rPr>
      </w:pPr>
      <w:r>
        <w:rPr>
          <w:sz w:val="22"/>
          <w:szCs w:val="24"/>
        </w:rPr>
        <w:t>студенты</w:t>
      </w:r>
      <w:r w:rsidR="00EB174D">
        <w:rPr>
          <w:sz w:val="22"/>
          <w:szCs w:val="24"/>
        </w:rPr>
        <w:t xml:space="preserve"> факультет</w:t>
      </w:r>
      <w:r>
        <w:rPr>
          <w:sz w:val="22"/>
          <w:szCs w:val="24"/>
        </w:rPr>
        <w:t>а</w:t>
      </w:r>
      <w:r w:rsidR="008742E9" w:rsidRPr="008742E9">
        <w:rPr>
          <w:sz w:val="22"/>
          <w:szCs w:val="24"/>
        </w:rPr>
        <w:t xml:space="preserve"> ветеринарной медицины</w:t>
      </w:r>
    </w:p>
    <w:p w:rsidR="008742E9" w:rsidRPr="008742E9" w:rsidRDefault="008742E9" w:rsidP="008742E9">
      <w:pPr>
        <w:jc w:val="right"/>
        <w:rPr>
          <w:sz w:val="22"/>
          <w:szCs w:val="24"/>
        </w:rPr>
      </w:pPr>
      <w:r w:rsidRPr="008742E9">
        <w:rPr>
          <w:sz w:val="22"/>
          <w:szCs w:val="24"/>
        </w:rPr>
        <w:t>Гугушвили Н. Н.,</w:t>
      </w:r>
    </w:p>
    <w:p w:rsidR="008742E9" w:rsidRPr="008742E9" w:rsidRDefault="008742E9" w:rsidP="008742E9">
      <w:pPr>
        <w:jc w:val="right"/>
        <w:rPr>
          <w:sz w:val="22"/>
          <w:szCs w:val="24"/>
        </w:rPr>
      </w:pPr>
      <w:r w:rsidRPr="008742E9">
        <w:rPr>
          <w:sz w:val="22"/>
          <w:szCs w:val="24"/>
        </w:rPr>
        <w:t>профессор кафедры микробиологии,</w:t>
      </w:r>
    </w:p>
    <w:p w:rsidR="008742E9" w:rsidRPr="008742E9" w:rsidRDefault="008742E9" w:rsidP="008742E9">
      <w:pPr>
        <w:jc w:val="right"/>
        <w:rPr>
          <w:sz w:val="22"/>
          <w:szCs w:val="24"/>
        </w:rPr>
      </w:pPr>
      <w:r w:rsidRPr="008742E9">
        <w:rPr>
          <w:sz w:val="22"/>
          <w:szCs w:val="24"/>
        </w:rPr>
        <w:t>эпизоотологии и вирусологии,</w:t>
      </w:r>
    </w:p>
    <w:p w:rsidR="008742E9" w:rsidRPr="008742E9" w:rsidRDefault="008742E9" w:rsidP="008742E9">
      <w:pPr>
        <w:jc w:val="right"/>
        <w:rPr>
          <w:sz w:val="22"/>
          <w:szCs w:val="24"/>
        </w:rPr>
      </w:pPr>
      <w:r w:rsidRPr="008742E9">
        <w:rPr>
          <w:sz w:val="22"/>
          <w:szCs w:val="24"/>
        </w:rPr>
        <w:t>Горпинченко Е. А.,</w:t>
      </w:r>
    </w:p>
    <w:p w:rsidR="008742E9" w:rsidRPr="008742E9" w:rsidRDefault="008742E9" w:rsidP="008742E9">
      <w:pPr>
        <w:jc w:val="right"/>
        <w:rPr>
          <w:sz w:val="22"/>
          <w:szCs w:val="24"/>
        </w:rPr>
      </w:pPr>
      <w:r w:rsidRPr="008742E9">
        <w:rPr>
          <w:sz w:val="22"/>
          <w:szCs w:val="24"/>
        </w:rPr>
        <w:t>доцент кафедры терапии и фармакологии</w:t>
      </w:r>
    </w:p>
    <w:p w:rsidR="008742E9" w:rsidRPr="008742E9" w:rsidRDefault="008742E9" w:rsidP="008742E9">
      <w:pPr>
        <w:jc w:val="right"/>
        <w:rPr>
          <w:sz w:val="22"/>
          <w:szCs w:val="24"/>
        </w:rPr>
      </w:pPr>
      <w:r w:rsidRPr="008742E9">
        <w:rPr>
          <w:sz w:val="22"/>
          <w:szCs w:val="24"/>
        </w:rPr>
        <w:t>Инюкина Т. А.,</w:t>
      </w:r>
    </w:p>
    <w:p w:rsidR="008742E9" w:rsidRPr="008742E9" w:rsidRDefault="008742E9" w:rsidP="008742E9">
      <w:pPr>
        <w:jc w:val="right"/>
        <w:rPr>
          <w:sz w:val="22"/>
          <w:szCs w:val="22"/>
        </w:rPr>
      </w:pPr>
      <w:r w:rsidRPr="008742E9">
        <w:rPr>
          <w:sz w:val="22"/>
          <w:szCs w:val="24"/>
        </w:rPr>
        <w:t xml:space="preserve">доцент кафедры </w:t>
      </w:r>
      <w:r w:rsidRPr="008742E9">
        <w:rPr>
          <w:sz w:val="22"/>
          <w:szCs w:val="22"/>
        </w:rPr>
        <w:t xml:space="preserve">механизации </w:t>
      </w:r>
    </w:p>
    <w:p w:rsidR="008742E9" w:rsidRPr="008742E9" w:rsidRDefault="008742E9" w:rsidP="008742E9">
      <w:pPr>
        <w:jc w:val="right"/>
        <w:rPr>
          <w:sz w:val="22"/>
          <w:szCs w:val="24"/>
        </w:rPr>
      </w:pPr>
      <w:r w:rsidRPr="008742E9">
        <w:rPr>
          <w:sz w:val="22"/>
          <w:szCs w:val="22"/>
        </w:rPr>
        <w:t>животноводства и безопасности жизнедеятельности</w:t>
      </w:r>
      <w:r w:rsidRPr="008742E9">
        <w:rPr>
          <w:sz w:val="22"/>
          <w:szCs w:val="24"/>
        </w:rPr>
        <w:t xml:space="preserve"> </w:t>
      </w:r>
    </w:p>
    <w:p w:rsidR="008742E9" w:rsidRPr="008742E9" w:rsidRDefault="008742E9" w:rsidP="008742E9">
      <w:pPr>
        <w:jc w:val="right"/>
        <w:rPr>
          <w:sz w:val="22"/>
          <w:szCs w:val="24"/>
        </w:rPr>
      </w:pPr>
      <w:r w:rsidRPr="008742E9">
        <w:rPr>
          <w:sz w:val="22"/>
          <w:szCs w:val="24"/>
        </w:rPr>
        <w:t xml:space="preserve">Кубанский государственный аграрный </w:t>
      </w:r>
    </w:p>
    <w:p w:rsidR="008742E9" w:rsidRPr="008742E9" w:rsidRDefault="008742E9" w:rsidP="008742E9">
      <w:pPr>
        <w:jc w:val="right"/>
        <w:rPr>
          <w:sz w:val="22"/>
          <w:szCs w:val="24"/>
        </w:rPr>
      </w:pPr>
      <w:r w:rsidRPr="008742E9">
        <w:rPr>
          <w:sz w:val="22"/>
          <w:szCs w:val="24"/>
        </w:rPr>
        <w:t>университет имени И. Т. Трубилина</w:t>
      </w:r>
    </w:p>
    <w:p w:rsidR="008742E9" w:rsidRPr="008742E9" w:rsidRDefault="008742E9" w:rsidP="008742E9">
      <w:pPr>
        <w:jc w:val="both"/>
        <w:rPr>
          <w:sz w:val="16"/>
          <w:szCs w:val="16"/>
        </w:rPr>
      </w:pPr>
    </w:p>
    <w:p w:rsidR="008742E9" w:rsidRPr="008742E9" w:rsidRDefault="00C342C9" w:rsidP="00C342C9">
      <w:pPr>
        <w:ind w:firstLine="426"/>
        <w:jc w:val="both"/>
        <w:rPr>
          <w:sz w:val="22"/>
          <w:szCs w:val="22"/>
        </w:rPr>
      </w:pPr>
      <w:r w:rsidRPr="008742E9">
        <w:rPr>
          <w:sz w:val="22"/>
          <w:szCs w:val="22"/>
        </w:rPr>
        <w:lastRenderedPageBreak/>
        <w:t>АННОТАЦИЯ:</w:t>
      </w:r>
      <w:r w:rsidR="008742E9" w:rsidRPr="008742E9">
        <w:rPr>
          <w:sz w:val="20"/>
          <w:szCs w:val="22"/>
        </w:rPr>
        <w:t xml:space="preserve"> </w:t>
      </w:r>
      <w:r w:rsidR="008742E9" w:rsidRPr="008742E9">
        <w:rPr>
          <w:sz w:val="22"/>
          <w:szCs w:val="22"/>
        </w:rPr>
        <w:t xml:space="preserve">Изучено влияние </w:t>
      </w:r>
      <w:r w:rsidR="008742E9" w:rsidRPr="008742E9">
        <w:rPr>
          <w:sz w:val="22"/>
          <w:szCs w:val="22"/>
          <w:lang w:val="en-US"/>
        </w:rPr>
        <w:t>Fusarium</w:t>
      </w:r>
      <w:r w:rsidR="008742E9" w:rsidRPr="008742E9">
        <w:rPr>
          <w:sz w:val="22"/>
          <w:szCs w:val="22"/>
        </w:rPr>
        <w:t xml:space="preserve"> </w:t>
      </w:r>
      <w:r w:rsidR="008742E9" w:rsidRPr="008742E9">
        <w:rPr>
          <w:sz w:val="22"/>
          <w:szCs w:val="22"/>
          <w:lang w:val="en-US"/>
        </w:rPr>
        <w:t>graminearum</w:t>
      </w:r>
      <w:r w:rsidR="008742E9" w:rsidRPr="008742E9">
        <w:rPr>
          <w:sz w:val="22"/>
          <w:szCs w:val="22"/>
        </w:rPr>
        <w:t xml:space="preserve"> на и</w:t>
      </w:r>
      <w:r w:rsidR="008742E9" w:rsidRPr="008742E9">
        <w:rPr>
          <w:sz w:val="22"/>
          <w:szCs w:val="22"/>
        </w:rPr>
        <w:t>м</w:t>
      </w:r>
      <w:r w:rsidR="008742E9" w:rsidRPr="008742E9">
        <w:rPr>
          <w:sz w:val="22"/>
          <w:szCs w:val="22"/>
        </w:rPr>
        <w:t>мунитет кур-несушек кросса Хай-Лайн.</w:t>
      </w:r>
    </w:p>
    <w:p w:rsidR="008742E9" w:rsidRPr="008742E9" w:rsidRDefault="00C342C9" w:rsidP="00C342C9">
      <w:pPr>
        <w:ind w:firstLine="426"/>
        <w:jc w:val="both"/>
        <w:rPr>
          <w:sz w:val="22"/>
          <w:szCs w:val="22"/>
          <w:lang w:val="en-US"/>
        </w:rPr>
      </w:pPr>
      <w:r w:rsidRPr="008742E9">
        <w:rPr>
          <w:sz w:val="22"/>
          <w:szCs w:val="22"/>
          <w:shd w:val="clear" w:color="auto" w:fill="FFFFFF"/>
          <w:lang w:val="en-US"/>
        </w:rPr>
        <w:t xml:space="preserve">ABSTRACT: </w:t>
      </w:r>
      <w:r w:rsidR="008742E9" w:rsidRPr="008742E9">
        <w:rPr>
          <w:sz w:val="22"/>
          <w:szCs w:val="22"/>
          <w:shd w:val="clear" w:color="auto" w:fill="FFFFFF"/>
          <w:lang w:val="en-US"/>
        </w:rPr>
        <w:t>the effect of Fusarium graminearum on the immunity of hens of cross-high-Line is Studied.</w:t>
      </w:r>
    </w:p>
    <w:p w:rsidR="008742E9" w:rsidRPr="008742E9" w:rsidRDefault="00C342C9" w:rsidP="00C342C9">
      <w:pPr>
        <w:ind w:firstLine="426"/>
        <w:jc w:val="both"/>
        <w:rPr>
          <w:sz w:val="20"/>
          <w:szCs w:val="22"/>
        </w:rPr>
      </w:pPr>
      <w:r w:rsidRPr="008742E9">
        <w:rPr>
          <w:sz w:val="22"/>
          <w:szCs w:val="22"/>
        </w:rPr>
        <w:t xml:space="preserve">КЛЮЧЕВЫЕ СЛОВА: </w:t>
      </w:r>
      <w:r w:rsidR="008742E9" w:rsidRPr="008742E9">
        <w:rPr>
          <w:sz w:val="22"/>
          <w:szCs w:val="22"/>
        </w:rPr>
        <w:t>куры несушки, фагоцитоз, псевдоэоз</w:t>
      </w:r>
      <w:r w:rsidR="008742E9" w:rsidRPr="008742E9">
        <w:rPr>
          <w:sz w:val="22"/>
          <w:szCs w:val="22"/>
        </w:rPr>
        <w:t>и</w:t>
      </w:r>
      <w:r w:rsidR="008742E9" w:rsidRPr="008742E9">
        <w:rPr>
          <w:sz w:val="22"/>
          <w:szCs w:val="22"/>
        </w:rPr>
        <w:t>нофилы</w:t>
      </w:r>
    </w:p>
    <w:p w:rsidR="008742E9" w:rsidRPr="008742E9" w:rsidRDefault="00C342C9" w:rsidP="00C342C9">
      <w:pPr>
        <w:ind w:firstLine="426"/>
        <w:jc w:val="both"/>
        <w:rPr>
          <w:sz w:val="22"/>
          <w:szCs w:val="22"/>
          <w:lang w:val="en-US"/>
        </w:rPr>
      </w:pPr>
      <w:r w:rsidRPr="008742E9">
        <w:rPr>
          <w:sz w:val="22"/>
          <w:szCs w:val="22"/>
          <w:shd w:val="clear" w:color="auto" w:fill="FFFFFF"/>
          <w:lang w:val="en-US"/>
        </w:rPr>
        <w:t>KEYWORDS:</w:t>
      </w:r>
      <w:r w:rsidR="008742E9" w:rsidRPr="008742E9">
        <w:rPr>
          <w:sz w:val="22"/>
          <w:szCs w:val="22"/>
          <w:shd w:val="clear" w:color="auto" w:fill="FFFFFF"/>
          <w:lang w:val="en-US"/>
        </w:rPr>
        <w:t xml:space="preserve"> laying hens, phagocytosis, pseudosinella.</w:t>
      </w:r>
    </w:p>
    <w:p w:rsidR="008742E9" w:rsidRPr="008742E9" w:rsidRDefault="008742E9" w:rsidP="00C342C9">
      <w:pPr>
        <w:ind w:firstLine="426"/>
        <w:jc w:val="both"/>
        <w:rPr>
          <w:sz w:val="16"/>
          <w:szCs w:val="22"/>
          <w:lang w:val="en-US"/>
        </w:rPr>
      </w:pPr>
    </w:p>
    <w:p w:rsidR="008742E9" w:rsidRPr="008742E9" w:rsidRDefault="008742E9" w:rsidP="00C342C9">
      <w:pPr>
        <w:ind w:firstLine="426"/>
        <w:jc w:val="both"/>
        <w:rPr>
          <w:sz w:val="22"/>
          <w:szCs w:val="22"/>
        </w:rPr>
      </w:pPr>
      <w:r w:rsidRPr="008742E9">
        <w:rPr>
          <w:sz w:val="22"/>
          <w:szCs w:val="22"/>
        </w:rPr>
        <w:t>Изучение функциональной активности псевдоэозинофильных гранулоцитов крови птиц в период их развития имеет большое зн</w:t>
      </w:r>
      <w:r w:rsidRPr="008742E9">
        <w:rPr>
          <w:sz w:val="22"/>
          <w:szCs w:val="22"/>
        </w:rPr>
        <w:t>а</w:t>
      </w:r>
      <w:r w:rsidRPr="008742E9">
        <w:rPr>
          <w:sz w:val="22"/>
          <w:szCs w:val="22"/>
        </w:rPr>
        <w:t xml:space="preserve">чение так как эти клетки выполняют защитную роль в их организме, это связано с высоким внутриклеточным содержанием ферментов и энергетического материала. </w:t>
      </w:r>
      <w:r w:rsidRPr="008742E9">
        <w:rPr>
          <w:spacing w:val="-6"/>
          <w:sz w:val="22"/>
          <w:szCs w:val="22"/>
        </w:rPr>
        <w:t>Способность псевдоэозинофилов к фаг</w:t>
      </w:r>
      <w:r w:rsidRPr="008742E9">
        <w:rPr>
          <w:spacing w:val="-6"/>
          <w:sz w:val="22"/>
          <w:szCs w:val="22"/>
        </w:rPr>
        <w:t>о</w:t>
      </w:r>
      <w:r w:rsidRPr="008742E9">
        <w:rPr>
          <w:spacing w:val="-6"/>
          <w:sz w:val="22"/>
          <w:szCs w:val="22"/>
        </w:rPr>
        <w:t>цитозу является основной их функцией, играющей первостепенную роль в противоинфекционной защите [1, 2].</w:t>
      </w:r>
    </w:p>
    <w:p w:rsidR="008742E9" w:rsidRPr="008742E9" w:rsidRDefault="008742E9" w:rsidP="00C342C9">
      <w:pPr>
        <w:ind w:firstLine="426"/>
        <w:jc w:val="both"/>
        <w:rPr>
          <w:sz w:val="22"/>
          <w:szCs w:val="22"/>
        </w:rPr>
      </w:pPr>
      <w:r w:rsidRPr="008742E9">
        <w:rPr>
          <w:sz w:val="22"/>
          <w:szCs w:val="22"/>
        </w:rPr>
        <w:t xml:space="preserve">В результате проведенных исследований нами установлено, что у кур-несушек в первой опытной группе на третьи сутки после скармливания зерна «Вита», пораженного на полях грибом </w:t>
      </w:r>
      <w:r w:rsidRPr="008742E9">
        <w:rPr>
          <w:sz w:val="22"/>
          <w:szCs w:val="22"/>
          <w:lang w:val="en-US"/>
        </w:rPr>
        <w:t>Fusarium</w:t>
      </w:r>
      <w:r w:rsidRPr="008742E9">
        <w:rPr>
          <w:sz w:val="22"/>
          <w:szCs w:val="22"/>
        </w:rPr>
        <w:t xml:space="preserve"> </w:t>
      </w:r>
      <w:r w:rsidRPr="008742E9">
        <w:rPr>
          <w:sz w:val="22"/>
          <w:szCs w:val="22"/>
          <w:lang w:val="en-US"/>
        </w:rPr>
        <w:t>graminearum</w:t>
      </w:r>
      <w:r w:rsidRPr="008742E9">
        <w:rPr>
          <w:sz w:val="22"/>
          <w:szCs w:val="22"/>
        </w:rPr>
        <w:t xml:space="preserve"> наблюдалось повышение активных фагоцитов в первой опытной группе был выше на 20 %, во второй группе – на 14 %, ф</w:t>
      </w:r>
      <w:r w:rsidRPr="008742E9">
        <w:rPr>
          <w:sz w:val="22"/>
          <w:szCs w:val="22"/>
        </w:rPr>
        <w:t>а</w:t>
      </w:r>
      <w:r w:rsidRPr="008742E9">
        <w:rPr>
          <w:sz w:val="22"/>
          <w:szCs w:val="22"/>
        </w:rPr>
        <w:t>гоцитарного числа псевдоэозинофилов в первой опытной группе – в 1,4 раза, во второй группе – в 2 раза, переваривающая способность псевдоэозинофилов в первой опытной группе – на 30 %, во второй опытной группе – на 22 %, относительно контрольной группы. З</w:t>
      </w:r>
      <w:r w:rsidRPr="008742E9">
        <w:rPr>
          <w:sz w:val="22"/>
          <w:szCs w:val="22"/>
        </w:rPr>
        <w:t>а</w:t>
      </w:r>
      <w:r w:rsidRPr="008742E9">
        <w:rPr>
          <w:sz w:val="22"/>
          <w:szCs w:val="22"/>
        </w:rPr>
        <w:t>тем в опытных группах отмечено снижение фагоцитирующей сп</w:t>
      </w:r>
      <w:r w:rsidRPr="008742E9">
        <w:rPr>
          <w:sz w:val="22"/>
          <w:szCs w:val="22"/>
        </w:rPr>
        <w:t>о</w:t>
      </w:r>
      <w:r w:rsidRPr="008742E9">
        <w:rPr>
          <w:sz w:val="22"/>
          <w:szCs w:val="22"/>
        </w:rPr>
        <w:t>собности. Так, 14-ти суткам в первой опытной группе происходило достоверное снижение фагоцитарного числа псевдоэозинофилов в 1,7 раза, переваривающей способности псевдоэозинофилов – в 1,4 раза. Во второй опытной группе фагоцитарное число псевдоэоз</w:t>
      </w:r>
      <w:r w:rsidRPr="008742E9">
        <w:rPr>
          <w:sz w:val="22"/>
          <w:szCs w:val="22"/>
        </w:rPr>
        <w:t>и</w:t>
      </w:r>
      <w:r w:rsidRPr="008742E9">
        <w:rPr>
          <w:sz w:val="22"/>
          <w:szCs w:val="22"/>
        </w:rPr>
        <w:t>нофилов снижалось в 2,4 раза, переваривающая способность псе</w:t>
      </w:r>
      <w:r w:rsidRPr="008742E9">
        <w:rPr>
          <w:sz w:val="22"/>
          <w:szCs w:val="22"/>
        </w:rPr>
        <w:t>в</w:t>
      </w:r>
      <w:r w:rsidRPr="008742E9">
        <w:rPr>
          <w:sz w:val="22"/>
          <w:szCs w:val="22"/>
        </w:rPr>
        <w:t>доэозинофилов – в 1,5 раза, относительно трех суток опытных групп. При сравнении с контрольной группой на четырнадцатые сутки происходило снижение процента активно фагоцитирующих псевдоэозинофилов в первой опытной группе на 8 %, фагоцитарн</w:t>
      </w:r>
      <w:r w:rsidRPr="008742E9">
        <w:rPr>
          <w:sz w:val="22"/>
          <w:szCs w:val="22"/>
        </w:rPr>
        <w:t>о</w:t>
      </w:r>
      <w:r w:rsidRPr="008742E9">
        <w:rPr>
          <w:sz w:val="22"/>
          <w:szCs w:val="22"/>
        </w:rPr>
        <w:t>го числа псевдоэозинофилов – на 23 %, переваривающей способн</w:t>
      </w:r>
      <w:r w:rsidRPr="008742E9">
        <w:rPr>
          <w:sz w:val="22"/>
          <w:szCs w:val="22"/>
        </w:rPr>
        <w:t>о</w:t>
      </w:r>
      <w:r w:rsidRPr="008742E9">
        <w:rPr>
          <w:sz w:val="22"/>
          <w:szCs w:val="22"/>
        </w:rPr>
        <w:t>сти псевдоэозинофилов – на 7 %. Во второй опытной группе наблюдалось снижение процента активно фагоцитирующих псе</w:t>
      </w:r>
      <w:r w:rsidRPr="008742E9">
        <w:rPr>
          <w:sz w:val="22"/>
          <w:szCs w:val="22"/>
        </w:rPr>
        <w:t>в</w:t>
      </w:r>
      <w:r w:rsidRPr="008742E9">
        <w:rPr>
          <w:sz w:val="22"/>
          <w:szCs w:val="22"/>
        </w:rPr>
        <w:t>доэозинофилов на 12 %, поглотительной способности псевдоэоз</w:t>
      </w:r>
      <w:r w:rsidRPr="008742E9">
        <w:rPr>
          <w:sz w:val="22"/>
          <w:szCs w:val="22"/>
        </w:rPr>
        <w:t>и</w:t>
      </w:r>
      <w:r w:rsidRPr="008742E9">
        <w:rPr>
          <w:sz w:val="22"/>
          <w:szCs w:val="22"/>
        </w:rPr>
        <w:lastRenderedPageBreak/>
        <w:t>нофилов – на 18 %, переваривающей способности псевдоэозиноф</w:t>
      </w:r>
      <w:r w:rsidRPr="008742E9">
        <w:rPr>
          <w:sz w:val="22"/>
          <w:szCs w:val="22"/>
        </w:rPr>
        <w:t>и</w:t>
      </w:r>
      <w:r w:rsidRPr="008742E9">
        <w:rPr>
          <w:sz w:val="22"/>
          <w:szCs w:val="22"/>
        </w:rPr>
        <w:t>лов – на 11 %.</w:t>
      </w:r>
    </w:p>
    <w:p w:rsidR="008742E9" w:rsidRPr="008742E9" w:rsidRDefault="008742E9" w:rsidP="00C342C9">
      <w:pPr>
        <w:ind w:firstLine="426"/>
        <w:jc w:val="both"/>
        <w:rPr>
          <w:sz w:val="22"/>
          <w:szCs w:val="22"/>
        </w:rPr>
      </w:pPr>
      <w:r w:rsidRPr="008742E9">
        <w:rPr>
          <w:sz w:val="22"/>
          <w:szCs w:val="22"/>
        </w:rPr>
        <w:t>К 30-ти суткам в первой опытной группе происходило дост</w:t>
      </w:r>
      <w:r w:rsidRPr="008742E9">
        <w:rPr>
          <w:sz w:val="22"/>
          <w:szCs w:val="22"/>
        </w:rPr>
        <w:t>о</w:t>
      </w:r>
      <w:r w:rsidRPr="008742E9">
        <w:rPr>
          <w:sz w:val="22"/>
          <w:szCs w:val="22"/>
        </w:rPr>
        <w:t>верное повышение переваривающей способности псевдоэозиноф</w:t>
      </w:r>
      <w:r w:rsidRPr="008742E9">
        <w:rPr>
          <w:sz w:val="22"/>
          <w:szCs w:val="22"/>
        </w:rPr>
        <w:t>и</w:t>
      </w:r>
      <w:r w:rsidRPr="008742E9">
        <w:rPr>
          <w:sz w:val="22"/>
          <w:szCs w:val="22"/>
        </w:rPr>
        <w:t>лов на 7 %, во второй опытной группе фагоцитарного числа псе</w:t>
      </w:r>
      <w:r w:rsidRPr="008742E9">
        <w:rPr>
          <w:sz w:val="22"/>
          <w:szCs w:val="22"/>
        </w:rPr>
        <w:t>в</w:t>
      </w:r>
      <w:r w:rsidRPr="008742E9">
        <w:rPr>
          <w:sz w:val="22"/>
          <w:szCs w:val="22"/>
        </w:rPr>
        <w:t>доэозинофилов в 2 раза относительно четырнадцати суток опытных групп. При сравнении с контрольной группой на 30-е сутки у кур-несушек происходило снижение процента активно фагоцитиру</w:t>
      </w:r>
      <w:r w:rsidRPr="008742E9">
        <w:rPr>
          <w:sz w:val="22"/>
          <w:szCs w:val="22"/>
        </w:rPr>
        <w:t>ю</w:t>
      </w:r>
      <w:r w:rsidRPr="008742E9">
        <w:rPr>
          <w:sz w:val="22"/>
          <w:szCs w:val="22"/>
        </w:rPr>
        <w:t>щих псевдоэозинофилов в первой опытной группе на 13 %, фагоц</w:t>
      </w:r>
      <w:r w:rsidRPr="008742E9">
        <w:rPr>
          <w:sz w:val="22"/>
          <w:szCs w:val="22"/>
        </w:rPr>
        <w:t>и</w:t>
      </w:r>
      <w:r w:rsidRPr="008742E9">
        <w:rPr>
          <w:sz w:val="22"/>
          <w:szCs w:val="22"/>
        </w:rPr>
        <w:t>тарного числа псевдоэозинофилов – на 28 %, переваривающей сп</w:t>
      </w:r>
      <w:r w:rsidRPr="008742E9">
        <w:rPr>
          <w:sz w:val="22"/>
          <w:szCs w:val="22"/>
        </w:rPr>
        <w:t>о</w:t>
      </w:r>
      <w:r w:rsidRPr="008742E9">
        <w:rPr>
          <w:sz w:val="22"/>
          <w:szCs w:val="22"/>
        </w:rPr>
        <w:t>собности псевдоэозинофилов – на 10 %. Во второй опытной группе происходило снижение активно фагоцитирующих псевдоэозиноф</w:t>
      </w:r>
      <w:r w:rsidRPr="008742E9">
        <w:rPr>
          <w:sz w:val="22"/>
          <w:szCs w:val="22"/>
        </w:rPr>
        <w:t>и</w:t>
      </w:r>
      <w:r w:rsidRPr="008742E9">
        <w:rPr>
          <w:sz w:val="22"/>
          <w:szCs w:val="22"/>
        </w:rPr>
        <w:t>лов на 16 %, переваривающей способности псевдоэозинофилов – на 18 % и, напротив, повышение фагоцитарного числа псевдоэозин</w:t>
      </w:r>
      <w:r w:rsidRPr="008742E9">
        <w:rPr>
          <w:sz w:val="22"/>
          <w:szCs w:val="22"/>
        </w:rPr>
        <w:t>о</w:t>
      </w:r>
      <w:r w:rsidRPr="008742E9">
        <w:rPr>
          <w:sz w:val="22"/>
          <w:szCs w:val="22"/>
        </w:rPr>
        <w:t xml:space="preserve">филов – на 34 %. Необходимо отметить, что на третьи сутки после скармливания курам несушкам зерна «Вита», пораженного на полях грибом </w:t>
      </w:r>
      <w:r w:rsidRPr="008742E9">
        <w:rPr>
          <w:sz w:val="22"/>
          <w:szCs w:val="22"/>
          <w:lang w:val="en-US"/>
        </w:rPr>
        <w:t>Fusarium</w:t>
      </w:r>
      <w:r w:rsidRPr="008742E9">
        <w:rPr>
          <w:sz w:val="22"/>
          <w:szCs w:val="22"/>
        </w:rPr>
        <w:t xml:space="preserve"> </w:t>
      </w:r>
      <w:r w:rsidRPr="008742E9">
        <w:rPr>
          <w:sz w:val="22"/>
          <w:szCs w:val="22"/>
          <w:lang w:val="en-US"/>
        </w:rPr>
        <w:t>graminearum</w:t>
      </w:r>
      <w:r w:rsidRPr="008742E9">
        <w:rPr>
          <w:sz w:val="22"/>
          <w:szCs w:val="22"/>
        </w:rPr>
        <w:t xml:space="preserve"> и зараженного зерна «Вита» в лабор</w:t>
      </w:r>
      <w:r w:rsidRPr="008742E9">
        <w:rPr>
          <w:sz w:val="22"/>
          <w:szCs w:val="22"/>
        </w:rPr>
        <w:t>а</w:t>
      </w:r>
      <w:r w:rsidRPr="008742E9">
        <w:rPr>
          <w:sz w:val="22"/>
          <w:szCs w:val="22"/>
        </w:rPr>
        <w:t xml:space="preserve">торных условиях, коэффициент мобилизации псевдоэозинофилов в первой опытной группе был выше в 1,3 раза, во второй опытной – в 1,6 раза, относительно контрольной группы </w:t>
      </w:r>
    </w:p>
    <w:p w:rsidR="008742E9" w:rsidRPr="008742E9" w:rsidRDefault="008742E9" w:rsidP="00C342C9">
      <w:pPr>
        <w:ind w:firstLine="426"/>
        <w:jc w:val="both"/>
        <w:rPr>
          <w:sz w:val="22"/>
          <w:szCs w:val="22"/>
        </w:rPr>
      </w:pPr>
      <w:r w:rsidRPr="008742E9">
        <w:rPr>
          <w:sz w:val="22"/>
          <w:szCs w:val="22"/>
        </w:rPr>
        <w:t>На четырнадцатые сутки после отмены курам несушкам пор</w:t>
      </w:r>
      <w:r w:rsidRPr="008742E9">
        <w:rPr>
          <w:sz w:val="22"/>
          <w:szCs w:val="22"/>
        </w:rPr>
        <w:t>а</w:t>
      </w:r>
      <w:r w:rsidRPr="008742E9">
        <w:rPr>
          <w:sz w:val="22"/>
          <w:szCs w:val="22"/>
        </w:rPr>
        <w:t>женного и зараженного зерна коэффициент мобилизации псе</w:t>
      </w:r>
      <w:r w:rsidRPr="008742E9">
        <w:rPr>
          <w:sz w:val="22"/>
          <w:szCs w:val="22"/>
        </w:rPr>
        <w:t>в</w:t>
      </w:r>
      <w:r w:rsidRPr="008742E9">
        <w:rPr>
          <w:sz w:val="22"/>
          <w:szCs w:val="22"/>
        </w:rPr>
        <w:t>доэозинофилов снижался в первой опытной группе в 1,7</w:t>
      </w:r>
      <w:r w:rsidRPr="008742E9">
        <w:rPr>
          <w:sz w:val="22"/>
          <w:szCs w:val="22"/>
          <w:lang w:val="en-US"/>
        </w:rPr>
        <w:t> </w:t>
      </w:r>
      <w:r w:rsidRPr="008742E9">
        <w:rPr>
          <w:sz w:val="22"/>
          <w:szCs w:val="22"/>
        </w:rPr>
        <w:t>раза, во второй опытной группе – в 2 раза относительно трех суток опытных групп. При сравнении с контрольной группой на четырнадцатые сутки коэффициент мобилизации псевдоэозинофилов в первой опытной группе снижался в 1,3 раза, во второй опытной группе – в 1,4 раза. К 30-ти суткам коэффициент мобилизации псевдоэоз</w:t>
      </w:r>
      <w:r w:rsidRPr="008742E9">
        <w:rPr>
          <w:sz w:val="22"/>
          <w:szCs w:val="22"/>
        </w:rPr>
        <w:t>и</w:t>
      </w:r>
      <w:r w:rsidRPr="008742E9">
        <w:rPr>
          <w:sz w:val="22"/>
          <w:szCs w:val="22"/>
        </w:rPr>
        <w:t>нофилов в первой опытной группе в 1,5 раза, во второй опытной группе снижался в 2 раза, относительно трех суток опытных групп. При сравнении с контрольной группой на 30-е сутки коэффициент мобилизации псевдоэозинофилов в первой опытной группе снижа</w:t>
      </w:r>
      <w:r w:rsidRPr="008742E9">
        <w:rPr>
          <w:sz w:val="22"/>
          <w:szCs w:val="22"/>
        </w:rPr>
        <w:t>л</w:t>
      </w:r>
      <w:r w:rsidRPr="008742E9">
        <w:rPr>
          <w:sz w:val="22"/>
          <w:szCs w:val="22"/>
        </w:rPr>
        <w:t>ся в 1,4 раза, во второй опытной группе – в 1,5 раза.</w:t>
      </w:r>
    </w:p>
    <w:p w:rsidR="008742E9" w:rsidRPr="008742E9" w:rsidRDefault="008742E9" w:rsidP="00C342C9">
      <w:pPr>
        <w:ind w:firstLine="426"/>
        <w:jc w:val="both"/>
        <w:rPr>
          <w:sz w:val="22"/>
          <w:szCs w:val="22"/>
        </w:rPr>
      </w:pPr>
      <w:r w:rsidRPr="008742E9">
        <w:rPr>
          <w:sz w:val="22"/>
          <w:szCs w:val="22"/>
        </w:rPr>
        <w:t>Таким образом, у кур-несушек контрольной группы отмечен высокий коэффициент мобилизации псевдоэозинофилов, что свид</w:t>
      </w:r>
      <w:r w:rsidRPr="008742E9">
        <w:rPr>
          <w:sz w:val="22"/>
          <w:szCs w:val="22"/>
        </w:rPr>
        <w:t>е</w:t>
      </w:r>
      <w:r w:rsidRPr="008742E9">
        <w:rPr>
          <w:sz w:val="22"/>
          <w:szCs w:val="22"/>
        </w:rPr>
        <w:t xml:space="preserve">тельствует о степени завершенности фагоцитарного процесса. В опытных группах в начале периода скармливания курам несушкам зерна «Вита», зараженное и пораженное грибом </w:t>
      </w:r>
      <w:r w:rsidRPr="008742E9">
        <w:rPr>
          <w:sz w:val="22"/>
          <w:szCs w:val="22"/>
          <w:lang w:val="en-US"/>
        </w:rPr>
        <w:t>Fusarium</w:t>
      </w:r>
      <w:r w:rsidRPr="008742E9">
        <w:rPr>
          <w:sz w:val="22"/>
          <w:szCs w:val="22"/>
        </w:rPr>
        <w:t xml:space="preserve"> </w:t>
      </w:r>
      <w:r w:rsidRPr="008742E9">
        <w:rPr>
          <w:sz w:val="22"/>
          <w:szCs w:val="22"/>
          <w:lang w:val="en-US"/>
        </w:rPr>
        <w:t>gramin</w:t>
      </w:r>
      <w:r w:rsidRPr="008742E9">
        <w:rPr>
          <w:sz w:val="22"/>
          <w:szCs w:val="22"/>
          <w:lang w:val="en-US"/>
        </w:rPr>
        <w:t>e</w:t>
      </w:r>
      <w:r w:rsidRPr="008742E9">
        <w:rPr>
          <w:sz w:val="22"/>
          <w:szCs w:val="22"/>
          <w:lang w:val="en-US"/>
        </w:rPr>
        <w:lastRenderedPageBreak/>
        <w:t>arum</w:t>
      </w:r>
      <w:r w:rsidRPr="008742E9">
        <w:rPr>
          <w:sz w:val="22"/>
          <w:szCs w:val="22"/>
        </w:rPr>
        <w:t xml:space="preserve"> происходила активация процессов фагоцитоза, а затем его п</w:t>
      </w:r>
      <w:r w:rsidRPr="008742E9">
        <w:rPr>
          <w:sz w:val="22"/>
          <w:szCs w:val="22"/>
        </w:rPr>
        <w:t>о</w:t>
      </w:r>
      <w:r w:rsidRPr="008742E9">
        <w:rPr>
          <w:sz w:val="22"/>
          <w:szCs w:val="22"/>
        </w:rPr>
        <w:t xml:space="preserve">давление, особенно во второй опытной группе, где куры несушки получали непосредственно зараженное в лабораторных условиях зерно «Вита» грибом </w:t>
      </w:r>
      <w:r w:rsidRPr="008742E9">
        <w:rPr>
          <w:sz w:val="22"/>
          <w:szCs w:val="22"/>
          <w:lang w:val="en-US"/>
        </w:rPr>
        <w:t>Fusarium</w:t>
      </w:r>
      <w:r w:rsidRPr="008742E9">
        <w:rPr>
          <w:sz w:val="22"/>
          <w:szCs w:val="22"/>
        </w:rPr>
        <w:t xml:space="preserve"> </w:t>
      </w:r>
      <w:r w:rsidRPr="008742E9">
        <w:rPr>
          <w:sz w:val="22"/>
          <w:szCs w:val="22"/>
          <w:lang w:val="en-US"/>
        </w:rPr>
        <w:t>graminearum</w:t>
      </w:r>
      <w:r w:rsidRPr="008742E9">
        <w:rPr>
          <w:sz w:val="22"/>
          <w:szCs w:val="22"/>
        </w:rPr>
        <w:t xml:space="preserve">. Токсины грибов рода </w:t>
      </w:r>
      <w:r w:rsidRPr="008742E9">
        <w:rPr>
          <w:sz w:val="22"/>
          <w:szCs w:val="22"/>
          <w:lang w:val="en-US"/>
        </w:rPr>
        <w:t>Fusarium</w:t>
      </w:r>
      <w:r w:rsidRPr="008742E9">
        <w:rPr>
          <w:sz w:val="22"/>
          <w:szCs w:val="22"/>
        </w:rPr>
        <w:t xml:space="preserve"> подавляли процессы фагоцитоза.</w:t>
      </w:r>
    </w:p>
    <w:p w:rsidR="008742E9" w:rsidRPr="008742E9" w:rsidRDefault="008742E9" w:rsidP="00C342C9">
      <w:pPr>
        <w:ind w:firstLine="426"/>
        <w:jc w:val="both"/>
        <w:rPr>
          <w:sz w:val="12"/>
          <w:szCs w:val="16"/>
        </w:rPr>
      </w:pPr>
    </w:p>
    <w:p w:rsidR="008742E9" w:rsidRPr="008742E9" w:rsidRDefault="008742E9" w:rsidP="00C342C9">
      <w:pPr>
        <w:ind w:firstLine="426"/>
        <w:jc w:val="center"/>
        <w:rPr>
          <w:sz w:val="22"/>
          <w:szCs w:val="22"/>
        </w:rPr>
      </w:pPr>
      <w:r w:rsidRPr="008742E9">
        <w:rPr>
          <w:sz w:val="22"/>
          <w:szCs w:val="22"/>
        </w:rPr>
        <w:t>Список литературы</w:t>
      </w:r>
    </w:p>
    <w:p w:rsidR="008742E9" w:rsidRPr="008742E9" w:rsidRDefault="008742E9" w:rsidP="00C342C9">
      <w:pPr>
        <w:spacing w:line="216" w:lineRule="auto"/>
        <w:ind w:firstLine="426"/>
        <w:jc w:val="both"/>
        <w:rPr>
          <w:sz w:val="22"/>
          <w:szCs w:val="22"/>
        </w:rPr>
      </w:pPr>
      <w:r w:rsidRPr="008742E9">
        <w:rPr>
          <w:sz w:val="22"/>
          <w:szCs w:val="22"/>
        </w:rPr>
        <w:t>1. Гугушвили Н. Н. Иммунологические методы исследования в ветеринарии : // Метод. рекомендации. / Н. Н. Гугушвили. – Кра</w:t>
      </w:r>
      <w:r w:rsidRPr="008742E9">
        <w:rPr>
          <w:sz w:val="22"/>
          <w:szCs w:val="22"/>
        </w:rPr>
        <w:t>с</w:t>
      </w:r>
      <w:r w:rsidRPr="008742E9">
        <w:rPr>
          <w:sz w:val="22"/>
          <w:szCs w:val="22"/>
        </w:rPr>
        <w:t>нодар, 2000.– 95 с.</w:t>
      </w:r>
    </w:p>
    <w:p w:rsidR="008742E9" w:rsidRPr="008742E9" w:rsidRDefault="008742E9" w:rsidP="00C342C9">
      <w:pPr>
        <w:ind w:firstLine="426"/>
        <w:jc w:val="both"/>
        <w:rPr>
          <w:sz w:val="22"/>
          <w:szCs w:val="22"/>
        </w:rPr>
      </w:pPr>
      <w:r w:rsidRPr="008742E9">
        <w:rPr>
          <w:sz w:val="22"/>
          <w:szCs w:val="22"/>
        </w:rPr>
        <w:t>2. Коршунова Л. Г. Биохимические и морфологические показ</w:t>
      </w:r>
      <w:r w:rsidRPr="008742E9">
        <w:rPr>
          <w:sz w:val="22"/>
          <w:szCs w:val="22"/>
        </w:rPr>
        <w:t>а</w:t>
      </w:r>
      <w:r w:rsidRPr="008742E9">
        <w:rPr>
          <w:sz w:val="22"/>
          <w:szCs w:val="22"/>
        </w:rPr>
        <w:t>тели крови у цыплят бройлеров / Л. Г. Коршунова, В. А. Манукян, Р. В. Карапетян // Вестник российской с.-х. науки. – 2013. – № 6. – С. 52–54.</w:t>
      </w:r>
    </w:p>
    <w:p w:rsidR="008742E9" w:rsidRPr="008742E9" w:rsidRDefault="008742E9" w:rsidP="008742E9">
      <w:pPr>
        <w:jc w:val="both"/>
        <w:rPr>
          <w:sz w:val="22"/>
          <w:szCs w:val="22"/>
        </w:rPr>
      </w:pPr>
    </w:p>
    <w:p w:rsidR="008742E9" w:rsidRDefault="008742E9" w:rsidP="008742E9">
      <w:pPr>
        <w:jc w:val="both"/>
        <w:rPr>
          <w:rFonts w:eastAsia="Calibri"/>
          <w:sz w:val="22"/>
          <w:szCs w:val="22"/>
          <w:lang w:eastAsia="en-US"/>
        </w:rPr>
      </w:pPr>
    </w:p>
    <w:p w:rsidR="00C342C9" w:rsidRPr="008742E9" w:rsidRDefault="00C342C9" w:rsidP="008742E9">
      <w:pPr>
        <w:jc w:val="both"/>
        <w:rPr>
          <w:rFonts w:eastAsia="Calibri"/>
          <w:sz w:val="22"/>
          <w:szCs w:val="22"/>
          <w:lang w:eastAsia="en-US"/>
        </w:rPr>
      </w:pPr>
    </w:p>
    <w:p w:rsidR="008742E9" w:rsidRPr="008742E9" w:rsidRDefault="008742E9" w:rsidP="008742E9">
      <w:pPr>
        <w:jc w:val="both"/>
        <w:rPr>
          <w:rFonts w:eastAsia="Calibri"/>
          <w:sz w:val="22"/>
          <w:szCs w:val="22"/>
          <w:lang w:eastAsia="en-US"/>
        </w:rPr>
      </w:pPr>
      <w:r w:rsidRPr="008742E9">
        <w:rPr>
          <w:rFonts w:eastAsia="Calibri"/>
          <w:sz w:val="22"/>
          <w:szCs w:val="22"/>
          <w:lang w:eastAsia="en-US"/>
        </w:rPr>
        <w:t>УДК 619:616.37-002:615.322]:636.7</w:t>
      </w:r>
    </w:p>
    <w:p w:rsidR="008742E9" w:rsidRPr="008742E9" w:rsidRDefault="008742E9" w:rsidP="008742E9">
      <w:pPr>
        <w:jc w:val="both"/>
        <w:rPr>
          <w:rFonts w:eastAsia="Calibri"/>
          <w:sz w:val="22"/>
          <w:szCs w:val="22"/>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Острый панкреатит собак: причины и лечение</w:t>
      </w:r>
    </w:p>
    <w:p w:rsidR="008742E9" w:rsidRPr="008742E9" w:rsidRDefault="008742E9" w:rsidP="008742E9">
      <w:pPr>
        <w:jc w:val="center"/>
        <w:rPr>
          <w:rFonts w:eastAsia="Calibri"/>
          <w:sz w:val="22"/>
          <w:szCs w:val="22"/>
          <w:lang w:val="en-US" w:eastAsia="en-US"/>
        </w:rPr>
      </w:pPr>
      <w:r w:rsidRPr="008742E9">
        <w:rPr>
          <w:rFonts w:eastAsia="Calibri"/>
          <w:b/>
          <w:sz w:val="24"/>
          <w:szCs w:val="22"/>
          <w:lang w:val="en-US" w:eastAsia="en-US"/>
        </w:rPr>
        <w:t>Acute pancreatitis of dogs: causes and treatment</w:t>
      </w:r>
    </w:p>
    <w:p w:rsidR="008742E9" w:rsidRPr="008742E9" w:rsidRDefault="008742E9" w:rsidP="008742E9">
      <w:pPr>
        <w:jc w:val="right"/>
        <w:rPr>
          <w:rFonts w:eastAsia="Calibri"/>
          <w:sz w:val="22"/>
          <w:szCs w:val="22"/>
          <w:lang w:val="en-US" w:eastAsia="en-US"/>
        </w:rPr>
      </w:pP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Черкашин В. В., Малейченко М. В.,</w:t>
      </w:r>
    </w:p>
    <w:p w:rsidR="00C342C9" w:rsidRDefault="008742E9" w:rsidP="008742E9">
      <w:pPr>
        <w:jc w:val="right"/>
        <w:rPr>
          <w:rFonts w:eastAsia="Calibri"/>
          <w:sz w:val="22"/>
          <w:szCs w:val="22"/>
          <w:lang w:eastAsia="en-US"/>
        </w:rPr>
      </w:pPr>
      <w:r w:rsidRPr="008742E9">
        <w:rPr>
          <w:rFonts w:eastAsia="Calibri"/>
          <w:sz w:val="22"/>
          <w:szCs w:val="22"/>
          <w:lang w:eastAsia="en-US"/>
        </w:rPr>
        <w:t>студенты 2-го курса</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факультета ветеринарной медицины</w:t>
      </w:r>
    </w:p>
    <w:p w:rsidR="008742E9" w:rsidRPr="008742E9" w:rsidRDefault="00C342C9" w:rsidP="008742E9">
      <w:pPr>
        <w:jc w:val="right"/>
        <w:rPr>
          <w:rFonts w:eastAsia="Calibri"/>
          <w:sz w:val="22"/>
          <w:szCs w:val="22"/>
          <w:lang w:eastAsia="en-US"/>
        </w:rPr>
      </w:pPr>
      <w:r>
        <w:rPr>
          <w:rFonts w:eastAsia="Calibri"/>
          <w:sz w:val="22"/>
          <w:szCs w:val="22"/>
          <w:lang w:eastAsia="en-US"/>
        </w:rPr>
        <w:t>Лифенцова М. Н.,</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доцент кафедры терапии и фармакологии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w:t>
      </w:r>
      <w:r w:rsidR="00C342C9">
        <w:rPr>
          <w:rFonts w:eastAsia="Calibri"/>
          <w:sz w:val="22"/>
          <w:szCs w:val="22"/>
          <w:lang w:eastAsia="en-US"/>
        </w:rPr>
        <w:t>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университет имени И. Т. Трубилина</w:t>
      </w:r>
    </w:p>
    <w:p w:rsidR="008742E9" w:rsidRPr="008742E9" w:rsidRDefault="008742E9" w:rsidP="008742E9">
      <w:pPr>
        <w:rPr>
          <w:rFonts w:eastAsia="Calibri"/>
          <w:sz w:val="22"/>
          <w:szCs w:val="22"/>
          <w:lang w:eastAsia="en-US"/>
        </w:rPr>
      </w:pP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eastAsia="en-US"/>
        </w:rPr>
        <w:t>АННОТАЦИЯ: В последние годы участились случаи регистр</w:t>
      </w:r>
      <w:r w:rsidRPr="008742E9">
        <w:rPr>
          <w:rFonts w:eastAsia="Calibri"/>
          <w:sz w:val="22"/>
          <w:szCs w:val="22"/>
          <w:lang w:eastAsia="en-US"/>
        </w:rPr>
        <w:t>а</w:t>
      </w:r>
      <w:r w:rsidRPr="008742E9">
        <w:rPr>
          <w:rFonts w:eastAsia="Calibri"/>
          <w:sz w:val="22"/>
          <w:szCs w:val="22"/>
          <w:lang w:eastAsia="en-US"/>
        </w:rPr>
        <w:t>ции у собак острого панкреатита, основной причиной которого з</w:t>
      </w:r>
      <w:r w:rsidRPr="008742E9">
        <w:rPr>
          <w:rFonts w:eastAsia="Calibri"/>
          <w:sz w:val="22"/>
          <w:szCs w:val="22"/>
          <w:lang w:eastAsia="en-US"/>
        </w:rPr>
        <w:t>а</w:t>
      </w:r>
      <w:r w:rsidRPr="008742E9">
        <w:rPr>
          <w:rFonts w:eastAsia="Calibri"/>
          <w:sz w:val="22"/>
          <w:szCs w:val="22"/>
          <w:lang w:eastAsia="en-US"/>
        </w:rPr>
        <w:t>частую является кормление пищей с высоким содержанием жира. Ключевым</w:t>
      </w:r>
      <w:r w:rsidRPr="008742E9">
        <w:rPr>
          <w:rFonts w:eastAsia="Calibri"/>
          <w:sz w:val="22"/>
          <w:szCs w:val="22"/>
          <w:lang w:val="en-US" w:eastAsia="en-US"/>
        </w:rPr>
        <w:t xml:space="preserve"> </w:t>
      </w:r>
      <w:r w:rsidRPr="008742E9">
        <w:rPr>
          <w:rFonts w:eastAsia="Calibri"/>
          <w:sz w:val="22"/>
          <w:szCs w:val="22"/>
          <w:lang w:eastAsia="en-US"/>
        </w:rPr>
        <w:t>моментом</w:t>
      </w:r>
      <w:r w:rsidRPr="008742E9">
        <w:rPr>
          <w:rFonts w:eastAsia="Calibri"/>
          <w:sz w:val="22"/>
          <w:szCs w:val="22"/>
          <w:lang w:val="en-US" w:eastAsia="en-US"/>
        </w:rPr>
        <w:t xml:space="preserve"> </w:t>
      </w:r>
      <w:r w:rsidRPr="008742E9">
        <w:rPr>
          <w:rFonts w:eastAsia="Calibri"/>
          <w:sz w:val="22"/>
          <w:szCs w:val="22"/>
          <w:lang w:eastAsia="en-US"/>
        </w:rPr>
        <w:t>в</w:t>
      </w:r>
      <w:r w:rsidRPr="008742E9">
        <w:rPr>
          <w:rFonts w:eastAsia="Calibri"/>
          <w:sz w:val="22"/>
          <w:szCs w:val="22"/>
          <w:lang w:val="en-US" w:eastAsia="en-US"/>
        </w:rPr>
        <w:t xml:space="preserve"> </w:t>
      </w:r>
      <w:r w:rsidRPr="008742E9">
        <w:rPr>
          <w:rFonts w:eastAsia="Calibri"/>
          <w:sz w:val="22"/>
          <w:szCs w:val="22"/>
          <w:lang w:eastAsia="en-US"/>
        </w:rPr>
        <w:t>лечении</w:t>
      </w:r>
      <w:r w:rsidRPr="008742E9">
        <w:rPr>
          <w:rFonts w:eastAsia="Calibri"/>
          <w:sz w:val="22"/>
          <w:szCs w:val="22"/>
          <w:lang w:val="en-US" w:eastAsia="en-US"/>
        </w:rPr>
        <w:t xml:space="preserve"> </w:t>
      </w:r>
      <w:r w:rsidRPr="008742E9">
        <w:rPr>
          <w:rFonts w:eastAsia="Calibri"/>
          <w:sz w:val="22"/>
          <w:szCs w:val="22"/>
          <w:lang w:eastAsia="en-US"/>
        </w:rPr>
        <w:t>данной</w:t>
      </w:r>
      <w:r w:rsidRPr="008742E9">
        <w:rPr>
          <w:rFonts w:eastAsia="Calibri"/>
          <w:sz w:val="22"/>
          <w:szCs w:val="22"/>
          <w:lang w:val="en-US" w:eastAsia="en-US"/>
        </w:rPr>
        <w:t xml:space="preserve"> </w:t>
      </w:r>
      <w:r w:rsidRPr="008742E9">
        <w:rPr>
          <w:rFonts w:eastAsia="Calibri"/>
          <w:sz w:val="22"/>
          <w:szCs w:val="22"/>
          <w:lang w:eastAsia="en-US"/>
        </w:rPr>
        <w:t>патологии</w:t>
      </w:r>
      <w:r w:rsidRPr="008742E9">
        <w:rPr>
          <w:rFonts w:eastAsia="Calibri"/>
          <w:sz w:val="22"/>
          <w:szCs w:val="22"/>
          <w:lang w:val="en-US" w:eastAsia="en-US"/>
        </w:rPr>
        <w:t xml:space="preserve"> </w:t>
      </w:r>
      <w:r w:rsidRPr="008742E9">
        <w:rPr>
          <w:rFonts w:eastAsia="Calibri"/>
          <w:sz w:val="22"/>
          <w:szCs w:val="22"/>
          <w:lang w:eastAsia="en-US"/>
        </w:rPr>
        <w:t>является</w:t>
      </w:r>
      <w:r w:rsidRPr="008742E9">
        <w:rPr>
          <w:rFonts w:eastAsia="Calibri"/>
          <w:sz w:val="22"/>
          <w:szCs w:val="22"/>
          <w:lang w:val="en-US" w:eastAsia="en-US"/>
        </w:rPr>
        <w:t xml:space="preserve"> </w:t>
      </w:r>
      <w:r w:rsidRPr="008742E9">
        <w:rPr>
          <w:rFonts w:eastAsia="Calibri"/>
          <w:sz w:val="22"/>
          <w:szCs w:val="22"/>
          <w:lang w:eastAsia="en-US"/>
        </w:rPr>
        <w:t>инф</w:t>
      </w:r>
      <w:r w:rsidRPr="008742E9">
        <w:rPr>
          <w:rFonts w:eastAsia="Calibri"/>
          <w:sz w:val="22"/>
          <w:szCs w:val="22"/>
          <w:lang w:eastAsia="en-US"/>
        </w:rPr>
        <w:t>у</w:t>
      </w:r>
      <w:r w:rsidRPr="008742E9">
        <w:rPr>
          <w:rFonts w:eastAsia="Calibri"/>
          <w:sz w:val="22"/>
          <w:szCs w:val="22"/>
          <w:lang w:eastAsia="en-US"/>
        </w:rPr>
        <w:t>зионная</w:t>
      </w:r>
      <w:r w:rsidRPr="008742E9">
        <w:rPr>
          <w:rFonts w:eastAsia="Calibri"/>
          <w:sz w:val="22"/>
          <w:szCs w:val="22"/>
          <w:lang w:val="en-US" w:eastAsia="en-US"/>
        </w:rPr>
        <w:t xml:space="preserve"> </w:t>
      </w:r>
      <w:r w:rsidRPr="008742E9">
        <w:rPr>
          <w:rFonts w:eastAsia="Calibri"/>
          <w:sz w:val="22"/>
          <w:szCs w:val="22"/>
          <w:lang w:eastAsia="en-US"/>
        </w:rPr>
        <w:t>терапия</w:t>
      </w:r>
      <w:r w:rsidRPr="008742E9">
        <w:rPr>
          <w:rFonts w:eastAsia="Calibri"/>
          <w:sz w:val="22"/>
          <w:szCs w:val="22"/>
          <w:lang w:val="en-US" w:eastAsia="en-US"/>
        </w:rPr>
        <w:t>.</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t xml:space="preserve">ABSTRACT: In recent years, cases of acute pancreatitis in dogs have become more frequent, the main cause of which is often feeding </w:t>
      </w:r>
      <w:r w:rsidRPr="008742E9">
        <w:rPr>
          <w:rFonts w:eastAsia="Calibri"/>
          <w:sz w:val="22"/>
          <w:szCs w:val="22"/>
          <w:lang w:val="en-US" w:eastAsia="en-US"/>
        </w:rPr>
        <w:lastRenderedPageBreak/>
        <w:t>high-fat foods. The key moment in the treatment of this pathology is i</w:t>
      </w:r>
      <w:r w:rsidRPr="008742E9">
        <w:rPr>
          <w:rFonts w:eastAsia="Calibri"/>
          <w:sz w:val="22"/>
          <w:szCs w:val="22"/>
          <w:lang w:val="en-US" w:eastAsia="en-US"/>
        </w:rPr>
        <w:t>n</w:t>
      </w:r>
      <w:r w:rsidRPr="008742E9">
        <w:rPr>
          <w:rFonts w:eastAsia="Calibri"/>
          <w:sz w:val="22"/>
          <w:szCs w:val="22"/>
          <w:lang w:val="en-US" w:eastAsia="en-US"/>
        </w:rPr>
        <w:t>fusion therapy.</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КЛЮЧЕВЫЕ СЛОВА: острый панкреатит, поджелудочная ж</w:t>
      </w:r>
      <w:r w:rsidRPr="008742E9">
        <w:rPr>
          <w:rFonts w:eastAsia="Calibri"/>
          <w:sz w:val="22"/>
          <w:szCs w:val="22"/>
          <w:lang w:eastAsia="en-US"/>
        </w:rPr>
        <w:t>е</w:t>
      </w:r>
      <w:r w:rsidRPr="008742E9">
        <w:rPr>
          <w:rFonts w:eastAsia="Calibri"/>
          <w:sz w:val="22"/>
          <w:szCs w:val="22"/>
          <w:lang w:eastAsia="en-US"/>
        </w:rPr>
        <w:t>леза, инфузионная терапия.</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t>KEYWORDS: acute pancreatitis, pancreas, infusion therapy.</w:t>
      </w:r>
    </w:p>
    <w:p w:rsidR="008742E9" w:rsidRPr="008742E9" w:rsidRDefault="008742E9" w:rsidP="00C342C9">
      <w:pPr>
        <w:ind w:firstLine="426"/>
        <w:jc w:val="both"/>
        <w:rPr>
          <w:rFonts w:eastAsia="Calibri"/>
          <w:sz w:val="22"/>
          <w:szCs w:val="22"/>
          <w:lang w:val="en-US" w:eastAsia="en-US"/>
        </w:rPr>
      </w:pP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В 2016-2017</w:t>
      </w:r>
      <w:r w:rsidRPr="008742E9">
        <w:rPr>
          <w:rFonts w:eastAsia="Calibri"/>
          <w:sz w:val="22"/>
          <w:szCs w:val="22"/>
          <w:lang w:val="en-US" w:eastAsia="en-US"/>
        </w:rPr>
        <w:t> </w:t>
      </w:r>
      <w:r w:rsidRPr="008742E9">
        <w:rPr>
          <w:rFonts w:eastAsia="Calibri"/>
          <w:sz w:val="22"/>
          <w:szCs w:val="22"/>
          <w:lang w:eastAsia="en-US"/>
        </w:rPr>
        <w:t>гг. на базе ветеринарной клиники г. Краснодара были проведены статистические исследования заболеваемости с</w:t>
      </w:r>
      <w:r w:rsidRPr="008742E9">
        <w:rPr>
          <w:rFonts w:eastAsia="Calibri"/>
          <w:sz w:val="22"/>
          <w:szCs w:val="22"/>
          <w:lang w:eastAsia="en-US"/>
        </w:rPr>
        <w:t>о</w:t>
      </w:r>
      <w:r w:rsidRPr="008742E9">
        <w:rPr>
          <w:rFonts w:eastAsia="Calibri"/>
          <w:sz w:val="22"/>
          <w:szCs w:val="22"/>
          <w:lang w:eastAsia="en-US"/>
        </w:rPr>
        <w:t>бак заразными и незаразными болезнями и острым панкреатитом в частности. Полученные данные отличаются стабильностью показ</w:t>
      </w:r>
      <w:r w:rsidRPr="008742E9">
        <w:rPr>
          <w:rFonts w:eastAsia="Calibri"/>
          <w:sz w:val="22"/>
          <w:szCs w:val="22"/>
          <w:lang w:eastAsia="en-US"/>
        </w:rPr>
        <w:t>а</w:t>
      </w:r>
      <w:r w:rsidRPr="008742E9">
        <w:rPr>
          <w:rFonts w:eastAsia="Calibri"/>
          <w:sz w:val="22"/>
          <w:szCs w:val="22"/>
          <w:lang w:eastAsia="en-US"/>
        </w:rPr>
        <w:t>телей на протяжении всех двух лет. В соответствие с ними на долю заразных заболеваний собак в 2016 г. пришлось всего 14 %, тогда как подавляющий процент патологии (86 %) имеет незаразную этиологию. Из объема незаразной патологии на долю болезней о</w:t>
      </w:r>
      <w:r w:rsidRPr="008742E9">
        <w:rPr>
          <w:rFonts w:eastAsia="Calibri"/>
          <w:sz w:val="22"/>
          <w:szCs w:val="22"/>
          <w:lang w:eastAsia="en-US"/>
        </w:rPr>
        <w:t>р</w:t>
      </w:r>
      <w:r w:rsidRPr="008742E9">
        <w:rPr>
          <w:rFonts w:eastAsia="Calibri"/>
          <w:sz w:val="22"/>
          <w:szCs w:val="22"/>
          <w:lang w:eastAsia="en-US"/>
        </w:rPr>
        <w:t>ганов пищеварения в 2016 г. пришлось 29,5 %, из которых 0,91 % отображают заболеваемость собак острым панкреатитом, что с</w:t>
      </w:r>
      <w:r w:rsidRPr="008742E9">
        <w:rPr>
          <w:rFonts w:eastAsia="Calibri"/>
          <w:sz w:val="22"/>
          <w:szCs w:val="22"/>
          <w:lang w:eastAsia="en-US"/>
        </w:rPr>
        <w:t>о</w:t>
      </w:r>
      <w:r w:rsidRPr="008742E9">
        <w:rPr>
          <w:rFonts w:eastAsia="Calibri"/>
          <w:sz w:val="22"/>
          <w:szCs w:val="22"/>
          <w:lang w:eastAsia="en-US"/>
        </w:rPr>
        <w:t>ставляет 3,1 % от общего числа болезней органов пищеварения н</w:t>
      </w:r>
      <w:r w:rsidRPr="008742E9">
        <w:rPr>
          <w:rFonts w:eastAsia="Calibri"/>
          <w:sz w:val="22"/>
          <w:szCs w:val="22"/>
          <w:lang w:eastAsia="en-US"/>
        </w:rPr>
        <w:t>е</w:t>
      </w:r>
      <w:r w:rsidRPr="008742E9">
        <w:rPr>
          <w:rFonts w:eastAsia="Calibri"/>
          <w:sz w:val="22"/>
          <w:szCs w:val="22"/>
          <w:lang w:eastAsia="en-US"/>
        </w:rPr>
        <w:t>заразной этиологии.</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изучении клинических случаев острого панкреатита собак было выявлено три основных группы этиологических факторов, которые так же были подвергнуты статистическим исследованиям. 80 % случаев заболевания собак острым панкреатитом имеют ал</w:t>
      </w:r>
      <w:r w:rsidRPr="008742E9">
        <w:rPr>
          <w:rFonts w:eastAsia="Calibri"/>
          <w:sz w:val="22"/>
          <w:szCs w:val="22"/>
          <w:lang w:eastAsia="en-US"/>
        </w:rPr>
        <w:t>и</w:t>
      </w:r>
      <w:r w:rsidRPr="008742E9">
        <w:rPr>
          <w:rFonts w:eastAsia="Calibri"/>
          <w:sz w:val="22"/>
          <w:szCs w:val="22"/>
          <w:lang w:eastAsia="en-US"/>
        </w:rPr>
        <w:t>ментарную этиологию, т.е. в анамнезе таких животных имеется кормление пищей с высоким содержанием жира. 8,3 % случаев определяются как биллиарный панкреатит, т.е. являются вторичн</w:t>
      </w:r>
      <w:r w:rsidRPr="008742E9">
        <w:rPr>
          <w:rFonts w:eastAsia="Calibri"/>
          <w:sz w:val="22"/>
          <w:szCs w:val="22"/>
          <w:lang w:eastAsia="en-US"/>
        </w:rPr>
        <w:t>ы</w:t>
      </w:r>
      <w:r w:rsidRPr="008742E9">
        <w:rPr>
          <w:rFonts w:eastAsia="Calibri"/>
          <w:sz w:val="22"/>
          <w:szCs w:val="22"/>
          <w:lang w:eastAsia="en-US"/>
        </w:rPr>
        <w:t>ми как осложнения болезней печени. У 12,5 % случаев возникнов</w:t>
      </w:r>
      <w:r w:rsidRPr="008742E9">
        <w:rPr>
          <w:rFonts w:eastAsia="Calibri"/>
          <w:sz w:val="22"/>
          <w:szCs w:val="22"/>
          <w:lang w:eastAsia="en-US"/>
        </w:rPr>
        <w:t>е</w:t>
      </w:r>
      <w:r w:rsidRPr="008742E9">
        <w:rPr>
          <w:rFonts w:eastAsia="Calibri"/>
          <w:sz w:val="22"/>
          <w:szCs w:val="22"/>
          <w:lang w:eastAsia="en-US"/>
        </w:rPr>
        <w:t>ния острого панкреатита собак этиология не выявлена (идиопатич</w:t>
      </w:r>
      <w:r w:rsidRPr="008742E9">
        <w:rPr>
          <w:rFonts w:eastAsia="Calibri"/>
          <w:sz w:val="22"/>
          <w:szCs w:val="22"/>
          <w:lang w:eastAsia="en-US"/>
        </w:rPr>
        <w:t>е</w:t>
      </w:r>
      <w:r w:rsidRPr="008742E9">
        <w:rPr>
          <w:rFonts w:eastAsia="Calibri"/>
          <w:sz w:val="22"/>
          <w:szCs w:val="22"/>
          <w:lang w:eastAsia="en-US"/>
        </w:rPr>
        <w:t>ский панкреатит).</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типичном течении острого панкреатита отмечается нал</w:t>
      </w:r>
      <w:r w:rsidRPr="008742E9">
        <w:rPr>
          <w:rFonts w:eastAsia="Calibri"/>
          <w:sz w:val="22"/>
          <w:szCs w:val="22"/>
          <w:lang w:eastAsia="en-US"/>
        </w:rPr>
        <w:t>и</w:t>
      </w:r>
      <w:r w:rsidRPr="008742E9">
        <w:rPr>
          <w:rFonts w:eastAsia="Calibri"/>
          <w:sz w:val="22"/>
          <w:szCs w:val="22"/>
          <w:lang w:eastAsia="en-US"/>
        </w:rPr>
        <w:t>чие следующих ярко выраженных симптомов: общее угнетение, анорексия, рвота, абдоминальные боли, дегидратация. При тяжёлом течении появляются следующие симптомы: лихорадка, желтуха, шок, асцит, респираторный дистресс-синдром.</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Наиболее точными методами постановки диагноза являются лабораторные исследования, основа которых – биохимический ан</w:t>
      </w:r>
      <w:r w:rsidRPr="008742E9">
        <w:rPr>
          <w:rFonts w:eastAsia="Calibri"/>
          <w:sz w:val="22"/>
          <w:szCs w:val="22"/>
          <w:lang w:eastAsia="en-US"/>
        </w:rPr>
        <w:t>а</w:t>
      </w:r>
      <w:r w:rsidRPr="008742E9">
        <w:rPr>
          <w:rFonts w:eastAsia="Calibri"/>
          <w:sz w:val="22"/>
          <w:szCs w:val="22"/>
          <w:lang w:eastAsia="en-US"/>
        </w:rPr>
        <w:t>лиз сыворотки крови на содержание в ней двух специфических ферментов поджелудочной железы - липазы и альфа-амилазы.</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lastRenderedPageBreak/>
        <w:t>Лечение острого панкреатита должно быть направлено на: 1) устранение этиологических факторов: прежде всего - удаление из рациона животного жирной пищи или лечение первичного забол</w:t>
      </w:r>
      <w:r w:rsidRPr="008742E9">
        <w:rPr>
          <w:rFonts w:eastAsia="Calibri"/>
          <w:sz w:val="22"/>
          <w:szCs w:val="22"/>
          <w:lang w:eastAsia="en-US"/>
        </w:rPr>
        <w:t>е</w:t>
      </w:r>
      <w:r w:rsidRPr="008742E9">
        <w:rPr>
          <w:rFonts w:eastAsia="Calibri"/>
          <w:sz w:val="22"/>
          <w:szCs w:val="22"/>
          <w:lang w:eastAsia="en-US"/>
        </w:rPr>
        <w:t>вания печени; 2) лимитирование секреции поджелудочной железы: собаке показана голодная диета с недопущением животного в места приготовления пищи и приема пищи людьми и животными; 3) борьбу с интоксикацией организма и гиповолемией, что произв</w:t>
      </w:r>
      <w:r w:rsidRPr="008742E9">
        <w:rPr>
          <w:rFonts w:eastAsia="Calibri"/>
          <w:sz w:val="22"/>
          <w:szCs w:val="22"/>
          <w:lang w:eastAsia="en-US"/>
        </w:rPr>
        <w:t>о</w:t>
      </w:r>
      <w:r w:rsidRPr="008742E9">
        <w:rPr>
          <w:rFonts w:eastAsia="Calibri"/>
          <w:sz w:val="22"/>
          <w:szCs w:val="22"/>
          <w:lang w:eastAsia="en-US"/>
        </w:rPr>
        <w:t>дится при использовании инфузионной терапии; 4) купирование боли и рвоты: здесь следует отметить затруднения в изыскании анальгетиков и малую их доступность в условиях г. Краснодара в связи с принадлежностью подавляющей их части к списку А; 5) к</w:t>
      </w:r>
      <w:r w:rsidRPr="008742E9">
        <w:rPr>
          <w:rFonts w:eastAsia="Calibri"/>
          <w:sz w:val="22"/>
          <w:szCs w:val="22"/>
          <w:lang w:eastAsia="en-US"/>
        </w:rPr>
        <w:t>у</w:t>
      </w:r>
      <w:r w:rsidRPr="008742E9">
        <w:rPr>
          <w:rFonts w:eastAsia="Calibri"/>
          <w:sz w:val="22"/>
          <w:szCs w:val="22"/>
          <w:lang w:eastAsia="en-US"/>
        </w:rPr>
        <w:t>пирование рвоты: в качестве противорвотных препаратов успешно применяются Serenia и церукал (первое предпочтительней); 6) н</w:t>
      </w:r>
      <w:r w:rsidRPr="008742E9">
        <w:rPr>
          <w:rFonts w:eastAsia="Calibri"/>
          <w:sz w:val="22"/>
          <w:szCs w:val="22"/>
          <w:lang w:eastAsia="en-US"/>
        </w:rPr>
        <w:t>е</w:t>
      </w:r>
      <w:r w:rsidRPr="008742E9">
        <w:rPr>
          <w:rFonts w:eastAsia="Calibri"/>
          <w:sz w:val="22"/>
          <w:szCs w:val="22"/>
          <w:lang w:eastAsia="en-US"/>
        </w:rPr>
        <w:t>допущение развития септического процесса: использование систе</w:t>
      </w:r>
      <w:r w:rsidRPr="008742E9">
        <w:rPr>
          <w:rFonts w:eastAsia="Calibri"/>
          <w:sz w:val="22"/>
          <w:szCs w:val="22"/>
          <w:lang w:eastAsia="en-US"/>
        </w:rPr>
        <w:t>м</w:t>
      </w:r>
      <w:r w:rsidRPr="008742E9">
        <w:rPr>
          <w:rFonts w:eastAsia="Calibri"/>
          <w:sz w:val="22"/>
          <w:szCs w:val="22"/>
          <w:lang w:eastAsia="en-US"/>
        </w:rPr>
        <w:t>ных антибиотиков широкого спектра действия, имеющихся в изобилии на рынке фармакологической продукции; 7) дополн</w:t>
      </w:r>
      <w:r w:rsidRPr="008742E9">
        <w:rPr>
          <w:rFonts w:eastAsia="Calibri"/>
          <w:sz w:val="22"/>
          <w:szCs w:val="22"/>
          <w:lang w:eastAsia="en-US"/>
        </w:rPr>
        <w:t>и</w:t>
      </w:r>
      <w:r w:rsidRPr="008742E9">
        <w:rPr>
          <w:rFonts w:eastAsia="Calibri"/>
          <w:sz w:val="22"/>
          <w:szCs w:val="22"/>
          <w:lang w:eastAsia="en-US"/>
        </w:rPr>
        <w:t>тельно возможно применение ингибиторов протеаз (Контрикал), блокаторов Н2-рецепторов (Квамател). По окончании голодной д</w:t>
      </w:r>
      <w:r w:rsidRPr="008742E9">
        <w:rPr>
          <w:rFonts w:eastAsia="Calibri"/>
          <w:sz w:val="22"/>
          <w:szCs w:val="22"/>
          <w:lang w:eastAsia="en-US"/>
        </w:rPr>
        <w:t>и</w:t>
      </w:r>
      <w:r w:rsidRPr="008742E9">
        <w:rPr>
          <w:rFonts w:eastAsia="Calibri"/>
          <w:sz w:val="22"/>
          <w:szCs w:val="22"/>
          <w:lang w:eastAsia="en-US"/>
        </w:rPr>
        <w:t>еты собакам необходим переход на диетические корма с пониже</w:t>
      </w:r>
      <w:r w:rsidRPr="008742E9">
        <w:rPr>
          <w:rFonts w:eastAsia="Calibri"/>
          <w:sz w:val="22"/>
          <w:szCs w:val="22"/>
          <w:lang w:eastAsia="en-US"/>
        </w:rPr>
        <w:t>н</w:t>
      </w:r>
      <w:r w:rsidRPr="008742E9">
        <w:rPr>
          <w:rFonts w:eastAsia="Calibri"/>
          <w:sz w:val="22"/>
          <w:szCs w:val="22"/>
          <w:lang w:eastAsia="en-US"/>
        </w:rPr>
        <w:t>ным содержанием жира.</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Ключевым моментом в лечении острого панкреатита собак я</w:t>
      </w:r>
      <w:r w:rsidRPr="008742E9">
        <w:rPr>
          <w:rFonts w:eastAsia="Calibri"/>
          <w:sz w:val="22"/>
          <w:szCs w:val="22"/>
          <w:lang w:eastAsia="en-US"/>
        </w:rPr>
        <w:t>в</w:t>
      </w:r>
      <w:r w:rsidRPr="008742E9">
        <w:rPr>
          <w:rFonts w:eastAsia="Calibri"/>
          <w:sz w:val="22"/>
          <w:szCs w:val="22"/>
          <w:lang w:eastAsia="en-US"/>
        </w:rPr>
        <w:t>ляется проведение инфузионной терапии. Стоит отметить, что в связи с наличием у животного рвоты и поноса, отсутствием орал</w:t>
      </w:r>
      <w:r w:rsidRPr="008742E9">
        <w:rPr>
          <w:rFonts w:eastAsia="Calibri"/>
          <w:sz w:val="22"/>
          <w:szCs w:val="22"/>
          <w:lang w:eastAsia="en-US"/>
        </w:rPr>
        <w:t>ь</w:t>
      </w:r>
      <w:r w:rsidRPr="008742E9">
        <w:rPr>
          <w:rFonts w:eastAsia="Calibri"/>
          <w:sz w:val="22"/>
          <w:szCs w:val="22"/>
          <w:lang w:eastAsia="en-US"/>
        </w:rPr>
        <w:t>ного поступления жидкости и сильной интоксикацией организма собаки, парентеральное поступление инфузионных растворов должно быть систематическим и отличаться довольно большими объемами [1].</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Объем инфузионной терапии лучше рассчитывать исходя из 4-х аспектов. Устранение дефицита волемии, т.е. восполнение объема циркулирующей крови. Здесь необходимо опираться на то, что об</w:t>
      </w:r>
      <w:r w:rsidRPr="008742E9">
        <w:rPr>
          <w:rFonts w:eastAsia="Calibri"/>
          <w:sz w:val="22"/>
          <w:szCs w:val="22"/>
          <w:lang w:eastAsia="en-US"/>
        </w:rPr>
        <w:t>ъ</w:t>
      </w:r>
      <w:r w:rsidRPr="008742E9">
        <w:rPr>
          <w:rFonts w:eastAsia="Calibri"/>
          <w:sz w:val="22"/>
          <w:szCs w:val="22"/>
          <w:lang w:eastAsia="en-US"/>
        </w:rPr>
        <w:t>ем циркулирующей крови у собак равен в среднем 88 мл/кг массы тела. Восполнение дефицитного объема жидкости (регидратация), что направлено на устранение дефицита жидкости в тканях орг</w:t>
      </w:r>
      <w:r w:rsidRPr="008742E9">
        <w:rPr>
          <w:rFonts w:eastAsia="Calibri"/>
          <w:sz w:val="22"/>
          <w:szCs w:val="22"/>
          <w:lang w:eastAsia="en-US"/>
        </w:rPr>
        <w:t>а</w:t>
      </w:r>
      <w:r w:rsidRPr="008742E9">
        <w:rPr>
          <w:rFonts w:eastAsia="Calibri"/>
          <w:sz w:val="22"/>
          <w:szCs w:val="22"/>
          <w:lang w:eastAsia="en-US"/>
        </w:rPr>
        <w:t>низма животного (в клетках и межклеточном пространстве). Ко</w:t>
      </w:r>
      <w:r w:rsidRPr="008742E9">
        <w:rPr>
          <w:rFonts w:eastAsia="Calibri"/>
          <w:sz w:val="22"/>
          <w:szCs w:val="22"/>
          <w:lang w:eastAsia="en-US"/>
        </w:rPr>
        <w:t>м</w:t>
      </w:r>
      <w:r w:rsidRPr="008742E9">
        <w:rPr>
          <w:rFonts w:eastAsia="Calibri"/>
          <w:sz w:val="22"/>
          <w:szCs w:val="22"/>
          <w:lang w:eastAsia="en-US"/>
        </w:rPr>
        <w:t>пенсация дополнительных потерь. В среднем с рвотой животное теряет 20 мл/кг/сутки, с диареей – 20 - 40 мл/кг/сутки. Из объема дополнительных потерь следует вычитать объем жидкости, пол</w:t>
      </w:r>
      <w:r w:rsidRPr="008742E9">
        <w:rPr>
          <w:rFonts w:eastAsia="Calibri"/>
          <w:sz w:val="22"/>
          <w:szCs w:val="22"/>
          <w:lang w:eastAsia="en-US"/>
        </w:rPr>
        <w:t>у</w:t>
      </w:r>
      <w:r w:rsidRPr="008742E9">
        <w:rPr>
          <w:rFonts w:eastAsia="Calibri"/>
          <w:sz w:val="22"/>
          <w:szCs w:val="22"/>
          <w:lang w:eastAsia="en-US"/>
        </w:rPr>
        <w:t xml:space="preserve">ченной орально. Введение поддерживающего объема жидкости, т.е. </w:t>
      </w:r>
      <w:r w:rsidRPr="008742E9">
        <w:rPr>
          <w:rFonts w:eastAsia="Calibri"/>
          <w:sz w:val="22"/>
          <w:szCs w:val="22"/>
          <w:lang w:eastAsia="en-US"/>
        </w:rPr>
        <w:lastRenderedPageBreak/>
        <w:t>объема, ежедневно необходимого животному на поддержание жи</w:t>
      </w:r>
      <w:r w:rsidRPr="008742E9">
        <w:rPr>
          <w:rFonts w:eastAsia="Calibri"/>
          <w:sz w:val="22"/>
          <w:szCs w:val="22"/>
          <w:lang w:eastAsia="en-US"/>
        </w:rPr>
        <w:t>з</w:t>
      </w:r>
      <w:r w:rsidRPr="008742E9">
        <w:rPr>
          <w:rFonts w:eastAsia="Calibri"/>
          <w:sz w:val="22"/>
          <w:szCs w:val="22"/>
          <w:lang w:eastAsia="en-US"/>
        </w:rPr>
        <w:t xml:space="preserve">ни организма. </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проведении инфузионной терапии обязательно учитывае</w:t>
      </w:r>
      <w:r w:rsidRPr="008742E9">
        <w:rPr>
          <w:rFonts w:eastAsia="Calibri"/>
          <w:sz w:val="22"/>
          <w:szCs w:val="22"/>
          <w:lang w:eastAsia="en-US"/>
        </w:rPr>
        <w:t>т</w:t>
      </w:r>
      <w:r w:rsidRPr="008742E9">
        <w:rPr>
          <w:rFonts w:eastAsia="Calibri"/>
          <w:sz w:val="22"/>
          <w:szCs w:val="22"/>
          <w:lang w:eastAsia="en-US"/>
        </w:rPr>
        <w:t>ся характер распределения вводимых инфузионных растворов и в</w:t>
      </w:r>
      <w:r w:rsidRPr="008742E9">
        <w:rPr>
          <w:rFonts w:eastAsia="Calibri"/>
          <w:sz w:val="22"/>
          <w:szCs w:val="22"/>
          <w:lang w:eastAsia="en-US"/>
        </w:rPr>
        <w:t>а</w:t>
      </w:r>
      <w:r w:rsidRPr="008742E9">
        <w:rPr>
          <w:rFonts w:eastAsia="Calibri"/>
          <w:sz w:val="22"/>
          <w:szCs w:val="22"/>
          <w:lang w:eastAsia="en-US"/>
        </w:rPr>
        <w:t>рьируется их ионный состав в соответствии с имеющимися задач</w:t>
      </w:r>
      <w:r w:rsidRPr="008742E9">
        <w:rPr>
          <w:rFonts w:eastAsia="Calibri"/>
          <w:sz w:val="22"/>
          <w:szCs w:val="22"/>
          <w:lang w:eastAsia="en-US"/>
        </w:rPr>
        <w:t>а</w:t>
      </w:r>
      <w:r w:rsidRPr="008742E9">
        <w:rPr>
          <w:rFonts w:eastAsia="Calibri"/>
          <w:sz w:val="22"/>
          <w:szCs w:val="22"/>
          <w:lang w:eastAsia="en-US"/>
        </w:rPr>
        <w:t>ми.</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В случае своевременного обращения в ветеринарную клинику (в первые сутки) прогноз лечения колеблется от благоприятного до осторожного. При обращении на 3-4-5 сутки – прогноз неблагопр</w:t>
      </w:r>
      <w:r w:rsidRPr="008742E9">
        <w:rPr>
          <w:rFonts w:eastAsia="Calibri"/>
          <w:sz w:val="22"/>
          <w:szCs w:val="22"/>
          <w:lang w:eastAsia="en-US"/>
        </w:rPr>
        <w:t>и</w:t>
      </w:r>
      <w:r w:rsidRPr="008742E9">
        <w:rPr>
          <w:rFonts w:eastAsia="Calibri"/>
          <w:sz w:val="22"/>
          <w:szCs w:val="22"/>
          <w:lang w:eastAsia="en-US"/>
        </w:rPr>
        <w:t>ятный. При значительной тяжести течения процесса летальность близка к 100 %.</w:t>
      </w:r>
    </w:p>
    <w:p w:rsidR="008742E9" w:rsidRPr="008742E9" w:rsidRDefault="008742E9" w:rsidP="00C342C9">
      <w:pPr>
        <w:ind w:firstLine="425"/>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C342C9">
      <w:pPr>
        <w:ind w:firstLine="425"/>
        <w:jc w:val="both"/>
        <w:rPr>
          <w:rFonts w:eastAsia="Calibri"/>
          <w:sz w:val="22"/>
          <w:szCs w:val="22"/>
          <w:lang w:eastAsia="en-US"/>
        </w:rPr>
      </w:pPr>
      <w:r w:rsidRPr="008742E9">
        <w:rPr>
          <w:rFonts w:eastAsia="Calibri"/>
          <w:sz w:val="22"/>
          <w:szCs w:val="22"/>
          <w:lang w:eastAsia="en-US"/>
        </w:rPr>
        <w:t>1. Киселева Н. С. Лечение острого панкреатита собак / Н. С. Киселева, М. Н. Лифенцова, А. И. Сидоренко  // Научное обеспеч</w:t>
      </w:r>
      <w:r w:rsidRPr="008742E9">
        <w:rPr>
          <w:rFonts w:eastAsia="Calibri"/>
          <w:sz w:val="22"/>
          <w:szCs w:val="22"/>
          <w:lang w:eastAsia="en-US"/>
        </w:rPr>
        <w:t>е</w:t>
      </w:r>
      <w:r w:rsidRPr="008742E9">
        <w:rPr>
          <w:rFonts w:eastAsia="Calibri"/>
          <w:sz w:val="22"/>
          <w:szCs w:val="22"/>
          <w:lang w:eastAsia="en-US"/>
        </w:rPr>
        <w:t>ние агропромышленного комплекса: материалы Х Всероссийской конференции молодых ученых, посвященной 120-летию И. С. К</w:t>
      </w:r>
      <w:r w:rsidRPr="008742E9">
        <w:rPr>
          <w:rFonts w:eastAsia="Calibri"/>
          <w:sz w:val="22"/>
          <w:szCs w:val="22"/>
          <w:lang w:eastAsia="en-US"/>
        </w:rPr>
        <w:t>о</w:t>
      </w:r>
      <w:r w:rsidRPr="008742E9">
        <w:rPr>
          <w:rFonts w:eastAsia="Calibri"/>
          <w:sz w:val="22"/>
          <w:szCs w:val="22"/>
          <w:lang w:eastAsia="en-US"/>
        </w:rPr>
        <w:t>сенко. – Краснодар: Кубанский ГАУ, 2017. – С. 199-200.</w:t>
      </w:r>
    </w:p>
    <w:p w:rsidR="008742E9" w:rsidRDefault="008742E9" w:rsidP="008742E9">
      <w:pPr>
        <w:jc w:val="both"/>
        <w:rPr>
          <w:rFonts w:eastAsia="Calibri"/>
          <w:sz w:val="22"/>
          <w:szCs w:val="22"/>
          <w:lang w:eastAsia="en-US"/>
        </w:rPr>
      </w:pPr>
    </w:p>
    <w:p w:rsidR="00C342C9" w:rsidRDefault="00C342C9" w:rsidP="008742E9">
      <w:pPr>
        <w:jc w:val="both"/>
        <w:rPr>
          <w:rFonts w:eastAsia="Calibri"/>
          <w:sz w:val="22"/>
          <w:szCs w:val="22"/>
          <w:lang w:eastAsia="en-US"/>
        </w:rPr>
      </w:pPr>
    </w:p>
    <w:p w:rsidR="00C342C9" w:rsidRPr="008742E9" w:rsidRDefault="00C342C9" w:rsidP="008742E9">
      <w:pPr>
        <w:jc w:val="both"/>
        <w:rPr>
          <w:rFonts w:eastAsia="Calibri"/>
          <w:sz w:val="22"/>
          <w:szCs w:val="22"/>
          <w:lang w:eastAsia="en-US"/>
        </w:rPr>
      </w:pPr>
    </w:p>
    <w:p w:rsidR="008742E9" w:rsidRPr="00C342C9" w:rsidRDefault="008742E9" w:rsidP="008742E9">
      <w:pPr>
        <w:ind w:right="-57"/>
        <w:contextualSpacing/>
        <w:jc w:val="both"/>
        <w:rPr>
          <w:rFonts w:eastAsia="Calibri"/>
          <w:color w:val="000000"/>
          <w:sz w:val="22"/>
          <w:szCs w:val="22"/>
          <w:shd w:val="clear" w:color="auto" w:fill="FFFFFF"/>
          <w:lang w:eastAsia="en-US"/>
        </w:rPr>
      </w:pPr>
      <w:r w:rsidRPr="00C342C9">
        <w:rPr>
          <w:rFonts w:eastAsia="Calibri"/>
          <w:color w:val="000000"/>
          <w:sz w:val="22"/>
          <w:szCs w:val="22"/>
          <w:shd w:val="clear" w:color="auto" w:fill="FFFFFF"/>
          <w:lang w:eastAsia="en-US"/>
        </w:rPr>
        <w:t>УДК 619:616.127-005.8</w:t>
      </w:r>
    </w:p>
    <w:p w:rsidR="008742E9" w:rsidRPr="008742E9" w:rsidRDefault="008742E9" w:rsidP="008742E9">
      <w:pPr>
        <w:ind w:right="-57"/>
        <w:contextualSpacing/>
        <w:jc w:val="both"/>
        <w:rPr>
          <w:rFonts w:eastAsia="Calibri"/>
          <w:b/>
          <w:color w:val="000000"/>
          <w:sz w:val="20"/>
          <w:szCs w:val="20"/>
          <w:shd w:val="clear" w:color="auto" w:fill="FFFFFF"/>
          <w:lang w:eastAsia="en-US"/>
        </w:rPr>
      </w:pPr>
    </w:p>
    <w:p w:rsidR="008742E9" w:rsidRPr="008742E9" w:rsidRDefault="008742E9" w:rsidP="008742E9">
      <w:pPr>
        <w:ind w:right="-57"/>
        <w:contextualSpacing/>
        <w:jc w:val="center"/>
        <w:rPr>
          <w:rFonts w:eastAsia="Calibri"/>
          <w:b/>
          <w:color w:val="000000"/>
          <w:sz w:val="24"/>
          <w:szCs w:val="24"/>
          <w:shd w:val="clear" w:color="auto" w:fill="FFFFFF"/>
          <w:lang w:eastAsia="en-US"/>
        </w:rPr>
      </w:pPr>
      <w:r w:rsidRPr="008742E9">
        <w:rPr>
          <w:rFonts w:eastAsia="Calibri"/>
          <w:b/>
          <w:color w:val="000000"/>
          <w:sz w:val="24"/>
          <w:szCs w:val="24"/>
          <w:shd w:val="clear" w:color="auto" w:fill="FFFFFF"/>
          <w:lang w:eastAsia="en-US"/>
        </w:rPr>
        <w:t>Особенности морфологии инфаркта миокарда</w:t>
      </w:r>
    </w:p>
    <w:p w:rsidR="008742E9" w:rsidRPr="00CB1025" w:rsidRDefault="008742E9" w:rsidP="008742E9">
      <w:pPr>
        <w:ind w:right="-57"/>
        <w:contextualSpacing/>
        <w:jc w:val="center"/>
        <w:rPr>
          <w:rFonts w:eastAsia="Calibri"/>
          <w:b/>
          <w:sz w:val="24"/>
          <w:szCs w:val="24"/>
          <w:shd w:val="clear" w:color="auto" w:fill="FFFFFF"/>
          <w:lang w:val="en-US" w:eastAsia="en-US"/>
        </w:rPr>
      </w:pPr>
      <w:r w:rsidRPr="00CB1025">
        <w:rPr>
          <w:rFonts w:eastAsia="Calibri"/>
          <w:b/>
          <w:sz w:val="24"/>
          <w:szCs w:val="24"/>
          <w:shd w:val="clear" w:color="auto" w:fill="FFFFFF"/>
          <w:lang w:val="en-US" w:eastAsia="en-US"/>
        </w:rPr>
        <w:t>Peculiarities of myocardial infarction morphology</w:t>
      </w:r>
    </w:p>
    <w:p w:rsidR="008742E9" w:rsidRPr="008742E9" w:rsidRDefault="008742E9" w:rsidP="008742E9">
      <w:pPr>
        <w:ind w:right="-57"/>
        <w:contextualSpacing/>
        <w:jc w:val="center"/>
        <w:rPr>
          <w:rFonts w:eastAsia="Calibri"/>
          <w:b/>
          <w:color w:val="000000"/>
          <w:sz w:val="24"/>
          <w:szCs w:val="24"/>
          <w:shd w:val="clear" w:color="auto" w:fill="FFFFFF"/>
          <w:lang w:val="en-US" w:eastAsia="en-US"/>
        </w:rPr>
      </w:pPr>
    </w:p>
    <w:p w:rsidR="008742E9" w:rsidRPr="008742E9" w:rsidRDefault="008742E9" w:rsidP="008742E9">
      <w:pPr>
        <w:shd w:val="clear" w:color="auto" w:fill="FFFFFF"/>
        <w:ind w:right="-57"/>
        <w:contextualSpacing/>
        <w:jc w:val="right"/>
        <w:rPr>
          <w:bCs/>
          <w:color w:val="000000"/>
          <w:sz w:val="22"/>
          <w:szCs w:val="22"/>
          <w:lang w:val="en-US"/>
        </w:rPr>
      </w:pPr>
      <w:r w:rsidRPr="008742E9">
        <w:rPr>
          <w:bCs/>
          <w:color w:val="000000"/>
          <w:sz w:val="22"/>
          <w:szCs w:val="22"/>
        </w:rPr>
        <w:t>Якусевич</w:t>
      </w:r>
      <w:r w:rsidRPr="008742E9">
        <w:rPr>
          <w:bCs/>
          <w:color w:val="000000"/>
          <w:sz w:val="22"/>
          <w:szCs w:val="22"/>
          <w:lang w:val="en-US"/>
        </w:rPr>
        <w:t xml:space="preserve"> </w:t>
      </w:r>
      <w:r w:rsidRPr="008742E9">
        <w:rPr>
          <w:bCs/>
          <w:color w:val="000000"/>
          <w:sz w:val="22"/>
          <w:szCs w:val="22"/>
        </w:rPr>
        <w:t>Д</w:t>
      </w:r>
      <w:r w:rsidRPr="008742E9">
        <w:rPr>
          <w:bCs/>
          <w:color w:val="000000"/>
          <w:sz w:val="22"/>
          <w:szCs w:val="22"/>
          <w:lang w:val="en-US"/>
        </w:rPr>
        <w:t xml:space="preserve">. </w:t>
      </w:r>
      <w:r w:rsidRPr="008742E9">
        <w:rPr>
          <w:bCs/>
          <w:color w:val="000000"/>
          <w:sz w:val="22"/>
          <w:szCs w:val="22"/>
        </w:rPr>
        <w:t>О</w:t>
      </w:r>
      <w:r w:rsidRPr="008742E9">
        <w:rPr>
          <w:bCs/>
          <w:color w:val="000000"/>
          <w:sz w:val="22"/>
          <w:szCs w:val="22"/>
          <w:lang w:val="en-US"/>
        </w:rPr>
        <w:t>.,</w:t>
      </w:r>
    </w:p>
    <w:p w:rsidR="00C342C9" w:rsidRDefault="008742E9" w:rsidP="008742E9">
      <w:pPr>
        <w:shd w:val="clear" w:color="auto" w:fill="FFFFFF"/>
        <w:ind w:right="-57"/>
        <w:contextualSpacing/>
        <w:jc w:val="right"/>
        <w:rPr>
          <w:color w:val="000000"/>
          <w:sz w:val="22"/>
          <w:szCs w:val="22"/>
        </w:rPr>
      </w:pPr>
      <w:r w:rsidRPr="00024398">
        <w:rPr>
          <w:color w:val="000000"/>
          <w:sz w:val="22"/>
          <w:szCs w:val="22"/>
          <w:lang w:val="en-US"/>
        </w:rPr>
        <w:t xml:space="preserve"> </w:t>
      </w:r>
      <w:r w:rsidRPr="008742E9">
        <w:rPr>
          <w:color w:val="000000"/>
          <w:sz w:val="22"/>
          <w:szCs w:val="22"/>
        </w:rPr>
        <w:t>студентка 4 курса</w:t>
      </w:r>
    </w:p>
    <w:p w:rsidR="00C342C9" w:rsidRDefault="008742E9" w:rsidP="008742E9">
      <w:pPr>
        <w:shd w:val="clear" w:color="auto" w:fill="FFFFFF"/>
        <w:ind w:right="-57"/>
        <w:contextualSpacing/>
        <w:jc w:val="right"/>
        <w:rPr>
          <w:color w:val="000000"/>
          <w:sz w:val="22"/>
          <w:szCs w:val="22"/>
        </w:rPr>
      </w:pPr>
      <w:r w:rsidRPr="008742E9">
        <w:rPr>
          <w:color w:val="000000"/>
          <w:sz w:val="22"/>
          <w:szCs w:val="22"/>
        </w:rPr>
        <w:t xml:space="preserve"> факультета ветеринарной медицины</w:t>
      </w:r>
    </w:p>
    <w:p w:rsidR="008742E9" w:rsidRPr="008742E9" w:rsidRDefault="008742E9" w:rsidP="008742E9">
      <w:pPr>
        <w:shd w:val="clear" w:color="auto" w:fill="FFFFFF"/>
        <w:ind w:right="-57"/>
        <w:contextualSpacing/>
        <w:jc w:val="right"/>
        <w:rPr>
          <w:color w:val="000000"/>
          <w:sz w:val="22"/>
          <w:szCs w:val="22"/>
        </w:rPr>
      </w:pPr>
      <w:r w:rsidRPr="008742E9">
        <w:rPr>
          <w:sz w:val="22"/>
          <w:szCs w:val="22"/>
        </w:rPr>
        <w:t>Кравче</w:t>
      </w:r>
      <w:r w:rsidRPr="008742E9">
        <w:rPr>
          <w:sz w:val="24"/>
          <w:szCs w:val="24"/>
        </w:rPr>
        <w:t>н</w:t>
      </w:r>
      <w:r w:rsidRPr="008742E9">
        <w:rPr>
          <w:sz w:val="22"/>
          <w:szCs w:val="22"/>
        </w:rPr>
        <w:t>ко Г. А.,</w:t>
      </w:r>
    </w:p>
    <w:p w:rsidR="008742E9" w:rsidRPr="008742E9" w:rsidRDefault="008742E9" w:rsidP="008742E9">
      <w:pPr>
        <w:jc w:val="right"/>
        <w:rPr>
          <w:rFonts w:eastAsia="Calibri"/>
          <w:sz w:val="22"/>
          <w:szCs w:val="22"/>
          <w:shd w:val="clear" w:color="auto" w:fill="FFFFFF"/>
          <w:lang w:eastAsia="en-US"/>
        </w:rPr>
      </w:pPr>
      <w:r w:rsidRPr="008742E9">
        <w:rPr>
          <w:rFonts w:eastAsia="Calibri"/>
          <w:sz w:val="22"/>
          <w:szCs w:val="22"/>
          <w:lang w:eastAsia="en-US"/>
        </w:rPr>
        <w:t xml:space="preserve"> </w:t>
      </w:r>
      <w:r w:rsidR="00C342C9">
        <w:rPr>
          <w:rFonts w:eastAsia="Calibri"/>
          <w:sz w:val="22"/>
          <w:szCs w:val="22"/>
          <w:shd w:val="clear" w:color="auto" w:fill="FFFFFF"/>
          <w:lang w:eastAsia="en-US"/>
        </w:rPr>
        <w:t>доцент кафедры анатомии,</w:t>
      </w:r>
    </w:p>
    <w:p w:rsidR="008742E9" w:rsidRPr="008742E9" w:rsidRDefault="008742E9" w:rsidP="008742E9">
      <w:pPr>
        <w:jc w:val="right"/>
        <w:rPr>
          <w:rFonts w:eastAsia="Calibri"/>
          <w:sz w:val="22"/>
          <w:szCs w:val="22"/>
          <w:shd w:val="clear" w:color="auto" w:fill="FFFFFF"/>
          <w:lang w:eastAsia="en-US"/>
        </w:rPr>
      </w:pPr>
      <w:r w:rsidRPr="008742E9">
        <w:rPr>
          <w:rFonts w:eastAsia="Calibri"/>
          <w:sz w:val="22"/>
          <w:szCs w:val="22"/>
          <w:shd w:val="clear" w:color="auto" w:fill="FFFFFF"/>
          <w:lang w:eastAsia="en-US"/>
        </w:rPr>
        <w:t>вете</w:t>
      </w:r>
      <w:r w:rsidR="00C342C9">
        <w:rPr>
          <w:rFonts w:eastAsia="Calibri"/>
          <w:sz w:val="22"/>
          <w:szCs w:val="22"/>
          <w:shd w:val="clear" w:color="auto" w:fill="FFFFFF"/>
          <w:lang w:eastAsia="en-US"/>
        </w:rPr>
        <w:t>ринарного акушерства и хирургии</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jc w:val="right"/>
        <w:rPr>
          <w:rFonts w:eastAsia="Calibri"/>
          <w:sz w:val="22"/>
          <w:szCs w:val="22"/>
          <w:lang w:eastAsia="en-US"/>
        </w:rPr>
      </w:pPr>
      <w:r w:rsidRPr="008742E9">
        <w:rPr>
          <w:rFonts w:eastAsia="Calibri"/>
          <w:sz w:val="22"/>
          <w:szCs w:val="22"/>
          <w:lang w:eastAsia="en-US"/>
        </w:rPr>
        <w:t xml:space="preserve"> университет имени И.</w:t>
      </w:r>
      <w:r w:rsidR="00C342C9">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jc w:val="right"/>
        <w:rPr>
          <w:rFonts w:eastAsia="Calibri"/>
          <w:sz w:val="22"/>
          <w:szCs w:val="22"/>
          <w:lang w:eastAsia="en-US"/>
        </w:rPr>
      </w:pPr>
    </w:p>
    <w:p w:rsidR="008742E9" w:rsidRPr="008742E9" w:rsidRDefault="008742E9" w:rsidP="00C342C9">
      <w:pPr>
        <w:ind w:right="-57" w:firstLine="426"/>
        <w:contextualSpacing/>
        <w:jc w:val="both"/>
        <w:rPr>
          <w:sz w:val="22"/>
          <w:szCs w:val="22"/>
        </w:rPr>
      </w:pPr>
      <w:r w:rsidRPr="008742E9">
        <w:rPr>
          <w:sz w:val="22"/>
          <w:szCs w:val="22"/>
        </w:rPr>
        <w:t>АННОТАЦИЯ: представлены морфологические особенности инфаркта миокарда в зависимости от времени прекращения его кр</w:t>
      </w:r>
      <w:r w:rsidRPr="008742E9">
        <w:rPr>
          <w:sz w:val="22"/>
          <w:szCs w:val="22"/>
        </w:rPr>
        <w:t>о</w:t>
      </w:r>
      <w:r w:rsidRPr="008742E9">
        <w:rPr>
          <w:sz w:val="22"/>
          <w:szCs w:val="22"/>
        </w:rPr>
        <w:t>воснабжения и наступления смерти животного.</w:t>
      </w:r>
    </w:p>
    <w:p w:rsidR="008742E9" w:rsidRPr="00024398" w:rsidRDefault="008742E9" w:rsidP="00C342C9">
      <w:pPr>
        <w:ind w:right="-57" w:firstLine="426"/>
        <w:contextualSpacing/>
        <w:jc w:val="both"/>
        <w:rPr>
          <w:rFonts w:eastAsia="Calibri"/>
          <w:sz w:val="22"/>
          <w:szCs w:val="22"/>
          <w:shd w:val="clear" w:color="auto" w:fill="FFFFFF"/>
          <w:lang w:val="en-US" w:eastAsia="en-US"/>
        </w:rPr>
      </w:pPr>
      <w:r w:rsidRPr="008742E9">
        <w:rPr>
          <w:rFonts w:eastAsia="Calibri"/>
          <w:sz w:val="22"/>
          <w:szCs w:val="22"/>
          <w:shd w:val="clear" w:color="auto" w:fill="FFFFFF"/>
          <w:lang w:val="en-US" w:eastAsia="en-US"/>
        </w:rPr>
        <w:lastRenderedPageBreak/>
        <w:t>ABSTRACT: morphological features of myocardial infarction d</w:t>
      </w:r>
      <w:r w:rsidRPr="008742E9">
        <w:rPr>
          <w:rFonts w:eastAsia="Calibri"/>
          <w:sz w:val="22"/>
          <w:szCs w:val="22"/>
          <w:shd w:val="clear" w:color="auto" w:fill="FFFFFF"/>
          <w:lang w:val="en-US" w:eastAsia="en-US"/>
        </w:rPr>
        <w:t>e</w:t>
      </w:r>
      <w:r w:rsidRPr="008742E9">
        <w:rPr>
          <w:rFonts w:eastAsia="Calibri"/>
          <w:sz w:val="22"/>
          <w:szCs w:val="22"/>
          <w:shd w:val="clear" w:color="auto" w:fill="FFFFFF"/>
          <w:lang w:val="en-US" w:eastAsia="en-US"/>
        </w:rPr>
        <w:t xml:space="preserve">pending on the time of termination of its blood supply and approach of death of an animal are presented. </w:t>
      </w:r>
    </w:p>
    <w:p w:rsidR="00C342C9" w:rsidRPr="00C342C9" w:rsidRDefault="00C342C9" w:rsidP="00C342C9">
      <w:pPr>
        <w:ind w:right="-57" w:firstLine="426"/>
        <w:contextualSpacing/>
        <w:jc w:val="both"/>
        <w:rPr>
          <w:spacing w:val="-4"/>
          <w:sz w:val="22"/>
          <w:szCs w:val="22"/>
        </w:rPr>
      </w:pPr>
      <w:r w:rsidRPr="008742E9">
        <w:rPr>
          <w:spacing w:val="-4"/>
          <w:sz w:val="22"/>
          <w:szCs w:val="22"/>
        </w:rPr>
        <w:t>КЛЮЧЕВЫЕ СЛОВА: инфаркт миокарда, некроз, ишемия, сос</w:t>
      </w:r>
      <w:r w:rsidRPr="008742E9">
        <w:rPr>
          <w:spacing w:val="-4"/>
          <w:sz w:val="22"/>
          <w:szCs w:val="22"/>
        </w:rPr>
        <w:t>у</w:t>
      </w:r>
      <w:r w:rsidRPr="008742E9">
        <w:rPr>
          <w:spacing w:val="-4"/>
          <w:sz w:val="22"/>
          <w:szCs w:val="22"/>
        </w:rPr>
        <w:t>ды, тромбоз, атеросклероз.</w:t>
      </w:r>
    </w:p>
    <w:p w:rsidR="008742E9" w:rsidRPr="008742E9" w:rsidRDefault="008742E9" w:rsidP="00C342C9">
      <w:pPr>
        <w:ind w:right="-57" w:firstLine="426"/>
        <w:contextualSpacing/>
        <w:jc w:val="both"/>
        <w:rPr>
          <w:rFonts w:eastAsia="Calibri"/>
          <w:color w:val="000000"/>
          <w:sz w:val="22"/>
          <w:szCs w:val="22"/>
          <w:shd w:val="clear" w:color="auto" w:fill="FFFFFF"/>
          <w:lang w:val="en-US" w:eastAsia="en-US"/>
        </w:rPr>
      </w:pPr>
      <w:r w:rsidRPr="008742E9">
        <w:rPr>
          <w:rFonts w:eastAsia="Calibri"/>
          <w:color w:val="000000"/>
          <w:sz w:val="22"/>
          <w:szCs w:val="22"/>
          <w:shd w:val="clear" w:color="auto" w:fill="FFFFFF"/>
          <w:lang w:val="en-US" w:eastAsia="en-US"/>
        </w:rPr>
        <w:t xml:space="preserve">KEYWORDS: </w:t>
      </w:r>
      <w:r w:rsidRPr="008742E9">
        <w:rPr>
          <w:rFonts w:eastAsia="Calibri"/>
          <w:sz w:val="22"/>
          <w:szCs w:val="22"/>
          <w:shd w:val="clear" w:color="auto" w:fill="FFFFFF"/>
          <w:lang w:val="en-US" w:eastAsia="en-US"/>
        </w:rPr>
        <w:t>myocardial infarction, necrosis, ischemia, blood ve</w:t>
      </w:r>
      <w:r w:rsidRPr="008742E9">
        <w:rPr>
          <w:rFonts w:eastAsia="Calibri"/>
          <w:sz w:val="22"/>
          <w:szCs w:val="22"/>
          <w:shd w:val="clear" w:color="auto" w:fill="FFFFFF"/>
          <w:lang w:val="en-US" w:eastAsia="en-US"/>
        </w:rPr>
        <w:t>s</w:t>
      </w:r>
      <w:r w:rsidRPr="008742E9">
        <w:rPr>
          <w:rFonts w:eastAsia="Calibri"/>
          <w:sz w:val="22"/>
          <w:szCs w:val="22"/>
          <w:shd w:val="clear" w:color="auto" w:fill="FFFFFF"/>
          <w:lang w:val="en-US" w:eastAsia="en-US"/>
        </w:rPr>
        <w:t>sels, thrombosis, atherosclerosis.</w:t>
      </w:r>
    </w:p>
    <w:p w:rsidR="008742E9" w:rsidRPr="008742E9" w:rsidRDefault="008742E9" w:rsidP="00C342C9">
      <w:pPr>
        <w:ind w:right="-57" w:firstLine="426"/>
        <w:contextualSpacing/>
        <w:jc w:val="both"/>
        <w:rPr>
          <w:rFonts w:eastAsia="Calibri"/>
          <w:color w:val="000000"/>
          <w:sz w:val="22"/>
          <w:szCs w:val="22"/>
          <w:shd w:val="clear" w:color="auto" w:fill="FFFFFF"/>
          <w:lang w:val="en-US" w:eastAsia="en-US"/>
        </w:rPr>
      </w:pPr>
    </w:p>
    <w:p w:rsidR="008742E9" w:rsidRPr="008742E9" w:rsidRDefault="008742E9" w:rsidP="00C342C9">
      <w:pPr>
        <w:shd w:val="clear" w:color="auto" w:fill="FFFFFF"/>
        <w:ind w:right="-57" w:firstLine="426"/>
        <w:contextualSpacing/>
        <w:jc w:val="both"/>
        <w:rPr>
          <w:color w:val="000000"/>
          <w:sz w:val="22"/>
          <w:szCs w:val="22"/>
          <w:shd w:val="clear" w:color="auto" w:fill="FFFFFF"/>
        </w:rPr>
      </w:pPr>
      <w:r w:rsidRPr="008742E9">
        <w:rPr>
          <w:color w:val="000000"/>
          <w:sz w:val="22"/>
          <w:szCs w:val="22"/>
          <w:shd w:val="clear" w:color="auto" w:fill="FFFFFF"/>
        </w:rPr>
        <w:t>Инфаркт миокарда является специфическим некрозом. Его ра</w:t>
      </w:r>
      <w:r w:rsidRPr="008742E9">
        <w:rPr>
          <w:color w:val="000000"/>
          <w:sz w:val="22"/>
          <w:szCs w:val="22"/>
          <w:shd w:val="clear" w:color="auto" w:fill="FFFFFF"/>
        </w:rPr>
        <w:t>з</w:t>
      </w:r>
      <w:r w:rsidR="00C342C9">
        <w:rPr>
          <w:color w:val="000000"/>
          <w:sz w:val="22"/>
          <w:szCs w:val="22"/>
          <w:shd w:val="clear" w:color="auto" w:fill="FFFFFF"/>
        </w:rPr>
        <w:t>витие</w:t>
      </w:r>
      <w:r w:rsidRPr="008742E9">
        <w:rPr>
          <w:color w:val="000000"/>
          <w:sz w:val="22"/>
          <w:szCs w:val="22"/>
          <w:shd w:val="clear" w:color="auto" w:fill="FFFFFF"/>
        </w:rPr>
        <w:t xml:space="preserve"> всегда связано с ишемией участка сердечной мышцы. Ишемия обусловлена </w:t>
      </w:r>
      <w:r w:rsidRPr="008742E9">
        <w:rPr>
          <w:color w:val="000000"/>
          <w:sz w:val="22"/>
          <w:szCs w:val="22"/>
        </w:rPr>
        <w:t>прекращением поступления крови по одной из вене</w:t>
      </w:r>
      <w:r w:rsidRPr="008742E9">
        <w:rPr>
          <w:color w:val="000000"/>
          <w:sz w:val="22"/>
          <w:szCs w:val="22"/>
        </w:rPr>
        <w:t>ч</w:t>
      </w:r>
      <w:r w:rsidRPr="008742E9">
        <w:rPr>
          <w:color w:val="000000"/>
          <w:sz w:val="22"/>
          <w:szCs w:val="22"/>
        </w:rPr>
        <w:t xml:space="preserve">ных артерий сердца </w:t>
      </w:r>
      <w:r w:rsidRPr="008742E9">
        <w:rPr>
          <w:color w:val="000000"/>
          <w:sz w:val="22"/>
          <w:szCs w:val="22"/>
          <w:shd w:val="clear" w:color="auto" w:fill="FFFFFF"/>
        </w:rPr>
        <w:t xml:space="preserve">в результате их спазма, эмболии, тромбоза или атеросклероза. </w:t>
      </w:r>
      <w:r w:rsidRPr="008742E9">
        <w:rPr>
          <w:sz w:val="22"/>
          <w:szCs w:val="22"/>
        </w:rPr>
        <w:t xml:space="preserve">Причиной инфаркта может быть </w:t>
      </w:r>
      <w:r w:rsidRPr="008742E9">
        <w:rPr>
          <w:sz w:val="22"/>
          <w:szCs w:val="22"/>
          <w:shd w:val="clear" w:color="auto" w:fill="FEFEFE"/>
        </w:rPr>
        <w:t xml:space="preserve">функциональная недостаточность гипертрофированного миокарда </w:t>
      </w:r>
      <w:r w:rsidRPr="008742E9">
        <w:rPr>
          <w:color w:val="000000"/>
          <w:sz w:val="22"/>
          <w:szCs w:val="22"/>
        </w:rPr>
        <w:t>[1, 3].</w:t>
      </w:r>
      <w:r w:rsidRPr="008742E9">
        <w:rPr>
          <w:color w:val="000000"/>
          <w:sz w:val="22"/>
          <w:szCs w:val="22"/>
          <w:shd w:val="clear" w:color="auto" w:fill="FFFFFF"/>
        </w:rPr>
        <w:t xml:space="preserve">  </w:t>
      </w:r>
    </w:p>
    <w:p w:rsidR="008742E9" w:rsidRPr="008742E9" w:rsidRDefault="008742E9" w:rsidP="000C7D3B">
      <w:pPr>
        <w:ind w:right="-58" w:firstLine="426"/>
        <w:contextualSpacing/>
        <w:jc w:val="both"/>
        <w:rPr>
          <w:rFonts w:eastAsia="Calibri"/>
          <w:color w:val="000000"/>
          <w:sz w:val="22"/>
          <w:szCs w:val="22"/>
          <w:lang w:eastAsia="en-US"/>
        </w:rPr>
      </w:pPr>
      <w:r w:rsidRPr="008742E9">
        <w:rPr>
          <w:rFonts w:eastAsia="Calibri"/>
          <w:sz w:val="22"/>
          <w:szCs w:val="22"/>
          <w:shd w:val="clear" w:color="auto" w:fill="FFFFFF"/>
          <w:lang w:eastAsia="en-US"/>
        </w:rPr>
        <w:t>И</w:t>
      </w:r>
      <w:r w:rsidRPr="008742E9">
        <w:rPr>
          <w:rFonts w:eastAsia="Calibri"/>
          <w:color w:val="000000"/>
          <w:sz w:val="22"/>
          <w:szCs w:val="22"/>
          <w:shd w:val="clear" w:color="auto" w:fill="FFFFFF"/>
          <w:lang w:eastAsia="en-US"/>
        </w:rPr>
        <w:t>нфаркт миокарда является патогномоничным признаком таких заболеваний как</w:t>
      </w:r>
      <w:r w:rsidRPr="008742E9">
        <w:rPr>
          <w:rFonts w:eastAsia="Calibri"/>
          <w:color w:val="000000"/>
          <w:sz w:val="22"/>
          <w:szCs w:val="22"/>
          <w:lang w:eastAsia="en-US"/>
        </w:rPr>
        <w:t xml:space="preserve"> ИНАН лошадей, рожа свин</w:t>
      </w:r>
      <w:r w:rsidR="00C342C9">
        <w:rPr>
          <w:rFonts w:eastAsia="Calibri"/>
          <w:color w:val="000000"/>
          <w:sz w:val="22"/>
          <w:szCs w:val="22"/>
          <w:lang w:eastAsia="en-US"/>
        </w:rPr>
        <w:t xml:space="preserve">ей, лептоспироз, лейкоз собак. Его морфологическое проявление </w:t>
      </w:r>
      <w:r w:rsidRPr="008742E9">
        <w:rPr>
          <w:rFonts w:eastAsia="Calibri"/>
          <w:color w:val="000000"/>
          <w:sz w:val="22"/>
          <w:szCs w:val="22"/>
          <w:lang w:eastAsia="en-US"/>
        </w:rPr>
        <w:t>зависит от анатомических особенностей сосудов сердца. В зависимости от этого он может быть анемическим, геморрагическим или анемическим с геморрагическим пояском.</w:t>
      </w:r>
    </w:p>
    <w:p w:rsidR="008742E9" w:rsidRPr="008742E9" w:rsidRDefault="008742E9" w:rsidP="000C7D3B">
      <w:pPr>
        <w:shd w:val="clear" w:color="auto" w:fill="FFFFFF"/>
        <w:ind w:right="-58" w:firstLine="426"/>
        <w:contextualSpacing/>
        <w:jc w:val="both"/>
        <w:rPr>
          <w:color w:val="000000"/>
          <w:sz w:val="22"/>
          <w:szCs w:val="22"/>
        </w:rPr>
      </w:pPr>
      <w:r w:rsidRPr="008742E9">
        <w:rPr>
          <w:color w:val="000000"/>
          <w:sz w:val="22"/>
          <w:szCs w:val="22"/>
        </w:rPr>
        <w:t>Инфаркт миокарда необходимо дифференцировать от очаговых миокардитов и некрозов миокарда, возникающих не в результате прекращения кровоснабжения, а в результате нарушений метаб</w:t>
      </w:r>
      <w:r w:rsidRPr="008742E9">
        <w:rPr>
          <w:color w:val="000000"/>
          <w:sz w:val="22"/>
          <w:szCs w:val="22"/>
        </w:rPr>
        <w:t>о</w:t>
      </w:r>
      <w:r w:rsidRPr="008742E9">
        <w:rPr>
          <w:color w:val="000000"/>
          <w:sz w:val="22"/>
          <w:szCs w:val="22"/>
        </w:rPr>
        <w:t xml:space="preserve">лизма миокарда (дистрофии) [2].  </w:t>
      </w:r>
    </w:p>
    <w:p w:rsidR="008742E9" w:rsidRPr="008742E9" w:rsidRDefault="008742E9" w:rsidP="000C7D3B">
      <w:pPr>
        <w:shd w:val="clear" w:color="auto" w:fill="FEFEFE"/>
        <w:ind w:right="-58" w:firstLine="426"/>
        <w:jc w:val="both"/>
        <w:rPr>
          <w:sz w:val="22"/>
          <w:szCs w:val="22"/>
          <w:shd w:val="clear" w:color="auto" w:fill="FFFFFF"/>
        </w:rPr>
      </w:pPr>
      <w:r w:rsidRPr="008742E9">
        <w:rPr>
          <w:sz w:val="22"/>
          <w:szCs w:val="22"/>
          <w:shd w:val="clear" w:color="auto" w:fill="FFFFFF"/>
        </w:rPr>
        <w:t>Чаще всего инфаркт миокарда локализуется в области верху</w:t>
      </w:r>
      <w:r w:rsidRPr="008742E9">
        <w:rPr>
          <w:sz w:val="22"/>
          <w:szCs w:val="22"/>
          <w:shd w:val="clear" w:color="auto" w:fill="FFFFFF"/>
        </w:rPr>
        <w:t>ш</w:t>
      </w:r>
      <w:r w:rsidRPr="008742E9">
        <w:rPr>
          <w:sz w:val="22"/>
          <w:szCs w:val="22"/>
          <w:shd w:val="clear" w:color="auto" w:fill="FFFFFF"/>
        </w:rPr>
        <w:t>ки, передней и боковой стенок левого желудочка и передних отд</w:t>
      </w:r>
      <w:r w:rsidRPr="008742E9">
        <w:rPr>
          <w:sz w:val="22"/>
          <w:szCs w:val="22"/>
          <w:shd w:val="clear" w:color="auto" w:fill="FFFFFF"/>
        </w:rPr>
        <w:t>е</w:t>
      </w:r>
      <w:r w:rsidRPr="008742E9">
        <w:rPr>
          <w:sz w:val="22"/>
          <w:szCs w:val="22"/>
          <w:shd w:val="clear" w:color="auto" w:fill="FFFFFF"/>
        </w:rPr>
        <w:t>лов межжелудочковой перегородки, что обусловлено нарушениями гемодинамики передней межжелудочковой ветви левой коронарной артерии, которая наиболее подвержена атеросклерозу.</w:t>
      </w:r>
    </w:p>
    <w:p w:rsidR="008742E9" w:rsidRPr="008742E9" w:rsidRDefault="008742E9" w:rsidP="000C7D3B">
      <w:pPr>
        <w:shd w:val="clear" w:color="auto" w:fill="FEFEFE"/>
        <w:ind w:right="-58" w:firstLine="426"/>
        <w:jc w:val="both"/>
        <w:rPr>
          <w:sz w:val="22"/>
          <w:szCs w:val="22"/>
          <w:shd w:val="clear" w:color="auto" w:fill="FFFFFF"/>
        </w:rPr>
      </w:pPr>
      <w:r w:rsidRPr="008742E9">
        <w:rPr>
          <w:sz w:val="22"/>
          <w:szCs w:val="22"/>
          <w:shd w:val="clear" w:color="auto" w:fill="FFFFFF"/>
        </w:rPr>
        <w:t>Морфологические изменения инфаркта миокарда протекают в три стадии: ишемическую или преднекротическую, некротическую и  организации.</w:t>
      </w:r>
    </w:p>
    <w:p w:rsidR="008742E9" w:rsidRPr="008742E9" w:rsidRDefault="008742E9" w:rsidP="000C7D3B">
      <w:pPr>
        <w:shd w:val="clear" w:color="auto" w:fill="FEFEFE"/>
        <w:ind w:right="-58" w:firstLine="426"/>
        <w:jc w:val="both"/>
        <w:rPr>
          <w:sz w:val="22"/>
          <w:szCs w:val="22"/>
        </w:rPr>
      </w:pPr>
      <w:r w:rsidRPr="008742E9">
        <w:rPr>
          <w:sz w:val="22"/>
          <w:szCs w:val="22"/>
        </w:rPr>
        <w:t>Ишемическая или преднекротическая стадия инфаркта мио</w:t>
      </w:r>
      <w:r w:rsidR="00C342C9">
        <w:rPr>
          <w:sz w:val="22"/>
          <w:szCs w:val="22"/>
        </w:rPr>
        <w:t>ка</w:t>
      </w:r>
      <w:r w:rsidR="00C342C9">
        <w:rPr>
          <w:sz w:val="22"/>
          <w:szCs w:val="22"/>
        </w:rPr>
        <w:t>р</w:t>
      </w:r>
      <w:r w:rsidR="00C342C9">
        <w:rPr>
          <w:sz w:val="22"/>
          <w:szCs w:val="22"/>
        </w:rPr>
        <w:t xml:space="preserve">да </w:t>
      </w:r>
      <w:r w:rsidRPr="008742E9">
        <w:rPr>
          <w:sz w:val="22"/>
          <w:szCs w:val="22"/>
        </w:rPr>
        <w:t>продолжается от 18 до 24 часов и макроскопически не определ</w:t>
      </w:r>
      <w:r w:rsidRPr="008742E9">
        <w:rPr>
          <w:sz w:val="22"/>
          <w:szCs w:val="22"/>
        </w:rPr>
        <w:t>я</w:t>
      </w:r>
      <w:r w:rsidRPr="008742E9">
        <w:rPr>
          <w:sz w:val="22"/>
          <w:szCs w:val="22"/>
        </w:rPr>
        <w:t>ет</w:t>
      </w:r>
      <w:r w:rsidR="00C342C9">
        <w:rPr>
          <w:sz w:val="22"/>
          <w:szCs w:val="22"/>
        </w:rPr>
        <w:t>ся.</w:t>
      </w:r>
      <w:r w:rsidRPr="008742E9">
        <w:rPr>
          <w:sz w:val="22"/>
          <w:szCs w:val="22"/>
        </w:rPr>
        <w:t xml:space="preserve"> При микроскопическом и гистохимическом исследовании в</w:t>
      </w:r>
      <w:r w:rsidRPr="008742E9">
        <w:rPr>
          <w:sz w:val="22"/>
          <w:szCs w:val="22"/>
        </w:rPr>
        <w:t>ы</w:t>
      </w:r>
      <w:r w:rsidRPr="008742E9">
        <w:rPr>
          <w:sz w:val="22"/>
          <w:szCs w:val="22"/>
        </w:rPr>
        <w:t>являют отсутствие гликогена, снижение или отсутствие окислител</w:t>
      </w:r>
      <w:r w:rsidRPr="008742E9">
        <w:rPr>
          <w:sz w:val="22"/>
          <w:szCs w:val="22"/>
        </w:rPr>
        <w:t>ь</w:t>
      </w:r>
      <w:r w:rsidRPr="008742E9">
        <w:rPr>
          <w:sz w:val="22"/>
          <w:szCs w:val="22"/>
        </w:rPr>
        <w:t>но-восстановительных ферментов, расстройство микроциркуляции, повышенную эозинофилию, рексис и лизис кардиомиоцитов.</w:t>
      </w:r>
    </w:p>
    <w:p w:rsidR="008742E9" w:rsidRPr="008742E9" w:rsidRDefault="008742E9" w:rsidP="000C7D3B">
      <w:pPr>
        <w:shd w:val="clear" w:color="auto" w:fill="FEFEFE"/>
        <w:ind w:right="-58" w:firstLine="426"/>
        <w:jc w:val="both"/>
        <w:rPr>
          <w:sz w:val="22"/>
          <w:szCs w:val="22"/>
        </w:rPr>
      </w:pPr>
      <w:r w:rsidRPr="008742E9">
        <w:rPr>
          <w:sz w:val="22"/>
          <w:szCs w:val="22"/>
        </w:rPr>
        <w:lastRenderedPageBreak/>
        <w:t>Стадия некроза возникает спустя 24 часа и характеризуется формированием участка некроза треугольной формы по типу иш</w:t>
      </w:r>
      <w:r w:rsidRPr="008742E9">
        <w:rPr>
          <w:sz w:val="22"/>
          <w:szCs w:val="22"/>
        </w:rPr>
        <w:t>е</w:t>
      </w:r>
      <w:r w:rsidRPr="008742E9">
        <w:rPr>
          <w:sz w:val="22"/>
          <w:szCs w:val="22"/>
        </w:rPr>
        <w:t>миче</w:t>
      </w:r>
      <w:r w:rsidR="00C342C9">
        <w:rPr>
          <w:sz w:val="22"/>
          <w:szCs w:val="22"/>
        </w:rPr>
        <w:t xml:space="preserve">ского </w:t>
      </w:r>
      <w:r w:rsidRPr="008742E9">
        <w:rPr>
          <w:sz w:val="22"/>
          <w:szCs w:val="22"/>
        </w:rPr>
        <w:t>с геморрагическим пояском. К 5-7 суткам по периферии ин</w:t>
      </w:r>
      <w:r w:rsidR="00C342C9">
        <w:rPr>
          <w:sz w:val="22"/>
          <w:szCs w:val="22"/>
        </w:rPr>
        <w:t>фаркта происходит</w:t>
      </w:r>
      <w:r w:rsidRPr="008742E9">
        <w:rPr>
          <w:sz w:val="22"/>
          <w:szCs w:val="22"/>
        </w:rPr>
        <w:t xml:space="preserve"> воспалительная реакция, в ходе которой фо</w:t>
      </w:r>
      <w:r w:rsidRPr="008742E9">
        <w:rPr>
          <w:sz w:val="22"/>
          <w:szCs w:val="22"/>
        </w:rPr>
        <w:t>р</w:t>
      </w:r>
      <w:r w:rsidRPr="008742E9">
        <w:rPr>
          <w:sz w:val="22"/>
          <w:szCs w:val="22"/>
        </w:rPr>
        <w:t>мируется демарка</w:t>
      </w:r>
      <w:r w:rsidR="00C342C9">
        <w:rPr>
          <w:sz w:val="22"/>
          <w:szCs w:val="22"/>
        </w:rPr>
        <w:t>ционная зона из лейкоцитов. Под</w:t>
      </w:r>
      <w:r w:rsidRPr="008742E9">
        <w:rPr>
          <w:sz w:val="22"/>
          <w:szCs w:val="22"/>
        </w:rPr>
        <w:t xml:space="preserve"> действием пр</w:t>
      </w:r>
      <w:r w:rsidRPr="008742E9">
        <w:rPr>
          <w:sz w:val="22"/>
          <w:szCs w:val="22"/>
        </w:rPr>
        <w:t>о</w:t>
      </w:r>
      <w:r w:rsidRPr="008742E9">
        <w:rPr>
          <w:sz w:val="22"/>
          <w:szCs w:val="22"/>
        </w:rPr>
        <w:t xml:space="preserve">теолитических ферментов лейкоцитов происходит лизирование некротических масс, что может явиться причиной разрыва стенки миокарда. </w:t>
      </w:r>
    </w:p>
    <w:p w:rsidR="008742E9" w:rsidRPr="008742E9" w:rsidRDefault="008742E9" w:rsidP="000C7D3B">
      <w:pPr>
        <w:shd w:val="clear" w:color="auto" w:fill="FFFFFF"/>
        <w:ind w:right="-58" w:firstLine="426"/>
        <w:jc w:val="both"/>
        <w:textAlignment w:val="baseline"/>
        <w:rPr>
          <w:color w:val="000000"/>
          <w:sz w:val="22"/>
          <w:szCs w:val="22"/>
        </w:rPr>
      </w:pPr>
      <w:r w:rsidRPr="008742E9">
        <w:rPr>
          <w:color w:val="000000"/>
          <w:sz w:val="22"/>
          <w:szCs w:val="22"/>
        </w:rPr>
        <w:t>Патоморфологические изменения при инфаркте миокарда зав</w:t>
      </w:r>
      <w:r w:rsidRPr="008742E9">
        <w:rPr>
          <w:color w:val="000000"/>
          <w:sz w:val="22"/>
          <w:szCs w:val="22"/>
        </w:rPr>
        <w:t>и</w:t>
      </w:r>
      <w:r w:rsidRPr="008742E9">
        <w:rPr>
          <w:color w:val="000000"/>
          <w:sz w:val="22"/>
          <w:szCs w:val="22"/>
        </w:rPr>
        <w:t>сят от времени, прошедшего с момента наступления ишемии и сме</w:t>
      </w:r>
      <w:r w:rsidRPr="008742E9">
        <w:rPr>
          <w:color w:val="000000"/>
          <w:sz w:val="22"/>
          <w:szCs w:val="22"/>
        </w:rPr>
        <w:t>р</w:t>
      </w:r>
      <w:r w:rsidRPr="008742E9">
        <w:rPr>
          <w:color w:val="000000"/>
          <w:sz w:val="22"/>
          <w:szCs w:val="22"/>
        </w:rPr>
        <w:t xml:space="preserve">ти. </w:t>
      </w:r>
    </w:p>
    <w:p w:rsidR="008742E9" w:rsidRPr="008742E9" w:rsidRDefault="008742E9" w:rsidP="000C7D3B">
      <w:pPr>
        <w:shd w:val="clear" w:color="auto" w:fill="FFFFFF"/>
        <w:ind w:right="-58" w:firstLine="426"/>
        <w:jc w:val="both"/>
        <w:textAlignment w:val="baseline"/>
        <w:rPr>
          <w:sz w:val="22"/>
          <w:szCs w:val="22"/>
        </w:rPr>
      </w:pPr>
      <w:r w:rsidRPr="008742E9">
        <w:rPr>
          <w:color w:val="000000"/>
          <w:sz w:val="22"/>
          <w:szCs w:val="22"/>
        </w:rPr>
        <w:t xml:space="preserve">Через 30 минут до 5 часов </w:t>
      </w:r>
      <w:r w:rsidRPr="008742E9">
        <w:rPr>
          <w:sz w:val="22"/>
          <w:szCs w:val="22"/>
        </w:rPr>
        <w:t xml:space="preserve">миокард бледно окрашен, дряблый, влажный. Визуализируется  небольшое западение над поверхностью разреза с нечеткой границей. </w:t>
      </w:r>
    </w:p>
    <w:p w:rsidR="008742E9" w:rsidRPr="008742E9" w:rsidRDefault="008742E9" w:rsidP="00C342C9">
      <w:pPr>
        <w:shd w:val="clear" w:color="auto" w:fill="FFFFFF"/>
        <w:ind w:firstLine="426"/>
        <w:jc w:val="both"/>
        <w:textAlignment w:val="baseline"/>
        <w:rPr>
          <w:sz w:val="22"/>
          <w:szCs w:val="22"/>
        </w:rPr>
      </w:pPr>
      <w:r w:rsidRPr="008742E9">
        <w:rPr>
          <w:sz w:val="22"/>
          <w:szCs w:val="22"/>
        </w:rPr>
        <w:t xml:space="preserve">Через 5 часов до суток инфаркт имеет отчетливые границы. Сам миокард бледный, отечный, зона альтерации выступает над поверхностью разреза. </w:t>
      </w:r>
    </w:p>
    <w:p w:rsidR="008742E9" w:rsidRPr="008742E9" w:rsidRDefault="008742E9" w:rsidP="00C342C9">
      <w:pPr>
        <w:shd w:val="clear" w:color="auto" w:fill="FFFFFF"/>
        <w:ind w:firstLine="426"/>
        <w:jc w:val="both"/>
        <w:textAlignment w:val="baseline"/>
        <w:rPr>
          <w:sz w:val="22"/>
          <w:szCs w:val="22"/>
        </w:rPr>
      </w:pPr>
      <w:r w:rsidRPr="008742E9">
        <w:rPr>
          <w:sz w:val="22"/>
          <w:szCs w:val="22"/>
        </w:rPr>
        <w:t>Через сутки до двух инфаркт представляет собой четко отгр</w:t>
      </w:r>
      <w:r w:rsidRPr="008742E9">
        <w:rPr>
          <w:sz w:val="22"/>
          <w:szCs w:val="22"/>
        </w:rPr>
        <w:t>а</w:t>
      </w:r>
      <w:r w:rsidRPr="008742E9">
        <w:rPr>
          <w:sz w:val="22"/>
          <w:szCs w:val="22"/>
        </w:rPr>
        <w:t xml:space="preserve">ниченный очаг желтоватого цвета, дряблой консистенции, немного выступающий над поверхностью разреза. </w:t>
      </w:r>
    </w:p>
    <w:p w:rsidR="008742E9" w:rsidRPr="008742E9" w:rsidRDefault="008742E9" w:rsidP="00C342C9">
      <w:pPr>
        <w:shd w:val="clear" w:color="auto" w:fill="FFFFFF"/>
        <w:ind w:firstLine="426"/>
        <w:jc w:val="both"/>
        <w:textAlignment w:val="baseline"/>
        <w:rPr>
          <w:sz w:val="22"/>
          <w:szCs w:val="22"/>
        </w:rPr>
      </w:pPr>
      <w:r w:rsidRPr="008742E9">
        <w:rPr>
          <w:sz w:val="22"/>
          <w:szCs w:val="22"/>
        </w:rPr>
        <w:t xml:space="preserve">На вторые и третьи сутки инфаркт приобретает желто-коричневый цвет, сухую структуру с поверхности и на разрезе и четко очерченные границы. </w:t>
      </w:r>
    </w:p>
    <w:p w:rsidR="008742E9" w:rsidRPr="008742E9" w:rsidRDefault="008742E9" w:rsidP="00C342C9">
      <w:pPr>
        <w:shd w:val="clear" w:color="auto" w:fill="FFFFFF"/>
        <w:ind w:firstLine="426"/>
        <w:jc w:val="both"/>
        <w:textAlignment w:val="baseline"/>
        <w:rPr>
          <w:sz w:val="22"/>
          <w:szCs w:val="22"/>
        </w:rPr>
      </w:pPr>
      <w:r w:rsidRPr="008742E9">
        <w:rPr>
          <w:sz w:val="22"/>
          <w:szCs w:val="22"/>
        </w:rPr>
        <w:t>В период с четвертого по шестой день отмечают дряблость стенки миокарда, а сам участок инфаркта приобретает темно-желтую окраску.</w:t>
      </w:r>
    </w:p>
    <w:p w:rsidR="008742E9" w:rsidRPr="008742E9" w:rsidRDefault="008742E9" w:rsidP="00C342C9">
      <w:pPr>
        <w:shd w:val="clear" w:color="auto" w:fill="FFFFFF"/>
        <w:ind w:firstLine="426"/>
        <w:jc w:val="both"/>
        <w:textAlignment w:val="baseline"/>
        <w:rPr>
          <w:sz w:val="22"/>
          <w:szCs w:val="22"/>
        </w:rPr>
      </w:pPr>
      <w:r w:rsidRPr="008742E9">
        <w:rPr>
          <w:sz w:val="22"/>
          <w:szCs w:val="22"/>
        </w:rPr>
        <w:t>С седьмого по четырнадцатые сутки участок инфаркта прио</w:t>
      </w:r>
      <w:r w:rsidRPr="008742E9">
        <w:rPr>
          <w:sz w:val="22"/>
          <w:szCs w:val="22"/>
        </w:rPr>
        <w:t>б</w:t>
      </w:r>
      <w:r w:rsidRPr="008742E9">
        <w:rPr>
          <w:sz w:val="22"/>
          <w:szCs w:val="22"/>
        </w:rPr>
        <w:t>ретает серо-розовый цвет, западает над поверхностью миокарда и по периферии очерчен ободком красного цвета.</w:t>
      </w:r>
    </w:p>
    <w:p w:rsidR="008742E9" w:rsidRPr="000C7D3B" w:rsidRDefault="008742E9" w:rsidP="000C7D3B">
      <w:pPr>
        <w:shd w:val="clear" w:color="auto" w:fill="FFFFFF"/>
        <w:ind w:firstLine="426"/>
        <w:jc w:val="both"/>
        <w:textAlignment w:val="baseline"/>
        <w:rPr>
          <w:color w:val="000000"/>
          <w:sz w:val="22"/>
          <w:szCs w:val="22"/>
        </w:rPr>
      </w:pPr>
      <w:r w:rsidRPr="008742E9">
        <w:rPr>
          <w:sz w:val="22"/>
          <w:szCs w:val="22"/>
        </w:rPr>
        <w:t>К исходу третьей недели выявляются небольшие пролифераты грануляционной соединительной ткани. Затем количество ее увел</w:t>
      </w:r>
      <w:r w:rsidRPr="008742E9">
        <w:rPr>
          <w:sz w:val="22"/>
          <w:szCs w:val="22"/>
        </w:rPr>
        <w:t>и</w:t>
      </w:r>
      <w:r w:rsidRPr="008742E9">
        <w:rPr>
          <w:sz w:val="22"/>
          <w:szCs w:val="22"/>
        </w:rPr>
        <w:t xml:space="preserve">чивается, а после ее созревания, образуется белого цвета, плотной консистенции слегка западающий рубец. </w:t>
      </w:r>
      <w:r w:rsidRPr="008742E9">
        <w:rPr>
          <w:color w:val="000000"/>
          <w:sz w:val="22"/>
          <w:szCs w:val="22"/>
        </w:rPr>
        <w:tab/>
      </w:r>
      <w:r w:rsidRPr="008742E9">
        <w:rPr>
          <w:color w:val="000000"/>
          <w:sz w:val="22"/>
          <w:szCs w:val="22"/>
        </w:rPr>
        <w:tab/>
      </w:r>
    </w:p>
    <w:p w:rsidR="008742E9" w:rsidRPr="008742E9" w:rsidRDefault="008742E9" w:rsidP="00C342C9">
      <w:pPr>
        <w:ind w:right="-57" w:firstLine="426"/>
        <w:contextualSpacing/>
        <w:jc w:val="center"/>
        <w:rPr>
          <w:rFonts w:eastAsia="Calibri"/>
          <w:color w:val="000000"/>
          <w:sz w:val="22"/>
          <w:szCs w:val="22"/>
          <w:lang w:eastAsia="en-US"/>
        </w:rPr>
      </w:pPr>
      <w:r w:rsidRPr="008742E9">
        <w:rPr>
          <w:rFonts w:eastAsia="Calibri"/>
          <w:color w:val="000000"/>
          <w:sz w:val="22"/>
          <w:szCs w:val="22"/>
          <w:lang w:eastAsia="en-US"/>
        </w:rPr>
        <w:t>Список литературы</w:t>
      </w:r>
    </w:p>
    <w:p w:rsidR="008742E9" w:rsidRPr="008742E9" w:rsidRDefault="008742E9" w:rsidP="00C342C9">
      <w:pPr>
        <w:ind w:right="-57" w:firstLine="426"/>
        <w:contextualSpacing/>
        <w:jc w:val="both"/>
        <w:rPr>
          <w:rFonts w:eastAsia="Calibri"/>
          <w:color w:val="000000"/>
          <w:sz w:val="22"/>
          <w:szCs w:val="22"/>
          <w:shd w:val="clear" w:color="auto" w:fill="FFFFFF"/>
          <w:lang w:eastAsia="en-US"/>
        </w:rPr>
      </w:pPr>
      <w:r w:rsidRPr="008742E9">
        <w:rPr>
          <w:rFonts w:eastAsia="Calibri"/>
          <w:color w:val="000000"/>
          <w:sz w:val="22"/>
          <w:szCs w:val="22"/>
          <w:shd w:val="clear" w:color="auto" w:fill="FFFFFF"/>
          <w:lang w:eastAsia="en-US"/>
        </w:rPr>
        <w:t>1. Нефедова Г.А. Особенности танатогенеза при остром и</w:t>
      </w:r>
      <w:r w:rsidRPr="008742E9">
        <w:rPr>
          <w:rFonts w:eastAsia="Calibri"/>
          <w:color w:val="000000"/>
          <w:sz w:val="22"/>
          <w:szCs w:val="22"/>
          <w:shd w:val="clear" w:color="auto" w:fill="FFFFFF"/>
          <w:lang w:eastAsia="en-US"/>
        </w:rPr>
        <w:t>н</w:t>
      </w:r>
      <w:r w:rsidRPr="008742E9">
        <w:rPr>
          <w:rFonts w:eastAsia="Calibri"/>
          <w:color w:val="000000"/>
          <w:sz w:val="22"/>
          <w:szCs w:val="22"/>
          <w:shd w:val="clear" w:color="auto" w:fill="FFFFFF"/>
          <w:lang w:eastAsia="en-US"/>
        </w:rPr>
        <w:t>фаркте миокарда: Автореф. дис..... канд. мед. наук. Москва, 2007. - 25 с.</w:t>
      </w:r>
    </w:p>
    <w:p w:rsidR="008742E9" w:rsidRPr="008742E9" w:rsidRDefault="008742E9" w:rsidP="00C342C9">
      <w:pPr>
        <w:ind w:right="-57" w:firstLine="426"/>
        <w:contextualSpacing/>
        <w:jc w:val="both"/>
        <w:rPr>
          <w:rFonts w:eastAsia="Calibri"/>
          <w:color w:val="000000"/>
          <w:sz w:val="22"/>
          <w:szCs w:val="22"/>
          <w:shd w:val="clear" w:color="auto" w:fill="FFFFFF"/>
          <w:lang w:eastAsia="en-US"/>
        </w:rPr>
      </w:pPr>
      <w:r w:rsidRPr="008742E9">
        <w:rPr>
          <w:rFonts w:eastAsia="Calibri"/>
          <w:color w:val="000000"/>
          <w:sz w:val="22"/>
          <w:szCs w:val="22"/>
          <w:shd w:val="clear" w:color="auto" w:fill="FFFFFF"/>
          <w:lang w:eastAsia="en-US"/>
        </w:rPr>
        <w:lastRenderedPageBreak/>
        <w:t>2. Иоселиани Д.Г. Актуальные вопросы кардиологии. М.: М</w:t>
      </w:r>
      <w:r w:rsidRPr="008742E9">
        <w:rPr>
          <w:rFonts w:eastAsia="Calibri"/>
          <w:color w:val="000000"/>
          <w:sz w:val="22"/>
          <w:szCs w:val="22"/>
          <w:shd w:val="clear" w:color="auto" w:fill="FFFFFF"/>
          <w:lang w:eastAsia="en-US"/>
        </w:rPr>
        <w:t>е</w:t>
      </w:r>
      <w:r w:rsidRPr="008742E9">
        <w:rPr>
          <w:rFonts w:eastAsia="Calibri"/>
          <w:color w:val="000000"/>
          <w:sz w:val="22"/>
          <w:szCs w:val="22"/>
          <w:shd w:val="clear" w:color="auto" w:fill="FFFFFF"/>
          <w:lang w:eastAsia="en-US"/>
        </w:rPr>
        <w:t>дицина, 2002. - 343 с.</w:t>
      </w:r>
    </w:p>
    <w:p w:rsidR="008742E9" w:rsidRPr="008742E9" w:rsidRDefault="008742E9" w:rsidP="00C342C9">
      <w:pPr>
        <w:ind w:firstLine="426"/>
        <w:jc w:val="both"/>
        <w:rPr>
          <w:rFonts w:eastAsia="Calibri"/>
          <w:color w:val="000000"/>
          <w:sz w:val="22"/>
          <w:szCs w:val="22"/>
          <w:shd w:val="clear" w:color="auto" w:fill="FFFFFF"/>
          <w:lang w:val="en-US" w:eastAsia="en-US"/>
        </w:rPr>
      </w:pPr>
      <w:r w:rsidRPr="008742E9">
        <w:rPr>
          <w:rFonts w:eastAsia="Calibri"/>
          <w:color w:val="000000"/>
          <w:sz w:val="22"/>
          <w:szCs w:val="22"/>
          <w:shd w:val="clear" w:color="auto" w:fill="FFFFFF"/>
          <w:lang w:val="en-US" w:eastAsia="en-US"/>
        </w:rPr>
        <w:t>3. Arad Y., Goodman K.J., Roth M. et al. Coronary calcifikation, coronary disease risk faktors, C-reaktive protein, and atherosclerotic ca</w:t>
      </w:r>
      <w:r w:rsidRPr="008742E9">
        <w:rPr>
          <w:rFonts w:eastAsia="Calibri"/>
          <w:color w:val="000000"/>
          <w:sz w:val="22"/>
          <w:szCs w:val="22"/>
          <w:shd w:val="clear" w:color="auto" w:fill="FFFFFF"/>
          <w:lang w:val="en-US" w:eastAsia="en-US"/>
        </w:rPr>
        <w:t>r</w:t>
      </w:r>
      <w:r w:rsidRPr="008742E9">
        <w:rPr>
          <w:rFonts w:eastAsia="Calibri"/>
          <w:color w:val="000000"/>
          <w:sz w:val="22"/>
          <w:szCs w:val="22"/>
          <w:shd w:val="clear" w:color="auto" w:fill="FFFFFF"/>
          <w:lang w:val="en-US" w:eastAsia="en-US"/>
        </w:rPr>
        <w:t xml:space="preserve">diovascularis disease evens the St. Francis Heart Study// J Ammer Colli Cardiol, 2005. - 46 (1). - </w:t>
      </w:r>
      <w:r w:rsidRPr="008742E9">
        <w:rPr>
          <w:rFonts w:eastAsia="Calibri"/>
          <w:color w:val="000000"/>
          <w:sz w:val="22"/>
          <w:szCs w:val="22"/>
          <w:shd w:val="clear" w:color="auto" w:fill="FFFFFF"/>
          <w:lang w:eastAsia="en-US"/>
        </w:rPr>
        <w:t>Р</w:t>
      </w:r>
      <w:r w:rsidRPr="008742E9">
        <w:rPr>
          <w:rFonts w:eastAsia="Calibri"/>
          <w:color w:val="000000"/>
          <w:sz w:val="22"/>
          <w:szCs w:val="22"/>
          <w:shd w:val="clear" w:color="auto" w:fill="FFFFFF"/>
          <w:lang w:val="en-US" w:eastAsia="en-US"/>
        </w:rPr>
        <w:t>. 158-165.</w:t>
      </w:r>
    </w:p>
    <w:p w:rsidR="008742E9" w:rsidRPr="008742E9" w:rsidRDefault="008742E9" w:rsidP="008742E9">
      <w:pPr>
        <w:jc w:val="both"/>
        <w:rPr>
          <w:rFonts w:eastAsia="Calibri"/>
          <w:color w:val="000000"/>
          <w:sz w:val="22"/>
          <w:szCs w:val="22"/>
          <w:shd w:val="clear" w:color="auto" w:fill="FFFFFF"/>
          <w:lang w:val="en-US" w:eastAsia="en-US"/>
        </w:rPr>
      </w:pPr>
    </w:p>
    <w:p w:rsidR="008742E9" w:rsidRPr="00024398" w:rsidRDefault="008742E9" w:rsidP="008742E9">
      <w:pPr>
        <w:jc w:val="both"/>
        <w:rPr>
          <w:rFonts w:eastAsia="Calibri"/>
          <w:color w:val="000000"/>
          <w:sz w:val="22"/>
          <w:szCs w:val="22"/>
          <w:shd w:val="clear" w:color="auto" w:fill="FFFFFF"/>
          <w:lang w:val="en-US" w:eastAsia="en-US"/>
        </w:rPr>
      </w:pPr>
    </w:p>
    <w:p w:rsidR="00C342C9" w:rsidRPr="00662BE8" w:rsidRDefault="00C342C9" w:rsidP="008742E9">
      <w:pPr>
        <w:jc w:val="both"/>
        <w:rPr>
          <w:rFonts w:eastAsia="Calibri"/>
          <w:color w:val="000000"/>
          <w:sz w:val="22"/>
          <w:szCs w:val="22"/>
          <w:shd w:val="clear" w:color="auto" w:fill="FFFFFF"/>
          <w:lang w:val="en-US" w:eastAsia="en-US"/>
        </w:rPr>
      </w:pPr>
    </w:p>
    <w:p w:rsidR="008742E9" w:rsidRPr="00C342C9" w:rsidRDefault="008742E9" w:rsidP="008742E9">
      <w:pPr>
        <w:rPr>
          <w:sz w:val="22"/>
          <w:szCs w:val="22"/>
          <w:lang w:val="en-US"/>
        </w:rPr>
      </w:pPr>
      <w:r w:rsidRPr="00C342C9">
        <w:rPr>
          <w:sz w:val="22"/>
          <w:szCs w:val="22"/>
        </w:rPr>
        <w:t>УДК</w:t>
      </w:r>
      <w:r w:rsidRPr="00C342C9">
        <w:rPr>
          <w:sz w:val="22"/>
          <w:szCs w:val="22"/>
          <w:lang w:val="en-US"/>
        </w:rPr>
        <w:t xml:space="preserve"> 619:616.37-002]:636.7</w:t>
      </w:r>
    </w:p>
    <w:p w:rsidR="008742E9" w:rsidRPr="008742E9" w:rsidRDefault="008742E9" w:rsidP="008742E9">
      <w:pPr>
        <w:rPr>
          <w:b/>
          <w:sz w:val="22"/>
          <w:lang w:val="en-US"/>
        </w:rPr>
      </w:pPr>
    </w:p>
    <w:p w:rsidR="008742E9" w:rsidRPr="008742E9" w:rsidRDefault="008742E9" w:rsidP="008742E9">
      <w:pPr>
        <w:jc w:val="center"/>
        <w:rPr>
          <w:b/>
          <w:sz w:val="24"/>
          <w:lang w:val="en-US"/>
        </w:rPr>
      </w:pPr>
      <w:r w:rsidRPr="008742E9">
        <w:rPr>
          <w:b/>
          <w:sz w:val="24"/>
        </w:rPr>
        <w:t>Лечение</w:t>
      </w:r>
      <w:r w:rsidRPr="008742E9">
        <w:rPr>
          <w:b/>
          <w:sz w:val="24"/>
          <w:lang w:val="en-US"/>
        </w:rPr>
        <w:t xml:space="preserve"> </w:t>
      </w:r>
      <w:r w:rsidRPr="008742E9">
        <w:rPr>
          <w:b/>
          <w:sz w:val="24"/>
        </w:rPr>
        <w:t>панкреатита</w:t>
      </w:r>
      <w:r w:rsidRPr="008742E9">
        <w:rPr>
          <w:b/>
          <w:sz w:val="24"/>
          <w:lang w:val="en-US"/>
        </w:rPr>
        <w:t xml:space="preserve"> </w:t>
      </w:r>
      <w:r w:rsidRPr="008742E9">
        <w:rPr>
          <w:b/>
          <w:sz w:val="24"/>
        </w:rPr>
        <w:t>у</w:t>
      </w:r>
      <w:r w:rsidRPr="008742E9">
        <w:rPr>
          <w:b/>
          <w:sz w:val="24"/>
          <w:lang w:val="en-US"/>
        </w:rPr>
        <w:t xml:space="preserve"> </w:t>
      </w:r>
      <w:r w:rsidRPr="008742E9">
        <w:rPr>
          <w:b/>
          <w:sz w:val="24"/>
        </w:rPr>
        <w:t>собак</w:t>
      </w:r>
    </w:p>
    <w:p w:rsidR="008742E9" w:rsidRPr="008742E9" w:rsidRDefault="008742E9" w:rsidP="008742E9">
      <w:pPr>
        <w:jc w:val="center"/>
        <w:rPr>
          <w:b/>
          <w:sz w:val="24"/>
          <w:lang w:val="en-US"/>
        </w:rPr>
      </w:pPr>
      <w:r w:rsidRPr="008742E9">
        <w:rPr>
          <w:b/>
          <w:sz w:val="24"/>
          <w:lang w:val="en-US"/>
        </w:rPr>
        <w:t>Treatment of pancreatitis in dogs</w:t>
      </w:r>
    </w:p>
    <w:p w:rsidR="008742E9" w:rsidRPr="008742E9" w:rsidRDefault="008742E9" w:rsidP="008742E9">
      <w:pPr>
        <w:jc w:val="right"/>
        <w:rPr>
          <w:sz w:val="22"/>
          <w:szCs w:val="22"/>
          <w:lang w:val="en-US"/>
        </w:rPr>
      </w:pPr>
    </w:p>
    <w:p w:rsidR="008742E9" w:rsidRPr="008742E9" w:rsidRDefault="008742E9" w:rsidP="008742E9">
      <w:pPr>
        <w:jc w:val="right"/>
        <w:rPr>
          <w:sz w:val="22"/>
          <w:szCs w:val="22"/>
        </w:rPr>
      </w:pPr>
      <w:r w:rsidRPr="008742E9">
        <w:rPr>
          <w:sz w:val="22"/>
          <w:szCs w:val="22"/>
        </w:rPr>
        <w:t>Яремчук Д. А.,</w:t>
      </w:r>
    </w:p>
    <w:p w:rsidR="00C342C9" w:rsidRDefault="008742E9" w:rsidP="008742E9">
      <w:pPr>
        <w:jc w:val="right"/>
        <w:rPr>
          <w:sz w:val="22"/>
          <w:szCs w:val="22"/>
        </w:rPr>
      </w:pPr>
      <w:r w:rsidRPr="008742E9">
        <w:rPr>
          <w:sz w:val="22"/>
          <w:szCs w:val="22"/>
        </w:rPr>
        <w:t>студент 4-го курса</w:t>
      </w:r>
    </w:p>
    <w:p w:rsidR="008742E9" w:rsidRPr="008742E9" w:rsidRDefault="008742E9" w:rsidP="008742E9">
      <w:pPr>
        <w:jc w:val="right"/>
        <w:rPr>
          <w:sz w:val="22"/>
          <w:szCs w:val="22"/>
        </w:rPr>
      </w:pPr>
      <w:r w:rsidRPr="008742E9">
        <w:rPr>
          <w:sz w:val="22"/>
          <w:szCs w:val="22"/>
        </w:rPr>
        <w:t xml:space="preserve"> факультета ветеринарной медицины</w:t>
      </w:r>
    </w:p>
    <w:p w:rsidR="008742E9" w:rsidRPr="008742E9" w:rsidRDefault="008742E9" w:rsidP="008742E9">
      <w:pPr>
        <w:jc w:val="right"/>
        <w:rPr>
          <w:sz w:val="22"/>
          <w:szCs w:val="22"/>
        </w:rPr>
      </w:pPr>
      <w:r w:rsidRPr="008742E9">
        <w:rPr>
          <w:sz w:val="22"/>
          <w:szCs w:val="22"/>
        </w:rPr>
        <w:t>Кравченко Г. А.,</w:t>
      </w:r>
    </w:p>
    <w:p w:rsidR="008742E9" w:rsidRPr="008742E9" w:rsidRDefault="008742E9" w:rsidP="008742E9">
      <w:pPr>
        <w:jc w:val="right"/>
        <w:rPr>
          <w:sz w:val="22"/>
          <w:szCs w:val="22"/>
        </w:rPr>
      </w:pPr>
      <w:r w:rsidRPr="008742E9">
        <w:rPr>
          <w:sz w:val="22"/>
          <w:szCs w:val="22"/>
        </w:rPr>
        <w:t>доцент кафедры анатомии,</w:t>
      </w:r>
    </w:p>
    <w:p w:rsidR="008742E9" w:rsidRPr="008742E9" w:rsidRDefault="008742E9" w:rsidP="008742E9">
      <w:pPr>
        <w:jc w:val="right"/>
        <w:rPr>
          <w:sz w:val="22"/>
          <w:szCs w:val="22"/>
        </w:rPr>
      </w:pPr>
      <w:r w:rsidRPr="008742E9">
        <w:rPr>
          <w:sz w:val="22"/>
          <w:szCs w:val="22"/>
        </w:rPr>
        <w:t>ветеринарного акушерства и хирургии</w:t>
      </w:r>
    </w:p>
    <w:p w:rsidR="008742E9" w:rsidRPr="008742E9" w:rsidRDefault="008742E9" w:rsidP="008742E9">
      <w:pPr>
        <w:jc w:val="right"/>
        <w:rPr>
          <w:sz w:val="22"/>
          <w:szCs w:val="22"/>
        </w:rPr>
      </w:pPr>
      <w:r w:rsidRPr="008742E9">
        <w:rPr>
          <w:sz w:val="22"/>
          <w:szCs w:val="22"/>
        </w:rPr>
        <w:t>Кубанский государственный аграрный</w:t>
      </w:r>
    </w:p>
    <w:p w:rsidR="008742E9" w:rsidRPr="008742E9" w:rsidRDefault="008742E9" w:rsidP="008742E9">
      <w:pPr>
        <w:jc w:val="right"/>
        <w:rPr>
          <w:sz w:val="22"/>
          <w:szCs w:val="22"/>
        </w:rPr>
      </w:pPr>
      <w:r w:rsidRPr="008742E9">
        <w:rPr>
          <w:sz w:val="22"/>
          <w:szCs w:val="22"/>
        </w:rPr>
        <w:t>университета имени И. Т. Трубилина</w:t>
      </w:r>
    </w:p>
    <w:p w:rsidR="008742E9" w:rsidRPr="008742E9" w:rsidRDefault="008742E9" w:rsidP="008742E9">
      <w:pPr>
        <w:jc w:val="right"/>
        <w:rPr>
          <w:sz w:val="22"/>
          <w:szCs w:val="22"/>
        </w:rPr>
      </w:pPr>
    </w:p>
    <w:p w:rsidR="008742E9" w:rsidRPr="008742E9" w:rsidRDefault="008742E9" w:rsidP="00C342C9">
      <w:pPr>
        <w:ind w:firstLine="426"/>
        <w:jc w:val="both"/>
        <w:rPr>
          <w:sz w:val="22"/>
          <w:szCs w:val="22"/>
        </w:rPr>
      </w:pPr>
      <w:r w:rsidRPr="008742E9">
        <w:rPr>
          <w:sz w:val="22"/>
          <w:szCs w:val="22"/>
        </w:rPr>
        <w:t>АННОТАЦИЯ: Изучен клинический случай панкреатита у с</w:t>
      </w:r>
      <w:r w:rsidRPr="008742E9">
        <w:rPr>
          <w:sz w:val="22"/>
          <w:szCs w:val="22"/>
        </w:rPr>
        <w:t>о</w:t>
      </w:r>
      <w:r w:rsidRPr="008742E9">
        <w:rPr>
          <w:sz w:val="22"/>
          <w:szCs w:val="22"/>
        </w:rPr>
        <w:t>баки. Описаны методы диагностики и лечения заболевания у ж</w:t>
      </w:r>
      <w:r w:rsidRPr="008742E9">
        <w:rPr>
          <w:sz w:val="22"/>
          <w:szCs w:val="22"/>
        </w:rPr>
        <w:t>и</w:t>
      </w:r>
      <w:r w:rsidRPr="008742E9">
        <w:rPr>
          <w:sz w:val="22"/>
          <w:szCs w:val="22"/>
        </w:rPr>
        <w:t>вотного.</w:t>
      </w:r>
    </w:p>
    <w:p w:rsidR="008742E9" w:rsidRPr="008742E9" w:rsidRDefault="008742E9" w:rsidP="00C342C9">
      <w:pPr>
        <w:ind w:firstLine="426"/>
        <w:jc w:val="both"/>
        <w:rPr>
          <w:sz w:val="22"/>
          <w:szCs w:val="22"/>
          <w:lang w:val="en-US"/>
        </w:rPr>
      </w:pPr>
      <w:r w:rsidRPr="008742E9">
        <w:rPr>
          <w:sz w:val="22"/>
          <w:szCs w:val="22"/>
          <w:lang w:val="en-US"/>
        </w:rPr>
        <w:t>ABSTRACT: Studied a clinical case of pancreatitis in the dog. Methods of diagnosis and treatment of the disease in animal are d</w:t>
      </w:r>
      <w:r w:rsidRPr="008742E9">
        <w:rPr>
          <w:sz w:val="22"/>
          <w:szCs w:val="22"/>
          <w:lang w:val="en-US"/>
        </w:rPr>
        <w:t>e</w:t>
      </w:r>
      <w:r w:rsidRPr="008742E9">
        <w:rPr>
          <w:sz w:val="22"/>
          <w:szCs w:val="22"/>
          <w:lang w:val="en-US"/>
        </w:rPr>
        <w:t>scribed.</w:t>
      </w:r>
    </w:p>
    <w:p w:rsidR="008742E9" w:rsidRPr="008742E9" w:rsidRDefault="008742E9" w:rsidP="00C342C9">
      <w:pPr>
        <w:ind w:firstLine="426"/>
        <w:jc w:val="both"/>
        <w:rPr>
          <w:sz w:val="22"/>
          <w:szCs w:val="22"/>
        </w:rPr>
      </w:pPr>
      <w:r w:rsidRPr="008742E9">
        <w:rPr>
          <w:sz w:val="22"/>
          <w:szCs w:val="22"/>
        </w:rPr>
        <w:t>КЛЮЧЕВЫЕ СЛОВА: панкреатит, поджелудочная железа, с</w:t>
      </w:r>
      <w:r w:rsidRPr="008742E9">
        <w:rPr>
          <w:sz w:val="22"/>
          <w:szCs w:val="22"/>
        </w:rPr>
        <w:t>о</w:t>
      </w:r>
      <w:r w:rsidRPr="008742E9">
        <w:rPr>
          <w:sz w:val="22"/>
          <w:szCs w:val="22"/>
        </w:rPr>
        <w:t>баки, диагностика, лечение.</w:t>
      </w:r>
    </w:p>
    <w:p w:rsidR="008742E9" w:rsidRPr="008742E9" w:rsidRDefault="008742E9" w:rsidP="00C342C9">
      <w:pPr>
        <w:ind w:firstLine="426"/>
        <w:jc w:val="both"/>
        <w:rPr>
          <w:sz w:val="22"/>
          <w:szCs w:val="22"/>
          <w:lang w:val="en-US"/>
        </w:rPr>
      </w:pPr>
      <w:r w:rsidRPr="008742E9">
        <w:rPr>
          <w:sz w:val="22"/>
          <w:szCs w:val="22"/>
          <w:lang w:val="en-US"/>
        </w:rPr>
        <w:t>KEYWORDS: pancreatitis, pancreas, dogs, diagnosis, treatment.</w:t>
      </w:r>
    </w:p>
    <w:p w:rsidR="008742E9" w:rsidRPr="008742E9" w:rsidRDefault="008742E9" w:rsidP="00C342C9">
      <w:pPr>
        <w:ind w:firstLine="426"/>
        <w:jc w:val="both"/>
        <w:rPr>
          <w:sz w:val="22"/>
          <w:szCs w:val="22"/>
          <w:lang w:val="en-US"/>
        </w:rPr>
      </w:pPr>
    </w:p>
    <w:p w:rsidR="008742E9" w:rsidRPr="008742E9" w:rsidRDefault="008742E9" w:rsidP="00C342C9">
      <w:pPr>
        <w:ind w:firstLine="426"/>
        <w:jc w:val="both"/>
        <w:rPr>
          <w:sz w:val="22"/>
          <w:szCs w:val="22"/>
        </w:rPr>
      </w:pPr>
      <w:r w:rsidRPr="008742E9">
        <w:rPr>
          <w:sz w:val="22"/>
          <w:szCs w:val="22"/>
        </w:rPr>
        <w:t>Поджелудочная железа – это орган, находящийся в брюшной полости, образующий и  выделяющий в просвет кишечника  фе</w:t>
      </w:r>
      <w:r w:rsidRPr="008742E9">
        <w:rPr>
          <w:sz w:val="22"/>
          <w:szCs w:val="22"/>
        </w:rPr>
        <w:t>р</w:t>
      </w:r>
      <w:r w:rsidRPr="008742E9">
        <w:rPr>
          <w:sz w:val="22"/>
          <w:szCs w:val="22"/>
        </w:rPr>
        <w:t>менты, необходимые для пищеварения, а также гормон инсулин, регулирующий содержание глюкозы в крови.</w:t>
      </w:r>
    </w:p>
    <w:p w:rsidR="008742E9" w:rsidRPr="008742E9" w:rsidRDefault="008742E9" w:rsidP="00C342C9">
      <w:pPr>
        <w:ind w:firstLine="426"/>
        <w:jc w:val="both"/>
        <w:rPr>
          <w:sz w:val="22"/>
          <w:szCs w:val="22"/>
        </w:rPr>
      </w:pPr>
      <w:r w:rsidRPr="008742E9">
        <w:rPr>
          <w:sz w:val="22"/>
          <w:szCs w:val="22"/>
        </w:rPr>
        <w:lastRenderedPageBreak/>
        <w:t>Панкреатит (</w:t>
      </w:r>
      <w:r w:rsidRPr="008742E9">
        <w:rPr>
          <w:i/>
          <w:sz w:val="22"/>
          <w:szCs w:val="22"/>
          <w:lang w:val="en-US"/>
        </w:rPr>
        <w:t>pancreatitis</w:t>
      </w:r>
      <w:r w:rsidRPr="008742E9">
        <w:rPr>
          <w:sz w:val="22"/>
          <w:szCs w:val="22"/>
        </w:rPr>
        <w:t>) – это воспалительно-дистрофическое заболевание железистой ткани поджелудочной железы с нарушен</w:t>
      </w:r>
      <w:r w:rsidRPr="008742E9">
        <w:rPr>
          <w:sz w:val="22"/>
          <w:szCs w:val="22"/>
        </w:rPr>
        <w:t>и</w:t>
      </w:r>
      <w:r w:rsidRPr="008742E9">
        <w:rPr>
          <w:sz w:val="22"/>
          <w:szCs w:val="22"/>
        </w:rPr>
        <w:t>ем проходимости ее протоков, вызывающее при дальнейшем разв</w:t>
      </w:r>
      <w:r w:rsidRPr="008742E9">
        <w:rPr>
          <w:sz w:val="22"/>
          <w:szCs w:val="22"/>
        </w:rPr>
        <w:t>и</w:t>
      </w:r>
      <w:r w:rsidRPr="008742E9">
        <w:rPr>
          <w:sz w:val="22"/>
          <w:szCs w:val="22"/>
        </w:rPr>
        <w:t>тии склероз паренхимы железы и значительное нарушение экзо- и эндокринной функции [2].</w:t>
      </w:r>
    </w:p>
    <w:p w:rsidR="008742E9" w:rsidRPr="008742E9" w:rsidRDefault="008742E9" w:rsidP="00C342C9">
      <w:pPr>
        <w:ind w:firstLine="426"/>
        <w:jc w:val="both"/>
        <w:rPr>
          <w:sz w:val="22"/>
          <w:szCs w:val="22"/>
        </w:rPr>
      </w:pPr>
      <w:r w:rsidRPr="008742E9">
        <w:rPr>
          <w:i/>
          <w:sz w:val="22"/>
          <w:szCs w:val="22"/>
        </w:rPr>
        <w:t>Этиология.</w:t>
      </w:r>
      <w:r w:rsidRPr="008742E9">
        <w:rPr>
          <w:sz w:val="22"/>
          <w:szCs w:val="22"/>
        </w:rPr>
        <w:t xml:space="preserve"> Панкреатиты бывают первичные и вторичные. Причинами первичного панкреатита могут быть интоксикации и отравления организма. Вторичный панкреатит является следствием патологии желчевыводящих путей, гепатита, гастрита, язвенной болезни, гастроэнтерита, различных онкологических заболеваний, также его могут вызвать некоторые инфекционные и инвазионные заболевания.</w:t>
      </w:r>
    </w:p>
    <w:p w:rsidR="008742E9" w:rsidRPr="008742E9" w:rsidRDefault="008742E9" w:rsidP="00C342C9">
      <w:pPr>
        <w:ind w:firstLine="426"/>
        <w:jc w:val="both"/>
        <w:rPr>
          <w:sz w:val="22"/>
          <w:szCs w:val="22"/>
        </w:rPr>
      </w:pPr>
      <w:r w:rsidRPr="008742E9">
        <w:rPr>
          <w:i/>
          <w:sz w:val="22"/>
          <w:szCs w:val="22"/>
        </w:rPr>
        <w:t>Патогенез.</w:t>
      </w:r>
      <w:r w:rsidRPr="008742E9">
        <w:rPr>
          <w:sz w:val="22"/>
          <w:szCs w:val="22"/>
        </w:rPr>
        <w:t xml:space="preserve"> Под влиянием указанных этиологических факторов развивается воспаление, которое со временем переходит в дистр</w:t>
      </w:r>
      <w:r w:rsidRPr="008742E9">
        <w:rPr>
          <w:sz w:val="22"/>
          <w:szCs w:val="22"/>
        </w:rPr>
        <w:t>о</w:t>
      </w:r>
      <w:r w:rsidRPr="008742E9">
        <w:rPr>
          <w:sz w:val="22"/>
          <w:szCs w:val="22"/>
        </w:rPr>
        <w:t>фию, после этого наступает атрофия слизистой оболочки двенадц</w:t>
      </w:r>
      <w:r w:rsidRPr="008742E9">
        <w:rPr>
          <w:sz w:val="22"/>
          <w:szCs w:val="22"/>
        </w:rPr>
        <w:t>а</w:t>
      </w:r>
      <w:r w:rsidRPr="008742E9">
        <w:rPr>
          <w:sz w:val="22"/>
          <w:szCs w:val="22"/>
        </w:rPr>
        <w:t>типерстной кишки. В результате воздействия этиологических фа</w:t>
      </w:r>
      <w:r w:rsidRPr="008742E9">
        <w:rPr>
          <w:sz w:val="22"/>
          <w:szCs w:val="22"/>
        </w:rPr>
        <w:t>к</w:t>
      </w:r>
      <w:r w:rsidRPr="008742E9">
        <w:rPr>
          <w:sz w:val="22"/>
          <w:szCs w:val="22"/>
        </w:rPr>
        <w:t>торов происходит сгущение панкреатического сока, снижается ск</w:t>
      </w:r>
      <w:r w:rsidRPr="008742E9">
        <w:rPr>
          <w:sz w:val="22"/>
          <w:szCs w:val="22"/>
        </w:rPr>
        <w:t>о</w:t>
      </w:r>
      <w:r w:rsidRPr="008742E9">
        <w:rPr>
          <w:sz w:val="22"/>
          <w:szCs w:val="22"/>
        </w:rPr>
        <w:t>рость его оттока, в нем повышается содержание различных белков, что ведет к преципитации белка. Образовавшиеся белковые пробки закупоривают различные отделы панкреатических протоков. Под влиянием этиологического фактора панкреатический секрет может выйти в окружающую ткань с образованием отека поджелудочной железы [2].</w:t>
      </w:r>
    </w:p>
    <w:p w:rsidR="008742E9" w:rsidRPr="008742E9" w:rsidRDefault="008742E9" w:rsidP="00C342C9">
      <w:pPr>
        <w:ind w:firstLine="426"/>
        <w:jc w:val="both"/>
        <w:rPr>
          <w:sz w:val="22"/>
          <w:szCs w:val="22"/>
        </w:rPr>
      </w:pPr>
      <w:r w:rsidRPr="008742E9">
        <w:rPr>
          <w:i/>
          <w:sz w:val="22"/>
          <w:szCs w:val="22"/>
        </w:rPr>
        <w:t>Симптомы.</w:t>
      </w:r>
      <w:r w:rsidRPr="008742E9">
        <w:rPr>
          <w:sz w:val="22"/>
          <w:szCs w:val="22"/>
        </w:rPr>
        <w:t xml:space="preserve"> Общее состояние животного угнетенное, аппетит снижен или полностью отсутствует. При пальпации и перкуссии возникают постоянные или временные приступы беспокойства или болезненности в брюшной стенке. [1, 2]. </w:t>
      </w:r>
    </w:p>
    <w:p w:rsidR="008742E9" w:rsidRPr="008742E9" w:rsidRDefault="008742E9" w:rsidP="00C342C9">
      <w:pPr>
        <w:ind w:firstLine="426"/>
        <w:jc w:val="both"/>
        <w:rPr>
          <w:sz w:val="22"/>
          <w:szCs w:val="22"/>
        </w:rPr>
      </w:pPr>
      <w:r w:rsidRPr="008742E9">
        <w:rPr>
          <w:sz w:val="22"/>
          <w:szCs w:val="22"/>
        </w:rPr>
        <w:t>Рвота становится частой. Живот вздут, брюшная стенка напр</w:t>
      </w:r>
      <w:r w:rsidRPr="008742E9">
        <w:rPr>
          <w:sz w:val="22"/>
          <w:szCs w:val="22"/>
        </w:rPr>
        <w:t>я</w:t>
      </w:r>
      <w:r w:rsidRPr="008742E9">
        <w:rPr>
          <w:sz w:val="22"/>
          <w:szCs w:val="22"/>
        </w:rPr>
        <w:t>жена. Развивается и усиливается понос. Температура тела повыш</w:t>
      </w:r>
      <w:r w:rsidRPr="008742E9">
        <w:rPr>
          <w:sz w:val="22"/>
          <w:szCs w:val="22"/>
        </w:rPr>
        <w:t>е</w:t>
      </w:r>
      <w:r w:rsidRPr="008742E9">
        <w:rPr>
          <w:sz w:val="22"/>
          <w:szCs w:val="22"/>
        </w:rPr>
        <w:t>на, особенно значительно при острых панкреатитах, являющихся осложнениями инфекционных заболеваний. Прогрессирует исхуд</w:t>
      </w:r>
      <w:r w:rsidRPr="008742E9">
        <w:rPr>
          <w:sz w:val="22"/>
          <w:szCs w:val="22"/>
        </w:rPr>
        <w:t>а</w:t>
      </w:r>
      <w:r w:rsidRPr="008742E9">
        <w:rPr>
          <w:sz w:val="22"/>
          <w:szCs w:val="22"/>
        </w:rPr>
        <w:t>ние вплоть до кахексии. Животное принимает позу «богомольца» [1, 2].</w:t>
      </w:r>
    </w:p>
    <w:p w:rsidR="008742E9" w:rsidRPr="008742E9" w:rsidRDefault="008742E9" w:rsidP="00C342C9">
      <w:pPr>
        <w:ind w:firstLine="426"/>
        <w:jc w:val="both"/>
        <w:rPr>
          <w:sz w:val="22"/>
          <w:szCs w:val="22"/>
          <w:shd w:val="clear" w:color="auto" w:fill="FFFFFF"/>
        </w:rPr>
      </w:pPr>
      <w:r w:rsidRPr="008742E9">
        <w:rPr>
          <w:sz w:val="22"/>
          <w:szCs w:val="22"/>
        </w:rPr>
        <w:t>Каловые массы приобретают мазеобразную консистенцию или  становятся очень плотными, в них обнаруживаются излишки кра</w:t>
      </w:r>
      <w:r w:rsidRPr="008742E9">
        <w:rPr>
          <w:sz w:val="22"/>
          <w:szCs w:val="22"/>
        </w:rPr>
        <w:t>х</w:t>
      </w:r>
      <w:r w:rsidRPr="008742E9">
        <w:rPr>
          <w:sz w:val="22"/>
          <w:szCs w:val="22"/>
        </w:rPr>
        <w:t>мала. В крови резко повышена активность амилазы. СОЭ увелич</w:t>
      </w:r>
      <w:r w:rsidRPr="008742E9">
        <w:rPr>
          <w:sz w:val="22"/>
          <w:szCs w:val="22"/>
        </w:rPr>
        <w:t>е</w:t>
      </w:r>
      <w:r w:rsidRPr="008742E9">
        <w:rPr>
          <w:sz w:val="22"/>
          <w:szCs w:val="22"/>
        </w:rPr>
        <w:t>на. Как правило, наблюдается лейкоцитоз со сдвигом влево при острой форме и обострении хронического панкреатита</w:t>
      </w:r>
      <w:r w:rsidRPr="008742E9">
        <w:rPr>
          <w:sz w:val="22"/>
          <w:szCs w:val="22"/>
          <w:shd w:val="clear" w:color="auto" w:fill="FFFFFF"/>
        </w:rPr>
        <w:t>.</w:t>
      </w:r>
    </w:p>
    <w:p w:rsidR="008742E9" w:rsidRPr="008742E9" w:rsidRDefault="008742E9" w:rsidP="00C342C9">
      <w:pPr>
        <w:ind w:firstLine="426"/>
        <w:jc w:val="both"/>
        <w:rPr>
          <w:sz w:val="22"/>
          <w:szCs w:val="22"/>
          <w:shd w:val="clear" w:color="auto" w:fill="FFFFFF"/>
        </w:rPr>
      </w:pPr>
      <w:r w:rsidRPr="008742E9">
        <w:rPr>
          <w:sz w:val="22"/>
          <w:szCs w:val="22"/>
          <w:shd w:val="clear" w:color="auto" w:fill="FFFFFF"/>
        </w:rPr>
        <w:lastRenderedPageBreak/>
        <w:t>Процесс постановки диагноза можно пронаблюдать на ко</w:t>
      </w:r>
      <w:r w:rsidRPr="008742E9">
        <w:rPr>
          <w:sz w:val="22"/>
          <w:szCs w:val="22"/>
          <w:shd w:val="clear" w:color="auto" w:fill="FFFFFF"/>
        </w:rPr>
        <w:t>н</w:t>
      </w:r>
      <w:r w:rsidRPr="008742E9">
        <w:rPr>
          <w:sz w:val="22"/>
          <w:szCs w:val="22"/>
          <w:shd w:val="clear" w:color="auto" w:fill="FFFFFF"/>
        </w:rPr>
        <w:t>кретном случае.</w:t>
      </w:r>
    </w:p>
    <w:p w:rsidR="008742E9" w:rsidRPr="008742E9" w:rsidRDefault="008742E9" w:rsidP="00C342C9">
      <w:pPr>
        <w:ind w:firstLine="426"/>
        <w:jc w:val="both"/>
        <w:rPr>
          <w:sz w:val="22"/>
          <w:szCs w:val="22"/>
        </w:rPr>
      </w:pPr>
      <w:r w:rsidRPr="008742E9">
        <w:rPr>
          <w:sz w:val="22"/>
          <w:szCs w:val="22"/>
        </w:rPr>
        <w:t>В клинику поступило животное – 6-летний кобель – метис. Владелец жаловался на общее угнетенное состояние животного, сниженный аппетит в течение нескольких дней, рвоту, странное поведение животного (принятие необычной позы).</w:t>
      </w:r>
    </w:p>
    <w:p w:rsidR="008742E9" w:rsidRPr="008742E9" w:rsidRDefault="008742E9" w:rsidP="00C342C9">
      <w:pPr>
        <w:ind w:firstLine="426"/>
        <w:jc w:val="both"/>
        <w:rPr>
          <w:sz w:val="22"/>
          <w:szCs w:val="22"/>
        </w:rPr>
      </w:pPr>
      <w:r w:rsidRPr="008742E9">
        <w:rPr>
          <w:sz w:val="22"/>
          <w:szCs w:val="22"/>
        </w:rPr>
        <w:t>При пальпации брюшной стенки возникали приступы бесп</w:t>
      </w:r>
      <w:r w:rsidRPr="008742E9">
        <w:rPr>
          <w:sz w:val="22"/>
          <w:szCs w:val="22"/>
        </w:rPr>
        <w:t>о</w:t>
      </w:r>
      <w:r w:rsidRPr="008742E9">
        <w:rPr>
          <w:sz w:val="22"/>
          <w:szCs w:val="22"/>
        </w:rPr>
        <w:t>койства, прежде всего в области пупка и с левой стороны, живот был вздутым, брюшная стенка напряженной. Температура была п</w:t>
      </w:r>
      <w:r w:rsidRPr="008742E9">
        <w:rPr>
          <w:sz w:val="22"/>
          <w:szCs w:val="22"/>
        </w:rPr>
        <w:t>о</w:t>
      </w:r>
      <w:r w:rsidRPr="008742E9">
        <w:rPr>
          <w:sz w:val="22"/>
          <w:szCs w:val="22"/>
        </w:rPr>
        <w:t>вышена – 39,5°С. При осмотре животного было выявлено, что н</w:t>
      </w:r>
      <w:r w:rsidRPr="008742E9">
        <w:rPr>
          <w:sz w:val="22"/>
          <w:szCs w:val="22"/>
        </w:rPr>
        <w:t>е</w:t>
      </w:r>
      <w:r w:rsidRPr="008742E9">
        <w:rPr>
          <w:sz w:val="22"/>
          <w:szCs w:val="22"/>
        </w:rPr>
        <w:t>обычная поза, принимаемая животным – поза «богомольца», явл</w:t>
      </w:r>
      <w:r w:rsidRPr="008742E9">
        <w:rPr>
          <w:sz w:val="22"/>
          <w:szCs w:val="22"/>
        </w:rPr>
        <w:t>я</w:t>
      </w:r>
      <w:r w:rsidRPr="008742E9">
        <w:rPr>
          <w:sz w:val="22"/>
          <w:szCs w:val="22"/>
        </w:rPr>
        <w:t>ющаяся весьма характерной при панкреатите.</w:t>
      </w:r>
    </w:p>
    <w:p w:rsidR="008742E9" w:rsidRPr="008742E9" w:rsidRDefault="008742E9" w:rsidP="00C342C9">
      <w:pPr>
        <w:ind w:firstLine="426"/>
        <w:jc w:val="both"/>
        <w:rPr>
          <w:sz w:val="22"/>
          <w:szCs w:val="22"/>
        </w:rPr>
      </w:pPr>
      <w:r w:rsidRPr="008742E9">
        <w:rPr>
          <w:sz w:val="22"/>
          <w:szCs w:val="22"/>
        </w:rPr>
        <w:t>При проведении анализа кала было выявлено, что он имеет плотную консистенцию, слабокислый запах, в нем были обнаруж</w:t>
      </w:r>
      <w:r w:rsidRPr="008742E9">
        <w:rPr>
          <w:sz w:val="22"/>
          <w:szCs w:val="22"/>
        </w:rPr>
        <w:t>е</w:t>
      </w:r>
      <w:r w:rsidRPr="008742E9">
        <w:rPr>
          <w:sz w:val="22"/>
          <w:szCs w:val="22"/>
        </w:rPr>
        <w:t>ны частицы непереваренного корма, небольшое количество скр</w:t>
      </w:r>
      <w:r w:rsidRPr="008742E9">
        <w:rPr>
          <w:sz w:val="22"/>
          <w:szCs w:val="22"/>
        </w:rPr>
        <w:t>ы</w:t>
      </w:r>
      <w:r w:rsidRPr="008742E9">
        <w:rPr>
          <w:sz w:val="22"/>
          <w:szCs w:val="22"/>
        </w:rPr>
        <w:t>той крови, нейтральный жир, жирные кислоты и большое колич</w:t>
      </w:r>
      <w:r w:rsidRPr="008742E9">
        <w:rPr>
          <w:sz w:val="22"/>
          <w:szCs w:val="22"/>
        </w:rPr>
        <w:t>е</w:t>
      </w:r>
      <w:r w:rsidRPr="008742E9">
        <w:rPr>
          <w:sz w:val="22"/>
          <w:szCs w:val="22"/>
        </w:rPr>
        <w:t>ство крахмала. Яйца гельминтов при анализе не обнаружили.</w:t>
      </w:r>
    </w:p>
    <w:p w:rsidR="008742E9" w:rsidRPr="008742E9" w:rsidRDefault="008742E9" w:rsidP="00C342C9">
      <w:pPr>
        <w:ind w:firstLine="426"/>
        <w:jc w:val="both"/>
        <w:rPr>
          <w:sz w:val="22"/>
          <w:szCs w:val="22"/>
        </w:rPr>
      </w:pPr>
      <w:r w:rsidRPr="008742E9">
        <w:rPr>
          <w:sz w:val="22"/>
          <w:szCs w:val="22"/>
        </w:rPr>
        <w:t>Анализ кала показал увеличение содержания крахмала и пло</w:t>
      </w:r>
      <w:r w:rsidRPr="008742E9">
        <w:rPr>
          <w:sz w:val="22"/>
          <w:szCs w:val="22"/>
        </w:rPr>
        <w:t>т</w:t>
      </w:r>
      <w:r w:rsidRPr="008742E9">
        <w:rPr>
          <w:sz w:val="22"/>
          <w:szCs w:val="22"/>
        </w:rPr>
        <w:t>ности каловых масс. Это дало основание полагать, что у животного наблюдалось</w:t>
      </w:r>
      <w:r w:rsidRPr="008742E9">
        <w:rPr>
          <w:rFonts w:ascii="Calibri" w:hAnsi="Calibri"/>
          <w:sz w:val="22"/>
          <w:szCs w:val="22"/>
        </w:rPr>
        <w:t xml:space="preserve"> </w:t>
      </w:r>
      <w:r w:rsidRPr="008742E9">
        <w:rPr>
          <w:sz w:val="22"/>
          <w:szCs w:val="22"/>
        </w:rPr>
        <w:t>значительное нарушение деятельности поджелудо</w:t>
      </w:r>
      <w:r w:rsidRPr="008742E9">
        <w:rPr>
          <w:sz w:val="22"/>
          <w:szCs w:val="22"/>
        </w:rPr>
        <w:t>ч</w:t>
      </w:r>
      <w:r w:rsidRPr="008742E9">
        <w:rPr>
          <w:sz w:val="22"/>
          <w:szCs w:val="22"/>
        </w:rPr>
        <w:t>ной железы, небольшая недостаточность деятельности желудка и печени.</w:t>
      </w:r>
    </w:p>
    <w:p w:rsidR="008742E9" w:rsidRPr="008742E9" w:rsidRDefault="008742E9" w:rsidP="00C342C9">
      <w:pPr>
        <w:ind w:firstLine="426"/>
        <w:jc w:val="both"/>
        <w:rPr>
          <w:sz w:val="22"/>
          <w:szCs w:val="22"/>
        </w:rPr>
      </w:pPr>
      <w:r w:rsidRPr="008742E9">
        <w:rPr>
          <w:sz w:val="22"/>
          <w:szCs w:val="22"/>
        </w:rPr>
        <w:t>При анализе крови было установлено увеличение СОЭ и ле</w:t>
      </w:r>
      <w:r w:rsidRPr="008742E9">
        <w:rPr>
          <w:sz w:val="22"/>
          <w:szCs w:val="22"/>
        </w:rPr>
        <w:t>й</w:t>
      </w:r>
      <w:r w:rsidRPr="008742E9">
        <w:rPr>
          <w:sz w:val="22"/>
          <w:szCs w:val="22"/>
        </w:rPr>
        <w:t>коцитоз со сдвигом влево.</w:t>
      </w:r>
    </w:p>
    <w:p w:rsidR="008742E9" w:rsidRPr="008742E9" w:rsidRDefault="008742E9" w:rsidP="00C342C9">
      <w:pPr>
        <w:ind w:firstLine="426"/>
        <w:jc w:val="both"/>
        <w:rPr>
          <w:sz w:val="22"/>
          <w:szCs w:val="22"/>
        </w:rPr>
      </w:pPr>
      <w:r w:rsidRPr="008742E9">
        <w:rPr>
          <w:sz w:val="22"/>
          <w:szCs w:val="22"/>
        </w:rPr>
        <w:t>Для подтверждения диагноза было решено провести эхоскан</w:t>
      </w:r>
      <w:r w:rsidRPr="008742E9">
        <w:rPr>
          <w:sz w:val="22"/>
          <w:szCs w:val="22"/>
        </w:rPr>
        <w:t>и</w:t>
      </w:r>
      <w:r w:rsidRPr="008742E9">
        <w:rPr>
          <w:sz w:val="22"/>
          <w:szCs w:val="22"/>
        </w:rPr>
        <w:t>рование (УЗИ) поджелудочной железы.</w:t>
      </w:r>
    </w:p>
    <w:p w:rsidR="008742E9" w:rsidRPr="008742E9" w:rsidRDefault="008742E9" w:rsidP="00C342C9">
      <w:pPr>
        <w:ind w:firstLine="426"/>
        <w:jc w:val="both"/>
        <w:rPr>
          <w:sz w:val="22"/>
          <w:szCs w:val="22"/>
        </w:rPr>
      </w:pPr>
      <w:r w:rsidRPr="008742E9">
        <w:rPr>
          <w:sz w:val="22"/>
          <w:szCs w:val="22"/>
        </w:rPr>
        <w:t>При исследовании поджелудочной железы методом эхоскан</w:t>
      </w:r>
      <w:r w:rsidRPr="008742E9">
        <w:rPr>
          <w:sz w:val="22"/>
          <w:szCs w:val="22"/>
        </w:rPr>
        <w:t>и</w:t>
      </w:r>
      <w:r w:rsidRPr="008742E9">
        <w:rPr>
          <w:sz w:val="22"/>
          <w:szCs w:val="22"/>
        </w:rPr>
        <w:t>рования было обнаружено небольшое увеличение размеров подж</w:t>
      </w:r>
      <w:r w:rsidRPr="008742E9">
        <w:rPr>
          <w:sz w:val="22"/>
          <w:szCs w:val="22"/>
        </w:rPr>
        <w:t>е</w:t>
      </w:r>
      <w:r w:rsidRPr="008742E9">
        <w:rPr>
          <w:sz w:val="22"/>
          <w:szCs w:val="22"/>
        </w:rPr>
        <w:t>лудочной железы, а также сегментарное повышение эхогенности.</w:t>
      </w:r>
    </w:p>
    <w:p w:rsidR="008742E9" w:rsidRPr="008742E9" w:rsidRDefault="008742E9" w:rsidP="00C342C9">
      <w:pPr>
        <w:ind w:firstLine="426"/>
        <w:jc w:val="both"/>
        <w:rPr>
          <w:sz w:val="22"/>
          <w:szCs w:val="22"/>
        </w:rPr>
      </w:pPr>
      <w:r w:rsidRPr="008742E9">
        <w:rPr>
          <w:sz w:val="22"/>
          <w:szCs w:val="22"/>
        </w:rPr>
        <w:t>Животному на основе клинических симптомов, исследования крови и кала, результатов эхосканирования был поставлен диагноз острый панкреатит.</w:t>
      </w:r>
    </w:p>
    <w:p w:rsidR="008742E9" w:rsidRPr="008742E9" w:rsidRDefault="008742E9" w:rsidP="00C342C9">
      <w:pPr>
        <w:ind w:firstLine="426"/>
        <w:jc w:val="both"/>
        <w:rPr>
          <w:sz w:val="22"/>
          <w:szCs w:val="22"/>
        </w:rPr>
      </w:pPr>
      <w:r w:rsidRPr="008742E9">
        <w:rPr>
          <w:sz w:val="22"/>
          <w:szCs w:val="22"/>
        </w:rPr>
        <w:t>Для лечения собаке было назначено внутривенное вливание раствора Рингера для устранения обезвоживания; препарат панкр</w:t>
      </w:r>
      <w:r w:rsidRPr="008742E9">
        <w:rPr>
          <w:sz w:val="22"/>
          <w:szCs w:val="22"/>
        </w:rPr>
        <w:t>е</w:t>
      </w:r>
      <w:r w:rsidRPr="008742E9">
        <w:rPr>
          <w:sz w:val="22"/>
          <w:szCs w:val="22"/>
        </w:rPr>
        <w:t>атин, для компенсации недостаточности секреторной функции по</w:t>
      </w:r>
      <w:r w:rsidRPr="008742E9">
        <w:rPr>
          <w:sz w:val="22"/>
          <w:szCs w:val="22"/>
        </w:rPr>
        <w:t>д</w:t>
      </w:r>
      <w:r w:rsidRPr="008742E9">
        <w:rPr>
          <w:sz w:val="22"/>
          <w:szCs w:val="22"/>
        </w:rPr>
        <w:t xml:space="preserve">желудочной железы и улучшения пищеварения и папаверин для расширения протоков поджелудочной железы. Также собаке была </w:t>
      </w:r>
      <w:r w:rsidRPr="008742E9">
        <w:rPr>
          <w:sz w:val="22"/>
          <w:szCs w:val="22"/>
        </w:rPr>
        <w:lastRenderedPageBreak/>
        <w:t xml:space="preserve">назначена диета легкопереваримыми кормами, содержащими мало клетчатки и жира. </w:t>
      </w:r>
    </w:p>
    <w:p w:rsidR="008742E9" w:rsidRDefault="008742E9" w:rsidP="00C342C9">
      <w:pPr>
        <w:ind w:firstLine="426"/>
        <w:jc w:val="both"/>
        <w:rPr>
          <w:sz w:val="22"/>
          <w:szCs w:val="22"/>
        </w:rPr>
      </w:pPr>
      <w:r w:rsidRPr="008742E9">
        <w:rPr>
          <w:sz w:val="22"/>
          <w:szCs w:val="22"/>
        </w:rPr>
        <w:t>Для профилактики было назначено регулярное кормление ди</w:t>
      </w:r>
      <w:r w:rsidRPr="008742E9">
        <w:rPr>
          <w:sz w:val="22"/>
          <w:szCs w:val="22"/>
        </w:rPr>
        <w:t>е</w:t>
      </w:r>
      <w:r w:rsidRPr="008742E9">
        <w:rPr>
          <w:sz w:val="22"/>
          <w:szCs w:val="22"/>
        </w:rPr>
        <w:t>тическими кормами, не допускать заражения их инфекциями и и</w:t>
      </w:r>
      <w:r w:rsidRPr="008742E9">
        <w:rPr>
          <w:sz w:val="22"/>
          <w:szCs w:val="22"/>
        </w:rPr>
        <w:t>н</w:t>
      </w:r>
      <w:r w:rsidRPr="008742E9">
        <w:rPr>
          <w:sz w:val="22"/>
          <w:szCs w:val="22"/>
        </w:rPr>
        <w:t xml:space="preserve">вазиями. </w:t>
      </w:r>
    </w:p>
    <w:p w:rsidR="00CB1025" w:rsidRPr="008742E9" w:rsidRDefault="00CB1025" w:rsidP="00C342C9">
      <w:pPr>
        <w:ind w:firstLine="426"/>
        <w:jc w:val="both"/>
        <w:rPr>
          <w:sz w:val="22"/>
          <w:szCs w:val="22"/>
        </w:rPr>
      </w:pPr>
    </w:p>
    <w:p w:rsidR="008742E9" w:rsidRPr="008742E9" w:rsidRDefault="008742E9" w:rsidP="00C342C9">
      <w:pPr>
        <w:ind w:firstLine="425"/>
        <w:jc w:val="center"/>
        <w:rPr>
          <w:sz w:val="22"/>
          <w:szCs w:val="22"/>
        </w:rPr>
      </w:pPr>
      <w:r w:rsidRPr="008742E9">
        <w:rPr>
          <w:sz w:val="22"/>
          <w:szCs w:val="22"/>
        </w:rPr>
        <w:t>Список литературы</w:t>
      </w:r>
    </w:p>
    <w:p w:rsidR="008742E9" w:rsidRPr="008742E9" w:rsidRDefault="008742E9" w:rsidP="00C342C9">
      <w:pPr>
        <w:ind w:firstLine="425"/>
        <w:jc w:val="both"/>
        <w:rPr>
          <w:sz w:val="22"/>
          <w:szCs w:val="22"/>
        </w:rPr>
      </w:pPr>
      <w:r w:rsidRPr="008742E9">
        <w:rPr>
          <w:sz w:val="22"/>
          <w:szCs w:val="22"/>
        </w:rPr>
        <w:t>1. Аркадьева-Берлин, Н. Г. Лечение собак: справочник ветер</w:t>
      </w:r>
      <w:r w:rsidRPr="008742E9">
        <w:rPr>
          <w:sz w:val="22"/>
          <w:szCs w:val="22"/>
        </w:rPr>
        <w:t>и</w:t>
      </w:r>
      <w:r w:rsidRPr="008742E9">
        <w:rPr>
          <w:sz w:val="22"/>
          <w:szCs w:val="22"/>
        </w:rPr>
        <w:t>нара  / Н. Г. Аркадьева-Берлин. – М.: Вече, 2007.– 214 с.</w:t>
      </w:r>
    </w:p>
    <w:p w:rsidR="00C342C9" w:rsidRPr="00CB1025" w:rsidRDefault="008742E9" w:rsidP="00CB1025">
      <w:pPr>
        <w:ind w:firstLine="426"/>
        <w:jc w:val="both"/>
        <w:rPr>
          <w:sz w:val="22"/>
          <w:szCs w:val="22"/>
        </w:rPr>
      </w:pPr>
      <w:r w:rsidRPr="008742E9">
        <w:rPr>
          <w:sz w:val="22"/>
          <w:szCs w:val="22"/>
        </w:rPr>
        <w:t>2. Стекольникова, А. А. Болезни собак и кошек. Комплексная диагностика и терапия / А. А. Стекольникова, С. В. Старченкова. – СПб.: СпецЛит, 2013. – 925 с.</w:t>
      </w:r>
    </w:p>
    <w:p w:rsidR="000C7D3B" w:rsidRDefault="000C7D3B" w:rsidP="00C342C9">
      <w:pPr>
        <w:rPr>
          <w:rFonts w:eastAsia="Calibri"/>
          <w:sz w:val="22"/>
          <w:szCs w:val="22"/>
          <w:lang w:eastAsia="en-US"/>
        </w:rPr>
      </w:pPr>
    </w:p>
    <w:p w:rsidR="000C7D3B" w:rsidRDefault="000C7D3B" w:rsidP="00C342C9">
      <w:pPr>
        <w:rPr>
          <w:rFonts w:eastAsia="Calibri"/>
          <w:sz w:val="22"/>
          <w:szCs w:val="22"/>
          <w:lang w:eastAsia="en-US"/>
        </w:rPr>
      </w:pPr>
    </w:p>
    <w:p w:rsidR="000C7D3B" w:rsidRDefault="000C7D3B" w:rsidP="00C342C9">
      <w:pPr>
        <w:rPr>
          <w:rFonts w:eastAsia="Calibri"/>
          <w:sz w:val="22"/>
          <w:szCs w:val="22"/>
          <w:lang w:eastAsia="en-US"/>
        </w:rPr>
      </w:pPr>
    </w:p>
    <w:p w:rsidR="008742E9" w:rsidRDefault="008742E9" w:rsidP="00C342C9">
      <w:pPr>
        <w:rPr>
          <w:rFonts w:eastAsia="Calibri"/>
          <w:sz w:val="22"/>
          <w:szCs w:val="22"/>
          <w:lang w:eastAsia="en-US"/>
        </w:rPr>
      </w:pPr>
      <w:proofErr w:type="gramStart"/>
      <w:r w:rsidRPr="008742E9">
        <w:rPr>
          <w:rFonts w:eastAsia="Calibri"/>
          <w:sz w:val="22"/>
          <w:szCs w:val="22"/>
          <w:lang w:eastAsia="en-US"/>
        </w:rPr>
        <w:t>УДК 619:616:98:578.834.1]:636.8(470.620)</w:t>
      </w:r>
      <w:proofErr w:type="gramEnd"/>
    </w:p>
    <w:p w:rsidR="00C342C9" w:rsidRPr="008742E9" w:rsidRDefault="00C342C9" w:rsidP="00C342C9">
      <w:pPr>
        <w:rPr>
          <w:rFonts w:eastAsia="Calibri"/>
          <w:sz w:val="22"/>
          <w:szCs w:val="22"/>
          <w:lang w:eastAsia="en-US"/>
        </w:rPr>
      </w:pPr>
    </w:p>
    <w:p w:rsidR="008742E9" w:rsidRPr="008742E9" w:rsidRDefault="008742E9" w:rsidP="00C342C9">
      <w:pPr>
        <w:jc w:val="center"/>
        <w:rPr>
          <w:rFonts w:eastAsia="Calibri"/>
          <w:b/>
          <w:sz w:val="24"/>
          <w:szCs w:val="22"/>
          <w:lang w:eastAsia="en-US"/>
        </w:rPr>
      </w:pPr>
      <w:r w:rsidRPr="008742E9">
        <w:rPr>
          <w:rFonts w:eastAsia="Calibri"/>
          <w:b/>
          <w:sz w:val="24"/>
          <w:szCs w:val="22"/>
          <w:lang w:eastAsia="en-US"/>
        </w:rPr>
        <w:t xml:space="preserve">Динамика распространения и профилактика </w:t>
      </w:r>
      <w:r w:rsidR="00C342C9">
        <w:rPr>
          <w:rFonts w:eastAsia="Calibri"/>
          <w:b/>
          <w:sz w:val="24"/>
          <w:szCs w:val="22"/>
          <w:lang w:eastAsia="en-US"/>
        </w:rPr>
        <w:br/>
      </w:r>
      <w:r w:rsidRPr="008742E9">
        <w:rPr>
          <w:rFonts w:eastAsia="Calibri"/>
          <w:b/>
          <w:sz w:val="24"/>
          <w:szCs w:val="22"/>
          <w:lang w:eastAsia="en-US"/>
        </w:rPr>
        <w:t xml:space="preserve">инфекционного перитонита кошек в питомниках </w:t>
      </w:r>
      <w:r w:rsidR="00C342C9">
        <w:rPr>
          <w:rFonts w:eastAsia="Calibri"/>
          <w:b/>
          <w:sz w:val="24"/>
          <w:szCs w:val="22"/>
          <w:lang w:eastAsia="en-US"/>
        </w:rPr>
        <w:br/>
      </w:r>
      <w:r w:rsidRPr="008742E9">
        <w:rPr>
          <w:rFonts w:eastAsia="Calibri"/>
          <w:b/>
          <w:sz w:val="24"/>
          <w:szCs w:val="22"/>
          <w:lang w:eastAsia="en-US"/>
        </w:rPr>
        <w:t>г. Краснодара</w:t>
      </w:r>
    </w:p>
    <w:p w:rsidR="008742E9" w:rsidRPr="00024398" w:rsidRDefault="008742E9" w:rsidP="00C342C9">
      <w:pPr>
        <w:jc w:val="center"/>
        <w:rPr>
          <w:rFonts w:eastAsia="Calibri"/>
          <w:b/>
          <w:sz w:val="24"/>
          <w:szCs w:val="22"/>
          <w:lang w:val="en-US" w:eastAsia="en-US"/>
        </w:rPr>
      </w:pPr>
      <w:r w:rsidRPr="008742E9">
        <w:rPr>
          <w:rFonts w:eastAsia="Calibri"/>
          <w:b/>
          <w:sz w:val="24"/>
          <w:szCs w:val="22"/>
          <w:lang w:val="en-US" w:eastAsia="en-US"/>
        </w:rPr>
        <w:t>Dynamics of distribution and prevention of Feline Infectious Peritonitis in the catteries of Krasnodar</w:t>
      </w:r>
    </w:p>
    <w:p w:rsidR="00C342C9" w:rsidRPr="00024398" w:rsidRDefault="00C342C9" w:rsidP="00C342C9">
      <w:pPr>
        <w:jc w:val="center"/>
        <w:rPr>
          <w:rFonts w:eastAsia="Calibri"/>
          <w:b/>
          <w:sz w:val="22"/>
          <w:szCs w:val="22"/>
          <w:lang w:val="en-US" w:eastAsia="en-US"/>
        </w:rPr>
      </w:pP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Яшичева О. Г.,</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студентка 6-го курса</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факультета ветеринарной медицины</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Шевченко А. А.,</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зав. кафедрой микробиологии,</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эпизоотологии и вирусологии, профессор</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C342C9">
      <w:pPr>
        <w:jc w:val="right"/>
        <w:rPr>
          <w:rFonts w:eastAsia="Calibri"/>
          <w:sz w:val="22"/>
          <w:szCs w:val="22"/>
          <w:lang w:eastAsia="en-US"/>
        </w:rPr>
      </w:pPr>
      <w:r w:rsidRPr="008742E9">
        <w:rPr>
          <w:rFonts w:eastAsia="Calibri"/>
          <w:sz w:val="22"/>
          <w:szCs w:val="22"/>
          <w:lang w:eastAsia="en-US"/>
        </w:rPr>
        <w:t>университет имени И.</w:t>
      </w:r>
      <w:r w:rsidR="00C342C9">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C342C9">
      <w:pPr>
        <w:jc w:val="right"/>
        <w:rPr>
          <w:rFonts w:eastAsia="Calibri"/>
          <w:sz w:val="22"/>
          <w:szCs w:val="22"/>
          <w:lang w:eastAsia="en-US"/>
        </w:rPr>
      </w:pP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eastAsia="en-US"/>
        </w:rPr>
        <w:t>АННОТАЦИЯ: изучена динамика распространения инфекц</w:t>
      </w:r>
      <w:r w:rsidRPr="008742E9">
        <w:rPr>
          <w:rFonts w:eastAsia="Calibri"/>
          <w:sz w:val="22"/>
          <w:szCs w:val="22"/>
          <w:lang w:eastAsia="en-US"/>
        </w:rPr>
        <w:t>и</w:t>
      </w:r>
      <w:r w:rsidRPr="008742E9">
        <w:rPr>
          <w:rFonts w:eastAsia="Calibri"/>
          <w:sz w:val="22"/>
          <w:szCs w:val="22"/>
          <w:lang w:eastAsia="en-US"/>
        </w:rPr>
        <w:t>онного перитонита кошек в питомниках г. Краснодара. Разработаны</w:t>
      </w:r>
      <w:r w:rsidRPr="008742E9">
        <w:rPr>
          <w:rFonts w:eastAsia="Calibri"/>
          <w:sz w:val="22"/>
          <w:szCs w:val="22"/>
          <w:lang w:val="en-US" w:eastAsia="en-US"/>
        </w:rPr>
        <w:t xml:space="preserve"> </w:t>
      </w:r>
      <w:r w:rsidRPr="008742E9">
        <w:rPr>
          <w:rFonts w:eastAsia="Calibri"/>
          <w:sz w:val="22"/>
          <w:szCs w:val="22"/>
          <w:lang w:eastAsia="en-US"/>
        </w:rPr>
        <w:t>профилактические</w:t>
      </w:r>
      <w:r w:rsidRPr="008742E9">
        <w:rPr>
          <w:rFonts w:eastAsia="Calibri"/>
          <w:sz w:val="22"/>
          <w:szCs w:val="22"/>
          <w:lang w:val="en-US" w:eastAsia="en-US"/>
        </w:rPr>
        <w:t xml:space="preserve"> </w:t>
      </w:r>
      <w:r w:rsidRPr="008742E9">
        <w:rPr>
          <w:rFonts w:eastAsia="Calibri"/>
          <w:sz w:val="22"/>
          <w:szCs w:val="22"/>
          <w:lang w:eastAsia="en-US"/>
        </w:rPr>
        <w:t>меры</w:t>
      </w:r>
      <w:r w:rsidRPr="008742E9">
        <w:rPr>
          <w:rFonts w:eastAsia="Calibri"/>
          <w:sz w:val="22"/>
          <w:szCs w:val="22"/>
          <w:lang w:val="en-US" w:eastAsia="en-US"/>
        </w:rPr>
        <w:t xml:space="preserve"> </w:t>
      </w:r>
      <w:r w:rsidRPr="008742E9">
        <w:rPr>
          <w:rFonts w:eastAsia="Calibri"/>
          <w:sz w:val="22"/>
          <w:szCs w:val="22"/>
          <w:lang w:eastAsia="en-US"/>
        </w:rPr>
        <w:t>по</w:t>
      </w:r>
      <w:r w:rsidRPr="008742E9">
        <w:rPr>
          <w:rFonts w:eastAsia="Calibri"/>
          <w:sz w:val="22"/>
          <w:szCs w:val="22"/>
          <w:lang w:val="en-US" w:eastAsia="en-US"/>
        </w:rPr>
        <w:t xml:space="preserve"> </w:t>
      </w:r>
      <w:r w:rsidRPr="008742E9">
        <w:rPr>
          <w:rFonts w:eastAsia="Calibri"/>
          <w:sz w:val="22"/>
          <w:szCs w:val="22"/>
          <w:lang w:eastAsia="en-US"/>
        </w:rPr>
        <w:t>сокращению</w:t>
      </w:r>
      <w:r w:rsidRPr="008742E9">
        <w:rPr>
          <w:rFonts w:eastAsia="Calibri"/>
          <w:sz w:val="22"/>
          <w:szCs w:val="22"/>
          <w:lang w:val="en-US" w:eastAsia="en-US"/>
        </w:rPr>
        <w:t xml:space="preserve"> </w:t>
      </w:r>
      <w:r w:rsidRPr="008742E9">
        <w:rPr>
          <w:rFonts w:eastAsia="Calibri"/>
          <w:sz w:val="22"/>
          <w:szCs w:val="22"/>
          <w:lang w:eastAsia="en-US"/>
        </w:rPr>
        <w:t>случаев</w:t>
      </w:r>
      <w:r w:rsidRPr="008742E9">
        <w:rPr>
          <w:rFonts w:eastAsia="Calibri"/>
          <w:sz w:val="22"/>
          <w:szCs w:val="22"/>
          <w:lang w:val="en-US" w:eastAsia="en-US"/>
        </w:rPr>
        <w:t xml:space="preserve"> </w:t>
      </w:r>
      <w:r w:rsidRPr="008742E9">
        <w:rPr>
          <w:rFonts w:eastAsia="Calibri"/>
          <w:sz w:val="22"/>
          <w:szCs w:val="22"/>
          <w:lang w:eastAsia="en-US"/>
        </w:rPr>
        <w:t>заболеваемости</w:t>
      </w:r>
      <w:r w:rsidRPr="008742E9">
        <w:rPr>
          <w:rFonts w:eastAsia="Calibri"/>
          <w:sz w:val="22"/>
          <w:szCs w:val="22"/>
          <w:lang w:val="en-US" w:eastAsia="en-US"/>
        </w:rPr>
        <w:t>.</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lastRenderedPageBreak/>
        <w:t>ABSTRACT: dynamics of spread of Feline Infectious Peritonitis in the catteries of Krasnodar is studied. Preventive measures for reduction of cases of incidence are developed.</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КЛЮЧЕВЫЕ СЛОВА: инфекционный перитонит кошек, ИПК, коронавирусные инфекции кошек в питомниках, профилактика ИПК.</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t>KEYWORDS: feline infectious peritonitis, FIP, coronavirus infe</w:t>
      </w:r>
      <w:r w:rsidRPr="008742E9">
        <w:rPr>
          <w:rFonts w:eastAsia="Calibri"/>
          <w:sz w:val="22"/>
          <w:szCs w:val="22"/>
          <w:lang w:val="en-US" w:eastAsia="en-US"/>
        </w:rPr>
        <w:t>c</w:t>
      </w:r>
      <w:r w:rsidRPr="008742E9">
        <w:rPr>
          <w:rFonts w:eastAsia="Calibri"/>
          <w:sz w:val="22"/>
          <w:szCs w:val="22"/>
          <w:lang w:val="en-US" w:eastAsia="en-US"/>
        </w:rPr>
        <w:t>tions of cats in the catteries, prevention of FIP.</w:t>
      </w:r>
    </w:p>
    <w:p w:rsidR="008742E9" w:rsidRPr="008742E9" w:rsidRDefault="008742E9" w:rsidP="00C342C9">
      <w:pPr>
        <w:ind w:firstLine="426"/>
        <w:jc w:val="both"/>
        <w:rPr>
          <w:rFonts w:eastAsia="Calibri"/>
          <w:sz w:val="22"/>
          <w:szCs w:val="22"/>
          <w:lang w:val="en-US" w:eastAsia="en-US"/>
        </w:rPr>
      </w:pP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Инфекционный перитонит кошек (ИПК) – инфекционное заб</w:t>
      </w:r>
      <w:r w:rsidRPr="008742E9">
        <w:rPr>
          <w:rFonts w:eastAsia="Calibri"/>
          <w:sz w:val="22"/>
          <w:szCs w:val="22"/>
          <w:lang w:eastAsia="en-US"/>
        </w:rPr>
        <w:t>о</w:t>
      </w:r>
      <w:r w:rsidRPr="008742E9">
        <w:rPr>
          <w:rFonts w:eastAsia="Calibri"/>
          <w:sz w:val="22"/>
          <w:szCs w:val="22"/>
          <w:lang w:eastAsia="en-US"/>
        </w:rPr>
        <w:t>левание, возбудителем которого считается коронавирус из семе</w:t>
      </w:r>
      <w:r w:rsidRPr="008742E9">
        <w:rPr>
          <w:rFonts w:eastAsia="Calibri"/>
          <w:sz w:val="22"/>
          <w:szCs w:val="22"/>
          <w:lang w:eastAsia="en-US"/>
        </w:rPr>
        <w:t>й</w:t>
      </w:r>
      <w:r w:rsidRPr="008742E9">
        <w:rPr>
          <w:rFonts w:eastAsia="Calibri"/>
          <w:sz w:val="22"/>
          <w:szCs w:val="22"/>
          <w:lang w:eastAsia="en-US"/>
        </w:rPr>
        <w:t>ства коронавирусов, плеоморфных РНК-содержащих вирусов окр</w:t>
      </w:r>
      <w:r w:rsidRPr="008742E9">
        <w:rPr>
          <w:rFonts w:eastAsia="Calibri"/>
          <w:sz w:val="22"/>
          <w:szCs w:val="22"/>
          <w:lang w:eastAsia="en-US"/>
        </w:rPr>
        <w:t>у</w:t>
      </w:r>
      <w:r w:rsidRPr="008742E9">
        <w:rPr>
          <w:rFonts w:eastAsia="Calibri"/>
          <w:sz w:val="22"/>
          <w:szCs w:val="22"/>
          <w:lang w:eastAsia="en-US"/>
        </w:rPr>
        <w:t>женных кольцом (короной) с выступами (пепломерами), с помощью которых вирус прикрепляется к клеткам, и, возможно, пепломеры (спайки) являются мишенью для нейтрализующих вирус антител. Данное заболевание причиняет экономический ущерб из-за забол</w:t>
      </w:r>
      <w:r w:rsidRPr="008742E9">
        <w:rPr>
          <w:rFonts w:eastAsia="Calibri"/>
          <w:sz w:val="22"/>
          <w:szCs w:val="22"/>
          <w:lang w:eastAsia="en-US"/>
        </w:rPr>
        <w:t>е</w:t>
      </w:r>
      <w:r w:rsidRPr="008742E9">
        <w:rPr>
          <w:rFonts w:eastAsia="Calibri"/>
          <w:sz w:val="22"/>
          <w:szCs w:val="22"/>
          <w:lang w:eastAsia="en-US"/>
        </w:rPr>
        <w:t>ваемости и массового падежа.</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Основным путем передачи вируса считается заражение через рот с репликацией в миндалинах, эпителии кишечника и в дрен</w:t>
      </w:r>
      <w:r w:rsidRPr="008742E9">
        <w:rPr>
          <w:rFonts w:eastAsia="Calibri"/>
          <w:sz w:val="22"/>
          <w:szCs w:val="22"/>
          <w:lang w:eastAsia="en-US"/>
        </w:rPr>
        <w:t>и</w:t>
      </w:r>
      <w:r w:rsidRPr="008742E9">
        <w:rPr>
          <w:rFonts w:eastAsia="Calibri"/>
          <w:sz w:val="22"/>
          <w:szCs w:val="22"/>
          <w:lang w:eastAsia="en-US"/>
        </w:rPr>
        <w:t>рующих лимфоидных тканях. Распространяется вирус по организму посредством моноцитов [1, 2, 3].</w:t>
      </w:r>
    </w:p>
    <w:p w:rsidR="008742E9" w:rsidRPr="008742E9" w:rsidRDefault="008742E9" w:rsidP="00C342C9">
      <w:pPr>
        <w:widowControl w:val="0"/>
        <w:suppressAutoHyphens/>
        <w:ind w:firstLine="426"/>
        <w:jc w:val="both"/>
        <w:rPr>
          <w:rFonts w:eastAsia="AR PL SungtiL GB"/>
          <w:sz w:val="22"/>
          <w:szCs w:val="22"/>
          <w:lang w:eastAsia="zh-CN" w:bidi="hi-IN"/>
        </w:rPr>
      </w:pPr>
      <w:r w:rsidRPr="008742E9">
        <w:rPr>
          <w:rFonts w:eastAsia="AR PL SungtiL GB"/>
          <w:sz w:val="22"/>
          <w:szCs w:val="22"/>
          <w:lang w:eastAsia="zh-CN" w:bidi="hi-IN"/>
        </w:rPr>
        <w:t>Целью работы являлось изучение динамики распространения, клиническое проявление, патологоанатомические изменения и профилактику инфекционного перитонита кошек в условиях питомников г. Краснодара.</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В питомниках кошек г. Краснодара мы изучили распростран</w:t>
      </w:r>
      <w:r w:rsidRPr="008742E9">
        <w:rPr>
          <w:rFonts w:eastAsia="Calibri"/>
          <w:sz w:val="22"/>
          <w:szCs w:val="22"/>
          <w:lang w:eastAsia="en-US"/>
        </w:rPr>
        <w:t>е</w:t>
      </w:r>
      <w:r w:rsidRPr="008742E9">
        <w:rPr>
          <w:rFonts w:eastAsia="Calibri"/>
          <w:sz w:val="22"/>
          <w:szCs w:val="22"/>
          <w:lang w:eastAsia="en-US"/>
        </w:rPr>
        <w:t>ние, клинические признаки, особенности патологоанатомических изменений и предложили меры по профилактике заболевания. В результате исследований установлено, что наиболее часто ИПК п</w:t>
      </w:r>
      <w:r w:rsidRPr="008742E9">
        <w:rPr>
          <w:rFonts w:eastAsia="Calibri"/>
          <w:sz w:val="22"/>
          <w:szCs w:val="22"/>
          <w:lang w:eastAsia="en-US"/>
        </w:rPr>
        <w:t>о</w:t>
      </w:r>
      <w:r w:rsidRPr="008742E9">
        <w:rPr>
          <w:rFonts w:eastAsia="Calibri"/>
          <w:sz w:val="22"/>
          <w:szCs w:val="22"/>
          <w:lang w:eastAsia="en-US"/>
        </w:rPr>
        <w:t>ражаются животные от 4 месяцев до 4 лет. Однако, болеют лишь избранные особи.</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развитии энтерита, вызванного FECV, заболевание скор</w:t>
      </w:r>
      <w:r w:rsidRPr="008742E9">
        <w:rPr>
          <w:rFonts w:eastAsia="Calibri"/>
          <w:sz w:val="22"/>
          <w:szCs w:val="22"/>
          <w:lang w:eastAsia="en-US"/>
        </w:rPr>
        <w:t>о</w:t>
      </w:r>
      <w:r w:rsidRPr="008742E9">
        <w:rPr>
          <w:rFonts w:eastAsia="Calibri"/>
          <w:sz w:val="22"/>
          <w:szCs w:val="22"/>
          <w:lang w:eastAsia="en-US"/>
        </w:rPr>
        <w:t>течно, от нескольких дней до недели, заканчивается самоизлечен</w:t>
      </w:r>
      <w:r w:rsidRPr="008742E9">
        <w:rPr>
          <w:rFonts w:eastAsia="Calibri"/>
          <w:sz w:val="22"/>
          <w:szCs w:val="22"/>
          <w:lang w:eastAsia="en-US"/>
        </w:rPr>
        <w:t>и</w:t>
      </w:r>
      <w:r w:rsidRPr="008742E9">
        <w:rPr>
          <w:rFonts w:eastAsia="Calibri"/>
          <w:sz w:val="22"/>
          <w:szCs w:val="22"/>
          <w:lang w:eastAsia="en-US"/>
        </w:rPr>
        <w:t>ем.</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При ИПК период проявления первых признаков может длиться от нескольких дней до нескольких лет.</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Начальные признаки сухого и выпотного ИПК схожи между собой: гипертермия от 39,5° С, анорексия, слабость, депрессия, к</w:t>
      </w:r>
      <w:r w:rsidRPr="008742E9">
        <w:rPr>
          <w:rFonts w:eastAsia="Calibri"/>
          <w:sz w:val="22"/>
          <w:szCs w:val="22"/>
          <w:lang w:eastAsia="en-US"/>
        </w:rPr>
        <w:t>а</w:t>
      </w:r>
      <w:r w:rsidRPr="008742E9">
        <w:rPr>
          <w:rFonts w:eastAsia="Calibri"/>
          <w:sz w:val="22"/>
          <w:szCs w:val="22"/>
          <w:lang w:eastAsia="en-US"/>
        </w:rPr>
        <w:lastRenderedPageBreak/>
        <w:t>хексия, прогрессирующая анемия, могут развиваться респирато</w:t>
      </w:r>
      <w:r w:rsidRPr="008742E9">
        <w:rPr>
          <w:rFonts w:eastAsia="Calibri"/>
          <w:sz w:val="22"/>
          <w:szCs w:val="22"/>
          <w:lang w:eastAsia="en-US"/>
        </w:rPr>
        <w:t>р</w:t>
      </w:r>
      <w:r w:rsidRPr="008742E9">
        <w:rPr>
          <w:rFonts w:eastAsia="Calibri"/>
          <w:sz w:val="22"/>
          <w:szCs w:val="22"/>
          <w:lang w:eastAsia="en-US"/>
        </w:rPr>
        <w:t>ные симптомы, расстройства со стороны ЖКТ, нервной системы (судороги, параличи, агрессия или пассивность). При выпотном ИПК наблюдают скопление жидкостей в полостях (брюшной, гру</w:t>
      </w:r>
      <w:r w:rsidRPr="008742E9">
        <w:rPr>
          <w:rFonts w:eastAsia="Calibri"/>
          <w:sz w:val="22"/>
          <w:szCs w:val="22"/>
          <w:lang w:eastAsia="en-US"/>
        </w:rPr>
        <w:t>д</w:t>
      </w:r>
      <w:r w:rsidRPr="008742E9">
        <w:rPr>
          <w:rFonts w:eastAsia="Calibri"/>
          <w:sz w:val="22"/>
          <w:szCs w:val="22"/>
          <w:lang w:eastAsia="en-US"/>
        </w:rPr>
        <w:t>ной). Наблюдается желтуха, особенно на поздних стадиях заболев</w:t>
      </w:r>
      <w:r w:rsidRPr="008742E9">
        <w:rPr>
          <w:rFonts w:eastAsia="Calibri"/>
          <w:sz w:val="22"/>
          <w:szCs w:val="22"/>
          <w:lang w:eastAsia="en-US"/>
        </w:rPr>
        <w:t>а</w:t>
      </w:r>
      <w:r w:rsidRPr="008742E9">
        <w:rPr>
          <w:rFonts w:eastAsia="Calibri"/>
          <w:sz w:val="22"/>
          <w:szCs w:val="22"/>
          <w:lang w:eastAsia="en-US"/>
        </w:rPr>
        <w:t>ния. В органах развиваются гранулематозные патологические изм</w:t>
      </w:r>
      <w:r w:rsidRPr="008742E9">
        <w:rPr>
          <w:rFonts w:eastAsia="Calibri"/>
          <w:sz w:val="22"/>
          <w:szCs w:val="22"/>
          <w:lang w:eastAsia="en-US"/>
        </w:rPr>
        <w:t>е</w:t>
      </w:r>
      <w:r w:rsidRPr="008742E9">
        <w:rPr>
          <w:rFonts w:eastAsia="Calibri"/>
          <w:sz w:val="22"/>
          <w:szCs w:val="22"/>
          <w:lang w:eastAsia="en-US"/>
        </w:rPr>
        <w:t>нения, что подтверждается клиническими симптомами органов, в</w:t>
      </w:r>
      <w:r w:rsidRPr="008742E9">
        <w:rPr>
          <w:rFonts w:eastAsia="Calibri"/>
          <w:sz w:val="22"/>
          <w:szCs w:val="22"/>
          <w:lang w:eastAsia="en-US"/>
        </w:rPr>
        <w:t>о</w:t>
      </w:r>
      <w:r w:rsidRPr="008742E9">
        <w:rPr>
          <w:rFonts w:eastAsia="Calibri"/>
          <w:sz w:val="22"/>
          <w:szCs w:val="22"/>
          <w:lang w:eastAsia="en-US"/>
        </w:rPr>
        <w:t>влеченных в патологический процесс.</w:t>
      </w:r>
    </w:p>
    <w:p w:rsidR="008742E9" w:rsidRPr="008742E9" w:rsidRDefault="008742E9" w:rsidP="00C342C9">
      <w:pPr>
        <w:ind w:firstLine="426"/>
        <w:jc w:val="both"/>
        <w:rPr>
          <w:rFonts w:eastAsia="Calibri"/>
          <w:b/>
          <w:sz w:val="22"/>
          <w:szCs w:val="22"/>
          <w:lang w:eastAsia="en-US"/>
        </w:rPr>
      </w:pPr>
      <w:r w:rsidRPr="008742E9">
        <w:rPr>
          <w:rFonts w:eastAsia="Calibri"/>
          <w:sz w:val="22"/>
          <w:szCs w:val="22"/>
          <w:lang w:eastAsia="en-US"/>
        </w:rPr>
        <w:t>Диагностику проводили</w:t>
      </w:r>
      <w:r w:rsidRPr="008742E9">
        <w:rPr>
          <w:rFonts w:eastAsia="Calibri"/>
          <w:b/>
          <w:sz w:val="22"/>
          <w:szCs w:val="22"/>
          <w:lang w:eastAsia="en-US"/>
        </w:rPr>
        <w:t xml:space="preserve">  </w:t>
      </w:r>
      <w:r w:rsidRPr="008742E9">
        <w:rPr>
          <w:rFonts w:eastAsia="Calibri"/>
          <w:sz w:val="22"/>
          <w:szCs w:val="22"/>
          <w:lang w:eastAsia="en-US"/>
        </w:rPr>
        <w:t>комплексно, на основании эпизоот</w:t>
      </w:r>
      <w:r w:rsidRPr="008742E9">
        <w:rPr>
          <w:rFonts w:eastAsia="Calibri"/>
          <w:sz w:val="22"/>
          <w:szCs w:val="22"/>
          <w:lang w:eastAsia="en-US"/>
        </w:rPr>
        <w:t>о</w:t>
      </w:r>
      <w:r w:rsidRPr="008742E9">
        <w:rPr>
          <w:rFonts w:eastAsia="Calibri"/>
          <w:sz w:val="22"/>
          <w:szCs w:val="22"/>
          <w:lang w:eastAsia="en-US"/>
        </w:rPr>
        <w:t>логических данных, клинических проявлений, лабораторных (ИФА, РНГА) и офтальмологических исследований, а также посмертно.</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Дифференцировали от вирусного иммунодефицита и вирусного лейкоза, токсоплазмоза, лимфоцитарного холангита, холангогеп</w:t>
      </w:r>
      <w:r w:rsidRPr="008742E9">
        <w:rPr>
          <w:rFonts w:eastAsia="Calibri"/>
          <w:sz w:val="22"/>
          <w:szCs w:val="22"/>
          <w:lang w:eastAsia="en-US"/>
        </w:rPr>
        <w:t>а</w:t>
      </w:r>
      <w:r w:rsidRPr="008742E9">
        <w:rPr>
          <w:rFonts w:eastAsia="Calibri"/>
          <w:sz w:val="22"/>
          <w:szCs w:val="22"/>
          <w:lang w:eastAsia="en-US"/>
        </w:rPr>
        <w:t>тита, гнойных серозитов (плеврит, перитонит), сердечной недост</w:t>
      </w:r>
      <w:r w:rsidRPr="008742E9">
        <w:rPr>
          <w:rFonts w:eastAsia="Calibri"/>
          <w:sz w:val="22"/>
          <w:szCs w:val="22"/>
          <w:lang w:eastAsia="en-US"/>
        </w:rPr>
        <w:t>а</w:t>
      </w:r>
      <w:r w:rsidRPr="008742E9">
        <w:rPr>
          <w:rFonts w:eastAsia="Calibri"/>
          <w:sz w:val="22"/>
          <w:szCs w:val="22"/>
          <w:lang w:eastAsia="en-US"/>
        </w:rPr>
        <w:t>точности, опухолевых процессов.</w:t>
      </w:r>
    </w:p>
    <w:p w:rsidR="008742E9" w:rsidRPr="008742E9" w:rsidRDefault="008742E9" w:rsidP="00C342C9">
      <w:pPr>
        <w:ind w:firstLine="426"/>
        <w:jc w:val="both"/>
        <w:rPr>
          <w:rFonts w:eastAsia="Calibri"/>
          <w:b/>
          <w:sz w:val="22"/>
          <w:szCs w:val="22"/>
          <w:lang w:eastAsia="en-US"/>
        </w:rPr>
      </w:pPr>
      <w:r w:rsidRPr="008742E9">
        <w:rPr>
          <w:rFonts w:eastAsia="Calibri"/>
          <w:sz w:val="22"/>
          <w:szCs w:val="22"/>
          <w:lang w:eastAsia="en-US"/>
        </w:rPr>
        <w:t>При патологоанатомическом вскрытии</w:t>
      </w:r>
      <w:r w:rsidRPr="008742E9">
        <w:rPr>
          <w:rFonts w:eastAsia="Calibri"/>
          <w:b/>
          <w:sz w:val="22"/>
          <w:szCs w:val="22"/>
          <w:lang w:eastAsia="en-US"/>
        </w:rPr>
        <w:t xml:space="preserve"> </w:t>
      </w:r>
      <w:r w:rsidRPr="008742E9">
        <w:rPr>
          <w:rFonts w:eastAsia="Calibri"/>
          <w:sz w:val="22"/>
          <w:szCs w:val="22"/>
          <w:lang w:eastAsia="en-US"/>
        </w:rPr>
        <w:t>наблюдали пиогран</w:t>
      </w:r>
      <w:r w:rsidRPr="008742E9">
        <w:rPr>
          <w:rFonts w:eastAsia="Calibri"/>
          <w:sz w:val="22"/>
          <w:szCs w:val="22"/>
          <w:lang w:eastAsia="en-US"/>
        </w:rPr>
        <w:t>у</w:t>
      </w:r>
      <w:r w:rsidRPr="008742E9">
        <w:rPr>
          <w:rFonts w:eastAsia="Calibri"/>
          <w:sz w:val="22"/>
          <w:szCs w:val="22"/>
          <w:lang w:eastAsia="en-US"/>
        </w:rPr>
        <w:t>лематозный васкулит; серозно-геморрагический перитонит, серо</w:t>
      </w:r>
      <w:r w:rsidRPr="008742E9">
        <w:rPr>
          <w:rFonts w:eastAsia="Calibri"/>
          <w:sz w:val="22"/>
          <w:szCs w:val="22"/>
          <w:lang w:eastAsia="en-US"/>
        </w:rPr>
        <w:t>з</w:t>
      </w:r>
      <w:r w:rsidRPr="008742E9">
        <w:rPr>
          <w:rFonts w:eastAsia="Calibri"/>
          <w:sz w:val="22"/>
          <w:szCs w:val="22"/>
          <w:lang w:eastAsia="en-US"/>
        </w:rPr>
        <w:t>но-геморрагический отек подкожной клетчатки, острая венозная гиперемия и отек легких, белковая дистрофия миокарда, дилатация правой половины сердца, гиперемия коронарной артерии, венозная гиперемия печени, милиарные некрозы, переполнение желчного пузыря, хронический катаральный гастроэнтероколит, серозный лимфаденит желудочных, брыжеечных и портальных лимфоузлов, атрофия селезенки, хронический фибринозный уроцистит, гемат</w:t>
      </w:r>
      <w:r w:rsidRPr="008742E9">
        <w:rPr>
          <w:rFonts w:eastAsia="Calibri"/>
          <w:sz w:val="22"/>
          <w:szCs w:val="22"/>
          <w:lang w:eastAsia="en-US"/>
        </w:rPr>
        <w:t>у</w:t>
      </w:r>
      <w:r w:rsidRPr="008742E9">
        <w:rPr>
          <w:rFonts w:eastAsia="Calibri"/>
          <w:sz w:val="22"/>
          <w:szCs w:val="22"/>
          <w:lang w:eastAsia="en-US"/>
        </w:rPr>
        <w:t>рия.</w:t>
      </w:r>
    </w:p>
    <w:p w:rsidR="008742E9" w:rsidRPr="008742E9" w:rsidRDefault="008742E9" w:rsidP="00C342C9">
      <w:pPr>
        <w:ind w:firstLine="426"/>
        <w:jc w:val="both"/>
        <w:rPr>
          <w:rFonts w:eastAsia="Calibri"/>
          <w:b/>
          <w:sz w:val="22"/>
          <w:szCs w:val="22"/>
          <w:lang w:eastAsia="en-US"/>
        </w:rPr>
      </w:pPr>
      <w:r w:rsidRPr="008742E9">
        <w:rPr>
          <w:rFonts w:eastAsia="Calibri"/>
          <w:sz w:val="22"/>
          <w:szCs w:val="22"/>
          <w:lang w:eastAsia="en-US"/>
        </w:rPr>
        <w:t>Лечение проводили</w:t>
      </w:r>
      <w:r w:rsidRPr="008742E9">
        <w:rPr>
          <w:rFonts w:eastAsia="Calibri"/>
          <w:b/>
          <w:sz w:val="22"/>
          <w:szCs w:val="22"/>
          <w:lang w:eastAsia="en-US"/>
        </w:rPr>
        <w:t xml:space="preserve"> </w:t>
      </w:r>
      <w:r w:rsidRPr="008742E9">
        <w:rPr>
          <w:rFonts w:eastAsia="Calibri"/>
          <w:sz w:val="22"/>
          <w:szCs w:val="22"/>
          <w:lang w:eastAsia="en-US"/>
        </w:rPr>
        <w:t>симптоматическое: удаление экссудата, а</w:t>
      </w:r>
      <w:r w:rsidRPr="008742E9">
        <w:rPr>
          <w:rFonts w:eastAsia="Calibri"/>
          <w:sz w:val="22"/>
          <w:szCs w:val="22"/>
          <w:lang w:eastAsia="en-US"/>
        </w:rPr>
        <w:t>н</w:t>
      </w:r>
      <w:r w:rsidRPr="008742E9">
        <w:rPr>
          <w:rFonts w:eastAsia="Calibri"/>
          <w:sz w:val="22"/>
          <w:szCs w:val="22"/>
          <w:lang w:eastAsia="en-US"/>
        </w:rPr>
        <w:t>тибактериальную терапию, используют мочегонные средства, гл</w:t>
      </w:r>
      <w:r w:rsidRPr="008742E9">
        <w:rPr>
          <w:rFonts w:eastAsia="Calibri"/>
          <w:sz w:val="22"/>
          <w:szCs w:val="22"/>
          <w:lang w:eastAsia="en-US"/>
        </w:rPr>
        <w:t>ю</w:t>
      </w:r>
      <w:r w:rsidRPr="008742E9">
        <w:rPr>
          <w:rFonts w:eastAsia="Calibri"/>
          <w:sz w:val="22"/>
          <w:szCs w:val="22"/>
          <w:lang w:eastAsia="en-US"/>
        </w:rPr>
        <w:t>кокортикоиды, антигистаминные препараты, витамины антиокс</w:t>
      </w:r>
      <w:r w:rsidRPr="008742E9">
        <w:rPr>
          <w:rFonts w:eastAsia="Calibri"/>
          <w:sz w:val="22"/>
          <w:szCs w:val="22"/>
          <w:lang w:eastAsia="en-US"/>
        </w:rPr>
        <w:t>и</w:t>
      </w:r>
      <w:r w:rsidRPr="008742E9">
        <w:rPr>
          <w:rFonts w:eastAsia="Calibri"/>
          <w:sz w:val="22"/>
          <w:szCs w:val="22"/>
          <w:lang w:eastAsia="en-US"/>
        </w:rPr>
        <w:t>дантной группы (АСЕ) и группы В, заменители крови, кровоост</w:t>
      </w:r>
      <w:r w:rsidRPr="008742E9">
        <w:rPr>
          <w:rFonts w:eastAsia="Calibri"/>
          <w:sz w:val="22"/>
          <w:szCs w:val="22"/>
          <w:lang w:eastAsia="en-US"/>
        </w:rPr>
        <w:t>а</w:t>
      </w:r>
      <w:r w:rsidRPr="008742E9">
        <w:rPr>
          <w:rFonts w:eastAsia="Calibri"/>
          <w:sz w:val="22"/>
          <w:szCs w:val="22"/>
          <w:lang w:eastAsia="en-US"/>
        </w:rPr>
        <w:t>навливающие средства, инфузионные растворы,</w:t>
      </w:r>
      <w:r w:rsidRPr="008742E9">
        <w:rPr>
          <w:rFonts w:ascii="Calibri" w:eastAsia="Calibri" w:hAnsi="Calibri"/>
          <w:sz w:val="22"/>
          <w:szCs w:val="22"/>
          <w:lang w:eastAsia="en-US"/>
        </w:rPr>
        <w:t xml:space="preserve"> </w:t>
      </w:r>
      <w:r w:rsidRPr="008742E9">
        <w:rPr>
          <w:rFonts w:eastAsia="Calibri"/>
          <w:sz w:val="22"/>
          <w:szCs w:val="22"/>
          <w:lang w:eastAsia="en-US"/>
        </w:rPr>
        <w:t>обезболивающие, анальгетические и спазмолитические препараты. Показано прим</w:t>
      </w:r>
      <w:r w:rsidRPr="008742E9">
        <w:rPr>
          <w:rFonts w:eastAsia="Calibri"/>
          <w:sz w:val="22"/>
          <w:szCs w:val="22"/>
          <w:lang w:eastAsia="en-US"/>
        </w:rPr>
        <w:t>е</w:t>
      </w:r>
      <w:r w:rsidRPr="008742E9">
        <w:rPr>
          <w:rFonts w:eastAsia="Calibri"/>
          <w:sz w:val="22"/>
          <w:szCs w:val="22"/>
          <w:lang w:eastAsia="en-US"/>
        </w:rPr>
        <w:t>нение стимуляторов клеточного иммунитета и не рекомендованы стимуляторы гуморального иммунитета.</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Для профилактики ИПК</w:t>
      </w:r>
      <w:r w:rsidRPr="008742E9">
        <w:rPr>
          <w:rFonts w:eastAsia="Calibri"/>
          <w:b/>
          <w:sz w:val="22"/>
          <w:szCs w:val="22"/>
          <w:lang w:eastAsia="en-US"/>
        </w:rPr>
        <w:t xml:space="preserve"> </w:t>
      </w:r>
      <w:r w:rsidRPr="008742E9">
        <w:rPr>
          <w:rFonts w:eastAsia="Calibri"/>
          <w:sz w:val="22"/>
          <w:szCs w:val="22"/>
          <w:lang w:eastAsia="en-US"/>
        </w:rPr>
        <w:t>рекомендуем проводить серологич</w:t>
      </w:r>
      <w:r w:rsidRPr="008742E9">
        <w:rPr>
          <w:rFonts w:eastAsia="Calibri"/>
          <w:sz w:val="22"/>
          <w:szCs w:val="22"/>
          <w:lang w:eastAsia="en-US"/>
        </w:rPr>
        <w:t>е</w:t>
      </w:r>
      <w:r w:rsidRPr="008742E9">
        <w:rPr>
          <w:rFonts w:eastAsia="Calibri"/>
          <w:sz w:val="22"/>
          <w:szCs w:val="22"/>
          <w:lang w:eastAsia="en-US"/>
        </w:rPr>
        <w:t>ские исследования кошек методом ИФА.</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 xml:space="preserve">Эффективной вакцинации против ИПК пока не разработано. Надежным методом защиты от заболевания в питомниках кошек является соблюдение санитарно-гигиенических мероприятий, самое </w:t>
      </w:r>
      <w:r w:rsidRPr="008742E9">
        <w:rPr>
          <w:rFonts w:eastAsia="Calibri"/>
          <w:sz w:val="22"/>
          <w:szCs w:val="22"/>
          <w:lang w:eastAsia="en-US"/>
        </w:rPr>
        <w:lastRenderedPageBreak/>
        <w:t>главное – это качественный племенной отбор особей в питомниках: выбраковка или разбавление тех племенных линий, в которых зар</w:t>
      </w:r>
      <w:r w:rsidRPr="008742E9">
        <w:rPr>
          <w:rFonts w:eastAsia="Calibri"/>
          <w:sz w:val="22"/>
          <w:szCs w:val="22"/>
          <w:lang w:eastAsia="en-US"/>
        </w:rPr>
        <w:t>е</w:t>
      </w:r>
      <w:r w:rsidRPr="008742E9">
        <w:rPr>
          <w:rFonts w:eastAsia="Calibri"/>
          <w:sz w:val="22"/>
          <w:szCs w:val="22"/>
          <w:lang w:eastAsia="en-US"/>
        </w:rPr>
        <w:t>гистрированы случаи ИПК, так как зафиксирована четкая линейная передача предрасположенности к развитию ИПК.</w:t>
      </w:r>
    </w:p>
    <w:p w:rsidR="008742E9" w:rsidRPr="008742E9" w:rsidRDefault="008742E9" w:rsidP="00C342C9">
      <w:pPr>
        <w:ind w:firstLine="426"/>
        <w:jc w:val="both"/>
        <w:rPr>
          <w:rFonts w:eastAsia="Calibri"/>
          <w:sz w:val="22"/>
          <w:szCs w:val="22"/>
          <w:lang w:eastAsia="en-US"/>
        </w:rPr>
      </w:pPr>
    </w:p>
    <w:p w:rsidR="008742E9" w:rsidRPr="008742E9" w:rsidRDefault="008742E9" w:rsidP="00C342C9">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eastAsia="en-US"/>
        </w:rPr>
        <w:t xml:space="preserve">1. Чандлер, Э.А. Болезни кошек. Коронавирусная инфекция кошек / Э.А. Чандлер, К.Дж Гаскелл, </w:t>
      </w:r>
      <w:r w:rsidRPr="008742E9">
        <w:rPr>
          <w:rFonts w:eastAsia="Calibri"/>
          <w:sz w:val="22"/>
          <w:szCs w:val="22"/>
          <w:lang w:val="en-US" w:eastAsia="en-US"/>
        </w:rPr>
        <w:t>P</w:t>
      </w:r>
      <w:r w:rsidRPr="008742E9">
        <w:rPr>
          <w:rFonts w:eastAsia="Calibri"/>
          <w:sz w:val="22"/>
          <w:szCs w:val="22"/>
          <w:lang w:eastAsia="en-US"/>
        </w:rPr>
        <w:t>.</w:t>
      </w:r>
      <w:r w:rsidRPr="008742E9">
        <w:rPr>
          <w:rFonts w:eastAsia="Calibri"/>
          <w:sz w:val="22"/>
          <w:szCs w:val="22"/>
          <w:lang w:val="en-US" w:eastAsia="en-US"/>
        </w:rPr>
        <w:t>M</w:t>
      </w:r>
      <w:r w:rsidRPr="008742E9">
        <w:rPr>
          <w:rFonts w:eastAsia="Calibri"/>
          <w:sz w:val="22"/>
          <w:szCs w:val="22"/>
          <w:lang w:eastAsia="en-US"/>
        </w:rPr>
        <w:t>. Гаскелл // М.: Аквариум Принт. – 2011. - с. 480-487.</w:t>
      </w:r>
    </w:p>
    <w:p w:rsidR="008742E9" w:rsidRPr="008742E9" w:rsidRDefault="008742E9" w:rsidP="00C342C9">
      <w:pPr>
        <w:ind w:firstLine="426"/>
        <w:jc w:val="both"/>
        <w:rPr>
          <w:rFonts w:eastAsia="Calibri"/>
          <w:sz w:val="22"/>
          <w:szCs w:val="22"/>
          <w:lang w:val="en-US" w:eastAsia="en-US"/>
        </w:rPr>
      </w:pPr>
      <w:r w:rsidRPr="008742E9">
        <w:rPr>
          <w:rFonts w:eastAsia="Calibri"/>
          <w:sz w:val="22"/>
          <w:szCs w:val="22"/>
          <w:lang w:val="en-US" w:eastAsia="en-US"/>
        </w:rPr>
        <w:t>2. Pedersen, N.C. Virologic and immunologic aspects of feline i</w:t>
      </w:r>
      <w:r w:rsidRPr="008742E9">
        <w:rPr>
          <w:rFonts w:eastAsia="Calibri"/>
          <w:sz w:val="22"/>
          <w:szCs w:val="22"/>
          <w:lang w:val="en-US" w:eastAsia="en-US"/>
        </w:rPr>
        <w:t>n</w:t>
      </w:r>
      <w:r w:rsidRPr="008742E9">
        <w:rPr>
          <w:rFonts w:eastAsia="Calibri"/>
          <w:sz w:val="22"/>
          <w:szCs w:val="22"/>
          <w:lang w:val="en-US" w:eastAsia="en-US"/>
        </w:rPr>
        <w:t>fectious peritonitis virus infection / N.C. Pedersen // In Lai M.M.C., St</w:t>
      </w:r>
      <w:r w:rsidRPr="008742E9">
        <w:rPr>
          <w:rFonts w:eastAsia="Calibri"/>
          <w:sz w:val="22"/>
          <w:szCs w:val="22"/>
          <w:lang w:val="en-US" w:eastAsia="en-US"/>
        </w:rPr>
        <w:t>o</w:t>
      </w:r>
      <w:r w:rsidRPr="008742E9">
        <w:rPr>
          <w:rFonts w:eastAsia="Calibri"/>
          <w:sz w:val="22"/>
          <w:szCs w:val="22"/>
          <w:lang w:val="en-US" w:eastAsia="en-US"/>
        </w:rPr>
        <w:t>himan S.A. (eds) Corona- viruses. Plenum Press.-1987. - P. 529-550.</w:t>
      </w:r>
    </w:p>
    <w:p w:rsidR="008742E9" w:rsidRPr="008742E9" w:rsidRDefault="008742E9" w:rsidP="00C342C9">
      <w:pPr>
        <w:ind w:firstLine="426"/>
        <w:jc w:val="both"/>
        <w:rPr>
          <w:rFonts w:eastAsia="Calibri"/>
          <w:sz w:val="22"/>
          <w:szCs w:val="22"/>
          <w:lang w:eastAsia="en-US"/>
        </w:rPr>
      </w:pPr>
      <w:r w:rsidRPr="008742E9">
        <w:rPr>
          <w:rFonts w:eastAsia="Calibri"/>
          <w:sz w:val="22"/>
          <w:szCs w:val="22"/>
          <w:lang w:val="en-US" w:eastAsia="en-US"/>
        </w:rPr>
        <w:t xml:space="preserve">3. Vennema, H. Early death after feline infectious peritonitis virus challenge due to recombinant vaccinia virus immunization / </w:t>
      </w:r>
      <w:r w:rsidRPr="008742E9">
        <w:rPr>
          <w:rFonts w:eastAsia="Calibri"/>
          <w:sz w:val="22"/>
          <w:szCs w:val="22"/>
          <w:lang w:eastAsia="en-US"/>
        </w:rPr>
        <w:t>Н</w:t>
      </w:r>
      <w:r w:rsidRPr="008742E9">
        <w:rPr>
          <w:rFonts w:eastAsia="Calibri"/>
          <w:sz w:val="22"/>
          <w:szCs w:val="22"/>
          <w:lang w:val="en-US" w:eastAsia="en-US"/>
        </w:rPr>
        <w:t>. Venn</w:t>
      </w:r>
      <w:r w:rsidRPr="008742E9">
        <w:rPr>
          <w:rFonts w:eastAsia="Calibri"/>
          <w:sz w:val="22"/>
          <w:szCs w:val="22"/>
          <w:lang w:val="en-US" w:eastAsia="en-US"/>
        </w:rPr>
        <w:t>e</w:t>
      </w:r>
      <w:r w:rsidRPr="008742E9">
        <w:rPr>
          <w:rFonts w:eastAsia="Calibri"/>
          <w:sz w:val="22"/>
          <w:szCs w:val="22"/>
          <w:lang w:val="en-US" w:eastAsia="en-US"/>
        </w:rPr>
        <w:t xml:space="preserve">ma, R.J. De Groot, D.A. Harbour  [et al] // J. Virol.- </w:t>
      </w:r>
      <w:r w:rsidRPr="001E2F2C">
        <w:rPr>
          <w:rFonts w:eastAsia="Calibri"/>
          <w:sz w:val="22"/>
          <w:szCs w:val="22"/>
          <w:lang w:eastAsia="en-US"/>
        </w:rPr>
        <w:t>1990.-64.-</w:t>
      </w:r>
      <w:r w:rsidRPr="008742E9">
        <w:rPr>
          <w:rFonts w:eastAsia="Calibri"/>
          <w:sz w:val="22"/>
          <w:szCs w:val="22"/>
          <w:lang w:val="en-US" w:eastAsia="en-US"/>
        </w:rPr>
        <w:t>P</w:t>
      </w:r>
      <w:r w:rsidRPr="001E2F2C">
        <w:rPr>
          <w:rFonts w:eastAsia="Calibri"/>
          <w:sz w:val="22"/>
          <w:szCs w:val="22"/>
          <w:lang w:eastAsia="en-US"/>
        </w:rPr>
        <w:t>. 1407-1409.</w:t>
      </w:r>
    </w:p>
    <w:p w:rsidR="008742E9" w:rsidRDefault="008742E9" w:rsidP="00451253">
      <w:pPr>
        <w:pStyle w:val="31"/>
        <w:rPr>
          <w:sz w:val="22"/>
          <w:szCs w:val="22"/>
        </w:rPr>
      </w:pPr>
    </w:p>
    <w:p w:rsidR="008742E9" w:rsidRPr="00BD3141" w:rsidRDefault="008742E9" w:rsidP="00451253">
      <w:pPr>
        <w:pStyle w:val="31"/>
        <w:rPr>
          <w:sz w:val="22"/>
          <w:szCs w:val="22"/>
        </w:rPr>
      </w:pPr>
    </w:p>
    <w:p w:rsidR="00451253" w:rsidRDefault="00451253" w:rsidP="00451253">
      <w:pPr>
        <w:rPr>
          <w:sz w:val="22"/>
          <w:szCs w:val="22"/>
        </w:rPr>
      </w:pPr>
      <w:r>
        <w:rPr>
          <w:sz w:val="22"/>
          <w:szCs w:val="22"/>
        </w:rPr>
        <w:br w:type="page"/>
      </w:r>
    </w:p>
    <w:p w:rsidR="00451253" w:rsidRPr="00024398" w:rsidRDefault="00451253" w:rsidP="00C97D4B">
      <w:pPr>
        <w:jc w:val="center"/>
        <w:rPr>
          <w:rFonts w:eastAsia="Calibri"/>
          <w:b/>
        </w:rPr>
      </w:pPr>
      <w:r w:rsidRPr="00024398">
        <w:rPr>
          <w:rFonts w:eastAsia="Calibri"/>
          <w:b/>
        </w:rPr>
        <w:lastRenderedPageBreak/>
        <w:t xml:space="preserve">Факультет </w:t>
      </w:r>
      <w:r w:rsidR="00C97D4B" w:rsidRPr="00024398">
        <w:rPr>
          <w:rFonts w:eastAsia="Calibri"/>
          <w:b/>
        </w:rPr>
        <w:t>гидромелиорации</w:t>
      </w:r>
    </w:p>
    <w:p w:rsidR="00706640" w:rsidRDefault="00706640" w:rsidP="00706640">
      <w:pPr>
        <w:ind w:right="-142"/>
        <w:rPr>
          <w:sz w:val="22"/>
          <w:szCs w:val="22"/>
        </w:rPr>
      </w:pPr>
    </w:p>
    <w:p w:rsidR="008742E9" w:rsidRDefault="008742E9" w:rsidP="00FE6370">
      <w:pPr>
        <w:spacing w:line="259" w:lineRule="auto"/>
        <w:jc w:val="both"/>
        <w:rPr>
          <w:rFonts w:eastAsiaTheme="minorHAnsi"/>
          <w:sz w:val="22"/>
          <w:szCs w:val="22"/>
          <w:lang w:eastAsia="en-US"/>
        </w:rPr>
      </w:pPr>
      <w:r w:rsidRPr="00FE6370">
        <w:rPr>
          <w:rFonts w:eastAsiaTheme="minorHAnsi"/>
          <w:sz w:val="22"/>
          <w:szCs w:val="22"/>
          <w:lang w:eastAsia="en-US"/>
        </w:rPr>
        <w:t>УДК 628.315:316.422(470.620)</w:t>
      </w:r>
    </w:p>
    <w:p w:rsidR="00FE6370" w:rsidRPr="00FE6370" w:rsidRDefault="00FE6370" w:rsidP="00FE6370">
      <w:pPr>
        <w:spacing w:line="259" w:lineRule="auto"/>
        <w:jc w:val="both"/>
        <w:rPr>
          <w:rFonts w:eastAsiaTheme="minorHAnsi"/>
          <w:sz w:val="22"/>
          <w:szCs w:val="22"/>
          <w:lang w:eastAsia="en-US"/>
        </w:rPr>
      </w:pPr>
    </w:p>
    <w:p w:rsidR="008742E9" w:rsidRPr="008742E9" w:rsidRDefault="008742E9" w:rsidP="008742E9">
      <w:pPr>
        <w:shd w:val="clear" w:color="auto" w:fill="FFFFFF"/>
        <w:spacing w:before="100" w:beforeAutospacing="1"/>
        <w:ind w:firstLine="426"/>
        <w:contextualSpacing/>
        <w:jc w:val="center"/>
        <w:textAlignment w:val="baseline"/>
        <w:rPr>
          <w:b/>
          <w:sz w:val="24"/>
          <w:szCs w:val="24"/>
        </w:rPr>
      </w:pPr>
      <w:r w:rsidRPr="008742E9">
        <w:rPr>
          <w:b/>
          <w:sz w:val="24"/>
          <w:szCs w:val="24"/>
        </w:rPr>
        <w:t xml:space="preserve">Особенности прокладки сетей водоснабжения </w:t>
      </w:r>
    </w:p>
    <w:p w:rsidR="008742E9" w:rsidRPr="001755C3" w:rsidRDefault="008742E9" w:rsidP="008742E9">
      <w:pPr>
        <w:shd w:val="clear" w:color="auto" w:fill="FFFFFF"/>
        <w:spacing w:before="100" w:beforeAutospacing="1"/>
        <w:ind w:firstLine="426"/>
        <w:contextualSpacing/>
        <w:jc w:val="center"/>
        <w:textAlignment w:val="baseline"/>
        <w:rPr>
          <w:b/>
          <w:sz w:val="24"/>
          <w:szCs w:val="24"/>
        </w:rPr>
      </w:pPr>
      <w:r w:rsidRPr="008742E9">
        <w:rPr>
          <w:b/>
          <w:sz w:val="24"/>
          <w:szCs w:val="24"/>
        </w:rPr>
        <w:t>на</w:t>
      </w:r>
      <w:r w:rsidRPr="001755C3">
        <w:rPr>
          <w:b/>
          <w:sz w:val="24"/>
          <w:szCs w:val="24"/>
        </w:rPr>
        <w:t xml:space="preserve"> </w:t>
      </w:r>
      <w:r w:rsidRPr="008742E9">
        <w:rPr>
          <w:b/>
          <w:sz w:val="24"/>
          <w:szCs w:val="24"/>
        </w:rPr>
        <w:t>крайнем</w:t>
      </w:r>
      <w:r w:rsidRPr="001755C3">
        <w:rPr>
          <w:b/>
          <w:sz w:val="24"/>
          <w:szCs w:val="24"/>
        </w:rPr>
        <w:t xml:space="preserve"> </w:t>
      </w:r>
      <w:r w:rsidRPr="008742E9">
        <w:rPr>
          <w:b/>
          <w:sz w:val="24"/>
          <w:szCs w:val="24"/>
        </w:rPr>
        <w:t>севере</w:t>
      </w:r>
      <w:r w:rsidRPr="001755C3">
        <w:rPr>
          <w:b/>
          <w:sz w:val="24"/>
          <w:szCs w:val="24"/>
        </w:rPr>
        <w:t xml:space="preserve"> </w:t>
      </w:r>
      <w:r w:rsidRPr="008742E9">
        <w:rPr>
          <w:b/>
          <w:sz w:val="24"/>
          <w:szCs w:val="24"/>
        </w:rPr>
        <w:t>России</w:t>
      </w:r>
    </w:p>
    <w:p w:rsidR="008742E9" w:rsidRPr="008742E9" w:rsidRDefault="008742E9" w:rsidP="008742E9">
      <w:pPr>
        <w:shd w:val="clear" w:color="auto" w:fill="FFFFFF"/>
        <w:spacing w:before="100" w:beforeAutospacing="1"/>
        <w:ind w:firstLine="426"/>
        <w:contextualSpacing/>
        <w:jc w:val="center"/>
        <w:textAlignment w:val="baseline"/>
        <w:rPr>
          <w:b/>
          <w:sz w:val="24"/>
          <w:szCs w:val="24"/>
          <w:lang w:val="en-US"/>
        </w:rPr>
      </w:pPr>
      <w:r w:rsidRPr="008742E9">
        <w:rPr>
          <w:b/>
          <w:sz w:val="24"/>
          <w:szCs w:val="24"/>
          <w:lang w:val="en-US"/>
        </w:rPr>
        <w:t xml:space="preserve">Features of water supply network on the far north of </w:t>
      </w:r>
    </w:p>
    <w:p w:rsidR="008742E9" w:rsidRPr="008742E9" w:rsidRDefault="008742E9" w:rsidP="008742E9">
      <w:pPr>
        <w:shd w:val="clear" w:color="auto" w:fill="FFFFFF"/>
        <w:spacing w:before="100" w:beforeAutospacing="1"/>
        <w:ind w:firstLine="426"/>
        <w:contextualSpacing/>
        <w:jc w:val="center"/>
        <w:textAlignment w:val="baseline"/>
        <w:rPr>
          <w:b/>
          <w:sz w:val="24"/>
          <w:szCs w:val="24"/>
        </w:rPr>
      </w:pPr>
      <w:r w:rsidRPr="008742E9">
        <w:rPr>
          <w:b/>
          <w:sz w:val="24"/>
          <w:szCs w:val="24"/>
          <w:lang w:val="en-US"/>
        </w:rPr>
        <w:t>Russia</w:t>
      </w:r>
    </w:p>
    <w:p w:rsidR="008742E9" w:rsidRPr="008742E9" w:rsidRDefault="008742E9" w:rsidP="008742E9">
      <w:pPr>
        <w:shd w:val="clear" w:color="auto" w:fill="FFFFFF"/>
        <w:spacing w:before="100" w:beforeAutospacing="1"/>
        <w:ind w:firstLine="426"/>
        <w:contextualSpacing/>
        <w:jc w:val="center"/>
        <w:textAlignment w:val="baseline"/>
        <w:rPr>
          <w:b/>
          <w:sz w:val="22"/>
          <w:szCs w:val="22"/>
        </w:rPr>
      </w:pP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r w:rsidRPr="008742E9">
        <w:rPr>
          <w:sz w:val="22"/>
          <w:szCs w:val="22"/>
        </w:rPr>
        <w:t>Анастасьева И.</w:t>
      </w:r>
      <w:r w:rsidR="00FE6370">
        <w:rPr>
          <w:sz w:val="22"/>
          <w:szCs w:val="22"/>
        </w:rPr>
        <w:t xml:space="preserve"> </w:t>
      </w:r>
      <w:r w:rsidRPr="008742E9">
        <w:rPr>
          <w:sz w:val="22"/>
          <w:szCs w:val="22"/>
        </w:rPr>
        <w:t>В.,</w:t>
      </w:r>
    </w:p>
    <w:p w:rsidR="00FE6370" w:rsidRDefault="00FE6370" w:rsidP="008742E9">
      <w:pPr>
        <w:shd w:val="clear" w:color="auto" w:fill="FFFFFF"/>
        <w:spacing w:before="100" w:beforeAutospacing="1"/>
        <w:ind w:firstLine="426"/>
        <w:contextualSpacing/>
        <w:jc w:val="right"/>
        <w:textAlignment w:val="baseline"/>
        <w:rPr>
          <w:sz w:val="22"/>
          <w:szCs w:val="22"/>
        </w:rPr>
      </w:pPr>
      <w:r>
        <w:rPr>
          <w:sz w:val="22"/>
          <w:szCs w:val="22"/>
        </w:rPr>
        <w:t>с</w:t>
      </w:r>
      <w:r w:rsidR="008742E9" w:rsidRPr="008742E9">
        <w:rPr>
          <w:sz w:val="22"/>
          <w:szCs w:val="22"/>
        </w:rPr>
        <w:t>тудентка 3-го куурса</w:t>
      </w: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r w:rsidRPr="008742E9">
        <w:rPr>
          <w:sz w:val="22"/>
          <w:szCs w:val="22"/>
        </w:rPr>
        <w:t xml:space="preserve"> факультета гидромелиорации</w:t>
      </w: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r w:rsidRPr="008742E9">
        <w:rPr>
          <w:sz w:val="22"/>
          <w:szCs w:val="22"/>
        </w:rPr>
        <w:t>Орехова В.</w:t>
      </w:r>
      <w:r w:rsidR="00FE6370">
        <w:rPr>
          <w:sz w:val="22"/>
          <w:szCs w:val="22"/>
        </w:rPr>
        <w:t xml:space="preserve"> </w:t>
      </w:r>
      <w:r w:rsidRPr="008742E9">
        <w:rPr>
          <w:sz w:val="22"/>
          <w:szCs w:val="22"/>
        </w:rPr>
        <w:t>И.</w:t>
      </w:r>
      <w:r w:rsidR="00FE6370">
        <w:rPr>
          <w:sz w:val="22"/>
          <w:szCs w:val="22"/>
        </w:rPr>
        <w:t>,</w:t>
      </w:r>
    </w:p>
    <w:p w:rsidR="00FE6370" w:rsidRDefault="00FE6370" w:rsidP="008742E9">
      <w:pPr>
        <w:shd w:val="clear" w:color="auto" w:fill="FFFFFF"/>
        <w:spacing w:before="100" w:beforeAutospacing="1"/>
        <w:ind w:firstLine="426"/>
        <w:contextualSpacing/>
        <w:jc w:val="right"/>
        <w:textAlignment w:val="baseline"/>
        <w:rPr>
          <w:sz w:val="22"/>
          <w:szCs w:val="22"/>
        </w:rPr>
      </w:pPr>
      <w:r>
        <w:rPr>
          <w:sz w:val="22"/>
          <w:szCs w:val="22"/>
        </w:rPr>
        <w:t>с</w:t>
      </w:r>
      <w:r w:rsidR="008742E9" w:rsidRPr="008742E9">
        <w:rPr>
          <w:sz w:val="22"/>
          <w:szCs w:val="22"/>
        </w:rPr>
        <w:t>тарший преподаватель</w:t>
      </w: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r w:rsidRPr="008742E9">
        <w:rPr>
          <w:sz w:val="22"/>
          <w:szCs w:val="22"/>
        </w:rPr>
        <w:t xml:space="preserve"> кафедры комплексных систем водоснабжения</w:t>
      </w: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r w:rsidRPr="008742E9">
        <w:rPr>
          <w:sz w:val="22"/>
          <w:szCs w:val="22"/>
        </w:rPr>
        <w:t>Кубанский государственный аграрный</w:t>
      </w:r>
    </w:p>
    <w:p w:rsidR="008742E9" w:rsidRPr="008742E9" w:rsidRDefault="00FE6370" w:rsidP="008742E9">
      <w:pPr>
        <w:shd w:val="clear" w:color="auto" w:fill="FFFFFF"/>
        <w:spacing w:before="100" w:beforeAutospacing="1"/>
        <w:ind w:firstLine="426"/>
        <w:contextualSpacing/>
        <w:jc w:val="right"/>
        <w:textAlignment w:val="baseline"/>
        <w:rPr>
          <w:sz w:val="22"/>
          <w:szCs w:val="22"/>
        </w:rPr>
      </w:pPr>
      <w:r>
        <w:rPr>
          <w:sz w:val="22"/>
          <w:szCs w:val="22"/>
        </w:rPr>
        <w:t>у</w:t>
      </w:r>
      <w:r w:rsidR="008742E9" w:rsidRPr="008742E9">
        <w:rPr>
          <w:sz w:val="22"/>
          <w:szCs w:val="22"/>
        </w:rPr>
        <w:t>ниверситет имени И.</w:t>
      </w:r>
      <w:r>
        <w:rPr>
          <w:sz w:val="22"/>
          <w:szCs w:val="22"/>
        </w:rPr>
        <w:t xml:space="preserve"> </w:t>
      </w:r>
      <w:r w:rsidR="008742E9" w:rsidRPr="008742E9">
        <w:rPr>
          <w:sz w:val="22"/>
          <w:szCs w:val="22"/>
        </w:rPr>
        <w:t>Т. Трубилина</w:t>
      </w:r>
    </w:p>
    <w:p w:rsidR="008742E9" w:rsidRPr="008742E9" w:rsidRDefault="008742E9" w:rsidP="008742E9">
      <w:pPr>
        <w:shd w:val="clear" w:color="auto" w:fill="FFFFFF"/>
        <w:spacing w:before="100" w:beforeAutospacing="1"/>
        <w:ind w:firstLine="426"/>
        <w:contextualSpacing/>
        <w:jc w:val="right"/>
        <w:textAlignment w:val="baseline"/>
        <w:rPr>
          <w:sz w:val="22"/>
          <w:szCs w:val="22"/>
        </w:rPr>
      </w:pPr>
    </w:p>
    <w:p w:rsidR="008742E9" w:rsidRPr="008742E9" w:rsidRDefault="008742E9" w:rsidP="008742E9">
      <w:pPr>
        <w:shd w:val="clear" w:color="auto" w:fill="FFFFFF"/>
        <w:spacing w:before="100" w:beforeAutospacing="1"/>
        <w:ind w:firstLine="426"/>
        <w:contextualSpacing/>
        <w:jc w:val="both"/>
        <w:textAlignment w:val="baseline"/>
        <w:rPr>
          <w:sz w:val="22"/>
          <w:szCs w:val="22"/>
        </w:rPr>
      </w:pPr>
      <w:r w:rsidRPr="008742E9">
        <w:rPr>
          <w:sz w:val="22"/>
          <w:szCs w:val="22"/>
        </w:rPr>
        <w:t>АННОТАЦИЯ: В статье рассмотрены условия и принципы проектирования прокладки сетей водоснабжения в условиях Кра</w:t>
      </w:r>
      <w:r w:rsidRPr="008742E9">
        <w:rPr>
          <w:sz w:val="22"/>
          <w:szCs w:val="22"/>
        </w:rPr>
        <w:t>й</w:t>
      </w:r>
      <w:r w:rsidRPr="008742E9">
        <w:rPr>
          <w:sz w:val="22"/>
          <w:szCs w:val="22"/>
        </w:rPr>
        <w:t>него Севера России, основные способы прокладки и их преимущ</w:t>
      </w:r>
      <w:r w:rsidRPr="008742E9">
        <w:rPr>
          <w:sz w:val="22"/>
          <w:szCs w:val="22"/>
        </w:rPr>
        <w:t>е</w:t>
      </w:r>
      <w:r w:rsidRPr="008742E9">
        <w:rPr>
          <w:sz w:val="22"/>
          <w:szCs w:val="22"/>
        </w:rPr>
        <w:t>ства и недостатки.</w:t>
      </w:r>
    </w:p>
    <w:p w:rsidR="008742E9" w:rsidRPr="008742E9" w:rsidRDefault="008742E9" w:rsidP="008742E9">
      <w:pPr>
        <w:shd w:val="clear" w:color="auto" w:fill="FFFFFF"/>
        <w:spacing w:before="100" w:beforeAutospacing="1"/>
        <w:ind w:firstLine="426"/>
        <w:contextualSpacing/>
        <w:jc w:val="both"/>
        <w:textAlignment w:val="baseline"/>
        <w:rPr>
          <w:sz w:val="22"/>
          <w:szCs w:val="22"/>
          <w:lang w:val="en-US"/>
        </w:rPr>
      </w:pPr>
      <w:r w:rsidRPr="008742E9">
        <w:rPr>
          <w:sz w:val="22"/>
          <w:szCs w:val="22"/>
          <w:lang w:val="en-US"/>
        </w:rPr>
        <w:t>ANNOTATION: In present article examined conditions and prin-ciple of water supply network designing in conditions of the far north of Russia, main methods of laying and advantages and dis-advantages.</w:t>
      </w:r>
    </w:p>
    <w:p w:rsidR="008742E9" w:rsidRPr="008742E9" w:rsidRDefault="008742E9" w:rsidP="008742E9">
      <w:pPr>
        <w:shd w:val="clear" w:color="auto" w:fill="FFFFFF"/>
        <w:spacing w:before="100" w:beforeAutospacing="1"/>
        <w:ind w:firstLine="426"/>
        <w:contextualSpacing/>
        <w:jc w:val="both"/>
        <w:textAlignment w:val="baseline"/>
        <w:rPr>
          <w:sz w:val="22"/>
          <w:szCs w:val="22"/>
        </w:rPr>
      </w:pPr>
      <w:r w:rsidRPr="008742E9">
        <w:rPr>
          <w:sz w:val="22"/>
          <w:szCs w:val="22"/>
        </w:rPr>
        <w:t>КЛЮЧЕВЫЕ СЛОВА: Вечномерзлые грунты, мерзлотно-геологические исследования, наземная и надземная проклад-ки, просадка грун¬тов.</w:t>
      </w:r>
    </w:p>
    <w:p w:rsidR="008742E9" w:rsidRPr="008742E9" w:rsidRDefault="008742E9" w:rsidP="008742E9">
      <w:pPr>
        <w:shd w:val="clear" w:color="auto" w:fill="FFFFFF"/>
        <w:ind w:firstLine="426"/>
        <w:contextualSpacing/>
        <w:jc w:val="both"/>
        <w:textAlignment w:val="baseline"/>
        <w:rPr>
          <w:sz w:val="22"/>
          <w:szCs w:val="22"/>
          <w:lang w:val="en-US"/>
        </w:rPr>
      </w:pPr>
      <w:r w:rsidRPr="008742E9">
        <w:rPr>
          <w:sz w:val="22"/>
          <w:szCs w:val="22"/>
          <w:lang w:val="en-US"/>
        </w:rPr>
        <w:t>KEYWORDS: permafrost soils, frost-geological researches, land and upper land laying, subsidence.</w:t>
      </w:r>
    </w:p>
    <w:p w:rsidR="008742E9" w:rsidRPr="008742E9" w:rsidRDefault="008742E9" w:rsidP="008742E9">
      <w:pPr>
        <w:shd w:val="clear" w:color="auto" w:fill="FFFFFF"/>
        <w:ind w:firstLine="426"/>
        <w:contextualSpacing/>
        <w:jc w:val="both"/>
        <w:textAlignment w:val="baseline"/>
        <w:rPr>
          <w:sz w:val="22"/>
          <w:szCs w:val="22"/>
          <w:lang w:val="en-US"/>
        </w:rPr>
      </w:pP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Важнейший фактор, определяющий специфику водоснабжения на Севере, является мерзлотно-климатический. Его учет обязателен при проектировании водопроводных сооружений, являющийся о</w:t>
      </w:r>
      <w:r w:rsidRPr="008742E9">
        <w:rPr>
          <w:sz w:val="22"/>
          <w:szCs w:val="22"/>
        </w:rPr>
        <w:t>с</w:t>
      </w:r>
      <w:r w:rsidRPr="008742E9">
        <w:rPr>
          <w:sz w:val="22"/>
          <w:szCs w:val="22"/>
        </w:rPr>
        <w:t>новой постоянной модернизации существующих и реализации н</w:t>
      </w:r>
      <w:r w:rsidRPr="008742E9">
        <w:rPr>
          <w:sz w:val="22"/>
          <w:szCs w:val="22"/>
        </w:rPr>
        <w:t>о</w:t>
      </w:r>
      <w:r w:rsidRPr="008742E9">
        <w:rPr>
          <w:sz w:val="22"/>
          <w:szCs w:val="22"/>
        </w:rPr>
        <w:t>вых решений, технологий и конструкций.[1]</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lastRenderedPageBreak/>
        <w:t>Основой при проектировании водоснабжения в зоне вечной мерзлоты являются следующие принципы:</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 учет и глобальная оценка факторов, обуславливающий ос</w:t>
      </w:r>
      <w:r w:rsidRPr="008742E9">
        <w:rPr>
          <w:sz w:val="22"/>
          <w:szCs w:val="22"/>
        </w:rPr>
        <w:t>о</w:t>
      </w:r>
      <w:r w:rsidRPr="008742E9">
        <w:rPr>
          <w:sz w:val="22"/>
          <w:szCs w:val="22"/>
        </w:rPr>
        <w:t>бые требования к монтажу и эксплуатации систем водоснабжения на Крайнем Севере;</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 мероприятия по охране от воздействия холода всей системы водоснабжения: от источника до потребителя;</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—снижение стоимости строительства водопроводных соор</w:t>
      </w:r>
      <w:r w:rsidRPr="008742E9">
        <w:rPr>
          <w:sz w:val="22"/>
          <w:szCs w:val="22"/>
        </w:rPr>
        <w:t>у</w:t>
      </w:r>
      <w:r w:rsidRPr="008742E9">
        <w:rPr>
          <w:sz w:val="22"/>
          <w:szCs w:val="22"/>
        </w:rPr>
        <w:t>жений и реализация резервов удешевления на их эксплуатацию;</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 разработка и внедрение новейших эффективных констру</w:t>
      </w:r>
      <w:r w:rsidRPr="008742E9">
        <w:rPr>
          <w:sz w:val="22"/>
          <w:szCs w:val="22"/>
        </w:rPr>
        <w:t>к</w:t>
      </w:r>
      <w:r w:rsidRPr="008742E9">
        <w:rPr>
          <w:sz w:val="22"/>
          <w:szCs w:val="22"/>
        </w:rPr>
        <w:t>тивных идей и технологий;</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 необходимость использования технологий с учетом миров</w:t>
      </w:r>
      <w:r w:rsidRPr="008742E9">
        <w:rPr>
          <w:sz w:val="22"/>
          <w:szCs w:val="22"/>
        </w:rPr>
        <w:t>о</w:t>
      </w:r>
      <w:r w:rsidRPr="008742E9">
        <w:rPr>
          <w:sz w:val="22"/>
          <w:szCs w:val="22"/>
        </w:rPr>
        <w:t>го опыта строительства;</w:t>
      </w:r>
    </w:p>
    <w:p w:rsidR="008742E9" w:rsidRPr="008742E9" w:rsidRDefault="008742E9" w:rsidP="008742E9">
      <w:pPr>
        <w:shd w:val="clear" w:color="auto" w:fill="FFFFFF"/>
        <w:ind w:firstLine="426"/>
        <w:contextualSpacing/>
        <w:jc w:val="both"/>
        <w:textAlignment w:val="baseline"/>
        <w:rPr>
          <w:sz w:val="22"/>
          <w:szCs w:val="22"/>
        </w:rPr>
      </w:pPr>
      <w:r w:rsidRPr="008742E9">
        <w:rPr>
          <w:sz w:val="22"/>
          <w:szCs w:val="22"/>
        </w:rPr>
        <w:t>Проектирование водопроводных сетей на Севере обязательны к учету дороговизна и дефицит электроэнергии, нехватка кадров, х</w:t>
      </w:r>
      <w:r w:rsidRPr="008742E9">
        <w:rPr>
          <w:sz w:val="22"/>
          <w:szCs w:val="22"/>
        </w:rPr>
        <w:t>а</w:t>
      </w:r>
      <w:r w:rsidRPr="008742E9">
        <w:rPr>
          <w:sz w:val="22"/>
          <w:szCs w:val="22"/>
        </w:rPr>
        <w:t>рактер местного производства, застройка поселений, особенности водоотведения, режим водоисточников, уклад жизни населения и др.[2]</w:t>
      </w:r>
    </w:p>
    <w:p w:rsidR="008742E9" w:rsidRPr="008742E9" w:rsidRDefault="008742E9" w:rsidP="008742E9">
      <w:pPr>
        <w:ind w:firstLine="426"/>
        <w:contextualSpacing/>
        <w:jc w:val="both"/>
        <w:rPr>
          <w:rFonts w:eastAsiaTheme="minorHAnsi"/>
          <w:sz w:val="22"/>
          <w:szCs w:val="22"/>
          <w:lang w:eastAsia="en-US"/>
        </w:rPr>
      </w:pPr>
      <w:r w:rsidRPr="008742E9">
        <w:rPr>
          <w:rFonts w:eastAsiaTheme="minorHAnsi"/>
          <w:sz w:val="22"/>
          <w:szCs w:val="22"/>
          <w:lang w:eastAsia="en-US"/>
        </w:rPr>
        <w:t>Рассматривая способы прокладки трубопровода в условиях вечной мерзлоты безусловно нужно учитывать особенности местн</w:t>
      </w:r>
      <w:r w:rsidRPr="008742E9">
        <w:rPr>
          <w:rFonts w:eastAsiaTheme="minorHAnsi"/>
          <w:sz w:val="22"/>
          <w:szCs w:val="22"/>
          <w:lang w:eastAsia="en-US"/>
        </w:rPr>
        <w:t>о</w:t>
      </w:r>
      <w:r w:rsidRPr="008742E9">
        <w:rPr>
          <w:rFonts w:eastAsiaTheme="minorHAnsi"/>
          <w:sz w:val="22"/>
          <w:szCs w:val="22"/>
          <w:lang w:eastAsia="en-US"/>
        </w:rPr>
        <w:t>го рельефа и климата. Самыми распространенными способами пр</w:t>
      </w:r>
      <w:r w:rsidRPr="008742E9">
        <w:rPr>
          <w:rFonts w:eastAsiaTheme="minorHAnsi"/>
          <w:sz w:val="22"/>
          <w:szCs w:val="22"/>
          <w:lang w:eastAsia="en-US"/>
        </w:rPr>
        <w:t>о</w:t>
      </w:r>
      <w:r w:rsidRPr="008742E9">
        <w:rPr>
          <w:rFonts w:eastAsiaTheme="minorHAnsi"/>
          <w:sz w:val="22"/>
          <w:szCs w:val="22"/>
          <w:lang w:eastAsia="en-US"/>
        </w:rPr>
        <w:t>кладки являются подземный, наземный и надземный. Рассмотрим каждый в отдельности.</w:t>
      </w:r>
    </w:p>
    <w:p w:rsidR="008742E9" w:rsidRPr="008742E9" w:rsidRDefault="008742E9" w:rsidP="008742E9">
      <w:pPr>
        <w:ind w:firstLine="426"/>
        <w:contextualSpacing/>
        <w:jc w:val="both"/>
        <w:rPr>
          <w:rFonts w:eastAsiaTheme="minorHAnsi"/>
          <w:sz w:val="22"/>
          <w:szCs w:val="22"/>
          <w:lang w:eastAsia="en-US"/>
        </w:rPr>
      </w:pPr>
      <w:r w:rsidRPr="008742E9">
        <w:rPr>
          <w:rFonts w:eastAsiaTheme="minorHAnsi"/>
          <w:sz w:val="22"/>
          <w:szCs w:val="22"/>
          <w:lang w:eastAsia="en-US"/>
        </w:rPr>
        <w:t>Надземная, как и наземная прокладки являются в наивысшей степени благоприятными для использования в северных районах за счёт отсутствия контакта труб с землёй и минимализации передачи тепла грунтам, благодаря чему сохраняется их естественное состо</w:t>
      </w:r>
      <w:r w:rsidRPr="008742E9">
        <w:rPr>
          <w:rFonts w:eastAsiaTheme="minorHAnsi"/>
          <w:sz w:val="22"/>
          <w:szCs w:val="22"/>
          <w:lang w:eastAsia="en-US"/>
        </w:rPr>
        <w:t>я</w:t>
      </w:r>
      <w:r w:rsidRPr="008742E9">
        <w:rPr>
          <w:rFonts w:eastAsiaTheme="minorHAnsi"/>
          <w:sz w:val="22"/>
          <w:szCs w:val="22"/>
          <w:lang w:eastAsia="en-US"/>
        </w:rPr>
        <w:t>ние. Так же нельзя не отметить удобство монтажа и обслуживания, чем зарекомендовал себя как более экономичный способ, но знач</w:t>
      </w:r>
      <w:r w:rsidRPr="008742E9">
        <w:rPr>
          <w:rFonts w:eastAsiaTheme="minorHAnsi"/>
          <w:sz w:val="22"/>
          <w:szCs w:val="22"/>
          <w:lang w:eastAsia="en-US"/>
        </w:rPr>
        <w:t>и</w:t>
      </w:r>
      <w:r w:rsidRPr="008742E9">
        <w:rPr>
          <w:rFonts w:eastAsiaTheme="minorHAnsi"/>
          <w:sz w:val="22"/>
          <w:szCs w:val="22"/>
          <w:lang w:eastAsia="en-US"/>
        </w:rPr>
        <w:t>тельно портят архитектурный и эстетический виды населенного пункта, поэтому не везде возможен в применении.</w:t>
      </w:r>
    </w:p>
    <w:p w:rsidR="008742E9" w:rsidRPr="008742E9" w:rsidRDefault="008742E9" w:rsidP="008742E9">
      <w:pPr>
        <w:ind w:firstLine="426"/>
        <w:contextualSpacing/>
        <w:jc w:val="both"/>
        <w:rPr>
          <w:rFonts w:eastAsiaTheme="minorHAnsi"/>
          <w:sz w:val="22"/>
          <w:szCs w:val="22"/>
          <w:lang w:eastAsia="en-US"/>
        </w:rPr>
      </w:pPr>
      <w:r w:rsidRPr="008742E9">
        <w:rPr>
          <w:rFonts w:eastAsiaTheme="minorHAnsi"/>
          <w:sz w:val="22"/>
          <w:szCs w:val="22"/>
          <w:lang w:eastAsia="en-US"/>
        </w:rPr>
        <w:t>Несущими конструкциями при надземной прокладке трубопр</w:t>
      </w:r>
      <w:r w:rsidRPr="008742E9">
        <w:rPr>
          <w:rFonts w:eastAsiaTheme="minorHAnsi"/>
          <w:sz w:val="22"/>
          <w:szCs w:val="22"/>
          <w:lang w:eastAsia="en-US"/>
        </w:rPr>
        <w:t>о</w:t>
      </w:r>
      <w:r w:rsidRPr="008742E9">
        <w:rPr>
          <w:rFonts w:eastAsiaTheme="minorHAnsi"/>
          <w:sz w:val="22"/>
          <w:szCs w:val="22"/>
          <w:lang w:eastAsia="en-US"/>
        </w:rPr>
        <w:t>водов служат надземные балочные системы и мосты, либо опоры-эстакады. Балки, обычно, выполняют из железобетонных блоков, а</w:t>
      </w:r>
      <w:r w:rsidRPr="008742E9">
        <w:rPr>
          <w:rFonts w:eastAsiaTheme="minorHAnsi"/>
          <w:color w:val="FF0000"/>
          <w:sz w:val="22"/>
          <w:szCs w:val="22"/>
          <w:lang w:eastAsia="en-US"/>
        </w:rPr>
        <w:t xml:space="preserve"> </w:t>
      </w:r>
      <w:r w:rsidRPr="008742E9">
        <w:rPr>
          <w:rFonts w:eastAsiaTheme="minorHAnsi"/>
          <w:sz w:val="22"/>
          <w:szCs w:val="22"/>
          <w:lang w:eastAsia="en-US"/>
        </w:rPr>
        <w:t>низкие опоры, могут быть выполнены из металла или низких б</w:t>
      </w:r>
      <w:r w:rsidRPr="008742E9">
        <w:rPr>
          <w:rFonts w:eastAsiaTheme="minorHAnsi"/>
          <w:sz w:val="22"/>
          <w:szCs w:val="22"/>
          <w:lang w:eastAsia="en-US"/>
        </w:rPr>
        <w:t>е</w:t>
      </w:r>
      <w:r w:rsidRPr="008742E9">
        <w:rPr>
          <w:rFonts w:eastAsiaTheme="minorHAnsi"/>
          <w:sz w:val="22"/>
          <w:szCs w:val="22"/>
          <w:lang w:eastAsia="en-US"/>
        </w:rPr>
        <w:t>тонных блоков, это является наиболее простым и дешевым спос</w:t>
      </w:r>
      <w:r w:rsidRPr="008742E9">
        <w:rPr>
          <w:rFonts w:eastAsiaTheme="minorHAnsi"/>
          <w:sz w:val="22"/>
          <w:szCs w:val="22"/>
          <w:lang w:eastAsia="en-US"/>
        </w:rPr>
        <w:t>о</w:t>
      </w:r>
      <w:r w:rsidRPr="008742E9">
        <w:rPr>
          <w:rFonts w:eastAsiaTheme="minorHAnsi"/>
          <w:sz w:val="22"/>
          <w:szCs w:val="22"/>
          <w:lang w:eastAsia="en-US"/>
        </w:rPr>
        <w:t xml:space="preserve">бом. </w:t>
      </w:r>
    </w:p>
    <w:p w:rsidR="008742E9" w:rsidRPr="008742E9" w:rsidRDefault="008742E9" w:rsidP="008742E9">
      <w:pPr>
        <w:ind w:firstLine="426"/>
        <w:contextualSpacing/>
        <w:jc w:val="both"/>
        <w:rPr>
          <w:rFonts w:eastAsiaTheme="minorHAnsi"/>
          <w:color w:val="000000"/>
          <w:sz w:val="22"/>
          <w:szCs w:val="22"/>
          <w:shd w:val="clear" w:color="auto" w:fill="FFFFFF"/>
          <w:lang w:eastAsia="en-US"/>
        </w:rPr>
      </w:pPr>
      <w:r w:rsidRPr="008742E9">
        <w:rPr>
          <w:rFonts w:eastAsiaTheme="minorHAnsi"/>
          <w:color w:val="000000"/>
          <w:sz w:val="22"/>
          <w:szCs w:val="22"/>
          <w:shd w:val="clear" w:color="auto" w:fill="FFFFFF"/>
          <w:lang w:eastAsia="en-US"/>
        </w:rPr>
        <w:lastRenderedPageBreak/>
        <w:t>В сложных грунтовых условиях и при сейсмической активн</w:t>
      </w:r>
      <w:r w:rsidRPr="008742E9">
        <w:rPr>
          <w:rFonts w:eastAsiaTheme="minorHAnsi"/>
          <w:color w:val="000000"/>
          <w:sz w:val="22"/>
          <w:szCs w:val="22"/>
          <w:shd w:val="clear" w:color="auto" w:fill="FFFFFF"/>
          <w:lang w:eastAsia="en-US"/>
        </w:rPr>
        <w:t>о</w:t>
      </w:r>
      <w:r w:rsidRPr="008742E9">
        <w:rPr>
          <w:rFonts w:eastAsiaTheme="minorHAnsi"/>
          <w:color w:val="000000"/>
          <w:sz w:val="22"/>
          <w:szCs w:val="22"/>
          <w:shd w:val="clear" w:color="auto" w:fill="FFFFFF"/>
          <w:lang w:eastAsia="en-US"/>
        </w:rPr>
        <w:t>сти вне населенных пунктов следует предусматривать подвесную зигзагообразную прокладку трубопроводов. При надземной пр</w:t>
      </w:r>
      <w:r w:rsidRPr="008742E9">
        <w:rPr>
          <w:rFonts w:eastAsiaTheme="minorHAnsi"/>
          <w:color w:val="000000"/>
          <w:sz w:val="22"/>
          <w:szCs w:val="22"/>
          <w:shd w:val="clear" w:color="auto" w:fill="FFFFFF"/>
          <w:lang w:eastAsia="en-US"/>
        </w:rPr>
        <w:t>о</w:t>
      </w:r>
      <w:r w:rsidRPr="008742E9">
        <w:rPr>
          <w:rFonts w:eastAsiaTheme="minorHAnsi"/>
          <w:color w:val="000000"/>
          <w:sz w:val="22"/>
          <w:szCs w:val="22"/>
          <w:shd w:val="clear" w:color="auto" w:fill="FFFFFF"/>
          <w:lang w:eastAsia="en-US"/>
        </w:rPr>
        <w:t>кладке трубопроводов надлежит принимать кольцевую тепловую изоляцию из нестареющего теплоизоляционного материала с ги</w:t>
      </w:r>
      <w:r w:rsidRPr="008742E9">
        <w:rPr>
          <w:rFonts w:eastAsiaTheme="minorHAnsi"/>
          <w:color w:val="000000"/>
          <w:sz w:val="22"/>
          <w:szCs w:val="22"/>
          <w:shd w:val="clear" w:color="auto" w:fill="FFFFFF"/>
          <w:lang w:eastAsia="en-US"/>
        </w:rPr>
        <w:t>д</w:t>
      </w:r>
      <w:r w:rsidRPr="008742E9">
        <w:rPr>
          <w:rFonts w:eastAsiaTheme="minorHAnsi"/>
          <w:color w:val="000000"/>
          <w:sz w:val="22"/>
          <w:szCs w:val="22"/>
          <w:shd w:val="clear" w:color="auto" w:fill="FFFFFF"/>
          <w:lang w:eastAsia="en-US"/>
        </w:rPr>
        <w:t>роизоляцией и защитой от механических повреждений.</w:t>
      </w:r>
    </w:p>
    <w:p w:rsidR="008742E9" w:rsidRPr="008742E9" w:rsidRDefault="008742E9" w:rsidP="008742E9">
      <w:pPr>
        <w:ind w:firstLine="426"/>
        <w:contextualSpacing/>
        <w:jc w:val="both"/>
        <w:rPr>
          <w:rFonts w:eastAsiaTheme="minorHAnsi"/>
          <w:sz w:val="22"/>
          <w:szCs w:val="22"/>
          <w:lang w:eastAsia="en-US"/>
        </w:rPr>
      </w:pPr>
      <w:r w:rsidRPr="008742E9">
        <w:rPr>
          <w:rFonts w:eastAsiaTheme="minorHAnsi"/>
          <w:sz w:val="22"/>
          <w:szCs w:val="22"/>
          <w:lang w:eastAsia="en-US"/>
        </w:rPr>
        <w:t>Наземная и надземная прокладки самотечных канализацио</w:t>
      </w:r>
      <w:r w:rsidRPr="008742E9">
        <w:rPr>
          <w:rFonts w:eastAsiaTheme="minorHAnsi"/>
          <w:sz w:val="22"/>
          <w:szCs w:val="22"/>
          <w:lang w:eastAsia="en-US"/>
        </w:rPr>
        <w:t>н</w:t>
      </w:r>
      <w:r w:rsidRPr="008742E9">
        <w:rPr>
          <w:rFonts w:eastAsiaTheme="minorHAnsi"/>
          <w:sz w:val="22"/>
          <w:szCs w:val="22"/>
          <w:lang w:eastAsia="en-US"/>
        </w:rPr>
        <w:t>ных сетей, требующих уклонов, почти полностью исключаются. Наиболее перспективны в условиях Крайнего Севера полиэтилен</w:t>
      </w:r>
      <w:r w:rsidRPr="008742E9">
        <w:rPr>
          <w:rFonts w:eastAsiaTheme="minorHAnsi"/>
          <w:sz w:val="22"/>
          <w:szCs w:val="22"/>
          <w:lang w:eastAsia="en-US"/>
        </w:rPr>
        <w:t>о</w:t>
      </w:r>
      <w:r w:rsidRPr="008742E9">
        <w:rPr>
          <w:rFonts w:eastAsiaTheme="minorHAnsi"/>
          <w:sz w:val="22"/>
          <w:szCs w:val="22"/>
          <w:lang w:eastAsia="en-US"/>
        </w:rPr>
        <w:t>вые трубы, ввиду их малой теплопроводности и достаточной мор</w:t>
      </w:r>
      <w:r w:rsidRPr="008742E9">
        <w:rPr>
          <w:rFonts w:eastAsiaTheme="minorHAnsi"/>
          <w:sz w:val="22"/>
          <w:szCs w:val="22"/>
          <w:lang w:eastAsia="en-US"/>
        </w:rPr>
        <w:t>о</w:t>
      </w:r>
      <w:r w:rsidRPr="008742E9">
        <w:rPr>
          <w:rFonts w:eastAsiaTheme="minorHAnsi"/>
          <w:sz w:val="22"/>
          <w:szCs w:val="22"/>
          <w:lang w:eastAsia="en-US"/>
        </w:rPr>
        <w:t>зостойкости.</w:t>
      </w:r>
    </w:p>
    <w:p w:rsidR="008742E9" w:rsidRPr="008742E9" w:rsidRDefault="008742E9" w:rsidP="008742E9">
      <w:pPr>
        <w:ind w:firstLine="426"/>
        <w:contextualSpacing/>
        <w:jc w:val="both"/>
        <w:rPr>
          <w:rFonts w:asciiTheme="minorHAnsi" w:eastAsiaTheme="minorHAnsi" w:hAnsiTheme="minorHAnsi" w:cstheme="minorBidi"/>
          <w:sz w:val="22"/>
          <w:szCs w:val="22"/>
          <w:lang w:eastAsia="en-US"/>
        </w:rPr>
      </w:pPr>
      <w:r w:rsidRPr="008742E9">
        <w:rPr>
          <w:rFonts w:eastAsiaTheme="minorHAnsi"/>
          <w:sz w:val="22"/>
          <w:szCs w:val="22"/>
          <w:lang w:eastAsia="en-US"/>
        </w:rPr>
        <w:t>Использование данного типа трубопровода на территории населенного пункта наземная прокладка допускается при мин</w:t>
      </w:r>
      <w:r w:rsidRPr="008742E9">
        <w:rPr>
          <w:rFonts w:eastAsiaTheme="minorHAnsi"/>
          <w:sz w:val="22"/>
          <w:szCs w:val="22"/>
          <w:lang w:eastAsia="en-US"/>
        </w:rPr>
        <w:t>и</w:t>
      </w:r>
      <w:r w:rsidRPr="008742E9">
        <w:rPr>
          <w:rFonts w:eastAsiaTheme="minorHAnsi"/>
          <w:sz w:val="22"/>
          <w:szCs w:val="22"/>
          <w:lang w:eastAsia="en-US"/>
        </w:rPr>
        <w:t>мальном числе пересечений трубопровода с проездами и тротуар</w:t>
      </w:r>
      <w:r w:rsidRPr="008742E9">
        <w:rPr>
          <w:rFonts w:eastAsiaTheme="minorHAnsi"/>
          <w:sz w:val="22"/>
          <w:szCs w:val="22"/>
          <w:lang w:eastAsia="en-US"/>
        </w:rPr>
        <w:t>а</w:t>
      </w:r>
      <w:r w:rsidRPr="008742E9">
        <w:rPr>
          <w:rFonts w:eastAsiaTheme="minorHAnsi"/>
          <w:sz w:val="22"/>
          <w:szCs w:val="22"/>
          <w:lang w:eastAsia="en-US"/>
        </w:rPr>
        <w:t>ми.</w:t>
      </w:r>
      <w:r w:rsidRPr="008742E9">
        <w:rPr>
          <w:rFonts w:asciiTheme="minorHAnsi" w:eastAsiaTheme="minorHAnsi" w:hAnsiTheme="minorHAnsi" w:cstheme="minorBidi"/>
          <w:sz w:val="22"/>
          <w:szCs w:val="22"/>
          <w:lang w:eastAsia="en-US"/>
        </w:rPr>
        <w:t xml:space="preserve"> </w:t>
      </w:r>
    </w:p>
    <w:p w:rsidR="008742E9" w:rsidRPr="008742E9" w:rsidRDefault="008742E9" w:rsidP="008742E9">
      <w:pPr>
        <w:ind w:firstLine="426"/>
        <w:contextualSpacing/>
        <w:jc w:val="both"/>
        <w:rPr>
          <w:rFonts w:eastAsiaTheme="minorHAnsi"/>
          <w:sz w:val="22"/>
          <w:szCs w:val="22"/>
          <w:lang w:eastAsia="en-US"/>
        </w:rPr>
      </w:pPr>
      <w:r w:rsidRPr="008742E9">
        <w:rPr>
          <w:rFonts w:eastAsiaTheme="minorHAnsi"/>
          <w:sz w:val="22"/>
          <w:szCs w:val="22"/>
          <w:lang w:eastAsia="en-US"/>
        </w:rPr>
        <w:t>У использования надземного и наземного способа прокладки санитарно-технических коммуникаций (за исключением канализ</w:t>
      </w:r>
      <w:r w:rsidRPr="008742E9">
        <w:rPr>
          <w:rFonts w:eastAsiaTheme="minorHAnsi"/>
          <w:sz w:val="22"/>
          <w:szCs w:val="22"/>
          <w:lang w:eastAsia="en-US"/>
        </w:rPr>
        <w:t>а</w:t>
      </w:r>
      <w:r w:rsidRPr="008742E9">
        <w:rPr>
          <w:rFonts w:eastAsiaTheme="minorHAnsi"/>
          <w:sz w:val="22"/>
          <w:szCs w:val="22"/>
          <w:lang w:eastAsia="en-US"/>
        </w:rPr>
        <w:t>ций) есть общие плюсы, например: экономичность ремонта, монт</w:t>
      </w:r>
      <w:r w:rsidRPr="008742E9">
        <w:rPr>
          <w:rFonts w:eastAsiaTheme="minorHAnsi"/>
          <w:sz w:val="22"/>
          <w:szCs w:val="22"/>
          <w:lang w:eastAsia="en-US"/>
        </w:rPr>
        <w:t>а</w:t>
      </w:r>
      <w:r w:rsidRPr="008742E9">
        <w:rPr>
          <w:rFonts w:eastAsiaTheme="minorHAnsi"/>
          <w:sz w:val="22"/>
          <w:szCs w:val="22"/>
          <w:lang w:eastAsia="en-US"/>
        </w:rPr>
        <w:t>жа и демонтажа трубопровода, отсутствие траншей, сохранение растительного слоя и теплового баланса почвы, регулировка тепл</w:t>
      </w:r>
      <w:r w:rsidRPr="008742E9">
        <w:rPr>
          <w:rFonts w:eastAsiaTheme="minorHAnsi"/>
          <w:sz w:val="22"/>
          <w:szCs w:val="22"/>
          <w:lang w:eastAsia="en-US"/>
        </w:rPr>
        <w:t>о</w:t>
      </w:r>
      <w:r w:rsidRPr="008742E9">
        <w:rPr>
          <w:rFonts w:eastAsiaTheme="minorHAnsi"/>
          <w:sz w:val="22"/>
          <w:szCs w:val="22"/>
          <w:lang w:eastAsia="en-US"/>
        </w:rPr>
        <w:t>вого режима трубопровода [3</w:t>
      </w:r>
      <w:r w:rsidR="00FE6370" w:rsidRPr="00FE6370">
        <w:rPr>
          <w:rFonts w:eastAsiaTheme="minorHAnsi"/>
          <w:sz w:val="22"/>
          <w:szCs w:val="22"/>
          <w:lang w:eastAsia="en-US"/>
        </w:rPr>
        <w:t>]</w:t>
      </w:r>
      <w:r w:rsidRPr="008742E9">
        <w:rPr>
          <w:rFonts w:eastAsiaTheme="minorHAnsi"/>
          <w:sz w:val="22"/>
          <w:szCs w:val="22"/>
          <w:lang w:eastAsia="en-US"/>
        </w:rPr>
        <w:t>.</w:t>
      </w:r>
    </w:p>
    <w:p w:rsidR="008742E9" w:rsidRPr="008742E9" w:rsidRDefault="008742E9" w:rsidP="008742E9">
      <w:pPr>
        <w:ind w:firstLine="426"/>
        <w:contextualSpacing/>
        <w:jc w:val="center"/>
        <w:rPr>
          <w:rFonts w:eastAsiaTheme="minorHAnsi"/>
          <w:sz w:val="22"/>
          <w:szCs w:val="22"/>
          <w:lang w:eastAsia="en-US"/>
        </w:rPr>
      </w:pPr>
    </w:p>
    <w:p w:rsidR="008742E9" w:rsidRPr="008742E9" w:rsidRDefault="008742E9" w:rsidP="008742E9">
      <w:pPr>
        <w:ind w:firstLine="426"/>
        <w:contextualSpacing/>
        <w:jc w:val="center"/>
        <w:rPr>
          <w:rFonts w:eastAsiaTheme="minorHAnsi"/>
          <w:sz w:val="22"/>
          <w:szCs w:val="22"/>
          <w:lang w:eastAsia="en-US"/>
        </w:rPr>
      </w:pPr>
      <w:r w:rsidRPr="008742E9">
        <w:rPr>
          <w:rFonts w:eastAsiaTheme="minorHAnsi"/>
          <w:sz w:val="22"/>
          <w:szCs w:val="22"/>
          <w:lang w:eastAsia="en-US"/>
        </w:rPr>
        <w:t>Список литературы</w:t>
      </w:r>
    </w:p>
    <w:p w:rsidR="008742E9" w:rsidRPr="008742E9" w:rsidRDefault="008742E9" w:rsidP="008742E9">
      <w:pPr>
        <w:ind w:firstLine="426"/>
        <w:contextualSpacing/>
        <w:jc w:val="both"/>
        <w:rPr>
          <w:rFonts w:eastAsia="Calibri"/>
          <w:sz w:val="22"/>
          <w:szCs w:val="22"/>
          <w:lang w:eastAsia="en-US"/>
        </w:rPr>
      </w:pPr>
      <w:r w:rsidRPr="008742E9">
        <w:rPr>
          <w:rFonts w:eastAsia="Calibri"/>
          <w:sz w:val="22"/>
          <w:szCs w:val="22"/>
          <w:lang w:eastAsia="en-US"/>
        </w:rPr>
        <w:t>1. Снытко, В. А. Мониторинг и прогнозирование вещественно-динамического состояния геосистем сибирских регионов [Текст]: М /. В. А. Снытко. – «Наука», 2010. – 349с.</w:t>
      </w:r>
    </w:p>
    <w:p w:rsidR="008742E9" w:rsidRPr="008742E9" w:rsidRDefault="008742E9" w:rsidP="008742E9">
      <w:pPr>
        <w:ind w:firstLine="426"/>
        <w:contextualSpacing/>
        <w:jc w:val="both"/>
        <w:rPr>
          <w:rFonts w:eastAsia="Calibri"/>
          <w:color w:val="FF0000"/>
          <w:sz w:val="22"/>
          <w:szCs w:val="22"/>
          <w:lang w:eastAsia="en-US"/>
        </w:rPr>
      </w:pPr>
      <w:r w:rsidRPr="008742E9">
        <w:rPr>
          <w:rFonts w:eastAsia="Calibri"/>
          <w:color w:val="000000"/>
          <w:sz w:val="22"/>
          <w:szCs w:val="22"/>
          <w:lang w:eastAsia="en-US"/>
        </w:rPr>
        <w:t>2. Шонина, Н. А. Водоснабжение и водоотведение в условиях крайнего севера [Электронный ресурс]: научная статья / Н. А. Ш</w:t>
      </w:r>
      <w:r w:rsidRPr="008742E9">
        <w:rPr>
          <w:rFonts w:eastAsia="Calibri"/>
          <w:color w:val="000000"/>
          <w:sz w:val="22"/>
          <w:szCs w:val="22"/>
          <w:lang w:eastAsia="en-US"/>
        </w:rPr>
        <w:t>о</w:t>
      </w:r>
      <w:r w:rsidRPr="008742E9">
        <w:rPr>
          <w:rFonts w:eastAsia="Calibri"/>
          <w:color w:val="000000"/>
          <w:sz w:val="22"/>
          <w:szCs w:val="22"/>
          <w:lang w:eastAsia="en-US"/>
        </w:rPr>
        <w:t>нина, https://www.abok.ru/</w:t>
      </w:r>
      <w:r w:rsidRPr="008742E9">
        <w:rPr>
          <w:rFonts w:eastAsia="Calibri"/>
          <w:color w:val="FF0000"/>
          <w:sz w:val="22"/>
          <w:szCs w:val="22"/>
          <w:lang w:eastAsia="en-US"/>
        </w:rPr>
        <w:t xml:space="preserve"> </w:t>
      </w:r>
    </w:p>
    <w:p w:rsidR="008742E9" w:rsidRPr="008742E9" w:rsidRDefault="008742E9" w:rsidP="008742E9">
      <w:pPr>
        <w:ind w:firstLine="426"/>
        <w:contextualSpacing/>
        <w:jc w:val="both"/>
        <w:rPr>
          <w:rFonts w:asciiTheme="minorHAnsi" w:eastAsiaTheme="minorHAnsi" w:hAnsiTheme="minorHAnsi" w:cstheme="minorBidi"/>
          <w:sz w:val="22"/>
          <w:szCs w:val="22"/>
          <w:lang w:eastAsia="en-US"/>
        </w:rPr>
      </w:pPr>
      <w:r w:rsidRPr="008742E9">
        <w:rPr>
          <w:rFonts w:eastAsiaTheme="minorHAnsi"/>
          <w:sz w:val="22"/>
          <w:szCs w:val="22"/>
          <w:lang w:eastAsia="en-US"/>
        </w:rPr>
        <w:t>3.Терещенко С.И. , Орехова В.И. Проблема сохранения экол</w:t>
      </w:r>
      <w:r w:rsidRPr="008742E9">
        <w:rPr>
          <w:rFonts w:eastAsiaTheme="minorHAnsi"/>
          <w:sz w:val="22"/>
          <w:szCs w:val="22"/>
          <w:lang w:eastAsia="en-US"/>
        </w:rPr>
        <w:t>о</w:t>
      </w:r>
      <w:r w:rsidRPr="008742E9">
        <w:rPr>
          <w:rFonts w:eastAsiaTheme="minorHAnsi"/>
          <w:sz w:val="22"/>
          <w:szCs w:val="22"/>
          <w:lang w:eastAsia="en-US"/>
        </w:rPr>
        <w:t>гии окружающей среды и водных ресурсов в п. Бухта Инал Туа</w:t>
      </w:r>
      <w:r w:rsidRPr="008742E9">
        <w:rPr>
          <w:rFonts w:eastAsiaTheme="minorHAnsi"/>
          <w:sz w:val="22"/>
          <w:szCs w:val="22"/>
          <w:lang w:eastAsia="en-US"/>
        </w:rPr>
        <w:t>п</w:t>
      </w:r>
      <w:r w:rsidRPr="008742E9">
        <w:rPr>
          <w:rFonts w:eastAsiaTheme="minorHAnsi"/>
          <w:sz w:val="22"/>
          <w:szCs w:val="22"/>
          <w:lang w:eastAsia="en-US"/>
        </w:rPr>
        <w:t xml:space="preserve">синского района //Сборник статей </w:t>
      </w:r>
      <w:r w:rsidRPr="008742E9">
        <w:rPr>
          <w:rFonts w:eastAsiaTheme="minorHAnsi"/>
          <w:sz w:val="22"/>
          <w:szCs w:val="22"/>
          <w:lang w:val="en-US" w:eastAsia="en-US"/>
        </w:rPr>
        <w:t>II</w:t>
      </w:r>
      <w:r w:rsidRPr="008742E9">
        <w:rPr>
          <w:rFonts w:eastAsiaTheme="minorHAnsi"/>
          <w:sz w:val="22"/>
          <w:szCs w:val="22"/>
          <w:lang w:eastAsia="en-US"/>
        </w:rPr>
        <w:t xml:space="preserve"> Международной научно-практической конференции посвященной году экологии в России «Экологические, правовые и экономические аспекты рационального использования земельных ресурсов». </w:t>
      </w:r>
      <w:r w:rsidR="00FE6370">
        <w:rPr>
          <w:rFonts w:eastAsiaTheme="minorHAnsi"/>
          <w:sz w:val="22"/>
          <w:szCs w:val="22"/>
          <w:lang w:eastAsia="en-US"/>
        </w:rPr>
        <w:t xml:space="preserve">- </w:t>
      </w:r>
      <w:r w:rsidRPr="008742E9">
        <w:rPr>
          <w:rFonts w:eastAsiaTheme="minorHAnsi"/>
          <w:sz w:val="22"/>
          <w:szCs w:val="22"/>
          <w:lang w:eastAsia="en-US"/>
        </w:rPr>
        <w:t>Саратов.</w:t>
      </w:r>
      <w:r w:rsidR="00FE6370">
        <w:rPr>
          <w:rFonts w:eastAsiaTheme="minorHAnsi"/>
          <w:sz w:val="22"/>
          <w:szCs w:val="22"/>
          <w:lang w:eastAsia="en-US"/>
        </w:rPr>
        <w:t xml:space="preserve"> - </w:t>
      </w:r>
      <w:r w:rsidRPr="008742E9">
        <w:rPr>
          <w:rFonts w:eastAsiaTheme="minorHAnsi"/>
          <w:sz w:val="22"/>
          <w:szCs w:val="22"/>
          <w:lang w:eastAsia="en-US"/>
        </w:rPr>
        <w:t xml:space="preserve">2017. </w:t>
      </w:r>
      <w:r w:rsidR="00FE6370">
        <w:rPr>
          <w:rFonts w:eastAsiaTheme="minorHAnsi"/>
          <w:sz w:val="22"/>
          <w:szCs w:val="22"/>
          <w:lang w:eastAsia="en-US"/>
        </w:rPr>
        <w:t xml:space="preserve">- </w:t>
      </w:r>
      <w:r w:rsidRPr="008742E9">
        <w:rPr>
          <w:rFonts w:eastAsiaTheme="minorHAnsi"/>
          <w:sz w:val="22"/>
          <w:szCs w:val="22"/>
          <w:lang w:eastAsia="en-US"/>
        </w:rPr>
        <w:t>С. 134-136.</w:t>
      </w:r>
    </w:p>
    <w:p w:rsidR="004F5466" w:rsidRDefault="004F5466" w:rsidP="00451253">
      <w:pPr>
        <w:pStyle w:val="31"/>
        <w:ind w:firstLine="0"/>
        <w:rPr>
          <w:sz w:val="22"/>
          <w:szCs w:val="22"/>
        </w:rPr>
      </w:pPr>
    </w:p>
    <w:p w:rsidR="00024398" w:rsidRDefault="00024398" w:rsidP="00451253">
      <w:pPr>
        <w:pStyle w:val="31"/>
        <w:ind w:firstLine="0"/>
        <w:rPr>
          <w:sz w:val="22"/>
          <w:szCs w:val="22"/>
        </w:rPr>
      </w:pPr>
    </w:p>
    <w:p w:rsidR="00024398" w:rsidRDefault="00024398" w:rsidP="00024398">
      <w:pPr>
        <w:rPr>
          <w:sz w:val="22"/>
          <w:szCs w:val="22"/>
        </w:rPr>
      </w:pPr>
      <w:r>
        <w:rPr>
          <w:sz w:val="22"/>
          <w:szCs w:val="22"/>
        </w:rPr>
        <w:br w:type="page"/>
      </w:r>
    </w:p>
    <w:p w:rsidR="008742E9" w:rsidRPr="00024398" w:rsidRDefault="008742E9" w:rsidP="00FE6370">
      <w:pPr>
        <w:rPr>
          <w:rFonts w:eastAsia="Calibri"/>
          <w:sz w:val="22"/>
          <w:szCs w:val="22"/>
          <w:lang w:val="en-US" w:eastAsia="en-US"/>
        </w:rPr>
      </w:pPr>
      <w:r w:rsidRPr="008742E9">
        <w:rPr>
          <w:rFonts w:eastAsia="Calibri"/>
          <w:sz w:val="22"/>
          <w:szCs w:val="22"/>
          <w:lang w:eastAsia="en-US"/>
        </w:rPr>
        <w:lastRenderedPageBreak/>
        <w:t>УДК</w:t>
      </w:r>
      <w:r w:rsidRPr="00024398">
        <w:rPr>
          <w:rFonts w:eastAsia="Calibri"/>
          <w:sz w:val="22"/>
          <w:szCs w:val="22"/>
          <w:lang w:val="en-US" w:eastAsia="en-US"/>
        </w:rPr>
        <w:t xml:space="preserve">  628.316</w:t>
      </w:r>
    </w:p>
    <w:p w:rsidR="00FE6370" w:rsidRPr="00024398" w:rsidRDefault="00FE6370" w:rsidP="00FE6370">
      <w:pPr>
        <w:rPr>
          <w:rFonts w:eastAsia="Calibri"/>
          <w:sz w:val="22"/>
          <w:szCs w:val="22"/>
          <w:lang w:val="en-US" w:eastAsia="en-US"/>
        </w:rPr>
      </w:pPr>
    </w:p>
    <w:p w:rsidR="008742E9" w:rsidRPr="00024398" w:rsidRDefault="008742E9" w:rsidP="00FE6370">
      <w:pPr>
        <w:jc w:val="center"/>
        <w:rPr>
          <w:rFonts w:eastAsia="Calibri"/>
          <w:b/>
          <w:sz w:val="24"/>
          <w:szCs w:val="22"/>
          <w:lang w:val="en-US" w:eastAsia="en-US"/>
        </w:rPr>
      </w:pPr>
      <w:r w:rsidRPr="008742E9">
        <w:rPr>
          <w:rFonts w:eastAsia="Calibri"/>
          <w:b/>
          <w:sz w:val="24"/>
          <w:szCs w:val="22"/>
          <w:lang w:eastAsia="en-US"/>
        </w:rPr>
        <w:t>Методы</w:t>
      </w:r>
      <w:r w:rsidRPr="00024398">
        <w:rPr>
          <w:rFonts w:eastAsia="Calibri"/>
          <w:b/>
          <w:sz w:val="24"/>
          <w:szCs w:val="22"/>
          <w:lang w:val="en-US" w:eastAsia="en-US"/>
        </w:rPr>
        <w:t xml:space="preserve"> </w:t>
      </w:r>
      <w:r w:rsidRPr="008742E9">
        <w:rPr>
          <w:rFonts w:eastAsia="Calibri"/>
          <w:b/>
          <w:sz w:val="24"/>
          <w:szCs w:val="22"/>
          <w:lang w:eastAsia="en-US"/>
        </w:rPr>
        <w:t>очистки</w:t>
      </w:r>
      <w:r w:rsidRPr="00024398">
        <w:rPr>
          <w:rFonts w:eastAsia="Calibri"/>
          <w:b/>
          <w:sz w:val="24"/>
          <w:szCs w:val="22"/>
          <w:lang w:val="en-US" w:eastAsia="en-US"/>
        </w:rPr>
        <w:t xml:space="preserve"> </w:t>
      </w:r>
      <w:r w:rsidRPr="008742E9">
        <w:rPr>
          <w:rFonts w:eastAsia="Calibri"/>
          <w:b/>
          <w:sz w:val="24"/>
          <w:szCs w:val="22"/>
          <w:lang w:eastAsia="en-US"/>
        </w:rPr>
        <w:t>сточных</w:t>
      </w:r>
      <w:r w:rsidRPr="00024398">
        <w:rPr>
          <w:rFonts w:eastAsia="Calibri"/>
          <w:b/>
          <w:sz w:val="24"/>
          <w:szCs w:val="22"/>
          <w:lang w:val="en-US" w:eastAsia="en-US"/>
        </w:rPr>
        <w:t xml:space="preserve"> </w:t>
      </w:r>
      <w:r w:rsidRPr="008742E9">
        <w:rPr>
          <w:rFonts w:eastAsia="Calibri"/>
          <w:b/>
          <w:sz w:val="24"/>
          <w:szCs w:val="22"/>
          <w:lang w:eastAsia="en-US"/>
        </w:rPr>
        <w:t>вод</w:t>
      </w:r>
      <w:r w:rsidRPr="00024398">
        <w:rPr>
          <w:rFonts w:eastAsia="Calibri"/>
          <w:b/>
          <w:sz w:val="24"/>
          <w:szCs w:val="22"/>
          <w:lang w:val="en-US" w:eastAsia="en-US"/>
        </w:rPr>
        <w:t xml:space="preserve"> </w:t>
      </w:r>
    </w:p>
    <w:p w:rsidR="008742E9" w:rsidRPr="00024398" w:rsidRDefault="008742E9" w:rsidP="00FE6370">
      <w:pPr>
        <w:jc w:val="center"/>
        <w:rPr>
          <w:rFonts w:eastAsia="Calibri"/>
          <w:b/>
          <w:sz w:val="24"/>
          <w:szCs w:val="22"/>
          <w:lang w:val="en-US" w:eastAsia="en-US"/>
        </w:rPr>
      </w:pPr>
      <w:r w:rsidRPr="008742E9">
        <w:rPr>
          <w:rFonts w:eastAsia="Calibri"/>
          <w:b/>
          <w:sz w:val="24"/>
          <w:szCs w:val="22"/>
          <w:lang w:val="en-US" w:eastAsia="en-US"/>
        </w:rPr>
        <w:t>Waste</w:t>
      </w:r>
      <w:r w:rsidRPr="00024398">
        <w:rPr>
          <w:rFonts w:eastAsia="Calibri"/>
          <w:b/>
          <w:sz w:val="24"/>
          <w:szCs w:val="22"/>
          <w:lang w:val="en-US" w:eastAsia="en-US"/>
        </w:rPr>
        <w:t xml:space="preserve"> </w:t>
      </w:r>
      <w:r w:rsidRPr="008742E9">
        <w:rPr>
          <w:rFonts w:eastAsia="Calibri"/>
          <w:b/>
          <w:sz w:val="24"/>
          <w:szCs w:val="22"/>
          <w:lang w:val="en-US" w:eastAsia="en-US"/>
        </w:rPr>
        <w:t>water</w:t>
      </w:r>
      <w:r w:rsidRPr="00024398">
        <w:rPr>
          <w:rFonts w:eastAsia="Calibri"/>
          <w:b/>
          <w:sz w:val="24"/>
          <w:szCs w:val="22"/>
          <w:lang w:val="en-US" w:eastAsia="en-US"/>
        </w:rPr>
        <w:t xml:space="preserve"> </w:t>
      </w:r>
      <w:r w:rsidRPr="008742E9">
        <w:rPr>
          <w:rFonts w:eastAsia="Calibri"/>
          <w:b/>
          <w:sz w:val="24"/>
          <w:szCs w:val="22"/>
          <w:lang w:val="en-US" w:eastAsia="en-US"/>
        </w:rPr>
        <w:t>treatment</w:t>
      </w:r>
      <w:r w:rsidRPr="00024398">
        <w:rPr>
          <w:rFonts w:eastAsia="Calibri"/>
          <w:b/>
          <w:sz w:val="24"/>
          <w:szCs w:val="22"/>
          <w:lang w:val="en-US" w:eastAsia="en-US"/>
        </w:rPr>
        <w:t xml:space="preserve"> </w:t>
      </w:r>
      <w:r w:rsidRPr="008742E9">
        <w:rPr>
          <w:rFonts w:eastAsia="Calibri"/>
          <w:b/>
          <w:sz w:val="24"/>
          <w:szCs w:val="22"/>
          <w:lang w:val="en-US" w:eastAsia="en-US"/>
        </w:rPr>
        <w:t>methods</w:t>
      </w:r>
    </w:p>
    <w:p w:rsidR="008742E9" w:rsidRPr="00024398" w:rsidRDefault="008742E9" w:rsidP="00FE6370">
      <w:pPr>
        <w:jc w:val="right"/>
        <w:rPr>
          <w:rFonts w:eastAsia="Calibri"/>
          <w:sz w:val="22"/>
          <w:szCs w:val="22"/>
          <w:lang w:val="en-US" w:eastAsia="en-US"/>
        </w:rPr>
      </w:pPr>
    </w:p>
    <w:p w:rsidR="008742E9" w:rsidRPr="008742E9" w:rsidRDefault="008742E9" w:rsidP="00FE6370">
      <w:pPr>
        <w:jc w:val="right"/>
        <w:rPr>
          <w:rFonts w:eastAsia="Calibri"/>
          <w:sz w:val="22"/>
          <w:szCs w:val="22"/>
          <w:lang w:eastAsia="en-US"/>
        </w:rPr>
      </w:pPr>
      <w:r w:rsidRPr="008742E9">
        <w:rPr>
          <w:rFonts w:eastAsia="Calibri"/>
          <w:sz w:val="22"/>
          <w:szCs w:val="22"/>
          <w:lang w:eastAsia="en-US"/>
        </w:rPr>
        <w:t>Белова В.</w:t>
      </w:r>
      <w:r w:rsidR="00FE6370">
        <w:rPr>
          <w:rFonts w:eastAsia="Calibri"/>
          <w:sz w:val="22"/>
          <w:szCs w:val="22"/>
          <w:lang w:eastAsia="en-US"/>
        </w:rPr>
        <w:t xml:space="preserve"> </w:t>
      </w:r>
      <w:r w:rsidRPr="008742E9">
        <w:rPr>
          <w:rFonts w:eastAsia="Calibri"/>
          <w:sz w:val="22"/>
          <w:szCs w:val="22"/>
          <w:lang w:eastAsia="en-US"/>
        </w:rPr>
        <w:t>А, Соколова И.</w:t>
      </w:r>
      <w:r w:rsidR="00FE6370">
        <w:rPr>
          <w:rFonts w:eastAsia="Calibri"/>
          <w:sz w:val="22"/>
          <w:szCs w:val="22"/>
          <w:lang w:eastAsia="en-US"/>
        </w:rPr>
        <w:t xml:space="preserve"> </w:t>
      </w:r>
      <w:r w:rsidRPr="008742E9">
        <w:rPr>
          <w:rFonts w:eastAsia="Calibri"/>
          <w:sz w:val="22"/>
          <w:szCs w:val="22"/>
          <w:lang w:eastAsia="en-US"/>
        </w:rPr>
        <w:t>Е.</w:t>
      </w:r>
      <w:r w:rsidR="00FE6370">
        <w:rPr>
          <w:rFonts w:eastAsia="Calibri"/>
          <w:sz w:val="22"/>
          <w:szCs w:val="22"/>
          <w:lang w:eastAsia="en-US"/>
        </w:rPr>
        <w:t>,</w:t>
      </w:r>
    </w:p>
    <w:p w:rsidR="008742E9" w:rsidRPr="008742E9" w:rsidRDefault="008742E9" w:rsidP="00FE6370">
      <w:pPr>
        <w:jc w:val="right"/>
        <w:rPr>
          <w:rFonts w:eastAsia="Calibri"/>
          <w:sz w:val="22"/>
          <w:szCs w:val="22"/>
          <w:lang w:eastAsia="en-US"/>
        </w:rPr>
      </w:pPr>
      <w:r w:rsidRPr="008742E9">
        <w:rPr>
          <w:rFonts w:eastAsia="Calibri"/>
          <w:sz w:val="22"/>
          <w:szCs w:val="22"/>
          <w:lang w:eastAsia="en-US"/>
        </w:rPr>
        <w:t>студентки 2-го курса факультета гидромелиорации</w:t>
      </w:r>
    </w:p>
    <w:p w:rsidR="00FE6370" w:rsidRDefault="008742E9" w:rsidP="00FE6370">
      <w:pPr>
        <w:jc w:val="right"/>
        <w:rPr>
          <w:rFonts w:eastAsia="Calibri"/>
          <w:sz w:val="22"/>
          <w:szCs w:val="22"/>
          <w:lang w:eastAsia="en-US"/>
        </w:rPr>
      </w:pPr>
      <w:r w:rsidRPr="008742E9">
        <w:rPr>
          <w:rFonts w:eastAsia="Calibri"/>
          <w:sz w:val="22"/>
          <w:szCs w:val="22"/>
          <w:lang w:eastAsia="en-US"/>
        </w:rPr>
        <w:t>Куб</w:t>
      </w:r>
      <w:r w:rsidR="00FE6370">
        <w:rPr>
          <w:rFonts w:eastAsia="Calibri"/>
          <w:sz w:val="22"/>
          <w:szCs w:val="22"/>
          <w:lang w:eastAsia="en-US"/>
        </w:rPr>
        <w:t>анский государственный аграрный</w:t>
      </w:r>
    </w:p>
    <w:p w:rsidR="008742E9" w:rsidRPr="008742E9" w:rsidRDefault="00FE6370" w:rsidP="00FE6370">
      <w:pPr>
        <w:jc w:val="right"/>
        <w:rPr>
          <w:rFonts w:eastAsia="Calibri"/>
          <w:sz w:val="22"/>
          <w:szCs w:val="22"/>
          <w:lang w:eastAsia="en-US"/>
        </w:rPr>
      </w:pPr>
      <w:r>
        <w:rPr>
          <w:rFonts w:eastAsia="Calibri"/>
          <w:sz w:val="22"/>
          <w:szCs w:val="22"/>
          <w:lang w:eastAsia="en-US"/>
        </w:rPr>
        <w:t>у</w:t>
      </w:r>
      <w:r w:rsidR="008742E9" w:rsidRPr="008742E9">
        <w:rPr>
          <w:rFonts w:eastAsia="Calibri"/>
          <w:sz w:val="22"/>
          <w:szCs w:val="22"/>
          <w:lang w:eastAsia="en-US"/>
        </w:rPr>
        <w:t>ниверситет</w:t>
      </w:r>
      <w:r>
        <w:rPr>
          <w:rFonts w:eastAsia="Calibri"/>
          <w:sz w:val="22"/>
          <w:szCs w:val="22"/>
          <w:lang w:eastAsia="en-US"/>
        </w:rPr>
        <w:t xml:space="preserve"> </w:t>
      </w:r>
      <w:r w:rsidR="008742E9" w:rsidRPr="008742E9">
        <w:rPr>
          <w:rFonts w:eastAsia="Calibri"/>
          <w:sz w:val="22"/>
          <w:szCs w:val="22"/>
          <w:lang w:eastAsia="en-US"/>
        </w:rPr>
        <w:t>имени И.</w:t>
      </w:r>
      <w:r>
        <w:rPr>
          <w:rFonts w:eastAsia="Calibri"/>
          <w:sz w:val="22"/>
          <w:szCs w:val="22"/>
          <w:lang w:eastAsia="en-US"/>
        </w:rPr>
        <w:t xml:space="preserve"> </w:t>
      </w:r>
      <w:r w:rsidR="008742E9" w:rsidRPr="008742E9">
        <w:rPr>
          <w:rFonts w:eastAsia="Calibri"/>
          <w:sz w:val="22"/>
          <w:szCs w:val="22"/>
          <w:lang w:eastAsia="en-US"/>
        </w:rPr>
        <w:t>Т. Трубилина</w:t>
      </w:r>
    </w:p>
    <w:p w:rsidR="008742E9" w:rsidRPr="008742E9" w:rsidRDefault="008742E9" w:rsidP="00FE6370">
      <w:pPr>
        <w:jc w:val="right"/>
        <w:rPr>
          <w:rFonts w:eastAsia="Calibri"/>
          <w:sz w:val="22"/>
          <w:szCs w:val="22"/>
          <w:lang w:eastAsia="en-US"/>
        </w:rPr>
      </w:pP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АННОТАЦИЯ: В данной статье рассмотрены самые распр</w:t>
      </w:r>
      <w:r w:rsidRPr="008742E9">
        <w:rPr>
          <w:rFonts w:eastAsia="Calibri"/>
          <w:sz w:val="22"/>
          <w:szCs w:val="22"/>
          <w:lang w:eastAsia="en-US"/>
        </w:rPr>
        <w:t>о</w:t>
      </w:r>
      <w:r w:rsidRPr="008742E9">
        <w:rPr>
          <w:rFonts w:eastAsia="Calibri"/>
          <w:sz w:val="22"/>
          <w:szCs w:val="22"/>
          <w:lang w:eastAsia="en-US"/>
        </w:rPr>
        <w:t>страненные методы очистки сточных вод.</w:t>
      </w:r>
    </w:p>
    <w:p w:rsidR="008742E9" w:rsidRPr="008742E9" w:rsidRDefault="008742E9" w:rsidP="008742E9">
      <w:pPr>
        <w:ind w:firstLine="426"/>
        <w:jc w:val="both"/>
        <w:rPr>
          <w:rFonts w:eastAsia="Calibri"/>
          <w:sz w:val="22"/>
          <w:szCs w:val="22"/>
          <w:lang w:val="en-US" w:eastAsia="en-US"/>
        </w:rPr>
      </w:pPr>
      <w:r w:rsidRPr="008742E9">
        <w:rPr>
          <w:rFonts w:eastAsia="Calibri"/>
          <w:sz w:val="22"/>
          <w:szCs w:val="22"/>
          <w:lang w:val="en-US" w:eastAsia="en-US"/>
        </w:rPr>
        <w:t>ABSTRACT:</w:t>
      </w:r>
      <w:r w:rsidRPr="008742E9">
        <w:rPr>
          <w:rFonts w:ascii="Calibri" w:eastAsia="Calibri" w:hAnsi="Calibri"/>
          <w:sz w:val="22"/>
          <w:szCs w:val="22"/>
          <w:lang w:val="en-US" w:eastAsia="en-US"/>
        </w:rPr>
        <w:t xml:space="preserve"> </w:t>
      </w:r>
      <w:r w:rsidRPr="008742E9">
        <w:rPr>
          <w:rFonts w:eastAsia="Calibri"/>
          <w:sz w:val="22"/>
          <w:szCs w:val="22"/>
          <w:lang w:val="en-US" w:eastAsia="en-US"/>
        </w:rPr>
        <w:t>This article discusses the most common methods of wastewater treatment.</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КЛЮЧЕВЫЕ СЛОВА: Методы, очистка, вода, примеси, фильтр, частицы.</w:t>
      </w:r>
    </w:p>
    <w:p w:rsidR="008742E9" w:rsidRPr="008742E9" w:rsidRDefault="008742E9" w:rsidP="008742E9">
      <w:pPr>
        <w:ind w:firstLine="426"/>
        <w:jc w:val="both"/>
        <w:rPr>
          <w:rFonts w:eastAsia="Calibri"/>
          <w:sz w:val="22"/>
          <w:szCs w:val="22"/>
          <w:lang w:val="en-US" w:eastAsia="en-US"/>
        </w:rPr>
      </w:pPr>
      <w:r w:rsidRPr="008742E9">
        <w:rPr>
          <w:rFonts w:eastAsia="Calibri"/>
          <w:sz w:val="22"/>
          <w:szCs w:val="22"/>
          <w:lang w:val="en-US" w:eastAsia="en-US"/>
        </w:rPr>
        <w:t>KEYWORDS: Methods, purification, water, impurities, filter, part</w:t>
      </w:r>
      <w:r w:rsidRPr="008742E9">
        <w:rPr>
          <w:rFonts w:eastAsia="Calibri"/>
          <w:sz w:val="22"/>
          <w:szCs w:val="22"/>
          <w:lang w:val="en-US" w:eastAsia="en-US"/>
        </w:rPr>
        <w:t>i</w:t>
      </w:r>
      <w:r w:rsidRPr="008742E9">
        <w:rPr>
          <w:rFonts w:eastAsia="Calibri"/>
          <w:sz w:val="22"/>
          <w:szCs w:val="22"/>
          <w:lang w:val="en-US" w:eastAsia="en-US"/>
        </w:rPr>
        <w:t>cles.</w:t>
      </w:r>
    </w:p>
    <w:p w:rsidR="008742E9" w:rsidRPr="008742E9" w:rsidRDefault="008742E9" w:rsidP="008742E9">
      <w:pPr>
        <w:ind w:firstLine="426"/>
        <w:jc w:val="both"/>
        <w:rPr>
          <w:rFonts w:eastAsia="Calibri"/>
          <w:sz w:val="22"/>
          <w:szCs w:val="22"/>
          <w:lang w:val="en-US" w:eastAsia="en-US"/>
        </w:rPr>
      </w:pP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В настоящее время, в сточных водах содержится много бакт</w:t>
      </w:r>
      <w:r w:rsidRPr="008742E9">
        <w:rPr>
          <w:rFonts w:eastAsia="Calibri"/>
          <w:sz w:val="22"/>
          <w:szCs w:val="22"/>
          <w:lang w:eastAsia="en-US"/>
        </w:rPr>
        <w:t>е</w:t>
      </w:r>
      <w:r w:rsidRPr="008742E9">
        <w:rPr>
          <w:rFonts w:eastAsia="Calibri"/>
          <w:sz w:val="22"/>
          <w:szCs w:val="22"/>
          <w:lang w:eastAsia="en-US"/>
        </w:rPr>
        <w:t>рий, примесей, химических и биогенных элементов. Для очистки таких вод используют следующие методы: механические, физико-химические и биологические.</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К механическим методам очистки относятся:</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 Процеживание. Этот метод основан на поэтапной фильтрации воды. На первом этапе вода проходит через сетку, задерживающую крупный мусор. Затем вода пропускается через сетку с меньшей длиной ячейки. На последнем этапе размер ячейки сетки миним</w:t>
      </w:r>
      <w:r w:rsidRPr="008742E9">
        <w:rPr>
          <w:rFonts w:eastAsia="Calibri"/>
          <w:sz w:val="22"/>
          <w:szCs w:val="22"/>
          <w:lang w:eastAsia="en-US"/>
        </w:rPr>
        <w:t>а</w:t>
      </w:r>
      <w:r w:rsidRPr="008742E9">
        <w:rPr>
          <w:rFonts w:eastAsia="Calibri"/>
          <w:sz w:val="22"/>
          <w:szCs w:val="22"/>
          <w:lang w:eastAsia="en-US"/>
        </w:rPr>
        <w:t>лен, что позволяет задерживать мельчайшие частицы.</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 Отстаивание. Метод используют с целью улучшения качества воды в замкнутых системах водоснабжения. Во время отстаивания частицы с большей плотностью оседают на дне, а частицы с пло</w:t>
      </w:r>
      <w:r w:rsidRPr="008742E9">
        <w:rPr>
          <w:rFonts w:eastAsia="Calibri"/>
          <w:sz w:val="22"/>
          <w:szCs w:val="22"/>
          <w:lang w:eastAsia="en-US"/>
        </w:rPr>
        <w:t>т</w:t>
      </w:r>
      <w:r w:rsidRPr="008742E9">
        <w:rPr>
          <w:rFonts w:eastAsia="Calibri"/>
          <w:sz w:val="22"/>
          <w:szCs w:val="22"/>
          <w:lang w:eastAsia="en-US"/>
        </w:rPr>
        <w:t>ностью меньше, чем плотность воды всплывают на поверхность.</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 xml:space="preserve">- Фильтрование. Грязная вода проходит сквозь фильтрующий материал и оставляет все ненужные взвеси в фильтре. Существуют различные виды фильтров. Наиболее распространенные: сетчатые, вакуумные. Для активной очистки воды используют центрифуги и </w:t>
      </w:r>
      <w:r w:rsidRPr="008742E9">
        <w:rPr>
          <w:rFonts w:eastAsia="Calibri"/>
          <w:sz w:val="22"/>
          <w:szCs w:val="22"/>
          <w:lang w:eastAsia="en-US"/>
        </w:rPr>
        <w:lastRenderedPageBreak/>
        <w:t>гидроциклоны. Мусор в них скапливается на стенках под влиянием центробежной силы [1].</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При физико-химическом методе очистки из сточных вод уд</w:t>
      </w:r>
      <w:r w:rsidRPr="008742E9">
        <w:rPr>
          <w:rFonts w:eastAsia="Calibri"/>
          <w:sz w:val="22"/>
          <w:szCs w:val="22"/>
          <w:lang w:eastAsia="en-US"/>
        </w:rPr>
        <w:t>а</w:t>
      </w:r>
      <w:r w:rsidRPr="008742E9">
        <w:rPr>
          <w:rFonts w:eastAsia="Calibri"/>
          <w:sz w:val="22"/>
          <w:szCs w:val="22"/>
          <w:lang w:eastAsia="en-US"/>
        </w:rPr>
        <w:t>ляются тонко дисперсные, растворенные неорганические и орган</w:t>
      </w:r>
      <w:r w:rsidRPr="008742E9">
        <w:rPr>
          <w:rFonts w:eastAsia="Calibri"/>
          <w:sz w:val="22"/>
          <w:szCs w:val="22"/>
          <w:lang w:eastAsia="en-US"/>
        </w:rPr>
        <w:t>и</w:t>
      </w:r>
      <w:r w:rsidRPr="008742E9">
        <w:rPr>
          <w:rFonts w:eastAsia="Calibri"/>
          <w:sz w:val="22"/>
          <w:szCs w:val="22"/>
          <w:lang w:eastAsia="en-US"/>
        </w:rPr>
        <w:t>ческие вещества. Самые распространенные физико-химические м</w:t>
      </w:r>
      <w:r w:rsidRPr="008742E9">
        <w:rPr>
          <w:rFonts w:eastAsia="Calibri"/>
          <w:sz w:val="22"/>
          <w:szCs w:val="22"/>
          <w:lang w:eastAsia="en-US"/>
        </w:rPr>
        <w:t>е</w:t>
      </w:r>
      <w:r w:rsidRPr="008742E9">
        <w:rPr>
          <w:rFonts w:eastAsia="Calibri"/>
          <w:sz w:val="22"/>
          <w:szCs w:val="22"/>
          <w:lang w:eastAsia="en-US"/>
        </w:rPr>
        <w:t>тоды очистки: коагуляция, флотация, окисление, сорбция, ионоо</w:t>
      </w:r>
      <w:r w:rsidRPr="008742E9">
        <w:rPr>
          <w:rFonts w:eastAsia="Calibri"/>
          <w:sz w:val="22"/>
          <w:szCs w:val="22"/>
          <w:lang w:eastAsia="en-US"/>
        </w:rPr>
        <w:t>б</w:t>
      </w:r>
      <w:r w:rsidRPr="008742E9">
        <w:rPr>
          <w:rFonts w:eastAsia="Calibri"/>
          <w:sz w:val="22"/>
          <w:szCs w:val="22"/>
          <w:lang w:eastAsia="en-US"/>
        </w:rPr>
        <w:t>менный метод, экстракция.</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Процесс коагуляции сточных вод применяется для ускорения процесса осаждения тонкодисперсных частиц и эмульгированых примесей. Флотация основана на образовании воздушных пузыр</w:t>
      </w:r>
      <w:r w:rsidRPr="008742E9">
        <w:rPr>
          <w:rFonts w:eastAsia="Calibri"/>
          <w:sz w:val="22"/>
          <w:szCs w:val="22"/>
          <w:lang w:eastAsia="en-US"/>
        </w:rPr>
        <w:t>ь</w:t>
      </w:r>
      <w:r w:rsidRPr="008742E9">
        <w:rPr>
          <w:rFonts w:eastAsia="Calibri"/>
          <w:sz w:val="22"/>
          <w:szCs w:val="22"/>
          <w:lang w:eastAsia="en-US"/>
        </w:rPr>
        <w:t>ков, которые поднимают примеси вверх. Образуется слой пены, к</w:t>
      </w:r>
      <w:r w:rsidRPr="008742E9">
        <w:rPr>
          <w:rFonts w:eastAsia="Calibri"/>
          <w:sz w:val="22"/>
          <w:szCs w:val="22"/>
          <w:lang w:eastAsia="en-US"/>
        </w:rPr>
        <w:t>о</w:t>
      </w:r>
      <w:r w:rsidRPr="008742E9">
        <w:rPr>
          <w:rFonts w:eastAsia="Calibri"/>
          <w:sz w:val="22"/>
          <w:szCs w:val="22"/>
          <w:lang w:eastAsia="en-US"/>
        </w:rPr>
        <w:t>торую легко удалить. Метод действенен при обработке сточных вод от нефтепродуктов, волокнистых частиц, масел и других веществ.</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Биологические методы:</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 Самоочищение вод – способность водоема противостоять нарушению естественного равновесия, освобождаться от вносимых загрязнений.</w:t>
      </w:r>
    </w:p>
    <w:p w:rsidR="008742E9" w:rsidRPr="008742E9" w:rsidRDefault="008742E9" w:rsidP="00FE6370">
      <w:pPr>
        <w:ind w:firstLine="426"/>
        <w:jc w:val="both"/>
        <w:rPr>
          <w:rFonts w:eastAsia="Calibri"/>
          <w:sz w:val="22"/>
          <w:szCs w:val="22"/>
          <w:lang w:eastAsia="en-US"/>
        </w:rPr>
      </w:pPr>
      <w:r w:rsidRPr="008742E9">
        <w:rPr>
          <w:rFonts w:eastAsia="Calibri"/>
          <w:sz w:val="22"/>
          <w:szCs w:val="22"/>
          <w:lang w:eastAsia="en-US"/>
        </w:rPr>
        <w:t>- Аэротенки – сооружения, принцип действия которых основан на взаимодействии активного ила и механически очищенных сто</w:t>
      </w:r>
      <w:r w:rsidRPr="008742E9">
        <w:rPr>
          <w:rFonts w:eastAsia="Calibri"/>
          <w:sz w:val="22"/>
          <w:szCs w:val="22"/>
          <w:lang w:eastAsia="en-US"/>
        </w:rPr>
        <w:t>ч</w:t>
      </w:r>
      <w:r w:rsidRPr="008742E9">
        <w:rPr>
          <w:rFonts w:eastAsia="Calibri"/>
          <w:sz w:val="22"/>
          <w:szCs w:val="22"/>
          <w:lang w:eastAsia="en-US"/>
        </w:rPr>
        <w:t>ных вод. Активный ил содержит множество аэробных микроорг</w:t>
      </w:r>
      <w:r w:rsidRPr="008742E9">
        <w:rPr>
          <w:rFonts w:eastAsia="Calibri"/>
          <w:sz w:val="22"/>
          <w:szCs w:val="22"/>
          <w:lang w:eastAsia="en-US"/>
        </w:rPr>
        <w:t>а</w:t>
      </w:r>
      <w:r w:rsidRPr="008742E9">
        <w:rPr>
          <w:rFonts w:eastAsia="Calibri"/>
          <w:sz w:val="22"/>
          <w:szCs w:val="22"/>
          <w:lang w:eastAsia="en-US"/>
        </w:rPr>
        <w:t>низмов. Если им создать благоприятные условия, то в процессе св</w:t>
      </w:r>
      <w:r w:rsidRPr="008742E9">
        <w:rPr>
          <w:rFonts w:eastAsia="Calibri"/>
          <w:sz w:val="22"/>
          <w:szCs w:val="22"/>
          <w:lang w:eastAsia="en-US"/>
        </w:rPr>
        <w:t>о</w:t>
      </w:r>
      <w:r w:rsidRPr="008742E9">
        <w:rPr>
          <w:rFonts w:eastAsia="Calibri"/>
          <w:sz w:val="22"/>
          <w:szCs w:val="22"/>
          <w:lang w:eastAsia="en-US"/>
        </w:rPr>
        <w:t>ей жизнедеятельности микроорганизмы будут выводить из сточных вод различные загрязнители.</w:t>
      </w:r>
    </w:p>
    <w:p w:rsidR="008742E9" w:rsidRPr="008742E9" w:rsidRDefault="008742E9" w:rsidP="00FE6370">
      <w:pPr>
        <w:rPr>
          <w:rFonts w:eastAsia="Calibri"/>
          <w:sz w:val="22"/>
          <w:szCs w:val="22"/>
          <w:lang w:eastAsia="en-US"/>
        </w:rPr>
      </w:pPr>
    </w:p>
    <w:p w:rsidR="008742E9" w:rsidRPr="008742E9" w:rsidRDefault="008742E9" w:rsidP="00FE6370">
      <w:pPr>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FE6370">
      <w:pPr>
        <w:numPr>
          <w:ilvl w:val="0"/>
          <w:numId w:val="11"/>
        </w:numPr>
        <w:ind w:left="0" w:firstLine="426"/>
        <w:contextualSpacing/>
        <w:jc w:val="both"/>
        <w:rPr>
          <w:rFonts w:eastAsia="Calibri"/>
          <w:sz w:val="22"/>
          <w:szCs w:val="22"/>
          <w:lang w:eastAsia="en-US"/>
        </w:rPr>
      </w:pPr>
      <w:r w:rsidRPr="008742E9">
        <w:rPr>
          <w:rFonts w:eastAsia="Calibri"/>
          <w:sz w:val="22"/>
          <w:szCs w:val="22"/>
          <w:lang w:eastAsia="en-US"/>
        </w:rPr>
        <w:t>Килиди А.И., Червяков А.В., Килиди Х.И.</w:t>
      </w:r>
      <w:r w:rsidRPr="008742E9">
        <w:rPr>
          <w:rFonts w:ascii="Calibri" w:eastAsia="Calibri" w:hAnsi="Calibri"/>
          <w:sz w:val="22"/>
          <w:szCs w:val="22"/>
          <w:lang w:eastAsia="en-US"/>
        </w:rPr>
        <w:t xml:space="preserve"> </w:t>
      </w:r>
      <w:r w:rsidRPr="008742E9">
        <w:rPr>
          <w:rFonts w:eastAsia="Calibri"/>
          <w:sz w:val="22"/>
          <w:szCs w:val="22"/>
          <w:lang w:eastAsia="en-US"/>
        </w:rPr>
        <w:t>Анализ состояния сточных вод в сельском хозяйстве//</w:t>
      </w:r>
      <w:r w:rsidRPr="008742E9">
        <w:rPr>
          <w:rFonts w:ascii="Calibri" w:eastAsia="Calibri" w:hAnsi="Calibri"/>
          <w:sz w:val="22"/>
          <w:szCs w:val="22"/>
          <w:lang w:eastAsia="en-US"/>
        </w:rPr>
        <w:t xml:space="preserve"> </w:t>
      </w:r>
      <w:r w:rsidRPr="008742E9">
        <w:rPr>
          <w:rFonts w:eastAsia="Calibri"/>
          <w:sz w:val="22"/>
          <w:szCs w:val="22"/>
          <w:lang w:eastAsia="en-US"/>
        </w:rPr>
        <w:t>Проблемы современных инт</w:t>
      </w:r>
      <w:r w:rsidRPr="008742E9">
        <w:rPr>
          <w:rFonts w:eastAsia="Calibri"/>
          <w:sz w:val="22"/>
          <w:szCs w:val="22"/>
          <w:lang w:eastAsia="en-US"/>
        </w:rPr>
        <w:t>е</w:t>
      </w:r>
      <w:r w:rsidRPr="008742E9">
        <w:rPr>
          <w:rFonts w:eastAsia="Calibri"/>
          <w:sz w:val="22"/>
          <w:szCs w:val="22"/>
          <w:lang w:eastAsia="en-US"/>
        </w:rPr>
        <w:t>грационных процессов и пути их решения. Сборник статей по ит</w:t>
      </w:r>
      <w:r w:rsidRPr="008742E9">
        <w:rPr>
          <w:rFonts w:eastAsia="Calibri"/>
          <w:sz w:val="22"/>
          <w:szCs w:val="22"/>
          <w:lang w:eastAsia="en-US"/>
        </w:rPr>
        <w:t>о</w:t>
      </w:r>
      <w:r w:rsidRPr="008742E9">
        <w:rPr>
          <w:rFonts w:eastAsia="Calibri"/>
          <w:sz w:val="22"/>
          <w:szCs w:val="22"/>
          <w:lang w:eastAsia="en-US"/>
        </w:rPr>
        <w:t>гам Международной научно-практической конференции. 2017. С. 87-89.</w:t>
      </w:r>
    </w:p>
    <w:p w:rsidR="008742E9" w:rsidRPr="008742E9" w:rsidRDefault="008742E9" w:rsidP="00FE6370">
      <w:pPr>
        <w:numPr>
          <w:ilvl w:val="0"/>
          <w:numId w:val="11"/>
        </w:numPr>
        <w:ind w:left="0" w:firstLine="360"/>
        <w:contextualSpacing/>
        <w:jc w:val="both"/>
        <w:rPr>
          <w:rFonts w:eastAsia="Calibri"/>
          <w:sz w:val="22"/>
          <w:szCs w:val="22"/>
          <w:lang w:eastAsia="en-US"/>
        </w:rPr>
      </w:pPr>
      <w:r w:rsidRPr="008742E9">
        <w:rPr>
          <w:rFonts w:eastAsia="Calibri"/>
          <w:sz w:val="22"/>
          <w:szCs w:val="22"/>
          <w:lang w:eastAsia="en-US"/>
        </w:rPr>
        <w:t>Ященко К.В., Дегтярева Е.В. Проблемы экологического с</w:t>
      </w:r>
      <w:r w:rsidRPr="008742E9">
        <w:rPr>
          <w:rFonts w:eastAsia="Calibri"/>
          <w:sz w:val="22"/>
          <w:szCs w:val="22"/>
          <w:lang w:eastAsia="en-US"/>
        </w:rPr>
        <w:t>о</w:t>
      </w:r>
      <w:r w:rsidRPr="008742E9">
        <w:rPr>
          <w:rFonts w:eastAsia="Calibri"/>
          <w:sz w:val="22"/>
          <w:szCs w:val="22"/>
          <w:lang w:eastAsia="en-US"/>
        </w:rPr>
        <w:t>стояния подземных вод в пределах степной зоны Краснодарского края // Современные технологии в мировом научном пространстве. Сборник статей Международной научно-практической конфере</w:t>
      </w:r>
      <w:r w:rsidRPr="008742E9">
        <w:rPr>
          <w:rFonts w:eastAsia="Calibri"/>
          <w:sz w:val="22"/>
          <w:szCs w:val="22"/>
          <w:lang w:eastAsia="en-US"/>
        </w:rPr>
        <w:t>н</w:t>
      </w:r>
      <w:r w:rsidRPr="008742E9">
        <w:rPr>
          <w:rFonts w:eastAsia="Calibri"/>
          <w:sz w:val="22"/>
          <w:szCs w:val="22"/>
          <w:lang w:eastAsia="en-US"/>
        </w:rPr>
        <w:t>ции: в 3 частях. 2017. С. 6-8.</w:t>
      </w:r>
    </w:p>
    <w:p w:rsidR="008742E9" w:rsidRDefault="008742E9" w:rsidP="00451253">
      <w:pPr>
        <w:pStyle w:val="31"/>
        <w:ind w:firstLine="0"/>
        <w:rPr>
          <w:sz w:val="22"/>
          <w:szCs w:val="22"/>
        </w:rPr>
      </w:pPr>
    </w:p>
    <w:p w:rsidR="008742E9" w:rsidRDefault="008742E9" w:rsidP="00451253">
      <w:pPr>
        <w:pStyle w:val="31"/>
        <w:ind w:firstLine="0"/>
        <w:rPr>
          <w:sz w:val="22"/>
          <w:szCs w:val="22"/>
        </w:rPr>
      </w:pPr>
    </w:p>
    <w:p w:rsidR="00FE6370" w:rsidRDefault="00FE6370" w:rsidP="00451253">
      <w:pPr>
        <w:pStyle w:val="31"/>
        <w:ind w:firstLine="0"/>
        <w:rPr>
          <w:sz w:val="22"/>
          <w:szCs w:val="22"/>
        </w:rPr>
      </w:pPr>
    </w:p>
    <w:p w:rsidR="008742E9" w:rsidRDefault="008742E9" w:rsidP="00FE6370">
      <w:pPr>
        <w:contextualSpacing/>
        <w:jc w:val="both"/>
        <w:rPr>
          <w:rFonts w:eastAsia="Calibri"/>
          <w:sz w:val="22"/>
          <w:szCs w:val="22"/>
          <w:lang w:eastAsia="en-US"/>
        </w:rPr>
      </w:pPr>
      <w:r w:rsidRPr="00FE6370">
        <w:rPr>
          <w:rFonts w:eastAsia="Calibri"/>
          <w:sz w:val="22"/>
          <w:szCs w:val="22"/>
          <w:lang w:eastAsia="en-US"/>
        </w:rPr>
        <w:lastRenderedPageBreak/>
        <w:t>УДК 628(075.8)</w:t>
      </w:r>
    </w:p>
    <w:p w:rsidR="00FE6370" w:rsidRPr="00FE6370" w:rsidRDefault="00FE6370" w:rsidP="00FE6370">
      <w:pPr>
        <w:contextualSpacing/>
        <w:jc w:val="both"/>
        <w:rPr>
          <w:rFonts w:eastAsia="Calibri"/>
          <w:sz w:val="22"/>
          <w:szCs w:val="22"/>
          <w:lang w:eastAsia="en-US"/>
        </w:rPr>
      </w:pPr>
    </w:p>
    <w:p w:rsidR="008742E9" w:rsidRPr="00FE6370" w:rsidRDefault="008742E9" w:rsidP="008742E9">
      <w:pPr>
        <w:ind w:firstLine="426"/>
        <w:contextualSpacing/>
        <w:jc w:val="center"/>
        <w:rPr>
          <w:rFonts w:eastAsia="Calibri"/>
          <w:b/>
          <w:sz w:val="24"/>
          <w:szCs w:val="24"/>
          <w:lang w:eastAsia="en-US"/>
        </w:rPr>
      </w:pPr>
      <w:r w:rsidRPr="008742E9">
        <w:rPr>
          <w:rFonts w:eastAsia="Calibri"/>
          <w:b/>
          <w:sz w:val="24"/>
          <w:szCs w:val="24"/>
          <w:lang w:eastAsia="en-US"/>
        </w:rPr>
        <w:t>Мировые</w:t>
      </w:r>
      <w:r w:rsidRPr="00FE6370">
        <w:rPr>
          <w:rFonts w:eastAsia="Calibri"/>
          <w:b/>
          <w:sz w:val="24"/>
          <w:szCs w:val="24"/>
          <w:lang w:eastAsia="en-US"/>
        </w:rPr>
        <w:t xml:space="preserve"> </w:t>
      </w:r>
      <w:r w:rsidRPr="008742E9">
        <w:rPr>
          <w:rFonts w:eastAsia="Calibri"/>
          <w:b/>
          <w:sz w:val="24"/>
          <w:szCs w:val="24"/>
          <w:lang w:eastAsia="en-US"/>
        </w:rPr>
        <w:t>запасы</w:t>
      </w:r>
      <w:r w:rsidRPr="00FE6370">
        <w:rPr>
          <w:rFonts w:eastAsia="Calibri"/>
          <w:b/>
          <w:sz w:val="24"/>
          <w:szCs w:val="24"/>
          <w:lang w:eastAsia="en-US"/>
        </w:rPr>
        <w:t xml:space="preserve"> </w:t>
      </w:r>
      <w:r w:rsidRPr="008742E9">
        <w:rPr>
          <w:rFonts w:eastAsia="Calibri"/>
          <w:b/>
          <w:sz w:val="24"/>
          <w:szCs w:val="24"/>
          <w:lang w:eastAsia="en-US"/>
        </w:rPr>
        <w:t>пресных</w:t>
      </w:r>
      <w:r w:rsidRPr="00FE6370">
        <w:rPr>
          <w:rFonts w:eastAsia="Calibri"/>
          <w:b/>
          <w:sz w:val="24"/>
          <w:szCs w:val="24"/>
          <w:lang w:eastAsia="en-US"/>
        </w:rPr>
        <w:t xml:space="preserve"> </w:t>
      </w:r>
      <w:r w:rsidRPr="008742E9">
        <w:rPr>
          <w:rFonts w:eastAsia="Calibri"/>
          <w:b/>
          <w:sz w:val="24"/>
          <w:szCs w:val="24"/>
          <w:lang w:eastAsia="en-US"/>
        </w:rPr>
        <w:t>вод</w:t>
      </w:r>
    </w:p>
    <w:p w:rsidR="008742E9" w:rsidRPr="008742E9" w:rsidRDefault="008742E9" w:rsidP="008742E9">
      <w:pPr>
        <w:ind w:firstLine="426"/>
        <w:contextualSpacing/>
        <w:jc w:val="center"/>
        <w:rPr>
          <w:rFonts w:eastAsia="Calibri"/>
          <w:b/>
          <w:sz w:val="24"/>
          <w:szCs w:val="24"/>
          <w:lang w:val="en-US" w:eastAsia="en-US"/>
        </w:rPr>
      </w:pPr>
      <w:r w:rsidRPr="008742E9">
        <w:rPr>
          <w:rFonts w:eastAsia="Calibri"/>
          <w:b/>
          <w:sz w:val="24"/>
          <w:szCs w:val="24"/>
          <w:lang w:val="en-US" w:eastAsia="en-US"/>
        </w:rPr>
        <w:t>The world's reserves of fresh water</w:t>
      </w:r>
    </w:p>
    <w:p w:rsidR="008742E9" w:rsidRPr="008742E9" w:rsidRDefault="008742E9" w:rsidP="008742E9">
      <w:pPr>
        <w:ind w:firstLine="426"/>
        <w:contextualSpacing/>
        <w:jc w:val="right"/>
        <w:rPr>
          <w:rFonts w:eastAsia="Calibri"/>
          <w:sz w:val="22"/>
          <w:szCs w:val="22"/>
          <w:lang w:val="en-US" w:eastAsia="en-US"/>
        </w:rPr>
      </w:pPr>
    </w:p>
    <w:p w:rsidR="008742E9" w:rsidRPr="008742E9" w:rsidRDefault="008742E9" w:rsidP="008742E9">
      <w:pPr>
        <w:ind w:firstLine="426"/>
        <w:contextualSpacing/>
        <w:jc w:val="right"/>
        <w:rPr>
          <w:rFonts w:eastAsia="Calibri"/>
          <w:sz w:val="22"/>
          <w:szCs w:val="22"/>
          <w:lang w:eastAsia="en-US"/>
        </w:rPr>
      </w:pPr>
      <w:r w:rsidRPr="008742E9">
        <w:rPr>
          <w:rFonts w:eastAsia="Calibri"/>
          <w:sz w:val="22"/>
          <w:szCs w:val="22"/>
          <w:lang w:eastAsia="en-US"/>
        </w:rPr>
        <w:t>Кухаренко А. А.,</w:t>
      </w:r>
    </w:p>
    <w:p w:rsidR="00FE6370" w:rsidRDefault="00FE6370" w:rsidP="008742E9">
      <w:pPr>
        <w:ind w:firstLine="426"/>
        <w:contextualSpacing/>
        <w:jc w:val="right"/>
        <w:rPr>
          <w:rFonts w:eastAsia="Calibri"/>
          <w:sz w:val="22"/>
          <w:szCs w:val="22"/>
          <w:lang w:eastAsia="en-US"/>
        </w:rPr>
      </w:pPr>
      <w:r>
        <w:rPr>
          <w:rFonts w:eastAsia="Calibri"/>
          <w:sz w:val="22"/>
          <w:szCs w:val="22"/>
          <w:lang w:eastAsia="en-US"/>
        </w:rPr>
        <w:t>студентка 3 курса</w:t>
      </w:r>
    </w:p>
    <w:p w:rsidR="008742E9" w:rsidRPr="008742E9" w:rsidRDefault="00FE6370" w:rsidP="008742E9">
      <w:pPr>
        <w:ind w:firstLine="426"/>
        <w:contextualSpacing/>
        <w:jc w:val="right"/>
        <w:rPr>
          <w:rFonts w:eastAsia="Calibri"/>
          <w:sz w:val="22"/>
          <w:szCs w:val="22"/>
          <w:lang w:eastAsia="en-US"/>
        </w:rPr>
      </w:pPr>
      <w:r>
        <w:rPr>
          <w:rFonts w:eastAsia="Calibri"/>
          <w:sz w:val="22"/>
          <w:szCs w:val="22"/>
          <w:lang w:eastAsia="en-US"/>
        </w:rPr>
        <w:t>факультета гидромелиорации</w:t>
      </w:r>
    </w:p>
    <w:p w:rsidR="008742E9" w:rsidRPr="008742E9" w:rsidRDefault="008742E9" w:rsidP="008742E9">
      <w:pPr>
        <w:ind w:firstLine="426"/>
        <w:contextualSpacing/>
        <w:jc w:val="right"/>
        <w:rPr>
          <w:rFonts w:eastAsia="Calibri"/>
          <w:sz w:val="22"/>
          <w:szCs w:val="22"/>
          <w:lang w:eastAsia="en-US"/>
        </w:rPr>
      </w:pPr>
      <w:r w:rsidRPr="008742E9">
        <w:rPr>
          <w:rFonts w:eastAsia="Calibri"/>
          <w:sz w:val="22"/>
          <w:szCs w:val="22"/>
          <w:lang w:eastAsia="en-US"/>
        </w:rPr>
        <w:t>Орехова В.</w:t>
      </w:r>
      <w:r w:rsidR="00FE6370">
        <w:rPr>
          <w:rFonts w:eastAsia="Calibri"/>
          <w:sz w:val="22"/>
          <w:szCs w:val="22"/>
          <w:lang w:eastAsia="en-US"/>
        </w:rPr>
        <w:t xml:space="preserve"> </w:t>
      </w:r>
      <w:r w:rsidRPr="008742E9">
        <w:rPr>
          <w:rFonts w:eastAsia="Calibri"/>
          <w:sz w:val="22"/>
          <w:szCs w:val="22"/>
          <w:lang w:eastAsia="en-US"/>
        </w:rPr>
        <w:t>И.,</w:t>
      </w:r>
    </w:p>
    <w:p w:rsidR="008742E9" w:rsidRPr="008742E9" w:rsidRDefault="008742E9" w:rsidP="008742E9">
      <w:pPr>
        <w:ind w:firstLine="426"/>
        <w:contextualSpacing/>
        <w:jc w:val="right"/>
        <w:rPr>
          <w:rFonts w:eastAsia="Calibri"/>
          <w:sz w:val="22"/>
          <w:szCs w:val="22"/>
          <w:lang w:eastAsia="en-US"/>
        </w:rPr>
      </w:pPr>
      <w:r w:rsidRPr="008742E9">
        <w:rPr>
          <w:rFonts w:eastAsia="Calibri"/>
          <w:sz w:val="22"/>
          <w:szCs w:val="22"/>
          <w:lang w:eastAsia="en-US"/>
        </w:rPr>
        <w:t>старший преподаватель</w:t>
      </w:r>
    </w:p>
    <w:p w:rsidR="008742E9" w:rsidRPr="008742E9" w:rsidRDefault="008742E9" w:rsidP="008742E9">
      <w:pPr>
        <w:ind w:firstLine="426"/>
        <w:contextualSpacing/>
        <w:jc w:val="right"/>
        <w:rPr>
          <w:rFonts w:eastAsia="Calibri"/>
          <w:sz w:val="22"/>
          <w:szCs w:val="22"/>
          <w:lang w:eastAsia="en-US"/>
        </w:rPr>
      </w:pPr>
      <w:r w:rsidRPr="008742E9">
        <w:rPr>
          <w:rFonts w:eastAsia="Calibri"/>
          <w:sz w:val="22"/>
          <w:szCs w:val="22"/>
          <w:lang w:eastAsia="en-US"/>
        </w:rPr>
        <w:t>кафедры к</w:t>
      </w:r>
      <w:r w:rsidR="00FE6370">
        <w:rPr>
          <w:rFonts w:eastAsia="Calibri"/>
          <w:sz w:val="22"/>
          <w:szCs w:val="22"/>
          <w:lang w:eastAsia="en-US"/>
        </w:rPr>
        <w:t>омплексных систем водоснабжения</w:t>
      </w:r>
    </w:p>
    <w:p w:rsidR="008742E9" w:rsidRPr="008742E9" w:rsidRDefault="008742E9" w:rsidP="008742E9">
      <w:pPr>
        <w:widowControl w:val="0"/>
        <w:tabs>
          <w:tab w:val="left" w:pos="8223"/>
        </w:tabs>
        <w:jc w:val="right"/>
        <w:rPr>
          <w:rFonts w:eastAsia="Courier New"/>
          <w:color w:val="000000"/>
          <w:sz w:val="22"/>
          <w:szCs w:val="22"/>
          <w:lang w:eastAsia="en-US"/>
        </w:rPr>
      </w:pPr>
      <w:r w:rsidRPr="008742E9">
        <w:rPr>
          <w:rFonts w:eastAsia="Courier New"/>
          <w:color w:val="000000"/>
          <w:sz w:val="22"/>
          <w:szCs w:val="22"/>
          <w:lang w:eastAsia="en-US"/>
        </w:rPr>
        <w:t>Кубанский государственный аграрн</w:t>
      </w:r>
      <w:r w:rsidR="00FE6370">
        <w:rPr>
          <w:rFonts w:eastAsia="Courier New"/>
          <w:color w:val="000000"/>
          <w:sz w:val="22"/>
          <w:szCs w:val="22"/>
          <w:lang w:eastAsia="en-US"/>
        </w:rPr>
        <w:t>ый</w:t>
      </w:r>
    </w:p>
    <w:p w:rsidR="008742E9" w:rsidRPr="008742E9" w:rsidRDefault="008742E9" w:rsidP="008742E9">
      <w:pPr>
        <w:widowControl w:val="0"/>
        <w:tabs>
          <w:tab w:val="left" w:pos="8223"/>
        </w:tabs>
        <w:jc w:val="right"/>
        <w:rPr>
          <w:rFonts w:eastAsia="Courier New"/>
          <w:color w:val="000000"/>
          <w:sz w:val="22"/>
          <w:szCs w:val="22"/>
          <w:lang w:eastAsia="en-US"/>
        </w:rPr>
      </w:pPr>
      <w:r w:rsidRPr="008742E9">
        <w:rPr>
          <w:rFonts w:eastAsia="Courier New"/>
          <w:color w:val="000000"/>
          <w:sz w:val="22"/>
          <w:szCs w:val="22"/>
          <w:lang w:eastAsia="en-US"/>
        </w:rPr>
        <w:t>университет имени И.Т. Трубилина</w:t>
      </w:r>
    </w:p>
    <w:p w:rsidR="008742E9" w:rsidRPr="008742E9" w:rsidRDefault="008742E9" w:rsidP="008742E9">
      <w:pPr>
        <w:ind w:firstLine="426"/>
        <w:contextualSpacing/>
        <w:jc w:val="both"/>
        <w:rPr>
          <w:rFonts w:eastAsia="Calibri"/>
          <w:b/>
          <w:sz w:val="22"/>
          <w:szCs w:val="22"/>
          <w:lang w:eastAsia="en-US"/>
        </w:rPr>
      </w:pPr>
    </w:p>
    <w:p w:rsidR="008742E9" w:rsidRPr="008742E9" w:rsidRDefault="008742E9" w:rsidP="008742E9">
      <w:pPr>
        <w:ind w:firstLine="426"/>
        <w:contextualSpacing/>
        <w:jc w:val="both"/>
        <w:rPr>
          <w:rFonts w:eastAsia="Calibri"/>
          <w:sz w:val="22"/>
          <w:szCs w:val="22"/>
          <w:lang w:eastAsia="en-US"/>
        </w:rPr>
      </w:pPr>
      <w:r w:rsidRPr="008742E9">
        <w:rPr>
          <w:rFonts w:eastAsia="Calibri"/>
          <w:sz w:val="22"/>
          <w:szCs w:val="22"/>
          <w:lang w:eastAsia="en-US"/>
        </w:rPr>
        <w:t>АННОТАЦИЯ</w:t>
      </w:r>
      <w:r w:rsidRPr="00FE6370">
        <w:rPr>
          <w:rFonts w:eastAsia="Calibri"/>
          <w:sz w:val="22"/>
          <w:szCs w:val="22"/>
          <w:lang w:eastAsia="en-US"/>
        </w:rPr>
        <w:t xml:space="preserve">: </w:t>
      </w:r>
      <w:r w:rsidRPr="008742E9">
        <w:rPr>
          <w:rFonts w:eastAsia="Calibri"/>
          <w:sz w:val="22"/>
          <w:szCs w:val="22"/>
          <w:lang w:eastAsia="en-US"/>
        </w:rPr>
        <w:t>В статье рассмотрены вопросы распределения объемов пресной воды на планете, основные проблемы их эколог</w:t>
      </w:r>
      <w:r w:rsidRPr="008742E9">
        <w:rPr>
          <w:rFonts w:eastAsia="Calibri"/>
          <w:sz w:val="22"/>
          <w:szCs w:val="22"/>
          <w:lang w:eastAsia="en-US"/>
        </w:rPr>
        <w:t>и</w:t>
      </w:r>
      <w:r w:rsidRPr="008742E9">
        <w:rPr>
          <w:rFonts w:eastAsia="Calibri"/>
          <w:sz w:val="22"/>
          <w:szCs w:val="22"/>
          <w:lang w:eastAsia="en-US"/>
        </w:rPr>
        <w:t>ческого состояния.</w:t>
      </w:r>
    </w:p>
    <w:p w:rsidR="008742E9" w:rsidRPr="008742E9" w:rsidRDefault="008742E9" w:rsidP="008742E9">
      <w:pPr>
        <w:ind w:firstLine="426"/>
        <w:contextualSpacing/>
        <w:jc w:val="both"/>
        <w:rPr>
          <w:rFonts w:eastAsia="Calibri"/>
          <w:sz w:val="22"/>
          <w:szCs w:val="22"/>
          <w:lang w:val="en-US" w:eastAsia="en-US"/>
        </w:rPr>
      </w:pPr>
      <w:r w:rsidRPr="008742E9">
        <w:rPr>
          <w:rFonts w:eastAsia="Calibri"/>
          <w:sz w:val="22"/>
          <w:szCs w:val="22"/>
          <w:lang w:val="en-US" w:eastAsia="en-US"/>
        </w:rPr>
        <w:t>ABSTRACT: the article deals with the distribution of fresh water on the planet, the main problems of their ecological state.</w:t>
      </w:r>
    </w:p>
    <w:p w:rsidR="008742E9" w:rsidRPr="008742E9" w:rsidRDefault="008742E9" w:rsidP="008742E9">
      <w:pPr>
        <w:ind w:firstLine="426"/>
        <w:contextualSpacing/>
        <w:jc w:val="both"/>
        <w:rPr>
          <w:rFonts w:eastAsia="Calibri"/>
          <w:sz w:val="22"/>
          <w:szCs w:val="22"/>
          <w:lang w:eastAsia="en-US"/>
        </w:rPr>
      </w:pPr>
      <w:r w:rsidRPr="008742E9">
        <w:rPr>
          <w:rFonts w:eastAsia="Calibri"/>
          <w:sz w:val="22"/>
          <w:szCs w:val="22"/>
          <w:lang w:eastAsia="en-US"/>
        </w:rPr>
        <w:t>КЛЮЧЕВЫЕ СЛОВА:</w:t>
      </w:r>
      <w:r w:rsidRPr="008742E9">
        <w:rPr>
          <w:rFonts w:eastAsia="Calibri"/>
          <w:b/>
          <w:sz w:val="22"/>
          <w:szCs w:val="22"/>
          <w:lang w:eastAsia="en-US"/>
        </w:rPr>
        <w:t xml:space="preserve"> </w:t>
      </w:r>
      <w:r w:rsidRPr="008742E9">
        <w:rPr>
          <w:rFonts w:eastAsia="Calibri"/>
          <w:sz w:val="22"/>
          <w:szCs w:val="22"/>
          <w:lang w:eastAsia="en-US"/>
        </w:rPr>
        <w:t>Запасы воды, пресная вода, водопотре</w:t>
      </w:r>
      <w:r w:rsidRPr="008742E9">
        <w:rPr>
          <w:rFonts w:eastAsia="Calibri"/>
          <w:sz w:val="22"/>
          <w:szCs w:val="22"/>
          <w:lang w:eastAsia="en-US"/>
        </w:rPr>
        <w:t>б</w:t>
      </w:r>
      <w:r w:rsidRPr="008742E9">
        <w:rPr>
          <w:rFonts w:eastAsia="Calibri"/>
          <w:sz w:val="22"/>
          <w:szCs w:val="22"/>
          <w:lang w:eastAsia="en-US"/>
        </w:rPr>
        <w:t>ление, дефицит водных ресурсов.</w:t>
      </w:r>
    </w:p>
    <w:p w:rsidR="008742E9" w:rsidRPr="008742E9" w:rsidRDefault="008742E9" w:rsidP="008742E9">
      <w:pPr>
        <w:ind w:firstLine="426"/>
        <w:contextualSpacing/>
        <w:jc w:val="both"/>
        <w:rPr>
          <w:rFonts w:eastAsia="Calibri"/>
          <w:sz w:val="22"/>
          <w:szCs w:val="22"/>
          <w:lang w:val="en-US" w:eastAsia="en-US"/>
        </w:rPr>
      </w:pPr>
      <w:r w:rsidRPr="008742E9">
        <w:rPr>
          <w:rFonts w:eastAsia="Calibri"/>
          <w:sz w:val="22"/>
          <w:szCs w:val="22"/>
          <w:lang w:val="en-US" w:eastAsia="en-US"/>
        </w:rPr>
        <w:t>KEYWORDS:</w:t>
      </w:r>
      <w:r w:rsidRPr="008742E9">
        <w:rPr>
          <w:rFonts w:eastAsia="Calibri"/>
          <w:b/>
          <w:sz w:val="22"/>
          <w:szCs w:val="22"/>
          <w:lang w:val="en-US" w:eastAsia="en-US"/>
        </w:rPr>
        <w:t xml:space="preserve"> </w:t>
      </w:r>
      <w:r w:rsidRPr="008742E9">
        <w:rPr>
          <w:rFonts w:eastAsia="Calibri"/>
          <w:sz w:val="22"/>
          <w:szCs w:val="22"/>
          <w:lang w:val="en-US" w:eastAsia="en-US"/>
        </w:rPr>
        <w:t>water Reserves, fresh water, water consumption, w</w:t>
      </w:r>
      <w:r w:rsidRPr="008742E9">
        <w:rPr>
          <w:rFonts w:eastAsia="Calibri"/>
          <w:sz w:val="22"/>
          <w:szCs w:val="22"/>
          <w:lang w:val="en-US" w:eastAsia="en-US"/>
        </w:rPr>
        <w:t>a</w:t>
      </w:r>
      <w:r w:rsidRPr="008742E9">
        <w:rPr>
          <w:rFonts w:eastAsia="Calibri"/>
          <w:sz w:val="22"/>
          <w:szCs w:val="22"/>
          <w:lang w:val="en-US" w:eastAsia="en-US"/>
        </w:rPr>
        <w:t>ter scarcity.</w:t>
      </w:r>
    </w:p>
    <w:p w:rsidR="008742E9" w:rsidRPr="008742E9" w:rsidRDefault="008742E9" w:rsidP="008742E9">
      <w:pPr>
        <w:ind w:firstLine="426"/>
        <w:contextualSpacing/>
        <w:jc w:val="both"/>
        <w:rPr>
          <w:rFonts w:eastAsia="Calibri"/>
          <w:sz w:val="22"/>
          <w:szCs w:val="22"/>
          <w:lang w:val="en-US" w:eastAsia="en-US"/>
        </w:rPr>
      </w:pPr>
    </w:p>
    <w:p w:rsidR="008742E9" w:rsidRPr="008742E9" w:rsidRDefault="008742E9" w:rsidP="00FE6370">
      <w:pPr>
        <w:ind w:firstLine="426"/>
        <w:contextualSpacing/>
        <w:jc w:val="both"/>
        <w:rPr>
          <w:sz w:val="22"/>
          <w:szCs w:val="22"/>
        </w:rPr>
      </w:pPr>
      <w:r w:rsidRPr="008742E9">
        <w:rPr>
          <w:sz w:val="22"/>
          <w:szCs w:val="22"/>
        </w:rPr>
        <w:t>Вода является элементом, благодаря которому зародилась жизнь на земле. Человеческий организм на 75% состоит из воды, поэтому вопрос о запасах пресной воды на планете очень важен. Вода постепенно приобретает статус стратегического продукта [1].</w:t>
      </w:r>
    </w:p>
    <w:p w:rsidR="008742E9" w:rsidRPr="008742E9" w:rsidRDefault="008742E9" w:rsidP="00FE6370">
      <w:pPr>
        <w:ind w:firstLine="426"/>
        <w:contextualSpacing/>
        <w:jc w:val="both"/>
        <w:rPr>
          <w:sz w:val="22"/>
          <w:szCs w:val="22"/>
        </w:rPr>
      </w:pPr>
      <w:r w:rsidRPr="008742E9">
        <w:rPr>
          <w:sz w:val="22"/>
          <w:szCs w:val="22"/>
        </w:rPr>
        <w:t>Вода может считаться пресной, если в ней менее 0,1% соли. При этом, неважно в каком именно состоянии она пребывает: жи</w:t>
      </w:r>
      <w:r w:rsidRPr="008742E9">
        <w:rPr>
          <w:sz w:val="22"/>
          <w:szCs w:val="22"/>
        </w:rPr>
        <w:t>д</w:t>
      </w:r>
      <w:r w:rsidRPr="008742E9">
        <w:rPr>
          <w:sz w:val="22"/>
          <w:szCs w:val="22"/>
        </w:rPr>
        <w:t>ком, твердом или газообразном.</w:t>
      </w:r>
    </w:p>
    <w:p w:rsidR="008742E9" w:rsidRPr="008742E9" w:rsidRDefault="008742E9" w:rsidP="00FE6370">
      <w:pPr>
        <w:ind w:firstLine="426"/>
        <w:contextualSpacing/>
        <w:jc w:val="both"/>
        <w:rPr>
          <w:sz w:val="22"/>
          <w:szCs w:val="22"/>
        </w:rPr>
      </w:pPr>
      <w:r w:rsidRPr="008742E9">
        <w:rPr>
          <w:sz w:val="22"/>
          <w:szCs w:val="22"/>
        </w:rPr>
        <w:t>Около 97,2 % воды, которая находится на планете земля, пр</w:t>
      </w:r>
      <w:r w:rsidRPr="008742E9">
        <w:rPr>
          <w:sz w:val="22"/>
          <w:szCs w:val="22"/>
        </w:rPr>
        <w:t>и</w:t>
      </w:r>
      <w:r w:rsidRPr="008742E9">
        <w:rPr>
          <w:sz w:val="22"/>
          <w:szCs w:val="22"/>
        </w:rPr>
        <w:t>надлежит соленым океанам и морям. И только 2,8% - это пресная вода. На планете она распределяется следующим образом:</w:t>
      </w:r>
    </w:p>
    <w:p w:rsidR="008742E9" w:rsidRPr="008742E9" w:rsidRDefault="008742E9" w:rsidP="00FE6370">
      <w:pPr>
        <w:ind w:firstLine="426"/>
        <w:contextualSpacing/>
        <w:jc w:val="both"/>
        <w:rPr>
          <w:sz w:val="22"/>
          <w:szCs w:val="22"/>
        </w:rPr>
      </w:pPr>
      <w:r w:rsidRPr="008742E9">
        <w:rPr>
          <w:sz w:val="22"/>
          <w:szCs w:val="22"/>
        </w:rPr>
        <w:t>- 2,15% запасов воды заморожено в горах, айсбергах и ледовых покровах Антарктиды;</w:t>
      </w:r>
    </w:p>
    <w:p w:rsidR="008742E9" w:rsidRPr="008742E9" w:rsidRDefault="008742E9" w:rsidP="00FE6370">
      <w:pPr>
        <w:ind w:firstLine="426"/>
        <w:contextualSpacing/>
        <w:jc w:val="both"/>
        <w:rPr>
          <w:sz w:val="22"/>
          <w:szCs w:val="22"/>
        </w:rPr>
      </w:pPr>
      <w:r w:rsidRPr="008742E9">
        <w:rPr>
          <w:sz w:val="22"/>
          <w:szCs w:val="22"/>
        </w:rPr>
        <w:t>- 0, 001% запасов воды находится в атмосфере;</w:t>
      </w:r>
    </w:p>
    <w:p w:rsidR="008742E9" w:rsidRPr="008742E9" w:rsidRDefault="008742E9" w:rsidP="00FE6370">
      <w:pPr>
        <w:ind w:firstLine="426"/>
        <w:contextualSpacing/>
        <w:jc w:val="both"/>
        <w:rPr>
          <w:sz w:val="22"/>
          <w:szCs w:val="22"/>
        </w:rPr>
      </w:pPr>
      <w:r w:rsidRPr="008742E9">
        <w:rPr>
          <w:sz w:val="22"/>
          <w:szCs w:val="22"/>
        </w:rPr>
        <w:lastRenderedPageBreak/>
        <w:t>-  0,65% запасов воды находится в реках, озерах. Отсюда ее и берет человек для своего потребления.</w:t>
      </w:r>
    </w:p>
    <w:p w:rsidR="008742E9" w:rsidRPr="008742E9" w:rsidRDefault="008742E9" w:rsidP="00FE6370">
      <w:pPr>
        <w:ind w:firstLine="426"/>
        <w:contextualSpacing/>
        <w:jc w:val="both"/>
        <w:rPr>
          <w:sz w:val="22"/>
          <w:szCs w:val="22"/>
        </w:rPr>
      </w:pPr>
      <w:r w:rsidRPr="008742E9">
        <w:rPr>
          <w:sz w:val="22"/>
          <w:szCs w:val="22"/>
        </w:rPr>
        <w:t>Считается, что источники пресной воды нескончаемы. П</w:t>
      </w:r>
      <w:r w:rsidRPr="008742E9">
        <w:rPr>
          <w:sz w:val="22"/>
          <w:szCs w:val="22"/>
        </w:rPr>
        <w:t>о</w:t>
      </w:r>
      <w:r w:rsidRPr="008742E9">
        <w:rPr>
          <w:sz w:val="22"/>
          <w:szCs w:val="22"/>
        </w:rPr>
        <w:t>скольку постоянно происходит процесс самовосстановления как следствие кругооборота воды в природе. Ежегодно, как следствие испарения влаги из мирового океана образуется огромный запас пресной воды (около 525 000 км3) в виде облаков. Небольшая его часть все же снова оказывается в океане, но большая часть выпадает на материки в форме снега и дождя, а затем попадает в озера, реки и подземные воды.</w:t>
      </w:r>
    </w:p>
    <w:p w:rsidR="008742E9" w:rsidRPr="008742E9" w:rsidRDefault="008742E9" w:rsidP="00FE6370">
      <w:pPr>
        <w:ind w:firstLine="426"/>
        <w:contextualSpacing/>
        <w:jc w:val="both"/>
        <w:rPr>
          <w:sz w:val="22"/>
          <w:szCs w:val="22"/>
        </w:rPr>
      </w:pPr>
      <w:r w:rsidRPr="008742E9">
        <w:rPr>
          <w:sz w:val="22"/>
          <w:szCs w:val="22"/>
        </w:rPr>
        <w:t>Даже такой небольшой процент доступной пресной воды смог бы покрыть все нужды человечества, если бы ее запасы были ра</w:t>
      </w:r>
      <w:r w:rsidRPr="008742E9">
        <w:rPr>
          <w:sz w:val="22"/>
          <w:szCs w:val="22"/>
        </w:rPr>
        <w:t>в</w:t>
      </w:r>
      <w:r w:rsidRPr="008742E9">
        <w:rPr>
          <w:sz w:val="22"/>
          <w:szCs w:val="22"/>
        </w:rPr>
        <w:t>номерно распределены по планете, но это не так.</w:t>
      </w:r>
    </w:p>
    <w:p w:rsidR="008742E9" w:rsidRPr="008742E9" w:rsidRDefault="008742E9" w:rsidP="00FE6370">
      <w:pPr>
        <w:ind w:firstLine="426"/>
        <w:contextualSpacing/>
        <w:jc w:val="both"/>
        <w:rPr>
          <w:sz w:val="22"/>
          <w:szCs w:val="22"/>
        </w:rPr>
      </w:pPr>
      <w:r w:rsidRPr="008742E9">
        <w:rPr>
          <w:sz w:val="22"/>
          <w:szCs w:val="22"/>
        </w:rPr>
        <w:t>Продовольственная и сельскохозяйственная организация ООН (FAO) выделила несколько территорий, уровень потребления воды, которыми превышает объем возобновляемых водных ресурсов:</w:t>
      </w:r>
    </w:p>
    <w:p w:rsidR="008742E9" w:rsidRPr="008742E9" w:rsidRDefault="008742E9" w:rsidP="00FE6370">
      <w:pPr>
        <w:ind w:firstLine="426"/>
        <w:contextualSpacing/>
        <w:jc w:val="both"/>
        <w:rPr>
          <w:sz w:val="22"/>
          <w:szCs w:val="22"/>
        </w:rPr>
      </w:pPr>
      <w:r w:rsidRPr="008742E9">
        <w:rPr>
          <w:sz w:val="22"/>
          <w:szCs w:val="22"/>
        </w:rPr>
        <w:t>- Аравийский полуостров. Для общественных нужд здесь и</w:t>
      </w:r>
      <w:r w:rsidRPr="008742E9">
        <w:rPr>
          <w:sz w:val="22"/>
          <w:szCs w:val="22"/>
        </w:rPr>
        <w:t>с</w:t>
      </w:r>
      <w:r w:rsidRPr="008742E9">
        <w:rPr>
          <w:sz w:val="22"/>
          <w:szCs w:val="22"/>
        </w:rPr>
        <w:t>пользуют в пять раз больше пресной воды, чем имеется в досту</w:t>
      </w:r>
      <w:r w:rsidRPr="008742E9">
        <w:rPr>
          <w:sz w:val="22"/>
          <w:szCs w:val="22"/>
        </w:rPr>
        <w:t>п</w:t>
      </w:r>
      <w:r w:rsidRPr="008742E9">
        <w:rPr>
          <w:sz w:val="22"/>
          <w:szCs w:val="22"/>
        </w:rPr>
        <w:t>ных природных источниках. Воду сюда экспортируют с помощью танкеров и трубопроводов, проводят процедуры опреснения мо</w:t>
      </w:r>
      <w:r w:rsidRPr="008742E9">
        <w:rPr>
          <w:sz w:val="22"/>
          <w:szCs w:val="22"/>
        </w:rPr>
        <w:t>р</w:t>
      </w:r>
      <w:r w:rsidRPr="008742E9">
        <w:rPr>
          <w:sz w:val="22"/>
          <w:szCs w:val="22"/>
        </w:rPr>
        <w:t>ской воды.</w:t>
      </w:r>
    </w:p>
    <w:p w:rsidR="008742E9" w:rsidRPr="008742E9" w:rsidRDefault="008742E9" w:rsidP="00FE6370">
      <w:pPr>
        <w:ind w:firstLine="426"/>
        <w:contextualSpacing/>
        <w:jc w:val="both"/>
        <w:rPr>
          <w:sz w:val="22"/>
          <w:szCs w:val="22"/>
        </w:rPr>
      </w:pPr>
      <w:r w:rsidRPr="008742E9">
        <w:rPr>
          <w:sz w:val="22"/>
          <w:szCs w:val="22"/>
        </w:rPr>
        <w:t>- Водные ресурсы в Пакистане, Узбекистане и Таджикистане. Здесь потребляют почти 100% возобновляемых водных ресурсов. Более 70% возобновляемых водных ресурсов добывает Иран.</w:t>
      </w:r>
    </w:p>
    <w:p w:rsidR="008742E9" w:rsidRPr="008742E9" w:rsidRDefault="008742E9" w:rsidP="00FE6370">
      <w:pPr>
        <w:ind w:firstLine="426"/>
        <w:contextualSpacing/>
        <w:jc w:val="both"/>
        <w:rPr>
          <w:sz w:val="22"/>
          <w:szCs w:val="22"/>
        </w:rPr>
      </w:pPr>
      <w:r w:rsidRPr="008742E9">
        <w:rPr>
          <w:sz w:val="22"/>
          <w:szCs w:val="22"/>
        </w:rPr>
        <w:t>- Проблемы с пресной водой существуют также в Северной Африке, особенно в Ливии и Египте. В этих странах используют почти 50% водных ресурсов.</w:t>
      </w:r>
    </w:p>
    <w:p w:rsidR="008742E9" w:rsidRPr="008742E9" w:rsidRDefault="008742E9" w:rsidP="00FE6370">
      <w:pPr>
        <w:ind w:firstLine="426"/>
        <w:contextualSpacing/>
        <w:jc w:val="both"/>
        <w:rPr>
          <w:sz w:val="22"/>
          <w:szCs w:val="22"/>
        </w:rPr>
      </w:pPr>
      <w:r w:rsidRPr="008742E9">
        <w:rPr>
          <w:sz w:val="22"/>
          <w:szCs w:val="22"/>
        </w:rPr>
        <w:t>Самую большую потребность испытывают не те страны, где часто бывают засухи, а те, где высокая плотность населения.</w:t>
      </w:r>
    </w:p>
    <w:p w:rsidR="008742E9" w:rsidRPr="008742E9" w:rsidRDefault="008742E9" w:rsidP="00FE6370">
      <w:pPr>
        <w:ind w:firstLine="426"/>
        <w:contextualSpacing/>
        <w:jc w:val="both"/>
        <w:rPr>
          <w:sz w:val="22"/>
          <w:szCs w:val="22"/>
        </w:rPr>
      </w:pPr>
      <w:r w:rsidRPr="008742E9">
        <w:rPr>
          <w:sz w:val="22"/>
          <w:szCs w:val="22"/>
        </w:rPr>
        <w:t>За последние 40 лет количество чистой пресной воды из расч</w:t>
      </w:r>
      <w:r w:rsidRPr="008742E9">
        <w:rPr>
          <w:sz w:val="22"/>
          <w:szCs w:val="22"/>
        </w:rPr>
        <w:t>е</w:t>
      </w:r>
      <w:r w:rsidRPr="008742E9">
        <w:rPr>
          <w:sz w:val="22"/>
          <w:szCs w:val="22"/>
        </w:rPr>
        <w:t>та на одного человека уменьшилось на 60%. Сельское хозяйство - самый большой потребитель пресной воды. На сегодняшний день этот сектор экономики потребляет почти 85% от всего объема и</w:t>
      </w:r>
      <w:r w:rsidRPr="008742E9">
        <w:rPr>
          <w:sz w:val="22"/>
          <w:szCs w:val="22"/>
        </w:rPr>
        <w:t>с</w:t>
      </w:r>
      <w:r w:rsidRPr="008742E9">
        <w:rPr>
          <w:sz w:val="22"/>
          <w:szCs w:val="22"/>
        </w:rPr>
        <w:t>пользуемой человеком пресной воды. Продукция, которую выра</w:t>
      </w:r>
      <w:r w:rsidRPr="008742E9">
        <w:rPr>
          <w:sz w:val="22"/>
          <w:szCs w:val="22"/>
        </w:rPr>
        <w:t>с</w:t>
      </w:r>
      <w:r w:rsidRPr="008742E9">
        <w:rPr>
          <w:sz w:val="22"/>
          <w:szCs w:val="22"/>
        </w:rPr>
        <w:t>тили с помощью искусственного орошения намного дороже той, которая выросла на почве и орошается дождем.</w:t>
      </w:r>
    </w:p>
    <w:p w:rsidR="008742E9" w:rsidRPr="008742E9" w:rsidRDefault="008742E9" w:rsidP="00FE6370">
      <w:pPr>
        <w:ind w:firstLine="426"/>
        <w:contextualSpacing/>
        <w:jc w:val="both"/>
        <w:rPr>
          <w:sz w:val="22"/>
          <w:szCs w:val="22"/>
        </w:rPr>
      </w:pPr>
      <w:r w:rsidRPr="008742E9">
        <w:rPr>
          <w:sz w:val="22"/>
          <w:szCs w:val="22"/>
        </w:rPr>
        <w:lastRenderedPageBreak/>
        <w:t xml:space="preserve">Больше 80 стран мира испытывают дефицит пресной воды. И, с каждым днем, эта проблема все более обостряется. Дефицит воды даже вызывает гуманитарные и государственные конфликты. </w:t>
      </w:r>
    </w:p>
    <w:p w:rsidR="008742E9" w:rsidRPr="008742E9" w:rsidRDefault="008742E9" w:rsidP="00FE6370">
      <w:pPr>
        <w:ind w:firstLine="426"/>
        <w:contextualSpacing/>
        <w:jc w:val="both"/>
        <w:rPr>
          <w:sz w:val="22"/>
          <w:szCs w:val="22"/>
        </w:rPr>
      </w:pPr>
      <w:r w:rsidRPr="008742E9">
        <w:rPr>
          <w:sz w:val="22"/>
          <w:szCs w:val="22"/>
        </w:rPr>
        <w:t>Необходимость в чистой питьевой воде возрастает с каждым годом, а вот ее количество - наоборот только снижается. Почти 2 миллиарда человек ограничено в употреблении воды. По прогнозам специалистов к 2025 году, почти 50 стран мира, где количество ж</w:t>
      </w:r>
      <w:r w:rsidRPr="008742E9">
        <w:rPr>
          <w:sz w:val="22"/>
          <w:szCs w:val="22"/>
        </w:rPr>
        <w:t>и</w:t>
      </w:r>
      <w:r w:rsidRPr="008742E9">
        <w:rPr>
          <w:sz w:val="22"/>
          <w:szCs w:val="22"/>
        </w:rPr>
        <w:t>телей будет превышать 3 миллиарда человек, ощутят проблему д</w:t>
      </w:r>
      <w:r w:rsidRPr="008742E9">
        <w:rPr>
          <w:sz w:val="22"/>
          <w:szCs w:val="22"/>
        </w:rPr>
        <w:t>е</w:t>
      </w:r>
      <w:r w:rsidRPr="008742E9">
        <w:rPr>
          <w:sz w:val="22"/>
          <w:szCs w:val="22"/>
        </w:rPr>
        <w:t>фицита воды [1].</w:t>
      </w:r>
    </w:p>
    <w:p w:rsidR="008742E9" w:rsidRPr="008742E9" w:rsidRDefault="008742E9" w:rsidP="00FE6370">
      <w:pPr>
        <w:ind w:firstLine="426"/>
        <w:contextualSpacing/>
        <w:jc w:val="both"/>
        <w:rPr>
          <w:sz w:val="22"/>
          <w:szCs w:val="22"/>
        </w:rPr>
      </w:pPr>
      <w:r w:rsidRPr="008742E9">
        <w:rPr>
          <w:sz w:val="22"/>
          <w:szCs w:val="22"/>
        </w:rPr>
        <w:t>Актуальным остается вопрос парникового эффекта. Климат</w:t>
      </w:r>
      <w:r w:rsidRPr="008742E9">
        <w:rPr>
          <w:sz w:val="22"/>
          <w:szCs w:val="22"/>
        </w:rPr>
        <w:t>и</w:t>
      </w:r>
      <w:r w:rsidRPr="008742E9">
        <w:rPr>
          <w:sz w:val="22"/>
          <w:szCs w:val="22"/>
        </w:rPr>
        <w:t>ческое состояние Земли постоянно ухудшается из-за постоянного выделения в атмосферу углекислого газа. Это вызывает аномальное перераспределение атмосферных осадков, возникновение засух в тех странах, где их недолжно быть, выпадение снега в Африке, в</w:t>
      </w:r>
      <w:r w:rsidRPr="008742E9">
        <w:rPr>
          <w:sz w:val="22"/>
          <w:szCs w:val="22"/>
        </w:rPr>
        <w:t>ы</w:t>
      </w:r>
      <w:r w:rsidRPr="008742E9">
        <w:rPr>
          <w:sz w:val="22"/>
          <w:szCs w:val="22"/>
        </w:rPr>
        <w:t>соких морозов в Италии или Испании [3].</w:t>
      </w:r>
    </w:p>
    <w:p w:rsidR="008742E9" w:rsidRPr="008742E9" w:rsidRDefault="008742E9" w:rsidP="00FE6370">
      <w:pPr>
        <w:ind w:firstLine="426"/>
        <w:contextualSpacing/>
        <w:jc w:val="both"/>
        <w:rPr>
          <w:sz w:val="22"/>
          <w:szCs w:val="22"/>
        </w:rPr>
      </w:pPr>
      <w:r w:rsidRPr="008742E9">
        <w:rPr>
          <w:sz w:val="22"/>
          <w:szCs w:val="22"/>
        </w:rPr>
        <w:t>Такие аномальные изменения могут вызвать снижение уровня урожайности культур, повышение уровня заболевания растений, размножение популяции вредителей и различных насекомых. Эк</w:t>
      </w:r>
      <w:r w:rsidRPr="008742E9">
        <w:rPr>
          <w:sz w:val="22"/>
          <w:szCs w:val="22"/>
        </w:rPr>
        <w:t>о</w:t>
      </w:r>
      <w:r w:rsidRPr="008742E9">
        <w:rPr>
          <w:sz w:val="22"/>
          <w:szCs w:val="22"/>
        </w:rPr>
        <w:t>система планеты теряет свою стабильность и не может приспос</w:t>
      </w:r>
      <w:r w:rsidRPr="008742E9">
        <w:rPr>
          <w:sz w:val="22"/>
          <w:szCs w:val="22"/>
        </w:rPr>
        <w:t>о</w:t>
      </w:r>
      <w:r w:rsidRPr="008742E9">
        <w:rPr>
          <w:sz w:val="22"/>
          <w:szCs w:val="22"/>
        </w:rPr>
        <w:t>биться к такой быстрой смене условий.</w:t>
      </w:r>
    </w:p>
    <w:p w:rsidR="008742E9" w:rsidRPr="008742E9" w:rsidRDefault="008742E9" w:rsidP="00FE6370">
      <w:pPr>
        <w:ind w:firstLine="426"/>
        <w:contextualSpacing/>
        <w:jc w:val="both"/>
        <w:rPr>
          <w:sz w:val="22"/>
          <w:szCs w:val="22"/>
        </w:rPr>
      </w:pPr>
      <w:r w:rsidRPr="008742E9">
        <w:rPr>
          <w:rFonts w:eastAsia="Calibri"/>
          <w:sz w:val="22"/>
          <w:szCs w:val="22"/>
          <w:lang w:eastAsia="en-US"/>
        </w:rPr>
        <w:t xml:space="preserve"> </w:t>
      </w:r>
      <w:r w:rsidRPr="008742E9">
        <w:rPr>
          <w:sz w:val="22"/>
          <w:szCs w:val="22"/>
        </w:rPr>
        <w:t>Таким образом, можно утверждать, что на планете Земля д</w:t>
      </w:r>
      <w:r w:rsidRPr="008742E9">
        <w:rPr>
          <w:sz w:val="22"/>
          <w:szCs w:val="22"/>
        </w:rPr>
        <w:t>о</w:t>
      </w:r>
      <w:r w:rsidRPr="008742E9">
        <w:rPr>
          <w:sz w:val="22"/>
          <w:szCs w:val="22"/>
        </w:rPr>
        <w:t>статочно запасов водных ресурсов. Основные проблемы водного обеспечения состоят в том, что эти запасы распределены на планете неравномерно и загрязнены существующие доступные источники воды продуктами жизнедеятельности человека (соли тяжелых м</w:t>
      </w:r>
      <w:r w:rsidRPr="008742E9">
        <w:rPr>
          <w:sz w:val="22"/>
          <w:szCs w:val="22"/>
        </w:rPr>
        <w:t>е</w:t>
      </w:r>
      <w:r w:rsidRPr="008742E9">
        <w:rPr>
          <w:sz w:val="22"/>
          <w:szCs w:val="22"/>
        </w:rPr>
        <w:t>таллов, продукты переработки нефти)[3].</w:t>
      </w:r>
    </w:p>
    <w:p w:rsidR="008742E9" w:rsidRPr="008742E9" w:rsidRDefault="008742E9" w:rsidP="00FE6370">
      <w:pPr>
        <w:ind w:firstLine="426"/>
        <w:contextualSpacing/>
        <w:jc w:val="both"/>
        <w:rPr>
          <w:rFonts w:eastAsia="Calibri"/>
          <w:sz w:val="22"/>
          <w:szCs w:val="22"/>
          <w:lang w:eastAsia="en-US"/>
        </w:rPr>
      </w:pPr>
    </w:p>
    <w:p w:rsidR="008742E9" w:rsidRPr="008742E9" w:rsidRDefault="008742E9" w:rsidP="00FE6370">
      <w:pPr>
        <w:ind w:firstLine="426"/>
        <w:contextualSpacing/>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FE6370">
      <w:pPr>
        <w:numPr>
          <w:ilvl w:val="0"/>
          <w:numId w:val="13"/>
        </w:numPr>
        <w:spacing w:after="160"/>
        <w:ind w:left="0" w:firstLine="426"/>
        <w:contextualSpacing/>
        <w:jc w:val="both"/>
        <w:rPr>
          <w:rFonts w:eastAsia="Calibri"/>
          <w:sz w:val="22"/>
          <w:szCs w:val="22"/>
          <w:lang w:eastAsia="en-US"/>
        </w:rPr>
      </w:pPr>
      <w:r w:rsidRPr="008742E9">
        <w:rPr>
          <w:rFonts w:eastAsia="Calibri"/>
          <w:sz w:val="22"/>
          <w:szCs w:val="22"/>
          <w:lang w:eastAsia="en-US"/>
        </w:rPr>
        <w:t>Орлов В.А., Квитка Л. А., Водоснабжение: Учебник. – М.: ИНФРА-М, 2015. – с 5.</w:t>
      </w:r>
    </w:p>
    <w:p w:rsidR="008742E9" w:rsidRPr="008742E9" w:rsidRDefault="008742E9" w:rsidP="00FE6370">
      <w:pPr>
        <w:numPr>
          <w:ilvl w:val="0"/>
          <w:numId w:val="13"/>
        </w:numPr>
        <w:spacing w:after="160"/>
        <w:ind w:left="0" w:firstLine="426"/>
        <w:contextualSpacing/>
        <w:jc w:val="both"/>
        <w:rPr>
          <w:rFonts w:eastAsia="Calibri"/>
          <w:sz w:val="22"/>
          <w:szCs w:val="22"/>
          <w:lang w:eastAsia="en-US"/>
        </w:rPr>
      </w:pPr>
      <w:r w:rsidRPr="008742E9">
        <w:rPr>
          <w:rFonts w:eastAsia="Calibri"/>
          <w:sz w:val="22"/>
          <w:szCs w:val="22"/>
          <w:lang w:eastAsia="en-US"/>
        </w:rPr>
        <w:t>Терещенко С.И. , Орехова В.И. Проблема сохранения экол</w:t>
      </w:r>
      <w:r w:rsidRPr="008742E9">
        <w:rPr>
          <w:rFonts w:eastAsia="Calibri"/>
          <w:sz w:val="22"/>
          <w:szCs w:val="22"/>
          <w:lang w:eastAsia="en-US"/>
        </w:rPr>
        <w:t>о</w:t>
      </w:r>
      <w:r w:rsidRPr="008742E9">
        <w:rPr>
          <w:rFonts w:eastAsia="Calibri"/>
          <w:sz w:val="22"/>
          <w:szCs w:val="22"/>
          <w:lang w:eastAsia="en-US"/>
        </w:rPr>
        <w:t>гии окружающей среды и водных ресурсов в п. Бухта Инал Туа</w:t>
      </w:r>
      <w:r w:rsidRPr="008742E9">
        <w:rPr>
          <w:rFonts w:eastAsia="Calibri"/>
          <w:sz w:val="22"/>
          <w:szCs w:val="22"/>
          <w:lang w:eastAsia="en-US"/>
        </w:rPr>
        <w:t>п</w:t>
      </w:r>
      <w:r w:rsidRPr="008742E9">
        <w:rPr>
          <w:rFonts w:eastAsia="Calibri"/>
          <w:sz w:val="22"/>
          <w:szCs w:val="22"/>
          <w:lang w:eastAsia="en-US"/>
        </w:rPr>
        <w:t xml:space="preserve">синского района //Сборник статей </w:t>
      </w:r>
      <w:r w:rsidRPr="008742E9">
        <w:rPr>
          <w:rFonts w:eastAsia="Calibri"/>
          <w:sz w:val="22"/>
          <w:szCs w:val="22"/>
          <w:lang w:val="en-US" w:eastAsia="en-US"/>
        </w:rPr>
        <w:t>II</w:t>
      </w:r>
      <w:r w:rsidRPr="008742E9">
        <w:rPr>
          <w:rFonts w:eastAsia="Calibri"/>
          <w:sz w:val="22"/>
          <w:szCs w:val="22"/>
          <w:lang w:eastAsia="en-US"/>
        </w:rPr>
        <w:t xml:space="preserve"> Международной научно-практической конференции посвященной году экологии в России «Экологические, правовые и экономические аспекты рационального использования земельных ресурсов». Саратов.2017. С. 134-136.</w:t>
      </w:r>
    </w:p>
    <w:p w:rsidR="008742E9" w:rsidRDefault="008742E9" w:rsidP="008742E9">
      <w:pPr>
        <w:ind w:firstLine="426"/>
        <w:contextualSpacing/>
        <w:rPr>
          <w:rFonts w:eastAsia="Calibri"/>
          <w:sz w:val="22"/>
          <w:szCs w:val="22"/>
          <w:lang w:eastAsia="en-US"/>
        </w:rPr>
      </w:pPr>
    </w:p>
    <w:p w:rsidR="00FE6370" w:rsidRPr="008742E9" w:rsidRDefault="00FE6370" w:rsidP="008742E9">
      <w:pPr>
        <w:ind w:firstLine="426"/>
        <w:contextualSpacing/>
        <w:rPr>
          <w:rFonts w:eastAsia="Calibri"/>
          <w:sz w:val="22"/>
          <w:szCs w:val="22"/>
          <w:lang w:eastAsia="en-US"/>
        </w:rPr>
      </w:pPr>
    </w:p>
    <w:p w:rsidR="008742E9" w:rsidRPr="00FE6370" w:rsidRDefault="008742E9" w:rsidP="008742E9">
      <w:pPr>
        <w:spacing w:after="160"/>
        <w:contextualSpacing/>
        <w:rPr>
          <w:rFonts w:eastAsia="Calibri"/>
          <w:sz w:val="22"/>
          <w:szCs w:val="22"/>
          <w:lang w:eastAsia="en-US"/>
        </w:rPr>
      </w:pPr>
      <w:r w:rsidRPr="00FE6370">
        <w:rPr>
          <w:rFonts w:eastAsia="Calibri"/>
          <w:sz w:val="22"/>
          <w:szCs w:val="22"/>
          <w:lang w:eastAsia="en-US"/>
        </w:rPr>
        <w:lastRenderedPageBreak/>
        <w:t>УДК 628.387</w:t>
      </w:r>
    </w:p>
    <w:p w:rsidR="008742E9" w:rsidRPr="008742E9" w:rsidRDefault="008742E9" w:rsidP="008742E9">
      <w:pPr>
        <w:spacing w:after="160"/>
        <w:contextualSpacing/>
        <w:rPr>
          <w:rFonts w:eastAsia="Calibri"/>
          <w:b/>
          <w:sz w:val="22"/>
          <w:szCs w:val="22"/>
          <w:lang w:eastAsia="en-US"/>
        </w:rPr>
      </w:pPr>
    </w:p>
    <w:p w:rsidR="008742E9" w:rsidRPr="008742E9" w:rsidRDefault="008742E9" w:rsidP="008742E9">
      <w:pPr>
        <w:spacing w:after="160"/>
        <w:contextualSpacing/>
        <w:jc w:val="center"/>
        <w:rPr>
          <w:rFonts w:eastAsia="Calibri"/>
          <w:b/>
          <w:sz w:val="24"/>
          <w:szCs w:val="24"/>
          <w:lang w:eastAsia="en-US"/>
        </w:rPr>
      </w:pPr>
      <w:r w:rsidRPr="008742E9">
        <w:rPr>
          <w:rFonts w:eastAsia="Calibri"/>
          <w:b/>
          <w:sz w:val="24"/>
          <w:szCs w:val="24"/>
          <w:lang w:eastAsia="en-US"/>
        </w:rPr>
        <w:t xml:space="preserve">Водоснабжение и оборотное водопотребление </w:t>
      </w:r>
      <w:r w:rsidR="00FE6370">
        <w:rPr>
          <w:rFonts w:eastAsia="Calibri"/>
          <w:b/>
          <w:sz w:val="24"/>
          <w:szCs w:val="24"/>
          <w:lang w:eastAsia="en-US"/>
        </w:rPr>
        <w:br/>
      </w:r>
      <w:r w:rsidRPr="008742E9">
        <w:rPr>
          <w:rFonts w:eastAsia="Calibri"/>
          <w:b/>
          <w:sz w:val="24"/>
          <w:szCs w:val="24"/>
          <w:lang w:eastAsia="en-US"/>
        </w:rPr>
        <w:t>на предприятиях по переработке рыбы и морепродуктов</w:t>
      </w:r>
    </w:p>
    <w:p w:rsidR="008742E9" w:rsidRPr="00024398" w:rsidRDefault="008742E9" w:rsidP="008742E9">
      <w:pPr>
        <w:spacing w:after="160"/>
        <w:contextualSpacing/>
        <w:jc w:val="center"/>
        <w:rPr>
          <w:rFonts w:eastAsia="Calibri"/>
          <w:b/>
          <w:sz w:val="24"/>
          <w:szCs w:val="24"/>
          <w:lang w:val="en-US" w:eastAsia="en-US"/>
        </w:rPr>
      </w:pPr>
      <w:r w:rsidRPr="008742E9">
        <w:rPr>
          <w:rFonts w:eastAsia="Calibri"/>
          <w:b/>
          <w:sz w:val="24"/>
          <w:szCs w:val="24"/>
          <w:lang w:val="en-US" w:eastAsia="en-US"/>
        </w:rPr>
        <w:t>Water</w:t>
      </w:r>
      <w:r w:rsidRPr="00024398">
        <w:rPr>
          <w:rFonts w:eastAsia="Calibri"/>
          <w:b/>
          <w:sz w:val="24"/>
          <w:szCs w:val="24"/>
          <w:lang w:val="en-US" w:eastAsia="en-US"/>
        </w:rPr>
        <w:t xml:space="preserve"> </w:t>
      </w:r>
      <w:r w:rsidRPr="008742E9">
        <w:rPr>
          <w:rFonts w:eastAsia="Calibri"/>
          <w:b/>
          <w:sz w:val="24"/>
          <w:szCs w:val="24"/>
          <w:lang w:val="en-US" w:eastAsia="en-US"/>
        </w:rPr>
        <w:t>supply</w:t>
      </w:r>
      <w:r w:rsidRPr="00024398">
        <w:rPr>
          <w:rFonts w:eastAsia="Calibri"/>
          <w:b/>
          <w:sz w:val="24"/>
          <w:szCs w:val="24"/>
          <w:lang w:val="en-US" w:eastAsia="en-US"/>
        </w:rPr>
        <w:t xml:space="preserve"> </w:t>
      </w:r>
      <w:r w:rsidRPr="008742E9">
        <w:rPr>
          <w:rFonts w:eastAsia="Calibri"/>
          <w:b/>
          <w:sz w:val="24"/>
          <w:szCs w:val="24"/>
          <w:lang w:val="en-US" w:eastAsia="en-US"/>
        </w:rPr>
        <w:t>and</w:t>
      </w:r>
      <w:r w:rsidRPr="00024398">
        <w:rPr>
          <w:rFonts w:eastAsia="Calibri"/>
          <w:b/>
          <w:sz w:val="24"/>
          <w:szCs w:val="24"/>
          <w:lang w:val="en-US" w:eastAsia="en-US"/>
        </w:rPr>
        <w:t xml:space="preserve"> </w:t>
      </w:r>
      <w:r w:rsidRPr="008742E9">
        <w:rPr>
          <w:rFonts w:eastAsia="Calibri"/>
          <w:b/>
          <w:sz w:val="24"/>
          <w:szCs w:val="24"/>
          <w:lang w:val="en-US" w:eastAsia="en-US"/>
        </w:rPr>
        <w:t>current</w:t>
      </w:r>
      <w:r w:rsidRPr="00024398">
        <w:rPr>
          <w:rFonts w:eastAsia="Calibri"/>
          <w:b/>
          <w:sz w:val="24"/>
          <w:szCs w:val="24"/>
          <w:lang w:val="en-US" w:eastAsia="en-US"/>
        </w:rPr>
        <w:t xml:space="preserve"> </w:t>
      </w:r>
      <w:r w:rsidRPr="008742E9">
        <w:rPr>
          <w:rFonts w:eastAsia="Calibri"/>
          <w:b/>
          <w:sz w:val="24"/>
          <w:szCs w:val="24"/>
          <w:lang w:val="en-US" w:eastAsia="en-US"/>
        </w:rPr>
        <w:t>water</w:t>
      </w:r>
      <w:r w:rsidRPr="00024398">
        <w:rPr>
          <w:rFonts w:eastAsia="Calibri"/>
          <w:b/>
          <w:sz w:val="24"/>
          <w:szCs w:val="24"/>
          <w:lang w:val="en-US" w:eastAsia="en-US"/>
        </w:rPr>
        <w:t xml:space="preserve"> </w:t>
      </w:r>
      <w:r w:rsidRPr="008742E9">
        <w:rPr>
          <w:rFonts w:eastAsia="Calibri"/>
          <w:b/>
          <w:sz w:val="24"/>
          <w:szCs w:val="24"/>
          <w:lang w:val="en-US" w:eastAsia="en-US"/>
        </w:rPr>
        <w:t>consumption</w:t>
      </w:r>
      <w:r w:rsidRPr="00024398">
        <w:rPr>
          <w:rFonts w:eastAsia="Calibri"/>
          <w:b/>
          <w:sz w:val="24"/>
          <w:szCs w:val="24"/>
          <w:lang w:val="en-US" w:eastAsia="en-US"/>
        </w:rPr>
        <w:t xml:space="preserve"> </w:t>
      </w:r>
      <w:r w:rsidRPr="008742E9">
        <w:rPr>
          <w:rFonts w:eastAsia="Calibri"/>
          <w:b/>
          <w:sz w:val="24"/>
          <w:szCs w:val="24"/>
          <w:lang w:val="en-US" w:eastAsia="en-US"/>
        </w:rPr>
        <w:t>at</w:t>
      </w:r>
      <w:r w:rsidRPr="00024398">
        <w:rPr>
          <w:rFonts w:eastAsia="Calibri"/>
          <w:b/>
          <w:sz w:val="24"/>
          <w:szCs w:val="24"/>
          <w:lang w:val="en-US" w:eastAsia="en-US"/>
        </w:rPr>
        <w:t xml:space="preserve"> </w:t>
      </w:r>
      <w:r w:rsidRPr="008742E9">
        <w:rPr>
          <w:rFonts w:eastAsia="Calibri"/>
          <w:b/>
          <w:sz w:val="24"/>
          <w:szCs w:val="24"/>
          <w:lang w:val="en-US" w:eastAsia="en-US"/>
        </w:rPr>
        <w:t>the</w:t>
      </w:r>
      <w:r w:rsidRPr="00024398">
        <w:rPr>
          <w:rFonts w:eastAsia="Calibri"/>
          <w:b/>
          <w:sz w:val="24"/>
          <w:szCs w:val="24"/>
          <w:lang w:val="en-US" w:eastAsia="en-US"/>
        </w:rPr>
        <w:t xml:space="preserve"> </w:t>
      </w:r>
      <w:r w:rsidRPr="008742E9">
        <w:rPr>
          <w:rFonts w:eastAsia="Calibri"/>
          <w:b/>
          <w:sz w:val="24"/>
          <w:szCs w:val="24"/>
          <w:lang w:val="en-US" w:eastAsia="en-US"/>
        </w:rPr>
        <w:t>enterpri</w:t>
      </w:r>
      <w:r w:rsidRPr="008742E9">
        <w:rPr>
          <w:rFonts w:eastAsia="Calibri"/>
          <w:b/>
          <w:sz w:val="24"/>
          <w:szCs w:val="24"/>
          <w:lang w:val="en-US" w:eastAsia="en-US"/>
        </w:rPr>
        <w:t>s</w:t>
      </w:r>
      <w:r w:rsidRPr="008742E9">
        <w:rPr>
          <w:rFonts w:eastAsia="Calibri"/>
          <w:b/>
          <w:sz w:val="24"/>
          <w:szCs w:val="24"/>
          <w:lang w:val="en-US" w:eastAsia="en-US"/>
        </w:rPr>
        <w:t>es</w:t>
      </w:r>
      <w:r w:rsidRPr="00024398">
        <w:rPr>
          <w:rFonts w:eastAsia="Calibri"/>
          <w:b/>
          <w:sz w:val="24"/>
          <w:szCs w:val="24"/>
          <w:lang w:val="en-US" w:eastAsia="en-US"/>
        </w:rPr>
        <w:t xml:space="preserve"> </w:t>
      </w:r>
      <w:r w:rsidRPr="008742E9">
        <w:rPr>
          <w:rFonts w:eastAsia="Calibri"/>
          <w:b/>
          <w:sz w:val="24"/>
          <w:szCs w:val="24"/>
          <w:lang w:val="en-US" w:eastAsia="en-US"/>
        </w:rPr>
        <w:t>for</w:t>
      </w:r>
      <w:r w:rsidRPr="00024398">
        <w:rPr>
          <w:rFonts w:eastAsia="Calibri"/>
          <w:b/>
          <w:sz w:val="24"/>
          <w:szCs w:val="24"/>
          <w:lang w:val="en-US" w:eastAsia="en-US"/>
        </w:rPr>
        <w:t xml:space="preserve"> </w:t>
      </w:r>
      <w:r w:rsidRPr="008742E9">
        <w:rPr>
          <w:rFonts w:eastAsia="Calibri"/>
          <w:b/>
          <w:sz w:val="24"/>
          <w:szCs w:val="24"/>
          <w:lang w:val="en-US" w:eastAsia="en-US"/>
        </w:rPr>
        <w:t>processing</w:t>
      </w:r>
      <w:r w:rsidRPr="00024398">
        <w:rPr>
          <w:rFonts w:eastAsia="Calibri"/>
          <w:b/>
          <w:sz w:val="24"/>
          <w:szCs w:val="24"/>
          <w:lang w:val="en-US" w:eastAsia="en-US"/>
        </w:rPr>
        <w:t xml:space="preserve"> </w:t>
      </w:r>
      <w:r w:rsidRPr="008742E9">
        <w:rPr>
          <w:rFonts w:eastAsia="Calibri"/>
          <w:b/>
          <w:sz w:val="24"/>
          <w:szCs w:val="24"/>
          <w:lang w:val="en-US" w:eastAsia="en-US"/>
        </w:rPr>
        <w:t>of</w:t>
      </w:r>
      <w:r w:rsidRPr="00024398">
        <w:rPr>
          <w:rFonts w:eastAsia="Calibri"/>
          <w:b/>
          <w:sz w:val="24"/>
          <w:szCs w:val="24"/>
          <w:lang w:val="en-US" w:eastAsia="en-US"/>
        </w:rPr>
        <w:t xml:space="preserve"> </w:t>
      </w:r>
      <w:r w:rsidRPr="008742E9">
        <w:rPr>
          <w:rFonts w:eastAsia="Calibri"/>
          <w:b/>
          <w:sz w:val="24"/>
          <w:szCs w:val="24"/>
          <w:lang w:val="en-US" w:eastAsia="en-US"/>
        </w:rPr>
        <w:t>fish</w:t>
      </w:r>
      <w:r w:rsidRPr="00024398">
        <w:rPr>
          <w:rFonts w:eastAsia="Calibri"/>
          <w:b/>
          <w:sz w:val="24"/>
          <w:szCs w:val="24"/>
          <w:lang w:val="en-US" w:eastAsia="en-US"/>
        </w:rPr>
        <w:t xml:space="preserve"> </w:t>
      </w:r>
      <w:r w:rsidRPr="008742E9">
        <w:rPr>
          <w:rFonts w:eastAsia="Calibri"/>
          <w:b/>
          <w:sz w:val="24"/>
          <w:szCs w:val="24"/>
          <w:lang w:val="en-US" w:eastAsia="en-US"/>
        </w:rPr>
        <w:t>and</w:t>
      </w:r>
      <w:r w:rsidRPr="00024398">
        <w:rPr>
          <w:rFonts w:eastAsia="Calibri"/>
          <w:b/>
          <w:sz w:val="24"/>
          <w:szCs w:val="24"/>
          <w:lang w:val="en-US" w:eastAsia="en-US"/>
        </w:rPr>
        <w:t xml:space="preserve"> </w:t>
      </w:r>
      <w:r w:rsidRPr="008742E9">
        <w:rPr>
          <w:rFonts w:eastAsia="Calibri"/>
          <w:b/>
          <w:sz w:val="24"/>
          <w:szCs w:val="24"/>
          <w:lang w:val="en-US" w:eastAsia="en-US"/>
        </w:rPr>
        <w:t>seafood</w:t>
      </w:r>
    </w:p>
    <w:p w:rsidR="008742E9" w:rsidRPr="00024398" w:rsidRDefault="008742E9" w:rsidP="008742E9">
      <w:pPr>
        <w:spacing w:after="160"/>
        <w:contextualSpacing/>
        <w:jc w:val="center"/>
        <w:rPr>
          <w:rFonts w:eastAsia="Calibri"/>
          <w:b/>
          <w:sz w:val="22"/>
          <w:szCs w:val="22"/>
          <w:lang w:val="en-US" w:eastAsia="en-US"/>
        </w:rPr>
      </w:pP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Подольная А. Д.,</w:t>
      </w:r>
    </w:p>
    <w:p w:rsidR="00FE6370"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студент 3-го курса</w:t>
      </w: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 xml:space="preserve"> факультета</w:t>
      </w:r>
      <w:r w:rsidR="00FE6370">
        <w:rPr>
          <w:rFonts w:eastAsia="Calibri"/>
          <w:sz w:val="22"/>
          <w:szCs w:val="22"/>
          <w:lang w:eastAsia="en-US"/>
        </w:rPr>
        <w:t xml:space="preserve"> гидромелиорации</w:t>
      </w: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Орехова В.</w:t>
      </w:r>
      <w:r w:rsidR="00FE6370">
        <w:rPr>
          <w:rFonts w:eastAsia="Calibri"/>
          <w:sz w:val="22"/>
          <w:szCs w:val="22"/>
          <w:lang w:eastAsia="en-US"/>
        </w:rPr>
        <w:t xml:space="preserve"> </w:t>
      </w:r>
      <w:r w:rsidRPr="008742E9">
        <w:rPr>
          <w:rFonts w:eastAsia="Calibri"/>
          <w:sz w:val="22"/>
          <w:szCs w:val="22"/>
          <w:lang w:eastAsia="en-US"/>
        </w:rPr>
        <w:t>И.,</w:t>
      </w:r>
    </w:p>
    <w:p w:rsidR="008742E9" w:rsidRPr="008742E9" w:rsidRDefault="00FE6370" w:rsidP="008742E9">
      <w:pPr>
        <w:spacing w:after="160"/>
        <w:ind w:firstLine="708"/>
        <w:contextualSpacing/>
        <w:jc w:val="right"/>
        <w:rPr>
          <w:rFonts w:eastAsia="Calibri"/>
          <w:sz w:val="22"/>
          <w:szCs w:val="22"/>
          <w:lang w:eastAsia="en-US"/>
        </w:rPr>
      </w:pPr>
      <w:r>
        <w:rPr>
          <w:rFonts w:eastAsia="Calibri"/>
          <w:sz w:val="22"/>
          <w:szCs w:val="22"/>
          <w:lang w:eastAsia="en-US"/>
        </w:rPr>
        <w:t>ст. преподаватель кафедры</w:t>
      </w: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комплексных систем водоснабжения</w:t>
      </w: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spacing w:after="160"/>
        <w:ind w:firstLine="708"/>
        <w:contextualSpacing/>
        <w:jc w:val="right"/>
        <w:rPr>
          <w:rFonts w:eastAsia="Calibri"/>
          <w:sz w:val="22"/>
          <w:szCs w:val="22"/>
          <w:lang w:eastAsia="en-US"/>
        </w:rPr>
      </w:pPr>
      <w:r w:rsidRPr="008742E9">
        <w:rPr>
          <w:rFonts w:eastAsia="Calibri"/>
          <w:sz w:val="22"/>
          <w:szCs w:val="22"/>
          <w:lang w:eastAsia="en-US"/>
        </w:rPr>
        <w:t>университет имени И.</w:t>
      </w:r>
      <w:r w:rsidR="00FE6370">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spacing w:after="160"/>
        <w:ind w:firstLine="708"/>
        <w:contextualSpacing/>
        <w:jc w:val="right"/>
        <w:rPr>
          <w:rFonts w:eastAsia="Calibri"/>
          <w:b/>
          <w:i/>
          <w:sz w:val="22"/>
          <w:szCs w:val="22"/>
          <w:lang w:eastAsia="en-US"/>
        </w:rPr>
      </w:pPr>
    </w:p>
    <w:p w:rsidR="008742E9" w:rsidRPr="00FE6370" w:rsidRDefault="008742E9" w:rsidP="008742E9">
      <w:pPr>
        <w:spacing w:after="160"/>
        <w:ind w:firstLine="425"/>
        <w:contextualSpacing/>
        <w:jc w:val="both"/>
        <w:rPr>
          <w:rFonts w:eastAsia="Calibri"/>
          <w:sz w:val="22"/>
          <w:szCs w:val="22"/>
          <w:lang w:val="en-US" w:eastAsia="en-US"/>
        </w:rPr>
      </w:pPr>
      <w:r w:rsidRPr="00FE6370">
        <w:rPr>
          <w:rFonts w:eastAsia="Calibri"/>
          <w:sz w:val="22"/>
          <w:szCs w:val="22"/>
          <w:lang w:eastAsia="en-US"/>
        </w:rPr>
        <w:t>АННОТАЦИЯ: Изучена проблема потребления большого об</w:t>
      </w:r>
      <w:r w:rsidRPr="00FE6370">
        <w:rPr>
          <w:rFonts w:eastAsia="Calibri"/>
          <w:sz w:val="22"/>
          <w:szCs w:val="22"/>
          <w:lang w:eastAsia="en-US"/>
        </w:rPr>
        <w:t>ъ</w:t>
      </w:r>
      <w:r w:rsidRPr="00FE6370">
        <w:rPr>
          <w:rFonts w:eastAsia="Calibri"/>
          <w:sz w:val="22"/>
          <w:szCs w:val="22"/>
          <w:lang w:eastAsia="en-US"/>
        </w:rPr>
        <w:t>ема вод на рыбоперерабатывающих предприятиях. Рассмотрен</w:t>
      </w:r>
      <w:r w:rsidRPr="00FE6370">
        <w:rPr>
          <w:rFonts w:eastAsia="Calibri"/>
          <w:sz w:val="22"/>
          <w:szCs w:val="22"/>
          <w:lang w:val="en-US" w:eastAsia="en-US"/>
        </w:rPr>
        <w:t xml:space="preserve"> </w:t>
      </w:r>
      <w:r w:rsidRPr="00FE6370">
        <w:rPr>
          <w:rFonts w:eastAsia="Calibri"/>
          <w:sz w:val="22"/>
          <w:szCs w:val="22"/>
          <w:lang w:eastAsia="en-US"/>
        </w:rPr>
        <w:t>пр</w:t>
      </w:r>
      <w:r w:rsidRPr="00FE6370">
        <w:rPr>
          <w:rFonts w:eastAsia="Calibri"/>
          <w:sz w:val="22"/>
          <w:szCs w:val="22"/>
          <w:lang w:eastAsia="en-US"/>
        </w:rPr>
        <w:t>о</w:t>
      </w:r>
      <w:r w:rsidRPr="00FE6370">
        <w:rPr>
          <w:rFonts w:eastAsia="Calibri"/>
          <w:sz w:val="22"/>
          <w:szCs w:val="22"/>
          <w:lang w:eastAsia="en-US"/>
        </w:rPr>
        <w:t>цесс</w:t>
      </w:r>
      <w:r w:rsidRPr="00FE6370">
        <w:rPr>
          <w:rFonts w:eastAsia="Calibri"/>
          <w:sz w:val="22"/>
          <w:szCs w:val="22"/>
          <w:lang w:val="en-US" w:eastAsia="en-US"/>
        </w:rPr>
        <w:t xml:space="preserve"> </w:t>
      </w:r>
      <w:r w:rsidRPr="00FE6370">
        <w:rPr>
          <w:rFonts w:eastAsia="Calibri"/>
          <w:sz w:val="22"/>
          <w:szCs w:val="22"/>
          <w:lang w:eastAsia="en-US"/>
        </w:rPr>
        <w:t>очистки</w:t>
      </w:r>
      <w:r w:rsidRPr="00FE6370">
        <w:rPr>
          <w:rFonts w:eastAsia="Calibri"/>
          <w:sz w:val="22"/>
          <w:szCs w:val="22"/>
          <w:lang w:val="en-US" w:eastAsia="en-US"/>
        </w:rPr>
        <w:t xml:space="preserve"> </w:t>
      </w:r>
      <w:r w:rsidRPr="00FE6370">
        <w:rPr>
          <w:rFonts w:eastAsia="Calibri"/>
          <w:sz w:val="22"/>
          <w:szCs w:val="22"/>
          <w:lang w:eastAsia="en-US"/>
        </w:rPr>
        <w:t>сточных</w:t>
      </w:r>
      <w:r w:rsidRPr="00FE6370">
        <w:rPr>
          <w:rFonts w:eastAsia="Calibri"/>
          <w:sz w:val="22"/>
          <w:szCs w:val="22"/>
          <w:lang w:val="en-US" w:eastAsia="en-US"/>
        </w:rPr>
        <w:t xml:space="preserve"> </w:t>
      </w:r>
      <w:r w:rsidRPr="00FE6370">
        <w:rPr>
          <w:rFonts w:eastAsia="Calibri"/>
          <w:sz w:val="22"/>
          <w:szCs w:val="22"/>
          <w:lang w:eastAsia="en-US"/>
        </w:rPr>
        <w:t>вод</w:t>
      </w:r>
      <w:r w:rsidRPr="00FE6370">
        <w:rPr>
          <w:rFonts w:eastAsia="Calibri"/>
          <w:sz w:val="22"/>
          <w:szCs w:val="22"/>
          <w:lang w:val="en-US" w:eastAsia="en-US"/>
        </w:rPr>
        <w:t xml:space="preserve">. </w:t>
      </w:r>
      <w:r w:rsidRPr="00FE6370">
        <w:rPr>
          <w:rFonts w:eastAsia="Calibri"/>
          <w:sz w:val="22"/>
          <w:szCs w:val="22"/>
          <w:lang w:eastAsia="en-US"/>
        </w:rPr>
        <w:t>Предложен</w:t>
      </w:r>
      <w:r w:rsidRPr="00FE6370">
        <w:rPr>
          <w:rFonts w:eastAsia="Calibri"/>
          <w:sz w:val="22"/>
          <w:szCs w:val="22"/>
          <w:lang w:val="en-US" w:eastAsia="en-US"/>
        </w:rPr>
        <w:t xml:space="preserve"> </w:t>
      </w:r>
      <w:r w:rsidRPr="00FE6370">
        <w:rPr>
          <w:rFonts w:eastAsia="Calibri"/>
          <w:sz w:val="22"/>
          <w:szCs w:val="22"/>
          <w:lang w:eastAsia="en-US"/>
        </w:rPr>
        <w:t>способ</w:t>
      </w:r>
      <w:r w:rsidRPr="00FE6370">
        <w:rPr>
          <w:rFonts w:eastAsia="Calibri"/>
          <w:sz w:val="22"/>
          <w:szCs w:val="22"/>
          <w:lang w:val="en-US" w:eastAsia="en-US"/>
        </w:rPr>
        <w:t xml:space="preserve"> </w:t>
      </w:r>
      <w:r w:rsidRPr="00FE6370">
        <w:rPr>
          <w:rFonts w:eastAsia="Calibri"/>
          <w:sz w:val="22"/>
          <w:szCs w:val="22"/>
          <w:lang w:eastAsia="en-US"/>
        </w:rPr>
        <w:t>экономии</w:t>
      </w:r>
      <w:r w:rsidRPr="00FE6370">
        <w:rPr>
          <w:rFonts w:eastAsia="Calibri"/>
          <w:sz w:val="22"/>
          <w:szCs w:val="22"/>
          <w:lang w:val="en-US" w:eastAsia="en-US"/>
        </w:rPr>
        <w:t xml:space="preserve"> </w:t>
      </w:r>
      <w:r w:rsidRPr="00FE6370">
        <w:rPr>
          <w:rFonts w:eastAsia="Calibri"/>
          <w:sz w:val="22"/>
          <w:szCs w:val="22"/>
          <w:lang w:eastAsia="en-US"/>
        </w:rPr>
        <w:t>воды</w:t>
      </w:r>
      <w:r w:rsidRPr="00FE6370">
        <w:rPr>
          <w:rFonts w:eastAsia="Calibri"/>
          <w:sz w:val="22"/>
          <w:szCs w:val="22"/>
          <w:lang w:val="en-US" w:eastAsia="en-US"/>
        </w:rPr>
        <w:t>.</w:t>
      </w:r>
    </w:p>
    <w:p w:rsidR="008742E9" w:rsidRPr="00FE6370" w:rsidRDefault="008742E9" w:rsidP="008742E9">
      <w:pPr>
        <w:spacing w:after="160"/>
        <w:ind w:firstLine="425"/>
        <w:contextualSpacing/>
        <w:jc w:val="both"/>
        <w:rPr>
          <w:rFonts w:eastAsia="Calibri"/>
          <w:sz w:val="22"/>
          <w:szCs w:val="22"/>
          <w:lang w:val="en-US" w:eastAsia="en-US"/>
        </w:rPr>
      </w:pPr>
      <w:r w:rsidRPr="00FE6370">
        <w:rPr>
          <w:rFonts w:eastAsia="Calibri"/>
          <w:sz w:val="22"/>
          <w:szCs w:val="22"/>
          <w:lang w:val="en-US" w:eastAsia="en-US"/>
        </w:rPr>
        <w:t>ABSTRACT: The problem of consumption of a large volume of water by slaves of processing enterprises is studied. The process of wastewater treatment is considered. The method of water saving is o</w:t>
      </w:r>
      <w:r w:rsidRPr="00FE6370">
        <w:rPr>
          <w:rFonts w:eastAsia="Calibri"/>
          <w:sz w:val="22"/>
          <w:szCs w:val="22"/>
          <w:lang w:val="en-US" w:eastAsia="en-US"/>
        </w:rPr>
        <w:t>f</w:t>
      </w:r>
      <w:r w:rsidRPr="00FE6370">
        <w:rPr>
          <w:rFonts w:eastAsia="Calibri"/>
          <w:sz w:val="22"/>
          <w:szCs w:val="22"/>
          <w:lang w:val="en-US" w:eastAsia="en-US"/>
        </w:rPr>
        <w:t>fered.</w:t>
      </w:r>
    </w:p>
    <w:p w:rsidR="008742E9" w:rsidRPr="00FE6370" w:rsidRDefault="008742E9" w:rsidP="008742E9">
      <w:pPr>
        <w:spacing w:after="160"/>
        <w:ind w:firstLine="425"/>
        <w:contextualSpacing/>
        <w:jc w:val="both"/>
        <w:rPr>
          <w:rFonts w:eastAsia="Calibri"/>
          <w:sz w:val="22"/>
          <w:szCs w:val="22"/>
          <w:lang w:eastAsia="en-US"/>
        </w:rPr>
      </w:pPr>
      <w:r w:rsidRPr="00FE6370">
        <w:rPr>
          <w:rFonts w:eastAsia="Calibri"/>
          <w:sz w:val="22"/>
          <w:szCs w:val="22"/>
          <w:lang w:eastAsia="en-US"/>
        </w:rPr>
        <w:t>КЛЮЧЕВЫЕ СЛОВА: рыба и морепродукты, сточные воды, оборотное водопотребление, очистка сточных вод.</w:t>
      </w:r>
    </w:p>
    <w:p w:rsidR="008742E9" w:rsidRPr="00FE6370" w:rsidRDefault="008742E9" w:rsidP="008742E9">
      <w:pPr>
        <w:spacing w:after="160"/>
        <w:ind w:firstLine="425"/>
        <w:contextualSpacing/>
        <w:jc w:val="both"/>
        <w:rPr>
          <w:rFonts w:eastAsia="Calibri"/>
          <w:sz w:val="22"/>
          <w:szCs w:val="22"/>
          <w:lang w:val="en-US" w:eastAsia="en-US"/>
        </w:rPr>
      </w:pPr>
      <w:r w:rsidRPr="00FE6370">
        <w:rPr>
          <w:rFonts w:eastAsia="Calibri"/>
          <w:bCs/>
          <w:sz w:val="22"/>
          <w:szCs w:val="22"/>
          <w:lang w:val="en-US" w:eastAsia="en-US"/>
        </w:rPr>
        <w:t>KEYWORDS:</w:t>
      </w:r>
      <w:r w:rsidRPr="00FE6370">
        <w:rPr>
          <w:rFonts w:eastAsia="Calibri"/>
          <w:sz w:val="22"/>
          <w:szCs w:val="22"/>
          <w:lang w:val="en-US" w:eastAsia="en-US"/>
        </w:rPr>
        <w:t xml:space="preserve"> fish and seafood, waste water, recycling water, wastewater treatment.</w:t>
      </w:r>
    </w:p>
    <w:p w:rsidR="008742E9" w:rsidRPr="00FE6370" w:rsidRDefault="008742E9" w:rsidP="008742E9">
      <w:pPr>
        <w:spacing w:after="160"/>
        <w:ind w:firstLine="708"/>
        <w:contextualSpacing/>
        <w:jc w:val="both"/>
        <w:rPr>
          <w:rFonts w:eastAsia="Calibri"/>
          <w:sz w:val="22"/>
          <w:szCs w:val="22"/>
          <w:lang w:val="en-US" w:eastAsia="en-US"/>
        </w:rPr>
      </w:pP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Переработка рыбы и морепродуктов требует большого колич</w:t>
      </w:r>
      <w:r w:rsidRPr="008742E9">
        <w:rPr>
          <w:rFonts w:eastAsia="Calibri"/>
          <w:sz w:val="22"/>
          <w:szCs w:val="22"/>
          <w:lang w:eastAsia="en-US"/>
        </w:rPr>
        <w:t>е</w:t>
      </w:r>
      <w:r w:rsidRPr="008742E9">
        <w:rPr>
          <w:rFonts w:eastAsia="Calibri"/>
          <w:sz w:val="22"/>
          <w:szCs w:val="22"/>
          <w:lang w:eastAsia="en-US"/>
        </w:rPr>
        <w:t>ства воды, преимущественно питьевого качества. Она идёт на те</w:t>
      </w:r>
      <w:r w:rsidRPr="008742E9">
        <w:rPr>
          <w:rFonts w:eastAsia="Calibri"/>
          <w:sz w:val="22"/>
          <w:szCs w:val="22"/>
          <w:lang w:eastAsia="en-US"/>
        </w:rPr>
        <w:t>х</w:t>
      </w:r>
      <w:r w:rsidRPr="008742E9">
        <w:rPr>
          <w:rFonts w:eastAsia="Calibri"/>
          <w:sz w:val="22"/>
          <w:szCs w:val="22"/>
          <w:lang w:eastAsia="en-US"/>
        </w:rPr>
        <w:t>нологические цели, а также на питание паровых котлов, охлажд</w:t>
      </w:r>
      <w:r w:rsidRPr="008742E9">
        <w:rPr>
          <w:rFonts w:eastAsia="Calibri"/>
          <w:sz w:val="22"/>
          <w:szCs w:val="22"/>
          <w:lang w:eastAsia="en-US"/>
        </w:rPr>
        <w:t>е</w:t>
      </w:r>
      <w:r w:rsidRPr="008742E9">
        <w:rPr>
          <w:rFonts w:eastAsia="Calibri"/>
          <w:sz w:val="22"/>
          <w:szCs w:val="22"/>
          <w:lang w:eastAsia="en-US"/>
        </w:rPr>
        <w:t>ние, санитарных нужд и ведения технологических процессов [1].</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Для питания паровых котлов используется обработанная сп</w:t>
      </w:r>
      <w:r w:rsidRPr="008742E9">
        <w:rPr>
          <w:rFonts w:eastAsia="Calibri"/>
          <w:sz w:val="22"/>
          <w:szCs w:val="22"/>
          <w:lang w:eastAsia="en-US"/>
        </w:rPr>
        <w:t>е</w:t>
      </w:r>
      <w:r w:rsidRPr="008742E9">
        <w:rPr>
          <w:rFonts w:eastAsia="Calibri"/>
          <w:sz w:val="22"/>
          <w:szCs w:val="22"/>
          <w:lang w:eastAsia="en-US"/>
        </w:rPr>
        <w:t>циальным образом водопроводная вода. Это необходимо для изб</w:t>
      </w:r>
      <w:r w:rsidRPr="008742E9">
        <w:rPr>
          <w:rFonts w:eastAsia="Calibri"/>
          <w:sz w:val="22"/>
          <w:szCs w:val="22"/>
          <w:lang w:eastAsia="en-US"/>
        </w:rPr>
        <w:t>е</w:t>
      </w:r>
      <w:r w:rsidRPr="008742E9">
        <w:rPr>
          <w:rFonts w:eastAsia="Calibri"/>
          <w:sz w:val="22"/>
          <w:szCs w:val="22"/>
          <w:lang w:eastAsia="en-US"/>
        </w:rPr>
        <w:t>гания образования накипи в теплообменных аппаратах, а также для предотвращения коррозии котлов и коммуникаций.</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lastRenderedPageBreak/>
        <w:t xml:space="preserve">Некоторую часть пара используют в теплообменных аппаратах на нагрев продуктов, и далее он возвращается в котельную в виде конденсата. </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Помимо всего этого, используют и холодную воду для отвода тепла в компрессорах холодильных машин, при получении сжатого воздуха, охлаждения консервов и др. Требования к холодной воде на технологических процессах несколько иные – она не должна с</w:t>
      </w:r>
      <w:r w:rsidRPr="008742E9">
        <w:rPr>
          <w:rFonts w:eastAsia="Calibri"/>
          <w:sz w:val="22"/>
          <w:szCs w:val="22"/>
          <w:lang w:eastAsia="en-US"/>
        </w:rPr>
        <w:t>о</w:t>
      </w:r>
      <w:r w:rsidRPr="008742E9">
        <w:rPr>
          <w:rFonts w:eastAsia="Calibri"/>
          <w:sz w:val="22"/>
          <w:szCs w:val="22"/>
          <w:lang w:eastAsia="en-US"/>
        </w:rPr>
        <w:t>держать взвешенных частиц и микроорганизмов.</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Часть воды питьевого качества используют как разбавитель для изготовления наваров, фаршей, соусов, и соответственно эта часть воды не образует сточных вод.</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На промышленных предприятиях должны иметься заводские и локальные очистные сооружения, для того чтобы очищать воду до установленных требований, перед тем как пустить её в оборот или сбросить городскую канализацию [2].</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По возможности система водопотребления рыбоперерабатыв</w:t>
      </w:r>
      <w:r w:rsidRPr="008742E9">
        <w:rPr>
          <w:rFonts w:eastAsia="Calibri"/>
          <w:sz w:val="22"/>
          <w:szCs w:val="22"/>
          <w:lang w:eastAsia="en-US"/>
        </w:rPr>
        <w:t>а</w:t>
      </w:r>
      <w:r w:rsidRPr="008742E9">
        <w:rPr>
          <w:rFonts w:eastAsia="Calibri"/>
          <w:sz w:val="22"/>
          <w:szCs w:val="22"/>
          <w:lang w:eastAsia="en-US"/>
        </w:rPr>
        <w:t>ющих предприятий должна иметь замкнутые циклы, где использ</w:t>
      </w:r>
      <w:r w:rsidRPr="008742E9">
        <w:rPr>
          <w:rFonts w:eastAsia="Calibri"/>
          <w:sz w:val="22"/>
          <w:szCs w:val="22"/>
          <w:lang w:eastAsia="en-US"/>
        </w:rPr>
        <w:t>о</w:t>
      </w:r>
      <w:r w:rsidRPr="008742E9">
        <w:rPr>
          <w:rFonts w:eastAsia="Calibri"/>
          <w:sz w:val="22"/>
          <w:szCs w:val="22"/>
          <w:lang w:eastAsia="en-US"/>
        </w:rPr>
        <w:t>ванная вода пойдёт в оборот, предварительно пройдя необходимую обработку. Прямоточную систему водопотребления следует допу</w:t>
      </w:r>
      <w:r w:rsidRPr="008742E9">
        <w:rPr>
          <w:rFonts w:eastAsia="Calibri"/>
          <w:sz w:val="22"/>
          <w:szCs w:val="22"/>
          <w:lang w:eastAsia="en-US"/>
        </w:rPr>
        <w:t>с</w:t>
      </w:r>
      <w:r w:rsidRPr="008742E9">
        <w:rPr>
          <w:rFonts w:eastAsia="Calibri"/>
          <w:sz w:val="22"/>
          <w:szCs w:val="22"/>
          <w:lang w:eastAsia="en-US"/>
        </w:rPr>
        <w:t>кать, если системы оборотного водопотребления применять нево</w:t>
      </w:r>
      <w:r w:rsidRPr="008742E9">
        <w:rPr>
          <w:rFonts w:eastAsia="Calibri"/>
          <w:sz w:val="22"/>
          <w:szCs w:val="22"/>
          <w:lang w:eastAsia="en-US"/>
        </w:rPr>
        <w:t>з</w:t>
      </w:r>
      <w:r w:rsidRPr="008742E9">
        <w:rPr>
          <w:rFonts w:eastAsia="Calibri"/>
          <w:sz w:val="22"/>
          <w:szCs w:val="22"/>
          <w:lang w:eastAsia="en-US"/>
        </w:rPr>
        <w:t>можно [3].</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Воду, служащую средой для обработки рыбы, перед повторным применением необходимо очистить и обеззаразить.</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На процессах, где сточные воды не сильно загрязняются, нео</w:t>
      </w:r>
      <w:r w:rsidRPr="008742E9">
        <w:rPr>
          <w:rFonts w:eastAsia="Calibri"/>
          <w:sz w:val="22"/>
          <w:szCs w:val="22"/>
          <w:lang w:eastAsia="en-US"/>
        </w:rPr>
        <w:t>б</w:t>
      </w:r>
      <w:r w:rsidRPr="008742E9">
        <w:rPr>
          <w:rFonts w:eastAsia="Calibri"/>
          <w:sz w:val="22"/>
          <w:szCs w:val="22"/>
          <w:lang w:eastAsia="en-US"/>
        </w:rPr>
        <w:t>ходимо создавать системы оборотного водопотребления.</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Существует несколько методов очистки стоков предприятий по переработке рыбы и морепродуктов – механический, биологический и физико-химический. Для очистки от бактерий воду обеззара</w:t>
      </w:r>
      <w:r w:rsidR="00FE6370">
        <w:rPr>
          <w:rFonts w:eastAsia="Calibri"/>
          <w:sz w:val="22"/>
          <w:szCs w:val="22"/>
          <w:lang w:eastAsia="en-US"/>
        </w:rPr>
        <w:t>ж</w:t>
      </w:r>
      <w:r w:rsidR="00FE6370">
        <w:rPr>
          <w:rFonts w:eastAsia="Calibri"/>
          <w:sz w:val="22"/>
          <w:szCs w:val="22"/>
          <w:lang w:eastAsia="en-US"/>
        </w:rPr>
        <w:t>и</w:t>
      </w:r>
      <w:r w:rsidR="00FE6370">
        <w:rPr>
          <w:rFonts w:eastAsia="Calibri"/>
          <w:sz w:val="22"/>
          <w:szCs w:val="22"/>
          <w:lang w:eastAsia="en-US"/>
        </w:rPr>
        <w:t>вают.</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На предприятиях по переработке рыбы и морепродуктов пр</w:t>
      </w:r>
      <w:r w:rsidRPr="008742E9">
        <w:rPr>
          <w:rFonts w:eastAsia="Calibri"/>
          <w:sz w:val="22"/>
          <w:szCs w:val="22"/>
          <w:lang w:eastAsia="en-US"/>
        </w:rPr>
        <w:t>и</w:t>
      </w:r>
      <w:r w:rsidRPr="008742E9">
        <w:rPr>
          <w:rFonts w:eastAsia="Calibri"/>
          <w:sz w:val="22"/>
          <w:szCs w:val="22"/>
          <w:lang w:eastAsia="en-US"/>
        </w:rPr>
        <w:t>меняются общие и локальные очистные сооружения.</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Общие очистные сооружения предназначаются для очистки общих стоков предприятия до показателей, которые позволят сброс стока в городскую канализацию или водоём.</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Локальные очистные сооружения предназначаются для того, чтобы обезвредить сточные воды после технологического оборуд</w:t>
      </w:r>
      <w:r w:rsidRPr="008742E9">
        <w:rPr>
          <w:rFonts w:eastAsia="Calibri"/>
          <w:sz w:val="22"/>
          <w:szCs w:val="22"/>
          <w:lang w:eastAsia="en-US"/>
        </w:rPr>
        <w:t>о</w:t>
      </w:r>
      <w:r w:rsidRPr="008742E9">
        <w:rPr>
          <w:rFonts w:eastAsia="Calibri"/>
          <w:sz w:val="22"/>
          <w:szCs w:val="22"/>
          <w:lang w:eastAsia="en-US"/>
        </w:rPr>
        <w:t xml:space="preserve">вания. </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lastRenderedPageBreak/>
        <w:t>Механическая обработка сточных вод осуществляется с и</w:t>
      </w:r>
      <w:r w:rsidRPr="008742E9">
        <w:rPr>
          <w:rFonts w:eastAsia="Calibri"/>
          <w:sz w:val="22"/>
          <w:szCs w:val="22"/>
          <w:lang w:eastAsia="en-US"/>
        </w:rPr>
        <w:t>с</w:t>
      </w:r>
      <w:r w:rsidRPr="008742E9">
        <w:rPr>
          <w:rFonts w:eastAsia="Calibri"/>
          <w:sz w:val="22"/>
          <w:szCs w:val="22"/>
          <w:lang w:eastAsia="en-US"/>
        </w:rPr>
        <w:t>пользованием песколовок, отстойников, решеток. К сооружениям физико-химической очистки относятся флотационные, электрофл</w:t>
      </w:r>
      <w:r w:rsidRPr="008742E9">
        <w:rPr>
          <w:rFonts w:eastAsia="Calibri"/>
          <w:sz w:val="22"/>
          <w:szCs w:val="22"/>
          <w:lang w:eastAsia="en-US"/>
        </w:rPr>
        <w:t>о</w:t>
      </w:r>
      <w:r w:rsidRPr="008742E9">
        <w:rPr>
          <w:rFonts w:eastAsia="Calibri"/>
          <w:sz w:val="22"/>
          <w:szCs w:val="22"/>
          <w:lang w:eastAsia="en-US"/>
        </w:rPr>
        <w:t>тационные, электрокоагуляционные установки. Для биологической очистки применяются биологические фильтры, пруды, аэротенки и др. Обеззараживание производится путём хлорирования, УФ-облучения, озонирования очищенных сточных вод [4].</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Для выделения из стоков нерастворимых органических и мин</w:t>
      </w:r>
      <w:r w:rsidRPr="008742E9">
        <w:rPr>
          <w:rFonts w:eastAsia="Calibri"/>
          <w:sz w:val="22"/>
          <w:szCs w:val="22"/>
          <w:lang w:eastAsia="en-US"/>
        </w:rPr>
        <w:t>е</w:t>
      </w:r>
      <w:r w:rsidRPr="008742E9">
        <w:rPr>
          <w:rFonts w:eastAsia="Calibri"/>
          <w:sz w:val="22"/>
          <w:szCs w:val="22"/>
          <w:lang w:eastAsia="en-US"/>
        </w:rPr>
        <w:t>ральных соединений применяется механическая очистка. Она включает в себя процеживание через решетки, пескоулавливание, отстаивание и фильтрование.</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Биологическая очистка избавляет сточные воды от многочи</w:t>
      </w:r>
      <w:r w:rsidRPr="008742E9">
        <w:rPr>
          <w:rFonts w:eastAsia="Calibri"/>
          <w:sz w:val="22"/>
          <w:szCs w:val="22"/>
          <w:lang w:eastAsia="en-US"/>
        </w:rPr>
        <w:t>с</w:t>
      </w:r>
      <w:r w:rsidRPr="008742E9">
        <w:rPr>
          <w:rFonts w:eastAsia="Calibri"/>
          <w:sz w:val="22"/>
          <w:szCs w:val="22"/>
          <w:lang w:eastAsia="en-US"/>
        </w:rPr>
        <w:t>ленных органических примесей. Очистка происходит с помощью бактерий, водорослей, микроскопических грибов и простейших.</w:t>
      </w:r>
      <w:r w:rsidRPr="008742E9">
        <w:rPr>
          <w:rFonts w:eastAsia="Calibri"/>
          <w:sz w:val="22"/>
          <w:szCs w:val="22"/>
          <w:lang w:eastAsia="en-US"/>
        </w:rPr>
        <w:tab/>
        <w:t>Перед тем как использовать очищенные стоки в оборотной системе водоснабжения или выпуском вод в городские канализац</w:t>
      </w:r>
      <w:r w:rsidRPr="008742E9">
        <w:rPr>
          <w:rFonts w:eastAsia="Calibri"/>
          <w:sz w:val="22"/>
          <w:szCs w:val="22"/>
          <w:lang w:eastAsia="en-US"/>
        </w:rPr>
        <w:t>и</w:t>
      </w:r>
      <w:r w:rsidRPr="008742E9">
        <w:rPr>
          <w:rFonts w:eastAsia="Calibri"/>
          <w:sz w:val="22"/>
          <w:szCs w:val="22"/>
          <w:lang w:eastAsia="en-US"/>
        </w:rPr>
        <w:t>онные сети, необходимо их обеззаразить. Необходимость этого с</w:t>
      </w:r>
      <w:r w:rsidRPr="008742E9">
        <w:rPr>
          <w:rFonts w:eastAsia="Calibri"/>
          <w:sz w:val="22"/>
          <w:szCs w:val="22"/>
          <w:lang w:eastAsia="en-US"/>
        </w:rPr>
        <w:t>у</w:t>
      </w:r>
      <w:r w:rsidRPr="008742E9">
        <w:rPr>
          <w:rFonts w:eastAsia="Calibri"/>
          <w:sz w:val="22"/>
          <w:szCs w:val="22"/>
          <w:lang w:eastAsia="en-US"/>
        </w:rPr>
        <w:t>ществует, потому что среди оставшихся бактерий после очистки могут быть патогенные вирусы. На практике используют такие м</w:t>
      </w:r>
      <w:r w:rsidRPr="008742E9">
        <w:rPr>
          <w:rFonts w:eastAsia="Calibri"/>
          <w:sz w:val="22"/>
          <w:szCs w:val="22"/>
          <w:lang w:eastAsia="en-US"/>
        </w:rPr>
        <w:t>е</w:t>
      </w:r>
      <w:r w:rsidRPr="008742E9">
        <w:rPr>
          <w:rFonts w:eastAsia="Calibri"/>
          <w:sz w:val="22"/>
          <w:szCs w:val="22"/>
          <w:lang w:eastAsia="en-US"/>
        </w:rPr>
        <w:t>тоды обеззараживания, как хлорирование, озонирование и обрабо</w:t>
      </w:r>
      <w:r w:rsidRPr="008742E9">
        <w:rPr>
          <w:rFonts w:eastAsia="Calibri"/>
          <w:sz w:val="22"/>
          <w:szCs w:val="22"/>
          <w:lang w:eastAsia="en-US"/>
        </w:rPr>
        <w:t>т</w:t>
      </w:r>
      <w:r w:rsidRPr="008742E9">
        <w:rPr>
          <w:rFonts w:eastAsia="Calibri"/>
          <w:sz w:val="22"/>
          <w:szCs w:val="22"/>
          <w:lang w:eastAsia="en-US"/>
        </w:rPr>
        <w:t xml:space="preserve">ка гипохлоритом натрия. </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Для доведения качества воды до необходимых требований и</w:t>
      </w:r>
      <w:r w:rsidRPr="008742E9">
        <w:rPr>
          <w:rFonts w:eastAsia="Calibri"/>
          <w:sz w:val="22"/>
          <w:szCs w:val="22"/>
          <w:lang w:eastAsia="en-US"/>
        </w:rPr>
        <w:t>с</w:t>
      </w:r>
      <w:r w:rsidRPr="008742E9">
        <w:rPr>
          <w:rFonts w:eastAsia="Calibri"/>
          <w:sz w:val="22"/>
          <w:szCs w:val="22"/>
          <w:lang w:eastAsia="en-US"/>
        </w:rPr>
        <w:t>пользуют доочистку. Самые распространённые методы доочистки – сорбционные способ (фильтрование через активированный уголь) и способ ультрафильтрации (фильтрование через пористые мембра</w:t>
      </w:r>
      <w:r w:rsidRPr="008742E9">
        <w:rPr>
          <w:rFonts w:eastAsia="Calibri"/>
          <w:sz w:val="22"/>
          <w:szCs w:val="22"/>
          <w:lang w:eastAsia="en-US"/>
        </w:rPr>
        <w:t>н</w:t>
      </w:r>
      <w:r w:rsidRPr="008742E9">
        <w:rPr>
          <w:rFonts w:eastAsia="Calibri"/>
          <w:sz w:val="22"/>
          <w:szCs w:val="22"/>
          <w:lang w:eastAsia="en-US"/>
        </w:rPr>
        <w:t>ные фильтры).</w:t>
      </w:r>
    </w:p>
    <w:p w:rsidR="008742E9" w:rsidRPr="008742E9" w:rsidRDefault="008742E9" w:rsidP="00FE6370">
      <w:pPr>
        <w:spacing w:after="160"/>
        <w:ind w:firstLine="425"/>
        <w:contextualSpacing/>
        <w:jc w:val="both"/>
        <w:rPr>
          <w:rFonts w:eastAsia="Calibri"/>
          <w:sz w:val="22"/>
          <w:szCs w:val="22"/>
          <w:lang w:eastAsia="en-US"/>
        </w:rPr>
      </w:pPr>
      <w:r w:rsidRPr="008742E9">
        <w:rPr>
          <w:rFonts w:eastAsia="Calibri"/>
          <w:sz w:val="22"/>
          <w:szCs w:val="22"/>
          <w:lang w:eastAsia="en-US"/>
        </w:rPr>
        <w:t>В результате доочистки становится возможным повторное и</w:t>
      </w:r>
      <w:r w:rsidRPr="008742E9">
        <w:rPr>
          <w:rFonts w:eastAsia="Calibri"/>
          <w:sz w:val="22"/>
          <w:szCs w:val="22"/>
          <w:lang w:eastAsia="en-US"/>
        </w:rPr>
        <w:t>с</w:t>
      </w:r>
      <w:r w:rsidRPr="008742E9">
        <w:rPr>
          <w:rFonts w:eastAsia="Calibri"/>
          <w:sz w:val="22"/>
          <w:szCs w:val="22"/>
          <w:lang w:eastAsia="en-US"/>
        </w:rPr>
        <w:t>пользование сточных вод в процессах технологической переработки рыбы и морепродуктов. Что помогает более рационально использ</w:t>
      </w:r>
      <w:r w:rsidRPr="008742E9">
        <w:rPr>
          <w:rFonts w:eastAsia="Calibri"/>
          <w:sz w:val="22"/>
          <w:szCs w:val="22"/>
          <w:lang w:eastAsia="en-US"/>
        </w:rPr>
        <w:t>о</w:t>
      </w:r>
      <w:r w:rsidRPr="008742E9">
        <w:rPr>
          <w:rFonts w:eastAsia="Calibri"/>
          <w:sz w:val="22"/>
          <w:szCs w:val="22"/>
          <w:lang w:eastAsia="en-US"/>
        </w:rPr>
        <w:t>вать питьевую воду и снизить нагрузки на очистные сооружения.</w:t>
      </w:r>
    </w:p>
    <w:p w:rsidR="008742E9" w:rsidRPr="008742E9" w:rsidRDefault="008742E9" w:rsidP="008742E9">
      <w:pPr>
        <w:spacing w:after="160"/>
        <w:contextualSpacing/>
        <w:jc w:val="both"/>
        <w:rPr>
          <w:rFonts w:eastAsia="Calibri"/>
          <w:sz w:val="22"/>
          <w:szCs w:val="22"/>
          <w:lang w:eastAsia="en-US"/>
        </w:rPr>
      </w:pPr>
    </w:p>
    <w:p w:rsidR="008742E9" w:rsidRPr="008742E9" w:rsidRDefault="008742E9" w:rsidP="008742E9">
      <w:pPr>
        <w:spacing w:after="160"/>
        <w:contextualSpacing/>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8742E9">
      <w:pPr>
        <w:spacing w:after="160"/>
        <w:ind w:firstLine="426"/>
        <w:contextualSpacing/>
        <w:jc w:val="both"/>
        <w:rPr>
          <w:rFonts w:eastAsia="Calibri"/>
          <w:sz w:val="22"/>
          <w:szCs w:val="22"/>
          <w:lang w:eastAsia="en-US"/>
        </w:rPr>
      </w:pPr>
      <w:r w:rsidRPr="008742E9">
        <w:rPr>
          <w:rFonts w:eastAsia="Calibri"/>
          <w:sz w:val="22"/>
          <w:szCs w:val="22"/>
          <w:lang w:eastAsia="en-US"/>
        </w:rPr>
        <w:t>1. Васюкова, А.Т. Переработка рыбы и морепродуктов/ А.Т. Васю-кова. - М.: Дашков и Ко, 2009. — 104 с.</w:t>
      </w:r>
    </w:p>
    <w:p w:rsidR="008742E9" w:rsidRPr="008742E9" w:rsidRDefault="008742E9" w:rsidP="008742E9">
      <w:pPr>
        <w:spacing w:after="160"/>
        <w:ind w:firstLine="426"/>
        <w:contextualSpacing/>
        <w:jc w:val="both"/>
        <w:rPr>
          <w:rFonts w:eastAsia="Calibri"/>
          <w:sz w:val="22"/>
          <w:szCs w:val="22"/>
          <w:lang w:eastAsia="en-US"/>
        </w:rPr>
      </w:pPr>
      <w:r w:rsidRPr="008742E9">
        <w:rPr>
          <w:rFonts w:eastAsia="Calibri"/>
          <w:sz w:val="22"/>
          <w:szCs w:val="22"/>
          <w:lang w:eastAsia="en-US"/>
        </w:rPr>
        <w:t>2. Егорова, Н.И. Промышленная экология рыбообрабатыва</w:t>
      </w:r>
      <w:r w:rsidRPr="008742E9">
        <w:rPr>
          <w:rFonts w:eastAsia="Calibri"/>
          <w:sz w:val="22"/>
          <w:szCs w:val="22"/>
          <w:lang w:eastAsia="en-US"/>
        </w:rPr>
        <w:t>ю</w:t>
      </w:r>
      <w:r w:rsidRPr="008742E9">
        <w:rPr>
          <w:rFonts w:eastAsia="Calibri"/>
          <w:sz w:val="22"/>
          <w:szCs w:val="22"/>
          <w:lang w:eastAsia="en-US"/>
        </w:rPr>
        <w:t>щих предприятий/ Н.И. Егорова. - Керчь: КГМТУ, 2008. – 201 с.</w:t>
      </w:r>
    </w:p>
    <w:p w:rsidR="008742E9" w:rsidRPr="008742E9" w:rsidRDefault="008742E9" w:rsidP="008742E9">
      <w:pPr>
        <w:spacing w:after="160"/>
        <w:ind w:firstLine="426"/>
        <w:contextualSpacing/>
        <w:jc w:val="both"/>
        <w:rPr>
          <w:rFonts w:eastAsia="Calibri"/>
          <w:sz w:val="22"/>
          <w:szCs w:val="22"/>
          <w:lang w:eastAsia="en-US"/>
        </w:rPr>
      </w:pPr>
      <w:r w:rsidRPr="008742E9">
        <w:rPr>
          <w:rFonts w:eastAsia="Calibri"/>
          <w:sz w:val="22"/>
          <w:szCs w:val="22"/>
          <w:lang w:eastAsia="en-US"/>
        </w:rPr>
        <w:lastRenderedPageBreak/>
        <w:t>3. Бредихин С.А. Технологическое оборудование рыбоперер</w:t>
      </w:r>
      <w:r w:rsidRPr="008742E9">
        <w:rPr>
          <w:rFonts w:eastAsia="Calibri"/>
          <w:sz w:val="22"/>
          <w:szCs w:val="22"/>
          <w:lang w:eastAsia="en-US"/>
        </w:rPr>
        <w:t>а</w:t>
      </w:r>
      <w:r w:rsidRPr="008742E9">
        <w:rPr>
          <w:rFonts w:eastAsia="Calibri"/>
          <w:sz w:val="22"/>
          <w:szCs w:val="22"/>
          <w:lang w:eastAsia="en-US"/>
        </w:rPr>
        <w:t>батывающих производств/ С.А. Бредихин - М.: Колос, 2005. — 464 с.</w:t>
      </w:r>
    </w:p>
    <w:p w:rsidR="008742E9" w:rsidRPr="008742E9" w:rsidRDefault="008742E9" w:rsidP="008742E9">
      <w:pPr>
        <w:spacing w:after="160"/>
        <w:ind w:firstLine="426"/>
        <w:contextualSpacing/>
        <w:jc w:val="both"/>
        <w:rPr>
          <w:rFonts w:eastAsia="Calibri"/>
          <w:sz w:val="22"/>
          <w:szCs w:val="22"/>
          <w:lang w:eastAsia="en-US"/>
        </w:rPr>
      </w:pPr>
      <w:r w:rsidRPr="008742E9">
        <w:rPr>
          <w:rFonts w:eastAsia="Calibri"/>
          <w:sz w:val="22"/>
          <w:szCs w:val="22"/>
          <w:lang w:eastAsia="en-US"/>
        </w:rPr>
        <w:t>4. Романов, А.А. Справочник по технологическому оборудов</w:t>
      </w:r>
      <w:r w:rsidRPr="008742E9">
        <w:rPr>
          <w:rFonts w:eastAsia="Calibri"/>
          <w:sz w:val="22"/>
          <w:szCs w:val="22"/>
          <w:lang w:eastAsia="en-US"/>
        </w:rPr>
        <w:t>а</w:t>
      </w:r>
      <w:r w:rsidRPr="008742E9">
        <w:rPr>
          <w:rFonts w:eastAsia="Calibri"/>
          <w:sz w:val="22"/>
          <w:szCs w:val="22"/>
          <w:lang w:eastAsia="en-US"/>
        </w:rPr>
        <w:t>нию рыбообрабатывающих производств/ А.А. Романов, Е.К. Стр</w:t>
      </w:r>
      <w:r w:rsidRPr="008742E9">
        <w:rPr>
          <w:rFonts w:eastAsia="Calibri"/>
          <w:sz w:val="22"/>
          <w:szCs w:val="22"/>
          <w:lang w:eastAsia="en-US"/>
        </w:rPr>
        <w:t>о</w:t>
      </w:r>
      <w:r w:rsidRPr="008742E9">
        <w:rPr>
          <w:rFonts w:eastAsia="Calibri"/>
          <w:sz w:val="22"/>
          <w:szCs w:val="22"/>
          <w:lang w:eastAsia="en-US"/>
        </w:rPr>
        <w:t>ганова, И.Е.Зинина. - М.: Пищевая промышленность, 1979. – 327 с.</w:t>
      </w:r>
    </w:p>
    <w:p w:rsidR="008742E9" w:rsidRDefault="008742E9" w:rsidP="00451253">
      <w:pPr>
        <w:pStyle w:val="31"/>
        <w:ind w:firstLine="0"/>
        <w:rPr>
          <w:sz w:val="22"/>
          <w:szCs w:val="22"/>
        </w:rPr>
      </w:pPr>
    </w:p>
    <w:p w:rsidR="00FE6370" w:rsidRDefault="00FE6370" w:rsidP="001D0D35">
      <w:pPr>
        <w:pStyle w:val="31"/>
        <w:ind w:firstLine="0"/>
        <w:rPr>
          <w:sz w:val="22"/>
          <w:szCs w:val="22"/>
        </w:rPr>
      </w:pPr>
    </w:p>
    <w:p w:rsidR="008742E9" w:rsidRPr="00FE6370" w:rsidRDefault="008742E9" w:rsidP="001D0D35">
      <w:pPr>
        <w:tabs>
          <w:tab w:val="left" w:pos="0"/>
          <w:tab w:val="left" w:pos="993"/>
        </w:tabs>
        <w:spacing w:line="270" w:lineRule="atLeast"/>
        <w:ind w:right="170"/>
        <w:rPr>
          <w:color w:val="000000"/>
          <w:sz w:val="22"/>
          <w:szCs w:val="22"/>
        </w:rPr>
      </w:pPr>
      <w:r w:rsidRPr="00FE6370">
        <w:rPr>
          <w:color w:val="000000"/>
          <w:sz w:val="22"/>
          <w:szCs w:val="22"/>
        </w:rPr>
        <w:t>УДК 627.8:504.75</w:t>
      </w:r>
    </w:p>
    <w:p w:rsidR="008742E9" w:rsidRPr="00FE6370" w:rsidRDefault="008742E9" w:rsidP="001D0D35">
      <w:pPr>
        <w:tabs>
          <w:tab w:val="left" w:pos="0"/>
          <w:tab w:val="left" w:pos="993"/>
        </w:tabs>
        <w:spacing w:line="270" w:lineRule="atLeast"/>
        <w:ind w:left="-426" w:right="170"/>
        <w:rPr>
          <w:b/>
          <w:color w:val="000000"/>
          <w:sz w:val="22"/>
          <w:szCs w:val="22"/>
        </w:rPr>
      </w:pPr>
    </w:p>
    <w:p w:rsidR="008742E9" w:rsidRPr="008742E9" w:rsidRDefault="008742E9" w:rsidP="001D0D35">
      <w:pPr>
        <w:tabs>
          <w:tab w:val="left" w:pos="0"/>
          <w:tab w:val="left" w:pos="993"/>
        </w:tabs>
        <w:ind w:right="170"/>
        <w:jc w:val="center"/>
        <w:rPr>
          <w:b/>
          <w:color w:val="000000"/>
          <w:sz w:val="24"/>
          <w:szCs w:val="24"/>
        </w:rPr>
      </w:pPr>
      <w:r w:rsidRPr="008742E9">
        <w:rPr>
          <w:b/>
          <w:color w:val="000000"/>
          <w:sz w:val="24"/>
          <w:szCs w:val="24"/>
        </w:rPr>
        <w:t xml:space="preserve">Иваньковское водохранилище: последствие </w:t>
      </w:r>
      <w:r w:rsidR="001D0D35">
        <w:rPr>
          <w:b/>
          <w:color w:val="000000"/>
          <w:sz w:val="24"/>
          <w:szCs w:val="24"/>
        </w:rPr>
        <w:br/>
        <w:t>строительства</w:t>
      </w:r>
    </w:p>
    <w:p w:rsidR="008742E9" w:rsidRPr="001D0D35" w:rsidRDefault="008742E9" w:rsidP="001D0D35">
      <w:pPr>
        <w:tabs>
          <w:tab w:val="left" w:pos="0"/>
          <w:tab w:val="left" w:pos="993"/>
        </w:tabs>
        <w:spacing w:line="270" w:lineRule="atLeast"/>
        <w:ind w:right="170"/>
        <w:jc w:val="center"/>
        <w:rPr>
          <w:rFonts w:eastAsiaTheme="minorHAnsi"/>
          <w:b/>
          <w:sz w:val="24"/>
          <w:szCs w:val="24"/>
          <w:shd w:val="clear" w:color="auto" w:fill="FFFFFF"/>
          <w:lang w:eastAsia="en-US"/>
        </w:rPr>
      </w:pPr>
      <w:r w:rsidRPr="001D0D35">
        <w:rPr>
          <w:rFonts w:eastAsiaTheme="minorHAnsi"/>
          <w:b/>
          <w:sz w:val="24"/>
          <w:szCs w:val="24"/>
          <w:shd w:val="clear" w:color="auto" w:fill="FFFFFF"/>
          <w:lang w:val="en-US" w:eastAsia="en-US"/>
        </w:rPr>
        <w:t>Ivankovskoe</w:t>
      </w:r>
      <w:r w:rsidRPr="001D0D35">
        <w:rPr>
          <w:rFonts w:eastAsiaTheme="minorHAnsi"/>
          <w:b/>
          <w:sz w:val="24"/>
          <w:szCs w:val="24"/>
          <w:shd w:val="clear" w:color="auto" w:fill="FFFFFF"/>
          <w:lang w:eastAsia="en-US"/>
        </w:rPr>
        <w:t xml:space="preserve"> </w:t>
      </w:r>
      <w:r w:rsidRPr="001D0D35">
        <w:rPr>
          <w:rFonts w:eastAsiaTheme="minorHAnsi"/>
          <w:b/>
          <w:sz w:val="24"/>
          <w:szCs w:val="24"/>
          <w:shd w:val="clear" w:color="auto" w:fill="FFFFFF"/>
          <w:lang w:val="en-US" w:eastAsia="en-US"/>
        </w:rPr>
        <w:t>reservoir</w:t>
      </w:r>
      <w:r w:rsidRPr="001D0D35">
        <w:rPr>
          <w:rFonts w:eastAsiaTheme="minorHAnsi"/>
          <w:b/>
          <w:sz w:val="24"/>
          <w:szCs w:val="24"/>
          <w:shd w:val="clear" w:color="auto" w:fill="FFFFFF"/>
          <w:lang w:eastAsia="en-US"/>
        </w:rPr>
        <w:t xml:space="preserve">: </w:t>
      </w:r>
      <w:r w:rsidRPr="001D0D35">
        <w:rPr>
          <w:rFonts w:eastAsiaTheme="minorHAnsi"/>
          <w:b/>
          <w:sz w:val="24"/>
          <w:szCs w:val="24"/>
          <w:shd w:val="clear" w:color="auto" w:fill="FFFFFF"/>
          <w:lang w:val="en-US" w:eastAsia="en-US"/>
        </w:rPr>
        <w:t>consequence</w:t>
      </w:r>
      <w:r w:rsidRPr="001D0D35">
        <w:rPr>
          <w:rFonts w:eastAsiaTheme="minorHAnsi"/>
          <w:b/>
          <w:sz w:val="24"/>
          <w:szCs w:val="24"/>
          <w:shd w:val="clear" w:color="auto" w:fill="FFFFFF"/>
          <w:lang w:eastAsia="en-US"/>
        </w:rPr>
        <w:t xml:space="preserve"> </w:t>
      </w:r>
      <w:r w:rsidRPr="001D0D35">
        <w:rPr>
          <w:rFonts w:eastAsiaTheme="minorHAnsi"/>
          <w:b/>
          <w:sz w:val="24"/>
          <w:szCs w:val="24"/>
          <w:shd w:val="clear" w:color="auto" w:fill="FFFFFF"/>
          <w:lang w:val="en-US" w:eastAsia="en-US"/>
        </w:rPr>
        <w:t>of</w:t>
      </w:r>
      <w:r w:rsidRPr="001D0D35">
        <w:rPr>
          <w:rFonts w:eastAsiaTheme="minorHAnsi"/>
          <w:b/>
          <w:sz w:val="24"/>
          <w:szCs w:val="24"/>
          <w:shd w:val="clear" w:color="auto" w:fill="FFFFFF"/>
          <w:lang w:eastAsia="en-US"/>
        </w:rPr>
        <w:t xml:space="preserve"> </w:t>
      </w:r>
      <w:r w:rsidRPr="001D0D35">
        <w:rPr>
          <w:rFonts w:eastAsiaTheme="minorHAnsi"/>
          <w:b/>
          <w:sz w:val="24"/>
          <w:szCs w:val="24"/>
          <w:shd w:val="clear" w:color="auto" w:fill="FFFFFF"/>
          <w:lang w:val="en-US" w:eastAsia="en-US"/>
        </w:rPr>
        <w:t>construc</w:t>
      </w:r>
      <w:r w:rsidR="001D0D35" w:rsidRPr="001D0D35">
        <w:rPr>
          <w:rFonts w:eastAsiaTheme="minorHAnsi"/>
          <w:b/>
          <w:sz w:val="24"/>
          <w:szCs w:val="24"/>
          <w:shd w:val="clear" w:color="auto" w:fill="FFFFFF"/>
          <w:lang w:val="en-US" w:eastAsia="en-US"/>
        </w:rPr>
        <w:t>tion</w:t>
      </w:r>
    </w:p>
    <w:p w:rsidR="008742E9" w:rsidRPr="001D0D35" w:rsidRDefault="008742E9" w:rsidP="001D0D35">
      <w:pPr>
        <w:tabs>
          <w:tab w:val="left" w:pos="0"/>
          <w:tab w:val="left" w:pos="993"/>
        </w:tabs>
        <w:spacing w:line="270" w:lineRule="atLeast"/>
        <w:ind w:left="-426" w:right="170"/>
        <w:jc w:val="center"/>
        <w:rPr>
          <w:b/>
          <w:color w:val="000000"/>
          <w:sz w:val="22"/>
          <w:szCs w:val="22"/>
        </w:rPr>
      </w:pPr>
    </w:p>
    <w:p w:rsidR="008742E9" w:rsidRPr="00FE6370" w:rsidRDefault="008742E9" w:rsidP="001D0D35">
      <w:pPr>
        <w:jc w:val="right"/>
        <w:rPr>
          <w:color w:val="000000"/>
          <w:sz w:val="22"/>
          <w:szCs w:val="22"/>
        </w:rPr>
      </w:pPr>
      <w:r w:rsidRPr="00FE6370">
        <w:rPr>
          <w:color w:val="000000"/>
          <w:sz w:val="22"/>
          <w:szCs w:val="22"/>
        </w:rPr>
        <w:t>Прищепа А.</w:t>
      </w:r>
      <w:r w:rsidR="00FE6370">
        <w:rPr>
          <w:color w:val="000000"/>
          <w:sz w:val="22"/>
          <w:szCs w:val="22"/>
        </w:rPr>
        <w:t xml:space="preserve"> </w:t>
      </w:r>
      <w:r w:rsidRPr="00FE6370">
        <w:rPr>
          <w:color w:val="000000"/>
          <w:sz w:val="22"/>
          <w:szCs w:val="22"/>
        </w:rPr>
        <w:t>С.</w:t>
      </w:r>
      <w:r w:rsidR="00FE6370">
        <w:rPr>
          <w:color w:val="000000"/>
          <w:sz w:val="22"/>
          <w:szCs w:val="22"/>
        </w:rPr>
        <w:t>,</w:t>
      </w:r>
      <w:r w:rsidR="00FE6370" w:rsidRPr="00FE6370">
        <w:rPr>
          <w:color w:val="000000"/>
          <w:sz w:val="22"/>
          <w:szCs w:val="22"/>
        </w:rPr>
        <w:t xml:space="preserve"> Анастасьева И.</w:t>
      </w:r>
      <w:r w:rsidR="00FE6370">
        <w:rPr>
          <w:color w:val="000000"/>
          <w:sz w:val="22"/>
          <w:szCs w:val="22"/>
        </w:rPr>
        <w:t xml:space="preserve"> </w:t>
      </w:r>
      <w:r w:rsidR="00FE6370" w:rsidRPr="00FE6370">
        <w:rPr>
          <w:color w:val="000000"/>
          <w:sz w:val="22"/>
          <w:szCs w:val="22"/>
        </w:rPr>
        <w:t>В.</w:t>
      </w:r>
      <w:r w:rsidR="00FE6370">
        <w:rPr>
          <w:color w:val="000000"/>
          <w:sz w:val="22"/>
          <w:szCs w:val="22"/>
        </w:rPr>
        <w:t>,</w:t>
      </w:r>
    </w:p>
    <w:p w:rsidR="008742E9" w:rsidRPr="00FE6370" w:rsidRDefault="008742E9" w:rsidP="001D0D35">
      <w:pPr>
        <w:jc w:val="right"/>
        <w:rPr>
          <w:color w:val="000000"/>
          <w:sz w:val="22"/>
          <w:szCs w:val="22"/>
        </w:rPr>
      </w:pPr>
      <w:r w:rsidRPr="00FE6370">
        <w:rPr>
          <w:color w:val="000000"/>
          <w:sz w:val="22"/>
          <w:szCs w:val="22"/>
        </w:rPr>
        <w:t>студент</w:t>
      </w:r>
      <w:r w:rsidR="00FE6370">
        <w:rPr>
          <w:color w:val="000000"/>
          <w:sz w:val="22"/>
          <w:szCs w:val="22"/>
        </w:rPr>
        <w:t>ы</w:t>
      </w:r>
      <w:r w:rsidRPr="00FE6370">
        <w:rPr>
          <w:color w:val="000000"/>
          <w:sz w:val="22"/>
          <w:szCs w:val="22"/>
        </w:rPr>
        <w:t xml:space="preserve"> 3-го курса факультета гидромелиорации</w:t>
      </w:r>
    </w:p>
    <w:p w:rsidR="008742E9" w:rsidRPr="00FE6370" w:rsidRDefault="008742E9" w:rsidP="001D0D35">
      <w:pPr>
        <w:jc w:val="right"/>
        <w:rPr>
          <w:color w:val="000000"/>
          <w:sz w:val="22"/>
          <w:szCs w:val="22"/>
        </w:rPr>
      </w:pPr>
      <w:r w:rsidRPr="00FE6370">
        <w:rPr>
          <w:color w:val="000000"/>
          <w:sz w:val="22"/>
          <w:szCs w:val="22"/>
        </w:rPr>
        <w:t xml:space="preserve"> Куб</w:t>
      </w:r>
      <w:r w:rsidR="00FE6370">
        <w:rPr>
          <w:color w:val="000000"/>
          <w:sz w:val="22"/>
          <w:szCs w:val="22"/>
        </w:rPr>
        <w:t>анский государственный аграрный</w:t>
      </w:r>
    </w:p>
    <w:p w:rsidR="008742E9" w:rsidRPr="00FE6370" w:rsidRDefault="00FE6370" w:rsidP="001D0D35">
      <w:pPr>
        <w:jc w:val="right"/>
        <w:rPr>
          <w:color w:val="000000"/>
          <w:sz w:val="22"/>
          <w:szCs w:val="22"/>
        </w:rPr>
      </w:pPr>
      <w:r>
        <w:rPr>
          <w:color w:val="000000"/>
          <w:sz w:val="22"/>
          <w:szCs w:val="22"/>
        </w:rPr>
        <w:t>у</w:t>
      </w:r>
      <w:r w:rsidR="008742E9" w:rsidRPr="00FE6370">
        <w:rPr>
          <w:color w:val="000000"/>
          <w:sz w:val="22"/>
          <w:szCs w:val="22"/>
        </w:rPr>
        <w:t>ниверситет имени И.</w:t>
      </w:r>
      <w:r>
        <w:rPr>
          <w:color w:val="000000"/>
          <w:sz w:val="22"/>
          <w:szCs w:val="22"/>
        </w:rPr>
        <w:t xml:space="preserve"> </w:t>
      </w:r>
      <w:r w:rsidR="008742E9" w:rsidRPr="00FE6370">
        <w:rPr>
          <w:color w:val="000000"/>
          <w:sz w:val="22"/>
          <w:szCs w:val="22"/>
        </w:rPr>
        <w:t>Т. Трубилина</w:t>
      </w:r>
    </w:p>
    <w:p w:rsidR="008742E9" w:rsidRPr="00FE6370" w:rsidRDefault="008742E9" w:rsidP="001D0D35">
      <w:pPr>
        <w:jc w:val="both"/>
        <w:rPr>
          <w:color w:val="000000"/>
          <w:sz w:val="22"/>
          <w:szCs w:val="22"/>
        </w:rPr>
      </w:pPr>
    </w:p>
    <w:p w:rsidR="008742E9" w:rsidRPr="00FE6370" w:rsidRDefault="008742E9" w:rsidP="001D0D35">
      <w:pPr>
        <w:ind w:firstLine="426"/>
        <w:jc w:val="both"/>
        <w:rPr>
          <w:color w:val="000000"/>
          <w:sz w:val="22"/>
          <w:szCs w:val="22"/>
        </w:rPr>
      </w:pPr>
      <w:r w:rsidRPr="00FE6370">
        <w:rPr>
          <w:rFonts w:eastAsiaTheme="minorHAnsi"/>
          <w:color w:val="000000"/>
          <w:sz w:val="22"/>
          <w:szCs w:val="22"/>
          <w:lang w:eastAsia="en-US"/>
        </w:rPr>
        <w:t>АННОТАЦИЯ: В статье рассмотрены причины и последствия строительства Иваньковского водохранилища, расположенного около Москвы.</w:t>
      </w:r>
    </w:p>
    <w:p w:rsidR="008742E9" w:rsidRPr="001D0D35" w:rsidRDefault="008742E9" w:rsidP="008742E9">
      <w:pPr>
        <w:ind w:firstLine="426"/>
        <w:jc w:val="both"/>
        <w:rPr>
          <w:sz w:val="22"/>
          <w:szCs w:val="22"/>
          <w:lang w:val="en-US"/>
        </w:rPr>
      </w:pPr>
      <w:r w:rsidRPr="001D0D35">
        <w:rPr>
          <w:rFonts w:eastAsiaTheme="minorHAnsi"/>
          <w:sz w:val="22"/>
          <w:szCs w:val="22"/>
          <w:lang w:val="en-US" w:eastAsia="en-US"/>
        </w:rPr>
        <w:t xml:space="preserve">ANNOTATION: In present article examined </w:t>
      </w:r>
      <w:r w:rsidRPr="001D0D35">
        <w:rPr>
          <w:rFonts w:eastAsiaTheme="minorHAnsi"/>
          <w:sz w:val="22"/>
          <w:szCs w:val="22"/>
          <w:shd w:val="clear" w:color="auto" w:fill="FFFFFF"/>
          <w:lang w:val="en-US" w:eastAsia="en-US"/>
        </w:rPr>
        <w:t>the causes and cons</w:t>
      </w:r>
      <w:r w:rsidRPr="001D0D35">
        <w:rPr>
          <w:rFonts w:eastAsiaTheme="minorHAnsi"/>
          <w:sz w:val="22"/>
          <w:szCs w:val="22"/>
          <w:shd w:val="clear" w:color="auto" w:fill="FFFFFF"/>
          <w:lang w:val="en-US" w:eastAsia="en-US"/>
        </w:rPr>
        <w:t>e</w:t>
      </w:r>
      <w:r w:rsidRPr="001D0D35">
        <w:rPr>
          <w:rFonts w:eastAsiaTheme="minorHAnsi"/>
          <w:sz w:val="22"/>
          <w:szCs w:val="22"/>
          <w:shd w:val="clear" w:color="auto" w:fill="FFFFFF"/>
          <w:lang w:val="en-US" w:eastAsia="en-US"/>
        </w:rPr>
        <w:t>quences of the construction of the Ivankovo reservoir, located near Mo</w:t>
      </w:r>
      <w:r w:rsidRPr="001D0D35">
        <w:rPr>
          <w:rFonts w:eastAsiaTheme="minorHAnsi"/>
          <w:sz w:val="22"/>
          <w:szCs w:val="22"/>
          <w:shd w:val="clear" w:color="auto" w:fill="FFFFFF"/>
          <w:lang w:val="en-US" w:eastAsia="en-US"/>
        </w:rPr>
        <w:t>s</w:t>
      </w:r>
      <w:r w:rsidRPr="001D0D35">
        <w:rPr>
          <w:rFonts w:eastAsiaTheme="minorHAnsi"/>
          <w:sz w:val="22"/>
          <w:szCs w:val="22"/>
          <w:shd w:val="clear" w:color="auto" w:fill="FFFFFF"/>
          <w:lang w:val="en-US" w:eastAsia="en-US"/>
        </w:rPr>
        <w:t>cow.</w:t>
      </w:r>
    </w:p>
    <w:p w:rsidR="008742E9" w:rsidRPr="001D0D35" w:rsidRDefault="008742E9" w:rsidP="008742E9">
      <w:pPr>
        <w:ind w:firstLine="426"/>
        <w:jc w:val="both"/>
        <w:rPr>
          <w:rFonts w:eastAsiaTheme="minorHAnsi"/>
          <w:sz w:val="22"/>
          <w:szCs w:val="22"/>
          <w:shd w:val="clear" w:color="auto" w:fill="FFFFFF"/>
          <w:lang w:eastAsia="en-US"/>
        </w:rPr>
      </w:pPr>
      <w:r w:rsidRPr="001D0D35">
        <w:rPr>
          <w:rFonts w:eastAsiaTheme="minorHAnsi"/>
          <w:sz w:val="22"/>
          <w:szCs w:val="22"/>
          <w:lang w:eastAsia="en-US"/>
        </w:rPr>
        <w:t>КЛЮЧЕВЫЕ СЛОВА:</w:t>
      </w:r>
      <w:r w:rsidRPr="001D0D35">
        <w:rPr>
          <w:rFonts w:eastAsiaTheme="minorHAnsi"/>
          <w:sz w:val="22"/>
          <w:szCs w:val="22"/>
          <w:shd w:val="clear" w:color="auto" w:fill="FFFFFF"/>
          <w:lang w:eastAsia="en-US"/>
        </w:rPr>
        <w:t xml:space="preserve"> водохранилище, питьевая вода, донные осадки, качество воды.</w:t>
      </w:r>
    </w:p>
    <w:p w:rsidR="008742E9" w:rsidRPr="001D0D35" w:rsidRDefault="008742E9" w:rsidP="008742E9">
      <w:pPr>
        <w:ind w:firstLine="426"/>
        <w:jc w:val="both"/>
        <w:rPr>
          <w:rFonts w:eastAsiaTheme="minorHAnsi"/>
          <w:sz w:val="22"/>
          <w:szCs w:val="22"/>
          <w:lang w:val="en-US" w:eastAsia="en-US"/>
        </w:rPr>
      </w:pPr>
      <w:r w:rsidRPr="001D0D35">
        <w:rPr>
          <w:rFonts w:eastAsiaTheme="minorHAnsi"/>
          <w:sz w:val="22"/>
          <w:szCs w:val="22"/>
          <w:lang w:val="en-US" w:eastAsia="en-US"/>
        </w:rPr>
        <w:t>KEYWORD: reservoir, drinking water, bottom sediments, water quality.</w:t>
      </w:r>
    </w:p>
    <w:p w:rsidR="008742E9" w:rsidRPr="00FE6370" w:rsidRDefault="008742E9" w:rsidP="008742E9">
      <w:pPr>
        <w:spacing w:line="276" w:lineRule="auto"/>
        <w:rPr>
          <w:color w:val="000000"/>
          <w:sz w:val="22"/>
          <w:szCs w:val="22"/>
          <w:lang w:val="en-US"/>
        </w:rPr>
      </w:pPr>
    </w:p>
    <w:p w:rsidR="008742E9" w:rsidRPr="008742E9" w:rsidRDefault="008742E9" w:rsidP="00FE6370">
      <w:pPr>
        <w:tabs>
          <w:tab w:val="left" w:pos="426"/>
          <w:tab w:val="left" w:pos="993"/>
        </w:tabs>
        <w:ind w:right="170" w:firstLine="426"/>
        <w:jc w:val="both"/>
        <w:rPr>
          <w:rFonts w:eastAsiaTheme="minorHAnsi"/>
          <w:color w:val="000000"/>
          <w:sz w:val="22"/>
          <w:szCs w:val="22"/>
          <w:shd w:val="clear" w:color="auto" w:fill="F4F1E8"/>
          <w:lang w:eastAsia="en-US"/>
        </w:rPr>
      </w:pPr>
      <w:r w:rsidRPr="008742E9">
        <w:rPr>
          <w:color w:val="000000"/>
          <w:sz w:val="22"/>
          <w:szCs w:val="22"/>
        </w:rPr>
        <w:t>Иваньковское водохранилище (или по-другому Московское море) занимает одно из основных мест в гидрографии Конако</w:t>
      </w:r>
      <w:r w:rsidRPr="008742E9">
        <w:rPr>
          <w:color w:val="000000"/>
          <w:sz w:val="22"/>
          <w:szCs w:val="22"/>
        </w:rPr>
        <w:t>в</w:t>
      </w:r>
      <w:r w:rsidRPr="008742E9">
        <w:rPr>
          <w:color w:val="000000"/>
          <w:sz w:val="22"/>
          <w:szCs w:val="22"/>
        </w:rPr>
        <w:t>ского района. Оно - главный водный объект, один из основных природных объектов, играющих ведущую роль во всем приро</w:t>
      </w:r>
      <w:r w:rsidRPr="008742E9">
        <w:rPr>
          <w:color w:val="000000"/>
          <w:sz w:val="22"/>
          <w:szCs w:val="22"/>
        </w:rPr>
        <w:t>д</w:t>
      </w:r>
      <w:r w:rsidRPr="008742E9">
        <w:rPr>
          <w:color w:val="000000"/>
          <w:sz w:val="22"/>
          <w:szCs w:val="22"/>
        </w:rPr>
        <w:t>ном комплексе района. Это водохранилище находится в 130 к</w:t>
      </w:r>
      <w:r w:rsidRPr="008742E9">
        <w:rPr>
          <w:color w:val="000000"/>
          <w:sz w:val="22"/>
          <w:szCs w:val="22"/>
        </w:rPr>
        <w:t>и</w:t>
      </w:r>
      <w:r w:rsidRPr="008742E9">
        <w:rPr>
          <w:color w:val="000000"/>
          <w:sz w:val="22"/>
          <w:szCs w:val="22"/>
        </w:rPr>
        <w:t>ломет</w:t>
      </w:r>
      <w:r w:rsidR="00FE6370">
        <w:rPr>
          <w:color w:val="000000"/>
          <w:sz w:val="22"/>
          <w:szCs w:val="22"/>
        </w:rPr>
        <w:t xml:space="preserve">рах севернее Москвы. </w:t>
      </w:r>
      <w:r w:rsidRPr="008742E9">
        <w:rPr>
          <w:color w:val="000000"/>
          <w:sz w:val="22"/>
          <w:szCs w:val="22"/>
        </w:rPr>
        <w:t>Начало строительства, вместе с кан</w:t>
      </w:r>
      <w:r w:rsidRPr="008742E9">
        <w:rPr>
          <w:color w:val="000000"/>
          <w:sz w:val="22"/>
          <w:szCs w:val="22"/>
        </w:rPr>
        <w:t>а</w:t>
      </w:r>
      <w:r w:rsidRPr="008742E9">
        <w:rPr>
          <w:color w:val="000000"/>
          <w:sz w:val="22"/>
          <w:szCs w:val="22"/>
        </w:rPr>
        <w:lastRenderedPageBreak/>
        <w:t>лом имени Москвы пришлось на 1932 год. Это водн</w:t>
      </w:r>
      <w:r w:rsidR="00FE6370">
        <w:rPr>
          <w:color w:val="000000"/>
          <w:sz w:val="22"/>
          <w:szCs w:val="22"/>
        </w:rPr>
        <w:t>ые сооруж</w:t>
      </w:r>
      <w:r w:rsidR="00FE6370">
        <w:rPr>
          <w:color w:val="000000"/>
          <w:sz w:val="22"/>
          <w:szCs w:val="22"/>
        </w:rPr>
        <w:t>е</w:t>
      </w:r>
      <w:r w:rsidR="00FE6370">
        <w:rPr>
          <w:color w:val="000000"/>
          <w:sz w:val="22"/>
          <w:szCs w:val="22"/>
        </w:rPr>
        <w:t xml:space="preserve">ния предназначались </w:t>
      </w:r>
      <w:r w:rsidRPr="008742E9">
        <w:rPr>
          <w:color w:val="000000"/>
          <w:sz w:val="22"/>
          <w:szCs w:val="22"/>
        </w:rPr>
        <w:t>для решения двух важных проблем: сделать столицу портом и обеспечить ее питьевой водой, которой чу</w:t>
      </w:r>
      <w:r w:rsidRPr="008742E9">
        <w:rPr>
          <w:color w:val="000000"/>
          <w:sz w:val="22"/>
          <w:szCs w:val="22"/>
        </w:rPr>
        <w:t>в</w:t>
      </w:r>
      <w:r w:rsidRPr="008742E9">
        <w:rPr>
          <w:color w:val="000000"/>
          <w:sz w:val="22"/>
          <w:szCs w:val="22"/>
        </w:rPr>
        <w:t>ствовался недостаток в столице. Через 5 лет водохранилище стало собирать паводковые воды реки Волги и снабжать пресной водой Москву. Также эти два сооружения позволили проводить навиг</w:t>
      </w:r>
      <w:r w:rsidRPr="008742E9">
        <w:rPr>
          <w:color w:val="000000"/>
          <w:sz w:val="22"/>
          <w:szCs w:val="22"/>
        </w:rPr>
        <w:t>а</w:t>
      </w:r>
      <w:r w:rsidRPr="008742E9">
        <w:rPr>
          <w:color w:val="000000"/>
          <w:sz w:val="22"/>
          <w:szCs w:val="22"/>
        </w:rPr>
        <w:t>цию судов в центральном районе Европейской части России. [1,2]</w:t>
      </w:r>
      <w:r w:rsidRPr="008742E9">
        <w:rPr>
          <w:color w:val="000000"/>
          <w:sz w:val="22"/>
          <w:szCs w:val="22"/>
        </w:rPr>
        <w:br/>
        <w:t>Постройка Иваньковского водохранилища, а так же канала имени Москвы положили начало реконструкции   р. Волга. Строител</w:t>
      </w:r>
      <w:r w:rsidRPr="008742E9">
        <w:rPr>
          <w:color w:val="000000"/>
          <w:sz w:val="22"/>
          <w:szCs w:val="22"/>
        </w:rPr>
        <w:t>ь</w:t>
      </w:r>
      <w:r w:rsidRPr="008742E9">
        <w:rPr>
          <w:color w:val="000000"/>
          <w:sz w:val="22"/>
          <w:szCs w:val="22"/>
        </w:rPr>
        <w:t>ство данного водохранилища имело большие и самые разнообра</w:t>
      </w:r>
      <w:r w:rsidRPr="008742E9">
        <w:rPr>
          <w:color w:val="000000"/>
          <w:sz w:val="22"/>
          <w:szCs w:val="22"/>
        </w:rPr>
        <w:t>з</w:t>
      </w:r>
      <w:r w:rsidRPr="008742E9">
        <w:rPr>
          <w:color w:val="000000"/>
          <w:sz w:val="22"/>
          <w:szCs w:val="22"/>
        </w:rPr>
        <w:t>ные последствия для Конаковского и других районов Тверской и Московской областей. Начиная от хороших - появления вод</w:t>
      </w:r>
      <w:r w:rsidRPr="008742E9">
        <w:rPr>
          <w:color w:val="000000"/>
          <w:sz w:val="22"/>
          <w:szCs w:val="22"/>
        </w:rPr>
        <w:t>о</w:t>
      </w:r>
      <w:r w:rsidRPr="008742E9">
        <w:rPr>
          <w:color w:val="000000"/>
          <w:sz w:val="22"/>
          <w:szCs w:val="22"/>
        </w:rPr>
        <w:t>снабжения пресной воды из реки Волга и появления судоходства и заканчивая плохими - затопление огромного участка террит</w:t>
      </w:r>
      <w:r w:rsidRPr="008742E9">
        <w:rPr>
          <w:color w:val="000000"/>
          <w:sz w:val="22"/>
          <w:szCs w:val="22"/>
        </w:rPr>
        <w:t>о</w:t>
      </w:r>
      <w:r w:rsidRPr="008742E9">
        <w:rPr>
          <w:color w:val="000000"/>
          <w:sz w:val="22"/>
          <w:szCs w:val="22"/>
        </w:rPr>
        <w:t>рий. Из-за постройки данного водохранилища пришлось затопить около 292 кв. км земель, в числе которых 74 кв. км лесов и к</w:t>
      </w:r>
      <w:r w:rsidRPr="008742E9">
        <w:rPr>
          <w:color w:val="000000"/>
          <w:sz w:val="22"/>
          <w:szCs w:val="22"/>
        </w:rPr>
        <w:t>у</w:t>
      </w:r>
      <w:r w:rsidRPr="008742E9">
        <w:rPr>
          <w:color w:val="000000"/>
          <w:sz w:val="22"/>
          <w:szCs w:val="22"/>
        </w:rPr>
        <w:t>старников, 148 кв. км сельхозугодий, из них 70 кв. км пашни, 78 кв. км сенокосов и пастбищ. [3]</w:t>
      </w:r>
    </w:p>
    <w:p w:rsidR="008742E9" w:rsidRPr="008742E9" w:rsidRDefault="008742E9" w:rsidP="00FE6370">
      <w:pPr>
        <w:tabs>
          <w:tab w:val="left" w:pos="0"/>
          <w:tab w:val="left" w:pos="993"/>
        </w:tabs>
        <w:ind w:right="170" w:firstLine="426"/>
        <w:jc w:val="both"/>
        <w:rPr>
          <w:rFonts w:eastAsiaTheme="minorHAnsi"/>
          <w:color w:val="000000"/>
          <w:sz w:val="22"/>
          <w:szCs w:val="22"/>
          <w:shd w:val="clear" w:color="auto" w:fill="F4F1E8"/>
          <w:lang w:eastAsia="en-US"/>
        </w:rPr>
      </w:pPr>
      <w:r w:rsidRPr="008742E9">
        <w:rPr>
          <w:color w:val="000000"/>
          <w:sz w:val="22"/>
          <w:szCs w:val="22"/>
        </w:rPr>
        <w:t>В начальный период эксплуатации донные осадки водохр</w:t>
      </w:r>
      <w:r w:rsidRPr="008742E9">
        <w:rPr>
          <w:color w:val="000000"/>
          <w:sz w:val="22"/>
          <w:szCs w:val="22"/>
        </w:rPr>
        <w:t>а</w:t>
      </w:r>
      <w:r w:rsidRPr="008742E9">
        <w:rPr>
          <w:color w:val="000000"/>
          <w:sz w:val="22"/>
          <w:szCs w:val="22"/>
        </w:rPr>
        <w:t>нилища были разнообразны различной органикой и характериз</w:t>
      </w:r>
      <w:r w:rsidRPr="008742E9">
        <w:rPr>
          <w:color w:val="000000"/>
          <w:sz w:val="22"/>
          <w:szCs w:val="22"/>
        </w:rPr>
        <w:t>о</w:t>
      </w:r>
      <w:r w:rsidRPr="008742E9">
        <w:rPr>
          <w:color w:val="000000"/>
          <w:sz w:val="22"/>
          <w:szCs w:val="22"/>
        </w:rPr>
        <w:t>вались положительными агрохимическими свойствами. В них с</w:t>
      </w:r>
      <w:r w:rsidRPr="008742E9">
        <w:rPr>
          <w:color w:val="000000"/>
          <w:sz w:val="22"/>
          <w:szCs w:val="22"/>
        </w:rPr>
        <w:t>о</w:t>
      </w:r>
      <w:r w:rsidRPr="008742E9">
        <w:rPr>
          <w:color w:val="000000"/>
          <w:sz w:val="22"/>
          <w:szCs w:val="22"/>
        </w:rPr>
        <w:t>держалось большое количество гумуса, а так же таких веществ как калий и фосфор. Оно имело высокую степень насыщенности различными основаниями. Но, со временем, когда стали накапл</w:t>
      </w:r>
      <w:r w:rsidRPr="008742E9">
        <w:rPr>
          <w:color w:val="000000"/>
          <w:sz w:val="22"/>
          <w:szCs w:val="22"/>
        </w:rPr>
        <w:t>и</w:t>
      </w:r>
      <w:r w:rsidRPr="008742E9">
        <w:rPr>
          <w:color w:val="000000"/>
          <w:sz w:val="22"/>
          <w:szCs w:val="22"/>
        </w:rPr>
        <w:t>ваться продукты загрязнения, положение стало значительно хуже.</w:t>
      </w:r>
    </w:p>
    <w:p w:rsidR="008742E9" w:rsidRPr="008742E9" w:rsidRDefault="008742E9" w:rsidP="00FE6370">
      <w:pPr>
        <w:tabs>
          <w:tab w:val="left" w:pos="0"/>
          <w:tab w:val="left" w:pos="993"/>
        </w:tabs>
        <w:ind w:right="170" w:firstLine="426"/>
        <w:jc w:val="both"/>
        <w:rPr>
          <w:color w:val="000000"/>
          <w:sz w:val="22"/>
          <w:szCs w:val="22"/>
        </w:rPr>
      </w:pPr>
      <w:r w:rsidRPr="008742E9">
        <w:rPr>
          <w:color w:val="000000"/>
          <w:sz w:val="22"/>
          <w:szCs w:val="22"/>
        </w:rPr>
        <w:t>Следует отметить, что, из-за деятельности человека, на ме</w:t>
      </w:r>
      <w:r w:rsidRPr="008742E9">
        <w:rPr>
          <w:color w:val="000000"/>
          <w:sz w:val="22"/>
          <w:szCs w:val="22"/>
        </w:rPr>
        <w:t>л</w:t>
      </w:r>
      <w:r w:rsidRPr="008742E9">
        <w:rPr>
          <w:color w:val="000000"/>
          <w:sz w:val="22"/>
          <w:szCs w:val="22"/>
        </w:rPr>
        <w:t>ководьях Иваньковского водохранилища процессы зарастания и заболачивания мелководьях значительны. Уже к 1983 г. водяная растительность занимала до 24% всей его площади, тогда как о</w:t>
      </w:r>
      <w:r w:rsidRPr="008742E9">
        <w:rPr>
          <w:color w:val="000000"/>
          <w:sz w:val="22"/>
          <w:szCs w:val="22"/>
        </w:rPr>
        <w:t>п</w:t>
      </w:r>
      <w:r w:rsidRPr="008742E9">
        <w:rPr>
          <w:color w:val="000000"/>
          <w:sz w:val="22"/>
          <w:szCs w:val="22"/>
        </w:rPr>
        <w:t>тимальный уровень зарастания, обеспечивающий успешное во</w:t>
      </w:r>
      <w:r w:rsidRPr="008742E9">
        <w:rPr>
          <w:color w:val="000000"/>
          <w:sz w:val="22"/>
          <w:szCs w:val="22"/>
        </w:rPr>
        <w:t>с</w:t>
      </w:r>
      <w:r w:rsidRPr="008742E9">
        <w:rPr>
          <w:color w:val="000000"/>
          <w:sz w:val="22"/>
          <w:szCs w:val="22"/>
        </w:rPr>
        <w:t>производство рыб, не должен превышать 5 — 10 %.</w:t>
      </w:r>
    </w:p>
    <w:p w:rsidR="008742E9" w:rsidRPr="008742E9" w:rsidRDefault="008742E9" w:rsidP="00FE6370">
      <w:pPr>
        <w:ind w:right="170" w:firstLine="426"/>
        <w:jc w:val="both"/>
        <w:rPr>
          <w:color w:val="000000"/>
          <w:sz w:val="22"/>
          <w:szCs w:val="22"/>
        </w:rPr>
      </w:pPr>
      <w:r w:rsidRPr="008742E9">
        <w:rPr>
          <w:color w:val="000000"/>
          <w:sz w:val="22"/>
          <w:szCs w:val="22"/>
        </w:rPr>
        <w:t>Осенью и зимой период биологического и химического ра</w:t>
      </w:r>
      <w:r w:rsidRPr="008742E9">
        <w:rPr>
          <w:color w:val="000000"/>
          <w:sz w:val="22"/>
          <w:szCs w:val="22"/>
        </w:rPr>
        <w:t>з</w:t>
      </w:r>
      <w:r w:rsidRPr="008742E9">
        <w:rPr>
          <w:color w:val="000000"/>
          <w:sz w:val="22"/>
          <w:szCs w:val="22"/>
        </w:rPr>
        <w:t>ложение водной растительности приводит к ухудшению ряда п</w:t>
      </w:r>
      <w:r w:rsidRPr="008742E9">
        <w:rPr>
          <w:color w:val="000000"/>
          <w:sz w:val="22"/>
          <w:szCs w:val="22"/>
        </w:rPr>
        <w:t>о</w:t>
      </w:r>
      <w:r w:rsidRPr="008742E9">
        <w:rPr>
          <w:color w:val="000000"/>
          <w:sz w:val="22"/>
          <w:szCs w:val="22"/>
        </w:rPr>
        <w:t>казателей качества воды, таких как уменьшение концентрации растворенного кислорода, образованию метана, появление соед</w:t>
      </w:r>
      <w:r w:rsidRPr="008742E9">
        <w:rPr>
          <w:color w:val="000000"/>
          <w:sz w:val="22"/>
          <w:szCs w:val="22"/>
        </w:rPr>
        <w:t>и</w:t>
      </w:r>
      <w:r w:rsidRPr="008742E9">
        <w:rPr>
          <w:color w:val="000000"/>
          <w:sz w:val="22"/>
          <w:szCs w:val="22"/>
        </w:rPr>
        <w:t xml:space="preserve">нений ряда тяжелых металлов и т. д. </w:t>
      </w:r>
    </w:p>
    <w:p w:rsidR="008742E9" w:rsidRPr="008742E9" w:rsidRDefault="008742E9" w:rsidP="00FE6370">
      <w:pPr>
        <w:ind w:right="170" w:firstLine="426"/>
        <w:jc w:val="both"/>
        <w:rPr>
          <w:color w:val="000000"/>
          <w:sz w:val="22"/>
          <w:szCs w:val="22"/>
        </w:rPr>
      </w:pPr>
      <w:r w:rsidRPr="008742E9">
        <w:rPr>
          <w:color w:val="000000"/>
          <w:sz w:val="22"/>
          <w:szCs w:val="22"/>
        </w:rPr>
        <w:t>Поэтому качество воды в данном водохранилище относится к категории ”</w:t>
      </w:r>
      <w:r w:rsidRPr="008742E9">
        <w:rPr>
          <w:rFonts w:eastAsiaTheme="minorHAnsi"/>
          <w:color w:val="000000"/>
          <w:sz w:val="22"/>
          <w:szCs w:val="22"/>
          <w:lang w:eastAsia="en-US"/>
        </w:rPr>
        <w:t>загрязнённая</w:t>
      </w:r>
      <w:r w:rsidRPr="008742E9">
        <w:rPr>
          <w:color w:val="000000"/>
          <w:sz w:val="22"/>
          <w:szCs w:val="22"/>
        </w:rPr>
        <w:t>”.</w:t>
      </w:r>
    </w:p>
    <w:p w:rsidR="008742E9" w:rsidRPr="008742E9" w:rsidRDefault="008742E9" w:rsidP="00FE6370">
      <w:pPr>
        <w:ind w:right="170" w:firstLine="426"/>
        <w:jc w:val="both"/>
        <w:rPr>
          <w:color w:val="000000"/>
          <w:sz w:val="22"/>
          <w:szCs w:val="22"/>
        </w:rPr>
      </w:pPr>
      <w:r w:rsidRPr="008742E9">
        <w:rPr>
          <w:color w:val="000000"/>
          <w:sz w:val="22"/>
          <w:szCs w:val="22"/>
        </w:rPr>
        <w:lastRenderedPageBreak/>
        <w:t>Наблюдается тенденция к ухудшению режима нерестилищ рыб. Так, мягкая водная растительность заменяется на более жесткую — хвощом, телорезом, рогозом, осокой, она становиться непригодной в качестве нерестового субстрата. На сильно заро</w:t>
      </w:r>
      <w:r w:rsidRPr="008742E9">
        <w:rPr>
          <w:color w:val="000000"/>
          <w:sz w:val="22"/>
          <w:szCs w:val="22"/>
        </w:rPr>
        <w:t>с</w:t>
      </w:r>
      <w:r w:rsidRPr="008742E9">
        <w:rPr>
          <w:color w:val="000000"/>
          <w:sz w:val="22"/>
          <w:szCs w:val="22"/>
        </w:rPr>
        <w:t>ших участках ухудшаются условия нагула молоди, и она отходит со свойственных ей мест обитаний вглубь водоема, где условия не подходят для нормального существования. [4]</w:t>
      </w:r>
    </w:p>
    <w:p w:rsidR="008742E9" w:rsidRPr="008742E9" w:rsidRDefault="008742E9" w:rsidP="00FE6370">
      <w:pPr>
        <w:ind w:right="170" w:firstLine="426"/>
        <w:jc w:val="both"/>
        <w:rPr>
          <w:color w:val="000000"/>
          <w:sz w:val="22"/>
          <w:szCs w:val="22"/>
        </w:rPr>
      </w:pPr>
      <w:r w:rsidRPr="008742E9">
        <w:rPr>
          <w:color w:val="000000"/>
          <w:sz w:val="22"/>
          <w:szCs w:val="22"/>
        </w:rPr>
        <w:t>Следует задуматься над решением данных проблем, так как улучшения и развитие индустриальной составляющей не должны негативно влиять на окружающий нас мир.</w:t>
      </w:r>
    </w:p>
    <w:p w:rsidR="008742E9" w:rsidRPr="008742E9" w:rsidRDefault="008742E9" w:rsidP="00FE6370">
      <w:pPr>
        <w:ind w:right="170" w:firstLine="426"/>
        <w:jc w:val="both"/>
        <w:rPr>
          <w:color w:val="000000"/>
          <w:sz w:val="22"/>
          <w:szCs w:val="22"/>
        </w:rPr>
      </w:pPr>
      <w:r w:rsidRPr="008742E9">
        <w:rPr>
          <w:color w:val="000000"/>
          <w:sz w:val="22"/>
          <w:szCs w:val="22"/>
        </w:rPr>
        <w:t xml:space="preserve">   </w:t>
      </w:r>
    </w:p>
    <w:p w:rsidR="008742E9" w:rsidRPr="001D0D35" w:rsidRDefault="008742E9" w:rsidP="00FE6370">
      <w:pPr>
        <w:ind w:right="170" w:firstLine="426"/>
        <w:jc w:val="center"/>
        <w:rPr>
          <w:color w:val="000000"/>
          <w:sz w:val="22"/>
          <w:szCs w:val="22"/>
        </w:rPr>
      </w:pPr>
      <w:r w:rsidRPr="001D0D35">
        <w:rPr>
          <w:color w:val="000000"/>
          <w:sz w:val="22"/>
          <w:szCs w:val="22"/>
        </w:rPr>
        <w:t>Список литературы</w:t>
      </w:r>
    </w:p>
    <w:p w:rsidR="008742E9" w:rsidRPr="008742E9" w:rsidRDefault="008742E9" w:rsidP="00FE6370">
      <w:pPr>
        <w:ind w:right="170" w:firstLine="426"/>
        <w:jc w:val="both"/>
        <w:rPr>
          <w:color w:val="000000"/>
          <w:sz w:val="22"/>
          <w:szCs w:val="22"/>
        </w:rPr>
      </w:pPr>
      <w:r w:rsidRPr="008742E9">
        <w:rPr>
          <w:color w:val="000000"/>
          <w:sz w:val="22"/>
          <w:szCs w:val="22"/>
        </w:rPr>
        <w:t>1. Иваньковское водохранилище и его жизнь. Труды Инст</w:t>
      </w:r>
      <w:r w:rsidRPr="008742E9">
        <w:rPr>
          <w:color w:val="000000"/>
          <w:sz w:val="22"/>
          <w:szCs w:val="22"/>
        </w:rPr>
        <w:t>и</w:t>
      </w:r>
      <w:r w:rsidRPr="008742E9">
        <w:rPr>
          <w:color w:val="000000"/>
          <w:sz w:val="22"/>
          <w:szCs w:val="22"/>
        </w:rPr>
        <w:t>тута биологии внутренних вод / Под ред. Н. В. Буторина. — Ак</w:t>
      </w:r>
      <w:r w:rsidRPr="008742E9">
        <w:rPr>
          <w:color w:val="000000"/>
          <w:sz w:val="22"/>
          <w:szCs w:val="22"/>
        </w:rPr>
        <w:t>а</w:t>
      </w:r>
      <w:r w:rsidRPr="008742E9">
        <w:rPr>
          <w:color w:val="000000"/>
          <w:sz w:val="22"/>
          <w:szCs w:val="22"/>
        </w:rPr>
        <w:t>демия наук СССР. — Л.: Наука, 1978.</w:t>
      </w:r>
    </w:p>
    <w:p w:rsidR="008742E9" w:rsidRPr="008742E9" w:rsidRDefault="008742E9" w:rsidP="00FE6370">
      <w:pPr>
        <w:ind w:right="170" w:firstLine="426"/>
        <w:jc w:val="both"/>
        <w:rPr>
          <w:color w:val="000000"/>
          <w:sz w:val="22"/>
          <w:szCs w:val="22"/>
        </w:rPr>
      </w:pPr>
      <w:r w:rsidRPr="008742E9">
        <w:rPr>
          <w:color w:val="000000"/>
          <w:sz w:val="22"/>
          <w:szCs w:val="22"/>
        </w:rPr>
        <w:t>2. Технический отчёт о строительстве канала Москва — Во</w:t>
      </w:r>
      <w:r w:rsidRPr="008742E9">
        <w:rPr>
          <w:color w:val="000000"/>
          <w:sz w:val="22"/>
          <w:szCs w:val="22"/>
        </w:rPr>
        <w:t>л</w:t>
      </w:r>
      <w:r w:rsidRPr="008742E9">
        <w:rPr>
          <w:color w:val="000000"/>
          <w:sz w:val="22"/>
          <w:szCs w:val="22"/>
        </w:rPr>
        <w:t>га/ Ред. А. Р. Березинский. — М., Л.: Государственное издател</w:t>
      </w:r>
      <w:r w:rsidRPr="008742E9">
        <w:rPr>
          <w:color w:val="000000"/>
          <w:sz w:val="22"/>
          <w:szCs w:val="22"/>
        </w:rPr>
        <w:t>ь</w:t>
      </w:r>
      <w:r w:rsidRPr="008742E9">
        <w:rPr>
          <w:color w:val="000000"/>
          <w:sz w:val="22"/>
          <w:szCs w:val="22"/>
        </w:rPr>
        <w:t>ство строительной литературы, 1940.</w:t>
      </w:r>
    </w:p>
    <w:p w:rsidR="008742E9" w:rsidRPr="008742E9" w:rsidRDefault="008742E9" w:rsidP="00FE6370">
      <w:pPr>
        <w:ind w:firstLine="426"/>
        <w:jc w:val="both"/>
        <w:rPr>
          <w:rFonts w:eastAsiaTheme="minorHAnsi"/>
          <w:sz w:val="22"/>
          <w:szCs w:val="22"/>
          <w:lang w:eastAsia="en-US"/>
        </w:rPr>
      </w:pPr>
      <w:r w:rsidRPr="008742E9">
        <w:rPr>
          <w:rFonts w:eastAsiaTheme="minorHAnsi"/>
          <w:sz w:val="22"/>
          <w:szCs w:val="22"/>
          <w:lang w:eastAsia="en-US"/>
        </w:rPr>
        <w:t>3. Города под водой. Путешествие по затопленным берегам Верхней Волги / Автор-составитель В. И. Ерохин. — Тверь: Гранд-Холдинг, 2010.</w:t>
      </w:r>
    </w:p>
    <w:p w:rsidR="008742E9" w:rsidRPr="008742E9" w:rsidRDefault="008742E9" w:rsidP="00FE6370">
      <w:pPr>
        <w:ind w:firstLine="426"/>
        <w:jc w:val="both"/>
        <w:rPr>
          <w:rFonts w:eastAsiaTheme="minorHAnsi"/>
          <w:sz w:val="22"/>
          <w:szCs w:val="22"/>
          <w:lang w:eastAsia="en-US"/>
        </w:rPr>
      </w:pPr>
      <w:r w:rsidRPr="008742E9">
        <w:rPr>
          <w:rFonts w:eastAsiaTheme="minorHAnsi"/>
          <w:sz w:val="22"/>
          <w:szCs w:val="22"/>
          <w:lang w:eastAsia="en-US"/>
        </w:rPr>
        <w:t>4.</w:t>
      </w:r>
      <w:r w:rsidR="00FE6370">
        <w:rPr>
          <w:rFonts w:eastAsiaTheme="minorHAnsi"/>
          <w:sz w:val="22"/>
          <w:szCs w:val="22"/>
          <w:lang w:eastAsia="en-US"/>
        </w:rPr>
        <w:t xml:space="preserve"> </w:t>
      </w:r>
      <w:r w:rsidRPr="008742E9">
        <w:rPr>
          <w:rFonts w:eastAsiaTheme="minorHAnsi"/>
          <w:sz w:val="22"/>
          <w:szCs w:val="22"/>
          <w:lang w:eastAsia="en-US"/>
        </w:rPr>
        <w:t>Влияние рекреационного водопользования на качество воды Иваньковского водохранилища – 2013 г. И.Л. Григорьева, Е.А. Че</w:t>
      </w:r>
      <w:r w:rsidRPr="008742E9">
        <w:rPr>
          <w:rFonts w:eastAsiaTheme="minorHAnsi"/>
          <w:sz w:val="22"/>
          <w:szCs w:val="22"/>
          <w:lang w:eastAsia="en-US"/>
        </w:rPr>
        <w:t>к</w:t>
      </w:r>
      <w:r w:rsidRPr="008742E9">
        <w:rPr>
          <w:rFonts w:eastAsiaTheme="minorHAnsi"/>
          <w:sz w:val="22"/>
          <w:szCs w:val="22"/>
          <w:lang w:eastAsia="en-US"/>
        </w:rPr>
        <w:t>марева</w:t>
      </w:r>
    </w:p>
    <w:p w:rsidR="008742E9" w:rsidRPr="00FE6370" w:rsidRDefault="008742E9" w:rsidP="00FE6370">
      <w:pPr>
        <w:rPr>
          <w:color w:val="000000"/>
          <w:sz w:val="22"/>
          <w:szCs w:val="22"/>
        </w:rPr>
      </w:pPr>
    </w:p>
    <w:p w:rsidR="00FE6370" w:rsidRPr="00FE6370" w:rsidRDefault="000C7D3B" w:rsidP="00FE6370">
      <w:pPr>
        <w:rPr>
          <w:color w:val="000000"/>
          <w:sz w:val="22"/>
          <w:szCs w:val="22"/>
        </w:rPr>
      </w:pPr>
      <w:r>
        <w:rPr>
          <w:color w:val="000000"/>
          <w:sz w:val="22"/>
          <w:szCs w:val="22"/>
        </w:rPr>
        <w:br w:type="page"/>
      </w:r>
    </w:p>
    <w:p w:rsidR="008742E9" w:rsidRDefault="008742E9" w:rsidP="00FE6370">
      <w:pPr>
        <w:widowControl w:val="0"/>
        <w:rPr>
          <w:sz w:val="22"/>
          <w:szCs w:val="22"/>
          <w:lang w:eastAsia="en-US"/>
        </w:rPr>
      </w:pPr>
      <w:r w:rsidRPr="00FE6370">
        <w:rPr>
          <w:sz w:val="22"/>
          <w:szCs w:val="22"/>
          <w:lang w:eastAsia="en-US"/>
        </w:rPr>
        <w:lastRenderedPageBreak/>
        <w:t>УДК 504.064.2 (282.247.37)</w:t>
      </w:r>
    </w:p>
    <w:p w:rsidR="00FE6370" w:rsidRPr="00FE6370" w:rsidRDefault="00FE6370" w:rsidP="00FE6370">
      <w:pPr>
        <w:widowControl w:val="0"/>
        <w:rPr>
          <w:sz w:val="22"/>
          <w:szCs w:val="22"/>
          <w:lang w:eastAsia="en-US"/>
        </w:rPr>
      </w:pPr>
    </w:p>
    <w:p w:rsidR="008742E9" w:rsidRPr="00FE6370" w:rsidRDefault="008742E9" w:rsidP="00FE6370">
      <w:pPr>
        <w:widowControl w:val="0"/>
        <w:jc w:val="center"/>
        <w:rPr>
          <w:b/>
          <w:bCs/>
          <w:sz w:val="24"/>
          <w:szCs w:val="24"/>
          <w:lang w:val="en-US" w:eastAsia="en-US"/>
        </w:rPr>
      </w:pPr>
      <w:r w:rsidRPr="00FE6370">
        <w:rPr>
          <w:b/>
          <w:bCs/>
          <w:sz w:val="24"/>
          <w:szCs w:val="24"/>
          <w:lang w:eastAsia="en-US"/>
        </w:rPr>
        <w:t xml:space="preserve">Использование вод поверхностных источников в целях </w:t>
      </w:r>
      <w:r w:rsidR="00FE6370">
        <w:rPr>
          <w:b/>
          <w:bCs/>
          <w:sz w:val="24"/>
          <w:szCs w:val="24"/>
          <w:lang w:eastAsia="en-US"/>
        </w:rPr>
        <w:br/>
      </w:r>
      <w:r w:rsidRPr="00FE6370">
        <w:rPr>
          <w:b/>
          <w:bCs/>
          <w:sz w:val="24"/>
          <w:szCs w:val="24"/>
          <w:lang w:eastAsia="en-US"/>
        </w:rPr>
        <w:t>водоснабжения в ст. Динской</w:t>
      </w:r>
      <w:r w:rsidRPr="00FE6370">
        <w:rPr>
          <w:b/>
          <w:bCs/>
          <w:sz w:val="24"/>
          <w:szCs w:val="24"/>
          <w:lang w:val="en-US" w:eastAsia="en-US"/>
        </w:rPr>
        <w:t xml:space="preserve"> </w:t>
      </w:r>
      <w:r w:rsidRPr="00FE6370">
        <w:rPr>
          <w:b/>
          <w:bCs/>
          <w:sz w:val="24"/>
          <w:szCs w:val="24"/>
          <w:lang w:eastAsia="en-US"/>
        </w:rPr>
        <w:t>Краснодарского</w:t>
      </w:r>
      <w:r w:rsidRPr="00FE6370">
        <w:rPr>
          <w:b/>
          <w:bCs/>
          <w:sz w:val="24"/>
          <w:szCs w:val="24"/>
          <w:lang w:val="en-US" w:eastAsia="en-US"/>
        </w:rPr>
        <w:t xml:space="preserve"> </w:t>
      </w:r>
      <w:r w:rsidRPr="00FE6370">
        <w:rPr>
          <w:b/>
          <w:bCs/>
          <w:sz w:val="24"/>
          <w:szCs w:val="24"/>
          <w:lang w:eastAsia="en-US"/>
        </w:rPr>
        <w:t>края</w:t>
      </w:r>
    </w:p>
    <w:p w:rsidR="008742E9" w:rsidRPr="00FE6370" w:rsidRDefault="008742E9" w:rsidP="00FE6370">
      <w:pPr>
        <w:widowControl w:val="0"/>
        <w:jc w:val="center"/>
        <w:rPr>
          <w:b/>
          <w:bCs/>
          <w:sz w:val="24"/>
          <w:szCs w:val="24"/>
          <w:lang w:val="en-US" w:eastAsia="en-US"/>
        </w:rPr>
      </w:pPr>
      <w:r w:rsidRPr="00FE6370">
        <w:rPr>
          <w:b/>
          <w:bCs/>
          <w:sz w:val="24"/>
          <w:szCs w:val="24"/>
          <w:lang w:val="en-US" w:eastAsia="en-US"/>
        </w:rPr>
        <w:t xml:space="preserve">The use of water from surface sources for water supply </w:t>
      </w:r>
      <w:r w:rsidR="00FE6370" w:rsidRPr="00FE6370">
        <w:rPr>
          <w:b/>
          <w:bCs/>
          <w:sz w:val="24"/>
          <w:szCs w:val="24"/>
          <w:lang w:val="en-US" w:eastAsia="en-US"/>
        </w:rPr>
        <w:br/>
      </w:r>
      <w:r w:rsidRPr="00FE6370">
        <w:rPr>
          <w:b/>
          <w:bCs/>
          <w:sz w:val="24"/>
          <w:szCs w:val="24"/>
          <w:lang w:val="en-US" w:eastAsia="en-US"/>
        </w:rPr>
        <w:t>in st. Dinskoy krasnodar region</w:t>
      </w:r>
    </w:p>
    <w:p w:rsidR="008742E9" w:rsidRPr="00FE6370" w:rsidRDefault="008742E9" w:rsidP="00FE6370">
      <w:pPr>
        <w:widowControl w:val="0"/>
        <w:ind w:left="1280"/>
        <w:jc w:val="center"/>
        <w:rPr>
          <w:b/>
          <w:bCs/>
          <w:sz w:val="22"/>
          <w:szCs w:val="22"/>
          <w:lang w:val="en-US" w:eastAsia="en-US"/>
        </w:rPr>
      </w:pPr>
    </w:p>
    <w:p w:rsidR="00FE6370" w:rsidRPr="00024398" w:rsidRDefault="008742E9" w:rsidP="00FE6370">
      <w:pPr>
        <w:widowControl w:val="0"/>
        <w:ind w:left="1280"/>
        <w:jc w:val="right"/>
        <w:rPr>
          <w:bCs/>
          <w:iCs/>
          <w:sz w:val="22"/>
          <w:szCs w:val="22"/>
          <w:lang w:val="en-US" w:eastAsia="en-US"/>
        </w:rPr>
      </w:pPr>
      <w:r w:rsidRPr="00FE6370">
        <w:rPr>
          <w:bCs/>
          <w:iCs/>
          <w:sz w:val="22"/>
          <w:szCs w:val="22"/>
          <w:lang w:eastAsia="en-US"/>
        </w:rPr>
        <w:t>Соловьева</w:t>
      </w:r>
      <w:r w:rsidR="00FE6370" w:rsidRPr="00024398">
        <w:rPr>
          <w:lang w:val="en-US"/>
        </w:rPr>
        <w:t xml:space="preserve"> </w:t>
      </w:r>
      <w:r w:rsidR="00FE6370" w:rsidRPr="00FE6370">
        <w:rPr>
          <w:bCs/>
          <w:iCs/>
          <w:sz w:val="22"/>
          <w:szCs w:val="22"/>
          <w:lang w:eastAsia="en-US"/>
        </w:rPr>
        <w:t>И</w:t>
      </w:r>
      <w:r w:rsidR="00FE6370" w:rsidRPr="00024398">
        <w:rPr>
          <w:bCs/>
          <w:iCs/>
          <w:sz w:val="22"/>
          <w:szCs w:val="22"/>
          <w:lang w:val="en-US" w:eastAsia="en-US"/>
        </w:rPr>
        <w:t xml:space="preserve">. </w:t>
      </w:r>
      <w:r w:rsidR="00FE6370" w:rsidRPr="00FE6370">
        <w:rPr>
          <w:bCs/>
          <w:iCs/>
          <w:sz w:val="22"/>
          <w:szCs w:val="22"/>
          <w:lang w:eastAsia="en-US"/>
        </w:rPr>
        <w:t>А</w:t>
      </w:r>
      <w:r w:rsidR="00FE6370" w:rsidRPr="00024398">
        <w:rPr>
          <w:bCs/>
          <w:iCs/>
          <w:sz w:val="22"/>
          <w:szCs w:val="22"/>
          <w:lang w:val="en-US" w:eastAsia="en-US"/>
        </w:rPr>
        <w:t>.,</w:t>
      </w:r>
    </w:p>
    <w:p w:rsidR="008742E9" w:rsidRPr="001D0D35" w:rsidRDefault="008742E9" w:rsidP="001D0D35">
      <w:pPr>
        <w:widowControl w:val="0"/>
        <w:ind w:left="1280"/>
        <w:jc w:val="right"/>
        <w:rPr>
          <w:bCs/>
          <w:iCs/>
          <w:sz w:val="22"/>
          <w:szCs w:val="22"/>
          <w:lang w:eastAsia="en-US"/>
        </w:rPr>
      </w:pPr>
      <w:r w:rsidRPr="00FE6370">
        <w:rPr>
          <w:bCs/>
          <w:iCs/>
          <w:sz w:val="22"/>
          <w:szCs w:val="22"/>
          <w:lang w:eastAsia="en-US"/>
        </w:rPr>
        <w:t>студентка 3 курса факультета гидромелиорации</w:t>
      </w:r>
    </w:p>
    <w:p w:rsidR="00FE6370" w:rsidRDefault="008742E9" w:rsidP="00FE6370">
      <w:pPr>
        <w:widowControl w:val="0"/>
        <w:ind w:left="1280"/>
        <w:jc w:val="right"/>
        <w:rPr>
          <w:bCs/>
          <w:iCs/>
          <w:sz w:val="22"/>
          <w:szCs w:val="22"/>
          <w:lang w:eastAsia="en-US"/>
        </w:rPr>
      </w:pPr>
      <w:r w:rsidRPr="00FE6370">
        <w:rPr>
          <w:bCs/>
          <w:iCs/>
          <w:sz w:val="22"/>
          <w:szCs w:val="22"/>
          <w:lang w:eastAsia="en-US"/>
        </w:rPr>
        <w:t>Орехова</w:t>
      </w:r>
      <w:r w:rsidR="00FE6370" w:rsidRPr="00FE6370">
        <w:t xml:space="preserve"> </w:t>
      </w:r>
      <w:r w:rsidR="00FE6370" w:rsidRPr="00FE6370">
        <w:rPr>
          <w:bCs/>
          <w:iCs/>
          <w:sz w:val="22"/>
          <w:szCs w:val="22"/>
          <w:lang w:eastAsia="en-US"/>
        </w:rPr>
        <w:t>В. И.</w:t>
      </w:r>
      <w:r w:rsidR="00FE6370">
        <w:rPr>
          <w:bCs/>
          <w:iCs/>
          <w:sz w:val="22"/>
          <w:szCs w:val="22"/>
          <w:lang w:eastAsia="en-US"/>
        </w:rPr>
        <w:t>,</w:t>
      </w:r>
    </w:p>
    <w:p w:rsidR="008742E9" w:rsidRPr="00FE6370" w:rsidRDefault="008742E9" w:rsidP="00FE6370">
      <w:pPr>
        <w:widowControl w:val="0"/>
        <w:ind w:left="1280"/>
        <w:jc w:val="right"/>
        <w:rPr>
          <w:bCs/>
          <w:iCs/>
          <w:sz w:val="22"/>
          <w:szCs w:val="22"/>
          <w:lang w:eastAsia="en-US"/>
        </w:rPr>
      </w:pPr>
      <w:r w:rsidRPr="00FE6370">
        <w:rPr>
          <w:bCs/>
          <w:iCs/>
          <w:sz w:val="22"/>
          <w:szCs w:val="22"/>
          <w:lang w:eastAsia="en-US"/>
        </w:rPr>
        <w:t xml:space="preserve"> ст. преподаватель факультета гидроме</w:t>
      </w:r>
      <w:r w:rsidR="00FE6370">
        <w:rPr>
          <w:bCs/>
          <w:iCs/>
          <w:sz w:val="22"/>
          <w:szCs w:val="22"/>
          <w:lang w:eastAsia="en-US"/>
        </w:rPr>
        <w:t>лиорации</w:t>
      </w:r>
    </w:p>
    <w:p w:rsidR="00FE6370" w:rsidRDefault="008742E9" w:rsidP="00FE6370">
      <w:pPr>
        <w:widowControl w:val="0"/>
        <w:ind w:left="1280"/>
        <w:jc w:val="right"/>
        <w:rPr>
          <w:bCs/>
          <w:iCs/>
          <w:sz w:val="22"/>
          <w:szCs w:val="22"/>
          <w:lang w:eastAsia="en-US"/>
        </w:rPr>
      </w:pPr>
      <w:r w:rsidRPr="00FE6370">
        <w:rPr>
          <w:bCs/>
          <w:iCs/>
          <w:sz w:val="22"/>
          <w:szCs w:val="22"/>
          <w:lang w:eastAsia="en-US"/>
        </w:rPr>
        <w:t>Кубанский государственный аграрный</w:t>
      </w:r>
    </w:p>
    <w:p w:rsidR="008742E9" w:rsidRPr="00FE6370" w:rsidRDefault="008742E9" w:rsidP="00FE6370">
      <w:pPr>
        <w:widowControl w:val="0"/>
        <w:ind w:left="1280"/>
        <w:jc w:val="right"/>
        <w:rPr>
          <w:bCs/>
          <w:iCs/>
          <w:sz w:val="22"/>
          <w:szCs w:val="22"/>
          <w:lang w:eastAsia="en-US"/>
        </w:rPr>
      </w:pPr>
      <w:r w:rsidRPr="00FE6370">
        <w:rPr>
          <w:bCs/>
          <w:iCs/>
          <w:sz w:val="22"/>
          <w:szCs w:val="22"/>
          <w:lang w:eastAsia="en-US"/>
        </w:rPr>
        <w:t xml:space="preserve"> университет имени И.</w:t>
      </w:r>
      <w:r w:rsidR="00FE6370">
        <w:rPr>
          <w:bCs/>
          <w:iCs/>
          <w:sz w:val="22"/>
          <w:szCs w:val="22"/>
          <w:lang w:eastAsia="en-US"/>
        </w:rPr>
        <w:t xml:space="preserve"> </w:t>
      </w:r>
      <w:r w:rsidRPr="00FE6370">
        <w:rPr>
          <w:bCs/>
          <w:iCs/>
          <w:sz w:val="22"/>
          <w:szCs w:val="22"/>
          <w:lang w:eastAsia="en-US"/>
        </w:rPr>
        <w:t>Т. Трубилина</w:t>
      </w:r>
    </w:p>
    <w:p w:rsidR="008742E9" w:rsidRPr="00FE6370" w:rsidRDefault="008742E9" w:rsidP="00FE6370">
      <w:pPr>
        <w:widowControl w:val="0"/>
        <w:ind w:left="1280"/>
        <w:jc w:val="right"/>
        <w:rPr>
          <w:bCs/>
          <w:i/>
          <w:iCs/>
          <w:sz w:val="22"/>
          <w:szCs w:val="22"/>
          <w:lang w:eastAsia="en-US"/>
        </w:rPr>
      </w:pPr>
    </w:p>
    <w:p w:rsidR="008742E9" w:rsidRPr="00FE6370" w:rsidRDefault="008742E9" w:rsidP="00FE6370">
      <w:pPr>
        <w:widowControl w:val="0"/>
        <w:ind w:firstLine="425"/>
        <w:contextualSpacing/>
        <w:jc w:val="both"/>
        <w:rPr>
          <w:sz w:val="22"/>
          <w:szCs w:val="22"/>
          <w:lang w:eastAsia="en-US"/>
        </w:rPr>
      </w:pPr>
      <w:r w:rsidRPr="00FE6370">
        <w:rPr>
          <w:bCs/>
          <w:sz w:val="22"/>
          <w:szCs w:val="22"/>
          <w:lang w:eastAsia="en-US"/>
        </w:rPr>
        <w:t>АННОТАЦИЯ:</w:t>
      </w:r>
      <w:r w:rsidRPr="00FE6370">
        <w:rPr>
          <w:b/>
          <w:bCs/>
          <w:sz w:val="22"/>
          <w:szCs w:val="22"/>
          <w:lang w:eastAsia="en-US"/>
        </w:rPr>
        <w:t xml:space="preserve"> </w:t>
      </w:r>
      <w:r w:rsidRPr="00FE6370">
        <w:rPr>
          <w:sz w:val="22"/>
          <w:szCs w:val="22"/>
          <w:lang w:eastAsia="en-US"/>
        </w:rPr>
        <w:t>В данной статье рассмотрены вопросы состо</w:t>
      </w:r>
      <w:r w:rsidRPr="00FE6370">
        <w:rPr>
          <w:sz w:val="22"/>
          <w:szCs w:val="22"/>
          <w:lang w:eastAsia="en-US"/>
        </w:rPr>
        <w:t>я</w:t>
      </w:r>
      <w:r w:rsidRPr="00FE6370">
        <w:rPr>
          <w:sz w:val="22"/>
          <w:szCs w:val="22"/>
          <w:lang w:eastAsia="en-US"/>
        </w:rPr>
        <w:t>ния поверхностных водотоков и водоемов в Динском районе, их гидрологические особенности, методы и способы водоподготовки, влияющие на экологическое состояние реки.</w:t>
      </w:r>
    </w:p>
    <w:p w:rsidR="008742E9" w:rsidRPr="00FE6370" w:rsidRDefault="008742E9" w:rsidP="00FE6370">
      <w:pPr>
        <w:widowControl w:val="0"/>
        <w:ind w:firstLine="425"/>
        <w:contextualSpacing/>
        <w:jc w:val="both"/>
        <w:rPr>
          <w:sz w:val="22"/>
          <w:szCs w:val="22"/>
          <w:lang w:eastAsia="en-US"/>
        </w:rPr>
      </w:pPr>
      <w:r w:rsidRPr="00FE6370">
        <w:rPr>
          <w:bCs/>
          <w:sz w:val="22"/>
          <w:szCs w:val="22"/>
          <w:lang w:eastAsia="en-US"/>
        </w:rPr>
        <w:t>КЛЮЧЕВЫЕ СЛОВА:</w:t>
      </w:r>
      <w:r w:rsidRPr="00FE6370">
        <w:rPr>
          <w:b/>
          <w:bCs/>
          <w:sz w:val="22"/>
          <w:szCs w:val="22"/>
          <w:lang w:eastAsia="en-US"/>
        </w:rPr>
        <w:t xml:space="preserve"> </w:t>
      </w:r>
      <w:r w:rsidRPr="00FE6370">
        <w:rPr>
          <w:sz w:val="22"/>
          <w:szCs w:val="22"/>
          <w:lang w:eastAsia="en-US"/>
        </w:rPr>
        <w:t>река Кочеты, водные ресурсы, сточная вода, загрязнение водое</w:t>
      </w:r>
      <w:r w:rsidRPr="00FE6370">
        <w:rPr>
          <w:sz w:val="22"/>
          <w:szCs w:val="22"/>
          <w:lang w:eastAsia="en-US"/>
        </w:rPr>
        <w:softHyphen/>
        <w:t>мов, экология, очистные сооружения, би</w:t>
      </w:r>
      <w:r w:rsidRPr="00FE6370">
        <w:rPr>
          <w:sz w:val="22"/>
          <w:szCs w:val="22"/>
          <w:lang w:eastAsia="en-US"/>
        </w:rPr>
        <w:t>о</w:t>
      </w:r>
      <w:r w:rsidRPr="00FE6370">
        <w:rPr>
          <w:sz w:val="22"/>
          <w:szCs w:val="22"/>
          <w:lang w:eastAsia="en-US"/>
        </w:rPr>
        <w:t>логическая очистка, химический состав воды, Динской район.</w:t>
      </w:r>
    </w:p>
    <w:p w:rsidR="008742E9" w:rsidRPr="00FE6370" w:rsidRDefault="008742E9" w:rsidP="00FE6370">
      <w:pPr>
        <w:widowControl w:val="0"/>
        <w:ind w:firstLine="425"/>
        <w:contextualSpacing/>
        <w:jc w:val="both"/>
        <w:rPr>
          <w:b/>
          <w:bCs/>
          <w:sz w:val="22"/>
          <w:szCs w:val="22"/>
          <w:lang w:val="en-US" w:eastAsia="en-US" w:bidi="en-US"/>
        </w:rPr>
      </w:pPr>
      <w:r w:rsidRPr="00FE6370">
        <w:rPr>
          <w:bCs/>
          <w:sz w:val="22"/>
          <w:szCs w:val="22"/>
          <w:lang w:val="en-US" w:eastAsia="en-US" w:bidi="en-US"/>
        </w:rPr>
        <w:t>ABSTRACT:</w:t>
      </w:r>
      <w:r w:rsidRPr="00FE6370">
        <w:rPr>
          <w:sz w:val="22"/>
          <w:szCs w:val="22"/>
          <w:lang w:val="en-US" w:eastAsia="en-US"/>
        </w:rPr>
        <w:t xml:space="preserve"> </w:t>
      </w:r>
      <w:r w:rsidRPr="00FE6370">
        <w:rPr>
          <w:bCs/>
          <w:sz w:val="22"/>
          <w:szCs w:val="22"/>
          <w:lang w:val="en-US" w:eastAsia="en-US" w:bidi="en-US"/>
        </w:rPr>
        <w:t>This article deals with the state of surface wate</w:t>
      </w:r>
      <w:r w:rsidRPr="00FE6370">
        <w:rPr>
          <w:bCs/>
          <w:sz w:val="22"/>
          <w:szCs w:val="22"/>
          <w:lang w:val="en-US" w:eastAsia="en-US" w:bidi="en-US"/>
        </w:rPr>
        <w:t>r</w:t>
      </w:r>
      <w:r w:rsidRPr="00FE6370">
        <w:rPr>
          <w:bCs/>
          <w:sz w:val="22"/>
          <w:szCs w:val="22"/>
          <w:lang w:val="en-US" w:eastAsia="en-US" w:bidi="en-US"/>
        </w:rPr>
        <w:t>courses and reservoirs in the Dinsk region, their hydrological features, methods and methods of water treatment that affect the ecological state of the river.</w:t>
      </w:r>
    </w:p>
    <w:p w:rsidR="008742E9" w:rsidRPr="00FE6370" w:rsidRDefault="008742E9" w:rsidP="00FE6370">
      <w:pPr>
        <w:widowControl w:val="0"/>
        <w:ind w:firstLine="425"/>
        <w:contextualSpacing/>
        <w:jc w:val="both"/>
        <w:rPr>
          <w:sz w:val="22"/>
          <w:szCs w:val="22"/>
          <w:lang w:val="en-US" w:eastAsia="en-US" w:bidi="en-US"/>
        </w:rPr>
      </w:pPr>
      <w:r w:rsidRPr="00FE6370">
        <w:rPr>
          <w:bCs/>
          <w:sz w:val="22"/>
          <w:szCs w:val="22"/>
          <w:lang w:val="en-US" w:eastAsia="en-US" w:bidi="en-US"/>
        </w:rPr>
        <w:t>KEYWORDS</w:t>
      </w:r>
      <w:r w:rsidRPr="00FE6370">
        <w:rPr>
          <w:sz w:val="22"/>
          <w:szCs w:val="22"/>
          <w:lang w:val="en-US" w:eastAsia="en-US" w:bidi="en-US"/>
        </w:rPr>
        <w:t>: The Kocheti river, water resources, sewage, water pollution, ecology, treatment facilities, biological treatment, chemical composition of water, Dinskaya district.</w:t>
      </w:r>
    </w:p>
    <w:p w:rsidR="008742E9" w:rsidRPr="00FE6370" w:rsidRDefault="008742E9" w:rsidP="00FE6370">
      <w:pPr>
        <w:widowControl w:val="0"/>
        <w:ind w:firstLine="425"/>
        <w:contextualSpacing/>
        <w:jc w:val="both"/>
        <w:rPr>
          <w:sz w:val="22"/>
          <w:szCs w:val="22"/>
          <w:lang w:val="en-US" w:eastAsia="en-US"/>
        </w:rPr>
      </w:pPr>
    </w:p>
    <w:p w:rsidR="008742E9" w:rsidRPr="008742E9" w:rsidRDefault="008742E9" w:rsidP="008742E9">
      <w:pPr>
        <w:ind w:right="-142" w:firstLine="425"/>
        <w:contextualSpacing/>
        <w:jc w:val="both"/>
        <w:rPr>
          <w:rFonts w:eastAsia="Calibri"/>
          <w:sz w:val="22"/>
          <w:szCs w:val="22"/>
          <w:shd w:val="clear" w:color="auto" w:fill="FFFFFF"/>
          <w:lang w:eastAsia="en-US"/>
        </w:rPr>
      </w:pPr>
      <w:r w:rsidRPr="008742E9">
        <w:rPr>
          <w:rFonts w:eastAsia="Calibri"/>
          <w:sz w:val="22"/>
          <w:szCs w:val="22"/>
          <w:shd w:val="clear" w:color="auto" w:fill="FFFFFF"/>
          <w:lang w:eastAsia="en-US"/>
        </w:rPr>
        <w:t>Динской район расположен в центральной зоне Краснодарского края. Численность населения составляет 129239 человек. Общая площадь района составляет 136196 гектаров. Его рельеф представл</w:t>
      </w:r>
      <w:r w:rsidRPr="008742E9">
        <w:rPr>
          <w:rFonts w:eastAsia="Calibri"/>
          <w:sz w:val="22"/>
          <w:szCs w:val="22"/>
          <w:shd w:val="clear" w:color="auto" w:fill="FFFFFF"/>
          <w:lang w:eastAsia="en-US"/>
        </w:rPr>
        <w:t>я</w:t>
      </w:r>
      <w:r w:rsidRPr="008742E9">
        <w:rPr>
          <w:rFonts w:eastAsia="Calibri"/>
          <w:sz w:val="22"/>
          <w:szCs w:val="22"/>
          <w:shd w:val="clear" w:color="auto" w:fill="FFFFFF"/>
          <w:lang w:eastAsia="en-US"/>
        </w:rPr>
        <w:t>ет собой полого-волнистую равнину с общим уклоном в сторону реки Кубань. Все три реки – Кубань, Кочеты, Понура – а также их притоки пригодны для рыбохозяйственных целей и обустройства спортивных баз для любительского лова рыбы. Реки разделены многочисленными дамбами, которых в районе насчитывается около 200.</w:t>
      </w:r>
      <w:r w:rsidRPr="008742E9">
        <w:rPr>
          <w:rFonts w:eastAsia="Calibri"/>
          <w:sz w:val="22"/>
          <w:szCs w:val="22"/>
          <w:lang w:eastAsia="en-US"/>
        </w:rPr>
        <w:t xml:space="preserve"> [1]</w:t>
      </w:r>
    </w:p>
    <w:p w:rsidR="008742E9" w:rsidRPr="008742E9" w:rsidRDefault="008742E9" w:rsidP="008742E9">
      <w:pPr>
        <w:ind w:firstLine="425"/>
        <w:contextualSpacing/>
        <w:jc w:val="both"/>
        <w:rPr>
          <w:rFonts w:eastAsia="Calibri"/>
          <w:sz w:val="22"/>
          <w:szCs w:val="22"/>
          <w:shd w:val="clear" w:color="auto" w:fill="FFFFFF"/>
          <w:lang w:eastAsia="en-US"/>
        </w:rPr>
      </w:pPr>
      <w:r w:rsidRPr="008742E9">
        <w:rPr>
          <w:rFonts w:eastAsia="Calibri"/>
          <w:sz w:val="22"/>
          <w:szCs w:val="22"/>
          <w:shd w:val="clear" w:color="auto" w:fill="FFFFFF"/>
          <w:lang w:eastAsia="en-US"/>
        </w:rPr>
        <w:lastRenderedPageBreak/>
        <w:t>Центр района – станица Динская. </w:t>
      </w:r>
      <w:r w:rsidRPr="008742E9">
        <w:rPr>
          <w:rFonts w:eastAsia="Calibri"/>
          <w:sz w:val="22"/>
          <w:szCs w:val="22"/>
          <w:lang w:eastAsia="en-US"/>
        </w:rPr>
        <w:t xml:space="preserve">Главной водной артерией ст. Динской является река 2-я  Кочеты и притоки. </w:t>
      </w:r>
      <w:r w:rsidRPr="008742E9">
        <w:rPr>
          <w:rFonts w:eastAsia="Calibri"/>
          <w:sz w:val="22"/>
          <w:szCs w:val="22"/>
          <w:shd w:val="clear" w:color="auto" w:fill="FFFFFF"/>
          <w:lang w:eastAsia="en-US"/>
        </w:rPr>
        <w:t>Река 1-я Кочеты (длина – 43 км) впадает во 2-ю Кочеты (длина – 45 км), а она, сл</w:t>
      </w:r>
      <w:r w:rsidRPr="008742E9">
        <w:rPr>
          <w:rFonts w:eastAsia="Calibri"/>
          <w:sz w:val="22"/>
          <w:szCs w:val="22"/>
          <w:shd w:val="clear" w:color="auto" w:fill="FFFFFF"/>
          <w:lang w:eastAsia="en-US"/>
        </w:rPr>
        <w:t>и</w:t>
      </w:r>
      <w:r w:rsidRPr="008742E9">
        <w:rPr>
          <w:rFonts w:eastAsia="Calibri"/>
          <w:sz w:val="22"/>
          <w:szCs w:val="22"/>
          <w:shd w:val="clear" w:color="auto" w:fill="FFFFFF"/>
          <w:lang w:eastAsia="en-US"/>
        </w:rPr>
        <w:t>ваясь с 3-й речкой Кочеты (длина – 47км), образует собственно р. Кочеты (длина – 43 км). Бассейн Азовского моря. Направление т</w:t>
      </w:r>
      <w:r w:rsidRPr="008742E9">
        <w:rPr>
          <w:rFonts w:eastAsia="Calibri"/>
          <w:sz w:val="22"/>
          <w:szCs w:val="22"/>
          <w:shd w:val="clear" w:color="auto" w:fill="FFFFFF"/>
          <w:lang w:eastAsia="en-US"/>
        </w:rPr>
        <w:t>е</w:t>
      </w:r>
      <w:r w:rsidRPr="008742E9">
        <w:rPr>
          <w:rFonts w:eastAsia="Calibri"/>
          <w:sz w:val="22"/>
          <w:szCs w:val="22"/>
          <w:shd w:val="clear" w:color="auto" w:fill="FFFFFF"/>
          <w:lang w:eastAsia="en-US"/>
        </w:rPr>
        <w:t>чения реки с юго-востока на северо-запад.</w:t>
      </w:r>
    </w:p>
    <w:p w:rsidR="008742E9" w:rsidRPr="008742E9" w:rsidRDefault="008742E9" w:rsidP="008742E9">
      <w:pPr>
        <w:ind w:firstLine="425"/>
        <w:contextualSpacing/>
        <w:jc w:val="both"/>
        <w:rPr>
          <w:rFonts w:eastAsia="Calibri"/>
          <w:sz w:val="22"/>
          <w:szCs w:val="22"/>
          <w:lang w:eastAsia="en-US"/>
        </w:rPr>
      </w:pPr>
      <w:r w:rsidRPr="008742E9">
        <w:rPr>
          <w:rFonts w:eastAsia="Calibri"/>
          <w:sz w:val="22"/>
          <w:szCs w:val="22"/>
          <w:lang w:eastAsia="en-US"/>
        </w:rPr>
        <w:t>Основными источниками питания реки являются атмосферные осадки и грунтовые воды. Для водного режима характерной ос</w:t>
      </w:r>
      <w:r w:rsidRPr="008742E9">
        <w:rPr>
          <w:rFonts w:eastAsia="Calibri"/>
          <w:sz w:val="22"/>
          <w:szCs w:val="22"/>
          <w:lang w:eastAsia="en-US"/>
        </w:rPr>
        <w:t>о</w:t>
      </w:r>
      <w:r w:rsidRPr="008742E9">
        <w:rPr>
          <w:rFonts w:eastAsia="Calibri"/>
          <w:sz w:val="22"/>
          <w:szCs w:val="22"/>
          <w:lang w:eastAsia="en-US"/>
        </w:rPr>
        <w:t>бенностью является его неравномерность и резкие колебания стока по сезонам. В связи с большим количеством плотин и дамб водный режим значительно изменен. [2]</w:t>
      </w:r>
    </w:p>
    <w:p w:rsidR="008742E9" w:rsidRPr="008742E9" w:rsidRDefault="008742E9" w:rsidP="008742E9">
      <w:pPr>
        <w:ind w:firstLine="425"/>
        <w:contextualSpacing/>
        <w:jc w:val="both"/>
        <w:rPr>
          <w:rFonts w:eastAsia="Calibri"/>
          <w:sz w:val="22"/>
          <w:szCs w:val="22"/>
          <w:lang w:eastAsia="en-US"/>
        </w:rPr>
      </w:pPr>
      <w:r w:rsidRPr="008742E9">
        <w:rPr>
          <w:rFonts w:eastAsia="Calibri"/>
          <w:sz w:val="22"/>
          <w:szCs w:val="22"/>
          <w:lang w:eastAsia="en-US"/>
        </w:rPr>
        <w:t>Вода в реке не прозрачная, зеленовато-мутная и имеет спец</w:t>
      </w:r>
      <w:r w:rsidRPr="008742E9">
        <w:rPr>
          <w:rFonts w:eastAsia="Calibri"/>
          <w:sz w:val="22"/>
          <w:szCs w:val="22"/>
          <w:lang w:eastAsia="en-US"/>
        </w:rPr>
        <w:t>и</w:t>
      </w:r>
      <w:r w:rsidRPr="008742E9">
        <w:rPr>
          <w:rFonts w:eastAsia="Calibri"/>
          <w:sz w:val="22"/>
          <w:szCs w:val="22"/>
          <w:lang w:eastAsia="en-US"/>
        </w:rPr>
        <w:t>фический затхлый запах. На берегах мусор, в виде оставленных в</w:t>
      </w:r>
      <w:r w:rsidRPr="008742E9">
        <w:rPr>
          <w:rFonts w:eastAsia="Calibri"/>
          <w:sz w:val="22"/>
          <w:szCs w:val="22"/>
          <w:lang w:eastAsia="en-US"/>
        </w:rPr>
        <w:t>е</w:t>
      </w:r>
      <w:r w:rsidRPr="008742E9">
        <w:rPr>
          <w:rFonts w:eastAsia="Calibri"/>
          <w:sz w:val="22"/>
          <w:szCs w:val="22"/>
          <w:lang w:eastAsia="en-US"/>
        </w:rPr>
        <w:t>щей, бумаги и пластика. Больше всего страдает водная растител</w:t>
      </w:r>
      <w:r w:rsidRPr="008742E9">
        <w:rPr>
          <w:rFonts w:eastAsia="Calibri"/>
          <w:sz w:val="22"/>
          <w:szCs w:val="22"/>
          <w:lang w:eastAsia="en-US"/>
        </w:rPr>
        <w:t>ь</w:t>
      </w:r>
      <w:r w:rsidRPr="008742E9">
        <w:rPr>
          <w:rFonts w:eastAsia="Calibri"/>
          <w:sz w:val="22"/>
          <w:szCs w:val="22"/>
          <w:lang w:eastAsia="en-US"/>
        </w:rPr>
        <w:t>ность из - за деятельности человека в местах выброса коммунал</w:t>
      </w:r>
      <w:r w:rsidRPr="008742E9">
        <w:rPr>
          <w:rFonts w:eastAsia="Calibri"/>
          <w:sz w:val="22"/>
          <w:szCs w:val="22"/>
          <w:lang w:eastAsia="en-US"/>
        </w:rPr>
        <w:t>ь</w:t>
      </w:r>
      <w:r w:rsidRPr="008742E9">
        <w:rPr>
          <w:rFonts w:eastAsia="Calibri"/>
          <w:sz w:val="22"/>
          <w:szCs w:val="22"/>
          <w:lang w:eastAsia="en-US"/>
        </w:rPr>
        <w:t>ных вод. Водоросли в реках разнообразны, но численность их не велика.</w:t>
      </w:r>
    </w:p>
    <w:p w:rsidR="008742E9" w:rsidRPr="008742E9" w:rsidRDefault="008742E9" w:rsidP="008742E9">
      <w:pPr>
        <w:ind w:firstLine="425"/>
        <w:contextualSpacing/>
        <w:jc w:val="both"/>
        <w:rPr>
          <w:rFonts w:eastAsia="Calibri"/>
          <w:sz w:val="22"/>
          <w:szCs w:val="22"/>
          <w:lang w:eastAsia="en-US"/>
        </w:rPr>
      </w:pPr>
      <w:r w:rsidRPr="008742E9">
        <w:rPr>
          <w:rFonts w:eastAsia="Calibri"/>
          <w:sz w:val="22"/>
          <w:szCs w:val="22"/>
          <w:lang w:eastAsia="en-US"/>
        </w:rPr>
        <w:t>Состояние поверхностных водотоков и водоемов в районе н</w:t>
      </w:r>
      <w:r w:rsidRPr="008742E9">
        <w:rPr>
          <w:rFonts w:eastAsia="Calibri"/>
          <w:sz w:val="22"/>
          <w:szCs w:val="22"/>
          <w:lang w:eastAsia="en-US"/>
        </w:rPr>
        <w:t>е</w:t>
      </w:r>
      <w:r w:rsidRPr="008742E9">
        <w:rPr>
          <w:rFonts w:eastAsia="Calibri"/>
          <w:sz w:val="22"/>
          <w:szCs w:val="22"/>
          <w:lang w:eastAsia="en-US"/>
        </w:rPr>
        <w:t>удовлетворительное: течение затруднено, наблюдается бурное ра</w:t>
      </w:r>
      <w:r w:rsidRPr="008742E9">
        <w:rPr>
          <w:rFonts w:eastAsia="Calibri"/>
          <w:sz w:val="22"/>
          <w:szCs w:val="22"/>
          <w:lang w:eastAsia="en-US"/>
        </w:rPr>
        <w:t>з</w:t>
      </w:r>
      <w:r w:rsidRPr="008742E9">
        <w:rPr>
          <w:rFonts w:eastAsia="Calibri"/>
          <w:sz w:val="22"/>
          <w:szCs w:val="22"/>
          <w:lang w:eastAsia="en-US"/>
        </w:rPr>
        <w:t>витие макро - и микрофитов, прибрежные территории и дно водо</w:t>
      </w:r>
      <w:r w:rsidRPr="008742E9">
        <w:rPr>
          <w:rFonts w:eastAsia="Calibri"/>
          <w:sz w:val="22"/>
          <w:szCs w:val="22"/>
          <w:lang w:eastAsia="en-US"/>
        </w:rPr>
        <w:t>е</w:t>
      </w:r>
      <w:r w:rsidRPr="008742E9">
        <w:rPr>
          <w:rFonts w:eastAsia="Calibri"/>
          <w:sz w:val="22"/>
          <w:szCs w:val="22"/>
          <w:lang w:eastAsia="en-US"/>
        </w:rPr>
        <w:t>мов заилено.</w:t>
      </w:r>
    </w:p>
    <w:p w:rsidR="008742E9" w:rsidRPr="008742E9" w:rsidRDefault="008742E9" w:rsidP="008742E9">
      <w:pPr>
        <w:ind w:firstLine="425"/>
        <w:contextualSpacing/>
        <w:jc w:val="both"/>
        <w:rPr>
          <w:rFonts w:eastAsia="Calibri"/>
          <w:sz w:val="22"/>
          <w:szCs w:val="22"/>
          <w:lang w:eastAsia="en-US"/>
        </w:rPr>
      </w:pPr>
      <w:r w:rsidRPr="008742E9">
        <w:rPr>
          <w:rFonts w:eastAsia="Calibri"/>
          <w:sz w:val="22"/>
          <w:szCs w:val="22"/>
          <w:lang w:eastAsia="en-US"/>
        </w:rPr>
        <w:t>Река имеет повышенную минерализацию с содержанием солей от 600 до 12700 мг/л. В воде большую часть года преобладают сульфатные ионы натрия. Результаты содержания в воде р. Кочеты тяжелых металлов, показывают, что воды относятся к слабо загря</w:t>
      </w:r>
      <w:r w:rsidRPr="008742E9">
        <w:rPr>
          <w:rFonts w:eastAsia="Calibri"/>
          <w:sz w:val="22"/>
          <w:szCs w:val="22"/>
          <w:lang w:eastAsia="en-US"/>
        </w:rPr>
        <w:t>з</w:t>
      </w:r>
      <w:r w:rsidRPr="008742E9">
        <w:rPr>
          <w:rFonts w:eastAsia="Calibri"/>
          <w:sz w:val="22"/>
          <w:szCs w:val="22"/>
          <w:lang w:eastAsia="en-US"/>
        </w:rPr>
        <w:t>ненным. [2]</w:t>
      </w:r>
    </w:p>
    <w:p w:rsidR="008742E9" w:rsidRPr="008742E9" w:rsidRDefault="008742E9" w:rsidP="008742E9">
      <w:pPr>
        <w:ind w:right="-142" w:firstLine="425"/>
        <w:contextualSpacing/>
        <w:jc w:val="both"/>
        <w:rPr>
          <w:rFonts w:eastAsia="Calibri"/>
          <w:sz w:val="22"/>
          <w:szCs w:val="22"/>
          <w:lang w:eastAsia="en-US"/>
        </w:rPr>
      </w:pPr>
      <w:r w:rsidRPr="008742E9">
        <w:rPr>
          <w:rFonts w:eastAsia="Calibri"/>
          <w:sz w:val="22"/>
          <w:szCs w:val="22"/>
          <w:lang w:eastAsia="en-US"/>
        </w:rPr>
        <w:t>Источником водоснабжения ст. Динской служат подземные в</w:t>
      </w:r>
      <w:r w:rsidRPr="008742E9">
        <w:rPr>
          <w:rFonts w:eastAsia="Calibri"/>
          <w:sz w:val="22"/>
          <w:szCs w:val="22"/>
          <w:lang w:eastAsia="en-US"/>
        </w:rPr>
        <w:t>о</w:t>
      </w:r>
      <w:r w:rsidRPr="008742E9">
        <w:rPr>
          <w:rFonts w:eastAsia="Calibri"/>
          <w:sz w:val="22"/>
          <w:szCs w:val="22"/>
          <w:lang w:eastAsia="en-US"/>
        </w:rPr>
        <w:t>ды, залегающие на глубине от 110м до 600м (28 артезианских скв</w:t>
      </w:r>
      <w:r w:rsidRPr="008742E9">
        <w:rPr>
          <w:rFonts w:eastAsia="Calibri"/>
          <w:sz w:val="22"/>
          <w:szCs w:val="22"/>
          <w:lang w:eastAsia="en-US"/>
        </w:rPr>
        <w:t>а</w:t>
      </w:r>
      <w:r w:rsidRPr="008742E9">
        <w:rPr>
          <w:rFonts w:eastAsia="Calibri"/>
          <w:sz w:val="22"/>
          <w:szCs w:val="22"/>
          <w:lang w:eastAsia="en-US"/>
        </w:rPr>
        <w:t>жин), но также можно применить поверхностные воды реки Кочеты. В связи с ростом с/х производства (тепличные хозяйства), расшир</w:t>
      </w:r>
      <w:r w:rsidRPr="008742E9">
        <w:rPr>
          <w:rFonts w:eastAsia="Calibri"/>
          <w:sz w:val="22"/>
          <w:szCs w:val="22"/>
          <w:lang w:eastAsia="en-US"/>
        </w:rPr>
        <w:t>е</w:t>
      </w:r>
      <w:r w:rsidRPr="008742E9">
        <w:rPr>
          <w:rFonts w:eastAsia="Calibri"/>
          <w:sz w:val="22"/>
          <w:szCs w:val="22"/>
          <w:lang w:eastAsia="en-US"/>
        </w:rPr>
        <w:t>нием отдельных производств и созданием новых предприятий, и</w:t>
      </w:r>
      <w:r w:rsidRPr="008742E9">
        <w:rPr>
          <w:rFonts w:eastAsia="Calibri"/>
          <w:sz w:val="22"/>
          <w:szCs w:val="22"/>
          <w:lang w:eastAsia="en-US"/>
        </w:rPr>
        <w:t>н</w:t>
      </w:r>
      <w:r w:rsidRPr="008742E9">
        <w:rPr>
          <w:rFonts w:eastAsia="Calibri"/>
          <w:sz w:val="22"/>
          <w:szCs w:val="22"/>
          <w:lang w:eastAsia="en-US"/>
        </w:rPr>
        <w:t>тенсивной застройкой новых микрорайонов возросло водопотребл</w:t>
      </w:r>
      <w:r w:rsidRPr="008742E9">
        <w:rPr>
          <w:rFonts w:eastAsia="Calibri"/>
          <w:sz w:val="22"/>
          <w:szCs w:val="22"/>
          <w:lang w:eastAsia="en-US"/>
        </w:rPr>
        <w:t>е</w:t>
      </w:r>
      <w:r w:rsidRPr="008742E9">
        <w:rPr>
          <w:rFonts w:eastAsia="Calibri"/>
          <w:sz w:val="22"/>
          <w:szCs w:val="22"/>
          <w:lang w:eastAsia="en-US"/>
        </w:rPr>
        <w:t xml:space="preserve">ние.  Возмещение недостающего объема водопотребления возможно за счет отбора воды из поверхностного источника р. Кочеты. </w:t>
      </w:r>
    </w:p>
    <w:p w:rsidR="008742E9" w:rsidRPr="008742E9" w:rsidRDefault="008742E9" w:rsidP="008742E9">
      <w:pPr>
        <w:ind w:right="-142" w:firstLine="425"/>
        <w:contextualSpacing/>
        <w:jc w:val="both"/>
        <w:rPr>
          <w:rFonts w:eastAsia="Calibri"/>
          <w:sz w:val="22"/>
          <w:szCs w:val="22"/>
          <w:lang w:eastAsia="en-US"/>
        </w:rPr>
      </w:pPr>
      <w:r w:rsidRPr="008742E9">
        <w:rPr>
          <w:color w:val="000000"/>
          <w:sz w:val="22"/>
          <w:szCs w:val="22"/>
        </w:rPr>
        <w:t>Чтобы вода попадала к потребителю нормального качества, и</w:t>
      </w:r>
      <w:r w:rsidRPr="008742E9">
        <w:rPr>
          <w:color w:val="000000"/>
          <w:sz w:val="22"/>
          <w:szCs w:val="22"/>
        </w:rPr>
        <w:t>с</w:t>
      </w:r>
      <w:r w:rsidRPr="008742E9">
        <w:rPr>
          <w:color w:val="000000"/>
          <w:sz w:val="22"/>
          <w:szCs w:val="22"/>
        </w:rPr>
        <w:t>пользуется целая система инженерных сооружений. Для начала пр</w:t>
      </w:r>
      <w:r w:rsidRPr="008742E9">
        <w:rPr>
          <w:color w:val="000000"/>
          <w:sz w:val="22"/>
          <w:szCs w:val="22"/>
        </w:rPr>
        <w:t>о</w:t>
      </w:r>
      <w:r w:rsidRPr="008742E9">
        <w:rPr>
          <w:color w:val="000000"/>
          <w:sz w:val="22"/>
          <w:szCs w:val="22"/>
        </w:rPr>
        <w:t xml:space="preserve">изводится очистка сточных вод. </w:t>
      </w:r>
      <w:r w:rsidRPr="008742E9">
        <w:rPr>
          <w:sz w:val="22"/>
          <w:szCs w:val="22"/>
        </w:rPr>
        <w:t>Сточная вода от главной канализ</w:t>
      </w:r>
      <w:r w:rsidRPr="008742E9">
        <w:rPr>
          <w:sz w:val="22"/>
          <w:szCs w:val="22"/>
        </w:rPr>
        <w:t>а</w:t>
      </w:r>
      <w:r w:rsidRPr="008742E9">
        <w:rPr>
          <w:sz w:val="22"/>
          <w:szCs w:val="22"/>
        </w:rPr>
        <w:t xml:space="preserve">ционной насосной станции по напорным коллекторам подается на </w:t>
      </w:r>
      <w:r w:rsidRPr="008742E9">
        <w:rPr>
          <w:sz w:val="22"/>
          <w:szCs w:val="22"/>
        </w:rPr>
        <w:lastRenderedPageBreak/>
        <w:t>очистные сооружения канализации. Пройдя решетки, сточная вода попадает в песколовки. В песколовках осуществляется механическая очистка сточных вод от крупных частиц. После песколовок сточная вода поступает в первичные отстойники, где производится механич</w:t>
      </w:r>
      <w:r w:rsidRPr="008742E9">
        <w:rPr>
          <w:sz w:val="22"/>
          <w:szCs w:val="22"/>
        </w:rPr>
        <w:t>е</w:t>
      </w:r>
      <w:r w:rsidRPr="008742E9">
        <w:rPr>
          <w:sz w:val="22"/>
          <w:szCs w:val="22"/>
        </w:rPr>
        <w:t xml:space="preserve">ская очистка </w:t>
      </w:r>
      <w:r w:rsidRPr="008742E9">
        <w:rPr>
          <w:color w:val="000000"/>
          <w:sz w:val="22"/>
          <w:szCs w:val="22"/>
        </w:rPr>
        <w:t>−</w:t>
      </w:r>
      <w:r w:rsidRPr="008742E9">
        <w:rPr>
          <w:sz w:val="22"/>
          <w:szCs w:val="22"/>
        </w:rPr>
        <w:t xml:space="preserve"> осаждение взвешенных веществ в сточной воде. Далее после механической очистки сточная вода поступает в аэротенки. В аэротенках осуществляется биологическая очистка сточных вод а</w:t>
      </w:r>
      <w:r w:rsidRPr="008742E9">
        <w:rPr>
          <w:sz w:val="22"/>
          <w:szCs w:val="22"/>
        </w:rPr>
        <w:t>к</w:t>
      </w:r>
      <w:r w:rsidRPr="008742E9">
        <w:rPr>
          <w:sz w:val="22"/>
          <w:szCs w:val="22"/>
        </w:rPr>
        <w:t>тивным илом – микроорганизмами. Для этого в аэротенки непреры</w:t>
      </w:r>
      <w:r w:rsidRPr="008742E9">
        <w:rPr>
          <w:sz w:val="22"/>
          <w:szCs w:val="22"/>
        </w:rPr>
        <w:t>в</w:t>
      </w:r>
      <w:r w:rsidRPr="008742E9">
        <w:rPr>
          <w:sz w:val="22"/>
          <w:szCs w:val="22"/>
        </w:rPr>
        <w:t>но осуществляется подача воздуха воздуходувной станцией. После аэротенков сточная вода поступает во вторичные отстойники, где происходит осаждение избыточного активного ила и дальнейшее осветление воды. После вторичных отстойников очищенные сточные воды поступают в контактный резервуар для обеззараживания и д</w:t>
      </w:r>
      <w:r w:rsidRPr="008742E9">
        <w:rPr>
          <w:sz w:val="22"/>
          <w:szCs w:val="22"/>
        </w:rPr>
        <w:t>а</w:t>
      </w:r>
      <w:r w:rsidRPr="008742E9">
        <w:rPr>
          <w:sz w:val="22"/>
          <w:szCs w:val="22"/>
        </w:rPr>
        <w:t>лее через систему прудов очищенные сточные воды сбрасываются в реку 2-я Кочеты.</w:t>
      </w:r>
      <w:r w:rsidRPr="008742E9">
        <w:rPr>
          <w:rFonts w:eastAsia="Calibri"/>
          <w:sz w:val="22"/>
          <w:szCs w:val="22"/>
          <w:lang w:eastAsia="en-US"/>
        </w:rPr>
        <w:t xml:space="preserve"> [4]</w:t>
      </w:r>
    </w:p>
    <w:p w:rsidR="008742E9" w:rsidRPr="008742E9" w:rsidRDefault="008742E9" w:rsidP="008742E9">
      <w:pPr>
        <w:shd w:val="clear" w:color="auto" w:fill="FFFFFF"/>
        <w:ind w:firstLine="425"/>
        <w:contextualSpacing/>
        <w:jc w:val="both"/>
        <w:rPr>
          <w:color w:val="000000"/>
          <w:sz w:val="22"/>
          <w:szCs w:val="22"/>
        </w:rPr>
      </w:pPr>
      <w:r w:rsidRPr="008742E9">
        <w:rPr>
          <w:color w:val="000000"/>
          <w:sz w:val="22"/>
          <w:szCs w:val="22"/>
          <w:shd w:val="clear" w:color="auto" w:fill="FFFFFF"/>
        </w:rPr>
        <w:t xml:space="preserve">Самый быстрый и оптимальный способ водоподготовки-осаждение. Он подразумевает осаждение всех твердых частиц на поверхности фильтрующего элемента или внутри его. Происходит осаждение за счет добавления в воду специальных реагентов. </w:t>
      </w:r>
      <w:r w:rsidRPr="008742E9">
        <w:rPr>
          <w:color w:val="000000"/>
          <w:sz w:val="22"/>
          <w:szCs w:val="22"/>
        </w:rPr>
        <w:t>Но с другой стороны, производительность и эффективность у этого м</w:t>
      </w:r>
      <w:r w:rsidRPr="008742E9">
        <w:rPr>
          <w:color w:val="000000"/>
          <w:sz w:val="22"/>
          <w:szCs w:val="22"/>
        </w:rPr>
        <w:t>е</w:t>
      </w:r>
      <w:r w:rsidRPr="008742E9">
        <w:rPr>
          <w:color w:val="000000"/>
          <w:sz w:val="22"/>
          <w:szCs w:val="22"/>
        </w:rPr>
        <w:t>тода не высокая.</w:t>
      </w:r>
    </w:p>
    <w:p w:rsidR="008742E9" w:rsidRPr="008742E9" w:rsidRDefault="008742E9" w:rsidP="008742E9">
      <w:pPr>
        <w:shd w:val="clear" w:color="auto" w:fill="FFFFFF"/>
        <w:ind w:firstLine="425"/>
        <w:contextualSpacing/>
        <w:jc w:val="both"/>
        <w:rPr>
          <w:color w:val="000000"/>
          <w:spacing w:val="-8"/>
          <w:sz w:val="22"/>
          <w:szCs w:val="22"/>
        </w:rPr>
      </w:pPr>
      <w:r w:rsidRPr="008742E9">
        <w:rPr>
          <w:color w:val="000000"/>
          <w:sz w:val="22"/>
          <w:szCs w:val="22"/>
        </w:rPr>
        <w:t xml:space="preserve">Чтобы решить эти проблемы в воду могут добавлять </w:t>
      </w:r>
      <w:r w:rsidRPr="008742E9">
        <w:rPr>
          <w:color w:val="000000"/>
          <w:spacing w:val="-8"/>
          <w:sz w:val="22"/>
          <w:szCs w:val="22"/>
        </w:rPr>
        <w:t>специал</w:t>
      </w:r>
      <w:r w:rsidRPr="008742E9">
        <w:rPr>
          <w:color w:val="000000"/>
          <w:spacing w:val="-8"/>
          <w:sz w:val="22"/>
          <w:szCs w:val="22"/>
        </w:rPr>
        <w:t>ь</w:t>
      </w:r>
      <w:r w:rsidRPr="008742E9">
        <w:rPr>
          <w:color w:val="000000"/>
          <w:spacing w:val="-8"/>
          <w:sz w:val="22"/>
          <w:szCs w:val="22"/>
        </w:rPr>
        <w:t xml:space="preserve">ные вещества с высоким зарядом молекул − флокулянты. </w:t>
      </w:r>
      <w:r w:rsidRPr="008742E9">
        <w:rPr>
          <w:rFonts w:eastAsia="Calibri"/>
          <w:spacing w:val="-8"/>
          <w:sz w:val="22"/>
          <w:szCs w:val="22"/>
          <w:lang w:eastAsia="en-US"/>
        </w:rPr>
        <w:t>[3]</w:t>
      </w:r>
    </w:p>
    <w:p w:rsidR="008742E9" w:rsidRPr="008742E9" w:rsidRDefault="008742E9" w:rsidP="008742E9">
      <w:pPr>
        <w:ind w:right="-142" w:firstLine="425"/>
        <w:contextualSpacing/>
        <w:jc w:val="both"/>
        <w:rPr>
          <w:rFonts w:eastAsia="Calibri"/>
          <w:sz w:val="22"/>
          <w:szCs w:val="22"/>
          <w:lang w:eastAsia="en-US"/>
        </w:rPr>
      </w:pPr>
    </w:p>
    <w:p w:rsidR="008742E9" w:rsidRPr="008742E9" w:rsidRDefault="008742E9" w:rsidP="008742E9">
      <w:pPr>
        <w:ind w:right="-142" w:firstLine="425"/>
        <w:contextualSpacing/>
        <w:jc w:val="center"/>
        <w:rPr>
          <w:rFonts w:eastAsia="Calibri"/>
          <w:color w:val="FF0000"/>
          <w:sz w:val="22"/>
          <w:szCs w:val="22"/>
          <w:lang w:eastAsia="en-US"/>
        </w:rPr>
      </w:pPr>
      <w:r w:rsidRPr="008742E9">
        <w:rPr>
          <w:rFonts w:eastAsia="Calibri"/>
          <w:sz w:val="22"/>
          <w:szCs w:val="22"/>
          <w:lang w:eastAsia="en-US"/>
        </w:rPr>
        <w:t>Список литератур</w:t>
      </w:r>
      <w:r w:rsidR="00FE6370">
        <w:rPr>
          <w:rFonts w:eastAsia="Calibri"/>
          <w:sz w:val="22"/>
          <w:szCs w:val="22"/>
          <w:lang w:eastAsia="en-US"/>
        </w:rPr>
        <w:t>ы</w:t>
      </w:r>
    </w:p>
    <w:p w:rsidR="008742E9" w:rsidRPr="008742E9" w:rsidRDefault="008742E9" w:rsidP="008742E9">
      <w:pPr>
        <w:ind w:right="-142" w:firstLine="425"/>
        <w:jc w:val="both"/>
        <w:rPr>
          <w:rFonts w:eastAsia="Calibri"/>
          <w:sz w:val="22"/>
          <w:szCs w:val="22"/>
          <w:lang w:eastAsia="en-US"/>
        </w:rPr>
      </w:pPr>
      <w:r w:rsidRPr="008742E9">
        <w:rPr>
          <w:rFonts w:eastAsia="Calibri"/>
          <w:sz w:val="22"/>
          <w:szCs w:val="22"/>
          <w:lang w:eastAsia="en-US"/>
        </w:rPr>
        <w:t>1. Борисов В.И. Реки Кубани. – Краснодар, 1978. – 80 с.</w:t>
      </w:r>
    </w:p>
    <w:p w:rsidR="008742E9" w:rsidRPr="008742E9" w:rsidRDefault="008742E9" w:rsidP="008742E9">
      <w:pPr>
        <w:widowControl w:val="0"/>
        <w:ind w:firstLine="425"/>
        <w:contextualSpacing/>
        <w:jc w:val="both"/>
        <w:rPr>
          <w:bCs/>
          <w:sz w:val="22"/>
          <w:szCs w:val="22"/>
          <w:lang w:eastAsia="en-US"/>
        </w:rPr>
      </w:pPr>
      <w:r w:rsidRPr="008742E9">
        <w:rPr>
          <w:sz w:val="22"/>
          <w:szCs w:val="22"/>
          <w:lang w:eastAsia="en-US"/>
        </w:rPr>
        <w:t>2. Соловьева</w:t>
      </w:r>
      <w:r w:rsidR="001D0D35" w:rsidRPr="001D0D35">
        <w:rPr>
          <w:sz w:val="22"/>
          <w:szCs w:val="22"/>
          <w:lang w:eastAsia="en-US"/>
        </w:rPr>
        <w:t xml:space="preserve"> </w:t>
      </w:r>
      <w:r w:rsidR="001D0D35" w:rsidRPr="008742E9">
        <w:rPr>
          <w:sz w:val="22"/>
          <w:szCs w:val="22"/>
          <w:lang w:eastAsia="en-US"/>
        </w:rPr>
        <w:t>И.А.</w:t>
      </w:r>
      <w:r w:rsidRPr="008742E9">
        <w:rPr>
          <w:sz w:val="22"/>
          <w:szCs w:val="22"/>
          <w:lang w:eastAsia="en-US"/>
        </w:rPr>
        <w:t xml:space="preserve">, Орехова </w:t>
      </w:r>
      <w:r w:rsidR="001D0D35" w:rsidRPr="008742E9">
        <w:rPr>
          <w:sz w:val="22"/>
          <w:szCs w:val="22"/>
          <w:lang w:eastAsia="en-US"/>
        </w:rPr>
        <w:t xml:space="preserve">В.И. </w:t>
      </w:r>
      <w:r w:rsidRPr="008742E9">
        <w:rPr>
          <w:sz w:val="22"/>
          <w:szCs w:val="22"/>
          <w:lang w:eastAsia="en-US"/>
        </w:rPr>
        <w:t>«</w:t>
      </w:r>
      <w:r w:rsidRPr="008742E9">
        <w:rPr>
          <w:bCs/>
          <w:sz w:val="22"/>
          <w:szCs w:val="22"/>
          <w:lang w:eastAsia="en-US"/>
        </w:rPr>
        <w:t>Анализ ландшафтной ситу</w:t>
      </w:r>
      <w:r w:rsidRPr="008742E9">
        <w:rPr>
          <w:bCs/>
          <w:sz w:val="22"/>
          <w:szCs w:val="22"/>
          <w:lang w:eastAsia="en-US"/>
        </w:rPr>
        <w:t>а</w:t>
      </w:r>
      <w:r w:rsidRPr="008742E9">
        <w:rPr>
          <w:bCs/>
          <w:sz w:val="22"/>
          <w:szCs w:val="22"/>
          <w:lang w:eastAsia="en-US"/>
        </w:rPr>
        <w:t>ции и пригодности территорий реки кочеты» //Материалы научно-практической конференции «Пути повышения эффективности и экологической безопасности мелиораций земель юга России» Нов</w:t>
      </w:r>
      <w:r w:rsidRPr="008742E9">
        <w:rPr>
          <w:bCs/>
          <w:sz w:val="22"/>
          <w:szCs w:val="22"/>
          <w:lang w:eastAsia="en-US"/>
        </w:rPr>
        <w:t>о</w:t>
      </w:r>
      <w:r w:rsidRPr="008742E9">
        <w:rPr>
          <w:bCs/>
          <w:sz w:val="22"/>
          <w:szCs w:val="22"/>
          <w:lang w:eastAsia="en-US"/>
        </w:rPr>
        <w:t>черкасск 2017г.</w:t>
      </w:r>
    </w:p>
    <w:p w:rsidR="008742E9" w:rsidRPr="008742E9" w:rsidRDefault="008742E9" w:rsidP="008742E9">
      <w:pPr>
        <w:widowControl w:val="0"/>
        <w:tabs>
          <w:tab w:val="left" w:pos="1417"/>
        </w:tabs>
        <w:ind w:firstLine="425"/>
        <w:contextualSpacing/>
        <w:jc w:val="both"/>
        <w:rPr>
          <w:sz w:val="22"/>
          <w:szCs w:val="22"/>
          <w:lang w:eastAsia="en-US"/>
        </w:rPr>
      </w:pPr>
      <w:r w:rsidRPr="008742E9">
        <w:rPr>
          <w:color w:val="000000"/>
          <w:sz w:val="22"/>
          <w:szCs w:val="22"/>
          <w:lang w:bidi="ru-RU"/>
        </w:rPr>
        <w:t>3. Лихота Е.В., Орехова В.И. Обеззараживание питьевых вод// Сборник статей Х Всероссийской конференции молодых ученых, по</w:t>
      </w:r>
      <w:r w:rsidRPr="008742E9">
        <w:rPr>
          <w:color w:val="000000"/>
          <w:sz w:val="22"/>
          <w:szCs w:val="22"/>
          <w:lang w:bidi="ru-RU"/>
        </w:rPr>
        <w:softHyphen/>
        <w:t>священной 120 - летию И.С. Косенко «Научное обеспечение а</w:t>
      </w:r>
      <w:r w:rsidRPr="008742E9">
        <w:rPr>
          <w:color w:val="000000"/>
          <w:sz w:val="22"/>
          <w:szCs w:val="22"/>
          <w:lang w:bidi="ru-RU"/>
        </w:rPr>
        <w:t>г</w:t>
      </w:r>
      <w:r w:rsidRPr="008742E9">
        <w:rPr>
          <w:color w:val="000000"/>
          <w:sz w:val="22"/>
          <w:szCs w:val="22"/>
          <w:lang w:bidi="ru-RU"/>
        </w:rPr>
        <w:t>ропромыш</w:t>
      </w:r>
      <w:r w:rsidRPr="008742E9">
        <w:rPr>
          <w:color w:val="000000"/>
          <w:sz w:val="22"/>
          <w:szCs w:val="22"/>
          <w:lang w:bidi="ru-RU"/>
        </w:rPr>
        <w:softHyphen/>
        <w:t>ленного комлекса». Краснодар.2017. С. 1 100-1101.</w:t>
      </w:r>
    </w:p>
    <w:p w:rsidR="008742E9" w:rsidRPr="008742E9" w:rsidRDefault="008742E9" w:rsidP="008742E9">
      <w:pPr>
        <w:shd w:val="clear" w:color="auto" w:fill="FFFFFF"/>
        <w:ind w:firstLine="425"/>
        <w:jc w:val="both"/>
        <w:rPr>
          <w:rFonts w:eastAsia="Calibri"/>
          <w:spacing w:val="-8"/>
          <w:sz w:val="22"/>
          <w:szCs w:val="22"/>
          <w:lang w:eastAsia="en-US"/>
        </w:rPr>
      </w:pPr>
      <w:r w:rsidRPr="008742E9">
        <w:rPr>
          <w:rFonts w:eastAsia="Calibri"/>
          <w:spacing w:val="-8"/>
          <w:sz w:val="22"/>
          <w:szCs w:val="22"/>
          <w:lang w:eastAsia="en-US"/>
        </w:rPr>
        <w:t>4.</w:t>
      </w:r>
      <w:r w:rsidR="00FE6370">
        <w:rPr>
          <w:rFonts w:eastAsia="Calibri"/>
          <w:spacing w:val="-8"/>
          <w:sz w:val="22"/>
          <w:szCs w:val="22"/>
          <w:lang w:eastAsia="en-US"/>
        </w:rPr>
        <w:t xml:space="preserve"> </w:t>
      </w:r>
      <w:r w:rsidRPr="008742E9">
        <w:rPr>
          <w:rFonts w:eastAsia="Calibri"/>
          <w:spacing w:val="-8"/>
          <w:sz w:val="22"/>
          <w:szCs w:val="22"/>
          <w:lang w:eastAsia="en-US"/>
        </w:rPr>
        <w:t>Свистунов Ю.</w:t>
      </w:r>
      <w:r w:rsidR="00FE6370">
        <w:rPr>
          <w:rFonts w:eastAsia="Calibri"/>
          <w:spacing w:val="-8"/>
          <w:sz w:val="22"/>
          <w:szCs w:val="22"/>
          <w:lang w:eastAsia="en-US"/>
        </w:rPr>
        <w:t xml:space="preserve"> </w:t>
      </w:r>
      <w:r w:rsidRPr="008742E9">
        <w:rPr>
          <w:rFonts w:eastAsia="Calibri"/>
          <w:spacing w:val="-8"/>
          <w:sz w:val="22"/>
          <w:szCs w:val="22"/>
          <w:lang w:eastAsia="en-US"/>
        </w:rPr>
        <w:t>А. водоотведение и очистка сточных вод (часть 1).</w:t>
      </w:r>
    </w:p>
    <w:p w:rsidR="000C7D3B" w:rsidRDefault="000C7D3B" w:rsidP="000C7D3B">
      <w:pPr>
        <w:rPr>
          <w:rFonts w:eastAsia="Calibri"/>
          <w:sz w:val="22"/>
          <w:szCs w:val="22"/>
          <w:lang w:eastAsia="en-US"/>
        </w:rPr>
      </w:pPr>
    </w:p>
    <w:p w:rsidR="000C7D3B" w:rsidRDefault="000C7D3B" w:rsidP="000C7D3B">
      <w:pPr>
        <w:rPr>
          <w:rFonts w:eastAsia="Calibri"/>
          <w:sz w:val="22"/>
          <w:szCs w:val="22"/>
          <w:lang w:eastAsia="en-US"/>
        </w:rPr>
      </w:pPr>
    </w:p>
    <w:p w:rsidR="000C7D3B" w:rsidRDefault="000C7D3B" w:rsidP="000C7D3B">
      <w:pPr>
        <w:rPr>
          <w:rFonts w:eastAsia="Calibri"/>
          <w:sz w:val="22"/>
          <w:szCs w:val="22"/>
          <w:lang w:eastAsia="en-US"/>
        </w:rPr>
      </w:pPr>
      <w:r w:rsidRPr="00231A3C">
        <w:rPr>
          <w:rFonts w:eastAsia="Calibri"/>
          <w:sz w:val="22"/>
          <w:szCs w:val="22"/>
          <w:lang w:eastAsia="en-US"/>
        </w:rPr>
        <w:lastRenderedPageBreak/>
        <w:t>УДК 504, 455 (470.620)</w:t>
      </w:r>
    </w:p>
    <w:p w:rsidR="000C7D3B" w:rsidRDefault="000C7D3B" w:rsidP="000C7D3B">
      <w:pPr>
        <w:rPr>
          <w:rFonts w:eastAsia="Calibri"/>
          <w:sz w:val="22"/>
          <w:szCs w:val="22"/>
          <w:lang w:eastAsia="en-US"/>
        </w:rPr>
      </w:pPr>
    </w:p>
    <w:p w:rsidR="008742E9" w:rsidRPr="000C7D3B" w:rsidRDefault="008742E9" w:rsidP="00FE6370">
      <w:pPr>
        <w:ind w:firstLine="425"/>
        <w:jc w:val="center"/>
        <w:rPr>
          <w:rFonts w:eastAsia="Calibri"/>
          <w:b/>
          <w:sz w:val="24"/>
          <w:szCs w:val="24"/>
          <w:lang w:eastAsia="en-US"/>
        </w:rPr>
      </w:pPr>
      <w:r w:rsidRPr="001D0D35">
        <w:rPr>
          <w:rFonts w:eastAsia="Calibri"/>
          <w:b/>
          <w:sz w:val="24"/>
          <w:szCs w:val="24"/>
          <w:lang w:eastAsia="en-US"/>
        </w:rPr>
        <w:t>Экологическая</w:t>
      </w:r>
      <w:r w:rsidRPr="000C7D3B">
        <w:rPr>
          <w:rFonts w:eastAsia="Calibri"/>
          <w:b/>
          <w:sz w:val="24"/>
          <w:szCs w:val="24"/>
          <w:lang w:eastAsia="en-US"/>
        </w:rPr>
        <w:t xml:space="preserve"> </w:t>
      </w:r>
      <w:r w:rsidRPr="001D0D35">
        <w:rPr>
          <w:rFonts w:eastAsia="Calibri"/>
          <w:b/>
          <w:sz w:val="24"/>
          <w:szCs w:val="24"/>
          <w:lang w:eastAsia="en-US"/>
        </w:rPr>
        <w:t>проблема</w:t>
      </w:r>
      <w:r w:rsidRPr="000C7D3B">
        <w:rPr>
          <w:rFonts w:eastAsia="Calibri"/>
          <w:b/>
          <w:sz w:val="24"/>
          <w:szCs w:val="24"/>
          <w:lang w:eastAsia="en-US"/>
        </w:rPr>
        <w:t xml:space="preserve"> </w:t>
      </w:r>
      <w:r w:rsidRPr="001D0D35">
        <w:rPr>
          <w:rFonts w:eastAsia="Calibri"/>
          <w:b/>
          <w:sz w:val="24"/>
          <w:szCs w:val="24"/>
          <w:lang w:eastAsia="en-US"/>
        </w:rPr>
        <w:t>реки</w:t>
      </w:r>
      <w:r w:rsidRPr="000C7D3B">
        <w:rPr>
          <w:rFonts w:eastAsia="Calibri"/>
          <w:b/>
          <w:sz w:val="24"/>
          <w:szCs w:val="24"/>
          <w:lang w:eastAsia="en-US"/>
        </w:rPr>
        <w:t xml:space="preserve"> </w:t>
      </w:r>
      <w:r w:rsidRPr="001D0D35">
        <w:rPr>
          <w:rFonts w:eastAsia="Calibri"/>
          <w:b/>
          <w:sz w:val="24"/>
          <w:szCs w:val="24"/>
          <w:lang w:eastAsia="en-US"/>
        </w:rPr>
        <w:t>Кубань</w:t>
      </w:r>
      <w:r w:rsidRPr="000C7D3B">
        <w:rPr>
          <w:rFonts w:eastAsia="Calibri"/>
          <w:b/>
          <w:sz w:val="24"/>
          <w:szCs w:val="24"/>
          <w:lang w:eastAsia="en-US"/>
        </w:rPr>
        <w:t xml:space="preserve"> </w:t>
      </w:r>
    </w:p>
    <w:p w:rsidR="008742E9" w:rsidRPr="001D0D35" w:rsidRDefault="008742E9" w:rsidP="00FE6370">
      <w:pPr>
        <w:ind w:firstLine="425"/>
        <w:jc w:val="center"/>
        <w:rPr>
          <w:rFonts w:eastAsia="Calibri"/>
          <w:b/>
          <w:sz w:val="24"/>
          <w:szCs w:val="24"/>
          <w:lang w:val="en-US" w:eastAsia="en-US"/>
        </w:rPr>
      </w:pPr>
      <w:r w:rsidRPr="001D0D35">
        <w:rPr>
          <w:rFonts w:eastAsia="Calibri"/>
          <w:b/>
          <w:sz w:val="24"/>
          <w:szCs w:val="24"/>
          <w:lang w:val="en-US" w:eastAsia="en-US"/>
        </w:rPr>
        <w:t>The environme</w:t>
      </w:r>
      <w:r w:rsidR="00FE6370" w:rsidRPr="001D0D35">
        <w:rPr>
          <w:rFonts w:eastAsia="Calibri"/>
          <w:b/>
          <w:sz w:val="24"/>
          <w:szCs w:val="24"/>
          <w:lang w:val="en-US" w:eastAsia="en-US"/>
        </w:rPr>
        <w:t xml:space="preserve">ntal problem of the Kuban </w:t>
      </w:r>
      <w:proofErr w:type="gramStart"/>
      <w:r w:rsidR="00FE6370" w:rsidRPr="001D0D35">
        <w:rPr>
          <w:rFonts w:eastAsia="Calibri"/>
          <w:b/>
          <w:sz w:val="24"/>
          <w:szCs w:val="24"/>
          <w:lang w:val="en-US" w:eastAsia="en-US"/>
        </w:rPr>
        <w:t>river</w:t>
      </w:r>
      <w:proofErr w:type="gramEnd"/>
    </w:p>
    <w:p w:rsidR="00FE6370" w:rsidRPr="00FE6370" w:rsidRDefault="00FE6370" w:rsidP="00FE6370">
      <w:pPr>
        <w:ind w:firstLine="425"/>
        <w:jc w:val="center"/>
        <w:rPr>
          <w:rFonts w:eastAsia="Calibri"/>
          <w:b/>
          <w:sz w:val="22"/>
          <w:szCs w:val="22"/>
          <w:lang w:val="en-US" w:eastAsia="en-US"/>
        </w:rPr>
      </w:pPr>
    </w:p>
    <w:p w:rsidR="008742E9" w:rsidRPr="00FE6370" w:rsidRDefault="008742E9" w:rsidP="00FE6370">
      <w:pPr>
        <w:ind w:firstLine="425"/>
        <w:jc w:val="right"/>
        <w:rPr>
          <w:rFonts w:eastAsia="Calibri"/>
          <w:b/>
          <w:sz w:val="22"/>
          <w:szCs w:val="22"/>
          <w:lang w:eastAsia="en-US"/>
        </w:rPr>
      </w:pPr>
      <w:r w:rsidRPr="00FE6370">
        <w:rPr>
          <w:rFonts w:eastAsia="Calibri"/>
          <w:sz w:val="22"/>
          <w:szCs w:val="22"/>
          <w:lang w:eastAsia="en-US"/>
        </w:rPr>
        <w:t>Суров А. О.</w:t>
      </w:r>
      <w:r w:rsidR="00FE6370" w:rsidRPr="00FE6370">
        <w:rPr>
          <w:rFonts w:eastAsia="Calibri"/>
          <w:sz w:val="22"/>
          <w:szCs w:val="22"/>
          <w:lang w:eastAsia="en-US"/>
        </w:rPr>
        <w:t>, Коптев А. В.</w:t>
      </w:r>
      <w:r w:rsidR="00FE6370">
        <w:rPr>
          <w:rFonts w:eastAsia="Calibri"/>
          <w:sz w:val="22"/>
          <w:szCs w:val="22"/>
          <w:lang w:eastAsia="en-US"/>
        </w:rPr>
        <w:t>,</w:t>
      </w:r>
    </w:p>
    <w:p w:rsidR="00FE6370" w:rsidRDefault="00FE6370" w:rsidP="00FE6370">
      <w:pPr>
        <w:ind w:firstLine="425"/>
        <w:jc w:val="right"/>
        <w:rPr>
          <w:rFonts w:eastAsia="Calibri"/>
          <w:sz w:val="22"/>
          <w:szCs w:val="22"/>
          <w:lang w:eastAsia="en-US"/>
        </w:rPr>
      </w:pPr>
      <w:r>
        <w:rPr>
          <w:rFonts w:eastAsia="Calibri"/>
          <w:sz w:val="22"/>
          <w:szCs w:val="22"/>
          <w:lang w:eastAsia="en-US"/>
        </w:rPr>
        <w:t>с</w:t>
      </w:r>
      <w:r w:rsidR="008742E9" w:rsidRPr="00FE6370">
        <w:rPr>
          <w:rFonts w:eastAsia="Calibri"/>
          <w:sz w:val="22"/>
          <w:szCs w:val="22"/>
          <w:lang w:eastAsia="en-US"/>
        </w:rPr>
        <w:t>тудент</w:t>
      </w:r>
      <w:r>
        <w:rPr>
          <w:rFonts w:eastAsia="Calibri"/>
          <w:sz w:val="22"/>
          <w:szCs w:val="22"/>
          <w:lang w:eastAsia="en-US"/>
        </w:rPr>
        <w:t>ы</w:t>
      </w:r>
      <w:r w:rsidR="008742E9" w:rsidRPr="00FE6370">
        <w:rPr>
          <w:rFonts w:eastAsia="Calibri"/>
          <w:sz w:val="22"/>
          <w:szCs w:val="22"/>
          <w:lang w:eastAsia="en-US"/>
        </w:rPr>
        <w:t xml:space="preserve"> 2-го курса</w:t>
      </w:r>
    </w:p>
    <w:p w:rsidR="008742E9" w:rsidRDefault="008742E9" w:rsidP="00FE6370">
      <w:pPr>
        <w:ind w:firstLine="425"/>
        <w:jc w:val="right"/>
        <w:rPr>
          <w:rFonts w:eastAsia="Calibri"/>
          <w:sz w:val="22"/>
          <w:szCs w:val="22"/>
          <w:lang w:eastAsia="en-US"/>
        </w:rPr>
      </w:pPr>
      <w:r w:rsidRPr="00FE6370">
        <w:rPr>
          <w:rFonts w:eastAsia="Calibri"/>
          <w:sz w:val="22"/>
          <w:szCs w:val="22"/>
          <w:lang w:eastAsia="en-US"/>
        </w:rPr>
        <w:t xml:space="preserve"> факультета гидромелиорации</w:t>
      </w:r>
    </w:p>
    <w:p w:rsidR="00E1437B" w:rsidRDefault="00E1437B" w:rsidP="00E1437B">
      <w:pPr>
        <w:widowControl w:val="0"/>
        <w:ind w:left="1280"/>
        <w:jc w:val="right"/>
        <w:rPr>
          <w:bCs/>
          <w:iCs/>
          <w:sz w:val="22"/>
          <w:szCs w:val="22"/>
          <w:lang w:eastAsia="en-US"/>
        </w:rPr>
      </w:pPr>
      <w:r w:rsidRPr="00FE6370">
        <w:rPr>
          <w:bCs/>
          <w:iCs/>
          <w:sz w:val="22"/>
          <w:szCs w:val="22"/>
          <w:lang w:eastAsia="en-US"/>
        </w:rPr>
        <w:t>Кубанский государственный аграрный</w:t>
      </w:r>
    </w:p>
    <w:p w:rsidR="00E1437B" w:rsidRPr="00FE6370" w:rsidRDefault="00E1437B" w:rsidP="00E1437B">
      <w:pPr>
        <w:widowControl w:val="0"/>
        <w:ind w:left="1280"/>
        <w:jc w:val="right"/>
        <w:rPr>
          <w:bCs/>
          <w:iCs/>
          <w:sz w:val="22"/>
          <w:szCs w:val="22"/>
          <w:lang w:eastAsia="en-US"/>
        </w:rPr>
      </w:pPr>
      <w:r w:rsidRPr="00FE6370">
        <w:rPr>
          <w:bCs/>
          <w:iCs/>
          <w:sz w:val="22"/>
          <w:szCs w:val="22"/>
          <w:lang w:eastAsia="en-US"/>
        </w:rPr>
        <w:t xml:space="preserve"> университет имени И.</w:t>
      </w:r>
      <w:r>
        <w:rPr>
          <w:bCs/>
          <w:iCs/>
          <w:sz w:val="22"/>
          <w:szCs w:val="22"/>
          <w:lang w:eastAsia="en-US"/>
        </w:rPr>
        <w:t xml:space="preserve"> </w:t>
      </w:r>
      <w:r w:rsidRPr="00FE6370">
        <w:rPr>
          <w:bCs/>
          <w:iCs/>
          <w:sz w:val="22"/>
          <w:szCs w:val="22"/>
          <w:lang w:eastAsia="en-US"/>
        </w:rPr>
        <w:t>Т. Трубилина</w:t>
      </w:r>
    </w:p>
    <w:p w:rsidR="00FE6370" w:rsidRPr="00FE6370" w:rsidRDefault="00FE6370" w:rsidP="00FE6370">
      <w:pPr>
        <w:ind w:firstLine="425"/>
        <w:jc w:val="right"/>
        <w:rPr>
          <w:rFonts w:eastAsia="Calibri"/>
          <w:sz w:val="22"/>
          <w:szCs w:val="22"/>
          <w:lang w:eastAsia="en-US"/>
        </w:rPr>
      </w:pPr>
    </w:p>
    <w:p w:rsidR="008742E9" w:rsidRPr="00FE6370" w:rsidRDefault="00E1437B" w:rsidP="00FE6370">
      <w:pPr>
        <w:ind w:firstLine="425"/>
        <w:jc w:val="both"/>
        <w:rPr>
          <w:rFonts w:eastAsia="Calibri"/>
          <w:sz w:val="22"/>
          <w:szCs w:val="22"/>
          <w:lang w:eastAsia="en-US"/>
        </w:rPr>
      </w:pPr>
      <w:r w:rsidRPr="00E1437B">
        <w:rPr>
          <w:rFonts w:eastAsia="Calibri"/>
          <w:sz w:val="22"/>
          <w:szCs w:val="22"/>
          <w:lang w:eastAsia="en-US"/>
        </w:rPr>
        <w:t>АННОТАЦИЯ:</w:t>
      </w:r>
      <w:r w:rsidRPr="00FE6370">
        <w:rPr>
          <w:rFonts w:eastAsia="Calibri"/>
          <w:sz w:val="22"/>
          <w:szCs w:val="22"/>
          <w:lang w:eastAsia="en-US"/>
        </w:rPr>
        <w:t xml:space="preserve"> </w:t>
      </w:r>
      <w:r w:rsidR="008742E9" w:rsidRPr="00FE6370">
        <w:rPr>
          <w:rFonts w:eastAsia="Calibri"/>
          <w:sz w:val="22"/>
          <w:szCs w:val="22"/>
          <w:lang w:eastAsia="en-US"/>
        </w:rPr>
        <w:t>проблемы экологического состоянии реки К</w:t>
      </w:r>
      <w:r w:rsidR="008742E9" w:rsidRPr="00FE6370">
        <w:rPr>
          <w:rFonts w:eastAsia="Calibri"/>
          <w:sz w:val="22"/>
          <w:szCs w:val="22"/>
          <w:lang w:eastAsia="en-US"/>
        </w:rPr>
        <w:t>у</w:t>
      </w:r>
      <w:r w:rsidR="008742E9" w:rsidRPr="00FE6370">
        <w:rPr>
          <w:rFonts w:eastAsia="Calibri"/>
          <w:sz w:val="22"/>
          <w:szCs w:val="22"/>
          <w:lang w:eastAsia="en-US"/>
        </w:rPr>
        <w:t>бань. Основные причины загрязнения реки. Возможные пути реш</w:t>
      </w:r>
      <w:r w:rsidR="008742E9" w:rsidRPr="00FE6370">
        <w:rPr>
          <w:rFonts w:eastAsia="Calibri"/>
          <w:sz w:val="22"/>
          <w:szCs w:val="22"/>
          <w:lang w:eastAsia="en-US"/>
        </w:rPr>
        <w:t>е</w:t>
      </w:r>
      <w:r w:rsidR="008742E9" w:rsidRPr="00FE6370">
        <w:rPr>
          <w:rFonts w:eastAsia="Calibri"/>
          <w:sz w:val="22"/>
          <w:szCs w:val="22"/>
          <w:lang w:eastAsia="en-US"/>
        </w:rPr>
        <w:t>ния экологической проблемы</w:t>
      </w:r>
    </w:p>
    <w:p w:rsidR="008742E9" w:rsidRPr="00FE6370" w:rsidRDefault="00E1437B" w:rsidP="00FE6370">
      <w:pPr>
        <w:ind w:firstLine="425"/>
        <w:jc w:val="both"/>
        <w:rPr>
          <w:rFonts w:eastAsia="Calibri"/>
          <w:sz w:val="22"/>
          <w:szCs w:val="22"/>
          <w:lang w:val="en-US" w:eastAsia="en-US"/>
        </w:rPr>
      </w:pPr>
      <w:r w:rsidRPr="00FE6370">
        <w:rPr>
          <w:rFonts w:eastAsia="Calibri"/>
          <w:sz w:val="22"/>
          <w:szCs w:val="22"/>
          <w:lang w:val="en-US" w:eastAsia="en-US"/>
        </w:rPr>
        <w:t xml:space="preserve">ABSTRACT: </w:t>
      </w:r>
      <w:r w:rsidR="008742E9" w:rsidRPr="00FE6370">
        <w:rPr>
          <w:rFonts w:eastAsia="Calibri"/>
          <w:sz w:val="22"/>
          <w:szCs w:val="22"/>
          <w:lang w:val="en-US" w:eastAsia="en-US"/>
        </w:rPr>
        <w:t>problems of ecological state of the Kuban river. The main causes of pollution of the river. Possible solutions to the enviro</w:t>
      </w:r>
      <w:r w:rsidR="008742E9" w:rsidRPr="00FE6370">
        <w:rPr>
          <w:rFonts w:eastAsia="Calibri"/>
          <w:sz w:val="22"/>
          <w:szCs w:val="22"/>
          <w:lang w:val="en-US" w:eastAsia="en-US"/>
        </w:rPr>
        <w:t>n</w:t>
      </w:r>
      <w:r w:rsidR="008742E9" w:rsidRPr="00FE6370">
        <w:rPr>
          <w:rFonts w:eastAsia="Calibri"/>
          <w:sz w:val="22"/>
          <w:szCs w:val="22"/>
          <w:lang w:val="en-US" w:eastAsia="en-US"/>
        </w:rPr>
        <w:t>mental problem.</w:t>
      </w:r>
    </w:p>
    <w:p w:rsidR="008742E9" w:rsidRPr="00024398" w:rsidRDefault="00E1437B" w:rsidP="00FE6370">
      <w:pPr>
        <w:ind w:firstLine="425"/>
        <w:jc w:val="both"/>
        <w:rPr>
          <w:rFonts w:eastAsia="Calibri"/>
          <w:sz w:val="22"/>
          <w:szCs w:val="22"/>
          <w:lang w:val="en-US" w:eastAsia="en-US"/>
        </w:rPr>
      </w:pPr>
      <w:r w:rsidRPr="00FE6370">
        <w:rPr>
          <w:rFonts w:eastAsia="Calibri"/>
          <w:sz w:val="22"/>
          <w:szCs w:val="22"/>
          <w:lang w:eastAsia="en-US"/>
        </w:rPr>
        <w:t>КЛЮЧЕВЫЕ</w:t>
      </w:r>
      <w:r w:rsidRPr="00024398">
        <w:rPr>
          <w:rFonts w:eastAsia="Calibri"/>
          <w:sz w:val="22"/>
          <w:szCs w:val="22"/>
          <w:lang w:val="en-US" w:eastAsia="en-US"/>
        </w:rPr>
        <w:t xml:space="preserve"> </w:t>
      </w:r>
      <w:r w:rsidRPr="00FE6370">
        <w:rPr>
          <w:rFonts w:eastAsia="Calibri"/>
          <w:sz w:val="22"/>
          <w:szCs w:val="22"/>
          <w:lang w:eastAsia="en-US"/>
        </w:rPr>
        <w:t>СЛОВА</w:t>
      </w:r>
      <w:r w:rsidRPr="00024398">
        <w:rPr>
          <w:rFonts w:eastAsia="Calibri"/>
          <w:sz w:val="22"/>
          <w:szCs w:val="22"/>
          <w:lang w:val="en-US" w:eastAsia="en-US"/>
        </w:rPr>
        <w:t xml:space="preserve">: </w:t>
      </w:r>
      <w:r w:rsidR="008742E9" w:rsidRPr="00FE6370">
        <w:rPr>
          <w:rFonts w:eastAsia="Calibri"/>
          <w:sz w:val="22"/>
          <w:szCs w:val="22"/>
          <w:lang w:eastAsia="en-US"/>
        </w:rPr>
        <w:t>Кубань</w:t>
      </w:r>
      <w:r w:rsidR="008742E9" w:rsidRPr="00024398">
        <w:rPr>
          <w:rFonts w:eastAsia="Calibri"/>
          <w:sz w:val="22"/>
          <w:szCs w:val="22"/>
          <w:lang w:val="en-US" w:eastAsia="en-US"/>
        </w:rPr>
        <w:t xml:space="preserve">, </w:t>
      </w:r>
      <w:r w:rsidR="008742E9" w:rsidRPr="00FE6370">
        <w:rPr>
          <w:rFonts w:eastAsia="Calibri"/>
          <w:sz w:val="22"/>
          <w:szCs w:val="22"/>
          <w:lang w:eastAsia="en-US"/>
        </w:rPr>
        <w:t>река</w:t>
      </w:r>
      <w:r w:rsidR="008742E9" w:rsidRPr="00024398">
        <w:rPr>
          <w:rFonts w:eastAsia="Calibri"/>
          <w:sz w:val="22"/>
          <w:szCs w:val="22"/>
          <w:lang w:val="en-US" w:eastAsia="en-US"/>
        </w:rPr>
        <w:t xml:space="preserve">, </w:t>
      </w:r>
      <w:r w:rsidR="008742E9" w:rsidRPr="00FE6370">
        <w:rPr>
          <w:rFonts w:eastAsia="Calibri"/>
          <w:sz w:val="22"/>
          <w:szCs w:val="22"/>
          <w:lang w:eastAsia="en-US"/>
        </w:rPr>
        <w:t>проблема</w:t>
      </w:r>
      <w:r w:rsidR="008742E9" w:rsidRPr="00024398">
        <w:rPr>
          <w:rFonts w:eastAsia="Calibri"/>
          <w:sz w:val="22"/>
          <w:szCs w:val="22"/>
          <w:lang w:val="en-US" w:eastAsia="en-US"/>
        </w:rPr>
        <w:t xml:space="preserve">, </w:t>
      </w:r>
      <w:r w:rsidR="008742E9" w:rsidRPr="00FE6370">
        <w:rPr>
          <w:rFonts w:eastAsia="Calibri"/>
          <w:sz w:val="22"/>
          <w:szCs w:val="22"/>
          <w:lang w:eastAsia="en-US"/>
        </w:rPr>
        <w:t>загрязнение</w:t>
      </w:r>
      <w:r w:rsidR="008742E9" w:rsidRPr="00024398">
        <w:rPr>
          <w:rFonts w:eastAsia="Calibri"/>
          <w:sz w:val="22"/>
          <w:szCs w:val="22"/>
          <w:lang w:val="en-US" w:eastAsia="en-US"/>
        </w:rPr>
        <w:t xml:space="preserve">, </w:t>
      </w:r>
      <w:r w:rsidR="008742E9" w:rsidRPr="00FE6370">
        <w:rPr>
          <w:rFonts w:eastAsia="Calibri"/>
          <w:sz w:val="22"/>
          <w:szCs w:val="22"/>
          <w:lang w:eastAsia="en-US"/>
        </w:rPr>
        <w:t>промышленные</w:t>
      </w:r>
      <w:r w:rsidR="008742E9" w:rsidRPr="00024398">
        <w:rPr>
          <w:rFonts w:eastAsia="Calibri"/>
          <w:sz w:val="22"/>
          <w:szCs w:val="22"/>
          <w:lang w:val="en-US" w:eastAsia="en-US"/>
        </w:rPr>
        <w:t xml:space="preserve"> </w:t>
      </w:r>
      <w:r w:rsidR="008742E9" w:rsidRPr="00FE6370">
        <w:rPr>
          <w:rFonts w:eastAsia="Calibri"/>
          <w:sz w:val="22"/>
          <w:szCs w:val="22"/>
          <w:lang w:eastAsia="en-US"/>
        </w:rPr>
        <w:t>отходы</w:t>
      </w:r>
      <w:r w:rsidR="008742E9" w:rsidRPr="00024398">
        <w:rPr>
          <w:rFonts w:eastAsia="Calibri"/>
          <w:sz w:val="22"/>
          <w:szCs w:val="22"/>
          <w:lang w:val="en-US" w:eastAsia="en-US"/>
        </w:rPr>
        <w:t xml:space="preserve">, </w:t>
      </w:r>
      <w:r w:rsidR="008742E9" w:rsidRPr="00FE6370">
        <w:rPr>
          <w:rFonts w:eastAsia="Calibri"/>
          <w:sz w:val="22"/>
          <w:szCs w:val="22"/>
          <w:lang w:eastAsia="en-US"/>
        </w:rPr>
        <w:t>химические</w:t>
      </w:r>
      <w:r w:rsidR="008742E9" w:rsidRPr="00024398">
        <w:rPr>
          <w:rFonts w:eastAsia="Calibri"/>
          <w:sz w:val="22"/>
          <w:szCs w:val="22"/>
          <w:lang w:val="en-US" w:eastAsia="en-US"/>
        </w:rPr>
        <w:t xml:space="preserve"> </w:t>
      </w:r>
      <w:r w:rsidR="008742E9" w:rsidRPr="00FE6370">
        <w:rPr>
          <w:rFonts w:eastAsia="Calibri"/>
          <w:sz w:val="22"/>
          <w:szCs w:val="22"/>
          <w:lang w:eastAsia="en-US"/>
        </w:rPr>
        <w:t>соединения</w:t>
      </w:r>
      <w:r w:rsidR="008742E9" w:rsidRPr="00024398">
        <w:rPr>
          <w:rFonts w:eastAsia="Calibri"/>
          <w:sz w:val="22"/>
          <w:szCs w:val="22"/>
          <w:lang w:val="en-US" w:eastAsia="en-US"/>
        </w:rPr>
        <w:t>.</w:t>
      </w:r>
    </w:p>
    <w:p w:rsidR="008742E9" w:rsidRPr="00024398" w:rsidRDefault="00E1437B" w:rsidP="00FE6370">
      <w:pPr>
        <w:ind w:firstLine="425"/>
        <w:jc w:val="both"/>
        <w:rPr>
          <w:rFonts w:eastAsia="Calibri"/>
          <w:sz w:val="22"/>
          <w:szCs w:val="22"/>
          <w:lang w:val="en-US" w:eastAsia="en-US"/>
        </w:rPr>
      </w:pPr>
      <w:r w:rsidRPr="00FE6370">
        <w:rPr>
          <w:rFonts w:eastAsia="Calibri"/>
          <w:sz w:val="22"/>
          <w:szCs w:val="22"/>
          <w:lang w:val="en-US" w:eastAsia="en-US"/>
        </w:rPr>
        <w:t xml:space="preserve">KEYWORDS: </w:t>
      </w:r>
      <w:r w:rsidR="008742E9" w:rsidRPr="00FE6370">
        <w:rPr>
          <w:rFonts w:eastAsia="Calibri"/>
          <w:sz w:val="22"/>
          <w:szCs w:val="22"/>
          <w:lang w:val="en-US" w:eastAsia="en-US"/>
        </w:rPr>
        <w:t>Kuban, river, problem, pollution, industrial waste, chemical compounds.</w:t>
      </w:r>
    </w:p>
    <w:p w:rsidR="00E1437B" w:rsidRPr="00024398" w:rsidRDefault="00E1437B" w:rsidP="00FE6370">
      <w:pPr>
        <w:ind w:firstLine="425"/>
        <w:jc w:val="both"/>
        <w:rPr>
          <w:rFonts w:eastAsia="Calibri"/>
          <w:sz w:val="22"/>
          <w:szCs w:val="22"/>
          <w:lang w:val="en-US" w:eastAsia="en-US"/>
        </w:rPr>
      </w:pP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Краснодарский край располагает значительными запасами в</w:t>
      </w:r>
      <w:r w:rsidRPr="00FE6370">
        <w:rPr>
          <w:rFonts w:eastAsia="Calibri"/>
          <w:sz w:val="22"/>
          <w:szCs w:val="22"/>
          <w:lang w:eastAsia="en-US"/>
        </w:rPr>
        <w:t>о</w:t>
      </w:r>
      <w:r w:rsidRPr="00FE6370">
        <w:rPr>
          <w:rFonts w:eastAsia="Calibri"/>
          <w:sz w:val="22"/>
          <w:szCs w:val="22"/>
          <w:lang w:eastAsia="en-US"/>
        </w:rPr>
        <w:t>ды. Здесь насчитывается 7088 водных источников, в том числе 547 рек, 12 водохранилищ и свыше 6500 артезианских скважин.</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Кубань – одна из наибольших и основных рек Краснодарского края.  Режим акватории реки разнообразен, но на состояние реки оказывают влияние не только природные и климатические факторы, но и антропогенные. Такие как: промышленные стоки, стоки ж</w:t>
      </w:r>
      <w:r w:rsidRPr="00FE6370">
        <w:rPr>
          <w:rFonts w:eastAsia="Calibri"/>
          <w:sz w:val="22"/>
          <w:szCs w:val="22"/>
          <w:lang w:eastAsia="en-US"/>
        </w:rPr>
        <w:t>и</w:t>
      </w:r>
      <w:r w:rsidRPr="00FE6370">
        <w:rPr>
          <w:rFonts w:eastAsia="Calibri"/>
          <w:sz w:val="22"/>
          <w:szCs w:val="22"/>
          <w:lang w:eastAsia="en-US"/>
        </w:rPr>
        <w:t>лищно-коммунальных служб, а также нерациональное использов</w:t>
      </w:r>
      <w:r w:rsidRPr="00FE6370">
        <w:rPr>
          <w:rFonts w:eastAsia="Calibri"/>
          <w:sz w:val="22"/>
          <w:szCs w:val="22"/>
          <w:lang w:eastAsia="en-US"/>
        </w:rPr>
        <w:t>а</w:t>
      </w:r>
      <w:r w:rsidRPr="00FE6370">
        <w:rPr>
          <w:rFonts w:eastAsia="Calibri"/>
          <w:sz w:val="22"/>
          <w:szCs w:val="22"/>
          <w:lang w:eastAsia="en-US"/>
        </w:rPr>
        <w:t>ние водных ресурсов.</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Река Кубань используются для орошения и обводнения земель не только Краснодарского края, но и Ставрополья. Обводнительно-оросительные системы поглощают около 4 млрд. м 3 воды в год.</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Одной из основных проблем является загрязнение реки являе</w:t>
      </w:r>
      <w:r w:rsidRPr="00FE6370">
        <w:rPr>
          <w:rFonts w:eastAsia="Calibri"/>
          <w:sz w:val="22"/>
          <w:szCs w:val="22"/>
          <w:lang w:eastAsia="en-US"/>
        </w:rPr>
        <w:t>т</w:t>
      </w:r>
      <w:r w:rsidRPr="00FE6370">
        <w:rPr>
          <w:rFonts w:eastAsia="Calibri"/>
          <w:sz w:val="22"/>
          <w:szCs w:val="22"/>
          <w:lang w:eastAsia="en-US"/>
        </w:rPr>
        <w:t>ся агропромышленность. Мелиоративные системы в реку смываю</w:t>
      </w:r>
      <w:r w:rsidRPr="00FE6370">
        <w:rPr>
          <w:rFonts w:eastAsia="Calibri"/>
          <w:sz w:val="22"/>
          <w:szCs w:val="22"/>
          <w:lang w:eastAsia="en-US"/>
        </w:rPr>
        <w:t>т</w:t>
      </w:r>
      <w:r w:rsidRPr="00FE6370">
        <w:rPr>
          <w:rFonts w:eastAsia="Calibri"/>
          <w:sz w:val="22"/>
          <w:szCs w:val="22"/>
          <w:lang w:eastAsia="en-US"/>
        </w:rPr>
        <w:t xml:space="preserve">ся гербицидные и пестицидные вещества, которые используются в </w:t>
      </w:r>
      <w:r w:rsidRPr="00FE6370">
        <w:rPr>
          <w:rFonts w:eastAsia="Calibri"/>
          <w:sz w:val="22"/>
          <w:szCs w:val="22"/>
          <w:lang w:eastAsia="en-US"/>
        </w:rPr>
        <w:lastRenderedPageBreak/>
        <w:t>сельском хозяйстве. Большой проблемой считается загрязнение р</w:t>
      </w:r>
      <w:r w:rsidRPr="00FE6370">
        <w:rPr>
          <w:rFonts w:eastAsia="Calibri"/>
          <w:sz w:val="22"/>
          <w:szCs w:val="22"/>
          <w:lang w:eastAsia="en-US"/>
        </w:rPr>
        <w:t>е</w:t>
      </w:r>
      <w:r w:rsidRPr="00FE6370">
        <w:rPr>
          <w:rFonts w:eastAsia="Calibri"/>
          <w:sz w:val="22"/>
          <w:szCs w:val="22"/>
          <w:lang w:eastAsia="en-US"/>
        </w:rPr>
        <w:t>ки пестицидами и гербицидами.</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Также в воду попадают и различные химические соединения. Такие как: железо, медь, нефтепродукты и т.д.   Среди продуктов промышленного производства особо опасными являются токси</w:t>
      </w:r>
      <w:r w:rsidRPr="00FE6370">
        <w:rPr>
          <w:rFonts w:eastAsia="Calibri"/>
          <w:sz w:val="22"/>
          <w:szCs w:val="22"/>
          <w:lang w:eastAsia="en-US"/>
        </w:rPr>
        <w:t>ч</w:t>
      </w:r>
      <w:r w:rsidRPr="00FE6370">
        <w:rPr>
          <w:rFonts w:eastAsia="Calibri"/>
          <w:sz w:val="22"/>
          <w:szCs w:val="22"/>
          <w:lang w:eastAsia="en-US"/>
        </w:rPr>
        <w:t>ные, синтетические вещества. От сброса промышленных отходов происходит обеднение фитопланктона.</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При перегрузке водоемов биогенами возникает бурное разв</w:t>
      </w:r>
      <w:r w:rsidRPr="00FE6370">
        <w:rPr>
          <w:rFonts w:eastAsia="Calibri"/>
          <w:sz w:val="22"/>
          <w:szCs w:val="22"/>
          <w:lang w:eastAsia="en-US"/>
        </w:rPr>
        <w:t>и</w:t>
      </w:r>
      <w:r w:rsidRPr="00FE6370">
        <w:rPr>
          <w:rFonts w:eastAsia="Calibri"/>
          <w:sz w:val="22"/>
          <w:szCs w:val="22"/>
          <w:lang w:eastAsia="en-US"/>
        </w:rPr>
        <w:t>тие планктонных водорослей, окрашивающих воду в зеленый, сине-зеленый, золотистый, бурый или красный цвета</w:t>
      </w:r>
    </w:p>
    <w:p w:rsidR="008742E9" w:rsidRPr="00FE6370" w:rsidRDefault="008742E9" w:rsidP="00FE6370">
      <w:pPr>
        <w:widowControl w:val="0"/>
        <w:autoSpaceDE w:val="0"/>
        <w:autoSpaceDN w:val="0"/>
        <w:adjustRightInd w:val="0"/>
        <w:ind w:firstLine="425"/>
        <w:jc w:val="both"/>
        <w:rPr>
          <w:rFonts w:eastAsia="Calibri"/>
          <w:sz w:val="22"/>
          <w:szCs w:val="22"/>
          <w:lang w:eastAsia="en-US"/>
        </w:rPr>
      </w:pPr>
      <w:r w:rsidRPr="00FE6370">
        <w:rPr>
          <w:rFonts w:eastAsia="Calibri"/>
          <w:sz w:val="22"/>
          <w:szCs w:val="22"/>
          <w:lang w:eastAsia="en-US"/>
        </w:rPr>
        <w:t>Для решения экологической проблемы с Кубанью нужно более тщательно следить за промышленностью. А именно контролир</w:t>
      </w:r>
      <w:r w:rsidRPr="00FE6370">
        <w:rPr>
          <w:rFonts w:eastAsia="Calibri"/>
          <w:sz w:val="22"/>
          <w:szCs w:val="22"/>
          <w:lang w:eastAsia="en-US"/>
        </w:rPr>
        <w:t>о</w:t>
      </w:r>
      <w:r w:rsidRPr="00FE6370">
        <w:rPr>
          <w:rFonts w:eastAsia="Calibri"/>
          <w:sz w:val="22"/>
          <w:szCs w:val="22"/>
          <w:lang w:eastAsia="en-US"/>
        </w:rPr>
        <w:t>вать, как они избавляются от отходов предприятий. Основать ко</w:t>
      </w:r>
      <w:r w:rsidRPr="00FE6370">
        <w:rPr>
          <w:rFonts w:eastAsia="Calibri"/>
          <w:sz w:val="22"/>
          <w:szCs w:val="22"/>
          <w:lang w:eastAsia="en-US"/>
        </w:rPr>
        <w:t>н</w:t>
      </w:r>
      <w:r w:rsidRPr="00FE6370">
        <w:rPr>
          <w:rFonts w:eastAsia="Calibri"/>
          <w:sz w:val="22"/>
          <w:szCs w:val="22"/>
          <w:lang w:eastAsia="en-US"/>
        </w:rPr>
        <w:t xml:space="preserve">троль </w:t>
      </w:r>
      <w:r w:rsidRPr="00FE6370">
        <w:rPr>
          <w:rFonts w:eastAsia="Calibri"/>
          <w:color w:val="000000"/>
          <w:sz w:val="22"/>
          <w:szCs w:val="22"/>
          <w:lang w:eastAsia="en-US"/>
        </w:rPr>
        <w:t>выпуска</w:t>
      </w:r>
      <w:r w:rsidRPr="00FE6370">
        <w:rPr>
          <w:rFonts w:eastAsia="Calibri"/>
          <w:sz w:val="22"/>
          <w:szCs w:val="22"/>
          <w:lang w:eastAsia="en-US"/>
        </w:rPr>
        <w:t xml:space="preserve"> сточных вод в реки, озера и другие водные ресурсы. Также необходимо разработать системы очистки воды от загрязн</w:t>
      </w:r>
      <w:r w:rsidRPr="00FE6370">
        <w:rPr>
          <w:rFonts w:eastAsia="Calibri"/>
          <w:sz w:val="22"/>
          <w:szCs w:val="22"/>
          <w:lang w:eastAsia="en-US"/>
        </w:rPr>
        <w:t>е</w:t>
      </w:r>
      <w:r w:rsidRPr="00FE6370">
        <w:rPr>
          <w:rFonts w:eastAsia="Calibri"/>
          <w:sz w:val="22"/>
          <w:szCs w:val="22"/>
          <w:lang w:eastAsia="en-US"/>
        </w:rPr>
        <w:t>ний. Тем самым мы улучшим качество воды на небольших участках водных ресурсов и, положим, начало решению экологических пр</w:t>
      </w:r>
      <w:r w:rsidRPr="00FE6370">
        <w:rPr>
          <w:rFonts w:eastAsia="Calibri"/>
          <w:sz w:val="22"/>
          <w:szCs w:val="22"/>
          <w:lang w:eastAsia="en-US"/>
        </w:rPr>
        <w:t>о</w:t>
      </w:r>
      <w:r w:rsidRPr="00FE6370">
        <w:rPr>
          <w:rFonts w:eastAsia="Calibri"/>
          <w:sz w:val="22"/>
          <w:szCs w:val="22"/>
          <w:lang w:eastAsia="en-US"/>
        </w:rPr>
        <w:t>блем.</w:t>
      </w:r>
    </w:p>
    <w:p w:rsidR="00E1437B" w:rsidRDefault="00E1437B" w:rsidP="00FE6370">
      <w:pPr>
        <w:pStyle w:val="31"/>
        <w:ind w:firstLine="0"/>
        <w:rPr>
          <w:sz w:val="22"/>
          <w:szCs w:val="22"/>
        </w:rPr>
      </w:pPr>
    </w:p>
    <w:p w:rsidR="003435E2" w:rsidRPr="00FE6370" w:rsidRDefault="003435E2" w:rsidP="00FE6370">
      <w:pPr>
        <w:pStyle w:val="31"/>
        <w:ind w:firstLine="0"/>
        <w:rPr>
          <w:sz w:val="22"/>
          <w:szCs w:val="22"/>
        </w:rPr>
      </w:pPr>
    </w:p>
    <w:p w:rsidR="008742E9" w:rsidRDefault="008742E9" w:rsidP="00FE6370">
      <w:pPr>
        <w:jc w:val="both"/>
        <w:rPr>
          <w:rFonts w:eastAsia="Calibri"/>
          <w:sz w:val="22"/>
          <w:szCs w:val="22"/>
          <w:lang w:eastAsia="en-US"/>
        </w:rPr>
      </w:pPr>
      <w:r w:rsidRPr="00FE6370">
        <w:rPr>
          <w:rFonts w:eastAsia="Calibri"/>
          <w:sz w:val="22"/>
          <w:szCs w:val="22"/>
          <w:lang w:eastAsia="en-US"/>
        </w:rPr>
        <w:t>УДК 631.92</w:t>
      </w:r>
    </w:p>
    <w:p w:rsidR="00E1437B" w:rsidRPr="00FE6370" w:rsidRDefault="00E1437B" w:rsidP="00FE6370">
      <w:pPr>
        <w:jc w:val="both"/>
        <w:rPr>
          <w:rFonts w:eastAsia="Calibri"/>
          <w:sz w:val="22"/>
          <w:szCs w:val="22"/>
          <w:lang w:eastAsia="en-US"/>
        </w:rPr>
      </w:pPr>
    </w:p>
    <w:p w:rsidR="008742E9" w:rsidRPr="001D0D35" w:rsidRDefault="008742E9" w:rsidP="00FE6370">
      <w:pPr>
        <w:jc w:val="center"/>
        <w:rPr>
          <w:rFonts w:eastAsia="Calibri"/>
          <w:b/>
          <w:sz w:val="24"/>
          <w:szCs w:val="24"/>
          <w:lang w:eastAsia="en-US"/>
        </w:rPr>
      </w:pPr>
      <w:r w:rsidRPr="001D0D35">
        <w:rPr>
          <w:rFonts w:eastAsia="Calibri"/>
          <w:b/>
          <w:sz w:val="24"/>
          <w:szCs w:val="24"/>
          <w:lang w:eastAsia="en-US"/>
        </w:rPr>
        <w:t>Антропогенное воздействие человеческой деятельности на Аральское море, его последствия и пути решения</w:t>
      </w:r>
    </w:p>
    <w:p w:rsidR="008742E9" w:rsidRPr="001D0D35" w:rsidRDefault="008742E9" w:rsidP="00FE6370">
      <w:pPr>
        <w:jc w:val="center"/>
        <w:rPr>
          <w:rFonts w:eastAsia="Calibri"/>
          <w:b/>
          <w:sz w:val="24"/>
          <w:szCs w:val="24"/>
          <w:lang w:val="en-US" w:eastAsia="en-US"/>
        </w:rPr>
      </w:pPr>
      <w:r w:rsidRPr="001D0D35">
        <w:rPr>
          <w:rFonts w:eastAsia="Calibri"/>
          <w:b/>
          <w:sz w:val="24"/>
          <w:szCs w:val="24"/>
          <w:lang w:val="en-US" w:eastAsia="en-US"/>
        </w:rPr>
        <w:t xml:space="preserve">Anthropogenic impact of human activity to the Aral Sea, his </w:t>
      </w:r>
      <w:r w:rsidR="00E1437B" w:rsidRPr="001D0D35">
        <w:rPr>
          <w:rFonts w:eastAsia="Calibri"/>
          <w:b/>
          <w:sz w:val="24"/>
          <w:szCs w:val="24"/>
          <w:lang w:val="en-US" w:eastAsia="en-US"/>
        </w:rPr>
        <w:br/>
      </w:r>
      <w:r w:rsidRPr="001D0D35">
        <w:rPr>
          <w:rFonts w:eastAsia="Calibri"/>
          <w:b/>
          <w:sz w:val="24"/>
          <w:szCs w:val="24"/>
          <w:lang w:val="en-US" w:eastAsia="en-US"/>
        </w:rPr>
        <w:t>consequences and solutions</w:t>
      </w:r>
    </w:p>
    <w:p w:rsidR="008742E9" w:rsidRPr="00FE6370" w:rsidRDefault="008742E9" w:rsidP="00FE6370">
      <w:pPr>
        <w:jc w:val="right"/>
        <w:rPr>
          <w:rFonts w:eastAsia="Calibri"/>
          <w:sz w:val="22"/>
          <w:szCs w:val="22"/>
          <w:lang w:val="en-US" w:eastAsia="en-US"/>
        </w:rPr>
      </w:pP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Халимова К.</w:t>
      </w:r>
      <w:r w:rsidR="00E1437B">
        <w:rPr>
          <w:rFonts w:eastAsia="Calibri"/>
          <w:sz w:val="22"/>
          <w:szCs w:val="22"/>
          <w:lang w:eastAsia="en-US"/>
        </w:rPr>
        <w:t xml:space="preserve"> </w:t>
      </w:r>
      <w:r w:rsidRPr="00FE6370">
        <w:rPr>
          <w:rFonts w:eastAsia="Calibri"/>
          <w:sz w:val="22"/>
          <w:szCs w:val="22"/>
          <w:lang w:eastAsia="en-US"/>
        </w:rPr>
        <w:t>Т.,</w:t>
      </w: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студентка 2-го курса факультета гидромелиорации</w:t>
      </w: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Гончаренко А.</w:t>
      </w:r>
      <w:r w:rsidR="00E1437B">
        <w:rPr>
          <w:rFonts w:eastAsia="Calibri"/>
          <w:sz w:val="22"/>
          <w:szCs w:val="22"/>
          <w:lang w:eastAsia="en-US"/>
        </w:rPr>
        <w:t xml:space="preserve"> </w:t>
      </w:r>
      <w:r w:rsidRPr="00FE6370">
        <w:rPr>
          <w:rFonts w:eastAsia="Calibri"/>
          <w:sz w:val="22"/>
          <w:szCs w:val="22"/>
          <w:lang w:eastAsia="en-US"/>
        </w:rPr>
        <w:t>В.,</w:t>
      </w: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студент 4-го курса факультета гидромелиорации</w:t>
      </w: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Куб</w:t>
      </w:r>
      <w:r w:rsidR="00E1437B">
        <w:rPr>
          <w:rFonts w:eastAsia="Calibri"/>
          <w:sz w:val="22"/>
          <w:szCs w:val="22"/>
          <w:lang w:eastAsia="en-US"/>
        </w:rPr>
        <w:t>анский государственный аграрный</w:t>
      </w:r>
    </w:p>
    <w:p w:rsidR="008742E9" w:rsidRPr="00FE6370" w:rsidRDefault="008742E9" w:rsidP="00FE6370">
      <w:pPr>
        <w:jc w:val="right"/>
        <w:rPr>
          <w:rFonts w:eastAsia="Calibri"/>
          <w:sz w:val="22"/>
          <w:szCs w:val="22"/>
          <w:lang w:eastAsia="en-US"/>
        </w:rPr>
      </w:pPr>
      <w:r w:rsidRPr="00FE6370">
        <w:rPr>
          <w:rFonts w:eastAsia="Calibri"/>
          <w:sz w:val="22"/>
          <w:szCs w:val="22"/>
          <w:lang w:eastAsia="en-US"/>
        </w:rPr>
        <w:t>университет имени И.</w:t>
      </w:r>
      <w:r w:rsidR="00E1437B">
        <w:rPr>
          <w:rFonts w:eastAsia="Calibri"/>
          <w:sz w:val="22"/>
          <w:szCs w:val="22"/>
          <w:lang w:eastAsia="en-US"/>
        </w:rPr>
        <w:t xml:space="preserve"> </w:t>
      </w:r>
      <w:r w:rsidRPr="00FE6370">
        <w:rPr>
          <w:rFonts w:eastAsia="Calibri"/>
          <w:sz w:val="22"/>
          <w:szCs w:val="22"/>
          <w:lang w:eastAsia="en-US"/>
        </w:rPr>
        <w:t>Т.</w:t>
      </w:r>
      <w:r w:rsidR="00E1437B">
        <w:rPr>
          <w:rFonts w:eastAsia="Calibri"/>
          <w:sz w:val="22"/>
          <w:szCs w:val="22"/>
          <w:lang w:eastAsia="en-US"/>
        </w:rPr>
        <w:t xml:space="preserve"> Трубилина</w:t>
      </w:r>
    </w:p>
    <w:p w:rsidR="008742E9" w:rsidRPr="00FE6370" w:rsidRDefault="008742E9" w:rsidP="00FE6370">
      <w:pPr>
        <w:jc w:val="right"/>
        <w:rPr>
          <w:rFonts w:eastAsia="Calibri"/>
          <w:sz w:val="22"/>
          <w:szCs w:val="22"/>
          <w:lang w:eastAsia="en-US"/>
        </w:rPr>
      </w:pP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t>АННОТАЦИЯ: В статье рассматриваются последствия де</w:t>
      </w:r>
      <w:r w:rsidRPr="00FE6370">
        <w:rPr>
          <w:rFonts w:eastAsia="Calibri"/>
          <w:sz w:val="22"/>
          <w:szCs w:val="22"/>
          <w:lang w:eastAsia="en-US"/>
        </w:rPr>
        <w:t>я</w:t>
      </w:r>
      <w:r w:rsidRPr="00FE6370">
        <w:rPr>
          <w:rFonts w:eastAsia="Calibri"/>
          <w:sz w:val="22"/>
          <w:szCs w:val="22"/>
          <w:lang w:eastAsia="en-US"/>
        </w:rPr>
        <w:t>тельности человека на Аральское море, а также возможные пути решения сложившихся проблем.</w:t>
      </w:r>
    </w:p>
    <w:p w:rsidR="008742E9" w:rsidRPr="00FE6370" w:rsidRDefault="008742E9" w:rsidP="00FE6370">
      <w:pPr>
        <w:ind w:firstLine="425"/>
        <w:jc w:val="both"/>
        <w:rPr>
          <w:rFonts w:eastAsia="Calibri"/>
          <w:sz w:val="22"/>
          <w:szCs w:val="22"/>
          <w:lang w:eastAsia="en-US"/>
        </w:rPr>
      </w:pPr>
      <w:r w:rsidRPr="00FE6370">
        <w:rPr>
          <w:rFonts w:eastAsia="Calibri"/>
          <w:sz w:val="22"/>
          <w:szCs w:val="22"/>
          <w:lang w:eastAsia="en-US"/>
        </w:rPr>
        <w:lastRenderedPageBreak/>
        <w:t>КЛЮЧЕВЫЕ СЛОВА: уровень воды, водоем, дельта реки.</w:t>
      </w:r>
    </w:p>
    <w:p w:rsidR="008742E9" w:rsidRPr="00FE6370" w:rsidRDefault="008742E9" w:rsidP="00FE6370">
      <w:pPr>
        <w:ind w:firstLine="425"/>
        <w:jc w:val="both"/>
        <w:rPr>
          <w:rFonts w:eastAsia="Calibri"/>
          <w:sz w:val="22"/>
          <w:szCs w:val="22"/>
          <w:lang w:val="en-US" w:eastAsia="en-US"/>
        </w:rPr>
      </w:pPr>
      <w:r w:rsidRPr="00FE6370">
        <w:rPr>
          <w:rFonts w:eastAsia="Calibri"/>
          <w:sz w:val="22"/>
          <w:szCs w:val="22"/>
          <w:lang w:val="en-US" w:eastAsia="en-US"/>
        </w:rPr>
        <w:t>ABSTRACT: The article considers the consequences of human a</w:t>
      </w:r>
      <w:r w:rsidRPr="00FE6370">
        <w:rPr>
          <w:rFonts w:eastAsia="Calibri"/>
          <w:sz w:val="22"/>
          <w:szCs w:val="22"/>
          <w:lang w:val="en-US" w:eastAsia="en-US"/>
        </w:rPr>
        <w:t>c</w:t>
      </w:r>
      <w:r w:rsidRPr="00FE6370">
        <w:rPr>
          <w:rFonts w:eastAsia="Calibri"/>
          <w:sz w:val="22"/>
          <w:szCs w:val="22"/>
          <w:lang w:val="en-US" w:eastAsia="en-US"/>
        </w:rPr>
        <w:t>tivities on the Aral Sea, as well as the possible ways of solving the exis</w:t>
      </w:r>
      <w:r w:rsidRPr="00FE6370">
        <w:rPr>
          <w:rFonts w:eastAsia="Calibri"/>
          <w:sz w:val="22"/>
          <w:szCs w:val="22"/>
          <w:lang w:val="en-US" w:eastAsia="en-US"/>
        </w:rPr>
        <w:t>t</w:t>
      </w:r>
      <w:r w:rsidRPr="00FE6370">
        <w:rPr>
          <w:rFonts w:eastAsia="Calibri"/>
          <w:sz w:val="22"/>
          <w:szCs w:val="22"/>
          <w:lang w:val="en-US" w:eastAsia="en-US"/>
        </w:rPr>
        <w:t>ing problems.</w:t>
      </w:r>
    </w:p>
    <w:p w:rsidR="008742E9" w:rsidRPr="00FE6370" w:rsidRDefault="008742E9" w:rsidP="00FE6370">
      <w:pPr>
        <w:ind w:firstLine="425"/>
        <w:jc w:val="both"/>
        <w:rPr>
          <w:rFonts w:eastAsia="Calibri"/>
          <w:sz w:val="22"/>
          <w:szCs w:val="22"/>
          <w:lang w:val="en-US" w:eastAsia="en-US"/>
        </w:rPr>
      </w:pPr>
      <w:r w:rsidRPr="00FE6370">
        <w:rPr>
          <w:rFonts w:eastAsia="Calibri"/>
          <w:sz w:val="22"/>
          <w:szCs w:val="22"/>
          <w:lang w:val="en-US" w:eastAsia="en-US"/>
        </w:rPr>
        <w:t xml:space="preserve">KEYWORDS: water level, water body, river delta. </w:t>
      </w:r>
    </w:p>
    <w:p w:rsidR="008742E9" w:rsidRPr="008742E9" w:rsidRDefault="008742E9" w:rsidP="008742E9">
      <w:pPr>
        <w:ind w:firstLine="425"/>
        <w:jc w:val="both"/>
        <w:rPr>
          <w:rFonts w:eastAsia="Calibri"/>
          <w:sz w:val="24"/>
          <w:szCs w:val="24"/>
          <w:lang w:val="en-US" w:eastAsia="en-US"/>
        </w:rPr>
      </w:pP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Аральское море – солоноватоводный замкнутый водоем, ра</w:t>
      </w:r>
      <w:r w:rsidRPr="008742E9">
        <w:rPr>
          <w:rFonts w:eastAsia="Calibri"/>
          <w:sz w:val="22"/>
          <w:szCs w:val="22"/>
          <w:lang w:eastAsia="en-US"/>
        </w:rPr>
        <w:t>с</w:t>
      </w:r>
      <w:r w:rsidRPr="008742E9">
        <w:rPr>
          <w:rFonts w:eastAsia="Calibri"/>
          <w:sz w:val="22"/>
          <w:szCs w:val="22"/>
          <w:lang w:eastAsia="en-US"/>
        </w:rPr>
        <w:t>положенный в Средней Азии на высоте 53 м над уровнем океана, входящий до 1960 г. в четверку крупнейших по площади озер (66.1 тыс кв.км). Выполняя функции гигантского испарителя в центре пустынных районов Средней Азии, Аральское море было одним из основных источников воды, а также играло огромную роль в фо</w:t>
      </w:r>
      <w:r w:rsidRPr="008742E9">
        <w:rPr>
          <w:rFonts w:eastAsia="Calibri"/>
          <w:sz w:val="22"/>
          <w:szCs w:val="22"/>
          <w:lang w:eastAsia="en-US"/>
        </w:rPr>
        <w:t>р</w:t>
      </w:r>
      <w:r w:rsidRPr="008742E9">
        <w:rPr>
          <w:rFonts w:eastAsia="Calibri"/>
          <w:sz w:val="22"/>
          <w:szCs w:val="22"/>
          <w:lang w:eastAsia="en-US"/>
        </w:rPr>
        <w:t>мировании и стабильности климата. Поэтому обширное вмешател</w:t>
      </w:r>
      <w:r w:rsidRPr="008742E9">
        <w:rPr>
          <w:rFonts w:eastAsia="Calibri"/>
          <w:sz w:val="22"/>
          <w:szCs w:val="22"/>
          <w:lang w:eastAsia="en-US"/>
        </w:rPr>
        <w:t>ь</w:t>
      </w:r>
      <w:r w:rsidRPr="008742E9">
        <w:rPr>
          <w:rFonts w:eastAsia="Calibri"/>
          <w:sz w:val="22"/>
          <w:szCs w:val="22"/>
          <w:lang w:eastAsia="en-US"/>
        </w:rPr>
        <w:t>ство в питание водоема повлекло необратимые последствия, пр</w:t>
      </w:r>
      <w:r w:rsidRPr="008742E9">
        <w:rPr>
          <w:rFonts w:eastAsia="Calibri"/>
          <w:sz w:val="22"/>
          <w:szCs w:val="22"/>
          <w:lang w:eastAsia="en-US"/>
        </w:rPr>
        <w:t>е</w:t>
      </w:r>
      <w:r w:rsidRPr="008742E9">
        <w:rPr>
          <w:rFonts w:eastAsia="Calibri"/>
          <w:sz w:val="22"/>
          <w:szCs w:val="22"/>
          <w:lang w:eastAsia="en-US"/>
        </w:rPr>
        <w:t>вратив сам водоем и прилегающие к нему территории в безжизне</w:t>
      </w:r>
      <w:r w:rsidRPr="008742E9">
        <w:rPr>
          <w:rFonts w:eastAsia="Calibri"/>
          <w:sz w:val="22"/>
          <w:szCs w:val="22"/>
          <w:lang w:eastAsia="en-US"/>
        </w:rPr>
        <w:t>н</w:t>
      </w:r>
      <w:r w:rsidRPr="008742E9">
        <w:rPr>
          <w:rFonts w:eastAsia="Calibri"/>
          <w:sz w:val="22"/>
          <w:szCs w:val="22"/>
          <w:lang w:eastAsia="en-US"/>
        </w:rPr>
        <w:t>ную пустыню. Из-за введения политики монокультуры хлопка в странах входящих в состав СССР, из питающих водоем рек Амуд</w:t>
      </w:r>
      <w:r w:rsidRPr="008742E9">
        <w:rPr>
          <w:rFonts w:eastAsia="Calibri"/>
          <w:sz w:val="22"/>
          <w:szCs w:val="22"/>
          <w:lang w:eastAsia="en-US"/>
        </w:rPr>
        <w:t>а</w:t>
      </w:r>
      <w:r w:rsidRPr="008742E9">
        <w:rPr>
          <w:rFonts w:eastAsia="Calibri"/>
          <w:sz w:val="22"/>
          <w:szCs w:val="22"/>
          <w:lang w:eastAsia="en-US"/>
        </w:rPr>
        <w:t>рьи и Сырдарьи извлекалось колоссальное количество воды на орошение постоянно растущих площадей сельскохозяйственного производства. Однако основной причиной такого кризиса можно назвать и проблему распределения воды в регионах. Оставшись без питания, озеро начало стремительно высыхать из-за большой пл</w:t>
      </w:r>
      <w:r w:rsidRPr="008742E9">
        <w:rPr>
          <w:rFonts w:eastAsia="Calibri"/>
          <w:sz w:val="22"/>
          <w:szCs w:val="22"/>
          <w:lang w:eastAsia="en-US"/>
        </w:rPr>
        <w:t>о</w:t>
      </w:r>
      <w:r w:rsidRPr="008742E9">
        <w:rPr>
          <w:rFonts w:eastAsia="Calibri"/>
          <w:sz w:val="22"/>
          <w:szCs w:val="22"/>
          <w:lang w:eastAsia="en-US"/>
        </w:rPr>
        <w:t>щади зеркала поверхности и относительно малой глубины, усыхая ежегодно на 0,5 метра в 1989 г. Арал разделился на Малое (Каза</w:t>
      </w:r>
      <w:r w:rsidRPr="008742E9">
        <w:rPr>
          <w:rFonts w:eastAsia="Calibri"/>
          <w:sz w:val="22"/>
          <w:szCs w:val="22"/>
          <w:lang w:eastAsia="en-US"/>
        </w:rPr>
        <w:t>х</w:t>
      </w:r>
      <w:r w:rsidRPr="008742E9">
        <w:rPr>
          <w:rFonts w:eastAsia="Calibri"/>
          <w:sz w:val="22"/>
          <w:szCs w:val="22"/>
          <w:lang w:eastAsia="en-US"/>
        </w:rPr>
        <w:t>стан) и Большое (Узбекистан) Аральское море. Ввиду стремител</w:t>
      </w:r>
      <w:r w:rsidRPr="008742E9">
        <w:rPr>
          <w:rFonts w:eastAsia="Calibri"/>
          <w:sz w:val="22"/>
          <w:szCs w:val="22"/>
          <w:lang w:eastAsia="en-US"/>
        </w:rPr>
        <w:t>ь</w:t>
      </w:r>
      <w:r w:rsidRPr="008742E9">
        <w:rPr>
          <w:rFonts w:eastAsia="Calibri"/>
          <w:sz w:val="22"/>
          <w:szCs w:val="22"/>
          <w:lang w:eastAsia="en-US"/>
        </w:rPr>
        <w:t>ного усыхания, а также сброса в Амударью и Сырдарью дренажных и сточных вод (а также биохимических и бактериологических и</w:t>
      </w:r>
      <w:r w:rsidRPr="008742E9">
        <w:rPr>
          <w:rFonts w:eastAsia="Calibri"/>
          <w:sz w:val="22"/>
          <w:szCs w:val="22"/>
          <w:lang w:eastAsia="en-US"/>
        </w:rPr>
        <w:t>с</w:t>
      </w:r>
      <w:r w:rsidRPr="008742E9">
        <w:rPr>
          <w:rFonts w:eastAsia="Calibri"/>
          <w:sz w:val="22"/>
          <w:szCs w:val="22"/>
          <w:lang w:eastAsia="en-US"/>
        </w:rPr>
        <w:t>пытаний на острове Возрождения), минерализация и соленость в</w:t>
      </w:r>
      <w:r w:rsidRPr="008742E9">
        <w:rPr>
          <w:rFonts w:eastAsia="Calibri"/>
          <w:sz w:val="22"/>
          <w:szCs w:val="22"/>
          <w:lang w:eastAsia="en-US"/>
        </w:rPr>
        <w:t>о</w:t>
      </w:r>
      <w:r w:rsidRPr="008742E9">
        <w:rPr>
          <w:rFonts w:eastAsia="Calibri"/>
          <w:sz w:val="22"/>
          <w:szCs w:val="22"/>
          <w:lang w:eastAsia="en-US"/>
        </w:rPr>
        <w:t xml:space="preserve">ды возрастали в разы. Арал терял свое рыбопромысловое значение, также становясь непригодным для питья и орошения; используя технологию орошения </w:t>
      </w:r>
      <w:r w:rsidRPr="008742E9">
        <w:rPr>
          <w:rFonts w:eastAsia="Calibri"/>
          <w:sz w:val="22"/>
          <w:szCs w:val="22"/>
          <w:lang w:val="en-US" w:eastAsia="en-US"/>
        </w:rPr>
        <w:t>XIX</w:t>
      </w:r>
      <w:r w:rsidRPr="008742E9">
        <w:rPr>
          <w:rFonts w:eastAsia="Calibri"/>
          <w:sz w:val="22"/>
          <w:szCs w:val="22"/>
          <w:lang w:eastAsia="en-US"/>
        </w:rPr>
        <w:t xml:space="preserve"> в. (орошение посредством затопления орошаемых площадей) земли вдоль обеих рек стали перенасыщены грунтовыми водами, поднимающими соли к поверхности почвы, которая в свою очередь требовала в таком случае больше воды для промывки; вырубка и гибель лесов из-за недостатка воды; исчезн</w:t>
      </w:r>
      <w:r w:rsidRPr="008742E9">
        <w:rPr>
          <w:rFonts w:eastAsia="Calibri"/>
          <w:sz w:val="22"/>
          <w:szCs w:val="22"/>
          <w:lang w:eastAsia="en-US"/>
        </w:rPr>
        <w:t>о</w:t>
      </w:r>
      <w:r w:rsidRPr="008742E9">
        <w:rPr>
          <w:rFonts w:eastAsia="Calibri"/>
          <w:sz w:val="22"/>
          <w:szCs w:val="22"/>
          <w:lang w:eastAsia="en-US"/>
        </w:rPr>
        <w:t xml:space="preserve">вение естественных водоемов в дельтах рек; изменение климата в Приаралье (вегетативный сезон сократился до 170 дней)и в горах </w:t>
      </w:r>
      <w:r w:rsidRPr="008742E9">
        <w:rPr>
          <w:rFonts w:eastAsia="Calibri"/>
          <w:sz w:val="22"/>
          <w:szCs w:val="22"/>
          <w:lang w:eastAsia="en-US"/>
        </w:rPr>
        <w:lastRenderedPageBreak/>
        <w:t>Тянь-Шаня и Памира, все это последствия антропогенного возде</w:t>
      </w:r>
      <w:r w:rsidRPr="008742E9">
        <w:rPr>
          <w:rFonts w:eastAsia="Calibri"/>
          <w:sz w:val="22"/>
          <w:szCs w:val="22"/>
          <w:lang w:eastAsia="en-US"/>
        </w:rPr>
        <w:t>й</w:t>
      </w:r>
      <w:r w:rsidRPr="008742E9">
        <w:rPr>
          <w:rFonts w:eastAsia="Calibri"/>
          <w:sz w:val="22"/>
          <w:szCs w:val="22"/>
          <w:lang w:eastAsia="en-US"/>
        </w:rPr>
        <w:t xml:space="preserve">ствия повлекшего за собой экологическую катастрофу[1]. </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После усугубления ситуации в 1984 г. был разработан проект по переброске стока сибирских рек посредством канала Сибирь – Средняя Азия (КССА), однако в 1986г. проект закрыли из-за экон</w:t>
      </w:r>
      <w:r w:rsidRPr="008742E9">
        <w:rPr>
          <w:rFonts w:eastAsia="Calibri"/>
          <w:sz w:val="22"/>
          <w:szCs w:val="22"/>
          <w:lang w:eastAsia="en-US"/>
        </w:rPr>
        <w:t>о</w:t>
      </w:r>
      <w:r w:rsidRPr="008742E9">
        <w:rPr>
          <w:rFonts w:eastAsia="Calibri"/>
          <w:sz w:val="22"/>
          <w:szCs w:val="22"/>
          <w:lang w:eastAsia="en-US"/>
        </w:rPr>
        <w:t>мического состояния стран относящихся к Аральской проблеме. Исследования показывают что для стабилизации нынешнего уровня воды в водоеме необходим ежегодный приток воды объемом 35 кв. км. , что не возможно учитывая факт того, что некоторые госуда</w:t>
      </w:r>
      <w:r w:rsidRPr="008742E9">
        <w:rPr>
          <w:rFonts w:eastAsia="Calibri"/>
          <w:sz w:val="22"/>
          <w:szCs w:val="22"/>
          <w:lang w:eastAsia="en-US"/>
        </w:rPr>
        <w:t>р</w:t>
      </w:r>
      <w:r w:rsidRPr="008742E9">
        <w:rPr>
          <w:rFonts w:eastAsia="Calibri"/>
          <w:sz w:val="22"/>
          <w:szCs w:val="22"/>
          <w:lang w:eastAsia="en-US"/>
        </w:rPr>
        <w:t>ства не ставят основной целью восстановление Арала, а наоборот дальнейшего активного использования питающих его вод для обе</w:t>
      </w:r>
      <w:r w:rsidRPr="008742E9">
        <w:rPr>
          <w:rFonts w:eastAsia="Calibri"/>
          <w:sz w:val="22"/>
          <w:szCs w:val="22"/>
          <w:lang w:eastAsia="en-US"/>
        </w:rPr>
        <w:t>с</w:t>
      </w:r>
      <w:r w:rsidRPr="008742E9">
        <w:rPr>
          <w:rFonts w:eastAsia="Calibri"/>
          <w:sz w:val="22"/>
          <w:szCs w:val="22"/>
          <w:lang w:eastAsia="en-US"/>
        </w:rPr>
        <w:t xml:space="preserve">печения собственного населения. </w:t>
      </w:r>
    </w:p>
    <w:p w:rsidR="008742E9" w:rsidRPr="008742E9" w:rsidRDefault="008742E9" w:rsidP="008742E9">
      <w:pPr>
        <w:ind w:firstLine="426"/>
        <w:jc w:val="both"/>
        <w:rPr>
          <w:rFonts w:eastAsia="Calibri"/>
          <w:sz w:val="22"/>
          <w:szCs w:val="22"/>
          <w:lang w:eastAsia="en-US"/>
        </w:rPr>
      </w:pPr>
      <w:r w:rsidRPr="008742E9">
        <w:rPr>
          <w:rFonts w:eastAsia="Calibri"/>
          <w:sz w:val="22"/>
          <w:szCs w:val="22"/>
          <w:lang w:eastAsia="en-US"/>
        </w:rPr>
        <w:t>В 2007 г. Большое Аральское море разделилось на два водоема Западный и Восточный (соленость воды которых держится на уро</w:t>
      </w:r>
      <w:r w:rsidRPr="008742E9">
        <w:rPr>
          <w:rFonts w:eastAsia="Calibri"/>
          <w:sz w:val="22"/>
          <w:szCs w:val="22"/>
          <w:lang w:eastAsia="en-US"/>
        </w:rPr>
        <w:t>в</w:t>
      </w:r>
      <w:r w:rsidRPr="008742E9">
        <w:rPr>
          <w:rFonts w:eastAsia="Calibri"/>
          <w:sz w:val="22"/>
          <w:szCs w:val="22"/>
          <w:lang w:eastAsia="en-US"/>
        </w:rPr>
        <w:t>нях 70 и 100 гр./ литр соответственно). В 2015 г. экологи всего мира заявляли, что Арал наконец стабилен и возможно восстанавливае</w:t>
      </w:r>
      <w:r w:rsidRPr="008742E9">
        <w:rPr>
          <w:rFonts w:eastAsia="Calibri"/>
          <w:sz w:val="22"/>
          <w:szCs w:val="22"/>
          <w:lang w:eastAsia="en-US"/>
        </w:rPr>
        <w:t>т</w:t>
      </w:r>
      <w:r w:rsidRPr="008742E9">
        <w:rPr>
          <w:rFonts w:eastAsia="Calibri"/>
          <w:sz w:val="22"/>
          <w:szCs w:val="22"/>
          <w:lang w:eastAsia="en-US"/>
        </w:rPr>
        <w:t>ся, однако уже к осени Восточный Арал вновь высох, и общая пл</w:t>
      </w:r>
      <w:r w:rsidRPr="008742E9">
        <w:rPr>
          <w:rFonts w:eastAsia="Calibri"/>
          <w:sz w:val="22"/>
          <w:szCs w:val="22"/>
          <w:lang w:eastAsia="en-US"/>
        </w:rPr>
        <w:t>о</w:t>
      </w:r>
      <w:r w:rsidRPr="008742E9">
        <w:rPr>
          <w:rFonts w:eastAsia="Calibri"/>
          <w:sz w:val="22"/>
          <w:szCs w:val="22"/>
          <w:lang w:eastAsia="en-US"/>
        </w:rPr>
        <w:t>щадь водной поверхности составляла уже 8303 кв. км. Это типичная ситуация для восточного моря, которое ежегодно восполняется и снова исчезает, но Западное море неизменно и медленно высыхает.</w:t>
      </w:r>
      <w:r w:rsidRPr="008742E9">
        <w:rPr>
          <w:rFonts w:eastAsia="Calibri"/>
          <w:sz w:val="22"/>
          <w:szCs w:val="22"/>
          <w:lang w:eastAsia="en-US"/>
        </w:rPr>
        <w:tab/>
        <w:t xml:space="preserve"> </w:t>
      </w:r>
    </w:p>
    <w:p w:rsidR="008742E9" w:rsidRPr="008742E9" w:rsidRDefault="008742E9" w:rsidP="008742E9">
      <w:pPr>
        <w:ind w:firstLine="426"/>
        <w:jc w:val="both"/>
        <w:rPr>
          <w:rFonts w:eastAsia="Calibri"/>
          <w:spacing w:val="-6"/>
          <w:sz w:val="22"/>
          <w:szCs w:val="22"/>
          <w:lang w:eastAsia="en-US"/>
        </w:rPr>
      </w:pPr>
      <w:r w:rsidRPr="008742E9">
        <w:rPr>
          <w:rFonts w:eastAsia="Calibri"/>
          <w:spacing w:val="-6"/>
          <w:sz w:val="22"/>
          <w:szCs w:val="22"/>
          <w:lang w:eastAsia="en-US"/>
        </w:rPr>
        <w:t>Путей решения этой проблемы множество, предлагают следующие:</w:t>
      </w:r>
    </w:p>
    <w:p w:rsidR="008742E9" w:rsidRPr="008742E9" w:rsidRDefault="008742E9" w:rsidP="008742E9">
      <w:pPr>
        <w:ind w:firstLine="425"/>
        <w:jc w:val="both"/>
        <w:rPr>
          <w:rFonts w:eastAsia="Calibri"/>
          <w:sz w:val="22"/>
          <w:szCs w:val="22"/>
          <w:lang w:eastAsia="en-US"/>
        </w:rPr>
      </w:pPr>
      <w:r w:rsidRPr="008742E9">
        <w:rPr>
          <w:rFonts w:eastAsia="Calibri"/>
          <w:sz w:val="22"/>
          <w:szCs w:val="22"/>
          <w:lang w:eastAsia="en-US"/>
        </w:rPr>
        <w:t>1. Возобновление проекта канала Сибирь – Средняя Азия. Да</w:t>
      </w:r>
      <w:r w:rsidRPr="008742E9">
        <w:rPr>
          <w:rFonts w:eastAsia="Calibri"/>
          <w:sz w:val="22"/>
          <w:szCs w:val="22"/>
          <w:lang w:eastAsia="en-US"/>
        </w:rPr>
        <w:t>н</w:t>
      </w:r>
      <w:r w:rsidRPr="008742E9">
        <w:rPr>
          <w:rFonts w:eastAsia="Calibri"/>
          <w:sz w:val="22"/>
          <w:szCs w:val="22"/>
          <w:lang w:eastAsia="en-US"/>
        </w:rPr>
        <w:t>ный способ решения проблемы не самый лучший, так как переброс вод из рек Российской Федерации повлечет за собой также измен</w:t>
      </w:r>
      <w:r w:rsidRPr="008742E9">
        <w:rPr>
          <w:rFonts w:eastAsia="Calibri"/>
          <w:sz w:val="22"/>
          <w:szCs w:val="22"/>
          <w:lang w:eastAsia="en-US"/>
        </w:rPr>
        <w:t>е</w:t>
      </w:r>
      <w:r w:rsidRPr="008742E9">
        <w:rPr>
          <w:rFonts w:eastAsia="Calibri"/>
          <w:sz w:val="22"/>
          <w:szCs w:val="22"/>
          <w:lang w:eastAsia="en-US"/>
        </w:rPr>
        <w:t xml:space="preserve">ние локального климата этих рек. </w:t>
      </w:r>
    </w:p>
    <w:p w:rsidR="008742E9" w:rsidRPr="008742E9" w:rsidRDefault="008742E9" w:rsidP="008742E9">
      <w:pPr>
        <w:ind w:firstLine="425"/>
        <w:jc w:val="both"/>
        <w:rPr>
          <w:rFonts w:eastAsia="Calibri"/>
          <w:sz w:val="22"/>
          <w:szCs w:val="22"/>
          <w:lang w:eastAsia="en-US"/>
        </w:rPr>
      </w:pPr>
      <w:r w:rsidRPr="008742E9">
        <w:rPr>
          <w:rFonts w:eastAsia="Calibri"/>
          <w:sz w:val="22"/>
          <w:szCs w:val="22"/>
          <w:lang w:eastAsia="en-US"/>
        </w:rPr>
        <w:t>2. Использование иной технологии орошения сельскохозя</w:t>
      </w:r>
      <w:r w:rsidRPr="008742E9">
        <w:rPr>
          <w:rFonts w:eastAsia="Calibri"/>
          <w:sz w:val="22"/>
          <w:szCs w:val="22"/>
          <w:lang w:eastAsia="en-US"/>
        </w:rPr>
        <w:t>й</w:t>
      </w:r>
      <w:r w:rsidRPr="008742E9">
        <w:rPr>
          <w:rFonts w:eastAsia="Calibri"/>
          <w:sz w:val="22"/>
          <w:szCs w:val="22"/>
          <w:lang w:eastAsia="en-US"/>
        </w:rPr>
        <w:t>ственных угодий их рациональное распределение, а также контроль за уровнем потребляемой воды и его снижение. Использование к</w:t>
      </w:r>
      <w:r w:rsidRPr="008742E9">
        <w:rPr>
          <w:rFonts w:eastAsia="Calibri"/>
          <w:sz w:val="22"/>
          <w:szCs w:val="22"/>
          <w:lang w:eastAsia="en-US"/>
        </w:rPr>
        <w:t>а</w:t>
      </w:r>
      <w:r w:rsidRPr="008742E9">
        <w:rPr>
          <w:rFonts w:eastAsia="Calibri"/>
          <w:sz w:val="22"/>
          <w:szCs w:val="22"/>
          <w:lang w:eastAsia="en-US"/>
        </w:rPr>
        <w:t xml:space="preserve">пельного или дождевального орошения, не усугубит состояние почв забивая их или поднимая соли из глубин породы, что в какой-то мере снизит минерализацию и соленость воды. </w:t>
      </w:r>
    </w:p>
    <w:p w:rsidR="008742E9" w:rsidRPr="008742E9" w:rsidRDefault="008742E9" w:rsidP="008742E9">
      <w:pPr>
        <w:ind w:firstLine="425"/>
        <w:jc w:val="both"/>
        <w:rPr>
          <w:rFonts w:eastAsia="Calibri"/>
          <w:sz w:val="22"/>
          <w:szCs w:val="22"/>
          <w:lang w:eastAsia="en-US"/>
        </w:rPr>
      </w:pPr>
      <w:r w:rsidRPr="008742E9">
        <w:rPr>
          <w:rFonts w:eastAsia="Calibri"/>
          <w:sz w:val="22"/>
          <w:szCs w:val="22"/>
          <w:lang w:eastAsia="en-US"/>
        </w:rPr>
        <w:t>3. Высадка деревьев для сокращения объемов испарения воды с поверхности, в том числе ее загрязнения и засаливания пылевыми и песчаными бурями.</w:t>
      </w:r>
    </w:p>
    <w:p w:rsidR="008742E9" w:rsidRPr="008742E9" w:rsidRDefault="008742E9" w:rsidP="008742E9">
      <w:pPr>
        <w:ind w:firstLine="425"/>
        <w:jc w:val="both"/>
        <w:rPr>
          <w:rFonts w:eastAsia="Calibri"/>
          <w:sz w:val="22"/>
          <w:szCs w:val="22"/>
          <w:lang w:eastAsia="en-US"/>
        </w:rPr>
      </w:pPr>
      <w:r w:rsidRPr="008742E9">
        <w:rPr>
          <w:rFonts w:eastAsia="Calibri"/>
          <w:sz w:val="22"/>
          <w:szCs w:val="22"/>
          <w:lang w:eastAsia="en-US"/>
        </w:rPr>
        <w:t>У всех путей решения это проблемы есть одно общее препя</w:t>
      </w:r>
      <w:r w:rsidRPr="008742E9">
        <w:rPr>
          <w:rFonts w:eastAsia="Calibri"/>
          <w:sz w:val="22"/>
          <w:szCs w:val="22"/>
          <w:lang w:eastAsia="en-US"/>
        </w:rPr>
        <w:t>т</w:t>
      </w:r>
      <w:r w:rsidRPr="008742E9">
        <w:rPr>
          <w:rFonts w:eastAsia="Calibri"/>
          <w:sz w:val="22"/>
          <w:szCs w:val="22"/>
          <w:lang w:eastAsia="en-US"/>
        </w:rPr>
        <w:t xml:space="preserve">ствие. Это еще одна ошибка, совершенная в конце 20-х годов, к этому времени заканчивалось формирование и закрепление границ нынешних Центрально-Азиатских государств. Многие факторы в </w:t>
      </w:r>
      <w:r w:rsidRPr="008742E9">
        <w:rPr>
          <w:rFonts w:eastAsia="Calibri"/>
          <w:sz w:val="22"/>
          <w:szCs w:val="22"/>
          <w:lang w:eastAsia="en-US"/>
        </w:rPr>
        <w:lastRenderedPageBreak/>
        <w:t>тот период не учитывались, т.е. границы формировались практич</w:t>
      </w:r>
      <w:r w:rsidRPr="008742E9">
        <w:rPr>
          <w:rFonts w:eastAsia="Calibri"/>
          <w:sz w:val="22"/>
          <w:szCs w:val="22"/>
          <w:lang w:eastAsia="en-US"/>
        </w:rPr>
        <w:t>е</w:t>
      </w:r>
      <w:r w:rsidRPr="008742E9">
        <w:rPr>
          <w:rFonts w:eastAsia="Calibri"/>
          <w:sz w:val="22"/>
          <w:szCs w:val="22"/>
          <w:lang w:eastAsia="en-US"/>
        </w:rPr>
        <w:t>ски произвольно, таким образом две реки (Амударья и Сырдарья) были разделены между пятью государствами, которым теперь ну</w:t>
      </w:r>
      <w:r w:rsidRPr="008742E9">
        <w:rPr>
          <w:rFonts w:eastAsia="Calibri"/>
          <w:sz w:val="22"/>
          <w:szCs w:val="22"/>
          <w:lang w:eastAsia="en-US"/>
        </w:rPr>
        <w:t>ж</w:t>
      </w:r>
      <w:r w:rsidRPr="008742E9">
        <w:rPr>
          <w:rFonts w:eastAsia="Calibri"/>
          <w:sz w:val="22"/>
          <w:szCs w:val="22"/>
          <w:lang w:eastAsia="en-US"/>
        </w:rPr>
        <w:t>но прийти к общему согласию в решении антропогенной экологич</w:t>
      </w:r>
      <w:r w:rsidRPr="008742E9">
        <w:rPr>
          <w:rFonts w:eastAsia="Calibri"/>
          <w:sz w:val="22"/>
          <w:szCs w:val="22"/>
          <w:lang w:eastAsia="en-US"/>
        </w:rPr>
        <w:t>е</w:t>
      </w:r>
      <w:r w:rsidRPr="008742E9">
        <w:rPr>
          <w:rFonts w:eastAsia="Calibri"/>
          <w:sz w:val="22"/>
          <w:szCs w:val="22"/>
          <w:lang w:eastAsia="en-US"/>
        </w:rPr>
        <w:t>ской катастрофы Аральского моря.</w:t>
      </w:r>
    </w:p>
    <w:p w:rsidR="008742E9" w:rsidRPr="008742E9" w:rsidRDefault="008742E9" w:rsidP="008742E9">
      <w:pPr>
        <w:spacing w:after="160"/>
        <w:jc w:val="center"/>
        <w:rPr>
          <w:rFonts w:eastAsia="Calibri"/>
          <w:sz w:val="22"/>
          <w:szCs w:val="22"/>
          <w:lang w:eastAsia="en-US"/>
        </w:rPr>
      </w:pPr>
    </w:p>
    <w:p w:rsidR="008742E9" w:rsidRPr="008742E9" w:rsidRDefault="008742E9" w:rsidP="008742E9">
      <w:pPr>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8742E9">
      <w:pPr>
        <w:ind w:firstLine="426"/>
        <w:jc w:val="both"/>
        <w:rPr>
          <w:rFonts w:eastAsia="Calibri"/>
          <w:sz w:val="22"/>
          <w:szCs w:val="22"/>
          <w:lang w:val="en-US" w:eastAsia="en-US"/>
        </w:rPr>
      </w:pPr>
      <w:r w:rsidRPr="008742E9">
        <w:rPr>
          <w:rFonts w:eastAsia="Calibri"/>
          <w:sz w:val="22"/>
          <w:szCs w:val="22"/>
          <w:lang w:eastAsia="en-US"/>
        </w:rPr>
        <w:t>1.</w:t>
      </w:r>
      <w:r w:rsidRPr="008742E9">
        <w:rPr>
          <w:rFonts w:ascii="Calibri" w:eastAsia="Calibri" w:hAnsi="Calibri"/>
          <w:sz w:val="22"/>
          <w:szCs w:val="22"/>
          <w:lang w:eastAsia="en-US"/>
        </w:rPr>
        <w:t xml:space="preserve"> </w:t>
      </w:r>
      <w:r w:rsidRPr="008742E9">
        <w:rPr>
          <w:rFonts w:eastAsia="Calibri"/>
          <w:sz w:val="22"/>
          <w:szCs w:val="22"/>
          <w:lang w:eastAsia="en-US"/>
        </w:rPr>
        <w:t xml:space="preserve">Шило Н. А., Кривошей М. И. Причина исчезновения Арала найдена? // Наука в России. </w:t>
      </w:r>
      <w:r w:rsidRPr="008742E9">
        <w:rPr>
          <w:rFonts w:eastAsia="Calibri"/>
          <w:sz w:val="22"/>
          <w:szCs w:val="22"/>
          <w:lang w:val="en-US" w:eastAsia="en-US"/>
        </w:rPr>
        <w:t xml:space="preserve">1995. № 6. </w:t>
      </w:r>
      <w:r w:rsidRPr="008742E9">
        <w:rPr>
          <w:rFonts w:eastAsia="Calibri"/>
          <w:sz w:val="22"/>
          <w:szCs w:val="22"/>
          <w:lang w:eastAsia="en-US"/>
        </w:rPr>
        <w:t>С</w:t>
      </w:r>
      <w:r w:rsidRPr="008742E9">
        <w:rPr>
          <w:rFonts w:eastAsia="Calibri"/>
          <w:sz w:val="22"/>
          <w:szCs w:val="22"/>
          <w:lang w:val="en-US" w:eastAsia="en-US"/>
        </w:rPr>
        <w:t>. 85-87.</w:t>
      </w:r>
    </w:p>
    <w:p w:rsidR="008742E9" w:rsidRPr="001E2F2C" w:rsidRDefault="008742E9" w:rsidP="008742E9">
      <w:pPr>
        <w:ind w:firstLine="426"/>
        <w:jc w:val="both"/>
        <w:rPr>
          <w:rFonts w:eastAsia="Calibri"/>
          <w:sz w:val="22"/>
          <w:szCs w:val="22"/>
          <w:lang w:val="en-US" w:eastAsia="en-US"/>
        </w:rPr>
      </w:pPr>
      <w:r w:rsidRPr="008742E9">
        <w:rPr>
          <w:rFonts w:eastAsia="Calibri"/>
          <w:sz w:val="22"/>
          <w:szCs w:val="22"/>
          <w:lang w:val="en-US" w:eastAsia="en-US"/>
        </w:rPr>
        <w:t>2.</w:t>
      </w:r>
      <w:r w:rsidRPr="008742E9">
        <w:rPr>
          <w:rFonts w:ascii="Calibri" w:eastAsia="Calibri" w:hAnsi="Calibri"/>
          <w:sz w:val="22"/>
          <w:szCs w:val="22"/>
          <w:lang w:val="en-US" w:eastAsia="en-US"/>
        </w:rPr>
        <w:t xml:space="preserve"> </w:t>
      </w:r>
      <w:r w:rsidRPr="008742E9">
        <w:rPr>
          <w:rFonts w:eastAsia="Calibri"/>
          <w:sz w:val="22"/>
          <w:szCs w:val="22"/>
          <w:lang w:val="en-US" w:eastAsia="en-US"/>
        </w:rPr>
        <w:t xml:space="preserve">Hydrobiology of the Aral Sea. Edited by Nikolay V. Aladin et al. Dying and Dead Seas: Climatic vs. Anthropic Causes. NATO Science Series IV: Earth and Environmental Sciences, Vol. 36. </w:t>
      </w:r>
      <w:r w:rsidRPr="001E2F2C">
        <w:rPr>
          <w:rFonts w:eastAsia="Calibri"/>
          <w:sz w:val="22"/>
          <w:szCs w:val="22"/>
          <w:lang w:val="en-US" w:eastAsia="en-US"/>
        </w:rPr>
        <w:t>Kluwer, 2004.</w:t>
      </w:r>
    </w:p>
    <w:p w:rsidR="00E1437B" w:rsidRPr="00024398" w:rsidRDefault="00E1437B" w:rsidP="00E1437B">
      <w:pPr>
        <w:jc w:val="both"/>
        <w:rPr>
          <w:sz w:val="22"/>
          <w:szCs w:val="22"/>
          <w:lang w:val="en-US"/>
        </w:rPr>
      </w:pPr>
    </w:p>
    <w:p w:rsidR="00E1437B" w:rsidRPr="008D33CB" w:rsidRDefault="00E1437B" w:rsidP="00B56259">
      <w:pPr>
        <w:rPr>
          <w:sz w:val="22"/>
          <w:szCs w:val="22"/>
          <w:lang w:val="en-US"/>
        </w:rPr>
      </w:pPr>
    </w:p>
    <w:p w:rsidR="003435E2" w:rsidRPr="008D33CB" w:rsidRDefault="003435E2" w:rsidP="00B56259">
      <w:pPr>
        <w:rPr>
          <w:sz w:val="22"/>
          <w:szCs w:val="22"/>
          <w:lang w:val="en-US"/>
        </w:rPr>
      </w:pPr>
    </w:p>
    <w:p w:rsidR="008742E9" w:rsidRPr="00231A3C" w:rsidRDefault="008742E9" w:rsidP="00E1437B">
      <w:pPr>
        <w:jc w:val="both"/>
        <w:rPr>
          <w:rFonts w:eastAsia="Calibri"/>
          <w:sz w:val="22"/>
          <w:szCs w:val="22"/>
          <w:lang w:val="en-US" w:eastAsia="en-US"/>
        </w:rPr>
      </w:pPr>
      <w:r w:rsidRPr="008742E9">
        <w:rPr>
          <w:sz w:val="22"/>
          <w:szCs w:val="22"/>
          <w:lang w:eastAsia="en-US"/>
        </w:rPr>
        <w:t>УДК</w:t>
      </w:r>
      <w:r w:rsidRPr="00231A3C">
        <w:rPr>
          <w:rFonts w:eastAsia="Calibri"/>
          <w:sz w:val="22"/>
          <w:szCs w:val="22"/>
          <w:lang w:val="en-US" w:eastAsia="en-US"/>
        </w:rPr>
        <w:t xml:space="preserve">  551.524.32</w:t>
      </w:r>
    </w:p>
    <w:p w:rsidR="008742E9" w:rsidRPr="00231A3C" w:rsidRDefault="008742E9" w:rsidP="008742E9">
      <w:pPr>
        <w:ind w:left="425"/>
        <w:jc w:val="both"/>
        <w:rPr>
          <w:rFonts w:eastAsia="Calibri"/>
          <w:sz w:val="22"/>
          <w:szCs w:val="22"/>
          <w:lang w:val="en-US" w:eastAsia="en-US"/>
        </w:rPr>
      </w:pPr>
    </w:p>
    <w:p w:rsidR="008742E9" w:rsidRPr="00231A3C" w:rsidRDefault="008742E9" w:rsidP="008742E9">
      <w:pPr>
        <w:shd w:val="clear" w:color="auto" w:fill="FFFFFF"/>
        <w:jc w:val="center"/>
        <w:rPr>
          <w:rFonts w:eastAsia="Calibri"/>
          <w:b/>
          <w:sz w:val="24"/>
          <w:szCs w:val="24"/>
          <w:lang w:val="en-US" w:eastAsia="en-US"/>
        </w:rPr>
      </w:pPr>
      <w:r w:rsidRPr="008742E9">
        <w:rPr>
          <w:rFonts w:eastAsia="Calibri"/>
          <w:b/>
          <w:sz w:val="24"/>
          <w:szCs w:val="24"/>
          <w:shd w:val="clear" w:color="auto" w:fill="FFFFFF"/>
          <w:lang w:eastAsia="en-US"/>
        </w:rPr>
        <w:t>Эффективность</w:t>
      </w:r>
      <w:r w:rsidRPr="00231A3C">
        <w:rPr>
          <w:rFonts w:eastAsia="Calibri"/>
          <w:b/>
          <w:sz w:val="24"/>
          <w:szCs w:val="24"/>
          <w:shd w:val="clear" w:color="auto" w:fill="FFFFFF"/>
          <w:lang w:val="en-US" w:eastAsia="en-US"/>
        </w:rPr>
        <w:t xml:space="preserve"> </w:t>
      </w:r>
      <w:r w:rsidRPr="008742E9">
        <w:rPr>
          <w:rFonts w:eastAsia="Calibri"/>
          <w:b/>
          <w:sz w:val="24"/>
          <w:szCs w:val="24"/>
          <w:shd w:val="clear" w:color="auto" w:fill="FFFFFF"/>
          <w:lang w:eastAsia="en-US"/>
        </w:rPr>
        <w:t>использования</w:t>
      </w:r>
      <w:r w:rsidRPr="00231A3C">
        <w:rPr>
          <w:rFonts w:eastAsia="Calibri"/>
          <w:b/>
          <w:sz w:val="24"/>
          <w:szCs w:val="24"/>
          <w:shd w:val="clear" w:color="auto" w:fill="FFFFFF"/>
          <w:lang w:val="en-US" w:eastAsia="en-US"/>
        </w:rPr>
        <w:t xml:space="preserve"> </w:t>
      </w:r>
      <w:r w:rsidRPr="008742E9">
        <w:rPr>
          <w:rFonts w:eastAsia="Calibri"/>
          <w:b/>
          <w:sz w:val="24"/>
          <w:szCs w:val="24"/>
          <w:shd w:val="clear" w:color="auto" w:fill="FFFFFF"/>
          <w:lang w:eastAsia="en-US"/>
        </w:rPr>
        <w:t>удобрений</w:t>
      </w:r>
      <w:r w:rsidRPr="00231A3C">
        <w:rPr>
          <w:rFonts w:eastAsia="Calibri"/>
          <w:b/>
          <w:sz w:val="24"/>
          <w:szCs w:val="24"/>
          <w:lang w:val="en-US" w:eastAsia="en-US"/>
        </w:rPr>
        <w:t xml:space="preserve"> </w:t>
      </w:r>
      <w:r w:rsidRPr="008742E9">
        <w:rPr>
          <w:rFonts w:eastAsia="Calibri"/>
          <w:b/>
          <w:sz w:val="24"/>
          <w:szCs w:val="24"/>
          <w:lang w:eastAsia="en-US"/>
        </w:rPr>
        <w:t>для</w:t>
      </w:r>
      <w:r w:rsidRPr="00231A3C">
        <w:rPr>
          <w:rFonts w:eastAsia="Calibri"/>
          <w:b/>
          <w:sz w:val="24"/>
          <w:szCs w:val="24"/>
          <w:lang w:val="en-US" w:eastAsia="en-US"/>
        </w:rPr>
        <w:t xml:space="preserve"> </w:t>
      </w:r>
      <w:r w:rsidRPr="008742E9">
        <w:rPr>
          <w:rFonts w:eastAsia="Calibri"/>
          <w:b/>
          <w:sz w:val="24"/>
          <w:szCs w:val="24"/>
          <w:lang w:eastAsia="en-US"/>
        </w:rPr>
        <w:t>повышения</w:t>
      </w:r>
      <w:r w:rsidRPr="00231A3C">
        <w:rPr>
          <w:rFonts w:eastAsia="Calibri"/>
          <w:b/>
          <w:sz w:val="24"/>
          <w:szCs w:val="24"/>
          <w:lang w:val="en-US" w:eastAsia="en-US"/>
        </w:rPr>
        <w:t xml:space="preserve"> </w:t>
      </w:r>
      <w:r w:rsidRPr="008742E9">
        <w:rPr>
          <w:rFonts w:eastAsia="Calibri"/>
          <w:b/>
          <w:sz w:val="24"/>
          <w:szCs w:val="24"/>
          <w:lang w:eastAsia="en-US"/>
        </w:rPr>
        <w:t>плодородия</w:t>
      </w:r>
      <w:r w:rsidRPr="00231A3C">
        <w:rPr>
          <w:rFonts w:eastAsia="Calibri"/>
          <w:b/>
          <w:sz w:val="24"/>
          <w:szCs w:val="24"/>
          <w:lang w:val="en-US" w:eastAsia="en-US"/>
        </w:rPr>
        <w:t xml:space="preserve"> </w:t>
      </w:r>
      <w:r w:rsidRPr="008742E9">
        <w:rPr>
          <w:rFonts w:eastAsia="Calibri"/>
          <w:b/>
          <w:sz w:val="24"/>
          <w:szCs w:val="24"/>
          <w:lang w:eastAsia="en-US"/>
        </w:rPr>
        <w:t>почв</w:t>
      </w:r>
    </w:p>
    <w:p w:rsidR="008742E9" w:rsidRPr="008742E9" w:rsidRDefault="008742E9" w:rsidP="008742E9">
      <w:pPr>
        <w:shd w:val="clear" w:color="auto" w:fill="FFFFFF"/>
        <w:jc w:val="center"/>
        <w:rPr>
          <w:rFonts w:ascii="inherit" w:hAnsi="inherit" w:cs="Courier New"/>
          <w:b/>
          <w:color w:val="212121"/>
          <w:sz w:val="24"/>
          <w:szCs w:val="24"/>
          <w:lang w:val="en-US"/>
        </w:rPr>
      </w:pPr>
      <w:r w:rsidRPr="008742E9">
        <w:rPr>
          <w:rFonts w:ascii="inherit" w:hAnsi="inherit" w:cs="Courier New"/>
          <w:b/>
          <w:color w:val="212121"/>
          <w:sz w:val="24"/>
          <w:szCs w:val="24"/>
          <w:lang w:val="en"/>
        </w:rPr>
        <w:t>Efficiency of using fertilizers to improve soil fertility</w:t>
      </w:r>
    </w:p>
    <w:p w:rsidR="008742E9" w:rsidRPr="008742E9" w:rsidRDefault="008742E9" w:rsidP="008742E9">
      <w:pPr>
        <w:tabs>
          <w:tab w:val="num" w:pos="284"/>
        </w:tabs>
        <w:snapToGrid w:val="0"/>
        <w:ind w:left="425"/>
        <w:jc w:val="center"/>
        <w:rPr>
          <w:sz w:val="22"/>
          <w:szCs w:val="22"/>
          <w:lang w:val="en-US"/>
        </w:rPr>
      </w:pPr>
    </w:p>
    <w:p w:rsidR="008742E9" w:rsidRPr="008742E9" w:rsidRDefault="008742E9" w:rsidP="008742E9">
      <w:pPr>
        <w:tabs>
          <w:tab w:val="num" w:pos="284"/>
        </w:tabs>
        <w:snapToGrid w:val="0"/>
        <w:ind w:left="425"/>
        <w:jc w:val="right"/>
        <w:rPr>
          <w:sz w:val="22"/>
          <w:szCs w:val="22"/>
        </w:rPr>
      </w:pPr>
      <w:r w:rsidRPr="008742E9">
        <w:rPr>
          <w:sz w:val="22"/>
          <w:szCs w:val="22"/>
        </w:rPr>
        <w:t>Штефан А. А.,</w:t>
      </w:r>
    </w:p>
    <w:p w:rsidR="008742E9" w:rsidRPr="008742E9" w:rsidRDefault="008742E9" w:rsidP="008742E9">
      <w:pPr>
        <w:tabs>
          <w:tab w:val="num" w:pos="284"/>
        </w:tabs>
        <w:snapToGrid w:val="0"/>
        <w:ind w:left="425"/>
        <w:jc w:val="right"/>
        <w:rPr>
          <w:sz w:val="22"/>
          <w:szCs w:val="22"/>
        </w:rPr>
      </w:pPr>
      <w:r w:rsidRPr="008742E9">
        <w:rPr>
          <w:sz w:val="22"/>
          <w:szCs w:val="22"/>
        </w:rPr>
        <w:t xml:space="preserve"> студентка 2-го курса факультета гидромелиорации</w:t>
      </w:r>
    </w:p>
    <w:p w:rsidR="008742E9" w:rsidRPr="008742E9" w:rsidRDefault="008742E9" w:rsidP="008742E9">
      <w:pPr>
        <w:tabs>
          <w:tab w:val="num" w:pos="284"/>
        </w:tabs>
        <w:snapToGrid w:val="0"/>
        <w:ind w:left="425"/>
        <w:jc w:val="right"/>
        <w:rPr>
          <w:sz w:val="22"/>
          <w:szCs w:val="22"/>
        </w:rPr>
      </w:pPr>
      <w:r w:rsidRPr="008742E9">
        <w:rPr>
          <w:sz w:val="22"/>
          <w:szCs w:val="22"/>
        </w:rPr>
        <w:t>Леонов И.</w:t>
      </w:r>
      <w:r w:rsidR="00E1437B">
        <w:rPr>
          <w:sz w:val="22"/>
          <w:szCs w:val="22"/>
        </w:rPr>
        <w:t xml:space="preserve"> </w:t>
      </w:r>
      <w:r w:rsidRPr="008742E9">
        <w:rPr>
          <w:sz w:val="22"/>
          <w:szCs w:val="22"/>
        </w:rPr>
        <w:t>С.</w:t>
      </w:r>
      <w:r w:rsidR="00E1437B">
        <w:rPr>
          <w:sz w:val="22"/>
          <w:szCs w:val="22"/>
        </w:rPr>
        <w:t>,</w:t>
      </w:r>
    </w:p>
    <w:p w:rsidR="008742E9" w:rsidRPr="008742E9" w:rsidRDefault="008742E9" w:rsidP="008742E9">
      <w:pPr>
        <w:tabs>
          <w:tab w:val="num" w:pos="284"/>
        </w:tabs>
        <w:snapToGrid w:val="0"/>
        <w:ind w:left="425"/>
        <w:jc w:val="right"/>
        <w:rPr>
          <w:sz w:val="22"/>
          <w:szCs w:val="22"/>
        </w:rPr>
      </w:pPr>
      <w:r w:rsidRPr="008742E9">
        <w:rPr>
          <w:sz w:val="22"/>
          <w:szCs w:val="22"/>
        </w:rPr>
        <w:t>студент 3-го курса факультета гидромелиорации</w:t>
      </w:r>
    </w:p>
    <w:p w:rsidR="008742E9" w:rsidRPr="008742E9" w:rsidRDefault="008742E9" w:rsidP="008742E9">
      <w:pPr>
        <w:tabs>
          <w:tab w:val="num" w:pos="284"/>
        </w:tabs>
        <w:snapToGrid w:val="0"/>
        <w:ind w:left="425"/>
        <w:jc w:val="right"/>
        <w:rPr>
          <w:sz w:val="22"/>
          <w:szCs w:val="22"/>
        </w:rPr>
      </w:pPr>
      <w:r w:rsidRPr="008742E9">
        <w:rPr>
          <w:sz w:val="22"/>
          <w:szCs w:val="22"/>
        </w:rPr>
        <w:t>Дегтярёва Е.</w:t>
      </w:r>
      <w:r w:rsidR="00E1437B">
        <w:rPr>
          <w:sz w:val="22"/>
          <w:szCs w:val="22"/>
        </w:rPr>
        <w:t xml:space="preserve"> </w:t>
      </w:r>
      <w:r w:rsidRPr="008742E9">
        <w:rPr>
          <w:sz w:val="22"/>
          <w:szCs w:val="22"/>
        </w:rPr>
        <w:t>В.</w:t>
      </w:r>
      <w:r w:rsidR="00E1437B">
        <w:rPr>
          <w:sz w:val="22"/>
          <w:szCs w:val="22"/>
        </w:rPr>
        <w:t>,</w:t>
      </w:r>
    </w:p>
    <w:p w:rsidR="008742E9" w:rsidRPr="008742E9" w:rsidRDefault="008742E9" w:rsidP="008742E9">
      <w:pPr>
        <w:tabs>
          <w:tab w:val="num" w:pos="284"/>
        </w:tabs>
        <w:snapToGrid w:val="0"/>
        <w:ind w:hanging="141"/>
        <w:jc w:val="right"/>
        <w:rPr>
          <w:sz w:val="22"/>
          <w:szCs w:val="22"/>
        </w:rPr>
      </w:pPr>
      <w:r w:rsidRPr="008742E9">
        <w:rPr>
          <w:sz w:val="22"/>
          <w:szCs w:val="22"/>
        </w:rPr>
        <w:t xml:space="preserve"> старший преподаватель кафедры гидравлики и с/х водоснабжения</w:t>
      </w:r>
    </w:p>
    <w:p w:rsidR="008742E9" w:rsidRPr="008742E9" w:rsidRDefault="008742E9" w:rsidP="008742E9">
      <w:pPr>
        <w:ind w:left="425"/>
        <w:jc w:val="right"/>
        <w:rPr>
          <w:rFonts w:eastAsia="Calibri"/>
          <w:sz w:val="22"/>
          <w:szCs w:val="22"/>
          <w:lang w:eastAsia="en-US"/>
        </w:rPr>
      </w:pPr>
      <w:r w:rsidRPr="008742E9">
        <w:rPr>
          <w:rFonts w:eastAsia="Calibri"/>
          <w:sz w:val="22"/>
          <w:szCs w:val="22"/>
          <w:lang w:eastAsia="en-US"/>
        </w:rPr>
        <w:t>Кубанский государственный аграрный</w:t>
      </w:r>
    </w:p>
    <w:p w:rsidR="008742E9" w:rsidRPr="008742E9" w:rsidRDefault="008742E9" w:rsidP="008742E9">
      <w:pPr>
        <w:ind w:left="425"/>
        <w:jc w:val="right"/>
        <w:rPr>
          <w:rFonts w:eastAsia="Calibri"/>
          <w:sz w:val="22"/>
          <w:szCs w:val="22"/>
          <w:lang w:eastAsia="en-US"/>
        </w:rPr>
      </w:pPr>
      <w:r w:rsidRPr="008742E9">
        <w:rPr>
          <w:rFonts w:eastAsia="Calibri"/>
          <w:sz w:val="22"/>
          <w:szCs w:val="22"/>
          <w:lang w:eastAsia="en-US"/>
        </w:rPr>
        <w:t xml:space="preserve"> университет имени И.</w:t>
      </w:r>
      <w:r w:rsidR="00E1437B">
        <w:rPr>
          <w:rFonts w:eastAsia="Calibri"/>
          <w:sz w:val="22"/>
          <w:szCs w:val="22"/>
          <w:lang w:eastAsia="en-US"/>
        </w:rPr>
        <w:t xml:space="preserve"> </w:t>
      </w:r>
      <w:r w:rsidRPr="008742E9">
        <w:rPr>
          <w:rFonts w:eastAsia="Calibri"/>
          <w:sz w:val="22"/>
          <w:szCs w:val="22"/>
          <w:lang w:eastAsia="en-US"/>
        </w:rPr>
        <w:t>Т. Трубилина</w:t>
      </w:r>
    </w:p>
    <w:p w:rsidR="008742E9" w:rsidRPr="008742E9" w:rsidRDefault="008742E9" w:rsidP="008742E9">
      <w:pPr>
        <w:ind w:left="425"/>
        <w:jc w:val="both"/>
        <w:rPr>
          <w:rFonts w:eastAsia="Calibri"/>
          <w:i/>
          <w:sz w:val="22"/>
          <w:szCs w:val="22"/>
          <w:lang w:eastAsia="en-US"/>
        </w:rPr>
      </w:pPr>
    </w:p>
    <w:p w:rsidR="008742E9" w:rsidRPr="008742E9" w:rsidRDefault="008742E9" w:rsidP="00E1437B">
      <w:pPr>
        <w:ind w:firstLine="426"/>
        <w:jc w:val="both"/>
        <w:rPr>
          <w:rFonts w:eastAsia="Calibri"/>
          <w:sz w:val="22"/>
          <w:szCs w:val="22"/>
          <w:shd w:val="clear" w:color="auto" w:fill="FFFFFF"/>
          <w:lang w:eastAsia="en-US"/>
        </w:rPr>
      </w:pPr>
      <w:r w:rsidRPr="008742E9">
        <w:rPr>
          <w:rFonts w:eastAsia="Calibri"/>
          <w:sz w:val="22"/>
          <w:szCs w:val="22"/>
          <w:shd w:val="clear" w:color="auto" w:fill="FFFFFF"/>
          <w:lang w:eastAsia="en-US"/>
        </w:rPr>
        <w:t xml:space="preserve">АННОТАЦИЯ: Современная система земледелия невозможна без применения средств защиты и минеральных удобрений. </w:t>
      </w:r>
      <w:r w:rsidRPr="008742E9">
        <w:rPr>
          <w:sz w:val="22"/>
          <w:szCs w:val="22"/>
        </w:rPr>
        <w:t>Что в</w:t>
      </w:r>
      <w:r w:rsidRPr="008742E9">
        <w:rPr>
          <w:sz w:val="22"/>
          <w:szCs w:val="22"/>
        </w:rPr>
        <w:t>о</w:t>
      </w:r>
      <w:r w:rsidRPr="008742E9">
        <w:rPr>
          <w:sz w:val="22"/>
          <w:szCs w:val="22"/>
        </w:rPr>
        <w:t xml:space="preserve">обще такое удобрения и для чего они нужны? </w:t>
      </w:r>
      <w:r w:rsidRPr="008742E9">
        <w:rPr>
          <w:rFonts w:eastAsia="Calibri"/>
          <w:sz w:val="22"/>
          <w:szCs w:val="22"/>
          <w:shd w:val="clear" w:color="auto" w:fill="FFFFFF"/>
          <w:lang w:eastAsia="en-US"/>
        </w:rPr>
        <w:t>В статье представлена эффективность использования удобрений, их влияние на почву.</w:t>
      </w:r>
    </w:p>
    <w:p w:rsidR="008742E9" w:rsidRPr="008742E9" w:rsidRDefault="008742E9" w:rsidP="00E1437B">
      <w:pPr>
        <w:shd w:val="clear" w:color="auto" w:fill="FFFFFF"/>
        <w:ind w:firstLine="425"/>
        <w:jc w:val="both"/>
        <w:rPr>
          <w:sz w:val="22"/>
          <w:szCs w:val="22"/>
          <w:lang w:val="en"/>
        </w:rPr>
      </w:pPr>
      <w:r w:rsidRPr="008742E9">
        <w:rPr>
          <w:sz w:val="20"/>
          <w:szCs w:val="20"/>
          <w:lang w:val="en"/>
        </w:rPr>
        <w:t>ABSTRACT:</w:t>
      </w:r>
      <w:r w:rsidRPr="008742E9">
        <w:rPr>
          <w:sz w:val="22"/>
          <w:szCs w:val="22"/>
          <w:lang w:val="en"/>
        </w:rPr>
        <w:t xml:space="preserve"> A modern system of agriculture is impossible without the use of protective equipment and mineral fertilizers. </w:t>
      </w:r>
      <w:r w:rsidRPr="008742E9">
        <w:rPr>
          <w:rFonts w:ascii="inherit" w:hAnsi="inherit" w:cs="Courier New"/>
          <w:color w:val="212121"/>
          <w:sz w:val="22"/>
          <w:szCs w:val="20"/>
          <w:lang w:val="en"/>
        </w:rPr>
        <w:t xml:space="preserve">What is fertilizers </w:t>
      </w:r>
      <w:r w:rsidRPr="008742E9">
        <w:rPr>
          <w:rFonts w:ascii="inherit" w:hAnsi="inherit" w:cs="Courier New"/>
          <w:color w:val="212121"/>
          <w:sz w:val="22"/>
          <w:szCs w:val="20"/>
          <w:lang w:val="en"/>
        </w:rPr>
        <w:lastRenderedPageBreak/>
        <w:t>in general and what are they for?</w:t>
      </w:r>
      <w:r w:rsidRPr="008742E9">
        <w:rPr>
          <w:rFonts w:ascii="inherit" w:hAnsi="inherit" w:cs="Courier New"/>
          <w:color w:val="212121"/>
          <w:sz w:val="22"/>
          <w:szCs w:val="20"/>
          <w:lang w:val="en-US"/>
        </w:rPr>
        <w:t xml:space="preserve"> </w:t>
      </w:r>
      <w:r w:rsidRPr="008742E9">
        <w:rPr>
          <w:sz w:val="22"/>
          <w:szCs w:val="22"/>
          <w:lang w:val="en"/>
        </w:rPr>
        <w:t xml:space="preserve">The article </w:t>
      </w:r>
      <w:r w:rsidRPr="008742E9">
        <w:rPr>
          <w:spacing w:val="-10"/>
          <w:sz w:val="22"/>
          <w:szCs w:val="22"/>
          <w:lang w:val="en"/>
        </w:rPr>
        <w:t>presents the efficiency of the use of fertilizers, their influence on the soil.</w:t>
      </w:r>
    </w:p>
    <w:p w:rsidR="008742E9" w:rsidRPr="008742E9" w:rsidRDefault="008742E9" w:rsidP="00E1437B">
      <w:pPr>
        <w:ind w:firstLine="426"/>
        <w:jc w:val="both"/>
        <w:rPr>
          <w:rFonts w:eastAsia="Calibri"/>
          <w:sz w:val="22"/>
          <w:szCs w:val="22"/>
          <w:shd w:val="clear" w:color="auto" w:fill="FFFFFF"/>
          <w:lang w:eastAsia="en-US"/>
        </w:rPr>
      </w:pPr>
      <w:r w:rsidRPr="008742E9">
        <w:rPr>
          <w:rFonts w:eastAsia="Calibri"/>
          <w:sz w:val="22"/>
          <w:szCs w:val="22"/>
          <w:shd w:val="clear" w:color="auto" w:fill="FFFFFF"/>
          <w:lang w:eastAsia="en-US"/>
        </w:rPr>
        <w:t>КЛЮЧЕВЫЕ СЛОВА: удобрения, почва, мелиоранты, урожай, гуминовые удобрения, гумус, плодородие почвы.</w:t>
      </w:r>
    </w:p>
    <w:p w:rsidR="008742E9" w:rsidRPr="008742E9" w:rsidRDefault="008742E9" w:rsidP="00E1437B">
      <w:pPr>
        <w:shd w:val="clear" w:color="auto" w:fill="FFFFFF"/>
        <w:ind w:firstLine="425"/>
        <w:jc w:val="both"/>
        <w:rPr>
          <w:rFonts w:ascii="inherit" w:hAnsi="inherit" w:cs="Courier New"/>
          <w:color w:val="212121"/>
          <w:sz w:val="22"/>
          <w:szCs w:val="22"/>
          <w:lang w:val="en-US"/>
        </w:rPr>
      </w:pPr>
      <w:r w:rsidRPr="008742E9">
        <w:rPr>
          <w:sz w:val="22"/>
          <w:szCs w:val="22"/>
          <w:lang w:val="en"/>
        </w:rPr>
        <w:t>KEYWORDS:</w:t>
      </w:r>
      <w:r w:rsidRPr="008742E9">
        <w:rPr>
          <w:rFonts w:ascii="inherit" w:hAnsi="inherit" w:cs="Courier New"/>
          <w:color w:val="212121"/>
          <w:sz w:val="22"/>
          <w:szCs w:val="22"/>
          <w:lang w:val="en"/>
        </w:rPr>
        <w:t xml:space="preserve"> fertilizers, soil, meliorants, yield, humic fertilizers, humus, soil fertility.</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p>
    <w:p w:rsidR="008742E9" w:rsidRPr="008742E9" w:rsidRDefault="008742E9" w:rsidP="00E1437B">
      <w:pPr>
        <w:ind w:firstLine="426"/>
        <w:jc w:val="both"/>
        <w:rPr>
          <w:sz w:val="22"/>
          <w:szCs w:val="22"/>
        </w:rPr>
      </w:pPr>
      <w:r w:rsidRPr="008742E9">
        <w:rPr>
          <w:sz w:val="22"/>
          <w:szCs w:val="22"/>
          <w:shd w:val="clear" w:color="auto" w:fill="FFFFFF"/>
        </w:rPr>
        <w:t>Человечество разработало множество различных способов п</w:t>
      </w:r>
      <w:r w:rsidRPr="008742E9">
        <w:rPr>
          <w:sz w:val="22"/>
          <w:szCs w:val="22"/>
          <w:shd w:val="clear" w:color="auto" w:fill="FFFFFF"/>
        </w:rPr>
        <w:t>о</w:t>
      </w:r>
      <w:r w:rsidRPr="008742E9">
        <w:rPr>
          <w:sz w:val="22"/>
          <w:szCs w:val="22"/>
          <w:shd w:val="clear" w:color="auto" w:fill="FFFFFF"/>
        </w:rPr>
        <w:t>вышения плодородия почвы. Наиболее эффективными из них уч</w:t>
      </w:r>
      <w:r w:rsidRPr="008742E9">
        <w:rPr>
          <w:sz w:val="22"/>
          <w:szCs w:val="22"/>
          <w:shd w:val="clear" w:color="auto" w:fill="FFFFFF"/>
        </w:rPr>
        <w:t>ё</w:t>
      </w:r>
      <w:r w:rsidRPr="008742E9">
        <w:rPr>
          <w:sz w:val="22"/>
          <w:szCs w:val="22"/>
          <w:shd w:val="clear" w:color="auto" w:fill="FFFFFF"/>
        </w:rPr>
        <w:t>ные признали включение в севооборот многолетних трав, высаж</w:t>
      </w:r>
      <w:r w:rsidRPr="008742E9">
        <w:rPr>
          <w:sz w:val="22"/>
          <w:szCs w:val="22"/>
          <w:shd w:val="clear" w:color="auto" w:fill="FFFFFF"/>
        </w:rPr>
        <w:t>и</w:t>
      </w:r>
      <w:r w:rsidRPr="008742E9">
        <w:rPr>
          <w:sz w:val="22"/>
          <w:szCs w:val="22"/>
          <w:shd w:val="clear" w:color="auto" w:fill="FFFFFF"/>
        </w:rPr>
        <w:t>вании сидератов и обработку почвы бактериальными удобрениями. При адекватном использовании этих приёмов, при соблюдении те</w:t>
      </w:r>
      <w:r w:rsidRPr="008742E9">
        <w:rPr>
          <w:sz w:val="22"/>
          <w:szCs w:val="22"/>
          <w:shd w:val="clear" w:color="auto" w:fill="FFFFFF"/>
        </w:rPr>
        <w:t>х</w:t>
      </w:r>
      <w:r w:rsidRPr="008742E9">
        <w:rPr>
          <w:sz w:val="22"/>
          <w:szCs w:val="22"/>
          <w:shd w:val="clear" w:color="auto" w:fill="FFFFFF"/>
        </w:rPr>
        <w:t>нологии обработки почвы, соответствующей природно-климатическим условиям, удаётся добиться значительного улучш</w:t>
      </w:r>
      <w:r w:rsidRPr="008742E9">
        <w:rPr>
          <w:sz w:val="22"/>
          <w:szCs w:val="22"/>
          <w:shd w:val="clear" w:color="auto" w:fill="FFFFFF"/>
        </w:rPr>
        <w:t>е</w:t>
      </w:r>
      <w:r w:rsidRPr="008742E9">
        <w:rPr>
          <w:sz w:val="22"/>
          <w:szCs w:val="22"/>
          <w:shd w:val="clear" w:color="auto" w:fill="FFFFFF"/>
        </w:rPr>
        <w:t>ния биологических параметров почвы, её водно-воздушного реж</w:t>
      </w:r>
      <w:r w:rsidRPr="008742E9">
        <w:rPr>
          <w:sz w:val="22"/>
          <w:szCs w:val="22"/>
          <w:shd w:val="clear" w:color="auto" w:fill="FFFFFF"/>
        </w:rPr>
        <w:t>и</w:t>
      </w:r>
      <w:r w:rsidRPr="008742E9">
        <w:rPr>
          <w:sz w:val="22"/>
          <w:szCs w:val="22"/>
          <w:shd w:val="clear" w:color="auto" w:fill="FFFFFF"/>
        </w:rPr>
        <w:t>ма, эффективности внесения удобрений. Также повышается плод</w:t>
      </w:r>
      <w:r w:rsidRPr="008742E9">
        <w:rPr>
          <w:sz w:val="22"/>
          <w:szCs w:val="22"/>
          <w:shd w:val="clear" w:color="auto" w:fill="FFFFFF"/>
        </w:rPr>
        <w:t>о</w:t>
      </w:r>
      <w:r w:rsidRPr="008742E9">
        <w:rPr>
          <w:sz w:val="22"/>
          <w:szCs w:val="22"/>
          <w:shd w:val="clear" w:color="auto" w:fill="FFFFFF"/>
        </w:rPr>
        <w:t>родие почвы в результате внесения в неё удобрений, известкования, борьбы с сорняками и другими мероприятиями оказывающими во</w:t>
      </w:r>
      <w:r w:rsidRPr="008742E9">
        <w:rPr>
          <w:sz w:val="22"/>
          <w:szCs w:val="22"/>
          <w:shd w:val="clear" w:color="auto" w:fill="FFFFFF"/>
        </w:rPr>
        <w:t>з</w:t>
      </w:r>
      <w:r w:rsidRPr="008742E9">
        <w:rPr>
          <w:sz w:val="22"/>
          <w:szCs w:val="22"/>
          <w:shd w:val="clear" w:color="auto" w:fill="FFFFFF"/>
        </w:rPr>
        <w:t>действие на агрохимические и биологические свойства почвы. Г</w:t>
      </w:r>
      <w:r w:rsidRPr="008742E9">
        <w:rPr>
          <w:sz w:val="22"/>
          <w:szCs w:val="22"/>
          <w:shd w:val="clear" w:color="auto" w:fill="FFFFFF"/>
        </w:rPr>
        <w:t>а</w:t>
      </w:r>
      <w:r w:rsidRPr="008742E9">
        <w:rPr>
          <w:sz w:val="22"/>
          <w:szCs w:val="22"/>
          <w:shd w:val="clear" w:color="auto" w:fill="FFFFFF"/>
        </w:rPr>
        <w:t>рантированно добиться повышения плодородия почвы можно тол</w:t>
      </w:r>
      <w:r w:rsidRPr="008742E9">
        <w:rPr>
          <w:sz w:val="22"/>
          <w:szCs w:val="22"/>
          <w:shd w:val="clear" w:color="auto" w:fill="FFFFFF"/>
        </w:rPr>
        <w:t>ь</w:t>
      </w:r>
      <w:r w:rsidRPr="008742E9">
        <w:rPr>
          <w:sz w:val="22"/>
          <w:szCs w:val="22"/>
          <w:shd w:val="clear" w:color="auto" w:fill="FFFFFF"/>
        </w:rPr>
        <w:t>ко при использовании научно обоснованного севооборота и выпо</w:t>
      </w:r>
      <w:r w:rsidRPr="008742E9">
        <w:rPr>
          <w:sz w:val="22"/>
          <w:szCs w:val="22"/>
          <w:shd w:val="clear" w:color="auto" w:fill="FFFFFF"/>
        </w:rPr>
        <w:t>л</w:t>
      </w:r>
      <w:r w:rsidRPr="008742E9">
        <w:rPr>
          <w:sz w:val="22"/>
          <w:szCs w:val="22"/>
          <w:shd w:val="clear" w:color="auto" w:fill="FFFFFF"/>
        </w:rPr>
        <w:t>нении, объединённого в систему, комплекса агромероприятий.</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Что вообще такое удобрения и для чего они нужны? Удобрения — это вещества, применяемые для улучшения питания растений, свойств почвы, повышения урожаев. Эффект этих веществ проявл</w:t>
      </w:r>
      <w:r w:rsidRPr="008742E9">
        <w:rPr>
          <w:sz w:val="22"/>
          <w:szCs w:val="22"/>
        </w:rPr>
        <w:t>я</w:t>
      </w:r>
      <w:r w:rsidRPr="008742E9">
        <w:rPr>
          <w:sz w:val="22"/>
          <w:szCs w:val="22"/>
        </w:rPr>
        <w:t>ется в предоставлении растениям недостающих химических комп</w:t>
      </w:r>
      <w:r w:rsidRPr="008742E9">
        <w:rPr>
          <w:sz w:val="22"/>
          <w:szCs w:val="22"/>
        </w:rPr>
        <w:t>о</w:t>
      </w:r>
      <w:r w:rsidRPr="008742E9">
        <w:rPr>
          <w:sz w:val="22"/>
          <w:szCs w:val="22"/>
        </w:rPr>
        <w:t>нентов, которые необходимы для нормального роста и развития. Удобрения делятся на органические и неорганические, то есть м</w:t>
      </w:r>
      <w:r w:rsidRPr="008742E9">
        <w:rPr>
          <w:sz w:val="22"/>
          <w:szCs w:val="22"/>
        </w:rPr>
        <w:t>и</w:t>
      </w:r>
      <w:r w:rsidRPr="008742E9">
        <w:rPr>
          <w:sz w:val="22"/>
          <w:szCs w:val="22"/>
        </w:rPr>
        <w:t>неральные.</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Органические удобрения в отличие от минеральных имеют большую ценность так как они являются естественным элементом экологической сферы и не приносят вреда плодородию почвы. В них входят продукты жизнедеятельности животных, опилки, торф, компост, зола, зеленые удобрения. Весной производят добавку удобрений в районах с повышенной влажностью, а вот осенью в более засушливых.</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Минеральные удобрения представляют собой искусственно с</w:t>
      </w:r>
      <w:r w:rsidRPr="008742E9">
        <w:rPr>
          <w:sz w:val="22"/>
          <w:szCs w:val="22"/>
        </w:rPr>
        <w:t>о</w:t>
      </w:r>
      <w:r w:rsidRPr="008742E9">
        <w:rPr>
          <w:sz w:val="22"/>
          <w:szCs w:val="22"/>
        </w:rPr>
        <w:t xml:space="preserve">зданные химические подкормки. Они легко и быстро усваиваются </w:t>
      </w:r>
      <w:r w:rsidRPr="008742E9">
        <w:rPr>
          <w:sz w:val="22"/>
          <w:szCs w:val="22"/>
        </w:rPr>
        <w:lastRenderedPageBreak/>
        <w:t>растениями, но имеют большие сложности в правильном использ</w:t>
      </w:r>
      <w:r w:rsidRPr="008742E9">
        <w:rPr>
          <w:sz w:val="22"/>
          <w:szCs w:val="22"/>
        </w:rPr>
        <w:t>о</w:t>
      </w:r>
      <w:r w:rsidRPr="008742E9">
        <w:rPr>
          <w:sz w:val="22"/>
          <w:szCs w:val="22"/>
        </w:rPr>
        <w:t>вании</w:t>
      </w:r>
      <w:r w:rsidRPr="008742E9">
        <w:rPr>
          <w:rFonts w:eastAsia="Calibri"/>
          <w:spacing w:val="-10"/>
          <w:sz w:val="22"/>
          <w:szCs w:val="22"/>
          <w:shd w:val="clear" w:color="auto" w:fill="FFFFFF"/>
          <w:lang w:eastAsia="en-US"/>
        </w:rPr>
        <w:t>[1,2].</w:t>
      </w:r>
    </w:p>
    <w:p w:rsidR="008742E9" w:rsidRPr="008742E9" w:rsidRDefault="008742E9" w:rsidP="00E1437B">
      <w:pPr>
        <w:shd w:val="clear" w:color="auto" w:fill="F7F9FA"/>
        <w:ind w:firstLine="426"/>
        <w:jc w:val="both"/>
        <w:textAlignment w:val="top"/>
        <w:rPr>
          <w:sz w:val="22"/>
          <w:szCs w:val="22"/>
        </w:rPr>
      </w:pPr>
      <w:r w:rsidRPr="008742E9">
        <w:rPr>
          <w:sz w:val="22"/>
          <w:szCs w:val="22"/>
          <w:bdr w:val="none" w:sz="0" w:space="0" w:color="auto" w:frame="1"/>
        </w:rPr>
        <w:t>А также существуют гуминовые удобрения – это препараты, состоящие из веществ органической природы естественного прои</w:t>
      </w:r>
      <w:r w:rsidRPr="008742E9">
        <w:rPr>
          <w:sz w:val="22"/>
          <w:szCs w:val="22"/>
          <w:bdr w:val="none" w:sz="0" w:space="0" w:color="auto" w:frame="1"/>
        </w:rPr>
        <w:t>с</w:t>
      </w:r>
      <w:r w:rsidRPr="008742E9">
        <w:rPr>
          <w:sz w:val="22"/>
          <w:szCs w:val="22"/>
          <w:bdr w:val="none" w:sz="0" w:space="0" w:color="auto" w:frame="1"/>
        </w:rPr>
        <w:t xml:space="preserve">хождения и получаемые из природного сырья: торфа, бурого угля, сапропеля. </w:t>
      </w:r>
    </w:p>
    <w:p w:rsidR="008742E9" w:rsidRPr="008742E9" w:rsidRDefault="008742E9" w:rsidP="00E1437B">
      <w:pPr>
        <w:shd w:val="clear" w:color="auto" w:fill="FFFFFF"/>
        <w:ind w:firstLine="426"/>
        <w:jc w:val="both"/>
        <w:textAlignment w:val="baseline"/>
        <w:rPr>
          <w:sz w:val="22"/>
          <w:szCs w:val="22"/>
        </w:rPr>
      </w:pPr>
      <w:r w:rsidRPr="008742E9">
        <w:rPr>
          <w:sz w:val="22"/>
          <w:szCs w:val="22"/>
        </w:rPr>
        <w:t>Гуминовые удобрения и препараты, в отличие от минеральных удобрений, являются катализаторами биохимических процессов в почве, что обусловлено их стимулирующим воздействием на по</w:t>
      </w:r>
      <w:r w:rsidRPr="008742E9">
        <w:rPr>
          <w:sz w:val="22"/>
          <w:szCs w:val="22"/>
        </w:rPr>
        <w:t>ч</w:t>
      </w:r>
      <w:r w:rsidRPr="008742E9">
        <w:rPr>
          <w:sz w:val="22"/>
          <w:szCs w:val="22"/>
        </w:rPr>
        <w:t xml:space="preserve">венные микроорганизмы. </w:t>
      </w:r>
    </w:p>
    <w:p w:rsidR="008742E9" w:rsidRPr="008742E9" w:rsidRDefault="008742E9" w:rsidP="00E1437B">
      <w:pPr>
        <w:ind w:firstLine="426"/>
        <w:jc w:val="both"/>
        <w:rPr>
          <w:sz w:val="22"/>
          <w:szCs w:val="22"/>
        </w:rPr>
      </w:pPr>
      <w:r w:rsidRPr="008742E9">
        <w:rPr>
          <w:rFonts w:eastAsia="Calibri"/>
          <w:sz w:val="22"/>
          <w:szCs w:val="22"/>
          <w:shd w:val="clear" w:color="auto" w:fill="FFFFFF"/>
          <w:lang w:eastAsia="en-US"/>
        </w:rPr>
        <w:t>Действующим началом гуминовых удобрений и препаратов я</w:t>
      </w:r>
      <w:r w:rsidRPr="008742E9">
        <w:rPr>
          <w:rFonts w:eastAsia="Calibri"/>
          <w:sz w:val="22"/>
          <w:szCs w:val="22"/>
          <w:shd w:val="clear" w:color="auto" w:fill="FFFFFF"/>
          <w:lang w:eastAsia="en-US"/>
        </w:rPr>
        <w:t>в</w:t>
      </w:r>
      <w:r w:rsidRPr="008742E9">
        <w:rPr>
          <w:rFonts w:eastAsia="Calibri"/>
          <w:sz w:val="22"/>
          <w:szCs w:val="22"/>
          <w:shd w:val="clear" w:color="auto" w:fill="FFFFFF"/>
          <w:lang w:eastAsia="en-US"/>
        </w:rPr>
        <w:t>ляются гуминовые вещества , о</w:t>
      </w:r>
      <w:r w:rsidRPr="008742E9">
        <w:rPr>
          <w:rFonts w:eastAsia="Calibri"/>
          <w:sz w:val="22"/>
          <w:szCs w:val="22"/>
          <w:lang w:eastAsia="en-US"/>
        </w:rPr>
        <w:t>ни улучшают физические свойства почв, повышают влагоемкость легких почв и водопроницаемость тяжелых, улучшают их структуру, уменьшают плотность почвы. Это способствует накоплению гумуса и изменению биологических характеристик почвы.</w:t>
      </w:r>
    </w:p>
    <w:p w:rsidR="008742E9" w:rsidRPr="008742E9" w:rsidRDefault="008742E9" w:rsidP="00E1437B">
      <w:pPr>
        <w:ind w:firstLine="426"/>
        <w:jc w:val="both"/>
        <w:rPr>
          <w:rFonts w:eastAsia="Calibri"/>
          <w:sz w:val="22"/>
          <w:szCs w:val="22"/>
          <w:lang w:eastAsia="en-US"/>
        </w:rPr>
      </w:pPr>
      <w:r w:rsidRPr="008742E9">
        <w:rPr>
          <w:rFonts w:eastAsia="Calibri"/>
          <w:sz w:val="22"/>
          <w:szCs w:val="22"/>
          <w:shd w:val="clear" w:color="auto" w:fill="FFFFFF"/>
          <w:lang w:eastAsia="en-US"/>
        </w:rPr>
        <w:t>В почве присутствует прямое и косвенное взаимодействие между биогенными токсичными элементами, которое оказывает большое влияние на свойства почвы, продуктивность, рост раст</w:t>
      </w:r>
      <w:r w:rsidRPr="008742E9">
        <w:rPr>
          <w:rFonts w:eastAsia="Calibri"/>
          <w:sz w:val="22"/>
          <w:szCs w:val="22"/>
          <w:shd w:val="clear" w:color="auto" w:fill="FFFFFF"/>
          <w:lang w:eastAsia="en-US"/>
        </w:rPr>
        <w:t>е</w:t>
      </w:r>
      <w:r w:rsidRPr="008742E9">
        <w:rPr>
          <w:rFonts w:eastAsia="Calibri"/>
          <w:sz w:val="22"/>
          <w:szCs w:val="22"/>
          <w:shd w:val="clear" w:color="auto" w:fill="FFFFFF"/>
          <w:lang w:eastAsia="en-US"/>
        </w:rPr>
        <w:t xml:space="preserve">ний и качество урожая. </w:t>
      </w:r>
    </w:p>
    <w:p w:rsidR="008742E9" w:rsidRPr="008742E9" w:rsidRDefault="008742E9" w:rsidP="00E1437B">
      <w:pPr>
        <w:ind w:firstLine="426"/>
        <w:jc w:val="both"/>
        <w:rPr>
          <w:rFonts w:eastAsia="Calibri"/>
          <w:spacing w:val="-10"/>
          <w:sz w:val="22"/>
          <w:szCs w:val="22"/>
          <w:lang w:eastAsia="en-US"/>
        </w:rPr>
      </w:pPr>
      <w:r w:rsidRPr="008742E9">
        <w:rPr>
          <w:rFonts w:eastAsia="Calibri"/>
          <w:sz w:val="22"/>
          <w:szCs w:val="22"/>
          <w:lang w:eastAsia="en-US"/>
        </w:rPr>
        <w:t xml:space="preserve">Органика благотворно воздействует на почву, преобразуя ее структуру на физическом и химическом уровне, и, активизирует деятельность живых микробов. А так же обогащает почву </w:t>
      </w:r>
      <w:r w:rsidRPr="008742E9">
        <w:rPr>
          <w:rFonts w:eastAsia="Calibri"/>
          <w:spacing w:val="-10"/>
          <w:sz w:val="22"/>
          <w:szCs w:val="22"/>
          <w:lang w:eastAsia="en-US"/>
        </w:rPr>
        <w:t>питател</w:t>
      </w:r>
      <w:r w:rsidRPr="008742E9">
        <w:rPr>
          <w:rFonts w:eastAsia="Calibri"/>
          <w:spacing w:val="-10"/>
          <w:sz w:val="22"/>
          <w:szCs w:val="22"/>
          <w:lang w:eastAsia="en-US"/>
        </w:rPr>
        <w:t>ь</w:t>
      </w:r>
      <w:r w:rsidRPr="008742E9">
        <w:rPr>
          <w:rFonts w:eastAsia="Calibri"/>
          <w:spacing w:val="-10"/>
          <w:sz w:val="22"/>
          <w:szCs w:val="22"/>
          <w:lang w:eastAsia="en-US"/>
        </w:rPr>
        <w:t>ными веществами как для растений, так и для организмов</w:t>
      </w:r>
      <w:r w:rsidRPr="008742E9">
        <w:rPr>
          <w:rFonts w:eastAsia="Calibri"/>
          <w:spacing w:val="-10"/>
          <w:sz w:val="22"/>
          <w:szCs w:val="22"/>
          <w:shd w:val="clear" w:color="auto" w:fill="FFFFFF"/>
          <w:lang w:eastAsia="en-US"/>
        </w:rPr>
        <w:t>[3,4].</w:t>
      </w:r>
    </w:p>
    <w:p w:rsidR="008742E9" w:rsidRPr="008742E9" w:rsidRDefault="008742E9" w:rsidP="00E1437B">
      <w:pPr>
        <w:ind w:firstLine="426"/>
        <w:jc w:val="both"/>
        <w:rPr>
          <w:sz w:val="22"/>
          <w:szCs w:val="22"/>
        </w:rPr>
      </w:pPr>
      <w:r w:rsidRPr="008742E9">
        <w:rPr>
          <w:sz w:val="22"/>
          <w:szCs w:val="22"/>
          <w:shd w:val="clear" w:color="auto" w:fill="FFFFFF"/>
        </w:rPr>
        <w:t>Повышение плодородия почвы идёт очень медленно, в ест</w:t>
      </w:r>
      <w:r w:rsidRPr="008742E9">
        <w:rPr>
          <w:sz w:val="22"/>
          <w:szCs w:val="22"/>
          <w:shd w:val="clear" w:color="auto" w:fill="FFFFFF"/>
        </w:rPr>
        <w:t>е</w:t>
      </w:r>
      <w:r w:rsidRPr="008742E9">
        <w:rPr>
          <w:sz w:val="22"/>
          <w:szCs w:val="22"/>
          <w:shd w:val="clear" w:color="auto" w:fill="FFFFFF"/>
        </w:rPr>
        <w:t>ственных условиях на это потребовались тысячи лет. Необходимо качественно заботится о состоянии почвы и не допускать её ист</w:t>
      </w:r>
      <w:r w:rsidRPr="008742E9">
        <w:rPr>
          <w:sz w:val="22"/>
          <w:szCs w:val="22"/>
          <w:shd w:val="clear" w:color="auto" w:fill="FFFFFF"/>
        </w:rPr>
        <w:t>о</w:t>
      </w:r>
      <w:r w:rsidRPr="008742E9">
        <w:rPr>
          <w:sz w:val="22"/>
          <w:szCs w:val="22"/>
          <w:shd w:val="clear" w:color="auto" w:fill="FFFFFF"/>
        </w:rPr>
        <w:t>щения – это сможет обеспечить хороший урожай множество лет подряд.</w:t>
      </w:r>
    </w:p>
    <w:p w:rsidR="008742E9" w:rsidRPr="008742E9" w:rsidRDefault="008742E9" w:rsidP="00E1437B">
      <w:pPr>
        <w:jc w:val="center"/>
        <w:rPr>
          <w:rFonts w:eastAsia="Calibri"/>
          <w:sz w:val="22"/>
          <w:szCs w:val="22"/>
          <w:lang w:eastAsia="en-US"/>
        </w:rPr>
      </w:pPr>
    </w:p>
    <w:p w:rsidR="008742E9" w:rsidRPr="008742E9" w:rsidRDefault="008742E9" w:rsidP="00E1437B">
      <w:pPr>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E1437B">
      <w:pPr>
        <w:numPr>
          <w:ilvl w:val="0"/>
          <w:numId w:val="14"/>
        </w:numPr>
        <w:spacing w:after="200" w:line="259" w:lineRule="auto"/>
        <w:ind w:left="0" w:firstLine="425"/>
        <w:contextualSpacing/>
        <w:jc w:val="both"/>
        <w:rPr>
          <w:rFonts w:eastAsia="Calibri"/>
          <w:spacing w:val="-6"/>
          <w:sz w:val="22"/>
          <w:szCs w:val="22"/>
          <w:lang w:eastAsia="en-US"/>
        </w:rPr>
      </w:pPr>
      <w:r w:rsidRPr="008742E9">
        <w:rPr>
          <w:rFonts w:eastAsia="Calibri"/>
          <w:iCs/>
          <w:sz w:val="22"/>
          <w:szCs w:val="22"/>
          <w:shd w:val="clear" w:color="auto" w:fill="F5F5F5"/>
          <w:lang w:eastAsia="en-US"/>
        </w:rPr>
        <w:t>Гельмиярова В.Н., Гумбаров А.Д., Хаджиди А.Е., Килиди Х.И.</w:t>
      </w:r>
      <w:r w:rsidRPr="008742E9">
        <w:rPr>
          <w:rFonts w:eastAsia="Calibri"/>
          <w:sz w:val="22"/>
          <w:szCs w:val="22"/>
          <w:lang w:eastAsia="en-US"/>
        </w:rPr>
        <w:t xml:space="preserve"> </w:t>
      </w:r>
      <w:hyperlink r:id="rId32" w:history="1">
        <w:r w:rsidRPr="008742E9">
          <w:rPr>
            <w:rFonts w:eastAsia="Calibri"/>
            <w:bCs/>
            <w:sz w:val="22"/>
            <w:szCs w:val="22"/>
            <w:shd w:val="clear" w:color="auto" w:fill="F5F5F5"/>
            <w:lang w:eastAsia="en-US"/>
          </w:rPr>
          <w:t>Математическая модель распространения влаги при иссуш</w:t>
        </w:r>
        <w:r w:rsidRPr="008742E9">
          <w:rPr>
            <w:rFonts w:eastAsia="Calibri"/>
            <w:bCs/>
            <w:sz w:val="22"/>
            <w:szCs w:val="22"/>
            <w:shd w:val="clear" w:color="auto" w:fill="F5F5F5"/>
            <w:lang w:eastAsia="en-US"/>
          </w:rPr>
          <w:t>е</w:t>
        </w:r>
        <w:r w:rsidRPr="008742E9">
          <w:rPr>
            <w:rFonts w:eastAsia="Calibri"/>
            <w:bCs/>
            <w:sz w:val="22"/>
            <w:szCs w:val="22"/>
            <w:shd w:val="clear" w:color="auto" w:fill="F5F5F5"/>
            <w:lang w:eastAsia="en-US"/>
          </w:rPr>
          <w:t>нии почвы агроландшафтов</w:t>
        </w:r>
      </w:hyperlink>
      <w:r w:rsidRPr="008742E9">
        <w:rPr>
          <w:rFonts w:eastAsia="Calibri"/>
          <w:sz w:val="22"/>
          <w:szCs w:val="22"/>
          <w:lang w:eastAsia="en-US"/>
        </w:rPr>
        <w:t xml:space="preserve">. </w:t>
      </w:r>
      <w:hyperlink r:id="rId33" w:history="1">
        <w:r w:rsidRPr="008742E9">
          <w:rPr>
            <w:rFonts w:eastAsia="Calibri"/>
            <w:spacing w:val="-6"/>
            <w:sz w:val="22"/>
            <w:szCs w:val="22"/>
            <w:shd w:val="clear" w:color="auto" w:fill="F5F5F5"/>
            <w:lang w:eastAsia="en-US"/>
          </w:rPr>
          <w:t>Труды Кубанского Государственного Аграрного Университета</w:t>
        </w:r>
      </w:hyperlink>
      <w:r w:rsidRPr="008742E9">
        <w:rPr>
          <w:rFonts w:eastAsia="Calibri"/>
          <w:spacing w:val="-6"/>
          <w:sz w:val="22"/>
          <w:szCs w:val="22"/>
          <w:shd w:val="clear" w:color="auto" w:fill="F5F5F5"/>
          <w:lang w:eastAsia="en-US"/>
        </w:rPr>
        <w:t>. 2012. </w:t>
      </w:r>
      <w:hyperlink r:id="rId34" w:history="1">
        <w:r w:rsidRPr="008742E9">
          <w:rPr>
            <w:rFonts w:eastAsia="Calibri"/>
            <w:spacing w:val="-6"/>
            <w:sz w:val="22"/>
            <w:szCs w:val="22"/>
            <w:shd w:val="clear" w:color="auto" w:fill="F5F5F5"/>
            <w:lang w:eastAsia="en-US"/>
          </w:rPr>
          <w:t>№ 36</w:t>
        </w:r>
      </w:hyperlink>
      <w:r w:rsidRPr="008742E9">
        <w:rPr>
          <w:rFonts w:eastAsia="Calibri"/>
          <w:spacing w:val="-6"/>
          <w:sz w:val="22"/>
          <w:szCs w:val="22"/>
          <w:shd w:val="clear" w:color="auto" w:fill="F5F5F5"/>
          <w:lang w:eastAsia="en-US"/>
        </w:rPr>
        <w:t>. с. 335–337</w:t>
      </w:r>
    </w:p>
    <w:p w:rsidR="008742E9" w:rsidRPr="008742E9" w:rsidRDefault="008742E9" w:rsidP="00E1437B">
      <w:pPr>
        <w:numPr>
          <w:ilvl w:val="0"/>
          <w:numId w:val="14"/>
        </w:numPr>
        <w:spacing w:after="160" w:line="259" w:lineRule="auto"/>
        <w:ind w:left="0" w:firstLine="425"/>
        <w:contextualSpacing/>
        <w:jc w:val="both"/>
        <w:rPr>
          <w:rFonts w:eastAsia="Calibri"/>
          <w:sz w:val="22"/>
          <w:szCs w:val="22"/>
          <w:lang w:eastAsia="en-US"/>
        </w:rPr>
      </w:pPr>
      <w:r w:rsidRPr="008742E9">
        <w:rPr>
          <w:rFonts w:eastAsia="Calibri"/>
          <w:sz w:val="22"/>
          <w:szCs w:val="22"/>
          <w:lang w:eastAsia="en-US"/>
        </w:rPr>
        <w:t>Дегтярева Е.В. Анализ снижения плодородия почвы. Сбо</w:t>
      </w:r>
      <w:r w:rsidRPr="008742E9">
        <w:rPr>
          <w:rFonts w:eastAsia="Calibri"/>
          <w:sz w:val="22"/>
          <w:szCs w:val="22"/>
          <w:lang w:eastAsia="en-US"/>
        </w:rPr>
        <w:t>р</w:t>
      </w:r>
      <w:r w:rsidRPr="008742E9">
        <w:rPr>
          <w:rFonts w:eastAsia="Calibri"/>
          <w:sz w:val="22"/>
          <w:szCs w:val="22"/>
          <w:lang w:eastAsia="en-US"/>
        </w:rPr>
        <w:t xml:space="preserve">ник статей по материалам 71–й научно-практической конференции </w:t>
      </w:r>
      <w:r w:rsidRPr="008742E9">
        <w:rPr>
          <w:rFonts w:eastAsia="Calibri"/>
          <w:sz w:val="22"/>
          <w:szCs w:val="22"/>
          <w:lang w:eastAsia="en-US"/>
        </w:rPr>
        <w:lastRenderedPageBreak/>
        <w:t>преподавателей по итогам НИР за 2015 год. Ответственный за в</w:t>
      </w:r>
      <w:r w:rsidRPr="008742E9">
        <w:rPr>
          <w:rFonts w:eastAsia="Calibri"/>
          <w:sz w:val="22"/>
          <w:szCs w:val="22"/>
          <w:lang w:eastAsia="en-US"/>
        </w:rPr>
        <w:t>ы</w:t>
      </w:r>
      <w:r w:rsidRPr="008742E9">
        <w:rPr>
          <w:rFonts w:eastAsia="Calibri"/>
          <w:sz w:val="22"/>
          <w:szCs w:val="22"/>
          <w:lang w:eastAsia="en-US"/>
        </w:rPr>
        <w:t>пуск А. Г. Кощаев. 2016. с. 154–155</w:t>
      </w:r>
    </w:p>
    <w:p w:rsidR="008742E9" w:rsidRPr="008742E9" w:rsidRDefault="008742E9" w:rsidP="00E1437B">
      <w:pPr>
        <w:numPr>
          <w:ilvl w:val="0"/>
          <w:numId w:val="14"/>
        </w:numPr>
        <w:spacing w:after="200" w:line="259" w:lineRule="auto"/>
        <w:ind w:left="0" w:firstLine="425"/>
        <w:contextualSpacing/>
        <w:jc w:val="both"/>
        <w:rPr>
          <w:rFonts w:eastAsia="Calibri"/>
          <w:sz w:val="22"/>
          <w:szCs w:val="22"/>
          <w:lang w:eastAsia="en-US"/>
        </w:rPr>
      </w:pPr>
      <w:r w:rsidRPr="008742E9">
        <w:rPr>
          <w:rFonts w:eastAsia="Calibri"/>
          <w:sz w:val="22"/>
          <w:szCs w:val="22"/>
          <w:lang w:eastAsia="en-US"/>
        </w:rPr>
        <w:t>Дегтярева Е.В., Ященко К.В., Проблемы экологического с</w:t>
      </w:r>
      <w:r w:rsidRPr="008742E9">
        <w:rPr>
          <w:rFonts w:eastAsia="Calibri"/>
          <w:sz w:val="22"/>
          <w:szCs w:val="22"/>
          <w:lang w:eastAsia="en-US"/>
        </w:rPr>
        <w:t>о</w:t>
      </w:r>
      <w:r w:rsidRPr="008742E9">
        <w:rPr>
          <w:rFonts w:eastAsia="Calibri"/>
          <w:sz w:val="22"/>
          <w:szCs w:val="22"/>
          <w:lang w:eastAsia="en-US"/>
        </w:rPr>
        <w:t>стояния подземных вод в пределах степной зоны Краснодарского края сборник: научное обеспечение агропромышленного комплекса сборник статей по материалам 72–й научно-практической конф</w:t>
      </w:r>
      <w:r w:rsidRPr="008742E9">
        <w:rPr>
          <w:rFonts w:eastAsia="Calibri"/>
          <w:sz w:val="22"/>
          <w:szCs w:val="22"/>
          <w:lang w:eastAsia="en-US"/>
        </w:rPr>
        <w:t>е</w:t>
      </w:r>
      <w:r w:rsidRPr="008742E9">
        <w:rPr>
          <w:rFonts w:eastAsia="Calibri"/>
          <w:sz w:val="22"/>
          <w:szCs w:val="22"/>
          <w:lang w:eastAsia="en-US"/>
        </w:rPr>
        <w:t>ренции преподавателей по итогам НИР за 2016–2017. с. 217–218.</w:t>
      </w:r>
    </w:p>
    <w:p w:rsidR="008742E9" w:rsidRPr="008742E9" w:rsidRDefault="008742E9" w:rsidP="00E1437B">
      <w:pPr>
        <w:numPr>
          <w:ilvl w:val="0"/>
          <w:numId w:val="14"/>
        </w:numPr>
        <w:spacing w:after="200" w:line="259" w:lineRule="auto"/>
        <w:ind w:left="0" w:firstLine="425"/>
        <w:contextualSpacing/>
        <w:jc w:val="both"/>
        <w:rPr>
          <w:sz w:val="22"/>
          <w:szCs w:val="22"/>
        </w:rPr>
      </w:pPr>
      <w:r w:rsidRPr="008742E9">
        <w:rPr>
          <w:iCs/>
          <w:sz w:val="22"/>
          <w:szCs w:val="22"/>
        </w:rPr>
        <w:t xml:space="preserve">Дегтярева Е.В., Ященко К.В., Колесниченко В.В. </w:t>
      </w:r>
      <w:hyperlink r:id="rId35" w:history="1">
        <w:r w:rsidRPr="008742E9">
          <w:rPr>
            <w:bCs/>
            <w:sz w:val="22"/>
            <w:szCs w:val="22"/>
          </w:rPr>
          <w:t>Совреме</w:t>
        </w:r>
        <w:r w:rsidRPr="008742E9">
          <w:rPr>
            <w:bCs/>
            <w:sz w:val="22"/>
            <w:szCs w:val="22"/>
          </w:rPr>
          <w:t>н</w:t>
        </w:r>
        <w:r w:rsidRPr="008742E9">
          <w:rPr>
            <w:bCs/>
            <w:sz w:val="22"/>
            <w:szCs w:val="22"/>
          </w:rPr>
          <w:t>ное экологическое состояние водосборов рек степной зоны Красн</w:t>
        </w:r>
        <w:r w:rsidRPr="008742E9">
          <w:rPr>
            <w:bCs/>
            <w:sz w:val="22"/>
            <w:szCs w:val="22"/>
          </w:rPr>
          <w:t>о</w:t>
        </w:r>
        <w:r w:rsidRPr="008742E9">
          <w:rPr>
            <w:bCs/>
            <w:sz w:val="22"/>
            <w:szCs w:val="22"/>
          </w:rPr>
          <w:t>дарского Края</w:t>
        </w:r>
      </w:hyperlink>
      <w:r w:rsidRPr="008742E9">
        <w:rPr>
          <w:bCs/>
          <w:sz w:val="22"/>
          <w:szCs w:val="22"/>
        </w:rPr>
        <w:t xml:space="preserve"> </w:t>
      </w:r>
      <w:r w:rsidRPr="008742E9">
        <w:rPr>
          <w:sz w:val="22"/>
          <w:szCs w:val="22"/>
        </w:rPr>
        <w:t xml:space="preserve">сборник: </w:t>
      </w:r>
      <w:hyperlink r:id="rId36" w:history="1">
        <w:r w:rsidRPr="008742E9">
          <w:rPr>
            <w:sz w:val="22"/>
            <w:szCs w:val="22"/>
          </w:rPr>
          <w:t>современные технологии в мировом нау</w:t>
        </w:r>
        <w:r w:rsidRPr="008742E9">
          <w:rPr>
            <w:sz w:val="22"/>
            <w:szCs w:val="22"/>
          </w:rPr>
          <w:t>ч</w:t>
        </w:r>
        <w:r w:rsidRPr="008742E9">
          <w:rPr>
            <w:sz w:val="22"/>
            <w:szCs w:val="22"/>
          </w:rPr>
          <w:t>ном пространстве</w:t>
        </w:r>
      </w:hyperlink>
      <w:r w:rsidRPr="008742E9">
        <w:rPr>
          <w:sz w:val="22"/>
          <w:szCs w:val="22"/>
        </w:rPr>
        <w:t> сборник статей Международной научно–практической конференции: в 3 частях. 2017. с. 6–8</w:t>
      </w:r>
    </w:p>
    <w:p w:rsidR="008742E9" w:rsidRPr="003F65C9" w:rsidRDefault="008742E9" w:rsidP="00451253">
      <w:pPr>
        <w:pStyle w:val="31"/>
        <w:ind w:firstLine="0"/>
        <w:rPr>
          <w:sz w:val="22"/>
          <w:szCs w:val="22"/>
        </w:rPr>
      </w:pPr>
    </w:p>
    <w:p w:rsidR="00451253" w:rsidRDefault="00451253" w:rsidP="00451253">
      <w:pPr>
        <w:rPr>
          <w:sz w:val="22"/>
          <w:szCs w:val="22"/>
        </w:rPr>
      </w:pPr>
      <w:r>
        <w:rPr>
          <w:sz w:val="22"/>
          <w:szCs w:val="22"/>
        </w:rPr>
        <w:br w:type="page"/>
      </w:r>
    </w:p>
    <w:p w:rsidR="00451253" w:rsidRPr="00C722A2" w:rsidRDefault="00451253" w:rsidP="00451253">
      <w:pPr>
        <w:pStyle w:val="31"/>
        <w:ind w:firstLine="0"/>
        <w:jc w:val="center"/>
        <w:rPr>
          <w:b/>
          <w:sz w:val="28"/>
          <w:szCs w:val="22"/>
        </w:rPr>
      </w:pPr>
      <w:r w:rsidRPr="00C722A2">
        <w:rPr>
          <w:b/>
          <w:sz w:val="28"/>
          <w:szCs w:val="22"/>
        </w:rPr>
        <w:lastRenderedPageBreak/>
        <w:t xml:space="preserve">Факультет </w:t>
      </w:r>
      <w:r w:rsidR="003E7A0B">
        <w:rPr>
          <w:b/>
          <w:sz w:val="28"/>
          <w:szCs w:val="22"/>
        </w:rPr>
        <w:t>зоотехнии</w:t>
      </w:r>
    </w:p>
    <w:p w:rsidR="003E7A0B" w:rsidRDefault="003E7A0B" w:rsidP="003E7A0B">
      <w:pPr>
        <w:jc w:val="both"/>
        <w:rPr>
          <w:sz w:val="22"/>
          <w:szCs w:val="22"/>
        </w:rPr>
      </w:pPr>
    </w:p>
    <w:p w:rsidR="008742E9" w:rsidRPr="00E1437B" w:rsidRDefault="008742E9" w:rsidP="008742E9">
      <w:pPr>
        <w:rPr>
          <w:sz w:val="22"/>
          <w:szCs w:val="22"/>
          <w:shd w:val="clear" w:color="auto" w:fill="FFFFFF"/>
        </w:rPr>
      </w:pPr>
      <w:r w:rsidRPr="00E1437B">
        <w:rPr>
          <w:sz w:val="22"/>
          <w:szCs w:val="22"/>
          <w:shd w:val="clear" w:color="auto" w:fill="FFFFFF"/>
        </w:rPr>
        <w:t>УДК 636.2.034</w:t>
      </w:r>
    </w:p>
    <w:p w:rsidR="008742E9" w:rsidRPr="008742E9" w:rsidRDefault="008742E9" w:rsidP="008742E9">
      <w:pPr>
        <w:jc w:val="center"/>
        <w:rPr>
          <w:b/>
          <w:sz w:val="24"/>
          <w:szCs w:val="24"/>
          <w:shd w:val="clear" w:color="auto" w:fill="FFFFFF"/>
        </w:rPr>
      </w:pPr>
    </w:p>
    <w:p w:rsidR="008742E9" w:rsidRPr="008742E9" w:rsidRDefault="008742E9" w:rsidP="008742E9">
      <w:pPr>
        <w:jc w:val="center"/>
        <w:rPr>
          <w:b/>
          <w:sz w:val="24"/>
          <w:szCs w:val="24"/>
          <w:shd w:val="clear" w:color="auto" w:fill="FFFFFF"/>
        </w:rPr>
      </w:pPr>
      <w:r w:rsidRPr="008742E9">
        <w:rPr>
          <w:b/>
          <w:sz w:val="24"/>
          <w:szCs w:val="24"/>
          <w:shd w:val="clear" w:color="auto" w:fill="FFFFFF"/>
        </w:rPr>
        <w:t>К вопросу выращивания телят-молочников</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8742E9">
        <w:rPr>
          <w:b/>
          <w:sz w:val="24"/>
          <w:szCs w:val="24"/>
        </w:rPr>
        <w:t>разными</w:t>
      </w:r>
      <w:r w:rsidRPr="008742E9">
        <w:rPr>
          <w:b/>
          <w:sz w:val="24"/>
          <w:szCs w:val="24"/>
          <w:lang w:val="en-US"/>
        </w:rPr>
        <w:t xml:space="preserve"> </w:t>
      </w:r>
      <w:r w:rsidRPr="008742E9">
        <w:rPr>
          <w:b/>
          <w:sz w:val="24"/>
          <w:szCs w:val="24"/>
        </w:rPr>
        <w:t>способами</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8742E9">
        <w:rPr>
          <w:b/>
          <w:sz w:val="24"/>
          <w:szCs w:val="24"/>
          <w:lang w:val="en-US"/>
        </w:rPr>
        <w:t>On the issue of growing milk calves different ways</w:t>
      </w:r>
    </w:p>
    <w:p w:rsidR="008742E9" w:rsidRPr="008742E9" w:rsidRDefault="008742E9" w:rsidP="008742E9">
      <w:pPr>
        <w:jc w:val="right"/>
        <w:rPr>
          <w:sz w:val="24"/>
          <w:szCs w:val="24"/>
          <w:shd w:val="clear" w:color="auto" w:fill="FFFFFF"/>
          <w:lang w:val="en-US"/>
        </w:rPr>
      </w:pPr>
    </w:p>
    <w:p w:rsidR="00E1437B" w:rsidRDefault="008742E9" w:rsidP="008742E9">
      <w:pPr>
        <w:jc w:val="right"/>
        <w:rPr>
          <w:sz w:val="22"/>
          <w:szCs w:val="22"/>
          <w:shd w:val="clear" w:color="auto" w:fill="FFFFFF"/>
        </w:rPr>
      </w:pPr>
      <w:r w:rsidRPr="00E1437B">
        <w:rPr>
          <w:sz w:val="22"/>
          <w:szCs w:val="22"/>
          <w:shd w:val="clear" w:color="auto" w:fill="FFFFFF"/>
        </w:rPr>
        <w:t>Белоус И.</w:t>
      </w:r>
      <w:r w:rsidR="00E1437B">
        <w:rPr>
          <w:sz w:val="22"/>
          <w:szCs w:val="22"/>
          <w:shd w:val="clear" w:color="auto" w:fill="FFFFFF"/>
        </w:rPr>
        <w:t xml:space="preserve"> Н.,</w:t>
      </w:r>
    </w:p>
    <w:p w:rsidR="008742E9" w:rsidRPr="00E1437B" w:rsidRDefault="008742E9" w:rsidP="008742E9">
      <w:pPr>
        <w:jc w:val="right"/>
        <w:rPr>
          <w:sz w:val="22"/>
          <w:szCs w:val="22"/>
          <w:shd w:val="clear" w:color="auto" w:fill="FFFFFF"/>
        </w:rPr>
      </w:pPr>
      <w:r w:rsidRPr="00E1437B">
        <w:rPr>
          <w:sz w:val="22"/>
          <w:szCs w:val="22"/>
          <w:shd w:val="clear" w:color="auto" w:fill="FFFFFF"/>
        </w:rPr>
        <w:t>5 курс, факультет зоотехнии</w:t>
      </w:r>
    </w:p>
    <w:p w:rsidR="008742E9" w:rsidRPr="00E1437B" w:rsidRDefault="008742E9" w:rsidP="00E1437B">
      <w:pPr>
        <w:jc w:val="right"/>
        <w:rPr>
          <w:sz w:val="22"/>
          <w:szCs w:val="22"/>
          <w:shd w:val="clear" w:color="auto" w:fill="FFFFFF"/>
        </w:rPr>
      </w:pPr>
      <w:r w:rsidRPr="00E1437B">
        <w:rPr>
          <w:sz w:val="22"/>
          <w:szCs w:val="22"/>
          <w:shd w:val="clear" w:color="auto" w:fill="FFFFFF"/>
        </w:rPr>
        <w:t>Подойницына Т.</w:t>
      </w:r>
      <w:r w:rsidR="00E1437B">
        <w:rPr>
          <w:sz w:val="22"/>
          <w:szCs w:val="22"/>
          <w:shd w:val="clear" w:color="auto" w:fill="FFFFFF"/>
        </w:rPr>
        <w:t xml:space="preserve"> </w:t>
      </w:r>
      <w:r w:rsidRPr="00E1437B">
        <w:rPr>
          <w:sz w:val="22"/>
          <w:szCs w:val="22"/>
          <w:shd w:val="clear" w:color="auto" w:fill="FFFFFF"/>
        </w:rPr>
        <w:t>А., доцент</w:t>
      </w:r>
    </w:p>
    <w:p w:rsidR="008742E9" w:rsidRPr="008742E9" w:rsidRDefault="008742E9" w:rsidP="008742E9">
      <w:pPr>
        <w:jc w:val="right"/>
        <w:rPr>
          <w:sz w:val="21"/>
          <w:szCs w:val="21"/>
          <w:shd w:val="clear" w:color="auto" w:fill="FFFFFF"/>
        </w:rPr>
      </w:pPr>
      <w:r w:rsidRPr="008742E9">
        <w:rPr>
          <w:sz w:val="21"/>
          <w:szCs w:val="21"/>
          <w:shd w:val="clear" w:color="auto" w:fill="FFFFFF"/>
        </w:rPr>
        <w:t>Куб</w:t>
      </w:r>
      <w:r w:rsidR="00E1437B">
        <w:rPr>
          <w:sz w:val="21"/>
          <w:szCs w:val="21"/>
          <w:shd w:val="clear" w:color="auto" w:fill="FFFFFF"/>
        </w:rPr>
        <w:t>анский государственный аграрный</w:t>
      </w:r>
    </w:p>
    <w:p w:rsidR="008742E9" w:rsidRPr="008742E9" w:rsidRDefault="008742E9" w:rsidP="008742E9">
      <w:pPr>
        <w:jc w:val="right"/>
        <w:rPr>
          <w:sz w:val="21"/>
          <w:szCs w:val="21"/>
          <w:shd w:val="clear" w:color="auto" w:fill="FFFFFF"/>
        </w:rPr>
      </w:pPr>
      <w:r w:rsidRPr="008742E9">
        <w:rPr>
          <w:sz w:val="21"/>
          <w:szCs w:val="21"/>
          <w:shd w:val="clear" w:color="auto" w:fill="FFFFFF"/>
        </w:rPr>
        <w:t>университет имени И.</w:t>
      </w:r>
      <w:r w:rsidR="00E1437B">
        <w:rPr>
          <w:sz w:val="21"/>
          <w:szCs w:val="21"/>
          <w:shd w:val="clear" w:color="auto" w:fill="FFFFFF"/>
        </w:rPr>
        <w:t xml:space="preserve"> </w:t>
      </w:r>
      <w:r w:rsidRPr="008742E9">
        <w:rPr>
          <w:sz w:val="21"/>
          <w:szCs w:val="21"/>
          <w:shd w:val="clear" w:color="auto" w:fill="FFFFFF"/>
        </w:rPr>
        <w:t>Т. Трубилина</w:t>
      </w:r>
    </w:p>
    <w:p w:rsidR="008742E9" w:rsidRPr="008742E9" w:rsidRDefault="008742E9" w:rsidP="008742E9">
      <w:pPr>
        <w:jc w:val="right"/>
        <w:rPr>
          <w:sz w:val="21"/>
          <w:szCs w:val="21"/>
          <w:shd w:val="clear" w:color="auto" w:fill="FFFFFF"/>
        </w:rPr>
      </w:pPr>
    </w:p>
    <w:p w:rsidR="008742E9" w:rsidRPr="008742E9" w:rsidRDefault="008742E9" w:rsidP="00E1437B">
      <w:pPr>
        <w:ind w:firstLine="426"/>
        <w:jc w:val="both"/>
        <w:rPr>
          <w:sz w:val="22"/>
          <w:szCs w:val="22"/>
          <w:shd w:val="clear" w:color="auto" w:fill="FFFFFF"/>
        </w:rPr>
      </w:pPr>
      <w:r w:rsidRPr="008742E9">
        <w:rPr>
          <w:sz w:val="22"/>
          <w:szCs w:val="22"/>
          <w:shd w:val="clear" w:color="auto" w:fill="FFFFFF"/>
        </w:rPr>
        <w:t>АННОТАЦИЯ: Приведены данные об основных факторах, обеспечивающих успешное выращивание телят. Обоснована цел</w:t>
      </w:r>
      <w:r w:rsidRPr="008742E9">
        <w:rPr>
          <w:sz w:val="22"/>
          <w:szCs w:val="22"/>
          <w:shd w:val="clear" w:color="auto" w:fill="FFFFFF"/>
        </w:rPr>
        <w:t>е</w:t>
      </w:r>
      <w:r w:rsidRPr="008742E9">
        <w:rPr>
          <w:sz w:val="22"/>
          <w:szCs w:val="22"/>
          <w:shd w:val="clear" w:color="auto" w:fill="FFFFFF"/>
        </w:rPr>
        <w:t>сообразность «холодного» содержания телят в индивидуальных кольцах и домиках. Под влиянием факторов внешней среды уст</w:t>
      </w:r>
      <w:r w:rsidRPr="008742E9">
        <w:rPr>
          <w:sz w:val="22"/>
          <w:szCs w:val="22"/>
          <w:shd w:val="clear" w:color="auto" w:fill="FFFFFF"/>
        </w:rPr>
        <w:t>а</w:t>
      </w:r>
      <w:r w:rsidRPr="008742E9">
        <w:rPr>
          <w:sz w:val="22"/>
          <w:szCs w:val="22"/>
          <w:shd w:val="clear" w:color="auto" w:fill="FFFFFF"/>
        </w:rPr>
        <w:t>новлены некоторые различия в весовом росте телят-молочников голштинской породы.</w:t>
      </w:r>
    </w:p>
    <w:p w:rsidR="008742E9" w:rsidRPr="00E1437B"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shd w:val="clear" w:color="auto" w:fill="FFFFFF"/>
        </w:rPr>
      </w:pPr>
      <w:r w:rsidRPr="008742E9">
        <w:rPr>
          <w:sz w:val="22"/>
          <w:szCs w:val="22"/>
          <w:shd w:val="clear" w:color="auto" w:fill="FFFFFF"/>
        </w:rPr>
        <w:t>КЛЮЧЕВЫЕ СЛОВА: телята, содержание, микроклимат, ж</w:t>
      </w:r>
      <w:r w:rsidRPr="008742E9">
        <w:rPr>
          <w:sz w:val="22"/>
          <w:szCs w:val="22"/>
          <w:shd w:val="clear" w:color="auto" w:fill="FFFFFF"/>
        </w:rPr>
        <w:t>и</w:t>
      </w:r>
      <w:r w:rsidRPr="008742E9">
        <w:rPr>
          <w:sz w:val="22"/>
          <w:szCs w:val="22"/>
          <w:shd w:val="clear" w:color="auto" w:fill="FFFFFF"/>
        </w:rPr>
        <w:t>вая масса, приросты.</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8742E9">
        <w:rPr>
          <w:sz w:val="22"/>
          <w:szCs w:val="22"/>
          <w:lang w:val="en-US"/>
        </w:rPr>
        <w:t>ABSTRACT: The data on the main factors ensuring the successful cultivation of calves are given. The expediency of the «cold» content of calves in individual rings and houses is substantiated. Under the infl</w:t>
      </w:r>
      <w:r w:rsidRPr="008742E9">
        <w:rPr>
          <w:sz w:val="22"/>
          <w:szCs w:val="22"/>
          <w:lang w:val="en-US"/>
        </w:rPr>
        <w:t>u</w:t>
      </w:r>
      <w:r w:rsidRPr="008742E9">
        <w:rPr>
          <w:sz w:val="22"/>
          <w:szCs w:val="22"/>
          <w:lang w:val="en-US"/>
        </w:rPr>
        <w:t>ence of environmental factors, there are some differences in the weight growth of Holstein's dairy calves.</w:t>
      </w:r>
    </w:p>
    <w:p w:rsidR="008742E9" w:rsidRPr="008742E9" w:rsidRDefault="008742E9" w:rsidP="00E1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8742E9">
        <w:rPr>
          <w:sz w:val="22"/>
          <w:szCs w:val="22"/>
          <w:lang w:val="en-US"/>
        </w:rPr>
        <w:t>KEYWORDS: calves, content, microclimate, living weight, incr</w:t>
      </w:r>
      <w:r w:rsidRPr="008742E9">
        <w:rPr>
          <w:sz w:val="22"/>
          <w:szCs w:val="22"/>
          <w:lang w:val="en-US"/>
        </w:rPr>
        <w:t>e</w:t>
      </w:r>
      <w:r w:rsidRPr="008742E9">
        <w:rPr>
          <w:sz w:val="22"/>
          <w:szCs w:val="22"/>
          <w:lang w:val="en-US"/>
        </w:rPr>
        <w:t>ments.</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en-US"/>
        </w:rPr>
      </w:pPr>
    </w:p>
    <w:p w:rsidR="008742E9" w:rsidRPr="008742E9" w:rsidRDefault="008742E9" w:rsidP="00E1437B">
      <w:pPr>
        <w:ind w:firstLine="426"/>
        <w:jc w:val="both"/>
        <w:rPr>
          <w:sz w:val="22"/>
          <w:szCs w:val="22"/>
        </w:rPr>
      </w:pPr>
      <w:r w:rsidRPr="008742E9">
        <w:rPr>
          <w:sz w:val="22"/>
          <w:szCs w:val="22"/>
        </w:rPr>
        <w:t>Для успешного решения вопроса увеличения поголовья кру</w:t>
      </w:r>
      <w:r w:rsidRPr="008742E9">
        <w:rPr>
          <w:sz w:val="22"/>
          <w:szCs w:val="22"/>
        </w:rPr>
        <w:t>п</w:t>
      </w:r>
      <w:r w:rsidRPr="008742E9">
        <w:rPr>
          <w:sz w:val="22"/>
          <w:szCs w:val="22"/>
        </w:rPr>
        <w:t>ного рогатого скота и повышения молочной продуктивности, важно создание оптимальных условий для формирования высокой проду</w:t>
      </w:r>
      <w:r w:rsidRPr="008742E9">
        <w:rPr>
          <w:sz w:val="22"/>
          <w:szCs w:val="22"/>
        </w:rPr>
        <w:t>к</w:t>
      </w:r>
      <w:r w:rsidRPr="008742E9">
        <w:rPr>
          <w:sz w:val="22"/>
          <w:szCs w:val="22"/>
        </w:rPr>
        <w:t>тивности, начиная с периода новорожденности. Одним из сильно действующих факторов на рост и развитие молодняка в ранний п</w:t>
      </w:r>
      <w:r w:rsidRPr="008742E9">
        <w:rPr>
          <w:sz w:val="22"/>
          <w:szCs w:val="22"/>
        </w:rPr>
        <w:t>о</w:t>
      </w:r>
      <w:r w:rsidRPr="008742E9">
        <w:rPr>
          <w:sz w:val="22"/>
          <w:szCs w:val="22"/>
        </w:rPr>
        <w:t>стэмбриональный период является температура внешней среды. Перспективным признан «холодный» способ содержания, обесп</w:t>
      </w:r>
      <w:r w:rsidRPr="008742E9">
        <w:rPr>
          <w:sz w:val="22"/>
          <w:szCs w:val="22"/>
        </w:rPr>
        <w:t>е</w:t>
      </w:r>
      <w:r w:rsidRPr="008742E9">
        <w:rPr>
          <w:sz w:val="22"/>
          <w:szCs w:val="22"/>
        </w:rPr>
        <w:lastRenderedPageBreak/>
        <w:t>чивающий, прежде всего, наличие свежего воздуха и отсутствие аммиака. Естественная инсоляция, изолирование каждого животн</w:t>
      </w:r>
      <w:r w:rsidRPr="008742E9">
        <w:rPr>
          <w:sz w:val="22"/>
          <w:szCs w:val="22"/>
        </w:rPr>
        <w:t>о</w:t>
      </w:r>
      <w:r w:rsidRPr="008742E9">
        <w:rPr>
          <w:sz w:val="22"/>
          <w:szCs w:val="22"/>
        </w:rPr>
        <w:t>го от условных источников инфекции, устранение конкурентов при кормлении, индивидуальное наблюдение за каждым теленком дает возможность соблюдения технологии кормления для молодняка с разным развитием, темпераментом и другими биологическими ос</w:t>
      </w:r>
      <w:r w:rsidRPr="008742E9">
        <w:rPr>
          <w:sz w:val="22"/>
          <w:szCs w:val="22"/>
        </w:rPr>
        <w:t>о</w:t>
      </w:r>
      <w:r w:rsidRPr="008742E9">
        <w:rPr>
          <w:sz w:val="22"/>
          <w:szCs w:val="22"/>
        </w:rPr>
        <w:t xml:space="preserve">бенностями [1]. </w:t>
      </w:r>
    </w:p>
    <w:p w:rsidR="008742E9" w:rsidRPr="008742E9" w:rsidRDefault="008742E9" w:rsidP="00E1437B">
      <w:pPr>
        <w:ind w:firstLine="426"/>
        <w:jc w:val="both"/>
        <w:rPr>
          <w:sz w:val="22"/>
          <w:szCs w:val="22"/>
        </w:rPr>
      </w:pPr>
      <w:r w:rsidRPr="008742E9">
        <w:rPr>
          <w:sz w:val="22"/>
          <w:szCs w:val="22"/>
        </w:rPr>
        <w:t>Научно-хозяйственный опыт проводили в предприятии «Кру</w:t>
      </w:r>
      <w:r w:rsidRPr="008742E9">
        <w:rPr>
          <w:sz w:val="22"/>
          <w:szCs w:val="22"/>
        </w:rPr>
        <w:t>п</w:t>
      </w:r>
      <w:r w:rsidRPr="008742E9">
        <w:rPr>
          <w:sz w:val="22"/>
          <w:szCs w:val="22"/>
        </w:rPr>
        <w:t>ское» АО фирмы «Агрокомплекс им. Н.И. Ткачева». Целью иссл</w:t>
      </w:r>
      <w:r w:rsidRPr="008742E9">
        <w:rPr>
          <w:sz w:val="22"/>
          <w:szCs w:val="22"/>
        </w:rPr>
        <w:t>е</w:t>
      </w:r>
      <w:r w:rsidRPr="008742E9">
        <w:rPr>
          <w:sz w:val="22"/>
          <w:szCs w:val="22"/>
        </w:rPr>
        <w:t>дований явилось изучение весового роста молодняка голштинской породы осеннего рождения, от рождения до 2-мес возраста в разных условиях содержания. Для достижения поставленной цели по при</w:t>
      </w:r>
      <w:r w:rsidRPr="008742E9">
        <w:rPr>
          <w:sz w:val="22"/>
          <w:szCs w:val="22"/>
        </w:rPr>
        <w:t>н</w:t>
      </w:r>
      <w:r w:rsidRPr="008742E9">
        <w:rPr>
          <w:sz w:val="22"/>
          <w:szCs w:val="22"/>
        </w:rPr>
        <w:t>ципу пар-аналогов были сформированы 2 группы телочек по 10 г</w:t>
      </w:r>
      <w:r w:rsidRPr="008742E9">
        <w:rPr>
          <w:sz w:val="22"/>
          <w:szCs w:val="22"/>
        </w:rPr>
        <w:t>о</w:t>
      </w:r>
      <w:r w:rsidRPr="008742E9">
        <w:rPr>
          <w:sz w:val="22"/>
          <w:szCs w:val="22"/>
        </w:rPr>
        <w:t>лов в каждой. В первую (контрольную) группу вошли телочки, с</w:t>
      </w:r>
      <w:r w:rsidRPr="008742E9">
        <w:rPr>
          <w:sz w:val="22"/>
          <w:szCs w:val="22"/>
        </w:rPr>
        <w:t>о</w:t>
      </w:r>
      <w:r w:rsidRPr="008742E9">
        <w:rPr>
          <w:sz w:val="22"/>
          <w:szCs w:val="22"/>
        </w:rPr>
        <w:t>держащиеся в индивидуальных домиках, общей площадью 1,56 м</w:t>
      </w:r>
      <w:r w:rsidRPr="008742E9">
        <w:rPr>
          <w:sz w:val="22"/>
          <w:szCs w:val="22"/>
          <w:vertAlign w:val="superscript"/>
        </w:rPr>
        <w:t>2</w:t>
      </w:r>
      <w:r w:rsidRPr="008742E9">
        <w:rPr>
          <w:sz w:val="22"/>
          <w:szCs w:val="22"/>
        </w:rPr>
        <w:t>, с выходом в баз площадью 1,45 м</w:t>
      </w:r>
      <w:r w:rsidRPr="008742E9">
        <w:rPr>
          <w:sz w:val="22"/>
          <w:szCs w:val="22"/>
          <w:vertAlign w:val="superscript"/>
        </w:rPr>
        <w:t>2</w:t>
      </w:r>
      <w:r w:rsidRPr="008742E9">
        <w:rPr>
          <w:sz w:val="22"/>
          <w:szCs w:val="22"/>
        </w:rPr>
        <w:t>.</w:t>
      </w:r>
    </w:p>
    <w:p w:rsidR="008742E9" w:rsidRPr="008742E9" w:rsidRDefault="008742E9" w:rsidP="00E1437B">
      <w:pPr>
        <w:ind w:firstLine="426"/>
        <w:jc w:val="both"/>
        <w:rPr>
          <w:sz w:val="22"/>
          <w:szCs w:val="22"/>
        </w:rPr>
      </w:pPr>
      <w:r w:rsidRPr="008742E9">
        <w:rPr>
          <w:sz w:val="22"/>
          <w:szCs w:val="22"/>
        </w:rPr>
        <w:t>Во второй (опытной) группе телочки содержались в металлич</w:t>
      </w:r>
      <w:r w:rsidRPr="008742E9">
        <w:rPr>
          <w:sz w:val="22"/>
          <w:szCs w:val="22"/>
        </w:rPr>
        <w:t>е</w:t>
      </w:r>
      <w:r w:rsidRPr="008742E9">
        <w:rPr>
          <w:sz w:val="22"/>
          <w:szCs w:val="22"/>
        </w:rPr>
        <w:t>ских кольцах, диаметром 1,6 м, которые находились под навесом. Условия кормления телят были одинаковыми, принятые в хозя</w:t>
      </w:r>
      <w:r w:rsidRPr="008742E9">
        <w:rPr>
          <w:sz w:val="22"/>
          <w:szCs w:val="22"/>
        </w:rPr>
        <w:t>й</w:t>
      </w:r>
      <w:r w:rsidRPr="008742E9">
        <w:rPr>
          <w:sz w:val="22"/>
          <w:szCs w:val="22"/>
        </w:rPr>
        <w:t xml:space="preserve">стве. Параметры микроклимата в домиках и кольцах определяли с помощью прибора «Метеоскоп-М». </w:t>
      </w:r>
    </w:p>
    <w:p w:rsidR="008742E9" w:rsidRPr="008742E9" w:rsidRDefault="008742E9" w:rsidP="00E1437B">
      <w:pPr>
        <w:ind w:firstLine="426"/>
        <w:jc w:val="both"/>
        <w:rPr>
          <w:sz w:val="22"/>
          <w:szCs w:val="22"/>
        </w:rPr>
      </w:pPr>
      <w:r w:rsidRPr="008742E9">
        <w:rPr>
          <w:sz w:val="22"/>
          <w:szCs w:val="22"/>
        </w:rPr>
        <w:t>В условиях юга России с достаточно мягкими природно-климатическими условиями (чаще всего в зимне-весенний перио</w:t>
      </w:r>
      <w:r w:rsidRPr="008742E9">
        <w:rPr>
          <w:sz w:val="22"/>
          <w:szCs w:val="22"/>
        </w:rPr>
        <w:t>д</w:t>
      </w:r>
      <w:r w:rsidRPr="008742E9">
        <w:rPr>
          <w:sz w:val="22"/>
          <w:szCs w:val="22"/>
        </w:rPr>
        <w:t>температура колеблется около 0</w:t>
      </w:r>
      <w:r w:rsidRPr="008742E9">
        <w:rPr>
          <w:sz w:val="22"/>
          <w:szCs w:val="22"/>
          <w:vertAlign w:val="superscript"/>
        </w:rPr>
        <w:t>о</w:t>
      </w:r>
      <w:r w:rsidRPr="008742E9">
        <w:rPr>
          <w:sz w:val="22"/>
          <w:szCs w:val="22"/>
        </w:rPr>
        <w:t>С) «холодный» способ содержания телят-молочников может быть успешно использован [2,3].</w:t>
      </w:r>
    </w:p>
    <w:p w:rsidR="008742E9" w:rsidRPr="008742E9" w:rsidRDefault="008742E9" w:rsidP="00E1437B">
      <w:pPr>
        <w:ind w:firstLine="426"/>
        <w:jc w:val="both"/>
        <w:rPr>
          <w:sz w:val="22"/>
          <w:szCs w:val="22"/>
        </w:rPr>
      </w:pPr>
      <w:r w:rsidRPr="008742E9">
        <w:rPr>
          <w:sz w:val="22"/>
          <w:szCs w:val="22"/>
        </w:rPr>
        <w:t>Исследования показали, что в разных условиях содержания т</w:t>
      </w:r>
      <w:r w:rsidRPr="008742E9">
        <w:rPr>
          <w:sz w:val="22"/>
          <w:szCs w:val="22"/>
        </w:rPr>
        <w:t>е</w:t>
      </w:r>
      <w:r w:rsidRPr="008742E9">
        <w:rPr>
          <w:sz w:val="22"/>
          <w:szCs w:val="22"/>
        </w:rPr>
        <w:t>лята одной породы и одного возраста показали себя по-разному. Средняя масса телят обеих групп при постановке на опыт была ра</w:t>
      </w:r>
      <w:r w:rsidRPr="008742E9">
        <w:rPr>
          <w:sz w:val="22"/>
          <w:szCs w:val="22"/>
        </w:rPr>
        <w:t>в</w:t>
      </w:r>
      <w:r w:rsidRPr="008742E9">
        <w:rPr>
          <w:sz w:val="22"/>
          <w:szCs w:val="22"/>
        </w:rPr>
        <w:t>на 34,0 кг. В возрасте 2 мес этот показатель изменился в пользу ж</w:t>
      </w:r>
      <w:r w:rsidRPr="008742E9">
        <w:rPr>
          <w:sz w:val="22"/>
          <w:szCs w:val="22"/>
        </w:rPr>
        <w:t>и</w:t>
      </w:r>
      <w:r w:rsidRPr="008742E9">
        <w:rPr>
          <w:sz w:val="22"/>
          <w:szCs w:val="22"/>
        </w:rPr>
        <w:t>вотных контрольной группы. Телята, выращенные в домиках, имели среднюю живую массу 83,16±0,51 кг, что на 3,92 кг выше, чем в опытной  (разница недостоверна). Среднесуточный прирост в пе</w:t>
      </w:r>
      <w:r w:rsidRPr="008742E9">
        <w:rPr>
          <w:sz w:val="22"/>
          <w:szCs w:val="22"/>
        </w:rPr>
        <w:t>р</w:t>
      </w:r>
      <w:r w:rsidRPr="008742E9">
        <w:rPr>
          <w:sz w:val="22"/>
          <w:szCs w:val="22"/>
        </w:rPr>
        <w:t>вой группе составил 819 г, во второй – 754 г, с разностью 65 г.</w:t>
      </w:r>
    </w:p>
    <w:p w:rsidR="008742E9" w:rsidRPr="008742E9" w:rsidRDefault="008742E9" w:rsidP="00E1437B">
      <w:pPr>
        <w:ind w:firstLine="426"/>
        <w:jc w:val="both"/>
        <w:rPr>
          <w:sz w:val="22"/>
          <w:szCs w:val="22"/>
        </w:rPr>
      </w:pPr>
      <w:r w:rsidRPr="008742E9">
        <w:rPr>
          <w:sz w:val="22"/>
          <w:szCs w:val="22"/>
        </w:rPr>
        <w:t>На различие по живой массе телят, вероятнее всего, повлияли факторы внешней среды. При определении параметров микрокл</w:t>
      </w:r>
      <w:r w:rsidRPr="008742E9">
        <w:rPr>
          <w:sz w:val="22"/>
          <w:szCs w:val="22"/>
        </w:rPr>
        <w:t>и</w:t>
      </w:r>
      <w:r w:rsidRPr="008742E9">
        <w:rPr>
          <w:sz w:val="22"/>
          <w:szCs w:val="22"/>
        </w:rPr>
        <w:t>мата показатель температуры воздуха в октябре составил: в дом</w:t>
      </w:r>
      <w:r w:rsidRPr="008742E9">
        <w:rPr>
          <w:sz w:val="22"/>
          <w:szCs w:val="22"/>
        </w:rPr>
        <w:t>и</w:t>
      </w:r>
      <w:r w:rsidRPr="008742E9">
        <w:rPr>
          <w:sz w:val="22"/>
          <w:szCs w:val="22"/>
        </w:rPr>
        <w:t>ках – 17,0</w:t>
      </w:r>
      <w:r w:rsidRPr="008742E9">
        <w:rPr>
          <w:sz w:val="22"/>
          <w:szCs w:val="22"/>
          <w:vertAlign w:val="superscript"/>
        </w:rPr>
        <w:t>о</w:t>
      </w:r>
      <w:r w:rsidRPr="008742E9">
        <w:rPr>
          <w:sz w:val="22"/>
          <w:szCs w:val="22"/>
        </w:rPr>
        <w:t>С, в кольцах – 15</w:t>
      </w:r>
      <w:r w:rsidRPr="008742E9">
        <w:rPr>
          <w:sz w:val="22"/>
          <w:szCs w:val="22"/>
          <w:vertAlign w:val="superscript"/>
        </w:rPr>
        <w:t>о</w:t>
      </w:r>
      <w:r w:rsidRPr="008742E9">
        <w:rPr>
          <w:sz w:val="22"/>
          <w:szCs w:val="22"/>
        </w:rPr>
        <w:t xml:space="preserve">С; относительная влажность воздуха внутри домиков оказалась 96 %, что на 3% больше, чем в кольцах, </w:t>
      </w:r>
      <w:r w:rsidRPr="008742E9">
        <w:rPr>
          <w:sz w:val="22"/>
          <w:szCs w:val="22"/>
        </w:rPr>
        <w:lastRenderedPageBreak/>
        <w:t>так как кольца находились на проветриваемой поверхности, что о</w:t>
      </w:r>
      <w:r w:rsidRPr="008742E9">
        <w:rPr>
          <w:sz w:val="22"/>
          <w:szCs w:val="22"/>
        </w:rPr>
        <w:t>т</w:t>
      </w:r>
      <w:r w:rsidRPr="008742E9">
        <w:rPr>
          <w:sz w:val="22"/>
          <w:szCs w:val="22"/>
        </w:rPr>
        <w:t>разилось на скорости движения воздуха. В домиках этот показатель составил 0,4 м/с, в кольцах – 0,12 м/с.</w:t>
      </w:r>
    </w:p>
    <w:p w:rsidR="008742E9" w:rsidRPr="008742E9" w:rsidRDefault="008742E9" w:rsidP="00E1437B">
      <w:pPr>
        <w:ind w:firstLine="426"/>
        <w:jc w:val="both"/>
        <w:rPr>
          <w:sz w:val="22"/>
          <w:szCs w:val="22"/>
        </w:rPr>
      </w:pPr>
      <w:r w:rsidRPr="008742E9">
        <w:rPr>
          <w:sz w:val="22"/>
          <w:szCs w:val="22"/>
        </w:rPr>
        <w:t>Таким образом, колебания температуры воздуха, относител</w:t>
      </w:r>
      <w:r w:rsidRPr="008742E9">
        <w:rPr>
          <w:sz w:val="22"/>
          <w:szCs w:val="22"/>
        </w:rPr>
        <w:t>ь</w:t>
      </w:r>
      <w:r w:rsidRPr="008742E9">
        <w:rPr>
          <w:sz w:val="22"/>
          <w:szCs w:val="22"/>
        </w:rPr>
        <w:t>ной влажности, скорости движения воздуха в окружающей среде повлияли на продуктивные качества молодняка голштинской пор</w:t>
      </w:r>
      <w:r w:rsidRPr="008742E9">
        <w:rPr>
          <w:sz w:val="22"/>
          <w:szCs w:val="22"/>
        </w:rPr>
        <w:t>о</w:t>
      </w:r>
      <w:r w:rsidRPr="008742E9">
        <w:rPr>
          <w:sz w:val="22"/>
          <w:szCs w:val="22"/>
        </w:rPr>
        <w:t xml:space="preserve">ды, выращиваемых разными способами содержания.  </w:t>
      </w:r>
    </w:p>
    <w:p w:rsidR="00E1437B" w:rsidRDefault="00E1437B" w:rsidP="00E1437B">
      <w:pPr>
        <w:ind w:firstLine="426"/>
        <w:jc w:val="center"/>
        <w:rPr>
          <w:sz w:val="22"/>
          <w:szCs w:val="22"/>
        </w:rPr>
      </w:pPr>
    </w:p>
    <w:p w:rsidR="008742E9" w:rsidRPr="008742E9" w:rsidRDefault="008742E9" w:rsidP="00E1437B">
      <w:pPr>
        <w:ind w:firstLine="426"/>
        <w:jc w:val="center"/>
        <w:rPr>
          <w:sz w:val="22"/>
          <w:szCs w:val="22"/>
        </w:rPr>
      </w:pPr>
      <w:r w:rsidRPr="008742E9">
        <w:rPr>
          <w:sz w:val="22"/>
          <w:szCs w:val="22"/>
        </w:rPr>
        <w:t>Список литературы</w:t>
      </w:r>
    </w:p>
    <w:p w:rsidR="008742E9" w:rsidRPr="008742E9" w:rsidRDefault="008742E9" w:rsidP="00E1437B">
      <w:pPr>
        <w:ind w:firstLine="426"/>
        <w:contextualSpacing/>
        <w:jc w:val="both"/>
        <w:rPr>
          <w:rFonts w:eastAsia="Calibri"/>
          <w:sz w:val="22"/>
          <w:szCs w:val="22"/>
          <w:lang w:eastAsia="en-US"/>
        </w:rPr>
      </w:pPr>
      <w:r w:rsidRPr="008742E9">
        <w:rPr>
          <w:rFonts w:eastAsia="Calibri"/>
          <w:sz w:val="22"/>
          <w:szCs w:val="22"/>
          <w:lang w:eastAsia="en-US"/>
        </w:rPr>
        <w:t>1. Содержание и  кормление телят: учебное пособие / О. Н. Еременко. – Краснодар: КубГАУ, 2012. – 96с.</w:t>
      </w:r>
    </w:p>
    <w:p w:rsidR="008742E9" w:rsidRPr="008742E9" w:rsidRDefault="008742E9" w:rsidP="00E1437B">
      <w:pPr>
        <w:ind w:firstLine="426"/>
        <w:contextualSpacing/>
        <w:jc w:val="both"/>
        <w:rPr>
          <w:rFonts w:eastAsia="Calibri"/>
          <w:sz w:val="22"/>
          <w:szCs w:val="22"/>
          <w:lang w:eastAsia="en-US"/>
        </w:rPr>
      </w:pPr>
      <w:r w:rsidRPr="008742E9">
        <w:rPr>
          <w:rFonts w:eastAsia="Calibri"/>
          <w:sz w:val="22"/>
          <w:szCs w:val="22"/>
          <w:lang w:eastAsia="en-US"/>
        </w:rPr>
        <w:t>2. Поведение и продуктивность телят-молочников при соде</w:t>
      </w:r>
      <w:r w:rsidRPr="008742E9">
        <w:rPr>
          <w:rFonts w:eastAsia="Calibri"/>
          <w:sz w:val="22"/>
          <w:szCs w:val="22"/>
          <w:lang w:eastAsia="en-US"/>
        </w:rPr>
        <w:t>р</w:t>
      </w:r>
      <w:r w:rsidRPr="008742E9">
        <w:rPr>
          <w:rFonts w:eastAsia="Calibri"/>
          <w:sz w:val="22"/>
          <w:szCs w:val="22"/>
          <w:lang w:eastAsia="en-US"/>
        </w:rPr>
        <w:t>жании в домиках / В.И. Комлацкий, У.А.Т. Аль Азаави, Т.А. П</w:t>
      </w:r>
      <w:r w:rsidRPr="008742E9">
        <w:rPr>
          <w:rFonts w:eastAsia="Calibri"/>
          <w:sz w:val="22"/>
          <w:szCs w:val="22"/>
          <w:lang w:eastAsia="en-US"/>
        </w:rPr>
        <w:t>о</w:t>
      </w:r>
      <w:r w:rsidRPr="008742E9">
        <w:rPr>
          <w:rFonts w:eastAsia="Calibri"/>
          <w:sz w:val="22"/>
          <w:szCs w:val="22"/>
          <w:lang w:eastAsia="en-US"/>
        </w:rPr>
        <w:t>дойницына // Известия сельскохозяйственной науки Тавриды. – 2017. - №10 (173). – С. 84-90.</w:t>
      </w:r>
    </w:p>
    <w:p w:rsidR="008742E9" w:rsidRPr="008742E9" w:rsidRDefault="008742E9" w:rsidP="00E1437B">
      <w:pPr>
        <w:ind w:firstLine="426"/>
        <w:contextualSpacing/>
        <w:jc w:val="both"/>
        <w:rPr>
          <w:rFonts w:eastAsia="Calibri"/>
          <w:sz w:val="22"/>
          <w:szCs w:val="22"/>
          <w:lang w:eastAsia="en-US"/>
        </w:rPr>
      </w:pPr>
      <w:r w:rsidRPr="008742E9">
        <w:rPr>
          <w:rFonts w:eastAsia="Calibri"/>
          <w:sz w:val="22"/>
          <w:szCs w:val="22"/>
          <w:lang w:eastAsia="en-US"/>
        </w:rPr>
        <w:t>3. Телята – новые способы содержания и кормления: моногр</w:t>
      </w:r>
      <w:r w:rsidRPr="008742E9">
        <w:rPr>
          <w:rFonts w:eastAsia="Calibri"/>
          <w:sz w:val="22"/>
          <w:szCs w:val="22"/>
          <w:lang w:eastAsia="en-US"/>
        </w:rPr>
        <w:t>а</w:t>
      </w:r>
      <w:r w:rsidRPr="008742E9">
        <w:rPr>
          <w:rFonts w:eastAsia="Calibri"/>
          <w:sz w:val="22"/>
          <w:szCs w:val="22"/>
          <w:lang w:eastAsia="en-US"/>
        </w:rPr>
        <w:t>фия / О. Н. Еременко. – Краснодар: КубГАУ, 2012. – 104с.</w:t>
      </w:r>
    </w:p>
    <w:p w:rsidR="008742E9" w:rsidRDefault="008742E9" w:rsidP="008742E9">
      <w:pPr>
        <w:rPr>
          <w:sz w:val="22"/>
          <w:szCs w:val="22"/>
        </w:rPr>
      </w:pPr>
    </w:p>
    <w:p w:rsidR="00E1437B" w:rsidRDefault="00E1437B" w:rsidP="008742E9">
      <w:pPr>
        <w:rPr>
          <w:sz w:val="22"/>
          <w:szCs w:val="22"/>
        </w:rPr>
      </w:pPr>
    </w:p>
    <w:p w:rsidR="00E1437B" w:rsidRPr="008742E9" w:rsidRDefault="00E1437B" w:rsidP="008742E9">
      <w:pPr>
        <w:rPr>
          <w:sz w:val="22"/>
          <w:szCs w:val="22"/>
        </w:rPr>
      </w:pPr>
    </w:p>
    <w:p w:rsidR="008742E9" w:rsidRPr="00E1437B" w:rsidRDefault="008742E9" w:rsidP="008742E9">
      <w:pPr>
        <w:rPr>
          <w:sz w:val="22"/>
          <w:szCs w:val="22"/>
        </w:rPr>
      </w:pPr>
      <w:r w:rsidRPr="00E1437B">
        <w:rPr>
          <w:sz w:val="22"/>
          <w:szCs w:val="22"/>
        </w:rPr>
        <w:t>УДК 636.2.034.082.2 (470.620)</w:t>
      </w:r>
    </w:p>
    <w:p w:rsidR="008742E9" w:rsidRPr="008742E9" w:rsidRDefault="008742E9" w:rsidP="008742E9">
      <w:pPr>
        <w:rPr>
          <w:b/>
          <w:sz w:val="24"/>
          <w:szCs w:val="24"/>
        </w:rPr>
      </w:pPr>
    </w:p>
    <w:p w:rsidR="008742E9" w:rsidRPr="00B56259" w:rsidRDefault="008742E9" w:rsidP="00E1437B">
      <w:pPr>
        <w:jc w:val="center"/>
        <w:rPr>
          <w:b/>
          <w:sz w:val="24"/>
          <w:szCs w:val="24"/>
        </w:rPr>
      </w:pPr>
      <w:r w:rsidRPr="00B56259">
        <w:rPr>
          <w:b/>
          <w:sz w:val="24"/>
          <w:szCs w:val="24"/>
        </w:rPr>
        <w:t xml:space="preserve">Молочная продуктивность коров-дочерей различных </w:t>
      </w:r>
      <w:r w:rsidR="00E1437B" w:rsidRPr="00B56259">
        <w:rPr>
          <w:b/>
          <w:sz w:val="24"/>
          <w:szCs w:val="24"/>
        </w:rPr>
        <w:br/>
      </w:r>
      <w:r w:rsidRPr="00B56259">
        <w:rPr>
          <w:b/>
          <w:sz w:val="24"/>
          <w:szCs w:val="24"/>
        </w:rPr>
        <w:t xml:space="preserve">быков в учхозе «Краснодарское» </w:t>
      </w:r>
    </w:p>
    <w:p w:rsidR="008742E9" w:rsidRPr="00B56259" w:rsidRDefault="008742E9" w:rsidP="00E1437B">
      <w:pPr>
        <w:jc w:val="center"/>
        <w:rPr>
          <w:b/>
          <w:sz w:val="24"/>
          <w:szCs w:val="24"/>
          <w:lang w:val="en-US"/>
        </w:rPr>
      </w:pPr>
      <w:r w:rsidRPr="00B56259">
        <w:rPr>
          <w:b/>
          <w:sz w:val="24"/>
          <w:szCs w:val="24"/>
          <w:lang w:val="en-US"/>
        </w:rPr>
        <w:t xml:space="preserve">Milk productivity of cows-daughters of various bulls in the </w:t>
      </w:r>
      <w:r w:rsidR="00E1437B" w:rsidRPr="00B56259">
        <w:rPr>
          <w:b/>
          <w:sz w:val="24"/>
          <w:szCs w:val="24"/>
          <w:lang w:val="en-US"/>
        </w:rPr>
        <w:br/>
      </w:r>
      <w:r w:rsidRPr="00B56259">
        <w:rPr>
          <w:b/>
          <w:sz w:val="24"/>
          <w:szCs w:val="24"/>
          <w:lang w:val="en-US"/>
        </w:rPr>
        <w:t>educational farm "Krasnodar"</w:t>
      </w:r>
    </w:p>
    <w:p w:rsidR="00E1437B" w:rsidRPr="00024398" w:rsidRDefault="00E1437B" w:rsidP="00E1437B">
      <w:pPr>
        <w:jc w:val="center"/>
        <w:rPr>
          <w:b/>
          <w:sz w:val="22"/>
          <w:szCs w:val="22"/>
          <w:lang w:val="en-US"/>
        </w:rPr>
      </w:pPr>
    </w:p>
    <w:p w:rsidR="008742E9" w:rsidRPr="00E1437B" w:rsidRDefault="008742E9" w:rsidP="00E1437B">
      <w:pPr>
        <w:jc w:val="right"/>
        <w:rPr>
          <w:sz w:val="22"/>
          <w:szCs w:val="22"/>
        </w:rPr>
      </w:pPr>
      <w:r w:rsidRPr="00E1437B">
        <w:rPr>
          <w:sz w:val="22"/>
          <w:szCs w:val="22"/>
        </w:rPr>
        <w:t>Вартанян Д.</w:t>
      </w:r>
      <w:r w:rsidR="00E1437B" w:rsidRPr="00E1437B">
        <w:rPr>
          <w:sz w:val="22"/>
          <w:szCs w:val="22"/>
        </w:rPr>
        <w:t xml:space="preserve"> </w:t>
      </w:r>
      <w:r w:rsidRPr="00E1437B">
        <w:rPr>
          <w:sz w:val="22"/>
          <w:szCs w:val="22"/>
        </w:rPr>
        <w:t>С.</w:t>
      </w:r>
      <w:r w:rsidR="00E1437B">
        <w:rPr>
          <w:sz w:val="22"/>
          <w:szCs w:val="22"/>
        </w:rPr>
        <w:t>,</w:t>
      </w:r>
    </w:p>
    <w:p w:rsidR="008742E9" w:rsidRPr="00E1437B" w:rsidRDefault="00E1437B" w:rsidP="00E1437B">
      <w:pPr>
        <w:jc w:val="right"/>
        <w:rPr>
          <w:sz w:val="22"/>
          <w:szCs w:val="22"/>
        </w:rPr>
      </w:pPr>
      <w:r>
        <w:rPr>
          <w:rFonts w:eastAsia="Calibri"/>
          <w:sz w:val="22"/>
          <w:szCs w:val="22"/>
        </w:rPr>
        <w:t>магистрант 2-</w:t>
      </w:r>
      <w:r w:rsidR="008742E9" w:rsidRPr="00E1437B">
        <w:rPr>
          <w:rFonts w:eastAsia="Calibri"/>
          <w:sz w:val="22"/>
          <w:szCs w:val="22"/>
        </w:rPr>
        <w:t>го курса зоотехнического факультета</w:t>
      </w:r>
    </w:p>
    <w:p w:rsidR="008742E9" w:rsidRPr="00E1437B" w:rsidRDefault="008742E9" w:rsidP="00E1437B">
      <w:pPr>
        <w:jc w:val="right"/>
        <w:rPr>
          <w:sz w:val="22"/>
          <w:szCs w:val="22"/>
        </w:rPr>
      </w:pPr>
      <w:r w:rsidRPr="00E1437B">
        <w:rPr>
          <w:sz w:val="22"/>
          <w:szCs w:val="22"/>
        </w:rPr>
        <w:t>Попова Ю.</w:t>
      </w:r>
      <w:r w:rsidR="00E1437B">
        <w:rPr>
          <w:sz w:val="22"/>
          <w:szCs w:val="22"/>
        </w:rPr>
        <w:t xml:space="preserve"> </w:t>
      </w:r>
      <w:r w:rsidRPr="00E1437B">
        <w:rPr>
          <w:sz w:val="22"/>
          <w:szCs w:val="22"/>
        </w:rPr>
        <w:t>Д</w:t>
      </w:r>
      <w:r w:rsidR="00E1437B">
        <w:rPr>
          <w:sz w:val="22"/>
          <w:szCs w:val="22"/>
        </w:rPr>
        <w:t>.,</w:t>
      </w:r>
    </w:p>
    <w:p w:rsidR="008742E9" w:rsidRPr="00E1437B" w:rsidRDefault="008742E9" w:rsidP="00E1437B">
      <w:pPr>
        <w:jc w:val="right"/>
        <w:rPr>
          <w:sz w:val="22"/>
          <w:szCs w:val="22"/>
        </w:rPr>
      </w:pPr>
      <w:r w:rsidRPr="00E1437B">
        <w:rPr>
          <w:sz w:val="22"/>
          <w:szCs w:val="22"/>
        </w:rPr>
        <w:t>Куликова Н.</w:t>
      </w:r>
      <w:r w:rsidR="00E1437B">
        <w:rPr>
          <w:sz w:val="22"/>
          <w:szCs w:val="22"/>
        </w:rPr>
        <w:t xml:space="preserve"> </w:t>
      </w:r>
      <w:r w:rsidRPr="00E1437B">
        <w:rPr>
          <w:sz w:val="22"/>
          <w:szCs w:val="22"/>
        </w:rPr>
        <w:t>И.</w:t>
      </w:r>
      <w:r w:rsidR="00E1437B">
        <w:rPr>
          <w:sz w:val="22"/>
          <w:szCs w:val="22"/>
        </w:rPr>
        <w:t>,</w:t>
      </w:r>
    </w:p>
    <w:p w:rsidR="008742E9" w:rsidRPr="00E1437B" w:rsidRDefault="008742E9" w:rsidP="00E1437B">
      <w:pPr>
        <w:jc w:val="right"/>
        <w:rPr>
          <w:sz w:val="22"/>
          <w:szCs w:val="22"/>
        </w:rPr>
      </w:pPr>
      <w:r w:rsidRPr="00E1437B">
        <w:rPr>
          <w:sz w:val="22"/>
          <w:szCs w:val="22"/>
        </w:rPr>
        <w:t>профессор кафедры частной зоотехнии и свиноводства,</w:t>
      </w:r>
    </w:p>
    <w:p w:rsidR="008742E9" w:rsidRPr="00E1437B" w:rsidRDefault="008742E9" w:rsidP="00E1437B">
      <w:pPr>
        <w:jc w:val="right"/>
        <w:rPr>
          <w:sz w:val="22"/>
          <w:szCs w:val="22"/>
        </w:rPr>
      </w:pPr>
      <w:r w:rsidRPr="00E1437B">
        <w:rPr>
          <w:sz w:val="22"/>
          <w:szCs w:val="22"/>
        </w:rPr>
        <w:t>Куб</w:t>
      </w:r>
      <w:r w:rsidR="00E1437B">
        <w:rPr>
          <w:sz w:val="22"/>
          <w:szCs w:val="22"/>
        </w:rPr>
        <w:t>анский государственный аграрный</w:t>
      </w:r>
    </w:p>
    <w:p w:rsidR="008742E9" w:rsidRDefault="008742E9" w:rsidP="00E1437B">
      <w:pPr>
        <w:jc w:val="right"/>
        <w:rPr>
          <w:sz w:val="22"/>
          <w:szCs w:val="22"/>
        </w:rPr>
      </w:pPr>
      <w:r w:rsidRPr="00E1437B">
        <w:rPr>
          <w:sz w:val="22"/>
          <w:szCs w:val="22"/>
        </w:rPr>
        <w:t>университет имени И.</w:t>
      </w:r>
      <w:r w:rsidR="00E1437B">
        <w:rPr>
          <w:sz w:val="22"/>
          <w:szCs w:val="22"/>
        </w:rPr>
        <w:t xml:space="preserve"> </w:t>
      </w:r>
      <w:r w:rsidRPr="00E1437B">
        <w:rPr>
          <w:sz w:val="22"/>
          <w:szCs w:val="22"/>
        </w:rPr>
        <w:t>Т. Трубилина</w:t>
      </w:r>
    </w:p>
    <w:p w:rsidR="00E1437B" w:rsidRPr="00E1437B" w:rsidRDefault="00E1437B" w:rsidP="00E1437B">
      <w:pPr>
        <w:jc w:val="right"/>
        <w:rPr>
          <w:rFonts w:eastAsia="Calibri"/>
          <w:sz w:val="22"/>
          <w:szCs w:val="22"/>
        </w:rPr>
      </w:pPr>
    </w:p>
    <w:p w:rsidR="008742E9" w:rsidRPr="008742E9" w:rsidRDefault="00E1437B" w:rsidP="00E1437B">
      <w:pPr>
        <w:ind w:firstLine="426"/>
        <w:jc w:val="both"/>
        <w:rPr>
          <w:sz w:val="22"/>
          <w:szCs w:val="22"/>
        </w:rPr>
      </w:pPr>
      <w:r>
        <w:rPr>
          <w:sz w:val="22"/>
          <w:szCs w:val="22"/>
        </w:rPr>
        <w:t>АННОТАЦИЯ:</w:t>
      </w:r>
      <w:r w:rsidR="008742E9" w:rsidRPr="008742E9">
        <w:rPr>
          <w:sz w:val="22"/>
          <w:szCs w:val="22"/>
        </w:rPr>
        <w:t xml:space="preserve"> Развитие отрасли молочного скотоводства з</w:t>
      </w:r>
      <w:r w:rsidR="008742E9" w:rsidRPr="008742E9">
        <w:rPr>
          <w:sz w:val="22"/>
          <w:szCs w:val="22"/>
        </w:rPr>
        <w:t>а</w:t>
      </w:r>
      <w:r w:rsidR="008742E9" w:rsidRPr="008742E9">
        <w:rPr>
          <w:sz w:val="22"/>
          <w:szCs w:val="22"/>
        </w:rPr>
        <w:t xml:space="preserve">висит от формирования высокой генетики у отцов и матерей коров, </w:t>
      </w:r>
      <w:r w:rsidR="008742E9" w:rsidRPr="008742E9">
        <w:rPr>
          <w:sz w:val="22"/>
          <w:szCs w:val="22"/>
        </w:rPr>
        <w:lastRenderedPageBreak/>
        <w:t>а также от технологических возможностей в хозяйствах. В учхозе «Краснодарское» достигнуты высокие надои от коров за счет и</w:t>
      </w:r>
      <w:r w:rsidR="008742E9" w:rsidRPr="008742E9">
        <w:rPr>
          <w:sz w:val="22"/>
          <w:szCs w:val="22"/>
        </w:rPr>
        <w:t>с</w:t>
      </w:r>
      <w:r w:rsidR="008742E9" w:rsidRPr="008742E9">
        <w:rPr>
          <w:sz w:val="22"/>
          <w:szCs w:val="22"/>
        </w:rPr>
        <w:t>пользования быков – мировых лидеров и внедрения новейших д</w:t>
      </w:r>
      <w:r w:rsidR="008742E9" w:rsidRPr="008742E9">
        <w:rPr>
          <w:sz w:val="22"/>
          <w:szCs w:val="22"/>
        </w:rPr>
        <w:t>о</w:t>
      </w:r>
      <w:r w:rsidR="008742E9" w:rsidRPr="008742E9">
        <w:rPr>
          <w:sz w:val="22"/>
          <w:szCs w:val="22"/>
        </w:rPr>
        <w:t xml:space="preserve">стижений в технологии. </w:t>
      </w:r>
    </w:p>
    <w:p w:rsidR="008742E9" w:rsidRPr="008742E9" w:rsidRDefault="008742E9" w:rsidP="00E1437B">
      <w:pPr>
        <w:ind w:firstLine="426"/>
        <w:jc w:val="both"/>
        <w:rPr>
          <w:sz w:val="22"/>
          <w:szCs w:val="22"/>
          <w:lang w:val="en-US"/>
        </w:rPr>
      </w:pPr>
      <w:r w:rsidRPr="008742E9">
        <w:rPr>
          <w:sz w:val="22"/>
          <w:szCs w:val="22"/>
          <w:lang w:val="en-GB"/>
        </w:rPr>
        <w:t>ABSTRACT: The development of the dairy cattle breeding industry depends on the formation of high genetics in the fathers and mothers of cows, as well as on technological opportunities in the farms. In the trai</w:t>
      </w:r>
      <w:r w:rsidRPr="008742E9">
        <w:rPr>
          <w:sz w:val="22"/>
          <w:szCs w:val="22"/>
          <w:lang w:val="en-GB"/>
        </w:rPr>
        <w:t>n</w:t>
      </w:r>
      <w:r w:rsidRPr="008742E9">
        <w:rPr>
          <w:sz w:val="22"/>
          <w:szCs w:val="22"/>
          <w:lang w:val="en-GB"/>
        </w:rPr>
        <w:t>ing farm "Krasnodar" achieved high milk yields from cows due to the use of bulls - world leaders and the introduction of the latest advances in technology.</w:t>
      </w:r>
    </w:p>
    <w:p w:rsidR="008742E9" w:rsidRPr="008742E9" w:rsidRDefault="008742E9" w:rsidP="00E1437B">
      <w:pPr>
        <w:ind w:firstLine="426"/>
        <w:jc w:val="both"/>
        <w:rPr>
          <w:sz w:val="22"/>
          <w:szCs w:val="22"/>
        </w:rPr>
      </w:pPr>
      <w:r w:rsidRPr="008742E9">
        <w:rPr>
          <w:sz w:val="22"/>
          <w:szCs w:val="22"/>
        </w:rPr>
        <w:t>КЛЮЧЕВЫЕ СЛОВА: быки, коровы, лидеры, генотип, скот</w:t>
      </w:r>
      <w:r w:rsidRPr="008742E9">
        <w:rPr>
          <w:sz w:val="22"/>
          <w:szCs w:val="22"/>
        </w:rPr>
        <w:t>о</w:t>
      </w:r>
      <w:r w:rsidRPr="008742E9">
        <w:rPr>
          <w:sz w:val="22"/>
          <w:szCs w:val="22"/>
        </w:rPr>
        <w:t xml:space="preserve">водство, надой, достижения, технологии. </w:t>
      </w:r>
    </w:p>
    <w:p w:rsidR="008742E9" w:rsidRPr="008742E9" w:rsidRDefault="008742E9" w:rsidP="00E1437B">
      <w:pPr>
        <w:ind w:firstLine="426"/>
        <w:rPr>
          <w:sz w:val="22"/>
          <w:szCs w:val="22"/>
          <w:lang w:val="en-US"/>
        </w:rPr>
      </w:pPr>
      <w:r w:rsidRPr="008742E9">
        <w:rPr>
          <w:sz w:val="22"/>
          <w:szCs w:val="22"/>
          <w:lang w:val="en-US"/>
        </w:rPr>
        <w:t>KEY WORDS: bulls, cows, leaders, genotype, cattle breeding, milking, achievements, technologies.</w:t>
      </w:r>
    </w:p>
    <w:p w:rsidR="008742E9" w:rsidRPr="008742E9" w:rsidRDefault="008742E9" w:rsidP="00E1437B">
      <w:pPr>
        <w:ind w:firstLine="426"/>
        <w:rPr>
          <w:sz w:val="22"/>
          <w:szCs w:val="22"/>
          <w:lang w:val="en-US"/>
        </w:rPr>
      </w:pPr>
    </w:p>
    <w:p w:rsidR="008742E9" w:rsidRPr="008742E9" w:rsidRDefault="008742E9" w:rsidP="00E1437B">
      <w:pPr>
        <w:ind w:firstLine="426"/>
        <w:jc w:val="both"/>
        <w:rPr>
          <w:sz w:val="22"/>
          <w:szCs w:val="22"/>
        </w:rPr>
      </w:pPr>
      <w:r w:rsidRPr="008742E9">
        <w:rPr>
          <w:sz w:val="22"/>
          <w:szCs w:val="22"/>
        </w:rPr>
        <w:t>Современное молочное скотоводство в России характеризуется достаточно высоким потенциалом продуктивности [2]. Хозяйства, в которых уделялось большое внимание формированию высокой продуктивности в наследственности маточного поголовья скота и совершенствованию технологических процессов, получают от к</w:t>
      </w:r>
      <w:r w:rsidRPr="008742E9">
        <w:rPr>
          <w:sz w:val="22"/>
          <w:szCs w:val="22"/>
        </w:rPr>
        <w:t>о</w:t>
      </w:r>
      <w:r w:rsidRPr="008742E9">
        <w:rPr>
          <w:sz w:val="22"/>
          <w:szCs w:val="22"/>
        </w:rPr>
        <w:t xml:space="preserve">ров высокие удои [1, 3]. </w:t>
      </w:r>
    </w:p>
    <w:p w:rsidR="008742E9" w:rsidRPr="008742E9" w:rsidRDefault="008742E9" w:rsidP="00E1437B">
      <w:pPr>
        <w:ind w:firstLine="426"/>
        <w:jc w:val="both"/>
        <w:rPr>
          <w:sz w:val="22"/>
          <w:szCs w:val="22"/>
        </w:rPr>
      </w:pPr>
      <w:r w:rsidRPr="008742E9">
        <w:rPr>
          <w:sz w:val="22"/>
          <w:szCs w:val="22"/>
        </w:rPr>
        <w:t>Учхоз «Краснодарское» КубГАУ в последние годы существе</w:t>
      </w:r>
      <w:r w:rsidRPr="008742E9">
        <w:rPr>
          <w:sz w:val="22"/>
          <w:szCs w:val="22"/>
        </w:rPr>
        <w:t>н</w:t>
      </w:r>
      <w:r w:rsidRPr="008742E9">
        <w:rPr>
          <w:sz w:val="22"/>
          <w:szCs w:val="22"/>
        </w:rPr>
        <w:t>но повышает  средние показатели надоев коров. В настоящее время достигли показателей более 11 тысяч кг молока от каждой коровы, что соответствует достижениям ведущих мировых лидеров по м</w:t>
      </w:r>
      <w:r w:rsidRPr="008742E9">
        <w:rPr>
          <w:sz w:val="22"/>
          <w:szCs w:val="22"/>
        </w:rPr>
        <w:t>о</w:t>
      </w:r>
      <w:r w:rsidRPr="008742E9">
        <w:rPr>
          <w:sz w:val="22"/>
          <w:szCs w:val="22"/>
        </w:rPr>
        <w:t xml:space="preserve">лочному скотоводству. </w:t>
      </w:r>
    </w:p>
    <w:p w:rsidR="008742E9" w:rsidRPr="008742E9" w:rsidRDefault="008742E9" w:rsidP="00E1437B">
      <w:pPr>
        <w:ind w:firstLine="426"/>
        <w:jc w:val="both"/>
        <w:rPr>
          <w:sz w:val="22"/>
          <w:szCs w:val="22"/>
        </w:rPr>
      </w:pPr>
      <w:r w:rsidRPr="008742E9">
        <w:rPr>
          <w:sz w:val="22"/>
          <w:szCs w:val="22"/>
        </w:rPr>
        <w:t>Целью наших исследований было изучить показатели проду</w:t>
      </w:r>
      <w:r w:rsidRPr="008742E9">
        <w:rPr>
          <w:sz w:val="22"/>
          <w:szCs w:val="22"/>
        </w:rPr>
        <w:t>к</w:t>
      </w:r>
      <w:r w:rsidRPr="008742E9">
        <w:rPr>
          <w:sz w:val="22"/>
          <w:szCs w:val="22"/>
        </w:rPr>
        <w:t>тивности используемых в стаде коров, женских предков быков-производителей, семенем которых осеменяли коров и телок, а также дочерей быков. Для достижения поставленной цели мы использов</w:t>
      </w:r>
      <w:r w:rsidRPr="008742E9">
        <w:rPr>
          <w:sz w:val="22"/>
          <w:szCs w:val="22"/>
        </w:rPr>
        <w:t>а</w:t>
      </w:r>
      <w:r w:rsidRPr="008742E9">
        <w:rPr>
          <w:sz w:val="22"/>
          <w:szCs w:val="22"/>
        </w:rPr>
        <w:t>ли данные автоматизированного учета, с помощью компьютерной программы «</w:t>
      </w:r>
      <w:r w:rsidRPr="008742E9">
        <w:rPr>
          <w:sz w:val="22"/>
          <w:szCs w:val="22"/>
          <w:lang w:val="en-US"/>
        </w:rPr>
        <w:t>AllPro</w:t>
      </w:r>
      <w:r w:rsidRPr="008742E9">
        <w:rPr>
          <w:sz w:val="22"/>
          <w:szCs w:val="22"/>
        </w:rPr>
        <w:t>», швецкой фирмы «</w:t>
      </w:r>
      <w:r w:rsidRPr="008742E9">
        <w:rPr>
          <w:sz w:val="22"/>
          <w:szCs w:val="22"/>
          <w:lang w:val="en-US"/>
        </w:rPr>
        <w:t>DeLaval</w:t>
      </w:r>
      <w:r w:rsidRPr="008742E9">
        <w:rPr>
          <w:sz w:val="22"/>
          <w:szCs w:val="22"/>
        </w:rPr>
        <w:t>». Из данных след</w:t>
      </w:r>
      <w:r w:rsidRPr="008742E9">
        <w:rPr>
          <w:sz w:val="22"/>
          <w:szCs w:val="22"/>
        </w:rPr>
        <w:t>у</w:t>
      </w:r>
      <w:r w:rsidRPr="008742E9">
        <w:rPr>
          <w:sz w:val="22"/>
          <w:szCs w:val="22"/>
        </w:rPr>
        <w:t>ет, что с 2015 по 2018 г в стаде используются дочери быков-производителей двух генеалогических линий Рефлекшн Соверинг 198998 и  Вис Бэк Айдиал 1013415, давно известных в мире по в</w:t>
      </w:r>
      <w:r w:rsidRPr="008742E9">
        <w:rPr>
          <w:sz w:val="22"/>
          <w:szCs w:val="22"/>
        </w:rPr>
        <w:t>ы</w:t>
      </w:r>
      <w:r w:rsidRPr="008742E9">
        <w:rPr>
          <w:sz w:val="22"/>
          <w:szCs w:val="22"/>
        </w:rPr>
        <w:t xml:space="preserve">сокой продуктивности потомства. </w:t>
      </w:r>
    </w:p>
    <w:p w:rsidR="008742E9" w:rsidRPr="008742E9" w:rsidRDefault="008742E9" w:rsidP="00E1437B">
      <w:pPr>
        <w:ind w:firstLine="426"/>
        <w:jc w:val="both"/>
        <w:rPr>
          <w:sz w:val="22"/>
          <w:szCs w:val="22"/>
        </w:rPr>
      </w:pPr>
      <w:r w:rsidRPr="008742E9">
        <w:rPr>
          <w:sz w:val="22"/>
          <w:szCs w:val="22"/>
        </w:rPr>
        <w:t>Данные учета показали, что для получения потомства в хозя</w:t>
      </w:r>
      <w:r w:rsidRPr="008742E9">
        <w:rPr>
          <w:sz w:val="22"/>
          <w:szCs w:val="22"/>
        </w:rPr>
        <w:t>й</w:t>
      </w:r>
      <w:r w:rsidRPr="008742E9">
        <w:rPr>
          <w:sz w:val="22"/>
          <w:szCs w:val="22"/>
        </w:rPr>
        <w:t xml:space="preserve">стве использовали наряду с традиционным замороженным семенем </w:t>
      </w:r>
      <w:r w:rsidRPr="008742E9">
        <w:rPr>
          <w:sz w:val="22"/>
          <w:szCs w:val="22"/>
        </w:rPr>
        <w:lastRenderedPageBreak/>
        <w:t>выдающихся быков-производителей, сексированное (разделенное по полу) семя, с целью увеличения поголовья телок. Хозяйство п</w:t>
      </w:r>
      <w:r w:rsidRPr="008742E9">
        <w:rPr>
          <w:sz w:val="22"/>
          <w:szCs w:val="22"/>
        </w:rPr>
        <w:t>о</w:t>
      </w:r>
      <w:r w:rsidRPr="008742E9">
        <w:rPr>
          <w:sz w:val="22"/>
          <w:szCs w:val="22"/>
        </w:rPr>
        <w:t>стоянно использует и внедряет новые интенсивные технологич</w:t>
      </w:r>
      <w:r w:rsidRPr="008742E9">
        <w:rPr>
          <w:sz w:val="22"/>
          <w:szCs w:val="22"/>
        </w:rPr>
        <w:t>е</w:t>
      </w:r>
      <w:r w:rsidRPr="008742E9">
        <w:rPr>
          <w:sz w:val="22"/>
          <w:szCs w:val="22"/>
        </w:rPr>
        <w:t>ские приемы и оборудование по контролю кормления и состояния здоровья, условий содержания и воспроизводительных функций коров и телок.</w:t>
      </w:r>
    </w:p>
    <w:p w:rsidR="008742E9" w:rsidRPr="008742E9" w:rsidRDefault="008742E9" w:rsidP="00E1437B">
      <w:pPr>
        <w:ind w:firstLine="426"/>
        <w:jc w:val="both"/>
        <w:rPr>
          <w:sz w:val="22"/>
          <w:szCs w:val="22"/>
        </w:rPr>
      </w:pPr>
      <w:r w:rsidRPr="008742E9">
        <w:rPr>
          <w:sz w:val="22"/>
          <w:szCs w:val="22"/>
        </w:rPr>
        <w:t>За последние три года в среднем от каждой из 561 первотелки, дочерей 15 быков-производителей, принадлежащих к линии Вис Бэк Айдиал, получено в среднем по 9377 кг молока, с содержанием 3,91 % жира и 3,33 % белка, количества молочного жира 366,6 кг и белка 312,3 кг. Средний удой 536 коров-первотелок, дочерей 13 б</w:t>
      </w:r>
      <w:r w:rsidRPr="008742E9">
        <w:rPr>
          <w:sz w:val="22"/>
          <w:szCs w:val="22"/>
        </w:rPr>
        <w:t>ы</w:t>
      </w:r>
      <w:r w:rsidRPr="008742E9">
        <w:rPr>
          <w:sz w:val="22"/>
          <w:szCs w:val="22"/>
        </w:rPr>
        <w:t xml:space="preserve">ков-производителей линии Рефлекшн Соверинг, имели удои 9543 кг, содержание жира 3,89 %, белка – 3,25 %, количество молочного жира и молочного белка соответственно 371,2  и 310,1 кг. </w:t>
      </w:r>
    </w:p>
    <w:p w:rsidR="008742E9" w:rsidRPr="008742E9" w:rsidRDefault="008742E9" w:rsidP="00E1437B">
      <w:pPr>
        <w:ind w:firstLine="426"/>
        <w:jc w:val="both"/>
        <w:rPr>
          <w:sz w:val="22"/>
          <w:szCs w:val="22"/>
        </w:rPr>
      </w:pPr>
      <w:r w:rsidRPr="008742E9">
        <w:rPr>
          <w:sz w:val="22"/>
          <w:szCs w:val="22"/>
        </w:rPr>
        <w:t>Высокие показатели количества молочного жира и молочного белка свидетельствуют о том, что у животных очень напряженная  физиологическая нагрузка в организме, требующая особых техн</w:t>
      </w:r>
      <w:r w:rsidRPr="008742E9">
        <w:rPr>
          <w:sz w:val="22"/>
          <w:szCs w:val="22"/>
        </w:rPr>
        <w:t>о</w:t>
      </w:r>
      <w:r w:rsidRPr="008742E9">
        <w:rPr>
          <w:sz w:val="22"/>
          <w:szCs w:val="22"/>
        </w:rPr>
        <w:t xml:space="preserve">логических условий. Расчеты показали, что женские потомки линии Рефлекшн Соверинг имели выше удой за первую лактацию на 166 кг (1,8 %), однако содержание жира и белка в их молоке меньше на 0,02 и 0,08 % в абсолютной величине. </w:t>
      </w:r>
    </w:p>
    <w:p w:rsidR="008742E9" w:rsidRPr="008742E9" w:rsidRDefault="008742E9" w:rsidP="00E1437B">
      <w:pPr>
        <w:ind w:firstLine="426"/>
        <w:jc w:val="both"/>
        <w:rPr>
          <w:sz w:val="22"/>
          <w:szCs w:val="22"/>
        </w:rPr>
      </w:pPr>
      <w:r w:rsidRPr="008742E9">
        <w:rPr>
          <w:sz w:val="22"/>
          <w:szCs w:val="22"/>
        </w:rPr>
        <w:t>Самыми высокопродуктивными были первотелки, представ</w:t>
      </w:r>
      <w:r w:rsidRPr="008742E9">
        <w:rPr>
          <w:sz w:val="22"/>
          <w:szCs w:val="22"/>
        </w:rPr>
        <w:t>и</w:t>
      </w:r>
      <w:r w:rsidRPr="008742E9">
        <w:rPr>
          <w:sz w:val="22"/>
          <w:szCs w:val="22"/>
        </w:rPr>
        <w:t xml:space="preserve">тельницы линии Вис Бэк Айдиала, дочери быка Карстэнс. Средний удой их составил 10895 кг, содержание жира в молоке – 3,77 %, белка – 3,3 %. </w:t>
      </w:r>
    </w:p>
    <w:p w:rsidR="008742E9" w:rsidRPr="008742E9" w:rsidRDefault="008742E9" w:rsidP="00E1437B">
      <w:pPr>
        <w:ind w:firstLine="426"/>
        <w:jc w:val="both"/>
        <w:rPr>
          <w:sz w:val="22"/>
          <w:szCs w:val="22"/>
        </w:rPr>
      </w:pPr>
      <w:r w:rsidRPr="008742E9">
        <w:rPr>
          <w:sz w:val="22"/>
          <w:szCs w:val="22"/>
        </w:rPr>
        <w:t>Среди женских потомков линии Рефлекшн Соверинг лучшие показатели были у дочерей быка Эрдмана – удой 10246 кг, соде</w:t>
      </w:r>
      <w:r w:rsidRPr="008742E9">
        <w:rPr>
          <w:sz w:val="22"/>
          <w:szCs w:val="22"/>
        </w:rPr>
        <w:t>р</w:t>
      </w:r>
      <w:r w:rsidRPr="008742E9">
        <w:rPr>
          <w:sz w:val="22"/>
          <w:szCs w:val="22"/>
        </w:rPr>
        <w:t xml:space="preserve">жание жира в молоке 3,71 %, белка – 3,36 %. Отмечена высокая скорость молокоотдачи у всех коров по первой лактации. </w:t>
      </w:r>
    </w:p>
    <w:p w:rsidR="008742E9" w:rsidRPr="008742E9" w:rsidRDefault="008742E9" w:rsidP="00E1437B">
      <w:pPr>
        <w:ind w:firstLine="426"/>
        <w:jc w:val="both"/>
        <w:rPr>
          <w:sz w:val="22"/>
          <w:szCs w:val="22"/>
        </w:rPr>
      </w:pPr>
      <w:r w:rsidRPr="008742E9">
        <w:rPr>
          <w:sz w:val="22"/>
          <w:szCs w:val="22"/>
        </w:rPr>
        <w:t>Средняя интенсивность молокоотдачи у дочерей быков линии Вис Бэк Айдиала составила 4,05 кг / мин., у их сверстниц линии Р</w:t>
      </w:r>
      <w:r w:rsidRPr="008742E9">
        <w:rPr>
          <w:sz w:val="22"/>
          <w:szCs w:val="22"/>
        </w:rPr>
        <w:t>е</w:t>
      </w:r>
      <w:r w:rsidRPr="008742E9">
        <w:rPr>
          <w:sz w:val="22"/>
          <w:szCs w:val="22"/>
        </w:rPr>
        <w:t xml:space="preserve">флекшн Соверинг – меньше на 0,02 кг / мин.  </w:t>
      </w:r>
    </w:p>
    <w:p w:rsidR="008742E9" w:rsidRPr="008742E9" w:rsidRDefault="008742E9" w:rsidP="00E1437B">
      <w:pPr>
        <w:ind w:firstLine="426"/>
        <w:jc w:val="both"/>
        <w:rPr>
          <w:sz w:val="22"/>
          <w:szCs w:val="22"/>
        </w:rPr>
      </w:pPr>
      <w:r w:rsidRPr="008742E9">
        <w:rPr>
          <w:sz w:val="22"/>
          <w:szCs w:val="22"/>
        </w:rPr>
        <w:t xml:space="preserve">Анализ показал, что потомки-дочери быков линии Вис Бэк Айдиал превзошли своих матерей по молочной продуктивности. Удой у них был выше на 2274 кг (32 %), содержание жира в молоке ниже на 0,05 %, белка больше – на 0,16 % в абсолютной величине. </w:t>
      </w:r>
    </w:p>
    <w:p w:rsidR="008742E9" w:rsidRPr="008742E9" w:rsidRDefault="008742E9" w:rsidP="00E1437B">
      <w:pPr>
        <w:ind w:firstLine="426"/>
        <w:jc w:val="both"/>
        <w:rPr>
          <w:sz w:val="22"/>
          <w:szCs w:val="22"/>
        </w:rPr>
      </w:pPr>
      <w:r w:rsidRPr="008742E9">
        <w:rPr>
          <w:sz w:val="22"/>
          <w:szCs w:val="22"/>
        </w:rPr>
        <w:t>Выше были показатели у потомков-дочерей быков линии Р</w:t>
      </w:r>
      <w:r w:rsidRPr="008742E9">
        <w:rPr>
          <w:sz w:val="22"/>
          <w:szCs w:val="22"/>
        </w:rPr>
        <w:t>е</w:t>
      </w:r>
      <w:r w:rsidRPr="008742E9">
        <w:rPr>
          <w:sz w:val="22"/>
          <w:szCs w:val="22"/>
        </w:rPr>
        <w:t xml:space="preserve">флекшн Соверинг по сравнению со своими матерями. Разница в </w:t>
      </w:r>
      <w:r w:rsidRPr="008742E9">
        <w:rPr>
          <w:sz w:val="22"/>
          <w:szCs w:val="22"/>
        </w:rPr>
        <w:lastRenderedPageBreak/>
        <w:t xml:space="preserve">удое за лактацию составила 2351 кг (32,7 %), по содержанию белка в молоке - на 0,17 % , но уступили матерям по содержанию жира в молоке на 0,11 % в абсолютной величине.  </w:t>
      </w:r>
    </w:p>
    <w:p w:rsidR="008742E9" w:rsidRPr="008742E9" w:rsidRDefault="008742E9" w:rsidP="00E1437B">
      <w:pPr>
        <w:ind w:firstLine="426"/>
        <w:jc w:val="both"/>
        <w:rPr>
          <w:sz w:val="22"/>
          <w:szCs w:val="22"/>
        </w:rPr>
      </w:pPr>
      <w:r w:rsidRPr="008742E9">
        <w:rPr>
          <w:sz w:val="22"/>
          <w:szCs w:val="22"/>
        </w:rPr>
        <w:t>На основании полученных данных можно заключить, что в</w:t>
      </w:r>
      <w:r w:rsidRPr="008742E9">
        <w:rPr>
          <w:sz w:val="22"/>
          <w:szCs w:val="22"/>
        </w:rPr>
        <w:t>ы</w:t>
      </w:r>
      <w:r w:rsidRPr="008742E9">
        <w:rPr>
          <w:sz w:val="22"/>
          <w:szCs w:val="22"/>
        </w:rPr>
        <w:t>сокая молочная продуктивность коров-первотелок в стаде учхоза «Краснодарское» обусловлена высокой генетикой быков-производителей и адекватными потребностям животных технолог</w:t>
      </w:r>
      <w:r w:rsidRPr="008742E9">
        <w:rPr>
          <w:sz w:val="22"/>
          <w:szCs w:val="22"/>
        </w:rPr>
        <w:t>и</w:t>
      </w:r>
      <w:r w:rsidRPr="008742E9">
        <w:rPr>
          <w:sz w:val="22"/>
          <w:szCs w:val="22"/>
        </w:rPr>
        <w:t>ями.</w:t>
      </w:r>
    </w:p>
    <w:p w:rsidR="00E1437B" w:rsidRDefault="00E1437B" w:rsidP="00E1437B">
      <w:pPr>
        <w:ind w:firstLine="426"/>
        <w:jc w:val="center"/>
        <w:rPr>
          <w:sz w:val="22"/>
          <w:szCs w:val="22"/>
        </w:rPr>
      </w:pPr>
    </w:p>
    <w:p w:rsidR="008742E9" w:rsidRPr="008742E9" w:rsidRDefault="008742E9" w:rsidP="00E1437B">
      <w:pPr>
        <w:ind w:firstLine="426"/>
        <w:jc w:val="center"/>
        <w:rPr>
          <w:sz w:val="22"/>
          <w:szCs w:val="22"/>
        </w:rPr>
      </w:pPr>
      <w:r w:rsidRPr="008742E9">
        <w:rPr>
          <w:sz w:val="22"/>
          <w:szCs w:val="22"/>
        </w:rPr>
        <w:t>Список литературы</w:t>
      </w:r>
    </w:p>
    <w:p w:rsidR="008742E9" w:rsidRPr="008742E9" w:rsidRDefault="008742E9" w:rsidP="00E1437B">
      <w:pPr>
        <w:ind w:firstLine="426"/>
        <w:jc w:val="both"/>
        <w:rPr>
          <w:sz w:val="22"/>
          <w:szCs w:val="22"/>
        </w:rPr>
      </w:pPr>
      <w:r w:rsidRPr="008742E9">
        <w:rPr>
          <w:sz w:val="22"/>
          <w:szCs w:val="22"/>
        </w:rPr>
        <w:t>1. Барабаш В.И., Козловская М.В. Отбор быков - улучшателей для стабилизации молочной продуктивности дочерей // Зоотехния. -  2002, № 10, - С. 2-5.</w:t>
      </w:r>
    </w:p>
    <w:p w:rsidR="008742E9" w:rsidRPr="008742E9" w:rsidRDefault="008742E9" w:rsidP="00E1437B">
      <w:pPr>
        <w:ind w:firstLine="426"/>
        <w:jc w:val="both"/>
        <w:rPr>
          <w:b/>
          <w:sz w:val="22"/>
          <w:szCs w:val="22"/>
        </w:rPr>
      </w:pPr>
      <w:r w:rsidRPr="008742E9">
        <w:rPr>
          <w:sz w:val="22"/>
          <w:szCs w:val="22"/>
        </w:rPr>
        <w:t>2. Еременко О.Н. Технологические способы повышения и ре</w:t>
      </w:r>
      <w:r w:rsidRPr="008742E9">
        <w:rPr>
          <w:sz w:val="22"/>
          <w:szCs w:val="22"/>
        </w:rPr>
        <w:t>а</w:t>
      </w:r>
      <w:r w:rsidRPr="008742E9">
        <w:rPr>
          <w:sz w:val="22"/>
          <w:szCs w:val="22"/>
        </w:rPr>
        <w:t>лизации генетического потенциала молочной продуктивности коров /О.Н. Еременко, Н.И. Куликова // Монография, - 2015. – 219 с</w:t>
      </w:r>
      <w:r w:rsidRPr="008742E9">
        <w:rPr>
          <w:b/>
          <w:sz w:val="22"/>
          <w:szCs w:val="22"/>
        </w:rPr>
        <w:t>.</w:t>
      </w:r>
    </w:p>
    <w:p w:rsidR="008742E9" w:rsidRPr="008742E9" w:rsidRDefault="008742E9" w:rsidP="00E1437B">
      <w:pPr>
        <w:spacing w:line="276" w:lineRule="auto"/>
        <w:ind w:firstLine="426"/>
        <w:jc w:val="both"/>
        <w:rPr>
          <w:sz w:val="22"/>
          <w:szCs w:val="22"/>
        </w:rPr>
      </w:pPr>
      <w:r w:rsidRPr="008742E9">
        <w:rPr>
          <w:sz w:val="22"/>
          <w:szCs w:val="22"/>
        </w:rPr>
        <w:t>3. Рядчиков В.Г. Основы</w:t>
      </w:r>
      <w:r w:rsidRPr="008742E9">
        <w:rPr>
          <w:b/>
          <w:sz w:val="22"/>
          <w:szCs w:val="22"/>
        </w:rPr>
        <w:t xml:space="preserve"> </w:t>
      </w:r>
      <w:r w:rsidRPr="008742E9">
        <w:rPr>
          <w:sz w:val="22"/>
          <w:szCs w:val="22"/>
        </w:rPr>
        <w:t>питания и кормления сельскохозя</w:t>
      </w:r>
      <w:r w:rsidRPr="008742E9">
        <w:rPr>
          <w:sz w:val="22"/>
          <w:szCs w:val="22"/>
        </w:rPr>
        <w:t>й</w:t>
      </w:r>
      <w:r w:rsidRPr="008742E9">
        <w:rPr>
          <w:sz w:val="22"/>
          <w:szCs w:val="22"/>
        </w:rPr>
        <w:t xml:space="preserve">ственных животных: учебное пособие. Краснодар: КГАУ, - 2013. – </w:t>
      </w:r>
      <w:r w:rsidRPr="008742E9">
        <w:rPr>
          <w:sz w:val="22"/>
          <w:szCs w:val="22"/>
          <w:lang w:val="en-US"/>
        </w:rPr>
        <w:t>C</w:t>
      </w:r>
      <w:r w:rsidRPr="008742E9">
        <w:rPr>
          <w:sz w:val="22"/>
          <w:szCs w:val="22"/>
        </w:rPr>
        <w:t>. 616.</w:t>
      </w:r>
    </w:p>
    <w:p w:rsidR="008742E9" w:rsidRDefault="008742E9" w:rsidP="008742E9">
      <w:pPr>
        <w:rPr>
          <w:sz w:val="22"/>
          <w:szCs w:val="22"/>
        </w:rPr>
      </w:pPr>
    </w:p>
    <w:p w:rsidR="00E1437B" w:rsidRDefault="00E1437B" w:rsidP="008742E9">
      <w:pPr>
        <w:rPr>
          <w:sz w:val="22"/>
          <w:szCs w:val="22"/>
        </w:rPr>
      </w:pPr>
    </w:p>
    <w:p w:rsidR="00E1437B" w:rsidRPr="008742E9" w:rsidRDefault="00E1437B" w:rsidP="008742E9">
      <w:pPr>
        <w:rPr>
          <w:sz w:val="22"/>
          <w:szCs w:val="22"/>
        </w:rPr>
      </w:pPr>
    </w:p>
    <w:p w:rsidR="008742E9" w:rsidRPr="00E1437B" w:rsidRDefault="008742E9" w:rsidP="008742E9">
      <w:pPr>
        <w:shd w:val="clear" w:color="auto" w:fill="FFFFFF"/>
        <w:rPr>
          <w:sz w:val="22"/>
          <w:szCs w:val="22"/>
        </w:rPr>
      </w:pPr>
      <w:r w:rsidRPr="00E1437B">
        <w:rPr>
          <w:sz w:val="22"/>
          <w:szCs w:val="22"/>
        </w:rPr>
        <w:t>УДК 636.52/.58.085.16</w:t>
      </w:r>
    </w:p>
    <w:p w:rsidR="008742E9" w:rsidRPr="008742E9" w:rsidRDefault="008742E9" w:rsidP="008742E9">
      <w:pPr>
        <w:shd w:val="clear" w:color="auto" w:fill="FFFFFF"/>
        <w:rPr>
          <w:sz w:val="24"/>
          <w:szCs w:val="24"/>
        </w:rPr>
      </w:pPr>
    </w:p>
    <w:p w:rsidR="008742E9" w:rsidRPr="00662BE8" w:rsidRDefault="008742E9" w:rsidP="008742E9">
      <w:pPr>
        <w:shd w:val="clear" w:color="auto" w:fill="FFFFFF"/>
        <w:jc w:val="center"/>
        <w:rPr>
          <w:b/>
          <w:sz w:val="24"/>
          <w:szCs w:val="24"/>
          <w:shd w:val="clear" w:color="auto" w:fill="FFFFFF"/>
        </w:rPr>
      </w:pPr>
      <w:r w:rsidRPr="008742E9">
        <w:rPr>
          <w:b/>
          <w:sz w:val="24"/>
          <w:szCs w:val="24"/>
          <w:shd w:val="clear" w:color="auto" w:fill="FFFFFF"/>
        </w:rPr>
        <w:t>Пробиотики</w:t>
      </w:r>
      <w:r w:rsidRPr="00662BE8">
        <w:rPr>
          <w:b/>
          <w:sz w:val="24"/>
          <w:szCs w:val="24"/>
          <w:shd w:val="clear" w:color="auto" w:fill="FFFFFF"/>
        </w:rPr>
        <w:t xml:space="preserve"> </w:t>
      </w:r>
      <w:r w:rsidRPr="008742E9">
        <w:rPr>
          <w:b/>
          <w:sz w:val="24"/>
          <w:szCs w:val="24"/>
          <w:shd w:val="clear" w:color="auto" w:fill="FFFFFF"/>
        </w:rPr>
        <w:t>в</w:t>
      </w:r>
      <w:r w:rsidRPr="00662BE8">
        <w:rPr>
          <w:b/>
          <w:sz w:val="24"/>
          <w:szCs w:val="24"/>
          <w:shd w:val="clear" w:color="auto" w:fill="FFFFFF"/>
        </w:rPr>
        <w:t xml:space="preserve"> </w:t>
      </w:r>
      <w:r w:rsidRPr="008742E9">
        <w:rPr>
          <w:b/>
          <w:sz w:val="24"/>
          <w:szCs w:val="24"/>
          <w:shd w:val="clear" w:color="auto" w:fill="FFFFFF"/>
        </w:rPr>
        <w:t>кормлении</w:t>
      </w:r>
      <w:r w:rsidRPr="00662BE8">
        <w:rPr>
          <w:b/>
          <w:sz w:val="24"/>
          <w:szCs w:val="24"/>
          <w:shd w:val="clear" w:color="auto" w:fill="FFFFFF"/>
        </w:rPr>
        <w:t xml:space="preserve"> </w:t>
      </w:r>
      <w:r w:rsidRPr="008742E9">
        <w:rPr>
          <w:b/>
          <w:sz w:val="24"/>
          <w:szCs w:val="24"/>
          <w:shd w:val="clear" w:color="auto" w:fill="FFFFFF"/>
        </w:rPr>
        <w:t>цыплят</w:t>
      </w:r>
      <w:r w:rsidRPr="00662BE8">
        <w:rPr>
          <w:b/>
          <w:sz w:val="24"/>
          <w:szCs w:val="24"/>
          <w:shd w:val="clear" w:color="auto" w:fill="FFFFFF"/>
        </w:rPr>
        <w:t xml:space="preserve"> </w:t>
      </w:r>
      <w:r w:rsidRPr="008742E9">
        <w:rPr>
          <w:b/>
          <w:sz w:val="24"/>
          <w:szCs w:val="24"/>
          <w:shd w:val="clear" w:color="auto" w:fill="FFFFFF"/>
        </w:rPr>
        <w:t>бройлеров</w:t>
      </w:r>
    </w:p>
    <w:p w:rsidR="008742E9" w:rsidRPr="00662BE8" w:rsidRDefault="008742E9" w:rsidP="008742E9">
      <w:pPr>
        <w:shd w:val="clear" w:color="auto" w:fill="FFFFFF"/>
        <w:jc w:val="center"/>
        <w:rPr>
          <w:b/>
          <w:sz w:val="24"/>
          <w:szCs w:val="24"/>
          <w:shd w:val="clear" w:color="auto" w:fill="FFFFFF"/>
        </w:rPr>
      </w:pPr>
      <w:r w:rsidRPr="008742E9">
        <w:rPr>
          <w:b/>
          <w:sz w:val="24"/>
          <w:szCs w:val="24"/>
          <w:shd w:val="clear" w:color="auto" w:fill="FFFFFF"/>
          <w:lang w:val="en-US"/>
        </w:rPr>
        <w:t>Probiotics</w:t>
      </w:r>
      <w:r w:rsidRPr="00662BE8">
        <w:rPr>
          <w:b/>
          <w:sz w:val="24"/>
          <w:szCs w:val="24"/>
          <w:shd w:val="clear" w:color="auto" w:fill="FFFFFF"/>
        </w:rPr>
        <w:t xml:space="preserve"> </w:t>
      </w:r>
      <w:r w:rsidRPr="008742E9">
        <w:rPr>
          <w:b/>
          <w:sz w:val="24"/>
          <w:szCs w:val="24"/>
          <w:shd w:val="clear" w:color="auto" w:fill="FFFFFF"/>
          <w:lang w:val="en-US"/>
        </w:rPr>
        <w:t>in</w:t>
      </w:r>
      <w:r w:rsidRPr="00662BE8">
        <w:rPr>
          <w:b/>
          <w:sz w:val="24"/>
          <w:szCs w:val="24"/>
          <w:shd w:val="clear" w:color="auto" w:fill="FFFFFF"/>
        </w:rPr>
        <w:t xml:space="preserve"> </w:t>
      </w:r>
      <w:r w:rsidRPr="008742E9">
        <w:rPr>
          <w:b/>
          <w:sz w:val="24"/>
          <w:szCs w:val="24"/>
          <w:shd w:val="clear" w:color="auto" w:fill="FFFFFF"/>
          <w:lang w:val="en-US"/>
        </w:rPr>
        <w:t>the</w:t>
      </w:r>
      <w:r w:rsidRPr="00662BE8">
        <w:rPr>
          <w:b/>
          <w:sz w:val="24"/>
          <w:szCs w:val="24"/>
          <w:shd w:val="clear" w:color="auto" w:fill="FFFFFF"/>
        </w:rPr>
        <w:t xml:space="preserve"> </w:t>
      </w:r>
      <w:r w:rsidRPr="008742E9">
        <w:rPr>
          <w:b/>
          <w:sz w:val="24"/>
          <w:szCs w:val="24"/>
          <w:shd w:val="clear" w:color="auto" w:fill="FFFFFF"/>
          <w:lang w:val="en-US"/>
        </w:rPr>
        <w:t>feeding</w:t>
      </w:r>
      <w:r w:rsidRPr="00662BE8">
        <w:rPr>
          <w:b/>
          <w:sz w:val="24"/>
          <w:szCs w:val="24"/>
          <w:shd w:val="clear" w:color="auto" w:fill="FFFFFF"/>
        </w:rPr>
        <w:t xml:space="preserve"> </w:t>
      </w:r>
      <w:r w:rsidRPr="008742E9">
        <w:rPr>
          <w:b/>
          <w:sz w:val="24"/>
          <w:szCs w:val="24"/>
          <w:shd w:val="clear" w:color="auto" w:fill="FFFFFF"/>
          <w:lang w:val="en-US"/>
        </w:rPr>
        <w:t>of</w:t>
      </w:r>
      <w:r w:rsidRPr="00662BE8">
        <w:rPr>
          <w:b/>
          <w:sz w:val="24"/>
          <w:szCs w:val="24"/>
          <w:shd w:val="clear" w:color="auto" w:fill="FFFFFF"/>
        </w:rPr>
        <w:t xml:space="preserve"> </w:t>
      </w:r>
      <w:r w:rsidRPr="008742E9">
        <w:rPr>
          <w:b/>
          <w:sz w:val="24"/>
          <w:szCs w:val="24"/>
          <w:shd w:val="clear" w:color="auto" w:fill="FFFFFF"/>
          <w:lang w:val="en-US"/>
        </w:rPr>
        <w:t>broiler</w:t>
      </w:r>
      <w:r w:rsidRPr="00662BE8">
        <w:rPr>
          <w:b/>
          <w:sz w:val="24"/>
          <w:szCs w:val="24"/>
          <w:shd w:val="clear" w:color="auto" w:fill="FFFFFF"/>
        </w:rPr>
        <w:t xml:space="preserve"> </w:t>
      </w:r>
      <w:r w:rsidRPr="008742E9">
        <w:rPr>
          <w:b/>
          <w:sz w:val="24"/>
          <w:szCs w:val="24"/>
          <w:shd w:val="clear" w:color="auto" w:fill="FFFFFF"/>
          <w:lang w:val="en-US"/>
        </w:rPr>
        <w:t>chickens</w:t>
      </w:r>
    </w:p>
    <w:p w:rsidR="008742E9" w:rsidRPr="00662BE8" w:rsidRDefault="008742E9" w:rsidP="008742E9">
      <w:pPr>
        <w:shd w:val="clear" w:color="auto" w:fill="FFFFFF"/>
        <w:jc w:val="right"/>
        <w:rPr>
          <w:b/>
          <w:sz w:val="24"/>
          <w:szCs w:val="24"/>
        </w:rPr>
      </w:pPr>
    </w:p>
    <w:p w:rsidR="008742E9" w:rsidRPr="00E1437B" w:rsidRDefault="008742E9" w:rsidP="008742E9">
      <w:pPr>
        <w:shd w:val="clear" w:color="auto" w:fill="FFFFFF"/>
        <w:jc w:val="right"/>
        <w:rPr>
          <w:sz w:val="22"/>
          <w:szCs w:val="22"/>
        </w:rPr>
      </w:pPr>
      <w:r w:rsidRPr="00E1437B">
        <w:rPr>
          <w:sz w:val="22"/>
          <w:szCs w:val="22"/>
        </w:rPr>
        <w:t>Данилова А.</w:t>
      </w:r>
      <w:r w:rsidR="00E1437B">
        <w:rPr>
          <w:sz w:val="22"/>
          <w:szCs w:val="22"/>
        </w:rPr>
        <w:t xml:space="preserve"> </w:t>
      </w:r>
      <w:r w:rsidRPr="00E1437B">
        <w:rPr>
          <w:sz w:val="22"/>
          <w:szCs w:val="22"/>
        </w:rPr>
        <w:t>А.,</w:t>
      </w:r>
    </w:p>
    <w:p w:rsidR="008742E9" w:rsidRPr="00E1437B" w:rsidRDefault="008742E9" w:rsidP="008742E9">
      <w:pPr>
        <w:shd w:val="clear" w:color="auto" w:fill="FFFFFF"/>
        <w:jc w:val="right"/>
        <w:rPr>
          <w:sz w:val="22"/>
          <w:szCs w:val="22"/>
        </w:rPr>
      </w:pPr>
      <w:r w:rsidRPr="00E1437B">
        <w:rPr>
          <w:sz w:val="22"/>
          <w:szCs w:val="22"/>
        </w:rPr>
        <w:t>магистран</w:t>
      </w:r>
      <w:r w:rsidR="00E1437B">
        <w:rPr>
          <w:sz w:val="22"/>
          <w:szCs w:val="22"/>
        </w:rPr>
        <w:t>т 1 курса факультета зоотехнии,</w:t>
      </w:r>
    </w:p>
    <w:p w:rsidR="008742E9" w:rsidRPr="00E1437B" w:rsidRDefault="00E1437B" w:rsidP="008742E9">
      <w:pPr>
        <w:shd w:val="clear" w:color="auto" w:fill="FFFFFF"/>
        <w:jc w:val="right"/>
        <w:rPr>
          <w:sz w:val="22"/>
          <w:szCs w:val="22"/>
        </w:rPr>
      </w:pPr>
      <w:r>
        <w:rPr>
          <w:sz w:val="22"/>
          <w:szCs w:val="22"/>
        </w:rPr>
        <w:t>м.н.с. ФГБНУ КНЦЗВ</w:t>
      </w:r>
    </w:p>
    <w:p w:rsidR="008742E9" w:rsidRPr="00E1437B" w:rsidRDefault="008742E9" w:rsidP="008742E9">
      <w:pPr>
        <w:shd w:val="clear" w:color="auto" w:fill="FFFFFF"/>
        <w:jc w:val="right"/>
        <w:rPr>
          <w:sz w:val="22"/>
          <w:szCs w:val="22"/>
        </w:rPr>
      </w:pPr>
      <w:r w:rsidRPr="00E1437B">
        <w:rPr>
          <w:sz w:val="22"/>
          <w:szCs w:val="22"/>
        </w:rPr>
        <w:t>Ратошный А.</w:t>
      </w:r>
      <w:r w:rsidR="00E1437B">
        <w:rPr>
          <w:sz w:val="22"/>
          <w:szCs w:val="22"/>
        </w:rPr>
        <w:t xml:space="preserve"> </w:t>
      </w:r>
      <w:r w:rsidRPr="00E1437B">
        <w:rPr>
          <w:sz w:val="22"/>
          <w:szCs w:val="22"/>
        </w:rPr>
        <w:t>Н.,</w:t>
      </w:r>
    </w:p>
    <w:p w:rsidR="008742E9" w:rsidRPr="00E1437B" w:rsidRDefault="008742E9" w:rsidP="008742E9">
      <w:pPr>
        <w:shd w:val="clear" w:color="auto" w:fill="FFFFFF"/>
        <w:jc w:val="right"/>
        <w:rPr>
          <w:sz w:val="22"/>
          <w:szCs w:val="22"/>
        </w:rPr>
      </w:pPr>
      <w:r w:rsidRPr="00E1437B">
        <w:rPr>
          <w:sz w:val="22"/>
          <w:szCs w:val="22"/>
        </w:rPr>
        <w:t>профессор кафедры физиологии и кормления с.-х. животных</w:t>
      </w:r>
    </w:p>
    <w:p w:rsidR="008742E9" w:rsidRPr="00E1437B" w:rsidRDefault="008742E9" w:rsidP="008742E9">
      <w:pPr>
        <w:shd w:val="clear" w:color="auto" w:fill="FFFFFF"/>
        <w:jc w:val="right"/>
        <w:rPr>
          <w:sz w:val="22"/>
          <w:szCs w:val="22"/>
        </w:rPr>
      </w:pPr>
      <w:r w:rsidRPr="00E1437B">
        <w:rPr>
          <w:sz w:val="22"/>
          <w:szCs w:val="22"/>
        </w:rPr>
        <w:t>Кубанский государственный аграрный</w:t>
      </w:r>
    </w:p>
    <w:p w:rsidR="008742E9" w:rsidRPr="00E1437B" w:rsidRDefault="008742E9" w:rsidP="008742E9">
      <w:pPr>
        <w:shd w:val="clear" w:color="auto" w:fill="FFFFFF"/>
        <w:jc w:val="right"/>
        <w:rPr>
          <w:sz w:val="22"/>
          <w:szCs w:val="22"/>
        </w:rPr>
      </w:pPr>
      <w:r w:rsidRPr="00E1437B">
        <w:rPr>
          <w:sz w:val="22"/>
          <w:szCs w:val="22"/>
        </w:rPr>
        <w:t>университет имени И.</w:t>
      </w:r>
      <w:r w:rsidR="000A2A2D">
        <w:rPr>
          <w:sz w:val="22"/>
          <w:szCs w:val="22"/>
        </w:rPr>
        <w:t xml:space="preserve"> </w:t>
      </w:r>
      <w:r w:rsidRPr="00E1437B">
        <w:rPr>
          <w:sz w:val="22"/>
          <w:szCs w:val="22"/>
        </w:rPr>
        <w:t>Т. Трубилина</w:t>
      </w:r>
    </w:p>
    <w:p w:rsidR="008742E9" w:rsidRPr="008742E9" w:rsidRDefault="008742E9" w:rsidP="008742E9">
      <w:pPr>
        <w:shd w:val="clear" w:color="auto" w:fill="FFFFFF"/>
        <w:tabs>
          <w:tab w:val="left" w:pos="4253"/>
          <w:tab w:val="left" w:pos="4807"/>
        </w:tabs>
        <w:rPr>
          <w:i/>
          <w:sz w:val="24"/>
          <w:szCs w:val="24"/>
        </w:rPr>
      </w:pPr>
    </w:p>
    <w:p w:rsidR="008742E9" w:rsidRPr="008742E9" w:rsidRDefault="008742E9" w:rsidP="000A2A2D">
      <w:pPr>
        <w:shd w:val="clear" w:color="auto" w:fill="FFFFFF"/>
        <w:ind w:firstLine="426"/>
        <w:contextualSpacing/>
        <w:jc w:val="both"/>
        <w:rPr>
          <w:sz w:val="22"/>
          <w:szCs w:val="22"/>
        </w:rPr>
      </w:pPr>
      <w:r w:rsidRPr="008742E9">
        <w:rPr>
          <w:sz w:val="22"/>
          <w:szCs w:val="22"/>
        </w:rPr>
        <w:t>АННОТАЦИЯ: Изучена продуктивность, затраты корма и с</w:t>
      </w:r>
      <w:r w:rsidRPr="008742E9">
        <w:rPr>
          <w:sz w:val="22"/>
          <w:szCs w:val="22"/>
        </w:rPr>
        <w:t>о</w:t>
      </w:r>
      <w:r w:rsidRPr="008742E9">
        <w:rPr>
          <w:sz w:val="22"/>
          <w:szCs w:val="22"/>
        </w:rPr>
        <w:t xml:space="preserve">хранность цыплят-бройлеров при скармливании им в составе корма </w:t>
      </w:r>
      <w:r w:rsidRPr="008742E9">
        <w:rPr>
          <w:sz w:val="22"/>
          <w:szCs w:val="22"/>
        </w:rPr>
        <w:lastRenderedPageBreak/>
        <w:t>пробиотика «Споротермин». Доказана эффективность его примен</w:t>
      </w:r>
      <w:r w:rsidRPr="008742E9">
        <w:rPr>
          <w:sz w:val="22"/>
          <w:szCs w:val="22"/>
        </w:rPr>
        <w:t>е</w:t>
      </w:r>
      <w:r w:rsidRPr="008742E9">
        <w:rPr>
          <w:sz w:val="22"/>
          <w:szCs w:val="22"/>
        </w:rPr>
        <w:t>ния. Скармливание пробиотика в составе корма способствует п</w:t>
      </w:r>
      <w:r w:rsidRPr="008742E9">
        <w:rPr>
          <w:sz w:val="22"/>
          <w:szCs w:val="22"/>
        </w:rPr>
        <w:t>о</w:t>
      </w:r>
      <w:r w:rsidRPr="008742E9">
        <w:rPr>
          <w:sz w:val="22"/>
          <w:szCs w:val="22"/>
        </w:rPr>
        <w:t>вышению сохранности, снижению затрат корма на единицу проду</w:t>
      </w:r>
      <w:r w:rsidRPr="008742E9">
        <w:rPr>
          <w:sz w:val="22"/>
          <w:szCs w:val="22"/>
        </w:rPr>
        <w:t>к</w:t>
      </w:r>
      <w:r w:rsidRPr="008742E9">
        <w:rPr>
          <w:sz w:val="22"/>
          <w:szCs w:val="22"/>
        </w:rPr>
        <w:t>ции повышает продуктивность птицы.</w:t>
      </w:r>
    </w:p>
    <w:p w:rsidR="008742E9" w:rsidRPr="008742E9" w:rsidRDefault="008742E9" w:rsidP="000A2A2D">
      <w:pPr>
        <w:shd w:val="clear" w:color="auto" w:fill="FFFFFF"/>
        <w:ind w:firstLine="426"/>
        <w:contextualSpacing/>
        <w:jc w:val="both"/>
        <w:rPr>
          <w:sz w:val="22"/>
          <w:szCs w:val="22"/>
          <w:lang w:val="en-US"/>
        </w:rPr>
      </w:pPr>
      <w:r w:rsidRPr="008742E9">
        <w:rPr>
          <w:sz w:val="22"/>
          <w:szCs w:val="22"/>
          <w:lang w:val="en-US"/>
        </w:rPr>
        <w:t>ABSTRACT: Studied the productivity, the cost of feed and the saf</w:t>
      </w:r>
      <w:r w:rsidRPr="008742E9">
        <w:rPr>
          <w:sz w:val="22"/>
          <w:szCs w:val="22"/>
          <w:lang w:val="en-US"/>
        </w:rPr>
        <w:t>e</w:t>
      </w:r>
      <w:r w:rsidRPr="008742E9">
        <w:rPr>
          <w:sz w:val="22"/>
          <w:szCs w:val="22"/>
          <w:lang w:val="en-US"/>
        </w:rPr>
        <w:t>ty of chickens-broiler at feeding them as part of the feed probiotic "Sp</w:t>
      </w:r>
      <w:r w:rsidRPr="008742E9">
        <w:rPr>
          <w:sz w:val="22"/>
          <w:szCs w:val="22"/>
          <w:lang w:val="en-US"/>
        </w:rPr>
        <w:t>o</w:t>
      </w:r>
      <w:r w:rsidRPr="008742E9">
        <w:rPr>
          <w:sz w:val="22"/>
          <w:szCs w:val="22"/>
          <w:lang w:val="en-US"/>
        </w:rPr>
        <w:t>rotermin". The effectiveness of its application has been proved. Feeding the probiotic in the feed helps to increase safety, reduce feed costs and increase the productivity of the poultry.</w:t>
      </w:r>
    </w:p>
    <w:p w:rsidR="008742E9" w:rsidRPr="008742E9" w:rsidRDefault="008742E9" w:rsidP="000A2A2D">
      <w:pPr>
        <w:shd w:val="clear" w:color="auto" w:fill="FFFFFF"/>
        <w:tabs>
          <w:tab w:val="left" w:pos="4253"/>
          <w:tab w:val="left" w:pos="4807"/>
        </w:tabs>
        <w:ind w:firstLine="426"/>
        <w:contextualSpacing/>
        <w:jc w:val="both"/>
        <w:rPr>
          <w:sz w:val="22"/>
          <w:szCs w:val="22"/>
        </w:rPr>
      </w:pPr>
      <w:r w:rsidRPr="008742E9">
        <w:rPr>
          <w:sz w:val="22"/>
          <w:szCs w:val="22"/>
        </w:rPr>
        <w:t>КЛЮЧЕВЫЕ СЛОВА: пробиотик, цыплята-бройлеры, живая масса, затраты кормов, сохранность.</w:t>
      </w:r>
    </w:p>
    <w:p w:rsidR="008742E9" w:rsidRPr="008742E9" w:rsidRDefault="008742E9" w:rsidP="000A2A2D">
      <w:pPr>
        <w:shd w:val="clear" w:color="auto" w:fill="FFFFFF"/>
        <w:tabs>
          <w:tab w:val="left" w:pos="4253"/>
          <w:tab w:val="left" w:pos="4807"/>
        </w:tabs>
        <w:ind w:firstLine="426"/>
        <w:contextualSpacing/>
        <w:jc w:val="both"/>
        <w:rPr>
          <w:sz w:val="22"/>
          <w:szCs w:val="22"/>
          <w:lang w:val="en-US"/>
        </w:rPr>
      </w:pPr>
      <w:r w:rsidRPr="008742E9">
        <w:rPr>
          <w:sz w:val="22"/>
          <w:szCs w:val="22"/>
          <w:lang w:val="en-US"/>
        </w:rPr>
        <w:t>KEY WORDS: probiotic, chicken-broilers, live weight, feed costs, safety.</w:t>
      </w:r>
    </w:p>
    <w:p w:rsidR="008742E9" w:rsidRPr="008742E9" w:rsidRDefault="008742E9" w:rsidP="000A2A2D">
      <w:pPr>
        <w:shd w:val="clear" w:color="auto" w:fill="FFFFFF"/>
        <w:tabs>
          <w:tab w:val="left" w:pos="4253"/>
          <w:tab w:val="left" w:pos="4807"/>
        </w:tabs>
        <w:ind w:firstLine="426"/>
        <w:contextualSpacing/>
        <w:jc w:val="both"/>
        <w:rPr>
          <w:sz w:val="22"/>
          <w:szCs w:val="22"/>
          <w:lang w:val="en-US"/>
        </w:rPr>
      </w:pPr>
    </w:p>
    <w:p w:rsidR="008742E9" w:rsidRPr="008742E9" w:rsidRDefault="008742E9" w:rsidP="000A2A2D">
      <w:pPr>
        <w:ind w:firstLine="426"/>
        <w:contextualSpacing/>
        <w:jc w:val="both"/>
        <w:rPr>
          <w:sz w:val="22"/>
          <w:szCs w:val="22"/>
        </w:rPr>
      </w:pPr>
      <w:r w:rsidRPr="008742E9">
        <w:rPr>
          <w:sz w:val="22"/>
          <w:szCs w:val="22"/>
        </w:rPr>
        <w:t>Для решения проблем заболеваемости животных и птиц жел</w:t>
      </w:r>
      <w:r w:rsidRPr="008742E9">
        <w:rPr>
          <w:sz w:val="22"/>
          <w:szCs w:val="22"/>
        </w:rPr>
        <w:t>у</w:t>
      </w:r>
      <w:r w:rsidRPr="008742E9">
        <w:rPr>
          <w:sz w:val="22"/>
          <w:szCs w:val="22"/>
        </w:rPr>
        <w:t>дочно-кишечными инфекциями, которые вызваны нарушением б</w:t>
      </w:r>
      <w:r w:rsidRPr="008742E9">
        <w:rPr>
          <w:sz w:val="22"/>
          <w:szCs w:val="22"/>
        </w:rPr>
        <w:t>а</w:t>
      </w:r>
      <w:r w:rsidRPr="008742E9">
        <w:rPr>
          <w:sz w:val="22"/>
          <w:szCs w:val="22"/>
        </w:rPr>
        <w:t>ланса полезной и условно-патогенной микрофлоры, большую роль играют пробиотики. Данные кормовые добавки безопасны как для животных, так и для человека, употребляющего в пищу готовую продукцию [1, 2].</w:t>
      </w:r>
    </w:p>
    <w:p w:rsidR="008742E9" w:rsidRPr="008742E9" w:rsidRDefault="008742E9" w:rsidP="000A2A2D">
      <w:pPr>
        <w:ind w:firstLine="426"/>
        <w:contextualSpacing/>
        <w:jc w:val="both"/>
        <w:rPr>
          <w:sz w:val="22"/>
          <w:szCs w:val="22"/>
        </w:rPr>
      </w:pPr>
      <w:r w:rsidRPr="008742E9">
        <w:rPr>
          <w:sz w:val="22"/>
          <w:szCs w:val="22"/>
        </w:rPr>
        <w:t>Пробиотики вытесняют патогенную и условно-патогенную микрофлору в кишечнике птицы, замещая ее микроорганизмами, выделяющими ферменты в процессе своей жизнедеятельности, тем самым повышая переваримость и усвоение питательных компоне</w:t>
      </w:r>
      <w:r w:rsidRPr="008742E9">
        <w:rPr>
          <w:sz w:val="22"/>
          <w:szCs w:val="22"/>
        </w:rPr>
        <w:t>н</w:t>
      </w:r>
      <w:r w:rsidRPr="008742E9">
        <w:rPr>
          <w:sz w:val="22"/>
          <w:szCs w:val="22"/>
        </w:rPr>
        <w:t>тов корма. За счет этих процессов увеличивается продуктивность птицы [5, 4].</w:t>
      </w:r>
    </w:p>
    <w:p w:rsidR="008742E9" w:rsidRPr="008742E9" w:rsidRDefault="008742E9" w:rsidP="000A2A2D">
      <w:pPr>
        <w:ind w:firstLine="426"/>
        <w:contextualSpacing/>
        <w:jc w:val="both"/>
        <w:rPr>
          <w:sz w:val="22"/>
          <w:szCs w:val="22"/>
        </w:rPr>
      </w:pPr>
      <w:r w:rsidRPr="008742E9">
        <w:rPr>
          <w:sz w:val="22"/>
          <w:szCs w:val="22"/>
        </w:rPr>
        <w:t>Однако вопрос применения пробиотиков еще недостаточно изучен, что делает актуальным проведение дальнейших исследов</w:t>
      </w:r>
      <w:r w:rsidRPr="008742E9">
        <w:rPr>
          <w:sz w:val="22"/>
          <w:szCs w:val="22"/>
        </w:rPr>
        <w:t>а</w:t>
      </w:r>
      <w:r w:rsidRPr="008742E9">
        <w:rPr>
          <w:sz w:val="22"/>
          <w:szCs w:val="22"/>
        </w:rPr>
        <w:t>ний.</w:t>
      </w:r>
    </w:p>
    <w:p w:rsidR="008742E9" w:rsidRPr="008742E9" w:rsidRDefault="008742E9" w:rsidP="000A2A2D">
      <w:pPr>
        <w:ind w:firstLine="426"/>
        <w:contextualSpacing/>
        <w:jc w:val="both"/>
        <w:rPr>
          <w:sz w:val="22"/>
          <w:szCs w:val="22"/>
        </w:rPr>
      </w:pPr>
      <w:r w:rsidRPr="008742E9">
        <w:rPr>
          <w:sz w:val="22"/>
          <w:szCs w:val="22"/>
        </w:rPr>
        <w:t>Целью проводимых исследований стало изучение влияния пр</w:t>
      </w:r>
      <w:r w:rsidRPr="008742E9">
        <w:rPr>
          <w:sz w:val="22"/>
          <w:szCs w:val="22"/>
        </w:rPr>
        <w:t>о</w:t>
      </w:r>
      <w:r w:rsidRPr="008742E9">
        <w:rPr>
          <w:sz w:val="22"/>
          <w:szCs w:val="22"/>
        </w:rPr>
        <w:t>биотика «Споротермин» при внесении его в полнорационный ко</w:t>
      </w:r>
      <w:r w:rsidRPr="008742E9">
        <w:rPr>
          <w:sz w:val="22"/>
          <w:szCs w:val="22"/>
        </w:rPr>
        <w:t>м</w:t>
      </w:r>
      <w:r w:rsidRPr="008742E9">
        <w:rPr>
          <w:sz w:val="22"/>
          <w:szCs w:val="22"/>
        </w:rPr>
        <w:t xml:space="preserve">бикорм на основные зоотехнические показатели цыплят-бройлеров. </w:t>
      </w:r>
    </w:p>
    <w:p w:rsidR="008742E9" w:rsidRPr="008742E9" w:rsidRDefault="008742E9" w:rsidP="000A2A2D">
      <w:pPr>
        <w:ind w:firstLine="426"/>
        <w:contextualSpacing/>
        <w:jc w:val="both"/>
        <w:rPr>
          <w:sz w:val="22"/>
          <w:szCs w:val="22"/>
        </w:rPr>
      </w:pPr>
      <w:r w:rsidRPr="008742E9">
        <w:rPr>
          <w:sz w:val="22"/>
          <w:szCs w:val="22"/>
        </w:rPr>
        <w:t>Научно-хозяйственный опыт проводился в условиях ЗАО ППФ «Кавказ» проводился согласно методике проведения научных и производственных исследований по кормлению сельскохозяйстве</w:t>
      </w:r>
      <w:r w:rsidRPr="008742E9">
        <w:rPr>
          <w:sz w:val="22"/>
          <w:szCs w:val="22"/>
        </w:rPr>
        <w:t>н</w:t>
      </w:r>
      <w:r w:rsidRPr="008742E9">
        <w:rPr>
          <w:sz w:val="22"/>
          <w:szCs w:val="22"/>
        </w:rPr>
        <w:t>ной птицы ВНИИТИП (г. Сергиев Посад, 2004 г) [3].</w:t>
      </w:r>
    </w:p>
    <w:p w:rsidR="008742E9" w:rsidRPr="008742E9" w:rsidRDefault="008742E9" w:rsidP="000A2A2D">
      <w:pPr>
        <w:ind w:firstLine="426"/>
        <w:contextualSpacing/>
        <w:jc w:val="both"/>
        <w:rPr>
          <w:sz w:val="22"/>
          <w:szCs w:val="22"/>
        </w:rPr>
      </w:pPr>
      <w:r w:rsidRPr="008742E9">
        <w:rPr>
          <w:sz w:val="22"/>
          <w:szCs w:val="22"/>
        </w:rPr>
        <w:t>Для проведения испытаний были выделены две группы цы</w:t>
      </w:r>
      <w:r w:rsidRPr="008742E9">
        <w:rPr>
          <w:sz w:val="22"/>
          <w:szCs w:val="22"/>
        </w:rPr>
        <w:t>п</w:t>
      </w:r>
      <w:r w:rsidRPr="008742E9">
        <w:rPr>
          <w:sz w:val="22"/>
          <w:szCs w:val="22"/>
        </w:rPr>
        <w:t xml:space="preserve">лят-бройлеров кросса «Кобб-500– контроль и опыт. В каждую </w:t>
      </w:r>
      <w:r w:rsidRPr="008742E9">
        <w:rPr>
          <w:sz w:val="22"/>
          <w:szCs w:val="22"/>
        </w:rPr>
        <w:lastRenderedPageBreak/>
        <w:t>группу было отобрано 35 голов цыплят одного вывода и практич</w:t>
      </w:r>
      <w:r w:rsidRPr="008742E9">
        <w:rPr>
          <w:sz w:val="22"/>
          <w:szCs w:val="22"/>
        </w:rPr>
        <w:t>е</w:t>
      </w:r>
      <w:r w:rsidRPr="008742E9">
        <w:rPr>
          <w:sz w:val="22"/>
          <w:szCs w:val="22"/>
        </w:rPr>
        <w:t>ски одинаковой массы. Условия содержания соответствовали уст</w:t>
      </w:r>
      <w:r w:rsidRPr="008742E9">
        <w:rPr>
          <w:sz w:val="22"/>
          <w:szCs w:val="22"/>
        </w:rPr>
        <w:t>а</w:t>
      </w:r>
      <w:r w:rsidRPr="008742E9">
        <w:rPr>
          <w:sz w:val="22"/>
          <w:szCs w:val="22"/>
        </w:rPr>
        <w:t>новленным нормам. Доступ к воде и кормовой смеси был свобо</w:t>
      </w:r>
      <w:r w:rsidRPr="008742E9">
        <w:rPr>
          <w:sz w:val="22"/>
          <w:szCs w:val="22"/>
        </w:rPr>
        <w:t>д</w:t>
      </w:r>
      <w:r w:rsidRPr="008742E9">
        <w:rPr>
          <w:sz w:val="22"/>
          <w:szCs w:val="22"/>
        </w:rPr>
        <w:t xml:space="preserve">ным. Взвешивание птицы проводилось индивидуально в первый день опыта, затем по периодам (14, 28 и 42 дня). </w:t>
      </w:r>
    </w:p>
    <w:p w:rsidR="008742E9" w:rsidRPr="008742E9" w:rsidRDefault="008742E9" w:rsidP="000A2A2D">
      <w:pPr>
        <w:ind w:firstLine="426"/>
        <w:contextualSpacing/>
        <w:jc w:val="both"/>
        <w:rPr>
          <w:rFonts w:eastAsia="Calibri"/>
          <w:sz w:val="22"/>
          <w:szCs w:val="22"/>
        </w:rPr>
      </w:pPr>
      <w:r w:rsidRPr="008742E9">
        <w:rPr>
          <w:sz w:val="22"/>
          <w:szCs w:val="22"/>
        </w:rPr>
        <w:t>Цыплята первой (контрольной) группы получали полнорац</w:t>
      </w:r>
      <w:r w:rsidRPr="008742E9">
        <w:rPr>
          <w:sz w:val="22"/>
          <w:szCs w:val="22"/>
        </w:rPr>
        <w:t>и</w:t>
      </w:r>
      <w:r w:rsidRPr="008742E9">
        <w:rPr>
          <w:sz w:val="22"/>
          <w:szCs w:val="22"/>
        </w:rPr>
        <w:t>онный комбикорм (ПК). Вторая опытная группа помимо полнор</w:t>
      </w:r>
      <w:r w:rsidRPr="008742E9">
        <w:rPr>
          <w:sz w:val="22"/>
          <w:szCs w:val="22"/>
        </w:rPr>
        <w:t>а</w:t>
      </w:r>
      <w:r w:rsidRPr="008742E9">
        <w:rPr>
          <w:sz w:val="22"/>
          <w:szCs w:val="22"/>
        </w:rPr>
        <w:t>ционного комбикорма (ПК) получала 0,1 % по массе корма проби</w:t>
      </w:r>
      <w:r w:rsidRPr="008742E9">
        <w:rPr>
          <w:sz w:val="22"/>
          <w:szCs w:val="22"/>
        </w:rPr>
        <w:t>о</w:t>
      </w:r>
      <w:r w:rsidRPr="008742E9">
        <w:rPr>
          <w:sz w:val="22"/>
          <w:szCs w:val="22"/>
        </w:rPr>
        <w:t>тика «Споротермин». Условия содержания птицы во всех группах были одинаковыми.</w:t>
      </w:r>
    </w:p>
    <w:p w:rsidR="008742E9" w:rsidRPr="008742E9" w:rsidRDefault="008742E9" w:rsidP="000A2A2D">
      <w:pPr>
        <w:ind w:firstLine="426"/>
        <w:contextualSpacing/>
        <w:jc w:val="both"/>
        <w:rPr>
          <w:sz w:val="22"/>
          <w:szCs w:val="22"/>
        </w:rPr>
      </w:pPr>
      <w:r w:rsidRPr="008742E9">
        <w:rPr>
          <w:sz w:val="22"/>
          <w:szCs w:val="22"/>
        </w:rPr>
        <w:t>В результате скармливания пробиотика «Споротермин» дост</w:t>
      </w:r>
      <w:r w:rsidRPr="008742E9">
        <w:rPr>
          <w:sz w:val="22"/>
          <w:szCs w:val="22"/>
        </w:rPr>
        <w:t>о</w:t>
      </w:r>
      <w:r w:rsidRPr="008742E9">
        <w:rPr>
          <w:sz w:val="22"/>
          <w:szCs w:val="22"/>
        </w:rPr>
        <w:t>верно увеличилась живая масса цыплят и составила 2625,66±47,05***г (</w:t>
      </w:r>
      <w:r w:rsidRPr="008742E9">
        <w:rPr>
          <w:rFonts w:eastAsia="Calibri"/>
          <w:sz w:val="22"/>
          <w:szCs w:val="22"/>
        </w:rPr>
        <w:t>Р≤0,001</w:t>
      </w:r>
      <w:r w:rsidRPr="008742E9">
        <w:rPr>
          <w:sz w:val="22"/>
          <w:szCs w:val="22"/>
        </w:rPr>
        <w:t>), что на 9,0 % выше контрольного пок</w:t>
      </w:r>
      <w:r w:rsidRPr="008742E9">
        <w:rPr>
          <w:sz w:val="22"/>
          <w:szCs w:val="22"/>
        </w:rPr>
        <w:t>а</w:t>
      </w:r>
      <w:r w:rsidRPr="008742E9">
        <w:rPr>
          <w:sz w:val="22"/>
          <w:szCs w:val="22"/>
        </w:rPr>
        <w:t>зателя. Среднесуточные приросты увеличились в опытной группе на 9,1 %. Скорее всего, это связано с лучшим усвоением кормов при потреблении пробиотика, так как он нормализует кишечную ми</w:t>
      </w:r>
      <w:r w:rsidRPr="008742E9">
        <w:rPr>
          <w:sz w:val="22"/>
          <w:szCs w:val="22"/>
        </w:rPr>
        <w:t>к</w:t>
      </w:r>
      <w:r w:rsidRPr="008742E9">
        <w:rPr>
          <w:sz w:val="22"/>
          <w:szCs w:val="22"/>
        </w:rPr>
        <w:t>рофлору. Затраты корма на 1 кг прироста живой массы птицы сн</w:t>
      </w:r>
      <w:r w:rsidRPr="008742E9">
        <w:rPr>
          <w:sz w:val="22"/>
          <w:szCs w:val="22"/>
        </w:rPr>
        <w:t>и</w:t>
      </w:r>
      <w:r w:rsidRPr="008742E9">
        <w:rPr>
          <w:sz w:val="22"/>
          <w:szCs w:val="22"/>
        </w:rPr>
        <w:t>зились на 8,6 %. Потребление корма было практически идентично в обеих группах. Сохранность в группе, которая потребляла проби</w:t>
      </w:r>
      <w:r w:rsidRPr="008742E9">
        <w:rPr>
          <w:sz w:val="22"/>
          <w:szCs w:val="22"/>
        </w:rPr>
        <w:t>о</w:t>
      </w:r>
      <w:r w:rsidRPr="008742E9">
        <w:rPr>
          <w:sz w:val="22"/>
          <w:szCs w:val="22"/>
        </w:rPr>
        <w:t>тик в составе корма, достигла 97,1 %, что превысило контроль на 2,8 %. Это можно объяснить укреплением иммунитета птицы опы</w:t>
      </w:r>
      <w:r w:rsidRPr="008742E9">
        <w:rPr>
          <w:sz w:val="22"/>
          <w:szCs w:val="22"/>
        </w:rPr>
        <w:t>т</w:t>
      </w:r>
      <w:r w:rsidRPr="008742E9">
        <w:rPr>
          <w:sz w:val="22"/>
          <w:szCs w:val="22"/>
        </w:rPr>
        <w:t>ной группы, так как пробиотики укрепляют общую сопротивля</w:t>
      </w:r>
      <w:r w:rsidRPr="008742E9">
        <w:rPr>
          <w:sz w:val="22"/>
          <w:szCs w:val="22"/>
        </w:rPr>
        <w:t>е</w:t>
      </w:r>
      <w:r w:rsidRPr="008742E9">
        <w:rPr>
          <w:sz w:val="22"/>
          <w:szCs w:val="22"/>
        </w:rPr>
        <w:t>мость организма.</w:t>
      </w:r>
    </w:p>
    <w:p w:rsidR="008742E9" w:rsidRPr="008742E9" w:rsidRDefault="008742E9" w:rsidP="000A2A2D">
      <w:pPr>
        <w:shd w:val="clear" w:color="auto" w:fill="FFFFFF"/>
        <w:ind w:firstLine="426"/>
        <w:contextualSpacing/>
        <w:jc w:val="both"/>
        <w:rPr>
          <w:sz w:val="22"/>
          <w:szCs w:val="22"/>
        </w:rPr>
      </w:pPr>
      <w:r w:rsidRPr="008742E9">
        <w:rPr>
          <w:sz w:val="22"/>
          <w:szCs w:val="22"/>
        </w:rPr>
        <w:t>Выводы. В заключение проведенных исследований живая ма</w:t>
      </w:r>
      <w:r w:rsidRPr="008742E9">
        <w:rPr>
          <w:sz w:val="22"/>
          <w:szCs w:val="22"/>
        </w:rPr>
        <w:t>с</w:t>
      </w:r>
      <w:r w:rsidRPr="008742E9">
        <w:rPr>
          <w:sz w:val="22"/>
          <w:szCs w:val="22"/>
        </w:rPr>
        <w:t>са птицы опытной группы достоверно возросла на 9,0 %, среднес</w:t>
      </w:r>
      <w:r w:rsidRPr="008742E9">
        <w:rPr>
          <w:sz w:val="22"/>
          <w:szCs w:val="22"/>
        </w:rPr>
        <w:t>у</w:t>
      </w:r>
      <w:r w:rsidRPr="008742E9">
        <w:rPr>
          <w:sz w:val="22"/>
          <w:szCs w:val="22"/>
        </w:rPr>
        <w:t>точные приросты увеличились на 9,1 %, снизились затраты корма на 1 кг прироста на 8,6 % и на 2,8 % повысилась сохранность пог</w:t>
      </w:r>
      <w:r w:rsidRPr="008742E9">
        <w:rPr>
          <w:sz w:val="22"/>
          <w:szCs w:val="22"/>
        </w:rPr>
        <w:t>о</w:t>
      </w:r>
      <w:r w:rsidRPr="008742E9">
        <w:rPr>
          <w:sz w:val="22"/>
          <w:szCs w:val="22"/>
        </w:rPr>
        <w:t>ловья. Все это свидетельствует об эффективности применения пр</w:t>
      </w:r>
      <w:r w:rsidRPr="008742E9">
        <w:rPr>
          <w:sz w:val="22"/>
          <w:szCs w:val="22"/>
        </w:rPr>
        <w:t>о</w:t>
      </w:r>
      <w:r w:rsidRPr="008742E9">
        <w:rPr>
          <w:sz w:val="22"/>
          <w:szCs w:val="22"/>
        </w:rPr>
        <w:t>биотика «Споротермин» в рационах цыплят-бройлеров кросса Кобб-500.</w:t>
      </w:r>
    </w:p>
    <w:p w:rsidR="008742E9" w:rsidRPr="008742E9" w:rsidRDefault="008742E9" w:rsidP="000A2A2D">
      <w:pPr>
        <w:shd w:val="clear" w:color="auto" w:fill="FFFFFF"/>
        <w:ind w:firstLine="426"/>
        <w:contextualSpacing/>
        <w:jc w:val="both"/>
        <w:rPr>
          <w:sz w:val="22"/>
          <w:szCs w:val="22"/>
        </w:rPr>
      </w:pPr>
    </w:p>
    <w:p w:rsidR="008742E9" w:rsidRPr="008742E9" w:rsidRDefault="008742E9" w:rsidP="000A2A2D">
      <w:pPr>
        <w:ind w:firstLine="426"/>
        <w:contextualSpacing/>
        <w:jc w:val="center"/>
        <w:rPr>
          <w:sz w:val="22"/>
          <w:szCs w:val="22"/>
        </w:rPr>
      </w:pPr>
      <w:r w:rsidRPr="008742E9">
        <w:rPr>
          <w:sz w:val="22"/>
          <w:szCs w:val="22"/>
        </w:rPr>
        <w:t>Список литературы</w:t>
      </w:r>
    </w:p>
    <w:p w:rsidR="008742E9" w:rsidRPr="008742E9" w:rsidRDefault="008742E9" w:rsidP="000A2A2D">
      <w:pPr>
        <w:ind w:firstLine="426"/>
        <w:contextualSpacing/>
        <w:jc w:val="both"/>
        <w:rPr>
          <w:sz w:val="22"/>
          <w:szCs w:val="22"/>
        </w:rPr>
      </w:pPr>
      <w:r w:rsidRPr="008742E9">
        <w:rPr>
          <w:sz w:val="22"/>
          <w:szCs w:val="22"/>
        </w:rPr>
        <w:t>1. Кощаев, А.Г. Изучение острой токсичности жидкой проби</w:t>
      </w:r>
      <w:r w:rsidRPr="008742E9">
        <w:rPr>
          <w:sz w:val="22"/>
          <w:szCs w:val="22"/>
        </w:rPr>
        <w:t>о</w:t>
      </w:r>
      <w:r w:rsidRPr="008742E9">
        <w:rPr>
          <w:sz w:val="22"/>
          <w:szCs w:val="22"/>
        </w:rPr>
        <w:t>тической добавки/ А.Г. Кощаев, В.А. Мищенко// В сборнике: Нау</w:t>
      </w:r>
      <w:r w:rsidRPr="008742E9">
        <w:rPr>
          <w:sz w:val="22"/>
          <w:szCs w:val="22"/>
        </w:rPr>
        <w:t>ч</w:t>
      </w:r>
      <w:r w:rsidRPr="008742E9">
        <w:rPr>
          <w:sz w:val="22"/>
          <w:szCs w:val="22"/>
        </w:rPr>
        <w:t>ное обеспечение агропромышленного комплекса сборник статей по материалам 72-й научно-практической конференции преподават</w:t>
      </w:r>
      <w:r w:rsidRPr="008742E9">
        <w:rPr>
          <w:sz w:val="22"/>
          <w:szCs w:val="22"/>
        </w:rPr>
        <w:t>е</w:t>
      </w:r>
      <w:r w:rsidRPr="008742E9">
        <w:rPr>
          <w:sz w:val="22"/>
          <w:szCs w:val="22"/>
        </w:rPr>
        <w:t xml:space="preserve">лей по итогам НИР за 2016 г. 2017. С. 181-182. </w:t>
      </w:r>
    </w:p>
    <w:p w:rsidR="008742E9" w:rsidRPr="008742E9" w:rsidRDefault="008742E9" w:rsidP="000A2A2D">
      <w:pPr>
        <w:ind w:firstLine="426"/>
        <w:contextualSpacing/>
        <w:jc w:val="both"/>
        <w:rPr>
          <w:sz w:val="22"/>
          <w:szCs w:val="22"/>
        </w:rPr>
      </w:pPr>
      <w:r w:rsidRPr="008742E9">
        <w:rPr>
          <w:sz w:val="22"/>
          <w:szCs w:val="22"/>
        </w:rPr>
        <w:lastRenderedPageBreak/>
        <w:t>2. Лысенко, Ю.А. Интенсификация птицеводства с применен</w:t>
      </w:r>
      <w:r w:rsidRPr="008742E9">
        <w:rPr>
          <w:sz w:val="22"/>
          <w:szCs w:val="22"/>
        </w:rPr>
        <w:t>и</w:t>
      </w:r>
      <w:r w:rsidRPr="008742E9">
        <w:rPr>
          <w:sz w:val="22"/>
          <w:szCs w:val="22"/>
        </w:rPr>
        <w:t>ем пробиотических кормовых добавок / Ю.А. Лысенко, Т.М. Шув</w:t>
      </w:r>
      <w:r w:rsidRPr="008742E9">
        <w:rPr>
          <w:sz w:val="22"/>
          <w:szCs w:val="22"/>
        </w:rPr>
        <w:t>а</w:t>
      </w:r>
      <w:r w:rsidRPr="008742E9">
        <w:rPr>
          <w:sz w:val="22"/>
          <w:szCs w:val="22"/>
        </w:rPr>
        <w:t>ева, В.В. Радченко, Е.В. Ильницкая, А.Г. Кощаев – Ветеринария Кубани. 2015. № 5. С. 7-10.</w:t>
      </w:r>
    </w:p>
    <w:p w:rsidR="008742E9" w:rsidRPr="008742E9" w:rsidRDefault="008742E9" w:rsidP="000A2A2D">
      <w:pPr>
        <w:ind w:firstLine="426"/>
        <w:contextualSpacing/>
        <w:jc w:val="both"/>
        <w:rPr>
          <w:sz w:val="22"/>
          <w:szCs w:val="22"/>
        </w:rPr>
      </w:pPr>
      <w:r w:rsidRPr="008742E9">
        <w:rPr>
          <w:sz w:val="22"/>
          <w:szCs w:val="22"/>
        </w:rPr>
        <w:t>3. Методика проведения научных и производственных иссл</w:t>
      </w:r>
      <w:r w:rsidRPr="008742E9">
        <w:rPr>
          <w:sz w:val="22"/>
          <w:szCs w:val="22"/>
        </w:rPr>
        <w:t>е</w:t>
      </w:r>
      <w:r w:rsidRPr="008742E9">
        <w:rPr>
          <w:sz w:val="22"/>
          <w:szCs w:val="22"/>
        </w:rPr>
        <w:t>дований по кормлению сельскохозяйственной птицы/ ВНИТИП; Под общ. ред. В.И. Фисинина.-Сергиев Посад, 2004.-33 с.</w:t>
      </w:r>
    </w:p>
    <w:p w:rsidR="008742E9" w:rsidRPr="008742E9" w:rsidRDefault="008742E9" w:rsidP="000A2A2D">
      <w:pPr>
        <w:ind w:firstLine="426"/>
        <w:contextualSpacing/>
        <w:jc w:val="both"/>
        <w:rPr>
          <w:sz w:val="22"/>
          <w:szCs w:val="22"/>
        </w:rPr>
      </w:pPr>
      <w:r w:rsidRPr="008742E9">
        <w:rPr>
          <w:sz w:val="22"/>
          <w:szCs w:val="22"/>
        </w:rPr>
        <w:t>4. Овсепьян, В.А. Сорбенто-пробиотический комплекс при в</w:t>
      </w:r>
      <w:r w:rsidRPr="008742E9">
        <w:rPr>
          <w:sz w:val="22"/>
          <w:szCs w:val="22"/>
        </w:rPr>
        <w:t>ы</w:t>
      </w:r>
      <w:r w:rsidRPr="008742E9">
        <w:rPr>
          <w:sz w:val="22"/>
          <w:szCs w:val="22"/>
        </w:rPr>
        <w:t>ращивании мясных цыплят / В.А.Овсепьян, А.А.Данилова, Н.А. Юрина – В сборнике: Пища. Экология. Качество //Труды XIV ме</w:t>
      </w:r>
      <w:r w:rsidRPr="008742E9">
        <w:rPr>
          <w:sz w:val="22"/>
          <w:szCs w:val="22"/>
        </w:rPr>
        <w:t>ж</w:t>
      </w:r>
      <w:r w:rsidRPr="008742E9">
        <w:rPr>
          <w:sz w:val="22"/>
          <w:szCs w:val="22"/>
        </w:rPr>
        <w:t>дународной научно-практической конференции. 2017. С. 75-78.</w:t>
      </w:r>
    </w:p>
    <w:p w:rsidR="008742E9" w:rsidRPr="008742E9" w:rsidRDefault="008742E9" w:rsidP="000A2A2D">
      <w:pPr>
        <w:ind w:firstLine="426"/>
        <w:contextualSpacing/>
        <w:jc w:val="both"/>
        <w:rPr>
          <w:sz w:val="22"/>
          <w:szCs w:val="22"/>
        </w:rPr>
      </w:pPr>
      <w:r w:rsidRPr="008742E9">
        <w:rPr>
          <w:sz w:val="22"/>
          <w:szCs w:val="22"/>
        </w:rPr>
        <w:t>5. Петенко, А.И. Особенность формирования микробиоценозов ЖКТ и эффективность обменных процессов у перепелов при и</w:t>
      </w:r>
      <w:r w:rsidRPr="008742E9">
        <w:rPr>
          <w:sz w:val="22"/>
          <w:szCs w:val="22"/>
        </w:rPr>
        <w:t>с</w:t>
      </w:r>
      <w:r w:rsidRPr="008742E9">
        <w:rPr>
          <w:sz w:val="22"/>
          <w:szCs w:val="22"/>
        </w:rPr>
        <w:t>пользовании прибиотических кормовых добавок / А.И. Петенко, Ю.А. Лысенко – Ветеринария Кубани. 2012. № 4. С. 24-26.</w:t>
      </w:r>
    </w:p>
    <w:p w:rsidR="008742E9" w:rsidRPr="000A2A2D" w:rsidRDefault="008742E9" w:rsidP="000A2A2D">
      <w:pPr>
        <w:spacing w:line="276" w:lineRule="auto"/>
        <w:rPr>
          <w:sz w:val="22"/>
          <w:szCs w:val="22"/>
        </w:rPr>
      </w:pPr>
    </w:p>
    <w:p w:rsidR="000A2A2D" w:rsidRPr="000A2A2D" w:rsidRDefault="000A2A2D" w:rsidP="000A2A2D">
      <w:pPr>
        <w:spacing w:line="276" w:lineRule="auto"/>
        <w:rPr>
          <w:sz w:val="22"/>
          <w:szCs w:val="22"/>
        </w:rPr>
      </w:pPr>
    </w:p>
    <w:p w:rsidR="000A2A2D" w:rsidRPr="000A2A2D" w:rsidRDefault="000A2A2D" w:rsidP="000A2A2D">
      <w:pPr>
        <w:spacing w:line="276" w:lineRule="auto"/>
        <w:rPr>
          <w:sz w:val="22"/>
          <w:szCs w:val="22"/>
        </w:rPr>
      </w:pPr>
    </w:p>
    <w:p w:rsidR="008742E9" w:rsidRPr="000A2A2D" w:rsidRDefault="008742E9" w:rsidP="000A2A2D">
      <w:pPr>
        <w:jc w:val="both"/>
        <w:rPr>
          <w:sz w:val="22"/>
          <w:szCs w:val="22"/>
        </w:rPr>
      </w:pPr>
      <w:r w:rsidRPr="000A2A2D">
        <w:rPr>
          <w:sz w:val="22"/>
          <w:szCs w:val="22"/>
        </w:rPr>
        <w:t>УДК 636.3.034.082.4</w:t>
      </w:r>
    </w:p>
    <w:p w:rsidR="008742E9" w:rsidRPr="000A2A2D" w:rsidRDefault="008742E9" w:rsidP="000A2A2D">
      <w:pPr>
        <w:jc w:val="center"/>
        <w:rPr>
          <w:b/>
          <w:sz w:val="22"/>
          <w:szCs w:val="22"/>
        </w:rPr>
      </w:pPr>
    </w:p>
    <w:p w:rsidR="008742E9" w:rsidRPr="008742E9" w:rsidRDefault="008742E9" w:rsidP="008742E9">
      <w:pPr>
        <w:jc w:val="center"/>
        <w:rPr>
          <w:b/>
          <w:sz w:val="24"/>
          <w:szCs w:val="24"/>
        </w:rPr>
      </w:pPr>
      <w:r w:rsidRPr="008742E9">
        <w:rPr>
          <w:b/>
          <w:sz w:val="24"/>
          <w:szCs w:val="24"/>
        </w:rPr>
        <w:t xml:space="preserve">Повышение воспроизводительных функций овец </w:t>
      </w:r>
    </w:p>
    <w:p w:rsidR="008742E9" w:rsidRPr="008742E9" w:rsidRDefault="008742E9" w:rsidP="008742E9">
      <w:pPr>
        <w:jc w:val="center"/>
        <w:rPr>
          <w:b/>
          <w:sz w:val="24"/>
          <w:szCs w:val="24"/>
        </w:rPr>
      </w:pPr>
      <w:r w:rsidRPr="008742E9">
        <w:rPr>
          <w:b/>
          <w:sz w:val="24"/>
          <w:szCs w:val="24"/>
        </w:rPr>
        <w:t>молочного направления продуктивности</w:t>
      </w:r>
    </w:p>
    <w:p w:rsidR="008742E9" w:rsidRPr="008742E9" w:rsidRDefault="008742E9" w:rsidP="008742E9">
      <w:pPr>
        <w:jc w:val="both"/>
        <w:rPr>
          <w:b/>
          <w:sz w:val="24"/>
          <w:szCs w:val="24"/>
        </w:rPr>
      </w:pPr>
      <w:r w:rsidRPr="008742E9">
        <w:rPr>
          <w:b/>
          <w:sz w:val="24"/>
          <w:szCs w:val="24"/>
          <w:lang w:val="en-US"/>
        </w:rPr>
        <w:t>Increase</w:t>
      </w:r>
      <w:r w:rsidRPr="008742E9">
        <w:rPr>
          <w:b/>
          <w:sz w:val="24"/>
          <w:szCs w:val="24"/>
        </w:rPr>
        <w:t xml:space="preserve"> </w:t>
      </w:r>
      <w:r w:rsidRPr="008742E9">
        <w:rPr>
          <w:b/>
          <w:sz w:val="24"/>
          <w:szCs w:val="24"/>
          <w:lang w:val="en-US"/>
        </w:rPr>
        <w:t>reproductive</w:t>
      </w:r>
      <w:r w:rsidRPr="008742E9">
        <w:rPr>
          <w:b/>
          <w:sz w:val="24"/>
          <w:szCs w:val="24"/>
        </w:rPr>
        <w:t xml:space="preserve"> </w:t>
      </w:r>
      <w:r w:rsidRPr="008742E9">
        <w:rPr>
          <w:b/>
          <w:sz w:val="24"/>
          <w:szCs w:val="24"/>
          <w:lang w:val="en-US"/>
        </w:rPr>
        <w:t>functions</w:t>
      </w:r>
      <w:r w:rsidRPr="008742E9">
        <w:rPr>
          <w:b/>
          <w:sz w:val="24"/>
          <w:szCs w:val="24"/>
        </w:rPr>
        <w:t xml:space="preserve"> </w:t>
      </w:r>
      <w:r w:rsidRPr="008742E9">
        <w:rPr>
          <w:b/>
          <w:sz w:val="24"/>
          <w:szCs w:val="24"/>
          <w:lang w:val="en-US"/>
        </w:rPr>
        <w:t>of</w:t>
      </w:r>
      <w:r w:rsidRPr="008742E9">
        <w:rPr>
          <w:b/>
          <w:sz w:val="24"/>
          <w:szCs w:val="24"/>
        </w:rPr>
        <w:t xml:space="preserve"> </w:t>
      </w:r>
      <w:r w:rsidRPr="008742E9">
        <w:rPr>
          <w:b/>
          <w:sz w:val="24"/>
          <w:szCs w:val="24"/>
          <w:lang w:val="en-US"/>
        </w:rPr>
        <w:t>dairy</w:t>
      </w:r>
      <w:r w:rsidRPr="008742E9">
        <w:rPr>
          <w:b/>
          <w:sz w:val="24"/>
          <w:szCs w:val="24"/>
        </w:rPr>
        <w:t xml:space="preserve"> </w:t>
      </w:r>
      <w:r w:rsidRPr="008742E9">
        <w:rPr>
          <w:b/>
          <w:sz w:val="24"/>
          <w:szCs w:val="24"/>
          <w:lang w:val="en-US"/>
        </w:rPr>
        <w:t>production</w:t>
      </w:r>
      <w:r w:rsidRPr="008742E9">
        <w:rPr>
          <w:b/>
          <w:sz w:val="24"/>
          <w:szCs w:val="24"/>
        </w:rPr>
        <w:t xml:space="preserve"> </w:t>
      </w:r>
      <w:r w:rsidRPr="008742E9">
        <w:rPr>
          <w:b/>
          <w:sz w:val="24"/>
          <w:szCs w:val="24"/>
          <w:lang w:val="en-US"/>
        </w:rPr>
        <w:t>sheep</w:t>
      </w:r>
      <w:r w:rsidRPr="008742E9">
        <w:rPr>
          <w:b/>
          <w:sz w:val="24"/>
          <w:szCs w:val="24"/>
        </w:rPr>
        <w:t xml:space="preserve"> </w:t>
      </w:r>
    </w:p>
    <w:p w:rsidR="008742E9" w:rsidRPr="008742E9" w:rsidRDefault="008742E9" w:rsidP="008742E9">
      <w:pPr>
        <w:jc w:val="right"/>
        <w:rPr>
          <w:sz w:val="24"/>
          <w:szCs w:val="24"/>
        </w:rPr>
      </w:pPr>
    </w:p>
    <w:p w:rsidR="008742E9" w:rsidRPr="000A2A2D" w:rsidRDefault="008742E9" w:rsidP="008742E9">
      <w:pPr>
        <w:jc w:val="right"/>
        <w:rPr>
          <w:sz w:val="22"/>
          <w:szCs w:val="22"/>
        </w:rPr>
      </w:pPr>
      <w:r w:rsidRPr="000A2A2D">
        <w:rPr>
          <w:sz w:val="22"/>
          <w:szCs w:val="22"/>
        </w:rPr>
        <w:t>Китянина К.</w:t>
      </w:r>
      <w:r w:rsidR="000A2A2D">
        <w:rPr>
          <w:sz w:val="22"/>
          <w:szCs w:val="22"/>
        </w:rPr>
        <w:t xml:space="preserve"> И.,</w:t>
      </w:r>
    </w:p>
    <w:p w:rsidR="008742E9" w:rsidRPr="000A2A2D" w:rsidRDefault="008742E9" w:rsidP="008742E9">
      <w:pPr>
        <w:jc w:val="right"/>
        <w:rPr>
          <w:sz w:val="22"/>
          <w:szCs w:val="22"/>
        </w:rPr>
      </w:pPr>
      <w:r w:rsidRPr="000A2A2D">
        <w:rPr>
          <w:sz w:val="22"/>
          <w:szCs w:val="22"/>
        </w:rPr>
        <w:t>студент</w:t>
      </w:r>
      <w:r w:rsidR="000A2A2D">
        <w:rPr>
          <w:sz w:val="22"/>
          <w:szCs w:val="22"/>
        </w:rPr>
        <w:t>ка 4 курса факультета зоотехнии</w:t>
      </w:r>
    </w:p>
    <w:p w:rsidR="008742E9" w:rsidRPr="000A2A2D" w:rsidRDefault="008742E9" w:rsidP="008742E9">
      <w:pPr>
        <w:jc w:val="right"/>
        <w:rPr>
          <w:sz w:val="22"/>
          <w:szCs w:val="22"/>
        </w:rPr>
      </w:pPr>
      <w:r w:rsidRPr="000A2A2D">
        <w:rPr>
          <w:sz w:val="22"/>
          <w:szCs w:val="22"/>
        </w:rPr>
        <w:t>Куликова Н.</w:t>
      </w:r>
      <w:r w:rsidR="000A2A2D">
        <w:rPr>
          <w:sz w:val="22"/>
          <w:szCs w:val="22"/>
        </w:rPr>
        <w:t xml:space="preserve"> </w:t>
      </w:r>
      <w:r w:rsidRPr="000A2A2D">
        <w:rPr>
          <w:sz w:val="22"/>
          <w:szCs w:val="22"/>
        </w:rPr>
        <w:t>И.</w:t>
      </w:r>
      <w:r w:rsidR="000A2A2D">
        <w:rPr>
          <w:sz w:val="22"/>
          <w:szCs w:val="22"/>
        </w:rPr>
        <w:t>,</w:t>
      </w:r>
    </w:p>
    <w:p w:rsidR="008742E9" w:rsidRPr="000A2A2D" w:rsidRDefault="008742E9" w:rsidP="008742E9">
      <w:pPr>
        <w:jc w:val="right"/>
        <w:rPr>
          <w:sz w:val="22"/>
          <w:szCs w:val="22"/>
        </w:rPr>
      </w:pPr>
      <w:r w:rsidRPr="000A2A2D">
        <w:rPr>
          <w:sz w:val="22"/>
          <w:szCs w:val="22"/>
        </w:rPr>
        <w:t>профессор кафедры частной зоотехнии и свиноводства,</w:t>
      </w:r>
    </w:p>
    <w:p w:rsidR="008742E9" w:rsidRPr="000A2A2D" w:rsidRDefault="008742E9" w:rsidP="008742E9">
      <w:pPr>
        <w:jc w:val="right"/>
        <w:rPr>
          <w:sz w:val="22"/>
          <w:szCs w:val="22"/>
        </w:rPr>
      </w:pPr>
      <w:r w:rsidRPr="000A2A2D">
        <w:rPr>
          <w:sz w:val="22"/>
          <w:szCs w:val="22"/>
        </w:rPr>
        <w:t>Куб</w:t>
      </w:r>
      <w:r w:rsidR="000A2A2D">
        <w:rPr>
          <w:sz w:val="22"/>
          <w:szCs w:val="22"/>
        </w:rPr>
        <w:t>анский государственный аграрный</w:t>
      </w:r>
    </w:p>
    <w:p w:rsidR="008742E9" w:rsidRPr="000A2A2D" w:rsidRDefault="008742E9" w:rsidP="008742E9">
      <w:pPr>
        <w:jc w:val="right"/>
        <w:rPr>
          <w:rFonts w:eastAsia="Calibri"/>
          <w:sz w:val="22"/>
          <w:szCs w:val="22"/>
        </w:rPr>
      </w:pPr>
      <w:r w:rsidRPr="000A2A2D">
        <w:rPr>
          <w:sz w:val="22"/>
          <w:szCs w:val="22"/>
        </w:rPr>
        <w:t>университет имени И.Т. Трубилина</w:t>
      </w:r>
    </w:p>
    <w:p w:rsidR="008742E9" w:rsidRPr="008742E9" w:rsidRDefault="008742E9" w:rsidP="008742E9">
      <w:pPr>
        <w:jc w:val="right"/>
        <w:rPr>
          <w:sz w:val="22"/>
          <w:szCs w:val="22"/>
        </w:rPr>
      </w:pPr>
    </w:p>
    <w:p w:rsidR="008742E9" w:rsidRPr="008742E9" w:rsidRDefault="000A2A2D" w:rsidP="000A2A2D">
      <w:pPr>
        <w:ind w:firstLine="426"/>
        <w:jc w:val="both"/>
        <w:rPr>
          <w:sz w:val="22"/>
          <w:szCs w:val="22"/>
        </w:rPr>
      </w:pPr>
      <w:r>
        <w:rPr>
          <w:sz w:val="22"/>
          <w:szCs w:val="22"/>
        </w:rPr>
        <w:t>АННОТАЦИЯ:</w:t>
      </w:r>
      <w:r w:rsidR="008742E9" w:rsidRPr="008742E9">
        <w:rPr>
          <w:sz w:val="22"/>
          <w:szCs w:val="22"/>
        </w:rPr>
        <w:t xml:space="preserve"> Апробирована методика повышения оплод</w:t>
      </w:r>
      <w:r w:rsidR="008742E9" w:rsidRPr="008742E9">
        <w:rPr>
          <w:sz w:val="22"/>
          <w:szCs w:val="22"/>
        </w:rPr>
        <w:t>о</w:t>
      </w:r>
      <w:r w:rsidR="008742E9" w:rsidRPr="008742E9">
        <w:rPr>
          <w:sz w:val="22"/>
          <w:szCs w:val="22"/>
        </w:rPr>
        <w:t>творяемости  ярок и овцематок породы Лакоюнэ, используемой для получения и переработки овечьего молока.</w:t>
      </w:r>
    </w:p>
    <w:p w:rsidR="008742E9" w:rsidRPr="008742E9" w:rsidRDefault="000A2A2D" w:rsidP="000A2A2D">
      <w:pPr>
        <w:ind w:firstLine="426"/>
        <w:jc w:val="both"/>
        <w:rPr>
          <w:sz w:val="22"/>
          <w:szCs w:val="22"/>
          <w:lang w:val="en-US"/>
        </w:rPr>
      </w:pPr>
      <w:r>
        <w:rPr>
          <w:sz w:val="22"/>
          <w:szCs w:val="22"/>
          <w:lang w:val="en-US"/>
        </w:rPr>
        <w:t>ABSTRACT</w:t>
      </w:r>
      <w:r w:rsidRPr="000A2A2D">
        <w:rPr>
          <w:sz w:val="22"/>
          <w:szCs w:val="22"/>
          <w:lang w:val="en-US"/>
        </w:rPr>
        <w:t>:</w:t>
      </w:r>
      <w:r w:rsidR="008742E9" w:rsidRPr="008742E9">
        <w:rPr>
          <w:sz w:val="22"/>
          <w:szCs w:val="22"/>
          <w:lang w:val="en-US"/>
        </w:rPr>
        <w:t xml:space="preserve"> The approved technique of increasing the fertility of the bright and ewes of the Lakoyune breed used for the production and processing of sheep milk. </w:t>
      </w:r>
    </w:p>
    <w:p w:rsidR="008742E9" w:rsidRPr="008742E9" w:rsidRDefault="000A2A2D" w:rsidP="000A2A2D">
      <w:pPr>
        <w:ind w:firstLine="426"/>
        <w:jc w:val="both"/>
        <w:rPr>
          <w:sz w:val="22"/>
          <w:szCs w:val="22"/>
        </w:rPr>
      </w:pPr>
      <w:r>
        <w:rPr>
          <w:sz w:val="22"/>
          <w:szCs w:val="22"/>
        </w:rPr>
        <w:lastRenderedPageBreak/>
        <w:t xml:space="preserve">КЛЮЧЕВЫЕ СЛОВА: </w:t>
      </w:r>
      <w:r w:rsidR="008742E9" w:rsidRPr="008742E9">
        <w:rPr>
          <w:sz w:val="22"/>
          <w:szCs w:val="22"/>
        </w:rPr>
        <w:t>ярка, овцематка, СЖК, амола, пессарии, мегестрол ацетата.</w:t>
      </w:r>
    </w:p>
    <w:p w:rsidR="008742E9" w:rsidRPr="008742E9" w:rsidRDefault="008742E9" w:rsidP="000A2A2D">
      <w:pPr>
        <w:ind w:firstLine="426"/>
        <w:jc w:val="both"/>
        <w:rPr>
          <w:sz w:val="22"/>
          <w:szCs w:val="22"/>
          <w:lang w:val="en-US"/>
        </w:rPr>
      </w:pPr>
      <w:r w:rsidRPr="008742E9">
        <w:rPr>
          <w:sz w:val="22"/>
          <w:szCs w:val="22"/>
          <w:lang w:val="en-US"/>
        </w:rPr>
        <w:t>KEYWORDS: yarka, ewes, FFA, amol, pessaries, megestrol ac</w:t>
      </w:r>
      <w:r w:rsidRPr="008742E9">
        <w:rPr>
          <w:sz w:val="22"/>
          <w:szCs w:val="22"/>
          <w:lang w:val="en-US"/>
        </w:rPr>
        <w:t>e</w:t>
      </w:r>
      <w:r w:rsidRPr="008742E9">
        <w:rPr>
          <w:sz w:val="22"/>
          <w:szCs w:val="22"/>
          <w:lang w:val="en-US"/>
        </w:rPr>
        <w:t>tate.</w:t>
      </w:r>
    </w:p>
    <w:p w:rsidR="008742E9" w:rsidRPr="008742E9" w:rsidRDefault="008742E9" w:rsidP="000A2A2D">
      <w:pPr>
        <w:ind w:firstLine="426"/>
        <w:jc w:val="both"/>
        <w:rPr>
          <w:sz w:val="22"/>
          <w:szCs w:val="22"/>
          <w:lang w:val="en-US"/>
        </w:rPr>
      </w:pPr>
    </w:p>
    <w:p w:rsidR="008742E9" w:rsidRPr="008742E9" w:rsidRDefault="008742E9" w:rsidP="000A2A2D">
      <w:pPr>
        <w:ind w:firstLine="426"/>
        <w:jc w:val="both"/>
        <w:rPr>
          <w:sz w:val="22"/>
          <w:szCs w:val="22"/>
        </w:rPr>
      </w:pPr>
      <w:r w:rsidRPr="008742E9">
        <w:rPr>
          <w:sz w:val="22"/>
          <w:szCs w:val="22"/>
        </w:rPr>
        <w:t>В Россию завезены из-за рубежа и используются породы овец молочного направления продуктивности, которые используются для получения и переработки молока [1, 2]. Использование овец породы лакоюнэ в Краснодарском крае в течение трех лет показало, что у потомства, полученного от завезенных матерей, снизились воспр</w:t>
      </w:r>
      <w:r w:rsidRPr="008742E9">
        <w:rPr>
          <w:sz w:val="22"/>
          <w:szCs w:val="22"/>
        </w:rPr>
        <w:t>о</w:t>
      </w:r>
      <w:r w:rsidRPr="008742E9">
        <w:rPr>
          <w:sz w:val="22"/>
          <w:szCs w:val="22"/>
        </w:rPr>
        <w:t>изводительные функции: слабее проявляется  половая охота и сн</w:t>
      </w:r>
      <w:r w:rsidRPr="008742E9">
        <w:rPr>
          <w:sz w:val="22"/>
          <w:szCs w:val="22"/>
        </w:rPr>
        <w:t>и</w:t>
      </w:r>
      <w:r w:rsidRPr="008742E9">
        <w:rPr>
          <w:sz w:val="22"/>
          <w:szCs w:val="22"/>
        </w:rPr>
        <w:t xml:space="preserve">жается оплодотворяемость ярок и овцематок. С целью повышения воспроизводительных качеств у овец породы лакоюнэ разработаны и испытаны различные схемы стимуляции. </w:t>
      </w:r>
    </w:p>
    <w:p w:rsidR="008742E9" w:rsidRPr="008742E9" w:rsidRDefault="008742E9" w:rsidP="000A2A2D">
      <w:pPr>
        <w:ind w:firstLine="426"/>
        <w:jc w:val="both"/>
        <w:rPr>
          <w:sz w:val="22"/>
          <w:szCs w:val="22"/>
        </w:rPr>
      </w:pPr>
      <w:r w:rsidRPr="008742E9">
        <w:rPr>
          <w:sz w:val="22"/>
          <w:szCs w:val="22"/>
        </w:rPr>
        <w:t>По первой схеме использовали: 5 мг Амола на 1 тампон 7 мл спирта 95 % + 5мг Мегестрол ацетата 1 % + 2 мл раствора Метил</w:t>
      </w:r>
      <w:r w:rsidRPr="008742E9">
        <w:rPr>
          <w:sz w:val="22"/>
          <w:szCs w:val="22"/>
        </w:rPr>
        <w:t>е</w:t>
      </w:r>
      <w:r w:rsidRPr="008742E9">
        <w:rPr>
          <w:sz w:val="22"/>
          <w:szCs w:val="22"/>
        </w:rPr>
        <w:t>нового синего. По второй схеме использовали: 10 мг Амола на 1 тампон 7 мл спирта 95 % + 10 мг Мегестрол ацетата 1 % + 2 мл ра</w:t>
      </w:r>
      <w:r w:rsidRPr="008742E9">
        <w:rPr>
          <w:sz w:val="22"/>
          <w:szCs w:val="22"/>
        </w:rPr>
        <w:t>с</w:t>
      </w:r>
      <w:r w:rsidRPr="008742E9">
        <w:rPr>
          <w:sz w:val="22"/>
          <w:szCs w:val="22"/>
        </w:rPr>
        <w:t>твора Метиленового синего. По третьей схеме использовали: 15мг Амола на 1 тампон 7 мл спирта 95% + 15мг Мегестрол ацетата 1% + 2 мл метиленового синего раствора.</w:t>
      </w:r>
    </w:p>
    <w:p w:rsidR="008742E9" w:rsidRPr="008742E9" w:rsidRDefault="008742E9" w:rsidP="000A2A2D">
      <w:pPr>
        <w:ind w:firstLine="426"/>
        <w:jc w:val="both"/>
        <w:rPr>
          <w:sz w:val="22"/>
          <w:szCs w:val="22"/>
        </w:rPr>
      </w:pPr>
      <w:r w:rsidRPr="008742E9">
        <w:rPr>
          <w:sz w:val="22"/>
          <w:szCs w:val="22"/>
        </w:rPr>
        <w:t>С целью испытания предложенных схем сформировали 6 групп, в каждую из которых включили ярок и овцематок. Живо</w:t>
      </w:r>
      <w:r w:rsidRPr="008742E9">
        <w:rPr>
          <w:sz w:val="22"/>
          <w:szCs w:val="22"/>
        </w:rPr>
        <w:t>т</w:t>
      </w:r>
      <w:r w:rsidRPr="008742E9">
        <w:rPr>
          <w:sz w:val="22"/>
          <w:szCs w:val="22"/>
        </w:rPr>
        <w:t xml:space="preserve">ным 1 контрольной группы закладывали пессарии, пропитанные 5 мг Амола на 8 дней. На 9 день пессарии вынимали и вводили  СЖК / фоллимаг 400 ед. Осеменение проводили через 48 часов после инъекции. </w:t>
      </w:r>
    </w:p>
    <w:p w:rsidR="008742E9" w:rsidRPr="008742E9" w:rsidRDefault="008742E9" w:rsidP="000A2A2D">
      <w:pPr>
        <w:ind w:firstLine="426"/>
        <w:jc w:val="both"/>
        <w:rPr>
          <w:sz w:val="22"/>
          <w:szCs w:val="22"/>
        </w:rPr>
      </w:pPr>
      <w:r w:rsidRPr="008742E9">
        <w:rPr>
          <w:sz w:val="22"/>
          <w:szCs w:val="22"/>
        </w:rPr>
        <w:t>Животным 2 опытной группы закладывали пессарии на 9 дней пропитанные 5 мг Амола.  На 10 день пессарии вынимали и ввод</w:t>
      </w:r>
      <w:r w:rsidRPr="008742E9">
        <w:rPr>
          <w:sz w:val="22"/>
          <w:szCs w:val="22"/>
        </w:rPr>
        <w:t>и</w:t>
      </w:r>
      <w:r w:rsidRPr="008742E9">
        <w:rPr>
          <w:sz w:val="22"/>
          <w:szCs w:val="22"/>
        </w:rPr>
        <w:t xml:space="preserve">ли СЖК / фоллимаг 400 ед. </w:t>
      </w:r>
    </w:p>
    <w:p w:rsidR="008742E9" w:rsidRPr="008742E9" w:rsidRDefault="008742E9" w:rsidP="000A2A2D">
      <w:pPr>
        <w:ind w:firstLine="426"/>
        <w:jc w:val="both"/>
        <w:rPr>
          <w:sz w:val="22"/>
          <w:szCs w:val="22"/>
        </w:rPr>
      </w:pPr>
      <w:r w:rsidRPr="008742E9">
        <w:rPr>
          <w:sz w:val="22"/>
          <w:szCs w:val="22"/>
        </w:rPr>
        <w:t>Животным 3 опытной группы закладывали пессарии на 9 дней пропитанные 5 мг амола. На 10 день пессарии вынимали и инъец</w:t>
      </w:r>
      <w:r w:rsidRPr="008742E9">
        <w:rPr>
          <w:sz w:val="22"/>
          <w:szCs w:val="22"/>
        </w:rPr>
        <w:t>и</w:t>
      </w:r>
      <w:r w:rsidRPr="008742E9">
        <w:rPr>
          <w:sz w:val="22"/>
          <w:szCs w:val="22"/>
        </w:rPr>
        <w:t>ровали СЖК / фоллимаг 400ед. Осеменение проводили через 48 ч</w:t>
      </w:r>
      <w:r w:rsidRPr="008742E9">
        <w:rPr>
          <w:sz w:val="22"/>
          <w:szCs w:val="22"/>
        </w:rPr>
        <w:t>а</w:t>
      </w:r>
      <w:r w:rsidRPr="008742E9">
        <w:rPr>
          <w:sz w:val="22"/>
          <w:szCs w:val="22"/>
        </w:rPr>
        <w:t xml:space="preserve">сов. </w:t>
      </w:r>
    </w:p>
    <w:p w:rsidR="008742E9" w:rsidRPr="008742E9" w:rsidRDefault="008742E9" w:rsidP="000A2A2D">
      <w:pPr>
        <w:ind w:firstLine="426"/>
        <w:jc w:val="both"/>
        <w:rPr>
          <w:sz w:val="22"/>
          <w:szCs w:val="22"/>
        </w:rPr>
      </w:pPr>
      <w:r w:rsidRPr="008742E9">
        <w:rPr>
          <w:sz w:val="22"/>
          <w:szCs w:val="22"/>
        </w:rPr>
        <w:t xml:space="preserve">Животным 4 опытной группы закладывали пессарии на 8 дней пропитанные 15 мг амола. На 9 день пессарии вынимали и вводили СЖК / фоллимаг 400ед. Осеменение проводили через 48 часов. </w:t>
      </w:r>
    </w:p>
    <w:p w:rsidR="008742E9" w:rsidRPr="008742E9" w:rsidRDefault="008742E9" w:rsidP="000A2A2D">
      <w:pPr>
        <w:ind w:firstLine="426"/>
        <w:jc w:val="both"/>
        <w:rPr>
          <w:sz w:val="22"/>
          <w:szCs w:val="22"/>
        </w:rPr>
      </w:pPr>
      <w:r w:rsidRPr="008742E9">
        <w:rPr>
          <w:sz w:val="22"/>
          <w:szCs w:val="22"/>
        </w:rPr>
        <w:lastRenderedPageBreak/>
        <w:t xml:space="preserve">Животным 5 опытной группы закладывали пессарии на 13 дней пропитанные 15 мг амола. На 14 день пессарии вынимали и вводили СЖК / фоллимаг 400ед. Осеменение проводили через 48 часов. </w:t>
      </w:r>
    </w:p>
    <w:p w:rsidR="008742E9" w:rsidRPr="008742E9" w:rsidRDefault="008742E9" w:rsidP="000A2A2D">
      <w:pPr>
        <w:ind w:firstLine="426"/>
        <w:jc w:val="both"/>
        <w:rPr>
          <w:sz w:val="22"/>
          <w:szCs w:val="22"/>
        </w:rPr>
      </w:pPr>
      <w:r w:rsidRPr="008742E9">
        <w:rPr>
          <w:sz w:val="22"/>
          <w:szCs w:val="22"/>
        </w:rPr>
        <w:t>Животным 6 опытной группы закладывали пессарии на 13 дней пропитанные 15 мг амола. На 14 день пессарии вынимали и вводили СЖК / фоллимаг 400ед. Осеменение проводили через 36 часов.</w:t>
      </w:r>
    </w:p>
    <w:p w:rsidR="008742E9" w:rsidRPr="008742E9" w:rsidRDefault="008742E9" w:rsidP="000A2A2D">
      <w:pPr>
        <w:ind w:firstLine="426"/>
        <w:jc w:val="both"/>
        <w:rPr>
          <w:sz w:val="22"/>
          <w:szCs w:val="22"/>
        </w:rPr>
      </w:pPr>
      <w:r w:rsidRPr="008742E9">
        <w:rPr>
          <w:sz w:val="22"/>
          <w:szCs w:val="22"/>
        </w:rPr>
        <w:t>В результате определения суягности оказалось, что в 1-й (ко</w:t>
      </w:r>
      <w:r w:rsidRPr="008742E9">
        <w:rPr>
          <w:sz w:val="22"/>
          <w:szCs w:val="22"/>
        </w:rPr>
        <w:t>н</w:t>
      </w:r>
      <w:r w:rsidRPr="008742E9">
        <w:rPr>
          <w:sz w:val="22"/>
          <w:szCs w:val="22"/>
        </w:rPr>
        <w:t>трольной) группе оплодотворяемость составила: у дойных о</w:t>
      </w:r>
      <w:r w:rsidRPr="008742E9">
        <w:rPr>
          <w:sz w:val="22"/>
          <w:szCs w:val="22"/>
        </w:rPr>
        <w:t>в</w:t>
      </w:r>
      <w:r w:rsidRPr="008742E9">
        <w:rPr>
          <w:sz w:val="22"/>
          <w:szCs w:val="22"/>
        </w:rPr>
        <w:t xml:space="preserve">цематок (лактация 45-180дн) - 42 %, ярок случного возраста -73 %, овцематок холостых - 53 %. </w:t>
      </w:r>
    </w:p>
    <w:p w:rsidR="008742E9" w:rsidRPr="008742E9" w:rsidRDefault="008742E9" w:rsidP="000A2A2D">
      <w:pPr>
        <w:ind w:firstLine="426"/>
        <w:jc w:val="both"/>
        <w:rPr>
          <w:sz w:val="22"/>
          <w:szCs w:val="22"/>
        </w:rPr>
      </w:pPr>
      <w:r w:rsidRPr="008742E9">
        <w:rPr>
          <w:sz w:val="22"/>
          <w:szCs w:val="22"/>
        </w:rPr>
        <w:t>Во 2 опытной группе процент оплодотворяемости составил: у дойных овцематок (лактация 45-180 дн) – 33 %, ярок случного во</w:t>
      </w:r>
      <w:r w:rsidRPr="008742E9">
        <w:rPr>
          <w:sz w:val="22"/>
          <w:szCs w:val="22"/>
        </w:rPr>
        <w:t>з</w:t>
      </w:r>
      <w:r w:rsidRPr="008742E9">
        <w:rPr>
          <w:sz w:val="22"/>
          <w:szCs w:val="22"/>
        </w:rPr>
        <w:t xml:space="preserve">раста – 65 %, овцематок холостых – 47 %. </w:t>
      </w:r>
    </w:p>
    <w:p w:rsidR="008742E9" w:rsidRPr="008742E9" w:rsidRDefault="008742E9" w:rsidP="000A2A2D">
      <w:pPr>
        <w:ind w:firstLine="426"/>
        <w:jc w:val="both"/>
        <w:rPr>
          <w:sz w:val="22"/>
          <w:szCs w:val="22"/>
        </w:rPr>
      </w:pPr>
      <w:r w:rsidRPr="008742E9">
        <w:rPr>
          <w:sz w:val="22"/>
          <w:szCs w:val="22"/>
        </w:rPr>
        <w:t>В 3 опытной группе процент оплодотворяемости составил: у дойных овцематок (лактация 45-180 дн) – 18 %, ярок случного во</w:t>
      </w:r>
      <w:r w:rsidRPr="008742E9">
        <w:rPr>
          <w:sz w:val="22"/>
          <w:szCs w:val="22"/>
        </w:rPr>
        <w:t>з</w:t>
      </w:r>
      <w:r w:rsidRPr="008742E9">
        <w:rPr>
          <w:sz w:val="22"/>
          <w:szCs w:val="22"/>
        </w:rPr>
        <w:t xml:space="preserve">раста – 60 %, овцематок холостых –37 %. </w:t>
      </w:r>
    </w:p>
    <w:p w:rsidR="008742E9" w:rsidRPr="008742E9" w:rsidRDefault="008742E9" w:rsidP="000A2A2D">
      <w:pPr>
        <w:ind w:firstLine="426"/>
        <w:jc w:val="both"/>
        <w:rPr>
          <w:sz w:val="22"/>
          <w:szCs w:val="22"/>
        </w:rPr>
      </w:pPr>
      <w:r w:rsidRPr="008742E9">
        <w:rPr>
          <w:sz w:val="22"/>
          <w:szCs w:val="22"/>
        </w:rPr>
        <w:t xml:space="preserve">В 4 опытной группе процент оплодотворяемости составил: у дойных овцематок (лактация 45-180дн) – 80 %, овцематок холостых – 18 %.  </w:t>
      </w:r>
    </w:p>
    <w:p w:rsidR="008742E9" w:rsidRPr="008742E9" w:rsidRDefault="008742E9" w:rsidP="000A2A2D">
      <w:pPr>
        <w:ind w:firstLine="426"/>
        <w:jc w:val="both"/>
        <w:rPr>
          <w:sz w:val="22"/>
          <w:szCs w:val="22"/>
        </w:rPr>
      </w:pPr>
      <w:r w:rsidRPr="008742E9">
        <w:rPr>
          <w:sz w:val="22"/>
          <w:szCs w:val="22"/>
        </w:rPr>
        <w:t xml:space="preserve">В 5 опытной группе процент оплодотворяемости составил: у овцематок холостых – 36 %. </w:t>
      </w:r>
    </w:p>
    <w:p w:rsidR="008742E9" w:rsidRPr="008742E9" w:rsidRDefault="008742E9" w:rsidP="000A2A2D">
      <w:pPr>
        <w:ind w:firstLine="426"/>
        <w:jc w:val="both"/>
        <w:rPr>
          <w:sz w:val="22"/>
          <w:szCs w:val="22"/>
        </w:rPr>
      </w:pPr>
      <w:r w:rsidRPr="008742E9">
        <w:rPr>
          <w:sz w:val="22"/>
          <w:szCs w:val="22"/>
        </w:rPr>
        <w:t>В 6 опытной группе процент оплодотворяемости составил: у овцематок дойных – 51 %, овцематок холостых – 30 %.</w:t>
      </w:r>
    </w:p>
    <w:p w:rsidR="008742E9" w:rsidRPr="008742E9" w:rsidRDefault="008742E9" w:rsidP="000A2A2D">
      <w:pPr>
        <w:ind w:firstLine="426"/>
        <w:jc w:val="both"/>
        <w:rPr>
          <w:sz w:val="22"/>
          <w:szCs w:val="22"/>
        </w:rPr>
      </w:pPr>
      <w:r w:rsidRPr="008742E9">
        <w:rPr>
          <w:sz w:val="22"/>
          <w:szCs w:val="22"/>
        </w:rPr>
        <w:t xml:space="preserve">На основании полученных результатов следует отметить, что для повышения оплодотворяемости целесообразно использовать следующие программы: </w:t>
      </w:r>
    </w:p>
    <w:p w:rsidR="008742E9" w:rsidRPr="008742E9" w:rsidRDefault="008742E9" w:rsidP="000A2A2D">
      <w:pPr>
        <w:ind w:firstLine="426"/>
        <w:jc w:val="both"/>
        <w:rPr>
          <w:sz w:val="22"/>
          <w:szCs w:val="22"/>
        </w:rPr>
      </w:pPr>
      <w:r w:rsidRPr="008742E9">
        <w:rPr>
          <w:sz w:val="22"/>
          <w:szCs w:val="22"/>
        </w:rPr>
        <w:t>1. Дойным овцематкам (лактация 45 – 189 дней) закладывать пессарии на 8 дней пропитанные 15 мг амола. На 9 день пессарии вынимать и вводить СЖК / фоллимаг 400ед. Осеменение проводить через 48 часов после инъекции.</w:t>
      </w:r>
    </w:p>
    <w:p w:rsidR="008742E9" w:rsidRPr="008742E9" w:rsidRDefault="008742E9" w:rsidP="003435E2">
      <w:pPr>
        <w:ind w:firstLine="426"/>
        <w:jc w:val="both"/>
        <w:rPr>
          <w:sz w:val="22"/>
          <w:szCs w:val="22"/>
        </w:rPr>
      </w:pPr>
      <w:r w:rsidRPr="008742E9">
        <w:rPr>
          <w:sz w:val="22"/>
          <w:szCs w:val="22"/>
        </w:rPr>
        <w:t>2. Холостым овцематкам и яркам случного возраста заклад</w:t>
      </w:r>
      <w:r w:rsidRPr="008742E9">
        <w:rPr>
          <w:sz w:val="22"/>
          <w:szCs w:val="22"/>
        </w:rPr>
        <w:t>ы</w:t>
      </w:r>
      <w:r w:rsidRPr="008742E9">
        <w:rPr>
          <w:sz w:val="22"/>
          <w:szCs w:val="22"/>
        </w:rPr>
        <w:t>вать пессарии, пропитанные 5 мг амола, на 8 дней. На 9 день песс</w:t>
      </w:r>
      <w:r w:rsidRPr="008742E9">
        <w:rPr>
          <w:sz w:val="22"/>
          <w:szCs w:val="22"/>
        </w:rPr>
        <w:t>а</w:t>
      </w:r>
      <w:r w:rsidRPr="008742E9">
        <w:rPr>
          <w:sz w:val="22"/>
          <w:szCs w:val="22"/>
        </w:rPr>
        <w:t>рии рекомендуется вынимать и вводить СЖК / фоллимаг 400 ед. Осеменение проводить через 48 часов после инъекции.</w:t>
      </w:r>
    </w:p>
    <w:p w:rsidR="008742E9" w:rsidRPr="008742E9" w:rsidRDefault="008742E9" w:rsidP="000A2A2D">
      <w:pPr>
        <w:ind w:firstLine="426"/>
        <w:jc w:val="center"/>
        <w:rPr>
          <w:sz w:val="22"/>
          <w:szCs w:val="22"/>
        </w:rPr>
      </w:pPr>
      <w:r w:rsidRPr="008742E9">
        <w:rPr>
          <w:sz w:val="22"/>
          <w:szCs w:val="22"/>
        </w:rPr>
        <w:t>Список литературы</w:t>
      </w:r>
    </w:p>
    <w:p w:rsidR="008742E9" w:rsidRPr="008742E9" w:rsidRDefault="008742E9" w:rsidP="000A2A2D">
      <w:pPr>
        <w:ind w:firstLine="426"/>
        <w:rPr>
          <w:sz w:val="22"/>
          <w:szCs w:val="22"/>
        </w:rPr>
      </w:pPr>
      <w:r w:rsidRPr="008742E9">
        <w:rPr>
          <w:sz w:val="22"/>
          <w:szCs w:val="22"/>
        </w:rPr>
        <w:t>1. Амерханов Х.А. Овцеводство и козоводство Российской Ф</w:t>
      </w:r>
      <w:r w:rsidRPr="008742E9">
        <w:rPr>
          <w:sz w:val="22"/>
          <w:szCs w:val="22"/>
        </w:rPr>
        <w:t>е</w:t>
      </w:r>
      <w:r w:rsidRPr="008742E9">
        <w:rPr>
          <w:sz w:val="22"/>
          <w:szCs w:val="22"/>
        </w:rPr>
        <w:t>дерации в цифрах: справочник / Х.А. Амерханов М.В., Егоров А.И., Суров B.H.и др. – Ставрополь. -2014. – 111 с</w:t>
      </w:r>
    </w:p>
    <w:p w:rsidR="008742E9" w:rsidRPr="008742E9" w:rsidRDefault="008742E9" w:rsidP="000A2A2D">
      <w:pPr>
        <w:ind w:firstLine="426"/>
        <w:rPr>
          <w:sz w:val="22"/>
          <w:szCs w:val="22"/>
        </w:rPr>
      </w:pPr>
      <w:r w:rsidRPr="008742E9">
        <w:rPr>
          <w:sz w:val="22"/>
          <w:szCs w:val="22"/>
        </w:rPr>
        <w:lastRenderedPageBreak/>
        <w:t>2. Ерохин А. И. Тенденция развития овцеводства в Российчкой Федерации /А. И. Ерохин, Е. А. Карасев, Ю. А. Юлдашбаев // Зо</w:t>
      </w:r>
      <w:r w:rsidRPr="008742E9">
        <w:rPr>
          <w:sz w:val="22"/>
          <w:szCs w:val="22"/>
        </w:rPr>
        <w:t>о</w:t>
      </w:r>
      <w:r w:rsidRPr="008742E9">
        <w:rPr>
          <w:sz w:val="22"/>
          <w:szCs w:val="22"/>
        </w:rPr>
        <w:t>техния. – 2014. – № 12 – С. – 12-13.</w:t>
      </w:r>
    </w:p>
    <w:p w:rsidR="008742E9" w:rsidRPr="008742E9" w:rsidRDefault="008742E9" w:rsidP="003435E2">
      <w:pPr>
        <w:rPr>
          <w:sz w:val="24"/>
          <w:szCs w:val="24"/>
        </w:rPr>
      </w:pPr>
    </w:p>
    <w:p w:rsidR="003435E2" w:rsidRPr="008742E9" w:rsidRDefault="003435E2" w:rsidP="003435E2">
      <w:pPr>
        <w:spacing w:line="276" w:lineRule="auto"/>
        <w:rPr>
          <w:sz w:val="24"/>
          <w:szCs w:val="24"/>
        </w:rPr>
      </w:pPr>
    </w:p>
    <w:p w:rsidR="008742E9" w:rsidRDefault="008742E9" w:rsidP="003435E2">
      <w:pPr>
        <w:rPr>
          <w:sz w:val="22"/>
          <w:szCs w:val="22"/>
        </w:rPr>
      </w:pPr>
      <w:r w:rsidRPr="000A2A2D">
        <w:rPr>
          <w:sz w:val="22"/>
          <w:szCs w:val="22"/>
        </w:rPr>
        <w:t>УДК 636.5.084.085.55</w:t>
      </w:r>
    </w:p>
    <w:p w:rsidR="003435E2" w:rsidRPr="000A2A2D" w:rsidRDefault="003435E2" w:rsidP="003435E2">
      <w:pPr>
        <w:rPr>
          <w:sz w:val="22"/>
          <w:szCs w:val="22"/>
        </w:rPr>
      </w:pPr>
    </w:p>
    <w:p w:rsidR="008742E9" w:rsidRPr="008742E9" w:rsidRDefault="008742E9" w:rsidP="003435E2">
      <w:pPr>
        <w:jc w:val="center"/>
        <w:rPr>
          <w:b/>
          <w:sz w:val="24"/>
          <w:szCs w:val="24"/>
        </w:rPr>
      </w:pPr>
      <w:r w:rsidRPr="008742E9">
        <w:rPr>
          <w:b/>
          <w:sz w:val="24"/>
          <w:szCs w:val="24"/>
        </w:rPr>
        <w:t>Использование подкислителей в корме для птиц</w:t>
      </w:r>
    </w:p>
    <w:p w:rsidR="008742E9" w:rsidRPr="008742E9" w:rsidRDefault="008742E9" w:rsidP="003435E2">
      <w:pPr>
        <w:jc w:val="center"/>
        <w:rPr>
          <w:b/>
          <w:sz w:val="24"/>
          <w:szCs w:val="24"/>
          <w:lang w:val="en-US"/>
        </w:rPr>
      </w:pPr>
      <w:r w:rsidRPr="008742E9">
        <w:rPr>
          <w:b/>
          <w:sz w:val="24"/>
          <w:szCs w:val="24"/>
          <w:lang w:val="en-US"/>
        </w:rPr>
        <w:t>The use of acidifying agents in the feed for birds</w:t>
      </w:r>
    </w:p>
    <w:p w:rsidR="008742E9" w:rsidRPr="008742E9" w:rsidRDefault="008742E9" w:rsidP="003435E2">
      <w:pPr>
        <w:jc w:val="center"/>
        <w:rPr>
          <w:b/>
          <w:sz w:val="24"/>
          <w:szCs w:val="24"/>
          <w:lang w:val="en-US"/>
        </w:rPr>
      </w:pPr>
    </w:p>
    <w:p w:rsidR="008742E9" w:rsidRPr="000A2A2D" w:rsidRDefault="008742E9" w:rsidP="000A2A2D">
      <w:pPr>
        <w:jc w:val="right"/>
        <w:rPr>
          <w:sz w:val="22"/>
          <w:szCs w:val="22"/>
        </w:rPr>
      </w:pPr>
      <w:r w:rsidRPr="000A2A2D">
        <w:rPr>
          <w:sz w:val="22"/>
          <w:szCs w:val="22"/>
        </w:rPr>
        <w:t>Комирняя А.</w:t>
      </w:r>
      <w:r w:rsidR="000A2A2D">
        <w:rPr>
          <w:sz w:val="22"/>
          <w:szCs w:val="22"/>
        </w:rPr>
        <w:t xml:space="preserve"> </w:t>
      </w:r>
      <w:r w:rsidRPr="000A2A2D">
        <w:rPr>
          <w:sz w:val="22"/>
          <w:szCs w:val="22"/>
        </w:rPr>
        <w:t>Н.,</w:t>
      </w:r>
    </w:p>
    <w:p w:rsidR="008742E9" w:rsidRPr="000A2A2D" w:rsidRDefault="008742E9" w:rsidP="000A2A2D">
      <w:pPr>
        <w:jc w:val="right"/>
        <w:rPr>
          <w:sz w:val="22"/>
          <w:szCs w:val="22"/>
        </w:rPr>
      </w:pPr>
      <w:r w:rsidRPr="000A2A2D">
        <w:rPr>
          <w:sz w:val="22"/>
          <w:szCs w:val="22"/>
        </w:rPr>
        <w:t>студентка 4-го курса факультета зоотехнии</w:t>
      </w:r>
    </w:p>
    <w:p w:rsidR="008742E9" w:rsidRPr="000A2A2D" w:rsidRDefault="008742E9" w:rsidP="000A2A2D">
      <w:pPr>
        <w:jc w:val="right"/>
        <w:rPr>
          <w:sz w:val="22"/>
          <w:szCs w:val="22"/>
        </w:rPr>
      </w:pPr>
      <w:r w:rsidRPr="000A2A2D">
        <w:rPr>
          <w:sz w:val="22"/>
          <w:szCs w:val="22"/>
        </w:rPr>
        <w:t>Комлацкий В.</w:t>
      </w:r>
      <w:r w:rsidR="000A2A2D">
        <w:rPr>
          <w:sz w:val="22"/>
          <w:szCs w:val="22"/>
        </w:rPr>
        <w:t xml:space="preserve"> </w:t>
      </w:r>
      <w:r w:rsidRPr="000A2A2D">
        <w:rPr>
          <w:sz w:val="22"/>
          <w:szCs w:val="22"/>
        </w:rPr>
        <w:t>И.,</w:t>
      </w:r>
    </w:p>
    <w:p w:rsidR="008742E9" w:rsidRPr="000A2A2D" w:rsidRDefault="008742E9" w:rsidP="000A2A2D">
      <w:pPr>
        <w:jc w:val="right"/>
        <w:rPr>
          <w:sz w:val="22"/>
          <w:szCs w:val="22"/>
        </w:rPr>
      </w:pPr>
      <w:r w:rsidRPr="000A2A2D">
        <w:rPr>
          <w:sz w:val="22"/>
          <w:szCs w:val="22"/>
        </w:rPr>
        <w:t>проф</w:t>
      </w:r>
      <w:r w:rsidR="000A2A2D">
        <w:rPr>
          <w:sz w:val="22"/>
          <w:szCs w:val="22"/>
        </w:rPr>
        <w:t>ессор кафедры частной зоотехнии</w:t>
      </w:r>
    </w:p>
    <w:p w:rsidR="008742E9" w:rsidRPr="000A2A2D" w:rsidRDefault="008742E9" w:rsidP="000A2A2D">
      <w:pPr>
        <w:jc w:val="right"/>
        <w:rPr>
          <w:sz w:val="22"/>
          <w:szCs w:val="22"/>
        </w:rPr>
      </w:pPr>
      <w:r w:rsidRPr="000A2A2D">
        <w:rPr>
          <w:sz w:val="22"/>
          <w:szCs w:val="22"/>
        </w:rPr>
        <w:t>и свиноводства</w:t>
      </w:r>
    </w:p>
    <w:p w:rsidR="008742E9" w:rsidRPr="000A2A2D" w:rsidRDefault="008742E9" w:rsidP="000A2A2D">
      <w:pPr>
        <w:jc w:val="right"/>
        <w:rPr>
          <w:sz w:val="22"/>
          <w:szCs w:val="22"/>
        </w:rPr>
      </w:pPr>
      <w:r w:rsidRPr="000A2A2D">
        <w:rPr>
          <w:sz w:val="22"/>
          <w:szCs w:val="22"/>
        </w:rPr>
        <w:t xml:space="preserve">Кубанский государственный </w:t>
      </w:r>
      <w:r w:rsidR="000A2A2D">
        <w:rPr>
          <w:sz w:val="22"/>
          <w:szCs w:val="22"/>
        </w:rPr>
        <w:t>аграрный</w:t>
      </w:r>
    </w:p>
    <w:p w:rsidR="008742E9" w:rsidRDefault="008742E9" w:rsidP="000A2A2D">
      <w:pPr>
        <w:jc w:val="right"/>
        <w:rPr>
          <w:sz w:val="22"/>
          <w:szCs w:val="22"/>
        </w:rPr>
      </w:pPr>
      <w:r w:rsidRPr="000A2A2D">
        <w:rPr>
          <w:sz w:val="22"/>
          <w:szCs w:val="22"/>
        </w:rPr>
        <w:t>университет имени И.</w:t>
      </w:r>
      <w:r w:rsidR="000A2A2D">
        <w:rPr>
          <w:sz w:val="22"/>
          <w:szCs w:val="22"/>
        </w:rPr>
        <w:t xml:space="preserve"> </w:t>
      </w:r>
      <w:r w:rsidRPr="000A2A2D">
        <w:rPr>
          <w:sz w:val="22"/>
          <w:szCs w:val="22"/>
        </w:rPr>
        <w:t>Т. Трубилина</w:t>
      </w:r>
    </w:p>
    <w:p w:rsidR="000A2A2D" w:rsidRPr="000A2A2D" w:rsidRDefault="000A2A2D" w:rsidP="000A2A2D">
      <w:pPr>
        <w:jc w:val="right"/>
        <w:rPr>
          <w:sz w:val="22"/>
          <w:szCs w:val="22"/>
        </w:rPr>
      </w:pPr>
    </w:p>
    <w:p w:rsidR="008742E9" w:rsidRPr="008742E9" w:rsidRDefault="000A2A2D" w:rsidP="000A2A2D">
      <w:pPr>
        <w:ind w:firstLine="426"/>
        <w:jc w:val="both"/>
        <w:rPr>
          <w:sz w:val="22"/>
          <w:szCs w:val="22"/>
        </w:rPr>
      </w:pPr>
      <w:r>
        <w:rPr>
          <w:sz w:val="22"/>
          <w:szCs w:val="22"/>
        </w:rPr>
        <w:t>АННОТАЦИЯ:</w:t>
      </w:r>
      <w:r w:rsidR="008742E9" w:rsidRPr="000A2A2D">
        <w:rPr>
          <w:sz w:val="22"/>
          <w:szCs w:val="22"/>
        </w:rPr>
        <w:t xml:space="preserve"> Для реализации генетического потенциала в</w:t>
      </w:r>
      <w:r w:rsidR="008742E9" w:rsidRPr="000A2A2D">
        <w:rPr>
          <w:sz w:val="22"/>
          <w:szCs w:val="22"/>
        </w:rPr>
        <w:t>ы</w:t>
      </w:r>
      <w:r w:rsidR="008742E9" w:rsidRPr="000A2A2D">
        <w:rPr>
          <w:sz w:val="22"/>
          <w:szCs w:val="22"/>
        </w:rPr>
        <w:t>сокопродуктивных</w:t>
      </w:r>
      <w:r w:rsidR="008742E9" w:rsidRPr="008742E9">
        <w:rPr>
          <w:sz w:val="22"/>
          <w:szCs w:val="22"/>
        </w:rPr>
        <w:t xml:space="preserve"> кроссов птицы необходимо обеспечить птицу высококачественными кормами, обогащенными микроэлементами и биологически активными веществами. В условиях птицефабрики «Новороссийск» проведен научно-производственный опыт по и</w:t>
      </w:r>
      <w:r w:rsidR="008742E9" w:rsidRPr="008742E9">
        <w:rPr>
          <w:sz w:val="22"/>
          <w:szCs w:val="22"/>
        </w:rPr>
        <w:t>с</w:t>
      </w:r>
      <w:r w:rsidR="008742E9" w:rsidRPr="008742E9">
        <w:rPr>
          <w:sz w:val="22"/>
          <w:szCs w:val="22"/>
        </w:rPr>
        <w:t xml:space="preserve">пользованию в качестве добавки кормового концентрата «Фурор-Т». </w:t>
      </w:r>
    </w:p>
    <w:p w:rsidR="008742E9" w:rsidRPr="008742E9" w:rsidRDefault="000A2A2D" w:rsidP="000A2A2D">
      <w:pPr>
        <w:ind w:firstLine="426"/>
        <w:jc w:val="both"/>
        <w:rPr>
          <w:sz w:val="22"/>
          <w:szCs w:val="22"/>
          <w:lang w:val="en-US"/>
        </w:rPr>
      </w:pPr>
      <w:r>
        <w:rPr>
          <w:sz w:val="22"/>
          <w:szCs w:val="22"/>
          <w:lang w:val="en-US"/>
        </w:rPr>
        <w:t>ANNOTATION</w:t>
      </w:r>
      <w:r w:rsidRPr="000A2A2D">
        <w:rPr>
          <w:sz w:val="22"/>
          <w:szCs w:val="22"/>
          <w:lang w:val="en-US"/>
        </w:rPr>
        <w:t>:</w:t>
      </w:r>
      <w:r w:rsidR="008742E9" w:rsidRPr="008742E9">
        <w:rPr>
          <w:sz w:val="22"/>
          <w:szCs w:val="22"/>
          <w:lang w:val="en-US"/>
        </w:rPr>
        <w:t xml:space="preserve"> For realization of genetic potential of highly pr</w:t>
      </w:r>
      <w:r w:rsidR="008742E9" w:rsidRPr="008742E9">
        <w:rPr>
          <w:sz w:val="22"/>
          <w:szCs w:val="22"/>
          <w:lang w:val="en-US"/>
        </w:rPr>
        <w:t>o</w:t>
      </w:r>
      <w:r w:rsidR="008742E9" w:rsidRPr="008742E9">
        <w:rPr>
          <w:sz w:val="22"/>
          <w:szCs w:val="22"/>
          <w:lang w:val="en-US"/>
        </w:rPr>
        <w:t>ductive crosses of a bird it is necessary to provide a bird with the high-quality forages enriched with microelements and biologically active su</w:t>
      </w:r>
      <w:r w:rsidR="008742E9" w:rsidRPr="008742E9">
        <w:rPr>
          <w:sz w:val="22"/>
          <w:szCs w:val="22"/>
          <w:lang w:val="en-US"/>
        </w:rPr>
        <w:t>b</w:t>
      </w:r>
      <w:r w:rsidR="008742E9" w:rsidRPr="008742E9">
        <w:rPr>
          <w:sz w:val="22"/>
          <w:szCs w:val="22"/>
          <w:lang w:val="en-US"/>
        </w:rPr>
        <w:t xml:space="preserve">stances. In a production environment poultry "Novorossiysk" was held scientific-production experience in the use as feed additive concentrate "Splash-T". </w:t>
      </w:r>
    </w:p>
    <w:p w:rsidR="008742E9" w:rsidRPr="008742E9" w:rsidRDefault="008742E9" w:rsidP="000A2A2D">
      <w:pPr>
        <w:ind w:firstLine="426"/>
        <w:jc w:val="both"/>
        <w:rPr>
          <w:sz w:val="22"/>
          <w:szCs w:val="22"/>
        </w:rPr>
      </w:pPr>
      <w:r w:rsidRPr="008742E9">
        <w:rPr>
          <w:sz w:val="22"/>
          <w:szCs w:val="22"/>
        </w:rPr>
        <w:t>КЛЮЧЕВЫЕ СЛОВА: птица, продуктивность, подкислители, органические кислоты, гуминовые кислоты, сохранность.</w:t>
      </w:r>
    </w:p>
    <w:p w:rsidR="008742E9" w:rsidRPr="008742E9" w:rsidRDefault="008742E9" w:rsidP="000A2A2D">
      <w:pPr>
        <w:ind w:firstLine="426"/>
        <w:jc w:val="both"/>
        <w:rPr>
          <w:sz w:val="22"/>
          <w:szCs w:val="22"/>
          <w:lang w:val="en-US"/>
        </w:rPr>
      </w:pPr>
      <w:r w:rsidRPr="008742E9">
        <w:rPr>
          <w:sz w:val="22"/>
          <w:szCs w:val="22"/>
          <w:lang w:val="en-US"/>
        </w:rPr>
        <w:t>KEY WORDS: poultry, productivity, acidulants, organic acids, h</w:t>
      </w:r>
      <w:r w:rsidRPr="008742E9">
        <w:rPr>
          <w:sz w:val="22"/>
          <w:szCs w:val="22"/>
          <w:lang w:val="en-US"/>
        </w:rPr>
        <w:t>u</w:t>
      </w:r>
      <w:r w:rsidRPr="008742E9">
        <w:rPr>
          <w:sz w:val="22"/>
          <w:szCs w:val="22"/>
          <w:lang w:val="en-US"/>
        </w:rPr>
        <w:t>mic acids, safety.</w:t>
      </w:r>
    </w:p>
    <w:p w:rsidR="008742E9" w:rsidRPr="008742E9" w:rsidRDefault="008742E9" w:rsidP="000A2A2D">
      <w:pPr>
        <w:ind w:firstLine="426"/>
        <w:jc w:val="both"/>
        <w:rPr>
          <w:sz w:val="22"/>
          <w:szCs w:val="22"/>
          <w:lang w:val="en-US"/>
        </w:rPr>
      </w:pPr>
    </w:p>
    <w:p w:rsidR="008742E9" w:rsidRPr="008742E9" w:rsidRDefault="008742E9" w:rsidP="000A2A2D">
      <w:pPr>
        <w:ind w:firstLine="426"/>
        <w:jc w:val="both"/>
        <w:rPr>
          <w:sz w:val="22"/>
          <w:szCs w:val="22"/>
        </w:rPr>
      </w:pPr>
      <w:r w:rsidRPr="008742E9">
        <w:rPr>
          <w:sz w:val="22"/>
          <w:szCs w:val="22"/>
        </w:rPr>
        <w:lastRenderedPageBreak/>
        <w:t>Главная цель разведения различных видов сельскохозяйстве</w:t>
      </w:r>
      <w:r w:rsidRPr="008742E9">
        <w:rPr>
          <w:sz w:val="22"/>
          <w:szCs w:val="22"/>
        </w:rPr>
        <w:t>н</w:t>
      </w:r>
      <w:r w:rsidRPr="008742E9">
        <w:rPr>
          <w:sz w:val="22"/>
          <w:szCs w:val="22"/>
        </w:rPr>
        <w:t>ной птицы - это получение высокопитательных и диетических п</w:t>
      </w:r>
      <w:r w:rsidRPr="008742E9">
        <w:rPr>
          <w:sz w:val="22"/>
          <w:szCs w:val="22"/>
        </w:rPr>
        <w:t>и</w:t>
      </w:r>
      <w:r w:rsidRPr="008742E9">
        <w:rPr>
          <w:sz w:val="22"/>
          <w:szCs w:val="22"/>
        </w:rPr>
        <w:t>щевых продуктов: мяса и яиц. В настоящее время перед госуда</w:t>
      </w:r>
      <w:r w:rsidRPr="008742E9">
        <w:rPr>
          <w:sz w:val="22"/>
          <w:szCs w:val="22"/>
        </w:rPr>
        <w:t>р</w:t>
      </w:r>
      <w:r w:rsidRPr="008742E9">
        <w:rPr>
          <w:sz w:val="22"/>
          <w:szCs w:val="22"/>
        </w:rPr>
        <w:t>ством стоит задача по обеспечению продовольственной безопасн</w:t>
      </w:r>
      <w:r w:rsidRPr="008742E9">
        <w:rPr>
          <w:sz w:val="22"/>
          <w:szCs w:val="22"/>
        </w:rPr>
        <w:t>о</w:t>
      </w:r>
      <w:r w:rsidRPr="008742E9">
        <w:rPr>
          <w:sz w:val="22"/>
          <w:szCs w:val="22"/>
        </w:rPr>
        <w:t>сти страны, этому способствует развитие птицеводства, с перспе</w:t>
      </w:r>
      <w:r w:rsidRPr="008742E9">
        <w:rPr>
          <w:sz w:val="22"/>
          <w:szCs w:val="22"/>
        </w:rPr>
        <w:t>к</w:t>
      </w:r>
      <w:r w:rsidRPr="008742E9">
        <w:rPr>
          <w:sz w:val="22"/>
          <w:szCs w:val="22"/>
        </w:rPr>
        <w:t>тивой последующего экспорта готовой продукции.</w:t>
      </w:r>
    </w:p>
    <w:p w:rsidR="008742E9" w:rsidRPr="008742E9" w:rsidRDefault="008742E9" w:rsidP="000A2A2D">
      <w:pPr>
        <w:ind w:firstLine="426"/>
        <w:jc w:val="both"/>
        <w:rPr>
          <w:sz w:val="22"/>
          <w:szCs w:val="22"/>
        </w:rPr>
      </w:pPr>
      <w:r w:rsidRPr="008742E9">
        <w:rPr>
          <w:sz w:val="22"/>
          <w:szCs w:val="22"/>
        </w:rPr>
        <w:t>Для достижения поставленных целей ведутся поиски новых технологий, кормовых средств и способов совершенствования ген</w:t>
      </w:r>
      <w:r w:rsidRPr="008742E9">
        <w:rPr>
          <w:sz w:val="22"/>
          <w:szCs w:val="22"/>
        </w:rPr>
        <w:t>е</w:t>
      </w:r>
      <w:r w:rsidRPr="008742E9">
        <w:rPr>
          <w:sz w:val="22"/>
          <w:szCs w:val="22"/>
        </w:rPr>
        <w:t>тики птицы, повышающих усвоение питательных веществ корма, что в итоге приводит к увеличению количества получаемой пр</w:t>
      </w:r>
      <w:r w:rsidRPr="008742E9">
        <w:rPr>
          <w:sz w:val="22"/>
          <w:szCs w:val="22"/>
        </w:rPr>
        <w:t>о</w:t>
      </w:r>
      <w:r w:rsidRPr="008742E9">
        <w:rPr>
          <w:sz w:val="22"/>
          <w:szCs w:val="22"/>
        </w:rPr>
        <w:t xml:space="preserve">дукции, без повышения затрат на нее [1]. </w:t>
      </w:r>
    </w:p>
    <w:p w:rsidR="008742E9" w:rsidRPr="008742E9" w:rsidRDefault="008742E9" w:rsidP="000A2A2D">
      <w:pPr>
        <w:ind w:firstLine="426"/>
        <w:jc w:val="both"/>
        <w:rPr>
          <w:sz w:val="22"/>
          <w:szCs w:val="22"/>
        </w:rPr>
      </w:pPr>
      <w:r w:rsidRPr="008742E9">
        <w:rPr>
          <w:sz w:val="22"/>
          <w:szCs w:val="22"/>
        </w:rPr>
        <w:t>В производственных условиях используют альтернативные средства, повышающие рост и развитие птиц. Применяют разли</w:t>
      </w:r>
      <w:r w:rsidRPr="008742E9">
        <w:rPr>
          <w:sz w:val="22"/>
          <w:szCs w:val="22"/>
        </w:rPr>
        <w:t>ч</w:t>
      </w:r>
      <w:r w:rsidRPr="008742E9">
        <w:rPr>
          <w:sz w:val="22"/>
          <w:szCs w:val="22"/>
        </w:rPr>
        <w:t>ные стимуляторы роста, некоторые из этих средств, такие, как по</w:t>
      </w:r>
      <w:r w:rsidRPr="008742E9">
        <w:rPr>
          <w:sz w:val="22"/>
          <w:szCs w:val="22"/>
        </w:rPr>
        <w:t>д</w:t>
      </w:r>
      <w:r w:rsidRPr="008742E9">
        <w:rPr>
          <w:sz w:val="22"/>
          <w:szCs w:val="22"/>
        </w:rPr>
        <w:t>кислители, в которые входят органические кислоты, нашли успе</w:t>
      </w:r>
      <w:r w:rsidRPr="008742E9">
        <w:rPr>
          <w:sz w:val="22"/>
          <w:szCs w:val="22"/>
        </w:rPr>
        <w:t>ш</w:t>
      </w:r>
      <w:r w:rsidRPr="008742E9">
        <w:rPr>
          <w:sz w:val="22"/>
          <w:szCs w:val="22"/>
        </w:rPr>
        <w:t>ное применение.</w:t>
      </w:r>
    </w:p>
    <w:p w:rsidR="008742E9" w:rsidRPr="008742E9" w:rsidRDefault="008742E9" w:rsidP="000A2A2D">
      <w:pPr>
        <w:ind w:firstLine="426"/>
        <w:jc w:val="both"/>
        <w:rPr>
          <w:sz w:val="22"/>
          <w:szCs w:val="22"/>
        </w:rPr>
      </w:pPr>
      <w:r w:rsidRPr="008742E9">
        <w:rPr>
          <w:sz w:val="22"/>
          <w:szCs w:val="22"/>
        </w:rPr>
        <w:t>Подкислители кормов - это наиболее обширный и разнообра</w:t>
      </w:r>
      <w:r w:rsidRPr="008742E9">
        <w:rPr>
          <w:sz w:val="22"/>
          <w:szCs w:val="22"/>
        </w:rPr>
        <w:t>з</w:t>
      </w:r>
      <w:r w:rsidRPr="008742E9">
        <w:rPr>
          <w:sz w:val="22"/>
          <w:szCs w:val="22"/>
        </w:rPr>
        <w:t>ный класс кормовых добавок. В их состав входят органические ки</w:t>
      </w:r>
      <w:r w:rsidRPr="008742E9">
        <w:rPr>
          <w:sz w:val="22"/>
          <w:szCs w:val="22"/>
        </w:rPr>
        <w:t>с</w:t>
      </w:r>
      <w:r w:rsidRPr="008742E9">
        <w:rPr>
          <w:sz w:val="22"/>
          <w:szCs w:val="22"/>
        </w:rPr>
        <w:t>лоты и (или) их соли. По агрегатному состоянию подкислители б</w:t>
      </w:r>
      <w:r w:rsidRPr="008742E9">
        <w:rPr>
          <w:sz w:val="22"/>
          <w:szCs w:val="22"/>
        </w:rPr>
        <w:t>ы</w:t>
      </w:r>
      <w:r w:rsidRPr="008742E9">
        <w:rPr>
          <w:sz w:val="22"/>
          <w:szCs w:val="22"/>
        </w:rPr>
        <w:t>вают жидкими и порошкообразными. Жидкие, как правило, вносят в воду.</w:t>
      </w:r>
    </w:p>
    <w:p w:rsidR="008742E9" w:rsidRPr="008742E9" w:rsidRDefault="008742E9" w:rsidP="000A2A2D">
      <w:pPr>
        <w:ind w:firstLine="426"/>
        <w:jc w:val="both"/>
        <w:rPr>
          <w:sz w:val="22"/>
          <w:szCs w:val="22"/>
        </w:rPr>
      </w:pPr>
      <w:r w:rsidRPr="008742E9">
        <w:rPr>
          <w:sz w:val="22"/>
          <w:szCs w:val="22"/>
        </w:rPr>
        <w:t>Органические кислоты, входящие в состав подкислителей, к</w:t>
      </w:r>
      <w:r w:rsidRPr="008742E9">
        <w:rPr>
          <w:sz w:val="22"/>
          <w:szCs w:val="22"/>
        </w:rPr>
        <w:t>о</w:t>
      </w:r>
      <w:r w:rsidRPr="008742E9">
        <w:rPr>
          <w:sz w:val="22"/>
          <w:szCs w:val="22"/>
        </w:rPr>
        <w:t>торые добавляют в корма для животных и сырье, положительно влияют на их продуктивность. Это послужило стимулом для дал</w:t>
      </w:r>
      <w:r w:rsidRPr="008742E9">
        <w:rPr>
          <w:sz w:val="22"/>
          <w:szCs w:val="22"/>
        </w:rPr>
        <w:t>ь</w:t>
      </w:r>
      <w:r w:rsidRPr="008742E9">
        <w:rPr>
          <w:sz w:val="22"/>
          <w:szCs w:val="22"/>
        </w:rPr>
        <w:t>нейших исследований, направленных на применение различных типов органических кислот (по одной или в сочетании) в кормах для разных видов животных [2].</w:t>
      </w:r>
    </w:p>
    <w:p w:rsidR="008742E9" w:rsidRPr="008742E9" w:rsidRDefault="008742E9" w:rsidP="000A2A2D">
      <w:pPr>
        <w:ind w:firstLine="426"/>
        <w:jc w:val="both"/>
        <w:rPr>
          <w:sz w:val="22"/>
          <w:szCs w:val="22"/>
        </w:rPr>
      </w:pPr>
      <w:r w:rsidRPr="008742E9">
        <w:rPr>
          <w:sz w:val="22"/>
          <w:szCs w:val="22"/>
        </w:rPr>
        <w:t>Нами в условиях птицефабрики «Новороссийск» был проведен научно-производственный опыт по использованию в рационе пог</w:t>
      </w:r>
      <w:r w:rsidRPr="008742E9">
        <w:rPr>
          <w:sz w:val="22"/>
          <w:szCs w:val="22"/>
        </w:rPr>
        <w:t>о</w:t>
      </w:r>
      <w:r w:rsidRPr="008742E9">
        <w:rPr>
          <w:sz w:val="22"/>
          <w:szCs w:val="22"/>
        </w:rPr>
        <w:t>ловья птицы кормового концентрата «Фурор-Т» с целью определ</w:t>
      </w:r>
      <w:r w:rsidRPr="008742E9">
        <w:rPr>
          <w:sz w:val="22"/>
          <w:szCs w:val="22"/>
        </w:rPr>
        <w:t>е</w:t>
      </w:r>
      <w:r w:rsidRPr="008742E9">
        <w:rPr>
          <w:sz w:val="22"/>
          <w:szCs w:val="22"/>
        </w:rPr>
        <w:t>ния его влияния на рост, развитие и продуктивность птицы. По окончанию опыта проводилась дегустационная оценка качества м</w:t>
      </w:r>
      <w:r w:rsidRPr="008742E9">
        <w:rPr>
          <w:sz w:val="22"/>
          <w:szCs w:val="22"/>
        </w:rPr>
        <w:t>я</w:t>
      </w:r>
      <w:r w:rsidRPr="008742E9">
        <w:rPr>
          <w:sz w:val="22"/>
          <w:szCs w:val="22"/>
        </w:rPr>
        <w:t xml:space="preserve">са, в том числе его </w:t>
      </w:r>
      <w:r w:rsidRPr="008742E9">
        <w:rPr>
          <w:sz w:val="22"/>
          <w:szCs w:val="22"/>
          <w:lang w:val="en-US"/>
        </w:rPr>
        <w:t>pH</w:t>
      </w:r>
      <w:r w:rsidRPr="008742E9">
        <w:rPr>
          <w:sz w:val="22"/>
          <w:szCs w:val="22"/>
        </w:rPr>
        <w:t xml:space="preserve"> и влагоудерживающая способность.</w:t>
      </w:r>
    </w:p>
    <w:p w:rsidR="008742E9" w:rsidRPr="008742E9" w:rsidRDefault="008742E9" w:rsidP="000A2A2D">
      <w:pPr>
        <w:ind w:firstLine="426"/>
        <w:jc w:val="both"/>
        <w:rPr>
          <w:sz w:val="22"/>
          <w:szCs w:val="22"/>
        </w:rPr>
      </w:pPr>
      <w:r w:rsidRPr="008742E9">
        <w:rPr>
          <w:sz w:val="22"/>
          <w:szCs w:val="22"/>
        </w:rPr>
        <w:t>Кормовой концентрат «Фурор-Т» представляет собой смесь биодоступных органических высокомолекулярных соединений ст</w:t>
      </w:r>
      <w:r w:rsidRPr="008742E9">
        <w:rPr>
          <w:sz w:val="22"/>
          <w:szCs w:val="22"/>
        </w:rPr>
        <w:t>а</w:t>
      </w:r>
      <w:r w:rsidRPr="008742E9">
        <w:rPr>
          <w:sz w:val="22"/>
          <w:szCs w:val="22"/>
        </w:rPr>
        <w:t>бильного состава. В нем содержится 20% биологически активной органической фульвовой и 28% гуминовой кислот. Механизм де</w:t>
      </w:r>
      <w:r w:rsidRPr="008742E9">
        <w:rPr>
          <w:sz w:val="22"/>
          <w:szCs w:val="22"/>
        </w:rPr>
        <w:t>й</w:t>
      </w:r>
      <w:r w:rsidRPr="008742E9">
        <w:rPr>
          <w:sz w:val="22"/>
          <w:szCs w:val="22"/>
        </w:rPr>
        <w:t xml:space="preserve">ствия этих соединений комплексный, они улучшают усвояемость </w:t>
      </w:r>
      <w:r w:rsidRPr="008742E9">
        <w:rPr>
          <w:sz w:val="22"/>
          <w:szCs w:val="22"/>
        </w:rPr>
        <w:lastRenderedPageBreak/>
        <w:t>минералов и микроэлементов, обеспечивают связывание и вывед</w:t>
      </w:r>
      <w:r w:rsidRPr="008742E9">
        <w:rPr>
          <w:sz w:val="22"/>
          <w:szCs w:val="22"/>
        </w:rPr>
        <w:t>е</w:t>
      </w:r>
      <w:r w:rsidRPr="008742E9">
        <w:rPr>
          <w:sz w:val="22"/>
          <w:szCs w:val="22"/>
        </w:rPr>
        <w:t>ние из организма многих токсичных веществ, что способствует д</w:t>
      </w:r>
      <w:r w:rsidRPr="008742E9">
        <w:rPr>
          <w:sz w:val="22"/>
          <w:szCs w:val="22"/>
        </w:rPr>
        <w:t>е</w:t>
      </w:r>
      <w:r w:rsidRPr="008742E9">
        <w:rPr>
          <w:sz w:val="22"/>
          <w:szCs w:val="22"/>
        </w:rPr>
        <w:t>токсикации организма, обладают пребиотическим действием, п</w:t>
      </w:r>
      <w:r w:rsidRPr="008742E9">
        <w:rPr>
          <w:sz w:val="22"/>
          <w:szCs w:val="22"/>
        </w:rPr>
        <w:t>о</w:t>
      </w:r>
      <w:r w:rsidRPr="008742E9">
        <w:rPr>
          <w:sz w:val="22"/>
          <w:szCs w:val="22"/>
        </w:rPr>
        <w:t xml:space="preserve">ложительно влияя на формирование микрофлоры кишечника. </w:t>
      </w:r>
    </w:p>
    <w:p w:rsidR="008742E9" w:rsidRPr="008742E9" w:rsidRDefault="008742E9" w:rsidP="000A2A2D">
      <w:pPr>
        <w:ind w:firstLine="426"/>
        <w:jc w:val="both"/>
        <w:rPr>
          <w:sz w:val="22"/>
          <w:szCs w:val="22"/>
        </w:rPr>
      </w:pPr>
      <w:r w:rsidRPr="008742E9">
        <w:rPr>
          <w:sz w:val="22"/>
          <w:szCs w:val="22"/>
        </w:rPr>
        <w:t>Гуминовые и фульвовые кислоты повышают сопротивляемость живого организма к инфекциям, стрессам, снижают риск негати</w:t>
      </w:r>
      <w:r w:rsidRPr="008742E9">
        <w:rPr>
          <w:sz w:val="22"/>
          <w:szCs w:val="22"/>
        </w:rPr>
        <w:t>в</w:t>
      </w:r>
      <w:r w:rsidRPr="008742E9">
        <w:rPr>
          <w:sz w:val="22"/>
          <w:szCs w:val="22"/>
        </w:rPr>
        <w:t>ных последствий при вакцинации. С помощью этого концентрата можно получать экологически чистую продукцию [1].</w:t>
      </w:r>
    </w:p>
    <w:p w:rsidR="008742E9" w:rsidRPr="008742E9" w:rsidRDefault="008742E9" w:rsidP="000A2A2D">
      <w:pPr>
        <w:ind w:firstLine="426"/>
        <w:jc w:val="both"/>
        <w:rPr>
          <w:sz w:val="22"/>
          <w:szCs w:val="22"/>
        </w:rPr>
      </w:pPr>
      <w:r w:rsidRPr="008742E9">
        <w:rPr>
          <w:sz w:val="22"/>
          <w:szCs w:val="22"/>
        </w:rPr>
        <w:t xml:space="preserve">Для проведения опыта было отобрано 100 цыплят-бройлеров кросса Кобб-500 одного возраста, которых разделили на 2 группы по принципу пар аналогов, по 50 голов каждая. </w:t>
      </w:r>
    </w:p>
    <w:p w:rsidR="008742E9" w:rsidRPr="008742E9" w:rsidRDefault="008742E9" w:rsidP="000A2A2D">
      <w:pPr>
        <w:ind w:firstLine="426"/>
        <w:jc w:val="both"/>
        <w:rPr>
          <w:sz w:val="22"/>
          <w:szCs w:val="22"/>
        </w:rPr>
      </w:pPr>
      <w:r w:rsidRPr="008742E9">
        <w:rPr>
          <w:sz w:val="22"/>
          <w:szCs w:val="22"/>
        </w:rPr>
        <w:t xml:space="preserve">В первой группе (контроль) скармливали основной рацион, установленный в хозяйстве, соответствующий по нормативам. </w:t>
      </w:r>
    </w:p>
    <w:p w:rsidR="008742E9" w:rsidRPr="008742E9" w:rsidRDefault="008742E9" w:rsidP="000A2A2D">
      <w:pPr>
        <w:ind w:firstLine="426"/>
        <w:jc w:val="both"/>
        <w:rPr>
          <w:sz w:val="22"/>
          <w:szCs w:val="22"/>
        </w:rPr>
      </w:pPr>
      <w:r w:rsidRPr="008742E9">
        <w:rPr>
          <w:sz w:val="22"/>
          <w:szCs w:val="22"/>
        </w:rPr>
        <w:t>Второй группе цыплят (опыт) в рацион добавляли кормовой концентрат «Фурор-Т» в расчете 1 кг концентрата (К) на 1 тонну корма основного рациона (ОР).</w:t>
      </w:r>
    </w:p>
    <w:p w:rsidR="008742E9" w:rsidRPr="008742E9" w:rsidRDefault="008742E9" w:rsidP="000A2A2D">
      <w:pPr>
        <w:ind w:firstLine="426"/>
        <w:jc w:val="both"/>
        <w:rPr>
          <w:sz w:val="22"/>
          <w:szCs w:val="22"/>
        </w:rPr>
      </w:pPr>
      <w:r w:rsidRPr="008742E9">
        <w:rPr>
          <w:sz w:val="22"/>
          <w:szCs w:val="22"/>
        </w:rPr>
        <w:t>Результаты исследований показали, что использование в рац</w:t>
      </w:r>
      <w:r w:rsidRPr="008742E9">
        <w:rPr>
          <w:sz w:val="22"/>
          <w:szCs w:val="22"/>
        </w:rPr>
        <w:t>и</w:t>
      </w:r>
      <w:r w:rsidRPr="008742E9">
        <w:rPr>
          <w:sz w:val="22"/>
          <w:szCs w:val="22"/>
        </w:rPr>
        <w:t>онах цыплят-бройлеров изучаемой добавки оказало положительное влияние на продуктивность. Улучшилась жизнеспособность цы</w:t>
      </w:r>
      <w:r w:rsidRPr="008742E9">
        <w:rPr>
          <w:sz w:val="22"/>
          <w:szCs w:val="22"/>
        </w:rPr>
        <w:t>п</w:t>
      </w:r>
      <w:r w:rsidRPr="008742E9">
        <w:rPr>
          <w:sz w:val="22"/>
          <w:szCs w:val="22"/>
        </w:rPr>
        <w:t>лят, так сохранность в контрольной группе составила 99%, в опы</w:t>
      </w:r>
      <w:r w:rsidRPr="008742E9">
        <w:rPr>
          <w:sz w:val="22"/>
          <w:szCs w:val="22"/>
        </w:rPr>
        <w:t>т</w:t>
      </w:r>
      <w:r w:rsidRPr="008742E9">
        <w:rPr>
          <w:sz w:val="22"/>
          <w:szCs w:val="22"/>
        </w:rPr>
        <w:t xml:space="preserve">ной-100 %. </w:t>
      </w:r>
    </w:p>
    <w:p w:rsidR="008742E9" w:rsidRPr="008742E9" w:rsidRDefault="008742E9" w:rsidP="000A2A2D">
      <w:pPr>
        <w:ind w:firstLine="426"/>
        <w:jc w:val="both"/>
        <w:rPr>
          <w:sz w:val="22"/>
          <w:szCs w:val="22"/>
        </w:rPr>
      </w:pPr>
      <w:r w:rsidRPr="008742E9">
        <w:rPr>
          <w:sz w:val="22"/>
          <w:szCs w:val="22"/>
        </w:rPr>
        <w:t>Живая масса цыплят в начале опыта в контрольной группе с</w:t>
      </w:r>
      <w:r w:rsidRPr="008742E9">
        <w:rPr>
          <w:sz w:val="22"/>
          <w:szCs w:val="22"/>
        </w:rPr>
        <w:t>о</w:t>
      </w:r>
      <w:r w:rsidRPr="008742E9">
        <w:rPr>
          <w:sz w:val="22"/>
          <w:szCs w:val="22"/>
        </w:rPr>
        <w:t xml:space="preserve">ставляла 42,95 г, в конце - 2863,8 г; в опытной соответственно 42,8 г и 3011,5 г, что на 5,1 % больше, чем в контроле. </w:t>
      </w:r>
    </w:p>
    <w:p w:rsidR="008742E9" w:rsidRPr="008742E9" w:rsidRDefault="008742E9" w:rsidP="000A2A2D">
      <w:pPr>
        <w:ind w:firstLine="426"/>
        <w:jc w:val="both"/>
        <w:rPr>
          <w:sz w:val="22"/>
          <w:szCs w:val="22"/>
        </w:rPr>
      </w:pPr>
      <w:r w:rsidRPr="008742E9">
        <w:rPr>
          <w:sz w:val="22"/>
          <w:szCs w:val="22"/>
        </w:rPr>
        <w:t>Таким образом, скармливание «Фурор-Т» способствовало лу</w:t>
      </w:r>
      <w:r w:rsidRPr="008742E9">
        <w:rPr>
          <w:sz w:val="22"/>
          <w:szCs w:val="22"/>
        </w:rPr>
        <w:t>ч</w:t>
      </w:r>
      <w:r w:rsidRPr="008742E9">
        <w:rPr>
          <w:sz w:val="22"/>
          <w:szCs w:val="22"/>
        </w:rPr>
        <w:t>шим обменным процессам в организме, что повлияло на более и</w:t>
      </w:r>
      <w:r w:rsidRPr="008742E9">
        <w:rPr>
          <w:sz w:val="22"/>
          <w:szCs w:val="22"/>
        </w:rPr>
        <w:t>н</w:t>
      </w:r>
      <w:r w:rsidRPr="008742E9">
        <w:rPr>
          <w:sz w:val="22"/>
          <w:szCs w:val="22"/>
        </w:rPr>
        <w:t xml:space="preserve">тенсивный прирост в течение опытного периода. Среднесуточные приросты живой массы за опыт в контрольной группе составили 67,17 г, в опытной – 70,68 г, что больше на 5,2 %. </w:t>
      </w:r>
    </w:p>
    <w:p w:rsidR="008742E9" w:rsidRPr="008742E9" w:rsidRDefault="008742E9" w:rsidP="000A2A2D">
      <w:pPr>
        <w:ind w:firstLine="426"/>
        <w:jc w:val="both"/>
        <w:rPr>
          <w:sz w:val="22"/>
          <w:szCs w:val="22"/>
        </w:rPr>
      </w:pPr>
      <w:r w:rsidRPr="008742E9">
        <w:rPr>
          <w:sz w:val="22"/>
          <w:szCs w:val="22"/>
        </w:rPr>
        <w:t>Можно сделать вывод, что введение в рацион птицы кормового концентрата «Фурор-Т» оказывает положительное влияние на рост, продуктивность птицы и качество продукции.</w:t>
      </w:r>
    </w:p>
    <w:p w:rsidR="008742E9" w:rsidRPr="008742E9" w:rsidRDefault="008742E9" w:rsidP="000A2A2D">
      <w:pPr>
        <w:ind w:firstLine="426"/>
        <w:jc w:val="both"/>
        <w:rPr>
          <w:sz w:val="22"/>
          <w:szCs w:val="22"/>
        </w:rPr>
      </w:pPr>
    </w:p>
    <w:p w:rsidR="008742E9" w:rsidRPr="008742E9" w:rsidRDefault="008742E9" w:rsidP="000A2A2D">
      <w:pPr>
        <w:ind w:firstLine="426"/>
        <w:jc w:val="center"/>
        <w:rPr>
          <w:sz w:val="22"/>
          <w:szCs w:val="22"/>
        </w:rPr>
      </w:pPr>
      <w:r w:rsidRPr="008742E9">
        <w:rPr>
          <w:sz w:val="22"/>
          <w:szCs w:val="22"/>
        </w:rPr>
        <w:t>Список литературы</w:t>
      </w:r>
    </w:p>
    <w:p w:rsidR="008742E9" w:rsidRPr="008742E9" w:rsidRDefault="008742E9" w:rsidP="000A2A2D">
      <w:pPr>
        <w:ind w:firstLine="426"/>
        <w:jc w:val="both"/>
        <w:rPr>
          <w:sz w:val="22"/>
          <w:szCs w:val="22"/>
        </w:rPr>
      </w:pPr>
      <w:r w:rsidRPr="008742E9">
        <w:rPr>
          <w:sz w:val="22"/>
          <w:szCs w:val="22"/>
        </w:rPr>
        <w:t>1. Комирняя А.Н.</w:t>
      </w:r>
      <w:r w:rsidRPr="008742E9">
        <w:rPr>
          <w:b/>
          <w:sz w:val="24"/>
          <w:szCs w:val="24"/>
        </w:rPr>
        <w:t xml:space="preserve"> </w:t>
      </w:r>
      <w:r w:rsidRPr="008742E9">
        <w:rPr>
          <w:sz w:val="22"/>
          <w:szCs w:val="22"/>
        </w:rPr>
        <w:t>Использование в рационе кур кормового концентрата «Фурор-Т» / Комирняя А.Н., Комлацкий В.И.-Международная научно-практическая конференция, посвященная 95-летию Кубанского ГАУ/ Краснодар, 2017. –С. 69-72.</w:t>
      </w:r>
    </w:p>
    <w:p w:rsidR="008742E9" w:rsidRPr="008742E9" w:rsidRDefault="008742E9" w:rsidP="000A2A2D">
      <w:pPr>
        <w:ind w:firstLine="426"/>
        <w:jc w:val="both"/>
        <w:rPr>
          <w:sz w:val="22"/>
          <w:szCs w:val="22"/>
        </w:rPr>
      </w:pPr>
      <w:r w:rsidRPr="008742E9">
        <w:rPr>
          <w:sz w:val="22"/>
          <w:szCs w:val="22"/>
        </w:rPr>
        <w:lastRenderedPageBreak/>
        <w:t>2. Рекомендации по использованию органических кислот и их солей в кормлении животных и птицы [Электронный ресурс]. -</w:t>
      </w:r>
      <w:hyperlink r:id="rId37" w:history="1">
        <w:r w:rsidRPr="008742E9">
          <w:rPr>
            <w:sz w:val="22"/>
            <w:szCs w:val="22"/>
          </w:rPr>
          <w:t>http://agrovetspb.ru</w:t>
        </w:r>
      </w:hyperlink>
    </w:p>
    <w:p w:rsidR="003435E2" w:rsidRPr="008742E9" w:rsidRDefault="003435E2" w:rsidP="008742E9">
      <w:pPr>
        <w:spacing w:after="200" w:line="276" w:lineRule="auto"/>
        <w:rPr>
          <w:sz w:val="22"/>
          <w:szCs w:val="22"/>
        </w:rPr>
      </w:pPr>
    </w:p>
    <w:p w:rsidR="008742E9" w:rsidRPr="000A2A2D" w:rsidRDefault="008742E9" w:rsidP="008742E9">
      <w:pPr>
        <w:rPr>
          <w:sz w:val="22"/>
          <w:szCs w:val="22"/>
          <w:shd w:val="clear" w:color="auto" w:fill="FFFFFF"/>
        </w:rPr>
      </w:pPr>
      <w:r w:rsidRPr="000A2A2D">
        <w:rPr>
          <w:sz w:val="22"/>
          <w:szCs w:val="22"/>
          <w:shd w:val="clear" w:color="auto" w:fill="FFFFFF"/>
        </w:rPr>
        <w:t>УДК 636.3.033</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shd w:val="clear" w:color="auto" w:fill="FFFFFF"/>
        </w:rPr>
      </w:pP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shd w:val="clear" w:color="auto" w:fill="FFFFFF"/>
        </w:rPr>
      </w:pPr>
      <w:r w:rsidRPr="008742E9">
        <w:rPr>
          <w:b/>
          <w:sz w:val="24"/>
          <w:szCs w:val="24"/>
          <w:shd w:val="clear" w:color="auto" w:fill="FFFFFF"/>
        </w:rPr>
        <w:t xml:space="preserve">Многоплодие романовских овец и продуктивность </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8742E9">
        <w:rPr>
          <w:b/>
          <w:sz w:val="24"/>
          <w:szCs w:val="24"/>
          <w:shd w:val="clear" w:color="auto" w:fill="FFFFFF"/>
        </w:rPr>
        <w:t>их</w:t>
      </w:r>
      <w:r w:rsidRPr="008742E9">
        <w:rPr>
          <w:b/>
          <w:sz w:val="24"/>
          <w:szCs w:val="24"/>
          <w:shd w:val="clear" w:color="auto" w:fill="FFFFFF"/>
          <w:lang w:val="en-US"/>
        </w:rPr>
        <w:t xml:space="preserve"> </w:t>
      </w:r>
      <w:r w:rsidRPr="008742E9">
        <w:rPr>
          <w:b/>
          <w:sz w:val="24"/>
          <w:szCs w:val="24"/>
          <w:shd w:val="clear" w:color="auto" w:fill="FFFFFF"/>
        </w:rPr>
        <w:t>потомства</w:t>
      </w:r>
      <w:r w:rsidRPr="008742E9">
        <w:rPr>
          <w:b/>
          <w:sz w:val="24"/>
          <w:szCs w:val="24"/>
          <w:shd w:val="clear" w:color="auto" w:fill="FFFFFF"/>
          <w:lang w:val="en-US"/>
        </w:rPr>
        <w:t xml:space="preserve"> </w:t>
      </w:r>
      <w:r w:rsidRPr="008742E9">
        <w:rPr>
          <w:b/>
          <w:sz w:val="24"/>
          <w:szCs w:val="24"/>
          <w:shd w:val="clear" w:color="auto" w:fill="FFFFFF"/>
        </w:rPr>
        <w:t>различных</w:t>
      </w:r>
      <w:r w:rsidRPr="008742E9">
        <w:rPr>
          <w:b/>
          <w:sz w:val="24"/>
          <w:szCs w:val="24"/>
          <w:shd w:val="clear" w:color="auto" w:fill="FFFFFF"/>
          <w:lang w:val="en-US"/>
        </w:rPr>
        <w:t xml:space="preserve"> </w:t>
      </w:r>
      <w:r w:rsidRPr="008742E9">
        <w:rPr>
          <w:b/>
          <w:sz w:val="24"/>
          <w:szCs w:val="24"/>
          <w:shd w:val="clear" w:color="auto" w:fill="FFFFFF"/>
        </w:rPr>
        <w:t>типов</w:t>
      </w:r>
      <w:r w:rsidRPr="008742E9">
        <w:rPr>
          <w:b/>
          <w:sz w:val="24"/>
          <w:szCs w:val="24"/>
          <w:shd w:val="clear" w:color="auto" w:fill="FFFFFF"/>
          <w:lang w:val="en-US"/>
        </w:rPr>
        <w:t xml:space="preserve"> </w:t>
      </w:r>
      <w:r w:rsidRPr="008742E9">
        <w:rPr>
          <w:b/>
          <w:sz w:val="24"/>
          <w:szCs w:val="24"/>
          <w:shd w:val="clear" w:color="auto" w:fill="FFFFFF"/>
        </w:rPr>
        <w:t>рождения</w:t>
      </w:r>
    </w:p>
    <w:p w:rsidR="008742E9" w:rsidRPr="008742E9" w:rsidRDefault="008742E9" w:rsidP="008742E9">
      <w:pPr>
        <w:jc w:val="center"/>
        <w:rPr>
          <w:sz w:val="21"/>
          <w:szCs w:val="21"/>
          <w:shd w:val="clear" w:color="auto" w:fill="FFFFFF"/>
          <w:lang w:val="en-US"/>
        </w:rPr>
      </w:pPr>
      <w:r w:rsidRPr="008742E9">
        <w:rPr>
          <w:b/>
          <w:sz w:val="24"/>
          <w:szCs w:val="24"/>
          <w:lang w:val="en-US"/>
        </w:rPr>
        <w:t>The multiplicity of Romanov's sheep and the productivity of their offspring of different types of birth</w:t>
      </w:r>
    </w:p>
    <w:p w:rsidR="008742E9" w:rsidRPr="008742E9" w:rsidRDefault="008742E9" w:rsidP="008742E9">
      <w:pPr>
        <w:jc w:val="right"/>
        <w:rPr>
          <w:sz w:val="21"/>
          <w:szCs w:val="21"/>
          <w:shd w:val="clear" w:color="auto" w:fill="FFFFFF"/>
          <w:lang w:val="en-US"/>
        </w:rPr>
      </w:pPr>
    </w:p>
    <w:p w:rsidR="008742E9" w:rsidRPr="000A2A2D" w:rsidRDefault="008742E9" w:rsidP="008742E9">
      <w:pPr>
        <w:jc w:val="right"/>
        <w:rPr>
          <w:sz w:val="22"/>
          <w:szCs w:val="22"/>
          <w:shd w:val="clear" w:color="auto" w:fill="FFFFFF"/>
        </w:rPr>
      </w:pPr>
      <w:r w:rsidRPr="000A2A2D">
        <w:rPr>
          <w:sz w:val="22"/>
          <w:szCs w:val="22"/>
          <w:shd w:val="clear" w:color="auto" w:fill="FFFFFF"/>
        </w:rPr>
        <w:t>Курганникова А.</w:t>
      </w:r>
      <w:r w:rsidR="000A2A2D" w:rsidRPr="000A2A2D">
        <w:rPr>
          <w:sz w:val="22"/>
          <w:szCs w:val="22"/>
          <w:shd w:val="clear" w:color="auto" w:fill="FFFFFF"/>
        </w:rPr>
        <w:t xml:space="preserve"> Г.,</w:t>
      </w:r>
    </w:p>
    <w:p w:rsidR="008742E9" w:rsidRPr="000A2A2D" w:rsidRDefault="008742E9" w:rsidP="008742E9">
      <w:pPr>
        <w:jc w:val="right"/>
        <w:rPr>
          <w:sz w:val="22"/>
          <w:szCs w:val="22"/>
          <w:shd w:val="clear" w:color="auto" w:fill="FFFFFF"/>
        </w:rPr>
      </w:pPr>
      <w:r w:rsidRPr="000A2A2D">
        <w:rPr>
          <w:sz w:val="22"/>
          <w:szCs w:val="22"/>
          <w:shd w:val="clear" w:color="auto" w:fill="FFFFFF"/>
        </w:rPr>
        <w:t>студентка 4 курса факультета зоотехнии</w:t>
      </w:r>
    </w:p>
    <w:p w:rsidR="008742E9" w:rsidRPr="000A2A2D" w:rsidRDefault="008742E9" w:rsidP="008742E9">
      <w:pPr>
        <w:jc w:val="right"/>
        <w:rPr>
          <w:sz w:val="22"/>
          <w:szCs w:val="22"/>
          <w:shd w:val="clear" w:color="auto" w:fill="FFFFFF"/>
        </w:rPr>
      </w:pPr>
      <w:r w:rsidRPr="000A2A2D">
        <w:rPr>
          <w:sz w:val="22"/>
          <w:szCs w:val="22"/>
          <w:shd w:val="clear" w:color="auto" w:fill="FFFFFF"/>
        </w:rPr>
        <w:t>Подойницына Т.</w:t>
      </w:r>
      <w:r w:rsidR="000A2A2D" w:rsidRPr="000A2A2D">
        <w:rPr>
          <w:sz w:val="22"/>
          <w:szCs w:val="22"/>
          <w:shd w:val="clear" w:color="auto" w:fill="FFFFFF"/>
        </w:rPr>
        <w:t xml:space="preserve"> </w:t>
      </w:r>
      <w:r w:rsidRPr="000A2A2D">
        <w:rPr>
          <w:sz w:val="22"/>
          <w:szCs w:val="22"/>
          <w:shd w:val="clear" w:color="auto" w:fill="FFFFFF"/>
        </w:rPr>
        <w:t>А</w:t>
      </w:r>
      <w:r w:rsidRPr="000A2A2D">
        <w:rPr>
          <w:i/>
          <w:sz w:val="22"/>
          <w:szCs w:val="22"/>
          <w:shd w:val="clear" w:color="auto" w:fill="FFFFFF"/>
        </w:rPr>
        <w:t>.</w:t>
      </w:r>
      <w:r w:rsidR="000A2A2D" w:rsidRPr="000A2A2D">
        <w:rPr>
          <w:sz w:val="22"/>
          <w:szCs w:val="22"/>
          <w:shd w:val="clear" w:color="auto" w:fill="FFFFFF"/>
        </w:rPr>
        <w:t>,</w:t>
      </w:r>
    </w:p>
    <w:p w:rsidR="008742E9" w:rsidRPr="000A2A2D" w:rsidRDefault="008742E9" w:rsidP="008742E9">
      <w:pPr>
        <w:jc w:val="right"/>
        <w:rPr>
          <w:sz w:val="22"/>
          <w:szCs w:val="22"/>
          <w:shd w:val="clear" w:color="auto" w:fill="FFFFFF"/>
        </w:rPr>
      </w:pPr>
      <w:r w:rsidRPr="000A2A2D">
        <w:rPr>
          <w:sz w:val="22"/>
          <w:szCs w:val="22"/>
          <w:shd w:val="clear" w:color="auto" w:fill="FFFFFF"/>
        </w:rPr>
        <w:t>доцент кафедры частной зоотехнии и свиноводства</w:t>
      </w:r>
    </w:p>
    <w:p w:rsidR="008742E9" w:rsidRPr="008742E9" w:rsidRDefault="008742E9" w:rsidP="008742E9">
      <w:pPr>
        <w:jc w:val="right"/>
        <w:rPr>
          <w:sz w:val="21"/>
          <w:szCs w:val="21"/>
          <w:shd w:val="clear" w:color="auto" w:fill="FFFFFF"/>
        </w:rPr>
      </w:pPr>
    </w:p>
    <w:p w:rsidR="008742E9" w:rsidRPr="000A2A2D" w:rsidRDefault="008742E9" w:rsidP="000A2A2D">
      <w:pPr>
        <w:ind w:firstLine="426"/>
        <w:jc w:val="both"/>
        <w:rPr>
          <w:sz w:val="22"/>
          <w:szCs w:val="22"/>
          <w:shd w:val="clear" w:color="auto" w:fill="FFFFFF"/>
        </w:rPr>
      </w:pPr>
      <w:r w:rsidRPr="000A2A2D">
        <w:rPr>
          <w:sz w:val="22"/>
          <w:szCs w:val="22"/>
          <w:shd w:val="clear" w:color="auto" w:fill="FFFFFF"/>
        </w:rPr>
        <w:t>АННОТАЦИЯ: Приведены результаты исследования по пр</w:t>
      </w:r>
      <w:r w:rsidRPr="000A2A2D">
        <w:rPr>
          <w:sz w:val="22"/>
          <w:szCs w:val="22"/>
          <w:shd w:val="clear" w:color="auto" w:fill="FFFFFF"/>
        </w:rPr>
        <w:t>о</w:t>
      </w:r>
      <w:r w:rsidRPr="000A2A2D">
        <w:rPr>
          <w:sz w:val="22"/>
          <w:szCs w:val="22"/>
          <w:shd w:val="clear" w:color="auto" w:fill="FFFFFF"/>
        </w:rPr>
        <w:t>дуктивным качествам овец романовской породы. Определены ж</w:t>
      </w:r>
      <w:r w:rsidRPr="000A2A2D">
        <w:rPr>
          <w:sz w:val="22"/>
          <w:szCs w:val="22"/>
          <w:shd w:val="clear" w:color="auto" w:fill="FFFFFF"/>
        </w:rPr>
        <w:t>и</w:t>
      </w:r>
      <w:r w:rsidRPr="000A2A2D">
        <w:rPr>
          <w:sz w:val="22"/>
          <w:szCs w:val="22"/>
          <w:shd w:val="clear" w:color="auto" w:fill="FFFFFF"/>
        </w:rPr>
        <w:t>вая масса и ее приросты у молодняка овец разных типов рождения, выход и сохранность молодняка. Установлены различия по прои</w:t>
      </w:r>
      <w:r w:rsidRPr="000A2A2D">
        <w:rPr>
          <w:sz w:val="22"/>
          <w:szCs w:val="22"/>
          <w:shd w:val="clear" w:color="auto" w:fill="FFFFFF"/>
        </w:rPr>
        <w:t>з</w:t>
      </w:r>
      <w:r w:rsidRPr="000A2A2D">
        <w:rPr>
          <w:sz w:val="22"/>
          <w:szCs w:val="22"/>
          <w:shd w:val="clear" w:color="auto" w:fill="FFFFFF"/>
        </w:rPr>
        <w:t>водству продукции на одну овцематку.</w:t>
      </w:r>
    </w:p>
    <w:p w:rsidR="008742E9" w:rsidRPr="000A2A2D" w:rsidRDefault="008742E9" w:rsidP="000A2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shd w:val="clear" w:color="auto" w:fill="FFFFFF"/>
        </w:rPr>
      </w:pPr>
      <w:r w:rsidRPr="000A2A2D">
        <w:rPr>
          <w:sz w:val="22"/>
          <w:szCs w:val="22"/>
          <w:shd w:val="clear" w:color="auto" w:fill="FFFFFF"/>
        </w:rPr>
        <w:t>КЛЮЧЕВЫЕ СЛОВА: романовская порода, тип рождения, многоплодие, живая масса.</w:t>
      </w:r>
    </w:p>
    <w:p w:rsidR="008742E9" w:rsidRPr="000A2A2D" w:rsidRDefault="008742E9" w:rsidP="000A2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0A2A2D">
        <w:rPr>
          <w:sz w:val="22"/>
          <w:szCs w:val="22"/>
          <w:lang w:val="en-US"/>
        </w:rPr>
        <w:t>ABSTRACT: Studies on the productive qualities of the Romano</w:t>
      </w:r>
      <w:r w:rsidRPr="000A2A2D">
        <w:rPr>
          <w:sz w:val="22"/>
          <w:szCs w:val="22"/>
          <w:lang w:val="en-US"/>
        </w:rPr>
        <w:t>v</w:t>
      </w:r>
      <w:r w:rsidRPr="000A2A2D">
        <w:rPr>
          <w:sz w:val="22"/>
          <w:szCs w:val="22"/>
          <w:lang w:val="en-US"/>
        </w:rPr>
        <w:t>ian sheep are presented. The living weight and its growths of young sheep of different types of birth, yield and safety of young animals are determined. Differences in the production of products per one ewe are established.</w:t>
      </w:r>
    </w:p>
    <w:p w:rsidR="008742E9" w:rsidRPr="000A2A2D" w:rsidRDefault="008742E9" w:rsidP="000A2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0A2A2D">
        <w:rPr>
          <w:sz w:val="22"/>
          <w:szCs w:val="22"/>
          <w:lang w:val="en-US"/>
        </w:rPr>
        <w:t>KEYWORDS: Romanov breed, type of birth, multiple birth, live weight.</w:t>
      </w:r>
    </w:p>
    <w:p w:rsidR="008742E9" w:rsidRPr="000A2A2D" w:rsidRDefault="008742E9" w:rsidP="000A2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p>
    <w:p w:rsidR="008742E9" w:rsidRPr="000A2A2D" w:rsidRDefault="008742E9" w:rsidP="000A2A2D">
      <w:pPr>
        <w:ind w:firstLine="426"/>
        <w:jc w:val="both"/>
        <w:rPr>
          <w:sz w:val="22"/>
          <w:szCs w:val="22"/>
        </w:rPr>
      </w:pPr>
      <w:r w:rsidRPr="000A2A2D">
        <w:rPr>
          <w:sz w:val="22"/>
          <w:szCs w:val="22"/>
        </w:rPr>
        <w:t>Воспроизводство является одним из основных факторов, с к</w:t>
      </w:r>
      <w:r w:rsidRPr="000A2A2D">
        <w:rPr>
          <w:sz w:val="22"/>
          <w:szCs w:val="22"/>
        </w:rPr>
        <w:t>о</w:t>
      </w:r>
      <w:r w:rsidRPr="000A2A2D">
        <w:rPr>
          <w:sz w:val="22"/>
          <w:szCs w:val="22"/>
        </w:rPr>
        <w:t>торым связаны уровень и производство продукции животноводства, включая овцеводство. Для овцеводства на современном этапе х</w:t>
      </w:r>
      <w:r w:rsidRPr="000A2A2D">
        <w:rPr>
          <w:sz w:val="22"/>
          <w:szCs w:val="22"/>
        </w:rPr>
        <w:t>а</w:t>
      </w:r>
      <w:r w:rsidRPr="000A2A2D">
        <w:rPr>
          <w:sz w:val="22"/>
          <w:szCs w:val="22"/>
        </w:rPr>
        <w:t>рактерно то, что экономически более значимой продукцией являе</w:t>
      </w:r>
      <w:r w:rsidRPr="000A2A2D">
        <w:rPr>
          <w:sz w:val="22"/>
          <w:szCs w:val="22"/>
        </w:rPr>
        <w:t>т</w:t>
      </w:r>
      <w:r w:rsidRPr="000A2A2D">
        <w:rPr>
          <w:sz w:val="22"/>
          <w:szCs w:val="22"/>
        </w:rPr>
        <w:t>ся мясо – баранина, доля которой в валовом доходе от всей реал</w:t>
      </w:r>
      <w:r w:rsidRPr="000A2A2D">
        <w:rPr>
          <w:sz w:val="22"/>
          <w:szCs w:val="22"/>
        </w:rPr>
        <w:t>и</w:t>
      </w:r>
      <w:r w:rsidRPr="000A2A2D">
        <w:rPr>
          <w:sz w:val="22"/>
          <w:szCs w:val="22"/>
        </w:rPr>
        <w:lastRenderedPageBreak/>
        <w:t xml:space="preserve">зации продукции, получаемой от овец, составляет 85-90% и более [1]. </w:t>
      </w:r>
    </w:p>
    <w:p w:rsidR="008742E9" w:rsidRPr="000A2A2D" w:rsidRDefault="008742E9" w:rsidP="000A2A2D">
      <w:pPr>
        <w:ind w:firstLine="426"/>
        <w:jc w:val="both"/>
        <w:rPr>
          <w:sz w:val="22"/>
          <w:szCs w:val="22"/>
        </w:rPr>
      </w:pPr>
      <w:r w:rsidRPr="000A2A2D">
        <w:rPr>
          <w:sz w:val="22"/>
          <w:szCs w:val="22"/>
        </w:rPr>
        <w:t>Одним из основных резервов увеличения производства баран</w:t>
      </w:r>
      <w:r w:rsidRPr="000A2A2D">
        <w:rPr>
          <w:sz w:val="22"/>
          <w:szCs w:val="22"/>
        </w:rPr>
        <w:t>и</w:t>
      </w:r>
      <w:r w:rsidRPr="000A2A2D">
        <w:rPr>
          <w:sz w:val="22"/>
          <w:szCs w:val="22"/>
        </w:rPr>
        <w:t>ны и снижения ее себестоимости является повышение плодовитости маточного поголовья. Это обусловлено тем, что при выращивании маткой двух и более ягнят потребление переваримых питательных веществ кормов в расчете на 1 кг массы туши на 24-31 % меньше, чем у маток с ягнятами-одинцами [2, 3]. В связи с этим целью нашего исследования явилось изучить многоплодие романовских овец и продуктивность их потомства различных типов рождения. Исследования проводились в условиях крестьянско-фермерского хозяйства «Ильченко Ю.В.». Для проведения опыта из новорожде</w:t>
      </w:r>
      <w:r w:rsidRPr="000A2A2D">
        <w:rPr>
          <w:sz w:val="22"/>
          <w:szCs w:val="22"/>
        </w:rPr>
        <w:t>н</w:t>
      </w:r>
      <w:r w:rsidRPr="000A2A2D">
        <w:rPr>
          <w:sz w:val="22"/>
          <w:szCs w:val="22"/>
        </w:rPr>
        <w:t>ного молодняка были сформированы четыре группы ягнят: ко</w:t>
      </w:r>
      <w:r w:rsidRPr="000A2A2D">
        <w:rPr>
          <w:sz w:val="22"/>
          <w:szCs w:val="22"/>
        </w:rPr>
        <w:t>н</w:t>
      </w:r>
      <w:r w:rsidRPr="000A2A2D">
        <w:rPr>
          <w:sz w:val="22"/>
          <w:szCs w:val="22"/>
        </w:rPr>
        <w:t xml:space="preserve">трольная, в нее вошли ягнята одинцового типа рождения; первая опытная  - двойнёвого; вторая опытная – тройнёвого и в третьей опытной группе выращивались ягнята четвернёвого типа рождения. </w:t>
      </w:r>
    </w:p>
    <w:p w:rsidR="008742E9" w:rsidRPr="000A2A2D" w:rsidRDefault="008742E9" w:rsidP="000A2A2D">
      <w:pPr>
        <w:ind w:firstLine="426"/>
        <w:jc w:val="both"/>
        <w:rPr>
          <w:sz w:val="22"/>
          <w:szCs w:val="22"/>
        </w:rPr>
      </w:pPr>
      <w:r w:rsidRPr="000A2A2D">
        <w:rPr>
          <w:sz w:val="22"/>
          <w:szCs w:val="22"/>
        </w:rPr>
        <w:t>В соответствии с принятой в хозяйстве технологией выращив</w:t>
      </w:r>
      <w:r w:rsidRPr="000A2A2D">
        <w:rPr>
          <w:sz w:val="22"/>
          <w:szCs w:val="22"/>
        </w:rPr>
        <w:t>а</w:t>
      </w:r>
      <w:r w:rsidRPr="000A2A2D">
        <w:rPr>
          <w:sz w:val="22"/>
          <w:szCs w:val="22"/>
        </w:rPr>
        <w:t>ния молодняка, в первые сутки молодняк находился на подсосе с матками в одиночных клетках, затем их переводили в оцарки по 5-6 голов, по достижении 10-дневного возраста, формировались сакм</w:t>
      </w:r>
      <w:r w:rsidRPr="000A2A2D">
        <w:rPr>
          <w:sz w:val="22"/>
          <w:szCs w:val="22"/>
        </w:rPr>
        <w:t>а</w:t>
      </w:r>
      <w:r w:rsidRPr="000A2A2D">
        <w:rPr>
          <w:sz w:val="22"/>
          <w:szCs w:val="22"/>
        </w:rPr>
        <w:t xml:space="preserve">ны по 15-25 маточных голов с ягнятами. </w:t>
      </w:r>
    </w:p>
    <w:p w:rsidR="008742E9" w:rsidRPr="000A2A2D" w:rsidRDefault="008742E9" w:rsidP="000A2A2D">
      <w:pPr>
        <w:ind w:firstLine="426"/>
        <w:jc w:val="both"/>
        <w:rPr>
          <w:sz w:val="22"/>
          <w:szCs w:val="22"/>
        </w:rPr>
      </w:pPr>
      <w:r w:rsidRPr="000A2A2D">
        <w:rPr>
          <w:sz w:val="22"/>
          <w:szCs w:val="22"/>
        </w:rPr>
        <w:t>Ягнята разных типов рождения были получены от 62 голов о</w:t>
      </w:r>
      <w:r w:rsidRPr="000A2A2D">
        <w:rPr>
          <w:sz w:val="22"/>
          <w:szCs w:val="22"/>
        </w:rPr>
        <w:t>в</w:t>
      </w:r>
      <w:r w:rsidRPr="000A2A2D">
        <w:rPr>
          <w:sz w:val="22"/>
          <w:szCs w:val="22"/>
        </w:rPr>
        <w:t xml:space="preserve">цематок романовской породы со средней живой массой 53,24±1,22 кг. В случной кампании участвовало 4 барана-производителя. Их средняя живая масса составила 77,5±4,95 кг. </w:t>
      </w:r>
    </w:p>
    <w:p w:rsidR="008742E9" w:rsidRPr="000A2A2D" w:rsidRDefault="008742E9" w:rsidP="000A2A2D">
      <w:pPr>
        <w:ind w:firstLine="426"/>
        <w:jc w:val="both"/>
        <w:rPr>
          <w:sz w:val="22"/>
          <w:szCs w:val="22"/>
        </w:rPr>
      </w:pPr>
      <w:r w:rsidRPr="000A2A2D">
        <w:rPr>
          <w:sz w:val="22"/>
          <w:szCs w:val="22"/>
        </w:rPr>
        <w:t>Характеризуя овцематок по воспроизводительным качествам, мы пришли к заключению, что наивысшая сохранность ягнят была в контрольной группе и составила 100%. Сохранность ягнят в пе</w:t>
      </w:r>
      <w:r w:rsidRPr="000A2A2D">
        <w:rPr>
          <w:sz w:val="22"/>
          <w:szCs w:val="22"/>
        </w:rPr>
        <w:t>р</w:t>
      </w:r>
      <w:r w:rsidRPr="000A2A2D">
        <w:rPr>
          <w:sz w:val="22"/>
          <w:szCs w:val="22"/>
        </w:rPr>
        <w:t>вой опытной группе составила 88,7%, что на 5,2 абсолютных пр</w:t>
      </w:r>
      <w:r w:rsidRPr="000A2A2D">
        <w:rPr>
          <w:sz w:val="22"/>
          <w:szCs w:val="22"/>
        </w:rPr>
        <w:t>о</w:t>
      </w:r>
      <w:r w:rsidRPr="000A2A2D">
        <w:rPr>
          <w:sz w:val="22"/>
          <w:szCs w:val="22"/>
        </w:rPr>
        <w:t xml:space="preserve">цента больше, чем во второй опытной группе. Самый низкий этот показатель оказался в третьей опытной группе – 62,5%. В среднем по стаду сохранность составила 84,9 процентов. </w:t>
      </w:r>
    </w:p>
    <w:p w:rsidR="008742E9" w:rsidRPr="000A2A2D" w:rsidRDefault="008742E9" w:rsidP="000A2A2D">
      <w:pPr>
        <w:ind w:firstLine="426"/>
        <w:jc w:val="both"/>
        <w:rPr>
          <w:sz w:val="22"/>
          <w:szCs w:val="22"/>
        </w:rPr>
      </w:pPr>
      <w:r w:rsidRPr="000A2A2D">
        <w:rPr>
          <w:sz w:val="22"/>
          <w:szCs w:val="22"/>
        </w:rPr>
        <w:t>При выращивании молодняка задача состоит не только в том, чтобы максимально сохранить всех родившихся ягнят, но и пол</w:t>
      </w:r>
      <w:r w:rsidRPr="000A2A2D">
        <w:rPr>
          <w:sz w:val="22"/>
          <w:szCs w:val="22"/>
        </w:rPr>
        <w:t>у</w:t>
      </w:r>
      <w:r w:rsidRPr="000A2A2D">
        <w:rPr>
          <w:sz w:val="22"/>
          <w:szCs w:val="22"/>
        </w:rPr>
        <w:t>чить высокопродуктивных животных. Важным показателем роста и развития молодняка овец, его хозяйственной скороспелости, явл</w:t>
      </w:r>
      <w:r w:rsidRPr="000A2A2D">
        <w:rPr>
          <w:sz w:val="22"/>
          <w:szCs w:val="22"/>
        </w:rPr>
        <w:t>я</w:t>
      </w:r>
      <w:r w:rsidRPr="000A2A2D">
        <w:rPr>
          <w:sz w:val="22"/>
          <w:szCs w:val="22"/>
        </w:rPr>
        <w:t>ется динамика живой массы. Исходя из полученных данных, можно объективно оценить рост молодняка четырех групп.</w:t>
      </w:r>
    </w:p>
    <w:p w:rsidR="008742E9" w:rsidRPr="000A2A2D" w:rsidRDefault="008742E9" w:rsidP="000A2A2D">
      <w:pPr>
        <w:ind w:firstLine="426"/>
        <w:jc w:val="both"/>
        <w:rPr>
          <w:sz w:val="22"/>
          <w:szCs w:val="22"/>
        </w:rPr>
      </w:pPr>
      <w:r w:rsidRPr="000A2A2D">
        <w:rPr>
          <w:sz w:val="22"/>
          <w:szCs w:val="22"/>
        </w:rPr>
        <w:lastRenderedPageBreak/>
        <w:t>Так, при рождении ягнята контрольной группы весили в сре</w:t>
      </w:r>
      <w:r w:rsidRPr="000A2A2D">
        <w:rPr>
          <w:sz w:val="22"/>
          <w:szCs w:val="22"/>
        </w:rPr>
        <w:t>д</w:t>
      </w:r>
      <w:r w:rsidRPr="000A2A2D">
        <w:rPr>
          <w:sz w:val="22"/>
          <w:szCs w:val="22"/>
        </w:rPr>
        <w:t>нем 4,15±0,09 кг, 1 опытной – 3,17±0,09, второй опытной – 2,49±0,06 кг и в третьей опытной – 1,85±0,05 кг. Разница глубоко достоверна. К отбивке ягнят от овцематок лидирующее положение также занимали ягнята контрольной группы. Их средняя живая с</w:t>
      </w:r>
      <w:r w:rsidRPr="000A2A2D">
        <w:rPr>
          <w:sz w:val="22"/>
          <w:szCs w:val="22"/>
        </w:rPr>
        <w:t>о</w:t>
      </w:r>
      <w:r w:rsidRPr="000A2A2D">
        <w:rPr>
          <w:sz w:val="22"/>
          <w:szCs w:val="22"/>
        </w:rPr>
        <w:t>ставила 21,83±2,40 кг, что на 3,68 кг больше, чем ягнята  двойнёв</w:t>
      </w:r>
      <w:r w:rsidRPr="000A2A2D">
        <w:rPr>
          <w:sz w:val="22"/>
          <w:szCs w:val="22"/>
        </w:rPr>
        <w:t>о</w:t>
      </w:r>
      <w:r w:rsidRPr="000A2A2D">
        <w:rPr>
          <w:sz w:val="22"/>
          <w:szCs w:val="22"/>
        </w:rPr>
        <w:t>го типа рождения; на 6,63 кг больше, чем ягнят тройнёвого типа и на 9,63 кг четвернёвого типа. К концу контрольного выращивания молодняка овец различных типов рождения тяжелее из всех чет</w:t>
      </w:r>
      <w:r w:rsidRPr="000A2A2D">
        <w:rPr>
          <w:sz w:val="22"/>
          <w:szCs w:val="22"/>
        </w:rPr>
        <w:t>ы</w:t>
      </w:r>
      <w:r w:rsidRPr="000A2A2D">
        <w:rPr>
          <w:sz w:val="22"/>
          <w:szCs w:val="22"/>
        </w:rPr>
        <w:t>рех групп был молодняк одинцового типа рождения. Разница между группами оказалась недостоверной.</w:t>
      </w:r>
    </w:p>
    <w:p w:rsidR="008742E9" w:rsidRPr="000A2A2D" w:rsidRDefault="008742E9" w:rsidP="000A2A2D">
      <w:pPr>
        <w:ind w:firstLine="426"/>
        <w:jc w:val="both"/>
        <w:rPr>
          <w:sz w:val="22"/>
          <w:szCs w:val="22"/>
        </w:rPr>
      </w:pPr>
      <w:r w:rsidRPr="000A2A2D">
        <w:rPr>
          <w:sz w:val="22"/>
          <w:szCs w:val="22"/>
        </w:rPr>
        <w:t>Живая масса не дает полной характеристики о росте и развитии животных. Скорость роста многоплодных ягнят оказалась выше во все возрастные периоды, в результате чего различия по живой массе ягнят в возрасте 8-ми месяцев отсутствуют.</w:t>
      </w:r>
    </w:p>
    <w:p w:rsidR="008742E9" w:rsidRPr="000A2A2D" w:rsidRDefault="008742E9" w:rsidP="000A2A2D">
      <w:pPr>
        <w:ind w:firstLine="426"/>
        <w:jc w:val="both"/>
        <w:rPr>
          <w:sz w:val="22"/>
          <w:szCs w:val="22"/>
        </w:rPr>
      </w:pPr>
      <w:r w:rsidRPr="000A2A2D">
        <w:rPr>
          <w:sz w:val="22"/>
          <w:szCs w:val="22"/>
        </w:rPr>
        <w:t>Эффективность любого овцеводческого хозяйства можно опр</w:t>
      </w:r>
      <w:r w:rsidRPr="000A2A2D">
        <w:rPr>
          <w:sz w:val="22"/>
          <w:szCs w:val="22"/>
        </w:rPr>
        <w:t>е</w:t>
      </w:r>
      <w:r w:rsidRPr="000A2A2D">
        <w:rPr>
          <w:sz w:val="22"/>
          <w:szCs w:val="22"/>
        </w:rPr>
        <w:t>делить различными способами, но лучшим показателем эффекти</w:t>
      </w:r>
      <w:r w:rsidRPr="000A2A2D">
        <w:rPr>
          <w:sz w:val="22"/>
          <w:szCs w:val="22"/>
        </w:rPr>
        <w:t>в</w:t>
      </w:r>
      <w:r w:rsidRPr="000A2A2D">
        <w:rPr>
          <w:sz w:val="22"/>
          <w:szCs w:val="22"/>
        </w:rPr>
        <w:t>ности является прибыль. Она определяется двумя компонентами, а именно стоимостью произведенной продукции минус затраты на производство. Стоимость произведенной продукции зависит от к</w:t>
      </w:r>
      <w:r w:rsidRPr="000A2A2D">
        <w:rPr>
          <w:sz w:val="22"/>
          <w:szCs w:val="22"/>
        </w:rPr>
        <w:t>о</w:t>
      </w:r>
      <w:r w:rsidRPr="000A2A2D">
        <w:rPr>
          <w:sz w:val="22"/>
          <w:szCs w:val="22"/>
        </w:rPr>
        <w:t xml:space="preserve">личества массы и качества полученных при отъеме ягнят. </w:t>
      </w:r>
    </w:p>
    <w:p w:rsidR="008742E9" w:rsidRPr="000A2A2D" w:rsidRDefault="008742E9" w:rsidP="000A2A2D">
      <w:pPr>
        <w:ind w:firstLine="426"/>
        <w:jc w:val="both"/>
        <w:rPr>
          <w:sz w:val="22"/>
          <w:szCs w:val="22"/>
        </w:rPr>
      </w:pPr>
      <w:r w:rsidRPr="000A2A2D">
        <w:rPr>
          <w:sz w:val="22"/>
          <w:szCs w:val="22"/>
        </w:rPr>
        <w:t>Производство баранины, полученное от выращивания одинц</w:t>
      </w:r>
      <w:r w:rsidRPr="000A2A2D">
        <w:rPr>
          <w:sz w:val="22"/>
          <w:szCs w:val="22"/>
        </w:rPr>
        <w:t>о</w:t>
      </w:r>
      <w:r w:rsidRPr="000A2A2D">
        <w:rPr>
          <w:sz w:val="22"/>
          <w:szCs w:val="22"/>
        </w:rPr>
        <w:t>вых ягнят, составило 32,7 кг в живой массе, по группе двойнёвых ягнят – 56,0 кг, по группе тройнёвых – 74,97 кг и количество пр</w:t>
      </w:r>
      <w:r w:rsidRPr="000A2A2D">
        <w:rPr>
          <w:sz w:val="22"/>
          <w:szCs w:val="22"/>
        </w:rPr>
        <w:t>о</w:t>
      </w:r>
      <w:r w:rsidRPr="000A2A2D">
        <w:rPr>
          <w:sz w:val="22"/>
          <w:szCs w:val="22"/>
        </w:rPr>
        <w:t>дукции от группы четвернёвых ягнят – 72,5 килограмма. В КФХ «Ильченко Ю.В.» годовые затраты на содержание одной овцематки романовской породы составили 3,0 тыс. руб. При расчете стоимости продукции и полученной прибыли этот показатель по контрольной  группе составил 270,0 руб. От группы овец, объягнившихся дво</w:t>
      </w:r>
      <w:r w:rsidRPr="000A2A2D">
        <w:rPr>
          <w:sz w:val="22"/>
          <w:szCs w:val="22"/>
        </w:rPr>
        <w:t>й</w:t>
      </w:r>
      <w:r w:rsidRPr="000A2A2D">
        <w:rPr>
          <w:sz w:val="22"/>
          <w:szCs w:val="22"/>
        </w:rPr>
        <w:t>нями – 2,6 тыс. руб., от тройнёвых ягнят – 4,5 тыс. руб. и от овец, объягнившихся четвернями, полученная прибыль составила 4,25 тыс. рублей. Наивысшая рентабельность оказалась во второй опы</w:t>
      </w:r>
      <w:r w:rsidRPr="000A2A2D">
        <w:rPr>
          <w:sz w:val="22"/>
          <w:szCs w:val="22"/>
        </w:rPr>
        <w:t>т</w:t>
      </w:r>
      <w:r w:rsidRPr="000A2A2D">
        <w:rPr>
          <w:sz w:val="22"/>
          <w:szCs w:val="22"/>
        </w:rPr>
        <w:t>ной группе и составила 149,9 процентов.</w:t>
      </w:r>
    </w:p>
    <w:p w:rsidR="008742E9" w:rsidRPr="000A2A2D" w:rsidRDefault="008742E9" w:rsidP="003435E2">
      <w:pPr>
        <w:ind w:firstLine="426"/>
        <w:jc w:val="both"/>
        <w:rPr>
          <w:sz w:val="22"/>
          <w:szCs w:val="22"/>
        </w:rPr>
      </w:pPr>
      <w:r w:rsidRPr="000A2A2D">
        <w:rPr>
          <w:sz w:val="22"/>
          <w:szCs w:val="22"/>
        </w:rPr>
        <w:t>Результаты нашей работы позволяют сделать следующее пре</w:t>
      </w:r>
      <w:r w:rsidRPr="000A2A2D">
        <w:rPr>
          <w:sz w:val="22"/>
          <w:szCs w:val="22"/>
        </w:rPr>
        <w:t>д</w:t>
      </w:r>
      <w:r w:rsidRPr="000A2A2D">
        <w:rPr>
          <w:sz w:val="22"/>
          <w:szCs w:val="22"/>
        </w:rPr>
        <w:t>ложение производству. Для увеличения производства баранины на одну овцематку романовской породы в условиях крестьянско-фермерского хозяйства, для дальнейшего разведения  рекомендуем оставлять ягнят двойнёвого и тройнёвого типов рождения, у кот</w:t>
      </w:r>
      <w:r w:rsidRPr="000A2A2D">
        <w:rPr>
          <w:sz w:val="22"/>
          <w:szCs w:val="22"/>
        </w:rPr>
        <w:t>о</w:t>
      </w:r>
      <w:r w:rsidRPr="000A2A2D">
        <w:rPr>
          <w:sz w:val="22"/>
          <w:szCs w:val="22"/>
        </w:rPr>
        <w:lastRenderedPageBreak/>
        <w:t>рых сочетаются высокое многоплодие с хорошей сохранностью по сравнению с четвернёвыми, что в дальнейшем будем ориентир</w:t>
      </w:r>
      <w:r w:rsidRPr="000A2A2D">
        <w:rPr>
          <w:sz w:val="22"/>
          <w:szCs w:val="22"/>
        </w:rPr>
        <w:t>о</w:t>
      </w:r>
      <w:r w:rsidRPr="000A2A2D">
        <w:rPr>
          <w:sz w:val="22"/>
          <w:szCs w:val="22"/>
        </w:rPr>
        <w:t xml:space="preserve">ваться на двух вариантах.  </w:t>
      </w:r>
    </w:p>
    <w:p w:rsidR="008742E9" w:rsidRPr="000A2A2D" w:rsidRDefault="008742E9" w:rsidP="000A2A2D">
      <w:pPr>
        <w:ind w:firstLine="426"/>
        <w:jc w:val="center"/>
        <w:rPr>
          <w:sz w:val="22"/>
          <w:szCs w:val="22"/>
        </w:rPr>
      </w:pPr>
      <w:r w:rsidRPr="000A2A2D">
        <w:rPr>
          <w:sz w:val="22"/>
          <w:szCs w:val="22"/>
        </w:rPr>
        <w:t>Список литературы</w:t>
      </w:r>
    </w:p>
    <w:p w:rsidR="008742E9" w:rsidRPr="000A2A2D" w:rsidRDefault="008742E9" w:rsidP="000A2A2D">
      <w:pPr>
        <w:ind w:firstLine="426"/>
        <w:contextualSpacing/>
        <w:jc w:val="both"/>
        <w:rPr>
          <w:rFonts w:eastAsia="Calibri"/>
          <w:sz w:val="22"/>
          <w:szCs w:val="22"/>
          <w:lang w:eastAsia="en-US"/>
        </w:rPr>
      </w:pPr>
      <w:r w:rsidRPr="000A2A2D">
        <w:rPr>
          <w:rFonts w:eastAsia="Calibri"/>
          <w:sz w:val="22"/>
          <w:szCs w:val="22"/>
          <w:lang w:eastAsia="en-US"/>
        </w:rPr>
        <w:t>1.</w:t>
      </w:r>
      <w:r w:rsidRPr="000A2A2D">
        <w:rPr>
          <w:rFonts w:ascii="Calibri" w:eastAsia="Calibri" w:hAnsi="Calibri"/>
          <w:sz w:val="22"/>
          <w:szCs w:val="22"/>
          <w:lang w:eastAsia="en-US"/>
        </w:rPr>
        <w:t xml:space="preserve"> </w:t>
      </w:r>
      <w:r w:rsidRPr="000A2A2D">
        <w:rPr>
          <w:rFonts w:eastAsia="Calibri"/>
          <w:sz w:val="22"/>
          <w:szCs w:val="22"/>
          <w:lang w:eastAsia="en-US"/>
        </w:rPr>
        <w:t>Ерохин А.И. Влияние различных факторов на многоплодие и молочность романовских овец / А.И. Ерохин, Е.А. Карасев, И.И. Умалатов // Актуальные проблемы науки в агропромышленном комплексе: матер. 51-й  межвуз. науч.-практ. конф. – Караваево: Костромская ГСХА. - 2000. - С. 96-97.</w:t>
      </w:r>
    </w:p>
    <w:p w:rsidR="008742E9" w:rsidRPr="000A2A2D" w:rsidRDefault="008742E9" w:rsidP="000A2A2D">
      <w:pPr>
        <w:ind w:firstLine="426"/>
        <w:contextualSpacing/>
        <w:jc w:val="both"/>
        <w:rPr>
          <w:rFonts w:eastAsia="Calibri"/>
          <w:sz w:val="22"/>
          <w:szCs w:val="22"/>
          <w:lang w:eastAsia="en-US"/>
        </w:rPr>
      </w:pPr>
      <w:r w:rsidRPr="000A2A2D">
        <w:rPr>
          <w:rFonts w:eastAsia="Calibri"/>
          <w:sz w:val="22"/>
          <w:szCs w:val="22"/>
          <w:lang w:eastAsia="en-US"/>
        </w:rPr>
        <w:t>2. Кравченко Н.И.  Многоплодие овец от воспроизводительного и возвратного скрещиваний помесей мериносов с романовской п</w:t>
      </w:r>
      <w:r w:rsidRPr="000A2A2D">
        <w:rPr>
          <w:rFonts w:eastAsia="Calibri"/>
          <w:sz w:val="22"/>
          <w:szCs w:val="22"/>
          <w:lang w:eastAsia="en-US"/>
        </w:rPr>
        <w:t>о</w:t>
      </w:r>
      <w:r w:rsidRPr="000A2A2D">
        <w:rPr>
          <w:rFonts w:eastAsia="Calibri"/>
          <w:sz w:val="22"/>
          <w:szCs w:val="22"/>
          <w:lang w:eastAsia="en-US"/>
        </w:rPr>
        <w:t>родой / Н.И. Кравченко // Сборник научных трудов Северо-Кавказского научно-исследовательского института животноводства. Т.6. - 2017. - С. 22-27.</w:t>
      </w:r>
    </w:p>
    <w:p w:rsidR="008742E9" w:rsidRPr="000A2A2D" w:rsidRDefault="008742E9" w:rsidP="000A2A2D">
      <w:pPr>
        <w:ind w:firstLine="426"/>
        <w:contextualSpacing/>
        <w:jc w:val="both"/>
        <w:rPr>
          <w:rFonts w:eastAsia="Calibri"/>
          <w:sz w:val="22"/>
          <w:szCs w:val="22"/>
          <w:lang w:eastAsia="en-US"/>
        </w:rPr>
      </w:pPr>
      <w:r w:rsidRPr="000A2A2D">
        <w:rPr>
          <w:rFonts w:eastAsia="Calibri"/>
          <w:sz w:val="22"/>
          <w:szCs w:val="22"/>
          <w:lang w:eastAsia="en-US"/>
        </w:rPr>
        <w:t>3. Кравченко Н.И. Возможность использования морфобиолог</w:t>
      </w:r>
      <w:r w:rsidRPr="000A2A2D">
        <w:rPr>
          <w:rFonts w:eastAsia="Calibri"/>
          <w:sz w:val="22"/>
          <w:szCs w:val="22"/>
          <w:lang w:eastAsia="en-US"/>
        </w:rPr>
        <w:t>и</w:t>
      </w:r>
      <w:r w:rsidRPr="000A2A2D">
        <w:rPr>
          <w:rFonts w:eastAsia="Calibri"/>
          <w:sz w:val="22"/>
          <w:szCs w:val="22"/>
          <w:lang w:eastAsia="en-US"/>
        </w:rPr>
        <w:t>ческих и фенотипических маркеров в селекции овец на многопл</w:t>
      </w:r>
      <w:r w:rsidRPr="000A2A2D">
        <w:rPr>
          <w:rFonts w:eastAsia="Calibri"/>
          <w:sz w:val="22"/>
          <w:szCs w:val="22"/>
          <w:lang w:eastAsia="en-US"/>
        </w:rPr>
        <w:t>о</w:t>
      </w:r>
      <w:r w:rsidRPr="000A2A2D">
        <w:rPr>
          <w:rFonts w:eastAsia="Calibri"/>
          <w:sz w:val="22"/>
          <w:szCs w:val="22"/>
          <w:lang w:eastAsia="en-US"/>
        </w:rPr>
        <w:t>дие / Н.И. Кравченко //</w:t>
      </w:r>
      <w:r w:rsidRPr="000A2A2D">
        <w:rPr>
          <w:rFonts w:ascii="Calibri" w:eastAsia="Calibri" w:hAnsi="Calibri"/>
          <w:sz w:val="22"/>
          <w:szCs w:val="22"/>
          <w:lang w:eastAsia="en-US"/>
        </w:rPr>
        <w:t xml:space="preserve"> </w:t>
      </w:r>
      <w:r w:rsidRPr="000A2A2D">
        <w:rPr>
          <w:rFonts w:eastAsia="Calibri"/>
          <w:sz w:val="22"/>
          <w:szCs w:val="22"/>
          <w:lang w:eastAsia="en-US"/>
        </w:rPr>
        <w:t>Инновационные подходы в ветеринарной и зоотехнической науке и практике: матер. межд. науч.-практ. инте</w:t>
      </w:r>
      <w:r w:rsidRPr="000A2A2D">
        <w:rPr>
          <w:rFonts w:eastAsia="Calibri"/>
          <w:sz w:val="22"/>
          <w:szCs w:val="22"/>
          <w:lang w:eastAsia="en-US"/>
        </w:rPr>
        <w:t>р</w:t>
      </w:r>
      <w:r w:rsidRPr="000A2A2D">
        <w:rPr>
          <w:rFonts w:eastAsia="Calibri"/>
          <w:sz w:val="22"/>
          <w:szCs w:val="22"/>
          <w:lang w:eastAsia="en-US"/>
        </w:rPr>
        <w:t>нет-конф. -  2016. - С. 275-278.</w:t>
      </w:r>
    </w:p>
    <w:p w:rsidR="000A2A2D" w:rsidRPr="000A2A2D" w:rsidRDefault="000A2A2D" w:rsidP="008742E9">
      <w:pPr>
        <w:jc w:val="both"/>
        <w:rPr>
          <w:sz w:val="22"/>
          <w:szCs w:val="22"/>
        </w:rPr>
      </w:pPr>
    </w:p>
    <w:p w:rsidR="000A2A2D" w:rsidRPr="000A2A2D" w:rsidRDefault="000A2A2D" w:rsidP="008742E9">
      <w:pPr>
        <w:jc w:val="both"/>
        <w:rPr>
          <w:sz w:val="22"/>
          <w:szCs w:val="22"/>
        </w:rPr>
      </w:pPr>
    </w:p>
    <w:p w:rsidR="008742E9" w:rsidRPr="000A2A2D" w:rsidRDefault="008742E9" w:rsidP="008742E9">
      <w:pPr>
        <w:jc w:val="both"/>
        <w:rPr>
          <w:sz w:val="22"/>
          <w:szCs w:val="22"/>
        </w:rPr>
      </w:pPr>
      <w:r w:rsidRPr="000A2A2D">
        <w:rPr>
          <w:sz w:val="22"/>
          <w:szCs w:val="22"/>
        </w:rPr>
        <w:t>УДК 636.68.08</w:t>
      </w:r>
    </w:p>
    <w:p w:rsidR="008742E9" w:rsidRPr="000A2A2D" w:rsidRDefault="008742E9" w:rsidP="008742E9">
      <w:pPr>
        <w:jc w:val="center"/>
        <w:rPr>
          <w:sz w:val="22"/>
          <w:szCs w:val="22"/>
        </w:rPr>
      </w:pPr>
    </w:p>
    <w:p w:rsidR="008742E9" w:rsidRPr="008742E9" w:rsidRDefault="008742E9" w:rsidP="008742E9">
      <w:pPr>
        <w:jc w:val="center"/>
        <w:rPr>
          <w:b/>
          <w:sz w:val="24"/>
          <w:szCs w:val="22"/>
        </w:rPr>
      </w:pPr>
      <w:r w:rsidRPr="008742E9">
        <w:rPr>
          <w:b/>
          <w:sz w:val="24"/>
          <w:szCs w:val="22"/>
        </w:rPr>
        <w:t xml:space="preserve">Особенности питания и содержания попугаев Ара </w:t>
      </w:r>
    </w:p>
    <w:p w:rsidR="008742E9" w:rsidRPr="008742E9" w:rsidRDefault="008742E9" w:rsidP="008742E9">
      <w:pPr>
        <w:jc w:val="center"/>
        <w:rPr>
          <w:b/>
          <w:sz w:val="24"/>
          <w:szCs w:val="22"/>
          <w:lang w:val="en-US"/>
        </w:rPr>
      </w:pPr>
      <w:r w:rsidRPr="008742E9">
        <w:rPr>
          <w:b/>
          <w:sz w:val="24"/>
          <w:szCs w:val="22"/>
        </w:rPr>
        <w:t>в</w:t>
      </w:r>
      <w:r w:rsidRPr="008742E9">
        <w:rPr>
          <w:b/>
          <w:sz w:val="24"/>
          <w:szCs w:val="22"/>
          <w:lang w:val="en-US"/>
        </w:rPr>
        <w:t xml:space="preserve"> </w:t>
      </w:r>
      <w:r w:rsidRPr="008742E9">
        <w:rPr>
          <w:b/>
          <w:sz w:val="24"/>
          <w:szCs w:val="22"/>
        </w:rPr>
        <w:t>полувольных</w:t>
      </w:r>
      <w:r w:rsidRPr="008742E9">
        <w:rPr>
          <w:b/>
          <w:sz w:val="24"/>
          <w:szCs w:val="22"/>
          <w:lang w:val="en-US"/>
        </w:rPr>
        <w:t xml:space="preserve"> </w:t>
      </w:r>
      <w:r w:rsidRPr="008742E9">
        <w:rPr>
          <w:b/>
          <w:sz w:val="24"/>
          <w:szCs w:val="22"/>
        </w:rPr>
        <w:t>условиях</w:t>
      </w:r>
      <w:r w:rsidRPr="008742E9">
        <w:rPr>
          <w:b/>
          <w:sz w:val="24"/>
          <w:szCs w:val="22"/>
          <w:lang w:val="en-US"/>
        </w:rPr>
        <w:t xml:space="preserve"> </w:t>
      </w:r>
    </w:p>
    <w:p w:rsidR="008742E9" w:rsidRPr="008742E9" w:rsidRDefault="008742E9" w:rsidP="008742E9">
      <w:pPr>
        <w:jc w:val="center"/>
        <w:rPr>
          <w:b/>
          <w:sz w:val="24"/>
          <w:szCs w:val="22"/>
          <w:lang w:val="en-US"/>
        </w:rPr>
      </w:pPr>
      <w:r w:rsidRPr="008742E9">
        <w:rPr>
          <w:b/>
          <w:sz w:val="24"/>
          <w:szCs w:val="22"/>
          <w:lang w:val="en-US"/>
        </w:rPr>
        <w:t>Feeding habits and content of Macaws in semi-captive</w:t>
      </w:r>
    </w:p>
    <w:p w:rsidR="000A2A2D" w:rsidRPr="000A2A2D" w:rsidRDefault="008742E9" w:rsidP="003435E2">
      <w:pPr>
        <w:jc w:val="center"/>
        <w:rPr>
          <w:b/>
          <w:sz w:val="24"/>
          <w:szCs w:val="22"/>
        </w:rPr>
      </w:pPr>
      <w:proofErr w:type="gramStart"/>
      <w:r w:rsidRPr="008742E9">
        <w:rPr>
          <w:b/>
          <w:sz w:val="24"/>
          <w:szCs w:val="22"/>
          <w:lang w:val="en-US"/>
        </w:rPr>
        <w:t>conditions</w:t>
      </w:r>
      <w:proofErr w:type="gramEnd"/>
    </w:p>
    <w:p w:rsidR="008742E9" w:rsidRPr="000A2A2D" w:rsidRDefault="008742E9" w:rsidP="008742E9">
      <w:pPr>
        <w:jc w:val="right"/>
        <w:rPr>
          <w:sz w:val="22"/>
          <w:szCs w:val="22"/>
        </w:rPr>
      </w:pPr>
      <w:r w:rsidRPr="000A2A2D">
        <w:rPr>
          <w:sz w:val="22"/>
          <w:szCs w:val="22"/>
        </w:rPr>
        <w:t>Кучерова А.</w:t>
      </w:r>
      <w:r w:rsidR="000A2A2D">
        <w:rPr>
          <w:sz w:val="22"/>
          <w:szCs w:val="22"/>
        </w:rPr>
        <w:t xml:space="preserve"> </w:t>
      </w:r>
      <w:r w:rsidRPr="000A2A2D">
        <w:rPr>
          <w:sz w:val="22"/>
          <w:szCs w:val="22"/>
        </w:rPr>
        <w:t>И.</w:t>
      </w:r>
      <w:r w:rsidR="000A2A2D">
        <w:rPr>
          <w:sz w:val="22"/>
          <w:szCs w:val="22"/>
        </w:rPr>
        <w:t>,</w:t>
      </w:r>
    </w:p>
    <w:p w:rsidR="008742E9" w:rsidRPr="000A2A2D" w:rsidRDefault="000A2A2D" w:rsidP="008742E9">
      <w:pPr>
        <w:jc w:val="right"/>
        <w:rPr>
          <w:sz w:val="22"/>
          <w:szCs w:val="22"/>
        </w:rPr>
      </w:pPr>
      <w:r>
        <w:rPr>
          <w:sz w:val="22"/>
          <w:szCs w:val="22"/>
        </w:rPr>
        <w:t>с</w:t>
      </w:r>
      <w:r w:rsidR="008742E9" w:rsidRPr="000A2A2D">
        <w:rPr>
          <w:sz w:val="22"/>
          <w:szCs w:val="22"/>
        </w:rPr>
        <w:t xml:space="preserve">тудентка </w:t>
      </w:r>
      <w:r>
        <w:rPr>
          <w:sz w:val="22"/>
          <w:szCs w:val="22"/>
        </w:rPr>
        <w:t>2-го курса факультета зоотехнии</w:t>
      </w:r>
    </w:p>
    <w:p w:rsidR="008742E9" w:rsidRPr="000A2A2D" w:rsidRDefault="008742E9" w:rsidP="008742E9">
      <w:pPr>
        <w:jc w:val="right"/>
        <w:rPr>
          <w:sz w:val="22"/>
          <w:szCs w:val="22"/>
        </w:rPr>
      </w:pPr>
      <w:r w:rsidRPr="000A2A2D">
        <w:rPr>
          <w:sz w:val="22"/>
          <w:szCs w:val="22"/>
        </w:rPr>
        <w:t>Шляхова О.</w:t>
      </w:r>
      <w:r w:rsidR="000A2A2D">
        <w:rPr>
          <w:sz w:val="22"/>
          <w:szCs w:val="22"/>
        </w:rPr>
        <w:t xml:space="preserve"> </w:t>
      </w:r>
      <w:r w:rsidRPr="000A2A2D">
        <w:rPr>
          <w:sz w:val="22"/>
          <w:szCs w:val="22"/>
        </w:rPr>
        <w:t>Г.</w:t>
      </w:r>
      <w:r w:rsidR="000A2A2D">
        <w:rPr>
          <w:sz w:val="22"/>
          <w:szCs w:val="22"/>
        </w:rPr>
        <w:t>,</w:t>
      </w:r>
    </w:p>
    <w:p w:rsidR="000A2A2D" w:rsidRDefault="000A2A2D" w:rsidP="008742E9">
      <w:pPr>
        <w:jc w:val="right"/>
        <w:rPr>
          <w:sz w:val="22"/>
          <w:szCs w:val="22"/>
        </w:rPr>
      </w:pPr>
      <w:r>
        <w:rPr>
          <w:sz w:val="22"/>
          <w:szCs w:val="22"/>
        </w:rPr>
        <w:t>к</w:t>
      </w:r>
      <w:r w:rsidR="008742E9" w:rsidRPr="000A2A2D">
        <w:rPr>
          <w:sz w:val="22"/>
          <w:szCs w:val="22"/>
        </w:rPr>
        <w:t>андидат биологических наук,</w:t>
      </w:r>
    </w:p>
    <w:p w:rsidR="008742E9" w:rsidRPr="000A2A2D" w:rsidRDefault="008742E9" w:rsidP="008742E9">
      <w:pPr>
        <w:jc w:val="right"/>
        <w:rPr>
          <w:sz w:val="22"/>
          <w:szCs w:val="22"/>
        </w:rPr>
      </w:pPr>
      <w:r w:rsidRPr="000A2A2D">
        <w:rPr>
          <w:sz w:val="22"/>
          <w:szCs w:val="22"/>
        </w:rPr>
        <w:t xml:space="preserve"> доцент кафедры физиологии и кормления с/х животных</w:t>
      </w:r>
    </w:p>
    <w:p w:rsidR="000A2A2D" w:rsidRDefault="008742E9" w:rsidP="008742E9">
      <w:pPr>
        <w:jc w:val="right"/>
        <w:rPr>
          <w:sz w:val="22"/>
          <w:szCs w:val="22"/>
        </w:rPr>
      </w:pPr>
      <w:r w:rsidRPr="000A2A2D">
        <w:rPr>
          <w:sz w:val="22"/>
          <w:szCs w:val="22"/>
        </w:rPr>
        <w:t>Кубанский государственный аграрный</w:t>
      </w:r>
    </w:p>
    <w:p w:rsidR="008742E9" w:rsidRPr="000A2A2D" w:rsidRDefault="008742E9" w:rsidP="008742E9">
      <w:pPr>
        <w:jc w:val="right"/>
        <w:rPr>
          <w:sz w:val="22"/>
          <w:szCs w:val="22"/>
        </w:rPr>
      </w:pPr>
      <w:r w:rsidRPr="000A2A2D">
        <w:rPr>
          <w:sz w:val="22"/>
          <w:szCs w:val="22"/>
        </w:rPr>
        <w:t xml:space="preserve"> университет имени И.</w:t>
      </w:r>
      <w:r w:rsidR="000A2A2D">
        <w:rPr>
          <w:sz w:val="22"/>
          <w:szCs w:val="22"/>
        </w:rPr>
        <w:t xml:space="preserve"> </w:t>
      </w:r>
      <w:r w:rsidRPr="000A2A2D">
        <w:rPr>
          <w:sz w:val="22"/>
          <w:szCs w:val="22"/>
        </w:rPr>
        <w:t>Т.Трубилина</w:t>
      </w:r>
    </w:p>
    <w:p w:rsidR="008742E9" w:rsidRPr="008742E9" w:rsidRDefault="008742E9" w:rsidP="008742E9">
      <w:pPr>
        <w:jc w:val="right"/>
        <w:rPr>
          <w:sz w:val="22"/>
          <w:szCs w:val="22"/>
        </w:rPr>
      </w:pPr>
    </w:p>
    <w:p w:rsidR="008742E9" w:rsidRPr="008742E9" w:rsidRDefault="008742E9" w:rsidP="000A2A2D">
      <w:pPr>
        <w:ind w:firstLine="426"/>
        <w:jc w:val="both"/>
        <w:rPr>
          <w:sz w:val="22"/>
          <w:szCs w:val="22"/>
        </w:rPr>
      </w:pPr>
      <w:r w:rsidRPr="008742E9">
        <w:rPr>
          <w:sz w:val="22"/>
          <w:szCs w:val="22"/>
        </w:rPr>
        <w:t>АННОТАЦИЯ: Изучено влияние кормов на попугаев, соде</w:t>
      </w:r>
      <w:r w:rsidRPr="008742E9">
        <w:rPr>
          <w:sz w:val="22"/>
          <w:szCs w:val="22"/>
        </w:rPr>
        <w:t>р</w:t>
      </w:r>
      <w:r w:rsidRPr="008742E9">
        <w:rPr>
          <w:sz w:val="22"/>
          <w:szCs w:val="22"/>
        </w:rPr>
        <w:t xml:space="preserve">жащихся в условиях зоопарков и сафари-парков, определённых </w:t>
      </w:r>
      <w:r w:rsidRPr="008742E9">
        <w:rPr>
          <w:sz w:val="22"/>
          <w:szCs w:val="22"/>
        </w:rPr>
        <w:lastRenderedPageBreak/>
        <w:t>продуктов в рационе на здоровье и внешний вид птиц, проведён анализ питания попугаев, содержащихся в неволе и в дикой прир</w:t>
      </w:r>
      <w:r w:rsidRPr="008742E9">
        <w:rPr>
          <w:sz w:val="22"/>
          <w:szCs w:val="22"/>
        </w:rPr>
        <w:t>о</w:t>
      </w:r>
      <w:r w:rsidRPr="008742E9">
        <w:rPr>
          <w:sz w:val="22"/>
          <w:szCs w:val="22"/>
        </w:rPr>
        <w:t>де.</w:t>
      </w:r>
    </w:p>
    <w:p w:rsidR="008742E9" w:rsidRPr="008742E9" w:rsidRDefault="008742E9" w:rsidP="000A2A2D">
      <w:pPr>
        <w:ind w:firstLine="426"/>
        <w:jc w:val="both"/>
        <w:rPr>
          <w:sz w:val="22"/>
          <w:szCs w:val="22"/>
          <w:lang w:val="en-US"/>
        </w:rPr>
      </w:pPr>
      <w:r w:rsidRPr="008742E9">
        <w:rPr>
          <w:sz w:val="22"/>
          <w:szCs w:val="22"/>
          <w:lang w:val="en-US"/>
        </w:rPr>
        <w:t>ABSTRACT: Influence of feed for parrots that are contained in the conditions of zoos and Safari parks, certain foods in the diet to health and appearance of the birds, the analysis of nutrition of parrots in capti</w:t>
      </w:r>
      <w:r w:rsidRPr="008742E9">
        <w:rPr>
          <w:sz w:val="22"/>
          <w:szCs w:val="22"/>
          <w:lang w:val="en-US"/>
        </w:rPr>
        <w:t>v</w:t>
      </w:r>
      <w:r w:rsidRPr="008742E9">
        <w:rPr>
          <w:sz w:val="22"/>
          <w:szCs w:val="22"/>
          <w:lang w:val="en-US"/>
        </w:rPr>
        <w:t>ity and in the wild.</w:t>
      </w:r>
    </w:p>
    <w:p w:rsidR="008742E9" w:rsidRPr="008742E9" w:rsidRDefault="008742E9" w:rsidP="000A2A2D">
      <w:pPr>
        <w:ind w:firstLine="426"/>
        <w:jc w:val="both"/>
        <w:rPr>
          <w:sz w:val="22"/>
          <w:szCs w:val="22"/>
        </w:rPr>
      </w:pPr>
      <w:r w:rsidRPr="008742E9">
        <w:rPr>
          <w:sz w:val="22"/>
          <w:szCs w:val="22"/>
        </w:rPr>
        <w:t>КЛЮЧЕВЫЕ СЛОВА: попугаи Ара, кормление, содержание, питание в дикой природе</w:t>
      </w:r>
    </w:p>
    <w:p w:rsidR="008742E9" w:rsidRPr="008742E9" w:rsidRDefault="008742E9" w:rsidP="000A2A2D">
      <w:pPr>
        <w:ind w:firstLine="426"/>
        <w:jc w:val="both"/>
        <w:rPr>
          <w:sz w:val="22"/>
          <w:szCs w:val="22"/>
          <w:lang w:val="en-US"/>
        </w:rPr>
      </w:pPr>
      <w:r w:rsidRPr="008742E9">
        <w:rPr>
          <w:sz w:val="22"/>
          <w:szCs w:val="22"/>
          <w:lang w:val="en-US"/>
        </w:rPr>
        <w:t>KEYWORDS:</w:t>
      </w:r>
      <w:r w:rsidRPr="008742E9">
        <w:rPr>
          <w:rFonts w:ascii="Calibri" w:hAnsi="Calibri"/>
          <w:sz w:val="22"/>
          <w:szCs w:val="22"/>
          <w:lang w:val="en-US"/>
        </w:rPr>
        <w:t xml:space="preserve"> </w:t>
      </w:r>
      <w:r w:rsidRPr="008742E9">
        <w:rPr>
          <w:sz w:val="22"/>
          <w:szCs w:val="22"/>
          <w:lang w:val="en-US"/>
        </w:rPr>
        <w:t>macaws, feeding, content, diet in the wild.</w:t>
      </w:r>
    </w:p>
    <w:p w:rsidR="008742E9" w:rsidRPr="008742E9" w:rsidRDefault="008742E9" w:rsidP="000A2A2D">
      <w:pPr>
        <w:ind w:firstLine="426"/>
        <w:jc w:val="both"/>
        <w:rPr>
          <w:sz w:val="22"/>
          <w:szCs w:val="22"/>
          <w:lang w:val="en-US"/>
        </w:rPr>
      </w:pPr>
    </w:p>
    <w:p w:rsidR="008742E9" w:rsidRPr="008742E9" w:rsidRDefault="008742E9" w:rsidP="000A2A2D">
      <w:pPr>
        <w:ind w:firstLine="426"/>
        <w:jc w:val="both"/>
        <w:rPr>
          <w:sz w:val="22"/>
          <w:szCs w:val="22"/>
        </w:rPr>
      </w:pPr>
      <w:r w:rsidRPr="008742E9">
        <w:rPr>
          <w:sz w:val="22"/>
          <w:szCs w:val="22"/>
        </w:rPr>
        <w:t>Попугаи Ара – это крупные птицы семейства попугаевых. Ра</w:t>
      </w:r>
      <w:r w:rsidRPr="008742E9">
        <w:rPr>
          <w:sz w:val="22"/>
          <w:szCs w:val="22"/>
        </w:rPr>
        <w:t>с</w:t>
      </w:r>
      <w:r w:rsidRPr="008742E9">
        <w:rPr>
          <w:sz w:val="22"/>
          <w:szCs w:val="22"/>
        </w:rPr>
        <w:t>пространены в Южной и Центральной Америке. Они обитают в г</w:t>
      </w:r>
      <w:r w:rsidRPr="008742E9">
        <w:rPr>
          <w:sz w:val="22"/>
          <w:szCs w:val="22"/>
        </w:rPr>
        <w:t>у</w:t>
      </w:r>
      <w:r w:rsidRPr="008742E9">
        <w:rPr>
          <w:sz w:val="22"/>
          <w:szCs w:val="22"/>
        </w:rPr>
        <w:t>стых тропических лесах, предпочитая находиться вдали от посел</w:t>
      </w:r>
      <w:r w:rsidRPr="008742E9">
        <w:rPr>
          <w:sz w:val="22"/>
          <w:szCs w:val="22"/>
        </w:rPr>
        <w:t>е</w:t>
      </w:r>
      <w:r w:rsidRPr="008742E9">
        <w:rPr>
          <w:sz w:val="22"/>
          <w:szCs w:val="22"/>
        </w:rPr>
        <w:t>ний и ближе к берегам крупных водоёмов. Ара живут в теплом климате [1, 2, 3].</w:t>
      </w:r>
    </w:p>
    <w:p w:rsidR="008742E9" w:rsidRPr="008742E9" w:rsidRDefault="008742E9" w:rsidP="000A2A2D">
      <w:pPr>
        <w:ind w:firstLine="426"/>
        <w:jc w:val="both"/>
        <w:rPr>
          <w:sz w:val="22"/>
          <w:szCs w:val="22"/>
        </w:rPr>
      </w:pPr>
      <w:r w:rsidRPr="008742E9">
        <w:rPr>
          <w:sz w:val="22"/>
          <w:szCs w:val="22"/>
        </w:rPr>
        <w:t>Попугай Ара обладает самым крепким клювом на планете, это позволяет ему с легкостью раскалывать орехи. В дикой среде эти птицы питаются всевозможными фруктами, орехами, молодыми побегами деревьев и кустарников, ягодами, цветами и семенами. В зависимости от места обитания рацион попугаев может меняться, так, например, птицы, живущие в лесах Бразилии, питаются бр</w:t>
      </w:r>
      <w:r w:rsidRPr="008742E9">
        <w:rPr>
          <w:sz w:val="22"/>
          <w:szCs w:val="22"/>
        </w:rPr>
        <w:t>а</w:t>
      </w:r>
      <w:r w:rsidRPr="008742E9">
        <w:rPr>
          <w:sz w:val="22"/>
          <w:szCs w:val="22"/>
        </w:rPr>
        <w:t>зильскими орехами, а попугаи в Аргентине любят полакомиться авелланским орехом, птицы Перу- кактусом Питахайя, а в Америке птицы предпочитают питаться такими сочными фруктами как мар</w:t>
      </w:r>
      <w:r w:rsidRPr="008742E9">
        <w:rPr>
          <w:sz w:val="22"/>
          <w:szCs w:val="22"/>
        </w:rPr>
        <w:t>а</w:t>
      </w:r>
      <w:r w:rsidRPr="008742E9">
        <w:rPr>
          <w:sz w:val="22"/>
          <w:szCs w:val="22"/>
        </w:rPr>
        <w:t>куя, бананы и цитрусовыми. Близость гнездования попугаев вблизи водоемов связана с тем, что Ара заглатывают глину чтобы обезвр</w:t>
      </w:r>
      <w:r w:rsidRPr="008742E9">
        <w:rPr>
          <w:sz w:val="22"/>
          <w:szCs w:val="22"/>
        </w:rPr>
        <w:t>е</w:t>
      </w:r>
      <w:r w:rsidRPr="008742E9">
        <w:rPr>
          <w:sz w:val="22"/>
          <w:szCs w:val="22"/>
        </w:rPr>
        <w:t xml:space="preserve">дить токсические вещества некоторых незрелых фруктов, входящих в их рацион, а также восполнить источник минеральных веществ. </w:t>
      </w:r>
    </w:p>
    <w:p w:rsidR="008742E9" w:rsidRPr="008742E9" w:rsidRDefault="008742E9" w:rsidP="000A2A2D">
      <w:pPr>
        <w:ind w:firstLine="426"/>
        <w:jc w:val="both"/>
        <w:rPr>
          <w:sz w:val="22"/>
          <w:szCs w:val="22"/>
        </w:rPr>
      </w:pPr>
      <w:r w:rsidRPr="008742E9">
        <w:rPr>
          <w:sz w:val="22"/>
          <w:szCs w:val="22"/>
        </w:rPr>
        <w:t>Попугаев Ара содержат во многих зоопарках мира, но, в зав</w:t>
      </w:r>
      <w:r w:rsidRPr="008742E9">
        <w:rPr>
          <w:sz w:val="22"/>
          <w:szCs w:val="22"/>
        </w:rPr>
        <w:t>и</w:t>
      </w:r>
      <w:r w:rsidRPr="008742E9">
        <w:rPr>
          <w:sz w:val="22"/>
          <w:szCs w:val="22"/>
        </w:rPr>
        <w:t>симости от места нахождения зоопарка, условия обитания этих кр</w:t>
      </w:r>
      <w:r w:rsidRPr="008742E9">
        <w:rPr>
          <w:sz w:val="22"/>
          <w:szCs w:val="22"/>
        </w:rPr>
        <w:t>а</w:t>
      </w:r>
      <w:r w:rsidRPr="008742E9">
        <w:rPr>
          <w:sz w:val="22"/>
          <w:szCs w:val="22"/>
        </w:rPr>
        <w:t>сивых птиц различны. [1]</w:t>
      </w:r>
    </w:p>
    <w:p w:rsidR="008742E9" w:rsidRPr="008742E9" w:rsidRDefault="008742E9" w:rsidP="000A2A2D">
      <w:pPr>
        <w:ind w:firstLine="426"/>
        <w:jc w:val="both"/>
        <w:rPr>
          <w:sz w:val="22"/>
          <w:szCs w:val="22"/>
        </w:rPr>
      </w:pPr>
      <w:r w:rsidRPr="008742E9">
        <w:rPr>
          <w:sz w:val="22"/>
          <w:szCs w:val="22"/>
        </w:rPr>
        <w:t>В зоопарках «</w:t>
      </w:r>
      <w:r w:rsidRPr="008742E9">
        <w:rPr>
          <w:sz w:val="22"/>
          <w:szCs w:val="22"/>
          <w:lang w:val="en-US"/>
        </w:rPr>
        <w:t>San</w:t>
      </w:r>
      <w:r w:rsidRPr="008742E9">
        <w:rPr>
          <w:sz w:val="22"/>
          <w:szCs w:val="22"/>
        </w:rPr>
        <w:t>-</w:t>
      </w:r>
      <w:r w:rsidRPr="008742E9">
        <w:rPr>
          <w:sz w:val="22"/>
          <w:szCs w:val="22"/>
          <w:lang w:val="en-US"/>
        </w:rPr>
        <w:t>Diego</w:t>
      </w:r>
      <w:r w:rsidRPr="008742E9">
        <w:rPr>
          <w:sz w:val="22"/>
          <w:szCs w:val="22"/>
        </w:rPr>
        <w:t>» (США) и «</w:t>
      </w:r>
      <w:r w:rsidRPr="008742E9">
        <w:rPr>
          <w:sz w:val="22"/>
          <w:szCs w:val="22"/>
          <w:lang w:val="en-US"/>
        </w:rPr>
        <w:t>Loro</w:t>
      </w:r>
      <w:r w:rsidRPr="008742E9">
        <w:rPr>
          <w:sz w:val="22"/>
          <w:szCs w:val="22"/>
        </w:rPr>
        <w:t xml:space="preserve"> </w:t>
      </w:r>
      <w:r w:rsidRPr="008742E9">
        <w:rPr>
          <w:sz w:val="22"/>
          <w:szCs w:val="22"/>
          <w:lang w:val="en-US"/>
        </w:rPr>
        <w:t>Parque</w:t>
      </w:r>
      <w:r w:rsidRPr="008742E9">
        <w:rPr>
          <w:sz w:val="22"/>
          <w:szCs w:val="22"/>
        </w:rPr>
        <w:t>» (о. Тенерифе, Испания) и других зоопарках, находящихся в местах с теплым кл</w:t>
      </w:r>
      <w:r w:rsidRPr="008742E9">
        <w:rPr>
          <w:sz w:val="22"/>
          <w:szCs w:val="22"/>
        </w:rPr>
        <w:t>и</w:t>
      </w:r>
      <w:r w:rsidRPr="008742E9">
        <w:rPr>
          <w:sz w:val="22"/>
          <w:szCs w:val="22"/>
        </w:rPr>
        <w:t>матом, Ара содержатся в больших открытых вольерах круглый год. В странах, где температура падает ниже 20 градусов птицы соде</w:t>
      </w:r>
      <w:r w:rsidRPr="008742E9">
        <w:rPr>
          <w:sz w:val="22"/>
          <w:szCs w:val="22"/>
        </w:rPr>
        <w:t>р</w:t>
      </w:r>
      <w:r w:rsidRPr="008742E9">
        <w:rPr>
          <w:sz w:val="22"/>
          <w:szCs w:val="22"/>
        </w:rPr>
        <w:t xml:space="preserve">жатся в так называемых «зимних» вольерах. </w:t>
      </w:r>
    </w:p>
    <w:p w:rsidR="008742E9" w:rsidRPr="008742E9" w:rsidRDefault="008742E9" w:rsidP="000A2A2D">
      <w:pPr>
        <w:ind w:firstLine="426"/>
        <w:jc w:val="both"/>
        <w:rPr>
          <w:sz w:val="22"/>
          <w:szCs w:val="22"/>
        </w:rPr>
      </w:pPr>
      <w:r w:rsidRPr="008742E9">
        <w:rPr>
          <w:sz w:val="22"/>
          <w:szCs w:val="22"/>
        </w:rPr>
        <w:lastRenderedPageBreak/>
        <w:t>Рацион Ара в зоопарках также варьируется в зависимости от места расположения зоопарка. В южных регионах рацион птиц б</w:t>
      </w:r>
      <w:r w:rsidRPr="008742E9">
        <w:rPr>
          <w:sz w:val="22"/>
          <w:szCs w:val="22"/>
        </w:rPr>
        <w:t>о</w:t>
      </w:r>
      <w:r w:rsidRPr="008742E9">
        <w:rPr>
          <w:sz w:val="22"/>
          <w:szCs w:val="22"/>
        </w:rPr>
        <w:t>лее разнообразен и богат различными фруктами, нежели в зоопа</w:t>
      </w:r>
      <w:r w:rsidRPr="008742E9">
        <w:rPr>
          <w:sz w:val="22"/>
          <w:szCs w:val="22"/>
        </w:rPr>
        <w:t>р</w:t>
      </w:r>
      <w:r w:rsidRPr="008742E9">
        <w:rPr>
          <w:sz w:val="22"/>
          <w:szCs w:val="22"/>
        </w:rPr>
        <w:t>ках северных регионов.</w:t>
      </w:r>
    </w:p>
    <w:p w:rsidR="008742E9" w:rsidRPr="008742E9" w:rsidRDefault="008742E9" w:rsidP="000A2A2D">
      <w:pPr>
        <w:ind w:firstLine="426"/>
        <w:jc w:val="both"/>
        <w:rPr>
          <w:sz w:val="22"/>
          <w:szCs w:val="22"/>
        </w:rPr>
      </w:pPr>
      <w:r w:rsidRPr="008742E9">
        <w:rPr>
          <w:sz w:val="22"/>
          <w:szCs w:val="22"/>
        </w:rPr>
        <w:t xml:space="preserve">Нужно внимательно следить за питанием Ара в неволе, так как эти птицы предрасположены к панкреатиту, пищевым отравлениям и расширению преджелудка, у молодых особей из-за недостатка кальция может развиться уродство клюва. </w:t>
      </w:r>
    </w:p>
    <w:p w:rsidR="008742E9" w:rsidRPr="008742E9" w:rsidRDefault="008742E9" w:rsidP="000A2A2D">
      <w:pPr>
        <w:ind w:firstLine="426"/>
        <w:jc w:val="both"/>
        <w:rPr>
          <w:sz w:val="22"/>
          <w:szCs w:val="22"/>
        </w:rPr>
      </w:pPr>
      <w:r w:rsidRPr="008742E9">
        <w:rPr>
          <w:sz w:val="22"/>
          <w:szCs w:val="22"/>
        </w:rPr>
        <w:t>При авитаминозе у попугаев наблюдается выпадение перьев, для того чтобы его избежать ни в коем случае нельзя исключать из рациона птиц фрукты и овощи, потому что именно они являются основным источником витаминов. В условиях зоопарков у этих птиц в вольере обязательно должен присутствовать крупный песок или галька для помощи организму в перетирании пищи.</w:t>
      </w:r>
    </w:p>
    <w:p w:rsidR="008742E9" w:rsidRPr="008742E9" w:rsidRDefault="008742E9" w:rsidP="000A2A2D">
      <w:pPr>
        <w:ind w:right="-1" w:firstLine="426"/>
        <w:jc w:val="both"/>
        <w:rPr>
          <w:noProof/>
          <w:sz w:val="22"/>
          <w:szCs w:val="22"/>
        </w:rPr>
      </w:pPr>
      <w:r w:rsidRPr="008742E9">
        <w:rPr>
          <w:noProof/>
          <w:sz w:val="22"/>
          <w:szCs w:val="22"/>
        </w:rPr>
        <w:t xml:space="preserve">В процессе прохождения учебной практику в Краснодарском зоопарке «Сафари-парк» мне был предоставлен для анализа местный рацион, используемый для кормления попугаев Ара. Он включает в себя в обзательном порядке свежие фрукты (хурма, яблоки, бананы, апельсины); отварную гречневую крупу и овёс. </w:t>
      </w:r>
    </w:p>
    <w:p w:rsidR="008742E9" w:rsidRPr="008742E9" w:rsidRDefault="008742E9" w:rsidP="000A2A2D">
      <w:pPr>
        <w:ind w:right="-1" w:firstLine="426"/>
        <w:jc w:val="both"/>
        <w:rPr>
          <w:noProof/>
          <w:sz w:val="22"/>
          <w:szCs w:val="22"/>
        </w:rPr>
      </w:pPr>
      <w:r w:rsidRPr="008742E9">
        <w:rPr>
          <w:noProof/>
          <w:sz w:val="22"/>
          <w:szCs w:val="22"/>
        </w:rPr>
        <w:t xml:space="preserve">Птицы обитают в зимнее время в отапливаемом зимнем вольере, где им предоставлены ветки деревьев и пни для стачивания клювов. В летнее время птицам открывают летний вольер. </w:t>
      </w:r>
    </w:p>
    <w:p w:rsidR="008742E9" w:rsidRPr="008742E9" w:rsidRDefault="008742E9" w:rsidP="000A2A2D">
      <w:pPr>
        <w:ind w:right="-1" w:firstLine="426"/>
        <w:jc w:val="both"/>
        <w:rPr>
          <w:sz w:val="22"/>
          <w:szCs w:val="22"/>
        </w:rPr>
      </w:pPr>
      <w:r w:rsidRPr="008742E9">
        <w:rPr>
          <w:noProof/>
          <w:sz w:val="22"/>
          <w:szCs w:val="22"/>
        </w:rPr>
        <w:t>Рацион питания попугаев Ара в условиях Краснодарского зоопарка оказался недостаточно сбалансирован. Для сравнения была изучена зерновая смесь «</w:t>
      </w:r>
      <w:r w:rsidRPr="008742E9">
        <w:rPr>
          <w:noProof/>
          <w:sz w:val="22"/>
          <w:szCs w:val="22"/>
          <w:lang w:val="en-US"/>
        </w:rPr>
        <w:t>Versele</w:t>
      </w:r>
      <w:r w:rsidRPr="008742E9">
        <w:rPr>
          <w:noProof/>
          <w:sz w:val="22"/>
          <w:szCs w:val="22"/>
        </w:rPr>
        <w:t xml:space="preserve"> </w:t>
      </w:r>
      <w:r w:rsidRPr="008742E9">
        <w:rPr>
          <w:noProof/>
          <w:sz w:val="22"/>
          <w:szCs w:val="22"/>
          <w:lang w:val="en-US"/>
        </w:rPr>
        <w:t>Laga</w:t>
      </w:r>
      <w:r w:rsidRPr="008742E9">
        <w:rPr>
          <w:noProof/>
          <w:sz w:val="22"/>
          <w:szCs w:val="22"/>
        </w:rPr>
        <w:t>», использующаяся</w:t>
      </w:r>
      <w:r w:rsidRPr="008742E9">
        <w:rPr>
          <w:sz w:val="22"/>
          <w:szCs w:val="22"/>
        </w:rPr>
        <w:t xml:space="preserve"> в и</w:t>
      </w:r>
      <w:r w:rsidRPr="008742E9">
        <w:rPr>
          <w:sz w:val="22"/>
          <w:szCs w:val="22"/>
        </w:rPr>
        <w:t>с</w:t>
      </w:r>
      <w:r w:rsidRPr="008742E9">
        <w:rPr>
          <w:sz w:val="22"/>
          <w:szCs w:val="22"/>
        </w:rPr>
        <w:t>панском зоопарке «</w:t>
      </w:r>
      <w:r w:rsidRPr="008742E9">
        <w:rPr>
          <w:sz w:val="22"/>
          <w:szCs w:val="22"/>
          <w:lang w:val="en-US"/>
        </w:rPr>
        <w:t>Loro</w:t>
      </w:r>
      <w:r w:rsidRPr="008742E9">
        <w:rPr>
          <w:sz w:val="22"/>
          <w:szCs w:val="22"/>
        </w:rPr>
        <w:t xml:space="preserve"> </w:t>
      </w:r>
      <w:r w:rsidRPr="008742E9">
        <w:rPr>
          <w:sz w:val="22"/>
          <w:szCs w:val="22"/>
          <w:lang w:val="en-US"/>
        </w:rPr>
        <w:t>Parque</w:t>
      </w:r>
      <w:r w:rsidRPr="008742E9">
        <w:rPr>
          <w:sz w:val="22"/>
          <w:szCs w:val="22"/>
        </w:rPr>
        <w:t xml:space="preserve">». </w:t>
      </w:r>
    </w:p>
    <w:p w:rsidR="008742E9" w:rsidRPr="008742E9" w:rsidRDefault="008742E9" w:rsidP="000A2A2D">
      <w:pPr>
        <w:ind w:right="-1" w:firstLine="426"/>
        <w:jc w:val="both"/>
        <w:rPr>
          <w:sz w:val="22"/>
          <w:szCs w:val="22"/>
        </w:rPr>
      </w:pPr>
      <w:r w:rsidRPr="008742E9">
        <w:rPr>
          <w:sz w:val="22"/>
          <w:szCs w:val="22"/>
        </w:rPr>
        <w:t xml:space="preserve">Состав смеси в пачке массой 1 кг «Parrots Premium»: </w:t>
      </w:r>
    </w:p>
    <w:p w:rsidR="008742E9" w:rsidRPr="008742E9" w:rsidRDefault="008742E9" w:rsidP="000A2A2D">
      <w:pPr>
        <w:ind w:right="-1" w:firstLine="426"/>
        <w:jc w:val="both"/>
        <w:rPr>
          <w:sz w:val="22"/>
          <w:szCs w:val="22"/>
        </w:rPr>
      </w:pPr>
      <w:r w:rsidRPr="008742E9">
        <w:rPr>
          <w:sz w:val="22"/>
          <w:szCs w:val="22"/>
        </w:rPr>
        <w:t>Полосатое семя подсолнечника 13%, Сафлор 12%, Рис-сырец 9%, Гречиха 9%, Овес 8%, Канареечное семя 7%, Белое семя по</w:t>
      </w:r>
      <w:r w:rsidRPr="008742E9">
        <w:rPr>
          <w:sz w:val="22"/>
          <w:szCs w:val="22"/>
        </w:rPr>
        <w:t>д</w:t>
      </w:r>
      <w:r w:rsidRPr="008742E9">
        <w:rPr>
          <w:sz w:val="22"/>
          <w:szCs w:val="22"/>
        </w:rPr>
        <w:t xml:space="preserve">солнечника 6%, Семя льна 4%, Кедровые орехи 3%, Семена тыквы 3%, Желтое просо 3%, Красное просо 2%, Мелкая кукуруза 2%, Сорго 2%, Зеленый горох 2% ,Семя кедра 1%, Воздушная кукуруза 1%, Воздушная пшеница 1%, Плоды шиповника 1%, Красный перец 1%, Макси гранулы V.A.M. 8%, Раковины устриц, измельченные – 2%. </w:t>
      </w:r>
    </w:p>
    <w:p w:rsidR="008742E9" w:rsidRPr="008742E9" w:rsidRDefault="008742E9" w:rsidP="000A2A2D">
      <w:pPr>
        <w:ind w:right="-1" w:firstLine="426"/>
        <w:jc w:val="both"/>
        <w:rPr>
          <w:sz w:val="22"/>
          <w:szCs w:val="22"/>
        </w:rPr>
      </w:pPr>
      <w:r w:rsidRPr="008742E9">
        <w:rPr>
          <w:sz w:val="22"/>
          <w:szCs w:val="22"/>
        </w:rPr>
        <w:t>Кроме готового корма, в рационе местных Ара обязательно присутствуют фрукты [2]/</w:t>
      </w:r>
    </w:p>
    <w:p w:rsidR="008742E9" w:rsidRPr="008742E9" w:rsidRDefault="008742E9" w:rsidP="000A2A2D">
      <w:pPr>
        <w:ind w:firstLine="426"/>
        <w:jc w:val="both"/>
        <w:rPr>
          <w:sz w:val="22"/>
          <w:szCs w:val="22"/>
        </w:rPr>
      </w:pPr>
      <w:r w:rsidRPr="008742E9">
        <w:rPr>
          <w:sz w:val="22"/>
          <w:szCs w:val="22"/>
        </w:rPr>
        <w:lastRenderedPageBreak/>
        <w:t>В лондонском зоопарке делается упор на важные аспекты: ч</w:t>
      </w:r>
      <w:r w:rsidRPr="008742E9">
        <w:rPr>
          <w:sz w:val="22"/>
          <w:szCs w:val="22"/>
        </w:rPr>
        <w:t>а</w:t>
      </w:r>
      <w:r w:rsidRPr="008742E9">
        <w:rPr>
          <w:sz w:val="22"/>
          <w:szCs w:val="22"/>
        </w:rPr>
        <w:t>стоту поения и сбалансированную питательность рационов. Гос</w:t>
      </w:r>
      <w:r w:rsidRPr="008742E9">
        <w:rPr>
          <w:sz w:val="22"/>
          <w:szCs w:val="22"/>
        </w:rPr>
        <w:t>у</w:t>
      </w:r>
      <w:r w:rsidRPr="008742E9">
        <w:rPr>
          <w:sz w:val="22"/>
          <w:szCs w:val="22"/>
        </w:rPr>
        <w:t>дарственный стандарт предусматривает: «Пища должна быть предоставлена в порядке и частоте соответствующей естественному поведению видов, а также их потребностей в питании, которые м</w:t>
      </w:r>
      <w:r w:rsidRPr="008742E9">
        <w:rPr>
          <w:sz w:val="22"/>
          <w:szCs w:val="22"/>
        </w:rPr>
        <w:t>о</w:t>
      </w:r>
      <w:r w:rsidRPr="008742E9">
        <w:rPr>
          <w:sz w:val="22"/>
          <w:szCs w:val="22"/>
        </w:rPr>
        <w:t>гут варьироваться в зависимости от сезона». Это заявление распр</w:t>
      </w:r>
      <w:r w:rsidRPr="008742E9">
        <w:rPr>
          <w:sz w:val="22"/>
          <w:szCs w:val="22"/>
        </w:rPr>
        <w:t>о</w:t>
      </w:r>
      <w:r w:rsidRPr="008742E9">
        <w:rPr>
          <w:sz w:val="22"/>
          <w:szCs w:val="22"/>
        </w:rPr>
        <w:t>страняется на ряд более конкретных рекомендаций, в том числе «необходимость сохранять запись всех рационов» [3].</w:t>
      </w:r>
    </w:p>
    <w:p w:rsidR="008742E9" w:rsidRPr="008742E9" w:rsidRDefault="008742E9" w:rsidP="000A2A2D">
      <w:pPr>
        <w:ind w:firstLine="426"/>
        <w:jc w:val="both"/>
        <w:rPr>
          <w:sz w:val="22"/>
          <w:szCs w:val="22"/>
        </w:rPr>
      </w:pPr>
      <w:r w:rsidRPr="008742E9">
        <w:rPr>
          <w:sz w:val="22"/>
          <w:szCs w:val="22"/>
        </w:rPr>
        <w:t>Можно заключить, что содержащиеся в неволе попугаи Ара в условиях краснодарского «Сафари-парк» получают недостаточно сбалансированную кормосмесь. Для подтверждения этого предп</w:t>
      </w:r>
      <w:r w:rsidRPr="008742E9">
        <w:rPr>
          <w:sz w:val="22"/>
          <w:szCs w:val="22"/>
        </w:rPr>
        <w:t>о</w:t>
      </w:r>
      <w:r w:rsidRPr="008742E9">
        <w:rPr>
          <w:sz w:val="22"/>
          <w:szCs w:val="22"/>
        </w:rPr>
        <w:t>ложения требуются дополнительные исследования, в том числе оценка химического состава рациона и помета птиц.</w:t>
      </w:r>
    </w:p>
    <w:p w:rsidR="008742E9" w:rsidRPr="008742E9" w:rsidRDefault="008742E9" w:rsidP="000A2A2D">
      <w:pPr>
        <w:ind w:firstLine="426"/>
        <w:jc w:val="both"/>
        <w:rPr>
          <w:sz w:val="22"/>
          <w:szCs w:val="22"/>
        </w:rPr>
      </w:pPr>
    </w:p>
    <w:p w:rsidR="008742E9" w:rsidRPr="008742E9" w:rsidRDefault="008742E9" w:rsidP="000A2A2D">
      <w:pPr>
        <w:ind w:firstLine="426"/>
        <w:jc w:val="center"/>
        <w:rPr>
          <w:sz w:val="22"/>
          <w:szCs w:val="22"/>
        </w:rPr>
      </w:pPr>
      <w:r w:rsidRPr="008742E9">
        <w:rPr>
          <w:sz w:val="22"/>
          <w:szCs w:val="22"/>
        </w:rPr>
        <w:t>Список литературы</w:t>
      </w:r>
    </w:p>
    <w:p w:rsidR="008742E9" w:rsidRPr="000A2A2D" w:rsidRDefault="008742E9" w:rsidP="000A2A2D">
      <w:pPr>
        <w:ind w:firstLine="426"/>
        <w:jc w:val="both"/>
        <w:rPr>
          <w:color w:val="0D0D0D"/>
          <w:sz w:val="22"/>
          <w:szCs w:val="22"/>
        </w:rPr>
      </w:pPr>
      <w:r w:rsidRPr="008742E9">
        <w:rPr>
          <w:color w:val="0D0D0D"/>
          <w:sz w:val="22"/>
          <w:szCs w:val="22"/>
        </w:rPr>
        <w:t xml:space="preserve">1. </w:t>
      </w:r>
      <w:hyperlink r:id="rId38" w:history="1">
        <w:r w:rsidRPr="000A2A2D">
          <w:rPr>
            <w:color w:val="0D0D0D"/>
            <w:sz w:val="22"/>
            <w:szCs w:val="22"/>
          </w:rPr>
          <w:t>https://givotniymir.ru/popugaj-ara-obraz-zhizni-i-sreda-obitaniya-popugaya-ara/</w:t>
        </w:r>
      </w:hyperlink>
    </w:p>
    <w:p w:rsidR="008742E9" w:rsidRPr="000A2A2D" w:rsidRDefault="008742E9" w:rsidP="000A2A2D">
      <w:pPr>
        <w:ind w:firstLine="426"/>
        <w:jc w:val="both"/>
        <w:rPr>
          <w:color w:val="0D0D0D"/>
          <w:sz w:val="22"/>
          <w:szCs w:val="22"/>
        </w:rPr>
      </w:pPr>
      <w:r w:rsidRPr="000A2A2D">
        <w:rPr>
          <w:color w:val="0D0D0D"/>
          <w:sz w:val="22"/>
          <w:szCs w:val="22"/>
        </w:rPr>
        <w:t xml:space="preserve">2. </w:t>
      </w:r>
      <w:hyperlink r:id="rId39" w:history="1">
        <w:r w:rsidRPr="000A2A2D">
          <w:rPr>
            <w:color w:val="0D0D0D"/>
            <w:sz w:val="22"/>
            <w:szCs w:val="22"/>
            <w:lang w:val="en-US"/>
          </w:rPr>
          <w:t>http</w:t>
        </w:r>
        <w:r w:rsidRPr="000A2A2D">
          <w:rPr>
            <w:color w:val="0D0D0D"/>
            <w:sz w:val="22"/>
            <w:szCs w:val="22"/>
          </w:rPr>
          <w:t>://</w:t>
        </w:r>
        <w:r w:rsidRPr="000A2A2D">
          <w:rPr>
            <w:color w:val="0D0D0D"/>
            <w:sz w:val="22"/>
            <w:szCs w:val="22"/>
            <w:lang w:val="en-US"/>
          </w:rPr>
          <w:t>publications</w:t>
        </w:r>
        <w:r w:rsidRPr="000A2A2D">
          <w:rPr>
            <w:color w:val="0D0D0D"/>
            <w:sz w:val="22"/>
            <w:szCs w:val="22"/>
          </w:rPr>
          <w:t>.</w:t>
        </w:r>
        <w:r w:rsidRPr="000A2A2D">
          <w:rPr>
            <w:color w:val="0D0D0D"/>
            <w:sz w:val="22"/>
            <w:szCs w:val="22"/>
            <w:lang w:val="en-US"/>
          </w:rPr>
          <w:t>versele</w:t>
        </w:r>
        <w:r w:rsidRPr="000A2A2D">
          <w:rPr>
            <w:color w:val="0D0D0D"/>
            <w:sz w:val="22"/>
            <w:szCs w:val="22"/>
          </w:rPr>
          <w:t>-</w:t>
        </w:r>
        <w:r w:rsidRPr="000A2A2D">
          <w:rPr>
            <w:color w:val="0D0D0D"/>
            <w:sz w:val="22"/>
            <w:szCs w:val="22"/>
            <w:lang w:val="en-US"/>
          </w:rPr>
          <w:t>laga</w:t>
        </w:r>
        <w:r w:rsidRPr="000A2A2D">
          <w:rPr>
            <w:color w:val="0D0D0D"/>
            <w:sz w:val="22"/>
            <w:szCs w:val="22"/>
          </w:rPr>
          <w:t>.</w:t>
        </w:r>
        <w:r w:rsidRPr="000A2A2D">
          <w:rPr>
            <w:color w:val="0D0D0D"/>
            <w:sz w:val="22"/>
            <w:szCs w:val="22"/>
            <w:lang w:val="en-US"/>
          </w:rPr>
          <w:t>com</w:t>
        </w:r>
        <w:r w:rsidRPr="000A2A2D">
          <w:rPr>
            <w:color w:val="0D0D0D"/>
            <w:sz w:val="22"/>
            <w:szCs w:val="22"/>
          </w:rPr>
          <w:t>/</w:t>
        </w:r>
        <w:r w:rsidRPr="000A2A2D">
          <w:rPr>
            <w:color w:val="0D0D0D"/>
            <w:sz w:val="22"/>
            <w:szCs w:val="22"/>
            <w:lang w:val="en-US"/>
          </w:rPr>
          <w:t>prestige</w:t>
        </w:r>
        <w:r w:rsidRPr="000A2A2D">
          <w:rPr>
            <w:color w:val="0D0D0D"/>
            <w:sz w:val="22"/>
            <w:szCs w:val="22"/>
          </w:rPr>
          <w:t>-</w:t>
        </w:r>
        <w:r w:rsidRPr="000A2A2D">
          <w:rPr>
            <w:color w:val="0D0D0D"/>
            <w:sz w:val="22"/>
            <w:szCs w:val="22"/>
            <w:lang w:val="en-US"/>
          </w:rPr>
          <w:t>rus</w:t>
        </w:r>
        <w:r w:rsidRPr="000A2A2D">
          <w:rPr>
            <w:color w:val="0D0D0D"/>
            <w:sz w:val="22"/>
            <w:szCs w:val="22"/>
          </w:rPr>
          <w:t>/</w:t>
        </w:r>
        <w:r w:rsidRPr="000A2A2D">
          <w:rPr>
            <w:color w:val="0D0D0D"/>
            <w:sz w:val="22"/>
            <w:szCs w:val="22"/>
            <w:lang w:val="en-US"/>
          </w:rPr>
          <w:t>page</w:t>
        </w:r>
        <w:r w:rsidRPr="000A2A2D">
          <w:rPr>
            <w:color w:val="0D0D0D"/>
            <w:sz w:val="22"/>
            <w:szCs w:val="22"/>
          </w:rPr>
          <w:t>/1</w:t>
        </w:r>
      </w:hyperlink>
    </w:p>
    <w:p w:rsidR="008742E9" w:rsidRPr="008742E9" w:rsidRDefault="008742E9" w:rsidP="000A2A2D">
      <w:pPr>
        <w:ind w:firstLine="426"/>
        <w:jc w:val="both"/>
        <w:rPr>
          <w:color w:val="0D0D0D"/>
          <w:sz w:val="22"/>
          <w:szCs w:val="22"/>
          <w:lang w:val="en-US"/>
        </w:rPr>
      </w:pPr>
      <w:r w:rsidRPr="008742E9">
        <w:rPr>
          <w:color w:val="0D0D0D"/>
          <w:sz w:val="22"/>
          <w:szCs w:val="22"/>
          <w:lang w:val="en-US"/>
        </w:rPr>
        <w:t>3. Nutrition and Diet Evaluation [</w:t>
      </w:r>
      <w:r w:rsidRPr="008742E9">
        <w:rPr>
          <w:color w:val="0D0D0D"/>
          <w:sz w:val="22"/>
          <w:szCs w:val="22"/>
        </w:rPr>
        <w:t>Текст</w:t>
      </w:r>
      <w:r w:rsidRPr="008742E9">
        <w:rPr>
          <w:color w:val="0D0D0D"/>
          <w:sz w:val="22"/>
          <w:szCs w:val="22"/>
          <w:lang w:val="en-US"/>
        </w:rPr>
        <w:t xml:space="preserve">] / Andrea L. Fidgett, Amy Plowman and Kat Whitehouse-Tedd // </w:t>
      </w:r>
      <w:r w:rsidR="009D0151">
        <w:fldChar w:fldCharType="begin"/>
      </w:r>
      <w:r w:rsidR="009D0151" w:rsidRPr="009D0151">
        <w:rPr>
          <w:lang w:val="en-US"/>
        </w:rPr>
        <w:instrText xml:space="preserve"> HYPERLINK "https://biaza.org.uk/downloader/583" \t "_blank" </w:instrText>
      </w:r>
      <w:r w:rsidR="009D0151">
        <w:fldChar w:fldCharType="separate"/>
      </w:r>
      <w:r w:rsidRPr="008742E9">
        <w:rPr>
          <w:color w:val="0D0D0D"/>
          <w:sz w:val="22"/>
          <w:szCs w:val="22"/>
          <w:lang w:val="en-US"/>
        </w:rPr>
        <w:t>BIAZA Research Handbook</w:t>
      </w:r>
      <w:r w:rsidR="009D0151">
        <w:rPr>
          <w:color w:val="0D0D0D"/>
          <w:sz w:val="22"/>
          <w:szCs w:val="22"/>
          <w:lang w:val="en-US"/>
        </w:rPr>
        <w:fldChar w:fldCharType="end"/>
      </w:r>
      <w:r w:rsidRPr="008742E9">
        <w:rPr>
          <w:color w:val="0D0D0D"/>
          <w:sz w:val="22"/>
          <w:szCs w:val="22"/>
          <w:lang w:val="en-US"/>
        </w:rPr>
        <w:t xml:space="preserve"> – 2014 </w:t>
      </w:r>
      <w:r w:rsidRPr="008742E9">
        <w:rPr>
          <w:color w:val="0D0D0D"/>
          <w:sz w:val="22"/>
          <w:szCs w:val="22"/>
        </w:rPr>
        <w:t>г</w:t>
      </w:r>
      <w:r w:rsidRPr="008742E9">
        <w:rPr>
          <w:color w:val="0D0D0D"/>
          <w:sz w:val="22"/>
          <w:szCs w:val="22"/>
          <w:lang w:val="en-US"/>
        </w:rPr>
        <w:t xml:space="preserve">–Chapter 12 – </w:t>
      </w:r>
      <w:r w:rsidRPr="008742E9">
        <w:rPr>
          <w:color w:val="0D0D0D"/>
          <w:sz w:val="22"/>
          <w:szCs w:val="22"/>
        </w:rPr>
        <w:t>с</w:t>
      </w:r>
      <w:r w:rsidRPr="008742E9">
        <w:rPr>
          <w:color w:val="0D0D0D"/>
          <w:sz w:val="22"/>
          <w:szCs w:val="22"/>
          <w:lang w:val="en-US"/>
        </w:rPr>
        <w:t>.152-154</w:t>
      </w:r>
    </w:p>
    <w:p w:rsidR="000A2A2D" w:rsidRPr="00024398" w:rsidRDefault="000A2A2D" w:rsidP="000A2A2D">
      <w:pPr>
        <w:spacing w:line="276" w:lineRule="auto"/>
        <w:rPr>
          <w:sz w:val="22"/>
          <w:szCs w:val="22"/>
          <w:lang w:val="en-US"/>
        </w:rPr>
      </w:pPr>
    </w:p>
    <w:p w:rsidR="000A2A2D" w:rsidRPr="00662BE8" w:rsidRDefault="000A2A2D" w:rsidP="000A2A2D">
      <w:pPr>
        <w:spacing w:line="276" w:lineRule="auto"/>
        <w:rPr>
          <w:sz w:val="22"/>
          <w:szCs w:val="22"/>
          <w:lang w:val="en-US"/>
        </w:rPr>
      </w:pPr>
    </w:p>
    <w:p w:rsidR="008742E9" w:rsidRPr="000A2A2D" w:rsidRDefault="008742E9" w:rsidP="000A2A2D">
      <w:pPr>
        <w:spacing w:line="276" w:lineRule="auto"/>
        <w:rPr>
          <w:sz w:val="22"/>
          <w:szCs w:val="22"/>
        </w:rPr>
      </w:pPr>
      <w:r w:rsidRPr="000A2A2D">
        <w:rPr>
          <w:sz w:val="22"/>
          <w:szCs w:val="22"/>
        </w:rPr>
        <w:t>УДК 636.982.084.413(470.620)</w:t>
      </w:r>
    </w:p>
    <w:p w:rsidR="008742E9" w:rsidRPr="008742E9" w:rsidRDefault="008742E9" w:rsidP="000A2A2D">
      <w:pPr>
        <w:rPr>
          <w:b/>
          <w:sz w:val="24"/>
          <w:szCs w:val="24"/>
        </w:rPr>
      </w:pPr>
    </w:p>
    <w:p w:rsidR="008742E9" w:rsidRPr="008742E9" w:rsidRDefault="008742E9" w:rsidP="000A2A2D">
      <w:pPr>
        <w:jc w:val="center"/>
        <w:rPr>
          <w:b/>
          <w:sz w:val="24"/>
          <w:szCs w:val="24"/>
        </w:rPr>
      </w:pPr>
      <w:r w:rsidRPr="008742E9">
        <w:rPr>
          <w:b/>
          <w:sz w:val="24"/>
          <w:szCs w:val="24"/>
        </w:rPr>
        <w:t>Проблема питания королевских питонов</w:t>
      </w:r>
    </w:p>
    <w:p w:rsidR="008742E9" w:rsidRPr="008742E9" w:rsidRDefault="008742E9" w:rsidP="000A2A2D">
      <w:pPr>
        <w:jc w:val="center"/>
        <w:rPr>
          <w:b/>
          <w:sz w:val="24"/>
          <w:szCs w:val="24"/>
        </w:rPr>
      </w:pPr>
      <w:r w:rsidRPr="008742E9">
        <w:rPr>
          <w:b/>
          <w:sz w:val="24"/>
          <w:szCs w:val="24"/>
        </w:rPr>
        <w:t xml:space="preserve">в условиях террариума </w:t>
      </w:r>
    </w:p>
    <w:p w:rsidR="008742E9" w:rsidRPr="00024398" w:rsidRDefault="008742E9" w:rsidP="000A2A2D">
      <w:pPr>
        <w:jc w:val="center"/>
        <w:rPr>
          <w:b/>
          <w:sz w:val="24"/>
          <w:szCs w:val="24"/>
          <w:lang w:val="en-US"/>
        </w:rPr>
      </w:pPr>
      <w:r w:rsidRPr="008742E9">
        <w:rPr>
          <w:b/>
          <w:sz w:val="24"/>
          <w:szCs w:val="24"/>
          <w:lang w:val="en-US"/>
        </w:rPr>
        <w:t xml:space="preserve">Terrarium python regius ration issues </w:t>
      </w:r>
    </w:p>
    <w:p w:rsidR="000A2A2D" w:rsidRPr="00024398" w:rsidRDefault="000A2A2D" w:rsidP="000A2A2D">
      <w:pPr>
        <w:jc w:val="center"/>
        <w:rPr>
          <w:b/>
          <w:sz w:val="24"/>
          <w:szCs w:val="24"/>
          <w:lang w:val="en-US"/>
        </w:rPr>
      </w:pPr>
    </w:p>
    <w:p w:rsidR="008742E9" w:rsidRPr="00024398" w:rsidRDefault="008742E9" w:rsidP="000A2A2D">
      <w:pPr>
        <w:jc w:val="right"/>
        <w:rPr>
          <w:sz w:val="22"/>
          <w:szCs w:val="22"/>
          <w:lang w:val="en-US"/>
        </w:rPr>
      </w:pPr>
      <w:r w:rsidRPr="000A2A2D">
        <w:rPr>
          <w:sz w:val="22"/>
          <w:szCs w:val="22"/>
        </w:rPr>
        <w:t>Можаева</w:t>
      </w:r>
      <w:r w:rsidRPr="00024398">
        <w:rPr>
          <w:sz w:val="22"/>
          <w:szCs w:val="22"/>
          <w:lang w:val="en-US"/>
        </w:rPr>
        <w:t xml:space="preserve"> </w:t>
      </w:r>
      <w:r w:rsidRPr="000A2A2D">
        <w:rPr>
          <w:sz w:val="22"/>
          <w:szCs w:val="22"/>
        </w:rPr>
        <w:t>А</w:t>
      </w:r>
      <w:r w:rsidRPr="00024398">
        <w:rPr>
          <w:sz w:val="22"/>
          <w:szCs w:val="22"/>
          <w:lang w:val="en-US"/>
        </w:rPr>
        <w:t>.</w:t>
      </w:r>
      <w:r w:rsidR="000A2A2D" w:rsidRPr="00024398">
        <w:rPr>
          <w:sz w:val="22"/>
          <w:szCs w:val="22"/>
          <w:lang w:val="en-US"/>
        </w:rPr>
        <w:t xml:space="preserve"> </w:t>
      </w:r>
      <w:r w:rsidRPr="000A2A2D">
        <w:rPr>
          <w:sz w:val="22"/>
          <w:szCs w:val="22"/>
        </w:rPr>
        <w:t>И</w:t>
      </w:r>
      <w:r w:rsidRPr="00024398">
        <w:rPr>
          <w:sz w:val="22"/>
          <w:szCs w:val="22"/>
          <w:lang w:val="en-US"/>
        </w:rPr>
        <w:t>.</w:t>
      </w:r>
      <w:r w:rsidR="000A2A2D" w:rsidRPr="00024398">
        <w:rPr>
          <w:sz w:val="22"/>
          <w:szCs w:val="22"/>
          <w:lang w:val="en-US"/>
        </w:rPr>
        <w:t>,</w:t>
      </w:r>
    </w:p>
    <w:p w:rsidR="008742E9" w:rsidRPr="000A2A2D" w:rsidRDefault="000A2A2D" w:rsidP="000A2A2D">
      <w:pPr>
        <w:jc w:val="right"/>
        <w:rPr>
          <w:sz w:val="22"/>
          <w:szCs w:val="22"/>
        </w:rPr>
      </w:pPr>
      <w:r>
        <w:rPr>
          <w:sz w:val="22"/>
          <w:szCs w:val="22"/>
        </w:rPr>
        <w:t>с</w:t>
      </w:r>
      <w:r w:rsidR="008742E9" w:rsidRPr="000A2A2D">
        <w:rPr>
          <w:sz w:val="22"/>
          <w:szCs w:val="22"/>
        </w:rPr>
        <w:t>тудентка 2-го курса факультета зоотехнии</w:t>
      </w:r>
    </w:p>
    <w:p w:rsidR="000A2A2D" w:rsidRDefault="000A2A2D" w:rsidP="000A2A2D">
      <w:pPr>
        <w:jc w:val="right"/>
        <w:rPr>
          <w:sz w:val="22"/>
          <w:szCs w:val="22"/>
        </w:rPr>
      </w:pPr>
      <w:r w:rsidRPr="000A2A2D">
        <w:rPr>
          <w:sz w:val="22"/>
          <w:szCs w:val="22"/>
        </w:rPr>
        <w:t>Кубанский государственный аграрный</w:t>
      </w:r>
    </w:p>
    <w:p w:rsidR="000A2A2D" w:rsidRPr="000A2A2D" w:rsidRDefault="000A2A2D" w:rsidP="000A2A2D">
      <w:pPr>
        <w:jc w:val="right"/>
        <w:rPr>
          <w:sz w:val="22"/>
          <w:szCs w:val="22"/>
        </w:rPr>
      </w:pPr>
      <w:r w:rsidRPr="000A2A2D">
        <w:rPr>
          <w:sz w:val="22"/>
          <w:szCs w:val="22"/>
        </w:rPr>
        <w:t xml:space="preserve"> университет имени И.</w:t>
      </w:r>
      <w:r>
        <w:rPr>
          <w:sz w:val="22"/>
          <w:szCs w:val="22"/>
        </w:rPr>
        <w:t xml:space="preserve"> </w:t>
      </w:r>
      <w:r w:rsidRPr="000A2A2D">
        <w:rPr>
          <w:sz w:val="22"/>
          <w:szCs w:val="22"/>
        </w:rPr>
        <w:t>Т.Трубилина</w:t>
      </w:r>
    </w:p>
    <w:p w:rsidR="008742E9" w:rsidRPr="008742E9" w:rsidRDefault="008742E9" w:rsidP="000A2A2D">
      <w:pPr>
        <w:jc w:val="right"/>
        <w:rPr>
          <w:sz w:val="22"/>
          <w:szCs w:val="22"/>
        </w:rPr>
      </w:pPr>
    </w:p>
    <w:p w:rsidR="008742E9" w:rsidRPr="008742E9" w:rsidRDefault="008742E9" w:rsidP="000A2A2D">
      <w:pPr>
        <w:ind w:firstLine="426"/>
        <w:jc w:val="both"/>
        <w:rPr>
          <w:sz w:val="22"/>
          <w:szCs w:val="22"/>
        </w:rPr>
      </w:pPr>
      <w:r w:rsidRPr="008742E9">
        <w:rPr>
          <w:sz w:val="22"/>
          <w:szCs w:val="22"/>
        </w:rPr>
        <w:t>АННОТАЦИЯ: Статья посвящена изучению проблем кормл</w:t>
      </w:r>
      <w:r w:rsidRPr="008742E9">
        <w:rPr>
          <w:sz w:val="22"/>
          <w:szCs w:val="22"/>
        </w:rPr>
        <w:t>е</w:t>
      </w:r>
      <w:r w:rsidRPr="008742E9">
        <w:rPr>
          <w:sz w:val="22"/>
          <w:szCs w:val="22"/>
        </w:rPr>
        <w:t>ния Королевских питонов (Региусов) и поиску альтернативы пр</w:t>
      </w:r>
      <w:r w:rsidRPr="008742E9">
        <w:rPr>
          <w:sz w:val="22"/>
          <w:szCs w:val="22"/>
        </w:rPr>
        <w:t>и</w:t>
      </w:r>
      <w:r w:rsidRPr="008742E9">
        <w:rPr>
          <w:sz w:val="22"/>
          <w:szCs w:val="22"/>
        </w:rPr>
        <w:t>родному корму.</w:t>
      </w:r>
    </w:p>
    <w:p w:rsidR="008742E9" w:rsidRPr="008742E9" w:rsidRDefault="008742E9" w:rsidP="000A2A2D">
      <w:pPr>
        <w:ind w:firstLine="426"/>
        <w:jc w:val="both"/>
        <w:rPr>
          <w:sz w:val="22"/>
          <w:szCs w:val="22"/>
        </w:rPr>
      </w:pPr>
      <w:r w:rsidRPr="008742E9">
        <w:rPr>
          <w:sz w:val="22"/>
          <w:szCs w:val="22"/>
        </w:rPr>
        <w:lastRenderedPageBreak/>
        <w:t>КЛЮЧЕВЫЕ СЛОВА: питон, змеи, питание, грызуны, имит</w:t>
      </w:r>
      <w:r w:rsidRPr="008742E9">
        <w:rPr>
          <w:sz w:val="22"/>
          <w:szCs w:val="22"/>
        </w:rPr>
        <w:t>а</w:t>
      </w:r>
      <w:r w:rsidRPr="008742E9">
        <w:rPr>
          <w:sz w:val="22"/>
          <w:szCs w:val="22"/>
        </w:rPr>
        <w:t>ция природного корма.</w:t>
      </w:r>
    </w:p>
    <w:p w:rsidR="008742E9" w:rsidRPr="008742E9" w:rsidRDefault="008742E9" w:rsidP="000A2A2D">
      <w:pPr>
        <w:ind w:firstLine="426"/>
        <w:jc w:val="both"/>
        <w:rPr>
          <w:sz w:val="22"/>
          <w:szCs w:val="22"/>
          <w:lang w:val="en-US"/>
        </w:rPr>
      </w:pPr>
      <w:r w:rsidRPr="008742E9">
        <w:rPr>
          <w:sz w:val="22"/>
          <w:szCs w:val="22"/>
          <w:lang w:val="en-US"/>
        </w:rPr>
        <w:t>ABSTRACT: the Article is devoted to studying the problems of feeding Royal pythons (Regional) and the search for alternatives to nat</w:t>
      </w:r>
      <w:r w:rsidRPr="008742E9">
        <w:rPr>
          <w:sz w:val="22"/>
          <w:szCs w:val="22"/>
          <w:lang w:val="en-US"/>
        </w:rPr>
        <w:t>u</w:t>
      </w:r>
      <w:r w:rsidRPr="008742E9">
        <w:rPr>
          <w:sz w:val="22"/>
          <w:szCs w:val="22"/>
          <w:lang w:val="en-US"/>
        </w:rPr>
        <w:t>ral food.</w:t>
      </w:r>
    </w:p>
    <w:p w:rsidR="008742E9" w:rsidRPr="008742E9" w:rsidRDefault="008742E9" w:rsidP="000A2A2D">
      <w:pPr>
        <w:ind w:firstLine="426"/>
        <w:jc w:val="both"/>
        <w:rPr>
          <w:sz w:val="22"/>
          <w:szCs w:val="22"/>
          <w:lang w:val="en-US"/>
        </w:rPr>
      </w:pPr>
      <w:r w:rsidRPr="008742E9">
        <w:rPr>
          <w:sz w:val="22"/>
          <w:szCs w:val="22"/>
          <w:lang w:val="en-US"/>
        </w:rPr>
        <w:t>KEY WORDS: Python, snakes, food, rodents, imitation of natural food.</w:t>
      </w:r>
    </w:p>
    <w:p w:rsidR="008742E9" w:rsidRPr="008742E9" w:rsidRDefault="008742E9" w:rsidP="000A2A2D">
      <w:pPr>
        <w:ind w:firstLine="426"/>
        <w:jc w:val="both"/>
        <w:rPr>
          <w:sz w:val="22"/>
          <w:szCs w:val="22"/>
          <w:lang w:val="en-US"/>
        </w:rPr>
      </w:pPr>
    </w:p>
    <w:p w:rsidR="008742E9" w:rsidRPr="008742E9" w:rsidRDefault="008742E9" w:rsidP="000A2A2D">
      <w:pPr>
        <w:ind w:firstLine="426"/>
        <w:jc w:val="both"/>
        <w:rPr>
          <w:sz w:val="22"/>
          <w:szCs w:val="22"/>
        </w:rPr>
      </w:pPr>
      <w:r w:rsidRPr="008742E9">
        <w:rPr>
          <w:sz w:val="22"/>
          <w:szCs w:val="22"/>
        </w:rPr>
        <w:t>Все змеи – хищники. Меню змей очень разнообразно, они едят практически все живые организмы, которые можно найти в  прир</w:t>
      </w:r>
      <w:r w:rsidRPr="008742E9">
        <w:rPr>
          <w:sz w:val="22"/>
          <w:szCs w:val="22"/>
        </w:rPr>
        <w:t>о</w:t>
      </w:r>
      <w:r w:rsidRPr="008742E9">
        <w:rPr>
          <w:sz w:val="22"/>
          <w:szCs w:val="22"/>
        </w:rPr>
        <w:t>де. Змеи охотятся на млекопитающих (размером от крошечной зе</w:t>
      </w:r>
      <w:r w:rsidRPr="008742E9">
        <w:rPr>
          <w:sz w:val="22"/>
          <w:szCs w:val="22"/>
        </w:rPr>
        <w:t>м</w:t>
      </w:r>
      <w:r w:rsidRPr="008742E9">
        <w:rPr>
          <w:sz w:val="22"/>
          <w:szCs w:val="22"/>
        </w:rPr>
        <w:t>леройки до антилопы), птиц, других пресмыкающихся, земново</w:t>
      </w:r>
      <w:r w:rsidRPr="008742E9">
        <w:rPr>
          <w:sz w:val="22"/>
          <w:szCs w:val="22"/>
        </w:rPr>
        <w:t>д</w:t>
      </w:r>
      <w:r w:rsidRPr="008742E9">
        <w:rPr>
          <w:sz w:val="22"/>
          <w:szCs w:val="22"/>
        </w:rPr>
        <w:t>ных и насекомых. Они охотно поедают яйца из кладок птиц и своих же собратьев-рептилий. Змеи, ведущие водный и околоводный о</w:t>
      </w:r>
      <w:r w:rsidRPr="008742E9">
        <w:rPr>
          <w:sz w:val="22"/>
          <w:szCs w:val="22"/>
        </w:rPr>
        <w:t>б</w:t>
      </w:r>
      <w:r w:rsidRPr="008742E9">
        <w:rPr>
          <w:sz w:val="22"/>
          <w:szCs w:val="22"/>
        </w:rPr>
        <w:t>раз жизни, ловят рыбу и другие виды водных животных [1, 2].</w:t>
      </w:r>
    </w:p>
    <w:p w:rsidR="008742E9" w:rsidRPr="008742E9" w:rsidRDefault="008742E9" w:rsidP="000A2A2D">
      <w:pPr>
        <w:ind w:firstLine="426"/>
        <w:jc w:val="both"/>
        <w:rPr>
          <w:sz w:val="22"/>
          <w:szCs w:val="22"/>
        </w:rPr>
      </w:pPr>
      <w:r w:rsidRPr="008742E9">
        <w:rPr>
          <w:sz w:val="22"/>
          <w:szCs w:val="22"/>
        </w:rPr>
        <w:t>Королевский питон, как объект исследований, был выбран не случайно. Множество устных сообщений и печатных работ (Ross, Marzec, 1990, de Vosjol, 1990, Trutnau, 1988 и др.) свидетельствуют о том, что этот, импортируемый из Западной Африки в громадных количествах вид, с трудом привыкает к неволе, часто погибая в пе</w:t>
      </w:r>
      <w:r w:rsidRPr="008742E9">
        <w:rPr>
          <w:sz w:val="22"/>
          <w:szCs w:val="22"/>
        </w:rPr>
        <w:t>р</w:t>
      </w:r>
      <w:r w:rsidRPr="008742E9">
        <w:rPr>
          <w:sz w:val="22"/>
          <w:szCs w:val="22"/>
        </w:rPr>
        <w:t>вые месяцы содержания, и в основном – из-за нарушений питания.</w:t>
      </w:r>
    </w:p>
    <w:p w:rsidR="008742E9" w:rsidRPr="008742E9" w:rsidRDefault="008742E9" w:rsidP="000A2A2D">
      <w:pPr>
        <w:ind w:firstLine="426"/>
        <w:jc w:val="both"/>
        <w:rPr>
          <w:sz w:val="22"/>
          <w:szCs w:val="22"/>
        </w:rPr>
      </w:pPr>
      <w:r w:rsidRPr="008742E9">
        <w:rPr>
          <w:sz w:val="22"/>
          <w:szCs w:val="22"/>
        </w:rPr>
        <w:t>В террариумных условиях питонов кормят, в зависимости от размера, лабораторными мышами, хомяками, крысами, цыплятами, перепелами. Режим питания для взрослых змей: 1 раз в 7 дней – 1-2 крысы весом 100-200 граммов или 4-8 взрослых мышей. Для мол</w:t>
      </w:r>
      <w:r w:rsidRPr="008742E9">
        <w:rPr>
          <w:sz w:val="22"/>
          <w:szCs w:val="22"/>
        </w:rPr>
        <w:t>о</w:t>
      </w:r>
      <w:r w:rsidRPr="008742E9">
        <w:rPr>
          <w:sz w:val="22"/>
          <w:szCs w:val="22"/>
        </w:rPr>
        <w:t>дых особей достаточно 1-2 мыши подростка 1 раз в 5 дней или 1 крысенок весом 40-60 г. Стартовый корм для новорожденных кор</w:t>
      </w:r>
      <w:r w:rsidRPr="008742E9">
        <w:rPr>
          <w:sz w:val="22"/>
          <w:szCs w:val="22"/>
        </w:rPr>
        <w:t>о</w:t>
      </w:r>
      <w:r w:rsidRPr="008742E9">
        <w:rPr>
          <w:sz w:val="22"/>
          <w:szCs w:val="22"/>
        </w:rPr>
        <w:t xml:space="preserve">левских питонов: мыши-подростки или 5-6 дневные крысята. </w:t>
      </w:r>
    </w:p>
    <w:p w:rsidR="008742E9" w:rsidRPr="008742E9" w:rsidRDefault="008742E9" w:rsidP="000A2A2D">
      <w:pPr>
        <w:ind w:firstLine="426"/>
        <w:jc w:val="both"/>
        <w:rPr>
          <w:sz w:val="22"/>
          <w:szCs w:val="22"/>
        </w:rPr>
      </w:pPr>
      <w:r w:rsidRPr="008742E9">
        <w:rPr>
          <w:sz w:val="22"/>
          <w:szCs w:val="22"/>
        </w:rPr>
        <w:t>Змеи пьют воду, поэтому регулярно следует менять ее в иску</w:t>
      </w:r>
      <w:r w:rsidRPr="008742E9">
        <w:rPr>
          <w:sz w:val="22"/>
          <w:szCs w:val="22"/>
        </w:rPr>
        <w:t>с</w:t>
      </w:r>
      <w:r w:rsidRPr="008742E9">
        <w:rPr>
          <w:sz w:val="22"/>
          <w:szCs w:val="22"/>
        </w:rPr>
        <w:t>ственном водоеме внутри террариума. Вместе с кормами необход</w:t>
      </w:r>
      <w:r w:rsidRPr="008742E9">
        <w:rPr>
          <w:sz w:val="22"/>
          <w:szCs w:val="22"/>
        </w:rPr>
        <w:t>и</w:t>
      </w:r>
      <w:r w:rsidRPr="008742E9">
        <w:rPr>
          <w:sz w:val="22"/>
          <w:szCs w:val="22"/>
        </w:rPr>
        <w:t>мо давать минеральные добавки: толченая яичная скорлупа и пр</w:t>
      </w:r>
      <w:r w:rsidRPr="008742E9">
        <w:rPr>
          <w:sz w:val="22"/>
          <w:szCs w:val="22"/>
        </w:rPr>
        <w:t>е</w:t>
      </w:r>
      <w:r w:rsidRPr="008742E9">
        <w:rPr>
          <w:sz w:val="22"/>
          <w:szCs w:val="22"/>
        </w:rPr>
        <w:t>параты кальция. В поилку можно добавлять щелочную минерал</w:t>
      </w:r>
      <w:r w:rsidRPr="008742E9">
        <w:rPr>
          <w:sz w:val="22"/>
          <w:szCs w:val="22"/>
        </w:rPr>
        <w:t>ь</w:t>
      </w:r>
      <w:r w:rsidRPr="008742E9">
        <w:rPr>
          <w:sz w:val="22"/>
          <w:szCs w:val="22"/>
        </w:rPr>
        <w:t>ную воду (хорошо зарекомендовала себя «Боржоми»). Не чаще о</w:t>
      </w:r>
      <w:r w:rsidRPr="008742E9">
        <w:rPr>
          <w:sz w:val="22"/>
          <w:szCs w:val="22"/>
        </w:rPr>
        <w:t>д</w:t>
      </w:r>
      <w:r w:rsidRPr="008742E9">
        <w:rPr>
          <w:sz w:val="22"/>
          <w:szCs w:val="22"/>
        </w:rPr>
        <w:t>ного раза в месяц следует предлагать концентрированные витами</w:t>
      </w:r>
      <w:r w:rsidRPr="008742E9">
        <w:rPr>
          <w:sz w:val="22"/>
          <w:szCs w:val="22"/>
        </w:rPr>
        <w:t>н</w:t>
      </w:r>
      <w:r w:rsidRPr="008742E9">
        <w:rPr>
          <w:sz w:val="22"/>
          <w:szCs w:val="22"/>
        </w:rPr>
        <w:t>ные препараты в строгом соответствии с инструкцией.</w:t>
      </w:r>
    </w:p>
    <w:p w:rsidR="008742E9" w:rsidRPr="008742E9" w:rsidRDefault="008742E9" w:rsidP="000A2A2D">
      <w:pPr>
        <w:ind w:firstLine="426"/>
        <w:jc w:val="both"/>
        <w:rPr>
          <w:sz w:val="22"/>
          <w:szCs w:val="22"/>
        </w:rPr>
      </w:pPr>
      <w:r w:rsidRPr="008742E9">
        <w:rPr>
          <w:sz w:val="22"/>
          <w:szCs w:val="22"/>
        </w:rPr>
        <w:t>Для многих заводчиков необходимость кормления змей живой едой является проблемой, связанной с необходимостью предоста</w:t>
      </w:r>
      <w:r w:rsidRPr="008742E9">
        <w:rPr>
          <w:sz w:val="22"/>
          <w:szCs w:val="22"/>
        </w:rPr>
        <w:t>в</w:t>
      </w:r>
      <w:r w:rsidRPr="008742E9">
        <w:rPr>
          <w:sz w:val="22"/>
          <w:szCs w:val="22"/>
        </w:rPr>
        <w:t xml:space="preserve">ления питомцу соразмерного корма. Нами осуществляется серия </w:t>
      </w:r>
      <w:r w:rsidRPr="008742E9">
        <w:rPr>
          <w:sz w:val="22"/>
          <w:szCs w:val="22"/>
        </w:rPr>
        <w:lastRenderedPageBreak/>
        <w:t>экспериментов по замене живого корма «колбасками», которые имитируют природный корм по составу (курица, грызуны, витам</w:t>
      </w:r>
      <w:r w:rsidRPr="008742E9">
        <w:rPr>
          <w:sz w:val="22"/>
          <w:szCs w:val="22"/>
        </w:rPr>
        <w:t>и</w:t>
      </w:r>
      <w:r w:rsidRPr="008742E9">
        <w:rPr>
          <w:sz w:val="22"/>
          <w:szCs w:val="22"/>
        </w:rPr>
        <w:t>ны, кальций, перемолотые и помещенные в оболочку из свиной кишки). Такой вариант пищи решит проблему с подбором необх</w:t>
      </w:r>
      <w:r w:rsidRPr="008742E9">
        <w:rPr>
          <w:sz w:val="22"/>
          <w:szCs w:val="22"/>
        </w:rPr>
        <w:t>о</w:t>
      </w:r>
      <w:r w:rsidRPr="008742E9">
        <w:rPr>
          <w:sz w:val="22"/>
          <w:szCs w:val="22"/>
        </w:rPr>
        <w:t>димого размера кормового объекта, и снимет моральную проблему, связанную с кормлением змеи живыми животными; позволяет ув</w:t>
      </w:r>
      <w:r w:rsidRPr="008742E9">
        <w:rPr>
          <w:sz w:val="22"/>
          <w:szCs w:val="22"/>
        </w:rPr>
        <w:t>е</w:t>
      </w:r>
      <w:r w:rsidRPr="008742E9">
        <w:rPr>
          <w:sz w:val="22"/>
          <w:szCs w:val="22"/>
        </w:rPr>
        <w:t>личить срок хранения продукта [1, 2]. Технологически задача легко решаема: требуется изготовить фарш нужной консистенции, учит</w:t>
      </w:r>
      <w:r w:rsidRPr="008742E9">
        <w:rPr>
          <w:sz w:val="22"/>
          <w:szCs w:val="22"/>
        </w:rPr>
        <w:t>ы</w:t>
      </w:r>
      <w:r w:rsidRPr="008742E9">
        <w:rPr>
          <w:sz w:val="22"/>
          <w:szCs w:val="22"/>
        </w:rPr>
        <w:t>вая необходимость содержания в нем не только мягких тканей, но и костей, хрящей, и даже шерсти и перьев. Научные исследования в этом вопросе направлены на совершенствование рецептуры фарша в соответствии с потребностями организма змеи в определенный возрастной период, и поиск адекватной замены некоторых комп</w:t>
      </w:r>
      <w:r w:rsidRPr="008742E9">
        <w:rPr>
          <w:sz w:val="22"/>
          <w:szCs w:val="22"/>
        </w:rPr>
        <w:t>о</w:t>
      </w:r>
      <w:r w:rsidRPr="008742E9">
        <w:rPr>
          <w:sz w:val="22"/>
          <w:szCs w:val="22"/>
        </w:rPr>
        <w:t>нентов. Замечено, что при неудачном по размеру или консистенции корме приходится прибегать к принудительному кормлению змеи, и напротив, змея сама может взять объект, соответствующий пар</w:t>
      </w:r>
      <w:r w:rsidRPr="008742E9">
        <w:rPr>
          <w:sz w:val="22"/>
          <w:szCs w:val="22"/>
        </w:rPr>
        <w:t>а</w:t>
      </w:r>
      <w:r w:rsidRPr="008742E9">
        <w:rPr>
          <w:sz w:val="22"/>
          <w:szCs w:val="22"/>
        </w:rPr>
        <w:t>метрам «еда» для этого вида животных.</w:t>
      </w:r>
    </w:p>
    <w:p w:rsidR="008742E9" w:rsidRPr="008742E9" w:rsidRDefault="008742E9" w:rsidP="000A2A2D">
      <w:pPr>
        <w:ind w:firstLine="426"/>
        <w:jc w:val="both"/>
        <w:rPr>
          <w:sz w:val="22"/>
          <w:szCs w:val="22"/>
        </w:rPr>
      </w:pPr>
    </w:p>
    <w:p w:rsidR="008742E9" w:rsidRPr="008742E9" w:rsidRDefault="008742E9" w:rsidP="000A2A2D">
      <w:pPr>
        <w:ind w:firstLine="426"/>
        <w:jc w:val="center"/>
        <w:rPr>
          <w:sz w:val="22"/>
          <w:szCs w:val="22"/>
        </w:rPr>
      </w:pPr>
      <w:r w:rsidRPr="008742E9">
        <w:rPr>
          <w:sz w:val="22"/>
          <w:szCs w:val="22"/>
        </w:rPr>
        <w:t xml:space="preserve">Список </w:t>
      </w:r>
      <w:r w:rsidR="000A2A2D">
        <w:rPr>
          <w:sz w:val="22"/>
          <w:szCs w:val="22"/>
        </w:rPr>
        <w:t>литературы</w:t>
      </w:r>
    </w:p>
    <w:p w:rsidR="008742E9" w:rsidRPr="008742E9" w:rsidRDefault="008742E9" w:rsidP="000A2A2D">
      <w:pPr>
        <w:ind w:firstLine="426"/>
        <w:jc w:val="both"/>
        <w:rPr>
          <w:sz w:val="22"/>
          <w:szCs w:val="22"/>
        </w:rPr>
      </w:pPr>
      <w:r w:rsidRPr="008742E9">
        <w:rPr>
          <w:sz w:val="22"/>
          <w:szCs w:val="22"/>
        </w:rPr>
        <w:t>1. Зооклуб Мега энциклопедия для животных https://zooclub.ru/rept/vidy/149.shtml</w:t>
      </w:r>
    </w:p>
    <w:p w:rsidR="008742E9" w:rsidRPr="008742E9" w:rsidRDefault="008742E9" w:rsidP="000A2A2D">
      <w:pPr>
        <w:ind w:firstLine="426"/>
        <w:jc w:val="both"/>
        <w:rPr>
          <w:sz w:val="22"/>
          <w:szCs w:val="22"/>
        </w:rPr>
      </w:pPr>
      <w:r w:rsidRPr="008742E9">
        <w:rPr>
          <w:sz w:val="22"/>
          <w:szCs w:val="22"/>
        </w:rPr>
        <w:t xml:space="preserve">2. Яковенко П.П. </w:t>
      </w:r>
      <w:hyperlink r:id="rId40" w:history="1">
        <w:r w:rsidRPr="008742E9">
          <w:rPr>
            <w:sz w:val="22"/>
            <w:szCs w:val="22"/>
          </w:rPr>
          <w:t>Анализ коллекции мини-зоопарка Гресс А.А. и воспроизводительная функция вида «серый волк</w:t>
        </w:r>
      </w:hyperlink>
      <w:r w:rsidRPr="008742E9">
        <w:rPr>
          <w:sz w:val="22"/>
          <w:szCs w:val="22"/>
        </w:rPr>
        <w:t xml:space="preserve">» / Яковенко П.П., Усенко В.В., Гресс Е.В. // </w:t>
      </w:r>
      <w:hyperlink r:id="rId41" w:history="1">
        <w:r w:rsidRPr="008742E9">
          <w:rPr>
            <w:sz w:val="22"/>
            <w:szCs w:val="22"/>
          </w:rPr>
          <w:t>Политематический сетевой эле</w:t>
        </w:r>
        <w:r w:rsidRPr="008742E9">
          <w:rPr>
            <w:sz w:val="22"/>
            <w:szCs w:val="22"/>
          </w:rPr>
          <w:t>к</w:t>
        </w:r>
        <w:r w:rsidRPr="008742E9">
          <w:rPr>
            <w:sz w:val="22"/>
            <w:szCs w:val="22"/>
          </w:rPr>
          <w:t>тронный научный журнал Кубанского государственного аграрного университета</w:t>
        </w:r>
      </w:hyperlink>
      <w:r w:rsidRPr="008742E9">
        <w:rPr>
          <w:sz w:val="22"/>
          <w:szCs w:val="22"/>
        </w:rPr>
        <w:t>. 2014. </w:t>
      </w:r>
      <w:hyperlink r:id="rId42" w:history="1">
        <w:r w:rsidRPr="008742E9">
          <w:rPr>
            <w:sz w:val="22"/>
            <w:szCs w:val="22"/>
          </w:rPr>
          <w:t>№ 96</w:t>
        </w:r>
      </w:hyperlink>
      <w:r w:rsidRPr="008742E9">
        <w:rPr>
          <w:sz w:val="22"/>
          <w:szCs w:val="22"/>
        </w:rPr>
        <w:t xml:space="preserve">. </w:t>
      </w:r>
      <w:r w:rsidR="000A2A2D">
        <w:rPr>
          <w:sz w:val="22"/>
          <w:szCs w:val="22"/>
        </w:rPr>
        <w:t xml:space="preserve">- </w:t>
      </w:r>
      <w:r w:rsidRPr="008742E9">
        <w:rPr>
          <w:sz w:val="22"/>
          <w:szCs w:val="22"/>
        </w:rPr>
        <w:t>С. 809-822.</w:t>
      </w:r>
    </w:p>
    <w:p w:rsidR="000A2A2D" w:rsidRDefault="000A2A2D" w:rsidP="008742E9">
      <w:pPr>
        <w:jc w:val="both"/>
        <w:rPr>
          <w:rFonts w:eastAsia="Calibri"/>
          <w:sz w:val="24"/>
          <w:szCs w:val="24"/>
        </w:rPr>
      </w:pPr>
    </w:p>
    <w:p w:rsidR="000A2A2D" w:rsidRDefault="003435E2" w:rsidP="003435E2">
      <w:pPr>
        <w:rPr>
          <w:rFonts w:eastAsia="Calibri"/>
          <w:sz w:val="24"/>
          <w:szCs w:val="24"/>
        </w:rPr>
      </w:pPr>
      <w:r>
        <w:rPr>
          <w:rFonts w:eastAsia="Calibri"/>
          <w:sz w:val="24"/>
          <w:szCs w:val="24"/>
        </w:rPr>
        <w:br w:type="page"/>
      </w:r>
    </w:p>
    <w:p w:rsidR="008742E9" w:rsidRPr="000A2A2D" w:rsidRDefault="008742E9" w:rsidP="008742E9">
      <w:pPr>
        <w:jc w:val="both"/>
        <w:rPr>
          <w:rFonts w:eastAsia="Calibri"/>
          <w:sz w:val="22"/>
          <w:szCs w:val="22"/>
        </w:rPr>
      </w:pPr>
      <w:r w:rsidRPr="000A2A2D">
        <w:rPr>
          <w:rFonts w:eastAsia="Calibri"/>
          <w:sz w:val="22"/>
          <w:szCs w:val="22"/>
        </w:rPr>
        <w:lastRenderedPageBreak/>
        <w:t>УДК 636.3.082.4</w:t>
      </w:r>
    </w:p>
    <w:p w:rsidR="008742E9" w:rsidRPr="000A2A2D" w:rsidRDefault="008742E9" w:rsidP="008742E9">
      <w:pPr>
        <w:jc w:val="both"/>
        <w:rPr>
          <w:rFonts w:eastAsia="Calibri"/>
          <w:sz w:val="22"/>
          <w:szCs w:val="22"/>
        </w:rPr>
      </w:pPr>
    </w:p>
    <w:p w:rsidR="008742E9" w:rsidRPr="008742E9" w:rsidRDefault="008742E9" w:rsidP="008742E9">
      <w:pPr>
        <w:jc w:val="center"/>
        <w:rPr>
          <w:rFonts w:eastAsia="Calibri"/>
          <w:b/>
          <w:sz w:val="24"/>
          <w:szCs w:val="24"/>
        </w:rPr>
      </w:pPr>
      <w:r w:rsidRPr="008742E9">
        <w:rPr>
          <w:rFonts w:eastAsia="Calibri"/>
          <w:b/>
          <w:sz w:val="24"/>
          <w:szCs w:val="24"/>
        </w:rPr>
        <w:t xml:space="preserve">Воспроизводительные качества овцематок </w:t>
      </w:r>
    </w:p>
    <w:p w:rsidR="008742E9" w:rsidRPr="008742E9" w:rsidRDefault="008742E9" w:rsidP="008742E9">
      <w:pPr>
        <w:jc w:val="center"/>
        <w:rPr>
          <w:rFonts w:eastAsia="Calibri"/>
          <w:b/>
          <w:sz w:val="24"/>
          <w:szCs w:val="24"/>
        </w:rPr>
      </w:pPr>
      <w:r w:rsidRPr="008742E9">
        <w:rPr>
          <w:rFonts w:eastAsia="Calibri"/>
          <w:b/>
          <w:sz w:val="24"/>
          <w:szCs w:val="24"/>
        </w:rPr>
        <w:t xml:space="preserve">и интенсивность роста ягнят пород мясо-шерстного, </w:t>
      </w:r>
      <w:r w:rsidR="000A2A2D">
        <w:rPr>
          <w:rFonts w:eastAsia="Calibri"/>
          <w:b/>
          <w:sz w:val="24"/>
          <w:szCs w:val="24"/>
        </w:rPr>
        <w:br/>
      </w:r>
      <w:r w:rsidRPr="008742E9">
        <w:rPr>
          <w:rFonts w:eastAsia="Calibri"/>
          <w:b/>
          <w:sz w:val="24"/>
          <w:szCs w:val="24"/>
        </w:rPr>
        <w:t>мясного и молочного направления</w:t>
      </w:r>
    </w:p>
    <w:p w:rsidR="000A2A2D" w:rsidRPr="008D33CB" w:rsidRDefault="008742E9" w:rsidP="002F4F62">
      <w:pPr>
        <w:jc w:val="center"/>
        <w:rPr>
          <w:rFonts w:eastAsia="Calibri"/>
          <w:b/>
          <w:sz w:val="24"/>
          <w:szCs w:val="24"/>
          <w:lang w:val="en-US"/>
        </w:rPr>
      </w:pPr>
      <w:r w:rsidRPr="008742E9">
        <w:rPr>
          <w:rFonts w:eastAsia="Calibri"/>
          <w:b/>
          <w:sz w:val="24"/>
          <w:szCs w:val="24"/>
          <w:lang w:val="en-US"/>
        </w:rPr>
        <w:t>Reproductive quality of ewes and intensity of meat-wool growth’ lambs, meat and dairy breeds</w:t>
      </w:r>
    </w:p>
    <w:p w:rsidR="003435E2" w:rsidRPr="008D33CB" w:rsidRDefault="003435E2" w:rsidP="002F4F62">
      <w:pPr>
        <w:jc w:val="center"/>
        <w:rPr>
          <w:rFonts w:eastAsia="Calibri"/>
          <w:b/>
          <w:sz w:val="24"/>
          <w:szCs w:val="24"/>
          <w:lang w:val="en-US"/>
        </w:rPr>
      </w:pPr>
    </w:p>
    <w:p w:rsidR="008742E9" w:rsidRPr="000A2A2D" w:rsidRDefault="008742E9" w:rsidP="008742E9">
      <w:pPr>
        <w:jc w:val="right"/>
        <w:rPr>
          <w:rFonts w:eastAsia="Calibri"/>
          <w:sz w:val="22"/>
          <w:szCs w:val="22"/>
        </w:rPr>
      </w:pPr>
      <w:r w:rsidRPr="008742E9">
        <w:rPr>
          <w:rFonts w:eastAsia="Calibri"/>
          <w:sz w:val="24"/>
          <w:szCs w:val="24"/>
          <w:lang w:val="en-US"/>
        </w:rPr>
        <w:t xml:space="preserve"> </w:t>
      </w:r>
      <w:r w:rsidRPr="000A2A2D">
        <w:rPr>
          <w:rFonts w:eastAsia="Calibri"/>
          <w:sz w:val="22"/>
          <w:szCs w:val="22"/>
        </w:rPr>
        <w:t>Моженков А.</w:t>
      </w:r>
      <w:r w:rsidR="000D5F55">
        <w:rPr>
          <w:rFonts w:eastAsia="Calibri"/>
          <w:sz w:val="22"/>
          <w:szCs w:val="22"/>
        </w:rPr>
        <w:t xml:space="preserve"> </w:t>
      </w:r>
      <w:r w:rsidRPr="000A2A2D">
        <w:rPr>
          <w:rFonts w:eastAsia="Calibri"/>
          <w:sz w:val="22"/>
          <w:szCs w:val="22"/>
        </w:rPr>
        <w:t>С.</w:t>
      </w:r>
      <w:r w:rsidR="000D5F55">
        <w:rPr>
          <w:rFonts w:eastAsia="Calibri"/>
          <w:sz w:val="22"/>
          <w:szCs w:val="22"/>
        </w:rPr>
        <w:t>,</w:t>
      </w:r>
    </w:p>
    <w:p w:rsidR="008742E9" w:rsidRPr="000A2A2D" w:rsidRDefault="008742E9" w:rsidP="008742E9">
      <w:pPr>
        <w:jc w:val="right"/>
        <w:rPr>
          <w:rFonts w:eastAsia="Calibri"/>
          <w:sz w:val="22"/>
          <w:szCs w:val="22"/>
        </w:rPr>
      </w:pPr>
      <w:r w:rsidRPr="000A2A2D">
        <w:rPr>
          <w:rFonts w:eastAsia="Calibri"/>
          <w:sz w:val="22"/>
          <w:szCs w:val="22"/>
        </w:rPr>
        <w:t>магистрант 2</w:t>
      </w:r>
      <w:r w:rsidR="000D5F55">
        <w:rPr>
          <w:rFonts w:eastAsia="Calibri"/>
          <w:sz w:val="22"/>
          <w:szCs w:val="22"/>
        </w:rPr>
        <w:t>-ого курса факультета зоотехнии</w:t>
      </w:r>
    </w:p>
    <w:p w:rsidR="008742E9" w:rsidRPr="000A2A2D" w:rsidRDefault="008742E9" w:rsidP="008742E9">
      <w:pPr>
        <w:jc w:val="right"/>
        <w:rPr>
          <w:rFonts w:eastAsia="Calibri"/>
          <w:sz w:val="22"/>
          <w:szCs w:val="22"/>
        </w:rPr>
      </w:pPr>
      <w:r w:rsidRPr="000A2A2D">
        <w:rPr>
          <w:rFonts w:eastAsia="Calibri"/>
          <w:sz w:val="22"/>
          <w:szCs w:val="22"/>
        </w:rPr>
        <w:t>Китянина К.</w:t>
      </w:r>
      <w:r w:rsidR="000D5F55">
        <w:rPr>
          <w:rFonts w:eastAsia="Calibri"/>
          <w:sz w:val="22"/>
          <w:szCs w:val="22"/>
        </w:rPr>
        <w:t xml:space="preserve"> И.,</w:t>
      </w:r>
    </w:p>
    <w:p w:rsidR="008742E9" w:rsidRPr="000A2A2D" w:rsidRDefault="008742E9" w:rsidP="008742E9">
      <w:pPr>
        <w:jc w:val="right"/>
        <w:rPr>
          <w:rFonts w:eastAsia="Calibri"/>
          <w:sz w:val="22"/>
          <w:szCs w:val="22"/>
        </w:rPr>
      </w:pPr>
      <w:r w:rsidRPr="000A2A2D">
        <w:rPr>
          <w:rFonts w:eastAsia="Calibri"/>
          <w:sz w:val="22"/>
          <w:szCs w:val="22"/>
        </w:rPr>
        <w:t>студентка 4 курса факультета зоотехнии</w:t>
      </w:r>
    </w:p>
    <w:p w:rsidR="008742E9" w:rsidRPr="000A2A2D" w:rsidRDefault="008742E9" w:rsidP="008742E9">
      <w:pPr>
        <w:jc w:val="right"/>
        <w:rPr>
          <w:rFonts w:eastAsia="Calibri"/>
          <w:sz w:val="22"/>
          <w:szCs w:val="22"/>
        </w:rPr>
      </w:pPr>
      <w:r w:rsidRPr="000A2A2D">
        <w:rPr>
          <w:rFonts w:eastAsia="Calibri"/>
          <w:sz w:val="22"/>
          <w:szCs w:val="22"/>
        </w:rPr>
        <w:t>Куликова Н.</w:t>
      </w:r>
      <w:r w:rsidR="000D5F55">
        <w:rPr>
          <w:rFonts w:eastAsia="Calibri"/>
          <w:sz w:val="22"/>
          <w:szCs w:val="22"/>
        </w:rPr>
        <w:t xml:space="preserve"> </w:t>
      </w:r>
      <w:r w:rsidRPr="000A2A2D">
        <w:rPr>
          <w:rFonts w:eastAsia="Calibri"/>
          <w:sz w:val="22"/>
          <w:szCs w:val="22"/>
        </w:rPr>
        <w:t>И.,</w:t>
      </w:r>
    </w:p>
    <w:p w:rsidR="008742E9" w:rsidRPr="000A2A2D" w:rsidRDefault="008742E9" w:rsidP="008742E9">
      <w:pPr>
        <w:jc w:val="right"/>
        <w:rPr>
          <w:sz w:val="22"/>
          <w:szCs w:val="22"/>
        </w:rPr>
      </w:pPr>
      <w:r w:rsidRPr="000A2A2D">
        <w:rPr>
          <w:sz w:val="22"/>
          <w:szCs w:val="22"/>
        </w:rPr>
        <w:t>профессор кафедры частной зоотехнии и свиноводства,</w:t>
      </w:r>
    </w:p>
    <w:p w:rsidR="008742E9" w:rsidRPr="000A2A2D" w:rsidRDefault="008742E9" w:rsidP="008742E9">
      <w:pPr>
        <w:jc w:val="right"/>
        <w:rPr>
          <w:sz w:val="22"/>
          <w:szCs w:val="22"/>
        </w:rPr>
      </w:pPr>
      <w:r w:rsidRPr="000A2A2D">
        <w:rPr>
          <w:sz w:val="22"/>
          <w:szCs w:val="22"/>
        </w:rPr>
        <w:t>Куб</w:t>
      </w:r>
      <w:r w:rsidR="000D5F55">
        <w:rPr>
          <w:sz w:val="22"/>
          <w:szCs w:val="22"/>
        </w:rPr>
        <w:t>анский государственный аграрный</w:t>
      </w:r>
    </w:p>
    <w:p w:rsidR="008742E9" w:rsidRPr="000A2A2D" w:rsidRDefault="008742E9" w:rsidP="008742E9">
      <w:pPr>
        <w:jc w:val="right"/>
        <w:rPr>
          <w:rFonts w:eastAsia="Calibri"/>
          <w:sz w:val="22"/>
          <w:szCs w:val="22"/>
        </w:rPr>
      </w:pPr>
      <w:r w:rsidRPr="000A2A2D">
        <w:rPr>
          <w:sz w:val="22"/>
          <w:szCs w:val="22"/>
        </w:rPr>
        <w:t>университет имени И.</w:t>
      </w:r>
      <w:r w:rsidR="000D5F55">
        <w:rPr>
          <w:sz w:val="22"/>
          <w:szCs w:val="22"/>
        </w:rPr>
        <w:t xml:space="preserve"> </w:t>
      </w:r>
      <w:r w:rsidRPr="000A2A2D">
        <w:rPr>
          <w:sz w:val="22"/>
          <w:szCs w:val="22"/>
        </w:rPr>
        <w:t>Т. Трубилина</w:t>
      </w:r>
    </w:p>
    <w:p w:rsidR="008742E9" w:rsidRPr="000A2A2D" w:rsidRDefault="008742E9" w:rsidP="008742E9">
      <w:pPr>
        <w:jc w:val="both"/>
        <w:rPr>
          <w:rFonts w:eastAsia="Calibri"/>
          <w:sz w:val="22"/>
          <w:szCs w:val="22"/>
        </w:rPr>
      </w:pPr>
    </w:p>
    <w:p w:rsidR="008742E9" w:rsidRPr="008742E9" w:rsidRDefault="000D5F55" w:rsidP="000D5F55">
      <w:pPr>
        <w:ind w:firstLine="426"/>
        <w:jc w:val="both"/>
        <w:rPr>
          <w:bCs/>
          <w:sz w:val="22"/>
          <w:szCs w:val="22"/>
        </w:rPr>
      </w:pPr>
      <w:r>
        <w:rPr>
          <w:rFonts w:eastAsia="Calibri"/>
          <w:sz w:val="22"/>
          <w:szCs w:val="22"/>
        </w:rPr>
        <w:t>АННОТАЦИЯ:</w:t>
      </w:r>
      <w:r w:rsidR="008742E9" w:rsidRPr="000A2A2D">
        <w:rPr>
          <w:rFonts w:eastAsia="Calibri"/>
          <w:sz w:val="22"/>
          <w:szCs w:val="22"/>
        </w:rPr>
        <w:t xml:space="preserve"> Представлены показатели воспроизводства овец и интенсивности роста ягнят, полученных от овцематок пород</w:t>
      </w:r>
      <w:r w:rsidR="008742E9" w:rsidRPr="008742E9">
        <w:rPr>
          <w:rFonts w:eastAsia="Calibri"/>
          <w:sz w:val="22"/>
          <w:szCs w:val="22"/>
        </w:rPr>
        <w:t xml:space="preserve"> мясо-шерстного, мясного и молочного типов. Определены показ</w:t>
      </w:r>
      <w:r w:rsidR="008742E9" w:rsidRPr="008742E9">
        <w:rPr>
          <w:rFonts w:eastAsia="Calibri"/>
          <w:sz w:val="22"/>
          <w:szCs w:val="22"/>
        </w:rPr>
        <w:t>а</w:t>
      </w:r>
      <w:r w:rsidR="008742E9" w:rsidRPr="008742E9">
        <w:rPr>
          <w:rFonts w:eastAsia="Calibri"/>
          <w:sz w:val="22"/>
          <w:szCs w:val="22"/>
        </w:rPr>
        <w:t>тели молочности маток и интенсивности роста ягнят пород: Ли</w:t>
      </w:r>
      <w:r w:rsidR="008742E9" w:rsidRPr="008742E9">
        <w:rPr>
          <w:rFonts w:eastAsia="Calibri"/>
          <w:sz w:val="22"/>
          <w:szCs w:val="22"/>
        </w:rPr>
        <w:t>н</w:t>
      </w:r>
      <w:r w:rsidR="008742E9" w:rsidRPr="008742E9">
        <w:rPr>
          <w:rFonts w:eastAsia="Calibri"/>
          <w:sz w:val="22"/>
          <w:szCs w:val="22"/>
        </w:rPr>
        <w:t xml:space="preserve">кольн-Кубанский тип, Южная мясная и Лакоюнэ, </w:t>
      </w:r>
    </w:p>
    <w:p w:rsidR="008742E9" w:rsidRPr="008742E9" w:rsidRDefault="000D5F55" w:rsidP="000D5F55">
      <w:pPr>
        <w:ind w:firstLine="426"/>
        <w:jc w:val="both"/>
        <w:rPr>
          <w:bCs/>
          <w:sz w:val="22"/>
          <w:szCs w:val="22"/>
          <w:lang w:val="en-US"/>
        </w:rPr>
      </w:pPr>
      <w:r>
        <w:rPr>
          <w:bCs/>
          <w:sz w:val="22"/>
          <w:szCs w:val="22"/>
          <w:lang w:val="en-US"/>
        </w:rPr>
        <w:t>ABSTRACT</w:t>
      </w:r>
      <w:r w:rsidRPr="000D5F55">
        <w:rPr>
          <w:bCs/>
          <w:sz w:val="22"/>
          <w:szCs w:val="22"/>
          <w:lang w:val="en-US"/>
        </w:rPr>
        <w:t>:</w:t>
      </w:r>
      <w:r w:rsidR="008742E9" w:rsidRPr="008742E9">
        <w:rPr>
          <w:bCs/>
          <w:sz w:val="22"/>
          <w:szCs w:val="22"/>
          <w:lang w:val="en-US"/>
        </w:rPr>
        <w:t xml:space="preserve"> The indicators of the reproduction of sheep and the growth intensity of lambs obtained from sheep of meat-wool, meat and dairy types are presented. The parameters of the milking ewes and the growth intensity of the lambs of the following breeds are determined: Lincoln-Kuban type, Southern beef breed and Lakonyune,</w:t>
      </w:r>
    </w:p>
    <w:p w:rsidR="008742E9" w:rsidRPr="008742E9" w:rsidRDefault="008742E9" w:rsidP="000D5F55">
      <w:pPr>
        <w:ind w:firstLine="426"/>
        <w:jc w:val="both"/>
        <w:rPr>
          <w:rFonts w:eastAsia="Calibri"/>
          <w:sz w:val="22"/>
          <w:szCs w:val="22"/>
        </w:rPr>
      </w:pPr>
      <w:r w:rsidRPr="008742E9">
        <w:rPr>
          <w:bCs/>
          <w:sz w:val="22"/>
          <w:szCs w:val="22"/>
        </w:rPr>
        <w:t xml:space="preserve">КЛЮЧЕВЫЕ СЛОВА: овца, порода, ягненок, </w:t>
      </w:r>
      <w:r w:rsidRPr="008742E9">
        <w:rPr>
          <w:rFonts w:eastAsia="Calibri"/>
          <w:sz w:val="22"/>
          <w:szCs w:val="22"/>
        </w:rPr>
        <w:t xml:space="preserve">Лакоюнэ, Южная мясная, Линкольн-Кубанский тип, воспроизводство. </w:t>
      </w:r>
    </w:p>
    <w:p w:rsidR="008742E9" w:rsidRPr="008742E9" w:rsidRDefault="008742E9" w:rsidP="000D5F55">
      <w:pPr>
        <w:spacing w:after="200"/>
        <w:ind w:firstLine="426"/>
        <w:jc w:val="both"/>
        <w:rPr>
          <w:rFonts w:eastAsia="Calibri"/>
          <w:sz w:val="22"/>
          <w:szCs w:val="22"/>
          <w:lang w:val="en-US"/>
        </w:rPr>
      </w:pPr>
      <w:r w:rsidRPr="008742E9">
        <w:rPr>
          <w:rFonts w:eastAsia="Calibri"/>
          <w:sz w:val="22"/>
          <w:szCs w:val="22"/>
          <w:lang w:val="en-US"/>
        </w:rPr>
        <w:t>KEY WORDS: sheep, breed, lamb, Lakoyune, Southern Meat breed, Lincoln-Kuban type, reproduction.</w:t>
      </w:r>
    </w:p>
    <w:p w:rsidR="008742E9" w:rsidRPr="008742E9" w:rsidRDefault="008742E9" w:rsidP="000D5F55">
      <w:pPr>
        <w:ind w:firstLine="426"/>
        <w:jc w:val="both"/>
        <w:rPr>
          <w:rFonts w:eastAsia="Calibri"/>
          <w:sz w:val="22"/>
          <w:szCs w:val="22"/>
        </w:rPr>
      </w:pPr>
      <w:r w:rsidRPr="008742E9">
        <w:rPr>
          <w:sz w:val="22"/>
          <w:szCs w:val="22"/>
        </w:rPr>
        <w:t>В настоящее время овцеводство активно развивается во всем мире [1, 3]. Овцы отличаются выносливостью и неприхотливостью к условиям содержания и кормления, разводить их весьма выгодное дело. Наряду с широко распространенной продукцией (шерсть), востребованы ценные продукты питания – баранина, ягнятина, ов</w:t>
      </w:r>
      <w:r w:rsidRPr="008742E9">
        <w:rPr>
          <w:sz w:val="22"/>
          <w:szCs w:val="22"/>
        </w:rPr>
        <w:t>е</w:t>
      </w:r>
      <w:r w:rsidRPr="008742E9">
        <w:rPr>
          <w:sz w:val="22"/>
          <w:szCs w:val="22"/>
        </w:rPr>
        <w:lastRenderedPageBreak/>
        <w:t>чье молоко и продукты его переработки [2, 4]. За последние 20 лет в нашей стране овцеводство существенно изменилось. Из повсемес</w:t>
      </w:r>
      <w:r w:rsidRPr="008742E9">
        <w:rPr>
          <w:sz w:val="22"/>
          <w:szCs w:val="22"/>
        </w:rPr>
        <w:t>т</w:t>
      </w:r>
      <w:r w:rsidRPr="008742E9">
        <w:rPr>
          <w:sz w:val="22"/>
          <w:szCs w:val="22"/>
        </w:rPr>
        <w:t>но развитого овцеводства шерстного типа преобразовалось в мясо-шерстное, мясное; и в настоящее время уделяется внимание моло</w:t>
      </w:r>
      <w:r w:rsidRPr="008742E9">
        <w:rPr>
          <w:sz w:val="22"/>
          <w:szCs w:val="22"/>
        </w:rPr>
        <w:t>ч</w:t>
      </w:r>
      <w:r w:rsidRPr="008742E9">
        <w:rPr>
          <w:sz w:val="22"/>
          <w:szCs w:val="22"/>
        </w:rPr>
        <w:t>ному направлению. Селекционеры в России вывели новые совр</w:t>
      </w:r>
      <w:r w:rsidRPr="008742E9">
        <w:rPr>
          <w:sz w:val="22"/>
          <w:szCs w:val="22"/>
        </w:rPr>
        <w:t>е</w:t>
      </w:r>
      <w:r w:rsidRPr="008742E9">
        <w:rPr>
          <w:sz w:val="22"/>
          <w:szCs w:val="22"/>
        </w:rPr>
        <w:t xml:space="preserve">менные скороспелые породы мясного типа – Южную мясную, мясо-шерстного типа - </w:t>
      </w:r>
      <w:r w:rsidRPr="008742E9">
        <w:rPr>
          <w:rFonts w:eastAsia="Calibri"/>
          <w:sz w:val="22"/>
          <w:szCs w:val="22"/>
        </w:rPr>
        <w:t>Линкольн-Кубанский и завезли из-за рубежа овец породы  Лакоюнэ [3, 5].  С целью сравнения используемых в Кра</w:t>
      </w:r>
      <w:r w:rsidRPr="008742E9">
        <w:rPr>
          <w:rFonts w:eastAsia="Calibri"/>
          <w:sz w:val="22"/>
          <w:szCs w:val="22"/>
        </w:rPr>
        <w:t>с</w:t>
      </w:r>
      <w:r w:rsidRPr="008742E9">
        <w:rPr>
          <w:rFonts w:eastAsia="Calibri"/>
          <w:sz w:val="22"/>
          <w:szCs w:val="22"/>
        </w:rPr>
        <w:t>нодарском крае новых пород нами проведены исследования в двух хозяйствах по их разведению – в племрепродукторе ФГУП «Ра</w:t>
      </w:r>
      <w:r w:rsidRPr="008742E9">
        <w:rPr>
          <w:rFonts w:eastAsia="Calibri"/>
          <w:sz w:val="22"/>
          <w:szCs w:val="22"/>
        </w:rPr>
        <w:t>с</w:t>
      </w:r>
      <w:r w:rsidRPr="008742E9">
        <w:rPr>
          <w:rFonts w:eastAsia="Calibri"/>
          <w:sz w:val="22"/>
          <w:szCs w:val="22"/>
        </w:rPr>
        <w:t xml:space="preserve">свет» в п. Зеленодольский и </w:t>
      </w:r>
      <w:r w:rsidRPr="008742E9">
        <w:rPr>
          <w:sz w:val="22"/>
          <w:szCs w:val="22"/>
        </w:rPr>
        <w:t>в КФХ «Николаев Михаил Иванович» в Крымском районе Краснодарского края.</w:t>
      </w:r>
      <w:r w:rsidRPr="008742E9">
        <w:rPr>
          <w:rFonts w:eastAsia="Calibri"/>
          <w:sz w:val="22"/>
          <w:szCs w:val="22"/>
        </w:rPr>
        <w:t xml:space="preserve"> В группу 1 (контрольную) включили отару маток, ярочек  и ягнят породы Линкольн-Кубанский тип, в группу 2 (опытную) – отару маток, ярочек и ягнят Южной мясной породы и в группу 3 (опытную) – отару маток,  яр</w:t>
      </w:r>
      <w:r w:rsidRPr="008742E9">
        <w:rPr>
          <w:rFonts w:eastAsia="Calibri"/>
          <w:sz w:val="22"/>
          <w:szCs w:val="22"/>
        </w:rPr>
        <w:t>о</w:t>
      </w:r>
      <w:r w:rsidRPr="008742E9">
        <w:rPr>
          <w:rFonts w:eastAsia="Calibri"/>
          <w:sz w:val="22"/>
          <w:szCs w:val="22"/>
        </w:rPr>
        <w:t>чек и ягнят породы Лакоюне. Воспроизводительные показатели овец изучаемых пород были не одинаковыми. Оплодотворяемость маток 1 группы – 85 %, 2 группы - 86 %, 3 группы – 69 %.  Мног</w:t>
      </w:r>
      <w:r w:rsidRPr="008742E9">
        <w:rPr>
          <w:rFonts w:eastAsia="Calibri"/>
          <w:sz w:val="22"/>
          <w:szCs w:val="22"/>
        </w:rPr>
        <w:t>о</w:t>
      </w:r>
      <w:r w:rsidRPr="008742E9">
        <w:rPr>
          <w:rFonts w:eastAsia="Calibri"/>
          <w:sz w:val="22"/>
          <w:szCs w:val="22"/>
        </w:rPr>
        <w:t>плодие у подопытных маток породы Линкольн-Кубанский состав</w:t>
      </w:r>
      <w:r w:rsidRPr="008742E9">
        <w:rPr>
          <w:rFonts w:eastAsia="Calibri"/>
          <w:sz w:val="22"/>
          <w:szCs w:val="22"/>
        </w:rPr>
        <w:t>и</w:t>
      </w:r>
      <w:r w:rsidRPr="008742E9">
        <w:rPr>
          <w:rFonts w:eastAsia="Calibri"/>
          <w:sz w:val="22"/>
          <w:szCs w:val="22"/>
        </w:rPr>
        <w:t>ло 126  % (у 26 % маток рождаются двойни), породы Южная мясная – 130 % (у 30 маток из 100 рождаются двойни), породы Лакоюнэ – 142  % (у 42 % маток рождаются 3 – 4 ягненка).  Средняя живая масса новорожденных ягнят составила по 1, 2 и 3 группам соотве</w:t>
      </w:r>
      <w:r w:rsidRPr="008742E9">
        <w:rPr>
          <w:rFonts w:eastAsia="Calibri"/>
          <w:sz w:val="22"/>
          <w:szCs w:val="22"/>
        </w:rPr>
        <w:t>т</w:t>
      </w:r>
      <w:r w:rsidRPr="008742E9">
        <w:rPr>
          <w:rFonts w:eastAsia="Calibri"/>
          <w:sz w:val="22"/>
          <w:szCs w:val="22"/>
        </w:rPr>
        <w:t>ственно 3,86 кг, 4,07 кг и 3,4 кг, а к возрасту 21 день живая масса у ягнят составила  8,55; 9,58 и 7,80 кг. Ягнята 1 и 2 групп находились с матерями постоянно, а ягнят 3 группы содержали на подсосе 2 дня, а затем их отнимали от маток и искусственно выпаивали мол</w:t>
      </w:r>
      <w:r w:rsidRPr="008742E9">
        <w:rPr>
          <w:rFonts w:eastAsia="Calibri"/>
          <w:sz w:val="22"/>
          <w:szCs w:val="22"/>
        </w:rPr>
        <w:t>о</w:t>
      </w:r>
      <w:r w:rsidRPr="008742E9">
        <w:rPr>
          <w:rFonts w:eastAsia="Calibri"/>
          <w:sz w:val="22"/>
          <w:szCs w:val="22"/>
        </w:rPr>
        <w:t>ком по 4 кг в сутки до 7 дневного возраста, а затем по 3 кг до 56 – дневного возраста. В период интенсивной молочной продуктивн</w:t>
      </w:r>
      <w:r w:rsidRPr="008742E9">
        <w:rPr>
          <w:rFonts w:eastAsia="Calibri"/>
          <w:sz w:val="22"/>
          <w:szCs w:val="22"/>
        </w:rPr>
        <w:t>о</w:t>
      </w:r>
      <w:r w:rsidRPr="008742E9">
        <w:rPr>
          <w:rFonts w:eastAsia="Calibri"/>
          <w:sz w:val="22"/>
          <w:szCs w:val="22"/>
        </w:rPr>
        <w:t>сти матерей, в первые 21 день лактации, когда основным кормом для ягнят является материнское молоко, среднесуточные приросты ягнят были достаточно высокими:  в 1 группе 197,6 г; 2 - 227,6 г, а в 3 опытной, при интенсивном искусственном скармливании молока - 209,5 г. Расчеты показали, что средняя молочность овцематок за 21 день лактации в 1 группе составила 41,5 кг, во 2 – 47,8 кг, в 3 – группе ягнята получили в первые 2 суток 3,0 кг материнского мол</w:t>
      </w:r>
      <w:r w:rsidRPr="008742E9">
        <w:rPr>
          <w:rFonts w:eastAsia="Calibri"/>
          <w:sz w:val="22"/>
          <w:szCs w:val="22"/>
        </w:rPr>
        <w:t>о</w:t>
      </w:r>
      <w:r w:rsidRPr="008742E9">
        <w:rPr>
          <w:rFonts w:eastAsia="Calibri"/>
          <w:sz w:val="22"/>
          <w:szCs w:val="22"/>
        </w:rPr>
        <w:t xml:space="preserve">зива, а затем, согласно схеме выпойки, в течение 19 дней 50,8 кг молока. Дальнейший контроль интенсивности роста ягнят показал, </w:t>
      </w:r>
      <w:r w:rsidRPr="008742E9">
        <w:rPr>
          <w:rFonts w:eastAsia="Calibri"/>
          <w:sz w:val="22"/>
          <w:szCs w:val="22"/>
        </w:rPr>
        <w:lastRenderedPageBreak/>
        <w:t xml:space="preserve">что ягнята в возрасте 4 месяцев весили: породы </w:t>
      </w:r>
      <w:r w:rsidRPr="008742E9">
        <w:rPr>
          <w:sz w:val="22"/>
          <w:szCs w:val="22"/>
        </w:rPr>
        <w:t xml:space="preserve">Южная мясная - 32,1 кг, </w:t>
      </w:r>
      <w:r w:rsidRPr="008742E9">
        <w:rPr>
          <w:rFonts w:eastAsia="Calibri"/>
          <w:sz w:val="22"/>
          <w:szCs w:val="22"/>
        </w:rPr>
        <w:t>Линкольн - Кубанский тип – 28,1 кг, породы Лакоюнэ - 25,6 кг. Средняя стоимость по живой массе  выросшего до 4 месяцев я</w:t>
      </w:r>
      <w:r w:rsidRPr="008742E9">
        <w:rPr>
          <w:rFonts w:eastAsia="Calibri"/>
          <w:sz w:val="22"/>
          <w:szCs w:val="22"/>
        </w:rPr>
        <w:t>г</w:t>
      </w:r>
      <w:r w:rsidRPr="008742E9">
        <w:rPr>
          <w:rFonts w:eastAsia="Calibri"/>
          <w:sz w:val="22"/>
          <w:szCs w:val="22"/>
        </w:rPr>
        <w:t xml:space="preserve">ненка в 1, 2 и 3 группах соответственно составила 8025, 7025 и 6400 руб. В молочном овцеводстве  дополнительно в среднем от каждой овцематки  получено за 4 месяца 222 кг молока стоимостью 26640 руб. (при цене 1 кг овечьего молока 120 руб.). </w:t>
      </w:r>
    </w:p>
    <w:p w:rsidR="008742E9" w:rsidRPr="008742E9" w:rsidRDefault="008742E9" w:rsidP="000D5F55">
      <w:pPr>
        <w:ind w:firstLine="426"/>
        <w:jc w:val="both"/>
        <w:rPr>
          <w:rFonts w:eastAsia="Calibri"/>
          <w:sz w:val="22"/>
          <w:szCs w:val="22"/>
        </w:rPr>
      </w:pPr>
      <w:r w:rsidRPr="008742E9">
        <w:rPr>
          <w:rFonts w:eastAsia="Calibri"/>
          <w:sz w:val="22"/>
          <w:szCs w:val="22"/>
        </w:rPr>
        <w:t xml:space="preserve">Заключение. Расчеты показали, что в среднем от каждой овцы за 4 месяца можно получить от потомства ягнятины в живой массе стоимостью: 8025 руб. от Южной мясной породы; 7025 руб. от овец Линкольн - Кубанский тип, а от породы Лакоюнэ можно получить ягнятины на сумму 6400 руб. и овечьего молока на сумму 26640 руб. (общая сумма 33040 руб.). Однако ведение отрасли молочного овцеводства требует дополнительных производственных затрат на приобретение оборудования для доения, переработки и реализации овечьего молока, а также продуктов его переработки. Такие затраты не адекватны необходимым затратам организации производства в мясо - шерстном и мясном овцеводстве. Наряду с этим необходимы дополнительные расходы в молочном овцеводстве для покупки овец специализированных молочных пород. </w:t>
      </w:r>
    </w:p>
    <w:p w:rsidR="008742E9" w:rsidRPr="008742E9" w:rsidRDefault="008742E9" w:rsidP="000D5F55">
      <w:pPr>
        <w:ind w:firstLine="426"/>
        <w:jc w:val="both"/>
        <w:rPr>
          <w:rFonts w:eastAsia="Calibri"/>
          <w:sz w:val="22"/>
          <w:szCs w:val="22"/>
        </w:rPr>
      </w:pPr>
    </w:p>
    <w:p w:rsidR="008742E9" w:rsidRPr="008742E9" w:rsidRDefault="008742E9" w:rsidP="000D5F55">
      <w:pPr>
        <w:ind w:firstLine="426"/>
        <w:jc w:val="center"/>
        <w:rPr>
          <w:rFonts w:eastAsia="Calibri"/>
          <w:sz w:val="22"/>
          <w:szCs w:val="22"/>
        </w:rPr>
      </w:pPr>
      <w:r w:rsidRPr="008742E9">
        <w:rPr>
          <w:rFonts w:eastAsia="Calibri"/>
          <w:sz w:val="22"/>
          <w:szCs w:val="22"/>
        </w:rPr>
        <w:t>Список литературы</w:t>
      </w:r>
    </w:p>
    <w:p w:rsidR="008742E9" w:rsidRPr="008742E9" w:rsidRDefault="008742E9" w:rsidP="000D5F55">
      <w:pPr>
        <w:ind w:firstLine="426"/>
        <w:jc w:val="both"/>
        <w:rPr>
          <w:sz w:val="22"/>
          <w:szCs w:val="22"/>
        </w:rPr>
      </w:pPr>
      <w:r w:rsidRPr="008742E9">
        <w:rPr>
          <w:sz w:val="22"/>
          <w:szCs w:val="22"/>
        </w:rPr>
        <w:t>1. Дунин И.М. Ежегодник по племенной работе в овцеводстве и козоводстве в хозяйствах Российской Федерации/ И. М. Дунин, В. В. Лабинов, Х. А. Амерханов и др. – М.: ФГБ – НУ ВНИИплем, 2014. – 357 с.</w:t>
      </w:r>
    </w:p>
    <w:p w:rsidR="008742E9" w:rsidRPr="008742E9" w:rsidRDefault="008742E9" w:rsidP="000D5F55">
      <w:pPr>
        <w:ind w:firstLine="426"/>
        <w:jc w:val="both"/>
        <w:rPr>
          <w:sz w:val="22"/>
          <w:szCs w:val="22"/>
        </w:rPr>
      </w:pPr>
      <w:r w:rsidRPr="008742E9">
        <w:rPr>
          <w:sz w:val="22"/>
          <w:szCs w:val="22"/>
        </w:rPr>
        <w:t>2. Ерохин А. И. Особенности формирования мясной  проду</w:t>
      </w:r>
      <w:r w:rsidRPr="008742E9">
        <w:rPr>
          <w:sz w:val="22"/>
          <w:szCs w:val="22"/>
        </w:rPr>
        <w:t>к</w:t>
      </w:r>
      <w:r w:rsidRPr="008742E9">
        <w:rPr>
          <w:sz w:val="22"/>
          <w:szCs w:val="22"/>
        </w:rPr>
        <w:t>ции овец разных пород: монография/ А. И. Ерохин Т. А. Магомедов Е. А. Карасев В. Г. и др. – М : Изд-во МГАУ, 2013. – 190 с.</w:t>
      </w:r>
    </w:p>
    <w:p w:rsidR="008742E9" w:rsidRPr="008742E9" w:rsidRDefault="008742E9" w:rsidP="000D5F55">
      <w:pPr>
        <w:ind w:firstLine="426"/>
        <w:jc w:val="both"/>
        <w:rPr>
          <w:sz w:val="22"/>
          <w:szCs w:val="22"/>
        </w:rPr>
      </w:pPr>
      <w:r w:rsidRPr="008742E9">
        <w:rPr>
          <w:sz w:val="22"/>
          <w:szCs w:val="22"/>
        </w:rPr>
        <w:t>3. Ерохин А. И. Тенденция развития овцеводства в Российкой Федерации/А. И. Ерохин, Е. А. Карасев, Ю. А. Юлдашбаев// Зо</w:t>
      </w:r>
      <w:r w:rsidRPr="008742E9">
        <w:rPr>
          <w:sz w:val="22"/>
          <w:szCs w:val="22"/>
        </w:rPr>
        <w:t>о</w:t>
      </w:r>
      <w:r w:rsidRPr="008742E9">
        <w:rPr>
          <w:sz w:val="22"/>
          <w:szCs w:val="22"/>
        </w:rPr>
        <w:t>техния. – 2014. – № 12 – 12-13</w:t>
      </w:r>
      <w:r w:rsidRPr="008742E9">
        <w:rPr>
          <w:sz w:val="22"/>
          <w:szCs w:val="22"/>
          <w:lang w:val="en-US"/>
        </w:rPr>
        <w:t>p</w:t>
      </w:r>
      <w:r w:rsidRPr="008742E9">
        <w:rPr>
          <w:sz w:val="22"/>
          <w:szCs w:val="22"/>
        </w:rPr>
        <w:t>.</w:t>
      </w:r>
    </w:p>
    <w:p w:rsidR="008742E9" w:rsidRPr="008742E9" w:rsidRDefault="008742E9" w:rsidP="000D5F55">
      <w:pPr>
        <w:shd w:val="clear" w:color="auto" w:fill="FFFFFF"/>
        <w:ind w:firstLine="426"/>
        <w:jc w:val="both"/>
        <w:rPr>
          <w:color w:val="00000A"/>
          <w:sz w:val="22"/>
          <w:szCs w:val="22"/>
          <w:lang w:eastAsia="en-US"/>
        </w:rPr>
      </w:pPr>
      <w:r w:rsidRPr="008742E9">
        <w:rPr>
          <w:color w:val="00000A"/>
          <w:sz w:val="22"/>
          <w:szCs w:val="22"/>
          <w:lang w:eastAsia="en-US"/>
        </w:rPr>
        <w:t>4. Миргиев И. А. Производство сыра из овечьего молока // Т</w:t>
      </w:r>
      <w:r w:rsidRPr="008742E9">
        <w:rPr>
          <w:color w:val="00000A"/>
          <w:sz w:val="22"/>
          <w:szCs w:val="22"/>
          <w:lang w:eastAsia="en-US"/>
        </w:rPr>
        <w:t>е</w:t>
      </w:r>
      <w:r w:rsidRPr="008742E9">
        <w:rPr>
          <w:color w:val="00000A"/>
          <w:sz w:val="22"/>
          <w:szCs w:val="22"/>
          <w:lang w:eastAsia="en-US"/>
        </w:rPr>
        <w:t>зисы докладов научной сессии "Научная концепция производства в комплексной переработки продукции животноводства. - РАСХН.-М. Углич, 1993. – С. 121-122.</w:t>
      </w:r>
    </w:p>
    <w:p w:rsidR="008742E9" w:rsidRPr="008742E9" w:rsidRDefault="008742E9" w:rsidP="000D5F55">
      <w:pPr>
        <w:ind w:firstLine="426"/>
        <w:jc w:val="both"/>
        <w:rPr>
          <w:sz w:val="22"/>
          <w:szCs w:val="22"/>
        </w:rPr>
      </w:pPr>
      <w:r w:rsidRPr="008742E9">
        <w:rPr>
          <w:sz w:val="22"/>
          <w:szCs w:val="22"/>
        </w:rPr>
        <w:lastRenderedPageBreak/>
        <w:t>5. Ульянов А. Н. Актуальные проблемы современного овцево</w:t>
      </w:r>
      <w:r w:rsidRPr="008742E9">
        <w:rPr>
          <w:sz w:val="22"/>
          <w:szCs w:val="22"/>
        </w:rPr>
        <w:t>д</w:t>
      </w:r>
      <w:r w:rsidRPr="008742E9">
        <w:rPr>
          <w:sz w:val="22"/>
          <w:szCs w:val="22"/>
        </w:rPr>
        <w:t>ства России / А. Н. Ульянов, А. Я. Куликова, О. Г. Григорьева // О</w:t>
      </w:r>
      <w:r w:rsidRPr="008742E9">
        <w:rPr>
          <w:sz w:val="22"/>
          <w:szCs w:val="22"/>
        </w:rPr>
        <w:t>в</w:t>
      </w:r>
      <w:r w:rsidRPr="008742E9">
        <w:rPr>
          <w:sz w:val="22"/>
          <w:szCs w:val="22"/>
        </w:rPr>
        <w:t>цы, козы. Шерстное дело. – 2009. - №3 – С. – 54-60.</w:t>
      </w:r>
    </w:p>
    <w:p w:rsidR="000D5F55" w:rsidRDefault="000D5F55" w:rsidP="000D5F55">
      <w:pPr>
        <w:rPr>
          <w:sz w:val="24"/>
          <w:szCs w:val="24"/>
        </w:rPr>
      </w:pPr>
    </w:p>
    <w:p w:rsidR="000D5F55" w:rsidRDefault="000D5F55" w:rsidP="000D5F55">
      <w:pPr>
        <w:rPr>
          <w:sz w:val="24"/>
          <w:szCs w:val="24"/>
        </w:rPr>
      </w:pPr>
    </w:p>
    <w:p w:rsidR="000D5F55" w:rsidRDefault="000D5F55" w:rsidP="000D5F55">
      <w:pPr>
        <w:rPr>
          <w:sz w:val="24"/>
          <w:szCs w:val="24"/>
        </w:rPr>
      </w:pPr>
    </w:p>
    <w:p w:rsidR="008742E9" w:rsidRDefault="008742E9" w:rsidP="000D5F55">
      <w:pPr>
        <w:rPr>
          <w:sz w:val="22"/>
          <w:szCs w:val="22"/>
        </w:rPr>
      </w:pPr>
      <w:r w:rsidRPr="000D5F55">
        <w:rPr>
          <w:sz w:val="22"/>
          <w:szCs w:val="22"/>
        </w:rPr>
        <w:t>УДК 798.2, 798.4, 798.6</w:t>
      </w:r>
    </w:p>
    <w:p w:rsidR="000D5F55" w:rsidRPr="000D5F55" w:rsidRDefault="000D5F55" w:rsidP="000D5F55">
      <w:pPr>
        <w:rPr>
          <w:sz w:val="22"/>
          <w:szCs w:val="22"/>
        </w:rPr>
      </w:pPr>
    </w:p>
    <w:p w:rsidR="008742E9" w:rsidRPr="008742E9" w:rsidRDefault="008742E9" w:rsidP="000D5F55">
      <w:pPr>
        <w:jc w:val="center"/>
        <w:rPr>
          <w:b/>
          <w:sz w:val="24"/>
          <w:szCs w:val="24"/>
        </w:rPr>
      </w:pPr>
      <w:r w:rsidRPr="008742E9">
        <w:rPr>
          <w:b/>
          <w:sz w:val="24"/>
          <w:szCs w:val="24"/>
        </w:rPr>
        <w:t xml:space="preserve">Состояние коневодства и конного спорта </w:t>
      </w:r>
    </w:p>
    <w:p w:rsidR="008742E9" w:rsidRPr="008742E9" w:rsidRDefault="008742E9" w:rsidP="000D5F55">
      <w:pPr>
        <w:jc w:val="center"/>
        <w:rPr>
          <w:b/>
          <w:sz w:val="24"/>
          <w:szCs w:val="24"/>
        </w:rPr>
      </w:pPr>
      <w:r w:rsidRPr="008742E9">
        <w:rPr>
          <w:b/>
          <w:sz w:val="24"/>
          <w:szCs w:val="24"/>
        </w:rPr>
        <w:t>в разных регионах России</w:t>
      </w:r>
    </w:p>
    <w:p w:rsidR="008742E9" w:rsidRPr="008742E9" w:rsidRDefault="008742E9" w:rsidP="000D5F55">
      <w:pPr>
        <w:jc w:val="center"/>
        <w:rPr>
          <w:b/>
          <w:sz w:val="24"/>
          <w:szCs w:val="24"/>
          <w:lang w:val="en-US"/>
        </w:rPr>
      </w:pPr>
      <w:r w:rsidRPr="008742E9">
        <w:rPr>
          <w:b/>
          <w:sz w:val="24"/>
          <w:szCs w:val="24"/>
          <w:lang w:val="en-US"/>
        </w:rPr>
        <w:t xml:space="preserve">The condition of horse breeding and the Congo sports </w:t>
      </w:r>
    </w:p>
    <w:p w:rsidR="008742E9" w:rsidRPr="008742E9" w:rsidRDefault="008742E9" w:rsidP="000D5F55">
      <w:pPr>
        <w:jc w:val="center"/>
        <w:rPr>
          <w:b/>
          <w:sz w:val="24"/>
          <w:szCs w:val="24"/>
          <w:lang w:val="en-US"/>
        </w:rPr>
      </w:pPr>
      <w:r w:rsidRPr="008742E9">
        <w:rPr>
          <w:b/>
          <w:sz w:val="24"/>
          <w:szCs w:val="24"/>
          <w:lang w:val="en-US"/>
        </w:rPr>
        <w:t>in different regions of Russia</w:t>
      </w:r>
    </w:p>
    <w:p w:rsidR="008742E9" w:rsidRPr="008742E9" w:rsidRDefault="008742E9" w:rsidP="000D5F55">
      <w:pPr>
        <w:contextualSpacing/>
        <w:jc w:val="right"/>
        <w:rPr>
          <w:sz w:val="22"/>
          <w:szCs w:val="22"/>
          <w:lang w:val="en-US"/>
        </w:rPr>
      </w:pPr>
    </w:p>
    <w:p w:rsidR="008742E9" w:rsidRPr="00024398" w:rsidRDefault="008742E9" w:rsidP="000D5F55">
      <w:pPr>
        <w:contextualSpacing/>
        <w:jc w:val="right"/>
        <w:rPr>
          <w:sz w:val="22"/>
          <w:szCs w:val="22"/>
          <w:lang w:val="en-US"/>
        </w:rPr>
      </w:pPr>
      <w:r w:rsidRPr="000D5F55">
        <w:rPr>
          <w:sz w:val="22"/>
          <w:szCs w:val="22"/>
        </w:rPr>
        <w:t>Наливайко</w:t>
      </w:r>
      <w:r w:rsidRPr="000D5F55">
        <w:rPr>
          <w:sz w:val="22"/>
          <w:szCs w:val="22"/>
          <w:lang w:val="en-US"/>
        </w:rPr>
        <w:t xml:space="preserve"> </w:t>
      </w:r>
      <w:r w:rsidRPr="000D5F55">
        <w:rPr>
          <w:sz w:val="22"/>
          <w:szCs w:val="22"/>
        </w:rPr>
        <w:t>Н</w:t>
      </w:r>
      <w:r w:rsidRPr="000D5F55">
        <w:rPr>
          <w:sz w:val="22"/>
          <w:szCs w:val="22"/>
          <w:lang w:val="en-US"/>
        </w:rPr>
        <w:t>.</w:t>
      </w:r>
      <w:r w:rsidR="000D5F55" w:rsidRPr="00024398">
        <w:rPr>
          <w:sz w:val="22"/>
          <w:szCs w:val="22"/>
          <w:lang w:val="en-US"/>
        </w:rPr>
        <w:t xml:space="preserve"> </w:t>
      </w:r>
      <w:r w:rsidRPr="000D5F55">
        <w:rPr>
          <w:sz w:val="22"/>
          <w:szCs w:val="22"/>
        </w:rPr>
        <w:t>А</w:t>
      </w:r>
      <w:r w:rsidRPr="000D5F55">
        <w:rPr>
          <w:sz w:val="22"/>
          <w:szCs w:val="22"/>
          <w:lang w:val="en-US"/>
        </w:rPr>
        <w:t>.</w:t>
      </w:r>
      <w:r w:rsidR="000D5F55" w:rsidRPr="00024398">
        <w:rPr>
          <w:sz w:val="22"/>
          <w:szCs w:val="22"/>
          <w:lang w:val="en-US"/>
        </w:rPr>
        <w:t>,</w:t>
      </w:r>
    </w:p>
    <w:p w:rsidR="008742E9" w:rsidRPr="000D5F55" w:rsidRDefault="008742E9" w:rsidP="008742E9">
      <w:pPr>
        <w:contextualSpacing/>
        <w:jc w:val="right"/>
        <w:rPr>
          <w:sz w:val="22"/>
          <w:szCs w:val="22"/>
        </w:rPr>
      </w:pPr>
      <w:r w:rsidRPr="000D5F55">
        <w:rPr>
          <w:sz w:val="22"/>
          <w:szCs w:val="22"/>
        </w:rPr>
        <w:t>студентка 4-го курса факультета зоотехнии</w:t>
      </w:r>
    </w:p>
    <w:p w:rsidR="008742E9" w:rsidRPr="000D5F55" w:rsidRDefault="008742E9" w:rsidP="008742E9">
      <w:pPr>
        <w:contextualSpacing/>
        <w:jc w:val="right"/>
        <w:rPr>
          <w:sz w:val="22"/>
          <w:szCs w:val="22"/>
        </w:rPr>
      </w:pPr>
      <w:r w:rsidRPr="000D5F55">
        <w:rPr>
          <w:sz w:val="22"/>
          <w:szCs w:val="22"/>
        </w:rPr>
        <w:t>Дикарев А.</w:t>
      </w:r>
      <w:r w:rsidR="000D5F55">
        <w:rPr>
          <w:sz w:val="22"/>
          <w:szCs w:val="22"/>
        </w:rPr>
        <w:t xml:space="preserve"> </w:t>
      </w:r>
      <w:r w:rsidRPr="000D5F55">
        <w:rPr>
          <w:sz w:val="22"/>
          <w:szCs w:val="22"/>
        </w:rPr>
        <w:t>Г.</w:t>
      </w:r>
      <w:r w:rsidR="000D5F55">
        <w:rPr>
          <w:sz w:val="22"/>
          <w:szCs w:val="22"/>
        </w:rPr>
        <w:t>,</w:t>
      </w:r>
    </w:p>
    <w:p w:rsidR="008742E9" w:rsidRPr="000D5F55" w:rsidRDefault="008742E9" w:rsidP="008742E9">
      <w:pPr>
        <w:contextualSpacing/>
        <w:jc w:val="right"/>
        <w:rPr>
          <w:sz w:val="22"/>
          <w:szCs w:val="22"/>
        </w:rPr>
      </w:pPr>
      <w:r w:rsidRPr="000D5F55">
        <w:rPr>
          <w:sz w:val="22"/>
          <w:szCs w:val="22"/>
        </w:rPr>
        <w:t>доцент кафедры разведения с.-х. животных и зоотехнологий</w:t>
      </w:r>
    </w:p>
    <w:p w:rsidR="008742E9" w:rsidRPr="000D5F55" w:rsidRDefault="008742E9" w:rsidP="008742E9">
      <w:pPr>
        <w:contextualSpacing/>
        <w:jc w:val="right"/>
        <w:rPr>
          <w:sz w:val="22"/>
          <w:szCs w:val="22"/>
        </w:rPr>
      </w:pPr>
      <w:r w:rsidRPr="000D5F55">
        <w:rPr>
          <w:sz w:val="22"/>
          <w:szCs w:val="22"/>
        </w:rPr>
        <w:t>Кубанский государственный агр</w:t>
      </w:r>
      <w:r w:rsidR="000D5F55">
        <w:rPr>
          <w:sz w:val="22"/>
          <w:szCs w:val="22"/>
        </w:rPr>
        <w:t>арный</w:t>
      </w:r>
    </w:p>
    <w:p w:rsidR="008742E9" w:rsidRPr="000D5F55" w:rsidRDefault="008742E9" w:rsidP="008742E9">
      <w:pPr>
        <w:contextualSpacing/>
        <w:jc w:val="right"/>
        <w:rPr>
          <w:sz w:val="22"/>
          <w:szCs w:val="22"/>
        </w:rPr>
      </w:pPr>
      <w:r w:rsidRPr="000D5F55">
        <w:rPr>
          <w:sz w:val="22"/>
          <w:szCs w:val="22"/>
        </w:rPr>
        <w:t>университет имени И.</w:t>
      </w:r>
      <w:r w:rsidR="000D5F55">
        <w:rPr>
          <w:sz w:val="22"/>
          <w:szCs w:val="22"/>
        </w:rPr>
        <w:t xml:space="preserve"> </w:t>
      </w:r>
      <w:r w:rsidRPr="000D5F55">
        <w:rPr>
          <w:sz w:val="22"/>
          <w:szCs w:val="22"/>
        </w:rPr>
        <w:t>Т. Трубилина</w:t>
      </w:r>
    </w:p>
    <w:p w:rsidR="008742E9" w:rsidRPr="008742E9" w:rsidRDefault="008742E9" w:rsidP="008742E9">
      <w:pPr>
        <w:jc w:val="both"/>
        <w:rPr>
          <w:sz w:val="22"/>
          <w:szCs w:val="22"/>
        </w:rPr>
      </w:pPr>
    </w:p>
    <w:p w:rsidR="008742E9" w:rsidRPr="008742E9" w:rsidRDefault="008742E9" w:rsidP="000D5F55">
      <w:pPr>
        <w:ind w:firstLine="426"/>
        <w:jc w:val="both"/>
        <w:rPr>
          <w:sz w:val="22"/>
          <w:szCs w:val="22"/>
        </w:rPr>
      </w:pPr>
      <w:r w:rsidRPr="008742E9">
        <w:rPr>
          <w:sz w:val="22"/>
          <w:szCs w:val="22"/>
        </w:rPr>
        <w:t>АННОТАЦИЯ:</w:t>
      </w:r>
      <w:r w:rsidRPr="008742E9">
        <w:rPr>
          <w:rFonts w:ascii="Calibri" w:hAnsi="Calibri"/>
          <w:sz w:val="22"/>
          <w:szCs w:val="22"/>
        </w:rPr>
        <w:t xml:space="preserve"> </w:t>
      </w:r>
      <w:r w:rsidRPr="008742E9">
        <w:rPr>
          <w:sz w:val="22"/>
          <w:szCs w:val="22"/>
        </w:rPr>
        <w:t xml:space="preserve">изучен уровень развития коневодства и конного спорта в разных регионах России на примере города Краснодар и города Нижний Новгород. </w:t>
      </w:r>
    </w:p>
    <w:p w:rsidR="008742E9" w:rsidRPr="008742E9" w:rsidRDefault="008742E9" w:rsidP="000D5F55">
      <w:pPr>
        <w:ind w:firstLine="426"/>
        <w:jc w:val="both"/>
        <w:rPr>
          <w:sz w:val="22"/>
          <w:szCs w:val="22"/>
          <w:lang w:val="en-US"/>
        </w:rPr>
      </w:pPr>
      <w:r w:rsidRPr="008742E9">
        <w:rPr>
          <w:sz w:val="22"/>
          <w:szCs w:val="22"/>
          <w:lang w:val="en-US"/>
        </w:rPr>
        <w:t>ABSTRACT: studied the level of development of horse breeding and equestrian sports in different regions of Russia on the example of Krasnodar city and the city of Nizhny Novgorod.</w:t>
      </w:r>
    </w:p>
    <w:p w:rsidR="008742E9" w:rsidRPr="008742E9" w:rsidRDefault="008742E9" w:rsidP="000D5F55">
      <w:pPr>
        <w:ind w:firstLine="426"/>
        <w:jc w:val="both"/>
        <w:rPr>
          <w:sz w:val="22"/>
          <w:szCs w:val="22"/>
        </w:rPr>
      </w:pPr>
      <w:r w:rsidRPr="008742E9">
        <w:rPr>
          <w:sz w:val="22"/>
          <w:szCs w:val="22"/>
        </w:rPr>
        <w:t>КЛЮЧЕВЫЕ СЛОВА: лошади, конный спорт, коневодство, Краснодар, Нижний Новгород.</w:t>
      </w:r>
    </w:p>
    <w:p w:rsidR="008742E9" w:rsidRPr="008742E9" w:rsidRDefault="008742E9" w:rsidP="000D5F55">
      <w:pPr>
        <w:ind w:firstLine="426"/>
        <w:jc w:val="both"/>
        <w:rPr>
          <w:sz w:val="22"/>
          <w:szCs w:val="22"/>
          <w:lang w:val="en-US"/>
        </w:rPr>
      </w:pPr>
      <w:r w:rsidRPr="008742E9">
        <w:rPr>
          <w:sz w:val="22"/>
          <w:szCs w:val="22"/>
          <w:lang w:val="en-US"/>
        </w:rPr>
        <w:t>KEY WORDS: horses, equestrian sports, horse breeding, Krasn</w:t>
      </w:r>
      <w:r w:rsidRPr="008742E9">
        <w:rPr>
          <w:sz w:val="22"/>
          <w:szCs w:val="22"/>
          <w:lang w:val="en-US"/>
        </w:rPr>
        <w:t>o</w:t>
      </w:r>
      <w:r w:rsidRPr="008742E9">
        <w:rPr>
          <w:sz w:val="22"/>
          <w:szCs w:val="22"/>
          <w:lang w:val="en-US"/>
        </w:rPr>
        <w:t>dar, Nizhny Novgorod.</w:t>
      </w:r>
    </w:p>
    <w:p w:rsidR="008742E9" w:rsidRPr="008742E9" w:rsidRDefault="008742E9" w:rsidP="000D5F55">
      <w:pPr>
        <w:ind w:firstLine="426"/>
        <w:jc w:val="both"/>
        <w:rPr>
          <w:sz w:val="22"/>
          <w:szCs w:val="22"/>
        </w:rPr>
      </w:pPr>
      <w:r w:rsidRPr="008742E9">
        <w:rPr>
          <w:sz w:val="22"/>
          <w:szCs w:val="22"/>
        </w:rPr>
        <w:t>В настоящее время в связи с быстрым ростом промышленности машины заменили лошадей во многих отраслях, но интерес к этим животным всё ещё остаётся. Всё больший размах и популярность получают самые разные виды спортивного использования лошадей, начиная от профессиональных видов – бегов и скачек на ипподр</w:t>
      </w:r>
      <w:r w:rsidRPr="008742E9">
        <w:rPr>
          <w:sz w:val="22"/>
          <w:szCs w:val="22"/>
        </w:rPr>
        <w:t>о</w:t>
      </w:r>
      <w:r w:rsidRPr="008742E9">
        <w:rPr>
          <w:sz w:val="22"/>
          <w:szCs w:val="22"/>
        </w:rPr>
        <w:t>мах – и до обычного верхового проката, туризма, прогулок верхом и в экипажах [1].</w:t>
      </w:r>
    </w:p>
    <w:p w:rsidR="008742E9" w:rsidRPr="008742E9" w:rsidRDefault="008742E9" w:rsidP="000D5F55">
      <w:pPr>
        <w:ind w:firstLine="426"/>
        <w:jc w:val="both"/>
        <w:rPr>
          <w:sz w:val="22"/>
          <w:szCs w:val="22"/>
        </w:rPr>
      </w:pPr>
      <w:r w:rsidRPr="008742E9">
        <w:rPr>
          <w:sz w:val="22"/>
          <w:szCs w:val="22"/>
        </w:rPr>
        <w:lastRenderedPageBreak/>
        <w:t>Целью исследований являлось изучение уровня развития кон</w:t>
      </w:r>
      <w:r w:rsidRPr="008742E9">
        <w:rPr>
          <w:sz w:val="22"/>
          <w:szCs w:val="22"/>
        </w:rPr>
        <w:t>е</w:t>
      </w:r>
      <w:r w:rsidRPr="008742E9">
        <w:rPr>
          <w:sz w:val="22"/>
          <w:szCs w:val="22"/>
        </w:rPr>
        <w:t>водства и конного спорта в разных регионах России на примере г</w:t>
      </w:r>
      <w:r w:rsidRPr="008742E9">
        <w:rPr>
          <w:sz w:val="22"/>
          <w:szCs w:val="22"/>
        </w:rPr>
        <w:t>о</w:t>
      </w:r>
      <w:r w:rsidRPr="008742E9">
        <w:rPr>
          <w:sz w:val="22"/>
          <w:szCs w:val="22"/>
        </w:rPr>
        <w:t>рода Краснодар и города Нижний Новгород.</w:t>
      </w:r>
    </w:p>
    <w:p w:rsidR="008742E9" w:rsidRPr="008742E9" w:rsidRDefault="008742E9" w:rsidP="000D5F55">
      <w:pPr>
        <w:ind w:firstLine="426"/>
        <w:jc w:val="both"/>
        <w:rPr>
          <w:sz w:val="22"/>
          <w:szCs w:val="22"/>
        </w:rPr>
      </w:pPr>
      <w:r w:rsidRPr="008742E9">
        <w:rPr>
          <w:sz w:val="22"/>
          <w:szCs w:val="22"/>
        </w:rPr>
        <w:t>В городе Краснодаре насчитывается 4 конноспортивные орг</w:t>
      </w:r>
      <w:r w:rsidRPr="008742E9">
        <w:rPr>
          <w:sz w:val="22"/>
          <w:szCs w:val="22"/>
        </w:rPr>
        <w:t>а</w:t>
      </w:r>
      <w:r w:rsidRPr="008742E9">
        <w:rPr>
          <w:sz w:val="22"/>
          <w:szCs w:val="22"/>
        </w:rPr>
        <w:t>низации - это КСК «Остапенко», КК «Мустанг», КСК «Гасконь», ООО «Краснодарский ипподром».</w:t>
      </w:r>
    </w:p>
    <w:p w:rsidR="008742E9" w:rsidRPr="008742E9" w:rsidRDefault="008742E9" w:rsidP="000D5F55">
      <w:pPr>
        <w:ind w:firstLine="426"/>
        <w:jc w:val="both"/>
        <w:rPr>
          <w:sz w:val="22"/>
          <w:szCs w:val="22"/>
        </w:rPr>
      </w:pPr>
      <w:r w:rsidRPr="008742E9">
        <w:rPr>
          <w:sz w:val="22"/>
          <w:szCs w:val="22"/>
        </w:rPr>
        <w:t>По количеству конноспортивных организаций Нижний Новг</w:t>
      </w:r>
      <w:r w:rsidRPr="008742E9">
        <w:rPr>
          <w:sz w:val="22"/>
          <w:szCs w:val="22"/>
        </w:rPr>
        <w:t>о</w:t>
      </w:r>
      <w:r w:rsidRPr="008742E9">
        <w:rPr>
          <w:sz w:val="22"/>
          <w:szCs w:val="22"/>
        </w:rPr>
        <w:t>род превышает показатель г. Краснодара более чем в 2 раза – их 9. Это -КК «Аллюр», КСК «Тимуровец», КК «Крейзи-пони», КК «Центавр», КСК «Аллюр», КСК «Станица Вольная», КСК «Па</w:t>
      </w:r>
      <w:r w:rsidRPr="008742E9">
        <w:rPr>
          <w:sz w:val="22"/>
          <w:szCs w:val="22"/>
        </w:rPr>
        <w:t>с</w:t>
      </w:r>
      <w:r w:rsidRPr="008742E9">
        <w:rPr>
          <w:sz w:val="22"/>
          <w:szCs w:val="22"/>
        </w:rPr>
        <w:t>саж», МБОУ «СДЮШОР по современному пятиборью и конному спорту», ОАО «Нижегородский ипподром».</w:t>
      </w:r>
    </w:p>
    <w:p w:rsidR="008742E9" w:rsidRPr="008742E9" w:rsidRDefault="008742E9" w:rsidP="000D5F55">
      <w:pPr>
        <w:ind w:firstLine="426"/>
        <w:jc w:val="both"/>
        <w:rPr>
          <w:sz w:val="22"/>
          <w:szCs w:val="22"/>
        </w:rPr>
      </w:pPr>
      <w:r w:rsidRPr="008742E9">
        <w:rPr>
          <w:sz w:val="22"/>
          <w:szCs w:val="22"/>
        </w:rPr>
        <w:t>В современных экономических условиях многие конноспо</w:t>
      </w:r>
      <w:r w:rsidRPr="008742E9">
        <w:rPr>
          <w:sz w:val="22"/>
          <w:szCs w:val="22"/>
        </w:rPr>
        <w:t>р</w:t>
      </w:r>
      <w:r w:rsidRPr="008742E9">
        <w:rPr>
          <w:sz w:val="22"/>
          <w:szCs w:val="22"/>
        </w:rPr>
        <w:t>тивные клубы помимо основной специализации занимаются разн</w:t>
      </w:r>
      <w:r w:rsidRPr="008742E9">
        <w:rPr>
          <w:sz w:val="22"/>
          <w:szCs w:val="22"/>
        </w:rPr>
        <w:t>о</w:t>
      </w:r>
      <w:r w:rsidRPr="008742E9">
        <w:rPr>
          <w:sz w:val="22"/>
          <w:szCs w:val="22"/>
        </w:rPr>
        <w:t>сторонней деятельностью для поддержания своего финансового с</w:t>
      </w:r>
      <w:r w:rsidRPr="008742E9">
        <w:rPr>
          <w:sz w:val="22"/>
          <w:szCs w:val="22"/>
        </w:rPr>
        <w:t>о</w:t>
      </w:r>
      <w:r w:rsidRPr="008742E9">
        <w:rPr>
          <w:sz w:val="22"/>
          <w:szCs w:val="22"/>
        </w:rPr>
        <w:t>стояния. Все конноспортивные организации Краснодара и</w:t>
      </w:r>
      <w:r w:rsidRPr="008742E9">
        <w:rPr>
          <w:rFonts w:ascii="Calibri" w:hAnsi="Calibri"/>
          <w:sz w:val="22"/>
          <w:szCs w:val="22"/>
        </w:rPr>
        <w:t xml:space="preserve"> </w:t>
      </w:r>
      <w:r w:rsidRPr="008742E9">
        <w:rPr>
          <w:sz w:val="22"/>
          <w:szCs w:val="22"/>
        </w:rPr>
        <w:t>Нижнего Новгорода занимаются прокатом. Это позволяет получать дополн</w:t>
      </w:r>
      <w:r w:rsidRPr="008742E9">
        <w:rPr>
          <w:sz w:val="22"/>
          <w:szCs w:val="22"/>
        </w:rPr>
        <w:t>и</w:t>
      </w:r>
      <w:r w:rsidRPr="008742E9">
        <w:rPr>
          <w:sz w:val="22"/>
          <w:szCs w:val="22"/>
        </w:rPr>
        <w:t>тельный доход и служит способом популяризации отрасли.</w:t>
      </w:r>
      <w:r w:rsidRPr="008742E9">
        <w:rPr>
          <w:rFonts w:ascii="Calibri" w:hAnsi="Calibri"/>
          <w:sz w:val="22"/>
          <w:szCs w:val="22"/>
        </w:rPr>
        <w:t xml:space="preserve"> </w:t>
      </w:r>
      <w:r w:rsidRPr="008742E9">
        <w:rPr>
          <w:sz w:val="22"/>
          <w:szCs w:val="22"/>
        </w:rPr>
        <w:t>Иппот</w:t>
      </w:r>
      <w:r w:rsidRPr="008742E9">
        <w:rPr>
          <w:sz w:val="22"/>
          <w:szCs w:val="22"/>
        </w:rPr>
        <w:t>е</w:t>
      </w:r>
      <w:r w:rsidRPr="008742E9">
        <w:rPr>
          <w:sz w:val="22"/>
          <w:szCs w:val="22"/>
        </w:rPr>
        <w:t>рапию или лечебную верховую езду в г. Краснодаре практикуют 3 из 4 КСК или 75%, в Нижнем Новгороде ей занимаются 44% кл</w:t>
      </w:r>
      <w:r w:rsidRPr="008742E9">
        <w:rPr>
          <w:sz w:val="22"/>
          <w:szCs w:val="22"/>
        </w:rPr>
        <w:t>у</w:t>
      </w:r>
      <w:r w:rsidRPr="008742E9">
        <w:rPr>
          <w:sz w:val="22"/>
          <w:szCs w:val="22"/>
        </w:rPr>
        <w:t>бов.</w:t>
      </w:r>
      <w:r w:rsidRPr="008742E9">
        <w:rPr>
          <w:rFonts w:ascii="Calibri" w:hAnsi="Calibri"/>
          <w:sz w:val="22"/>
          <w:szCs w:val="22"/>
        </w:rPr>
        <w:t xml:space="preserve"> </w:t>
      </w:r>
      <w:r w:rsidRPr="008742E9">
        <w:rPr>
          <w:sz w:val="22"/>
          <w:szCs w:val="22"/>
        </w:rPr>
        <w:t>Высоко востребовано среди оказываемых услуг обучение ве</w:t>
      </w:r>
      <w:r w:rsidRPr="008742E9">
        <w:rPr>
          <w:sz w:val="22"/>
          <w:szCs w:val="22"/>
        </w:rPr>
        <w:t>р</w:t>
      </w:r>
      <w:r w:rsidRPr="008742E9">
        <w:rPr>
          <w:sz w:val="22"/>
          <w:szCs w:val="22"/>
        </w:rPr>
        <w:t>ховой езде. В г Краснодаре ей занимаются 75% клубов, в Нижнем Новгороде – 100%. Дополнительным видом деятельности является аренда денников. В г. Краснодар денники сдаются во всех клубах, в г.</w:t>
      </w:r>
      <w:r w:rsidRPr="008742E9">
        <w:rPr>
          <w:rFonts w:ascii="Calibri" w:hAnsi="Calibri"/>
          <w:sz w:val="22"/>
          <w:szCs w:val="22"/>
        </w:rPr>
        <w:t xml:space="preserve"> </w:t>
      </w:r>
      <w:r w:rsidRPr="008742E9">
        <w:rPr>
          <w:sz w:val="22"/>
          <w:szCs w:val="22"/>
        </w:rPr>
        <w:t>Нижний Новгород доля клубов предоставляющих данную услугу составляет 88 %.</w:t>
      </w:r>
    </w:p>
    <w:p w:rsidR="008742E9" w:rsidRPr="008742E9" w:rsidRDefault="008742E9" w:rsidP="000D5F55">
      <w:pPr>
        <w:ind w:firstLine="426"/>
        <w:jc w:val="both"/>
        <w:rPr>
          <w:sz w:val="22"/>
          <w:szCs w:val="22"/>
        </w:rPr>
      </w:pPr>
      <w:r w:rsidRPr="008742E9">
        <w:rPr>
          <w:sz w:val="22"/>
          <w:szCs w:val="22"/>
        </w:rPr>
        <w:t>Наиболее массовым и популярным видом непроизводственного использования лошадей является конный спорт. Среди видов ко</w:t>
      </w:r>
      <w:r w:rsidRPr="008742E9">
        <w:rPr>
          <w:sz w:val="22"/>
          <w:szCs w:val="22"/>
        </w:rPr>
        <w:t>н</w:t>
      </w:r>
      <w:r w:rsidRPr="008742E9">
        <w:rPr>
          <w:sz w:val="22"/>
          <w:szCs w:val="22"/>
        </w:rPr>
        <w:t>ного спорта первое место по распространению в Краснодаре зан</w:t>
      </w:r>
      <w:r w:rsidRPr="008742E9">
        <w:rPr>
          <w:sz w:val="22"/>
          <w:szCs w:val="22"/>
        </w:rPr>
        <w:t>и</w:t>
      </w:r>
      <w:r w:rsidRPr="008742E9">
        <w:rPr>
          <w:sz w:val="22"/>
          <w:szCs w:val="22"/>
        </w:rPr>
        <w:t>мает конкур – им занимаются во всех учтенных организациях, на втором месте выездка – 75% клубов, далее следуют другие виды конного спорта и испытаний (такие как вольтижировка, джигито</w:t>
      </w:r>
      <w:r w:rsidRPr="008742E9">
        <w:rPr>
          <w:sz w:val="22"/>
          <w:szCs w:val="22"/>
        </w:rPr>
        <w:t>в</w:t>
      </w:r>
      <w:r w:rsidRPr="008742E9">
        <w:rPr>
          <w:sz w:val="22"/>
          <w:szCs w:val="22"/>
        </w:rPr>
        <w:t>ка, бега, скачки) – 50% клубов, менее распространено троеборье – 25%.</w:t>
      </w:r>
    </w:p>
    <w:p w:rsidR="008742E9" w:rsidRPr="008742E9" w:rsidRDefault="008742E9" w:rsidP="000D5F55">
      <w:pPr>
        <w:ind w:firstLine="426"/>
        <w:jc w:val="both"/>
        <w:rPr>
          <w:sz w:val="22"/>
          <w:szCs w:val="22"/>
        </w:rPr>
      </w:pPr>
      <w:r w:rsidRPr="008742E9">
        <w:rPr>
          <w:sz w:val="22"/>
          <w:szCs w:val="22"/>
        </w:rPr>
        <w:t>Об уровне развития отрасли можно судить по численности п</w:t>
      </w:r>
      <w:r w:rsidRPr="008742E9">
        <w:rPr>
          <w:sz w:val="22"/>
          <w:szCs w:val="22"/>
        </w:rPr>
        <w:t>о</w:t>
      </w:r>
      <w:r w:rsidRPr="008742E9">
        <w:rPr>
          <w:sz w:val="22"/>
          <w:szCs w:val="22"/>
        </w:rPr>
        <w:t>головья лошадей и породной принадлежности животных.</w:t>
      </w:r>
    </w:p>
    <w:p w:rsidR="008742E9" w:rsidRPr="008742E9" w:rsidRDefault="008742E9" w:rsidP="000D5F55">
      <w:pPr>
        <w:ind w:firstLine="426"/>
        <w:jc w:val="both"/>
        <w:rPr>
          <w:sz w:val="22"/>
          <w:szCs w:val="22"/>
        </w:rPr>
      </w:pPr>
      <w:r w:rsidRPr="008742E9">
        <w:rPr>
          <w:sz w:val="22"/>
          <w:szCs w:val="22"/>
        </w:rPr>
        <w:t>Породный состав конноспортивных клубов г Краснодара и Нижнего Новгорода насчитывает 26 пород. Наиболее распростр</w:t>
      </w:r>
      <w:r w:rsidRPr="008742E9">
        <w:rPr>
          <w:sz w:val="22"/>
          <w:szCs w:val="22"/>
        </w:rPr>
        <w:t>а</w:t>
      </w:r>
      <w:r w:rsidRPr="008742E9">
        <w:rPr>
          <w:sz w:val="22"/>
          <w:szCs w:val="22"/>
        </w:rPr>
        <w:lastRenderedPageBreak/>
        <w:t>ненной породой лошадей является тракененская. Ее доля составляет 31 и 16 % соответственно. Популярность породы объясняется ее универсальностью, работоспособностью, нарядным экстерьером. На втором месте среди пород в г. Краснодаре шетлендский пони – 10%, в Нижнем Новгороде - русская рысистая порода – 18,8%. Знач</w:t>
      </w:r>
      <w:r w:rsidRPr="008742E9">
        <w:rPr>
          <w:sz w:val="22"/>
          <w:szCs w:val="22"/>
        </w:rPr>
        <w:t>и</w:t>
      </w:r>
      <w:r w:rsidRPr="008742E9">
        <w:rPr>
          <w:sz w:val="22"/>
          <w:szCs w:val="22"/>
        </w:rPr>
        <w:t>тельную долю конского поголовья составляют беспородные лошади и помеси 17,9 и 14,2% соответственно. Достаточно широко в обоих регионах представлены такие породы как буденовская, орловская рысистая, тяжеловозы.</w:t>
      </w:r>
    </w:p>
    <w:p w:rsidR="008742E9" w:rsidRPr="008742E9" w:rsidRDefault="008742E9" w:rsidP="000D5F55">
      <w:pPr>
        <w:ind w:firstLine="426"/>
        <w:jc w:val="both"/>
        <w:rPr>
          <w:sz w:val="22"/>
          <w:szCs w:val="22"/>
        </w:rPr>
      </w:pPr>
      <w:r w:rsidRPr="008742E9">
        <w:rPr>
          <w:sz w:val="22"/>
          <w:szCs w:val="22"/>
        </w:rPr>
        <w:t>Общая численность лошадей в Краснодаре составила 179 г</w:t>
      </w:r>
      <w:r w:rsidRPr="008742E9">
        <w:rPr>
          <w:sz w:val="22"/>
          <w:szCs w:val="22"/>
        </w:rPr>
        <w:t>о</w:t>
      </w:r>
      <w:r w:rsidRPr="008742E9">
        <w:rPr>
          <w:sz w:val="22"/>
          <w:szCs w:val="22"/>
        </w:rPr>
        <w:t>лов, в г.</w:t>
      </w:r>
      <w:r w:rsidRPr="008742E9">
        <w:rPr>
          <w:rFonts w:ascii="Calibri" w:hAnsi="Calibri"/>
          <w:sz w:val="22"/>
          <w:szCs w:val="22"/>
        </w:rPr>
        <w:t xml:space="preserve"> </w:t>
      </w:r>
      <w:r w:rsidRPr="008742E9">
        <w:rPr>
          <w:sz w:val="22"/>
          <w:szCs w:val="22"/>
        </w:rPr>
        <w:t>Нижний Новгород 317. Средний размер численности пог</w:t>
      </w:r>
      <w:r w:rsidRPr="008742E9">
        <w:rPr>
          <w:sz w:val="22"/>
          <w:szCs w:val="22"/>
        </w:rPr>
        <w:t>о</w:t>
      </w:r>
      <w:r w:rsidRPr="008742E9">
        <w:rPr>
          <w:sz w:val="22"/>
          <w:szCs w:val="22"/>
        </w:rPr>
        <w:t>ловья в конноспортивных клубах составил 45 и 35 голов соотве</w:t>
      </w:r>
      <w:r w:rsidRPr="008742E9">
        <w:rPr>
          <w:sz w:val="22"/>
          <w:szCs w:val="22"/>
        </w:rPr>
        <w:t>т</w:t>
      </w:r>
      <w:r w:rsidRPr="008742E9">
        <w:rPr>
          <w:sz w:val="22"/>
          <w:szCs w:val="22"/>
        </w:rPr>
        <w:t>ственно.</w:t>
      </w:r>
    </w:p>
    <w:p w:rsidR="008742E9" w:rsidRPr="008742E9" w:rsidRDefault="008742E9" w:rsidP="000D5F55">
      <w:pPr>
        <w:ind w:firstLine="426"/>
        <w:jc w:val="both"/>
        <w:rPr>
          <w:sz w:val="22"/>
          <w:szCs w:val="22"/>
        </w:rPr>
      </w:pPr>
      <w:r w:rsidRPr="008742E9">
        <w:rPr>
          <w:sz w:val="22"/>
          <w:szCs w:val="22"/>
        </w:rPr>
        <w:t>Изучая половозрастной состав поголовья в обеих городах пр</w:t>
      </w:r>
      <w:r w:rsidRPr="008742E9">
        <w:rPr>
          <w:sz w:val="22"/>
          <w:szCs w:val="22"/>
        </w:rPr>
        <w:t>о</w:t>
      </w:r>
      <w:r w:rsidRPr="008742E9">
        <w:rPr>
          <w:sz w:val="22"/>
          <w:szCs w:val="22"/>
        </w:rPr>
        <w:t>центное соотношение приблизительно равно, так наиболее распр</w:t>
      </w:r>
      <w:r w:rsidRPr="008742E9">
        <w:rPr>
          <w:sz w:val="22"/>
          <w:szCs w:val="22"/>
        </w:rPr>
        <w:t>о</w:t>
      </w:r>
      <w:r w:rsidRPr="008742E9">
        <w:rPr>
          <w:sz w:val="22"/>
          <w:szCs w:val="22"/>
        </w:rPr>
        <w:t>страненным возрастным промежутком использования лошадей я</w:t>
      </w:r>
      <w:r w:rsidRPr="008742E9">
        <w:rPr>
          <w:sz w:val="22"/>
          <w:szCs w:val="22"/>
        </w:rPr>
        <w:t>в</w:t>
      </w:r>
      <w:r w:rsidRPr="008742E9">
        <w:rPr>
          <w:sz w:val="22"/>
          <w:szCs w:val="22"/>
        </w:rPr>
        <w:t>ляется 7-9 лет и продолжается до 15 лет, это связано с тем, что всадникам до 18 лет запрещено выступать на лошадях моложе 6 лет. В половом соотношении лидирующую строчку занимают м</w:t>
      </w:r>
      <w:r w:rsidRPr="008742E9">
        <w:rPr>
          <w:sz w:val="22"/>
          <w:szCs w:val="22"/>
        </w:rPr>
        <w:t>е</w:t>
      </w:r>
      <w:r w:rsidRPr="008742E9">
        <w:rPr>
          <w:sz w:val="22"/>
          <w:szCs w:val="22"/>
        </w:rPr>
        <w:t>рины, затем кобылы и меньше всего жеребцов. Разницы в этом плане между Краснодаром и Нижним Новгородом нет.</w:t>
      </w:r>
    </w:p>
    <w:p w:rsidR="008742E9" w:rsidRPr="008742E9" w:rsidRDefault="008742E9" w:rsidP="002F4F62">
      <w:pPr>
        <w:ind w:firstLine="426"/>
        <w:jc w:val="both"/>
        <w:rPr>
          <w:sz w:val="22"/>
          <w:szCs w:val="22"/>
        </w:rPr>
      </w:pPr>
      <w:r w:rsidRPr="008742E9">
        <w:rPr>
          <w:sz w:val="22"/>
          <w:szCs w:val="22"/>
        </w:rPr>
        <w:t>Установленные региональные особенности отрасли конево</w:t>
      </w:r>
      <w:r w:rsidRPr="008742E9">
        <w:rPr>
          <w:sz w:val="22"/>
          <w:szCs w:val="22"/>
        </w:rPr>
        <w:t>д</w:t>
      </w:r>
      <w:r w:rsidRPr="008742E9">
        <w:rPr>
          <w:sz w:val="22"/>
          <w:szCs w:val="22"/>
        </w:rPr>
        <w:t>ства зависят от различных факторов, в том числе предпочтения п</w:t>
      </w:r>
      <w:r w:rsidRPr="008742E9">
        <w:rPr>
          <w:sz w:val="22"/>
          <w:szCs w:val="22"/>
        </w:rPr>
        <w:t>о</w:t>
      </w:r>
      <w:r w:rsidRPr="008742E9">
        <w:rPr>
          <w:sz w:val="22"/>
          <w:szCs w:val="22"/>
        </w:rPr>
        <w:t>требителей и владельцев, экономической ситуации в регионе, тр</w:t>
      </w:r>
      <w:r w:rsidRPr="008742E9">
        <w:rPr>
          <w:sz w:val="22"/>
          <w:szCs w:val="22"/>
        </w:rPr>
        <w:t>а</w:t>
      </w:r>
      <w:r w:rsidRPr="008742E9">
        <w:rPr>
          <w:sz w:val="22"/>
          <w:szCs w:val="22"/>
        </w:rPr>
        <w:t>диций и др. Для успешного развития коневодства необходим целый ряд условий, среди которых основные  – наличие кормовых угодий, использование новых научно обоснованных технологий конево</w:t>
      </w:r>
      <w:r w:rsidRPr="008742E9">
        <w:rPr>
          <w:sz w:val="22"/>
          <w:szCs w:val="22"/>
        </w:rPr>
        <w:t>д</w:t>
      </w:r>
      <w:r w:rsidRPr="008742E9">
        <w:rPr>
          <w:sz w:val="22"/>
          <w:szCs w:val="22"/>
        </w:rPr>
        <w:t>ства, а также экономическая поддержка отрасли государством [2].</w:t>
      </w:r>
    </w:p>
    <w:p w:rsidR="003435E2" w:rsidRDefault="003435E2" w:rsidP="000D5F55">
      <w:pPr>
        <w:ind w:firstLine="426"/>
        <w:jc w:val="center"/>
        <w:rPr>
          <w:sz w:val="22"/>
          <w:szCs w:val="22"/>
        </w:rPr>
      </w:pPr>
    </w:p>
    <w:p w:rsidR="008742E9" w:rsidRPr="008742E9" w:rsidRDefault="008742E9" w:rsidP="000D5F55">
      <w:pPr>
        <w:ind w:firstLine="426"/>
        <w:jc w:val="center"/>
        <w:rPr>
          <w:sz w:val="22"/>
          <w:szCs w:val="22"/>
        </w:rPr>
      </w:pPr>
      <w:r w:rsidRPr="008742E9">
        <w:rPr>
          <w:sz w:val="22"/>
          <w:szCs w:val="22"/>
        </w:rPr>
        <w:t>Список литературы</w:t>
      </w:r>
    </w:p>
    <w:p w:rsidR="008742E9" w:rsidRPr="008742E9" w:rsidRDefault="008742E9" w:rsidP="000D5F55">
      <w:pPr>
        <w:ind w:firstLine="426"/>
        <w:jc w:val="both"/>
        <w:rPr>
          <w:sz w:val="22"/>
          <w:szCs w:val="22"/>
        </w:rPr>
      </w:pPr>
      <w:r w:rsidRPr="008742E9">
        <w:rPr>
          <w:sz w:val="22"/>
          <w:szCs w:val="22"/>
        </w:rPr>
        <w:t>1. Дикарев, А.Г. Перспективное направление коневодства [Текст] / А. Г. Дикарев // Научное обеспечение агропромышленного комплекса : сб. ст. по материалам 71-й научо-практ. конф. препод</w:t>
      </w:r>
      <w:r w:rsidRPr="008742E9">
        <w:rPr>
          <w:sz w:val="22"/>
          <w:szCs w:val="22"/>
        </w:rPr>
        <w:t>а</w:t>
      </w:r>
      <w:r w:rsidRPr="008742E9">
        <w:rPr>
          <w:sz w:val="22"/>
          <w:szCs w:val="22"/>
        </w:rPr>
        <w:t>вателей по итогам НИР за 2015 год / отв. за вып. А. Г. Кощаев. – Краснодар : КубГАУ, 2016. - С. 172-173.</w:t>
      </w:r>
    </w:p>
    <w:p w:rsidR="008742E9" w:rsidRPr="008742E9" w:rsidRDefault="008742E9" w:rsidP="000D5F55">
      <w:pPr>
        <w:ind w:firstLine="426"/>
        <w:jc w:val="both"/>
        <w:rPr>
          <w:sz w:val="22"/>
          <w:szCs w:val="22"/>
        </w:rPr>
      </w:pPr>
      <w:r w:rsidRPr="008742E9">
        <w:rPr>
          <w:sz w:val="22"/>
          <w:szCs w:val="22"/>
        </w:rPr>
        <w:t>2. Блинков, М.С. Современное состояние коневодства в Кра</w:t>
      </w:r>
      <w:r w:rsidRPr="008742E9">
        <w:rPr>
          <w:sz w:val="22"/>
          <w:szCs w:val="22"/>
        </w:rPr>
        <w:t>с</w:t>
      </w:r>
      <w:r w:rsidRPr="008742E9">
        <w:rPr>
          <w:sz w:val="22"/>
          <w:szCs w:val="22"/>
        </w:rPr>
        <w:t>нодарском крае / М.С. Блинков, А.Г. Дикарев. - Научное обеспеч</w:t>
      </w:r>
      <w:r w:rsidRPr="008742E9">
        <w:rPr>
          <w:sz w:val="22"/>
          <w:szCs w:val="22"/>
        </w:rPr>
        <w:t>е</w:t>
      </w:r>
      <w:r w:rsidRPr="008742E9">
        <w:rPr>
          <w:sz w:val="22"/>
          <w:szCs w:val="22"/>
        </w:rPr>
        <w:t>ние агропромышленного комплекса : сб. ст. по материалам Х Вс</w:t>
      </w:r>
      <w:r w:rsidRPr="008742E9">
        <w:rPr>
          <w:sz w:val="22"/>
          <w:szCs w:val="22"/>
        </w:rPr>
        <w:t>е</w:t>
      </w:r>
      <w:r w:rsidRPr="008742E9">
        <w:rPr>
          <w:sz w:val="22"/>
          <w:szCs w:val="22"/>
        </w:rPr>
        <w:lastRenderedPageBreak/>
        <w:t>российской конференции молодых ученых, посвященной 120-летию И. С. Косенко / отв. за вып. А. Г. Кощаев. – Краснодар : КубГАУ, 2017. - С. 145-146.</w:t>
      </w:r>
    </w:p>
    <w:p w:rsidR="000D5F55" w:rsidRDefault="000D5F55" w:rsidP="008742E9">
      <w:pPr>
        <w:rPr>
          <w:rFonts w:eastAsia="Calibri"/>
          <w:sz w:val="24"/>
          <w:szCs w:val="24"/>
        </w:rPr>
      </w:pPr>
    </w:p>
    <w:p w:rsidR="000D5F55" w:rsidRDefault="000D5F55" w:rsidP="008742E9">
      <w:pPr>
        <w:rPr>
          <w:rFonts w:eastAsia="Calibri"/>
          <w:sz w:val="24"/>
          <w:szCs w:val="24"/>
        </w:rPr>
      </w:pPr>
    </w:p>
    <w:p w:rsidR="000D5F55" w:rsidRDefault="000D5F55" w:rsidP="008742E9">
      <w:pPr>
        <w:rPr>
          <w:rFonts w:eastAsia="Calibri"/>
          <w:sz w:val="24"/>
          <w:szCs w:val="24"/>
        </w:rPr>
      </w:pPr>
    </w:p>
    <w:p w:rsidR="008742E9" w:rsidRPr="000D5F55" w:rsidRDefault="008742E9" w:rsidP="008742E9">
      <w:pPr>
        <w:rPr>
          <w:rFonts w:eastAsia="Calibri"/>
          <w:sz w:val="22"/>
          <w:szCs w:val="22"/>
        </w:rPr>
      </w:pPr>
      <w:r w:rsidRPr="000D5F55">
        <w:rPr>
          <w:rFonts w:eastAsia="Calibri"/>
          <w:sz w:val="22"/>
          <w:szCs w:val="22"/>
        </w:rPr>
        <w:t>УДК 636.2.082.454</w:t>
      </w:r>
    </w:p>
    <w:p w:rsidR="008742E9" w:rsidRPr="000D5F55" w:rsidRDefault="008742E9" w:rsidP="008742E9">
      <w:pPr>
        <w:rPr>
          <w:rFonts w:eastAsia="Calibri"/>
          <w:sz w:val="22"/>
          <w:szCs w:val="22"/>
        </w:rPr>
      </w:pPr>
    </w:p>
    <w:p w:rsidR="008742E9" w:rsidRPr="008742E9" w:rsidRDefault="008742E9" w:rsidP="008742E9">
      <w:pPr>
        <w:jc w:val="center"/>
        <w:rPr>
          <w:rFonts w:eastAsia="Calibri"/>
          <w:b/>
          <w:sz w:val="24"/>
          <w:szCs w:val="24"/>
        </w:rPr>
      </w:pPr>
      <w:r w:rsidRPr="008742E9">
        <w:rPr>
          <w:rFonts w:eastAsia="Calibri"/>
          <w:b/>
          <w:sz w:val="24"/>
          <w:szCs w:val="24"/>
        </w:rPr>
        <w:t>Получение эмбрионов от коров и телок-доноров</w:t>
      </w:r>
    </w:p>
    <w:p w:rsidR="008742E9" w:rsidRPr="00024398" w:rsidRDefault="008742E9" w:rsidP="008742E9">
      <w:pPr>
        <w:jc w:val="center"/>
        <w:rPr>
          <w:rFonts w:eastAsia="Calibri"/>
          <w:b/>
          <w:sz w:val="24"/>
          <w:szCs w:val="24"/>
          <w:lang w:val="en-US"/>
        </w:rPr>
      </w:pPr>
      <w:r w:rsidRPr="008742E9">
        <w:rPr>
          <w:rFonts w:eastAsia="Calibri"/>
          <w:b/>
          <w:sz w:val="24"/>
          <w:szCs w:val="24"/>
          <w:lang w:val="en-US"/>
        </w:rPr>
        <w:t>Obtaining embryos from cows and heifers</w:t>
      </w:r>
    </w:p>
    <w:p w:rsidR="000D5F55" w:rsidRPr="00024398" w:rsidRDefault="000D5F55" w:rsidP="008742E9">
      <w:pPr>
        <w:jc w:val="center"/>
        <w:rPr>
          <w:rFonts w:eastAsia="Calibri"/>
          <w:b/>
          <w:sz w:val="22"/>
          <w:szCs w:val="22"/>
          <w:lang w:val="en-US"/>
        </w:rPr>
      </w:pPr>
    </w:p>
    <w:p w:rsidR="008742E9" w:rsidRPr="000D5F55" w:rsidRDefault="000D5F55" w:rsidP="008742E9">
      <w:pPr>
        <w:jc w:val="right"/>
        <w:rPr>
          <w:rFonts w:eastAsia="Calibri"/>
          <w:sz w:val="22"/>
          <w:szCs w:val="22"/>
        </w:rPr>
      </w:pPr>
      <w:r>
        <w:rPr>
          <w:rFonts w:eastAsia="Calibri"/>
          <w:sz w:val="22"/>
          <w:szCs w:val="22"/>
        </w:rPr>
        <w:t>Нимбона К.,</w:t>
      </w:r>
    </w:p>
    <w:p w:rsidR="008742E9" w:rsidRPr="000D5F55" w:rsidRDefault="008742E9" w:rsidP="008742E9">
      <w:pPr>
        <w:jc w:val="right"/>
        <w:rPr>
          <w:rFonts w:eastAsia="Calibri"/>
          <w:sz w:val="22"/>
          <w:szCs w:val="22"/>
        </w:rPr>
      </w:pPr>
      <w:r w:rsidRPr="000D5F55">
        <w:rPr>
          <w:rFonts w:eastAsia="Calibri"/>
          <w:sz w:val="22"/>
          <w:szCs w:val="22"/>
        </w:rPr>
        <w:t>магистрант 2-ого курса факультета зоотехнии</w:t>
      </w:r>
    </w:p>
    <w:p w:rsidR="008742E9" w:rsidRPr="000D5F55" w:rsidRDefault="008742E9" w:rsidP="008742E9">
      <w:pPr>
        <w:jc w:val="right"/>
        <w:rPr>
          <w:rFonts w:eastAsia="Calibri"/>
          <w:sz w:val="22"/>
          <w:szCs w:val="22"/>
        </w:rPr>
      </w:pPr>
      <w:r w:rsidRPr="000D5F55">
        <w:rPr>
          <w:rFonts w:eastAsia="Calibri"/>
          <w:sz w:val="22"/>
          <w:szCs w:val="22"/>
        </w:rPr>
        <w:t>Куликова Н.</w:t>
      </w:r>
      <w:r w:rsidR="000D5F55">
        <w:rPr>
          <w:rFonts w:eastAsia="Calibri"/>
          <w:sz w:val="22"/>
          <w:szCs w:val="22"/>
        </w:rPr>
        <w:t xml:space="preserve"> </w:t>
      </w:r>
      <w:r w:rsidRPr="000D5F55">
        <w:rPr>
          <w:rFonts w:eastAsia="Calibri"/>
          <w:sz w:val="22"/>
          <w:szCs w:val="22"/>
        </w:rPr>
        <w:t>И.</w:t>
      </w:r>
      <w:r w:rsidR="000D5F55">
        <w:rPr>
          <w:rFonts w:eastAsia="Calibri"/>
          <w:sz w:val="22"/>
          <w:szCs w:val="22"/>
        </w:rPr>
        <w:t>,</w:t>
      </w:r>
    </w:p>
    <w:p w:rsidR="008742E9" w:rsidRPr="000D5F55" w:rsidRDefault="008742E9" w:rsidP="008742E9">
      <w:pPr>
        <w:jc w:val="right"/>
        <w:rPr>
          <w:sz w:val="22"/>
          <w:szCs w:val="22"/>
        </w:rPr>
      </w:pPr>
      <w:r w:rsidRPr="000D5F55">
        <w:rPr>
          <w:sz w:val="22"/>
          <w:szCs w:val="22"/>
        </w:rPr>
        <w:t>профессор кафедры частной зоотехнии и свиноводства,</w:t>
      </w:r>
    </w:p>
    <w:p w:rsidR="008742E9" w:rsidRPr="000D5F55" w:rsidRDefault="008742E9" w:rsidP="008742E9">
      <w:pPr>
        <w:jc w:val="right"/>
        <w:rPr>
          <w:sz w:val="22"/>
          <w:szCs w:val="22"/>
        </w:rPr>
      </w:pPr>
      <w:r w:rsidRPr="000D5F55">
        <w:rPr>
          <w:sz w:val="22"/>
          <w:szCs w:val="22"/>
        </w:rPr>
        <w:t>Куб</w:t>
      </w:r>
      <w:r w:rsidR="000D5F55">
        <w:rPr>
          <w:sz w:val="22"/>
          <w:szCs w:val="22"/>
        </w:rPr>
        <w:t>анский государственный аграрный</w:t>
      </w:r>
    </w:p>
    <w:p w:rsidR="008742E9" w:rsidRPr="000D5F55" w:rsidRDefault="008742E9" w:rsidP="008742E9">
      <w:pPr>
        <w:jc w:val="right"/>
        <w:rPr>
          <w:rFonts w:eastAsia="Calibri"/>
          <w:sz w:val="22"/>
          <w:szCs w:val="22"/>
        </w:rPr>
      </w:pPr>
      <w:r w:rsidRPr="000D5F55">
        <w:rPr>
          <w:sz w:val="22"/>
          <w:szCs w:val="22"/>
        </w:rPr>
        <w:t>университет имени И.</w:t>
      </w:r>
      <w:r w:rsidR="000D5F55">
        <w:rPr>
          <w:sz w:val="22"/>
          <w:szCs w:val="22"/>
        </w:rPr>
        <w:t xml:space="preserve"> </w:t>
      </w:r>
      <w:r w:rsidRPr="000D5F55">
        <w:rPr>
          <w:sz w:val="22"/>
          <w:szCs w:val="22"/>
        </w:rPr>
        <w:t>Т. Трубилина</w:t>
      </w:r>
    </w:p>
    <w:p w:rsidR="008742E9" w:rsidRPr="008742E9" w:rsidRDefault="008742E9" w:rsidP="008742E9">
      <w:pPr>
        <w:rPr>
          <w:rFonts w:eastAsia="Calibri"/>
          <w:sz w:val="22"/>
          <w:szCs w:val="22"/>
        </w:rPr>
      </w:pPr>
    </w:p>
    <w:p w:rsidR="008742E9" w:rsidRPr="008742E9" w:rsidRDefault="008742E9" w:rsidP="000D5F55">
      <w:pPr>
        <w:ind w:firstLine="425"/>
        <w:jc w:val="both"/>
        <w:rPr>
          <w:rFonts w:ascii="Calibri" w:hAnsi="Calibri"/>
          <w:bCs/>
          <w:sz w:val="22"/>
          <w:szCs w:val="22"/>
        </w:rPr>
      </w:pPr>
      <w:r w:rsidRPr="008742E9">
        <w:rPr>
          <w:rFonts w:eastAsia="Calibri"/>
          <w:sz w:val="22"/>
          <w:szCs w:val="22"/>
        </w:rPr>
        <w:t>АННОТАЦИЯ</w:t>
      </w:r>
      <w:r w:rsidR="000D5F55">
        <w:rPr>
          <w:rFonts w:eastAsia="Calibri"/>
          <w:sz w:val="22"/>
          <w:szCs w:val="22"/>
        </w:rPr>
        <w:t>:</w:t>
      </w:r>
      <w:r w:rsidRPr="008742E9">
        <w:rPr>
          <w:rFonts w:eastAsia="Calibri"/>
          <w:sz w:val="22"/>
          <w:szCs w:val="22"/>
        </w:rPr>
        <w:t xml:space="preserve"> Представлены результаты осеменения и пол</w:t>
      </w:r>
      <w:r w:rsidRPr="008742E9">
        <w:rPr>
          <w:rFonts w:eastAsia="Calibri"/>
          <w:sz w:val="22"/>
          <w:szCs w:val="22"/>
        </w:rPr>
        <w:t>у</w:t>
      </w:r>
      <w:r w:rsidRPr="008742E9">
        <w:rPr>
          <w:rFonts w:eastAsia="Calibri"/>
          <w:sz w:val="22"/>
          <w:szCs w:val="22"/>
        </w:rPr>
        <w:t>чения эмбрионов от коров-доноров и телок-доноров в условиях м</w:t>
      </w:r>
      <w:r w:rsidRPr="008742E9">
        <w:rPr>
          <w:rFonts w:eastAsia="Calibri"/>
          <w:sz w:val="22"/>
          <w:szCs w:val="22"/>
        </w:rPr>
        <w:t>о</w:t>
      </w:r>
      <w:r w:rsidRPr="008742E9">
        <w:rPr>
          <w:rFonts w:eastAsia="Calibri"/>
          <w:sz w:val="22"/>
          <w:szCs w:val="22"/>
        </w:rPr>
        <w:t xml:space="preserve">лочной фермы. Приведена методика получения и оценки качества </w:t>
      </w:r>
      <w:r w:rsidRPr="008742E9">
        <w:rPr>
          <w:bCs/>
          <w:sz w:val="22"/>
          <w:szCs w:val="22"/>
        </w:rPr>
        <w:t>эмбрионов, полученных от коров-доноров и телок-доноров.</w:t>
      </w:r>
    </w:p>
    <w:p w:rsidR="008742E9" w:rsidRPr="000D5F55" w:rsidRDefault="008742E9" w:rsidP="000D5F55">
      <w:pPr>
        <w:ind w:firstLine="425"/>
        <w:jc w:val="both"/>
        <w:rPr>
          <w:bCs/>
          <w:sz w:val="22"/>
          <w:szCs w:val="22"/>
          <w:lang w:val="en-US"/>
        </w:rPr>
      </w:pPr>
      <w:r w:rsidRPr="008742E9">
        <w:rPr>
          <w:bCs/>
          <w:sz w:val="22"/>
          <w:szCs w:val="22"/>
          <w:lang w:val="en-US"/>
        </w:rPr>
        <w:t>ABSTRACT</w:t>
      </w:r>
      <w:r w:rsidR="000D5F55" w:rsidRPr="000D5F55">
        <w:rPr>
          <w:bCs/>
          <w:sz w:val="22"/>
          <w:szCs w:val="22"/>
          <w:lang w:val="en-US"/>
        </w:rPr>
        <w:t>:</w:t>
      </w:r>
      <w:r w:rsidRPr="008742E9">
        <w:rPr>
          <w:bCs/>
          <w:sz w:val="22"/>
          <w:szCs w:val="22"/>
          <w:lang w:val="en-US"/>
        </w:rPr>
        <w:t xml:space="preserve"> The results of insemination and embryos collection from donor cows and heifers in the dairy farm conditions are presented. The collection technique and the quality evaluation of embryos obtained from donor cows and heifers are given.</w:t>
      </w:r>
    </w:p>
    <w:p w:rsidR="008742E9" w:rsidRPr="008742E9" w:rsidRDefault="008742E9" w:rsidP="000D5F55">
      <w:pPr>
        <w:ind w:firstLine="425"/>
        <w:jc w:val="both"/>
        <w:rPr>
          <w:bCs/>
          <w:sz w:val="22"/>
          <w:szCs w:val="22"/>
        </w:rPr>
      </w:pPr>
      <w:r w:rsidRPr="008742E9">
        <w:rPr>
          <w:bCs/>
          <w:sz w:val="22"/>
          <w:szCs w:val="22"/>
        </w:rPr>
        <w:t>КЛЮЧЕВЫЕ СЛОВА: телка, корова, донор, эмбрион, осемен</w:t>
      </w:r>
      <w:r w:rsidRPr="008742E9">
        <w:rPr>
          <w:bCs/>
          <w:sz w:val="22"/>
          <w:szCs w:val="22"/>
        </w:rPr>
        <w:t>е</w:t>
      </w:r>
      <w:r w:rsidRPr="008742E9">
        <w:rPr>
          <w:bCs/>
          <w:sz w:val="22"/>
          <w:szCs w:val="22"/>
        </w:rPr>
        <w:t>ние, оценка, методика</w:t>
      </w:r>
    </w:p>
    <w:p w:rsidR="008742E9" w:rsidRPr="008742E9" w:rsidRDefault="008742E9" w:rsidP="000D5F55">
      <w:pPr>
        <w:ind w:firstLine="425"/>
        <w:jc w:val="both"/>
        <w:rPr>
          <w:bCs/>
          <w:sz w:val="22"/>
          <w:szCs w:val="22"/>
          <w:lang w:val="en-US"/>
        </w:rPr>
      </w:pPr>
      <w:r w:rsidRPr="008742E9">
        <w:rPr>
          <w:bCs/>
          <w:sz w:val="22"/>
          <w:szCs w:val="22"/>
          <w:lang w:val="en-US"/>
        </w:rPr>
        <w:t>KEYWORDS: heifer, cow, donor, embryo, insemination, evalu</w:t>
      </w:r>
      <w:r w:rsidRPr="008742E9">
        <w:rPr>
          <w:bCs/>
          <w:sz w:val="22"/>
          <w:szCs w:val="22"/>
          <w:lang w:val="en-US"/>
        </w:rPr>
        <w:t>a</w:t>
      </w:r>
      <w:r w:rsidRPr="008742E9">
        <w:rPr>
          <w:bCs/>
          <w:sz w:val="22"/>
          <w:szCs w:val="22"/>
          <w:lang w:val="en-US"/>
        </w:rPr>
        <w:t>tion, methodology</w:t>
      </w:r>
    </w:p>
    <w:p w:rsidR="008742E9" w:rsidRPr="008742E9" w:rsidRDefault="008742E9" w:rsidP="000D5F55">
      <w:pPr>
        <w:ind w:firstLine="425"/>
        <w:jc w:val="both"/>
        <w:rPr>
          <w:bCs/>
          <w:sz w:val="22"/>
          <w:szCs w:val="22"/>
        </w:rPr>
      </w:pPr>
      <w:r w:rsidRPr="008742E9">
        <w:rPr>
          <w:bCs/>
          <w:sz w:val="22"/>
          <w:szCs w:val="22"/>
        </w:rPr>
        <w:t>Статистика показывает, что с увеличением молочной проду</w:t>
      </w:r>
      <w:r w:rsidRPr="008742E9">
        <w:rPr>
          <w:bCs/>
          <w:sz w:val="22"/>
          <w:szCs w:val="22"/>
        </w:rPr>
        <w:t>к</w:t>
      </w:r>
      <w:r w:rsidRPr="008742E9">
        <w:rPr>
          <w:bCs/>
          <w:sz w:val="22"/>
          <w:szCs w:val="22"/>
        </w:rPr>
        <w:t>тивности снижаются воспроизводительные функции у коров [2]. За рубежом в странах с развитым молочным скотоводством широко используется метод трансплантации эмбрионов [1]. В России созд</w:t>
      </w:r>
      <w:r w:rsidRPr="008742E9">
        <w:rPr>
          <w:bCs/>
          <w:sz w:val="22"/>
          <w:szCs w:val="22"/>
        </w:rPr>
        <w:t>а</w:t>
      </w:r>
      <w:r w:rsidRPr="008742E9">
        <w:rPr>
          <w:bCs/>
          <w:sz w:val="22"/>
          <w:szCs w:val="22"/>
        </w:rPr>
        <w:t xml:space="preserve">ны центры трансплантации, однако широкого внедрения данной методики пока нет. В </w:t>
      </w:r>
      <w:r w:rsidRPr="008742E9">
        <w:rPr>
          <w:color w:val="000000"/>
          <w:sz w:val="22"/>
          <w:szCs w:val="22"/>
        </w:rPr>
        <w:t>«</w:t>
      </w:r>
      <w:r w:rsidRPr="008742E9">
        <w:rPr>
          <w:bCs/>
          <w:sz w:val="22"/>
          <w:szCs w:val="22"/>
        </w:rPr>
        <w:t>АО Агрообъединенние «Кубань» Усть-Лабинского района</w:t>
      </w:r>
      <w:r w:rsidRPr="008742E9">
        <w:rPr>
          <w:color w:val="000000"/>
          <w:sz w:val="22"/>
          <w:szCs w:val="22"/>
        </w:rPr>
        <w:t xml:space="preserve">» Краснодарского края с 2014 г. начата работа по </w:t>
      </w:r>
      <w:r w:rsidRPr="008742E9">
        <w:rPr>
          <w:color w:val="000000"/>
          <w:sz w:val="22"/>
          <w:szCs w:val="22"/>
        </w:rPr>
        <w:lastRenderedPageBreak/>
        <w:t>отбору доноров и реципиентов в собственном стаде, освоению и внедрению методики трансплантации эмбрионов от высокопроду</w:t>
      </w:r>
      <w:r w:rsidRPr="008742E9">
        <w:rPr>
          <w:color w:val="000000"/>
          <w:sz w:val="22"/>
          <w:szCs w:val="22"/>
        </w:rPr>
        <w:t>к</w:t>
      </w:r>
      <w:r w:rsidRPr="008742E9">
        <w:rPr>
          <w:color w:val="000000"/>
          <w:sz w:val="22"/>
          <w:szCs w:val="22"/>
        </w:rPr>
        <w:t>тивных животных. Общепринято в качестве доноров использовать взрослых коров, которых в современных стадах не достаточно для жесткого их отбора в связи с ранним выбытием поголовья [2,3]. П</w:t>
      </w:r>
      <w:r w:rsidRPr="008742E9">
        <w:rPr>
          <w:color w:val="000000"/>
          <w:sz w:val="22"/>
          <w:szCs w:val="22"/>
        </w:rPr>
        <w:t>о</w:t>
      </w:r>
      <w:r w:rsidRPr="008742E9">
        <w:rPr>
          <w:color w:val="000000"/>
          <w:sz w:val="22"/>
          <w:szCs w:val="22"/>
        </w:rPr>
        <w:t>этому появилась необходимость использовать в качестве доноров телок, достигших хозяйственной зрелости. В период с 20 января по 5 сентября 2017г. в качестве доноров использовали 10 коров и 25 телок. Донорами-отцами стали быки Твикс, Ундадо, Визионари, Тайзер и Бигут. Наибольшее количество телок – 23 и 2 коровы ос</w:t>
      </w:r>
      <w:r w:rsidRPr="008742E9">
        <w:rPr>
          <w:color w:val="000000"/>
          <w:sz w:val="22"/>
          <w:szCs w:val="22"/>
        </w:rPr>
        <w:t>е</w:t>
      </w:r>
      <w:r w:rsidRPr="008742E9">
        <w:rPr>
          <w:color w:val="000000"/>
          <w:sz w:val="22"/>
          <w:szCs w:val="22"/>
        </w:rPr>
        <w:t xml:space="preserve">менили семенем быка Твикс. По одной корове осеменили семенем быков Тайзер и Бигуд, 1 телку и 4 коровы – быка Ундадо и 1 телку и 2 коровы – быка Визионари . </w:t>
      </w:r>
    </w:p>
    <w:p w:rsidR="008742E9" w:rsidRPr="008742E9" w:rsidRDefault="008742E9" w:rsidP="000D5F55">
      <w:pPr>
        <w:ind w:firstLine="425"/>
        <w:jc w:val="both"/>
        <w:rPr>
          <w:color w:val="000000"/>
          <w:sz w:val="22"/>
          <w:szCs w:val="22"/>
        </w:rPr>
      </w:pPr>
      <w:r w:rsidRPr="008742E9">
        <w:rPr>
          <w:sz w:val="22"/>
          <w:szCs w:val="22"/>
        </w:rPr>
        <w:t>Отбор доноров проводили в 2 этапа: на первом оценивали п</w:t>
      </w:r>
      <w:r w:rsidRPr="008742E9">
        <w:rPr>
          <w:sz w:val="22"/>
          <w:szCs w:val="22"/>
        </w:rPr>
        <w:t>о</w:t>
      </w:r>
      <w:r w:rsidRPr="008742E9">
        <w:rPr>
          <w:sz w:val="22"/>
          <w:szCs w:val="22"/>
        </w:rPr>
        <w:t>казатели продуктивности донора-коровы - удой за 305 дней выше 8500 кг,</w:t>
      </w:r>
      <w:r w:rsidRPr="008742E9">
        <w:rPr>
          <w:color w:val="000000"/>
          <w:sz w:val="22"/>
          <w:szCs w:val="22"/>
        </w:rPr>
        <w:t xml:space="preserve"> содержание жира и белка в молоке на 20 % больше ста</w:t>
      </w:r>
      <w:r w:rsidRPr="008742E9">
        <w:rPr>
          <w:color w:val="000000"/>
          <w:sz w:val="22"/>
          <w:szCs w:val="22"/>
        </w:rPr>
        <w:t>н</w:t>
      </w:r>
      <w:r w:rsidRPr="008742E9">
        <w:rPr>
          <w:color w:val="000000"/>
          <w:sz w:val="22"/>
          <w:szCs w:val="22"/>
        </w:rPr>
        <w:t>дарта, крепкая конституция, экстерьер соответствует требованиям «модельного» молочного животного, возраст животного от 4 до 8 лет (коровы), живая масса 500 - 650 кг, 75 - 90 дней после отела, сервис период 80 - 130 дней, метаболическая активность потенц</w:t>
      </w:r>
      <w:r w:rsidRPr="008742E9">
        <w:rPr>
          <w:color w:val="000000"/>
          <w:sz w:val="22"/>
          <w:szCs w:val="22"/>
        </w:rPr>
        <w:t>и</w:t>
      </w:r>
      <w:r w:rsidRPr="008742E9">
        <w:rPr>
          <w:color w:val="000000"/>
          <w:sz w:val="22"/>
          <w:szCs w:val="22"/>
        </w:rPr>
        <w:t>альных доноров (реакция на гормональную схему). Н</w:t>
      </w:r>
      <w:r w:rsidRPr="008742E9">
        <w:rPr>
          <w:sz w:val="22"/>
          <w:szCs w:val="22"/>
        </w:rPr>
        <w:t>а втором этапе проводили отбор по внешним признакам, уровню здоровья, физи</w:t>
      </w:r>
      <w:r w:rsidRPr="008742E9">
        <w:rPr>
          <w:sz w:val="22"/>
          <w:szCs w:val="22"/>
        </w:rPr>
        <w:t>о</w:t>
      </w:r>
      <w:r w:rsidRPr="008742E9">
        <w:rPr>
          <w:sz w:val="22"/>
          <w:szCs w:val="22"/>
        </w:rPr>
        <w:t xml:space="preserve">логическому состоянию, конституции. </w:t>
      </w:r>
      <w:r w:rsidRPr="008742E9">
        <w:rPr>
          <w:color w:val="000000"/>
          <w:sz w:val="22"/>
          <w:szCs w:val="22"/>
        </w:rPr>
        <w:t>Использовать коров-доноров можно не более 5 раз в год, с интервалом между обработками 60 -70 дней, оплодотворяемость от первого осеменения не менее 60 %, и</w:t>
      </w:r>
      <w:r w:rsidRPr="008742E9">
        <w:rPr>
          <w:color w:val="000000"/>
          <w:sz w:val="22"/>
          <w:szCs w:val="22"/>
        </w:rPr>
        <w:t>н</w:t>
      </w:r>
      <w:r w:rsidRPr="008742E9">
        <w:rPr>
          <w:color w:val="000000"/>
          <w:sz w:val="22"/>
          <w:szCs w:val="22"/>
        </w:rPr>
        <w:t xml:space="preserve">декс осеменения 1,5, с положительной ответной реакцией на первую суперовуляцию, давших более 5-6 эмбрионов за два - три полноценных половых циклов после отела. </w:t>
      </w:r>
    </w:p>
    <w:p w:rsidR="008742E9" w:rsidRPr="008742E9" w:rsidRDefault="008742E9" w:rsidP="000D5F55">
      <w:pPr>
        <w:ind w:firstLine="425"/>
        <w:jc w:val="both"/>
        <w:rPr>
          <w:color w:val="000000"/>
          <w:sz w:val="22"/>
          <w:szCs w:val="22"/>
        </w:rPr>
      </w:pPr>
      <w:r w:rsidRPr="008742E9">
        <w:rPr>
          <w:color w:val="000000"/>
          <w:sz w:val="22"/>
          <w:szCs w:val="22"/>
        </w:rPr>
        <w:t>При отборе телок-доноров учитывали возраст (12-14 месяцев), происхождение (матери и отцы голштинской породы), живую массу (350-400 кг), удой матерей более 6500 кг. У отобранных телок и к</w:t>
      </w:r>
      <w:r w:rsidRPr="008742E9">
        <w:rPr>
          <w:color w:val="000000"/>
          <w:sz w:val="22"/>
          <w:szCs w:val="22"/>
        </w:rPr>
        <w:t>о</w:t>
      </w:r>
      <w:r w:rsidRPr="008742E9">
        <w:rPr>
          <w:color w:val="000000"/>
          <w:sz w:val="22"/>
          <w:szCs w:val="22"/>
        </w:rPr>
        <w:t>ров проводилась оценка состояния половых органов. При ректал</w:t>
      </w:r>
      <w:r w:rsidRPr="008742E9">
        <w:rPr>
          <w:color w:val="000000"/>
          <w:sz w:val="22"/>
          <w:szCs w:val="22"/>
        </w:rPr>
        <w:t>ь</w:t>
      </w:r>
      <w:r w:rsidRPr="008742E9">
        <w:rPr>
          <w:color w:val="000000"/>
          <w:sz w:val="22"/>
          <w:szCs w:val="22"/>
        </w:rPr>
        <w:t>ном исследовании матка расположена в тазовой полости, шейка матки четко выражена, длина рогов матки 20-35 см, без спаек и н</w:t>
      </w:r>
      <w:r w:rsidRPr="008742E9">
        <w:rPr>
          <w:color w:val="000000"/>
          <w:sz w:val="22"/>
          <w:szCs w:val="22"/>
        </w:rPr>
        <w:t>о</w:t>
      </w:r>
      <w:r w:rsidRPr="008742E9">
        <w:rPr>
          <w:color w:val="000000"/>
          <w:sz w:val="22"/>
          <w:szCs w:val="22"/>
        </w:rPr>
        <w:t>вооброзований, яичники овальной формы и плотной консистенции, размером 3-2 см у коров и 2-1,5 см у телок, продолжительность предыдущих циклов должна составлять 19-22 дня, активное желтое тело яичника 1-1,5 см, не используются коровы когда есть одновр</w:t>
      </w:r>
      <w:r w:rsidRPr="008742E9">
        <w:rPr>
          <w:color w:val="000000"/>
          <w:sz w:val="22"/>
          <w:szCs w:val="22"/>
        </w:rPr>
        <w:t>е</w:t>
      </w:r>
      <w:r w:rsidRPr="008742E9">
        <w:rPr>
          <w:color w:val="000000"/>
          <w:sz w:val="22"/>
          <w:szCs w:val="22"/>
        </w:rPr>
        <w:lastRenderedPageBreak/>
        <w:t xml:space="preserve">менно желтое тело и фолликул. Клинически здоровые животные: упитанность животных 2,75-3,5 балла, животные без заболевания конечностей, желудочно-кишечного тракта, органов дыхания. </w:t>
      </w:r>
    </w:p>
    <w:p w:rsidR="008742E9" w:rsidRPr="008742E9" w:rsidRDefault="008742E9" w:rsidP="000D5F55">
      <w:pPr>
        <w:ind w:firstLine="425"/>
        <w:jc w:val="both"/>
        <w:rPr>
          <w:color w:val="000000"/>
          <w:sz w:val="22"/>
          <w:szCs w:val="22"/>
        </w:rPr>
      </w:pPr>
      <w:r w:rsidRPr="008742E9">
        <w:rPr>
          <w:color w:val="000000"/>
          <w:sz w:val="22"/>
          <w:szCs w:val="22"/>
        </w:rPr>
        <w:t>Нами проанализированы показатели продуктивности родителей телок-доноров и коров-доноров. У матерей телок-доноров удои за 305 дней лактации были от 6702 до 8902 кг, содержание жира и белка в молоке соответственно – от 3,67 до 4,38 % и от 3,36 до 3,30 %. Матери коров-доноров имели удои от 9595 до 13640 кг, соде</w:t>
      </w:r>
      <w:r w:rsidRPr="008742E9">
        <w:rPr>
          <w:color w:val="000000"/>
          <w:sz w:val="22"/>
          <w:szCs w:val="22"/>
        </w:rPr>
        <w:t>р</w:t>
      </w:r>
      <w:r w:rsidRPr="008742E9">
        <w:rPr>
          <w:color w:val="000000"/>
          <w:sz w:val="22"/>
          <w:szCs w:val="22"/>
        </w:rPr>
        <w:t>жание в молоке жира от 4,1 – 4,4 %, белка – от 3,0 до 3,3 %. Коров-доноров и телок-доноров после обследования и проведения пр</w:t>
      </w:r>
      <w:r w:rsidRPr="008742E9">
        <w:rPr>
          <w:color w:val="000000"/>
          <w:sz w:val="22"/>
          <w:szCs w:val="22"/>
        </w:rPr>
        <w:t>о</w:t>
      </w:r>
      <w:r w:rsidRPr="008742E9">
        <w:rPr>
          <w:color w:val="000000"/>
          <w:sz w:val="22"/>
          <w:szCs w:val="22"/>
        </w:rPr>
        <w:t>граммы суперовуляции в течение 9 дней, после последней инъе</w:t>
      </w:r>
      <w:r w:rsidRPr="008742E9">
        <w:rPr>
          <w:color w:val="000000"/>
          <w:sz w:val="22"/>
          <w:szCs w:val="22"/>
        </w:rPr>
        <w:t>к</w:t>
      </w:r>
      <w:r w:rsidRPr="008742E9">
        <w:rPr>
          <w:color w:val="000000"/>
          <w:sz w:val="22"/>
          <w:szCs w:val="22"/>
        </w:rPr>
        <w:t>ции, проведенной в 7 часов утра, три раза осеменили. Первое ос</w:t>
      </w:r>
      <w:r w:rsidRPr="008742E9">
        <w:rPr>
          <w:color w:val="000000"/>
          <w:sz w:val="22"/>
          <w:szCs w:val="22"/>
        </w:rPr>
        <w:t>е</w:t>
      </w:r>
      <w:r w:rsidRPr="008742E9">
        <w:rPr>
          <w:color w:val="000000"/>
          <w:sz w:val="22"/>
          <w:szCs w:val="22"/>
        </w:rPr>
        <w:t>менение утром на 9 день от начала гормональной схемы, второе в</w:t>
      </w:r>
      <w:r w:rsidRPr="008742E9">
        <w:rPr>
          <w:color w:val="000000"/>
          <w:sz w:val="22"/>
          <w:szCs w:val="22"/>
        </w:rPr>
        <w:t>е</w:t>
      </w:r>
      <w:r w:rsidRPr="008742E9">
        <w:rPr>
          <w:color w:val="000000"/>
          <w:sz w:val="22"/>
          <w:szCs w:val="22"/>
        </w:rPr>
        <w:t>чером, третье на 10 день от начало схемы, с интервалом между ос</w:t>
      </w:r>
      <w:r w:rsidRPr="008742E9">
        <w:rPr>
          <w:color w:val="000000"/>
          <w:sz w:val="22"/>
          <w:szCs w:val="22"/>
        </w:rPr>
        <w:t>е</w:t>
      </w:r>
      <w:r w:rsidRPr="008742E9">
        <w:rPr>
          <w:color w:val="000000"/>
          <w:sz w:val="22"/>
          <w:szCs w:val="22"/>
        </w:rPr>
        <w:t xml:space="preserve">менениями 12 ч. </w:t>
      </w:r>
    </w:p>
    <w:p w:rsidR="008742E9" w:rsidRPr="008742E9" w:rsidRDefault="008742E9" w:rsidP="000D5F55">
      <w:pPr>
        <w:ind w:firstLine="425"/>
        <w:jc w:val="both"/>
        <w:rPr>
          <w:sz w:val="22"/>
          <w:szCs w:val="22"/>
        </w:rPr>
      </w:pPr>
      <w:r w:rsidRPr="008742E9">
        <w:rPr>
          <w:color w:val="000000"/>
          <w:sz w:val="22"/>
          <w:szCs w:val="22"/>
        </w:rPr>
        <w:t xml:space="preserve">На 7 день после первого осеменения у животных-доноров </w:t>
      </w:r>
      <w:r w:rsidRPr="008742E9">
        <w:rPr>
          <w:sz w:val="22"/>
          <w:szCs w:val="22"/>
        </w:rPr>
        <w:t>пр</w:t>
      </w:r>
      <w:r w:rsidRPr="008742E9">
        <w:rPr>
          <w:sz w:val="22"/>
          <w:szCs w:val="22"/>
        </w:rPr>
        <w:t>о</w:t>
      </w:r>
      <w:r w:rsidRPr="008742E9">
        <w:rPr>
          <w:sz w:val="22"/>
          <w:szCs w:val="22"/>
        </w:rPr>
        <w:t>водили вымывание и оценку эмбрионов. Анализ показал, что от 10 коров-доноров получено 53 эмбриона, из 25 телок-доноров от 5 не получено ни одного эмбриона, а от 20 голов получено 93 эмбриона. В среднем от каждой коровы-донора за один прием  вымыли 5,3 эмбриона, от каждой телки-донора, положительно реагирующей на процесс трансплантации, получено 4,65 эмбриона. Это свидетел</w:t>
      </w:r>
      <w:r w:rsidRPr="008742E9">
        <w:rPr>
          <w:sz w:val="22"/>
          <w:szCs w:val="22"/>
        </w:rPr>
        <w:t>ь</w:t>
      </w:r>
      <w:r w:rsidRPr="008742E9">
        <w:rPr>
          <w:sz w:val="22"/>
          <w:szCs w:val="22"/>
        </w:rPr>
        <w:t>ствует об ускорении процесса получения дополнительного мато</w:t>
      </w:r>
      <w:r w:rsidRPr="008742E9">
        <w:rPr>
          <w:sz w:val="22"/>
          <w:szCs w:val="22"/>
        </w:rPr>
        <w:t>ч</w:t>
      </w:r>
      <w:r w:rsidRPr="008742E9">
        <w:rPr>
          <w:sz w:val="22"/>
          <w:szCs w:val="22"/>
        </w:rPr>
        <w:t>ного поголовья с высоким уровнем генетического потенциала, при проявлении которого существенно увеличится и продуктивность коров в стаде и валовое производство молока.</w:t>
      </w:r>
    </w:p>
    <w:p w:rsidR="008742E9" w:rsidRPr="008742E9" w:rsidRDefault="008742E9" w:rsidP="000D5F55">
      <w:pPr>
        <w:ind w:firstLine="425"/>
        <w:jc w:val="both"/>
        <w:rPr>
          <w:sz w:val="22"/>
          <w:szCs w:val="22"/>
        </w:rPr>
      </w:pPr>
      <w:r w:rsidRPr="008742E9">
        <w:rPr>
          <w:sz w:val="22"/>
          <w:szCs w:val="22"/>
        </w:rPr>
        <w:t>ЗАКЛЮЧЕНИЕ. Исследования, проведенные на фермах «А</w:t>
      </w:r>
      <w:r w:rsidRPr="008742E9">
        <w:rPr>
          <w:sz w:val="22"/>
          <w:szCs w:val="22"/>
        </w:rPr>
        <w:t>г</w:t>
      </w:r>
      <w:r w:rsidRPr="008742E9">
        <w:rPr>
          <w:sz w:val="22"/>
          <w:szCs w:val="22"/>
        </w:rPr>
        <w:t>рообъединения «Кубань», позволяют заключить, что специалистами хозяйства освоена методика трансплантации телят, достаточно апробирована и работает программа, предусматривающая испол</w:t>
      </w:r>
      <w:r w:rsidRPr="008742E9">
        <w:rPr>
          <w:sz w:val="22"/>
          <w:szCs w:val="22"/>
        </w:rPr>
        <w:t>ь</w:t>
      </w:r>
      <w:r w:rsidRPr="008742E9">
        <w:rPr>
          <w:sz w:val="22"/>
          <w:szCs w:val="22"/>
        </w:rPr>
        <w:t xml:space="preserve">зование телок в качестве доноров в возрасте от 13 до 15 месяцев, полученных от матерей с высоким генетическим и фактическим уровнем продуктивности, соответствующим предъявляемым к ним требованиям. </w:t>
      </w:r>
    </w:p>
    <w:p w:rsidR="000D5F55" w:rsidRDefault="000D5F55" w:rsidP="000D5F55">
      <w:pPr>
        <w:ind w:firstLine="425"/>
        <w:jc w:val="center"/>
        <w:rPr>
          <w:sz w:val="22"/>
          <w:szCs w:val="22"/>
        </w:rPr>
      </w:pPr>
    </w:p>
    <w:p w:rsidR="008742E9" w:rsidRPr="008742E9" w:rsidRDefault="008742E9" w:rsidP="000D5F55">
      <w:pPr>
        <w:ind w:firstLine="425"/>
        <w:jc w:val="center"/>
        <w:rPr>
          <w:sz w:val="22"/>
          <w:szCs w:val="22"/>
        </w:rPr>
      </w:pPr>
      <w:r w:rsidRPr="008742E9">
        <w:rPr>
          <w:sz w:val="22"/>
          <w:szCs w:val="22"/>
        </w:rPr>
        <w:t>Список литературы</w:t>
      </w:r>
    </w:p>
    <w:p w:rsidR="008742E9" w:rsidRPr="008742E9" w:rsidRDefault="008742E9" w:rsidP="000D5F55">
      <w:pPr>
        <w:ind w:firstLine="425"/>
        <w:contextualSpacing/>
        <w:jc w:val="both"/>
        <w:rPr>
          <w:rFonts w:eastAsia="Calibri"/>
          <w:color w:val="000000"/>
          <w:sz w:val="22"/>
          <w:szCs w:val="22"/>
          <w:lang w:eastAsia="en-US"/>
        </w:rPr>
      </w:pPr>
      <w:r w:rsidRPr="008742E9">
        <w:rPr>
          <w:rFonts w:eastAsia="Calibri"/>
          <w:color w:val="000000"/>
          <w:sz w:val="22"/>
          <w:szCs w:val="22"/>
          <w:lang w:eastAsia="en-US"/>
        </w:rPr>
        <w:t>1. Инструкция по технологии работы организаций по иску</w:t>
      </w:r>
      <w:r w:rsidRPr="008742E9">
        <w:rPr>
          <w:rFonts w:eastAsia="Calibri"/>
          <w:color w:val="000000"/>
          <w:sz w:val="22"/>
          <w:szCs w:val="22"/>
          <w:lang w:eastAsia="en-US"/>
        </w:rPr>
        <w:t>с</w:t>
      </w:r>
      <w:r w:rsidRPr="008742E9">
        <w:rPr>
          <w:rFonts w:eastAsia="Calibri"/>
          <w:color w:val="000000"/>
          <w:sz w:val="22"/>
          <w:szCs w:val="22"/>
          <w:lang w:eastAsia="en-US"/>
        </w:rPr>
        <w:t>ственному осеменению и трансплантации эмбрионов сельскохозя</w:t>
      </w:r>
      <w:r w:rsidRPr="008742E9">
        <w:rPr>
          <w:rFonts w:eastAsia="Calibri"/>
          <w:color w:val="000000"/>
          <w:sz w:val="22"/>
          <w:szCs w:val="22"/>
          <w:lang w:eastAsia="en-US"/>
        </w:rPr>
        <w:t>й</w:t>
      </w:r>
      <w:r w:rsidRPr="008742E9">
        <w:rPr>
          <w:rFonts w:eastAsia="Calibri"/>
          <w:color w:val="000000"/>
          <w:sz w:val="22"/>
          <w:szCs w:val="22"/>
          <w:lang w:eastAsia="en-US"/>
        </w:rPr>
        <w:lastRenderedPageBreak/>
        <w:t xml:space="preserve">ственных животных / </w:t>
      </w:r>
      <w:r w:rsidRPr="008742E9">
        <w:rPr>
          <w:rFonts w:eastAsia="Calibri"/>
          <w:sz w:val="22"/>
          <w:szCs w:val="22"/>
          <w:lang w:eastAsia="en-US"/>
        </w:rPr>
        <w:t xml:space="preserve">Романов </w:t>
      </w:r>
      <w:r w:rsidRPr="008742E9">
        <w:rPr>
          <w:rFonts w:eastAsia="Calibri"/>
          <w:color w:val="000000"/>
          <w:sz w:val="22"/>
          <w:szCs w:val="22"/>
          <w:lang w:eastAsia="en-US"/>
        </w:rPr>
        <w:t>А. А., Советкин С. В., Смирнов В. Т. и др</w:t>
      </w:r>
      <w:r w:rsidRPr="008742E9">
        <w:rPr>
          <w:rFonts w:eastAsia="Calibri"/>
          <w:sz w:val="22"/>
          <w:szCs w:val="22"/>
          <w:lang w:eastAsia="en-US"/>
        </w:rPr>
        <w:t>. М: 2003. с. 60 - 91.</w:t>
      </w:r>
    </w:p>
    <w:p w:rsidR="008742E9" w:rsidRPr="008742E9" w:rsidRDefault="008742E9" w:rsidP="000D5F55">
      <w:pPr>
        <w:ind w:firstLine="425"/>
        <w:contextualSpacing/>
        <w:jc w:val="both"/>
        <w:rPr>
          <w:rFonts w:eastAsia="Calibri"/>
          <w:color w:val="000000"/>
          <w:sz w:val="22"/>
          <w:szCs w:val="22"/>
          <w:lang w:eastAsia="en-US"/>
        </w:rPr>
      </w:pPr>
      <w:r w:rsidRPr="008742E9">
        <w:rPr>
          <w:rFonts w:eastAsia="Calibri"/>
          <w:bCs/>
          <w:color w:val="000000"/>
          <w:sz w:val="22"/>
          <w:szCs w:val="22"/>
          <w:lang w:eastAsia="en-US"/>
        </w:rPr>
        <w:t>2. Марлетофт Р. Ж., Бо Ж. А.: Инновационные стратегии с</w:t>
      </w:r>
      <w:r w:rsidRPr="008742E9">
        <w:rPr>
          <w:rFonts w:eastAsia="Calibri"/>
          <w:bCs/>
          <w:color w:val="000000"/>
          <w:sz w:val="22"/>
          <w:szCs w:val="22"/>
          <w:lang w:eastAsia="en-US"/>
        </w:rPr>
        <w:t>у</w:t>
      </w:r>
      <w:r w:rsidRPr="008742E9">
        <w:rPr>
          <w:rFonts w:eastAsia="Calibri"/>
          <w:bCs/>
          <w:color w:val="000000"/>
          <w:sz w:val="22"/>
          <w:szCs w:val="22"/>
          <w:lang w:eastAsia="en-US"/>
        </w:rPr>
        <w:t>перовуляции у крупного рогатого скота. Воспроизводство. Живо</w:t>
      </w:r>
      <w:r w:rsidRPr="008742E9">
        <w:rPr>
          <w:rFonts w:eastAsia="Calibri"/>
          <w:bCs/>
          <w:color w:val="000000"/>
          <w:sz w:val="22"/>
          <w:szCs w:val="22"/>
          <w:lang w:eastAsia="en-US"/>
        </w:rPr>
        <w:t>т</w:t>
      </w:r>
      <w:r w:rsidRPr="008742E9">
        <w:rPr>
          <w:rFonts w:eastAsia="Calibri"/>
          <w:bCs/>
          <w:color w:val="000000"/>
          <w:sz w:val="22"/>
          <w:szCs w:val="22"/>
          <w:lang w:eastAsia="en-US"/>
        </w:rPr>
        <w:t>новодство. том .10, n.3, с.174-179, Июль /. 2013.</w:t>
      </w:r>
    </w:p>
    <w:p w:rsidR="008742E9" w:rsidRPr="008742E9" w:rsidRDefault="008742E9" w:rsidP="000D5F55">
      <w:pPr>
        <w:ind w:firstLine="425"/>
        <w:contextualSpacing/>
        <w:jc w:val="both"/>
        <w:rPr>
          <w:rFonts w:eastAsia="Calibri"/>
          <w:color w:val="000000"/>
          <w:sz w:val="22"/>
          <w:szCs w:val="22"/>
          <w:lang w:eastAsia="en-US"/>
        </w:rPr>
      </w:pPr>
      <w:r w:rsidRPr="008742E9">
        <w:rPr>
          <w:rFonts w:eastAsia="Calibri"/>
          <w:bCs/>
          <w:color w:val="000000"/>
          <w:sz w:val="22"/>
          <w:szCs w:val="22"/>
          <w:lang w:eastAsia="en-US"/>
        </w:rPr>
        <w:t>3. Попов Д.В., Бригида А.В., Косовский Г.Ю. Руководство по транс-плантации эмбрионов крупного рогатого скота. - М.:</w:t>
      </w:r>
      <w:r w:rsidRPr="008742E9">
        <w:rPr>
          <w:rFonts w:eastAsia="Calibri"/>
          <w:color w:val="000000"/>
          <w:sz w:val="22"/>
          <w:szCs w:val="22"/>
          <w:lang w:eastAsia="en-US"/>
        </w:rPr>
        <w:t xml:space="preserve"> </w:t>
      </w:r>
      <w:r w:rsidRPr="008742E9">
        <w:rPr>
          <w:rFonts w:eastAsia="Calibri"/>
          <w:bCs/>
          <w:color w:val="000000"/>
          <w:sz w:val="22"/>
          <w:szCs w:val="22"/>
          <w:lang w:eastAsia="en-US"/>
        </w:rPr>
        <w:t>КлабпРинт, 2017. - 55 с.</w:t>
      </w:r>
    </w:p>
    <w:p w:rsidR="000D5F55" w:rsidRDefault="000D5F55" w:rsidP="008742E9">
      <w:pPr>
        <w:jc w:val="both"/>
        <w:rPr>
          <w:sz w:val="22"/>
          <w:szCs w:val="22"/>
        </w:rPr>
      </w:pPr>
    </w:p>
    <w:p w:rsidR="000D5F55" w:rsidRDefault="000D5F55" w:rsidP="008742E9">
      <w:pPr>
        <w:jc w:val="both"/>
        <w:rPr>
          <w:sz w:val="22"/>
          <w:szCs w:val="22"/>
        </w:rPr>
      </w:pPr>
    </w:p>
    <w:p w:rsidR="000D5F55" w:rsidRDefault="000D5F55" w:rsidP="008742E9">
      <w:pPr>
        <w:jc w:val="both"/>
        <w:rPr>
          <w:sz w:val="22"/>
          <w:szCs w:val="22"/>
        </w:rPr>
      </w:pPr>
    </w:p>
    <w:p w:rsidR="008742E9" w:rsidRPr="000D5F55" w:rsidRDefault="008742E9" w:rsidP="008742E9">
      <w:pPr>
        <w:jc w:val="both"/>
        <w:rPr>
          <w:sz w:val="22"/>
          <w:szCs w:val="22"/>
        </w:rPr>
      </w:pPr>
      <w:r w:rsidRPr="000D5F55">
        <w:rPr>
          <w:sz w:val="22"/>
          <w:szCs w:val="22"/>
        </w:rPr>
        <w:t xml:space="preserve">УДК </w:t>
      </w:r>
      <w:r w:rsidRPr="000D5F55">
        <w:rPr>
          <w:sz w:val="22"/>
          <w:szCs w:val="22"/>
          <w:shd w:val="clear" w:color="auto" w:fill="FFFFFF"/>
        </w:rPr>
        <w:t xml:space="preserve">637.12.04. </w:t>
      </w:r>
    </w:p>
    <w:p w:rsidR="008742E9" w:rsidRPr="000D5F55" w:rsidRDefault="008742E9" w:rsidP="008742E9">
      <w:pPr>
        <w:jc w:val="center"/>
        <w:rPr>
          <w:b/>
          <w:sz w:val="22"/>
          <w:szCs w:val="22"/>
        </w:rPr>
      </w:pPr>
    </w:p>
    <w:p w:rsidR="008742E9" w:rsidRPr="003435E2" w:rsidRDefault="008742E9" w:rsidP="008742E9">
      <w:pPr>
        <w:jc w:val="center"/>
        <w:rPr>
          <w:b/>
          <w:sz w:val="24"/>
          <w:szCs w:val="24"/>
        </w:rPr>
      </w:pPr>
      <w:r w:rsidRPr="003435E2">
        <w:rPr>
          <w:b/>
          <w:sz w:val="24"/>
          <w:szCs w:val="24"/>
        </w:rPr>
        <w:t xml:space="preserve">Сравнительная оценка использования молока </w:t>
      </w:r>
    </w:p>
    <w:p w:rsidR="008742E9" w:rsidRPr="003435E2" w:rsidRDefault="008742E9" w:rsidP="008742E9">
      <w:pPr>
        <w:jc w:val="center"/>
        <w:rPr>
          <w:b/>
          <w:sz w:val="24"/>
          <w:szCs w:val="24"/>
        </w:rPr>
      </w:pPr>
      <w:r w:rsidRPr="003435E2">
        <w:rPr>
          <w:b/>
          <w:sz w:val="24"/>
          <w:szCs w:val="24"/>
        </w:rPr>
        <w:t xml:space="preserve">от коров голштинской и </w:t>
      </w:r>
      <w:proofErr w:type="gramStart"/>
      <w:r w:rsidRPr="003435E2">
        <w:rPr>
          <w:b/>
          <w:sz w:val="24"/>
          <w:szCs w:val="24"/>
        </w:rPr>
        <w:t>симментальской</w:t>
      </w:r>
      <w:proofErr w:type="gramEnd"/>
      <w:r w:rsidRPr="003435E2">
        <w:rPr>
          <w:b/>
          <w:sz w:val="24"/>
          <w:szCs w:val="24"/>
        </w:rPr>
        <w:t xml:space="preserve"> пород </w:t>
      </w:r>
      <w:r w:rsidR="000D5F55" w:rsidRPr="003435E2">
        <w:rPr>
          <w:b/>
          <w:sz w:val="24"/>
          <w:szCs w:val="24"/>
        </w:rPr>
        <w:br/>
      </w:r>
      <w:r w:rsidRPr="003435E2">
        <w:rPr>
          <w:b/>
          <w:sz w:val="24"/>
          <w:szCs w:val="24"/>
        </w:rPr>
        <w:t xml:space="preserve">для производства творога </w:t>
      </w:r>
    </w:p>
    <w:p w:rsidR="003435E2" w:rsidRPr="003435E2" w:rsidRDefault="003435E2" w:rsidP="003435E2">
      <w:pPr>
        <w:jc w:val="center"/>
        <w:rPr>
          <w:b/>
          <w:sz w:val="24"/>
          <w:szCs w:val="24"/>
          <w:lang w:val="en-US"/>
        </w:rPr>
      </w:pPr>
      <w:r w:rsidRPr="003435E2">
        <w:rPr>
          <w:b/>
          <w:sz w:val="24"/>
          <w:szCs w:val="24"/>
          <w:lang w:val="en-US"/>
        </w:rPr>
        <w:t>Comparative evaluation of milk use from cows of Holstein and Simmental breeds for the production of cottage cheese</w:t>
      </w:r>
    </w:p>
    <w:p w:rsidR="008742E9" w:rsidRPr="003435E2" w:rsidRDefault="008742E9" w:rsidP="008742E9">
      <w:pPr>
        <w:jc w:val="center"/>
        <w:rPr>
          <w:b/>
          <w:sz w:val="24"/>
          <w:szCs w:val="24"/>
          <w:lang w:val="en-US"/>
        </w:rPr>
      </w:pPr>
    </w:p>
    <w:p w:rsidR="000D5F55" w:rsidRDefault="000D5F55" w:rsidP="008742E9">
      <w:pPr>
        <w:jc w:val="right"/>
        <w:rPr>
          <w:sz w:val="22"/>
          <w:szCs w:val="22"/>
        </w:rPr>
      </w:pPr>
      <w:r>
        <w:rPr>
          <w:sz w:val="22"/>
          <w:szCs w:val="22"/>
        </w:rPr>
        <w:t>Петришена Ю. В.,</w:t>
      </w:r>
    </w:p>
    <w:p w:rsidR="008742E9" w:rsidRPr="008742E9" w:rsidRDefault="008742E9" w:rsidP="008742E9">
      <w:pPr>
        <w:jc w:val="right"/>
        <w:rPr>
          <w:sz w:val="22"/>
          <w:szCs w:val="22"/>
        </w:rPr>
      </w:pPr>
      <w:r w:rsidRPr="008742E9">
        <w:rPr>
          <w:sz w:val="22"/>
          <w:szCs w:val="22"/>
        </w:rPr>
        <w:t>студентка 4 курса факультета зоотехнии</w:t>
      </w:r>
    </w:p>
    <w:p w:rsidR="008742E9" w:rsidRPr="008742E9" w:rsidRDefault="008742E9" w:rsidP="008742E9">
      <w:pPr>
        <w:jc w:val="right"/>
        <w:rPr>
          <w:sz w:val="22"/>
          <w:szCs w:val="22"/>
        </w:rPr>
      </w:pPr>
      <w:r w:rsidRPr="008742E9">
        <w:rPr>
          <w:sz w:val="22"/>
          <w:szCs w:val="22"/>
        </w:rPr>
        <w:t>Куб</w:t>
      </w:r>
      <w:r w:rsidR="000D5F55">
        <w:rPr>
          <w:sz w:val="22"/>
          <w:szCs w:val="22"/>
        </w:rPr>
        <w:t>анский государственный аграрный</w:t>
      </w:r>
    </w:p>
    <w:p w:rsidR="008742E9" w:rsidRPr="008742E9" w:rsidRDefault="008742E9" w:rsidP="008742E9">
      <w:pPr>
        <w:jc w:val="right"/>
        <w:rPr>
          <w:sz w:val="22"/>
          <w:szCs w:val="22"/>
        </w:rPr>
      </w:pPr>
      <w:r w:rsidRPr="008742E9">
        <w:rPr>
          <w:sz w:val="22"/>
          <w:szCs w:val="22"/>
        </w:rPr>
        <w:t>университет имени И.</w:t>
      </w:r>
      <w:r w:rsidR="000D5F55">
        <w:rPr>
          <w:sz w:val="22"/>
          <w:szCs w:val="22"/>
        </w:rPr>
        <w:t xml:space="preserve"> </w:t>
      </w:r>
      <w:r w:rsidRPr="008742E9">
        <w:rPr>
          <w:sz w:val="22"/>
          <w:szCs w:val="22"/>
        </w:rPr>
        <w:t>Т. Трубилина</w:t>
      </w:r>
    </w:p>
    <w:p w:rsidR="008742E9" w:rsidRPr="000D5F55" w:rsidRDefault="008742E9" w:rsidP="008742E9">
      <w:pPr>
        <w:jc w:val="both"/>
        <w:rPr>
          <w:sz w:val="22"/>
          <w:szCs w:val="22"/>
        </w:rPr>
      </w:pPr>
    </w:p>
    <w:p w:rsidR="008742E9" w:rsidRPr="000D5F55" w:rsidRDefault="000D5F55" w:rsidP="000D5F55">
      <w:pPr>
        <w:ind w:firstLine="426"/>
        <w:jc w:val="both"/>
        <w:rPr>
          <w:sz w:val="22"/>
          <w:szCs w:val="22"/>
        </w:rPr>
      </w:pPr>
      <w:r w:rsidRPr="000D5F55">
        <w:rPr>
          <w:sz w:val="22"/>
          <w:szCs w:val="22"/>
        </w:rPr>
        <w:t>АННОТАЦИЯ:</w:t>
      </w:r>
      <w:r w:rsidR="008742E9" w:rsidRPr="000D5F55">
        <w:rPr>
          <w:sz w:val="22"/>
          <w:szCs w:val="22"/>
        </w:rPr>
        <w:t xml:space="preserve"> Установлено повышение спроса на творог из топленого молока, производимый в КФХ. Объем собственного пр</w:t>
      </w:r>
      <w:r w:rsidR="008742E9" w:rsidRPr="000D5F55">
        <w:rPr>
          <w:sz w:val="22"/>
          <w:szCs w:val="22"/>
        </w:rPr>
        <w:t>о</w:t>
      </w:r>
      <w:r w:rsidR="008742E9" w:rsidRPr="000D5F55">
        <w:rPr>
          <w:sz w:val="22"/>
          <w:szCs w:val="22"/>
        </w:rPr>
        <w:t>изводства молока не обеспечивает потребности в сырье для этого продукта. Доказано преимущество молока коров комбинированного направления продуктивности и определены хозяйства для заключ</w:t>
      </w:r>
      <w:r w:rsidR="008742E9" w:rsidRPr="000D5F55">
        <w:rPr>
          <w:sz w:val="22"/>
          <w:szCs w:val="22"/>
        </w:rPr>
        <w:t>е</w:t>
      </w:r>
      <w:r w:rsidR="008742E9" w:rsidRPr="000D5F55">
        <w:rPr>
          <w:sz w:val="22"/>
          <w:szCs w:val="22"/>
        </w:rPr>
        <w:t>ния договоров на закупку молока.</w:t>
      </w:r>
    </w:p>
    <w:p w:rsidR="008742E9" w:rsidRPr="000D5F55" w:rsidRDefault="000D5F55" w:rsidP="000D5F55">
      <w:pPr>
        <w:ind w:firstLine="426"/>
        <w:jc w:val="both"/>
        <w:rPr>
          <w:sz w:val="22"/>
          <w:szCs w:val="22"/>
          <w:lang w:val="en-US"/>
        </w:rPr>
      </w:pPr>
      <w:r w:rsidRPr="000D5F55">
        <w:rPr>
          <w:sz w:val="22"/>
          <w:szCs w:val="22"/>
          <w:lang w:val="en-US"/>
        </w:rPr>
        <w:t>ABSTRACT:</w:t>
      </w:r>
      <w:r w:rsidR="008742E9" w:rsidRPr="000D5F55">
        <w:rPr>
          <w:sz w:val="22"/>
          <w:szCs w:val="22"/>
          <w:lang w:val="en-US"/>
        </w:rPr>
        <w:t xml:space="preserve"> The increase in demand for baked milk cheese pr</w:t>
      </w:r>
      <w:r w:rsidR="008742E9" w:rsidRPr="000D5F55">
        <w:rPr>
          <w:sz w:val="22"/>
          <w:szCs w:val="22"/>
          <w:lang w:val="en-US"/>
        </w:rPr>
        <w:t>o</w:t>
      </w:r>
      <w:r w:rsidR="008742E9" w:rsidRPr="000D5F55">
        <w:rPr>
          <w:sz w:val="22"/>
          <w:szCs w:val="22"/>
          <w:lang w:val="en-US"/>
        </w:rPr>
        <w:t>duced in KFH was established; own milk production does not meet the need for raw materials for this product. The advantage for the production of milk of cows of the combined direction of productivity is proved and farms for the conclusion of contracts for the purchase of milk are d</w:t>
      </w:r>
      <w:r w:rsidR="008742E9" w:rsidRPr="000D5F55">
        <w:rPr>
          <w:sz w:val="22"/>
          <w:szCs w:val="22"/>
          <w:lang w:val="en-US"/>
        </w:rPr>
        <w:t>e</w:t>
      </w:r>
      <w:r w:rsidR="008742E9" w:rsidRPr="000D5F55">
        <w:rPr>
          <w:sz w:val="22"/>
          <w:szCs w:val="22"/>
          <w:lang w:val="en-US"/>
        </w:rPr>
        <w:t>fined.</w:t>
      </w:r>
    </w:p>
    <w:p w:rsidR="008742E9" w:rsidRPr="000D5F55" w:rsidRDefault="008742E9" w:rsidP="000D5F55">
      <w:pPr>
        <w:ind w:firstLine="426"/>
        <w:jc w:val="both"/>
        <w:rPr>
          <w:sz w:val="22"/>
          <w:szCs w:val="22"/>
        </w:rPr>
      </w:pPr>
      <w:r w:rsidRPr="000D5F55">
        <w:rPr>
          <w:sz w:val="22"/>
          <w:szCs w:val="22"/>
        </w:rPr>
        <w:lastRenderedPageBreak/>
        <w:t>КЛЮЧЕВЫЕ СЛОВА: творог из топленого молока, молочный жир, молочный белок, коровы голштинской и симментальской п</w:t>
      </w:r>
      <w:r w:rsidRPr="000D5F55">
        <w:rPr>
          <w:sz w:val="22"/>
          <w:szCs w:val="22"/>
        </w:rPr>
        <w:t>о</w:t>
      </w:r>
      <w:r w:rsidRPr="000D5F55">
        <w:rPr>
          <w:sz w:val="22"/>
          <w:szCs w:val="22"/>
        </w:rPr>
        <w:t>роды.</w:t>
      </w:r>
    </w:p>
    <w:p w:rsidR="008742E9" w:rsidRPr="000D5F55" w:rsidRDefault="008742E9" w:rsidP="000D5F55">
      <w:pPr>
        <w:ind w:firstLine="426"/>
        <w:jc w:val="both"/>
        <w:rPr>
          <w:sz w:val="22"/>
          <w:szCs w:val="22"/>
          <w:lang w:val="en-US"/>
        </w:rPr>
      </w:pPr>
      <w:r w:rsidRPr="000D5F55">
        <w:rPr>
          <w:sz w:val="22"/>
          <w:szCs w:val="22"/>
          <w:lang w:val="en-US"/>
        </w:rPr>
        <w:t>KEY WORDS: gross milk production, milk fat, milk protein, Ho</w:t>
      </w:r>
      <w:r w:rsidRPr="000D5F55">
        <w:rPr>
          <w:sz w:val="22"/>
          <w:szCs w:val="22"/>
          <w:lang w:val="en-US"/>
        </w:rPr>
        <w:t>l</w:t>
      </w:r>
      <w:r w:rsidRPr="000D5F55">
        <w:rPr>
          <w:sz w:val="22"/>
          <w:szCs w:val="22"/>
          <w:lang w:val="en-US"/>
        </w:rPr>
        <w:t>stein and Simmental cows.</w:t>
      </w:r>
    </w:p>
    <w:p w:rsidR="008742E9" w:rsidRPr="000D5F55" w:rsidRDefault="008742E9" w:rsidP="000D5F55">
      <w:pPr>
        <w:ind w:firstLine="426"/>
        <w:jc w:val="both"/>
        <w:rPr>
          <w:sz w:val="22"/>
          <w:szCs w:val="22"/>
          <w:lang w:val="en-US"/>
        </w:rPr>
      </w:pPr>
    </w:p>
    <w:p w:rsidR="008742E9" w:rsidRPr="000D5F55" w:rsidRDefault="008742E9" w:rsidP="000D5F55">
      <w:pPr>
        <w:ind w:firstLine="426"/>
        <w:jc w:val="both"/>
        <w:rPr>
          <w:sz w:val="22"/>
          <w:szCs w:val="22"/>
        </w:rPr>
      </w:pPr>
      <w:r w:rsidRPr="000D5F55">
        <w:rPr>
          <w:sz w:val="22"/>
          <w:szCs w:val="22"/>
        </w:rPr>
        <w:t>В Краснодарском крае зафиксирован ежегодный рост числе</w:t>
      </w:r>
      <w:r w:rsidRPr="000D5F55">
        <w:rPr>
          <w:sz w:val="22"/>
          <w:szCs w:val="22"/>
        </w:rPr>
        <w:t>н</w:t>
      </w:r>
      <w:r w:rsidRPr="000D5F55">
        <w:rPr>
          <w:sz w:val="22"/>
          <w:szCs w:val="22"/>
        </w:rPr>
        <w:t>ности малых сельскохозяйственных предприятий, занимающихся как производством, так и переработкой молока – крестьянских (фермерских), личных подсобных хозяйств, ИП и др. Сформирован богатый ассортимент фермерских молочных продуктов; выявлено его постоянное обновление в соответствии с покупательским спр</w:t>
      </w:r>
      <w:r w:rsidRPr="000D5F55">
        <w:rPr>
          <w:sz w:val="22"/>
          <w:szCs w:val="22"/>
        </w:rPr>
        <w:t>о</w:t>
      </w:r>
      <w:r w:rsidRPr="000D5F55">
        <w:rPr>
          <w:sz w:val="22"/>
          <w:szCs w:val="22"/>
        </w:rPr>
        <w:t xml:space="preserve">сом. </w:t>
      </w:r>
    </w:p>
    <w:p w:rsidR="008742E9" w:rsidRPr="000D5F55" w:rsidRDefault="008742E9" w:rsidP="000D5F55">
      <w:pPr>
        <w:ind w:firstLine="426"/>
        <w:jc w:val="both"/>
        <w:rPr>
          <w:sz w:val="22"/>
          <w:szCs w:val="22"/>
        </w:rPr>
      </w:pPr>
      <w:r w:rsidRPr="000D5F55">
        <w:rPr>
          <w:sz w:val="22"/>
          <w:szCs w:val="22"/>
        </w:rPr>
        <w:t>В исследуемом хозяйстве налажено производство молочных продуктов; имеется разрешение на собственную маркировку и то</w:t>
      </w:r>
      <w:r w:rsidRPr="000D5F55">
        <w:rPr>
          <w:sz w:val="22"/>
          <w:szCs w:val="22"/>
        </w:rPr>
        <w:t>р</w:t>
      </w:r>
      <w:r w:rsidRPr="000D5F55">
        <w:rPr>
          <w:sz w:val="22"/>
          <w:szCs w:val="22"/>
        </w:rPr>
        <w:t>говлю. Молоко получают от коров голштинской породы; поголовье дойного стада – 140 коров; средняя продуктивность – 5200 кг за лактацию; содержание жира в молоке – 3,4 %, содержание белка в молоке – 3,2 %. Стадо по состоянию здоровья коров, продуктивн</w:t>
      </w:r>
      <w:r w:rsidRPr="000D5F55">
        <w:rPr>
          <w:sz w:val="22"/>
          <w:szCs w:val="22"/>
        </w:rPr>
        <w:t>о</w:t>
      </w:r>
      <w:r w:rsidRPr="000D5F55">
        <w:rPr>
          <w:sz w:val="22"/>
          <w:szCs w:val="22"/>
        </w:rPr>
        <w:t xml:space="preserve">сти и воспроизводительным качествам благополучное [2, 3]. </w:t>
      </w:r>
    </w:p>
    <w:p w:rsidR="008742E9" w:rsidRPr="000D5F55" w:rsidRDefault="008742E9" w:rsidP="000D5F55">
      <w:pPr>
        <w:ind w:firstLine="426"/>
        <w:jc w:val="both"/>
        <w:rPr>
          <w:sz w:val="22"/>
          <w:szCs w:val="22"/>
        </w:rPr>
      </w:pPr>
      <w:r w:rsidRPr="000D5F55">
        <w:rPr>
          <w:sz w:val="22"/>
          <w:szCs w:val="22"/>
        </w:rPr>
        <w:t xml:space="preserve">Валовое производство молока в хозяйстве составляет 728 тыс. кг, что позволяет готовить 121 т творога (из расчета: на 1 кг творога высокого качества требуется 6 кг молока) [1]. </w:t>
      </w:r>
    </w:p>
    <w:p w:rsidR="008742E9" w:rsidRPr="000D5F55" w:rsidRDefault="008742E9" w:rsidP="000D5F55">
      <w:pPr>
        <w:ind w:firstLine="426"/>
        <w:jc w:val="both"/>
        <w:rPr>
          <w:sz w:val="22"/>
          <w:szCs w:val="22"/>
        </w:rPr>
      </w:pPr>
      <w:r w:rsidRPr="000D5F55">
        <w:rPr>
          <w:sz w:val="22"/>
          <w:szCs w:val="22"/>
        </w:rPr>
        <w:t>Выявлен постоянно растущий спрос на новый продукт – творог из топленого молока. Для приготовления 1 кг творога из топленого молока требуется 8 кг молока с приведенными выше показателями качества. Фактически с учетом широкого ассортимента производ</w:t>
      </w:r>
      <w:r w:rsidRPr="000D5F55">
        <w:rPr>
          <w:sz w:val="22"/>
          <w:szCs w:val="22"/>
        </w:rPr>
        <w:t>и</w:t>
      </w:r>
      <w:r w:rsidRPr="000D5F55">
        <w:rPr>
          <w:sz w:val="22"/>
          <w:szCs w:val="22"/>
        </w:rPr>
        <w:t>мой продукции на производство творога из топленого молока и</w:t>
      </w:r>
      <w:r w:rsidRPr="000D5F55">
        <w:rPr>
          <w:sz w:val="22"/>
          <w:szCs w:val="22"/>
        </w:rPr>
        <w:t>с</w:t>
      </w:r>
      <w:r w:rsidRPr="000D5F55">
        <w:rPr>
          <w:sz w:val="22"/>
          <w:szCs w:val="22"/>
        </w:rPr>
        <w:t>пользуется около 16000 кг молока, что позволяет выработать и ре</w:t>
      </w:r>
      <w:r w:rsidRPr="000D5F55">
        <w:rPr>
          <w:sz w:val="22"/>
          <w:szCs w:val="22"/>
        </w:rPr>
        <w:t>а</w:t>
      </w:r>
      <w:r w:rsidRPr="000D5F55">
        <w:rPr>
          <w:sz w:val="22"/>
          <w:szCs w:val="22"/>
        </w:rPr>
        <w:t xml:space="preserve">лизовать не более 2000 кг этой продукции. </w:t>
      </w:r>
    </w:p>
    <w:p w:rsidR="008742E9" w:rsidRPr="000D5F55" w:rsidRDefault="008742E9" w:rsidP="000D5F55">
      <w:pPr>
        <w:ind w:firstLine="426"/>
        <w:jc w:val="both"/>
        <w:rPr>
          <w:sz w:val="22"/>
          <w:szCs w:val="22"/>
        </w:rPr>
      </w:pPr>
      <w:r w:rsidRPr="000D5F55">
        <w:rPr>
          <w:sz w:val="22"/>
          <w:szCs w:val="22"/>
        </w:rPr>
        <w:t>В хозяйстве придерживаются традиционной технологии прои</w:t>
      </w:r>
      <w:r w:rsidRPr="000D5F55">
        <w:rPr>
          <w:sz w:val="22"/>
          <w:szCs w:val="22"/>
        </w:rPr>
        <w:t>з</w:t>
      </w:r>
      <w:r w:rsidRPr="000D5F55">
        <w:rPr>
          <w:sz w:val="22"/>
          <w:szCs w:val="22"/>
        </w:rPr>
        <w:t>водства творога из топленого молока. Необходимо вскипятить м</w:t>
      </w:r>
      <w:r w:rsidRPr="000D5F55">
        <w:rPr>
          <w:sz w:val="22"/>
          <w:szCs w:val="22"/>
        </w:rPr>
        <w:t>о</w:t>
      </w:r>
      <w:r w:rsidRPr="000D5F55">
        <w:rPr>
          <w:sz w:val="22"/>
          <w:szCs w:val="22"/>
        </w:rPr>
        <w:t xml:space="preserve">локо и выдержать в духовке (печи) при t 90° </w:t>
      </w:r>
      <w:r w:rsidRPr="000D5F55">
        <w:rPr>
          <w:sz w:val="22"/>
          <w:szCs w:val="22"/>
          <w:lang w:val="en-US"/>
        </w:rPr>
        <w:t>C</w:t>
      </w:r>
      <w:r w:rsidRPr="000D5F55">
        <w:rPr>
          <w:sz w:val="22"/>
          <w:szCs w:val="22"/>
        </w:rPr>
        <w:t xml:space="preserve"> в течение 5 ч, не по</w:t>
      </w:r>
      <w:r w:rsidRPr="000D5F55">
        <w:rPr>
          <w:sz w:val="22"/>
          <w:szCs w:val="22"/>
        </w:rPr>
        <w:t>з</w:t>
      </w:r>
      <w:r w:rsidRPr="000D5F55">
        <w:rPr>
          <w:sz w:val="22"/>
          <w:szCs w:val="22"/>
        </w:rPr>
        <w:t xml:space="preserve">воляя кипеть, до нежно-кремового цвета. Затем молоко охлаждают до 38 °С, добавляют закваску для творога или для ряженки и ставят в теплое место на 9-11 ч. </w:t>
      </w:r>
    </w:p>
    <w:p w:rsidR="008742E9" w:rsidRPr="000D5F55" w:rsidRDefault="008742E9" w:rsidP="000D5F55">
      <w:pPr>
        <w:ind w:firstLine="426"/>
        <w:jc w:val="both"/>
        <w:rPr>
          <w:sz w:val="22"/>
          <w:szCs w:val="22"/>
        </w:rPr>
      </w:pPr>
      <w:r w:rsidRPr="000D5F55">
        <w:rPr>
          <w:sz w:val="22"/>
          <w:szCs w:val="22"/>
        </w:rPr>
        <w:t>В данном хозяйстве используют различные закваски, в том числе – натуральный йогурт, что значительно сокращает время з</w:t>
      </w:r>
      <w:r w:rsidRPr="000D5F55">
        <w:rPr>
          <w:sz w:val="22"/>
          <w:szCs w:val="22"/>
        </w:rPr>
        <w:t>а</w:t>
      </w:r>
      <w:r w:rsidRPr="000D5F55">
        <w:rPr>
          <w:sz w:val="22"/>
          <w:szCs w:val="22"/>
        </w:rPr>
        <w:lastRenderedPageBreak/>
        <w:t>квашивания. Получившийся густой йогурт помещают на водяную баню и нагревают до отделения сыворотки, охлаждают, откидыв</w:t>
      </w:r>
      <w:r w:rsidRPr="000D5F55">
        <w:rPr>
          <w:sz w:val="22"/>
          <w:szCs w:val="22"/>
        </w:rPr>
        <w:t>а</w:t>
      </w:r>
      <w:r w:rsidRPr="000D5F55">
        <w:rPr>
          <w:sz w:val="22"/>
          <w:szCs w:val="22"/>
        </w:rPr>
        <w:t xml:space="preserve">ют на марлю, обеспечивая сток жидкости. </w:t>
      </w:r>
    </w:p>
    <w:p w:rsidR="008742E9" w:rsidRPr="000D5F55" w:rsidRDefault="008742E9" w:rsidP="000D5F55">
      <w:pPr>
        <w:ind w:firstLine="426"/>
        <w:jc w:val="both"/>
        <w:rPr>
          <w:sz w:val="22"/>
          <w:szCs w:val="22"/>
        </w:rPr>
      </w:pPr>
      <w:r w:rsidRPr="000D5F55">
        <w:rPr>
          <w:sz w:val="22"/>
          <w:szCs w:val="22"/>
        </w:rPr>
        <w:t>При использовании молока от симментальских коров на прои</w:t>
      </w:r>
      <w:r w:rsidRPr="000D5F55">
        <w:rPr>
          <w:sz w:val="22"/>
          <w:szCs w:val="22"/>
        </w:rPr>
        <w:t>з</w:t>
      </w:r>
      <w:r w:rsidRPr="000D5F55">
        <w:rPr>
          <w:sz w:val="22"/>
          <w:szCs w:val="22"/>
        </w:rPr>
        <w:t xml:space="preserve">водство 1 кг деликатесного творога требуется 6,5 кг молока, т.е. на 1,5 кг меньше, чем от голштинских, а конечный продукт получил наивысшую оценку у потребителей. </w:t>
      </w:r>
    </w:p>
    <w:p w:rsidR="008742E9" w:rsidRPr="000D5F55" w:rsidRDefault="008742E9" w:rsidP="000D5F55">
      <w:pPr>
        <w:ind w:firstLine="426"/>
        <w:jc w:val="both"/>
        <w:rPr>
          <w:sz w:val="22"/>
          <w:szCs w:val="22"/>
        </w:rPr>
      </w:pPr>
      <w:r w:rsidRPr="000D5F55">
        <w:rPr>
          <w:sz w:val="22"/>
          <w:szCs w:val="22"/>
        </w:rPr>
        <w:t>Лабораторный анализ показал, что молоко коров симментал</w:t>
      </w:r>
      <w:r w:rsidRPr="000D5F55">
        <w:rPr>
          <w:sz w:val="22"/>
          <w:szCs w:val="22"/>
        </w:rPr>
        <w:t>ь</w:t>
      </w:r>
      <w:r w:rsidRPr="000D5F55">
        <w:rPr>
          <w:sz w:val="22"/>
          <w:szCs w:val="22"/>
        </w:rPr>
        <w:t>ской породы имеет более высокие показатели по содержанию сух</w:t>
      </w:r>
      <w:r w:rsidRPr="000D5F55">
        <w:rPr>
          <w:sz w:val="22"/>
          <w:szCs w:val="22"/>
        </w:rPr>
        <w:t>о</w:t>
      </w:r>
      <w:r w:rsidRPr="000D5F55">
        <w:rPr>
          <w:sz w:val="22"/>
          <w:szCs w:val="22"/>
        </w:rPr>
        <w:t xml:space="preserve">го вещества по сравнению с молоком коров голштинской породы (12,7 % против 12,3 %), жира (3,8 % против 3,4 %), белка (3,4 % против 3,2 %). Молоко симменталов выгодно отличается составом насыщенных и ненасыщенных жирных кислот [1]. </w:t>
      </w:r>
    </w:p>
    <w:p w:rsidR="008742E9" w:rsidRPr="000D5F55" w:rsidRDefault="008742E9" w:rsidP="000D5F55">
      <w:pPr>
        <w:ind w:firstLine="426"/>
        <w:jc w:val="both"/>
        <w:rPr>
          <w:sz w:val="22"/>
          <w:szCs w:val="22"/>
        </w:rPr>
      </w:pPr>
      <w:r w:rsidRPr="000D5F55">
        <w:rPr>
          <w:sz w:val="22"/>
          <w:szCs w:val="22"/>
        </w:rPr>
        <w:t>Повышение качества творога обусловлено также оптимальн</w:t>
      </w:r>
      <w:r w:rsidRPr="000D5F55">
        <w:rPr>
          <w:sz w:val="22"/>
          <w:szCs w:val="22"/>
        </w:rPr>
        <w:t>ы</w:t>
      </w:r>
      <w:r w:rsidRPr="000D5F55">
        <w:rPr>
          <w:sz w:val="22"/>
          <w:szCs w:val="22"/>
        </w:rPr>
        <w:t>ми показателями термоустойчивости, количества дестабилизир</w:t>
      </w:r>
      <w:r w:rsidRPr="000D5F55">
        <w:rPr>
          <w:sz w:val="22"/>
          <w:szCs w:val="22"/>
        </w:rPr>
        <w:t>о</w:t>
      </w:r>
      <w:r w:rsidRPr="000D5F55">
        <w:rPr>
          <w:sz w:val="22"/>
          <w:szCs w:val="22"/>
        </w:rPr>
        <w:t>ванного жира и сычужной свертываемости молока коров симме</w:t>
      </w:r>
      <w:r w:rsidRPr="000D5F55">
        <w:rPr>
          <w:sz w:val="22"/>
          <w:szCs w:val="22"/>
        </w:rPr>
        <w:t>н</w:t>
      </w:r>
      <w:r w:rsidRPr="000D5F55">
        <w:rPr>
          <w:sz w:val="22"/>
          <w:szCs w:val="22"/>
        </w:rPr>
        <w:t>тальской породы. Эти показатели являются важными при произво</w:t>
      </w:r>
      <w:r w:rsidRPr="000D5F55">
        <w:rPr>
          <w:sz w:val="22"/>
          <w:szCs w:val="22"/>
        </w:rPr>
        <w:t>д</w:t>
      </w:r>
      <w:r w:rsidRPr="000D5F55">
        <w:rPr>
          <w:sz w:val="22"/>
          <w:szCs w:val="22"/>
        </w:rPr>
        <w:t>стве и других молочных продуктов – йогуртов, мягких и твердых сыров, сливочного масла, а также всей линейки кисломолочных продуктов, включая ряженку [1].</w:t>
      </w:r>
    </w:p>
    <w:p w:rsidR="008742E9" w:rsidRPr="000D5F55" w:rsidRDefault="008742E9" w:rsidP="000D5F55">
      <w:pPr>
        <w:ind w:firstLine="426"/>
        <w:jc w:val="both"/>
        <w:rPr>
          <w:sz w:val="22"/>
          <w:szCs w:val="22"/>
        </w:rPr>
      </w:pPr>
      <w:r w:rsidRPr="000D5F55">
        <w:rPr>
          <w:sz w:val="22"/>
          <w:szCs w:val="22"/>
        </w:rPr>
        <w:t>Исследования показали, что в качестве сырья для производства творога из топленого молока более подходит молоко от коров си</w:t>
      </w:r>
      <w:r w:rsidRPr="000D5F55">
        <w:rPr>
          <w:sz w:val="22"/>
          <w:szCs w:val="22"/>
        </w:rPr>
        <w:t>м</w:t>
      </w:r>
      <w:r w:rsidRPr="000D5F55">
        <w:rPr>
          <w:sz w:val="22"/>
          <w:szCs w:val="22"/>
        </w:rPr>
        <w:t>ментальской породы.</w:t>
      </w:r>
    </w:p>
    <w:p w:rsidR="008742E9" w:rsidRPr="000D5F55" w:rsidRDefault="008742E9" w:rsidP="000D5F55">
      <w:pPr>
        <w:ind w:firstLine="426"/>
        <w:jc w:val="both"/>
        <w:rPr>
          <w:sz w:val="22"/>
          <w:szCs w:val="22"/>
        </w:rPr>
      </w:pPr>
      <w:r w:rsidRPr="000D5F55">
        <w:rPr>
          <w:sz w:val="22"/>
          <w:szCs w:val="22"/>
        </w:rPr>
        <w:t>Данное хозяйство не имеет собственного поголовья коров си</w:t>
      </w:r>
      <w:r w:rsidRPr="000D5F55">
        <w:rPr>
          <w:sz w:val="22"/>
          <w:szCs w:val="22"/>
        </w:rPr>
        <w:t>м</w:t>
      </w:r>
      <w:r w:rsidRPr="000D5F55">
        <w:rPr>
          <w:sz w:val="22"/>
          <w:szCs w:val="22"/>
        </w:rPr>
        <w:t>ментальской породы, молоко приходится закупать в других хозя</w:t>
      </w:r>
      <w:r w:rsidRPr="000D5F55">
        <w:rPr>
          <w:sz w:val="22"/>
          <w:szCs w:val="22"/>
        </w:rPr>
        <w:t>й</w:t>
      </w:r>
      <w:r w:rsidRPr="000D5F55">
        <w:rPr>
          <w:sz w:val="22"/>
          <w:szCs w:val="22"/>
        </w:rPr>
        <w:t>ствах, что влечет за собой увеличение себестоимости конечного продукта и снижение рентабельности. В связи с этим для повыш</w:t>
      </w:r>
      <w:r w:rsidRPr="000D5F55">
        <w:rPr>
          <w:sz w:val="22"/>
          <w:szCs w:val="22"/>
        </w:rPr>
        <w:t>е</w:t>
      </w:r>
      <w:r w:rsidRPr="000D5F55">
        <w:rPr>
          <w:sz w:val="22"/>
          <w:szCs w:val="22"/>
        </w:rPr>
        <w:t>ния экономической эффективности производства молочных пр</w:t>
      </w:r>
      <w:r w:rsidRPr="000D5F55">
        <w:rPr>
          <w:sz w:val="22"/>
          <w:szCs w:val="22"/>
        </w:rPr>
        <w:t>о</w:t>
      </w:r>
      <w:r w:rsidRPr="000D5F55">
        <w:rPr>
          <w:sz w:val="22"/>
          <w:szCs w:val="22"/>
        </w:rPr>
        <w:t xml:space="preserve">дуктов можно рекомендовать хозяйству увеличение в стаде доли коров симментальской породы. </w:t>
      </w:r>
    </w:p>
    <w:p w:rsidR="008742E9" w:rsidRPr="000D5F55" w:rsidRDefault="008742E9" w:rsidP="000D5F55">
      <w:pPr>
        <w:ind w:firstLine="426"/>
        <w:jc w:val="center"/>
        <w:rPr>
          <w:sz w:val="22"/>
          <w:szCs w:val="22"/>
        </w:rPr>
      </w:pPr>
    </w:p>
    <w:p w:rsidR="008742E9" w:rsidRPr="000D5F55" w:rsidRDefault="008742E9" w:rsidP="000D5F55">
      <w:pPr>
        <w:ind w:firstLine="426"/>
        <w:jc w:val="center"/>
        <w:rPr>
          <w:sz w:val="22"/>
          <w:szCs w:val="22"/>
        </w:rPr>
      </w:pPr>
      <w:r w:rsidRPr="000D5F55">
        <w:rPr>
          <w:sz w:val="22"/>
          <w:szCs w:val="22"/>
        </w:rPr>
        <w:t>Список литературы</w:t>
      </w:r>
    </w:p>
    <w:p w:rsidR="008742E9" w:rsidRPr="000D5F55" w:rsidRDefault="008742E9" w:rsidP="000D5F55">
      <w:pPr>
        <w:ind w:firstLine="426"/>
        <w:jc w:val="both"/>
        <w:rPr>
          <w:sz w:val="22"/>
          <w:szCs w:val="22"/>
        </w:rPr>
      </w:pPr>
      <w:r w:rsidRPr="000D5F55">
        <w:rPr>
          <w:bCs/>
          <w:sz w:val="22"/>
          <w:szCs w:val="22"/>
        </w:rPr>
        <w:t>1. Иванов В. А.</w:t>
      </w:r>
      <w:hyperlink r:id="rId43" w:history="1">
        <w:r w:rsidRPr="000D5F55">
          <w:rPr>
            <w:sz w:val="22"/>
            <w:szCs w:val="22"/>
          </w:rPr>
          <w:t>,</w:t>
        </w:r>
      </w:hyperlink>
      <w:r w:rsidRPr="000D5F55">
        <w:rPr>
          <w:bCs/>
          <w:sz w:val="22"/>
          <w:szCs w:val="22"/>
        </w:rPr>
        <w:t xml:space="preserve"> Таджиев К. П. Качество молока симментал</w:t>
      </w:r>
      <w:r w:rsidRPr="000D5F55">
        <w:rPr>
          <w:bCs/>
          <w:sz w:val="22"/>
          <w:szCs w:val="22"/>
        </w:rPr>
        <w:t>ь</w:t>
      </w:r>
      <w:r w:rsidRPr="000D5F55">
        <w:rPr>
          <w:bCs/>
          <w:sz w:val="22"/>
          <w:szCs w:val="22"/>
        </w:rPr>
        <w:t>ских и симментал-голштинских помесных коров / В. А. Иванов</w:t>
      </w:r>
      <w:hyperlink r:id="rId44" w:history="1">
        <w:r w:rsidRPr="000D5F55">
          <w:rPr>
            <w:sz w:val="22"/>
            <w:szCs w:val="22"/>
          </w:rPr>
          <w:t>,</w:t>
        </w:r>
      </w:hyperlink>
      <w:r w:rsidRPr="000D5F55">
        <w:rPr>
          <w:bCs/>
          <w:sz w:val="22"/>
          <w:szCs w:val="22"/>
        </w:rPr>
        <w:t xml:space="preserve"> К. П. Таджиев // </w:t>
      </w:r>
      <w:hyperlink r:id="rId45" w:tooltip="Оглавления выпусков этого журнала" w:history="1">
        <w:r w:rsidRPr="000D5F55">
          <w:rPr>
            <w:sz w:val="22"/>
            <w:szCs w:val="22"/>
          </w:rPr>
          <w:t>Вестник Алтайского государственного аграрного университета</w:t>
        </w:r>
      </w:hyperlink>
      <w:r w:rsidRPr="000D5F55">
        <w:rPr>
          <w:sz w:val="22"/>
          <w:szCs w:val="22"/>
        </w:rPr>
        <w:t xml:space="preserve">. – Издательство: </w:t>
      </w:r>
      <w:hyperlink r:id="rId46" w:tooltip="Список журналов этого издательства" w:history="1">
        <w:r w:rsidRPr="000D5F55">
          <w:rPr>
            <w:sz w:val="22"/>
            <w:szCs w:val="22"/>
          </w:rPr>
          <w:t>Алтайский государственный агра</w:t>
        </w:r>
        <w:r w:rsidRPr="000D5F55">
          <w:rPr>
            <w:sz w:val="22"/>
            <w:szCs w:val="22"/>
          </w:rPr>
          <w:t>р</w:t>
        </w:r>
        <w:r w:rsidRPr="000D5F55">
          <w:rPr>
            <w:sz w:val="22"/>
            <w:szCs w:val="22"/>
          </w:rPr>
          <w:t>ный университет</w:t>
        </w:r>
      </w:hyperlink>
      <w:r w:rsidRPr="000D5F55">
        <w:rPr>
          <w:sz w:val="22"/>
          <w:szCs w:val="22"/>
        </w:rPr>
        <w:t xml:space="preserve"> (Барнаул) Номер: </w:t>
      </w:r>
      <w:hyperlink r:id="rId47" w:tooltip="Оглавление выпуска" w:history="1">
        <w:r w:rsidRPr="000D5F55">
          <w:rPr>
            <w:sz w:val="22"/>
            <w:szCs w:val="22"/>
          </w:rPr>
          <w:t>7 (117)</w:t>
        </w:r>
      </w:hyperlink>
      <w:r w:rsidRPr="000D5F55">
        <w:rPr>
          <w:sz w:val="22"/>
          <w:szCs w:val="22"/>
        </w:rPr>
        <w:t xml:space="preserve"> Год: 2014 Страницы: 154-159</w:t>
      </w:r>
    </w:p>
    <w:p w:rsidR="008742E9" w:rsidRPr="000D5F55" w:rsidRDefault="008742E9" w:rsidP="000D5F55">
      <w:pPr>
        <w:ind w:firstLine="426"/>
        <w:jc w:val="both"/>
        <w:rPr>
          <w:bCs/>
          <w:sz w:val="22"/>
          <w:szCs w:val="22"/>
        </w:rPr>
      </w:pPr>
      <w:r w:rsidRPr="000D5F55">
        <w:rPr>
          <w:sz w:val="22"/>
          <w:szCs w:val="22"/>
        </w:rPr>
        <w:lastRenderedPageBreak/>
        <w:t xml:space="preserve">2. Кощаев А.Г. </w:t>
      </w:r>
      <w:hyperlink r:id="rId48" w:history="1">
        <w:r w:rsidRPr="000D5F55">
          <w:rPr>
            <w:bCs/>
            <w:sz w:val="22"/>
            <w:szCs w:val="22"/>
          </w:rPr>
          <w:t>Гликемия как основной маркер метаболических нарушений у коров в переходный период</w:t>
        </w:r>
      </w:hyperlink>
      <w:r w:rsidRPr="000D5F55">
        <w:rPr>
          <w:sz w:val="22"/>
          <w:szCs w:val="22"/>
        </w:rPr>
        <w:t xml:space="preserve"> / </w:t>
      </w:r>
      <w:r w:rsidRPr="000D5F55">
        <w:rPr>
          <w:iCs/>
          <w:sz w:val="22"/>
          <w:szCs w:val="22"/>
        </w:rPr>
        <w:t>А.Г. Кощаев, В.В. Усе</w:t>
      </w:r>
      <w:r w:rsidRPr="000D5F55">
        <w:rPr>
          <w:iCs/>
          <w:sz w:val="22"/>
          <w:szCs w:val="22"/>
        </w:rPr>
        <w:t>н</w:t>
      </w:r>
      <w:r w:rsidRPr="000D5F55">
        <w:rPr>
          <w:iCs/>
          <w:sz w:val="22"/>
          <w:szCs w:val="22"/>
        </w:rPr>
        <w:t xml:space="preserve">ко, </w:t>
      </w:r>
      <w:r w:rsidRPr="000D5F55">
        <w:rPr>
          <w:bCs/>
          <w:sz w:val="22"/>
          <w:szCs w:val="22"/>
        </w:rPr>
        <w:t xml:space="preserve">А.В. Лихоман, Н.С. Комарова // </w:t>
      </w:r>
      <w:hyperlink r:id="rId49" w:history="1">
        <w:r w:rsidRPr="000D5F55">
          <w:rPr>
            <w:bCs/>
            <w:sz w:val="22"/>
            <w:szCs w:val="22"/>
          </w:rPr>
          <w:t>Зоотехния</w:t>
        </w:r>
      </w:hyperlink>
      <w:r w:rsidRPr="000D5F55">
        <w:rPr>
          <w:bCs/>
          <w:sz w:val="22"/>
          <w:szCs w:val="22"/>
        </w:rPr>
        <w:t>. 2016. </w:t>
      </w:r>
      <w:hyperlink r:id="rId50" w:history="1">
        <w:r w:rsidRPr="000D5F55">
          <w:rPr>
            <w:bCs/>
            <w:sz w:val="22"/>
            <w:szCs w:val="22"/>
          </w:rPr>
          <w:t>№ 1</w:t>
        </w:r>
      </w:hyperlink>
      <w:r w:rsidRPr="000D5F55">
        <w:rPr>
          <w:bCs/>
          <w:sz w:val="22"/>
          <w:szCs w:val="22"/>
        </w:rPr>
        <w:t>. С. 19-20.</w:t>
      </w:r>
    </w:p>
    <w:p w:rsidR="008742E9" w:rsidRPr="000D5F55" w:rsidRDefault="008742E9" w:rsidP="000D5F55">
      <w:pPr>
        <w:ind w:firstLine="426"/>
        <w:jc w:val="both"/>
        <w:rPr>
          <w:bCs/>
          <w:sz w:val="22"/>
          <w:szCs w:val="22"/>
        </w:rPr>
      </w:pPr>
      <w:r w:rsidRPr="000D5F55">
        <w:rPr>
          <w:bCs/>
          <w:sz w:val="22"/>
          <w:szCs w:val="22"/>
        </w:rPr>
        <w:t xml:space="preserve">3. Редько В.В. </w:t>
      </w:r>
      <w:hyperlink r:id="rId51" w:history="1">
        <w:r w:rsidRPr="000D5F55">
          <w:rPr>
            <w:sz w:val="22"/>
            <w:szCs w:val="22"/>
          </w:rPr>
          <w:t>Результаты работы по созданию молочного стада в крестьянском (фермерском) хозяйстве</w:t>
        </w:r>
      </w:hyperlink>
      <w:r w:rsidRPr="000D5F55">
        <w:rPr>
          <w:bCs/>
          <w:sz w:val="22"/>
          <w:szCs w:val="22"/>
        </w:rPr>
        <w:t xml:space="preserve"> / В.В. Редько, В.В. Усенко // В сборнике: </w:t>
      </w:r>
      <w:hyperlink r:id="rId52" w:history="1">
        <w:r w:rsidRPr="000D5F55">
          <w:rPr>
            <w:bCs/>
            <w:sz w:val="22"/>
            <w:szCs w:val="22"/>
          </w:rPr>
          <w:t>Научное обеспечение агропромышленного комплекса</w:t>
        </w:r>
      </w:hyperlink>
      <w:r w:rsidRPr="000D5F55">
        <w:rPr>
          <w:bCs/>
          <w:sz w:val="22"/>
          <w:szCs w:val="22"/>
        </w:rPr>
        <w:t xml:space="preserve"> Сборник статей по материалам ХI Всероссийской конференции м</w:t>
      </w:r>
      <w:r w:rsidRPr="000D5F55">
        <w:rPr>
          <w:bCs/>
          <w:sz w:val="22"/>
          <w:szCs w:val="22"/>
        </w:rPr>
        <w:t>о</w:t>
      </w:r>
      <w:r w:rsidRPr="000D5F55">
        <w:rPr>
          <w:bCs/>
          <w:sz w:val="22"/>
          <w:szCs w:val="22"/>
        </w:rPr>
        <w:t>лодых ученых, посвященной 95-летию Кубанского ГАУ и 80-летию со дня образования Краснодарского края. – 2017. – С. 142-143.</w:t>
      </w:r>
    </w:p>
    <w:p w:rsidR="000D5F55" w:rsidRDefault="000D5F55" w:rsidP="008742E9">
      <w:pPr>
        <w:rPr>
          <w:sz w:val="22"/>
          <w:szCs w:val="22"/>
        </w:rPr>
      </w:pPr>
    </w:p>
    <w:p w:rsidR="000D5F55" w:rsidRDefault="000D5F55" w:rsidP="008742E9">
      <w:pPr>
        <w:rPr>
          <w:sz w:val="22"/>
          <w:szCs w:val="22"/>
        </w:rPr>
      </w:pPr>
    </w:p>
    <w:p w:rsidR="000D5F55" w:rsidRDefault="000D5F55" w:rsidP="008742E9">
      <w:pPr>
        <w:rPr>
          <w:sz w:val="22"/>
          <w:szCs w:val="22"/>
        </w:rPr>
      </w:pPr>
    </w:p>
    <w:p w:rsidR="008742E9" w:rsidRPr="000D5F55" w:rsidRDefault="008742E9" w:rsidP="008742E9">
      <w:pPr>
        <w:rPr>
          <w:sz w:val="22"/>
          <w:szCs w:val="22"/>
        </w:rPr>
      </w:pPr>
      <w:r w:rsidRPr="000D5F55">
        <w:rPr>
          <w:sz w:val="22"/>
          <w:szCs w:val="22"/>
        </w:rPr>
        <w:t>УДК 636.085.33</w:t>
      </w:r>
    </w:p>
    <w:p w:rsidR="008742E9" w:rsidRPr="000D5F55" w:rsidRDefault="008742E9" w:rsidP="008742E9">
      <w:pPr>
        <w:jc w:val="center"/>
        <w:rPr>
          <w:sz w:val="22"/>
          <w:szCs w:val="22"/>
        </w:rPr>
      </w:pPr>
    </w:p>
    <w:p w:rsidR="008742E9" w:rsidRPr="008742E9" w:rsidRDefault="008742E9" w:rsidP="008742E9">
      <w:pPr>
        <w:jc w:val="center"/>
        <w:rPr>
          <w:b/>
          <w:sz w:val="24"/>
          <w:szCs w:val="24"/>
        </w:rPr>
      </w:pPr>
      <w:r w:rsidRPr="008742E9">
        <w:rPr>
          <w:b/>
          <w:sz w:val="24"/>
          <w:szCs w:val="24"/>
        </w:rPr>
        <w:t>Различные методы определения общей влаги в кормах</w:t>
      </w:r>
    </w:p>
    <w:p w:rsidR="008742E9" w:rsidRPr="008742E9" w:rsidRDefault="008742E9" w:rsidP="008742E9">
      <w:pPr>
        <w:jc w:val="center"/>
        <w:rPr>
          <w:b/>
          <w:sz w:val="24"/>
          <w:szCs w:val="24"/>
          <w:lang w:val="en-US"/>
        </w:rPr>
      </w:pPr>
      <w:r w:rsidRPr="008742E9">
        <w:rPr>
          <w:b/>
          <w:sz w:val="24"/>
          <w:szCs w:val="24"/>
          <w:lang w:val="en-US"/>
        </w:rPr>
        <w:t>Different methods for determining dry matter in feeds</w:t>
      </w:r>
    </w:p>
    <w:p w:rsidR="008742E9" w:rsidRPr="008742E9" w:rsidRDefault="008742E9" w:rsidP="008742E9">
      <w:pPr>
        <w:jc w:val="right"/>
        <w:rPr>
          <w:sz w:val="22"/>
          <w:szCs w:val="22"/>
          <w:lang w:val="en-US"/>
        </w:rPr>
      </w:pPr>
    </w:p>
    <w:p w:rsidR="008742E9" w:rsidRPr="008742E9" w:rsidRDefault="008742E9" w:rsidP="008742E9">
      <w:pPr>
        <w:jc w:val="right"/>
        <w:rPr>
          <w:sz w:val="22"/>
          <w:szCs w:val="22"/>
        </w:rPr>
      </w:pPr>
      <w:r w:rsidRPr="008742E9">
        <w:rPr>
          <w:sz w:val="22"/>
          <w:szCs w:val="22"/>
        </w:rPr>
        <w:t>Петросян Н.</w:t>
      </w:r>
      <w:r w:rsidR="000D5F55">
        <w:rPr>
          <w:sz w:val="22"/>
          <w:szCs w:val="22"/>
        </w:rPr>
        <w:t xml:space="preserve"> </w:t>
      </w:r>
      <w:r w:rsidRPr="008742E9">
        <w:rPr>
          <w:sz w:val="22"/>
          <w:szCs w:val="22"/>
        </w:rPr>
        <w:t>С.</w:t>
      </w:r>
      <w:r w:rsidR="000D5F55">
        <w:rPr>
          <w:sz w:val="22"/>
          <w:szCs w:val="22"/>
        </w:rPr>
        <w:t>,</w:t>
      </w:r>
    </w:p>
    <w:p w:rsidR="008742E9" w:rsidRPr="008742E9" w:rsidRDefault="000D5F55" w:rsidP="008742E9">
      <w:pPr>
        <w:jc w:val="right"/>
        <w:rPr>
          <w:sz w:val="22"/>
          <w:szCs w:val="22"/>
        </w:rPr>
      </w:pPr>
      <w:r>
        <w:rPr>
          <w:sz w:val="22"/>
          <w:szCs w:val="22"/>
        </w:rPr>
        <w:t>с</w:t>
      </w:r>
      <w:r w:rsidR="008742E9" w:rsidRPr="008742E9">
        <w:rPr>
          <w:sz w:val="22"/>
          <w:szCs w:val="22"/>
        </w:rPr>
        <w:t>тудентка 2-го курса факультета зоотехнии</w:t>
      </w:r>
    </w:p>
    <w:p w:rsidR="008742E9" w:rsidRPr="008742E9" w:rsidRDefault="008742E9" w:rsidP="008742E9">
      <w:pPr>
        <w:jc w:val="right"/>
        <w:rPr>
          <w:sz w:val="22"/>
          <w:szCs w:val="22"/>
        </w:rPr>
      </w:pPr>
      <w:r w:rsidRPr="008742E9">
        <w:rPr>
          <w:sz w:val="22"/>
          <w:szCs w:val="22"/>
        </w:rPr>
        <w:t>Шляхова О.</w:t>
      </w:r>
      <w:r w:rsidR="000D5F55">
        <w:rPr>
          <w:sz w:val="22"/>
          <w:szCs w:val="22"/>
        </w:rPr>
        <w:t xml:space="preserve"> </w:t>
      </w:r>
      <w:r w:rsidRPr="008742E9">
        <w:rPr>
          <w:sz w:val="22"/>
          <w:szCs w:val="22"/>
        </w:rPr>
        <w:t>Г.</w:t>
      </w:r>
      <w:r w:rsidR="000D5F55">
        <w:rPr>
          <w:sz w:val="22"/>
          <w:szCs w:val="22"/>
        </w:rPr>
        <w:t>,</w:t>
      </w:r>
    </w:p>
    <w:p w:rsidR="000D5F55" w:rsidRDefault="000D5F55" w:rsidP="008742E9">
      <w:pPr>
        <w:jc w:val="right"/>
        <w:rPr>
          <w:sz w:val="22"/>
          <w:szCs w:val="22"/>
        </w:rPr>
      </w:pPr>
      <w:r>
        <w:rPr>
          <w:sz w:val="22"/>
          <w:szCs w:val="22"/>
        </w:rPr>
        <w:t>к</w:t>
      </w:r>
      <w:r w:rsidR="008742E9" w:rsidRPr="008742E9">
        <w:rPr>
          <w:sz w:val="22"/>
          <w:szCs w:val="22"/>
        </w:rPr>
        <w:t>андидат биологических наук,</w:t>
      </w:r>
    </w:p>
    <w:p w:rsidR="008742E9" w:rsidRPr="008742E9" w:rsidRDefault="008742E9" w:rsidP="008742E9">
      <w:pPr>
        <w:jc w:val="right"/>
        <w:rPr>
          <w:sz w:val="22"/>
          <w:szCs w:val="22"/>
        </w:rPr>
      </w:pPr>
      <w:r w:rsidRPr="008742E9">
        <w:rPr>
          <w:sz w:val="22"/>
          <w:szCs w:val="22"/>
        </w:rPr>
        <w:t xml:space="preserve"> доцент кафедры физиологии и кормления с/х животных</w:t>
      </w:r>
    </w:p>
    <w:p w:rsidR="000D5F55" w:rsidRDefault="008742E9" w:rsidP="008742E9">
      <w:pPr>
        <w:jc w:val="right"/>
        <w:rPr>
          <w:sz w:val="22"/>
          <w:szCs w:val="22"/>
        </w:rPr>
      </w:pPr>
      <w:r w:rsidRPr="008742E9">
        <w:rPr>
          <w:sz w:val="22"/>
          <w:szCs w:val="22"/>
        </w:rPr>
        <w:t>Кубанский государственный аграрный</w:t>
      </w:r>
    </w:p>
    <w:p w:rsidR="008742E9" w:rsidRPr="008742E9" w:rsidRDefault="008742E9" w:rsidP="008742E9">
      <w:pPr>
        <w:jc w:val="right"/>
        <w:rPr>
          <w:sz w:val="22"/>
          <w:szCs w:val="22"/>
        </w:rPr>
      </w:pPr>
      <w:r w:rsidRPr="008742E9">
        <w:rPr>
          <w:sz w:val="22"/>
          <w:szCs w:val="22"/>
        </w:rPr>
        <w:t xml:space="preserve"> университет имени И.</w:t>
      </w:r>
      <w:r w:rsidR="000D5F55">
        <w:rPr>
          <w:sz w:val="22"/>
          <w:szCs w:val="22"/>
        </w:rPr>
        <w:t xml:space="preserve"> </w:t>
      </w:r>
      <w:r w:rsidRPr="008742E9">
        <w:rPr>
          <w:sz w:val="22"/>
          <w:szCs w:val="22"/>
        </w:rPr>
        <w:t>Т.Трубилина</w:t>
      </w:r>
    </w:p>
    <w:p w:rsidR="008742E9" w:rsidRPr="008742E9" w:rsidRDefault="008742E9" w:rsidP="008742E9">
      <w:pPr>
        <w:jc w:val="right"/>
        <w:rPr>
          <w:sz w:val="22"/>
          <w:szCs w:val="22"/>
        </w:rPr>
      </w:pPr>
    </w:p>
    <w:p w:rsidR="008742E9" w:rsidRPr="008742E9" w:rsidRDefault="008742E9" w:rsidP="000D5F55">
      <w:pPr>
        <w:ind w:firstLine="426"/>
        <w:jc w:val="both"/>
        <w:rPr>
          <w:sz w:val="22"/>
          <w:szCs w:val="22"/>
        </w:rPr>
      </w:pPr>
      <w:r w:rsidRPr="008742E9">
        <w:rPr>
          <w:sz w:val="22"/>
          <w:szCs w:val="22"/>
        </w:rPr>
        <w:t>АННОТАЦИЯ: Проведена сравнительная оценка методов определения сухого вещества в кормах с использованием сушил</w:t>
      </w:r>
      <w:r w:rsidRPr="008742E9">
        <w:rPr>
          <w:sz w:val="22"/>
          <w:szCs w:val="22"/>
        </w:rPr>
        <w:t>ь</w:t>
      </w:r>
      <w:r w:rsidRPr="008742E9">
        <w:rPr>
          <w:sz w:val="22"/>
          <w:szCs w:val="22"/>
        </w:rPr>
        <w:t>ного шкафа и микроволновой печи. Установили, что микроволновая печь является более быстрым, доступным и эффективным прибором для определения общей влаги в корме.</w:t>
      </w:r>
    </w:p>
    <w:p w:rsidR="008742E9" w:rsidRPr="000D5F55" w:rsidRDefault="008742E9" w:rsidP="000D5F55">
      <w:pPr>
        <w:ind w:firstLine="426"/>
        <w:jc w:val="both"/>
        <w:rPr>
          <w:sz w:val="22"/>
          <w:szCs w:val="22"/>
          <w:lang w:val="en-US"/>
        </w:rPr>
      </w:pPr>
      <w:r w:rsidRPr="008742E9">
        <w:rPr>
          <w:sz w:val="22"/>
          <w:szCs w:val="22"/>
          <w:lang w:val="en-US"/>
        </w:rPr>
        <w:t>ABSTRACT:</w:t>
      </w:r>
      <w:r w:rsidRPr="008742E9">
        <w:rPr>
          <w:rFonts w:ascii="Calibri" w:hAnsi="Calibri"/>
          <w:sz w:val="22"/>
          <w:szCs w:val="22"/>
          <w:lang w:val="en-US"/>
        </w:rPr>
        <w:t xml:space="preserve"> </w:t>
      </w:r>
      <w:r w:rsidRPr="008742E9">
        <w:rPr>
          <w:sz w:val="22"/>
          <w:szCs w:val="22"/>
          <w:lang w:val="en-US"/>
        </w:rPr>
        <w:t>A comparative evaluation of methods for determining dry matter in feeds using a drying cabinet and a microwave oven was conducted. It was found that a microwave oven is a faster, affordable and efficient method of determining the total moisture in the feed</w:t>
      </w:r>
    </w:p>
    <w:p w:rsidR="008742E9" w:rsidRPr="008742E9" w:rsidRDefault="008742E9" w:rsidP="000D5F55">
      <w:pPr>
        <w:ind w:firstLine="426"/>
        <w:jc w:val="both"/>
        <w:rPr>
          <w:sz w:val="22"/>
          <w:szCs w:val="22"/>
        </w:rPr>
      </w:pPr>
      <w:r w:rsidRPr="008742E9">
        <w:rPr>
          <w:sz w:val="22"/>
          <w:szCs w:val="22"/>
        </w:rPr>
        <w:t>КЛЮЧЕВЫЕ СЛОВА: сухое вещество, сушильный шкаф, ми</w:t>
      </w:r>
      <w:r w:rsidRPr="008742E9">
        <w:rPr>
          <w:sz w:val="22"/>
          <w:szCs w:val="22"/>
        </w:rPr>
        <w:t>к</w:t>
      </w:r>
      <w:r w:rsidRPr="008742E9">
        <w:rPr>
          <w:sz w:val="22"/>
          <w:szCs w:val="22"/>
        </w:rPr>
        <w:t>роволновая печь, анализ кормов, общая влага.</w:t>
      </w:r>
    </w:p>
    <w:p w:rsidR="008742E9" w:rsidRPr="008742E9" w:rsidRDefault="008742E9" w:rsidP="000D5F55">
      <w:pPr>
        <w:ind w:firstLine="426"/>
        <w:jc w:val="both"/>
        <w:textAlignment w:val="baseline"/>
        <w:rPr>
          <w:sz w:val="22"/>
          <w:szCs w:val="22"/>
          <w:lang w:val="en-US"/>
        </w:rPr>
      </w:pPr>
      <w:r w:rsidRPr="008742E9">
        <w:rPr>
          <w:sz w:val="22"/>
          <w:szCs w:val="22"/>
          <w:lang w:val="en-US"/>
        </w:rPr>
        <w:t>KEYWORDS: dry matter, drying cabinet, microwave, feed anal</w:t>
      </w:r>
      <w:r w:rsidRPr="008742E9">
        <w:rPr>
          <w:sz w:val="22"/>
          <w:szCs w:val="22"/>
          <w:lang w:val="en-US"/>
        </w:rPr>
        <w:t>y</w:t>
      </w:r>
      <w:r w:rsidRPr="008742E9">
        <w:rPr>
          <w:sz w:val="22"/>
          <w:szCs w:val="22"/>
          <w:lang w:val="en-US"/>
        </w:rPr>
        <w:t>sis, total moisture.</w:t>
      </w:r>
    </w:p>
    <w:p w:rsidR="008742E9" w:rsidRPr="008742E9" w:rsidRDefault="008742E9" w:rsidP="000D5F55">
      <w:pPr>
        <w:ind w:firstLine="426"/>
        <w:jc w:val="both"/>
        <w:textAlignment w:val="baseline"/>
        <w:rPr>
          <w:sz w:val="22"/>
          <w:szCs w:val="22"/>
          <w:lang w:val="en-US"/>
        </w:rPr>
      </w:pPr>
    </w:p>
    <w:p w:rsidR="008742E9" w:rsidRPr="008742E9" w:rsidRDefault="008742E9" w:rsidP="000D5F55">
      <w:pPr>
        <w:ind w:firstLine="426"/>
        <w:jc w:val="both"/>
        <w:textAlignment w:val="baseline"/>
        <w:rPr>
          <w:sz w:val="22"/>
          <w:szCs w:val="22"/>
        </w:rPr>
      </w:pPr>
      <w:r w:rsidRPr="008742E9">
        <w:rPr>
          <w:sz w:val="22"/>
          <w:szCs w:val="22"/>
        </w:rPr>
        <w:t>Совершенствование методов исследования в зоотехническом анализе не теряет актуальности [1, 2]. Возник вопрос оценки эффе</w:t>
      </w:r>
      <w:r w:rsidRPr="008742E9">
        <w:rPr>
          <w:sz w:val="22"/>
          <w:szCs w:val="22"/>
        </w:rPr>
        <w:t>к</w:t>
      </w:r>
      <w:r w:rsidRPr="008742E9">
        <w:rPr>
          <w:sz w:val="22"/>
          <w:szCs w:val="22"/>
        </w:rPr>
        <w:t xml:space="preserve">тивности приборов для определения общей влаги корма. </w:t>
      </w:r>
    </w:p>
    <w:p w:rsidR="008742E9" w:rsidRPr="008742E9" w:rsidRDefault="008742E9" w:rsidP="000D5F55">
      <w:pPr>
        <w:ind w:firstLine="426"/>
        <w:jc w:val="both"/>
        <w:textAlignment w:val="baseline"/>
        <w:rPr>
          <w:sz w:val="22"/>
          <w:szCs w:val="22"/>
        </w:rPr>
      </w:pPr>
      <w:r w:rsidRPr="008742E9">
        <w:rPr>
          <w:sz w:val="22"/>
          <w:szCs w:val="22"/>
        </w:rPr>
        <w:t>Общее содержание влаги в корме слагается из первоначальной и гигроскопической влажности.</w:t>
      </w:r>
    </w:p>
    <w:p w:rsidR="008742E9" w:rsidRPr="008742E9" w:rsidRDefault="008742E9" w:rsidP="000D5F55">
      <w:pPr>
        <w:ind w:firstLine="426"/>
        <w:jc w:val="both"/>
        <w:textAlignment w:val="baseline"/>
        <w:rPr>
          <w:sz w:val="22"/>
          <w:szCs w:val="22"/>
        </w:rPr>
      </w:pPr>
      <w:r w:rsidRPr="008742E9">
        <w:rPr>
          <w:sz w:val="22"/>
          <w:szCs w:val="22"/>
        </w:rPr>
        <w:t>Под первоначальной влажностью понимают массу воды, исп</w:t>
      </w:r>
      <w:r w:rsidRPr="008742E9">
        <w:rPr>
          <w:sz w:val="22"/>
          <w:szCs w:val="22"/>
        </w:rPr>
        <w:t>а</w:t>
      </w:r>
      <w:r w:rsidRPr="008742E9">
        <w:rPr>
          <w:sz w:val="22"/>
          <w:szCs w:val="22"/>
        </w:rPr>
        <w:t>рившейся из корма при температуре 60-65</w:t>
      </w:r>
      <w:r w:rsidRPr="008742E9">
        <w:rPr>
          <w:sz w:val="22"/>
          <w:szCs w:val="22"/>
        </w:rPr>
        <w:sym w:font="Symbol" w:char="F0B0"/>
      </w:r>
      <w:r w:rsidRPr="008742E9">
        <w:rPr>
          <w:sz w:val="22"/>
          <w:szCs w:val="22"/>
        </w:rPr>
        <w:t>. Таким высушиванием корм приводим в воздушно</w:t>
      </w:r>
      <w:r w:rsidRPr="008742E9">
        <w:rPr>
          <w:sz w:val="22"/>
          <w:szCs w:val="22"/>
        </w:rPr>
        <w:noBreakHyphen/>
        <w:t xml:space="preserve">сухое состояние. </w:t>
      </w:r>
    </w:p>
    <w:p w:rsidR="008742E9" w:rsidRPr="008742E9" w:rsidRDefault="008742E9" w:rsidP="000D5F55">
      <w:pPr>
        <w:ind w:firstLine="426"/>
        <w:jc w:val="both"/>
        <w:textAlignment w:val="baseline"/>
        <w:rPr>
          <w:sz w:val="22"/>
          <w:szCs w:val="22"/>
        </w:rPr>
      </w:pPr>
      <w:r w:rsidRPr="008742E9">
        <w:rPr>
          <w:sz w:val="22"/>
          <w:szCs w:val="22"/>
        </w:rPr>
        <w:t>Влага, содержащаяся в воздушно</w:t>
      </w:r>
      <w:r w:rsidRPr="008742E9">
        <w:rPr>
          <w:sz w:val="22"/>
          <w:szCs w:val="22"/>
        </w:rPr>
        <w:noBreakHyphen/>
        <w:t>сухом веществе корма, наз</w:t>
      </w:r>
      <w:r w:rsidRPr="008742E9">
        <w:rPr>
          <w:sz w:val="22"/>
          <w:szCs w:val="22"/>
        </w:rPr>
        <w:t>ы</w:t>
      </w:r>
      <w:r w:rsidRPr="008742E9">
        <w:rPr>
          <w:sz w:val="22"/>
          <w:szCs w:val="22"/>
        </w:rPr>
        <w:t>вается гигроскопической. Она определяется высушиванием навески корма при температуре 100-105</w:t>
      </w:r>
      <w:r w:rsidRPr="008742E9">
        <w:rPr>
          <w:sz w:val="22"/>
          <w:szCs w:val="22"/>
        </w:rPr>
        <w:sym w:font="Symbol" w:char="F0B0"/>
      </w:r>
      <w:r w:rsidRPr="008742E9">
        <w:rPr>
          <w:sz w:val="22"/>
          <w:szCs w:val="22"/>
        </w:rPr>
        <w:t xml:space="preserve"> до постоянной массы, при этом получается абсолютно сухое вещество корма [1].</w:t>
      </w:r>
    </w:p>
    <w:p w:rsidR="008742E9" w:rsidRPr="008742E9" w:rsidRDefault="008742E9" w:rsidP="000D5F55">
      <w:pPr>
        <w:ind w:firstLine="426"/>
        <w:jc w:val="both"/>
        <w:textAlignment w:val="baseline"/>
        <w:rPr>
          <w:sz w:val="22"/>
          <w:szCs w:val="22"/>
        </w:rPr>
      </w:pPr>
      <w:r w:rsidRPr="008742E9">
        <w:rPr>
          <w:sz w:val="22"/>
          <w:szCs w:val="22"/>
        </w:rPr>
        <w:t xml:space="preserve">В анализе мы исследовали только один образец </w:t>
      </w:r>
      <w:r w:rsidRPr="008742E9">
        <w:rPr>
          <w:sz w:val="22"/>
          <w:szCs w:val="22"/>
        </w:rPr>
        <w:noBreakHyphen/>
        <w:t xml:space="preserve"> кормосмесь. Состав кормосмеси: силос, сенаж, комбикорм, премикс. Методика определения первоначальной влаги в кормосмеси с использованием микроволновой печи и сушильного шкафа </w:t>
      </w:r>
      <w:r w:rsidRPr="008742E9">
        <w:rPr>
          <w:sz w:val="22"/>
          <w:szCs w:val="22"/>
        </w:rPr>
        <w:noBreakHyphen/>
        <w:t xml:space="preserve"> отличаются. В образце, высушенном в микроволновой печи содержание сухого вещества, составило 43,4 г в 100 г или 56,6 % общей влаги, в сушильном шк</w:t>
      </w:r>
      <w:r w:rsidRPr="008742E9">
        <w:rPr>
          <w:sz w:val="22"/>
          <w:szCs w:val="22"/>
        </w:rPr>
        <w:t>а</w:t>
      </w:r>
      <w:r w:rsidRPr="008742E9">
        <w:rPr>
          <w:sz w:val="22"/>
          <w:szCs w:val="22"/>
        </w:rPr>
        <w:t xml:space="preserve">фу </w:t>
      </w:r>
      <w:r w:rsidRPr="008742E9">
        <w:rPr>
          <w:sz w:val="22"/>
          <w:szCs w:val="22"/>
        </w:rPr>
        <w:noBreakHyphen/>
        <w:t xml:space="preserve"> 53,2 г в 100 г или 46,8 % общей влаги.</w:t>
      </w:r>
    </w:p>
    <w:p w:rsidR="008742E9" w:rsidRPr="008742E9" w:rsidRDefault="008742E9" w:rsidP="000D5F55">
      <w:pPr>
        <w:ind w:firstLine="426"/>
        <w:jc w:val="both"/>
        <w:textAlignment w:val="baseline"/>
        <w:rPr>
          <w:sz w:val="22"/>
          <w:szCs w:val="22"/>
        </w:rPr>
      </w:pPr>
      <w:r w:rsidRPr="008742E9">
        <w:rPr>
          <w:bCs/>
          <w:sz w:val="22"/>
          <w:szCs w:val="22"/>
          <w:bdr w:val="none" w:sz="0" w:space="0" w:color="auto" w:frame="1"/>
        </w:rPr>
        <w:t>Методика определения сухого вещества или общей влаги с и</w:t>
      </w:r>
      <w:r w:rsidRPr="008742E9">
        <w:rPr>
          <w:bCs/>
          <w:sz w:val="22"/>
          <w:szCs w:val="22"/>
          <w:bdr w:val="none" w:sz="0" w:space="0" w:color="auto" w:frame="1"/>
        </w:rPr>
        <w:t>с</w:t>
      </w:r>
      <w:r w:rsidRPr="008742E9">
        <w:rPr>
          <w:bCs/>
          <w:sz w:val="22"/>
          <w:szCs w:val="22"/>
          <w:bdr w:val="none" w:sz="0" w:space="0" w:color="auto" w:frame="1"/>
        </w:rPr>
        <w:t>пользованием микроволновой печи:</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1. Отобрать среднюю пробу в количестве 100 г кормосмеси.</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2. Распределить материал равномерно по тарелке.</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3. Взвесить пробу.</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 xml:space="preserve">4.В зависимости от влажности корма включить печь в режим размораживания на 2 минуты для нагревания. </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5. Поставить на 2 минуты. Снова взвесить.</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6. Дальше время в микроволновой печи уменьшаем на 30 с</w:t>
      </w:r>
      <w:r w:rsidRPr="008742E9">
        <w:rPr>
          <w:bCs/>
          <w:sz w:val="22"/>
          <w:szCs w:val="22"/>
          <w:bdr w:val="none" w:sz="0" w:space="0" w:color="auto" w:frame="1"/>
        </w:rPr>
        <w:t>е</w:t>
      </w:r>
      <w:r w:rsidRPr="008742E9">
        <w:rPr>
          <w:bCs/>
          <w:sz w:val="22"/>
          <w:szCs w:val="22"/>
          <w:bdr w:val="none" w:sz="0" w:space="0" w:color="auto" w:frame="1"/>
        </w:rPr>
        <w:t>кунд в зависимости от того на сколько влажный корм. Взвешиваем пробу.</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7. Ставим на 30 секунд вместе со стаканом воды (250 мл).</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8. Взвесить пробу. Если материал при сдавливании крошится и ломается, то он сухой. Если материал еще влажный повторить нагревание и снова взвесить.</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9. Если вес не изменяется, то проба сухая. Если изменяется, нужно поставить еще на 30 секунд в микроволновую печь.</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lastRenderedPageBreak/>
        <w:t>10. Полученный вес представляет собой количество сухого в</w:t>
      </w:r>
      <w:r w:rsidRPr="008742E9">
        <w:rPr>
          <w:bCs/>
          <w:sz w:val="22"/>
          <w:szCs w:val="22"/>
          <w:bdr w:val="none" w:sz="0" w:space="0" w:color="auto" w:frame="1"/>
        </w:rPr>
        <w:t>е</w:t>
      </w:r>
      <w:r w:rsidRPr="008742E9">
        <w:rPr>
          <w:bCs/>
          <w:sz w:val="22"/>
          <w:szCs w:val="22"/>
          <w:bdr w:val="none" w:sz="0" w:space="0" w:color="auto" w:frame="1"/>
        </w:rPr>
        <w:t>щества в 100 г. Если это значение отнимем от 100 %, получится с</w:t>
      </w:r>
      <w:r w:rsidRPr="008742E9">
        <w:rPr>
          <w:bCs/>
          <w:sz w:val="22"/>
          <w:szCs w:val="22"/>
          <w:bdr w:val="none" w:sz="0" w:space="0" w:color="auto" w:frame="1"/>
        </w:rPr>
        <w:t>о</w:t>
      </w:r>
      <w:r w:rsidRPr="008742E9">
        <w:rPr>
          <w:bCs/>
          <w:sz w:val="22"/>
          <w:szCs w:val="22"/>
          <w:bdr w:val="none" w:sz="0" w:space="0" w:color="auto" w:frame="1"/>
        </w:rPr>
        <w:t>держание общей влаги, выраженное в процентах.</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По времени методика определения общей влаги (или сухого вещества) с использованием микроволновой печи заняла 10 минут.</w:t>
      </w:r>
    </w:p>
    <w:p w:rsidR="008742E9" w:rsidRPr="008742E9" w:rsidRDefault="008742E9" w:rsidP="000D5F55">
      <w:pPr>
        <w:ind w:firstLine="426"/>
        <w:jc w:val="both"/>
        <w:textAlignment w:val="baseline"/>
        <w:rPr>
          <w:sz w:val="22"/>
          <w:szCs w:val="22"/>
        </w:rPr>
      </w:pPr>
      <w:r w:rsidRPr="008742E9">
        <w:rPr>
          <w:bCs/>
          <w:sz w:val="22"/>
          <w:szCs w:val="22"/>
          <w:bdr w:val="none" w:sz="0" w:space="0" w:color="auto" w:frame="1"/>
        </w:rPr>
        <w:t>Методика</w:t>
      </w:r>
      <w:r w:rsidRPr="008742E9">
        <w:rPr>
          <w:sz w:val="22"/>
          <w:szCs w:val="22"/>
        </w:rPr>
        <w:t xml:space="preserve"> определения общей влаги с использованием сушил</w:t>
      </w:r>
      <w:r w:rsidRPr="008742E9">
        <w:rPr>
          <w:sz w:val="22"/>
          <w:szCs w:val="22"/>
        </w:rPr>
        <w:t>ь</w:t>
      </w:r>
      <w:r w:rsidRPr="008742E9">
        <w:rPr>
          <w:sz w:val="22"/>
          <w:szCs w:val="22"/>
        </w:rPr>
        <w:t>ного шкафа:</w:t>
      </w:r>
    </w:p>
    <w:p w:rsidR="008742E9" w:rsidRPr="008742E9" w:rsidRDefault="008742E9" w:rsidP="000D5F55">
      <w:pPr>
        <w:ind w:firstLine="426"/>
        <w:jc w:val="both"/>
        <w:textAlignment w:val="baseline"/>
        <w:rPr>
          <w:sz w:val="22"/>
          <w:szCs w:val="22"/>
        </w:rPr>
      </w:pPr>
      <w:r w:rsidRPr="008742E9">
        <w:rPr>
          <w:sz w:val="22"/>
          <w:szCs w:val="22"/>
        </w:rPr>
        <w:t>1. Берем навеску корма 100</w:t>
      </w:r>
      <w:r w:rsidRPr="008742E9">
        <w:rPr>
          <w:sz w:val="22"/>
          <w:szCs w:val="22"/>
        </w:rPr>
        <w:noBreakHyphen/>
        <w:t>200 г и помещаем в тарированную посуду, взвешиваем на технических весах и отправляем в сушил</w:t>
      </w:r>
      <w:r w:rsidRPr="008742E9">
        <w:rPr>
          <w:sz w:val="22"/>
          <w:szCs w:val="22"/>
        </w:rPr>
        <w:t>ь</w:t>
      </w:r>
      <w:r w:rsidRPr="008742E9">
        <w:rPr>
          <w:sz w:val="22"/>
          <w:szCs w:val="22"/>
        </w:rPr>
        <w:t>ный шкаф для высушивания при температуре 60</w:t>
      </w:r>
      <w:r w:rsidRPr="008742E9">
        <w:rPr>
          <w:sz w:val="22"/>
          <w:szCs w:val="22"/>
        </w:rPr>
        <w:noBreakHyphen/>
        <w:t>65</w:t>
      </w:r>
      <w:r w:rsidRPr="008742E9">
        <w:rPr>
          <w:sz w:val="22"/>
          <w:szCs w:val="22"/>
        </w:rPr>
        <w:sym w:font="Symbol" w:char="F0B0"/>
      </w:r>
      <w:r w:rsidRPr="008742E9">
        <w:rPr>
          <w:sz w:val="22"/>
          <w:szCs w:val="22"/>
        </w:rPr>
        <w:t>.</w:t>
      </w:r>
    </w:p>
    <w:p w:rsidR="008742E9" w:rsidRPr="008742E9" w:rsidRDefault="008742E9" w:rsidP="000D5F55">
      <w:pPr>
        <w:ind w:firstLine="426"/>
        <w:jc w:val="both"/>
        <w:textAlignment w:val="baseline"/>
        <w:rPr>
          <w:sz w:val="22"/>
          <w:szCs w:val="22"/>
        </w:rPr>
      </w:pPr>
      <w:r w:rsidRPr="008742E9">
        <w:rPr>
          <w:sz w:val="22"/>
          <w:szCs w:val="22"/>
        </w:rPr>
        <w:t>2. Высушивание навески кормов ведут в течение 3</w:t>
      </w:r>
      <w:r w:rsidRPr="008742E9">
        <w:rPr>
          <w:sz w:val="22"/>
          <w:szCs w:val="22"/>
        </w:rPr>
        <w:noBreakHyphen/>
        <w:t>4 часов, п</w:t>
      </w:r>
      <w:r w:rsidRPr="008742E9">
        <w:rPr>
          <w:sz w:val="22"/>
          <w:szCs w:val="22"/>
        </w:rPr>
        <w:t>о</w:t>
      </w:r>
      <w:r w:rsidRPr="008742E9">
        <w:rPr>
          <w:sz w:val="22"/>
          <w:szCs w:val="22"/>
        </w:rPr>
        <w:t>сле чего вынимают из сушильного шкафа, дают немного остыть (20</w:t>
      </w:r>
      <w:r w:rsidRPr="008742E9">
        <w:rPr>
          <w:sz w:val="22"/>
          <w:szCs w:val="22"/>
        </w:rPr>
        <w:noBreakHyphen/>
        <w:t>30 минут) и взвешивают на технических весах. Затем пробу вновь помещают в сушильный шкаф на 1</w:t>
      </w:r>
      <w:r w:rsidRPr="008742E9">
        <w:rPr>
          <w:sz w:val="22"/>
          <w:szCs w:val="22"/>
        </w:rPr>
        <w:noBreakHyphen/>
        <w:t>2 часа и взвешивают. Так повторяют до тех пор, пока разница двух последних взвешиваний не будет превышать 0,5 г.</w:t>
      </w:r>
    </w:p>
    <w:p w:rsidR="008742E9" w:rsidRPr="008742E9" w:rsidRDefault="008742E9" w:rsidP="000D5F55">
      <w:pPr>
        <w:ind w:firstLine="426"/>
        <w:jc w:val="both"/>
        <w:textAlignment w:val="baseline"/>
        <w:rPr>
          <w:sz w:val="22"/>
          <w:szCs w:val="22"/>
        </w:rPr>
      </w:pPr>
      <w:r w:rsidRPr="008742E9">
        <w:rPr>
          <w:sz w:val="22"/>
          <w:szCs w:val="22"/>
        </w:rPr>
        <w:t>3. После последнего взвешивания посуду с кормом оставляют в лаборатории на 10</w:t>
      </w:r>
      <w:r w:rsidRPr="008742E9">
        <w:rPr>
          <w:sz w:val="22"/>
          <w:szCs w:val="22"/>
        </w:rPr>
        <w:noBreakHyphen/>
        <w:t>12 часов для приведения вещества в возду</w:t>
      </w:r>
      <w:r w:rsidRPr="008742E9">
        <w:rPr>
          <w:sz w:val="22"/>
          <w:szCs w:val="22"/>
        </w:rPr>
        <w:t>ш</w:t>
      </w:r>
      <w:r w:rsidRPr="008742E9">
        <w:rPr>
          <w:sz w:val="22"/>
          <w:szCs w:val="22"/>
        </w:rPr>
        <w:t>но</w:t>
      </w:r>
      <w:r w:rsidRPr="008742E9">
        <w:rPr>
          <w:sz w:val="22"/>
          <w:szCs w:val="22"/>
        </w:rPr>
        <w:noBreakHyphen/>
        <w:t>сухое состояние и снова взвешивают.</w:t>
      </w:r>
    </w:p>
    <w:p w:rsidR="008742E9" w:rsidRPr="008742E9" w:rsidRDefault="008742E9" w:rsidP="000D5F55">
      <w:pPr>
        <w:ind w:firstLine="426"/>
        <w:jc w:val="both"/>
        <w:textAlignment w:val="baseline"/>
        <w:rPr>
          <w:sz w:val="22"/>
          <w:szCs w:val="22"/>
        </w:rPr>
      </w:pPr>
      <w:r w:rsidRPr="008742E9">
        <w:rPr>
          <w:sz w:val="22"/>
          <w:szCs w:val="22"/>
        </w:rPr>
        <w:t>4. Разница между высушиванием первоначальной влаги и и</w:t>
      </w:r>
      <w:r w:rsidRPr="008742E9">
        <w:rPr>
          <w:sz w:val="22"/>
          <w:szCs w:val="22"/>
        </w:rPr>
        <w:t>с</w:t>
      </w:r>
      <w:r w:rsidRPr="008742E9">
        <w:rPr>
          <w:sz w:val="22"/>
          <w:szCs w:val="22"/>
        </w:rPr>
        <w:t>ходного вещества – количество сухого вещества или общей влаги.</w:t>
      </w:r>
    </w:p>
    <w:p w:rsidR="008742E9" w:rsidRPr="008742E9" w:rsidRDefault="008742E9" w:rsidP="000D5F55">
      <w:pPr>
        <w:ind w:firstLine="426"/>
        <w:jc w:val="both"/>
        <w:textAlignment w:val="baseline"/>
        <w:rPr>
          <w:bCs/>
          <w:sz w:val="22"/>
          <w:szCs w:val="22"/>
          <w:bdr w:val="none" w:sz="0" w:space="0" w:color="auto" w:frame="1"/>
        </w:rPr>
      </w:pPr>
      <w:r w:rsidRPr="008742E9">
        <w:rPr>
          <w:bCs/>
          <w:sz w:val="22"/>
          <w:szCs w:val="22"/>
          <w:bdr w:val="none" w:sz="0" w:space="0" w:color="auto" w:frame="1"/>
        </w:rPr>
        <w:t>По времени методика сушильного шкафа занимает до 6 ч.</w:t>
      </w:r>
    </w:p>
    <w:p w:rsidR="008742E9" w:rsidRPr="008742E9" w:rsidRDefault="008742E9" w:rsidP="000D5F55">
      <w:pPr>
        <w:ind w:firstLine="426"/>
        <w:jc w:val="both"/>
        <w:textAlignment w:val="baseline"/>
        <w:rPr>
          <w:sz w:val="22"/>
          <w:szCs w:val="22"/>
        </w:rPr>
      </w:pPr>
      <w:r w:rsidRPr="008742E9">
        <w:rPr>
          <w:sz w:val="22"/>
          <w:szCs w:val="22"/>
        </w:rPr>
        <w:t>Определение показателя «сухое вещество» в микроволновой печи является более быстрым, доступным и эффективным методом определения общей влаги.</w:t>
      </w:r>
      <w:r w:rsidRPr="008742E9">
        <w:rPr>
          <w:bCs/>
          <w:sz w:val="22"/>
          <w:szCs w:val="22"/>
          <w:bdr w:val="none" w:sz="0" w:space="0" w:color="auto" w:frame="1"/>
        </w:rPr>
        <w:t xml:space="preserve"> По времени этот метод занял 10 минут.</w:t>
      </w:r>
      <w:r w:rsidRPr="008742E9">
        <w:rPr>
          <w:sz w:val="22"/>
          <w:szCs w:val="22"/>
        </w:rPr>
        <w:t xml:space="preserve"> </w:t>
      </w:r>
    </w:p>
    <w:p w:rsidR="008742E9" w:rsidRPr="008742E9" w:rsidRDefault="008742E9" w:rsidP="000D5F55">
      <w:pPr>
        <w:ind w:firstLine="426"/>
        <w:jc w:val="both"/>
        <w:textAlignment w:val="baseline"/>
        <w:rPr>
          <w:bCs/>
          <w:sz w:val="22"/>
          <w:szCs w:val="22"/>
          <w:bdr w:val="none" w:sz="0" w:space="0" w:color="auto" w:frame="1"/>
        </w:rPr>
      </w:pPr>
      <w:r w:rsidRPr="008742E9">
        <w:rPr>
          <w:iCs/>
          <w:sz w:val="22"/>
          <w:szCs w:val="22"/>
          <w:bdr w:val="none" w:sz="0" w:space="0" w:color="auto" w:frame="1"/>
        </w:rPr>
        <w:t>Метод микроволновой печи не может выступать адекватной заменой стандартного метода определения сухого вещества в корме.</w:t>
      </w:r>
      <w:r w:rsidRPr="008742E9">
        <w:rPr>
          <w:sz w:val="22"/>
          <w:szCs w:val="22"/>
        </w:rPr>
        <w:t xml:space="preserve"> Для получения результатов при научных исследованиях, где треб</w:t>
      </w:r>
      <w:r w:rsidRPr="008742E9">
        <w:rPr>
          <w:sz w:val="22"/>
          <w:szCs w:val="22"/>
        </w:rPr>
        <w:t>у</w:t>
      </w:r>
      <w:r w:rsidRPr="008742E9">
        <w:rPr>
          <w:sz w:val="22"/>
          <w:szCs w:val="22"/>
        </w:rPr>
        <w:t>ются точные значения, нужно строго придерживаться методики с использованием лабораторного сушильного шкафа.</w:t>
      </w:r>
      <w:r w:rsidRPr="008742E9">
        <w:rPr>
          <w:bCs/>
          <w:sz w:val="22"/>
          <w:szCs w:val="22"/>
          <w:bdr w:val="none" w:sz="0" w:space="0" w:color="auto" w:frame="1"/>
        </w:rPr>
        <w:t xml:space="preserve"> По времени эта методика занимает до 6 часов.</w:t>
      </w:r>
    </w:p>
    <w:p w:rsidR="008742E9" w:rsidRPr="008742E9" w:rsidRDefault="008742E9" w:rsidP="000D5F55">
      <w:pPr>
        <w:ind w:firstLine="426"/>
        <w:jc w:val="both"/>
        <w:textAlignment w:val="baseline"/>
        <w:rPr>
          <w:bCs/>
          <w:sz w:val="22"/>
          <w:szCs w:val="22"/>
          <w:bdr w:val="none" w:sz="0" w:space="0" w:color="auto" w:frame="1"/>
        </w:rPr>
      </w:pPr>
      <w:r w:rsidRPr="008742E9">
        <w:rPr>
          <w:sz w:val="22"/>
          <w:szCs w:val="22"/>
        </w:rPr>
        <w:t>В условиях фермы вполне осуществим и достаточен эк</w:t>
      </w:r>
      <w:r w:rsidRPr="008742E9">
        <w:rPr>
          <w:sz w:val="22"/>
          <w:szCs w:val="22"/>
        </w:rPr>
        <w:t>с</w:t>
      </w:r>
      <w:r w:rsidRPr="008742E9">
        <w:rPr>
          <w:sz w:val="22"/>
          <w:szCs w:val="22"/>
        </w:rPr>
        <w:t>пресс</w:t>
      </w:r>
      <w:r w:rsidRPr="008742E9">
        <w:rPr>
          <w:sz w:val="22"/>
          <w:szCs w:val="22"/>
        </w:rPr>
        <w:noBreakHyphen/>
        <w:t>метод по определению сухого вещества или общей влаги. В условиях лаборатории целесообразно наличие оборудования как для проведения экспресс-анализа, так и для более глубокого анал</w:t>
      </w:r>
      <w:r w:rsidRPr="008742E9">
        <w:rPr>
          <w:sz w:val="22"/>
          <w:szCs w:val="22"/>
        </w:rPr>
        <w:t>и</w:t>
      </w:r>
      <w:r w:rsidRPr="008742E9">
        <w:rPr>
          <w:sz w:val="22"/>
          <w:szCs w:val="22"/>
        </w:rPr>
        <w:t>за с выявлением содержания первоначальной и гигроскопической влаги в исследуемом образце.</w:t>
      </w:r>
    </w:p>
    <w:p w:rsidR="008742E9" w:rsidRPr="008742E9" w:rsidRDefault="008742E9" w:rsidP="000D5F55">
      <w:pPr>
        <w:ind w:firstLine="426"/>
        <w:jc w:val="both"/>
        <w:textAlignment w:val="baseline"/>
        <w:rPr>
          <w:sz w:val="22"/>
          <w:szCs w:val="22"/>
        </w:rPr>
      </w:pPr>
    </w:p>
    <w:p w:rsidR="008742E9" w:rsidRPr="008742E9" w:rsidRDefault="008742E9" w:rsidP="000D5F55">
      <w:pPr>
        <w:ind w:firstLine="426"/>
        <w:jc w:val="center"/>
        <w:rPr>
          <w:sz w:val="22"/>
          <w:szCs w:val="22"/>
        </w:rPr>
      </w:pPr>
      <w:r w:rsidRPr="008742E9">
        <w:rPr>
          <w:sz w:val="22"/>
          <w:szCs w:val="22"/>
        </w:rPr>
        <w:lastRenderedPageBreak/>
        <w:t>Список литературы</w:t>
      </w:r>
    </w:p>
    <w:p w:rsidR="008742E9" w:rsidRPr="008742E9" w:rsidRDefault="008742E9" w:rsidP="000D5F55">
      <w:pPr>
        <w:ind w:firstLine="426"/>
        <w:jc w:val="both"/>
        <w:textAlignment w:val="baseline"/>
        <w:rPr>
          <w:sz w:val="22"/>
          <w:szCs w:val="22"/>
        </w:rPr>
      </w:pPr>
      <w:r w:rsidRPr="008742E9">
        <w:rPr>
          <w:sz w:val="22"/>
          <w:szCs w:val="22"/>
        </w:rPr>
        <w:t>1. Скворцова Л.Н. Зоотехнический анализ кормов: рабочая те</w:t>
      </w:r>
      <w:r w:rsidRPr="008742E9">
        <w:rPr>
          <w:sz w:val="22"/>
          <w:szCs w:val="22"/>
        </w:rPr>
        <w:t>т</w:t>
      </w:r>
      <w:r w:rsidRPr="008742E9">
        <w:rPr>
          <w:sz w:val="22"/>
          <w:szCs w:val="22"/>
        </w:rPr>
        <w:t>радь/ Л.Н. Скворцова.</w:t>
      </w:r>
      <w:r w:rsidRPr="008742E9">
        <w:rPr>
          <w:sz w:val="22"/>
          <w:szCs w:val="22"/>
        </w:rPr>
        <w:noBreakHyphen/>
        <w:t xml:space="preserve"> Краснодар: КубГАУ, 2016.</w:t>
      </w:r>
    </w:p>
    <w:p w:rsidR="008742E9" w:rsidRPr="008742E9" w:rsidRDefault="008742E9" w:rsidP="000D5F55">
      <w:pPr>
        <w:ind w:firstLine="426"/>
        <w:jc w:val="both"/>
        <w:textAlignment w:val="baseline"/>
        <w:rPr>
          <w:sz w:val="22"/>
          <w:szCs w:val="22"/>
        </w:rPr>
      </w:pPr>
      <w:r w:rsidRPr="008742E9">
        <w:rPr>
          <w:sz w:val="22"/>
          <w:szCs w:val="22"/>
        </w:rPr>
        <w:t xml:space="preserve">2. </w:t>
      </w:r>
      <w:hyperlink r:id="rId53" w:history="1">
        <w:r w:rsidRPr="008742E9">
          <w:rPr>
            <w:sz w:val="22"/>
            <w:szCs w:val="22"/>
          </w:rPr>
          <w:t>https://soft-agro.com/korovy/kak-opredelit-soderzhanie-suxogo-veshhestva-v-korme-s-pomoshhyu-mikrovolnovki.html</w:t>
        </w:r>
      </w:hyperlink>
      <w:r w:rsidRPr="008742E9">
        <w:rPr>
          <w:sz w:val="22"/>
          <w:szCs w:val="22"/>
        </w:rPr>
        <w:t>.</w:t>
      </w:r>
    </w:p>
    <w:p w:rsidR="008742E9" w:rsidRPr="008742E9" w:rsidRDefault="008742E9" w:rsidP="008742E9">
      <w:pPr>
        <w:jc w:val="both"/>
        <w:textAlignment w:val="baseline"/>
        <w:rPr>
          <w:sz w:val="22"/>
          <w:szCs w:val="22"/>
        </w:rPr>
      </w:pPr>
    </w:p>
    <w:p w:rsidR="008742E9" w:rsidRDefault="008742E9" w:rsidP="008742E9">
      <w:pPr>
        <w:jc w:val="both"/>
        <w:textAlignment w:val="baseline"/>
        <w:rPr>
          <w:sz w:val="22"/>
          <w:szCs w:val="22"/>
        </w:rPr>
      </w:pPr>
    </w:p>
    <w:p w:rsidR="000D5F55" w:rsidRPr="008742E9" w:rsidRDefault="000D5F55" w:rsidP="008742E9">
      <w:pPr>
        <w:jc w:val="both"/>
        <w:textAlignment w:val="baseline"/>
        <w:rPr>
          <w:sz w:val="22"/>
          <w:szCs w:val="22"/>
        </w:rPr>
      </w:pPr>
    </w:p>
    <w:p w:rsidR="008742E9" w:rsidRPr="000D5F55" w:rsidRDefault="008742E9" w:rsidP="008742E9">
      <w:pPr>
        <w:rPr>
          <w:sz w:val="22"/>
          <w:szCs w:val="22"/>
        </w:rPr>
      </w:pPr>
      <w:r w:rsidRPr="000D5F55">
        <w:rPr>
          <w:sz w:val="22"/>
          <w:szCs w:val="22"/>
        </w:rPr>
        <w:t>УДК 351.765</w:t>
      </w:r>
    </w:p>
    <w:p w:rsidR="008742E9" w:rsidRPr="000D5F55" w:rsidRDefault="008742E9" w:rsidP="008742E9">
      <w:pPr>
        <w:jc w:val="center"/>
        <w:rPr>
          <w:b/>
          <w:sz w:val="22"/>
          <w:szCs w:val="22"/>
        </w:rPr>
      </w:pPr>
    </w:p>
    <w:p w:rsidR="008742E9" w:rsidRPr="008742E9" w:rsidRDefault="008742E9" w:rsidP="008742E9">
      <w:pPr>
        <w:jc w:val="center"/>
        <w:rPr>
          <w:b/>
          <w:sz w:val="24"/>
          <w:szCs w:val="24"/>
        </w:rPr>
      </w:pPr>
      <w:r w:rsidRPr="008742E9">
        <w:rPr>
          <w:b/>
          <w:sz w:val="24"/>
          <w:szCs w:val="24"/>
        </w:rPr>
        <w:t xml:space="preserve">Перспективы возобновления численности </w:t>
      </w:r>
    </w:p>
    <w:p w:rsidR="008742E9" w:rsidRPr="008742E9" w:rsidRDefault="008742E9" w:rsidP="008742E9">
      <w:pPr>
        <w:jc w:val="center"/>
        <w:rPr>
          <w:b/>
          <w:sz w:val="24"/>
          <w:szCs w:val="24"/>
        </w:rPr>
      </w:pPr>
      <w:r w:rsidRPr="008742E9">
        <w:rPr>
          <w:b/>
          <w:sz w:val="24"/>
          <w:szCs w:val="24"/>
        </w:rPr>
        <w:t>байкальского осетра в озере Байкал</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8742E9">
        <w:rPr>
          <w:b/>
          <w:color w:val="212121"/>
          <w:sz w:val="24"/>
          <w:szCs w:val="24"/>
          <w:lang w:val="en-US"/>
        </w:rPr>
        <w:t>Prospects for the resumption of the number</w:t>
      </w:r>
    </w:p>
    <w:p w:rsidR="008742E9" w:rsidRPr="008742E9" w:rsidRDefault="008742E9" w:rsidP="008742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8742E9">
        <w:rPr>
          <w:b/>
          <w:color w:val="212121"/>
          <w:sz w:val="24"/>
          <w:szCs w:val="24"/>
          <w:lang w:val="en-US"/>
        </w:rPr>
        <w:t>Baikal sturgeon in Lake Baikal</w:t>
      </w:r>
    </w:p>
    <w:p w:rsidR="008742E9" w:rsidRPr="008742E9" w:rsidRDefault="008742E9" w:rsidP="008742E9">
      <w:pPr>
        <w:jc w:val="center"/>
        <w:rPr>
          <w:b/>
          <w:sz w:val="24"/>
          <w:szCs w:val="24"/>
          <w:lang w:val="en-US"/>
        </w:rPr>
      </w:pPr>
    </w:p>
    <w:p w:rsidR="008742E9" w:rsidRPr="00024398" w:rsidRDefault="008742E9" w:rsidP="008742E9">
      <w:pPr>
        <w:jc w:val="right"/>
        <w:rPr>
          <w:sz w:val="22"/>
          <w:szCs w:val="22"/>
          <w:lang w:val="en-US"/>
        </w:rPr>
      </w:pPr>
      <w:r w:rsidRPr="000D5F55">
        <w:rPr>
          <w:sz w:val="22"/>
          <w:szCs w:val="22"/>
        </w:rPr>
        <w:t>Преловская</w:t>
      </w:r>
      <w:r w:rsidRPr="000D5F55">
        <w:rPr>
          <w:sz w:val="22"/>
          <w:szCs w:val="22"/>
          <w:lang w:val="en-US"/>
        </w:rPr>
        <w:t xml:space="preserve"> </w:t>
      </w:r>
      <w:r w:rsidRPr="000D5F55">
        <w:rPr>
          <w:sz w:val="22"/>
          <w:szCs w:val="22"/>
        </w:rPr>
        <w:t>К</w:t>
      </w:r>
      <w:r w:rsidRPr="000D5F55">
        <w:rPr>
          <w:sz w:val="22"/>
          <w:szCs w:val="22"/>
          <w:lang w:val="en-US"/>
        </w:rPr>
        <w:t xml:space="preserve">. </w:t>
      </w:r>
      <w:r w:rsidRPr="000D5F55">
        <w:rPr>
          <w:sz w:val="22"/>
          <w:szCs w:val="22"/>
        </w:rPr>
        <w:t>Е</w:t>
      </w:r>
      <w:r w:rsidR="000D5F55">
        <w:rPr>
          <w:sz w:val="22"/>
          <w:szCs w:val="22"/>
          <w:lang w:val="en-US"/>
        </w:rPr>
        <w:t>.,</w:t>
      </w:r>
    </w:p>
    <w:p w:rsidR="008742E9" w:rsidRPr="000D5F55" w:rsidRDefault="008742E9" w:rsidP="008742E9">
      <w:pPr>
        <w:jc w:val="right"/>
        <w:rPr>
          <w:sz w:val="22"/>
          <w:szCs w:val="22"/>
        </w:rPr>
      </w:pPr>
      <w:r w:rsidRPr="000D5F55">
        <w:rPr>
          <w:sz w:val="22"/>
          <w:szCs w:val="22"/>
        </w:rPr>
        <w:t>студентка 4 курс факультета зоотехнии</w:t>
      </w:r>
    </w:p>
    <w:p w:rsidR="008742E9" w:rsidRPr="000D5F55" w:rsidRDefault="008742E9" w:rsidP="008742E9">
      <w:pPr>
        <w:jc w:val="right"/>
        <w:rPr>
          <w:sz w:val="22"/>
          <w:szCs w:val="22"/>
        </w:rPr>
      </w:pPr>
      <w:r w:rsidRPr="000D5F55">
        <w:rPr>
          <w:sz w:val="22"/>
          <w:szCs w:val="22"/>
        </w:rPr>
        <w:t>Усенко В.</w:t>
      </w:r>
      <w:r w:rsidR="000D5F55">
        <w:rPr>
          <w:sz w:val="22"/>
          <w:szCs w:val="22"/>
        </w:rPr>
        <w:t xml:space="preserve"> </w:t>
      </w:r>
      <w:r w:rsidRPr="000D5F55">
        <w:rPr>
          <w:sz w:val="22"/>
          <w:szCs w:val="22"/>
        </w:rPr>
        <w:t>В.</w:t>
      </w:r>
      <w:r w:rsidR="000D5F55">
        <w:rPr>
          <w:sz w:val="22"/>
          <w:szCs w:val="22"/>
        </w:rPr>
        <w:t>,</w:t>
      </w:r>
    </w:p>
    <w:p w:rsidR="008742E9" w:rsidRPr="000D5F55" w:rsidRDefault="008742E9" w:rsidP="008742E9">
      <w:pPr>
        <w:jc w:val="right"/>
        <w:rPr>
          <w:sz w:val="22"/>
          <w:szCs w:val="22"/>
        </w:rPr>
      </w:pPr>
      <w:r w:rsidRPr="000D5F55">
        <w:rPr>
          <w:sz w:val="22"/>
          <w:szCs w:val="22"/>
        </w:rPr>
        <w:t>доцент кафедры физиологии и кормления с.-х. животных</w:t>
      </w:r>
    </w:p>
    <w:p w:rsidR="000D5F55" w:rsidRDefault="000D5F55" w:rsidP="000D5F55">
      <w:pPr>
        <w:jc w:val="right"/>
        <w:rPr>
          <w:sz w:val="22"/>
          <w:szCs w:val="22"/>
        </w:rPr>
      </w:pPr>
      <w:r w:rsidRPr="000A2A2D">
        <w:rPr>
          <w:sz w:val="22"/>
          <w:szCs w:val="22"/>
        </w:rPr>
        <w:t>Кубанский государственный аграрный</w:t>
      </w:r>
    </w:p>
    <w:p w:rsidR="000D5F55" w:rsidRPr="000A2A2D" w:rsidRDefault="000D5F55" w:rsidP="000D5F55">
      <w:pPr>
        <w:jc w:val="right"/>
        <w:rPr>
          <w:sz w:val="22"/>
          <w:szCs w:val="22"/>
        </w:rPr>
      </w:pPr>
      <w:r w:rsidRPr="000A2A2D">
        <w:rPr>
          <w:sz w:val="22"/>
          <w:szCs w:val="22"/>
        </w:rPr>
        <w:t xml:space="preserve"> университет имени И.</w:t>
      </w:r>
      <w:r>
        <w:rPr>
          <w:sz w:val="22"/>
          <w:szCs w:val="22"/>
        </w:rPr>
        <w:t xml:space="preserve"> </w:t>
      </w:r>
      <w:r w:rsidRPr="000A2A2D">
        <w:rPr>
          <w:sz w:val="22"/>
          <w:szCs w:val="22"/>
        </w:rPr>
        <w:t>Т.Трубилина</w:t>
      </w:r>
    </w:p>
    <w:p w:rsidR="000D5F55" w:rsidRDefault="000D5F55" w:rsidP="008742E9">
      <w:pPr>
        <w:jc w:val="both"/>
        <w:rPr>
          <w:sz w:val="22"/>
          <w:szCs w:val="22"/>
        </w:rPr>
      </w:pPr>
    </w:p>
    <w:p w:rsidR="008742E9" w:rsidRPr="008742E9" w:rsidRDefault="008742E9" w:rsidP="000D5F55">
      <w:pPr>
        <w:ind w:firstLine="426"/>
        <w:jc w:val="both"/>
        <w:rPr>
          <w:sz w:val="22"/>
          <w:szCs w:val="22"/>
        </w:rPr>
      </w:pPr>
      <w:r w:rsidRPr="008742E9">
        <w:rPr>
          <w:sz w:val="22"/>
          <w:szCs w:val="22"/>
        </w:rPr>
        <w:t>АННОТАЦИЯ: установлено первичное звено нарушения п</w:t>
      </w:r>
      <w:r w:rsidRPr="008742E9">
        <w:rPr>
          <w:sz w:val="22"/>
          <w:szCs w:val="22"/>
        </w:rPr>
        <w:t>и</w:t>
      </w:r>
      <w:r w:rsidRPr="008742E9">
        <w:rPr>
          <w:sz w:val="22"/>
          <w:szCs w:val="22"/>
        </w:rPr>
        <w:t>щевой цепи байкальского осетра; разработана «дорожная карта» по восстановлению биоценоза озера Байкал и условий для размнож</w:t>
      </w:r>
      <w:r w:rsidRPr="008742E9">
        <w:rPr>
          <w:sz w:val="22"/>
          <w:szCs w:val="22"/>
        </w:rPr>
        <w:t>е</w:t>
      </w:r>
      <w:r w:rsidRPr="008742E9">
        <w:rPr>
          <w:sz w:val="22"/>
          <w:szCs w:val="22"/>
        </w:rPr>
        <w:t>ния байкальского осетра. Необходима помощь волонтеров, научное обеспечение, а также серьезная и многоплановая программа гос</w:t>
      </w:r>
      <w:r w:rsidRPr="008742E9">
        <w:rPr>
          <w:sz w:val="22"/>
          <w:szCs w:val="22"/>
        </w:rPr>
        <w:t>у</w:t>
      </w:r>
      <w:r w:rsidRPr="008742E9">
        <w:rPr>
          <w:sz w:val="22"/>
          <w:szCs w:val="22"/>
        </w:rPr>
        <w:t>дарственной поддержки.</w:t>
      </w:r>
    </w:p>
    <w:p w:rsidR="008742E9" w:rsidRPr="000D5F55" w:rsidRDefault="008742E9" w:rsidP="000D5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inherit" w:hAnsi="inherit" w:cs="Courier New"/>
          <w:color w:val="212121"/>
          <w:sz w:val="20"/>
          <w:szCs w:val="20"/>
          <w:lang w:val="en-US"/>
        </w:rPr>
      </w:pPr>
      <w:r w:rsidRPr="008742E9">
        <w:rPr>
          <w:rFonts w:ascii="inherit" w:hAnsi="inherit" w:cs="Courier New"/>
          <w:color w:val="212121"/>
          <w:sz w:val="20"/>
          <w:szCs w:val="20"/>
          <w:lang w:val="en-US"/>
        </w:rPr>
        <w:t>SUMMARY: the primary link of the food chain of the Baikal sturgeon was established; a "road map" was developed to restore the biocenosis of Lake Baikal and conditions for the reproduction of the Baikal sturgeon. Volunteers need assistance, scientific support, as well as a serious and multifaceted program of state support for the project.</w:t>
      </w:r>
    </w:p>
    <w:p w:rsidR="008742E9" w:rsidRPr="008742E9" w:rsidRDefault="008742E9" w:rsidP="000D5F55">
      <w:pPr>
        <w:ind w:firstLine="426"/>
        <w:jc w:val="both"/>
        <w:rPr>
          <w:sz w:val="22"/>
          <w:szCs w:val="22"/>
        </w:rPr>
      </w:pPr>
      <w:r w:rsidRPr="008742E9">
        <w:rPr>
          <w:sz w:val="22"/>
          <w:szCs w:val="22"/>
        </w:rPr>
        <w:t xml:space="preserve">КЛЮЧЕВЫЕ СЛОВА: байкальский осетр, нарушение пищевой цепи, водоросль Спирогира. </w:t>
      </w:r>
    </w:p>
    <w:p w:rsidR="008742E9" w:rsidRPr="008742E9" w:rsidRDefault="008742E9" w:rsidP="000D5F55">
      <w:pPr>
        <w:ind w:firstLine="426"/>
        <w:jc w:val="both"/>
        <w:rPr>
          <w:sz w:val="22"/>
          <w:szCs w:val="22"/>
          <w:lang w:val="en-US"/>
        </w:rPr>
      </w:pPr>
      <w:r w:rsidRPr="008742E9">
        <w:rPr>
          <w:rFonts w:ascii="inherit" w:hAnsi="inherit"/>
          <w:color w:val="212121"/>
          <w:sz w:val="22"/>
          <w:szCs w:val="22"/>
          <w:lang w:val="en-US"/>
        </w:rPr>
        <w:t>KEY WORDS: Baikal sturgeon, food chain disturbance, Spirogir alga.</w:t>
      </w:r>
    </w:p>
    <w:p w:rsidR="008742E9" w:rsidRPr="008742E9" w:rsidRDefault="008742E9" w:rsidP="000D5F55">
      <w:pPr>
        <w:ind w:firstLine="426"/>
        <w:jc w:val="both"/>
        <w:rPr>
          <w:sz w:val="22"/>
          <w:szCs w:val="22"/>
          <w:lang w:val="en-US"/>
        </w:rPr>
      </w:pPr>
    </w:p>
    <w:p w:rsidR="008742E9" w:rsidRPr="008742E9" w:rsidRDefault="008742E9" w:rsidP="000D5F55">
      <w:pPr>
        <w:ind w:firstLine="426"/>
        <w:jc w:val="both"/>
        <w:rPr>
          <w:sz w:val="22"/>
          <w:szCs w:val="22"/>
        </w:rPr>
      </w:pPr>
      <w:r w:rsidRPr="008742E9">
        <w:rPr>
          <w:sz w:val="22"/>
          <w:szCs w:val="22"/>
        </w:rPr>
        <w:lastRenderedPageBreak/>
        <w:t>В Байкале обитает особая форма озерного, байкальского осе</w:t>
      </w:r>
      <w:r w:rsidRPr="008742E9">
        <w:rPr>
          <w:sz w:val="22"/>
          <w:szCs w:val="22"/>
        </w:rPr>
        <w:t>т</w:t>
      </w:r>
      <w:r w:rsidRPr="008742E9">
        <w:rPr>
          <w:sz w:val="22"/>
          <w:szCs w:val="22"/>
        </w:rPr>
        <w:t>ра; это единственный представитель вида хрящевых рыб в озере. С 1945 г. был введен запрет на его промысел, он занесен в "Красную книгу РСФСР" и "Красную книгу Бурятии". Лимитирующими фа</w:t>
      </w:r>
      <w:r w:rsidRPr="008742E9">
        <w:rPr>
          <w:sz w:val="22"/>
          <w:szCs w:val="22"/>
        </w:rPr>
        <w:t>к</w:t>
      </w:r>
      <w:r w:rsidRPr="008742E9">
        <w:rPr>
          <w:sz w:val="22"/>
          <w:szCs w:val="22"/>
        </w:rPr>
        <w:t xml:space="preserve">торами восстановления численности байкальского осетра являются: позднее созревание организма, неежегодный нерест, загрязнение нерестовых рек (особенно р. Селенги) промышленными отходами, а также лесосплав, браконьерский вылов молоди и взрослых особей. </w:t>
      </w:r>
    </w:p>
    <w:p w:rsidR="008742E9" w:rsidRPr="008742E9" w:rsidRDefault="008742E9" w:rsidP="000D5F55">
      <w:pPr>
        <w:ind w:firstLine="426"/>
        <w:jc w:val="both"/>
        <w:rPr>
          <w:sz w:val="22"/>
          <w:szCs w:val="22"/>
        </w:rPr>
      </w:pPr>
      <w:r w:rsidRPr="008742E9">
        <w:rPr>
          <w:sz w:val="22"/>
          <w:szCs w:val="22"/>
        </w:rPr>
        <w:t>В настоящее время озеро Байкал стоит на грани экологической катастрофы из-за увеличения числа туристических объектов, не с</w:t>
      </w:r>
      <w:r w:rsidRPr="008742E9">
        <w:rPr>
          <w:sz w:val="22"/>
          <w:szCs w:val="22"/>
        </w:rPr>
        <w:t>о</w:t>
      </w:r>
      <w:r w:rsidRPr="008742E9">
        <w:rPr>
          <w:sz w:val="22"/>
          <w:szCs w:val="22"/>
        </w:rPr>
        <w:t>ответствующих требованиям экологической безопасности; угрож</w:t>
      </w:r>
      <w:r w:rsidRPr="008742E9">
        <w:rPr>
          <w:sz w:val="22"/>
          <w:szCs w:val="22"/>
        </w:rPr>
        <w:t>а</w:t>
      </w:r>
      <w:r w:rsidRPr="008742E9">
        <w:rPr>
          <w:sz w:val="22"/>
          <w:szCs w:val="22"/>
        </w:rPr>
        <w:t xml:space="preserve">ющих масштабов браконьерства; антропогенных лесных пожаров. Большую роль в загрязнении озера играют нефтяные скважины в </w:t>
      </w:r>
      <w:hyperlink r:id="rId54" w:history="1">
        <w:r w:rsidRPr="008742E9">
          <w:rPr>
            <w:color w:val="000000"/>
            <w:sz w:val="22"/>
            <w:szCs w:val="22"/>
          </w:rPr>
          <w:t>дельте реки Селенги</w:t>
        </w:r>
      </w:hyperlink>
      <w:r w:rsidRPr="008742E9">
        <w:rPr>
          <w:sz w:val="22"/>
          <w:szCs w:val="22"/>
        </w:rPr>
        <w:t>, а также последствия выбросов уже закрытого БЦБК. Все это привело к избыточному размножению водоросли спирогиры – главной причины нарушения видовой и трофической структуры биоценоза озера Байкал, которое, в свою очередь, прив</w:t>
      </w:r>
      <w:r w:rsidRPr="008742E9">
        <w:rPr>
          <w:sz w:val="22"/>
          <w:szCs w:val="22"/>
        </w:rPr>
        <w:t>е</w:t>
      </w:r>
      <w:r w:rsidRPr="008742E9">
        <w:rPr>
          <w:sz w:val="22"/>
          <w:szCs w:val="22"/>
        </w:rPr>
        <w:t xml:space="preserve">ло к резкому ограничению возможностей питания байкальского осетра [1]. </w:t>
      </w:r>
    </w:p>
    <w:p w:rsidR="008742E9" w:rsidRPr="008742E9" w:rsidRDefault="008742E9" w:rsidP="000D5F55">
      <w:pPr>
        <w:ind w:firstLine="426"/>
        <w:jc w:val="both"/>
        <w:rPr>
          <w:sz w:val="22"/>
          <w:szCs w:val="22"/>
        </w:rPr>
      </w:pPr>
      <w:r w:rsidRPr="008742E9">
        <w:rPr>
          <w:sz w:val="22"/>
          <w:szCs w:val="22"/>
        </w:rPr>
        <w:t>Цель проекта: определение путей восстановления численности байкальского осетра.</w:t>
      </w:r>
    </w:p>
    <w:p w:rsidR="008742E9" w:rsidRPr="008742E9" w:rsidRDefault="008742E9" w:rsidP="000D5F55">
      <w:pPr>
        <w:ind w:firstLine="426"/>
        <w:jc w:val="both"/>
        <w:rPr>
          <w:sz w:val="22"/>
          <w:szCs w:val="22"/>
        </w:rPr>
      </w:pPr>
      <w:r w:rsidRPr="008742E9">
        <w:rPr>
          <w:sz w:val="22"/>
          <w:szCs w:val="22"/>
        </w:rPr>
        <w:t xml:space="preserve">Задачи проекта: </w:t>
      </w:r>
    </w:p>
    <w:p w:rsidR="008742E9" w:rsidRPr="008742E9" w:rsidRDefault="008742E9" w:rsidP="000D5F55">
      <w:pPr>
        <w:ind w:firstLine="426"/>
        <w:jc w:val="both"/>
        <w:rPr>
          <w:sz w:val="22"/>
          <w:szCs w:val="22"/>
        </w:rPr>
      </w:pPr>
      <w:r w:rsidRPr="008742E9">
        <w:rPr>
          <w:sz w:val="22"/>
          <w:szCs w:val="22"/>
        </w:rPr>
        <w:t xml:space="preserve">- направления совершенствования законодательной базы по охране озера Байкал; </w:t>
      </w:r>
    </w:p>
    <w:p w:rsidR="008742E9" w:rsidRPr="008742E9" w:rsidRDefault="008742E9" w:rsidP="000D5F55">
      <w:pPr>
        <w:ind w:firstLine="426"/>
        <w:jc w:val="both"/>
        <w:rPr>
          <w:sz w:val="22"/>
          <w:szCs w:val="22"/>
        </w:rPr>
      </w:pPr>
      <w:r w:rsidRPr="008742E9">
        <w:rPr>
          <w:sz w:val="22"/>
          <w:szCs w:val="22"/>
        </w:rPr>
        <w:t>- оценка эффективности способов уменьшения спектра нег</w:t>
      </w:r>
      <w:r w:rsidRPr="008742E9">
        <w:rPr>
          <w:sz w:val="22"/>
          <w:szCs w:val="22"/>
        </w:rPr>
        <w:t>а</w:t>
      </w:r>
      <w:r w:rsidRPr="008742E9">
        <w:rPr>
          <w:sz w:val="22"/>
          <w:szCs w:val="22"/>
        </w:rPr>
        <w:t xml:space="preserve">тивных воздействий на биоценоз озера Байкал. </w:t>
      </w:r>
    </w:p>
    <w:p w:rsidR="008742E9" w:rsidRPr="008742E9" w:rsidRDefault="008742E9" w:rsidP="000D5F55">
      <w:pPr>
        <w:ind w:firstLine="426"/>
        <w:jc w:val="both"/>
        <w:rPr>
          <w:color w:val="000000"/>
          <w:sz w:val="22"/>
          <w:szCs w:val="22"/>
          <w:u w:val="single"/>
        </w:rPr>
      </w:pPr>
      <w:r w:rsidRPr="008742E9">
        <w:rPr>
          <w:sz w:val="22"/>
          <w:szCs w:val="22"/>
        </w:rPr>
        <w:t>- изучение жизнедеятельности, «уязвимых точек» и возможных путей полезного использования Спирогиры.</w:t>
      </w:r>
    </w:p>
    <w:p w:rsidR="008742E9" w:rsidRPr="008742E9" w:rsidRDefault="008742E9" w:rsidP="000D5F55">
      <w:pPr>
        <w:ind w:firstLine="426"/>
        <w:jc w:val="both"/>
        <w:rPr>
          <w:color w:val="000000"/>
          <w:sz w:val="22"/>
          <w:szCs w:val="22"/>
        </w:rPr>
      </w:pPr>
      <w:r w:rsidRPr="008742E9">
        <w:rPr>
          <w:color w:val="000000"/>
          <w:sz w:val="22"/>
          <w:szCs w:val="22"/>
        </w:rPr>
        <w:t>Настоящая проблема имеет очень важное экологическое, эк</w:t>
      </w:r>
      <w:r w:rsidRPr="008742E9">
        <w:rPr>
          <w:color w:val="000000"/>
          <w:sz w:val="22"/>
          <w:szCs w:val="22"/>
        </w:rPr>
        <w:t>о</w:t>
      </w:r>
      <w:r w:rsidRPr="008742E9">
        <w:rPr>
          <w:color w:val="000000"/>
          <w:sz w:val="22"/>
          <w:szCs w:val="22"/>
        </w:rPr>
        <w:t>номическое и социальное значение [1, 2]. Принятые законы и меры по восстановлению численности рыб и в целом по сохранению оз</w:t>
      </w:r>
      <w:r w:rsidRPr="008742E9">
        <w:rPr>
          <w:color w:val="000000"/>
          <w:sz w:val="22"/>
          <w:szCs w:val="22"/>
        </w:rPr>
        <w:t>е</w:t>
      </w:r>
      <w:r w:rsidRPr="008742E9">
        <w:rPr>
          <w:color w:val="000000"/>
          <w:sz w:val="22"/>
          <w:szCs w:val="22"/>
        </w:rPr>
        <w:t>ра малоэффективны.</w:t>
      </w:r>
    </w:p>
    <w:p w:rsidR="008742E9" w:rsidRPr="008742E9" w:rsidRDefault="008742E9" w:rsidP="000D5F55">
      <w:pPr>
        <w:ind w:firstLine="426"/>
        <w:jc w:val="both"/>
        <w:rPr>
          <w:color w:val="FF0000"/>
          <w:sz w:val="22"/>
          <w:szCs w:val="22"/>
        </w:rPr>
      </w:pPr>
      <w:r w:rsidRPr="008742E9">
        <w:rPr>
          <w:color w:val="000000"/>
          <w:sz w:val="22"/>
          <w:szCs w:val="22"/>
        </w:rPr>
        <w:t>На областном уровне обсужден и одобрен алгоритм деятельн</w:t>
      </w:r>
      <w:r w:rsidRPr="008742E9">
        <w:rPr>
          <w:color w:val="000000"/>
          <w:sz w:val="22"/>
          <w:szCs w:val="22"/>
        </w:rPr>
        <w:t>о</w:t>
      </w:r>
      <w:r w:rsidRPr="008742E9">
        <w:rPr>
          <w:color w:val="000000"/>
          <w:sz w:val="22"/>
          <w:szCs w:val="22"/>
        </w:rPr>
        <w:t>сти  по восстановлению другого вида рыб – байкальского омуля – путем зарыбления мальками и создания полноценного маточного стада. Аналогичные действия в отношении байкальского осетра не могут в корне улучшить ситуацию; требуется принципиально др</w:t>
      </w:r>
      <w:r w:rsidRPr="008742E9">
        <w:rPr>
          <w:color w:val="000000"/>
          <w:sz w:val="22"/>
          <w:szCs w:val="22"/>
        </w:rPr>
        <w:t>у</w:t>
      </w:r>
      <w:r w:rsidRPr="008742E9">
        <w:rPr>
          <w:color w:val="000000"/>
          <w:sz w:val="22"/>
          <w:szCs w:val="22"/>
        </w:rPr>
        <w:t>гой подход: необходимо в корне пересмотреть меры по охране во</w:t>
      </w:r>
      <w:r w:rsidRPr="008742E9">
        <w:rPr>
          <w:color w:val="000000"/>
          <w:sz w:val="22"/>
          <w:szCs w:val="22"/>
        </w:rPr>
        <w:t>д</w:t>
      </w:r>
      <w:r w:rsidRPr="008742E9">
        <w:rPr>
          <w:color w:val="000000"/>
          <w:sz w:val="22"/>
          <w:szCs w:val="22"/>
        </w:rPr>
        <w:lastRenderedPageBreak/>
        <w:t>ных зон Байкала, запретить строительство промышленных пре</w:t>
      </w:r>
      <w:r w:rsidRPr="008742E9">
        <w:rPr>
          <w:color w:val="000000"/>
          <w:sz w:val="22"/>
          <w:szCs w:val="22"/>
        </w:rPr>
        <w:t>д</w:t>
      </w:r>
      <w:r w:rsidRPr="008742E9">
        <w:rPr>
          <w:color w:val="000000"/>
          <w:sz w:val="22"/>
          <w:szCs w:val="22"/>
        </w:rPr>
        <w:t>приятий на берегах озера, усилить контроль за отловом байкальск</w:t>
      </w:r>
      <w:r w:rsidRPr="008742E9">
        <w:rPr>
          <w:color w:val="000000"/>
          <w:sz w:val="22"/>
          <w:szCs w:val="22"/>
        </w:rPr>
        <w:t>о</w:t>
      </w:r>
      <w:r w:rsidRPr="008742E9">
        <w:rPr>
          <w:color w:val="000000"/>
          <w:sz w:val="22"/>
          <w:szCs w:val="22"/>
        </w:rPr>
        <w:t>го осетра и ужесточить наказание за браконьерство.</w:t>
      </w:r>
      <w:r w:rsidRPr="008742E9">
        <w:rPr>
          <w:color w:val="FF0000"/>
          <w:sz w:val="22"/>
          <w:szCs w:val="22"/>
        </w:rPr>
        <w:t xml:space="preserve"> </w:t>
      </w:r>
    </w:p>
    <w:p w:rsidR="008742E9" w:rsidRPr="008742E9" w:rsidRDefault="008742E9" w:rsidP="000D5F55">
      <w:pPr>
        <w:ind w:firstLine="426"/>
        <w:jc w:val="both"/>
        <w:rPr>
          <w:color w:val="000000"/>
          <w:sz w:val="22"/>
          <w:szCs w:val="22"/>
        </w:rPr>
      </w:pPr>
      <w:r w:rsidRPr="008742E9">
        <w:rPr>
          <w:sz w:val="22"/>
          <w:szCs w:val="22"/>
        </w:rPr>
        <w:t>Целесообразно определить в самом Байкале, в местах наибольшей концентрации осетра, запретные для всякого лова участки; активизировать волонтерское движение по очистке озера Байкал и рек, служащих нерестилищем для ценных видов рыб; обеспечить охрану и мелиорацию нерестилищ; обеспечить иску</w:t>
      </w:r>
      <w:r w:rsidRPr="008742E9">
        <w:rPr>
          <w:sz w:val="22"/>
          <w:szCs w:val="22"/>
        </w:rPr>
        <w:t>с</w:t>
      </w:r>
      <w:r w:rsidRPr="008742E9">
        <w:rPr>
          <w:sz w:val="22"/>
          <w:szCs w:val="22"/>
        </w:rPr>
        <w:t xml:space="preserve">ственное разведение этой рыбы; </w:t>
      </w:r>
      <w:r w:rsidRPr="008742E9">
        <w:rPr>
          <w:color w:val="000000"/>
          <w:sz w:val="22"/>
          <w:szCs w:val="22"/>
        </w:rPr>
        <w:t xml:space="preserve">восстановить «пищевую цепь» для байкальского осетра [1, 2]. </w:t>
      </w:r>
    </w:p>
    <w:p w:rsidR="008742E9" w:rsidRPr="008742E9" w:rsidRDefault="008742E9" w:rsidP="000D5F55">
      <w:pPr>
        <w:ind w:firstLine="426"/>
        <w:jc w:val="both"/>
        <w:rPr>
          <w:color w:val="000000"/>
          <w:sz w:val="22"/>
          <w:szCs w:val="22"/>
        </w:rPr>
      </w:pPr>
      <w:r w:rsidRPr="008742E9">
        <w:rPr>
          <w:color w:val="000000"/>
          <w:sz w:val="22"/>
          <w:szCs w:val="22"/>
        </w:rPr>
        <w:t>Реализация проекта требует принятия действенных законов об охране озера, создания племенных заводов и репродукторов для разведения рыбы, устранения техногенных факторов, препятств</w:t>
      </w:r>
      <w:r w:rsidRPr="008742E9">
        <w:rPr>
          <w:color w:val="000000"/>
          <w:sz w:val="22"/>
          <w:szCs w:val="22"/>
        </w:rPr>
        <w:t>у</w:t>
      </w:r>
      <w:r w:rsidRPr="008742E9">
        <w:rPr>
          <w:color w:val="000000"/>
          <w:sz w:val="22"/>
          <w:szCs w:val="22"/>
        </w:rPr>
        <w:t xml:space="preserve">ющих естественному размножению и росту байкальского осетра. </w:t>
      </w:r>
    </w:p>
    <w:p w:rsidR="008742E9" w:rsidRPr="008742E9" w:rsidRDefault="008742E9" w:rsidP="000D5F55">
      <w:pPr>
        <w:ind w:firstLine="426"/>
        <w:jc w:val="both"/>
        <w:rPr>
          <w:color w:val="000000"/>
          <w:sz w:val="22"/>
          <w:szCs w:val="22"/>
        </w:rPr>
      </w:pPr>
      <w:r w:rsidRPr="008742E9">
        <w:rPr>
          <w:color w:val="000000"/>
          <w:sz w:val="22"/>
          <w:szCs w:val="22"/>
        </w:rPr>
        <w:t>Практическая реализация данного проекта силами научных учреждений заключается в определении путей восстановления ест</w:t>
      </w:r>
      <w:r w:rsidRPr="008742E9">
        <w:rPr>
          <w:color w:val="000000"/>
          <w:sz w:val="22"/>
          <w:szCs w:val="22"/>
        </w:rPr>
        <w:t>е</w:t>
      </w:r>
      <w:r w:rsidRPr="008742E9">
        <w:rPr>
          <w:color w:val="000000"/>
          <w:sz w:val="22"/>
          <w:szCs w:val="22"/>
        </w:rPr>
        <w:t xml:space="preserve">ственной пищевой цепи, необходимой для байкальского осетра. </w:t>
      </w:r>
    </w:p>
    <w:p w:rsidR="008742E9" w:rsidRPr="008742E9" w:rsidRDefault="008742E9" w:rsidP="000D5F55">
      <w:pPr>
        <w:ind w:firstLine="426"/>
        <w:jc w:val="both"/>
        <w:rPr>
          <w:color w:val="000000"/>
          <w:sz w:val="22"/>
          <w:szCs w:val="22"/>
        </w:rPr>
      </w:pPr>
      <w:r w:rsidRPr="008742E9">
        <w:rPr>
          <w:color w:val="000000"/>
          <w:sz w:val="22"/>
          <w:szCs w:val="22"/>
        </w:rPr>
        <w:t>Обоснована необходимость глубокого изучения всех аспектов жизнедеятельности водоросли Спирогира для создания эффекти</w:t>
      </w:r>
      <w:r w:rsidRPr="008742E9">
        <w:rPr>
          <w:color w:val="000000"/>
          <w:sz w:val="22"/>
          <w:szCs w:val="22"/>
        </w:rPr>
        <w:t>в</w:t>
      </w:r>
      <w:r w:rsidRPr="008742E9">
        <w:rPr>
          <w:color w:val="000000"/>
          <w:sz w:val="22"/>
          <w:szCs w:val="22"/>
        </w:rPr>
        <w:t>ной стратегии ограничения ее распространения по акватории озера Байкал, поскольку именно эта водоросль находится в начале нар</w:t>
      </w:r>
      <w:r w:rsidRPr="008742E9">
        <w:rPr>
          <w:color w:val="000000"/>
          <w:sz w:val="22"/>
          <w:szCs w:val="22"/>
        </w:rPr>
        <w:t>у</w:t>
      </w:r>
      <w:r w:rsidRPr="008742E9">
        <w:rPr>
          <w:color w:val="000000"/>
          <w:sz w:val="22"/>
          <w:szCs w:val="22"/>
        </w:rPr>
        <w:t>шений пищевой цепи байкальского осетра. Считаем достаточно обоснованным проведение комплексных лабораторных исследов</w:t>
      </w:r>
      <w:r w:rsidRPr="008742E9">
        <w:rPr>
          <w:color w:val="000000"/>
          <w:sz w:val="22"/>
          <w:szCs w:val="22"/>
        </w:rPr>
        <w:t>а</w:t>
      </w:r>
      <w:r w:rsidRPr="008742E9">
        <w:rPr>
          <w:color w:val="000000"/>
          <w:sz w:val="22"/>
          <w:szCs w:val="22"/>
        </w:rPr>
        <w:t>ний по определению биологических, химических и физических п</w:t>
      </w:r>
      <w:r w:rsidRPr="008742E9">
        <w:rPr>
          <w:color w:val="000000"/>
          <w:sz w:val="22"/>
          <w:szCs w:val="22"/>
        </w:rPr>
        <w:t>а</w:t>
      </w:r>
      <w:r w:rsidRPr="008742E9">
        <w:rPr>
          <w:color w:val="000000"/>
          <w:sz w:val="22"/>
          <w:szCs w:val="22"/>
        </w:rPr>
        <w:t>тогенов для водоросли Спирогира. На основании полученных р</w:t>
      </w:r>
      <w:r w:rsidRPr="008742E9">
        <w:rPr>
          <w:color w:val="000000"/>
          <w:sz w:val="22"/>
          <w:szCs w:val="22"/>
        </w:rPr>
        <w:t>е</w:t>
      </w:r>
      <w:r w:rsidRPr="008742E9">
        <w:rPr>
          <w:color w:val="000000"/>
          <w:sz w:val="22"/>
          <w:szCs w:val="22"/>
        </w:rPr>
        <w:t>зультатов целесообразна оценка эффективности выявленного фа</w:t>
      </w:r>
      <w:r w:rsidRPr="008742E9">
        <w:rPr>
          <w:color w:val="000000"/>
          <w:sz w:val="22"/>
          <w:szCs w:val="22"/>
        </w:rPr>
        <w:t>к</w:t>
      </w:r>
      <w:r w:rsidRPr="008742E9">
        <w:rPr>
          <w:color w:val="000000"/>
          <w:sz w:val="22"/>
          <w:szCs w:val="22"/>
        </w:rPr>
        <w:t xml:space="preserve">тора ограничения размножения и развития водоросли Спирогира путем исследования на разных глубинах озера Байкал. </w:t>
      </w:r>
    </w:p>
    <w:p w:rsidR="008742E9" w:rsidRPr="008742E9" w:rsidRDefault="008742E9" w:rsidP="000D5F55">
      <w:pPr>
        <w:ind w:firstLine="426"/>
        <w:jc w:val="both"/>
        <w:rPr>
          <w:color w:val="000000"/>
          <w:sz w:val="22"/>
          <w:szCs w:val="22"/>
        </w:rPr>
      </w:pPr>
      <w:r w:rsidRPr="008742E9">
        <w:rPr>
          <w:color w:val="000000"/>
          <w:sz w:val="22"/>
          <w:szCs w:val="22"/>
        </w:rPr>
        <w:t>Перспективным считаем также изучение возможности полезн</w:t>
      </w:r>
      <w:r w:rsidRPr="008742E9">
        <w:rPr>
          <w:color w:val="000000"/>
          <w:sz w:val="22"/>
          <w:szCs w:val="22"/>
        </w:rPr>
        <w:t>о</w:t>
      </w:r>
      <w:r w:rsidRPr="008742E9">
        <w:rPr>
          <w:color w:val="000000"/>
          <w:sz w:val="22"/>
          <w:szCs w:val="22"/>
        </w:rPr>
        <w:t>го использования водоросли Спирогира.</w:t>
      </w:r>
    </w:p>
    <w:p w:rsidR="008742E9" w:rsidRPr="008742E9" w:rsidRDefault="008742E9" w:rsidP="000D5F55">
      <w:pPr>
        <w:ind w:firstLine="426"/>
        <w:jc w:val="both"/>
        <w:rPr>
          <w:color w:val="000000"/>
          <w:sz w:val="22"/>
          <w:szCs w:val="22"/>
        </w:rPr>
      </w:pPr>
    </w:p>
    <w:p w:rsidR="008742E9" w:rsidRPr="008742E9" w:rsidRDefault="008742E9" w:rsidP="000D5F55">
      <w:pPr>
        <w:ind w:firstLine="426"/>
        <w:jc w:val="center"/>
        <w:rPr>
          <w:color w:val="000000"/>
          <w:sz w:val="22"/>
          <w:szCs w:val="22"/>
        </w:rPr>
      </w:pPr>
      <w:r w:rsidRPr="008742E9">
        <w:rPr>
          <w:color w:val="000000"/>
          <w:sz w:val="22"/>
          <w:szCs w:val="22"/>
        </w:rPr>
        <w:t>Список литературы</w:t>
      </w:r>
    </w:p>
    <w:p w:rsidR="008742E9" w:rsidRPr="008742E9" w:rsidRDefault="008742E9" w:rsidP="000D5F55">
      <w:pPr>
        <w:ind w:firstLine="426"/>
        <w:jc w:val="both"/>
        <w:rPr>
          <w:kern w:val="36"/>
          <w:sz w:val="22"/>
          <w:szCs w:val="22"/>
        </w:rPr>
      </w:pPr>
      <w:r w:rsidRPr="008742E9">
        <w:rPr>
          <w:kern w:val="36"/>
          <w:sz w:val="22"/>
          <w:szCs w:val="22"/>
        </w:rPr>
        <w:t xml:space="preserve">1. Государственный доклад «О состоянии озера Байкал и мерах по его охране в 2015 году» / [Электронный ресурс] </w:t>
      </w:r>
      <w:r w:rsidRPr="008742E9">
        <w:rPr>
          <w:sz w:val="22"/>
          <w:szCs w:val="22"/>
          <w:shd w:val="clear" w:color="auto" w:fill="FFFFFF"/>
        </w:rPr>
        <w:t xml:space="preserve"> </w:t>
      </w:r>
      <w:hyperlink r:id="rId55" w:tgtFrame="_blank" w:history="1">
        <w:r w:rsidRPr="008742E9">
          <w:rPr>
            <w:sz w:val="22"/>
            <w:szCs w:val="22"/>
            <w:shd w:val="clear" w:color="auto" w:fill="FFFFFF"/>
          </w:rPr>
          <w:t>www.mnr.gov.ru</w:t>
        </w:r>
      </w:hyperlink>
      <w:r w:rsidRPr="008742E9">
        <w:rPr>
          <w:sz w:val="22"/>
          <w:szCs w:val="22"/>
        </w:rPr>
        <w:t>.</w:t>
      </w:r>
    </w:p>
    <w:p w:rsidR="008742E9" w:rsidRPr="008742E9" w:rsidRDefault="008742E9" w:rsidP="000D5F55">
      <w:pPr>
        <w:ind w:firstLine="426"/>
        <w:jc w:val="both"/>
        <w:rPr>
          <w:color w:val="000000"/>
          <w:sz w:val="22"/>
          <w:szCs w:val="22"/>
        </w:rPr>
      </w:pPr>
      <w:r w:rsidRPr="008742E9">
        <w:rPr>
          <w:color w:val="000000"/>
          <w:sz w:val="22"/>
          <w:szCs w:val="22"/>
        </w:rPr>
        <w:t>2. Кощаев А.Г. Здоровье животных – основной фактор эффе</w:t>
      </w:r>
      <w:r w:rsidRPr="008742E9">
        <w:rPr>
          <w:color w:val="000000"/>
          <w:sz w:val="22"/>
          <w:szCs w:val="22"/>
        </w:rPr>
        <w:t>к</w:t>
      </w:r>
      <w:r w:rsidRPr="008742E9">
        <w:rPr>
          <w:color w:val="000000"/>
          <w:sz w:val="22"/>
          <w:szCs w:val="22"/>
        </w:rPr>
        <w:t>тивности животноводства / А.Г. Кощаев, В.В. Усенко, А.В. Лих</w:t>
      </w:r>
      <w:r w:rsidRPr="008742E9">
        <w:rPr>
          <w:color w:val="000000"/>
          <w:sz w:val="22"/>
          <w:szCs w:val="22"/>
        </w:rPr>
        <w:t>о</w:t>
      </w:r>
      <w:r w:rsidRPr="008742E9">
        <w:rPr>
          <w:color w:val="000000"/>
          <w:sz w:val="22"/>
          <w:szCs w:val="22"/>
        </w:rPr>
        <w:lastRenderedPageBreak/>
        <w:t xml:space="preserve">ман // </w:t>
      </w:r>
      <w:hyperlink r:id="rId56" w:history="1">
        <w:r w:rsidRPr="008742E9">
          <w:rPr>
            <w:color w:val="000000"/>
            <w:sz w:val="22"/>
            <w:szCs w:val="22"/>
          </w:rPr>
          <w:t>Труды Кубанского государственного аграрного университета</w:t>
        </w:r>
      </w:hyperlink>
      <w:r w:rsidRPr="008742E9">
        <w:rPr>
          <w:color w:val="000000"/>
          <w:sz w:val="22"/>
          <w:szCs w:val="22"/>
        </w:rPr>
        <w:t xml:space="preserve">. – 2014. – № 99. – С. 201. </w:t>
      </w:r>
    </w:p>
    <w:p w:rsidR="008742E9" w:rsidRPr="008742E9" w:rsidRDefault="002F4F62" w:rsidP="000D5F55">
      <w:pPr>
        <w:ind w:firstLine="426"/>
        <w:jc w:val="both"/>
        <w:rPr>
          <w:color w:val="000000"/>
          <w:sz w:val="22"/>
          <w:szCs w:val="22"/>
        </w:rPr>
      </w:pPr>
      <w:r>
        <w:rPr>
          <w:color w:val="000000"/>
          <w:sz w:val="22"/>
          <w:szCs w:val="22"/>
        </w:rPr>
        <w:t>3</w:t>
      </w:r>
      <w:r w:rsidR="008742E9" w:rsidRPr="008742E9">
        <w:rPr>
          <w:color w:val="000000"/>
          <w:sz w:val="22"/>
          <w:szCs w:val="22"/>
        </w:rPr>
        <w:t xml:space="preserve">. Лихоман А.В. </w:t>
      </w:r>
      <w:hyperlink r:id="rId57" w:history="1">
        <w:r w:rsidR="008742E9" w:rsidRPr="008742E9">
          <w:rPr>
            <w:color w:val="000000"/>
            <w:sz w:val="22"/>
            <w:szCs w:val="22"/>
          </w:rPr>
          <w:t>Использование живого корма для произво</w:t>
        </w:r>
        <w:r w:rsidR="008742E9" w:rsidRPr="008742E9">
          <w:rPr>
            <w:color w:val="000000"/>
            <w:sz w:val="22"/>
            <w:szCs w:val="22"/>
          </w:rPr>
          <w:t>д</w:t>
        </w:r>
        <w:r w:rsidR="008742E9" w:rsidRPr="008742E9">
          <w:rPr>
            <w:color w:val="000000"/>
            <w:sz w:val="22"/>
            <w:szCs w:val="22"/>
          </w:rPr>
          <w:t>ства сеголеток карпа</w:t>
        </w:r>
      </w:hyperlink>
      <w:r w:rsidR="008742E9" w:rsidRPr="008742E9">
        <w:rPr>
          <w:color w:val="000000"/>
          <w:sz w:val="22"/>
          <w:szCs w:val="22"/>
        </w:rPr>
        <w:t xml:space="preserve"> / Лихоман А.В., Усенко В.В. // В сборнике: </w:t>
      </w:r>
      <w:hyperlink r:id="rId58" w:history="1">
        <w:r w:rsidR="008742E9" w:rsidRPr="008742E9">
          <w:rPr>
            <w:color w:val="000000"/>
            <w:sz w:val="22"/>
            <w:szCs w:val="22"/>
          </w:rPr>
          <w:t>Научное обеспечение агропромышленного комплекса</w:t>
        </w:r>
      </w:hyperlink>
      <w:r w:rsidR="008742E9" w:rsidRPr="008742E9">
        <w:rPr>
          <w:color w:val="000000"/>
          <w:sz w:val="22"/>
          <w:szCs w:val="22"/>
        </w:rPr>
        <w:t xml:space="preserve">. – 2012. – С. 293-294. </w:t>
      </w:r>
    </w:p>
    <w:p w:rsidR="008742E9" w:rsidRDefault="008742E9" w:rsidP="000D5F55">
      <w:pPr>
        <w:ind w:firstLine="426"/>
        <w:jc w:val="both"/>
        <w:rPr>
          <w:color w:val="000000"/>
          <w:sz w:val="22"/>
          <w:szCs w:val="22"/>
        </w:rPr>
      </w:pPr>
    </w:p>
    <w:p w:rsidR="000D5F55" w:rsidRPr="008742E9" w:rsidRDefault="000D5F55" w:rsidP="00A271D8">
      <w:pPr>
        <w:jc w:val="both"/>
        <w:rPr>
          <w:color w:val="000000"/>
          <w:sz w:val="22"/>
          <w:szCs w:val="22"/>
        </w:rPr>
      </w:pPr>
    </w:p>
    <w:p w:rsidR="008742E9" w:rsidRPr="000D5F55" w:rsidRDefault="008742E9" w:rsidP="008742E9">
      <w:pPr>
        <w:rPr>
          <w:sz w:val="22"/>
          <w:szCs w:val="22"/>
        </w:rPr>
      </w:pPr>
      <w:r w:rsidRPr="000D5F55">
        <w:rPr>
          <w:sz w:val="22"/>
          <w:szCs w:val="22"/>
        </w:rPr>
        <w:t>УДК 636.2034.083 (470.620)</w:t>
      </w:r>
    </w:p>
    <w:p w:rsidR="008742E9" w:rsidRPr="000D5F55" w:rsidRDefault="008742E9" w:rsidP="008742E9">
      <w:pPr>
        <w:rPr>
          <w:sz w:val="20"/>
          <w:szCs w:val="20"/>
        </w:rPr>
      </w:pPr>
    </w:p>
    <w:p w:rsidR="008742E9" w:rsidRPr="008742E9" w:rsidRDefault="008742E9" w:rsidP="008742E9">
      <w:pPr>
        <w:jc w:val="center"/>
        <w:rPr>
          <w:b/>
          <w:sz w:val="24"/>
          <w:szCs w:val="24"/>
        </w:rPr>
      </w:pPr>
      <w:r w:rsidRPr="008742E9">
        <w:rPr>
          <w:b/>
          <w:sz w:val="24"/>
          <w:szCs w:val="24"/>
        </w:rPr>
        <w:t xml:space="preserve">Зависимость молочной продуктивности коров в УОХ «Краснодарское» от их массы при рождении </w:t>
      </w:r>
    </w:p>
    <w:p w:rsidR="008742E9" w:rsidRPr="00024398" w:rsidRDefault="008742E9" w:rsidP="008742E9">
      <w:pPr>
        <w:jc w:val="center"/>
        <w:rPr>
          <w:b/>
          <w:sz w:val="24"/>
          <w:szCs w:val="24"/>
          <w:lang w:val="en-US"/>
        </w:rPr>
      </w:pPr>
      <w:r w:rsidRPr="008742E9">
        <w:rPr>
          <w:b/>
          <w:sz w:val="24"/>
          <w:szCs w:val="24"/>
          <w:lang w:val="en-US"/>
        </w:rPr>
        <w:t>Dependence of milk productivity of cows on their weight at birth on the farm "Krasnodar"</w:t>
      </w:r>
    </w:p>
    <w:p w:rsidR="000D5F55" w:rsidRPr="00024398" w:rsidRDefault="000D5F55" w:rsidP="008742E9">
      <w:pPr>
        <w:jc w:val="center"/>
        <w:rPr>
          <w:b/>
          <w:sz w:val="24"/>
          <w:szCs w:val="24"/>
          <w:lang w:val="en-US"/>
        </w:rPr>
      </w:pPr>
    </w:p>
    <w:p w:rsidR="008742E9" w:rsidRPr="000D5F55" w:rsidRDefault="008742E9" w:rsidP="008742E9">
      <w:pPr>
        <w:jc w:val="right"/>
        <w:rPr>
          <w:sz w:val="22"/>
          <w:szCs w:val="22"/>
        </w:rPr>
      </w:pPr>
      <w:r w:rsidRPr="000D5F55">
        <w:rPr>
          <w:sz w:val="22"/>
          <w:szCs w:val="22"/>
        </w:rPr>
        <w:t>Рогожкина Д. А.</w:t>
      </w:r>
      <w:r w:rsidR="000D5F55">
        <w:rPr>
          <w:sz w:val="22"/>
          <w:szCs w:val="22"/>
        </w:rPr>
        <w:t>,</w:t>
      </w:r>
    </w:p>
    <w:p w:rsidR="008742E9" w:rsidRPr="000D5F55" w:rsidRDefault="008742E9" w:rsidP="008742E9">
      <w:pPr>
        <w:jc w:val="right"/>
        <w:rPr>
          <w:sz w:val="22"/>
          <w:szCs w:val="22"/>
        </w:rPr>
      </w:pPr>
      <w:r w:rsidRPr="000D5F55">
        <w:rPr>
          <w:sz w:val="22"/>
          <w:szCs w:val="22"/>
        </w:rPr>
        <w:t>студентка 4 курса фак</w:t>
      </w:r>
      <w:r w:rsidR="000D5F55">
        <w:rPr>
          <w:sz w:val="22"/>
          <w:szCs w:val="22"/>
        </w:rPr>
        <w:t>ультета зоотехнии</w:t>
      </w:r>
    </w:p>
    <w:p w:rsidR="008742E9" w:rsidRPr="000D5F55" w:rsidRDefault="000D5F55" w:rsidP="008742E9">
      <w:pPr>
        <w:jc w:val="right"/>
        <w:rPr>
          <w:sz w:val="22"/>
          <w:szCs w:val="22"/>
        </w:rPr>
      </w:pPr>
      <w:r>
        <w:rPr>
          <w:sz w:val="22"/>
          <w:szCs w:val="22"/>
        </w:rPr>
        <w:t>Тузов И. Н.,</w:t>
      </w:r>
    </w:p>
    <w:p w:rsidR="008742E9" w:rsidRPr="000D5F55" w:rsidRDefault="008742E9" w:rsidP="008742E9">
      <w:pPr>
        <w:jc w:val="right"/>
        <w:rPr>
          <w:sz w:val="22"/>
          <w:szCs w:val="22"/>
        </w:rPr>
      </w:pPr>
      <w:r w:rsidRPr="000D5F55">
        <w:rPr>
          <w:sz w:val="22"/>
          <w:szCs w:val="22"/>
        </w:rPr>
        <w:t>докто</w:t>
      </w:r>
      <w:r w:rsidR="000D5F55">
        <w:rPr>
          <w:sz w:val="22"/>
          <w:szCs w:val="22"/>
        </w:rPr>
        <w:t>р с.-х. наук, профессор кафедры</w:t>
      </w:r>
    </w:p>
    <w:p w:rsidR="008742E9" w:rsidRPr="000D5F55" w:rsidRDefault="008742E9" w:rsidP="008742E9">
      <w:pPr>
        <w:jc w:val="right"/>
        <w:rPr>
          <w:sz w:val="22"/>
          <w:szCs w:val="22"/>
        </w:rPr>
      </w:pPr>
      <w:r w:rsidRPr="000D5F55">
        <w:rPr>
          <w:sz w:val="22"/>
          <w:szCs w:val="22"/>
        </w:rPr>
        <w:t>разведения</w:t>
      </w:r>
      <w:r w:rsidR="000D5F55">
        <w:rPr>
          <w:sz w:val="22"/>
          <w:szCs w:val="22"/>
        </w:rPr>
        <w:t xml:space="preserve"> с.-х. животных и зоотехнологий</w:t>
      </w:r>
    </w:p>
    <w:p w:rsidR="008742E9" w:rsidRPr="000D5F55" w:rsidRDefault="008742E9" w:rsidP="008742E9">
      <w:pPr>
        <w:jc w:val="right"/>
        <w:rPr>
          <w:sz w:val="22"/>
          <w:szCs w:val="22"/>
        </w:rPr>
      </w:pPr>
      <w:r w:rsidRPr="000D5F55">
        <w:rPr>
          <w:sz w:val="22"/>
          <w:szCs w:val="22"/>
        </w:rPr>
        <w:t>Кубанский государственный аграрный</w:t>
      </w:r>
    </w:p>
    <w:p w:rsidR="008742E9" w:rsidRPr="000D5F55" w:rsidRDefault="008742E9" w:rsidP="008742E9">
      <w:pPr>
        <w:jc w:val="right"/>
        <w:rPr>
          <w:sz w:val="22"/>
          <w:szCs w:val="22"/>
        </w:rPr>
      </w:pPr>
      <w:r w:rsidRPr="000D5F55">
        <w:rPr>
          <w:sz w:val="22"/>
          <w:szCs w:val="22"/>
        </w:rPr>
        <w:t>университет имени И. Т. Трубилина</w:t>
      </w:r>
    </w:p>
    <w:p w:rsidR="008742E9" w:rsidRPr="008742E9" w:rsidRDefault="008742E9" w:rsidP="008742E9">
      <w:pPr>
        <w:jc w:val="right"/>
        <w:rPr>
          <w:sz w:val="22"/>
          <w:szCs w:val="22"/>
        </w:rPr>
      </w:pPr>
    </w:p>
    <w:p w:rsidR="008742E9" w:rsidRPr="008742E9" w:rsidRDefault="008742E9" w:rsidP="000D5F55">
      <w:pPr>
        <w:ind w:firstLine="426"/>
        <w:jc w:val="both"/>
        <w:rPr>
          <w:sz w:val="22"/>
          <w:szCs w:val="22"/>
        </w:rPr>
      </w:pPr>
      <w:r w:rsidRPr="008742E9">
        <w:rPr>
          <w:sz w:val="22"/>
          <w:szCs w:val="22"/>
        </w:rPr>
        <w:t>АННОТАЦИЯ: Масса тела телочек при рождении является важнейшим фактором, от которого в будущем зависят не только рост и развитие ремонтных телочек, но и молочная продуктивность коров.</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8742E9">
        <w:rPr>
          <w:color w:val="212121"/>
          <w:sz w:val="22"/>
          <w:szCs w:val="22"/>
          <w:lang w:val="en-US"/>
        </w:rPr>
        <w:t>ANNOTATION:</w:t>
      </w:r>
      <w:r w:rsidRPr="008742E9">
        <w:rPr>
          <w:sz w:val="22"/>
          <w:szCs w:val="22"/>
          <w:lang w:val="en-US"/>
        </w:rPr>
        <w:t xml:space="preserve"> The weight of the calves at birth is the most i</w:t>
      </w:r>
      <w:r w:rsidRPr="008742E9">
        <w:rPr>
          <w:sz w:val="22"/>
          <w:szCs w:val="22"/>
          <w:lang w:val="en-US"/>
        </w:rPr>
        <w:t>m</w:t>
      </w:r>
      <w:r w:rsidRPr="008742E9">
        <w:rPr>
          <w:sz w:val="22"/>
          <w:szCs w:val="22"/>
          <w:lang w:val="en-US"/>
        </w:rPr>
        <w:t>portant factor on which in the future not only the growth and develo</w:t>
      </w:r>
      <w:r w:rsidRPr="008742E9">
        <w:rPr>
          <w:sz w:val="22"/>
          <w:szCs w:val="22"/>
          <w:lang w:val="en-US"/>
        </w:rPr>
        <w:t>p</w:t>
      </w:r>
      <w:r w:rsidRPr="008742E9">
        <w:rPr>
          <w:sz w:val="22"/>
          <w:szCs w:val="22"/>
          <w:lang w:val="en-US"/>
        </w:rPr>
        <w:t>ment of repair calfs depend, but also the milk productivity of cows.</w:t>
      </w:r>
    </w:p>
    <w:p w:rsidR="008742E9" w:rsidRPr="000D5F55"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КЛЮЧЕВЫЕ СЛОВА: корова, телята, молоко, телочка, пр</w:t>
      </w:r>
      <w:r w:rsidRPr="008742E9">
        <w:rPr>
          <w:sz w:val="22"/>
          <w:szCs w:val="22"/>
        </w:rPr>
        <w:t>о</w:t>
      </w:r>
      <w:r w:rsidRPr="008742E9">
        <w:rPr>
          <w:sz w:val="22"/>
          <w:szCs w:val="22"/>
        </w:rPr>
        <w:t>дуктивность, рост, масса, содержание.</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r w:rsidRPr="008742E9">
        <w:rPr>
          <w:color w:val="212121"/>
          <w:sz w:val="22"/>
          <w:szCs w:val="22"/>
          <w:lang w:val="en-US"/>
        </w:rPr>
        <w:t>KEYWORDS: cow, calves, milk, calf, productivity, growth, weight, content.</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2"/>
          <w:lang w:val="en-US"/>
        </w:rPr>
      </w:pP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В настоящее время в хозяйствах Краснодарского края перспе</w:t>
      </w:r>
      <w:r w:rsidRPr="008742E9">
        <w:rPr>
          <w:sz w:val="22"/>
          <w:szCs w:val="22"/>
        </w:rPr>
        <w:t>к</w:t>
      </w:r>
      <w:r w:rsidRPr="008742E9">
        <w:rPr>
          <w:sz w:val="22"/>
          <w:szCs w:val="22"/>
        </w:rPr>
        <w:t xml:space="preserve">тивной интенсивной молочной породой крупного рогатого скота </w:t>
      </w:r>
      <w:r w:rsidRPr="008742E9">
        <w:rPr>
          <w:sz w:val="22"/>
          <w:szCs w:val="22"/>
        </w:rPr>
        <w:lastRenderedPageBreak/>
        <w:t>является голштинская. Импортный голштинский скот, завезенный в Краснодарский край из Америки и Европы, представляет большой интерес как для научных исследований, так и производства моло</w:t>
      </w:r>
      <w:r w:rsidRPr="008742E9">
        <w:rPr>
          <w:sz w:val="22"/>
          <w:szCs w:val="22"/>
        </w:rPr>
        <w:t>ч</w:t>
      </w:r>
      <w:r w:rsidRPr="008742E9">
        <w:rPr>
          <w:sz w:val="22"/>
          <w:szCs w:val="22"/>
        </w:rPr>
        <w:t xml:space="preserve">ной и мясной продукции [1]. </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Расширенное воспроизводство стада крупного рогатого скота в значительной степени зависит от выращивания ремонтного моло</w:t>
      </w:r>
      <w:r w:rsidRPr="008742E9">
        <w:rPr>
          <w:sz w:val="22"/>
          <w:szCs w:val="22"/>
        </w:rPr>
        <w:t>д</w:t>
      </w:r>
      <w:r w:rsidRPr="008742E9">
        <w:rPr>
          <w:sz w:val="22"/>
          <w:szCs w:val="22"/>
        </w:rPr>
        <w:t>няка. Отправная точка в росте и развитии животных – масса при рождении, которая оказывает влияние на их дальнейшее развитие. Так, проведенными исследованиями в условиях племзавода СПК «Береговой» Кемеровского района, на телках голштинизированной черно-пестрой породы установлена положительная корреляция между живой массой телочек при рождении и их молочной проду</w:t>
      </w:r>
      <w:r w:rsidRPr="008742E9">
        <w:rPr>
          <w:sz w:val="22"/>
          <w:szCs w:val="22"/>
        </w:rPr>
        <w:t>к</w:t>
      </w:r>
      <w:r w:rsidRPr="008742E9">
        <w:rPr>
          <w:sz w:val="22"/>
          <w:szCs w:val="22"/>
        </w:rPr>
        <w:t>тивностью по первой лактации [2].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 xml:space="preserve">Для проведения исследования, в условиях промышленного комплекса, нами были сформированы четыре группы подопытных телочек по пятнадцать голов в каждой, </w:t>
      </w:r>
      <w:r w:rsidRPr="008742E9">
        <w:rPr>
          <w:color w:val="000000"/>
          <w:sz w:val="22"/>
          <w:szCs w:val="22"/>
        </w:rPr>
        <w:t>которые были аналогами</w:t>
      </w:r>
      <w:r w:rsidRPr="008742E9">
        <w:rPr>
          <w:sz w:val="22"/>
          <w:szCs w:val="22"/>
        </w:rPr>
        <w:t xml:space="preserve">. В </w:t>
      </w:r>
      <w:r w:rsidRPr="008742E9">
        <w:rPr>
          <w:sz w:val="22"/>
          <w:szCs w:val="22"/>
          <w:lang w:val="en-US"/>
        </w:rPr>
        <w:t>I</w:t>
      </w:r>
      <w:r w:rsidRPr="008742E9">
        <w:rPr>
          <w:sz w:val="22"/>
          <w:szCs w:val="22"/>
        </w:rPr>
        <w:t xml:space="preserve"> и </w:t>
      </w:r>
      <w:r w:rsidRPr="008742E9">
        <w:rPr>
          <w:sz w:val="22"/>
          <w:szCs w:val="22"/>
          <w:lang w:val="en-US"/>
        </w:rPr>
        <w:t>III</w:t>
      </w:r>
      <w:r w:rsidRPr="008742E9">
        <w:rPr>
          <w:sz w:val="22"/>
          <w:szCs w:val="22"/>
        </w:rPr>
        <w:t xml:space="preserve"> группы вошли телочки с высокой массой при рождении. Во </w:t>
      </w:r>
      <w:r w:rsidRPr="008742E9">
        <w:rPr>
          <w:sz w:val="22"/>
          <w:szCs w:val="22"/>
          <w:lang w:val="en-US"/>
        </w:rPr>
        <w:t>II</w:t>
      </w:r>
      <w:r w:rsidRPr="008742E9">
        <w:rPr>
          <w:sz w:val="22"/>
          <w:szCs w:val="22"/>
        </w:rPr>
        <w:t xml:space="preserve"> и </w:t>
      </w:r>
      <w:r w:rsidRPr="008742E9">
        <w:rPr>
          <w:sz w:val="22"/>
          <w:szCs w:val="22"/>
          <w:lang w:val="en-US"/>
        </w:rPr>
        <w:t>IV</w:t>
      </w:r>
      <w:r w:rsidRPr="008742E9">
        <w:rPr>
          <w:sz w:val="22"/>
          <w:szCs w:val="22"/>
        </w:rPr>
        <w:t xml:space="preserve"> группы вошли телочки с низкой массой при рождении. Телочки </w:t>
      </w:r>
      <w:r w:rsidRPr="008742E9">
        <w:rPr>
          <w:sz w:val="22"/>
          <w:szCs w:val="22"/>
          <w:lang w:val="en-US"/>
        </w:rPr>
        <w:t>I</w:t>
      </w:r>
      <w:r w:rsidRPr="008742E9">
        <w:rPr>
          <w:sz w:val="22"/>
          <w:szCs w:val="22"/>
        </w:rPr>
        <w:t xml:space="preserve"> и </w:t>
      </w:r>
      <w:r w:rsidRPr="008742E9">
        <w:rPr>
          <w:sz w:val="22"/>
          <w:szCs w:val="22"/>
          <w:lang w:val="en-US"/>
        </w:rPr>
        <w:t>II</w:t>
      </w:r>
      <w:r w:rsidRPr="008742E9">
        <w:rPr>
          <w:sz w:val="22"/>
          <w:szCs w:val="22"/>
        </w:rPr>
        <w:t xml:space="preserve"> группы были контрольными и выращивались в условиях корп</w:t>
      </w:r>
      <w:r w:rsidRPr="008742E9">
        <w:rPr>
          <w:sz w:val="22"/>
          <w:szCs w:val="22"/>
        </w:rPr>
        <w:t>у</w:t>
      </w:r>
      <w:r w:rsidRPr="008742E9">
        <w:rPr>
          <w:sz w:val="22"/>
          <w:szCs w:val="22"/>
        </w:rPr>
        <w:t xml:space="preserve">са, а </w:t>
      </w:r>
      <w:r w:rsidRPr="008742E9">
        <w:rPr>
          <w:sz w:val="22"/>
          <w:szCs w:val="22"/>
          <w:lang w:val="en-US"/>
        </w:rPr>
        <w:t>III</w:t>
      </w:r>
      <w:r w:rsidRPr="008742E9">
        <w:rPr>
          <w:sz w:val="22"/>
          <w:szCs w:val="22"/>
        </w:rPr>
        <w:t xml:space="preserve"> и </w:t>
      </w:r>
      <w:r w:rsidRPr="008742E9">
        <w:rPr>
          <w:sz w:val="22"/>
          <w:szCs w:val="22"/>
          <w:lang w:val="en-US"/>
        </w:rPr>
        <w:t>IV</w:t>
      </w:r>
      <w:r w:rsidRPr="008742E9">
        <w:rPr>
          <w:sz w:val="22"/>
          <w:szCs w:val="22"/>
        </w:rPr>
        <w:t xml:space="preserve"> группы – опытными, которые выращивались в домиках для индивидуального содержания. После достижения возраста ч</w:t>
      </w:r>
      <w:r w:rsidRPr="008742E9">
        <w:rPr>
          <w:sz w:val="22"/>
          <w:szCs w:val="22"/>
        </w:rPr>
        <w:t>е</w:t>
      </w:r>
      <w:r w:rsidRPr="008742E9">
        <w:rPr>
          <w:sz w:val="22"/>
          <w:szCs w:val="22"/>
        </w:rPr>
        <w:t>тырех месяцев, подопытные животные были переведены в корпус, где содержались до 6 месяцев, группой. Подопытные животные п</w:t>
      </w:r>
      <w:r w:rsidRPr="008742E9">
        <w:rPr>
          <w:sz w:val="22"/>
          <w:szCs w:val="22"/>
        </w:rPr>
        <w:t>о</w:t>
      </w:r>
      <w:r w:rsidRPr="008742E9">
        <w:rPr>
          <w:sz w:val="22"/>
          <w:szCs w:val="22"/>
        </w:rPr>
        <w:t>лучали одинаковый рацион, утвержденный в хозяйстве, но росли они не одинаково.</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 xml:space="preserve">Масса при рождении телочек </w:t>
      </w:r>
      <w:r w:rsidRPr="008742E9">
        <w:rPr>
          <w:sz w:val="22"/>
          <w:szCs w:val="22"/>
          <w:lang w:val="en-US"/>
        </w:rPr>
        <w:t>I</w:t>
      </w:r>
      <w:r w:rsidRPr="008742E9">
        <w:rPr>
          <w:sz w:val="22"/>
          <w:szCs w:val="22"/>
        </w:rPr>
        <w:t xml:space="preserve"> группы составляла 41,1 кг, а </w:t>
      </w:r>
      <w:r w:rsidRPr="008742E9">
        <w:rPr>
          <w:sz w:val="22"/>
          <w:szCs w:val="22"/>
          <w:lang w:val="en-US"/>
        </w:rPr>
        <w:t>III</w:t>
      </w:r>
      <w:r w:rsidRPr="008742E9">
        <w:rPr>
          <w:sz w:val="22"/>
          <w:szCs w:val="22"/>
        </w:rPr>
        <w:t xml:space="preserve"> группы – 39,3 кг. Различия по этому показателю были недостове</w:t>
      </w:r>
      <w:r w:rsidRPr="008742E9">
        <w:rPr>
          <w:sz w:val="22"/>
          <w:szCs w:val="22"/>
        </w:rPr>
        <w:t>р</w:t>
      </w:r>
      <w:r w:rsidRPr="008742E9">
        <w:rPr>
          <w:sz w:val="22"/>
          <w:szCs w:val="22"/>
        </w:rPr>
        <w:t xml:space="preserve">ны, </w:t>
      </w:r>
      <w:r w:rsidRPr="008742E9">
        <w:rPr>
          <w:sz w:val="22"/>
          <w:szCs w:val="22"/>
          <w:lang w:val="en-US"/>
        </w:rPr>
        <w:t>td</w:t>
      </w:r>
      <w:r w:rsidRPr="008742E9">
        <w:rPr>
          <w:sz w:val="22"/>
          <w:szCs w:val="22"/>
        </w:rPr>
        <w:t>≤2.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 xml:space="preserve">Масса при рождении сверстниц </w:t>
      </w:r>
      <w:r w:rsidRPr="008742E9">
        <w:rPr>
          <w:sz w:val="22"/>
          <w:szCs w:val="22"/>
          <w:lang w:val="en-US"/>
        </w:rPr>
        <w:t>II</w:t>
      </w:r>
      <w:r w:rsidRPr="008742E9">
        <w:rPr>
          <w:sz w:val="22"/>
          <w:szCs w:val="22"/>
        </w:rPr>
        <w:t xml:space="preserve"> группы составляла 31,8 кг, а </w:t>
      </w:r>
      <w:r w:rsidRPr="008742E9">
        <w:rPr>
          <w:sz w:val="22"/>
          <w:szCs w:val="22"/>
          <w:lang w:val="en-US"/>
        </w:rPr>
        <w:t>IV</w:t>
      </w:r>
      <w:r w:rsidRPr="008742E9">
        <w:rPr>
          <w:sz w:val="22"/>
          <w:szCs w:val="22"/>
        </w:rPr>
        <w:t xml:space="preserve"> группы 32, 7 кг. Эти различия так же были не достоверны, </w:t>
      </w:r>
      <w:r w:rsidRPr="008742E9">
        <w:rPr>
          <w:sz w:val="22"/>
          <w:szCs w:val="22"/>
          <w:lang w:val="en-US"/>
        </w:rPr>
        <w:t>td</w:t>
      </w:r>
      <w:r w:rsidRPr="008742E9">
        <w:rPr>
          <w:sz w:val="22"/>
          <w:szCs w:val="22"/>
        </w:rPr>
        <w:t>≤2.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В период с 1 – го по 3 – й месяц были установлены различия по живой массе, которые были менее достоверными у животных с ни</w:t>
      </w:r>
      <w:r w:rsidRPr="008742E9">
        <w:rPr>
          <w:sz w:val="22"/>
          <w:szCs w:val="22"/>
        </w:rPr>
        <w:t>з</w:t>
      </w:r>
      <w:r w:rsidRPr="008742E9">
        <w:rPr>
          <w:sz w:val="22"/>
          <w:szCs w:val="22"/>
        </w:rPr>
        <w:t xml:space="preserve">кой массой, более достоверными у телочек с высокой массой. Но в обоих случаях данные были статистически не достоверны, </w:t>
      </w:r>
      <w:r w:rsidRPr="008742E9">
        <w:rPr>
          <w:sz w:val="22"/>
          <w:szCs w:val="22"/>
          <w:lang w:val="en-US"/>
        </w:rPr>
        <w:t>td</w:t>
      </w:r>
      <w:r w:rsidRPr="008742E9">
        <w:rPr>
          <w:sz w:val="22"/>
          <w:szCs w:val="22"/>
        </w:rPr>
        <w:t xml:space="preserve"> ≤2.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Начиная с возраста 4 – х месяцев нами установлены достове</w:t>
      </w:r>
      <w:r w:rsidRPr="008742E9">
        <w:rPr>
          <w:sz w:val="22"/>
          <w:szCs w:val="22"/>
        </w:rPr>
        <w:t>р</w:t>
      </w:r>
      <w:r w:rsidRPr="008742E9">
        <w:rPr>
          <w:sz w:val="22"/>
          <w:szCs w:val="22"/>
        </w:rPr>
        <w:t xml:space="preserve">ные различия по живой массе. Животные </w:t>
      </w:r>
      <w:r w:rsidRPr="008742E9">
        <w:rPr>
          <w:sz w:val="22"/>
          <w:szCs w:val="22"/>
          <w:lang w:val="en-US"/>
        </w:rPr>
        <w:t>I</w:t>
      </w:r>
      <w:r w:rsidRPr="008742E9">
        <w:rPr>
          <w:sz w:val="22"/>
          <w:szCs w:val="22"/>
        </w:rPr>
        <w:t xml:space="preserve"> и </w:t>
      </w:r>
      <w:r w:rsidRPr="008742E9">
        <w:rPr>
          <w:sz w:val="22"/>
          <w:szCs w:val="22"/>
          <w:lang w:val="en-US"/>
        </w:rPr>
        <w:t>III</w:t>
      </w:r>
      <w:r w:rsidRPr="008742E9">
        <w:rPr>
          <w:sz w:val="22"/>
          <w:szCs w:val="22"/>
        </w:rPr>
        <w:t xml:space="preserve"> группы к возрасту 6 - ти месяцев имели массу 210,7 кг и 224,9 кг соответственно. По этому показателю они достоверно превышали сверстниц </w:t>
      </w:r>
      <w:r w:rsidRPr="008742E9">
        <w:rPr>
          <w:sz w:val="22"/>
          <w:szCs w:val="22"/>
          <w:lang w:val="en-US"/>
        </w:rPr>
        <w:t>II</w:t>
      </w:r>
      <w:r w:rsidRPr="008742E9">
        <w:rPr>
          <w:sz w:val="22"/>
          <w:szCs w:val="22"/>
        </w:rPr>
        <w:t xml:space="preserve"> и </w:t>
      </w:r>
      <w:r w:rsidRPr="008742E9">
        <w:rPr>
          <w:sz w:val="22"/>
          <w:szCs w:val="22"/>
          <w:lang w:val="en-US"/>
        </w:rPr>
        <w:t>IV</w:t>
      </w:r>
      <w:r w:rsidRPr="008742E9">
        <w:rPr>
          <w:sz w:val="22"/>
          <w:szCs w:val="22"/>
        </w:rPr>
        <w:t xml:space="preserve"> </w:t>
      </w:r>
      <w:r w:rsidRPr="008742E9">
        <w:rPr>
          <w:sz w:val="22"/>
          <w:szCs w:val="22"/>
        </w:rPr>
        <w:lastRenderedPageBreak/>
        <w:t xml:space="preserve">группы, которые достигли к этому возрасту массы 206, 9 кг и 218, 2 кг соответственно, </w:t>
      </w:r>
      <w:r w:rsidRPr="008742E9">
        <w:rPr>
          <w:sz w:val="22"/>
          <w:szCs w:val="22"/>
          <w:lang w:val="en-US"/>
        </w:rPr>
        <w:t>td</w:t>
      </w:r>
      <w:r w:rsidRPr="008742E9">
        <w:rPr>
          <w:sz w:val="22"/>
          <w:szCs w:val="22"/>
        </w:rPr>
        <w:t xml:space="preserve"> ≥2.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 xml:space="preserve">При изучении молочной продуктивности было установлено, что удой коров </w:t>
      </w:r>
      <w:r w:rsidRPr="008742E9">
        <w:rPr>
          <w:sz w:val="22"/>
          <w:szCs w:val="22"/>
          <w:lang w:val="en-US"/>
        </w:rPr>
        <w:t>I</w:t>
      </w:r>
      <w:r w:rsidRPr="008742E9">
        <w:rPr>
          <w:sz w:val="22"/>
          <w:szCs w:val="22"/>
        </w:rPr>
        <w:t xml:space="preserve"> группы за 305 дней лактации составил 10474 кг, а </w:t>
      </w:r>
      <w:r w:rsidRPr="008742E9">
        <w:rPr>
          <w:sz w:val="22"/>
          <w:szCs w:val="22"/>
          <w:lang w:val="en-US"/>
        </w:rPr>
        <w:t>II</w:t>
      </w:r>
      <w:r w:rsidRPr="008742E9">
        <w:rPr>
          <w:sz w:val="22"/>
          <w:szCs w:val="22"/>
        </w:rPr>
        <w:t xml:space="preserve"> группы 9731,9 кг. Животные, родившиеся с более высокой массой тела, по удою достоверно превышали сверстниц, родившихся с ни</w:t>
      </w:r>
      <w:r w:rsidRPr="008742E9">
        <w:rPr>
          <w:sz w:val="22"/>
          <w:szCs w:val="22"/>
        </w:rPr>
        <w:t>з</w:t>
      </w:r>
      <w:r w:rsidRPr="008742E9">
        <w:rPr>
          <w:sz w:val="22"/>
          <w:szCs w:val="22"/>
        </w:rPr>
        <w:t xml:space="preserve">кой массой, </w:t>
      </w:r>
      <w:r w:rsidRPr="008742E9">
        <w:rPr>
          <w:sz w:val="22"/>
          <w:szCs w:val="22"/>
          <w:lang w:val="en-US"/>
        </w:rPr>
        <w:t>td</w:t>
      </w:r>
      <w:r w:rsidRPr="008742E9">
        <w:rPr>
          <w:sz w:val="22"/>
          <w:szCs w:val="22"/>
        </w:rPr>
        <w:t>≥2.</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 xml:space="preserve">Исходя из полученных данных, мы видим, что телочки </w:t>
      </w:r>
      <w:r w:rsidRPr="008742E9">
        <w:rPr>
          <w:sz w:val="22"/>
          <w:szCs w:val="22"/>
          <w:lang w:val="en-US"/>
        </w:rPr>
        <w:t>I</w:t>
      </w:r>
      <w:r w:rsidRPr="008742E9">
        <w:rPr>
          <w:sz w:val="22"/>
          <w:szCs w:val="22"/>
        </w:rPr>
        <w:t xml:space="preserve"> и </w:t>
      </w:r>
      <w:r w:rsidRPr="008742E9">
        <w:rPr>
          <w:sz w:val="22"/>
          <w:szCs w:val="22"/>
          <w:lang w:val="en-US"/>
        </w:rPr>
        <w:t>III</w:t>
      </w:r>
      <w:r w:rsidRPr="008742E9">
        <w:rPr>
          <w:sz w:val="22"/>
          <w:szCs w:val="22"/>
        </w:rPr>
        <w:t xml:space="preserve"> группы с высокой массой тела при рождении начиная с 4 – х мес</w:t>
      </w:r>
      <w:r w:rsidRPr="008742E9">
        <w:rPr>
          <w:sz w:val="22"/>
          <w:szCs w:val="22"/>
        </w:rPr>
        <w:t>я</w:t>
      </w:r>
      <w:r w:rsidRPr="008742E9">
        <w:rPr>
          <w:sz w:val="22"/>
          <w:szCs w:val="22"/>
        </w:rPr>
        <w:t xml:space="preserve">цев превосходили своих сверстниц по изучаемым показателям. При сравнении полученного удоя за 305 дней лактации разница между удоями </w:t>
      </w:r>
      <w:r w:rsidRPr="008742E9">
        <w:rPr>
          <w:sz w:val="22"/>
          <w:szCs w:val="22"/>
          <w:lang w:val="en-US"/>
        </w:rPr>
        <w:t>I</w:t>
      </w:r>
      <w:r w:rsidRPr="008742E9">
        <w:rPr>
          <w:sz w:val="22"/>
          <w:szCs w:val="22"/>
        </w:rPr>
        <w:t xml:space="preserve"> и </w:t>
      </w:r>
      <w:r w:rsidRPr="008742E9">
        <w:rPr>
          <w:sz w:val="22"/>
          <w:szCs w:val="22"/>
          <w:lang w:val="en-US"/>
        </w:rPr>
        <w:t>II</w:t>
      </w:r>
      <w:r w:rsidRPr="008742E9">
        <w:rPr>
          <w:sz w:val="22"/>
          <w:szCs w:val="22"/>
        </w:rPr>
        <w:t xml:space="preserve"> группы составила 743 кг.</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sz w:val="22"/>
          <w:szCs w:val="22"/>
        </w:rPr>
      </w:pPr>
      <w:r w:rsidRPr="008742E9">
        <w:rPr>
          <w:sz w:val="22"/>
          <w:szCs w:val="22"/>
        </w:rPr>
        <w:t>Список литературы</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1. Каратунов В. А., Тузов И. Н., Зеленков П. И. Особенности роста и развития живой массы голштинского молодняка австрали</w:t>
      </w:r>
      <w:r w:rsidRPr="008742E9">
        <w:rPr>
          <w:sz w:val="22"/>
          <w:szCs w:val="22"/>
        </w:rPr>
        <w:t>й</w:t>
      </w:r>
      <w:r w:rsidRPr="008742E9">
        <w:rPr>
          <w:sz w:val="22"/>
          <w:szCs w:val="22"/>
        </w:rPr>
        <w:t>ской селекции при интенсивном выращивании/ В. А. Каратунов, И. Н. Тузов, П. И. Зеленков// ж. Ветеринарная патология. М: .2014, №6 – С. 81 – 86.</w:t>
      </w:r>
    </w:p>
    <w:p w:rsidR="008742E9" w:rsidRPr="008742E9" w:rsidRDefault="008742E9" w:rsidP="000D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rPr>
      </w:pPr>
      <w:r w:rsidRPr="008742E9">
        <w:rPr>
          <w:sz w:val="22"/>
          <w:szCs w:val="22"/>
        </w:rPr>
        <w:t>2. Карагод Р. П., Прокопьев В. Г., Лукашенкова Т. В., Поликов Л. С. Связь живой массы телочек при рождении с воспроизвод</w:t>
      </w:r>
      <w:r w:rsidRPr="008742E9">
        <w:rPr>
          <w:sz w:val="22"/>
          <w:szCs w:val="22"/>
        </w:rPr>
        <w:t>и</w:t>
      </w:r>
      <w:r w:rsidRPr="008742E9">
        <w:rPr>
          <w:sz w:val="22"/>
          <w:szCs w:val="22"/>
        </w:rPr>
        <w:t>тельными качествами и молочной продуктивностью/ Р. П. Карагод, В. Г. Прокопьев, Т. В. Лукашенкова, Л. С. Поликов // Достижения науки и техники АПК 2012, №9 – С. 67 – 68.</w:t>
      </w:r>
    </w:p>
    <w:p w:rsidR="008742E9" w:rsidRDefault="008742E9" w:rsidP="000D5F55">
      <w:pPr>
        <w:ind w:firstLine="426"/>
        <w:jc w:val="both"/>
        <w:rPr>
          <w:color w:val="000000"/>
          <w:sz w:val="22"/>
          <w:szCs w:val="22"/>
        </w:rPr>
      </w:pPr>
    </w:p>
    <w:p w:rsidR="000D5F55" w:rsidRDefault="000D5F55" w:rsidP="00A271D8">
      <w:pPr>
        <w:jc w:val="both"/>
        <w:rPr>
          <w:color w:val="000000"/>
          <w:sz w:val="22"/>
          <w:szCs w:val="22"/>
        </w:rPr>
      </w:pPr>
    </w:p>
    <w:p w:rsidR="00A271D8" w:rsidRPr="008742E9" w:rsidRDefault="003435E2" w:rsidP="003435E2">
      <w:pPr>
        <w:rPr>
          <w:color w:val="000000"/>
          <w:sz w:val="22"/>
          <w:szCs w:val="22"/>
        </w:rPr>
      </w:pPr>
      <w:r>
        <w:rPr>
          <w:color w:val="000000"/>
          <w:sz w:val="22"/>
          <w:szCs w:val="22"/>
        </w:rPr>
        <w:br w:type="page"/>
      </w:r>
    </w:p>
    <w:p w:rsidR="008742E9" w:rsidRPr="009762D0" w:rsidRDefault="008742E9" w:rsidP="009762D0">
      <w:pPr>
        <w:jc w:val="both"/>
        <w:rPr>
          <w:sz w:val="22"/>
          <w:szCs w:val="22"/>
        </w:rPr>
      </w:pPr>
      <w:r w:rsidRPr="008742E9">
        <w:rPr>
          <w:sz w:val="22"/>
          <w:szCs w:val="22"/>
        </w:rPr>
        <w:lastRenderedPageBreak/>
        <w:t>УДК 636.8.087.7</w:t>
      </w:r>
    </w:p>
    <w:p w:rsidR="008742E9" w:rsidRPr="008742E9" w:rsidRDefault="008742E9" w:rsidP="008742E9">
      <w:pPr>
        <w:tabs>
          <w:tab w:val="left" w:pos="851"/>
        </w:tabs>
        <w:jc w:val="center"/>
        <w:rPr>
          <w:b/>
          <w:sz w:val="24"/>
          <w:szCs w:val="22"/>
        </w:rPr>
      </w:pPr>
      <w:r w:rsidRPr="008742E9">
        <w:rPr>
          <w:b/>
          <w:sz w:val="24"/>
          <w:szCs w:val="22"/>
        </w:rPr>
        <w:t>Таурин в профилактике заболеваний сердечно-сосудистой системы кошек</w:t>
      </w:r>
    </w:p>
    <w:p w:rsidR="003435E2" w:rsidRPr="003435E2" w:rsidRDefault="008742E9" w:rsidP="003435E2">
      <w:pPr>
        <w:jc w:val="center"/>
        <w:rPr>
          <w:b/>
          <w:sz w:val="24"/>
          <w:szCs w:val="22"/>
          <w:lang w:val="en-US"/>
        </w:rPr>
      </w:pPr>
      <w:r w:rsidRPr="008742E9">
        <w:rPr>
          <w:b/>
          <w:sz w:val="24"/>
          <w:szCs w:val="22"/>
          <w:lang w:val="en-US"/>
        </w:rPr>
        <w:t xml:space="preserve">Taurine in the prevention of diseases of the cardiovascular </w:t>
      </w:r>
      <w:r w:rsidR="0064456F" w:rsidRPr="0064456F">
        <w:rPr>
          <w:b/>
          <w:sz w:val="24"/>
          <w:szCs w:val="22"/>
          <w:lang w:val="en-US"/>
        </w:rPr>
        <w:br/>
      </w:r>
      <w:r w:rsidRPr="008742E9">
        <w:rPr>
          <w:b/>
          <w:sz w:val="24"/>
          <w:szCs w:val="22"/>
          <w:lang w:val="en-US"/>
        </w:rPr>
        <w:t>system of cats</w:t>
      </w:r>
    </w:p>
    <w:p w:rsidR="008742E9" w:rsidRPr="008742E9" w:rsidRDefault="008742E9" w:rsidP="008742E9">
      <w:pPr>
        <w:jc w:val="right"/>
        <w:rPr>
          <w:sz w:val="22"/>
          <w:szCs w:val="22"/>
        </w:rPr>
      </w:pPr>
      <w:r w:rsidRPr="008742E9">
        <w:rPr>
          <w:sz w:val="22"/>
          <w:szCs w:val="22"/>
        </w:rPr>
        <w:t>Стадник З.</w:t>
      </w:r>
      <w:r w:rsidR="000D5F55">
        <w:rPr>
          <w:sz w:val="22"/>
          <w:szCs w:val="22"/>
        </w:rPr>
        <w:t xml:space="preserve"> </w:t>
      </w:r>
      <w:r w:rsidRPr="008742E9">
        <w:rPr>
          <w:sz w:val="22"/>
          <w:szCs w:val="22"/>
        </w:rPr>
        <w:t>В.,</w:t>
      </w:r>
    </w:p>
    <w:p w:rsidR="008742E9" w:rsidRPr="008742E9" w:rsidRDefault="0064456F" w:rsidP="008742E9">
      <w:pPr>
        <w:jc w:val="right"/>
        <w:rPr>
          <w:sz w:val="22"/>
          <w:szCs w:val="22"/>
        </w:rPr>
      </w:pPr>
      <w:r>
        <w:rPr>
          <w:sz w:val="22"/>
          <w:szCs w:val="22"/>
        </w:rPr>
        <w:t>м</w:t>
      </w:r>
      <w:r w:rsidR="008742E9" w:rsidRPr="008742E9">
        <w:rPr>
          <w:sz w:val="22"/>
          <w:szCs w:val="22"/>
        </w:rPr>
        <w:t>агистрант 1-го года обучения факультета зоотехнии</w:t>
      </w:r>
    </w:p>
    <w:p w:rsidR="008742E9" w:rsidRPr="008742E9" w:rsidRDefault="008742E9" w:rsidP="008742E9">
      <w:pPr>
        <w:jc w:val="right"/>
        <w:rPr>
          <w:sz w:val="22"/>
          <w:szCs w:val="22"/>
        </w:rPr>
      </w:pPr>
      <w:r w:rsidRPr="008742E9">
        <w:rPr>
          <w:sz w:val="22"/>
          <w:szCs w:val="22"/>
        </w:rPr>
        <w:t>Рядчиков В.</w:t>
      </w:r>
      <w:r w:rsidR="0064456F">
        <w:rPr>
          <w:sz w:val="22"/>
          <w:szCs w:val="22"/>
        </w:rPr>
        <w:t xml:space="preserve"> </w:t>
      </w:r>
      <w:r w:rsidRPr="008742E9">
        <w:rPr>
          <w:sz w:val="22"/>
          <w:szCs w:val="22"/>
        </w:rPr>
        <w:t>Г.,</w:t>
      </w:r>
    </w:p>
    <w:p w:rsidR="008742E9" w:rsidRPr="008742E9" w:rsidRDefault="0064456F" w:rsidP="008742E9">
      <w:pPr>
        <w:jc w:val="right"/>
        <w:rPr>
          <w:sz w:val="22"/>
          <w:szCs w:val="22"/>
        </w:rPr>
      </w:pPr>
      <w:r>
        <w:rPr>
          <w:sz w:val="22"/>
          <w:szCs w:val="22"/>
        </w:rPr>
        <w:t>п</w:t>
      </w:r>
      <w:r w:rsidR="008742E9" w:rsidRPr="008742E9">
        <w:rPr>
          <w:sz w:val="22"/>
          <w:szCs w:val="22"/>
        </w:rPr>
        <w:t>рофессо</w:t>
      </w:r>
      <w:r>
        <w:rPr>
          <w:sz w:val="22"/>
          <w:szCs w:val="22"/>
        </w:rPr>
        <w:t>р, д-р биол. наук, академик РАН</w:t>
      </w:r>
    </w:p>
    <w:p w:rsidR="008742E9" w:rsidRPr="008742E9" w:rsidRDefault="008742E9" w:rsidP="008742E9">
      <w:pPr>
        <w:jc w:val="right"/>
        <w:rPr>
          <w:sz w:val="22"/>
          <w:szCs w:val="22"/>
        </w:rPr>
      </w:pPr>
      <w:r w:rsidRPr="008742E9">
        <w:rPr>
          <w:sz w:val="22"/>
          <w:szCs w:val="22"/>
        </w:rPr>
        <w:t>Куб</w:t>
      </w:r>
      <w:r w:rsidR="0064456F">
        <w:rPr>
          <w:sz w:val="22"/>
          <w:szCs w:val="22"/>
        </w:rPr>
        <w:t>анский государственный аграрный</w:t>
      </w:r>
    </w:p>
    <w:p w:rsidR="008742E9" w:rsidRPr="008742E9" w:rsidRDefault="008742E9" w:rsidP="008742E9">
      <w:pPr>
        <w:jc w:val="right"/>
        <w:rPr>
          <w:sz w:val="22"/>
          <w:szCs w:val="22"/>
        </w:rPr>
      </w:pPr>
      <w:r w:rsidRPr="008742E9">
        <w:rPr>
          <w:sz w:val="22"/>
          <w:szCs w:val="22"/>
        </w:rPr>
        <w:t>университет имени И.</w:t>
      </w:r>
      <w:r w:rsidR="0064456F">
        <w:rPr>
          <w:sz w:val="22"/>
          <w:szCs w:val="22"/>
        </w:rPr>
        <w:t xml:space="preserve"> </w:t>
      </w:r>
      <w:r w:rsidRPr="008742E9">
        <w:rPr>
          <w:sz w:val="22"/>
          <w:szCs w:val="22"/>
        </w:rPr>
        <w:t>Т. Трубилина</w:t>
      </w:r>
    </w:p>
    <w:p w:rsidR="008742E9" w:rsidRPr="008742E9" w:rsidRDefault="008742E9" w:rsidP="008742E9">
      <w:pPr>
        <w:rPr>
          <w:sz w:val="22"/>
          <w:szCs w:val="22"/>
        </w:rPr>
      </w:pPr>
    </w:p>
    <w:p w:rsidR="008742E9" w:rsidRPr="008742E9" w:rsidRDefault="008742E9" w:rsidP="0064456F">
      <w:pPr>
        <w:ind w:firstLine="426"/>
        <w:jc w:val="both"/>
        <w:rPr>
          <w:sz w:val="22"/>
          <w:szCs w:val="22"/>
        </w:rPr>
      </w:pPr>
      <w:r w:rsidRPr="008742E9">
        <w:rPr>
          <w:sz w:val="22"/>
          <w:szCs w:val="22"/>
        </w:rPr>
        <w:t>АННОТАЦИЯ: Установлена роль таурина в профилактике при заболеваниях сердечно-сосудистой системы кошек.</w:t>
      </w:r>
    </w:p>
    <w:p w:rsidR="008742E9" w:rsidRPr="008742E9" w:rsidRDefault="008742E9" w:rsidP="0064456F">
      <w:pPr>
        <w:ind w:firstLine="426"/>
        <w:jc w:val="both"/>
        <w:rPr>
          <w:sz w:val="22"/>
          <w:szCs w:val="22"/>
          <w:lang w:val="en-US"/>
        </w:rPr>
      </w:pPr>
      <w:r w:rsidRPr="008742E9">
        <w:rPr>
          <w:sz w:val="22"/>
          <w:szCs w:val="22"/>
          <w:lang w:val="en-US"/>
        </w:rPr>
        <w:t xml:space="preserve">ABSTRACT: The role of taurine in the prevention of cardiovascular disease in cats is established. </w:t>
      </w:r>
    </w:p>
    <w:p w:rsidR="008742E9" w:rsidRPr="008742E9" w:rsidRDefault="008742E9" w:rsidP="0064456F">
      <w:pPr>
        <w:ind w:firstLine="426"/>
        <w:jc w:val="both"/>
        <w:rPr>
          <w:sz w:val="22"/>
          <w:szCs w:val="22"/>
        </w:rPr>
      </w:pPr>
      <w:r w:rsidRPr="008742E9">
        <w:rPr>
          <w:sz w:val="22"/>
          <w:szCs w:val="22"/>
        </w:rPr>
        <w:t>КЛЮЧЕВЫЕ СЛОВА: таурин, кошки, сердечно-сосудистая с</w:t>
      </w:r>
      <w:r w:rsidRPr="008742E9">
        <w:rPr>
          <w:sz w:val="22"/>
          <w:szCs w:val="22"/>
        </w:rPr>
        <w:t>и</w:t>
      </w:r>
      <w:r w:rsidRPr="008742E9">
        <w:rPr>
          <w:sz w:val="22"/>
          <w:szCs w:val="22"/>
        </w:rPr>
        <w:t>стема, питание.</w:t>
      </w:r>
    </w:p>
    <w:p w:rsidR="008742E9" w:rsidRPr="008742E9" w:rsidRDefault="008742E9" w:rsidP="0064456F">
      <w:pPr>
        <w:ind w:firstLine="426"/>
        <w:jc w:val="both"/>
        <w:rPr>
          <w:sz w:val="22"/>
          <w:szCs w:val="22"/>
          <w:lang w:val="en-US"/>
        </w:rPr>
      </w:pPr>
      <w:r w:rsidRPr="008742E9">
        <w:rPr>
          <w:sz w:val="22"/>
          <w:szCs w:val="22"/>
          <w:lang w:val="en-US"/>
        </w:rPr>
        <w:t>KEY WORDS: taurine, cats, cardiovascular system, nutrition.</w:t>
      </w:r>
    </w:p>
    <w:p w:rsidR="0064456F" w:rsidRPr="00024398" w:rsidRDefault="0064456F" w:rsidP="0064456F">
      <w:pPr>
        <w:ind w:firstLine="426"/>
        <w:jc w:val="both"/>
        <w:rPr>
          <w:sz w:val="22"/>
          <w:szCs w:val="22"/>
          <w:lang w:val="en-US"/>
        </w:rPr>
      </w:pPr>
    </w:p>
    <w:p w:rsidR="008742E9" w:rsidRPr="008742E9" w:rsidRDefault="008742E9" w:rsidP="0064456F">
      <w:pPr>
        <w:ind w:firstLine="426"/>
        <w:jc w:val="both"/>
        <w:rPr>
          <w:sz w:val="22"/>
          <w:szCs w:val="22"/>
        </w:rPr>
      </w:pPr>
      <w:r w:rsidRPr="008742E9">
        <w:rPr>
          <w:sz w:val="22"/>
          <w:szCs w:val="22"/>
        </w:rPr>
        <w:t>Неоценимым в арсенале владельца и оказываются «лечебные корма», разрабатываемые учеными в содружестве с ветеринарными специалистами. Зачастую они являются единственной альтернат</w:t>
      </w:r>
      <w:r w:rsidRPr="008742E9">
        <w:rPr>
          <w:sz w:val="22"/>
          <w:szCs w:val="22"/>
        </w:rPr>
        <w:t>и</w:t>
      </w:r>
      <w:r w:rsidRPr="008742E9">
        <w:rPr>
          <w:sz w:val="22"/>
          <w:szCs w:val="22"/>
        </w:rPr>
        <w:t>вой дорогого стационарного лечения. Каждый день кошка с хор</w:t>
      </w:r>
      <w:r w:rsidRPr="008742E9">
        <w:rPr>
          <w:sz w:val="22"/>
          <w:szCs w:val="22"/>
        </w:rPr>
        <w:t>о</w:t>
      </w:r>
      <w:r w:rsidRPr="008742E9">
        <w:rPr>
          <w:sz w:val="22"/>
          <w:szCs w:val="22"/>
        </w:rPr>
        <w:t>шим самочувствием подает нам образец того, как безупречно и полноценно наслаждаться жизнью. Здоровое питание и хорошее самочувствие вплотную связаны друг с другом, и тот, кто питается правильно, сбалансировано и разнообразно, чувствует себя полным сил и здоровым.</w:t>
      </w:r>
    </w:p>
    <w:p w:rsidR="008742E9" w:rsidRPr="008742E9" w:rsidRDefault="008742E9" w:rsidP="0064456F">
      <w:pPr>
        <w:ind w:firstLine="426"/>
        <w:jc w:val="both"/>
        <w:rPr>
          <w:sz w:val="22"/>
          <w:szCs w:val="22"/>
        </w:rPr>
      </w:pPr>
      <w:r w:rsidRPr="008742E9">
        <w:rPr>
          <w:sz w:val="22"/>
          <w:szCs w:val="22"/>
        </w:rPr>
        <w:t>Цель исследования: изучить роль таурина в профилактике при заболевании сердечно-сосудистой системы кошек.</w:t>
      </w:r>
    </w:p>
    <w:p w:rsidR="008742E9" w:rsidRPr="008742E9" w:rsidRDefault="008742E9" w:rsidP="009762D0">
      <w:pPr>
        <w:ind w:firstLine="426"/>
        <w:jc w:val="both"/>
        <w:rPr>
          <w:sz w:val="22"/>
          <w:szCs w:val="22"/>
        </w:rPr>
      </w:pPr>
      <w:r w:rsidRPr="008742E9">
        <w:rPr>
          <w:sz w:val="22"/>
          <w:szCs w:val="22"/>
        </w:rPr>
        <w:t>Нами установлено, что лечение необходимо повторять цикл</w:t>
      </w:r>
      <w:r w:rsidRPr="008742E9">
        <w:rPr>
          <w:sz w:val="22"/>
          <w:szCs w:val="22"/>
        </w:rPr>
        <w:t>а</w:t>
      </w:r>
      <w:r w:rsidRPr="008742E9">
        <w:rPr>
          <w:sz w:val="22"/>
          <w:szCs w:val="22"/>
        </w:rPr>
        <w:t>ми: один месяц- прием препаратов, два месяца без приемов лека</w:t>
      </w:r>
      <w:r w:rsidRPr="008742E9">
        <w:rPr>
          <w:sz w:val="22"/>
          <w:szCs w:val="22"/>
        </w:rPr>
        <w:t>р</w:t>
      </w:r>
      <w:r w:rsidRPr="008742E9">
        <w:rPr>
          <w:sz w:val="22"/>
          <w:szCs w:val="22"/>
        </w:rPr>
        <w:t>ственных средств. Следовательно, в год потребуется 4 повторных курса приемов лекарственных средств</w:t>
      </w:r>
      <w:r w:rsidR="003435E2">
        <w:rPr>
          <w:sz w:val="22"/>
          <w:szCs w:val="22"/>
        </w:rPr>
        <w:t xml:space="preserve">. </w:t>
      </w:r>
      <w:r w:rsidRPr="008742E9">
        <w:rPr>
          <w:sz w:val="22"/>
          <w:szCs w:val="22"/>
        </w:rPr>
        <w:t>К лечению сердечной нед</w:t>
      </w:r>
      <w:r w:rsidRPr="008742E9">
        <w:rPr>
          <w:sz w:val="22"/>
          <w:szCs w:val="22"/>
        </w:rPr>
        <w:t>о</w:t>
      </w:r>
      <w:r w:rsidRPr="008742E9">
        <w:rPr>
          <w:sz w:val="22"/>
          <w:szCs w:val="22"/>
        </w:rPr>
        <w:t>статочности лекарственными препаратами необходимо включать диету специализированными кормами для сердечной недостаточн</w:t>
      </w:r>
      <w:r w:rsidRPr="008742E9">
        <w:rPr>
          <w:sz w:val="22"/>
          <w:szCs w:val="22"/>
        </w:rPr>
        <w:t>о</w:t>
      </w:r>
      <w:r w:rsidRPr="008742E9">
        <w:rPr>
          <w:sz w:val="22"/>
          <w:szCs w:val="22"/>
        </w:rPr>
        <w:lastRenderedPageBreak/>
        <w:t>сти – Hill's Prescription Diet Feline k/d.</w:t>
      </w:r>
      <w:r w:rsidR="009762D0">
        <w:rPr>
          <w:sz w:val="22"/>
          <w:szCs w:val="22"/>
        </w:rPr>
        <w:t xml:space="preserve"> </w:t>
      </w:r>
      <w:r w:rsidRPr="008742E9">
        <w:rPr>
          <w:sz w:val="22"/>
          <w:szCs w:val="22"/>
        </w:rPr>
        <w:t>Кошкам с сердечной недост</w:t>
      </w:r>
      <w:r w:rsidRPr="008742E9">
        <w:rPr>
          <w:sz w:val="22"/>
          <w:szCs w:val="22"/>
        </w:rPr>
        <w:t>а</w:t>
      </w:r>
      <w:r w:rsidRPr="008742E9">
        <w:rPr>
          <w:sz w:val="22"/>
          <w:szCs w:val="22"/>
        </w:rPr>
        <w:t>точностью требуется пожизненное применение курсов лекарстве</w:t>
      </w:r>
      <w:r w:rsidRPr="008742E9">
        <w:rPr>
          <w:sz w:val="22"/>
          <w:szCs w:val="22"/>
        </w:rPr>
        <w:t>н</w:t>
      </w:r>
      <w:r w:rsidRPr="008742E9">
        <w:rPr>
          <w:sz w:val="22"/>
          <w:szCs w:val="22"/>
        </w:rPr>
        <w:t>ных средств, также потребление лечебных кормов супер-премиум класса.</w:t>
      </w:r>
      <w:r w:rsidRPr="008742E9">
        <w:rPr>
          <w:rFonts w:ascii="Calibri" w:hAnsi="Calibri"/>
          <w:sz w:val="22"/>
          <w:szCs w:val="22"/>
        </w:rPr>
        <w:t xml:space="preserve"> </w:t>
      </w:r>
      <w:r w:rsidRPr="008742E9">
        <w:rPr>
          <w:sz w:val="22"/>
          <w:szCs w:val="22"/>
        </w:rPr>
        <w:t>Существует много разных типов диет для каждого клинич</w:t>
      </w:r>
      <w:r w:rsidRPr="008742E9">
        <w:rPr>
          <w:sz w:val="22"/>
          <w:szCs w:val="22"/>
        </w:rPr>
        <w:t>е</w:t>
      </w:r>
      <w:r w:rsidRPr="008742E9">
        <w:rPr>
          <w:sz w:val="22"/>
          <w:szCs w:val="22"/>
        </w:rPr>
        <w:t>ского заболевания. Знание пищевых потребностей больных живо</w:t>
      </w:r>
      <w:r w:rsidRPr="008742E9">
        <w:rPr>
          <w:sz w:val="22"/>
          <w:szCs w:val="22"/>
        </w:rPr>
        <w:t>т</w:t>
      </w:r>
      <w:r w:rsidRPr="008742E9">
        <w:rPr>
          <w:sz w:val="22"/>
          <w:szCs w:val="22"/>
        </w:rPr>
        <w:t>ных становится необходимым условием, чтобы облегчить и уск</w:t>
      </w:r>
      <w:r w:rsidRPr="008742E9">
        <w:rPr>
          <w:sz w:val="22"/>
          <w:szCs w:val="22"/>
        </w:rPr>
        <w:t>о</w:t>
      </w:r>
      <w:r w:rsidRPr="008742E9">
        <w:rPr>
          <w:sz w:val="22"/>
          <w:szCs w:val="22"/>
        </w:rPr>
        <w:t>рить их выздоровление или профилактировать обострение болезни.</w:t>
      </w:r>
    </w:p>
    <w:p w:rsidR="00A271D8" w:rsidRPr="008742E9" w:rsidRDefault="008742E9" w:rsidP="003435E2">
      <w:pPr>
        <w:ind w:firstLine="426"/>
        <w:jc w:val="both"/>
        <w:rPr>
          <w:sz w:val="22"/>
          <w:szCs w:val="22"/>
        </w:rPr>
      </w:pPr>
      <w:r w:rsidRPr="008742E9">
        <w:rPr>
          <w:sz w:val="22"/>
          <w:szCs w:val="22"/>
        </w:rPr>
        <w:t>При заболеваниях сердца у кошек также будет зависеть от ди</w:t>
      </w:r>
      <w:r w:rsidRPr="008742E9">
        <w:rPr>
          <w:sz w:val="22"/>
          <w:szCs w:val="22"/>
        </w:rPr>
        <w:t>а</w:t>
      </w:r>
      <w:r w:rsidRPr="008742E9">
        <w:rPr>
          <w:sz w:val="22"/>
          <w:szCs w:val="22"/>
        </w:rPr>
        <w:t>гноза. Если говорить о кардиомиопатиях, как наиболее частой группе заболеваний сердца у этих животных – прогноз осторожный. Как правило, болезнь достаточно быстро прогрессирует и требует пожизненного приема препаратов</w:t>
      </w:r>
      <w:r w:rsidR="00A271D8">
        <w:rPr>
          <w:sz w:val="22"/>
          <w:szCs w:val="22"/>
        </w:rPr>
        <w:t>.</w:t>
      </w:r>
    </w:p>
    <w:p w:rsidR="008742E9" w:rsidRPr="008742E9" w:rsidRDefault="008742E9" w:rsidP="0064456F">
      <w:pPr>
        <w:ind w:firstLine="426"/>
        <w:jc w:val="center"/>
        <w:rPr>
          <w:sz w:val="22"/>
          <w:szCs w:val="22"/>
        </w:rPr>
      </w:pPr>
      <w:r w:rsidRPr="008742E9">
        <w:rPr>
          <w:sz w:val="22"/>
          <w:szCs w:val="22"/>
        </w:rPr>
        <w:t xml:space="preserve">Список </w:t>
      </w:r>
      <w:r w:rsidR="00A271D8">
        <w:rPr>
          <w:sz w:val="22"/>
          <w:szCs w:val="22"/>
        </w:rPr>
        <w:t>литературы</w:t>
      </w:r>
    </w:p>
    <w:p w:rsidR="008742E9" w:rsidRPr="008742E9" w:rsidRDefault="008742E9" w:rsidP="0064456F">
      <w:pPr>
        <w:ind w:firstLine="426"/>
        <w:jc w:val="both"/>
        <w:rPr>
          <w:sz w:val="22"/>
          <w:szCs w:val="22"/>
        </w:rPr>
      </w:pPr>
      <w:r w:rsidRPr="008742E9">
        <w:rPr>
          <w:sz w:val="22"/>
          <w:szCs w:val="22"/>
        </w:rPr>
        <w:t>1. Пибо, П. Энциклопедия клинического питания кошек / П. Пибо, В. Бьурж, Д. Эллиот. – М. : Медиа Лайн, 2009. – 518 с.</w:t>
      </w:r>
    </w:p>
    <w:p w:rsidR="008742E9" w:rsidRPr="008742E9" w:rsidRDefault="008742E9" w:rsidP="0064456F">
      <w:pPr>
        <w:ind w:firstLine="426"/>
        <w:jc w:val="both"/>
        <w:rPr>
          <w:sz w:val="22"/>
          <w:szCs w:val="22"/>
        </w:rPr>
      </w:pPr>
      <w:r w:rsidRPr="008742E9">
        <w:rPr>
          <w:sz w:val="22"/>
          <w:szCs w:val="22"/>
        </w:rPr>
        <w:t>2. Рядчиков В. Г. Клиническая диетология собак и кошек / В. Г. Рядчиков, Л. И. Баюров, О. Л. Рядчикова – Краснодар:  КубГАУ, 2017. – 350 с.</w:t>
      </w:r>
    </w:p>
    <w:p w:rsidR="008742E9" w:rsidRPr="008742E9" w:rsidRDefault="008742E9" w:rsidP="0064456F">
      <w:pPr>
        <w:ind w:firstLine="426"/>
        <w:jc w:val="both"/>
        <w:rPr>
          <w:sz w:val="22"/>
          <w:szCs w:val="22"/>
          <w:lang w:val="en-US"/>
        </w:rPr>
      </w:pPr>
      <w:r w:rsidRPr="008742E9">
        <w:rPr>
          <w:sz w:val="22"/>
          <w:szCs w:val="22"/>
          <w:lang w:val="en-US"/>
        </w:rPr>
        <w:t>3.</w:t>
      </w:r>
      <w:r w:rsidRPr="008742E9">
        <w:rPr>
          <w:rFonts w:ascii="Calibri" w:hAnsi="Calibri"/>
          <w:sz w:val="22"/>
          <w:szCs w:val="22"/>
          <w:lang w:val="en-US"/>
        </w:rPr>
        <w:t xml:space="preserve"> </w:t>
      </w:r>
      <w:r w:rsidRPr="008742E9">
        <w:rPr>
          <w:sz w:val="22"/>
          <w:szCs w:val="22"/>
          <w:lang w:val="en-US"/>
        </w:rPr>
        <w:t>NRC (National Research Council of the National Academies) - Nutrient requirements of dogs and cats (2006 - under press). The Natio</w:t>
      </w:r>
      <w:r w:rsidRPr="008742E9">
        <w:rPr>
          <w:sz w:val="22"/>
          <w:szCs w:val="22"/>
          <w:lang w:val="en-US"/>
        </w:rPr>
        <w:t>n</w:t>
      </w:r>
      <w:r w:rsidRPr="008742E9">
        <w:rPr>
          <w:sz w:val="22"/>
          <w:szCs w:val="22"/>
          <w:lang w:val="en-US"/>
        </w:rPr>
        <w:t>al Academies Press, Washington D.C., 447 pp.</w:t>
      </w:r>
    </w:p>
    <w:p w:rsidR="008742E9" w:rsidRPr="00024398" w:rsidRDefault="008742E9" w:rsidP="008742E9">
      <w:pPr>
        <w:rPr>
          <w:sz w:val="22"/>
          <w:szCs w:val="22"/>
          <w:lang w:val="en-US"/>
        </w:rPr>
      </w:pPr>
    </w:p>
    <w:p w:rsidR="0064456F" w:rsidRPr="008D33CB" w:rsidRDefault="0064456F" w:rsidP="008742E9">
      <w:pPr>
        <w:rPr>
          <w:sz w:val="22"/>
          <w:szCs w:val="22"/>
          <w:lang w:val="en-US"/>
        </w:rPr>
      </w:pPr>
    </w:p>
    <w:p w:rsidR="009762D0" w:rsidRPr="008D33CB" w:rsidRDefault="008742E9" w:rsidP="008742E9">
      <w:pPr>
        <w:jc w:val="both"/>
        <w:rPr>
          <w:sz w:val="22"/>
          <w:szCs w:val="22"/>
          <w:lang w:val="en-US"/>
        </w:rPr>
      </w:pPr>
      <w:r w:rsidRPr="0064456F">
        <w:rPr>
          <w:sz w:val="22"/>
          <w:szCs w:val="22"/>
        </w:rPr>
        <w:t>УДК</w:t>
      </w:r>
      <w:r w:rsidRPr="0064456F">
        <w:rPr>
          <w:sz w:val="22"/>
          <w:szCs w:val="22"/>
          <w:lang w:val="en-US"/>
        </w:rPr>
        <w:t xml:space="preserve"> 636.59:591.465.24</w:t>
      </w:r>
    </w:p>
    <w:p w:rsidR="008742E9" w:rsidRPr="008D33CB" w:rsidRDefault="008742E9" w:rsidP="003435E2">
      <w:pPr>
        <w:tabs>
          <w:tab w:val="left" w:pos="851"/>
        </w:tabs>
        <w:jc w:val="center"/>
        <w:rPr>
          <w:b/>
          <w:sz w:val="24"/>
          <w:szCs w:val="24"/>
          <w:lang w:val="en-US"/>
        </w:rPr>
      </w:pPr>
      <w:r w:rsidRPr="008742E9">
        <w:rPr>
          <w:b/>
          <w:sz w:val="24"/>
          <w:szCs w:val="24"/>
        </w:rPr>
        <w:t>Оценка</w:t>
      </w:r>
      <w:r w:rsidRPr="008D33CB">
        <w:rPr>
          <w:b/>
          <w:sz w:val="24"/>
          <w:szCs w:val="24"/>
          <w:lang w:val="en-US"/>
        </w:rPr>
        <w:t xml:space="preserve"> </w:t>
      </w:r>
      <w:r w:rsidRPr="008742E9">
        <w:rPr>
          <w:b/>
          <w:sz w:val="24"/>
          <w:szCs w:val="24"/>
        </w:rPr>
        <w:t>качества</w:t>
      </w:r>
      <w:r w:rsidRPr="008D33CB">
        <w:rPr>
          <w:b/>
          <w:sz w:val="24"/>
          <w:szCs w:val="24"/>
          <w:lang w:val="en-US"/>
        </w:rPr>
        <w:t xml:space="preserve"> </w:t>
      </w:r>
      <w:r w:rsidRPr="008742E9">
        <w:rPr>
          <w:b/>
          <w:sz w:val="24"/>
          <w:szCs w:val="24"/>
        </w:rPr>
        <w:t>перепелиных</w:t>
      </w:r>
      <w:r w:rsidRPr="008D33CB">
        <w:rPr>
          <w:b/>
          <w:sz w:val="24"/>
          <w:szCs w:val="24"/>
          <w:lang w:val="en-US"/>
        </w:rPr>
        <w:t xml:space="preserve"> </w:t>
      </w:r>
      <w:r w:rsidRPr="008742E9">
        <w:rPr>
          <w:b/>
          <w:sz w:val="24"/>
          <w:szCs w:val="24"/>
        </w:rPr>
        <w:t>яиц</w:t>
      </w:r>
      <w:r w:rsidRPr="008D33CB">
        <w:rPr>
          <w:b/>
          <w:sz w:val="24"/>
          <w:szCs w:val="24"/>
          <w:lang w:val="en-US"/>
        </w:rPr>
        <w:t xml:space="preserve"> </w:t>
      </w:r>
      <w:r w:rsidRPr="008742E9">
        <w:rPr>
          <w:b/>
          <w:sz w:val="24"/>
          <w:szCs w:val="24"/>
        </w:rPr>
        <w:t>по</w:t>
      </w:r>
      <w:r w:rsidRPr="008D33CB">
        <w:rPr>
          <w:b/>
          <w:sz w:val="24"/>
          <w:szCs w:val="24"/>
          <w:lang w:val="en-US"/>
        </w:rPr>
        <w:t xml:space="preserve"> </w:t>
      </w:r>
      <w:r w:rsidRPr="008742E9">
        <w:rPr>
          <w:b/>
          <w:sz w:val="24"/>
          <w:szCs w:val="24"/>
        </w:rPr>
        <w:t>пигментации</w:t>
      </w:r>
      <w:r w:rsidRPr="008D33CB">
        <w:rPr>
          <w:b/>
          <w:sz w:val="24"/>
          <w:szCs w:val="24"/>
          <w:lang w:val="en-US"/>
        </w:rPr>
        <w:t xml:space="preserve"> </w:t>
      </w:r>
      <w:r w:rsidR="003435E2" w:rsidRPr="008D33CB">
        <w:rPr>
          <w:b/>
          <w:sz w:val="24"/>
          <w:szCs w:val="24"/>
          <w:lang w:val="en-US"/>
        </w:rPr>
        <w:br/>
      </w:r>
      <w:r w:rsidRPr="008742E9">
        <w:rPr>
          <w:b/>
          <w:sz w:val="24"/>
          <w:szCs w:val="24"/>
        </w:rPr>
        <w:t>скорлупы</w:t>
      </w:r>
    </w:p>
    <w:p w:rsidR="008742E9" w:rsidRPr="008742E9" w:rsidRDefault="008742E9" w:rsidP="008742E9">
      <w:pPr>
        <w:jc w:val="center"/>
        <w:rPr>
          <w:b/>
          <w:sz w:val="24"/>
          <w:szCs w:val="24"/>
          <w:lang w:val="en-US"/>
        </w:rPr>
      </w:pPr>
      <w:r w:rsidRPr="008742E9">
        <w:rPr>
          <w:b/>
          <w:sz w:val="24"/>
          <w:szCs w:val="24"/>
          <w:lang w:val="en-US"/>
        </w:rPr>
        <w:t>Evaluation of quality of quail eggs by pigmentation of the shell</w:t>
      </w:r>
    </w:p>
    <w:p w:rsidR="008742E9" w:rsidRPr="008742E9" w:rsidRDefault="008742E9" w:rsidP="008742E9">
      <w:pPr>
        <w:rPr>
          <w:b/>
          <w:sz w:val="20"/>
          <w:szCs w:val="20"/>
          <w:lang w:val="en-US"/>
        </w:rPr>
      </w:pPr>
    </w:p>
    <w:p w:rsidR="008742E9" w:rsidRPr="008D33CB" w:rsidRDefault="008742E9" w:rsidP="008742E9">
      <w:pPr>
        <w:jc w:val="right"/>
        <w:rPr>
          <w:sz w:val="22"/>
          <w:szCs w:val="22"/>
        </w:rPr>
      </w:pPr>
      <w:r w:rsidRPr="0064456F">
        <w:rPr>
          <w:sz w:val="22"/>
          <w:szCs w:val="22"/>
        </w:rPr>
        <w:t>Старикова</w:t>
      </w:r>
      <w:r w:rsidRPr="008D33CB">
        <w:rPr>
          <w:sz w:val="22"/>
          <w:szCs w:val="22"/>
        </w:rPr>
        <w:t xml:space="preserve"> </w:t>
      </w:r>
      <w:r w:rsidRPr="0064456F">
        <w:rPr>
          <w:sz w:val="22"/>
          <w:szCs w:val="22"/>
        </w:rPr>
        <w:t>С</w:t>
      </w:r>
      <w:r w:rsidRPr="008D33CB">
        <w:rPr>
          <w:sz w:val="22"/>
          <w:szCs w:val="22"/>
        </w:rPr>
        <w:t>.</w:t>
      </w:r>
      <w:r w:rsidR="0064456F" w:rsidRPr="008D33CB">
        <w:rPr>
          <w:sz w:val="22"/>
          <w:szCs w:val="22"/>
        </w:rPr>
        <w:t xml:space="preserve"> </w:t>
      </w:r>
      <w:r w:rsidRPr="0064456F">
        <w:rPr>
          <w:sz w:val="22"/>
          <w:szCs w:val="22"/>
        </w:rPr>
        <w:t>Г</w:t>
      </w:r>
      <w:r w:rsidRPr="008D33CB">
        <w:rPr>
          <w:sz w:val="22"/>
          <w:szCs w:val="22"/>
        </w:rPr>
        <w:t>.,</w:t>
      </w:r>
    </w:p>
    <w:p w:rsidR="008742E9" w:rsidRPr="008D33CB" w:rsidRDefault="0064456F" w:rsidP="008742E9">
      <w:pPr>
        <w:jc w:val="right"/>
        <w:rPr>
          <w:sz w:val="22"/>
          <w:szCs w:val="22"/>
        </w:rPr>
      </w:pPr>
      <w:r>
        <w:rPr>
          <w:sz w:val="22"/>
          <w:szCs w:val="22"/>
        </w:rPr>
        <w:t>студентка</w:t>
      </w:r>
      <w:r w:rsidR="008742E9" w:rsidRPr="008D33CB">
        <w:rPr>
          <w:sz w:val="22"/>
          <w:szCs w:val="22"/>
        </w:rPr>
        <w:t xml:space="preserve"> 2-</w:t>
      </w:r>
      <w:r w:rsidR="008742E9" w:rsidRPr="0064456F">
        <w:rPr>
          <w:sz w:val="22"/>
          <w:szCs w:val="22"/>
        </w:rPr>
        <w:t>го</w:t>
      </w:r>
      <w:r w:rsidR="008742E9" w:rsidRPr="008D33CB">
        <w:rPr>
          <w:sz w:val="22"/>
          <w:szCs w:val="22"/>
        </w:rPr>
        <w:t xml:space="preserve"> </w:t>
      </w:r>
      <w:r>
        <w:rPr>
          <w:sz w:val="22"/>
          <w:szCs w:val="22"/>
        </w:rPr>
        <w:t>курса</w:t>
      </w:r>
      <w:r w:rsidR="008742E9" w:rsidRPr="008D33CB">
        <w:rPr>
          <w:sz w:val="22"/>
          <w:szCs w:val="22"/>
        </w:rPr>
        <w:t xml:space="preserve"> </w:t>
      </w:r>
      <w:r w:rsidR="008742E9" w:rsidRPr="0064456F">
        <w:rPr>
          <w:sz w:val="22"/>
          <w:szCs w:val="22"/>
        </w:rPr>
        <w:t>факультета</w:t>
      </w:r>
      <w:r w:rsidR="008742E9" w:rsidRPr="008D33CB">
        <w:rPr>
          <w:sz w:val="22"/>
          <w:szCs w:val="22"/>
        </w:rPr>
        <w:t xml:space="preserve"> </w:t>
      </w:r>
      <w:r w:rsidR="008742E9" w:rsidRPr="0064456F">
        <w:rPr>
          <w:sz w:val="22"/>
          <w:szCs w:val="22"/>
        </w:rPr>
        <w:t>зоотехнии</w:t>
      </w:r>
    </w:p>
    <w:p w:rsidR="008742E9" w:rsidRPr="0064456F" w:rsidRDefault="008742E9" w:rsidP="008742E9">
      <w:pPr>
        <w:jc w:val="right"/>
        <w:rPr>
          <w:sz w:val="22"/>
          <w:szCs w:val="22"/>
        </w:rPr>
      </w:pPr>
      <w:r w:rsidRPr="0064456F">
        <w:rPr>
          <w:sz w:val="22"/>
          <w:szCs w:val="22"/>
        </w:rPr>
        <w:t>Щербатов В.</w:t>
      </w:r>
      <w:r w:rsidR="0064456F">
        <w:rPr>
          <w:sz w:val="22"/>
          <w:szCs w:val="22"/>
        </w:rPr>
        <w:t xml:space="preserve"> </w:t>
      </w:r>
      <w:r w:rsidRPr="0064456F">
        <w:rPr>
          <w:sz w:val="22"/>
          <w:szCs w:val="22"/>
        </w:rPr>
        <w:t>И.,</w:t>
      </w:r>
    </w:p>
    <w:p w:rsidR="008742E9" w:rsidRPr="0064456F" w:rsidRDefault="0064456F" w:rsidP="003435E2">
      <w:pPr>
        <w:jc w:val="right"/>
        <w:rPr>
          <w:sz w:val="22"/>
          <w:szCs w:val="22"/>
        </w:rPr>
      </w:pPr>
      <w:r>
        <w:rPr>
          <w:sz w:val="22"/>
          <w:szCs w:val="22"/>
        </w:rPr>
        <w:t>п</w:t>
      </w:r>
      <w:r w:rsidR="008742E9" w:rsidRPr="0064456F">
        <w:rPr>
          <w:sz w:val="22"/>
          <w:szCs w:val="22"/>
        </w:rPr>
        <w:t>рофессор кафедры разведения с.-х. животных,</w:t>
      </w:r>
      <w:r w:rsidR="009762D0">
        <w:rPr>
          <w:sz w:val="22"/>
          <w:szCs w:val="22"/>
        </w:rPr>
        <w:t xml:space="preserve"> д-</w:t>
      </w:r>
      <w:r>
        <w:rPr>
          <w:sz w:val="22"/>
          <w:szCs w:val="22"/>
        </w:rPr>
        <w:t>р с.-х. наук</w:t>
      </w:r>
    </w:p>
    <w:p w:rsidR="008742E9" w:rsidRPr="0064456F" w:rsidRDefault="008742E9" w:rsidP="008742E9">
      <w:pPr>
        <w:jc w:val="right"/>
        <w:rPr>
          <w:sz w:val="22"/>
          <w:szCs w:val="22"/>
        </w:rPr>
      </w:pPr>
      <w:r w:rsidRPr="0064456F">
        <w:rPr>
          <w:sz w:val="22"/>
          <w:szCs w:val="22"/>
        </w:rPr>
        <w:t>Кубанский государственный агр</w:t>
      </w:r>
      <w:r w:rsidR="0064456F">
        <w:rPr>
          <w:sz w:val="22"/>
          <w:szCs w:val="22"/>
        </w:rPr>
        <w:t>арный</w:t>
      </w:r>
    </w:p>
    <w:p w:rsidR="008742E9" w:rsidRPr="0064456F" w:rsidRDefault="008742E9" w:rsidP="008742E9">
      <w:pPr>
        <w:jc w:val="right"/>
        <w:rPr>
          <w:sz w:val="22"/>
          <w:szCs w:val="22"/>
        </w:rPr>
      </w:pPr>
      <w:r w:rsidRPr="0064456F">
        <w:rPr>
          <w:sz w:val="22"/>
          <w:szCs w:val="22"/>
        </w:rPr>
        <w:t>университет имени И.</w:t>
      </w:r>
      <w:r w:rsidR="0064456F">
        <w:rPr>
          <w:sz w:val="22"/>
          <w:szCs w:val="22"/>
        </w:rPr>
        <w:t xml:space="preserve"> </w:t>
      </w:r>
      <w:r w:rsidRPr="0064456F">
        <w:rPr>
          <w:sz w:val="22"/>
          <w:szCs w:val="22"/>
        </w:rPr>
        <w:t>Т. Трубилина</w:t>
      </w:r>
    </w:p>
    <w:p w:rsidR="008742E9" w:rsidRPr="0064456F" w:rsidRDefault="008742E9" w:rsidP="008742E9">
      <w:pPr>
        <w:rPr>
          <w:sz w:val="22"/>
          <w:szCs w:val="22"/>
        </w:rPr>
      </w:pPr>
    </w:p>
    <w:p w:rsidR="008742E9" w:rsidRPr="008742E9" w:rsidRDefault="008742E9" w:rsidP="0064456F">
      <w:pPr>
        <w:ind w:firstLine="426"/>
        <w:jc w:val="both"/>
        <w:rPr>
          <w:sz w:val="22"/>
          <w:szCs w:val="22"/>
        </w:rPr>
      </w:pPr>
      <w:r w:rsidRPr="008742E9">
        <w:rPr>
          <w:sz w:val="22"/>
          <w:szCs w:val="22"/>
        </w:rPr>
        <w:t>АННОТАЦИЯ: Исследование люминесценции скорлупы пер</w:t>
      </w:r>
      <w:r w:rsidRPr="008742E9">
        <w:rPr>
          <w:sz w:val="22"/>
          <w:szCs w:val="22"/>
        </w:rPr>
        <w:t>е</w:t>
      </w:r>
      <w:r w:rsidRPr="008742E9">
        <w:rPr>
          <w:sz w:val="22"/>
          <w:szCs w:val="22"/>
        </w:rPr>
        <w:t>пелиных яиц дает возможность использовать его для оценки к</w:t>
      </w:r>
      <w:r w:rsidRPr="008742E9">
        <w:rPr>
          <w:sz w:val="22"/>
          <w:szCs w:val="22"/>
        </w:rPr>
        <w:t>а</w:t>
      </w:r>
      <w:r w:rsidRPr="008742E9">
        <w:rPr>
          <w:sz w:val="22"/>
          <w:szCs w:val="22"/>
        </w:rPr>
        <w:t>честв яиц с временем хранения.</w:t>
      </w:r>
    </w:p>
    <w:p w:rsidR="008742E9" w:rsidRPr="0064456F" w:rsidRDefault="008742E9" w:rsidP="0064456F">
      <w:pPr>
        <w:ind w:firstLine="426"/>
        <w:jc w:val="both"/>
        <w:rPr>
          <w:sz w:val="22"/>
          <w:szCs w:val="22"/>
          <w:lang w:val="en-US"/>
        </w:rPr>
      </w:pPr>
      <w:r w:rsidRPr="008742E9">
        <w:rPr>
          <w:sz w:val="22"/>
          <w:szCs w:val="22"/>
          <w:lang w:val="en-US"/>
        </w:rPr>
        <w:lastRenderedPageBreak/>
        <w:t>ABSTRACT: Investigation of the luminescence of the shell of quail eggs testifies to the possibility of studying the luminescence of the shell surface to assess the quality of eggs with storage time.</w:t>
      </w:r>
    </w:p>
    <w:p w:rsidR="0064456F" w:rsidRPr="0064456F" w:rsidRDefault="0064456F" w:rsidP="0064456F">
      <w:pPr>
        <w:ind w:firstLine="426"/>
        <w:jc w:val="both"/>
        <w:rPr>
          <w:sz w:val="22"/>
          <w:szCs w:val="22"/>
        </w:rPr>
      </w:pPr>
      <w:r w:rsidRPr="008742E9">
        <w:rPr>
          <w:sz w:val="22"/>
          <w:szCs w:val="22"/>
        </w:rPr>
        <w:t>КЛЮЧЕВЫЕ СЛОВА: Перепелиное яйцо, единица Хау, пи</w:t>
      </w:r>
      <w:r w:rsidRPr="008742E9">
        <w:rPr>
          <w:sz w:val="22"/>
          <w:szCs w:val="22"/>
        </w:rPr>
        <w:t>г</w:t>
      </w:r>
      <w:r w:rsidRPr="008742E9">
        <w:rPr>
          <w:sz w:val="22"/>
          <w:szCs w:val="22"/>
        </w:rPr>
        <w:t>мента</w:t>
      </w:r>
      <w:r>
        <w:rPr>
          <w:sz w:val="22"/>
          <w:szCs w:val="22"/>
        </w:rPr>
        <w:t>ция скорлупы.</w:t>
      </w:r>
    </w:p>
    <w:p w:rsidR="008742E9" w:rsidRPr="008742E9" w:rsidRDefault="008742E9" w:rsidP="0064456F">
      <w:pPr>
        <w:ind w:firstLine="426"/>
        <w:jc w:val="both"/>
        <w:rPr>
          <w:sz w:val="22"/>
          <w:szCs w:val="22"/>
          <w:lang w:val="en-US"/>
        </w:rPr>
      </w:pPr>
      <w:r w:rsidRPr="008742E9">
        <w:rPr>
          <w:sz w:val="22"/>
          <w:szCs w:val="22"/>
          <w:lang w:val="en-US"/>
        </w:rPr>
        <w:t>KEY WORDS:</w:t>
      </w:r>
      <w:r w:rsidRPr="008742E9">
        <w:rPr>
          <w:rFonts w:ascii="Calibri" w:hAnsi="Calibri"/>
          <w:sz w:val="22"/>
          <w:szCs w:val="22"/>
          <w:lang w:val="en-US"/>
        </w:rPr>
        <w:t xml:space="preserve"> </w:t>
      </w:r>
      <w:r w:rsidRPr="008742E9">
        <w:rPr>
          <w:sz w:val="22"/>
          <w:szCs w:val="22"/>
          <w:lang w:val="en-US"/>
        </w:rPr>
        <w:t>Quail egg, unit Hau, pigmentation of the shell.</w:t>
      </w:r>
    </w:p>
    <w:p w:rsidR="008742E9" w:rsidRPr="008742E9" w:rsidRDefault="008742E9" w:rsidP="0064456F">
      <w:pPr>
        <w:ind w:firstLine="426"/>
        <w:jc w:val="both"/>
        <w:rPr>
          <w:sz w:val="22"/>
          <w:szCs w:val="22"/>
          <w:lang w:val="en-US"/>
        </w:rPr>
      </w:pPr>
    </w:p>
    <w:p w:rsidR="008742E9" w:rsidRPr="008742E9" w:rsidRDefault="008742E9" w:rsidP="0064456F">
      <w:pPr>
        <w:ind w:firstLine="426"/>
        <w:jc w:val="both"/>
        <w:rPr>
          <w:sz w:val="22"/>
          <w:szCs w:val="22"/>
        </w:rPr>
      </w:pPr>
      <w:r w:rsidRPr="008742E9">
        <w:rPr>
          <w:sz w:val="22"/>
          <w:szCs w:val="22"/>
        </w:rPr>
        <w:t>Время хранения инкубационных яиц сказывается на выводе цыплят и качестве выводимости яиц. Оптимальным сроком хран</w:t>
      </w:r>
      <w:r w:rsidRPr="008742E9">
        <w:rPr>
          <w:sz w:val="22"/>
          <w:szCs w:val="22"/>
        </w:rPr>
        <w:t>е</w:t>
      </w:r>
      <w:r w:rsidRPr="008742E9">
        <w:rPr>
          <w:sz w:val="22"/>
          <w:szCs w:val="22"/>
        </w:rPr>
        <w:t>ния до инкубации составляет не более трех суток (относится к к</w:t>
      </w:r>
      <w:r w:rsidRPr="008742E9">
        <w:rPr>
          <w:sz w:val="22"/>
          <w:szCs w:val="22"/>
        </w:rPr>
        <w:t>у</w:t>
      </w:r>
      <w:r w:rsidRPr="008742E9">
        <w:rPr>
          <w:sz w:val="22"/>
          <w:szCs w:val="22"/>
        </w:rPr>
        <w:t xml:space="preserve">риным яицам[2]). </w:t>
      </w:r>
    </w:p>
    <w:p w:rsidR="008742E9" w:rsidRPr="008742E9" w:rsidRDefault="008742E9" w:rsidP="0064456F">
      <w:pPr>
        <w:ind w:firstLine="426"/>
        <w:jc w:val="both"/>
        <w:rPr>
          <w:sz w:val="22"/>
          <w:szCs w:val="22"/>
        </w:rPr>
      </w:pPr>
      <w:r w:rsidRPr="008742E9">
        <w:rPr>
          <w:sz w:val="22"/>
          <w:szCs w:val="22"/>
        </w:rPr>
        <w:t xml:space="preserve">В то же время почти нет исследований о изменении качестве перепелиных яиц и их питательных свойств в зависимости от срока хранения. Известна работа Венскевич А.Л., которая считает, что качество содержимого перепелиных яиц можно прогнозировать по поверхностной пигментации скорлупы[1]. </w:t>
      </w:r>
    </w:p>
    <w:p w:rsidR="008742E9" w:rsidRPr="008742E9" w:rsidRDefault="008742E9" w:rsidP="0064456F">
      <w:pPr>
        <w:ind w:firstLine="426"/>
        <w:jc w:val="both"/>
        <w:rPr>
          <w:sz w:val="22"/>
          <w:szCs w:val="22"/>
        </w:rPr>
      </w:pPr>
      <w:r w:rsidRPr="008742E9">
        <w:rPr>
          <w:sz w:val="22"/>
          <w:szCs w:val="22"/>
        </w:rPr>
        <w:t>Цель исследования - изучить взаимосвязь люминесценции скорлупы перепелиных яиц, при воздействии ультрафиолетовым светом, с временем хранения и питательной ценностью яиц.</w:t>
      </w:r>
    </w:p>
    <w:p w:rsidR="008742E9" w:rsidRPr="008742E9" w:rsidRDefault="008742E9" w:rsidP="0064456F">
      <w:pPr>
        <w:ind w:firstLine="426"/>
        <w:jc w:val="both"/>
        <w:rPr>
          <w:sz w:val="22"/>
          <w:szCs w:val="22"/>
        </w:rPr>
      </w:pPr>
      <w:r w:rsidRPr="008742E9">
        <w:rPr>
          <w:sz w:val="22"/>
          <w:szCs w:val="22"/>
        </w:rPr>
        <w:t>Опыты проводились в лаборатории кафедры разведения с.-х. животных, на яйцах перепелов техасской белой породы. Для опыта были отобраны яйца одинаковой массы в количестве 50 штук, кот</w:t>
      </w:r>
      <w:r w:rsidRPr="008742E9">
        <w:rPr>
          <w:sz w:val="22"/>
          <w:szCs w:val="22"/>
        </w:rPr>
        <w:t>о</w:t>
      </w:r>
      <w:r w:rsidRPr="008742E9">
        <w:rPr>
          <w:sz w:val="22"/>
          <w:szCs w:val="22"/>
        </w:rPr>
        <w:t>рые имели ярко-малиновую окраску при облучении ультрафиолет</w:t>
      </w:r>
      <w:r w:rsidRPr="008742E9">
        <w:rPr>
          <w:sz w:val="22"/>
          <w:szCs w:val="22"/>
        </w:rPr>
        <w:t>о</w:t>
      </w:r>
      <w:r w:rsidRPr="008742E9">
        <w:rPr>
          <w:sz w:val="22"/>
          <w:szCs w:val="22"/>
        </w:rPr>
        <w:t xml:space="preserve">вым светом в первый день после снесения. </w:t>
      </w:r>
    </w:p>
    <w:p w:rsidR="008742E9" w:rsidRPr="008742E9" w:rsidRDefault="008742E9" w:rsidP="0064456F">
      <w:pPr>
        <w:ind w:firstLine="426"/>
        <w:jc w:val="both"/>
        <w:rPr>
          <w:sz w:val="22"/>
          <w:szCs w:val="22"/>
        </w:rPr>
      </w:pPr>
      <w:r w:rsidRPr="008742E9">
        <w:rPr>
          <w:sz w:val="22"/>
          <w:szCs w:val="22"/>
        </w:rPr>
        <w:t>Разработана шкала балльной оценки свечения скорлупы, в к</w:t>
      </w:r>
      <w:r w:rsidRPr="008742E9">
        <w:rPr>
          <w:sz w:val="22"/>
          <w:szCs w:val="22"/>
        </w:rPr>
        <w:t>о</w:t>
      </w:r>
      <w:r w:rsidRPr="008742E9">
        <w:rPr>
          <w:sz w:val="22"/>
          <w:szCs w:val="22"/>
        </w:rPr>
        <w:t xml:space="preserve">торой 1 балл соответствует слабому свечению холодного оттенка по всей поверхности. </w:t>
      </w:r>
    </w:p>
    <w:p w:rsidR="008742E9" w:rsidRPr="008742E9" w:rsidRDefault="008742E9" w:rsidP="0064456F">
      <w:pPr>
        <w:ind w:firstLine="426"/>
        <w:jc w:val="both"/>
        <w:rPr>
          <w:sz w:val="22"/>
          <w:szCs w:val="22"/>
        </w:rPr>
      </w:pPr>
      <w:r w:rsidRPr="008742E9">
        <w:rPr>
          <w:sz w:val="22"/>
          <w:szCs w:val="22"/>
        </w:rPr>
        <w:t>2-м баллам соответствует свечение холодного оттенка, зан</w:t>
      </w:r>
      <w:r w:rsidRPr="008742E9">
        <w:rPr>
          <w:sz w:val="22"/>
          <w:szCs w:val="22"/>
        </w:rPr>
        <w:t>и</w:t>
      </w:r>
      <w:r w:rsidRPr="008742E9">
        <w:rPr>
          <w:sz w:val="22"/>
          <w:szCs w:val="22"/>
        </w:rPr>
        <w:t xml:space="preserve">мающее более 50 процентов поверхности яиц. </w:t>
      </w:r>
    </w:p>
    <w:p w:rsidR="008742E9" w:rsidRPr="008742E9" w:rsidRDefault="008742E9" w:rsidP="0064456F">
      <w:pPr>
        <w:ind w:firstLine="426"/>
        <w:jc w:val="both"/>
        <w:rPr>
          <w:sz w:val="22"/>
          <w:szCs w:val="22"/>
        </w:rPr>
      </w:pPr>
      <w:r w:rsidRPr="008742E9">
        <w:rPr>
          <w:sz w:val="22"/>
          <w:szCs w:val="22"/>
        </w:rPr>
        <w:t>3-м баллам соответствует свечение ярко-розового оттенка, з</w:t>
      </w:r>
      <w:r w:rsidRPr="008742E9">
        <w:rPr>
          <w:sz w:val="22"/>
          <w:szCs w:val="22"/>
        </w:rPr>
        <w:t>а</w:t>
      </w:r>
      <w:r w:rsidRPr="008742E9">
        <w:rPr>
          <w:sz w:val="22"/>
          <w:szCs w:val="22"/>
        </w:rPr>
        <w:t xml:space="preserve">нимающее 50 процентов поверхности яиц и более. </w:t>
      </w:r>
    </w:p>
    <w:p w:rsidR="008742E9" w:rsidRPr="008742E9" w:rsidRDefault="008742E9" w:rsidP="0064456F">
      <w:pPr>
        <w:ind w:firstLine="426"/>
        <w:jc w:val="both"/>
        <w:rPr>
          <w:sz w:val="22"/>
          <w:szCs w:val="22"/>
        </w:rPr>
      </w:pPr>
      <w:r w:rsidRPr="008742E9">
        <w:rPr>
          <w:sz w:val="22"/>
          <w:szCs w:val="22"/>
        </w:rPr>
        <w:t>4-м баллам соответствует свечение ярко-розового оттенка, п</w:t>
      </w:r>
      <w:r w:rsidRPr="008742E9">
        <w:rPr>
          <w:sz w:val="22"/>
          <w:szCs w:val="22"/>
        </w:rPr>
        <w:t>о</w:t>
      </w:r>
      <w:r w:rsidRPr="008742E9">
        <w:rPr>
          <w:sz w:val="22"/>
          <w:szCs w:val="22"/>
        </w:rPr>
        <w:t xml:space="preserve">крывающего не менее 90 процентов поверхности яиц. </w:t>
      </w:r>
    </w:p>
    <w:p w:rsidR="008742E9" w:rsidRPr="008742E9" w:rsidRDefault="008742E9" w:rsidP="0064456F">
      <w:pPr>
        <w:ind w:firstLine="426"/>
        <w:jc w:val="both"/>
        <w:rPr>
          <w:sz w:val="22"/>
          <w:szCs w:val="22"/>
        </w:rPr>
      </w:pPr>
      <w:r w:rsidRPr="008742E9">
        <w:rPr>
          <w:sz w:val="22"/>
          <w:szCs w:val="22"/>
        </w:rPr>
        <w:t>Яйца хранились в течение 10 дней при температуре 20-22°С и влажности 65 %. Ежедневно с начала опыта оценивали яркость св</w:t>
      </w:r>
      <w:r w:rsidRPr="008742E9">
        <w:rPr>
          <w:sz w:val="22"/>
          <w:szCs w:val="22"/>
        </w:rPr>
        <w:t>е</w:t>
      </w:r>
      <w:r w:rsidRPr="008742E9">
        <w:rPr>
          <w:sz w:val="22"/>
          <w:szCs w:val="22"/>
        </w:rPr>
        <w:t>чения скорлупы и определяли единицы Хау. Для измерения единиц Хау ежедневно вскрывали 4 яйца и по среднему показателю опр</w:t>
      </w:r>
      <w:r w:rsidRPr="008742E9">
        <w:rPr>
          <w:sz w:val="22"/>
          <w:szCs w:val="22"/>
        </w:rPr>
        <w:t>е</w:t>
      </w:r>
      <w:r w:rsidRPr="008742E9">
        <w:rPr>
          <w:sz w:val="22"/>
          <w:szCs w:val="22"/>
        </w:rPr>
        <w:t>деляли среднее значение. Единицы Хау определяли по формуле:</w:t>
      </w:r>
    </w:p>
    <w:p w:rsidR="008742E9" w:rsidRPr="008742E9" w:rsidRDefault="008742E9" w:rsidP="0064456F">
      <w:pPr>
        <w:ind w:firstLine="426"/>
        <w:jc w:val="center"/>
        <w:rPr>
          <w:sz w:val="22"/>
          <w:szCs w:val="22"/>
        </w:rPr>
      </w:pPr>
    </w:p>
    <w:p w:rsidR="008742E9" w:rsidRPr="008742E9" w:rsidRDefault="008742E9" w:rsidP="0064456F">
      <w:pPr>
        <w:ind w:firstLine="426"/>
        <w:jc w:val="center"/>
        <w:rPr>
          <w:sz w:val="22"/>
          <w:szCs w:val="22"/>
        </w:rPr>
      </w:pPr>
      <w:r w:rsidRPr="008742E9">
        <w:rPr>
          <w:sz w:val="22"/>
          <w:szCs w:val="22"/>
        </w:rPr>
        <w:t>Ех=100 log(h-1,7М 0,37 +7,6);</w:t>
      </w:r>
    </w:p>
    <w:p w:rsidR="008742E9" w:rsidRPr="008742E9" w:rsidRDefault="008742E9" w:rsidP="0064456F">
      <w:pPr>
        <w:ind w:firstLine="426"/>
        <w:jc w:val="center"/>
        <w:rPr>
          <w:sz w:val="22"/>
          <w:szCs w:val="22"/>
        </w:rPr>
      </w:pPr>
    </w:p>
    <w:p w:rsidR="008742E9" w:rsidRPr="008742E9" w:rsidRDefault="008742E9" w:rsidP="0064456F">
      <w:pPr>
        <w:ind w:firstLine="426"/>
        <w:jc w:val="both"/>
        <w:rPr>
          <w:sz w:val="22"/>
          <w:szCs w:val="22"/>
        </w:rPr>
      </w:pPr>
      <w:r w:rsidRPr="008742E9">
        <w:rPr>
          <w:sz w:val="22"/>
          <w:szCs w:val="22"/>
        </w:rPr>
        <w:t xml:space="preserve">где h - высота плотного белка, мм; М - масса яйца, г; </w:t>
      </w:r>
    </w:p>
    <w:p w:rsidR="008742E9" w:rsidRPr="008742E9" w:rsidRDefault="008742E9" w:rsidP="009762D0">
      <w:pPr>
        <w:ind w:firstLine="426"/>
        <w:jc w:val="both"/>
        <w:rPr>
          <w:sz w:val="22"/>
          <w:szCs w:val="22"/>
        </w:rPr>
      </w:pPr>
      <w:r w:rsidRPr="008742E9">
        <w:rPr>
          <w:sz w:val="22"/>
          <w:szCs w:val="22"/>
        </w:rPr>
        <w:t>1,7; 0,37; 7,6 - постоянные коэффициенты.</w:t>
      </w:r>
    </w:p>
    <w:p w:rsidR="008742E9" w:rsidRPr="008742E9" w:rsidRDefault="008742E9" w:rsidP="0064456F">
      <w:pPr>
        <w:ind w:firstLine="426"/>
        <w:jc w:val="both"/>
        <w:rPr>
          <w:sz w:val="22"/>
          <w:szCs w:val="22"/>
        </w:rPr>
      </w:pPr>
      <w:r w:rsidRPr="008742E9">
        <w:rPr>
          <w:sz w:val="22"/>
          <w:szCs w:val="22"/>
        </w:rPr>
        <w:t>Полученные данные свидетельствуют о том, что со временем хранения яиц показатель их качества снижается. В первые 2 суток единицы Хау составляли 91,8; начиная с конца 4 суток происходило снижение не менее чем на 3 единицы. К 10 дню единицы Хау с</w:t>
      </w:r>
      <w:r w:rsidRPr="008742E9">
        <w:rPr>
          <w:sz w:val="22"/>
          <w:szCs w:val="22"/>
        </w:rPr>
        <w:t>о</w:t>
      </w:r>
      <w:r w:rsidRPr="008742E9">
        <w:rPr>
          <w:sz w:val="22"/>
          <w:szCs w:val="22"/>
        </w:rPr>
        <w:t>ставляли не более 76,8. Так же закономерно со временем измен</w:t>
      </w:r>
      <w:r w:rsidRPr="008742E9">
        <w:rPr>
          <w:sz w:val="22"/>
          <w:szCs w:val="22"/>
        </w:rPr>
        <w:t>и</w:t>
      </w:r>
      <w:r w:rsidRPr="008742E9">
        <w:rPr>
          <w:sz w:val="22"/>
          <w:szCs w:val="22"/>
        </w:rPr>
        <w:t>лось свечение скорлупы при облучении ультрафиолетом. К концу 7 суток хранения люминесценция скорлупы практически исчезла.</w:t>
      </w:r>
    </w:p>
    <w:p w:rsidR="008742E9" w:rsidRDefault="008742E9" w:rsidP="0064456F">
      <w:pPr>
        <w:ind w:firstLine="426"/>
        <w:jc w:val="both"/>
        <w:rPr>
          <w:sz w:val="22"/>
          <w:szCs w:val="22"/>
        </w:rPr>
      </w:pPr>
      <w:r w:rsidRPr="008742E9">
        <w:rPr>
          <w:sz w:val="22"/>
          <w:szCs w:val="22"/>
        </w:rPr>
        <w:t>На наш взгляд, свечение скорлупы перепелиных яиц – дост</w:t>
      </w:r>
      <w:r w:rsidRPr="008742E9">
        <w:rPr>
          <w:sz w:val="22"/>
          <w:szCs w:val="22"/>
        </w:rPr>
        <w:t>а</w:t>
      </w:r>
      <w:r w:rsidRPr="008742E9">
        <w:rPr>
          <w:sz w:val="22"/>
          <w:szCs w:val="22"/>
        </w:rPr>
        <w:t>точно объективный показатель изменения питательной ценности и качества инкубационных яиц при хранении.</w:t>
      </w:r>
    </w:p>
    <w:p w:rsidR="0064456F" w:rsidRPr="008742E9" w:rsidRDefault="0064456F" w:rsidP="0064456F">
      <w:pPr>
        <w:ind w:firstLine="426"/>
        <w:jc w:val="both"/>
        <w:rPr>
          <w:sz w:val="22"/>
          <w:szCs w:val="22"/>
        </w:rPr>
      </w:pPr>
    </w:p>
    <w:p w:rsidR="008742E9" w:rsidRPr="008742E9" w:rsidRDefault="008742E9" w:rsidP="0064456F">
      <w:pPr>
        <w:ind w:firstLine="426"/>
        <w:jc w:val="center"/>
        <w:rPr>
          <w:sz w:val="22"/>
          <w:szCs w:val="22"/>
        </w:rPr>
      </w:pPr>
      <w:r w:rsidRPr="008742E9">
        <w:rPr>
          <w:sz w:val="22"/>
          <w:szCs w:val="22"/>
        </w:rPr>
        <w:t>Список литературы</w:t>
      </w:r>
    </w:p>
    <w:p w:rsidR="008742E9" w:rsidRPr="008742E9" w:rsidRDefault="008742E9" w:rsidP="0064456F">
      <w:pPr>
        <w:ind w:firstLine="426"/>
        <w:jc w:val="both"/>
        <w:rPr>
          <w:sz w:val="22"/>
          <w:szCs w:val="22"/>
        </w:rPr>
      </w:pPr>
      <w:r w:rsidRPr="008742E9">
        <w:rPr>
          <w:sz w:val="22"/>
          <w:szCs w:val="22"/>
        </w:rPr>
        <w:t>1. Венскевич, А.Л., «Биологическое обоснование технологии прединкубционного хранения яиц разных видов сельскохозя</w:t>
      </w:r>
      <w:r w:rsidRPr="008742E9">
        <w:rPr>
          <w:sz w:val="22"/>
          <w:szCs w:val="22"/>
        </w:rPr>
        <w:t>й</w:t>
      </w:r>
      <w:r w:rsidRPr="008742E9">
        <w:rPr>
          <w:sz w:val="22"/>
          <w:szCs w:val="22"/>
        </w:rPr>
        <w:t xml:space="preserve">ственной птицы». Автореферат диссертации на соискание ученой степени кандидат сельскохозяйственных наук. Санкт-Петербург, 2001г., - 24 сс. </w:t>
      </w:r>
    </w:p>
    <w:p w:rsidR="008742E9" w:rsidRPr="008742E9" w:rsidRDefault="008742E9" w:rsidP="0064456F">
      <w:pPr>
        <w:ind w:firstLine="426"/>
        <w:jc w:val="both"/>
        <w:rPr>
          <w:sz w:val="22"/>
          <w:szCs w:val="22"/>
        </w:rPr>
      </w:pPr>
      <w:r w:rsidRPr="008742E9">
        <w:rPr>
          <w:sz w:val="22"/>
          <w:szCs w:val="22"/>
        </w:rPr>
        <w:t>2. .Кочиш И.И., Петраш М.Г., Смирнов С. Б. «Птицеводство». – М.: КолоС, 2003. – 407.</w:t>
      </w:r>
    </w:p>
    <w:p w:rsidR="008742E9" w:rsidRDefault="008742E9" w:rsidP="008742E9">
      <w:pPr>
        <w:rPr>
          <w:sz w:val="22"/>
          <w:szCs w:val="22"/>
        </w:rPr>
      </w:pPr>
    </w:p>
    <w:p w:rsidR="0064456F" w:rsidRDefault="0064456F" w:rsidP="008742E9">
      <w:pPr>
        <w:rPr>
          <w:sz w:val="22"/>
          <w:szCs w:val="22"/>
        </w:rPr>
      </w:pPr>
    </w:p>
    <w:p w:rsidR="0064456F" w:rsidRPr="008742E9" w:rsidRDefault="009762D0" w:rsidP="008742E9">
      <w:pPr>
        <w:rPr>
          <w:sz w:val="22"/>
          <w:szCs w:val="22"/>
        </w:rPr>
      </w:pPr>
      <w:r>
        <w:rPr>
          <w:sz w:val="22"/>
          <w:szCs w:val="22"/>
        </w:rPr>
        <w:br w:type="page"/>
      </w:r>
    </w:p>
    <w:p w:rsidR="008742E9" w:rsidRPr="0064456F" w:rsidRDefault="008742E9" w:rsidP="008742E9">
      <w:pPr>
        <w:jc w:val="both"/>
        <w:rPr>
          <w:rFonts w:eastAsia="Calibri"/>
          <w:sz w:val="22"/>
          <w:szCs w:val="22"/>
          <w:lang w:eastAsia="en-US"/>
        </w:rPr>
      </w:pPr>
      <w:r w:rsidRPr="0064456F">
        <w:rPr>
          <w:rFonts w:eastAsia="Calibri"/>
          <w:sz w:val="22"/>
          <w:szCs w:val="22"/>
          <w:lang w:eastAsia="en-US"/>
        </w:rPr>
        <w:lastRenderedPageBreak/>
        <w:t>УДК 636.92.053.083(470.620)</w:t>
      </w:r>
    </w:p>
    <w:p w:rsidR="008742E9" w:rsidRPr="0064456F" w:rsidRDefault="008742E9" w:rsidP="008742E9">
      <w:pPr>
        <w:jc w:val="both"/>
        <w:rPr>
          <w:rFonts w:eastAsia="Calibri"/>
          <w:sz w:val="22"/>
          <w:szCs w:val="22"/>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 xml:space="preserve">Методы повышения сохранности крольчат </w:t>
      </w: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от многоплодных самок в КФХ «ГЛАВКРОЛ»</w:t>
      </w:r>
    </w:p>
    <w:p w:rsidR="008742E9" w:rsidRPr="008742E9" w:rsidRDefault="008742E9" w:rsidP="008742E9">
      <w:pPr>
        <w:jc w:val="center"/>
        <w:rPr>
          <w:rFonts w:eastAsia="Calibri"/>
          <w:b/>
          <w:sz w:val="24"/>
          <w:szCs w:val="24"/>
          <w:lang w:val="en-US" w:eastAsia="en-US"/>
        </w:rPr>
      </w:pPr>
      <w:r w:rsidRPr="008742E9">
        <w:rPr>
          <w:rFonts w:eastAsia="Calibri"/>
          <w:b/>
          <w:sz w:val="24"/>
          <w:szCs w:val="24"/>
          <w:lang w:val="en-US" w:eastAsia="en-US"/>
        </w:rPr>
        <w:t>Methods of preservation of rabbits from multiple females in the farm "GLAVKROL"</w:t>
      </w:r>
    </w:p>
    <w:p w:rsidR="008742E9" w:rsidRPr="008742E9" w:rsidRDefault="008742E9" w:rsidP="008742E9">
      <w:pPr>
        <w:jc w:val="center"/>
        <w:rPr>
          <w:rFonts w:eastAsia="Calibri"/>
          <w:b/>
          <w:sz w:val="24"/>
          <w:szCs w:val="24"/>
          <w:lang w:val="en-US" w:eastAsia="en-US"/>
        </w:rPr>
      </w:pPr>
    </w:p>
    <w:p w:rsidR="008742E9" w:rsidRPr="0064456F" w:rsidRDefault="0064456F" w:rsidP="008742E9">
      <w:pPr>
        <w:jc w:val="right"/>
        <w:rPr>
          <w:rFonts w:eastAsia="Calibri"/>
          <w:sz w:val="22"/>
          <w:szCs w:val="22"/>
          <w:lang w:eastAsia="en-US"/>
        </w:rPr>
      </w:pPr>
      <w:r>
        <w:rPr>
          <w:rFonts w:eastAsia="Calibri"/>
          <w:sz w:val="22"/>
          <w:szCs w:val="22"/>
          <w:lang w:eastAsia="en-US"/>
        </w:rPr>
        <w:t>Филиппов Д. А.,</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магистрант 1-го курса факультета зоотехнии</w:t>
      </w:r>
    </w:p>
    <w:p w:rsidR="008742E9" w:rsidRPr="0064456F" w:rsidRDefault="0064456F" w:rsidP="008742E9">
      <w:pPr>
        <w:jc w:val="right"/>
        <w:rPr>
          <w:rFonts w:eastAsia="Calibri"/>
          <w:sz w:val="22"/>
          <w:szCs w:val="22"/>
          <w:lang w:eastAsia="en-US"/>
        </w:rPr>
      </w:pPr>
      <w:r>
        <w:rPr>
          <w:rFonts w:eastAsia="Calibri"/>
          <w:sz w:val="22"/>
          <w:szCs w:val="22"/>
          <w:lang w:eastAsia="en-US"/>
        </w:rPr>
        <w:t>Величко Л. Ф.,</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кандидат с.-х. н., профессор</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Кубанский государственный аграрный</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 xml:space="preserve"> университет имени И. Т. Трубилина</w:t>
      </w:r>
    </w:p>
    <w:p w:rsidR="008742E9" w:rsidRPr="008742E9" w:rsidRDefault="008742E9" w:rsidP="008742E9">
      <w:pPr>
        <w:jc w:val="both"/>
        <w:rPr>
          <w:rFonts w:eastAsia="Calibri"/>
          <w:sz w:val="22"/>
          <w:szCs w:val="22"/>
          <w:lang w:eastAsia="en-US"/>
        </w:rPr>
      </w:pPr>
    </w:p>
    <w:p w:rsidR="008742E9" w:rsidRPr="008742E9" w:rsidRDefault="0064456F" w:rsidP="0064456F">
      <w:pPr>
        <w:ind w:firstLine="426"/>
        <w:jc w:val="both"/>
        <w:rPr>
          <w:rFonts w:eastAsia="Calibri"/>
          <w:sz w:val="22"/>
          <w:szCs w:val="22"/>
          <w:lang w:eastAsia="en-US"/>
        </w:rPr>
      </w:pPr>
      <w:r>
        <w:rPr>
          <w:rFonts w:eastAsia="Calibri"/>
          <w:sz w:val="22"/>
          <w:szCs w:val="22"/>
          <w:lang w:eastAsia="en-US"/>
        </w:rPr>
        <w:t>АННОТАЦИЯ:</w:t>
      </w:r>
      <w:r w:rsidR="008742E9" w:rsidRPr="008742E9">
        <w:rPr>
          <w:rFonts w:eastAsia="Calibri"/>
          <w:sz w:val="22"/>
          <w:szCs w:val="22"/>
          <w:lang w:eastAsia="en-US"/>
        </w:rPr>
        <w:t xml:space="preserve"> В статье рассмотрены методы повышения с</w:t>
      </w:r>
      <w:r w:rsidR="008742E9" w:rsidRPr="008742E9">
        <w:rPr>
          <w:rFonts w:eastAsia="Calibri"/>
          <w:sz w:val="22"/>
          <w:szCs w:val="22"/>
          <w:lang w:eastAsia="en-US"/>
        </w:rPr>
        <w:t>о</w:t>
      </w:r>
      <w:r w:rsidR="008742E9" w:rsidRPr="008742E9">
        <w:rPr>
          <w:rFonts w:eastAsia="Calibri"/>
          <w:sz w:val="22"/>
          <w:szCs w:val="22"/>
          <w:lang w:eastAsia="en-US"/>
        </w:rPr>
        <w:t>хранности крольчат от многоплодных самок. Даны предложения для увеличения поголовья, выравнивания гнезд и повышения кв</w:t>
      </w:r>
      <w:r w:rsidR="008742E9" w:rsidRPr="008742E9">
        <w:rPr>
          <w:rFonts w:eastAsia="Calibri"/>
          <w:sz w:val="22"/>
          <w:szCs w:val="22"/>
          <w:lang w:eastAsia="en-US"/>
        </w:rPr>
        <w:t>а</w:t>
      </w:r>
      <w:r w:rsidR="008742E9" w:rsidRPr="008742E9">
        <w:rPr>
          <w:rFonts w:eastAsia="Calibri"/>
          <w:sz w:val="22"/>
          <w:szCs w:val="22"/>
          <w:lang w:eastAsia="en-US"/>
        </w:rPr>
        <w:t>лификации персонала.</w:t>
      </w:r>
    </w:p>
    <w:p w:rsidR="008742E9" w:rsidRPr="008742E9" w:rsidRDefault="008742E9" w:rsidP="0064456F">
      <w:pPr>
        <w:ind w:firstLine="426"/>
        <w:jc w:val="both"/>
        <w:rPr>
          <w:rFonts w:eastAsia="Calibri"/>
          <w:sz w:val="22"/>
          <w:szCs w:val="22"/>
          <w:lang w:val="en-US" w:eastAsia="en-US"/>
        </w:rPr>
      </w:pPr>
      <w:r w:rsidRPr="008742E9">
        <w:rPr>
          <w:rFonts w:eastAsia="Calibri"/>
          <w:sz w:val="22"/>
          <w:szCs w:val="22"/>
          <w:lang w:val="en-US" w:eastAsia="en-US"/>
        </w:rPr>
        <w:t>AN</w:t>
      </w:r>
      <w:r w:rsidR="0064456F">
        <w:rPr>
          <w:rFonts w:eastAsia="Calibri"/>
          <w:sz w:val="22"/>
          <w:szCs w:val="22"/>
          <w:lang w:val="en-US" w:eastAsia="en-US"/>
        </w:rPr>
        <w:t>NOTATATION</w:t>
      </w:r>
      <w:r w:rsidR="0064456F" w:rsidRPr="0064456F">
        <w:rPr>
          <w:rFonts w:eastAsia="Calibri"/>
          <w:sz w:val="22"/>
          <w:szCs w:val="22"/>
          <w:lang w:val="en-US" w:eastAsia="en-US"/>
        </w:rPr>
        <w:t>:</w:t>
      </w:r>
      <w:r w:rsidRPr="008742E9">
        <w:rPr>
          <w:rFonts w:eastAsia="Calibri"/>
          <w:sz w:val="22"/>
          <w:szCs w:val="22"/>
          <w:lang w:val="en-US" w:eastAsia="en-US"/>
        </w:rPr>
        <w:t xml:space="preserve"> The methods of preservation of rabbits from multiple females are considered in the article. Proposals have been made to increase the number of livestock, alignment of nests and staff deve</w:t>
      </w:r>
      <w:r w:rsidRPr="008742E9">
        <w:rPr>
          <w:rFonts w:eastAsia="Calibri"/>
          <w:sz w:val="22"/>
          <w:szCs w:val="22"/>
          <w:lang w:val="en-US" w:eastAsia="en-US"/>
        </w:rPr>
        <w:t>l</w:t>
      </w:r>
      <w:r w:rsidRPr="008742E9">
        <w:rPr>
          <w:rFonts w:eastAsia="Calibri"/>
          <w:sz w:val="22"/>
          <w:szCs w:val="22"/>
          <w:lang w:val="en-US" w:eastAsia="en-US"/>
        </w:rPr>
        <w:t>opment.</w:t>
      </w:r>
    </w:p>
    <w:p w:rsidR="008742E9" w:rsidRPr="008742E9" w:rsidRDefault="0064456F" w:rsidP="0064456F">
      <w:pPr>
        <w:ind w:firstLine="426"/>
        <w:jc w:val="both"/>
        <w:rPr>
          <w:rFonts w:eastAsia="Calibri"/>
          <w:sz w:val="22"/>
          <w:szCs w:val="22"/>
          <w:lang w:eastAsia="en-US"/>
        </w:rPr>
      </w:pPr>
      <w:r w:rsidRPr="008742E9">
        <w:rPr>
          <w:rFonts w:eastAsia="Calibri"/>
          <w:sz w:val="22"/>
          <w:szCs w:val="22"/>
          <w:lang w:eastAsia="en-US"/>
        </w:rPr>
        <w:t xml:space="preserve">КЛЮЧЕВЫЕ СЛОВА: </w:t>
      </w:r>
      <w:r w:rsidR="008742E9" w:rsidRPr="008742E9">
        <w:rPr>
          <w:rFonts w:eastAsia="Calibri"/>
          <w:sz w:val="22"/>
          <w:szCs w:val="22"/>
          <w:lang w:eastAsia="en-US"/>
        </w:rPr>
        <w:t>сохранность крольчат; многоплодие; содержание; молочность; окрол; технология; помет.</w:t>
      </w:r>
    </w:p>
    <w:p w:rsidR="008742E9" w:rsidRPr="008742E9" w:rsidRDefault="008742E9" w:rsidP="0064456F">
      <w:pPr>
        <w:ind w:firstLine="426"/>
        <w:jc w:val="both"/>
        <w:rPr>
          <w:rFonts w:eastAsia="Calibri"/>
          <w:sz w:val="22"/>
          <w:szCs w:val="22"/>
          <w:lang w:val="en-US" w:eastAsia="en-US"/>
        </w:rPr>
      </w:pPr>
      <w:r w:rsidRPr="008742E9">
        <w:rPr>
          <w:rFonts w:eastAsia="Calibri"/>
          <w:sz w:val="22"/>
          <w:szCs w:val="22"/>
          <w:lang w:val="en-US" w:eastAsia="en-US"/>
        </w:rPr>
        <w:t>KEYWORDS. safety of rabbits; multiple fertility; content; Milk; okrol; technology; litter.</w:t>
      </w:r>
    </w:p>
    <w:p w:rsidR="008742E9" w:rsidRPr="008742E9" w:rsidRDefault="008742E9" w:rsidP="0064456F">
      <w:pPr>
        <w:ind w:firstLine="426"/>
        <w:jc w:val="both"/>
        <w:rPr>
          <w:rFonts w:eastAsia="Calibri"/>
          <w:sz w:val="22"/>
          <w:szCs w:val="22"/>
          <w:lang w:val="en-US" w:eastAsia="en-US"/>
        </w:rPr>
      </w:pP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Кролиководство является важной отраслью мясного животн</w:t>
      </w:r>
      <w:r w:rsidRPr="008742E9">
        <w:rPr>
          <w:rFonts w:eastAsia="Calibri"/>
          <w:sz w:val="22"/>
          <w:szCs w:val="22"/>
          <w:lang w:eastAsia="en-US"/>
        </w:rPr>
        <w:t>о</w:t>
      </w:r>
      <w:r w:rsidRPr="008742E9">
        <w:rPr>
          <w:rFonts w:eastAsia="Calibri"/>
          <w:sz w:val="22"/>
          <w:szCs w:val="22"/>
          <w:lang w:eastAsia="en-US"/>
        </w:rPr>
        <w:t>водства. В настоящее время производство мяса кролика в мире, по различным оценкам, составляет от 2 до 2,5 млн тонн, 70% мяса пр</w:t>
      </w:r>
      <w:r w:rsidRPr="008742E9">
        <w:rPr>
          <w:rFonts w:eastAsia="Calibri"/>
          <w:sz w:val="22"/>
          <w:szCs w:val="22"/>
          <w:lang w:eastAsia="en-US"/>
        </w:rPr>
        <w:t>о</w:t>
      </w:r>
      <w:r w:rsidRPr="008742E9">
        <w:rPr>
          <w:rFonts w:eastAsia="Calibri"/>
          <w:sz w:val="22"/>
          <w:szCs w:val="22"/>
          <w:lang w:eastAsia="en-US"/>
        </w:rPr>
        <w:t xml:space="preserve">изводят Китай, Италия, Франция, Испания. Лидером в производстве мяса кролика является Китай с объемом производства 660 тыс. тонн или 45% от общей доли производства крольчатины.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Развитию кролиководства в России придается большое знач</w:t>
      </w:r>
      <w:r w:rsidRPr="008742E9">
        <w:rPr>
          <w:rFonts w:eastAsia="Calibri"/>
          <w:sz w:val="22"/>
          <w:szCs w:val="22"/>
          <w:lang w:eastAsia="en-US"/>
        </w:rPr>
        <w:t>е</w:t>
      </w:r>
      <w:r w:rsidRPr="008742E9">
        <w:rPr>
          <w:rFonts w:eastAsia="Calibri"/>
          <w:sz w:val="22"/>
          <w:szCs w:val="22"/>
          <w:lang w:eastAsia="en-US"/>
        </w:rPr>
        <w:t>ние как одному из источников снабжения населения диетическим мясом, а легкой промышленности — сырьем. По прогнозам Ме</w:t>
      </w:r>
      <w:r w:rsidRPr="008742E9">
        <w:rPr>
          <w:rFonts w:eastAsia="Calibri"/>
          <w:sz w:val="22"/>
          <w:szCs w:val="22"/>
          <w:lang w:eastAsia="en-US"/>
        </w:rPr>
        <w:t>ж</w:t>
      </w:r>
      <w:r w:rsidRPr="008742E9">
        <w:rPr>
          <w:rFonts w:eastAsia="Calibri"/>
          <w:sz w:val="22"/>
          <w:szCs w:val="22"/>
          <w:lang w:eastAsia="en-US"/>
        </w:rPr>
        <w:t>дународной организации по продовольствию при ООН, в ближа</w:t>
      </w:r>
      <w:r w:rsidRPr="008742E9">
        <w:rPr>
          <w:rFonts w:eastAsia="Calibri"/>
          <w:sz w:val="22"/>
          <w:szCs w:val="22"/>
          <w:lang w:eastAsia="en-US"/>
        </w:rPr>
        <w:t>й</w:t>
      </w:r>
      <w:r w:rsidRPr="008742E9">
        <w:rPr>
          <w:rFonts w:eastAsia="Calibri"/>
          <w:sz w:val="22"/>
          <w:szCs w:val="22"/>
          <w:lang w:eastAsia="en-US"/>
        </w:rPr>
        <w:lastRenderedPageBreak/>
        <w:t>шие годы мясо кролика в рационе человека займет значительное место, что возможно только при резком увеличении поголовья этих животных [2].</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Кролиководство является высокорентабельной отраслью при соблюдении технологической культуры производства. В 2010 году объем производство крольчатины в России составлял 14,4 тыс. тонн, а в 2015 году он увеличился до 17,5 тыс. тонн. В среднем по Европе потребление мясо кролика составляет 2 кг крольчатины на человека в год, в России - 70 граммов.</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 xml:space="preserve">Сохранность крольчат в подсосный период – одна из важных проблем в промышленном кролиководстве. Практика показывает, что отход крольчат особенно велик в первые 20 дней их жизни и составляет примерно 30%, а затем он резко уменьшается. Известно, что самки рождают по 6-12, реже 16-19 крольчат в помете. Но при этом крольчиха имеет всего 8-10 сосков. При большом размере гнезда снижается упитанность крольчихи в подсосный период до такой степени, что произойдет задержка следующей охоты. При чрезмерном многоплодии крольчата рождаются мелкими и плохо растут [1].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 xml:space="preserve">Для обеспечения лучшего питания крольчат требуется уравнять гнезда.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Одним из методов сохранности крольчат породы хиколь в КФХ «Главкрол» подсаживают «лишних» крольчат от многоплодных м</w:t>
      </w:r>
      <w:r w:rsidRPr="008742E9">
        <w:rPr>
          <w:rFonts w:eastAsia="Calibri"/>
          <w:sz w:val="22"/>
          <w:szCs w:val="22"/>
          <w:lang w:eastAsia="en-US"/>
        </w:rPr>
        <w:t>а</w:t>
      </w:r>
      <w:r w:rsidRPr="008742E9">
        <w:rPr>
          <w:rFonts w:eastAsia="Calibri"/>
          <w:sz w:val="22"/>
          <w:szCs w:val="22"/>
          <w:lang w:eastAsia="en-US"/>
        </w:rPr>
        <w:t>ток к другим крольчихам. На роль «приемной матери» рассматр</w:t>
      </w:r>
      <w:r w:rsidRPr="008742E9">
        <w:rPr>
          <w:rFonts w:eastAsia="Calibri"/>
          <w:sz w:val="22"/>
          <w:szCs w:val="22"/>
          <w:lang w:eastAsia="en-US"/>
        </w:rPr>
        <w:t>и</w:t>
      </w:r>
      <w:r w:rsidRPr="008742E9">
        <w:rPr>
          <w:rFonts w:eastAsia="Calibri"/>
          <w:sz w:val="22"/>
          <w:szCs w:val="22"/>
          <w:lang w:eastAsia="en-US"/>
        </w:rPr>
        <w:t>ваются здоровые крольчихи с хорошей молочностью, принесшие за один окрол небольшое количество крольчат или потерявшие крол</w:t>
      </w:r>
      <w:r w:rsidRPr="008742E9">
        <w:rPr>
          <w:rFonts w:eastAsia="Calibri"/>
          <w:sz w:val="22"/>
          <w:szCs w:val="22"/>
          <w:lang w:eastAsia="en-US"/>
        </w:rPr>
        <w:t>ь</w:t>
      </w:r>
      <w:r w:rsidRPr="008742E9">
        <w:rPr>
          <w:rFonts w:eastAsia="Calibri"/>
          <w:sz w:val="22"/>
          <w:szCs w:val="22"/>
          <w:lang w:eastAsia="en-US"/>
        </w:rPr>
        <w:t>чат во время окрола. Основным критерием для подбора «кормил</w:t>
      </w:r>
      <w:r w:rsidRPr="008742E9">
        <w:rPr>
          <w:rFonts w:eastAsia="Calibri"/>
          <w:sz w:val="22"/>
          <w:szCs w:val="22"/>
          <w:lang w:eastAsia="en-US"/>
        </w:rPr>
        <w:t>и</w:t>
      </w:r>
      <w:r w:rsidRPr="008742E9">
        <w:rPr>
          <w:rFonts w:eastAsia="Calibri"/>
          <w:sz w:val="22"/>
          <w:szCs w:val="22"/>
          <w:lang w:eastAsia="en-US"/>
        </w:rPr>
        <w:t xml:space="preserve">цы» является молочность крольчихи.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Известно, что значительно лучшая сохранность наблюдается у маток с наименьшим многоплодием. У таких маток крольчата ро</w:t>
      </w:r>
      <w:r w:rsidRPr="008742E9">
        <w:rPr>
          <w:rFonts w:eastAsia="Calibri"/>
          <w:sz w:val="22"/>
          <w:szCs w:val="22"/>
          <w:lang w:eastAsia="en-US"/>
        </w:rPr>
        <w:t>ж</w:t>
      </w:r>
      <w:r w:rsidRPr="008742E9">
        <w:rPr>
          <w:rFonts w:eastAsia="Calibri"/>
          <w:sz w:val="22"/>
          <w:szCs w:val="22"/>
          <w:lang w:eastAsia="en-US"/>
        </w:rPr>
        <w:t>даются более крупные и жизнеспособные. Такие матки прекрасно подходят на роль кормилиц. О молочности самки крольчихи в пе</w:t>
      </w:r>
      <w:r w:rsidRPr="008742E9">
        <w:rPr>
          <w:rFonts w:eastAsia="Calibri"/>
          <w:sz w:val="22"/>
          <w:szCs w:val="22"/>
          <w:lang w:eastAsia="en-US"/>
        </w:rPr>
        <w:t>р</w:t>
      </w:r>
      <w:r w:rsidRPr="008742E9">
        <w:rPr>
          <w:rFonts w:eastAsia="Calibri"/>
          <w:sz w:val="22"/>
          <w:szCs w:val="22"/>
          <w:lang w:eastAsia="en-US"/>
        </w:rPr>
        <w:t>вые дни после окрола судят по внешнему виду крольчат. Если крольчата лежат спокойно в гнезде с полными животиками, форма их тела округлая, у них блестящий волосяной покров, кожа плотная, без морщинистых складок, они не расползаются в стороны, это п</w:t>
      </w:r>
      <w:r w:rsidRPr="008742E9">
        <w:rPr>
          <w:rFonts w:eastAsia="Calibri"/>
          <w:sz w:val="22"/>
          <w:szCs w:val="22"/>
          <w:lang w:eastAsia="en-US"/>
        </w:rPr>
        <w:t>о</w:t>
      </w:r>
      <w:r w:rsidRPr="008742E9">
        <w:rPr>
          <w:rFonts w:eastAsia="Calibri"/>
          <w:sz w:val="22"/>
          <w:szCs w:val="22"/>
          <w:lang w:eastAsia="en-US"/>
        </w:rPr>
        <w:t>казатель, что у самки крольчихи хорошая молочность. Если моло</w:t>
      </w:r>
      <w:r w:rsidRPr="008742E9">
        <w:rPr>
          <w:rFonts w:eastAsia="Calibri"/>
          <w:sz w:val="22"/>
          <w:szCs w:val="22"/>
          <w:lang w:eastAsia="en-US"/>
        </w:rPr>
        <w:t>ч</w:t>
      </w:r>
      <w:r w:rsidRPr="008742E9">
        <w:rPr>
          <w:rFonts w:eastAsia="Calibri"/>
          <w:sz w:val="22"/>
          <w:szCs w:val="22"/>
          <w:lang w:eastAsia="en-US"/>
        </w:rPr>
        <w:t>ность крольчихи недостаточная, у крольчат морщинистая кожа, у</w:t>
      </w:r>
      <w:r w:rsidRPr="008742E9">
        <w:rPr>
          <w:rFonts w:eastAsia="Calibri"/>
          <w:sz w:val="22"/>
          <w:szCs w:val="22"/>
          <w:lang w:eastAsia="en-US"/>
        </w:rPr>
        <w:t>г</w:t>
      </w:r>
      <w:r w:rsidRPr="008742E9">
        <w:rPr>
          <w:rFonts w:eastAsia="Calibri"/>
          <w:sz w:val="22"/>
          <w:szCs w:val="22"/>
          <w:lang w:eastAsia="en-US"/>
        </w:rPr>
        <w:lastRenderedPageBreak/>
        <w:t xml:space="preserve">ловатые формы тела, ощетинившийся волосяной покров матового оттенка, который взъерошен.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 xml:space="preserve">При большом приплоде крольчиха может разделить крольчат на два гнезда, что увеличит шанс сохранности всех крольчат.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Иногда подсаживают крольчат от маломолочных крольчих к более молочным, у взрослых самок следует оставлять по 6-8 крол</w:t>
      </w:r>
      <w:r w:rsidRPr="008742E9">
        <w:rPr>
          <w:rFonts w:eastAsia="Calibri"/>
          <w:sz w:val="22"/>
          <w:szCs w:val="22"/>
          <w:lang w:eastAsia="en-US"/>
        </w:rPr>
        <w:t>ь</w:t>
      </w:r>
      <w:r w:rsidRPr="008742E9">
        <w:rPr>
          <w:rFonts w:eastAsia="Calibri"/>
          <w:sz w:val="22"/>
          <w:szCs w:val="22"/>
          <w:lang w:eastAsia="en-US"/>
        </w:rPr>
        <w:t>чат, а у молодых (при первом окроле) — по 5-6. Если же крольчиха проверена по молочности во время предыдущих окролов и устано</w:t>
      </w:r>
      <w:r w:rsidRPr="008742E9">
        <w:rPr>
          <w:rFonts w:eastAsia="Calibri"/>
          <w:sz w:val="22"/>
          <w:szCs w:val="22"/>
          <w:lang w:eastAsia="en-US"/>
        </w:rPr>
        <w:t>в</w:t>
      </w:r>
      <w:r w:rsidRPr="008742E9">
        <w:rPr>
          <w:rFonts w:eastAsia="Calibri"/>
          <w:sz w:val="22"/>
          <w:szCs w:val="22"/>
          <w:lang w:eastAsia="en-US"/>
        </w:rPr>
        <w:t>лено, что она хорошо вскармливает крольчат, ей можно подсаж</w:t>
      </w:r>
      <w:r w:rsidRPr="008742E9">
        <w:rPr>
          <w:rFonts w:eastAsia="Calibri"/>
          <w:sz w:val="22"/>
          <w:szCs w:val="22"/>
          <w:lang w:eastAsia="en-US"/>
        </w:rPr>
        <w:t>и</w:t>
      </w:r>
      <w:r w:rsidRPr="008742E9">
        <w:rPr>
          <w:rFonts w:eastAsia="Calibri"/>
          <w:sz w:val="22"/>
          <w:szCs w:val="22"/>
          <w:lang w:eastAsia="en-US"/>
        </w:rPr>
        <w:t xml:space="preserve">вать до 8-10 и более крольчат.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 xml:space="preserve">Одни из методов сохранности приплода является осеменение много самок в одно время, чтобы иметь возможность подсадить «лишних крольчат» к малоплодным самкам во избежание нехватки матерей «кормилиц».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Иногда подсаживают крольчат к крольчихам у которых прои</w:t>
      </w:r>
      <w:r w:rsidRPr="008742E9">
        <w:rPr>
          <w:rFonts w:eastAsia="Calibri"/>
          <w:sz w:val="22"/>
          <w:szCs w:val="22"/>
          <w:lang w:eastAsia="en-US"/>
        </w:rPr>
        <w:t>з</w:t>
      </w:r>
      <w:r w:rsidRPr="008742E9">
        <w:rPr>
          <w:rFonts w:eastAsia="Calibri"/>
          <w:sz w:val="22"/>
          <w:szCs w:val="22"/>
          <w:lang w:eastAsia="en-US"/>
        </w:rPr>
        <w:t xml:space="preserve">водится отъем в 28 дней только в случае, когда самец покрывал крольчиху на следующий день после окрола. </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Одним из вариантов сохранности крольчат является соблюд</w:t>
      </w:r>
      <w:r w:rsidRPr="008742E9">
        <w:rPr>
          <w:rFonts w:eastAsia="Calibri"/>
          <w:sz w:val="22"/>
          <w:szCs w:val="22"/>
          <w:lang w:eastAsia="en-US"/>
        </w:rPr>
        <w:t>е</w:t>
      </w:r>
      <w:r w:rsidRPr="008742E9">
        <w:rPr>
          <w:rFonts w:eastAsia="Calibri"/>
          <w:sz w:val="22"/>
          <w:szCs w:val="22"/>
          <w:lang w:eastAsia="en-US"/>
        </w:rPr>
        <w:t>ние профилактических мероприятий способствующих предупр</w:t>
      </w:r>
      <w:r w:rsidRPr="008742E9">
        <w:rPr>
          <w:rFonts w:eastAsia="Calibri"/>
          <w:sz w:val="22"/>
          <w:szCs w:val="22"/>
          <w:lang w:eastAsia="en-US"/>
        </w:rPr>
        <w:t>е</w:t>
      </w:r>
      <w:r w:rsidRPr="008742E9">
        <w:rPr>
          <w:rFonts w:eastAsia="Calibri"/>
          <w:sz w:val="22"/>
          <w:szCs w:val="22"/>
          <w:lang w:eastAsia="en-US"/>
        </w:rPr>
        <w:t>ждению заболеваний и своевременному выявлению с изоляцией больных животных.</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Таким образом, для увеличения поголовья кроликов и сниж</w:t>
      </w:r>
      <w:r w:rsidRPr="008742E9">
        <w:rPr>
          <w:rFonts w:eastAsia="Calibri"/>
          <w:sz w:val="22"/>
          <w:szCs w:val="22"/>
          <w:lang w:eastAsia="en-US"/>
        </w:rPr>
        <w:t>е</w:t>
      </w:r>
      <w:r w:rsidRPr="008742E9">
        <w:rPr>
          <w:rFonts w:eastAsia="Calibri"/>
          <w:sz w:val="22"/>
          <w:szCs w:val="22"/>
          <w:lang w:eastAsia="en-US"/>
        </w:rPr>
        <w:t>ния отхода (падежа) необходимо использовать все методы по ув</w:t>
      </w:r>
      <w:r w:rsidRPr="008742E9">
        <w:rPr>
          <w:rFonts w:eastAsia="Calibri"/>
          <w:sz w:val="22"/>
          <w:szCs w:val="22"/>
          <w:lang w:eastAsia="en-US"/>
        </w:rPr>
        <w:t>е</w:t>
      </w:r>
      <w:r w:rsidRPr="008742E9">
        <w:rPr>
          <w:rFonts w:eastAsia="Calibri"/>
          <w:sz w:val="22"/>
          <w:szCs w:val="22"/>
          <w:lang w:eastAsia="en-US"/>
        </w:rPr>
        <w:t>личению сохранности, выравненности гнезд, повышать квалифик</w:t>
      </w:r>
      <w:r w:rsidRPr="008742E9">
        <w:rPr>
          <w:rFonts w:eastAsia="Calibri"/>
          <w:sz w:val="22"/>
          <w:szCs w:val="22"/>
          <w:lang w:eastAsia="en-US"/>
        </w:rPr>
        <w:t>а</w:t>
      </w:r>
      <w:r w:rsidRPr="008742E9">
        <w:rPr>
          <w:rFonts w:eastAsia="Calibri"/>
          <w:sz w:val="22"/>
          <w:szCs w:val="22"/>
          <w:lang w:eastAsia="en-US"/>
        </w:rPr>
        <w:t>цию персонала, совершенствовать организацию труда.</w:t>
      </w:r>
    </w:p>
    <w:p w:rsidR="0064456F" w:rsidRDefault="0064456F" w:rsidP="0064456F">
      <w:pPr>
        <w:ind w:firstLine="426"/>
        <w:jc w:val="center"/>
        <w:rPr>
          <w:rFonts w:eastAsia="Calibri"/>
          <w:sz w:val="22"/>
          <w:szCs w:val="22"/>
          <w:lang w:eastAsia="en-US"/>
        </w:rPr>
      </w:pPr>
    </w:p>
    <w:p w:rsidR="008742E9" w:rsidRPr="008742E9" w:rsidRDefault="008742E9" w:rsidP="0064456F">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64456F" w:rsidP="0064456F">
      <w:pPr>
        <w:ind w:firstLine="426"/>
        <w:jc w:val="both"/>
        <w:rPr>
          <w:rFonts w:eastAsia="Calibri"/>
          <w:sz w:val="22"/>
          <w:szCs w:val="22"/>
          <w:lang w:eastAsia="en-US"/>
        </w:rPr>
      </w:pPr>
      <w:r>
        <w:rPr>
          <w:rFonts w:eastAsia="Calibri"/>
          <w:sz w:val="22"/>
          <w:szCs w:val="22"/>
          <w:lang w:eastAsia="en-US"/>
        </w:rPr>
        <w:t xml:space="preserve">1. Комлацкий В. И. </w:t>
      </w:r>
      <w:r w:rsidR="008742E9" w:rsidRPr="008742E9">
        <w:rPr>
          <w:rFonts w:eastAsia="Calibri"/>
          <w:sz w:val="22"/>
          <w:szCs w:val="22"/>
          <w:lang w:eastAsia="en-US"/>
        </w:rPr>
        <w:t>Эффективное кролиководство: учеб. пос</w:t>
      </w:r>
      <w:r w:rsidR="008742E9" w:rsidRPr="008742E9">
        <w:rPr>
          <w:rFonts w:eastAsia="Calibri"/>
          <w:sz w:val="22"/>
          <w:szCs w:val="22"/>
          <w:lang w:eastAsia="en-US"/>
        </w:rPr>
        <w:t>о</w:t>
      </w:r>
      <w:r w:rsidR="008742E9" w:rsidRPr="008742E9">
        <w:rPr>
          <w:rFonts w:eastAsia="Calibri"/>
          <w:sz w:val="22"/>
          <w:szCs w:val="22"/>
          <w:lang w:eastAsia="en-US"/>
        </w:rPr>
        <w:t>бие // Логинов С. В., Комлацкий Г. В., Игнатенко Я. А. /Краснодар: КубГАУ, 2013. – 224 с</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2. Ратошный А. Н. Пути повышения мясной продуктивности кроликов// А. Н. Ратошный, А. В. Черненко // «Эффективное ж</w:t>
      </w:r>
      <w:r w:rsidRPr="008742E9">
        <w:rPr>
          <w:rFonts w:eastAsia="Calibri"/>
          <w:sz w:val="22"/>
          <w:szCs w:val="22"/>
          <w:lang w:eastAsia="en-US"/>
        </w:rPr>
        <w:t>и</w:t>
      </w:r>
      <w:r w:rsidRPr="008742E9">
        <w:rPr>
          <w:rFonts w:eastAsia="Calibri"/>
          <w:sz w:val="22"/>
          <w:szCs w:val="22"/>
          <w:lang w:eastAsia="en-US"/>
        </w:rPr>
        <w:t>вотноводство» - 2013 - №1(87). – С. 40 – 41.</w:t>
      </w:r>
    </w:p>
    <w:p w:rsidR="008742E9" w:rsidRDefault="008742E9" w:rsidP="008742E9">
      <w:pPr>
        <w:rPr>
          <w:sz w:val="22"/>
          <w:szCs w:val="22"/>
        </w:rPr>
      </w:pPr>
    </w:p>
    <w:p w:rsidR="0064456F" w:rsidRDefault="0064456F" w:rsidP="008742E9">
      <w:pPr>
        <w:rPr>
          <w:sz w:val="22"/>
          <w:szCs w:val="22"/>
        </w:rPr>
      </w:pPr>
    </w:p>
    <w:p w:rsidR="009762D0" w:rsidRDefault="009762D0" w:rsidP="008742E9">
      <w:pPr>
        <w:rPr>
          <w:sz w:val="22"/>
          <w:szCs w:val="22"/>
        </w:rPr>
      </w:pPr>
    </w:p>
    <w:p w:rsidR="009762D0" w:rsidRDefault="009762D0" w:rsidP="008742E9">
      <w:pPr>
        <w:rPr>
          <w:sz w:val="22"/>
          <w:szCs w:val="22"/>
        </w:rPr>
      </w:pPr>
    </w:p>
    <w:p w:rsidR="009762D0" w:rsidRPr="008742E9" w:rsidRDefault="009762D0" w:rsidP="008742E9">
      <w:pPr>
        <w:rPr>
          <w:sz w:val="22"/>
          <w:szCs w:val="22"/>
        </w:rPr>
      </w:pPr>
    </w:p>
    <w:p w:rsidR="008742E9" w:rsidRPr="0064456F" w:rsidRDefault="008742E9" w:rsidP="008742E9">
      <w:pPr>
        <w:jc w:val="both"/>
        <w:rPr>
          <w:rFonts w:eastAsia="Calibri"/>
          <w:sz w:val="22"/>
          <w:szCs w:val="22"/>
          <w:lang w:eastAsia="en-US"/>
        </w:rPr>
      </w:pPr>
      <w:r w:rsidRPr="0064456F">
        <w:rPr>
          <w:rFonts w:eastAsia="Calibri"/>
          <w:sz w:val="22"/>
          <w:szCs w:val="22"/>
          <w:lang w:eastAsia="en-US"/>
        </w:rPr>
        <w:lastRenderedPageBreak/>
        <w:t xml:space="preserve">УДК 636.4.033 </w:t>
      </w:r>
    </w:p>
    <w:p w:rsidR="008742E9" w:rsidRPr="0064456F" w:rsidRDefault="008742E9" w:rsidP="008742E9">
      <w:pPr>
        <w:jc w:val="both"/>
        <w:rPr>
          <w:rFonts w:eastAsia="Calibri"/>
          <w:sz w:val="22"/>
          <w:szCs w:val="22"/>
          <w:lang w:eastAsia="en-US"/>
        </w:rPr>
      </w:pPr>
    </w:p>
    <w:p w:rsidR="008742E9" w:rsidRPr="008742E9" w:rsidRDefault="008742E9" w:rsidP="008742E9">
      <w:pPr>
        <w:jc w:val="center"/>
        <w:rPr>
          <w:rFonts w:eastAsia="Calibri"/>
          <w:b/>
          <w:sz w:val="24"/>
          <w:szCs w:val="24"/>
          <w:lang w:eastAsia="en-US"/>
        </w:rPr>
      </w:pPr>
      <w:r w:rsidRPr="008742E9">
        <w:rPr>
          <w:rFonts w:eastAsia="Calibri"/>
          <w:b/>
          <w:sz w:val="24"/>
          <w:szCs w:val="24"/>
          <w:lang w:eastAsia="en-US"/>
        </w:rPr>
        <w:t>Влияние хряков разных пород на качество потомства</w:t>
      </w:r>
    </w:p>
    <w:p w:rsidR="008742E9" w:rsidRPr="008742E9" w:rsidRDefault="008742E9" w:rsidP="008742E9">
      <w:pPr>
        <w:jc w:val="center"/>
        <w:rPr>
          <w:rFonts w:eastAsia="Calibri"/>
          <w:b/>
          <w:sz w:val="24"/>
          <w:szCs w:val="24"/>
          <w:lang w:val="en-US" w:eastAsia="en-US"/>
        </w:rPr>
      </w:pPr>
      <w:r w:rsidRPr="008742E9">
        <w:rPr>
          <w:rFonts w:eastAsia="Calibri"/>
          <w:b/>
          <w:sz w:val="24"/>
          <w:szCs w:val="24"/>
          <w:lang w:val="en-US" w:eastAsia="en-US"/>
        </w:rPr>
        <w:t xml:space="preserve">Influence of boars of different breeds on the quality </w:t>
      </w:r>
      <w:r w:rsidR="009762D0" w:rsidRPr="009762D0">
        <w:rPr>
          <w:rFonts w:eastAsia="Calibri"/>
          <w:b/>
          <w:sz w:val="24"/>
          <w:szCs w:val="24"/>
          <w:lang w:val="en-US" w:eastAsia="en-US"/>
        </w:rPr>
        <w:br/>
      </w:r>
      <w:r w:rsidRPr="008742E9">
        <w:rPr>
          <w:rFonts w:eastAsia="Calibri"/>
          <w:b/>
          <w:sz w:val="24"/>
          <w:szCs w:val="24"/>
          <w:lang w:val="en-US" w:eastAsia="en-US"/>
        </w:rPr>
        <w:t>of offspring</w:t>
      </w:r>
    </w:p>
    <w:p w:rsidR="008742E9" w:rsidRPr="008742E9" w:rsidRDefault="008742E9" w:rsidP="008742E9">
      <w:pPr>
        <w:jc w:val="both"/>
        <w:rPr>
          <w:rFonts w:eastAsia="Calibri"/>
          <w:sz w:val="22"/>
          <w:szCs w:val="22"/>
          <w:lang w:val="en-US" w:eastAsia="en-US"/>
        </w:rPr>
      </w:pP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Харченко В. И.,</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студент 5 курса зоотехнического факультета</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Величко В. А.,</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доцент кафедры частной зоотехнии и свиноводства</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Кубанский государственный аграрный</w:t>
      </w:r>
    </w:p>
    <w:p w:rsidR="008742E9" w:rsidRPr="0064456F" w:rsidRDefault="008742E9" w:rsidP="008742E9">
      <w:pPr>
        <w:jc w:val="right"/>
        <w:rPr>
          <w:rFonts w:eastAsia="Calibri"/>
          <w:sz w:val="22"/>
          <w:szCs w:val="22"/>
          <w:lang w:eastAsia="en-US"/>
        </w:rPr>
      </w:pPr>
      <w:r w:rsidRPr="0064456F">
        <w:rPr>
          <w:rFonts w:eastAsia="Calibri"/>
          <w:sz w:val="22"/>
          <w:szCs w:val="22"/>
          <w:lang w:eastAsia="en-US"/>
        </w:rPr>
        <w:t xml:space="preserve"> университет имени И. Т. Трубилина</w:t>
      </w:r>
    </w:p>
    <w:p w:rsidR="008742E9" w:rsidRPr="0064456F" w:rsidRDefault="008742E9" w:rsidP="008742E9">
      <w:pPr>
        <w:jc w:val="right"/>
        <w:rPr>
          <w:rFonts w:eastAsia="Calibri"/>
          <w:sz w:val="22"/>
          <w:szCs w:val="22"/>
          <w:lang w:eastAsia="en-US"/>
        </w:rPr>
      </w:pPr>
    </w:p>
    <w:p w:rsidR="008742E9" w:rsidRPr="008742E9" w:rsidRDefault="0064456F" w:rsidP="0064456F">
      <w:pPr>
        <w:ind w:firstLine="426"/>
        <w:jc w:val="both"/>
        <w:rPr>
          <w:rFonts w:eastAsia="Calibri"/>
          <w:sz w:val="22"/>
          <w:szCs w:val="22"/>
          <w:lang w:eastAsia="en-US"/>
        </w:rPr>
      </w:pPr>
      <w:r>
        <w:rPr>
          <w:rFonts w:eastAsia="Calibri"/>
          <w:sz w:val="22"/>
          <w:szCs w:val="22"/>
          <w:lang w:eastAsia="en-US"/>
        </w:rPr>
        <w:t>АННОТАЦИЯ:</w:t>
      </w:r>
      <w:r w:rsidR="008742E9" w:rsidRPr="008742E9">
        <w:rPr>
          <w:rFonts w:eastAsia="Calibri"/>
          <w:sz w:val="22"/>
          <w:szCs w:val="22"/>
          <w:lang w:eastAsia="en-US"/>
        </w:rPr>
        <w:t xml:space="preserve"> В статье представлены данные по влиянию хряков разных пород на качество потомства.</w:t>
      </w:r>
    </w:p>
    <w:p w:rsidR="008742E9" w:rsidRPr="008742E9" w:rsidRDefault="008742E9" w:rsidP="0064456F">
      <w:pPr>
        <w:ind w:firstLine="426"/>
        <w:jc w:val="both"/>
        <w:rPr>
          <w:rFonts w:eastAsia="Calibri"/>
          <w:sz w:val="22"/>
          <w:szCs w:val="22"/>
          <w:lang w:val="en-US" w:eastAsia="en-US"/>
        </w:rPr>
      </w:pPr>
      <w:r w:rsidRPr="008742E9">
        <w:rPr>
          <w:rFonts w:eastAsia="Calibri"/>
          <w:sz w:val="22"/>
          <w:szCs w:val="22"/>
          <w:lang w:val="en-US" w:eastAsia="en-US"/>
        </w:rPr>
        <w:t>ANNOTATATION</w:t>
      </w:r>
      <w:r w:rsidR="0064456F" w:rsidRPr="0064456F">
        <w:rPr>
          <w:rFonts w:eastAsia="Calibri"/>
          <w:sz w:val="22"/>
          <w:szCs w:val="22"/>
          <w:lang w:val="en-US" w:eastAsia="en-US"/>
        </w:rPr>
        <w:t>:</w:t>
      </w:r>
      <w:r w:rsidRPr="008742E9">
        <w:rPr>
          <w:rFonts w:ascii="Calibri" w:eastAsia="Calibri" w:hAnsi="Calibri"/>
          <w:sz w:val="22"/>
          <w:szCs w:val="22"/>
          <w:lang w:val="en-US" w:eastAsia="en-US"/>
        </w:rPr>
        <w:t xml:space="preserve"> </w:t>
      </w:r>
      <w:r w:rsidRPr="008742E9">
        <w:rPr>
          <w:rFonts w:eastAsia="Calibri"/>
          <w:sz w:val="22"/>
          <w:szCs w:val="22"/>
          <w:lang w:val="en-US" w:eastAsia="en-US"/>
        </w:rPr>
        <w:t>The article presents data on the effect of boars of different breeds on the quality of offspring.</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КЛЮЧЕВЫЕ СЛОВА: хряки, отбор хряков, осеменение, пор</w:t>
      </w:r>
      <w:r w:rsidRPr="008742E9">
        <w:rPr>
          <w:rFonts w:eastAsia="Calibri"/>
          <w:sz w:val="22"/>
          <w:szCs w:val="22"/>
          <w:lang w:eastAsia="en-US"/>
        </w:rPr>
        <w:t>о</w:t>
      </w:r>
      <w:r w:rsidRPr="008742E9">
        <w:rPr>
          <w:rFonts w:eastAsia="Calibri"/>
          <w:sz w:val="22"/>
          <w:szCs w:val="22"/>
          <w:lang w:eastAsia="en-US"/>
        </w:rPr>
        <w:t>ды свиней, воспроизводство стада, воспроизводительные качества.</w:t>
      </w:r>
    </w:p>
    <w:p w:rsidR="008742E9" w:rsidRPr="00A271D8" w:rsidRDefault="008742E9" w:rsidP="00A271D8">
      <w:pPr>
        <w:ind w:firstLine="426"/>
        <w:jc w:val="both"/>
        <w:rPr>
          <w:rFonts w:eastAsia="Calibri"/>
          <w:sz w:val="22"/>
          <w:szCs w:val="22"/>
          <w:lang w:val="en-US" w:eastAsia="en-US"/>
        </w:rPr>
      </w:pPr>
      <w:r w:rsidRPr="008742E9">
        <w:rPr>
          <w:rFonts w:eastAsia="Calibri"/>
          <w:sz w:val="22"/>
          <w:szCs w:val="22"/>
          <w:lang w:val="en-US" w:eastAsia="en-US"/>
        </w:rPr>
        <w:t>KEYWORDS: boars, selection of boars, insemination, breeds of pigs, reproduction of the herd, reproductive qualities.</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Эффективность отрасли свиноводства зависит от многих фа</w:t>
      </w:r>
      <w:r w:rsidRPr="008742E9">
        <w:rPr>
          <w:rFonts w:eastAsia="Calibri"/>
          <w:sz w:val="22"/>
          <w:szCs w:val="22"/>
          <w:lang w:eastAsia="en-US"/>
        </w:rPr>
        <w:t>к</w:t>
      </w:r>
      <w:r w:rsidRPr="008742E9">
        <w:rPr>
          <w:rFonts w:eastAsia="Calibri"/>
          <w:sz w:val="22"/>
          <w:szCs w:val="22"/>
          <w:lang w:eastAsia="en-US"/>
        </w:rPr>
        <w:t>торов, в том числе от широкого использования высокопродукти</w:t>
      </w:r>
      <w:r w:rsidRPr="008742E9">
        <w:rPr>
          <w:rFonts w:eastAsia="Calibri"/>
          <w:sz w:val="22"/>
          <w:szCs w:val="22"/>
          <w:lang w:eastAsia="en-US"/>
        </w:rPr>
        <w:t>в</w:t>
      </w:r>
      <w:r w:rsidRPr="008742E9">
        <w:rPr>
          <w:rFonts w:eastAsia="Calibri"/>
          <w:sz w:val="22"/>
          <w:szCs w:val="22"/>
          <w:lang w:eastAsia="en-US"/>
        </w:rPr>
        <w:t>ных пород свиней. В последние годы производство свинины в Ро</w:t>
      </w:r>
      <w:r w:rsidRPr="008742E9">
        <w:rPr>
          <w:rFonts w:eastAsia="Calibri"/>
          <w:sz w:val="22"/>
          <w:szCs w:val="22"/>
          <w:lang w:eastAsia="en-US"/>
        </w:rPr>
        <w:t>с</w:t>
      </w:r>
      <w:r w:rsidRPr="008742E9">
        <w:rPr>
          <w:rFonts w:eastAsia="Calibri"/>
          <w:sz w:val="22"/>
          <w:szCs w:val="22"/>
          <w:lang w:eastAsia="en-US"/>
        </w:rPr>
        <w:t>сии сосредоточенно в основном на крупных предприятиях пр</w:t>
      </w:r>
      <w:r w:rsidRPr="008742E9">
        <w:rPr>
          <w:rFonts w:eastAsia="Calibri"/>
          <w:sz w:val="22"/>
          <w:szCs w:val="22"/>
          <w:lang w:eastAsia="en-US"/>
        </w:rPr>
        <w:t>о</w:t>
      </w:r>
      <w:r w:rsidRPr="008742E9">
        <w:rPr>
          <w:rFonts w:eastAsia="Calibri"/>
          <w:sz w:val="22"/>
          <w:szCs w:val="22"/>
          <w:lang w:eastAsia="en-US"/>
        </w:rPr>
        <w:t>мышленного типа при использовании животных импортного прои</w:t>
      </w:r>
      <w:r w:rsidRPr="008742E9">
        <w:rPr>
          <w:rFonts w:eastAsia="Calibri"/>
          <w:sz w:val="22"/>
          <w:szCs w:val="22"/>
          <w:lang w:eastAsia="en-US"/>
        </w:rPr>
        <w:t>с</w:t>
      </w:r>
      <w:r w:rsidRPr="008742E9">
        <w:rPr>
          <w:rFonts w:eastAsia="Calibri"/>
          <w:sz w:val="22"/>
          <w:szCs w:val="22"/>
          <w:lang w:eastAsia="en-US"/>
        </w:rPr>
        <w:t>хождения [1].</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ООО «Кубанский бекон» единственный производитель и п</w:t>
      </w:r>
      <w:r w:rsidRPr="008742E9">
        <w:rPr>
          <w:rFonts w:eastAsia="Calibri"/>
          <w:sz w:val="22"/>
          <w:szCs w:val="22"/>
          <w:lang w:eastAsia="en-US"/>
        </w:rPr>
        <w:t>о</w:t>
      </w:r>
      <w:r w:rsidRPr="008742E9">
        <w:rPr>
          <w:rFonts w:eastAsia="Calibri"/>
          <w:sz w:val="22"/>
          <w:szCs w:val="22"/>
          <w:lang w:eastAsia="en-US"/>
        </w:rPr>
        <w:t>ставщик генетического материала пород йоркшир, ландрас и дюрок на Северном Кавказе. Хозяйство имеет статус племенного репр</w:t>
      </w:r>
      <w:r w:rsidRPr="008742E9">
        <w:rPr>
          <w:rFonts w:eastAsia="Calibri"/>
          <w:sz w:val="22"/>
          <w:szCs w:val="22"/>
          <w:lang w:eastAsia="en-US"/>
        </w:rPr>
        <w:t>о</w:t>
      </w:r>
      <w:r w:rsidRPr="008742E9">
        <w:rPr>
          <w:rFonts w:eastAsia="Calibri"/>
          <w:sz w:val="22"/>
          <w:szCs w:val="22"/>
          <w:lang w:eastAsia="en-US"/>
        </w:rPr>
        <w:t>дуктора на производство и продажу этих пород свиней. Так как в настоящее время тема импортозамещения стала как никогда акт</w:t>
      </w:r>
      <w:r w:rsidRPr="008742E9">
        <w:rPr>
          <w:rFonts w:eastAsia="Calibri"/>
          <w:sz w:val="22"/>
          <w:szCs w:val="22"/>
          <w:lang w:eastAsia="en-US"/>
        </w:rPr>
        <w:t>у</w:t>
      </w:r>
      <w:r w:rsidRPr="008742E9">
        <w:rPr>
          <w:rFonts w:eastAsia="Calibri"/>
          <w:sz w:val="22"/>
          <w:szCs w:val="22"/>
          <w:lang w:eastAsia="en-US"/>
        </w:rPr>
        <w:t>альной, на российском рынке резко возрос спрос племенных и г</w:t>
      </w:r>
      <w:r w:rsidRPr="008742E9">
        <w:rPr>
          <w:rFonts w:eastAsia="Calibri"/>
          <w:sz w:val="22"/>
          <w:szCs w:val="22"/>
          <w:lang w:eastAsia="en-US"/>
        </w:rPr>
        <w:t>и</w:t>
      </w:r>
      <w:r w:rsidRPr="008742E9">
        <w:rPr>
          <w:rFonts w:eastAsia="Calibri"/>
          <w:sz w:val="22"/>
          <w:szCs w:val="22"/>
          <w:lang w:eastAsia="en-US"/>
        </w:rPr>
        <w:t>бридных животных, и заявки на них даже превышают возможности предприятия [2].</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Цель – изучение продуктивных качеств чистопородных свиней канадской селекции в условиях комплекса: оценить воспроизвод</w:t>
      </w:r>
      <w:r w:rsidRPr="008742E9">
        <w:rPr>
          <w:rFonts w:eastAsia="Calibri"/>
          <w:sz w:val="22"/>
          <w:szCs w:val="22"/>
          <w:lang w:eastAsia="en-US"/>
        </w:rPr>
        <w:t>и</w:t>
      </w:r>
      <w:r w:rsidRPr="008742E9">
        <w:rPr>
          <w:rFonts w:eastAsia="Calibri"/>
          <w:sz w:val="22"/>
          <w:szCs w:val="22"/>
          <w:lang w:eastAsia="en-US"/>
        </w:rPr>
        <w:lastRenderedPageBreak/>
        <w:t>тельных качества свиноматок и хряков разных пород; сравнить и</w:t>
      </w:r>
      <w:r w:rsidRPr="008742E9">
        <w:rPr>
          <w:rFonts w:eastAsia="Calibri"/>
          <w:sz w:val="22"/>
          <w:szCs w:val="22"/>
          <w:lang w:eastAsia="en-US"/>
        </w:rPr>
        <w:t>н</w:t>
      </w:r>
      <w:r w:rsidRPr="008742E9">
        <w:rPr>
          <w:rFonts w:eastAsia="Calibri"/>
          <w:sz w:val="22"/>
          <w:szCs w:val="22"/>
          <w:lang w:eastAsia="en-US"/>
        </w:rPr>
        <w:t>тенсивность роста молодняка в различные возрастные периоды.</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Отбор хряков был проведен по принципу аналогов по возрасту, живой массе, а свиноматок – по шести опоросам.</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Анализируя репродуктивные качества хряков установлено, что наибольший процент 91,8 – 90,8 % осеменных и опоросившихся свиноматок было от спермы хряков породы дюрок, наименьший – 85,9 – 84,2% - йоркшир. Хряки породы ландрас по данным показ</w:t>
      </w:r>
      <w:r w:rsidRPr="008742E9">
        <w:rPr>
          <w:rFonts w:eastAsia="Calibri"/>
          <w:sz w:val="22"/>
          <w:szCs w:val="22"/>
          <w:lang w:eastAsia="en-US"/>
        </w:rPr>
        <w:t>а</w:t>
      </w:r>
      <w:r w:rsidRPr="008742E9">
        <w:rPr>
          <w:rFonts w:eastAsia="Calibri"/>
          <w:sz w:val="22"/>
          <w:szCs w:val="22"/>
          <w:lang w:eastAsia="en-US"/>
        </w:rPr>
        <w:t>телям занимали промежуточное положение осеменение свиноматок от хряков дюрок составило 1,98, что на 12,1 и 11,0 % меньше, чем у йоркшира и ландрас, что свидетельствует о качественной спермы хряков породы дюрок.</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Главная задача воспроизводства стадо – получение максимал</w:t>
      </w:r>
      <w:r w:rsidRPr="008742E9">
        <w:rPr>
          <w:rFonts w:eastAsia="Calibri"/>
          <w:sz w:val="22"/>
          <w:szCs w:val="22"/>
          <w:lang w:eastAsia="en-US"/>
        </w:rPr>
        <w:t>ь</w:t>
      </w:r>
      <w:r w:rsidRPr="008742E9">
        <w:rPr>
          <w:rFonts w:eastAsia="Calibri"/>
          <w:sz w:val="22"/>
          <w:szCs w:val="22"/>
          <w:lang w:eastAsia="en-US"/>
        </w:rPr>
        <w:t>ного количества поросят в год от одной свиноматки. Воспроизвод</w:t>
      </w:r>
      <w:r w:rsidRPr="008742E9">
        <w:rPr>
          <w:rFonts w:eastAsia="Calibri"/>
          <w:sz w:val="22"/>
          <w:szCs w:val="22"/>
          <w:lang w:eastAsia="en-US"/>
        </w:rPr>
        <w:t>и</w:t>
      </w:r>
      <w:r w:rsidRPr="008742E9">
        <w:rPr>
          <w:rFonts w:eastAsia="Calibri"/>
          <w:sz w:val="22"/>
          <w:szCs w:val="22"/>
          <w:lang w:eastAsia="en-US"/>
        </w:rPr>
        <w:t>тельные качества маток на племенной ферме свидетельствуют о том, что многоплодие у йоркширов по шести опоросам составило 12,3 поросенка, что на 0,5 голов больше, чем у ландрасов и на 2,7 – дюрок; при отъеме в 24 дня разница между породами составила 0,7 и 2,2 голов соответственно. Масса гнезда наибольшая отмечена у маток йоркшир, наименьшая – дюрок. Однако масса одного пор</w:t>
      </w:r>
      <w:r w:rsidRPr="008742E9">
        <w:rPr>
          <w:rFonts w:eastAsia="Calibri"/>
          <w:sz w:val="22"/>
          <w:szCs w:val="22"/>
          <w:lang w:eastAsia="en-US"/>
        </w:rPr>
        <w:t>о</w:t>
      </w:r>
      <w:r w:rsidRPr="008742E9">
        <w:rPr>
          <w:rFonts w:eastAsia="Calibri"/>
          <w:sz w:val="22"/>
          <w:szCs w:val="22"/>
          <w:lang w:eastAsia="en-US"/>
        </w:rPr>
        <w:t>сёнка (8,4 кг) и сохранность (94,5%) наилучшая в гнездах маток дюрок.</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Интенсивность роста поросят на доращивании показала, что среднесуточный прирост во все периоды роста был выше у пото</w:t>
      </w:r>
      <w:r w:rsidRPr="008742E9">
        <w:rPr>
          <w:rFonts w:eastAsia="Calibri"/>
          <w:sz w:val="22"/>
          <w:szCs w:val="22"/>
          <w:lang w:eastAsia="en-US"/>
        </w:rPr>
        <w:t>м</w:t>
      </w:r>
      <w:r w:rsidRPr="008742E9">
        <w:rPr>
          <w:rFonts w:eastAsia="Calibri"/>
          <w:sz w:val="22"/>
          <w:szCs w:val="22"/>
          <w:lang w:eastAsia="en-US"/>
        </w:rPr>
        <w:t>ков дюрок 46,7 г, что на 6,5 % больше, чем у йоркширов и на 3,3 % - ландрас.</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Таким образом свиньи канадской селекции на комплексе ООО «Кубанский бекон» имеют высокие продуктивные качества, отв</w:t>
      </w:r>
      <w:r w:rsidRPr="008742E9">
        <w:rPr>
          <w:rFonts w:eastAsia="Calibri"/>
          <w:sz w:val="22"/>
          <w:szCs w:val="22"/>
          <w:lang w:eastAsia="en-US"/>
        </w:rPr>
        <w:t>е</w:t>
      </w:r>
      <w:r w:rsidRPr="008742E9">
        <w:rPr>
          <w:rFonts w:eastAsia="Calibri"/>
          <w:sz w:val="22"/>
          <w:szCs w:val="22"/>
          <w:lang w:eastAsia="en-US"/>
        </w:rPr>
        <w:t>чающие требованиям племенного репродуктора, что обеспечит к</w:t>
      </w:r>
      <w:r w:rsidRPr="008742E9">
        <w:rPr>
          <w:rFonts w:eastAsia="Calibri"/>
          <w:sz w:val="22"/>
          <w:szCs w:val="22"/>
          <w:lang w:eastAsia="en-US"/>
        </w:rPr>
        <w:t>у</w:t>
      </w:r>
      <w:r w:rsidRPr="008742E9">
        <w:rPr>
          <w:rFonts w:eastAsia="Calibri"/>
          <w:sz w:val="22"/>
          <w:szCs w:val="22"/>
          <w:lang w:eastAsia="en-US"/>
        </w:rPr>
        <w:t>банских производителей свинины высококачественным именным молодняком для скрещивания.</w:t>
      </w:r>
    </w:p>
    <w:p w:rsidR="008742E9" w:rsidRPr="008742E9" w:rsidRDefault="008742E9" w:rsidP="0064456F">
      <w:pPr>
        <w:ind w:firstLine="426"/>
        <w:jc w:val="both"/>
        <w:rPr>
          <w:rFonts w:eastAsia="Calibri"/>
          <w:sz w:val="22"/>
          <w:szCs w:val="22"/>
          <w:lang w:eastAsia="en-US"/>
        </w:rPr>
      </w:pPr>
    </w:p>
    <w:p w:rsidR="008742E9" w:rsidRPr="008742E9" w:rsidRDefault="008742E9" w:rsidP="0064456F">
      <w:pPr>
        <w:ind w:firstLine="426"/>
        <w:jc w:val="center"/>
        <w:rPr>
          <w:rFonts w:eastAsia="Calibri"/>
          <w:sz w:val="22"/>
          <w:szCs w:val="22"/>
          <w:lang w:eastAsia="en-US"/>
        </w:rPr>
      </w:pPr>
      <w:r w:rsidRPr="008742E9">
        <w:rPr>
          <w:rFonts w:eastAsia="Calibri"/>
          <w:sz w:val="22"/>
          <w:szCs w:val="22"/>
          <w:lang w:eastAsia="en-US"/>
        </w:rPr>
        <w:t>Список литературы</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t>1. Величко Л. Ф. Продуктивные качество свиней разных ген</w:t>
      </w:r>
      <w:r w:rsidRPr="008742E9">
        <w:rPr>
          <w:rFonts w:eastAsia="Calibri"/>
          <w:sz w:val="22"/>
          <w:szCs w:val="22"/>
          <w:lang w:eastAsia="en-US"/>
        </w:rPr>
        <w:t>о</w:t>
      </w:r>
      <w:r w:rsidRPr="008742E9">
        <w:rPr>
          <w:rFonts w:eastAsia="Calibri"/>
          <w:sz w:val="22"/>
          <w:szCs w:val="22"/>
          <w:lang w:eastAsia="en-US"/>
        </w:rPr>
        <w:t>типов в ООО «Кубанский бекон» Павловского района / Л. Ф. В</w:t>
      </w:r>
      <w:r w:rsidRPr="008742E9">
        <w:rPr>
          <w:rFonts w:eastAsia="Calibri"/>
          <w:sz w:val="22"/>
          <w:szCs w:val="22"/>
          <w:lang w:eastAsia="en-US"/>
        </w:rPr>
        <w:t>е</w:t>
      </w:r>
      <w:r w:rsidRPr="008742E9">
        <w:rPr>
          <w:rFonts w:eastAsia="Calibri"/>
          <w:sz w:val="22"/>
          <w:szCs w:val="22"/>
          <w:lang w:eastAsia="en-US"/>
        </w:rPr>
        <w:t>личко, О. А. Софина// Тр. КГАУ – 2014. - №55.</w:t>
      </w:r>
    </w:p>
    <w:p w:rsidR="008742E9" w:rsidRPr="008742E9" w:rsidRDefault="008742E9" w:rsidP="0064456F">
      <w:pPr>
        <w:ind w:firstLine="426"/>
        <w:jc w:val="both"/>
        <w:rPr>
          <w:rFonts w:eastAsia="Calibri"/>
          <w:sz w:val="22"/>
          <w:szCs w:val="22"/>
          <w:lang w:eastAsia="en-US"/>
        </w:rPr>
      </w:pPr>
      <w:r w:rsidRPr="008742E9">
        <w:rPr>
          <w:rFonts w:eastAsia="Calibri"/>
          <w:sz w:val="22"/>
          <w:szCs w:val="22"/>
          <w:lang w:eastAsia="en-US"/>
        </w:rPr>
        <w:lastRenderedPageBreak/>
        <w:t>2. Михайлюков А. П. Свиноводство – особая отрасль требу</w:t>
      </w:r>
      <w:r w:rsidRPr="008742E9">
        <w:rPr>
          <w:rFonts w:eastAsia="Calibri"/>
          <w:sz w:val="22"/>
          <w:szCs w:val="22"/>
          <w:lang w:eastAsia="en-US"/>
        </w:rPr>
        <w:t>ю</w:t>
      </w:r>
      <w:r w:rsidRPr="008742E9">
        <w:rPr>
          <w:rFonts w:eastAsia="Calibri"/>
          <w:sz w:val="22"/>
          <w:szCs w:val="22"/>
          <w:lang w:eastAsia="en-US"/>
        </w:rPr>
        <w:t>щая ежедневного и пристального внимания! / А. П. Михайлюков / Аграрная Кубань. – 2016. – с. 22.</w:t>
      </w:r>
    </w:p>
    <w:p w:rsidR="008742E9" w:rsidRDefault="008742E9" w:rsidP="008742E9">
      <w:pPr>
        <w:rPr>
          <w:sz w:val="22"/>
          <w:szCs w:val="22"/>
        </w:rPr>
      </w:pPr>
    </w:p>
    <w:p w:rsidR="0064456F" w:rsidRDefault="0064456F" w:rsidP="008742E9">
      <w:pPr>
        <w:rPr>
          <w:sz w:val="22"/>
          <w:szCs w:val="22"/>
        </w:rPr>
      </w:pPr>
    </w:p>
    <w:p w:rsidR="0064456F" w:rsidRPr="008742E9" w:rsidRDefault="0064456F" w:rsidP="008742E9">
      <w:pPr>
        <w:rPr>
          <w:sz w:val="22"/>
          <w:szCs w:val="22"/>
        </w:rPr>
      </w:pPr>
    </w:p>
    <w:p w:rsidR="008742E9" w:rsidRPr="0064456F" w:rsidRDefault="008742E9" w:rsidP="008742E9">
      <w:pPr>
        <w:jc w:val="both"/>
        <w:rPr>
          <w:sz w:val="22"/>
          <w:szCs w:val="22"/>
        </w:rPr>
      </w:pPr>
      <w:r w:rsidRPr="0064456F">
        <w:rPr>
          <w:sz w:val="22"/>
          <w:szCs w:val="22"/>
        </w:rPr>
        <w:t>УДК 636.6.082.474</w:t>
      </w:r>
    </w:p>
    <w:p w:rsidR="008742E9" w:rsidRPr="0064456F" w:rsidRDefault="008742E9" w:rsidP="008742E9">
      <w:pPr>
        <w:jc w:val="center"/>
        <w:rPr>
          <w:b/>
          <w:sz w:val="22"/>
          <w:szCs w:val="22"/>
        </w:rPr>
      </w:pPr>
    </w:p>
    <w:p w:rsidR="008742E9" w:rsidRPr="008742E9" w:rsidRDefault="008742E9" w:rsidP="008742E9">
      <w:pPr>
        <w:jc w:val="center"/>
        <w:rPr>
          <w:b/>
          <w:sz w:val="24"/>
          <w:szCs w:val="24"/>
        </w:rPr>
      </w:pPr>
      <w:r w:rsidRPr="008742E9">
        <w:rPr>
          <w:b/>
          <w:sz w:val="24"/>
          <w:szCs w:val="24"/>
        </w:rPr>
        <w:t xml:space="preserve">Влияние свечения скорлупы яиц перепелов </w:t>
      </w:r>
    </w:p>
    <w:p w:rsidR="008742E9" w:rsidRPr="008742E9" w:rsidRDefault="008742E9" w:rsidP="008742E9">
      <w:pPr>
        <w:jc w:val="center"/>
        <w:rPr>
          <w:sz w:val="24"/>
          <w:szCs w:val="24"/>
          <w:lang w:val="en-US"/>
        </w:rPr>
      </w:pPr>
      <w:r w:rsidRPr="008742E9">
        <w:rPr>
          <w:b/>
          <w:sz w:val="24"/>
          <w:szCs w:val="24"/>
        </w:rPr>
        <w:t>на</w:t>
      </w:r>
      <w:r w:rsidRPr="008742E9">
        <w:rPr>
          <w:b/>
          <w:sz w:val="24"/>
          <w:szCs w:val="24"/>
          <w:lang w:val="en-US"/>
        </w:rPr>
        <w:t xml:space="preserve"> </w:t>
      </w:r>
      <w:r w:rsidRPr="008742E9">
        <w:rPr>
          <w:b/>
          <w:sz w:val="24"/>
          <w:szCs w:val="24"/>
        </w:rPr>
        <w:t>их</w:t>
      </w:r>
      <w:r w:rsidRPr="008742E9">
        <w:rPr>
          <w:b/>
          <w:sz w:val="24"/>
          <w:szCs w:val="24"/>
          <w:lang w:val="en-US"/>
        </w:rPr>
        <w:t xml:space="preserve"> </w:t>
      </w:r>
      <w:r w:rsidRPr="008742E9">
        <w:rPr>
          <w:b/>
          <w:sz w:val="24"/>
          <w:szCs w:val="24"/>
        </w:rPr>
        <w:t>инкубационные</w:t>
      </w:r>
      <w:r w:rsidRPr="008742E9">
        <w:rPr>
          <w:b/>
          <w:sz w:val="24"/>
          <w:szCs w:val="24"/>
          <w:lang w:val="en-US"/>
        </w:rPr>
        <w:t xml:space="preserve"> </w:t>
      </w:r>
      <w:r w:rsidRPr="008742E9">
        <w:rPr>
          <w:b/>
          <w:sz w:val="24"/>
          <w:szCs w:val="24"/>
        </w:rPr>
        <w:t>качества</w:t>
      </w:r>
    </w:p>
    <w:p w:rsidR="008742E9" w:rsidRPr="008742E9" w:rsidRDefault="008742E9" w:rsidP="008742E9">
      <w:pPr>
        <w:jc w:val="center"/>
        <w:rPr>
          <w:b/>
          <w:sz w:val="24"/>
          <w:szCs w:val="24"/>
          <w:lang w:val="en-US"/>
        </w:rPr>
      </w:pPr>
      <w:r w:rsidRPr="008742E9">
        <w:rPr>
          <w:b/>
          <w:sz w:val="24"/>
          <w:szCs w:val="24"/>
          <w:lang w:val="en-US"/>
        </w:rPr>
        <w:t>Influence of the luminescence of eggshell quails eggs on their incubation qualities</w:t>
      </w:r>
    </w:p>
    <w:p w:rsidR="008742E9" w:rsidRPr="0064456F" w:rsidRDefault="008742E9" w:rsidP="008742E9">
      <w:pPr>
        <w:jc w:val="right"/>
        <w:rPr>
          <w:sz w:val="22"/>
          <w:szCs w:val="22"/>
          <w:lang w:val="en-US"/>
        </w:rPr>
      </w:pPr>
    </w:p>
    <w:p w:rsidR="008742E9" w:rsidRPr="0064456F" w:rsidRDefault="008742E9" w:rsidP="008742E9">
      <w:pPr>
        <w:jc w:val="right"/>
        <w:rPr>
          <w:sz w:val="22"/>
          <w:szCs w:val="22"/>
        </w:rPr>
      </w:pPr>
      <w:r w:rsidRPr="0064456F">
        <w:rPr>
          <w:sz w:val="22"/>
          <w:szCs w:val="22"/>
        </w:rPr>
        <w:t>Хатько В.</w:t>
      </w:r>
      <w:r w:rsidR="0064456F">
        <w:rPr>
          <w:sz w:val="22"/>
          <w:szCs w:val="22"/>
        </w:rPr>
        <w:t xml:space="preserve"> </w:t>
      </w:r>
      <w:r w:rsidRPr="0064456F">
        <w:rPr>
          <w:sz w:val="22"/>
          <w:szCs w:val="22"/>
        </w:rPr>
        <w:t>В.,</w:t>
      </w:r>
    </w:p>
    <w:p w:rsidR="008742E9" w:rsidRPr="0064456F" w:rsidRDefault="008742E9" w:rsidP="008742E9">
      <w:pPr>
        <w:jc w:val="right"/>
        <w:rPr>
          <w:sz w:val="22"/>
          <w:szCs w:val="22"/>
        </w:rPr>
      </w:pPr>
      <w:r w:rsidRPr="0064456F">
        <w:rPr>
          <w:sz w:val="22"/>
          <w:szCs w:val="22"/>
        </w:rPr>
        <w:t>магистрант 1-го курса факультета зоотехнии</w:t>
      </w:r>
    </w:p>
    <w:p w:rsidR="008742E9" w:rsidRPr="0064456F" w:rsidRDefault="008742E9" w:rsidP="008742E9">
      <w:pPr>
        <w:jc w:val="right"/>
        <w:rPr>
          <w:sz w:val="22"/>
          <w:szCs w:val="22"/>
        </w:rPr>
      </w:pPr>
      <w:r w:rsidRPr="0064456F">
        <w:rPr>
          <w:sz w:val="22"/>
          <w:szCs w:val="22"/>
        </w:rPr>
        <w:t>Щербатов В.</w:t>
      </w:r>
      <w:r w:rsidR="0064456F">
        <w:rPr>
          <w:sz w:val="22"/>
          <w:szCs w:val="22"/>
        </w:rPr>
        <w:t xml:space="preserve"> </w:t>
      </w:r>
      <w:r w:rsidRPr="0064456F">
        <w:rPr>
          <w:sz w:val="22"/>
          <w:szCs w:val="22"/>
        </w:rPr>
        <w:t>И.,</w:t>
      </w:r>
    </w:p>
    <w:p w:rsidR="0064456F" w:rsidRDefault="008742E9" w:rsidP="008742E9">
      <w:pPr>
        <w:jc w:val="right"/>
        <w:rPr>
          <w:sz w:val="22"/>
          <w:szCs w:val="22"/>
        </w:rPr>
      </w:pPr>
      <w:r w:rsidRPr="0064456F">
        <w:rPr>
          <w:sz w:val="22"/>
          <w:szCs w:val="22"/>
        </w:rPr>
        <w:t>профессор кафедры разведения</w:t>
      </w:r>
    </w:p>
    <w:p w:rsidR="008742E9" w:rsidRPr="0064456F" w:rsidRDefault="008742E9" w:rsidP="008742E9">
      <w:pPr>
        <w:jc w:val="right"/>
        <w:rPr>
          <w:sz w:val="22"/>
          <w:szCs w:val="22"/>
        </w:rPr>
      </w:pPr>
      <w:r w:rsidRPr="0064456F">
        <w:rPr>
          <w:sz w:val="22"/>
          <w:szCs w:val="22"/>
        </w:rPr>
        <w:t>сельскохозяйственных животных</w:t>
      </w:r>
    </w:p>
    <w:p w:rsidR="008742E9" w:rsidRPr="0064456F" w:rsidRDefault="008742E9" w:rsidP="008742E9">
      <w:pPr>
        <w:jc w:val="right"/>
        <w:rPr>
          <w:sz w:val="22"/>
          <w:szCs w:val="22"/>
        </w:rPr>
      </w:pPr>
      <w:r w:rsidRPr="0064456F">
        <w:rPr>
          <w:sz w:val="22"/>
          <w:szCs w:val="22"/>
        </w:rPr>
        <w:t>Кубанский государственный аграрный</w:t>
      </w:r>
    </w:p>
    <w:p w:rsidR="008742E9" w:rsidRPr="0064456F" w:rsidRDefault="008742E9" w:rsidP="008742E9">
      <w:pPr>
        <w:jc w:val="right"/>
        <w:rPr>
          <w:sz w:val="22"/>
          <w:szCs w:val="22"/>
        </w:rPr>
      </w:pPr>
      <w:r w:rsidRPr="0064456F">
        <w:rPr>
          <w:sz w:val="22"/>
          <w:szCs w:val="22"/>
        </w:rPr>
        <w:t xml:space="preserve"> университет имени И.</w:t>
      </w:r>
      <w:r w:rsidR="0064456F">
        <w:rPr>
          <w:sz w:val="22"/>
          <w:szCs w:val="22"/>
        </w:rPr>
        <w:t xml:space="preserve"> </w:t>
      </w:r>
      <w:r w:rsidRPr="0064456F">
        <w:rPr>
          <w:sz w:val="22"/>
          <w:szCs w:val="22"/>
        </w:rPr>
        <w:t>Т.Трубилина</w:t>
      </w:r>
    </w:p>
    <w:p w:rsidR="008742E9" w:rsidRPr="0064456F" w:rsidRDefault="008742E9" w:rsidP="008742E9">
      <w:pPr>
        <w:jc w:val="both"/>
        <w:rPr>
          <w:sz w:val="22"/>
          <w:szCs w:val="22"/>
        </w:rPr>
      </w:pPr>
    </w:p>
    <w:p w:rsidR="008742E9" w:rsidRPr="008742E9" w:rsidRDefault="008742E9" w:rsidP="0064456F">
      <w:pPr>
        <w:ind w:firstLine="426"/>
        <w:jc w:val="both"/>
        <w:rPr>
          <w:sz w:val="22"/>
          <w:szCs w:val="22"/>
        </w:rPr>
      </w:pPr>
      <w:r w:rsidRPr="008742E9">
        <w:rPr>
          <w:sz w:val="22"/>
          <w:szCs w:val="22"/>
        </w:rPr>
        <w:t>АННОТАЦИЯ: Разработан способ повышения инкубационных качеств яиц перепелов с использованием эффекта люминесценции скорлупы при ультрафиолетовом облучении.</w:t>
      </w:r>
    </w:p>
    <w:p w:rsidR="008742E9" w:rsidRPr="008742E9" w:rsidRDefault="008742E9" w:rsidP="0064456F">
      <w:pPr>
        <w:ind w:firstLine="426"/>
        <w:jc w:val="both"/>
        <w:rPr>
          <w:sz w:val="22"/>
          <w:szCs w:val="22"/>
        </w:rPr>
      </w:pPr>
      <w:r w:rsidRPr="008742E9">
        <w:rPr>
          <w:sz w:val="22"/>
          <w:szCs w:val="22"/>
        </w:rPr>
        <w:t>КЛЮЧЕВЫЕ СЛОВА: перепел, яйцо, инкубация, ультрафи</w:t>
      </w:r>
      <w:r w:rsidRPr="008742E9">
        <w:rPr>
          <w:sz w:val="22"/>
          <w:szCs w:val="22"/>
        </w:rPr>
        <w:t>о</w:t>
      </w:r>
      <w:r w:rsidRPr="008742E9">
        <w:rPr>
          <w:sz w:val="22"/>
          <w:szCs w:val="22"/>
        </w:rPr>
        <w:t>лет, свечение.</w:t>
      </w:r>
    </w:p>
    <w:p w:rsidR="008742E9" w:rsidRPr="008742E9" w:rsidRDefault="008742E9" w:rsidP="0064456F">
      <w:pPr>
        <w:ind w:firstLine="426"/>
        <w:jc w:val="both"/>
        <w:rPr>
          <w:sz w:val="22"/>
          <w:szCs w:val="22"/>
          <w:lang w:val="en-US"/>
        </w:rPr>
      </w:pPr>
      <w:r w:rsidRPr="008742E9">
        <w:rPr>
          <w:sz w:val="22"/>
          <w:szCs w:val="22"/>
          <w:lang w:val="en-US"/>
        </w:rPr>
        <w:t>ANNOTATION: Developed a method of increasing the incubation quality of eggs of quails using the effect of luminescence of the shell eggs with UV radiation.</w:t>
      </w:r>
    </w:p>
    <w:p w:rsidR="008742E9" w:rsidRPr="00024398" w:rsidRDefault="008742E9" w:rsidP="0064456F">
      <w:pPr>
        <w:shd w:val="clear" w:color="auto" w:fill="FFFFFF"/>
        <w:spacing w:line="276" w:lineRule="auto"/>
        <w:ind w:firstLine="426"/>
        <w:rPr>
          <w:sz w:val="22"/>
          <w:szCs w:val="22"/>
          <w:lang w:val="en-US"/>
        </w:rPr>
      </w:pPr>
      <w:r w:rsidRPr="008742E9">
        <w:rPr>
          <w:sz w:val="22"/>
          <w:szCs w:val="22"/>
          <w:lang w:val="en-US"/>
        </w:rPr>
        <w:t>KEY WORDS</w:t>
      </w:r>
      <w:r w:rsidRPr="008742E9">
        <w:rPr>
          <w:b/>
          <w:sz w:val="22"/>
          <w:szCs w:val="22"/>
          <w:lang w:val="en-US"/>
        </w:rPr>
        <w:t xml:space="preserve">: </w:t>
      </w:r>
      <w:r w:rsidRPr="008742E9">
        <w:rPr>
          <w:sz w:val="22"/>
          <w:szCs w:val="22"/>
          <w:lang w:val="en-US"/>
        </w:rPr>
        <w:t>quail, egg, incubation, ultraviolet, glow.</w:t>
      </w:r>
    </w:p>
    <w:p w:rsidR="0064456F" w:rsidRPr="00024398" w:rsidRDefault="0064456F" w:rsidP="0064456F">
      <w:pPr>
        <w:shd w:val="clear" w:color="auto" w:fill="FFFFFF"/>
        <w:spacing w:line="276" w:lineRule="auto"/>
        <w:ind w:firstLine="426"/>
        <w:rPr>
          <w:sz w:val="22"/>
          <w:szCs w:val="22"/>
          <w:lang w:val="en-US"/>
        </w:rPr>
      </w:pPr>
    </w:p>
    <w:p w:rsidR="008742E9" w:rsidRPr="008742E9" w:rsidRDefault="008742E9" w:rsidP="0064456F">
      <w:pPr>
        <w:shd w:val="clear" w:color="auto" w:fill="FFFFFF"/>
        <w:ind w:firstLine="426"/>
        <w:jc w:val="both"/>
        <w:rPr>
          <w:sz w:val="22"/>
          <w:szCs w:val="22"/>
        </w:rPr>
      </w:pPr>
      <w:r w:rsidRPr="008742E9">
        <w:rPr>
          <w:sz w:val="22"/>
          <w:szCs w:val="22"/>
        </w:rPr>
        <w:t>Перепеловодство – одна из интенсивно развивающихся отра</w:t>
      </w:r>
      <w:r w:rsidRPr="008742E9">
        <w:rPr>
          <w:sz w:val="22"/>
          <w:szCs w:val="22"/>
        </w:rPr>
        <w:t>с</w:t>
      </w:r>
      <w:r w:rsidRPr="008742E9">
        <w:rPr>
          <w:sz w:val="22"/>
          <w:szCs w:val="22"/>
        </w:rPr>
        <w:t>лей птицеводства. В то же время, ряд биологических особенностей перепелов слабо изучен, что негативно отражается на эффективн</w:t>
      </w:r>
      <w:r w:rsidRPr="008742E9">
        <w:rPr>
          <w:sz w:val="22"/>
          <w:szCs w:val="22"/>
        </w:rPr>
        <w:t>о</w:t>
      </w:r>
      <w:r w:rsidRPr="008742E9">
        <w:rPr>
          <w:sz w:val="22"/>
          <w:szCs w:val="22"/>
        </w:rPr>
        <w:t>сти промышленного перепеловодства.</w:t>
      </w:r>
    </w:p>
    <w:p w:rsidR="008742E9" w:rsidRPr="008742E9" w:rsidRDefault="008742E9" w:rsidP="0064456F">
      <w:pPr>
        <w:shd w:val="clear" w:color="auto" w:fill="FFFFFF"/>
        <w:ind w:firstLine="426"/>
        <w:jc w:val="both"/>
        <w:rPr>
          <w:sz w:val="22"/>
          <w:szCs w:val="22"/>
        </w:rPr>
      </w:pPr>
      <w:r w:rsidRPr="008742E9">
        <w:rPr>
          <w:sz w:val="22"/>
          <w:szCs w:val="22"/>
        </w:rPr>
        <w:t>До настоящего времени для инкубации перепелиных яиц и</w:t>
      </w:r>
      <w:r w:rsidRPr="008742E9">
        <w:rPr>
          <w:sz w:val="22"/>
          <w:szCs w:val="22"/>
        </w:rPr>
        <w:t>с</w:t>
      </w:r>
      <w:r w:rsidRPr="008742E9">
        <w:rPr>
          <w:sz w:val="22"/>
          <w:szCs w:val="22"/>
        </w:rPr>
        <w:t xml:space="preserve">пользуют те же температурно-влажностные режимы, что и для яиц </w:t>
      </w:r>
      <w:r w:rsidRPr="008742E9">
        <w:rPr>
          <w:sz w:val="22"/>
          <w:szCs w:val="22"/>
        </w:rPr>
        <w:lastRenderedPageBreak/>
        <w:t>кур[1]. Однако, они не учитывают биологии развития эмбрионов перепелов.</w:t>
      </w:r>
    </w:p>
    <w:p w:rsidR="008742E9" w:rsidRPr="008742E9" w:rsidRDefault="008742E9" w:rsidP="0064456F">
      <w:pPr>
        <w:shd w:val="clear" w:color="auto" w:fill="FFFFFF"/>
        <w:ind w:firstLine="426"/>
        <w:jc w:val="both"/>
        <w:rPr>
          <w:sz w:val="22"/>
          <w:szCs w:val="22"/>
        </w:rPr>
      </w:pPr>
      <w:r w:rsidRPr="008742E9">
        <w:rPr>
          <w:sz w:val="22"/>
          <w:szCs w:val="22"/>
        </w:rPr>
        <w:t>Установлен эффект свечения скорлупы яиц перепелов при о</w:t>
      </w:r>
      <w:r w:rsidRPr="008742E9">
        <w:rPr>
          <w:sz w:val="22"/>
          <w:szCs w:val="22"/>
        </w:rPr>
        <w:t>б</w:t>
      </w:r>
      <w:r w:rsidRPr="008742E9">
        <w:rPr>
          <w:sz w:val="22"/>
          <w:szCs w:val="22"/>
        </w:rPr>
        <w:t>лучении ультрафиолетовым светом[2].</w:t>
      </w:r>
    </w:p>
    <w:p w:rsidR="008742E9" w:rsidRPr="008742E9" w:rsidRDefault="008742E9" w:rsidP="0064456F">
      <w:pPr>
        <w:shd w:val="clear" w:color="auto" w:fill="FFFFFF"/>
        <w:ind w:firstLine="426"/>
        <w:jc w:val="both"/>
        <w:rPr>
          <w:sz w:val="22"/>
          <w:szCs w:val="22"/>
        </w:rPr>
      </w:pPr>
      <w:r w:rsidRPr="008742E9">
        <w:rPr>
          <w:sz w:val="22"/>
          <w:szCs w:val="22"/>
        </w:rPr>
        <w:t>Цель исследований – установить взаимосвязь между свечением скорлупы яиц перепелов и их инкубационными качествами.</w:t>
      </w:r>
    </w:p>
    <w:p w:rsidR="008742E9" w:rsidRPr="008742E9" w:rsidRDefault="008742E9" w:rsidP="0064456F">
      <w:pPr>
        <w:shd w:val="clear" w:color="auto" w:fill="FFFFFF"/>
        <w:ind w:firstLine="426"/>
        <w:jc w:val="both"/>
        <w:rPr>
          <w:sz w:val="22"/>
          <w:szCs w:val="22"/>
        </w:rPr>
      </w:pPr>
      <w:r w:rsidRPr="008742E9">
        <w:rPr>
          <w:sz w:val="22"/>
          <w:szCs w:val="22"/>
        </w:rPr>
        <w:t>С помощью ультрафиолетовой лампы для инкубации были отобраны яйца японского перепела с разной степенью свечения скорлупы. Опытная группа была сформирована из «светлых» яиц, которые при облучении ультрафиолетом давали ярко-розовый цвет. В контрольную группу вошли яйца, люминесцирующие темно-свекольным цветом.</w:t>
      </w:r>
    </w:p>
    <w:p w:rsidR="008742E9" w:rsidRPr="008742E9" w:rsidRDefault="008742E9" w:rsidP="0064456F">
      <w:pPr>
        <w:shd w:val="clear" w:color="auto" w:fill="FFFFFF"/>
        <w:ind w:firstLine="426"/>
        <w:jc w:val="both"/>
        <w:rPr>
          <w:sz w:val="22"/>
          <w:szCs w:val="22"/>
        </w:rPr>
      </w:pPr>
      <w:r w:rsidRPr="008742E9">
        <w:rPr>
          <w:sz w:val="22"/>
          <w:szCs w:val="22"/>
        </w:rPr>
        <w:t>Исследования показали, что «светлые» яйца обладают наиболее высокими инкубационными качествами. Вывод перепелят из такой группы был выше, чем из контрольной группы на 5-5,5%, вывод</w:t>
      </w:r>
      <w:r w:rsidRPr="008742E9">
        <w:rPr>
          <w:sz w:val="22"/>
          <w:szCs w:val="22"/>
        </w:rPr>
        <w:t>и</w:t>
      </w:r>
      <w:r w:rsidRPr="008742E9">
        <w:rPr>
          <w:sz w:val="22"/>
          <w:szCs w:val="22"/>
        </w:rPr>
        <w:t>мость – на 6,7%. Биологической особенностью «светлых» яиц явл</w:t>
      </w:r>
      <w:r w:rsidRPr="008742E9">
        <w:rPr>
          <w:sz w:val="22"/>
          <w:szCs w:val="22"/>
        </w:rPr>
        <w:t>я</w:t>
      </w:r>
      <w:r w:rsidRPr="008742E9">
        <w:rPr>
          <w:sz w:val="22"/>
          <w:szCs w:val="22"/>
        </w:rPr>
        <w:t>лось то, что наклев происходил на 4-6 часов раньше, чем из «те</w:t>
      </w:r>
      <w:r w:rsidRPr="008742E9">
        <w:rPr>
          <w:sz w:val="22"/>
          <w:szCs w:val="22"/>
        </w:rPr>
        <w:t>м</w:t>
      </w:r>
      <w:r w:rsidRPr="008742E9">
        <w:rPr>
          <w:sz w:val="22"/>
          <w:szCs w:val="22"/>
        </w:rPr>
        <w:t>ных».</w:t>
      </w:r>
    </w:p>
    <w:p w:rsidR="008742E9" w:rsidRPr="008742E9" w:rsidRDefault="008742E9" w:rsidP="0064456F">
      <w:pPr>
        <w:shd w:val="clear" w:color="auto" w:fill="FFFFFF"/>
        <w:ind w:firstLine="425"/>
        <w:jc w:val="both"/>
        <w:rPr>
          <w:sz w:val="22"/>
          <w:szCs w:val="22"/>
        </w:rPr>
      </w:pPr>
      <w:r w:rsidRPr="008742E9">
        <w:rPr>
          <w:sz w:val="22"/>
          <w:szCs w:val="22"/>
        </w:rPr>
        <w:t>Вывод: прединкубационный отбор по степени свечения ско</w:t>
      </w:r>
      <w:r w:rsidRPr="008742E9">
        <w:rPr>
          <w:sz w:val="22"/>
          <w:szCs w:val="22"/>
        </w:rPr>
        <w:t>р</w:t>
      </w:r>
      <w:r w:rsidRPr="008742E9">
        <w:rPr>
          <w:sz w:val="22"/>
          <w:szCs w:val="22"/>
        </w:rPr>
        <w:t>лупы при ультрафиолетовом облучении способствует повышению инкубационных качеств перепелиных яиц. Яйца с высокой степ</w:t>
      </w:r>
      <w:r w:rsidRPr="008742E9">
        <w:rPr>
          <w:sz w:val="22"/>
          <w:szCs w:val="22"/>
        </w:rPr>
        <w:t>е</w:t>
      </w:r>
      <w:r w:rsidRPr="008742E9">
        <w:rPr>
          <w:sz w:val="22"/>
          <w:szCs w:val="22"/>
        </w:rPr>
        <w:t>нью свечения скорлупы обладают наиболее высокими инкубацио</w:t>
      </w:r>
      <w:r w:rsidRPr="008742E9">
        <w:rPr>
          <w:sz w:val="22"/>
          <w:szCs w:val="22"/>
        </w:rPr>
        <w:t>н</w:t>
      </w:r>
      <w:r w:rsidRPr="008742E9">
        <w:rPr>
          <w:sz w:val="22"/>
          <w:szCs w:val="22"/>
        </w:rPr>
        <w:t>ными качествами.</w:t>
      </w:r>
    </w:p>
    <w:p w:rsidR="00A271D8" w:rsidRPr="008742E9" w:rsidRDefault="00A271D8" w:rsidP="009762D0">
      <w:pPr>
        <w:shd w:val="clear" w:color="auto" w:fill="FFFFFF"/>
        <w:rPr>
          <w:sz w:val="22"/>
          <w:szCs w:val="22"/>
        </w:rPr>
      </w:pPr>
    </w:p>
    <w:p w:rsidR="008742E9" w:rsidRPr="008742E9" w:rsidRDefault="0064456F" w:rsidP="00A271D8">
      <w:pPr>
        <w:shd w:val="clear" w:color="auto" w:fill="FFFFFF"/>
        <w:ind w:firstLine="425"/>
        <w:jc w:val="center"/>
        <w:rPr>
          <w:sz w:val="22"/>
          <w:szCs w:val="22"/>
        </w:rPr>
      </w:pPr>
      <w:r>
        <w:rPr>
          <w:sz w:val="22"/>
          <w:szCs w:val="22"/>
        </w:rPr>
        <w:t>Список литературы</w:t>
      </w:r>
    </w:p>
    <w:p w:rsidR="008742E9" w:rsidRPr="008742E9" w:rsidRDefault="008742E9" w:rsidP="00A271D8">
      <w:pPr>
        <w:numPr>
          <w:ilvl w:val="0"/>
          <w:numId w:val="15"/>
        </w:numPr>
        <w:shd w:val="clear" w:color="auto" w:fill="FFFFFF"/>
        <w:ind w:left="0" w:firstLine="425"/>
        <w:contextualSpacing/>
        <w:jc w:val="both"/>
        <w:rPr>
          <w:rFonts w:eastAsia="Calibri"/>
          <w:sz w:val="22"/>
          <w:szCs w:val="22"/>
          <w:lang w:eastAsia="en-US"/>
        </w:rPr>
      </w:pPr>
      <w:r w:rsidRPr="008742E9">
        <w:rPr>
          <w:rFonts w:eastAsia="Calibri"/>
          <w:sz w:val="22"/>
          <w:szCs w:val="22"/>
          <w:lang w:eastAsia="en-US"/>
        </w:rPr>
        <w:t>Бессарабов Б.Ф., Крыканов А.А., Киселев Л.Л. Инкубация яиц сельскохозяйственной птицы: Учебное пособие. – СПб: Изд</w:t>
      </w:r>
      <w:r w:rsidRPr="008742E9">
        <w:rPr>
          <w:rFonts w:eastAsia="Calibri"/>
          <w:sz w:val="22"/>
          <w:szCs w:val="22"/>
          <w:lang w:eastAsia="en-US"/>
        </w:rPr>
        <w:t>а</w:t>
      </w:r>
      <w:r w:rsidRPr="008742E9">
        <w:rPr>
          <w:rFonts w:eastAsia="Calibri"/>
          <w:sz w:val="22"/>
          <w:szCs w:val="22"/>
          <w:lang w:eastAsia="en-US"/>
        </w:rPr>
        <w:t>тельство «Лань», 2015.-160с.</w:t>
      </w:r>
    </w:p>
    <w:p w:rsidR="008742E9" w:rsidRPr="008742E9" w:rsidRDefault="008742E9" w:rsidP="00A271D8">
      <w:pPr>
        <w:numPr>
          <w:ilvl w:val="0"/>
          <w:numId w:val="15"/>
        </w:numPr>
        <w:shd w:val="clear" w:color="auto" w:fill="FFFFFF"/>
        <w:ind w:left="0" w:firstLine="426"/>
        <w:contextualSpacing/>
        <w:jc w:val="both"/>
        <w:rPr>
          <w:rFonts w:eastAsia="Calibri"/>
          <w:sz w:val="22"/>
          <w:szCs w:val="22"/>
          <w:lang w:eastAsia="en-US"/>
        </w:rPr>
      </w:pPr>
      <w:r w:rsidRPr="008742E9">
        <w:rPr>
          <w:rFonts w:eastAsia="Calibri"/>
          <w:sz w:val="22"/>
          <w:szCs w:val="22"/>
          <w:lang w:eastAsia="en-US"/>
        </w:rPr>
        <w:t xml:space="preserve">Пат. № 263477 Российская Федерация МПК А01 К 67/02. Способ отбора перепелиных яиц для инкубации. /Щербатов В. И. Бачинина К.Н. Хатько В.В./ Заявитель и патентообладатель КубГАУ. – Опубл. 23.11.2017. </w:t>
      </w:r>
    </w:p>
    <w:p w:rsidR="0064456F" w:rsidRDefault="0064456F" w:rsidP="008742E9">
      <w:pPr>
        <w:rPr>
          <w:sz w:val="22"/>
          <w:szCs w:val="22"/>
        </w:rPr>
      </w:pPr>
    </w:p>
    <w:p w:rsidR="0064456F" w:rsidRDefault="0064456F" w:rsidP="008742E9">
      <w:pPr>
        <w:rPr>
          <w:sz w:val="22"/>
          <w:szCs w:val="22"/>
        </w:rPr>
      </w:pPr>
    </w:p>
    <w:p w:rsidR="009762D0" w:rsidRDefault="009762D0" w:rsidP="008742E9">
      <w:pPr>
        <w:rPr>
          <w:sz w:val="22"/>
          <w:szCs w:val="22"/>
        </w:rPr>
      </w:pPr>
    </w:p>
    <w:p w:rsidR="009762D0" w:rsidRDefault="009762D0" w:rsidP="008742E9">
      <w:pPr>
        <w:rPr>
          <w:sz w:val="22"/>
          <w:szCs w:val="22"/>
        </w:rPr>
      </w:pPr>
    </w:p>
    <w:p w:rsidR="009762D0" w:rsidRDefault="009762D0" w:rsidP="008742E9">
      <w:pPr>
        <w:rPr>
          <w:sz w:val="22"/>
          <w:szCs w:val="22"/>
        </w:rPr>
      </w:pPr>
    </w:p>
    <w:p w:rsidR="0064456F" w:rsidRDefault="0064456F" w:rsidP="008742E9">
      <w:pPr>
        <w:rPr>
          <w:sz w:val="22"/>
          <w:szCs w:val="22"/>
        </w:rPr>
      </w:pPr>
    </w:p>
    <w:p w:rsidR="008742E9" w:rsidRPr="0064456F" w:rsidRDefault="008742E9" w:rsidP="008742E9">
      <w:pPr>
        <w:rPr>
          <w:sz w:val="22"/>
          <w:szCs w:val="22"/>
        </w:rPr>
      </w:pPr>
      <w:r w:rsidRPr="0064456F">
        <w:rPr>
          <w:sz w:val="22"/>
          <w:szCs w:val="22"/>
        </w:rPr>
        <w:lastRenderedPageBreak/>
        <w:t>УДК 636.59.034.061</w:t>
      </w:r>
    </w:p>
    <w:p w:rsidR="008742E9" w:rsidRPr="0064456F" w:rsidRDefault="008742E9" w:rsidP="008742E9">
      <w:pPr>
        <w:rPr>
          <w:sz w:val="22"/>
          <w:szCs w:val="22"/>
        </w:rPr>
      </w:pPr>
    </w:p>
    <w:p w:rsidR="008742E9" w:rsidRPr="008742E9" w:rsidRDefault="008742E9" w:rsidP="008742E9">
      <w:pPr>
        <w:jc w:val="center"/>
        <w:rPr>
          <w:b/>
          <w:sz w:val="24"/>
          <w:szCs w:val="24"/>
        </w:rPr>
      </w:pPr>
      <w:r w:rsidRPr="008742E9">
        <w:rPr>
          <w:b/>
          <w:sz w:val="24"/>
          <w:szCs w:val="24"/>
        </w:rPr>
        <w:t xml:space="preserve">Раннее прогнозирование яичной продуктивности </w:t>
      </w:r>
    </w:p>
    <w:p w:rsidR="008742E9" w:rsidRPr="008742E9" w:rsidRDefault="008742E9" w:rsidP="008742E9">
      <w:pPr>
        <w:jc w:val="center"/>
        <w:rPr>
          <w:b/>
          <w:sz w:val="24"/>
          <w:szCs w:val="24"/>
        </w:rPr>
      </w:pPr>
      <w:r w:rsidRPr="008742E9">
        <w:rPr>
          <w:b/>
          <w:sz w:val="24"/>
          <w:szCs w:val="24"/>
        </w:rPr>
        <w:t>перепелов по промерам костяка</w:t>
      </w:r>
    </w:p>
    <w:p w:rsidR="008742E9" w:rsidRPr="008742E9" w:rsidRDefault="008742E9" w:rsidP="008742E9">
      <w:pPr>
        <w:jc w:val="center"/>
        <w:rPr>
          <w:b/>
          <w:sz w:val="24"/>
          <w:szCs w:val="24"/>
          <w:lang w:val="en-US"/>
        </w:rPr>
      </w:pPr>
      <w:r w:rsidRPr="008742E9">
        <w:rPr>
          <w:b/>
          <w:sz w:val="24"/>
          <w:szCs w:val="24"/>
          <w:lang w:val="en-US"/>
        </w:rPr>
        <w:t xml:space="preserve">Early forecasting of egg productivity of quail </w:t>
      </w:r>
    </w:p>
    <w:p w:rsidR="008742E9" w:rsidRPr="008742E9" w:rsidRDefault="008742E9" w:rsidP="008742E9">
      <w:pPr>
        <w:jc w:val="center"/>
        <w:rPr>
          <w:b/>
          <w:sz w:val="24"/>
          <w:szCs w:val="24"/>
          <w:lang w:val="en-US"/>
        </w:rPr>
      </w:pPr>
      <w:r w:rsidRPr="008742E9">
        <w:rPr>
          <w:b/>
          <w:sz w:val="24"/>
          <w:szCs w:val="24"/>
          <w:lang w:val="en-US"/>
        </w:rPr>
        <w:t>according to skeleton measurements</w:t>
      </w:r>
    </w:p>
    <w:p w:rsidR="008742E9" w:rsidRPr="0064456F" w:rsidRDefault="008742E9" w:rsidP="008742E9">
      <w:pPr>
        <w:jc w:val="center"/>
        <w:rPr>
          <w:sz w:val="22"/>
          <w:szCs w:val="22"/>
          <w:lang w:val="en-US"/>
        </w:rPr>
      </w:pPr>
    </w:p>
    <w:p w:rsidR="008742E9" w:rsidRPr="0064456F" w:rsidRDefault="008742E9" w:rsidP="008742E9">
      <w:pPr>
        <w:jc w:val="right"/>
        <w:rPr>
          <w:sz w:val="22"/>
          <w:szCs w:val="22"/>
          <w:lang w:val="en-US"/>
        </w:rPr>
      </w:pPr>
      <w:r w:rsidRPr="0064456F">
        <w:rPr>
          <w:sz w:val="22"/>
          <w:szCs w:val="22"/>
        </w:rPr>
        <w:t>Хурэлчулуун</w:t>
      </w:r>
      <w:r w:rsidRPr="0064456F">
        <w:rPr>
          <w:sz w:val="22"/>
          <w:szCs w:val="22"/>
          <w:lang w:val="en-US"/>
        </w:rPr>
        <w:t xml:space="preserve"> </w:t>
      </w:r>
      <w:r w:rsidRPr="0064456F">
        <w:rPr>
          <w:sz w:val="22"/>
          <w:szCs w:val="22"/>
        </w:rPr>
        <w:t>С</w:t>
      </w:r>
      <w:r w:rsidRPr="0064456F">
        <w:rPr>
          <w:sz w:val="22"/>
          <w:szCs w:val="22"/>
          <w:lang w:val="en-US"/>
        </w:rPr>
        <w:t>.,</w:t>
      </w:r>
    </w:p>
    <w:p w:rsidR="008742E9" w:rsidRPr="0064456F" w:rsidRDefault="008742E9" w:rsidP="008742E9">
      <w:pPr>
        <w:jc w:val="right"/>
        <w:rPr>
          <w:sz w:val="22"/>
          <w:szCs w:val="22"/>
        </w:rPr>
      </w:pPr>
      <w:r w:rsidRPr="0064456F">
        <w:rPr>
          <w:sz w:val="22"/>
          <w:szCs w:val="22"/>
        </w:rPr>
        <w:t>студент 3</w:t>
      </w:r>
      <w:r w:rsidR="0064456F">
        <w:rPr>
          <w:sz w:val="22"/>
          <w:szCs w:val="22"/>
        </w:rPr>
        <w:t>-го курса факультета зоотехнии</w:t>
      </w:r>
    </w:p>
    <w:p w:rsidR="008742E9" w:rsidRPr="0064456F" w:rsidRDefault="008742E9" w:rsidP="008742E9">
      <w:pPr>
        <w:jc w:val="right"/>
        <w:rPr>
          <w:sz w:val="22"/>
          <w:szCs w:val="22"/>
        </w:rPr>
      </w:pPr>
      <w:r w:rsidRPr="0064456F">
        <w:rPr>
          <w:sz w:val="22"/>
          <w:szCs w:val="22"/>
        </w:rPr>
        <w:t>Щербатов В.</w:t>
      </w:r>
      <w:r w:rsidR="0064456F">
        <w:rPr>
          <w:sz w:val="22"/>
          <w:szCs w:val="22"/>
        </w:rPr>
        <w:t xml:space="preserve"> </w:t>
      </w:r>
      <w:r w:rsidRPr="0064456F">
        <w:rPr>
          <w:sz w:val="22"/>
          <w:szCs w:val="22"/>
        </w:rPr>
        <w:t>И.,</w:t>
      </w:r>
    </w:p>
    <w:p w:rsidR="008742E9" w:rsidRPr="0064456F" w:rsidRDefault="008742E9" w:rsidP="008742E9">
      <w:pPr>
        <w:jc w:val="right"/>
        <w:rPr>
          <w:sz w:val="22"/>
          <w:szCs w:val="22"/>
        </w:rPr>
      </w:pPr>
      <w:r w:rsidRPr="0064456F">
        <w:rPr>
          <w:sz w:val="22"/>
          <w:szCs w:val="22"/>
        </w:rPr>
        <w:t>профессор ка</w:t>
      </w:r>
      <w:r w:rsidR="0064456F">
        <w:rPr>
          <w:sz w:val="22"/>
          <w:szCs w:val="22"/>
        </w:rPr>
        <w:t>федры разведения с.-х. животных</w:t>
      </w:r>
    </w:p>
    <w:p w:rsidR="0064456F" w:rsidRDefault="008742E9" w:rsidP="008742E9">
      <w:pPr>
        <w:jc w:val="right"/>
        <w:rPr>
          <w:sz w:val="22"/>
          <w:szCs w:val="22"/>
        </w:rPr>
      </w:pPr>
      <w:r w:rsidRPr="0064456F">
        <w:rPr>
          <w:sz w:val="22"/>
          <w:szCs w:val="22"/>
        </w:rPr>
        <w:t>Кубанский государственный аграрный</w:t>
      </w:r>
    </w:p>
    <w:p w:rsidR="008742E9" w:rsidRPr="0064456F" w:rsidRDefault="008742E9" w:rsidP="008742E9">
      <w:pPr>
        <w:jc w:val="right"/>
        <w:rPr>
          <w:sz w:val="22"/>
          <w:szCs w:val="22"/>
        </w:rPr>
      </w:pPr>
      <w:r w:rsidRPr="0064456F">
        <w:rPr>
          <w:sz w:val="22"/>
          <w:szCs w:val="22"/>
        </w:rPr>
        <w:t xml:space="preserve"> университет имени И.</w:t>
      </w:r>
      <w:r w:rsidR="0064456F">
        <w:rPr>
          <w:sz w:val="22"/>
          <w:szCs w:val="22"/>
        </w:rPr>
        <w:t xml:space="preserve"> </w:t>
      </w:r>
      <w:r w:rsidRPr="0064456F">
        <w:rPr>
          <w:sz w:val="22"/>
          <w:szCs w:val="22"/>
        </w:rPr>
        <w:t>Т. Трубилина</w:t>
      </w:r>
    </w:p>
    <w:p w:rsidR="008742E9" w:rsidRPr="008742E9" w:rsidRDefault="008742E9" w:rsidP="008742E9">
      <w:pPr>
        <w:jc w:val="both"/>
        <w:rPr>
          <w:sz w:val="22"/>
          <w:szCs w:val="22"/>
        </w:rPr>
      </w:pPr>
    </w:p>
    <w:p w:rsidR="008742E9" w:rsidRPr="008742E9" w:rsidRDefault="0064456F" w:rsidP="0064456F">
      <w:pPr>
        <w:ind w:firstLine="425"/>
        <w:jc w:val="both"/>
        <w:rPr>
          <w:sz w:val="22"/>
          <w:szCs w:val="22"/>
        </w:rPr>
      </w:pPr>
      <w:r>
        <w:rPr>
          <w:sz w:val="22"/>
          <w:szCs w:val="22"/>
        </w:rPr>
        <w:t>АННОТАЦИЯ:</w:t>
      </w:r>
      <w:r w:rsidR="008742E9" w:rsidRPr="008742E9">
        <w:rPr>
          <w:sz w:val="22"/>
          <w:szCs w:val="22"/>
        </w:rPr>
        <w:t xml:space="preserve"> Длина плюсны положительно коррелирует с живой массой перепелов в  возрасте полозвозрелости и, как сле</w:t>
      </w:r>
      <w:r w:rsidR="008742E9" w:rsidRPr="008742E9">
        <w:rPr>
          <w:sz w:val="22"/>
          <w:szCs w:val="22"/>
        </w:rPr>
        <w:t>д</w:t>
      </w:r>
      <w:r w:rsidR="008742E9" w:rsidRPr="008742E9">
        <w:rPr>
          <w:sz w:val="22"/>
          <w:szCs w:val="22"/>
        </w:rPr>
        <w:t>ствие, с их яичной продуктивностью.</w:t>
      </w:r>
    </w:p>
    <w:p w:rsidR="008742E9" w:rsidRPr="008742E9" w:rsidRDefault="0064456F" w:rsidP="0064456F">
      <w:pPr>
        <w:ind w:firstLine="425"/>
        <w:jc w:val="both"/>
        <w:rPr>
          <w:sz w:val="22"/>
          <w:szCs w:val="22"/>
          <w:lang w:val="en-US"/>
        </w:rPr>
      </w:pPr>
      <w:r>
        <w:rPr>
          <w:sz w:val="22"/>
          <w:szCs w:val="22"/>
          <w:lang w:val="en-US"/>
        </w:rPr>
        <w:t>ANNOTATION</w:t>
      </w:r>
      <w:r w:rsidRPr="0064456F">
        <w:rPr>
          <w:sz w:val="22"/>
          <w:szCs w:val="22"/>
          <w:lang w:val="en-US"/>
        </w:rPr>
        <w:t>:</w:t>
      </w:r>
      <w:r w:rsidR="008742E9" w:rsidRPr="008742E9">
        <w:rPr>
          <w:sz w:val="22"/>
          <w:szCs w:val="22"/>
          <w:lang w:val="en-US"/>
        </w:rPr>
        <w:t xml:space="preserve"> The length of the metatarsal positively correlates with the live weight of quails at the age of reproductive maturity and, as a consequence, with their egg productivity.</w:t>
      </w:r>
    </w:p>
    <w:p w:rsidR="008742E9" w:rsidRPr="008742E9" w:rsidRDefault="0064456F" w:rsidP="0064456F">
      <w:pPr>
        <w:ind w:firstLine="425"/>
        <w:jc w:val="both"/>
        <w:rPr>
          <w:sz w:val="22"/>
          <w:szCs w:val="22"/>
        </w:rPr>
      </w:pPr>
      <w:r w:rsidRPr="008742E9">
        <w:rPr>
          <w:sz w:val="22"/>
          <w:szCs w:val="22"/>
        </w:rPr>
        <w:t>КЛЮЧЕВЫЕ СЛОВА:</w:t>
      </w:r>
      <w:r w:rsidR="008742E9" w:rsidRPr="008742E9">
        <w:rPr>
          <w:sz w:val="22"/>
          <w:szCs w:val="22"/>
        </w:rPr>
        <w:t xml:space="preserve"> перепела, плюсна, яйцо, селекция, ма</w:t>
      </w:r>
      <w:r w:rsidR="008742E9" w:rsidRPr="008742E9">
        <w:rPr>
          <w:sz w:val="22"/>
          <w:szCs w:val="22"/>
        </w:rPr>
        <w:t>с</w:t>
      </w:r>
      <w:r w:rsidR="008742E9" w:rsidRPr="008742E9">
        <w:rPr>
          <w:sz w:val="22"/>
          <w:szCs w:val="22"/>
        </w:rPr>
        <w:t xml:space="preserve">са. </w:t>
      </w:r>
    </w:p>
    <w:p w:rsidR="008742E9" w:rsidRPr="008742E9" w:rsidRDefault="0064456F" w:rsidP="0064456F">
      <w:pPr>
        <w:ind w:firstLine="425"/>
        <w:jc w:val="both"/>
        <w:rPr>
          <w:sz w:val="22"/>
          <w:szCs w:val="22"/>
          <w:lang w:val="en-US"/>
        </w:rPr>
      </w:pPr>
      <w:r w:rsidRPr="008742E9">
        <w:rPr>
          <w:sz w:val="22"/>
          <w:szCs w:val="22"/>
          <w:lang w:val="en-US"/>
        </w:rPr>
        <w:t>KEY WORDS:</w:t>
      </w:r>
      <w:r w:rsidR="008742E9" w:rsidRPr="008742E9">
        <w:rPr>
          <w:sz w:val="22"/>
          <w:szCs w:val="22"/>
          <w:lang w:val="en-US"/>
        </w:rPr>
        <w:t xml:space="preserve"> quail, plus, egg, selection, weight.</w:t>
      </w:r>
    </w:p>
    <w:p w:rsidR="008742E9" w:rsidRPr="008742E9" w:rsidRDefault="008742E9" w:rsidP="0064456F">
      <w:pPr>
        <w:ind w:firstLine="425"/>
        <w:jc w:val="both"/>
        <w:rPr>
          <w:sz w:val="22"/>
          <w:szCs w:val="22"/>
          <w:lang w:val="en-US"/>
        </w:rPr>
      </w:pPr>
    </w:p>
    <w:p w:rsidR="008742E9" w:rsidRPr="008742E9" w:rsidRDefault="008742E9" w:rsidP="0064456F">
      <w:pPr>
        <w:ind w:firstLine="425"/>
        <w:jc w:val="both"/>
        <w:rPr>
          <w:sz w:val="22"/>
          <w:szCs w:val="22"/>
        </w:rPr>
      </w:pPr>
      <w:r w:rsidRPr="008742E9">
        <w:rPr>
          <w:sz w:val="22"/>
          <w:szCs w:val="22"/>
        </w:rPr>
        <w:t>Перепела одомашнены гораздо позднее, чем другие виды сел</w:t>
      </w:r>
      <w:r w:rsidRPr="008742E9">
        <w:rPr>
          <w:sz w:val="22"/>
          <w:szCs w:val="22"/>
        </w:rPr>
        <w:t>ь</w:t>
      </w:r>
      <w:r w:rsidRPr="008742E9">
        <w:rPr>
          <w:sz w:val="22"/>
          <w:szCs w:val="22"/>
        </w:rPr>
        <w:t>скохозяйственной птицы, но к настоящему времени в перепелово</w:t>
      </w:r>
      <w:r w:rsidRPr="008742E9">
        <w:rPr>
          <w:sz w:val="22"/>
          <w:szCs w:val="22"/>
        </w:rPr>
        <w:t>д</w:t>
      </w:r>
      <w:r w:rsidRPr="008742E9">
        <w:rPr>
          <w:sz w:val="22"/>
          <w:szCs w:val="22"/>
        </w:rPr>
        <w:t>стве определились направления продуктивности птицы и создание пород соответствующие этим направлениям. Ряд авторов [1] счит</w:t>
      </w:r>
      <w:r w:rsidRPr="008742E9">
        <w:rPr>
          <w:sz w:val="22"/>
          <w:szCs w:val="22"/>
        </w:rPr>
        <w:t>а</w:t>
      </w:r>
      <w:r w:rsidRPr="008742E9">
        <w:rPr>
          <w:sz w:val="22"/>
          <w:szCs w:val="22"/>
        </w:rPr>
        <w:t>ют, что селекционный процесс уже привел к возникновению пород и кроссов мясных перепелов, чья живая масса в возрасте 6 недель приближается к массе порционного цыпленка (3 недели). Судя по интенсивности данного процесса, перед перепеловодством скоро встанут те же проблемы с крепостью костяка, что стоят теперь п</w:t>
      </w:r>
      <w:r w:rsidRPr="008742E9">
        <w:rPr>
          <w:sz w:val="22"/>
          <w:szCs w:val="22"/>
        </w:rPr>
        <w:t>е</w:t>
      </w:r>
      <w:r w:rsidRPr="008742E9">
        <w:rPr>
          <w:sz w:val="22"/>
          <w:szCs w:val="22"/>
        </w:rPr>
        <w:t xml:space="preserve">ред бройлерным птицеводством. </w:t>
      </w:r>
    </w:p>
    <w:p w:rsidR="008742E9" w:rsidRPr="008742E9" w:rsidRDefault="008742E9" w:rsidP="0064456F">
      <w:pPr>
        <w:ind w:firstLine="425"/>
        <w:jc w:val="both"/>
        <w:rPr>
          <w:sz w:val="22"/>
          <w:szCs w:val="22"/>
        </w:rPr>
      </w:pPr>
      <w:r w:rsidRPr="008742E9">
        <w:rPr>
          <w:sz w:val="22"/>
          <w:szCs w:val="22"/>
        </w:rPr>
        <w:t>В области изучения корреляций хозяйственно-полезных и эк</w:t>
      </w:r>
      <w:r w:rsidRPr="008742E9">
        <w:rPr>
          <w:sz w:val="22"/>
          <w:szCs w:val="22"/>
        </w:rPr>
        <w:t>с</w:t>
      </w:r>
      <w:r w:rsidRPr="008742E9">
        <w:rPr>
          <w:sz w:val="22"/>
          <w:szCs w:val="22"/>
        </w:rPr>
        <w:t>терьерных признаков животных преследуется цель – установить, как изменяются корреляционно связанные признаки в процессе с</w:t>
      </w:r>
      <w:r w:rsidRPr="008742E9">
        <w:rPr>
          <w:sz w:val="22"/>
          <w:szCs w:val="22"/>
        </w:rPr>
        <w:t>е</w:t>
      </w:r>
      <w:r w:rsidRPr="008742E9">
        <w:rPr>
          <w:sz w:val="22"/>
          <w:szCs w:val="22"/>
        </w:rPr>
        <w:lastRenderedPageBreak/>
        <w:t>лекции и определить такие признаки и сочетание признаков, отбор по которым будет наиболее эффективным [2].</w:t>
      </w:r>
    </w:p>
    <w:p w:rsidR="008742E9" w:rsidRPr="008742E9" w:rsidRDefault="008742E9" w:rsidP="0064456F">
      <w:pPr>
        <w:ind w:firstLine="425"/>
        <w:jc w:val="both"/>
        <w:rPr>
          <w:sz w:val="22"/>
          <w:szCs w:val="22"/>
        </w:rPr>
      </w:pPr>
      <w:r w:rsidRPr="008742E9">
        <w:rPr>
          <w:sz w:val="22"/>
          <w:szCs w:val="22"/>
        </w:rPr>
        <w:t>Цель исследований – изучить  корреляционные связи между промерами костей тазовых конечностей и продуктивными кач</w:t>
      </w:r>
      <w:r w:rsidRPr="008742E9">
        <w:rPr>
          <w:sz w:val="22"/>
          <w:szCs w:val="22"/>
        </w:rPr>
        <w:t>е</w:t>
      </w:r>
      <w:r w:rsidRPr="008742E9">
        <w:rPr>
          <w:sz w:val="22"/>
          <w:szCs w:val="22"/>
        </w:rPr>
        <w:t>ствами перепелов.</w:t>
      </w:r>
    </w:p>
    <w:p w:rsidR="008742E9" w:rsidRPr="008742E9" w:rsidRDefault="008742E9" w:rsidP="0064456F">
      <w:pPr>
        <w:ind w:firstLine="425"/>
        <w:contextualSpacing/>
        <w:jc w:val="both"/>
        <w:rPr>
          <w:sz w:val="22"/>
          <w:szCs w:val="22"/>
        </w:rPr>
      </w:pPr>
      <w:r w:rsidRPr="008742E9">
        <w:rPr>
          <w:sz w:val="22"/>
          <w:szCs w:val="22"/>
        </w:rPr>
        <w:t>Материал и методика исследования</w:t>
      </w:r>
      <w:r w:rsidRPr="008742E9">
        <w:rPr>
          <w:b/>
          <w:sz w:val="22"/>
          <w:szCs w:val="22"/>
        </w:rPr>
        <w:t>.</w:t>
      </w:r>
      <w:r w:rsidRPr="008742E9">
        <w:rPr>
          <w:sz w:val="22"/>
          <w:szCs w:val="22"/>
        </w:rPr>
        <w:t xml:space="preserve"> Опыты проводились в условиях лаборатории кафедры разведения сельскохозяйственных животных и зоотехнологий КубГАУ с 2015 по 2017 гг. Объектом исследований являлись техасские белые перепела, из панмиксич</w:t>
      </w:r>
      <w:r w:rsidRPr="008742E9">
        <w:rPr>
          <w:sz w:val="22"/>
          <w:szCs w:val="22"/>
        </w:rPr>
        <w:t>е</w:t>
      </w:r>
      <w:r w:rsidRPr="008742E9">
        <w:rPr>
          <w:sz w:val="22"/>
          <w:szCs w:val="22"/>
        </w:rPr>
        <w:t xml:space="preserve">ской популяции. </w:t>
      </w:r>
    </w:p>
    <w:p w:rsidR="008742E9" w:rsidRPr="008742E9" w:rsidRDefault="008742E9" w:rsidP="0064456F">
      <w:pPr>
        <w:shd w:val="clear" w:color="auto" w:fill="FFFFFF"/>
        <w:ind w:firstLine="425"/>
        <w:jc w:val="both"/>
        <w:rPr>
          <w:sz w:val="22"/>
          <w:szCs w:val="22"/>
        </w:rPr>
      </w:pPr>
      <w:r w:rsidRPr="008742E9">
        <w:rPr>
          <w:sz w:val="22"/>
          <w:szCs w:val="22"/>
        </w:rPr>
        <w:t>Начиная с суточного возраста перепелят еженедельно опред</w:t>
      </w:r>
      <w:r w:rsidRPr="008742E9">
        <w:rPr>
          <w:sz w:val="22"/>
          <w:szCs w:val="22"/>
        </w:rPr>
        <w:t>е</w:t>
      </w:r>
      <w:r w:rsidRPr="008742E9">
        <w:rPr>
          <w:sz w:val="22"/>
          <w:szCs w:val="22"/>
        </w:rPr>
        <w:t xml:space="preserve">ляли их живую массу с точностью до 0,1 г на электронных весах типа </w:t>
      </w:r>
      <w:r w:rsidRPr="008742E9">
        <w:rPr>
          <w:sz w:val="22"/>
          <w:szCs w:val="22"/>
          <w:lang w:val="en-US"/>
        </w:rPr>
        <w:t>AND</w:t>
      </w:r>
      <w:r w:rsidRPr="008742E9">
        <w:rPr>
          <w:sz w:val="22"/>
          <w:szCs w:val="22"/>
        </w:rPr>
        <w:t xml:space="preserve"> </w:t>
      </w:r>
      <w:r w:rsidRPr="008742E9">
        <w:rPr>
          <w:sz w:val="22"/>
          <w:szCs w:val="22"/>
          <w:lang w:val="en-US"/>
        </w:rPr>
        <w:t>DL</w:t>
      </w:r>
      <w:r w:rsidRPr="008742E9">
        <w:rPr>
          <w:sz w:val="22"/>
          <w:szCs w:val="22"/>
        </w:rPr>
        <w:t>-300. Изучали рост костяка по костям тазовой коне</w:t>
      </w:r>
      <w:r w:rsidRPr="008742E9">
        <w:rPr>
          <w:sz w:val="22"/>
          <w:szCs w:val="22"/>
        </w:rPr>
        <w:t>ч</w:t>
      </w:r>
      <w:r w:rsidRPr="008742E9">
        <w:rPr>
          <w:sz w:val="22"/>
          <w:szCs w:val="22"/>
        </w:rPr>
        <w:t xml:space="preserve">ности, и, в первую очередь, длины плюсны и третьего пальца. </w:t>
      </w:r>
    </w:p>
    <w:p w:rsidR="008742E9" w:rsidRPr="008742E9" w:rsidRDefault="008742E9" w:rsidP="0064456F">
      <w:pPr>
        <w:shd w:val="clear" w:color="auto" w:fill="FFFFFF"/>
        <w:ind w:firstLine="425"/>
        <w:jc w:val="both"/>
        <w:rPr>
          <w:sz w:val="22"/>
          <w:szCs w:val="22"/>
        </w:rPr>
      </w:pPr>
      <w:r w:rsidRPr="008742E9">
        <w:rPr>
          <w:sz w:val="22"/>
          <w:szCs w:val="22"/>
        </w:rPr>
        <w:t>Длину плюсны (в см) определяли от суставной впадины в месте сочленения плюсны с голенью на задней части левой ноги до перв</w:t>
      </w:r>
      <w:r w:rsidRPr="008742E9">
        <w:rPr>
          <w:sz w:val="22"/>
          <w:szCs w:val="22"/>
        </w:rPr>
        <w:t>о</w:t>
      </w:r>
      <w:r w:rsidRPr="008742E9">
        <w:rPr>
          <w:sz w:val="22"/>
          <w:szCs w:val="22"/>
        </w:rPr>
        <w:t xml:space="preserve">го пальца, используя линейку. </w:t>
      </w:r>
    </w:p>
    <w:p w:rsidR="008742E9" w:rsidRPr="008742E9" w:rsidRDefault="008742E9" w:rsidP="0064456F">
      <w:pPr>
        <w:shd w:val="clear" w:color="auto" w:fill="FFFFFF"/>
        <w:ind w:firstLine="425"/>
        <w:jc w:val="both"/>
        <w:rPr>
          <w:sz w:val="22"/>
          <w:szCs w:val="22"/>
        </w:rPr>
      </w:pPr>
      <w:r w:rsidRPr="008742E9">
        <w:rPr>
          <w:sz w:val="22"/>
          <w:szCs w:val="22"/>
        </w:rPr>
        <w:t>Длину третьего пальца (в см) определяли с помощью линейки от суставной впадины в месте сочленения пальца с плюсной до о</w:t>
      </w:r>
      <w:r w:rsidRPr="008742E9">
        <w:rPr>
          <w:sz w:val="22"/>
          <w:szCs w:val="22"/>
        </w:rPr>
        <w:t>с</w:t>
      </w:r>
      <w:r w:rsidRPr="008742E9">
        <w:rPr>
          <w:sz w:val="22"/>
          <w:szCs w:val="22"/>
        </w:rPr>
        <w:t xml:space="preserve">нования когтя на передней части левой ноги. Замеры проводились еженедельно в одно и то же время. </w:t>
      </w:r>
    </w:p>
    <w:p w:rsidR="008742E9" w:rsidRPr="008742E9" w:rsidRDefault="008742E9" w:rsidP="0064456F">
      <w:pPr>
        <w:shd w:val="clear" w:color="auto" w:fill="FFFFFF"/>
        <w:ind w:firstLine="425"/>
        <w:jc w:val="both"/>
        <w:rPr>
          <w:sz w:val="22"/>
          <w:szCs w:val="22"/>
        </w:rPr>
      </w:pPr>
      <w:r w:rsidRPr="008742E9">
        <w:rPr>
          <w:sz w:val="22"/>
          <w:szCs w:val="22"/>
        </w:rPr>
        <w:t xml:space="preserve">В возрасте 35 дней всю популяцию разделили по длине плюсны на 2 группы в зависимости от средней </w:t>
      </w:r>
      <w:r w:rsidRPr="008742E9">
        <w:rPr>
          <w:sz w:val="22"/>
          <w:szCs w:val="22"/>
          <w:lang w:val="en-US"/>
        </w:rPr>
        <w:t>M</w:t>
      </w:r>
      <w:r w:rsidRPr="008742E9">
        <w:rPr>
          <w:sz w:val="22"/>
          <w:szCs w:val="22"/>
        </w:rPr>
        <w:t>±</w:t>
      </w:r>
      <w:r w:rsidRPr="008742E9">
        <w:rPr>
          <w:sz w:val="22"/>
          <w:szCs w:val="22"/>
          <w:lang w:val="en-US"/>
        </w:rPr>
        <w:t>δ</w:t>
      </w:r>
      <w:r w:rsidRPr="008742E9">
        <w:rPr>
          <w:sz w:val="22"/>
          <w:szCs w:val="22"/>
        </w:rPr>
        <w:t>:</w:t>
      </w:r>
    </w:p>
    <w:p w:rsidR="008742E9" w:rsidRPr="008742E9" w:rsidRDefault="008742E9" w:rsidP="0064456F">
      <w:pPr>
        <w:shd w:val="clear" w:color="auto" w:fill="FFFFFF"/>
        <w:ind w:firstLine="425"/>
        <w:jc w:val="both"/>
        <w:rPr>
          <w:sz w:val="22"/>
          <w:szCs w:val="22"/>
        </w:rPr>
      </w:pPr>
      <w:r w:rsidRPr="008742E9">
        <w:rPr>
          <w:sz w:val="22"/>
          <w:szCs w:val="22"/>
        </w:rPr>
        <w:t>1 группа – 2,6-2,7 см</w:t>
      </w:r>
    </w:p>
    <w:p w:rsidR="008742E9" w:rsidRPr="008742E9" w:rsidRDefault="008742E9" w:rsidP="0064456F">
      <w:pPr>
        <w:shd w:val="clear" w:color="auto" w:fill="FFFFFF"/>
        <w:ind w:firstLine="425"/>
        <w:jc w:val="both"/>
        <w:rPr>
          <w:sz w:val="22"/>
          <w:szCs w:val="22"/>
        </w:rPr>
      </w:pPr>
      <w:r w:rsidRPr="008742E9">
        <w:rPr>
          <w:sz w:val="22"/>
          <w:szCs w:val="22"/>
        </w:rPr>
        <w:t>2 группа – 3,0-3,2 см</w:t>
      </w:r>
    </w:p>
    <w:p w:rsidR="008742E9" w:rsidRPr="008742E9" w:rsidRDefault="008742E9" w:rsidP="0064456F">
      <w:pPr>
        <w:shd w:val="clear" w:color="auto" w:fill="FFFFFF"/>
        <w:ind w:firstLine="425"/>
        <w:jc w:val="both"/>
        <w:rPr>
          <w:sz w:val="22"/>
          <w:szCs w:val="22"/>
        </w:rPr>
      </w:pPr>
      <w:r w:rsidRPr="008742E9">
        <w:rPr>
          <w:sz w:val="22"/>
          <w:szCs w:val="22"/>
        </w:rPr>
        <w:t>Яйценоскость несушек учитывали с возраста достижения пол</w:t>
      </w:r>
      <w:r w:rsidRPr="008742E9">
        <w:rPr>
          <w:sz w:val="22"/>
          <w:szCs w:val="22"/>
        </w:rPr>
        <w:t>о</w:t>
      </w:r>
      <w:r w:rsidRPr="008742E9">
        <w:rPr>
          <w:sz w:val="22"/>
          <w:szCs w:val="22"/>
        </w:rPr>
        <w:t xml:space="preserve">вой зрелости и времени снесения первого яйца. Учет количества снесенных яиц проводили ежедневно; его сочетали  с определением массы яиц. </w:t>
      </w:r>
    </w:p>
    <w:p w:rsidR="008742E9" w:rsidRPr="008742E9" w:rsidRDefault="008742E9" w:rsidP="0064456F">
      <w:pPr>
        <w:ind w:firstLine="425"/>
        <w:jc w:val="both"/>
        <w:rPr>
          <w:sz w:val="22"/>
          <w:szCs w:val="22"/>
        </w:rPr>
      </w:pPr>
      <w:r w:rsidRPr="008742E9">
        <w:rPr>
          <w:sz w:val="22"/>
          <w:szCs w:val="22"/>
        </w:rPr>
        <w:t>Анализ показывает, что наиболее интенсивно костяк у переп</w:t>
      </w:r>
      <w:r w:rsidRPr="008742E9">
        <w:rPr>
          <w:sz w:val="22"/>
          <w:szCs w:val="22"/>
        </w:rPr>
        <w:t>е</w:t>
      </w:r>
      <w:r w:rsidRPr="008742E9">
        <w:rPr>
          <w:sz w:val="22"/>
          <w:szCs w:val="22"/>
        </w:rPr>
        <w:t>лов растет до 38–40-дневного возраста. Мы считаем, что получе</w:t>
      </w:r>
      <w:r w:rsidRPr="008742E9">
        <w:rPr>
          <w:sz w:val="22"/>
          <w:szCs w:val="22"/>
        </w:rPr>
        <w:t>н</w:t>
      </w:r>
      <w:r w:rsidRPr="008742E9">
        <w:rPr>
          <w:sz w:val="22"/>
          <w:szCs w:val="22"/>
        </w:rPr>
        <w:t>ные нами данные подтверждают следующий факт: рост костяка п</w:t>
      </w:r>
      <w:r w:rsidRPr="008742E9">
        <w:rPr>
          <w:sz w:val="22"/>
          <w:szCs w:val="22"/>
        </w:rPr>
        <w:t>е</w:t>
      </w:r>
      <w:r w:rsidRPr="008742E9">
        <w:rPr>
          <w:sz w:val="22"/>
          <w:szCs w:val="22"/>
        </w:rPr>
        <w:t>репелов заканчивается к возрасту достижения половой зрелости. Длина плюсны за это время увеличивается на 81,2 %, а длина 3-го пальца на 54,6 %. Малый и большой диаметры плюсны наиболее интенсивно изменяются также до двух месячного возраста на 28,0 % и 49,4 % соответственно.</w:t>
      </w:r>
    </w:p>
    <w:p w:rsidR="008742E9" w:rsidRPr="008742E9" w:rsidRDefault="008742E9" w:rsidP="0064456F">
      <w:pPr>
        <w:ind w:firstLine="425"/>
        <w:jc w:val="both"/>
        <w:rPr>
          <w:sz w:val="22"/>
          <w:szCs w:val="22"/>
        </w:rPr>
      </w:pPr>
      <w:r w:rsidRPr="008742E9">
        <w:rPr>
          <w:sz w:val="22"/>
          <w:szCs w:val="22"/>
        </w:rPr>
        <w:lastRenderedPageBreak/>
        <w:t xml:space="preserve">Одним из важнейших показателей выращивания ремонтного молодняка является живая масса птицы. </w:t>
      </w:r>
    </w:p>
    <w:p w:rsidR="008742E9" w:rsidRPr="008742E9" w:rsidRDefault="008742E9" w:rsidP="0064456F">
      <w:pPr>
        <w:ind w:firstLine="425"/>
        <w:jc w:val="both"/>
        <w:rPr>
          <w:sz w:val="22"/>
          <w:szCs w:val="22"/>
        </w:rPr>
      </w:pPr>
      <w:r w:rsidRPr="008742E9">
        <w:rPr>
          <w:sz w:val="22"/>
          <w:szCs w:val="22"/>
        </w:rPr>
        <w:t>Полученные в нашем исследовании данные указывают на зак</w:t>
      </w:r>
      <w:r w:rsidRPr="008742E9">
        <w:rPr>
          <w:sz w:val="22"/>
          <w:szCs w:val="22"/>
        </w:rPr>
        <w:t>о</w:t>
      </w:r>
      <w:r w:rsidRPr="008742E9">
        <w:rPr>
          <w:sz w:val="22"/>
          <w:szCs w:val="22"/>
        </w:rPr>
        <w:t>номерные величины изменения живой массы перепелов с возра</w:t>
      </w:r>
      <w:r w:rsidRPr="008742E9">
        <w:rPr>
          <w:sz w:val="22"/>
          <w:szCs w:val="22"/>
        </w:rPr>
        <w:t>с</w:t>
      </w:r>
      <w:r w:rsidRPr="008742E9">
        <w:rPr>
          <w:sz w:val="22"/>
          <w:szCs w:val="22"/>
        </w:rPr>
        <w:t xml:space="preserve">том: если вес суточного перепеленка в среднем составляет 9,3 г, то до 1-месячного возраста живая масса перепеленка увеличивается примерно в 18 раз. </w:t>
      </w:r>
    </w:p>
    <w:p w:rsidR="008742E9" w:rsidRPr="008742E9" w:rsidRDefault="008742E9" w:rsidP="0064456F">
      <w:pPr>
        <w:ind w:firstLine="425"/>
        <w:jc w:val="both"/>
        <w:rPr>
          <w:sz w:val="22"/>
          <w:szCs w:val="22"/>
        </w:rPr>
      </w:pPr>
      <w:r w:rsidRPr="008742E9">
        <w:rPr>
          <w:sz w:val="22"/>
          <w:szCs w:val="22"/>
        </w:rPr>
        <w:t>В 35-дневном возрасте птица во второй группе превосходит по живой массе молодняк первой группы на 9,1 % (самцы) и 12,4 % (самки). Данная тенденция сохранилась до 140-дневного возраста; к этому возрасту разница между ними была 8,5 г для самок и 22 г –  для самцов. Среднесуточный прирост живой массы за этот период составил в среднем 5,6 г.</w:t>
      </w:r>
    </w:p>
    <w:p w:rsidR="008742E9" w:rsidRPr="008742E9" w:rsidRDefault="008742E9" w:rsidP="0064456F">
      <w:pPr>
        <w:shd w:val="clear" w:color="auto" w:fill="FFFFFF"/>
        <w:ind w:firstLine="425"/>
        <w:contextualSpacing/>
        <w:jc w:val="both"/>
        <w:rPr>
          <w:sz w:val="22"/>
          <w:szCs w:val="22"/>
        </w:rPr>
      </w:pPr>
      <w:r w:rsidRPr="008742E9">
        <w:rPr>
          <w:sz w:val="22"/>
          <w:szCs w:val="22"/>
        </w:rPr>
        <w:t xml:space="preserve">Возраст достижения половой зрелости в исследуемых группах был одинаков и составлял 44 дня. Также на одном уровне была и сохранность поголовья – 90 %. </w:t>
      </w:r>
    </w:p>
    <w:p w:rsidR="008742E9" w:rsidRPr="008742E9" w:rsidRDefault="008742E9" w:rsidP="0064456F">
      <w:pPr>
        <w:shd w:val="clear" w:color="auto" w:fill="FFFFFF"/>
        <w:ind w:firstLine="425"/>
        <w:contextualSpacing/>
        <w:jc w:val="both"/>
        <w:rPr>
          <w:sz w:val="22"/>
          <w:szCs w:val="22"/>
        </w:rPr>
      </w:pPr>
      <w:r w:rsidRPr="008742E9">
        <w:rPr>
          <w:sz w:val="22"/>
          <w:szCs w:val="22"/>
        </w:rPr>
        <w:t xml:space="preserve">За 25 недель продуктивности показатель яйценоскости на начальную несушку в группе с «короткой» плюсной составил 122,5 шт. яиц, что на 5,7 шт. яиц ниже при сравнении со второй группой. Также получено на 6,2 штук яиц больше от средней несушки во второй группе при яйценоскости 136,9 штук. </w:t>
      </w:r>
    </w:p>
    <w:p w:rsidR="008742E9" w:rsidRPr="008742E9" w:rsidRDefault="008742E9" w:rsidP="0064456F">
      <w:pPr>
        <w:shd w:val="clear" w:color="auto" w:fill="FFFFFF"/>
        <w:ind w:firstLine="425"/>
        <w:contextualSpacing/>
        <w:jc w:val="both"/>
        <w:rPr>
          <w:sz w:val="22"/>
          <w:szCs w:val="22"/>
        </w:rPr>
      </w:pPr>
      <w:r w:rsidRPr="008742E9">
        <w:rPr>
          <w:sz w:val="22"/>
          <w:szCs w:val="22"/>
        </w:rPr>
        <w:t>Средняя масса одного яйца за указанный период в группах б</w:t>
      </w:r>
      <w:r w:rsidRPr="008742E9">
        <w:rPr>
          <w:sz w:val="22"/>
          <w:szCs w:val="22"/>
        </w:rPr>
        <w:t>ы</w:t>
      </w:r>
      <w:r w:rsidRPr="008742E9">
        <w:rPr>
          <w:sz w:val="22"/>
          <w:szCs w:val="22"/>
        </w:rPr>
        <w:t>ла практически одинакова – 13,62-13,68 г.</w:t>
      </w:r>
    </w:p>
    <w:p w:rsidR="008742E9" w:rsidRPr="008742E9" w:rsidRDefault="008742E9" w:rsidP="0064456F">
      <w:pPr>
        <w:shd w:val="clear" w:color="auto" w:fill="FFFFFF"/>
        <w:ind w:firstLine="425"/>
        <w:contextualSpacing/>
        <w:jc w:val="both"/>
        <w:rPr>
          <w:sz w:val="22"/>
          <w:szCs w:val="22"/>
        </w:rPr>
      </w:pPr>
      <w:r w:rsidRPr="008742E9">
        <w:rPr>
          <w:sz w:val="22"/>
          <w:szCs w:val="22"/>
        </w:rPr>
        <w:t>Вывод:</w:t>
      </w:r>
      <w:r w:rsidRPr="008742E9">
        <w:rPr>
          <w:b/>
          <w:sz w:val="22"/>
          <w:szCs w:val="22"/>
        </w:rPr>
        <w:t xml:space="preserve"> </w:t>
      </w:r>
      <w:r w:rsidRPr="008742E9">
        <w:rPr>
          <w:sz w:val="22"/>
          <w:szCs w:val="22"/>
        </w:rPr>
        <w:t>Исследования показали, что отбор перепелов по длине плюсны и третьего пальца может являться одним из критериев пр</w:t>
      </w:r>
      <w:r w:rsidRPr="008742E9">
        <w:rPr>
          <w:sz w:val="22"/>
          <w:szCs w:val="22"/>
        </w:rPr>
        <w:t>о</w:t>
      </w:r>
      <w:r w:rsidRPr="008742E9">
        <w:rPr>
          <w:sz w:val="22"/>
          <w:szCs w:val="22"/>
        </w:rPr>
        <w:t>гнозирования яичной продуктивности перепелок.</w:t>
      </w:r>
    </w:p>
    <w:p w:rsidR="008742E9" w:rsidRPr="008742E9" w:rsidRDefault="008742E9" w:rsidP="0064456F">
      <w:pPr>
        <w:shd w:val="clear" w:color="auto" w:fill="FFFFFF"/>
        <w:ind w:firstLine="425"/>
        <w:contextualSpacing/>
        <w:jc w:val="both"/>
        <w:rPr>
          <w:sz w:val="22"/>
          <w:szCs w:val="22"/>
        </w:rPr>
      </w:pPr>
    </w:p>
    <w:p w:rsidR="008742E9" w:rsidRPr="008742E9" w:rsidRDefault="008742E9" w:rsidP="0064456F">
      <w:pPr>
        <w:shd w:val="clear" w:color="auto" w:fill="FFFFFF"/>
        <w:ind w:firstLine="425"/>
        <w:contextualSpacing/>
        <w:jc w:val="center"/>
        <w:rPr>
          <w:b/>
          <w:sz w:val="22"/>
          <w:szCs w:val="22"/>
        </w:rPr>
      </w:pPr>
      <w:r w:rsidRPr="008742E9">
        <w:rPr>
          <w:sz w:val="22"/>
          <w:szCs w:val="22"/>
        </w:rPr>
        <w:t>Список литературы</w:t>
      </w:r>
    </w:p>
    <w:p w:rsidR="008742E9" w:rsidRPr="008742E9" w:rsidRDefault="008742E9" w:rsidP="0064456F">
      <w:pPr>
        <w:numPr>
          <w:ilvl w:val="0"/>
          <w:numId w:val="16"/>
        </w:numPr>
        <w:shd w:val="clear" w:color="auto" w:fill="FFFFFF"/>
        <w:ind w:left="0" w:firstLine="425"/>
        <w:contextualSpacing/>
        <w:jc w:val="both"/>
        <w:rPr>
          <w:sz w:val="22"/>
          <w:szCs w:val="22"/>
        </w:rPr>
      </w:pPr>
      <w:r w:rsidRPr="008742E9">
        <w:rPr>
          <w:sz w:val="22"/>
          <w:szCs w:val="22"/>
        </w:rPr>
        <w:t>Семак А. Э. Рост и развитие костей цыплят-бройлеров и мясных перепелов и влияние на этот процесс БАД / А. Э. Семак., Е. В. Панина, Н. П. Беляева, Е. М. Жмакина // Устойчивое развитие науки и образования. – 2017. – № 7. – С. 101-107.</w:t>
      </w:r>
    </w:p>
    <w:p w:rsidR="008742E9" w:rsidRPr="008742E9" w:rsidRDefault="008742E9" w:rsidP="0064456F">
      <w:pPr>
        <w:numPr>
          <w:ilvl w:val="0"/>
          <w:numId w:val="16"/>
        </w:numPr>
        <w:shd w:val="clear" w:color="auto" w:fill="FFFFFF"/>
        <w:ind w:left="0" w:firstLine="425"/>
        <w:contextualSpacing/>
        <w:jc w:val="both"/>
        <w:rPr>
          <w:sz w:val="22"/>
          <w:szCs w:val="22"/>
        </w:rPr>
      </w:pPr>
      <w:r w:rsidRPr="008742E9">
        <w:rPr>
          <w:sz w:val="22"/>
          <w:szCs w:val="22"/>
        </w:rPr>
        <w:t>Сидоренко Л. И. Мясные куры в клетках (проблемы, реш</w:t>
      </w:r>
      <w:r w:rsidRPr="008742E9">
        <w:rPr>
          <w:sz w:val="22"/>
          <w:szCs w:val="22"/>
        </w:rPr>
        <w:t>е</w:t>
      </w:r>
      <w:r w:rsidRPr="008742E9">
        <w:rPr>
          <w:sz w:val="22"/>
          <w:szCs w:val="22"/>
        </w:rPr>
        <w:t>ния, перспективы): монография / Л. И. Сидоренко, В. В. Слепухин, В. И. Щербатов. – Краснодар: КубГАУ. – 2006. – С. 335.</w:t>
      </w:r>
    </w:p>
    <w:p w:rsidR="008742E9" w:rsidRPr="008742E9" w:rsidRDefault="008742E9" w:rsidP="0064456F">
      <w:pPr>
        <w:ind w:firstLine="425"/>
        <w:rPr>
          <w:sz w:val="22"/>
          <w:szCs w:val="22"/>
        </w:rPr>
      </w:pPr>
    </w:p>
    <w:p w:rsidR="008742E9" w:rsidRPr="008742E9" w:rsidRDefault="008742E9" w:rsidP="008742E9">
      <w:pPr>
        <w:spacing w:after="200" w:line="276" w:lineRule="auto"/>
        <w:rPr>
          <w:sz w:val="22"/>
          <w:szCs w:val="22"/>
        </w:rPr>
      </w:pPr>
    </w:p>
    <w:p w:rsidR="008742E9" w:rsidRPr="008742E9" w:rsidRDefault="008742E9" w:rsidP="008742E9">
      <w:pPr>
        <w:jc w:val="both"/>
        <w:rPr>
          <w:sz w:val="22"/>
          <w:szCs w:val="22"/>
        </w:rPr>
      </w:pPr>
      <w:r w:rsidRPr="008742E9">
        <w:rPr>
          <w:sz w:val="22"/>
          <w:szCs w:val="22"/>
        </w:rPr>
        <w:lastRenderedPageBreak/>
        <w:t>УДК 636.5.03: 591.465.11</w:t>
      </w:r>
    </w:p>
    <w:p w:rsidR="008742E9" w:rsidRPr="008742E9" w:rsidRDefault="008742E9" w:rsidP="008742E9">
      <w:pPr>
        <w:jc w:val="center"/>
        <w:rPr>
          <w:b/>
          <w:sz w:val="22"/>
          <w:szCs w:val="22"/>
        </w:rPr>
      </w:pPr>
    </w:p>
    <w:p w:rsidR="008742E9" w:rsidRPr="008742E9" w:rsidRDefault="008742E9" w:rsidP="008742E9">
      <w:pPr>
        <w:tabs>
          <w:tab w:val="left" w:pos="851"/>
        </w:tabs>
        <w:jc w:val="center"/>
        <w:rPr>
          <w:b/>
          <w:sz w:val="24"/>
          <w:szCs w:val="22"/>
        </w:rPr>
      </w:pPr>
      <w:r w:rsidRPr="008742E9">
        <w:rPr>
          <w:b/>
          <w:sz w:val="24"/>
          <w:szCs w:val="22"/>
        </w:rPr>
        <w:t xml:space="preserve">Особенности проявления </w:t>
      </w:r>
    </w:p>
    <w:p w:rsidR="008742E9" w:rsidRPr="008742E9" w:rsidRDefault="008742E9" w:rsidP="008742E9">
      <w:pPr>
        <w:tabs>
          <w:tab w:val="left" w:pos="851"/>
        </w:tabs>
        <w:jc w:val="center"/>
        <w:rPr>
          <w:b/>
          <w:sz w:val="24"/>
          <w:szCs w:val="22"/>
        </w:rPr>
      </w:pPr>
      <w:r w:rsidRPr="008742E9">
        <w:rPr>
          <w:b/>
          <w:sz w:val="24"/>
          <w:szCs w:val="22"/>
        </w:rPr>
        <w:t xml:space="preserve">морфологических признаков яиц кур </w:t>
      </w:r>
    </w:p>
    <w:p w:rsidR="008742E9" w:rsidRPr="008742E9" w:rsidRDefault="008742E9" w:rsidP="008742E9">
      <w:pPr>
        <w:tabs>
          <w:tab w:val="left" w:pos="851"/>
        </w:tabs>
        <w:jc w:val="center"/>
        <w:rPr>
          <w:b/>
          <w:sz w:val="24"/>
          <w:szCs w:val="22"/>
          <w:lang w:val="en-US"/>
        </w:rPr>
      </w:pPr>
      <w:r w:rsidRPr="008742E9">
        <w:rPr>
          <w:b/>
          <w:sz w:val="24"/>
          <w:szCs w:val="22"/>
        </w:rPr>
        <w:t>в</w:t>
      </w:r>
      <w:r w:rsidRPr="008742E9">
        <w:rPr>
          <w:b/>
          <w:sz w:val="24"/>
          <w:szCs w:val="22"/>
          <w:lang w:val="en-US"/>
        </w:rPr>
        <w:t xml:space="preserve"> </w:t>
      </w:r>
      <w:r w:rsidRPr="008742E9">
        <w:rPr>
          <w:b/>
          <w:sz w:val="24"/>
          <w:szCs w:val="22"/>
        </w:rPr>
        <w:t>зависимости</w:t>
      </w:r>
      <w:r w:rsidRPr="008742E9">
        <w:rPr>
          <w:b/>
          <w:sz w:val="24"/>
          <w:szCs w:val="22"/>
          <w:lang w:val="en-US"/>
        </w:rPr>
        <w:t xml:space="preserve"> </w:t>
      </w:r>
      <w:r w:rsidRPr="008742E9">
        <w:rPr>
          <w:b/>
          <w:sz w:val="24"/>
          <w:szCs w:val="22"/>
        </w:rPr>
        <w:t>от</w:t>
      </w:r>
      <w:r w:rsidRPr="008742E9">
        <w:rPr>
          <w:b/>
          <w:sz w:val="24"/>
          <w:szCs w:val="22"/>
          <w:lang w:val="en-US"/>
        </w:rPr>
        <w:t xml:space="preserve"> </w:t>
      </w:r>
      <w:r w:rsidRPr="008742E9">
        <w:rPr>
          <w:b/>
          <w:sz w:val="24"/>
          <w:szCs w:val="22"/>
        </w:rPr>
        <w:t>направления</w:t>
      </w:r>
      <w:r w:rsidRPr="008742E9">
        <w:rPr>
          <w:b/>
          <w:sz w:val="24"/>
          <w:szCs w:val="22"/>
          <w:lang w:val="en-US"/>
        </w:rPr>
        <w:t xml:space="preserve"> </w:t>
      </w:r>
      <w:r w:rsidRPr="008742E9">
        <w:rPr>
          <w:b/>
          <w:sz w:val="24"/>
          <w:szCs w:val="22"/>
        </w:rPr>
        <w:t>продуктивности</w:t>
      </w:r>
    </w:p>
    <w:p w:rsidR="008742E9" w:rsidRPr="008742E9" w:rsidRDefault="008742E9" w:rsidP="008742E9">
      <w:pPr>
        <w:jc w:val="center"/>
        <w:rPr>
          <w:b/>
          <w:sz w:val="24"/>
          <w:szCs w:val="22"/>
          <w:lang w:val="en-US"/>
        </w:rPr>
      </w:pPr>
      <w:r w:rsidRPr="008742E9">
        <w:rPr>
          <w:b/>
          <w:sz w:val="24"/>
          <w:szCs w:val="22"/>
          <w:lang w:val="en-US"/>
        </w:rPr>
        <w:t xml:space="preserve">Features of manifestation of morphological characteristics of eggs of chickens depending on the direction </w:t>
      </w:r>
    </w:p>
    <w:p w:rsidR="008742E9" w:rsidRPr="008742E9" w:rsidRDefault="008742E9" w:rsidP="008742E9">
      <w:pPr>
        <w:jc w:val="center"/>
        <w:rPr>
          <w:b/>
          <w:sz w:val="24"/>
          <w:szCs w:val="22"/>
          <w:lang w:val="en-US"/>
        </w:rPr>
      </w:pPr>
      <w:r w:rsidRPr="008742E9">
        <w:rPr>
          <w:b/>
          <w:sz w:val="24"/>
          <w:szCs w:val="22"/>
          <w:lang w:val="en-US"/>
        </w:rPr>
        <w:t>of productivity</w:t>
      </w:r>
    </w:p>
    <w:p w:rsidR="008742E9" w:rsidRPr="008742E9" w:rsidRDefault="008742E9" w:rsidP="008742E9">
      <w:pPr>
        <w:rPr>
          <w:b/>
          <w:sz w:val="24"/>
          <w:szCs w:val="22"/>
          <w:lang w:val="en-US"/>
        </w:rPr>
      </w:pPr>
    </w:p>
    <w:p w:rsidR="008742E9" w:rsidRPr="00024398" w:rsidRDefault="008742E9" w:rsidP="008742E9">
      <w:pPr>
        <w:jc w:val="right"/>
        <w:rPr>
          <w:sz w:val="22"/>
          <w:szCs w:val="22"/>
          <w:lang w:val="en-US"/>
        </w:rPr>
      </w:pPr>
      <w:r w:rsidRPr="008742E9">
        <w:rPr>
          <w:sz w:val="22"/>
          <w:szCs w:val="22"/>
        </w:rPr>
        <w:t>Щербинина</w:t>
      </w:r>
      <w:r w:rsidRPr="00024398">
        <w:rPr>
          <w:sz w:val="22"/>
          <w:szCs w:val="22"/>
          <w:lang w:val="en-US"/>
        </w:rPr>
        <w:t xml:space="preserve"> </w:t>
      </w:r>
      <w:r w:rsidRPr="008742E9">
        <w:rPr>
          <w:sz w:val="22"/>
          <w:szCs w:val="22"/>
        </w:rPr>
        <w:t>М</w:t>
      </w:r>
      <w:r w:rsidRPr="00024398">
        <w:rPr>
          <w:sz w:val="22"/>
          <w:szCs w:val="22"/>
          <w:lang w:val="en-US"/>
        </w:rPr>
        <w:t>.</w:t>
      </w:r>
      <w:r w:rsidR="0064456F" w:rsidRPr="00024398">
        <w:rPr>
          <w:sz w:val="22"/>
          <w:szCs w:val="22"/>
          <w:lang w:val="en-US"/>
        </w:rPr>
        <w:t xml:space="preserve"> </w:t>
      </w:r>
      <w:r w:rsidRPr="008742E9">
        <w:rPr>
          <w:sz w:val="22"/>
          <w:szCs w:val="22"/>
        </w:rPr>
        <w:t>А</w:t>
      </w:r>
      <w:r w:rsidRPr="00024398">
        <w:rPr>
          <w:sz w:val="22"/>
          <w:szCs w:val="22"/>
          <w:lang w:val="en-US"/>
        </w:rPr>
        <w:t>.,</w:t>
      </w:r>
    </w:p>
    <w:p w:rsidR="008742E9" w:rsidRPr="008742E9" w:rsidRDefault="0064456F" w:rsidP="008742E9">
      <w:pPr>
        <w:jc w:val="right"/>
        <w:rPr>
          <w:sz w:val="22"/>
          <w:szCs w:val="22"/>
        </w:rPr>
      </w:pPr>
      <w:r>
        <w:rPr>
          <w:sz w:val="22"/>
          <w:szCs w:val="22"/>
        </w:rPr>
        <w:t>м</w:t>
      </w:r>
      <w:r w:rsidR="008742E9" w:rsidRPr="008742E9">
        <w:rPr>
          <w:sz w:val="22"/>
          <w:szCs w:val="22"/>
        </w:rPr>
        <w:t>агистрант 1-го курса факультета зоотехнии</w:t>
      </w:r>
    </w:p>
    <w:p w:rsidR="008742E9" w:rsidRPr="008742E9" w:rsidRDefault="008742E9" w:rsidP="008742E9">
      <w:pPr>
        <w:jc w:val="right"/>
        <w:rPr>
          <w:sz w:val="22"/>
          <w:szCs w:val="22"/>
        </w:rPr>
      </w:pPr>
      <w:r w:rsidRPr="008742E9">
        <w:rPr>
          <w:sz w:val="22"/>
          <w:szCs w:val="22"/>
        </w:rPr>
        <w:t>Щербатов В.</w:t>
      </w:r>
      <w:r w:rsidR="0064456F">
        <w:rPr>
          <w:sz w:val="22"/>
          <w:szCs w:val="22"/>
        </w:rPr>
        <w:t xml:space="preserve"> </w:t>
      </w:r>
      <w:r w:rsidRPr="008742E9">
        <w:rPr>
          <w:sz w:val="22"/>
          <w:szCs w:val="22"/>
        </w:rPr>
        <w:t>И.,</w:t>
      </w:r>
    </w:p>
    <w:p w:rsidR="008742E9" w:rsidRPr="008742E9" w:rsidRDefault="0064456F" w:rsidP="008742E9">
      <w:pPr>
        <w:jc w:val="right"/>
        <w:rPr>
          <w:sz w:val="22"/>
          <w:szCs w:val="22"/>
        </w:rPr>
      </w:pPr>
      <w:r>
        <w:rPr>
          <w:sz w:val="22"/>
          <w:szCs w:val="22"/>
        </w:rPr>
        <w:t>п</w:t>
      </w:r>
      <w:r w:rsidR="008742E9" w:rsidRPr="008742E9">
        <w:rPr>
          <w:sz w:val="22"/>
          <w:szCs w:val="22"/>
        </w:rPr>
        <w:t>рофессор каф</w:t>
      </w:r>
      <w:r>
        <w:rPr>
          <w:sz w:val="22"/>
          <w:szCs w:val="22"/>
        </w:rPr>
        <w:t>едры разведения с.-х. животных,</w:t>
      </w:r>
    </w:p>
    <w:p w:rsidR="008742E9" w:rsidRPr="008742E9" w:rsidRDefault="0064456F" w:rsidP="008742E9">
      <w:pPr>
        <w:jc w:val="right"/>
        <w:rPr>
          <w:sz w:val="22"/>
          <w:szCs w:val="22"/>
        </w:rPr>
      </w:pPr>
      <w:r>
        <w:rPr>
          <w:sz w:val="22"/>
          <w:szCs w:val="22"/>
        </w:rPr>
        <w:t>Кубанский государственный</w:t>
      </w:r>
    </w:p>
    <w:p w:rsidR="008742E9" w:rsidRPr="008742E9" w:rsidRDefault="008742E9" w:rsidP="008742E9">
      <w:pPr>
        <w:jc w:val="right"/>
        <w:rPr>
          <w:sz w:val="22"/>
          <w:szCs w:val="22"/>
        </w:rPr>
      </w:pPr>
      <w:r w:rsidRPr="008742E9">
        <w:rPr>
          <w:sz w:val="22"/>
          <w:szCs w:val="22"/>
        </w:rPr>
        <w:t>аграрный университет имени И.Т. Трубилина</w:t>
      </w:r>
    </w:p>
    <w:p w:rsidR="008742E9" w:rsidRPr="008742E9" w:rsidRDefault="008742E9" w:rsidP="008742E9">
      <w:pPr>
        <w:rPr>
          <w:sz w:val="22"/>
          <w:szCs w:val="22"/>
        </w:rPr>
      </w:pPr>
    </w:p>
    <w:p w:rsidR="008742E9" w:rsidRPr="008742E9" w:rsidRDefault="008742E9" w:rsidP="0064456F">
      <w:pPr>
        <w:ind w:firstLine="426"/>
        <w:jc w:val="both"/>
        <w:rPr>
          <w:sz w:val="22"/>
          <w:szCs w:val="22"/>
        </w:rPr>
      </w:pPr>
      <w:r w:rsidRPr="008742E9">
        <w:rPr>
          <w:sz w:val="22"/>
          <w:szCs w:val="22"/>
        </w:rPr>
        <w:t>АННОТАЦИЯ: Установлены особенности проявления морф</w:t>
      </w:r>
      <w:r w:rsidRPr="008742E9">
        <w:rPr>
          <w:sz w:val="22"/>
          <w:szCs w:val="22"/>
        </w:rPr>
        <w:t>о</w:t>
      </w:r>
      <w:r w:rsidRPr="008742E9">
        <w:rPr>
          <w:sz w:val="22"/>
          <w:szCs w:val="22"/>
        </w:rPr>
        <w:t>логических признаков яиц кур, которые  позволяют оценивать ма</w:t>
      </w:r>
      <w:r w:rsidRPr="008742E9">
        <w:rPr>
          <w:sz w:val="22"/>
          <w:szCs w:val="22"/>
        </w:rPr>
        <w:t>с</w:t>
      </w:r>
      <w:r w:rsidRPr="008742E9">
        <w:rPr>
          <w:sz w:val="22"/>
          <w:szCs w:val="22"/>
        </w:rPr>
        <w:t>су и долю желтка по физическим параметрам яиц.</w:t>
      </w:r>
    </w:p>
    <w:p w:rsidR="008742E9" w:rsidRPr="008742E9" w:rsidRDefault="008742E9" w:rsidP="0064456F">
      <w:pPr>
        <w:ind w:firstLine="426"/>
        <w:jc w:val="both"/>
        <w:rPr>
          <w:sz w:val="22"/>
          <w:szCs w:val="22"/>
          <w:lang w:val="en-US"/>
        </w:rPr>
      </w:pPr>
      <w:r w:rsidRPr="008742E9">
        <w:rPr>
          <w:sz w:val="22"/>
          <w:szCs w:val="22"/>
          <w:lang w:val="en-US"/>
        </w:rPr>
        <w:t>ABSTRACT: The peculiarities of manifestation of the morpholog</w:t>
      </w:r>
      <w:r w:rsidRPr="008742E9">
        <w:rPr>
          <w:sz w:val="22"/>
          <w:szCs w:val="22"/>
          <w:lang w:val="en-US"/>
        </w:rPr>
        <w:t>i</w:t>
      </w:r>
      <w:r w:rsidRPr="008742E9">
        <w:rPr>
          <w:sz w:val="22"/>
          <w:szCs w:val="22"/>
          <w:lang w:val="en-US"/>
        </w:rPr>
        <w:t>cal characteristics of eggs of chickens, which allow estimating the mass and the share of yolk according to the physical parameters of eggs, are established.</w:t>
      </w:r>
    </w:p>
    <w:p w:rsidR="008742E9" w:rsidRPr="008742E9" w:rsidRDefault="008742E9" w:rsidP="0064456F">
      <w:pPr>
        <w:ind w:firstLine="426"/>
        <w:jc w:val="both"/>
        <w:rPr>
          <w:sz w:val="22"/>
          <w:szCs w:val="22"/>
        </w:rPr>
      </w:pPr>
      <w:r w:rsidRPr="008742E9">
        <w:rPr>
          <w:sz w:val="22"/>
          <w:szCs w:val="22"/>
        </w:rPr>
        <w:t>КЛЮЧЕВЫЕ СЛОВА: желток, яйцо, масса яиц, корреляции.</w:t>
      </w:r>
    </w:p>
    <w:p w:rsidR="008742E9" w:rsidRPr="008742E9" w:rsidRDefault="008742E9" w:rsidP="0064456F">
      <w:pPr>
        <w:ind w:firstLine="426"/>
        <w:jc w:val="both"/>
        <w:rPr>
          <w:sz w:val="22"/>
          <w:szCs w:val="22"/>
          <w:lang w:val="en-US"/>
        </w:rPr>
      </w:pPr>
      <w:r w:rsidRPr="008742E9">
        <w:rPr>
          <w:sz w:val="22"/>
          <w:szCs w:val="22"/>
          <w:lang w:val="en-US"/>
        </w:rPr>
        <w:t>KEY WORDS: yolk, egg, egg mass, correlation.</w:t>
      </w:r>
    </w:p>
    <w:p w:rsidR="008742E9" w:rsidRPr="008742E9" w:rsidRDefault="008742E9" w:rsidP="0064456F">
      <w:pPr>
        <w:ind w:firstLine="426"/>
        <w:jc w:val="both"/>
        <w:rPr>
          <w:sz w:val="22"/>
          <w:szCs w:val="22"/>
          <w:lang w:val="en-US"/>
        </w:rPr>
      </w:pPr>
    </w:p>
    <w:p w:rsidR="008742E9" w:rsidRPr="008742E9" w:rsidRDefault="008742E9" w:rsidP="0064456F">
      <w:pPr>
        <w:ind w:firstLine="426"/>
        <w:jc w:val="both"/>
        <w:rPr>
          <w:sz w:val="22"/>
          <w:szCs w:val="22"/>
        </w:rPr>
      </w:pPr>
      <w:r w:rsidRPr="008742E9">
        <w:rPr>
          <w:sz w:val="22"/>
          <w:szCs w:val="22"/>
        </w:rPr>
        <w:t>Интенсивная селекция сельскохозяйственной птицы в после</w:t>
      </w:r>
      <w:r w:rsidRPr="008742E9">
        <w:rPr>
          <w:sz w:val="22"/>
          <w:szCs w:val="22"/>
        </w:rPr>
        <w:t>д</w:t>
      </w:r>
      <w:r w:rsidRPr="008742E9">
        <w:rPr>
          <w:sz w:val="22"/>
          <w:szCs w:val="22"/>
        </w:rPr>
        <w:t>ние годы позволила существенно повысить продуктивность мяса и яиц. Селекция яичных кур на высокую яйценоскость, а мясных кур на скорость роста и достижение высокой живой массы к сроку убоя бройлеров отразилось на росте и формировании эмбрионов и сроках инкубации птицы. В тоже время селекция на максимальное проя</w:t>
      </w:r>
      <w:r w:rsidRPr="008742E9">
        <w:rPr>
          <w:sz w:val="22"/>
          <w:szCs w:val="22"/>
        </w:rPr>
        <w:t>в</w:t>
      </w:r>
      <w:r w:rsidRPr="008742E9">
        <w:rPr>
          <w:sz w:val="22"/>
          <w:szCs w:val="22"/>
        </w:rPr>
        <w:t>ление продуктивности птицы привело к изменению морфологии яиц.</w:t>
      </w:r>
    </w:p>
    <w:p w:rsidR="008742E9" w:rsidRPr="008742E9" w:rsidRDefault="008742E9" w:rsidP="0064456F">
      <w:pPr>
        <w:ind w:firstLine="426"/>
        <w:jc w:val="both"/>
        <w:rPr>
          <w:sz w:val="22"/>
          <w:szCs w:val="22"/>
        </w:rPr>
      </w:pPr>
      <w:r w:rsidRPr="008742E9">
        <w:rPr>
          <w:sz w:val="22"/>
          <w:szCs w:val="22"/>
        </w:rPr>
        <w:t>Цель исследования: изучить морфологические особенности к</w:t>
      </w:r>
      <w:r w:rsidRPr="008742E9">
        <w:rPr>
          <w:sz w:val="22"/>
          <w:szCs w:val="22"/>
        </w:rPr>
        <w:t>у</w:t>
      </w:r>
      <w:r w:rsidRPr="008742E9">
        <w:rPr>
          <w:sz w:val="22"/>
          <w:szCs w:val="22"/>
        </w:rPr>
        <w:t>риных яиц в зависимости от направления продуктивности.</w:t>
      </w:r>
    </w:p>
    <w:p w:rsidR="008742E9" w:rsidRPr="008742E9" w:rsidRDefault="008742E9" w:rsidP="0064456F">
      <w:pPr>
        <w:ind w:firstLine="426"/>
        <w:jc w:val="both"/>
        <w:rPr>
          <w:sz w:val="22"/>
          <w:szCs w:val="22"/>
        </w:rPr>
      </w:pPr>
      <w:r w:rsidRPr="008742E9">
        <w:rPr>
          <w:sz w:val="22"/>
          <w:szCs w:val="22"/>
        </w:rPr>
        <w:lastRenderedPageBreak/>
        <w:t xml:space="preserve">Нами установлено, что отбор мясных кур на высокую живую массу молодняка сказался на увеличении доли желтка в яйцах в ущерб содержанию белка. Так для кросса </w:t>
      </w:r>
      <w:r w:rsidRPr="008742E9">
        <w:rPr>
          <w:sz w:val="22"/>
          <w:szCs w:val="22"/>
          <w:lang w:val="en-US"/>
        </w:rPr>
        <w:t>Ross</w:t>
      </w:r>
      <w:r w:rsidRPr="008742E9">
        <w:rPr>
          <w:sz w:val="22"/>
          <w:szCs w:val="22"/>
        </w:rPr>
        <w:t xml:space="preserve">-308 процент желтка был выше, чем 31,5%  от массы яйца. </w:t>
      </w:r>
    </w:p>
    <w:p w:rsidR="008742E9" w:rsidRPr="008742E9" w:rsidRDefault="008742E9" w:rsidP="0064456F">
      <w:pPr>
        <w:ind w:firstLine="426"/>
        <w:jc w:val="both"/>
        <w:rPr>
          <w:sz w:val="22"/>
          <w:szCs w:val="22"/>
        </w:rPr>
      </w:pPr>
      <w:r w:rsidRPr="008742E9">
        <w:rPr>
          <w:sz w:val="22"/>
          <w:szCs w:val="22"/>
        </w:rPr>
        <w:t>В тоже время селекция кур на высокую яйценоскость за пр</w:t>
      </w:r>
      <w:r w:rsidRPr="008742E9">
        <w:rPr>
          <w:sz w:val="22"/>
          <w:szCs w:val="22"/>
        </w:rPr>
        <w:t>о</w:t>
      </w:r>
      <w:r w:rsidRPr="008742E9">
        <w:rPr>
          <w:sz w:val="22"/>
          <w:szCs w:val="22"/>
        </w:rPr>
        <w:t>дуктивный период снизила долю желтка в яйцах кур яичных  кро</w:t>
      </w:r>
      <w:r w:rsidRPr="008742E9">
        <w:rPr>
          <w:sz w:val="22"/>
          <w:szCs w:val="22"/>
        </w:rPr>
        <w:t>с</w:t>
      </w:r>
      <w:r w:rsidRPr="008742E9">
        <w:rPr>
          <w:sz w:val="22"/>
          <w:szCs w:val="22"/>
        </w:rPr>
        <w:t>сов. Так у кур кросса Ломан Браун, доля желтка колеблется от 24% до 26,5%.</w:t>
      </w:r>
    </w:p>
    <w:p w:rsidR="008742E9" w:rsidRPr="008742E9" w:rsidRDefault="008742E9" w:rsidP="0064456F">
      <w:pPr>
        <w:ind w:firstLine="426"/>
        <w:jc w:val="both"/>
        <w:rPr>
          <w:sz w:val="22"/>
          <w:szCs w:val="22"/>
        </w:rPr>
      </w:pPr>
      <w:r w:rsidRPr="008742E9">
        <w:rPr>
          <w:sz w:val="22"/>
          <w:szCs w:val="22"/>
        </w:rPr>
        <w:t>Масса яйца и соотношение белка, желтка, скорлупы, одинаково важны как для инкубации, так и производства товарной продукции.</w:t>
      </w:r>
    </w:p>
    <w:p w:rsidR="008742E9" w:rsidRPr="008742E9" w:rsidRDefault="008742E9" w:rsidP="0064456F">
      <w:pPr>
        <w:ind w:firstLine="426"/>
        <w:jc w:val="both"/>
        <w:rPr>
          <w:sz w:val="22"/>
          <w:szCs w:val="22"/>
        </w:rPr>
      </w:pPr>
      <w:r w:rsidRPr="008742E9">
        <w:rPr>
          <w:sz w:val="22"/>
          <w:szCs w:val="22"/>
        </w:rPr>
        <w:t>Самым эффективным методом повышения массы яиц является  селекция птицы. Так же с увеличением  массы инкубационных яиц повышения массы суточного молодняка, что является одним из важнейших критериев продуктивности птицы.</w:t>
      </w:r>
    </w:p>
    <w:p w:rsidR="008742E9" w:rsidRPr="008742E9" w:rsidRDefault="008742E9" w:rsidP="0064456F">
      <w:pPr>
        <w:ind w:firstLine="426"/>
        <w:jc w:val="both"/>
        <w:rPr>
          <w:sz w:val="22"/>
          <w:szCs w:val="22"/>
        </w:rPr>
      </w:pPr>
      <w:r w:rsidRPr="008742E9">
        <w:rPr>
          <w:sz w:val="22"/>
          <w:szCs w:val="22"/>
        </w:rPr>
        <w:t>Масса желтка и соответственно доля его в яйце является опр</w:t>
      </w:r>
      <w:r w:rsidRPr="008742E9">
        <w:rPr>
          <w:sz w:val="22"/>
          <w:szCs w:val="22"/>
        </w:rPr>
        <w:t>е</w:t>
      </w:r>
      <w:r w:rsidRPr="008742E9">
        <w:rPr>
          <w:sz w:val="22"/>
          <w:szCs w:val="22"/>
        </w:rPr>
        <w:t>деляющим фактором эффективности оптимального развития э</w:t>
      </w:r>
      <w:r w:rsidRPr="008742E9">
        <w:rPr>
          <w:sz w:val="22"/>
          <w:szCs w:val="22"/>
        </w:rPr>
        <w:t>м</w:t>
      </w:r>
      <w:r w:rsidRPr="008742E9">
        <w:rPr>
          <w:sz w:val="22"/>
          <w:szCs w:val="22"/>
        </w:rPr>
        <w:t>бриона, так как в желтке запасены основные питательные вещества. Таким образом, определение массы желтка и его доли в яйце перед инкубацией является критерием успешного развития зародыша птицы.</w:t>
      </w:r>
    </w:p>
    <w:p w:rsidR="008742E9" w:rsidRPr="008742E9" w:rsidRDefault="008742E9" w:rsidP="0064456F">
      <w:pPr>
        <w:ind w:firstLine="426"/>
        <w:jc w:val="both"/>
        <w:rPr>
          <w:sz w:val="22"/>
          <w:szCs w:val="22"/>
        </w:rPr>
      </w:pPr>
      <w:r w:rsidRPr="008742E9">
        <w:rPr>
          <w:sz w:val="22"/>
          <w:szCs w:val="22"/>
        </w:rPr>
        <w:t xml:space="preserve">Нами установлено, что между массой яиц и массой желтка в яйце для мясных кур существует криволинейная связь от </w:t>
      </w:r>
    </w:p>
    <w:p w:rsidR="008742E9" w:rsidRPr="008742E9" w:rsidRDefault="008742E9" w:rsidP="0064456F">
      <w:pPr>
        <w:ind w:firstLine="426"/>
        <w:jc w:val="both"/>
        <w:rPr>
          <w:sz w:val="22"/>
          <w:szCs w:val="22"/>
        </w:rPr>
      </w:pPr>
      <w:r w:rsidRPr="008742E9">
        <w:rPr>
          <w:sz w:val="22"/>
          <w:szCs w:val="22"/>
          <w:lang w:val="en-US"/>
        </w:rPr>
        <w:t>r</w:t>
      </w:r>
      <w:r w:rsidRPr="008742E9">
        <w:rPr>
          <w:sz w:val="22"/>
          <w:szCs w:val="22"/>
        </w:rPr>
        <w:t xml:space="preserve">=+0,08 – + 0,58. </w:t>
      </w:r>
    </w:p>
    <w:p w:rsidR="008742E9" w:rsidRPr="008742E9" w:rsidRDefault="008742E9" w:rsidP="0064456F">
      <w:pPr>
        <w:ind w:firstLine="426"/>
        <w:jc w:val="both"/>
        <w:rPr>
          <w:sz w:val="22"/>
          <w:szCs w:val="22"/>
        </w:rPr>
      </w:pPr>
      <w:r w:rsidRPr="008742E9">
        <w:rPr>
          <w:sz w:val="22"/>
          <w:szCs w:val="22"/>
        </w:rPr>
        <w:t>Масса желтка и уровень связи с массой яйца возрастает с во</w:t>
      </w:r>
      <w:r w:rsidRPr="008742E9">
        <w:rPr>
          <w:sz w:val="22"/>
          <w:szCs w:val="22"/>
        </w:rPr>
        <w:t>з</w:t>
      </w:r>
      <w:r w:rsidRPr="008742E9">
        <w:rPr>
          <w:sz w:val="22"/>
          <w:szCs w:val="22"/>
        </w:rPr>
        <w:t>раста 240 дней.</w:t>
      </w:r>
    </w:p>
    <w:p w:rsidR="008742E9" w:rsidRPr="008742E9" w:rsidRDefault="008742E9" w:rsidP="0064456F">
      <w:pPr>
        <w:ind w:firstLine="426"/>
        <w:jc w:val="both"/>
        <w:rPr>
          <w:sz w:val="22"/>
          <w:szCs w:val="22"/>
        </w:rPr>
      </w:pPr>
      <w:r w:rsidRPr="008742E9">
        <w:rPr>
          <w:sz w:val="22"/>
          <w:szCs w:val="22"/>
        </w:rPr>
        <w:t xml:space="preserve">Для яйценоских кур в любом возрасте эти корреляции высокие и положительные: </w:t>
      </w:r>
      <w:r w:rsidRPr="008742E9">
        <w:rPr>
          <w:sz w:val="22"/>
          <w:szCs w:val="22"/>
          <w:lang w:val="en-US"/>
        </w:rPr>
        <w:t>r</w:t>
      </w:r>
      <w:r w:rsidRPr="008742E9">
        <w:rPr>
          <w:sz w:val="22"/>
          <w:szCs w:val="22"/>
        </w:rPr>
        <w:t>=+0,64 – +0,74.</w:t>
      </w:r>
    </w:p>
    <w:p w:rsidR="008742E9" w:rsidRPr="008742E9" w:rsidRDefault="008742E9" w:rsidP="0064456F">
      <w:pPr>
        <w:ind w:firstLine="426"/>
        <w:jc w:val="both"/>
        <w:rPr>
          <w:sz w:val="22"/>
          <w:szCs w:val="22"/>
        </w:rPr>
      </w:pPr>
      <w:r w:rsidRPr="008742E9">
        <w:rPr>
          <w:sz w:val="22"/>
          <w:szCs w:val="22"/>
        </w:rPr>
        <w:t>Интересен факт, что между массой скорлупы и массой яиц зн</w:t>
      </w:r>
      <w:r w:rsidRPr="008742E9">
        <w:rPr>
          <w:sz w:val="22"/>
          <w:szCs w:val="22"/>
        </w:rPr>
        <w:t>а</w:t>
      </w:r>
      <w:r w:rsidRPr="008742E9">
        <w:rPr>
          <w:sz w:val="22"/>
          <w:szCs w:val="22"/>
        </w:rPr>
        <w:t>чительные корреляции получены только для яичных кур.</w:t>
      </w:r>
    </w:p>
    <w:p w:rsidR="008742E9" w:rsidRPr="008742E9" w:rsidRDefault="008742E9" w:rsidP="0064456F">
      <w:pPr>
        <w:ind w:firstLine="426"/>
        <w:jc w:val="both"/>
        <w:rPr>
          <w:sz w:val="22"/>
          <w:szCs w:val="22"/>
        </w:rPr>
      </w:pPr>
      <w:r w:rsidRPr="008742E9">
        <w:rPr>
          <w:sz w:val="22"/>
          <w:szCs w:val="22"/>
        </w:rPr>
        <w:t>Одной из задач, решаемых во время исследования разработать математический метод определения массы желтка и его доли по ф</w:t>
      </w:r>
      <w:r w:rsidRPr="008742E9">
        <w:rPr>
          <w:sz w:val="22"/>
          <w:szCs w:val="22"/>
        </w:rPr>
        <w:t>и</w:t>
      </w:r>
      <w:r w:rsidRPr="008742E9">
        <w:rPr>
          <w:sz w:val="22"/>
          <w:szCs w:val="22"/>
        </w:rPr>
        <w:t>зическим параметрам яиц, не нарушая целостности скорлупы.</w:t>
      </w:r>
    </w:p>
    <w:p w:rsidR="008742E9" w:rsidRPr="008742E9" w:rsidRDefault="008742E9" w:rsidP="0064456F">
      <w:pPr>
        <w:ind w:firstLine="426"/>
        <w:jc w:val="both"/>
        <w:rPr>
          <w:sz w:val="22"/>
          <w:szCs w:val="22"/>
        </w:rPr>
      </w:pPr>
      <w:r w:rsidRPr="008742E9">
        <w:rPr>
          <w:sz w:val="22"/>
          <w:szCs w:val="22"/>
        </w:rPr>
        <w:t>Уровень корреляции установил, что массу желтка в яйце с д</w:t>
      </w:r>
      <w:r w:rsidRPr="008742E9">
        <w:rPr>
          <w:sz w:val="22"/>
          <w:szCs w:val="22"/>
        </w:rPr>
        <w:t>о</w:t>
      </w:r>
      <w:r w:rsidRPr="008742E9">
        <w:rPr>
          <w:sz w:val="22"/>
          <w:szCs w:val="22"/>
        </w:rPr>
        <w:t>статочной точностью могут характеризовать промеры большого и малого диаметров яйца.</w:t>
      </w:r>
    </w:p>
    <w:p w:rsidR="008742E9" w:rsidRPr="008742E9" w:rsidRDefault="008742E9" w:rsidP="0064456F">
      <w:pPr>
        <w:ind w:firstLine="426"/>
        <w:jc w:val="both"/>
        <w:rPr>
          <w:sz w:val="22"/>
          <w:szCs w:val="22"/>
        </w:rPr>
      </w:pPr>
      <w:r w:rsidRPr="008742E9">
        <w:rPr>
          <w:sz w:val="22"/>
          <w:szCs w:val="22"/>
        </w:rPr>
        <w:t>Установленные коэффициенты зависимости между физическ</w:t>
      </w:r>
      <w:r w:rsidRPr="008742E9">
        <w:rPr>
          <w:sz w:val="22"/>
          <w:szCs w:val="22"/>
        </w:rPr>
        <w:t>и</w:t>
      </w:r>
      <w:r w:rsidRPr="008742E9">
        <w:rPr>
          <w:sz w:val="22"/>
          <w:szCs w:val="22"/>
        </w:rPr>
        <w:t>ми параметрами яиц и их содержимым позволяют разработать алг</w:t>
      </w:r>
      <w:r w:rsidRPr="008742E9">
        <w:rPr>
          <w:sz w:val="22"/>
          <w:szCs w:val="22"/>
        </w:rPr>
        <w:t>о</w:t>
      </w:r>
      <w:r w:rsidRPr="008742E9">
        <w:rPr>
          <w:sz w:val="22"/>
          <w:szCs w:val="22"/>
        </w:rPr>
        <w:lastRenderedPageBreak/>
        <w:t>ритм определения доли желтка в яйце яичных и мясных кур, не нарушая целостности скорлупы.</w:t>
      </w:r>
    </w:p>
    <w:p w:rsidR="008742E9" w:rsidRPr="008742E9" w:rsidRDefault="008742E9" w:rsidP="0064456F">
      <w:pPr>
        <w:ind w:firstLine="426"/>
        <w:jc w:val="center"/>
        <w:rPr>
          <w:sz w:val="22"/>
          <w:szCs w:val="22"/>
        </w:rPr>
      </w:pPr>
    </w:p>
    <w:p w:rsidR="008742E9" w:rsidRPr="008742E9" w:rsidRDefault="008742E9" w:rsidP="0064456F">
      <w:pPr>
        <w:ind w:firstLine="426"/>
        <w:jc w:val="center"/>
        <w:rPr>
          <w:sz w:val="22"/>
          <w:szCs w:val="22"/>
        </w:rPr>
      </w:pPr>
      <w:r w:rsidRPr="008742E9">
        <w:rPr>
          <w:sz w:val="22"/>
          <w:szCs w:val="22"/>
        </w:rPr>
        <w:t>Список литературы</w:t>
      </w:r>
    </w:p>
    <w:p w:rsidR="008742E9" w:rsidRPr="008742E9" w:rsidRDefault="008742E9" w:rsidP="0064456F">
      <w:pPr>
        <w:ind w:firstLine="426"/>
        <w:jc w:val="both"/>
        <w:rPr>
          <w:sz w:val="22"/>
          <w:szCs w:val="22"/>
        </w:rPr>
      </w:pPr>
      <w:r w:rsidRPr="008742E9">
        <w:rPr>
          <w:sz w:val="22"/>
          <w:szCs w:val="22"/>
        </w:rPr>
        <w:t>1. Васильев В. Влияние Ферросила на качество яиц / В. Васил</w:t>
      </w:r>
      <w:r w:rsidRPr="008742E9">
        <w:rPr>
          <w:sz w:val="22"/>
          <w:szCs w:val="22"/>
        </w:rPr>
        <w:t>ь</w:t>
      </w:r>
      <w:r w:rsidRPr="008742E9">
        <w:rPr>
          <w:sz w:val="22"/>
          <w:szCs w:val="22"/>
        </w:rPr>
        <w:t>ев // Птицеводство. – 2009. - № 9 – С. 43.</w:t>
      </w:r>
    </w:p>
    <w:p w:rsidR="008742E9" w:rsidRPr="008742E9" w:rsidRDefault="008742E9" w:rsidP="0064456F">
      <w:pPr>
        <w:ind w:firstLine="426"/>
        <w:jc w:val="both"/>
        <w:rPr>
          <w:sz w:val="22"/>
          <w:szCs w:val="22"/>
        </w:rPr>
      </w:pPr>
      <w:r w:rsidRPr="008742E9">
        <w:rPr>
          <w:sz w:val="22"/>
          <w:szCs w:val="22"/>
        </w:rPr>
        <w:t>2. В.И. Щербатов, Смирнова Л.И., Щербатов О.В. Инкубация яиц сельскохозяйственной птицы/Монография, 2016. – Краснодар КубГАУ. – С.117-119.</w:t>
      </w:r>
    </w:p>
    <w:p w:rsidR="008742E9" w:rsidRPr="008742E9" w:rsidRDefault="008742E9" w:rsidP="0064456F">
      <w:pPr>
        <w:ind w:firstLine="426"/>
        <w:jc w:val="both"/>
        <w:rPr>
          <w:sz w:val="22"/>
          <w:szCs w:val="22"/>
        </w:rPr>
      </w:pPr>
      <w:r w:rsidRPr="008742E9">
        <w:rPr>
          <w:sz w:val="22"/>
          <w:szCs w:val="22"/>
        </w:rPr>
        <w:t>3. Дядичкина Л. Продуктивность и однородность цыплят, в</w:t>
      </w:r>
      <w:r w:rsidRPr="008742E9">
        <w:rPr>
          <w:sz w:val="22"/>
          <w:szCs w:val="22"/>
        </w:rPr>
        <w:t>ы</w:t>
      </w:r>
      <w:r w:rsidRPr="008742E9">
        <w:rPr>
          <w:sz w:val="22"/>
          <w:szCs w:val="22"/>
        </w:rPr>
        <w:t>веденных из калиброванных яиц / Л. Дядичкина  // Птицеводство. – 2008. - № 2 – С. 21-23.</w:t>
      </w:r>
    </w:p>
    <w:p w:rsidR="008742E9" w:rsidRPr="008742E9" w:rsidRDefault="008742E9" w:rsidP="0064456F">
      <w:pPr>
        <w:ind w:firstLine="426"/>
        <w:jc w:val="both"/>
        <w:rPr>
          <w:sz w:val="22"/>
          <w:szCs w:val="22"/>
        </w:rPr>
      </w:pPr>
      <w:r w:rsidRPr="008742E9">
        <w:rPr>
          <w:sz w:val="22"/>
          <w:szCs w:val="22"/>
        </w:rPr>
        <w:t>4. Журавлев И.В. Связь массы желтка яиц с репродуктивными признаками мясных кур / И. В. Журавлев, А. В. Саламатин, В.И. Фисинин //Доклады РАСХН. – 2002. - № 4 – С. 21.-23.</w:t>
      </w:r>
    </w:p>
    <w:p w:rsidR="008742E9" w:rsidRPr="008742E9" w:rsidRDefault="008742E9" w:rsidP="008742E9">
      <w:pPr>
        <w:spacing w:after="200" w:line="276" w:lineRule="auto"/>
        <w:rPr>
          <w:sz w:val="22"/>
          <w:szCs w:val="22"/>
        </w:rPr>
      </w:pPr>
    </w:p>
    <w:p w:rsidR="008742E9" w:rsidRDefault="008742E9" w:rsidP="003E7A0B">
      <w:pPr>
        <w:jc w:val="both"/>
        <w:rPr>
          <w:sz w:val="22"/>
          <w:szCs w:val="22"/>
        </w:rPr>
      </w:pPr>
    </w:p>
    <w:p w:rsidR="00451253" w:rsidRDefault="00451253" w:rsidP="00B43BBC">
      <w:pPr>
        <w:ind w:firstLine="426"/>
        <w:rPr>
          <w:sz w:val="22"/>
          <w:szCs w:val="22"/>
        </w:rPr>
      </w:pPr>
      <w:r>
        <w:rPr>
          <w:sz w:val="22"/>
          <w:szCs w:val="22"/>
        </w:rPr>
        <w:br w:type="page"/>
      </w:r>
    </w:p>
    <w:p w:rsidR="00451253" w:rsidRPr="007159E1" w:rsidRDefault="00451253" w:rsidP="00B43BBC">
      <w:pPr>
        <w:ind w:firstLine="426"/>
        <w:jc w:val="center"/>
        <w:rPr>
          <w:rFonts w:eastAsia="Calibri"/>
          <w:b/>
        </w:rPr>
      </w:pPr>
      <w:r w:rsidRPr="00D41649">
        <w:rPr>
          <w:rFonts w:eastAsia="Calibri"/>
          <w:b/>
        </w:rPr>
        <w:lastRenderedPageBreak/>
        <w:t>Факультет</w:t>
      </w:r>
      <w:r w:rsidRPr="007159E1">
        <w:rPr>
          <w:rFonts w:eastAsia="Calibri"/>
          <w:b/>
        </w:rPr>
        <w:t xml:space="preserve"> </w:t>
      </w:r>
      <w:r w:rsidRPr="00D41649">
        <w:rPr>
          <w:rFonts w:eastAsia="Calibri"/>
          <w:b/>
        </w:rPr>
        <w:t>механизации</w:t>
      </w:r>
    </w:p>
    <w:p w:rsidR="00451253" w:rsidRDefault="00451253" w:rsidP="00B43BBC">
      <w:pPr>
        <w:pStyle w:val="31"/>
        <w:rPr>
          <w:sz w:val="22"/>
          <w:szCs w:val="22"/>
        </w:rPr>
      </w:pPr>
    </w:p>
    <w:p w:rsidR="00E73FF0" w:rsidRDefault="00E73FF0" w:rsidP="00E73FF0">
      <w:pPr>
        <w:contextualSpacing/>
        <w:rPr>
          <w:color w:val="000000"/>
          <w:sz w:val="22"/>
          <w:szCs w:val="22"/>
        </w:rPr>
      </w:pPr>
      <w:r w:rsidRPr="0064456F">
        <w:rPr>
          <w:color w:val="000000"/>
          <w:sz w:val="22"/>
          <w:szCs w:val="22"/>
        </w:rPr>
        <w:t xml:space="preserve">УДК 631.312.6 </w:t>
      </w:r>
    </w:p>
    <w:p w:rsidR="0064456F" w:rsidRPr="0064456F" w:rsidRDefault="0064456F" w:rsidP="00E73FF0">
      <w:pPr>
        <w:contextualSpacing/>
        <w:rPr>
          <w:color w:val="000000"/>
          <w:sz w:val="22"/>
          <w:szCs w:val="22"/>
        </w:rPr>
      </w:pPr>
    </w:p>
    <w:p w:rsidR="00E73FF0" w:rsidRPr="00E73FF0" w:rsidRDefault="00E73FF0" w:rsidP="00E73FF0">
      <w:pPr>
        <w:contextualSpacing/>
        <w:jc w:val="center"/>
        <w:rPr>
          <w:b/>
          <w:color w:val="000000"/>
          <w:sz w:val="24"/>
          <w:szCs w:val="24"/>
        </w:rPr>
      </w:pPr>
      <w:r w:rsidRPr="00E73FF0">
        <w:rPr>
          <w:b/>
          <w:color w:val="000000"/>
          <w:sz w:val="24"/>
          <w:szCs w:val="24"/>
        </w:rPr>
        <w:t>Развитие сельскохозяйственных процессов в современных экономических условиях</w:t>
      </w:r>
    </w:p>
    <w:p w:rsidR="00E73FF0" w:rsidRPr="00E73FF0" w:rsidRDefault="00E73FF0" w:rsidP="00E73FF0">
      <w:pPr>
        <w:contextualSpacing/>
        <w:jc w:val="center"/>
        <w:rPr>
          <w:b/>
          <w:color w:val="000000"/>
          <w:szCs w:val="24"/>
          <w:lang w:val="en-US"/>
        </w:rPr>
      </w:pPr>
      <w:r w:rsidRPr="00E73FF0">
        <w:rPr>
          <w:rFonts w:eastAsiaTheme="minorHAnsi"/>
          <w:b/>
          <w:sz w:val="24"/>
          <w:szCs w:val="22"/>
          <w:lang w:val="en-US" w:eastAsia="en-US"/>
        </w:rPr>
        <w:t>Technology of development of agricultural processes in mo</w:t>
      </w:r>
      <w:r w:rsidRPr="00E73FF0">
        <w:rPr>
          <w:rFonts w:eastAsiaTheme="minorHAnsi"/>
          <w:b/>
          <w:sz w:val="24"/>
          <w:szCs w:val="22"/>
          <w:lang w:val="en-US" w:eastAsia="en-US"/>
        </w:rPr>
        <w:t>d</w:t>
      </w:r>
      <w:r w:rsidRPr="00E73FF0">
        <w:rPr>
          <w:rFonts w:eastAsiaTheme="minorHAnsi"/>
          <w:b/>
          <w:sz w:val="24"/>
          <w:szCs w:val="22"/>
          <w:lang w:val="en-US" w:eastAsia="en-US"/>
        </w:rPr>
        <w:t>ern economic conditions</w:t>
      </w:r>
    </w:p>
    <w:p w:rsidR="00E73FF0" w:rsidRPr="0064456F" w:rsidRDefault="00E73FF0" w:rsidP="00E73FF0">
      <w:pPr>
        <w:contextualSpacing/>
        <w:jc w:val="right"/>
        <w:rPr>
          <w:color w:val="000000"/>
          <w:sz w:val="22"/>
          <w:szCs w:val="22"/>
          <w:lang w:val="en-US"/>
        </w:rPr>
      </w:pPr>
    </w:p>
    <w:p w:rsidR="00E73FF0" w:rsidRPr="0064456F" w:rsidRDefault="00E73FF0" w:rsidP="00E73FF0">
      <w:pPr>
        <w:contextualSpacing/>
        <w:jc w:val="right"/>
        <w:rPr>
          <w:color w:val="000000"/>
          <w:sz w:val="22"/>
          <w:szCs w:val="22"/>
        </w:rPr>
      </w:pPr>
      <w:r w:rsidRPr="0064456F">
        <w:rPr>
          <w:color w:val="000000"/>
          <w:sz w:val="22"/>
          <w:szCs w:val="22"/>
        </w:rPr>
        <w:t>Белоусова А.</w:t>
      </w:r>
      <w:r w:rsidR="0064456F">
        <w:rPr>
          <w:color w:val="000000"/>
          <w:sz w:val="22"/>
          <w:szCs w:val="22"/>
        </w:rPr>
        <w:t xml:space="preserve"> </w:t>
      </w:r>
      <w:r w:rsidRPr="0064456F">
        <w:rPr>
          <w:color w:val="000000"/>
          <w:sz w:val="22"/>
          <w:szCs w:val="22"/>
        </w:rPr>
        <w:t>И.</w:t>
      </w:r>
      <w:r w:rsidR="0064456F">
        <w:rPr>
          <w:color w:val="000000"/>
          <w:sz w:val="22"/>
          <w:szCs w:val="22"/>
        </w:rPr>
        <w:t>,</w:t>
      </w:r>
    </w:p>
    <w:p w:rsidR="0064456F" w:rsidRDefault="00E73FF0" w:rsidP="00E73FF0">
      <w:pPr>
        <w:contextualSpacing/>
        <w:jc w:val="right"/>
        <w:rPr>
          <w:rFonts w:eastAsiaTheme="minorHAnsi"/>
          <w:sz w:val="22"/>
          <w:szCs w:val="22"/>
          <w:lang w:eastAsia="en-US"/>
        </w:rPr>
      </w:pPr>
      <w:r w:rsidRPr="0064456F">
        <w:rPr>
          <w:rFonts w:eastAsiaTheme="minorHAnsi"/>
          <w:sz w:val="22"/>
          <w:szCs w:val="22"/>
          <w:lang w:eastAsia="en-US"/>
        </w:rPr>
        <w:t>магистрант 2-го курса</w:t>
      </w:r>
    </w:p>
    <w:p w:rsidR="00E73FF0" w:rsidRPr="0064456F" w:rsidRDefault="0064456F" w:rsidP="00E73FF0">
      <w:pPr>
        <w:contextualSpacing/>
        <w:jc w:val="right"/>
        <w:rPr>
          <w:color w:val="000000"/>
          <w:sz w:val="22"/>
          <w:szCs w:val="22"/>
        </w:rPr>
      </w:pPr>
      <w:r>
        <w:rPr>
          <w:rFonts w:eastAsiaTheme="minorHAnsi"/>
          <w:sz w:val="22"/>
          <w:szCs w:val="22"/>
          <w:lang w:eastAsia="en-US"/>
        </w:rPr>
        <w:t>факультета п</w:t>
      </w:r>
      <w:r w:rsidR="00E73FF0" w:rsidRPr="0064456F">
        <w:rPr>
          <w:rFonts w:eastAsiaTheme="minorHAnsi"/>
          <w:sz w:val="22"/>
          <w:szCs w:val="22"/>
          <w:lang w:eastAsia="en-US"/>
        </w:rPr>
        <w:t>ерерабатывающих технологий</w:t>
      </w:r>
    </w:p>
    <w:p w:rsidR="00E73FF0" w:rsidRPr="0064456F" w:rsidRDefault="00E73FF0" w:rsidP="00E73FF0">
      <w:pPr>
        <w:contextualSpacing/>
        <w:jc w:val="right"/>
        <w:rPr>
          <w:color w:val="000000"/>
          <w:sz w:val="22"/>
          <w:szCs w:val="22"/>
        </w:rPr>
      </w:pPr>
      <w:r w:rsidRPr="0064456F">
        <w:rPr>
          <w:color w:val="000000"/>
          <w:sz w:val="22"/>
          <w:szCs w:val="22"/>
        </w:rPr>
        <w:t xml:space="preserve"> Белоусов С.</w:t>
      </w:r>
      <w:r w:rsidR="0064456F">
        <w:rPr>
          <w:color w:val="000000"/>
          <w:sz w:val="22"/>
          <w:szCs w:val="22"/>
        </w:rPr>
        <w:t xml:space="preserve"> </w:t>
      </w:r>
      <w:r w:rsidRPr="0064456F">
        <w:rPr>
          <w:color w:val="000000"/>
          <w:sz w:val="22"/>
          <w:szCs w:val="22"/>
        </w:rPr>
        <w:t>В.</w:t>
      </w:r>
      <w:r w:rsidR="0064456F">
        <w:rPr>
          <w:color w:val="000000"/>
          <w:sz w:val="22"/>
          <w:szCs w:val="22"/>
        </w:rPr>
        <w:t>,</w:t>
      </w:r>
    </w:p>
    <w:p w:rsidR="00E73FF0" w:rsidRPr="0064456F" w:rsidRDefault="00E73FF0" w:rsidP="00E73FF0">
      <w:pPr>
        <w:ind w:firstLine="426"/>
        <w:jc w:val="right"/>
        <w:rPr>
          <w:rFonts w:eastAsiaTheme="minorHAnsi"/>
          <w:sz w:val="22"/>
          <w:szCs w:val="22"/>
          <w:lang w:eastAsia="en-US"/>
        </w:rPr>
      </w:pPr>
      <w:r w:rsidRPr="0064456F">
        <w:rPr>
          <w:rFonts w:eastAsiaTheme="minorHAnsi"/>
          <w:sz w:val="22"/>
          <w:szCs w:val="22"/>
          <w:lang w:eastAsia="en-US"/>
        </w:rPr>
        <w:t>старший преподаватель ка</w:t>
      </w:r>
      <w:r w:rsidR="0064456F">
        <w:rPr>
          <w:rFonts w:eastAsiaTheme="minorHAnsi"/>
          <w:sz w:val="22"/>
          <w:szCs w:val="22"/>
          <w:lang w:eastAsia="en-US"/>
        </w:rPr>
        <w:t>федры</w:t>
      </w:r>
    </w:p>
    <w:p w:rsidR="00E73FF0" w:rsidRPr="0064456F" w:rsidRDefault="00E73FF0" w:rsidP="00E73FF0">
      <w:pPr>
        <w:ind w:firstLine="426"/>
        <w:jc w:val="right"/>
        <w:rPr>
          <w:rFonts w:eastAsiaTheme="minorHAnsi"/>
          <w:sz w:val="22"/>
          <w:szCs w:val="22"/>
          <w:lang w:eastAsia="en-US"/>
        </w:rPr>
      </w:pPr>
      <w:r w:rsidRPr="0064456F">
        <w:rPr>
          <w:rFonts w:eastAsiaTheme="minorHAnsi"/>
          <w:sz w:val="22"/>
          <w:szCs w:val="22"/>
          <w:lang w:eastAsia="en-US"/>
        </w:rPr>
        <w:t>«Процессы и машины в агробизнесе»</w:t>
      </w:r>
    </w:p>
    <w:p w:rsidR="00E73FF0" w:rsidRPr="0064456F" w:rsidRDefault="00E73FF0" w:rsidP="00E73FF0">
      <w:pPr>
        <w:widowControl w:val="0"/>
        <w:tabs>
          <w:tab w:val="left" w:pos="8223"/>
        </w:tabs>
        <w:jc w:val="right"/>
        <w:rPr>
          <w:rFonts w:eastAsia="Courier New"/>
          <w:color w:val="000000"/>
          <w:sz w:val="22"/>
          <w:szCs w:val="22"/>
          <w:lang w:eastAsia="en-US"/>
        </w:rPr>
      </w:pPr>
      <w:r w:rsidRPr="0064456F">
        <w:rPr>
          <w:rFonts w:eastAsia="Courier New"/>
          <w:color w:val="000000"/>
          <w:sz w:val="22"/>
          <w:szCs w:val="22"/>
          <w:lang w:eastAsia="en-US"/>
        </w:rPr>
        <w:t>Куб</w:t>
      </w:r>
      <w:r w:rsidR="0064456F">
        <w:rPr>
          <w:rFonts w:eastAsia="Courier New"/>
          <w:color w:val="000000"/>
          <w:sz w:val="22"/>
          <w:szCs w:val="22"/>
          <w:lang w:eastAsia="en-US"/>
        </w:rPr>
        <w:t>анский государственный аграрный</w:t>
      </w:r>
    </w:p>
    <w:p w:rsidR="00E73FF0" w:rsidRPr="0064456F" w:rsidRDefault="00E73FF0" w:rsidP="00E73FF0">
      <w:pPr>
        <w:widowControl w:val="0"/>
        <w:autoSpaceDE w:val="0"/>
        <w:autoSpaceDN w:val="0"/>
        <w:adjustRightInd w:val="0"/>
        <w:spacing w:after="240"/>
        <w:jc w:val="right"/>
        <w:rPr>
          <w:sz w:val="22"/>
          <w:szCs w:val="22"/>
        </w:rPr>
      </w:pPr>
      <w:r w:rsidRPr="0064456F">
        <w:rPr>
          <w:rFonts w:eastAsia="Courier New"/>
          <w:color w:val="000000"/>
          <w:sz w:val="22"/>
          <w:szCs w:val="22"/>
          <w:lang w:eastAsia="en-US"/>
        </w:rPr>
        <w:t>университет имени И.</w:t>
      </w:r>
      <w:r w:rsidR="0064456F">
        <w:rPr>
          <w:rFonts w:eastAsia="Courier New"/>
          <w:color w:val="000000"/>
          <w:sz w:val="22"/>
          <w:szCs w:val="22"/>
          <w:lang w:eastAsia="en-US"/>
        </w:rPr>
        <w:t xml:space="preserve"> </w:t>
      </w:r>
      <w:r w:rsidRPr="0064456F">
        <w:rPr>
          <w:rFonts w:eastAsia="Courier New"/>
          <w:color w:val="000000"/>
          <w:sz w:val="22"/>
          <w:szCs w:val="22"/>
          <w:lang w:eastAsia="en-US"/>
        </w:rPr>
        <w:t>Т. Трубилина</w:t>
      </w:r>
    </w:p>
    <w:p w:rsidR="00E73FF0" w:rsidRPr="00E73FF0" w:rsidRDefault="00E73FF0" w:rsidP="00E73FF0">
      <w:pPr>
        <w:widowControl w:val="0"/>
        <w:autoSpaceDE w:val="0"/>
        <w:autoSpaceDN w:val="0"/>
        <w:adjustRightInd w:val="0"/>
        <w:ind w:firstLine="426"/>
        <w:jc w:val="both"/>
        <w:rPr>
          <w:sz w:val="22"/>
          <w:szCs w:val="22"/>
        </w:rPr>
      </w:pPr>
      <w:r w:rsidRPr="00E73FF0">
        <w:rPr>
          <w:sz w:val="22"/>
          <w:szCs w:val="22"/>
        </w:rPr>
        <w:t>АННОТАЦИЯ: В статье рассмотрен вопрос развития сельского хозяйства в современных экономических условиях на примере условий импортозамещения в разрезе современного машиностро</w:t>
      </w:r>
      <w:r w:rsidRPr="00E73FF0">
        <w:rPr>
          <w:sz w:val="22"/>
          <w:szCs w:val="22"/>
        </w:rPr>
        <w:t>е</w:t>
      </w:r>
      <w:r w:rsidRPr="00E73FF0">
        <w:rPr>
          <w:sz w:val="22"/>
          <w:szCs w:val="22"/>
        </w:rPr>
        <w:t>ния. Представлены замена ручного труда механизированным. Сд</w:t>
      </w:r>
      <w:r w:rsidRPr="00E73FF0">
        <w:rPr>
          <w:sz w:val="22"/>
          <w:szCs w:val="22"/>
        </w:rPr>
        <w:t>е</w:t>
      </w:r>
      <w:r w:rsidRPr="00E73FF0">
        <w:rPr>
          <w:sz w:val="22"/>
          <w:szCs w:val="22"/>
        </w:rPr>
        <w:t>ланы краткие выводы, обозначены вопросы для дальнейшего ра</w:t>
      </w:r>
      <w:r w:rsidRPr="00E73FF0">
        <w:rPr>
          <w:sz w:val="22"/>
          <w:szCs w:val="22"/>
        </w:rPr>
        <w:t>с</w:t>
      </w:r>
      <w:r w:rsidRPr="00E73FF0">
        <w:rPr>
          <w:sz w:val="22"/>
          <w:szCs w:val="22"/>
        </w:rPr>
        <w:t xml:space="preserve">смотрения. </w:t>
      </w: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lang w:val="en-US"/>
        </w:rPr>
        <w:t>ANNOTATION:</w:t>
      </w:r>
      <w:r w:rsidRPr="00E73FF0">
        <w:rPr>
          <w:rFonts w:eastAsiaTheme="minorHAnsi"/>
          <w:sz w:val="22"/>
          <w:szCs w:val="22"/>
          <w:lang w:val="en-US" w:eastAsia="en-US"/>
        </w:rPr>
        <w:t xml:space="preserve"> In the article the question of development of agr</w:t>
      </w:r>
      <w:r w:rsidRPr="00E73FF0">
        <w:rPr>
          <w:rFonts w:eastAsiaTheme="minorHAnsi"/>
          <w:sz w:val="22"/>
          <w:szCs w:val="22"/>
          <w:lang w:val="en-US" w:eastAsia="en-US"/>
        </w:rPr>
        <w:t>i</w:t>
      </w:r>
      <w:r w:rsidRPr="00E73FF0">
        <w:rPr>
          <w:rFonts w:eastAsiaTheme="minorHAnsi"/>
          <w:sz w:val="22"/>
          <w:szCs w:val="22"/>
          <w:lang w:val="en-US" w:eastAsia="en-US"/>
        </w:rPr>
        <w:t>culture in modern economic conditions on an example of conditions of import substitution in a cut of modern mechanical engineering is consi</w:t>
      </w:r>
      <w:r w:rsidRPr="00E73FF0">
        <w:rPr>
          <w:rFonts w:eastAsiaTheme="minorHAnsi"/>
          <w:sz w:val="22"/>
          <w:szCs w:val="22"/>
          <w:lang w:val="en-US" w:eastAsia="en-US"/>
        </w:rPr>
        <w:t>d</w:t>
      </w:r>
      <w:r w:rsidRPr="00E73FF0">
        <w:rPr>
          <w:rFonts w:eastAsiaTheme="minorHAnsi"/>
          <w:sz w:val="22"/>
          <w:szCs w:val="22"/>
          <w:lang w:val="en-US" w:eastAsia="en-US"/>
        </w:rPr>
        <w:t>ered. Replacement manual labor mechanized. Conclusions are made, questions are identified for further consideration.</w:t>
      </w:r>
    </w:p>
    <w:p w:rsidR="00E73FF0" w:rsidRPr="00E73FF0" w:rsidRDefault="00E73FF0" w:rsidP="00E73FF0">
      <w:pPr>
        <w:widowControl w:val="0"/>
        <w:autoSpaceDE w:val="0"/>
        <w:autoSpaceDN w:val="0"/>
        <w:adjustRightInd w:val="0"/>
        <w:ind w:firstLine="426"/>
        <w:jc w:val="both"/>
        <w:rPr>
          <w:spacing w:val="-4"/>
          <w:sz w:val="22"/>
          <w:szCs w:val="22"/>
        </w:rPr>
      </w:pPr>
      <w:r w:rsidRPr="00E73FF0">
        <w:rPr>
          <w:spacing w:val="-4"/>
          <w:sz w:val="22"/>
          <w:szCs w:val="22"/>
        </w:rPr>
        <w:t>КЛЮЧЕВЫЕ СЛОВА: Экономика, парк техники, хозяйство, з</w:t>
      </w:r>
      <w:r w:rsidRPr="00E73FF0">
        <w:rPr>
          <w:spacing w:val="-4"/>
          <w:sz w:val="22"/>
          <w:szCs w:val="22"/>
        </w:rPr>
        <w:t>а</w:t>
      </w:r>
      <w:r w:rsidRPr="00E73FF0">
        <w:rPr>
          <w:spacing w:val="-4"/>
          <w:sz w:val="22"/>
          <w:szCs w:val="22"/>
        </w:rPr>
        <w:t xml:space="preserve">мещение импорта, </w:t>
      </w:r>
      <w:r w:rsidRPr="00E73FF0">
        <w:rPr>
          <w:sz w:val="22"/>
          <w:szCs w:val="22"/>
        </w:rPr>
        <w:t>малая механизация</w:t>
      </w:r>
      <w:r w:rsidRPr="00E73FF0">
        <w:rPr>
          <w:spacing w:val="-4"/>
          <w:sz w:val="22"/>
          <w:szCs w:val="22"/>
        </w:rPr>
        <w:t>, энергосредства.</w:t>
      </w: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lang w:val="en-US"/>
        </w:rPr>
        <w:t xml:space="preserve">KEYWORDS: </w:t>
      </w:r>
      <w:r w:rsidRPr="00E73FF0">
        <w:rPr>
          <w:rFonts w:eastAsiaTheme="minorHAnsi"/>
          <w:sz w:val="22"/>
          <w:szCs w:val="22"/>
          <w:lang w:val="en-US" w:eastAsia="en-US"/>
        </w:rPr>
        <w:t>Economy, fleet of equipment, economy, import su</w:t>
      </w:r>
      <w:r w:rsidRPr="00E73FF0">
        <w:rPr>
          <w:rFonts w:eastAsiaTheme="minorHAnsi"/>
          <w:sz w:val="22"/>
          <w:szCs w:val="22"/>
          <w:lang w:val="en-US" w:eastAsia="en-US"/>
        </w:rPr>
        <w:t>b</w:t>
      </w:r>
      <w:r w:rsidRPr="00E73FF0">
        <w:rPr>
          <w:rFonts w:eastAsiaTheme="minorHAnsi"/>
          <w:sz w:val="22"/>
          <w:szCs w:val="22"/>
          <w:lang w:val="en-US" w:eastAsia="en-US"/>
        </w:rPr>
        <w:t>stitution, small mechanization, energy facilities.</w:t>
      </w:r>
    </w:p>
    <w:p w:rsidR="00E73FF0" w:rsidRPr="00E73FF0" w:rsidRDefault="00E73FF0" w:rsidP="00E73FF0">
      <w:pPr>
        <w:widowControl w:val="0"/>
        <w:autoSpaceDE w:val="0"/>
        <w:autoSpaceDN w:val="0"/>
        <w:adjustRightInd w:val="0"/>
        <w:ind w:firstLine="426"/>
        <w:jc w:val="both"/>
        <w:rPr>
          <w:sz w:val="22"/>
          <w:szCs w:val="22"/>
          <w:lang w:val="en-US"/>
        </w:rPr>
      </w:pPr>
    </w:p>
    <w:p w:rsidR="00E73FF0" w:rsidRPr="00E73FF0" w:rsidRDefault="00E73FF0" w:rsidP="00E73FF0">
      <w:pPr>
        <w:ind w:firstLine="426"/>
        <w:contextualSpacing/>
        <w:jc w:val="both"/>
        <w:rPr>
          <w:sz w:val="22"/>
          <w:szCs w:val="22"/>
          <w:lang w:eastAsia="en-US"/>
        </w:rPr>
      </w:pPr>
      <w:r w:rsidRPr="00E73FF0">
        <w:rPr>
          <w:sz w:val="22"/>
          <w:szCs w:val="22"/>
          <w:lang w:eastAsia="en-US"/>
        </w:rPr>
        <w:t>Формирование различных форм хозяйствования в АПК это о</w:t>
      </w:r>
      <w:r w:rsidRPr="00E73FF0">
        <w:rPr>
          <w:sz w:val="22"/>
          <w:szCs w:val="22"/>
          <w:lang w:eastAsia="en-US"/>
        </w:rPr>
        <w:t>д</w:t>
      </w:r>
      <w:r w:rsidRPr="00E73FF0">
        <w:rPr>
          <w:sz w:val="22"/>
          <w:szCs w:val="22"/>
          <w:lang w:eastAsia="en-US"/>
        </w:rPr>
        <w:t>но из важных направлений в развитии сельского хозяйства не тол</w:t>
      </w:r>
      <w:r w:rsidRPr="00E73FF0">
        <w:rPr>
          <w:sz w:val="22"/>
          <w:szCs w:val="22"/>
          <w:lang w:eastAsia="en-US"/>
        </w:rPr>
        <w:t>ь</w:t>
      </w:r>
      <w:r w:rsidRPr="00E73FF0">
        <w:rPr>
          <w:sz w:val="22"/>
          <w:szCs w:val="22"/>
          <w:lang w:eastAsia="en-US"/>
        </w:rPr>
        <w:t xml:space="preserve">ко отдельно взятого субъекта, но и всей России в целом. Особенно, </w:t>
      </w:r>
      <w:r w:rsidRPr="00E73FF0">
        <w:rPr>
          <w:sz w:val="22"/>
          <w:szCs w:val="22"/>
          <w:lang w:eastAsia="en-US"/>
        </w:rPr>
        <w:lastRenderedPageBreak/>
        <w:t>это актуально, в свете последних экономических потрясений, кас</w:t>
      </w:r>
      <w:r w:rsidRPr="00E73FF0">
        <w:rPr>
          <w:sz w:val="22"/>
          <w:szCs w:val="22"/>
          <w:lang w:eastAsia="en-US"/>
        </w:rPr>
        <w:t>а</w:t>
      </w:r>
      <w:r w:rsidRPr="00E73FF0">
        <w:rPr>
          <w:sz w:val="22"/>
          <w:szCs w:val="22"/>
          <w:lang w:eastAsia="en-US"/>
        </w:rPr>
        <w:t>ющихся финансирования сельского хозяйства в нашей стране [1]. В современных экономических реалиях, когда наша промышленность должна искать новые рынки сбыта, выпускать продукцию высокого качества, чтоб завоевать покупателей, внедрять новые технологии. Это все в совокупности и приводит к глобальной интервенции н</w:t>
      </w:r>
      <w:r w:rsidRPr="00E73FF0">
        <w:rPr>
          <w:sz w:val="22"/>
          <w:szCs w:val="22"/>
          <w:lang w:eastAsia="en-US"/>
        </w:rPr>
        <w:t>о</w:t>
      </w:r>
      <w:r w:rsidRPr="00E73FF0">
        <w:rPr>
          <w:sz w:val="22"/>
          <w:szCs w:val="22"/>
          <w:lang w:eastAsia="en-US"/>
        </w:rPr>
        <w:t>вых технологий вовсе сферы науки и производства [2].</w:t>
      </w:r>
    </w:p>
    <w:p w:rsidR="00E73FF0" w:rsidRPr="00E73FF0" w:rsidRDefault="00E73FF0" w:rsidP="00E73FF0">
      <w:pPr>
        <w:ind w:firstLine="426"/>
        <w:contextualSpacing/>
        <w:jc w:val="both"/>
        <w:rPr>
          <w:sz w:val="22"/>
          <w:szCs w:val="22"/>
          <w:lang w:eastAsia="en-US"/>
        </w:rPr>
      </w:pPr>
      <w:r w:rsidRPr="00E73FF0">
        <w:rPr>
          <w:sz w:val="22"/>
          <w:szCs w:val="22"/>
          <w:lang w:eastAsia="en-US"/>
        </w:rPr>
        <w:t xml:space="preserve">В нашей стране одной, из самых важных отраслей, конечно же, является добыча природных ископаемых. Однако и технологии в области сельского хозяйства не стоят на месте. Это и роботизация, и моделирования техпроцессов, которые раньше не обходились без человека. Механизация и интенсификация данного процесса еще не достигла своего максимума, а зачастую в некоторых местах совсем отсутствует. В настоящее время в нашей стране не производится, и не выпускаются машины, которые могли бы полностью закрыть вопрос механизации в области работы в условиях защитного грунта </w:t>
      </w:r>
      <w:r w:rsidRPr="00E73FF0">
        <w:rPr>
          <w:rFonts w:eastAsiaTheme="minorHAnsi"/>
          <w:sz w:val="22"/>
          <w:szCs w:val="22"/>
          <w:lang w:eastAsia="en-US"/>
        </w:rPr>
        <w:t>[3]</w:t>
      </w:r>
      <w:r w:rsidRPr="00E73FF0">
        <w:rPr>
          <w:sz w:val="22"/>
          <w:szCs w:val="22"/>
          <w:lang w:eastAsia="en-US"/>
        </w:rPr>
        <w:t>.  Проблема возделывания продукции в условиях ограниченного землепользования является в применение средств механизации и</w:t>
      </w:r>
      <w:r w:rsidRPr="00E73FF0">
        <w:rPr>
          <w:sz w:val="22"/>
          <w:szCs w:val="22"/>
          <w:lang w:eastAsia="en-US"/>
        </w:rPr>
        <w:t>м</w:t>
      </w:r>
      <w:r w:rsidRPr="00E73FF0">
        <w:rPr>
          <w:sz w:val="22"/>
          <w:szCs w:val="22"/>
          <w:lang w:eastAsia="en-US"/>
        </w:rPr>
        <w:t>портного производства. На рынке присутствуют различные типы средств, которые не находят должного применения у произво</w:t>
      </w:r>
      <w:r w:rsidRPr="00E73FF0">
        <w:rPr>
          <w:sz w:val="22"/>
          <w:szCs w:val="22"/>
          <w:lang w:eastAsia="en-US"/>
        </w:rPr>
        <w:t>д</w:t>
      </w:r>
      <w:r w:rsidRPr="00E73FF0">
        <w:rPr>
          <w:sz w:val="22"/>
          <w:szCs w:val="22"/>
          <w:lang w:eastAsia="en-US"/>
        </w:rPr>
        <w:t>ственников для работы в обозначенных условия. Основной един</w:t>
      </w:r>
      <w:r w:rsidRPr="00E73FF0">
        <w:rPr>
          <w:sz w:val="22"/>
          <w:szCs w:val="22"/>
          <w:lang w:eastAsia="en-US"/>
        </w:rPr>
        <w:t>и</w:t>
      </w:r>
      <w:r w:rsidRPr="00E73FF0">
        <w:rPr>
          <w:sz w:val="22"/>
          <w:szCs w:val="22"/>
          <w:lang w:eastAsia="en-US"/>
        </w:rPr>
        <w:t>цей механизации, является культиватор с различным типами прив</w:t>
      </w:r>
      <w:r w:rsidRPr="00E73FF0">
        <w:rPr>
          <w:sz w:val="22"/>
          <w:szCs w:val="22"/>
          <w:lang w:eastAsia="en-US"/>
        </w:rPr>
        <w:t>о</w:t>
      </w:r>
      <w:r w:rsidRPr="00E73FF0">
        <w:rPr>
          <w:sz w:val="22"/>
          <w:szCs w:val="22"/>
          <w:lang w:eastAsia="en-US"/>
        </w:rPr>
        <w:t xml:space="preserve">да рабочих органов </w:t>
      </w:r>
      <w:r w:rsidRPr="00E73FF0">
        <w:rPr>
          <w:rFonts w:eastAsiaTheme="minorHAnsi"/>
          <w:sz w:val="22"/>
          <w:szCs w:val="22"/>
          <w:lang w:eastAsia="en-US"/>
        </w:rPr>
        <w:t>[4].</w:t>
      </w:r>
      <w:r w:rsidRPr="00E73FF0">
        <w:rPr>
          <w:sz w:val="22"/>
          <w:szCs w:val="22"/>
          <w:lang w:eastAsia="en-US"/>
        </w:rPr>
        <w:t xml:space="preserve"> </w:t>
      </w:r>
    </w:p>
    <w:p w:rsidR="00E73FF0" w:rsidRPr="00E73FF0" w:rsidRDefault="00E73FF0" w:rsidP="00E73FF0">
      <w:pPr>
        <w:ind w:firstLine="426"/>
        <w:contextualSpacing/>
        <w:jc w:val="both"/>
        <w:rPr>
          <w:rFonts w:eastAsiaTheme="minorHAnsi"/>
          <w:sz w:val="22"/>
          <w:szCs w:val="22"/>
          <w:lang w:eastAsia="en-US"/>
        </w:rPr>
      </w:pPr>
      <w:r w:rsidRPr="00E73FF0">
        <w:rPr>
          <w:sz w:val="22"/>
          <w:szCs w:val="22"/>
          <w:lang w:eastAsia="en-US"/>
        </w:rPr>
        <w:t>Применение силовых установок, которые имеют привод раб</w:t>
      </w:r>
      <w:r w:rsidRPr="00E73FF0">
        <w:rPr>
          <w:sz w:val="22"/>
          <w:szCs w:val="22"/>
          <w:lang w:eastAsia="en-US"/>
        </w:rPr>
        <w:t>о</w:t>
      </w:r>
      <w:r w:rsidRPr="00E73FF0">
        <w:rPr>
          <w:sz w:val="22"/>
          <w:szCs w:val="22"/>
          <w:lang w:eastAsia="en-US"/>
        </w:rPr>
        <w:t xml:space="preserve">чих органов, значительно превосходят ручной труд </w:t>
      </w:r>
      <w:r w:rsidRPr="00E73FF0">
        <w:rPr>
          <w:rFonts w:eastAsiaTheme="minorHAnsi"/>
          <w:sz w:val="22"/>
          <w:szCs w:val="22"/>
          <w:lang w:eastAsia="en-US"/>
        </w:rPr>
        <w:t>[5].</w:t>
      </w:r>
    </w:p>
    <w:p w:rsidR="00E73FF0" w:rsidRPr="00E73FF0" w:rsidRDefault="00E73FF0" w:rsidP="00E73FF0">
      <w:pPr>
        <w:ind w:firstLine="426"/>
        <w:contextualSpacing/>
        <w:jc w:val="both"/>
        <w:rPr>
          <w:rFonts w:eastAsiaTheme="minorHAnsi"/>
          <w:sz w:val="22"/>
          <w:szCs w:val="22"/>
          <w:lang w:eastAsia="en-US"/>
        </w:rPr>
      </w:pPr>
    </w:p>
    <w:p w:rsidR="00E73FF0" w:rsidRPr="00E73FF0" w:rsidRDefault="00E73FF0" w:rsidP="00E73FF0">
      <w:pPr>
        <w:ind w:firstLine="426"/>
        <w:contextualSpacing/>
        <w:jc w:val="center"/>
        <w:rPr>
          <w:rFonts w:eastAsiaTheme="minorHAnsi"/>
          <w:sz w:val="22"/>
          <w:szCs w:val="22"/>
          <w:lang w:eastAsia="en-US"/>
        </w:rPr>
      </w:pPr>
      <w:r w:rsidRPr="00E73FF0">
        <w:rPr>
          <w:rFonts w:eastAsiaTheme="minorHAnsi"/>
          <w:sz w:val="22"/>
          <w:szCs w:val="22"/>
          <w:lang w:eastAsia="en-US"/>
        </w:rPr>
        <w:t>Список литературы</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1. Средства малой механизации как основа современного КФХ и ЛПХ в малых формах хозяйствования Лепшина А.И., Белоусов С.В. Политематический сетевой электронный научный журнал К</w:t>
      </w:r>
      <w:r w:rsidRPr="00E73FF0">
        <w:rPr>
          <w:rFonts w:eastAsiaTheme="minorHAnsi"/>
          <w:sz w:val="22"/>
          <w:szCs w:val="22"/>
          <w:lang w:eastAsia="en-US"/>
        </w:rPr>
        <w:t>у</w:t>
      </w:r>
      <w:r w:rsidRPr="00E73FF0">
        <w:rPr>
          <w:rFonts w:eastAsiaTheme="minorHAnsi"/>
          <w:sz w:val="22"/>
          <w:szCs w:val="22"/>
          <w:lang w:eastAsia="en-US"/>
        </w:rPr>
        <w:t>банского государственного аграрного университета. 2015. № 109. С. 392-415.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 xml:space="preserve">2. </w:t>
      </w:r>
      <w:hyperlink r:id="rId59" w:history="1">
        <w:r w:rsidRPr="00E73FF0">
          <w:rPr>
            <w:rFonts w:eastAsiaTheme="minorHAnsi"/>
            <w:bCs/>
            <w:sz w:val="22"/>
            <w:szCs w:val="22"/>
            <w:lang w:eastAsia="en-US"/>
          </w:rPr>
          <w:t>Роль и перспектива развития малой механизации в разрезе современного машиностроения</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r w:rsidRPr="00E73FF0">
        <w:rPr>
          <w:rFonts w:eastAsiaTheme="minorHAnsi"/>
          <w:sz w:val="22"/>
          <w:szCs w:val="22"/>
          <w:lang w:eastAsia="en-US"/>
        </w:rPr>
        <w:t>В сборнике: </w:t>
      </w:r>
      <w:hyperlink r:id="rId60" w:history="1">
        <w:r w:rsidRPr="00E73FF0">
          <w:rPr>
            <w:rFonts w:eastAsiaTheme="minorHAnsi"/>
            <w:sz w:val="22"/>
            <w:szCs w:val="22"/>
            <w:lang w:eastAsia="en-US"/>
          </w:rPr>
          <w:t>Научное обеспечение агропромышленного комплекса</w:t>
        </w:r>
      </w:hyperlink>
      <w:r w:rsidRPr="00E73FF0">
        <w:rPr>
          <w:rFonts w:eastAsiaTheme="minorHAnsi"/>
          <w:sz w:val="22"/>
          <w:szCs w:val="22"/>
          <w:lang w:eastAsia="en-US"/>
        </w:rPr>
        <w:t> сборник статей по м</w:t>
      </w:r>
      <w:r w:rsidRPr="00E73FF0">
        <w:rPr>
          <w:rFonts w:eastAsiaTheme="minorHAnsi"/>
          <w:sz w:val="22"/>
          <w:szCs w:val="22"/>
          <w:lang w:eastAsia="en-US"/>
        </w:rPr>
        <w:t>а</w:t>
      </w:r>
      <w:r w:rsidRPr="00E73FF0">
        <w:rPr>
          <w:rFonts w:eastAsiaTheme="minorHAnsi"/>
          <w:sz w:val="22"/>
          <w:szCs w:val="22"/>
          <w:lang w:eastAsia="en-US"/>
        </w:rPr>
        <w:t>териалам 72-й научно-практической конференции преподавателей по итогам НИР за 2016 г.. 2017. С. 277-278.</w:t>
      </w:r>
    </w:p>
    <w:p w:rsidR="00E73FF0" w:rsidRPr="00E73FF0" w:rsidRDefault="00E73FF0" w:rsidP="00E73FF0">
      <w:pPr>
        <w:ind w:firstLine="426"/>
        <w:jc w:val="both"/>
        <w:rPr>
          <w:rFonts w:eastAsiaTheme="minorHAnsi"/>
          <w:sz w:val="22"/>
          <w:szCs w:val="22"/>
          <w:lang w:val="en-US" w:eastAsia="en-US"/>
        </w:rPr>
      </w:pPr>
      <w:r w:rsidRPr="00E73FF0">
        <w:rPr>
          <w:rFonts w:eastAsiaTheme="minorHAnsi"/>
          <w:sz w:val="22"/>
          <w:szCs w:val="22"/>
          <w:lang w:eastAsia="en-US"/>
        </w:rPr>
        <w:lastRenderedPageBreak/>
        <w:t xml:space="preserve">3. </w:t>
      </w:r>
      <w:hyperlink r:id="rId61" w:history="1">
        <w:r w:rsidRPr="00E73FF0">
          <w:rPr>
            <w:rFonts w:eastAsiaTheme="minorHAnsi"/>
            <w:bCs/>
            <w:sz w:val="22"/>
            <w:szCs w:val="22"/>
            <w:lang w:eastAsia="en-US"/>
          </w:rPr>
          <w:t>Возделывания пропашных культур в современных условиях</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Помеляйко С.А., Белоусова А.И., Белоусов С.В.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62" w:history="1">
        <w:r w:rsidR="0064456F">
          <w:rPr>
            <w:rFonts w:eastAsiaTheme="minorHAnsi"/>
            <w:sz w:val="22"/>
            <w:szCs w:val="22"/>
            <w:lang w:eastAsia="en-US"/>
          </w:rPr>
          <w:t>С</w:t>
        </w:r>
        <w:r w:rsidR="0064456F" w:rsidRPr="00E73FF0">
          <w:rPr>
            <w:rFonts w:eastAsiaTheme="minorHAnsi"/>
            <w:sz w:val="22"/>
            <w:szCs w:val="22"/>
            <w:lang w:eastAsia="en-US"/>
          </w:rPr>
          <w:t>овременные исследования</w:t>
        </w:r>
        <w:r w:rsidRPr="00E73FF0">
          <w:rPr>
            <w:rFonts w:eastAsiaTheme="minorHAnsi"/>
            <w:sz w:val="22"/>
            <w:szCs w:val="22"/>
            <w:lang w:eastAsia="en-US"/>
          </w:rPr>
          <w:t xml:space="preserve"> - 2017</w:t>
        </w:r>
      </w:hyperlink>
      <w:r w:rsidRPr="00E73FF0">
        <w:rPr>
          <w:rFonts w:eastAsiaTheme="minorHAnsi"/>
          <w:sz w:val="22"/>
          <w:szCs w:val="22"/>
          <w:lang w:eastAsia="en-US"/>
        </w:rPr>
        <w:t> </w:t>
      </w:r>
      <w:r w:rsidR="0064456F">
        <w:rPr>
          <w:rFonts w:eastAsiaTheme="minorHAnsi"/>
          <w:sz w:val="22"/>
          <w:szCs w:val="22"/>
          <w:lang w:eastAsia="en-US"/>
        </w:rPr>
        <w:t xml:space="preserve">/ </w:t>
      </w:r>
      <w:r w:rsidRPr="00E73FF0">
        <w:rPr>
          <w:rFonts w:eastAsiaTheme="minorHAnsi"/>
          <w:sz w:val="22"/>
          <w:szCs w:val="22"/>
          <w:lang w:eastAsia="en-US"/>
        </w:rPr>
        <w:t>Сборник статей по матери</w:t>
      </w:r>
      <w:r w:rsidRPr="00E73FF0">
        <w:rPr>
          <w:rFonts w:eastAsiaTheme="minorHAnsi"/>
          <w:sz w:val="22"/>
          <w:szCs w:val="22"/>
          <w:lang w:eastAsia="en-US"/>
        </w:rPr>
        <w:t>а</w:t>
      </w:r>
      <w:r w:rsidRPr="00E73FF0">
        <w:rPr>
          <w:rFonts w:eastAsiaTheme="minorHAnsi"/>
          <w:sz w:val="22"/>
          <w:szCs w:val="22"/>
          <w:lang w:eastAsia="en-US"/>
        </w:rPr>
        <w:t>лам Международных научно-практических конференций. под о</w:t>
      </w:r>
      <w:r w:rsidRPr="00E73FF0">
        <w:rPr>
          <w:rFonts w:eastAsiaTheme="minorHAnsi"/>
          <w:sz w:val="22"/>
          <w:szCs w:val="22"/>
          <w:lang w:eastAsia="en-US"/>
        </w:rPr>
        <w:t>б</w:t>
      </w:r>
      <w:r w:rsidRPr="00E73FF0">
        <w:rPr>
          <w:rFonts w:eastAsiaTheme="minorHAnsi"/>
          <w:sz w:val="22"/>
          <w:szCs w:val="22"/>
          <w:lang w:eastAsia="en-US"/>
        </w:rPr>
        <w:t>щей редакцией А.И. Вострецова. Нефтекамск</w:t>
      </w:r>
      <w:r w:rsidRPr="00E73FF0">
        <w:rPr>
          <w:rFonts w:eastAsiaTheme="minorHAnsi"/>
          <w:sz w:val="22"/>
          <w:szCs w:val="22"/>
          <w:lang w:val="en-US" w:eastAsia="en-US"/>
        </w:rPr>
        <w:t xml:space="preserve">, 2017. </w:t>
      </w:r>
      <w:r w:rsidRPr="00E73FF0">
        <w:rPr>
          <w:rFonts w:eastAsiaTheme="minorHAnsi"/>
          <w:sz w:val="22"/>
          <w:szCs w:val="22"/>
          <w:lang w:eastAsia="en-US"/>
        </w:rPr>
        <w:t>С</w:t>
      </w:r>
      <w:r w:rsidRPr="00E73FF0">
        <w:rPr>
          <w:rFonts w:eastAsiaTheme="minorHAnsi"/>
          <w:sz w:val="22"/>
          <w:szCs w:val="22"/>
          <w:lang w:val="en-US" w:eastAsia="en-US"/>
        </w:rPr>
        <w:t>. 809-815.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val="en-US" w:eastAsia="en-US"/>
        </w:rPr>
        <w:t xml:space="preserve">4. Theoretical studies of the tobacco stalk interaction with the leaf-separating unit Papusha S.K., Belousov S.V., Bogus A.E., Konovalov V.I. International Journal of Applied Engineering Research. </w:t>
      </w:r>
      <w:r w:rsidRPr="00E73FF0">
        <w:rPr>
          <w:rFonts w:eastAsiaTheme="minorHAnsi"/>
          <w:sz w:val="22"/>
          <w:szCs w:val="22"/>
          <w:lang w:eastAsia="en-US"/>
        </w:rPr>
        <w:t>2016. Т. 11. № 8. С. 5610-5613.</w:t>
      </w:r>
    </w:p>
    <w:p w:rsidR="00E73FF0" w:rsidRPr="001E2F2C" w:rsidRDefault="00E73FF0" w:rsidP="00E73FF0">
      <w:pPr>
        <w:ind w:firstLine="426"/>
        <w:jc w:val="both"/>
        <w:rPr>
          <w:rFonts w:eastAsiaTheme="minorHAnsi"/>
          <w:sz w:val="20"/>
          <w:szCs w:val="20"/>
          <w:lang w:val="en-US" w:eastAsia="en-US"/>
        </w:rPr>
      </w:pPr>
      <w:r w:rsidRPr="00E73FF0">
        <w:rPr>
          <w:rFonts w:eastAsiaTheme="minorHAnsi"/>
          <w:sz w:val="22"/>
          <w:szCs w:val="22"/>
          <w:lang w:eastAsia="en-US"/>
        </w:rPr>
        <w:t>5. Расчет основных параметров разбрасывателя сыпучих мат</w:t>
      </w:r>
      <w:r w:rsidRPr="00E73FF0">
        <w:rPr>
          <w:rFonts w:eastAsiaTheme="minorHAnsi"/>
          <w:sz w:val="22"/>
          <w:szCs w:val="22"/>
          <w:lang w:eastAsia="en-US"/>
        </w:rPr>
        <w:t>е</w:t>
      </w:r>
      <w:r w:rsidRPr="00E73FF0">
        <w:rPr>
          <w:rFonts w:eastAsiaTheme="minorHAnsi"/>
          <w:sz w:val="22"/>
          <w:szCs w:val="22"/>
          <w:lang w:eastAsia="en-US"/>
        </w:rPr>
        <w:t>риалов Белоусов С.В., Лепшина А.И. Политематический сетевой электронный научный журнал Кубанского государственного агра</w:t>
      </w:r>
      <w:r w:rsidRPr="00E73FF0">
        <w:rPr>
          <w:rFonts w:eastAsiaTheme="minorHAnsi"/>
          <w:sz w:val="22"/>
          <w:szCs w:val="22"/>
          <w:lang w:eastAsia="en-US"/>
        </w:rPr>
        <w:t>р</w:t>
      </w:r>
      <w:r w:rsidRPr="00E73FF0">
        <w:rPr>
          <w:rFonts w:eastAsiaTheme="minorHAnsi"/>
          <w:sz w:val="22"/>
          <w:szCs w:val="22"/>
          <w:lang w:eastAsia="en-US"/>
        </w:rPr>
        <w:t xml:space="preserve">ного университета. </w:t>
      </w:r>
      <w:r w:rsidRPr="001E2F2C">
        <w:rPr>
          <w:rFonts w:eastAsiaTheme="minorHAnsi"/>
          <w:sz w:val="22"/>
          <w:szCs w:val="22"/>
          <w:lang w:val="en-US" w:eastAsia="en-US"/>
        </w:rPr>
        <w:t xml:space="preserve">2014. № 104. </w:t>
      </w:r>
      <w:r w:rsidRPr="00E73FF0">
        <w:rPr>
          <w:rFonts w:eastAsiaTheme="minorHAnsi"/>
          <w:sz w:val="22"/>
          <w:szCs w:val="22"/>
          <w:lang w:eastAsia="en-US"/>
        </w:rPr>
        <w:t>С</w:t>
      </w:r>
      <w:r w:rsidRPr="001E2F2C">
        <w:rPr>
          <w:rFonts w:eastAsiaTheme="minorHAnsi"/>
          <w:sz w:val="22"/>
          <w:szCs w:val="22"/>
          <w:lang w:val="en-US" w:eastAsia="en-US"/>
        </w:rPr>
        <w:t>. 1923-1939.</w:t>
      </w:r>
    </w:p>
    <w:p w:rsidR="00E73FF0" w:rsidRPr="00497C98" w:rsidRDefault="00E73FF0" w:rsidP="00B43BBC">
      <w:pPr>
        <w:pStyle w:val="31"/>
        <w:rPr>
          <w:sz w:val="22"/>
          <w:szCs w:val="22"/>
          <w:lang w:val="en-US"/>
        </w:rPr>
      </w:pPr>
    </w:p>
    <w:p w:rsidR="0064456F" w:rsidRPr="00497C98" w:rsidRDefault="0064456F" w:rsidP="00B43BBC">
      <w:pPr>
        <w:pStyle w:val="31"/>
        <w:rPr>
          <w:sz w:val="22"/>
          <w:szCs w:val="22"/>
          <w:lang w:val="en-US"/>
        </w:rPr>
      </w:pPr>
    </w:p>
    <w:p w:rsidR="0064456F" w:rsidRPr="00497C98" w:rsidRDefault="0064456F" w:rsidP="00B43BBC">
      <w:pPr>
        <w:pStyle w:val="31"/>
        <w:rPr>
          <w:sz w:val="22"/>
          <w:szCs w:val="22"/>
          <w:lang w:val="en-US"/>
        </w:rPr>
      </w:pPr>
    </w:p>
    <w:p w:rsidR="00E73FF0" w:rsidRPr="00497C98" w:rsidRDefault="00E73FF0" w:rsidP="00662BE8">
      <w:pPr>
        <w:jc w:val="both"/>
        <w:rPr>
          <w:sz w:val="22"/>
          <w:szCs w:val="22"/>
          <w:lang w:val="en-US"/>
        </w:rPr>
      </w:pPr>
      <w:r w:rsidRPr="00E73FF0">
        <w:rPr>
          <w:sz w:val="22"/>
          <w:szCs w:val="22"/>
        </w:rPr>
        <w:t>УДК</w:t>
      </w:r>
      <w:r w:rsidRPr="00497C98">
        <w:rPr>
          <w:sz w:val="22"/>
          <w:szCs w:val="22"/>
          <w:lang w:val="en-US"/>
        </w:rPr>
        <w:t xml:space="preserve"> 631.374</w:t>
      </w:r>
    </w:p>
    <w:p w:rsidR="00662BE8" w:rsidRPr="00497C98" w:rsidRDefault="00662BE8" w:rsidP="00662BE8">
      <w:pPr>
        <w:jc w:val="both"/>
        <w:rPr>
          <w:sz w:val="22"/>
          <w:szCs w:val="22"/>
          <w:lang w:val="en-US"/>
        </w:rPr>
      </w:pPr>
    </w:p>
    <w:p w:rsidR="00E73FF0" w:rsidRPr="00863F6A" w:rsidRDefault="00E73FF0" w:rsidP="00662BE8">
      <w:pPr>
        <w:jc w:val="center"/>
        <w:rPr>
          <w:b/>
          <w:sz w:val="24"/>
          <w:szCs w:val="24"/>
          <w:shd w:val="clear" w:color="auto" w:fill="FFFFFF"/>
        </w:rPr>
      </w:pPr>
      <w:r w:rsidRPr="00E73FF0">
        <w:rPr>
          <w:b/>
          <w:sz w:val="24"/>
          <w:szCs w:val="24"/>
          <w:shd w:val="clear" w:color="auto" w:fill="FFFFFF"/>
        </w:rPr>
        <w:t>К</w:t>
      </w:r>
      <w:r w:rsidRPr="00863F6A">
        <w:rPr>
          <w:b/>
          <w:sz w:val="24"/>
          <w:szCs w:val="24"/>
          <w:shd w:val="clear" w:color="auto" w:fill="FFFFFF"/>
        </w:rPr>
        <w:t xml:space="preserve"> </w:t>
      </w:r>
      <w:r w:rsidRPr="00E73FF0">
        <w:rPr>
          <w:b/>
          <w:sz w:val="24"/>
          <w:szCs w:val="24"/>
          <w:shd w:val="clear" w:color="auto" w:fill="FFFFFF"/>
        </w:rPr>
        <w:t>выбору</w:t>
      </w:r>
      <w:r w:rsidRPr="00863F6A">
        <w:rPr>
          <w:b/>
          <w:sz w:val="24"/>
          <w:szCs w:val="24"/>
          <w:shd w:val="clear" w:color="auto" w:fill="FFFFFF"/>
        </w:rPr>
        <w:t xml:space="preserve"> </w:t>
      </w:r>
      <w:r w:rsidRPr="00E73FF0">
        <w:rPr>
          <w:b/>
          <w:sz w:val="24"/>
          <w:szCs w:val="24"/>
          <w:shd w:val="clear" w:color="auto" w:fill="FFFFFF"/>
        </w:rPr>
        <w:t>технических</w:t>
      </w:r>
      <w:r w:rsidRPr="00863F6A">
        <w:rPr>
          <w:b/>
          <w:sz w:val="24"/>
          <w:szCs w:val="24"/>
          <w:shd w:val="clear" w:color="auto" w:fill="FFFFFF"/>
        </w:rPr>
        <w:t xml:space="preserve"> </w:t>
      </w:r>
      <w:r w:rsidRPr="00E73FF0">
        <w:rPr>
          <w:b/>
          <w:sz w:val="24"/>
          <w:szCs w:val="24"/>
          <w:shd w:val="clear" w:color="auto" w:fill="FFFFFF"/>
        </w:rPr>
        <w:t>сре</w:t>
      </w:r>
      <w:proofErr w:type="gramStart"/>
      <w:r w:rsidRPr="00E73FF0">
        <w:rPr>
          <w:b/>
          <w:sz w:val="24"/>
          <w:szCs w:val="24"/>
          <w:shd w:val="clear" w:color="auto" w:fill="FFFFFF"/>
        </w:rPr>
        <w:t>дств</w:t>
      </w:r>
      <w:r w:rsidRPr="00863F6A">
        <w:rPr>
          <w:b/>
          <w:sz w:val="24"/>
          <w:szCs w:val="24"/>
          <w:shd w:val="clear" w:color="auto" w:fill="FFFFFF"/>
        </w:rPr>
        <w:t xml:space="preserve"> </w:t>
      </w:r>
      <w:r w:rsidRPr="00E73FF0">
        <w:rPr>
          <w:b/>
          <w:sz w:val="24"/>
          <w:szCs w:val="24"/>
          <w:shd w:val="clear" w:color="auto" w:fill="FFFFFF"/>
        </w:rPr>
        <w:t>дл</w:t>
      </w:r>
      <w:proofErr w:type="gramEnd"/>
      <w:r w:rsidRPr="00E73FF0">
        <w:rPr>
          <w:b/>
          <w:sz w:val="24"/>
          <w:szCs w:val="24"/>
          <w:shd w:val="clear" w:color="auto" w:fill="FFFFFF"/>
        </w:rPr>
        <w:t>я</w:t>
      </w:r>
      <w:r w:rsidRPr="00863F6A">
        <w:rPr>
          <w:b/>
          <w:sz w:val="24"/>
          <w:szCs w:val="24"/>
          <w:shd w:val="clear" w:color="auto" w:fill="FFFFFF"/>
        </w:rPr>
        <w:t xml:space="preserve"> </w:t>
      </w:r>
      <w:r w:rsidRPr="00E73FF0">
        <w:rPr>
          <w:b/>
          <w:sz w:val="24"/>
          <w:szCs w:val="24"/>
          <w:shd w:val="clear" w:color="auto" w:fill="FFFFFF"/>
        </w:rPr>
        <w:t>погрузо</w:t>
      </w:r>
      <w:r w:rsidRPr="00863F6A">
        <w:rPr>
          <w:b/>
          <w:sz w:val="24"/>
          <w:szCs w:val="24"/>
          <w:shd w:val="clear" w:color="auto" w:fill="FFFFFF"/>
        </w:rPr>
        <w:t>-</w:t>
      </w:r>
      <w:r w:rsidRPr="00E73FF0">
        <w:rPr>
          <w:b/>
          <w:sz w:val="24"/>
          <w:szCs w:val="24"/>
          <w:shd w:val="clear" w:color="auto" w:fill="FFFFFF"/>
        </w:rPr>
        <w:t>разгрузочных</w:t>
      </w:r>
      <w:r w:rsidRPr="00863F6A">
        <w:rPr>
          <w:b/>
          <w:sz w:val="24"/>
          <w:szCs w:val="24"/>
          <w:shd w:val="clear" w:color="auto" w:fill="FFFFFF"/>
        </w:rPr>
        <w:t xml:space="preserve"> </w:t>
      </w:r>
      <w:r w:rsidRPr="00E73FF0">
        <w:rPr>
          <w:b/>
          <w:sz w:val="24"/>
          <w:szCs w:val="24"/>
          <w:shd w:val="clear" w:color="auto" w:fill="FFFFFF"/>
        </w:rPr>
        <w:t>работ</w:t>
      </w:r>
    </w:p>
    <w:p w:rsidR="00E73FF0" w:rsidRPr="00E73FF0" w:rsidRDefault="00E73FF0" w:rsidP="00662BE8">
      <w:pPr>
        <w:jc w:val="center"/>
        <w:rPr>
          <w:b/>
          <w:sz w:val="24"/>
          <w:szCs w:val="24"/>
          <w:lang w:val="en-US"/>
        </w:rPr>
      </w:pPr>
      <w:r w:rsidRPr="00E73FF0">
        <w:rPr>
          <w:b/>
          <w:sz w:val="24"/>
          <w:szCs w:val="24"/>
          <w:lang w:val="en"/>
        </w:rPr>
        <w:t>To the choice of technical means for loading and unloading works</w:t>
      </w:r>
    </w:p>
    <w:p w:rsidR="00E73FF0" w:rsidRPr="00E73FF0" w:rsidRDefault="00E73FF0" w:rsidP="00E73FF0">
      <w:pPr>
        <w:jc w:val="center"/>
        <w:rPr>
          <w:b/>
          <w:sz w:val="24"/>
          <w:szCs w:val="24"/>
          <w:lang w:val="en-US"/>
        </w:rPr>
      </w:pPr>
    </w:p>
    <w:p w:rsidR="00E73FF0" w:rsidRPr="00E73FF0" w:rsidRDefault="00E73FF0" w:rsidP="00E73FF0">
      <w:pPr>
        <w:jc w:val="right"/>
        <w:rPr>
          <w:sz w:val="22"/>
          <w:szCs w:val="22"/>
        </w:rPr>
      </w:pPr>
      <w:r w:rsidRPr="00E73FF0">
        <w:rPr>
          <w:sz w:val="22"/>
          <w:szCs w:val="22"/>
        </w:rPr>
        <w:t>Воробьев К.</w:t>
      </w:r>
      <w:r w:rsidR="0064456F">
        <w:rPr>
          <w:sz w:val="22"/>
          <w:szCs w:val="22"/>
        </w:rPr>
        <w:t xml:space="preserve"> </w:t>
      </w:r>
      <w:r w:rsidRPr="00E73FF0">
        <w:rPr>
          <w:sz w:val="22"/>
          <w:szCs w:val="22"/>
        </w:rPr>
        <w:t>А.,</w:t>
      </w:r>
    </w:p>
    <w:p w:rsidR="00E73FF0" w:rsidRPr="00E73FF0" w:rsidRDefault="00E73FF0" w:rsidP="00E73FF0">
      <w:pPr>
        <w:jc w:val="right"/>
        <w:rPr>
          <w:sz w:val="22"/>
          <w:szCs w:val="22"/>
        </w:rPr>
      </w:pPr>
      <w:r w:rsidRPr="00E73FF0">
        <w:rPr>
          <w:sz w:val="22"/>
          <w:szCs w:val="22"/>
        </w:rPr>
        <w:t>студент 4 курса факультета механизации</w:t>
      </w:r>
    </w:p>
    <w:p w:rsidR="00E73FF0" w:rsidRPr="00E73FF0" w:rsidRDefault="00E73FF0" w:rsidP="00E73FF0">
      <w:pPr>
        <w:jc w:val="right"/>
        <w:rPr>
          <w:sz w:val="22"/>
          <w:szCs w:val="22"/>
        </w:rPr>
      </w:pPr>
      <w:r w:rsidRPr="00E73FF0">
        <w:rPr>
          <w:sz w:val="22"/>
          <w:szCs w:val="22"/>
        </w:rPr>
        <w:t>Кадыров М.</w:t>
      </w:r>
      <w:r w:rsidR="0064456F">
        <w:rPr>
          <w:sz w:val="22"/>
          <w:szCs w:val="22"/>
        </w:rPr>
        <w:t xml:space="preserve"> </w:t>
      </w:r>
      <w:r w:rsidRPr="00E73FF0">
        <w:rPr>
          <w:sz w:val="22"/>
          <w:szCs w:val="22"/>
        </w:rPr>
        <w:t>Р.,</w:t>
      </w:r>
    </w:p>
    <w:p w:rsidR="00E73FF0" w:rsidRPr="00E73FF0" w:rsidRDefault="00E73FF0" w:rsidP="00E73FF0">
      <w:pPr>
        <w:jc w:val="right"/>
        <w:rPr>
          <w:sz w:val="22"/>
          <w:szCs w:val="22"/>
        </w:rPr>
      </w:pPr>
      <w:r w:rsidRPr="00E73FF0">
        <w:rPr>
          <w:sz w:val="22"/>
          <w:szCs w:val="22"/>
        </w:rPr>
        <w:t>доцент кафедры ремонта машин и материаловедения</w:t>
      </w:r>
    </w:p>
    <w:p w:rsidR="00483E1F" w:rsidRDefault="00E73FF0" w:rsidP="00E73FF0">
      <w:pPr>
        <w:widowControl w:val="0"/>
        <w:autoSpaceDE w:val="0"/>
        <w:autoSpaceDN w:val="0"/>
        <w:adjustRightInd w:val="0"/>
        <w:jc w:val="right"/>
        <w:rPr>
          <w:sz w:val="22"/>
          <w:szCs w:val="22"/>
        </w:rPr>
      </w:pPr>
      <w:r w:rsidRPr="00E73FF0">
        <w:rPr>
          <w:sz w:val="22"/>
          <w:szCs w:val="22"/>
        </w:rPr>
        <w:t>Кубанский государственный аграрный</w:t>
      </w:r>
    </w:p>
    <w:p w:rsidR="00E73FF0" w:rsidRPr="00E73FF0" w:rsidRDefault="00E73FF0" w:rsidP="00E73FF0">
      <w:pPr>
        <w:widowControl w:val="0"/>
        <w:autoSpaceDE w:val="0"/>
        <w:autoSpaceDN w:val="0"/>
        <w:adjustRightInd w:val="0"/>
        <w:jc w:val="right"/>
        <w:rPr>
          <w:sz w:val="22"/>
          <w:szCs w:val="22"/>
        </w:rPr>
      </w:pPr>
      <w:r w:rsidRPr="00E73FF0">
        <w:rPr>
          <w:sz w:val="22"/>
          <w:szCs w:val="22"/>
        </w:rPr>
        <w:t xml:space="preserve"> </w:t>
      </w:r>
      <w:r w:rsidR="00483E1F" w:rsidRPr="00E73FF0">
        <w:rPr>
          <w:sz w:val="22"/>
          <w:szCs w:val="22"/>
        </w:rPr>
        <w:t>У</w:t>
      </w:r>
      <w:r w:rsidRPr="00E73FF0">
        <w:rPr>
          <w:sz w:val="22"/>
          <w:szCs w:val="22"/>
        </w:rPr>
        <w:t>ниверситет</w:t>
      </w:r>
      <w:r w:rsidR="00483E1F">
        <w:rPr>
          <w:sz w:val="22"/>
          <w:szCs w:val="22"/>
        </w:rPr>
        <w:t xml:space="preserve"> имени И.Т.Трубилина</w:t>
      </w:r>
    </w:p>
    <w:p w:rsidR="00E73FF0" w:rsidRPr="00E73FF0" w:rsidRDefault="00E73FF0" w:rsidP="00E73FF0">
      <w:pPr>
        <w:widowControl w:val="0"/>
        <w:autoSpaceDE w:val="0"/>
        <w:autoSpaceDN w:val="0"/>
        <w:adjustRightInd w:val="0"/>
        <w:jc w:val="both"/>
        <w:rPr>
          <w:sz w:val="22"/>
          <w:szCs w:val="22"/>
        </w:rPr>
      </w:pPr>
    </w:p>
    <w:p w:rsidR="00E73FF0" w:rsidRPr="00E73FF0" w:rsidRDefault="00483E1F" w:rsidP="00E73FF0">
      <w:pPr>
        <w:shd w:val="clear" w:color="auto" w:fill="FFFFFF"/>
        <w:ind w:firstLine="425"/>
        <w:jc w:val="both"/>
        <w:rPr>
          <w:sz w:val="22"/>
          <w:szCs w:val="22"/>
        </w:rPr>
      </w:pPr>
      <w:r>
        <w:rPr>
          <w:sz w:val="22"/>
          <w:szCs w:val="22"/>
        </w:rPr>
        <w:t>АННОТАЦИЯ:</w:t>
      </w:r>
      <w:r w:rsidR="00E73FF0" w:rsidRPr="00E73FF0">
        <w:rPr>
          <w:sz w:val="22"/>
          <w:szCs w:val="22"/>
        </w:rPr>
        <w:t xml:space="preserve"> В работе предложена конструкция универсал</w:t>
      </w:r>
      <w:r w:rsidR="00E73FF0" w:rsidRPr="00E73FF0">
        <w:rPr>
          <w:sz w:val="22"/>
          <w:szCs w:val="22"/>
        </w:rPr>
        <w:t>ь</w:t>
      </w:r>
      <w:r w:rsidR="00E73FF0" w:rsidRPr="00E73FF0">
        <w:rPr>
          <w:sz w:val="22"/>
          <w:szCs w:val="22"/>
        </w:rPr>
        <w:t>ного погрузчика для выполнения погрузо-разгрузочных работ в мелких крестьянских и фермерских хозяйствах. Использование п</w:t>
      </w:r>
      <w:r w:rsidR="00E73FF0" w:rsidRPr="00E73FF0">
        <w:rPr>
          <w:sz w:val="22"/>
          <w:szCs w:val="22"/>
        </w:rPr>
        <w:t>о</w:t>
      </w:r>
      <w:r w:rsidR="00E73FF0" w:rsidRPr="00E73FF0">
        <w:rPr>
          <w:sz w:val="22"/>
          <w:szCs w:val="22"/>
        </w:rPr>
        <w:t>грузчика позволит снизить трудовые затраты и повысить произв</w:t>
      </w:r>
      <w:r w:rsidR="00E73FF0" w:rsidRPr="00E73FF0">
        <w:rPr>
          <w:sz w:val="22"/>
          <w:szCs w:val="22"/>
        </w:rPr>
        <w:t>о</w:t>
      </w:r>
      <w:r w:rsidR="00E73FF0" w:rsidRPr="00E73FF0">
        <w:rPr>
          <w:sz w:val="22"/>
          <w:szCs w:val="22"/>
        </w:rPr>
        <w:t>дительность выполняемых работ.</w:t>
      </w:r>
    </w:p>
    <w:p w:rsidR="00E73FF0" w:rsidRPr="00E73FF0" w:rsidRDefault="00E73FF0" w:rsidP="00E73FF0">
      <w:pPr>
        <w:ind w:firstLine="425"/>
        <w:jc w:val="both"/>
        <w:rPr>
          <w:sz w:val="22"/>
          <w:szCs w:val="22"/>
          <w:lang w:val="en"/>
        </w:rPr>
      </w:pPr>
      <w:r w:rsidRPr="00E73FF0">
        <w:rPr>
          <w:sz w:val="22"/>
          <w:szCs w:val="22"/>
          <w:lang w:val="en-US"/>
        </w:rPr>
        <w:t>ABSTRACT</w:t>
      </w:r>
      <w:r w:rsidR="00483E1F" w:rsidRPr="00483E1F">
        <w:rPr>
          <w:sz w:val="22"/>
          <w:szCs w:val="22"/>
          <w:lang w:val="en-US"/>
        </w:rPr>
        <w:t>:</w:t>
      </w:r>
      <w:r w:rsidRPr="00E73FF0">
        <w:rPr>
          <w:szCs w:val="24"/>
          <w:lang w:val="en"/>
        </w:rPr>
        <w:t xml:space="preserve"> </w:t>
      </w:r>
      <w:r w:rsidRPr="00E73FF0">
        <w:rPr>
          <w:sz w:val="22"/>
          <w:szCs w:val="22"/>
          <w:lang w:val="en"/>
        </w:rPr>
        <w:t xml:space="preserve">The design of a universal loader for carrying out loading and unloading operations in small peasant and private farms is </w:t>
      </w:r>
      <w:r w:rsidRPr="00E73FF0">
        <w:rPr>
          <w:sz w:val="22"/>
          <w:szCs w:val="22"/>
          <w:lang w:val="en"/>
        </w:rPr>
        <w:lastRenderedPageBreak/>
        <w:t>proposed in this paper. Using the loader will reduce labor costs and i</w:t>
      </w:r>
      <w:r w:rsidRPr="00E73FF0">
        <w:rPr>
          <w:sz w:val="22"/>
          <w:szCs w:val="22"/>
          <w:lang w:val="en"/>
        </w:rPr>
        <w:t>m</w:t>
      </w:r>
      <w:r w:rsidRPr="00E73FF0">
        <w:rPr>
          <w:sz w:val="22"/>
          <w:szCs w:val="22"/>
          <w:lang w:val="en"/>
        </w:rPr>
        <w:t>prove the performance of the work performed.</w:t>
      </w:r>
    </w:p>
    <w:p w:rsidR="00E73FF0" w:rsidRPr="00E73FF0" w:rsidRDefault="00E73FF0" w:rsidP="00E73FF0">
      <w:pPr>
        <w:ind w:firstLine="425"/>
        <w:jc w:val="both"/>
        <w:rPr>
          <w:szCs w:val="24"/>
        </w:rPr>
      </w:pPr>
      <w:r w:rsidRPr="00E73FF0">
        <w:rPr>
          <w:sz w:val="22"/>
          <w:szCs w:val="22"/>
        </w:rPr>
        <w:t>КЛЮЧЕВЫЕ СЛОВА:</w:t>
      </w:r>
      <w:r w:rsidRPr="00E73FF0">
        <w:rPr>
          <w:szCs w:val="24"/>
        </w:rPr>
        <w:t xml:space="preserve"> </w:t>
      </w:r>
      <w:r w:rsidRPr="00E73FF0">
        <w:rPr>
          <w:sz w:val="22"/>
          <w:szCs w:val="22"/>
        </w:rPr>
        <w:t>погрузчик, семена, удобрения, монтаж, эффективность</w:t>
      </w:r>
    </w:p>
    <w:p w:rsidR="00E73FF0" w:rsidRPr="00E73FF0" w:rsidRDefault="00E73FF0" w:rsidP="00E73FF0">
      <w:pPr>
        <w:ind w:firstLine="425"/>
        <w:jc w:val="both"/>
        <w:rPr>
          <w:sz w:val="22"/>
          <w:szCs w:val="22"/>
          <w:lang w:val="en-US"/>
        </w:rPr>
      </w:pPr>
      <w:r w:rsidRPr="00E73FF0">
        <w:rPr>
          <w:sz w:val="22"/>
          <w:szCs w:val="22"/>
          <w:lang w:val="en-US"/>
        </w:rPr>
        <w:t>KEYWORDS:</w:t>
      </w:r>
      <w:r w:rsidRPr="00E73FF0">
        <w:rPr>
          <w:b/>
          <w:bCs/>
          <w:sz w:val="22"/>
          <w:szCs w:val="22"/>
          <w:lang w:val="en"/>
        </w:rPr>
        <w:t xml:space="preserve"> </w:t>
      </w:r>
      <w:r w:rsidRPr="00E73FF0">
        <w:rPr>
          <w:sz w:val="22"/>
          <w:szCs w:val="22"/>
          <w:lang w:val="en"/>
        </w:rPr>
        <w:t>loader, seeds, fertilizers, installation, costs, produ</w:t>
      </w:r>
      <w:r w:rsidRPr="00E73FF0">
        <w:rPr>
          <w:sz w:val="22"/>
          <w:szCs w:val="22"/>
          <w:lang w:val="en"/>
        </w:rPr>
        <w:t>c</w:t>
      </w:r>
      <w:r w:rsidRPr="00E73FF0">
        <w:rPr>
          <w:sz w:val="22"/>
          <w:szCs w:val="22"/>
          <w:lang w:val="en"/>
        </w:rPr>
        <w:t>tivity</w:t>
      </w:r>
    </w:p>
    <w:p w:rsidR="00E73FF0" w:rsidRPr="00E73FF0" w:rsidRDefault="00E73FF0" w:rsidP="00E73FF0">
      <w:pPr>
        <w:ind w:firstLine="425"/>
        <w:jc w:val="both"/>
        <w:rPr>
          <w:sz w:val="22"/>
          <w:szCs w:val="22"/>
          <w:lang w:val="en-US"/>
        </w:rPr>
      </w:pPr>
    </w:p>
    <w:p w:rsidR="00E73FF0" w:rsidRPr="00E73FF0" w:rsidRDefault="00E73FF0" w:rsidP="00E73FF0">
      <w:pPr>
        <w:autoSpaceDE w:val="0"/>
        <w:autoSpaceDN w:val="0"/>
        <w:adjustRightInd w:val="0"/>
        <w:ind w:firstLine="425"/>
        <w:jc w:val="both"/>
        <w:rPr>
          <w:iCs/>
          <w:sz w:val="22"/>
          <w:szCs w:val="22"/>
        </w:rPr>
      </w:pPr>
      <w:r w:rsidRPr="00E73FF0">
        <w:rPr>
          <w:bCs/>
          <w:color w:val="000000"/>
          <w:sz w:val="22"/>
          <w:szCs w:val="22"/>
        </w:rPr>
        <w:t>Погрузо-разгрузочные работы относятся к наиболее трудое</w:t>
      </w:r>
      <w:r w:rsidRPr="00E73FF0">
        <w:rPr>
          <w:bCs/>
          <w:color w:val="000000"/>
          <w:sz w:val="22"/>
          <w:szCs w:val="22"/>
        </w:rPr>
        <w:t>м</w:t>
      </w:r>
      <w:r w:rsidRPr="00E73FF0">
        <w:rPr>
          <w:bCs/>
          <w:color w:val="000000"/>
          <w:sz w:val="22"/>
          <w:szCs w:val="22"/>
        </w:rPr>
        <w:t>ким процессам, как в растениеводстве, так и в животноводстве. З</w:t>
      </w:r>
      <w:r w:rsidRPr="00E73FF0">
        <w:rPr>
          <w:bCs/>
          <w:color w:val="000000"/>
          <w:sz w:val="22"/>
          <w:szCs w:val="22"/>
        </w:rPr>
        <w:t>а</w:t>
      </w:r>
      <w:r w:rsidRPr="00E73FF0">
        <w:rPr>
          <w:bCs/>
          <w:color w:val="000000"/>
          <w:sz w:val="22"/>
          <w:szCs w:val="22"/>
        </w:rPr>
        <w:t>траты труда на разгрузочные и транспортные работы при произво</w:t>
      </w:r>
      <w:r w:rsidRPr="00E73FF0">
        <w:rPr>
          <w:bCs/>
          <w:color w:val="000000"/>
          <w:sz w:val="22"/>
          <w:szCs w:val="22"/>
        </w:rPr>
        <w:t>д</w:t>
      </w:r>
      <w:r w:rsidRPr="00E73FF0">
        <w:rPr>
          <w:bCs/>
          <w:color w:val="000000"/>
          <w:sz w:val="22"/>
          <w:szCs w:val="22"/>
        </w:rPr>
        <w:t>стве основных культур составляют до 30 % всех затрат на их возд</w:t>
      </w:r>
      <w:r w:rsidRPr="00E73FF0">
        <w:rPr>
          <w:bCs/>
          <w:color w:val="000000"/>
          <w:sz w:val="22"/>
          <w:szCs w:val="22"/>
        </w:rPr>
        <w:t>е</w:t>
      </w:r>
      <w:r w:rsidRPr="00E73FF0">
        <w:rPr>
          <w:bCs/>
          <w:color w:val="000000"/>
          <w:sz w:val="22"/>
          <w:szCs w:val="22"/>
        </w:rPr>
        <w:t>лывание и уборку. Отсутствие необходимой техники для выполн</w:t>
      </w:r>
      <w:r w:rsidRPr="00E73FF0">
        <w:rPr>
          <w:bCs/>
          <w:color w:val="000000"/>
          <w:sz w:val="22"/>
          <w:szCs w:val="22"/>
        </w:rPr>
        <w:t>е</w:t>
      </w:r>
      <w:r w:rsidRPr="00E73FF0">
        <w:rPr>
          <w:bCs/>
          <w:color w:val="000000"/>
          <w:sz w:val="22"/>
          <w:szCs w:val="22"/>
        </w:rPr>
        <w:t xml:space="preserve">ния этих работ приводит к значительному росту затрат труда и снижению производительности процесса. </w:t>
      </w:r>
      <w:r w:rsidRPr="00E73FF0">
        <w:rPr>
          <w:iCs/>
          <w:sz w:val="22"/>
          <w:szCs w:val="22"/>
        </w:rPr>
        <w:t>Предлагаемые  в насто</w:t>
      </w:r>
      <w:r w:rsidRPr="00E73FF0">
        <w:rPr>
          <w:iCs/>
          <w:sz w:val="22"/>
          <w:szCs w:val="22"/>
        </w:rPr>
        <w:t>я</w:t>
      </w:r>
      <w:r w:rsidRPr="00E73FF0">
        <w:rPr>
          <w:iCs/>
          <w:sz w:val="22"/>
          <w:szCs w:val="22"/>
        </w:rPr>
        <w:t>щее время средства механизации для погрузо-разгрузочных работ по своей стоимости доступны только крупным сельхозтоваропрои</w:t>
      </w:r>
      <w:r w:rsidRPr="00E73FF0">
        <w:rPr>
          <w:iCs/>
          <w:sz w:val="22"/>
          <w:szCs w:val="22"/>
        </w:rPr>
        <w:t>з</w:t>
      </w:r>
      <w:r w:rsidRPr="00E73FF0">
        <w:rPr>
          <w:iCs/>
          <w:sz w:val="22"/>
          <w:szCs w:val="22"/>
        </w:rPr>
        <w:t>водителям, мелким предприятиям и фермерам приходится выпо</w:t>
      </w:r>
      <w:r w:rsidRPr="00E73FF0">
        <w:rPr>
          <w:iCs/>
          <w:sz w:val="22"/>
          <w:szCs w:val="22"/>
        </w:rPr>
        <w:t>л</w:t>
      </w:r>
      <w:r w:rsidRPr="00E73FF0">
        <w:rPr>
          <w:iCs/>
          <w:sz w:val="22"/>
          <w:szCs w:val="22"/>
        </w:rPr>
        <w:t>нять эти операции вручную.</w:t>
      </w:r>
    </w:p>
    <w:p w:rsidR="00E73FF0" w:rsidRPr="00E73FF0" w:rsidRDefault="00E73FF0" w:rsidP="00E73FF0">
      <w:pPr>
        <w:autoSpaceDE w:val="0"/>
        <w:autoSpaceDN w:val="0"/>
        <w:adjustRightInd w:val="0"/>
        <w:ind w:firstLine="425"/>
        <w:jc w:val="both"/>
        <w:rPr>
          <w:iCs/>
          <w:sz w:val="22"/>
          <w:szCs w:val="22"/>
        </w:rPr>
      </w:pPr>
      <w:r w:rsidRPr="00E73FF0">
        <w:rPr>
          <w:iCs/>
          <w:sz w:val="22"/>
          <w:szCs w:val="22"/>
        </w:rPr>
        <w:t>В связи с этим, модернизация имеющихся в наличии в хозя</w:t>
      </w:r>
      <w:r w:rsidRPr="00E73FF0">
        <w:rPr>
          <w:iCs/>
          <w:sz w:val="22"/>
          <w:szCs w:val="22"/>
        </w:rPr>
        <w:t>й</w:t>
      </w:r>
      <w:r w:rsidRPr="00E73FF0">
        <w:rPr>
          <w:iCs/>
          <w:sz w:val="22"/>
          <w:szCs w:val="22"/>
        </w:rPr>
        <w:t>ствах сельскохозяйственных машин, с целью повышения их техн</w:t>
      </w:r>
      <w:r w:rsidRPr="00E73FF0">
        <w:rPr>
          <w:iCs/>
          <w:sz w:val="22"/>
          <w:szCs w:val="22"/>
        </w:rPr>
        <w:t>о</w:t>
      </w:r>
      <w:r w:rsidRPr="00E73FF0">
        <w:rPr>
          <w:iCs/>
          <w:sz w:val="22"/>
          <w:szCs w:val="22"/>
        </w:rPr>
        <w:t>логических и экономических параметров, является важной задачей, решаемой руководителями мелких крестьянских и фермерских х</w:t>
      </w:r>
      <w:r w:rsidRPr="00E73FF0">
        <w:rPr>
          <w:iCs/>
          <w:sz w:val="22"/>
          <w:szCs w:val="22"/>
        </w:rPr>
        <w:t>о</w:t>
      </w:r>
      <w:r w:rsidRPr="00E73FF0">
        <w:rPr>
          <w:iCs/>
          <w:sz w:val="22"/>
          <w:szCs w:val="22"/>
        </w:rPr>
        <w:t xml:space="preserve">зяйств </w:t>
      </w:r>
      <w:r w:rsidRPr="00E73FF0">
        <w:rPr>
          <w:sz w:val="22"/>
          <w:szCs w:val="22"/>
        </w:rPr>
        <w:t>[1, 2].</w:t>
      </w:r>
      <w:r w:rsidRPr="00E73FF0">
        <w:rPr>
          <w:iCs/>
          <w:sz w:val="22"/>
          <w:szCs w:val="22"/>
        </w:rPr>
        <w:t xml:space="preserve"> </w:t>
      </w:r>
    </w:p>
    <w:p w:rsidR="00E73FF0" w:rsidRPr="00E73FF0" w:rsidRDefault="00E73FF0" w:rsidP="00E73FF0">
      <w:pPr>
        <w:ind w:firstLine="425"/>
        <w:jc w:val="both"/>
        <w:rPr>
          <w:sz w:val="22"/>
          <w:szCs w:val="22"/>
        </w:rPr>
      </w:pPr>
      <w:r w:rsidRPr="00E73FF0">
        <w:rPr>
          <w:sz w:val="22"/>
          <w:szCs w:val="22"/>
        </w:rPr>
        <w:t>В СПК КФХ «Виктор и Я» Краснодарского края изготовили универсальный погрузчик, позволяющий облегчить работу при п</w:t>
      </w:r>
      <w:r w:rsidRPr="00E73FF0">
        <w:rPr>
          <w:sz w:val="22"/>
          <w:szCs w:val="22"/>
        </w:rPr>
        <w:t>о</w:t>
      </w:r>
      <w:r w:rsidRPr="00E73FF0">
        <w:rPr>
          <w:sz w:val="22"/>
          <w:szCs w:val="22"/>
        </w:rPr>
        <w:t>севе на загрузке сеялок семенами и удобрениями, при загрузке и разгрузке штучных габаритных грузов, а также при монтаже обор</w:t>
      </w:r>
      <w:r w:rsidRPr="00E73FF0">
        <w:rPr>
          <w:sz w:val="22"/>
          <w:szCs w:val="22"/>
        </w:rPr>
        <w:t>у</w:t>
      </w:r>
      <w:r w:rsidRPr="00E73FF0">
        <w:rPr>
          <w:sz w:val="22"/>
          <w:szCs w:val="22"/>
        </w:rPr>
        <w:t>дования в цехах и на фермах, мелких строительных и ремонтных работах (в частности – демонтаж двигателя и тяжелых агрегатов с сельхозтехники). Однако, поскольку изготавливали его из име</w:t>
      </w:r>
      <w:r w:rsidRPr="00E73FF0">
        <w:rPr>
          <w:sz w:val="22"/>
          <w:szCs w:val="22"/>
        </w:rPr>
        <w:t>ю</w:t>
      </w:r>
      <w:r w:rsidRPr="00E73FF0">
        <w:rPr>
          <w:sz w:val="22"/>
          <w:szCs w:val="22"/>
        </w:rPr>
        <w:t>щихся в хозяйстве материалов, выбор которых не всегда был обо</w:t>
      </w:r>
      <w:r w:rsidRPr="00E73FF0">
        <w:rPr>
          <w:sz w:val="22"/>
          <w:szCs w:val="22"/>
        </w:rPr>
        <w:t>с</w:t>
      </w:r>
      <w:r w:rsidRPr="00E73FF0">
        <w:rPr>
          <w:sz w:val="22"/>
          <w:szCs w:val="22"/>
        </w:rPr>
        <w:t xml:space="preserve">нован, при работе погрузчика возникали поломки. </w:t>
      </w:r>
    </w:p>
    <w:p w:rsidR="00E73FF0" w:rsidRPr="00E73FF0" w:rsidRDefault="00E73FF0" w:rsidP="00E73FF0">
      <w:pPr>
        <w:ind w:firstLine="425"/>
        <w:jc w:val="both"/>
        <w:rPr>
          <w:sz w:val="22"/>
          <w:szCs w:val="22"/>
        </w:rPr>
      </w:pPr>
      <w:r w:rsidRPr="00E73FF0">
        <w:rPr>
          <w:sz w:val="22"/>
          <w:szCs w:val="22"/>
        </w:rPr>
        <w:t>Нами был выполнен расчет конструкции и необходимая техн</w:t>
      </w:r>
      <w:r w:rsidRPr="00E73FF0">
        <w:rPr>
          <w:sz w:val="22"/>
          <w:szCs w:val="22"/>
        </w:rPr>
        <w:t>и</w:t>
      </w:r>
      <w:r w:rsidRPr="00E73FF0">
        <w:rPr>
          <w:sz w:val="22"/>
          <w:szCs w:val="22"/>
        </w:rPr>
        <w:t xml:space="preserve">ческая документация с целью изготовления погрузчика в условиях мастерской фермерского хозяйства. </w:t>
      </w:r>
    </w:p>
    <w:p w:rsidR="00E73FF0" w:rsidRPr="00E73FF0" w:rsidRDefault="00E73FF0" w:rsidP="00E73FF0">
      <w:pPr>
        <w:ind w:firstLine="425"/>
        <w:jc w:val="both"/>
        <w:rPr>
          <w:sz w:val="22"/>
          <w:szCs w:val="22"/>
        </w:rPr>
      </w:pPr>
      <w:r w:rsidRPr="00E73FF0">
        <w:rPr>
          <w:sz w:val="22"/>
          <w:szCs w:val="22"/>
        </w:rPr>
        <w:t>Устройство погрузчика состоит в следующем. Подъемное устройство крепится к навеске трактора в трех точках, при этом стандартный наконечник навески меняется на изготовленный нак</w:t>
      </w:r>
      <w:r w:rsidRPr="00E73FF0">
        <w:rPr>
          <w:sz w:val="22"/>
          <w:szCs w:val="22"/>
        </w:rPr>
        <w:t>о</w:t>
      </w:r>
      <w:r w:rsidRPr="00E73FF0">
        <w:rPr>
          <w:sz w:val="22"/>
          <w:szCs w:val="22"/>
        </w:rPr>
        <w:lastRenderedPageBreak/>
        <w:t>нечник, который шарнирно крепится к раме  подъемного устро</w:t>
      </w:r>
      <w:r w:rsidRPr="00E73FF0">
        <w:rPr>
          <w:sz w:val="22"/>
          <w:szCs w:val="22"/>
        </w:rPr>
        <w:t>й</w:t>
      </w:r>
      <w:r w:rsidRPr="00E73FF0">
        <w:rPr>
          <w:sz w:val="22"/>
          <w:szCs w:val="22"/>
        </w:rPr>
        <w:t>ства. Сварная рама  изготовлена из труб прямоугольного сечения, к ней крепятся два колеса, гидроцилиндр  и балка, способная вр</w:t>
      </w:r>
      <w:r w:rsidRPr="00E73FF0">
        <w:rPr>
          <w:sz w:val="22"/>
          <w:szCs w:val="22"/>
        </w:rPr>
        <w:t>а</w:t>
      </w:r>
      <w:r w:rsidRPr="00E73FF0">
        <w:rPr>
          <w:sz w:val="22"/>
          <w:szCs w:val="22"/>
        </w:rPr>
        <w:t>щаться на подшипниках на оси. Внутри балки расположена п</w:t>
      </w:r>
      <w:r w:rsidRPr="00E73FF0">
        <w:rPr>
          <w:sz w:val="22"/>
          <w:szCs w:val="22"/>
        </w:rPr>
        <w:t>о</w:t>
      </w:r>
      <w:r w:rsidRPr="00E73FF0">
        <w:rPr>
          <w:sz w:val="22"/>
          <w:szCs w:val="22"/>
        </w:rPr>
        <w:t>движная штанга с крюком, способная выдвигаться в продольном направлении. Балка и штанга изготовлены из труб прямоугольного сечения, фиксация вылета штанги осуществляется пальцем.</w:t>
      </w:r>
    </w:p>
    <w:p w:rsidR="00E73FF0" w:rsidRPr="00E73FF0" w:rsidRDefault="00E73FF0" w:rsidP="00E73FF0">
      <w:pPr>
        <w:ind w:firstLine="425"/>
        <w:jc w:val="both"/>
        <w:rPr>
          <w:sz w:val="22"/>
          <w:szCs w:val="22"/>
        </w:rPr>
      </w:pPr>
      <w:r w:rsidRPr="00E73FF0">
        <w:rPr>
          <w:sz w:val="22"/>
          <w:szCs w:val="22"/>
        </w:rPr>
        <w:t>При переводе погрузчика в транспортное положение задвигают подвижную штангу в балку, фиксируют ее пальцем и при помощи навески трактора поднимают колеса с рамой.</w:t>
      </w:r>
    </w:p>
    <w:p w:rsidR="00E73FF0" w:rsidRPr="00E73FF0" w:rsidRDefault="00E73FF0" w:rsidP="00E73FF0">
      <w:pPr>
        <w:tabs>
          <w:tab w:val="left" w:pos="-72"/>
        </w:tabs>
        <w:autoSpaceDE w:val="0"/>
        <w:autoSpaceDN w:val="0"/>
        <w:adjustRightInd w:val="0"/>
        <w:ind w:firstLine="425"/>
        <w:jc w:val="both"/>
        <w:rPr>
          <w:sz w:val="22"/>
          <w:szCs w:val="22"/>
        </w:rPr>
      </w:pPr>
      <w:r w:rsidRPr="00E73FF0">
        <w:rPr>
          <w:sz w:val="22"/>
          <w:szCs w:val="22"/>
        </w:rPr>
        <w:t>Внедрение в производство наших рекомендаций по разработке и модернизации существующих конструкций сельскохозяйствен</w:t>
      </w:r>
      <w:r w:rsidRPr="00E73FF0">
        <w:rPr>
          <w:sz w:val="22"/>
          <w:szCs w:val="22"/>
        </w:rPr>
        <w:softHyphen/>
        <w:t>ных машин [3, 4] позволит повысить производительность и каче</w:t>
      </w:r>
      <w:r w:rsidRPr="00E73FF0">
        <w:rPr>
          <w:sz w:val="22"/>
          <w:szCs w:val="22"/>
        </w:rPr>
        <w:softHyphen/>
        <w:t xml:space="preserve">ство выполнения работ. </w:t>
      </w:r>
    </w:p>
    <w:p w:rsidR="00E73FF0" w:rsidRPr="00E73FF0" w:rsidRDefault="00E73FF0" w:rsidP="00E73FF0">
      <w:pPr>
        <w:tabs>
          <w:tab w:val="left" w:pos="360"/>
        </w:tabs>
        <w:jc w:val="center"/>
        <w:rPr>
          <w:sz w:val="22"/>
          <w:szCs w:val="22"/>
        </w:rPr>
      </w:pPr>
    </w:p>
    <w:p w:rsidR="00E73FF0" w:rsidRPr="00E73FF0" w:rsidRDefault="00E73FF0" w:rsidP="00E73FF0">
      <w:pPr>
        <w:tabs>
          <w:tab w:val="left" w:pos="360"/>
        </w:tabs>
        <w:jc w:val="center"/>
        <w:rPr>
          <w:sz w:val="22"/>
          <w:szCs w:val="22"/>
        </w:rPr>
      </w:pPr>
      <w:r w:rsidRPr="00E73FF0">
        <w:rPr>
          <w:sz w:val="22"/>
          <w:szCs w:val="22"/>
        </w:rPr>
        <w:t>Список литературы</w:t>
      </w:r>
    </w:p>
    <w:p w:rsidR="00E73FF0" w:rsidRPr="00E73FF0" w:rsidRDefault="00E73FF0" w:rsidP="00E73FF0">
      <w:pPr>
        <w:ind w:firstLine="425"/>
        <w:jc w:val="both"/>
        <w:rPr>
          <w:sz w:val="22"/>
          <w:szCs w:val="22"/>
        </w:rPr>
      </w:pPr>
      <w:r w:rsidRPr="00E73FF0">
        <w:rPr>
          <w:sz w:val="22"/>
          <w:szCs w:val="22"/>
        </w:rPr>
        <w:t>1. Юдина Е.М. Технологии в растениеводстве: учеб. пособие / Е.М. Юдина, Е.Ю. Авилова, С.А. Калитко, М.О. Юдин. - Красн</w:t>
      </w:r>
      <w:r w:rsidRPr="00E73FF0">
        <w:rPr>
          <w:sz w:val="22"/>
          <w:szCs w:val="22"/>
        </w:rPr>
        <w:t>о</w:t>
      </w:r>
      <w:r w:rsidRPr="00E73FF0">
        <w:rPr>
          <w:sz w:val="22"/>
          <w:szCs w:val="22"/>
        </w:rPr>
        <w:t>дар: КубГАУ, 2015. - 119 с.</w:t>
      </w:r>
    </w:p>
    <w:p w:rsidR="00E73FF0" w:rsidRPr="00E73FF0" w:rsidRDefault="00E73FF0" w:rsidP="00E73FF0">
      <w:pPr>
        <w:tabs>
          <w:tab w:val="left" w:pos="180"/>
        </w:tabs>
        <w:ind w:firstLine="360"/>
        <w:jc w:val="both"/>
        <w:rPr>
          <w:color w:val="000000"/>
          <w:sz w:val="22"/>
          <w:szCs w:val="22"/>
        </w:rPr>
      </w:pPr>
      <w:r w:rsidRPr="00E73FF0">
        <w:rPr>
          <w:sz w:val="22"/>
          <w:szCs w:val="22"/>
        </w:rPr>
        <w:t>2. Юдина Е.М. Снижение энергоемкости технологических пр</w:t>
      </w:r>
      <w:r w:rsidRPr="00E73FF0">
        <w:rPr>
          <w:sz w:val="22"/>
          <w:szCs w:val="22"/>
        </w:rPr>
        <w:t>о</w:t>
      </w:r>
      <w:r w:rsidRPr="00E73FF0">
        <w:rPr>
          <w:sz w:val="22"/>
          <w:szCs w:val="22"/>
        </w:rPr>
        <w:t>цессов в растениеводстве // В сборнике: </w:t>
      </w:r>
      <w:hyperlink r:id="rId63" w:history="1">
        <w:r w:rsidRPr="00E73FF0">
          <w:rPr>
            <w:sz w:val="22"/>
            <w:szCs w:val="22"/>
          </w:rPr>
          <w:t>Потенциал современной науки</w:t>
        </w:r>
      </w:hyperlink>
      <w:r w:rsidRPr="00E73FF0">
        <w:rPr>
          <w:sz w:val="22"/>
          <w:szCs w:val="22"/>
        </w:rPr>
        <w:t>. Материалы Межд. (заочной) науч.-практ. конф. НИЦ «Мир науки».</w:t>
      </w:r>
      <w:r w:rsidRPr="00E73FF0">
        <w:rPr>
          <w:color w:val="000000"/>
          <w:sz w:val="22"/>
          <w:szCs w:val="22"/>
        </w:rPr>
        <w:t xml:space="preserve"> 2016. С. 123-127</w:t>
      </w:r>
    </w:p>
    <w:p w:rsidR="00E73FF0" w:rsidRPr="00E73FF0" w:rsidRDefault="00E73FF0" w:rsidP="00E73FF0">
      <w:pPr>
        <w:tabs>
          <w:tab w:val="left" w:pos="880"/>
          <w:tab w:val="left" w:pos="990"/>
          <w:tab w:val="left" w:pos="1100"/>
        </w:tabs>
        <w:ind w:firstLine="567"/>
        <w:jc w:val="both"/>
        <w:rPr>
          <w:sz w:val="22"/>
          <w:szCs w:val="22"/>
        </w:rPr>
      </w:pPr>
      <w:r w:rsidRPr="00E73FF0">
        <w:rPr>
          <w:color w:val="000000"/>
          <w:sz w:val="22"/>
          <w:szCs w:val="22"/>
        </w:rPr>
        <w:t xml:space="preserve">3. </w:t>
      </w:r>
      <w:r w:rsidRPr="00E73FF0">
        <w:rPr>
          <w:sz w:val="22"/>
          <w:szCs w:val="22"/>
        </w:rPr>
        <w:t xml:space="preserve">Юдина Е.М., Сергунцов А.С. К выбору технических средств для уборки ботвы сахарной свеклы // В сборнике: </w:t>
      </w:r>
      <w:hyperlink r:id="rId64" w:history="1">
        <w:r w:rsidRPr="00E73FF0">
          <w:rPr>
            <w:sz w:val="22"/>
            <w:szCs w:val="22"/>
          </w:rPr>
          <w:t>Новая</w:t>
        </w:r>
      </w:hyperlink>
      <w:r w:rsidRPr="00E73FF0">
        <w:rPr>
          <w:sz w:val="22"/>
          <w:szCs w:val="22"/>
        </w:rPr>
        <w:t xml:space="preserve"> наука: современное состояние и перспективы развития. Сборник статей Межд. науч.-практ. конф./ Нефтекамск, 2017. С. 163-166.</w:t>
      </w:r>
    </w:p>
    <w:p w:rsidR="00E73FF0" w:rsidRPr="00024398" w:rsidRDefault="00E73FF0" w:rsidP="00E73FF0">
      <w:pPr>
        <w:tabs>
          <w:tab w:val="left" w:pos="880"/>
          <w:tab w:val="left" w:pos="990"/>
          <w:tab w:val="left" w:pos="1100"/>
        </w:tabs>
        <w:ind w:firstLine="567"/>
        <w:jc w:val="both"/>
        <w:rPr>
          <w:sz w:val="22"/>
          <w:szCs w:val="22"/>
          <w:lang w:val="en-US"/>
        </w:rPr>
      </w:pPr>
      <w:r w:rsidRPr="00E73FF0">
        <w:rPr>
          <w:sz w:val="22"/>
          <w:szCs w:val="22"/>
        </w:rPr>
        <w:t xml:space="preserve">4. Юдина Е.М., Юдин М.О., Сергунцов А.С. Модернизация привода ротационной косилки // В сборнике: </w:t>
      </w:r>
      <w:hyperlink r:id="rId65" w:history="1">
        <w:r w:rsidRPr="00E73FF0">
          <w:rPr>
            <w:sz w:val="22"/>
            <w:szCs w:val="22"/>
          </w:rPr>
          <w:t>Научные исследов</w:t>
        </w:r>
        <w:r w:rsidRPr="00E73FF0">
          <w:rPr>
            <w:sz w:val="22"/>
            <w:szCs w:val="22"/>
          </w:rPr>
          <w:t>а</w:t>
        </w:r>
        <w:r w:rsidRPr="00E73FF0">
          <w:rPr>
            <w:sz w:val="22"/>
            <w:szCs w:val="22"/>
          </w:rPr>
          <w:t>ния и разработки в эпоху глобализации</w:t>
        </w:r>
      </w:hyperlink>
      <w:r w:rsidRPr="00E73FF0">
        <w:rPr>
          <w:sz w:val="22"/>
          <w:szCs w:val="22"/>
        </w:rPr>
        <w:t>. Сборник статей Межд. науч.-практ. конф./ в 3 ч.Ч.2. Уфа, 2016. С</w:t>
      </w:r>
      <w:r w:rsidRPr="00024398">
        <w:rPr>
          <w:sz w:val="22"/>
          <w:szCs w:val="22"/>
          <w:lang w:val="en-US"/>
        </w:rPr>
        <w:t>. 111-113.</w:t>
      </w:r>
    </w:p>
    <w:p w:rsidR="00E73FF0" w:rsidRPr="00024398" w:rsidRDefault="00E73FF0" w:rsidP="00B43BBC">
      <w:pPr>
        <w:pStyle w:val="31"/>
        <w:rPr>
          <w:sz w:val="22"/>
          <w:szCs w:val="22"/>
          <w:lang w:val="en-US"/>
        </w:rPr>
      </w:pPr>
    </w:p>
    <w:p w:rsidR="00483E1F" w:rsidRPr="00C609D1" w:rsidRDefault="00662BE8" w:rsidP="00662BE8">
      <w:pPr>
        <w:rPr>
          <w:sz w:val="22"/>
          <w:szCs w:val="22"/>
          <w:lang w:val="en-US"/>
        </w:rPr>
      </w:pPr>
      <w:r>
        <w:rPr>
          <w:sz w:val="22"/>
          <w:szCs w:val="22"/>
          <w:lang w:val="en-US"/>
        </w:rPr>
        <w:br w:type="page"/>
      </w:r>
    </w:p>
    <w:p w:rsidR="00E73FF0" w:rsidRPr="00024398" w:rsidRDefault="00E73FF0" w:rsidP="00E73FF0">
      <w:pPr>
        <w:widowControl w:val="0"/>
        <w:rPr>
          <w:rFonts w:eastAsia="Courier New"/>
          <w:color w:val="000000"/>
          <w:sz w:val="22"/>
          <w:szCs w:val="22"/>
          <w:lang w:val="en-US" w:eastAsia="en-US"/>
        </w:rPr>
      </w:pPr>
      <w:r w:rsidRPr="00E73FF0">
        <w:rPr>
          <w:rFonts w:eastAsia="Courier New"/>
          <w:color w:val="000000"/>
          <w:sz w:val="22"/>
          <w:szCs w:val="22"/>
          <w:lang w:eastAsia="en-US"/>
        </w:rPr>
        <w:lastRenderedPageBreak/>
        <w:t>УДК</w:t>
      </w:r>
      <w:r w:rsidRPr="00024398">
        <w:rPr>
          <w:rFonts w:eastAsia="Courier New"/>
          <w:color w:val="000000"/>
          <w:sz w:val="22"/>
          <w:szCs w:val="22"/>
          <w:lang w:val="en-US" w:eastAsia="en-US"/>
        </w:rPr>
        <w:t xml:space="preserve"> 631.171 (075.8)</w:t>
      </w:r>
    </w:p>
    <w:p w:rsidR="00E73FF0" w:rsidRPr="00024398" w:rsidRDefault="00E73FF0" w:rsidP="00E73FF0">
      <w:pPr>
        <w:widowControl w:val="0"/>
        <w:rPr>
          <w:rFonts w:eastAsia="Courier New"/>
          <w:color w:val="000000"/>
          <w:sz w:val="22"/>
          <w:szCs w:val="22"/>
          <w:lang w:val="en-US" w:eastAsia="en-US"/>
        </w:rPr>
      </w:pPr>
    </w:p>
    <w:p w:rsidR="00E73FF0" w:rsidRPr="00024398" w:rsidRDefault="00E73FF0" w:rsidP="00E73FF0">
      <w:pPr>
        <w:widowControl w:val="0"/>
        <w:jc w:val="center"/>
        <w:rPr>
          <w:rFonts w:eastAsia="Courier New"/>
          <w:b/>
          <w:color w:val="000000"/>
          <w:sz w:val="24"/>
          <w:szCs w:val="24"/>
          <w:lang w:val="en-US" w:eastAsia="en-US"/>
        </w:rPr>
      </w:pPr>
      <w:r w:rsidRPr="00E73FF0">
        <w:rPr>
          <w:rFonts w:eastAsia="Courier New"/>
          <w:b/>
          <w:color w:val="000000"/>
          <w:sz w:val="24"/>
          <w:szCs w:val="24"/>
          <w:lang w:eastAsia="en-US"/>
        </w:rPr>
        <w:t>Прогноз</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развития</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точного</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сельского</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хозяйства</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в</w:t>
      </w:r>
      <w:r w:rsidRPr="00024398">
        <w:rPr>
          <w:rFonts w:eastAsia="Courier New"/>
          <w:b/>
          <w:color w:val="000000"/>
          <w:sz w:val="24"/>
          <w:szCs w:val="24"/>
          <w:lang w:val="en-US" w:eastAsia="en-US"/>
        </w:rPr>
        <w:t xml:space="preserve"> </w:t>
      </w:r>
      <w:r w:rsidRPr="00E73FF0">
        <w:rPr>
          <w:rFonts w:eastAsia="Courier New"/>
          <w:b/>
          <w:color w:val="000000"/>
          <w:sz w:val="24"/>
          <w:szCs w:val="24"/>
          <w:lang w:eastAsia="en-US"/>
        </w:rPr>
        <w:t>Европе</w:t>
      </w:r>
    </w:p>
    <w:p w:rsidR="00E73FF0" w:rsidRPr="00024398" w:rsidRDefault="00483E1F" w:rsidP="00E73FF0">
      <w:pPr>
        <w:widowControl w:val="0"/>
        <w:jc w:val="center"/>
        <w:rPr>
          <w:rFonts w:eastAsia="Courier New"/>
          <w:b/>
          <w:color w:val="000000"/>
          <w:sz w:val="24"/>
          <w:szCs w:val="24"/>
          <w:lang w:val="en-US" w:eastAsia="en-US"/>
        </w:rPr>
      </w:pPr>
      <w:r w:rsidRPr="00483E1F">
        <w:rPr>
          <w:rFonts w:eastAsia="Courier New"/>
          <w:b/>
          <w:color w:val="000000"/>
          <w:sz w:val="24"/>
          <w:szCs w:val="24"/>
          <w:lang w:val="en-US" w:eastAsia="en-US"/>
        </w:rPr>
        <w:t>Forecast of development of exact agriculture in Europe</w:t>
      </w:r>
    </w:p>
    <w:p w:rsidR="00483E1F" w:rsidRPr="00024398" w:rsidRDefault="00483E1F" w:rsidP="00E73FF0">
      <w:pPr>
        <w:widowControl w:val="0"/>
        <w:jc w:val="center"/>
        <w:rPr>
          <w:rFonts w:eastAsia="Courier New"/>
          <w:b/>
          <w:color w:val="000000"/>
          <w:sz w:val="24"/>
          <w:szCs w:val="24"/>
          <w:lang w:val="en-US" w:eastAsia="en-US"/>
        </w:rPr>
      </w:pP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Выголова Е. Р.,</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студентка 2-го курса факультета механизации</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Труфляк Е. В.,</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заведующий кафедрой эксплуатации МТП</w:t>
      </w:r>
    </w:p>
    <w:p w:rsidR="00483E1F" w:rsidRPr="00E73FF0" w:rsidRDefault="00E73FF0" w:rsidP="00483E1F">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483E1F">
        <w:rPr>
          <w:rFonts w:eastAsia="Courier New"/>
          <w:color w:val="000000"/>
          <w:sz w:val="22"/>
          <w:szCs w:val="22"/>
          <w:lang w:eastAsia="en-US"/>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E73FF0" w:rsidRPr="00E73FF0" w:rsidRDefault="00E73FF0" w:rsidP="00E73FF0">
      <w:pPr>
        <w:widowControl w:val="0"/>
        <w:tabs>
          <w:tab w:val="left" w:pos="8223"/>
        </w:tabs>
        <w:jc w:val="right"/>
        <w:rPr>
          <w:rFonts w:eastAsia="Courier New"/>
          <w:color w:val="000000"/>
          <w:sz w:val="22"/>
          <w:szCs w:val="22"/>
          <w:lang w:eastAsia="en-US"/>
        </w:rPr>
      </w:pP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АННОТАЦИЯ: В статье представлены четыре сценария разв</w:t>
      </w:r>
      <w:r w:rsidRPr="00E73FF0">
        <w:rPr>
          <w:rFonts w:eastAsia="Courier New"/>
          <w:color w:val="000000"/>
          <w:sz w:val="22"/>
          <w:szCs w:val="22"/>
          <w:lang w:eastAsia="en-US"/>
        </w:rPr>
        <w:t>и</w:t>
      </w:r>
      <w:r w:rsidRPr="00E73FF0">
        <w:rPr>
          <w:rFonts w:eastAsia="Courier New"/>
          <w:color w:val="000000"/>
          <w:sz w:val="22"/>
          <w:szCs w:val="22"/>
          <w:lang w:eastAsia="en-US"/>
        </w:rPr>
        <w:t>тия точного земледелия и точного животноводства в Европе на п</w:t>
      </w:r>
      <w:r w:rsidRPr="00E73FF0">
        <w:rPr>
          <w:rFonts w:eastAsia="Courier New"/>
          <w:color w:val="000000"/>
          <w:sz w:val="22"/>
          <w:szCs w:val="22"/>
          <w:lang w:eastAsia="en-US"/>
        </w:rPr>
        <w:t>е</w:t>
      </w:r>
      <w:r w:rsidRPr="00E73FF0">
        <w:rPr>
          <w:rFonts w:eastAsia="Courier New"/>
          <w:color w:val="000000"/>
          <w:sz w:val="22"/>
          <w:szCs w:val="22"/>
          <w:lang w:eastAsia="en-US"/>
        </w:rPr>
        <w:t>риод до 2050 г.</w:t>
      </w:r>
    </w:p>
    <w:p w:rsidR="00E73FF0" w:rsidRPr="00E73FF0" w:rsidRDefault="00E73FF0" w:rsidP="00E73FF0">
      <w:pPr>
        <w:widowControl w:val="0"/>
        <w:tabs>
          <w:tab w:val="left" w:pos="8223"/>
        </w:tabs>
        <w:ind w:firstLine="426"/>
        <w:jc w:val="both"/>
        <w:rPr>
          <w:rFonts w:ascii="Tahoma" w:eastAsia="Courier New" w:hAnsi="Tahoma" w:cs="Tahoma"/>
          <w:color w:val="000000"/>
          <w:sz w:val="22"/>
          <w:szCs w:val="22"/>
          <w:shd w:val="clear" w:color="auto" w:fill="FFFFFF"/>
          <w:lang w:val="en-US" w:eastAsia="en-US"/>
        </w:rPr>
      </w:pPr>
      <w:r w:rsidRPr="00E73FF0">
        <w:rPr>
          <w:rFonts w:eastAsia="Courier New"/>
          <w:color w:val="000000"/>
          <w:sz w:val="22"/>
          <w:szCs w:val="22"/>
          <w:lang w:val="en-US" w:eastAsia="en-US"/>
        </w:rPr>
        <w:t>ABSTRACT:</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shd w:val="clear" w:color="auto" w:fill="FFFFFF"/>
          <w:lang w:val="en-US" w:eastAsia="en-US"/>
        </w:rPr>
        <w:t>Four scenarios of development of exact agriculture and exact livestock production in Europe until 2050 are presented in art</w:t>
      </w:r>
      <w:r w:rsidRPr="00E73FF0">
        <w:rPr>
          <w:rFonts w:eastAsia="Courier New"/>
          <w:color w:val="000000"/>
          <w:sz w:val="22"/>
          <w:szCs w:val="22"/>
          <w:shd w:val="clear" w:color="auto" w:fill="FFFFFF"/>
          <w:lang w:val="en-US" w:eastAsia="en-US"/>
        </w:rPr>
        <w:t>i</w:t>
      </w:r>
      <w:r w:rsidRPr="00E73FF0">
        <w:rPr>
          <w:rFonts w:eastAsia="Courier New"/>
          <w:color w:val="000000"/>
          <w:sz w:val="22"/>
          <w:szCs w:val="22"/>
          <w:shd w:val="clear" w:color="auto" w:fill="FFFFFF"/>
          <w:lang w:val="en-US" w:eastAsia="en-US"/>
        </w:rPr>
        <w:t>cle.</w:t>
      </w: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КЛЮЧЕВЫЕ СЛОВА: точное сельское хозяйство, прогноз, м</w:t>
      </w:r>
      <w:r w:rsidRPr="00E73FF0">
        <w:rPr>
          <w:rFonts w:eastAsia="Courier New"/>
          <w:color w:val="000000"/>
          <w:sz w:val="22"/>
          <w:szCs w:val="22"/>
          <w:lang w:eastAsia="en-US"/>
        </w:rPr>
        <w:t>о</w:t>
      </w:r>
      <w:r w:rsidRPr="00E73FF0">
        <w:rPr>
          <w:rFonts w:eastAsia="Courier New"/>
          <w:color w:val="000000"/>
          <w:sz w:val="22"/>
          <w:szCs w:val="22"/>
          <w:lang w:eastAsia="en-US"/>
        </w:rPr>
        <w:t>ниторинг, продовольственная безопасность.</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val="en-US" w:eastAsia="en-US"/>
        </w:rPr>
        <w:t>KEYWORDS:</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lang w:val="en-US" w:eastAsia="en-US"/>
        </w:rPr>
        <w:t>exact agriculture, forecast, monitoring, food secur</w:t>
      </w:r>
      <w:r w:rsidRPr="00E73FF0">
        <w:rPr>
          <w:rFonts w:eastAsia="Courier New"/>
          <w:color w:val="000000"/>
          <w:sz w:val="22"/>
          <w:szCs w:val="22"/>
          <w:lang w:val="en-US" w:eastAsia="en-US"/>
        </w:rPr>
        <w:t>i</w:t>
      </w:r>
      <w:r w:rsidRPr="00E73FF0">
        <w:rPr>
          <w:rFonts w:eastAsia="Courier New"/>
          <w:color w:val="000000"/>
          <w:sz w:val="22"/>
          <w:szCs w:val="22"/>
          <w:lang w:val="en-US" w:eastAsia="en-US"/>
        </w:rPr>
        <w:t>ty.</w:t>
      </w:r>
    </w:p>
    <w:p w:rsidR="00E73FF0" w:rsidRPr="00E73FF0" w:rsidRDefault="00E73FF0" w:rsidP="00E73FF0">
      <w:pPr>
        <w:autoSpaceDE w:val="0"/>
        <w:autoSpaceDN w:val="0"/>
        <w:adjustRightInd w:val="0"/>
        <w:ind w:firstLine="426"/>
        <w:jc w:val="both"/>
        <w:rPr>
          <w:rFonts w:eastAsia="Courier New"/>
          <w:color w:val="000000"/>
          <w:sz w:val="22"/>
          <w:szCs w:val="22"/>
          <w:lang w:val="en-US" w:eastAsia="en-US"/>
        </w:rPr>
      </w:pP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Глобальное сельское хозяйство сталкивается со многими о</w:t>
      </w:r>
      <w:r w:rsidRPr="00E73FF0">
        <w:rPr>
          <w:rFonts w:eastAsia="Calibri" w:cs="Arial"/>
          <w:color w:val="000000"/>
          <w:sz w:val="22"/>
          <w:szCs w:val="22"/>
          <w:lang w:eastAsia="en-US"/>
        </w:rPr>
        <w:t>с</w:t>
      </w:r>
      <w:r w:rsidRPr="00E73FF0">
        <w:rPr>
          <w:rFonts w:eastAsia="Calibri" w:cs="Arial"/>
          <w:color w:val="000000"/>
          <w:sz w:val="22"/>
          <w:szCs w:val="22"/>
          <w:lang w:eastAsia="en-US"/>
        </w:rPr>
        <w:t>новными проблемами: быстрый международный прирост насел</w:t>
      </w:r>
      <w:r w:rsidRPr="00E73FF0">
        <w:rPr>
          <w:rFonts w:eastAsia="Calibri" w:cs="Arial"/>
          <w:color w:val="000000"/>
          <w:sz w:val="22"/>
          <w:szCs w:val="22"/>
          <w:lang w:eastAsia="en-US"/>
        </w:rPr>
        <w:t>е</w:t>
      </w:r>
      <w:r w:rsidRPr="00E73FF0">
        <w:rPr>
          <w:rFonts w:eastAsia="Calibri" w:cs="Arial"/>
          <w:color w:val="000000"/>
          <w:sz w:val="22"/>
          <w:szCs w:val="22"/>
          <w:lang w:eastAsia="en-US"/>
        </w:rPr>
        <w:t>ния, изменение климата растущий спрос на энергию, нехватка р</w:t>
      </w:r>
      <w:r w:rsidRPr="00E73FF0">
        <w:rPr>
          <w:rFonts w:eastAsia="Calibri" w:cs="Arial"/>
          <w:color w:val="000000"/>
          <w:sz w:val="22"/>
          <w:szCs w:val="22"/>
          <w:lang w:eastAsia="en-US"/>
        </w:rPr>
        <w:t>е</w:t>
      </w:r>
      <w:r w:rsidRPr="00E73FF0">
        <w:rPr>
          <w:rFonts w:eastAsia="Calibri" w:cs="Arial"/>
          <w:color w:val="000000"/>
          <w:sz w:val="22"/>
          <w:szCs w:val="22"/>
          <w:lang w:eastAsia="en-US"/>
        </w:rPr>
        <w:t>сурсов, урбанизация, диетические изменения, стареющее население сельских районов развитых стран. Все это усиливает конкуренцию на мировых рынках в условиях отсутствия свободных земель [1, 2].</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Внедрение элементов точного сельского хозяйства (ТСХ) сущ</w:t>
      </w:r>
      <w:r w:rsidRPr="00E73FF0">
        <w:rPr>
          <w:rFonts w:eastAsia="Calibri"/>
          <w:spacing w:val="-4"/>
          <w:sz w:val="22"/>
          <w:szCs w:val="22"/>
          <w:lang w:eastAsia="en-US"/>
        </w:rPr>
        <w:t>е</w:t>
      </w:r>
      <w:r w:rsidRPr="00E73FF0">
        <w:rPr>
          <w:rFonts w:eastAsia="Calibri"/>
          <w:spacing w:val="-4"/>
          <w:sz w:val="22"/>
          <w:szCs w:val="22"/>
          <w:lang w:eastAsia="en-US"/>
        </w:rPr>
        <w:t>ствуют в растениеводстве и молочном животноводстве.</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xml:space="preserve">Рассмотрим сценарии развития ТСХ в Европе.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xml:space="preserve">Сценарий 1 – Экономический оптимизм.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У этого первого вымышленного сценария, разработанного как и</w:t>
      </w:r>
      <w:r w:rsidRPr="00E73FF0">
        <w:rPr>
          <w:rFonts w:eastAsia="Calibri"/>
          <w:spacing w:val="-4"/>
          <w:sz w:val="22"/>
          <w:szCs w:val="22"/>
          <w:lang w:eastAsia="en-US"/>
        </w:rPr>
        <w:t>н</w:t>
      </w:r>
      <w:r w:rsidRPr="00E73FF0">
        <w:rPr>
          <w:rFonts w:eastAsia="Calibri"/>
          <w:spacing w:val="-4"/>
          <w:sz w:val="22"/>
          <w:szCs w:val="22"/>
          <w:lang w:eastAsia="en-US"/>
        </w:rPr>
        <w:t>струмент исследования, есть следующие главные особенности: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главная цель – экономический рост;</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очень быстрый экономический рост;</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lastRenderedPageBreak/>
        <w:t>– быстрый технический прогресс;</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довольно медленный прирост населения;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увеличение международной торговой (глобализации, свободной торговли);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ТСХ и другие технологии осуществлены для единственной цели более высокой эффективности;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ТСХ развивается полностью, с применением автономных роб</w:t>
      </w:r>
      <w:r w:rsidRPr="00E73FF0">
        <w:rPr>
          <w:rFonts w:eastAsia="Calibri"/>
          <w:spacing w:val="-4"/>
          <w:sz w:val="22"/>
          <w:szCs w:val="22"/>
          <w:lang w:eastAsia="en-US"/>
        </w:rPr>
        <w:t>о</w:t>
      </w:r>
      <w:r w:rsidRPr="00E73FF0">
        <w:rPr>
          <w:rFonts w:eastAsia="Calibri"/>
          <w:spacing w:val="-4"/>
          <w:sz w:val="22"/>
          <w:szCs w:val="22"/>
          <w:lang w:eastAsia="en-US"/>
        </w:rPr>
        <w:t xml:space="preserve">тов и ферм управления, что приводит к потере рабочих мест;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политика и законодательство благоприятствуют созданию о</w:t>
      </w:r>
      <w:r w:rsidRPr="00E73FF0">
        <w:rPr>
          <w:rFonts w:eastAsia="Calibri"/>
          <w:spacing w:val="-4"/>
          <w:sz w:val="22"/>
          <w:szCs w:val="22"/>
          <w:lang w:eastAsia="en-US"/>
        </w:rPr>
        <w:t>т</w:t>
      </w:r>
      <w:r w:rsidRPr="00E73FF0">
        <w:rPr>
          <w:rFonts w:eastAsia="Calibri"/>
          <w:spacing w:val="-4"/>
          <w:sz w:val="22"/>
          <w:szCs w:val="22"/>
          <w:lang w:eastAsia="en-US"/>
        </w:rPr>
        <w:t>крытых рынков.</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xml:space="preserve">Сценарий 2 – 2050: Глобальное устойчивое развитие.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У второго вымышленного сценария есть следующие главные ос</w:t>
      </w:r>
      <w:r w:rsidRPr="00E73FF0">
        <w:rPr>
          <w:rFonts w:eastAsia="Calibri"/>
          <w:spacing w:val="-4"/>
          <w:sz w:val="22"/>
          <w:szCs w:val="22"/>
          <w:lang w:eastAsia="en-US"/>
        </w:rPr>
        <w:t>о</w:t>
      </w:r>
      <w:r w:rsidRPr="00E73FF0">
        <w:rPr>
          <w:rFonts w:eastAsia="Calibri"/>
          <w:spacing w:val="-4"/>
          <w:sz w:val="22"/>
          <w:szCs w:val="22"/>
          <w:lang w:eastAsia="en-US"/>
        </w:rPr>
        <w:t>бенности: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главная цель – глобальная устойчивость;</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сильный экономический рост;</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относительно медленный прирост населения;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средний технический прогресс;</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международная торговля (глобализация, свободная торговля);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сильное глобальное управление;</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увеличение интенсивности регулирования;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правительства стремятся к реформам;</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прорывы ТСХ касаются проблемы равенства и устойчивости;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ТСХ разрабатывает быстрые, полуавтономные технологии на большинстве ферм.</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Сценарий 3 – 2050: Региональное соперничество:</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главная цель – безопасность;</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медленный экономический рост;</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быстрый прирост населения;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медленный технический прогресс;</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торговые барьеры;</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сильные национальные правительства;</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для экономии времени и производства большего количества продукции внедряются технологии ТСХ;</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фермеры рассматриваются как важные члены сообщества.</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Сценарий 4 – 2050: Региональное устойчивое развитие:</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главная цель – региональная устойчивость;</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среда, чтобы замедлить экономический рост;</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средний прирост населения;</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lastRenderedPageBreak/>
        <w:t>– медленный технический прогресс;</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торговые барьеры;</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xml:space="preserve">– местное управление, местные игроки на рынке;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ТСХ используется для продовольственной безопасности и целей устойчивости.</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 xml:space="preserve">Обобщим представленные сценарии развития [3, 4].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В сценарии 1 – «Экономический оптимизм» ТСХ используется в экономических целях, и главным образом более крупными, междун</w:t>
      </w:r>
      <w:r w:rsidRPr="00E73FF0">
        <w:rPr>
          <w:rFonts w:eastAsia="Calibri"/>
          <w:spacing w:val="-4"/>
          <w:sz w:val="22"/>
          <w:szCs w:val="22"/>
          <w:lang w:eastAsia="en-US"/>
        </w:rPr>
        <w:t>а</w:t>
      </w:r>
      <w:r w:rsidRPr="00E73FF0">
        <w:rPr>
          <w:rFonts w:eastAsia="Calibri"/>
          <w:spacing w:val="-4"/>
          <w:sz w:val="22"/>
          <w:szCs w:val="22"/>
          <w:lang w:eastAsia="en-US"/>
        </w:rPr>
        <w:t xml:space="preserve">родными корпорациями.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В сценарии 2 – «Глобальное устойчивое развитие» ТСХ использ</w:t>
      </w:r>
      <w:r w:rsidRPr="00E73FF0">
        <w:rPr>
          <w:rFonts w:eastAsia="Calibri"/>
          <w:spacing w:val="-4"/>
          <w:sz w:val="22"/>
          <w:szCs w:val="22"/>
          <w:lang w:eastAsia="en-US"/>
        </w:rPr>
        <w:t>у</w:t>
      </w:r>
      <w:r w:rsidRPr="00E73FF0">
        <w:rPr>
          <w:rFonts w:eastAsia="Calibri"/>
          <w:spacing w:val="-4"/>
          <w:sz w:val="22"/>
          <w:szCs w:val="22"/>
          <w:lang w:eastAsia="en-US"/>
        </w:rPr>
        <w:t xml:space="preserve">ется для экологических целей и отрегулирован правительством.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В сценарии 3 – «Региональное соперничество» ТСХ, главным о</w:t>
      </w:r>
      <w:r w:rsidRPr="00E73FF0">
        <w:rPr>
          <w:rFonts w:eastAsia="Calibri"/>
          <w:spacing w:val="-4"/>
          <w:sz w:val="22"/>
          <w:szCs w:val="22"/>
          <w:lang w:eastAsia="en-US"/>
        </w:rPr>
        <w:t>б</w:t>
      </w:r>
      <w:r w:rsidRPr="00E73FF0">
        <w:rPr>
          <w:rFonts w:eastAsia="Calibri"/>
          <w:spacing w:val="-4"/>
          <w:sz w:val="22"/>
          <w:szCs w:val="22"/>
          <w:lang w:eastAsia="en-US"/>
        </w:rPr>
        <w:t>разом, используется, чтобы гарантировать продовольственную бе</w:t>
      </w:r>
      <w:r w:rsidRPr="00E73FF0">
        <w:rPr>
          <w:rFonts w:eastAsia="Calibri"/>
          <w:spacing w:val="-4"/>
          <w:sz w:val="22"/>
          <w:szCs w:val="22"/>
          <w:lang w:eastAsia="en-US"/>
        </w:rPr>
        <w:t>з</w:t>
      </w:r>
      <w:r w:rsidRPr="00E73FF0">
        <w:rPr>
          <w:rFonts w:eastAsia="Calibri"/>
          <w:spacing w:val="-4"/>
          <w:sz w:val="22"/>
          <w:szCs w:val="22"/>
          <w:lang w:eastAsia="en-US"/>
        </w:rPr>
        <w:t xml:space="preserve">опасность и безопасность пищевых продуктов. </w:t>
      </w:r>
    </w:p>
    <w:p w:rsidR="00E73FF0" w:rsidRPr="00E73FF0" w:rsidRDefault="00E73FF0" w:rsidP="00E73FF0">
      <w:pPr>
        <w:ind w:firstLine="425"/>
        <w:jc w:val="both"/>
        <w:rPr>
          <w:rFonts w:eastAsia="Calibri"/>
          <w:spacing w:val="-4"/>
          <w:sz w:val="22"/>
          <w:szCs w:val="22"/>
          <w:lang w:eastAsia="en-US"/>
        </w:rPr>
      </w:pPr>
      <w:r w:rsidRPr="00E73FF0">
        <w:rPr>
          <w:rFonts w:eastAsia="Calibri"/>
          <w:spacing w:val="-4"/>
          <w:sz w:val="22"/>
          <w:szCs w:val="22"/>
          <w:lang w:eastAsia="en-US"/>
        </w:rPr>
        <w:t>В сценарии 4 – «Региональное устойчивое развитие» технологии ТСХ должны установить устойчивость на местном уровне в сочетании с традиционными знаниями и человеческим трудом.</w:t>
      </w:r>
    </w:p>
    <w:p w:rsidR="00E73FF0" w:rsidRPr="00E73FF0" w:rsidRDefault="00E73FF0" w:rsidP="00E73FF0">
      <w:pPr>
        <w:widowControl w:val="0"/>
        <w:autoSpaceDE w:val="0"/>
        <w:autoSpaceDN w:val="0"/>
        <w:adjustRightInd w:val="0"/>
        <w:ind w:firstLine="426"/>
        <w:jc w:val="center"/>
        <w:rPr>
          <w:rFonts w:eastAsia="Calibri" w:cs="Arial"/>
          <w:color w:val="000000"/>
          <w:sz w:val="22"/>
          <w:szCs w:val="22"/>
          <w:lang w:eastAsia="en-US"/>
        </w:rPr>
      </w:pPr>
    </w:p>
    <w:p w:rsidR="00E73FF0" w:rsidRPr="00E73FF0" w:rsidRDefault="00E73FF0" w:rsidP="00E73FF0">
      <w:pPr>
        <w:widowControl w:val="0"/>
        <w:autoSpaceDE w:val="0"/>
        <w:autoSpaceDN w:val="0"/>
        <w:adjustRightInd w:val="0"/>
        <w:ind w:firstLine="426"/>
        <w:jc w:val="center"/>
        <w:rPr>
          <w:rFonts w:eastAsia="Calibri" w:cs="Arial"/>
          <w:color w:val="000000"/>
          <w:sz w:val="22"/>
          <w:szCs w:val="22"/>
          <w:lang w:val="en-US" w:eastAsia="en-US"/>
        </w:rPr>
      </w:pPr>
      <w:r w:rsidRPr="00E73FF0">
        <w:rPr>
          <w:rFonts w:eastAsia="Calibri" w:cs="Arial"/>
          <w:color w:val="000000"/>
          <w:sz w:val="22"/>
          <w:szCs w:val="22"/>
          <w:lang w:eastAsia="en-US"/>
        </w:rPr>
        <w:t>Список</w:t>
      </w:r>
      <w:r w:rsidRPr="00E73FF0">
        <w:rPr>
          <w:rFonts w:eastAsia="Calibri" w:cs="Arial"/>
          <w:color w:val="000000"/>
          <w:sz w:val="22"/>
          <w:szCs w:val="22"/>
          <w:lang w:val="en-US" w:eastAsia="en-US"/>
        </w:rPr>
        <w:t xml:space="preserve"> </w:t>
      </w:r>
      <w:r w:rsidRPr="00E73FF0">
        <w:rPr>
          <w:rFonts w:eastAsia="Calibri" w:cs="Arial"/>
          <w:color w:val="000000"/>
          <w:sz w:val="22"/>
          <w:szCs w:val="22"/>
          <w:lang w:eastAsia="en-US"/>
        </w:rPr>
        <w:t>литературы</w:t>
      </w:r>
    </w:p>
    <w:p w:rsidR="00E73FF0" w:rsidRPr="00E73FF0" w:rsidRDefault="00E73FF0" w:rsidP="00E73FF0">
      <w:pPr>
        <w:widowControl w:val="0"/>
        <w:autoSpaceDE w:val="0"/>
        <w:autoSpaceDN w:val="0"/>
        <w:adjustRightInd w:val="0"/>
        <w:ind w:firstLine="426"/>
        <w:jc w:val="both"/>
        <w:rPr>
          <w:rFonts w:eastAsia="Calibri"/>
          <w:sz w:val="22"/>
          <w:szCs w:val="22"/>
          <w:lang w:val="en-US" w:eastAsia="en-US"/>
        </w:rPr>
      </w:pPr>
      <w:r w:rsidRPr="00E73FF0">
        <w:rPr>
          <w:rFonts w:eastAsia="Courier New"/>
          <w:sz w:val="22"/>
          <w:szCs w:val="22"/>
          <w:lang w:val="en-US" w:eastAsia="en-US"/>
        </w:rPr>
        <w:t>1.</w:t>
      </w:r>
      <w:r w:rsidRPr="00E73FF0">
        <w:rPr>
          <w:rFonts w:eastAsia="Courier New"/>
          <w:bCs/>
          <w:sz w:val="22"/>
          <w:szCs w:val="22"/>
          <w:lang w:val="en-US" w:eastAsia="en-US"/>
        </w:rPr>
        <w:t xml:space="preserve"> Precision agriculture and the future of farming in Europe / Scie</w:t>
      </w:r>
      <w:r w:rsidRPr="00E73FF0">
        <w:rPr>
          <w:rFonts w:eastAsia="Courier New"/>
          <w:bCs/>
          <w:sz w:val="22"/>
          <w:szCs w:val="22"/>
          <w:lang w:val="en-US" w:eastAsia="en-US"/>
        </w:rPr>
        <w:t>n</w:t>
      </w:r>
      <w:r w:rsidRPr="00E73FF0">
        <w:rPr>
          <w:rFonts w:eastAsia="Courier New"/>
          <w:bCs/>
          <w:sz w:val="22"/>
          <w:szCs w:val="22"/>
          <w:lang w:val="en-US" w:eastAsia="en-US"/>
        </w:rPr>
        <w:t xml:space="preserve">tific Foresight Study. – Brussels, European Union, 2016. – 38 </w:t>
      </w:r>
      <w:r w:rsidRPr="00E73FF0">
        <w:rPr>
          <w:rFonts w:eastAsia="Courier New"/>
          <w:bCs/>
          <w:sz w:val="22"/>
          <w:szCs w:val="22"/>
          <w:lang w:eastAsia="en-US"/>
        </w:rPr>
        <w:t>с</w:t>
      </w:r>
      <w:r w:rsidRPr="00E73FF0">
        <w:rPr>
          <w:rFonts w:eastAsia="Calibri"/>
          <w:sz w:val="22"/>
          <w:szCs w:val="22"/>
          <w:lang w:val="en-US" w:eastAsia="en-US"/>
        </w:rPr>
        <w:t>.</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2. Труфляк Е. В. Мониторинг и прогнозирование научно-технологического развития АПК в области точного сельского х</w:t>
      </w:r>
      <w:r w:rsidRPr="00E73FF0">
        <w:rPr>
          <w:rFonts w:eastAsia="Calibri"/>
          <w:sz w:val="22"/>
          <w:szCs w:val="22"/>
          <w:lang w:eastAsia="en-US"/>
        </w:rPr>
        <w:t>о</w:t>
      </w:r>
      <w:r w:rsidRPr="00E73FF0">
        <w:rPr>
          <w:rFonts w:eastAsia="Calibri"/>
          <w:sz w:val="22"/>
          <w:szCs w:val="22"/>
          <w:lang w:eastAsia="en-US"/>
        </w:rPr>
        <w:t>зяйства, автоматизации и роботизации / Е. В. Труфляк, Н. Ю. Ку</w:t>
      </w:r>
      <w:r w:rsidRPr="00E73FF0">
        <w:rPr>
          <w:rFonts w:eastAsia="Calibri"/>
          <w:sz w:val="22"/>
          <w:szCs w:val="22"/>
          <w:lang w:eastAsia="en-US"/>
        </w:rPr>
        <w:t>р</w:t>
      </w:r>
      <w:r w:rsidRPr="00E73FF0">
        <w:rPr>
          <w:rFonts w:eastAsia="Calibri"/>
          <w:sz w:val="22"/>
          <w:szCs w:val="22"/>
          <w:lang w:eastAsia="en-US"/>
        </w:rPr>
        <w:t>ченко, А. С. Креймер, Л. А. Дайбова, Е. М. Белая // Научное обесп</w:t>
      </w:r>
      <w:r w:rsidRPr="00E73FF0">
        <w:rPr>
          <w:rFonts w:eastAsia="Calibri"/>
          <w:sz w:val="22"/>
          <w:szCs w:val="22"/>
          <w:lang w:eastAsia="en-US"/>
        </w:rPr>
        <w:t>е</w:t>
      </w:r>
      <w:r w:rsidRPr="00E73FF0">
        <w:rPr>
          <w:rFonts w:eastAsia="Calibri"/>
          <w:sz w:val="22"/>
          <w:szCs w:val="22"/>
          <w:lang w:eastAsia="en-US"/>
        </w:rPr>
        <w:t>чение АПК: сб. статей по материалам 72-й научно-практической конференции преподавателей по итогам НИР за 2016 г. – Красн</w:t>
      </w:r>
      <w:r w:rsidRPr="00E73FF0">
        <w:rPr>
          <w:rFonts w:eastAsia="Calibri"/>
          <w:sz w:val="22"/>
          <w:szCs w:val="22"/>
          <w:lang w:eastAsia="en-US"/>
        </w:rPr>
        <w:t>о</w:t>
      </w:r>
      <w:r w:rsidRPr="00E73FF0">
        <w:rPr>
          <w:rFonts w:eastAsia="Calibri"/>
          <w:sz w:val="22"/>
          <w:szCs w:val="22"/>
          <w:lang w:eastAsia="en-US"/>
        </w:rPr>
        <w:t>дар: Кубанский ГАУ, 2017. – С. 335–336.</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3. Труфляк Е. В. Точное сельское хозяйство: состояние и пе</w:t>
      </w:r>
      <w:r w:rsidRPr="00E73FF0">
        <w:rPr>
          <w:rFonts w:eastAsia="Calibri"/>
          <w:sz w:val="22"/>
          <w:szCs w:val="22"/>
          <w:lang w:eastAsia="en-US"/>
        </w:rPr>
        <w:t>р</w:t>
      </w:r>
      <w:r w:rsidRPr="00E73FF0">
        <w:rPr>
          <w:rFonts w:eastAsia="Calibri"/>
          <w:sz w:val="22"/>
          <w:szCs w:val="22"/>
          <w:lang w:eastAsia="en-US"/>
        </w:rPr>
        <w:t>спективы / Е. В. Труфляк, Н. Ю. Курченко // Физико-технические проблемы создания новых технологий в агропромышленном ко</w:t>
      </w:r>
      <w:r w:rsidRPr="00E73FF0">
        <w:rPr>
          <w:rFonts w:eastAsia="Calibri"/>
          <w:sz w:val="22"/>
          <w:szCs w:val="22"/>
          <w:lang w:eastAsia="en-US"/>
        </w:rPr>
        <w:t>м</w:t>
      </w:r>
      <w:r w:rsidRPr="00E73FF0">
        <w:rPr>
          <w:rFonts w:eastAsia="Calibri"/>
          <w:sz w:val="22"/>
          <w:szCs w:val="22"/>
          <w:lang w:eastAsia="en-US"/>
        </w:rPr>
        <w:t>плексе: материалы Международной науч.-практ. конф. – Ставр</w:t>
      </w:r>
      <w:r w:rsidRPr="00E73FF0">
        <w:rPr>
          <w:rFonts w:eastAsia="Calibri"/>
          <w:sz w:val="22"/>
          <w:szCs w:val="22"/>
          <w:lang w:eastAsia="en-US"/>
        </w:rPr>
        <w:t>о</w:t>
      </w:r>
      <w:r w:rsidRPr="00E73FF0">
        <w:rPr>
          <w:rFonts w:eastAsia="Calibri"/>
          <w:sz w:val="22"/>
          <w:szCs w:val="22"/>
          <w:lang w:eastAsia="en-US"/>
        </w:rPr>
        <w:t>поль: Ставропольский ГАУ, 2017. – С. 288–291.</w:t>
      </w:r>
    </w:p>
    <w:p w:rsidR="00483E1F" w:rsidRPr="009762D0" w:rsidRDefault="00E73FF0" w:rsidP="009762D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4. Труфляк Е. В. Интеллектуальные технические средства в учебном процессе факультета механизации / Труфляк Е. В.// Кач</w:t>
      </w:r>
      <w:r w:rsidRPr="00E73FF0">
        <w:rPr>
          <w:rFonts w:eastAsia="Calibri"/>
          <w:sz w:val="22"/>
          <w:szCs w:val="22"/>
          <w:lang w:eastAsia="en-US"/>
        </w:rPr>
        <w:t>е</w:t>
      </w:r>
      <w:r w:rsidRPr="00E73FF0">
        <w:rPr>
          <w:rFonts w:eastAsia="Calibri"/>
          <w:sz w:val="22"/>
          <w:szCs w:val="22"/>
          <w:lang w:eastAsia="en-US"/>
        </w:rPr>
        <w:t>ство современных образовательных услуг – основа конкурентн</w:t>
      </w:r>
      <w:r w:rsidRPr="00E73FF0">
        <w:rPr>
          <w:rFonts w:eastAsia="Calibri"/>
          <w:sz w:val="22"/>
          <w:szCs w:val="22"/>
          <w:lang w:eastAsia="en-US"/>
        </w:rPr>
        <w:t>о</w:t>
      </w:r>
      <w:r w:rsidRPr="00E73FF0">
        <w:rPr>
          <w:rFonts w:eastAsia="Calibri"/>
          <w:sz w:val="22"/>
          <w:szCs w:val="22"/>
          <w:lang w:eastAsia="en-US"/>
        </w:rPr>
        <w:t>способности вуза: сб. ст. по материалам межфак. учеб.-метод. конф. – Краснодар: КубГАУ, 2016. – С. 144–146.</w:t>
      </w:r>
    </w:p>
    <w:p w:rsidR="00E73FF0" w:rsidRPr="00483E1F" w:rsidRDefault="00E73FF0" w:rsidP="00E73FF0">
      <w:pPr>
        <w:widowControl w:val="0"/>
        <w:rPr>
          <w:rFonts w:eastAsia="Courier New"/>
          <w:color w:val="000000"/>
          <w:sz w:val="22"/>
          <w:szCs w:val="22"/>
          <w:lang w:eastAsia="en-US"/>
        </w:rPr>
      </w:pPr>
      <w:r w:rsidRPr="00483E1F">
        <w:rPr>
          <w:rFonts w:eastAsia="Courier New"/>
          <w:color w:val="000000"/>
          <w:sz w:val="22"/>
          <w:szCs w:val="22"/>
          <w:lang w:eastAsia="en-US"/>
        </w:rPr>
        <w:lastRenderedPageBreak/>
        <w:t>УДК63.630.181</w:t>
      </w:r>
    </w:p>
    <w:p w:rsidR="00E73FF0" w:rsidRPr="00E73FF0" w:rsidRDefault="00E73FF0" w:rsidP="00E73FF0">
      <w:pPr>
        <w:widowControl w:val="0"/>
        <w:rPr>
          <w:rFonts w:eastAsia="Courier New"/>
          <w:color w:val="000000"/>
          <w:sz w:val="24"/>
          <w:szCs w:val="24"/>
          <w:lang w:eastAsia="en-US"/>
        </w:rPr>
      </w:pPr>
    </w:p>
    <w:p w:rsidR="00E73FF0" w:rsidRPr="00E73FF0" w:rsidRDefault="00E73FF0" w:rsidP="00E73FF0">
      <w:pPr>
        <w:widowControl w:val="0"/>
        <w:jc w:val="center"/>
        <w:rPr>
          <w:rFonts w:eastAsia="Courier New"/>
          <w:b/>
          <w:color w:val="000000"/>
          <w:sz w:val="24"/>
          <w:szCs w:val="24"/>
          <w:lang w:eastAsia="en-US"/>
        </w:rPr>
      </w:pPr>
      <w:r w:rsidRPr="00E73FF0">
        <w:rPr>
          <w:rFonts w:eastAsia="Courier New"/>
          <w:b/>
          <w:color w:val="000000"/>
          <w:sz w:val="24"/>
          <w:szCs w:val="24"/>
          <w:lang w:eastAsia="en-US"/>
        </w:rPr>
        <w:t xml:space="preserve">Модернизация средства для химической борьбы </w:t>
      </w:r>
      <w:r w:rsidR="00483E1F">
        <w:rPr>
          <w:rFonts w:eastAsia="Courier New"/>
          <w:b/>
          <w:color w:val="000000"/>
          <w:sz w:val="24"/>
          <w:szCs w:val="24"/>
          <w:lang w:eastAsia="en-US"/>
        </w:rPr>
        <w:br/>
      </w:r>
      <w:r w:rsidRPr="00E73FF0">
        <w:rPr>
          <w:rFonts w:eastAsia="Courier New"/>
          <w:b/>
          <w:color w:val="000000"/>
          <w:sz w:val="24"/>
          <w:szCs w:val="24"/>
          <w:lang w:eastAsia="en-US"/>
        </w:rPr>
        <w:t>с сорняками в рисовых чеках залитых водой</w:t>
      </w:r>
    </w:p>
    <w:p w:rsidR="00E73FF0" w:rsidRPr="00024398" w:rsidRDefault="00E73FF0" w:rsidP="00E73FF0">
      <w:pPr>
        <w:widowControl w:val="0"/>
        <w:jc w:val="center"/>
        <w:rPr>
          <w:rFonts w:eastAsia="Courier New"/>
          <w:b/>
          <w:color w:val="000000"/>
          <w:sz w:val="24"/>
          <w:szCs w:val="24"/>
          <w:lang w:val="en-US" w:eastAsia="en-US"/>
        </w:rPr>
      </w:pPr>
      <w:r w:rsidRPr="00E73FF0">
        <w:rPr>
          <w:rFonts w:eastAsia="Courier New"/>
          <w:b/>
          <w:color w:val="000000"/>
          <w:sz w:val="24"/>
          <w:szCs w:val="24"/>
          <w:lang w:val="en-US" w:eastAsia="en-US"/>
        </w:rPr>
        <w:t>Modernization</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funds</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for</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chemical</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control</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of</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weeds</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in</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rice</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checks</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filled</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with</w:t>
      </w:r>
      <w:r w:rsidRPr="00024398">
        <w:rPr>
          <w:rFonts w:eastAsia="Courier New"/>
          <w:b/>
          <w:color w:val="000000"/>
          <w:sz w:val="24"/>
          <w:szCs w:val="24"/>
          <w:lang w:val="en-US" w:eastAsia="en-US"/>
        </w:rPr>
        <w:t xml:space="preserve"> </w:t>
      </w:r>
      <w:r w:rsidRPr="00E73FF0">
        <w:rPr>
          <w:rFonts w:eastAsia="Courier New"/>
          <w:b/>
          <w:color w:val="000000"/>
          <w:sz w:val="24"/>
          <w:szCs w:val="24"/>
          <w:lang w:val="en-US" w:eastAsia="en-US"/>
        </w:rPr>
        <w:t>water</w:t>
      </w:r>
    </w:p>
    <w:p w:rsidR="00E73FF0" w:rsidRPr="00024398" w:rsidRDefault="00E73FF0" w:rsidP="00E73FF0">
      <w:pPr>
        <w:widowControl w:val="0"/>
        <w:tabs>
          <w:tab w:val="left" w:pos="8223"/>
        </w:tabs>
        <w:jc w:val="right"/>
        <w:rPr>
          <w:rFonts w:eastAsia="Courier New"/>
          <w:color w:val="000000"/>
          <w:sz w:val="22"/>
          <w:szCs w:val="22"/>
          <w:lang w:val="en-US" w:eastAsia="en-US"/>
        </w:rPr>
      </w:pP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Городничая А.</w:t>
      </w:r>
      <w:r w:rsidR="00483E1F">
        <w:rPr>
          <w:rFonts w:eastAsia="Courier New"/>
          <w:color w:val="000000"/>
          <w:sz w:val="22"/>
          <w:szCs w:val="22"/>
          <w:lang w:eastAsia="en-US"/>
        </w:rPr>
        <w:t xml:space="preserve"> Н.,</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магистрант 3-курса заочного факультета</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Тарасенко Б.</w:t>
      </w:r>
      <w:r w:rsidR="00483E1F">
        <w:rPr>
          <w:rFonts w:eastAsia="Courier New"/>
          <w:color w:val="000000"/>
          <w:sz w:val="22"/>
          <w:szCs w:val="22"/>
          <w:lang w:eastAsia="en-US"/>
        </w:rPr>
        <w:t xml:space="preserve"> </w:t>
      </w:r>
      <w:r w:rsidRPr="00E73FF0">
        <w:rPr>
          <w:rFonts w:eastAsia="Courier New"/>
          <w:color w:val="000000"/>
          <w:sz w:val="22"/>
          <w:szCs w:val="22"/>
          <w:lang w:eastAsia="en-US"/>
        </w:rPr>
        <w:t>Ф.,</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профессор кафедры ремонта машин и материаловедения</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483E1F">
        <w:rPr>
          <w:rFonts w:eastAsia="Courier New"/>
          <w:color w:val="000000"/>
          <w:sz w:val="22"/>
          <w:szCs w:val="22"/>
          <w:lang w:eastAsia="en-US"/>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И.Т. Трубилина</w:t>
      </w:r>
    </w:p>
    <w:p w:rsidR="00E73FF0" w:rsidRPr="00E73FF0" w:rsidRDefault="00E73FF0" w:rsidP="00E73FF0">
      <w:pPr>
        <w:widowControl w:val="0"/>
        <w:tabs>
          <w:tab w:val="left" w:pos="8223"/>
        </w:tabs>
        <w:jc w:val="right"/>
        <w:rPr>
          <w:rFonts w:eastAsia="Courier New"/>
          <w:color w:val="000000"/>
          <w:sz w:val="22"/>
          <w:szCs w:val="22"/>
          <w:lang w:eastAsia="en-US"/>
        </w:rPr>
      </w:pP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eastAsia="en-US"/>
        </w:rPr>
        <w:t>АННОТАЦИЯ: В статье приведены сорта риса, допущенные к районированию в Краснодарском крае; влияние злостного сорняка, на урожай риса. Проанализированы методы и средства химической борьбы с сорняками, в плане успешного ведения рисоводства. Предложен</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модернизированный</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агрегат</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обеспечивающий</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повыш</w:t>
      </w:r>
      <w:r w:rsidRPr="00E73FF0">
        <w:rPr>
          <w:rFonts w:eastAsia="Courier New"/>
          <w:color w:val="000000"/>
          <w:sz w:val="22"/>
          <w:szCs w:val="22"/>
          <w:lang w:eastAsia="en-US"/>
        </w:rPr>
        <w:t>е</w:t>
      </w:r>
      <w:r w:rsidRPr="00E73FF0">
        <w:rPr>
          <w:rFonts w:eastAsia="Courier New"/>
          <w:color w:val="000000"/>
          <w:sz w:val="22"/>
          <w:szCs w:val="22"/>
          <w:lang w:eastAsia="en-US"/>
        </w:rPr>
        <w:t>ние</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качества</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химической</w:t>
      </w:r>
      <w:r w:rsidRPr="00E73FF0">
        <w:rPr>
          <w:rFonts w:eastAsia="Courier New"/>
          <w:color w:val="000000"/>
          <w:sz w:val="22"/>
          <w:szCs w:val="22"/>
          <w:lang w:val="en-US" w:eastAsia="en-US"/>
        </w:rPr>
        <w:t xml:space="preserve"> </w:t>
      </w:r>
      <w:r w:rsidRPr="00E73FF0">
        <w:rPr>
          <w:rFonts w:eastAsia="Courier New"/>
          <w:color w:val="000000"/>
          <w:sz w:val="22"/>
          <w:szCs w:val="22"/>
          <w:lang w:eastAsia="en-US"/>
        </w:rPr>
        <w:t>борьбы</w:t>
      </w:r>
      <w:r w:rsidRPr="00E73FF0">
        <w:rPr>
          <w:rFonts w:eastAsia="Courier New"/>
          <w:color w:val="000000"/>
          <w:sz w:val="22"/>
          <w:szCs w:val="22"/>
          <w:lang w:val="en-US" w:eastAsia="en-US"/>
        </w:rPr>
        <w:t xml:space="preserve">. </w:t>
      </w:r>
    </w:p>
    <w:p w:rsidR="00E73FF0" w:rsidRPr="00E73FF0" w:rsidRDefault="00E73FF0" w:rsidP="00E73FF0">
      <w:pPr>
        <w:widowControl w:val="0"/>
        <w:tabs>
          <w:tab w:val="left" w:pos="8223"/>
        </w:tabs>
        <w:ind w:firstLine="426"/>
        <w:jc w:val="both"/>
        <w:rPr>
          <w:rFonts w:eastAsia="Courier New"/>
          <w:color w:val="000000"/>
          <w:sz w:val="22"/>
          <w:szCs w:val="22"/>
          <w:shd w:val="clear" w:color="auto" w:fill="FFFFFF"/>
          <w:lang w:val="en-US" w:eastAsia="en-US"/>
        </w:rPr>
      </w:pPr>
      <w:r w:rsidRPr="00E73FF0">
        <w:rPr>
          <w:rFonts w:eastAsia="Courier New"/>
          <w:color w:val="000000"/>
          <w:sz w:val="22"/>
          <w:szCs w:val="22"/>
          <w:lang w:val="en-US" w:eastAsia="en-US"/>
        </w:rPr>
        <w:t>ABSTRACT:</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shd w:val="clear" w:color="auto" w:fill="FFFFFF"/>
          <w:lang w:val="en-US" w:eastAsia="en-US"/>
        </w:rPr>
        <w:t>The article presents varieties of rice admitted to zo</w:t>
      </w:r>
      <w:r w:rsidRPr="00E73FF0">
        <w:rPr>
          <w:rFonts w:eastAsia="Courier New"/>
          <w:color w:val="000000"/>
          <w:sz w:val="22"/>
          <w:szCs w:val="22"/>
          <w:shd w:val="clear" w:color="auto" w:fill="FFFFFF"/>
          <w:lang w:val="en-US" w:eastAsia="en-US"/>
        </w:rPr>
        <w:t>n</w:t>
      </w:r>
      <w:r w:rsidRPr="00E73FF0">
        <w:rPr>
          <w:rFonts w:eastAsia="Courier New"/>
          <w:color w:val="000000"/>
          <w:sz w:val="22"/>
          <w:szCs w:val="22"/>
          <w:shd w:val="clear" w:color="auto" w:fill="FFFFFF"/>
          <w:lang w:val="en-US" w:eastAsia="en-US"/>
        </w:rPr>
        <w:t>ing in the Krasnodar region; the influence of the evil weed on yield of rice.</w:t>
      </w: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КЛЮЧЕВЫЕ СЛОВА: рисоводство, сорняки, методы химич</w:t>
      </w:r>
      <w:r w:rsidRPr="00E73FF0">
        <w:rPr>
          <w:rFonts w:eastAsia="Courier New"/>
          <w:color w:val="000000"/>
          <w:sz w:val="22"/>
          <w:szCs w:val="22"/>
          <w:lang w:eastAsia="en-US"/>
        </w:rPr>
        <w:t>е</w:t>
      </w:r>
      <w:r w:rsidRPr="00E73FF0">
        <w:rPr>
          <w:rFonts w:eastAsia="Courier New"/>
          <w:color w:val="000000"/>
          <w:sz w:val="22"/>
          <w:szCs w:val="22"/>
          <w:lang w:eastAsia="en-US"/>
        </w:rPr>
        <w:t>ской борьбы, экологическая безопасность, чеки залитые водой, опрыскиватель, модернизированное средство.</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val="en-US" w:eastAsia="en-US"/>
        </w:rPr>
        <w:t>KEYWORDS:</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lang w:val="en-US" w:eastAsia="en-US"/>
        </w:rPr>
        <w:t>rice growing, weeds, chemical control methods, ecological safety, checks filled with water, sprayer, modernized means.</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p>
    <w:p w:rsidR="00E73FF0" w:rsidRPr="00E73FF0" w:rsidRDefault="00E73FF0" w:rsidP="00E73FF0">
      <w:pPr>
        <w:autoSpaceDE w:val="0"/>
        <w:autoSpaceDN w:val="0"/>
        <w:adjustRightInd w:val="0"/>
        <w:ind w:firstLine="426"/>
        <w:jc w:val="both"/>
        <w:rPr>
          <w:rFonts w:eastAsia="Courier New"/>
          <w:color w:val="000000"/>
          <w:sz w:val="22"/>
          <w:szCs w:val="22"/>
          <w:lang w:eastAsia="en-US"/>
        </w:rPr>
      </w:pPr>
      <w:r w:rsidRPr="00E73FF0">
        <w:rPr>
          <w:rFonts w:eastAsia="Courier New"/>
          <w:color w:val="000000"/>
          <w:sz w:val="22"/>
          <w:szCs w:val="22"/>
          <w:lang w:eastAsia="en-US"/>
        </w:rPr>
        <w:t>Экологическая безопасность при применении химических средств борьбы с сорной растительностью, вредителями и болезн</w:t>
      </w:r>
      <w:r w:rsidRPr="00E73FF0">
        <w:rPr>
          <w:rFonts w:eastAsia="Courier New"/>
          <w:color w:val="000000"/>
          <w:sz w:val="22"/>
          <w:szCs w:val="22"/>
          <w:lang w:eastAsia="en-US"/>
        </w:rPr>
        <w:t>я</w:t>
      </w:r>
      <w:r w:rsidRPr="00E73FF0">
        <w:rPr>
          <w:rFonts w:eastAsia="Courier New"/>
          <w:color w:val="000000"/>
          <w:sz w:val="22"/>
          <w:szCs w:val="22"/>
          <w:lang w:eastAsia="en-US"/>
        </w:rPr>
        <w:t xml:space="preserve">ми важнейшая </w:t>
      </w:r>
      <w:r w:rsidRPr="00483E1F">
        <w:rPr>
          <w:rFonts w:eastAsia="Courier New"/>
          <w:color w:val="000000"/>
          <w:sz w:val="22"/>
          <w:szCs w:val="22"/>
          <w:lang w:eastAsia="en-US"/>
        </w:rPr>
        <w:t xml:space="preserve">проблема </w:t>
      </w:r>
      <w:r w:rsidRPr="00E73FF0">
        <w:rPr>
          <w:rFonts w:eastAsia="Courier New"/>
          <w:color w:val="000000"/>
          <w:sz w:val="22"/>
          <w:szCs w:val="22"/>
          <w:lang w:eastAsia="en-US"/>
        </w:rPr>
        <w:t>и условие ведения рисоводства. Это связ</w:t>
      </w:r>
      <w:r w:rsidRPr="00E73FF0">
        <w:rPr>
          <w:rFonts w:eastAsia="Courier New"/>
          <w:color w:val="000000"/>
          <w:sz w:val="22"/>
          <w:szCs w:val="22"/>
          <w:lang w:eastAsia="en-US"/>
        </w:rPr>
        <w:t>а</w:t>
      </w:r>
      <w:r w:rsidRPr="00E73FF0">
        <w:rPr>
          <w:rFonts w:eastAsia="Courier New"/>
          <w:color w:val="000000"/>
          <w:sz w:val="22"/>
          <w:szCs w:val="22"/>
          <w:lang w:eastAsia="en-US"/>
        </w:rPr>
        <w:t>но с необходимостью обеспечения чистоты агроландшафтов [1, 2], водных бассейнов, безопасности для живых организмов и людей не только работающих в рисоводстве, но и проживающих в этой зоне Краснодарского края. В настоящее время в Краснодарском крае д</w:t>
      </w:r>
      <w:r w:rsidRPr="00E73FF0">
        <w:rPr>
          <w:rFonts w:eastAsia="Courier New"/>
          <w:color w:val="000000"/>
          <w:sz w:val="22"/>
          <w:szCs w:val="22"/>
          <w:lang w:eastAsia="en-US"/>
        </w:rPr>
        <w:t>о</w:t>
      </w:r>
      <w:r w:rsidRPr="00E73FF0">
        <w:rPr>
          <w:rFonts w:eastAsia="Courier New"/>
          <w:color w:val="000000"/>
          <w:sz w:val="22"/>
          <w:szCs w:val="22"/>
          <w:lang w:eastAsia="en-US"/>
        </w:rPr>
        <w:t xml:space="preserve">пущено к районированию 28 сортов риса кубанской селекции [3]: </w:t>
      </w:r>
      <w:r w:rsidRPr="00E73FF0">
        <w:rPr>
          <w:rFonts w:eastAsia="Courier New"/>
          <w:color w:val="000000"/>
          <w:sz w:val="22"/>
          <w:szCs w:val="22"/>
          <w:lang w:eastAsia="en-US"/>
        </w:rPr>
        <w:lastRenderedPageBreak/>
        <w:t>Флагман, Рапан, Хазар, Гамма, Снежинка, Лидер и другие. Пирик</w:t>
      </w:r>
      <w:r w:rsidRPr="00E73FF0">
        <w:rPr>
          <w:rFonts w:eastAsia="Courier New"/>
          <w:color w:val="000000"/>
          <w:sz w:val="22"/>
          <w:szCs w:val="22"/>
          <w:lang w:eastAsia="en-US"/>
        </w:rPr>
        <w:t>у</w:t>
      </w:r>
      <w:r w:rsidRPr="00E73FF0">
        <w:rPr>
          <w:rFonts w:eastAsia="Courier New"/>
          <w:color w:val="000000"/>
          <w:sz w:val="22"/>
          <w:szCs w:val="22"/>
          <w:lang w:eastAsia="en-US"/>
        </w:rPr>
        <w:t>лериоз, наиболее опасное заболевание, способное, в случае непр</w:t>
      </w:r>
      <w:r w:rsidRPr="00E73FF0">
        <w:rPr>
          <w:rFonts w:eastAsia="Courier New"/>
          <w:color w:val="000000"/>
          <w:sz w:val="22"/>
          <w:szCs w:val="22"/>
          <w:lang w:eastAsia="en-US"/>
        </w:rPr>
        <w:t>и</w:t>
      </w:r>
      <w:r w:rsidRPr="00E73FF0">
        <w:rPr>
          <w:rFonts w:eastAsia="Courier New"/>
          <w:color w:val="000000"/>
          <w:sz w:val="22"/>
          <w:szCs w:val="22"/>
          <w:lang w:eastAsia="en-US"/>
        </w:rPr>
        <w:t>нятия мер, уничтожить весь урожай. Реализация химической бор</w:t>
      </w:r>
      <w:r w:rsidRPr="00E73FF0">
        <w:rPr>
          <w:rFonts w:eastAsia="Courier New"/>
          <w:color w:val="000000"/>
          <w:sz w:val="22"/>
          <w:szCs w:val="22"/>
          <w:lang w:eastAsia="en-US"/>
        </w:rPr>
        <w:t>ь</w:t>
      </w:r>
      <w:r w:rsidRPr="00E73FF0">
        <w:rPr>
          <w:rFonts w:eastAsia="Courier New"/>
          <w:color w:val="000000"/>
          <w:sz w:val="22"/>
          <w:szCs w:val="22"/>
          <w:lang w:eastAsia="en-US"/>
        </w:rPr>
        <w:t>бы с сорняками представляет серьезные трудности, хотя остается единственно возможным условием для получения высоких урожаев риса. Недостатками средств для химической борьбы с сорняками в рисовых чеках залитых водой, а также существующих опрыскив</w:t>
      </w:r>
      <w:r w:rsidRPr="00E73FF0">
        <w:rPr>
          <w:rFonts w:eastAsia="Courier New"/>
          <w:color w:val="000000"/>
          <w:sz w:val="22"/>
          <w:szCs w:val="22"/>
          <w:lang w:eastAsia="en-US"/>
        </w:rPr>
        <w:t>а</w:t>
      </w:r>
      <w:r w:rsidRPr="00E73FF0">
        <w:rPr>
          <w:rFonts w:eastAsia="Courier New"/>
          <w:color w:val="000000"/>
          <w:sz w:val="22"/>
          <w:szCs w:val="22"/>
          <w:lang w:eastAsia="en-US"/>
        </w:rPr>
        <w:t>телей [4] являются сложность конструкции, заключающаяся в нео</w:t>
      </w:r>
      <w:r w:rsidRPr="00E73FF0">
        <w:rPr>
          <w:rFonts w:eastAsia="Courier New"/>
          <w:color w:val="000000"/>
          <w:sz w:val="22"/>
          <w:szCs w:val="22"/>
          <w:lang w:eastAsia="en-US"/>
        </w:rPr>
        <w:t>б</w:t>
      </w:r>
      <w:r w:rsidRPr="00E73FF0">
        <w:rPr>
          <w:rFonts w:eastAsia="Courier New"/>
          <w:color w:val="000000"/>
          <w:sz w:val="22"/>
          <w:szCs w:val="22"/>
          <w:lang w:eastAsia="en-US"/>
        </w:rPr>
        <w:t>ходимости сжатого воздуха определенного постоянного давления, что приводит к необходимости установки редуктора постоянного давления; высокая энергоемкость процесса; отсутствие регулировки дисперсности распыла рабочей жидкости по поверхности обраб</w:t>
      </w:r>
      <w:r w:rsidRPr="00E73FF0">
        <w:rPr>
          <w:rFonts w:eastAsia="Courier New"/>
          <w:color w:val="000000"/>
          <w:sz w:val="22"/>
          <w:szCs w:val="22"/>
          <w:lang w:eastAsia="en-US"/>
        </w:rPr>
        <w:t>а</w:t>
      </w:r>
      <w:r w:rsidRPr="00E73FF0">
        <w:rPr>
          <w:rFonts w:eastAsia="Courier New"/>
          <w:color w:val="000000"/>
          <w:sz w:val="22"/>
          <w:szCs w:val="22"/>
          <w:lang w:eastAsia="en-US"/>
        </w:rPr>
        <w:t>тываемой культуры.</w:t>
      </w:r>
    </w:p>
    <w:p w:rsidR="00E73FF0" w:rsidRPr="00E73FF0" w:rsidRDefault="00E73FF0" w:rsidP="00E73FF0">
      <w:pPr>
        <w:autoSpaceDE w:val="0"/>
        <w:autoSpaceDN w:val="0"/>
        <w:adjustRightInd w:val="0"/>
        <w:ind w:firstLine="426"/>
        <w:jc w:val="both"/>
        <w:rPr>
          <w:rFonts w:eastAsia="Courier New"/>
          <w:color w:val="000000"/>
          <w:sz w:val="22"/>
          <w:szCs w:val="22"/>
          <w:lang w:eastAsia="en-US"/>
        </w:rPr>
      </w:pPr>
      <w:r w:rsidRPr="00E73FF0">
        <w:rPr>
          <w:rFonts w:eastAsia="Courier New"/>
          <w:color w:val="000000"/>
          <w:sz w:val="22"/>
          <w:szCs w:val="22"/>
          <w:lang w:eastAsia="en-US"/>
        </w:rPr>
        <w:t>Задачами исследований являются модернизация средств для химической борьбы с сорняками в рисовых чеках залитых водой,  с целью повышения качества и экологической безопасности, расш</w:t>
      </w:r>
      <w:r w:rsidRPr="00E73FF0">
        <w:rPr>
          <w:rFonts w:eastAsia="Courier New"/>
          <w:color w:val="000000"/>
          <w:sz w:val="22"/>
          <w:szCs w:val="22"/>
          <w:lang w:eastAsia="en-US"/>
        </w:rPr>
        <w:t>и</w:t>
      </w:r>
      <w:r w:rsidRPr="00E73FF0">
        <w:rPr>
          <w:rFonts w:eastAsia="Courier New"/>
          <w:color w:val="000000"/>
          <w:sz w:val="22"/>
          <w:szCs w:val="22"/>
          <w:lang w:eastAsia="en-US"/>
        </w:rPr>
        <w:t>рения технологических возможностей, снижения энергозатрат на работу средства, улучшения дисперсности распыла и возможности ее регулировки.</w:t>
      </w:r>
    </w:p>
    <w:p w:rsidR="00E73FF0" w:rsidRPr="00E73FF0" w:rsidRDefault="00E73FF0" w:rsidP="00E73FF0">
      <w:pPr>
        <w:autoSpaceDE w:val="0"/>
        <w:autoSpaceDN w:val="0"/>
        <w:adjustRightInd w:val="0"/>
        <w:ind w:firstLine="426"/>
        <w:jc w:val="both"/>
        <w:rPr>
          <w:rFonts w:eastAsia="Courier New"/>
          <w:color w:val="000000"/>
          <w:sz w:val="22"/>
          <w:szCs w:val="22"/>
          <w:lang w:eastAsia="en-US"/>
        </w:rPr>
      </w:pPr>
      <w:r w:rsidRPr="00E73FF0">
        <w:rPr>
          <w:rFonts w:eastAsia="Courier New"/>
          <w:color w:val="000000"/>
          <w:sz w:val="22"/>
          <w:szCs w:val="22"/>
          <w:lang w:eastAsia="en-US"/>
        </w:rPr>
        <w:t>Реализация поставленных задач осуществляется тем, что м</w:t>
      </w:r>
      <w:r w:rsidRPr="00E73FF0">
        <w:rPr>
          <w:rFonts w:eastAsia="Courier New"/>
          <w:color w:val="000000"/>
          <w:sz w:val="22"/>
          <w:szCs w:val="22"/>
          <w:lang w:eastAsia="en-US"/>
        </w:rPr>
        <w:t>о</w:t>
      </w:r>
      <w:r w:rsidRPr="00E73FF0">
        <w:rPr>
          <w:rFonts w:eastAsia="Courier New"/>
          <w:color w:val="000000"/>
          <w:sz w:val="22"/>
          <w:szCs w:val="22"/>
          <w:lang w:eastAsia="en-US"/>
        </w:rPr>
        <w:t>дернизация осуществлена за счет [5] применения опрыскивателя ультрамалообъемного. При этом в модернизированном ультрамал</w:t>
      </w:r>
      <w:r w:rsidRPr="00E73FF0">
        <w:rPr>
          <w:rFonts w:eastAsia="Courier New"/>
          <w:color w:val="000000"/>
          <w:sz w:val="22"/>
          <w:szCs w:val="22"/>
          <w:lang w:eastAsia="en-US"/>
        </w:rPr>
        <w:t>о</w:t>
      </w:r>
      <w:r w:rsidRPr="00E73FF0">
        <w:rPr>
          <w:rFonts w:eastAsia="Courier New"/>
          <w:color w:val="000000"/>
          <w:sz w:val="22"/>
          <w:szCs w:val="22"/>
          <w:lang w:eastAsia="en-US"/>
        </w:rPr>
        <w:t>объемном опрыскивателе имеется резервуар с рабочей жидкостью, сообщенный через вентиль питательной трубкой с распылителями, которые смонтированы на раме. Для заправки опрыскивателя ра</w:t>
      </w:r>
      <w:r w:rsidRPr="00E73FF0">
        <w:rPr>
          <w:rFonts w:eastAsia="Courier New"/>
          <w:color w:val="000000"/>
          <w:sz w:val="22"/>
          <w:szCs w:val="22"/>
          <w:lang w:eastAsia="en-US"/>
        </w:rPr>
        <w:t>с</w:t>
      </w:r>
      <w:r w:rsidRPr="00E73FF0">
        <w:rPr>
          <w:rFonts w:eastAsia="Courier New"/>
          <w:color w:val="000000"/>
          <w:sz w:val="22"/>
          <w:szCs w:val="22"/>
          <w:lang w:eastAsia="en-US"/>
        </w:rPr>
        <w:t>твором необходимо из маточной емкости добавлять в резервуар н</w:t>
      </w:r>
      <w:r w:rsidRPr="00E73FF0">
        <w:rPr>
          <w:rFonts w:eastAsia="Courier New"/>
          <w:color w:val="000000"/>
          <w:sz w:val="22"/>
          <w:szCs w:val="22"/>
          <w:lang w:eastAsia="en-US"/>
        </w:rPr>
        <w:t>е</w:t>
      </w:r>
      <w:r w:rsidRPr="00E73FF0">
        <w:rPr>
          <w:rFonts w:eastAsia="Courier New"/>
          <w:color w:val="000000"/>
          <w:sz w:val="22"/>
          <w:szCs w:val="22"/>
          <w:lang w:eastAsia="en-US"/>
        </w:rPr>
        <w:t>обходимое количество пестицидов и при помощи насоса закачать в него воду с добавлением кранов и Т-образных ниппелей на шланги, а также добавление шланга с установленным фильтром всасыва</w:t>
      </w:r>
      <w:r w:rsidRPr="00E73FF0">
        <w:rPr>
          <w:rFonts w:eastAsia="Courier New"/>
          <w:color w:val="000000"/>
          <w:sz w:val="22"/>
          <w:szCs w:val="22"/>
          <w:lang w:eastAsia="en-US"/>
        </w:rPr>
        <w:t>ю</w:t>
      </w:r>
      <w:r w:rsidRPr="00E73FF0">
        <w:rPr>
          <w:rFonts w:eastAsia="Courier New"/>
          <w:color w:val="000000"/>
          <w:sz w:val="22"/>
          <w:szCs w:val="22"/>
          <w:lang w:eastAsia="en-US"/>
        </w:rPr>
        <w:t>щим с клапаном для всасывания воды из периферийных чековых каналов. Струеобразующий элемент с воздушным соплом является основой распылителя. Он выполнен в виде двух стаканов, вставле</w:t>
      </w:r>
      <w:r w:rsidRPr="00E73FF0">
        <w:rPr>
          <w:rFonts w:eastAsia="Courier New"/>
          <w:color w:val="000000"/>
          <w:sz w:val="22"/>
          <w:szCs w:val="22"/>
          <w:lang w:eastAsia="en-US"/>
        </w:rPr>
        <w:t>н</w:t>
      </w:r>
      <w:r w:rsidRPr="00E73FF0">
        <w:rPr>
          <w:rFonts w:eastAsia="Courier New"/>
          <w:color w:val="000000"/>
          <w:sz w:val="22"/>
          <w:szCs w:val="22"/>
          <w:lang w:eastAsia="en-US"/>
        </w:rPr>
        <w:t>ных друг в друга с зазором по всей внешней поверхности внутре</w:t>
      </w:r>
      <w:r w:rsidRPr="00E73FF0">
        <w:rPr>
          <w:rFonts w:eastAsia="Courier New"/>
          <w:color w:val="000000"/>
          <w:sz w:val="22"/>
          <w:szCs w:val="22"/>
          <w:lang w:eastAsia="en-US"/>
        </w:rPr>
        <w:t>н</w:t>
      </w:r>
      <w:r w:rsidRPr="00E73FF0">
        <w:rPr>
          <w:rFonts w:eastAsia="Courier New"/>
          <w:color w:val="000000"/>
          <w:sz w:val="22"/>
          <w:szCs w:val="22"/>
          <w:lang w:eastAsia="en-US"/>
        </w:rPr>
        <w:t>него стакан, которые пронизаны по продольной оси вращающимся валом с турбинкой на конце. Входное радиальное отверстие для воздуха образует изогнутый край внутреннего стакана и верхняя поверхность наружного стакана. Питательные трубки для рабочей жидкости вмонтированы в дно внутреннего стакана. Струеобраз</w:t>
      </w:r>
      <w:r w:rsidRPr="00E73FF0">
        <w:rPr>
          <w:rFonts w:eastAsia="Courier New"/>
          <w:color w:val="000000"/>
          <w:sz w:val="22"/>
          <w:szCs w:val="22"/>
          <w:lang w:eastAsia="en-US"/>
        </w:rPr>
        <w:t>у</w:t>
      </w:r>
      <w:r w:rsidRPr="00E73FF0">
        <w:rPr>
          <w:rFonts w:eastAsia="Courier New"/>
          <w:color w:val="000000"/>
          <w:sz w:val="22"/>
          <w:szCs w:val="22"/>
          <w:lang w:eastAsia="en-US"/>
        </w:rPr>
        <w:lastRenderedPageBreak/>
        <w:t>ющий элемент также образован полостью внутреннего стакана, к</w:t>
      </w:r>
      <w:r w:rsidRPr="00E73FF0">
        <w:rPr>
          <w:rFonts w:eastAsia="Courier New"/>
          <w:color w:val="000000"/>
          <w:sz w:val="22"/>
          <w:szCs w:val="22"/>
          <w:lang w:eastAsia="en-US"/>
        </w:rPr>
        <w:t>о</w:t>
      </w:r>
      <w:r w:rsidRPr="00E73FF0">
        <w:rPr>
          <w:rFonts w:eastAsia="Courier New"/>
          <w:color w:val="000000"/>
          <w:sz w:val="22"/>
          <w:szCs w:val="22"/>
          <w:lang w:eastAsia="en-US"/>
        </w:rPr>
        <w:t>торая выполнена в виде усеченного конуса, являющегося диффуз</w:t>
      </w:r>
      <w:r w:rsidRPr="00E73FF0">
        <w:rPr>
          <w:rFonts w:eastAsia="Courier New"/>
          <w:color w:val="000000"/>
          <w:sz w:val="22"/>
          <w:szCs w:val="22"/>
          <w:lang w:eastAsia="en-US"/>
        </w:rPr>
        <w:t>о</w:t>
      </w:r>
      <w:r w:rsidRPr="00E73FF0">
        <w:rPr>
          <w:rFonts w:eastAsia="Courier New"/>
          <w:color w:val="000000"/>
          <w:sz w:val="22"/>
          <w:szCs w:val="22"/>
          <w:lang w:eastAsia="en-US"/>
        </w:rPr>
        <w:t>ром, а воздушное сопло выполнено в виде радиального зазора ме</w:t>
      </w:r>
      <w:r w:rsidRPr="00E73FF0">
        <w:rPr>
          <w:rFonts w:eastAsia="Courier New"/>
          <w:color w:val="000000"/>
          <w:sz w:val="22"/>
          <w:szCs w:val="22"/>
          <w:lang w:eastAsia="en-US"/>
        </w:rPr>
        <w:t>ж</w:t>
      </w:r>
      <w:r w:rsidRPr="00E73FF0">
        <w:rPr>
          <w:rFonts w:eastAsia="Courier New"/>
          <w:color w:val="000000"/>
          <w:sz w:val="22"/>
          <w:szCs w:val="22"/>
          <w:lang w:eastAsia="en-US"/>
        </w:rPr>
        <w:t>ду пробкой и верхней частью внутреннего стакана. Стаканы в ул</w:t>
      </w:r>
      <w:r w:rsidRPr="00E73FF0">
        <w:rPr>
          <w:rFonts w:eastAsia="Courier New"/>
          <w:color w:val="000000"/>
          <w:sz w:val="22"/>
          <w:szCs w:val="22"/>
          <w:lang w:eastAsia="en-US"/>
        </w:rPr>
        <w:t>ь</w:t>
      </w:r>
      <w:r w:rsidRPr="00E73FF0">
        <w:rPr>
          <w:rFonts w:eastAsia="Courier New"/>
          <w:color w:val="000000"/>
          <w:sz w:val="22"/>
          <w:szCs w:val="22"/>
          <w:lang w:eastAsia="en-US"/>
        </w:rPr>
        <w:t>трамалообъемном опрыскивателе соединены между собой жестко, а вал установлен с возможностью вращательного и возвратно-поступательного движения  от электродвигателя, установленного на раме. Новизна заявленного предложения заключается в том, что за счет конструктивных особенностей обеспечивается усиление скор</w:t>
      </w:r>
      <w:r w:rsidRPr="00E73FF0">
        <w:rPr>
          <w:rFonts w:eastAsia="Courier New"/>
          <w:color w:val="000000"/>
          <w:sz w:val="22"/>
          <w:szCs w:val="22"/>
          <w:lang w:eastAsia="en-US"/>
        </w:rPr>
        <w:t>о</w:t>
      </w:r>
      <w:r w:rsidRPr="00E73FF0">
        <w:rPr>
          <w:rFonts w:eastAsia="Courier New"/>
          <w:color w:val="000000"/>
          <w:sz w:val="22"/>
          <w:szCs w:val="22"/>
          <w:lang w:eastAsia="en-US"/>
        </w:rPr>
        <w:t>сти потока воздуха и регулирование дисперсности исходящего п</w:t>
      </w:r>
      <w:r w:rsidRPr="00E73FF0">
        <w:rPr>
          <w:rFonts w:eastAsia="Courier New"/>
          <w:color w:val="000000"/>
          <w:sz w:val="22"/>
          <w:szCs w:val="22"/>
          <w:lang w:eastAsia="en-US"/>
        </w:rPr>
        <w:t>о</w:t>
      </w:r>
      <w:r w:rsidRPr="00E73FF0">
        <w:rPr>
          <w:rFonts w:eastAsia="Courier New"/>
          <w:color w:val="000000"/>
          <w:sz w:val="22"/>
          <w:szCs w:val="22"/>
          <w:lang w:eastAsia="en-US"/>
        </w:rPr>
        <w:t>тока.</w:t>
      </w:r>
    </w:p>
    <w:p w:rsidR="00E73FF0" w:rsidRPr="00E73FF0" w:rsidRDefault="00E73FF0" w:rsidP="009762D0">
      <w:pPr>
        <w:autoSpaceDE w:val="0"/>
        <w:autoSpaceDN w:val="0"/>
        <w:adjustRightInd w:val="0"/>
        <w:ind w:firstLine="426"/>
        <w:jc w:val="both"/>
        <w:rPr>
          <w:rFonts w:eastAsia="Courier New"/>
          <w:color w:val="000000"/>
          <w:sz w:val="22"/>
          <w:szCs w:val="22"/>
          <w:lang w:eastAsia="en-US"/>
        </w:rPr>
      </w:pPr>
      <w:r w:rsidRPr="00E73FF0">
        <w:rPr>
          <w:rFonts w:eastAsia="Courier New"/>
          <w:color w:val="000000"/>
          <w:sz w:val="22"/>
          <w:szCs w:val="22"/>
          <w:lang w:eastAsia="en-US"/>
        </w:rPr>
        <w:t>Выводы. В результате исследований изучено влияние злостных сорняков на урожай риса, проанализированы методы химической борьбы с сорняками, предложено модернизированное средство для химической борьбы с сорняками.</w:t>
      </w:r>
    </w:p>
    <w:p w:rsidR="00E73FF0" w:rsidRPr="00E73FF0" w:rsidRDefault="00E73FF0" w:rsidP="00E73FF0">
      <w:pPr>
        <w:widowControl w:val="0"/>
        <w:autoSpaceDE w:val="0"/>
        <w:autoSpaceDN w:val="0"/>
        <w:adjustRightInd w:val="0"/>
        <w:ind w:firstLine="426"/>
        <w:jc w:val="center"/>
        <w:rPr>
          <w:rFonts w:eastAsia="Calibri"/>
          <w:color w:val="000000"/>
          <w:sz w:val="22"/>
          <w:szCs w:val="22"/>
          <w:lang w:eastAsia="en-US"/>
        </w:rPr>
      </w:pPr>
      <w:r w:rsidRPr="00E73FF0">
        <w:rPr>
          <w:rFonts w:eastAsia="Calibri"/>
          <w:color w:val="000000"/>
          <w:sz w:val="22"/>
          <w:szCs w:val="22"/>
          <w:lang w:eastAsia="en-US"/>
        </w:rPr>
        <w:t>Список литературы</w:t>
      </w:r>
    </w:p>
    <w:p w:rsidR="00E73FF0" w:rsidRPr="00E73FF0" w:rsidRDefault="00E73FF0" w:rsidP="00E73FF0">
      <w:pPr>
        <w:shd w:val="clear" w:color="auto" w:fill="FFFFFF"/>
        <w:tabs>
          <w:tab w:val="left" w:pos="-426"/>
          <w:tab w:val="left" w:pos="-284"/>
          <w:tab w:val="left" w:pos="0"/>
          <w:tab w:val="left" w:pos="9638"/>
        </w:tabs>
        <w:ind w:firstLine="426"/>
        <w:jc w:val="both"/>
        <w:outlineLvl w:val="0"/>
        <w:rPr>
          <w:bCs/>
          <w:sz w:val="22"/>
          <w:szCs w:val="22"/>
        </w:rPr>
      </w:pPr>
      <w:r w:rsidRPr="00E73FF0">
        <w:rPr>
          <w:bCs/>
          <w:sz w:val="22"/>
          <w:szCs w:val="22"/>
        </w:rPr>
        <w:t>1 Тарасенко Б.Ф. Конструктивно-технологические решения для защиты и ухода за растениями. Политематический сетевой эле</w:t>
      </w:r>
      <w:r w:rsidRPr="00E73FF0">
        <w:rPr>
          <w:bCs/>
          <w:sz w:val="22"/>
          <w:szCs w:val="22"/>
        </w:rPr>
        <w:t>к</w:t>
      </w:r>
      <w:r w:rsidRPr="00E73FF0">
        <w:rPr>
          <w:bCs/>
          <w:sz w:val="22"/>
          <w:szCs w:val="22"/>
        </w:rPr>
        <w:t>тронный научный журнал Кубанского государственного аграрного университета. 2010. № 58. С. 121-137.</w:t>
      </w:r>
    </w:p>
    <w:p w:rsidR="00E73FF0" w:rsidRPr="00483E1F" w:rsidRDefault="00E73FF0" w:rsidP="00E73FF0">
      <w:pPr>
        <w:widowControl w:val="0"/>
        <w:autoSpaceDE w:val="0"/>
        <w:autoSpaceDN w:val="0"/>
        <w:adjustRightInd w:val="0"/>
        <w:ind w:firstLine="426"/>
        <w:jc w:val="both"/>
        <w:rPr>
          <w:rFonts w:eastAsiaTheme="minorHAnsi"/>
          <w:sz w:val="22"/>
          <w:szCs w:val="22"/>
          <w:lang w:eastAsia="en-US"/>
        </w:rPr>
      </w:pPr>
      <w:r w:rsidRPr="00E73FF0">
        <w:rPr>
          <w:rFonts w:eastAsiaTheme="minorHAnsi"/>
          <w:sz w:val="22"/>
          <w:szCs w:val="22"/>
          <w:lang w:eastAsia="en-US"/>
        </w:rPr>
        <w:t>2 Тарасенко, Б. Ф. Комплексный подход к технологии прои</w:t>
      </w:r>
      <w:r w:rsidRPr="00E73FF0">
        <w:rPr>
          <w:rFonts w:eastAsiaTheme="minorHAnsi"/>
          <w:sz w:val="22"/>
          <w:szCs w:val="22"/>
          <w:lang w:eastAsia="en-US"/>
        </w:rPr>
        <w:t>з</w:t>
      </w:r>
      <w:r w:rsidRPr="00E73FF0">
        <w:rPr>
          <w:rFonts w:eastAsiaTheme="minorHAnsi"/>
          <w:sz w:val="22"/>
          <w:szCs w:val="22"/>
          <w:lang w:eastAsia="en-US"/>
        </w:rPr>
        <w:t>водства зерновых колосовых культур / Б. Ф. Тарасенко, С. В. Ос</w:t>
      </w:r>
      <w:r w:rsidRPr="00E73FF0">
        <w:rPr>
          <w:rFonts w:eastAsiaTheme="minorHAnsi"/>
          <w:sz w:val="22"/>
          <w:szCs w:val="22"/>
          <w:lang w:eastAsia="en-US"/>
        </w:rPr>
        <w:t>ь</w:t>
      </w:r>
      <w:r w:rsidRPr="00E73FF0">
        <w:rPr>
          <w:rFonts w:eastAsiaTheme="minorHAnsi"/>
          <w:sz w:val="22"/>
          <w:szCs w:val="22"/>
          <w:lang w:eastAsia="en-US"/>
        </w:rPr>
        <w:t xml:space="preserve">кин // Политематический сетевой электронный научный журнал Кубанского государственного аграрного университета 2013. – №87(03). – 14 с. </w:t>
      </w:r>
      <w:r w:rsidRPr="00483E1F">
        <w:rPr>
          <w:rFonts w:eastAsiaTheme="minorHAnsi"/>
          <w:sz w:val="22"/>
          <w:szCs w:val="22"/>
          <w:lang w:eastAsia="en-US"/>
        </w:rPr>
        <w:t>(</w:t>
      </w:r>
      <w:hyperlink r:id="rId66" w:history="1">
        <w:r w:rsidRPr="00483E1F">
          <w:rPr>
            <w:rFonts w:eastAsiaTheme="minorHAnsi"/>
            <w:sz w:val="22"/>
            <w:szCs w:val="22"/>
            <w:lang w:eastAsia="en-US"/>
          </w:rPr>
          <w:t>http://ej.kubagro.ru/2013/03/pdf/26.pdf</w:t>
        </w:r>
      </w:hyperlink>
      <w:r w:rsidRPr="00483E1F">
        <w:rPr>
          <w:rFonts w:eastAsiaTheme="minorHAnsi"/>
          <w:sz w:val="22"/>
          <w:szCs w:val="22"/>
          <w:lang w:eastAsia="en-US"/>
        </w:rPr>
        <w:t>).</w:t>
      </w:r>
    </w:p>
    <w:p w:rsidR="00E73FF0" w:rsidRPr="00E73FF0" w:rsidRDefault="00E73FF0" w:rsidP="00E73FF0">
      <w:pPr>
        <w:widowControl w:val="0"/>
        <w:autoSpaceDE w:val="0"/>
        <w:autoSpaceDN w:val="0"/>
        <w:adjustRightInd w:val="0"/>
        <w:ind w:firstLine="426"/>
        <w:jc w:val="both"/>
        <w:rPr>
          <w:rFonts w:eastAsiaTheme="minorHAnsi"/>
          <w:sz w:val="22"/>
          <w:szCs w:val="22"/>
          <w:lang w:eastAsia="en-US"/>
        </w:rPr>
      </w:pPr>
      <w:r w:rsidRPr="00E73FF0">
        <w:rPr>
          <w:rFonts w:eastAsiaTheme="minorHAnsi"/>
          <w:sz w:val="22"/>
          <w:szCs w:val="22"/>
          <w:lang w:eastAsia="en-US"/>
        </w:rPr>
        <w:t>3 Чеботарев М.И. Технология уничтожения сорной растител</w:t>
      </w:r>
      <w:r w:rsidRPr="00E73FF0">
        <w:rPr>
          <w:rFonts w:eastAsiaTheme="minorHAnsi"/>
          <w:sz w:val="22"/>
          <w:szCs w:val="22"/>
          <w:lang w:eastAsia="en-US"/>
        </w:rPr>
        <w:t>ь</w:t>
      </w:r>
      <w:r w:rsidRPr="00E73FF0">
        <w:rPr>
          <w:rFonts w:eastAsiaTheme="minorHAnsi"/>
          <w:sz w:val="22"/>
          <w:szCs w:val="22"/>
          <w:lang w:eastAsia="en-US"/>
        </w:rPr>
        <w:t>ности на посевах риса, залитых водой / сб. статей Междунар. нау</w:t>
      </w:r>
      <w:r w:rsidRPr="00E73FF0">
        <w:rPr>
          <w:rFonts w:eastAsiaTheme="minorHAnsi"/>
          <w:sz w:val="22"/>
          <w:szCs w:val="22"/>
          <w:lang w:eastAsia="en-US"/>
        </w:rPr>
        <w:t>ч</w:t>
      </w:r>
      <w:r w:rsidRPr="00E73FF0">
        <w:rPr>
          <w:rFonts w:eastAsiaTheme="minorHAnsi"/>
          <w:sz w:val="22"/>
          <w:szCs w:val="22"/>
          <w:lang w:eastAsia="en-US"/>
        </w:rPr>
        <w:t>но-практ. конф. «Роль науки в развитии общества» / М.И. Чебот</w:t>
      </w:r>
      <w:r w:rsidRPr="00E73FF0">
        <w:rPr>
          <w:rFonts w:eastAsiaTheme="minorHAnsi"/>
          <w:sz w:val="22"/>
          <w:szCs w:val="22"/>
          <w:lang w:eastAsia="en-US"/>
        </w:rPr>
        <w:t>а</w:t>
      </w:r>
      <w:r w:rsidRPr="00E73FF0">
        <w:rPr>
          <w:rFonts w:eastAsiaTheme="minorHAnsi"/>
          <w:sz w:val="22"/>
          <w:szCs w:val="22"/>
          <w:lang w:eastAsia="en-US"/>
        </w:rPr>
        <w:t>рев, А.С. Городничий, Е.С. Фурдуй.– ООО «ОМЕГА САЙНС» – Пенза. – 2016.– С. 50-52.</w:t>
      </w:r>
    </w:p>
    <w:p w:rsidR="00E73FF0" w:rsidRPr="00E73FF0" w:rsidRDefault="00E73FF0" w:rsidP="00E73FF0">
      <w:pPr>
        <w:shd w:val="clear" w:color="auto" w:fill="FFFFFF"/>
        <w:tabs>
          <w:tab w:val="left" w:pos="-426"/>
          <w:tab w:val="left" w:pos="-284"/>
          <w:tab w:val="left" w:pos="0"/>
          <w:tab w:val="left" w:pos="993"/>
          <w:tab w:val="left" w:pos="9638"/>
        </w:tabs>
        <w:ind w:firstLine="426"/>
        <w:jc w:val="both"/>
        <w:outlineLvl w:val="0"/>
        <w:rPr>
          <w:bCs/>
          <w:sz w:val="22"/>
          <w:szCs w:val="22"/>
        </w:rPr>
      </w:pPr>
      <w:r w:rsidRPr="00E73FF0">
        <w:rPr>
          <w:sz w:val="22"/>
          <w:szCs w:val="22"/>
        </w:rPr>
        <w:t xml:space="preserve">4 </w:t>
      </w:r>
      <w:r w:rsidRPr="00E73FF0">
        <w:rPr>
          <w:bCs/>
          <w:sz w:val="22"/>
          <w:szCs w:val="22"/>
        </w:rPr>
        <w:t>Тарасенко, Б. Ф. Конструктивно-технологические решения энергосберегающего комплекса машин для предупреждения дегр</w:t>
      </w:r>
      <w:r w:rsidRPr="00E73FF0">
        <w:rPr>
          <w:bCs/>
          <w:sz w:val="22"/>
          <w:szCs w:val="22"/>
        </w:rPr>
        <w:t>а</w:t>
      </w:r>
      <w:r w:rsidRPr="00E73FF0">
        <w:rPr>
          <w:bCs/>
          <w:sz w:val="22"/>
          <w:szCs w:val="22"/>
        </w:rPr>
        <w:t>дации почв в Краснодарском крае: монография / Б. Ф. Тарасенко; КубГАУ – Краснодар, 2012. – 280 с.</w:t>
      </w:r>
    </w:p>
    <w:p w:rsidR="00E73FF0" w:rsidRPr="009762D0" w:rsidRDefault="00E73FF0" w:rsidP="009762D0">
      <w:pPr>
        <w:spacing w:after="200"/>
        <w:ind w:firstLine="426"/>
        <w:rPr>
          <w:rFonts w:eastAsiaTheme="minorHAnsi"/>
          <w:sz w:val="22"/>
          <w:szCs w:val="22"/>
          <w:lang w:eastAsia="en-US"/>
        </w:rPr>
      </w:pPr>
      <w:r w:rsidRPr="00E73FF0">
        <w:rPr>
          <w:rFonts w:eastAsiaTheme="minorHAnsi"/>
          <w:sz w:val="22"/>
          <w:szCs w:val="22"/>
          <w:lang w:eastAsia="en-US"/>
        </w:rPr>
        <w:t>5 Патент РФ, №2284693, МПК A01M 7/00 (2006.01) Опрыск</w:t>
      </w:r>
      <w:r w:rsidRPr="00E73FF0">
        <w:rPr>
          <w:rFonts w:eastAsiaTheme="minorHAnsi"/>
          <w:sz w:val="22"/>
          <w:szCs w:val="22"/>
          <w:lang w:eastAsia="en-US"/>
        </w:rPr>
        <w:t>и</w:t>
      </w:r>
      <w:r w:rsidRPr="00E73FF0">
        <w:rPr>
          <w:rFonts w:eastAsiaTheme="minorHAnsi"/>
          <w:sz w:val="22"/>
          <w:szCs w:val="22"/>
          <w:lang w:eastAsia="en-US"/>
        </w:rPr>
        <w:t>ватель ультрамалообъёмный / А.Н. Медовник, Г.Г. Маслов, Б.Ф. Тарасенко и др. Патентообладатель ФГОУ ВПО Куб ГАУ, БИ №28, 10.10.2006.</w:t>
      </w:r>
    </w:p>
    <w:p w:rsidR="00E73FF0" w:rsidRPr="00E73FF0" w:rsidRDefault="00E73FF0" w:rsidP="00E73FF0">
      <w:pPr>
        <w:spacing w:after="200"/>
        <w:rPr>
          <w:sz w:val="22"/>
          <w:szCs w:val="22"/>
        </w:rPr>
      </w:pPr>
      <w:r w:rsidRPr="00E73FF0">
        <w:rPr>
          <w:sz w:val="22"/>
          <w:szCs w:val="22"/>
        </w:rPr>
        <w:lastRenderedPageBreak/>
        <w:t>УДК 631.313.6</w:t>
      </w:r>
    </w:p>
    <w:p w:rsidR="00E73FF0" w:rsidRPr="00E73FF0" w:rsidRDefault="00E73FF0" w:rsidP="00E73FF0">
      <w:pPr>
        <w:ind w:firstLine="426"/>
        <w:jc w:val="center"/>
        <w:rPr>
          <w:b/>
          <w:sz w:val="24"/>
          <w:szCs w:val="24"/>
        </w:rPr>
      </w:pPr>
      <w:r w:rsidRPr="00E73FF0">
        <w:rPr>
          <w:b/>
          <w:sz w:val="24"/>
          <w:szCs w:val="24"/>
        </w:rPr>
        <w:t>Исследование величи</w:t>
      </w:r>
      <w:r w:rsidR="00483E1F">
        <w:rPr>
          <w:b/>
          <w:sz w:val="24"/>
          <w:szCs w:val="24"/>
        </w:rPr>
        <w:t xml:space="preserve">ны заднего угла резания </w:t>
      </w:r>
      <w:r w:rsidR="00483E1F">
        <w:rPr>
          <w:b/>
          <w:sz w:val="24"/>
          <w:szCs w:val="24"/>
        </w:rPr>
        <w:br/>
      </w:r>
      <w:r w:rsidRPr="00E73FF0">
        <w:rPr>
          <w:b/>
          <w:sz w:val="24"/>
          <w:szCs w:val="24"/>
        </w:rPr>
        <w:t>дискового рабочего органа</w:t>
      </w:r>
    </w:p>
    <w:p w:rsidR="009762D0" w:rsidRPr="009762D0" w:rsidRDefault="00E73FF0" w:rsidP="009762D0">
      <w:pPr>
        <w:ind w:firstLine="426"/>
        <w:jc w:val="center"/>
        <w:rPr>
          <w:b/>
          <w:sz w:val="24"/>
          <w:szCs w:val="24"/>
          <w:lang w:val="en-US"/>
        </w:rPr>
      </w:pPr>
      <w:r w:rsidRPr="00E73FF0">
        <w:rPr>
          <w:b/>
          <w:sz w:val="24"/>
          <w:szCs w:val="24"/>
          <w:lang w:val="en-US"/>
        </w:rPr>
        <w:t>Investigation of the value of the cutting angle of the cutting disc</w:t>
      </w:r>
    </w:p>
    <w:p w:rsidR="00E73FF0" w:rsidRPr="00E73FF0" w:rsidRDefault="00E73FF0" w:rsidP="00E73FF0">
      <w:pPr>
        <w:ind w:firstLine="426"/>
        <w:jc w:val="right"/>
        <w:rPr>
          <w:sz w:val="22"/>
          <w:szCs w:val="22"/>
        </w:rPr>
      </w:pPr>
      <w:r w:rsidRPr="00E73FF0">
        <w:rPr>
          <w:sz w:val="22"/>
          <w:szCs w:val="22"/>
        </w:rPr>
        <w:t>Демченко Д. Р.</w:t>
      </w:r>
      <w:r w:rsidR="00483E1F">
        <w:rPr>
          <w:sz w:val="22"/>
          <w:szCs w:val="22"/>
        </w:rPr>
        <w:t>,</w:t>
      </w:r>
    </w:p>
    <w:p w:rsidR="00E73FF0" w:rsidRPr="00E73FF0" w:rsidRDefault="00E73FF0" w:rsidP="00E73FF0">
      <w:pPr>
        <w:ind w:firstLine="426"/>
        <w:jc w:val="right"/>
        <w:rPr>
          <w:sz w:val="22"/>
          <w:szCs w:val="22"/>
        </w:rPr>
      </w:pPr>
      <w:r w:rsidRPr="00E73FF0">
        <w:rPr>
          <w:sz w:val="22"/>
          <w:szCs w:val="22"/>
        </w:rPr>
        <w:t>студент 2-го курса факультета механизации</w:t>
      </w:r>
    </w:p>
    <w:p w:rsidR="00E73FF0" w:rsidRPr="00E73FF0" w:rsidRDefault="00E73FF0" w:rsidP="00E73FF0">
      <w:pPr>
        <w:ind w:firstLine="426"/>
        <w:jc w:val="right"/>
        <w:rPr>
          <w:sz w:val="22"/>
          <w:szCs w:val="22"/>
        </w:rPr>
      </w:pPr>
      <w:r w:rsidRPr="00E73FF0">
        <w:rPr>
          <w:sz w:val="22"/>
          <w:szCs w:val="22"/>
        </w:rPr>
        <w:t>Коновалов С. И., Коновалова О. В.</w:t>
      </w:r>
      <w:r w:rsidR="00483E1F">
        <w:rPr>
          <w:sz w:val="22"/>
          <w:szCs w:val="22"/>
        </w:rPr>
        <w:t>,</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sidR="00483E1F">
        <w:rPr>
          <w:rFonts w:eastAsia="Courier New"/>
          <w:color w:val="000000"/>
          <w:sz w:val="22"/>
          <w:szCs w:val="22"/>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w:t>
      </w:r>
      <w:r w:rsidR="00483E1F">
        <w:rPr>
          <w:rFonts w:eastAsia="Courier New"/>
          <w:color w:val="000000"/>
          <w:sz w:val="22"/>
          <w:szCs w:val="22"/>
        </w:rPr>
        <w:t xml:space="preserve"> </w:t>
      </w:r>
      <w:r w:rsidRPr="00E73FF0">
        <w:rPr>
          <w:rFonts w:eastAsia="Courier New"/>
          <w:color w:val="000000"/>
          <w:sz w:val="22"/>
          <w:szCs w:val="22"/>
        </w:rPr>
        <w:t>Т. Трубилина</w:t>
      </w:r>
    </w:p>
    <w:p w:rsidR="00E73FF0" w:rsidRPr="00E73FF0" w:rsidRDefault="00E73FF0" w:rsidP="00E73FF0">
      <w:pPr>
        <w:ind w:firstLine="426"/>
        <w:jc w:val="center"/>
        <w:rPr>
          <w:sz w:val="24"/>
          <w:szCs w:val="24"/>
        </w:rPr>
      </w:pPr>
    </w:p>
    <w:p w:rsidR="00E73FF0" w:rsidRPr="00E73FF0" w:rsidRDefault="00E73FF0" w:rsidP="00E73FF0">
      <w:pPr>
        <w:ind w:firstLine="426"/>
        <w:jc w:val="both"/>
        <w:rPr>
          <w:sz w:val="22"/>
          <w:szCs w:val="22"/>
          <w:lang w:val="en-US"/>
        </w:rPr>
      </w:pPr>
      <w:r w:rsidRPr="00E73FF0">
        <w:rPr>
          <w:sz w:val="22"/>
          <w:szCs w:val="22"/>
        </w:rPr>
        <w:t>АННОТАЦИЯ: В статье представлен анализ теоретической з</w:t>
      </w:r>
      <w:r w:rsidRPr="00E73FF0">
        <w:rPr>
          <w:sz w:val="22"/>
          <w:szCs w:val="22"/>
        </w:rPr>
        <w:t>а</w:t>
      </w:r>
      <w:r w:rsidRPr="00E73FF0">
        <w:rPr>
          <w:sz w:val="22"/>
          <w:szCs w:val="22"/>
        </w:rPr>
        <w:t>висимости величины заднего угла резания от конструктивно-технологических параметров дискового рабочего органа. Предл</w:t>
      </w:r>
      <w:r w:rsidRPr="00E73FF0">
        <w:rPr>
          <w:sz w:val="22"/>
          <w:szCs w:val="22"/>
        </w:rPr>
        <w:t>о</w:t>
      </w:r>
      <w:r w:rsidRPr="00E73FF0">
        <w:rPr>
          <w:sz w:val="22"/>
          <w:szCs w:val="22"/>
        </w:rPr>
        <w:t>жены</w:t>
      </w:r>
      <w:r w:rsidRPr="00E73FF0">
        <w:rPr>
          <w:sz w:val="22"/>
          <w:szCs w:val="22"/>
          <w:lang w:val="en-US"/>
        </w:rPr>
        <w:t xml:space="preserve"> </w:t>
      </w:r>
      <w:r w:rsidRPr="00E73FF0">
        <w:rPr>
          <w:sz w:val="22"/>
          <w:szCs w:val="22"/>
        </w:rPr>
        <w:t>рекомендации</w:t>
      </w:r>
      <w:r w:rsidRPr="00E73FF0">
        <w:rPr>
          <w:sz w:val="22"/>
          <w:szCs w:val="22"/>
          <w:lang w:val="en-US"/>
        </w:rPr>
        <w:t xml:space="preserve"> </w:t>
      </w:r>
      <w:r w:rsidRPr="00E73FF0">
        <w:rPr>
          <w:sz w:val="22"/>
          <w:szCs w:val="22"/>
        </w:rPr>
        <w:t>для</w:t>
      </w:r>
      <w:r w:rsidRPr="00E73FF0">
        <w:rPr>
          <w:sz w:val="22"/>
          <w:szCs w:val="22"/>
          <w:lang w:val="en-US"/>
        </w:rPr>
        <w:t xml:space="preserve"> </w:t>
      </w:r>
      <w:r w:rsidRPr="00E73FF0">
        <w:rPr>
          <w:sz w:val="22"/>
          <w:szCs w:val="22"/>
        </w:rPr>
        <w:t>его</w:t>
      </w:r>
      <w:r w:rsidRPr="00E73FF0">
        <w:rPr>
          <w:sz w:val="22"/>
          <w:szCs w:val="22"/>
          <w:lang w:val="en-US"/>
        </w:rPr>
        <w:t xml:space="preserve"> </w:t>
      </w:r>
      <w:r w:rsidRPr="00E73FF0">
        <w:rPr>
          <w:sz w:val="22"/>
          <w:szCs w:val="22"/>
        </w:rPr>
        <w:t>определения</w:t>
      </w:r>
      <w:r w:rsidRPr="00E73FF0">
        <w:rPr>
          <w:sz w:val="22"/>
          <w:szCs w:val="22"/>
          <w:lang w:val="en-US"/>
        </w:rPr>
        <w:t xml:space="preserve"> </w:t>
      </w:r>
      <w:r w:rsidRPr="00E73FF0">
        <w:rPr>
          <w:sz w:val="22"/>
          <w:szCs w:val="22"/>
        </w:rPr>
        <w:t>при</w:t>
      </w:r>
      <w:r w:rsidRPr="00E73FF0">
        <w:rPr>
          <w:sz w:val="22"/>
          <w:szCs w:val="22"/>
          <w:lang w:val="en-US"/>
        </w:rPr>
        <w:t xml:space="preserve"> </w:t>
      </w:r>
      <w:r w:rsidRPr="00E73FF0">
        <w:rPr>
          <w:sz w:val="22"/>
          <w:szCs w:val="22"/>
        </w:rPr>
        <w:t>проектирования</w:t>
      </w:r>
      <w:r w:rsidRPr="00E73FF0">
        <w:rPr>
          <w:sz w:val="22"/>
          <w:szCs w:val="22"/>
          <w:lang w:val="en-US"/>
        </w:rPr>
        <w:t xml:space="preserve">  </w:t>
      </w:r>
      <w:r w:rsidRPr="00E73FF0">
        <w:rPr>
          <w:sz w:val="22"/>
          <w:szCs w:val="22"/>
        </w:rPr>
        <w:t>ди</w:t>
      </w:r>
      <w:r w:rsidRPr="00E73FF0">
        <w:rPr>
          <w:sz w:val="22"/>
          <w:szCs w:val="22"/>
        </w:rPr>
        <w:t>с</w:t>
      </w:r>
      <w:r w:rsidRPr="00E73FF0">
        <w:rPr>
          <w:sz w:val="22"/>
          <w:szCs w:val="22"/>
        </w:rPr>
        <w:t>ка</w:t>
      </w:r>
      <w:r w:rsidRPr="00E73FF0">
        <w:rPr>
          <w:sz w:val="22"/>
          <w:szCs w:val="22"/>
          <w:lang w:val="en-US"/>
        </w:rPr>
        <w:t>.</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ABSTRACT:</w:t>
      </w:r>
      <w:r w:rsidRPr="00E73FF0">
        <w:rPr>
          <w:sz w:val="22"/>
          <w:szCs w:val="22"/>
          <w:lang w:val="en-US"/>
        </w:rPr>
        <w:t xml:space="preserve"> The article presents an analysis of the theoretical d</w:t>
      </w:r>
      <w:r w:rsidRPr="00E73FF0">
        <w:rPr>
          <w:sz w:val="22"/>
          <w:szCs w:val="22"/>
          <w:lang w:val="en-US"/>
        </w:rPr>
        <w:t>e</w:t>
      </w:r>
      <w:r w:rsidRPr="00E73FF0">
        <w:rPr>
          <w:sz w:val="22"/>
          <w:szCs w:val="22"/>
          <w:lang w:val="en-US"/>
        </w:rPr>
        <w:t>pendence of the value of the rear cutting angle on the structural and technological parameters of the disk working member. Suggested re</w:t>
      </w:r>
      <w:r w:rsidRPr="00E73FF0">
        <w:rPr>
          <w:sz w:val="22"/>
          <w:szCs w:val="22"/>
          <w:lang w:val="en-US"/>
        </w:rPr>
        <w:t>c</w:t>
      </w:r>
      <w:r w:rsidRPr="00E73FF0">
        <w:rPr>
          <w:sz w:val="22"/>
          <w:szCs w:val="22"/>
          <w:lang w:val="en-US"/>
        </w:rPr>
        <w:t>ommendations for its definition when designing a disk.</w:t>
      </w:r>
    </w:p>
    <w:p w:rsidR="00E73FF0" w:rsidRPr="00E73FF0" w:rsidRDefault="00E73FF0" w:rsidP="00E73FF0">
      <w:pPr>
        <w:ind w:firstLine="426"/>
        <w:jc w:val="both"/>
        <w:rPr>
          <w:sz w:val="22"/>
          <w:szCs w:val="22"/>
          <w:lang w:val="en-US"/>
        </w:rPr>
      </w:pPr>
      <w:r w:rsidRPr="00E73FF0">
        <w:rPr>
          <w:sz w:val="22"/>
          <w:szCs w:val="22"/>
        </w:rPr>
        <w:t>КЛЮЧЕВЫЕ</w:t>
      </w:r>
      <w:r w:rsidRPr="00E73FF0">
        <w:rPr>
          <w:sz w:val="22"/>
          <w:szCs w:val="22"/>
          <w:lang w:val="en-US"/>
        </w:rPr>
        <w:t xml:space="preserve"> </w:t>
      </w:r>
      <w:r w:rsidRPr="00E73FF0">
        <w:rPr>
          <w:sz w:val="22"/>
          <w:szCs w:val="22"/>
        </w:rPr>
        <w:t>СЛОВА</w:t>
      </w:r>
      <w:r w:rsidRPr="00E73FF0">
        <w:rPr>
          <w:sz w:val="22"/>
          <w:szCs w:val="22"/>
          <w:lang w:val="en-US"/>
        </w:rPr>
        <w:t xml:space="preserve">: </w:t>
      </w:r>
      <w:r w:rsidRPr="00E73FF0">
        <w:rPr>
          <w:sz w:val="22"/>
          <w:szCs w:val="22"/>
        </w:rPr>
        <w:t>задний</w:t>
      </w:r>
      <w:r w:rsidRPr="00E73FF0">
        <w:rPr>
          <w:sz w:val="22"/>
          <w:szCs w:val="22"/>
          <w:lang w:val="en-US"/>
        </w:rPr>
        <w:t xml:space="preserve"> </w:t>
      </w:r>
      <w:r w:rsidRPr="00E73FF0">
        <w:rPr>
          <w:sz w:val="22"/>
          <w:szCs w:val="22"/>
        </w:rPr>
        <w:t>угол</w:t>
      </w:r>
      <w:r w:rsidRPr="00E73FF0">
        <w:rPr>
          <w:sz w:val="22"/>
          <w:szCs w:val="22"/>
          <w:lang w:val="en-US"/>
        </w:rPr>
        <w:t xml:space="preserve"> </w:t>
      </w:r>
      <w:r w:rsidRPr="00E73FF0">
        <w:rPr>
          <w:sz w:val="22"/>
          <w:szCs w:val="22"/>
        </w:rPr>
        <w:t>резания</w:t>
      </w:r>
      <w:r w:rsidRPr="00E73FF0">
        <w:rPr>
          <w:sz w:val="22"/>
          <w:szCs w:val="22"/>
          <w:lang w:val="en-US"/>
        </w:rPr>
        <w:t xml:space="preserve">, </w:t>
      </w:r>
      <w:r w:rsidRPr="00E73FF0">
        <w:rPr>
          <w:sz w:val="22"/>
          <w:szCs w:val="22"/>
        </w:rPr>
        <w:t>дисковый</w:t>
      </w:r>
      <w:r w:rsidRPr="00E73FF0">
        <w:rPr>
          <w:sz w:val="22"/>
          <w:szCs w:val="22"/>
          <w:lang w:val="en-US"/>
        </w:rPr>
        <w:t xml:space="preserve"> </w:t>
      </w:r>
      <w:r w:rsidRPr="00E73FF0">
        <w:rPr>
          <w:sz w:val="22"/>
          <w:szCs w:val="22"/>
        </w:rPr>
        <w:t>рабочий</w:t>
      </w:r>
      <w:r w:rsidRPr="00E73FF0">
        <w:rPr>
          <w:sz w:val="22"/>
          <w:szCs w:val="22"/>
          <w:lang w:val="en-US"/>
        </w:rPr>
        <w:t xml:space="preserve"> </w:t>
      </w:r>
      <w:r w:rsidRPr="00E73FF0">
        <w:rPr>
          <w:sz w:val="22"/>
          <w:szCs w:val="22"/>
        </w:rPr>
        <w:t>орган</w:t>
      </w:r>
      <w:r w:rsidRPr="00E73FF0">
        <w:rPr>
          <w:sz w:val="22"/>
          <w:szCs w:val="22"/>
          <w:lang w:val="en-US"/>
        </w:rPr>
        <w:t xml:space="preserve">, </w:t>
      </w:r>
      <w:r w:rsidRPr="00E73FF0">
        <w:rPr>
          <w:sz w:val="22"/>
          <w:szCs w:val="22"/>
        </w:rPr>
        <w:t>глубина</w:t>
      </w:r>
      <w:r w:rsidRPr="00E73FF0">
        <w:rPr>
          <w:sz w:val="22"/>
          <w:szCs w:val="22"/>
          <w:lang w:val="en-US"/>
        </w:rPr>
        <w:t xml:space="preserve"> </w:t>
      </w:r>
      <w:r w:rsidRPr="00E73FF0">
        <w:rPr>
          <w:sz w:val="22"/>
          <w:szCs w:val="22"/>
        </w:rPr>
        <w:t>обработки</w:t>
      </w:r>
      <w:r w:rsidRPr="00E73FF0">
        <w:rPr>
          <w:sz w:val="22"/>
          <w:szCs w:val="22"/>
          <w:lang w:val="en-US"/>
        </w:rPr>
        <w:t xml:space="preserve">. </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KEYWORDS:</w:t>
      </w:r>
      <w:r w:rsidRPr="00E73FF0">
        <w:rPr>
          <w:sz w:val="22"/>
          <w:szCs w:val="22"/>
          <w:lang w:val="en-US"/>
        </w:rPr>
        <w:t xml:space="preserve"> </w:t>
      </w:r>
      <w:r w:rsidRPr="00E73FF0">
        <w:rPr>
          <w:rFonts w:eastAsia="Courier New"/>
          <w:color w:val="000000"/>
          <w:sz w:val="22"/>
          <w:szCs w:val="22"/>
          <w:lang w:val="en-US"/>
        </w:rPr>
        <w:t xml:space="preserve">rear cutting angle, </w:t>
      </w:r>
      <w:r w:rsidRPr="00E73FF0">
        <w:rPr>
          <w:sz w:val="22"/>
          <w:szCs w:val="22"/>
          <w:lang w:val="en-US"/>
        </w:rPr>
        <w:t>disc</w:t>
      </w:r>
      <w:r w:rsidRPr="00E73FF0">
        <w:rPr>
          <w:rFonts w:eastAsia="Courier New"/>
          <w:color w:val="000000"/>
          <w:sz w:val="22"/>
          <w:szCs w:val="22"/>
          <w:lang w:val="en-US"/>
        </w:rPr>
        <w:t xml:space="preserve"> working organ, depth of treatment.</w:t>
      </w:r>
    </w:p>
    <w:p w:rsidR="00E73FF0" w:rsidRPr="00E73FF0" w:rsidRDefault="00E73FF0" w:rsidP="00E73FF0">
      <w:pPr>
        <w:ind w:firstLine="426"/>
        <w:jc w:val="both"/>
        <w:rPr>
          <w:sz w:val="24"/>
          <w:szCs w:val="24"/>
          <w:lang w:val="en-US"/>
        </w:rPr>
      </w:pPr>
    </w:p>
    <w:p w:rsidR="00E73FF0" w:rsidRPr="00E73FF0" w:rsidRDefault="00E73FF0" w:rsidP="00E73FF0">
      <w:pPr>
        <w:ind w:firstLine="426"/>
        <w:jc w:val="both"/>
        <w:rPr>
          <w:sz w:val="22"/>
          <w:szCs w:val="22"/>
        </w:rPr>
      </w:pPr>
      <w:r w:rsidRPr="00E73FF0">
        <w:rPr>
          <w:sz w:val="22"/>
          <w:szCs w:val="22"/>
        </w:rPr>
        <w:t>Задний угол резания – угол между направлением движения дискового рабочего органа и касательной к радиусу кривизны. В</w:t>
      </w:r>
      <w:r w:rsidRPr="00E73FF0">
        <w:rPr>
          <w:sz w:val="22"/>
          <w:szCs w:val="22"/>
        </w:rPr>
        <w:t>е</w:t>
      </w:r>
      <w:r w:rsidRPr="00E73FF0">
        <w:rPr>
          <w:sz w:val="22"/>
          <w:szCs w:val="22"/>
        </w:rPr>
        <w:t>личина заднего угла резания оказывает значительное влияние на заглубляемость дискового рабочего органа, энергоемкость проце</w:t>
      </w:r>
      <w:r w:rsidRPr="00E73FF0">
        <w:rPr>
          <w:sz w:val="22"/>
          <w:szCs w:val="22"/>
        </w:rPr>
        <w:t>с</w:t>
      </w:r>
      <w:r w:rsidRPr="00E73FF0">
        <w:rPr>
          <w:sz w:val="22"/>
          <w:szCs w:val="22"/>
        </w:rPr>
        <w:t>са, ряд агротехнических показателей, а также на устойчивое прям</w:t>
      </w:r>
      <w:r w:rsidRPr="00E73FF0">
        <w:rPr>
          <w:sz w:val="22"/>
          <w:szCs w:val="22"/>
        </w:rPr>
        <w:t>о</w:t>
      </w:r>
      <w:r w:rsidRPr="00E73FF0">
        <w:rPr>
          <w:sz w:val="22"/>
          <w:szCs w:val="22"/>
        </w:rPr>
        <w:t>линейное движение [1, 2, 3]. Соблюдение всех вышеперечисленных показателей приводит к экономической целесообразности эксплу</w:t>
      </w:r>
      <w:r w:rsidRPr="00E73FF0">
        <w:rPr>
          <w:sz w:val="22"/>
          <w:szCs w:val="22"/>
        </w:rPr>
        <w:t>а</w:t>
      </w:r>
      <w:r w:rsidRPr="00E73FF0">
        <w:rPr>
          <w:sz w:val="22"/>
          <w:szCs w:val="22"/>
        </w:rPr>
        <w:t xml:space="preserve">тации дискового рабочего органа в отдельности и дискового орудия в целом [4]. </w:t>
      </w:r>
    </w:p>
    <w:p w:rsidR="00E73FF0" w:rsidRPr="00E73FF0" w:rsidRDefault="00E73FF0" w:rsidP="00E73FF0">
      <w:pPr>
        <w:ind w:firstLine="426"/>
        <w:jc w:val="both"/>
        <w:rPr>
          <w:sz w:val="22"/>
          <w:szCs w:val="22"/>
        </w:rPr>
      </w:pPr>
      <w:r w:rsidRPr="00E73FF0">
        <w:rPr>
          <w:sz w:val="22"/>
          <w:szCs w:val="22"/>
        </w:rPr>
        <w:t>Согласно теоретической зависимости профессора Ф. М. Канарева, величина заднего угла резания зависит от ко</w:t>
      </w:r>
      <w:r w:rsidRPr="00E73FF0">
        <w:rPr>
          <w:sz w:val="22"/>
          <w:szCs w:val="22"/>
        </w:rPr>
        <w:t>н</w:t>
      </w:r>
      <w:r w:rsidRPr="00E73FF0">
        <w:rPr>
          <w:sz w:val="22"/>
          <w:szCs w:val="22"/>
        </w:rPr>
        <w:lastRenderedPageBreak/>
        <w:t>структивных и режимных параметров рабочего [5] органа. К ко</w:t>
      </w:r>
      <w:r w:rsidRPr="00E73FF0">
        <w:rPr>
          <w:sz w:val="22"/>
          <w:szCs w:val="22"/>
        </w:rPr>
        <w:t>н</w:t>
      </w:r>
      <w:r w:rsidRPr="00E73FF0">
        <w:rPr>
          <w:sz w:val="22"/>
          <w:szCs w:val="22"/>
        </w:rPr>
        <w:t>структивным параметрам можно отнеси радиус диска и радиус кр</w:t>
      </w:r>
      <w:r w:rsidRPr="00E73FF0">
        <w:rPr>
          <w:sz w:val="22"/>
          <w:szCs w:val="22"/>
        </w:rPr>
        <w:t>и</w:t>
      </w:r>
      <w:r w:rsidRPr="00E73FF0">
        <w:rPr>
          <w:sz w:val="22"/>
          <w:szCs w:val="22"/>
        </w:rPr>
        <w:t>визны диска, а к режимным – угол атаки и угол установки диска к вертикали. Следует отметить, что величина заднего угла резания напрямую зависит от места его определения. Так при определении угла резания на фаске заточке он будет существенно меньше, чем на расстоянии 1/3 от края диска к его центру, что обусловлено налич</w:t>
      </w:r>
      <w:r w:rsidRPr="00E73FF0">
        <w:rPr>
          <w:sz w:val="22"/>
          <w:szCs w:val="22"/>
        </w:rPr>
        <w:t>и</w:t>
      </w:r>
      <w:r w:rsidRPr="00E73FF0">
        <w:rPr>
          <w:sz w:val="22"/>
          <w:szCs w:val="22"/>
        </w:rPr>
        <w:t>ем кривизны. Данный факт, конечно, наблюдается только у диск</w:t>
      </w:r>
      <w:r w:rsidRPr="00E73FF0">
        <w:rPr>
          <w:sz w:val="22"/>
          <w:szCs w:val="22"/>
        </w:rPr>
        <w:t>о</w:t>
      </w:r>
      <w:r w:rsidRPr="00E73FF0">
        <w:rPr>
          <w:sz w:val="22"/>
          <w:szCs w:val="22"/>
        </w:rPr>
        <w:t>вых рабочих органов с кривизной отличной от нуля, например как у конусных дисков. Такие дисковые рабочие органы имеют задний угол резания одинаковый в любой плоскости параллельной дну б</w:t>
      </w:r>
      <w:r w:rsidRPr="00E73FF0">
        <w:rPr>
          <w:sz w:val="22"/>
          <w:szCs w:val="22"/>
        </w:rPr>
        <w:t>о</w:t>
      </w:r>
      <w:r w:rsidRPr="00E73FF0">
        <w:rPr>
          <w:sz w:val="22"/>
          <w:szCs w:val="22"/>
        </w:rPr>
        <w:t>розды.</w:t>
      </w:r>
    </w:p>
    <w:p w:rsidR="00E73FF0" w:rsidRPr="00E73FF0" w:rsidRDefault="00E73FF0" w:rsidP="00E73FF0">
      <w:pPr>
        <w:ind w:firstLine="426"/>
        <w:jc w:val="both"/>
        <w:rPr>
          <w:sz w:val="22"/>
          <w:szCs w:val="22"/>
        </w:rPr>
      </w:pPr>
      <w:r w:rsidRPr="00E73FF0">
        <w:rPr>
          <w:sz w:val="22"/>
          <w:szCs w:val="22"/>
        </w:rPr>
        <w:t>Проанализировав теоретическую зависимость величины задн</w:t>
      </w:r>
      <w:r w:rsidRPr="00E73FF0">
        <w:rPr>
          <w:sz w:val="22"/>
          <w:szCs w:val="22"/>
        </w:rPr>
        <w:t>е</w:t>
      </w:r>
      <w:r w:rsidRPr="00E73FF0">
        <w:rPr>
          <w:sz w:val="22"/>
          <w:szCs w:val="22"/>
        </w:rPr>
        <w:t>го угла резания можно сделать вывод, что функция имеет кривол</w:t>
      </w:r>
      <w:r w:rsidRPr="00E73FF0">
        <w:rPr>
          <w:sz w:val="22"/>
          <w:szCs w:val="22"/>
        </w:rPr>
        <w:t>и</w:t>
      </w:r>
      <w:r w:rsidRPr="00E73FF0">
        <w:rPr>
          <w:sz w:val="22"/>
          <w:szCs w:val="22"/>
        </w:rPr>
        <w:t>нейный характер при изменении конструктивно-технологических параметров, и только изменение угла атаки носит близкий к лине</w:t>
      </w:r>
      <w:r w:rsidRPr="00E73FF0">
        <w:rPr>
          <w:sz w:val="22"/>
          <w:szCs w:val="22"/>
        </w:rPr>
        <w:t>й</w:t>
      </w:r>
      <w:r w:rsidRPr="00E73FF0">
        <w:rPr>
          <w:sz w:val="22"/>
          <w:szCs w:val="22"/>
        </w:rPr>
        <w:t xml:space="preserve">ному вид. </w:t>
      </w:r>
    </w:p>
    <w:p w:rsidR="00E73FF0" w:rsidRPr="00E73FF0" w:rsidRDefault="00E73FF0" w:rsidP="00E73FF0">
      <w:pPr>
        <w:ind w:firstLine="426"/>
        <w:jc w:val="both"/>
        <w:rPr>
          <w:sz w:val="22"/>
          <w:szCs w:val="22"/>
        </w:rPr>
      </w:pPr>
      <w:r w:rsidRPr="00E73FF0">
        <w:rPr>
          <w:sz w:val="22"/>
          <w:szCs w:val="22"/>
        </w:rPr>
        <w:t>При изменении параметров дискового рабочего органа радиуса от 200 до 400 мм, радиуса кривизны от 560 до 780 мм, угла атаки от 3 до 30 градусов, углом установки дисков к вертикали от 0 до 20  градусов и изменении глубины обработки от 20 до 200 мм, задний угол резания вирируется в значительных пределах. Так изменение глубины обработки приводит к увеличению заднего угла резаний от отрицательного значения до 14-16 градусов, увеличение угла атаки наоборот его снижает от 22 градусов до -4. Изменение радиуса кр</w:t>
      </w:r>
      <w:r w:rsidRPr="00E73FF0">
        <w:rPr>
          <w:sz w:val="22"/>
          <w:szCs w:val="22"/>
        </w:rPr>
        <w:t>и</w:t>
      </w:r>
      <w:r w:rsidRPr="00E73FF0">
        <w:rPr>
          <w:sz w:val="22"/>
          <w:szCs w:val="22"/>
        </w:rPr>
        <w:t>визны и радиуса диска в установленных пределах приводит соо</w:t>
      </w:r>
      <w:r w:rsidRPr="00E73FF0">
        <w:rPr>
          <w:sz w:val="22"/>
          <w:szCs w:val="22"/>
        </w:rPr>
        <w:t>т</w:t>
      </w:r>
      <w:r w:rsidRPr="00E73FF0">
        <w:rPr>
          <w:sz w:val="22"/>
          <w:szCs w:val="22"/>
        </w:rPr>
        <w:t>ветственно к его снижению и увеличению, при величина изменяется от  4 до 18 градусов. Изменение угла наклона диска к вертикали практически не изменяет задний угол резания, который составляет 9-13 градусов.</w:t>
      </w:r>
    </w:p>
    <w:p w:rsidR="00E73FF0" w:rsidRPr="00E73FF0" w:rsidRDefault="00E73FF0" w:rsidP="009762D0">
      <w:pPr>
        <w:ind w:firstLine="426"/>
        <w:jc w:val="both"/>
        <w:rPr>
          <w:sz w:val="22"/>
          <w:szCs w:val="22"/>
        </w:rPr>
      </w:pPr>
      <w:r w:rsidRPr="00E73FF0">
        <w:rPr>
          <w:sz w:val="22"/>
          <w:szCs w:val="22"/>
        </w:rPr>
        <w:t>Таким образом, можно сделать вывод, что при проектировании дискового рабочего органа величину заднего угла резания необх</w:t>
      </w:r>
      <w:r w:rsidRPr="00E73FF0">
        <w:rPr>
          <w:sz w:val="22"/>
          <w:szCs w:val="22"/>
        </w:rPr>
        <w:t>о</w:t>
      </w:r>
      <w:r w:rsidRPr="00E73FF0">
        <w:rPr>
          <w:sz w:val="22"/>
          <w:szCs w:val="22"/>
        </w:rPr>
        <w:t>димо определять по требуемой глубине обработки с учетом износа дискового рабочего органа.</w:t>
      </w:r>
    </w:p>
    <w:p w:rsidR="00E73FF0" w:rsidRPr="00E73FF0" w:rsidRDefault="00E73FF0" w:rsidP="00E73FF0">
      <w:pPr>
        <w:ind w:firstLine="426"/>
        <w:jc w:val="center"/>
        <w:rPr>
          <w:sz w:val="22"/>
          <w:szCs w:val="22"/>
        </w:rPr>
      </w:pPr>
      <w:r w:rsidRPr="00E73FF0">
        <w:rPr>
          <w:sz w:val="22"/>
          <w:szCs w:val="22"/>
        </w:rPr>
        <w:t>Список литературы</w:t>
      </w:r>
    </w:p>
    <w:p w:rsidR="00E73FF0" w:rsidRPr="00E73FF0" w:rsidRDefault="00E73FF0" w:rsidP="00E73FF0">
      <w:pPr>
        <w:ind w:firstLine="426"/>
        <w:jc w:val="both"/>
        <w:rPr>
          <w:sz w:val="22"/>
          <w:szCs w:val="22"/>
        </w:rPr>
      </w:pPr>
      <w:r w:rsidRPr="00E73FF0">
        <w:rPr>
          <w:sz w:val="22"/>
          <w:szCs w:val="22"/>
        </w:rPr>
        <w:t>1. Трубилин Е. И. Экономическая эффективность применения многорядных дисковых борон и лущильников: [Тест] / Е. И. Трубилин, К. А. Сохт, В. И. Коновалов. // Труды К</w:t>
      </w:r>
      <w:r w:rsidRPr="00E73FF0">
        <w:rPr>
          <w:sz w:val="22"/>
          <w:szCs w:val="22"/>
        </w:rPr>
        <w:t>у</w:t>
      </w:r>
      <w:r w:rsidRPr="00E73FF0">
        <w:rPr>
          <w:sz w:val="22"/>
          <w:szCs w:val="22"/>
        </w:rPr>
        <w:lastRenderedPageBreak/>
        <w:t>банского государственного аграрного университета. – 2015. – № 53. – С. 253-254.</w:t>
      </w:r>
    </w:p>
    <w:p w:rsidR="00E73FF0" w:rsidRPr="00E73FF0" w:rsidRDefault="00E73FF0" w:rsidP="00E73FF0">
      <w:pPr>
        <w:ind w:firstLine="426"/>
        <w:jc w:val="both"/>
        <w:rPr>
          <w:sz w:val="22"/>
          <w:szCs w:val="22"/>
        </w:rPr>
      </w:pPr>
      <w:r w:rsidRPr="00E73FF0">
        <w:rPr>
          <w:sz w:val="22"/>
          <w:szCs w:val="22"/>
        </w:rPr>
        <w:t>2. Трубилин Е. И. Равновесие дисковых борон и лущильников в горизонтальной плоскости: [Тест] / Е. И. Трубилин, К. А. Сохт К.А., В. И. Коновалов. // Труды Кубанского государственного аграрного университета. – 2013. – № 40. – С. 166-169.</w:t>
      </w:r>
    </w:p>
    <w:p w:rsidR="00E73FF0" w:rsidRPr="00E73FF0" w:rsidRDefault="00E73FF0" w:rsidP="00E73FF0">
      <w:pPr>
        <w:ind w:firstLine="426"/>
        <w:jc w:val="both"/>
        <w:rPr>
          <w:sz w:val="22"/>
          <w:szCs w:val="22"/>
        </w:rPr>
      </w:pPr>
      <w:r w:rsidRPr="00E73FF0">
        <w:rPr>
          <w:sz w:val="22"/>
          <w:szCs w:val="22"/>
        </w:rPr>
        <w:t>3. Трубилин Е. И. Повышение технологической эффективности дисковых борон: [Тест]/ Е. И. Трубилин, К. А. Сохт, В. И. Коновалов. //  Сельский механизатор. – 2013. – № 3 (49). – С. 8-9.</w:t>
      </w:r>
    </w:p>
    <w:p w:rsidR="00E73FF0" w:rsidRPr="00E73FF0" w:rsidRDefault="00E73FF0" w:rsidP="00E73FF0">
      <w:pPr>
        <w:ind w:firstLine="426"/>
        <w:jc w:val="both"/>
        <w:rPr>
          <w:sz w:val="22"/>
          <w:szCs w:val="22"/>
        </w:rPr>
      </w:pPr>
      <w:r w:rsidRPr="00E73FF0">
        <w:rPr>
          <w:sz w:val="22"/>
          <w:szCs w:val="22"/>
        </w:rPr>
        <w:t>4. Трубилин Е. И. Заглубляющая способность дисковых борон и лущильников: [Тест] /  Е. И. Трубилин, К. А. Сохт, В. И. Коновалов, В. В. Кравченко //  Сельский механизатор. – 2013. – № 11 (57). – С. 14-15.</w:t>
      </w:r>
    </w:p>
    <w:p w:rsidR="00E73FF0" w:rsidRPr="00E73FF0" w:rsidRDefault="00E73FF0" w:rsidP="00E73FF0">
      <w:pPr>
        <w:ind w:firstLine="426"/>
        <w:jc w:val="both"/>
        <w:rPr>
          <w:sz w:val="22"/>
          <w:szCs w:val="22"/>
        </w:rPr>
      </w:pPr>
      <w:r w:rsidRPr="00E73FF0">
        <w:rPr>
          <w:sz w:val="22"/>
          <w:szCs w:val="22"/>
        </w:rPr>
        <w:t>5. Канарев  Ф. М. Ротационные  почвообрабатывающие  маш</w:t>
      </w:r>
      <w:r w:rsidRPr="00E73FF0">
        <w:rPr>
          <w:sz w:val="22"/>
          <w:szCs w:val="22"/>
        </w:rPr>
        <w:t>и</w:t>
      </w:r>
      <w:r w:rsidRPr="00E73FF0">
        <w:rPr>
          <w:sz w:val="22"/>
          <w:szCs w:val="22"/>
        </w:rPr>
        <w:t>ны  и  орудия. М., Машиностроение, 1983. 94 с.</w:t>
      </w:r>
    </w:p>
    <w:p w:rsidR="00E73FF0" w:rsidRPr="00E73FF0" w:rsidRDefault="00E73FF0" w:rsidP="00E73FF0">
      <w:pPr>
        <w:ind w:firstLine="426"/>
        <w:jc w:val="both"/>
        <w:rPr>
          <w:sz w:val="22"/>
          <w:szCs w:val="22"/>
        </w:rPr>
      </w:pPr>
    </w:p>
    <w:p w:rsidR="00E73FF0" w:rsidRDefault="00E73FF0" w:rsidP="00B43BBC">
      <w:pPr>
        <w:pStyle w:val="31"/>
        <w:rPr>
          <w:sz w:val="22"/>
          <w:szCs w:val="22"/>
        </w:rPr>
      </w:pPr>
    </w:p>
    <w:p w:rsidR="00483E1F" w:rsidRDefault="00483E1F" w:rsidP="00B43BBC">
      <w:pPr>
        <w:pStyle w:val="31"/>
        <w:rPr>
          <w:sz w:val="22"/>
          <w:szCs w:val="22"/>
        </w:rPr>
      </w:pPr>
    </w:p>
    <w:p w:rsidR="00E73FF0" w:rsidRPr="00E73FF0" w:rsidRDefault="00E73FF0" w:rsidP="00E73FF0">
      <w:pPr>
        <w:spacing w:line="360" w:lineRule="auto"/>
        <w:jc w:val="both"/>
        <w:rPr>
          <w:sz w:val="22"/>
          <w:szCs w:val="22"/>
        </w:rPr>
      </w:pPr>
      <w:r w:rsidRPr="00E73FF0">
        <w:rPr>
          <w:sz w:val="22"/>
          <w:szCs w:val="22"/>
        </w:rPr>
        <w:t>УДК 631.3.02</w:t>
      </w:r>
    </w:p>
    <w:p w:rsidR="00E73FF0" w:rsidRPr="00E73FF0" w:rsidRDefault="00E73FF0" w:rsidP="00E73FF0">
      <w:pPr>
        <w:jc w:val="center"/>
        <w:rPr>
          <w:b/>
          <w:sz w:val="24"/>
          <w:szCs w:val="24"/>
          <w:shd w:val="clear" w:color="auto" w:fill="FFFFFF"/>
        </w:rPr>
      </w:pPr>
      <w:r w:rsidRPr="00E73FF0">
        <w:rPr>
          <w:b/>
          <w:sz w:val="24"/>
          <w:szCs w:val="24"/>
          <w:shd w:val="clear" w:color="auto" w:fill="FFFFFF"/>
        </w:rPr>
        <w:t xml:space="preserve">Совершенствование рабочих органов </w:t>
      </w:r>
    </w:p>
    <w:p w:rsidR="00E73FF0" w:rsidRPr="00E73FF0" w:rsidRDefault="00E73FF0" w:rsidP="00E73FF0">
      <w:pPr>
        <w:jc w:val="center"/>
        <w:rPr>
          <w:b/>
          <w:sz w:val="24"/>
          <w:szCs w:val="24"/>
          <w:shd w:val="clear" w:color="auto" w:fill="FFFFFF"/>
        </w:rPr>
      </w:pPr>
      <w:r w:rsidRPr="00E73FF0">
        <w:rPr>
          <w:b/>
          <w:sz w:val="24"/>
          <w:szCs w:val="24"/>
          <w:shd w:val="clear" w:color="auto" w:fill="FFFFFF"/>
        </w:rPr>
        <w:t xml:space="preserve">почвообрабатывающего агрегата </w:t>
      </w:r>
    </w:p>
    <w:p w:rsidR="00E73FF0" w:rsidRPr="001E2F2C" w:rsidRDefault="00E73FF0" w:rsidP="00E73FF0">
      <w:pPr>
        <w:jc w:val="center"/>
        <w:rPr>
          <w:b/>
          <w:sz w:val="24"/>
          <w:szCs w:val="24"/>
        </w:rPr>
      </w:pPr>
      <w:r w:rsidRPr="00E73FF0">
        <w:rPr>
          <w:b/>
          <w:sz w:val="24"/>
          <w:szCs w:val="24"/>
          <w:lang w:val="en"/>
        </w:rPr>
        <w:t>Perfection</w:t>
      </w:r>
      <w:r w:rsidRPr="001E2F2C">
        <w:rPr>
          <w:b/>
          <w:sz w:val="24"/>
          <w:szCs w:val="24"/>
        </w:rPr>
        <w:t xml:space="preserve"> </w:t>
      </w:r>
      <w:r w:rsidRPr="00E73FF0">
        <w:rPr>
          <w:b/>
          <w:sz w:val="24"/>
          <w:szCs w:val="24"/>
          <w:lang w:val="en"/>
        </w:rPr>
        <w:t>of</w:t>
      </w:r>
      <w:r w:rsidRPr="001E2F2C">
        <w:rPr>
          <w:b/>
          <w:sz w:val="24"/>
          <w:szCs w:val="24"/>
        </w:rPr>
        <w:t xml:space="preserve"> </w:t>
      </w:r>
      <w:r w:rsidRPr="00E73FF0">
        <w:rPr>
          <w:b/>
          <w:sz w:val="24"/>
          <w:szCs w:val="24"/>
          <w:lang w:val="en"/>
        </w:rPr>
        <w:t>the</w:t>
      </w:r>
      <w:r w:rsidRPr="001E2F2C">
        <w:rPr>
          <w:b/>
          <w:sz w:val="24"/>
          <w:szCs w:val="24"/>
        </w:rPr>
        <w:t xml:space="preserve"> </w:t>
      </w:r>
      <w:r w:rsidRPr="00E73FF0">
        <w:rPr>
          <w:b/>
          <w:sz w:val="24"/>
          <w:szCs w:val="24"/>
          <w:lang w:val="en"/>
        </w:rPr>
        <w:t>working</w:t>
      </w:r>
      <w:r w:rsidRPr="001E2F2C">
        <w:rPr>
          <w:b/>
          <w:sz w:val="24"/>
          <w:szCs w:val="24"/>
        </w:rPr>
        <w:t xml:space="preserve"> </w:t>
      </w:r>
      <w:r w:rsidRPr="00E73FF0">
        <w:rPr>
          <w:b/>
          <w:sz w:val="24"/>
          <w:szCs w:val="24"/>
          <w:lang w:val="en"/>
        </w:rPr>
        <w:t>organs</w:t>
      </w:r>
      <w:r w:rsidRPr="001E2F2C">
        <w:rPr>
          <w:b/>
          <w:sz w:val="24"/>
          <w:szCs w:val="24"/>
        </w:rPr>
        <w:t xml:space="preserve"> </w:t>
      </w:r>
      <w:r w:rsidRPr="00E73FF0">
        <w:rPr>
          <w:b/>
          <w:sz w:val="24"/>
          <w:szCs w:val="24"/>
          <w:lang w:val="en"/>
        </w:rPr>
        <w:t>of</w:t>
      </w:r>
      <w:r w:rsidRPr="001E2F2C">
        <w:rPr>
          <w:b/>
          <w:sz w:val="24"/>
          <w:szCs w:val="24"/>
        </w:rPr>
        <w:t xml:space="preserve"> </w:t>
      </w:r>
      <w:r w:rsidRPr="00E73FF0">
        <w:rPr>
          <w:b/>
          <w:sz w:val="24"/>
          <w:szCs w:val="24"/>
          <w:lang w:val="en"/>
        </w:rPr>
        <w:t>the</w:t>
      </w:r>
      <w:r w:rsidRPr="001E2F2C">
        <w:rPr>
          <w:b/>
          <w:sz w:val="24"/>
          <w:szCs w:val="24"/>
        </w:rPr>
        <w:t xml:space="preserve"> </w:t>
      </w:r>
      <w:r w:rsidRPr="00E73FF0">
        <w:rPr>
          <w:b/>
          <w:sz w:val="24"/>
          <w:szCs w:val="24"/>
          <w:lang w:val="en"/>
        </w:rPr>
        <w:t>tillage</w:t>
      </w:r>
      <w:r w:rsidRPr="001E2F2C">
        <w:rPr>
          <w:b/>
          <w:sz w:val="24"/>
          <w:szCs w:val="24"/>
        </w:rPr>
        <w:t xml:space="preserve"> </w:t>
      </w:r>
      <w:r w:rsidRPr="00E73FF0">
        <w:rPr>
          <w:b/>
          <w:sz w:val="24"/>
          <w:szCs w:val="24"/>
          <w:lang w:val="en"/>
        </w:rPr>
        <w:t>unit</w:t>
      </w:r>
    </w:p>
    <w:p w:rsidR="00E73FF0" w:rsidRPr="001E2F2C" w:rsidRDefault="00E73FF0" w:rsidP="00E73FF0">
      <w:pPr>
        <w:jc w:val="center"/>
        <w:rPr>
          <w:b/>
          <w:sz w:val="24"/>
          <w:szCs w:val="24"/>
        </w:rPr>
      </w:pPr>
    </w:p>
    <w:p w:rsidR="00E73FF0" w:rsidRPr="00E73FF0" w:rsidRDefault="00E73FF0" w:rsidP="00E73FF0">
      <w:pPr>
        <w:jc w:val="right"/>
        <w:rPr>
          <w:sz w:val="22"/>
          <w:szCs w:val="22"/>
        </w:rPr>
      </w:pPr>
      <w:r w:rsidRPr="00E73FF0">
        <w:rPr>
          <w:sz w:val="22"/>
          <w:szCs w:val="22"/>
        </w:rPr>
        <w:t>Долгов М.</w:t>
      </w:r>
      <w:r w:rsidR="00483E1F">
        <w:rPr>
          <w:sz w:val="22"/>
          <w:szCs w:val="22"/>
        </w:rPr>
        <w:t xml:space="preserve"> </w:t>
      </w:r>
      <w:r w:rsidRPr="00E73FF0">
        <w:rPr>
          <w:sz w:val="22"/>
          <w:szCs w:val="22"/>
        </w:rPr>
        <w:t>С.,</w:t>
      </w:r>
    </w:p>
    <w:p w:rsidR="00E73FF0" w:rsidRPr="00E73FF0" w:rsidRDefault="00E73FF0" w:rsidP="00E73FF0">
      <w:pPr>
        <w:jc w:val="right"/>
        <w:rPr>
          <w:sz w:val="22"/>
          <w:szCs w:val="22"/>
        </w:rPr>
      </w:pPr>
      <w:r w:rsidRPr="00E73FF0">
        <w:rPr>
          <w:sz w:val="22"/>
          <w:szCs w:val="22"/>
        </w:rPr>
        <w:t>студент 4 курса факультета механизации</w:t>
      </w:r>
    </w:p>
    <w:p w:rsidR="00483E1F" w:rsidRDefault="00E73FF0" w:rsidP="00E73FF0">
      <w:pPr>
        <w:widowControl w:val="0"/>
        <w:autoSpaceDE w:val="0"/>
        <w:autoSpaceDN w:val="0"/>
        <w:adjustRightInd w:val="0"/>
        <w:jc w:val="right"/>
        <w:rPr>
          <w:sz w:val="22"/>
          <w:szCs w:val="22"/>
        </w:rPr>
      </w:pPr>
      <w:r w:rsidRPr="00E73FF0">
        <w:rPr>
          <w:sz w:val="22"/>
          <w:szCs w:val="22"/>
        </w:rPr>
        <w:t>Кубанский государственный аграрный</w:t>
      </w:r>
    </w:p>
    <w:p w:rsidR="00E73FF0" w:rsidRPr="00E73FF0" w:rsidRDefault="00E73FF0" w:rsidP="00E73FF0">
      <w:pPr>
        <w:widowControl w:val="0"/>
        <w:autoSpaceDE w:val="0"/>
        <w:autoSpaceDN w:val="0"/>
        <w:adjustRightInd w:val="0"/>
        <w:jc w:val="right"/>
        <w:rPr>
          <w:sz w:val="22"/>
          <w:szCs w:val="22"/>
        </w:rPr>
      </w:pPr>
      <w:r w:rsidRPr="00E73FF0">
        <w:rPr>
          <w:sz w:val="22"/>
          <w:szCs w:val="22"/>
        </w:rPr>
        <w:t xml:space="preserve"> </w:t>
      </w:r>
      <w:r w:rsidR="00483E1F">
        <w:rPr>
          <w:sz w:val="22"/>
          <w:szCs w:val="22"/>
        </w:rPr>
        <w:t>у</w:t>
      </w:r>
      <w:r w:rsidRPr="00E73FF0">
        <w:rPr>
          <w:sz w:val="22"/>
          <w:szCs w:val="22"/>
        </w:rPr>
        <w:t>ниверситет</w:t>
      </w:r>
      <w:r w:rsidR="00483E1F">
        <w:rPr>
          <w:sz w:val="22"/>
          <w:szCs w:val="22"/>
        </w:rPr>
        <w:t xml:space="preserve"> имени И. Т.Трубилина</w:t>
      </w:r>
    </w:p>
    <w:p w:rsidR="00E73FF0" w:rsidRPr="00E73FF0" w:rsidRDefault="00E73FF0" w:rsidP="00E73FF0">
      <w:pPr>
        <w:widowControl w:val="0"/>
        <w:autoSpaceDE w:val="0"/>
        <w:autoSpaceDN w:val="0"/>
        <w:adjustRightInd w:val="0"/>
        <w:jc w:val="both"/>
        <w:rPr>
          <w:sz w:val="22"/>
          <w:szCs w:val="22"/>
        </w:rPr>
      </w:pPr>
    </w:p>
    <w:p w:rsidR="00E73FF0" w:rsidRPr="00E73FF0" w:rsidRDefault="00483E1F" w:rsidP="00E73FF0">
      <w:pPr>
        <w:shd w:val="clear" w:color="auto" w:fill="FFFFFF"/>
        <w:ind w:firstLine="425"/>
        <w:jc w:val="both"/>
        <w:rPr>
          <w:sz w:val="22"/>
          <w:szCs w:val="22"/>
        </w:rPr>
      </w:pPr>
      <w:r>
        <w:rPr>
          <w:sz w:val="22"/>
          <w:szCs w:val="22"/>
        </w:rPr>
        <w:t>АННОТАЦИЯ:</w:t>
      </w:r>
      <w:r w:rsidR="00E73FF0" w:rsidRPr="00E73FF0">
        <w:rPr>
          <w:sz w:val="22"/>
          <w:szCs w:val="22"/>
        </w:rPr>
        <w:t xml:space="preserve"> В работе предложена конструкция дисковых рабочих органов, устанавливаемых в качестве предплужника. И</w:t>
      </w:r>
      <w:r w:rsidR="00E73FF0" w:rsidRPr="00E73FF0">
        <w:rPr>
          <w:sz w:val="22"/>
          <w:szCs w:val="22"/>
        </w:rPr>
        <w:t>с</w:t>
      </w:r>
      <w:r w:rsidR="00E73FF0" w:rsidRPr="00E73FF0">
        <w:rPr>
          <w:sz w:val="22"/>
          <w:szCs w:val="22"/>
        </w:rPr>
        <w:t>пользование усовершенствованного плуга позволит снизить тяговое сопротивление агрегата и повысить производительность выполня</w:t>
      </w:r>
      <w:r w:rsidR="00E73FF0" w:rsidRPr="00E73FF0">
        <w:rPr>
          <w:sz w:val="22"/>
          <w:szCs w:val="22"/>
        </w:rPr>
        <w:t>е</w:t>
      </w:r>
      <w:r w:rsidR="00E73FF0" w:rsidRPr="00E73FF0">
        <w:rPr>
          <w:sz w:val="22"/>
          <w:szCs w:val="22"/>
        </w:rPr>
        <w:t>мой работы.</w:t>
      </w:r>
    </w:p>
    <w:p w:rsidR="00E73FF0" w:rsidRPr="00E73FF0" w:rsidRDefault="00E73FF0" w:rsidP="00E73FF0">
      <w:pPr>
        <w:ind w:firstLine="425"/>
        <w:jc w:val="both"/>
        <w:rPr>
          <w:sz w:val="22"/>
          <w:szCs w:val="22"/>
          <w:lang w:val="en"/>
        </w:rPr>
      </w:pPr>
      <w:r w:rsidRPr="00E73FF0">
        <w:rPr>
          <w:sz w:val="22"/>
          <w:szCs w:val="22"/>
          <w:lang w:val="en-US"/>
        </w:rPr>
        <w:t>ABSTRACT</w:t>
      </w:r>
      <w:r w:rsidR="00483E1F" w:rsidRPr="00483E1F">
        <w:rPr>
          <w:sz w:val="22"/>
          <w:szCs w:val="22"/>
          <w:lang w:val="en-US"/>
        </w:rPr>
        <w:t>:</w:t>
      </w:r>
      <w:r w:rsidRPr="00E73FF0">
        <w:rPr>
          <w:szCs w:val="24"/>
          <w:lang w:val="en"/>
        </w:rPr>
        <w:t xml:space="preserve"> </w:t>
      </w:r>
      <w:r w:rsidRPr="00E73FF0">
        <w:rPr>
          <w:sz w:val="22"/>
          <w:szCs w:val="22"/>
          <w:lang w:val="en"/>
        </w:rPr>
        <w:t>The paper proposes the design of disk working bo</w:t>
      </w:r>
      <w:r w:rsidRPr="00E73FF0">
        <w:rPr>
          <w:sz w:val="22"/>
          <w:szCs w:val="22"/>
          <w:lang w:val="en"/>
        </w:rPr>
        <w:t>d</w:t>
      </w:r>
      <w:r w:rsidRPr="00E73FF0">
        <w:rPr>
          <w:sz w:val="22"/>
          <w:szCs w:val="22"/>
          <w:lang w:val="en"/>
        </w:rPr>
        <w:t>ies, installed as a skimmer. Using an improved plow will reduce the tra</w:t>
      </w:r>
      <w:r w:rsidRPr="00E73FF0">
        <w:rPr>
          <w:sz w:val="22"/>
          <w:szCs w:val="22"/>
          <w:lang w:val="en"/>
        </w:rPr>
        <w:t>c</w:t>
      </w:r>
      <w:r w:rsidRPr="00E73FF0">
        <w:rPr>
          <w:sz w:val="22"/>
          <w:szCs w:val="22"/>
          <w:lang w:val="en"/>
        </w:rPr>
        <w:lastRenderedPageBreak/>
        <w:t>tion resistance of the unit and increase the productivity of the work pe</w:t>
      </w:r>
      <w:r w:rsidRPr="00E73FF0">
        <w:rPr>
          <w:sz w:val="22"/>
          <w:szCs w:val="22"/>
          <w:lang w:val="en"/>
        </w:rPr>
        <w:t>r</w:t>
      </w:r>
      <w:r w:rsidRPr="00E73FF0">
        <w:rPr>
          <w:sz w:val="22"/>
          <w:szCs w:val="22"/>
          <w:lang w:val="en"/>
        </w:rPr>
        <w:t>formed.</w:t>
      </w:r>
    </w:p>
    <w:p w:rsidR="00E73FF0" w:rsidRPr="00E73FF0" w:rsidRDefault="00E73FF0" w:rsidP="00E73FF0">
      <w:pPr>
        <w:ind w:firstLine="425"/>
        <w:jc w:val="both"/>
        <w:rPr>
          <w:szCs w:val="24"/>
        </w:rPr>
      </w:pPr>
      <w:r w:rsidRPr="00E73FF0">
        <w:rPr>
          <w:sz w:val="22"/>
          <w:szCs w:val="22"/>
        </w:rPr>
        <w:t>КЛЮЧЕВЫЕ СЛОВА:</w:t>
      </w:r>
      <w:r w:rsidRPr="00E73FF0">
        <w:rPr>
          <w:szCs w:val="24"/>
        </w:rPr>
        <w:t xml:space="preserve"> </w:t>
      </w:r>
      <w:r w:rsidRPr="00E73FF0">
        <w:rPr>
          <w:sz w:val="22"/>
          <w:szCs w:val="22"/>
        </w:rPr>
        <w:t>плуг, диск, вспашка, сопротивление, производительность</w:t>
      </w:r>
    </w:p>
    <w:p w:rsidR="00E73FF0" w:rsidRPr="00E73FF0" w:rsidRDefault="00E73FF0" w:rsidP="00E73FF0">
      <w:pPr>
        <w:ind w:firstLine="425"/>
        <w:jc w:val="both"/>
        <w:rPr>
          <w:sz w:val="22"/>
          <w:szCs w:val="22"/>
          <w:lang w:val="en-US"/>
        </w:rPr>
      </w:pPr>
      <w:r w:rsidRPr="00E73FF0">
        <w:rPr>
          <w:sz w:val="22"/>
          <w:szCs w:val="22"/>
          <w:lang w:val="en-US"/>
        </w:rPr>
        <w:t>KEYWORDS:</w:t>
      </w:r>
      <w:r w:rsidRPr="00E73FF0">
        <w:rPr>
          <w:b/>
          <w:bCs/>
          <w:sz w:val="22"/>
          <w:szCs w:val="22"/>
          <w:lang w:val="en"/>
        </w:rPr>
        <w:t xml:space="preserve"> </w:t>
      </w:r>
      <w:r w:rsidRPr="00E73FF0">
        <w:rPr>
          <w:sz w:val="22"/>
          <w:szCs w:val="22"/>
          <w:lang w:val="en"/>
        </w:rPr>
        <w:t>plow, disc, plowing, resistance, productivity</w:t>
      </w:r>
    </w:p>
    <w:p w:rsidR="00E73FF0" w:rsidRPr="00E73FF0" w:rsidRDefault="00E73FF0" w:rsidP="00E73FF0">
      <w:pPr>
        <w:ind w:firstLine="425"/>
        <w:jc w:val="both"/>
        <w:rPr>
          <w:sz w:val="22"/>
          <w:szCs w:val="22"/>
          <w:lang w:val="en-US"/>
        </w:rPr>
      </w:pPr>
    </w:p>
    <w:p w:rsidR="00E73FF0" w:rsidRPr="00E73FF0" w:rsidRDefault="00E73FF0" w:rsidP="00E73FF0">
      <w:pPr>
        <w:ind w:firstLine="425"/>
        <w:jc w:val="both"/>
        <w:rPr>
          <w:sz w:val="22"/>
          <w:szCs w:val="22"/>
        </w:rPr>
      </w:pPr>
      <w:r w:rsidRPr="00E73FF0">
        <w:rPr>
          <w:sz w:val="22"/>
          <w:szCs w:val="22"/>
        </w:rPr>
        <w:t>Повышение плодородия почв с увеличением продукции при сокращении затрат, средств, труда и времени на их производство является основной, главной задачей земледелия. В технологическом процессе производства любых сельскохозяйственных культур зн</w:t>
      </w:r>
      <w:r w:rsidRPr="00E73FF0">
        <w:rPr>
          <w:sz w:val="22"/>
          <w:szCs w:val="22"/>
        </w:rPr>
        <w:t>а</w:t>
      </w:r>
      <w:r w:rsidRPr="00E73FF0">
        <w:rPr>
          <w:sz w:val="22"/>
          <w:szCs w:val="22"/>
        </w:rPr>
        <w:t>чительное место занимает операция основной подготовки почвы, которая является, как правило, и наиболее</w:t>
      </w:r>
      <w:r w:rsidRPr="00E73FF0">
        <w:rPr>
          <w:i/>
          <w:sz w:val="22"/>
          <w:szCs w:val="22"/>
        </w:rPr>
        <w:t xml:space="preserve"> </w:t>
      </w:r>
      <w:r w:rsidRPr="00E73FF0">
        <w:rPr>
          <w:sz w:val="22"/>
          <w:szCs w:val="22"/>
        </w:rPr>
        <w:t>трудоемкой. Способы обработки почвы многообразны. Они зависят от типа почвы, пр</w:t>
      </w:r>
      <w:r w:rsidRPr="00E73FF0">
        <w:rPr>
          <w:sz w:val="22"/>
          <w:szCs w:val="22"/>
        </w:rPr>
        <w:t>и</w:t>
      </w:r>
      <w:r w:rsidRPr="00E73FF0">
        <w:rPr>
          <w:sz w:val="22"/>
          <w:szCs w:val="22"/>
        </w:rPr>
        <w:t>родно-климатической зоны и биологических особенностей возд</w:t>
      </w:r>
      <w:r w:rsidRPr="00E73FF0">
        <w:rPr>
          <w:sz w:val="22"/>
          <w:szCs w:val="22"/>
        </w:rPr>
        <w:t>е</w:t>
      </w:r>
      <w:r w:rsidRPr="00E73FF0">
        <w:rPr>
          <w:sz w:val="22"/>
          <w:szCs w:val="22"/>
        </w:rPr>
        <w:t xml:space="preserve">лывания культуры [1]. </w:t>
      </w:r>
    </w:p>
    <w:p w:rsidR="00E73FF0" w:rsidRPr="00E73FF0" w:rsidRDefault="00E73FF0" w:rsidP="00E73FF0">
      <w:pPr>
        <w:tabs>
          <w:tab w:val="num" w:pos="0"/>
          <w:tab w:val="left" w:pos="8364"/>
          <w:tab w:val="left" w:pos="9923"/>
        </w:tabs>
        <w:ind w:right="136"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t>При вспашке стерни зерновых имеет место забивание корп</w:t>
      </w:r>
      <w:r w:rsidRPr="00E73FF0">
        <w:rPr>
          <w:rFonts w:ascii="Times New Roman CYR" w:hAnsi="Times New Roman CYR" w:cs="Times New Roman CYR"/>
          <w:sz w:val="22"/>
          <w:szCs w:val="22"/>
        </w:rPr>
        <w:t>у</w:t>
      </w:r>
      <w:r w:rsidRPr="00E73FF0">
        <w:rPr>
          <w:rFonts w:ascii="Times New Roman CYR" w:hAnsi="Times New Roman CYR" w:cs="Times New Roman CYR"/>
          <w:sz w:val="22"/>
          <w:szCs w:val="22"/>
        </w:rPr>
        <w:t>сов плуга пожнивными и растительными остатками. Особенно ч</w:t>
      </w:r>
      <w:r w:rsidRPr="00E73FF0">
        <w:rPr>
          <w:rFonts w:ascii="Times New Roman CYR" w:hAnsi="Times New Roman CYR" w:cs="Times New Roman CYR"/>
          <w:sz w:val="22"/>
          <w:szCs w:val="22"/>
        </w:rPr>
        <w:t>а</w:t>
      </w:r>
      <w:r w:rsidRPr="00E73FF0">
        <w:rPr>
          <w:rFonts w:ascii="Times New Roman CYR" w:hAnsi="Times New Roman CYR" w:cs="Times New Roman CYR"/>
          <w:sz w:val="22"/>
          <w:szCs w:val="22"/>
        </w:rPr>
        <w:t>сто это явление наблюдается при вспашке тех стерневых фонов, где уборка проводилась на высоком срезе или полеглых хлебах. Забивание заключается в накоплении растительных остатков на стойках корпусов между рамой плуга и поверхностью поля. Это вызывает  необходимость остановки агрегата, выхода механизат</w:t>
      </w:r>
      <w:r w:rsidRPr="00E73FF0">
        <w:rPr>
          <w:rFonts w:ascii="Times New Roman CYR" w:hAnsi="Times New Roman CYR" w:cs="Times New Roman CYR"/>
          <w:sz w:val="22"/>
          <w:szCs w:val="22"/>
        </w:rPr>
        <w:t>о</w:t>
      </w:r>
      <w:r w:rsidRPr="00E73FF0">
        <w:rPr>
          <w:rFonts w:ascii="Times New Roman CYR" w:hAnsi="Times New Roman CYR" w:cs="Times New Roman CYR"/>
          <w:sz w:val="22"/>
          <w:szCs w:val="22"/>
        </w:rPr>
        <w:t>ра из кабины трактора и очистки  корпусов вручную от накопи</w:t>
      </w:r>
      <w:r w:rsidRPr="00E73FF0">
        <w:rPr>
          <w:rFonts w:ascii="Times New Roman CYR" w:hAnsi="Times New Roman CYR" w:cs="Times New Roman CYR"/>
          <w:sz w:val="22"/>
          <w:szCs w:val="22"/>
        </w:rPr>
        <w:t>в</w:t>
      </w:r>
      <w:r w:rsidRPr="00E73FF0">
        <w:rPr>
          <w:rFonts w:ascii="Times New Roman CYR" w:hAnsi="Times New Roman CYR" w:cs="Times New Roman CYR"/>
          <w:sz w:val="22"/>
          <w:szCs w:val="22"/>
        </w:rPr>
        <w:t>шихся растительных остатков. Исследования  показывают, что плуги забиваются через 16.. 35м пути, который зависит от глуб</w:t>
      </w:r>
      <w:r w:rsidRPr="00E73FF0">
        <w:rPr>
          <w:rFonts w:ascii="Times New Roman CYR" w:hAnsi="Times New Roman CYR" w:cs="Times New Roman CYR"/>
          <w:sz w:val="22"/>
          <w:szCs w:val="22"/>
        </w:rPr>
        <w:t>и</w:t>
      </w:r>
      <w:r w:rsidRPr="00E73FF0">
        <w:rPr>
          <w:rFonts w:ascii="Times New Roman CYR" w:hAnsi="Times New Roman CYR" w:cs="Times New Roman CYR"/>
          <w:sz w:val="22"/>
          <w:szCs w:val="22"/>
        </w:rPr>
        <w:t xml:space="preserve">ны вспашки и засорённости поля </w:t>
      </w:r>
      <w:r w:rsidRPr="00E73FF0">
        <w:rPr>
          <w:sz w:val="22"/>
          <w:szCs w:val="22"/>
        </w:rPr>
        <w:t>[2].</w:t>
      </w:r>
      <w:r w:rsidRPr="00E73FF0">
        <w:rPr>
          <w:rFonts w:ascii="Times New Roman CYR" w:hAnsi="Times New Roman CYR" w:cs="Times New Roman CYR"/>
          <w:sz w:val="22"/>
          <w:szCs w:val="22"/>
        </w:rPr>
        <w:t xml:space="preserve"> На некоторых плугах, например, для вспашки окультуренных болот, перед корпусами устанавливаются плоские дисковые ножи над носком каждого л</w:t>
      </w:r>
      <w:r w:rsidRPr="00E73FF0">
        <w:rPr>
          <w:rFonts w:ascii="Times New Roman CYR" w:hAnsi="Times New Roman CYR" w:cs="Times New Roman CYR"/>
          <w:sz w:val="22"/>
          <w:szCs w:val="22"/>
        </w:rPr>
        <w:t>е</w:t>
      </w:r>
      <w:r w:rsidRPr="00E73FF0">
        <w:rPr>
          <w:rFonts w:ascii="Times New Roman CYR" w:hAnsi="Times New Roman CYR" w:cs="Times New Roman CYR"/>
          <w:sz w:val="22"/>
          <w:szCs w:val="22"/>
        </w:rPr>
        <w:t>меха. Их назначение при вспашке дернины отделять пласт в ве</w:t>
      </w:r>
      <w:r w:rsidRPr="00E73FF0">
        <w:rPr>
          <w:rFonts w:ascii="Times New Roman CYR" w:hAnsi="Times New Roman CYR" w:cs="Times New Roman CYR"/>
          <w:sz w:val="22"/>
          <w:szCs w:val="22"/>
        </w:rPr>
        <w:t>р</w:t>
      </w:r>
      <w:r w:rsidRPr="00E73FF0">
        <w:rPr>
          <w:rFonts w:ascii="Times New Roman CYR" w:hAnsi="Times New Roman CYR" w:cs="Times New Roman CYR"/>
          <w:sz w:val="22"/>
          <w:szCs w:val="22"/>
        </w:rPr>
        <w:t>тикальной плоскости от общего массива. Однако, при вспашке стерневых фонов они не только не предотвращают забивание пл</w:t>
      </w:r>
      <w:r w:rsidRPr="00E73FF0">
        <w:rPr>
          <w:rFonts w:ascii="Times New Roman CYR" w:hAnsi="Times New Roman CYR" w:cs="Times New Roman CYR"/>
          <w:sz w:val="22"/>
          <w:szCs w:val="22"/>
        </w:rPr>
        <w:t>у</w:t>
      </w:r>
      <w:r w:rsidRPr="00E73FF0">
        <w:rPr>
          <w:rFonts w:ascii="Times New Roman CYR" w:hAnsi="Times New Roman CYR" w:cs="Times New Roman CYR"/>
          <w:sz w:val="22"/>
          <w:szCs w:val="22"/>
        </w:rPr>
        <w:t>га, но и способствуют этому. Поэтому механизаторы вынуждены снимать дисковые ножи и работать без них. При этом забивания не исключаются, но происходят значительно реже.</w:t>
      </w:r>
    </w:p>
    <w:p w:rsidR="00E73FF0" w:rsidRPr="00E73FF0" w:rsidRDefault="00E73FF0" w:rsidP="00E73FF0">
      <w:pPr>
        <w:tabs>
          <w:tab w:val="num" w:pos="0"/>
          <w:tab w:val="left" w:pos="8364"/>
          <w:tab w:val="left" w:pos="9923"/>
        </w:tabs>
        <w:ind w:right="134"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t>При выполнении культурной вспашки стерневых фонов пл</w:t>
      </w:r>
      <w:r w:rsidRPr="00E73FF0">
        <w:rPr>
          <w:rFonts w:ascii="Times New Roman CYR" w:hAnsi="Times New Roman CYR" w:cs="Times New Roman CYR"/>
          <w:sz w:val="22"/>
          <w:szCs w:val="22"/>
        </w:rPr>
        <w:t>у</w:t>
      </w:r>
      <w:r w:rsidRPr="00E73FF0">
        <w:rPr>
          <w:rFonts w:ascii="Times New Roman CYR" w:hAnsi="Times New Roman CYR" w:cs="Times New Roman CYR"/>
          <w:sz w:val="22"/>
          <w:szCs w:val="22"/>
        </w:rPr>
        <w:t>гом с предплужником часто бывает не возможным применение предплужников по той же причине – забивание корпусов.</w:t>
      </w:r>
    </w:p>
    <w:p w:rsidR="00E73FF0" w:rsidRPr="00E73FF0" w:rsidRDefault="00E73FF0" w:rsidP="00E73FF0">
      <w:pPr>
        <w:tabs>
          <w:tab w:val="num" w:pos="0"/>
          <w:tab w:val="left" w:pos="8364"/>
          <w:tab w:val="left" w:pos="9923"/>
        </w:tabs>
        <w:ind w:right="134"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lastRenderedPageBreak/>
        <w:t>На многих современных плугах для предотвращения их заб</w:t>
      </w:r>
      <w:r w:rsidRPr="00E73FF0">
        <w:rPr>
          <w:rFonts w:ascii="Times New Roman CYR" w:hAnsi="Times New Roman CYR" w:cs="Times New Roman CYR"/>
          <w:sz w:val="22"/>
          <w:szCs w:val="22"/>
        </w:rPr>
        <w:t>и</w:t>
      </w:r>
      <w:r w:rsidRPr="00E73FF0">
        <w:rPr>
          <w:rFonts w:ascii="Times New Roman CYR" w:hAnsi="Times New Roman CYR" w:cs="Times New Roman CYR"/>
          <w:sz w:val="22"/>
          <w:szCs w:val="22"/>
        </w:rPr>
        <w:t>вания на отвалах устанавливаются углоснимы. Если таким плугом вспахивается стерневой фон, где не было полеглости и на низком срезе, то эти устройства способствуют улучшению качества пах</w:t>
      </w:r>
      <w:r w:rsidRPr="00E73FF0">
        <w:rPr>
          <w:rFonts w:ascii="Times New Roman CYR" w:hAnsi="Times New Roman CYR" w:cs="Times New Roman CYR"/>
          <w:sz w:val="22"/>
          <w:szCs w:val="22"/>
        </w:rPr>
        <w:t>о</w:t>
      </w:r>
      <w:r w:rsidRPr="00E73FF0">
        <w:rPr>
          <w:rFonts w:ascii="Times New Roman CYR" w:hAnsi="Times New Roman CYR" w:cs="Times New Roman CYR"/>
          <w:sz w:val="22"/>
          <w:szCs w:val="22"/>
        </w:rPr>
        <w:t>ты и предотвращают забивание корпусов. Однако в экстремал</w:t>
      </w:r>
      <w:r w:rsidRPr="00E73FF0">
        <w:rPr>
          <w:rFonts w:ascii="Times New Roman CYR" w:hAnsi="Times New Roman CYR" w:cs="Times New Roman CYR"/>
          <w:sz w:val="22"/>
          <w:szCs w:val="22"/>
        </w:rPr>
        <w:t>ь</w:t>
      </w:r>
      <w:r w:rsidRPr="00E73FF0">
        <w:rPr>
          <w:rFonts w:ascii="Times New Roman CYR" w:hAnsi="Times New Roman CYR" w:cs="Times New Roman CYR"/>
          <w:sz w:val="22"/>
          <w:szCs w:val="22"/>
        </w:rPr>
        <w:t>ных условиях работы, изложенных выше, они тоже оказываются не работоспособными.</w:t>
      </w:r>
    </w:p>
    <w:p w:rsidR="00E73FF0" w:rsidRPr="00E73FF0" w:rsidRDefault="00E73FF0" w:rsidP="00E73FF0">
      <w:pPr>
        <w:tabs>
          <w:tab w:val="num" w:pos="0"/>
          <w:tab w:val="left" w:pos="8364"/>
          <w:tab w:val="left" w:pos="9923"/>
        </w:tabs>
        <w:ind w:right="134"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t>В силу этого требуется изыскать другой способ и средство, обеспечивающее работу плуга без забивания.</w:t>
      </w:r>
    </w:p>
    <w:p w:rsidR="00E73FF0" w:rsidRPr="00E73FF0" w:rsidRDefault="00E73FF0" w:rsidP="00E73FF0">
      <w:pPr>
        <w:tabs>
          <w:tab w:val="num" w:pos="0"/>
          <w:tab w:val="left" w:pos="8364"/>
          <w:tab w:val="left" w:pos="9923"/>
        </w:tabs>
        <w:ind w:right="134"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t>Нами предлагается модернизировать плуг ПЛН-5-35, хотя предлагаемая разработка может быть применима  на любых др</w:t>
      </w:r>
      <w:r w:rsidRPr="00E73FF0">
        <w:rPr>
          <w:rFonts w:ascii="Times New Roman CYR" w:hAnsi="Times New Roman CYR" w:cs="Times New Roman CYR"/>
          <w:sz w:val="22"/>
          <w:szCs w:val="22"/>
        </w:rPr>
        <w:t>у</w:t>
      </w:r>
      <w:r w:rsidRPr="00E73FF0">
        <w:rPr>
          <w:rFonts w:ascii="Times New Roman CYR" w:hAnsi="Times New Roman CYR" w:cs="Times New Roman CYR"/>
          <w:sz w:val="22"/>
          <w:szCs w:val="22"/>
        </w:rPr>
        <w:t>гих плугах. Суть модернизации состоит в установке двух плоских дис</w:t>
      </w:r>
      <w:r w:rsidR="00662BE8">
        <w:rPr>
          <w:rFonts w:ascii="Times New Roman CYR" w:hAnsi="Times New Roman CYR" w:cs="Times New Roman CYR"/>
          <w:sz w:val="22"/>
          <w:szCs w:val="22"/>
        </w:rPr>
        <w:t>ковых ножей</w:t>
      </w:r>
      <w:r w:rsidRPr="00E73FF0">
        <w:rPr>
          <w:rFonts w:ascii="Times New Roman CYR" w:hAnsi="Times New Roman CYR" w:cs="Times New Roman CYR"/>
          <w:sz w:val="22"/>
          <w:szCs w:val="22"/>
        </w:rPr>
        <w:t xml:space="preserve"> на некотором расстоянии между ними, При этом  ось вращения дисков располагается над носком лемеха, который делит ее на две равные части. Диски вращаются в плоскости п</w:t>
      </w:r>
      <w:r w:rsidRPr="00E73FF0">
        <w:rPr>
          <w:rFonts w:ascii="Times New Roman CYR" w:hAnsi="Times New Roman CYR" w:cs="Times New Roman CYR"/>
          <w:sz w:val="22"/>
          <w:szCs w:val="22"/>
        </w:rPr>
        <w:t>а</w:t>
      </w:r>
      <w:r w:rsidRPr="00E73FF0">
        <w:rPr>
          <w:rFonts w:ascii="Times New Roman CYR" w:hAnsi="Times New Roman CYR" w:cs="Times New Roman CYR"/>
          <w:sz w:val="22"/>
          <w:szCs w:val="22"/>
        </w:rPr>
        <w:t>раллельной продольно вертикальной плоскости пахотного агрег</w:t>
      </w:r>
      <w:r w:rsidRPr="00E73FF0">
        <w:rPr>
          <w:rFonts w:ascii="Times New Roman CYR" w:hAnsi="Times New Roman CYR" w:cs="Times New Roman CYR"/>
          <w:sz w:val="22"/>
          <w:szCs w:val="22"/>
        </w:rPr>
        <w:t>а</w:t>
      </w:r>
      <w:r w:rsidRPr="00E73FF0">
        <w:rPr>
          <w:rFonts w:ascii="Times New Roman CYR" w:hAnsi="Times New Roman CYR" w:cs="Times New Roman CYR"/>
          <w:sz w:val="22"/>
          <w:szCs w:val="22"/>
        </w:rPr>
        <w:t>та. Двухдисковый нож необходимо устанавливать так, чтобы л</w:t>
      </w:r>
      <w:r w:rsidRPr="00E73FF0">
        <w:rPr>
          <w:rFonts w:ascii="Times New Roman CYR" w:hAnsi="Times New Roman CYR" w:cs="Times New Roman CYR"/>
          <w:sz w:val="22"/>
          <w:szCs w:val="22"/>
        </w:rPr>
        <w:t>и</w:t>
      </w:r>
      <w:r w:rsidRPr="00E73FF0">
        <w:rPr>
          <w:rFonts w:ascii="Times New Roman CYR" w:hAnsi="Times New Roman CYR" w:cs="Times New Roman CYR"/>
          <w:sz w:val="22"/>
          <w:szCs w:val="22"/>
        </w:rPr>
        <w:t>ния, соединяющая центры двух дисков в проекции на горизо</w:t>
      </w:r>
      <w:r w:rsidRPr="00E73FF0">
        <w:rPr>
          <w:rFonts w:ascii="Times New Roman CYR" w:hAnsi="Times New Roman CYR" w:cs="Times New Roman CYR"/>
          <w:sz w:val="22"/>
          <w:szCs w:val="22"/>
        </w:rPr>
        <w:t>н</w:t>
      </w:r>
      <w:r w:rsidRPr="00E73FF0">
        <w:rPr>
          <w:rFonts w:ascii="Times New Roman CYR" w:hAnsi="Times New Roman CYR" w:cs="Times New Roman CYR"/>
          <w:sz w:val="22"/>
          <w:szCs w:val="22"/>
        </w:rPr>
        <w:t xml:space="preserve">тальную плоскость делилась на две равные части плоскостью, проходящей через полевой обрез корпуса. Диски относительно полевого обреза корпуса устанавливаются симметрично. </w:t>
      </w:r>
    </w:p>
    <w:p w:rsidR="00E73FF0" w:rsidRPr="00E73FF0" w:rsidRDefault="00E73FF0" w:rsidP="00E73FF0">
      <w:pPr>
        <w:tabs>
          <w:tab w:val="num" w:pos="0"/>
          <w:tab w:val="left" w:pos="8364"/>
          <w:tab w:val="left" w:pos="9923"/>
        </w:tabs>
        <w:ind w:right="134" w:firstLine="425"/>
        <w:jc w:val="both"/>
        <w:rPr>
          <w:rFonts w:ascii="Times New Roman CYR" w:hAnsi="Times New Roman CYR" w:cs="Times New Roman CYR"/>
          <w:sz w:val="22"/>
          <w:szCs w:val="22"/>
        </w:rPr>
      </w:pPr>
      <w:r w:rsidRPr="00E73FF0">
        <w:rPr>
          <w:rFonts w:ascii="Times New Roman CYR" w:hAnsi="Times New Roman CYR" w:cs="Times New Roman CYR"/>
          <w:sz w:val="22"/>
          <w:szCs w:val="22"/>
        </w:rPr>
        <w:t>Диаметр дисковых ножей определяется глубиной нахождения корневой системы растительных остатков, которая находится в пределах 0,10..0,15м на торфяно-болотных почвах и до 0,10м – на минеральных. Исходя из высоты стойки корпуса, глубины вспа</w:t>
      </w:r>
      <w:r w:rsidRPr="00E73FF0">
        <w:rPr>
          <w:rFonts w:ascii="Times New Roman CYR" w:hAnsi="Times New Roman CYR" w:cs="Times New Roman CYR"/>
          <w:sz w:val="22"/>
          <w:szCs w:val="22"/>
        </w:rPr>
        <w:t>ш</w:t>
      </w:r>
      <w:r w:rsidRPr="00E73FF0">
        <w:rPr>
          <w:rFonts w:ascii="Times New Roman CYR" w:hAnsi="Times New Roman CYR" w:cs="Times New Roman CYR"/>
          <w:sz w:val="22"/>
          <w:szCs w:val="22"/>
        </w:rPr>
        <w:t>ки и глубины нахождения корней растительности, т. е. глубины хода диска, а также с учетом стандарта на плоские диски прие</w:t>
      </w:r>
      <w:r w:rsidRPr="00E73FF0">
        <w:rPr>
          <w:rFonts w:ascii="Times New Roman CYR" w:hAnsi="Times New Roman CYR" w:cs="Times New Roman CYR"/>
          <w:sz w:val="22"/>
          <w:szCs w:val="22"/>
        </w:rPr>
        <w:t>м</w:t>
      </w:r>
      <w:r w:rsidRPr="00E73FF0">
        <w:rPr>
          <w:rFonts w:ascii="Times New Roman CYR" w:hAnsi="Times New Roman CYR" w:cs="Times New Roman CYR"/>
          <w:sz w:val="22"/>
          <w:szCs w:val="22"/>
        </w:rPr>
        <w:t xml:space="preserve">лемым диском является диск диаметром </w:t>
      </w:r>
      <w:smartTag w:uri="urn:schemas-microsoft-com:office:smarttags" w:element="metricconverter">
        <w:smartTagPr>
          <w:attr w:name="ProductID" w:val="0,40 м"/>
        </w:smartTagPr>
        <w:r w:rsidRPr="00E73FF0">
          <w:rPr>
            <w:rFonts w:ascii="Times New Roman CYR" w:hAnsi="Times New Roman CYR" w:cs="Times New Roman CYR"/>
            <w:sz w:val="22"/>
            <w:szCs w:val="22"/>
          </w:rPr>
          <w:t>0,40 м</w:t>
        </w:r>
      </w:smartTag>
      <w:r w:rsidRPr="00E73FF0">
        <w:rPr>
          <w:rFonts w:ascii="Times New Roman CYR" w:hAnsi="Times New Roman CYR" w:cs="Times New Roman CYR"/>
          <w:sz w:val="22"/>
          <w:szCs w:val="22"/>
        </w:rPr>
        <w:t xml:space="preserve"> и толщиной </w:t>
      </w:r>
      <w:smartTag w:uri="urn:schemas-microsoft-com:office:smarttags" w:element="metricconverter">
        <w:smartTagPr>
          <w:attr w:name="ProductID" w:val="8 мм"/>
        </w:smartTagPr>
        <w:r w:rsidRPr="00E73FF0">
          <w:rPr>
            <w:rFonts w:ascii="Times New Roman CYR" w:hAnsi="Times New Roman CYR" w:cs="Times New Roman CYR"/>
            <w:sz w:val="22"/>
            <w:szCs w:val="22"/>
          </w:rPr>
          <w:t>8 мм</w:t>
        </w:r>
      </w:smartTag>
      <w:r w:rsidRPr="00E73FF0">
        <w:rPr>
          <w:rFonts w:ascii="Times New Roman CYR" w:hAnsi="Times New Roman CYR" w:cs="Times New Roman CYR"/>
          <w:sz w:val="22"/>
          <w:szCs w:val="22"/>
        </w:rPr>
        <w:t>.</w:t>
      </w:r>
    </w:p>
    <w:p w:rsidR="00E73FF0" w:rsidRPr="00E73FF0" w:rsidRDefault="00E73FF0" w:rsidP="009762D0">
      <w:pPr>
        <w:ind w:firstLine="540"/>
        <w:jc w:val="both"/>
        <w:rPr>
          <w:sz w:val="22"/>
          <w:szCs w:val="22"/>
        </w:rPr>
      </w:pPr>
      <w:r w:rsidRPr="00E73FF0">
        <w:rPr>
          <w:sz w:val="22"/>
          <w:szCs w:val="22"/>
        </w:rPr>
        <w:t>Изыскание способов основной обработки почвы, снижающих тяговое сопротивление агрегата, губительное воздействие на почву  водной и ветровой эрозии, привело к созданию и внедрению в сел</w:t>
      </w:r>
      <w:r w:rsidRPr="00E73FF0">
        <w:rPr>
          <w:sz w:val="22"/>
          <w:szCs w:val="22"/>
        </w:rPr>
        <w:t>ь</w:t>
      </w:r>
      <w:r w:rsidRPr="00E73FF0">
        <w:rPr>
          <w:sz w:val="22"/>
          <w:szCs w:val="22"/>
        </w:rPr>
        <w:t>скохозяйственное производство почвозащитной системы землед</w:t>
      </w:r>
      <w:r w:rsidRPr="00E73FF0">
        <w:rPr>
          <w:sz w:val="22"/>
          <w:szCs w:val="22"/>
        </w:rPr>
        <w:t>е</w:t>
      </w:r>
      <w:r w:rsidRPr="00E73FF0">
        <w:rPr>
          <w:sz w:val="22"/>
          <w:szCs w:val="22"/>
        </w:rPr>
        <w:t>лия, в основу которой положена обработка почвы комбинирова</w:t>
      </w:r>
      <w:r w:rsidRPr="00E73FF0">
        <w:rPr>
          <w:sz w:val="22"/>
          <w:szCs w:val="22"/>
        </w:rPr>
        <w:t>н</w:t>
      </w:r>
      <w:r w:rsidRPr="00E73FF0">
        <w:rPr>
          <w:sz w:val="22"/>
          <w:szCs w:val="22"/>
        </w:rPr>
        <w:t>ными агрегатами [3, 4].  Многолетние исследования и широкая пр</w:t>
      </w:r>
      <w:r w:rsidRPr="00E73FF0">
        <w:rPr>
          <w:sz w:val="22"/>
          <w:szCs w:val="22"/>
        </w:rPr>
        <w:t>о</w:t>
      </w:r>
      <w:r w:rsidRPr="00E73FF0">
        <w:rPr>
          <w:sz w:val="22"/>
          <w:szCs w:val="22"/>
        </w:rPr>
        <w:t>изводственная практика показали, что обработка почвы такими а</w:t>
      </w:r>
      <w:r w:rsidRPr="00E73FF0">
        <w:rPr>
          <w:sz w:val="22"/>
          <w:szCs w:val="22"/>
        </w:rPr>
        <w:t>г</w:t>
      </w:r>
      <w:r w:rsidRPr="00E73FF0">
        <w:rPr>
          <w:sz w:val="22"/>
          <w:szCs w:val="22"/>
        </w:rPr>
        <w:t>регатами в засушливых районах, по сравнению с обычной вспа</w:t>
      </w:r>
      <w:r w:rsidRPr="00E73FF0">
        <w:rPr>
          <w:sz w:val="22"/>
          <w:szCs w:val="22"/>
        </w:rPr>
        <w:t>ш</w:t>
      </w:r>
      <w:r w:rsidRPr="00E73FF0">
        <w:rPr>
          <w:sz w:val="22"/>
          <w:szCs w:val="22"/>
        </w:rPr>
        <w:t>кой, обеспечивает значительное повышение урожайности  сельск</w:t>
      </w:r>
      <w:r w:rsidRPr="00E73FF0">
        <w:rPr>
          <w:sz w:val="22"/>
          <w:szCs w:val="22"/>
        </w:rPr>
        <w:t>о</w:t>
      </w:r>
      <w:r w:rsidRPr="00E73FF0">
        <w:rPr>
          <w:sz w:val="22"/>
          <w:szCs w:val="22"/>
        </w:rPr>
        <w:t xml:space="preserve">хозяйственных культур. </w:t>
      </w:r>
    </w:p>
    <w:p w:rsidR="00E73FF0" w:rsidRPr="00E73FF0" w:rsidRDefault="00E73FF0" w:rsidP="00E73FF0">
      <w:pPr>
        <w:tabs>
          <w:tab w:val="left" w:pos="360"/>
        </w:tabs>
        <w:jc w:val="center"/>
        <w:rPr>
          <w:sz w:val="22"/>
          <w:szCs w:val="22"/>
        </w:rPr>
      </w:pPr>
      <w:r w:rsidRPr="00E73FF0">
        <w:rPr>
          <w:sz w:val="22"/>
          <w:szCs w:val="22"/>
        </w:rPr>
        <w:lastRenderedPageBreak/>
        <w:t>Список литературы</w:t>
      </w:r>
    </w:p>
    <w:p w:rsidR="00E73FF0" w:rsidRPr="00E73FF0" w:rsidRDefault="00E73FF0" w:rsidP="00E73FF0">
      <w:pPr>
        <w:ind w:firstLine="425"/>
        <w:jc w:val="both"/>
        <w:rPr>
          <w:sz w:val="22"/>
          <w:szCs w:val="22"/>
        </w:rPr>
      </w:pPr>
      <w:r w:rsidRPr="00E73FF0">
        <w:rPr>
          <w:sz w:val="22"/>
          <w:szCs w:val="22"/>
        </w:rPr>
        <w:t>1. Юдина Е.М. Технологии в растениеводстве: учеб. пособие / Е.М. Юдина, Е.Ю. Авилова, С.А. Калитко, М.О. Юдин. - Красн</w:t>
      </w:r>
      <w:r w:rsidRPr="00E73FF0">
        <w:rPr>
          <w:sz w:val="22"/>
          <w:szCs w:val="22"/>
        </w:rPr>
        <w:t>о</w:t>
      </w:r>
      <w:r w:rsidRPr="00E73FF0">
        <w:rPr>
          <w:sz w:val="22"/>
          <w:szCs w:val="22"/>
        </w:rPr>
        <w:t>дар: КубГАУ, 2015. - 119 с.</w:t>
      </w:r>
    </w:p>
    <w:p w:rsidR="00E73FF0" w:rsidRPr="00E73FF0" w:rsidRDefault="00E73FF0" w:rsidP="00E73FF0">
      <w:pPr>
        <w:tabs>
          <w:tab w:val="left" w:pos="180"/>
        </w:tabs>
        <w:ind w:firstLine="360"/>
        <w:jc w:val="both"/>
        <w:rPr>
          <w:sz w:val="22"/>
          <w:szCs w:val="22"/>
        </w:rPr>
      </w:pPr>
      <w:r w:rsidRPr="00E73FF0">
        <w:rPr>
          <w:sz w:val="22"/>
          <w:szCs w:val="22"/>
        </w:rPr>
        <w:t xml:space="preserve"> 2. Юдина Е.М., </w:t>
      </w:r>
      <w:r w:rsidRPr="00E73FF0">
        <w:rPr>
          <w:iCs/>
          <w:sz w:val="22"/>
          <w:szCs w:val="22"/>
        </w:rPr>
        <w:t>Брусенцов А.С. К выбору рабочих органов по</w:t>
      </w:r>
      <w:r w:rsidRPr="00E73FF0">
        <w:rPr>
          <w:iCs/>
          <w:sz w:val="22"/>
          <w:szCs w:val="22"/>
        </w:rPr>
        <w:t>ч</w:t>
      </w:r>
      <w:r w:rsidRPr="00E73FF0">
        <w:rPr>
          <w:iCs/>
          <w:sz w:val="22"/>
          <w:szCs w:val="22"/>
        </w:rPr>
        <w:t xml:space="preserve">вообрабатывающего агрегата // </w:t>
      </w:r>
      <w:r w:rsidRPr="00E73FF0">
        <w:rPr>
          <w:sz w:val="22"/>
          <w:szCs w:val="22"/>
        </w:rPr>
        <w:t>Влияние науки на инновационной развитие: сб. ст. Межд. науч.-прак</w:t>
      </w:r>
      <w:r w:rsidRPr="00E73FF0">
        <w:rPr>
          <w:sz w:val="22"/>
          <w:szCs w:val="22"/>
        </w:rPr>
        <w:softHyphen/>
        <w:t xml:space="preserve">т. конф.. </w:t>
      </w:r>
      <w:r w:rsidRPr="00E73FF0">
        <w:rPr>
          <w:caps/>
          <w:sz w:val="22"/>
          <w:szCs w:val="22"/>
        </w:rPr>
        <w:t>в</w:t>
      </w:r>
      <w:r w:rsidRPr="00E73FF0">
        <w:rPr>
          <w:sz w:val="22"/>
          <w:szCs w:val="22"/>
        </w:rPr>
        <w:t xml:space="preserve"> 3ч.Ч.3 – Уфа: АЭТЕ</w:t>
      </w:r>
      <w:r w:rsidRPr="00E73FF0">
        <w:rPr>
          <w:sz w:val="22"/>
          <w:szCs w:val="22"/>
        </w:rPr>
        <w:t>Р</w:t>
      </w:r>
      <w:r w:rsidRPr="00E73FF0">
        <w:rPr>
          <w:sz w:val="22"/>
          <w:szCs w:val="22"/>
        </w:rPr>
        <w:t xml:space="preserve">НА.2016.- </w:t>
      </w:r>
      <w:r w:rsidRPr="00E73FF0">
        <w:rPr>
          <w:caps/>
          <w:sz w:val="22"/>
          <w:szCs w:val="22"/>
        </w:rPr>
        <w:t>с.</w:t>
      </w:r>
      <w:r w:rsidRPr="00E73FF0">
        <w:rPr>
          <w:sz w:val="22"/>
          <w:szCs w:val="22"/>
        </w:rPr>
        <w:t>101-104</w:t>
      </w:r>
    </w:p>
    <w:p w:rsidR="00E73FF0" w:rsidRPr="00E73FF0" w:rsidRDefault="00E73FF0" w:rsidP="00E73FF0">
      <w:pPr>
        <w:tabs>
          <w:tab w:val="left" w:pos="180"/>
        </w:tabs>
        <w:ind w:firstLine="360"/>
        <w:jc w:val="both"/>
        <w:rPr>
          <w:color w:val="000000"/>
          <w:sz w:val="22"/>
          <w:szCs w:val="22"/>
        </w:rPr>
      </w:pPr>
      <w:r w:rsidRPr="00E73FF0">
        <w:rPr>
          <w:sz w:val="22"/>
          <w:szCs w:val="22"/>
        </w:rPr>
        <w:t xml:space="preserve"> 3. Юдина Е.М. Снижение энергоемкости технологических пр</w:t>
      </w:r>
      <w:r w:rsidRPr="00E73FF0">
        <w:rPr>
          <w:sz w:val="22"/>
          <w:szCs w:val="22"/>
        </w:rPr>
        <w:t>о</w:t>
      </w:r>
      <w:r w:rsidRPr="00E73FF0">
        <w:rPr>
          <w:sz w:val="22"/>
          <w:szCs w:val="22"/>
        </w:rPr>
        <w:t>цессов в растениеводстве // В сборнике: </w:t>
      </w:r>
      <w:hyperlink r:id="rId67" w:history="1">
        <w:r w:rsidRPr="00E73FF0">
          <w:rPr>
            <w:sz w:val="22"/>
            <w:szCs w:val="22"/>
          </w:rPr>
          <w:t>Потенциал современной науки</w:t>
        </w:r>
      </w:hyperlink>
      <w:r w:rsidRPr="00E73FF0">
        <w:rPr>
          <w:sz w:val="22"/>
          <w:szCs w:val="22"/>
        </w:rPr>
        <w:t>. Материалы Межд. (заочной) науч.-практ. конф. НИЦ «Мир науки».</w:t>
      </w:r>
      <w:r w:rsidRPr="00E73FF0">
        <w:rPr>
          <w:color w:val="000000"/>
          <w:sz w:val="22"/>
          <w:szCs w:val="22"/>
        </w:rPr>
        <w:t xml:space="preserve"> 2016. С. 123-127</w:t>
      </w:r>
    </w:p>
    <w:p w:rsidR="00E73FF0" w:rsidRPr="00E73FF0" w:rsidRDefault="00E73FF0" w:rsidP="00E73FF0">
      <w:pPr>
        <w:ind w:firstLine="426"/>
        <w:jc w:val="both"/>
        <w:rPr>
          <w:bCs/>
          <w:sz w:val="22"/>
          <w:szCs w:val="22"/>
        </w:rPr>
      </w:pPr>
      <w:r w:rsidRPr="00E73FF0">
        <w:rPr>
          <w:sz w:val="22"/>
          <w:szCs w:val="22"/>
        </w:rPr>
        <w:t xml:space="preserve"> 4.  </w:t>
      </w:r>
      <w:r w:rsidRPr="00E73FF0">
        <w:rPr>
          <w:bCs/>
          <w:iCs/>
          <w:sz w:val="22"/>
          <w:szCs w:val="22"/>
        </w:rPr>
        <w:t>Юдина Е.М., Холявко Л.В., Журий И.А. Комбинированный агрегат // В сборнике: </w:t>
      </w:r>
      <w:hyperlink r:id="rId68" w:history="1">
        <w:r w:rsidRPr="00E73FF0">
          <w:rPr>
            <w:bCs/>
            <w:iCs/>
            <w:sz w:val="22"/>
            <w:szCs w:val="22"/>
          </w:rPr>
          <w:t>Перспективы развития науки и образов</w:t>
        </w:r>
        <w:r w:rsidRPr="00E73FF0">
          <w:rPr>
            <w:bCs/>
            <w:iCs/>
            <w:sz w:val="22"/>
            <w:szCs w:val="22"/>
          </w:rPr>
          <w:t>а</w:t>
        </w:r>
        <w:r w:rsidRPr="00E73FF0">
          <w:rPr>
            <w:bCs/>
            <w:iCs/>
            <w:sz w:val="22"/>
            <w:szCs w:val="22"/>
          </w:rPr>
          <w:t>ния</w:t>
        </w:r>
      </w:hyperlink>
      <w:r w:rsidRPr="00E73FF0">
        <w:rPr>
          <w:bCs/>
          <w:iCs/>
          <w:sz w:val="22"/>
          <w:szCs w:val="22"/>
        </w:rPr>
        <w:t> Сборник научных трудов по материалам Международной нау</w:t>
      </w:r>
      <w:r w:rsidRPr="00E73FF0">
        <w:rPr>
          <w:bCs/>
          <w:iCs/>
          <w:sz w:val="22"/>
          <w:szCs w:val="22"/>
        </w:rPr>
        <w:t>ч</w:t>
      </w:r>
      <w:r w:rsidRPr="00E73FF0">
        <w:rPr>
          <w:bCs/>
          <w:iCs/>
          <w:sz w:val="22"/>
          <w:szCs w:val="22"/>
        </w:rPr>
        <w:t>но-практической конференции: в 8 частях. ООО "АР-Консалт". 2015. С. 147-149.</w:t>
      </w:r>
    </w:p>
    <w:p w:rsidR="00E73FF0" w:rsidRPr="00E73FF0" w:rsidRDefault="00E73FF0" w:rsidP="00E73FF0">
      <w:pPr>
        <w:tabs>
          <w:tab w:val="left" w:pos="180"/>
        </w:tabs>
        <w:ind w:firstLine="360"/>
        <w:jc w:val="both"/>
        <w:rPr>
          <w:sz w:val="22"/>
          <w:szCs w:val="22"/>
        </w:rPr>
      </w:pPr>
    </w:p>
    <w:p w:rsidR="00483E1F" w:rsidRDefault="00483E1F" w:rsidP="00483E1F">
      <w:pPr>
        <w:contextualSpacing/>
        <w:rPr>
          <w:sz w:val="22"/>
          <w:szCs w:val="22"/>
        </w:rPr>
      </w:pPr>
    </w:p>
    <w:p w:rsidR="00483E1F" w:rsidRDefault="00483E1F" w:rsidP="00483E1F">
      <w:pPr>
        <w:contextualSpacing/>
        <w:rPr>
          <w:sz w:val="22"/>
          <w:szCs w:val="22"/>
        </w:rPr>
      </w:pPr>
    </w:p>
    <w:p w:rsidR="00E73FF0" w:rsidRDefault="00E73FF0" w:rsidP="00483E1F">
      <w:pPr>
        <w:contextualSpacing/>
        <w:rPr>
          <w:rFonts w:eastAsia="Calibri"/>
          <w:sz w:val="22"/>
          <w:szCs w:val="22"/>
          <w:lang w:eastAsia="en-US"/>
        </w:rPr>
      </w:pPr>
      <w:r w:rsidRPr="00483E1F">
        <w:rPr>
          <w:rFonts w:eastAsia="Calibri"/>
          <w:sz w:val="22"/>
          <w:szCs w:val="22"/>
          <w:lang w:eastAsia="en-US"/>
        </w:rPr>
        <w:t>УДК 631.331</w:t>
      </w:r>
    </w:p>
    <w:p w:rsidR="00483E1F" w:rsidRPr="00483E1F" w:rsidRDefault="00483E1F" w:rsidP="00483E1F">
      <w:pPr>
        <w:contextualSpacing/>
        <w:rPr>
          <w:rFonts w:eastAsia="Calibri"/>
          <w:sz w:val="22"/>
          <w:szCs w:val="22"/>
          <w:lang w:eastAsia="en-US"/>
        </w:rPr>
      </w:pPr>
    </w:p>
    <w:p w:rsidR="00E73FF0" w:rsidRPr="00E73FF0" w:rsidRDefault="00E73FF0" w:rsidP="00E73FF0">
      <w:pPr>
        <w:spacing w:after="200"/>
        <w:ind w:firstLine="426"/>
        <w:contextualSpacing/>
        <w:jc w:val="center"/>
        <w:rPr>
          <w:rFonts w:eastAsia="Calibri"/>
          <w:b/>
          <w:sz w:val="24"/>
          <w:szCs w:val="24"/>
          <w:lang w:eastAsia="en-US"/>
        </w:rPr>
      </w:pPr>
      <w:r w:rsidRPr="00E73FF0">
        <w:rPr>
          <w:rFonts w:eastAsia="Calibri"/>
          <w:b/>
          <w:sz w:val="24"/>
          <w:szCs w:val="24"/>
          <w:lang w:eastAsia="en-US"/>
        </w:rPr>
        <w:t xml:space="preserve">Совершенствование дозирующего аппарата </w:t>
      </w:r>
    </w:p>
    <w:p w:rsidR="00E73FF0" w:rsidRPr="00E73FF0" w:rsidRDefault="00E73FF0" w:rsidP="00E73FF0">
      <w:pPr>
        <w:spacing w:after="200"/>
        <w:ind w:firstLine="426"/>
        <w:contextualSpacing/>
        <w:jc w:val="center"/>
        <w:rPr>
          <w:rFonts w:eastAsia="Calibri"/>
          <w:b/>
          <w:sz w:val="24"/>
          <w:szCs w:val="24"/>
          <w:lang w:eastAsia="en-US"/>
        </w:rPr>
      </w:pPr>
      <w:r w:rsidRPr="00E73FF0">
        <w:rPr>
          <w:rFonts w:eastAsia="Calibri"/>
          <w:b/>
          <w:sz w:val="24"/>
          <w:szCs w:val="24"/>
          <w:lang w:eastAsia="en-US"/>
        </w:rPr>
        <w:t xml:space="preserve">пневматической сеялки с центрально-дозирующей </w:t>
      </w:r>
    </w:p>
    <w:p w:rsidR="00E73FF0" w:rsidRPr="00E73FF0" w:rsidRDefault="00E73FF0" w:rsidP="00E73FF0">
      <w:pPr>
        <w:spacing w:after="200"/>
        <w:ind w:firstLine="426"/>
        <w:contextualSpacing/>
        <w:jc w:val="center"/>
        <w:rPr>
          <w:rFonts w:eastAsia="Calibri"/>
          <w:b/>
          <w:sz w:val="24"/>
          <w:szCs w:val="24"/>
          <w:lang w:val="en-US" w:eastAsia="en-US"/>
        </w:rPr>
      </w:pPr>
      <w:r w:rsidRPr="00E73FF0">
        <w:rPr>
          <w:rFonts w:eastAsia="Calibri"/>
          <w:b/>
          <w:sz w:val="24"/>
          <w:szCs w:val="24"/>
          <w:lang w:eastAsia="en-US"/>
        </w:rPr>
        <w:t>системой</w:t>
      </w:r>
    </w:p>
    <w:p w:rsidR="00E73FF0" w:rsidRPr="00E73FF0" w:rsidRDefault="00E73FF0" w:rsidP="00E73FF0">
      <w:pPr>
        <w:spacing w:after="200"/>
        <w:ind w:firstLine="426"/>
        <w:contextualSpacing/>
        <w:jc w:val="center"/>
        <w:rPr>
          <w:rFonts w:eastAsia="Calibri"/>
          <w:b/>
          <w:sz w:val="24"/>
          <w:szCs w:val="24"/>
          <w:lang w:val="en-US" w:eastAsia="en-US"/>
        </w:rPr>
      </w:pPr>
      <w:r w:rsidRPr="00E73FF0">
        <w:rPr>
          <w:rFonts w:eastAsia="Calibri"/>
          <w:b/>
          <w:sz w:val="24"/>
          <w:szCs w:val="24"/>
          <w:lang w:val="en-US" w:eastAsia="en-US"/>
        </w:rPr>
        <w:t xml:space="preserve">Improving air seeder metering apparatus with a </w:t>
      </w:r>
    </w:p>
    <w:p w:rsidR="00E73FF0" w:rsidRPr="00024398" w:rsidRDefault="00E73FF0" w:rsidP="00E73FF0">
      <w:pPr>
        <w:spacing w:after="200"/>
        <w:ind w:firstLine="426"/>
        <w:contextualSpacing/>
        <w:jc w:val="center"/>
        <w:rPr>
          <w:rFonts w:eastAsia="Calibri"/>
          <w:b/>
          <w:sz w:val="24"/>
          <w:szCs w:val="24"/>
          <w:lang w:val="en-US" w:eastAsia="en-US"/>
        </w:rPr>
      </w:pPr>
      <w:r w:rsidRPr="00E73FF0">
        <w:rPr>
          <w:rFonts w:eastAsia="Calibri"/>
          <w:b/>
          <w:sz w:val="24"/>
          <w:szCs w:val="24"/>
          <w:lang w:val="en-US" w:eastAsia="en-US"/>
        </w:rPr>
        <w:t>centrally-dosing system</w:t>
      </w:r>
    </w:p>
    <w:p w:rsidR="00483E1F" w:rsidRPr="00024398" w:rsidRDefault="00483E1F" w:rsidP="00E73FF0">
      <w:pPr>
        <w:spacing w:after="200"/>
        <w:ind w:firstLine="426"/>
        <w:contextualSpacing/>
        <w:jc w:val="center"/>
        <w:rPr>
          <w:rFonts w:eastAsia="Calibri"/>
          <w:b/>
          <w:sz w:val="24"/>
          <w:szCs w:val="24"/>
          <w:lang w:val="en-US" w:eastAsia="en-US"/>
        </w:rPr>
      </w:pPr>
    </w:p>
    <w:p w:rsidR="00E73FF0" w:rsidRPr="00024398" w:rsidRDefault="00E73FF0" w:rsidP="00E73FF0">
      <w:pPr>
        <w:spacing w:after="200"/>
        <w:ind w:firstLine="426"/>
        <w:contextualSpacing/>
        <w:jc w:val="right"/>
        <w:rPr>
          <w:rFonts w:eastAsia="Calibri"/>
          <w:sz w:val="22"/>
          <w:szCs w:val="22"/>
          <w:lang w:val="en-US" w:eastAsia="en-US"/>
        </w:rPr>
      </w:pPr>
      <w:r w:rsidRPr="00E73FF0">
        <w:rPr>
          <w:rFonts w:eastAsia="Calibri"/>
          <w:sz w:val="22"/>
          <w:szCs w:val="22"/>
          <w:lang w:eastAsia="en-US"/>
        </w:rPr>
        <w:t>Дудник</w:t>
      </w:r>
      <w:r w:rsidRPr="00024398">
        <w:rPr>
          <w:rFonts w:eastAsia="Calibri"/>
          <w:sz w:val="22"/>
          <w:szCs w:val="22"/>
          <w:lang w:val="en-US" w:eastAsia="en-US"/>
        </w:rPr>
        <w:t xml:space="preserve"> </w:t>
      </w:r>
      <w:r w:rsidRPr="00E73FF0">
        <w:rPr>
          <w:rFonts w:eastAsia="Calibri"/>
          <w:sz w:val="22"/>
          <w:szCs w:val="22"/>
          <w:lang w:eastAsia="en-US"/>
        </w:rPr>
        <w:t>В</w:t>
      </w:r>
      <w:r w:rsidRPr="00024398">
        <w:rPr>
          <w:rFonts w:eastAsia="Calibri"/>
          <w:sz w:val="22"/>
          <w:szCs w:val="22"/>
          <w:lang w:val="en-US" w:eastAsia="en-US"/>
        </w:rPr>
        <w:t>.</w:t>
      </w:r>
      <w:r w:rsidR="00483E1F" w:rsidRPr="00024398">
        <w:rPr>
          <w:rFonts w:eastAsia="Calibri"/>
          <w:sz w:val="22"/>
          <w:szCs w:val="22"/>
          <w:lang w:val="en-US" w:eastAsia="en-US"/>
        </w:rPr>
        <w:t xml:space="preserve"> </w:t>
      </w:r>
      <w:r w:rsidRPr="00E73FF0">
        <w:rPr>
          <w:rFonts w:eastAsia="Calibri"/>
          <w:sz w:val="22"/>
          <w:szCs w:val="22"/>
          <w:lang w:eastAsia="en-US"/>
        </w:rPr>
        <w:t>С</w:t>
      </w:r>
      <w:r w:rsidRPr="00024398">
        <w:rPr>
          <w:rFonts w:eastAsia="Calibri"/>
          <w:sz w:val="22"/>
          <w:szCs w:val="22"/>
          <w:lang w:val="en-US" w:eastAsia="en-US"/>
        </w:rPr>
        <w:t>.</w:t>
      </w:r>
      <w:r w:rsidR="00483E1F" w:rsidRPr="00024398">
        <w:rPr>
          <w:rFonts w:eastAsia="Calibri"/>
          <w:sz w:val="22"/>
          <w:szCs w:val="22"/>
          <w:lang w:val="en-US" w:eastAsia="en-US"/>
        </w:rPr>
        <w:t>,</w:t>
      </w:r>
    </w:p>
    <w:p w:rsidR="00E73FF0" w:rsidRDefault="00483E1F" w:rsidP="00E73FF0">
      <w:pPr>
        <w:spacing w:after="200"/>
        <w:ind w:firstLine="426"/>
        <w:contextualSpacing/>
        <w:jc w:val="right"/>
        <w:rPr>
          <w:rFonts w:eastAsia="Calibri"/>
          <w:sz w:val="22"/>
          <w:szCs w:val="22"/>
          <w:lang w:eastAsia="en-US"/>
        </w:rPr>
      </w:pPr>
      <w:r>
        <w:rPr>
          <w:rFonts w:eastAsia="Calibri"/>
          <w:sz w:val="22"/>
          <w:szCs w:val="22"/>
          <w:lang w:eastAsia="en-US"/>
        </w:rPr>
        <w:t>м</w:t>
      </w:r>
      <w:r w:rsidR="00E73FF0" w:rsidRPr="00E73FF0">
        <w:rPr>
          <w:rFonts w:eastAsia="Calibri"/>
          <w:sz w:val="22"/>
          <w:szCs w:val="22"/>
          <w:lang w:eastAsia="en-US"/>
        </w:rPr>
        <w:t xml:space="preserve">агистрант 2-го курса </w:t>
      </w:r>
      <w:r>
        <w:rPr>
          <w:rFonts w:eastAsia="Calibri"/>
          <w:sz w:val="22"/>
          <w:szCs w:val="22"/>
          <w:lang w:eastAsia="en-US"/>
        </w:rPr>
        <w:t>факультета механизаци</w:t>
      </w:r>
    </w:p>
    <w:p w:rsidR="00483E1F" w:rsidRDefault="00483E1F" w:rsidP="00483E1F">
      <w:pPr>
        <w:widowControl w:val="0"/>
        <w:autoSpaceDE w:val="0"/>
        <w:autoSpaceDN w:val="0"/>
        <w:adjustRightInd w:val="0"/>
        <w:jc w:val="right"/>
        <w:rPr>
          <w:sz w:val="22"/>
          <w:szCs w:val="22"/>
        </w:rPr>
      </w:pPr>
      <w:r w:rsidRPr="00E73FF0">
        <w:rPr>
          <w:sz w:val="22"/>
          <w:szCs w:val="22"/>
        </w:rPr>
        <w:t>Кубанский государственный аграрный</w:t>
      </w:r>
    </w:p>
    <w:p w:rsidR="00483E1F" w:rsidRPr="00E73FF0" w:rsidRDefault="00483E1F" w:rsidP="00483E1F">
      <w:pPr>
        <w:widowControl w:val="0"/>
        <w:autoSpaceDE w:val="0"/>
        <w:autoSpaceDN w:val="0"/>
        <w:adjustRightInd w:val="0"/>
        <w:jc w:val="right"/>
        <w:rPr>
          <w:sz w:val="22"/>
          <w:szCs w:val="22"/>
        </w:rPr>
      </w:pPr>
      <w:r w:rsidRPr="00E73FF0">
        <w:rPr>
          <w:sz w:val="22"/>
          <w:szCs w:val="22"/>
        </w:rPr>
        <w:t xml:space="preserve"> </w:t>
      </w:r>
      <w:r>
        <w:rPr>
          <w:sz w:val="22"/>
          <w:szCs w:val="22"/>
        </w:rPr>
        <w:t>у</w:t>
      </w:r>
      <w:r w:rsidRPr="00E73FF0">
        <w:rPr>
          <w:sz w:val="22"/>
          <w:szCs w:val="22"/>
        </w:rPr>
        <w:t>ниверситет</w:t>
      </w:r>
      <w:r>
        <w:rPr>
          <w:sz w:val="22"/>
          <w:szCs w:val="22"/>
        </w:rPr>
        <w:t xml:space="preserve"> имени И. Т.Трубилина</w:t>
      </w:r>
    </w:p>
    <w:p w:rsidR="00483E1F" w:rsidRPr="00E73FF0" w:rsidRDefault="00483E1F" w:rsidP="00E73FF0">
      <w:pPr>
        <w:spacing w:after="200"/>
        <w:ind w:firstLine="426"/>
        <w:contextualSpacing/>
        <w:jc w:val="right"/>
        <w:rPr>
          <w:rFonts w:eastAsia="Calibri"/>
          <w:sz w:val="22"/>
          <w:szCs w:val="22"/>
          <w:lang w:eastAsia="en-US"/>
        </w:rPr>
      </w:pPr>
    </w:p>
    <w:p w:rsidR="00E73FF0" w:rsidRPr="00E73FF0" w:rsidRDefault="00E73FF0" w:rsidP="00E73FF0">
      <w:pPr>
        <w:ind w:firstLine="426"/>
        <w:contextualSpacing/>
        <w:jc w:val="both"/>
        <w:rPr>
          <w:sz w:val="22"/>
          <w:szCs w:val="22"/>
        </w:rPr>
      </w:pPr>
      <w:r w:rsidRPr="00E73FF0">
        <w:rPr>
          <w:sz w:val="22"/>
          <w:szCs w:val="22"/>
        </w:rPr>
        <w:t>АННОТАЦИЯ: Дозирование семян при при подаче в пневм</w:t>
      </w:r>
      <w:r w:rsidRPr="00E73FF0">
        <w:rPr>
          <w:sz w:val="22"/>
          <w:szCs w:val="22"/>
        </w:rPr>
        <w:t>а</w:t>
      </w:r>
      <w:r w:rsidRPr="00E73FF0">
        <w:rPr>
          <w:sz w:val="22"/>
          <w:szCs w:val="22"/>
        </w:rPr>
        <w:t>тические системы сеялки важная технологическая операция, опр</w:t>
      </w:r>
      <w:r w:rsidRPr="00E73FF0">
        <w:rPr>
          <w:sz w:val="22"/>
          <w:szCs w:val="22"/>
        </w:rPr>
        <w:t>е</w:t>
      </w:r>
      <w:r w:rsidRPr="00E73FF0">
        <w:rPr>
          <w:sz w:val="22"/>
          <w:szCs w:val="22"/>
        </w:rPr>
        <w:t>деляющая отклонения от заданной нормы высева семян. Нами ра</w:t>
      </w:r>
      <w:r w:rsidRPr="00E73FF0">
        <w:rPr>
          <w:sz w:val="22"/>
          <w:szCs w:val="22"/>
        </w:rPr>
        <w:t>з</w:t>
      </w:r>
      <w:r w:rsidRPr="00E73FF0">
        <w:rPr>
          <w:sz w:val="22"/>
          <w:szCs w:val="22"/>
        </w:rPr>
        <w:t>работан дозирующий аппарата для широкозахватной пневматич</w:t>
      </w:r>
      <w:r w:rsidRPr="00E73FF0">
        <w:rPr>
          <w:sz w:val="22"/>
          <w:szCs w:val="22"/>
        </w:rPr>
        <w:t>е</w:t>
      </w:r>
      <w:r w:rsidRPr="00E73FF0">
        <w:rPr>
          <w:sz w:val="22"/>
          <w:szCs w:val="22"/>
        </w:rPr>
        <w:lastRenderedPageBreak/>
        <w:t>ской сеялки с центрально-дозирующей системой. Усовершенств</w:t>
      </w:r>
      <w:r w:rsidRPr="00E73FF0">
        <w:rPr>
          <w:sz w:val="22"/>
          <w:szCs w:val="22"/>
        </w:rPr>
        <w:t>о</w:t>
      </w:r>
      <w:r w:rsidRPr="00E73FF0">
        <w:rPr>
          <w:sz w:val="22"/>
          <w:szCs w:val="22"/>
        </w:rPr>
        <w:t>ванный дозирующий аппарат обеспечивает совмещение технолог</w:t>
      </w:r>
      <w:r w:rsidRPr="00E73FF0">
        <w:rPr>
          <w:sz w:val="22"/>
          <w:szCs w:val="22"/>
        </w:rPr>
        <w:t>и</w:t>
      </w:r>
      <w:r w:rsidRPr="00E73FF0">
        <w:rPr>
          <w:sz w:val="22"/>
          <w:szCs w:val="22"/>
        </w:rPr>
        <w:t>ческих операций дозирования и распределения семян между дел</w:t>
      </w:r>
      <w:r w:rsidRPr="00E73FF0">
        <w:rPr>
          <w:sz w:val="22"/>
          <w:szCs w:val="22"/>
        </w:rPr>
        <w:t>и</w:t>
      </w:r>
      <w:r w:rsidRPr="00E73FF0">
        <w:rPr>
          <w:sz w:val="22"/>
          <w:szCs w:val="22"/>
        </w:rPr>
        <w:t>тельными головками распределителей семян в сеялках с централ</w:t>
      </w:r>
      <w:r w:rsidRPr="00E73FF0">
        <w:rPr>
          <w:sz w:val="22"/>
          <w:szCs w:val="22"/>
        </w:rPr>
        <w:t>ь</w:t>
      </w:r>
      <w:r w:rsidRPr="00E73FF0">
        <w:rPr>
          <w:sz w:val="22"/>
          <w:szCs w:val="22"/>
        </w:rPr>
        <w:t>но-дозирующей системой.</w:t>
      </w:r>
    </w:p>
    <w:p w:rsidR="00E73FF0" w:rsidRPr="00E73FF0"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ABSTRACT: Dosing seeds when feeding in air seeders system an important technological operation oprelelyayuschaya deviations from the desired seeding rate. We have developed a dispensing apparatus for a pneumatic seeder spreader with Central metering system. Advanced m</w:t>
      </w:r>
      <w:r w:rsidRPr="00E73FF0">
        <w:rPr>
          <w:rFonts w:eastAsia="Calibri"/>
          <w:sz w:val="22"/>
          <w:szCs w:val="22"/>
          <w:lang w:val="en-US" w:eastAsia="en-US"/>
        </w:rPr>
        <w:t>e</w:t>
      </w:r>
      <w:r w:rsidRPr="00E73FF0">
        <w:rPr>
          <w:rFonts w:eastAsia="Calibri"/>
          <w:sz w:val="22"/>
          <w:szCs w:val="22"/>
          <w:lang w:val="en-US" w:eastAsia="en-US"/>
        </w:rPr>
        <w:t>tering device provides a combination of technological dosing and distr</w:t>
      </w:r>
      <w:r w:rsidRPr="00E73FF0">
        <w:rPr>
          <w:rFonts w:eastAsia="Calibri"/>
          <w:sz w:val="22"/>
          <w:szCs w:val="22"/>
          <w:lang w:val="en-US" w:eastAsia="en-US"/>
        </w:rPr>
        <w:t>i</w:t>
      </w:r>
      <w:r w:rsidRPr="00E73FF0">
        <w:rPr>
          <w:rFonts w:eastAsia="Calibri"/>
          <w:sz w:val="22"/>
          <w:szCs w:val="22"/>
          <w:lang w:val="en-US" w:eastAsia="en-US"/>
        </w:rPr>
        <w:t>bution of seeds of operations between the dividing head distributors of seeds in seed drills with center-metering system.</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КЛЮЧЕВЫЕ СЛОВА: пневматическая сеялка, дозирующий аппарат, равномерность, дозатор, делительная головка, катушка, шнек.</w:t>
      </w:r>
    </w:p>
    <w:p w:rsidR="00E73FF0" w:rsidRPr="00024398"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KEYWORDS: air seeder, the metering device, the uniformity, the dispenser, dividing head, coil, screw.</w:t>
      </w:r>
    </w:p>
    <w:p w:rsidR="00483E1F" w:rsidRPr="00024398" w:rsidRDefault="00483E1F" w:rsidP="00E73FF0">
      <w:pPr>
        <w:spacing w:after="200"/>
        <w:ind w:firstLine="426"/>
        <w:contextualSpacing/>
        <w:jc w:val="both"/>
        <w:rPr>
          <w:rFonts w:eastAsia="Calibri"/>
          <w:sz w:val="22"/>
          <w:szCs w:val="22"/>
          <w:lang w:val="en-US" w:eastAsia="en-US"/>
        </w:rPr>
      </w:pP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 xml:space="preserve">Создание широкозахватных посевных комплексов, создает предпосылки к повышению производительности труда на посеве и снижению трудоемкости обслуживания средств механизации [3]. </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Одним из существенных недостатков известных высевающих аппаратов пневматических сеялок является значительная неравн</w:t>
      </w:r>
      <w:r w:rsidRPr="00E73FF0">
        <w:rPr>
          <w:rFonts w:eastAsia="Calibri"/>
          <w:sz w:val="22"/>
          <w:szCs w:val="22"/>
          <w:lang w:eastAsia="en-US"/>
        </w:rPr>
        <w:t>о</w:t>
      </w:r>
      <w:r w:rsidRPr="00E73FF0">
        <w:rPr>
          <w:rFonts w:eastAsia="Calibri"/>
          <w:sz w:val="22"/>
          <w:szCs w:val="22"/>
          <w:lang w:eastAsia="en-US"/>
        </w:rPr>
        <w:t>мерность подачи семян в сошники сеялки и как следствие отклон</w:t>
      </w:r>
      <w:r w:rsidRPr="00E73FF0">
        <w:rPr>
          <w:rFonts w:eastAsia="Calibri"/>
          <w:sz w:val="22"/>
          <w:szCs w:val="22"/>
          <w:lang w:eastAsia="en-US"/>
        </w:rPr>
        <w:t>е</w:t>
      </w:r>
      <w:r w:rsidRPr="00E73FF0">
        <w:rPr>
          <w:rFonts w:eastAsia="Calibri"/>
          <w:sz w:val="22"/>
          <w:szCs w:val="22"/>
          <w:lang w:eastAsia="en-US"/>
        </w:rPr>
        <w:t>ния от заданной нормы высева между сошниками [1].</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Указанные недостатки обусловлены тем, что в процессе п</w:t>
      </w:r>
      <w:r w:rsidRPr="00E73FF0">
        <w:rPr>
          <w:rFonts w:eastAsia="Calibri"/>
          <w:sz w:val="22"/>
          <w:szCs w:val="22"/>
          <w:lang w:eastAsia="en-US"/>
        </w:rPr>
        <w:t>о</w:t>
      </w:r>
      <w:r w:rsidRPr="00E73FF0">
        <w:rPr>
          <w:rFonts w:eastAsia="Calibri"/>
          <w:sz w:val="22"/>
          <w:szCs w:val="22"/>
          <w:lang w:eastAsia="en-US"/>
        </w:rPr>
        <w:t>ступления семян в пневмопровод навстречу их потоку поступает воздушный поток, что нарушает равномерность подачи семян.</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ole="">
            <v:imagedata r:id="rId69" o:title=""/>
          </v:shape>
          <o:OLEObject Type="Embed" ProgID="KOMPAS.FRW" ShapeID="_x0000_i1025" DrawAspect="Content" ObjectID="_1590841693" r:id="rId70"/>
        </w:object>
      </w:r>
      <w:r w:rsidRPr="00E73FF0">
        <w:rPr>
          <w:rFonts w:eastAsia="Calibri"/>
          <w:sz w:val="22"/>
          <w:szCs w:val="22"/>
          <w:lang w:eastAsia="en-US"/>
        </w:rPr>
        <w:t xml:space="preserve">Нами </w:t>
      </w:r>
      <w:proofErr w:type="gramStart"/>
      <w:r w:rsidRPr="00E73FF0">
        <w:rPr>
          <w:rFonts w:eastAsia="Calibri"/>
          <w:sz w:val="22"/>
          <w:szCs w:val="22"/>
          <w:lang w:eastAsia="en-US"/>
        </w:rPr>
        <w:t>разработан</w:t>
      </w:r>
      <w:proofErr w:type="gramEnd"/>
      <w:r w:rsidRPr="00E73FF0">
        <w:rPr>
          <w:rFonts w:eastAsia="Calibri"/>
          <w:sz w:val="22"/>
          <w:szCs w:val="22"/>
          <w:lang w:eastAsia="en-US"/>
        </w:rPr>
        <w:t xml:space="preserve"> дозирующий аппарата для широкозахватной пневматической сеялки с центрально-дозирующей системой [2].</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Дозатор состоит из блока отдельных катушек на валу, разд</w:t>
      </w:r>
      <w:r w:rsidRPr="00E73FF0">
        <w:rPr>
          <w:rFonts w:eastAsia="Calibri"/>
          <w:sz w:val="22"/>
          <w:szCs w:val="22"/>
          <w:lang w:eastAsia="en-US"/>
        </w:rPr>
        <w:t>е</w:t>
      </w:r>
      <w:r w:rsidRPr="00E73FF0">
        <w:rPr>
          <w:rFonts w:eastAsia="Calibri"/>
          <w:sz w:val="22"/>
          <w:szCs w:val="22"/>
          <w:lang w:eastAsia="en-US"/>
        </w:rPr>
        <w:t>ленных герметичными перегородками, образуя секции. Секции д</w:t>
      </w:r>
      <w:r w:rsidRPr="00E73FF0">
        <w:rPr>
          <w:rFonts w:eastAsia="Calibri"/>
          <w:sz w:val="22"/>
          <w:szCs w:val="22"/>
          <w:lang w:eastAsia="en-US"/>
        </w:rPr>
        <w:t>о</w:t>
      </w:r>
      <w:r w:rsidRPr="00E73FF0">
        <w:rPr>
          <w:rFonts w:eastAsia="Calibri"/>
          <w:sz w:val="22"/>
          <w:szCs w:val="22"/>
          <w:lang w:eastAsia="en-US"/>
        </w:rPr>
        <w:t>затора соединены с пневмопроводами через клапан, выполненный в виде шнека.</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Усовершенствованный дозирующий аппарат обеспечивает совмещение технологических операций дозирования и распредел</w:t>
      </w:r>
      <w:r w:rsidRPr="00E73FF0">
        <w:rPr>
          <w:rFonts w:eastAsia="Calibri"/>
          <w:sz w:val="22"/>
          <w:szCs w:val="22"/>
          <w:lang w:eastAsia="en-US"/>
        </w:rPr>
        <w:t>е</w:t>
      </w:r>
      <w:r w:rsidRPr="00E73FF0">
        <w:rPr>
          <w:rFonts w:eastAsia="Calibri"/>
          <w:sz w:val="22"/>
          <w:szCs w:val="22"/>
          <w:lang w:eastAsia="en-US"/>
        </w:rPr>
        <w:t>ния семян между делительными головками распределителей семян в сеялках с центрально-дозирующей системой. Использование доз</w:t>
      </w:r>
      <w:r w:rsidRPr="00E73FF0">
        <w:rPr>
          <w:rFonts w:eastAsia="Calibri"/>
          <w:sz w:val="22"/>
          <w:szCs w:val="22"/>
          <w:lang w:eastAsia="en-US"/>
        </w:rPr>
        <w:t>а</w:t>
      </w:r>
      <w:r w:rsidRPr="00E73FF0">
        <w:rPr>
          <w:rFonts w:eastAsia="Calibri"/>
          <w:sz w:val="22"/>
          <w:szCs w:val="22"/>
          <w:lang w:eastAsia="en-US"/>
        </w:rPr>
        <w:lastRenderedPageBreak/>
        <w:t>тора для пневматической сеялки с центрально-дозирующей сист</w:t>
      </w:r>
      <w:r w:rsidRPr="00E73FF0">
        <w:rPr>
          <w:rFonts w:eastAsia="Calibri"/>
          <w:sz w:val="22"/>
          <w:szCs w:val="22"/>
          <w:lang w:eastAsia="en-US"/>
        </w:rPr>
        <w:t>е</w:t>
      </w:r>
      <w:r w:rsidRPr="00E73FF0">
        <w:rPr>
          <w:rFonts w:eastAsia="Calibri"/>
          <w:sz w:val="22"/>
          <w:szCs w:val="22"/>
          <w:lang w:eastAsia="en-US"/>
        </w:rPr>
        <w:t>мой упрощает конструкцию и металлоемкость сеялки за счет и</w:t>
      </w:r>
      <w:r w:rsidRPr="00E73FF0">
        <w:rPr>
          <w:rFonts w:eastAsia="Calibri"/>
          <w:sz w:val="22"/>
          <w:szCs w:val="22"/>
          <w:lang w:eastAsia="en-US"/>
        </w:rPr>
        <w:t>с</w:t>
      </w:r>
      <w:r w:rsidRPr="00E73FF0">
        <w:rPr>
          <w:rFonts w:eastAsia="Calibri"/>
          <w:sz w:val="22"/>
          <w:szCs w:val="22"/>
          <w:lang w:eastAsia="en-US"/>
        </w:rPr>
        <w:t xml:space="preserve">ключения первой ступени распределения семян. </w:t>
      </w:r>
    </w:p>
    <w:p w:rsidR="00E73FF0" w:rsidRPr="00E73FF0" w:rsidRDefault="00E73FF0" w:rsidP="00E73FF0">
      <w:pPr>
        <w:spacing w:after="200"/>
        <w:ind w:firstLine="426"/>
        <w:contextualSpacing/>
        <w:jc w:val="center"/>
        <w:rPr>
          <w:rFonts w:eastAsia="Calibri"/>
          <w:sz w:val="22"/>
          <w:szCs w:val="22"/>
          <w:lang w:eastAsia="en-US"/>
        </w:rPr>
      </w:pPr>
    </w:p>
    <w:p w:rsidR="00E73FF0" w:rsidRPr="00E73FF0" w:rsidRDefault="00E73FF0" w:rsidP="00E73FF0">
      <w:pPr>
        <w:spacing w:after="200"/>
        <w:ind w:firstLine="426"/>
        <w:contextualSpacing/>
        <w:jc w:val="center"/>
        <w:rPr>
          <w:rFonts w:eastAsia="Calibri"/>
          <w:sz w:val="22"/>
          <w:szCs w:val="22"/>
          <w:lang w:eastAsia="en-US"/>
        </w:rPr>
      </w:pPr>
      <w:r w:rsidRPr="00E73FF0">
        <w:rPr>
          <w:rFonts w:eastAsia="Calibri"/>
          <w:sz w:val="22"/>
          <w:szCs w:val="22"/>
          <w:lang w:eastAsia="en-US"/>
        </w:rPr>
        <w:t>Список литературы</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1. Методика экспериментальных исследований распределителя семян пневматической сеялки. Богус А.Э. В сборнике: Научное обеспечение агропромышленного комплекса Сборник статей по м</w:t>
      </w:r>
      <w:r w:rsidRPr="00E73FF0">
        <w:rPr>
          <w:rFonts w:eastAsia="Calibri"/>
          <w:sz w:val="22"/>
          <w:szCs w:val="22"/>
          <w:lang w:eastAsia="en-US"/>
        </w:rPr>
        <w:t>а</w:t>
      </w:r>
      <w:r w:rsidRPr="00E73FF0">
        <w:rPr>
          <w:rFonts w:eastAsia="Calibri"/>
          <w:sz w:val="22"/>
          <w:szCs w:val="22"/>
          <w:lang w:eastAsia="en-US"/>
        </w:rPr>
        <w:t>териалам IX Всероссийской конференции молодых ученых. Отве</w:t>
      </w:r>
      <w:r w:rsidRPr="00E73FF0">
        <w:rPr>
          <w:rFonts w:eastAsia="Calibri"/>
          <w:sz w:val="22"/>
          <w:szCs w:val="22"/>
          <w:lang w:eastAsia="en-US"/>
        </w:rPr>
        <w:t>т</w:t>
      </w:r>
      <w:r w:rsidRPr="00E73FF0">
        <w:rPr>
          <w:rFonts w:eastAsia="Calibri"/>
          <w:sz w:val="22"/>
          <w:szCs w:val="22"/>
          <w:lang w:eastAsia="en-US"/>
        </w:rPr>
        <w:t>ственный за выпуск: А.Г. Кощаев. 2016. С. 323-324.</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2. Пневматическая сеялка с центрально-дозирующей системой Трубилин Е.И., Хохлов А.В., Хохлов А.А., Богус А.Э., Куцеев В.В. патент С 12.08.2010.</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3. Эволюция конструкций пневматических сеялок с централ</w:t>
      </w:r>
      <w:r w:rsidRPr="00E73FF0">
        <w:rPr>
          <w:rFonts w:eastAsia="Calibri"/>
          <w:sz w:val="22"/>
          <w:szCs w:val="22"/>
          <w:lang w:eastAsia="en-US"/>
        </w:rPr>
        <w:t>ь</w:t>
      </w:r>
      <w:r w:rsidRPr="00E73FF0">
        <w:rPr>
          <w:rFonts w:eastAsia="Calibri"/>
          <w:sz w:val="22"/>
          <w:szCs w:val="22"/>
          <w:lang w:eastAsia="en-US"/>
        </w:rPr>
        <w:t>ным дозированием семян. Куцеев В.В., Богус А.Э. Сельский мех</w:t>
      </w:r>
      <w:r w:rsidRPr="00E73FF0">
        <w:rPr>
          <w:rFonts w:eastAsia="Calibri"/>
          <w:sz w:val="22"/>
          <w:szCs w:val="22"/>
          <w:lang w:eastAsia="en-US"/>
        </w:rPr>
        <w:t>а</w:t>
      </w:r>
      <w:r w:rsidRPr="00E73FF0">
        <w:rPr>
          <w:rFonts w:eastAsia="Calibri"/>
          <w:sz w:val="22"/>
          <w:szCs w:val="22"/>
          <w:lang w:eastAsia="en-US"/>
        </w:rPr>
        <w:t>низатор. 2015. № 2. С. 6-9.</w:t>
      </w:r>
    </w:p>
    <w:p w:rsidR="00E73FF0" w:rsidRDefault="00E73FF0" w:rsidP="00B43BBC">
      <w:pPr>
        <w:pStyle w:val="31"/>
        <w:rPr>
          <w:sz w:val="22"/>
          <w:szCs w:val="22"/>
        </w:rPr>
      </w:pPr>
    </w:p>
    <w:p w:rsidR="00483E1F" w:rsidRDefault="00483E1F" w:rsidP="00B43BBC">
      <w:pPr>
        <w:pStyle w:val="31"/>
        <w:rPr>
          <w:sz w:val="22"/>
          <w:szCs w:val="22"/>
        </w:rPr>
      </w:pPr>
    </w:p>
    <w:p w:rsidR="00662BE8" w:rsidRPr="00483E1F" w:rsidRDefault="00662BE8" w:rsidP="00B43BBC">
      <w:pPr>
        <w:pStyle w:val="31"/>
        <w:rPr>
          <w:sz w:val="22"/>
          <w:szCs w:val="22"/>
        </w:rPr>
      </w:pPr>
    </w:p>
    <w:p w:rsidR="00E73FF0" w:rsidRPr="00483E1F" w:rsidRDefault="00E73FF0" w:rsidP="00E73FF0">
      <w:pPr>
        <w:shd w:val="clear" w:color="auto" w:fill="FFFFFF"/>
        <w:autoSpaceDE w:val="0"/>
        <w:autoSpaceDN w:val="0"/>
        <w:adjustRightInd w:val="0"/>
        <w:spacing w:after="200"/>
        <w:contextualSpacing/>
        <w:rPr>
          <w:bCs/>
          <w:color w:val="000000"/>
          <w:sz w:val="22"/>
          <w:szCs w:val="22"/>
        </w:rPr>
      </w:pPr>
      <w:r w:rsidRPr="00483E1F">
        <w:rPr>
          <w:sz w:val="22"/>
          <w:szCs w:val="22"/>
        </w:rPr>
        <w:t xml:space="preserve">УДК </w:t>
      </w:r>
      <w:r w:rsidRPr="00483E1F">
        <w:rPr>
          <w:rFonts w:eastAsia="Calibri"/>
          <w:sz w:val="22"/>
          <w:szCs w:val="22"/>
        </w:rPr>
        <w:t>631.361.022.633.018</w:t>
      </w:r>
    </w:p>
    <w:p w:rsidR="00E73FF0" w:rsidRPr="00E73FF0" w:rsidRDefault="00E73FF0" w:rsidP="00E73FF0">
      <w:pPr>
        <w:jc w:val="both"/>
        <w:rPr>
          <w:b/>
          <w:sz w:val="24"/>
          <w:szCs w:val="24"/>
        </w:rPr>
      </w:pPr>
    </w:p>
    <w:p w:rsidR="00E73FF0" w:rsidRPr="00E73FF0" w:rsidRDefault="00E73FF0" w:rsidP="00483E1F">
      <w:pPr>
        <w:jc w:val="center"/>
        <w:rPr>
          <w:b/>
          <w:sz w:val="24"/>
          <w:szCs w:val="24"/>
        </w:rPr>
      </w:pPr>
      <w:r w:rsidRPr="00E73FF0">
        <w:rPr>
          <w:b/>
          <w:sz w:val="24"/>
          <w:szCs w:val="24"/>
        </w:rPr>
        <w:t>Совершенствование предпосевной обработки</w:t>
      </w:r>
    </w:p>
    <w:p w:rsidR="00E73FF0" w:rsidRPr="00E73FF0" w:rsidRDefault="00E73FF0" w:rsidP="00483E1F">
      <w:pPr>
        <w:jc w:val="center"/>
        <w:rPr>
          <w:b/>
          <w:sz w:val="24"/>
          <w:szCs w:val="24"/>
        </w:rPr>
      </w:pPr>
      <w:r w:rsidRPr="00E73FF0">
        <w:rPr>
          <w:b/>
          <w:sz w:val="24"/>
          <w:szCs w:val="24"/>
        </w:rPr>
        <w:t>почвы под разбросной посев риса</w:t>
      </w:r>
    </w:p>
    <w:p w:rsidR="00E73FF0" w:rsidRPr="00483E1F" w:rsidRDefault="00E73FF0" w:rsidP="00483E1F">
      <w:pPr>
        <w:jc w:val="center"/>
        <w:rPr>
          <w:b/>
          <w:sz w:val="24"/>
          <w:szCs w:val="24"/>
          <w:lang w:val="en-US"/>
        </w:rPr>
      </w:pPr>
      <w:r w:rsidRPr="00483E1F">
        <w:rPr>
          <w:b/>
          <w:sz w:val="24"/>
          <w:szCs w:val="24"/>
          <w:lang w:val="en-US"/>
        </w:rPr>
        <w:t>Improvement of preplant soil under</w:t>
      </w:r>
    </w:p>
    <w:p w:rsidR="00E73FF0" w:rsidRPr="00483E1F" w:rsidRDefault="00E73FF0" w:rsidP="00483E1F">
      <w:pPr>
        <w:jc w:val="center"/>
        <w:rPr>
          <w:b/>
          <w:sz w:val="24"/>
          <w:szCs w:val="24"/>
          <w:lang w:val="en-US"/>
        </w:rPr>
      </w:pPr>
      <w:r w:rsidRPr="00483E1F">
        <w:rPr>
          <w:b/>
          <w:sz w:val="24"/>
          <w:szCs w:val="24"/>
          <w:lang w:val="en-US"/>
        </w:rPr>
        <w:t>razbrosnoj sowing rice</w:t>
      </w:r>
    </w:p>
    <w:p w:rsidR="00E73FF0" w:rsidRPr="00E73FF0" w:rsidRDefault="00E73FF0" w:rsidP="00E73FF0">
      <w:pPr>
        <w:jc w:val="right"/>
        <w:rPr>
          <w:sz w:val="22"/>
          <w:szCs w:val="20"/>
          <w:lang w:val="en-US"/>
        </w:rPr>
      </w:pPr>
    </w:p>
    <w:p w:rsidR="00E73FF0" w:rsidRPr="00497C98" w:rsidRDefault="00E73FF0" w:rsidP="00E73FF0">
      <w:pPr>
        <w:jc w:val="right"/>
        <w:rPr>
          <w:sz w:val="22"/>
          <w:szCs w:val="22"/>
        </w:rPr>
      </w:pPr>
      <w:r w:rsidRPr="00483E1F">
        <w:rPr>
          <w:sz w:val="22"/>
          <w:szCs w:val="22"/>
        </w:rPr>
        <w:t>Дуков</w:t>
      </w:r>
      <w:r w:rsidRPr="00497C98">
        <w:rPr>
          <w:sz w:val="22"/>
          <w:szCs w:val="22"/>
        </w:rPr>
        <w:t xml:space="preserve"> </w:t>
      </w:r>
      <w:r w:rsidRPr="00483E1F">
        <w:rPr>
          <w:sz w:val="22"/>
          <w:szCs w:val="22"/>
        </w:rPr>
        <w:t>С</w:t>
      </w:r>
      <w:r w:rsidRPr="00497C98">
        <w:rPr>
          <w:sz w:val="22"/>
          <w:szCs w:val="22"/>
        </w:rPr>
        <w:t xml:space="preserve">. </w:t>
      </w:r>
      <w:r w:rsidRPr="00483E1F">
        <w:rPr>
          <w:sz w:val="22"/>
          <w:szCs w:val="22"/>
        </w:rPr>
        <w:t>С</w:t>
      </w:r>
      <w:r w:rsidRPr="00497C98">
        <w:rPr>
          <w:sz w:val="22"/>
          <w:szCs w:val="22"/>
        </w:rPr>
        <w:t>.,</w:t>
      </w:r>
    </w:p>
    <w:p w:rsidR="00E73FF0" w:rsidRPr="00483E1F" w:rsidRDefault="00E73FF0" w:rsidP="00E73FF0">
      <w:pPr>
        <w:jc w:val="right"/>
        <w:rPr>
          <w:sz w:val="22"/>
          <w:szCs w:val="22"/>
        </w:rPr>
      </w:pPr>
      <w:r w:rsidRPr="00483E1F">
        <w:rPr>
          <w:sz w:val="22"/>
          <w:szCs w:val="22"/>
        </w:rPr>
        <w:t>студент магистратуры факультета заочного обучения</w:t>
      </w:r>
    </w:p>
    <w:p w:rsidR="00E73FF0" w:rsidRPr="00483E1F" w:rsidRDefault="00E73FF0" w:rsidP="00E73FF0">
      <w:pPr>
        <w:jc w:val="right"/>
        <w:rPr>
          <w:sz w:val="22"/>
          <w:szCs w:val="22"/>
        </w:rPr>
      </w:pPr>
      <w:r w:rsidRPr="00483E1F">
        <w:rPr>
          <w:sz w:val="22"/>
          <w:szCs w:val="22"/>
        </w:rPr>
        <w:t>Чеботарёв М. И.,</w:t>
      </w:r>
    </w:p>
    <w:p w:rsidR="00E73FF0" w:rsidRPr="00483E1F" w:rsidRDefault="00E73FF0" w:rsidP="00E73FF0">
      <w:pPr>
        <w:jc w:val="right"/>
        <w:rPr>
          <w:sz w:val="22"/>
          <w:szCs w:val="22"/>
        </w:rPr>
      </w:pPr>
      <w:r w:rsidRPr="00483E1F">
        <w:rPr>
          <w:sz w:val="22"/>
          <w:szCs w:val="22"/>
        </w:rPr>
        <w:t>д-</w:t>
      </w:r>
      <w:r w:rsidR="00483E1F">
        <w:rPr>
          <w:sz w:val="22"/>
          <w:szCs w:val="22"/>
        </w:rPr>
        <w:t>р техн. наук, профессор кафедры</w:t>
      </w:r>
    </w:p>
    <w:p w:rsidR="00E73FF0" w:rsidRDefault="00E73FF0" w:rsidP="00E73FF0">
      <w:pPr>
        <w:jc w:val="right"/>
        <w:rPr>
          <w:sz w:val="22"/>
          <w:szCs w:val="22"/>
        </w:rPr>
      </w:pPr>
      <w:r w:rsidRPr="00483E1F">
        <w:rPr>
          <w:sz w:val="22"/>
          <w:szCs w:val="22"/>
        </w:rPr>
        <w:t>ремонта машин и материаловедения</w:t>
      </w:r>
    </w:p>
    <w:p w:rsidR="00483E1F" w:rsidRDefault="00483E1F" w:rsidP="00483E1F">
      <w:pPr>
        <w:widowControl w:val="0"/>
        <w:autoSpaceDE w:val="0"/>
        <w:autoSpaceDN w:val="0"/>
        <w:adjustRightInd w:val="0"/>
        <w:jc w:val="right"/>
        <w:rPr>
          <w:sz w:val="22"/>
          <w:szCs w:val="22"/>
        </w:rPr>
      </w:pPr>
      <w:r w:rsidRPr="00E73FF0">
        <w:rPr>
          <w:sz w:val="22"/>
          <w:szCs w:val="22"/>
        </w:rPr>
        <w:t>Кубанский государственный аграрный</w:t>
      </w:r>
    </w:p>
    <w:p w:rsidR="00483E1F" w:rsidRPr="00E73FF0" w:rsidRDefault="00483E1F" w:rsidP="00483E1F">
      <w:pPr>
        <w:widowControl w:val="0"/>
        <w:autoSpaceDE w:val="0"/>
        <w:autoSpaceDN w:val="0"/>
        <w:adjustRightInd w:val="0"/>
        <w:jc w:val="right"/>
        <w:rPr>
          <w:sz w:val="22"/>
          <w:szCs w:val="22"/>
        </w:rPr>
      </w:pPr>
      <w:r w:rsidRPr="00E73FF0">
        <w:rPr>
          <w:sz w:val="22"/>
          <w:szCs w:val="22"/>
        </w:rPr>
        <w:t xml:space="preserve"> </w:t>
      </w:r>
      <w:r>
        <w:rPr>
          <w:sz w:val="22"/>
          <w:szCs w:val="22"/>
        </w:rPr>
        <w:t>у</w:t>
      </w:r>
      <w:r w:rsidRPr="00E73FF0">
        <w:rPr>
          <w:sz w:val="22"/>
          <w:szCs w:val="22"/>
        </w:rPr>
        <w:t>ниверситет</w:t>
      </w:r>
      <w:r>
        <w:rPr>
          <w:sz w:val="22"/>
          <w:szCs w:val="22"/>
        </w:rPr>
        <w:t xml:space="preserve"> имени И. Т.Трубилина</w:t>
      </w:r>
    </w:p>
    <w:p w:rsidR="00E73FF0" w:rsidRPr="00E73FF0" w:rsidRDefault="00E73FF0" w:rsidP="00483E1F">
      <w:pPr>
        <w:rPr>
          <w:sz w:val="20"/>
          <w:szCs w:val="20"/>
        </w:rPr>
      </w:pPr>
    </w:p>
    <w:p w:rsidR="00E73FF0" w:rsidRPr="00483E1F" w:rsidRDefault="00E73FF0" w:rsidP="00483E1F">
      <w:pPr>
        <w:ind w:firstLine="425"/>
        <w:jc w:val="both"/>
        <w:rPr>
          <w:sz w:val="22"/>
          <w:szCs w:val="22"/>
          <w:lang w:val="en-US"/>
        </w:rPr>
      </w:pPr>
      <w:r w:rsidRPr="00483E1F">
        <w:rPr>
          <w:sz w:val="22"/>
          <w:szCs w:val="22"/>
        </w:rPr>
        <w:t>АННОТАЦИЯ:</w:t>
      </w:r>
      <w:r w:rsidRPr="00483E1F">
        <w:rPr>
          <w:b/>
          <w:sz w:val="22"/>
          <w:szCs w:val="22"/>
        </w:rPr>
        <w:t xml:space="preserve"> </w:t>
      </w:r>
      <w:r w:rsidRPr="00483E1F">
        <w:rPr>
          <w:sz w:val="22"/>
          <w:szCs w:val="22"/>
        </w:rPr>
        <w:t>В статье дана оценка существующей технол</w:t>
      </w:r>
      <w:r w:rsidRPr="00483E1F">
        <w:rPr>
          <w:sz w:val="22"/>
          <w:szCs w:val="22"/>
        </w:rPr>
        <w:t>о</w:t>
      </w:r>
      <w:r w:rsidRPr="00483E1F">
        <w:rPr>
          <w:sz w:val="22"/>
          <w:szCs w:val="22"/>
        </w:rPr>
        <w:t>гии предпосевной обработки почвы под посев риса сеялками с ди</w:t>
      </w:r>
      <w:r w:rsidRPr="00483E1F">
        <w:rPr>
          <w:sz w:val="22"/>
          <w:szCs w:val="22"/>
        </w:rPr>
        <w:t>с</w:t>
      </w:r>
      <w:r w:rsidRPr="00483E1F">
        <w:rPr>
          <w:sz w:val="22"/>
          <w:szCs w:val="22"/>
        </w:rPr>
        <w:t xml:space="preserve">ковыми сошниками. Установлено, что в сложные по погодным </w:t>
      </w:r>
      <w:r w:rsidRPr="00483E1F">
        <w:rPr>
          <w:sz w:val="22"/>
          <w:szCs w:val="22"/>
        </w:rPr>
        <w:lastRenderedPageBreak/>
        <w:t>условиям годы, для соблюдения агротехнических сроков наиболее целесообразен разбросной посев. Предложена</w:t>
      </w:r>
      <w:r w:rsidRPr="00483E1F">
        <w:rPr>
          <w:sz w:val="22"/>
          <w:szCs w:val="22"/>
          <w:lang w:val="en-US"/>
        </w:rPr>
        <w:t xml:space="preserve"> </w:t>
      </w:r>
      <w:r w:rsidRPr="00483E1F">
        <w:rPr>
          <w:sz w:val="22"/>
          <w:szCs w:val="22"/>
        </w:rPr>
        <w:t>технология</w:t>
      </w:r>
      <w:r w:rsidRPr="00483E1F">
        <w:rPr>
          <w:sz w:val="22"/>
          <w:szCs w:val="22"/>
          <w:lang w:val="en-US"/>
        </w:rPr>
        <w:t xml:space="preserve"> </w:t>
      </w:r>
      <w:r w:rsidRPr="00483E1F">
        <w:rPr>
          <w:sz w:val="22"/>
          <w:szCs w:val="22"/>
        </w:rPr>
        <w:t>предп</w:t>
      </w:r>
      <w:r w:rsidRPr="00483E1F">
        <w:rPr>
          <w:sz w:val="22"/>
          <w:szCs w:val="22"/>
        </w:rPr>
        <w:t>о</w:t>
      </w:r>
      <w:r w:rsidRPr="00483E1F">
        <w:rPr>
          <w:sz w:val="22"/>
          <w:szCs w:val="22"/>
        </w:rPr>
        <w:t>севной</w:t>
      </w:r>
      <w:r w:rsidRPr="00483E1F">
        <w:rPr>
          <w:sz w:val="22"/>
          <w:szCs w:val="22"/>
          <w:lang w:val="en-US"/>
        </w:rPr>
        <w:t xml:space="preserve"> </w:t>
      </w:r>
      <w:r w:rsidRPr="00483E1F">
        <w:rPr>
          <w:sz w:val="22"/>
          <w:szCs w:val="22"/>
        </w:rPr>
        <w:t>обработки</w:t>
      </w:r>
      <w:r w:rsidRPr="00483E1F">
        <w:rPr>
          <w:sz w:val="22"/>
          <w:szCs w:val="22"/>
          <w:lang w:val="en-US"/>
        </w:rPr>
        <w:t xml:space="preserve"> </w:t>
      </w:r>
      <w:r w:rsidRPr="00483E1F">
        <w:rPr>
          <w:sz w:val="22"/>
          <w:szCs w:val="22"/>
        </w:rPr>
        <w:t>почвы</w:t>
      </w:r>
      <w:r w:rsidRPr="00483E1F">
        <w:rPr>
          <w:sz w:val="22"/>
          <w:szCs w:val="22"/>
          <w:lang w:val="en-US"/>
        </w:rPr>
        <w:t xml:space="preserve"> </w:t>
      </w:r>
      <w:r w:rsidRPr="00483E1F">
        <w:rPr>
          <w:sz w:val="22"/>
          <w:szCs w:val="22"/>
        </w:rPr>
        <w:t>под</w:t>
      </w:r>
      <w:r w:rsidRPr="00483E1F">
        <w:rPr>
          <w:sz w:val="22"/>
          <w:szCs w:val="22"/>
          <w:lang w:val="en-US"/>
        </w:rPr>
        <w:t xml:space="preserve"> </w:t>
      </w:r>
      <w:r w:rsidRPr="00483E1F">
        <w:rPr>
          <w:sz w:val="22"/>
          <w:szCs w:val="22"/>
        </w:rPr>
        <w:t>этот</w:t>
      </w:r>
      <w:r w:rsidRPr="00483E1F">
        <w:rPr>
          <w:sz w:val="22"/>
          <w:szCs w:val="22"/>
          <w:lang w:val="en-US"/>
        </w:rPr>
        <w:t xml:space="preserve"> </w:t>
      </w:r>
      <w:r w:rsidRPr="00483E1F">
        <w:rPr>
          <w:sz w:val="22"/>
          <w:szCs w:val="22"/>
        </w:rPr>
        <w:t>посев</w:t>
      </w:r>
      <w:r w:rsidRPr="00483E1F">
        <w:rPr>
          <w:sz w:val="22"/>
          <w:szCs w:val="22"/>
          <w:lang w:val="en-US"/>
        </w:rPr>
        <w:t>.</w:t>
      </w:r>
    </w:p>
    <w:p w:rsidR="00E73FF0" w:rsidRPr="00483E1F" w:rsidRDefault="00E73FF0" w:rsidP="00483E1F">
      <w:pPr>
        <w:ind w:firstLine="425"/>
        <w:jc w:val="both"/>
        <w:rPr>
          <w:sz w:val="22"/>
          <w:szCs w:val="22"/>
          <w:lang w:val="en-US"/>
        </w:rPr>
      </w:pPr>
      <w:r w:rsidRPr="00483E1F">
        <w:rPr>
          <w:sz w:val="22"/>
          <w:szCs w:val="22"/>
          <w:lang w:val="en-US"/>
        </w:rPr>
        <w:t>ABSTRACT: In the article the estimation of existing technology preseeding processing ground under the seeding of rice planters with disc openers. Found that complicated weather conditions years, to meet the most desirable dates razbrosnoj crop sowing. The technology of pr</w:t>
      </w:r>
      <w:r w:rsidRPr="00483E1F">
        <w:rPr>
          <w:sz w:val="22"/>
          <w:szCs w:val="22"/>
          <w:lang w:val="en-US"/>
        </w:rPr>
        <w:t>e</w:t>
      </w:r>
      <w:r w:rsidRPr="00483E1F">
        <w:rPr>
          <w:sz w:val="22"/>
          <w:szCs w:val="22"/>
          <w:lang w:val="en-US"/>
        </w:rPr>
        <w:t>seeding processing ground under this seeding.</w:t>
      </w:r>
    </w:p>
    <w:p w:rsidR="00E73FF0" w:rsidRPr="00483E1F" w:rsidRDefault="00E73FF0" w:rsidP="00483E1F">
      <w:pPr>
        <w:ind w:firstLine="425"/>
        <w:jc w:val="both"/>
        <w:rPr>
          <w:sz w:val="22"/>
          <w:szCs w:val="22"/>
          <w:lang w:val="en-US"/>
        </w:rPr>
      </w:pPr>
      <w:r w:rsidRPr="00483E1F">
        <w:rPr>
          <w:sz w:val="22"/>
          <w:szCs w:val="22"/>
        </w:rPr>
        <w:t>КЛЮЧЕВЫЕ</w:t>
      </w:r>
      <w:r w:rsidRPr="00483E1F">
        <w:rPr>
          <w:sz w:val="22"/>
          <w:szCs w:val="22"/>
          <w:lang w:val="en-US"/>
        </w:rPr>
        <w:t xml:space="preserve"> </w:t>
      </w:r>
      <w:r w:rsidRPr="00483E1F">
        <w:rPr>
          <w:sz w:val="22"/>
          <w:szCs w:val="22"/>
        </w:rPr>
        <w:t>СЛОВА</w:t>
      </w:r>
      <w:r w:rsidRPr="00483E1F">
        <w:rPr>
          <w:sz w:val="22"/>
          <w:szCs w:val="22"/>
          <w:lang w:val="en-US"/>
        </w:rPr>
        <w:t xml:space="preserve">: </w:t>
      </w:r>
      <w:r w:rsidRPr="00483E1F">
        <w:rPr>
          <w:sz w:val="22"/>
          <w:szCs w:val="22"/>
        </w:rPr>
        <w:t>рис</w:t>
      </w:r>
      <w:r w:rsidRPr="00483E1F">
        <w:rPr>
          <w:sz w:val="22"/>
          <w:szCs w:val="22"/>
          <w:lang w:val="en-US"/>
        </w:rPr>
        <w:t xml:space="preserve">, </w:t>
      </w:r>
      <w:r w:rsidRPr="00483E1F">
        <w:rPr>
          <w:sz w:val="22"/>
          <w:szCs w:val="22"/>
        </w:rPr>
        <w:t>семена</w:t>
      </w:r>
      <w:r w:rsidRPr="00483E1F">
        <w:rPr>
          <w:sz w:val="22"/>
          <w:szCs w:val="22"/>
          <w:lang w:val="en-US"/>
        </w:rPr>
        <w:t xml:space="preserve">, </w:t>
      </w:r>
      <w:r w:rsidRPr="00483E1F">
        <w:rPr>
          <w:sz w:val="22"/>
          <w:szCs w:val="22"/>
        </w:rPr>
        <w:t>технология</w:t>
      </w:r>
      <w:r w:rsidRPr="00483E1F">
        <w:rPr>
          <w:sz w:val="22"/>
          <w:szCs w:val="22"/>
          <w:lang w:val="en-US"/>
        </w:rPr>
        <w:t xml:space="preserve">, </w:t>
      </w:r>
      <w:r w:rsidRPr="00483E1F">
        <w:rPr>
          <w:sz w:val="22"/>
          <w:szCs w:val="22"/>
        </w:rPr>
        <w:t>обработка</w:t>
      </w:r>
      <w:r w:rsidRPr="00483E1F">
        <w:rPr>
          <w:sz w:val="22"/>
          <w:szCs w:val="22"/>
          <w:lang w:val="en-US"/>
        </w:rPr>
        <w:t xml:space="preserve"> </w:t>
      </w:r>
      <w:r w:rsidRPr="00483E1F">
        <w:rPr>
          <w:sz w:val="22"/>
          <w:szCs w:val="22"/>
        </w:rPr>
        <w:t>по</w:t>
      </w:r>
      <w:r w:rsidRPr="00483E1F">
        <w:rPr>
          <w:sz w:val="22"/>
          <w:szCs w:val="22"/>
        </w:rPr>
        <w:t>ч</w:t>
      </w:r>
      <w:r w:rsidRPr="00483E1F">
        <w:rPr>
          <w:sz w:val="22"/>
          <w:szCs w:val="22"/>
        </w:rPr>
        <w:t>вы</w:t>
      </w:r>
      <w:r w:rsidRPr="00483E1F">
        <w:rPr>
          <w:sz w:val="22"/>
          <w:szCs w:val="22"/>
          <w:lang w:val="en-US"/>
        </w:rPr>
        <w:t xml:space="preserve">, </w:t>
      </w:r>
      <w:r w:rsidRPr="00483E1F">
        <w:rPr>
          <w:sz w:val="22"/>
          <w:szCs w:val="22"/>
        </w:rPr>
        <w:t>посев</w:t>
      </w:r>
      <w:r w:rsidRPr="00483E1F">
        <w:rPr>
          <w:sz w:val="22"/>
          <w:szCs w:val="22"/>
          <w:lang w:val="en-US"/>
        </w:rPr>
        <w:t xml:space="preserve">, </w:t>
      </w:r>
      <w:r w:rsidRPr="00483E1F">
        <w:rPr>
          <w:sz w:val="22"/>
          <w:szCs w:val="22"/>
        </w:rPr>
        <w:t>урожайность</w:t>
      </w:r>
      <w:r w:rsidRPr="00483E1F">
        <w:rPr>
          <w:sz w:val="22"/>
          <w:szCs w:val="22"/>
          <w:lang w:val="en-US"/>
        </w:rPr>
        <w:t xml:space="preserve">, </w:t>
      </w:r>
      <w:r w:rsidRPr="00483E1F">
        <w:rPr>
          <w:sz w:val="22"/>
          <w:szCs w:val="22"/>
        </w:rPr>
        <w:t>затраты</w:t>
      </w:r>
      <w:r w:rsidRPr="00483E1F">
        <w:rPr>
          <w:sz w:val="22"/>
          <w:szCs w:val="22"/>
          <w:lang w:val="en-US"/>
        </w:rPr>
        <w:t>.</w:t>
      </w:r>
    </w:p>
    <w:p w:rsidR="00E73FF0" w:rsidRPr="00483E1F" w:rsidRDefault="00E73FF0" w:rsidP="00483E1F">
      <w:pPr>
        <w:ind w:firstLine="426"/>
        <w:jc w:val="both"/>
        <w:rPr>
          <w:sz w:val="22"/>
          <w:szCs w:val="22"/>
          <w:lang w:val="en-US"/>
        </w:rPr>
      </w:pPr>
      <w:r w:rsidRPr="00483E1F">
        <w:rPr>
          <w:sz w:val="22"/>
          <w:szCs w:val="22"/>
          <w:lang w:val="en-US"/>
        </w:rPr>
        <w:t>KEYWORDS: rice, seeds, technology, tillage, seeding, productiv</w:t>
      </w:r>
      <w:r w:rsidRPr="00483E1F">
        <w:rPr>
          <w:sz w:val="22"/>
          <w:szCs w:val="22"/>
          <w:lang w:val="en-US"/>
        </w:rPr>
        <w:t>i</w:t>
      </w:r>
      <w:r w:rsidRPr="00483E1F">
        <w:rPr>
          <w:sz w:val="22"/>
          <w:szCs w:val="22"/>
          <w:lang w:val="en-US"/>
        </w:rPr>
        <w:t>ty, costs.</w:t>
      </w:r>
    </w:p>
    <w:p w:rsidR="00E73FF0" w:rsidRPr="00483E1F" w:rsidRDefault="00E73FF0" w:rsidP="00483E1F">
      <w:pPr>
        <w:ind w:firstLine="425"/>
        <w:jc w:val="both"/>
        <w:rPr>
          <w:sz w:val="22"/>
          <w:szCs w:val="22"/>
          <w:lang w:val="en-US"/>
        </w:rPr>
      </w:pPr>
    </w:p>
    <w:p w:rsidR="00E73FF0" w:rsidRPr="00483E1F" w:rsidRDefault="00E73FF0" w:rsidP="00483E1F">
      <w:pPr>
        <w:ind w:firstLine="425"/>
        <w:jc w:val="both"/>
        <w:rPr>
          <w:sz w:val="22"/>
          <w:szCs w:val="22"/>
        </w:rPr>
      </w:pPr>
      <w:r w:rsidRPr="00483E1F">
        <w:rPr>
          <w:sz w:val="22"/>
          <w:szCs w:val="22"/>
        </w:rPr>
        <w:t>Разбросной сев риса в настоящее время практически вытеснил рядовой с заделкой семян, в основном из-за невозможности кач</w:t>
      </w:r>
      <w:r w:rsidRPr="00483E1F">
        <w:rPr>
          <w:sz w:val="22"/>
          <w:szCs w:val="22"/>
        </w:rPr>
        <w:t>е</w:t>
      </w:r>
      <w:r w:rsidRPr="00483E1F">
        <w:rPr>
          <w:sz w:val="22"/>
          <w:szCs w:val="22"/>
        </w:rPr>
        <w:t>ственно подготовить почву к посеву сеялками с дисковыми сошн</w:t>
      </w:r>
      <w:r w:rsidRPr="00483E1F">
        <w:rPr>
          <w:sz w:val="22"/>
          <w:szCs w:val="22"/>
        </w:rPr>
        <w:t>и</w:t>
      </w:r>
      <w:r w:rsidRPr="00483E1F">
        <w:rPr>
          <w:sz w:val="22"/>
          <w:szCs w:val="22"/>
        </w:rPr>
        <w:t>ками в агротехнические сроки [1].</w:t>
      </w:r>
    </w:p>
    <w:p w:rsidR="00E73FF0" w:rsidRPr="00483E1F" w:rsidRDefault="00E73FF0" w:rsidP="00483E1F">
      <w:pPr>
        <w:ind w:firstLine="425"/>
        <w:jc w:val="both"/>
        <w:rPr>
          <w:sz w:val="22"/>
          <w:szCs w:val="22"/>
        </w:rPr>
      </w:pPr>
      <w:r w:rsidRPr="00483E1F">
        <w:rPr>
          <w:sz w:val="22"/>
          <w:szCs w:val="22"/>
        </w:rPr>
        <w:t>Посев риса в Краснодарском крае проводится в сравнительно короткий агротехнический срок – с 25–30 апреля по 15–20 мая. Сев в более ранние сроки не рекомендуется, так как правило, почва на глубине заделки семян не  успевает прогреться до биологически требуемой для всходов риса температуры +13,5 °С, а после 15–20 мая возникает опасность невызревания риса или смещения периода его уборки на поздний осенний период, характеризующийся бол</w:t>
      </w:r>
      <w:r w:rsidRPr="00483E1F">
        <w:rPr>
          <w:sz w:val="22"/>
          <w:szCs w:val="22"/>
        </w:rPr>
        <w:t>ь</w:t>
      </w:r>
      <w:r w:rsidRPr="00483E1F">
        <w:rPr>
          <w:sz w:val="22"/>
          <w:szCs w:val="22"/>
        </w:rPr>
        <w:t>шим количеством осадков, что в обоих случаях ведет к существе</w:t>
      </w:r>
      <w:r w:rsidRPr="00483E1F">
        <w:rPr>
          <w:sz w:val="22"/>
          <w:szCs w:val="22"/>
        </w:rPr>
        <w:t>н</w:t>
      </w:r>
      <w:r w:rsidRPr="00483E1F">
        <w:rPr>
          <w:sz w:val="22"/>
          <w:szCs w:val="22"/>
        </w:rPr>
        <w:t>ному снижению урожайности риса и экономическим потерям [2].</w:t>
      </w:r>
    </w:p>
    <w:p w:rsidR="00E73FF0" w:rsidRPr="00483E1F" w:rsidRDefault="00E73FF0" w:rsidP="00483E1F">
      <w:pPr>
        <w:ind w:firstLine="425"/>
        <w:jc w:val="both"/>
        <w:rPr>
          <w:sz w:val="22"/>
          <w:szCs w:val="22"/>
        </w:rPr>
      </w:pPr>
      <w:r w:rsidRPr="00483E1F">
        <w:rPr>
          <w:sz w:val="22"/>
          <w:szCs w:val="22"/>
        </w:rPr>
        <w:t>Такие случаи, как показывает практика, возникают довольно часто по погодным условиям – годы, как например текущий 2018 год. В этих условиях используется упрощенная технология предп</w:t>
      </w:r>
      <w:r w:rsidRPr="00483E1F">
        <w:rPr>
          <w:sz w:val="22"/>
          <w:szCs w:val="22"/>
        </w:rPr>
        <w:t>о</w:t>
      </w:r>
      <w:r w:rsidRPr="00483E1F">
        <w:rPr>
          <w:sz w:val="22"/>
          <w:szCs w:val="22"/>
        </w:rPr>
        <w:t>севной обработки почвы без обеспечения требуемого качества кр</w:t>
      </w:r>
      <w:r w:rsidRPr="00483E1F">
        <w:rPr>
          <w:sz w:val="22"/>
          <w:szCs w:val="22"/>
        </w:rPr>
        <w:t>о</w:t>
      </w:r>
      <w:r w:rsidRPr="00483E1F">
        <w:rPr>
          <w:sz w:val="22"/>
          <w:szCs w:val="22"/>
        </w:rPr>
        <w:t>шения поверхностного слоя, которая не позволяет заделать семена риса сеялками с дисковыми сошниками на глубину 5–20 мм. В к</w:t>
      </w:r>
      <w:r w:rsidRPr="00483E1F">
        <w:rPr>
          <w:sz w:val="22"/>
          <w:szCs w:val="22"/>
        </w:rPr>
        <w:t>а</w:t>
      </w:r>
      <w:r w:rsidRPr="00483E1F">
        <w:rPr>
          <w:sz w:val="22"/>
          <w:szCs w:val="22"/>
        </w:rPr>
        <w:t>честве единственного способа посева при этом остается разбросной посев [1].</w:t>
      </w:r>
    </w:p>
    <w:p w:rsidR="00E73FF0" w:rsidRPr="00483E1F" w:rsidRDefault="00E73FF0" w:rsidP="00483E1F">
      <w:pPr>
        <w:ind w:firstLine="425"/>
        <w:jc w:val="both"/>
        <w:rPr>
          <w:sz w:val="22"/>
          <w:szCs w:val="22"/>
        </w:rPr>
      </w:pPr>
      <w:r w:rsidRPr="00483E1F">
        <w:rPr>
          <w:sz w:val="22"/>
          <w:szCs w:val="22"/>
        </w:rPr>
        <w:t>Использование разбросного способа посева риса не обеспеч</w:t>
      </w:r>
      <w:r w:rsidRPr="00483E1F">
        <w:rPr>
          <w:sz w:val="22"/>
          <w:szCs w:val="22"/>
        </w:rPr>
        <w:t>и</w:t>
      </w:r>
      <w:r w:rsidRPr="00483E1F">
        <w:rPr>
          <w:sz w:val="22"/>
          <w:szCs w:val="22"/>
        </w:rPr>
        <w:t>вает нужной заделки семян, при посеве они попадают между ко</w:t>
      </w:r>
      <w:r w:rsidRPr="00483E1F">
        <w:rPr>
          <w:sz w:val="22"/>
          <w:szCs w:val="22"/>
        </w:rPr>
        <w:t>м</w:t>
      </w:r>
      <w:r w:rsidRPr="00483E1F">
        <w:rPr>
          <w:sz w:val="22"/>
          <w:szCs w:val="22"/>
        </w:rPr>
        <w:t xml:space="preserve">ками почвы, которая при разрушении в период залива чеков водой покрывает семена. Однако при этом толщина покрытия семян слоем </w:t>
      </w:r>
      <w:r w:rsidRPr="00483E1F">
        <w:rPr>
          <w:sz w:val="22"/>
          <w:szCs w:val="22"/>
        </w:rPr>
        <w:lastRenderedPageBreak/>
        <w:t>почвы зависит от фракционного состава комков, который в бол</w:t>
      </w:r>
      <w:r w:rsidRPr="00483E1F">
        <w:rPr>
          <w:sz w:val="22"/>
          <w:szCs w:val="22"/>
        </w:rPr>
        <w:t>ь</w:t>
      </w:r>
      <w:r w:rsidRPr="00483E1F">
        <w:rPr>
          <w:sz w:val="22"/>
          <w:szCs w:val="22"/>
        </w:rPr>
        <w:t>шинстве случаев сильно колеблется, а заделка семян оказывается не соответствующей установленным агротребованиям, что приводит к неравномерности, а, зачастую, и изреженности всходов.</w:t>
      </w:r>
    </w:p>
    <w:p w:rsidR="00E73FF0" w:rsidRPr="00483E1F" w:rsidRDefault="00E73FF0" w:rsidP="00483E1F">
      <w:pPr>
        <w:ind w:firstLine="425"/>
        <w:jc w:val="both"/>
        <w:rPr>
          <w:sz w:val="22"/>
          <w:szCs w:val="22"/>
        </w:rPr>
      </w:pPr>
      <w:r w:rsidRPr="00483E1F">
        <w:rPr>
          <w:sz w:val="22"/>
          <w:szCs w:val="22"/>
        </w:rPr>
        <w:t>Нами предлагается усовершенствованная технология предп</w:t>
      </w:r>
      <w:r w:rsidRPr="00483E1F">
        <w:rPr>
          <w:sz w:val="22"/>
          <w:szCs w:val="22"/>
        </w:rPr>
        <w:t>о</w:t>
      </w:r>
      <w:r w:rsidRPr="00483E1F">
        <w:rPr>
          <w:sz w:val="22"/>
          <w:szCs w:val="22"/>
        </w:rPr>
        <w:t>севной обработки почвы под ранний посев риса, заключающаяся в следующем. Почва, весной, выдерживается без обработки до д</w:t>
      </w:r>
      <w:r w:rsidRPr="00483E1F">
        <w:rPr>
          <w:sz w:val="22"/>
          <w:szCs w:val="22"/>
        </w:rPr>
        <w:t>о</w:t>
      </w:r>
      <w:r w:rsidRPr="00483E1F">
        <w:rPr>
          <w:sz w:val="22"/>
          <w:szCs w:val="22"/>
        </w:rPr>
        <w:t>стижения «физической спелости» и влажности 20–22 %, что обе</w:t>
      </w:r>
      <w:r w:rsidRPr="00483E1F">
        <w:rPr>
          <w:sz w:val="22"/>
          <w:szCs w:val="22"/>
        </w:rPr>
        <w:t>с</w:t>
      </w:r>
      <w:r w:rsidRPr="00483E1F">
        <w:rPr>
          <w:sz w:val="22"/>
          <w:szCs w:val="22"/>
        </w:rPr>
        <w:t>печивает высокую проходимость почвообрабатывающих агрегатов по чекам без колееобразования и нарушения планировки поверхн</w:t>
      </w:r>
      <w:r w:rsidRPr="00483E1F">
        <w:rPr>
          <w:sz w:val="22"/>
          <w:szCs w:val="22"/>
        </w:rPr>
        <w:t>о</w:t>
      </w:r>
      <w:r w:rsidRPr="00483E1F">
        <w:rPr>
          <w:sz w:val="22"/>
          <w:szCs w:val="22"/>
        </w:rPr>
        <w:t>сти. Первоначально выполняется мелкоглубинная обработка почвы дисковыми орудиями и выравнивание плоскости чеков. На в</w:t>
      </w:r>
      <w:r w:rsidRPr="00483E1F">
        <w:rPr>
          <w:sz w:val="22"/>
          <w:szCs w:val="22"/>
        </w:rPr>
        <w:t>ы</w:t>
      </w:r>
      <w:r w:rsidRPr="00483E1F">
        <w:rPr>
          <w:sz w:val="22"/>
          <w:szCs w:val="22"/>
        </w:rPr>
        <w:t>ровненную поверхность вносятся минеральные удобрения, которые заделываются на глубину 60–80 мм дисковыми боронами с малыми углами  атаки или почвенными фрезами в агрегате с тракторами класса 3 [3, 4].</w:t>
      </w:r>
    </w:p>
    <w:p w:rsidR="00E73FF0" w:rsidRPr="00483E1F" w:rsidRDefault="00E73FF0" w:rsidP="00483E1F">
      <w:pPr>
        <w:ind w:firstLine="425"/>
        <w:jc w:val="both"/>
        <w:rPr>
          <w:sz w:val="22"/>
          <w:szCs w:val="22"/>
        </w:rPr>
      </w:pPr>
      <w:r w:rsidRPr="00483E1F">
        <w:rPr>
          <w:sz w:val="22"/>
          <w:szCs w:val="22"/>
        </w:rPr>
        <w:t>Возникшую комковатость почвы на поверхности устраняют окончательным выравниванием – движкованием или малованием комбинированным мала-планировщиком МПР-4,2 в режиме мала-выравнивателя или движками в агрегате с тракторами класса 1,4; 3. После этого проводят прикатывание чеков ребристыми катками т</w:t>
      </w:r>
      <w:r w:rsidRPr="00483E1F">
        <w:rPr>
          <w:sz w:val="22"/>
          <w:szCs w:val="22"/>
        </w:rPr>
        <w:t>и</w:t>
      </w:r>
      <w:r w:rsidRPr="00483E1F">
        <w:rPr>
          <w:sz w:val="22"/>
          <w:szCs w:val="22"/>
        </w:rPr>
        <w:t>па КС-2,1, соединенными в сцепку из 3-х штук в агрегате с тракт</w:t>
      </w:r>
      <w:r w:rsidRPr="00483E1F">
        <w:rPr>
          <w:sz w:val="22"/>
          <w:szCs w:val="22"/>
        </w:rPr>
        <w:t>о</w:t>
      </w:r>
      <w:r w:rsidRPr="00483E1F">
        <w:rPr>
          <w:sz w:val="22"/>
          <w:szCs w:val="22"/>
        </w:rPr>
        <w:t>рами класса 1,4 работу выполняют по длинной стороне чеков. Ре</w:t>
      </w:r>
      <w:r w:rsidRPr="00483E1F">
        <w:rPr>
          <w:sz w:val="22"/>
          <w:szCs w:val="22"/>
        </w:rPr>
        <w:t>б</w:t>
      </w:r>
      <w:r w:rsidRPr="00483E1F">
        <w:rPr>
          <w:sz w:val="22"/>
          <w:szCs w:val="22"/>
        </w:rPr>
        <w:t>ристые части катков образуют на поверхности почвы бороздки гл</w:t>
      </w:r>
      <w:r w:rsidRPr="00483E1F">
        <w:rPr>
          <w:sz w:val="22"/>
          <w:szCs w:val="22"/>
        </w:rPr>
        <w:t>у</w:t>
      </w:r>
      <w:r w:rsidRPr="00483E1F">
        <w:rPr>
          <w:sz w:val="22"/>
          <w:szCs w:val="22"/>
        </w:rPr>
        <w:t>биной до 5–10 мм, вдавливают крупные комки, обеспечивая выс</w:t>
      </w:r>
      <w:r w:rsidRPr="00483E1F">
        <w:rPr>
          <w:sz w:val="22"/>
          <w:szCs w:val="22"/>
        </w:rPr>
        <w:t>о</w:t>
      </w:r>
      <w:r w:rsidRPr="00483E1F">
        <w:rPr>
          <w:sz w:val="22"/>
          <w:szCs w:val="22"/>
        </w:rPr>
        <w:t>кую плотность поверхностного слоя [5].</w:t>
      </w:r>
    </w:p>
    <w:p w:rsidR="00E73FF0" w:rsidRPr="00483E1F" w:rsidRDefault="00E73FF0" w:rsidP="00483E1F">
      <w:pPr>
        <w:ind w:firstLine="425"/>
        <w:jc w:val="both"/>
        <w:rPr>
          <w:sz w:val="22"/>
          <w:szCs w:val="22"/>
        </w:rPr>
      </w:pPr>
      <w:r w:rsidRPr="00483E1F">
        <w:rPr>
          <w:sz w:val="22"/>
          <w:szCs w:val="22"/>
        </w:rPr>
        <w:t>Посев выполняют центробежными разбрасывателями типа СНЦ-500 или АМАЗОНЕ в агрегате с тракторами класса 1,4. Выс</w:t>
      </w:r>
      <w:r w:rsidRPr="00483E1F">
        <w:rPr>
          <w:sz w:val="22"/>
          <w:szCs w:val="22"/>
        </w:rPr>
        <w:t>е</w:t>
      </w:r>
      <w:r w:rsidRPr="00483E1F">
        <w:rPr>
          <w:sz w:val="22"/>
          <w:szCs w:val="22"/>
        </w:rPr>
        <w:t>янные семена риса частично попадают в бороздки, а частично остаются на поверхности, с которой при подаче воды в чек в осно</w:t>
      </w:r>
      <w:r w:rsidRPr="00483E1F">
        <w:rPr>
          <w:sz w:val="22"/>
          <w:szCs w:val="22"/>
        </w:rPr>
        <w:t>в</w:t>
      </w:r>
      <w:r w:rsidRPr="00483E1F">
        <w:rPr>
          <w:sz w:val="22"/>
          <w:szCs w:val="22"/>
        </w:rPr>
        <w:t>ной массе переносятся в бороздки. Семена, попавшие в борозды, закрываются илистыми частицами, приносимыми с оросительной водой или частицами почвы с поверхности поля и  со стенок борозд. Направление движения агрегатов при посеве должно быть таким же, как и при прикатывании – вдоль длинной стороны чека. Заве</w:t>
      </w:r>
      <w:r w:rsidRPr="00483E1F">
        <w:rPr>
          <w:sz w:val="22"/>
          <w:szCs w:val="22"/>
        </w:rPr>
        <w:t>р</w:t>
      </w:r>
      <w:r w:rsidRPr="00483E1F">
        <w:rPr>
          <w:sz w:val="22"/>
          <w:szCs w:val="22"/>
        </w:rPr>
        <w:t>шающей операцией предлагаемой технологии предпосевной подг</w:t>
      </w:r>
      <w:r w:rsidRPr="00483E1F">
        <w:rPr>
          <w:sz w:val="22"/>
          <w:szCs w:val="22"/>
        </w:rPr>
        <w:t>о</w:t>
      </w:r>
      <w:r w:rsidRPr="00483E1F">
        <w:rPr>
          <w:sz w:val="22"/>
          <w:szCs w:val="22"/>
        </w:rPr>
        <w:t>товки почвы является нарезка водоотводных борозд.</w:t>
      </w:r>
    </w:p>
    <w:p w:rsidR="00E73FF0" w:rsidRPr="00483E1F" w:rsidRDefault="00E73FF0" w:rsidP="00483E1F">
      <w:pPr>
        <w:ind w:firstLine="425"/>
        <w:jc w:val="both"/>
        <w:rPr>
          <w:sz w:val="22"/>
          <w:szCs w:val="22"/>
        </w:rPr>
      </w:pPr>
      <w:r w:rsidRPr="00483E1F">
        <w:rPr>
          <w:sz w:val="22"/>
          <w:szCs w:val="22"/>
        </w:rPr>
        <w:lastRenderedPageBreak/>
        <w:t>Наличие периферийных чековых каналов при этом обьязател</w:t>
      </w:r>
      <w:r w:rsidRPr="00483E1F">
        <w:rPr>
          <w:sz w:val="22"/>
          <w:szCs w:val="22"/>
        </w:rPr>
        <w:t>ь</w:t>
      </w:r>
      <w:r w:rsidRPr="00483E1F">
        <w:rPr>
          <w:sz w:val="22"/>
          <w:szCs w:val="22"/>
        </w:rPr>
        <w:t>но, так как при их наличии обеспечивается быстрый (в течение 14–16 часов) и качественный залив чеков водой.</w:t>
      </w:r>
    </w:p>
    <w:p w:rsidR="00E73FF0" w:rsidRPr="00483E1F" w:rsidRDefault="00E73FF0" w:rsidP="00483E1F">
      <w:pPr>
        <w:ind w:firstLine="425"/>
        <w:jc w:val="both"/>
        <w:rPr>
          <w:sz w:val="22"/>
          <w:szCs w:val="22"/>
        </w:rPr>
      </w:pPr>
      <w:r w:rsidRPr="00483E1F">
        <w:rPr>
          <w:sz w:val="22"/>
          <w:szCs w:val="22"/>
        </w:rPr>
        <w:t>Вывод. Предлагаемая технология предпосевной подготовки почвы под разбросной сев риса позволяет сокращать количество технологических операций до 3-х–4-х, осуществить посев риса в заданные агротехнические сроки, снизить затраты труда на 17–20 %, сократить расход топливо-смазочных материалов на 18–22 %. Урожайность риса при этом, не снижается в сравнении с рядовым способом посева, а его конкурентоспособность существенно пов</w:t>
      </w:r>
      <w:r w:rsidRPr="00483E1F">
        <w:rPr>
          <w:sz w:val="22"/>
          <w:szCs w:val="22"/>
        </w:rPr>
        <w:t>ы</w:t>
      </w:r>
      <w:r w:rsidRPr="00483E1F">
        <w:rPr>
          <w:sz w:val="22"/>
          <w:szCs w:val="22"/>
        </w:rPr>
        <w:t>шается.</w:t>
      </w:r>
    </w:p>
    <w:p w:rsidR="00E73FF0" w:rsidRPr="00483E1F" w:rsidRDefault="00E73FF0" w:rsidP="00483E1F">
      <w:pPr>
        <w:ind w:firstLine="425"/>
        <w:jc w:val="both"/>
        <w:rPr>
          <w:sz w:val="22"/>
          <w:szCs w:val="22"/>
        </w:rPr>
      </w:pPr>
    </w:p>
    <w:p w:rsidR="00E73FF0" w:rsidRPr="00483E1F" w:rsidRDefault="00E73FF0" w:rsidP="00483E1F">
      <w:pPr>
        <w:jc w:val="center"/>
        <w:rPr>
          <w:sz w:val="22"/>
          <w:szCs w:val="22"/>
        </w:rPr>
      </w:pPr>
      <w:r w:rsidRPr="00483E1F">
        <w:rPr>
          <w:sz w:val="22"/>
          <w:szCs w:val="22"/>
        </w:rPr>
        <w:t>Список литературы</w:t>
      </w:r>
    </w:p>
    <w:p w:rsidR="00E73FF0" w:rsidRPr="00483E1F" w:rsidRDefault="00E73FF0" w:rsidP="00483E1F">
      <w:pPr>
        <w:ind w:firstLine="425"/>
        <w:jc w:val="both"/>
        <w:rPr>
          <w:sz w:val="22"/>
          <w:szCs w:val="22"/>
        </w:rPr>
      </w:pPr>
      <w:r w:rsidRPr="00483E1F">
        <w:rPr>
          <w:sz w:val="22"/>
          <w:szCs w:val="22"/>
        </w:rPr>
        <w:t xml:space="preserve">1. </w:t>
      </w:r>
      <w:r w:rsidRPr="00483E1F">
        <w:rPr>
          <w:bCs/>
          <w:sz w:val="22"/>
          <w:szCs w:val="22"/>
        </w:rPr>
        <w:t>Эффективность различных способов сева риса.</w:t>
      </w:r>
      <w:r w:rsidRPr="00483E1F">
        <w:rPr>
          <w:sz w:val="22"/>
          <w:szCs w:val="22"/>
        </w:rPr>
        <w:t xml:space="preserve"> </w:t>
      </w:r>
      <w:r w:rsidRPr="00483E1F">
        <w:rPr>
          <w:iCs/>
          <w:sz w:val="22"/>
          <w:szCs w:val="22"/>
        </w:rPr>
        <w:t>Чеботарёв М. И.</w:t>
      </w:r>
      <w:r w:rsidRPr="00483E1F">
        <w:rPr>
          <w:sz w:val="22"/>
          <w:szCs w:val="22"/>
        </w:rPr>
        <w:t xml:space="preserve"> В сборнике: Научное обеспечение агропромышленного компле</w:t>
      </w:r>
      <w:r w:rsidRPr="00483E1F">
        <w:rPr>
          <w:sz w:val="22"/>
          <w:szCs w:val="22"/>
        </w:rPr>
        <w:t>к</w:t>
      </w:r>
      <w:r w:rsidRPr="00483E1F">
        <w:rPr>
          <w:sz w:val="22"/>
          <w:szCs w:val="22"/>
        </w:rPr>
        <w:t>са. Сборник статей по материалам 71-й научно-практической ко</w:t>
      </w:r>
      <w:r w:rsidRPr="00483E1F">
        <w:rPr>
          <w:sz w:val="22"/>
          <w:szCs w:val="22"/>
        </w:rPr>
        <w:t>н</w:t>
      </w:r>
      <w:r w:rsidRPr="00483E1F">
        <w:rPr>
          <w:sz w:val="22"/>
          <w:szCs w:val="22"/>
        </w:rPr>
        <w:t>ференции преподавателей по итогам НИР за 2015 год. Ответстве</w:t>
      </w:r>
      <w:r w:rsidRPr="00483E1F">
        <w:rPr>
          <w:sz w:val="22"/>
          <w:szCs w:val="22"/>
        </w:rPr>
        <w:t>н</w:t>
      </w:r>
      <w:r w:rsidRPr="00483E1F">
        <w:rPr>
          <w:sz w:val="22"/>
          <w:szCs w:val="22"/>
        </w:rPr>
        <w:t>ный за выпуск А. Г. Кощаев. 2016. С. 262–263.</w:t>
      </w:r>
    </w:p>
    <w:p w:rsidR="00E73FF0" w:rsidRPr="00483E1F" w:rsidRDefault="00E73FF0" w:rsidP="00483E1F">
      <w:pPr>
        <w:ind w:firstLine="425"/>
        <w:jc w:val="both"/>
        <w:rPr>
          <w:sz w:val="22"/>
          <w:szCs w:val="22"/>
        </w:rPr>
      </w:pPr>
      <w:r w:rsidRPr="00483E1F">
        <w:rPr>
          <w:sz w:val="22"/>
          <w:szCs w:val="22"/>
        </w:rPr>
        <w:t xml:space="preserve">2. </w:t>
      </w:r>
      <w:r w:rsidRPr="00483E1F">
        <w:rPr>
          <w:bCs/>
          <w:sz w:val="22"/>
          <w:szCs w:val="22"/>
        </w:rPr>
        <w:t>Технология улучшения агромелиоративного состояния рис</w:t>
      </w:r>
      <w:r w:rsidRPr="00483E1F">
        <w:rPr>
          <w:bCs/>
          <w:sz w:val="22"/>
          <w:szCs w:val="22"/>
        </w:rPr>
        <w:t>о</w:t>
      </w:r>
      <w:r w:rsidRPr="00483E1F">
        <w:rPr>
          <w:bCs/>
          <w:sz w:val="22"/>
          <w:szCs w:val="22"/>
        </w:rPr>
        <w:t>вых оросительных систем Кубани.</w:t>
      </w:r>
      <w:r w:rsidRPr="00483E1F">
        <w:rPr>
          <w:sz w:val="22"/>
          <w:szCs w:val="22"/>
        </w:rPr>
        <w:t xml:space="preserve"> </w:t>
      </w:r>
      <w:r w:rsidRPr="00483E1F">
        <w:rPr>
          <w:iCs/>
          <w:sz w:val="22"/>
          <w:szCs w:val="22"/>
        </w:rPr>
        <w:t xml:space="preserve">Чеботарев М. И., Швецов А. А., Олейник С. О. </w:t>
      </w:r>
      <w:r w:rsidRPr="00483E1F">
        <w:rPr>
          <w:sz w:val="22"/>
          <w:szCs w:val="22"/>
        </w:rPr>
        <w:t>В сборнике: Проблемы и перспективы инновацио</w:t>
      </w:r>
      <w:r w:rsidRPr="00483E1F">
        <w:rPr>
          <w:sz w:val="22"/>
          <w:szCs w:val="22"/>
        </w:rPr>
        <w:t>н</w:t>
      </w:r>
      <w:r w:rsidRPr="00483E1F">
        <w:rPr>
          <w:sz w:val="22"/>
          <w:szCs w:val="22"/>
        </w:rPr>
        <w:t>ного развития агротехнологий. Материалы XX Международной научно-производственной конференции. 2016. С. 120–122.</w:t>
      </w:r>
    </w:p>
    <w:p w:rsidR="00E73FF0" w:rsidRPr="00483E1F" w:rsidRDefault="00E73FF0" w:rsidP="00483E1F">
      <w:pPr>
        <w:ind w:firstLine="425"/>
        <w:jc w:val="both"/>
        <w:rPr>
          <w:sz w:val="22"/>
          <w:szCs w:val="22"/>
        </w:rPr>
      </w:pPr>
      <w:r w:rsidRPr="00483E1F">
        <w:rPr>
          <w:sz w:val="22"/>
          <w:szCs w:val="22"/>
        </w:rPr>
        <w:t xml:space="preserve">3. </w:t>
      </w:r>
      <w:r w:rsidRPr="00483E1F">
        <w:rPr>
          <w:bCs/>
          <w:sz w:val="22"/>
          <w:szCs w:val="22"/>
        </w:rPr>
        <w:t>Орудие для безотвальной обработки почвы</w:t>
      </w:r>
      <w:r w:rsidRPr="00483E1F">
        <w:rPr>
          <w:sz w:val="22"/>
          <w:szCs w:val="22"/>
        </w:rPr>
        <w:t xml:space="preserve">. </w:t>
      </w:r>
      <w:r w:rsidRPr="00483E1F">
        <w:rPr>
          <w:iCs/>
          <w:sz w:val="22"/>
          <w:szCs w:val="22"/>
        </w:rPr>
        <w:t>Тарасенко Б. Ф., Чеботарев М. И., Костылев С. И., Васелинин В. С., Карпенко В. Д.</w:t>
      </w:r>
      <w:r w:rsidRPr="00483E1F">
        <w:rPr>
          <w:sz w:val="22"/>
          <w:szCs w:val="22"/>
        </w:rPr>
        <w:t xml:space="preserve"> Патент на изобретение RUS 2244387  01.04.2003.</w:t>
      </w:r>
    </w:p>
    <w:p w:rsidR="00E73FF0" w:rsidRPr="00483E1F" w:rsidRDefault="00E73FF0" w:rsidP="00483E1F">
      <w:pPr>
        <w:ind w:firstLine="425"/>
        <w:jc w:val="both"/>
        <w:rPr>
          <w:sz w:val="22"/>
          <w:szCs w:val="22"/>
        </w:rPr>
      </w:pPr>
      <w:r w:rsidRPr="00483E1F">
        <w:rPr>
          <w:sz w:val="22"/>
          <w:szCs w:val="22"/>
        </w:rPr>
        <w:t xml:space="preserve">4. </w:t>
      </w:r>
      <w:r w:rsidRPr="00483E1F">
        <w:rPr>
          <w:bCs/>
          <w:sz w:val="22"/>
          <w:szCs w:val="22"/>
        </w:rPr>
        <w:t xml:space="preserve">Устройство для безотвальной вспашки. </w:t>
      </w:r>
      <w:r w:rsidRPr="00483E1F">
        <w:rPr>
          <w:iCs/>
          <w:sz w:val="22"/>
          <w:szCs w:val="22"/>
        </w:rPr>
        <w:t>Тарасенко Б. Ф., Ч</w:t>
      </w:r>
      <w:r w:rsidRPr="00483E1F">
        <w:rPr>
          <w:iCs/>
          <w:sz w:val="22"/>
          <w:szCs w:val="22"/>
        </w:rPr>
        <w:t>е</w:t>
      </w:r>
      <w:r w:rsidRPr="00483E1F">
        <w:rPr>
          <w:iCs/>
          <w:sz w:val="22"/>
          <w:szCs w:val="22"/>
        </w:rPr>
        <w:t>ботарев М. И., Ключников И. А., Прощак В. М., Бабенко А. С.</w:t>
      </w:r>
      <w:r w:rsidRPr="00483E1F">
        <w:rPr>
          <w:sz w:val="22"/>
          <w:szCs w:val="22"/>
        </w:rPr>
        <w:t xml:space="preserve"> П</w:t>
      </w:r>
      <w:r w:rsidRPr="00483E1F">
        <w:rPr>
          <w:sz w:val="22"/>
          <w:szCs w:val="22"/>
        </w:rPr>
        <w:t>а</w:t>
      </w:r>
      <w:r w:rsidRPr="00483E1F">
        <w:rPr>
          <w:sz w:val="22"/>
          <w:szCs w:val="22"/>
        </w:rPr>
        <w:t>тент на изобретение RUS 2214076  08.10.2001</w:t>
      </w:r>
    </w:p>
    <w:p w:rsidR="00E73FF0" w:rsidRPr="00483E1F" w:rsidRDefault="00E73FF0" w:rsidP="00483E1F">
      <w:pPr>
        <w:ind w:firstLine="425"/>
        <w:jc w:val="both"/>
        <w:rPr>
          <w:sz w:val="22"/>
          <w:szCs w:val="22"/>
        </w:rPr>
      </w:pPr>
      <w:r w:rsidRPr="00483E1F">
        <w:rPr>
          <w:sz w:val="22"/>
          <w:szCs w:val="22"/>
        </w:rPr>
        <w:t xml:space="preserve">5. </w:t>
      </w:r>
      <w:r w:rsidRPr="00483E1F">
        <w:rPr>
          <w:bCs/>
          <w:sz w:val="22"/>
          <w:szCs w:val="22"/>
        </w:rPr>
        <w:t>Современное состояние и перспективы развития системы машин для рисоводства.</w:t>
      </w:r>
      <w:r w:rsidRPr="00483E1F">
        <w:rPr>
          <w:sz w:val="22"/>
          <w:szCs w:val="22"/>
        </w:rPr>
        <w:t xml:space="preserve"> </w:t>
      </w:r>
      <w:r w:rsidRPr="00483E1F">
        <w:rPr>
          <w:iCs/>
          <w:sz w:val="22"/>
          <w:szCs w:val="22"/>
        </w:rPr>
        <w:t>Чеботарёв М. И.</w:t>
      </w:r>
      <w:r w:rsidRPr="00483E1F">
        <w:rPr>
          <w:sz w:val="22"/>
          <w:szCs w:val="22"/>
        </w:rPr>
        <w:t xml:space="preserve"> В сборнике: Научное обеспечение производства сельскохозяйственных культур в совр</w:t>
      </w:r>
      <w:r w:rsidRPr="00483E1F">
        <w:rPr>
          <w:sz w:val="22"/>
          <w:szCs w:val="22"/>
        </w:rPr>
        <w:t>е</w:t>
      </w:r>
      <w:r w:rsidRPr="00483E1F">
        <w:rPr>
          <w:sz w:val="22"/>
          <w:szCs w:val="22"/>
        </w:rPr>
        <w:t>менных условиях. Международная научно-практическая конфере</w:t>
      </w:r>
      <w:r w:rsidRPr="00483E1F">
        <w:rPr>
          <w:sz w:val="22"/>
          <w:szCs w:val="22"/>
        </w:rPr>
        <w:t>н</w:t>
      </w:r>
      <w:r w:rsidRPr="00483E1F">
        <w:rPr>
          <w:sz w:val="22"/>
          <w:szCs w:val="22"/>
        </w:rPr>
        <w:t>ция. 2016. С. 239–245.</w:t>
      </w:r>
    </w:p>
    <w:p w:rsidR="00E73FF0" w:rsidRDefault="00E73FF0" w:rsidP="00E73FF0">
      <w:pPr>
        <w:jc w:val="both"/>
        <w:rPr>
          <w:sz w:val="22"/>
          <w:szCs w:val="22"/>
        </w:rPr>
      </w:pPr>
    </w:p>
    <w:p w:rsidR="00483E1F" w:rsidRPr="00483E1F" w:rsidRDefault="00662BE8" w:rsidP="00662BE8">
      <w:pPr>
        <w:rPr>
          <w:sz w:val="22"/>
          <w:szCs w:val="22"/>
        </w:rPr>
      </w:pPr>
      <w:r>
        <w:rPr>
          <w:sz w:val="22"/>
          <w:szCs w:val="22"/>
        </w:rPr>
        <w:br w:type="page"/>
      </w:r>
    </w:p>
    <w:p w:rsidR="00E73FF0" w:rsidRPr="00483E1F" w:rsidRDefault="00E73FF0" w:rsidP="00662BE8">
      <w:pPr>
        <w:shd w:val="clear" w:color="auto" w:fill="FFFFFF"/>
        <w:tabs>
          <w:tab w:val="left" w:pos="567"/>
        </w:tabs>
        <w:autoSpaceDE w:val="0"/>
        <w:autoSpaceDN w:val="0"/>
        <w:adjustRightInd w:val="0"/>
        <w:contextualSpacing/>
        <w:rPr>
          <w:bCs/>
          <w:color w:val="000000"/>
          <w:sz w:val="22"/>
          <w:szCs w:val="22"/>
        </w:rPr>
      </w:pPr>
      <w:r w:rsidRPr="00483E1F">
        <w:rPr>
          <w:sz w:val="22"/>
          <w:szCs w:val="22"/>
        </w:rPr>
        <w:lastRenderedPageBreak/>
        <w:t xml:space="preserve">УДК 621.9.042+621.81.04.67(075.8) </w:t>
      </w:r>
    </w:p>
    <w:p w:rsidR="00E73FF0" w:rsidRPr="00483E1F" w:rsidRDefault="00E73FF0" w:rsidP="00483E1F">
      <w:pPr>
        <w:tabs>
          <w:tab w:val="left" w:pos="567"/>
        </w:tabs>
        <w:ind w:firstLine="426"/>
        <w:jc w:val="both"/>
        <w:rPr>
          <w:sz w:val="22"/>
          <w:szCs w:val="22"/>
        </w:rPr>
      </w:pPr>
    </w:p>
    <w:p w:rsidR="00E73FF0" w:rsidRPr="00483E1F" w:rsidRDefault="00E73FF0" w:rsidP="00483E1F">
      <w:pPr>
        <w:tabs>
          <w:tab w:val="left" w:pos="567"/>
        </w:tabs>
        <w:ind w:firstLine="426"/>
        <w:jc w:val="center"/>
        <w:rPr>
          <w:b/>
          <w:sz w:val="24"/>
          <w:szCs w:val="24"/>
        </w:rPr>
      </w:pPr>
      <w:r w:rsidRPr="00483E1F">
        <w:rPr>
          <w:b/>
          <w:sz w:val="24"/>
          <w:szCs w:val="24"/>
        </w:rPr>
        <w:t>Современные способы восстановления</w:t>
      </w:r>
    </w:p>
    <w:p w:rsidR="00E73FF0" w:rsidRPr="00483E1F" w:rsidRDefault="00E73FF0" w:rsidP="00483E1F">
      <w:pPr>
        <w:tabs>
          <w:tab w:val="left" w:pos="567"/>
        </w:tabs>
        <w:ind w:firstLine="426"/>
        <w:jc w:val="center"/>
        <w:rPr>
          <w:b/>
          <w:sz w:val="24"/>
          <w:szCs w:val="24"/>
        </w:rPr>
      </w:pPr>
      <w:r w:rsidRPr="00483E1F">
        <w:rPr>
          <w:b/>
          <w:sz w:val="24"/>
          <w:szCs w:val="24"/>
        </w:rPr>
        <w:t>изношенных деталей при ремонте машин</w:t>
      </w:r>
    </w:p>
    <w:p w:rsidR="00E73FF0" w:rsidRPr="00483E1F" w:rsidRDefault="00E73FF0" w:rsidP="00483E1F">
      <w:pPr>
        <w:tabs>
          <w:tab w:val="left" w:pos="567"/>
        </w:tabs>
        <w:ind w:firstLine="426"/>
        <w:jc w:val="center"/>
        <w:rPr>
          <w:b/>
          <w:sz w:val="24"/>
          <w:szCs w:val="24"/>
          <w:lang w:val="en-US"/>
        </w:rPr>
      </w:pPr>
      <w:r w:rsidRPr="00483E1F">
        <w:rPr>
          <w:b/>
          <w:sz w:val="24"/>
          <w:szCs w:val="24"/>
          <w:lang w:val="en-US"/>
        </w:rPr>
        <w:t xml:space="preserve">Modern methods of recovery of the worn-out </w:t>
      </w:r>
    </w:p>
    <w:p w:rsidR="00E73FF0" w:rsidRPr="00483E1F" w:rsidRDefault="00E73FF0" w:rsidP="00483E1F">
      <w:pPr>
        <w:tabs>
          <w:tab w:val="left" w:pos="567"/>
        </w:tabs>
        <w:ind w:firstLine="426"/>
        <w:jc w:val="center"/>
        <w:rPr>
          <w:b/>
          <w:sz w:val="22"/>
          <w:szCs w:val="22"/>
          <w:lang w:val="en-US"/>
        </w:rPr>
      </w:pPr>
      <w:r w:rsidRPr="00483E1F">
        <w:rPr>
          <w:b/>
          <w:sz w:val="24"/>
          <w:szCs w:val="24"/>
          <w:lang w:val="en-US"/>
        </w:rPr>
        <w:t>parts when repairing vehicles</w:t>
      </w:r>
    </w:p>
    <w:p w:rsidR="00E73FF0" w:rsidRPr="00483E1F" w:rsidRDefault="00E73FF0" w:rsidP="00483E1F">
      <w:pPr>
        <w:tabs>
          <w:tab w:val="left" w:pos="567"/>
        </w:tabs>
        <w:ind w:firstLine="426"/>
        <w:jc w:val="center"/>
        <w:rPr>
          <w:b/>
          <w:sz w:val="22"/>
          <w:szCs w:val="22"/>
          <w:lang w:val="en-US"/>
        </w:rPr>
      </w:pPr>
    </w:p>
    <w:p w:rsidR="00E73FF0" w:rsidRPr="00483E1F" w:rsidRDefault="00E73FF0" w:rsidP="00483E1F">
      <w:pPr>
        <w:tabs>
          <w:tab w:val="left" w:pos="567"/>
        </w:tabs>
        <w:ind w:firstLine="426"/>
        <w:jc w:val="right"/>
        <w:rPr>
          <w:sz w:val="22"/>
          <w:szCs w:val="22"/>
          <w:lang w:val="en-US"/>
        </w:rPr>
      </w:pPr>
      <w:r w:rsidRPr="00483E1F">
        <w:rPr>
          <w:b/>
          <w:sz w:val="22"/>
          <w:szCs w:val="22"/>
          <w:lang w:val="en-US"/>
        </w:rPr>
        <w:tab/>
      </w:r>
      <w:r w:rsidRPr="00483E1F">
        <w:rPr>
          <w:sz w:val="22"/>
          <w:szCs w:val="22"/>
        </w:rPr>
        <w:t>Ивах</w:t>
      </w:r>
      <w:r w:rsidRPr="00483E1F">
        <w:rPr>
          <w:sz w:val="22"/>
          <w:szCs w:val="22"/>
          <w:lang w:val="en-US"/>
        </w:rPr>
        <w:t xml:space="preserve"> </w:t>
      </w:r>
      <w:r w:rsidRPr="00483E1F">
        <w:rPr>
          <w:sz w:val="22"/>
          <w:szCs w:val="22"/>
        </w:rPr>
        <w:t>А</w:t>
      </w:r>
      <w:r w:rsidRPr="00483E1F">
        <w:rPr>
          <w:sz w:val="22"/>
          <w:szCs w:val="22"/>
          <w:lang w:val="en-US"/>
        </w:rPr>
        <w:t xml:space="preserve">. </w:t>
      </w:r>
      <w:r w:rsidRPr="00483E1F">
        <w:rPr>
          <w:sz w:val="22"/>
          <w:szCs w:val="22"/>
        </w:rPr>
        <w:t>А</w:t>
      </w:r>
      <w:r w:rsidRPr="00483E1F">
        <w:rPr>
          <w:sz w:val="22"/>
          <w:szCs w:val="22"/>
          <w:lang w:val="en-US"/>
        </w:rPr>
        <w:t>.,</w:t>
      </w:r>
    </w:p>
    <w:p w:rsidR="00E73FF0" w:rsidRPr="00483E1F" w:rsidRDefault="00E73FF0" w:rsidP="00483E1F">
      <w:pPr>
        <w:tabs>
          <w:tab w:val="left" w:pos="567"/>
        </w:tabs>
        <w:ind w:firstLine="426"/>
        <w:jc w:val="right"/>
        <w:rPr>
          <w:sz w:val="22"/>
          <w:szCs w:val="22"/>
        </w:rPr>
      </w:pPr>
      <w:r w:rsidRPr="00483E1F">
        <w:rPr>
          <w:sz w:val="22"/>
          <w:szCs w:val="22"/>
        </w:rPr>
        <w:t>студент магистратуры факультета заочного обучения</w:t>
      </w:r>
    </w:p>
    <w:p w:rsidR="00E73FF0" w:rsidRPr="00483E1F" w:rsidRDefault="00E73FF0" w:rsidP="00483E1F">
      <w:pPr>
        <w:tabs>
          <w:tab w:val="left" w:pos="567"/>
        </w:tabs>
        <w:ind w:firstLine="426"/>
        <w:jc w:val="right"/>
        <w:rPr>
          <w:sz w:val="22"/>
          <w:szCs w:val="22"/>
        </w:rPr>
      </w:pPr>
      <w:r w:rsidRPr="00483E1F">
        <w:rPr>
          <w:sz w:val="22"/>
          <w:szCs w:val="22"/>
        </w:rPr>
        <w:t>Чеботарёв М. И.,</w:t>
      </w:r>
    </w:p>
    <w:p w:rsidR="00E73FF0" w:rsidRPr="00483E1F" w:rsidRDefault="00E73FF0" w:rsidP="00483E1F">
      <w:pPr>
        <w:tabs>
          <w:tab w:val="left" w:pos="567"/>
        </w:tabs>
        <w:ind w:firstLine="426"/>
        <w:jc w:val="right"/>
        <w:rPr>
          <w:sz w:val="22"/>
          <w:szCs w:val="22"/>
        </w:rPr>
      </w:pPr>
      <w:r w:rsidRPr="00483E1F">
        <w:rPr>
          <w:sz w:val="22"/>
          <w:szCs w:val="22"/>
        </w:rPr>
        <w:t>д-</w:t>
      </w:r>
      <w:r w:rsidR="00483E1F">
        <w:rPr>
          <w:sz w:val="22"/>
          <w:szCs w:val="22"/>
        </w:rPr>
        <w:t>р техн. наук, профессор кафедры</w:t>
      </w:r>
    </w:p>
    <w:p w:rsidR="00E73FF0" w:rsidRDefault="00E73FF0" w:rsidP="00483E1F">
      <w:pPr>
        <w:tabs>
          <w:tab w:val="left" w:pos="567"/>
        </w:tabs>
        <w:ind w:firstLine="426"/>
        <w:jc w:val="right"/>
        <w:rPr>
          <w:sz w:val="22"/>
          <w:szCs w:val="22"/>
        </w:rPr>
      </w:pPr>
      <w:r w:rsidRPr="00483E1F">
        <w:rPr>
          <w:sz w:val="22"/>
          <w:szCs w:val="22"/>
        </w:rPr>
        <w:t>ремонта машин и материаловедения</w:t>
      </w:r>
    </w:p>
    <w:p w:rsidR="00483E1F" w:rsidRDefault="00483E1F" w:rsidP="00483E1F">
      <w:pPr>
        <w:widowControl w:val="0"/>
        <w:autoSpaceDE w:val="0"/>
        <w:autoSpaceDN w:val="0"/>
        <w:adjustRightInd w:val="0"/>
        <w:jc w:val="right"/>
        <w:rPr>
          <w:sz w:val="22"/>
          <w:szCs w:val="22"/>
        </w:rPr>
      </w:pPr>
      <w:r w:rsidRPr="00E73FF0">
        <w:rPr>
          <w:sz w:val="22"/>
          <w:szCs w:val="22"/>
        </w:rPr>
        <w:t>Кубанский государственный аграрный</w:t>
      </w:r>
    </w:p>
    <w:p w:rsidR="00483E1F" w:rsidRPr="00E73FF0" w:rsidRDefault="00483E1F" w:rsidP="00483E1F">
      <w:pPr>
        <w:widowControl w:val="0"/>
        <w:autoSpaceDE w:val="0"/>
        <w:autoSpaceDN w:val="0"/>
        <w:adjustRightInd w:val="0"/>
        <w:jc w:val="right"/>
        <w:rPr>
          <w:sz w:val="22"/>
          <w:szCs w:val="22"/>
        </w:rPr>
      </w:pPr>
      <w:r w:rsidRPr="00E73FF0">
        <w:rPr>
          <w:sz w:val="22"/>
          <w:szCs w:val="22"/>
        </w:rPr>
        <w:t xml:space="preserve"> </w:t>
      </w:r>
      <w:r>
        <w:rPr>
          <w:sz w:val="22"/>
          <w:szCs w:val="22"/>
        </w:rPr>
        <w:t>у</w:t>
      </w:r>
      <w:r w:rsidRPr="00E73FF0">
        <w:rPr>
          <w:sz w:val="22"/>
          <w:szCs w:val="22"/>
        </w:rPr>
        <w:t>ниверситет</w:t>
      </w:r>
      <w:r>
        <w:rPr>
          <w:sz w:val="22"/>
          <w:szCs w:val="22"/>
        </w:rPr>
        <w:t xml:space="preserve"> имени И. Т.Трубилина</w:t>
      </w:r>
    </w:p>
    <w:p w:rsidR="00E73FF0" w:rsidRPr="00483E1F" w:rsidRDefault="00E73FF0" w:rsidP="00483E1F">
      <w:pPr>
        <w:tabs>
          <w:tab w:val="left" w:pos="567"/>
        </w:tabs>
        <w:rPr>
          <w:sz w:val="22"/>
          <w:szCs w:val="22"/>
        </w:rPr>
      </w:pPr>
    </w:p>
    <w:p w:rsidR="00E73FF0" w:rsidRPr="00483E1F" w:rsidRDefault="00E73FF0" w:rsidP="00483E1F">
      <w:pPr>
        <w:tabs>
          <w:tab w:val="left" w:pos="567"/>
        </w:tabs>
        <w:ind w:firstLine="426"/>
        <w:jc w:val="both"/>
        <w:rPr>
          <w:sz w:val="22"/>
          <w:szCs w:val="22"/>
        </w:rPr>
      </w:pPr>
      <w:r w:rsidRPr="00483E1F">
        <w:rPr>
          <w:sz w:val="22"/>
          <w:szCs w:val="22"/>
        </w:rPr>
        <w:t>АННОТАЦИЯ:</w:t>
      </w:r>
      <w:r w:rsidRPr="00483E1F">
        <w:rPr>
          <w:b/>
          <w:sz w:val="22"/>
          <w:szCs w:val="22"/>
        </w:rPr>
        <w:t xml:space="preserve"> </w:t>
      </w:r>
      <w:r w:rsidRPr="00483E1F">
        <w:rPr>
          <w:sz w:val="22"/>
          <w:szCs w:val="22"/>
        </w:rPr>
        <w:t>В статье проанализированы причины, прив</w:t>
      </w:r>
      <w:r w:rsidRPr="00483E1F">
        <w:rPr>
          <w:sz w:val="22"/>
          <w:szCs w:val="22"/>
        </w:rPr>
        <w:t>о</w:t>
      </w:r>
      <w:r w:rsidRPr="00483E1F">
        <w:rPr>
          <w:sz w:val="22"/>
          <w:szCs w:val="22"/>
        </w:rPr>
        <w:t>дящие к износу деталей машин, отмечена целесообразность их во</w:t>
      </w:r>
      <w:r w:rsidRPr="00483E1F">
        <w:rPr>
          <w:sz w:val="22"/>
          <w:szCs w:val="22"/>
        </w:rPr>
        <w:t>с</w:t>
      </w:r>
      <w:r w:rsidRPr="00483E1F">
        <w:rPr>
          <w:sz w:val="22"/>
          <w:szCs w:val="22"/>
        </w:rPr>
        <w:t>становления при ремонте. Установлено, что одним из наиболее э</w:t>
      </w:r>
      <w:r w:rsidRPr="00483E1F">
        <w:rPr>
          <w:sz w:val="22"/>
          <w:szCs w:val="22"/>
        </w:rPr>
        <w:t>ф</w:t>
      </w:r>
      <w:r w:rsidRPr="00483E1F">
        <w:rPr>
          <w:sz w:val="22"/>
          <w:szCs w:val="22"/>
        </w:rPr>
        <w:t>фективных и экономичных способов восстановления является эле</w:t>
      </w:r>
      <w:r w:rsidRPr="00483E1F">
        <w:rPr>
          <w:sz w:val="22"/>
          <w:szCs w:val="22"/>
        </w:rPr>
        <w:t>к</w:t>
      </w:r>
      <w:r w:rsidRPr="00483E1F">
        <w:rPr>
          <w:sz w:val="22"/>
          <w:szCs w:val="22"/>
        </w:rPr>
        <w:t>тромеханическая обработка.</w:t>
      </w:r>
    </w:p>
    <w:p w:rsidR="00E73FF0" w:rsidRPr="00483E1F" w:rsidRDefault="00E73FF0" w:rsidP="00483E1F">
      <w:pPr>
        <w:tabs>
          <w:tab w:val="left" w:pos="567"/>
        </w:tabs>
        <w:ind w:firstLine="426"/>
        <w:jc w:val="both"/>
        <w:rPr>
          <w:sz w:val="22"/>
          <w:szCs w:val="22"/>
          <w:lang w:val="en-US"/>
        </w:rPr>
      </w:pPr>
      <w:r w:rsidRPr="00483E1F">
        <w:rPr>
          <w:sz w:val="22"/>
          <w:szCs w:val="22"/>
          <w:lang w:val="en-US"/>
        </w:rPr>
        <w:t>ABSTRACT: The article analyses the causes of the wear of m</w:t>
      </w:r>
      <w:r w:rsidRPr="00483E1F">
        <w:rPr>
          <w:sz w:val="22"/>
          <w:szCs w:val="22"/>
          <w:lang w:val="en-US"/>
        </w:rPr>
        <w:t>a</w:t>
      </w:r>
      <w:r w:rsidRPr="00483E1F">
        <w:rPr>
          <w:sz w:val="22"/>
          <w:szCs w:val="22"/>
          <w:lang w:val="en-US"/>
        </w:rPr>
        <w:t>chine parts, noted that their recovery during repair. It has been esta</w:t>
      </w:r>
      <w:r w:rsidRPr="00483E1F">
        <w:rPr>
          <w:sz w:val="22"/>
          <w:szCs w:val="22"/>
          <w:lang w:val="en-US"/>
        </w:rPr>
        <w:t>b</w:t>
      </w:r>
      <w:r w:rsidRPr="00483E1F">
        <w:rPr>
          <w:sz w:val="22"/>
          <w:szCs w:val="22"/>
          <w:lang w:val="en-US"/>
        </w:rPr>
        <w:t>lished that one of the most effective and economical way to recovery is electro-mechanical processing.</w:t>
      </w:r>
    </w:p>
    <w:p w:rsidR="00E73FF0" w:rsidRPr="00483E1F" w:rsidRDefault="00E73FF0" w:rsidP="00483E1F">
      <w:pPr>
        <w:tabs>
          <w:tab w:val="left" w:pos="567"/>
        </w:tabs>
        <w:ind w:firstLine="426"/>
        <w:jc w:val="both"/>
        <w:rPr>
          <w:sz w:val="22"/>
          <w:szCs w:val="22"/>
        </w:rPr>
      </w:pPr>
      <w:r w:rsidRPr="00483E1F">
        <w:rPr>
          <w:sz w:val="22"/>
          <w:szCs w:val="22"/>
        </w:rPr>
        <w:t>КЛЮЧЕВЫЕ СЛОВА: ремонт, ресурс, изношенная деталь, восстановление, затраты, качество обработки.</w:t>
      </w:r>
    </w:p>
    <w:p w:rsidR="00E73FF0" w:rsidRPr="00483E1F" w:rsidRDefault="00E73FF0" w:rsidP="00483E1F">
      <w:pPr>
        <w:tabs>
          <w:tab w:val="left" w:pos="567"/>
        </w:tabs>
        <w:ind w:firstLine="426"/>
        <w:jc w:val="both"/>
        <w:rPr>
          <w:sz w:val="22"/>
          <w:szCs w:val="22"/>
          <w:lang w:val="en-US"/>
        </w:rPr>
      </w:pPr>
      <w:r w:rsidRPr="00483E1F">
        <w:rPr>
          <w:sz w:val="22"/>
          <w:szCs w:val="22"/>
          <w:lang w:val="en-US"/>
        </w:rPr>
        <w:t>KEYWORDS: repair, resource, worn detail, recovery, cost, quality of treatment.</w:t>
      </w:r>
    </w:p>
    <w:p w:rsidR="00E73FF0" w:rsidRPr="00483E1F" w:rsidRDefault="00E73FF0" w:rsidP="00483E1F">
      <w:pPr>
        <w:tabs>
          <w:tab w:val="left" w:pos="567"/>
        </w:tabs>
        <w:ind w:firstLine="426"/>
        <w:jc w:val="both"/>
        <w:rPr>
          <w:sz w:val="22"/>
          <w:szCs w:val="22"/>
          <w:lang w:val="en-US"/>
        </w:rPr>
      </w:pPr>
    </w:p>
    <w:p w:rsidR="00E73FF0" w:rsidRPr="00483E1F" w:rsidRDefault="00E73FF0" w:rsidP="00483E1F">
      <w:pPr>
        <w:tabs>
          <w:tab w:val="left" w:pos="567"/>
        </w:tabs>
        <w:ind w:firstLine="426"/>
        <w:jc w:val="both"/>
        <w:rPr>
          <w:sz w:val="22"/>
          <w:szCs w:val="22"/>
        </w:rPr>
      </w:pPr>
      <w:r w:rsidRPr="00483E1F">
        <w:rPr>
          <w:sz w:val="22"/>
          <w:szCs w:val="22"/>
        </w:rPr>
        <w:t>При принятии решения о целесообразности восстановления и повторного использования изношенных деталей машин при их р</w:t>
      </w:r>
      <w:r w:rsidRPr="00483E1F">
        <w:rPr>
          <w:sz w:val="22"/>
          <w:szCs w:val="22"/>
        </w:rPr>
        <w:t>е</w:t>
      </w:r>
      <w:r w:rsidRPr="00483E1F">
        <w:rPr>
          <w:sz w:val="22"/>
          <w:szCs w:val="22"/>
        </w:rPr>
        <w:t>монте необходимо исходить из экономических соображений: либо замены детали, либо ее восстановления. При этом необходимо уч</w:t>
      </w:r>
      <w:r w:rsidRPr="00483E1F">
        <w:rPr>
          <w:sz w:val="22"/>
          <w:szCs w:val="22"/>
        </w:rPr>
        <w:t>и</w:t>
      </w:r>
      <w:r w:rsidRPr="00483E1F">
        <w:rPr>
          <w:sz w:val="22"/>
          <w:szCs w:val="22"/>
        </w:rPr>
        <w:t>тывать: что себестоимость восстановления большинства деталей, как правило, не превышает 20–60 % цены новой детали [1, 2]. Во</w:t>
      </w:r>
      <w:r w:rsidRPr="00483E1F">
        <w:rPr>
          <w:sz w:val="22"/>
          <w:szCs w:val="22"/>
        </w:rPr>
        <w:t>с</w:t>
      </w:r>
      <w:r w:rsidRPr="00483E1F">
        <w:rPr>
          <w:sz w:val="22"/>
          <w:szCs w:val="22"/>
        </w:rPr>
        <w:t>становление деталей является одним из основных путей экономии материально-сырьевых и энергетических ресурсов, решения экол</w:t>
      </w:r>
      <w:r w:rsidRPr="00483E1F">
        <w:rPr>
          <w:sz w:val="22"/>
          <w:szCs w:val="22"/>
        </w:rPr>
        <w:t>о</w:t>
      </w:r>
      <w:r w:rsidRPr="00483E1F">
        <w:rPr>
          <w:sz w:val="22"/>
          <w:szCs w:val="22"/>
        </w:rPr>
        <w:lastRenderedPageBreak/>
        <w:t>гических проблем, так как затраты энергии, металла и других мат</w:t>
      </w:r>
      <w:r w:rsidRPr="00483E1F">
        <w:rPr>
          <w:sz w:val="22"/>
          <w:szCs w:val="22"/>
        </w:rPr>
        <w:t>е</w:t>
      </w:r>
      <w:r w:rsidRPr="00483E1F">
        <w:rPr>
          <w:sz w:val="22"/>
          <w:szCs w:val="22"/>
        </w:rPr>
        <w:t>риалов при восстановлении деталей в 25–30 раз меньше, чем при изготовлении новых [3], В процессе восстановления деталей можно не только снижать себестоимость их ремонта, но и во многих сл</w:t>
      </w:r>
      <w:r w:rsidRPr="00483E1F">
        <w:rPr>
          <w:sz w:val="22"/>
          <w:szCs w:val="22"/>
        </w:rPr>
        <w:t>у</w:t>
      </w:r>
      <w:r w:rsidRPr="00483E1F">
        <w:rPr>
          <w:sz w:val="22"/>
          <w:szCs w:val="22"/>
        </w:rPr>
        <w:t>чаях повышать его качество, позволяет снизить количество увел</w:t>
      </w:r>
      <w:r w:rsidRPr="00483E1F">
        <w:rPr>
          <w:sz w:val="22"/>
          <w:szCs w:val="22"/>
        </w:rPr>
        <w:t>и</w:t>
      </w:r>
      <w:r w:rsidRPr="00483E1F">
        <w:rPr>
          <w:sz w:val="22"/>
          <w:szCs w:val="22"/>
        </w:rPr>
        <w:t>чить ресурса использования машин  [4].</w:t>
      </w:r>
    </w:p>
    <w:p w:rsidR="00E73FF0" w:rsidRPr="00483E1F" w:rsidRDefault="00E73FF0" w:rsidP="00483E1F">
      <w:pPr>
        <w:tabs>
          <w:tab w:val="left" w:pos="567"/>
        </w:tabs>
        <w:ind w:firstLine="426"/>
        <w:jc w:val="both"/>
        <w:rPr>
          <w:sz w:val="22"/>
          <w:szCs w:val="22"/>
        </w:rPr>
      </w:pPr>
      <w:r w:rsidRPr="00483E1F">
        <w:rPr>
          <w:sz w:val="22"/>
          <w:szCs w:val="22"/>
        </w:rPr>
        <w:t>До последнего времени, одним из наиболее распространенных способов восстановления изношенных поверхностей деталей при ремонте машин в сельском хозяйстве были электродуговая и газ</w:t>
      </w:r>
      <w:r w:rsidRPr="00483E1F">
        <w:rPr>
          <w:sz w:val="22"/>
          <w:szCs w:val="22"/>
        </w:rPr>
        <w:t>о</w:t>
      </w:r>
      <w:r w:rsidRPr="00483E1F">
        <w:rPr>
          <w:sz w:val="22"/>
          <w:szCs w:val="22"/>
        </w:rPr>
        <w:t xml:space="preserve">вая наплавка металла и расточка под ремонтный размер. </w:t>
      </w:r>
    </w:p>
    <w:p w:rsidR="00E73FF0" w:rsidRPr="00483E1F" w:rsidRDefault="00E73FF0" w:rsidP="00483E1F">
      <w:pPr>
        <w:tabs>
          <w:tab w:val="left" w:pos="567"/>
        </w:tabs>
        <w:ind w:firstLine="426"/>
        <w:jc w:val="both"/>
        <w:rPr>
          <w:sz w:val="22"/>
          <w:szCs w:val="22"/>
        </w:rPr>
      </w:pPr>
      <w:r w:rsidRPr="00483E1F">
        <w:rPr>
          <w:sz w:val="22"/>
          <w:szCs w:val="22"/>
        </w:rPr>
        <w:t>Для восстановления малых износов используют такие способы как гальваническое наращивание путем хромирования или желе</w:t>
      </w:r>
      <w:r w:rsidRPr="00483E1F">
        <w:rPr>
          <w:sz w:val="22"/>
          <w:szCs w:val="22"/>
        </w:rPr>
        <w:t>з</w:t>
      </w:r>
      <w:r w:rsidRPr="00483E1F">
        <w:rPr>
          <w:sz w:val="22"/>
          <w:szCs w:val="22"/>
        </w:rPr>
        <w:t>нения; газотермическая наплавка; газопламенное напыление; эле</w:t>
      </w:r>
      <w:r w:rsidRPr="00483E1F">
        <w:rPr>
          <w:sz w:val="22"/>
          <w:szCs w:val="22"/>
        </w:rPr>
        <w:t>к</w:t>
      </w:r>
      <w:r w:rsidRPr="00483E1F">
        <w:rPr>
          <w:sz w:val="22"/>
          <w:szCs w:val="22"/>
        </w:rPr>
        <w:t xml:space="preserve">тромеханическая обработка и другие. </w:t>
      </w:r>
    </w:p>
    <w:p w:rsidR="00E73FF0" w:rsidRPr="00483E1F" w:rsidRDefault="00E73FF0" w:rsidP="00483E1F">
      <w:pPr>
        <w:tabs>
          <w:tab w:val="left" w:pos="567"/>
        </w:tabs>
        <w:ind w:firstLine="426"/>
        <w:jc w:val="both"/>
        <w:rPr>
          <w:sz w:val="22"/>
          <w:szCs w:val="22"/>
        </w:rPr>
      </w:pPr>
      <w:r w:rsidRPr="00483E1F">
        <w:rPr>
          <w:sz w:val="22"/>
          <w:szCs w:val="22"/>
        </w:rPr>
        <w:t>Из указанных способов более предпочтительна электромехан</w:t>
      </w:r>
      <w:r w:rsidRPr="00483E1F">
        <w:rPr>
          <w:sz w:val="22"/>
          <w:szCs w:val="22"/>
        </w:rPr>
        <w:t>и</w:t>
      </w:r>
      <w:r w:rsidRPr="00483E1F">
        <w:rPr>
          <w:sz w:val="22"/>
          <w:szCs w:val="22"/>
        </w:rPr>
        <w:t>ческая обработка, позволяющая использовать для наплавки деш</w:t>
      </w:r>
      <w:r w:rsidRPr="00483E1F">
        <w:rPr>
          <w:sz w:val="22"/>
          <w:szCs w:val="22"/>
        </w:rPr>
        <w:t>е</w:t>
      </w:r>
      <w:r w:rsidRPr="00483E1F">
        <w:rPr>
          <w:sz w:val="22"/>
          <w:szCs w:val="22"/>
        </w:rPr>
        <w:t>вый присадочный материал с невысокой прочностью и твердостью, поскольку при ее выполнении происходит упрочнение поверхнос</w:t>
      </w:r>
      <w:r w:rsidRPr="00483E1F">
        <w:rPr>
          <w:sz w:val="22"/>
          <w:szCs w:val="22"/>
        </w:rPr>
        <w:t>т</w:t>
      </w:r>
      <w:r w:rsidRPr="00483E1F">
        <w:rPr>
          <w:sz w:val="22"/>
          <w:szCs w:val="22"/>
        </w:rPr>
        <w:t xml:space="preserve">ного (наплавленного) слоя металла до требуемых значений, что значительно снижает себестоимость восстановления. </w:t>
      </w:r>
    </w:p>
    <w:p w:rsidR="00E73FF0" w:rsidRPr="00483E1F" w:rsidRDefault="00E73FF0" w:rsidP="00483E1F">
      <w:pPr>
        <w:tabs>
          <w:tab w:val="left" w:pos="567"/>
        </w:tabs>
        <w:ind w:firstLine="426"/>
        <w:jc w:val="both"/>
        <w:rPr>
          <w:sz w:val="22"/>
          <w:szCs w:val="22"/>
        </w:rPr>
      </w:pPr>
      <w:r w:rsidRPr="00483E1F">
        <w:rPr>
          <w:sz w:val="22"/>
          <w:szCs w:val="22"/>
        </w:rPr>
        <w:t>Сущность этого способа заключается в том, что в процессе о</w:t>
      </w:r>
      <w:r w:rsidRPr="00483E1F">
        <w:rPr>
          <w:sz w:val="22"/>
          <w:szCs w:val="22"/>
        </w:rPr>
        <w:t>б</w:t>
      </w:r>
      <w:r w:rsidRPr="00483E1F">
        <w:rPr>
          <w:sz w:val="22"/>
          <w:szCs w:val="22"/>
        </w:rPr>
        <w:t>работки через место контакта инструмента с деталью пропускается ток большой силы и низкого напряжения (по типу ручной эле</w:t>
      </w:r>
      <w:r w:rsidRPr="00483E1F">
        <w:rPr>
          <w:sz w:val="22"/>
          <w:szCs w:val="22"/>
        </w:rPr>
        <w:t>к</w:t>
      </w:r>
      <w:r w:rsidRPr="00483E1F">
        <w:rPr>
          <w:sz w:val="22"/>
          <w:szCs w:val="22"/>
        </w:rPr>
        <w:t>тродуговой сварки), в следствии чего, имеющиеся на восстанавл</w:t>
      </w:r>
      <w:r w:rsidRPr="00483E1F">
        <w:rPr>
          <w:sz w:val="22"/>
          <w:szCs w:val="22"/>
        </w:rPr>
        <w:t>и</w:t>
      </w:r>
      <w:r w:rsidRPr="00483E1F">
        <w:rPr>
          <w:sz w:val="22"/>
          <w:szCs w:val="22"/>
        </w:rPr>
        <w:t>ваемой  поверхности неровности металла нагреваются до высоких температур, приобретают пластическое состояние, деформируются, и сглаживаются под давлением инструмента (ролика). Электром</w:t>
      </w:r>
      <w:r w:rsidRPr="00483E1F">
        <w:rPr>
          <w:sz w:val="22"/>
          <w:szCs w:val="22"/>
        </w:rPr>
        <w:t>е</w:t>
      </w:r>
      <w:r w:rsidRPr="00483E1F">
        <w:rPr>
          <w:sz w:val="22"/>
          <w:szCs w:val="22"/>
        </w:rPr>
        <w:t>ханическая обработка обеспечивает получение мелкодисперсной и твердой структуры поверхностного слоя восстанавливаемых дет</w:t>
      </w:r>
      <w:r w:rsidRPr="00483E1F">
        <w:rPr>
          <w:sz w:val="22"/>
          <w:szCs w:val="22"/>
        </w:rPr>
        <w:t>а</w:t>
      </w:r>
      <w:r w:rsidRPr="00483E1F">
        <w:rPr>
          <w:sz w:val="22"/>
          <w:szCs w:val="22"/>
        </w:rPr>
        <w:t>лей с высокими физико-механическими и эксплуатационными свойствами, что позволяет характеризовать ее как особый тип те</w:t>
      </w:r>
      <w:r w:rsidRPr="00483E1F">
        <w:rPr>
          <w:sz w:val="22"/>
          <w:szCs w:val="22"/>
        </w:rPr>
        <w:t>р</w:t>
      </w:r>
      <w:r w:rsidRPr="00483E1F">
        <w:rPr>
          <w:sz w:val="22"/>
          <w:szCs w:val="22"/>
        </w:rPr>
        <w:t>мической обработки. Этим способом можно восстанавливать детали с износами до 0,2 мм с твердостью восстановленной поверхности до 60 HRC. Глубина упрочняемого слоя металла на поверхности дет</w:t>
      </w:r>
      <w:r w:rsidRPr="00483E1F">
        <w:rPr>
          <w:sz w:val="22"/>
          <w:szCs w:val="22"/>
        </w:rPr>
        <w:t>а</w:t>
      </w:r>
      <w:r w:rsidRPr="00483E1F">
        <w:rPr>
          <w:sz w:val="22"/>
          <w:szCs w:val="22"/>
        </w:rPr>
        <w:t>ли составляет – 0,2–0,35 мм [5].</w:t>
      </w:r>
    </w:p>
    <w:p w:rsidR="00E73FF0" w:rsidRPr="00483E1F" w:rsidRDefault="00E73FF0" w:rsidP="00483E1F">
      <w:pPr>
        <w:tabs>
          <w:tab w:val="left" w:pos="567"/>
        </w:tabs>
        <w:ind w:firstLine="426"/>
        <w:jc w:val="both"/>
        <w:rPr>
          <w:sz w:val="22"/>
          <w:szCs w:val="22"/>
        </w:rPr>
      </w:pPr>
      <w:r w:rsidRPr="00483E1F">
        <w:rPr>
          <w:sz w:val="22"/>
          <w:szCs w:val="22"/>
        </w:rPr>
        <w:t>Реализация этого способа на токарно-винторезном станке, п</w:t>
      </w:r>
      <w:r w:rsidRPr="00483E1F">
        <w:rPr>
          <w:sz w:val="22"/>
          <w:szCs w:val="22"/>
        </w:rPr>
        <w:t>о</w:t>
      </w:r>
      <w:r w:rsidRPr="00483E1F">
        <w:rPr>
          <w:sz w:val="22"/>
          <w:szCs w:val="22"/>
        </w:rPr>
        <w:t xml:space="preserve">сле установки на него дополнительного приспособления. Ток в зону обработки подводится через щеточное токопроводящее устройство </w:t>
      </w:r>
      <w:r w:rsidRPr="00483E1F">
        <w:rPr>
          <w:sz w:val="22"/>
          <w:szCs w:val="22"/>
        </w:rPr>
        <w:lastRenderedPageBreak/>
        <w:t>к патрону, в котором закреплена восстанавливаемая деталь. К нему подводится один из полюсов источника тока. Другой полюс прис</w:t>
      </w:r>
      <w:r w:rsidRPr="00483E1F">
        <w:rPr>
          <w:sz w:val="22"/>
          <w:szCs w:val="22"/>
        </w:rPr>
        <w:t>о</w:t>
      </w:r>
      <w:r w:rsidRPr="00483E1F">
        <w:rPr>
          <w:sz w:val="22"/>
          <w:szCs w:val="22"/>
        </w:rPr>
        <w:t>единяют к инструменту с выглаживающим роликом, который з</w:t>
      </w:r>
      <w:r w:rsidRPr="00483E1F">
        <w:rPr>
          <w:sz w:val="22"/>
          <w:szCs w:val="22"/>
        </w:rPr>
        <w:t>а</w:t>
      </w:r>
      <w:r w:rsidRPr="00483E1F">
        <w:rPr>
          <w:sz w:val="22"/>
          <w:szCs w:val="22"/>
        </w:rPr>
        <w:t>креплен в резцедержателе станка через токоизолирующие прокла</w:t>
      </w:r>
      <w:r w:rsidRPr="00483E1F">
        <w:rPr>
          <w:sz w:val="22"/>
          <w:szCs w:val="22"/>
        </w:rPr>
        <w:t>д</w:t>
      </w:r>
      <w:r w:rsidRPr="00483E1F">
        <w:rPr>
          <w:sz w:val="22"/>
          <w:szCs w:val="22"/>
        </w:rPr>
        <w:t>ки.</w:t>
      </w:r>
    </w:p>
    <w:p w:rsidR="00E73FF0" w:rsidRPr="00483E1F" w:rsidRDefault="00E73FF0" w:rsidP="00483E1F">
      <w:pPr>
        <w:tabs>
          <w:tab w:val="left" w:pos="567"/>
        </w:tabs>
        <w:ind w:firstLine="426"/>
        <w:jc w:val="both"/>
        <w:rPr>
          <w:sz w:val="22"/>
          <w:szCs w:val="22"/>
        </w:rPr>
      </w:pPr>
      <w:r w:rsidRPr="00483E1F">
        <w:rPr>
          <w:sz w:val="22"/>
          <w:szCs w:val="22"/>
        </w:rPr>
        <w:t>Технологический процесс протекает следующим образом. В патрон устанавливается восстанавливаемая деталь с наплавленным и предварительно обработанным поверхностным слоем. Включае</w:t>
      </w:r>
      <w:r w:rsidRPr="00483E1F">
        <w:rPr>
          <w:sz w:val="22"/>
          <w:szCs w:val="22"/>
        </w:rPr>
        <w:t>т</w:t>
      </w:r>
      <w:r w:rsidRPr="00483E1F">
        <w:rPr>
          <w:sz w:val="22"/>
          <w:szCs w:val="22"/>
        </w:rPr>
        <w:t>ся ток от низковольтного трансформатора типа УЭМО-2, вращение шпинделя станка и механизм продольной подачи суппорта. Резц</w:t>
      </w:r>
      <w:r w:rsidRPr="00483E1F">
        <w:rPr>
          <w:sz w:val="22"/>
          <w:szCs w:val="22"/>
        </w:rPr>
        <w:t>е</w:t>
      </w:r>
      <w:r w:rsidRPr="00483E1F">
        <w:rPr>
          <w:sz w:val="22"/>
          <w:szCs w:val="22"/>
        </w:rPr>
        <w:t>держатель с роликом подводят к обрабатываемой поверхности и путем поперечной подачи создают необходимое давление сглаж</w:t>
      </w:r>
      <w:r w:rsidRPr="00483E1F">
        <w:rPr>
          <w:sz w:val="22"/>
          <w:szCs w:val="22"/>
        </w:rPr>
        <w:t>и</w:t>
      </w:r>
      <w:r w:rsidRPr="00483E1F">
        <w:rPr>
          <w:sz w:val="22"/>
          <w:szCs w:val="22"/>
        </w:rPr>
        <w:t>вающего ролика.</w:t>
      </w:r>
    </w:p>
    <w:p w:rsidR="00E73FF0" w:rsidRPr="00483E1F" w:rsidRDefault="00E73FF0" w:rsidP="00483E1F">
      <w:pPr>
        <w:tabs>
          <w:tab w:val="left" w:pos="567"/>
        </w:tabs>
        <w:ind w:firstLine="426"/>
        <w:jc w:val="both"/>
        <w:rPr>
          <w:sz w:val="22"/>
          <w:szCs w:val="22"/>
        </w:rPr>
      </w:pPr>
      <w:r w:rsidRPr="00483E1F">
        <w:rPr>
          <w:sz w:val="22"/>
          <w:szCs w:val="22"/>
        </w:rPr>
        <w:t>Процесс осуществляется за один или несколько проходов до достижения требуемого качества, прочности и размеров восстана</w:t>
      </w:r>
      <w:r w:rsidRPr="00483E1F">
        <w:rPr>
          <w:sz w:val="22"/>
          <w:szCs w:val="22"/>
        </w:rPr>
        <w:t>в</w:t>
      </w:r>
      <w:r w:rsidRPr="00483E1F">
        <w:rPr>
          <w:sz w:val="22"/>
          <w:szCs w:val="22"/>
        </w:rPr>
        <w:t>ливаемой детали.</w:t>
      </w:r>
    </w:p>
    <w:p w:rsidR="00E73FF0" w:rsidRPr="00483E1F" w:rsidRDefault="00E73FF0" w:rsidP="00483E1F">
      <w:pPr>
        <w:tabs>
          <w:tab w:val="left" w:pos="567"/>
        </w:tabs>
        <w:ind w:firstLine="426"/>
        <w:jc w:val="both"/>
        <w:rPr>
          <w:sz w:val="22"/>
          <w:szCs w:val="22"/>
        </w:rPr>
      </w:pPr>
      <w:r w:rsidRPr="00483E1F">
        <w:rPr>
          <w:sz w:val="22"/>
          <w:szCs w:val="22"/>
        </w:rPr>
        <w:t>Вывод. Электромеханическая обработка изношенных деталей при ремонте является наиболее простым и экономичным способом обеспечивающим высокое качество, повышающим ресурс их раб</w:t>
      </w:r>
      <w:r w:rsidRPr="00483E1F">
        <w:rPr>
          <w:sz w:val="22"/>
          <w:szCs w:val="22"/>
        </w:rPr>
        <w:t>о</w:t>
      </w:r>
      <w:r w:rsidRPr="00483E1F">
        <w:rPr>
          <w:sz w:val="22"/>
          <w:szCs w:val="22"/>
        </w:rPr>
        <w:t>ты в сопряжении.</w:t>
      </w:r>
    </w:p>
    <w:p w:rsidR="00E73FF0" w:rsidRPr="00483E1F" w:rsidRDefault="00E73FF0" w:rsidP="00483E1F">
      <w:pPr>
        <w:tabs>
          <w:tab w:val="left" w:pos="567"/>
        </w:tabs>
        <w:ind w:firstLine="426"/>
        <w:jc w:val="both"/>
        <w:rPr>
          <w:sz w:val="22"/>
          <w:szCs w:val="22"/>
        </w:rPr>
      </w:pPr>
    </w:p>
    <w:p w:rsidR="00E73FF0" w:rsidRPr="00483E1F" w:rsidRDefault="00E73FF0" w:rsidP="00483E1F">
      <w:pPr>
        <w:tabs>
          <w:tab w:val="left" w:pos="567"/>
        </w:tabs>
        <w:ind w:firstLine="426"/>
        <w:jc w:val="center"/>
        <w:rPr>
          <w:bCs/>
          <w:sz w:val="22"/>
          <w:szCs w:val="22"/>
        </w:rPr>
      </w:pPr>
      <w:r w:rsidRPr="00483E1F">
        <w:rPr>
          <w:bCs/>
          <w:sz w:val="22"/>
          <w:szCs w:val="22"/>
        </w:rPr>
        <w:t>Список литературы</w:t>
      </w:r>
    </w:p>
    <w:p w:rsidR="00E73FF0" w:rsidRPr="00483E1F" w:rsidRDefault="00E73FF0" w:rsidP="00483E1F">
      <w:pPr>
        <w:tabs>
          <w:tab w:val="left" w:pos="567"/>
        </w:tabs>
        <w:ind w:firstLine="426"/>
        <w:jc w:val="both"/>
        <w:rPr>
          <w:bCs/>
          <w:sz w:val="22"/>
          <w:szCs w:val="22"/>
        </w:rPr>
      </w:pPr>
      <w:r w:rsidRPr="00483E1F">
        <w:rPr>
          <w:bCs/>
          <w:sz w:val="22"/>
          <w:szCs w:val="22"/>
        </w:rPr>
        <w:t>1. Организация инженерно-технической инфраструктуры рег</w:t>
      </w:r>
      <w:r w:rsidRPr="00483E1F">
        <w:rPr>
          <w:bCs/>
          <w:sz w:val="22"/>
          <w:szCs w:val="22"/>
        </w:rPr>
        <w:t>и</w:t>
      </w:r>
      <w:r w:rsidRPr="00483E1F">
        <w:rPr>
          <w:bCs/>
          <w:sz w:val="22"/>
          <w:szCs w:val="22"/>
        </w:rPr>
        <w:t xml:space="preserve">онального АПК. : учеб. пособие /  Савин И. Г., Чеботарев М. И., Андреев А. В., Масиенко И. В., Дмитриев С. А. – Краснодар : КубГАУ, 2017. – 112 с. </w:t>
      </w:r>
    </w:p>
    <w:p w:rsidR="00E73FF0" w:rsidRPr="00483E1F" w:rsidRDefault="00E73FF0" w:rsidP="00483E1F">
      <w:pPr>
        <w:tabs>
          <w:tab w:val="left" w:pos="567"/>
        </w:tabs>
        <w:ind w:firstLine="426"/>
        <w:jc w:val="both"/>
        <w:rPr>
          <w:bCs/>
          <w:sz w:val="22"/>
          <w:szCs w:val="22"/>
        </w:rPr>
      </w:pPr>
      <w:r w:rsidRPr="00483E1F">
        <w:rPr>
          <w:bCs/>
          <w:sz w:val="22"/>
          <w:szCs w:val="22"/>
        </w:rPr>
        <w:t>2. Исследование отказов технических систем предприятий а</w:t>
      </w:r>
      <w:r w:rsidRPr="00483E1F">
        <w:rPr>
          <w:bCs/>
          <w:sz w:val="22"/>
          <w:szCs w:val="22"/>
        </w:rPr>
        <w:t>г</w:t>
      </w:r>
      <w:r w:rsidRPr="00483E1F">
        <w:rPr>
          <w:bCs/>
          <w:sz w:val="22"/>
          <w:szCs w:val="22"/>
        </w:rPr>
        <w:t>ропромышленного комплекса. Гаврилов А. В., Дмитриев С. А., Ч</w:t>
      </w:r>
      <w:r w:rsidRPr="00483E1F">
        <w:rPr>
          <w:bCs/>
          <w:sz w:val="22"/>
          <w:szCs w:val="22"/>
        </w:rPr>
        <w:t>е</w:t>
      </w:r>
      <w:r w:rsidRPr="00483E1F">
        <w:rPr>
          <w:bCs/>
          <w:sz w:val="22"/>
          <w:szCs w:val="22"/>
        </w:rPr>
        <w:t>ботарев М. И. В сборнике: Научное обеспечение агропромышле</w:t>
      </w:r>
      <w:r w:rsidRPr="00483E1F">
        <w:rPr>
          <w:bCs/>
          <w:sz w:val="22"/>
          <w:szCs w:val="22"/>
        </w:rPr>
        <w:t>н</w:t>
      </w:r>
      <w:r w:rsidRPr="00483E1F">
        <w:rPr>
          <w:bCs/>
          <w:sz w:val="22"/>
          <w:szCs w:val="22"/>
        </w:rPr>
        <w:t>ного комплекса. Сборник статей по материалам Х Всероссийской конференции молодых ученых, посвященной 120-летию И. С. К</w:t>
      </w:r>
      <w:r w:rsidRPr="00483E1F">
        <w:rPr>
          <w:bCs/>
          <w:sz w:val="22"/>
          <w:szCs w:val="22"/>
        </w:rPr>
        <w:t>о</w:t>
      </w:r>
      <w:r w:rsidRPr="00483E1F">
        <w:rPr>
          <w:bCs/>
          <w:sz w:val="22"/>
          <w:szCs w:val="22"/>
        </w:rPr>
        <w:t>сенко. Отв. за вып. А. Г. Кощаев. 2017. С. 496–497.</w:t>
      </w:r>
    </w:p>
    <w:p w:rsidR="00E73FF0" w:rsidRPr="00483E1F" w:rsidRDefault="00E73FF0" w:rsidP="00483E1F">
      <w:pPr>
        <w:tabs>
          <w:tab w:val="left" w:pos="567"/>
        </w:tabs>
        <w:ind w:firstLine="426"/>
        <w:jc w:val="both"/>
        <w:rPr>
          <w:bCs/>
          <w:sz w:val="22"/>
          <w:szCs w:val="22"/>
        </w:rPr>
      </w:pPr>
      <w:r w:rsidRPr="00483E1F">
        <w:rPr>
          <w:bCs/>
          <w:sz w:val="22"/>
          <w:szCs w:val="22"/>
        </w:rPr>
        <w:t>3. Сравнительный анализ концепций технического сервиса в сельском хозяйстве. Чеботарев М. И., Шапиро Е. А. Труды Куба</w:t>
      </w:r>
      <w:r w:rsidRPr="00483E1F">
        <w:rPr>
          <w:bCs/>
          <w:sz w:val="22"/>
          <w:szCs w:val="22"/>
        </w:rPr>
        <w:t>н</w:t>
      </w:r>
      <w:r w:rsidRPr="00483E1F">
        <w:rPr>
          <w:bCs/>
          <w:sz w:val="22"/>
          <w:szCs w:val="22"/>
        </w:rPr>
        <w:t>ского государственного аграрного университета. 2015. № 52. С. 250–255.</w:t>
      </w:r>
    </w:p>
    <w:p w:rsidR="00E73FF0" w:rsidRPr="00483E1F" w:rsidRDefault="00E73FF0" w:rsidP="00483E1F">
      <w:pPr>
        <w:tabs>
          <w:tab w:val="left" w:pos="567"/>
        </w:tabs>
        <w:ind w:firstLine="426"/>
        <w:jc w:val="both"/>
        <w:rPr>
          <w:bCs/>
          <w:sz w:val="22"/>
          <w:szCs w:val="22"/>
        </w:rPr>
      </w:pPr>
      <w:r w:rsidRPr="00483E1F">
        <w:rPr>
          <w:bCs/>
          <w:sz w:val="22"/>
          <w:szCs w:val="22"/>
        </w:rPr>
        <w:t xml:space="preserve">4. Перспективы развития интегрированной базы технического сервиса машин в АПК. Чеботарев М. И., Савин И. Г., Александров </w:t>
      </w:r>
      <w:r w:rsidRPr="00483E1F">
        <w:rPr>
          <w:bCs/>
          <w:sz w:val="22"/>
          <w:szCs w:val="22"/>
        </w:rPr>
        <w:lastRenderedPageBreak/>
        <w:t>Н. Ю. Труды Кубанского государственного аграрного университета. 2015. № 56. С. 248–252.</w:t>
      </w:r>
    </w:p>
    <w:p w:rsidR="00E73FF0" w:rsidRPr="00483E1F" w:rsidRDefault="00E73FF0" w:rsidP="00483E1F">
      <w:pPr>
        <w:tabs>
          <w:tab w:val="left" w:pos="567"/>
        </w:tabs>
        <w:ind w:firstLine="426"/>
        <w:jc w:val="both"/>
        <w:rPr>
          <w:bCs/>
          <w:sz w:val="22"/>
          <w:szCs w:val="22"/>
        </w:rPr>
      </w:pPr>
      <w:r w:rsidRPr="00483E1F">
        <w:rPr>
          <w:bCs/>
          <w:sz w:val="22"/>
          <w:szCs w:val="22"/>
        </w:rPr>
        <w:t>5. Классификация методов технического обслуживания и р</w:t>
      </w:r>
      <w:r w:rsidRPr="00483E1F">
        <w:rPr>
          <w:bCs/>
          <w:sz w:val="22"/>
          <w:szCs w:val="22"/>
        </w:rPr>
        <w:t>е</w:t>
      </w:r>
      <w:r w:rsidRPr="00483E1F">
        <w:rPr>
          <w:bCs/>
          <w:sz w:val="22"/>
          <w:szCs w:val="22"/>
        </w:rPr>
        <w:t>монта автомобилей. Чеботарев М. И., Шапиро Е. А., Черноиванов А. Г. Актуальные направления научных исследований XXI века: теория и практика. 2015. Т. 3. № 4–1 (15–1). С. 228–232.</w:t>
      </w:r>
    </w:p>
    <w:p w:rsidR="00E73FF0" w:rsidRDefault="00E73FF0" w:rsidP="00B43BBC">
      <w:pPr>
        <w:pStyle w:val="31"/>
        <w:rPr>
          <w:sz w:val="22"/>
          <w:szCs w:val="22"/>
        </w:rPr>
      </w:pPr>
    </w:p>
    <w:p w:rsidR="00E73FF0" w:rsidRDefault="00E73FF0" w:rsidP="00B43BBC">
      <w:pPr>
        <w:pStyle w:val="31"/>
        <w:rPr>
          <w:sz w:val="22"/>
          <w:szCs w:val="22"/>
        </w:rPr>
      </w:pPr>
    </w:p>
    <w:p w:rsidR="00483E1F" w:rsidRDefault="00483E1F" w:rsidP="00662BE8">
      <w:pPr>
        <w:pStyle w:val="31"/>
        <w:ind w:firstLine="0"/>
        <w:rPr>
          <w:sz w:val="22"/>
          <w:szCs w:val="22"/>
        </w:rPr>
      </w:pPr>
    </w:p>
    <w:p w:rsidR="00E73FF0" w:rsidRDefault="00E73FF0" w:rsidP="00E73FF0">
      <w:pPr>
        <w:rPr>
          <w:bCs/>
          <w:sz w:val="22"/>
          <w:szCs w:val="22"/>
        </w:rPr>
      </w:pPr>
      <w:r w:rsidRPr="00E73FF0">
        <w:rPr>
          <w:bCs/>
          <w:sz w:val="22"/>
          <w:szCs w:val="22"/>
        </w:rPr>
        <w:t>УДК 331.435</w:t>
      </w:r>
    </w:p>
    <w:p w:rsidR="00483E1F" w:rsidRPr="00E73FF0" w:rsidRDefault="00483E1F" w:rsidP="00E73FF0">
      <w:pPr>
        <w:rPr>
          <w:bCs/>
          <w:sz w:val="22"/>
          <w:szCs w:val="22"/>
        </w:rPr>
      </w:pPr>
    </w:p>
    <w:p w:rsidR="00E73FF0" w:rsidRPr="00E73FF0" w:rsidRDefault="00E73FF0" w:rsidP="00E73FF0">
      <w:pPr>
        <w:ind w:firstLine="425"/>
        <w:jc w:val="center"/>
        <w:rPr>
          <w:b/>
          <w:bCs/>
          <w:sz w:val="24"/>
          <w:szCs w:val="24"/>
        </w:rPr>
      </w:pPr>
      <w:r w:rsidRPr="00E73FF0">
        <w:rPr>
          <w:b/>
          <w:bCs/>
          <w:sz w:val="24"/>
          <w:szCs w:val="24"/>
        </w:rPr>
        <w:t xml:space="preserve">Влияние ионизирующего излучения на организм </w:t>
      </w:r>
      <w:r w:rsidR="00483E1F">
        <w:rPr>
          <w:b/>
          <w:bCs/>
          <w:sz w:val="24"/>
          <w:szCs w:val="24"/>
        </w:rPr>
        <w:br/>
      </w:r>
      <w:r w:rsidRPr="00E73FF0">
        <w:rPr>
          <w:b/>
          <w:bCs/>
          <w:sz w:val="24"/>
          <w:szCs w:val="24"/>
        </w:rPr>
        <w:t>человека</w:t>
      </w:r>
    </w:p>
    <w:p w:rsidR="00E73FF0" w:rsidRPr="001E2F2C" w:rsidRDefault="00E73FF0" w:rsidP="00E73FF0">
      <w:pPr>
        <w:ind w:firstLine="425"/>
        <w:jc w:val="center"/>
        <w:rPr>
          <w:b/>
          <w:bCs/>
          <w:sz w:val="24"/>
          <w:szCs w:val="24"/>
        </w:rPr>
      </w:pPr>
      <w:r w:rsidRPr="00E73FF0">
        <w:rPr>
          <w:b/>
          <w:bCs/>
          <w:sz w:val="24"/>
          <w:szCs w:val="24"/>
          <w:lang w:val="en-US"/>
        </w:rPr>
        <w:t>The</w:t>
      </w:r>
      <w:r w:rsidRPr="001E2F2C">
        <w:rPr>
          <w:b/>
          <w:bCs/>
          <w:sz w:val="24"/>
          <w:szCs w:val="24"/>
        </w:rPr>
        <w:t xml:space="preserve"> </w:t>
      </w:r>
      <w:r w:rsidRPr="00E73FF0">
        <w:rPr>
          <w:b/>
          <w:bCs/>
          <w:sz w:val="24"/>
          <w:szCs w:val="24"/>
          <w:lang w:val="en-US"/>
        </w:rPr>
        <w:t>effect</w:t>
      </w:r>
      <w:r w:rsidRPr="001E2F2C">
        <w:rPr>
          <w:b/>
          <w:bCs/>
          <w:sz w:val="24"/>
          <w:szCs w:val="24"/>
        </w:rPr>
        <w:t xml:space="preserve"> </w:t>
      </w:r>
      <w:r w:rsidRPr="00E73FF0">
        <w:rPr>
          <w:b/>
          <w:bCs/>
          <w:sz w:val="24"/>
          <w:szCs w:val="24"/>
          <w:lang w:val="en-US"/>
        </w:rPr>
        <w:t>of</w:t>
      </w:r>
      <w:r w:rsidRPr="001E2F2C">
        <w:rPr>
          <w:b/>
          <w:bCs/>
          <w:sz w:val="24"/>
          <w:szCs w:val="24"/>
        </w:rPr>
        <w:t xml:space="preserve"> </w:t>
      </w:r>
      <w:r w:rsidRPr="00E73FF0">
        <w:rPr>
          <w:b/>
          <w:bCs/>
          <w:sz w:val="24"/>
          <w:szCs w:val="24"/>
          <w:lang w:val="en-US"/>
        </w:rPr>
        <w:t>ionizing</w:t>
      </w:r>
      <w:r w:rsidRPr="001E2F2C">
        <w:rPr>
          <w:b/>
          <w:bCs/>
          <w:sz w:val="24"/>
          <w:szCs w:val="24"/>
        </w:rPr>
        <w:t xml:space="preserve"> </w:t>
      </w:r>
      <w:r w:rsidRPr="00E73FF0">
        <w:rPr>
          <w:b/>
          <w:bCs/>
          <w:sz w:val="24"/>
          <w:szCs w:val="24"/>
          <w:lang w:val="en-US"/>
        </w:rPr>
        <w:t>radiation</w:t>
      </w:r>
      <w:r w:rsidRPr="001E2F2C">
        <w:rPr>
          <w:b/>
          <w:bCs/>
          <w:sz w:val="24"/>
          <w:szCs w:val="24"/>
        </w:rPr>
        <w:t xml:space="preserve"> </w:t>
      </w:r>
      <w:r w:rsidRPr="00E73FF0">
        <w:rPr>
          <w:b/>
          <w:bCs/>
          <w:sz w:val="24"/>
          <w:szCs w:val="24"/>
          <w:lang w:val="en-US"/>
        </w:rPr>
        <w:t>on</w:t>
      </w:r>
      <w:r w:rsidRPr="001E2F2C">
        <w:rPr>
          <w:b/>
          <w:bCs/>
          <w:sz w:val="24"/>
          <w:szCs w:val="24"/>
        </w:rPr>
        <w:t xml:space="preserve"> </w:t>
      </w:r>
      <w:r w:rsidRPr="00E73FF0">
        <w:rPr>
          <w:b/>
          <w:bCs/>
          <w:sz w:val="24"/>
          <w:szCs w:val="24"/>
          <w:lang w:val="en-US"/>
        </w:rPr>
        <w:t>the</w:t>
      </w:r>
      <w:r w:rsidRPr="001E2F2C">
        <w:rPr>
          <w:b/>
          <w:bCs/>
          <w:sz w:val="24"/>
          <w:szCs w:val="24"/>
        </w:rPr>
        <w:t xml:space="preserve"> </w:t>
      </w:r>
      <w:r w:rsidRPr="00E73FF0">
        <w:rPr>
          <w:b/>
          <w:bCs/>
          <w:sz w:val="24"/>
          <w:szCs w:val="24"/>
          <w:lang w:val="en-US"/>
        </w:rPr>
        <w:t>human</w:t>
      </w:r>
      <w:r w:rsidRPr="001E2F2C">
        <w:rPr>
          <w:b/>
          <w:bCs/>
          <w:sz w:val="24"/>
          <w:szCs w:val="24"/>
        </w:rPr>
        <w:t xml:space="preserve"> </w:t>
      </w:r>
      <w:r w:rsidRPr="00E73FF0">
        <w:rPr>
          <w:b/>
          <w:bCs/>
          <w:sz w:val="24"/>
          <w:szCs w:val="24"/>
          <w:lang w:val="en-US"/>
        </w:rPr>
        <w:t>body</w:t>
      </w:r>
    </w:p>
    <w:p w:rsidR="00E73FF0" w:rsidRPr="001E2F2C" w:rsidRDefault="00E73FF0" w:rsidP="00E73FF0">
      <w:pPr>
        <w:ind w:firstLine="425"/>
        <w:jc w:val="center"/>
        <w:rPr>
          <w:b/>
          <w:bCs/>
          <w:sz w:val="24"/>
          <w:szCs w:val="24"/>
        </w:rPr>
      </w:pPr>
    </w:p>
    <w:p w:rsidR="00E73FF0" w:rsidRPr="00E73FF0" w:rsidRDefault="00E73FF0" w:rsidP="00E73FF0">
      <w:pPr>
        <w:ind w:firstLine="425"/>
        <w:jc w:val="right"/>
        <w:rPr>
          <w:sz w:val="22"/>
          <w:szCs w:val="22"/>
        </w:rPr>
      </w:pPr>
      <w:r w:rsidRPr="00E73FF0">
        <w:rPr>
          <w:sz w:val="22"/>
          <w:szCs w:val="22"/>
        </w:rPr>
        <w:t>Караев</w:t>
      </w:r>
      <w:r w:rsidR="00483E1F">
        <w:rPr>
          <w:sz w:val="22"/>
          <w:szCs w:val="22"/>
        </w:rPr>
        <w:t xml:space="preserve"> </w:t>
      </w:r>
      <w:r w:rsidR="00483E1F" w:rsidRPr="00E73FF0">
        <w:rPr>
          <w:sz w:val="22"/>
          <w:szCs w:val="22"/>
        </w:rPr>
        <w:t>А. В.</w:t>
      </w:r>
      <w:r w:rsidRPr="00E73FF0">
        <w:rPr>
          <w:sz w:val="22"/>
          <w:szCs w:val="22"/>
        </w:rPr>
        <w:t>,</w:t>
      </w:r>
    </w:p>
    <w:p w:rsidR="00E73FF0" w:rsidRPr="00E73FF0" w:rsidRDefault="00483E1F" w:rsidP="00E73FF0">
      <w:pPr>
        <w:ind w:firstLine="425"/>
        <w:jc w:val="right"/>
        <w:rPr>
          <w:sz w:val="22"/>
          <w:szCs w:val="22"/>
        </w:rPr>
      </w:pPr>
      <w:r>
        <w:rPr>
          <w:sz w:val="22"/>
          <w:szCs w:val="22"/>
        </w:rPr>
        <w:t xml:space="preserve"> студент факультета п</w:t>
      </w:r>
      <w:r w:rsidR="00E73FF0" w:rsidRPr="00E73FF0">
        <w:rPr>
          <w:sz w:val="22"/>
          <w:szCs w:val="22"/>
        </w:rPr>
        <w:t>рикладной информатики</w:t>
      </w:r>
    </w:p>
    <w:p w:rsidR="00E73FF0" w:rsidRPr="00E73FF0" w:rsidRDefault="00E73FF0" w:rsidP="00E73FF0">
      <w:pPr>
        <w:ind w:firstLine="425"/>
        <w:jc w:val="right"/>
        <w:rPr>
          <w:sz w:val="22"/>
          <w:szCs w:val="22"/>
        </w:rPr>
      </w:pPr>
      <w:r w:rsidRPr="00E73FF0">
        <w:rPr>
          <w:sz w:val="22"/>
          <w:szCs w:val="22"/>
        </w:rPr>
        <w:t>Инюкина</w:t>
      </w:r>
      <w:r w:rsidR="00483E1F" w:rsidRPr="00483E1F">
        <w:rPr>
          <w:sz w:val="22"/>
          <w:szCs w:val="22"/>
        </w:rPr>
        <w:t xml:space="preserve"> </w:t>
      </w:r>
      <w:r w:rsidR="00483E1F" w:rsidRPr="00E73FF0">
        <w:rPr>
          <w:sz w:val="22"/>
          <w:szCs w:val="22"/>
        </w:rPr>
        <w:t>Т. А.</w:t>
      </w:r>
      <w:r w:rsidRPr="00E73FF0">
        <w:rPr>
          <w:sz w:val="22"/>
          <w:szCs w:val="22"/>
        </w:rPr>
        <w:t>,</w:t>
      </w:r>
    </w:p>
    <w:p w:rsidR="00E73FF0" w:rsidRPr="00E73FF0" w:rsidRDefault="00483E1F" w:rsidP="00E73FF0">
      <w:pPr>
        <w:ind w:firstLine="425"/>
        <w:jc w:val="right"/>
        <w:rPr>
          <w:sz w:val="22"/>
          <w:szCs w:val="22"/>
        </w:rPr>
      </w:pPr>
      <w:r>
        <w:rPr>
          <w:sz w:val="22"/>
          <w:szCs w:val="22"/>
        </w:rPr>
        <w:t xml:space="preserve"> доцент кафедры м</w:t>
      </w:r>
      <w:r w:rsidR="00E73FF0" w:rsidRPr="00E73FF0">
        <w:rPr>
          <w:sz w:val="22"/>
          <w:szCs w:val="22"/>
        </w:rPr>
        <w:t>еханизации животноводства и БЖД</w:t>
      </w:r>
    </w:p>
    <w:p w:rsidR="00E73FF0" w:rsidRPr="00E73FF0" w:rsidRDefault="00E73FF0" w:rsidP="00E73FF0">
      <w:pPr>
        <w:ind w:firstLine="425"/>
        <w:jc w:val="right"/>
        <w:rPr>
          <w:sz w:val="22"/>
          <w:szCs w:val="22"/>
        </w:rPr>
      </w:pPr>
      <w:r w:rsidRPr="00E73FF0">
        <w:rPr>
          <w:sz w:val="22"/>
          <w:szCs w:val="22"/>
        </w:rPr>
        <w:t>Кубанский государственный аграрный</w:t>
      </w:r>
    </w:p>
    <w:p w:rsidR="00E73FF0" w:rsidRPr="00E73FF0" w:rsidRDefault="00E73FF0" w:rsidP="00E73FF0">
      <w:pPr>
        <w:ind w:firstLine="425"/>
        <w:jc w:val="right"/>
        <w:rPr>
          <w:sz w:val="22"/>
          <w:szCs w:val="22"/>
        </w:rPr>
      </w:pPr>
      <w:r w:rsidRPr="00E73FF0">
        <w:rPr>
          <w:sz w:val="22"/>
          <w:szCs w:val="22"/>
        </w:rPr>
        <w:t>университет имени И.</w:t>
      </w:r>
      <w:r w:rsidR="00483E1F">
        <w:rPr>
          <w:sz w:val="22"/>
          <w:szCs w:val="22"/>
        </w:rPr>
        <w:t xml:space="preserve"> </w:t>
      </w:r>
      <w:r w:rsidRPr="00E73FF0">
        <w:rPr>
          <w:sz w:val="22"/>
          <w:szCs w:val="22"/>
        </w:rPr>
        <w:t>Т. Трубилина</w:t>
      </w:r>
    </w:p>
    <w:p w:rsidR="00E73FF0" w:rsidRPr="00E73FF0" w:rsidRDefault="00E73FF0" w:rsidP="00E73FF0">
      <w:pPr>
        <w:ind w:firstLine="425"/>
        <w:rPr>
          <w:sz w:val="22"/>
          <w:szCs w:val="22"/>
        </w:rPr>
      </w:pPr>
    </w:p>
    <w:p w:rsidR="00E73FF0" w:rsidRPr="00E73FF0" w:rsidRDefault="00E73FF0" w:rsidP="00E73FF0">
      <w:pPr>
        <w:ind w:firstLine="425"/>
        <w:jc w:val="both"/>
        <w:rPr>
          <w:sz w:val="22"/>
          <w:szCs w:val="22"/>
        </w:rPr>
      </w:pPr>
      <w:r w:rsidRPr="00E73FF0">
        <w:rPr>
          <w:sz w:val="22"/>
          <w:szCs w:val="22"/>
        </w:rPr>
        <w:t>АННОТАЦИЯ: В статье изучены источники и влияние иониз</w:t>
      </w:r>
      <w:r w:rsidRPr="00E73FF0">
        <w:rPr>
          <w:sz w:val="22"/>
          <w:szCs w:val="22"/>
        </w:rPr>
        <w:t>и</w:t>
      </w:r>
      <w:r w:rsidRPr="00E73FF0">
        <w:rPr>
          <w:sz w:val="22"/>
          <w:szCs w:val="22"/>
        </w:rPr>
        <w:t>рующего излучения на различные системы органов организма чел</w:t>
      </w:r>
      <w:r w:rsidRPr="00E73FF0">
        <w:rPr>
          <w:sz w:val="22"/>
          <w:szCs w:val="22"/>
        </w:rPr>
        <w:t>о</w:t>
      </w:r>
      <w:r w:rsidRPr="00E73FF0">
        <w:rPr>
          <w:sz w:val="22"/>
          <w:szCs w:val="22"/>
        </w:rPr>
        <w:t>века, приведены способы и принципы защиты от ионизирующего излучения.</w:t>
      </w:r>
    </w:p>
    <w:p w:rsidR="00E73FF0" w:rsidRPr="00E73FF0" w:rsidRDefault="00E73FF0" w:rsidP="00E73FF0">
      <w:pPr>
        <w:ind w:firstLine="425"/>
        <w:jc w:val="both"/>
        <w:rPr>
          <w:sz w:val="22"/>
          <w:szCs w:val="22"/>
          <w:lang w:val="en-US"/>
        </w:rPr>
      </w:pPr>
      <w:r w:rsidRPr="00E73FF0">
        <w:rPr>
          <w:sz w:val="22"/>
          <w:szCs w:val="22"/>
          <w:lang w:val="en-US"/>
        </w:rPr>
        <w:t>ABSTRACT: The paper examined the sources and effect of ioni</w:t>
      </w:r>
      <w:r w:rsidRPr="00E73FF0">
        <w:rPr>
          <w:sz w:val="22"/>
          <w:szCs w:val="22"/>
          <w:lang w:val="en-US"/>
        </w:rPr>
        <w:t>z</w:t>
      </w:r>
      <w:r w:rsidRPr="00E73FF0">
        <w:rPr>
          <w:sz w:val="22"/>
          <w:szCs w:val="22"/>
          <w:lang w:val="en-US"/>
        </w:rPr>
        <w:t>ing radiation on various organ systems of the human body, are methods and principles for protection against ionizing radiation.</w:t>
      </w:r>
    </w:p>
    <w:p w:rsidR="00E73FF0" w:rsidRPr="00E73FF0" w:rsidRDefault="00E73FF0" w:rsidP="00E73FF0">
      <w:pPr>
        <w:ind w:firstLine="425"/>
        <w:jc w:val="both"/>
        <w:rPr>
          <w:sz w:val="22"/>
          <w:szCs w:val="22"/>
        </w:rPr>
      </w:pPr>
      <w:r w:rsidRPr="00E73FF0">
        <w:rPr>
          <w:sz w:val="22"/>
          <w:szCs w:val="22"/>
        </w:rPr>
        <w:t>КЛЮЧЕВЫЕ СЛОВА: ионизирующее излучение, лучевая б</w:t>
      </w:r>
      <w:r w:rsidRPr="00E73FF0">
        <w:rPr>
          <w:sz w:val="22"/>
          <w:szCs w:val="22"/>
        </w:rPr>
        <w:t>о</w:t>
      </w:r>
      <w:r w:rsidRPr="00E73FF0">
        <w:rPr>
          <w:sz w:val="22"/>
          <w:szCs w:val="22"/>
        </w:rPr>
        <w:t>лезнь, источники излучения, виды излучения, защита.</w:t>
      </w:r>
    </w:p>
    <w:p w:rsidR="00E73FF0" w:rsidRPr="00E73FF0" w:rsidRDefault="00E73FF0" w:rsidP="00E73FF0">
      <w:pPr>
        <w:ind w:firstLine="425"/>
        <w:jc w:val="both"/>
        <w:rPr>
          <w:sz w:val="22"/>
          <w:szCs w:val="22"/>
          <w:lang w:val="en-US"/>
        </w:rPr>
      </w:pPr>
      <w:r w:rsidRPr="00E73FF0">
        <w:rPr>
          <w:sz w:val="22"/>
          <w:szCs w:val="22"/>
          <w:lang w:val="en-US"/>
        </w:rPr>
        <w:t>KEYWORDS: ionizing radiation, radiation sickness, radiation sources, types of radiation, protection.</w:t>
      </w:r>
    </w:p>
    <w:p w:rsidR="00E73FF0" w:rsidRPr="00E73FF0" w:rsidRDefault="00E73FF0" w:rsidP="00E73FF0">
      <w:pPr>
        <w:ind w:firstLine="425"/>
        <w:jc w:val="both"/>
        <w:rPr>
          <w:sz w:val="22"/>
          <w:szCs w:val="22"/>
          <w:lang w:val="en-US"/>
        </w:rPr>
      </w:pPr>
    </w:p>
    <w:p w:rsidR="00E73FF0" w:rsidRPr="00E73FF0" w:rsidRDefault="00E73FF0" w:rsidP="00E73FF0">
      <w:pPr>
        <w:ind w:firstLine="425"/>
        <w:jc w:val="both"/>
        <w:rPr>
          <w:bCs/>
          <w:sz w:val="22"/>
          <w:szCs w:val="22"/>
        </w:rPr>
      </w:pPr>
      <w:r w:rsidRPr="00E73FF0">
        <w:rPr>
          <w:bCs/>
          <w:sz w:val="22"/>
          <w:szCs w:val="22"/>
        </w:rPr>
        <w:t>Естественный радиационный фон включает космическое изл</w:t>
      </w:r>
      <w:r w:rsidRPr="00E73FF0">
        <w:rPr>
          <w:bCs/>
          <w:sz w:val="22"/>
          <w:szCs w:val="22"/>
        </w:rPr>
        <w:t>у</w:t>
      </w:r>
      <w:r w:rsidRPr="00E73FF0">
        <w:rPr>
          <w:bCs/>
          <w:sz w:val="22"/>
          <w:szCs w:val="22"/>
        </w:rPr>
        <w:t>чение и излучения радиоактивных элементов, природные недра, а также живые организмы, суммарная доза которых колеблется в ра</w:t>
      </w:r>
      <w:r w:rsidRPr="00E73FF0">
        <w:rPr>
          <w:bCs/>
          <w:sz w:val="22"/>
          <w:szCs w:val="22"/>
        </w:rPr>
        <w:t>з</w:t>
      </w:r>
      <w:r w:rsidRPr="00E73FF0">
        <w:rPr>
          <w:bCs/>
          <w:sz w:val="22"/>
          <w:szCs w:val="22"/>
        </w:rPr>
        <w:lastRenderedPageBreak/>
        <w:t>личных районах Земли в довольно широких пределах. При этом значительную роль играют техногенные радиоактивные источники, которые используются в медицине, при производстве электро- и тепловой энергии, в системах сигнализации, приборов для поиска полезных ископаемых, в военном деле и др.</w:t>
      </w:r>
    </w:p>
    <w:p w:rsidR="00E73FF0" w:rsidRPr="00E73FF0" w:rsidRDefault="00E73FF0" w:rsidP="00E73FF0">
      <w:pPr>
        <w:ind w:firstLine="425"/>
        <w:jc w:val="both"/>
        <w:rPr>
          <w:bCs/>
          <w:sz w:val="22"/>
          <w:szCs w:val="22"/>
        </w:rPr>
      </w:pPr>
      <w:r w:rsidRPr="00E73FF0">
        <w:rPr>
          <w:bCs/>
          <w:sz w:val="22"/>
          <w:szCs w:val="22"/>
        </w:rPr>
        <w:t>Медицинские приборы, предназначенные для диагностики и лечения и связанные с применением радиоактивности, также вносят основной вклад в дозу, получаемую человеком от техногенных и</w:t>
      </w:r>
      <w:r w:rsidRPr="00E73FF0">
        <w:rPr>
          <w:bCs/>
          <w:sz w:val="22"/>
          <w:szCs w:val="22"/>
        </w:rPr>
        <w:t>с</w:t>
      </w:r>
      <w:r w:rsidRPr="00E73FF0">
        <w:rPr>
          <w:bCs/>
          <w:sz w:val="22"/>
          <w:szCs w:val="22"/>
        </w:rPr>
        <w:t>точников. Самым используемым прибором является рентгеновский аппарат, а лучевая терапия используется для лечения раковой оп</w:t>
      </w:r>
      <w:r w:rsidRPr="00E73FF0">
        <w:rPr>
          <w:bCs/>
          <w:sz w:val="22"/>
          <w:szCs w:val="22"/>
        </w:rPr>
        <w:t>у</w:t>
      </w:r>
      <w:r w:rsidRPr="00E73FF0">
        <w:rPr>
          <w:bCs/>
          <w:sz w:val="22"/>
          <w:szCs w:val="22"/>
        </w:rPr>
        <w:t>холи [2].</w:t>
      </w:r>
    </w:p>
    <w:p w:rsidR="00E73FF0" w:rsidRPr="00E73FF0" w:rsidRDefault="00E73FF0" w:rsidP="00E73FF0">
      <w:pPr>
        <w:ind w:firstLine="425"/>
        <w:jc w:val="both"/>
        <w:rPr>
          <w:sz w:val="22"/>
          <w:szCs w:val="22"/>
        </w:rPr>
      </w:pPr>
      <w:r w:rsidRPr="00E73FF0">
        <w:rPr>
          <w:sz w:val="22"/>
          <w:szCs w:val="22"/>
        </w:rPr>
        <w:t>Ионизирующее излучение – это вид электромагнитного изл</w:t>
      </w:r>
      <w:r w:rsidRPr="00E73FF0">
        <w:rPr>
          <w:sz w:val="22"/>
          <w:szCs w:val="22"/>
        </w:rPr>
        <w:t>у</w:t>
      </w:r>
      <w:r w:rsidRPr="00E73FF0">
        <w:rPr>
          <w:sz w:val="22"/>
          <w:szCs w:val="22"/>
        </w:rPr>
        <w:t>чения, которое создается при радиоактивном распаде, ядерных пр</w:t>
      </w:r>
      <w:r w:rsidRPr="00E73FF0">
        <w:rPr>
          <w:sz w:val="22"/>
          <w:szCs w:val="22"/>
        </w:rPr>
        <w:t>е</w:t>
      </w:r>
      <w:r w:rsidRPr="00E73FF0">
        <w:rPr>
          <w:sz w:val="22"/>
          <w:szCs w:val="22"/>
        </w:rPr>
        <w:t>вращениях, торможении заряженных частиц в веществе.</w:t>
      </w:r>
    </w:p>
    <w:p w:rsidR="00E73FF0" w:rsidRPr="00E73FF0" w:rsidRDefault="00E73FF0" w:rsidP="00483E1F">
      <w:pPr>
        <w:ind w:firstLine="425"/>
        <w:jc w:val="both"/>
        <w:rPr>
          <w:sz w:val="22"/>
          <w:szCs w:val="22"/>
        </w:rPr>
      </w:pPr>
      <w:r w:rsidRPr="00E73FF0">
        <w:rPr>
          <w:sz w:val="22"/>
          <w:szCs w:val="22"/>
        </w:rPr>
        <w:t>Существует два вида ионизирующего излучения:</w:t>
      </w:r>
    </w:p>
    <w:p w:rsidR="00E73FF0" w:rsidRPr="00E73FF0" w:rsidRDefault="00E73FF0" w:rsidP="00483E1F">
      <w:pPr>
        <w:numPr>
          <w:ilvl w:val="0"/>
          <w:numId w:val="17"/>
        </w:numPr>
        <w:spacing w:line="259" w:lineRule="auto"/>
        <w:ind w:left="0" w:firstLine="425"/>
        <w:jc w:val="both"/>
        <w:rPr>
          <w:sz w:val="22"/>
          <w:szCs w:val="22"/>
        </w:rPr>
      </w:pPr>
      <w:r w:rsidRPr="00E73FF0">
        <w:rPr>
          <w:sz w:val="22"/>
          <w:szCs w:val="22"/>
        </w:rPr>
        <w:t>корпускулярное – альфа, бета-излучение и нейтронное и</w:t>
      </w:r>
      <w:r w:rsidRPr="00E73FF0">
        <w:rPr>
          <w:sz w:val="22"/>
          <w:szCs w:val="22"/>
        </w:rPr>
        <w:t>з</w:t>
      </w:r>
      <w:r w:rsidRPr="00E73FF0">
        <w:rPr>
          <w:sz w:val="22"/>
          <w:szCs w:val="22"/>
        </w:rPr>
        <w:t>лучение;</w:t>
      </w:r>
    </w:p>
    <w:p w:rsidR="00E73FF0" w:rsidRPr="00E73FF0" w:rsidRDefault="00E73FF0" w:rsidP="00483E1F">
      <w:pPr>
        <w:numPr>
          <w:ilvl w:val="0"/>
          <w:numId w:val="17"/>
        </w:numPr>
        <w:spacing w:line="259" w:lineRule="auto"/>
        <w:ind w:left="0" w:firstLine="425"/>
        <w:jc w:val="both"/>
        <w:rPr>
          <w:sz w:val="22"/>
          <w:szCs w:val="22"/>
        </w:rPr>
      </w:pPr>
      <w:r w:rsidRPr="00E73FF0">
        <w:rPr>
          <w:sz w:val="22"/>
          <w:szCs w:val="22"/>
        </w:rPr>
        <w:t>фотонное – гамма-излучение и рентгеновское.</w:t>
      </w:r>
    </w:p>
    <w:p w:rsidR="00E73FF0" w:rsidRPr="00E73FF0" w:rsidRDefault="00E73FF0" w:rsidP="00483E1F">
      <w:pPr>
        <w:ind w:firstLine="425"/>
        <w:jc w:val="both"/>
        <w:rPr>
          <w:sz w:val="22"/>
          <w:szCs w:val="22"/>
        </w:rPr>
      </w:pPr>
      <w:r w:rsidRPr="00E73FF0">
        <w:rPr>
          <w:sz w:val="22"/>
          <w:szCs w:val="22"/>
        </w:rPr>
        <w:t>Количественной характеристикой ионизирующего излучения и вещества является поглощенная доза, представляющая собой отн</w:t>
      </w:r>
      <w:r w:rsidRPr="00E73FF0">
        <w:rPr>
          <w:sz w:val="22"/>
          <w:szCs w:val="22"/>
        </w:rPr>
        <w:t>о</w:t>
      </w:r>
      <w:r w:rsidRPr="00E73FF0">
        <w:rPr>
          <w:sz w:val="22"/>
          <w:szCs w:val="22"/>
        </w:rPr>
        <w:t>шение средней энергии, переданной ионизирующим излучением веществу к его массе. В качестве единицы поглощенной дозы пр</w:t>
      </w:r>
      <w:r w:rsidRPr="00E73FF0">
        <w:rPr>
          <w:sz w:val="22"/>
          <w:szCs w:val="22"/>
        </w:rPr>
        <w:t>и</w:t>
      </w:r>
      <w:r w:rsidRPr="00E73FF0">
        <w:rPr>
          <w:sz w:val="22"/>
          <w:szCs w:val="22"/>
        </w:rPr>
        <w:t>нят грей (Гр).</w:t>
      </w:r>
    </w:p>
    <w:p w:rsidR="00E73FF0" w:rsidRPr="00E73FF0" w:rsidRDefault="00E73FF0" w:rsidP="00E73FF0">
      <w:pPr>
        <w:ind w:firstLine="425"/>
        <w:jc w:val="both"/>
        <w:rPr>
          <w:sz w:val="22"/>
          <w:szCs w:val="22"/>
        </w:rPr>
      </w:pPr>
      <w:r w:rsidRPr="00E73FF0">
        <w:rPr>
          <w:sz w:val="22"/>
          <w:szCs w:val="22"/>
        </w:rPr>
        <w:t>Существует внешнее и внутреннее облучение организма. И</w:t>
      </w:r>
      <w:r w:rsidRPr="00E73FF0">
        <w:rPr>
          <w:sz w:val="22"/>
          <w:szCs w:val="22"/>
        </w:rPr>
        <w:t>с</w:t>
      </w:r>
      <w:r w:rsidRPr="00E73FF0">
        <w:rPr>
          <w:sz w:val="22"/>
          <w:szCs w:val="22"/>
        </w:rPr>
        <w:t>точником внешнего облучения являются космические лучи, ускор</w:t>
      </w:r>
      <w:r w:rsidRPr="00E73FF0">
        <w:rPr>
          <w:sz w:val="22"/>
          <w:szCs w:val="22"/>
        </w:rPr>
        <w:t>и</w:t>
      </w:r>
      <w:r w:rsidRPr="00E73FF0">
        <w:rPr>
          <w:sz w:val="22"/>
          <w:szCs w:val="22"/>
        </w:rPr>
        <w:t>тели заряженных частиц, ядерные реакторы. Внутреннее облучение осуществляется радиоактивными веществами, которые проникают в организм через дыхательные пути, кожные покровы, желудочно-кишечный тракт при приеме пищи, загрязненной воды, курении.</w:t>
      </w:r>
    </w:p>
    <w:p w:rsidR="00E73FF0" w:rsidRPr="00E73FF0" w:rsidRDefault="00E73FF0" w:rsidP="00483E1F">
      <w:pPr>
        <w:ind w:firstLine="425"/>
        <w:jc w:val="both"/>
        <w:rPr>
          <w:sz w:val="22"/>
          <w:szCs w:val="22"/>
        </w:rPr>
      </w:pPr>
      <w:r w:rsidRPr="00E73FF0">
        <w:rPr>
          <w:sz w:val="22"/>
          <w:szCs w:val="22"/>
        </w:rPr>
        <w:t>Ионизирующее излучение вызывает у человека лучевую б</w:t>
      </w:r>
      <w:r w:rsidRPr="00E73FF0">
        <w:rPr>
          <w:sz w:val="22"/>
          <w:szCs w:val="22"/>
        </w:rPr>
        <w:t>о</w:t>
      </w:r>
      <w:r w:rsidRPr="00E73FF0">
        <w:rPr>
          <w:sz w:val="22"/>
          <w:szCs w:val="22"/>
        </w:rPr>
        <w:t>лезнь, которая в зависимости от степени поражения подразделяется на три стадии и проявляется следующими симптомами:</w:t>
      </w:r>
    </w:p>
    <w:p w:rsidR="00E73FF0" w:rsidRPr="00E73FF0" w:rsidRDefault="00E73FF0" w:rsidP="00483E1F">
      <w:pPr>
        <w:numPr>
          <w:ilvl w:val="0"/>
          <w:numId w:val="18"/>
        </w:numPr>
        <w:spacing w:line="259" w:lineRule="auto"/>
        <w:ind w:left="0" w:firstLine="425"/>
        <w:jc w:val="both"/>
        <w:rPr>
          <w:sz w:val="22"/>
          <w:szCs w:val="22"/>
        </w:rPr>
      </w:pPr>
      <w:r w:rsidRPr="00E73FF0">
        <w:rPr>
          <w:sz w:val="22"/>
          <w:szCs w:val="22"/>
        </w:rPr>
        <w:t>слабость, головные боли, нарушение обмена веществ;</w:t>
      </w:r>
    </w:p>
    <w:p w:rsidR="00E73FF0" w:rsidRPr="00E73FF0" w:rsidRDefault="00E73FF0" w:rsidP="00483E1F">
      <w:pPr>
        <w:numPr>
          <w:ilvl w:val="0"/>
          <w:numId w:val="18"/>
        </w:numPr>
        <w:spacing w:line="259" w:lineRule="auto"/>
        <w:ind w:left="0" w:firstLine="425"/>
        <w:jc w:val="both"/>
        <w:rPr>
          <w:sz w:val="22"/>
          <w:szCs w:val="22"/>
        </w:rPr>
      </w:pPr>
      <w:r w:rsidRPr="00E73FF0">
        <w:rPr>
          <w:sz w:val="22"/>
          <w:szCs w:val="22"/>
        </w:rPr>
        <w:t>кровоизлияние, выпадение волос;</w:t>
      </w:r>
    </w:p>
    <w:p w:rsidR="00E73FF0" w:rsidRPr="00E73FF0" w:rsidRDefault="00E73FF0" w:rsidP="00483E1F">
      <w:pPr>
        <w:numPr>
          <w:ilvl w:val="0"/>
          <w:numId w:val="18"/>
        </w:numPr>
        <w:spacing w:line="259" w:lineRule="auto"/>
        <w:ind w:left="0" w:firstLine="425"/>
        <w:jc w:val="both"/>
        <w:rPr>
          <w:sz w:val="22"/>
          <w:szCs w:val="22"/>
        </w:rPr>
      </w:pPr>
      <w:r w:rsidRPr="00E73FF0">
        <w:rPr>
          <w:sz w:val="22"/>
          <w:szCs w:val="22"/>
        </w:rPr>
        <w:t>развитие злокачественных опухолей, заболеваний кров</w:t>
      </w:r>
      <w:r w:rsidRPr="00E73FF0">
        <w:rPr>
          <w:sz w:val="22"/>
          <w:szCs w:val="22"/>
        </w:rPr>
        <w:t>е</w:t>
      </w:r>
      <w:r w:rsidRPr="00E73FF0">
        <w:rPr>
          <w:sz w:val="22"/>
          <w:szCs w:val="22"/>
        </w:rPr>
        <w:t>творных органов.</w:t>
      </w:r>
    </w:p>
    <w:p w:rsidR="00E73FF0" w:rsidRPr="00E73FF0" w:rsidRDefault="00E73FF0" w:rsidP="00483E1F">
      <w:pPr>
        <w:ind w:firstLine="425"/>
        <w:jc w:val="both"/>
        <w:rPr>
          <w:bCs/>
          <w:sz w:val="22"/>
          <w:szCs w:val="22"/>
        </w:rPr>
      </w:pPr>
      <w:r w:rsidRPr="00E73FF0">
        <w:rPr>
          <w:bCs/>
          <w:sz w:val="22"/>
          <w:szCs w:val="22"/>
        </w:rPr>
        <w:lastRenderedPageBreak/>
        <w:t>Источником ионизирующего излучения являются также аварии на АЭС, ядерные взрывы и другие ядерные превращения. По своей природе ядерное излучение может быть электромагнитным, как например, гамма-излучение, или представлять поток быстро дв</w:t>
      </w:r>
      <w:r w:rsidRPr="00E73FF0">
        <w:rPr>
          <w:bCs/>
          <w:sz w:val="22"/>
          <w:szCs w:val="22"/>
        </w:rPr>
        <w:t>и</w:t>
      </w:r>
      <w:r w:rsidRPr="00E73FF0">
        <w:rPr>
          <w:bCs/>
          <w:sz w:val="22"/>
          <w:szCs w:val="22"/>
        </w:rPr>
        <w:t>жущихся элементарных частиц – нейтронов, протонов, бета и ал</w:t>
      </w:r>
      <w:r w:rsidRPr="00E73FF0">
        <w:rPr>
          <w:bCs/>
          <w:sz w:val="22"/>
          <w:szCs w:val="22"/>
        </w:rPr>
        <w:t>ь</w:t>
      </w:r>
      <w:r w:rsidRPr="00E73FF0">
        <w:rPr>
          <w:bCs/>
          <w:sz w:val="22"/>
          <w:szCs w:val="22"/>
        </w:rPr>
        <w:t>фа-частиц. Любые ядерные излучения, взаимодействуя с различн</w:t>
      </w:r>
      <w:r w:rsidRPr="00E73FF0">
        <w:rPr>
          <w:bCs/>
          <w:sz w:val="22"/>
          <w:szCs w:val="22"/>
        </w:rPr>
        <w:t>ы</w:t>
      </w:r>
      <w:r w:rsidRPr="00E73FF0">
        <w:rPr>
          <w:bCs/>
          <w:sz w:val="22"/>
          <w:szCs w:val="22"/>
        </w:rPr>
        <w:t>ми материалами, ионизируют их атомы и молекулы. Ионизация среды тем сильнее, чем больше мощность дозы проникающей рад</w:t>
      </w:r>
      <w:r w:rsidRPr="00E73FF0">
        <w:rPr>
          <w:bCs/>
          <w:sz w:val="22"/>
          <w:szCs w:val="22"/>
        </w:rPr>
        <w:t>и</w:t>
      </w:r>
      <w:r w:rsidRPr="00E73FF0">
        <w:rPr>
          <w:bCs/>
          <w:sz w:val="22"/>
          <w:szCs w:val="22"/>
        </w:rPr>
        <w:t>ации или радиоактивность излучения и длительное их воздействие.</w:t>
      </w:r>
    </w:p>
    <w:p w:rsidR="00E73FF0" w:rsidRPr="00E73FF0" w:rsidRDefault="00E73FF0" w:rsidP="00E73FF0">
      <w:pPr>
        <w:ind w:firstLine="425"/>
        <w:jc w:val="both"/>
        <w:rPr>
          <w:bCs/>
          <w:sz w:val="22"/>
          <w:szCs w:val="22"/>
        </w:rPr>
      </w:pPr>
      <w:r w:rsidRPr="00E73FF0">
        <w:rPr>
          <w:bCs/>
          <w:sz w:val="22"/>
          <w:szCs w:val="22"/>
        </w:rPr>
        <w:t>Действие на людей и животных ионизирующих излучений ра</w:t>
      </w:r>
      <w:r w:rsidRPr="00E73FF0">
        <w:rPr>
          <w:bCs/>
          <w:sz w:val="22"/>
          <w:szCs w:val="22"/>
        </w:rPr>
        <w:t>з</w:t>
      </w:r>
      <w:r w:rsidRPr="00E73FF0">
        <w:rPr>
          <w:bCs/>
          <w:sz w:val="22"/>
          <w:szCs w:val="22"/>
        </w:rPr>
        <w:t>рушает живые клетки организма, что может привести к заболеван</w:t>
      </w:r>
      <w:r w:rsidRPr="00E73FF0">
        <w:rPr>
          <w:bCs/>
          <w:sz w:val="22"/>
          <w:szCs w:val="22"/>
        </w:rPr>
        <w:t>и</w:t>
      </w:r>
      <w:r w:rsidRPr="00E73FF0">
        <w:rPr>
          <w:bCs/>
          <w:sz w:val="22"/>
          <w:szCs w:val="22"/>
        </w:rPr>
        <w:t>ям различной степени, а в некоторых случаях, и к летальному исх</w:t>
      </w:r>
      <w:r w:rsidRPr="00E73FF0">
        <w:rPr>
          <w:bCs/>
          <w:sz w:val="22"/>
          <w:szCs w:val="22"/>
        </w:rPr>
        <w:t>о</w:t>
      </w:r>
      <w:r w:rsidRPr="00E73FF0">
        <w:rPr>
          <w:bCs/>
          <w:sz w:val="22"/>
          <w:szCs w:val="22"/>
        </w:rPr>
        <w:t>ду. [3].</w:t>
      </w:r>
    </w:p>
    <w:p w:rsidR="00E73FF0" w:rsidRPr="00E73FF0" w:rsidRDefault="00E73FF0" w:rsidP="00E73FF0">
      <w:pPr>
        <w:ind w:firstLine="425"/>
        <w:jc w:val="both"/>
        <w:rPr>
          <w:bCs/>
          <w:sz w:val="22"/>
          <w:szCs w:val="22"/>
        </w:rPr>
      </w:pPr>
      <w:r w:rsidRPr="00E73FF0">
        <w:rPr>
          <w:bCs/>
          <w:sz w:val="22"/>
          <w:szCs w:val="22"/>
        </w:rPr>
        <w:t>Степень лучевых (радиационных) поражений зависит от пол</w:t>
      </w:r>
      <w:r w:rsidRPr="00E73FF0">
        <w:rPr>
          <w:bCs/>
          <w:sz w:val="22"/>
          <w:szCs w:val="22"/>
        </w:rPr>
        <w:t>у</w:t>
      </w:r>
      <w:r w:rsidRPr="00E73FF0">
        <w:rPr>
          <w:bCs/>
          <w:sz w:val="22"/>
          <w:szCs w:val="22"/>
        </w:rPr>
        <w:t>ченной дозы и времени, в течении которого человек подвергается облучению, однако не всякая доза облучения опасна для человека. Во время проведения флюорографии или рентгена различных орг</w:t>
      </w:r>
      <w:r w:rsidRPr="00E73FF0">
        <w:rPr>
          <w:bCs/>
          <w:sz w:val="22"/>
          <w:szCs w:val="22"/>
        </w:rPr>
        <w:t>а</w:t>
      </w:r>
      <w:r w:rsidRPr="00E73FF0">
        <w:rPr>
          <w:bCs/>
          <w:sz w:val="22"/>
          <w:szCs w:val="22"/>
        </w:rPr>
        <w:t>нов, радиоизотопного исследования, просмотра телевизора, перел</w:t>
      </w:r>
      <w:r w:rsidRPr="00E73FF0">
        <w:rPr>
          <w:bCs/>
          <w:sz w:val="22"/>
          <w:szCs w:val="22"/>
        </w:rPr>
        <w:t>е</w:t>
      </w:r>
      <w:r w:rsidRPr="00E73FF0">
        <w:rPr>
          <w:bCs/>
          <w:sz w:val="22"/>
          <w:szCs w:val="22"/>
        </w:rPr>
        <w:t>та на самолете человек подвергается дополнительному облучению. Но доза эти незначительна, поэтому не опасна – если она не прев</w:t>
      </w:r>
      <w:r w:rsidRPr="00E73FF0">
        <w:rPr>
          <w:bCs/>
          <w:sz w:val="22"/>
          <w:szCs w:val="22"/>
        </w:rPr>
        <w:t>ы</w:t>
      </w:r>
      <w:r w:rsidRPr="00E73FF0">
        <w:rPr>
          <w:bCs/>
          <w:sz w:val="22"/>
          <w:szCs w:val="22"/>
        </w:rPr>
        <w:t>шает 50 Р, то лучевая болезнь исключается. Доза в 200 – 300 Р, п</w:t>
      </w:r>
      <w:r w:rsidRPr="00E73FF0">
        <w:rPr>
          <w:bCs/>
          <w:sz w:val="22"/>
          <w:szCs w:val="22"/>
        </w:rPr>
        <w:t>о</w:t>
      </w:r>
      <w:r w:rsidRPr="00E73FF0">
        <w:rPr>
          <w:bCs/>
          <w:sz w:val="22"/>
          <w:szCs w:val="22"/>
        </w:rPr>
        <w:t>лученная за короткий промежуток времени, может вызвать тяжелые радиационные поражения. Но если эта доза получена в течении н</w:t>
      </w:r>
      <w:r w:rsidRPr="00E73FF0">
        <w:rPr>
          <w:bCs/>
          <w:sz w:val="22"/>
          <w:szCs w:val="22"/>
        </w:rPr>
        <w:t>е</w:t>
      </w:r>
      <w:r w:rsidRPr="00E73FF0">
        <w:rPr>
          <w:bCs/>
          <w:sz w:val="22"/>
          <w:szCs w:val="22"/>
        </w:rPr>
        <w:t>скольких месяцев – это не приведет к заболеванию, так как в пр</w:t>
      </w:r>
      <w:r w:rsidRPr="00E73FF0">
        <w:rPr>
          <w:bCs/>
          <w:sz w:val="22"/>
          <w:szCs w:val="22"/>
        </w:rPr>
        <w:t>о</w:t>
      </w:r>
      <w:r w:rsidRPr="00E73FF0">
        <w:rPr>
          <w:bCs/>
          <w:sz w:val="22"/>
          <w:szCs w:val="22"/>
        </w:rPr>
        <w:t>цессе восстановления организм человека способен выработать н</w:t>
      </w:r>
      <w:r w:rsidRPr="00E73FF0">
        <w:rPr>
          <w:bCs/>
          <w:sz w:val="22"/>
          <w:szCs w:val="22"/>
        </w:rPr>
        <w:t>о</w:t>
      </w:r>
      <w:r w:rsidRPr="00E73FF0">
        <w:rPr>
          <w:bCs/>
          <w:sz w:val="22"/>
          <w:szCs w:val="22"/>
        </w:rPr>
        <w:t>вые клетки, которые появляются взамен погибших. Доза облучения может быть однократной и многократной. Однократным считается облучение, полученное за первые четверо суток, многократным – при превышении данного периода.</w:t>
      </w:r>
    </w:p>
    <w:p w:rsidR="00E73FF0" w:rsidRPr="00E73FF0" w:rsidRDefault="00E73FF0" w:rsidP="00E73FF0">
      <w:pPr>
        <w:ind w:firstLine="425"/>
        <w:jc w:val="both"/>
        <w:rPr>
          <w:bCs/>
          <w:sz w:val="22"/>
          <w:szCs w:val="22"/>
        </w:rPr>
      </w:pPr>
      <w:r w:rsidRPr="00E73FF0">
        <w:rPr>
          <w:bCs/>
          <w:sz w:val="22"/>
          <w:szCs w:val="22"/>
        </w:rPr>
        <w:t>По мере открытий учеными радиоактивности и ионизирующих излучений стали появляться и единицы их измерений – рентген, кюри, которые не были связаны какой-либо системой и называются внесистемными единицами. Во всем мире в настоящее время де</w:t>
      </w:r>
      <w:r w:rsidRPr="00E73FF0">
        <w:rPr>
          <w:bCs/>
          <w:sz w:val="22"/>
          <w:szCs w:val="22"/>
        </w:rPr>
        <w:t>й</w:t>
      </w:r>
      <w:r w:rsidRPr="00E73FF0">
        <w:rPr>
          <w:bCs/>
          <w:sz w:val="22"/>
          <w:szCs w:val="22"/>
        </w:rPr>
        <w:t>ствует СИ – единая система измерений (система интернационал</w:t>
      </w:r>
      <w:r w:rsidRPr="00E73FF0">
        <w:rPr>
          <w:bCs/>
          <w:sz w:val="22"/>
          <w:szCs w:val="22"/>
        </w:rPr>
        <w:t>ь</w:t>
      </w:r>
      <w:r w:rsidRPr="00E73FF0">
        <w:rPr>
          <w:bCs/>
          <w:sz w:val="22"/>
          <w:szCs w:val="22"/>
        </w:rPr>
        <w:t>ная), согласно которой ранее используемая внесистемная единица Рентген (Р) заменена на системную единицу Кл/кг (Кулон на кил</w:t>
      </w:r>
      <w:r w:rsidRPr="00E73FF0">
        <w:rPr>
          <w:bCs/>
          <w:sz w:val="22"/>
          <w:szCs w:val="22"/>
        </w:rPr>
        <w:t>о</w:t>
      </w:r>
      <w:r w:rsidRPr="00E73FF0">
        <w:rPr>
          <w:bCs/>
          <w:sz w:val="22"/>
          <w:szCs w:val="22"/>
        </w:rPr>
        <w:t>грамм). 1 Кл/кг=3,88*10-3Р [1].</w:t>
      </w:r>
    </w:p>
    <w:p w:rsidR="00E73FF0" w:rsidRPr="00E73FF0" w:rsidRDefault="00E73FF0" w:rsidP="00E73FF0">
      <w:pPr>
        <w:ind w:firstLine="425"/>
        <w:jc w:val="both"/>
        <w:rPr>
          <w:bCs/>
          <w:sz w:val="22"/>
          <w:szCs w:val="22"/>
        </w:rPr>
      </w:pPr>
    </w:p>
    <w:p w:rsidR="00E73FF0" w:rsidRPr="00E73FF0" w:rsidRDefault="00483E1F" w:rsidP="00483E1F">
      <w:pPr>
        <w:ind w:firstLine="425"/>
        <w:jc w:val="center"/>
        <w:rPr>
          <w:bCs/>
          <w:sz w:val="22"/>
          <w:szCs w:val="22"/>
        </w:rPr>
      </w:pPr>
      <w:r>
        <w:rPr>
          <w:bCs/>
          <w:sz w:val="22"/>
          <w:szCs w:val="22"/>
        </w:rPr>
        <w:lastRenderedPageBreak/>
        <w:t>Список литературы</w:t>
      </w:r>
    </w:p>
    <w:p w:rsidR="00E73FF0" w:rsidRPr="00483E1F" w:rsidRDefault="00E73FF0" w:rsidP="00483E1F">
      <w:pPr>
        <w:ind w:firstLine="426"/>
        <w:jc w:val="both"/>
        <w:rPr>
          <w:sz w:val="22"/>
          <w:szCs w:val="22"/>
        </w:rPr>
      </w:pPr>
      <w:r w:rsidRPr="00E73FF0">
        <w:rPr>
          <w:sz w:val="22"/>
          <w:szCs w:val="22"/>
        </w:rPr>
        <w:t xml:space="preserve">1. Нормы радиационной безопасности НРБ-99/2009. – Режим доступа: </w:t>
      </w:r>
      <w:hyperlink r:id="rId71" w:history="1">
        <w:r w:rsidRPr="00483E1F">
          <w:rPr>
            <w:sz w:val="22"/>
            <w:szCs w:val="22"/>
          </w:rPr>
          <w:t>http://docs.cntd.ru/document/902170553</w:t>
        </w:r>
      </w:hyperlink>
      <w:r w:rsidRPr="00483E1F">
        <w:rPr>
          <w:sz w:val="22"/>
          <w:szCs w:val="22"/>
        </w:rPr>
        <w:t>.</w:t>
      </w:r>
    </w:p>
    <w:p w:rsidR="00E73FF0" w:rsidRPr="00E73FF0" w:rsidRDefault="00E73FF0" w:rsidP="00483E1F">
      <w:pPr>
        <w:ind w:firstLine="426"/>
        <w:jc w:val="both"/>
        <w:rPr>
          <w:sz w:val="22"/>
          <w:szCs w:val="22"/>
        </w:rPr>
      </w:pPr>
      <w:r w:rsidRPr="00E73FF0">
        <w:rPr>
          <w:sz w:val="22"/>
          <w:szCs w:val="22"/>
        </w:rPr>
        <w:t>2. Плющиков В. Г. Безопасность жизнедеятельности в отраслях агропромышленного комплекса. – М. : КолосС, 2010. – 471 с.</w:t>
      </w:r>
    </w:p>
    <w:p w:rsidR="00E73FF0" w:rsidRPr="00E73FF0" w:rsidRDefault="00E73FF0" w:rsidP="00483E1F">
      <w:pPr>
        <w:tabs>
          <w:tab w:val="left" w:pos="0"/>
          <w:tab w:val="left" w:pos="567"/>
        </w:tabs>
        <w:ind w:firstLine="426"/>
        <w:jc w:val="both"/>
        <w:rPr>
          <w:sz w:val="22"/>
          <w:szCs w:val="22"/>
        </w:rPr>
      </w:pPr>
      <w:r w:rsidRPr="00E73FF0">
        <w:rPr>
          <w:sz w:val="22"/>
          <w:szCs w:val="22"/>
        </w:rPr>
        <w:t>3. Туровский Б. В. Опасные и вредные примеси природных и питьевых вод / Б. В. Туровский, Т. А. Инюкина // Политематич</w:t>
      </w:r>
      <w:r w:rsidRPr="00E73FF0">
        <w:rPr>
          <w:sz w:val="22"/>
          <w:szCs w:val="22"/>
        </w:rPr>
        <w:t>е</w:t>
      </w:r>
      <w:r w:rsidRPr="00E73FF0">
        <w:rPr>
          <w:sz w:val="22"/>
          <w:szCs w:val="22"/>
        </w:rPr>
        <w:t>ский сетевой электронный научный журнал Кубанского госуда</w:t>
      </w:r>
      <w:r w:rsidRPr="00E73FF0">
        <w:rPr>
          <w:sz w:val="22"/>
          <w:szCs w:val="22"/>
        </w:rPr>
        <w:t>р</w:t>
      </w:r>
      <w:r w:rsidRPr="00E73FF0">
        <w:rPr>
          <w:sz w:val="22"/>
          <w:szCs w:val="22"/>
        </w:rPr>
        <w:t>ственного аграрного университета (Научный журнал КубГАУ) [Электронный ресурс]. – Краснодар : КубГАУ, 2014.</w:t>
      </w:r>
    </w:p>
    <w:p w:rsidR="00E73FF0" w:rsidRPr="00E73FF0" w:rsidRDefault="00E73FF0" w:rsidP="00483E1F">
      <w:pPr>
        <w:ind w:left="1069" w:firstLine="426"/>
        <w:contextualSpacing/>
        <w:jc w:val="both"/>
        <w:rPr>
          <w:sz w:val="22"/>
          <w:szCs w:val="22"/>
        </w:rPr>
      </w:pPr>
    </w:p>
    <w:p w:rsidR="00E73FF0" w:rsidRDefault="00E73FF0" w:rsidP="00B43BBC">
      <w:pPr>
        <w:pStyle w:val="31"/>
        <w:rPr>
          <w:sz w:val="22"/>
          <w:szCs w:val="22"/>
        </w:rPr>
      </w:pPr>
    </w:p>
    <w:p w:rsidR="00662BE8" w:rsidRDefault="00662BE8" w:rsidP="00B43BBC">
      <w:pPr>
        <w:pStyle w:val="31"/>
        <w:rPr>
          <w:sz w:val="22"/>
          <w:szCs w:val="22"/>
        </w:rPr>
      </w:pPr>
    </w:p>
    <w:p w:rsidR="00E73FF0" w:rsidRDefault="00E73FF0" w:rsidP="00662BE8">
      <w:pPr>
        <w:rPr>
          <w:sz w:val="22"/>
          <w:szCs w:val="22"/>
        </w:rPr>
      </w:pPr>
      <w:r w:rsidRPr="00E73FF0">
        <w:rPr>
          <w:sz w:val="22"/>
          <w:szCs w:val="22"/>
        </w:rPr>
        <w:t>УДК 631.313.6</w:t>
      </w:r>
    </w:p>
    <w:p w:rsidR="00662BE8" w:rsidRPr="00E73FF0" w:rsidRDefault="00662BE8" w:rsidP="00662BE8">
      <w:pPr>
        <w:rPr>
          <w:sz w:val="22"/>
          <w:szCs w:val="22"/>
        </w:rPr>
      </w:pPr>
    </w:p>
    <w:p w:rsidR="00E73FF0" w:rsidRPr="00E73FF0" w:rsidRDefault="00E73FF0" w:rsidP="00662BE8">
      <w:pPr>
        <w:ind w:firstLine="426"/>
        <w:jc w:val="center"/>
        <w:rPr>
          <w:b/>
          <w:sz w:val="24"/>
          <w:szCs w:val="24"/>
        </w:rPr>
      </w:pPr>
      <w:r w:rsidRPr="00E73FF0">
        <w:rPr>
          <w:b/>
          <w:sz w:val="24"/>
          <w:szCs w:val="24"/>
        </w:rPr>
        <w:t>Модернизация дисковой бороны БДМ-4×4ПМ</w:t>
      </w:r>
    </w:p>
    <w:p w:rsidR="00E73FF0" w:rsidRPr="00E73FF0" w:rsidRDefault="00E73FF0" w:rsidP="00662BE8">
      <w:pPr>
        <w:ind w:firstLine="426"/>
        <w:jc w:val="center"/>
        <w:rPr>
          <w:b/>
          <w:sz w:val="24"/>
          <w:szCs w:val="24"/>
          <w:lang w:val="en-US"/>
        </w:rPr>
      </w:pPr>
      <w:r w:rsidRPr="00E73FF0">
        <w:rPr>
          <w:b/>
          <w:sz w:val="24"/>
          <w:szCs w:val="24"/>
          <w:lang w:val="en-US"/>
        </w:rPr>
        <w:t xml:space="preserve">Modernization of the disk harrow </w:t>
      </w:r>
      <w:r w:rsidRPr="00E73FF0">
        <w:rPr>
          <w:b/>
          <w:sz w:val="24"/>
          <w:szCs w:val="24"/>
        </w:rPr>
        <w:t>БДМ</w:t>
      </w:r>
      <w:r w:rsidRPr="00E73FF0">
        <w:rPr>
          <w:b/>
          <w:sz w:val="24"/>
          <w:szCs w:val="24"/>
          <w:lang w:val="en-US"/>
        </w:rPr>
        <w:t>-4 × 4</w:t>
      </w:r>
      <w:r w:rsidRPr="00E73FF0">
        <w:rPr>
          <w:b/>
          <w:sz w:val="24"/>
          <w:szCs w:val="24"/>
        </w:rPr>
        <w:t>ПМ</w:t>
      </w:r>
    </w:p>
    <w:p w:rsidR="00E73FF0" w:rsidRPr="00E73FF0" w:rsidRDefault="00E73FF0" w:rsidP="00662BE8">
      <w:pPr>
        <w:ind w:firstLine="426"/>
        <w:jc w:val="center"/>
        <w:rPr>
          <w:b/>
          <w:sz w:val="24"/>
          <w:szCs w:val="24"/>
          <w:lang w:val="en-US"/>
        </w:rPr>
      </w:pPr>
    </w:p>
    <w:p w:rsidR="00E73FF0" w:rsidRPr="00E73FF0" w:rsidRDefault="00E73FF0" w:rsidP="00E73FF0">
      <w:pPr>
        <w:ind w:firstLine="426"/>
        <w:jc w:val="right"/>
        <w:rPr>
          <w:sz w:val="22"/>
          <w:szCs w:val="22"/>
        </w:rPr>
      </w:pPr>
      <w:r w:rsidRPr="00E73FF0">
        <w:rPr>
          <w:sz w:val="22"/>
          <w:szCs w:val="22"/>
        </w:rPr>
        <w:t>Курочкин В. В.</w:t>
      </w:r>
      <w:r w:rsidR="009A7442">
        <w:rPr>
          <w:sz w:val="22"/>
          <w:szCs w:val="22"/>
        </w:rPr>
        <w:t>,</w:t>
      </w:r>
    </w:p>
    <w:p w:rsidR="00E73FF0" w:rsidRPr="00E73FF0" w:rsidRDefault="00E73FF0" w:rsidP="00E73FF0">
      <w:pPr>
        <w:ind w:firstLine="426"/>
        <w:jc w:val="right"/>
        <w:rPr>
          <w:sz w:val="22"/>
          <w:szCs w:val="22"/>
        </w:rPr>
      </w:pPr>
      <w:r w:rsidRPr="00E73FF0">
        <w:rPr>
          <w:sz w:val="22"/>
          <w:szCs w:val="22"/>
        </w:rPr>
        <w:t>студент 4-го курса факультета механизации</w:t>
      </w:r>
    </w:p>
    <w:p w:rsidR="00E73FF0" w:rsidRPr="00E73FF0" w:rsidRDefault="00E73FF0" w:rsidP="00E73FF0">
      <w:pPr>
        <w:ind w:firstLine="426"/>
        <w:jc w:val="right"/>
        <w:rPr>
          <w:sz w:val="22"/>
          <w:szCs w:val="22"/>
        </w:rPr>
      </w:pPr>
      <w:r w:rsidRPr="00E73FF0">
        <w:rPr>
          <w:sz w:val="22"/>
          <w:szCs w:val="22"/>
        </w:rPr>
        <w:t>Коновалов В.</w:t>
      </w:r>
      <w:r w:rsidR="009A7442">
        <w:rPr>
          <w:sz w:val="22"/>
          <w:szCs w:val="22"/>
        </w:rPr>
        <w:t xml:space="preserve"> </w:t>
      </w:r>
      <w:r w:rsidRPr="00E73FF0">
        <w:rPr>
          <w:sz w:val="22"/>
          <w:szCs w:val="22"/>
        </w:rPr>
        <w:t>И.</w:t>
      </w:r>
      <w:r w:rsidR="009A7442">
        <w:rPr>
          <w:sz w:val="22"/>
          <w:szCs w:val="22"/>
        </w:rPr>
        <w:t>,</w:t>
      </w:r>
    </w:p>
    <w:p w:rsidR="00E73FF0" w:rsidRPr="00E73FF0" w:rsidRDefault="00E73FF0" w:rsidP="00E73FF0">
      <w:pPr>
        <w:ind w:firstLine="426"/>
        <w:jc w:val="right"/>
        <w:rPr>
          <w:sz w:val="22"/>
          <w:szCs w:val="22"/>
        </w:rPr>
      </w:pPr>
      <w:r w:rsidRPr="00E73FF0">
        <w:rPr>
          <w:sz w:val="22"/>
          <w:szCs w:val="22"/>
        </w:rPr>
        <w:t xml:space="preserve">старший преподаватель кафедры </w:t>
      </w:r>
    </w:p>
    <w:p w:rsidR="00E73FF0" w:rsidRPr="00E73FF0" w:rsidRDefault="00E73FF0" w:rsidP="00E73FF0">
      <w:pPr>
        <w:ind w:firstLine="426"/>
        <w:jc w:val="right"/>
        <w:rPr>
          <w:sz w:val="22"/>
          <w:szCs w:val="22"/>
        </w:rPr>
      </w:pPr>
      <w:r w:rsidRPr="00E73FF0">
        <w:rPr>
          <w:sz w:val="22"/>
          <w:szCs w:val="22"/>
        </w:rPr>
        <w:t>«Процессы и машины в агробизнесе»</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sidR="009A7442">
        <w:rPr>
          <w:rFonts w:eastAsia="Courier New"/>
          <w:color w:val="000000"/>
          <w:sz w:val="22"/>
          <w:szCs w:val="22"/>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И.Т. Трубилина</w:t>
      </w:r>
    </w:p>
    <w:p w:rsidR="00E73FF0" w:rsidRPr="00E73FF0" w:rsidRDefault="00E73FF0" w:rsidP="00E73FF0">
      <w:pPr>
        <w:ind w:firstLine="426"/>
        <w:jc w:val="center"/>
        <w:rPr>
          <w:sz w:val="24"/>
          <w:szCs w:val="24"/>
        </w:rPr>
      </w:pPr>
    </w:p>
    <w:p w:rsidR="00E73FF0" w:rsidRPr="00E73FF0" w:rsidRDefault="00E73FF0" w:rsidP="00E73FF0">
      <w:pPr>
        <w:ind w:firstLine="426"/>
        <w:jc w:val="both"/>
        <w:rPr>
          <w:sz w:val="22"/>
          <w:szCs w:val="22"/>
          <w:lang w:val="en-US"/>
        </w:rPr>
      </w:pPr>
      <w:r w:rsidRPr="00E73FF0">
        <w:rPr>
          <w:sz w:val="22"/>
          <w:szCs w:val="22"/>
        </w:rPr>
        <w:t>АННОТАЦИЯ: В статье представлен обзор преимуществ м</w:t>
      </w:r>
      <w:r w:rsidRPr="00E73FF0">
        <w:rPr>
          <w:sz w:val="22"/>
          <w:szCs w:val="22"/>
        </w:rPr>
        <w:t>а</w:t>
      </w:r>
      <w:r w:rsidRPr="00E73FF0">
        <w:rPr>
          <w:sz w:val="22"/>
          <w:szCs w:val="22"/>
        </w:rPr>
        <w:t>шин для поверхностной обработки почвы с дисковыми рабочими органами, а также недостатки, которые возникают при обработке стерни пропашных культур. Определены</w:t>
      </w:r>
      <w:r w:rsidRPr="00E73FF0">
        <w:rPr>
          <w:sz w:val="22"/>
          <w:szCs w:val="22"/>
          <w:lang w:val="en-US"/>
        </w:rPr>
        <w:t xml:space="preserve"> </w:t>
      </w:r>
      <w:r w:rsidRPr="00E73FF0">
        <w:rPr>
          <w:sz w:val="22"/>
          <w:szCs w:val="22"/>
        </w:rPr>
        <w:t>перспективы</w:t>
      </w:r>
      <w:r w:rsidRPr="00E73FF0">
        <w:rPr>
          <w:sz w:val="22"/>
          <w:szCs w:val="22"/>
          <w:lang w:val="en-US"/>
        </w:rPr>
        <w:t xml:space="preserve"> </w:t>
      </w:r>
      <w:r w:rsidRPr="00E73FF0">
        <w:rPr>
          <w:sz w:val="22"/>
          <w:szCs w:val="22"/>
        </w:rPr>
        <w:t>их</w:t>
      </w:r>
      <w:r w:rsidRPr="00E73FF0">
        <w:rPr>
          <w:sz w:val="22"/>
          <w:szCs w:val="22"/>
          <w:lang w:val="en-US"/>
        </w:rPr>
        <w:t xml:space="preserve"> </w:t>
      </w:r>
      <w:r w:rsidRPr="00E73FF0">
        <w:rPr>
          <w:sz w:val="22"/>
          <w:szCs w:val="22"/>
        </w:rPr>
        <w:t>устран</w:t>
      </w:r>
      <w:r w:rsidRPr="00E73FF0">
        <w:rPr>
          <w:sz w:val="22"/>
          <w:szCs w:val="22"/>
        </w:rPr>
        <w:t>е</w:t>
      </w:r>
      <w:r w:rsidRPr="00E73FF0">
        <w:rPr>
          <w:sz w:val="22"/>
          <w:szCs w:val="22"/>
        </w:rPr>
        <w:t>ния</w:t>
      </w:r>
      <w:r w:rsidRPr="00E73FF0">
        <w:rPr>
          <w:sz w:val="22"/>
          <w:szCs w:val="22"/>
          <w:lang w:val="en-US"/>
        </w:rPr>
        <w:t xml:space="preserve"> </w:t>
      </w:r>
      <w:r w:rsidRPr="00E73FF0">
        <w:rPr>
          <w:sz w:val="22"/>
          <w:szCs w:val="22"/>
        </w:rPr>
        <w:t>и</w:t>
      </w:r>
      <w:r w:rsidRPr="00E73FF0">
        <w:rPr>
          <w:sz w:val="22"/>
          <w:szCs w:val="22"/>
          <w:lang w:val="en-US"/>
        </w:rPr>
        <w:t xml:space="preserve"> </w:t>
      </w:r>
      <w:r w:rsidRPr="00E73FF0">
        <w:rPr>
          <w:sz w:val="22"/>
          <w:szCs w:val="22"/>
        </w:rPr>
        <w:t>элементы</w:t>
      </w:r>
      <w:r w:rsidRPr="00E73FF0">
        <w:rPr>
          <w:sz w:val="22"/>
          <w:szCs w:val="22"/>
          <w:lang w:val="en-US"/>
        </w:rPr>
        <w:t xml:space="preserve"> </w:t>
      </w:r>
      <w:r w:rsidRPr="00E73FF0">
        <w:rPr>
          <w:sz w:val="22"/>
          <w:szCs w:val="22"/>
        </w:rPr>
        <w:t>необходимой</w:t>
      </w:r>
      <w:r w:rsidRPr="00E73FF0">
        <w:rPr>
          <w:sz w:val="22"/>
          <w:szCs w:val="22"/>
          <w:lang w:val="en-US"/>
        </w:rPr>
        <w:t xml:space="preserve"> </w:t>
      </w:r>
      <w:r w:rsidRPr="00E73FF0">
        <w:rPr>
          <w:sz w:val="22"/>
          <w:szCs w:val="22"/>
        </w:rPr>
        <w:t>конструкции</w:t>
      </w:r>
      <w:r w:rsidRPr="00E73FF0">
        <w:rPr>
          <w:sz w:val="22"/>
          <w:szCs w:val="22"/>
          <w:lang w:val="en-US"/>
        </w:rPr>
        <w:t>.</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ABSTRACT:</w:t>
      </w:r>
      <w:r w:rsidRPr="00E73FF0">
        <w:rPr>
          <w:rFonts w:ascii="Calibri" w:hAnsi="Calibri"/>
          <w:sz w:val="22"/>
          <w:szCs w:val="22"/>
          <w:lang w:val="en-US"/>
        </w:rPr>
        <w:t xml:space="preserve"> </w:t>
      </w:r>
      <w:r w:rsidRPr="00E73FF0">
        <w:rPr>
          <w:rFonts w:eastAsia="Courier New"/>
          <w:color w:val="000000"/>
          <w:sz w:val="22"/>
          <w:szCs w:val="22"/>
          <w:lang w:val="en-US"/>
        </w:rPr>
        <w:t>The article presents an overview of the advantages of machines for surface treatment of soil with disk working organs, as well as the shortcomings that arise when processing stubble of tilled crops. The prospects of their elimination and the elements necessary of the co</w:t>
      </w:r>
      <w:r w:rsidRPr="00E73FF0">
        <w:rPr>
          <w:rFonts w:eastAsia="Courier New"/>
          <w:color w:val="000000"/>
          <w:sz w:val="22"/>
          <w:szCs w:val="22"/>
          <w:lang w:val="en-US"/>
        </w:rPr>
        <w:t>n</w:t>
      </w:r>
      <w:r w:rsidRPr="00E73FF0">
        <w:rPr>
          <w:rFonts w:eastAsia="Courier New"/>
          <w:color w:val="000000"/>
          <w:sz w:val="22"/>
          <w:szCs w:val="22"/>
          <w:lang w:val="en-US"/>
        </w:rPr>
        <w:t>structor.</w:t>
      </w:r>
    </w:p>
    <w:p w:rsidR="00E73FF0" w:rsidRPr="00E73FF0" w:rsidRDefault="00E73FF0" w:rsidP="00E73FF0">
      <w:pPr>
        <w:ind w:firstLine="426"/>
        <w:jc w:val="both"/>
        <w:rPr>
          <w:sz w:val="22"/>
          <w:szCs w:val="22"/>
        </w:rPr>
      </w:pPr>
      <w:r w:rsidRPr="00E73FF0">
        <w:rPr>
          <w:sz w:val="22"/>
          <w:szCs w:val="22"/>
        </w:rPr>
        <w:lastRenderedPageBreak/>
        <w:t>КЛЮЧЕВЫЕ СЛОВА: дисковая борона, модернизация, и</w:t>
      </w:r>
      <w:r w:rsidRPr="00E73FF0">
        <w:rPr>
          <w:sz w:val="22"/>
          <w:szCs w:val="22"/>
        </w:rPr>
        <w:t>з</w:t>
      </w:r>
      <w:r w:rsidRPr="00E73FF0">
        <w:rPr>
          <w:sz w:val="22"/>
          <w:szCs w:val="22"/>
        </w:rPr>
        <w:t>мельчающий узел.</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KEYWORDS:</w:t>
      </w:r>
      <w:r w:rsidRPr="00E73FF0">
        <w:rPr>
          <w:rFonts w:ascii="Calibri" w:hAnsi="Calibri"/>
          <w:sz w:val="22"/>
          <w:szCs w:val="22"/>
          <w:lang w:val="en-US"/>
        </w:rPr>
        <w:t xml:space="preserve"> </w:t>
      </w:r>
      <w:r w:rsidRPr="00E73FF0">
        <w:rPr>
          <w:rFonts w:eastAsia="Courier New"/>
          <w:color w:val="000000"/>
          <w:sz w:val="22"/>
          <w:szCs w:val="22"/>
          <w:lang w:val="en-US"/>
        </w:rPr>
        <w:t>disc harrow, modernization, chop knot.</w:t>
      </w:r>
    </w:p>
    <w:p w:rsidR="00E73FF0" w:rsidRPr="00E73FF0" w:rsidRDefault="00E73FF0" w:rsidP="00E73FF0">
      <w:pPr>
        <w:ind w:firstLine="426"/>
        <w:jc w:val="both"/>
        <w:rPr>
          <w:sz w:val="24"/>
          <w:szCs w:val="24"/>
          <w:lang w:val="en-US"/>
        </w:rPr>
      </w:pPr>
    </w:p>
    <w:p w:rsidR="00E73FF0" w:rsidRPr="00E73FF0" w:rsidRDefault="00E73FF0" w:rsidP="00E73FF0">
      <w:pPr>
        <w:ind w:firstLine="426"/>
        <w:jc w:val="both"/>
        <w:rPr>
          <w:sz w:val="22"/>
          <w:szCs w:val="22"/>
        </w:rPr>
      </w:pPr>
      <w:r w:rsidRPr="00E73FF0">
        <w:rPr>
          <w:sz w:val="22"/>
          <w:szCs w:val="22"/>
        </w:rPr>
        <w:t>Сельхозмашиностроение Российской Федерации и зарубежных стран выпускает огромный модельный ряд машин для поверхнос</w:t>
      </w:r>
      <w:r w:rsidRPr="00E73FF0">
        <w:rPr>
          <w:sz w:val="22"/>
          <w:szCs w:val="22"/>
        </w:rPr>
        <w:t>т</w:t>
      </w:r>
      <w:r w:rsidRPr="00E73FF0">
        <w:rPr>
          <w:sz w:val="22"/>
          <w:szCs w:val="22"/>
        </w:rPr>
        <w:t>ной обработки почвы. При этом можно выделить машины для о</w:t>
      </w:r>
      <w:r w:rsidRPr="00E73FF0">
        <w:rPr>
          <w:sz w:val="22"/>
          <w:szCs w:val="22"/>
        </w:rPr>
        <w:t>с</w:t>
      </w:r>
      <w:r w:rsidRPr="00E73FF0">
        <w:rPr>
          <w:sz w:val="22"/>
          <w:szCs w:val="22"/>
        </w:rPr>
        <w:t>новной обработки почвы на глубину более 24 сантиметров, плуги с различными конструктивно-технологическими особенностями, а также машины для безотвальной обработки, машины для повер</w:t>
      </w:r>
      <w:r w:rsidRPr="00E73FF0">
        <w:rPr>
          <w:sz w:val="22"/>
          <w:szCs w:val="22"/>
        </w:rPr>
        <w:t>х</w:t>
      </w:r>
      <w:r w:rsidRPr="00E73FF0">
        <w:rPr>
          <w:sz w:val="22"/>
          <w:szCs w:val="22"/>
        </w:rPr>
        <w:t>ностной и обычной обработки на глубину 8-24 сантиметра и маш</w:t>
      </w:r>
      <w:r w:rsidRPr="00E73FF0">
        <w:rPr>
          <w:sz w:val="22"/>
          <w:szCs w:val="22"/>
        </w:rPr>
        <w:t>и</w:t>
      </w:r>
      <w:r w:rsidRPr="00E73FF0">
        <w:rPr>
          <w:sz w:val="22"/>
          <w:szCs w:val="22"/>
        </w:rPr>
        <w:t>ны для мелкой обработки до 8 сантиметров. Из всего перечня м</w:t>
      </w:r>
      <w:r w:rsidRPr="00E73FF0">
        <w:rPr>
          <w:sz w:val="22"/>
          <w:szCs w:val="22"/>
        </w:rPr>
        <w:t>а</w:t>
      </w:r>
      <w:r w:rsidRPr="00E73FF0">
        <w:rPr>
          <w:sz w:val="22"/>
          <w:szCs w:val="22"/>
        </w:rPr>
        <w:t>шин наибольшие использование находят машины для поверхнос</w:t>
      </w:r>
      <w:r w:rsidRPr="00E73FF0">
        <w:rPr>
          <w:sz w:val="22"/>
          <w:szCs w:val="22"/>
        </w:rPr>
        <w:t>т</w:t>
      </w:r>
      <w:r w:rsidRPr="00E73FF0">
        <w:rPr>
          <w:sz w:val="22"/>
          <w:szCs w:val="22"/>
        </w:rPr>
        <w:t>ной обработки, среди которых можно выделить машины с диск</w:t>
      </w:r>
      <w:r w:rsidRPr="00E73FF0">
        <w:rPr>
          <w:sz w:val="22"/>
          <w:szCs w:val="22"/>
        </w:rPr>
        <w:t>о</w:t>
      </w:r>
      <w:r w:rsidRPr="00E73FF0">
        <w:rPr>
          <w:sz w:val="22"/>
          <w:szCs w:val="22"/>
        </w:rPr>
        <w:t>выми рабочими органами.</w:t>
      </w:r>
    </w:p>
    <w:p w:rsidR="00E73FF0" w:rsidRPr="00E73FF0" w:rsidRDefault="00E73FF0" w:rsidP="00E73FF0">
      <w:pPr>
        <w:ind w:firstLine="426"/>
        <w:jc w:val="both"/>
        <w:rPr>
          <w:sz w:val="22"/>
          <w:szCs w:val="22"/>
        </w:rPr>
      </w:pPr>
      <w:r w:rsidRPr="00E73FF0">
        <w:rPr>
          <w:sz w:val="22"/>
          <w:szCs w:val="22"/>
        </w:rPr>
        <w:t>Машины с дисковыми рабочими органами обладают рядом преимуществ в сравнении с другими, к которым можно отнести б</w:t>
      </w:r>
      <w:r w:rsidRPr="00E73FF0">
        <w:rPr>
          <w:sz w:val="22"/>
          <w:szCs w:val="22"/>
        </w:rPr>
        <w:t>о</w:t>
      </w:r>
      <w:r w:rsidRPr="00E73FF0">
        <w:rPr>
          <w:sz w:val="22"/>
          <w:szCs w:val="22"/>
        </w:rPr>
        <w:t>лее интенсивное крошение почвы и измельчение пожнивных оста</w:t>
      </w:r>
      <w:r w:rsidRPr="00E73FF0">
        <w:rPr>
          <w:sz w:val="22"/>
          <w:szCs w:val="22"/>
        </w:rPr>
        <w:t>т</w:t>
      </w:r>
      <w:r w:rsidRPr="00E73FF0">
        <w:rPr>
          <w:sz w:val="22"/>
          <w:szCs w:val="22"/>
        </w:rPr>
        <w:t>ков, частичное перемешивание и д. р. Среди отечественных разр</w:t>
      </w:r>
      <w:r w:rsidRPr="00E73FF0">
        <w:rPr>
          <w:sz w:val="22"/>
          <w:szCs w:val="22"/>
        </w:rPr>
        <w:t>а</w:t>
      </w:r>
      <w:r w:rsidRPr="00E73FF0">
        <w:rPr>
          <w:sz w:val="22"/>
          <w:szCs w:val="22"/>
        </w:rPr>
        <w:t xml:space="preserve">боток наибольшие распространение получили дисковые бороны серии БДМ с фронтальным расположением рабочих органов в 2-4 ряда [1]. Каждый из указанных вариантов имеет свои преимущества и недостатки: от курсовой устойчивости до технологической надежности [2,  3]. </w:t>
      </w:r>
    </w:p>
    <w:p w:rsidR="00E73FF0" w:rsidRPr="00E73FF0" w:rsidRDefault="00E73FF0" w:rsidP="00E73FF0">
      <w:pPr>
        <w:ind w:firstLine="426"/>
        <w:jc w:val="both"/>
        <w:rPr>
          <w:sz w:val="22"/>
          <w:szCs w:val="22"/>
        </w:rPr>
      </w:pPr>
      <w:r w:rsidRPr="00E73FF0">
        <w:rPr>
          <w:sz w:val="22"/>
          <w:szCs w:val="22"/>
        </w:rPr>
        <w:t>Дисковые бороны серии БДМ-4×4ПМ применяют в традицио</w:t>
      </w:r>
      <w:r w:rsidRPr="00E73FF0">
        <w:rPr>
          <w:sz w:val="22"/>
          <w:szCs w:val="22"/>
        </w:rPr>
        <w:t>н</w:t>
      </w:r>
      <w:r w:rsidRPr="00E73FF0">
        <w:rPr>
          <w:sz w:val="22"/>
          <w:szCs w:val="22"/>
        </w:rPr>
        <w:t>ной и минимальной технологии обработки почвы, в частности для дискования стерни после зерновых колосовых и пропашных кул</w:t>
      </w:r>
      <w:r w:rsidRPr="00E73FF0">
        <w:rPr>
          <w:sz w:val="22"/>
          <w:szCs w:val="22"/>
        </w:rPr>
        <w:t>ь</w:t>
      </w:r>
      <w:r w:rsidRPr="00E73FF0">
        <w:rPr>
          <w:sz w:val="22"/>
          <w:szCs w:val="22"/>
        </w:rPr>
        <w:t>тур. Следует отметить, что дискование стерни колосовых культур проводят в виду отсутствия в предприятиях лущильников и мул</w:t>
      </w:r>
      <w:r w:rsidRPr="00E73FF0">
        <w:rPr>
          <w:sz w:val="22"/>
          <w:szCs w:val="22"/>
        </w:rPr>
        <w:t>ь</w:t>
      </w:r>
      <w:r w:rsidRPr="00E73FF0">
        <w:rPr>
          <w:sz w:val="22"/>
          <w:szCs w:val="22"/>
        </w:rPr>
        <w:t>чировщиков. Экономическая эффективность использования диск</w:t>
      </w:r>
      <w:r w:rsidRPr="00E73FF0">
        <w:rPr>
          <w:sz w:val="22"/>
          <w:szCs w:val="22"/>
        </w:rPr>
        <w:t>о</w:t>
      </w:r>
      <w:r w:rsidRPr="00E73FF0">
        <w:rPr>
          <w:sz w:val="22"/>
          <w:szCs w:val="22"/>
        </w:rPr>
        <w:t>вых орудий во многом определяется необходимостью кратных пр</w:t>
      </w:r>
      <w:r w:rsidRPr="00E73FF0">
        <w:rPr>
          <w:sz w:val="22"/>
          <w:szCs w:val="22"/>
        </w:rPr>
        <w:t>о</w:t>
      </w:r>
      <w:r w:rsidRPr="00E73FF0">
        <w:rPr>
          <w:sz w:val="22"/>
          <w:szCs w:val="22"/>
        </w:rPr>
        <w:t>ходов, что особенно часто происходит при дисковании стерни пр</w:t>
      </w:r>
      <w:r w:rsidRPr="00E73FF0">
        <w:rPr>
          <w:sz w:val="22"/>
          <w:szCs w:val="22"/>
        </w:rPr>
        <w:t>о</w:t>
      </w:r>
      <w:r w:rsidRPr="00E73FF0">
        <w:rPr>
          <w:sz w:val="22"/>
          <w:szCs w:val="22"/>
        </w:rPr>
        <w:t>пашных культур, ввиду большого количества пожнивных остатков и не способность их измельчить за один проход в достаточной ст</w:t>
      </w:r>
      <w:r w:rsidRPr="00E73FF0">
        <w:rPr>
          <w:sz w:val="22"/>
          <w:szCs w:val="22"/>
        </w:rPr>
        <w:t>е</w:t>
      </w:r>
      <w:r w:rsidRPr="00E73FF0">
        <w:rPr>
          <w:sz w:val="22"/>
          <w:szCs w:val="22"/>
        </w:rPr>
        <w:t>пени [4].</w:t>
      </w:r>
    </w:p>
    <w:p w:rsidR="00E73FF0" w:rsidRPr="00E73FF0" w:rsidRDefault="00E73FF0" w:rsidP="00E73FF0">
      <w:pPr>
        <w:ind w:firstLine="426"/>
        <w:jc w:val="both"/>
        <w:rPr>
          <w:sz w:val="22"/>
          <w:szCs w:val="22"/>
        </w:rPr>
      </w:pPr>
      <w:r w:rsidRPr="00E73FF0">
        <w:rPr>
          <w:sz w:val="22"/>
          <w:szCs w:val="22"/>
        </w:rPr>
        <w:t>Устранение указанных недостатков возможно за счет устано</w:t>
      </w:r>
      <w:r w:rsidRPr="00E73FF0">
        <w:rPr>
          <w:sz w:val="22"/>
          <w:szCs w:val="22"/>
        </w:rPr>
        <w:t>в</w:t>
      </w:r>
      <w:r w:rsidRPr="00E73FF0">
        <w:rPr>
          <w:sz w:val="22"/>
          <w:szCs w:val="22"/>
        </w:rPr>
        <w:t>ки на дисковую борону серии БДМ измельчающих узлов, которые наиболее целесообразно устанавливать перед рядами дисков. Ко</w:t>
      </w:r>
      <w:r w:rsidRPr="00E73FF0">
        <w:rPr>
          <w:sz w:val="22"/>
          <w:szCs w:val="22"/>
        </w:rPr>
        <w:t>н</w:t>
      </w:r>
      <w:r w:rsidRPr="00E73FF0">
        <w:rPr>
          <w:sz w:val="22"/>
          <w:szCs w:val="22"/>
        </w:rPr>
        <w:lastRenderedPageBreak/>
        <w:t>структивно выполнить измельчающий узел можно различными сп</w:t>
      </w:r>
      <w:r w:rsidRPr="00E73FF0">
        <w:rPr>
          <w:sz w:val="22"/>
          <w:szCs w:val="22"/>
        </w:rPr>
        <w:t>о</w:t>
      </w:r>
      <w:r w:rsidRPr="00E73FF0">
        <w:rPr>
          <w:sz w:val="22"/>
          <w:szCs w:val="22"/>
        </w:rPr>
        <w:t>собами, одним из которых предусматривает использование ножей, установленных  по спирали на барабане. При этом заточку ножей можно произвести с двух сторон, что позволит увеличить срок их эксплуатации, а диаметр барабана следует применять не более 350 мм, что позволит развивать режущим элементам скорость резания даже при не высокой скорости движения самой бороны.</w:t>
      </w:r>
    </w:p>
    <w:p w:rsidR="00E73FF0" w:rsidRPr="00E73FF0" w:rsidRDefault="00E73FF0" w:rsidP="00E73FF0">
      <w:pPr>
        <w:ind w:firstLine="426"/>
        <w:jc w:val="center"/>
        <w:rPr>
          <w:sz w:val="22"/>
          <w:szCs w:val="22"/>
        </w:rPr>
      </w:pPr>
    </w:p>
    <w:p w:rsidR="00E73FF0" w:rsidRPr="00E73FF0" w:rsidRDefault="00E73FF0" w:rsidP="00E73FF0">
      <w:pPr>
        <w:ind w:firstLine="426"/>
        <w:jc w:val="center"/>
        <w:rPr>
          <w:sz w:val="22"/>
          <w:szCs w:val="22"/>
        </w:rPr>
      </w:pPr>
      <w:r w:rsidRPr="00E73FF0">
        <w:rPr>
          <w:sz w:val="22"/>
          <w:szCs w:val="22"/>
        </w:rPr>
        <w:t>Список литературы</w:t>
      </w:r>
    </w:p>
    <w:p w:rsidR="00E73FF0" w:rsidRPr="00E73FF0" w:rsidRDefault="00E73FF0" w:rsidP="00E73FF0">
      <w:pPr>
        <w:ind w:firstLine="426"/>
        <w:jc w:val="both"/>
        <w:rPr>
          <w:sz w:val="22"/>
          <w:szCs w:val="22"/>
        </w:rPr>
      </w:pPr>
      <w:r w:rsidRPr="00E73FF0">
        <w:rPr>
          <w:sz w:val="22"/>
          <w:szCs w:val="22"/>
        </w:rPr>
        <w:t>1. Сохт К. А. Дисковые бороны и лущильники. Проектирование технологических параметров: [Тест] учеб. пособие / К. А. Сохт, Е. И. Трубилин,  В. И. Коновалов. – Краснодар: КубГАУ, 2014 – 164 стр.</w:t>
      </w:r>
    </w:p>
    <w:p w:rsidR="00E73FF0" w:rsidRPr="00E73FF0" w:rsidRDefault="00E73FF0" w:rsidP="00E73FF0">
      <w:pPr>
        <w:ind w:firstLine="409"/>
        <w:jc w:val="both"/>
        <w:rPr>
          <w:sz w:val="22"/>
          <w:szCs w:val="22"/>
        </w:rPr>
      </w:pPr>
      <w:r w:rsidRPr="00E73FF0">
        <w:rPr>
          <w:sz w:val="22"/>
          <w:szCs w:val="22"/>
        </w:rPr>
        <w:t>2. Трубилин Е. И. Равновесие дисковых борон и лущильников в горизонтальной плоскости: [Тест] / Е. И. Трубилин, К. А. Сохт К.А., В. И. Коновалов. // Труды Кубанского государственного аграрного университета. – 2013. – № 40. – С. 166-169.</w:t>
      </w:r>
    </w:p>
    <w:p w:rsidR="00E73FF0" w:rsidRPr="00E73FF0" w:rsidRDefault="00E73FF0" w:rsidP="00E73FF0">
      <w:pPr>
        <w:ind w:firstLine="409"/>
        <w:jc w:val="both"/>
        <w:rPr>
          <w:sz w:val="22"/>
          <w:szCs w:val="22"/>
        </w:rPr>
      </w:pPr>
      <w:r w:rsidRPr="00E73FF0">
        <w:rPr>
          <w:sz w:val="22"/>
          <w:szCs w:val="22"/>
        </w:rPr>
        <w:t>3. Трубилин Е. И. Повышение технологической эффективности дисковых борон: [Тест]/ Е. И. Трубилин, К. А. Сохт, В. И. Коновалов. //  Сельский механизатор. – 2013. – № 3 (49). – С. 8-9.</w:t>
      </w:r>
    </w:p>
    <w:p w:rsidR="00E73FF0" w:rsidRPr="00E73FF0" w:rsidRDefault="00E73FF0" w:rsidP="00E73FF0">
      <w:pPr>
        <w:ind w:firstLine="409"/>
        <w:jc w:val="both"/>
        <w:rPr>
          <w:sz w:val="22"/>
          <w:szCs w:val="22"/>
        </w:rPr>
      </w:pPr>
      <w:r w:rsidRPr="00E73FF0">
        <w:rPr>
          <w:sz w:val="22"/>
          <w:szCs w:val="22"/>
        </w:rPr>
        <w:t>4. Трубилин Е. И. Экономическая эффективность применения многорядных дисковых борон и лущильников: [Тест] / Е. И. Трубилин, К. А. Сохт, В. И. Коновалов. // Труды К</w:t>
      </w:r>
      <w:r w:rsidRPr="00E73FF0">
        <w:rPr>
          <w:sz w:val="22"/>
          <w:szCs w:val="22"/>
        </w:rPr>
        <w:t>у</w:t>
      </w:r>
      <w:r w:rsidRPr="00E73FF0">
        <w:rPr>
          <w:sz w:val="22"/>
          <w:szCs w:val="22"/>
        </w:rPr>
        <w:t>банского государственного аграрного университета. – 2015. – № 53. – С. 253-254.</w:t>
      </w:r>
    </w:p>
    <w:p w:rsidR="00E73FF0" w:rsidRDefault="00E73FF0" w:rsidP="00E73FF0">
      <w:pPr>
        <w:ind w:firstLine="426"/>
        <w:jc w:val="both"/>
        <w:rPr>
          <w:sz w:val="22"/>
          <w:szCs w:val="22"/>
        </w:rPr>
      </w:pPr>
    </w:p>
    <w:p w:rsidR="009A7442" w:rsidRPr="00E73FF0" w:rsidRDefault="009762D0" w:rsidP="009762D0">
      <w:pPr>
        <w:rPr>
          <w:sz w:val="22"/>
          <w:szCs w:val="22"/>
        </w:rPr>
      </w:pPr>
      <w:r>
        <w:rPr>
          <w:sz w:val="22"/>
          <w:szCs w:val="22"/>
        </w:rPr>
        <w:br w:type="page"/>
      </w:r>
    </w:p>
    <w:p w:rsidR="00E73FF0" w:rsidRPr="00E73FF0" w:rsidRDefault="00E73FF0" w:rsidP="00E73FF0">
      <w:pPr>
        <w:widowControl w:val="0"/>
        <w:rPr>
          <w:rFonts w:eastAsia="Courier New"/>
          <w:color w:val="000000"/>
          <w:sz w:val="22"/>
          <w:szCs w:val="22"/>
          <w:lang w:eastAsia="en-US"/>
        </w:rPr>
      </w:pPr>
      <w:r w:rsidRPr="00E73FF0">
        <w:rPr>
          <w:rFonts w:eastAsia="Courier New"/>
          <w:color w:val="000000"/>
          <w:sz w:val="22"/>
          <w:szCs w:val="22"/>
          <w:lang w:eastAsia="en-US"/>
        </w:rPr>
        <w:lastRenderedPageBreak/>
        <w:t>УДК 631.331.85</w:t>
      </w:r>
    </w:p>
    <w:p w:rsidR="00E73FF0" w:rsidRPr="00E73FF0" w:rsidRDefault="00E73FF0" w:rsidP="00E73FF0">
      <w:pPr>
        <w:widowControl w:val="0"/>
        <w:rPr>
          <w:rFonts w:eastAsia="Courier New"/>
          <w:color w:val="000000"/>
          <w:sz w:val="22"/>
          <w:szCs w:val="22"/>
          <w:lang w:eastAsia="en-US"/>
        </w:rPr>
      </w:pPr>
    </w:p>
    <w:p w:rsidR="00E73FF0" w:rsidRDefault="00E73FF0" w:rsidP="00E73FF0">
      <w:pPr>
        <w:widowControl w:val="0"/>
        <w:jc w:val="center"/>
        <w:rPr>
          <w:rFonts w:eastAsia="Courier New"/>
          <w:b/>
          <w:color w:val="000000"/>
          <w:sz w:val="24"/>
          <w:szCs w:val="24"/>
          <w:lang w:eastAsia="en-US"/>
        </w:rPr>
      </w:pPr>
      <w:r w:rsidRPr="00E73FF0">
        <w:rPr>
          <w:rFonts w:eastAsia="Courier New"/>
          <w:b/>
          <w:color w:val="000000"/>
          <w:sz w:val="24"/>
          <w:szCs w:val="24"/>
          <w:lang w:eastAsia="en-US"/>
        </w:rPr>
        <w:t xml:space="preserve">Сравнительный анализ зерновых и пропашных </w:t>
      </w:r>
      <w:r w:rsidRPr="00E73FF0">
        <w:rPr>
          <w:rFonts w:eastAsia="Courier New"/>
          <w:b/>
          <w:color w:val="000000"/>
          <w:sz w:val="24"/>
          <w:szCs w:val="24"/>
          <w:lang w:eastAsia="en-US"/>
        </w:rPr>
        <w:br/>
        <w:t>селекционных сеялок «КЛЕН»</w:t>
      </w:r>
    </w:p>
    <w:p w:rsidR="009A7442" w:rsidRPr="008D33CB" w:rsidRDefault="009A7442" w:rsidP="00E73FF0">
      <w:pPr>
        <w:widowControl w:val="0"/>
        <w:jc w:val="center"/>
        <w:rPr>
          <w:rFonts w:eastAsia="Courier New"/>
          <w:b/>
          <w:color w:val="000000"/>
          <w:sz w:val="24"/>
          <w:szCs w:val="24"/>
          <w:lang w:val="en-US" w:eastAsia="en-US"/>
        </w:rPr>
      </w:pPr>
      <w:r w:rsidRPr="009A7442">
        <w:rPr>
          <w:rFonts w:eastAsia="Courier New"/>
          <w:b/>
          <w:color w:val="000000"/>
          <w:sz w:val="24"/>
          <w:szCs w:val="24"/>
          <w:lang w:val="en-US" w:eastAsia="en-US"/>
        </w:rPr>
        <w:t xml:space="preserve">Comparative analysis of cereals and </w:t>
      </w:r>
      <w:r w:rsidR="00662BE8">
        <w:rPr>
          <w:rFonts w:eastAsia="Courier New"/>
          <w:b/>
          <w:color w:val="000000"/>
          <w:sz w:val="24"/>
          <w:szCs w:val="24"/>
          <w:lang w:val="en-US" w:eastAsia="en-US"/>
        </w:rPr>
        <w:t xml:space="preserve">tilledselection </w:t>
      </w:r>
      <w:r w:rsidR="00662BE8" w:rsidRPr="00662BE8">
        <w:rPr>
          <w:rFonts w:eastAsia="Courier New"/>
          <w:b/>
          <w:color w:val="000000"/>
          <w:sz w:val="24"/>
          <w:szCs w:val="24"/>
          <w:lang w:val="en-US" w:eastAsia="en-US"/>
        </w:rPr>
        <w:br/>
      </w:r>
      <w:r w:rsidR="00662BE8">
        <w:rPr>
          <w:rFonts w:eastAsia="Courier New"/>
          <w:b/>
          <w:color w:val="000000"/>
          <w:sz w:val="24"/>
          <w:szCs w:val="24"/>
          <w:lang w:val="en-US" w:eastAsia="en-US"/>
        </w:rPr>
        <w:t>drills</w:t>
      </w:r>
      <w:r w:rsidR="00662BE8" w:rsidRPr="00662BE8">
        <w:rPr>
          <w:rFonts w:eastAsia="Courier New"/>
          <w:b/>
          <w:color w:val="000000"/>
          <w:sz w:val="24"/>
          <w:szCs w:val="24"/>
          <w:lang w:val="en-US" w:eastAsia="en-US"/>
        </w:rPr>
        <w:t xml:space="preserve"> </w:t>
      </w:r>
      <w:r w:rsidRPr="009A7442">
        <w:rPr>
          <w:rFonts w:eastAsia="Courier New"/>
          <w:b/>
          <w:color w:val="000000"/>
          <w:sz w:val="24"/>
          <w:szCs w:val="24"/>
          <w:lang w:val="en-US" w:eastAsia="en-US"/>
        </w:rPr>
        <w:t>"MAPLE"</w:t>
      </w:r>
    </w:p>
    <w:p w:rsidR="009762D0" w:rsidRPr="008D33CB" w:rsidRDefault="009762D0" w:rsidP="00E73FF0">
      <w:pPr>
        <w:widowControl w:val="0"/>
        <w:jc w:val="center"/>
        <w:rPr>
          <w:rFonts w:eastAsia="Courier New"/>
          <w:b/>
          <w:color w:val="000000"/>
          <w:sz w:val="24"/>
          <w:szCs w:val="24"/>
          <w:lang w:val="en-US" w:eastAsia="en-US"/>
        </w:rPr>
      </w:pP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Малашихин Н. В.,</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магистрант 1-го курса факультета механизации</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Труфляк Е. В.,</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заведующий кафедрой эксплуатации МТП</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9A7442">
        <w:rPr>
          <w:rFonts w:eastAsia="Courier New"/>
          <w:color w:val="000000"/>
          <w:sz w:val="22"/>
          <w:szCs w:val="22"/>
          <w:lang w:eastAsia="en-US"/>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E73FF0" w:rsidRPr="00E73FF0" w:rsidRDefault="00E73FF0" w:rsidP="00E73FF0">
      <w:pPr>
        <w:widowControl w:val="0"/>
        <w:tabs>
          <w:tab w:val="left" w:pos="8223"/>
        </w:tabs>
        <w:jc w:val="right"/>
        <w:rPr>
          <w:rFonts w:eastAsia="Courier New"/>
          <w:color w:val="000000"/>
          <w:sz w:val="22"/>
          <w:szCs w:val="22"/>
          <w:lang w:eastAsia="en-US"/>
        </w:rPr>
      </w:pP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АННОТАЦИЯ: В статье представлены результаты анализа зе</w:t>
      </w:r>
      <w:r w:rsidRPr="00E73FF0">
        <w:rPr>
          <w:rFonts w:eastAsia="Courier New"/>
          <w:color w:val="000000"/>
          <w:sz w:val="22"/>
          <w:szCs w:val="22"/>
          <w:lang w:eastAsia="en-US"/>
        </w:rPr>
        <w:t>р</w:t>
      </w:r>
      <w:r w:rsidRPr="00E73FF0">
        <w:rPr>
          <w:rFonts w:eastAsia="Courier New"/>
          <w:color w:val="000000"/>
          <w:sz w:val="22"/>
          <w:szCs w:val="22"/>
          <w:lang w:eastAsia="en-US"/>
        </w:rPr>
        <w:t>новых и пропашных селекционных сеялок «КЛЕН» с аналогами российского, австрийского и немецкого производства.</w:t>
      </w:r>
    </w:p>
    <w:p w:rsidR="00E73FF0" w:rsidRPr="00E73FF0" w:rsidRDefault="00E73FF0" w:rsidP="00E73FF0">
      <w:pPr>
        <w:widowControl w:val="0"/>
        <w:tabs>
          <w:tab w:val="left" w:pos="8223"/>
        </w:tabs>
        <w:ind w:firstLine="426"/>
        <w:jc w:val="both"/>
        <w:rPr>
          <w:rFonts w:ascii="Tahoma" w:eastAsia="Courier New" w:hAnsi="Tahoma" w:cs="Tahoma"/>
          <w:color w:val="000000"/>
          <w:sz w:val="22"/>
          <w:szCs w:val="22"/>
          <w:shd w:val="clear" w:color="auto" w:fill="FFFFFF"/>
          <w:lang w:val="en-US" w:eastAsia="en-US"/>
        </w:rPr>
      </w:pPr>
      <w:r w:rsidRPr="00E73FF0">
        <w:rPr>
          <w:rFonts w:eastAsia="Courier New"/>
          <w:color w:val="000000"/>
          <w:sz w:val="22"/>
          <w:szCs w:val="22"/>
          <w:lang w:val="en-US" w:eastAsia="en-US"/>
        </w:rPr>
        <w:t>ABSTRACT:</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shd w:val="clear" w:color="auto" w:fill="FFFFFF"/>
          <w:lang w:val="en-US" w:eastAsia="en-US"/>
        </w:rPr>
        <w:t>Results of the analysis grain and the propashnykh of selection KLEN seeders with analogs of the Russian, Austrian and Ge</w:t>
      </w:r>
      <w:r w:rsidRPr="00E73FF0">
        <w:rPr>
          <w:rFonts w:eastAsia="Courier New"/>
          <w:color w:val="000000"/>
          <w:sz w:val="22"/>
          <w:szCs w:val="22"/>
          <w:shd w:val="clear" w:color="auto" w:fill="FFFFFF"/>
          <w:lang w:val="en-US" w:eastAsia="en-US"/>
        </w:rPr>
        <w:t>r</w:t>
      </w:r>
      <w:r w:rsidRPr="00E73FF0">
        <w:rPr>
          <w:rFonts w:eastAsia="Courier New"/>
          <w:color w:val="000000"/>
          <w:sz w:val="22"/>
          <w:szCs w:val="22"/>
          <w:shd w:val="clear" w:color="auto" w:fill="FFFFFF"/>
          <w:lang w:val="en-US" w:eastAsia="en-US"/>
        </w:rPr>
        <w:t>man production are presented in article.</w:t>
      </w: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КЛЮЧЕВЫЕ СЛОВА: селекционная сеялка, высевающий а</w:t>
      </w:r>
      <w:r w:rsidRPr="00E73FF0">
        <w:rPr>
          <w:rFonts w:eastAsia="Courier New"/>
          <w:color w:val="000000"/>
          <w:sz w:val="22"/>
          <w:szCs w:val="22"/>
          <w:lang w:eastAsia="en-US"/>
        </w:rPr>
        <w:t>п</w:t>
      </w:r>
      <w:r w:rsidRPr="00E73FF0">
        <w:rPr>
          <w:rFonts w:eastAsia="Courier New"/>
          <w:color w:val="000000"/>
          <w:sz w:val="22"/>
          <w:szCs w:val="22"/>
          <w:lang w:eastAsia="en-US"/>
        </w:rPr>
        <w:t>парат, зерновые и пропашные культуры.</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val="en-US" w:eastAsia="en-US"/>
        </w:rPr>
        <w:t>KEYWORDS:</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lang w:val="en-US" w:eastAsia="en-US"/>
        </w:rPr>
        <w:t>the selection seeder, the sowing device, grain and cultivated crop.</w:t>
      </w:r>
    </w:p>
    <w:p w:rsidR="00E73FF0" w:rsidRPr="00E73FF0" w:rsidRDefault="00E73FF0" w:rsidP="00E73FF0">
      <w:pPr>
        <w:autoSpaceDE w:val="0"/>
        <w:autoSpaceDN w:val="0"/>
        <w:adjustRightInd w:val="0"/>
        <w:ind w:firstLine="426"/>
        <w:jc w:val="both"/>
        <w:rPr>
          <w:rFonts w:eastAsia="Courier New"/>
          <w:color w:val="000000"/>
          <w:sz w:val="22"/>
          <w:szCs w:val="22"/>
          <w:lang w:val="en-US" w:eastAsia="en-US"/>
        </w:rPr>
      </w:pP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В Кубанском ГАУ создано малое инновационное предприятие «КЛЕН-АГРО», основным видом деятельности которого являются научные исследования и разработки в области посевных и посадо</w:t>
      </w:r>
      <w:r w:rsidRPr="00E73FF0">
        <w:rPr>
          <w:rFonts w:eastAsia="Calibri" w:cs="Arial"/>
          <w:color w:val="000000"/>
          <w:sz w:val="22"/>
          <w:szCs w:val="22"/>
          <w:lang w:eastAsia="en-US"/>
        </w:rPr>
        <w:t>ч</w:t>
      </w:r>
      <w:r w:rsidRPr="00E73FF0">
        <w:rPr>
          <w:rFonts w:eastAsia="Calibri" w:cs="Arial"/>
          <w:color w:val="000000"/>
          <w:sz w:val="22"/>
          <w:szCs w:val="22"/>
          <w:lang w:eastAsia="en-US"/>
        </w:rPr>
        <w:t>ных машин [1, 2, 3].</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xml:space="preserve">Нами выполнен сравнительный анализ навесных зерновых и пропашных селекционных сеялок. </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Основное преимущество зерновых селекционных сеялок «КЛЕН» является используемый тип высевающей системы – эле</w:t>
      </w:r>
      <w:r w:rsidRPr="00E73FF0">
        <w:rPr>
          <w:rFonts w:eastAsia="Calibri" w:cs="Arial"/>
          <w:color w:val="000000"/>
          <w:sz w:val="22"/>
          <w:szCs w:val="22"/>
          <w:lang w:eastAsia="en-US"/>
        </w:rPr>
        <w:t>к</w:t>
      </w:r>
      <w:r w:rsidRPr="00E73FF0">
        <w:rPr>
          <w:rFonts w:eastAsia="Calibri" w:cs="Arial"/>
          <w:color w:val="000000"/>
          <w:sz w:val="22"/>
          <w:szCs w:val="22"/>
          <w:lang w:eastAsia="en-US"/>
        </w:rPr>
        <w:t>тромеханический дозатор с электронной настройкой нормы высева (КЛЕН-1,5П) и конический дозатор с  электронным приводом (КЛЕН-1,5С). У аналогов используется механический катушечный аппарат (СС-11 «Альфа» (Россия) и конический дозатор с  механ</w:t>
      </w:r>
      <w:r w:rsidRPr="00E73FF0">
        <w:rPr>
          <w:rFonts w:eastAsia="Calibri" w:cs="Arial"/>
          <w:color w:val="000000"/>
          <w:sz w:val="22"/>
          <w:szCs w:val="22"/>
          <w:lang w:eastAsia="en-US"/>
        </w:rPr>
        <w:t>и</w:t>
      </w:r>
      <w:r w:rsidRPr="00E73FF0">
        <w:rPr>
          <w:rFonts w:eastAsia="Calibri" w:cs="Arial"/>
          <w:color w:val="000000"/>
          <w:sz w:val="22"/>
          <w:szCs w:val="22"/>
          <w:lang w:eastAsia="en-US"/>
        </w:rPr>
        <w:lastRenderedPageBreak/>
        <w:t>ческим приводом (ССН-7 (Россия), Wintersteiger Plotseed XL (</w:t>
      </w:r>
      <w:r w:rsidRPr="00E73FF0">
        <w:rPr>
          <w:rFonts w:eastAsia="Calibri"/>
          <w:sz w:val="22"/>
          <w:szCs w:val="22"/>
          <w:lang w:eastAsia="en-US"/>
        </w:rPr>
        <w:t>А</w:t>
      </w:r>
      <w:r w:rsidRPr="00E73FF0">
        <w:rPr>
          <w:rFonts w:eastAsia="Calibri"/>
          <w:sz w:val="22"/>
          <w:szCs w:val="22"/>
          <w:lang w:eastAsia="en-US"/>
        </w:rPr>
        <w:t>в</w:t>
      </w:r>
      <w:r w:rsidRPr="00E73FF0">
        <w:rPr>
          <w:rFonts w:eastAsia="Calibri"/>
          <w:sz w:val="22"/>
          <w:szCs w:val="22"/>
          <w:lang w:eastAsia="en-US"/>
        </w:rPr>
        <w:t>стрия), Haldrup SB-25 (Германия</w:t>
      </w:r>
      <w:r w:rsidRPr="00E73FF0">
        <w:rPr>
          <w:rFonts w:eastAsia="Calibri" w:cs="Arial"/>
          <w:color w:val="000000"/>
          <w:sz w:val="22"/>
          <w:szCs w:val="22"/>
          <w:lang w:eastAsia="en-US"/>
        </w:rPr>
        <w:t>).</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У сеялок «КЛЕН» централизованный тип управляющей сист</w:t>
      </w:r>
      <w:r w:rsidRPr="00E73FF0">
        <w:rPr>
          <w:rFonts w:eastAsia="Calibri" w:cs="Arial"/>
          <w:color w:val="000000"/>
          <w:sz w:val="22"/>
          <w:szCs w:val="22"/>
          <w:lang w:eastAsia="en-US"/>
        </w:rPr>
        <w:t>е</w:t>
      </w:r>
      <w:r w:rsidRPr="00E73FF0">
        <w:rPr>
          <w:rFonts w:eastAsia="Calibri" w:cs="Arial"/>
          <w:color w:val="000000"/>
          <w:sz w:val="22"/>
          <w:szCs w:val="22"/>
          <w:lang w:eastAsia="en-US"/>
        </w:rPr>
        <w:t>мы с пульта управления от датчика скорости (КЛЕН-1,5П; КЛЕН-1,5С). Представленные аналоги имеют привод управляющей сист</w:t>
      </w:r>
      <w:r w:rsidRPr="00E73FF0">
        <w:rPr>
          <w:rFonts w:eastAsia="Calibri" w:cs="Arial"/>
          <w:color w:val="000000"/>
          <w:sz w:val="22"/>
          <w:szCs w:val="22"/>
          <w:lang w:eastAsia="en-US"/>
        </w:rPr>
        <w:t>е</w:t>
      </w:r>
      <w:r w:rsidRPr="00E73FF0">
        <w:rPr>
          <w:rFonts w:eastAsia="Calibri" w:cs="Arial"/>
          <w:color w:val="000000"/>
          <w:sz w:val="22"/>
          <w:szCs w:val="22"/>
          <w:lang w:eastAsia="en-US"/>
        </w:rPr>
        <w:t>мы от колеса через редуктор (СС-11 «Альфа» (Россия), Wintersteiger Plotseed XL (</w:t>
      </w:r>
      <w:r w:rsidRPr="00E73FF0">
        <w:rPr>
          <w:rFonts w:eastAsia="Calibri"/>
          <w:sz w:val="22"/>
          <w:szCs w:val="22"/>
          <w:lang w:eastAsia="en-US"/>
        </w:rPr>
        <w:t>Австрия), Haldrup SB-25 (Германия</w:t>
      </w:r>
      <w:r w:rsidRPr="00E73FF0">
        <w:rPr>
          <w:rFonts w:eastAsia="Calibri" w:cs="Arial"/>
          <w:color w:val="000000"/>
          <w:sz w:val="22"/>
          <w:szCs w:val="22"/>
          <w:lang w:eastAsia="en-US"/>
        </w:rPr>
        <w:t>).</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Преимущество пропашной селекционной сеялки  КЛЕН-2,8С – пневматический однозерновой дозатор с электронным управлением и контролем работы, у аналогов – пневматический однозерновой дозатор с цепной передачей (Wintersteiger Dynamic Disc (Австрия), Haldrup SP-35 (Германия).</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Пропашная сеялка КЛЕН-2,8С имеет также централизованный тип управляющей системы с пульта управления от датчика скор</w:t>
      </w:r>
      <w:r w:rsidRPr="00E73FF0">
        <w:rPr>
          <w:rFonts w:eastAsia="Calibri" w:cs="Arial"/>
          <w:color w:val="000000"/>
          <w:sz w:val="22"/>
          <w:szCs w:val="22"/>
          <w:lang w:eastAsia="en-US"/>
        </w:rPr>
        <w:t>о</w:t>
      </w:r>
      <w:r w:rsidRPr="00E73FF0">
        <w:rPr>
          <w:rFonts w:eastAsia="Calibri" w:cs="Arial"/>
          <w:color w:val="000000"/>
          <w:sz w:val="22"/>
          <w:szCs w:val="22"/>
          <w:lang w:eastAsia="en-US"/>
        </w:rPr>
        <w:t>сти, а у ближайших аналогов привод осуществляется от колеса ч</w:t>
      </w:r>
      <w:r w:rsidRPr="00E73FF0">
        <w:rPr>
          <w:rFonts w:eastAsia="Calibri" w:cs="Arial"/>
          <w:color w:val="000000"/>
          <w:sz w:val="22"/>
          <w:szCs w:val="22"/>
          <w:lang w:eastAsia="en-US"/>
        </w:rPr>
        <w:t>е</w:t>
      </w:r>
      <w:r w:rsidRPr="00E73FF0">
        <w:rPr>
          <w:rFonts w:eastAsia="Calibri" w:cs="Arial"/>
          <w:color w:val="000000"/>
          <w:sz w:val="22"/>
          <w:szCs w:val="22"/>
          <w:lang w:eastAsia="en-US"/>
        </w:rPr>
        <w:t>рез редуктор (Wintersteiger Dynamic Disc (Австрия), Haldrup SP-35 (Германия)).</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Для изучения качественных показателей посева зерновых  и зернобобовых культур сеялкой «КЛЕН» проводились исследования на сортоиспытательной станции в Матвеево-Курганском районе Ростовской области. Изучались качественные показатели работы сеялки «КЛЕН» – количество растений сои на 1 п. м. (сорт – Селе</w:t>
      </w:r>
      <w:r w:rsidRPr="00E73FF0">
        <w:rPr>
          <w:rFonts w:eastAsia="Calibri" w:cs="Arial"/>
          <w:color w:val="000000"/>
          <w:sz w:val="22"/>
          <w:szCs w:val="22"/>
          <w:lang w:eastAsia="en-US"/>
        </w:rPr>
        <w:t>н</w:t>
      </w:r>
      <w:r w:rsidRPr="00E73FF0">
        <w:rPr>
          <w:rFonts w:eastAsia="Calibri" w:cs="Arial"/>
          <w:color w:val="000000"/>
          <w:sz w:val="22"/>
          <w:szCs w:val="22"/>
          <w:lang w:eastAsia="en-US"/>
        </w:rPr>
        <w:t>та 201, норма высева – 180 т/га) и подсолнечника (сорт – Бастион, норма высева – 70–75 т/га).</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По сое получились следующие значения статистической обр</w:t>
      </w:r>
      <w:r w:rsidRPr="00E73FF0">
        <w:rPr>
          <w:rFonts w:eastAsia="Calibri" w:cs="Arial"/>
          <w:color w:val="000000"/>
          <w:sz w:val="22"/>
          <w:szCs w:val="22"/>
          <w:lang w:eastAsia="en-US"/>
        </w:rPr>
        <w:t>а</w:t>
      </w:r>
      <w:r w:rsidRPr="00E73FF0">
        <w:rPr>
          <w:rFonts w:eastAsia="Calibri" w:cs="Arial"/>
          <w:color w:val="000000"/>
          <w:sz w:val="22"/>
          <w:szCs w:val="22"/>
          <w:lang w:eastAsia="en-US"/>
        </w:rPr>
        <w:t xml:space="preserve">ботки данных – стандартное отклонение </w:t>
      </w:r>
      <w:r w:rsidRPr="00E73FF0">
        <w:rPr>
          <w:rFonts w:eastAsia="Calibri" w:cs="Arial"/>
          <w:i/>
          <w:color w:val="000000"/>
          <w:sz w:val="22"/>
          <w:szCs w:val="22"/>
          <w:lang w:val="en-US" w:eastAsia="en-US"/>
        </w:rPr>
        <w:t>S</w:t>
      </w:r>
      <w:r w:rsidRPr="00E73FF0">
        <w:rPr>
          <w:rFonts w:eastAsia="Calibri" w:cs="Arial"/>
          <w:color w:val="000000"/>
          <w:sz w:val="22"/>
          <w:szCs w:val="22"/>
          <w:lang w:eastAsia="en-US"/>
        </w:rPr>
        <w:t xml:space="preserve"> = 2,4 шт.; коэффициент вариации </w:t>
      </w:r>
      <w:r w:rsidRPr="00E73FF0">
        <w:rPr>
          <w:rFonts w:eastAsia="Calibri"/>
          <w:i/>
          <w:color w:val="000000"/>
          <w:sz w:val="22"/>
          <w:szCs w:val="22"/>
          <w:lang w:eastAsia="en-US"/>
        </w:rPr>
        <w:t>ν</w:t>
      </w:r>
      <w:r w:rsidRPr="00E73FF0">
        <w:rPr>
          <w:rFonts w:eastAsia="Calibri" w:cs="Arial"/>
          <w:color w:val="000000"/>
          <w:sz w:val="22"/>
          <w:szCs w:val="22"/>
          <w:lang w:eastAsia="en-US"/>
        </w:rPr>
        <w:t xml:space="preserve"> = 33 %; ошибка выборочной средней </w:t>
      </w:r>
      <w:r w:rsidRPr="00E73FF0">
        <w:rPr>
          <w:rFonts w:eastAsia="Calibri" w:cs="Arial"/>
          <w:i/>
          <w:color w:val="000000"/>
          <w:sz w:val="22"/>
          <w:szCs w:val="22"/>
          <w:lang w:val="en-US" w:eastAsia="en-US"/>
        </w:rPr>
        <w:t>S</w:t>
      </w:r>
      <w:r w:rsidRPr="00E73FF0">
        <w:rPr>
          <w:rFonts w:eastAsia="Calibri" w:cs="Arial"/>
          <w:i/>
          <w:color w:val="000000"/>
          <w:sz w:val="22"/>
          <w:szCs w:val="22"/>
          <w:vertAlign w:val="subscript"/>
          <w:lang w:val="en-US" w:eastAsia="en-US"/>
        </w:rPr>
        <w:t>x</w:t>
      </w:r>
      <w:r w:rsidRPr="00E73FF0">
        <w:rPr>
          <w:rFonts w:eastAsia="Calibri" w:cs="Arial"/>
          <w:color w:val="000000"/>
          <w:sz w:val="22"/>
          <w:szCs w:val="22"/>
          <w:lang w:eastAsia="en-US"/>
        </w:rPr>
        <w:t xml:space="preserve"> = 0,5 шт.; отн</w:t>
      </w:r>
      <w:r w:rsidRPr="00E73FF0">
        <w:rPr>
          <w:rFonts w:eastAsia="Calibri" w:cs="Arial"/>
          <w:color w:val="000000"/>
          <w:sz w:val="22"/>
          <w:szCs w:val="22"/>
          <w:lang w:eastAsia="en-US"/>
        </w:rPr>
        <w:t>о</w:t>
      </w:r>
      <w:r w:rsidRPr="00E73FF0">
        <w:rPr>
          <w:rFonts w:eastAsia="Calibri" w:cs="Arial"/>
          <w:color w:val="000000"/>
          <w:sz w:val="22"/>
          <w:szCs w:val="22"/>
          <w:lang w:eastAsia="en-US"/>
        </w:rPr>
        <w:t xml:space="preserve">сительная ошибка выборочной средней </w:t>
      </w:r>
      <w:r w:rsidRPr="00E73FF0">
        <w:rPr>
          <w:rFonts w:eastAsia="Calibri" w:cs="Arial"/>
          <w:i/>
          <w:color w:val="000000"/>
          <w:sz w:val="22"/>
          <w:szCs w:val="22"/>
          <w:lang w:val="en-US" w:eastAsia="en-US"/>
        </w:rPr>
        <w:t>S</w:t>
      </w:r>
      <w:r w:rsidRPr="00E73FF0">
        <w:rPr>
          <w:rFonts w:eastAsia="Calibri" w:cs="Arial"/>
          <w:i/>
          <w:color w:val="000000"/>
          <w:sz w:val="22"/>
          <w:szCs w:val="22"/>
          <w:vertAlign w:val="subscript"/>
          <w:lang w:val="en-US" w:eastAsia="en-US"/>
        </w:rPr>
        <w:t>x</w:t>
      </w:r>
      <w:r w:rsidRPr="00E73FF0">
        <w:rPr>
          <w:rFonts w:eastAsia="Calibri" w:cs="Arial"/>
          <w:i/>
          <w:color w:val="000000"/>
          <w:sz w:val="22"/>
          <w:szCs w:val="22"/>
          <w:vertAlign w:val="subscript"/>
          <w:lang w:eastAsia="en-US"/>
        </w:rPr>
        <w:t>%</w:t>
      </w:r>
      <w:r w:rsidRPr="00E73FF0">
        <w:rPr>
          <w:rFonts w:eastAsia="Calibri" w:cs="Arial"/>
          <w:color w:val="000000"/>
          <w:sz w:val="22"/>
          <w:szCs w:val="22"/>
          <w:lang w:eastAsia="en-US"/>
        </w:rPr>
        <w:t xml:space="preserve"> = 7 %. По подсолнечн</w:t>
      </w:r>
      <w:r w:rsidRPr="00E73FF0">
        <w:rPr>
          <w:rFonts w:eastAsia="Calibri" w:cs="Arial"/>
          <w:color w:val="000000"/>
          <w:sz w:val="22"/>
          <w:szCs w:val="22"/>
          <w:lang w:eastAsia="en-US"/>
        </w:rPr>
        <w:t>и</w:t>
      </w:r>
      <w:r w:rsidRPr="00E73FF0">
        <w:rPr>
          <w:rFonts w:eastAsia="Calibri" w:cs="Arial"/>
          <w:color w:val="000000"/>
          <w:sz w:val="22"/>
          <w:szCs w:val="22"/>
          <w:lang w:eastAsia="en-US"/>
        </w:rPr>
        <w:t xml:space="preserve">ку </w:t>
      </w:r>
      <w:r w:rsidRPr="00E73FF0">
        <w:rPr>
          <w:rFonts w:eastAsia="Calibri" w:cs="Arial"/>
          <w:i/>
          <w:color w:val="000000"/>
          <w:sz w:val="22"/>
          <w:szCs w:val="22"/>
          <w:lang w:val="en-US" w:eastAsia="en-US"/>
        </w:rPr>
        <w:t>S</w:t>
      </w:r>
      <w:r w:rsidRPr="00E73FF0">
        <w:rPr>
          <w:rFonts w:eastAsia="Calibri" w:cs="Arial"/>
          <w:color w:val="000000"/>
          <w:sz w:val="22"/>
          <w:szCs w:val="22"/>
          <w:lang w:eastAsia="en-US"/>
        </w:rPr>
        <w:t xml:space="preserve"> = 1,2 шт.; </w:t>
      </w:r>
      <w:r w:rsidRPr="00E73FF0">
        <w:rPr>
          <w:rFonts w:eastAsia="Calibri"/>
          <w:i/>
          <w:color w:val="000000"/>
          <w:sz w:val="22"/>
          <w:szCs w:val="22"/>
          <w:lang w:eastAsia="en-US"/>
        </w:rPr>
        <w:t>ν</w:t>
      </w:r>
      <w:r w:rsidRPr="00E73FF0">
        <w:rPr>
          <w:rFonts w:eastAsia="Calibri" w:cs="Arial"/>
          <w:color w:val="000000"/>
          <w:sz w:val="22"/>
          <w:szCs w:val="22"/>
          <w:lang w:eastAsia="en-US"/>
        </w:rPr>
        <w:t xml:space="preserve"> = 31 %; </w:t>
      </w:r>
      <w:r w:rsidRPr="00E73FF0">
        <w:rPr>
          <w:rFonts w:eastAsia="Calibri" w:cs="Arial"/>
          <w:i/>
          <w:color w:val="000000"/>
          <w:sz w:val="22"/>
          <w:szCs w:val="22"/>
          <w:lang w:val="en-US" w:eastAsia="en-US"/>
        </w:rPr>
        <w:t>S</w:t>
      </w:r>
      <w:r w:rsidRPr="00E73FF0">
        <w:rPr>
          <w:rFonts w:eastAsia="Calibri" w:cs="Arial"/>
          <w:i/>
          <w:color w:val="000000"/>
          <w:sz w:val="22"/>
          <w:szCs w:val="22"/>
          <w:vertAlign w:val="subscript"/>
          <w:lang w:val="en-US" w:eastAsia="en-US"/>
        </w:rPr>
        <w:t>x</w:t>
      </w:r>
      <w:r w:rsidRPr="00E73FF0">
        <w:rPr>
          <w:rFonts w:eastAsia="Calibri" w:cs="Arial"/>
          <w:color w:val="000000"/>
          <w:sz w:val="22"/>
          <w:szCs w:val="22"/>
          <w:lang w:eastAsia="en-US"/>
        </w:rPr>
        <w:t xml:space="preserve"> = 0,3 шт.; </w:t>
      </w:r>
      <w:r w:rsidRPr="00E73FF0">
        <w:rPr>
          <w:rFonts w:eastAsia="Calibri" w:cs="Arial"/>
          <w:i/>
          <w:color w:val="000000"/>
          <w:sz w:val="22"/>
          <w:szCs w:val="22"/>
          <w:lang w:val="en-US" w:eastAsia="en-US"/>
        </w:rPr>
        <w:t>S</w:t>
      </w:r>
      <w:r w:rsidRPr="00E73FF0">
        <w:rPr>
          <w:rFonts w:eastAsia="Calibri" w:cs="Arial"/>
          <w:i/>
          <w:color w:val="000000"/>
          <w:sz w:val="22"/>
          <w:szCs w:val="22"/>
          <w:vertAlign w:val="subscript"/>
          <w:lang w:val="en-US" w:eastAsia="en-US"/>
        </w:rPr>
        <w:t>x</w:t>
      </w:r>
      <w:r w:rsidRPr="00E73FF0">
        <w:rPr>
          <w:rFonts w:eastAsia="Calibri" w:cs="Arial"/>
          <w:i/>
          <w:color w:val="000000"/>
          <w:sz w:val="22"/>
          <w:szCs w:val="22"/>
          <w:vertAlign w:val="subscript"/>
          <w:lang w:eastAsia="en-US"/>
        </w:rPr>
        <w:t>%</w:t>
      </w:r>
      <w:r w:rsidRPr="00E73FF0">
        <w:rPr>
          <w:rFonts w:eastAsia="Calibri" w:cs="Arial"/>
          <w:color w:val="000000"/>
          <w:sz w:val="22"/>
          <w:szCs w:val="22"/>
          <w:lang w:eastAsia="en-US"/>
        </w:rPr>
        <w:t xml:space="preserve"> = 6,9 %.</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Основываясь на полученном сравнительном анализе можно сделать следующие выводы о преимуществе селекционных сеялок «КЛЕН»:</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универсальность по высевающим культурам с широким ди</w:t>
      </w:r>
      <w:r w:rsidRPr="00E73FF0">
        <w:rPr>
          <w:rFonts w:eastAsia="Calibri" w:cs="Arial"/>
          <w:color w:val="000000"/>
          <w:sz w:val="22"/>
          <w:szCs w:val="22"/>
          <w:lang w:eastAsia="en-US"/>
        </w:rPr>
        <w:t>а</w:t>
      </w:r>
      <w:r w:rsidRPr="00E73FF0">
        <w:rPr>
          <w:rFonts w:eastAsia="Calibri" w:cs="Arial"/>
          <w:color w:val="000000"/>
          <w:sz w:val="22"/>
          <w:szCs w:val="22"/>
          <w:lang w:eastAsia="en-US"/>
        </w:rPr>
        <w:t>пазоном норм высева семян;</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большой диапазон регулировки глубины заделки семян;</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равномерное распределение семян в рядке;</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отсутствие механического повреждения семян;</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посев осуществляется без смешивания сортов;</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lastRenderedPageBreak/>
        <w:t xml:space="preserve">– быстрая очистка высевающего аппарата от остатков семян при смене посевного материала; </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высокая степень автоматизации, удобство управления и наладки требуемых норм высева и длины делянок;</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точные расстояния между растениями за счет инновационн</w:t>
      </w:r>
      <w:r w:rsidRPr="00E73FF0">
        <w:rPr>
          <w:rFonts w:eastAsia="Calibri" w:cs="Arial"/>
          <w:color w:val="000000"/>
          <w:sz w:val="22"/>
          <w:szCs w:val="22"/>
          <w:lang w:eastAsia="en-US"/>
        </w:rPr>
        <w:t>о</w:t>
      </w:r>
      <w:r w:rsidRPr="00E73FF0">
        <w:rPr>
          <w:rFonts w:eastAsia="Calibri" w:cs="Arial"/>
          <w:color w:val="000000"/>
          <w:sz w:val="22"/>
          <w:szCs w:val="22"/>
          <w:lang w:eastAsia="en-US"/>
        </w:rPr>
        <w:t>го высевающего аппарата с электроприводом;</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возможность корректировки нормы высева по каждому выс</w:t>
      </w:r>
      <w:r w:rsidRPr="00E73FF0">
        <w:rPr>
          <w:rFonts w:eastAsia="Calibri" w:cs="Arial"/>
          <w:color w:val="000000"/>
          <w:sz w:val="22"/>
          <w:szCs w:val="22"/>
          <w:lang w:eastAsia="en-US"/>
        </w:rPr>
        <w:t>е</w:t>
      </w:r>
      <w:r w:rsidRPr="00E73FF0">
        <w:rPr>
          <w:rFonts w:eastAsia="Calibri" w:cs="Arial"/>
          <w:color w:val="000000"/>
          <w:sz w:val="22"/>
          <w:szCs w:val="22"/>
          <w:lang w:eastAsia="en-US"/>
        </w:rPr>
        <w:t>вающему аппарату;</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электронная система учета засеянной площади;</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низкая энергоемкость процесса высева, позволяющая экон</w:t>
      </w:r>
      <w:r w:rsidRPr="00E73FF0">
        <w:rPr>
          <w:rFonts w:eastAsia="Calibri" w:cs="Arial"/>
          <w:color w:val="000000"/>
          <w:sz w:val="22"/>
          <w:szCs w:val="22"/>
          <w:lang w:eastAsia="en-US"/>
        </w:rPr>
        <w:t>о</w:t>
      </w:r>
      <w:r w:rsidRPr="00E73FF0">
        <w:rPr>
          <w:rFonts w:eastAsia="Calibri" w:cs="Arial"/>
          <w:color w:val="000000"/>
          <w:sz w:val="22"/>
          <w:szCs w:val="22"/>
          <w:lang w:eastAsia="en-US"/>
        </w:rPr>
        <w:t>мить 10–12 % топлива по сравнению с аналогами;</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соответствие сеялки современным требованиям применения инновационной техники в сельском хозяйстве;</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отсутствие на территории РФ производителей селекционных пропашных сеялок;</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 более чем в 2 раза ниже  стоимость в сравнении с импортн</w:t>
      </w:r>
      <w:r w:rsidRPr="00E73FF0">
        <w:rPr>
          <w:rFonts w:eastAsia="Calibri" w:cs="Arial"/>
          <w:color w:val="000000"/>
          <w:sz w:val="22"/>
          <w:szCs w:val="22"/>
          <w:lang w:eastAsia="en-US"/>
        </w:rPr>
        <w:t>ы</w:t>
      </w:r>
      <w:r w:rsidRPr="00E73FF0">
        <w:rPr>
          <w:rFonts w:eastAsia="Calibri" w:cs="Arial"/>
          <w:color w:val="000000"/>
          <w:sz w:val="22"/>
          <w:szCs w:val="22"/>
          <w:lang w:eastAsia="en-US"/>
        </w:rPr>
        <w:t>ми аналогами.</w:t>
      </w:r>
    </w:p>
    <w:p w:rsidR="00E73FF0" w:rsidRPr="00E73FF0" w:rsidRDefault="00E73FF0" w:rsidP="00E73FF0">
      <w:pPr>
        <w:widowControl w:val="0"/>
        <w:autoSpaceDE w:val="0"/>
        <w:autoSpaceDN w:val="0"/>
        <w:adjustRightInd w:val="0"/>
        <w:ind w:firstLine="426"/>
        <w:jc w:val="center"/>
        <w:rPr>
          <w:rFonts w:eastAsia="Calibri" w:cs="Arial"/>
          <w:color w:val="000000"/>
          <w:sz w:val="22"/>
          <w:szCs w:val="22"/>
          <w:lang w:eastAsia="en-US"/>
        </w:rPr>
      </w:pPr>
      <w:r w:rsidRPr="00E73FF0">
        <w:rPr>
          <w:rFonts w:eastAsia="Calibri" w:cs="Arial"/>
          <w:color w:val="000000"/>
          <w:sz w:val="22"/>
          <w:szCs w:val="22"/>
          <w:lang w:eastAsia="en-US"/>
        </w:rPr>
        <w:t>Список литературы</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ourier New"/>
          <w:sz w:val="22"/>
          <w:szCs w:val="22"/>
          <w:lang w:eastAsia="en-US"/>
        </w:rPr>
        <w:t>1.</w:t>
      </w:r>
      <w:r w:rsidRPr="00E73FF0">
        <w:rPr>
          <w:rFonts w:eastAsia="Courier New"/>
          <w:bCs/>
          <w:sz w:val="22"/>
          <w:szCs w:val="22"/>
          <w:lang w:eastAsia="en-US"/>
        </w:rPr>
        <w:t xml:space="preserve"> Виневский Е.И., Труфляк Е.В., Курченко Н.Ю., Скоробог</w:t>
      </w:r>
      <w:r w:rsidRPr="00E73FF0">
        <w:rPr>
          <w:rFonts w:eastAsia="Courier New"/>
          <w:bCs/>
          <w:sz w:val="22"/>
          <w:szCs w:val="22"/>
          <w:lang w:eastAsia="en-US"/>
        </w:rPr>
        <w:t>а</w:t>
      </w:r>
      <w:r w:rsidRPr="00E73FF0">
        <w:rPr>
          <w:rFonts w:eastAsia="Courier New"/>
          <w:bCs/>
          <w:sz w:val="22"/>
          <w:szCs w:val="22"/>
          <w:lang w:eastAsia="en-US"/>
        </w:rPr>
        <w:t>ченко И.С. Испытания сеялки для посева семян гидравлическим способом [Электронный ресурс] // Инновационные исследования и разработки для научного  обеспечения  производства  и  хранения экологически  безопасной  сельскохозяйственной  и пищевой пр</w:t>
      </w:r>
      <w:r w:rsidRPr="00E73FF0">
        <w:rPr>
          <w:rFonts w:eastAsia="Courier New"/>
          <w:bCs/>
          <w:sz w:val="22"/>
          <w:szCs w:val="22"/>
          <w:lang w:eastAsia="en-US"/>
        </w:rPr>
        <w:t>о</w:t>
      </w:r>
      <w:r w:rsidRPr="00E73FF0">
        <w:rPr>
          <w:rFonts w:eastAsia="Courier New"/>
          <w:bCs/>
          <w:sz w:val="22"/>
          <w:szCs w:val="22"/>
          <w:lang w:eastAsia="en-US"/>
        </w:rPr>
        <w:t xml:space="preserve">дукции: матер. Междунар. научн.-практ. конф. (06-26 апреля 2015 г., г. Краснодар). – С. 249–252. </w:t>
      </w:r>
      <w:r w:rsidRPr="00E73FF0">
        <w:rPr>
          <w:rFonts w:eastAsia="Courier New"/>
          <w:bCs/>
          <w:sz w:val="22"/>
          <w:szCs w:val="22"/>
          <w:lang w:val="en-US" w:eastAsia="en-US"/>
        </w:rPr>
        <w:t>URL</w:t>
      </w:r>
      <w:r w:rsidRPr="00E73FF0">
        <w:rPr>
          <w:rFonts w:eastAsia="Courier New"/>
          <w:bCs/>
          <w:sz w:val="22"/>
          <w:szCs w:val="22"/>
          <w:lang w:eastAsia="en-US"/>
        </w:rPr>
        <w:t xml:space="preserve">: </w:t>
      </w:r>
      <w:r w:rsidRPr="00E73FF0">
        <w:rPr>
          <w:rFonts w:eastAsia="Courier New"/>
          <w:bCs/>
          <w:sz w:val="22"/>
          <w:szCs w:val="22"/>
          <w:lang w:val="en-US" w:eastAsia="en-US"/>
        </w:rPr>
        <w:t>http</w:t>
      </w:r>
      <w:r w:rsidRPr="00E73FF0">
        <w:rPr>
          <w:rFonts w:eastAsia="Courier New"/>
          <w:bCs/>
          <w:sz w:val="22"/>
          <w:szCs w:val="22"/>
          <w:lang w:eastAsia="en-US"/>
        </w:rPr>
        <w:t>://</w:t>
      </w:r>
      <w:r w:rsidRPr="00E73FF0">
        <w:rPr>
          <w:rFonts w:eastAsia="Courier New"/>
          <w:bCs/>
          <w:sz w:val="22"/>
          <w:szCs w:val="22"/>
          <w:lang w:val="en-US" w:eastAsia="en-US"/>
        </w:rPr>
        <w:t>vniitti</w:t>
      </w:r>
      <w:r w:rsidRPr="00E73FF0">
        <w:rPr>
          <w:rFonts w:eastAsia="Courier New"/>
          <w:bCs/>
          <w:sz w:val="22"/>
          <w:szCs w:val="22"/>
          <w:lang w:eastAsia="en-US"/>
        </w:rPr>
        <w:t>.</w:t>
      </w:r>
      <w:r w:rsidRPr="00E73FF0">
        <w:rPr>
          <w:rFonts w:eastAsia="Courier New"/>
          <w:bCs/>
          <w:sz w:val="22"/>
          <w:szCs w:val="22"/>
          <w:lang w:val="en-US" w:eastAsia="en-US"/>
        </w:rPr>
        <w:t>ru</w:t>
      </w:r>
      <w:r w:rsidRPr="00E73FF0">
        <w:rPr>
          <w:rFonts w:eastAsia="Courier New"/>
          <w:bCs/>
          <w:sz w:val="22"/>
          <w:szCs w:val="22"/>
          <w:lang w:eastAsia="en-US"/>
        </w:rPr>
        <w:t>/</w:t>
      </w:r>
      <w:r w:rsidRPr="00E73FF0">
        <w:rPr>
          <w:rFonts w:eastAsia="Courier New"/>
          <w:bCs/>
          <w:sz w:val="22"/>
          <w:szCs w:val="22"/>
          <w:lang w:val="en-US" w:eastAsia="en-US"/>
        </w:rPr>
        <w:t>conf</w:t>
      </w:r>
      <w:r w:rsidRPr="00E73FF0">
        <w:rPr>
          <w:rFonts w:eastAsia="Courier New"/>
          <w:bCs/>
          <w:sz w:val="22"/>
          <w:szCs w:val="22"/>
          <w:lang w:eastAsia="en-US"/>
        </w:rPr>
        <w:t>/</w:t>
      </w:r>
      <w:r w:rsidRPr="00E73FF0">
        <w:rPr>
          <w:rFonts w:eastAsia="Courier New"/>
          <w:bCs/>
          <w:sz w:val="22"/>
          <w:szCs w:val="22"/>
          <w:lang w:val="en-US" w:eastAsia="en-US"/>
        </w:rPr>
        <w:t>conf</w:t>
      </w:r>
      <w:r w:rsidRPr="00E73FF0">
        <w:rPr>
          <w:rFonts w:eastAsia="Courier New"/>
          <w:bCs/>
          <w:sz w:val="22"/>
          <w:szCs w:val="22"/>
          <w:lang w:eastAsia="en-US"/>
        </w:rPr>
        <w:t>2015/</w:t>
      </w:r>
      <w:r w:rsidRPr="00E73FF0">
        <w:rPr>
          <w:rFonts w:eastAsia="Courier New"/>
          <w:bCs/>
          <w:sz w:val="22"/>
          <w:szCs w:val="22"/>
          <w:lang w:val="en-US" w:eastAsia="en-US"/>
        </w:rPr>
        <w:t>sbornik</w:t>
      </w:r>
      <w:r w:rsidRPr="00E73FF0">
        <w:rPr>
          <w:rFonts w:eastAsia="Courier New"/>
          <w:bCs/>
          <w:sz w:val="22"/>
          <w:szCs w:val="22"/>
          <w:lang w:eastAsia="en-US"/>
        </w:rPr>
        <w:t>_</w:t>
      </w:r>
      <w:r w:rsidRPr="00E73FF0">
        <w:rPr>
          <w:rFonts w:eastAsia="Courier New"/>
          <w:bCs/>
          <w:sz w:val="22"/>
          <w:szCs w:val="22"/>
          <w:lang w:val="en-US" w:eastAsia="en-US"/>
        </w:rPr>
        <w:t>conf</w:t>
      </w:r>
      <w:r w:rsidRPr="00E73FF0">
        <w:rPr>
          <w:rFonts w:eastAsia="Courier New"/>
          <w:bCs/>
          <w:sz w:val="22"/>
          <w:szCs w:val="22"/>
          <w:lang w:eastAsia="en-US"/>
        </w:rPr>
        <w:t>2015.</w:t>
      </w:r>
      <w:r w:rsidRPr="00E73FF0">
        <w:rPr>
          <w:rFonts w:eastAsia="Courier New"/>
          <w:bCs/>
          <w:sz w:val="22"/>
          <w:szCs w:val="22"/>
          <w:lang w:val="en-US" w:eastAsia="en-US"/>
        </w:rPr>
        <w:t>pdf</w:t>
      </w:r>
      <w:r w:rsidRPr="00E73FF0">
        <w:rPr>
          <w:rFonts w:eastAsia="Calibri"/>
          <w:sz w:val="22"/>
          <w:szCs w:val="22"/>
          <w:lang w:eastAsia="en-US"/>
        </w:rPr>
        <w:t>.</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2. Труфляк Е.В. Посев семян овощных культур и табака ги</w:t>
      </w:r>
      <w:r w:rsidRPr="00E73FF0">
        <w:rPr>
          <w:rFonts w:eastAsia="Calibri"/>
          <w:sz w:val="22"/>
          <w:szCs w:val="22"/>
          <w:lang w:eastAsia="en-US"/>
        </w:rPr>
        <w:t>д</w:t>
      </w:r>
      <w:r w:rsidRPr="00E73FF0">
        <w:rPr>
          <w:rFonts w:eastAsia="Calibri"/>
          <w:sz w:val="22"/>
          <w:szCs w:val="22"/>
          <w:lang w:eastAsia="en-US"/>
        </w:rPr>
        <w:t>равлическим способом с использованием электроактивированной воды/ Е.В. Труфляк, Е.И. Виневский, Н.Ю. Курченко, И.С. Скор</w:t>
      </w:r>
      <w:r w:rsidRPr="00E73FF0">
        <w:rPr>
          <w:rFonts w:eastAsia="Calibri"/>
          <w:sz w:val="22"/>
          <w:szCs w:val="22"/>
          <w:lang w:eastAsia="en-US"/>
        </w:rPr>
        <w:t>о</w:t>
      </w:r>
      <w:r w:rsidRPr="00E73FF0">
        <w:rPr>
          <w:rFonts w:eastAsia="Calibri"/>
          <w:sz w:val="22"/>
          <w:szCs w:val="22"/>
          <w:lang w:eastAsia="en-US"/>
        </w:rPr>
        <w:t>богаченко // Техника и оборудование для села. – 2015. – № 1 (211).</w:t>
      </w:r>
    </w:p>
    <w:p w:rsidR="009A7442" w:rsidRPr="009762D0" w:rsidRDefault="00E73FF0" w:rsidP="009762D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3. Труфляк Е.В. Изучение гидропосева овощных культур с применением электроактивированной воды /  Е.В. Труфляк, Н.Ю. Курченко, Д.С. Яркин // Политематический сетевой электронный научный журнал Кубанского государственного аграрного универс</w:t>
      </w:r>
      <w:r w:rsidRPr="00E73FF0">
        <w:rPr>
          <w:rFonts w:eastAsia="Calibri"/>
          <w:sz w:val="22"/>
          <w:szCs w:val="22"/>
          <w:lang w:eastAsia="en-US"/>
        </w:rPr>
        <w:t>и</w:t>
      </w:r>
      <w:r w:rsidRPr="00E73FF0">
        <w:rPr>
          <w:rFonts w:eastAsia="Calibri"/>
          <w:sz w:val="22"/>
          <w:szCs w:val="22"/>
          <w:lang w:eastAsia="en-US"/>
        </w:rPr>
        <w:t>тета (Научный журнал КубГАУ) [Электронный ресурс]. – Красн</w:t>
      </w:r>
      <w:r w:rsidRPr="00E73FF0">
        <w:rPr>
          <w:rFonts w:eastAsia="Calibri"/>
          <w:sz w:val="22"/>
          <w:szCs w:val="22"/>
          <w:lang w:eastAsia="en-US"/>
        </w:rPr>
        <w:t>о</w:t>
      </w:r>
      <w:r w:rsidRPr="00E73FF0">
        <w:rPr>
          <w:rFonts w:eastAsia="Calibri"/>
          <w:sz w:val="22"/>
          <w:szCs w:val="22"/>
          <w:lang w:eastAsia="en-US"/>
        </w:rPr>
        <w:t>дар: КубГАУ, 2014. – №02(096). С. 66 – 79. – IDA [article ID]: 0961402006. – Режим доступа: http://ej.kubagro.ru/2014/02/pdf/06.pdf, 0,875 у.п.л., импакт-фактор РИНЦ=0,346</w:t>
      </w:r>
    </w:p>
    <w:p w:rsidR="00E73FF0" w:rsidRPr="009A7442" w:rsidRDefault="00E73FF0" w:rsidP="00E73FF0">
      <w:pPr>
        <w:spacing w:line="360" w:lineRule="auto"/>
        <w:jc w:val="both"/>
        <w:rPr>
          <w:sz w:val="22"/>
          <w:szCs w:val="22"/>
        </w:rPr>
      </w:pPr>
      <w:r w:rsidRPr="009A7442">
        <w:rPr>
          <w:sz w:val="22"/>
          <w:szCs w:val="22"/>
        </w:rPr>
        <w:lastRenderedPageBreak/>
        <w:t>УДК 631.374</w:t>
      </w:r>
    </w:p>
    <w:p w:rsidR="00E73FF0" w:rsidRPr="00E73FF0" w:rsidRDefault="00E73FF0" w:rsidP="00E73FF0">
      <w:pPr>
        <w:jc w:val="center"/>
        <w:rPr>
          <w:b/>
          <w:sz w:val="24"/>
          <w:szCs w:val="24"/>
          <w:shd w:val="clear" w:color="auto" w:fill="FFFFFF"/>
        </w:rPr>
      </w:pPr>
      <w:r w:rsidRPr="00E73FF0">
        <w:rPr>
          <w:b/>
          <w:sz w:val="24"/>
          <w:szCs w:val="24"/>
          <w:shd w:val="clear" w:color="auto" w:fill="FFFFFF"/>
        </w:rPr>
        <w:t xml:space="preserve">Технические средства </w:t>
      </w:r>
    </w:p>
    <w:p w:rsidR="00E73FF0" w:rsidRPr="00E73FF0" w:rsidRDefault="00E73FF0" w:rsidP="00E73FF0">
      <w:pPr>
        <w:jc w:val="center"/>
        <w:rPr>
          <w:b/>
          <w:sz w:val="24"/>
          <w:szCs w:val="24"/>
          <w:shd w:val="clear" w:color="auto" w:fill="FFFFFF"/>
        </w:rPr>
      </w:pPr>
      <w:r w:rsidRPr="00E73FF0">
        <w:rPr>
          <w:b/>
          <w:sz w:val="24"/>
          <w:szCs w:val="24"/>
          <w:shd w:val="clear" w:color="auto" w:fill="FFFFFF"/>
        </w:rPr>
        <w:t>для боронования посевов озимой пшеницы</w:t>
      </w:r>
    </w:p>
    <w:p w:rsidR="00E73FF0" w:rsidRPr="00E73FF0" w:rsidRDefault="00E73FF0" w:rsidP="00E73FF0">
      <w:pPr>
        <w:jc w:val="center"/>
        <w:rPr>
          <w:b/>
          <w:sz w:val="24"/>
          <w:szCs w:val="24"/>
          <w:lang w:val="en-US"/>
        </w:rPr>
      </w:pPr>
      <w:r w:rsidRPr="00E73FF0">
        <w:rPr>
          <w:b/>
          <w:sz w:val="24"/>
          <w:szCs w:val="24"/>
          <w:lang w:val="en"/>
        </w:rPr>
        <w:t>Technical means for harrowing of winter wheat crops</w:t>
      </w:r>
    </w:p>
    <w:p w:rsidR="00E73FF0" w:rsidRPr="00E73FF0" w:rsidRDefault="00E73FF0" w:rsidP="00E73FF0">
      <w:pPr>
        <w:jc w:val="center"/>
        <w:rPr>
          <w:b/>
          <w:sz w:val="24"/>
          <w:szCs w:val="24"/>
          <w:lang w:val="en-US"/>
        </w:rPr>
      </w:pPr>
    </w:p>
    <w:p w:rsidR="00E73FF0" w:rsidRPr="009A7442" w:rsidRDefault="00E73FF0" w:rsidP="00E73FF0">
      <w:pPr>
        <w:jc w:val="right"/>
        <w:rPr>
          <w:sz w:val="22"/>
          <w:szCs w:val="22"/>
        </w:rPr>
      </w:pPr>
      <w:r w:rsidRPr="009A7442">
        <w:rPr>
          <w:sz w:val="22"/>
          <w:szCs w:val="22"/>
        </w:rPr>
        <w:t>Малашихин Н.</w:t>
      </w:r>
      <w:r w:rsidR="009A7442" w:rsidRPr="009A7442">
        <w:rPr>
          <w:sz w:val="22"/>
          <w:szCs w:val="22"/>
        </w:rPr>
        <w:t xml:space="preserve"> </w:t>
      </w:r>
      <w:r w:rsidRPr="009A7442">
        <w:rPr>
          <w:sz w:val="22"/>
          <w:szCs w:val="22"/>
        </w:rPr>
        <w:t>В.,</w:t>
      </w:r>
    </w:p>
    <w:p w:rsidR="00E73FF0" w:rsidRPr="009A7442" w:rsidRDefault="00E73FF0" w:rsidP="00E73FF0">
      <w:pPr>
        <w:jc w:val="right"/>
        <w:rPr>
          <w:sz w:val="22"/>
          <w:szCs w:val="22"/>
        </w:rPr>
      </w:pPr>
      <w:r w:rsidRPr="009A7442">
        <w:rPr>
          <w:sz w:val="22"/>
          <w:szCs w:val="22"/>
        </w:rPr>
        <w:t>магистрант 2 курса факультета механизации</w:t>
      </w:r>
    </w:p>
    <w:p w:rsidR="00E73FF0" w:rsidRPr="009A7442" w:rsidRDefault="00E73FF0" w:rsidP="00E73FF0">
      <w:pPr>
        <w:jc w:val="right"/>
        <w:rPr>
          <w:sz w:val="22"/>
          <w:szCs w:val="22"/>
        </w:rPr>
      </w:pPr>
      <w:r w:rsidRPr="009A7442">
        <w:rPr>
          <w:sz w:val="22"/>
          <w:szCs w:val="22"/>
        </w:rPr>
        <w:t>Сергунцов А.</w:t>
      </w:r>
      <w:r w:rsidR="009A7442" w:rsidRPr="009A7442">
        <w:rPr>
          <w:sz w:val="22"/>
          <w:szCs w:val="22"/>
        </w:rPr>
        <w:t xml:space="preserve"> </w:t>
      </w:r>
      <w:r w:rsidR="009A7442">
        <w:rPr>
          <w:sz w:val="22"/>
          <w:szCs w:val="22"/>
        </w:rPr>
        <w:t>С.,</w:t>
      </w:r>
    </w:p>
    <w:p w:rsidR="00E73FF0" w:rsidRPr="009A7442" w:rsidRDefault="009A7442" w:rsidP="00E73FF0">
      <w:pPr>
        <w:jc w:val="right"/>
        <w:rPr>
          <w:sz w:val="22"/>
          <w:szCs w:val="22"/>
        </w:rPr>
      </w:pPr>
      <w:r>
        <w:rPr>
          <w:sz w:val="22"/>
          <w:szCs w:val="22"/>
        </w:rPr>
        <w:t>старший преподаватель</w:t>
      </w:r>
    </w:p>
    <w:p w:rsidR="00E73FF0" w:rsidRPr="009A7442" w:rsidRDefault="00E73FF0" w:rsidP="00E73FF0">
      <w:pPr>
        <w:jc w:val="right"/>
        <w:rPr>
          <w:sz w:val="22"/>
          <w:szCs w:val="22"/>
        </w:rPr>
      </w:pPr>
      <w:r w:rsidRPr="009A7442">
        <w:rPr>
          <w:sz w:val="22"/>
          <w:szCs w:val="22"/>
        </w:rPr>
        <w:t>кафедры процессы и машины в агробизнесе</w:t>
      </w:r>
    </w:p>
    <w:p w:rsidR="009A7442" w:rsidRDefault="00E73FF0" w:rsidP="00E73FF0">
      <w:pPr>
        <w:widowControl w:val="0"/>
        <w:autoSpaceDE w:val="0"/>
        <w:autoSpaceDN w:val="0"/>
        <w:adjustRightInd w:val="0"/>
        <w:jc w:val="right"/>
        <w:rPr>
          <w:sz w:val="22"/>
          <w:szCs w:val="22"/>
        </w:rPr>
      </w:pPr>
      <w:r w:rsidRPr="009A7442">
        <w:rPr>
          <w:sz w:val="22"/>
          <w:szCs w:val="22"/>
        </w:rPr>
        <w:t>Кубанский государственный аграрный</w:t>
      </w:r>
    </w:p>
    <w:p w:rsidR="00E73FF0" w:rsidRPr="009A7442" w:rsidRDefault="00E73FF0" w:rsidP="00E73FF0">
      <w:pPr>
        <w:widowControl w:val="0"/>
        <w:autoSpaceDE w:val="0"/>
        <w:autoSpaceDN w:val="0"/>
        <w:adjustRightInd w:val="0"/>
        <w:jc w:val="right"/>
        <w:rPr>
          <w:sz w:val="22"/>
          <w:szCs w:val="22"/>
        </w:rPr>
      </w:pPr>
      <w:r w:rsidRPr="009A7442">
        <w:rPr>
          <w:sz w:val="22"/>
          <w:szCs w:val="22"/>
        </w:rPr>
        <w:t xml:space="preserve"> </w:t>
      </w:r>
      <w:r w:rsidR="009A7442" w:rsidRPr="009A7442">
        <w:rPr>
          <w:sz w:val="22"/>
          <w:szCs w:val="22"/>
        </w:rPr>
        <w:t>У</w:t>
      </w:r>
      <w:r w:rsidRPr="009A7442">
        <w:rPr>
          <w:sz w:val="22"/>
          <w:szCs w:val="22"/>
        </w:rPr>
        <w:t>ниверситет</w:t>
      </w:r>
      <w:r w:rsidR="009A7442">
        <w:rPr>
          <w:sz w:val="22"/>
          <w:szCs w:val="22"/>
        </w:rPr>
        <w:t xml:space="preserve"> имени И.Т.Трубилина</w:t>
      </w:r>
    </w:p>
    <w:p w:rsidR="00E73FF0" w:rsidRPr="009A7442" w:rsidRDefault="00E73FF0" w:rsidP="00E73FF0">
      <w:pPr>
        <w:widowControl w:val="0"/>
        <w:autoSpaceDE w:val="0"/>
        <w:autoSpaceDN w:val="0"/>
        <w:adjustRightInd w:val="0"/>
        <w:jc w:val="both"/>
        <w:rPr>
          <w:sz w:val="22"/>
          <w:szCs w:val="22"/>
        </w:rPr>
      </w:pPr>
    </w:p>
    <w:p w:rsidR="00E73FF0" w:rsidRPr="009A7442" w:rsidRDefault="009A7442" w:rsidP="00E73FF0">
      <w:pPr>
        <w:shd w:val="clear" w:color="auto" w:fill="FFFFFF"/>
        <w:ind w:firstLine="425"/>
        <w:jc w:val="both"/>
        <w:rPr>
          <w:sz w:val="22"/>
          <w:szCs w:val="22"/>
        </w:rPr>
      </w:pPr>
      <w:r>
        <w:rPr>
          <w:sz w:val="22"/>
          <w:szCs w:val="22"/>
        </w:rPr>
        <w:t>АННОТАЦИЯ:</w:t>
      </w:r>
      <w:r w:rsidR="00E73FF0" w:rsidRPr="009A7442">
        <w:rPr>
          <w:sz w:val="22"/>
          <w:szCs w:val="22"/>
        </w:rPr>
        <w:t xml:space="preserve"> В работе рассмотрены технические средства для боронования посевов озимой пшеницы. При использовании р</w:t>
      </w:r>
      <w:r w:rsidR="00E73FF0" w:rsidRPr="009A7442">
        <w:rPr>
          <w:sz w:val="22"/>
          <w:szCs w:val="22"/>
        </w:rPr>
        <w:t>о</w:t>
      </w:r>
      <w:r w:rsidR="00E73FF0" w:rsidRPr="009A7442">
        <w:rPr>
          <w:sz w:val="22"/>
          <w:szCs w:val="22"/>
        </w:rPr>
        <w:t>тационных мотыг по сравнению с обычными зубовыми боронами снизятся затраты труда.</w:t>
      </w:r>
    </w:p>
    <w:p w:rsidR="00E73FF0" w:rsidRPr="009A7442" w:rsidRDefault="009A7442" w:rsidP="00E73FF0">
      <w:pPr>
        <w:ind w:firstLine="425"/>
        <w:jc w:val="both"/>
        <w:rPr>
          <w:sz w:val="22"/>
          <w:szCs w:val="22"/>
          <w:lang w:val="en"/>
        </w:rPr>
      </w:pPr>
      <w:r>
        <w:rPr>
          <w:sz w:val="22"/>
          <w:szCs w:val="22"/>
          <w:lang w:val="en-US"/>
        </w:rPr>
        <w:t>ABSTRACT</w:t>
      </w:r>
      <w:r w:rsidRPr="009A7442">
        <w:rPr>
          <w:sz w:val="22"/>
          <w:szCs w:val="22"/>
          <w:lang w:val="en-US"/>
        </w:rPr>
        <w:t>:</w:t>
      </w:r>
      <w:r w:rsidR="00E73FF0" w:rsidRPr="009A7442">
        <w:rPr>
          <w:sz w:val="22"/>
          <w:szCs w:val="22"/>
          <w:lang w:val="en"/>
        </w:rPr>
        <w:t xml:space="preserve"> In work technical means for harrowing of crops of winter wheat are considered. When using rotary hoes in comparison with conventional tooth harrows, labor costs will decrease.</w:t>
      </w:r>
    </w:p>
    <w:p w:rsidR="00E73FF0" w:rsidRPr="009A7442" w:rsidRDefault="00E73FF0" w:rsidP="00E73FF0">
      <w:pPr>
        <w:ind w:firstLine="425"/>
        <w:jc w:val="both"/>
        <w:rPr>
          <w:sz w:val="22"/>
          <w:szCs w:val="22"/>
        </w:rPr>
      </w:pPr>
      <w:r w:rsidRPr="009A7442">
        <w:rPr>
          <w:sz w:val="22"/>
          <w:szCs w:val="22"/>
        </w:rPr>
        <w:t>КЛЮЧЕВЫЕ СЛОВА: Зуб, почва, ротационная мотыга, сорн</w:t>
      </w:r>
      <w:r w:rsidRPr="009A7442">
        <w:rPr>
          <w:sz w:val="22"/>
          <w:szCs w:val="22"/>
        </w:rPr>
        <w:t>я</w:t>
      </w:r>
      <w:r w:rsidRPr="009A7442">
        <w:rPr>
          <w:sz w:val="22"/>
          <w:szCs w:val="22"/>
        </w:rPr>
        <w:t xml:space="preserve">ки, растения. </w:t>
      </w:r>
    </w:p>
    <w:p w:rsidR="00E73FF0" w:rsidRPr="009A7442" w:rsidRDefault="00E73FF0" w:rsidP="00E73FF0">
      <w:pPr>
        <w:ind w:firstLine="425"/>
        <w:jc w:val="both"/>
        <w:rPr>
          <w:sz w:val="22"/>
          <w:szCs w:val="22"/>
          <w:lang w:val="en-US"/>
        </w:rPr>
      </w:pPr>
      <w:r w:rsidRPr="009A7442">
        <w:rPr>
          <w:sz w:val="22"/>
          <w:szCs w:val="22"/>
          <w:lang w:val="en-US"/>
        </w:rPr>
        <w:t xml:space="preserve">KEYWORDS: </w:t>
      </w:r>
      <w:r w:rsidRPr="009A7442">
        <w:rPr>
          <w:bCs/>
          <w:sz w:val="22"/>
          <w:szCs w:val="22"/>
          <w:lang w:val="en-US"/>
        </w:rPr>
        <w:t>Tooth, soil, rotary hoe, weeds, plants.</w:t>
      </w:r>
    </w:p>
    <w:p w:rsidR="00E73FF0" w:rsidRPr="009A7442" w:rsidRDefault="00E73FF0" w:rsidP="00E73FF0">
      <w:pPr>
        <w:ind w:firstLine="425"/>
        <w:jc w:val="both"/>
        <w:rPr>
          <w:sz w:val="22"/>
          <w:szCs w:val="22"/>
          <w:lang w:val="en-US"/>
        </w:rPr>
      </w:pPr>
    </w:p>
    <w:p w:rsidR="00E73FF0" w:rsidRPr="009A7442" w:rsidRDefault="00E73FF0" w:rsidP="00E73FF0">
      <w:pPr>
        <w:ind w:firstLine="426"/>
        <w:jc w:val="both"/>
        <w:rPr>
          <w:bCs/>
          <w:color w:val="000000"/>
          <w:sz w:val="22"/>
          <w:szCs w:val="22"/>
        </w:rPr>
      </w:pPr>
      <w:r w:rsidRPr="009A7442">
        <w:rPr>
          <w:bCs/>
          <w:color w:val="000000"/>
          <w:sz w:val="22"/>
          <w:szCs w:val="22"/>
        </w:rPr>
        <w:t>По мере подсыхания почвы, весной проводят боронование п</w:t>
      </w:r>
      <w:r w:rsidRPr="009A7442">
        <w:rPr>
          <w:bCs/>
          <w:color w:val="000000"/>
          <w:sz w:val="22"/>
          <w:szCs w:val="22"/>
        </w:rPr>
        <w:t>о</w:t>
      </w:r>
      <w:r w:rsidRPr="009A7442">
        <w:rPr>
          <w:bCs/>
          <w:color w:val="000000"/>
          <w:sz w:val="22"/>
          <w:szCs w:val="22"/>
        </w:rPr>
        <w:t>севов зерновых.</w:t>
      </w:r>
    </w:p>
    <w:p w:rsidR="00E73FF0" w:rsidRPr="009A7442" w:rsidRDefault="00E73FF0" w:rsidP="00E73FF0">
      <w:pPr>
        <w:ind w:firstLine="426"/>
        <w:jc w:val="both"/>
        <w:rPr>
          <w:bCs/>
          <w:color w:val="000000"/>
          <w:sz w:val="22"/>
          <w:szCs w:val="22"/>
        </w:rPr>
      </w:pPr>
      <w:r w:rsidRPr="009A7442">
        <w:rPr>
          <w:bCs/>
          <w:color w:val="000000"/>
          <w:sz w:val="22"/>
          <w:szCs w:val="22"/>
        </w:rPr>
        <w:t>При этом разрушается почвенная корка, удаляются в растениях отмершие части, создаются условия благоприятные для развития зерновых. Проведенное вовремя боронование значительно снижает испарение влаги, защищает почву от излишнего нагревания. Ра</w:t>
      </w:r>
      <w:r w:rsidRPr="009A7442">
        <w:rPr>
          <w:bCs/>
          <w:color w:val="000000"/>
          <w:sz w:val="22"/>
          <w:szCs w:val="22"/>
        </w:rPr>
        <w:t>з</w:t>
      </w:r>
      <w:r w:rsidRPr="009A7442">
        <w:rPr>
          <w:bCs/>
          <w:color w:val="000000"/>
          <w:sz w:val="22"/>
          <w:szCs w:val="22"/>
        </w:rPr>
        <w:t>ность между температурами на боронованных и не боронованных посевах даже на седьмой день составляет 2—3 °С. Эффект от бор</w:t>
      </w:r>
      <w:r w:rsidRPr="009A7442">
        <w:rPr>
          <w:bCs/>
          <w:color w:val="000000"/>
          <w:sz w:val="22"/>
          <w:szCs w:val="22"/>
        </w:rPr>
        <w:t>о</w:t>
      </w:r>
      <w:r w:rsidRPr="009A7442">
        <w:rPr>
          <w:bCs/>
          <w:color w:val="000000"/>
          <w:sz w:val="22"/>
          <w:szCs w:val="22"/>
        </w:rPr>
        <w:t>нования озимой пшеницы бывает неодинаковой. Это зависит от п</w:t>
      </w:r>
      <w:r w:rsidRPr="009A7442">
        <w:rPr>
          <w:bCs/>
          <w:color w:val="000000"/>
          <w:sz w:val="22"/>
          <w:szCs w:val="22"/>
        </w:rPr>
        <w:t>о</w:t>
      </w:r>
      <w:r w:rsidRPr="009A7442">
        <w:rPr>
          <w:bCs/>
          <w:color w:val="000000"/>
          <w:sz w:val="22"/>
          <w:szCs w:val="22"/>
        </w:rPr>
        <w:t>годных условий, состояния посевов, типа почвы и способа борон</w:t>
      </w:r>
      <w:r w:rsidRPr="009A7442">
        <w:rPr>
          <w:bCs/>
          <w:color w:val="000000"/>
          <w:sz w:val="22"/>
          <w:szCs w:val="22"/>
        </w:rPr>
        <w:t>о</w:t>
      </w:r>
      <w:r w:rsidRPr="009A7442">
        <w:rPr>
          <w:bCs/>
          <w:color w:val="000000"/>
          <w:sz w:val="22"/>
          <w:szCs w:val="22"/>
        </w:rPr>
        <w:t xml:space="preserve">вания. Поэтому решать проблему о необходимости боронования надо творчески, учитывая местные условия. Бороновать посевы </w:t>
      </w:r>
      <w:r w:rsidRPr="009A7442">
        <w:rPr>
          <w:bCs/>
          <w:color w:val="000000"/>
          <w:sz w:val="22"/>
          <w:szCs w:val="22"/>
        </w:rPr>
        <w:lastRenderedPageBreak/>
        <w:t>весной при дождливой погоде нецелесообразно, при сухой — п</w:t>
      </w:r>
      <w:r w:rsidRPr="009A7442">
        <w:rPr>
          <w:bCs/>
          <w:color w:val="000000"/>
          <w:sz w:val="22"/>
          <w:szCs w:val="22"/>
        </w:rPr>
        <w:t>о</w:t>
      </w:r>
      <w:r w:rsidRPr="009A7442">
        <w:rPr>
          <w:bCs/>
          <w:color w:val="000000"/>
          <w:sz w:val="22"/>
          <w:szCs w:val="22"/>
        </w:rPr>
        <w:t>лезно [1].</w:t>
      </w:r>
    </w:p>
    <w:p w:rsidR="00E73FF0" w:rsidRPr="009A7442" w:rsidRDefault="00E73FF0" w:rsidP="00E73FF0">
      <w:pPr>
        <w:ind w:firstLine="426"/>
        <w:jc w:val="both"/>
        <w:rPr>
          <w:bCs/>
          <w:color w:val="000000"/>
          <w:sz w:val="22"/>
          <w:szCs w:val="22"/>
        </w:rPr>
      </w:pPr>
      <w:r w:rsidRPr="009A7442">
        <w:rPr>
          <w:bCs/>
          <w:color w:val="000000"/>
          <w:sz w:val="22"/>
          <w:szCs w:val="22"/>
        </w:rPr>
        <w:t>На хорошо развитых посевах, а также тяжелых почвах борон</w:t>
      </w:r>
      <w:r w:rsidRPr="009A7442">
        <w:rPr>
          <w:bCs/>
          <w:color w:val="000000"/>
          <w:sz w:val="22"/>
          <w:szCs w:val="22"/>
        </w:rPr>
        <w:t>о</w:t>
      </w:r>
      <w:r w:rsidRPr="009A7442">
        <w:rPr>
          <w:bCs/>
          <w:color w:val="000000"/>
          <w:sz w:val="22"/>
          <w:szCs w:val="22"/>
        </w:rPr>
        <w:t>вание проводят тяжелыми зубовыми боронами в один или два сл</w:t>
      </w:r>
      <w:r w:rsidRPr="009A7442">
        <w:rPr>
          <w:bCs/>
          <w:color w:val="000000"/>
          <w:sz w:val="22"/>
          <w:szCs w:val="22"/>
        </w:rPr>
        <w:t>е</w:t>
      </w:r>
      <w:r w:rsidRPr="009A7442">
        <w:rPr>
          <w:bCs/>
          <w:color w:val="000000"/>
          <w:sz w:val="22"/>
          <w:szCs w:val="22"/>
        </w:rPr>
        <w:t>да. На слабо развитых посевах пшеницы, а также легких почвах ц</w:t>
      </w:r>
      <w:r w:rsidRPr="009A7442">
        <w:rPr>
          <w:bCs/>
          <w:color w:val="000000"/>
          <w:sz w:val="22"/>
          <w:szCs w:val="22"/>
        </w:rPr>
        <w:t>е</w:t>
      </w:r>
      <w:r w:rsidRPr="009A7442">
        <w:rPr>
          <w:bCs/>
          <w:color w:val="000000"/>
          <w:sz w:val="22"/>
          <w:szCs w:val="22"/>
        </w:rPr>
        <w:t>лесообразно применять легкие бороны или ротационные мотыги [5].</w:t>
      </w:r>
    </w:p>
    <w:p w:rsidR="00E73FF0" w:rsidRPr="009A7442" w:rsidRDefault="00E73FF0" w:rsidP="00E73FF0">
      <w:pPr>
        <w:ind w:firstLine="426"/>
        <w:jc w:val="both"/>
        <w:rPr>
          <w:bCs/>
          <w:color w:val="000000"/>
          <w:sz w:val="22"/>
          <w:szCs w:val="22"/>
        </w:rPr>
      </w:pPr>
      <w:r w:rsidRPr="009A7442">
        <w:rPr>
          <w:bCs/>
          <w:color w:val="000000"/>
          <w:sz w:val="22"/>
          <w:szCs w:val="22"/>
        </w:rPr>
        <w:t>На посевах зерновых, пораженных плесенью, после проведения боронования необходимо удалить с поля отмершие остатки раст</w:t>
      </w:r>
      <w:r w:rsidRPr="009A7442">
        <w:rPr>
          <w:bCs/>
          <w:color w:val="000000"/>
          <w:sz w:val="22"/>
          <w:szCs w:val="22"/>
        </w:rPr>
        <w:t>е</w:t>
      </w:r>
      <w:r w:rsidRPr="009A7442">
        <w:rPr>
          <w:bCs/>
          <w:color w:val="000000"/>
          <w:sz w:val="22"/>
          <w:szCs w:val="22"/>
        </w:rPr>
        <w:t>нии.</w:t>
      </w:r>
    </w:p>
    <w:p w:rsidR="00E73FF0" w:rsidRPr="009A7442" w:rsidRDefault="00E73FF0" w:rsidP="00E73FF0">
      <w:pPr>
        <w:autoSpaceDE w:val="0"/>
        <w:autoSpaceDN w:val="0"/>
        <w:adjustRightInd w:val="0"/>
        <w:ind w:firstLine="426"/>
        <w:jc w:val="both"/>
        <w:rPr>
          <w:bCs/>
          <w:color w:val="000000"/>
          <w:sz w:val="22"/>
          <w:szCs w:val="22"/>
        </w:rPr>
      </w:pPr>
      <w:r w:rsidRPr="009A7442">
        <w:rPr>
          <w:bCs/>
          <w:color w:val="000000"/>
          <w:sz w:val="22"/>
          <w:szCs w:val="22"/>
        </w:rPr>
        <w:t>Для рыхления верхнего слоя почвы применяют ротационные мотыги, они выравнивают поверхность поля, разрушают почвенную корку, улучшают крошение комков, а также уничтожение сорняков, заделку семян и удобрений [2].</w:t>
      </w:r>
    </w:p>
    <w:p w:rsidR="00E73FF0" w:rsidRPr="009A7442" w:rsidRDefault="00E73FF0" w:rsidP="00E73FF0">
      <w:pPr>
        <w:widowControl w:val="0"/>
        <w:ind w:firstLine="426"/>
        <w:jc w:val="both"/>
        <w:rPr>
          <w:sz w:val="22"/>
          <w:szCs w:val="22"/>
        </w:rPr>
      </w:pPr>
      <w:r w:rsidRPr="009A7442">
        <w:rPr>
          <w:color w:val="000000"/>
          <w:sz w:val="22"/>
          <w:szCs w:val="22"/>
          <w:shd w:val="clear" w:color="auto" w:fill="FFFFFF"/>
        </w:rPr>
        <w:t>Рабочим</w:t>
      </w:r>
      <w:r w:rsidRPr="009A7442">
        <w:rPr>
          <w:color w:val="000000"/>
          <w:sz w:val="22"/>
          <w:szCs w:val="22"/>
        </w:rPr>
        <w:t xml:space="preserve"> орган</w:t>
      </w:r>
      <w:r w:rsidRPr="009A7442">
        <w:rPr>
          <w:color w:val="000000"/>
          <w:sz w:val="22"/>
          <w:szCs w:val="22"/>
          <w:shd w:val="clear" w:color="auto" w:fill="FFFFFF"/>
        </w:rPr>
        <w:t>ом ротационных мотыг</w:t>
      </w:r>
      <w:r w:rsidRPr="009A7442">
        <w:rPr>
          <w:color w:val="000000"/>
          <w:sz w:val="22"/>
          <w:szCs w:val="22"/>
        </w:rPr>
        <w:t xml:space="preserve"> является зуб возде</w:t>
      </w:r>
      <w:r w:rsidRPr="009A7442">
        <w:rPr>
          <w:color w:val="000000"/>
          <w:sz w:val="22"/>
          <w:szCs w:val="22"/>
        </w:rPr>
        <w:t>й</w:t>
      </w:r>
      <w:r w:rsidRPr="009A7442">
        <w:rPr>
          <w:color w:val="000000"/>
          <w:sz w:val="22"/>
          <w:szCs w:val="22"/>
        </w:rPr>
        <w:t>ствующий на почву как двугранный клин: передней частью раск</w:t>
      </w:r>
      <w:r w:rsidRPr="009A7442">
        <w:rPr>
          <w:color w:val="000000"/>
          <w:sz w:val="22"/>
          <w:szCs w:val="22"/>
        </w:rPr>
        <w:t>а</w:t>
      </w:r>
      <w:r w:rsidRPr="009A7442">
        <w:rPr>
          <w:color w:val="000000"/>
          <w:sz w:val="22"/>
          <w:szCs w:val="22"/>
        </w:rPr>
        <w:t>лывает (разрезает) почву, а боковыми гра</w:t>
      </w:r>
      <w:r w:rsidRPr="009A7442">
        <w:rPr>
          <w:color w:val="000000"/>
          <w:sz w:val="22"/>
          <w:szCs w:val="22"/>
          <w:shd w:val="clear" w:color="auto" w:fill="FFFFFF"/>
        </w:rPr>
        <w:t>ня</w:t>
      </w:r>
      <w:r w:rsidRPr="009A7442">
        <w:rPr>
          <w:color w:val="000000"/>
          <w:sz w:val="22"/>
          <w:szCs w:val="22"/>
        </w:rPr>
        <w:t>ми раздвигает, сминает и перемешивает ее частицы, ударом разрушает крупные комки, в</w:t>
      </w:r>
      <w:r w:rsidRPr="009A7442">
        <w:rPr>
          <w:color w:val="000000"/>
          <w:sz w:val="22"/>
          <w:szCs w:val="22"/>
        </w:rPr>
        <w:t>ы</w:t>
      </w:r>
      <w:r w:rsidRPr="009A7442">
        <w:rPr>
          <w:color w:val="000000"/>
          <w:sz w:val="22"/>
          <w:szCs w:val="22"/>
        </w:rPr>
        <w:t>чесывает сорняки и отмершие растения</w:t>
      </w:r>
      <w:r w:rsidRPr="009A7442">
        <w:rPr>
          <w:bCs/>
          <w:color w:val="000000"/>
          <w:sz w:val="22"/>
          <w:szCs w:val="22"/>
        </w:rPr>
        <w:t>[3]</w:t>
      </w:r>
      <w:r w:rsidRPr="009A7442">
        <w:rPr>
          <w:color w:val="000000"/>
          <w:sz w:val="22"/>
          <w:szCs w:val="22"/>
        </w:rPr>
        <w:t xml:space="preserve">. </w:t>
      </w:r>
    </w:p>
    <w:p w:rsidR="00E73FF0" w:rsidRPr="009A7442" w:rsidRDefault="00E73FF0" w:rsidP="00E73FF0">
      <w:pPr>
        <w:autoSpaceDE w:val="0"/>
        <w:autoSpaceDN w:val="0"/>
        <w:adjustRightInd w:val="0"/>
        <w:ind w:firstLine="426"/>
        <w:jc w:val="both"/>
        <w:rPr>
          <w:bCs/>
          <w:color w:val="000000"/>
          <w:sz w:val="22"/>
          <w:szCs w:val="22"/>
        </w:rPr>
      </w:pPr>
      <w:r w:rsidRPr="009A7442">
        <w:rPr>
          <w:color w:val="000000"/>
          <w:sz w:val="22"/>
          <w:szCs w:val="22"/>
        </w:rPr>
        <w:t xml:space="preserve">Ротационными мотыгами обрабатывают почву на глубину 3...5 см. Диаметр комков после обработки должен быть не более 5 см, глубина борозд — 3... </w:t>
      </w:r>
      <w:r w:rsidRPr="009A7442">
        <w:rPr>
          <w:color w:val="000000"/>
          <w:sz w:val="22"/>
          <w:szCs w:val="22"/>
          <w:shd w:val="clear" w:color="auto" w:fill="FFFFFF"/>
        </w:rPr>
        <w:t>4 см</w:t>
      </w:r>
      <w:r w:rsidRPr="009A7442">
        <w:rPr>
          <w:sz w:val="22"/>
          <w:szCs w:val="22"/>
        </w:rPr>
        <w:t xml:space="preserve">. </w:t>
      </w:r>
      <w:r w:rsidRPr="009A7442">
        <w:rPr>
          <w:color w:val="000000"/>
          <w:sz w:val="22"/>
          <w:szCs w:val="22"/>
        </w:rPr>
        <w:t>Зубовыми боронами весной обрабат</w:t>
      </w:r>
      <w:r w:rsidRPr="009A7442">
        <w:rPr>
          <w:color w:val="000000"/>
          <w:sz w:val="22"/>
          <w:szCs w:val="22"/>
        </w:rPr>
        <w:t>ы</w:t>
      </w:r>
      <w:r w:rsidRPr="009A7442">
        <w:rPr>
          <w:color w:val="000000"/>
          <w:sz w:val="22"/>
          <w:szCs w:val="22"/>
        </w:rPr>
        <w:t>вают посевы озимых культур: рыхлят верхний слой почвы и удал</w:t>
      </w:r>
      <w:r w:rsidRPr="009A7442">
        <w:rPr>
          <w:color w:val="000000"/>
          <w:sz w:val="22"/>
          <w:szCs w:val="22"/>
        </w:rPr>
        <w:t>я</w:t>
      </w:r>
      <w:r w:rsidRPr="009A7442">
        <w:rPr>
          <w:color w:val="000000"/>
          <w:sz w:val="22"/>
          <w:szCs w:val="22"/>
        </w:rPr>
        <w:t>ют отмершие растения. Количество поврежденных растений при этом не должно превышать 3 % [4].</w:t>
      </w:r>
    </w:p>
    <w:p w:rsidR="00E73FF0" w:rsidRPr="009A7442" w:rsidRDefault="00E73FF0" w:rsidP="00E73FF0">
      <w:pPr>
        <w:autoSpaceDE w:val="0"/>
        <w:autoSpaceDN w:val="0"/>
        <w:adjustRightInd w:val="0"/>
        <w:ind w:firstLine="425"/>
        <w:jc w:val="both"/>
        <w:rPr>
          <w:bCs/>
          <w:color w:val="000000"/>
          <w:sz w:val="22"/>
          <w:szCs w:val="22"/>
        </w:rPr>
      </w:pPr>
    </w:p>
    <w:p w:rsidR="00E73FF0" w:rsidRPr="009A7442" w:rsidRDefault="00E73FF0" w:rsidP="00E73FF0">
      <w:pPr>
        <w:jc w:val="center"/>
        <w:rPr>
          <w:color w:val="000000"/>
          <w:sz w:val="22"/>
          <w:szCs w:val="22"/>
        </w:rPr>
      </w:pPr>
      <w:r w:rsidRPr="009A7442">
        <w:rPr>
          <w:color w:val="000000"/>
          <w:sz w:val="22"/>
          <w:szCs w:val="22"/>
        </w:rPr>
        <w:t>Список литературы</w:t>
      </w:r>
    </w:p>
    <w:p w:rsidR="00E73FF0" w:rsidRPr="009A7442" w:rsidRDefault="00E73FF0" w:rsidP="00E73FF0">
      <w:pPr>
        <w:shd w:val="clear" w:color="auto" w:fill="FFFFFF"/>
        <w:ind w:firstLine="426"/>
        <w:jc w:val="both"/>
        <w:rPr>
          <w:color w:val="000000"/>
          <w:sz w:val="22"/>
          <w:szCs w:val="22"/>
        </w:rPr>
      </w:pPr>
      <w:r w:rsidRPr="009A7442">
        <w:rPr>
          <w:bCs/>
          <w:sz w:val="22"/>
          <w:szCs w:val="22"/>
        </w:rPr>
        <w:t xml:space="preserve">1. Григорьев Е.Н., Найденов А.С., Макаренко А.А., Кузьминов О.А. Урожайность зерна озимой пшеницы в зависимости от норм применения минеральных удобрений на черноземе выщелоченном центральной зоны Краснодарского края / </w:t>
      </w:r>
      <w:r w:rsidRPr="009A7442">
        <w:rPr>
          <w:color w:val="000000"/>
          <w:sz w:val="22"/>
          <w:szCs w:val="22"/>
        </w:rPr>
        <w:t xml:space="preserve">В сборнике: Научное обеспечение агропромышленного комплекса. Сборник статей по материалам </w:t>
      </w:r>
      <w:r w:rsidRPr="009A7442">
        <w:rPr>
          <w:color w:val="000000"/>
          <w:sz w:val="22"/>
          <w:szCs w:val="22"/>
          <w:lang w:val="en-US"/>
        </w:rPr>
        <w:t>IX</w:t>
      </w:r>
      <w:r w:rsidRPr="009A7442">
        <w:rPr>
          <w:color w:val="000000"/>
          <w:sz w:val="22"/>
          <w:szCs w:val="22"/>
        </w:rPr>
        <w:t xml:space="preserve"> Всероссийской конференции молодых ученных. 2016. С. 636-638.</w:t>
      </w:r>
    </w:p>
    <w:p w:rsidR="00E73FF0" w:rsidRPr="009A7442" w:rsidRDefault="00E73FF0" w:rsidP="00E73FF0">
      <w:pPr>
        <w:shd w:val="clear" w:color="auto" w:fill="FFFFFF"/>
        <w:ind w:firstLine="426"/>
        <w:jc w:val="both"/>
        <w:rPr>
          <w:bCs/>
          <w:sz w:val="22"/>
          <w:szCs w:val="22"/>
        </w:rPr>
      </w:pPr>
      <w:r w:rsidRPr="009A7442">
        <w:rPr>
          <w:bCs/>
          <w:sz w:val="22"/>
          <w:szCs w:val="22"/>
        </w:rPr>
        <w:t xml:space="preserve">2. Сергунцов А.С., Хейфец А.Б. </w:t>
      </w:r>
      <w:r w:rsidRPr="009A7442">
        <w:rPr>
          <w:sz w:val="22"/>
          <w:szCs w:val="22"/>
        </w:rPr>
        <w:t>Совершенствование технол</w:t>
      </w:r>
      <w:r w:rsidRPr="009A7442">
        <w:rPr>
          <w:sz w:val="22"/>
          <w:szCs w:val="22"/>
        </w:rPr>
        <w:t>о</w:t>
      </w:r>
      <w:r w:rsidRPr="009A7442">
        <w:rPr>
          <w:sz w:val="22"/>
          <w:szCs w:val="22"/>
        </w:rPr>
        <w:t>гий пожнивной обработки стерни многоцелевым агрегатом/ Изв</w:t>
      </w:r>
      <w:r w:rsidRPr="009A7442">
        <w:rPr>
          <w:sz w:val="22"/>
          <w:szCs w:val="22"/>
        </w:rPr>
        <w:t>е</w:t>
      </w:r>
      <w:r w:rsidRPr="009A7442">
        <w:rPr>
          <w:sz w:val="22"/>
          <w:szCs w:val="22"/>
        </w:rPr>
        <w:t>стия Великолукской государственной сельскохозяйственной акад</w:t>
      </w:r>
      <w:r w:rsidRPr="009A7442">
        <w:rPr>
          <w:sz w:val="22"/>
          <w:szCs w:val="22"/>
        </w:rPr>
        <w:t>е</w:t>
      </w:r>
      <w:r w:rsidRPr="009A7442">
        <w:rPr>
          <w:sz w:val="22"/>
          <w:szCs w:val="22"/>
        </w:rPr>
        <w:t>мии. 2015. №4. С. 20-25.</w:t>
      </w:r>
    </w:p>
    <w:p w:rsidR="00E73FF0" w:rsidRPr="009A7442" w:rsidRDefault="00E73FF0" w:rsidP="00E73FF0">
      <w:pPr>
        <w:tabs>
          <w:tab w:val="center" w:pos="1134"/>
        </w:tabs>
        <w:ind w:firstLine="426"/>
        <w:jc w:val="both"/>
        <w:rPr>
          <w:sz w:val="22"/>
          <w:szCs w:val="22"/>
        </w:rPr>
      </w:pPr>
      <w:r w:rsidRPr="009A7442">
        <w:rPr>
          <w:bCs/>
          <w:sz w:val="22"/>
          <w:szCs w:val="22"/>
        </w:rPr>
        <w:lastRenderedPageBreak/>
        <w:t xml:space="preserve">3. Сергунцов А.С. </w:t>
      </w:r>
      <w:r w:rsidRPr="009A7442">
        <w:rPr>
          <w:sz w:val="22"/>
          <w:szCs w:val="22"/>
        </w:rPr>
        <w:t>Совершенствование технологии боронов</w:t>
      </w:r>
      <w:r w:rsidRPr="009A7442">
        <w:rPr>
          <w:sz w:val="22"/>
          <w:szCs w:val="22"/>
        </w:rPr>
        <w:t>а</w:t>
      </w:r>
      <w:r w:rsidRPr="009A7442">
        <w:rPr>
          <w:sz w:val="22"/>
          <w:szCs w:val="22"/>
        </w:rPr>
        <w:t>ния озимых колосовых культур с одновременной подкормкой/ Электронный научный журнал. 2016. №6 (9). С. 118-122.</w:t>
      </w:r>
    </w:p>
    <w:p w:rsidR="00E73FF0" w:rsidRPr="009A7442" w:rsidRDefault="00E73FF0" w:rsidP="00E73FF0">
      <w:pPr>
        <w:ind w:firstLine="426"/>
        <w:rPr>
          <w:sz w:val="22"/>
          <w:szCs w:val="22"/>
        </w:rPr>
      </w:pPr>
      <w:r w:rsidRPr="009A7442">
        <w:rPr>
          <w:sz w:val="22"/>
          <w:szCs w:val="22"/>
        </w:rPr>
        <w:t>4. Халанский В.М., Горбачев И.В. Сельскохозяйственные м</w:t>
      </w:r>
      <w:r w:rsidRPr="009A7442">
        <w:rPr>
          <w:sz w:val="22"/>
          <w:szCs w:val="22"/>
        </w:rPr>
        <w:t>а</w:t>
      </w:r>
      <w:r w:rsidRPr="009A7442">
        <w:rPr>
          <w:sz w:val="22"/>
          <w:szCs w:val="22"/>
        </w:rPr>
        <w:t>шины. — М.: КолосС, 2004. — 624 с.: ил. — (Учебники и учеб. п</w:t>
      </w:r>
      <w:r w:rsidRPr="009A7442">
        <w:rPr>
          <w:sz w:val="22"/>
          <w:szCs w:val="22"/>
        </w:rPr>
        <w:t>о</w:t>
      </w:r>
      <w:r w:rsidRPr="009A7442">
        <w:rPr>
          <w:sz w:val="22"/>
          <w:szCs w:val="22"/>
        </w:rPr>
        <w:t xml:space="preserve">собия для студентов высш. учеб. заведений). </w:t>
      </w:r>
      <w:r w:rsidRPr="009A7442">
        <w:rPr>
          <w:sz w:val="22"/>
          <w:szCs w:val="22"/>
          <w:lang w:val="en-US"/>
        </w:rPr>
        <w:t>ISBN</w:t>
      </w:r>
      <w:r w:rsidRPr="009A7442">
        <w:rPr>
          <w:sz w:val="22"/>
          <w:szCs w:val="22"/>
        </w:rPr>
        <w:t xml:space="preserve"> 5-9532-0029-3.</w:t>
      </w:r>
    </w:p>
    <w:p w:rsidR="00E73FF0" w:rsidRPr="009A7442" w:rsidRDefault="00E73FF0" w:rsidP="00E73FF0">
      <w:pPr>
        <w:shd w:val="clear" w:color="auto" w:fill="FFFFFF"/>
        <w:ind w:firstLine="426"/>
        <w:jc w:val="both"/>
        <w:rPr>
          <w:bCs/>
          <w:sz w:val="22"/>
          <w:szCs w:val="22"/>
        </w:rPr>
      </w:pPr>
      <w:r w:rsidRPr="009A7442">
        <w:rPr>
          <w:bCs/>
          <w:sz w:val="22"/>
          <w:szCs w:val="22"/>
        </w:rPr>
        <w:t xml:space="preserve">5. Сергунцов А.С., Ринас Н.А. </w:t>
      </w:r>
      <w:r w:rsidRPr="009A7442">
        <w:rPr>
          <w:sz w:val="22"/>
          <w:szCs w:val="22"/>
        </w:rPr>
        <w:t>Дисковые орудия для повер</w:t>
      </w:r>
      <w:r w:rsidRPr="009A7442">
        <w:rPr>
          <w:sz w:val="22"/>
          <w:szCs w:val="22"/>
        </w:rPr>
        <w:t>х</w:t>
      </w:r>
      <w:r w:rsidRPr="009A7442">
        <w:rPr>
          <w:sz w:val="22"/>
          <w:szCs w:val="22"/>
        </w:rPr>
        <w:t xml:space="preserve">ностной обработки почвы/ </w:t>
      </w:r>
      <w:r w:rsidRPr="009A7442">
        <w:rPr>
          <w:color w:val="000000"/>
          <w:sz w:val="22"/>
          <w:szCs w:val="22"/>
        </w:rPr>
        <w:t xml:space="preserve">В сборнике: </w:t>
      </w:r>
      <w:r w:rsidR="009A7442">
        <w:rPr>
          <w:color w:val="000000"/>
          <w:sz w:val="22"/>
          <w:szCs w:val="22"/>
        </w:rPr>
        <w:t>С</w:t>
      </w:r>
      <w:r w:rsidR="009A7442" w:rsidRPr="009A7442">
        <w:rPr>
          <w:color w:val="000000"/>
          <w:sz w:val="22"/>
          <w:szCs w:val="22"/>
        </w:rPr>
        <w:t>овременные научные и</w:t>
      </w:r>
      <w:r w:rsidR="009A7442" w:rsidRPr="009A7442">
        <w:rPr>
          <w:color w:val="000000"/>
          <w:sz w:val="22"/>
          <w:szCs w:val="22"/>
        </w:rPr>
        <w:t>с</w:t>
      </w:r>
      <w:r w:rsidR="009A7442" w:rsidRPr="009A7442">
        <w:rPr>
          <w:color w:val="000000"/>
          <w:sz w:val="22"/>
          <w:szCs w:val="22"/>
        </w:rPr>
        <w:t>следования: теоретический и практический аспект</w:t>
      </w:r>
      <w:r w:rsidRPr="009A7442">
        <w:rPr>
          <w:color w:val="000000"/>
          <w:sz w:val="22"/>
          <w:szCs w:val="22"/>
        </w:rPr>
        <w:t>. Сборник статей Международной научно-практической конференции. 2016. С. 72-74.</w:t>
      </w:r>
    </w:p>
    <w:p w:rsidR="00E73FF0" w:rsidRPr="009A7442" w:rsidRDefault="00E73FF0" w:rsidP="009A7442">
      <w:pPr>
        <w:pStyle w:val="31"/>
        <w:rPr>
          <w:sz w:val="22"/>
          <w:szCs w:val="22"/>
        </w:rPr>
      </w:pPr>
    </w:p>
    <w:p w:rsidR="009A7442" w:rsidRDefault="009A7442" w:rsidP="00A01CFE">
      <w:pPr>
        <w:rPr>
          <w:sz w:val="22"/>
          <w:szCs w:val="22"/>
        </w:rPr>
      </w:pPr>
    </w:p>
    <w:p w:rsidR="009762D0" w:rsidRPr="009A7442" w:rsidRDefault="009762D0" w:rsidP="00A01CFE">
      <w:pPr>
        <w:rPr>
          <w:sz w:val="22"/>
          <w:szCs w:val="22"/>
        </w:rPr>
      </w:pPr>
    </w:p>
    <w:p w:rsidR="00E73FF0" w:rsidRPr="009A7442" w:rsidRDefault="00A01CFE" w:rsidP="009A7442">
      <w:pPr>
        <w:shd w:val="clear" w:color="auto" w:fill="FFFFFF"/>
        <w:autoSpaceDE w:val="0"/>
        <w:autoSpaceDN w:val="0"/>
        <w:adjustRightInd w:val="0"/>
        <w:contextualSpacing/>
        <w:rPr>
          <w:bCs/>
          <w:color w:val="000000"/>
          <w:sz w:val="22"/>
          <w:szCs w:val="22"/>
        </w:rPr>
      </w:pPr>
      <w:r>
        <w:rPr>
          <w:sz w:val="22"/>
          <w:szCs w:val="22"/>
        </w:rPr>
        <w:t>УДК</w:t>
      </w:r>
      <w:r w:rsidR="00E73FF0" w:rsidRPr="009A7442">
        <w:rPr>
          <w:sz w:val="22"/>
          <w:szCs w:val="22"/>
        </w:rPr>
        <w:t xml:space="preserve"> 631.348</w:t>
      </w:r>
    </w:p>
    <w:p w:rsidR="00E73FF0" w:rsidRPr="009A7442" w:rsidRDefault="00E73FF0" w:rsidP="009A7442">
      <w:pPr>
        <w:jc w:val="center"/>
        <w:rPr>
          <w:b/>
          <w:sz w:val="22"/>
          <w:szCs w:val="22"/>
        </w:rPr>
      </w:pPr>
    </w:p>
    <w:p w:rsidR="00E73FF0" w:rsidRPr="00A01CFE" w:rsidRDefault="00E73FF0" w:rsidP="009A7442">
      <w:pPr>
        <w:jc w:val="center"/>
        <w:rPr>
          <w:b/>
          <w:sz w:val="24"/>
          <w:szCs w:val="24"/>
        </w:rPr>
      </w:pPr>
      <w:r w:rsidRPr="00A01CFE">
        <w:rPr>
          <w:b/>
          <w:sz w:val="24"/>
          <w:szCs w:val="24"/>
        </w:rPr>
        <w:t>Опрыскиватель для обработки многолетних насаждений</w:t>
      </w:r>
    </w:p>
    <w:p w:rsidR="00E73FF0" w:rsidRPr="00A01CFE" w:rsidRDefault="00E73FF0" w:rsidP="009A7442">
      <w:pPr>
        <w:jc w:val="center"/>
        <w:rPr>
          <w:b/>
          <w:sz w:val="24"/>
          <w:szCs w:val="24"/>
          <w:lang w:val="en-US"/>
        </w:rPr>
      </w:pPr>
      <w:r w:rsidRPr="00A01CFE">
        <w:rPr>
          <w:b/>
          <w:sz w:val="24"/>
          <w:szCs w:val="24"/>
          <w:lang w:val="en-US"/>
        </w:rPr>
        <w:t>Sprayer for processing perennials</w:t>
      </w:r>
    </w:p>
    <w:p w:rsidR="00E73FF0" w:rsidRPr="009A7442" w:rsidRDefault="00E73FF0" w:rsidP="009A7442">
      <w:pPr>
        <w:jc w:val="center"/>
        <w:rPr>
          <w:b/>
          <w:sz w:val="22"/>
          <w:szCs w:val="22"/>
          <w:lang w:val="en-US"/>
        </w:rPr>
      </w:pPr>
    </w:p>
    <w:p w:rsidR="00E73FF0" w:rsidRPr="00024398" w:rsidRDefault="00E73FF0" w:rsidP="009A7442">
      <w:pPr>
        <w:jc w:val="right"/>
        <w:rPr>
          <w:sz w:val="22"/>
          <w:szCs w:val="22"/>
          <w:lang w:val="en-US"/>
        </w:rPr>
      </w:pPr>
      <w:r w:rsidRPr="009A7442">
        <w:rPr>
          <w:b/>
          <w:sz w:val="22"/>
          <w:szCs w:val="22"/>
          <w:lang w:val="en-US"/>
        </w:rPr>
        <w:tab/>
      </w:r>
      <w:r w:rsidRPr="009A7442">
        <w:rPr>
          <w:sz w:val="22"/>
          <w:szCs w:val="22"/>
        </w:rPr>
        <w:t>Медведев</w:t>
      </w:r>
      <w:r w:rsidRPr="00024398">
        <w:rPr>
          <w:sz w:val="22"/>
          <w:szCs w:val="22"/>
          <w:lang w:val="en-US"/>
        </w:rPr>
        <w:t xml:space="preserve"> </w:t>
      </w:r>
      <w:r w:rsidRPr="009A7442">
        <w:rPr>
          <w:sz w:val="22"/>
          <w:szCs w:val="22"/>
        </w:rPr>
        <w:t>А</w:t>
      </w:r>
      <w:r w:rsidRPr="00024398">
        <w:rPr>
          <w:sz w:val="22"/>
          <w:szCs w:val="22"/>
          <w:lang w:val="en-US"/>
        </w:rPr>
        <w:t xml:space="preserve">. </w:t>
      </w:r>
      <w:r w:rsidRPr="009A7442">
        <w:rPr>
          <w:sz w:val="22"/>
          <w:szCs w:val="22"/>
        </w:rPr>
        <w:t>С</w:t>
      </w:r>
      <w:r w:rsidR="009A7442" w:rsidRPr="00024398">
        <w:rPr>
          <w:sz w:val="22"/>
          <w:szCs w:val="22"/>
          <w:lang w:val="en-US"/>
        </w:rPr>
        <w:t>.,</w:t>
      </w:r>
    </w:p>
    <w:p w:rsidR="00E73FF0" w:rsidRPr="009A7442" w:rsidRDefault="00E73FF0" w:rsidP="009A7442">
      <w:pPr>
        <w:jc w:val="right"/>
        <w:rPr>
          <w:sz w:val="22"/>
          <w:szCs w:val="22"/>
        </w:rPr>
      </w:pPr>
      <w:r w:rsidRPr="009A7442">
        <w:rPr>
          <w:sz w:val="22"/>
          <w:szCs w:val="22"/>
        </w:rPr>
        <w:t>магистрант 2-го курса факультета механизации</w:t>
      </w:r>
    </w:p>
    <w:p w:rsidR="00E73FF0" w:rsidRPr="009A7442" w:rsidRDefault="009A7442" w:rsidP="009A7442">
      <w:pPr>
        <w:jc w:val="right"/>
        <w:rPr>
          <w:sz w:val="22"/>
          <w:szCs w:val="22"/>
        </w:rPr>
      </w:pPr>
      <w:r>
        <w:rPr>
          <w:sz w:val="22"/>
          <w:szCs w:val="22"/>
        </w:rPr>
        <w:t>Борисова С. М.,</w:t>
      </w:r>
    </w:p>
    <w:p w:rsidR="00E73FF0" w:rsidRPr="009A7442" w:rsidRDefault="00E73FF0" w:rsidP="009A7442">
      <w:pPr>
        <w:jc w:val="right"/>
        <w:rPr>
          <w:sz w:val="22"/>
          <w:szCs w:val="22"/>
        </w:rPr>
      </w:pPr>
      <w:r w:rsidRPr="009A7442">
        <w:rPr>
          <w:sz w:val="22"/>
          <w:szCs w:val="22"/>
        </w:rPr>
        <w:t>профессор кафедры «Процессы и машины в агробизнесе»</w:t>
      </w:r>
    </w:p>
    <w:p w:rsidR="00E73FF0" w:rsidRPr="009A7442" w:rsidRDefault="00E73FF0" w:rsidP="009A7442">
      <w:pPr>
        <w:jc w:val="right"/>
        <w:rPr>
          <w:sz w:val="22"/>
          <w:szCs w:val="22"/>
        </w:rPr>
      </w:pPr>
      <w:r w:rsidRPr="009A7442">
        <w:rPr>
          <w:sz w:val="22"/>
          <w:szCs w:val="22"/>
        </w:rPr>
        <w:t>Кубанского государственного аграрного</w:t>
      </w:r>
    </w:p>
    <w:p w:rsidR="00E73FF0" w:rsidRPr="009A7442" w:rsidRDefault="00E73FF0" w:rsidP="009A7442">
      <w:pPr>
        <w:jc w:val="right"/>
        <w:rPr>
          <w:sz w:val="22"/>
          <w:szCs w:val="22"/>
        </w:rPr>
      </w:pPr>
      <w:r w:rsidRPr="009A7442">
        <w:rPr>
          <w:sz w:val="22"/>
          <w:szCs w:val="22"/>
        </w:rPr>
        <w:t>университета имени И. Т. Трубилина</w:t>
      </w:r>
    </w:p>
    <w:p w:rsidR="00E73FF0" w:rsidRPr="009A7442" w:rsidRDefault="00E73FF0" w:rsidP="009A7442">
      <w:pPr>
        <w:jc w:val="center"/>
        <w:rPr>
          <w:sz w:val="22"/>
          <w:szCs w:val="22"/>
        </w:rPr>
      </w:pPr>
    </w:p>
    <w:p w:rsidR="00E73FF0" w:rsidRPr="009A7442" w:rsidRDefault="00E73FF0" w:rsidP="009A7442">
      <w:pPr>
        <w:ind w:firstLine="425"/>
        <w:jc w:val="both"/>
        <w:rPr>
          <w:sz w:val="22"/>
          <w:szCs w:val="22"/>
        </w:rPr>
      </w:pPr>
      <w:r w:rsidRPr="009A7442">
        <w:rPr>
          <w:sz w:val="22"/>
          <w:szCs w:val="22"/>
        </w:rPr>
        <w:t>АННОТАЦИЯ:</w:t>
      </w:r>
      <w:r w:rsidRPr="009A7442">
        <w:rPr>
          <w:b/>
          <w:sz w:val="22"/>
          <w:szCs w:val="22"/>
        </w:rPr>
        <w:t xml:space="preserve"> </w:t>
      </w:r>
      <w:r w:rsidRPr="009A7442">
        <w:rPr>
          <w:sz w:val="22"/>
          <w:szCs w:val="22"/>
        </w:rPr>
        <w:t>Представлен способ определения потерь раб</w:t>
      </w:r>
      <w:r w:rsidRPr="009A7442">
        <w:rPr>
          <w:sz w:val="22"/>
          <w:szCs w:val="22"/>
        </w:rPr>
        <w:t>о</w:t>
      </w:r>
      <w:r w:rsidRPr="009A7442">
        <w:rPr>
          <w:sz w:val="22"/>
          <w:szCs w:val="22"/>
        </w:rPr>
        <w:t xml:space="preserve">чей жидкости при опрыскивании садов. Разработана технология и конструкция опрыскивателя для ультрамалообъемной обработки молодых садов. </w:t>
      </w:r>
    </w:p>
    <w:p w:rsidR="00E73FF0" w:rsidRPr="009A7442" w:rsidRDefault="00E73FF0" w:rsidP="009A7442">
      <w:pPr>
        <w:ind w:firstLine="425"/>
        <w:jc w:val="both"/>
        <w:rPr>
          <w:sz w:val="22"/>
          <w:szCs w:val="22"/>
          <w:lang w:val="en-US"/>
        </w:rPr>
      </w:pPr>
      <w:r w:rsidRPr="009A7442">
        <w:rPr>
          <w:sz w:val="22"/>
          <w:szCs w:val="22"/>
          <w:lang w:val="en-US"/>
        </w:rPr>
        <w:t>ABSTRACT: Shows how to determine whether the fluid loss when spraying. The technology and design of the sprayer for ultramaloobe</w:t>
      </w:r>
      <w:r w:rsidRPr="009A7442">
        <w:rPr>
          <w:sz w:val="22"/>
          <w:szCs w:val="22"/>
          <w:lang w:val="en-US"/>
        </w:rPr>
        <w:t>m</w:t>
      </w:r>
      <w:r w:rsidRPr="009A7442">
        <w:rPr>
          <w:sz w:val="22"/>
          <w:szCs w:val="22"/>
          <w:lang w:val="en-US"/>
        </w:rPr>
        <w:t>noj processing young gardens.</w:t>
      </w:r>
    </w:p>
    <w:p w:rsidR="00E73FF0" w:rsidRPr="009A7442" w:rsidRDefault="00E73FF0" w:rsidP="009A7442">
      <w:pPr>
        <w:ind w:firstLine="425"/>
        <w:jc w:val="both"/>
        <w:rPr>
          <w:sz w:val="22"/>
          <w:szCs w:val="22"/>
        </w:rPr>
      </w:pPr>
      <w:r w:rsidRPr="009A7442">
        <w:rPr>
          <w:sz w:val="22"/>
          <w:szCs w:val="22"/>
        </w:rPr>
        <w:t>КЛЮЧЕВЫЕ СЛОВА: Потери рабочей жидкости, степень п</w:t>
      </w:r>
      <w:r w:rsidRPr="009A7442">
        <w:rPr>
          <w:sz w:val="22"/>
          <w:szCs w:val="22"/>
        </w:rPr>
        <w:t>о</w:t>
      </w:r>
      <w:r w:rsidRPr="009A7442">
        <w:rPr>
          <w:sz w:val="22"/>
          <w:szCs w:val="22"/>
        </w:rPr>
        <w:t>крытия, ультрамалообъемный опрыскиватель, пневматические щ</w:t>
      </w:r>
      <w:r w:rsidRPr="009A7442">
        <w:rPr>
          <w:sz w:val="22"/>
          <w:szCs w:val="22"/>
        </w:rPr>
        <w:t>е</w:t>
      </w:r>
      <w:r w:rsidRPr="009A7442">
        <w:rPr>
          <w:sz w:val="22"/>
          <w:szCs w:val="22"/>
        </w:rPr>
        <w:t>левые распылители, сопло струеобразователя.</w:t>
      </w:r>
    </w:p>
    <w:p w:rsidR="00E73FF0" w:rsidRPr="009A7442" w:rsidRDefault="00E73FF0" w:rsidP="009A7442">
      <w:pPr>
        <w:ind w:firstLine="425"/>
        <w:jc w:val="both"/>
        <w:rPr>
          <w:sz w:val="22"/>
          <w:szCs w:val="22"/>
          <w:lang w:val="en-US"/>
        </w:rPr>
      </w:pPr>
      <w:r w:rsidRPr="009A7442">
        <w:rPr>
          <w:sz w:val="22"/>
          <w:szCs w:val="22"/>
          <w:lang w:val="en-US"/>
        </w:rPr>
        <w:t>KEYWORDS: Fluid Loss, coverage, ultramaloobemnyj sprayer, sprayers, slotted nozzle pneumatic strueobrazovatelja.</w:t>
      </w:r>
    </w:p>
    <w:p w:rsidR="00E73FF0" w:rsidRPr="009A7442" w:rsidRDefault="00E73FF0" w:rsidP="009A7442">
      <w:pPr>
        <w:jc w:val="both"/>
        <w:rPr>
          <w:sz w:val="22"/>
          <w:szCs w:val="22"/>
          <w:lang w:val="en-US"/>
        </w:rPr>
      </w:pPr>
    </w:p>
    <w:p w:rsidR="00E73FF0" w:rsidRPr="009A7442" w:rsidRDefault="00E73FF0" w:rsidP="009A7442">
      <w:pPr>
        <w:ind w:firstLine="425"/>
        <w:jc w:val="both"/>
        <w:rPr>
          <w:sz w:val="22"/>
          <w:szCs w:val="22"/>
        </w:rPr>
      </w:pPr>
      <w:r w:rsidRPr="009A7442">
        <w:rPr>
          <w:sz w:val="22"/>
          <w:szCs w:val="22"/>
        </w:rPr>
        <w:lastRenderedPageBreak/>
        <w:t>Современная система защиты растений базируется на таких методах как агротехнический, механический, биологический и х</w:t>
      </w:r>
      <w:r w:rsidRPr="009A7442">
        <w:rPr>
          <w:sz w:val="22"/>
          <w:szCs w:val="22"/>
        </w:rPr>
        <w:t>и</w:t>
      </w:r>
      <w:r w:rsidRPr="009A7442">
        <w:rPr>
          <w:sz w:val="22"/>
          <w:szCs w:val="22"/>
        </w:rPr>
        <w:t>мический. Эффективность каждого метода зависит в основном от уровня механизации технологического процесса.</w:t>
      </w:r>
    </w:p>
    <w:p w:rsidR="00E73FF0" w:rsidRPr="009A7442" w:rsidRDefault="00E73FF0" w:rsidP="009A7442">
      <w:pPr>
        <w:ind w:firstLine="425"/>
        <w:jc w:val="both"/>
        <w:rPr>
          <w:sz w:val="22"/>
          <w:szCs w:val="22"/>
        </w:rPr>
      </w:pPr>
      <w:r w:rsidRPr="009A7442">
        <w:rPr>
          <w:sz w:val="22"/>
          <w:szCs w:val="22"/>
        </w:rPr>
        <w:t>Все более важное значение приобретает ультрамалообъемное опрыскивание, основная цель которого – повысить качество обр</w:t>
      </w:r>
      <w:r w:rsidRPr="009A7442">
        <w:rPr>
          <w:sz w:val="22"/>
          <w:szCs w:val="22"/>
        </w:rPr>
        <w:t>а</w:t>
      </w:r>
      <w:r w:rsidRPr="009A7442">
        <w:rPr>
          <w:sz w:val="22"/>
          <w:szCs w:val="22"/>
        </w:rPr>
        <w:t>ботки растений при снижении нормы расхода рабочей жидкости и улучшения качества обработки.</w:t>
      </w:r>
    </w:p>
    <w:p w:rsidR="00E73FF0" w:rsidRPr="009A7442" w:rsidRDefault="00E73FF0" w:rsidP="009A7442">
      <w:pPr>
        <w:ind w:firstLine="425"/>
        <w:jc w:val="both"/>
        <w:rPr>
          <w:sz w:val="22"/>
          <w:szCs w:val="22"/>
        </w:rPr>
      </w:pPr>
      <w:r w:rsidRPr="009A7442">
        <w:rPr>
          <w:sz w:val="22"/>
          <w:szCs w:val="22"/>
        </w:rPr>
        <w:t>Для доказательства преимущества ультрамалообъемного опрыскивания в частности при обработке молодых садов необход</w:t>
      </w:r>
      <w:r w:rsidRPr="009A7442">
        <w:rPr>
          <w:sz w:val="22"/>
          <w:szCs w:val="22"/>
        </w:rPr>
        <w:t>и</w:t>
      </w:r>
      <w:r w:rsidRPr="009A7442">
        <w:rPr>
          <w:sz w:val="22"/>
          <w:szCs w:val="22"/>
        </w:rPr>
        <w:t>мо рассмотреть потери рабочей жидкости вследствие выхода раб</w:t>
      </w:r>
      <w:r w:rsidRPr="009A7442">
        <w:rPr>
          <w:sz w:val="22"/>
          <w:szCs w:val="22"/>
        </w:rPr>
        <w:t>о</w:t>
      </w:r>
      <w:r w:rsidRPr="009A7442">
        <w:rPr>
          <w:sz w:val="22"/>
          <w:szCs w:val="22"/>
        </w:rPr>
        <w:t>чей жидкости в виде воздушно-капельной струи за пределы рядов деревьев. Причем потери рабочей жидкости различны при обрабо</w:t>
      </w:r>
      <w:r w:rsidRPr="009A7442">
        <w:rPr>
          <w:sz w:val="22"/>
          <w:szCs w:val="22"/>
        </w:rPr>
        <w:t>т</w:t>
      </w:r>
      <w:r w:rsidRPr="009A7442">
        <w:rPr>
          <w:sz w:val="22"/>
          <w:szCs w:val="22"/>
        </w:rPr>
        <w:t>ке одних и тех же участков сада и рядов растений в связи с измен</w:t>
      </w:r>
      <w:r w:rsidRPr="009A7442">
        <w:rPr>
          <w:sz w:val="22"/>
          <w:szCs w:val="22"/>
        </w:rPr>
        <w:t>е</w:t>
      </w:r>
      <w:r w:rsidRPr="009A7442">
        <w:rPr>
          <w:sz w:val="22"/>
          <w:szCs w:val="22"/>
        </w:rPr>
        <w:t>нием формы и вида растения в процессе роста, представляя изобр</w:t>
      </w:r>
      <w:r w:rsidRPr="009A7442">
        <w:rPr>
          <w:sz w:val="22"/>
          <w:szCs w:val="22"/>
        </w:rPr>
        <w:t>а</w:t>
      </w:r>
      <w:r w:rsidRPr="009A7442">
        <w:rPr>
          <w:sz w:val="22"/>
          <w:szCs w:val="22"/>
        </w:rPr>
        <w:t>жение его как в виде плоскостной фигуры в проекции перпендик</w:t>
      </w:r>
      <w:r w:rsidRPr="009A7442">
        <w:rPr>
          <w:sz w:val="22"/>
          <w:szCs w:val="22"/>
        </w:rPr>
        <w:t>у</w:t>
      </w:r>
      <w:r w:rsidRPr="009A7442">
        <w:rPr>
          <w:sz w:val="22"/>
          <w:szCs w:val="22"/>
        </w:rPr>
        <w:t>лярной направлению воздушно-капельной струи, обрабатывающей растения защитно-стимулирующими средствами..</w:t>
      </w:r>
    </w:p>
    <w:p w:rsidR="00E73FF0" w:rsidRPr="009A7442" w:rsidRDefault="00E73FF0" w:rsidP="009A7442">
      <w:pPr>
        <w:ind w:firstLine="425"/>
        <w:jc w:val="both"/>
        <w:rPr>
          <w:sz w:val="22"/>
          <w:szCs w:val="22"/>
        </w:rPr>
      </w:pPr>
      <w:r w:rsidRPr="009A7442">
        <w:rPr>
          <w:sz w:val="22"/>
          <w:szCs w:val="22"/>
        </w:rPr>
        <w:t>Мы получили три изображения конкретного растения за период развития его в возрасте 1-го года за полугодовую фазу. Для этого были сделаны три фотографии растения: одна – в период безлис</w:t>
      </w:r>
      <w:r w:rsidRPr="009A7442">
        <w:rPr>
          <w:sz w:val="22"/>
          <w:szCs w:val="22"/>
        </w:rPr>
        <w:t>т</w:t>
      </w:r>
      <w:r w:rsidRPr="009A7442">
        <w:rPr>
          <w:sz w:val="22"/>
          <w:szCs w:val="22"/>
        </w:rPr>
        <w:t>венного состояния и два изображения дерева более позднего разв</w:t>
      </w:r>
      <w:r w:rsidRPr="009A7442">
        <w:rPr>
          <w:sz w:val="22"/>
          <w:szCs w:val="22"/>
        </w:rPr>
        <w:t>и</w:t>
      </w:r>
      <w:r w:rsidRPr="009A7442">
        <w:rPr>
          <w:sz w:val="22"/>
          <w:szCs w:val="22"/>
        </w:rPr>
        <w:t>тия. Для анализа степени покрытия изображения – коллектора и</w:t>
      </w:r>
      <w:r w:rsidRPr="009A7442">
        <w:rPr>
          <w:sz w:val="22"/>
          <w:szCs w:val="22"/>
        </w:rPr>
        <w:t>с</w:t>
      </w:r>
      <w:r w:rsidRPr="009A7442">
        <w:rPr>
          <w:sz w:val="22"/>
          <w:szCs w:val="22"/>
        </w:rPr>
        <w:t>пользовали патент на изобретение RUS № 2290693 «Способ опр</w:t>
      </w:r>
      <w:r w:rsidRPr="009A7442">
        <w:rPr>
          <w:sz w:val="22"/>
          <w:szCs w:val="22"/>
        </w:rPr>
        <w:t>е</w:t>
      </w:r>
      <w:r w:rsidRPr="009A7442">
        <w:rPr>
          <w:sz w:val="22"/>
          <w:szCs w:val="22"/>
        </w:rPr>
        <w:t>деления степени покрытия поверхности рабочей жидкостью» [1] отличающийся тем, что получив четкое изображение объекта (дер</w:t>
      </w:r>
      <w:r w:rsidRPr="009A7442">
        <w:rPr>
          <w:sz w:val="22"/>
          <w:szCs w:val="22"/>
        </w:rPr>
        <w:t>е</w:t>
      </w:r>
      <w:r w:rsidRPr="009A7442">
        <w:rPr>
          <w:sz w:val="22"/>
          <w:szCs w:val="22"/>
        </w:rPr>
        <w:t>ва), сканировали его, подвергали компьютерной обработке, и пол</w:t>
      </w:r>
      <w:r w:rsidRPr="009A7442">
        <w:rPr>
          <w:sz w:val="22"/>
          <w:szCs w:val="22"/>
        </w:rPr>
        <w:t>у</w:t>
      </w:r>
      <w:r w:rsidRPr="009A7442">
        <w:rPr>
          <w:sz w:val="22"/>
          <w:szCs w:val="22"/>
        </w:rPr>
        <w:t>чали матрицу с изображением площади фотоизображения, выр</w:t>
      </w:r>
      <w:r w:rsidRPr="009A7442">
        <w:rPr>
          <w:sz w:val="22"/>
          <w:szCs w:val="22"/>
        </w:rPr>
        <w:t>а</w:t>
      </w:r>
      <w:r w:rsidRPr="009A7442">
        <w:rPr>
          <w:sz w:val="22"/>
          <w:szCs w:val="22"/>
        </w:rPr>
        <w:t>женное в пикселях.</w:t>
      </w:r>
    </w:p>
    <w:p w:rsidR="00E73FF0" w:rsidRPr="009A7442" w:rsidRDefault="00E73FF0" w:rsidP="009A7442">
      <w:pPr>
        <w:ind w:firstLine="425"/>
        <w:jc w:val="both"/>
        <w:rPr>
          <w:sz w:val="22"/>
          <w:szCs w:val="22"/>
        </w:rPr>
      </w:pPr>
      <w:r w:rsidRPr="009A7442">
        <w:rPr>
          <w:sz w:val="22"/>
          <w:szCs w:val="22"/>
        </w:rPr>
        <w:t>Количество черных пикселей по отношению к общему колич</w:t>
      </w:r>
      <w:r w:rsidRPr="009A7442">
        <w:rPr>
          <w:sz w:val="22"/>
          <w:szCs w:val="22"/>
        </w:rPr>
        <w:t>е</w:t>
      </w:r>
      <w:r w:rsidRPr="009A7442">
        <w:rPr>
          <w:sz w:val="22"/>
          <w:szCs w:val="22"/>
        </w:rPr>
        <w:t>ству пикселей подложки (фотоизображения) и определяет степень покрытия поверхности. Были получены следующие результаты. На первом изображении было занято 3,04 % площади коллектора, на втором 5,69 %, на третьем 10,11 %. То есть через всю остальную площадь при опрыскивании капли рабочей жидкости теряются, проникая за пределы ряда деревьев.</w:t>
      </w:r>
    </w:p>
    <w:p w:rsidR="00E73FF0" w:rsidRPr="009A7442" w:rsidRDefault="00E73FF0" w:rsidP="009A7442">
      <w:pPr>
        <w:ind w:firstLine="425"/>
        <w:jc w:val="both"/>
        <w:rPr>
          <w:sz w:val="22"/>
          <w:szCs w:val="22"/>
        </w:rPr>
      </w:pPr>
      <w:r w:rsidRPr="009A7442">
        <w:rPr>
          <w:sz w:val="22"/>
          <w:szCs w:val="22"/>
        </w:rPr>
        <w:t xml:space="preserve">Данный анализ является основанием для выбора конструкции опрыскивателей для обработки многолетних насаждений с учетом </w:t>
      </w:r>
      <w:r w:rsidRPr="009A7442">
        <w:rPr>
          <w:sz w:val="22"/>
          <w:szCs w:val="22"/>
        </w:rPr>
        <w:lastRenderedPageBreak/>
        <w:t>фазы развития растений, способа обработки, процесса доставки к</w:t>
      </w:r>
      <w:r w:rsidRPr="009A7442">
        <w:rPr>
          <w:sz w:val="22"/>
          <w:szCs w:val="22"/>
        </w:rPr>
        <w:t>а</w:t>
      </w:r>
      <w:r w:rsidRPr="009A7442">
        <w:rPr>
          <w:sz w:val="22"/>
          <w:szCs w:val="22"/>
        </w:rPr>
        <w:t>пель рабочей жидкости с минимизацией ее расхода и потерь, не только с точки зрения улучшения экономических показателей пр</w:t>
      </w:r>
      <w:r w:rsidRPr="009A7442">
        <w:rPr>
          <w:sz w:val="22"/>
          <w:szCs w:val="22"/>
        </w:rPr>
        <w:t>о</w:t>
      </w:r>
      <w:r w:rsidRPr="009A7442">
        <w:rPr>
          <w:sz w:val="22"/>
          <w:szCs w:val="22"/>
        </w:rPr>
        <w:t>цесса, но и улучшения санитарно-гигиенических показателей.</w:t>
      </w:r>
    </w:p>
    <w:p w:rsidR="00E73FF0" w:rsidRPr="009A7442" w:rsidRDefault="00E73FF0" w:rsidP="009A7442">
      <w:pPr>
        <w:ind w:firstLine="425"/>
        <w:jc w:val="both"/>
        <w:rPr>
          <w:sz w:val="22"/>
          <w:szCs w:val="22"/>
        </w:rPr>
      </w:pPr>
      <w:r w:rsidRPr="009A7442">
        <w:rPr>
          <w:sz w:val="22"/>
          <w:szCs w:val="22"/>
        </w:rPr>
        <w:t>В связи с вышеизложенным, нами предложена конструкция ультрамалообъемного опрыскивателя с пневматическими щелев</w:t>
      </w:r>
      <w:r w:rsidRPr="009A7442">
        <w:rPr>
          <w:sz w:val="22"/>
          <w:szCs w:val="22"/>
        </w:rPr>
        <w:t>ы</w:t>
      </w:r>
      <w:r w:rsidRPr="009A7442">
        <w:rPr>
          <w:sz w:val="22"/>
          <w:szCs w:val="22"/>
        </w:rPr>
        <w:t xml:space="preserve">ми распылителями [2]. </w:t>
      </w:r>
    </w:p>
    <w:p w:rsidR="00E73FF0" w:rsidRPr="009A7442" w:rsidRDefault="00E73FF0" w:rsidP="009A7442">
      <w:pPr>
        <w:ind w:firstLine="425"/>
        <w:jc w:val="both"/>
        <w:rPr>
          <w:sz w:val="22"/>
          <w:szCs w:val="22"/>
        </w:rPr>
      </w:pPr>
      <w:r w:rsidRPr="009A7442">
        <w:rPr>
          <w:sz w:val="22"/>
          <w:szCs w:val="22"/>
        </w:rPr>
        <w:t>Работает садово-виноградный опрыскиватель следующим о</w:t>
      </w:r>
      <w:r w:rsidRPr="009A7442">
        <w:rPr>
          <w:sz w:val="22"/>
          <w:szCs w:val="22"/>
        </w:rPr>
        <w:t>б</w:t>
      </w:r>
      <w:r w:rsidRPr="009A7442">
        <w:rPr>
          <w:sz w:val="22"/>
          <w:szCs w:val="22"/>
        </w:rPr>
        <w:t>разом. Воздух от компрессора – источника сжатого воздуха через ресивер, кран и регулятор давления подводится по воздушной маг</w:t>
      </w:r>
      <w:r w:rsidRPr="009A7442">
        <w:rPr>
          <w:sz w:val="22"/>
          <w:szCs w:val="22"/>
        </w:rPr>
        <w:t>и</w:t>
      </w:r>
      <w:r w:rsidRPr="009A7442">
        <w:rPr>
          <w:sz w:val="22"/>
          <w:szCs w:val="22"/>
        </w:rPr>
        <w:t>страли через тройник и воздухопроводы, к пневматическим щел</w:t>
      </w:r>
      <w:r w:rsidRPr="009A7442">
        <w:rPr>
          <w:sz w:val="22"/>
          <w:szCs w:val="22"/>
        </w:rPr>
        <w:t>е</w:t>
      </w:r>
      <w:r w:rsidRPr="009A7442">
        <w:rPr>
          <w:sz w:val="22"/>
          <w:szCs w:val="22"/>
        </w:rPr>
        <w:t>вым распылителям. Рабочая жидкость из резервуара поступает ч</w:t>
      </w:r>
      <w:r w:rsidRPr="009A7442">
        <w:rPr>
          <w:sz w:val="22"/>
          <w:szCs w:val="22"/>
        </w:rPr>
        <w:t>е</w:t>
      </w:r>
      <w:r w:rsidRPr="009A7442">
        <w:rPr>
          <w:sz w:val="22"/>
          <w:szCs w:val="22"/>
        </w:rPr>
        <w:t>рез кран и уравнительную емкость по питательным трубопроводам самотекам и вследствие разряжения, создаваемого смешанной стр</w:t>
      </w:r>
      <w:r w:rsidRPr="009A7442">
        <w:rPr>
          <w:sz w:val="22"/>
          <w:szCs w:val="22"/>
        </w:rPr>
        <w:t>у</w:t>
      </w:r>
      <w:r w:rsidRPr="009A7442">
        <w:rPr>
          <w:sz w:val="22"/>
          <w:szCs w:val="22"/>
        </w:rPr>
        <w:t>ей воздуха, истекающей из воздушно-щелевого сопла, и подаваем</w:t>
      </w:r>
      <w:r w:rsidRPr="009A7442">
        <w:rPr>
          <w:sz w:val="22"/>
          <w:szCs w:val="22"/>
        </w:rPr>
        <w:t>о</w:t>
      </w:r>
      <w:r w:rsidRPr="009A7442">
        <w:rPr>
          <w:sz w:val="22"/>
          <w:szCs w:val="22"/>
        </w:rPr>
        <w:t>го вентилятором в корпус распылителя, где диспергируется, смеш</w:t>
      </w:r>
      <w:r w:rsidRPr="009A7442">
        <w:rPr>
          <w:sz w:val="22"/>
          <w:szCs w:val="22"/>
        </w:rPr>
        <w:t>и</w:t>
      </w:r>
      <w:r w:rsidRPr="009A7442">
        <w:rPr>
          <w:sz w:val="22"/>
          <w:szCs w:val="22"/>
        </w:rPr>
        <w:t>вается с воздухом, и подается на объект обработки. В связи с тем, что в воздушные сопла вентиляторов вставлены пневматические щелевые распылители для максимально-эффективного использов</w:t>
      </w:r>
      <w:r w:rsidRPr="009A7442">
        <w:rPr>
          <w:sz w:val="22"/>
          <w:szCs w:val="22"/>
        </w:rPr>
        <w:t>а</w:t>
      </w:r>
      <w:r w:rsidRPr="009A7442">
        <w:rPr>
          <w:sz w:val="22"/>
          <w:szCs w:val="22"/>
        </w:rPr>
        <w:t>ния расхода воздуха, создаваемого вентиляторами, для увеличения производительности опрыскивателя обрабатываются сразу два ряда, расположенных по обе стороны от опрыскивателя.</w:t>
      </w:r>
    </w:p>
    <w:p w:rsidR="00E73FF0" w:rsidRPr="009A7442" w:rsidRDefault="00E73FF0" w:rsidP="009A7442">
      <w:pPr>
        <w:ind w:firstLine="425"/>
        <w:jc w:val="both"/>
        <w:rPr>
          <w:sz w:val="22"/>
          <w:szCs w:val="22"/>
        </w:rPr>
      </w:pPr>
      <w:r w:rsidRPr="009A7442">
        <w:rPr>
          <w:sz w:val="22"/>
          <w:szCs w:val="22"/>
        </w:rPr>
        <w:t>Уменьшаются потери рабочей жидкости в виде мелких капель за счет формирования струй воздухом, проходящим от вентилятора только через корпуса распылителей. Кроме того, снижаются потери рабочей жидкости воздухом, не проходящим через корпуса расп</w:t>
      </w:r>
      <w:r w:rsidRPr="009A7442">
        <w:rPr>
          <w:sz w:val="22"/>
          <w:szCs w:val="22"/>
        </w:rPr>
        <w:t>ы</w:t>
      </w:r>
      <w:r w:rsidRPr="009A7442">
        <w:rPr>
          <w:sz w:val="22"/>
          <w:szCs w:val="22"/>
        </w:rPr>
        <w:t>лителей, а воздействующим на струю снаружи, из-за чего происх</w:t>
      </w:r>
      <w:r w:rsidRPr="009A7442">
        <w:rPr>
          <w:sz w:val="22"/>
          <w:szCs w:val="22"/>
        </w:rPr>
        <w:t>о</w:t>
      </w:r>
      <w:r w:rsidRPr="009A7442">
        <w:rPr>
          <w:sz w:val="22"/>
          <w:szCs w:val="22"/>
        </w:rPr>
        <w:t xml:space="preserve">дит высыхание мелких капель в воздушно-капельной струе. </w:t>
      </w:r>
    </w:p>
    <w:p w:rsidR="00E73FF0" w:rsidRPr="009A7442" w:rsidRDefault="00E73FF0" w:rsidP="009A7442">
      <w:pPr>
        <w:ind w:firstLine="425"/>
        <w:jc w:val="both"/>
        <w:rPr>
          <w:sz w:val="22"/>
          <w:szCs w:val="22"/>
        </w:rPr>
      </w:pPr>
      <w:r w:rsidRPr="009A7442">
        <w:rPr>
          <w:sz w:val="22"/>
          <w:szCs w:val="22"/>
        </w:rPr>
        <w:t>Применение ультрамалообъемного опрыскивателя с пневмат</w:t>
      </w:r>
      <w:r w:rsidRPr="009A7442">
        <w:rPr>
          <w:sz w:val="22"/>
          <w:szCs w:val="22"/>
        </w:rPr>
        <w:t>и</w:t>
      </w:r>
      <w:r w:rsidRPr="009A7442">
        <w:rPr>
          <w:sz w:val="22"/>
          <w:szCs w:val="22"/>
        </w:rPr>
        <w:t>ческими щелевыми распылителями конструкции КубГАУ рекоме</w:t>
      </w:r>
      <w:r w:rsidRPr="009A7442">
        <w:rPr>
          <w:sz w:val="22"/>
          <w:szCs w:val="22"/>
        </w:rPr>
        <w:t>н</w:t>
      </w:r>
      <w:r w:rsidRPr="009A7442">
        <w:rPr>
          <w:sz w:val="22"/>
          <w:szCs w:val="22"/>
        </w:rPr>
        <w:t>дуется для обработки молодых садов и виноградников или наход</w:t>
      </w:r>
      <w:r w:rsidRPr="009A7442">
        <w:rPr>
          <w:sz w:val="22"/>
          <w:szCs w:val="22"/>
        </w:rPr>
        <w:t>я</w:t>
      </w:r>
      <w:r w:rsidRPr="009A7442">
        <w:rPr>
          <w:sz w:val="22"/>
          <w:szCs w:val="22"/>
        </w:rPr>
        <w:t xml:space="preserve">щихся в фазе малого развития листостебельной части. </w:t>
      </w:r>
    </w:p>
    <w:p w:rsidR="00E73FF0" w:rsidRPr="009A7442" w:rsidRDefault="00E73FF0" w:rsidP="009762D0">
      <w:pPr>
        <w:ind w:firstLine="425"/>
        <w:jc w:val="both"/>
        <w:rPr>
          <w:sz w:val="22"/>
          <w:szCs w:val="22"/>
        </w:rPr>
      </w:pPr>
      <w:r w:rsidRPr="009A7442">
        <w:rPr>
          <w:sz w:val="22"/>
          <w:szCs w:val="22"/>
        </w:rPr>
        <w:t>Таким образом, использование опрыскивателя с пневматич</w:t>
      </w:r>
      <w:r w:rsidRPr="009A7442">
        <w:rPr>
          <w:sz w:val="22"/>
          <w:szCs w:val="22"/>
        </w:rPr>
        <w:t>е</w:t>
      </w:r>
      <w:r w:rsidRPr="009A7442">
        <w:rPr>
          <w:sz w:val="22"/>
          <w:szCs w:val="22"/>
        </w:rPr>
        <w:t>скими щелевыми распылителями является эффективным и экон</w:t>
      </w:r>
      <w:r w:rsidRPr="009A7442">
        <w:rPr>
          <w:sz w:val="22"/>
          <w:szCs w:val="22"/>
        </w:rPr>
        <w:t>о</w:t>
      </w:r>
      <w:r w:rsidRPr="009A7442">
        <w:rPr>
          <w:sz w:val="22"/>
          <w:szCs w:val="22"/>
        </w:rPr>
        <w:t>мически оправданным, в частности при использовании малыми и средними предприятиями, занимающихся возделыванием садов и виноградников, за счет снижения норм расходов рабочей жидкости до 2-х раз и улучшения качества обработки.</w:t>
      </w:r>
    </w:p>
    <w:p w:rsidR="00E73FF0" w:rsidRPr="009A7442" w:rsidRDefault="00E73FF0" w:rsidP="009A7442">
      <w:pPr>
        <w:ind w:firstLine="567"/>
        <w:jc w:val="center"/>
        <w:rPr>
          <w:sz w:val="22"/>
          <w:szCs w:val="22"/>
        </w:rPr>
      </w:pPr>
      <w:r w:rsidRPr="009A7442">
        <w:rPr>
          <w:sz w:val="22"/>
          <w:szCs w:val="22"/>
        </w:rPr>
        <w:lastRenderedPageBreak/>
        <w:t>Список литературы</w:t>
      </w:r>
    </w:p>
    <w:p w:rsidR="00E73FF0" w:rsidRPr="009A7442" w:rsidRDefault="009A7442" w:rsidP="009A7442">
      <w:pPr>
        <w:ind w:firstLine="425"/>
        <w:jc w:val="both"/>
        <w:rPr>
          <w:sz w:val="22"/>
          <w:szCs w:val="22"/>
        </w:rPr>
      </w:pPr>
      <w:r>
        <w:rPr>
          <w:sz w:val="22"/>
          <w:szCs w:val="22"/>
        </w:rPr>
        <w:t xml:space="preserve">1. </w:t>
      </w:r>
      <w:r w:rsidR="00E73FF0" w:rsidRPr="009A7442">
        <w:rPr>
          <w:sz w:val="22"/>
          <w:szCs w:val="22"/>
        </w:rPr>
        <w:t>Способ определения степени покрытия поверхности рабочей жидкостью [Текст] : пат. 2290693 Рос. Федерация, МПК G06К9/52 / Г. Г. Маслов, В. В. Цыбулевский, А. В. Палапин, С. М. Борисова ; заявитель и правообладатель Кубанский госуд. аграрн. ун-т. – № 2004124339/09 ; заявл. 09.08.2004 ; опубл. 27.12.2006, Бюл. № 36. – 14 с. : ил.</w:t>
      </w:r>
    </w:p>
    <w:p w:rsidR="009A7442" w:rsidRDefault="00E73FF0" w:rsidP="00A01CFE">
      <w:pPr>
        <w:ind w:firstLine="425"/>
        <w:jc w:val="both"/>
        <w:rPr>
          <w:sz w:val="22"/>
          <w:szCs w:val="22"/>
        </w:rPr>
      </w:pPr>
      <w:r w:rsidRPr="009A7442">
        <w:rPr>
          <w:sz w:val="22"/>
          <w:szCs w:val="22"/>
        </w:rPr>
        <w:t>2. Опрыскиватель садово-виноградный [Текст] : пат. 174998 Рос. Федерация, МПК А01М 7/00 / С. М. Борисова, Д. М. Недогр</w:t>
      </w:r>
      <w:r w:rsidRPr="009A7442">
        <w:rPr>
          <w:sz w:val="22"/>
          <w:szCs w:val="22"/>
        </w:rPr>
        <w:t>е</w:t>
      </w:r>
      <w:r w:rsidRPr="009A7442">
        <w:rPr>
          <w:sz w:val="22"/>
          <w:szCs w:val="22"/>
        </w:rPr>
        <w:t>ев ; заявитель и правообладатель Кубанский госуд. аграрн. ун-т. – № 2017114259 ; заявл. 24.04.2017 ; опул. 15.11.2017, Бюл. № 32. – 5 с. : ил.</w:t>
      </w:r>
    </w:p>
    <w:p w:rsidR="009762D0" w:rsidRDefault="009762D0" w:rsidP="009762D0">
      <w:pPr>
        <w:rPr>
          <w:sz w:val="22"/>
          <w:szCs w:val="22"/>
        </w:rPr>
      </w:pPr>
    </w:p>
    <w:p w:rsidR="009762D0" w:rsidRDefault="009762D0" w:rsidP="009762D0">
      <w:pPr>
        <w:rPr>
          <w:sz w:val="22"/>
          <w:szCs w:val="22"/>
        </w:rPr>
      </w:pPr>
    </w:p>
    <w:p w:rsidR="009762D0" w:rsidRDefault="009762D0" w:rsidP="009762D0">
      <w:pPr>
        <w:rPr>
          <w:sz w:val="22"/>
          <w:szCs w:val="22"/>
        </w:rPr>
      </w:pPr>
    </w:p>
    <w:p w:rsidR="00E73FF0" w:rsidRDefault="00E73FF0" w:rsidP="009762D0">
      <w:pPr>
        <w:rPr>
          <w:sz w:val="22"/>
          <w:szCs w:val="22"/>
        </w:rPr>
      </w:pPr>
      <w:r w:rsidRPr="00E73FF0">
        <w:rPr>
          <w:sz w:val="22"/>
          <w:szCs w:val="22"/>
        </w:rPr>
        <w:t>УДК 631.313.6</w:t>
      </w:r>
    </w:p>
    <w:p w:rsidR="009762D0" w:rsidRPr="00E73FF0" w:rsidRDefault="009762D0" w:rsidP="009762D0">
      <w:pPr>
        <w:rPr>
          <w:sz w:val="22"/>
          <w:szCs w:val="22"/>
        </w:rPr>
      </w:pPr>
    </w:p>
    <w:p w:rsidR="00E73FF0" w:rsidRPr="00E73FF0" w:rsidRDefault="00A01CFE" w:rsidP="009762D0">
      <w:pPr>
        <w:ind w:firstLine="426"/>
        <w:jc w:val="center"/>
        <w:rPr>
          <w:b/>
          <w:sz w:val="24"/>
          <w:szCs w:val="24"/>
        </w:rPr>
      </w:pPr>
      <w:r>
        <w:rPr>
          <w:b/>
          <w:sz w:val="24"/>
          <w:szCs w:val="24"/>
        </w:rPr>
        <w:t xml:space="preserve">Исследование радиуса кривизны </w:t>
      </w:r>
      <w:r w:rsidR="00E73FF0" w:rsidRPr="00E73FF0">
        <w:rPr>
          <w:b/>
          <w:sz w:val="24"/>
          <w:szCs w:val="24"/>
        </w:rPr>
        <w:t>дискового рабочего органа</w:t>
      </w:r>
    </w:p>
    <w:p w:rsidR="00E73FF0" w:rsidRPr="00E73FF0" w:rsidRDefault="00E73FF0" w:rsidP="009762D0">
      <w:pPr>
        <w:ind w:firstLine="426"/>
        <w:jc w:val="center"/>
        <w:rPr>
          <w:b/>
          <w:sz w:val="24"/>
          <w:szCs w:val="24"/>
          <w:lang w:val="en-US"/>
        </w:rPr>
      </w:pPr>
      <w:r w:rsidRPr="00E73FF0">
        <w:rPr>
          <w:b/>
          <w:sz w:val="24"/>
          <w:szCs w:val="24"/>
          <w:lang w:val="en-US"/>
        </w:rPr>
        <w:t>Investigation of the radius of curvature of the disc cutting organ</w:t>
      </w:r>
    </w:p>
    <w:p w:rsidR="00E73FF0" w:rsidRPr="00E73FF0" w:rsidRDefault="00E73FF0" w:rsidP="009762D0">
      <w:pPr>
        <w:ind w:firstLine="426"/>
        <w:jc w:val="right"/>
        <w:rPr>
          <w:sz w:val="22"/>
          <w:szCs w:val="22"/>
        </w:rPr>
      </w:pPr>
      <w:r w:rsidRPr="00E73FF0">
        <w:rPr>
          <w:sz w:val="22"/>
          <w:szCs w:val="22"/>
        </w:rPr>
        <w:t>Минаков Е. Р.</w:t>
      </w:r>
      <w:r w:rsidR="009A7442">
        <w:rPr>
          <w:sz w:val="22"/>
          <w:szCs w:val="22"/>
        </w:rPr>
        <w:t>,</w:t>
      </w:r>
    </w:p>
    <w:p w:rsidR="00E73FF0" w:rsidRPr="00E73FF0" w:rsidRDefault="00E73FF0" w:rsidP="009762D0">
      <w:pPr>
        <w:ind w:firstLine="426"/>
        <w:jc w:val="right"/>
        <w:rPr>
          <w:sz w:val="22"/>
          <w:szCs w:val="22"/>
        </w:rPr>
      </w:pPr>
      <w:r w:rsidRPr="00E73FF0">
        <w:rPr>
          <w:sz w:val="22"/>
          <w:szCs w:val="22"/>
        </w:rPr>
        <w:t>студент 2-го курса факультета механизации</w:t>
      </w:r>
    </w:p>
    <w:p w:rsidR="00E73FF0" w:rsidRPr="00E73FF0" w:rsidRDefault="00E73FF0" w:rsidP="00E73FF0">
      <w:pPr>
        <w:ind w:firstLine="426"/>
        <w:jc w:val="right"/>
        <w:rPr>
          <w:sz w:val="22"/>
          <w:szCs w:val="22"/>
        </w:rPr>
      </w:pPr>
      <w:r w:rsidRPr="00E73FF0">
        <w:rPr>
          <w:sz w:val="22"/>
          <w:szCs w:val="22"/>
        </w:rPr>
        <w:t>Насуцев Б.</w:t>
      </w:r>
      <w:r w:rsidR="009A7442">
        <w:rPr>
          <w:sz w:val="22"/>
          <w:szCs w:val="22"/>
        </w:rPr>
        <w:t xml:space="preserve"> </w:t>
      </w:r>
      <w:r w:rsidRPr="00E73FF0">
        <w:rPr>
          <w:sz w:val="22"/>
          <w:szCs w:val="22"/>
        </w:rPr>
        <w:t>М.</w:t>
      </w:r>
      <w:r w:rsidR="009A7442">
        <w:rPr>
          <w:sz w:val="22"/>
          <w:szCs w:val="22"/>
        </w:rPr>
        <w:t>,</w:t>
      </w:r>
    </w:p>
    <w:p w:rsidR="00E73FF0" w:rsidRPr="00E73FF0" w:rsidRDefault="00E73FF0" w:rsidP="00E73FF0">
      <w:pPr>
        <w:ind w:firstLine="426"/>
        <w:jc w:val="right"/>
        <w:rPr>
          <w:sz w:val="22"/>
          <w:szCs w:val="22"/>
        </w:rPr>
      </w:pPr>
      <w:r w:rsidRPr="00E73FF0">
        <w:rPr>
          <w:sz w:val="22"/>
          <w:szCs w:val="22"/>
        </w:rPr>
        <w:t>студент 2-го курса магистратуры факультета механизации</w:t>
      </w:r>
    </w:p>
    <w:p w:rsidR="00E73FF0" w:rsidRPr="00E73FF0" w:rsidRDefault="00E73FF0" w:rsidP="00E73FF0">
      <w:pPr>
        <w:ind w:firstLine="426"/>
        <w:jc w:val="right"/>
        <w:rPr>
          <w:sz w:val="22"/>
          <w:szCs w:val="22"/>
        </w:rPr>
      </w:pPr>
      <w:r w:rsidRPr="00E73FF0">
        <w:rPr>
          <w:sz w:val="22"/>
          <w:szCs w:val="22"/>
        </w:rPr>
        <w:t>Коновалов С. И., Коновалова О. В.</w:t>
      </w:r>
      <w:r w:rsidR="009A7442">
        <w:rPr>
          <w:sz w:val="22"/>
          <w:szCs w:val="22"/>
        </w:rPr>
        <w:t>,</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sidR="009A7442">
        <w:rPr>
          <w:rFonts w:eastAsia="Courier New"/>
          <w:color w:val="000000"/>
          <w:sz w:val="22"/>
          <w:szCs w:val="22"/>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w:t>
      </w:r>
      <w:r w:rsidR="009A7442">
        <w:rPr>
          <w:rFonts w:eastAsia="Courier New"/>
          <w:color w:val="000000"/>
          <w:sz w:val="22"/>
          <w:szCs w:val="22"/>
        </w:rPr>
        <w:t xml:space="preserve"> </w:t>
      </w:r>
      <w:r w:rsidRPr="00E73FF0">
        <w:rPr>
          <w:rFonts w:eastAsia="Courier New"/>
          <w:color w:val="000000"/>
          <w:sz w:val="22"/>
          <w:szCs w:val="22"/>
        </w:rPr>
        <w:t>Т. Трубилина</w:t>
      </w:r>
    </w:p>
    <w:p w:rsidR="00E73FF0" w:rsidRPr="00E73FF0" w:rsidRDefault="00E73FF0" w:rsidP="00E73FF0">
      <w:pPr>
        <w:ind w:firstLine="426"/>
        <w:jc w:val="center"/>
        <w:rPr>
          <w:sz w:val="24"/>
          <w:szCs w:val="24"/>
        </w:rPr>
      </w:pPr>
    </w:p>
    <w:p w:rsidR="00E73FF0" w:rsidRPr="00E73FF0" w:rsidRDefault="00E73FF0" w:rsidP="00E73FF0">
      <w:pPr>
        <w:ind w:firstLine="426"/>
        <w:jc w:val="both"/>
        <w:rPr>
          <w:sz w:val="22"/>
          <w:szCs w:val="22"/>
          <w:lang w:val="en-US"/>
        </w:rPr>
      </w:pPr>
      <w:r w:rsidRPr="00E73FF0">
        <w:rPr>
          <w:sz w:val="22"/>
          <w:szCs w:val="22"/>
        </w:rPr>
        <w:t>АННОТАЦИЯ: В статье представлен анализ теоретической з</w:t>
      </w:r>
      <w:r w:rsidRPr="00E73FF0">
        <w:rPr>
          <w:sz w:val="22"/>
          <w:szCs w:val="22"/>
        </w:rPr>
        <w:t>а</w:t>
      </w:r>
      <w:r w:rsidRPr="00E73FF0">
        <w:rPr>
          <w:sz w:val="22"/>
          <w:szCs w:val="22"/>
        </w:rPr>
        <w:t>висимости величины радиуса кривизны и радиуса диска от ко</w:t>
      </w:r>
      <w:r w:rsidRPr="00E73FF0">
        <w:rPr>
          <w:sz w:val="22"/>
          <w:szCs w:val="22"/>
        </w:rPr>
        <w:t>н</w:t>
      </w:r>
      <w:r w:rsidRPr="00E73FF0">
        <w:rPr>
          <w:sz w:val="22"/>
          <w:szCs w:val="22"/>
        </w:rPr>
        <w:t>структивно-технологических параметров рабочего органа. Предл</w:t>
      </w:r>
      <w:r w:rsidRPr="00E73FF0">
        <w:rPr>
          <w:sz w:val="22"/>
          <w:szCs w:val="22"/>
        </w:rPr>
        <w:t>о</w:t>
      </w:r>
      <w:r w:rsidRPr="00E73FF0">
        <w:rPr>
          <w:sz w:val="22"/>
          <w:szCs w:val="22"/>
        </w:rPr>
        <w:t>жены</w:t>
      </w:r>
      <w:r w:rsidRPr="00E73FF0">
        <w:rPr>
          <w:sz w:val="22"/>
          <w:szCs w:val="22"/>
          <w:lang w:val="en-US"/>
        </w:rPr>
        <w:t xml:space="preserve"> </w:t>
      </w:r>
      <w:r w:rsidRPr="00E73FF0">
        <w:rPr>
          <w:sz w:val="22"/>
          <w:szCs w:val="22"/>
        </w:rPr>
        <w:t>рекомендации</w:t>
      </w:r>
      <w:r w:rsidRPr="00E73FF0">
        <w:rPr>
          <w:sz w:val="22"/>
          <w:szCs w:val="22"/>
          <w:lang w:val="en-US"/>
        </w:rPr>
        <w:t xml:space="preserve"> </w:t>
      </w:r>
      <w:r w:rsidRPr="00E73FF0">
        <w:rPr>
          <w:sz w:val="22"/>
          <w:szCs w:val="22"/>
        </w:rPr>
        <w:t>для</w:t>
      </w:r>
      <w:r w:rsidRPr="00E73FF0">
        <w:rPr>
          <w:sz w:val="22"/>
          <w:szCs w:val="22"/>
          <w:lang w:val="en-US"/>
        </w:rPr>
        <w:t xml:space="preserve"> </w:t>
      </w:r>
      <w:r w:rsidRPr="00E73FF0">
        <w:rPr>
          <w:sz w:val="22"/>
          <w:szCs w:val="22"/>
        </w:rPr>
        <w:t>их</w:t>
      </w:r>
      <w:r w:rsidRPr="00E73FF0">
        <w:rPr>
          <w:sz w:val="22"/>
          <w:szCs w:val="22"/>
          <w:lang w:val="en-US"/>
        </w:rPr>
        <w:t xml:space="preserve"> </w:t>
      </w:r>
      <w:r w:rsidRPr="00E73FF0">
        <w:rPr>
          <w:sz w:val="22"/>
          <w:szCs w:val="22"/>
        </w:rPr>
        <w:t>определения</w:t>
      </w:r>
      <w:r w:rsidRPr="00E73FF0">
        <w:rPr>
          <w:sz w:val="22"/>
          <w:szCs w:val="22"/>
          <w:lang w:val="en-US"/>
        </w:rPr>
        <w:t xml:space="preserve"> </w:t>
      </w:r>
      <w:r w:rsidRPr="00E73FF0">
        <w:rPr>
          <w:sz w:val="22"/>
          <w:szCs w:val="22"/>
        </w:rPr>
        <w:t>при</w:t>
      </w:r>
      <w:r w:rsidRPr="00E73FF0">
        <w:rPr>
          <w:sz w:val="22"/>
          <w:szCs w:val="22"/>
          <w:lang w:val="en-US"/>
        </w:rPr>
        <w:t xml:space="preserve"> </w:t>
      </w:r>
      <w:r w:rsidRPr="00E73FF0">
        <w:rPr>
          <w:sz w:val="22"/>
          <w:szCs w:val="22"/>
        </w:rPr>
        <w:t>проектировании</w:t>
      </w:r>
      <w:r w:rsidRPr="00E73FF0">
        <w:rPr>
          <w:sz w:val="22"/>
          <w:szCs w:val="22"/>
          <w:lang w:val="en-US"/>
        </w:rPr>
        <w:t xml:space="preserve"> </w:t>
      </w:r>
      <w:r w:rsidRPr="00E73FF0">
        <w:rPr>
          <w:sz w:val="22"/>
          <w:szCs w:val="22"/>
        </w:rPr>
        <w:t>диска</w:t>
      </w:r>
      <w:r w:rsidRPr="00E73FF0">
        <w:rPr>
          <w:sz w:val="22"/>
          <w:szCs w:val="22"/>
          <w:lang w:val="en-US"/>
        </w:rPr>
        <w:t>.</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ABSTRACT:</w:t>
      </w:r>
      <w:r w:rsidRPr="00E73FF0">
        <w:rPr>
          <w:sz w:val="22"/>
          <w:szCs w:val="22"/>
          <w:lang w:val="en-US"/>
        </w:rPr>
        <w:t xml:space="preserve"> The article presents an analysis of the theoretical d</w:t>
      </w:r>
      <w:r w:rsidRPr="00E73FF0">
        <w:rPr>
          <w:sz w:val="22"/>
          <w:szCs w:val="22"/>
          <w:lang w:val="en-US"/>
        </w:rPr>
        <w:t>e</w:t>
      </w:r>
      <w:r w:rsidRPr="00E73FF0">
        <w:rPr>
          <w:sz w:val="22"/>
          <w:szCs w:val="22"/>
          <w:lang w:val="en-US"/>
        </w:rPr>
        <w:t>pendence of the radius of curvature and the disk radius on the structural and technological parameters of the working organ. Recommendations for their determination in the design of the disk are suggested.</w:t>
      </w:r>
    </w:p>
    <w:p w:rsidR="00E73FF0" w:rsidRPr="00E73FF0" w:rsidRDefault="00E73FF0" w:rsidP="00E73FF0">
      <w:pPr>
        <w:ind w:firstLine="426"/>
        <w:jc w:val="both"/>
        <w:rPr>
          <w:sz w:val="22"/>
          <w:szCs w:val="22"/>
        </w:rPr>
      </w:pPr>
      <w:r w:rsidRPr="00E73FF0">
        <w:rPr>
          <w:sz w:val="22"/>
          <w:szCs w:val="22"/>
        </w:rPr>
        <w:lastRenderedPageBreak/>
        <w:t xml:space="preserve">КЛЮЧЕВЫЕ СЛОВА: радиус кривизны, радиус диска, глубина обработки. </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KEYWORDS:</w:t>
      </w:r>
      <w:r w:rsidRPr="00E73FF0">
        <w:rPr>
          <w:sz w:val="22"/>
          <w:szCs w:val="22"/>
          <w:lang w:val="en-US"/>
        </w:rPr>
        <w:t xml:space="preserve"> radius of curvature, radius of the disk, depth of pr</w:t>
      </w:r>
      <w:r w:rsidRPr="00E73FF0">
        <w:rPr>
          <w:sz w:val="22"/>
          <w:szCs w:val="22"/>
          <w:lang w:val="en-US"/>
        </w:rPr>
        <w:t>o</w:t>
      </w:r>
      <w:r w:rsidRPr="00E73FF0">
        <w:rPr>
          <w:sz w:val="22"/>
          <w:szCs w:val="22"/>
          <w:lang w:val="en-US"/>
        </w:rPr>
        <w:t>cessing.</w:t>
      </w:r>
    </w:p>
    <w:p w:rsidR="00E73FF0" w:rsidRPr="00E73FF0" w:rsidRDefault="00E73FF0" w:rsidP="00E73FF0">
      <w:pPr>
        <w:ind w:firstLine="426"/>
        <w:jc w:val="both"/>
        <w:rPr>
          <w:sz w:val="24"/>
          <w:szCs w:val="24"/>
          <w:lang w:val="en-US"/>
        </w:rPr>
      </w:pPr>
    </w:p>
    <w:p w:rsidR="00E73FF0" w:rsidRPr="00E73FF0" w:rsidRDefault="00E73FF0" w:rsidP="00E73FF0">
      <w:pPr>
        <w:ind w:firstLine="426"/>
        <w:jc w:val="both"/>
        <w:rPr>
          <w:sz w:val="22"/>
          <w:szCs w:val="22"/>
        </w:rPr>
      </w:pPr>
      <w:r w:rsidRPr="00E73FF0">
        <w:rPr>
          <w:sz w:val="22"/>
          <w:szCs w:val="22"/>
        </w:rPr>
        <w:t>На качество работы дискового рабочего органа оказывают вл</w:t>
      </w:r>
      <w:r w:rsidRPr="00E73FF0">
        <w:rPr>
          <w:sz w:val="22"/>
          <w:szCs w:val="22"/>
        </w:rPr>
        <w:t>и</w:t>
      </w:r>
      <w:r w:rsidRPr="00E73FF0">
        <w:rPr>
          <w:sz w:val="22"/>
          <w:szCs w:val="22"/>
        </w:rPr>
        <w:t>яние ряд конструктивно-технологических параметров. К числу т</w:t>
      </w:r>
      <w:r w:rsidRPr="00E73FF0">
        <w:rPr>
          <w:sz w:val="22"/>
          <w:szCs w:val="22"/>
        </w:rPr>
        <w:t>а</w:t>
      </w:r>
      <w:r w:rsidRPr="00E73FF0">
        <w:rPr>
          <w:sz w:val="22"/>
          <w:szCs w:val="22"/>
        </w:rPr>
        <w:t>ких параметров можно отнести угол атаки, радиус кривизны диска, радиус диска и угол установки диска к вертикали [1, 2].</w:t>
      </w:r>
    </w:p>
    <w:p w:rsidR="00E73FF0" w:rsidRPr="00E73FF0" w:rsidRDefault="00E73FF0" w:rsidP="00E73FF0">
      <w:pPr>
        <w:ind w:firstLine="426"/>
        <w:jc w:val="both"/>
        <w:rPr>
          <w:sz w:val="22"/>
          <w:szCs w:val="22"/>
        </w:rPr>
      </w:pPr>
      <w:r w:rsidRPr="00E73FF0">
        <w:rPr>
          <w:sz w:val="22"/>
          <w:szCs w:val="22"/>
        </w:rPr>
        <w:t>Радиус кривизны диска конструктивно влияет на величину за</w:t>
      </w:r>
      <w:r w:rsidRPr="00E73FF0">
        <w:rPr>
          <w:sz w:val="22"/>
          <w:szCs w:val="22"/>
        </w:rPr>
        <w:t>д</w:t>
      </w:r>
      <w:r w:rsidRPr="00E73FF0">
        <w:rPr>
          <w:sz w:val="22"/>
          <w:szCs w:val="22"/>
        </w:rPr>
        <w:t>него угла резания, а также на степень крошения почвы, величину заглубляющей способности и ряд других параметров [3, 4]. Есть ряд рекомендации по определению радиуса кривизны диска, однако в большинстве случаев они носят чисто экспериментальный характер, что позывает некую однобокость. С другой стороны можно опред</w:t>
      </w:r>
      <w:r w:rsidRPr="00E73FF0">
        <w:rPr>
          <w:sz w:val="22"/>
          <w:szCs w:val="22"/>
        </w:rPr>
        <w:t>е</w:t>
      </w:r>
      <w:r w:rsidRPr="00E73FF0">
        <w:rPr>
          <w:sz w:val="22"/>
          <w:szCs w:val="22"/>
        </w:rPr>
        <w:t>лять радиус кривизны диска в зависимости от заднего угла резания на планируемой глубине обработки почвы. Если задаться этим п</w:t>
      </w:r>
      <w:r w:rsidRPr="00E73FF0">
        <w:rPr>
          <w:sz w:val="22"/>
          <w:szCs w:val="22"/>
        </w:rPr>
        <w:t>а</w:t>
      </w:r>
      <w:r w:rsidRPr="00E73FF0">
        <w:rPr>
          <w:sz w:val="22"/>
          <w:szCs w:val="22"/>
        </w:rPr>
        <w:t>раметром, то сразу складывается ограничение на минимальный р</w:t>
      </w:r>
      <w:r w:rsidRPr="00E73FF0">
        <w:rPr>
          <w:sz w:val="22"/>
          <w:szCs w:val="22"/>
        </w:rPr>
        <w:t>а</w:t>
      </w:r>
      <w:r w:rsidRPr="00E73FF0">
        <w:rPr>
          <w:sz w:val="22"/>
          <w:szCs w:val="22"/>
        </w:rPr>
        <w:t>диус самого диска, который будет складывается из глубины обр</w:t>
      </w:r>
      <w:r w:rsidRPr="00E73FF0">
        <w:rPr>
          <w:sz w:val="22"/>
          <w:szCs w:val="22"/>
        </w:rPr>
        <w:t>а</w:t>
      </w:r>
      <w:r w:rsidRPr="00E73FF0">
        <w:rPr>
          <w:sz w:val="22"/>
          <w:szCs w:val="22"/>
        </w:rPr>
        <w:t>ботки, радиуса оси дискового рабочего органа, допуска на износ и величины установки диска к вертикали.</w:t>
      </w:r>
    </w:p>
    <w:p w:rsidR="00E73FF0" w:rsidRPr="00E73FF0" w:rsidRDefault="00E73FF0" w:rsidP="00E73FF0">
      <w:pPr>
        <w:ind w:firstLine="426"/>
        <w:jc w:val="both"/>
        <w:rPr>
          <w:sz w:val="22"/>
          <w:szCs w:val="22"/>
        </w:rPr>
      </w:pPr>
      <w:r w:rsidRPr="00E73FF0">
        <w:rPr>
          <w:sz w:val="22"/>
          <w:szCs w:val="22"/>
        </w:rPr>
        <w:t>Характер же изменения радиуса кривизны диска значительно сложней. Согласно теоретической зависимости профессора Ф. М. Канарева, величина радиуса кривизны диска зависит от ко</w:t>
      </w:r>
      <w:r w:rsidRPr="00E73FF0">
        <w:rPr>
          <w:sz w:val="22"/>
          <w:szCs w:val="22"/>
        </w:rPr>
        <w:t>н</w:t>
      </w:r>
      <w:r w:rsidRPr="00E73FF0">
        <w:rPr>
          <w:sz w:val="22"/>
          <w:szCs w:val="22"/>
        </w:rPr>
        <w:t>структивных и режимных параметров рабочего органа [5]</w:t>
      </w:r>
    </w:p>
    <w:p w:rsidR="00E73FF0" w:rsidRPr="00E73FF0" w:rsidRDefault="00E73FF0" w:rsidP="00E73FF0">
      <w:pPr>
        <w:ind w:firstLine="426"/>
        <w:jc w:val="both"/>
        <w:rPr>
          <w:sz w:val="22"/>
          <w:szCs w:val="22"/>
        </w:rPr>
      </w:pPr>
      <w:r w:rsidRPr="00E73FF0">
        <w:rPr>
          <w:sz w:val="22"/>
          <w:szCs w:val="22"/>
        </w:rPr>
        <w:t>При изменении параметров дискового рабочего органа радиуса от 200 до 400 мм, угла атаки от 3 до 30 градусов, углом установки дисков к вертикали от 0 до 20  градусов и изменении глубины обр</w:t>
      </w:r>
      <w:r w:rsidRPr="00E73FF0">
        <w:rPr>
          <w:sz w:val="22"/>
          <w:szCs w:val="22"/>
        </w:rPr>
        <w:t>а</w:t>
      </w:r>
      <w:r w:rsidRPr="00E73FF0">
        <w:rPr>
          <w:sz w:val="22"/>
          <w:szCs w:val="22"/>
        </w:rPr>
        <w:t>ботки от 20 до 200 мм, величина радиуса кривизны диска изменяе</w:t>
      </w:r>
      <w:r w:rsidRPr="00E73FF0">
        <w:rPr>
          <w:sz w:val="22"/>
          <w:szCs w:val="22"/>
        </w:rPr>
        <w:t>т</w:t>
      </w:r>
      <w:r w:rsidRPr="00E73FF0">
        <w:rPr>
          <w:sz w:val="22"/>
          <w:szCs w:val="22"/>
        </w:rPr>
        <w:t>ся в значительных пределах.</w:t>
      </w:r>
    </w:p>
    <w:p w:rsidR="00E73FF0" w:rsidRPr="00E73FF0" w:rsidRDefault="00E73FF0" w:rsidP="00E73FF0">
      <w:pPr>
        <w:ind w:firstLine="426"/>
        <w:jc w:val="both"/>
        <w:rPr>
          <w:sz w:val="22"/>
          <w:szCs w:val="22"/>
        </w:rPr>
      </w:pPr>
      <w:r w:rsidRPr="00E73FF0">
        <w:rPr>
          <w:sz w:val="22"/>
          <w:szCs w:val="22"/>
        </w:rPr>
        <w:t>При увеличении глубины обработки почвы от 10 до 200 мм в</w:t>
      </w:r>
      <w:r w:rsidRPr="00E73FF0">
        <w:rPr>
          <w:sz w:val="22"/>
          <w:szCs w:val="22"/>
        </w:rPr>
        <w:t>е</w:t>
      </w:r>
      <w:r w:rsidRPr="00E73FF0">
        <w:rPr>
          <w:sz w:val="22"/>
          <w:szCs w:val="22"/>
        </w:rPr>
        <w:t>личина радиуса кривизны диска возрастает по криволинейной зав</w:t>
      </w:r>
      <w:r w:rsidRPr="00E73FF0">
        <w:rPr>
          <w:sz w:val="22"/>
          <w:szCs w:val="22"/>
        </w:rPr>
        <w:t>и</w:t>
      </w:r>
      <w:r w:rsidRPr="00E73FF0">
        <w:rPr>
          <w:sz w:val="22"/>
          <w:szCs w:val="22"/>
        </w:rPr>
        <w:t>симости от 600 до 1300 мм. С другой стороны увеличение угла ат</w:t>
      </w:r>
      <w:r w:rsidRPr="00E73FF0">
        <w:rPr>
          <w:sz w:val="22"/>
          <w:szCs w:val="22"/>
        </w:rPr>
        <w:t>а</w:t>
      </w:r>
      <w:r w:rsidRPr="00E73FF0">
        <w:rPr>
          <w:sz w:val="22"/>
          <w:szCs w:val="22"/>
        </w:rPr>
        <w:t>ки от 5 до 25 градусов приводи уменьшение кривизны по экспоне</w:t>
      </w:r>
      <w:r w:rsidRPr="00E73FF0">
        <w:rPr>
          <w:sz w:val="22"/>
          <w:szCs w:val="22"/>
        </w:rPr>
        <w:t>н</w:t>
      </w:r>
      <w:r w:rsidRPr="00E73FF0">
        <w:rPr>
          <w:sz w:val="22"/>
          <w:szCs w:val="22"/>
        </w:rPr>
        <w:t>те в пределах от 3000 мм, т.е. практически прямой до 500 мм. Изм</w:t>
      </w:r>
      <w:r w:rsidRPr="00E73FF0">
        <w:rPr>
          <w:sz w:val="22"/>
          <w:szCs w:val="22"/>
        </w:rPr>
        <w:t>е</w:t>
      </w:r>
      <w:r w:rsidRPr="00E73FF0">
        <w:rPr>
          <w:sz w:val="22"/>
          <w:szCs w:val="22"/>
        </w:rPr>
        <w:t>нение радиуса диска от 200 до 400 мм и угла установки диска к ве</w:t>
      </w:r>
      <w:r w:rsidRPr="00E73FF0">
        <w:rPr>
          <w:sz w:val="22"/>
          <w:szCs w:val="22"/>
        </w:rPr>
        <w:t>р</w:t>
      </w:r>
      <w:r w:rsidRPr="00E73FF0">
        <w:rPr>
          <w:sz w:val="22"/>
          <w:szCs w:val="22"/>
        </w:rPr>
        <w:t xml:space="preserve">тикали от 1 до 18 градусов характеризуется относительно линейным характером изменения кривизны, и определяется значениями от 900 </w:t>
      </w:r>
      <w:r w:rsidRPr="00E73FF0">
        <w:rPr>
          <w:sz w:val="22"/>
          <w:szCs w:val="22"/>
        </w:rPr>
        <w:lastRenderedPageBreak/>
        <w:t>до 1300 мм. При этом изменение угла установки диска к вертикали практически не дает рост кривизны диска.</w:t>
      </w:r>
    </w:p>
    <w:p w:rsidR="00E73FF0" w:rsidRPr="00E73FF0" w:rsidRDefault="00E73FF0" w:rsidP="00E73FF0">
      <w:pPr>
        <w:ind w:firstLine="426"/>
        <w:jc w:val="both"/>
        <w:rPr>
          <w:sz w:val="22"/>
          <w:szCs w:val="22"/>
        </w:rPr>
      </w:pPr>
      <w:r w:rsidRPr="00E73FF0">
        <w:rPr>
          <w:sz w:val="22"/>
          <w:szCs w:val="22"/>
        </w:rPr>
        <w:t>Таким образом, можно сделать вывод, что при проектировании дискового рабочего органа радиус кривизны диска, в пределах гл</w:t>
      </w:r>
      <w:r w:rsidRPr="00E73FF0">
        <w:rPr>
          <w:sz w:val="22"/>
          <w:szCs w:val="22"/>
        </w:rPr>
        <w:t>у</w:t>
      </w:r>
      <w:r w:rsidRPr="00E73FF0">
        <w:rPr>
          <w:sz w:val="22"/>
          <w:szCs w:val="22"/>
        </w:rPr>
        <w:t>бины обработки почвы, целесообразно определять из условия тр</w:t>
      </w:r>
      <w:r w:rsidRPr="00E73FF0">
        <w:rPr>
          <w:sz w:val="22"/>
          <w:szCs w:val="22"/>
        </w:rPr>
        <w:t>е</w:t>
      </w:r>
      <w:r w:rsidRPr="00E73FF0">
        <w:rPr>
          <w:sz w:val="22"/>
          <w:szCs w:val="22"/>
        </w:rPr>
        <w:t>буемого заднего угла резания, а в качестве параметра, который б</w:t>
      </w:r>
      <w:r w:rsidRPr="00E73FF0">
        <w:rPr>
          <w:sz w:val="22"/>
          <w:szCs w:val="22"/>
        </w:rPr>
        <w:t>у</w:t>
      </w:r>
      <w:r w:rsidRPr="00E73FF0">
        <w:rPr>
          <w:sz w:val="22"/>
          <w:szCs w:val="22"/>
        </w:rPr>
        <w:t>дет сглаживать величину ее разброса, стоит использовать угол ат</w:t>
      </w:r>
      <w:r w:rsidRPr="00E73FF0">
        <w:rPr>
          <w:sz w:val="22"/>
          <w:szCs w:val="22"/>
        </w:rPr>
        <w:t>а</w:t>
      </w:r>
      <w:r w:rsidRPr="00E73FF0">
        <w:rPr>
          <w:sz w:val="22"/>
          <w:szCs w:val="22"/>
        </w:rPr>
        <w:t>ки.</w:t>
      </w:r>
    </w:p>
    <w:p w:rsidR="00E73FF0" w:rsidRPr="00E73FF0" w:rsidRDefault="00E73FF0" w:rsidP="00E73FF0">
      <w:pPr>
        <w:ind w:firstLine="426"/>
        <w:jc w:val="both"/>
        <w:rPr>
          <w:sz w:val="22"/>
          <w:szCs w:val="22"/>
        </w:rPr>
      </w:pPr>
    </w:p>
    <w:p w:rsidR="00E73FF0" w:rsidRPr="00E73FF0" w:rsidRDefault="00E73FF0" w:rsidP="009A7442">
      <w:pPr>
        <w:ind w:firstLine="426"/>
        <w:jc w:val="center"/>
        <w:rPr>
          <w:sz w:val="22"/>
          <w:szCs w:val="22"/>
        </w:rPr>
      </w:pPr>
      <w:r w:rsidRPr="00E73FF0">
        <w:rPr>
          <w:sz w:val="22"/>
          <w:szCs w:val="22"/>
        </w:rPr>
        <w:t>Список литературы</w:t>
      </w:r>
    </w:p>
    <w:p w:rsidR="00E73FF0" w:rsidRPr="00E73FF0" w:rsidRDefault="00E73FF0" w:rsidP="009A7442">
      <w:pPr>
        <w:ind w:firstLine="426"/>
        <w:jc w:val="both"/>
        <w:rPr>
          <w:sz w:val="22"/>
          <w:szCs w:val="22"/>
        </w:rPr>
      </w:pPr>
      <w:r w:rsidRPr="00E73FF0">
        <w:rPr>
          <w:sz w:val="22"/>
          <w:szCs w:val="22"/>
        </w:rPr>
        <w:t>1. Трубилин Е. И. Экономическая эффективность применения многорядных дисковых борон и лущильников: [Тест] / Е. И. Трубилин, К. А. Сохт, В. И. Коновалов. // Труды К</w:t>
      </w:r>
      <w:r w:rsidRPr="00E73FF0">
        <w:rPr>
          <w:sz w:val="22"/>
          <w:szCs w:val="22"/>
        </w:rPr>
        <w:t>у</w:t>
      </w:r>
      <w:r w:rsidRPr="00E73FF0">
        <w:rPr>
          <w:sz w:val="22"/>
          <w:szCs w:val="22"/>
        </w:rPr>
        <w:t>банского государственного аграрного университета. – 2015. – № 53. – С. 253-254.</w:t>
      </w:r>
    </w:p>
    <w:p w:rsidR="00E73FF0" w:rsidRPr="00E73FF0" w:rsidRDefault="00E73FF0" w:rsidP="009A7442">
      <w:pPr>
        <w:ind w:firstLine="426"/>
        <w:jc w:val="both"/>
        <w:rPr>
          <w:sz w:val="22"/>
          <w:szCs w:val="22"/>
        </w:rPr>
      </w:pPr>
      <w:r w:rsidRPr="00E73FF0">
        <w:rPr>
          <w:sz w:val="22"/>
          <w:szCs w:val="22"/>
        </w:rPr>
        <w:t>2. Трубилин Е. И. Ротационные дисковые рабочие органы - как базовый элемент в комбинированных агрегатах для обработки по</w:t>
      </w:r>
      <w:r w:rsidRPr="00E73FF0">
        <w:rPr>
          <w:sz w:val="22"/>
          <w:szCs w:val="22"/>
        </w:rPr>
        <w:t>ч</w:t>
      </w:r>
      <w:r w:rsidRPr="00E73FF0">
        <w:rPr>
          <w:sz w:val="22"/>
          <w:szCs w:val="22"/>
        </w:rPr>
        <w:t>вы и посева [Текст] / Е.И. Трубилин, К.А. Сохт, В.И. Коновалов, О.В. Данюкова // Политематический сетевой электронный научный журнал Кубанского государственного аграрного университета. 2013. № 91. С. 465-497.</w:t>
      </w:r>
    </w:p>
    <w:p w:rsidR="00E73FF0" w:rsidRPr="00E73FF0" w:rsidRDefault="00E73FF0" w:rsidP="009A7442">
      <w:pPr>
        <w:ind w:firstLine="425"/>
        <w:jc w:val="both"/>
        <w:rPr>
          <w:sz w:val="22"/>
          <w:szCs w:val="22"/>
        </w:rPr>
      </w:pPr>
      <w:r w:rsidRPr="00E73FF0">
        <w:rPr>
          <w:sz w:val="22"/>
          <w:szCs w:val="22"/>
        </w:rPr>
        <w:t>3. Трубилин Е. И. Повышение технологической эффективности дисковых борон: [Тест]/ Е. И. Трубилин, К. А. Сохт, В. И. Коновалов. //  Сельский механизатор. – 2013. – № 3 (49). – С. 8-9.</w:t>
      </w:r>
    </w:p>
    <w:p w:rsidR="00E73FF0" w:rsidRPr="00E73FF0" w:rsidRDefault="00E73FF0" w:rsidP="009A7442">
      <w:pPr>
        <w:ind w:firstLine="425"/>
        <w:jc w:val="both"/>
        <w:rPr>
          <w:sz w:val="22"/>
          <w:szCs w:val="22"/>
        </w:rPr>
      </w:pPr>
      <w:r w:rsidRPr="00E73FF0">
        <w:rPr>
          <w:sz w:val="22"/>
          <w:szCs w:val="22"/>
        </w:rPr>
        <w:t>4. Трубилин Е. И. Заглубляющая способность дисковых борон и лущильников [Текст] / Е.И. Трубилин, К.А. Сохт, В.И. Коновалов, В.В. Кравченко // Техника и оборудование для села. 2013. № 11 (197). С. 31-34.</w:t>
      </w:r>
    </w:p>
    <w:p w:rsidR="00E73FF0" w:rsidRPr="00E73FF0" w:rsidRDefault="00E73FF0" w:rsidP="009A7442">
      <w:pPr>
        <w:ind w:firstLine="425"/>
        <w:jc w:val="both"/>
        <w:rPr>
          <w:sz w:val="22"/>
          <w:szCs w:val="22"/>
        </w:rPr>
      </w:pPr>
      <w:r w:rsidRPr="00E73FF0">
        <w:rPr>
          <w:sz w:val="22"/>
          <w:szCs w:val="22"/>
        </w:rPr>
        <w:t>5. Канарев  Ф. М. Ротационные  почвообрабатывающие  маш</w:t>
      </w:r>
      <w:r w:rsidRPr="00E73FF0">
        <w:rPr>
          <w:sz w:val="22"/>
          <w:szCs w:val="22"/>
        </w:rPr>
        <w:t>и</w:t>
      </w:r>
      <w:r w:rsidRPr="00E73FF0">
        <w:rPr>
          <w:sz w:val="22"/>
          <w:szCs w:val="22"/>
        </w:rPr>
        <w:t>ны  и  орудия. М., Машиностроение, 1983. 94 с.</w:t>
      </w:r>
    </w:p>
    <w:p w:rsidR="00E73FF0" w:rsidRDefault="00E73FF0" w:rsidP="00B43BBC">
      <w:pPr>
        <w:pStyle w:val="31"/>
        <w:rPr>
          <w:sz w:val="22"/>
          <w:szCs w:val="22"/>
        </w:rPr>
      </w:pPr>
    </w:p>
    <w:p w:rsidR="00E73FF0" w:rsidRDefault="00E73FF0" w:rsidP="00B43BBC">
      <w:pPr>
        <w:pStyle w:val="31"/>
        <w:rPr>
          <w:sz w:val="22"/>
          <w:szCs w:val="22"/>
        </w:rPr>
      </w:pPr>
    </w:p>
    <w:p w:rsidR="009A7442" w:rsidRDefault="009A7442" w:rsidP="00B43BBC">
      <w:pPr>
        <w:pStyle w:val="31"/>
        <w:rPr>
          <w:sz w:val="22"/>
          <w:szCs w:val="22"/>
        </w:rPr>
      </w:pPr>
    </w:p>
    <w:p w:rsidR="009762D0" w:rsidRDefault="009762D0" w:rsidP="00B43BBC">
      <w:pPr>
        <w:pStyle w:val="31"/>
        <w:rPr>
          <w:sz w:val="22"/>
          <w:szCs w:val="22"/>
        </w:rPr>
      </w:pPr>
    </w:p>
    <w:p w:rsidR="009762D0" w:rsidRDefault="009762D0" w:rsidP="00B43BBC">
      <w:pPr>
        <w:pStyle w:val="31"/>
        <w:rPr>
          <w:sz w:val="22"/>
          <w:szCs w:val="22"/>
        </w:rPr>
      </w:pPr>
    </w:p>
    <w:p w:rsidR="009762D0" w:rsidRDefault="009762D0" w:rsidP="00B43BBC">
      <w:pPr>
        <w:pStyle w:val="31"/>
        <w:rPr>
          <w:sz w:val="22"/>
          <w:szCs w:val="22"/>
        </w:rPr>
      </w:pPr>
    </w:p>
    <w:p w:rsidR="009762D0" w:rsidRDefault="009762D0" w:rsidP="00B43BBC">
      <w:pPr>
        <w:pStyle w:val="31"/>
        <w:rPr>
          <w:sz w:val="22"/>
          <w:szCs w:val="22"/>
        </w:rPr>
      </w:pPr>
    </w:p>
    <w:p w:rsidR="00E73FF0" w:rsidRDefault="00E73FF0" w:rsidP="00E73FF0">
      <w:pPr>
        <w:rPr>
          <w:sz w:val="22"/>
          <w:szCs w:val="22"/>
        </w:rPr>
      </w:pPr>
      <w:r w:rsidRPr="00E73FF0">
        <w:rPr>
          <w:sz w:val="22"/>
          <w:szCs w:val="22"/>
        </w:rPr>
        <w:lastRenderedPageBreak/>
        <w:t>УДК 631.316.022</w:t>
      </w:r>
    </w:p>
    <w:p w:rsidR="009A7442" w:rsidRPr="00E73FF0" w:rsidRDefault="009A7442" w:rsidP="00E73FF0">
      <w:pPr>
        <w:rPr>
          <w:sz w:val="22"/>
          <w:szCs w:val="22"/>
        </w:rPr>
      </w:pPr>
    </w:p>
    <w:p w:rsidR="00E73FF0" w:rsidRPr="00E73FF0" w:rsidRDefault="00E73FF0" w:rsidP="00E73FF0">
      <w:pPr>
        <w:ind w:firstLine="426"/>
        <w:jc w:val="center"/>
        <w:rPr>
          <w:b/>
          <w:sz w:val="24"/>
          <w:szCs w:val="24"/>
        </w:rPr>
      </w:pPr>
      <w:r w:rsidRPr="00E73FF0">
        <w:rPr>
          <w:b/>
          <w:sz w:val="24"/>
          <w:szCs w:val="24"/>
        </w:rPr>
        <w:t>Модернизация культиватора КПС-4</w:t>
      </w:r>
    </w:p>
    <w:p w:rsidR="00E73FF0" w:rsidRPr="00E73FF0" w:rsidRDefault="00E73FF0" w:rsidP="00E73FF0">
      <w:pPr>
        <w:ind w:firstLine="426"/>
        <w:jc w:val="center"/>
        <w:rPr>
          <w:b/>
          <w:sz w:val="24"/>
          <w:szCs w:val="24"/>
        </w:rPr>
      </w:pPr>
      <w:r w:rsidRPr="00E73FF0">
        <w:rPr>
          <w:b/>
          <w:sz w:val="24"/>
          <w:szCs w:val="24"/>
        </w:rPr>
        <w:t>Modernization of cultivator KPS-4</w:t>
      </w:r>
    </w:p>
    <w:p w:rsidR="00E73FF0" w:rsidRPr="00E73FF0" w:rsidRDefault="00E73FF0" w:rsidP="00E73FF0">
      <w:pPr>
        <w:ind w:firstLine="426"/>
        <w:jc w:val="center"/>
        <w:rPr>
          <w:b/>
          <w:sz w:val="24"/>
          <w:szCs w:val="24"/>
        </w:rPr>
      </w:pPr>
    </w:p>
    <w:p w:rsidR="00E73FF0" w:rsidRPr="00E73FF0" w:rsidRDefault="00E73FF0" w:rsidP="00E73FF0">
      <w:pPr>
        <w:ind w:firstLine="426"/>
        <w:jc w:val="right"/>
        <w:rPr>
          <w:sz w:val="22"/>
          <w:szCs w:val="22"/>
        </w:rPr>
      </w:pPr>
      <w:r w:rsidRPr="00E73FF0">
        <w:rPr>
          <w:sz w:val="22"/>
          <w:szCs w:val="22"/>
        </w:rPr>
        <w:t>Мовчан Е. С.</w:t>
      </w:r>
      <w:r w:rsidR="009A7442">
        <w:rPr>
          <w:sz w:val="22"/>
          <w:szCs w:val="22"/>
        </w:rPr>
        <w:t>,</w:t>
      </w:r>
    </w:p>
    <w:p w:rsidR="00E73FF0" w:rsidRPr="00E73FF0" w:rsidRDefault="00E73FF0" w:rsidP="00E73FF0">
      <w:pPr>
        <w:ind w:firstLine="426"/>
        <w:jc w:val="right"/>
        <w:rPr>
          <w:sz w:val="22"/>
          <w:szCs w:val="22"/>
        </w:rPr>
      </w:pPr>
      <w:r w:rsidRPr="00E73FF0">
        <w:rPr>
          <w:sz w:val="22"/>
          <w:szCs w:val="22"/>
        </w:rPr>
        <w:t>студентка 4-го курса факультета механизации</w:t>
      </w:r>
    </w:p>
    <w:p w:rsidR="00E73FF0" w:rsidRPr="00E73FF0" w:rsidRDefault="00E73FF0" w:rsidP="00E73FF0">
      <w:pPr>
        <w:ind w:firstLine="426"/>
        <w:jc w:val="right"/>
        <w:rPr>
          <w:sz w:val="22"/>
          <w:szCs w:val="22"/>
        </w:rPr>
      </w:pPr>
      <w:r w:rsidRPr="00E73FF0">
        <w:rPr>
          <w:sz w:val="22"/>
          <w:szCs w:val="22"/>
        </w:rPr>
        <w:t>Коновалов В. И.</w:t>
      </w:r>
      <w:r w:rsidR="009A7442">
        <w:rPr>
          <w:sz w:val="22"/>
          <w:szCs w:val="22"/>
        </w:rPr>
        <w:t>,</w:t>
      </w:r>
    </w:p>
    <w:p w:rsidR="00E73FF0" w:rsidRPr="00E73FF0" w:rsidRDefault="009A7442" w:rsidP="00E73FF0">
      <w:pPr>
        <w:ind w:firstLine="426"/>
        <w:jc w:val="right"/>
        <w:rPr>
          <w:sz w:val="22"/>
          <w:szCs w:val="22"/>
        </w:rPr>
      </w:pPr>
      <w:r>
        <w:rPr>
          <w:sz w:val="22"/>
          <w:szCs w:val="22"/>
        </w:rPr>
        <w:t>старший преподаватель кафедры</w:t>
      </w:r>
    </w:p>
    <w:p w:rsidR="00E73FF0" w:rsidRPr="00E73FF0" w:rsidRDefault="00E73FF0" w:rsidP="00E73FF0">
      <w:pPr>
        <w:ind w:firstLine="426"/>
        <w:jc w:val="right"/>
        <w:rPr>
          <w:sz w:val="22"/>
          <w:szCs w:val="22"/>
        </w:rPr>
      </w:pPr>
      <w:r w:rsidRPr="00E73FF0">
        <w:rPr>
          <w:sz w:val="22"/>
          <w:szCs w:val="22"/>
        </w:rPr>
        <w:t>«Процессы и машины в агробизнесе»</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sidR="009A7442">
        <w:rPr>
          <w:rFonts w:eastAsia="Courier New"/>
          <w:color w:val="000000"/>
          <w:sz w:val="22"/>
          <w:szCs w:val="22"/>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И.Т. Трубилина</w:t>
      </w:r>
    </w:p>
    <w:p w:rsidR="00E73FF0" w:rsidRPr="00E73FF0" w:rsidRDefault="00E73FF0" w:rsidP="00E73FF0">
      <w:pPr>
        <w:ind w:firstLine="426"/>
        <w:jc w:val="center"/>
        <w:rPr>
          <w:sz w:val="24"/>
          <w:szCs w:val="24"/>
        </w:rPr>
      </w:pPr>
    </w:p>
    <w:p w:rsidR="00E73FF0" w:rsidRPr="00E73FF0" w:rsidRDefault="00E73FF0" w:rsidP="00E73FF0">
      <w:pPr>
        <w:ind w:firstLine="426"/>
        <w:jc w:val="both"/>
        <w:rPr>
          <w:sz w:val="22"/>
          <w:szCs w:val="22"/>
        </w:rPr>
      </w:pPr>
      <w:r w:rsidRPr="00E73FF0">
        <w:rPr>
          <w:sz w:val="22"/>
          <w:szCs w:val="22"/>
        </w:rPr>
        <w:t>АННОТАЦИЯ: В статье представлены недостатки рабочих о</w:t>
      </w:r>
      <w:r w:rsidRPr="00E73FF0">
        <w:rPr>
          <w:sz w:val="22"/>
          <w:szCs w:val="22"/>
        </w:rPr>
        <w:t>р</w:t>
      </w:r>
      <w:r w:rsidRPr="00E73FF0">
        <w:rPr>
          <w:sz w:val="22"/>
          <w:szCs w:val="22"/>
        </w:rPr>
        <w:t xml:space="preserve">ганов культиваторов и перспективы их устранения. Проведен обзор предлагаемой конструкции модернизированного рабочего органа и процесс  работы. </w:t>
      </w:r>
    </w:p>
    <w:p w:rsidR="00E73FF0" w:rsidRPr="00E73FF0" w:rsidRDefault="00E73FF0" w:rsidP="00E73FF0">
      <w:pPr>
        <w:ind w:firstLine="426"/>
        <w:jc w:val="both"/>
        <w:rPr>
          <w:sz w:val="22"/>
          <w:szCs w:val="22"/>
          <w:lang w:val="en-US"/>
        </w:rPr>
      </w:pPr>
      <w:r w:rsidRPr="00E73FF0">
        <w:rPr>
          <w:rFonts w:eastAsia="Courier New"/>
          <w:color w:val="000000"/>
          <w:sz w:val="22"/>
          <w:szCs w:val="22"/>
          <w:lang w:val="en-US"/>
        </w:rPr>
        <w:t>ABSTRACT:</w:t>
      </w:r>
      <w:r w:rsidRPr="00E73FF0">
        <w:rPr>
          <w:rFonts w:ascii="Calibri" w:hAnsi="Calibri"/>
          <w:sz w:val="22"/>
          <w:szCs w:val="22"/>
          <w:lang w:val="en-US"/>
        </w:rPr>
        <w:t xml:space="preserve"> </w:t>
      </w:r>
      <w:r w:rsidRPr="00E73FF0">
        <w:rPr>
          <w:sz w:val="22"/>
          <w:szCs w:val="22"/>
          <w:lang w:val="en-US"/>
        </w:rPr>
        <w:t>The article presents the shortcomings of the cultiv</w:t>
      </w:r>
      <w:r w:rsidRPr="00E73FF0">
        <w:rPr>
          <w:sz w:val="22"/>
          <w:szCs w:val="22"/>
          <w:lang w:val="en-US"/>
        </w:rPr>
        <w:t>a</w:t>
      </w:r>
      <w:r w:rsidRPr="00E73FF0">
        <w:rPr>
          <w:sz w:val="22"/>
          <w:szCs w:val="22"/>
          <w:lang w:val="en-US"/>
        </w:rPr>
        <w:t>tors' working organs and the prospects for their elimination. The review of the proposed design of the modernized working body and the process of work are reviewed.</w:t>
      </w:r>
    </w:p>
    <w:p w:rsidR="00E73FF0" w:rsidRPr="00E73FF0" w:rsidRDefault="00E73FF0" w:rsidP="00E73FF0">
      <w:pPr>
        <w:ind w:firstLine="426"/>
        <w:jc w:val="both"/>
        <w:rPr>
          <w:sz w:val="22"/>
          <w:szCs w:val="22"/>
        </w:rPr>
      </w:pPr>
      <w:r w:rsidRPr="00E73FF0">
        <w:rPr>
          <w:sz w:val="22"/>
          <w:szCs w:val="22"/>
        </w:rPr>
        <w:t>КЛЮЧЕВЫЕ СЛОВА: культивация, модернизация, режущий узел, струна</w:t>
      </w:r>
    </w:p>
    <w:p w:rsidR="00E73FF0" w:rsidRPr="00E73FF0" w:rsidRDefault="00E73FF0" w:rsidP="00E73FF0">
      <w:pPr>
        <w:ind w:firstLine="426"/>
        <w:jc w:val="both"/>
        <w:rPr>
          <w:rFonts w:eastAsia="Courier New"/>
          <w:color w:val="000000"/>
          <w:sz w:val="22"/>
          <w:szCs w:val="22"/>
          <w:lang w:val="en-US"/>
        </w:rPr>
      </w:pPr>
      <w:r w:rsidRPr="00E73FF0">
        <w:rPr>
          <w:rFonts w:eastAsia="Courier New"/>
          <w:color w:val="000000"/>
          <w:sz w:val="22"/>
          <w:szCs w:val="22"/>
          <w:lang w:val="en-US"/>
        </w:rPr>
        <w:t>KEYWORDS:</w:t>
      </w:r>
      <w:r w:rsidRPr="00E73FF0">
        <w:rPr>
          <w:rFonts w:ascii="Calibri" w:hAnsi="Calibri"/>
          <w:sz w:val="22"/>
          <w:szCs w:val="22"/>
          <w:lang w:val="en-US"/>
        </w:rPr>
        <w:t xml:space="preserve"> </w:t>
      </w:r>
      <w:r w:rsidRPr="00E73FF0">
        <w:rPr>
          <w:rFonts w:eastAsia="Courier New"/>
          <w:color w:val="000000"/>
          <w:sz w:val="22"/>
          <w:szCs w:val="22"/>
          <w:lang w:val="en-US"/>
        </w:rPr>
        <w:t>cultivation, modernization, cutting knot, string</w:t>
      </w:r>
    </w:p>
    <w:p w:rsidR="00E73FF0" w:rsidRPr="00E73FF0" w:rsidRDefault="00E73FF0" w:rsidP="00E73FF0">
      <w:pPr>
        <w:ind w:firstLine="426"/>
        <w:jc w:val="both"/>
        <w:rPr>
          <w:sz w:val="24"/>
          <w:szCs w:val="24"/>
          <w:lang w:val="en-US"/>
        </w:rPr>
      </w:pPr>
    </w:p>
    <w:p w:rsidR="00E73FF0" w:rsidRPr="00E73FF0" w:rsidRDefault="00E73FF0" w:rsidP="00E73FF0">
      <w:pPr>
        <w:ind w:firstLine="426"/>
        <w:jc w:val="both"/>
        <w:rPr>
          <w:sz w:val="22"/>
          <w:szCs w:val="22"/>
        </w:rPr>
      </w:pPr>
      <w:r w:rsidRPr="00E73FF0">
        <w:rPr>
          <w:sz w:val="22"/>
          <w:szCs w:val="22"/>
        </w:rPr>
        <w:t>В настоящее время повсеместно на всей территории Росси</w:t>
      </w:r>
      <w:r w:rsidRPr="00E73FF0">
        <w:rPr>
          <w:sz w:val="22"/>
          <w:szCs w:val="22"/>
        </w:rPr>
        <w:t>й</w:t>
      </w:r>
      <w:r w:rsidRPr="00E73FF0">
        <w:rPr>
          <w:sz w:val="22"/>
          <w:szCs w:val="22"/>
        </w:rPr>
        <w:t>ской Федерации используют культиваторы различной конструкции. Применение культиваторов в различных ситуациях имеет разли</w:t>
      </w:r>
      <w:r w:rsidRPr="00E73FF0">
        <w:rPr>
          <w:sz w:val="22"/>
          <w:szCs w:val="22"/>
        </w:rPr>
        <w:t>ч</w:t>
      </w:r>
      <w:r w:rsidRPr="00E73FF0">
        <w:rPr>
          <w:sz w:val="22"/>
          <w:szCs w:val="22"/>
        </w:rPr>
        <w:t>ную цель, что и легло в основу их классификации по назначению. Так существуют культиваторы для предпосевной обработки почвы, поверхностной или паровой обработки, а также стерневые и пр</w:t>
      </w:r>
      <w:r w:rsidRPr="00E73FF0">
        <w:rPr>
          <w:sz w:val="22"/>
          <w:szCs w:val="22"/>
        </w:rPr>
        <w:t>о</w:t>
      </w:r>
      <w:r w:rsidRPr="00E73FF0">
        <w:rPr>
          <w:sz w:val="22"/>
          <w:szCs w:val="22"/>
        </w:rPr>
        <w:t>пашные культиваторы [1].</w:t>
      </w:r>
    </w:p>
    <w:p w:rsidR="00E73FF0" w:rsidRPr="00E73FF0" w:rsidRDefault="00E73FF0" w:rsidP="00E73FF0">
      <w:pPr>
        <w:ind w:firstLine="426"/>
        <w:jc w:val="both"/>
        <w:rPr>
          <w:sz w:val="22"/>
          <w:szCs w:val="22"/>
        </w:rPr>
      </w:pPr>
      <w:r w:rsidRPr="00E73FF0">
        <w:rPr>
          <w:sz w:val="22"/>
          <w:szCs w:val="22"/>
        </w:rPr>
        <w:t>Основными задачами паровых культиваторов является подр</w:t>
      </w:r>
      <w:r w:rsidRPr="00E73FF0">
        <w:rPr>
          <w:sz w:val="22"/>
          <w:szCs w:val="22"/>
        </w:rPr>
        <w:t>е</w:t>
      </w:r>
      <w:r w:rsidRPr="00E73FF0">
        <w:rPr>
          <w:sz w:val="22"/>
          <w:szCs w:val="22"/>
        </w:rPr>
        <w:t>зание сорной растительности, выравнивание поверхности почвы, закрытие остаточной влаги и д. р. В качестве рабочих органов на культиваторах используется стрельчатые и рыхлительные лапы ра</w:t>
      </w:r>
      <w:r w:rsidRPr="00E73FF0">
        <w:rPr>
          <w:sz w:val="22"/>
          <w:szCs w:val="22"/>
        </w:rPr>
        <w:t>з</w:t>
      </w:r>
      <w:r w:rsidRPr="00E73FF0">
        <w:rPr>
          <w:sz w:val="22"/>
          <w:szCs w:val="22"/>
        </w:rPr>
        <w:t>личных конструкций. К недостаткам данных рабочих органов мо</w:t>
      </w:r>
      <w:r w:rsidRPr="00E73FF0">
        <w:rPr>
          <w:sz w:val="22"/>
          <w:szCs w:val="22"/>
        </w:rPr>
        <w:t>ж</w:t>
      </w:r>
      <w:r w:rsidRPr="00E73FF0">
        <w:rPr>
          <w:sz w:val="22"/>
          <w:szCs w:val="22"/>
        </w:rPr>
        <w:lastRenderedPageBreak/>
        <w:t>но отнести высокую энергоемкость, частичный вынос влажных сл</w:t>
      </w:r>
      <w:r w:rsidRPr="00E73FF0">
        <w:rPr>
          <w:sz w:val="22"/>
          <w:szCs w:val="22"/>
        </w:rPr>
        <w:t>о</w:t>
      </w:r>
      <w:r w:rsidRPr="00E73FF0">
        <w:rPr>
          <w:sz w:val="22"/>
          <w:szCs w:val="22"/>
        </w:rPr>
        <w:t>ев почвы на поверхность, ограничения по скоростному режиму р</w:t>
      </w:r>
      <w:r w:rsidRPr="00E73FF0">
        <w:rPr>
          <w:sz w:val="22"/>
          <w:szCs w:val="22"/>
        </w:rPr>
        <w:t>а</w:t>
      </w:r>
      <w:r w:rsidRPr="00E73FF0">
        <w:rPr>
          <w:sz w:val="22"/>
          <w:szCs w:val="22"/>
        </w:rPr>
        <w:t>боты, что выражается в производительности всего агрегата и грен</w:t>
      </w:r>
      <w:r w:rsidRPr="00E73FF0">
        <w:rPr>
          <w:sz w:val="22"/>
          <w:szCs w:val="22"/>
        </w:rPr>
        <w:t>и</w:t>
      </w:r>
      <w:r w:rsidRPr="00E73FF0">
        <w:rPr>
          <w:sz w:val="22"/>
          <w:szCs w:val="22"/>
        </w:rPr>
        <w:t>стость дна борозды. С другой стороны конструкция культиваторов предусматривает симметричное расположение рабочих органов о</w:t>
      </w:r>
      <w:r w:rsidRPr="00E73FF0">
        <w:rPr>
          <w:sz w:val="22"/>
          <w:szCs w:val="22"/>
        </w:rPr>
        <w:t>т</w:t>
      </w:r>
      <w:r w:rsidRPr="00E73FF0">
        <w:rPr>
          <w:sz w:val="22"/>
          <w:szCs w:val="22"/>
        </w:rPr>
        <w:t>носительно продольной оси орудия, что позволяет соблюдать ку</w:t>
      </w:r>
      <w:r w:rsidRPr="00E73FF0">
        <w:rPr>
          <w:sz w:val="22"/>
          <w:szCs w:val="22"/>
        </w:rPr>
        <w:t>р</w:t>
      </w:r>
      <w:r w:rsidRPr="00E73FF0">
        <w:rPr>
          <w:sz w:val="22"/>
          <w:szCs w:val="22"/>
        </w:rPr>
        <w:t>совую устойчивость при работе [2].</w:t>
      </w:r>
    </w:p>
    <w:p w:rsidR="00E73FF0" w:rsidRPr="00E73FF0" w:rsidRDefault="00E73FF0" w:rsidP="00E73FF0">
      <w:pPr>
        <w:ind w:firstLine="426"/>
        <w:jc w:val="both"/>
        <w:rPr>
          <w:sz w:val="22"/>
          <w:szCs w:val="22"/>
        </w:rPr>
      </w:pPr>
      <w:r w:rsidRPr="00E73FF0">
        <w:rPr>
          <w:sz w:val="22"/>
          <w:szCs w:val="22"/>
        </w:rPr>
        <w:t xml:space="preserve">Устранение данных недостатков производится конструкторами с применением новых форм рабочих поверхностей рабочих органов, схем расстановки и ряда других способов [3, 4]. </w:t>
      </w:r>
    </w:p>
    <w:p w:rsidR="00E73FF0" w:rsidRPr="00E73FF0" w:rsidRDefault="00E73FF0" w:rsidP="00E73FF0">
      <w:pPr>
        <w:ind w:firstLine="426"/>
        <w:jc w:val="both"/>
        <w:rPr>
          <w:sz w:val="22"/>
          <w:szCs w:val="22"/>
        </w:rPr>
      </w:pPr>
      <w:r w:rsidRPr="00E73FF0">
        <w:rPr>
          <w:sz w:val="22"/>
          <w:szCs w:val="22"/>
        </w:rPr>
        <w:t>Наряду с указанными способами одним из наиболее перспе</w:t>
      </w:r>
      <w:r w:rsidRPr="00E73FF0">
        <w:rPr>
          <w:sz w:val="22"/>
          <w:szCs w:val="22"/>
        </w:rPr>
        <w:t>к</w:t>
      </w:r>
      <w:r w:rsidRPr="00E73FF0">
        <w:rPr>
          <w:sz w:val="22"/>
          <w:szCs w:val="22"/>
        </w:rPr>
        <w:t>тивных является использование в качестве рабочих органов тросов или струн, которые обладают минимальной энергоемкостью, не в</w:t>
      </w:r>
      <w:r w:rsidRPr="00E73FF0">
        <w:rPr>
          <w:sz w:val="22"/>
          <w:szCs w:val="22"/>
        </w:rPr>
        <w:t>ы</w:t>
      </w:r>
      <w:r w:rsidRPr="00E73FF0">
        <w:rPr>
          <w:sz w:val="22"/>
          <w:szCs w:val="22"/>
        </w:rPr>
        <w:t>носят влажные слои почвы, а также требуют минимальное усилие на заглубление [5].</w:t>
      </w:r>
    </w:p>
    <w:p w:rsidR="00E73FF0" w:rsidRPr="00E73FF0" w:rsidRDefault="00E73FF0" w:rsidP="00E73FF0">
      <w:pPr>
        <w:ind w:firstLine="426"/>
        <w:jc w:val="both"/>
        <w:rPr>
          <w:sz w:val="22"/>
          <w:szCs w:val="22"/>
        </w:rPr>
      </w:pPr>
      <w:r w:rsidRPr="00E73FF0">
        <w:rPr>
          <w:sz w:val="22"/>
          <w:szCs w:val="22"/>
        </w:rPr>
        <w:t>Конструкция модернизированного культиватора КПС-4 с и</w:t>
      </w:r>
      <w:r w:rsidRPr="00E73FF0">
        <w:rPr>
          <w:sz w:val="22"/>
          <w:szCs w:val="22"/>
        </w:rPr>
        <w:t>с</w:t>
      </w:r>
      <w:r w:rsidRPr="00E73FF0">
        <w:rPr>
          <w:sz w:val="22"/>
          <w:szCs w:val="22"/>
        </w:rPr>
        <w:t>пользование струнных рабочих органов предпочтительно включает в себя раму, на которой при помощи кронштейнов установлены П-образные рамки. Поворот П-образных рамок производится при п</w:t>
      </w:r>
      <w:r w:rsidRPr="00E73FF0">
        <w:rPr>
          <w:sz w:val="22"/>
          <w:szCs w:val="22"/>
        </w:rPr>
        <w:t>о</w:t>
      </w:r>
      <w:r w:rsidRPr="00E73FF0">
        <w:rPr>
          <w:sz w:val="22"/>
          <w:szCs w:val="22"/>
        </w:rPr>
        <w:t xml:space="preserve">мощи поворотных осей, длина рамок может изменяться. На П-образных рамках необходимо установить гибкие цепные элементы, через ступицы могут вращаться. Между звеньями гибкого цепного элемента необходимо жестко закрепить зубья, между которыми натянуть струны. </w:t>
      </w:r>
    </w:p>
    <w:p w:rsidR="009762D0" w:rsidRDefault="00E73FF0" w:rsidP="009762D0">
      <w:pPr>
        <w:ind w:firstLine="709"/>
        <w:jc w:val="both"/>
        <w:rPr>
          <w:sz w:val="22"/>
          <w:szCs w:val="22"/>
        </w:rPr>
      </w:pPr>
      <w:r w:rsidRPr="00E73FF0">
        <w:rPr>
          <w:sz w:val="22"/>
          <w:szCs w:val="22"/>
        </w:rPr>
        <w:t>При движении культиватора по полю зубья начинают заце</w:t>
      </w:r>
      <w:r w:rsidRPr="00E73FF0">
        <w:rPr>
          <w:sz w:val="22"/>
          <w:szCs w:val="22"/>
        </w:rPr>
        <w:t>п</w:t>
      </w:r>
      <w:r w:rsidRPr="00E73FF0">
        <w:rPr>
          <w:sz w:val="22"/>
          <w:szCs w:val="22"/>
        </w:rPr>
        <w:t>ляться с почвой, происходит их заглубление и вращение по оси ги</w:t>
      </w:r>
      <w:r w:rsidRPr="00E73FF0">
        <w:rPr>
          <w:sz w:val="22"/>
          <w:szCs w:val="22"/>
        </w:rPr>
        <w:t>б</w:t>
      </w:r>
      <w:r w:rsidRPr="00E73FF0">
        <w:rPr>
          <w:sz w:val="22"/>
          <w:szCs w:val="22"/>
        </w:rPr>
        <w:t>кого цепного элемента. Одновременно происходит и заглубление струн, которые производят подрезание сорной растительности. Дальнейшие движение рабочих органов можно охарактеризовать как  тянуще-вращательное движение. При встрече струн с сорняк</w:t>
      </w:r>
      <w:r w:rsidRPr="00E73FF0">
        <w:rPr>
          <w:sz w:val="22"/>
          <w:szCs w:val="22"/>
        </w:rPr>
        <w:t>а</w:t>
      </w:r>
      <w:r w:rsidRPr="00E73FF0">
        <w:rPr>
          <w:sz w:val="22"/>
          <w:szCs w:val="22"/>
        </w:rPr>
        <w:t xml:space="preserve">ми происходит их подрезание и вычесывание на поверхность. </w:t>
      </w:r>
      <w:proofErr w:type="gramStart"/>
      <w:r w:rsidRPr="00E73FF0">
        <w:rPr>
          <w:sz w:val="22"/>
          <w:szCs w:val="22"/>
        </w:rPr>
        <w:t>При</w:t>
      </w:r>
      <w:proofErr w:type="gramEnd"/>
      <w:r w:rsidRPr="00E73FF0">
        <w:rPr>
          <w:sz w:val="22"/>
          <w:szCs w:val="22"/>
        </w:rPr>
        <w:t xml:space="preserve"> </w:t>
      </w:r>
      <w:proofErr w:type="gramStart"/>
      <w:r w:rsidRPr="00E73FF0">
        <w:rPr>
          <w:sz w:val="22"/>
          <w:szCs w:val="22"/>
        </w:rPr>
        <w:t>встречи</w:t>
      </w:r>
      <w:proofErr w:type="gramEnd"/>
      <w:r w:rsidRPr="00E73FF0">
        <w:rPr>
          <w:sz w:val="22"/>
          <w:szCs w:val="22"/>
        </w:rPr>
        <w:t xml:space="preserve"> предлагаемых рабочих органов с естественными неровн</w:t>
      </w:r>
      <w:r w:rsidRPr="00E73FF0">
        <w:rPr>
          <w:sz w:val="22"/>
          <w:szCs w:val="22"/>
        </w:rPr>
        <w:t>о</w:t>
      </w:r>
      <w:r w:rsidRPr="00E73FF0">
        <w:rPr>
          <w:sz w:val="22"/>
          <w:szCs w:val="22"/>
        </w:rPr>
        <w:t>стями или локальными уплотнениями, за счет гибкого цепного эл</w:t>
      </w:r>
      <w:r w:rsidRPr="00E73FF0">
        <w:rPr>
          <w:sz w:val="22"/>
          <w:szCs w:val="22"/>
        </w:rPr>
        <w:t>е</w:t>
      </w:r>
      <w:r w:rsidRPr="00E73FF0">
        <w:rPr>
          <w:sz w:val="22"/>
          <w:szCs w:val="22"/>
        </w:rPr>
        <w:t>мента будет происходить копирование поверхности почвы, что по</w:t>
      </w:r>
      <w:r w:rsidRPr="00E73FF0">
        <w:rPr>
          <w:sz w:val="22"/>
          <w:szCs w:val="22"/>
        </w:rPr>
        <w:t>з</w:t>
      </w:r>
      <w:r w:rsidRPr="00E73FF0">
        <w:rPr>
          <w:sz w:val="22"/>
          <w:szCs w:val="22"/>
        </w:rPr>
        <w:t xml:space="preserve">волит исключить появление огрехов при обработке почвы. </w:t>
      </w:r>
    </w:p>
    <w:p w:rsidR="009762D0" w:rsidRDefault="009762D0" w:rsidP="00E73FF0">
      <w:pPr>
        <w:ind w:firstLine="426"/>
        <w:jc w:val="center"/>
        <w:rPr>
          <w:sz w:val="22"/>
          <w:szCs w:val="22"/>
        </w:rPr>
      </w:pPr>
    </w:p>
    <w:p w:rsidR="009762D0" w:rsidRDefault="009762D0" w:rsidP="00E73FF0">
      <w:pPr>
        <w:ind w:firstLine="426"/>
        <w:jc w:val="center"/>
        <w:rPr>
          <w:sz w:val="22"/>
          <w:szCs w:val="22"/>
        </w:rPr>
      </w:pPr>
    </w:p>
    <w:p w:rsidR="009762D0" w:rsidRDefault="009762D0" w:rsidP="00E73FF0">
      <w:pPr>
        <w:ind w:firstLine="426"/>
        <w:jc w:val="center"/>
        <w:rPr>
          <w:sz w:val="22"/>
          <w:szCs w:val="22"/>
        </w:rPr>
      </w:pPr>
    </w:p>
    <w:p w:rsidR="00E73FF0" w:rsidRPr="00E73FF0" w:rsidRDefault="00E73FF0" w:rsidP="00E73FF0">
      <w:pPr>
        <w:ind w:firstLine="426"/>
        <w:jc w:val="center"/>
        <w:rPr>
          <w:sz w:val="22"/>
          <w:szCs w:val="22"/>
        </w:rPr>
      </w:pPr>
      <w:r w:rsidRPr="00E73FF0">
        <w:rPr>
          <w:sz w:val="22"/>
          <w:szCs w:val="22"/>
        </w:rPr>
        <w:lastRenderedPageBreak/>
        <w:t>Список литературы</w:t>
      </w:r>
    </w:p>
    <w:p w:rsidR="00E73FF0" w:rsidRPr="00E73FF0" w:rsidRDefault="00E73FF0" w:rsidP="00E73FF0">
      <w:pPr>
        <w:ind w:firstLine="426"/>
        <w:jc w:val="both"/>
        <w:rPr>
          <w:spacing w:val="-4"/>
          <w:sz w:val="22"/>
          <w:szCs w:val="22"/>
        </w:rPr>
      </w:pPr>
      <w:r w:rsidRPr="00E73FF0">
        <w:rPr>
          <w:spacing w:val="-4"/>
          <w:sz w:val="22"/>
          <w:szCs w:val="22"/>
        </w:rPr>
        <w:t>1. Сельскохозяйственные машины (устройство, работа и основные регулировки): учеб. пособие / В. А. Романенко [и др.]. – Краснодар: Куб ГАУ, 2014. – 232 с.</w:t>
      </w:r>
    </w:p>
    <w:p w:rsidR="00E73FF0" w:rsidRPr="00E73FF0" w:rsidRDefault="00E73FF0" w:rsidP="00E73FF0">
      <w:pPr>
        <w:ind w:firstLine="426"/>
        <w:jc w:val="both"/>
        <w:rPr>
          <w:color w:val="00008F"/>
          <w:sz w:val="22"/>
          <w:szCs w:val="22"/>
        </w:rPr>
      </w:pPr>
      <w:r w:rsidRPr="00E73FF0">
        <w:rPr>
          <w:iCs/>
          <w:sz w:val="22"/>
          <w:szCs w:val="22"/>
        </w:rPr>
        <w:t>2. Шапорев А.Н.</w:t>
      </w:r>
      <w:r w:rsidRPr="00E73FF0">
        <w:rPr>
          <w:bCs/>
          <w:sz w:val="22"/>
          <w:szCs w:val="22"/>
        </w:rPr>
        <w:t xml:space="preserve"> Курсовая устойчивость дисковых борон // А.Н. </w:t>
      </w:r>
      <w:r w:rsidRPr="00E73FF0">
        <w:rPr>
          <w:iCs/>
          <w:sz w:val="22"/>
          <w:szCs w:val="22"/>
        </w:rPr>
        <w:t xml:space="preserve">Шапорев, Коновалов В.И. // </w:t>
      </w:r>
      <w:r w:rsidRPr="00E73FF0">
        <w:rPr>
          <w:sz w:val="22"/>
          <w:szCs w:val="22"/>
        </w:rPr>
        <w:t>В сборнике: Научное обеспечение агропромышленного комплекса Сборник статей по материалам IX Всероссийской конференции молодых ученых. Ответственный за выпуск: А.Г. Кощаев. 2016. С. 419-421</w:t>
      </w:r>
      <w:r w:rsidRPr="00E73FF0">
        <w:rPr>
          <w:color w:val="00008F"/>
          <w:sz w:val="22"/>
          <w:szCs w:val="22"/>
        </w:rPr>
        <w:t>.</w:t>
      </w:r>
    </w:p>
    <w:p w:rsidR="00E73FF0" w:rsidRPr="00E73FF0" w:rsidRDefault="00E73FF0" w:rsidP="00E73FF0">
      <w:pPr>
        <w:ind w:firstLine="426"/>
        <w:contextualSpacing/>
        <w:jc w:val="both"/>
        <w:rPr>
          <w:rFonts w:eastAsia="Calibri"/>
          <w:sz w:val="22"/>
          <w:szCs w:val="22"/>
          <w:lang w:eastAsia="en-US"/>
        </w:rPr>
      </w:pPr>
      <w:r w:rsidRPr="00E73FF0">
        <w:rPr>
          <w:rFonts w:eastAsia="Calibri"/>
          <w:iCs/>
          <w:sz w:val="22"/>
          <w:szCs w:val="22"/>
          <w:lang w:eastAsia="en-US"/>
        </w:rPr>
        <w:t xml:space="preserve">3. </w:t>
      </w:r>
      <w:r w:rsidRPr="00E73FF0">
        <w:rPr>
          <w:rFonts w:eastAsia="Calibri"/>
          <w:sz w:val="22"/>
          <w:szCs w:val="22"/>
          <w:lang w:eastAsia="en-US"/>
        </w:rPr>
        <w:t>Сохт К. А. Дисковые бороны и лущильники. Проектирование технологических параметров: [Тест] учеб. пособие / К. А. Сохт, Е. И. Трубилин,  В. И. Коновалов. – Краснодар: КубГАУ, 2014 – 164 стр.</w:t>
      </w:r>
      <w:r w:rsidRPr="00E73FF0">
        <w:rPr>
          <w:rFonts w:eastAsia="Calibri"/>
          <w:spacing w:val="-4"/>
          <w:sz w:val="22"/>
          <w:szCs w:val="22"/>
          <w:lang w:eastAsia="en-US"/>
        </w:rPr>
        <w:t xml:space="preserve"> </w:t>
      </w:r>
    </w:p>
    <w:p w:rsidR="00E73FF0" w:rsidRPr="00E73FF0" w:rsidRDefault="00E73FF0" w:rsidP="00E73FF0">
      <w:pPr>
        <w:ind w:firstLine="426"/>
        <w:contextualSpacing/>
        <w:jc w:val="both"/>
        <w:rPr>
          <w:rFonts w:eastAsia="Calibri"/>
          <w:sz w:val="22"/>
          <w:szCs w:val="22"/>
          <w:lang w:eastAsia="en-US"/>
        </w:rPr>
      </w:pPr>
      <w:r w:rsidRPr="00E73FF0">
        <w:rPr>
          <w:rFonts w:eastAsia="Calibri"/>
          <w:iCs/>
          <w:sz w:val="22"/>
          <w:szCs w:val="22"/>
          <w:lang w:eastAsia="en-US"/>
        </w:rPr>
        <w:t xml:space="preserve">4. Трубилин Е.И. </w:t>
      </w:r>
      <w:r w:rsidRPr="00E73FF0">
        <w:rPr>
          <w:rFonts w:eastAsia="Calibri"/>
          <w:bCs/>
          <w:sz w:val="22"/>
          <w:szCs w:val="22"/>
          <w:lang w:eastAsia="en-US"/>
        </w:rPr>
        <w:t>Ротационные дисковые рабочие органы - как базовый элемент в комбинированных агрегатах для обработки по</w:t>
      </w:r>
      <w:r w:rsidRPr="00E73FF0">
        <w:rPr>
          <w:rFonts w:eastAsia="Calibri"/>
          <w:bCs/>
          <w:sz w:val="22"/>
          <w:szCs w:val="22"/>
          <w:lang w:eastAsia="en-US"/>
        </w:rPr>
        <w:t>ч</w:t>
      </w:r>
      <w:r w:rsidRPr="00E73FF0">
        <w:rPr>
          <w:rFonts w:eastAsia="Calibri"/>
          <w:bCs/>
          <w:sz w:val="22"/>
          <w:szCs w:val="22"/>
          <w:lang w:eastAsia="en-US"/>
        </w:rPr>
        <w:t xml:space="preserve">вы и посева / Е.И. Трубилин, К.А. </w:t>
      </w:r>
      <w:r w:rsidRPr="00E73FF0">
        <w:rPr>
          <w:rFonts w:eastAsia="Calibri"/>
          <w:iCs/>
          <w:sz w:val="22"/>
          <w:szCs w:val="22"/>
          <w:lang w:eastAsia="en-US"/>
        </w:rPr>
        <w:t>Сохт, В.И. Коновалов, О.В. Д</w:t>
      </w:r>
      <w:r w:rsidRPr="00E73FF0">
        <w:rPr>
          <w:rFonts w:eastAsia="Calibri"/>
          <w:iCs/>
          <w:sz w:val="22"/>
          <w:szCs w:val="22"/>
          <w:lang w:eastAsia="en-US"/>
        </w:rPr>
        <w:t>а</w:t>
      </w:r>
      <w:r w:rsidRPr="00E73FF0">
        <w:rPr>
          <w:rFonts w:eastAsia="Calibri"/>
          <w:iCs/>
          <w:sz w:val="22"/>
          <w:szCs w:val="22"/>
          <w:lang w:eastAsia="en-US"/>
        </w:rPr>
        <w:t xml:space="preserve">нюкова // </w:t>
      </w:r>
      <w:r w:rsidRPr="00E73FF0">
        <w:rPr>
          <w:rFonts w:eastAsia="Calibri"/>
          <w:sz w:val="22"/>
          <w:szCs w:val="22"/>
          <w:lang w:eastAsia="en-US"/>
        </w:rPr>
        <w:t>Политематический сетевой электронный научный журнал Кубанского государственного аграрного университета. 2013. № 91. С. 465-497.</w:t>
      </w:r>
    </w:p>
    <w:p w:rsidR="00E73FF0" w:rsidRPr="00E73FF0" w:rsidRDefault="00E73FF0" w:rsidP="00E73FF0">
      <w:pPr>
        <w:ind w:firstLine="426"/>
        <w:jc w:val="both"/>
        <w:rPr>
          <w:sz w:val="22"/>
          <w:szCs w:val="22"/>
        </w:rPr>
      </w:pPr>
      <w:r w:rsidRPr="00E73FF0">
        <w:rPr>
          <w:iCs/>
          <w:sz w:val="22"/>
          <w:szCs w:val="22"/>
        </w:rPr>
        <w:t xml:space="preserve">5. Трубилин Е.И. </w:t>
      </w:r>
      <w:r w:rsidRPr="00E73FF0">
        <w:rPr>
          <w:bCs/>
          <w:sz w:val="22"/>
          <w:szCs w:val="22"/>
        </w:rPr>
        <w:t xml:space="preserve">Заглубляющая способность дисковых борон и лущильников / Е.И. </w:t>
      </w:r>
      <w:r w:rsidRPr="00E73FF0">
        <w:rPr>
          <w:iCs/>
          <w:sz w:val="22"/>
          <w:szCs w:val="22"/>
        </w:rPr>
        <w:t xml:space="preserve">Трубилин Е.И., К.А. Сохт, В.И. Коновалов,  В.В. Кравченко // </w:t>
      </w:r>
      <w:r w:rsidRPr="00E73FF0">
        <w:rPr>
          <w:sz w:val="22"/>
          <w:szCs w:val="22"/>
        </w:rPr>
        <w:t>Сельский механизатор. 2013. № 11 (57). С. 14-15.</w:t>
      </w:r>
    </w:p>
    <w:p w:rsidR="00E73FF0" w:rsidRDefault="00E73FF0" w:rsidP="00B43BBC">
      <w:pPr>
        <w:pStyle w:val="31"/>
        <w:rPr>
          <w:sz w:val="22"/>
          <w:szCs w:val="22"/>
        </w:rPr>
      </w:pPr>
    </w:p>
    <w:p w:rsidR="009A7442" w:rsidRDefault="009A7442" w:rsidP="00A01CFE">
      <w:pPr>
        <w:pStyle w:val="31"/>
        <w:ind w:firstLine="0"/>
        <w:rPr>
          <w:sz w:val="22"/>
          <w:szCs w:val="22"/>
        </w:rPr>
      </w:pPr>
    </w:p>
    <w:p w:rsidR="009762D0" w:rsidRDefault="009762D0" w:rsidP="009762D0">
      <w:pPr>
        <w:rPr>
          <w:sz w:val="22"/>
          <w:szCs w:val="22"/>
        </w:rPr>
      </w:pPr>
      <w:r>
        <w:rPr>
          <w:sz w:val="22"/>
          <w:szCs w:val="22"/>
        </w:rPr>
        <w:br w:type="page"/>
      </w:r>
    </w:p>
    <w:p w:rsidR="00E73FF0" w:rsidRDefault="00E73FF0" w:rsidP="00354555">
      <w:pPr>
        <w:widowControl w:val="0"/>
        <w:suppressAutoHyphens/>
        <w:autoSpaceDN w:val="0"/>
        <w:jc w:val="both"/>
        <w:textAlignment w:val="baseline"/>
        <w:rPr>
          <w:rFonts w:eastAsia="Lucida Sans Unicode" w:cs="Mangal"/>
          <w:kern w:val="3"/>
          <w:sz w:val="22"/>
          <w:szCs w:val="22"/>
          <w:lang w:eastAsia="zh-CN" w:bidi="hi-IN"/>
        </w:rPr>
      </w:pPr>
      <w:r w:rsidRPr="00E73FF0">
        <w:rPr>
          <w:rFonts w:eastAsia="Lucida Sans Unicode" w:cs="Mangal"/>
          <w:kern w:val="3"/>
          <w:sz w:val="22"/>
          <w:szCs w:val="22"/>
          <w:lang w:eastAsia="zh-CN" w:bidi="hi-IN"/>
        </w:rPr>
        <w:lastRenderedPageBreak/>
        <w:t>УДК 631.363.636</w:t>
      </w:r>
    </w:p>
    <w:p w:rsidR="009762D0" w:rsidRPr="00354555" w:rsidRDefault="009762D0" w:rsidP="00354555">
      <w:pPr>
        <w:widowControl w:val="0"/>
        <w:suppressAutoHyphens/>
        <w:autoSpaceDN w:val="0"/>
        <w:jc w:val="both"/>
        <w:textAlignment w:val="baseline"/>
        <w:rPr>
          <w:rFonts w:eastAsia="Lucida Sans Unicode" w:cs="Mangal"/>
          <w:kern w:val="3"/>
          <w:sz w:val="22"/>
          <w:szCs w:val="22"/>
          <w:lang w:eastAsia="zh-CN" w:bidi="hi-IN"/>
        </w:rPr>
      </w:pPr>
    </w:p>
    <w:p w:rsidR="00E73FF0" w:rsidRPr="009762D0" w:rsidRDefault="00E73FF0" w:rsidP="009A7442">
      <w:pPr>
        <w:widowControl w:val="0"/>
        <w:autoSpaceDE w:val="0"/>
        <w:autoSpaceDN w:val="0"/>
        <w:adjustRightInd w:val="0"/>
        <w:jc w:val="center"/>
        <w:rPr>
          <w:b/>
          <w:sz w:val="24"/>
          <w:szCs w:val="24"/>
        </w:rPr>
      </w:pPr>
      <w:r w:rsidRPr="009762D0">
        <w:rPr>
          <w:b/>
          <w:sz w:val="24"/>
          <w:szCs w:val="24"/>
        </w:rPr>
        <w:t xml:space="preserve">Анализ факторов, влияющих на процесс измельчения </w:t>
      </w:r>
    </w:p>
    <w:p w:rsidR="00E73FF0" w:rsidRPr="009762D0" w:rsidRDefault="00E73FF0" w:rsidP="009A7442">
      <w:pPr>
        <w:widowControl w:val="0"/>
        <w:autoSpaceDE w:val="0"/>
        <w:autoSpaceDN w:val="0"/>
        <w:adjustRightInd w:val="0"/>
        <w:jc w:val="center"/>
        <w:rPr>
          <w:b/>
          <w:sz w:val="24"/>
          <w:szCs w:val="24"/>
        </w:rPr>
      </w:pPr>
      <w:r w:rsidRPr="009762D0">
        <w:rPr>
          <w:b/>
          <w:sz w:val="24"/>
          <w:szCs w:val="24"/>
        </w:rPr>
        <w:t xml:space="preserve">стебельных кормов рабочим органом </w:t>
      </w:r>
    </w:p>
    <w:p w:rsidR="00E73FF0" w:rsidRPr="009762D0" w:rsidRDefault="00E73FF0" w:rsidP="009A7442">
      <w:pPr>
        <w:widowControl w:val="0"/>
        <w:autoSpaceDE w:val="0"/>
        <w:autoSpaceDN w:val="0"/>
        <w:adjustRightInd w:val="0"/>
        <w:jc w:val="center"/>
        <w:rPr>
          <w:b/>
          <w:sz w:val="24"/>
          <w:szCs w:val="24"/>
          <w:lang w:val="en-US"/>
        </w:rPr>
      </w:pPr>
      <w:r w:rsidRPr="009762D0">
        <w:rPr>
          <w:b/>
          <w:sz w:val="24"/>
          <w:szCs w:val="24"/>
        </w:rPr>
        <w:t>молотково</w:t>
      </w:r>
      <w:r w:rsidRPr="009762D0">
        <w:rPr>
          <w:b/>
          <w:sz w:val="24"/>
          <w:szCs w:val="24"/>
          <w:lang w:val="en-US"/>
        </w:rPr>
        <w:t>-</w:t>
      </w:r>
      <w:r w:rsidRPr="009762D0">
        <w:rPr>
          <w:b/>
          <w:sz w:val="24"/>
          <w:szCs w:val="24"/>
        </w:rPr>
        <w:t>сегментного</w:t>
      </w:r>
      <w:r w:rsidRPr="009762D0">
        <w:rPr>
          <w:b/>
          <w:sz w:val="24"/>
          <w:szCs w:val="24"/>
          <w:lang w:val="en-US"/>
        </w:rPr>
        <w:t xml:space="preserve"> </w:t>
      </w:r>
      <w:r w:rsidRPr="009762D0">
        <w:rPr>
          <w:b/>
          <w:sz w:val="24"/>
          <w:szCs w:val="24"/>
        </w:rPr>
        <w:t>типа</w:t>
      </w:r>
    </w:p>
    <w:p w:rsidR="00E73FF0" w:rsidRPr="009762D0" w:rsidRDefault="00E73FF0" w:rsidP="009A7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
        </w:rPr>
      </w:pPr>
      <w:r w:rsidRPr="009762D0">
        <w:rPr>
          <w:b/>
          <w:sz w:val="24"/>
          <w:szCs w:val="24"/>
          <w:lang w:val="en"/>
        </w:rPr>
        <w:t>Analysis of the factors affecting the grinding process</w:t>
      </w:r>
    </w:p>
    <w:p w:rsidR="00E73FF0" w:rsidRPr="008D33CB" w:rsidRDefault="00E73FF0" w:rsidP="00354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proofErr w:type="gramStart"/>
      <w:r w:rsidRPr="009762D0">
        <w:rPr>
          <w:b/>
          <w:sz w:val="24"/>
          <w:szCs w:val="24"/>
          <w:lang w:val="en"/>
        </w:rPr>
        <w:t>fodder</w:t>
      </w:r>
      <w:proofErr w:type="gramEnd"/>
      <w:r w:rsidRPr="009762D0">
        <w:rPr>
          <w:b/>
          <w:sz w:val="24"/>
          <w:szCs w:val="24"/>
          <w:lang w:val="en"/>
        </w:rPr>
        <w:t xml:space="preserve"> forage</w:t>
      </w:r>
      <w:r w:rsidRPr="009762D0">
        <w:rPr>
          <w:b/>
          <w:sz w:val="24"/>
          <w:szCs w:val="24"/>
          <w:lang w:val="en-US"/>
        </w:rPr>
        <w:t xml:space="preserve"> </w:t>
      </w:r>
      <w:r w:rsidRPr="009762D0">
        <w:rPr>
          <w:b/>
          <w:sz w:val="24"/>
          <w:szCs w:val="24"/>
          <w:lang w:val="en"/>
        </w:rPr>
        <w:t>hammer-segment type</w:t>
      </w:r>
    </w:p>
    <w:p w:rsidR="009762D0" w:rsidRPr="008D33CB" w:rsidRDefault="009762D0" w:rsidP="00354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p>
    <w:p w:rsidR="00354555" w:rsidRPr="009B6465" w:rsidRDefault="00E73FF0" w:rsidP="00E73FF0">
      <w:pPr>
        <w:widowControl w:val="0"/>
        <w:autoSpaceDE w:val="0"/>
        <w:autoSpaceDN w:val="0"/>
        <w:adjustRightInd w:val="0"/>
        <w:jc w:val="right"/>
        <w:rPr>
          <w:sz w:val="22"/>
          <w:szCs w:val="22"/>
          <w:lang w:val="en-US"/>
        </w:rPr>
      </w:pPr>
      <w:r w:rsidRPr="00354555">
        <w:rPr>
          <w:sz w:val="22"/>
          <w:szCs w:val="22"/>
        </w:rPr>
        <w:t>Морозова</w:t>
      </w:r>
      <w:r w:rsidRPr="00354555">
        <w:rPr>
          <w:sz w:val="22"/>
          <w:szCs w:val="22"/>
          <w:lang w:val="en-US"/>
        </w:rPr>
        <w:t xml:space="preserve"> </w:t>
      </w:r>
      <w:r w:rsidRPr="00354555">
        <w:rPr>
          <w:sz w:val="22"/>
          <w:szCs w:val="22"/>
        </w:rPr>
        <w:t>Н</w:t>
      </w:r>
      <w:r w:rsidRPr="00354555">
        <w:rPr>
          <w:sz w:val="22"/>
          <w:szCs w:val="22"/>
          <w:lang w:val="en-US"/>
        </w:rPr>
        <w:t>.</w:t>
      </w:r>
      <w:r w:rsidR="009A7442" w:rsidRPr="00354555">
        <w:rPr>
          <w:sz w:val="22"/>
          <w:szCs w:val="22"/>
          <w:lang w:val="en-US"/>
        </w:rPr>
        <w:t xml:space="preserve"> </w:t>
      </w:r>
      <w:r w:rsidRPr="00354555">
        <w:rPr>
          <w:sz w:val="22"/>
          <w:szCs w:val="22"/>
        </w:rPr>
        <w:t>Ю</w:t>
      </w:r>
      <w:r w:rsidRPr="00354555">
        <w:rPr>
          <w:sz w:val="22"/>
          <w:szCs w:val="22"/>
          <w:lang w:val="en-US"/>
        </w:rPr>
        <w:t>.,</w:t>
      </w:r>
    </w:p>
    <w:p w:rsidR="00354555" w:rsidRPr="00354555" w:rsidRDefault="00354555" w:rsidP="00E73FF0">
      <w:pPr>
        <w:widowControl w:val="0"/>
        <w:autoSpaceDE w:val="0"/>
        <w:autoSpaceDN w:val="0"/>
        <w:adjustRightInd w:val="0"/>
        <w:jc w:val="right"/>
        <w:rPr>
          <w:sz w:val="22"/>
          <w:szCs w:val="22"/>
        </w:rPr>
      </w:pPr>
      <w:r w:rsidRPr="00354555">
        <w:rPr>
          <w:sz w:val="22"/>
          <w:szCs w:val="22"/>
        </w:rPr>
        <w:t>магистрант факультета механизации</w:t>
      </w:r>
    </w:p>
    <w:p w:rsidR="00E73FF0" w:rsidRPr="00354555" w:rsidRDefault="00E73FF0" w:rsidP="00E73FF0">
      <w:pPr>
        <w:widowControl w:val="0"/>
        <w:autoSpaceDE w:val="0"/>
        <w:autoSpaceDN w:val="0"/>
        <w:adjustRightInd w:val="0"/>
        <w:jc w:val="right"/>
        <w:rPr>
          <w:sz w:val="22"/>
          <w:szCs w:val="22"/>
        </w:rPr>
      </w:pPr>
      <w:r w:rsidRPr="00354555">
        <w:rPr>
          <w:sz w:val="22"/>
          <w:szCs w:val="22"/>
        </w:rPr>
        <w:t xml:space="preserve"> Фролов В. Ю.</w:t>
      </w:r>
      <w:r w:rsidR="00354555" w:rsidRPr="00354555">
        <w:rPr>
          <w:sz w:val="22"/>
          <w:szCs w:val="22"/>
        </w:rPr>
        <w:t>,</w:t>
      </w:r>
    </w:p>
    <w:p w:rsidR="00354555" w:rsidRDefault="00354555" w:rsidP="00E73FF0">
      <w:pPr>
        <w:widowControl w:val="0"/>
        <w:autoSpaceDE w:val="0"/>
        <w:autoSpaceDN w:val="0"/>
        <w:adjustRightInd w:val="0"/>
        <w:jc w:val="right"/>
        <w:rPr>
          <w:sz w:val="22"/>
          <w:szCs w:val="22"/>
        </w:rPr>
      </w:pPr>
      <w:r w:rsidRPr="00354555">
        <w:rPr>
          <w:sz w:val="22"/>
          <w:szCs w:val="22"/>
        </w:rPr>
        <w:t xml:space="preserve">заведующий кафедрой механизации животноводства и БЖД, </w:t>
      </w:r>
    </w:p>
    <w:p w:rsidR="00354555" w:rsidRPr="00354555" w:rsidRDefault="00354555" w:rsidP="00E73FF0">
      <w:pPr>
        <w:widowControl w:val="0"/>
        <w:autoSpaceDE w:val="0"/>
        <w:autoSpaceDN w:val="0"/>
        <w:adjustRightInd w:val="0"/>
        <w:jc w:val="right"/>
        <w:rPr>
          <w:sz w:val="22"/>
          <w:szCs w:val="22"/>
        </w:rPr>
      </w:pPr>
      <w:r w:rsidRPr="00354555">
        <w:rPr>
          <w:sz w:val="22"/>
          <w:szCs w:val="22"/>
        </w:rPr>
        <w:t>д-р техн. н., профессор</w:t>
      </w:r>
    </w:p>
    <w:p w:rsidR="00354555" w:rsidRPr="00E73FF0" w:rsidRDefault="00354555" w:rsidP="00354555">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Pr>
          <w:rFonts w:eastAsia="Courier New"/>
          <w:color w:val="000000"/>
          <w:sz w:val="22"/>
          <w:szCs w:val="22"/>
        </w:rPr>
        <w:t>анский государственный аграрный</w:t>
      </w:r>
    </w:p>
    <w:p w:rsidR="00354555" w:rsidRPr="00E73FF0" w:rsidRDefault="00354555" w:rsidP="00354555">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И.Т. Трубилина</w:t>
      </w:r>
    </w:p>
    <w:p w:rsidR="00E73FF0" w:rsidRPr="00354555" w:rsidRDefault="00E73FF0" w:rsidP="00E73FF0">
      <w:pPr>
        <w:widowControl w:val="0"/>
        <w:autoSpaceDE w:val="0"/>
        <w:autoSpaceDN w:val="0"/>
        <w:adjustRightInd w:val="0"/>
        <w:jc w:val="right"/>
        <w:rPr>
          <w:sz w:val="22"/>
          <w:szCs w:val="22"/>
        </w:rPr>
      </w:pPr>
    </w:p>
    <w:p w:rsidR="00E73FF0" w:rsidRPr="009A7442" w:rsidRDefault="00E73FF0" w:rsidP="009A7442">
      <w:pPr>
        <w:autoSpaceDE w:val="0"/>
        <w:adjustRightInd w:val="0"/>
        <w:ind w:firstLine="426"/>
        <w:jc w:val="both"/>
        <w:rPr>
          <w:sz w:val="22"/>
          <w:szCs w:val="22"/>
        </w:rPr>
      </w:pPr>
      <w:r w:rsidRPr="009A7442">
        <w:rPr>
          <w:sz w:val="22"/>
          <w:szCs w:val="22"/>
        </w:rPr>
        <w:t>АННОТАЦИЯ:</w:t>
      </w:r>
      <w:r w:rsidRPr="009A7442">
        <w:rPr>
          <w:b/>
          <w:sz w:val="22"/>
          <w:szCs w:val="22"/>
        </w:rPr>
        <w:t xml:space="preserve"> </w:t>
      </w:r>
      <w:r w:rsidRPr="009A7442">
        <w:rPr>
          <w:sz w:val="22"/>
          <w:szCs w:val="22"/>
        </w:rPr>
        <w:t xml:space="preserve">В статье представлена конструктивно-технологическая схема кормораздатчика-измельчителя стебельных кормов молотково-сегментного типа и проведен анализ по выбору факторов, влияющих на процесс измельчения. </w:t>
      </w:r>
    </w:p>
    <w:p w:rsidR="00E73FF0" w:rsidRPr="009A7442" w:rsidRDefault="00E73FF0" w:rsidP="009A7442">
      <w:pPr>
        <w:autoSpaceDE w:val="0"/>
        <w:adjustRightInd w:val="0"/>
        <w:ind w:firstLine="426"/>
        <w:jc w:val="both"/>
        <w:rPr>
          <w:spacing w:val="-2"/>
          <w:sz w:val="22"/>
          <w:szCs w:val="22"/>
        </w:rPr>
      </w:pPr>
      <w:r w:rsidRPr="009A7442">
        <w:rPr>
          <w:sz w:val="22"/>
          <w:szCs w:val="22"/>
        </w:rPr>
        <w:t>КЛЮЧЕВЫЕ СЛОВА: технические средства приготовления кормов, кормораздатчик, энергоемкость, сельское хозяйство.</w:t>
      </w:r>
      <w:r w:rsidRPr="009A7442">
        <w:rPr>
          <w:spacing w:val="-2"/>
          <w:sz w:val="22"/>
          <w:szCs w:val="22"/>
        </w:rPr>
        <w:t xml:space="preserve"> </w:t>
      </w:r>
    </w:p>
    <w:p w:rsidR="00E73FF0" w:rsidRPr="009A7442" w:rsidRDefault="00E73FF0" w:rsidP="00354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9A7442">
        <w:rPr>
          <w:sz w:val="22"/>
          <w:szCs w:val="22"/>
          <w:lang w:val="en-US"/>
        </w:rPr>
        <w:t>ANNOTATION</w:t>
      </w:r>
      <w:r w:rsidRPr="009A7442">
        <w:rPr>
          <w:spacing w:val="-2"/>
          <w:sz w:val="22"/>
          <w:szCs w:val="22"/>
          <w:lang w:val="en-US"/>
        </w:rPr>
        <w:t xml:space="preserve">: </w:t>
      </w:r>
      <w:r w:rsidRPr="009A7442">
        <w:rPr>
          <w:sz w:val="22"/>
          <w:szCs w:val="22"/>
          <w:lang w:val="en"/>
        </w:rPr>
        <w:t>The constructive-technological scheme of the feeder-shredder of the stalk feedstocks of the hammer-segment type is presented in the article and the analysis is carried out on the choice of the factors influencing the grinding process.</w:t>
      </w:r>
    </w:p>
    <w:p w:rsidR="00E73FF0" w:rsidRPr="009A7442" w:rsidRDefault="00E73FF0" w:rsidP="00354555">
      <w:pPr>
        <w:autoSpaceDE w:val="0"/>
        <w:adjustRightInd w:val="0"/>
        <w:ind w:firstLine="426"/>
        <w:jc w:val="both"/>
        <w:rPr>
          <w:sz w:val="22"/>
          <w:szCs w:val="22"/>
          <w:lang w:val="en-US"/>
        </w:rPr>
      </w:pPr>
      <w:r w:rsidRPr="009A7442">
        <w:rPr>
          <w:sz w:val="22"/>
          <w:szCs w:val="22"/>
          <w:lang w:val="en-US"/>
        </w:rPr>
        <w:t>KEY WORDS: technical equipments of preparation feed, feeder, energy consumption, agriculture.</w:t>
      </w:r>
    </w:p>
    <w:p w:rsidR="00E73FF0" w:rsidRPr="009A7442" w:rsidRDefault="00E73FF0" w:rsidP="009A7442">
      <w:pPr>
        <w:autoSpaceDE w:val="0"/>
        <w:adjustRightInd w:val="0"/>
        <w:ind w:firstLine="426"/>
        <w:jc w:val="both"/>
        <w:rPr>
          <w:sz w:val="22"/>
          <w:szCs w:val="22"/>
          <w:lang w:val="en-US"/>
        </w:rPr>
      </w:pP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Анализируя существующие технические средства для измел</w:t>
      </w:r>
      <w:r w:rsidRPr="009A7442">
        <w:rPr>
          <w:sz w:val="22"/>
          <w:szCs w:val="22"/>
        </w:rPr>
        <w:t>ь</w:t>
      </w:r>
      <w:r w:rsidRPr="009A7442">
        <w:rPr>
          <w:sz w:val="22"/>
          <w:szCs w:val="22"/>
        </w:rPr>
        <w:t>чения кормов животным, можно классифицировать измельчители по различным признакам: по конструкции; по способу подачи мат</w:t>
      </w:r>
      <w:r w:rsidRPr="009A7442">
        <w:rPr>
          <w:sz w:val="22"/>
          <w:szCs w:val="22"/>
        </w:rPr>
        <w:t>е</w:t>
      </w:r>
      <w:r w:rsidRPr="009A7442">
        <w:rPr>
          <w:sz w:val="22"/>
          <w:szCs w:val="22"/>
        </w:rPr>
        <w:t>риала; по конструктивному исполнению рабочей камеры; по типу рабочего органа и другим признакам, что позволило наметить пе</w:t>
      </w:r>
      <w:r w:rsidRPr="009A7442">
        <w:rPr>
          <w:sz w:val="22"/>
          <w:szCs w:val="22"/>
        </w:rPr>
        <w:t>р</w:t>
      </w:r>
      <w:r w:rsidRPr="009A7442">
        <w:rPr>
          <w:sz w:val="22"/>
          <w:szCs w:val="22"/>
        </w:rPr>
        <w:t xml:space="preserve">спективное направление в создании технических средств в области раздачи кормов [1, 3]. </w:t>
      </w:r>
    </w:p>
    <w:p w:rsidR="00E73FF0" w:rsidRPr="009A7442" w:rsidRDefault="00E73FF0" w:rsidP="00354555">
      <w:pPr>
        <w:widowControl w:val="0"/>
        <w:autoSpaceDE w:val="0"/>
        <w:autoSpaceDN w:val="0"/>
        <w:adjustRightInd w:val="0"/>
        <w:ind w:firstLine="426"/>
        <w:jc w:val="both"/>
        <w:rPr>
          <w:sz w:val="22"/>
          <w:szCs w:val="22"/>
        </w:rPr>
      </w:pPr>
      <w:r w:rsidRPr="009A7442">
        <w:rPr>
          <w:sz w:val="22"/>
          <w:szCs w:val="22"/>
        </w:rPr>
        <w:t>Разработана конструктивно-технологическая схема раздатчика-</w:t>
      </w:r>
      <w:r w:rsidRPr="009A7442">
        <w:rPr>
          <w:sz w:val="22"/>
          <w:szCs w:val="22"/>
        </w:rPr>
        <w:lastRenderedPageBreak/>
        <w:t>измельчителя, которая включает в себя: бункер, в нижней части к</w:t>
      </w:r>
      <w:r w:rsidRPr="009A7442">
        <w:rPr>
          <w:sz w:val="22"/>
          <w:szCs w:val="22"/>
        </w:rPr>
        <w:t>о</w:t>
      </w:r>
      <w:r w:rsidRPr="009A7442">
        <w:rPr>
          <w:sz w:val="22"/>
          <w:szCs w:val="22"/>
        </w:rPr>
        <w:t>торого расположена измельчающая камера и выгрузная горловина [4]. Измельчающая камера выполнена цилиндрической формы, внутри которой расположены рабочий орган молотково-сегментного типа и противорежущая дека. Рабочий орган молотк</w:t>
      </w:r>
      <w:r w:rsidRPr="009A7442">
        <w:rPr>
          <w:sz w:val="22"/>
          <w:szCs w:val="22"/>
        </w:rPr>
        <w:t>о</w:t>
      </w:r>
      <w:r w:rsidRPr="009A7442">
        <w:rPr>
          <w:sz w:val="22"/>
          <w:szCs w:val="22"/>
        </w:rPr>
        <w:t>во-сегментного типа выполнен из набора дисков, установленных на валу в виде пакета с зазором один относительно другого и фиксир</w:t>
      </w:r>
      <w:r w:rsidRPr="009A7442">
        <w:rPr>
          <w:sz w:val="22"/>
          <w:szCs w:val="22"/>
        </w:rPr>
        <w:t>о</w:t>
      </w:r>
      <w:r w:rsidRPr="009A7442">
        <w:rPr>
          <w:sz w:val="22"/>
          <w:szCs w:val="22"/>
        </w:rPr>
        <w:t>ванные между собой стяжками на распорных втулках. Между ди</w:t>
      </w:r>
      <w:r w:rsidRPr="009A7442">
        <w:rPr>
          <w:sz w:val="22"/>
          <w:szCs w:val="22"/>
        </w:rPr>
        <w:t>с</w:t>
      </w:r>
      <w:r w:rsidRPr="009A7442">
        <w:rPr>
          <w:sz w:val="22"/>
          <w:szCs w:val="22"/>
        </w:rPr>
        <w:t>ками шарнирно закреплены измельчающие рабочие органы моло</w:t>
      </w:r>
      <w:r w:rsidRPr="009A7442">
        <w:rPr>
          <w:sz w:val="22"/>
          <w:szCs w:val="22"/>
        </w:rPr>
        <w:t>т</w:t>
      </w:r>
      <w:r w:rsidRPr="009A7442">
        <w:rPr>
          <w:sz w:val="22"/>
          <w:szCs w:val="22"/>
        </w:rPr>
        <w:t>ково-сегментного типа, которые представляют собой цилиндрич</w:t>
      </w:r>
      <w:r w:rsidRPr="009A7442">
        <w:rPr>
          <w:sz w:val="22"/>
          <w:szCs w:val="22"/>
        </w:rPr>
        <w:t>е</w:t>
      </w:r>
      <w:r w:rsidRPr="009A7442">
        <w:rPr>
          <w:sz w:val="22"/>
          <w:szCs w:val="22"/>
        </w:rPr>
        <w:t>скую втулку, на которой закреплен шток, в верхней части которого жестко установлен зубчатый режущий сегмент. Противорежущая дека выполнена в виде решетки с дугообразными решетинами.</w:t>
      </w:r>
      <w:r w:rsidR="00354555">
        <w:rPr>
          <w:sz w:val="22"/>
          <w:szCs w:val="22"/>
        </w:rPr>
        <w:t xml:space="preserve"> </w:t>
      </w:r>
      <w:r w:rsidRPr="009A7442">
        <w:rPr>
          <w:sz w:val="22"/>
          <w:szCs w:val="22"/>
        </w:rPr>
        <w:t>Пр</w:t>
      </w:r>
      <w:r w:rsidRPr="009A7442">
        <w:rPr>
          <w:sz w:val="22"/>
          <w:szCs w:val="22"/>
        </w:rPr>
        <w:t>о</w:t>
      </w:r>
      <w:r w:rsidRPr="009A7442">
        <w:rPr>
          <w:sz w:val="22"/>
          <w:szCs w:val="22"/>
        </w:rPr>
        <w:t>тиворежущая дека одной стороной закреплена шарниром на бок</w:t>
      </w:r>
      <w:r w:rsidRPr="009A7442">
        <w:rPr>
          <w:sz w:val="22"/>
          <w:szCs w:val="22"/>
        </w:rPr>
        <w:t>о</w:t>
      </w:r>
      <w:r w:rsidRPr="009A7442">
        <w:rPr>
          <w:sz w:val="22"/>
          <w:szCs w:val="22"/>
        </w:rPr>
        <w:t>вой стенке измельчающей камеры, а другой стороной крепится к нижней части измельчающей камеры посредством подпружиненной шпильки с возможностью изменения зазора между зубчатыми р</w:t>
      </w:r>
      <w:r w:rsidRPr="009A7442">
        <w:rPr>
          <w:sz w:val="22"/>
          <w:szCs w:val="22"/>
        </w:rPr>
        <w:t>е</w:t>
      </w:r>
      <w:r w:rsidRPr="009A7442">
        <w:rPr>
          <w:sz w:val="22"/>
          <w:szCs w:val="22"/>
        </w:rPr>
        <w:t>жущими сегментами рабочего органа молотково-сегментного типа и противорежущими сегментами деки с целью изменения средн</w:t>
      </w:r>
      <w:r w:rsidRPr="009A7442">
        <w:rPr>
          <w:sz w:val="22"/>
          <w:szCs w:val="22"/>
        </w:rPr>
        <w:t>е</w:t>
      </w:r>
      <w:r w:rsidRPr="009A7442">
        <w:rPr>
          <w:sz w:val="22"/>
          <w:szCs w:val="22"/>
        </w:rPr>
        <w:t xml:space="preserve">взвешенной длины резки измельчаемого материала [2]. </w:t>
      </w:r>
    </w:p>
    <w:p w:rsidR="00E73FF0" w:rsidRPr="009A7442" w:rsidRDefault="00E73FF0" w:rsidP="00354555">
      <w:pPr>
        <w:widowControl w:val="0"/>
        <w:autoSpaceDE w:val="0"/>
        <w:autoSpaceDN w:val="0"/>
        <w:adjustRightInd w:val="0"/>
        <w:ind w:firstLine="426"/>
        <w:jc w:val="both"/>
        <w:rPr>
          <w:sz w:val="22"/>
          <w:szCs w:val="22"/>
        </w:rPr>
      </w:pPr>
      <w:r w:rsidRPr="009A7442">
        <w:rPr>
          <w:sz w:val="22"/>
          <w:szCs w:val="22"/>
        </w:rPr>
        <w:t>На этапе исследований необходимо найти наиболее значимые факторы, влияющие на процессы в кормораздатчике-измельчителе. В качестве критериев оптимизации процесса приготовления кормов были приняты: степень измельчения, удельные затраты энергии, производительность. На основании предварительного изучения объекта исследования были выбраны параметры оптимизации: влажность сена, количество дисков на барабане, угловая скорость рабочего органа, угол наклона сегментов на барабане, зазор между противорежущей декой и барабаном, количество сегментов на ди</w:t>
      </w:r>
      <w:r w:rsidRPr="009A7442">
        <w:rPr>
          <w:sz w:val="22"/>
          <w:szCs w:val="22"/>
        </w:rPr>
        <w:t>с</w:t>
      </w:r>
      <w:r w:rsidRPr="009A7442">
        <w:rPr>
          <w:sz w:val="22"/>
          <w:szCs w:val="22"/>
        </w:rPr>
        <w:t>ке. Необходимо провести отсеивающий эксперимент, который по</w:t>
      </w:r>
      <w:r w:rsidRPr="009A7442">
        <w:rPr>
          <w:sz w:val="22"/>
          <w:szCs w:val="22"/>
        </w:rPr>
        <w:t>з</w:t>
      </w:r>
      <w:r w:rsidRPr="009A7442">
        <w:rPr>
          <w:sz w:val="22"/>
          <w:szCs w:val="22"/>
        </w:rPr>
        <w:t>воляет выделить факторы, наиболее существенно влияющие на в</w:t>
      </w:r>
      <w:r w:rsidRPr="009A7442">
        <w:rPr>
          <w:sz w:val="22"/>
          <w:szCs w:val="22"/>
        </w:rPr>
        <w:t>е</w:t>
      </w:r>
      <w:r w:rsidRPr="009A7442">
        <w:rPr>
          <w:sz w:val="22"/>
          <w:szCs w:val="22"/>
        </w:rPr>
        <w:t>личину критериев оптимизации [5].</w:t>
      </w:r>
    </w:p>
    <w:p w:rsidR="009762D0" w:rsidRDefault="009762D0" w:rsidP="009A7442">
      <w:pPr>
        <w:widowControl w:val="0"/>
        <w:autoSpaceDE w:val="0"/>
        <w:autoSpaceDN w:val="0"/>
        <w:adjustRightInd w:val="0"/>
        <w:ind w:firstLine="426"/>
        <w:jc w:val="center"/>
        <w:rPr>
          <w:sz w:val="22"/>
          <w:szCs w:val="22"/>
        </w:rPr>
      </w:pPr>
    </w:p>
    <w:p w:rsidR="00E73FF0" w:rsidRPr="009A7442" w:rsidRDefault="009A7442" w:rsidP="009A7442">
      <w:pPr>
        <w:widowControl w:val="0"/>
        <w:autoSpaceDE w:val="0"/>
        <w:autoSpaceDN w:val="0"/>
        <w:adjustRightInd w:val="0"/>
        <w:ind w:firstLine="426"/>
        <w:jc w:val="center"/>
        <w:rPr>
          <w:sz w:val="22"/>
          <w:szCs w:val="22"/>
        </w:rPr>
      </w:pPr>
      <w:r>
        <w:rPr>
          <w:sz w:val="22"/>
          <w:szCs w:val="22"/>
        </w:rPr>
        <w:t>Список литературы</w:t>
      </w: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1. Фролов В.Ю., Сысоев Д.П., Туманова М.И. «Классификация раздатчиков-измельчителей кормов» Техника и оборудование для села. 2015, № 7. С. 18-20.</w:t>
      </w: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 xml:space="preserve">2. Фролов В.Ю., Морозова Н.Ю. «Измельчитель стебельных </w:t>
      </w:r>
      <w:r w:rsidRPr="009A7442">
        <w:rPr>
          <w:sz w:val="22"/>
          <w:szCs w:val="22"/>
        </w:rPr>
        <w:lastRenderedPageBreak/>
        <w:t>кормов молотково-сегментного типа»/ В сборнике: Научное обе</w:t>
      </w:r>
      <w:r w:rsidRPr="009A7442">
        <w:rPr>
          <w:sz w:val="22"/>
          <w:szCs w:val="22"/>
        </w:rPr>
        <w:t>с</w:t>
      </w:r>
      <w:r w:rsidRPr="009A7442">
        <w:rPr>
          <w:sz w:val="22"/>
          <w:szCs w:val="22"/>
        </w:rPr>
        <w:t>печение агропромышленного комплекса Сборник статей по матер</w:t>
      </w:r>
      <w:r w:rsidRPr="009A7442">
        <w:rPr>
          <w:sz w:val="22"/>
          <w:szCs w:val="22"/>
        </w:rPr>
        <w:t>и</w:t>
      </w:r>
      <w:r w:rsidRPr="009A7442">
        <w:rPr>
          <w:sz w:val="22"/>
          <w:szCs w:val="22"/>
        </w:rPr>
        <w:t>алам XI Всероссийской конференции молодых ученых, 2017, КубГАУ, с. 412-413.</w:t>
      </w: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3. Кустадинчев А.В., Морозова Н.Д., Фролов В.Ю. «Средства механизации доставки и раздачи кормов на животноводческих об</w:t>
      </w:r>
      <w:r w:rsidRPr="009A7442">
        <w:rPr>
          <w:sz w:val="22"/>
          <w:szCs w:val="22"/>
        </w:rPr>
        <w:t>ъ</w:t>
      </w:r>
      <w:r w:rsidRPr="009A7442">
        <w:rPr>
          <w:sz w:val="22"/>
          <w:szCs w:val="22"/>
        </w:rPr>
        <w:t>ектах» В сборнике: Научное обеспечение агропромышленного ко</w:t>
      </w:r>
      <w:r w:rsidRPr="009A7442">
        <w:rPr>
          <w:sz w:val="22"/>
          <w:szCs w:val="22"/>
        </w:rPr>
        <w:t>м</w:t>
      </w:r>
      <w:r w:rsidRPr="009A7442">
        <w:rPr>
          <w:sz w:val="22"/>
          <w:szCs w:val="22"/>
        </w:rPr>
        <w:t>плекса Сборник статей по материалам IX Всероссийской конфере</w:t>
      </w:r>
      <w:r w:rsidRPr="009A7442">
        <w:rPr>
          <w:sz w:val="22"/>
          <w:szCs w:val="22"/>
        </w:rPr>
        <w:t>н</w:t>
      </w:r>
      <w:r w:rsidRPr="009A7442">
        <w:rPr>
          <w:sz w:val="22"/>
          <w:szCs w:val="22"/>
        </w:rPr>
        <w:t>ции молодых ученых. Ответственный за выпуск: А.Г. Кощаев. 2016. С. 355-356.</w:t>
      </w: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 xml:space="preserve">4. Фролов В.Ю., Д.П. Сысоев, Н.Ю. Морозова «К вопросу обоснования конструктивно-режимных параметров рабочего органа молотково-сегментного типа»/Инновационно энерго-ресурсосберегающие технологии и техника </w:t>
      </w:r>
      <w:r w:rsidRPr="009A7442">
        <w:rPr>
          <w:sz w:val="22"/>
          <w:szCs w:val="22"/>
          <w:lang w:val="en-US"/>
        </w:rPr>
        <w:t>XXI</w:t>
      </w:r>
      <w:r w:rsidRPr="009A7442">
        <w:rPr>
          <w:sz w:val="22"/>
          <w:szCs w:val="22"/>
        </w:rPr>
        <w:t xml:space="preserve"> века, 2017, Нов</w:t>
      </w:r>
      <w:r w:rsidRPr="009A7442">
        <w:rPr>
          <w:sz w:val="22"/>
          <w:szCs w:val="22"/>
        </w:rPr>
        <w:t>о</w:t>
      </w:r>
      <w:r w:rsidRPr="009A7442">
        <w:rPr>
          <w:sz w:val="22"/>
          <w:szCs w:val="22"/>
        </w:rPr>
        <w:t>черкасск. С. 103-105.</w:t>
      </w:r>
    </w:p>
    <w:p w:rsidR="00E73FF0" w:rsidRPr="009A7442" w:rsidRDefault="00E73FF0" w:rsidP="009A7442">
      <w:pPr>
        <w:widowControl w:val="0"/>
        <w:autoSpaceDE w:val="0"/>
        <w:autoSpaceDN w:val="0"/>
        <w:adjustRightInd w:val="0"/>
        <w:ind w:firstLine="426"/>
        <w:jc w:val="both"/>
        <w:rPr>
          <w:sz w:val="22"/>
          <w:szCs w:val="22"/>
        </w:rPr>
      </w:pPr>
      <w:r w:rsidRPr="009A7442">
        <w:rPr>
          <w:sz w:val="22"/>
          <w:szCs w:val="22"/>
        </w:rPr>
        <w:t>5. М.Н. Тимофеев, В.Ю. Фролов,  Н.Ю. Морозова «Анализ те</w:t>
      </w:r>
      <w:r w:rsidRPr="009A7442">
        <w:rPr>
          <w:sz w:val="22"/>
          <w:szCs w:val="22"/>
        </w:rPr>
        <w:t>х</w:t>
      </w:r>
      <w:r w:rsidRPr="009A7442">
        <w:rPr>
          <w:sz w:val="22"/>
          <w:szCs w:val="22"/>
        </w:rPr>
        <w:t>нических средств для измельчения кормов и их классифик</w:t>
      </w:r>
      <w:r w:rsidRPr="009A7442">
        <w:rPr>
          <w:sz w:val="22"/>
          <w:szCs w:val="22"/>
        </w:rPr>
        <w:t>а</w:t>
      </w:r>
      <w:r w:rsidRPr="009A7442">
        <w:rPr>
          <w:sz w:val="22"/>
          <w:szCs w:val="22"/>
        </w:rPr>
        <w:t>ция»/Политематический сетевой электронный журнал КубГАУ, 2017, №132, 399-424</w:t>
      </w:r>
    </w:p>
    <w:p w:rsidR="00E73FF0" w:rsidRPr="009A7442" w:rsidRDefault="00E73FF0" w:rsidP="009A7442">
      <w:pPr>
        <w:pStyle w:val="31"/>
        <w:rPr>
          <w:sz w:val="22"/>
          <w:szCs w:val="22"/>
        </w:rPr>
      </w:pPr>
    </w:p>
    <w:p w:rsidR="009A7442" w:rsidRDefault="009A7442" w:rsidP="009A7442">
      <w:pPr>
        <w:contextualSpacing/>
        <w:rPr>
          <w:rFonts w:eastAsia="Calibri"/>
          <w:sz w:val="22"/>
          <w:szCs w:val="22"/>
          <w:lang w:eastAsia="en-US"/>
        </w:rPr>
      </w:pPr>
    </w:p>
    <w:p w:rsidR="009A7442" w:rsidRDefault="00E73FF0" w:rsidP="009A7442">
      <w:pPr>
        <w:contextualSpacing/>
        <w:rPr>
          <w:rFonts w:eastAsia="Calibri"/>
          <w:sz w:val="22"/>
          <w:szCs w:val="22"/>
          <w:lang w:eastAsia="en-US"/>
        </w:rPr>
      </w:pPr>
      <w:r w:rsidRPr="00E73FF0">
        <w:rPr>
          <w:rFonts w:eastAsia="Calibri"/>
          <w:sz w:val="22"/>
          <w:szCs w:val="22"/>
          <w:lang w:eastAsia="en-US"/>
        </w:rPr>
        <w:t>УДК 631.331</w:t>
      </w:r>
    </w:p>
    <w:p w:rsidR="009762D0" w:rsidRPr="00E73FF0" w:rsidRDefault="009762D0" w:rsidP="009A7442">
      <w:pPr>
        <w:contextualSpacing/>
        <w:rPr>
          <w:rFonts w:eastAsia="Calibri"/>
          <w:sz w:val="22"/>
          <w:szCs w:val="22"/>
          <w:lang w:eastAsia="en-US"/>
        </w:rPr>
      </w:pPr>
    </w:p>
    <w:p w:rsidR="00E73FF0" w:rsidRPr="00E73FF0" w:rsidRDefault="00E73FF0" w:rsidP="00354555">
      <w:pPr>
        <w:spacing w:after="200"/>
        <w:contextualSpacing/>
        <w:jc w:val="center"/>
        <w:rPr>
          <w:rFonts w:eastAsia="Calibri"/>
          <w:b/>
          <w:sz w:val="24"/>
          <w:szCs w:val="24"/>
          <w:lang w:eastAsia="en-US"/>
        </w:rPr>
      </w:pPr>
      <w:r w:rsidRPr="00E73FF0">
        <w:rPr>
          <w:rFonts w:eastAsia="Calibri"/>
          <w:b/>
          <w:sz w:val="24"/>
          <w:szCs w:val="24"/>
          <w:lang w:eastAsia="en-US"/>
        </w:rPr>
        <w:t xml:space="preserve">Методика исследования прочностных характеристик </w:t>
      </w:r>
      <w:r w:rsidR="00354555">
        <w:rPr>
          <w:rFonts w:eastAsia="Calibri"/>
          <w:b/>
          <w:sz w:val="24"/>
          <w:szCs w:val="24"/>
          <w:lang w:eastAsia="en-US"/>
        </w:rPr>
        <w:br/>
      </w:r>
      <w:r w:rsidRPr="00E73FF0">
        <w:rPr>
          <w:rFonts w:eastAsia="Calibri"/>
          <w:b/>
          <w:sz w:val="24"/>
          <w:szCs w:val="24"/>
          <w:lang w:eastAsia="en-US"/>
        </w:rPr>
        <w:t>и деформаций зерен</w:t>
      </w:r>
      <w:r w:rsidR="00354555">
        <w:rPr>
          <w:rFonts w:eastAsia="Calibri"/>
          <w:b/>
          <w:sz w:val="24"/>
          <w:szCs w:val="24"/>
          <w:lang w:eastAsia="en-US"/>
        </w:rPr>
        <w:t xml:space="preserve"> различных сельскохозяйственных </w:t>
      </w:r>
      <w:r w:rsidRPr="00E73FF0">
        <w:rPr>
          <w:rFonts w:eastAsia="Calibri"/>
          <w:b/>
          <w:sz w:val="24"/>
          <w:szCs w:val="24"/>
          <w:lang w:eastAsia="en-US"/>
        </w:rPr>
        <w:t>культур</w:t>
      </w:r>
    </w:p>
    <w:p w:rsidR="009A7442" w:rsidRPr="008D33CB" w:rsidRDefault="00E73FF0" w:rsidP="00354555">
      <w:pPr>
        <w:spacing w:after="200"/>
        <w:contextualSpacing/>
        <w:jc w:val="center"/>
        <w:rPr>
          <w:rFonts w:eastAsia="Calibri"/>
          <w:b/>
          <w:sz w:val="24"/>
          <w:szCs w:val="24"/>
          <w:lang w:val="en-US" w:eastAsia="en-US"/>
        </w:rPr>
      </w:pPr>
      <w:r w:rsidRPr="00E73FF0">
        <w:rPr>
          <w:rFonts w:eastAsia="Calibri"/>
          <w:b/>
          <w:sz w:val="24"/>
          <w:szCs w:val="24"/>
          <w:lang w:val="en-US" w:eastAsia="en-US"/>
        </w:rPr>
        <w:t xml:space="preserve">Methods of study of strength characteristics </w:t>
      </w:r>
      <w:r w:rsidR="009A7442" w:rsidRPr="009A7442">
        <w:rPr>
          <w:rFonts w:eastAsia="Calibri"/>
          <w:b/>
          <w:sz w:val="24"/>
          <w:szCs w:val="24"/>
          <w:lang w:val="en-US" w:eastAsia="en-US"/>
        </w:rPr>
        <w:br/>
      </w:r>
      <w:r w:rsidRPr="00E73FF0">
        <w:rPr>
          <w:rFonts w:eastAsia="Calibri"/>
          <w:b/>
          <w:sz w:val="24"/>
          <w:szCs w:val="24"/>
          <w:lang w:val="en-US" w:eastAsia="en-US"/>
        </w:rPr>
        <w:t>and deformation of grains of various crops</w:t>
      </w:r>
    </w:p>
    <w:p w:rsidR="009762D0" w:rsidRPr="008D33CB" w:rsidRDefault="009762D0" w:rsidP="00354555">
      <w:pPr>
        <w:spacing w:after="200"/>
        <w:contextualSpacing/>
        <w:jc w:val="center"/>
        <w:rPr>
          <w:rFonts w:eastAsia="Calibri"/>
          <w:b/>
          <w:sz w:val="24"/>
          <w:szCs w:val="24"/>
          <w:lang w:val="en-US" w:eastAsia="en-US"/>
        </w:rPr>
      </w:pPr>
    </w:p>
    <w:p w:rsidR="00E73FF0" w:rsidRPr="00E73FF0" w:rsidRDefault="00E73FF0" w:rsidP="00E73FF0">
      <w:pPr>
        <w:spacing w:after="200"/>
        <w:ind w:firstLine="426"/>
        <w:contextualSpacing/>
        <w:jc w:val="right"/>
        <w:rPr>
          <w:rFonts w:eastAsia="Calibri"/>
          <w:sz w:val="22"/>
          <w:szCs w:val="22"/>
          <w:lang w:eastAsia="en-US"/>
        </w:rPr>
      </w:pPr>
      <w:r w:rsidRPr="00E73FF0">
        <w:rPr>
          <w:rFonts w:eastAsia="Calibri"/>
          <w:sz w:val="22"/>
          <w:szCs w:val="22"/>
          <w:lang w:eastAsia="en-US"/>
        </w:rPr>
        <w:t>Некрасов В.</w:t>
      </w:r>
      <w:r w:rsidR="009A7442">
        <w:rPr>
          <w:rFonts w:eastAsia="Calibri"/>
          <w:sz w:val="22"/>
          <w:szCs w:val="22"/>
          <w:lang w:eastAsia="en-US"/>
        </w:rPr>
        <w:t xml:space="preserve"> </w:t>
      </w:r>
      <w:r w:rsidRPr="00E73FF0">
        <w:rPr>
          <w:rFonts w:eastAsia="Calibri"/>
          <w:sz w:val="22"/>
          <w:szCs w:val="22"/>
          <w:lang w:eastAsia="en-US"/>
        </w:rPr>
        <w:t>В.</w:t>
      </w:r>
      <w:r w:rsidR="009A7442">
        <w:rPr>
          <w:rFonts w:eastAsia="Calibri"/>
          <w:sz w:val="22"/>
          <w:szCs w:val="22"/>
          <w:lang w:eastAsia="en-US"/>
        </w:rPr>
        <w:t>,</w:t>
      </w:r>
    </w:p>
    <w:p w:rsidR="00E73FF0" w:rsidRPr="00E73FF0" w:rsidRDefault="009A7442" w:rsidP="00E73FF0">
      <w:pPr>
        <w:spacing w:after="200"/>
        <w:ind w:firstLine="426"/>
        <w:contextualSpacing/>
        <w:jc w:val="right"/>
        <w:rPr>
          <w:rFonts w:eastAsia="Calibri"/>
          <w:sz w:val="22"/>
          <w:szCs w:val="22"/>
          <w:lang w:eastAsia="en-US"/>
        </w:rPr>
      </w:pPr>
      <w:r>
        <w:rPr>
          <w:rFonts w:eastAsia="Calibri"/>
          <w:sz w:val="22"/>
          <w:szCs w:val="22"/>
          <w:lang w:eastAsia="en-US"/>
        </w:rPr>
        <w:t>магистрант 2-го курса</w:t>
      </w:r>
    </w:p>
    <w:p w:rsidR="00E73FF0" w:rsidRPr="00E73FF0" w:rsidRDefault="009A7442" w:rsidP="00E73FF0">
      <w:pPr>
        <w:spacing w:after="200"/>
        <w:ind w:firstLine="426"/>
        <w:contextualSpacing/>
        <w:jc w:val="right"/>
        <w:rPr>
          <w:rFonts w:eastAsia="Calibri"/>
          <w:sz w:val="22"/>
          <w:szCs w:val="22"/>
          <w:lang w:eastAsia="en-US"/>
        </w:rPr>
      </w:pPr>
      <w:r>
        <w:rPr>
          <w:rFonts w:eastAsia="Calibri"/>
          <w:sz w:val="22"/>
          <w:szCs w:val="22"/>
          <w:lang w:eastAsia="en-US"/>
        </w:rPr>
        <w:t>факультета механизации</w:t>
      </w:r>
    </w:p>
    <w:p w:rsidR="009A7442" w:rsidRPr="00E73FF0" w:rsidRDefault="009A7442" w:rsidP="009A7442">
      <w:pPr>
        <w:widowControl w:val="0"/>
        <w:tabs>
          <w:tab w:val="left" w:pos="8223"/>
        </w:tabs>
        <w:jc w:val="right"/>
        <w:rPr>
          <w:rFonts w:eastAsia="Courier New"/>
          <w:color w:val="000000"/>
          <w:sz w:val="22"/>
          <w:szCs w:val="22"/>
        </w:rPr>
      </w:pPr>
      <w:r w:rsidRPr="00E73FF0">
        <w:rPr>
          <w:rFonts w:eastAsia="Courier New"/>
          <w:color w:val="000000"/>
          <w:sz w:val="22"/>
          <w:szCs w:val="22"/>
        </w:rPr>
        <w:t>Куб</w:t>
      </w:r>
      <w:r>
        <w:rPr>
          <w:rFonts w:eastAsia="Courier New"/>
          <w:color w:val="000000"/>
          <w:sz w:val="22"/>
          <w:szCs w:val="22"/>
        </w:rPr>
        <w:t>анский государственный аграрный</w:t>
      </w:r>
    </w:p>
    <w:p w:rsidR="009A7442" w:rsidRPr="00E73FF0" w:rsidRDefault="009A7442" w:rsidP="009A7442">
      <w:pPr>
        <w:widowControl w:val="0"/>
        <w:tabs>
          <w:tab w:val="left" w:pos="8223"/>
        </w:tabs>
        <w:jc w:val="right"/>
        <w:rPr>
          <w:rFonts w:eastAsia="Courier New"/>
          <w:color w:val="000000"/>
          <w:sz w:val="22"/>
          <w:szCs w:val="22"/>
        </w:rPr>
      </w:pPr>
      <w:r w:rsidRPr="00E73FF0">
        <w:rPr>
          <w:rFonts w:eastAsia="Courier New"/>
          <w:color w:val="000000"/>
          <w:sz w:val="22"/>
          <w:szCs w:val="22"/>
        </w:rPr>
        <w:t>университет имени И.Т. Трубилина</w:t>
      </w:r>
    </w:p>
    <w:p w:rsidR="00E73FF0" w:rsidRPr="009A7442" w:rsidRDefault="00E73FF0" w:rsidP="00E73FF0">
      <w:pPr>
        <w:spacing w:after="200"/>
        <w:ind w:firstLine="426"/>
        <w:contextualSpacing/>
        <w:jc w:val="right"/>
        <w:rPr>
          <w:rFonts w:eastAsia="Calibri"/>
          <w:sz w:val="22"/>
          <w:szCs w:val="22"/>
          <w:lang w:eastAsia="en-US"/>
        </w:rPr>
      </w:pP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АННОТАЦИЯ: Разработана методика и изготовлен прибор для исследования прочностных характеристик и деформаций зерен ра</w:t>
      </w:r>
      <w:r w:rsidRPr="00E73FF0">
        <w:rPr>
          <w:rFonts w:eastAsia="Calibri"/>
          <w:sz w:val="22"/>
          <w:szCs w:val="22"/>
          <w:lang w:eastAsia="en-US"/>
        </w:rPr>
        <w:t>з</w:t>
      </w:r>
      <w:r w:rsidRPr="00E73FF0">
        <w:rPr>
          <w:rFonts w:eastAsia="Calibri"/>
          <w:sz w:val="22"/>
          <w:szCs w:val="22"/>
          <w:lang w:eastAsia="en-US"/>
        </w:rPr>
        <w:lastRenderedPageBreak/>
        <w:t>личных сельскохозяйственных культур. Данная методика позволит нам определить факторы, оказывающие наибольшее влияние на процесс разрушения и деформации семян в сошниках, необходимые для выявления оптимальных геометрических и режимных параме</w:t>
      </w:r>
      <w:r w:rsidRPr="00E73FF0">
        <w:rPr>
          <w:rFonts w:eastAsia="Calibri"/>
          <w:sz w:val="22"/>
          <w:szCs w:val="22"/>
          <w:lang w:eastAsia="en-US"/>
        </w:rPr>
        <w:t>т</w:t>
      </w:r>
      <w:r w:rsidRPr="00E73FF0">
        <w:rPr>
          <w:rFonts w:eastAsia="Calibri"/>
          <w:sz w:val="22"/>
          <w:szCs w:val="22"/>
          <w:lang w:eastAsia="en-US"/>
        </w:rPr>
        <w:t>ров пневматической сеялки с центральным дозированием семян.</w:t>
      </w:r>
    </w:p>
    <w:p w:rsidR="00E73FF0" w:rsidRPr="00E73FF0"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ABSTRACT: A method and apparatus is made to study the strength characteristics and deformation of grains of various crops. This tec</w:t>
      </w:r>
      <w:r w:rsidRPr="00E73FF0">
        <w:rPr>
          <w:rFonts w:eastAsia="Calibri"/>
          <w:sz w:val="22"/>
          <w:szCs w:val="22"/>
          <w:lang w:val="en-US" w:eastAsia="en-US"/>
        </w:rPr>
        <w:t>h</w:t>
      </w:r>
      <w:r w:rsidRPr="00E73FF0">
        <w:rPr>
          <w:rFonts w:eastAsia="Calibri"/>
          <w:sz w:val="22"/>
          <w:szCs w:val="22"/>
          <w:lang w:val="en-US" w:eastAsia="en-US"/>
        </w:rPr>
        <w:t>nique will allow us to identify the factors that have the greatest impact on the process of destruction and deformation of the seeds in the coulters to identify the optimum geometrical and operational parameters of the pneumatic drills with central batching seeds.</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КЛЮЧЕВЫЕ СЛОВА: пневматическая сеялка, семена, про</w:t>
      </w:r>
      <w:r w:rsidRPr="00E73FF0">
        <w:rPr>
          <w:rFonts w:eastAsia="Calibri"/>
          <w:sz w:val="22"/>
          <w:szCs w:val="22"/>
          <w:lang w:eastAsia="en-US"/>
        </w:rPr>
        <w:t>ч</w:t>
      </w:r>
      <w:r w:rsidRPr="00E73FF0">
        <w:rPr>
          <w:rFonts w:eastAsia="Calibri"/>
          <w:sz w:val="22"/>
          <w:szCs w:val="22"/>
          <w:lang w:eastAsia="en-US"/>
        </w:rPr>
        <w:t>ностные характеристики, оттарированная пружина, индикатор.</w:t>
      </w:r>
    </w:p>
    <w:p w:rsidR="00E73FF0" w:rsidRPr="00024398"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KEYWORDS: pneumatic drill, opener, seeds and strength chara</w:t>
      </w:r>
      <w:r w:rsidRPr="00E73FF0">
        <w:rPr>
          <w:rFonts w:eastAsia="Calibri"/>
          <w:sz w:val="22"/>
          <w:szCs w:val="22"/>
          <w:lang w:val="en-US" w:eastAsia="en-US"/>
        </w:rPr>
        <w:t>c</w:t>
      </w:r>
      <w:r w:rsidRPr="00E73FF0">
        <w:rPr>
          <w:rFonts w:eastAsia="Calibri"/>
          <w:sz w:val="22"/>
          <w:szCs w:val="22"/>
          <w:lang w:val="en-US" w:eastAsia="en-US"/>
        </w:rPr>
        <w:t>teristics, calibrated spring light.</w:t>
      </w:r>
    </w:p>
    <w:p w:rsidR="009A7442" w:rsidRPr="00024398" w:rsidRDefault="009A7442" w:rsidP="00E73FF0">
      <w:pPr>
        <w:spacing w:after="200"/>
        <w:ind w:firstLine="426"/>
        <w:contextualSpacing/>
        <w:jc w:val="both"/>
        <w:rPr>
          <w:rFonts w:eastAsia="Calibri"/>
          <w:sz w:val="22"/>
          <w:szCs w:val="22"/>
          <w:lang w:val="en-US" w:eastAsia="en-US"/>
        </w:rPr>
      </w:pP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 xml:space="preserve">Создание широкозахватных посевных комплексов, создает предпосылки к повышению производительности труда на посеве и снижению трудоемкости обслуживания средств механизации [3]. </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Разработка рабочих органов для пневматической сеялки с це</w:t>
      </w:r>
      <w:r w:rsidRPr="00E73FF0">
        <w:rPr>
          <w:rFonts w:eastAsia="Calibri"/>
          <w:sz w:val="22"/>
          <w:szCs w:val="22"/>
          <w:lang w:eastAsia="en-US"/>
        </w:rPr>
        <w:t>н</w:t>
      </w:r>
      <w:r w:rsidRPr="00E73FF0">
        <w:rPr>
          <w:rFonts w:eastAsia="Calibri"/>
          <w:sz w:val="22"/>
          <w:szCs w:val="22"/>
          <w:lang w:eastAsia="en-US"/>
        </w:rPr>
        <w:t>тральным дозированием семян требует знания прочностных хара</w:t>
      </w:r>
      <w:r w:rsidRPr="00E73FF0">
        <w:rPr>
          <w:rFonts w:eastAsia="Calibri"/>
          <w:sz w:val="22"/>
          <w:szCs w:val="22"/>
          <w:lang w:eastAsia="en-US"/>
        </w:rPr>
        <w:t>к</w:t>
      </w:r>
      <w:r w:rsidRPr="00E73FF0">
        <w:rPr>
          <w:rFonts w:eastAsia="Calibri"/>
          <w:sz w:val="22"/>
          <w:szCs w:val="22"/>
          <w:lang w:eastAsia="en-US"/>
        </w:rPr>
        <w:t>теристики семян сельскохозяйственных культур [2]. Нами была разработана методика и изготовлен прибор для исследования про</w:t>
      </w:r>
      <w:r w:rsidRPr="00E73FF0">
        <w:rPr>
          <w:rFonts w:eastAsia="Calibri"/>
          <w:sz w:val="22"/>
          <w:szCs w:val="22"/>
          <w:lang w:eastAsia="en-US"/>
        </w:rPr>
        <w:t>ч</w:t>
      </w:r>
      <w:r w:rsidRPr="00E73FF0">
        <w:rPr>
          <w:rFonts w:eastAsia="Calibri"/>
          <w:sz w:val="22"/>
          <w:szCs w:val="22"/>
          <w:lang w:eastAsia="en-US"/>
        </w:rPr>
        <w:t>ностных характеристик и деформаций зерен различных сельскох</w:t>
      </w:r>
      <w:r w:rsidRPr="00E73FF0">
        <w:rPr>
          <w:rFonts w:eastAsia="Calibri"/>
          <w:sz w:val="22"/>
          <w:szCs w:val="22"/>
          <w:lang w:eastAsia="en-US"/>
        </w:rPr>
        <w:t>о</w:t>
      </w:r>
      <w:r w:rsidRPr="00E73FF0">
        <w:rPr>
          <w:rFonts w:eastAsia="Calibri"/>
          <w:sz w:val="22"/>
          <w:szCs w:val="22"/>
          <w:lang w:eastAsia="en-US"/>
        </w:rPr>
        <w:t xml:space="preserve">зяйственных культур. </w:t>
      </w:r>
    </w:p>
    <w:p w:rsidR="00E73FF0" w:rsidRPr="00E73FF0" w:rsidRDefault="00E73FF0" w:rsidP="009762D0">
      <w:pPr>
        <w:spacing w:after="200"/>
        <w:ind w:firstLine="426"/>
        <w:contextualSpacing/>
        <w:jc w:val="both"/>
        <w:rPr>
          <w:rFonts w:eastAsia="Calibri"/>
          <w:sz w:val="22"/>
          <w:szCs w:val="22"/>
          <w:lang w:eastAsia="en-US"/>
        </w:rPr>
      </w:pPr>
      <w:r w:rsidRPr="00E73FF0">
        <w:rPr>
          <w:rFonts w:eastAsia="Calibri"/>
          <w:sz w:val="22"/>
          <w:szCs w:val="22"/>
          <w:lang w:eastAsia="en-US"/>
        </w:rPr>
        <w:t>Программа лабораторных исследований включала следующие шаги:</w:t>
      </w:r>
    </w:p>
    <w:p w:rsidR="00E73FF0" w:rsidRPr="00E73FF0" w:rsidRDefault="00E73FF0" w:rsidP="009762D0">
      <w:pPr>
        <w:spacing w:after="200"/>
        <w:ind w:firstLine="426"/>
        <w:contextualSpacing/>
        <w:jc w:val="both"/>
        <w:rPr>
          <w:rFonts w:eastAsia="Calibri"/>
          <w:sz w:val="22"/>
          <w:szCs w:val="22"/>
          <w:lang w:eastAsia="en-US"/>
        </w:rPr>
      </w:pPr>
      <w:r w:rsidRPr="00E73FF0">
        <w:rPr>
          <w:rFonts w:eastAsia="Calibri"/>
          <w:sz w:val="22"/>
          <w:szCs w:val="22"/>
          <w:lang w:eastAsia="en-US"/>
        </w:rPr>
        <w:t>1 Помещение исследуемого объекта на неподвижную измер</w:t>
      </w:r>
      <w:r w:rsidRPr="00E73FF0">
        <w:rPr>
          <w:rFonts w:eastAsia="Calibri"/>
          <w:sz w:val="22"/>
          <w:szCs w:val="22"/>
          <w:lang w:eastAsia="en-US"/>
        </w:rPr>
        <w:t>и</w:t>
      </w:r>
      <w:r w:rsidRPr="00E73FF0">
        <w:rPr>
          <w:rFonts w:eastAsia="Calibri"/>
          <w:sz w:val="22"/>
          <w:szCs w:val="22"/>
          <w:lang w:eastAsia="en-US"/>
        </w:rPr>
        <w:t>тельную поверхность прибора.</w:t>
      </w:r>
    </w:p>
    <w:p w:rsidR="00E73FF0" w:rsidRPr="00E73FF0" w:rsidRDefault="00E73FF0" w:rsidP="009762D0">
      <w:pPr>
        <w:spacing w:after="200"/>
        <w:ind w:firstLine="426"/>
        <w:contextualSpacing/>
        <w:jc w:val="both"/>
        <w:rPr>
          <w:rFonts w:eastAsia="Calibri"/>
          <w:sz w:val="22"/>
          <w:szCs w:val="22"/>
          <w:lang w:eastAsia="en-US"/>
        </w:rPr>
      </w:pPr>
      <w:r w:rsidRPr="00E73FF0">
        <w:rPr>
          <w:rFonts w:eastAsia="Calibri"/>
          <w:sz w:val="22"/>
          <w:szCs w:val="22"/>
          <w:lang w:eastAsia="en-US"/>
        </w:rPr>
        <w:t>2 Подведение второй измерительной поверхности к объекту исследования.</w:t>
      </w:r>
    </w:p>
    <w:p w:rsidR="00E73FF0" w:rsidRPr="00E73FF0" w:rsidRDefault="00E73FF0" w:rsidP="009762D0">
      <w:pPr>
        <w:spacing w:after="200"/>
        <w:ind w:firstLine="426"/>
        <w:contextualSpacing/>
        <w:jc w:val="both"/>
        <w:rPr>
          <w:rFonts w:eastAsia="Calibri"/>
          <w:sz w:val="22"/>
          <w:szCs w:val="22"/>
          <w:lang w:eastAsia="en-US"/>
        </w:rPr>
      </w:pPr>
      <w:r w:rsidRPr="00E73FF0">
        <w:rPr>
          <w:rFonts w:eastAsia="Calibri"/>
          <w:sz w:val="22"/>
          <w:szCs w:val="22"/>
          <w:lang w:eastAsia="en-US"/>
        </w:rPr>
        <w:t>3 Замер диаметра объекта исследования индикатором. Сжатие объекта, фиксация усилия усилие при помощи оттарированной пружины.</w:t>
      </w:r>
    </w:p>
    <w:p w:rsidR="00E73FF0" w:rsidRPr="00E73FF0" w:rsidRDefault="00E73FF0" w:rsidP="009762D0">
      <w:pPr>
        <w:spacing w:after="200"/>
        <w:ind w:firstLine="426"/>
        <w:contextualSpacing/>
        <w:jc w:val="both"/>
        <w:rPr>
          <w:rFonts w:eastAsia="Calibri"/>
          <w:sz w:val="22"/>
          <w:szCs w:val="22"/>
          <w:lang w:eastAsia="en-US"/>
        </w:rPr>
      </w:pPr>
      <w:r w:rsidRPr="00E73FF0">
        <w:rPr>
          <w:rFonts w:eastAsia="Calibri"/>
          <w:sz w:val="22"/>
          <w:szCs w:val="22"/>
          <w:lang w:eastAsia="en-US"/>
        </w:rPr>
        <w:t>4 Процесс разрушения и деформации объекта исследования фиксируется при помощи индикатора и цифровой видеосъёмки.</w:t>
      </w:r>
    </w:p>
    <w:p w:rsidR="00E73FF0" w:rsidRPr="00E73FF0" w:rsidRDefault="00E73FF0" w:rsidP="009762D0">
      <w:pPr>
        <w:tabs>
          <w:tab w:val="left" w:pos="7513"/>
        </w:tabs>
        <w:spacing w:after="200"/>
        <w:ind w:firstLine="426"/>
        <w:contextualSpacing/>
        <w:jc w:val="both"/>
        <w:rPr>
          <w:rFonts w:eastAsia="Calibri"/>
          <w:sz w:val="22"/>
          <w:szCs w:val="22"/>
          <w:lang w:eastAsia="en-US"/>
        </w:rPr>
      </w:pPr>
      <w:r w:rsidRPr="00E73FF0">
        <w:rPr>
          <w:rFonts w:eastAsia="Calibri"/>
          <w:sz w:val="22"/>
          <w:szCs w:val="22"/>
          <w:lang w:eastAsia="en-US"/>
        </w:rPr>
        <w:t>5 Полученные данные подвергаем математической обработке</w:t>
      </w:r>
      <w:r w:rsidR="009762D0">
        <w:rPr>
          <w:rFonts w:eastAsia="Calibri"/>
          <w:sz w:val="22"/>
          <w:szCs w:val="22"/>
          <w:lang w:eastAsia="en-US"/>
        </w:rPr>
        <w:t>.</w:t>
      </w:r>
    </w:p>
    <w:p w:rsidR="00E73FF0" w:rsidRPr="00E73FF0" w:rsidRDefault="00E73FF0" w:rsidP="00E73FF0">
      <w:pPr>
        <w:autoSpaceDE w:val="0"/>
        <w:autoSpaceDN w:val="0"/>
        <w:adjustRightInd w:val="0"/>
        <w:ind w:firstLine="426"/>
        <w:contextualSpacing/>
        <w:jc w:val="both"/>
        <w:rPr>
          <w:rFonts w:eastAsia="Calibri"/>
          <w:sz w:val="22"/>
          <w:szCs w:val="22"/>
          <w:lang w:eastAsia="en-US"/>
        </w:rPr>
      </w:pPr>
      <w:r w:rsidRPr="00E73FF0">
        <w:rPr>
          <w:rFonts w:eastAsia="Calibri"/>
          <w:sz w:val="22"/>
          <w:szCs w:val="22"/>
          <w:lang w:eastAsia="en-US"/>
        </w:rPr>
        <w:lastRenderedPageBreak/>
        <w:t>Для статистической обработки результатов эксперимента и</w:t>
      </w:r>
      <w:r w:rsidRPr="00E73FF0">
        <w:rPr>
          <w:rFonts w:eastAsia="Calibri"/>
          <w:sz w:val="22"/>
          <w:szCs w:val="22"/>
          <w:lang w:eastAsia="en-US"/>
        </w:rPr>
        <w:t>с</w:t>
      </w:r>
      <w:r w:rsidRPr="00E73FF0">
        <w:rPr>
          <w:rFonts w:eastAsia="Calibri"/>
          <w:sz w:val="22"/>
          <w:szCs w:val="22"/>
          <w:lang w:eastAsia="en-US"/>
        </w:rPr>
        <w:t>пользуется программа Microsoft Excel 2010.</w:t>
      </w:r>
    </w:p>
    <w:p w:rsidR="00E73FF0" w:rsidRPr="00E73FF0" w:rsidRDefault="00E73FF0" w:rsidP="00A01CFE">
      <w:pPr>
        <w:autoSpaceDE w:val="0"/>
        <w:autoSpaceDN w:val="0"/>
        <w:adjustRightInd w:val="0"/>
        <w:ind w:firstLine="426"/>
        <w:contextualSpacing/>
        <w:jc w:val="both"/>
        <w:rPr>
          <w:rFonts w:eastAsia="Calibri"/>
          <w:sz w:val="22"/>
          <w:szCs w:val="22"/>
          <w:lang w:eastAsia="en-US"/>
        </w:rPr>
      </w:pPr>
      <w:r w:rsidRPr="00E73FF0">
        <w:rPr>
          <w:rFonts w:eastAsia="Calibri"/>
          <w:sz w:val="22"/>
          <w:szCs w:val="22"/>
          <w:lang w:eastAsia="en-US"/>
        </w:rPr>
        <w:t>Представленная экспериментальная установка и методика по</w:t>
      </w:r>
      <w:r w:rsidRPr="00E73FF0">
        <w:rPr>
          <w:rFonts w:eastAsia="Calibri"/>
          <w:sz w:val="22"/>
          <w:szCs w:val="22"/>
          <w:lang w:eastAsia="en-US"/>
        </w:rPr>
        <w:t>з</w:t>
      </w:r>
      <w:r w:rsidRPr="00E73FF0">
        <w:rPr>
          <w:rFonts w:eastAsia="Calibri"/>
          <w:sz w:val="22"/>
          <w:szCs w:val="22"/>
          <w:lang w:eastAsia="en-US"/>
        </w:rPr>
        <w:t>волят нам определить факторы, оказывающее наибольшее влияние на процесс разрушения и деформации семян в сошниках, необх</w:t>
      </w:r>
      <w:r w:rsidRPr="00E73FF0">
        <w:rPr>
          <w:rFonts w:eastAsia="Calibri"/>
          <w:sz w:val="22"/>
          <w:szCs w:val="22"/>
          <w:lang w:eastAsia="en-US"/>
        </w:rPr>
        <w:t>о</w:t>
      </w:r>
      <w:r w:rsidRPr="00E73FF0">
        <w:rPr>
          <w:rFonts w:eastAsia="Calibri"/>
          <w:sz w:val="22"/>
          <w:szCs w:val="22"/>
          <w:lang w:eastAsia="en-US"/>
        </w:rPr>
        <w:t>димые для выявления оптимальных геометрических и режимных параметров  пневматической сеялки с центральным дозированием семян [1].</w:t>
      </w:r>
    </w:p>
    <w:p w:rsidR="00E73FF0" w:rsidRPr="00E73FF0" w:rsidRDefault="00E73FF0" w:rsidP="00E73FF0">
      <w:pPr>
        <w:spacing w:after="240"/>
        <w:contextualSpacing/>
        <w:jc w:val="center"/>
        <w:rPr>
          <w:rFonts w:eastAsia="Calibri"/>
          <w:sz w:val="22"/>
          <w:szCs w:val="22"/>
          <w:lang w:eastAsia="en-US"/>
        </w:rPr>
      </w:pPr>
      <w:r w:rsidRPr="00E73FF0">
        <w:rPr>
          <w:rFonts w:eastAsia="Calibri"/>
          <w:sz w:val="22"/>
          <w:szCs w:val="22"/>
          <w:lang w:eastAsia="en-US"/>
        </w:rPr>
        <w:t>Список литературы</w:t>
      </w:r>
    </w:p>
    <w:p w:rsidR="00E73FF0" w:rsidRPr="00E73FF0" w:rsidRDefault="00E73FF0" w:rsidP="00E73FF0">
      <w:pPr>
        <w:spacing w:after="240"/>
        <w:ind w:firstLine="426"/>
        <w:contextualSpacing/>
        <w:jc w:val="both"/>
        <w:rPr>
          <w:rFonts w:eastAsia="Calibri"/>
          <w:bCs/>
          <w:sz w:val="22"/>
          <w:szCs w:val="22"/>
          <w:lang w:eastAsia="en-US"/>
        </w:rPr>
      </w:pPr>
      <w:r w:rsidRPr="00E73FF0">
        <w:rPr>
          <w:rFonts w:eastAsia="Calibri"/>
          <w:bCs/>
          <w:sz w:val="22"/>
          <w:szCs w:val="22"/>
          <w:lang w:eastAsia="en-US"/>
        </w:rPr>
        <w:t xml:space="preserve">1. </w:t>
      </w:r>
      <w:hyperlink r:id="rId72" w:history="1">
        <w:r w:rsidRPr="00E73FF0">
          <w:rPr>
            <w:rFonts w:eastAsia="Calibri"/>
            <w:bCs/>
            <w:sz w:val="22"/>
            <w:szCs w:val="22"/>
            <w:lang w:eastAsia="en-US"/>
          </w:rPr>
          <w:t>Методика экспериментальных исследований распределителя семян пневматической сеялки</w:t>
        </w:r>
      </w:hyperlink>
      <w:r w:rsidRPr="00E73FF0">
        <w:rPr>
          <w:rFonts w:eastAsia="Calibri"/>
          <w:bCs/>
          <w:sz w:val="22"/>
          <w:szCs w:val="22"/>
          <w:lang w:eastAsia="en-US"/>
        </w:rPr>
        <w:t>. Богус А.Э. В сборнике: </w:t>
      </w:r>
      <w:hyperlink r:id="rId73" w:history="1">
        <w:r w:rsidRPr="00E73FF0">
          <w:rPr>
            <w:rFonts w:eastAsia="Calibri"/>
            <w:bCs/>
            <w:sz w:val="22"/>
            <w:szCs w:val="22"/>
            <w:lang w:eastAsia="en-US"/>
          </w:rPr>
          <w:t>Научное обеспечение агропромышленного комплекса</w:t>
        </w:r>
      </w:hyperlink>
      <w:r w:rsidRPr="00E73FF0">
        <w:rPr>
          <w:rFonts w:eastAsia="Calibri"/>
          <w:bCs/>
          <w:sz w:val="22"/>
          <w:szCs w:val="22"/>
          <w:lang w:eastAsia="en-US"/>
        </w:rPr>
        <w:t> Сборник статей по м</w:t>
      </w:r>
      <w:r w:rsidRPr="00E73FF0">
        <w:rPr>
          <w:rFonts w:eastAsia="Calibri"/>
          <w:bCs/>
          <w:sz w:val="22"/>
          <w:szCs w:val="22"/>
          <w:lang w:eastAsia="en-US"/>
        </w:rPr>
        <w:t>а</w:t>
      </w:r>
      <w:r w:rsidRPr="00E73FF0">
        <w:rPr>
          <w:rFonts w:eastAsia="Calibri"/>
          <w:bCs/>
          <w:sz w:val="22"/>
          <w:szCs w:val="22"/>
          <w:lang w:eastAsia="en-US"/>
        </w:rPr>
        <w:t>териалам IX Всероссийской конференции молодых ученых. Отве</w:t>
      </w:r>
      <w:r w:rsidRPr="00E73FF0">
        <w:rPr>
          <w:rFonts w:eastAsia="Calibri"/>
          <w:bCs/>
          <w:sz w:val="22"/>
          <w:szCs w:val="22"/>
          <w:lang w:eastAsia="en-US"/>
        </w:rPr>
        <w:t>т</w:t>
      </w:r>
      <w:r w:rsidRPr="00E73FF0">
        <w:rPr>
          <w:rFonts w:eastAsia="Calibri"/>
          <w:bCs/>
          <w:sz w:val="22"/>
          <w:szCs w:val="22"/>
          <w:lang w:eastAsia="en-US"/>
        </w:rPr>
        <w:t>ственный за выпуск: А.Г. Кощаев. 2016. С. 323-324.</w:t>
      </w:r>
    </w:p>
    <w:p w:rsidR="00E73FF0" w:rsidRPr="00E73FF0" w:rsidRDefault="00E73FF0" w:rsidP="00E73FF0">
      <w:pPr>
        <w:spacing w:after="200"/>
        <w:ind w:firstLine="426"/>
        <w:contextualSpacing/>
        <w:jc w:val="both"/>
        <w:rPr>
          <w:rFonts w:eastAsia="Calibri"/>
          <w:bCs/>
          <w:sz w:val="22"/>
          <w:szCs w:val="22"/>
          <w:lang w:eastAsia="en-US"/>
        </w:rPr>
      </w:pPr>
      <w:r w:rsidRPr="00E73FF0">
        <w:rPr>
          <w:rFonts w:eastAsia="Calibri"/>
          <w:bCs/>
          <w:sz w:val="22"/>
          <w:szCs w:val="22"/>
          <w:lang w:eastAsia="en-US"/>
        </w:rPr>
        <w:t>2. Пневматическая сеялка с центрально-дозирующей системой Трубилин Е.И., Хохлов А.В., Хохлов А.А., Богус А.Э., Куцеев В.В. патент С 12.08.2010.</w:t>
      </w:r>
    </w:p>
    <w:p w:rsidR="00E73FF0" w:rsidRPr="00E73FF0" w:rsidRDefault="00E73FF0" w:rsidP="00E73FF0">
      <w:pPr>
        <w:spacing w:after="200"/>
        <w:ind w:firstLine="426"/>
        <w:contextualSpacing/>
        <w:jc w:val="both"/>
        <w:rPr>
          <w:rFonts w:eastAsia="Calibri"/>
          <w:bCs/>
          <w:sz w:val="22"/>
          <w:szCs w:val="22"/>
          <w:lang w:eastAsia="en-US"/>
        </w:rPr>
      </w:pPr>
      <w:r w:rsidRPr="00E73FF0">
        <w:rPr>
          <w:rFonts w:eastAsia="Calibri"/>
          <w:bCs/>
          <w:sz w:val="22"/>
          <w:szCs w:val="22"/>
          <w:lang w:eastAsia="en-US"/>
        </w:rPr>
        <w:t xml:space="preserve">3. </w:t>
      </w:r>
      <w:hyperlink r:id="rId74" w:history="1">
        <w:r w:rsidRPr="00E73FF0">
          <w:rPr>
            <w:rFonts w:eastAsia="Calibri"/>
            <w:bCs/>
            <w:sz w:val="22"/>
            <w:szCs w:val="22"/>
            <w:lang w:eastAsia="en-US"/>
          </w:rPr>
          <w:t>Эволюция конструкций пневматических сеялок с централ</w:t>
        </w:r>
        <w:r w:rsidRPr="00E73FF0">
          <w:rPr>
            <w:rFonts w:eastAsia="Calibri"/>
            <w:bCs/>
            <w:sz w:val="22"/>
            <w:szCs w:val="22"/>
            <w:lang w:eastAsia="en-US"/>
          </w:rPr>
          <w:t>ь</w:t>
        </w:r>
        <w:r w:rsidRPr="00E73FF0">
          <w:rPr>
            <w:rFonts w:eastAsia="Calibri"/>
            <w:bCs/>
            <w:sz w:val="22"/>
            <w:szCs w:val="22"/>
            <w:lang w:eastAsia="en-US"/>
          </w:rPr>
          <w:t>ным дозированием семян</w:t>
        </w:r>
      </w:hyperlink>
      <w:r w:rsidRPr="00E73FF0">
        <w:rPr>
          <w:rFonts w:eastAsia="Calibri"/>
          <w:bCs/>
          <w:sz w:val="22"/>
          <w:szCs w:val="22"/>
          <w:lang w:eastAsia="en-US"/>
        </w:rPr>
        <w:t xml:space="preserve">. Куцеев В.В., Богус А.Э. </w:t>
      </w:r>
      <w:hyperlink r:id="rId75" w:history="1">
        <w:r w:rsidRPr="00E73FF0">
          <w:rPr>
            <w:rFonts w:eastAsia="Calibri"/>
            <w:bCs/>
            <w:sz w:val="22"/>
            <w:szCs w:val="22"/>
            <w:lang w:eastAsia="en-US"/>
          </w:rPr>
          <w:t>Сельский мех</w:t>
        </w:r>
        <w:r w:rsidRPr="00E73FF0">
          <w:rPr>
            <w:rFonts w:eastAsia="Calibri"/>
            <w:bCs/>
            <w:sz w:val="22"/>
            <w:szCs w:val="22"/>
            <w:lang w:eastAsia="en-US"/>
          </w:rPr>
          <w:t>а</w:t>
        </w:r>
        <w:r w:rsidRPr="00E73FF0">
          <w:rPr>
            <w:rFonts w:eastAsia="Calibri"/>
            <w:bCs/>
            <w:sz w:val="22"/>
            <w:szCs w:val="22"/>
            <w:lang w:eastAsia="en-US"/>
          </w:rPr>
          <w:t>низатор</w:t>
        </w:r>
      </w:hyperlink>
      <w:r w:rsidRPr="00E73FF0">
        <w:rPr>
          <w:rFonts w:eastAsia="Calibri"/>
          <w:bCs/>
          <w:sz w:val="22"/>
          <w:szCs w:val="22"/>
          <w:lang w:eastAsia="en-US"/>
        </w:rPr>
        <w:t>. 2015. </w:t>
      </w:r>
      <w:hyperlink r:id="rId76" w:history="1">
        <w:r w:rsidRPr="00E73FF0">
          <w:rPr>
            <w:rFonts w:eastAsia="Calibri"/>
            <w:bCs/>
            <w:sz w:val="22"/>
            <w:szCs w:val="22"/>
            <w:lang w:eastAsia="en-US"/>
          </w:rPr>
          <w:t>№ 2</w:t>
        </w:r>
      </w:hyperlink>
      <w:r w:rsidRPr="00E73FF0">
        <w:rPr>
          <w:rFonts w:eastAsia="Calibri"/>
          <w:bCs/>
          <w:sz w:val="22"/>
          <w:szCs w:val="22"/>
          <w:lang w:eastAsia="en-US"/>
        </w:rPr>
        <w:t>. С. 6-9.</w:t>
      </w:r>
    </w:p>
    <w:p w:rsidR="009A7442" w:rsidRDefault="009A7442" w:rsidP="009A7442">
      <w:pPr>
        <w:contextualSpacing/>
        <w:rPr>
          <w:sz w:val="22"/>
          <w:szCs w:val="22"/>
        </w:rPr>
      </w:pPr>
    </w:p>
    <w:p w:rsidR="009A7442" w:rsidRDefault="009A7442" w:rsidP="009A7442">
      <w:pPr>
        <w:contextualSpacing/>
        <w:rPr>
          <w:sz w:val="22"/>
          <w:szCs w:val="22"/>
        </w:rPr>
      </w:pPr>
    </w:p>
    <w:p w:rsidR="009A7442" w:rsidRDefault="009A7442" w:rsidP="009A7442">
      <w:pPr>
        <w:contextualSpacing/>
        <w:rPr>
          <w:sz w:val="22"/>
          <w:szCs w:val="22"/>
        </w:rPr>
      </w:pPr>
    </w:p>
    <w:p w:rsidR="00E73FF0" w:rsidRPr="009A7442" w:rsidRDefault="00E73FF0" w:rsidP="009A7442">
      <w:pPr>
        <w:contextualSpacing/>
        <w:rPr>
          <w:rFonts w:eastAsiaTheme="minorHAnsi" w:cstheme="minorBidi"/>
          <w:sz w:val="22"/>
          <w:szCs w:val="22"/>
          <w:lang w:eastAsia="en-US"/>
        </w:rPr>
      </w:pPr>
      <w:r w:rsidRPr="009A7442">
        <w:rPr>
          <w:rFonts w:eastAsiaTheme="minorHAnsi" w:cstheme="minorBidi"/>
          <w:sz w:val="22"/>
          <w:szCs w:val="22"/>
          <w:lang w:eastAsia="en-US"/>
        </w:rPr>
        <w:t>УДК 631.331.5</w:t>
      </w:r>
    </w:p>
    <w:p w:rsidR="00E73FF0" w:rsidRPr="00E73FF0" w:rsidRDefault="00E73FF0" w:rsidP="00E73FF0">
      <w:pPr>
        <w:ind w:firstLine="425"/>
        <w:contextualSpacing/>
        <w:jc w:val="center"/>
        <w:rPr>
          <w:rFonts w:eastAsiaTheme="minorHAnsi" w:cstheme="minorBidi"/>
          <w:b/>
          <w:sz w:val="32"/>
          <w:szCs w:val="24"/>
          <w:lang w:eastAsia="en-US"/>
        </w:rPr>
      </w:pPr>
      <w:r w:rsidRPr="00E73FF0">
        <w:rPr>
          <w:rFonts w:eastAsiaTheme="minorHAnsi" w:cstheme="minorBidi"/>
          <w:b/>
          <w:sz w:val="24"/>
          <w:szCs w:val="22"/>
          <w:lang w:eastAsia="en-US"/>
        </w:rPr>
        <w:t>Пропашные сеялки</w:t>
      </w:r>
    </w:p>
    <w:p w:rsidR="00E73FF0" w:rsidRPr="00E73FF0" w:rsidRDefault="00E73FF0" w:rsidP="00E73FF0">
      <w:pPr>
        <w:ind w:firstLine="425"/>
        <w:contextualSpacing/>
        <w:jc w:val="center"/>
        <w:rPr>
          <w:rFonts w:eastAsiaTheme="minorHAnsi" w:cstheme="minorBidi"/>
          <w:b/>
          <w:sz w:val="24"/>
          <w:szCs w:val="24"/>
          <w:lang w:eastAsia="en-US"/>
        </w:rPr>
      </w:pPr>
      <w:r w:rsidRPr="00E73FF0">
        <w:rPr>
          <w:rFonts w:eastAsiaTheme="minorHAnsi" w:cstheme="minorBidi"/>
          <w:b/>
          <w:sz w:val="24"/>
          <w:szCs w:val="24"/>
          <w:lang w:val="en-US" w:eastAsia="en-US"/>
        </w:rPr>
        <w:t>Rotary</w:t>
      </w:r>
      <w:r w:rsidRPr="00E73FF0">
        <w:rPr>
          <w:rFonts w:eastAsiaTheme="minorHAnsi" w:cstheme="minorBidi"/>
          <w:b/>
          <w:sz w:val="24"/>
          <w:szCs w:val="24"/>
          <w:lang w:eastAsia="en-US"/>
        </w:rPr>
        <w:t xml:space="preserve"> </w:t>
      </w:r>
      <w:r w:rsidRPr="00E73FF0">
        <w:rPr>
          <w:rFonts w:eastAsiaTheme="minorHAnsi" w:cstheme="minorBidi"/>
          <w:b/>
          <w:sz w:val="24"/>
          <w:szCs w:val="24"/>
          <w:lang w:val="en-US" w:eastAsia="en-US"/>
        </w:rPr>
        <w:t>seeders</w:t>
      </w:r>
    </w:p>
    <w:p w:rsidR="00573255" w:rsidRDefault="00573255" w:rsidP="00E73FF0">
      <w:pPr>
        <w:ind w:firstLine="425"/>
        <w:contextualSpacing/>
        <w:jc w:val="right"/>
        <w:rPr>
          <w:rFonts w:eastAsiaTheme="minorHAnsi" w:cstheme="minorBidi"/>
          <w:sz w:val="22"/>
          <w:szCs w:val="22"/>
          <w:lang w:eastAsia="en-US"/>
        </w:rPr>
      </w:pP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Никитина В.</w:t>
      </w:r>
      <w:r w:rsidR="00573255">
        <w:rPr>
          <w:rFonts w:eastAsiaTheme="minorHAnsi" w:cstheme="minorBidi"/>
          <w:sz w:val="22"/>
          <w:szCs w:val="22"/>
          <w:lang w:eastAsia="en-US"/>
        </w:rPr>
        <w:t xml:space="preserve"> </w:t>
      </w:r>
      <w:r w:rsidRPr="00E73FF0">
        <w:rPr>
          <w:rFonts w:eastAsiaTheme="minorHAnsi" w:cstheme="minorBidi"/>
          <w:sz w:val="22"/>
          <w:szCs w:val="22"/>
          <w:lang w:eastAsia="en-US"/>
        </w:rPr>
        <w:t>Ю.</w:t>
      </w:r>
      <w:r w:rsidR="00573255">
        <w:rPr>
          <w:rFonts w:eastAsiaTheme="minorHAnsi" w:cstheme="minorBidi"/>
          <w:sz w:val="22"/>
          <w:szCs w:val="22"/>
          <w:lang w:eastAsia="en-US"/>
        </w:rPr>
        <w:t>,</w:t>
      </w: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студентка 3-го курса факультета механизации</w:t>
      </w: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Белоусов С.</w:t>
      </w:r>
      <w:r w:rsidR="00573255">
        <w:rPr>
          <w:rFonts w:eastAsiaTheme="minorHAnsi" w:cstheme="minorBidi"/>
          <w:sz w:val="22"/>
          <w:szCs w:val="22"/>
          <w:lang w:eastAsia="en-US"/>
        </w:rPr>
        <w:t xml:space="preserve"> </w:t>
      </w:r>
      <w:r w:rsidRPr="00E73FF0">
        <w:rPr>
          <w:rFonts w:eastAsiaTheme="minorHAnsi" w:cstheme="minorBidi"/>
          <w:sz w:val="22"/>
          <w:szCs w:val="22"/>
          <w:lang w:eastAsia="en-US"/>
        </w:rPr>
        <w:t>В.</w:t>
      </w:r>
      <w:r w:rsidR="00573255">
        <w:rPr>
          <w:rFonts w:eastAsiaTheme="minorHAnsi" w:cstheme="minorBidi"/>
          <w:sz w:val="22"/>
          <w:szCs w:val="22"/>
          <w:lang w:eastAsia="en-US"/>
        </w:rPr>
        <w:t>,</w:t>
      </w:r>
    </w:p>
    <w:p w:rsidR="00E73FF0" w:rsidRPr="00E73FF0" w:rsidRDefault="00573255" w:rsidP="00E73FF0">
      <w:pPr>
        <w:ind w:firstLine="425"/>
        <w:contextualSpacing/>
        <w:jc w:val="right"/>
        <w:rPr>
          <w:rFonts w:eastAsiaTheme="minorHAnsi" w:cstheme="minorBidi"/>
          <w:sz w:val="22"/>
          <w:szCs w:val="22"/>
          <w:lang w:eastAsia="en-US"/>
        </w:rPr>
      </w:pPr>
      <w:r>
        <w:rPr>
          <w:rFonts w:eastAsiaTheme="minorHAnsi" w:cstheme="minorBidi"/>
          <w:sz w:val="22"/>
          <w:szCs w:val="22"/>
          <w:lang w:eastAsia="en-US"/>
        </w:rPr>
        <w:t>старший преподаватель кафедры</w:t>
      </w: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«Процессы и машины в агробизнесе»</w:t>
      </w: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Куб</w:t>
      </w:r>
      <w:r w:rsidR="00573255">
        <w:rPr>
          <w:rFonts w:eastAsiaTheme="minorHAnsi" w:cstheme="minorBidi"/>
          <w:sz w:val="22"/>
          <w:szCs w:val="22"/>
          <w:lang w:eastAsia="en-US"/>
        </w:rPr>
        <w:t>анский государственный аграрный</w:t>
      </w:r>
    </w:p>
    <w:p w:rsidR="00E73FF0" w:rsidRPr="00E73FF0" w:rsidRDefault="00E73FF0" w:rsidP="00E73FF0">
      <w:pPr>
        <w:ind w:firstLine="425"/>
        <w:contextualSpacing/>
        <w:jc w:val="right"/>
        <w:rPr>
          <w:rFonts w:eastAsiaTheme="minorHAnsi" w:cstheme="minorBidi"/>
          <w:sz w:val="22"/>
          <w:szCs w:val="22"/>
          <w:lang w:eastAsia="en-US"/>
        </w:rPr>
      </w:pPr>
      <w:r w:rsidRPr="00E73FF0">
        <w:rPr>
          <w:rFonts w:eastAsiaTheme="minorHAnsi" w:cstheme="minorBidi"/>
          <w:sz w:val="22"/>
          <w:szCs w:val="22"/>
          <w:lang w:eastAsia="en-US"/>
        </w:rPr>
        <w:t>университет имени И.Т. Трубилина</w:t>
      </w:r>
    </w:p>
    <w:p w:rsidR="00E73FF0" w:rsidRPr="00E73FF0" w:rsidRDefault="00E73FF0" w:rsidP="00E73FF0">
      <w:pPr>
        <w:ind w:firstLine="425"/>
        <w:contextualSpacing/>
        <w:jc w:val="right"/>
        <w:rPr>
          <w:rFonts w:eastAsiaTheme="minorHAnsi" w:cstheme="minorBidi"/>
          <w:sz w:val="22"/>
          <w:szCs w:val="22"/>
          <w:lang w:eastAsia="en-US"/>
        </w:rPr>
      </w:pPr>
    </w:p>
    <w:p w:rsidR="00E73FF0" w:rsidRPr="00E73FF0" w:rsidRDefault="00E73FF0" w:rsidP="00E73FF0">
      <w:pPr>
        <w:ind w:firstLine="425"/>
        <w:contextualSpacing/>
        <w:jc w:val="both"/>
        <w:rPr>
          <w:rFonts w:eastAsiaTheme="minorHAnsi" w:cstheme="minorBidi"/>
          <w:sz w:val="22"/>
          <w:szCs w:val="22"/>
          <w:lang w:eastAsia="en-US"/>
        </w:rPr>
      </w:pPr>
      <w:r w:rsidRPr="00E73FF0">
        <w:rPr>
          <w:rFonts w:eastAsiaTheme="minorHAnsi" w:cstheme="minorBidi"/>
          <w:sz w:val="22"/>
          <w:szCs w:val="22"/>
          <w:lang w:eastAsia="en-US"/>
        </w:rPr>
        <w:t>АННОТАЦИЯ: В статье рассмотрен вопрос применения сеялок в малых формах хозяйствования. Обозначены пути решения пр</w:t>
      </w:r>
      <w:r w:rsidRPr="00E73FF0">
        <w:rPr>
          <w:rFonts w:eastAsiaTheme="minorHAnsi" w:cstheme="minorBidi"/>
          <w:sz w:val="22"/>
          <w:szCs w:val="22"/>
          <w:lang w:eastAsia="en-US"/>
        </w:rPr>
        <w:t>о</w:t>
      </w:r>
      <w:r w:rsidRPr="00E73FF0">
        <w:rPr>
          <w:rFonts w:eastAsiaTheme="minorHAnsi" w:cstheme="minorBidi"/>
          <w:sz w:val="22"/>
          <w:szCs w:val="22"/>
          <w:lang w:eastAsia="en-US"/>
        </w:rPr>
        <w:lastRenderedPageBreak/>
        <w:t>блем посева пропашных культур в условиях ограниченного земл</w:t>
      </w:r>
      <w:r w:rsidRPr="00E73FF0">
        <w:rPr>
          <w:rFonts w:eastAsiaTheme="minorHAnsi" w:cstheme="minorBidi"/>
          <w:sz w:val="22"/>
          <w:szCs w:val="22"/>
          <w:lang w:eastAsia="en-US"/>
        </w:rPr>
        <w:t>е</w:t>
      </w:r>
      <w:r w:rsidRPr="00E73FF0">
        <w:rPr>
          <w:rFonts w:eastAsiaTheme="minorHAnsi" w:cstheme="minorBidi"/>
          <w:sz w:val="22"/>
          <w:szCs w:val="22"/>
          <w:lang w:eastAsia="en-US"/>
        </w:rPr>
        <w:t>пользования.</w:t>
      </w:r>
    </w:p>
    <w:p w:rsidR="00E73FF0" w:rsidRPr="00E73FF0" w:rsidRDefault="00E73FF0" w:rsidP="00E73FF0">
      <w:pPr>
        <w:ind w:firstLine="425"/>
        <w:contextualSpacing/>
        <w:jc w:val="both"/>
        <w:rPr>
          <w:rFonts w:eastAsiaTheme="minorHAnsi" w:cstheme="minorBidi"/>
          <w:sz w:val="22"/>
          <w:szCs w:val="22"/>
          <w:lang w:val="en-US" w:eastAsia="en-US"/>
        </w:rPr>
      </w:pPr>
      <w:r w:rsidRPr="00E73FF0">
        <w:rPr>
          <w:rFonts w:eastAsiaTheme="minorHAnsi" w:cstheme="minorBidi"/>
          <w:sz w:val="22"/>
          <w:szCs w:val="22"/>
          <w:lang w:val="en-US" w:eastAsia="en-US"/>
        </w:rPr>
        <w:t>ABSTRACT: The article discusses the use of drills in small farms. The ways of solving problems planting row crops with limited land.</w:t>
      </w:r>
    </w:p>
    <w:p w:rsidR="00E73FF0" w:rsidRPr="00E73FF0" w:rsidRDefault="00E73FF0" w:rsidP="00E73FF0">
      <w:pPr>
        <w:ind w:firstLine="425"/>
        <w:contextualSpacing/>
        <w:jc w:val="both"/>
        <w:rPr>
          <w:rFonts w:eastAsiaTheme="minorHAnsi" w:cstheme="minorBidi"/>
          <w:sz w:val="22"/>
          <w:szCs w:val="22"/>
          <w:lang w:eastAsia="en-US"/>
        </w:rPr>
      </w:pPr>
      <w:r w:rsidRPr="00E73FF0">
        <w:rPr>
          <w:rFonts w:eastAsiaTheme="minorHAnsi" w:cstheme="minorBidi"/>
          <w:sz w:val="22"/>
          <w:szCs w:val="22"/>
          <w:lang w:eastAsia="en-US"/>
        </w:rPr>
        <w:t>КЛЮЧЕВЫЕ СЛОВА: сеялка, посев, инновация, энергонас</w:t>
      </w:r>
      <w:r w:rsidRPr="00E73FF0">
        <w:rPr>
          <w:rFonts w:eastAsiaTheme="minorHAnsi" w:cstheme="minorBidi"/>
          <w:sz w:val="22"/>
          <w:szCs w:val="22"/>
          <w:lang w:eastAsia="en-US"/>
        </w:rPr>
        <w:t>ы</w:t>
      </w:r>
      <w:r w:rsidRPr="00E73FF0">
        <w:rPr>
          <w:rFonts w:eastAsiaTheme="minorHAnsi" w:cstheme="minorBidi"/>
          <w:sz w:val="22"/>
          <w:szCs w:val="22"/>
          <w:lang w:eastAsia="en-US"/>
        </w:rPr>
        <w:t>щенность, импортозамещение, экономическая эффективность.</w:t>
      </w:r>
    </w:p>
    <w:p w:rsidR="00E73FF0" w:rsidRPr="00E73FF0" w:rsidRDefault="00E73FF0" w:rsidP="00E73FF0">
      <w:pPr>
        <w:ind w:firstLine="425"/>
        <w:contextualSpacing/>
        <w:jc w:val="both"/>
        <w:rPr>
          <w:rFonts w:eastAsiaTheme="minorHAnsi" w:cstheme="minorBidi"/>
          <w:sz w:val="22"/>
          <w:szCs w:val="22"/>
          <w:lang w:val="en-US" w:eastAsia="en-US"/>
        </w:rPr>
      </w:pPr>
      <w:r w:rsidRPr="00E73FF0">
        <w:rPr>
          <w:rFonts w:eastAsiaTheme="minorHAnsi" w:cstheme="minorBidi"/>
          <w:sz w:val="22"/>
          <w:szCs w:val="22"/>
          <w:lang w:val="en-US" w:eastAsia="en-US"/>
        </w:rPr>
        <w:t>KEYWORDS: planter, seeding, innovation, energy saturation, i</w:t>
      </w:r>
      <w:r w:rsidRPr="00E73FF0">
        <w:rPr>
          <w:rFonts w:eastAsiaTheme="minorHAnsi" w:cstheme="minorBidi"/>
          <w:sz w:val="22"/>
          <w:szCs w:val="22"/>
          <w:lang w:val="en-US" w:eastAsia="en-US"/>
        </w:rPr>
        <w:t>m</w:t>
      </w:r>
      <w:r w:rsidRPr="00E73FF0">
        <w:rPr>
          <w:rFonts w:eastAsiaTheme="minorHAnsi" w:cstheme="minorBidi"/>
          <w:sz w:val="22"/>
          <w:szCs w:val="22"/>
          <w:lang w:val="en-US" w:eastAsia="en-US"/>
        </w:rPr>
        <w:t>port substitution, economic efficiency.</w:t>
      </w:r>
    </w:p>
    <w:p w:rsidR="00E73FF0" w:rsidRPr="00E73FF0" w:rsidRDefault="00E73FF0" w:rsidP="00E73FF0">
      <w:pPr>
        <w:ind w:firstLine="425"/>
        <w:contextualSpacing/>
        <w:jc w:val="both"/>
        <w:rPr>
          <w:rFonts w:eastAsiaTheme="minorHAnsi" w:cstheme="minorBidi"/>
          <w:sz w:val="22"/>
          <w:szCs w:val="22"/>
          <w:lang w:val="en-US" w:eastAsia="en-US"/>
        </w:rPr>
      </w:pP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В настоящий момент существует проблема посадки пропашных культур на малых участках земли в условиях замкнутого или огр</w:t>
      </w:r>
      <w:r w:rsidRPr="00E73FF0">
        <w:rPr>
          <w:rFonts w:eastAsiaTheme="minorHAnsi" w:cstheme="minorBidi"/>
          <w:sz w:val="22"/>
          <w:szCs w:val="22"/>
          <w:lang w:eastAsia="en-US"/>
        </w:rPr>
        <w:t>а</w:t>
      </w:r>
      <w:r w:rsidRPr="00E73FF0">
        <w:rPr>
          <w:rFonts w:eastAsiaTheme="minorHAnsi" w:cstheme="minorBidi"/>
          <w:sz w:val="22"/>
          <w:szCs w:val="22"/>
          <w:lang w:eastAsia="en-US"/>
        </w:rPr>
        <w:t>ниченного пространства, которая до сих пор не решена или решена частично путем ручного посева семенного материала.</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Также существует проблема посадки различных семян одной не большой машиной, чтобы снизить возможное воздействие на поверхность поля либо участка [1].</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Как было сказано ранее, в приусадебных и фермерских хозя</w:t>
      </w:r>
      <w:r w:rsidRPr="00E73FF0">
        <w:rPr>
          <w:rFonts w:eastAsiaTheme="minorHAnsi" w:cstheme="minorBidi"/>
          <w:sz w:val="22"/>
          <w:szCs w:val="22"/>
          <w:lang w:eastAsia="en-US"/>
        </w:rPr>
        <w:t>й</w:t>
      </w:r>
      <w:r w:rsidRPr="00E73FF0">
        <w:rPr>
          <w:rFonts w:eastAsiaTheme="minorHAnsi" w:cstheme="minorBidi"/>
          <w:sz w:val="22"/>
          <w:szCs w:val="22"/>
          <w:lang w:eastAsia="en-US"/>
        </w:rPr>
        <w:t>ствах вырабатываются значительные объемы сельскохозяйственной продукции. При этом особенно трудоемким является выращивание животных, обеспечивая их свежими кормами и выращивая отдел</w:t>
      </w:r>
      <w:r w:rsidRPr="00E73FF0">
        <w:rPr>
          <w:rFonts w:eastAsiaTheme="minorHAnsi" w:cstheme="minorBidi"/>
          <w:sz w:val="22"/>
          <w:szCs w:val="22"/>
          <w:lang w:eastAsia="en-US"/>
        </w:rPr>
        <w:t>ь</w:t>
      </w:r>
      <w:r w:rsidRPr="00E73FF0">
        <w:rPr>
          <w:rFonts w:eastAsiaTheme="minorHAnsi" w:cstheme="minorBidi"/>
          <w:sz w:val="22"/>
          <w:szCs w:val="22"/>
          <w:lang w:eastAsia="en-US"/>
        </w:rPr>
        <w:t>ные виды сельскохозяйственной продукции. Для этого необходимо постоянно выращивать корма либо изначально закладывать опред</w:t>
      </w:r>
      <w:r w:rsidRPr="00E73FF0">
        <w:rPr>
          <w:rFonts w:eastAsiaTheme="minorHAnsi" w:cstheme="minorBidi"/>
          <w:sz w:val="22"/>
          <w:szCs w:val="22"/>
          <w:lang w:eastAsia="en-US"/>
        </w:rPr>
        <w:t>е</w:t>
      </w:r>
      <w:r w:rsidRPr="00E73FF0">
        <w:rPr>
          <w:rFonts w:eastAsiaTheme="minorHAnsi" w:cstheme="minorBidi"/>
          <w:sz w:val="22"/>
          <w:szCs w:val="22"/>
          <w:lang w:eastAsia="en-US"/>
        </w:rPr>
        <w:t>лённую площадь посевов.</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Если раньше владельцы малых хозяйств использовали пр</w:t>
      </w:r>
      <w:r w:rsidRPr="00E73FF0">
        <w:rPr>
          <w:rFonts w:eastAsiaTheme="minorHAnsi" w:cstheme="minorBidi"/>
          <w:sz w:val="22"/>
          <w:szCs w:val="22"/>
          <w:lang w:eastAsia="en-US"/>
        </w:rPr>
        <w:t>о</w:t>
      </w:r>
      <w:r w:rsidRPr="00E73FF0">
        <w:rPr>
          <w:rFonts w:eastAsiaTheme="minorHAnsi" w:cstheme="minorBidi"/>
          <w:sz w:val="22"/>
          <w:szCs w:val="22"/>
          <w:lang w:eastAsia="en-US"/>
        </w:rPr>
        <w:t>стейший инструмент и приспособления, то теперь большинство их убедилось, что в условиях рынка добиться высокой рентабельности производства можно лишь применяя современные средства малой механизации. Это позволяет повысить производительность труда в разы [2].</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Прежде чем выбрать сеялку для засева приусадебного участка, необходимо:</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 определить систему посадки семян;</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 рассчитать расстояние между рядами при посеве;</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 определить модели сеялок, которые бы помогли выполнить нужную технологическую операцию с наименьшими затратами.</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Различают два вида сеялок: пропашные и рядовые. Рядовые с</w:t>
      </w:r>
      <w:r w:rsidRPr="00E73FF0">
        <w:rPr>
          <w:rFonts w:eastAsiaTheme="minorHAnsi" w:cstheme="minorBidi"/>
          <w:sz w:val="22"/>
          <w:szCs w:val="22"/>
          <w:lang w:eastAsia="en-US"/>
        </w:rPr>
        <w:t>е</w:t>
      </w:r>
      <w:r w:rsidRPr="00E73FF0">
        <w:rPr>
          <w:rFonts w:eastAsiaTheme="minorHAnsi" w:cstheme="minorBidi"/>
          <w:sz w:val="22"/>
          <w:szCs w:val="22"/>
          <w:lang w:eastAsia="en-US"/>
        </w:rPr>
        <w:t>ялки предназначены для посева зерновых культур, а пропашные используют при посеве овощных культур, картофеля или свеклы.</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lastRenderedPageBreak/>
        <w:t>Отдельно выделяют так называемые точные сеялки, которые производят посадку семян на определенное расстояние с одновр</w:t>
      </w:r>
      <w:r w:rsidRPr="00E73FF0">
        <w:rPr>
          <w:rFonts w:eastAsiaTheme="minorHAnsi" w:cstheme="minorBidi"/>
          <w:sz w:val="22"/>
          <w:szCs w:val="22"/>
          <w:lang w:eastAsia="en-US"/>
        </w:rPr>
        <w:t>е</w:t>
      </w:r>
      <w:r w:rsidRPr="00E73FF0">
        <w:rPr>
          <w:rFonts w:eastAsiaTheme="minorHAnsi" w:cstheme="minorBidi"/>
          <w:sz w:val="22"/>
          <w:szCs w:val="22"/>
          <w:lang w:eastAsia="en-US"/>
        </w:rPr>
        <w:t>менным внесением удобрений. Обычные сеялки, как пропашные, так и рядные, осуществляют лишь внесение семян.</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Сеялки бывают механические и пневматические. Пневматич</w:t>
      </w:r>
      <w:r w:rsidRPr="00E73FF0">
        <w:rPr>
          <w:rFonts w:eastAsiaTheme="minorHAnsi" w:cstheme="minorBidi"/>
          <w:sz w:val="22"/>
          <w:szCs w:val="22"/>
          <w:lang w:eastAsia="en-US"/>
        </w:rPr>
        <w:t>е</w:t>
      </w:r>
      <w:r w:rsidRPr="00E73FF0">
        <w:rPr>
          <w:rFonts w:eastAsiaTheme="minorHAnsi" w:cstheme="minorBidi"/>
          <w:sz w:val="22"/>
          <w:szCs w:val="22"/>
          <w:lang w:eastAsia="en-US"/>
        </w:rPr>
        <w:t>ские под напором воздуха подают семена в семяпроводы а дальше при помощи сошника они заделываются в почву, а в механических - семена поступают сначала в бункер, затем в семяпровод через в</w:t>
      </w:r>
      <w:r w:rsidRPr="00E73FF0">
        <w:rPr>
          <w:rFonts w:eastAsiaTheme="minorHAnsi" w:cstheme="minorBidi"/>
          <w:sz w:val="22"/>
          <w:szCs w:val="22"/>
          <w:lang w:eastAsia="en-US"/>
        </w:rPr>
        <w:t>ы</w:t>
      </w:r>
      <w:r w:rsidRPr="00E73FF0">
        <w:rPr>
          <w:rFonts w:eastAsiaTheme="minorHAnsi" w:cstheme="minorBidi"/>
          <w:sz w:val="22"/>
          <w:szCs w:val="22"/>
          <w:lang w:eastAsia="en-US"/>
        </w:rPr>
        <w:t>севающий аппарат и лишь после этого ложатся в почву.</w:t>
      </w:r>
    </w:p>
    <w:p w:rsidR="00E73FF0" w:rsidRPr="00E73FF0" w:rsidRDefault="00E73FF0" w:rsidP="00E73FF0">
      <w:pPr>
        <w:ind w:firstLine="426"/>
        <w:contextualSpacing/>
        <w:jc w:val="both"/>
        <w:rPr>
          <w:rFonts w:eastAsiaTheme="minorHAnsi" w:cstheme="minorBidi"/>
          <w:sz w:val="22"/>
          <w:szCs w:val="22"/>
          <w:lang w:eastAsia="en-US"/>
        </w:rPr>
      </w:pPr>
      <w:r w:rsidRPr="00E73FF0">
        <w:rPr>
          <w:rFonts w:eastAsiaTheme="minorHAnsi" w:cstheme="minorBidi"/>
          <w:sz w:val="22"/>
          <w:szCs w:val="22"/>
          <w:lang w:eastAsia="en-US"/>
        </w:rPr>
        <w:t>Сошник в сеялках используется для расщепления почвы и с</w:t>
      </w:r>
      <w:r w:rsidRPr="00E73FF0">
        <w:rPr>
          <w:rFonts w:eastAsiaTheme="minorHAnsi" w:cstheme="minorBidi"/>
          <w:sz w:val="22"/>
          <w:szCs w:val="22"/>
          <w:lang w:eastAsia="en-US"/>
        </w:rPr>
        <w:t>о</w:t>
      </w:r>
      <w:r w:rsidRPr="00E73FF0">
        <w:rPr>
          <w:rFonts w:eastAsiaTheme="minorHAnsi" w:cstheme="minorBidi"/>
          <w:sz w:val="22"/>
          <w:szCs w:val="22"/>
          <w:lang w:eastAsia="en-US"/>
        </w:rPr>
        <w:t>здания места для посева семян. В своем большинстве это дисковые сошники, работающие на основе двух дисков из металла, соедине</w:t>
      </w:r>
      <w:r w:rsidRPr="00E73FF0">
        <w:rPr>
          <w:rFonts w:eastAsiaTheme="minorHAnsi" w:cstheme="minorBidi"/>
          <w:sz w:val="22"/>
          <w:szCs w:val="22"/>
          <w:lang w:eastAsia="en-US"/>
        </w:rPr>
        <w:t>н</w:t>
      </w:r>
      <w:r w:rsidRPr="00E73FF0">
        <w:rPr>
          <w:rFonts w:eastAsiaTheme="minorHAnsi" w:cstheme="minorBidi"/>
          <w:sz w:val="22"/>
          <w:szCs w:val="22"/>
          <w:lang w:eastAsia="en-US"/>
        </w:rPr>
        <w:t>ных V-образно [3]. При работе сеялки диски разрезают землю, по</w:t>
      </w:r>
      <w:r w:rsidRPr="00E73FF0">
        <w:rPr>
          <w:rFonts w:eastAsiaTheme="minorHAnsi" w:cstheme="minorBidi"/>
          <w:sz w:val="22"/>
          <w:szCs w:val="22"/>
          <w:lang w:eastAsia="en-US"/>
        </w:rPr>
        <w:t>д</w:t>
      </w:r>
      <w:r w:rsidRPr="00E73FF0">
        <w:rPr>
          <w:rFonts w:eastAsiaTheme="minorHAnsi" w:cstheme="minorBidi"/>
          <w:sz w:val="22"/>
          <w:szCs w:val="22"/>
          <w:lang w:eastAsia="en-US"/>
        </w:rPr>
        <w:t>готавливая ее к посадке семян в получившуюся борозду. За один проход формируется разделенная сошниками полоса подготовле</w:t>
      </w:r>
      <w:r w:rsidRPr="00E73FF0">
        <w:rPr>
          <w:rFonts w:eastAsiaTheme="minorHAnsi" w:cstheme="minorBidi"/>
          <w:sz w:val="22"/>
          <w:szCs w:val="22"/>
          <w:lang w:eastAsia="en-US"/>
        </w:rPr>
        <w:t>н</w:t>
      </w:r>
      <w:r w:rsidRPr="00E73FF0">
        <w:rPr>
          <w:rFonts w:eastAsiaTheme="minorHAnsi" w:cstheme="minorBidi"/>
          <w:sz w:val="22"/>
          <w:szCs w:val="22"/>
          <w:lang w:eastAsia="en-US"/>
        </w:rPr>
        <w:t>ной к посеву почвы. Затем высевающая секция закрывает посаже</w:t>
      </w:r>
      <w:r w:rsidRPr="00E73FF0">
        <w:rPr>
          <w:rFonts w:eastAsiaTheme="minorHAnsi" w:cstheme="minorBidi"/>
          <w:sz w:val="22"/>
          <w:szCs w:val="22"/>
          <w:lang w:eastAsia="en-US"/>
        </w:rPr>
        <w:t>н</w:t>
      </w:r>
      <w:r w:rsidRPr="00E73FF0">
        <w:rPr>
          <w:rFonts w:eastAsiaTheme="minorHAnsi" w:cstheme="minorBidi"/>
          <w:sz w:val="22"/>
          <w:szCs w:val="22"/>
          <w:lang w:eastAsia="en-US"/>
        </w:rPr>
        <w:t>ные семена в почву. Таким образом, семена попадают в плотное ложе с тем, чтобы в междурядьях не выросли сорные растения [4].</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По результатам выпаленной работы планируется изготовить опытный образец, который можно было бы испытать в полевых условиях.</w:t>
      </w:r>
    </w:p>
    <w:p w:rsidR="00E73FF0" w:rsidRPr="00E73FF0" w:rsidRDefault="00E73FF0" w:rsidP="00E73FF0">
      <w:pPr>
        <w:ind w:firstLine="426"/>
        <w:jc w:val="both"/>
        <w:rPr>
          <w:rFonts w:eastAsiaTheme="minorHAnsi" w:cstheme="minorBidi"/>
          <w:sz w:val="22"/>
          <w:szCs w:val="22"/>
          <w:lang w:eastAsia="en-US"/>
        </w:rPr>
      </w:pPr>
      <w:r w:rsidRPr="00E73FF0">
        <w:rPr>
          <w:rFonts w:eastAsiaTheme="minorHAnsi" w:cstheme="minorBidi"/>
          <w:sz w:val="22"/>
          <w:szCs w:val="22"/>
          <w:lang w:eastAsia="en-US"/>
        </w:rPr>
        <w:t xml:space="preserve">Выполнение указанных работ позволит создать конструкцию сеялки для высева семян пропашных культур, которую можно было бы эксплуатировать в малых формах хозяйствования [5]. </w:t>
      </w:r>
    </w:p>
    <w:p w:rsidR="00E73FF0" w:rsidRPr="00E73FF0" w:rsidRDefault="00E73FF0" w:rsidP="00E73FF0">
      <w:pPr>
        <w:ind w:firstLine="426"/>
        <w:contextualSpacing/>
        <w:jc w:val="both"/>
        <w:rPr>
          <w:rFonts w:eastAsiaTheme="minorHAnsi" w:cstheme="minorBidi"/>
          <w:sz w:val="22"/>
          <w:szCs w:val="22"/>
          <w:lang w:eastAsia="en-US"/>
        </w:rPr>
      </w:pPr>
      <w:r w:rsidRPr="00E73FF0">
        <w:rPr>
          <w:rFonts w:eastAsiaTheme="minorHAnsi" w:cstheme="minorBidi"/>
          <w:sz w:val="22"/>
          <w:szCs w:val="22"/>
          <w:lang w:eastAsia="en-US"/>
        </w:rPr>
        <w:t>Это значительно позволит повысить производительность кач</w:t>
      </w:r>
      <w:r w:rsidRPr="00E73FF0">
        <w:rPr>
          <w:rFonts w:eastAsiaTheme="minorHAnsi" w:cstheme="minorBidi"/>
          <w:sz w:val="22"/>
          <w:szCs w:val="22"/>
          <w:lang w:eastAsia="en-US"/>
        </w:rPr>
        <w:t>е</w:t>
      </w:r>
      <w:r w:rsidRPr="00E73FF0">
        <w:rPr>
          <w:rFonts w:eastAsiaTheme="minorHAnsi" w:cstheme="minorBidi"/>
          <w:sz w:val="22"/>
          <w:szCs w:val="22"/>
          <w:lang w:eastAsia="en-US"/>
        </w:rPr>
        <w:t>ство и производительность выполнения указанной технологической операции, а это в свою очередь создаст благоприятные условия для возделывания сельскохозяйственных культур в малых формах х</w:t>
      </w:r>
      <w:r w:rsidRPr="00E73FF0">
        <w:rPr>
          <w:rFonts w:eastAsiaTheme="minorHAnsi" w:cstheme="minorBidi"/>
          <w:sz w:val="22"/>
          <w:szCs w:val="22"/>
          <w:lang w:eastAsia="en-US"/>
        </w:rPr>
        <w:t>о</w:t>
      </w:r>
      <w:r w:rsidRPr="00E73FF0">
        <w:rPr>
          <w:rFonts w:eastAsiaTheme="minorHAnsi" w:cstheme="minorBidi"/>
          <w:sz w:val="22"/>
          <w:szCs w:val="22"/>
          <w:lang w:eastAsia="en-US"/>
        </w:rPr>
        <w:t>зяйствования.</w:t>
      </w:r>
    </w:p>
    <w:p w:rsidR="00E73FF0" w:rsidRPr="00E73FF0" w:rsidRDefault="00E73FF0" w:rsidP="00E73FF0">
      <w:pPr>
        <w:ind w:firstLine="425"/>
        <w:contextualSpacing/>
        <w:jc w:val="both"/>
        <w:rPr>
          <w:rFonts w:eastAsiaTheme="minorHAnsi" w:cstheme="minorBidi"/>
          <w:sz w:val="22"/>
          <w:szCs w:val="22"/>
          <w:lang w:eastAsia="en-US"/>
        </w:rPr>
      </w:pPr>
    </w:p>
    <w:p w:rsidR="00E73FF0" w:rsidRPr="00E73FF0" w:rsidRDefault="00E73FF0" w:rsidP="00E73FF0">
      <w:pPr>
        <w:ind w:firstLine="425"/>
        <w:contextualSpacing/>
        <w:jc w:val="center"/>
        <w:rPr>
          <w:rFonts w:eastAsiaTheme="minorHAnsi" w:cstheme="minorBidi"/>
          <w:sz w:val="22"/>
          <w:szCs w:val="22"/>
          <w:lang w:eastAsia="en-US"/>
        </w:rPr>
      </w:pPr>
      <w:r w:rsidRPr="00E73FF0">
        <w:rPr>
          <w:rFonts w:eastAsiaTheme="minorHAnsi" w:cstheme="minorBidi"/>
          <w:sz w:val="22"/>
          <w:szCs w:val="22"/>
          <w:lang w:eastAsia="en-US"/>
        </w:rPr>
        <w:t>Список литературы</w:t>
      </w:r>
    </w:p>
    <w:p w:rsidR="00E73FF0" w:rsidRPr="00E73FF0" w:rsidRDefault="00E73FF0" w:rsidP="00E73FF0">
      <w:pPr>
        <w:ind w:firstLine="425"/>
        <w:contextualSpacing/>
        <w:jc w:val="both"/>
        <w:rPr>
          <w:rFonts w:eastAsiaTheme="minorHAnsi"/>
          <w:sz w:val="22"/>
          <w:szCs w:val="22"/>
          <w:lang w:eastAsia="en-US"/>
        </w:rPr>
      </w:pPr>
      <w:r w:rsidRPr="00E73FF0">
        <w:rPr>
          <w:rFonts w:eastAsiaTheme="minorHAnsi"/>
          <w:sz w:val="22"/>
          <w:szCs w:val="22"/>
          <w:lang w:eastAsia="en-US"/>
        </w:rPr>
        <w:t xml:space="preserve">1. </w:t>
      </w:r>
      <w:hyperlink r:id="rId77" w:history="1">
        <w:r w:rsidRPr="00E73FF0">
          <w:rPr>
            <w:rFonts w:eastAsiaTheme="minorHAnsi"/>
            <w:bCs/>
            <w:sz w:val="22"/>
            <w:szCs w:val="22"/>
            <w:lang w:eastAsia="en-US"/>
          </w:rPr>
          <w:t>Основная обработка почвы с оборотом пласта в современных условиях работы и устройства для ее осуществления</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Трубилин Е.И., Белоусов С.В., Лепшина А.И. </w:t>
      </w:r>
      <w:hyperlink r:id="rId78" w:history="1">
        <w:r w:rsidRPr="00E73FF0">
          <w:rPr>
            <w:rFonts w:eastAsiaTheme="minorHAnsi"/>
            <w:sz w:val="22"/>
            <w:szCs w:val="22"/>
            <w:lang w:eastAsia="en-US"/>
          </w:rPr>
          <w:t>Политематический сетевой электро</w:t>
        </w:r>
        <w:r w:rsidRPr="00E73FF0">
          <w:rPr>
            <w:rFonts w:eastAsiaTheme="minorHAnsi"/>
            <w:sz w:val="22"/>
            <w:szCs w:val="22"/>
            <w:lang w:eastAsia="en-US"/>
          </w:rPr>
          <w:t>н</w:t>
        </w:r>
        <w:r w:rsidRPr="00E73FF0">
          <w:rPr>
            <w:rFonts w:eastAsiaTheme="minorHAnsi"/>
            <w:sz w:val="22"/>
            <w:szCs w:val="22"/>
            <w:lang w:eastAsia="en-US"/>
          </w:rPr>
          <w:t>ный научный журнал Кубанского государственного аграрного ун</w:t>
        </w:r>
        <w:r w:rsidRPr="00E73FF0">
          <w:rPr>
            <w:rFonts w:eastAsiaTheme="minorHAnsi"/>
            <w:sz w:val="22"/>
            <w:szCs w:val="22"/>
            <w:lang w:eastAsia="en-US"/>
          </w:rPr>
          <w:t>и</w:t>
        </w:r>
        <w:r w:rsidRPr="00E73FF0">
          <w:rPr>
            <w:rFonts w:eastAsiaTheme="minorHAnsi"/>
            <w:sz w:val="22"/>
            <w:szCs w:val="22"/>
            <w:lang w:eastAsia="en-US"/>
          </w:rPr>
          <w:t>верситета</w:t>
        </w:r>
      </w:hyperlink>
      <w:r w:rsidRPr="00E73FF0">
        <w:rPr>
          <w:rFonts w:eastAsiaTheme="minorHAnsi"/>
          <w:sz w:val="22"/>
          <w:szCs w:val="22"/>
          <w:lang w:eastAsia="en-US"/>
        </w:rPr>
        <w:t>. 2014. </w:t>
      </w:r>
      <w:hyperlink r:id="rId79" w:history="1">
        <w:r w:rsidRPr="00E73FF0">
          <w:rPr>
            <w:rFonts w:eastAsiaTheme="minorHAnsi"/>
            <w:sz w:val="22"/>
            <w:szCs w:val="22"/>
            <w:lang w:eastAsia="en-US"/>
          </w:rPr>
          <w:t>№ 104</w:t>
        </w:r>
      </w:hyperlink>
      <w:r w:rsidRPr="00E73FF0">
        <w:rPr>
          <w:rFonts w:eastAsiaTheme="minorHAnsi"/>
          <w:sz w:val="22"/>
          <w:szCs w:val="22"/>
          <w:lang w:eastAsia="en-US"/>
        </w:rPr>
        <w:t>. С. 1902-1922.</w:t>
      </w:r>
    </w:p>
    <w:p w:rsidR="00E73FF0" w:rsidRPr="00E73FF0" w:rsidRDefault="00E73FF0" w:rsidP="00E73FF0">
      <w:pPr>
        <w:ind w:firstLine="425"/>
        <w:contextualSpacing/>
        <w:jc w:val="both"/>
        <w:rPr>
          <w:rFonts w:eastAsiaTheme="minorHAnsi"/>
          <w:sz w:val="22"/>
          <w:szCs w:val="22"/>
          <w:lang w:eastAsia="en-US"/>
        </w:rPr>
      </w:pPr>
      <w:r w:rsidRPr="00E73FF0">
        <w:rPr>
          <w:rFonts w:eastAsiaTheme="minorHAnsi"/>
          <w:sz w:val="22"/>
          <w:szCs w:val="22"/>
          <w:lang w:eastAsia="en-US"/>
        </w:rPr>
        <w:t xml:space="preserve">2. </w:t>
      </w:r>
      <w:hyperlink r:id="rId80" w:history="1">
        <w:r w:rsidRPr="00E73FF0">
          <w:rPr>
            <w:rFonts w:eastAsiaTheme="minorHAnsi"/>
            <w:bCs/>
            <w:sz w:val="22"/>
            <w:szCs w:val="22"/>
            <w:lang w:eastAsia="en-US"/>
          </w:rPr>
          <w:t>Связь науки и техники в возделывании сельскохозяйстве</w:t>
        </w:r>
        <w:r w:rsidRPr="00E73FF0">
          <w:rPr>
            <w:rFonts w:eastAsiaTheme="minorHAnsi"/>
            <w:bCs/>
            <w:sz w:val="22"/>
            <w:szCs w:val="22"/>
            <w:lang w:eastAsia="en-US"/>
          </w:rPr>
          <w:t>н</w:t>
        </w:r>
        <w:r w:rsidRPr="00E73FF0">
          <w:rPr>
            <w:rFonts w:eastAsiaTheme="minorHAnsi"/>
            <w:bCs/>
            <w:sz w:val="22"/>
            <w:szCs w:val="22"/>
            <w:lang w:eastAsia="en-US"/>
          </w:rPr>
          <w:t>ных культур при проектировании лемешного плуга</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r w:rsidRPr="00E73FF0">
        <w:rPr>
          <w:rFonts w:eastAsiaTheme="minorHAnsi"/>
          <w:iCs/>
          <w:sz w:val="22"/>
          <w:szCs w:val="22"/>
          <w:lang w:eastAsia="en-US"/>
        </w:rPr>
        <w:lastRenderedPageBreak/>
        <w:t xml:space="preserve">Трубилин Е.И., Лепшина А.И. </w:t>
      </w:r>
      <w:r w:rsidRPr="00E73FF0">
        <w:rPr>
          <w:rFonts w:eastAsiaTheme="minorHAnsi"/>
          <w:sz w:val="22"/>
          <w:szCs w:val="22"/>
          <w:lang w:eastAsia="en-US"/>
        </w:rPr>
        <w:t>В сборнике: </w:t>
      </w:r>
      <w:hyperlink r:id="rId81" w:history="1">
        <w:r w:rsidRPr="00E73FF0">
          <w:rPr>
            <w:rFonts w:eastAsiaTheme="minorHAnsi"/>
            <w:sz w:val="22"/>
            <w:szCs w:val="22"/>
            <w:lang w:eastAsia="en-US"/>
          </w:rPr>
          <w:t>Актуальные вопросы технических наук</w:t>
        </w:r>
      </w:hyperlink>
      <w:r w:rsidRPr="00E73FF0">
        <w:rPr>
          <w:rFonts w:eastAsiaTheme="minorHAnsi"/>
          <w:sz w:val="22"/>
          <w:szCs w:val="22"/>
          <w:lang w:eastAsia="en-US"/>
        </w:rPr>
        <w:t> Материалы III Международной научной конф</w:t>
      </w:r>
      <w:r w:rsidRPr="00E73FF0">
        <w:rPr>
          <w:rFonts w:eastAsiaTheme="minorHAnsi"/>
          <w:sz w:val="22"/>
          <w:szCs w:val="22"/>
          <w:lang w:eastAsia="en-US"/>
        </w:rPr>
        <w:t>е</w:t>
      </w:r>
      <w:r w:rsidRPr="00E73FF0">
        <w:rPr>
          <w:rFonts w:eastAsiaTheme="minorHAnsi"/>
          <w:sz w:val="22"/>
          <w:szCs w:val="22"/>
          <w:lang w:eastAsia="en-US"/>
        </w:rPr>
        <w:t>ренции. 2015. С. 150-155.</w:t>
      </w:r>
    </w:p>
    <w:p w:rsidR="00E73FF0" w:rsidRPr="00E73FF0" w:rsidRDefault="00E73FF0" w:rsidP="00E73FF0">
      <w:pPr>
        <w:ind w:firstLine="425"/>
        <w:contextualSpacing/>
        <w:jc w:val="both"/>
        <w:rPr>
          <w:rFonts w:eastAsiaTheme="minorHAnsi"/>
          <w:sz w:val="22"/>
          <w:szCs w:val="22"/>
          <w:lang w:eastAsia="en-US"/>
        </w:rPr>
      </w:pPr>
      <w:r w:rsidRPr="00E73FF0">
        <w:rPr>
          <w:rFonts w:eastAsiaTheme="minorHAnsi"/>
          <w:sz w:val="22"/>
          <w:szCs w:val="22"/>
          <w:lang w:eastAsia="en-US"/>
        </w:rPr>
        <w:t xml:space="preserve">3. </w:t>
      </w:r>
      <w:hyperlink r:id="rId82" w:history="1">
        <w:r w:rsidRPr="00E73FF0">
          <w:rPr>
            <w:rFonts w:eastAsiaTheme="minorHAnsi"/>
            <w:bCs/>
            <w:sz w:val="22"/>
            <w:szCs w:val="22"/>
            <w:lang w:eastAsia="en-US"/>
          </w:rPr>
          <w:t>Расчет основных параметров разбрасывателя сыпучих мат</w:t>
        </w:r>
        <w:r w:rsidRPr="00E73FF0">
          <w:rPr>
            <w:rFonts w:eastAsiaTheme="minorHAnsi"/>
            <w:bCs/>
            <w:sz w:val="22"/>
            <w:szCs w:val="22"/>
            <w:lang w:eastAsia="en-US"/>
          </w:rPr>
          <w:t>е</w:t>
        </w:r>
        <w:r w:rsidRPr="00E73FF0">
          <w:rPr>
            <w:rFonts w:eastAsiaTheme="minorHAnsi"/>
            <w:bCs/>
            <w:sz w:val="22"/>
            <w:szCs w:val="22"/>
            <w:lang w:eastAsia="en-US"/>
          </w:rPr>
          <w:t>риалов</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Лепшина А.И. </w:t>
      </w:r>
      <w:hyperlink r:id="rId83" w:history="1">
        <w:r w:rsidRPr="00E73FF0">
          <w:rPr>
            <w:rFonts w:eastAsiaTheme="minorHAnsi"/>
            <w:sz w:val="22"/>
            <w:szCs w:val="22"/>
            <w:lang w:eastAsia="en-US"/>
          </w:rPr>
          <w:t>Политематический сетевой электронный научный журнал Кубанского государственного агра</w:t>
        </w:r>
        <w:r w:rsidRPr="00E73FF0">
          <w:rPr>
            <w:rFonts w:eastAsiaTheme="minorHAnsi"/>
            <w:sz w:val="22"/>
            <w:szCs w:val="22"/>
            <w:lang w:eastAsia="en-US"/>
          </w:rPr>
          <w:t>р</w:t>
        </w:r>
        <w:r w:rsidRPr="00E73FF0">
          <w:rPr>
            <w:rFonts w:eastAsiaTheme="minorHAnsi"/>
            <w:sz w:val="22"/>
            <w:szCs w:val="22"/>
            <w:lang w:eastAsia="en-US"/>
          </w:rPr>
          <w:t>ного университета</w:t>
        </w:r>
      </w:hyperlink>
      <w:r w:rsidRPr="00E73FF0">
        <w:rPr>
          <w:rFonts w:eastAsiaTheme="minorHAnsi"/>
          <w:sz w:val="22"/>
          <w:szCs w:val="22"/>
          <w:lang w:eastAsia="en-US"/>
        </w:rPr>
        <w:t>. 2014. </w:t>
      </w:r>
      <w:hyperlink r:id="rId84" w:history="1">
        <w:r w:rsidRPr="00E73FF0">
          <w:rPr>
            <w:rFonts w:eastAsiaTheme="minorHAnsi"/>
            <w:sz w:val="22"/>
            <w:szCs w:val="22"/>
            <w:lang w:eastAsia="en-US"/>
          </w:rPr>
          <w:t>№ 104</w:t>
        </w:r>
      </w:hyperlink>
      <w:r w:rsidRPr="00E73FF0">
        <w:rPr>
          <w:rFonts w:eastAsiaTheme="minorHAnsi"/>
          <w:sz w:val="22"/>
          <w:szCs w:val="22"/>
          <w:lang w:eastAsia="en-US"/>
        </w:rPr>
        <w:t>. С. 1923-1939.</w:t>
      </w:r>
    </w:p>
    <w:p w:rsidR="00E73FF0" w:rsidRPr="00E73FF0" w:rsidRDefault="00E73FF0" w:rsidP="00E73FF0">
      <w:pPr>
        <w:ind w:firstLine="425"/>
        <w:contextualSpacing/>
        <w:jc w:val="both"/>
        <w:rPr>
          <w:rFonts w:eastAsiaTheme="minorHAnsi"/>
          <w:sz w:val="22"/>
          <w:szCs w:val="22"/>
          <w:lang w:eastAsia="en-US"/>
        </w:rPr>
      </w:pPr>
      <w:r w:rsidRPr="00E73FF0">
        <w:rPr>
          <w:rFonts w:eastAsiaTheme="minorHAnsi"/>
          <w:sz w:val="22"/>
          <w:szCs w:val="22"/>
          <w:lang w:val="en-US" w:eastAsia="en-US"/>
        </w:rPr>
        <w:t xml:space="preserve">4. </w:t>
      </w:r>
      <w:r w:rsidR="009D0151">
        <w:fldChar w:fldCharType="begin"/>
      </w:r>
      <w:r w:rsidR="009D0151" w:rsidRPr="009D0151">
        <w:rPr>
          <w:lang w:val="en-US"/>
        </w:rPr>
        <w:instrText xml:space="preserve"> HYPERLINK "https://elibrary.ru/item.asp?id=26821098" </w:instrText>
      </w:r>
      <w:r w:rsidR="009D0151">
        <w:fldChar w:fldCharType="separate"/>
      </w:r>
      <w:r w:rsidRPr="00E73FF0">
        <w:rPr>
          <w:rFonts w:eastAsiaTheme="minorHAnsi"/>
          <w:bCs/>
          <w:sz w:val="22"/>
          <w:szCs w:val="22"/>
          <w:lang w:val="en-US" w:eastAsia="en-US"/>
        </w:rPr>
        <w:t>Theoretical studies of the tobacco stalk interaction with the leaf-separating unit</w:t>
      </w:r>
      <w:r w:rsidR="009D0151">
        <w:rPr>
          <w:rFonts w:eastAsiaTheme="minorHAnsi"/>
          <w:bCs/>
          <w:sz w:val="22"/>
          <w:szCs w:val="22"/>
          <w:lang w:val="en-US" w:eastAsia="en-US"/>
        </w:rPr>
        <w:fldChar w:fldCharType="end"/>
      </w:r>
      <w:r w:rsidRPr="00E73FF0">
        <w:rPr>
          <w:rFonts w:eastAsiaTheme="minorHAnsi"/>
          <w:sz w:val="22"/>
          <w:szCs w:val="22"/>
          <w:lang w:val="en-US" w:eastAsia="en-US"/>
        </w:rPr>
        <w:t xml:space="preserve"> </w:t>
      </w:r>
      <w:r w:rsidRPr="00E73FF0">
        <w:rPr>
          <w:rFonts w:eastAsiaTheme="minorHAnsi"/>
          <w:iCs/>
          <w:sz w:val="22"/>
          <w:szCs w:val="22"/>
          <w:lang w:val="en-US" w:eastAsia="en-US"/>
        </w:rPr>
        <w:t xml:space="preserve">Papusha S.K., Belousov S.V., Bogus A.E., Konovalov V.I. </w:t>
      </w:r>
      <w:r w:rsidR="009D0151">
        <w:fldChar w:fldCharType="begin"/>
      </w:r>
      <w:r w:rsidR="009D0151" w:rsidRPr="009D0151">
        <w:rPr>
          <w:lang w:val="en-US"/>
        </w:rPr>
        <w:instrText xml:space="preserve"> HYPERLINK "https://elibrary.ru/contents.asp?issueid=1599777" </w:instrText>
      </w:r>
      <w:r w:rsidR="009D0151">
        <w:fldChar w:fldCharType="separate"/>
      </w:r>
      <w:r w:rsidRPr="00E73FF0">
        <w:rPr>
          <w:rFonts w:eastAsiaTheme="minorHAnsi"/>
          <w:sz w:val="22"/>
          <w:szCs w:val="22"/>
          <w:lang w:val="en-US" w:eastAsia="en-US"/>
        </w:rPr>
        <w:t>International</w:t>
      </w:r>
      <w:r w:rsidRPr="00E73FF0">
        <w:rPr>
          <w:rFonts w:eastAsiaTheme="minorHAnsi"/>
          <w:sz w:val="22"/>
          <w:szCs w:val="22"/>
          <w:lang w:eastAsia="en-US"/>
        </w:rPr>
        <w:t xml:space="preserve"> </w:t>
      </w:r>
      <w:r w:rsidRPr="00E73FF0">
        <w:rPr>
          <w:rFonts w:eastAsiaTheme="minorHAnsi"/>
          <w:sz w:val="22"/>
          <w:szCs w:val="22"/>
          <w:lang w:val="en-US" w:eastAsia="en-US"/>
        </w:rPr>
        <w:t>Journal</w:t>
      </w:r>
      <w:r w:rsidRPr="00E73FF0">
        <w:rPr>
          <w:rFonts w:eastAsiaTheme="minorHAnsi"/>
          <w:sz w:val="22"/>
          <w:szCs w:val="22"/>
          <w:lang w:eastAsia="en-US"/>
        </w:rPr>
        <w:t xml:space="preserve"> </w:t>
      </w:r>
      <w:r w:rsidRPr="00E73FF0">
        <w:rPr>
          <w:rFonts w:eastAsiaTheme="minorHAnsi"/>
          <w:sz w:val="22"/>
          <w:szCs w:val="22"/>
          <w:lang w:val="en-US" w:eastAsia="en-US"/>
        </w:rPr>
        <w:t>of</w:t>
      </w:r>
      <w:r w:rsidRPr="00E73FF0">
        <w:rPr>
          <w:rFonts w:eastAsiaTheme="minorHAnsi"/>
          <w:sz w:val="22"/>
          <w:szCs w:val="22"/>
          <w:lang w:eastAsia="en-US"/>
        </w:rPr>
        <w:t xml:space="preserve"> </w:t>
      </w:r>
      <w:r w:rsidRPr="00E73FF0">
        <w:rPr>
          <w:rFonts w:eastAsiaTheme="minorHAnsi"/>
          <w:sz w:val="22"/>
          <w:szCs w:val="22"/>
          <w:lang w:val="en-US" w:eastAsia="en-US"/>
        </w:rPr>
        <w:t>Applied</w:t>
      </w:r>
      <w:r w:rsidRPr="00E73FF0">
        <w:rPr>
          <w:rFonts w:eastAsiaTheme="minorHAnsi"/>
          <w:sz w:val="22"/>
          <w:szCs w:val="22"/>
          <w:lang w:eastAsia="en-US"/>
        </w:rPr>
        <w:t xml:space="preserve"> </w:t>
      </w:r>
      <w:r w:rsidRPr="00E73FF0">
        <w:rPr>
          <w:rFonts w:eastAsiaTheme="minorHAnsi"/>
          <w:sz w:val="22"/>
          <w:szCs w:val="22"/>
          <w:lang w:val="en-US" w:eastAsia="en-US"/>
        </w:rPr>
        <w:t>Engineering</w:t>
      </w:r>
      <w:r w:rsidRPr="00E73FF0">
        <w:rPr>
          <w:rFonts w:eastAsiaTheme="minorHAnsi"/>
          <w:sz w:val="22"/>
          <w:szCs w:val="22"/>
          <w:lang w:eastAsia="en-US"/>
        </w:rPr>
        <w:t xml:space="preserve"> </w:t>
      </w:r>
      <w:r w:rsidRPr="00E73FF0">
        <w:rPr>
          <w:rFonts w:eastAsiaTheme="minorHAnsi"/>
          <w:sz w:val="22"/>
          <w:szCs w:val="22"/>
          <w:lang w:val="en-US" w:eastAsia="en-US"/>
        </w:rPr>
        <w:t>Research</w:t>
      </w:r>
      <w:r w:rsidR="009D0151">
        <w:rPr>
          <w:rFonts w:eastAsiaTheme="minorHAnsi"/>
          <w:sz w:val="22"/>
          <w:szCs w:val="22"/>
          <w:lang w:val="en-US" w:eastAsia="en-US"/>
        </w:rPr>
        <w:fldChar w:fldCharType="end"/>
      </w:r>
      <w:r w:rsidRPr="00E73FF0">
        <w:rPr>
          <w:rFonts w:eastAsiaTheme="minorHAnsi"/>
          <w:sz w:val="22"/>
          <w:szCs w:val="22"/>
          <w:lang w:eastAsia="en-US"/>
        </w:rPr>
        <w:t>. 2016. Т. 11.</w:t>
      </w:r>
      <w:r w:rsidRPr="00E73FF0">
        <w:rPr>
          <w:rFonts w:eastAsiaTheme="minorHAnsi"/>
          <w:sz w:val="22"/>
          <w:szCs w:val="22"/>
          <w:lang w:val="en-US" w:eastAsia="en-US"/>
        </w:rPr>
        <w:t> </w:t>
      </w:r>
      <w:hyperlink r:id="rId85" w:history="1">
        <w:r w:rsidRPr="00E73FF0">
          <w:rPr>
            <w:rFonts w:eastAsiaTheme="minorHAnsi"/>
            <w:sz w:val="22"/>
            <w:szCs w:val="22"/>
            <w:lang w:eastAsia="en-US"/>
          </w:rPr>
          <w:t>№</w:t>
        </w:r>
        <w:r w:rsidRPr="00E73FF0">
          <w:rPr>
            <w:rFonts w:eastAsiaTheme="minorHAnsi"/>
            <w:sz w:val="22"/>
            <w:szCs w:val="22"/>
            <w:lang w:val="en-US" w:eastAsia="en-US"/>
          </w:rPr>
          <w:t> </w:t>
        </w:r>
        <w:r w:rsidRPr="00E73FF0">
          <w:rPr>
            <w:rFonts w:eastAsiaTheme="minorHAnsi"/>
            <w:sz w:val="22"/>
            <w:szCs w:val="22"/>
            <w:lang w:eastAsia="en-US"/>
          </w:rPr>
          <w:t>8</w:t>
        </w:r>
      </w:hyperlink>
      <w:r w:rsidRPr="00E73FF0">
        <w:rPr>
          <w:rFonts w:eastAsiaTheme="minorHAnsi"/>
          <w:sz w:val="22"/>
          <w:szCs w:val="22"/>
          <w:lang w:eastAsia="en-US"/>
        </w:rPr>
        <w:t>. С. 5610-5613.</w:t>
      </w:r>
    </w:p>
    <w:p w:rsidR="00E73FF0" w:rsidRPr="00E73FF0" w:rsidRDefault="00E73FF0" w:rsidP="00E73FF0">
      <w:pPr>
        <w:ind w:firstLine="425"/>
        <w:contextualSpacing/>
        <w:jc w:val="both"/>
        <w:rPr>
          <w:rFonts w:eastAsiaTheme="minorHAnsi"/>
          <w:sz w:val="22"/>
          <w:szCs w:val="22"/>
          <w:lang w:eastAsia="en-US"/>
        </w:rPr>
      </w:pPr>
      <w:r w:rsidRPr="00E73FF0">
        <w:rPr>
          <w:rFonts w:eastAsiaTheme="minorHAnsi"/>
          <w:sz w:val="22"/>
          <w:szCs w:val="22"/>
          <w:lang w:eastAsia="en-US"/>
        </w:rPr>
        <w:t xml:space="preserve">5. </w:t>
      </w:r>
      <w:hyperlink r:id="rId86" w:history="1">
        <w:r w:rsidRPr="00E73FF0">
          <w:rPr>
            <w:rFonts w:eastAsiaTheme="minorHAnsi"/>
            <w:bCs/>
            <w:sz w:val="22"/>
            <w:szCs w:val="22"/>
            <w:lang w:eastAsia="en-US"/>
          </w:rPr>
          <w:t>Связь науки и техники в области разработок машин для о</w:t>
        </w:r>
        <w:r w:rsidRPr="00E73FF0">
          <w:rPr>
            <w:rFonts w:eastAsiaTheme="minorHAnsi"/>
            <w:bCs/>
            <w:sz w:val="22"/>
            <w:szCs w:val="22"/>
            <w:lang w:eastAsia="en-US"/>
          </w:rPr>
          <w:t>с</w:t>
        </w:r>
        <w:r w:rsidRPr="00E73FF0">
          <w:rPr>
            <w:rFonts w:eastAsiaTheme="minorHAnsi"/>
            <w:bCs/>
            <w:sz w:val="22"/>
            <w:szCs w:val="22"/>
            <w:lang w:eastAsia="en-US"/>
          </w:rPr>
          <w:t>новной обработки почвы с оборотом пласта</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hyperlink r:id="rId87" w:history="1">
        <w:r w:rsidRPr="00E73FF0">
          <w:rPr>
            <w:rFonts w:eastAsiaTheme="minorHAnsi"/>
            <w:sz w:val="22"/>
            <w:szCs w:val="22"/>
            <w:lang w:eastAsia="en-US"/>
          </w:rPr>
          <w:t>Полит</w:t>
        </w:r>
        <w:r w:rsidRPr="00E73FF0">
          <w:rPr>
            <w:rFonts w:eastAsiaTheme="minorHAnsi"/>
            <w:sz w:val="22"/>
            <w:szCs w:val="22"/>
            <w:lang w:eastAsia="en-US"/>
          </w:rPr>
          <w:t>е</w:t>
        </w:r>
        <w:r w:rsidRPr="00E73FF0">
          <w:rPr>
            <w:rFonts w:eastAsiaTheme="minorHAnsi"/>
            <w:sz w:val="22"/>
            <w:szCs w:val="22"/>
            <w:lang w:eastAsia="en-US"/>
          </w:rPr>
          <w:t>матический сетевой электронный научный журнал Кубанского го</w:t>
        </w:r>
        <w:r w:rsidRPr="00E73FF0">
          <w:rPr>
            <w:rFonts w:eastAsiaTheme="minorHAnsi"/>
            <w:sz w:val="22"/>
            <w:szCs w:val="22"/>
            <w:lang w:eastAsia="en-US"/>
          </w:rPr>
          <w:t>с</w:t>
        </w:r>
        <w:r w:rsidRPr="00E73FF0">
          <w:rPr>
            <w:rFonts w:eastAsiaTheme="minorHAnsi"/>
            <w:sz w:val="22"/>
            <w:szCs w:val="22"/>
            <w:lang w:eastAsia="en-US"/>
          </w:rPr>
          <w:t>ударственного аграрного университета</w:t>
        </w:r>
      </w:hyperlink>
      <w:r w:rsidRPr="00E73FF0">
        <w:rPr>
          <w:rFonts w:eastAsiaTheme="minorHAnsi"/>
          <w:sz w:val="22"/>
          <w:szCs w:val="22"/>
          <w:lang w:eastAsia="en-US"/>
        </w:rPr>
        <w:t>. 2015. </w:t>
      </w:r>
      <w:hyperlink r:id="rId88" w:history="1">
        <w:r w:rsidRPr="00E73FF0">
          <w:rPr>
            <w:rFonts w:eastAsiaTheme="minorHAnsi"/>
            <w:sz w:val="22"/>
            <w:szCs w:val="22"/>
            <w:lang w:eastAsia="en-US"/>
          </w:rPr>
          <w:t>№ 109</w:t>
        </w:r>
      </w:hyperlink>
      <w:r w:rsidRPr="00E73FF0">
        <w:rPr>
          <w:rFonts w:eastAsiaTheme="minorHAnsi"/>
          <w:sz w:val="22"/>
          <w:szCs w:val="22"/>
          <w:lang w:eastAsia="en-US"/>
        </w:rPr>
        <w:t>. С. 468-486.</w:t>
      </w:r>
    </w:p>
    <w:p w:rsidR="00E73FF0" w:rsidRDefault="00E73FF0" w:rsidP="00B43BBC">
      <w:pPr>
        <w:pStyle w:val="31"/>
        <w:rPr>
          <w:sz w:val="22"/>
          <w:szCs w:val="22"/>
        </w:rPr>
      </w:pPr>
    </w:p>
    <w:p w:rsidR="00573255" w:rsidRDefault="00573255" w:rsidP="006E5B69">
      <w:pPr>
        <w:pStyle w:val="31"/>
        <w:ind w:firstLine="0"/>
        <w:rPr>
          <w:sz w:val="22"/>
          <w:szCs w:val="22"/>
        </w:rPr>
      </w:pPr>
    </w:p>
    <w:p w:rsidR="00E73FF0" w:rsidRDefault="00E73FF0" w:rsidP="00E73FF0">
      <w:pPr>
        <w:contextualSpacing/>
        <w:rPr>
          <w:color w:val="000000"/>
          <w:sz w:val="22"/>
          <w:szCs w:val="22"/>
        </w:rPr>
      </w:pPr>
      <w:r w:rsidRPr="00573255">
        <w:rPr>
          <w:color w:val="000000"/>
          <w:sz w:val="22"/>
          <w:szCs w:val="22"/>
        </w:rPr>
        <w:t xml:space="preserve">УДК 631.3.0 </w:t>
      </w:r>
    </w:p>
    <w:p w:rsidR="00573255" w:rsidRPr="00573255" w:rsidRDefault="00573255" w:rsidP="00E73FF0">
      <w:pPr>
        <w:contextualSpacing/>
        <w:rPr>
          <w:color w:val="000000"/>
          <w:sz w:val="22"/>
          <w:szCs w:val="22"/>
        </w:rPr>
      </w:pPr>
    </w:p>
    <w:p w:rsidR="00E73FF0" w:rsidRPr="006E5B69" w:rsidRDefault="00E73FF0" w:rsidP="006E5B69">
      <w:pPr>
        <w:contextualSpacing/>
        <w:jc w:val="center"/>
        <w:rPr>
          <w:b/>
          <w:color w:val="000000"/>
          <w:sz w:val="24"/>
          <w:szCs w:val="24"/>
        </w:rPr>
      </w:pPr>
      <w:r w:rsidRPr="00E73FF0">
        <w:rPr>
          <w:b/>
          <w:color w:val="000000"/>
          <w:sz w:val="24"/>
          <w:szCs w:val="24"/>
        </w:rPr>
        <w:t xml:space="preserve">Теория работы агрегата для предпосевной обработки </w:t>
      </w:r>
      <w:r w:rsidR="006E5B69">
        <w:rPr>
          <w:b/>
          <w:color w:val="000000"/>
          <w:sz w:val="24"/>
          <w:szCs w:val="24"/>
        </w:rPr>
        <w:br/>
      </w:r>
      <w:r w:rsidRPr="00E73FF0">
        <w:rPr>
          <w:b/>
          <w:color w:val="000000"/>
          <w:sz w:val="24"/>
          <w:szCs w:val="24"/>
        </w:rPr>
        <w:t>почвы</w:t>
      </w:r>
    </w:p>
    <w:p w:rsidR="00E73FF0" w:rsidRPr="00E73FF0" w:rsidRDefault="00E73FF0" w:rsidP="00E73FF0">
      <w:pPr>
        <w:contextualSpacing/>
        <w:jc w:val="center"/>
        <w:rPr>
          <w:rFonts w:eastAsiaTheme="minorHAnsi"/>
          <w:b/>
          <w:sz w:val="24"/>
          <w:szCs w:val="22"/>
          <w:lang w:val="en-US" w:eastAsia="en-US"/>
        </w:rPr>
      </w:pPr>
      <w:r w:rsidRPr="00E73FF0">
        <w:rPr>
          <w:rFonts w:eastAsiaTheme="minorHAnsi"/>
          <w:b/>
          <w:sz w:val="24"/>
          <w:szCs w:val="22"/>
          <w:lang w:val="en-US" w:eastAsia="en-US"/>
        </w:rPr>
        <w:t>Theory of operation of the unit for presowing treatment</w:t>
      </w:r>
    </w:p>
    <w:p w:rsidR="00E73FF0" w:rsidRPr="00E73FF0" w:rsidRDefault="00E73FF0" w:rsidP="00E73FF0">
      <w:pPr>
        <w:contextualSpacing/>
        <w:jc w:val="center"/>
        <w:rPr>
          <w:b/>
          <w:color w:val="000000"/>
          <w:szCs w:val="24"/>
        </w:rPr>
      </w:pPr>
      <w:r w:rsidRPr="00E73FF0">
        <w:rPr>
          <w:rFonts w:eastAsiaTheme="minorHAnsi"/>
          <w:b/>
          <w:sz w:val="24"/>
          <w:szCs w:val="22"/>
          <w:lang w:val="en-US" w:eastAsia="en-US"/>
        </w:rPr>
        <w:t>soil</w:t>
      </w:r>
    </w:p>
    <w:p w:rsidR="00E73FF0" w:rsidRPr="00573255" w:rsidRDefault="00E73FF0" w:rsidP="00E73FF0">
      <w:pPr>
        <w:contextualSpacing/>
        <w:jc w:val="right"/>
        <w:rPr>
          <w:color w:val="000000"/>
          <w:sz w:val="22"/>
          <w:szCs w:val="22"/>
        </w:rPr>
      </w:pPr>
      <w:r w:rsidRPr="00573255">
        <w:rPr>
          <w:color w:val="000000"/>
          <w:sz w:val="22"/>
          <w:szCs w:val="22"/>
        </w:rPr>
        <w:t>Новиков В.</w:t>
      </w:r>
      <w:r w:rsidR="00573255">
        <w:rPr>
          <w:color w:val="000000"/>
          <w:sz w:val="22"/>
          <w:szCs w:val="22"/>
        </w:rPr>
        <w:t xml:space="preserve"> </w:t>
      </w:r>
      <w:r w:rsidRPr="00573255">
        <w:rPr>
          <w:color w:val="000000"/>
          <w:sz w:val="22"/>
          <w:szCs w:val="22"/>
        </w:rPr>
        <w:t>В.</w:t>
      </w:r>
      <w:r w:rsidR="00573255">
        <w:rPr>
          <w:color w:val="000000"/>
          <w:sz w:val="22"/>
          <w:szCs w:val="22"/>
        </w:rPr>
        <w:t>,</w:t>
      </w:r>
    </w:p>
    <w:p w:rsidR="00E73FF0" w:rsidRPr="00573255" w:rsidRDefault="00E73FF0" w:rsidP="00E73FF0">
      <w:pPr>
        <w:ind w:firstLine="426"/>
        <w:jc w:val="right"/>
        <w:rPr>
          <w:rFonts w:eastAsiaTheme="minorHAnsi"/>
          <w:sz w:val="22"/>
          <w:szCs w:val="22"/>
          <w:lang w:eastAsia="en-US"/>
        </w:rPr>
      </w:pPr>
      <w:r w:rsidRPr="00573255">
        <w:rPr>
          <w:rFonts w:eastAsiaTheme="minorHAnsi"/>
          <w:sz w:val="22"/>
          <w:szCs w:val="22"/>
          <w:lang w:eastAsia="en-US"/>
        </w:rPr>
        <w:t>магистрант 1-го курса факультета механизации</w:t>
      </w:r>
    </w:p>
    <w:p w:rsidR="00E73FF0" w:rsidRPr="00573255" w:rsidRDefault="00E73FF0" w:rsidP="00E73FF0">
      <w:pPr>
        <w:contextualSpacing/>
        <w:jc w:val="right"/>
        <w:rPr>
          <w:color w:val="000000"/>
          <w:sz w:val="22"/>
          <w:szCs w:val="22"/>
        </w:rPr>
      </w:pPr>
      <w:r w:rsidRPr="00573255">
        <w:rPr>
          <w:color w:val="000000"/>
          <w:sz w:val="22"/>
          <w:szCs w:val="22"/>
        </w:rPr>
        <w:t xml:space="preserve"> Абликов В.</w:t>
      </w:r>
      <w:r w:rsidR="00573255">
        <w:rPr>
          <w:color w:val="000000"/>
          <w:sz w:val="22"/>
          <w:szCs w:val="22"/>
        </w:rPr>
        <w:t xml:space="preserve"> </w:t>
      </w:r>
      <w:r w:rsidRPr="00573255">
        <w:rPr>
          <w:color w:val="000000"/>
          <w:sz w:val="22"/>
          <w:szCs w:val="22"/>
        </w:rPr>
        <w:t>А.</w:t>
      </w:r>
      <w:r w:rsidR="00573255">
        <w:rPr>
          <w:color w:val="000000"/>
          <w:sz w:val="22"/>
          <w:szCs w:val="22"/>
        </w:rPr>
        <w:t>,</w:t>
      </w:r>
    </w:p>
    <w:p w:rsidR="00E73FF0" w:rsidRPr="00573255" w:rsidRDefault="00E73FF0" w:rsidP="00E73FF0">
      <w:pPr>
        <w:contextualSpacing/>
        <w:jc w:val="right"/>
        <w:rPr>
          <w:color w:val="000000"/>
          <w:sz w:val="22"/>
          <w:szCs w:val="22"/>
        </w:rPr>
      </w:pPr>
      <w:r w:rsidRPr="00573255">
        <w:rPr>
          <w:rFonts w:eastAsiaTheme="minorHAnsi"/>
          <w:sz w:val="22"/>
          <w:szCs w:val="22"/>
          <w:lang w:eastAsia="en-US"/>
        </w:rPr>
        <w:t>профессор ВАК</w:t>
      </w:r>
    </w:p>
    <w:p w:rsidR="00E73FF0" w:rsidRPr="00573255" w:rsidRDefault="00E73FF0" w:rsidP="00E73FF0">
      <w:pPr>
        <w:contextualSpacing/>
        <w:jc w:val="right"/>
        <w:rPr>
          <w:color w:val="000000"/>
          <w:sz w:val="22"/>
          <w:szCs w:val="22"/>
        </w:rPr>
      </w:pPr>
      <w:r w:rsidRPr="00573255">
        <w:rPr>
          <w:color w:val="000000"/>
          <w:sz w:val="22"/>
          <w:szCs w:val="22"/>
        </w:rPr>
        <w:t>Белоусов С.</w:t>
      </w:r>
      <w:r w:rsidR="00573255">
        <w:rPr>
          <w:color w:val="000000"/>
          <w:sz w:val="22"/>
          <w:szCs w:val="22"/>
        </w:rPr>
        <w:t xml:space="preserve"> </w:t>
      </w:r>
      <w:r w:rsidRPr="00573255">
        <w:rPr>
          <w:color w:val="000000"/>
          <w:sz w:val="22"/>
          <w:szCs w:val="22"/>
        </w:rPr>
        <w:t>В.</w:t>
      </w:r>
      <w:r w:rsidR="00573255">
        <w:rPr>
          <w:color w:val="000000"/>
          <w:sz w:val="22"/>
          <w:szCs w:val="22"/>
        </w:rPr>
        <w:t>,</w:t>
      </w:r>
    </w:p>
    <w:p w:rsidR="00E73FF0" w:rsidRPr="00573255" w:rsidRDefault="00573255" w:rsidP="00E73FF0">
      <w:pPr>
        <w:ind w:firstLine="426"/>
        <w:jc w:val="right"/>
        <w:rPr>
          <w:rFonts w:eastAsiaTheme="minorHAnsi"/>
          <w:sz w:val="22"/>
          <w:szCs w:val="22"/>
          <w:lang w:eastAsia="en-US"/>
        </w:rPr>
      </w:pPr>
      <w:r>
        <w:rPr>
          <w:rFonts w:eastAsiaTheme="minorHAnsi"/>
          <w:sz w:val="22"/>
          <w:szCs w:val="22"/>
          <w:lang w:eastAsia="en-US"/>
        </w:rPr>
        <w:t>старший преподаватель кафедры</w:t>
      </w:r>
    </w:p>
    <w:p w:rsidR="00E73FF0" w:rsidRPr="00573255" w:rsidRDefault="00E73FF0" w:rsidP="00E73FF0">
      <w:pPr>
        <w:ind w:firstLine="426"/>
        <w:jc w:val="right"/>
        <w:rPr>
          <w:rFonts w:eastAsiaTheme="minorHAnsi"/>
          <w:sz w:val="22"/>
          <w:szCs w:val="22"/>
          <w:lang w:eastAsia="en-US"/>
        </w:rPr>
      </w:pPr>
      <w:r w:rsidRPr="00573255">
        <w:rPr>
          <w:rFonts w:eastAsiaTheme="minorHAnsi"/>
          <w:sz w:val="22"/>
          <w:szCs w:val="22"/>
          <w:lang w:eastAsia="en-US"/>
        </w:rPr>
        <w:t>«Процессы и машины в агробизнесе»</w:t>
      </w:r>
    </w:p>
    <w:p w:rsidR="00E73FF0" w:rsidRPr="00573255" w:rsidRDefault="00E73FF0" w:rsidP="00E73FF0">
      <w:pPr>
        <w:widowControl w:val="0"/>
        <w:tabs>
          <w:tab w:val="left" w:pos="8223"/>
        </w:tabs>
        <w:jc w:val="right"/>
        <w:rPr>
          <w:rFonts w:eastAsia="Courier New"/>
          <w:color w:val="000000"/>
          <w:sz w:val="22"/>
          <w:szCs w:val="22"/>
          <w:lang w:eastAsia="en-US"/>
        </w:rPr>
      </w:pPr>
      <w:r w:rsidRPr="00573255">
        <w:rPr>
          <w:rFonts w:eastAsia="Courier New"/>
          <w:color w:val="000000"/>
          <w:sz w:val="22"/>
          <w:szCs w:val="22"/>
          <w:lang w:eastAsia="en-US"/>
        </w:rPr>
        <w:t>Кубанский</w:t>
      </w:r>
      <w:r w:rsidR="00573255">
        <w:rPr>
          <w:rFonts w:eastAsia="Courier New"/>
          <w:color w:val="000000"/>
          <w:sz w:val="22"/>
          <w:szCs w:val="22"/>
          <w:lang w:eastAsia="en-US"/>
        </w:rPr>
        <w:t xml:space="preserve"> государственный аграрный</w:t>
      </w:r>
    </w:p>
    <w:p w:rsidR="00E73FF0" w:rsidRPr="00573255" w:rsidRDefault="00E73FF0" w:rsidP="00E73FF0">
      <w:pPr>
        <w:contextualSpacing/>
        <w:jc w:val="right"/>
        <w:rPr>
          <w:rFonts w:eastAsia="Courier New"/>
          <w:color w:val="000000"/>
          <w:sz w:val="22"/>
          <w:szCs w:val="22"/>
          <w:lang w:eastAsia="en-US"/>
        </w:rPr>
      </w:pPr>
      <w:r w:rsidRPr="00573255">
        <w:rPr>
          <w:rFonts w:eastAsia="Courier New"/>
          <w:color w:val="000000"/>
          <w:sz w:val="22"/>
          <w:szCs w:val="22"/>
          <w:lang w:eastAsia="en-US"/>
        </w:rPr>
        <w:t>университет имени И.Т. Трубилина</w:t>
      </w:r>
    </w:p>
    <w:p w:rsidR="00E73FF0" w:rsidRPr="00E73FF0" w:rsidRDefault="00E73FF0" w:rsidP="00E73FF0">
      <w:pPr>
        <w:contextualSpacing/>
        <w:jc w:val="right"/>
        <w:rPr>
          <w:rFonts w:asciiTheme="minorHAnsi" w:eastAsiaTheme="minorHAnsi" w:hAnsiTheme="minorHAnsi" w:cstheme="minorBidi"/>
          <w:sz w:val="22"/>
          <w:szCs w:val="22"/>
          <w:lang w:eastAsia="en-US"/>
        </w:rPr>
      </w:pPr>
    </w:p>
    <w:p w:rsidR="00E73FF0" w:rsidRPr="00E73FF0" w:rsidRDefault="00E73FF0" w:rsidP="00E73FF0">
      <w:pPr>
        <w:widowControl w:val="0"/>
        <w:autoSpaceDE w:val="0"/>
        <w:autoSpaceDN w:val="0"/>
        <w:adjustRightInd w:val="0"/>
        <w:ind w:firstLine="426"/>
        <w:jc w:val="both"/>
        <w:rPr>
          <w:sz w:val="22"/>
          <w:szCs w:val="22"/>
        </w:rPr>
      </w:pPr>
      <w:r w:rsidRPr="00E73FF0">
        <w:rPr>
          <w:sz w:val="22"/>
          <w:szCs w:val="22"/>
        </w:rPr>
        <w:t>АННОТАЦИЯ: В работе освещены вопросы теоретического взаимодействия рабочих органов с сельскохозяйственными культ</w:t>
      </w:r>
      <w:r w:rsidRPr="00E73FF0">
        <w:rPr>
          <w:sz w:val="22"/>
          <w:szCs w:val="22"/>
        </w:rPr>
        <w:t>у</w:t>
      </w:r>
      <w:r w:rsidRPr="00E73FF0">
        <w:rPr>
          <w:sz w:val="22"/>
          <w:szCs w:val="22"/>
        </w:rPr>
        <w:t>рами. Представлены теоретические вопросы взаимодействия раб</w:t>
      </w:r>
      <w:r w:rsidRPr="00E73FF0">
        <w:rPr>
          <w:sz w:val="22"/>
          <w:szCs w:val="22"/>
        </w:rPr>
        <w:t>о</w:t>
      </w:r>
      <w:r w:rsidRPr="00E73FF0">
        <w:rPr>
          <w:sz w:val="22"/>
          <w:szCs w:val="22"/>
        </w:rPr>
        <w:t xml:space="preserve">чих органов с объектом обработки. Сделаны теоретические выводы </w:t>
      </w:r>
      <w:r w:rsidRPr="00E73FF0">
        <w:rPr>
          <w:sz w:val="22"/>
          <w:szCs w:val="22"/>
        </w:rPr>
        <w:lastRenderedPageBreak/>
        <w:t>по работе.</w:t>
      </w:r>
    </w:p>
    <w:p w:rsidR="00E73FF0" w:rsidRPr="00E73FF0" w:rsidRDefault="00E73FF0" w:rsidP="00E73FF0">
      <w:pPr>
        <w:widowControl w:val="0"/>
        <w:autoSpaceDE w:val="0"/>
        <w:autoSpaceDN w:val="0"/>
        <w:adjustRightInd w:val="0"/>
        <w:ind w:firstLine="426"/>
        <w:jc w:val="both"/>
        <w:rPr>
          <w:sz w:val="22"/>
          <w:szCs w:val="22"/>
        </w:rPr>
      </w:pPr>
      <w:r w:rsidRPr="00E73FF0">
        <w:rPr>
          <w:sz w:val="22"/>
          <w:szCs w:val="22"/>
          <w:lang w:val="en-US"/>
        </w:rPr>
        <w:t>ANNOTATION:</w:t>
      </w:r>
      <w:r w:rsidRPr="00E73FF0">
        <w:rPr>
          <w:rFonts w:eastAsiaTheme="minorHAnsi"/>
          <w:sz w:val="22"/>
          <w:szCs w:val="22"/>
          <w:lang w:val="en-US" w:eastAsia="en-US"/>
        </w:rPr>
        <w:t xml:space="preserve"> The paper covers the issues of theoretical intera</w:t>
      </w:r>
      <w:r w:rsidRPr="00E73FF0">
        <w:rPr>
          <w:rFonts w:eastAsiaTheme="minorHAnsi"/>
          <w:sz w:val="22"/>
          <w:szCs w:val="22"/>
          <w:lang w:val="en-US" w:eastAsia="en-US"/>
        </w:rPr>
        <w:t>c</w:t>
      </w:r>
      <w:r w:rsidRPr="00E73FF0">
        <w:rPr>
          <w:rFonts w:eastAsiaTheme="minorHAnsi"/>
          <w:sz w:val="22"/>
          <w:szCs w:val="22"/>
          <w:lang w:val="en-US" w:eastAsia="en-US"/>
        </w:rPr>
        <w:t>tion of working bodies with agricultural crops. Theoretical questions of solving the problem of deflection of cultivated plants without their d</w:t>
      </w:r>
      <w:r w:rsidRPr="00E73FF0">
        <w:rPr>
          <w:rFonts w:eastAsiaTheme="minorHAnsi"/>
          <w:sz w:val="22"/>
          <w:szCs w:val="22"/>
          <w:lang w:val="en-US" w:eastAsia="en-US"/>
        </w:rPr>
        <w:t>e</w:t>
      </w:r>
      <w:r w:rsidRPr="00E73FF0">
        <w:rPr>
          <w:rFonts w:eastAsiaTheme="minorHAnsi"/>
          <w:sz w:val="22"/>
          <w:szCs w:val="22"/>
          <w:lang w:val="en-US" w:eastAsia="en-US"/>
        </w:rPr>
        <w:t>formation and fracture are presented. Theoretical</w:t>
      </w:r>
      <w:r w:rsidRPr="00E73FF0">
        <w:rPr>
          <w:rFonts w:eastAsiaTheme="minorHAnsi"/>
          <w:sz w:val="22"/>
          <w:szCs w:val="22"/>
          <w:lang w:eastAsia="en-US"/>
        </w:rPr>
        <w:t xml:space="preserve"> </w:t>
      </w:r>
      <w:r w:rsidRPr="00E73FF0">
        <w:rPr>
          <w:rFonts w:eastAsiaTheme="minorHAnsi"/>
          <w:sz w:val="22"/>
          <w:szCs w:val="22"/>
          <w:lang w:val="en-US" w:eastAsia="en-US"/>
        </w:rPr>
        <w:t>conclusions</w:t>
      </w:r>
      <w:r w:rsidRPr="00E73FF0">
        <w:rPr>
          <w:rFonts w:eastAsiaTheme="minorHAnsi"/>
          <w:sz w:val="22"/>
          <w:szCs w:val="22"/>
          <w:lang w:eastAsia="en-US"/>
        </w:rPr>
        <w:t xml:space="preserve"> </w:t>
      </w:r>
      <w:r w:rsidRPr="00E73FF0">
        <w:rPr>
          <w:rFonts w:eastAsiaTheme="minorHAnsi"/>
          <w:sz w:val="22"/>
          <w:szCs w:val="22"/>
          <w:lang w:val="en-US" w:eastAsia="en-US"/>
        </w:rPr>
        <w:t>on</w:t>
      </w:r>
      <w:r w:rsidRPr="00E73FF0">
        <w:rPr>
          <w:rFonts w:eastAsiaTheme="minorHAnsi"/>
          <w:sz w:val="22"/>
          <w:szCs w:val="22"/>
          <w:lang w:eastAsia="en-US"/>
        </w:rPr>
        <w:t xml:space="preserve"> </w:t>
      </w:r>
      <w:r w:rsidRPr="00E73FF0">
        <w:rPr>
          <w:rFonts w:eastAsiaTheme="minorHAnsi"/>
          <w:sz w:val="22"/>
          <w:szCs w:val="22"/>
          <w:lang w:val="en-US" w:eastAsia="en-US"/>
        </w:rPr>
        <w:t>work</w:t>
      </w:r>
      <w:r w:rsidRPr="00E73FF0">
        <w:rPr>
          <w:rFonts w:eastAsiaTheme="minorHAnsi"/>
          <w:sz w:val="22"/>
          <w:szCs w:val="22"/>
          <w:lang w:eastAsia="en-US"/>
        </w:rPr>
        <w:t xml:space="preserve"> </w:t>
      </w:r>
      <w:r w:rsidRPr="00E73FF0">
        <w:rPr>
          <w:rFonts w:eastAsiaTheme="minorHAnsi"/>
          <w:sz w:val="22"/>
          <w:szCs w:val="22"/>
          <w:lang w:val="en-US" w:eastAsia="en-US"/>
        </w:rPr>
        <w:t>are</w:t>
      </w:r>
      <w:r w:rsidRPr="00E73FF0">
        <w:rPr>
          <w:rFonts w:eastAsiaTheme="minorHAnsi"/>
          <w:sz w:val="22"/>
          <w:szCs w:val="22"/>
          <w:lang w:eastAsia="en-US"/>
        </w:rPr>
        <w:t xml:space="preserve"> </w:t>
      </w:r>
      <w:r w:rsidRPr="00E73FF0">
        <w:rPr>
          <w:rFonts w:eastAsiaTheme="minorHAnsi"/>
          <w:sz w:val="22"/>
          <w:szCs w:val="22"/>
          <w:lang w:val="en-US" w:eastAsia="en-US"/>
        </w:rPr>
        <w:t>made</w:t>
      </w:r>
      <w:r w:rsidRPr="00E73FF0">
        <w:rPr>
          <w:rFonts w:eastAsiaTheme="minorHAnsi"/>
          <w:sz w:val="22"/>
          <w:szCs w:val="22"/>
          <w:lang w:eastAsia="en-US"/>
        </w:rPr>
        <w:t>.</w:t>
      </w:r>
    </w:p>
    <w:p w:rsidR="00E73FF0" w:rsidRPr="00E73FF0" w:rsidRDefault="00E73FF0" w:rsidP="00E73FF0">
      <w:pPr>
        <w:widowControl w:val="0"/>
        <w:autoSpaceDE w:val="0"/>
        <w:autoSpaceDN w:val="0"/>
        <w:adjustRightInd w:val="0"/>
        <w:ind w:firstLine="426"/>
        <w:jc w:val="both"/>
        <w:rPr>
          <w:spacing w:val="-4"/>
          <w:sz w:val="22"/>
          <w:szCs w:val="22"/>
        </w:rPr>
      </w:pPr>
      <w:r w:rsidRPr="00E73FF0">
        <w:rPr>
          <w:spacing w:val="-4"/>
          <w:sz w:val="22"/>
          <w:szCs w:val="22"/>
        </w:rPr>
        <w:t>КЛЮЧЕВЫЕ СЛОВА: теория, сельскохозяйственная культура, объект обработки, рабочий орган, экономика.</w:t>
      </w:r>
    </w:p>
    <w:p w:rsidR="00E73FF0" w:rsidRPr="008D33CB" w:rsidRDefault="00E73FF0" w:rsidP="006E5B69">
      <w:pPr>
        <w:widowControl w:val="0"/>
        <w:autoSpaceDE w:val="0"/>
        <w:autoSpaceDN w:val="0"/>
        <w:adjustRightInd w:val="0"/>
        <w:ind w:firstLine="426"/>
        <w:jc w:val="both"/>
        <w:rPr>
          <w:rFonts w:eastAsiaTheme="minorHAnsi"/>
          <w:sz w:val="22"/>
          <w:szCs w:val="22"/>
          <w:lang w:val="en-US" w:eastAsia="en-US"/>
        </w:rPr>
      </w:pPr>
      <w:r w:rsidRPr="00E73FF0">
        <w:rPr>
          <w:sz w:val="22"/>
          <w:szCs w:val="22"/>
          <w:lang w:val="en-US"/>
        </w:rPr>
        <w:t xml:space="preserve">KEYWORDS: </w:t>
      </w:r>
      <w:r w:rsidRPr="00E73FF0">
        <w:rPr>
          <w:rFonts w:eastAsiaTheme="minorHAnsi"/>
          <w:sz w:val="22"/>
          <w:szCs w:val="22"/>
          <w:lang w:val="en-US" w:eastAsia="en-US"/>
        </w:rPr>
        <w:t>theory, agricultural culture, processing object, wor</w:t>
      </w:r>
      <w:r w:rsidRPr="00E73FF0">
        <w:rPr>
          <w:rFonts w:eastAsiaTheme="minorHAnsi"/>
          <w:sz w:val="22"/>
          <w:szCs w:val="22"/>
          <w:lang w:val="en-US" w:eastAsia="en-US"/>
        </w:rPr>
        <w:t>k</w:t>
      </w:r>
      <w:r w:rsidRPr="00E73FF0">
        <w:rPr>
          <w:rFonts w:eastAsiaTheme="minorHAnsi"/>
          <w:sz w:val="22"/>
          <w:szCs w:val="22"/>
          <w:lang w:val="en-US" w:eastAsia="en-US"/>
        </w:rPr>
        <w:t>ing body, economy.</w:t>
      </w:r>
    </w:p>
    <w:p w:rsidR="009762D0" w:rsidRPr="008D33CB" w:rsidRDefault="009762D0" w:rsidP="006E5B69">
      <w:pPr>
        <w:widowControl w:val="0"/>
        <w:autoSpaceDE w:val="0"/>
        <w:autoSpaceDN w:val="0"/>
        <w:adjustRightInd w:val="0"/>
        <w:ind w:firstLine="426"/>
        <w:jc w:val="both"/>
        <w:rPr>
          <w:sz w:val="22"/>
          <w:szCs w:val="22"/>
          <w:lang w:val="en-US"/>
        </w:rPr>
      </w:pPr>
    </w:p>
    <w:p w:rsidR="00E73FF0" w:rsidRPr="00E73FF0" w:rsidRDefault="00E73FF0" w:rsidP="00E73FF0">
      <w:pPr>
        <w:ind w:firstLine="426"/>
        <w:contextualSpacing/>
        <w:jc w:val="both"/>
        <w:rPr>
          <w:sz w:val="22"/>
          <w:szCs w:val="22"/>
          <w:lang w:eastAsia="en-US"/>
        </w:rPr>
      </w:pPr>
      <w:r w:rsidRPr="00E73FF0">
        <w:rPr>
          <w:sz w:val="22"/>
          <w:szCs w:val="22"/>
          <w:lang w:eastAsia="en-US"/>
        </w:rPr>
        <w:t>В основу работы агрегатов для предпосевной обработки почвы положены принципы взаимодействия рабочих органов с почвой. С научной точки зрения – это выглядит как предмет обработки в виде рабочих органов взаимодействует с объектом обработки в качестве которого выступает почва.</w:t>
      </w:r>
    </w:p>
    <w:p w:rsidR="00E73FF0" w:rsidRPr="00E73FF0" w:rsidRDefault="00E73FF0" w:rsidP="00E73FF0">
      <w:pPr>
        <w:ind w:firstLine="426"/>
        <w:contextualSpacing/>
        <w:jc w:val="both"/>
        <w:rPr>
          <w:sz w:val="22"/>
          <w:szCs w:val="22"/>
          <w:lang w:eastAsia="en-US"/>
        </w:rPr>
      </w:pPr>
      <w:r w:rsidRPr="00E73FF0">
        <w:rPr>
          <w:sz w:val="22"/>
          <w:szCs w:val="22"/>
          <w:lang w:eastAsia="en-US"/>
        </w:rPr>
        <w:t>Основоположником работы почвообрабатывающих рабочих органов в почве был В.П. Горячкин. Он разработал теорию движ</w:t>
      </w:r>
      <w:r w:rsidRPr="00E73FF0">
        <w:rPr>
          <w:sz w:val="22"/>
          <w:szCs w:val="22"/>
          <w:lang w:eastAsia="en-US"/>
        </w:rPr>
        <w:t>е</w:t>
      </w:r>
      <w:r w:rsidRPr="00E73FF0">
        <w:rPr>
          <w:sz w:val="22"/>
          <w:szCs w:val="22"/>
          <w:lang w:eastAsia="en-US"/>
        </w:rPr>
        <w:t xml:space="preserve">ния трехгранного клина в почве, также развитие данной теории нашло отражение в работах  ученных Кубанского ГАУ как Г.Г. Маслов, М.И. Чеботарев, А.Н. Медовник, и др </w:t>
      </w:r>
      <w:r w:rsidRPr="00E73FF0">
        <w:rPr>
          <w:rFonts w:eastAsiaTheme="minorHAnsi"/>
          <w:sz w:val="22"/>
          <w:szCs w:val="22"/>
          <w:lang w:eastAsia="en-US"/>
        </w:rPr>
        <w:t>[1].</w:t>
      </w:r>
    </w:p>
    <w:p w:rsidR="00E73FF0" w:rsidRPr="00E73FF0" w:rsidRDefault="00E73FF0" w:rsidP="00E73FF0">
      <w:pPr>
        <w:ind w:firstLine="426"/>
        <w:contextualSpacing/>
        <w:jc w:val="both"/>
        <w:rPr>
          <w:sz w:val="22"/>
          <w:szCs w:val="22"/>
          <w:lang w:eastAsia="en-US"/>
        </w:rPr>
      </w:pPr>
      <w:r w:rsidRPr="00E73FF0">
        <w:rPr>
          <w:sz w:val="22"/>
          <w:szCs w:val="22"/>
          <w:lang w:eastAsia="en-US"/>
        </w:rPr>
        <w:t>В настоящее время стоит проблема развитие теории трехгра</w:t>
      </w:r>
      <w:r w:rsidRPr="00E73FF0">
        <w:rPr>
          <w:sz w:val="22"/>
          <w:szCs w:val="22"/>
          <w:lang w:eastAsia="en-US"/>
        </w:rPr>
        <w:t>н</w:t>
      </w:r>
      <w:r w:rsidRPr="00E73FF0">
        <w:rPr>
          <w:sz w:val="22"/>
          <w:szCs w:val="22"/>
          <w:lang w:eastAsia="en-US"/>
        </w:rPr>
        <w:t>ного клина в разрезе ее применения для универсального почвообр</w:t>
      </w:r>
      <w:r w:rsidRPr="00E73FF0">
        <w:rPr>
          <w:sz w:val="22"/>
          <w:szCs w:val="22"/>
          <w:lang w:eastAsia="en-US"/>
        </w:rPr>
        <w:t>а</w:t>
      </w:r>
      <w:r w:rsidRPr="00E73FF0">
        <w:rPr>
          <w:sz w:val="22"/>
          <w:szCs w:val="22"/>
          <w:lang w:eastAsia="en-US"/>
        </w:rPr>
        <w:t>батывающего рабочего органа, который бы обеспечил работу по</w:t>
      </w:r>
      <w:r w:rsidRPr="00E73FF0">
        <w:rPr>
          <w:sz w:val="22"/>
          <w:szCs w:val="22"/>
          <w:lang w:eastAsia="en-US"/>
        </w:rPr>
        <w:t>ч</w:t>
      </w:r>
      <w:r w:rsidRPr="00E73FF0">
        <w:rPr>
          <w:sz w:val="22"/>
          <w:szCs w:val="22"/>
          <w:lang w:eastAsia="en-US"/>
        </w:rPr>
        <w:t xml:space="preserve">вообрабатывающего агрегата при различных погодных условиях </w:t>
      </w:r>
      <w:r w:rsidRPr="00E73FF0">
        <w:rPr>
          <w:rFonts w:eastAsiaTheme="minorHAnsi"/>
          <w:sz w:val="22"/>
          <w:szCs w:val="22"/>
          <w:lang w:eastAsia="en-US"/>
        </w:rPr>
        <w:t>[2].</w:t>
      </w:r>
    </w:p>
    <w:p w:rsidR="00E73FF0" w:rsidRPr="00E73FF0" w:rsidRDefault="00E73FF0" w:rsidP="00E73FF0">
      <w:pPr>
        <w:ind w:firstLine="426"/>
        <w:contextualSpacing/>
        <w:jc w:val="both"/>
        <w:rPr>
          <w:sz w:val="22"/>
          <w:szCs w:val="22"/>
          <w:lang w:eastAsia="en-US"/>
        </w:rPr>
      </w:pPr>
      <w:r w:rsidRPr="00E73FF0">
        <w:rPr>
          <w:sz w:val="22"/>
          <w:szCs w:val="22"/>
          <w:lang w:eastAsia="en-US"/>
        </w:rPr>
        <w:t>Суть проблемы заключается в том, что почва – это не одноро</w:t>
      </w:r>
      <w:r w:rsidRPr="00E73FF0">
        <w:rPr>
          <w:sz w:val="22"/>
          <w:szCs w:val="22"/>
          <w:lang w:eastAsia="en-US"/>
        </w:rPr>
        <w:t>д</w:t>
      </w:r>
      <w:r w:rsidRPr="00E73FF0">
        <w:rPr>
          <w:sz w:val="22"/>
          <w:szCs w:val="22"/>
          <w:lang w:eastAsia="en-US"/>
        </w:rPr>
        <w:t>ная среда, а в разные периоды времени, которые обусловлены агр</w:t>
      </w:r>
      <w:r w:rsidRPr="00E73FF0">
        <w:rPr>
          <w:sz w:val="22"/>
          <w:szCs w:val="22"/>
          <w:lang w:eastAsia="en-US"/>
        </w:rPr>
        <w:t>о</w:t>
      </w:r>
      <w:r w:rsidRPr="00E73FF0">
        <w:rPr>
          <w:sz w:val="22"/>
          <w:szCs w:val="22"/>
          <w:lang w:eastAsia="en-US"/>
        </w:rPr>
        <w:t>техническими сроками она имеет разную спелость. Одной из о</w:t>
      </w:r>
      <w:r w:rsidRPr="00E73FF0">
        <w:rPr>
          <w:sz w:val="22"/>
          <w:szCs w:val="22"/>
          <w:lang w:eastAsia="en-US"/>
        </w:rPr>
        <w:t>с</w:t>
      </w:r>
      <w:r w:rsidRPr="00E73FF0">
        <w:rPr>
          <w:sz w:val="22"/>
          <w:szCs w:val="22"/>
          <w:lang w:eastAsia="en-US"/>
        </w:rPr>
        <w:t>новных задач перед нами стоит разработать и оптимизировать ко</w:t>
      </w:r>
      <w:r w:rsidRPr="00E73FF0">
        <w:rPr>
          <w:sz w:val="22"/>
          <w:szCs w:val="22"/>
          <w:lang w:eastAsia="en-US"/>
        </w:rPr>
        <w:t>н</w:t>
      </w:r>
      <w:r w:rsidRPr="00E73FF0">
        <w:rPr>
          <w:sz w:val="22"/>
          <w:szCs w:val="22"/>
          <w:lang w:eastAsia="en-US"/>
        </w:rPr>
        <w:t xml:space="preserve">струкцию почвообрабатывающего рабочего органа, который бы позволил, производить обработку почвы не завися от факторов сложения почвенного горизонта </w:t>
      </w:r>
      <w:r w:rsidRPr="00E73FF0">
        <w:rPr>
          <w:rFonts w:eastAsiaTheme="minorHAnsi"/>
          <w:sz w:val="22"/>
          <w:szCs w:val="22"/>
          <w:lang w:eastAsia="en-US"/>
        </w:rPr>
        <w:t>[3]</w:t>
      </w:r>
      <w:r w:rsidRPr="00E73FF0">
        <w:rPr>
          <w:sz w:val="22"/>
          <w:szCs w:val="22"/>
          <w:lang w:eastAsia="en-US"/>
        </w:rPr>
        <w:t>.</w:t>
      </w:r>
    </w:p>
    <w:p w:rsidR="00E73FF0" w:rsidRPr="00E73FF0" w:rsidRDefault="00E73FF0" w:rsidP="00E73FF0">
      <w:pPr>
        <w:ind w:firstLine="426"/>
        <w:contextualSpacing/>
        <w:jc w:val="both"/>
        <w:rPr>
          <w:sz w:val="22"/>
          <w:szCs w:val="22"/>
          <w:lang w:eastAsia="en-US"/>
        </w:rPr>
      </w:pPr>
      <w:r w:rsidRPr="00E73FF0">
        <w:rPr>
          <w:sz w:val="22"/>
          <w:szCs w:val="22"/>
          <w:lang w:eastAsia="en-US"/>
        </w:rPr>
        <w:t>Работа, связанная с теорией и анализом работы почвообраб</w:t>
      </w:r>
      <w:r w:rsidRPr="00E73FF0">
        <w:rPr>
          <w:sz w:val="22"/>
          <w:szCs w:val="22"/>
          <w:lang w:eastAsia="en-US"/>
        </w:rPr>
        <w:t>а</w:t>
      </w:r>
      <w:r w:rsidRPr="00E73FF0">
        <w:rPr>
          <w:sz w:val="22"/>
          <w:szCs w:val="22"/>
          <w:lang w:eastAsia="en-US"/>
        </w:rPr>
        <w:t>тывающих орудий заключается в анализе существующих процессов работы, как на практике, так и в практической бумажной части. Ц</w:t>
      </w:r>
      <w:r w:rsidRPr="00E73FF0">
        <w:rPr>
          <w:sz w:val="22"/>
          <w:szCs w:val="22"/>
          <w:lang w:eastAsia="en-US"/>
        </w:rPr>
        <w:t>е</w:t>
      </w:r>
      <w:r w:rsidRPr="00E73FF0">
        <w:rPr>
          <w:sz w:val="22"/>
          <w:szCs w:val="22"/>
          <w:lang w:eastAsia="en-US"/>
        </w:rPr>
        <w:t>лью нашей работы является снижение тягового сопротивления по</w:t>
      </w:r>
      <w:r w:rsidRPr="00E73FF0">
        <w:rPr>
          <w:sz w:val="22"/>
          <w:szCs w:val="22"/>
          <w:lang w:eastAsia="en-US"/>
        </w:rPr>
        <w:t>ч</w:t>
      </w:r>
      <w:r w:rsidRPr="00E73FF0">
        <w:rPr>
          <w:sz w:val="22"/>
          <w:szCs w:val="22"/>
          <w:lang w:eastAsia="en-US"/>
        </w:rPr>
        <w:lastRenderedPageBreak/>
        <w:t xml:space="preserve">вообрабатывающего агрегата в сравнении его с существующими аналогами </w:t>
      </w:r>
      <w:r w:rsidRPr="00E73FF0">
        <w:rPr>
          <w:rFonts w:eastAsiaTheme="minorHAnsi"/>
          <w:sz w:val="22"/>
          <w:szCs w:val="22"/>
          <w:lang w:eastAsia="en-US"/>
        </w:rPr>
        <w:t>[4].</w:t>
      </w:r>
    </w:p>
    <w:p w:rsidR="00E73FF0" w:rsidRPr="00E73FF0" w:rsidRDefault="00E73FF0" w:rsidP="00E73FF0">
      <w:pPr>
        <w:ind w:firstLine="426"/>
        <w:contextualSpacing/>
        <w:jc w:val="both"/>
        <w:rPr>
          <w:sz w:val="22"/>
          <w:szCs w:val="22"/>
          <w:lang w:eastAsia="en-US"/>
        </w:rPr>
      </w:pPr>
      <w:r w:rsidRPr="00E73FF0">
        <w:rPr>
          <w:sz w:val="22"/>
          <w:szCs w:val="22"/>
          <w:lang w:eastAsia="en-US"/>
        </w:rPr>
        <w:t>В связи с этим можно сделать краткий промежуточный вывод: что применение такого типа рабочих органов позволит сократить расходы на возделывание сельскохозяйственных культур и как следствие на их конечную стоимость. Также появляется возмо</w:t>
      </w:r>
      <w:r w:rsidRPr="00E73FF0">
        <w:rPr>
          <w:sz w:val="22"/>
          <w:szCs w:val="22"/>
          <w:lang w:eastAsia="en-US"/>
        </w:rPr>
        <w:t>ж</w:t>
      </w:r>
      <w:r w:rsidRPr="00E73FF0">
        <w:rPr>
          <w:sz w:val="22"/>
          <w:szCs w:val="22"/>
          <w:lang w:eastAsia="en-US"/>
        </w:rPr>
        <w:t xml:space="preserve">ность использовать данный рабочий орган практически для всего спектра работ связанных с обработкой почвы </w:t>
      </w:r>
      <w:r w:rsidRPr="00E73FF0">
        <w:rPr>
          <w:rFonts w:eastAsiaTheme="minorHAnsi"/>
          <w:sz w:val="22"/>
          <w:szCs w:val="22"/>
          <w:lang w:eastAsia="en-US"/>
        </w:rPr>
        <w:t>[5].</w:t>
      </w:r>
    </w:p>
    <w:p w:rsidR="00E73FF0" w:rsidRPr="00E73FF0" w:rsidRDefault="00E73FF0" w:rsidP="00E73FF0">
      <w:pPr>
        <w:ind w:firstLine="426"/>
        <w:contextualSpacing/>
        <w:jc w:val="both"/>
        <w:rPr>
          <w:rFonts w:eastAsiaTheme="minorHAnsi"/>
          <w:sz w:val="22"/>
          <w:szCs w:val="22"/>
          <w:lang w:eastAsia="en-US"/>
        </w:rPr>
      </w:pPr>
    </w:p>
    <w:p w:rsidR="00E73FF0" w:rsidRPr="00E73FF0" w:rsidRDefault="00E73FF0" w:rsidP="00E73FF0">
      <w:pPr>
        <w:ind w:firstLine="426"/>
        <w:contextualSpacing/>
        <w:jc w:val="center"/>
        <w:rPr>
          <w:rFonts w:eastAsiaTheme="minorHAnsi"/>
          <w:sz w:val="22"/>
          <w:szCs w:val="22"/>
          <w:lang w:eastAsia="en-US"/>
        </w:rPr>
      </w:pPr>
      <w:r w:rsidRPr="00E73FF0">
        <w:rPr>
          <w:rFonts w:eastAsiaTheme="minorHAnsi"/>
          <w:sz w:val="22"/>
          <w:szCs w:val="22"/>
          <w:lang w:eastAsia="en-US"/>
        </w:rPr>
        <w:t>Список литературы</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1. Средства малой механизации как основа современного КФХ и ЛПХ в малых формах хозяйствования Лепшина А.И., Белоусов С.В. Политематический сетевой электронный научный журнал К</w:t>
      </w:r>
      <w:r w:rsidRPr="00E73FF0">
        <w:rPr>
          <w:rFonts w:eastAsiaTheme="minorHAnsi"/>
          <w:sz w:val="22"/>
          <w:szCs w:val="22"/>
          <w:lang w:eastAsia="en-US"/>
        </w:rPr>
        <w:t>у</w:t>
      </w:r>
      <w:r w:rsidRPr="00E73FF0">
        <w:rPr>
          <w:rFonts w:eastAsiaTheme="minorHAnsi"/>
          <w:sz w:val="22"/>
          <w:szCs w:val="22"/>
          <w:lang w:eastAsia="en-US"/>
        </w:rPr>
        <w:t>банского государственного аграрного университета. 2015. № 109. С. 392-415.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 xml:space="preserve">2. </w:t>
      </w:r>
      <w:hyperlink r:id="rId89" w:history="1">
        <w:r w:rsidRPr="00E73FF0">
          <w:rPr>
            <w:rFonts w:eastAsiaTheme="minorHAnsi"/>
            <w:bCs/>
            <w:sz w:val="22"/>
            <w:szCs w:val="22"/>
            <w:lang w:eastAsia="en-US"/>
          </w:rPr>
          <w:t>Роль и перспектива развития малой механизации в разрезе современного машиностроения</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90" w:history="1">
        <w:r w:rsidRPr="00E73FF0">
          <w:rPr>
            <w:rFonts w:eastAsiaTheme="minorHAnsi"/>
            <w:sz w:val="22"/>
            <w:szCs w:val="22"/>
            <w:lang w:eastAsia="en-US"/>
          </w:rPr>
          <w:t>НАУЧНОЕ ОБЕСПЕЧЕНИЕ АГРОПРОМЫШЛЕННОГО КОМПЛЕКСА</w:t>
        </w:r>
      </w:hyperlink>
      <w:r w:rsidRPr="00E73FF0">
        <w:rPr>
          <w:rFonts w:eastAsiaTheme="minorHAnsi"/>
          <w:sz w:val="22"/>
          <w:szCs w:val="22"/>
          <w:lang w:eastAsia="en-US"/>
        </w:rPr>
        <w:t> сборник статей по материалам 72-й научно-практической конференции преподавателей по итогам НИР за 2016 г.. 2017. С. 277-278.</w:t>
      </w:r>
    </w:p>
    <w:p w:rsidR="00E73FF0" w:rsidRPr="00E73FF0" w:rsidRDefault="00E73FF0" w:rsidP="00E73FF0">
      <w:pPr>
        <w:ind w:firstLine="426"/>
        <w:jc w:val="both"/>
        <w:rPr>
          <w:rFonts w:eastAsiaTheme="minorHAnsi"/>
          <w:sz w:val="22"/>
          <w:szCs w:val="22"/>
          <w:lang w:val="en-US" w:eastAsia="en-US"/>
        </w:rPr>
      </w:pPr>
      <w:r w:rsidRPr="00E73FF0">
        <w:rPr>
          <w:rFonts w:eastAsiaTheme="minorHAnsi"/>
          <w:sz w:val="22"/>
          <w:szCs w:val="22"/>
          <w:lang w:eastAsia="en-US"/>
        </w:rPr>
        <w:t xml:space="preserve">3. </w:t>
      </w:r>
      <w:hyperlink r:id="rId91" w:history="1">
        <w:r w:rsidRPr="00E73FF0">
          <w:rPr>
            <w:rFonts w:eastAsiaTheme="minorHAnsi"/>
            <w:bCs/>
            <w:sz w:val="22"/>
            <w:szCs w:val="22"/>
            <w:lang w:eastAsia="en-US"/>
          </w:rPr>
          <w:t>Возделывания пропашных культур в современных условиях</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Помеляйко С.А., Белоусова А.И., Белоусов С.В.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92" w:history="1">
        <w:r w:rsidRPr="00E73FF0">
          <w:rPr>
            <w:rFonts w:eastAsiaTheme="minorHAnsi"/>
            <w:sz w:val="22"/>
            <w:szCs w:val="22"/>
            <w:lang w:eastAsia="en-US"/>
          </w:rPr>
          <w:t>СОВРЕМЕННЫЕ ИССЛЕДОВАНИЯ - 2017</w:t>
        </w:r>
      </w:hyperlink>
      <w:r w:rsidRPr="00E73FF0">
        <w:rPr>
          <w:rFonts w:eastAsiaTheme="minorHAnsi"/>
          <w:sz w:val="22"/>
          <w:szCs w:val="22"/>
          <w:lang w:eastAsia="en-US"/>
        </w:rPr>
        <w:t> Сборник статей по материалам Международных научно-практических конференций. под общей редакцией А.И. Вострецова. Нефтекамск</w:t>
      </w:r>
      <w:r w:rsidRPr="00E73FF0">
        <w:rPr>
          <w:rFonts w:eastAsiaTheme="minorHAnsi"/>
          <w:sz w:val="22"/>
          <w:szCs w:val="22"/>
          <w:lang w:val="en-US" w:eastAsia="en-US"/>
        </w:rPr>
        <w:t xml:space="preserve">, 2017. </w:t>
      </w:r>
      <w:r w:rsidRPr="00E73FF0">
        <w:rPr>
          <w:rFonts w:eastAsiaTheme="minorHAnsi"/>
          <w:sz w:val="22"/>
          <w:szCs w:val="22"/>
          <w:lang w:eastAsia="en-US"/>
        </w:rPr>
        <w:t>С</w:t>
      </w:r>
      <w:r w:rsidRPr="00E73FF0">
        <w:rPr>
          <w:rFonts w:eastAsiaTheme="minorHAnsi"/>
          <w:sz w:val="22"/>
          <w:szCs w:val="22"/>
          <w:lang w:val="en-US" w:eastAsia="en-US"/>
        </w:rPr>
        <w:t>. 809-815.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val="en-US" w:eastAsia="en-US"/>
        </w:rPr>
        <w:t xml:space="preserve">4. Theoretical studies of the tobacco stalk interaction with the leaf-separating unit Papusha S.K., Belousov S.V., Bogus A.E., Konovalov V.I. International Journal of Applied Engineering Research. </w:t>
      </w:r>
      <w:r w:rsidRPr="00E73FF0">
        <w:rPr>
          <w:rFonts w:eastAsiaTheme="minorHAnsi"/>
          <w:sz w:val="22"/>
          <w:szCs w:val="22"/>
          <w:lang w:eastAsia="en-US"/>
        </w:rPr>
        <w:t>2016. Т. 11. № 8. С. 5610-5613.</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5. Расчет основных параметров разбрасывателя сыпучих мат</w:t>
      </w:r>
      <w:r w:rsidRPr="00E73FF0">
        <w:rPr>
          <w:rFonts w:eastAsiaTheme="minorHAnsi"/>
          <w:sz w:val="22"/>
          <w:szCs w:val="22"/>
          <w:lang w:eastAsia="en-US"/>
        </w:rPr>
        <w:t>е</w:t>
      </w:r>
      <w:r w:rsidRPr="00E73FF0">
        <w:rPr>
          <w:rFonts w:eastAsiaTheme="minorHAnsi"/>
          <w:sz w:val="22"/>
          <w:szCs w:val="22"/>
          <w:lang w:eastAsia="en-US"/>
        </w:rPr>
        <w:t>риалов Белоусов С.В., Лепшина А.И. Политематический сетевой электронный научный журнал Кубанского государственного агра</w:t>
      </w:r>
      <w:r w:rsidRPr="00E73FF0">
        <w:rPr>
          <w:rFonts w:eastAsiaTheme="minorHAnsi"/>
          <w:sz w:val="22"/>
          <w:szCs w:val="22"/>
          <w:lang w:eastAsia="en-US"/>
        </w:rPr>
        <w:t>р</w:t>
      </w:r>
      <w:r w:rsidRPr="00E73FF0">
        <w:rPr>
          <w:rFonts w:eastAsiaTheme="minorHAnsi"/>
          <w:sz w:val="22"/>
          <w:szCs w:val="22"/>
          <w:lang w:eastAsia="en-US"/>
        </w:rPr>
        <w:t>ного университета. 2014. № 104. С. 1923-1939.</w:t>
      </w:r>
    </w:p>
    <w:p w:rsidR="00E73FF0" w:rsidRPr="00E73FF0" w:rsidRDefault="00E73FF0" w:rsidP="00E73FF0">
      <w:pPr>
        <w:ind w:firstLine="426"/>
        <w:jc w:val="both"/>
        <w:rPr>
          <w:rFonts w:eastAsiaTheme="minorHAnsi"/>
          <w:sz w:val="22"/>
          <w:szCs w:val="22"/>
          <w:lang w:eastAsia="en-US"/>
        </w:rPr>
      </w:pPr>
    </w:p>
    <w:p w:rsidR="00573255" w:rsidRDefault="00573255" w:rsidP="006E5B69">
      <w:pPr>
        <w:pStyle w:val="31"/>
        <w:ind w:firstLine="0"/>
        <w:rPr>
          <w:sz w:val="22"/>
          <w:szCs w:val="22"/>
        </w:rPr>
      </w:pPr>
    </w:p>
    <w:p w:rsidR="009762D0" w:rsidRDefault="009762D0" w:rsidP="006E5B69">
      <w:pPr>
        <w:pStyle w:val="31"/>
        <w:ind w:firstLine="0"/>
        <w:rPr>
          <w:sz w:val="22"/>
          <w:szCs w:val="22"/>
        </w:rPr>
      </w:pPr>
    </w:p>
    <w:p w:rsidR="00E73FF0" w:rsidRDefault="00E73FF0" w:rsidP="00E73FF0">
      <w:pPr>
        <w:widowControl w:val="0"/>
        <w:rPr>
          <w:rFonts w:eastAsia="Arial Narrow"/>
          <w:sz w:val="22"/>
          <w:szCs w:val="22"/>
          <w:lang w:eastAsia="en-US"/>
        </w:rPr>
      </w:pPr>
      <w:r w:rsidRPr="00E73FF0">
        <w:rPr>
          <w:rFonts w:eastAsia="Arial Narrow"/>
          <w:sz w:val="22"/>
          <w:szCs w:val="22"/>
          <w:lang w:eastAsia="en-US"/>
        </w:rPr>
        <w:lastRenderedPageBreak/>
        <w:t>УДК 613.6.027</w:t>
      </w:r>
    </w:p>
    <w:p w:rsidR="00573255" w:rsidRPr="00E73FF0" w:rsidRDefault="00573255" w:rsidP="00E73FF0">
      <w:pPr>
        <w:widowControl w:val="0"/>
        <w:rPr>
          <w:rFonts w:eastAsia="Arial Narrow"/>
          <w:sz w:val="22"/>
          <w:szCs w:val="22"/>
          <w:lang w:eastAsia="en-US"/>
        </w:rPr>
      </w:pPr>
    </w:p>
    <w:p w:rsidR="00E73FF0" w:rsidRPr="00E73FF0" w:rsidRDefault="00E73FF0" w:rsidP="00E73FF0">
      <w:pPr>
        <w:widowControl w:val="0"/>
        <w:ind w:firstLine="425"/>
        <w:jc w:val="center"/>
        <w:rPr>
          <w:rFonts w:eastAsia="Arial Narrow"/>
          <w:b/>
          <w:sz w:val="24"/>
          <w:szCs w:val="24"/>
          <w:lang w:eastAsia="en-US"/>
        </w:rPr>
      </w:pPr>
      <w:r w:rsidRPr="00E73FF0">
        <w:rPr>
          <w:rFonts w:eastAsia="Arial Narrow"/>
          <w:b/>
          <w:sz w:val="24"/>
          <w:szCs w:val="24"/>
          <w:lang w:eastAsia="en-US"/>
        </w:rPr>
        <w:t xml:space="preserve">Предупреждение травматизма у женщин </w:t>
      </w:r>
    </w:p>
    <w:p w:rsidR="00E73FF0" w:rsidRPr="00E73FF0" w:rsidRDefault="00E73FF0" w:rsidP="00E73FF0">
      <w:pPr>
        <w:widowControl w:val="0"/>
        <w:ind w:firstLine="425"/>
        <w:jc w:val="center"/>
        <w:rPr>
          <w:rFonts w:eastAsia="Arial Narrow"/>
          <w:b/>
          <w:sz w:val="24"/>
          <w:szCs w:val="24"/>
          <w:lang w:eastAsia="en-US"/>
        </w:rPr>
      </w:pPr>
      <w:r w:rsidRPr="00E73FF0">
        <w:rPr>
          <w:rFonts w:eastAsia="Arial Narrow"/>
          <w:b/>
          <w:sz w:val="24"/>
          <w:szCs w:val="24"/>
          <w:lang w:eastAsia="en-US"/>
        </w:rPr>
        <w:t xml:space="preserve">на производстве </w:t>
      </w:r>
    </w:p>
    <w:p w:rsidR="00E73FF0" w:rsidRPr="001E2F2C" w:rsidRDefault="00E73FF0" w:rsidP="00E73F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rPr>
      </w:pPr>
      <w:r w:rsidRPr="00E73FF0">
        <w:rPr>
          <w:b/>
          <w:color w:val="212121"/>
          <w:sz w:val="24"/>
          <w:szCs w:val="24"/>
          <w:lang w:val="en"/>
        </w:rPr>
        <w:t>Prevention</w:t>
      </w:r>
      <w:r w:rsidRPr="001E2F2C">
        <w:rPr>
          <w:b/>
          <w:color w:val="212121"/>
          <w:sz w:val="24"/>
          <w:szCs w:val="24"/>
        </w:rPr>
        <w:t xml:space="preserve"> </w:t>
      </w:r>
      <w:r w:rsidRPr="00E73FF0">
        <w:rPr>
          <w:b/>
          <w:color w:val="212121"/>
          <w:sz w:val="24"/>
          <w:szCs w:val="24"/>
          <w:lang w:val="en"/>
        </w:rPr>
        <w:t>of</w:t>
      </w:r>
      <w:r w:rsidRPr="001E2F2C">
        <w:rPr>
          <w:b/>
          <w:color w:val="212121"/>
          <w:sz w:val="24"/>
          <w:szCs w:val="24"/>
        </w:rPr>
        <w:t xml:space="preserve"> </w:t>
      </w:r>
      <w:r w:rsidRPr="00E73FF0">
        <w:rPr>
          <w:b/>
          <w:color w:val="212121"/>
          <w:sz w:val="24"/>
          <w:szCs w:val="24"/>
          <w:lang w:val="en"/>
        </w:rPr>
        <w:t>injuries</w:t>
      </w:r>
      <w:r w:rsidRPr="001E2F2C">
        <w:rPr>
          <w:b/>
          <w:color w:val="212121"/>
          <w:sz w:val="24"/>
          <w:szCs w:val="24"/>
        </w:rPr>
        <w:t xml:space="preserve"> </w:t>
      </w:r>
      <w:r w:rsidRPr="00E73FF0">
        <w:rPr>
          <w:b/>
          <w:color w:val="212121"/>
          <w:sz w:val="24"/>
          <w:szCs w:val="24"/>
          <w:lang w:val="en"/>
        </w:rPr>
        <w:t>in</w:t>
      </w:r>
      <w:r w:rsidRPr="001E2F2C">
        <w:rPr>
          <w:b/>
          <w:color w:val="212121"/>
          <w:sz w:val="24"/>
          <w:szCs w:val="24"/>
        </w:rPr>
        <w:t xml:space="preserve"> </w:t>
      </w:r>
      <w:r w:rsidRPr="00E73FF0">
        <w:rPr>
          <w:b/>
          <w:color w:val="212121"/>
          <w:sz w:val="24"/>
          <w:szCs w:val="24"/>
          <w:lang w:val="en"/>
        </w:rPr>
        <w:t>women</w:t>
      </w:r>
      <w:r w:rsidRPr="001E2F2C">
        <w:rPr>
          <w:b/>
          <w:color w:val="212121"/>
          <w:sz w:val="24"/>
          <w:szCs w:val="24"/>
        </w:rPr>
        <w:t xml:space="preserve"> </w:t>
      </w:r>
      <w:r w:rsidRPr="00E73FF0">
        <w:rPr>
          <w:b/>
          <w:color w:val="212121"/>
          <w:sz w:val="24"/>
          <w:szCs w:val="24"/>
          <w:lang w:val="en"/>
        </w:rPr>
        <w:t>in</w:t>
      </w:r>
      <w:r w:rsidRPr="001E2F2C">
        <w:rPr>
          <w:b/>
          <w:color w:val="212121"/>
          <w:sz w:val="24"/>
          <w:szCs w:val="24"/>
        </w:rPr>
        <w:t xml:space="preserve"> </w:t>
      </w:r>
      <w:r w:rsidRPr="00E73FF0">
        <w:rPr>
          <w:b/>
          <w:color w:val="212121"/>
          <w:sz w:val="24"/>
          <w:szCs w:val="24"/>
          <w:lang w:val="en"/>
        </w:rPr>
        <w:t>production</w:t>
      </w:r>
    </w:p>
    <w:p w:rsidR="00E73FF0" w:rsidRPr="001E2F2C" w:rsidRDefault="00E73FF0" w:rsidP="00E73FF0">
      <w:pPr>
        <w:widowControl w:val="0"/>
        <w:ind w:firstLine="425"/>
        <w:jc w:val="center"/>
        <w:rPr>
          <w:rFonts w:eastAsia="Arial Narrow"/>
          <w:b/>
          <w:sz w:val="24"/>
          <w:szCs w:val="24"/>
          <w:lang w:eastAsia="en-US"/>
        </w:rPr>
      </w:pP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Погорелов В. С.,</w:t>
      </w: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 xml:space="preserve"> студент 2-го курса факультета механизации</w:t>
      </w: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Ефремова В.</w:t>
      </w:r>
      <w:r w:rsidR="00573255">
        <w:rPr>
          <w:rFonts w:eastAsia="Arial Narrow"/>
          <w:sz w:val="22"/>
          <w:szCs w:val="22"/>
          <w:lang w:eastAsia="en-US"/>
        </w:rPr>
        <w:t xml:space="preserve"> Н.,</w:t>
      </w: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ст. преподаватель кафедры МЖ и БЖД</w:t>
      </w: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Кубанский государственный аграрный</w:t>
      </w:r>
    </w:p>
    <w:p w:rsidR="00E73FF0" w:rsidRPr="00E73FF0" w:rsidRDefault="00E73FF0" w:rsidP="00E73FF0">
      <w:pPr>
        <w:widowControl w:val="0"/>
        <w:ind w:firstLine="425"/>
        <w:jc w:val="right"/>
        <w:rPr>
          <w:rFonts w:eastAsia="Arial Narrow"/>
          <w:sz w:val="22"/>
          <w:szCs w:val="22"/>
          <w:lang w:eastAsia="en-US"/>
        </w:rPr>
      </w:pPr>
      <w:r w:rsidRPr="00E73FF0">
        <w:rPr>
          <w:rFonts w:eastAsia="Arial Narrow"/>
          <w:sz w:val="22"/>
          <w:szCs w:val="22"/>
          <w:lang w:eastAsia="en-US"/>
        </w:rPr>
        <w:t>университет имени И. Т. Трубилина</w:t>
      </w:r>
    </w:p>
    <w:p w:rsidR="00E73FF0" w:rsidRPr="00E73FF0" w:rsidRDefault="00E73FF0" w:rsidP="00E73FF0">
      <w:pPr>
        <w:widowControl w:val="0"/>
        <w:ind w:firstLine="425"/>
        <w:jc w:val="right"/>
        <w:rPr>
          <w:rFonts w:eastAsia="Arial Narrow"/>
          <w:szCs w:val="24"/>
          <w:lang w:eastAsia="en-US"/>
        </w:rPr>
      </w:pPr>
    </w:p>
    <w:p w:rsidR="00E73FF0" w:rsidRPr="00E73FF0" w:rsidRDefault="00E73FF0" w:rsidP="00E73FF0">
      <w:pPr>
        <w:widowControl w:val="0"/>
        <w:ind w:firstLine="425"/>
        <w:jc w:val="both"/>
        <w:rPr>
          <w:rFonts w:eastAsia="Arial Narrow"/>
          <w:sz w:val="22"/>
          <w:szCs w:val="24"/>
          <w:lang w:eastAsia="en-US"/>
        </w:rPr>
      </w:pPr>
      <w:r w:rsidRPr="00E73FF0">
        <w:rPr>
          <w:rFonts w:eastAsia="Arial Narrow"/>
          <w:sz w:val="22"/>
          <w:szCs w:val="22"/>
          <w:lang w:eastAsia="en-US"/>
        </w:rPr>
        <w:t xml:space="preserve">АННОТАЦИЯ: </w:t>
      </w:r>
      <w:r w:rsidRPr="00E73FF0">
        <w:rPr>
          <w:rFonts w:eastAsia="Arial Narrow"/>
          <w:sz w:val="22"/>
          <w:szCs w:val="24"/>
          <w:lang w:eastAsia="en-US"/>
        </w:rPr>
        <w:t>Для профилактики травматизма на произво</w:t>
      </w:r>
      <w:r w:rsidRPr="00E73FF0">
        <w:rPr>
          <w:rFonts w:eastAsia="Arial Narrow"/>
          <w:sz w:val="22"/>
          <w:szCs w:val="24"/>
          <w:lang w:eastAsia="en-US"/>
        </w:rPr>
        <w:t>д</w:t>
      </w:r>
      <w:r w:rsidRPr="00E73FF0">
        <w:rPr>
          <w:rFonts w:eastAsia="Arial Narrow"/>
          <w:sz w:val="22"/>
          <w:szCs w:val="24"/>
          <w:lang w:eastAsia="en-US"/>
        </w:rPr>
        <w:t>стве проводят гигиенические и медико-профилактические меропр</w:t>
      </w:r>
      <w:r w:rsidRPr="00E73FF0">
        <w:rPr>
          <w:rFonts w:eastAsia="Arial Narrow"/>
          <w:sz w:val="22"/>
          <w:szCs w:val="24"/>
          <w:lang w:eastAsia="en-US"/>
        </w:rPr>
        <w:t>и</w:t>
      </w:r>
      <w:r w:rsidRPr="00E73FF0">
        <w:rPr>
          <w:rFonts w:eastAsia="Arial Narrow"/>
          <w:sz w:val="22"/>
          <w:szCs w:val="24"/>
          <w:lang w:eastAsia="en-US"/>
        </w:rPr>
        <w:t>ятия. Они должны быть комплексными и учитывать фактический уровень производственного травматизма в отрасли.</w:t>
      </w:r>
    </w:p>
    <w:p w:rsidR="00E73FF0" w:rsidRPr="00E73FF0" w:rsidRDefault="00E73FF0" w:rsidP="00E73FF0">
      <w:pPr>
        <w:widowControl w:val="0"/>
        <w:ind w:firstLine="425"/>
        <w:jc w:val="both"/>
        <w:rPr>
          <w:rFonts w:eastAsia="Arial Narrow"/>
          <w:sz w:val="22"/>
          <w:szCs w:val="22"/>
          <w:lang w:val="en-US" w:eastAsia="en-US"/>
        </w:rPr>
      </w:pPr>
      <w:r w:rsidRPr="00E73FF0">
        <w:rPr>
          <w:rFonts w:eastAsia="Arial Narrow"/>
          <w:sz w:val="22"/>
          <w:szCs w:val="22"/>
          <w:lang w:val="en-US" w:eastAsia="en-US"/>
        </w:rPr>
        <w:t xml:space="preserve">ABSTRACT: </w:t>
      </w:r>
      <w:r w:rsidRPr="00E73FF0">
        <w:rPr>
          <w:rFonts w:eastAsia="Arial Narrow"/>
          <w:sz w:val="22"/>
          <w:szCs w:val="19"/>
          <w:shd w:val="clear" w:color="auto" w:fill="FFFFFF"/>
          <w:lang w:val="en-US" w:eastAsia="en-US"/>
        </w:rPr>
        <w:t>For the prevention of injuries in the workplace, h</w:t>
      </w:r>
      <w:r w:rsidRPr="00E73FF0">
        <w:rPr>
          <w:rFonts w:eastAsia="Arial Narrow"/>
          <w:sz w:val="22"/>
          <w:szCs w:val="19"/>
          <w:shd w:val="clear" w:color="auto" w:fill="FFFFFF"/>
          <w:lang w:val="en-US" w:eastAsia="en-US"/>
        </w:rPr>
        <w:t>y</w:t>
      </w:r>
      <w:r w:rsidRPr="00E73FF0">
        <w:rPr>
          <w:rFonts w:eastAsia="Arial Narrow"/>
          <w:sz w:val="22"/>
          <w:szCs w:val="19"/>
          <w:shd w:val="clear" w:color="auto" w:fill="FFFFFF"/>
          <w:lang w:val="en-US" w:eastAsia="en-US"/>
        </w:rPr>
        <w:t>gienic and medico-prophylactic measures are carried out. They should be comprehensive and take into account the actual level of industrial inj</w:t>
      </w:r>
      <w:r w:rsidRPr="00E73FF0">
        <w:rPr>
          <w:rFonts w:eastAsia="Arial Narrow"/>
          <w:sz w:val="22"/>
          <w:szCs w:val="19"/>
          <w:shd w:val="clear" w:color="auto" w:fill="FFFFFF"/>
          <w:lang w:val="en-US" w:eastAsia="en-US"/>
        </w:rPr>
        <w:t>u</w:t>
      </w:r>
      <w:r w:rsidRPr="00E73FF0">
        <w:rPr>
          <w:rFonts w:eastAsia="Arial Narrow"/>
          <w:sz w:val="22"/>
          <w:szCs w:val="19"/>
          <w:shd w:val="clear" w:color="auto" w:fill="FFFFFF"/>
          <w:lang w:val="en-US" w:eastAsia="en-US"/>
        </w:rPr>
        <w:t>ries in the industry.</w:t>
      </w:r>
    </w:p>
    <w:p w:rsidR="00E73FF0" w:rsidRPr="00E73FF0" w:rsidRDefault="00E73FF0" w:rsidP="00E73FF0">
      <w:pPr>
        <w:widowControl w:val="0"/>
        <w:ind w:firstLine="425"/>
        <w:jc w:val="both"/>
        <w:rPr>
          <w:rFonts w:eastAsia="Arial Narrow"/>
          <w:sz w:val="22"/>
          <w:szCs w:val="22"/>
          <w:lang w:eastAsia="en-US"/>
        </w:rPr>
      </w:pPr>
      <w:r w:rsidRPr="00E73FF0">
        <w:rPr>
          <w:rFonts w:eastAsia="Arial Narrow"/>
          <w:sz w:val="22"/>
          <w:szCs w:val="22"/>
          <w:lang w:eastAsia="en-US"/>
        </w:rPr>
        <w:t>КЛЮЧЕВЫЕ СЛОВА: травматизм, производство, требования, женщины, профилактика, репродуктивное здоровье.</w:t>
      </w:r>
    </w:p>
    <w:p w:rsidR="00E73FF0" w:rsidRPr="00E73FF0" w:rsidRDefault="00E73FF0" w:rsidP="00E73FF0">
      <w:pPr>
        <w:shd w:val="clear" w:color="auto" w:fill="FFFFFF"/>
        <w:ind w:firstLine="425"/>
        <w:jc w:val="both"/>
        <w:rPr>
          <w:sz w:val="22"/>
          <w:szCs w:val="22"/>
          <w:lang w:val="en-US"/>
        </w:rPr>
      </w:pPr>
      <w:r w:rsidRPr="00E73FF0">
        <w:rPr>
          <w:sz w:val="22"/>
          <w:szCs w:val="22"/>
          <w:lang w:val="en"/>
        </w:rPr>
        <w:t>KEYWORDS</w:t>
      </w:r>
      <w:r w:rsidRPr="00E73FF0">
        <w:rPr>
          <w:sz w:val="22"/>
          <w:szCs w:val="22"/>
          <w:lang w:val="en-US"/>
        </w:rPr>
        <w:t>:</w:t>
      </w:r>
      <w:r w:rsidRPr="00E73FF0">
        <w:rPr>
          <w:sz w:val="22"/>
          <w:szCs w:val="22"/>
          <w:lang w:val="en"/>
        </w:rPr>
        <w:t xml:space="preserve"> traumatism, production, requirements, women, pr</w:t>
      </w:r>
      <w:r w:rsidRPr="00E73FF0">
        <w:rPr>
          <w:sz w:val="22"/>
          <w:szCs w:val="22"/>
          <w:lang w:val="en"/>
        </w:rPr>
        <w:t>e</w:t>
      </w:r>
      <w:r w:rsidRPr="00E73FF0">
        <w:rPr>
          <w:sz w:val="22"/>
          <w:szCs w:val="22"/>
          <w:lang w:val="en"/>
        </w:rPr>
        <w:t>vention, reproductive health.</w:t>
      </w:r>
    </w:p>
    <w:p w:rsidR="00E73FF0" w:rsidRPr="00E73FF0" w:rsidRDefault="00E73FF0" w:rsidP="00E73FF0">
      <w:pPr>
        <w:widowControl w:val="0"/>
        <w:jc w:val="both"/>
        <w:rPr>
          <w:rFonts w:eastAsia="Arial Narrow"/>
          <w:szCs w:val="24"/>
          <w:lang w:val="en-US" w:eastAsia="en-US"/>
        </w:rPr>
      </w:pPr>
    </w:p>
    <w:p w:rsidR="00E73FF0" w:rsidRPr="00E73FF0" w:rsidRDefault="00E73FF0" w:rsidP="00E73FF0">
      <w:pPr>
        <w:widowControl w:val="0"/>
        <w:ind w:firstLine="425"/>
        <w:jc w:val="both"/>
        <w:rPr>
          <w:rFonts w:eastAsia="Arial Narrow"/>
          <w:sz w:val="22"/>
          <w:szCs w:val="24"/>
          <w:lang w:eastAsia="en-US"/>
        </w:rPr>
      </w:pPr>
      <w:r w:rsidRPr="00E73FF0">
        <w:rPr>
          <w:rFonts w:eastAsia="Arial Narrow"/>
          <w:sz w:val="22"/>
          <w:szCs w:val="24"/>
          <w:lang w:eastAsia="en-US"/>
        </w:rPr>
        <w:t>В соответствии с требованиями эргономики и производстве</w:t>
      </w:r>
      <w:r w:rsidRPr="00E73FF0">
        <w:rPr>
          <w:rFonts w:eastAsia="Arial Narrow"/>
          <w:sz w:val="22"/>
          <w:szCs w:val="24"/>
          <w:lang w:eastAsia="en-US"/>
        </w:rPr>
        <w:t>н</w:t>
      </w:r>
      <w:r w:rsidRPr="00E73FF0">
        <w:rPr>
          <w:rFonts w:eastAsia="Arial Narrow"/>
          <w:sz w:val="22"/>
          <w:szCs w:val="24"/>
          <w:lang w:eastAsia="en-US"/>
        </w:rPr>
        <w:t>ной эстетики конструкции оборудования, средств механизации, р</w:t>
      </w:r>
      <w:r w:rsidRPr="00E73FF0">
        <w:rPr>
          <w:rFonts w:eastAsia="Arial Narrow"/>
          <w:sz w:val="22"/>
          <w:szCs w:val="24"/>
          <w:lang w:eastAsia="en-US"/>
        </w:rPr>
        <w:t>а</w:t>
      </w:r>
      <w:r w:rsidRPr="00E73FF0">
        <w:rPr>
          <w:rFonts w:eastAsia="Arial Narrow"/>
          <w:sz w:val="22"/>
          <w:szCs w:val="24"/>
          <w:lang w:eastAsia="en-US"/>
        </w:rPr>
        <w:t>бочей мебели и т. п. должны соответствовать антропометрическим и анатомо-физиологическим особенностям женского организма. Несоблюдение этих требований может привести к травматизму.</w:t>
      </w:r>
    </w:p>
    <w:p w:rsidR="00E73FF0" w:rsidRPr="00E73FF0" w:rsidRDefault="00E73FF0" w:rsidP="00E73FF0">
      <w:pPr>
        <w:widowControl w:val="0"/>
        <w:ind w:firstLine="425"/>
        <w:jc w:val="both"/>
        <w:rPr>
          <w:rFonts w:eastAsia="Arial Narrow"/>
          <w:sz w:val="22"/>
          <w:szCs w:val="24"/>
          <w:lang w:eastAsia="en-US"/>
        </w:rPr>
      </w:pPr>
      <w:r w:rsidRPr="00E73FF0">
        <w:rPr>
          <w:rFonts w:eastAsia="Arial Narrow"/>
          <w:sz w:val="22"/>
          <w:szCs w:val="24"/>
          <w:lang w:eastAsia="en-US"/>
        </w:rPr>
        <w:t>Для снижения физической тяжести труда следует предусмо</w:t>
      </w:r>
      <w:r w:rsidRPr="00E73FF0">
        <w:rPr>
          <w:rFonts w:eastAsia="Arial Narrow"/>
          <w:sz w:val="22"/>
          <w:szCs w:val="24"/>
          <w:lang w:eastAsia="en-US"/>
        </w:rPr>
        <w:t>т</w:t>
      </w:r>
      <w:r w:rsidRPr="00E73FF0">
        <w:rPr>
          <w:rFonts w:eastAsia="Arial Narrow"/>
          <w:sz w:val="22"/>
          <w:szCs w:val="24"/>
          <w:lang w:eastAsia="en-US"/>
        </w:rPr>
        <w:t>реть организацию труда женщин с учетом рационального рабочего места [1].</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Женщины должны быть проинформированы о существующем риске производственных факторов, мерах коллективной и индив</w:t>
      </w:r>
      <w:r w:rsidRPr="00E73FF0">
        <w:rPr>
          <w:rFonts w:eastAsia="Arial Narrow" w:cs="Arial Narrow"/>
          <w:sz w:val="22"/>
          <w:szCs w:val="19"/>
        </w:rPr>
        <w:t>и</w:t>
      </w:r>
      <w:r w:rsidRPr="00E73FF0">
        <w:rPr>
          <w:rFonts w:eastAsia="Arial Narrow" w:cs="Arial Narrow"/>
          <w:sz w:val="22"/>
          <w:szCs w:val="19"/>
        </w:rPr>
        <w:t>дуальной защиты и личной профилактики.</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lastRenderedPageBreak/>
        <w:t>Средства индивидуальной защиты (СИЗ) следует применять с учетом профессиональных особенностей. Все СИЗ должны выд</w:t>
      </w:r>
      <w:r w:rsidRPr="00E73FF0">
        <w:rPr>
          <w:rFonts w:eastAsia="Arial Narrow" w:cs="Arial Narrow"/>
          <w:sz w:val="22"/>
          <w:szCs w:val="19"/>
        </w:rPr>
        <w:t>а</w:t>
      </w:r>
      <w:r w:rsidRPr="00E73FF0">
        <w:rPr>
          <w:rFonts w:eastAsia="Arial Narrow" w:cs="Arial Narrow"/>
          <w:sz w:val="22"/>
          <w:szCs w:val="19"/>
        </w:rPr>
        <w:t>ваться бесплатно и содержаться в исправном состоянии за счет р</w:t>
      </w:r>
      <w:r w:rsidRPr="00E73FF0">
        <w:rPr>
          <w:rFonts w:eastAsia="Arial Narrow" w:cs="Arial Narrow"/>
          <w:sz w:val="22"/>
          <w:szCs w:val="19"/>
        </w:rPr>
        <w:t>а</w:t>
      </w:r>
      <w:r w:rsidRPr="00E73FF0">
        <w:rPr>
          <w:rFonts w:eastAsia="Arial Narrow" w:cs="Arial Narrow"/>
          <w:sz w:val="22"/>
          <w:szCs w:val="19"/>
        </w:rPr>
        <w:t>ботодателя.</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Для профилактики нервно-психического утомления, повыш</w:t>
      </w:r>
      <w:r w:rsidRPr="00E73FF0">
        <w:rPr>
          <w:rFonts w:eastAsia="Arial Narrow" w:cs="Arial Narrow"/>
          <w:sz w:val="22"/>
          <w:szCs w:val="19"/>
        </w:rPr>
        <w:t>е</w:t>
      </w:r>
      <w:r w:rsidRPr="00E73FF0">
        <w:rPr>
          <w:rFonts w:eastAsia="Arial Narrow" w:cs="Arial Narrow"/>
          <w:sz w:val="22"/>
          <w:szCs w:val="19"/>
        </w:rPr>
        <w:t>ния адаптационных возможностей, восстановления работоспосо</w:t>
      </w:r>
      <w:r w:rsidRPr="00E73FF0">
        <w:rPr>
          <w:rFonts w:eastAsia="Arial Narrow" w:cs="Arial Narrow"/>
          <w:sz w:val="22"/>
          <w:szCs w:val="19"/>
        </w:rPr>
        <w:t>б</w:t>
      </w:r>
      <w:r w:rsidRPr="00E73FF0">
        <w:rPr>
          <w:rFonts w:eastAsia="Arial Narrow" w:cs="Arial Narrow"/>
          <w:sz w:val="22"/>
          <w:szCs w:val="19"/>
        </w:rPr>
        <w:t>ности целесообразна организация комнат психофизиологической разгрузки [2].</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Производственные участки должны обеспечиваться аптечками. Всех работников следует обучить приемам первой помощи.</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Медико-профилактические мероприятия включают меры м</w:t>
      </w:r>
      <w:r w:rsidRPr="00E73FF0">
        <w:rPr>
          <w:rFonts w:eastAsia="Arial Narrow" w:cs="Arial Narrow"/>
          <w:sz w:val="22"/>
          <w:szCs w:val="19"/>
        </w:rPr>
        <w:t>е</w:t>
      </w:r>
      <w:r w:rsidRPr="00E73FF0">
        <w:rPr>
          <w:rFonts w:eastAsia="Arial Narrow" w:cs="Arial Narrow"/>
          <w:sz w:val="22"/>
          <w:szCs w:val="19"/>
        </w:rPr>
        <w:t xml:space="preserve">дицинского плана. При приеме женщин на работу с вредными и опасными условиями труда, необходимо проводить обязательные предварительные при </w:t>
      </w:r>
      <w:r w:rsidRPr="00E73FF0">
        <w:rPr>
          <w:rFonts w:eastAsia="Arial Narrow" w:cs="Arial Narrow"/>
          <w:sz w:val="22"/>
          <w:szCs w:val="19"/>
          <w:lang w:eastAsia="en-US"/>
        </w:rPr>
        <w:t>поступлении на работу и периодические м</w:t>
      </w:r>
      <w:r w:rsidRPr="00E73FF0">
        <w:rPr>
          <w:rFonts w:eastAsia="Arial Narrow" w:cs="Arial Narrow"/>
          <w:sz w:val="22"/>
          <w:szCs w:val="19"/>
          <w:lang w:eastAsia="en-US"/>
        </w:rPr>
        <w:t>е</w:t>
      </w:r>
      <w:r w:rsidRPr="00E73FF0">
        <w:rPr>
          <w:rFonts w:eastAsia="Arial Narrow" w:cs="Arial Narrow"/>
          <w:sz w:val="22"/>
          <w:szCs w:val="19"/>
          <w:lang w:eastAsia="en-US"/>
        </w:rPr>
        <w:t xml:space="preserve">дицинские осмотры. </w:t>
      </w:r>
      <w:r w:rsidRPr="00E73FF0">
        <w:rPr>
          <w:rFonts w:eastAsia="Arial Narrow" w:cs="Arial Narrow"/>
          <w:sz w:val="22"/>
          <w:szCs w:val="19"/>
        </w:rPr>
        <w:t>Для профилактики нарушений репродуктивн</w:t>
      </w:r>
      <w:r w:rsidRPr="00E73FF0">
        <w:rPr>
          <w:rFonts w:eastAsia="Arial Narrow" w:cs="Arial Narrow"/>
          <w:sz w:val="22"/>
          <w:szCs w:val="19"/>
        </w:rPr>
        <w:t>о</w:t>
      </w:r>
      <w:r w:rsidRPr="00E73FF0">
        <w:rPr>
          <w:rFonts w:eastAsia="Arial Narrow" w:cs="Arial Narrow"/>
          <w:sz w:val="22"/>
          <w:szCs w:val="19"/>
        </w:rPr>
        <w:t>го здоровья</w:t>
      </w:r>
      <w:r w:rsidRPr="00E73FF0">
        <w:rPr>
          <w:rFonts w:eastAsia="Arial Narrow" w:cs="Arial Narrow"/>
          <w:sz w:val="22"/>
          <w:szCs w:val="19"/>
          <w:lang w:eastAsia="en-US"/>
        </w:rPr>
        <w:t xml:space="preserve"> в состав медицинских комиссий по проведению этих медосмотров следует включать врачей акушеров-гинекологов для проведения специфической профилактики возможных нарушений репродуктивного здоровья работниц.</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При проведении периодических медицинских осмотров среди женщин-работниц необходимо выделение следующих групп пов</w:t>
      </w:r>
      <w:r w:rsidRPr="00E73FF0">
        <w:rPr>
          <w:rFonts w:eastAsia="Arial Narrow" w:cs="Arial Narrow"/>
          <w:sz w:val="22"/>
          <w:szCs w:val="19"/>
        </w:rPr>
        <w:t>ы</w:t>
      </w:r>
      <w:r w:rsidRPr="00E73FF0">
        <w:rPr>
          <w:rFonts w:eastAsia="Arial Narrow" w:cs="Arial Narrow"/>
          <w:sz w:val="22"/>
          <w:szCs w:val="19"/>
        </w:rPr>
        <w:t>шенного риска: девушки-подростки; женщины активного репроду</w:t>
      </w:r>
      <w:r w:rsidRPr="00E73FF0">
        <w:rPr>
          <w:rFonts w:eastAsia="Arial Narrow" w:cs="Arial Narrow"/>
          <w:sz w:val="22"/>
          <w:szCs w:val="19"/>
        </w:rPr>
        <w:t>к</w:t>
      </w:r>
      <w:r w:rsidRPr="00E73FF0">
        <w:rPr>
          <w:rFonts w:eastAsia="Arial Narrow" w:cs="Arial Narrow"/>
          <w:sz w:val="22"/>
          <w:szCs w:val="19"/>
        </w:rPr>
        <w:t>тивного возраста (планирующие беременность, беременные, неда</w:t>
      </w:r>
      <w:r w:rsidRPr="00E73FF0">
        <w:rPr>
          <w:rFonts w:eastAsia="Arial Narrow" w:cs="Arial Narrow"/>
          <w:sz w:val="22"/>
          <w:szCs w:val="19"/>
        </w:rPr>
        <w:t>в</w:t>
      </w:r>
      <w:r w:rsidRPr="00E73FF0">
        <w:rPr>
          <w:rFonts w:eastAsia="Arial Narrow" w:cs="Arial Narrow"/>
          <w:sz w:val="22"/>
          <w:szCs w:val="19"/>
        </w:rPr>
        <w:t>но родившие и кормящие грудью); женщины пред- и климактерич</w:t>
      </w:r>
      <w:r w:rsidRPr="00E73FF0">
        <w:rPr>
          <w:rFonts w:eastAsia="Arial Narrow" w:cs="Arial Narrow"/>
          <w:sz w:val="22"/>
          <w:szCs w:val="19"/>
        </w:rPr>
        <w:t>е</w:t>
      </w:r>
      <w:r w:rsidRPr="00E73FF0">
        <w:rPr>
          <w:rFonts w:eastAsia="Arial Narrow" w:cs="Arial Narrow"/>
          <w:sz w:val="22"/>
          <w:szCs w:val="19"/>
        </w:rPr>
        <w:t>ского периода [3].</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9"/>
        </w:rPr>
        <w:t>Женщина, поступающая на работу с вредными условиями тр</w:t>
      </w:r>
      <w:r w:rsidRPr="00E73FF0">
        <w:rPr>
          <w:rFonts w:eastAsia="Arial Narrow" w:cs="Arial Narrow"/>
          <w:sz w:val="22"/>
          <w:szCs w:val="19"/>
        </w:rPr>
        <w:t>у</w:t>
      </w:r>
      <w:r w:rsidRPr="00E73FF0">
        <w:rPr>
          <w:rFonts w:eastAsia="Arial Narrow" w:cs="Arial Narrow"/>
          <w:sz w:val="22"/>
          <w:szCs w:val="19"/>
        </w:rPr>
        <w:t>да, должна быть включена в «группу риска» по развитию гинекол</w:t>
      </w:r>
      <w:r w:rsidRPr="00E73FF0">
        <w:rPr>
          <w:rFonts w:eastAsia="Arial Narrow" w:cs="Arial Narrow"/>
          <w:sz w:val="22"/>
          <w:szCs w:val="19"/>
        </w:rPr>
        <w:t>о</w:t>
      </w:r>
      <w:r w:rsidRPr="00E73FF0">
        <w:rPr>
          <w:rFonts w:eastAsia="Arial Narrow" w:cs="Arial Narrow"/>
          <w:sz w:val="22"/>
          <w:szCs w:val="19"/>
        </w:rPr>
        <w:t>гических нарушений, патологии беременности и родов, нарушений развития плода, и включена в диспансерную группу.</w:t>
      </w:r>
    </w:p>
    <w:p w:rsidR="00E73FF0" w:rsidRPr="00E73FF0" w:rsidRDefault="00E73FF0" w:rsidP="00E73FF0">
      <w:pPr>
        <w:widowControl w:val="0"/>
        <w:ind w:firstLine="425"/>
        <w:jc w:val="both"/>
        <w:rPr>
          <w:rFonts w:eastAsia="Courier New"/>
          <w:sz w:val="22"/>
          <w:szCs w:val="24"/>
        </w:rPr>
      </w:pPr>
      <w:r w:rsidRPr="00E73FF0">
        <w:rPr>
          <w:rFonts w:eastAsia="Arial Narrow" w:cs="Arial Narrow"/>
          <w:sz w:val="22"/>
          <w:szCs w:val="19"/>
        </w:rPr>
        <w:t>Некоторые производственные факторы, например, физические и химические, могут причинить ущерб зародышу сразу же после зачатия. При наступлении беременности женщину необходимо тр</w:t>
      </w:r>
      <w:r w:rsidRPr="00E73FF0">
        <w:rPr>
          <w:rFonts w:eastAsia="Arial Narrow" w:cs="Arial Narrow"/>
          <w:sz w:val="22"/>
          <w:szCs w:val="19"/>
        </w:rPr>
        <w:t>у</w:t>
      </w:r>
      <w:r w:rsidRPr="00E73FF0">
        <w:rPr>
          <w:rFonts w:eastAsia="Arial Narrow" w:cs="Arial Narrow"/>
          <w:sz w:val="22"/>
          <w:szCs w:val="19"/>
        </w:rPr>
        <w:t>доустроить в соответствии с гигиеническими требованиями к труду беременных. Следует подчеркнуть, что во время беременности с</w:t>
      </w:r>
      <w:r w:rsidRPr="00E73FF0">
        <w:rPr>
          <w:rFonts w:eastAsia="Arial Narrow" w:cs="Arial Narrow"/>
          <w:sz w:val="22"/>
          <w:szCs w:val="19"/>
        </w:rPr>
        <w:t>а</w:t>
      </w:r>
      <w:r w:rsidRPr="00E73FF0">
        <w:rPr>
          <w:rFonts w:eastAsia="Arial Narrow" w:cs="Arial Narrow"/>
          <w:sz w:val="22"/>
          <w:szCs w:val="19"/>
        </w:rPr>
        <w:t>мочувствие женщины ухудшается, нарушается координация движ</w:t>
      </w:r>
      <w:r w:rsidRPr="00E73FF0">
        <w:rPr>
          <w:rFonts w:eastAsia="Arial Narrow" w:cs="Arial Narrow"/>
          <w:sz w:val="22"/>
          <w:szCs w:val="19"/>
        </w:rPr>
        <w:t>е</w:t>
      </w:r>
      <w:r w:rsidRPr="00E73FF0">
        <w:rPr>
          <w:rFonts w:eastAsia="Arial Narrow" w:cs="Arial Narrow"/>
          <w:sz w:val="22"/>
          <w:szCs w:val="19"/>
        </w:rPr>
        <w:t>ний, повышается утомляемость, изменяются размеры и масса тела и др., что повышает риск травматизма.</w:t>
      </w:r>
      <w:r w:rsidRPr="00E73FF0">
        <w:rPr>
          <w:rFonts w:eastAsia="Courier New"/>
          <w:sz w:val="22"/>
          <w:szCs w:val="24"/>
        </w:rPr>
        <w:t xml:space="preserve"> </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7"/>
        </w:rPr>
        <w:t>Для снижения риска травматизма беременных женщин не сл</w:t>
      </w:r>
      <w:r w:rsidRPr="00E73FF0">
        <w:rPr>
          <w:rFonts w:eastAsia="Arial Narrow" w:cs="Arial Narrow"/>
          <w:sz w:val="22"/>
          <w:szCs w:val="17"/>
        </w:rPr>
        <w:t>е</w:t>
      </w:r>
      <w:r w:rsidRPr="00E73FF0">
        <w:rPr>
          <w:rFonts w:eastAsia="Arial Narrow" w:cs="Arial Narrow"/>
          <w:sz w:val="22"/>
          <w:szCs w:val="17"/>
        </w:rPr>
        <w:lastRenderedPageBreak/>
        <w:t>дует привлекать:</w:t>
      </w:r>
      <w:r w:rsidRPr="00E73FF0">
        <w:rPr>
          <w:rFonts w:eastAsia="Arial Narrow" w:cs="Arial Narrow"/>
          <w:sz w:val="22"/>
          <w:szCs w:val="19"/>
        </w:rPr>
        <w:t xml:space="preserve"> </w:t>
      </w:r>
      <w:r w:rsidRPr="00E73FF0">
        <w:rPr>
          <w:rFonts w:eastAsia="Arial Narrow" w:cs="Arial Narrow"/>
          <w:sz w:val="22"/>
          <w:szCs w:val="17"/>
        </w:rPr>
        <w:t>к работам на высоте или требующих переходов по лестнице;</w:t>
      </w:r>
      <w:r w:rsidRPr="00E73FF0">
        <w:rPr>
          <w:rFonts w:eastAsia="Arial Narrow" w:cs="Arial Narrow"/>
          <w:sz w:val="22"/>
          <w:szCs w:val="19"/>
        </w:rPr>
        <w:t xml:space="preserve"> </w:t>
      </w:r>
      <w:r w:rsidRPr="00E73FF0">
        <w:rPr>
          <w:rFonts w:eastAsia="Arial Narrow" w:cs="Arial Narrow"/>
          <w:sz w:val="22"/>
          <w:szCs w:val="17"/>
        </w:rPr>
        <w:t>к работам, связанным с вынужденной рабочей позой (на корточках, на коленях, согнувшись), с упором животом и грудью в инструмент, оборудование, предметы труда; с наклоном туловища более 15 градусов;</w:t>
      </w:r>
      <w:r w:rsidRPr="00E73FF0">
        <w:rPr>
          <w:rFonts w:eastAsia="Arial Narrow" w:cs="Arial Narrow"/>
          <w:sz w:val="22"/>
          <w:szCs w:val="19"/>
        </w:rPr>
        <w:t xml:space="preserve"> </w:t>
      </w:r>
      <w:r w:rsidRPr="00E73FF0">
        <w:rPr>
          <w:rFonts w:eastAsia="Arial Narrow" w:cs="Arial Narrow"/>
          <w:sz w:val="22"/>
          <w:szCs w:val="17"/>
        </w:rPr>
        <w:t>к работам, при которых выполнение произво</w:t>
      </w:r>
      <w:r w:rsidRPr="00E73FF0">
        <w:rPr>
          <w:rFonts w:eastAsia="Arial Narrow" w:cs="Arial Narrow"/>
          <w:sz w:val="22"/>
          <w:szCs w:val="17"/>
        </w:rPr>
        <w:t>д</w:t>
      </w:r>
      <w:r w:rsidRPr="00E73FF0">
        <w:rPr>
          <w:rFonts w:eastAsia="Arial Narrow" w:cs="Arial Narrow"/>
          <w:sz w:val="22"/>
          <w:szCs w:val="17"/>
        </w:rPr>
        <w:t>ственных операций связано с преобладанием статического напр</w:t>
      </w:r>
      <w:r w:rsidRPr="00E73FF0">
        <w:rPr>
          <w:rFonts w:eastAsia="Arial Narrow" w:cs="Arial Narrow"/>
          <w:sz w:val="22"/>
          <w:szCs w:val="17"/>
        </w:rPr>
        <w:t>я</w:t>
      </w:r>
      <w:r w:rsidRPr="00E73FF0">
        <w:rPr>
          <w:rFonts w:eastAsia="Arial Narrow" w:cs="Arial Narrow"/>
          <w:sz w:val="22"/>
          <w:szCs w:val="17"/>
        </w:rPr>
        <w:t>жения мышц ног или брюшного пресса.</w:t>
      </w:r>
    </w:p>
    <w:p w:rsidR="00E73FF0" w:rsidRPr="00E73FF0" w:rsidRDefault="00E73FF0" w:rsidP="00E73FF0">
      <w:pPr>
        <w:widowControl w:val="0"/>
        <w:ind w:firstLine="425"/>
        <w:jc w:val="both"/>
        <w:rPr>
          <w:rFonts w:eastAsia="Arial Narrow" w:cs="Arial Narrow"/>
          <w:sz w:val="22"/>
          <w:szCs w:val="19"/>
        </w:rPr>
      </w:pPr>
      <w:r w:rsidRPr="00E73FF0">
        <w:rPr>
          <w:rFonts w:eastAsia="Arial Narrow" w:cs="Arial Narrow"/>
          <w:sz w:val="22"/>
          <w:szCs w:val="17"/>
        </w:rPr>
        <w:t>В приказе Минздрава России от 17.08.99 № 322 сказано, что прерывание беременности (выкидыш), а также утрата репродукти</w:t>
      </w:r>
      <w:r w:rsidRPr="00E73FF0">
        <w:rPr>
          <w:rFonts w:eastAsia="Arial Narrow" w:cs="Arial Narrow"/>
          <w:sz w:val="22"/>
          <w:szCs w:val="17"/>
        </w:rPr>
        <w:t>в</w:t>
      </w:r>
      <w:r w:rsidRPr="00E73FF0">
        <w:rPr>
          <w:rFonts w:eastAsia="Arial Narrow" w:cs="Arial Narrow"/>
          <w:sz w:val="22"/>
          <w:szCs w:val="17"/>
        </w:rPr>
        <w:t>ной функции и способности к деторождению в результате несчас</w:t>
      </w:r>
      <w:r w:rsidRPr="00E73FF0">
        <w:rPr>
          <w:rFonts w:eastAsia="Arial Narrow" w:cs="Arial Narrow"/>
          <w:sz w:val="22"/>
          <w:szCs w:val="17"/>
        </w:rPr>
        <w:t>т</w:t>
      </w:r>
      <w:r w:rsidRPr="00E73FF0">
        <w:rPr>
          <w:rFonts w:eastAsia="Arial Narrow" w:cs="Arial Narrow"/>
          <w:sz w:val="22"/>
          <w:szCs w:val="17"/>
        </w:rPr>
        <w:t>ного случая на производстве квалифицируются как тяжелые несчастные случаи на производстве [4].</w:t>
      </w:r>
    </w:p>
    <w:p w:rsidR="00E73FF0" w:rsidRPr="00E73FF0" w:rsidRDefault="00E73FF0" w:rsidP="00E73FF0">
      <w:pPr>
        <w:widowControl w:val="0"/>
        <w:ind w:firstLine="425"/>
        <w:jc w:val="both"/>
        <w:rPr>
          <w:rFonts w:eastAsia="Arial Narrow" w:cs="Arial Narrow"/>
          <w:sz w:val="22"/>
          <w:szCs w:val="17"/>
        </w:rPr>
      </w:pPr>
      <w:r w:rsidRPr="00E73FF0">
        <w:rPr>
          <w:rFonts w:eastAsia="Arial Narrow" w:cs="Arial Narrow"/>
          <w:sz w:val="22"/>
          <w:szCs w:val="17"/>
        </w:rPr>
        <w:t>Таким образом, вышеуказанные профилактические меропри</w:t>
      </w:r>
      <w:r w:rsidRPr="00E73FF0">
        <w:rPr>
          <w:rFonts w:eastAsia="Arial Narrow" w:cs="Arial Narrow"/>
          <w:sz w:val="22"/>
          <w:szCs w:val="17"/>
        </w:rPr>
        <w:t>я</w:t>
      </w:r>
      <w:r w:rsidRPr="00E73FF0">
        <w:rPr>
          <w:rFonts w:eastAsia="Arial Narrow" w:cs="Arial Narrow"/>
          <w:sz w:val="22"/>
          <w:szCs w:val="17"/>
        </w:rPr>
        <w:t>тия должны способствовать рождению здорового потомства, пред</w:t>
      </w:r>
      <w:r w:rsidRPr="00E73FF0">
        <w:rPr>
          <w:rFonts w:eastAsia="Arial Narrow" w:cs="Arial Narrow"/>
          <w:sz w:val="22"/>
          <w:szCs w:val="17"/>
        </w:rPr>
        <w:t>у</w:t>
      </w:r>
      <w:r w:rsidRPr="00E73FF0">
        <w:rPr>
          <w:rFonts w:eastAsia="Arial Narrow" w:cs="Arial Narrow"/>
          <w:sz w:val="22"/>
          <w:szCs w:val="17"/>
        </w:rPr>
        <w:t>преждать несчастные случаи на производстве, которые могут пр</w:t>
      </w:r>
      <w:r w:rsidRPr="00E73FF0">
        <w:rPr>
          <w:rFonts w:eastAsia="Arial Narrow" w:cs="Arial Narrow"/>
          <w:sz w:val="22"/>
          <w:szCs w:val="17"/>
        </w:rPr>
        <w:t>и</w:t>
      </w:r>
      <w:r w:rsidRPr="00E73FF0">
        <w:rPr>
          <w:rFonts w:eastAsia="Arial Narrow" w:cs="Arial Narrow"/>
          <w:sz w:val="22"/>
          <w:szCs w:val="17"/>
        </w:rPr>
        <w:t>вести к нарушениям репродуктивного здоровья женщин-работниц, осложнениям беременности.</w:t>
      </w:r>
    </w:p>
    <w:p w:rsidR="00E73FF0" w:rsidRPr="00E73FF0" w:rsidRDefault="00E73FF0" w:rsidP="00E73FF0">
      <w:pPr>
        <w:widowControl w:val="0"/>
        <w:ind w:firstLine="425"/>
        <w:jc w:val="both"/>
        <w:rPr>
          <w:rFonts w:eastAsia="Arial Narrow" w:cs="Arial Narrow"/>
          <w:sz w:val="22"/>
          <w:szCs w:val="19"/>
        </w:rPr>
      </w:pPr>
    </w:p>
    <w:p w:rsidR="00E73FF0" w:rsidRPr="00E73FF0" w:rsidRDefault="00E73FF0" w:rsidP="00E73FF0">
      <w:pPr>
        <w:widowControl w:val="0"/>
        <w:ind w:firstLine="425"/>
        <w:jc w:val="center"/>
        <w:rPr>
          <w:rFonts w:eastAsia="Courier New" w:cs="Courier New"/>
          <w:sz w:val="22"/>
          <w:szCs w:val="24"/>
        </w:rPr>
      </w:pPr>
      <w:r w:rsidRPr="00E73FF0">
        <w:rPr>
          <w:rFonts w:eastAsia="Courier New" w:cs="Courier New"/>
          <w:sz w:val="22"/>
          <w:szCs w:val="24"/>
        </w:rPr>
        <w:t>Список литературы</w:t>
      </w:r>
    </w:p>
    <w:p w:rsidR="00E73FF0" w:rsidRPr="00E73FF0" w:rsidRDefault="00E73FF0" w:rsidP="00E73FF0">
      <w:pPr>
        <w:widowControl w:val="0"/>
        <w:ind w:firstLine="425"/>
        <w:jc w:val="both"/>
        <w:rPr>
          <w:rFonts w:eastAsiaTheme="minorHAnsi" w:cstheme="minorBidi"/>
          <w:sz w:val="22"/>
          <w:szCs w:val="22"/>
          <w:lang w:eastAsia="en-US"/>
        </w:rPr>
      </w:pPr>
      <w:r w:rsidRPr="00E73FF0">
        <w:rPr>
          <w:rFonts w:eastAsia="Courier New" w:cs="Courier New"/>
          <w:sz w:val="22"/>
          <w:szCs w:val="22"/>
        </w:rPr>
        <w:t>1</w:t>
      </w:r>
      <w:r w:rsidRPr="00E73FF0">
        <w:rPr>
          <w:rFonts w:eastAsiaTheme="minorHAnsi" w:cstheme="minorBidi"/>
          <w:sz w:val="22"/>
          <w:szCs w:val="22"/>
          <w:lang w:eastAsia="en-US"/>
        </w:rPr>
        <w:t xml:space="preserve">. </w:t>
      </w:r>
      <w:r w:rsidRPr="00E73FF0">
        <w:rPr>
          <w:rFonts w:eastAsiaTheme="minorHAnsi" w:cs="Tahoma"/>
          <w:iCs/>
          <w:sz w:val="22"/>
          <w:szCs w:val="16"/>
          <w:shd w:val="clear" w:color="auto" w:fill="F5F5F5"/>
          <w:lang w:eastAsia="en-US"/>
        </w:rPr>
        <w:t xml:space="preserve">Овсянникова О.В. </w:t>
      </w:r>
      <w:hyperlink r:id="rId93" w:history="1">
        <w:r w:rsidRPr="00E73FF0">
          <w:rPr>
            <w:rFonts w:eastAsiaTheme="minorHAnsi" w:cs="Tahoma"/>
            <w:bCs/>
            <w:sz w:val="22"/>
            <w:szCs w:val="16"/>
            <w:shd w:val="clear" w:color="auto" w:fill="F5F5F5"/>
            <w:lang w:eastAsia="en-US"/>
          </w:rPr>
          <w:t>Социально-экономические аспекты бе</w:t>
        </w:r>
        <w:r w:rsidRPr="00E73FF0">
          <w:rPr>
            <w:rFonts w:eastAsiaTheme="minorHAnsi" w:cs="Tahoma"/>
            <w:bCs/>
            <w:sz w:val="22"/>
            <w:szCs w:val="16"/>
            <w:shd w:val="clear" w:color="auto" w:fill="F5F5F5"/>
            <w:lang w:eastAsia="en-US"/>
          </w:rPr>
          <w:t>з</w:t>
        </w:r>
        <w:r w:rsidRPr="00E73FF0">
          <w:rPr>
            <w:rFonts w:eastAsiaTheme="minorHAnsi" w:cs="Tahoma"/>
            <w:bCs/>
            <w:sz w:val="22"/>
            <w:szCs w:val="16"/>
            <w:shd w:val="clear" w:color="auto" w:fill="F5F5F5"/>
            <w:lang w:eastAsia="en-US"/>
          </w:rPr>
          <w:t>опасности жизнедеятельности</w:t>
        </w:r>
      </w:hyperlink>
      <w:r w:rsidRPr="00E73FF0">
        <w:rPr>
          <w:rFonts w:eastAsiaTheme="minorHAnsi" w:cs="Arial Unicode MS"/>
          <w:sz w:val="22"/>
          <w:szCs w:val="24"/>
          <w:lang w:eastAsia="en-US"/>
        </w:rPr>
        <w:t xml:space="preserve"> </w:t>
      </w:r>
      <w:r w:rsidRPr="00E73FF0">
        <w:rPr>
          <w:rFonts w:eastAsiaTheme="minorHAnsi" w:cs="Tahoma"/>
          <w:sz w:val="22"/>
          <w:szCs w:val="16"/>
          <w:shd w:val="clear" w:color="auto" w:fill="F5F5F5"/>
          <w:lang w:eastAsia="en-US"/>
        </w:rPr>
        <w:t xml:space="preserve">В сборнике: </w:t>
      </w:r>
      <w:hyperlink r:id="rId94" w:history="1">
        <w:r w:rsidRPr="00E73FF0">
          <w:rPr>
            <w:rFonts w:eastAsiaTheme="minorHAnsi" w:cs="Tahoma"/>
            <w:sz w:val="22"/>
            <w:szCs w:val="16"/>
            <w:shd w:val="clear" w:color="auto" w:fill="F5F5F5"/>
            <w:lang w:eastAsia="en-US"/>
          </w:rPr>
          <w:t>Научные исследования и разработки в эпоху глобализации</w:t>
        </w:r>
      </w:hyperlink>
      <w:r w:rsidRPr="00E73FF0">
        <w:rPr>
          <w:rFonts w:eastAsiaTheme="minorHAnsi" w:cs="Tahoma"/>
          <w:sz w:val="22"/>
          <w:szCs w:val="16"/>
          <w:shd w:val="clear" w:color="auto" w:fill="F5F5F5"/>
          <w:lang w:eastAsia="en-US"/>
        </w:rPr>
        <w:t xml:space="preserve"> Сборник статей Международной научно-практической конференции. 2016. С. 66-69.</w:t>
      </w:r>
    </w:p>
    <w:p w:rsidR="00E73FF0" w:rsidRPr="00E73FF0" w:rsidRDefault="00E73FF0" w:rsidP="00E73FF0">
      <w:pPr>
        <w:widowControl w:val="0"/>
        <w:shd w:val="clear" w:color="auto" w:fill="FFFFFF"/>
        <w:ind w:firstLine="425"/>
        <w:jc w:val="both"/>
        <w:rPr>
          <w:rFonts w:eastAsiaTheme="minorHAnsi" w:cstheme="minorBidi"/>
          <w:sz w:val="22"/>
          <w:szCs w:val="22"/>
          <w:lang w:eastAsia="en-US"/>
        </w:rPr>
      </w:pPr>
      <w:r w:rsidRPr="00E73FF0">
        <w:rPr>
          <w:rFonts w:eastAsiaTheme="minorHAnsi" w:cstheme="minorBidi"/>
          <w:sz w:val="22"/>
          <w:szCs w:val="22"/>
          <w:lang w:eastAsia="en-US"/>
        </w:rPr>
        <w:t>2.</w:t>
      </w:r>
      <w:r w:rsidRPr="00E73FF0">
        <w:rPr>
          <w:rFonts w:ascii="Arial Unicode MS" w:eastAsiaTheme="minorHAnsi" w:hAnsi="Arial Unicode MS" w:cs="Arial Unicode MS"/>
          <w:sz w:val="24"/>
          <w:szCs w:val="24"/>
          <w:lang w:eastAsia="en-US"/>
        </w:rPr>
        <w:t xml:space="preserve"> </w:t>
      </w:r>
      <w:r w:rsidRPr="00E73FF0">
        <w:rPr>
          <w:rFonts w:eastAsiaTheme="minorHAnsi" w:cstheme="minorBidi"/>
          <w:sz w:val="22"/>
          <w:szCs w:val="22"/>
          <w:lang w:eastAsia="en-US"/>
        </w:rPr>
        <w:t>Овсянникова О.В. Причины возникновения опасных ситу</w:t>
      </w:r>
      <w:r w:rsidRPr="00E73FF0">
        <w:rPr>
          <w:rFonts w:eastAsiaTheme="minorHAnsi" w:cstheme="minorBidi"/>
          <w:sz w:val="22"/>
          <w:szCs w:val="22"/>
          <w:lang w:eastAsia="en-US"/>
        </w:rPr>
        <w:t>а</w:t>
      </w:r>
      <w:r w:rsidRPr="00E73FF0">
        <w:rPr>
          <w:rFonts w:eastAsiaTheme="minorHAnsi" w:cstheme="minorBidi"/>
          <w:sz w:val="22"/>
          <w:szCs w:val="22"/>
          <w:lang w:eastAsia="en-US"/>
        </w:rPr>
        <w:t>ций и неблагоприятных условий труда / Овсянникова О.В., Ефрем</w:t>
      </w:r>
      <w:r w:rsidRPr="00E73FF0">
        <w:rPr>
          <w:rFonts w:eastAsiaTheme="minorHAnsi" w:cstheme="minorBidi"/>
          <w:sz w:val="22"/>
          <w:szCs w:val="22"/>
          <w:lang w:eastAsia="en-US"/>
        </w:rPr>
        <w:t>о</w:t>
      </w:r>
      <w:r w:rsidRPr="00E73FF0">
        <w:rPr>
          <w:rFonts w:eastAsiaTheme="minorHAnsi" w:cstheme="minorBidi"/>
          <w:sz w:val="22"/>
          <w:szCs w:val="22"/>
          <w:lang w:eastAsia="en-US"/>
        </w:rPr>
        <w:t>ва В.Н., Бычков А.В. // В сборнике: Научно-методологические и социальные аспекты психологии и педагогики Сборник статей ме</w:t>
      </w:r>
      <w:r w:rsidRPr="00E73FF0">
        <w:rPr>
          <w:rFonts w:eastAsiaTheme="minorHAnsi" w:cstheme="minorBidi"/>
          <w:sz w:val="22"/>
          <w:szCs w:val="22"/>
          <w:lang w:eastAsia="en-US"/>
        </w:rPr>
        <w:t>ж</w:t>
      </w:r>
      <w:r w:rsidRPr="00E73FF0">
        <w:rPr>
          <w:rFonts w:eastAsiaTheme="minorHAnsi" w:cstheme="minorBidi"/>
          <w:sz w:val="22"/>
          <w:szCs w:val="22"/>
          <w:lang w:eastAsia="en-US"/>
        </w:rPr>
        <w:t>дународной научно-практической конференции: в 2 частях. 2017. С. 56-58.</w:t>
      </w:r>
    </w:p>
    <w:p w:rsidR="00E73FF0" w:rsidRPr="00E73FF0" w:rsidRDefault="00E73FF0" w:rsidP="00E73FF0">
      <w:pPr>
        <w:widowControl w:val="0"/>
        <w:shd w:val="clear" w:color="auto" w:fill="FFFFFF"/>
        <w:ind w:firstLine="425"/>
        <w:jc w:val="both"/>
        <w:rPr>
          <w:rFonts w:cs="Tahoma"/>
          <w:sz w:val="22"/>
          <w:szCs w:val="16"/>
          <w:lang w:eastAsia="en-US"/>
        </w:rPr>
      </w:pPr>
      <w:r w:rsidRPr="00E73FF0">
        <w:rPr>
          <w:rFonts w:cs="Tahoma"/>
          <w:iCs/>
          <w:sz w:val="22"/>
          <w:szCs w:val="16"/>
          <w:lang w:eastAsia="en-US"/>
        </w:rPr>
        <w:t xml:space="preserve">3. Горб Г.Г. </w:t>
      </w:r>
      <w:hyperlink r:id="rId95" w:history="1">
        <w:r w:rsidRPr="00E73FF0">
          <w:rPr>
            <w:rFonts w:cs="Tahoma"/>
            <w:bCs/>
            <w:sz w:val="22"/>
            <w:szCs w:val="16"/>
            <w:lang w:eastAsia="en-US"/>
          </w:rPr>
          <w:t>Ошибки и надежность оператора</w:t>
        </w:r>
      </w:hyperlink>
      <w:r w:rsidRPr="00E73FF0">
        <w:rPr>
          <w:rFonts w:cs="Tahoma"/>
          <w:sz w:val="22"/>
          <w:szCs w:val="16"/>
          <w:lang w:eastAsia="en-US"/>
        </w:rPr>
        <w:t xml:space="preserve"> / </w:t>
      </w:r>
      <w:r w:rsidRPr="00E73FF0">
        <w:rPr>
          <w:rFonts w:cs="Tahoma"/>
          <w:iCs/>
          <w:sz w:val="22"/>
          <w:szCs w:val="16"/>
          <w:lang w:eastAsia="en-US"/>
        </w:rPr>
        <w:t>Горб Г.Г., Е</w:t>
      </w:r>
      <w:r w:rsidRPr="00E73FF0">
        <w:rPr>
          <w:rFonts w:cs="Tahoma"/>
          <w:iCs/>
          <w:sz w:val="22"/>
          <w:szCs w:val="16"/>
          <w:lang w:eastAsia="en-US"/>
        </w:rPr>
        <w:t>ф</w:t>
      </w:r>
      <w:r w:rsidRPr="00E73FF0">
        <w:rPr>
          <w:rFonts w:cs="Tahoma"/>
          <w:iCs/>
          <w:sz w:val="22"/>
          <w:szCs w:val="16"/>
          <w:lang w:eastAsia="en-US"/>
        </w:rPr>
        <w:t xml:space="preserve">ремова В.Н. // </w:t>
      </w:r>
      <w:r w:rsidRPr="00E73FF0">
        <w:rPr>
          <w:rFonts w:cs="Tahoma"/>
          <w:sz w:val="22"/>
          <w:szCs w:val="16"/>
          <w:lang w:eastAsia="en-US"/>
        </w:rPr>
        <w:t xml:space="preserve">В сборнике: </w:t>
      </w:r>
      <w:hyperlink r:id="rId96" w:history="1">
        <w:r w:rsidRPr="00E73FF0">
          <w:rPr>
            <w:rFonts w:cs="Tahoma"/>
            <w:sz w:val="22"/>
            <w:szCs w:val="16"/>
            <w:lang w:eastAsia="en-US"/>
          </w:rPr>
          <w:t>Научное обеспечение агропромышле</w:t>
        </w:r>
        <w:r w:rsidRPr="00E73FF0">
          <w:rPr>
            <w:rFonts w:cs="Tahoma"/>
            <w:sz w:val="22"/>
            <w:szCs w:val="16"/>
            <w:lang w:eastAsia="en-US"/>
          </w:rPr>
          <w:t>н</w:t>
        </w:r>
        <w:r w:rsidRPr="00E73FF0">
          <w:rPr>
            <w:rFonts w:cs="Tahoma"/>
            <w:sz w:val="22"/>
            <w:szCs w:val="16"/>
            <w:lang w:eastAsia="en-US"/>
          </w:rPr>
          <w:t>ного комплекса</w:t>
        </w:r>
      </w:hyperlink>
      <w:r w:rsidRPr="00E73FF0">
        <w:rPr>
          <w:rFonts w:cs="Tahoma"/>
          <w:sz w:val="22"/>
          <w:szCs w:val="16"/>
          <w:lang w:eastAsia="en-US"/>
        </w:rPr>
        <w:t xml:space="preserve"> Сборник статей по материалам ХI Всероссийской конференции молодых ученых, посвященной 95-летию Кубанского ГАУ и 80-летию со дня образования Краснодарского края. Отве</w:t>
      </w:r>
      <w:r w:rsidRPr="00E73FF0">
        <w:rPr>
          <w:rFonts w:cs="Tahoma"/>
          <w:sz w:val="22"/>
          <w:szCs w:val="16"/>
          <w:lang w:eastAsia="en-US"/>
        </w:rPr>
        <w:t>т</w:t>
      </w:r>
      <w:r w:rsidRPr="00E73FF0">
        <w:rPr>
          <w:rFonts w:cs="Tahoma"/>
          <w:sz w:val="22"/>
          <w:szCs w:val="16"/>
          <w:lang w:eastAsia="en-US"/>
        </w:rPr>
        <w:t>ственный за выпуск А. Г. Кощаев. 2017. С. 347-348.</w:t>
      </w:r>
    </w:p>
    <w:p w:rsidR="00E73FF0" w:rsidRPr="001E2F2C" w:rsidRDefault="009D0151" w:rsidP="00E73FF0">
      <w:pPr>
        <w:widowControl w:val="0"/>
        <w:shd w:val="clear" w:color="auto" w:fill="FFFFFF"/>
        <w:ind w:firstLine="425"/>
        <w:jc w:val="both"/>
        <w:rPr>
          <w:rFonts w:eastAsiaTheme="minorHAnsi" w:cs="Tahoma"/>
          <w:sz w:val="22"/>
          <w:szCs w:val="16"/>
          <w:shd w:val="clear" w:color="auto" w:fill="F5F5F5"/>
          <w:lang w:val="en-US" w:eastAsia="en-US"/>
        </w:rPr>
      </w:pPr>
      <w:hyperlink r:id="rId97" w:history="1">
        <w:r w:rsidR="00E73FF0" w:rsidRPr="00E73FF0">
          <w:rPr>
            <w:rFonts w:eastAsiaTheme="minorHAnsi" w:cs="Tahoma"/>
            <w:bCs/>
            <w:sz w:val="22"/>
            <w:szCs w:val="16"/>
            <w:shd w:val="clear" w:color="auto" w:fill="F5F5F5"/>
            <w:lang w:eastAsia="en-US"/>
          </w:rPr>
          <w:t xml:space="preserve">4. </w:t>
        </w:r>
        <w:r w:rsidR="00E73FF0" w:rsidRPr="00E73FF0">
          <w:rPr>
            <w:rFonts w:eastAsiaTheme="minorHAnsi" w:cs="Tahoma"/>
            <w:iCs/>
            <w:sz w:val="22"/>
            <w:szCs w:val="16"/>
            <w:shd w:val="clear" w:color="auto" w:fill="F5F5F5"/>
            <w:lang w:eastAsia="en-US"/>
          </w:rPr>
          <w:t xml:space="preserve">Ефремова В.Н. </w:t>
        </w:r>
        <w:r w:rsidR="00E73FF0" w:rsidRPr="00E73FF0">
          <w:rPr>
            <w:rFonts w:eastAsiaTheme="minorHAnsi" w:cs="Tahoma"/>
            <w:bCs/>
            <w:sz w:val="22"/>
            <w:szCs w:val="16"/>
            <w:shd w:val="clear" w:color="auto" w:fill="F5F5F5"/>
            <w:lang w:eastAsia="en-US"/>
          </w:rPr>
          <w:t>Система управления охраной труда (СУОТ)</w:t>
        </w:r>
      </w:hyperlink>
      <w:r w:rsidR="00E73FF0" w:rsidRPr="00E73FF0">
        <w:rPr>
          <w:rFonts w:eastAsiaTheme="minorHAnsi" w:cs="Arial Unicode MS"/>
          <w:sz w:val="22"/>
          <w:szCs w:val="24"/>
          <w:lang w:eastAsia="en-US"/>
        </w:rPr>
        <w:t xml:space="preserve"> / </w:t>
      </w:r>
      <w:r w:rsidR="00E73FF0" w:rsidRPr="00E73FF0">
        <w:rPr>
          <w:rFonts w:eastAsiaTheme="minorHAnsi" w:cs="Tahoma"/>
          <w:iCs/>
          <w:sz w:val="22"/>
          <w:szCs w:val="16"/>
          <w:shd w:val="clear" w:color="auto" w:fill="F5F5F5"/>
          <w:lang w:eastAsia="en-US"/>
        </w:rPr>
        <w:t xml:space="preserve">Ефремова В.Н., Овсянникова О.В., Бычков А.В. // </w:t>
      </w:r>
      <w:r w:rsidR="00E73FF0" w:rsidRPr="00E73FF0">
        <w:rPr>
          <w:rFonts w:eastAsiaTheme="minorHAnsi" w:cs="Tahoma"/>
          <w:sz w:val="22"/>
          <w:szCs w:val="16"/>
          <w:shd w:val="clear" w:color="auto" w:fill="F5F5F5"/>
          <w:lang w:eastAsia="en-US"/>
        </w:rPr>
        <w:t xml:space="preserve">В сборнике: </w:t>
      </w:r>
      <w:hyperlink r:id="rId98" w:history="1">
        <w:r w:rsidR="00E73FF0" w:rsidRPr="00E73FF0">
          <w:rPr>
            <w:rFonts w:eastAsiaTheme="minorHAnsi" w:cs="Tahoma"/>
            <w:sz w:val="22"/>
            <w:szCs w:val="16"/>
            <w:shd w:val="clear" w:color="auto" w:fill="F5F5F5"/>
            <w:lang w:eastAsia="en-US"/>
          </w:rPr>
          <w:t>Научно-методологические и социальные аспекты психологии и п</w:t>
        </w:r>
        <w:r w:rsidR="00E73FF0" w:rsidRPr="00E73FF0">
          <w:rPr>
            <w:rFonts w:eastAsiaTheme="minorHAnsi" w:cs="Tahoma"/>
            <w:sz w:val="22"/>
            <w:szCs w:val="16"/>
            <w:shd w:val="clear" w:color="auto" w:fill="F5F5F5"/>
            <w:lang w:eastAsia="en-US"/>
          </w:rPr>
          <w:t>е</w:t>
        </w:r>
        <w:r w:rsidR="00E73FF0" w:rsidRPr="00E73FF0">
          <w:rPr>
            <w:rFonts w:eastAsiaTheme="minorHAnsi" w:cs="Tahoma"/>
            <w:sz w:val="22"/>
            <w:szCs w:val="16"/>
            <w:shd w:val="clear" w:color="auto" w:fill="F5F5F5"/>
            <w:lang w:eastAsia="en-US"/>
          </w:rPr>
          <w:lastRenderedPageBreak/>
          <w:t>дагогики</w:t>
        </w:r>
      </w:hyperlink>
      <w:r w:rsidR="00E73FF0" w:rsidRPr="00E73FF0">
        <w:rPr>
          <w:rFonts w:eastAsiaTheme="minorHAnsi" w:cs="Tahoma"/>
          <w:sz w:val="22"/>
          <w:szCs w:val="16"/>
          <w:shd w:val="clear" w:color="auto" w:fill="F5F5F5"/>
          <w:lang w:eastAsia="en-US"/>
        </w:rPr>
        <w:t xml:space="preserve"> Сборник статей международной научно-практической конференции: в 2-х частях. </w:t>
      </w:r>
      <w:r w:rsidR="00E73FF0" w:rsidRPr="001E2F2C">
        <w:rPr>
          <w:rFonts w:eastAsiaTheme="minorHAnsi" w:cs="Tahoma"/>
          <w:sz w:val="22"/>
          <w:szCs w:val="16"/>
          <w:shd w:val="clear" w:color="auto" w:fill="F5F5F5"/>
          <w:lang w:val="en-US" w:eastAsia="en-US"/>
        </w:rPr>
        <w:t xml:space="preserve">2017. </w:t>
      </w:r>
      <w:r w:rsidR="00E73FF0" w:rsidRPr="00E73FF0">
        <w:rPr>
          <w:rFonts w:eastAsiaTheme="minorHAnsi" w:cs="Tahoma"/>
          <w:sz w:val="22"/>
          <w:szCs w:val="16"/>
          <w:shd w:val="clear" w:color="auto" w:fill="F5F5F5"/>
          <w:lang w:eastAsia="en-US"/>
        </w:rPr>
        <w:t>С</w:t>
      </w:r>
      <w:r w:rsidR="00E73FF0" w:rsidRPr="001E2F2C">
        <w:rPr>
          <w:rFonts w:eastAsiaTheme="minorHAnsi" w:cs="Tahoma"/>
          <w:sz w:val="22"/>
          <w:szCs w:val="16"/>
          <w:shd w:val="clear" w:color="auto" w:fill="F5F5F5"/>
          <w:lang w:val="en-US" w:eastAsia="en-US"/>
        </w:rPr>
        <w:t>. 148-150.</w:t>
      </w:r>
    </w:p>
    <w:p w:rsidR="00E73FF0" w:rsidRPr="001E2F2C" w:rsidRDefault="00E73FF0" w:rsidP="00B43BBC">
      <w:pPr>
        <w:pStyle w:val="31"/>
        <w:rPr>
          <w:sz w:val="22"/>
          <w:szCs w:val="22"/>
          <w:lang w:val="en-US"/>
        </w:rPr>
      </w:pPr>
    </w:p>
    <w:p w:rsidR="00573255" w:rsidRPr="008D33CB" w:rsidRDefault="00573255" w:rsidP="006E5B69">
      <w:pPr>
        <w:rPr>
          <w:sz w:val="22"/>
          <w:szCs w:val="22"/>
          <w:lang w:val="en-US"/>
        </w:rPr>
      </w:pPr>
    </w:p>
    <w:p w:rsidR="00F81674" w:rsidRPr="008D33CB" w:rsidRDefault="00F81674" w:rsidP="006E5B69">
      <w:pPr>
        <w:rPr>
          <w:sz w:val="22"/>
          <w:szCs w:val="22"/>
          <w:lang w:val="en-US"/>
        </w:rPr>
      </w:pPr>
    </w:p>
    <w:p w:rsidR="00E73FF0" w:rsidRPr="00024398" w:rsidRDefault="00E73FF0" w:rsidP="00E73FF0">
      <w:pPr>
        <w:contextualSpacing/>
        <w:rPr>
          <w:color w:val="000000"/>
          <w:sz w:val="22"/>
          <w:szCs w:val="22"/>
          <w:lang w:val="en-US"/>
        </w:rPr>
      </w:pPr>
      <w:r w:rsidRPr="00573255">
        <w:rPr>
          <w:color w:val="000000"/>
          <w:sz w:val="22"/>
          <w:szCs w:val="22"/>
        </w:rPr>
        <w:t>УДК</w:t>
      </w:r>
      <w:r w:rsidRPr="00573255">
        <w:rPr>
          <w:color w:val="000000"/>
          <w:sz w:val="22"/>
          <w:szCs w:val="22"/>
          <w:lang w:val="en-US"/>
        </w:rPr>
        <w:t xml:space="preserve"> 631.3.0 </w:t>
      </w:r>
    </w:p>
    <w:p w:rsidR="00573255" w:rsidRPr="00024398" w:rsidRDefault="00573255" w:rsidP="00E73FF0">
      <w:pPr>
        <w:contextualSpacing/>
        <w:rPr>
          <w:color w:val="000000"/>
          <w:sz w:val="22"/>
          <w:szCs w:val="22"/>
          <w:lang w:val="en-US"/>
        </w:rPr>
      </w:pPr>
    </w:p>
    <w:p w:rsidR="00E73FF0" w:rsidRPr="001E2F2C" w:rsidRDefault="00E73FF0" w:rsidP="00E73FF0">
      <w:pPr>
        <w:contextualSpacing/>
        <w:jc w:val="center"/>
        <w:rPr>
          <w:b/>
          <w:color w:val="000000"/>
          <w:sz w:val="24"/>
          <w:szCs w:val="24"/>
          <w:lang w:val="en-US"/>
        </w:rPr>
      </w:pPr>
      <w:r w:rsidRPr="00E73FF0">
        <w:rPr>
          <w:b/>
          <w:color w:val="000000"/>
          <w:sz w:val="24"/>
          <w:szCs w:val="24"/>
        </w:rPr>
        <w:t>Теория</w:t>
      </w:r>
      <w:r w:rsidRPr="001E2F2C">
        <w:rPr>
          <w:b/>
          <w:color w:val="000000"/>
          <w:sz w:val="24"/>
          <w:szCs w:val="24"/>
          <w:lang w:val="en-US"/>
        </w:rPr>
        <w:t xml:space="preserve"> </w:t>
      </w:r>
      <w:r w:rsidRPr="00E73FF0">
        <w:rPr>
          <w:b/>
          <w:color w:val="000000"/>
          <w:sz w:val="24"/>
          <w:szCs w:val="24"/>
        </w:rPr>
        <w:t>работы</w:t>
      </w:r>
      <w:r w:rsidRPr="001E2F2C">
        <w:rPr>
          <w:b/>
          <w:color w:val="000000"/>
          <w:sz w:val="24"/>
          <w:szCs w:val="24"/>
          <w:lang w:val="en-US"/>
        </w:rPr>
        <w:t xml:space="preserve"> </w:t>
      </w:r>
      <w:r w:rsidRPr="00E73FF0">
        <w:rPr>
          <w:b/>
          <w:color w:val="000000"/>
          <w:sz w:val="24"/>
          <w:szCs w:val="24"/>
        </w:rPr>
        <w:t>агрегата</w:t>
      </w:r>
      <w:r w:rsidRPr="001E2F2C">
        <w:rPr>
          <w:b/>
          <w:color w:val="000000"/>
          <w:sz w:val="24"/>
          <w:szCs w:val="24"/>
          <w:lang w:val="en-US"/>
        </w:rPr>
        <w:t xml:space="preserve"> </w:t>
      </w:r>
      <w:r w:rsidRPr="00E73FF0">
        <w:rPr>
          <w:b/>
          <w:color w:val="000000"/>
          <w:sz w:val="24"/>
          <w:szCs w:val="24"/>
        </w:rPr>
        <w:t>для</w:t>
      </w:r>
      <w:r w:rsidRPr="001E2F2C">
        <w:rPr>
          <w:b/>
          <w:color w:val="000000"/>
          <w:sz w:val="24"/>
          <w:szCs w:val="24"/>
          <w:lang w:val="en-US"/>
        </w:rPr>
        <w:t xml:space="preserve"> </w:t>
      </w:r>
      <w:r w:rsidRPr="00E73FF0">
        <w:rPr>
          <w:b/>
          <w:color w:val="000000"/>
          <w:sz w:val="24"/>
          <w:szCs w:val="24"/>
        </w:rPr>
        <w:t>обработки</w:t>
      </w:r>
      <w:r w:rsidRPr="001E2F2C">
        <w:rPr>
          <w:b/>
          <w:color w:val="000000"/>
          <w:sz w:val="24"/>
          <w:szCs w:val="24"/>
          <w:lang w:val="en-US"/>
        </w:rPr>
        <w:t xml:space="preserve"> </w:t>
      </w:r>
    </w:p>
    <w:p w:rsidR="00E73FF0" w:rsidRPr="00E73FF0" w:rsidRDefault="00E73FF0" w:rsidP="00E73FF0">
      <w:pPr>
        <w:contextualSpacing/>
        <w:jc w:val="center"/>
        <w:rPr>
          <w:b/>
          <w:color w:val="000000"/>
          <w:sz w:val="24"/>
          <w:szCs w:val="24"/>
          <w:lang w:val="en-US"/>
        </w:rPr>
      </w:pPr>
      <w:r w:rsidRPr="00E73FF0">
        <w:rPr>
          <w:b/>
          <w:color w:val="000000"/>
          <w:sz w:val="24"/>
          <w:szCs w:val="24"/>
        </w:rPr>
        <w:t>сельскохозяйственных</w:t>
      </w:r>
      <w:r w:rsidRPr="00E73FF0">
        <w:rPr>
          <w:b/>
          <w:color w:val="000000"/>
          <w:sz w:val="24"/>
          <w:szCs w:val="24"/>
          <w:lang w:val="en-US"/>
        </w:rPr>
        <w:t xml:space="preserve"> </w:t>
      </w:r>
      <w:r w:rsidRPr="00E73FF0">
        <w:rPr>
          <w:b/>
          <w:color w:val="000000"/>
          <w:sz w:val="24"/>
          <w:szCs w:val="24"/>
        </w:rPr>
        <w:t>культур</w:t>
      </w:r>
      <w:r w:rsidRPr="00E73FF0">
        <w:rPr>
          <w:b/>
          <w:color w:val="000000"/>
          <w:sz w:val="24"/>
          <w:szCs w:val="24"/>
          <w:lang w:val="en-US"/>
        </w:rPr>
        <w:t xml:space="preserve"> </w:t>
      </w:r>
    </w:p>
    <w:p w:rsidR="00E73FF0" w:rsidRPr="00E73FF0" w:rsidRDefault="00E73FF0" w:rsidP="00E73FF0">
      <w:pPr>
        <w:contextualSpacing/>
        <w:jc w:val="center"/>
        <w:rPr>
          <w:b/>
          <w:color w:val="000000"/>
          <w:szCs w:val="24"/>
          <w:lang w:val="en-US"/>
        </w:rPr>
      </w:pPr>
      <w:r w:rsidRPr="00E73FF0">
        <w:rPr>
          <w:rFonts w:eastAsiaTheme="minorHAnsi"/>
          <w:b/>
          <w:sz w:val="24"/>
          <w:szCs w:val="22"/>
          <w:lang w:val="en-US" w:eastAsia="en-US"/>
        </w:rPr>
        <w:t>Theory of the operation of the aggregate for the processing of agricultural crops</w:t>
      </w:r>
    </w:p>
    <w:p w:rsidR="00E73FF0" w:rsidRPr="00E73FF0" w:rsidRDefault="00E73FF0" w:rsidP="00E73FF0">
      <w:pPr>
        <w:contextualSpacing/>
        <w:jc w:val="right"/>
        <w:rPr>
          <w:color w:val="000000"/>
          <w:sz w:val="24"/>
          <w:szCs w:val="24"/>
          <w:lang w:val="en-US"/>
        </w:rPr>
      </w:pPr>
    </w:p>
    <w:p w:rsidR="00E73FF0" w:rsidRPr="00E73FF0" w:rsidRDefault="00E73FF0" w:rsidP="00E73FF0">
      <w:pPr>
        <w:contextualSpacing/>
        <w:jc w:val="right"/>
        <w:rPr>
          <w:color w:val="000000"/>
          <w:sz w:val="22"/>
          <w:szCs w:val="22"/>
        </w:rPr>
      </w:pPr>
      <w:r w:rsidRPr="00E73FF0">
        <w:rPr>
          <w:color w:val="000000"/>
          <w:sz w:val="22"/>
          <w:szCs w:val="22"/>
        </w:rPr>
        <w:t>Помеляйко С.</w:t>
      </w:r>
      <w:r w:rsidR="00573255">
        <w:rPr>
          <w:color w:val="000000"/>
          <w:sz w:val="22"/>
          <w:szCs w:val="22"/>
        </w:rPr>
        <w:t xml:space="preserve"> А,</w:t>
      </w:r>
    </w:p>
    <w:p w:rsidR="00E73FF0" w:rsidRPr="00E73FF0" w:rsidRDefault="00573255" w:rsidP="00E73FF0">
      <w:pPr>
        <w:contextualSpacing/>
        <w:jc w:val="right"/>
        <w:rPr>
          <w:color w:val="000000"/>
          <w:sz w:val="22"/>
          <w:szCs w:val="22"/>
        </w:rPr>
      </w:pPr>
      <w:r>
        <w:rPr>
          <w:color w:val="000000"/>
          <w:sz w:val="22"/>
          <w:szCs w:val="22"/>
        </w:rPr>
        <w:t>магистрант 1-го к</w:t>
      </w:r>
      <w:r w:rsidR="00E73FF0" w:rsidRPr="00E73FF0">
        <w:rPr>
          <w:color w:val="000000"/>
          <w:sz w:val="22"/>
          <w:szCs w:val="22"/>
        </w:rPr>
        <w:t>урса факультета меахнизации</w:t>
      </w:r>
    </w:p>
    <w:p w:rsidR="00E73FF0" w:rsidRPr="00E73FF0" w:rsidRDefault="00E73FF0" w:rsidP="00E73FF0">
      <w:pPr>
        <w:contextualSpacing/>
        <w:jc w:val="right"/>
        <w:rPr>
          <w:color w:val="000000"/>
          <w:sz w:val="22"/>
          <w:szCs w:val="22"/>
        </w:rPr>
      </w:pPr>
      <w:r w:rsidRPr="00E73FF0">
        <w:rPr>
          <w:color w:val="000000"/>
          <w:sz w:val="22"/>
          <w:szCs w:val="22"/>
        </w:rPr>
        <w:t>Абликов В.</w:t>
      </w:r>
      <w:r w:rsidR="00573255">
        <w:rPr>
          <w:color w:val="000000"/>
          <w:sz w:val="22"/>
          <w:szCs w:val="22"/>
        </w:rPr>
        <w:t xml:space="preserve"> </w:t>
      </w:r>
      <w:r w:rsidRPr="00E73FF0">
        <w:rPr>
          <w:color w:val="000000"/>
          <w:sz w:val="22"/>
          <w:szCs w:val="22"/>
        </w:rPr>
        <w:t>А.</w:t>
      </w:r>
      <w:r w:rsidR="00573255">
        <w:rPr>
          <w:color w:val="000000"/>
          <w:sz w:val="22"/>
          <w:szCs w:val="22"/>
        </w:rPr>
        <w:t>,</w:t>
      </w:r>
    </w:p>
    <w:p w:rsidR="00E73FF0" w:rsidRPr="00E73FF0" w:rsidRDefault="00E73FF0" w:rsidP="00E73FF0">
      <w:pPr>
        <w:contextualSpacing/>
        <w:jc w:val="right"/>
        <w:rPr>
          <w:color w:val="000000"/>
          <w:sz w:val="22"/>
          <w:szCs w:val="22"/>
        </w:rPr>
      </w:pPr>
      <w:r w:rsidRPr="00E73FF0">
        <w:rPr>
          <w:rFonts w:eastAsiaTheme="minorHAnsi"/>
          <w:sz w:val="22"/>
          <w:szCs w:val="22"/>
          <w:lang w:eastAsia="en-US"/>
        </w:rPr>
        <w:t>профессор ВАК</w:t>
      </w:r>
    </w:p>
    <w:p w:rsidR="00E73FF0" w:rsidRPr="00E73FF0" w:rsidRDefault="00E73FF0" w:rsidP="00E73FF0">
      <w:pPr>
        <w:contextualSpacing/>
        <w:jc w:val="right"/>
        <w:rPr>
          <w:color w:val="000000"/>
          <w:sz w:val="22"/>
          <w:szCs w:val="22"/>
        </w:rPr>
      </w:pPr>
      <w:r w:rsidRPr="00E73FF0">
        <w:rPr>
          <w:color w:val="000000"/>
          <w:sz w:val="22"/>
          <w:szCs w:val="22"/>
        </w:rPr>
        <w:t>Белоусов С.</w:t>
      </w:r>
      <w:r w:rsidR="00573255">
        <w:rPr>
          <w:color w:val="000000"/>
          <w:sz w:val="22"/>
          <w:szCs w:val="22"/>
        </w:rPr>
        <w:t xml:space="preserve"> </w:t>
      </w:r>
      <w:r w:rsidRPr="00E73FF0">
        <w:rPr>
          <w:color w:val="000000"/>
          <w:sz w:val="22"/>
          <w:szCs w:val="22"/>
        </w:rPr>
        <w:t>В.</w:t>
      </w:r>
      <w:r w:rsidR="00573255">
        <w:rPr>
          <w:color w:val="000000"/>
          <w:sz w:val="22"/>
          <w:szCs w:val="22"/>
        </w:rPr>
        <w:t>,</w:t>
      </w:r>
    </w:p>
    <w:p w:rsidR="00E73FF0" w:rsidRPr="00E73FF0" w:rsidRDefault="00E73FF0" w:rsidP="00E73FF0">
      <w:pPr>
        <w:ind w:firstLine="426"/>
        <w:jc w:val="right"/>
        <w:rPr>
          <w:rFonts w:eastAsiaTheme="minorHAnsi"/>
          <w:sz w:val="22"/>
          <w:szCs w:val="22"/>
          <w:lang w:eastAsia="en-US"/>
        </w:rPr>
      </w:pPr>
      <w:r w:rsidRPr="00E73FF0">
        <w:rPr>
          <w:rFonts w:eastAsiaTheme="minorHAnsi"/>
          <w:sz w:val="22"/>
          <w:szCs w:val="22"/>
          <w:lang w:eastAsia="en-US"/>
        </w:rPr>
        <w:t>старший препод</w:t>
      </w:r>
      <w:r w:rsidR="00573255">
        <w:rPr>
          <w:rFonts w:eastAsiaTheme="minorHAnsi"/>
          <w:sz w:val="22"/>
          <w:szCs w:val="22"/>
          <w:lang w:eastAsia="en-US"/>
        </w:rPr>
        <w:t>аватель кафедры</w:t>
      </w:r>
    </w:p>
    <w:p w:rsidR="00E73FF0" w:rsidRPr="00E73FF0" w:rsidRDefault="00E73FF0" w:rsidP="00E73FF0">
      <w:pPr>
        <w:ind w:firstLine="426"/>
        <w:jc w:val="right"/>
        <w:rPr>
          <w:rFonts w:eastAsiaTheme="minorHAnsi"/>
          <w:sz w:val="22"/>
          <w:szCs w:val="22"/>
          <w:lang w:eastAsia="en-US"/>
        </w:rPr>
      </w:pPr>
      <w:r w:rsidRPr="00E73FF0">
        <w:rPr>
          <w:rFonts w:eastAsiaTheme="minorHAnsi"/>
          <w:sz w:val="22"/>
          <w:szCs w:val="22"/>
          <w:lang w:eastAsia="en-US"/>
        </w:rPr>
        <w:t>«Процессы и машины в агробизнесе»</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573255">
        <w:rPr>
          <w:rFonts w:eastAsia="Courier New"/>
          <w:color w:val="000000"/>
          <w:sz w:val="22"/>
          <w:szCs w:val="22"/>
          <w:lang w:eastAsia="en-US"/>
        </w:rPr>
        <w:t>анский государственный аграрный</w:t>
      </w:r>
    </w:p>
    <w:p w:rsidR="00E73FF0" w:rsidRPr="00E73FF0" w:rsidRDefault="00E73FF0" w:rsidP="00E73FF0">
      <w:pPr>
        <w:widowControl w:val="0"/>
        <w:autoSpaceDE w:val="0"/>
        <w:autoSpaceDN w:val="0"/>
        <w:adjustRightInd w:val="0"/>
        <w:ind w:firstLine="426"/>
        <w:jc w:val="right"/>
        <w:rPr>
          <w:sz w:val="22"/>
          <w:szCs w:val="22"/>
        </w:rPr>
      </w:pPr>
      <w:r w:rsidRPr="00E73FF0">
        <w:rPr>
          <w:rFonts w:eastAsia="Courier New"/>
          <w:color w:val="000000"/>
          <w:sz w:val="22"/>
          <w:szCs w:val="22"/>
          <w:lang w:eastAsia="en-US"/>
        </w:rPr>
        <w:t>университет имени И.Т. Трубилина</w:t>
      </w:r>
    </w:p>
    <w:p w:rsidR="00E73FF0" w:rsidRPr="00E73FF0" w:rsidRDefault="00E73FF0" w:rsidP="00E73FF0">
      <w:pPr>
        <w:widowControl w:val="0"/>
        <w:autoSpaceDE w:val="0"/>
        <w:autoSpaceDN w:val="0"/>
        <w:adjustRightInd w:val="0"/>
        <w:ind w:firstLine="426"/>
        <w:jc w:val="both"/>
        <w:rPr>
          <w:sz w:val="22"/>
          <w:szCs w:val="22"/>
        </w:rPr>
      </w:pP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rPr>
        <w:t>АННОТАЦИЯ: В работе освещены вопросы теоретического взаимодействия рабочих органов с сельскохозяйственными культ</w:t>
      </w:r>
      <w:r w:rsidRPr="00E73FF0">
        <w:rPr>
          <w:sz w:val="22"/>
          <w:szCs w:val="22"/>
        </w:rPr>
        <w:t>у</w:t>
      </w:r>
      <w:r w:rsidRPr="00E73FF0">
        <w:rPr>
          <w:sz w:val="22"/>
          <w:szCs w:val="22"/>
        </w:rPr>
        <w:t>рами. Представлены теоретические вопросы решения проблемы о</w:t>
      </w:r>
      <w:r w:rsidRPr="00E73FF0">
        <w:rPr>
          <w:sz w:val="22"/>
          <w:szCs w:val="22"/>
        </w:rPr>
        <w:t>т</w:t>
      </w:r>
      <w:r w:rsidRPr="00E73FF0">
        <w:rPr>
          <w:sz w:val="22"/>
          <w:szCs w:val="22"/>
        </w:rPr>
        <w:t>гиба культурных растений без их деформации и надлома. Сделаны</w:t>
      </w:r>
      <w:r w:rsidRPr="00E73FF0">
        <w:rPr>
          <w:sz w:val="22"/>
          <w:szCs w:val="22"/>
          <w:lang w:val="en-US"/>
        </w:rPr>
        <w:t xml:space="preserve"> </w:t>
      </w:r>
      <w:r w:rsidRPr="00E73FF0">
        <w:rPr>
          <w:sz w:val="22"/>
          <w:szCs w:val="22"/>
        </w:rPr>
        <w:t>теоретические</w:t>
      </w:r>
      <w:r w:rsidRPr="00E73FF0">
        <w:rPr>
          <w:sz w:val="22"/>
          <w:szCs w:val="22"/>
          <w:lang w:val="en-US"/>
        </w:rPr>
        <w:t xml:space="preserve"> </w:t>
      </w:r>
      <w:r w:rsidRPr="00E73FF0">
        <w:rPr>
          <w:sz w:val="22"/>
          <w:szCs w:val="22"/>
        </w:rPr>
        <w:t>выводы</w:t>
      </w:r>
      <w:r w:rsidRPr="00E73FF0">
        <w:rPr>
          <w:sz w:val="22"/>
          <w:szCs w:val="22"/>
          <w:lang w:val="en-US"/>
        </w:rPr>
        <w:t xml:space="preserve"> </w:t>
      </w:r>
      <w:r w:rsidRPr="00E73FF0">
        <w:rPr>
          <w:sz w:val="22"/>
          <w:szCs w:val="22"/>
        </w:rPr>
        <w:t>по</w:t>
      </w:r>
      <w:r w:rsidRPr="00E73FF0">
        <w:rPr>
          <w:sz w:val="22"/>
          <w:szCs w:val="22"/>
          <w:lang w:val="en-US"/>
        </w:rPr>
        <w:t xml:space="preserve"> </w:t>
      </w:r>
      <w:r w:rsidRPr="00E73FF0">
        <w:rPr>
          <w:sz w:val="22"/>
          <w:szCs w:val="22"/>
        </w:rPr>
        <w:t>работе</w:t>
      </w:r>
      <w:r w:rsidRPr="00E73FF0">
        <w:rPr>
          <w:sz w:val="22"/>
          <w:szCs w:val="22"/>
          <w:lang w:val="en-US"/>
        </w:rPr>
        <w:t>.</w:t>
      </w: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lang w:val="en-US"/>
        </w:rPr>
        <w:t>ANNOTATION:</w:t>
      </w:r>
      <w:r w:rsidRPr="00E73FF0">
        <w:rPr>
          <w:rFonts w:eastAsiaTheme="minorHAnsi"/>
          <w:sz w:val="22"/>
          <w:szCs w:val="22"/>
          <w:lang w:val="en-US" w:eastAsia="en-US"/>
        </w:rPr>
        <w:t xml:space="preserve"> The paper covers the issues of theoretical intera</w:t>
      </w:r>
      <w:r w:rsidRPr="00E73FF0">
        <w:rPr>
          <w:rFonts w:eastAsiaTheme="minorHAnsi"/>
          <w:sz w:val="22"/>
          <w:szCs w:val="22"/>
          <w:lang w:val="en-US" w:eastAsia="en-US"/>
        </w:rPr>
        <w:t>c</w:t>
      </w:r>
      <w:r w:rsidRPr="00E73FF0">
        <w:rPr>
          <w:rFonts w:eastAsiaTheme="minorHAnsi"/>
          <w:sz w:val="22"/>
          <w:szCs w:val="22"/>
          <w:lang w:val="en-US" w:eastAsia="en-US"/>
        </w:rPr>
        <w:t>tion of working bodies with agricultural crops. Theoretical questions of solving the problem of deflection of cultivated plants without their d</w:t>
      </w:r>
      <w:r w:rsidRPr="00E73FF0">
        <w:rPr>
          <w:rFonts w:eastAsiaTheme="minorHAnsi"/>
          <w:sz w:val="22"/>
          <w:szCs w:val="22"/>
          <w:lang w:val="en-US" w:eastAsia="en-US"/>
        </w:rPr>
        <w:t>e</w:t>
      </w:r>
      <w:r w:rsidRPr="00E73FF0">
        <w:rPr>
          <w:rFonts w:eastAsiaTheme="minorHAnsi"/>
          <w:sz w:val="22"/>
          <w:szCs w:val="22"/>
          <w:lang w:val="en-US" w:eastAsia="en-US"/>
        </w:rPr>
        <w:t>formation and fracture are presented.</w:t>
      </w:r>
    </w:p>
    <w:p w:rsidR="00E73FF0" w:rsidRPr="00E73FF0" w:rsidRDefault="00E73FF0" w:rsidP="00E73FF0">
      <w:pPr>
        <w:widowControl w:val="0"/>
        <w:autoSpaceDE w:val="0"/>
        <w:autoSpaceDN w:val="0"/>
        <w:adjustRightInd w:val="0"/>
        <w:ind w:firstLine="426"/>
        <w:jc w:val="both"/>
        <w:rPr>
          <w:spacing w:val="-4"/>
          <w:sz w:val="22"/>
          <w:szCs w:val="22"/>
        </w:rPr>
      </w:pPr>
      <w:r w:rsidRPr="00E73FF0">
        <w:rPr>
          <w:spacing w:val="-4"/>
          <w:sz w:val="22"/>
          <w:szCs w:val="22"/>
        </w:rPr>
        <w:t>КЛЮЧЕВЫЕ СЛОВА: теория, сельскохозяйственная культура, объект обработки, рабочий орган, экономика.</w:t>
      </w: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lang w:val="en-US"/>
        </w:rPr>
        <w:t xml:space="preserve">KEYWORDS: </w:t>
      </w:r>
      <w:r w:rsidRPr="00E73FF0">
        <w:rPr>
          <w:rFonts w:eastAsiaTheme="minorHAnsi"/>
          <w:sz w:val="22"/>
          <w:szCs w:val="22"/>
          <w:lang w:val="en-US" w:eastAsia="en-US"/>
        </w:rPr>
        <w:t>theory, agricultural culture, processing object, wor</w:t>
      </w:r>
      <w:r w:rsidRPr="00E73FF0">
        <w:rPr>
          <w:rFonts w:eastAsiaTheme="minorHAnsi"/>
          <w:sz w:val="22"/>
          <w:szCs w:val="22"/>
          <w:lang w:val="en-US" w:eastAsia="en-US"/>
        </w:rPr>
        <w:t>k</w:t>
      </w:r>
      <w:r w:rsidRPr="00E73FF0">
        <w:rPr>
          <w:rFonts w:eastAsiaTheme="minorHAnsi"/>
          <w:sz w:val="22"/>
          <w:szCs w:val="22"/>
          <w:lang w:val="en-US" w:eastAsia="en-US"/>
        </w:rPr>
        <w:t>ing body, economy.</w:t>
      </w:r>
    </w:p>
    <w:p w:rsidR="00E73FF0" w:rsidRPr="00E73FF0" w:rsidRDefault="00E73FF0" w:rsidP="00E73FF0">
      <w:pPr>
        <w:widowControl w:val="0"/>
        <w:autoSpaceDE w:val="0"/>
        <w:autoSpaceDN w:val="0"/>
        <w:adjustRightInd w:val="0"/>
        <w:ind w:firstLine="426"/>
        <w:jc w:val="both"/>
        <w:rPr>
          <w:sz w:val="22"/>
          <w:szCs w:val="22"/>
          <w:lang w:val="en-US"/>
        </w:rPr>
      </w:pPr>
    </w:p>
    <w:p w:rsidR="00E73FF0" w:rsidRPr="00E73FF0" w:rsidRDefault="00E73FF0" w:rsidP="00E73FF0">
      <w:pPr>
        <w:ind w:firstLine="426"/>
        <w:contextualSpacing/>
        <w:jc w:val="both"/>
        <w:rPr>
          <w:sz w:val="22"/>
          <w:szCs w:val="22"/>
          <w:lang w:eastAsia="en-US"/>
        </w:rPr>
      </w:pPr>
      <w:r w:rsidRPr="00E73FF0">
        <w:rPr>
          <w:sz w:val="22"/>
          <w:szCs w:val="22"/>
          <w:lang w:eastAsia="en-US"/>
        </w:rPr>
        <w:lastRenderedPageBreak/>
        <w:t>В основу работы агрегатов химической защиты растений п</w:t>
      </w:r>
      <w:r w:rsidRPr="00E73FF0">
        <w:rPr>
          <w:sz w:val="22"/>
          <w:szCs w:val="22"/>
          <w:lang w:eastAsia="en-US"/>
        </w:rPr>
        <w:t>о</w:t>
      </w:r>
      <w:r w:rsidRPr="00E73FF0">
        <w:rPr>
          <w:sz w:val="22"/>
          <w:szCs w:val="22"/>
          <w:lang w:eastAsia="en-US"/>
        </w:rPr>
        <w:t>ложены принципы взаимодействия рабочих органов с рабочей жи</w:t>
      </w:r>
      <w:r w:rsidRPr="00E73FF0">
        <w:rPr>
          <w:sz w:val="22"/>
          <w:szCs w:val="22"/>
          <w:lang w:eastAsia="en-US"/>
        </w:rPr>
        <w:t>д</w:t>
      </w:r>
      <w:r w:rsidRPr="00E73FF0">
        <w:rPr>
          <w:sz w:val="22"/>
          <w:szCs w:val="22"/>
          <w:lang w:eastAsia="en-US"/>
        </w:rPr>
        <w:t xml:space="preserve">костью, минеральными удобрениями различных видов. </w:t>
      </w:r>
    </w:p>
    <w:p w:rsidR="00E73FF0" w:rsidRPr="00E73FF0" w:rsidRDefault="00E73FF0" w:rsidP="00E73FF0">
      <w:pPr>
        <w:ind w:firstLine="426"/>
        <w:contextualSpacing/>
        <w:jc w:val="both"/>
        <w:rPr>
          <w:sz w:val="22"/>
          <w:szCs w:val="22"/>
          <w:lang w:eastAsia="en-US"/>
        </w:rPr>
      </w:pPr>
      <w:r w:rsidRPr="00E73FF0">
        <w:rPr>
          <w:sz w:val="22"/>
          <w:szCs w:val="22"/>
          <w:lang w:eastAsia="en-US"/>
        </w:rPr>
        <w:t>Начальной точкой в процессе работы опрыскивателей можно считать первые попытки человека орошать землю. Изначально и</w:t>
      </w:r>
      <w:r w:rsidRPr="00E73FF0">
        <w:rPr>
          <w:sz w:val="22"/>
          <w:szCs w:val="22"/>
          <w:lang w:eastAsia="en-US"/>
        </w:rPr>
        <w:t>с</w:t>
      </w:r>
      <w:r w:rsidRPr="00E73FF0">
        <w:rPr>
          <w:sz w:val="22"/>
          <w:szCs w:val="22"/>
          <w:lang w:eastAsia="en-US"/>
        </w:rPr>
        <w:t>пользовались вода из рек и пресных водоемов в далекой древности, затем, появилась возможность добавлять различные элементы, к</w:t>
      </w:r>
      <w:r w:rsidRPr="00E73FF0">
        <w:rPr>
          <w:sz w:val="22"/>
          <w:szCs w:val="22"/>
          <w:lang w:eastAsia="en-US"/>
        </w:rPr>
        <w:t>о</w:t>
      </w:r>
      <w:r w:rsidRPr="00E73FF0">
        <w:rPr>
          <w:sz w:val="22"/>
          <w:szCs w:val="22"/>
          <w:lang w:eastAsia="en-US"/>
        </w:rPr>
        <w:t>торые препятствовали раннему иссушению зеленной части раст</w:t>
      </w:r>
      <w:r w:rsidRPr="00E73FF0">
        <w:rPr>
          <w:sz w:val="22"/>
          <w:szCs w:val="22"/>
          <w:lang w:eastAsia="en-US"/>
        </w:rPr>
        <w:t>е</w:t>
      </w:r>
      <w:r w:rsidRPr="00E73FF0">
        <w:rPr>
          <w:sz w:val="22"/>
          <w:szCs w:val="22"/>
          <w:lang w:eastAsia="en-US"/>
        </w:rPr>
        <w:t xml:space="preserve">ния. Развитием данной теории занимаются многие ученные как нашей страны, так и за рубежом. Также развитие данной теории нашло отражение в работах  ученных Кубанского ГАУ как С.М. Борисова, В.В. Цыбулевский, Е.И. Трубилин, и др </w:t>
      </w:r>
      <w:r w:rsidRPr="00E73FF0">
        <w:rPr>
          <w:rFonts w:eastAsiaTheme="minorHAnsi"/>
          <w:sz w:val="22"/>
          <w:szCs w:val="22"/>
          <w:lang w:eastAsia="en-US"/>
        </w:rPr>
        <w:t>[1].</w:t>
      </w:r>
    </w:p>
    <w:p w:rsidR="00E73FF0" w:rsidRPr="00E73FF0" w:rsidRDefault="00E73FF0" w:rsidP="00E73FF0">
      <w:pPr>
        <w:ind w:firstLine="426"/>
        <w:contextualSpacing/>
        <w:jc w:val="both"/>
        <w:rPr>
          <w:sz w:val="22"/>
          <w:szCs w:val="22"/>
          <w:lang w:eastAsia="en-US"/>
        </w:rPr>
      </w:pPr>
      <w:r w:rsidRPr="00E73FF0">
        <w:rPr>
          <w:sz w:val="22"/>
          <w:szCs w:val="22"/>
          <w:lang w:eastAsia="en-US"/>
        </w:rPr>
        <w:t xml:space="preserve">В настоящее время стоит проблема развитие теории, которая имела бы возможность наглядной демонстрации работы тех или иных видов распылителей при обработке различных растений, а также рабочего органа, который бы обеспечил работу агрегата при ветре </w:t>
      </w:r>
      <w:r w:rsidRPr="00E73FF0">
        <w:rPr>
          <w:rFonts w:eastAsiaTheme="minorHAnsi"/>
          <w:sz w:val="22"/>
          <w:szCs w:val="22"/>
          <w:lang w:eastAsia="en-US"/>
        </w:rPr>
        <w:t>[2].</w:t>
      </w:r>
    </w:p>
    <w:p w:rsidR="00E73FF0" w:rsidRPr="00E73FF0" w:rsidRDefault="00E73FF0" w:rsidP="00E73FF0">
      <w:pPr>
        <w:ind w:firstLine="426"/>
        <w:contextualSpacing/>
        <w:jc w:val="both"/>
        <w:rPr>
          <w:sz w:val="22"/>
          <w:szCs w:val="22"/>
          <w:lang w:eastAsia="en-US"/>
        </w:rPr>
      </w:pPr>
      <w:r w:rsidRPr="00E73FF0">
        <w:rPr>
          <w:sz w:val="22"/>
          <w:szCs w:val="22"/>
          <w:lang w:eastAsia="en-US"/>
        </w:rPr>
        <w:t>Суть проблемы заключается в том, что снос рабочей жидкости из зоны обработки – это не однородная среда, а в разные периоды времени, которые обусловлены агротехническими сроками она имеет разную спелость. Одной из основных задач перед нами стоит разработать и оптимизировать конструкцию почвообрабатывающ</w:t>
      </w:r>
      <w:r w:rsidRPr="00E73FF0">
        <w:rPr>
          <w:sz w:val="22"/>
          <w:szCs w:val="22"/>
          <w:lang w:eastAsia="en-US"/>
        </w:rPr>
        <w:t>е</w:t>
      </w:r>
      <w:r w:rsidRPr="00E73FF0">
        <w:rPr>
          <w:sz w:val="22"/>
          <w:szCs w:val="22"/>
          <w:lang w:eastAsia="en-US"/>
        </w:rPr>
        <w:t xml:space="preserve">го рабочего органа, который бы позволил, производить обработку почвы не завися от факторов сложения почвенного горизонта </w:t>
      </w:r>
      <w:r w:rsidRPr="00E73FF0">
        <w:rPr>
          <w:rFonts w:eastAsiaTheme="minorHAnsi"/>
          <w:sz w:val="22"/>
          <w:szCs w:val="22"/>
          <w:lang w:eastAsia="en-US"/>
        </w:rPr>
        <w:t>[3]</w:t>
      </w:r>
      <w:r w:rsidRPr="00E73FF0">
        <w:rPr>
          <w:sz w:val="22"/>
          <w:szCs w:val="22"/>
          <w:lang w:eastAsia="en-US"/>
        </w:rPr>
        <w:t>.</w:t>
      </w:r>
    </w:p>
    <w:p w:rsidR="00E73FF0" w:rsidRPr="00E73FF0" w:rsidRDefault="00E73FF0" w:rsidP="00E73FF0">
      <w:pPr>
        <w:ind w:firstLine="426"/>
        <w:contextualSpacing/>
        <w:jc w:val="both"/>
        <w:rPr>
          <w:sz w:val="22"/>
          <w:szCs w:val="22"/>
          <w:lang w:eastAsia="en-US"/>
        </w:rPr>
      </w:pPr>
      <w:r w:rsidRPr="00E73FF0">
        <w:rPr>
          <w:sz w:val="22"/>
          <w:szCs w:val="22"/>
          <w:lang w:eastAsia="en-US"/>
        </w:rPr>
        <w:t>Работа, связанная с теорией и анализом работы опрыскиват</w:t>
      </w:r>
      <w:r w:rsidRPr="00E73FF0">
        <w:rPr>
          <w:sz w:val="22"/>
          <w:szCs w:val="22"/>
          <w:lang w:eastAsia="en-US"/>
        </w:rPr>
        <w:t>е</w:t>
      </w:r>
      <w:r w:rsidRPr="00E73FF0">
        <w:rPr>
          <w:sz w:val="22"/>
          <w:szCs w:val="22"/>
          <w:lang w:eastAsia="en-US"/>
        </w:rPr>
        <w:t>лей как орудий заключается в анализе существующих процессов работы, как на практике, так и в практической бумажной части. Ц</w:t>
      </w:r>
      <w:r w:rsidRPr="00E73FF0">
        <w:rPr>
          <w:sz w:val="22"/>
          <w:szCs w:val="22"/>
          <w:lang w:eastAsia="en-US"/>
        </w:rPr>
        <w:t>е</w:t>
      </w:r>
      <w:r w:rsidRPr="00E73FF0">
        <w:rPr>
          <w:sz w:val="22"/>
          <w:szCs w:val="22"/>
          <w:lang w:eastAsia="en-US"/>
        </w:rPr>
        <w:t>лью нашей работы является повышения качества работы опрыск</w:t>
      </w:r>
      <w:r w:rsidRPr="00E73FF0">
        <w:rPr>
          <w:sz w:val="22"/>
          <w:szCs w:val="22"/>
          <w:lang w:eastAsia="en-US"/>
        </w:rPr>
        <w:t>и</w:t>
      </w:r>
      <w:r w:rsidRPr="00E73FF0">
        <w:rPr>
          <w:sz w:val="22"/>
          <w:szCs w:val="22"/>
          <w:lang w:eastAsia="en-US"/>
        </w:rPr>
        <w:t>вателя, а именно отдельных его частей в сравнении его с существ</w:t>
      </w:r>
      <w:r w:rsidRPr="00E73FF0">
        <w:rPr>
          <w:sz w:val="22"/>
          <w:szCs w:val="22"/>
          <w:lang w:eastAsia="en-US"/>
        </w:rPr>
        <w:t>у</w:t>
      </w:r>
      <w:r w:rsidRPr="00E73FF0">
        <w:rPr>
          <w:sz w:val="22"/>
          <w:szCs w:val="22"/>
          <w:lang w:eastAsia="en-US"/>
        </w:rPr>
        <w:t xml:space="preserve">ющими аналогами </w:t>
      </w:r>
      <w:r w:rsidRPr="00E73FF0">
        <w:rPr>
          <w:rFonts w:eastAsiaTheme="minorHAnsi"/>
          <w:sz w:val="22"/>
          <w:szCs w:val="22"/>
          <w:lang w:eastAsia="en-US"/>
        </w:rPr>
        <w:t>[4].</w:t>
      </w:r>
    </w:p>
    <w:p w:rsidR="00E73FF0" w:rsidRPr="00E73FF0" w:rsidRDefault="00E73FF0" w:rsidP="00E73FF0">
      <w:pPr>
        <w:ind w:firstLine="426"/>
        <w:contextualSpacing/>
        <w:jc w:val="both"/>
        <w:rPr>
          <w:sz w:val="22"/>
          <w:szCs w:val="22"/>
          <w:lang w:eastAsia="en-US"/>
        </w:rPr>
      </w:pPr>
      <w:r w:rsidRPr="00E73FF0">
        <w:rPr>
          <w:sz w:val="22"/>
          <w:szCs w:val="22"/>
          <w:lang w:eastAsia="en-US"/>
        </w:rPr>
        <w:t>В связи с этим можно сделать краткий промежуточный вывод: что применение такого типа опрыскивателей позволит сократить расходы на возделывание сельскохозяйственных культур и как следствие на их конечную стоимость. Также появляется возмо</w:t>
      </w:r>
      <w:r w:rsidRPr="00E73FF0">
        <w:rPr>
          <w:sz w:val="22"/>
          <w:szCs w:val="22"/>
          <w:lang w:eastAsia="en-US"/>
        </w:rPr>
        <w:t>ж</w:t>
      </w:r>
      <w:r w:rsidRPr="00E73FF0">
        <w:rPr>
          <w:sz w:val="22"/>
          <w:szCs w:val="22"/>
          <w:lang w:eastAsia="en-US"/>
        </w:rPr>
        <w:t xml:space="preserve">ность использовать данный рабочий орган практически для всего спектра работ связанных защитой растений </w:t>
      </w:r>
      <w:r w:rsidRPr="00E73FF0">
        <w:rPr>
          <w:rFonts w:eastAsiaTheme="minorHAnsi"/>
          <w:sz w:val="22"/>
          <w:szCs w:val="22"/>
          <w:lang w:eastAsia="en-US"/>
        </w:rPr>
        <w:t>[5].</w:t>
      </w:r>
    </w:p>
    <w:p w:rsidR="00E73FF0" w:rsidRPr="00E73FF0" w:rsidRDefault="00E73FF0" w:rsidP="00E73FF0">
      <w:pPr>
        <w:ind w:firstLine="426"/>
        <w:contextualSpacing/>
        <w:jc w:val="both"/>
        <w:rPr>
          <w:rFonts w:eastAsiaTheme="minorHAnsi"/>
          <w:sz w:val="22"/>
          <w:szCs w:val="22"/>
          <w:lang w:eastAsia="en-US"/>
        </w:rPr>
      </w:pPr>
    </w:p>
    <w:p w:rsidR="00F81674" w:rsidRDefault="00F81674" w:rsidP="00E73FF0">
      <w:pPr>
        <w:ind w:firstLine="426"/>
        <w:contextualSpacing/>
        <w:jc w:val="center"/>
        <w:rPr>
          <w:rFonts w:eastAsiaTheme="minorHAnsi"/>
          <w:sz w:val="22"/>
          <w:szCs w:val="22"/>
          <w:lang w:eastAsia="en-US"/>
        </w:rPr>
      </w:pPr>
    </w:p>
    <w:p w:rsidR="00E73FF0" w:rsidRPr="00E73FF0" w:rsidRDefault="00E73FF0" w:rsidP="00E73FF0">
      <w:pPr>
        <w:ind w:firstLine="426"/>
        <w:contextualSpacing/>
        <w:jc w:val="center"/>
        <w:rPr>
          <w:rFonts w:eastAsiaTheme="minorHAnsi"/>
          <w:sz w:val="22"/>
          <w:szCs w:val="22"/>
          <w:lang w:eastAsia="en-US"/>
        </w:rPr>
      </w:pPr>
      <w:r w:rsidRPr="00E73FF0">
        <w:rPr>
          <w:rFonts w:eastAsiaTheme="minorHAnsi"/>
          <w:sz w:val="22"/>
          <w:szCs w:val="22"/>
          <w:lang w:eastAsia="en-US"/>
        </w:rPr>
        <w:lastRenderedPageBreak/>
        <w:t>Список литературы</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1. Средства малой механизации как основа современного КФХ и ЛПХ в малых формах хозяйствования Лепшина А.И., Белоусов С.В. Политематический сетевой электронный научный журнал К</w:t>
      </w:r>
      <w:r w:rsidRPr="00E73FF0">
        <w:rPr>
          <w:rFonts w:eastAsiaTheme="minorHAnsi"/>
          <w:sz w:val="22"/>
          <w:szCs w:val="22"/>
          <w:lang w:eastAsia="en-US"/>
        </w:rPr>
        <w:t>у</w:t>
      </w:r>
      <w:r w:rsidRPr="00E73FF0">
        <w:rPr>
          <w:rFonts w:eastAsiaTheme="minorHAnsi"/>
          <w:sz w:val="22"/>
          <w:szCs w:val="22"/>
          <w:lang w:eastAsia="en-US"/>
        </w:rPr>
        <w:t>банского государственного аграрного университета. 2015. № 109. С. 392-415.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 xml:space="preserve">2. </w:t>
      </w:r>
      <w:hyperlink r:id="rId99" w:history="1">
        <w:r w:rsidRPr="00E73FF0">
          <w:rPr>
            <w:rFonts w:eastAsiaTheme="minorHAnsi"/>
            <w:bCs/>
            <w:sz w:val="22"/>
            <w:szCs w:val="22"/>
            <w:lang w:eastAsia="en-US"/>
          </w:rPr>
          <w:t>Роль и перспектива развития малой механизации в разрезе современного машиностроения</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r w:rsidR="00573255">
        <w:rPr>
          <w:rFonts w:eastAsiaTheme="minorHAnsi"/>
          <w:iCs/>
          <w:sz w:val="22"/>
          <w:szCs w:val="22"/>
          <w:lang w:eastAsia="en-US"/>
        </w:rPr>
        <w:t xml:space="preserve">/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100" w:history="1">
        <w:r w:rsidR="00573255">
          <w:rPr>
            <w:rFonts w:eastAsiaTheme="minorHAnsi"/>
            <w:sz w:val="22"/>
            <w:szCs w:val="22"/>
            <w:lang w:eastAsia="en-US"/>
          </w:rPr>
          <w:t>Н</w:t>
        </w:r>
        <w:r w:rsidR="00573255" w:rsidRPr="00E73FF0">
          <w:rPr>
            <w:rFonts w:eastAsiaTheme="minorHAnsi"/>
            <w:sz w:val="22"/>
            <w:szCs w:val="22"/>
            <w:lang w:eastAsia="en-US"/>
          </w:rPr>
          <w:t>аучное обеспечение агропромышленного комплекса</w:t>
        </w:r>
      </w:hyperlink>
      <w:r w:rsidRPr="00E73FF0">
        <w:rPr>
          <w:rFonts w:eastAsiaTheme="minorHAnsi"/>
          <w:sz w:val="22"/>
          <w:szCs w:val="22"/>
          <w:lang w:eastAsia="en-US"/>
        </w:rPr>
        <w:t> </w:t>
      </w:r>
      <w:r w:rsidR="00573255">
        <w:rPr>
          <w:rFonts w:eastAsiaTheme="minorHAnsi"/>
          <w:sz w:val="22"/>
          <w:szCs w:val="22"/>
          <w:lang w:eastAsia="en-US"/>
        </w:rPr>
        <w:t xml:space="preserve">// </w:t>
      </w:r>
      <w:r w:rsidRPr="00E73FF0">
        <w:rPr>
          <w:rFonts w:eastAsiaTheme="minorHAnsi"/>
          <w:sz w:val="22"/>
          <w:szCs w:val="22"/>
          <w:lang w:eastAsia="en-US"/>
        </w:rPr>
        <w:t>сборник статей по материалам 72-й научно-практической конференции пр</w:t>
      </w:r>
      <w:r w:rsidRPr="00E73FF0">
        <w:rPr>
          <w:rFonts w:eastAsiaTheme="minorHAnsi"/>
          <w:sz w:val="22"/>
          <w:szCs w:val="22"/>
          <w:lang w:eastAsia="en-US"/>
        </w:rPr>
        <w:t>е</w:t>
      </w:r>
      <w:r w:rsidRPr="00E73FF0">
        <w:rPr>
          <w:rFonts w:eastAsiaTheme="minorHAnsi"/>
          <w:sz w:val="22"/>
          <w:szCs w:val="22"/>
          <w:lang w:eastAsia="en-US"/>
        </w:rPr>
        <w:t>подавателей по итогам НИР за 2016 г.. 2017. С. 277-278.</w:t>
      </w:r>
    </w:p>
    <w:p w:rsidR="00E73FF0" w:rsidRPr="00E73FF0" w:rsidRDefault="00E73FF0" w:rsidP="00E73FF0">
      <w:pPr>
        <w:ind w:firstLine="426"/>
        <w:jc w:val="both"/>
        <w:rPr>
          <w:rFonts w:eastAsiaTheme="minorHAnsi"/>
          <w:sz w:val="22"/>
          <w:szCs w:val="22"/>
          <w:lang w:val="en-US" w:eastAsia="en-US"/>
        </w:rPr>
      </w:pPr>
      <w:r w:rsidRPr="00E73FF0">
        <w:rPr>
          <w:rFonts w:eastAsiaTheme="minorHAnsi"/>
          <w:sz w:val="22"/>
          <w:szCs w:val="22"/>
          <w:lang w:eastAsia="en-US"/>
        </w:rPr>
        <w:t xml:space="preserve">3. </w:t>
      </w:r>
      <w:hyperlink r:id="rId101" w:history="1">
        <w:r w:rsidRPr="00E73FF0">
          <w:rPr>
            <w:rFonts w:eastAsiaTheme="minorHAnsi"/>
            <w:bCs/>
            <w:sz w:val="22"/>
            <w:szCs w:val="22"/>
            <w:lang w:eastAsia="en-US"/>
          </w:rPr>
          <w:t>Возделывания пропашных культур в современных условиях</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Помеляйко С.А., Белоусова А.И., Белоусов С.В. </w:t>
      </w:r>
      <w:r w:rsidR="00573255">
        <w:rPr>
          <w:rFonts w:eastAsiaTheme="minorHAnsi"/>
          <w:iCs/>
          <w:sz w:val="22"/>
          <w:szCs w:val="22"/>
          <w:lang w:eastAsia="en-US"/>
        </w:rPr>
        <w:t xml:space="preserve">/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102" w:history="1">
        <w:r w:rsidR="00573255">
          <w:rPr>
            <w:rFonts w:eastAsiaTheme="minorHAnsi"/>
            <w:sz w:val="22"/>
            <w:szCs w:val="22"/>
            <w:lang w:eastAsia="en-US"/>
          </w:rPr>
          <w:t>С</w:t>
        </w:r>
        <w:r w:rsidR="00573255" w:rsidRPr="00E73FF0">
          <w:rPr>
            <w:rFonts w:eastAsiaTheme="minorHAnsi"/>
            <w:sz w:val="22"/>
            <w:szCs w:val="22"/>
            <w:lang w:eastAsia="en-US"/>
          </w:rPr>
          <w:t>овременные исследования</w:t>
        </w:r>
        <w:r w:rsidRPr="00E73FF0">
          <w:rPr>
            <w:rFonts w:eastAsiaTheme="minorHAnsi"/>
            <w:sz w:val="22"/>
            <w:szCs w:val="22"/>
            <w:lang w:eastAsia="en-US"/>
          </w:rPr>
          <w:t xml:space="preserve"> - 2017</w:t>
        </w:r>
      </w:hyperlink>
      <w:r w:rsidRPr="00E73FF0">
        <w:rPr>
          <w:rFonts w:eastAsiaTheme="minorHAnsi"/>
          <w:sz w:val="22"/>
          <w:szCs w:val="22"/>
          <w:lang w:eastAsia="en-US"/>
        </w:rPr>
        <w:t> </w:t>
      </w:r>
      <w:r w:rsidR="00573255">
        <w:rPr>
          <w:rFonts w:eastAsiaTheme="minorHAnsi"/>
          <w:sz w:val="22"/>
          <w:szCs w:val="22"/>
          <w:lang w:eastAsia="en-US"/>
        </w:rPr>
        <w:t xml:space="preserve">// </w:t>
      </w:r>
      <w:r w:rsidRPr="00E73FF0">
        <w:rPr>
          <w:rFonts w:eastAsiaTheme="minorHAnsi"/>
          <w:sz w:val="22"/>
          <w:szCs w:val="22"/>
          <w:lang w:eastAsia="en-US"/>
        </w:rPr>
        <w:t>Сборник статей по матер</w:t>
      </w:r>
      <w:r w:rsidRPr="00E73FF0">
        <w:rPr>
          <w:rFonts w:eastAsiaTheme="minorHAnsi"/>
          <w:sz w:val="22"/>
          <w:szCs w:val="22"/>
          <w:lang w:eastAsia="en-US"/>
        </w:rPr>
        <w:t>и</w:t>
      </w:r>
      <w:r w:rsidRPr="00E73FF0">
        <w:rPr>
          <w:rFonts w:eastAsiaTheme="minorHAnsi"/>
          <w:sz w:val="22"/>
          <w:szCs w:val="22"/>
          <w:lang w:eastAsia="en-US"/>
        </w:rPr>
        <w:t>алам Международных научно-практических конференций. под о</w:t>
      </w:r>
      <w:r w:rsidRPr="00E73FF0">
        <w:rPr>
          <w:rFonts w:eastAsiaTheme="minorHAnsi"/>
          <w:sz w:val="22"/>
          <w:szCs w:val="22"/>
          <w:lang w:eastAsia="en-US"/>
        </w:rPr>
        <w:t>б</w:t>
      </w:r>
      <w:r w:rsidRPr="00E73FF0">
        <w:rPr>
          <w:rFonts w:eastAsiaTheme="minorHAnsi"/>
          <w:sz w:val="22"/>
          <w:szCs w:val="22"/>
          <w:lang w:eastAsia="en-US"/>
        </w:rPr>
        <w:t>щей редакцией А.И. Вострецова. Нефтекамск</w:t>
      </w:r>
      <w:r w:rsidRPr="00E73FF0">
        <w:rPr>
          <w:rFonts w:eastAsiaTheme="minorHAnsi"/>
          <w:sz w:val="22"/>
          <w:szCs w:val="22"/>
          <w:lang w:val="en-US" w:eastAsia="en-US"/>
        </w:rPr>
        <w:t xml:space="preserve">, 2017. </w:t>
      </w:r>
      <w:r w:rsidRPr="00E73FF0">
        <w:rPr>
          <w:rFonts w:eastAsiaTheme="minorHAnsi"/>
          <w:sz w:val="22"/>
          <w:szCs w:val="22"/>
          <w:lang w:eastAsia="en-US"/>
        </w:rPr>
        <w:t>С</w:t>
      </w:r>
      <w:r w:rsidRPr="00E73FF0">
        <w:rPr>
          <w:rFonts w:eastAsiaTheme="minorHAnsi"/>
          <w:sz w:val="22"/>
          <w:szCs w:val="22"/>
          <w:lang w:val="en-US" w:eastAsia="en-US"/>
        </w:rPr>
        <w:t>. 809-815.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val="en-US" w:eastAsia="en-US"/>
        </w:rPr>
        <w:t xml:space="preserve">4. Theoretical studies of the tobacco stalk interaction with the leaf-separating unit Papusha S.K., Belousov S.V., Bogus A.E., Konovalov V.I. International Journal of Applied Engineering Research. </w:t>
      </w:r>
      <w:r w:rsidRPr="00E73FF0">
        <w:rPr>
          <w:rFonts w:eastAsiaTheme="minorHAnsi"/>
          <w:sz w:val="22"/>
          <w:szCs w:val="22"/>
          <w:lang w:eastAsia="en-US"/>
        </w:rPr>
        <w:t>2016. Т. 11. № 8. С. 5610-5613.</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5. Расчет основных параметров разбрасывателя сыпучих мат</w:t>
      </w:r>
      <w:r w:rsidRPr="00E73FF0">
        <w:rPr>
          <w:rFonts w:eastAsiaTheme="minorHAnsi"/>
          <w:sz w:val="22"/>
          <w:szCs w:val="22"/>
          <w:lang w:eastAsia="en-US"/>
        </w:rPr>
        <w:t>е</w:t>
      </w:r>
      <w:r w:rsidRPr="00E73FF0">
        <w:rPr>
          <w:rFonts w:eastAsiaTheme="minorHAnsi"/>
          <w:sz w:val="22"/>
          <w:szCs w:val="22"/>
          <w:lang w:eastAsia="en-US"/>
        </w:rPr>
        <w:t>риалов Белоусов С.В., Лепшина А.И. Политематический сетевой электронный научный журнал Кубанского государственного агра</w:t>
      </w:r>
      <w:r w:rsidRPr="00E73FF0">
        <w:rPr>
          <w:rFonts w:eastAsiaTheme="minorHAnsi"/>
          <w:sz w:val="22"/>
          <w:szCs w:val="22"/>
          <w:lang w:eastAsia="en-US"/>
        </w:rPr>
        <w:t>р</w:t>
      </w:r>
      <w:r w:rsidRPr="00E73FF0">
        <w:rPr>
          <w:rFonts w:eastAsiaTheme="minorHAnsi"/>
          <w:sz w:val="22"/>
          <w:szCs w:val="22"/>
          <w:lang w:eastAsia="en-US"/>
        </w:rPr>
        <w:t>ного университета. 2014. № 104. С. 1923-1939.</w:t>
      </w:r>
    </w:p>
    <w:p w:rsidR="00E73FF0" w:rsidRDefault="00E73FF0" w:rsidP="00B43BBC">
      <w:pPr>
        <w:pStyle w:val="31"/>
        <w:rPr>
          <w:sz w:val="22"/>
          <w:szCs w:val="22"/>
        </w:rPr>
      </w:pPr>
    </w:p>
    <w:p w:rsidR="00E73FF0" w:rsidRDefault="00E73FF0" w:rsidP="00B43BBC">
      <w:pPr>
        <w:pStyle w:val="31"/>
        <w:rPr>
          <w:sz w:val="22"/>
          <w:szCs w:val="22"/>
        </w:rPr>
      </w:pPr>
    </w:p>
    <w:p w:rsidR="00573255" w:rsidRDefault="00F81674" w:rsidP="00573255">
      <w:pPr>
        <w:rPr>
          <w:rFonts w:eastAsia="Calibri"/>
          <w:sz w:val="22"/>
          <w:szCs w:val="22"/>
          <w:lang w:eastAsia="en-US"/>
        </w:rPr>
      </w:pPr>
      <w:r>
        <w:rPr>
          <w:rFonts w:eastAsia="Calibri"/>
          <w:sz w:val="22"/>
          <w:szCs w:val="22"/>
          <w:lang w:eastAsia="en-US"/>
        </w:rPr>
        <w:br w:type="page"/>
      </w:r>
    </w:p>
    <w:p w:rsidR="00E73FF0" w:rsidRDefault="00E73FF0" w:rsidP="00573255">
      <w:pPr>
        <w:contextualSpacing/>
        <w:rPr>
          <w:rFonts w:eastAsia="Calibri"/>
          <w:sz w:val="22"/>
          <w:szCs w:val="22"/>
          <w:lang w:eastAsia="en-US"/>
        </w:rPr>
      </w:pPr>
      <w:r w:rsidRPr="00E73FF0">
        <w:rPr>
          <w:rFonts w:eastAsia="Calibri"/>
          <w:sz w:val="22"/>
          <w:szCs w:val="22"/>
          <w:lang w:eastAsia="en-US"/>
        </w:rPr>
        <w:lastRenderedPageBreak/>
        <w:t>УДК 631.331</w:t>
      </w:r>
    </w:p>
    <w:p w:rsidR="00573255" w:rsidRPr="00E73FF0" w:rsidRDefault="00573255" w:rsidP="00573255">
      <w:pPr>
        <w:contextualSpacing/>
        <w:rPr>
          <w:rFonts w:eastAsia="Calibri"/>
          <w:sz w:val="22"/>
          <w:szCs w:val="22"/>
          <w:lang w:eastAsia="en-US"/>
        </w:rPr>
      </w:pPr>
    </w:p>
    <w:p w:rsidR="00E73FF0" w:rsidRPr="00573255" w:rsidRDefault="00E73FF0" w:rsidP="00E73FF0">
      <w:pPr>
        <w:spacing w:after="200"/>
        <w:ind w:firstLine="426"/>
        <w:contextualSpacing/>
        <w:jc w:val="center"/>
        <w:rPr>
          <w:rFonts w:eastAsia="Calibri"/>
          <w:b/>
          <w:sz w:val="24"/>
          <w:szCs w:val="24"/>
          <w:lang w:eastAsia="en-US"/>
        </w:rPr>
      </w:pPr>
      <w:r w:rsidRPr="00573255">
        <w:rPr>
          <w:rFonts w:eastAsia="Calibri"/>
          <w:b/>
          <w:sz w:val="24"/>
          <w:szCs w:val="24"/>
          <w:lang w:eastAsia="en-US"/>
        </w:rPr>
        <w:t>Выбор способа укладки семян в ячейке высевающего аппарата пунктирной сеялки</w:t>
      </w:r>
    </w:p>
    <w:p w:rsidR="00E73FF0" w:rsidRPr="00024398" w:rsidRDefault="00E73FF0" w:rsidP="00E73FF0">
      <w:pPr>
        <w:spacing w:after="200"/>
        <w:ind w:firstLine="426"/>
        <w:contextualSpacing/>
        <w:jc w:val="center"/>
        <w:rPr>
          <w:rFonts w:eastAsia="Calibri"/>
          <w:b/>
          <w:sz w:val="24"/>
          <w:szCs w:val="24"/>
          <w:lang w:val="en-US" w:eastAsia="en-US"/>
        </w:rPr>
      </w:pPr>
      <w:r w:rsidRPr="00573255">
        <w:rPr>
          <w:rFonts w:eastAsia="Calibri"/>
          <w:b/>
          <w:sz w:val="24"/>
          <w:szCs w:val="24"/>
          <w:lang w:val="en-US" w:eastAsia="en-US"/>
        </w:rPr>
        <w:t>Selection of the method of laying seeds in the cell of the seeder of the dotted drill</w:t>
      </w:r>
    </w:p>
    <w:p w:rsidR="00573255" w:rsidRPr="00024398" w:rsidRDefault="00573255" w:rsidP="00E73FF0">
      <w:pPr>
        <w:spacing w:after="200"/>
        <w:ind w:firstLine="426"/>
        <w:contextualSpacing/>
        <w:jc w:val="center"/>
        <w:rPr>
          <w:rFonts w:eastAsia="Calibri"/>
          <w:b/>
          <w:sz w:val="24"/>
          <w:szCs w:val="24"/>
          <w:lang w:val="en-US" w:eastAsia="en-US"/>
        </w:rPr>
      </w:pPr>
    </w:p>
    <w:p w:rsidR="00E73FF0" w:rsidRPr="00E73FF0" w:rsidRDefault="00E73FF0" w:rsidP="00E73FF0">
      <w:pPr>
        <w:spacing w:after="200"/>
        <w:ind w:firstLine="426"/>
        <w:contextualSpacing/>
        <w:jc w:val="right"/>
        <w:rPr>
          <w:rFonts w:eastAsia="Calibri"/>
          <w:sz w:val="22"/>
          <w:szCs w:val="22"/>
          <w:lang w:eastAsia="en-US"/>
        </w:rPr>
      </w:pPr>
      <w:r w:rsidRPr="00E73FF0">
        <w:rPr>
          <w:rFonts w:eastAsia="Calibri"/>
          <w:sz w:val="22"/>
          <w:szCs w:val="22"/>
          <w:lang w:eastAsia="en-US"/>
        </w:rPr>
        <w:t>Пусикова А.</w:t>
      </w:r>
      <w:r w:rsidR="00573255">
        <w:rPr>
          <w:rFonts w:eastAsia="Calibri"/>
          <w:sz w:val="22"/>
          <w:szCs w:val="22"/>
          <w:lang w:eastAsia="en-US"/>
        </w:rPr>
        <w:t xml:space="preserve"> </w:t>
      </w:r>
      <w:r w:rsidRPr="00E73FF0">
        <w:rPr>
          <w:rFonts w:eastAsia="Calibri"/>
          <w:sz w:val="22"/>
          <w:szCs w:val="22"/>
          <w:lang w:eastAsia="en-US"/>
        </w:rPr>
        <w:t>Ю.</w:t>
      </w:r>
      <w:r w:rsidR="00573255">
        <w:rPr>
          <w:rFonts w:eastAsia="Calibri"/>
          <w:sz w:val="22"/>
          <w:szCs w:val="22"/>
          <w:lang w:eastAsia="en-US"/>
        </w:rPr>
        <w:t>,</w:t>
      </w:r>
    </w:p>
    <w:p w:rsidR="00E73FF0" w:rsidRPr="00E73FF0" w:rsidRDefault="00573255" w:rsidP="00E73FF0">
      <w:pPr>
        <w:spacing w:after="200"/>
        <w:ind w:firstLine="426"/>
        <w:contextualSpacing/>
        <w:jc w:val="right"/>
        <w:rPr>
          <w:rFonts w:eastAsia="Calibri"/>
          <w:sz w:val="22"/>
          <w:szCs w:val="22"/>
          <w:lang w:eastAsia="en-US"/>
        </w:rPr>
      </w:pPr>
      <w:r>
        <w:rPr>
          <w:rFonts w:eastAsia="Calibri"/>
          <w:sz w:val="22"/>
          <w:szCs w:val="22"/>
          <w:lang w:eastAsia="en-US"/>
        </w:rPr>
        <w:t>студентка 4-го курса</w:t>
      </w:r>
    </w:p>
    <w:p w:rsidR="00E73FF0" w:rsidRPr="00E73FF0" w:rsidRDefault="00E73FF0" w:rsidP="00E73FF0">
      <w:pPr>
        <w:spacing w:after="200"/>
        <w:ind w:firstLine="426"/>
        <w:contextualSpacing/>
        <w:jc w:val="right"/>
        <w:rPr>
          <w:rFonts w:eastAsia="Calibri"/>
          <w:sz w:val="22"/>
          <w:szCs w:val="22"/>
          <w:lang w:eastAsia="en-US"/>
        </w:rPr>
      </w:pPr>
      <w:r w:rsidRPr="00E73FF0">
        <w:rPr>
          <w:rFonts w:eastAsia="Calibri"/>
          <w:sz w:val="22"/>
          <w:szCs w:val="22"/>
          <w:lang w:eastAsia="en-US"/>
        </w:rPr>
        <w:t>факу</w:t>
      </w:r>
      <w:r w:rsidR="00573255">
        <w:rPr>
          <w:rFonts w:eastAsia="Calibri"/>
          <w:sz w:val="22"/>
          <w:szCs w:val="22"/>
          <w:lang w:eastAsia="en-US"/>
        </w:rPr>
        <w:t>льтета механизации</w:t>
      </w:r>
    </w:p>
    <w:p w:rsidR="00573255" w:rsidRPr="00E73FF0" w:rsidRDefault="00573255" w:rsidP="00573255">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Pr>
          <w:rFonts w:eastAsia="Courier New"/>
          <w:color w:val="000000"/>
          <w:sz w:val="22"/>
          <w:szCs w:val="22"/>
          <w:lang w:eastAsia="en-US"/>
        </w:rPr>
        <w:t>анский государственный аграрный</w:t>
      </w:r>
    </w:p>
    <w:p w:rsidR="00573255" w:rsidRPr="00E73FF0" w:rsidRDefault="00573255" w:rsidP="00573255">
      <w:pPr>
        <w:widowControl w:val="0"/>
        <w:autoSpaceDE w:val="0"/>
        <w:autoSpaceDN w:val="0"/>
        <w:adjustRightInd w:val="0"/>
        <w:ind w:firstLine="426"/>
        <w:jc w:val="right"/>
        <w:rPr>
          <w:sz w:val="22"/>
          <w:szCs w:val="22"/>
        </w:rPr>
      </w:pPr>
      <w:r w:rsidRPr="00E73FF0">
        <w:rPr>
          <w:rFonts w:eastAsia="Courier New"/>
          <w:color w:val="000000"/>
          <w:sz w:val="22"/>
          <w:szCs w:val="22"/>
          <w:lang w:eastAsia="en-US"/>
        </w:rPr>
        <w:t>университет имени И.Т. Трубилина</w:t>
      </w:r>
    </w:p>
    <w:p w:rsidR="00E73FF0" w:rsidRPr="00573255" w:rsidRDefault="00E73FF0" w:rsidP="00E73FF0">
      <w:pPr>
        <w:spacing w:after="200"/>
        <w:ind w:firstLine="426"/>
        <w:contextualSpacing/>
        <w:jc w:val="right"/>
        <w:rPr>
          <w:rFonts w:eastAsia="Calibri"/>
          <w:sz w:val="22"/>
          <w:szCs w:val="22"/>
          <w:lang w:eastAsia="en-US"/>
        </w:rPr>
      </w:pP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АННОТАЦИЯ: Для обоснования конструктивных параметров высевающего диска пунктирной сеялки нами были изучены спос</w:t>
      </w:r>
      <w:r w:rsidRPr="00E73FF0">
        <w:rPr>
          <w:rFonts w:eastAsia="Calibri"/>
          <w:sz w:val="22"/>
          <w:szCs w:val="22"/>
          <w:lang w:eastAsia="en-US"/>
        </w:rPr>
        <w:t>о</w:t>
      </w:r>
      <w:r w:rsidRPr="00E73FF0">
        <w:rPr>
          <w:rFonts w:eastAsia="Calibri"/>
          <w:sz w:val="22"/>
          <w:szCs w:val="22"/>
          <w:lang w:eastAsia="en-US"/>
        </w:rPr>
        <w:t>бы укладки семян в ячейки. Теоретически были определены орие</w:t>
      </w:r>
      <w:r w:rsidRPr="00E73FF0">
        <w:rPr>
          <w:rFonts w:eastAsia="Calibri"/>
          <w:sz w:val="22"/>
          <w:szCs w:val="22"/>
          <w:lang w:eastAsia="en-US"/>
        </w:rPr>
        <w:t>н</w:t>
      </w:r>
      <w:r w:rsidRPr="00E73FF0">
        <w:rPr>
          <w:rFonts w:eastAsia="Calibri"/>
          <w:sz w:val="22"/>
          <w:szCs w:val="22"/>
          <w:lang w:eastAsia="en-US"/>
        </w:rPr>
        <w:t>тировочные размеры ячеек для посева кукурузы и подсолнечника, которые были уточнены экспериментальной проверкой.</w:t>
      </w:r>
    </w:p>
    <w:p w:rsidR="00E73FF0" w:rsidRPr="00E73FF0"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ABSTRACT: To substantiate the design parameters of the sowing disk of the dotted seeder, we studied the methods of laying seeds into cells. Theoretically, the approximate sizes of cells for sowing maize and sunflower were determined, which were refined by experimental verif</w:t>
      </w:r>
      <w:r w:rsidRPr="00E73FF0">
        <w:rPr>
          <w:rFonts w:eastAsia="Calibri"/>
          <w:sz w:val="22"/>
          <w:szCs w:val="22"/>
          <w:lang w:val="en-US" w:eastAsia="en-US"/>
        </w:rPr>
        <w:t>i</w:t>
      </w:r>
      <w:r w:rsidRPr="00E73FF0">
        <w:rPr>
          <w:rFonts w:eastAsia="Calibri"/>
          <w:sz w:val="22"/>
          <w:szCs w:val="22"/>
          <w:lang w:val="en-US" w:eastAsia="en-US"/>
        </w:rPr>
        <w:t>cation.</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КЛЮЧЕВЫЕ СЛОВА: Высевающий аппарат, ячейка, ориент</w:t>
      </w:r>
      <w:r w:rsidRPr="00E73FF0">
        <w:rPr>
          <w:rFonts w:eastAsia="Calibri"/>
          <w:sz w:val="22"/>
          <w:szCs w:val="22"/>
          <w:lang w:eastAsia="en-US"/>
        </w:rPr>
        <w:t>и</w:t>
      </w:r>
      <w:r w:rsidRPr="00E73FF0">
        <w:rPr>
          <w:rFonts w:eastAsia="Calibri"/>
          <w:sz w:val="22"/>
          <w:szCs w:val="22"/>
          <w:lang w:eastAsia="en-US"/>
        </w:rPr>
        <w:t>рование семян, оптимальные параметры.</w:t>
      </w:r>
    </w:p>
    <w:p w:rsidR="00E73FF0" w:rsidRPr="00024398" w:rsidRDefault="00E73FF0" w:rsidP="00E73FF0">
      <w:pPr>
        <w:spacing w:after="200"/>
        <w:ind w:firstLine="426"/>
        <w:contextualSpacing/>
        <w:jc w:val="both"/>
        <w:rPr>
          <w:rFonts w:eastAsia="Calibri"/>
          <w:sz w:val="22"/>
          <w:szCs w:val="22"/>
          <w:lang w:val="en-US" w:eastAsia="en-US"/>
        </w:rPr>
      </w:pPr>
      <w:r w:rsidRPr="00E73FF0">
        <w:rPr>
          <w:rFonts w:eastAsia="Calibri"/>
          <w:sz w:val="22"/>
          <w:szCs w:val="22"/>
          <w:lang w:val="en-US" w:eastAsia="en-US"/>
        </w:rPr>
        <w:t>KEYWORDS: Sowing apparatus, cell, orientation of seeds, optimal parameters.</w:t>
      </w:r>
    </w:p>
    <w:p w:rsidR="00573255" w:rsidRPr="00024398" w:rsidRDefault="00573255" w:rsidP="00E73FF0">
      <w:pPr>
        <w:spacing w:after="200"/>
        <w:ind w:firstLine="426"/>
        <w:contextualSpacing/>
        <w:jc w:val="both"/>
        <w:rPr>
          <w:rFonts w:eastAsia="Calibri"/>
          <w:sz w:val="22"/>
          <w:szCs w:val="22"/>
          <w:lang w:val="en-US" w:eastAsia="en-US"/>
        </w:rPr>
      </w:pP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Одним из основных условий получения высоких урожаев сел</w:t>
      </w:r>
      <w:r w:rsidRPr="00E73FF0">
        <w:rPr>
          <w:rFonts w:eastAsia="Calibri"/>
          <w:sz w:val="22"/>
          <w:szCs w:val="22"/>
          <w:lang w:eastAsia="en-US"/>
        </w:rPr>
        <w:t>ь</w:t>
      </w:r>
      <w:r w:rsidRPr="00E73FF0">
        <w:rPr>
          <w:rFonts w:eastAsia="Calibri"/>
          <w:sz w:val="22"/>
          <w:szCs w:val="22"/>
          <w:lang w:eastAsia="en-US"/>
        </w:rPr>
        <w:t>скохозяйственных культур является равномерное распределение растений по площади посева, которое должно осуществляться м</w:t>
      </w:r>
      <w:r w:rsidRPr="00E73FF0">
        <w:rPr>
          <w:rFonts w:eastAsia="Calibri"/>
          <w:sz w:val="22"/>
          <w:szCs w:val="22"/>
          <w:lang w:eastAsia="en-US"/>
        </w:rPr>
        <w:t>е</w:t>
      </w:r>
      <w:r w:rsidRPr="00E73FF0">
        <w:rPr>
          <w:rFonts w:eastAsia="Calibri"/>
          <w:sz w:val="22"/>
          <w:szCs w:val="22"/>
          <w:lang w:eastAsia="en-US"/>
        </w:rPr>
        <w:t>ханизированным путём. Для решения этой проблемы необходимо применять точный посев семян, что вызвало необходимость созд</w:t>
      </w:r>
      <w:r w:rsidRPr="00E73FF0">
        <w:rPr>
          <w:rFonts w:eastAsia="Calibri"/>
          <w:sz w:val="22"/>
          <w:szCs w:val="22"/>
          <w:lang w:eastAsia="en-US"/>
        </w:rPr>
        <w:t>а</w:t>
      </w:r>
      <w:r w:rsidRPr="00E73FF0">
        <w:rPr>
          <w:rFonts w:eastAsia="Calibri"/>
          <w:sz w:val="22"/>
          <w:szCs w:val="22"/>
          <w:lang w:eastAsia="en-US"/>
        </w:rPr>
        <w:t>ния новых сеялок и высевающих аппаратов к ним.</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Нами лаборатории кафедры «ПриМА» Кубанского ГАУ изуч</w:t>
      </w:r>
      <w:r w:rsidRPr="00E73FF0">
        <w:rPr>
          <w:rFonts w:eastAsia="Calibri"/>
          <w:sz w:val="22"/>
          <w:szCs w:val="22"/>
          <w:lang w:eastAsia="en-US"/>
        </w:rPr>
        <w:t>а</w:t>
      </w:r>
      <w:r w:rsidRPr="00E73FF0">
        <w:rPr>
          <w:rFonts w:eastAsia="Calibri"/>
          <w:sz w:val="22"/>
          <w:szCs w:val="22"/>
          <w:lang w:eastAsia="en-US"/>
        </w:rPr>
        <w:t xml:space="preserve">лись два способа укладки семян в ячейке высевающего аппарата: «на ребро» и «плашмя» [1]. Наблюдением через прозрачную стенку, </w:t>
      </w:r>
      <w:r w:rsidRPr="00E73FF0">
        <w:rPr>
          <w:rFonts w:eastAsia="Calibri"/>
          <w:sz w:val="22"/>
          <w:szCs w:val="22"/>
          <w:lang w:eastAsia="en-US"/>
        </w:rPr>
        <w:lastRenderedPageBreak/>
        <w:t>определением коэффициента заполнения, фото и киносъемкой установлено, что наиболее рациональной следует считать укладку семени «на ребро». При такой укладке семя в ячейке занимает устойчивое положение, чем при укладке «плашмя». Уменьшается также площадь контакта семени, находящегося в ячейке, с семен</w:t>
      </w:r>
      <w:r w:rsidRPr="00E73FF0">
        <w:rPr>
          <w:rFonts w:eastAsia="Calibri"/>
          <w:sz w:val="22"/>
          <w:szCs w:val="22"/>
          <w:lang w:eastAsia="en-US"/>
        </w:rPr>
        <w:t>а</w:t>
      </w:r>
      <w:r w:rsidRPr="00E73FF0">
        <w:rPr>
          <w:rFonts w:eastAsia="Calibri"/>
          <w:sz w:val="22"/>
          <w:szCs w:val="22"/>
          <w:lang w:eastAsia="en-US"/>
        </w:rPr>
        <w:t>ми, прилегающими к диску. Следовательно, уменьшается вероя</w:t>
      </w:r>
      <w:r w:rsidRPr="00E73FF0">
        <w:rPr>
          <w:rFonts w:eastAsia="Calibri"/>
          <w:sz w:val="22"/>
          <w:szCs w:val="22"/>
          <w:lang w:eastAsia="en-US"/>
        </w:rPr>
        <w:t>т</w:t>
      </w:r>
      <w:r w:rsidRPr="00E73FF0">
        <w:rPr>
          <w:rFonts w:eastAsia="Calibri"/>
          <w:sz w:val="22"/>
          <w:szCs w:val="22"/>
          <w:lang w:eastAsia="en-US"/>
        </w:rPr>
        <w:t>ность извлечения семени из ячейки. При укладке семени «плашмя» наблюдалось также заполнение ячейки двумя семенами, уложи</w:t>
      </w:r>
      <w:r w:rsidRPr="00E73FF0">
        <w:rPr>
          <w:rFonts w:eastAsia="Calibri"/>
          <w:sz w:val="22"/>
          <w:szCs w:val="22"/>
          <w:lang w:eastAsia="en-US"/>
        </w:rPr>
        <w:t>в</w:t>
      </w:r>
      <w:r w:rsidRPr="00E73FF0">
        <w:rPr>
          <w:rFonts w:eastAsia="Calibri"/>
          <w:sz w:val="22"/>
          <w:szCs w:val="22"/>
          <w:lang w:eastAsia="en-US"/>
        </w:rPr>
        <w:t>шимися «на ребро». Способ укладки «стоя» для семян кукурузы и подсолнечника неприемлем, так как по длине семена не сортирую</w:t>
      </w:r>
      <w:r w:rsidRPr="00E73FF0">
        <w:rPr>
          <w:rFonts w:eastAsia="Calibri"/>
          <w:sz w:val="22"/>
          <w:szCs w:val="22"/>
          <w:lang w:eastAsia="en-US"/>
        </w:rPr>
        <w:t>т</w:t>
      </w:r>
      <w:r w:rsidRPr="00E73FF0">
        <w:rPr>
          <w:rFonts w:eastAsia="Calibri"/>
          <w:sz w:val="22"/>
          <w:szCs w:val="22"/>
          <w:lang w:eastAsia="en-US"/>
        </w:rPr>
        <w:t>ся и ориентировать семена для укладки «стоя» весьма затрудн</w:t>
      </w:r>
      <w:r w:rsidRPr="00E73FF0">
        <w:rPr>
          <w:rFonts w:eastAsia="Calibri"/>
          <w:sz w:val="22"/>
          <w:szCs w:val="22"/>
          <w:lang w:eastAsia="en-US"/>
        </w:rPr>
        <w:t>и</w:t>
      </w:r>
      <w:r w:rsidRPr="00E73FF0">
        <w:rPr>
          <w:rFonts w:eastAsia="Calibri"/>
          <w:sz w:val="22"/>
          <w:szCs w:val="22"/>
          <w:lang w:eastAsia="en-US"/>
        </w:rPr>
        <w:t>тельно. Такая укладка ведет к повышению повреждения семян и уменьшению коэффициента заполнения ячеек.</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Размеры ячеек (длина, ширина, глубина, размеры фасок и т.д.) влияют на заполнение ячеек семенами и повреждение семян в сов</w:t>
      </w:r>
      <w:r w:rsidRPr="00E73FF0">
        <w:rPr>
          <w:rFonts w:eastAsia="Calibri"/>
          <w:sz w:val="22"/>
          <w:szCs w:val="22"/>
          <w:lang w:eastAsia="en-US"/>
        </w:rPr>
        <w:t>о</w:t>
      </w:r>
      <w:r w:rsidRPr="00E73FF0">
        <w:rPr>
          <w:rFonts w:eastAsia="Calibri"/>
          <w:sz w:val="22"/>
          <w:szCs w:val="22"/>
          <w:lang w:eastAsia="en-US"/>
        </w:rPr>
        <w:t>купности своей. Нахождение оптимальных параметров следует осуществлять последовательно, задаваясь каким-либо одним пар</w:t>
      </w:r>
      <w:r w:rsidRPr="00E73FF0">
        <w:rPr>
          <w:rFonts w:eastAsia="Calibri"/>
          <w:sz w:val="22"/>
          <w:szCs w:val="22"/>
          <w:lang w:eastAsia="en-US"/>
        </w:rPr>
        <w:t>а</w:t>
      </w:r>
      <w:r w:rsidRPr="00E73FF0">
        <w:rPr>
          <w:rFonts w:eastAsia="Calibri"/>
          <w:sz w:val="22"/>
          <w:szCs w:val="22"/>
          <w:lang w:eastAsia="en-US"/>
        </w:rPr>
        <w:t>метром, оставляя другие параметры неизменными.</w:t>
      </w:r>
    </w:p>
    <w:p w:rsidR="00E73FF0" w:rsidRPr="00E73FF0" w:rsidRDefault="00E73FF0" w:rsidP="00E73FF0">
      <w:pPr>
        <w:spacing w:after="200"/>
        <w:ind w:firstLine="426"/>
        <w:contextualSpacing/>
        <w:jc w:val="both"/>
        <w:rPr>
          <w:rFonts w:eastAsia="Calibri"/>
          <w:sz w:val="22"/>
          <w:szCs w:val="22"/>
          <w:lang w:eastAsia="en-US"/>
        </w:rPr>
      </w:pPr>
      <w:r w:rsidRPr="00E73FF0">
        <w:rPr>
          <w:rFonts w:eastAsia="Calibri"/>
          <w:sz w:val="22"/>
          <w:szCs w:val="22"/>
          <w:lang w:eastAsia="en-US"/>
        </w:rPr>
        <w:t>По вариационным кривым найдены ориентировочные размеры ячеек, а затем уточнены экспериментальной проверкой. Семена к</w:t>
      </w:r>
      <w:r w:rsidRPr="00E73FF0">
        <w:rPr>
          <w:rFonts w:eastAsia="Calibri"/>
          <w:sz w:val="22"/>
          <w:szCs w:val="22"/>
          <w:lang w:eastAsia="en-US"/>
        </w:rPr>
        <w:t>у</w:t>
      </w:r>
      <w:r w:rsidRPr="00E73FF0">
        <w:rPr>
          <w:rFonts w:eastAsia="Calibri"/>
          <w:sz w:val="22"/>
          <w:szCs w:val="22"/>
          <w:lang w:eastAsia="en-US"/>
        </w:rPr>
        <w:t>курузы и подсолнечника легко повреждаются, поэтому требуют б</w:t>
      </w:r>
      <w:r w:rsidRPr="00E73FF0">
        <w:rPr>
          <w:rFonts w:eastAsia="Calibri"/>
          <w:sz w:val="22"/>
          <w:szCs w:val="22"/>
          <w:lang w:eastAsia="en-US"/>
        </w:rPr>
        <w:t>о</w:t>
      </w:r>
      <w:r w:rsidRPr="00E73FF0">
        <w:rPr>
          <w:rFonts w:eastAsia="Calibri"/>
          <w:sz w:val="22"/>
          <w:szCs w:val="22"/>
          <w:lang w:eastAsia="en-US"/>
        </w:rPr>
        <w:t>лее точного подбора размера ячеек.</w:t>
      </w:r>
    </w:p>
    <w:p w:rsidR="00573255" w:rsidRDefault="00573255" w:rsidP="00E73FF0">
      <w:pPr>
        <w:spacing w:after="240"/>
        <w:contextualSpacing/>
        <w:jc w:val="center"/>
        <w:rPr>
          <w:rFonts w:eastAsia="Calibri"/>
          <w:sz w:val="22"/>
          <w:szCs w:val="22"/>
          <w:lang w:eastAsia="en-US"/>
        </w:rPr>
      </w:pPr>
    </w:p>
    <w:p w:rsidR="00E73FF0" w:rsidRPr="00E73FF0" w:rsidRDefault="00E73FF0" w:rsidP="00E73FF0">
      <w:pPr>
        <w:spacing w:after="240"/>
        <w:contextualSpacing/>
        <w:jc w:val="center"/>
        <w:rPr>
          <w:rFonts w:eastAsia="Calibri"/>
          <w:sz w:val="22"/>
          <w:szCs w:val="22"/>
          <w:lang w:eastAsia="en-US"/>
        </w:rPr>
      </w:pPr>
      <w:r w:rsidRPr="00E73FF0">
        <w:rPr>
          <w:rFonts w:eastAsia="Calibri"/>
          <w:sz w:val="22"/>
          <w:szCs w:val="22"/>
          <w:lang w:eastAsia="en-US"/>
        </w:rPr>
        <w:t>Список литературы</w:t>
      </w:r>
    </w:p>
    <w:p w:rsidR="00E73FF0" w:rsidRPr="00E73FF0" w:rsidRDefault="00E73FF0" w:rsidP="00E73FF0">
      <w:pPr>
        <w:spacing w:after="240"/>
        <w:ind w:firstLine="426"/>
        <w:contextualSpacing/>
        <w:jc w:val="both"/>
        <w:rPr>
          <w:rFonts w:eastAsia="Calibri"/>
          <w:bCs/>
          <w:sz w:val="22"/>
          <w:szCs w:val="22"/>
          <w:lang w:eastAsia="en-US"/>
        </w:rPr>
      </w:pPr>
      <w:r w:rsidRPr="00E73FF0">
        <w:rPr>
          <w:rFonts w:eastAsia="Calibri"/>
          <w:bCs/>
          <w:sz w:val="22"/>
          <w:szCs w:val="22"/>
          <w:lang w:eastAsia="en-US"/>
        </w:rPr>
        <w:t xml:space="preserve">1. </w:t>
      </w:r>
      <w:hyperlink r:id="rId103" w:history="1">
        <w:r w:rsidRPr="00E73FF0">
          <w:rPr>
            <w:rFonts w:eastAsia="Calibri"/>
            <w:bCs/>
            <w:sz w:val="22"/>
            <w:szCs w:val="22"/>
            <w:lang w:eastAsia="en-US"/>
          </w:rPr>
          <w:t>Методика экспериментальных исследований распределителя семян пневматической сеялки</w:t>
        </w:r>
      </w:hyperlink>
      <w:r w:rsidRPr="00E73FF0">
        <w:rPr>
          <w:rFonts w:eastAsia="Calibri"/>
          <w:bCs/>
          <w:sz w:val="22"/>
          <w:szCs w:val="22"/>
          <w:lang w:eastAsia="en-US"/>
        </w:rPr>
        <w:t>. Богус А.Э. В сборнике: </w:t>
      </w:r>
      <w:hyperlink r:id="rId104" w:history="1">
        <w:r w:rsidRPr="00E73FF0">
          <w:rPr>
            <w:rFonts w:eastAsia="Calibri"/>
            <w:bCs/>
            <w:sz w:val="22"/>
            <w:szCs w:val="22"/>
            <w:lang w:eastAsia="en-US"/>
          </w:rPr>
          <w:t>Научное обеспечение агропромышленного комплекса</w:t>
        </w:r>
      </w:hyperlink>
      <w:r w:rsidRPr="00E73FF0">
        <w:rPr>
          <w:rFonts w:eastAsia="Calibri"/>
          <w:bCs/>
          <w:sz w:val="22"/>
          <w:szCs w:val="22"/>
          <w:lang w:eastAsia="en-US"/>
        </w:rPr>
        <w:t> Сборник статей по м</w:t>
      </w:r>
      <w:r w:rsidRPr="00E73FF0">
        <w:rPr>
          <w:rFonts w:eastAsia="Calibri"/>
          <w:bCs/>
          <w:sz w:val="22"/>
          <w:szCs w:val="22"/>
          <w:lang w:eastAsia="en-US"/>
        </w:rPr>
        <w:t>а</w:t>
      </w:r>
      <w:r w:rsidRPr="00E73FF0">
        <w:rPr>
          <w:rFonts w:eastAsia="Calibri"/>
          <w:bCs/>
          <w:sz w:val="22"/>
          <w:szCs w:val="22"/>
          <w:lang w:eastAsia="en-US"/>
        </w:rPr>
        <w:t>териалам IX Всероссийской конференции молодых ученых. Отве</w:t>
      </w:r>
      <w:r w:rsidRPr="00E73FF0">
        <w:rPr>
          <w:rFonts w:eastAsia="Calibri"/>
          <w:bCs/>
          <w:sz w:val="22"/>
          <w:szCs w:val="22"/>
          <w:lang w:eastAsia="en-US"/>
        </w:rPr>
        <w:t>т</w:t>
      </w:r>
      <w:r w:rsidRPr="00E73FF0">
        <w:rPr>
          <w:rFonts w:eastAsia="Calibri"/>
          <w:bCs/>
          <w:sz w:val="22"/>
          <w:szCs w:val="22"/>
          <w:lang w:eastAsia="en-US"/>
        </w:rPr>
        <w:t>ственный за выпуск: А.Г. Кощаев. 2016. С. 323-324.</w:t>
      </w:r>
    </w:p>
    <w:p w:rsidR="00E73FF0" w:rsidRDefault="00E73FF0" w:rsidP="00B43BBC">
      <w:pPr>
        <w:pStyle w:val="31"/>
        <w:rPr>
          <w:sz w:val="22"/>
          <w:szCs w:val="22"/>
        </w:rPr>
      </w:pPr>
    </w:p>
    <w:p w:rsidR="00573255" w:rsidRDefault="00573255" w:rsidP="00B43BBC">
      <w:pPr>
        <w:pStyle w:val="31"/>
        <w:rPr>
          <w:sz w:val="22"/>
          <w:szCs w:val="22"/>
        </w:rPr>
      </w:pPr>
    </w:p>
    <w:p w:rsidR="00F81674" w:rsidRDefault="00F81674" w:rsidP="00B43BBC">
      <w:pPr>
        <w:pStyle w:val="31"/>
        <w:rPr>
          <w:sz w:val="22"/>
          <w:szCs w:val="22"/>
        </w:rPr>
      </w:pPr>
    </w:p>
    <w:p w:rsidR="00F81674" w:rsidRDefault="00F81674" w:rsidP="00B43BBC">
      <w:pPr>
        <w:pStyle w:val="31"/>
        <w:rPr>
          <w:sz w:val="22"/>
          <w:szCs w:val="22"/>
        </w:rPr>
      </w:pPr>
    </w:p>
    <w:p w:rsidR="00F81674" w:rsidRDefault="00F81674" w:rsidP="00B43BBC">
      <w:pPr>
        <w:pStyle w:val="31"/>
        <w:rPr>
          <w:sz w:val="22"/>
          <w:szCs w:val="22"/>
        </w:rPr>
      </w:pPr>
    </w:p>
    <w:p w:rsidR="00F81674" w:rsidRDefault="00F81674" w:rsidP="00B43BBC">
      <w:pPr>
        <w:pStyle w:val="31"/>
        <w:rPr>
          <w:sz w:val="22"/>
          <w:szCs w:val="22"/>
        </w:rPr>
      </w:pPr>
    </w:p>
    <w:p w:rsidR="00F81674" w:rsidRDefault="00F81674" w:rsidP="00B43BBC">
      <w:pPr>
        <w:pStyle w:val="31"/>
        <w:rPr>
          <w:sz w:val="22"/>
          <w:szCs w:val="22"/>
        </w:rPr>
      </w:pPr>
    </w:p>
    <w:p w:rsidR="00F81674" w:rsidRDefault="00F81674" w:rsidP="00B43BBC">
      <w:pPr>
        <w:pStyle w:val="31"/>
        <w:rPr>
          <w:sz w:val="22"/>
          <w:szCs w:val="22"/>
        </w:rPr>
      </w:pPr>
    </w:p>
    <w:p w:rsidR="00E73FF0" w:rsidRPr="00E73FF0" w:rsidRDefault="00E73FF0" w:rsidP="00E73FF0">
      <w:pPr>
        <w:widowControl w:val="0"/>
        <w:rPr>
          <w:rFonts w:eastAsia="Courier New"/>
          <w:color w:val="000000"/>
          <w:sz w:val="22"/>
          <w:szCs w:val="22"/>
          <w:lang w:eastAsia="en-US"/>
        </w:rPr>
      </w:pPr>
      <w:r w:rsidRPr="00E73FF0">
        <w:rPr>
          <w:rFonts w:eastAsia="Courier New"/>
          <w:color w:val="000000"/>
          <w:sz w:val="22"/>
          <w:szCs w:val="22"/>
          <w:lang w:eastAsia="en-US"/>
        </w:rPr>
        <w:lastRenderedPageBreak/>
        <w:t>УДК 631.354.2(075.8)</w:t>
      </w:r>
    </w:p>
    <w:p w:rsidR="00E73FF0" w:rsidRPr="00E73FF0" w:rsidRDefault="00E73FF0" w:rsidP="00E73FF0">
      <w:pPr>
        <w:widowControl w:val="0"/>
        <w:rPr>
          <w:rFonts w:eastAsia="Courier New"/>
          <w:color w:val="000000"/>
          <w:sz w:val="22"/>
          <w:szCs w:val="22"/>
          <w:lang w:eastAsia="en-US"/>
        </w:rPr>
      </w:pPr>
    </w:p>
    <w:p w:rsidR="00E73FF0" w:rsidRPr="00E73FF0" w:rsidRDefault="00E73FF0" w:rsidP="00E73FF0">
      <w:pPr>
        <w:widowControl w:val="0"/>
        <w:jc w:val="center"/>
        <w:rPr>
          <w:rFonts w:eastAsia="Courier New"/>
          <w:b/>
          <w:color w:val="000000"/>
          <w:sz w:val="24"/>
          <w:szCs w:val="24"/>
          <w:lang w:eastAsia="en-US"/>
        </w:rPr>
      </w:pPr>
      <w:r w:rsidRPr="00E73FF0">
        <w:rPr>
          <w:rFonts w:eastAsia="Courier New"/>
          <w:b/>
          <w:color w:val="000000"/>
          <w:sz w:val="24"/>
          <w:szCs w:val="24"/>
          <w:lang w:eastAsia="en-US"/>
        </w:rPr>
        <w:t xml:space="preserve">Математическая модель оптимизации параметров </w:t>
      </w:r>
      <w:r w:rsidR="00573255">
        <w:rPr>
          <w:rFonts w:eastAsia="Courier New"/>
          <w:b/>
          <w:color w:val="000000"/>
          <w:sz w:val="24"/>
          <w:szCs w:val="24"/>
          <w:lang w:eastAsia="en-US"/>
        </w:rPr>
        <w:br/>
      </w:r>
      <w:r w:rsidRPr="00E73FF0">
        <w:rPr>
          <w:rFonts w:eastAsia="Courier New"/>
          <w:b/>
          <w:color w:val="000000"/>
          <w:sz w:val="24"/>
          <w:szCs w:val="24"/>
          <w:lang w:eastAsia="en-US"/>
        </w:rPr>
        <w:t xml:space="preserve">зерноуборочного комбайна с универсальным режущим </w:t>
      </w:r>
      <w:r w:rsidR="00573255">
        <w:rPr>
          <w:rFonts w:eastAsia="Courier New"/>
          <w:b/>
          <w:color w:val="000000"/>
          <w:sz w:val="24"/>
          <w:szCs w:val="24"/>
          <w:lang w:eastAsia="en-US"/>
        </w:rPr>
        <w:br/>
      </w:r>
      <w:r w:rsidRPr="00E73FF0">
        <w:rPr>
          <w:rFonts w:eastAsia="Courier New"/>
          <w:b/>
          <w:color w:val="000000"/>
          <w:sz w:val="24"/>
          <w:szCs w:val="24"/>
          <w:lang w:eastAsia="en-US"/>
        </w:rPr>
        <w:t>аппаратом в составе уборочно-транспортного звена</w:t>
      </w:r>
    </w:p>
    <w:p w:rsidR="00E73FF0" w:rsidRPr="00024398" w:rsidRDefault="00573255" w:rsidP="00E73FF0">
      <w:pPr>
        <w:widowControl w:val="0"/>
        <w:jc w:val="center"/>
        <w:rPr>
          <w:rFonts w:eastAsia="Courier New"/>
          <w:b/>
          <w:color w:val="000000"/>
          <w:sz w:val="24"/>
          <w:szCs w:val="24"/>
          <w:lang w:val="en-US" w:eastAsia="en-US"/>
        </w:rPr>
      </w:pPr>
      <w:r w:rsidRPr="00573255">
        <w:rPr>
          <w:rFonts w:eastAsia="Courier New"/>
          <w:b/>
          <w:color w:val="000000"/>
          <w:sz w:val="24"/>
          <w:szCs w:val="24"/>
          <w:lang w:val="en-US" w:eastAsia="en-US"/>
        </w:rPr>
        <w:t>Mathematical model of parameter optimizationcombine ha</w:t>
      </w:r>
      <w:r w:rsidRPr="00573255">
        <w:rPr>
          <w:rFonts w:eastAsia="Courier New"/>
          <w:b/>
          <w:color w:val="000000"/>
          <w:sz w:val="24"/>
          <w:szCs w:val="24"/>
          <w:lang w:val="en-US" w:eastAsia="en-US"/>
        </w:rPr>
        <w:t>r</w:t>
      </w:r>
      <w:r w:rsidRPr="00573255">
        <w:rPr>
          <w:rFonts w:eastAsia="Courier New"/>
          <w:b/>
          <w:color w:val="000000"/>
          <w:sz w:val="24"/>
          <w:szCs w:val="24"/>
          <w:lang w:val="en-US" w:eastAsia="en-US"/>
        </w:rPr>
        <w:t>vester with universal cuttingas a part of the harvesting and transport link</w:t>
      </w:r>
    </w:p>
    <w:p w:rsidR="00573255" w:rsidRPr="00024398" w:rsidRDefault="00573255" w:rsidP="00E73FF0">
      <w:pPr>
        <w:widowControl w:val="0"/>
        <w:jc w:val="center"/>
        <w:rPr>
          <w:rFonts w:eastAsia="Courier New"/>
          <w:b/>
          <w:color w:val="000000"/>
          <w:sz w:val="24"/>
          <w:szCs w:val="24"/>
          <w:lang w:val="en-US" w:eastAsia="en-US"/>
        </w:rPr>
      </w:pP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Разгонов Г. В.,</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магистрант 1-го курса факультета механизации</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Труфляк И. С.,</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соискатель кафедры процессы и машины в агробизнесе</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 xml:space="preserve">Кубанский государственный аграрный </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E73FF0" w:rsidRPr="00E73FF0" w:rsidRDefault="00E73FF0" w:rsidP="00E73FF0">
      <w:pPr>
        <w:widowControl w:val="0"/>
        <w:tabs>
          <w:tab w:val="left" w:pos="8223"/>
        </w:tabs>
        <w:jc w:val="right"/>
        <w:rPr>
          <w:rFonts w:eastAsia="Courier New"/>
          <w:color w:val="000000"/>
          <w:sz w:val="22"/>
          <w:szCs w:val="22"/>
          <w:lang w:eastAsia="en-US"/>
        </w:rPr>
      </w:pP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АННОТАЦИЯ: Разработана математическая модель оптимиз</w:t>
      </w:r>
      <w:r w:rsidRPr="00E73FF0">
        <w:rPr>
          <w:rFonts w:eastAsia="Courier New"/>
          <w:color w:val="000000"/>
          <w:sz w:val="22"/>
          <w:szCs w:val="22"/>
          <w:lang w:eastAsia="en-US"/>
        </w:rPr>
        <w:t>а</w:t>
      </w:r>
      <w:r w:rsidRPr="00E73FF0">
        <w:rPr>
          <w:rFonts w:eastAsia="Courier New"/>
          <w:color w:val="000000"/>
          <w:sz w:val="22"/>
          <w:szCs w:val="22"/>
          <w:lang w:eastAsia="en-US"/>
        </w:rPr>
        <w:t>ции параметров и режимов работы зерноуборочного комбайна со шнековым режущим аппаратом в составе уборочно-транспортного звена.</w:t>
      </w:r>
    </w:p>
    <w:p w:rsidR="00E73FF0" w:rsidRPr="00E73FF0" w:rsidRDefault="00E73FF0" w:rsidP="00E73FF0">
      <w:pPr>
        <w:widowControl w:val="0"/>
        <w:tabs>
          <w:tab w:val="left" w:pos="8223"/>
        </w:tabs>
        <w:ind w:firstLine="426"/>
        <w:jc w:val="both"/>
        <w:rPr>
          <w:rFonts w:ascii="Tahoma" w:eastAsia="Courier New" w:hAnsi="Tahoma" w:cs="Tahoma"/>
          <w:color w:val="000000"/>
          <w:sz w:val="22"/>
          <w:szCs w:val="22"/>
          <w:shd w:val="clear" w:color="auto" w:fill="FFFFFF"/>
          <w:lang w:val="en-US" w:eastAsia="en-US"/>
        </w:rPr>
      </w:pPr>
      <w:r w:rsidRPr="00E73FF0">
        <w:rPr>
          <w:rFonts w:eastAsia="Courier New"/>
          <w:color w:val="000000"/>
          <w:sz w:val="22"/>
          <w:szCs w:val="22"/>
          <w:lang w:val="en-US" w:eastAsia="en-US"/>
        </w:rPr>
        <w:t>ABSTRACT:</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shd w:val="clear" w:color="auto" w:fill="FFFFFF"/>
          <w:lang w:val="en-US" w:eastAsia="en-US"/>
        </w:rPr>
        <w:t>The mathematical model of optimization of param</w:t>
      </w:r>
      <w:r w:rsidRPr="00E73FF0">
        <w:rPr>
          <w:rFonts w:eastAsia="Courier New"/>
          <w:color w:val="000000"/>
          <w:sz w:val="22"/>
          <w:szCs w:val="22"/>
          <w:shd w:val="clear" w:color="auto" w:fill="FFFFFF"/>
          <w:lang w:val="en-US" w:eastAsia="en-US"/>
        </w:rPr>
        <w:t>e</w:t>
      </w:r>
      <w:r w:rsidRPr="00E73FF0">
        <w:rPr>
          <w:rFonts w:eastAsia="Courier New"/>
          <w:color w:val="000000"/>
          <w:sz w:val="22"/>
          <w:szCs w:val="22"/>
          <w:shd w:val="clear" w:color="auto" w:fill="FFFFFF"/>
          <w:lang w:val="en-US" w:eastAsia="en-US"/>
        </w:rPr>
        <w:t>ters and operating modes of the combine harvester with the shnekovy cutting device as a part of a harvest and transport link is developed.</w:t>
      </w: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КЛЮЧЕВЫЕ СЛОВА: математическая модель, режущий апп</w:t>
      </w:r>
      <w:r w:rsidRPr="00E73FF0">
        <w:rPr>
          <w:rFonts w:eastAsia="Courier New"/>
          <w:color w:val="000000"/>
          <w:sz w:val="22"/>
          <w:szCs w:val="22"/>
          <w:lang w:eastAsia="en-US"/>
        </w:rPr>
        <w:t>а</w:t>
      </w:r>
      <w:r w:rsidRPr="00E73FF0">
        <w:rPr>
          <w:rFonts w:eastAsia="Courier New"/>
          <w:color w:val="000000"/>
          <w:sz w:val="22"/>
          <w:szCs w:val="22"/>
          <w:lang w:eastAsia="en-US"/>
        </w:rPr>
        <w:t>рат, комбайн, уборочно-транспортное звено, оптимизация, алг</w:t>
      </w:r>
      <w:r w:rsidRPr="00E73FF0">
        <w:rPr>
          <w:rFonts w:eastAsia="Courier New"/>
          <w:color w:val="000000"/>
          <w:sz w:val="22"/>
          <w:szCs w:val="22"/>
          <w:lang w:eastAsia="en-US"/>
        </w:rPr>
        <w:t>о</w:t>
      </w:r>
      <w:r w:rsidRPr="00E73FF0">
        <w:rPr>
          <w:rFonts w:eastAsia="Courier New"/>
          <w:color w:val="000000"/>
          <w:sz w:val="22"/>
          <w:szCs w:val="22"/>
          <w:lang w:eastAsia="en-US"/>
        </w:rPr>
        <w:t>ритм.</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val="en-US" w:eastAsia="en-US"/>
        </w:rPr>
        <w:t>KEYWORDS:</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lang w:val="en-US" w:eastAsia="en-US"/>
        </w:rPr>
        <w:t>mathematical model, the cutting device, the co</w:t>
      </w:r>
      <w:r w:rsidRPr="00E73FF0">
        <w:rPr>
          <w:rFonts w:eastAsia="Courier New"/>
          <w:color w:val="000000"/>
          <w:sz w:val="22"/>
          <w:szCs w:val="22"/>
          <w:lang w:val="en-US" w:eastAsia="en-US"/>
        </w:rPr>
        <w:t>m</w:t>
      </w:r>
      <w:r w:rsidRPr="00E73FF0">
        <w:rPr>
          <w:rFonts w:eastAsia="Courier New"/>
          <w:color w:val="000000"/>
          <w:sz w:val="22"/>
          <w:szCs w:val="22"/>
          <w:lang w:val="en-US" w:eastAsia="en-US"/>
        </w:rPr>
        <w:t>bine, harvest and transport link, optimization, algorithm.</w:t>
      </w:r>
    </w:p>
    <w:p w:rsidR="00E73FF0" w:rsidRPr="00E73FF0" w:rsidRDefault="00E73FF0" w:rsidP="00E73FF0">
      <w:pPr>
        <w:autoSpaceDE w:val="0"/>
        <w:autoSpaceDN w:val="0"/>
        <w:adjustRightInd w:val="0"/>
        <w:ind w:firstLine="426"/>
        <w:jc w:val="both"/>
        <w:rPr>
          <w:rFonts w:eastAsia="Courier New"/>
          <w:color w:val="000000"/>
          <w:sz w:val="22"/>
          <w:szCs w:val="22"/>
          <w:lang w:val="en-US" w:eastAsia="en-US"/>
        </w:rPr>
      </w:pPr>
    </w:p>
    <w:p w:rsidR="00E73FF0" w:rsidRPr="00E73FF0" w:rsidRDefault="00E73FF0" w:rsidP="00E73FF0">
      <w:pPr>
        <w:autoSpaceDE w:val="0"/>
        <w:autoSpaceDN w:val="0"/>
        <w:adjustRightInd w:val="0"/>
        <w:ind w:firstLine="426"/>
        <w:jc w:val="both"/>
        <w:rPr>
          <w:rFonts w:eastAsia="Calibri" w:cs="Arial"/>
          <w:color w:val="000000"/>
          <w:sz w:val="22"/>
          <w:szCs w:val="22"/>
          <w:lang w:eastAsia="en-US"/>
        </w:rPr>
      </w:pPr>
      <w:r w:rsidRPr="00E73FF0">
        <w:rPr>
          <w:rFonts w:eastAsia="Calibri" w:cs="Arial"/>
          <w:color w:val="000000"/>
          <w:sz w:val="22"/>
          <w:szCs w:val="22"/>
          <w:lang w:eastAsia="en-US"/>
        </w:rPr>
        <w:t>В целях повышения эффективности работы зерноуборочных комбайнов необходимо совершенствовать технологии и технич</w:t>
      </w:r>
      <w:r w:rsidRPr="00E73FF0">
        <w:rPr>
          <w:rFonts w:eastAsia="Calibri" w:cs="Arial"/>
          <w:color w:val="000000"/>
          <w:sz w:val="22"/>
          <w:szCs w:val="22"/>
          <w:lang w:eastAsia="en-US"/>
        </w:rPr>
        <w:t>е</w:t>
      </w:r>
      <w:r w:rsidRPr="00E73FF0">
        <w:rPr>
          <w:rFonts w:eastAsia="Calibri" w:cs="Arial"/>
          <w:color w:val="000000"/>
          <w:sz w:val="22"/>
          <w:szCs w:val="22"/>
          <w:lang w:eastAsia="en-US"/>
        </w:rPr>
        <w:t>ские средства, использовать принципы ресурсосбережения, униве</w:t>
      </w:r>
      <w:r w:rsidRPr="00E73FF0">
        <w:rPr>
          <w:rFonts w:eastAsia="Calibri" w:cs="Arial"/>
          <w:color w:val="000000"/>
          <w:sz w:val="22"/>
          <w:szCs w:val="22"/>
          <w:lang w:eastAsia="en-US"/>
        </w:rPr>
        <w:t>р</w:t>
      </w:r>
      <w:r w:rsidRPr="00E73FF0">
        <w:rPr>
          <w:rFonts w:eastAsia="Calibri" w:cs="Arial"/>
          <w:color w:val="000000"/>
          <w:sz w:val="22"/>
          <w:szCs w:val="22"/>
          <w:lang w:eastAsia="en-US"/>
        </w:rPr>
        <w:t>сальности и многофункциональности</w:t>
      </w:r>
      <w:r w:rsidRPr="00E73FF0">
        <w:rPr>
          <w:rFonts w:eastAsia="Courier New"/>
          <w:color w:val="000000"/>
          <w:sz w:val="22"/>
          <w:szCs w:val="22"/>
          <w:lang w:eastAsia="en-US"/>
        </w:rPr>
        <w:t xml:space="preserve"> [1, 2]</w:t>
      </w:r>
      <w:r w:rsidRPr="00E73FF0">
        <w:rPr>
          <w:rFonts w:eastAsia="Calibri" w:cs="Arial"/>
          <w:color w:val="000000"/>
          <w:sz w:val="22"/>
          <w:szCs w:val="22"/>
          <w:lang w:eastAsia="en-US"/>
        </w:rPr>
        <w:t>.</w:t>
      </w:r>
    </w:p>
    <w:p w:rsidR="00E73FF0" w:rsidRPr="00E73FF0" w:rsidRDefault="00E73FF0" w:rsidP="00E73FF0">
      <w:pPr>
        <w:autoSpaceDE w:val="0"/>
        <w:autoSpaceDN w:val="0"/>
        <w:adjustRightInd w:val="0"/>
        <w:ind w:firstLine="425"/>
        <w:jc w:val="both"/>
        <w:rPr>
          <w:rFonts w:eastAsia="Calibri"/>
          <w:color w:val="000000"/>
          <w:sz w:val="22"/>
          <w:szCs w:val="22"/>
          <w:lang w:eastAsia="en-US"/>
        </w:rPr>
      </w:pPr>
      <w:r w:rsidRPr="00E73FF0">
        <w:rPr>
          <w:rFonts w:eastAsia="Calibri" w:cs="Arial"/>
          <w:color w:val="000000"/>
          <w:sz w:val="22"/>
          <w:szCs w:val="22"/>
          <w:lang w:eastAsia="en-US"/>
        </w:rPr>
        <w:t>Модернизирована жатка зерноуборочного комбайна, которая содержит шнек, диаметр которого соизмерим с высотой стеблей пшеницы, выполненный с противорежущими сегментами, име</w:t>
      </w:r>
      <w:r w:rsidRPr="00E73FF0">
        <w:rPr>
          <w:rFonts w:eastAsia="Calibri" w:cs="Arial"/>
          <w:color w:val="000000"/>
          <w:sz w:val="22"/>
          <w:szCs w:val="22"/>
          <w:lang w:eastAsia="en-US"/>
        </w:rPr>
        <w:t>ю</w:t>
      </w:r>
      <w:r w:rsidRPr="00E73FF0">
        <w:rPr>
          <w:rFonts w:eastAsia="Calibri" w:cs="Arial"/>
          <w:color w:val="000000"/>
          <w:sz w:val="22"/>
          <w:szCs w:val="22"/>
          <w:lang w:eastAsia="en-US"/>
        </w:rPr>
        <w:t>щий лево- и правостороннее направление навивки. Делители в</w:t>
      </w:r>
      <w:r w:rsidRPr="00E73FF0">
        <w:rPr>
          <w:rFonts w:eastAsia="Calibri" w:cs="Arial"/>
          <w:color w:val="000000"/>
          <w:sz w:val="22"/>
          <w:szCs w:val="22"/>
          <w:lang w:eastAsia="en-US"/>
        </w:rPr>
        <w:t>ы</w:t>
      </w:r>
      <w:r w:rsidRPr="00E73FF0">
        <w:rPr>
          <w:rFonts w:eastAsia="Calibri" w:cs="Arial"/>
          <w:color w:val="000000"/>
          <w:sz w:val="22"/>
          <w:szCs w:val="22"/>
          <w:lang w:eastAsia="en-US"/>
        </w:rPr>
        <w:lastRenderedPageBreak/>
        <w:t xml:space="preserve">полнены в виде равнобедренного треугольника, боковые стороны которого содержат насечку, направленную против направления движения </w:t>
      </w:r>
      <w:r w:rsidRPr="00E73FF0">
        <w:rPr>
          <w:rFonts w:eastAsia="Calibri"/>
          <w:color w:val="000000"/>
          <w:sz w:val="22"/>
          <w:szCs w:val="22"/>
          <w:lang w:eastAsia="en-US"/>
        </w:rPr>
        <w:t>комбайна под углом меньшим угла трения стеблей пш</w:t>
      </w:r>
      <w:r w:rsidRPr="00E73FF0">
        <w:rPr>
          <w:rFonts w:eastAsia="Calibri"/>
          <w:color w:val="000000"/>
          <w:sz w:val="22"/>
          <w:szCs w:val="22"/>
          <w:lang w:eastAsia="en-US"/>
        </w:rPr>
        <w:t>е</w:t>
      </w:r>
      <w:r w:rsidRPr="00E73FF0">
        <w:rPr>
          <w:rFonts w:eastAsia="Calibri"/>
          <w:color w:val="000000"/>
          <w:sz w:val="22"/>
          <w:szCs w:val="22"/>
          <w:lang w:eastAsia="en-US"/>
        </w:rPr>
        <w:t>ницы по стали, причем нижняя сторона делителей кратна шагу се</w:t>
      </w:r>
      <w:r w:rsidRPr="00E73FF0">
        <w:rPr>
          <w:rFonts w:eastAsia="Calibri"/>
          <w:color w:val="000000"/>
          <w:sz w:val="22"/>
          <w:szCs w:val="22"/>
          <w:lang w:eastAsia="en-US"/>
        </w:rPr>
        <w:t>г</w:t>
      </w:r>
      <w:r w:rsidRPr="00E73FF0">
        <w:rPr>
          <w:rFonts w:eastAsia="Calibri"/>
          <w:color w:val="000000"/>
          <w:sz w:val="22"/>
          <w:szCs w:val="22"/>
          <w:lang w:eastAsia="en-US"/>
        </w:rPr>
        <w:t>ментов (Патенты 2529157 и 162559 РФ. Жатка зерноуборочного комбайна).</w:t>
      </w:r>
    </w:p>
    <w:p w:rsidR="00E73FF0" w:rsidRPr="00E73FF0" w:rsidRDefault="00E73FF0" w:rsidP="00E73FF0">
      <w:pPr>
        <w:ind w:firstLine="425"/>
        <w:jc w:val="both"/>
        <w:rPr>
          <w:rFonts w:eastAsia="Calibri"/>
          <w:color w:val="000000"/>
          <w:sz w:val="22"/>
          <w:szCs w:val="22"/>
          <w:lang w:eastAsia="en-US"/>
        </w:rPr>
      </w:pPr>
      <w:proofErr w:type="gramStart"/>
      <w:r w:rsidRPr="00E73FF0">
        <w:rPr>
          <w:rFonts w:eastAsia="Calibri"/>
          <w:color w:val="000000"/>
          <w:sz w:val="22"/>
          <w:szCs w:val="22"/>
          <w:lang w:eastAsia="en-US"/>
        </w:rPr>
        <w:t>По данным Г. Г. Маслова и Е. И. Трубилина математическая модель оптимизации параметров технических средств уборочно-транспортного звена и их режимов работы объединяет технологич</w:t>
      </w:r>
      <w:r w:rsidRPr="00E73FF0">
        <w:rPr>
          <w:rFonts w:eastAsia="Calibri"/>
          <w:color w:val="000000"/>
          <w:sz w:val="22"/>
          <w:szCs w:val="22"/>
          <w:lang w:eastAsia="en-US"/>
        </w:rPr>
        <w:t>е</w:t>
      </w:r>
      <w:r w:rsidRPr="00E73FF0">
        <w:rPr>
          <w:rFonts w:eastAsia="Calibri"/>
          <w:color w:val="000000"/>
          <w:sz w:val="22"/>
          <w:szCs w:val="22"/>
          <w:lang w:eastAsia="en-US"/>
        </w:rPr>
        <w:t>ские и производственные условия (</w:t>
      </w:r>
      <w:r w:rsidRPr="00E73FF0">
        <w:rPr>
          <w:rFonts w:eastAsia="Calibri"/>
          <w:color w:val="000000"/>
          <w:sz w:val="22"/>
          <w:szCs w:val="22"/>
          <w:lang w:val="en-US" w:eastAsia="en-US"/>
        </w:rPr>
        <w:t>F</w:t>
      </w:r>
      <w:r w:rsidRPr="00E73FF0">
        <w:rPr>
          <w:rFonts w:eastAsia="Calibri"/>
          <w:color w:val="000000"/>
          <w:sz w:val="22"/>
          <w:szCs w:val="22"/>
          <w:lang w:eastAsia="en-US"/>
        </w:rPr>
        <w:t xml:space="preserve">, </w:t>
      </w:r>
      <w:r w:rsidRPr="00E73FF0">
        <w:rPr>
          <w:rFonts w:eastAsia="Calibri"/>
          <w:color w:val="000000"/>
          <w:sz w:val="22"/>
          <w:szCs w:val="22"/>
          <w:lang w:val="en-US" w:eastAsia="en-US"/>
        </w:rPr>
        <w:t>U</w:t>
      </w:r>
      <w:r w:rsidRPr="00E73FF0">
        <w:rPr>
          <w:rFonts w:eastAsia="Calibri"/>
          <w:color w:val="000000"/>
          <w:sz w:val="22"/>
          <w:szCs w:val="22"/>
          <w:lang w:eastAsia="en-US"/>
        </w:rPr>
        <w:t xml:space="preserve">, </w:t>
      </w:r>
      <w:r w:rsidRPr="00E73FF0">
        <w:rPr>
          <w:rFonts w:eastAsia="Calibri"/>
          <w:color w:val="000000"/>
          <w:sz w:val="22"/>
          <w:szCs w:val="22"/>
          <w:lang w:val="en-US" w:eastAsia="en-US"/>
        </w:rPr>
        <w:t>L</w:t>
      </w:r>
      <w:r w:rsidRPr="00E73FF0">
        <w:rPr>
          <w:rFonts w:eastAsia="Calibri"/>
          <w:color w:val="000000"/>
          <w:sz w:val="22"/>
          <w:szCs w:val="22"/>
          <w:vertAlign w:val="subscript"/>
          <w:lang w:val="en-US" w:eastAsia="en-US"/>
        </w:rPr>
        <w:t>p</w:t>
      </w:r>
      <w:r w:rsidRPr="00E73FF0">
        <w:rPr>
          <w:rFonts w:eastAsia="Calibri"/>
          <w:color w:val="000000"/>
          <w:sz w:val="22"/>
          <w:szCs w:val="22"/>
          <w:lang w:eastAsia="en-US"/>
        </w:rPr>
        <w:t>), конструктивные пар</w:t>
      </w:r>
      <w:r w:rsidRPr="00E73FF0">
        <w:rPr>
          <w:rFonts w:eastAsia="Calibri"/>
          <w:color w:val="000000"/>
          <w:sz w:val="22"/>
          <w:szCs w:val="22"/>
          <w:lang w:eastAsia="en-US"/>
        </w:rPr>
        <w:t>а</w:t>
      </w:r>
      <w:r w:rsidRPr="00E73FF0">
        <w:rPr>
          <w:rFonts w:eastAsia="Calibri"/>
          <w:color w:val="000000"/>
          <w:sz w:val="22"/>
          <w:szCs w:val="22"/>
          <w:lang w:eastAsia="en-US"/>
        </w:rPr>
        <w:t>метры (</w:t>
      </w:r>
      <w:r w:rsidRPr="00E73FF0">
        <w:rPr>
          <w:rFonts w:eastAsia="Calibri"/>
          <w:color w:val="000000"/>
          <w:sz w:val="22"/>
          <w:szCs w:val="22"/>
          <w:lang w:val="en-US" w:eastAsia="en-US"/>
        </w:rPr>
        <w:t>B</w:t>
      </w:r>
      <w:r w:rsidRPr="00E73FF0">
        <w:rPr>
          <w:rFonts w:eastAsia="Calibri"/>
          <w:color w:val="000000"/>
          <w:sz w:val="22"/>
          <w:szCs w:val="22"/>
          <w:vertAlign w:val="subscript"/>
          <w:lang w:val="en-US" w:eastAsia="en-US"/>
        </w:rPr>
        <w:t>p</w:t>
      </w:r>
      <w:r w:rsidRPr="00E73FF0">
        <w:rPr>
          <w:rFonts w:eastAsia="Calibri"/>
          <w:color w:val="000000"/>
          <w:sz w:val="22"/>
          <w:szCs w:val="22"/>
          <w:lang w:eastAsia="en-US"/>
        </w:rPr>
        <w:t xml:space="preserve">, </w:t>
      </w:r>
      <w:r w:rsidRPr="00E73FF0">
        <w:rPr>
          <w:rFonts w:eastAsia="Calibri"/>
          <w:color w:val="000000"/>
          <w:sz w:val="22"/>
          <w:szCs w:val="22"/>
          <w:lang w:val="en-US" w:eastAsia="en-US"/>
        </w:rPr>
        <w:t>V</w:t>
      </w:r>
      <w:r w:rsidRPr="00E73FF0">
        <w:rPr>
          <w:rFonts w:eastAsia="Calibri"/>
          <w:color w:val="000000"/>
          <w:sz w:val="22"/>
          <w:szCs w:val="22"/>
          <w:vertAlign w:val="subscript"/>
          <w:lang w:eastAsia="en-US"/>
        </w:rPr>
        <w:t>б</w:t>
      </w:r>
      <w:r w:rsidRPr="00E73FF0">
        <w:rPr>
          <w:rFonts w:eastAsia="Calibri"/>
          <w:color w:val="000000"/>
          <w:sz w:val="22"/>
          <w:szCs w:val="22"/>
          <w:lang w:eastAsia="en-US"/>
        </w:rPr>
        <w:t xml:space="preserve">, </w:t>
      </w:r>
      <w:r w:rsidRPr="00E73FF0">
        <w:rPr>
          <w:rFonts w:eastAsia="Calibri"/>
          <w:color w:val="000000"/>
          <w:sz w:val="22"/>
          <w:szCs w:val="22"/>
          <w:lang w:val="en-US" w:eastAsia="en-US"/>
        </w:rPr>
        <w:t>V</w:t>
      </w:r>
      <w:r w:rsidRPr="00E73FF0">
        <w:rPr>
          <w:rFonts w:eastAsia="Calibri"/>
          <w:color w:val="000000"/>
          <w:sz w:val="22"/>
          <w:szCs w:val="22"/>
          <w:vertAlign w:val="subscript"/>
          <w:lang w:eastAsia="en-US"/>
        </w:rPr>
        <w:t>нп</w:t>
      </w:r>
      <w:r w:rsidRPr="00E73FF0">
        <w:rPr>
          <w:rFonts w:eastAsia="Calibri"/>
          <w:color w:val="000000"/>
          <w:sz w:val="22"/>
          <w:szCs w:val="22"/>
          <w:lang w:eastAsia="en-US"/>
        </w:rPr>
        <w:t>), режимы работы комбайна и трактора (</w:t>
      </w:r>
      <w:r w:rsidRPr="00E73FF0">
        <w:rPr>
          <w:rFonts w:eastAsia="Calibri"/>
          <w:i/>
          <w:color w:val="000000"/>
          <w:sz w:val="22"/>
          <w:szCs w:val="22"/>
          <w:lang w:val="en-US" w:eastAsia="en-US"/>
        </w:rPr>
        <w:t>V</w:t>
      </w:r>
      <w:r w:rsidRPr="00E73FF0">
        <w:rPr>
          <w:rFonts w:eastAsia="Calibri"/>
          <w:color w:val="000000"/>
          <w:sz w:val="22"/>
          <w:szCs w:val="22"/>
          <w:vertAlign w:val="subscript"/>
          <w:lang w:eastAsia="en-US"/>
        </w:rPr>
        <w:t>р</w:t>
      </w:r>
      <w:r w:rsidRPr="00E73FF0">
        <w:rPr>
          <w:rFonts w:eastAsia="Calibri"/>
          <w:color w:val="000000"/>
          <w:sz w:val="22"/>
          <w:szCs w:val="22"/>
          <w:lang w:eastAsia="en-US"/>
        </w:rPr>
        <w:t xml:space="preserve">, </w:t>
      </w:r>
      <w:r w:rsidRPr="00E73FF0">
        <w:rPr>
          <w:rFonts w:eastAsia="Calibri"/>
          <w:position w:val="-12"/>
          <w:sz w:val="22"/>
          <w:szCs w:val="22"/>
          <w:lang w:eastAsia="en-US"/>
        </w:rPr>
        <w:object w:dxaOrig="360" w:dyaOrig="400">
          <v:shape id="_x0000_i1026" type="#_x0000_t75" style="width:15pt;height:17.05pt" o:ole="">
            <v:imagedata r:id="rId105" o:title=""/>
          </v:shape>
          <o:OLEObject Type="Embed" ProgID="Equation.3" ShapeID="_x0000_i1026" DrawAspect="Content" ObjectID="_1590841694" r:id="rId106"/>
        </w:object>
      </w:r>
      <w:r w:rsidRPr="00E73FF0">
        <w:rPr>
          <w:rFonts w:eastAsia="Calibri"/>
          <w:sz w:val="22"/>
          <w:szCs w:val="22"/>
          <w:lang w:eastAsia="en-US"/>
        </w:rPr>
        <w:t>,</w:t>
      </w:r>
      <w:r w:rsidRPr="00E73FF0">
        <w:rPr>
          <w:rFonts w:eastAsia="Calibri"/>
          <w:position w:val="-12"/>
          <w:sz w:val="22"/>
          <w:szCs w:val="22"/>
          <w:lang w:eastAsia="en-US"/>
        </w:rPr>
        <w:object w:dxaOrig="420" w:dyaOrig="400">
          <v:shape id="_x0000_i1027" type="#_x0000_t75" style="width:18.75pt;height:18.75pt" o:ole="">
            <v:imagedata r:id="rId107" o:title=""/>
          </v:shape>
          <o:OLEObject Type="Embed" ProgID="Equation.3" ShapeID="_x0000_i1027" DrawAspect="Content" ObjectID="_1590841695" r:id="rId108"/>
        </w:object>
      </w:r>
      <w:r w:rsidRPr="00E73FF0">
        <w:rPr>
          <w:rFonts w:eastAsia="Calibri"/>
          <w:color w:val="000000"/>
          <w:sz w:val="22"/>
          <w:szCs w:val="22"/>
          <w:lang w:eastAsia="en-US"/>
        </w:rPr>
        <w:t>), которые объединены целевой функцией минимумом затрат совокупной энергии на выполнение производственных процессов уборки и транспортировки зерна Е</w:t>
      </w:r>
      <w:r w:rsidRPr="00E73FF0">
        <w:rPr>
          <w:rFonts w:eastAsia="Calibri"/>
          <w:color w:val="000000"/>
          <w:sz w:val="22"/>
          <w:szCs w:val="22"/>
          <w:vertAlign w:val="subscript"/>
          <w:lang w:eastAsia="en-US"/>
        </w:rPr>
        <w:t>з</w:t>
      </w:r>
      <w:r w:rsidRPr="00E73FF0">
        <w:rPr>
          <w:rFonts w:eastAsia="Calibri"/>
          <w:color w:val="000000"/>
          <w:sz w:val="22"/>
          <w:szCs w:val="22"/>
          <w:lang w:eastAsia="en-US"/>
        </w:rPr>
        <w:t xml:space="preserve"> [3, 4, 5</w:t>
      </w:r>
      <w:proofErr w:type="gramEnd"/>
      <w:r w:rsidRPr="00E73FF0">
        <w:rPr>
          <w:rFonts w:eastAsia="Calibri"/>
          <w:color w:val="000000"/>
          <w:sz w:val="22"/>
          <w:szCs w:val="22"/>
          <w:lang w:eastAsia="en-US"/>
        </w:rPr>
        <w:t xml:space="preserve">, </w:t>
      </w:r>
      <w:proofErr w:type="gramStart"/>
      <w:r w:rsidRPr="00E73FF0">
        <w:rPr>
          <w:rFonts w:eastAsia="Calibri"/>
          <w:color w:val="000000"/>
          <w:sz w:val="22"/>
          <w:szCs w:val="22"/>
          <w:lang w:eastAsia="en-US"/>
        </w:rPr>
        <w:t>6].</w:t>
      </w:r>
      <w:proofErr w:type="gramEnd"/>
    </w:p>
    <w:p w:rsidR="00E73FF0" w:rsidRPr="00E73FF0" w:rsidRDefault="00E73FF0" w:rsidP="00E73FF0">
      <w:pPr>
        <w:autoSpaceDE w:val="0"/>
        <w:autoSpaceDN w:val="0"/>
        <w:adjustRightInd w:val="0"/>
        <w:ind w:firstLine="425"/>
        <w:jc w:val="both"/>
        <w:rPr>
          <w:rFonts w:eastAsia="Calibri"/>
          <w:color w:val="000000"/>
          <w:sz w:val="22"/>
          <w:szCs w:val="22"/>
          <w:lang w:eastAsia="en-US"/>
        </w:rPr>
      </w:pPr>
      <w:r w:rsidRPr="00E73FF0">
        <w:rPr>
          <w:rFonts w:eastAsia="Calibri"/>
          <w:color w:val="000000"/>
          <w:sz w:val="22"/>
          <w:szCs w:val="22"/>
          <w:lang w:eastAsia="en-US"/>
        </w:rPr>
        <w:t>В состав</w:t>
      </w:r>
      <w:r w:rsidRPr="00E73FF0">
        <w:rPr>
          <w:rFonts w:eastAsia="Calibri" w:cs="Arial"/>
          <w:color w:val="000000"/>
          <w:sz w:val="22"/>
          <w:szCs w:val="22"/>
          <w:lang w:eastAsia="en-US"/>
        </w:rPr>
        <w:t xml:space="preserve"> уборочно-транспортного звена входит </w:t>
      </w:r>
      <w:r w:rsidRPr="00E73FF0">
        <w:rPr>
          <w:rFonts w:eastAsia="Calibri"/>
          <w:color w:val="000000"/>
          <w:sz w:val="22"/>
          <w:szCs w:val="22"/>
          <w:lang w:eastAsia="en-US"/>
        </w:rPr>
        <w:t>зерноуборо</w:t>
      </w:r>
      <w:r w:rsidRPr="00E73FF0">
        <w:rPr>
          <w:rFonts w:eastAsia="Calibri"/>
          <w:color w:val="000000"/>
          <w:sz w:val="22"/>
          <w:szCs w:val="22"/>
          <w:lang w:eastAsia="en-US"/>
        </w:rPr>
        <w:t>ч</w:t>
      </w:r>
      <w:r w:rsidRPr="00E73FF0">
        <w:rPr>
          <w:rFonts w:eastAsia="Calibri"/>
          <w:color w:val="000000"/>
          <w:sz w:val="22"/>
          <w:szCs w:val="22"/>
          <w:lang w:eastAsia="en-US"/>
        </w:rPr>
        <w:t>ный комбайн с жаткой, которая содержит предлагаемый униве</w:t>
      </w:r>
      <w:r w:rsidRPr="00E73FF0">
        <w:rPr>
          <w:rFonts w:eastAsia="Calibri"/>
          <w:color w:val="000000"/>
          <w:sz w:val="22"/>
          <w:szCs w:val="22"/>
          <w:lang w:eastAsia="en-US"/>
        </w:rPr>
        <w:t>р</w:t>
      </w:r>
      <w:r w:rsidRPr="00E73FF0">
        <w:rPr>
          <w:rFonts w:eastAsia="Calibri"/>
          <w:color w:val="000000"/>
          <w:sz w:val="22"/>
          <w:szCs w:val="22"/>
          <w:lang w:eastAsia="en-US"/>
        </w:rPr>
        <w:t>сальный режущий аппарат и накопитель-перегрузчик, агрегатиру</w:t>
      </w:r>
      <w:r w:rsidRPr="00E73FF0">
        <w:rPr>
          <w:rFonts w:eastAsia="Calibri"/>
          <w:color w:val="000000"/>
          <w:sz w:val="22"/>
          <w:szCs w:val="22"/>
          <w:lang w:eastAsia="en-US"/>
        </w:rPr>
        <w:t>е</w:t>
      </w:r>
      <w:r w:rsidRPr="00E73FF0">
        <w:rPr>
          <w:rFonts w:eastAsia="Calibri"/>
          <w:color w:val="000000"/>
          <w:sz w:val="22"/>
          <w:szCs w:val="22"/>
          <w:lang w:eastAsia="en-US"/>
        </w:rPr>
        <w:t>мый с трактором.</w:t>
      </w:r>
    </w:p>
    <w:p w:rsidR="00E73FF0" w:rsidRPr="00E73FF0" w:rsidRDefault="00E73FF0" w:rsidP="00E73FF0">
      <w:pPr>
        <w:ind w:firstLine="425"/>
        <w:jc w:val="both"/>
        <w:rPr>
          <w:rFonts w:eastAsia="Calibri"/>
          <w:sz w:val="22"/>
          <w:szCs w:val="22"/>
          <w:lang w:eastAsia="en-US"/>
        </w:rPr>
      </w:pPr>
      <w:r w:rsidRPr="00E73FF0">
        <w:rPr>
          <w:rFonts w:eastAsia="Calibri"/>
          <w:sz w:val="22"/>
          <w:szCs w:val="22"/>
          <w:lang w:eastAsia="en-US"/>
        </w:rPr>
        <w:t>Целевая функция Е</w:t>
      </w:r>
      <w:r w:rsidRPr="00E73FF0">
        <w:rPr>
          <w:rFonts w:eastAsia="Calibri"/>
          <w:sz w:val="22"/>
          <w:szCs w:val="22"/>
          <w:vertAlign w:val="subscript"/>
          <w:lang w:eastAsia="en-US"/>
        </w:rPr>
        <w:t>з</w:t>
      </w:r>
      <w:r w:rsidRPr="00E73FF0">
        <w:rPr>
          <w:rFonts w:eastAsia="Calibri"/>
          <w:sz w:val="22"/>
          <w:szCs w:val="22"/>
          <w:lang w:eastAsia="en-US"/>
        </w:rPr>
        <w:t xml:space="preserve"> математической модели для варианта ра</w:t>
      </w:r>
      <w:r w:rsidRPr="00E73FF0">
        <w:rPr>
          <w:rFonts w:eastAsia="Calibri"/>
          <w:sz w:val="22"/>
          <w:szCs w:val="22"/>
          <w:lang w:eastAsia="en-US"/>
        </w:rPr>
        <w:t>с</w:t>
      </w:r>
      <w:r w:rsidRPr="00E73FF0">
        <w:rPr>
          <w:rFonts w:eastAsia="Calibri"/>
          <w:sz w:val="22"/>
          <w:szCs w:val="22"/>
          <w:lang w:eastAsia="en-US"/>
        </w:rPr>
        <w:t>четов с учетом уточненных зависимостей, полученных на основе экспериментальных исследований предложенного нами режущего аппарата имеет вид:</w:t>
      </w:r>
    </w:p>
    <w:p w:rsidR="00E73FF0" w:rsidRPr="00E73FF0" w:rsidRDefault="009D0151" w:rsidP="00E73FF0">
      <w:pPr>
        <w:jc w:val="center"/>
        <w:rPr>
          <w:rFonts w:eastAsia="Calibri"/>
          <w:sz w:val="22"/>
          <w:szCs w:val="22"/>
          <w:lang w:eastAsia="en-US"/>
        </w:rPr>
      </w:pPr>
      <m:oMath>
        <m:sSub>
          <m:sSubPr>
            <m:ctrlPr>
              <w:rPr>
                <w:rFonts w:ascii="Cambria Math" w:eastAsia="Calibri" w:hAnsi="Cambria Math" w:cs="Calibri"/>
                <w:i/>
                <w:sz w:val="22"/>
                <w:szCs w:val="22"/>
                <w:lang w:eastAsia="en-US"/>
              </w:rPr>
            </m:ctrlPr>
          </m:sSubPr>
          <m:e>
            <m:r>
              <w:rPr>
                <w:rFonts w:ascii="Cambria Math" w:eastAsia="Calibri" w:hAnsi="Cambria Math" w:cs="Calibri"/>
                <w:sz w:val="22"/>
                <w:szCs w:val="22"/>
                <w:lang w:eastAsia="en-US"/>
              </w:rPr>
              <m:t>Е</m:t>
            </m:r>
          </m:e>
          <m:sub>
            <m:r>
              <w:rPr>
                <w:rFonts w:ascii="Cambria Math" w:eastAsia="Calibri" w:hAnsi="Cambria Math" w:cs="Calibri"/>
                <w:sz w:val="22"/>
                <w:szCs w:val="22"/>
                <w:lang w:eastAsia="en-US"/>
              </w:rPr>
              <m:t>з</m:t>
            </m:r>
          </m:sub>
        </m:sSub>
        <m:r>
          <w:rPr>
            <w:rFonts w:ascii="Cambria Math" w:eastAsia="Calibri" w:hAnsi="Cambria Math" w:cs="Calibri"/>
            <w:sz w:val="22"/>
            <w:szCs w:val="22"/>
            <w:lang w:eastAsia="en-US"/>
          </w:rPr>
          <m:t>=</m:t>
        </m:r>
        <m:d>
          <m:dPr>
            <m:begChr m:val="["/>
            <m:endChr m:val="]"/>
            <m:ctrlPr>
              <w:rPr>
                <w:rFonts w:ascii="Cambria Math" w:eastAsia="Calibri" w:hAnsi="Cambria Math" w:cs="Calibri"/>
                <w:i/>
                <w:sz w:val="22"/>
                <w:szCs w:val="22"/>
                <w:lang w:eastAsia="en-US"/>
              </w:rPr>
            </m:ctrlPr>
          </m:dPr>
          <m:e>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нп</m:t>
                </m:r>
              </m:sub>
            </m:sSub>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eastAsia="en-US"/>
                  </w:rPr>
                  <m:t>∙</m:t>
                </m:r>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нп</m:t>
                </m:r>
              </m:sub>
            </m:sSub>
            <m:d>
              <m:dPr>
                <m:ctrlPr>
                  <w:rPr>
                    <w:rFonts w:ascii="Cambria Math" w:eastAsia="Calibri" w:hAnsi="Cambria Math" w:cs="Calibri"/>
                    <w:i/>
                    <w:sz w:val="22"/>
                    <w:szCs w:val="22"/>
                    <w:lang w:val="en-US" w:eastAsia="en-US"/>
                  </w:rPr>
                </m:ctrlPr>
              </m:dPr>
              <m:e>
                <m:r>
                  <w:rPr>
                    <w:rFonts w:ascii="Cambria Math" w:eastAsia="Calibri" w:hAnsi="Cambria Math" w:cs="Calibri"/>
                    <w:sz w:val="22"/>
                    <w:szCs w:val="22"/>
                    <w:lang w:eastAsia="en-US"/>
                  </w:rPr>
                  <m:t>0,00072</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eastAsia="en-US"/>
                      </w:rPr>
                      <m:t>∙</m:t>
                    </m:r>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к</m:t>
                    </m:r>
                  </m:sub>
                </m:sSub>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eastAsia="en-US"/>
                      </w:rPr>
                      <m:t>∙</m:t>
                    </m:r>
                    <m: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р</m:t>
                    </m:r>
                  </m:sub>
                </m:sSub>
                <m:r>
                  <w:rPr>
                    <w:rFonts w:ascii="Cambria Math" w:eastAsia="Calibri" w:hAnsi="Cambria Math" w:cs="Calibri"/>
                    <w:sz w:val="22"/>
                    <w:szCs w:val="22"/>
                    <w:lang w:eastAsia="en-US"/>
                  </w:rPr>
                  <m:t>+0,2628</m:t>
                </m:r>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eastAsia="en-US" w:bidi="he-IL"/>
                      </w:rPr>
                      <m:t>∙</m:t>
                    </m:r>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б</m:t>
                    </m:r>
                  </m:sub>
                </m:sSub>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р</m:t>
                    </m:r>
                  </m:sub>
                </m:sSub>
                <m:r>
                  <w:rPr>
                    <w:rFonts w:ascii="Cambria Math" w:eastAsia="Calibri" w:hAnsi="Cambria Math" w:cs="Calibri"/>
                    <w:sz w:val="22"/>
                    <w:szCs w:val="22"/>
                    <w:lang w:eastAsia="en-US"/>
                  </w:rPr>
                  <m:t>+38,8∙</m:t>
                </m:r>
                <m:r>
                  <w:rPr>
                    <w:rFonts w:ascii="Cambria Math" w:eastAsia="Calibri" w:hAnsi="Cambria Math" w:cs="Calibri"/>
                    <w:sz w:val="22"/>
                    <w:szCs w:val="22"/>
                    <w:lang w:val="en-US" w:eastAsia="en-US"/>
                  </w:rPr>
                  <m:t>q</m:t>
                </m:r>
                <m:r>
                  <w:rPr>
                    <w:rFonts w:ascii="Cambria Math" w:eastAsia="Calibri" w:hAnsi="Cambria Math" w:cs="Calibri"/>
                    <w:sz w:val="22"/>
                    <w:szCs w:val="22"/>
                    <w:lang w:eastAsia="en-US"/>
                  </w:rPr>
                  <m:t>+1,26∙</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n</m:t>
                    </m:r>
                  </m:e>
                  <m:sub>
                    <m:r>
                      <w:rPr>
                        <w:rFonts w:ascii="Cambria Math" w:eastAsia="Calibri" w:hAnsi="Cambria Math" w:cs="Calibri"/>
                        <w:sz w:val="22"/>
                        <w:szCs w:val="22"/>
                        <w:lang w:eastAsia="en-US"/>
                      </w:rPr>
                      <m:t>к</m:t>
                    </m:r>
                  </m:sub>
                </m:sSub>
                <m:r>
                  <w:rPr>
                    <w:rFonts w:ascii="Cambria Math" w:eastAsia="Calibri" w:hAnsi="Cambria Math" w:cs="Calibri"/>
                    <w:sz w:val="22"/>
                    <w:szCs w:val="22"/>
                    <w:lang w:eastAsia="en-US"/>
                  </w:rPr>
                  <m:t>+0,087∙</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к</m:t>
                    </m:r>
                  </m:sub>
                </m:sSub>
                <m:r>
                  <w:rPr>
                    <w:rFonts w:ascii="Cambria Math" w:eastAsia="Calibri" w:hAnsi="Cambria Math" w:cs="Calibri"/>
                    <w:sz w:val="22"/>
                    <w:szCs w:val="22"/>
                    <w:lang w:eastAsia="en-US"/>
                  </w:rPr>
                  <m:t>+9,2∙</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N</m:t>
                    </m:r>
                  </m:e>
                  <m:sub>
                    <m:r>
                      <w:rPr>
                        <w:rFonts w:ascii="Cambria Math" w:eastAsia="Calibri" w:hAnsi="Cambria Math" w:cs="Calibri"/>
                        <w:sz w:val="22"/>
                        <w:szCs w:val="22"/>
                        <w:lang w:eastAsia="en-US"/>
                      </w:rPr>
                      <m:t>е</m:t>
                    </m:r>
                  </m:sub>
                  <m:sup>
                    <m:r>
                      <w:rPr>
                        <w:rFonts w:ascii="Cambria Math" w:eastAsia="Calibri" w:hAnsi="Cambria Math" w:cs="Calibri"/>
                        <w:sz w:val="22"/>
                        <w:szCs w:val="22"/>
                        <w:lang w:eastAsia="en-US"/>
                      </w:rPr>
                      <m:t>к</m:t>
                    </m:r>
                  </m:sup>
                </m:sSubSup>
              </m:e>
            </m:d>
            <m:r>
              <w:rPr>
                <w:rFonts w:ascii="Cambria Math" w:eastAsia="Calibri" w:hAnsi="Cambria Math" w:cs="Calibri"/>
                <w:sz w:val="22"/>
                <w:szCs w:val="22"/>
                <w:lang w:eastAsia="en-US"/>
              </w:rPr>
              <m:t xml:space="preserve">+ </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W</m:t>
                </m:r>
              </m:e>
              <m:sub>
                <m:r>
                  <w:rPr>
                    <w:rFonts w:ascii="Cambria Math" w:eastAsia="Calibri" w:hAnsi="Cambria Math" w:cs="Calibri"/>
                    <w:sz w:val="22"/>
                    <w:szCs w:val="22"/>
                    <w:lang w:val="en-US" w:eastAsia="en-US"/>
                  </w:rPr>
                  <m:t>k</m:t>
                </m:r>
                <m:r>
                  <w:rPr>
                    <w:rFonts w:ascii="Cambria Math" w:eastAsia="Calibri" w:hAnsi="Cambria Math" w:cs="Calibri"/>
                    <w:sz w:val="22"/>
                    <w:szCs w:val="22"/>
                    <w:lang w:eastAsia="en-US"/>
                  </w:rPr>
                  <m:t>к</m:t>
                </m:r>
              </m:sub>
              <m:sup>
                <m:r>
                  <w:rPr>
                    <w:rFonts w:ascii="Cambria Math" w:eastAsia="Calibri" w:hAnsi="Cambria Math" w:cs="Calibri"/>
                    <w:sz w:val="22"/>
                    <w:szCs w:val="22"/>
                    <w:lang w:eastAsia="en-US"/>
                  </w:rPr>
                  <m:t>/</m:t>
                </m:r>
              </m:sup>
            </m:sSubSup>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нп</m:t>
                </m:r>
              </m:sub>
            </m:sSub>
            <m:d>
              <m:dPr>
                <m:ctrlPr>
                  <w:rPr>
                    <w:rFonts w:ascii="Cambria Math" w:eastAsia="Calibri" w:hAnsi="Cambria Math" w:cs="Calibri"/>
                    <w:i/>
                    <w:sz w:val="22"/>
                    <w:szCs w:val="22"/>
                    <w:lang w:val="en-US" w:eastAsia="en-US"/>
                  </w:rPr>
                </m:ctrlPr>
              </m:dPr>
              <m:e>
                <m:r>
                  <w:rPr>
                    <w:rFonts w:ascii="Cambria Math" w:eastAsia="Calibri" w:hAnsi="Cambria Math" w:cs="Calibri"/>
                    <w:sz w:val="22"/>
                    <w:szCs w:val="22"/>
                    <w:lang w:eastAsia="en-US"/>
                  </w:rPr>
                  <m:t>1,26∙</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n</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+0,035∙</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+0,022∙</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тр</m:t>
                    </m:r>
                  </m:sub>
                  <m:sup>
                    <m:r>
                      <w:rPr>
                        <w:rFonts w:ascii="Cambria Math" w:eastAsia="Calibri" w:hAnsi="Cambria Math" w:cs="Calibri"/>
                        <w:sz w:val="22"/>
                        <w:szCs w:val="22"/>
                        <w:lang w:eastAsia="en-US"/>
                      </w:rPr>
                      <m:t>нп</m:t>
                    </m:r>
                  </m:sup>
                </m:sSubSup>
              </m:e>
            </m:d>
            <m:r>
              <w:rPr>
                <w:rFonts w:ascii="Cambria Math" w:eastAsia="Calibri" w:hAnsi="Cambria Math" w:cs="Calibri"/>
                <w:sz w:val="22"/>
                <w:szCs w:val="22"/>
                <w:lang w:eastAsia="en-US"/>
              </w:rPr>
              <m:t xml:space="preserve">+ </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к</m:t>
                </m:r>
              </m:sub>
              <m:sup>
                <m:r>
                  <w:rPr>
                    <w:rFonts w:ascii="Cambria Math" w:eastAsia="Calibri" w:hAnsi="Cambria Math" w:cs="Calibri"/>
                    <w:sz w:val="22"/>
                    <w:szCs w:val="22"/>
                    <w:lang w:eastAsia="en-US"/>
                  </w:rPr>
                  <m:t>/</m:t>
                </m:r>
              </m:sup>
            </m:sSubSup>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eastAsia="en-US"/>
                  </w:rPr>
                  <m:t>∙</m:t>
                </m:r>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нп</m:t>
                </m:r>
              </m:sub>
            </m:sSub>
            <m:d>
              <m:dPr>
                <m:ctrlPr>
                  <w:rPr>
                    <w:rFonts w:ascii="Cambria Math" w:eastAsia="Calibri" w:hAnsi="Cambria Math" w:cs="Calibri"/>
                    <w:i/>
                    <w:sz w:val="22"/>
                    <w:szCs w:val="22"/>
                    <w:lang w:val="en-US" w:eastAsia="en-US"/>
                  </w:rPr>
                </m:ctrlPr>
              </m:dPr>
              <m:e>
                <m:r>
                  <w:rPr>
                    <w:rFonts w:ascii="Cambria Math" w:eastAsia="Calibri" w:hAnsi="Cambria Math" w:cs="Calibri"/>
                    <w:sz w:val="22"/>
                    <w:szCs w:val="22"/>
                    <w:lang w:eastAsia="en-US"/>
                  </w:rPr>
                  <m:t>0,021∙</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тр</m:t>
                    </m:r>
                  </m:sub>
                  <m:sup>
                    <m:r>
                      <w:rPr>
                        <w:rFonts w:ascii="Cambria Math" w:eastAsia="Calibri" w:hAnsi="Cambria Math" w:cs="Calibri"/>
                        <w:sz w:val="22"/>
                        <w:szCs w:val="22"/>
                        <w:lang w:eastAsia="en-US"/>
                      </w:rPr>
                      <m:t>нп</m:t>
                    </m:r>
                  </m:sup>
                </m:sSubSup>
                <m:r>
                  <w:rPr>
                    <w:rFonts w:ascii="Cambria Math" w:eastAsia="Calibri" w:hAnsi="Cambria Math" w:cs="Calibri"/>
                    <w:sz w:val="22"/>
                    <w:szCs w:val="22"/>
                    <w:lang w:eastAsia="en-US"/>
                  </w:rPr>
                  <m:t>+0,021∙</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G</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+15,33∙</m:t>
                </m:r>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нп</m:t>
                    </m:r>
                  </m:sub>
                </m:sSub>
              </m:e>
            </m:d>
            <m:r>
              <w:rPr>
                <w:rFonts w:ascii="Cambria Math" w:eastAsia="Calibri" w:hAnsi="Cambria Math" w:cs="Calibri"/>
                <w:sz w:val="22"/>
                <w:szCs w:val="22"/>
                <w:lang w:eastAsia="en-US"/>
              </w:rPr>
              <m:t xml:space="preserve">+0,015∙ </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к</m:t>
                </m:r>
              </m:sub>
              <m:sup>
                <m:r>
                  <w:rPr>
                    <w:rFonts w:ascii="Cambria Math" w:eastAsia="Calibri" w:hAnsi="Cambria Math" w:cs="Calibri"/>
                    <w:sz w:val="22"/>
                    <w:szCs w:val="22"/>
                    <w:lang w:eastAsia="en-US"/>
                  </w:rPr>
                  <m:t>/</m:t>
                </m:r>
              </m:sup>
            </m:sSubSup>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нп</m:t>
                </m:r>
              </m:sub>
            </m:sSub>
            <m:d>
              <m:dPr>
                <m:ctrlPr>
                  <w:rPr>
                    <w:rFonts w:ascii="Cambria Math" w:eastAsia="Calibri" w:hAnsi="Cambria Math" w:cs="Calibri"/>
                    <w:i/>
                    <w:sz w:val="22"/>
                    <w:szCs w:val="22"/>
                    <w:lang w:val="en-US" w:eastAsia="en-US"/>
                  </w:rPr>
                </m:ctrlPr>
              </m:dPr>
              <m:e>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N</m:t>
                    </m:r>
                  </m:e>
                  <m:sub>
                    <m:r>
                      <w:rPr>
                        <w:rFonts w:ascii="Cambria Math" w:eastAsia="Calibri" w:hAnsi="Cambria Math" w:cs="Calibri"/>
                        <w:sz w:val="22"/>
                        <w:szCs w:val="22"/>
                        <w:lang w:val="en-US" w:eastAsia="en-US"/>
                      </w:rPr>
                      <m:t>e</m:t>
                    </m:r>
                  </m:sub>
                  <m:sup>
                    <m:r>
                      <w:rPr>
                        <w:rFonts w:ascii="Cambria Math" w:eastAsia="Calibri" w:hAnsi="Cambria Math" w:cs="Calibri"/>
                        <w:sz w:val="22"/>
                        <w:szCs w:val="22"/>
                        <w:lang w:eastAsia="en-US"/>
                      </w:rPr>
                      <m:t>тр</m:t>
                    </m:r>
                  </m:sup>
                </m:sSubSup>
                <m:r>
                  <w:rPr>
                    <w:rFonts w:ascii="Cambria Math" w:eastAsia="Calibri" w:hAnsi="Cambria Math" w:cs="Calibri"/>
                    <w:sz w:val="22"/>
                    <w:szCs w:val="22"/>
                    <w:lang w:eastAsia="en-US"/>
                  </w:rPr>
                  <m:t>+3131,3</m:t>
                </m:r>
              </m:e>
            </m:d>
          </m:e>
        </m:d>
        <m:r>
          <w:rPr>
            <w:rFonts w:ascii="Cambria Math" w:eastAsia="Calibri" w:hAnsi="Cambria Math" w:cs="Calibri"/>
            <w:sz w:val="22"/>
            <w:szCs w:val="22"/>
            <w:lang w:eastAsia="en-US"/>
          </w:rPr>
          <m:t>/</m:t>
        </m:r>
        <m:sSubSup>
          <m:sSubSupPr>
            <m:ctrlPr>
              <w:rPr>
                <w:rFonts w:ascii="Cambria Math" w:eastAsia="Calibri" w:hAnsi="Cambria Math" w:cs="Calibri"/>
                <w:i/>
                <w:sz w:val="22"/>
                <w:szCs w:val="22"/>
                <w:lang w:val="en-US" w:eastAsia="en-US"/>
              </w:rPr>
            </m:ctrlPr>
          </m:sSubSup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к</m:t>
            </m:r>
          </m:sub>
          <m:sup>
            <m:r>
              <w:rPr>
                <w:rFonts w:ascii="Cambria Math" w:eastAsia="Calibri" w:hAnsi="Cambria Math" w:cs="Calibri"/>
                <w:sz w:val="22"/>
                <w:szCs w:val="22"/>
                <w:lang w:eastAsia="en-US"/>
              </w:rPr>
              <m:t>/</m:t>
            </m:r>
          </m:sup>
        </m:sSubSup>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w:rPr>
                <w:rFonts w:ascii="Cambria Math" w:eastAsia="Calibri" w:hAnsi="Cambria Math" w:cs="Calibri"/>
                <w:sz w:val="22"/>
                <w:szCs w:val="22"/>
                <w:lang w:val="en-US" w:eastAsia="en-US"/>
              </w:rPr>
              <m:t>W</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m:t>
        </m:r>
        <m:sSub>
          <m:sSubPr>
            <m:ctrlPr>
              <w:rPr>
                <w:rFonts w:ascii="Cambria Math" w:eastAsia="Calibri" w:hAnsi="Cambria Math" w:cs="Calibri"/>
                <w:i/>
                <w:sz w:val="22"/>
                <w:szCs w:val="22"/>
                <w:lang w:val="en-US" w:eastAsia="en-US"/>
              </w:rPr>
            </m:ctrlPr>
          </m:sSubPr>
          <m:e>
            <m:r>
              <m:rPr>
                <m:sty m:val="p"/>
              </m:rPr>
              <w:rPr>
                <w:rFonts w:ascii="Cambria Math" w:eastAsia="Calibri" w:hAnsi="Cambria Math" w:cs="Calibri"/>
                <w:sz w:val="22"/>
                <w:szCs w:val="22"/>
                <w:lang w:val="en-US" w:eastAsia="en-US"/>
              </w:rPr>
              <m:t>V</m:t>
            </m:r>
          </m:e>
          <m:sub>
            <m:r>
              <w:rPr>
                <w:rFonts w:ascii="Cambria Math" w:eastAsia="Calibri" w:hAnsi="Cambria Math" w:cs="Calibri"/>
                <w:sz w:val="22"/>
                <w:szCs w:val="22"/>
                <w:lang w:eastAsia="en-US"/>
              </w:rPr>
              <m:t>нп</m:t>
            </m:r>
          </m:sub>
        </m:sSub>
        <m:r>
          <w:rPr>
            <w:rFonts w:ascii="Cambria Math" w:eastAsia="Calibri" w:hAnsi="Cambria Math" w:cs="Calibri"/>
            <w:sz w:val="22"/>
            <w:szCs w:val="22"/>
            <w:lang w:eastAsia="en-US"/>
          </w:rPr>
          <m:t xml:space="preserve">→ </m:t>
        </m:r>
        <m:r>
          <w:rPr>
            <w:rFonts w:ascii="Cambria Math" w:eastAsia="Calibri" w:hAnsi="Cambria Math" w:cs="Calibri"/>
            <w:sz w:val="22"/>
            <w:szCs w:val="22"/>
            <w:lang w:val="en-US" w:eastAsia="en-US"/>
          </w:rPr>
          <m:t>min</m:t>
        </m:r>
      </m:oMath>
      <w:r w:rsidR="00E73FF0" w:rsidRPr="00E73FF0">
        <w:rPr>
          <w:rFonts w:eastAsia="Calibri"/>
          <w:sz w:val="22"/>
          <w:szCs w:val="22"/>
          <w:lang w:eastAsia="en-US"/>
        </w:rPr>
        <w:t xml:space="preserve">               </w:t>
      </w:r>
    </w:p>
    <w:p w:rsidR="00E73FF0" w:rsidRPr="00E73FF0" w:rsidRDefault="00E73FF0" w:rsidP="00E73FF0">
      <w:pPr>
        <w:jc w:val="both"/>
        <w:rPr>
          <w:rFonts w:eastAsia="Calibri"/>
          <w:sz w:val="22"/>
          <w:szCs w:val="22"/>
          <w:lang w:eastAsia="en-US"/>
        </w:rPr>
      </w:pPr>
      <w:r w:rsidRPr="00E73FF0">
        <w:rPr>
          <w:rFonts w:eastAsia="Calibri"/>
          <w:sz w:val="22"/>
          <w:szCs w:val="22"/>
          <w:lang w:eastAsia="en-US"/>
        </w:rPr>
        <w:t xml:space="preserve">где </w:t>
      </w:r>
      <w:r w:rsidRPr="00E73FF0">
        <w:rPr>
          <w:rFonts w:eastAsia="Calibri"/>
          <w:i/>
          <w:sz w:val="22"/>
          <w:szCs w:val="22"/>
          <w:lang w:eastAsia="en-US"/>
        </w:rPr>
        <w:t>G</w:t>
      </w:r>
      <w:r w:rsidRPr="00E73FF0">
        <w:rPr>
          <w:rFonts w:eastAsia="Calibri"/>
          <w:sz w:val="22"/>
          <w:szCs w:val="22"/>
          <w:vertAlign w:val="subscript"/>
          <w:lang w:eastAsia="en-US"/>
        </w:rPr>
        <w:t>к</w:t>
      </w:r>
      <w:r w:rsidRPr="00E73FF0">
        <w:rPr>
          <w:rFonts w:eastAsia="Calibri"/>
          <w:sz w:val="22"/>
          <w:szCs w:val="22"/>
          <w:lang w:eastAsia="en-US"/>
        </w:rPr>
        <w:t xml:space="preserve">  – масса комбайна, кг;</w:t>
      </w:r>
    </w:p>
    <w:p w:rsidR="00E73FF0" w:rsidRPr="00E73FF0" w:rsidRDefault="00E73FF0" w:rsidP="00E73FF0">
      <w:pPr>
        <w:ind w:firstLine="426"/>
        <w:jc w:val="both"/>
        <w:rPr>
          <w:rFonts w:eastAsia="Calibri"/>
          <w:sz w:val="22"/>
          <w:szCs w:val="22"/>
          <w:lang w:eastAsia="en-US"/>
        </w:rPr>
      </w:pPr>
      <w:r w:rsidRPr="00E73FF0">
        <w:rPr>
          <w:rFonts w:eastAsia="Calibri"/>
          <w:sz w:val="22"/>
          <w:szCs w:val="22"/>
          <w:lang w:val="en-US" w:eastAsia="en-US"/>
        </w:rPr>
        <w:t>V</w:t>
      </w:r>
      <w:r w:rsidRPr="00E73FF0">
        <w:rPr>
          <w:rFonts w:eastAsia="Calibri"/>
          <w:sz w:val="22"/>
          <w:szCs w:val="22"/>
          <w:vertAlign w:val="subscript"/>
          <w:lang w:eastAsia="en-US"/>
        </w:rPr>
        <w:t>б</w:t>
      </w:r>
      <w:r w:rsidRPr="00E73FF0">
        <w:rPr>
          <w:rFonts w:eastAsia="Calibri"/>
          <w:sz w:val="22"/>
          <w:szCs w:val="22"/>
          <w:lang w:eastAsia="en-US"/>
        </w:rPr>
        <w:t xml:space="preserve"> – емкость бункера для зерна, м</w:t>
      </w:r>
      <w:r w:rsidRPr="00E73FF0">
        <w:rPr>
          <w:rFonts w:eastAsia="Calibri"/>
          <w:sz w:val="22"/>
          <w:szCs w:val="22"/>
          <w:vertAlign w:val="superscript"/>
          <w:lang w:eastAsia="en-US"/>
        </w:rPr>
        <w:t>3</w:t>
      </w:r>
      <w:r w:rsidRPr="00E73FF0">
        <w:rPr>
          <w:rFonts w:eastAsia="Calibri"/>
          <w:sz w:val="22"/>
          <w:szCs w:val="22"/>
          <w:lang w:eastAsia="en-US"/>
        </w:rPr>
        <w:t xml:space="preserve">; </w:t>
      </w:r>
    </w:p>
    <w:p w:rsidR="00E73FF0" w:rsidRPr="00E73FF0" w:rsidRDefault="00E73FF0" w:rsidP="00E73FF0">
      <w:pPr>
        <w:ind w:firstLine="426"/>
        <w:jc w:val="both"/>
        <w:rPr>
          <w:rFonts w:eastAsia="Calibri"/>
          <w:sz w:val="22"/>
          <w:szCs w:val="22"/>
          <w:lang w:eastAsia="en-US"/>
        </w:rPr>
      </w:pPr>
      <w:r w:rsidRPr="00E73FF0">
        <w:rPr>
          <w:rFonts w:eastAsia="Calibri"/>
          <w:i/>
          <w:sz w:val="22"/>
          <w:szCs w:val="22"/>
          <w:lang w:eastAsia="en-US"/>
        </w:rPr>
        <w:t>V</w:t>
      </w:r>
      <w:r w:rsidRPr="00E73FF0">
        <w:rPr>
          <w:rFonts w:eastAsia="Calibri"/>
          <w:sz w:val="22"/>
          <w:szCs w:val="22"/>
          <w:vertAlign w:val="subscript"/>
          <w:lang w:eastAsia="en-US"/>
        </w:rPr>
        <w:t>p</w:t>
      </w:r>
      <w:r w:rsidRPr="00E73FF0">
        <w:rPr>
          <w:rFonts w:eastAsia="Calibri"/>
          <w:sz w:val="22"/>
          <w:szCs w:val="22"/>
          <w:lang w:eastAsia="en-US"/>
        </w:rPr>
        <w:t xml:space="preserve"> – рабочая скорость движения комбайна, км/ч;</w:t>
      </w:r>
    </w:p>
    <w:p w:rsidR="00E73FF0" w:rsidRPr="00E73FF0" w:rsidRDefault="00E73FF0" w:rsidP="00E73FF0">
      <w:pPr>
        <w:ind w:left="851" w:hanging="425"/>
        <w:jc w:val="both"/>
        <w:rPr>
          <w:rFonts w:eastAsia="Calibri"/>
          <w:sz w:val="22"/>
          <w:szCs w:val="22"/>
          <w:lang w:eastAsia="en-US"/>
        </w:rPr>
      </w:pPr>
      <w:r w:rsidRPr="00E73FF0">
        <w:rPr>
          <w:rFonts w:eastAsia="Calibri"/>
          <w:i/>
          <w:sz w:val="22"/>
          <w:szCs w:val="22"/>
          <w:lang w:val="en-US" w:eastAsia="en-US"/>
        </w:rPr>
        <w:t>q</w:t>
      </w:r>
      <w:r w:rsidRPr="00E73FF0">
        <w:rPr>
          <w:rFonts w:eastAsia="Calibri"/>
          <w:sz w:val="22"/>
          <w:szCs w:val="22"/>
          <w:lang w:eastAsia="en-US"/>
        </w:rPr>
        <w:t xml:space="preserve"> – пропускная способность зерноуборочного комбайна, кг/с;</w:t>
      </w:r>
    </w:p>
    <w:p w:rsidR="00E73FF0" w:rsidRPr="00E73FF0" w:rsidRDefault="00E73FF0" w:rsidP="00E73FF0">
      <w:pPr>
        <w:ind w:firstLine="426"/>
        <w:jc w:val="both"/>
        <w:rPr>
          <w:rFonts w:eastAsia="Calibri"/>
          <w:sz w:val="22"/>
          <w:szCs w:val="22"/>
          <w:lang w:eastAsia="en-US"/>
        </w:rPr>
      </w:pPr>
      <w:r w:rsidRPr="00E73FF0">
        <w:rPr>
          <w:rFonts w:eastAsia="Calibri"/>
          <w:position w:val="-10"/>
          <w:sz w:val="22"/>
          <w:szCs w:val="22"/>
          <w:lang w:eastAsia="en-US"/>
        </w:rPr>
        <w:object w:dxaOrig="380" w:dyaOrig="380">
          <v:shape id="_x0000_i1028" type="#_x0000_t75" style="width:17.05pt;height:17.05pt" o:ole="">
            <v:imagedata r:id="rId109" o:title=""/>
          </v:shape>
          <o:OLEObject Type="Embed" ProgID="Equation.3" ShapeID="_x0000_i1028" DrawAspect="Content" ObjectID="_1590841696" r:id="rId110"/>
        </w:object>
      </w:r>
      <w:r w:rsidRPr="00E73FF0">
        <w:rPr>
          <w:rFonts w:eastAsia="Calibri"/>
          <w:sz w:val="22"/>
          <w:szCs w:val="22"/>
          <w:lang w:eastAsia="en-US"/>
        </w:rPr>
        <w:t xml:space="preserve"> – производительность комбайна, т/ч;</w:t>
      </w:r>
    </w:p>
    <w:p w:rsidR="00E73FF0" w:rsidRPr="00E73FF0" w:rsidRDefault="00E73FF0" w:rsidP="00E73FF0">
      <w:pPr>
        <w:ind w:left="993" w:hanging="567"/>
        <w:jc w:val="both"/>
        <w:rPr>
          <w:rFonts w:eastAsia="Calibri"/>
          <w:sz w:val="22"/>
          <w:szCs w:val="22"/>
          <w:lang w:eastAsia="en-US"/>
        </w:rPr>
      </w:pPr>
      <w:r w:rsidRPr="00E73FF0">
        <w:rPr>
          <w:rFonts w:eastAsia="Calibri"/>
          <w:i/>
          <w:sz w:val="22"/>
          <w:szCs w:val="22"/>
          <w:lang w:eastAsia="en-US"/>
        </w:rPr>
        <w:t>n</w:t>
      </w:r>
      <w:r w:rsidRPr="00E73FF0">
        <w:rPr>
          <w:rFonts w:eastAsia="Calibri"/>
          <w:sz w:val="22"/>
          <w:szCs w:val="22"/>
          <w:vertAlign w:val="subscript"/>
          <w:lang w:eastAsia="en-US"/>
        </w:rPr>
        <w:t>к</w:t>
      </w:r>
      <w:r w:rsidRPr="00E73FF0">
        <w:rPr>
          <w:rFonts w:eastAsia="Calibri"/>
          <w:sz w:val="22"/>
          <w:szCs w:val="22"/>
          <w:lang w:eastAsia="en-US"/>
        </w:rPr>
        <w:t xml:space="preserve"> – количество зерноуборочных комбайнов с предлагаемым режущим аппаратом, шт.;</w:t>
      </w:r>
    </w:p>
    <w:p w:rsidR="00E73FF0" w:rsidRPr="00E73FF0" w:rsidRDefault="00E73FF0" w:rsidP="00E73FF0">
      <w:pPr>
        <w:ind w:firstLine="426"/>
        <w:jc w:val="both"/>
        <w:rPr>
          <w:rFonts w:eastAsia="Calibri"/>
          <w:sz w:val="22"/>
          <w:szCs w:val="22"/>
          <w:lang w:eastAsia="en-US"/>
        </w:rPr>
      </w:pPr>
      <w:r w:rsidRPr="00E73FF0">
        <w:rPr>
          <w:rFonts w:eastAsia="Calibri"/>
          <w:i/>
          <w:sz w:val="22"/>
          <w:szCs w:val="22"/>
          <w:lang w:eastAsia="en-US"/>
        </w:rPr>
        <w:t>n</w:t>
      </w:r>
      <w:r w:rsidRPr="00E73FF0">
        <w:rPr>
          <w:rFonts w:eastAsia="Calibri"/>
          <w:sz w:val="22"/>
          <w:szCs w:val="22"/>
          <w:vertAlign w:val="subscript"/>
          <w:lang w:eastAsia="en-US"/>
        </w:rPr>
        <w:t>нп</w:t>
      </w:r>
      <w:r w:rsidRPr="00E73FF0">
        <w:rPr>
          <w:rFonts w:eastAsia="Calibri"/>
          <w:sz w:val="22"/>
          <w:szCs w:val="22"/>
          <w:lang w:eastAsia="en-US"/>
        </w:rPr>
        <w:t xml:space="preserve"> – количество накопителей-перегрузчиков, шт.;</w:t>
      </w:r>
    </w:p>
    <w:p w:rsidR="00E73FF0" w:rsidRPr="00E73FF0" w:rsidRDefault="00E73FF0" w:rsidP="00E73FF0">
      <w:pPr>
        <w:ind w:firstLine="426"/>
        <w:jc w:val="both"/>
        <w:rPr>
          <w:rFonts w:eastAsia="Calibri"/>
          <w:sz w:val="22"/>
          <w:szCs w:val="22"/>
          <w:lang w:eastAsia="en-US"/>
        </w:rPr>
      </w:pPr>
      <w:r w:rsidRPr="00E73FF0">
        <w:rPr>
          <w:rFonts w:eastAsia="Calibri"/>
          <w:i/>
          <w:sz w:val="22"/>
          <w:szCs w:val="22"/>
          <w:lang w:eastAsia="en-US"/>
        </w:rPr>
        <w:t>W</w:t>
      </w:r>
      <w:r w:rsidRPr="00E73FF0">
        <w:rPr>
          <w:rFonts w:eastAsia="Calibri"/>
          <w:sz w:val="22"/>
          <w:szCs w:val="22"/>
          <w:vertAlign w:val="subscript"/>
          <w:lang w:eastAsia="en-US"/>
        </w:rPr>
        <w:t xml:space="preserve">нп </w:t>
      </w:r>
      <w:r w:rsidRPr="00E73FF0">
        <w:rPr>
          <w:rFonts w:eastAsia="Calibri"/>
          <w:sz w:val="22"/>
          <w:szCs w:val="22"/>
          <w:lang w:eastAsia="en-US"/>
        </w:rPr>
        <w:t>– производительность накопителя-перегрузчика, т/ч;</w:t>
      </w:r>
    </w:p>
    <w:p w:rsidR="00E73FF0" w:rsidRPr="00E73FF0" w:rsidRDefault="00E73FF0" w:rsidP="00E73FF0">
      <w:pPr>
        <w:ind w:firstLine="426"/>
        <w:jc w:val="both"/>
        <w:rPr>
          <w:rFonts w:eastAsia="Calibri"/>
          <w:sz w:val="22"/>
          <w:szCs w:val="22"/>
          <w:lang w:eastAsia="en-US"/>
        </w:rPr>
      </w:pPr>
      <w:r w:rsidRPr="00E73FF0">
        <w:rPr>
          <w:rFonts w:eastAsia="Calibri"/>
          <w:i/>
          <w:sz w:val="22"/>
          <w:szCs w:val="22"/>
          <w:lang w:eastAsia="en-US"/>
        </w:rPr>
        <w:lastRenderedPageBreak/>
        <w:t>G</w:t>
      </w:r>
      <w:r w:rsidRPr="00E73FF0">
        <w:rPr>
          <w:rFonts w:eastAsia="Calibri"/>
          <w:sz w:val="22"/>
          <w:szCs w:val="22"/>
          <w:vertAlign w:val="subscript"/>
          <w:lang w:eastAsia="en-US"/>
        </w:rPr>
        <w:t>нп</w:t>
      </w:r>
      <w:r w:rsidRPr="00E73FF0">
        <w:rPr>
          <w:rFonts w:eastAsia="Calibri"/>
          <w:sz w:val="22"/>
          <w:szCs w:val="22"/>
          <w:lang w:eastAsia="en-US"/>
        </w:rPr>
        <w:t xml:space="preserve"> – масса накопителя-перегрузчика, кг;</w:t>
      </w:r>
    </w:p>
    <w:p w:rsidR="00E73FF0" w:rsidRPr="00E73FF0" w:rsidRDefault="00E73FF0" w:rsidP="00E73FF0">
      <w:pPr>
        <w:ind w:firstLine="426"/>
        <w:jc w:val="both"/>
        <w:rPr>
          <w:rFonts w:eastAsia="Calibri"/>
          <w:sz w:val="22"/>
          <w:szCs w:val="22"/>
          <w:lang w:eastAsia="en-US"/>
        </w:rPr>
      </w:pPr>
      <w:r w:rsidRPr="00E73FF0">
        <w:rPr>
          <w:rFonts w:eastAsia="Calibri"/>
          <w:position w:val="-14"/>
          <w:sz w:val="22"/>
          <w:szCs w:val="22"/>
          <w:lang w:eastAsia="en-US"/>
        </w:rPr>
        <w:object w:dxaOrig="420" w:dyaOrig="400">
          <v:shape id="_x0000_i1029" type="#_x0000_t75" style="width:17.05pt;height:17.9pt" o:ole="">
            <v:imagedata r:id="rId111" o:title=""/>
          </v:shape>
          <o:OLEObject Type="Embed" ProgID="Equation.3" ShapeID="_x0000_i1029" DrawAspect="Content" ObjectID="_1590841697" r:id="rId112"/>
        </w:object>
      </w:r>
      <w:r w:rsidRPr="00E73FF0">
        <w:rPr>
          <w:rFonts w:eastAsia="Calibri"/>
          <w:sz w:val="22"/>
          <w:szCs w:val="22"/>
          <w:lang w:eastAsia="en-US"/>
        </w:rPr>
        <w:t xml:space="preserve"> – масса трактора, </w:t>
      </w:r>
      <w:proofErr w:type="gramStart"/>
      <w:r w:rsidRPr="00E73FF0">
        <w:rPr>
          <w:rFonts w:eastAsia="Calibri"/>
          <w:sz w:val="22"/>
          <w:szCs w:val="22"/>
          <w:lang w:eastAsia="en-US"/>
        </w:rPr>
        <w:t>кг</w:t>
      </w:r>
      <w:proofErr w:type="gramEnd"/>
      <w:r w:rsidRPr="00E73FF0">
        <w:rPr>
          <w:rFonts w:eastAsia="Calibri"/>
          <w:sz w:val="22"/>
          <w:szCs w:val="22"/>
          <w:lang w:eastAsia="en-US"/>
        </w:rPr>
        <w:t>;</w:t>
      </w:r>
    </w:p>
    <w:p w:rsidR="00E73FF0" w:rsidRPr="00E73FF0" w:rsidRDefault="00E73FF0" w:rsidP="00E73FF0">
      <w:pPr>
        <w:ind w:firstLine="426"/>
        <w:jc w:val="both"/>
        <w:rPr>
          <w:rFonts w:eastAsia="Calibri"/>
          <w:sz w:val="22"/>
          <w:szCs w:val="22"/>
          <w:lang w:eastAsia="en-US"/>
        </w:rPr>
      </w:pPr>
      <w:r w:rsidRPr="00E73FF0">
        <w:rPr>
          <w:rFonts w:eastAsia="Calibri"/>
          <w:sz w:val="22"/>
          <w:szCs w:val="22"/>
          <w:lang w:val="en-US" w:eastAsia="en-US"/>
        </w:rPr>
        <w:t>V</w:t>
      </w:r>
      <w:r w:rsidRPr="00E73FF0">
        <w:rPr>
          <w:rFonts w:eastAsia="Calibri"/>
          <w:sz w:val="22"/>
          <w:szCs w:val="22"/>
          <w:vertAlign w:val="subscript"/>
          <w:lang w:eastAsia="en-US"/>
        </w:rPr>
        <w:t xml:space="preserve">нп </w:t>
      </w:r>
      <w:r w:rsidRPr="00E73FF0">
        <w:rPr>
          <w:rFonts w:eastAsia="Calibri"/>
          <w:sz w:val="22"/>
          <w:szCs w:val="22"/>
          <w:lang w:eastAsia="en-US"/>
        </w:rPr>
        <w:t>– объем бункера накопителя-перегрузчика, м</w:t>
      </w:r>
      <w:r w:rsidRPr="00E73FF0">
        <w:rPr>
          <w:rFonts w:eastAsia="Calibri"/>
          <w:sz w:val="22"/>
          <w:szCs w:val="22"/>
          <w:vertAlign w:val="superscript"/>
          <w:lang w:eastAsia="en-US"/>
        </w:rPr>
        <w:t>3</w:t>
      </w:r>
      <w:r w:rsidRPr="00E73FF0">
        <w:rPr>
          <w:rFonts w:eastAsia="Calibri"/>
          <w:sz w:val="22"/>
          <w:szCs w:val="22"/>
          <w:lang w:eastAsia="en-US"/>
        </w:rPr>
        <w:t>;</w:t>
      </w:r>
    </w:p>
    <w:p w:rsidR="00E73FF0" w:rsidRPr="00E73FF0" w:rsidRDefault="00E73FF0" w:rsidP="00E73FF0">
      <w:pPr>
        <w:ind w:firstLine="426"/>
        <w:jc w:val="both"/>
        <w:rPr>
          <w:rFonts w:eastAsia="Calibri"/>
          <w:sz w:val="22"/>
          <w:szCs w:val="22"/>
          <w:lang w:eastAsia="en-US"/>
        </w:rPr>
      </w:pPr>
      <w:r w:rsidRPr="00E73FF0">
        <w:rPr>
          <w:rFonts w:eastAsia="Calibri"/>
          <w:position w:val="-12"/>
          <w:sz w:val="22"/>
          <w:szCs w:val="22"/>
          <w:lang w:eastAsia="en-US"/>
        </w:rPr>
        <w:object w:dxaOrig="460" w:dyaOrig="380">
          <v:shape id="_x0000_i1030" type="#_x0000_t75" style="width:22.45pt;height:16.65pt" o:ole="">
            <v:imagedata r:id="rId113" o:title=""/>
          </v:shape>
          <o:OLEObject Type="Embed" ProgID="Equation.3" ShapeID="_x0000_i1030" DrawAspect="Content" ObjectID="_1590841698" r:id="rId114"/>
        </w:object>
      </w:r>
      <w:r w:rsidRPr="00E73FF0">
        <w:rPr>
          <w:rFonts w:eastAsia="Calibri"/>
          <w:sz w:val="22"/>
          <w:szCs w:val="22"/>
          <w:lang w:eastAsia="en-US"/>
        </w:rPr>
        <w:t>– мощность  двигателя трактора, кВт;</w:t>
      </w:r>
    </w:p>
    <w:p w:rsidR="00E73FF0" w:rsidRPr="00E73FF0" w:rsidRDefault="00E73FF0" w:rsidP="00E73FF0">
      <w:pPr>
        <w:ind w:left="1134" w:hanging="708"/>
        <w:jc w:val="both"/>
        <w:rPr>
          <w:rFonts w:eastAsia="Calibri"/>
          <w:sz w:val="22"/>
          <w:szCs w:val="22"/>
          <w:lang w:eastAsia="en-US"/>
        </w:rPr>
      </w:pPr>
      <w:r w:rsidRPr="00E73FF0">
        <w:rPr>
          <w:rFonts w:eastAsia="Calibri"/>
          <w:position w:val="-12"/>
          <w:sz w:val="22"/>
          <w:szCs w:val="22"/>
          <w:lang w:eastAsia="en-US"/>
        </w:rPr>
        <w:object w:dxaOrig="360" w:dyaOrig="380">
          <v:shape id="_x0000_i1031" type="#_x0000_t75" style="width:17.9pt;height:17.9pt" o:ole="">
            <v:imagedata r:id="rId115" o:title=""/>
          </v:shape>
          <o:OLEObject Type="Embed" ProgID="Equation.3" ShapeID="_x0000_i1031" DrawAspect="Content" ObjectID="_1590841699" r:id="rId116"/>
        </w:object>
      </w:r>
      <w:r w:rsidRPr="00E73FF0">
        <w:rPr>
          <w:rFonts w:eastAsia="Calibri"/>
          <w:sz w:val="22"/>
          <w:szCs w:val="22"/>
          <w:lang w:eastAsia="en-US"/>
        </w:rPr>
        <w:t xml:space="preserve"> – мощность двигателя  зерноуборочного комбайна, кВт.</w:t>
      </w:r>
    </w:p>
    <w:p w:rsidR="00E73FF0" w:rsidRPr="00E73FF0" w:rsidRDefault="00E73FF0" w:rsidP="00E73FF0">
      <w:pPr>
        <w:spacing w:line="276" w:lineRule="auto"/>
        <w:ind w:firstLine="425"/>
        <w:jc w:val="both"/>
        <w:rPr>
          <w:rFonts w:eastAsia="Calibri"/>
          <w:spacing w:val="-4"/>
          <w:sz w:val="22"/>
          <w:szCs w:val="22"/>
          <w:lang w:eastAsia="en-US"/>
        </w:rPr>
      </w:pPr>
      <w:r w:rsidRPr="00E73FF0">
        <w:rPr>
          <w:rFonts w:eastAsia="Calibri"/>
          <w:spacing w:val="-4"/>
          <w:sz w:val="22"/>
          <w:szCs w:val="22"/>
          <w:lang w:eastAsia="en-US"/>
        </w:rPr>
        <w:t>В результате оптимизации модернизация жатки зерноуборочного комбайна обеспечила уменьшение энергозатрат с 250,3 МДж/т до 235,1 МДж/т, рост производительности комбайна с 4,0 га/ч до 4,8 га/ч, повышение пропускной способности – с 10,8 кг/с до 13,0 кг/с. Опт</w:t>
      </w:r>
      <w:r w:rsidRPr="00E73FF0">
        <w:rPr>
          <w:rFonts w:eastAsia="Calibri"/>
          <w:spacing w:val="-4"/>
          <w:sz w:val="22"/>
          <w:szCs w:val="22"/>
          <w:lang w:eastAsia="en-US"/>
        </w:rPr>
        <w:t>и</w:t>
      </w:r>
      <w:r w:rsidRPr="00E73FF0">
        <w:rPr>
          <w:rFonts w:eastAsia="Calibri"/>
          <w:spacing w:val="-4"/>
          <w:sz w:val="22"/>
          <w:szCs w:val="22"/>
          <w:lang w:eastAsia="en-US"/>
        </w:rPr>
        <w:t>мальная ширина захвата жатки составила 9 м, рабочая скорость дв</w:t>
      </w:r>
      <w:r w:rsidRPr="00E73FF0">
        <w:rPr>
          <w:rFonts w:eastAsia="Calibri"/>
          <w:spacing w:val="-4"/>
          <w:sz w:val="22"/>
          <w:szCs w:val="22"/>
          <w:lang w:eastAsia="en-US"/>
        </w:rPr>
        <w:t>и</w:t>
      </w:r>
      <w:r w:rsidRPr="00E73FF0">
        <w:rPr>
          <w:rFonts w:eastAsia="Calibri"/>
          <w:spacing w:val="-4"/>
          <w:sz w:val="22"/>
          <w:szCs w:val="22"/>
          <w:lang w:eastAsia="en-US"/>
        </w:rPr>
        <w:t>жения комбайна – 6 км/ч, масса комбайна – 15290 кг, мощность двиг</w:t>
      </w:r>
      <w:r w:rsidRPr="00E73FF0">
        <w:rPr>
          <w:rFonts w:eastAsia="Calibri"/>
          <w:spacing w:val="-4"/>
          <w:sz w:val="22"/>
          <w:szCs w:val="22"/>
          <w:lang w:eastAsia="en-US"/>
        </w:rPr>
        <w:t>а</w:t>
      </w:r>
      <w:r w:rsidRPr="00E73FF0">
        <w:rPr>
          <w:rFonts w:eastAsia="Calibri"/>
          <w:spacing w:val="-4"/>
          <w:sz w:val="22"/>
          <w:szCs w:val="22"/>
          <w:lang w:eastAsia="en-US"/>
        </w:rPr>
        <w:t>теля – 299 кВт, оптимальные сроки уборки – 7 дней.</w:t>
      </w:r>
    </w:p>
    <w:p w:rsidR="00E73FF0" w:rsidRPr="00E73FF0" w:rsidRDefault="00E73FF0" w:rsidP="00E73FF0">
      <w:pPr>
        <w:spacing w:line="276" w:lineRule="auto"/>
        <w:ind w:firstLine="425"/>
        <w:jc w:val="both"/>
        <w:rPr>
          <w:rFonts w:eastAsia="Calibri"/>
          <w:spacing w:val="-4"/>
          <w:sz w:val="22"/>
          <w:szCs w:val="22"/>
          <w:lang w:eastAsia="en-US"/>
        </w:rPr>
      </w:pPr>
    </w:p>
    <w:p w:rsidR="00E73FF0" w:rsidRPr="00E73FF0" w:rsidRDefault="00E73FF0" w:rsidP="00E73FF0">
      <w:pPr>
        <w:widowControl w:val="0"/>
        <w:autoSpaceDE w:val="0"/>
        <w:autoSpaceDN w:val="0"/>
        <w:adjustRightInd w:val="0"/>
        <w:ind w:firstLine="426"/>
        <w:jc w:val="center"/>
        <w:rPr>
          <w:rFonts w:eastAsia="Calibri" w:cs="Arial"/>
          <w:color w:val="000000"/>
          <w:sz w:val="22"/>
          <w:szCs w:val="22"/>
          <w:lang w:eastAsia="en-US"/>
        </w:rPr>
      </w:pPr>
      <w:r w:rsidRPr="00E73FF0">
        <w:rPr>
          <w:rFonts w:eastAsia="Calibri" w:cs="Arial"/>
          <w:color w:val="000000"/>
          <w:sz w:val="22"/>
          <w:szCs w:val="22"/>
          <w:lang w:eastAsia="en-US"/>
        </w:rPr>
        <w:t>Список литературы</w:t>
      </w:r>
    </w:p>
    <w:p w:rsidR="00E73FF0" w:rsidRPr="00E73FF0" w:rsidRDefault="00E73FF0" w:rsidP="00E73FF0">
      <w:pPr>
        <w:widowControl w:val="0"/>
        <w:autoSpaceDE w:val="0"/>
        <w:autoSpaceDN w:val="0"/>
        <w:adjustRightInd w:val="0"/>
        <w:ind w:firstLine="426"/>
        <w:jc w:val="both"/>
        <w:rPr>
          <w:rFonts w:eastAsia="Courier New"/>
          <w:sz w:val="22"/>
          <w:szCs w:val="22"/>
          <w:lang w:eastAsia="en-US"/>
        </w:rPr>
      </w:pPr>
      <w:r w:rsidRPr="00E73FF0">
        <w:rPr>
          <w:rFonts w:eastAsia="Courier New"/>
          <w:sz w:val="22"/>
          <w:szCs w:val="22"/>
          <w:lang w:eastAsia="en-US"/>
        </w:rPr>
        <w:t>1.</w:t>
      </w:r>
      <w:r w:rsidRPr="00E73FF0">
        <w:rPr>
          <w:rFonts w:eastAsia="Courier New"/>
          <w:bCs/>
          <w:sz w:val="22"/>
          <w:szCs w:val="22"/>
          <w:lang w:eastAsia="en-US"/>
        </w:rPr>
        <w:t xml:space="preserve"> Труфляк Е. В. Современные зерноуборочные комбайны: учеб. пособие / Е. В. Труфляк, Е.И. Трубилин. – Краснодар: КубГАУ, 2013. – 320 с</w:t>
      </w:r>
      <w:r w:rsidRPr="00E73FF0">
        <w:rPr>
          <w:rFonts w:eastAsia="Courier New"/>
          <w:sz w:val="22"/>
          <w:szCs w:val="22"/>
          <w:lang w:eastAsia="en-US"/>
        </w:rPr>
        <w:t>.</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2. Труфляк Е. В. Кукурузоуборочные машины: учеб. пособие / Е. В. Труфляк. – Краснодар: КубГАУ, 2008. – 249 с.</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3. Маслов Г. Г. Машинная технология возделывания и уборки озимой пшеницы: учеб. пособие / Г. Г. Маслов. – Краснодар: КубГАУ, 2011. – 84 с.</w:t>
      </w:r>
    </w:p>
    <w:p w:rsidR="00E73FF0" w:rsidRPr="00E73FF0" w:rsidRDefault="00E73FF0" w:rsidP="00E73FF0">
      <w:pPr>
        <w:widowControl w:val="0"/>
        <w:autoSpaceDE w:val="0"/>
        <w:autoSpaceDN w:val="0"/>
        <w:adjustRightInd w:val="0"/>
        <w:ind w:firstLine="426"/>
        <w:jc w:val="both"/>
        <w:rPr>
          <w:rFonts w:eastAsia="Calibri"/>
          <w:sz w:val="22"/>
          <w:szCs w:val="22"/>
          <w:lang w:val="en-US" w:eastAsia="en-US"/>
        </w:rPr>
      </w:pPr>
      <w:r w:rsidRPr="00E73FF0">
        <w:rPr>
          <w:rFonts w:eastAsia="Calibri"/>
          <w:sz w:val="22"/>
          <w:szCs w:val="22"/>
          <w:lang w:val="en-US" w:eastAsia="en-US"/>
        </w:rPr>
        <w:t>4. Evgeniy Ivanovich Trubilin, Evgeniy Vladimirovich Truflyak, and Sergei Mikhailovich Sidorenko. Multilevel Systematic Approach To Optimization Of Corn Grain Harvesting, Transportation, Post-Harvesting Processing And Storage // Research Journal of Pharmaceutical, Biolog</w:t>
      </w:r>
      <w:r w:rsidRPr="00E73FF0">
        <w:rPr>
          <w:rFonts w:eastAsia="Calibri"/>
          <w:sz w:val="22"/>
          <w:szCs w:val="22"/>
          <w:lang w:val="en-US" w:eastAsia="en-US"/>
        </w:rPr>
        <w:t>i</w:t>
      </w:r>
      <w:r w:rsidRPr="00E73FF0">
        <w:rPr>
          <w:rFonts w:eastAsia="Calibri"/>
          <w:sz w:val="22"/>
          <w:szCs w:val="22"/>
          <w:lang w:val="en-US" w:eastAsia="en-US"/>
        </w:rPr>
        <w:t>cal and Chemical Sciences. – 2016. – №7(2). – P. 1426–1437.</w:t>
      </w:r>
    </w:p>
    <w:p w:rsidR="00E73FF0" w:rsidRPr="00E73FF0" w:rsidRDefault="00E73FF0" w:rsidP="00E73FF0">
      <w:pPr>
        <w:widowControl w:val="0"/>
        <w:autoSpaceDE w:val="0"/>
        <w:autoSpaceDN w:val="0"/>
        <w:adjustRightInd w:val="0"/>
        <w:ind w:firstLine="426"/>
        <w:jc w:val="both"/>
        <w:rPr>
          <w:rFonts w:eastAsia="Calibri"/>
          <w:sz w:val="22"/>
          <w:szCs w:val="22"/>
          <w:lang w:val="en-US" w:eastAsia="en-US"/>
        </w:rPr>
      </w:pPr>
      <w:r w:rsidRPr="00E73FF0">
        <w:rPr>
          <w:rFonts w:eastAsia="Calibri"/>
          <w:sz w:val="22"/>
          <w:szCs w:val="22"/>
          <w:lang w:val="en-US" w:eastAsia="en-US"/>
        </w:rPr>
        <w:t>5. Gennadiy Georgiyevich Maslov, Evgeniy Ivanovich Trubilin, and Evgeniy Vladimirovich Truflyak. Parameters Optimization for Mult</w:t>
      </w:r>
      <w:r w:rsidRPr="00E73FF0">
        <w:rPr>
          <w:rFonts w:eastAsia="Calibri"/>
          <w:sz w:val="22"/>
          <w:szCs w:val="22"/>
          <w:lang w:val="en-US" w:eastAsia="en-US"/>
        </w:rPr>
        <w:t>i</w:t>
      </w:r>
      <w:r w:rsidRPr="00E73FF0">
        <w:rPr>
          <w:rFonts w:eastAsia="Calibri"/>
          <w:sz w:val="22"/>
          <w:szCs w:val="22"/>
          <w:lang w:val="en-US" w:eastAsia="en-US"/>
        </w:rPr>
        <w:t>functional Aggregates in Plant Growing Mechanization // Research Journal of Pharmaceutical, Biological and Chemical Sciences. – 2016.– №7(3). – P. 1919–1926.</w:t>
      </w:r>
    </w:p>
    <w:p w:rsidR="00E73FF0" w:rsidRPr="00E73FF0" w:rsidRDefault="00E73FF0" w:rsidP="00E73FF0">
      <w:pPr>
        <w:widowControl w:val="0"/>
        <w:autoSpaceDE w:val="0"/>
        <w:autoSpaceDN w:val="0"/>
        <w:adjustRightInd w:val="0"/>
        <w:ind w:firstLine="426"/>
        <w:jc w:val="both"/>
        <w:rPr>
          <w:rFonts w:ascii="Calibri" w:eastAsia="Calibri" w:hAnsi="Calibri" w:cs="Calibri"/>
          <w:sz w:val="22"/>
          <w:szCs w:val="22"/>
          <w:lang w:val="en-US" w:eastAsia="en-US"/>
        </w:rPr>
      </w:pPr>
      <w:r w:rsidRPr="00E73FF0">
        <w:rPr>
          <w:rFonts w:eastAsia="Calibri"/>
          <w:sz w:val="22"/>
          <w:szCs w:val="22"/>
          <w:lang w:val="en-US" w:eastAsia="en-US"/>
        </w:rPr>
        <w:t>6. Yuriy Aleksandrovich Tsarev, Evgeny Ivanovich Trubilin, Evgeniy Vladimirovich Truflyak and Elena Yuryevna Adamchukova. Parameters Adaptive system of parameter settings of self-moving ha</w:t>
      </w:r>
      <w:r w:rsidRPr="00E73FF0">
        <w:rPr>
          <w:rFonts w:eastAsia="Calibri"/>
          <w:sz w:val="22"/>
          <w:szCs w:val="22"/>
          <w:lang w:val="en-US" w:eastAsia="en-US"/>
        </w:rPr>
        <w:t>r</w:t>
      </w:r>
      <w:r w:rsidRPr="00E73FF0">
        <w:rPr>
          <w:rFonts w:eastAsia="Calibri"/>
          <w:sz w:val="22"/>
          <w:szCs w:val="22"/>
          <w:lang w:val="en-US" w:eastAsia="en-US"/>
        </w:rPr>
        <w:lastRenderedPageBreak/>
        <w:t>vesters – threshers’ operational procedures // Research Journal of Pha</w:t>
      </w:r>
      <w:r w:rsidRPr="00E73FF0">
        <w:rPr>
          <w:rFonts w:eastAsia="Calibri"/>
          <w:sz w:val="22"/>
          <w:szCs w:val="22"/>
          <w:lang w:val="en-US" w:eastAsia="en-US"/>
        </w:rPr>
        <w:t>r</w:t>
      </w:r>
      <w:r w:rsidRPr="00E73FF0">
        <w:rPr>
          <w:rFonts w:eastAsia="Calibri"/>
          <w:sz w:val="22"/>
          <w:szCs w:val="22"/>
          <w:lang w:val="en-US" w:eastAsia="en-US"/>
        </w:rPr>
        <w:t xml:space="preserve">maceutical, Biological and Chemical Sciences. – 2017.– </w:t>
      </w:r>
      <w:r w:rsidRPr="001E2F2C">
        <w:rPr>
          <w:rFonts w:eastAsia="Calibri"/>
          <w:sz w:val="22"/>
          <w:szCs w:val="22"/>
          <w:lang w:val="en-US" w:eastAsia="en-US"/>
        </w:rPr>
        <w:t>№8(1). – P. 1847–1851.</w:t>
      </w:r>
    </w:p>
    <w:p w:rsidR="00E73FF0" w:rsidRPr="001E2F2C" w:rsidRDefault="00E73FF0" w:rsidP="00B43BBC">
      <w:pPr>
        <w:pStyle w:val="31"/>
        <w:rPr>
          <w:sz w:val="22"/>
          <w:szCs w:val="22"/>
          <w:lang w:val="en-US"/>
        </w:rPr>
      </w:pPr>
    </w:p>
    <w:p w:rsidR="00573255" w:rsidRPr="008D33CB" w:rsidRDefault="00573255" w:rsidP="00E90444">
      <w:pPr>
        <w:pStyle w:val="31"/>
        <w:ind w:firstLine="0"/>
        <w:rPr>
          <w:sz w:val="22"/>
          <w:szCs w:val="22"/>
          <w:lang w:val="en-US"/>
        </w:rPr>
      </w:pPr>
    </w:p>
    <w:p w:rsidR="00E73FF0" w:rsidRPr="00024398" w:rsidRDefault="00E73FF0" w:rsidP="00E73FF0">
      <w:pPr>
        <w:contextualSpacing/>
        <w:rPr>
          <w:color w:val="000000"/>
          <w:sz w:val="22"/>
          <w:szCs w:val="22"/>
          <w:lang w:val="en-US"/>
        </w:rPr>
      </w:pPr>
      <w:r w:rsidRPr="00573255">
        <w:rPr>
          <w:color w:val="000000"/>
          <w:sz w:val="22"/>
          <w:szCs w:val="22"/>
        </w:rPr>
        <w:t>УДК</w:t>
      </w:r>
      <w:r w:rsidRPr="00573255">
        <w:rPr>
          <w:color w:val="000000"/>
          <w:sz w:val="22"/>
          <w:szCs w:val="22"/>
          <w:lang w:val="en-US"/>
        </w:rPr>
        <w:t xml:space="preserve"> 631.3.0 </w:t>
      </w:r>
    </w:p>
    <w:p w:rsidR="00573255" w:rsidRPr="00024398" w:rsidRDefault="00573255" w:rsidP="00E73FF0">
      <w:pPr>
        <w:contextualSpacing/>
        <w:rPr>
          <w:color w:val="000000"/>
          <w:sz w:val="22"/>
          <w:szCs w:val="22"/>
          <w:lang w:val="en-US"/>
        </w:rPr>
      </w:pPr>
    </w:p>
    <w:p w:rsidR="00E73FF0" w:rsidRPr="00024398" w:rsidRDefault="00E73FF0" w:rsidP="00E73FF0">
      <w:pPr>
        <w:contextualSpacing/>
        <w:jc w:val="center"/>
        <w:rPr>
          <w:b/>
          <w:color w:val="000000"/>
          <w:sz w:val="22"/>
          <w:szCs w:val="24"/>
          <w:lang w:val="en-US"/>
        </w:rPr>
      </w:pPr>
      <w:r w:rsidRPr="00E73FF0">
        <w:rPr>
          <w:rFonts w:eastAsiaTheme="minorHAnsi"/>
          <w:b/>
          <w:sz w:val="24"/>
          <w:lang w:eastAsia="en-US"/>
        </w:rPr>
        <w:t>Технология</w:t>
      </w:r>
      <w:r w:rsidRPr="00024398">
        <w:rPr>
          <w:rFonts w:eastAsiaTheme="minorHAnsi"/>
          <w:b/>
          <w:sz w:val="24"/>
          <w:lang w:val="en-US" w:eastAsia="en-US"/>
        </w:rPr>
        <w:t xml:space="preserve"> </w:t>
      </w:r>
      <w:r w:rsidRPr="00E73FF0">
        <w:rPr>
          <w:rFonts w:eastAsiaTheme="minorHAnsi"/>
          <w:b/>
          <w:sz w:val="24"/>
          <w:lang w:eastAsia="en-US"/>
        </w:rPr>
        <w:t>предпосевной</w:t>
      </w:r>
      <w:r w:rsidRPr="00024398">
        <w:rPr>
          <w:rFonts w:eastAsiaTheme="minorHAnsi"/>
          <w:b/>
          <w:sz w:val="24"/>
          <w:lang w:val="en-US" w:eastAsia="en-US"/>
        </w:rPr>
        <w:t xml:space="preserve"> </w:t>
      </w:r>
      <w:r w:rsidRPr="00E73FF0">
        <w:rPr>
          <w:rFonts w:eastAsiaTheme="minorHAnsi"/>
          <w:b/>
          <w:sz w:val="24"/>
          <w:lang w:eastAsia="en-US"/>
        </w:rPr>
        <w:t>обработки</w:t>
      </w:r>
      <w:r w:rsidRPr="00024398">
        <w:rPr>
          <w:rFonts w:eastAsiaTheme="minorHAnsi"/>
          <w:b/>
          <w:sz w:val="24"/>
          <w:lang w:val="en-US" w:eastAsia="en-US"/>
        </w:rPr>
        <w:t xml:space="preserve"> </w:t>
      </w:r>
      <w:r w:rsidRPr="00E73FF0">
        <w:rPr>
          <w:rFonts w:eastAsiaTheme="minorHAnsi"/>
          <w:b/>
          <w:sz w:val="24"/>
          <w:lang w:eastAsia="en-US"/>
        </w:rPr>
        <w:t>почвы</w:t>
      </w:r>
      <w:r w:rsidRPr="00024398">
        <w:rPr>
          <w:rFonts w:eastAsiaTheme="minorHAnsi"/>
          <w:b/>
          <w:sz w:val="24"/>
          <w:lang w:val="en-US" w:eastAsia="en-US"/>
        </w:rPr>
        <w:t xml:space="preserve"> </w:t>
      </w:r>
      <w:r w:rsidR="00573255" w:rsidRPr="00024398">
        <w:rPr>
          <w:rFonts w:eastAsiaTheme="minorHAnsi"/>
          <w:b/>
          <w:sz w:val="24"/>
          <w:lang w:val="en-US" w:eastAsia="en-US"/>
        </w:rPr>
        <w:br/>
      </w:r>
      <w:r w:rsidRPr="00E73FF0">
        <w:rPr>
          <w:rFonts w:eastAsiaTheme="minorHAnsi"/>
          <w:b/>
          <w:sz w:val="24"/>
          <w:lang w:eastAsia="en-US"/>
        </w:rPr>
        <w:t>инновационным</w:t>
      </w:r>
      <w:r w:rsidRPr="00024398">
        <w:rPr>
          <w:rFonts w:eastAsiaTheme="minorHAnsi"/>
          <w:b/>
          <w:sz w:val="24"/>
          <w:lang w:val="en-US" w:eastAsia="en-US"/>
        </w:rPr>
        <w:t xml:space="preserve"> </w:t>
      </w:r>
      <w:r w:rsidRPr="00E73FF0">
        <w:rPr>
          <w:rFonts w:eastAsiaTheme="minorHAnsi"/>
          <w:b/>
          <w:sz w:val="24"/>
          <w:lang w:eastAsia="en-US"/>
        </w:rPr>
        <w:t>почвообрабатывающим</w:t>
      </w:r>
      <w:r w:rsidRPr="00024398">
        <w:rPr>
          <w:rFonts w:eastAsiaTheme="minorHAnsi"/>
          <w:b/>
          <w:sz w:val="24"/>
          <w:lang w:val="en-US" w:eastAsia="en-US"/>
        </w:rPr>
        <w:t xml:space="preserve"> </w:t>
      </w:r>
      <w:r w:rsidRPr="00E73FF0">
        <w:rPr>
          <w:rFonts w:eastAsiaTheme="minorHAnsi"/>
          <w:b/>
          <w:sz w:val="24"/>
          <w:lang w:eastAsia="en-US"/>
        </w:rPr>
        <w:t>рабочим</w:t>
      </w:r>
      <w:r w:rsidRPr="00024398">
        <w:rPr>
          <w:rFonts w:eastAsiaTheme="minorHAnsi"/>
          <w:b/>
          <w:sz w:val="24"/>
          <w:lang w:val="en-US" w:eastAsia="en-US"/>
        </w:rPr>
        <w:t xml:space="preserve"> </w:t>
      </w:r>
      <w:r w:rsidRPr="00E73FF0">
        <w:rPr>
          <w:rFonts w:eastAsiaTheme="minorHAnsi"/>
          <w:b/>
          <w:sz w:val="24"/>
          <w:lang w:eastAsia="en-US"/>
        </w:rPr>
        <w:t>органом</w:t>
      </w:r>
      <w:r w:rsidRPr="00024398">
        <w:rPr>
          <w:b/>
          <w:color w:val="000000"/>
          <w:sz w:val="22"/>
          <w:szCs w:val="24"/>
          <w:lang w:val="en-US"/>
        </w:rPr>
        <w:t xml:space="preserve"> </w:t>
      </w:r>
    </w:p>
    <w:p w:rsidR="00E73FF0" w:rsidRPr="00E73FF0" w:rsidRDefault="00E73FF0" w:rsidP="00E73FF0">
      <w:pPr>
        <w:contextualSpacing/>
        <w:jc w:val="center"/>
        <w:rPr>
          <w:rFonts w:eastAsiaTheme="minorHAnsi"/>
          <w:b/>
          <w:sz w:val="24"/>
          <w:szCs w:val="22"/>
          <w:lang w:val="en-US" w:eastAsia="en-US"/>
        </w:rPr>
      </w:pPr>
      <w:r w:rsidRPr="00E73FF0">
        <w:rPr>
          <w:rFonts w:eastAsiaTheme="minorHAnsi"/>
          <w:b/>
          <w:sz w:val="24"/>
          <w:szCs w:val="22"/>
          <w:lang w:val="en-US" w:eastAsia="en-US"/>
        </w:rPr>
        <w:t xml:space="preserve">Technology of pres-owing tillage with innovative tillage </w:t>
      </w:r>
    </w:p>
    <w:p w:rsidR="00E73FF0" w:rsidRPr="008D33CB" w:rsidRDefault="00E73FF0" w:rsidP="00E90444">
      <w:pPr>
        <w:contextualSpacing/>
        <w:jc w:val="center"/>
        <w:rPr>
          <w:b/>
          <w:color w:val="000000"/>
          <w:szCs w:val="24"/>
          <w:lang w:val="en-US"/>
        </w:rPr>
      </w:pPr>
      <w:proofErr w:type="gramStart"/>
      <w:r w:rsidRPr="00E73FF0">
        <w:rPr>
          <w:rFonts w:eastAsiaTheme="minorHAnsi"/>
          <w:b/>
          <w:sz w:val="24"/>
          <w:szCs w:val="22"/>
          <w:lang w:val="en-US" w:eastAsia="en-US"/>
        </w:rPr>
        <w:t>working</w:t>
      </w:r>
      <w:proofErr w:type="gramEnd"/>
      <w:r w:rsidRPr="00E73FF0">
        <w:rPr>
          <w:rFonts w:eastAsiaTheme="minorHAnsi"/>
          <w:b/>
          <w:sz w:val="24"/>
          <w:szCs w:val="22"/>
          <w:lang w:val="en-US" w:eastAsia="en-US"/>
        </w:rPr>
        <w:t xml:space="preserve"> body</w:t>
      </w:r>
    </w:p>
    <w:p w:rsidR="00E73FF0" w:rsidRPr="00024398" w:rsidRDefault="00E73FF0" w:rsidP="00E73FF0">
      <w:pPr>
        <w:contextualSpacing/>
        <w:jc w:val="right"/>
        <w:rPr>
          <w:color w:val="000000"/>
          <w:sz w:val="22"/>
          <w:szCs w:val="22"/>
          <w:lang w:val="en-US"/>
        </w:rPr>
      </w:pPr>
      <w:r w:rsidRPr="00E73FF0">
        <w:rPr>
          <w:color w:val="000000"/>
          <w:sz w:val="22"/>
          <w:szCs w:val="22"/>
        </w:rPr>
        <w:t>Сапрыкин</w:t>
      </w:r>
      <w:r w:rsidRPr="00024398">
        <w:rPr>
          <w:color w:val="000000"/>
          <w:sz w:val="22"/>
          <w:szCs w:val="22"/>
          <w:lang w:val="en-US"/>
        </w:rPr>
        <w:t xml:space="preserve"> </w:t>
      </w:r>
      <w:r w:rsidRPr="00E73FF0">
        <w:rPr>
          <w:color w:val="000000"/>
          <w:sz w:val="22"/>
          <w:szCs w:val="22"/>
        </w:rPr>
        <w:t>А</w:t>
      </w:r>
      <w:r w:rsidRPr="00024398">
        <w:rPr>
          <w:color w:val="000000"/>
          <w:sz w:val="22"/>
          <w:szCs w:val="22"/>
          <w:lang w:val="en-US"/>
        </w:rPr>
        <w:t>.</w:t>
      </w:r>
      <w:r w:rsidR="00573255" w:rsidRPr="00024398">
        <w:rPr>
          <w:color w:val="000000"/>
          <w:sz w:val="22"/>
          <w:szCs w:val="22"/>
          <w:lang w:val="en-US"/>
        </w:rPr>
        <w:t xml:space="preserve"> </w:t>
      </w:r>
      <w:r w:rsidRPr="00E73FF0">
        <w:rPr>
          <w:color w:val="000000"/>
          <w:sz w:val="22"/>
          <w:szCs w:val="22"/>
        </w:rPr>
        <w:t>В</w:t>
      </w:r>
      <w:r w:rsidRPr="00024398">
        <w:rPr>
          <w:color w:val="000000"/>
          <w:sz w:val="22"/>
          <w:szCs w:val="22"/>
          <w:lang w:val="en-US"/>
        </w:rPr>
        <w:t>.</w:t>
      </w:r>
      <w:r w:rsidR="00573255" w:rsidRPr="00024398">
        <w:rPr>
          <w:color w:val="000000"/>
          <w:sz w:val="22"/>
          <w:szCs w:val="22"/>
          <w:lang w:val="en-US"/>
        </w:rPr>
        <w:t>,</w:t>
      </w:r>
    </w:p>
    <w:p w:rsidR="00E73FF0" w:rsidRPr="00E73FF0" w:rsidRDefault="00E73FF0" w:rsidP="00E73FF0">
      <w:pPr>
        <w:contextualSpacing/>
        <w:jc w:val="right"/>
        <w:rPr>
          <w:color w:val="000000"/>
          <w:sz w:val="22"/>
          <w:szCs w:val="22"/>
        </w:rPr>
      </w:pPr>
      <w:r w:rsidRPr="00E73FF0">
        <w:rPr>
          <w:color w:val="000000"/>
          <w:sz w:val="22"/>
          <w:szCs w:val="22"/>
        </w:rPr>
        <w:t>магистрант 1-г</w:t>
      </w:r>
      <w:r w:rsidR="00573255">
        <w:rPr>
          <w:color w:val="000000"/>
          <w:sz w:val="22"/>
          <w:szCs w:val="22"/>
        </w:rPr>
        <w:t>о. курса факультета механизации</w:t>
      </w:r>
    </w:p>
    <w:p w:rsidR="00E73FF0" w:rsidRPr="00E73FF0" w:rsidRDefault="00E73FF0" w:rsidP="00E73FF0">
      <w:pPr>
        <w:contextualSpacing/>
        <w:jc w:val="right"/>
        <w:rPr>
          <w:color w:val="000000"/>
          <w:sz w:val="22"/>
          <w:szCs w:val="22"/>
        </w:rPr>
      </w:pPr>
      <w:r w:rsidRPr="00E73FF0">
        <w:rPr>
          <w:color w:val="000000"/>
          <w:sz w:val="22"/>
          <w:szCs w:val="22"/>
        </w:rPr>
        <w:t>Палапин А.</w:t>
      </w:r>
      <w:r w:rsidR="00573255">
        <w:rPr>
          <w:color w:val="000000"/>
          <w:sz w:val="22"/>
          <w:szCs w:val="22"/>
        </w:rPr>
        <w:t xml:space="preserve"> </w:t>
      </w:r>
      <w:r w:rsidRPr="00E73FF0">
        <w:rPr>
          <w:color w:val="000000"/>
          <w:sz w:val="22"/>
          <w:szCs w:val="22"/>
        </w:rPr>
        <w:t>В.</w:t>
      </w:r>
      <w:r w:rsidR="00573255">
        <w:rPr>
          <w:color w:val="000000"/>
          <w:sz w:val="22"/>
          <w:szCs w:val="22"/>
        </w:rPr>
        <w:t>,</w:t>
      </w:r>
    </w:p>
    <w:p w:rsidR="00E73FF0" w:rsidRPr="00E73FF0" w:rsidRDefault="00E73FF0" w:rsidP="00E73FF0">
      <w:pPr>
        <w:ind w:firstLine="426"/>
        <w:jc w:val="right"/>
        <w:rPr>
          <w:rFonts w:eastAsiaTheme="minorHAnsi"/>
          <w:sz w:val="22"/>
          <w:szCs w:val="22"/>
          <w:lang w:eastAsia="en-US"/>
        </w:rPr>
      </w:pPr>
      <w:r w:rsidRPr="00E73FF0">
        <w:rPr>
          <w:rFonts w:eastAsiaTheme="minorHAnsi"/>
          <w:sz w:val="22"/>
          <w:szCs w:val="22"/>
          <w:lang w:eastAsia="en-US"/>
        </w:rPr>
        <w:t>доцент кафедры «Процессы и машины в агробизнесе»</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573255">
        <w:rPr>
          <w:rFonts w:eastAsia="Courier New"/>
          <w:color w:val="000000"/>
          <w:sz w:val="22"/>
          <w:szCs w:val="22"/>
          <w:lang w:eastAsia="en-US"/>
        </w:rPr>
        <w:t>анский государственный аграрный</w:t>
      </w:r>
    </w:p>
    <w:p w:rsidR="00E73FF0" w:rsidRPr="00E73FF0" w:rsidRDefault="00E73FF0" w:rsidP="00E73FF0">
      <w:pPr>
        <w:widowControl w:val="0"/>
        <w:autoSpaceDE w:val="0"/>
        <w:autoSpaceDN w:val="0"/>
        <w:adjustRightInd w:val="0"/>
        <w:spacing w:after="240"/>
        <w:jc w:val="right"/>
        <w:rPr>
          <w:sz w:val="22"/>
          <w:szCs w:val="22"/>
        </w:rPr>
      </w:pPr>
      <w:r w:rsidRPr="00E73FF0">
        <w:rPr>
          <w:rFonts w:eastAsia="Courier New"/>
          <w:color w:val="000000"/>
          <w:sz w:val="22"/>
          <w:szCs w:val="22"/>
          <w:lang w:eastAsia="en-US"/>
        </w:rPr>
        <w:t>университет имени И.Т. Трубилина</w:t>
      </w:r>
    </w:p>
    <w:p w:rsidR="00E73FF0" w:rsidRPr="00E73FF0" w:rsidRDefault="00E73FF0" w:rsidP="00E73FF0">
      <w:pPr>
        <w:widowControl w:val="0"/>
        <w:autoSpaceDE w:val="0"/>
        <w:autoSpaceDN w:val="0"/>
        <w:adjustRightInd w:val="0"/>
        <w:ind w:firstLine="426"/>
        <w:jc w:val="both"/>
        <w:rPr>
          <w:sz w:val="22"/>
          <w:szCs w:val="22"/>
        </w:rPr>
      </w:pPr>
      <w:r w:rsidRPr="00E73FF0">
        <w:rPr>
          <w:sz w:val="22"/>
          <w:szCs w:val="22"/>
        </w:rPr>
        <w:t>АННОТАЦИЯ: В статье рассмотрен вопрос технологии обр</w:t>
      </w:r>
      <w:r w:rsidRPr="00E73FF0">
        <w:rPr>
          <w:sz w:val="22"/>
          <w:szCs w:val="22"/>
        </w:rPr>
        <w:t>а</w:t>
      </w:r>
      <w:r w:rsidRPr="00E73FF0">
        <w:rPr>
          <w:sz w:val="22"/>
          <w:szCs w:val="22"/>
        </w:rPr>
        <w:t>ботки почвы инновационным почвообрабатывающим рабочим о</w:t>
      </w:r>
      <w:r w:rsidRPr="00E73FF0">
        <w:rPr>
          <w:sz w:val="22"/>
          <w:szCs w:val="22"/>
        </w:rPr>
        <w:t>р</w:t>
      </w:r>
      <w:r w:rsidRPr="00E73FF0">
        <w:rPr>
          <w:sz w:val="22"/>
          <w:szCs w:val="22"/>
        </w:rPr>
        <w:t>ганом. Освещена конструкция рабочего органа и сфера его прим</w:t>
      </w:r>
      <w:r w:rsidRPr="00E73FF0">
        <w:rPr>
          <w:sz w:val="22"/>
          <w:szCs w:val="22"/>
        </w:rPr>
        <w:t>е</w:t>
      </w:r>
      <w:r w:rsidRPr="00E73FF0">
        <w:rPr>
          <w:sz w:val="22"/>
          <w:szCs w:val="22"/>
        </w:rPr>
        <w:t>нения. Сделаны краткие выводы по работе.</w:t>
      </w:r>
    </w:p>
    <w:p w:rsidR="00E73FF0" w:rsidRPr="00E73FF0" w:rsidRDefault="00E73FF0" w:rsidP="00E73FF0">
      <w:pPr>
        <w:widowControl w:val="0"/>
        <w:autoSpaceDE w:val="0"/>
        <w:autoSpaceDN w:val="0"/>
        <w:adjustRightInd w:val="0"/>
        <w:ind w:firstLine="426"/>
        <w:jc w:val="both"/>
        <w:rPr>
          <w:sz w:val="22"/>
          <w:szCs w:val="22"/>
        </w:rPr>
      </w:pPr>
      <w:r w:rsidRPr="00E73FF0">
        <w:rPr>
          <w:sz w:val="22"/>
          <w:szCs w:val="22"/>
          <w:lang w:val="en-US"/>
        </w:rPr>
        <w:t>ANNOTATION:</w:t>
      </w:r>
      <w:r w:rsidRPr="00E73FF0">
        <w:rPr>
          <w:rFonts w:eastAsiaTheme="minorHAnsi"/>
          <w:sz w:val="22"/>
          <w:szCs w:val="22"/>
          <w:lang w:val="en-US" w:eastAsia="en-US"/>
        </w:rPr>
        <w:t xml:space="preserve"> The paper considers the technology of soil cultiv</w:t>
      </w:r>
      <w:r w:rsidRPr="00E73FF0">
        <w:rPr>
          <w:rFonts w:eastAsiaTheme="minorHAnsi"/>
          <w:sz w:val="22"/>
          <w:szCs w:val="22"/>
          <w:lang w:val="en-US" w:eastAsia="en-US"/>
        </w:rPr>
        <w:t>a</w:t>
      </w:r>
      <w:r w:rsidRPr="00E73FF0">
        <w:rPr>
          <w:rFonts w:eastAsiaTheme="minorHAnsi"/>
          <w:sz w:val="22"/>
          <w:szCs w:val="22"/>
          <w:lang w:val="en-US" w:eastAsia="en-US"/>
        </w:rPr>
        <w:t>tion by an innovative tillage working body. The structure of the working organ and the sphere of its application are illuminated. Brief</w:t>
      </w:r>
      <w:r w:rsidRPr="00E73FF0">
        <w:rPr>
          <w:rFonts w:eastAsiaTheme="minorHAnsi"/>
          <w:sz w:val="22"/>
          <w:szCs w:val="22"/>
          <w:lang w:eastAsia="en-US"/>
        </w:rPr>
        <w:t xml:space="preserve"> </w:t>
      </w:r>
      <w:r w:rsidRPr="00E73FF0">
        <w:rPr>
          <w:rFonts w:eastAsiaTheme="minorHAnsi"/>
          <w:sz w:val="22"/>
          <w:szCs w:val="22"/>
          <w:lang w:val="en-US" w:eastAsia="en-US"/>
        </w:rPr>
        <w:t>conclusions</w:t>
      </w:r>
      <w:r w:rsidRPr="00E73FF0">
        <w:rPr>
          <w:rFonts w:eastAsiaTheme="minorHAnsi"/>
          <w:sz w:val="22"/>
          <w:szCs w:val="22"/>
          <w:lang w:eastAsia="en-US"/>
        </w:rPr>
        <w:t xml:space="preserve"> </w:t>
      </w:r>
      <w:r w:rsidRPr="00E73FF0">
        <w:rPr>
          <w:rFonts w:eastAsiaTheme="minorHAnsi"/>
          <w:sz w:val="22"/>
          <w:szCs w:val="22"/>
          <w:lang w:val="en-US" w:eastAsia="en-US"/>
        </w:rPr>
        <w:t>on</w:t>
      </w:r>
      <w:r w:rsidRPr="00E73FF0">
        <w:rPr>
          <w:rFonts w:eastAsiaTheme="minorHAnsi"/>
          <w:sz w:val="22"/>
          <w:szCs w:val="22"/>
          <w:lang w:eastAsia="en-US"/>
        </w:rPr>
        <w:t xml:space="preserve"> </w:t>
      </w:r>
      <w:r w:rsidRPr="00E73FF0">
        <w:rPr>
          <w:rFonts w:eastAsiaTheme="minorHAnsi"/>
          <w:sz w:val="22"/>
          <w:szCs w:val="22"/>
          <w:lang w:val="en-US" w:eastAsia="en-US"/>
        </w:rPr>
        <w:t>the</w:t>
      </w:r>
      <w:r w:rsidRPr="00E73FF0">
        <w:rPr>
          <w:rFonts w:eastAsiaTheme="minorHAnsi"/>
          <w:sz w:val="22"/>
          <w:szCs w:val="22"/>
          <w:lang w:eastAsia="en-US"/>
        </w:rPr>
        <w:t xml:space="preserve"> </w:t>
      </w:r>
      <w:r w:rsidRPr="00E73FF0">
        <w:rPr>
          <w:rFonts w:eastAsiaTheme="minorHAnsi"/>
          <w:sz w:val="22"/>
          <w:szCs w:val="22"/>
          <w:lang w:val="en-US" w:eastAsia="en-US"/>
        </w:rPr>
        <w:t>work</w:t>
      </w:r>
      <w:r w:rsidRPr="00E73FF0">
        <w:rPr>
          <w:rFonts w:eastAsiaTheme="minorHAnsi"/>
          <w:sz w:val="22"/>
          <w:szCs w:val="22"/>
          <w:lang w:eastAsia="en-US"/>
        </w:rPr>
        <w:t xml:space="preserve"> </w:t>
      </w:r>
      <w:r w:rsidRPr="00E73FF0">
        <w:rPr>
          <w:rFonts w:eastAsiaTheme="minorHAnsi"/>
          <w:sz w:val="22"/>
          <w:szCs w:val="22"/>
          <w:lang w:val="en-US" w:eastAsia="en-US"/>
        </w:rPr>
        <w:t>were</w:t>
      </w:r>
      <w:r w:rsidRPr="00E73FF0">
        <w:rPr>
          <w:rFonts w:eastAsiaTheme="minorHAnsi"/>
          <w:sz w:val="22"/>
          <w:szCs w:val="22"/>
          <w:lang w:eastAsia="en-US"/>
        </w:rPr>
        <w:t xml:space="preserve"> </w:t>
      </w:r>
      <w:r w:rsidRPr="00E73FF0">
        <w:rPr>
          <w:rFonts w:eastAsiaTheme="minorHAnsi"/>
          <w:sz w:val="22"/>
          <w:szCs w:val="22"/>
          <w:lang w:val="en-US" w:eastAsia="en-US"/>
        </w:rPr>
        <w:t>made</w:t>
      </w:r>
      <w:r w:rsidRPr="00E73FF0">
        <w:rPr>
          <w:rFonts w:eastAsiaTheme="minorHAnsi"/>
          <w:sz w:val="22"/>
          <w:szCs w:val="22"/>
          <w:lang w:eastAsia="en-US"/>
        </w:rPr>
        <w:t>.</w:t>
      </w:r>
    </w:p>
    <w:p w:rsidR="00E73FF0" w:rsidRPr="00E73FF0" w:rsidRDefault="00E73FF0" w:rsidP="00E73FF0">
      <w:pPr>
        <w:widowControl w:val="0"/>
        <w:autoSpaceDE w:val="0"/>
        <w:autoSpaceDN w:val="0"/>
        <w:adjustRightInd w:val="0"/>
        <w:ind w:firstLine="426"/>
        <w:jc w:val="both"/>
        <w:rPr>
          <w:spacing w:val="-4"/>
          <w:sz w:val="22"/>
          <w:szCs w:val="22"/>
        </w:rPr>
      </w:pPr>
      <w:r w:rsidRPr="00E73FF0">
        <w:rPr>
          <w:spacing w:val="-4"/>
          <w:sz w:val="22"/>
          <w:szCs w:val="22"/>
        </w:rPr>
        <w:t>КЛЮЧЕВЫЕ СЛОВА: Хозяйство, экономика, замещение импо</w:t>
      </w:r>
      <w:r w:rsidRPr="00E73FF0">
        <w:rPr>
          <w:spacing w:val="-4"/>
          <w:sz w:val="22"/>
          <w:szCs w:val="22"/>
        </w:rPr>
        <w:t>р</w:t>
      </w:r>
      <w:r w:rsidRPr="00E73FF0">
        <w:rPr>
          <w:spacing w:val="-4"/>
          <w:sz w:val="22"/>
          <w:szCs w:val="22"/>
        </w:rPr>
        <w:t>та, энергосредств, рабочий орган, растения.</w:t>
      </w:r>
    </w:p>
    <w:p w:rsidR="00E73FF0" w:rsidRPr="00E73FF0" w:rsidRDefault="00E73FF0" w:rsidP="00E73FF0">
      <w:pPr>
        <w:widowControl w:val="0"/>
        <w:autoSpaceDE w:val="0"/>
        <w:autoSpaceDN w:val="0"/>
        <w:adjustRightInd w:val="0"/>
        <w:ind w:firstLine="426"/>
        <w:jc w:val="both"/>
        <w:rPr>
          <w:sz w:val="22"/>
          <w:szCs w:val="22"/>
          <w:lang w:val="en-US"/>
        </w:rPr>
      </w:pPr>
      <w:r w:rsidRPr="00E73FF0">
        <w:rPr>
          <w:sz w:val="22"/>
          <w:szCs w:val="22"/>
          <w:lang w:val="en-US"/>
        </w:rPr>
        <w:t xml:space="preserve">KEYWORDS: </w:t>
      </w:r>
      <w:r w:rsidRPr="00E73FF0">
        <w:rPr>
          <w:rFonts w:eastAsiaTheme="minorHAnsi"/>
          <w:sz w:val="22"/>
          <w:szCs w:val="22"/>
          <w:lang w:val="en-US" w:eastAsia="en-US"/>
        </w:rPr>
        <w:t>Economy, economy, import substitution, energy r</w:t>
      </w:r>
      <w:r w:rsidRPr="00E73FF0">
        <w:rPr>
          <w:rFonts w:eastAsiaTheme="minorHAnsi"/>
          <w:sz w:val="22"/>
          <w:szCs w:val="22"/>
          <w:lang w:val="en-US" w:eastAsia="en-US"/>
        </w:rPr>
        <w:t>e</w:t>
      </w:r>
      <w:r w:rsidRPr="00E73FF0">
        <w:rPr>
          <w:rFonts w:eastAsiaTheme="minorHAnsi"/>
          <w:sz w:val="22"/>
          <w:szCs w:val="22"/>
          <w:lang w:val="en-US" w:eastAsia="en-US"/>
        </w:rPr>
        <w:t>sources, working body, plants.</w:t>
      </w:r>
    </w:p>
    <w:p w:rsidR="00E73FF0" w:rsidRPr="00E73FF0" w:rsidRDefault="00E73FF0" w:rsidP="00E73FF0">
      <w:pPr>
        <w:widowControl w:val="0"/>
        <w:autoSpaceDE w:val="0"/>
        <w:autoSpaceDN w:val="0"/>
        <w:adjustRightInd w:val="0"/>
        <w:ind w:firstLine="426"/>
        <w:jc w:val="both"/>
        <w:rPr>
          <w:sz w:val="22"/>
          <w:szCs w:val="22"/>
          <w:lang w:val="en-US"/>
        </w:rPr>
      </w:pPr>
    </w:p>
    <w:p w:rsidR="00E73FF0" w:rsidRPr="00E73FF0" w:rsidRDefault="00E73FF0" w:rsidP="00E73FF0">
      <w:pPr>
        <w:ind w:firstLine="426"/>
        <w:contextualSpacing/>
        <w:jc w:val="both"/>
        <w:rPr>
          <w:sz w:val="22"/>
          <w:szCs w:val="22"/>
          <w:lang w:eastAsia="en-US"/>
        </w:rPr>
      </w:pPr>
      <w:r w:rsidRPr="00E73FF0">
        <w:rPr>
          <w:sz w:val="22"/>
          <w:szCs w:val="22"/>
          <w:lang w:eastAsia="en-US"/>
        </w:rPr>
        <w:t>Существующие технологии возделывания сельскохозяйстве</w:t>
      </w:r>
      <w:r w:rsidRPr="00E73FF0">
        <w:rPr>
          <w:sz w:val="22"/>
          <w:szCs w:val="22"/>
          <w:lang w:eastAsia="en-US"/>
        </w:rPr>
        <w:t>н</w:t>
      </w:r>
      <w:r w:rsidRPr="00E73FF0">
        <w:rPr>
          <w:sz w:val="22"/>
          <w:szCs w:val="22"/>
          <w:lang w:eastAsia="en-US"/>
        </w:rPr>
        <w:t>ных культур, основанные на многократных проходах тяжелых м</w:t>
      </w:r>
      <w:r w:rsidRPr="00E73FF0">
        <w:rPr>
          <w:sz w:val="22"/>
          <w:szCs w:val="22"/>
          <w:lang w:eastAsia="en-US"/>
        </w:rPr>
        <w:t>а</w:t>
      </w:r>
      <w:r w:rsidRPr="00E73FF0">
        <w:rPr>
          <w:sz w:val="22"/>
          <w:szCs w:val="22"/>
          <w:lang w:eastAsia="en-US"/>
        </w:rPr>
        <w:t>шинно-тракторных агрегатов. Такие принципы идут в противоречие с естественными природными процессами, наблюдается все бол</w:t>
      </w:r>
      <w:r w:rsidRPr="00E73FF0">
        <w:rPr>
          <w:sz w:val="22"/>
          <w:szCs w:val="22"/>
          <w:lang w:eastAsia="en-US"/>
        </w:rPr>
        <w:t>ь</w:t>
      </w:r>
      <w:r w:rsidRPr="00E73FF0">
        <w:rPr>
          <w:sz w:val="22"/>
          <w:szCs w:val="22"/>
          <w:lang w:eastAsia="en-US"/>
        </w:rPr>
        <w:t>шее распыление верхнего и уплотнение нижнего слоев почвы [1],[2].</w:t>
      </w:r>
    </w:p>
    <w:p w:rsidR="00E73FF0" w:rsidRPr="00E73FF0" w:rsidRDefault="00E73FF0" w:rsidP="00E73FF0">
      <w:pPr>
        <w:ind w:firstLine="426"/>
        <w:contextualSpacing/>
        <w:jc w:val="both"/>
        <w:rPr>
          <w:sz w:val="22"/>
          <w:szCs w:val="22"/>
          <w:lang w:eastAsia="en-US"/>
        </w:rPr>
      </w:pPr>
      <w:r w:rsidRPr="00E73FF0">
        <w:rPr>
          <w:sz w:val="22"/>
          <w:szCs w:val="22"/>
          <w:lang w:eastAsia="en-US"/>
        </w:rPr>
        <w:lastRenderedPageBreak/>
        <w:t xml:space="preserve">Для решения этой проблемы многие научные исследования в области обработки почвы направлены на разработку систем строго зонированых технологий обработки почвы и создания комплекса машин к ним. На первый план выдвигаются вопросы, связанные с экологией, сокращением количества проходов тяжелых машинных агрегатов по полю. Особенно актуально совмещение ряда операций в едином технологическом процессе. </w:t>
      </w:r>
    </w:p>
    <w:p w:rsidR="00E73FF0" w:rsidRPr="00E73FF0" w:rsidRDefault="00E73FF0" w:rsidP="00E73FF0">
      <w:pPr>
        <w:ind w:firstLine="426"/>
        <w:contextualSpacing/>
        <w:jc w:val="both"/>
        <w:rPr>
          <w:sz w:val="22"/>
          <w:szCs w:val="22"/>
          <w:lang w:eastAsia="en-US"/>
        </w:rPr>
      </w:pPr>
      <w:r w:rsidRPr="00E73FF0">
        <w:rPr>
          <w:sz w:val="22"/>
          <w:szCs w:val="22"/>
          <w:lang w:eastAsia="en-US"/>
        </w:rPr>
        <w:t>Качественная обработка почвы служит главным средством р</w:t>
      </w:r>
      <w:r w:rsidRPr="00E73FF0">
        <w:rPr>
          <w:sz w:val="22"/>
          <w:szCs w:val="22"/>
          <w:lang w:eastAsia="en-US"/>
        </w:rPr>
        <w:t>е</w:t>
      </w:r>
      <w:r w:rsidRPr="00E73FF0">
        <w:rPr>
          <w:sz w:val="22"/>
          <w:szCs w:val="22"/>
          <w:lang w:eastAsia="en-US"/>
        </w:rPr>
        <w:t>гулирования биологических процессов, которые в ней происходят. Системный подход к указанной проблеме способствует улучшению воздушного, водного, теплового и питательного режимов почвы. В результате правильной и своевременной обработки создается по</w:t>
      </w:r>
      <w:r w:rsidRPr="00E73FF0">
        <w:rPr>
          <w:sz w:val="22"/>
          <w:szCs w:val="22"/>
          <w:lang w:eastAsia="en-US"/>
        </w:rPr>
        <w:t>ч</w:t>
      </w:r>
      <w:r w:rsidRPr="00E73FF0">
        <w:rPr>
          <w:sz w:val="22"/>
          <w:szCs w:val="22"/>
          <w:lang w:eastAsia="en-US"/>
        </w:rPr>
        <w:t>венный слой, благоприятный для развития корневой системы раст</w:t>
      </w:r>
      <w:r w:rsidRPr="00E73FF0">
        <w:rPr>
          <w:sz w:val="22"/>
          <w:szCs w:val="22"/>
          <w:lang w:eastAsia="en-US"/>
        </w:rPr>
        <w:t>е</w:t>
      </w:r>
      <w:r w:rsidRPr="00E73FF0">
        <w:rPr>
          <w:sz w:val="22"/>
          <w:szCs w:val="22"/>
          <w:lang w:eastAsia="en-US"/>
        </w:rPr>
        <w:t>ний. Также обработка почвы создает эффективное использование растительных остатков, особенно после уборки зерновых колос</w:t>
      </w:r>
      <w:r w:rsidRPr="00E73FF0">
        <w:rPr>
          <w:sz w:val="22"/>
          <w:szCs w:val="22"/>
          <w:lang w:eastAsia="en-US"/>
        </w:rPr>
        <w:t>о</w:t>
      </w:r>
      <w:r w:rsidRPr="00E73FF0">
        <w:rPr>
          <w:sz w:val="22"/>
          <w:szCs w:val="22"/>
          <w:lang w:eastAsia="en-US"/>
        </w:rPr>
        <w:t xml:space="preserve">вых, вносимых удобрений, и других агротехнических мероприятий [3],[4]. </w:t>
      </w:r>
    </w:p>
    <w:p w:rsidR="00E73FF0" w:rsidRPr="00E73FF0" w:rsidRDefault="00E73FF0" w:rsidP="00E73FF0">
      <w:pPr>
        <w:ind w:firstLine="426"/>
        <w:contextualSpacing/>
        <w:jc w:val="both"/>
        <w:rPr>
          <w:sz w:val="22"/>
          <w:szCs w:val="22"/>
          <w:lang w:eastAsia="en-US"/>
        </w:rPr>
      </w:pPr>
      <w:r w:rsidRPr="00E73FF0">
        <w:rPr>
          <w:sz w:val="22"/>
          <w:szCs w:val="22"/>
          <w:lang w:eastAsia="en-US"/>
        </w:rPr>
        <w:t>Отечественный и зарубежный опыт показывает, что значимую часть прироста урожайности сельскохозяйственных культур обе</w:t>
      </w:r>
      <w:r w:rsidRPr="00E73FF0">
        <w:rPr>
          <w:sz w:val="22"/>
          <w:szCs w:val="22"/>
          <w:lang w:eastAsia="en-US"/>
        </w:rPr>
        <w:t>с</w:t>
      </w:r>
      <w:r w:rsidRPr="00E73FF0">
        <w:rPr>
          <w:sz w:val="22"/>
          <w:szCs w:val="22"/>
          <w:lang w:eastAsia="en-US"/>
        </w:rPr>
        <w:t>печено своевременным и рациональным землепользованием. В тоже время величина урожая зависит не только от рационального земл</w:t>
      </w:r>
      <w:r w:rsidRPr="00E73FF0">
        <w:rPr>
          <w:sz w:val="22"/>
          <w:szCs w:val="22"/>
          <w:lang w:eastAsia="en-US"/>
        </w:rPr>
        <w:t>е</w:t>
      </w:r>
      <w:r w:rsidRPr="00E73FF0">
        <w:rPr>
          <w:sz w:val="22"/>
          <w:szCs w:val="22"/>
          <w:lang w:eastAsia="en-US"/>
        </w:rPr>
        <w:t xml:space="preserve">пользования, но и от множества других агротехнических приемов. Для нормального развития необходимо, чтобы растения в равной мере были обеспечены питательными веществами. </w:t>
      </w:r>
    </w:p>
    <w:p w:rsidR="00E73FF0" w:rsidRPr="00E73FF0" w:rsidRDefault="00E73FF0" w:rsidP="00E73FF0">
      <w:pPr>
        <w:ind w:firstLine="426"/>
        <w:contextualSpacing/>
        <w:jc w:val="both"/>
        <w:rPr>
          <w:sz w:val="22"/>
          <w:szCs w:val="22"/>
          <w:lang w:eastAsia="en-US"/>
        </w:rPr>
      </w:pPr>
      <w:r w:rsidRPr="00E73FF0">
        <w:rPr>
          <w:sz w:val="22"/>
          <w:szCs w:val="22"/>
          <w:lang w:eastAsia="en-US"/>
        </w:rPr>
        <w:t>Неравномерная обработка почвы приводит как к снижению биологического урожая. При посеве не будет соблюдено равноме</w:t>
      </w:r>
      <w:r w:rsidRPr="00E73FF0">
        <w:rPr>
          <w:sz w:val="22"/>
          <w:szCs w:val="22"/>
          <w:lang w:eastAsia="en-US"/>
        </w:rPr>
        <w:t>р</w:t>
      </w:r>
      <w:r w:rsidRPr="00E73FF0">
        <w:rPr>
          <w:sz w:val="22"/>
          <w:szCs w:val="22"/>
          <w:lang w:eastAsia="en-US"/>
        </w:rPr>
        <w:t>ность высева семян по глубине. В результате недостаточной равн</w:t>
      </w:r>
      <w:r w:rsidRPr="00E73FF0">
        <w:rPr>
          <w:sz w:val="22"/>
          <w:szCs w:val="22"/>
          <w:lang w:eastAsia="en-US"/>
        </w:rPr>
        <w:t>о</w:t>
      </w:r>
      <w:r w:rsidRPr="00E73FF0">
        <w:rPr>
          <w:sz w:val="22"/>
          <w:szCs w:val="22"/>
          <w:lang w:eastAsia="en-US"/>
        </w:rPr>
        <w:t>мерности посевов внесения по площади полей, страна ежегодно т</w:t>
      </w:r>
      <w:r w:rsidRPr="00E73FF0">
        <w:rPr>
          <w:sz w:val="22"/>
          <w:szCs w:val="22"/>
          <w:lang w:eastAsia="en-US"/>
        </w:rPr>
        <w:t>е</w:t>
      </w:r>
      <w:r w:rsidRPr="00E73FF0">
        <w:rPr>
          <w:sz w:val="22"/>
          <w:szCs w:val="22"/>
          <w:lang w:eastAsia="en-US"/>
        </w:rPr>
        <w:t>ряет в пересчете на зерно огромное количество продукции. В усл</w:t>
      </w:r>
      <w:r w:rsidRPr="00E73FF0">
        <w:rPr>
          <w:sz w:val="22"/>
          <w:szCs w:val="22"/>
          <w:lang w:eastAsia="en-US"/>
        </w:rPr>
        <w:t>о</w:t>
      </w:r>
      <w:r w:rsidRPr="00E73FF0">
        <w:rPr>
          <w:sz w:val="22"/>
          <w:szCs w:val="22"/>
          <w:lang w:eastAsia="en-US"/>
        </w:rPr>
        <w:t>виях современного импортозамещения - это категорически недоп</w:t>
      </w:r>
      <w:r w:rsidRPr="00E73FF0">
        <w:rPr>
          <w:sz w:val="22"/>
          <w:szCs w:val="22"/>
          <w:lang w:eastAsia="en-US"/>
        </w:rPr>
        <w:t>у</w:t>
      </w:r>
      <w:r w:rsidRPr="00E73FF0">
        <w:rPr>
          <w:sz w:val="22"/>
          <w:szCs w:val="22"/>
          <w:lang w:eastAsia="en-US"/>
        </w:rPr>
        <w:t>стимо.</w:t>
      </w:r>
    </w:p>
    <w:p w:rsidR="00E73FF0" w:rsidRPr="00E73FF0" w:rsidRDefault="00E73FF0" w:rsidP="00F81674">
      <w:pPr>
        <w:ind w:firstLine="426"/>
        <w:contextualSpacing/>
        <w:jc w:val="both"/>
        <w:rPr>
          <w:rFonts w:eastAsiaTheme="minorHAnsi"/>
          <w:sz w:val="22"/>
          <w:szCs w:val="22"/>
          <w:lang w:eastAsia="en-US"/>
        </w:rPr>
      </w:pPr>
      <w:r w:rsidRPr="00E73FF0">
        <w:rPr>
          <w:sz w:val="22"/>
          <w:szCs w:val="22"/>
          <w:lang w:eastAsia="en-US"/>
        </w:rPr>
        <w:t>В связи эти считаем, что разработка современной конструкции для подготовки почвы к посеву весьма актуальна, а сделать ее пр</w:t>
      </w:r>
      <w:r w:rsidRPr="00E73FF0">
        <w:rPr>
          <w:sz w:val="22"/>
          <w:szCs w:val="22"/>
          <w:lang w:eastAsia="en-US"/>
        </w:rPr>
        <w:t>и</w:t>
      </w:r>
      <w:r w:rsidRPr="00E73FF0">
        <w:rPr>
          <w:sz w:val="22"/>
          <w:szCs w:val="22"/>
          <w:lang w:eastAsia="en-US"/>
        </w:rPr>
        <w:t>менительно к обработке тяжелых почв особенно важно, так как зн</w:t>
      </w:r>
      <w:r w:rsidRPr="00E73FF0">
        <w:rPr>
          <w:sz w:val="22"/>
          <w:szCs w:val="22"/>
          <w:lang w:eastAsia="en-US"/>
        </w:rPr>
        <w:t>а</w:t>
      </w:r>
      <w:r w:rsidRPr="00E73FF0">
        <w:rPr>
          <w:sz w:val="22"/>
          <w:szCs w:val="22"/>
          <w:lang w:eastAsia="en-US"/>
        </w:rPr>
        <w:t xml:space="preserve">чительная часть сельскохозяйственной продукции возделывается на тяжелых суглинистых черноземах. </w:t>
      </w:r>
      <w:r w:rsidRPr="00E73FF0">
        <w:rPr>
          <w:rFonts w:eastAsiaTheme="minorHAnsi"/>
          <w:sz w:val="22"/>
          <w:szCs w:val="22"/>
          <w:lang w:eastAsia="en-US"/>
        </w:rPr>
        <w:t>[4].</w:t>
      </w:r>
    </w:p>
    <w:p w:rsidR="00E73FF0" w:rsidRPr="00E73FF0" w:rsidRDefault="00E73FF0" w:rsidP="00E73FF0">
      <w:pPr>
        <w:ind w:firstLine="426"/>
        <w:contextualSpacing/>
        <w:jc w:val="center"/>
        <w:rPr>
          <w:rFonts w:eastAsiaTheme="minorHAnsi"/>
          <w:sz w:val="22"/>
          <w:szCs w:val="22"/>
          <w:lang w:eastAsia="en-US"/>
        </w:rPr>
      </w:pPr>
      <w:r w:rsidRPr="00E73FF0">
        <w:rPr>
          <w:rFonts w:eastAsiaTheme="minorHAnsi"/>
          <w:sz w:val="22"/>
          <w:szCs w:val="22"/>
          <w:lang w:eastAsia="en-US"/>
        </w:rPr>
        <w:t>Список литературы</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lastRenderedPageBreak/>
        <w:t>1. Средства малой механизации как основа современного КФХ и ЛПХ в малых формах хозяйствования Лепшина А.И., Белоусов С.В. Политематический сетевой электронный научный журнал К</w:t>
      </w:r>
      <w:r w:rsidRPr="00E73FF0">
        <w:rPr>
          <w:rFonts w:eastAsiaTheme="minorHAnsi"/>
          <w:sz w:val="22"/>
          <w:szCs w:val="22"/>
          <w:lang w:eastAsia="en-US"/>
        </w:rPr>
        <w:t>у</w:t>
      </w:r>
      <w:r w:rsidRPr="00E73FF0">
        <w:rPr>
          <w:rFonts w:eastAsiaTheme="minorHAnsi"/>
          <w:sz w:val="22"/>
          <w:szCs w:val="22"/>
          <w:lang w:eastAsia="en-US"/>
        </w:rPr>
        <w:t>банского государственного аграрного университета. 2015. № 109. С. 392-415.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 xml:space="preserve">2. </w:t>
      </w:r>
      <w:hyperlink r:id="rId117" w:history="1">
        <w:r w:rsidRPr="00E73FF0">
          <w:rPr>
            <w:rFonts w:eastAsiaTheme="minorHAnsi"/>
            <w:bCs/>
            <w:sz w:val="22"/>
            <w:szCs w:val="22"/>
            <w:lang w:eastAsia="en-US"/>
          </w:rPr>
          <w:t>Роль и перспектива развития малой механизации в разрезе современного машиностроения</w:t>
        </w:r>
      </w:hyperlink>
      <w:r w:rsidRPr="00E73FF0">
        <w:rPr>
          <w:rFonts w:eastAsiaTheme="minorHAnsi"/>
          <w:sz w:val="22"/>
          <w:szCs w:val="22"/>
          <w:lang w:eastAsia="en-US"/>
        </w:rPr>
        <w:t xml:space="preserve"> </w:t>
      </w:r>
      <w:r w:rsidRPr="00E73FF0">
        <w:rPr>
          <w:rFonts w:eastAsiaTheme="minorHAnsi"/>
          <w:iCs/>
          <w:sz w:val="22"/>
          <w:szCs w:val="22"/>
          <w:lang w:eastAsia="en-US"/>
        </w:rPr>
        <w:t xml:space="preserve">Белоусов С.В. </w:t>
      </w:r>
      <w:r w:rsidR="00573255">
        <w:rPr>
          <w:rFonts w:eastAsiaTheme="minorHAnsi"/>
          <w:iCs/>
          <w:sz w:val="22"/>
          <w:szCs w:val="22"/>
          <w:lang w:eastAsia="en-US"/>
        </w:rPr>
        <w:t xml:space="preserve">/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118" w:history="1">
        <w:r w:rsidR="00573255">
          <w:rPr>
            <w:rFonts w:eastAsiaTheme="minorHAnsi"/>
            <w:sz w:val="22"/>
            <w:szCs w:val="22"/>
            <w:lang w:eastAsia="en-US"/>
          </w:rPr>
          <w:t>Н</w:t>
        </w:r>
        <w:r w:rsidR="00573255" w:rsidRPr="00E73FF0">
          <w:rPr>
            <w:rFonts w:eastAsiaTheme="minorHAnsi"/>
            <w:sz w:val="22"/>
            <w:szCs w:val="22"/>
            <w:lang w:eastAsia="en-US"/>
          </w:rPr>
          <w:t>аучное обеспечение агропромышленного комплекса</w:t>
        </w:r>
      </w:hyperlink>
      <w:r w:rsidRPr="00E73FF0">
        <w:rPr>
          <w:rFonts w:eastAsiaTheme="minorHAnsi"/>
          <w:sz w:val="22"/>
          <w:szCs w:val="22"/>
          <w:lang w:eastAsia="en-US"/>
        </w:rPr>
        <w:t> </w:t>
      </w:r>
      <w:r w:rsidR="00573255">
        <w:rPr>
          <w:rFonts w:eastAsiaTheme="minorHAnsi"/>
          <w:sz w:val="22"/>
          <w:szCs w:val="22"/>
          <w:lang w:eastAsia="en-US"/>
        </w:rPr>
        <w:t xml:space="preserve">// </w:t>
      </w:r>
      <w:r w:rsidRPr="00E73FF0">
        <w:rPr>
          <w:rFonts w:eastAsiaTheme="minorHAnsi"/>
          <w:sz w:val="22"/>
          <w:szCs w:val="22"/>
          <w:lang w:eastAsia="en-US"/>
        </w:rPr>
        <w:t>сборник статей по материалам 72-й научно-практической конференции пр</w:t>
      </w:r>
      <w:r w:rsidRPr="00E73FF0">
        <w:rPr>
          <w:rFonts w:eastAsiaTheme="minorHAnsi"/>
          <w:sz w:val="22"/>
          <w:szCs w:val="22"/>
          <w:lang w:eastAsia="en-US"/>
        </w:rPr>
        <w:t>е</w:t>
      </w:r>
      <w:r w:rsidRPr="00E73FF0">
        <w:rPr>
          <w:rFonts w:eastAsiaTheme="minorHAnsi"/>
          <w:sz w:val="22"/>
          <w:szCs w:val="22"/>
          <w:lang w:eastAsia="en-US"/>
        </w:rPr>
        <w:t>подавателей по итогам НИР за 2016 г.. 2017. С. 277-278.</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 xml:space="preserve">3. </w:t>
      </w:r>
      <w:hyperlink r:id="rId119" w:history="1">
        <w:r w:rsidRPr="00E73FF0">
          <w:rPr>
            <w:rFonts w:eastAsiaTheme="minorHAnsi"/>
            <w:bCs/>
            <w:sz w:val="22"/>
            <w:szCs w:val="22"/>
            <w:lang w:eastAsia="en-US"/>
          </w:rPr>
          <w:t>Возделывания пропашных культур в современных условиях</w:t>
        </w:r>
      </w:hyperlink>
      <w:r w:rsidRPr="00E73FF0">
        <w:rPr>
          <w:rFonts w:eastAsiaTheme="minorHAnsi"/>
          <w:sz w:val="22"/>
          <w:szCs w:val="22"/>
          <w:lang w:eastAsia="en-US"/>
        </w:rPr>
        <w:t xml:space="preserve"> </w:t>
      </w:r>
      <w:r w:rsidRPr="00E73FF0">
        <w:rPr>
          <w:rFonts w:eastAsiaTheme="minorHAnsi"/>
          <w:iCs/>
          <w:sz w:val="22"/>
          <w:szCs w:val="22"/>
          <w:lang w:eastAsia="en-US"/>
        </w:rPr>
        <w:t>Помеляйко С.А., Белоусова А.И., Белоусов С.В.</w:t>
      </w:r>
      <w:r w:rsidR="00573255">
        <w:rPr>
          <w:rFonts w:eastAsiaTheme="minorHAnsi"/>
          <w:iCs/>
          <w:sz w:val="22"/>
          <w:szCs w:val="22"/>
          <w:lang w:eastAsia="en-US"/>
        </w:rPr>
        <w:t xml:space="preserve"> /</w:t>
      </w:r>
      <w:r w:rsidRPr="00E73FF0">
        <w:rPr>
          <w:rFonts w:eastAsiaTheme="minorHAnsi"/>
          <w:iCs/>
          <w:sz w:val="22"/>
          <w:szCs w:val="22"/>
          <w:lang w:eastAsia="en-US"/>
        </w:rPr>
        <w:t xml:space="preserve"> </w:t>
      </w:r>
      <w:r w:rsidRPr="00E73FF0">
        <w:rPr>
          <w:rFonts w:eastAsiaTheme="minorHAnsi"/>
          <w:sz w:val="22"/>
          <w:szCs w:val="22"/>
          <w:lang w:eastAsia="en-US"/>
        </w:rPr>
        <w:t>В сборн</w:t>
      </w:r>
      <w:r w:rsidRPr="00E73FF0">
        <w:rPr>
          <w:rFonts w:eastAsiaTheme="minorHAnsi"/>
          <w:sz w:val="22"/>
          <w:szCs w:val="22"/>
          <w:lang w:eastAsia="en-US"/>
        </w:rPr>
        <w:t>и</w:t>
      </w:r>
      <w:r w:rsidRPr="00E73FF0">
        <w:rPr>
          <w:rFonts w:eastAsiaTheme="minorHAnsi"/>
          <w:sz w:val="22"/>
          <w:szCs w:val="22"/>
          <w:lang w:eastAsia="en-US"/>
        </w:rPr>
        <w:t>ке: </w:t>
      </w:r>
      <w:hyperlink r:id="rId120" w:history="1">
        <w:r w:rsidR="00573255">
          <w:rPr>
            <w:rFonts w:eastAsiaTheme="minorHAnsi"/>
            <w:sz w:val="22"/>
            <w:szCs w:val="22"/>
            <w:lang w:eastAsia="en-US"/>
          </w:rPr>
          <w:t>С</w:t>
        </w:r>
        <w:r w:rsidR="00573255" w:rsidRPr="00E73FF0">
          <w:rPr>
            <w:rFonts w:eastAsiaTheme="minorHAnsi"/>
            <w:sz w:val="22"/>
            <w:szCs w:val="22"/>
            <w:lang w:eastAsia="en-US"/>
          </w:rPr>
          <w:t>овременные исследования</w:t>
        </w:r>
        <w:r w:rsidRPr="00E73FF0">
          <w:rPr>
            <w:rFonts w:eastAsiaTheme="minorHAnsi"/>
            <w:sz w:val="22"/>
            <w:szCs w:val="22"/>
            <w:lang w:eastAsia="en-US"/>
          </w:rPr>
          <w:t xml:space="preserve"> - 2017</w:t>
        </w:r>
      </w:hyperlink>
      <w:r w:rsidRPr="00E73FF0">
        <w:rPr>
          <w:rFonts w:eastAsiaTheme="minorHAnsi"/>
          <w:sz w:val="22"/>
          <w:szCs w:val="22"/>
          <w:lang w:eastAsia="en-US"/>
        </w:rPr>
        <w:t> </w:t>
      </w:r>
      <w:r w:rsidR="00573255">
        <w:rPr>
          <w:rFonts w:eastAsiaTheme="minorHAnsi"/>
          <w:sz w:val="22"/>
          <w:szCs w:val="22"/>
          <w:lang w:eastAsia="en-US"/>
        </w:rPr>
        <w:t xml:space="preserve">// </w:t>
      </w:r>
      <w:r w:rsidRPr="00E73FF0">
        <w:rPr>
          <w:rFonts w:eastAsiaTheme="minorHAnsi"/>
          <w:sz w:val="22"/>
          <w:szCs w:val="22"/>
          <w:lang w:eastAsia="en-US"/>
        </w:rPr>
        <w:t>Сборник статей по матер</w:t>
      </w:r>
      <w:r w:rsidRPr="00E73FF0">
        <w:rPr>
          <w:rFonts w:eastAsiaTheme="minorHAnsi"/>
          <w:sz w:val="22"/>
          <w:szCs w:val="22"/>
          <w:lang w:eastAsia="en-US"/>
        </w:rPr>
        <w:t>и</w:t>
      </w:r>
      <w:r w:rsidRPr="00E73FF0">
        <w:rPr>
          <w:rFonts w:eastAsiaTheme="minorHAnsi"/>
          <w:sz w:val="22"/>
          <w:szCs w:val="22"/>
          <w:lang w:eastAsia="en-US"/>
        </w:rPr>
        <w:t>алам Международных научно-практических конференций. под о</w:t>
      </w:r>
      <w:r w:rsidRPr="00E73FF0">
        <w:rPr>
          <w:rFonts w:eastAsiaTheme="minorHAnsi"/>
          <w:sz w:val="22"/>
          <w:szCs w:val="22"/>
          <w:lang w:eastAsia="en-US"/>
        </w:rPr>
        <w:t>б</w:t>
      </w:r>
      <w:r w:rsidRPr="00E73FF0">
        <w:rPr>
          <w:rFonts w:eastAsiaTheme="minorHAnsi"/>
          <w:sz w:val="22"/>
          <w:szCs w:val="22"/>
          <w:lang w:eastAsia="en-US"/>
        </w:rPr>
        <w:t>щей редакцией А.И. Вострецова. Нефтекамск, 2017. С. 809-815.</w:t>
      </w:r>
    </w:p>
    <w:p w:rsidR="00E73FF0" w:rsidRPr="00E73FF0" w:rsidRDefault="00E73FF0" w:rsidP="00E73FF0">
      <w:pPr>
        <w:ind w:firstLine="426"/>
        <w:jc w:val="both"/>
        <w:rPr>
          <w:rFonts w:eastAsiaTheme="minorHAnsi"/>
          <w:sz w:val="22"/>
          <w:szCs w:val="22"/>
          <w:lang w:eastAsia="en-US"/>
        </w:rPr>
      </w:pPr>
      <w:r w:rsidRPr="00E73FF0">
        <w:rPr>
          <w:rFonts w:eastAsiaTheme="minorHAnsi"/>
          <w:sz w:val="22"/>
          <w:szCs w:val="22"/>
          <w:lang w:eastAsia="en-US"/>
        </w:rPr>
        <w:t>4. Расчет основных параметров разбрасывателя сыпучих мат</w:t>
      </w:r>
      <w:r w:rsidRPr="00E73FF0">
        <w:rPr>
          <w:rFonts w:eastAsiaTheme="minorHAnsi"/>
          <w:sz w:val="22"/>
          <w:szCs w:val="22"/>
          <w:lang w:eastAsia="en-US"/>
        </w:rPr>
        <w:t>е</w:t>
      </w:r>
      <w:r w:rsidRPr="00E73FF0">
        <w:rPr>
          <w:rFonts w:eastAsiaTheme="minorHAnsi"/>
          <w:sz w:val="22"/>
          <w:szCs w:val="22"/>
          <w:lang w:eastAsia="en-US"/>
        </w:rPr>
        <w:t>риалов Белоусов С.В., Лепшина А.И. Политематический сетевой электронный научный журнал Кубанского государственного агра</w:t>
      </w:r>
      <w:r w:rsidRPr="00E73FF0">
        <w:rPr>
          <w:rFonts w:eastAsiaTheme="minorHAnsi"/>
          <w:sz w:val="22"/>
          <w:szCs w:val="22"/>
          <w:lang w:eastAsia="en-US"/>
        </w:rPr>
        <w:t>р</w:t>
      </w:r>
      <w:r w:rsidRPr="00E73FF0">
        <w:rPr>
          <w:rFonts w:eastAsiaTheme="minorHAnsi"/>
          <w:sz w:val="22"/>
          <w:szCs w:val="22"/>
          <w:lang w:eastAsia="en-US"/>
        </w:rPr>
        <w:t>ного университета. 2014. № 104. С. 1923-1939.</w:t>
      </w:r>
    </w:p>
    <w:p w:rsidR="00E73FF0" w:rsidRDefault="00E73FF0" w:rsidP="00B43BBC">
      <w:pPr>
        <w:pStyle w:val="31"/>
        <w:rPr>
          <w:sz w:val="22"/>
          <w:szCs w:val="22"/>
        </w:rPr>
      </w:pPr>
    </w:p>
    <w:p w:rsidR="00F81674" w:rsidRDefault="00F81674" w:rsidP="006E5B69">
      <w:pPr>
        <w:rPr>
          <w:sz w:val="22"/>
          <w:szCs w:val="22"/>
        </w:rPr>
      </w:pPr>
    </w:p>
    <w:p w:rsidR="00E73FF0" w:rsidRPr="00E73FF0" w:rsidRDefault="00E73FF0" w:rsidP="00E73FF0">
      <w:pPr>
        <w:widowControl w:val="0"/>
        <w:rPr>
          <w:rFonts w:eastAsia="Courier New"/>
          <w:color w:val="000000"/>
          <w:sz w:val="22"/>
          <w:szCs w:val="22"/>
          <w:lang w:eastAsia="en-US"/>
        </w:rPr>
      </w:pPr>
      <w:r w:rsidRPr="00E73FF0">
        <w:rPr>
          <w:rFonts w:eastAsia="Courier New"/>
          <w:color w:val="000000"/>
          <w:sz w:val="22"/>
          <w:szCs w:val="22"/>
          <w:lang w:eastAsia="en-US"/>
        </w:rPr>
        <w:t>УДК 631.355.06</w:t>
      </w:r>
    </w:p>
    <w:p w:rsidR="00E73FF0" w:rsidRPr="00E73FF0" w:rsidRDefault="00E73FF0" w:rsidP="00E73FF0">
      <w:pPr>
        <w:widowControl w:val="0"/>
        <w:rPr>
          <w:rFonts w:eastAsia="Courier New"/>
          <w:color w:val="000000"/>
          <w:sz w:val="22"/>
          <w:szCs w:val="22"/>
          <w:lang w:eastAsia="en-US"/>
        </w:rPr>
      </w:pPr>
    </w:p>
    <w:p w:rsidR="00E73FF0" w:rsidRDefault="00E73FF0" w:rsidP="00E73FF0">
      <w:pPr>
        <w:widowControl w:val="0"/>
        <w:jc w:val="center"/>
        <w:rPr>
          <w:rFonts w:eastAsia="Courier New"/>
          <w:b/>
          <w:color w:val="000000"/>
          <w:sz w:val="24"/>
          <w:szCs w:val="24"/>
          <w:lang w:eastAsia="en-US"/>
        </w:rPr>
      </w:pPr>
      <w:r w:rsidRPr="00E73FF0">
        <w:rPr>
          <w:rFonts w:eastAsia="Courier New"/>
          <w:b/>
          <w:color w:val="000000"/>
          <w:sz w:val="24"/>
          <w:szCs w:val="24"/>
          <w:lang w:eastAsia="en-US"/>
        </w:rPr>
        <w:t xml:space="preserve">Аппараты для отделения и очистки початков кукурузы от оберточных листьев </w:t>
      </w:r>
    </w:p>
    <w:p w:rsidR="00F81674" w:rsidRPr="00F81674" w:rsidRDefault="0018683B" w:rsidP="00F81674">
      <w:pPr>
        <w:widowControl w:val="0"/>
        <w:jc w:val="center"/>
        <w:rPr>
          <w:rFonts w:eastAsia="Courier New"/>
          <w:b/>
          <w:color w:val="000000"/>
          <w:sz w:val="24"/>
          <w:szCs w:val="24"/>
          <w:lang w:val="en-US" w:eastAsia="en-US"/>
        </w:rPr>
      </w:pPr>
      <w:r w:rsidRPr="0018683B">
        <w:rPr>
          <w:rFonts w:eastAsia="Courier New"/>
          <w:b/>
          <w:color w:val="000000"/>
          <w:sz w:val="24"/>
          <w:szCs w:val="24"/>
          <w:lang w:val="en-US" w:eastAsia="en-US"/>
        </w:rPr>
        <w:t>Apparatus for separating and cleaning cobs of corn from wrapping leaves</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Симутове Мушани,</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магистрант 2-го курса факультета механизации</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Труфляк Е. В.,</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заведующий кафедрой эксплуатации МТП</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sidR="0018683B">
        <w:rPr>
          <w:rFonts w:eastAsia="Courier New"/>
          <w:color w:val="000000"/>
          <w:sz w:val="22"/>
          <w:szCs w:val="22"/>
          <w:lang w:eastAsia="en-US"/>
        </w:rPr>
        <w:t>анский государственный аграрный</w:t>
      </w:r>
    </w:p>
    <w:p w:rsidR="00E73FF0" w:rsidRPr="00E73FF0" w:rsidRDefault="00E73FF0" w:rsidP="00E73FF0">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E73FF0" w:rsidRPr="00E73FF0" w:rsidRDefault="00E73FF0" w:rsidP="00E73FF0">
      <w:pPr>
        <w:widowControl w:val="0"/>
        <w:tabs>
          <w:tab w:val="left" w:pos="8223"/>
        </w:tabs>
        <w:jc w:val="right"/>
        <w:rPr>
          <w:rFonts w:eastAsia="Courier New"/>
          <w:color w:val="000000"/>
          <w:sz w:val="22"/>
          <w:szCs w:val="22"/>
          <w:lang w:eastAsia="en-US"/>
        </w:rPr>
      </w:pP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АННОТАЦИЯ: В статье представлены различные варианты модернизации початкоотделяющего аппарата кукурузоуборочного комбайна, позволяющего дополнительно очищать початки от обе</w:t>
      </w:r>
      <w:r w:rsidRPr="00E73FF0">
        <w:rPr>
          <w:rFonts w:eastAsia="Courier New"/>
          <w:color w:val="000000"/>
          <w:sz w:val="22"/>
          <w:szCs w:val="22"/>
          <w:lang w:eastAsia="en-US"/>
        </w:rPr>
        <w:t>р</w:t>
      </w:r>
      <w:r w:rsidRPr="00E73FF0">
        <w:rPr>
          <w:rFonts w:eastAsia="Courier New"/>
          <w:color w:val="000000"/>
          <w:sz w:val="22"/>
          <w:szCs w:val="22"/>
          <w:lang w:eastAsia="en-US"/>
        </w:rPr>
        <w:lastRenderedPageBreak/>
        <w:t>точных листьев.</w:t>
      </w:r>
    </w:p>
    <w:p w:rsidR="00E73FF0" w:rsidRPr="00E73FF0" w:rsidRDefault="00E73FF0" w:rsidP="00E73FF0">
      <w:pPr>
        <w:widowControl w:val="0"/>
        <w:tabs>
          <w:tab w:val="left" w:pos="8223"/>
        </w:tabs>
        <w:ind w:firstLine="426"/>
        <w:jc w:val="both"/>
        <w:rPr>
          <w:rFonts w:ascii="Tahoma" w:eastAsia="Courier New" w:hAnsi="Tahoma" w:cs="Tahoma"/>
          <w:color w:val="000000"/>
          <w:sz w:val="22"/>
          <w:szCs w:val="22"/>
          <w:shd w:val="clear" w:color="auto" w:fill="FFFFFF"/>
          <w:lang w:val="en-US" w:eastAsia="en-US"/>
        </w:rPr>
      </w:pPr>
      <w:r w:rsidRPr="00E73FF0">
        <w:rPr>
          <w:rFonts w:eastAsia="Courier New"/>
          <w:color w:val="000000"/>
          <w:sz w:val="22"/>
          <w:szCs w:val="22"/>
          <w:lang w:val="en-US" w:eastAsia="en-US"/>
        </w:rPr>
        <w:t>ABSTRACT:</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shd w:val="clear" w:color="auto" w:fill="FFFFFF"/>
          <w:lang w:val="en-US" w:eastAsia="en-US"/>
        </w:rPr>
        <w:t>Various options of modernization of the pocha</w:t>
      </w:r>
      <w:r w:rsidRPr="00E73FF0">
        <w:rPr>
          <w:rFonts w:eastAsia="Courier New"/>
          <w:color w:val="000000"/>
          <w:sz w:val="22"/>
          <w:szCs w:val="22"/>
          <w:shd w:val="clear" w:color="auto" w:fill="FFFFFF"/>
          <w:lang w:val="en-US" w:eastAsia="en-US"/>
        </w:rPr>
        <w:t>t</w:t>
      </w:r>
      <w:r w:rsidRPr="00E73FF0">
        <w:rPr>
          <w:rFonts w:eastAsia="Courier New"/>
          <w:color w:val="000000"/>
          <w:sz w:val="22"/>
          <w:szCs w:val="22"/>
          <w:shd w:val="clear" w:color="auto" w:fill="FFFFFF"/>
          <w:lang w:val="en-US" w:eastAsia="en-US"/>
        </w:rPr>
        <w:t>kootdelyayushchy device of the kukuruzouborochny combine allowing to clean in addition ears from wrapping leaves are presented in article.</w:t>
      </w:r>
    </w:p>
    <w:p w:rsidR="00E73FF0" w:rsidRPr="00E73FF0" w:rsidRDefault="00E73FF0" w:rsidP="00E73FF0">
      <w:pPr>
        <w:widowControl w:val="0"/>
        <w:tabs>
          <w:tab w:val="left" w:pos="8223"/>
        </w:tabs>
        <w:ind w:firstLine="426"/>
        <w:jc w:val="both"/>
        <w:rPr>
          <w:rFonts w:eastAsia="Courier New"/>
          <w:color w:val="000000"/>
          <w:sz w:val="22"/>
          <w:szCs w:val="22"/>
          <w:lang w:eastAsia="en-US"/>
        </w:rPr>
      </w:pPr>
      <w:r w:rsidRPr="00E73FF0">
        <w:rPr>
          <w:rFonts w:eastAsia="Courier New"/>
          <w:color w:val="000000"/>
          <w:sz w:val="22"/>
          <w:szCs w:val="22"/>
          <w:lang w:eastAsia="en-US"/>
        </w:rPr>
        <w:t>КЛЮЧЕВЫЕ СЛОВА: початкоотделяющий аппатат, початки кукурузы, оберточные листья, кукурузоуборочный комбайн.</w:t>
      </w:r>
    </w:p>
    <w:p w:rsidR="00E73FF0" w:rsidRPr="00E73FF0" w:rsidRDefault="00E73FF0" w:rsidP="00E73FF0">
      <w:pPr>
        <w:widowControl w:val="0"/>
        <w:tabs>
          <w:tab w:val="left" w:pos="8223"/>
        </w:tabs>
        <w:ind w:firstLine="426"/>
        <w:jc w:val="both"/>
        <w:rPr>
          <w:rFonts w:eastAsia="Courier New"/>
          <w:color w:val="000000"/>
          <w:sz w:val="22"/>
          <w:szCs w:val="22"/>
          <w:lang w:val="en-US" w:eastAsia="en-US"/>
        </w:rPr>
      </w:pPr>
      <w:r w:rsidRPr="00E73FF0">
        <w:rPr>
          <w:rFonts w:eastAsia="Courier New"/>
          <w:color w:val="000000"/>
          <w:sz w:val="22"/>
          <w:szCs w:val="22"/>
          <w:lang w:val="en-US" w:eastAsia="en-US"/>
        </w:rPr>
        <w:t>KEYWORDS:</w:t>
      </w:r>
      <w:r w:rsidRPr="00E73FF0">
        <w:rPr>
          <w:rFonts w:ascii="Courier New" w:eastAsia="Courier New" w:hAnsi="Courier New" w:cs="Courier New"/>
          <w:color w:val="000000"/>
          <w:sz w:val="22"/>
          <w:szCs w:val="22"/>
          <w:shd w:val="clear" w:color="auto" w:fill="FFFFFF"/>
          <w:lang w:val="en-US" w:eastAsia="en-US"/>
        </w:rPr>
        <w:t xml:space="preserve"> </w:t>
      </w:r>
      <w:r w:rsidRPr="00E73FF0">
        <w:rPr>
          <w:rFonts w:eastAsia="Courier New"/>
          <w:color w:val="000000"/>
          <w:sz w:val="22"/>
          <w:szCs w:val="22"/>
          <w:lang w:val="en-US" w:eastAsia="en-US"/>
        </w:rPr>
        <w:t>the device for office of ears of corn, corn ears, wrapping leaves, the kukuruzouborochny combine.</w:t>
      </w:r>
    </w:p>
    <w:p w:rsidR="00E73FF0" w:rsidRPr="00E73FF0" w:rsidRDefault="00E73FF0" w:rsidP="00E73FF0">
      <w:pPr>
        <w:autoSpaceDE w:val="0"/>
        <w:autoSpaceDN w:val="0"/>
        <w:adjustRightInd w:val="0"/>
        <w:ind w:firstLine="426"/>
        <w:jc w:val="both"/>
        <w:rPr>
          <w:rFonts w:eastAsia="Courier New"/>
          <w:color w:val="000000"/>
          <w:sz w:val="22"/>
          <w:szCs w:val="22"/>
          <w:lang w:val="en-US" w:eastAsia="en-US"/>
        </w:rPr>
      </w:pPr>
    </w:p>
    <w:p w:rsidR="00E73FF0" w:rsidRPr="00E73FF0" w:rsidRDefault="00E73FF0" w:rsidP="00F81674">
      <w:pPr>
        <w:ind w:firstLine="425"/>
        <w:jc w:val="both"/>
        <w:rPr>
          <w:rFonts w:eastAsia="Calibri" w:cs="Arial"/>
          <w:color w:val="000000"/>
          <w:sz w:val="22"/>
          <w:szCs w:val="22"/>
          <w:lang w:eastAsia="en-US"/>
        </w:rPr>
      </w:pPr>
      <w:r w:rsidRPr="00E73FF0">
        <w:rPr>
          <w:rFonts w:eastAsia="Calibri" w:cs="Arial"/>
          <w:color w:val="000000"/>
          <w:sz w:val="22"/>
          <w:szCs w:val="22"/>
          <w:lang w:eastAsia="en-US"/>
        </w:rPr>
        <w:t>В республике Замбия кукуруза является основным сельскох</w:t>
      </w:r>
      <w:r w:rsidRPr="00E73FF0">
        <w:rPr>
          <w:rFonts w:eastAsia="Calibri" w:cs="Arial"/>
          <w:color w:val="000000"/>
          <w:sz w:val="22"/>
          <w:szCs w:val="22"/>
          <w:lang w:eastAsia="en-US"/>
        </w:rPr>
        <w:t>о</w:t>
      </w:r>
      <w:r w:rsidRPr="00E73FF0">
        <w:rPr>
          <w:rFonts w:eastAsia="Calibri" w:cs="Arial"/>
          <w:color w:val="000000"/>
          <w:sz w:val="22"/>
          <w:szCs w:val="22"/>
          <w:lang w:eastAsia="en-US"/>
        </w:rPr>
        <w:t xml:space="preserve">зяйственным продуктом. Республика имеет одну из самых высоких в мире степень потребления кукурузы в национальном рационе – </w:t>
      </w:r>
      <w:r w:rsidRPr="00E73FF0">
        <w:rPr>
          <w:rFonts w:eastAsia="Calibri" w:cs="Arial"/>
          <w:color w:val="000000"/>
          <w:sz w:val="22"/>
          <w:szCs w:val="22"/>
          <w:lang w:eastAsia="en-US"/>
        </w:rPr>
        <w:br/>
        <w:t>58 % от общего количества потребляемых калорий. Уборка кукур</w:t>
      </w:r>
      <w:r w:rsidRPr="00E73FF0">
        <w:rPr>
          <w:rFonts w:eastAsia="Calibri" w:cs="Arial"/>
          <w:color w:val="000000"/>
          <w:sz w:val="22"/>
          <w:szCs w:val="22"/>
          <w:lang w:eastAsia="en-US"/>
        </w:rPr>
        <w:t>у</w:t>
      </w:r>
      <w:r w:rsidRPr="00E73FF0">
        <w:rPr>
          <w:rFonts w:eastAsia="Calibri" w:cs="Arial"/>
          <w:color w:val="000000"/>
          <w:sz w:val="22"/>
          <w:szCs w:val="22"/>
          <w:lang w:eastAsia="en-US"/>
        </w:rPr>
        <w:t>зы в стране, как правило, выполняется вручную, поэтому актуал</w:t>
      </w:r>
      <w:r w:rsidRPr="00E73FF0">
        <w:rPr>
          <w:rFonts w:eastAsia="Calibri" w:cs="Arial"/>
          <w:color w:val="000000"/>
          <w:sz w:val="22"/>
          <w:szCs w:val="22"/>
          <w:lang w:eastAsia="en-US"/>
        </w:rPr>
        <w:t>ь</w:t>
      </w:r>
      <w:r w:rsidRPr="00E73FF0">
        <w:rPr>
          <w:rFonts w:eastAsia="Calibri" w:cs="Arial"/>
          <w:color w:val="000000"/>
          <w:sz w:val="22"/>
          <w:szCs w:val="22"/>
          <w:lang w:eastAsia="en-US"/>
        </w:rPr>
        <w:t>ным является разработка комбайна с аппаратом для одновременн</w:t>
      </w:r>
      <w:r w:rsidRPr="00E73FF0">
        <w:rPr>
          <w:rFonts w:eastAsia="Calibri" w:cs="Arial"/>
          <w:color w:val="000000"/>
          <w:sz w:val="22"/>
          <w:szCs w:val="22"/>
          <w:lang w:eastAsia="en-US"/>
        </w:rPr>
        <w:t>о</w:t>
      </w:r>
      <w:r w:rsidRPr="00E73FF0">
        <w:rPr>
          <w:rFonts w:eastAsia="Calibri" w:cs="Arial"/>
          <w:color w:val="000000"/>
          <w:sz w:val="22"/>
          <w:szCs w:val="22"/>
          <w:lang w:eastAsia="en-US"/>
        </w:rPr>
        <w:t>го отделения и очистки початков.</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Целью работы является совершенствование початкоотделя</w:t>
      </w:r>
      <w:r w:rsidRPr="00E73FF0">
        <w:rPr>
          <w:rFonts w:eastAsia="Calibri" w:cs="Arial"/>
          <w:color w:val="000000"/>
          <w:sz w:val="22"/>
          <w:szCs w:val="22"/>
          <w:lang w:eastAsia="en-US"/>
        </w:rPr>
        <w:t>ю</w:t>
      </w:r>
      <w:r w:rsidRPr="00E73FF0">
        <w:rPr>
          <w:rFonts w:eastAsia="Calibri" w:cs="Arial"/>
          <w:color w:val="000000"/>
          <w:sz w:val="22"/>
          <w:szCs w:val="22"/>
          <w:lang w:eastAsia="en-US"/>
        </w:rPr>
        <w:t>щего аппарата для уборки кукурузы в початках путем использов</w:t>
      </w:r>
      <w:r w:rsidRPr="00E73FF0">
        <w:rPr>
          <w:rFonts w:eastAsia="Calibri" w:cs="Arial"/>
          <w:color w:val="000000"/>
          <w:sz w:val="22"/>
          <w:szCs w:val="22"/>
          <w:lang w:eastAsia="en-US"/>
        </w:rPr>
        <w:t>а</w:t>
      </w:r>
      <w:r w:rsidRPr="00E73FF0">
        <w:rPr>
          <w:rFonts w:eastAsia="Calibri" w:cs="Arial"/>
          <w:color w:val="000000"/>
          <w:sz w:val="22"/>
          <w:szCs w:val="22"/>
          <w:lang w:eastAsia="en-US"/>
        </w:rPr>
        <w:t>ния новых отделяющих пластин с различными режущими кромки [1, 2, 3, 4].</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Рассмотрим разработанные варианты аппаратов для отделения и очистки початков кукурузы от оберточных листьев.</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В первом початкоотделяющем аппарате, содержащем пару встречно вращающихся рифленых вальцов и установленных над ними початкоотделяющих пластин, содержащих в своей средней части со стороны внутренних сторон дополнительные вертикальные съемные пластинки, выполненные заостренными и выступаюшими над поверхностью початкоотделяющих пластин на высоту, мен</w:t>
      </w:r>
      <w:r w:rsidRPr="00E73FF0">
        <w:rPr>
          <w:rFonts w:eastAsia="Calibri" w:cs="Arial"/>
          <w:color w:val="000000"/>
          <w:sz w:val="22"/>
          <w:szCs w:val="22"/>
          <w:lang w:eastAsia="en-US"/>
        </w:rPr>
        <w:t>ь</w:t>
      </w:r>
      <w:r w:rsidRPr="00E73FF0">
        <w:rPr>
          <w:rFonts w:eastAsia="Calibri" w:cs="Arial"/>
          <w:color w:val="000000"/>
          <w:sz w:val="22"/>
          <w:szCs w:val="22"/>
          <w:lang w:eastAsia="en-US"/>
        </w:rPr>
        <w:t>шую толщины обертки початка у основания съемные пластинки содержат режущие элементы, установленные вдоль направления перемещения початка в горизонтальной плоскости под углом наклона, меньшим угла трения початка в обертке по материалу пл</w:t>
      </w:r>
      <w:r w:rsidRPr="00E73FF0">
        <w:rPr>
          <w:rFonts w:eastAsia="Calibri" w:cs="Arial"/>
          <w:color w:val="000000"/>
          <w:sz w:val="22"/>
          <w:szCs w:val="22"/>
          <w:lang w:eastAsia="en-US"/>
        </w:rPr>
        <w:t>а</w:t>
      </w:r>
      <w:r w:rsidRPr="00E73FF0">
        <w:rPr>
          <w:rFonts w:eastAsia="Calibri" w:cs="Arial"/>
          <w:color w:val="000000"/>
          <w:sz w:val="22"/>
          <w:szCs w:val="22"/>
          <w:lang w:eastAsia="en-US"/>
        </w:rPr>
        <w:t>стинок. Шаг режущих элементов выпол</w:t>
      </w:r>
      <w:r w:rsidR="00F81674">
        <w:rPr>
          <w:rFonts w:eastAsia="Calibri" w:cs="Arial"/>
          <w:color w:val="000000"/>
          <w:sz w:val="22"/>
          <w:szCs w:val="22"/>
          <w:lang w:eastAsia="en-US"/>
        </w:rPr>
        <w:t xml:space="preserve">нен меньше длины зоны контакта </w:t>
      </w:r>
      <w:r w:rsidRPr="00E73FF0">
        <w:rPr>
          <w:rFonts w:eastAsia="Calibri" w:cs="Arial"/>
          <w:color w:val="000000"/>
          <w:sz w:val="22"/>
          <w:szCs w:val="22"/>
          <w:lang w:eastAsia="en-US"/>
        </w:rPr>
        <w:t>початка с початкоотделяющими пластинами, которые обеспечивают возможность подрезания  обертки у основания п</w:t>
      </w:r>
      <w:r w:rsidRPr="00E73FF0">
        <w:rPr>
          <w:rFonts w:eastAsia="Calibri" w:cs="Arial"/>
          <w:color w:val="000000"/>
          <w:sz w:val="22"/>
          <w:szCs w:val="22"/>
          <w:lang w:eastAsia="en-US"/>
        </w:rPr>
        <w:t>о</w:t>
      </w:r>
      <w:r w:rsidRPr="00E73FF0">
        <w:rPr>
          <w:rFonts w:eastAsia="Calibri" w:cs="Arial"/>
          <w:color w:val="000000"/>
          <w:sz w:val="22"/>
          <w:szCs w:val="22"/>
          <w:lang w:eastAsia="en-US"/>
        </w:rPr>
        <w:t xml:space="preserve">чатка. </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За счет конструктивных особенностей обеспечивается увелич</w:t>
      </w:r>
      <w:r w:rsidRPr="00E73FF0">
        <w:rPr>
          <w:rFonts w:eastAsia="Calibri" w:cs="Arial"/>
          <w:color w:val="000000"/>
          <w:sz w:val="22"/>
          <w:szCs w:val="22"/>
          <w:lang w:eastAsia="en-US"/>
        </w:rPr>
        <w:t>е</w:t>
      </w:r>
      <w:r w:rsidRPr="00E73FF0">
        <w:rPr>
          <w:rFonts w:eastAsia="Calibri" w:cs="Arial"/>
          <w:color w:val="000000"/>
          <w:sz w:val="22"/>
          <w:szCs w:val="22"/>
          <w:lang w:eastAsia="en-US"/>
        </w:rPr>
        <w:t>ние степени очистки початков от обертки, так как установка реж</w:t>
      </w:r>
      <w:r w:rsidRPr="00E73FF0">
        <w:rPr>
          <w:rFonts w:eastAsia="Calibri" w:cs="Arial"/>
          <w:color w:val="000000"/>
          <w:sz w:val="22"/>
          <w:szCs w:val="22"/>
          <w:lang w:eastAsia="en-US"/>
        </w:rPr>
        <w:t>у</w:t>
      </w:r>
      <w:r w:rsidRPr="00E73FF0">
        <w:rPr>
          <w:rFonts w:eastAsia="Calibri" w:cs="Arial"/>
          <w:color w:val="000000"/>
          <w:sz w:val="22"/>
          <w:szCs w:val="22"/>
          <w:lang w:eastAsia="en-US"/>
        </w:rPr>
        <w:lastRenderedPageBreak/>
        <w:t>щих элементов вдоль направления перемещения початка в горизо</w:t>
      </w:r>
      <w:r w:rsidRPr="00E73FF0">
        <w:rPr>
          <w:rFonts w:eastAsia="Calibri" w:cs="Arial"/>
          <w:color w:val="000000"/>
          <w:sz w:val="22"/>
          <w:szCs w:val="22"/>
          <w:lang w:eastAsia="en-US"/>
        </w:rPr>
        <w:t>н</w:t>
      </w:r>
      <w:r w:rsidRPr="00E73FF0">
        <w:rPr>
          <w:rFonts w:eastAsia="Calibri" w:cs="Arial"/>
          <w:color w:val="000000"/>
          <w:sz w:val="22"/>
          <w:szCs w:val="22"/>
          <w:lang w:eastAsia="en-US"/>
        </w:rPr>
        <w:t>тальной плоскости под углом наклона меньшим угла трения поча</w:t>
      </w:r>
      <w:r w:rsidRPr="00E73FF0">
        <w:rPr>
          <w:rFonts w:eastAsia="Calibri" w:cs="Arial"/>
          <w:color w:val="000000"/>
          <w:sz w:val="22"/>
          <w:szCs w:val="22"/>
          <w:lang w:eastAsia="en-US"/>
        </w:rPr>
        <w:t>т</w:t>
      </w:r>
      <w:r w:rsidRPr="00E73FF0">
        <w:rPr>
          <w:rFonts w:eastAsia="Calibri" w:cs="Arial"/>
          <w:color w:val="000000"/>
          <w:sz w:val="22"/>
          <w:szCs w:val="22"/>
          <w:lang w:eastAsia="en-US"/>
        </w:rPr>
        <w:t>ка в обертке по материалу пластинок препятствуют перемещению початка в обратном направлении. При этом режущие элементы сп</w:t>
      </w:r>
      <w:r w:rsidRPr="00E73FF0">
        <w:rPr>
          <w:rFonts w:eastAsia="Calibri" w:cs="Arial"/>
          <w:color w:val="000000"/>
          <w:sz w:val="22"/>
          <w:szCs w:val="22"/>
          <w:lang w:eastAsia="en-US"/>
        </w:rPr>
        <w:t>о</w:t>
      </w:r>
      <w:r w:rsidRPr="00E73FF0">
        <w:rPr>
          <w:rFonts w:eastAsia="Calibri" w:cs="Arial"/>
          <w:color w:val="000000"/>
          <w:sz w:val="22"/>
          <w:szCs w:val="22"/>
          <w:lang w:eastAsia="en-US"/>
        </w:rPr>
        <w:t>собствуют лучшему подрезанию обертки.</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Выполнение шага режущих элементов меньше длины зоны контакта  початка с початкоотделяющими пластинами, обеспечив</w:t>
      </w:r>
      <w:r w:rsidRPr="00E73FF0">
        <w:rPr>
          <w:rFonts w:eastAsia="Calibri" w:cs="Arial"/>
          <w:color w:val="000000"/>
          <w:sz w:val="22"/>
          <w:szCs w:val="22"/>
          <w:lang w:eastAsia="en-US"/>
        </w:rPr>
        <w:t>а</w:t>
      </w:r>
      <w:r w:rsidRPr="00E73FF0">
        <w:rPr>
          <w:rFonts w:eastAsia="Calibri" w:cs="Arial"/>
          <w:color w:val="000000"/>
          <w:sz w:val="22"/>
          <w:szCs w:val="22"/>
          <w:lang w:eastAsia="en-US"/>
        </w:rPr>
        <w:t>ет возможность подрезания  обертки у основания початка.</w:t>
      </w:r>
    </w:p>
    <w:p w:rsidR="00E73FF0" w:rsidRPr="00E73FF0" w:rsidRDefault="00E73FF0" w:rsidP="00E73FF0">
      <w:pPr>
        <w:ind w:firstLine="425"/>
        <w:jc w:val="both"/>
        <w:rPr>
          <w:rFonts w:eastAsia="Calibri" w:cs="Arial"/>
          <w:color w:val="000000"/>
          <w:sz w:val="22"/>
          <w:szCs w:val="22"/>
          <w:lang w:eastAsia="en-US"/>
        </w:rPr>
      </w:pPr>
      <w:r w:rsidRPr="00E73FF0">
        <w:rPr>
          <w:rFonts w:eastAsia="Calibri" w:cs="Arial"/>
          <w:color w:val="000000"/>
          <w:sz w:val="22"/>
          <w:szCs w:val="22"/>
          <w:lang w:eastAsia="en-US"/>
        </w:rPr>
        <w:t>Второй аппарат для отделения початков кукурузы содержит два рифленых вальца, установленные с возможностью вращения навстречу друг другу и установленные над ними початкоотделя</w:t>
      </w:r>
      <w:r w:rsidRPr="00E73FF0">
        <w:rPr>
          <w:rFonts w:eastAsia="Calibri" w:cs="Arial"/>
          <w:color w:val="000000"/>
          <w:sz w:val="22"/>
          <w:szCs w:val="22"/>
          <w:lang w:eastAsia="en-US"/>
        </w:rPr>
        <w:t>ю</w:t>
      </w:r>
      <w:r w:rsidRPr="00E73FF0">
        <w:rPr>
          <w:rFonts w:eastAsia="Calibri" w:cs="Arial"/>
          <w:color w:val="000000"/>
          <w:sz w:val="22"/>
          <w:szCs w:val="22"/>
          <w:lang w:eastAsia="en-US"/>
        </w:rPr>
        <w:t>щие пластины, содержащие в своей средней части со стороны  внутренних сторон дополнительные вертикальные съемные пл</w:t>
      </w:r>
      <w:r w:rsidRPr="00E73FF0">
        <w:rPr>
          <w:rFonts w:eastAsia="Calibri" w:cs="Arial"/>
          <w:color w:val="000000"/>
          <w:sz w:val="22"/>
          <w:szCs w:val="22"/>
          <w:lang w:eastAsia="en-US"/>
        </w:rPr>
        <w:t>а</w:t>
      </w:r>
      <w:r w:rsidRPr="00E73FF0">
        <w:rPr>
          <w:rFonts w:eastAsia="Calibri" w:cs="Arial"/>
          <w:color w:val="000000"/>
          <w:sz w:val="22"/>
          <w:szCs w:val="22"/>
          <w:lang w:eastAsia="en-US"/>
        </w:rPr>
        <w:t>стинки, снабженные вертикальными заостренными съемными р</w:t>
      </w:r>
      <w:r w:rsidRPr="00E73FF0">
        <w:rPr>
          <w:rFonts w:eastAsia="Calibri" w:cs="Arial"/>
          <w:color w:val="000000"/>
          <w:sz w:val="22"/>
          <w:szCs w:val="22"/>
          <w:lang w:eastAsia="en-US"/>
        </w:rPr>
        <w:t>е</w:t>
      </w:r>
      <w:r w:rsidRPr="00E73FF0">
        <w:rPr>
          <w:rFonts w:eastAsia="Calibri" w:cs="Arial"/>
          <w:color w:val="000000"/>
          <w:sz w:val="22"/>
          <w:szCs w:val="22"/>
          <w:lang w:eastAsia="en-US"/>
        </w:rPr>
        <w:t>жущими элементами. Последние выступают над поверхностью п</w:t>
      </w:r>
      <w:r w:rsidRPr="00E73FF0">
        <w:rPr>
          <w:rFonts w:eastAsia="Calibri" w:cs="Arial"/>
          <w:color w:val="000000"/>
          <w:sz w:val="22"/>
          <w:szCs w:val="22"/>
          <w:lang w:eastAsia="en-US"/>
        </w:rPr>
        <w:t>о</w:t>
      </w:r>
      <w:r w:rsidRPr="00E73FF0">
        <w:rPr>
          <w:rFonts w:eastAsia="Calibri" w:cs="Arial"/>
          <w:color w:val="000000"/>
          <w:sz w:val="22"/>
          <w:szCs w:val="22"/>
          <w:lang w:eastAsia="en-US"/>
        </w:rPr>
        <w:t>чаткоотделяющих пластин на высоту меньшую толщины обертки початка у основания, и установлены вдоль направления перемещ</w:t>
      </w:r>
      <w:r w:rsidRPr="00E73FF0">
        <w:rPr>
          <w:rFonts w:eastAsia="Calibri" w:cs="Arial"/>
          <w:color w:val="000000"/>
          <w:sz w:val="22"/>
          <w:szCs w:val="22"/>
          <w:lang w:eastAsia="en-US"/>
        </w:rPr>
        <w:t>е</w:t>
      </w:r>
      <w:r w:rsidRPr="00E73FF0">
        <w:rPr>
          <w:rFonts w:eastAsia="Calibri" w:cs="Arial"/>
          <w:color w:val="000000"/>
          <w:sz w:val="22"/>
          <w:szCs w:val="22"/>
          <w:lang w:eastAsia="en-US"/>
        </w:rPr>
        <w:t>ния початка в горизонтальной плоскости с чередованием выступов и впадин, имеющих форму дуги. Радиус впадин соответствует средней тощине листьев у основания обертки початки и меньше длины зоны контакта початка с початкоотделяющими пластинами. Шаг выступов одной  початкоотделяющей пластины смещен отн</w:t>
      </w:r>
      <w:r w:rsidRPr="00E73FF0">
        <w:rPr>
          <w:rFonts w:eastAsia="Calibri" w:cs="Arial"/>
          <w:color w:val="000000"/>
          <w:sz w:val="22"/>
          <w:szCs w:val="22"/>
          <w:lang w:eastAsia="en-US"/>
        </w:rPr>
        <w:t>о</w:t>
      </w:r>
      <w:r w:rsidRPr="00E73FF0">
        <w:rPr>
          <w:rFonts w:eastAsia="Calibri" w:cs="Arial"/>
          <w:color w:val="000000"/>
          <w:sz w:val="22"/>
          <w:szCs w:val="22"/>
          <w:lang w:eastAsia="en-US"/>
        </w:rPr>
        <w:t>сительно второй на величину 0,5 шага. Над пластинами, распол</w:t>
      </w:r>
      <w:r w:rsidRPr="00E73FF0">
        <w:rPr>
          <w:rFonts w:eastAsia="Calibri" w:cs="Arial"/>
          <w:color w:val="000000"/>
          <w:sz w:val="22"/>
          <w:szCs w:val="22"/>
          <w:lang w:eastAsia="en-US"/>
        </w:rPr>
        <w:t>о</w:t>
      </w:r>
      <w:r w:rsidRPr="00E73FF0">
        <w:rPr>
          <w:rFonts w:eastAsia="Calibri" w:cs="Arial"/>
          <w:color w:val="000000"/>
          <w:sz w:val="22"/>
          <w:szCs w:val="22"/>
          <w:lang w:eastAsia="en-US"/>
        </w:rPr>
        <w:t>жены подающие цепи с лапками, предназначенные для транспорт</w:t>
      </w:r>
      <w:r w:rsidRPr="00E73FF0">
        <w:rPr>
          <w:rFonts w:eastAsia="Calibri" w:cs="Arial"/>
          <w:color w:val="000000"/>
          <w:sz w:val="22"/>
          <w:szCs w:val="22"/>
          <w:lang w:eastAsia="en-US"/>
        </w:rPr>
        <w:t>и</w:t>
      </w:r>
      <w:r w:rsidRPr="00E73FF0">
        <w:rPr>
          <w:rFonts w:eastAsia="Calibri" w:cs="Arial"/>
          <w:color w:val="000000"/>
          <w:sz w:val="22"/>
          <w:szCs w:val="22"/>
          <w:lang w:eastAsia="en-US"/>
        </w:rPr>
        <w:t>ровки отдельных початков.</w:t>
      </w:r>
    </w:p>
    <w:p w:rsidR="00E73FF0" w:rsidRPr="00E73FF0" w:rsidRDefault="00E73FF0" w:rsidP="00E90444">
      <w:pPr>
        <w:ind w:firstLine="425"/>
        <w:jc w:val="both"/>
        <w:rPr>
          <w:rFonts w:eastAsia="Calibri" w:cs="Arial"/>
          <w:color w:val="000000"/>
          <w:sz w:val="22"/>
          <w:szCs w:val="22"/>
          <w:lang w:eastAsia="en-US"/>
        </w:rPr>
      </w:pPr>
      <w:r w:rsidRPr="00E73FF0">
        <w:rPr>
          <w:rFonts w:eastAsia="Calibri" w:cs="Arial"/>
          <w:color w:val="000000"/>
          <w:sz w:val="22"/>
          <w:szCs w:val="22"/>
          <w:lang w:eastAsia="en-US"/>
        </w:rPr>
        <w:t>В третьем початкоотделяющем аппарате в зоне початкоотдел</w:t>
      </w:r>
      <w:r w:rsidRPr="00E73FF0">
        <w:rPr>
          <w:rFonts w:eastAsia="Calibri" w:cs="Arial"/>
          <w:color w:val="000000"/>
          <w:sz w:val="22"/>
          <w:szCs w:val="22"/>
          <w:lang w:eastAsia="en-US"/>
        </w:rPr>
        <w:t>е</w:t>
      </w:r>
      <w:r w:rsidRPr="00E73FF0">
        <w:rPr>
          <w:rFonts w:eastAsia="Calibri" w:cs="Arial"/>
          <w:color w:val="000000"/>
          <w:sz w:val="22"/>
          <w:szCs w:val="22"/>
          <w:lang w:eastAsia="en-US"/>
        </w:rPr>
        <w:t>ния установлены режущие диски с возможностью вращения вокруг своей оси и имеющие диаметры равные сумме толщины початкоо</w:t>
      </w:r>
      <w:r w:rsidRPr="00E73FF0">
        <w:rPr>
          <w:rFonts w:eastAsia="Calibri" w:cs="Arial"/>
          <w:color w:val="000000"/>
          <w:sz w:val="22"/>
          <w:szCs w:val="22"/>
          <w:lang w:eastAsia="en-US"/>
        </w:rPr>
        <w:t>т</w:t>
      </w:r>
      <w:r w:rsidRPr="00E73FF0">
        <w:rPr>
          <w:rFonts w:eastAsia="Calibri" w:cs="Arial"/>
          <w:color w:val="000000"/>
          <w:sz w:val="22"/>
          <w:szCs w:val="22"/>
          <w:lang w:eastAsia="en-US"/>
        </w:rPr>
        <w:t>деляющей пластины и двойной толщины обертки початка у основ</w:t>
      </w:r>
      <w:r w:rsidRPr="00E73FF0">
        <w:rPr>
          <w:rFonts w:eastAsia="Calibri" w:cs="Arial"/>
          <w:color w:val="000000"/>
          <w:sz w:val="22"/>
          <w:szCs w:val="22"/>
          <w:lang w:eastAsia="en-US"/>
        </w:rPr>
        <w:t>а</w:t>
      </w:r>
      <w:r w:rsidRPr="00E73FF0">
        <w:rPr>
          <w:rFonts w:eastAsia="Calibri" w:cs="Arial"/>
          <w:color w:val="000000"/>
          <w:sz w:val="22"/>
          <w:szCs w:val="22"/>
          <w:lang w:eastAsia="en-US"/>
        </w:rPr>
        <w:t>ния, причем шаг установки режущих дисков больше их диаметра на величину, обеспечивающую исключение перекрытия режущих ди</w:t>
      </w:r>
      <w:r w:rsidRPr="00E73FF0">
        <w:rPr>
          <w:rFonts w:eastAsia="Calibri" w:cs="Arial"/>
          <w:color w:val="000000"/>
          <w:sz w:val="22"/>
          <w:szCs w:val="22"/>
          <w:lang w:eastAsia="en-US"/>
        </w:rPr>
        <w:t>с</w:t>
      </w:r>
      <w:r w:rsidRPr="00E73FF0">
        <w:rPr>
          <w:rFonts w:eastAsia="Calibri" w:cs="Arial"/>
          <w:color w:val="000000"/>
          <w:sz w:val="22"/>
          <w:szCs w:val="22"/>
          <w:lang w:eastAsia="en-US"/>
        </w:rPr>
        <w:t>ков. Обеспечивается увеличение степени очистки початков от обертки, так как установлены режущие диски с возможностью вр</w:t>
      </w:r>
      <w:r w:rsidRPr="00E73FF0">
        <w:rPr>
          <w:rFonts w:eastAsia="Calibri" w:cs="Arial"/>
          <w:color w:val="000000"/>
          <w:sz w:val="22"/>
          <w:szCs w:val="22"/>
          <w:lang w:eastAsia="en-US"/>
        </w:rPr>
        <w:t>а</w:t>
      </w:r>
      <w:r w:rsidRPr="00E73FF0">
        <w:rPr>
          <w:rFonts w:eastAsia="Calibri" w:cs="Arial"/>
          <w:color w:val="000000"/>
          <w:sz w:val="22"/>
          <w:szCs w:val="22"/>
          <w:lang w:eastAsia="en-US"/>
        </w:rPr>
        <w:t>щения вокруг своей оси имеющие диаметры равным сумме толщ</w:t>
      </w:r>
      <w:r w:rsidRPr="00E73FF0">
        <w:rPr>
          <w:rFonts w:eastAsia="Calibri" w:cs="Arial"/>
          <w:color w:val="000000"/>
          <w:sz w:val="22"/>
          <w:szCs w:val="22"/>
          <w:lang w:eastAsia="en-US"/>
        </w:rPr>
        <w:t>и</w:t>
      </w:r>
      <w:r w:rsidRPr="00E73FF0">
        <w:rPr>
          <w:rFonts w:eastAsia="Calibri" w:cs="Arial"/>
          <w:color w:val="000000"/>
          <w:sz w:val="22"/>
          <w:szCs w:val="22"/>
          <w:lang w:eastAsia="en-US"/>
        </w:rPr>
        <w:t>ны початкоотделяющей пластины и двойной толщины обертки п</w:t>
      </w:r>
      <w:r w:rsidRPr="00E73FF0">
        <w:rPr>
          <w:rFonts w:eastAsia="Calibri" w:cs="Arial"/>
          <w:color w:val="000000"/>
          <w:sz w:val="22"/>
          <w:szCs w:val="22"/>
          <w:lang w:eastAsia="en-US"/>
        </w:rPr>
        <w:t>о</w:t>
      </w:r>
      <w:r w:rsidRPr="00E73FF0">
        <w:rPr>
          <w:rFonts w:eastAsia="Calibri" w:cs="Arial"/>
          <w:color w:val="000000"/>
          <w:sz w:val="22"/>
          <w:szCs w:val="22"/>
          <w:lang w:eastAsia="en-US"/>
        </w:rPr>
        <w:t>чатки  у основания с шагом  установки режущих дисков больше их диаметра на величину, обеспечивающую исключение перекрытия режущих дисков.</w:t>
      </w:r>
    </w:p>
    <w:p w:rsidR="00E73FF0" w:rsidRPr="00E73FF0" w:rsidRDefault="00E73FF0" w:rsidP="00F81674">
      <w:pPr>
        <w:ind w:firstLine="425"/>
        <w:jc w:val="both"/>
        <w:rPr>
          <w:rFonts w:eastAsia="Calibri" w:cs="Arial"/>
          <w:color w:val="000000"/>
          <w:sz w:val="22"/>
          <w:szCs w:val="22"/>
          <w:lang w:eastAsia="en-US"/>
        </w:rPr>
      </w:pPr>
      <w:r w:rsidRPr="00E73FF0">
        <w:rPr>
          <w:rFonts w:eastAsia="Calibri" w:cs="Arial"/>
          <w:color w:val="000000"/>
          <w:sz w:val="22"/>
          <w:szCs w:val="22"/>
          <w:lang w:eastAsia="en-US"/>
        </w:rPr>
        <w:lastRenderedPageBreak/>
        <w:t>Использование предлагаемых аппаратов существенно повыш</w:t>
      </w:r>
      <w:r w:rsidRPr="00E73FF0">
        <w:rPr>
          <w:rFonts w:eastAsia="Calibri" w:cs="Arial"/>
          <w:color w:val="000000"/>
          <w:sz w:val="22"/>
          <w:szCs w:val="22"/>
          <w:lang w:eastAsia="en-US"/>
        </w:rPr>
        <w:t>а</w:t>
      </w:r>
      <w:r w:rsidRPr="00E73FF0">
        <w:rPr>
          <w:rFonts w:eastAsia="Calibri" w:cs="Arial"/>
          <w:color w:val="000000"/>
          <w:sz w:val="22"/>
          <w:szCs w:val="22"/>
          <w:lang w:eastAsia="en-US"/>
        </w:rPr>
        <w:t>ет степень очистки початков от обертки и качество их отрыва от стебля. Простота предлагаемых устройств позволяет легко снимать затупившиеся элементы с последующей их заменой или заточкой.</w:t>
      </w:r>
    </w:p>
    <w:p w:rsidR="00E73FF0" w:rsidRPr="00E73FF0" w:rsidRDefault="00E73FF0" w:rsidP="00E73FF0">
      <w:pPr>
        <w:widowControl w:val="0"/>
        <w:autoSpaceDE w:val="0"/>
        <w:autoSpaceDN w:val="0"/>
        <w:adjustRightInd w:val="0"/>
        <w:ind w:firstLine="426"/>
        <w:jc w:val="center"/>
        <w:rPr>
          <w:rFonts w:eastAsia="Calibri" w:cs="Arial"/>
          <w:color w:val="000000"/>
          <w:sz w:val="22"/>
          <w:szCs w:val="22"/>
          <w:lang w:eastAsia="en-US"/>
        </w:rPr>
      </w:pPr>
      <w:r w:rsidRPr="00E73FF0">
        <w:rPr>
          <w:rFonts w:eastAsia="Calibri" w:cs="Arial"/>
          <w:color w:val="000000"/>
          <w:sz w:val="22"/>
          <w:szCs w:val="22"/>
          <w:lang w:eastAsia="en-US"/>
        </w:rPr>
        <w:t>Список литературы</w:t>
      </w:r>
    </w:p>
    <w:p w:rsidR="00E73FF0" w:rsidRPr="00E73FF0" w:rsidRDefault="00E73FF0" w:rsidP="00E73FF0">
      <w:pPr>
        <w:widowControl w:val="0"/>
        <w:autoSpaceDE w:val="0"/>
        <w:autoSpaceDN w:val="0"/>
        <w:adjustRightInd w:val="0"/>
        <w:ind w:firstLine="426"/>
        <w:jc w:val="both"/>
        <w:rPr>
          <w:rFonts w:eastAsia="Courier New"/>
          <w:bCs/>
          <w:sz w:val="22"/>
          <w:szCs w:val="22"/>
          <w:lang w:eastAsia="en-US"/>
        </w:rPr>
      </w:pPr>
      <w:r w:rsidRPr="00E73FF0">
        <w:rPr>
          <w:rFonts w:eastAsia="Courier New"/>
          <w:sz w:val="22"/>
          <w:szCs w:val="22"/>
          <w:lang w:eastAsia="en-US"/>
        </w:rPr>
        <w:t>1.</w:t>
      </w:r>
      <w:r w:rsidRPr="00E73FF0">
        <w:rPr>
          <w:rFonts w:eastAsia="Courier New"/>
          <w:bCs/>
          <w:sz w:val="22"/>
          <w:szCs w:val="22"/>
          <w:lang w:eastAsia="en-US"/>
        </w:rPr>
        <w:t xml:space="preserve"> Труфляк Е.В. Кукурузоуборочные машины: учеб. пособие / </w:t>
      </w:r>
      <w:r w:rsidR="0018683B">
        <w:rPr>
          <w:rFonts w:eastAsia="Courier New"/>
          <w:bCs/>
          <w:sz w:val="22"/>
          <w:szCs w:val="22"/>
          <w:lang w:eastAsia="en-US"/>
        </w:rPr>
        <w:br/>
      </w:r>
      <w:r w:rsidRPr="00E73FF0">
        <w:rPr>
          <w:rFonts w:eastAsia="Courier New"/>
          <w:bCs/>
          <w:sz w:val="22"/>
          <w:szCs w:val="22"/>
          <w:lang w:eastAsia="en-US"/>
        </w:rPr>
        <w:t>В. Труфляк. – Краснодар: КубГАУ, 2008. – 249 с.</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2. Пат. 2314671 РФ, МПК А 01 D 45/02. Початкоотделяющий аппарат / Е.И. Трубилин, Е.В. Труфляк, В.С. Кравченко, В.А. Тюр</w:t>
      </w:r>
      <w:r w:rsidRPr="00E73FF0">
        <w:rPr>
          <w:rFonts w:eastAsia="Calibri"/>
          <w:sz w:val="22"/>
          <w:szCs w:val="22"/>
          <w:lang w:eastAsia="en-US"/>
        </w:rPr>
        <w:t>и</w:t>
      </w:r>
      <w:r w:rsidRPr="00E73FF0">
        <w:rPr>
          <w:rFonts w:eastAsia="Calibri"/>
          <w:sz w:val="22"/>
          <w:szCs w:val="22"/>
          <w:lang w:eastAsia="en-US"/>
        </w:rPr>
        <w:t>ков, А.В. Попов; заявитель и патентообладатель КубГАУ. – № 2006118419/12; заявл. 26.05.2006; опубл. 20.01.2008, Бюл. № 2.</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3. Труфляк Е.В. Однорядный кукурузоуборочный комбайн для уборки початков сахарной кукурузы /Е.И. Трубилин, В.Ю. Сапр</w:t>
      </w:r>
      <w:r w:rsidRPr="00E73FF0">
        <w:rPr>
          <w:rFonts w:eastAsia="Calibri"/>
          <w:sz w:val="22"/>
          <w:szCs w:val="22"/>
          <w:lang w:eastAsia="en-US"/>
        </w:rPr>
        <w:t>ы</w:t>
      </w:r>
      <w:r w:rsidRPr="00E73FF0">
        <w:rPr>
          <w:rFonts w:eastAsia="Calibri"/>
          <w:sz w:val="22"/>
          <w:szCs w:val="22"/>
          <w:lang w:eastAsia="en-US"/>
        </w:rPr>
        <w:t>кин, Е.В. Труфляк // Техника и оборудование для села. – 2013. – № 8 (194). – С. 26–28.</w:t>
      </w:r>
    </w:p>
    <w:p w:rsidR="00E73FF0" w:rsidRPr="00E73FF0" w:rsidRDefault="00E73FF0" w:rsidP="00E73FF0">
      <w:pPr>
        <w:widowControl w:val="0"/>
        <w:autoSpaceDE w:val="0"/>
        <w:autoSpaceDN w:val="0"/>
        <w:adjustRightInd w:val="0"/>
        <w:ind w:firstLine="426"/>
        <w:jc w:val="both"/>
        <w:rPr>
          <w:rFonts w:eastAsia="Calibri"/>
          <w:sz w:val="22"/>
          <w:szCs w:val="22"/>
          <w:lang w:eastAsia="en-US"/>
        </w:rPr>
      </w:pPr>
      <w:r w:rsidRPr="00E73FF0">
        <w:rPr>
          <w:rFonts w:eastAsia="Calibri"/>
          <w:sz w:val="22"/>
          <w:szCs w:val="22"/>
          <w:lang w:eastAsia="en-US"/>
        </w:rPr>
        <w:t>4. Труфляк Е. В. Ресурсосберегающие процессы уборки кук</w:t>
      </w:r>
      <w:r w:rsidRPr="00E73FF0">
        <w:rPr>
          <w:rFonts w:eastAsia="Calibri"/>
          <w:sz w:val="22"/>
          <w:szCs w:val="22"/>
          <w:lang w:eastAsia="en-US"/>
        </w:rPr>
        <w:t>у</w:t>
      </w:r>
      <w:r w:rsidRPr="00E73FF0">
        <w:rPr>
          <w:rFonts w:eastAsia="Calibri"/>
          <w:sz w:val="22"/>
          <w:szCs w:val="22"/>
          <w:lang w:eastAsia="en-US"/>
        </w:rPr>
        <w:t>рузы на основе новых конструктивно-технологических решений: дисс. … д-ра техн. наук. – Краснодар, 2011.</w:t>
      </w:r>
    </w:p>
    <w:p w:rsidR="00E73FF0" w:rsidRPr="0018683B" w:rsidRDefault="00E73FF0" w:rsidP="00E73FF0">
      <w:pPr>
        <w:widowControl w:val="0"/>
        <w:autoSpaceDE w:val="0"/>
        <w:autoSpaceDN w:val="0"/>
        <w:adjustRightInd w:val="0"/>
        <w:ind w:firstLine="426"/>
        <w:jc w:val="both"/>
        <w:rPr>
          <w:rFonts w:eastAsia="Calibri"/>
          <w:sz w:val="22"/>
          <w:szCs w:val="22"/>
          <w:lang w:eastAsia="en-US"/>
        </w:rPr>
      </w:pPr>
    </w:p>
    <w:p w:rsidR="0018683B" w:rsidRPr="0018683B" w:rsidRDefault="0018683B" w:rsidP="00F81674">
      <w:pPr>
        <w:pStyle w:val="31"/>
        <w:ind w:firstLine="0"/>
        <w:rPr>
          <w:sz w:val="22"/>
          <w:szCs w:val="22"/>
        </w:rPr>
      </w:pPr>
    </w:p>
    <w:p w:rsidR="00E73FF0" w:rsidRPr="0018683B" w:rsidRDefault="00E73FF0" w:rsidP="00E73FF0">
      <w:pPr>
        <w:shd w:val="clear" w:color="auto" w:fill="FFFFFF"/>
        <w:autoSpaceDE w:val="0"/>
        <w:autoSpaceDN w:val="0"/>
        <w:adjustRightInd w:val="0"/>
        <w:spacing w:after="200"/>
        <w:contextualSpacing/>
        <w:rPr>
          <w:bCs/>
          <w:color w:val="000000"/>
          <w:sz w:val="22"/>
          <w:szCs w:val="22"/>
        </w:rPr>
      </w:pPr>
      <w:r w:rsidRPr="0018683B">
        <w:rPr>
          <w:sz w:val="22"/>
          <w:szCs w:val="22"/>
        </w:rPr>
        <w:t xml:space="preserve">УДК </w:t>
      </w:r>
      <w:r w:rsidRPr="0018683B">
        <w:rPr>
          <w:rFonts w:eastAsia="Calibri"/>
          <w:sz w:val="22"/>
          <w:szCs w:val="22"/>
        </w:rPr>
        <w:t>631.361.022.633.018</w:t>
      </w:r>
    </w:p>
    <w:p w:rsidR="00E73FF0" w:rsidRPr="0018683B" w:rsidRDefault="00E73FF0" w:rsidP="00E73FF0">
      <w:pPr>
        <w:jc w:val="both"/>
        <w:rPr>
          <w:sz w:val="22"/>
          <w:szCs w:val="22"/>
        </w:rPr>
      </w:pPr>
    </w:p>
    <w:p w:rsidR="00E73FF0" w:rsidRPr="0018683B" w:rsidRDefault="00E73FF0" w:rsidP="0018683B">
      <w:pPr>
        <w:jc w:val="center"/>
        <w:rPr>
          <w:b/>
          <w:sz w:val="24"/>
          <w:szCs w:val="24"/>
        </w:rPr>
      </w:pPr>
      <w:r w:rsidRPr="0018683B">
        <w:rPr>
          <w:b/>
          <w:sz w:val="24"/>
          <w:szCs w:val="24"/>
        </w:rPr>
        <w:t>Способы утилизации незерновой части риса</w:t>
      </w:r>
    </w:p>
    <w:p w:rsidR="00E73FF0" w:rsidRPr="0018683B" w:rsidRDefault="00E73FF0" w:rsidP="0018683B">
      <w:pPr>
        <w:jc w:val="center"/>
        <w:rPr>
          <w:b/>
          <w:sz w:val="24"/>
          <w:szCs w:val="24"/>
          <w:lang w:val="en-US"/>
        </w:rPr>
      </w:pPr>
      <w:r w:rsidRPr="0018683B">
        <w:rPr>
          <w:b/>
          <w:sz w:val="24"/>
          <w:szCs w:val="24"/>
        </w:rPr>
        <w:t>в</w:t>
      </w:r>
      <w:r w:rsidRPr="0018683B">
        <w:rPr>
          <w:b/>
          <w:sz w:val="24"/>
          <w:szCs w:val="24"/>
          <w:lang w:val="en-US"/>
        </w:rPr>
        <w:t xml:space="preserve"> </w:t>
      </w:r>
      <w:r w:rsidRPr="0018683B">
        <w:rPr>
          <w:b/>
          <w:sz w:val="24"/>
          <w:szCs w:val="24"/>
        </w:rPr>
        <w:t>условиях</w:t>
      </w:r>
      <w:r w:rsidRPr="0018683B">
        <w:rPr>
          <w:b/>
          <w:sz w:val="24"/>
          <w:szCs w:val="24"/>
          <w:lang w:val="en-US"/>
        </w:rPr>
        <w:t xml:space="preserve"> </w:t>
      </w:r>
      <w:r w:rsidRPr="0018683B">
        <w:rPr>
          <w:b/>
          <w:sz w:val="24"/>
          <w:szCs w:val="24"/>
        </w:rPr>
        <w:t>Краснодарского</w:t>
      </w:r>
      <w:r w:rsidRPr="0018683B">
        <w:rPr>
          <w:b/>
          <w:sz w:val="24"/>
          <w:szCs w:val="24"/>
          <w:lang w:val="en-US"/>
        </w:rPr>
        <w:t xml:space="preserve"> </w:t>
      </w:r>
      <w:r w:rsidRPr="0018683B">
        <w:rPr>
          <w:b/>
          <w:sz w:val="24"/>
          <w:szCs w:val="24"/>
        </w:rPr>
        <w:t>края</w:t>
      </w:r>
      <w:r w:rsidRPr="0018683B">
        <w:rPr>
          <w:b/>
          <w:sz w:val="24"/>
          <w:szCs w:val="24"/>
          <w:lang w:val="en-US"/>
        </w:rPr>
        <w:t xml:space="preserve"> </w:t>
      </w:r>
    </w:p>
    <w:p w:rsidR="00E73FF0" w:rsidRPr="0018683B" w:rsidRDefault="00E73FF0" w:rsidP="0018683B">
      <w:pPr>
        <w:jc w:val="center"/>
        <w:rPr>
          <w:b/>
          <w:sz w:val="24"/>
          <w:szCs w:val="24"/>
          <w:lang w:val="en-US"/>
        </w:rPr>
      </w:pPr>
      <w:r w:rsidRPr="0018683B">
        <w:rPr>
          <w:b/>
          <w:sz w:val="24"/>
          <w:szCs w:val="24"/>
          <w:lang w:val="en-US"/>
        </w:rPr>
        <w:t xml:space="preserve">Ways of recycling portion of nezernovoj rice </w:t>
      </w:r>
    </w:p>
    <w:p w:rsidR="00E73FF0" w:rsidRPr="008D33CB" w:rsidRDefault="00E73FF0" w:rsidP="006E5B69">
      <w:pPr>
        <w:jc w:val="center"/>
        <w:rPr>
          <w:b/>
          <w:sz w:val="24"/>
          <w:szCs w:val="24"/>
          <w:lang w:val="en-US"/>
        </w:rPr>
      </w:pPr>
      <w:proofErr w:type="gramStart"/>
      <w:r w:rsidRPr="0018683B">
        <w:rPr>
          <w:b/>
          <w:sz w:val="24"/>
          <w:szCs w:val="24"/>
          <w:lang w:val="en-US"/>
        </w:rPr>
        <w:t>in</w:t>
      </w:r>
      <w:proofErr w:type="gramEnd"/>
      <w:r w:rsidRPr="0018683B">
        <w:rPr>
          <w:b/>
          <w:sz w:val="24"/>
          <w:szCs w:val="24"/>
          <w:lang w:val="en-US"/>
        </w:rPr>
        <w:t xml:space="preserve"> the conditions of Krasnodar region</w:t>
      </w:r>
    </w:p>
    <w:p w:rsidR="00E90444" w:rsidRPr="008D33CB" w:rsidRDefault="00E90444" w:rsidP="006E5B69">
      <w:pPr>
        <w:jc w:val="center"/>
        <w:rPr>
          <w:b/>
          <w:sz w:val="24"/>
          <w:szCs w:val="24"/>
          <w:lang w:val="en-US"/>
        </w:rPr>
      </w:pPr>
    </w:p>
    <w:p w:rsidR="00E73FF0" w:rsidRPr="0018683B" w:rsidRDefault="00E73FF0" w:rsidP="0018683B">
      <w:pPr>
        <w:jc w:val="right"/>
        <w:rPr>
          <w:sz w:val="22"/>
          <w:szCs w:val="22"/>
        </w:rPr>
      </w:pPr>
      <w:r w:rsidRPr="0018683B">
        <w:rPr>
          <w:sz w:val="22"/>
          <w:szCs w:val="22"/>
        </w:rPr>
        <w:t>Тронь И. А.,</w:t>
      </w:r>
    </w:p>
    <w:p w:rsidR="00E73FF0" w:rsidRPr="0018683B" w:rsidRDefault="00E73FF0" w:rsidP="0018683B">
      <w:pPr>
        <w:jc w:val="right"/>
        <w:rPr>
          <w:sz w:val="22"/>
          <w:szCs w:val="22"/>
        </w:rPr>
      </w:pPr>
      <w:r w:rsidRPr="0018683B">
        <w:rPr>
          <w:sz w:val="22"/>
          <w:szCs w:val="22"/>
        </w:rPr>
        <w:t>студент магистратуры факультета заочного обучения</w:t>
      </w:r>
    </w:p>
    <w:p w:rsidR="00E73FF0" w:rsidRPr="0018683B" w:rsidRDefault="00E73FF0" w:rsidP="0018683B">
      <w:pPr>
        <w:jc w:val="right"/>
        <w:rPr>
          <w:sz w:val="22"/>
          <w:szCs w:val="22"/>
        </w:rPr>
      </w:pPr>
      <w:r w:rsidRPr="0018683B">
        <w:rPr>
          <w:sz w:val="22"/>
          <w:szCs w:val="22"/>
        </w:rPr>
        <w:t>Чеботарёв М. И.,</w:t>
      </w:r>
    </w:p>
    <w:p w:rsidR="00E73FF0" w:rsidRPr="0018683B" w:rsidRDefault="00E73FF0" w:rsidP="0018683B">
      <w:pPr>
        <w:jc w:val="right"/>
        <w:rPr>
          <w:sz w:val="22"/>
          <w:szCs w:val="22"/>
        </w:rPr>
      </w:pPr>
      <w:r w:rsidRPr="0018683B">
        <w:rPr>
          <w:sz w:val="22"/>
          <w:szCs w:val="22"/>
        </w:rPr>
        <w:t>д-р техн. наук,</w:t>
      </w:r>
      <w:r w:rsidR="0018683B">
        <w:rPr>
          <w:sz w:val="22"/>
          <w:szCs w:val="22"/>
        </w:rPr>
        <w:t xml:space="preserve"> профессор кафедры</w:t>
      </w:r>
    </w:p>
    <w:p w:rsidR="00E73FF0" w:rsidRDefault="00E73FF0" w:rsidP="0018683B">
      <w:pPr>
        <w:jc w:val="right"/>
        <w:rPr>
          <w:sz w:val="22"/>
          <w:szCs w:val="22"/>
        </w:rPr>
      </w:pPr>
      <w:r w:rsidRPr="0018683B">
        <w:rPr>
          <w:sz w:val="22"/>
          <w:szCs w:val="22"/>
        </w:rPr>
        <w:t>ремонта машин и материаловедения</w:t>
      </w:r>
    </w:p>
    <w:p w:rsidR="0018683B" w:rsidRPr="00E73FF0" w:rsidRDefault="0018683B" w:rsidP="0018683B">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Pr>
          <w:rFonts w:eastAsia="Courier New"/>
          <w:color w:val="000000"/>
          <w:sz w:val="22"/>
          <w:szCs w:val="22"/>
          <w:lang w:eastAsia="en-US"/>
        </w:rPr>
        <w:t>анский государственный аграрный</w:t>
      </w:r>
    </w:p>
    <w:p w:rsidR="00E73FF0" w:rsidRDefault="0018683B" w:rsidP="0018683B">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18683B" w:rsidRPr="0018683B" w:rsidRDefault="0018683B" w:rsidP="0018683B">
      <w:pPr>
        <w:widowControl w:val="0"/>
        <w:tabs>
          <w:tab w:val="left" w:pos="8223"/>
        </w:tabs>
        <w:jc w:val="right"/>
        <w:rPr>
          <w:rFonts w:eastAsia="Courier New"/>
          <w:color w:val="000000"/>
          <w:sz w:val="22"/>
          <w:szCs w:val="22"/>
          <w:lang w:eastAsia="en-US"/>
        </w:rPr>
      </w:pPr>
    </w:p>
    <w:p w:rsidR="00E73FF0" w:rsidRPr="0018683B" w:rsidRDefault="00E73FF0" w:rsidP="0018683B">
      <w:pPr>
        <w:ind w:firstLine="425"/>
        <w:jc w:val="both"/>
        <w:rPr>
          <w:b/>
          <w:sz w:val="22"/>
          <w:szCs w:val="22"/>
        </w:rPr>
      </w:pPr>
      <w:r w:rsidRPr="0018683B">
        <w:rPr>
          <w:sz w:val="22"/>
          <w:szCs w:val="22"/>
        </w:rPr>
        <w:t>АННОТАЦИЯ:</w:t>
      </w:r>
      <w:r w:rsidRPr="0018683B">
        <w:rPr>
          <w:b/>
          <w:sz w:val="22"/>
          <w:szCs w:val="22"/>
        </w:rPr>
        <w:t xml:space="preserve"> </w:t>
      </w:r>
      <w:r w:rsidRPr="0018683B">
        <w:rPr>
          <w:sz w:val="22"/>
          <w:szCs w:val="22"/>
        </w:rPr>
        <w:t>Проанализированы различные способы утил</w:t>
      </w:r>
      <w:r w:rsidRPr="0018683B">
        <w:rPr>
          <w:sz w:val="22"/>
          <w:szCs w:val="22"/>
        </w:rPr>
        <w:t>и</w:t>
      </w:r>
      <w:r w:rsidRPr="0018683B">
        <w:rPr>
          <w:sz w:val="22"/>
          <w:szCs w:val="22"/>
        </w:rPr>
        <w:t xml:space="preserve">зации незерновой части риса при его производстве. Установлено, </w:t>
      </w:r>
      <w:r w:rsidRPr="0018683B">
        <w:rPr>
          <w:sz w:val="22"/>
          <w:szCs w:val="22"/>
        </w:rPr>
        <w:lastRenderedPageBreak/>
        <w:t>что для условий Краснодарского края экономически целесообра</w:t>
      </w:r>
      <w:r w:rsidRPr="0018683B">
        <w:rPr>
          <w:sz w:val="22"/>
          <w:szCs w:val="22"/>
        </w:rPr>
        <w:t>з</w:t>
      </w:r>
      <w:r w:rsidRPr="0018683B">
        <w:rPr>
          <w:sz w:val="22"/>
          <w:szCs w:val="22"/>
        </w:rPr>
        <w:t>ным и экологически безопасным является только способ, при кот</w:t>
      </w:r>
      <w:r w:rsidRPr="0018683B">
        <w:rPr>
          <w:sz w:val="22"/>
          <w:szCs w:val="22"/>
        </w:rPr>
        <w:t>о</w:t>
      </w:r>
      <w:r w:rsidRPr="0018683B">
        <w:rPr>
          <w:sz w:val="22"/>
          <w:szCs w:val="22"/>
        </w:rPr>
        <w:t>ром рисовая солома измельчается и заделывается в почву в качестве органического удобрения.</w:t>
      </w:r>
    </w:p>
    <w:p w:rsidR="00E73FF0" w:rsidRPr="0018683B" w:rsidRDefault="00E73FF0" w:rsidP="0018683B">
      <w:pPr>
        <w:ind w:firstLine="425"/>
        <w:jc w:val="both"/>
        <w:rPr>
          <w:sz w:val="22"/>
          <w:szCs w:val="22"/>
          <w:lang w:val="en-US"/>
        </w:rPr>
      </w:pPr>
      <w:r w:rsidRPr="0018683B">
        <w:rPr>
          <w:sz w:val="22"/>
          <w:szCs w:val="22"/>
          <w:lang w:val="en-US"/>
        </w:rPr>
        <w:t>ABSTRACT: Analyzed the different ways of recycling portion of nezernovoj rice in its production. It is established that the conditions of Krasnodar region, economically viable and environmentally sustainable is the only way in which the rice straw and is closed up in the soil as o</w:t>
      </w:r>
      <w:r w:rsidRPr="0018683B">
        <w:rPr>
          <w:sz w:val="22"/>
          <w:szCs w:val="22"/>
          <w:lang w:val="en-US"/>
        </w:rPr>
        <w:t>r</w:t>
      </w:r>
      <w:r w:rsidRPr="0018683B">
        <w:rPr>
          <w:sz w:val="22"/>
          <w:szCs w:val="22"/>
          <w:lang w:val="en-US"/>
        </w:rPr>
        <w:t>ganic fertilizer.</w:t>
      </w:r>
    </w:p>
    <w:p w:rsidR="00E73FF0" w:rsidRPr="0018683B" w:rsidRDefault="00E73FF0" w:rsidP="0018683B">
      <w:pPr>
        <w:ind w:firstLine="425"/>
        <w:jc w:val="both"/>
        <w:rPr>
          <w:sz w:val="22"/>
          <w:szCs w:val="22"/>
        </w:rPr>
      </w:pPr>
      <w:r w:rsidRPr="0018683B">
        <w:rPr>
          <w:sz w:val="22"/>
          <w:szCs w:val="22"/>
        </w:rPr>
        <w:t>КЛЮЧЕВЫЕ СЛОВА: рис, незерновая часть урожая, солома, лузга, способ, измельчение, заделка в почву.</w:t>
      </w:r>
    </w:p>
    <w:p w:rsidR="00E73FF0" w:rsidRPr="0018683B" w:rsidRDefault="00E73FF0" w:rsidP="0018683B">
      <w:pPr>
        <w:ind w:firstLine="426"/>
        <w:jc w:val="both"/>
        <w:rPr>
          <w:sz w:val="22"/>
          <w:szCs w:val="22"/>
          <w:lang w:val="en-US"/>
        </w:rPr>
      </w:pPr>
      <w:r w:rsidRPr="0018683B">
        <w:rPr>
          <w:sz w:val="22"/>
          <w:szCs w:val="22"/>
          <w:lang w:val="en-US"/>
        </w:rPr>
        <w:t>KEYWORDS: rice, nezernovaja part of the crop, straw, husks, way, shredding, incorporation into the soil.</w:t>
      </w:r>
    </w:p>
    <w:p w:rsidR="00E73FF0" w:rsidRPr="0018683B" w:rsidRDefault="00E73FF0" w:rsidP="0018683B">
      <w:pPr>
        <w:ind w:firstLine="426"/>
        <w:jc w:val="both"/>
        <w:rPr>
          <w:sz w:val="22"/>
          <w:szCs w:val="22"/>
          <w:lang w:val="en-US"/>
        </w:rPr>
      </w:pPr>
    </w:p>
    <w:p w:rsidR="00E73FF0" w:rsidRPr="0018683B" w:rsidRDefault="00E73FF0" w:rsidP="0018683B">
      <w:pPr>
        <w:ind w:firstLine="425"/>
        <w:jc w:val="both"/>
        <w:rPr>
          <w:sz w:val="22"/>
          <w:szCs w:val="22"/>
        </w:rPr>
      </w:pPr>
      <w:r w:rsidRPr="0018683B">
        <w:rPr>
          <w:sz w:val="22"/>
          <w:szCs w:val="22"/>
        </w:rPr>
        <w:t>Краснодарский край производит основную часть риса в Ро</w:t>
      </w:r>
      <w:r w:rsidRPr="0018683B">
        <w:rPr>
          <w:sz w:val="22"/>
          <w:szCs w:val="22"/>
        </w:rPr>
        <w:t>с</w:t>
      </w:r>
      <w:r w:rsidRPr="0018683B">
        <w:rPr>
          <w:sz w:val="22"/>
          <w:szCs w:val="22"/>
        </w:rPr>
        <w:t>сийской Федерации, объем производства которого превышает 2/3 от всего количества, производимого в стране. Площади посевов риса незначительно колеблются по годам и в последние три года нах</w:t>
      </w:r>
      <w:r w:rsidRPr="0018683B">
        <w:rPr>
          <w:sz w:val="22"/>
          <w:szCs w:val="22"/>
        </w:rPr>
        <w:t>о</w:t>
      </w:r>
      <w:r w:rsidRPr="0018683B">
        <w:rPr>
          <w:sz w:val="22"/>
          <w:szCs w:val="22"/>
        </w:rPr>
        <w:t>дятся на уровне 134,3 (2015 г.) и 121,9 (2017 г.). Урожайность риса в среднем по краю составляет по годам 6,0–6,3 т/га.</w:t>
      </w:r>
    </w:p>
    <w:p w:rsidR="00E73FF0" w:rsidRPr="0018683B" w:rsidRDefault="00E73FF0" w:rsidP="0018683B">
      <w:pPr>
        <w:ind w:firstLine="425"/>
        <w:jc w:val="both"/>
        <w:rPr>
          <w:sz w:val="22"/>
          <w:szCs w:val="22"/>
        </w:rPr>
      </w:pPr>
      <w:r w:rsidRPr="0018683B">
        <w:rPr>
          <w:sz w:val="22"/>
          <w:szCs w:val="22"/>
        </w:rPr>
        <w:t>Незерновая часть урожая (НЧУ) при возделывании риса пре</w:t>
      </w:r>
      <w:r w:rsidRPr="0018683B">
        <w:rPr>
          <w:sz w:val="22"/>
          <w:szCs w:val="22"/>
        </w:rPr>
        <w:t>д</w:t>
      </w:r>
      <w:r w:rsidRPr="0018683B">
        <w:rPr>
          <w:sz w:val="22"/>
          <w:szCs w:val="22"/>
        </w:rPr>
        <w:t>ставлена рисовой соломой и лузгой, получаемой при переработке риса в крупу. Наибольшее количество НЧУ при производстве риса составляет рисовая солома. Ежегодно формируемое количество р</w:t>
      </w:r>
      <w:r w:rsidRPr="0018683B">
        <w:rPr>
          <w:sz w:val="22"/>
          <w:szCs w:val="22"/>
        </w:rPr>
        <w:t>и</w:t>
      </w:r>
      <w:r w:rsidRPr="0018683B">
        <w:rPr>
          <w:sz w:val="22"/>
          <w:szCs w:val="22"/>
        </w:rPr>
        <w:t>состебельной массы (рисовой соломы) достигает 550–650 тыс. т, которое необходимо утилизировать.</w:t>
      </w:r>
    </w:p>
    <w:p w:rsidR="00E73FF0" w:rsidRPr="0018683B" w:rsidRDefault="00E73FF0" w:rsidP="0018683B">
      <w:pPr>
        <w:ind w:firstLine="425"/>
        <w:jc w:val="both"/>
        <w:rPr>
          <w:spacing w:val="-4"/>
          <w:sz w:val="22"/>
          <w:szCs w:val="22"/>
        </w:rPr>
      </w:pPr>
      <w:r w:rsidRPr="0018683B">
        <w:rPr>
          <w:spacing w:val="-4"/>
          <w:sz w:val="22"/>
          <w:szCs w:val="22"/>
        </w:rPr>
        <w:t>Проблема утилизации рисовой соломы на Кубани сохраняется практически весь период крупномасштабного производства риса, начиная с 80-х годов, когда на Кубани был создан мощный водохозя</w:t>
      </w:r>
      <w:r w:rsidRPr="0018683B">
        <w:rPr>
          <w:spacing w:val="-4"/>
          <w:sz w:val="22"/>
          <w:szCs w:val="22"/>
        </w:rPr>
        <w:t>й</w:t>
      </w:r>
      <w:r w:rsidRPr="0018683B">
        <w:rPr>
          <w:spacing w:val="-4"/>
          <w:sz w:val="22"/>
          <w:szCs w:val="22"/>
        </w:rPr>
        <w:t>ственный комплекс, а площади рисовых оросительных систем дости</w:t>
      </w:r>
      <w:r w:rsidRPr="0018683B">
        <w:rPr>
          <w:spacing w:val="-4"/>
          <w:sz w:val="22"/>
          <w:szCs w:val="22"/>
        </w:rPr>
        <w:t>г</w:t>
      </w:r>
      <w:r w:rsidRPr="0018683B">
        <w:rPr>
          <w:spacing w:val="-4"/>
          <w:sz w:val="22"/>
          <w:szCs w:val="22"/>
        </w:rPr>
        <w:t>ли 235 тыс. га. Это связано с достаточной ограниченностью возможн</w:t>
      </w:r>
      <w:r w:rsidRPr="0018683B">
        <w:rPr>
          <w:spacing w:val="-4"/>
          <w:sz w:val="22"/>
          <w:szCs w:val="22"/>
        </w:rPr>
        <w:t>о</w:t>
      </w:r>
      <w:r w:rsidRPr="0018683B">
        <w:rPr>
          <w:spacing w:val="-4"/>
          <w:sz w:val="22"/>
          <w:szCs w:val="22"/>
        </w:rPr>
        <w:t>стей ее использования. [1]</w:t>
      </w:r>
    </w:p>
    <w:p w:rsidR="00E73FF0" w:rsidRPr="0018683B" w:rsidRDefault="00E73FF0" w:rsidP="0018683B">
      <w:pPr>
        <w:ind w:firstLine="425"/>
        <w:jc w:val="both"/>
        <w:rPr>
          <w:sz w:val="22"/>
          <w:szCs w:val="22"/>
        </w:rPr>
      </w:pPr>
      <w:r w:rsidRPr="0018683B">
        <w:rPr>
          <w:sz w:val="22"/>
          <w:szCs w:val="22"/>
        </w:rPr>
        <w:t>Известно множество способов использования рисовой соломы [2]:</w:t>
      </w:r>
    </w:p>
    <w:p w:rsidR="00E73FF0" w:rsidRPr="0018683B" w:rsidRDefault="00E73FF0" w:rsidP="0018683B">
      <w:pPr>
        <w:ind w:firstLine="425"/>
        <w:jc w:val="both"/>
        <w:rPr>
          <w:sz w:val="22"/>
          <w:szCs w:val="22"/>
        </w:rPr>
      </w:pPr>
      <w:r w:rsidRPr="0018683B">
        <w:rPr>
          <w:sz w:val="22"/>
          <w:szCs w:val="22"/>
        </w:rPr>
        <w:t>1. В качестве органического удобрения при заделке в почву;</w:t>
      </w:r>
    </w:p>
    <w:p w:rsidR="00E73FF0" w:rsidRPr="0018683B" w:rsidRDefault="00E73FF0" w:rsidP="0018683B">
      <w:pPr>
        <w:ind w:firstLine="425"/>
        <w:jc w:val="both"/>
        <w:rPr>
          <w:sz w:val="22"/>
          <w:szCs w:val="22"/>
        </w:rPr>
      </w:pPr>
      <w:r w:rsidRPr="0018683B">
        <w:rPr>
          <w:sz w:val="22"/>
          <w:szCs w:val="22"/>
        </w:rPr>
        <w:t>2. В качестве подстилочного материала для животных и птиц;</w:t>
      </w:r>
    </w:p>
    <w:p w:rsidR="00E73FF0" w:rsidRPr="0018683B" w:rsidRDefault="00E73FF0" w:rsidP="0018683B">
      <w:pPr>
        <w:ind w:firstLine="425"/>
        <w:jc w:val="both"/>
        <w:rPr>
          <w:sz w:val="22"/>
          <w:szCs w:val="22"/>
        </w:rPr>
      </w:pPr>
      <w:r w:rsidRPr="0018683B">
        <w:rPr>
          <w:sz w:val="22"/>
          <w:szCs w:val="22"/>
        </w:rPr>
        <w:t>3. В качестве корма для крупного рогатого скота в смеси с др</w:t>
      </w:r>
      <w:r w:rsidRPr="0018683B">
        <w:rPr>
          <w:sz w:val="22"/>
          <w:szCs w:val="22"/>
        </w:rPr>
        <w:t>у</w:t>
      </w:r>
      <w:r w:rsidRPr="0018683B">
        <w:rPr>
          <w:sz w:val="22"/>
          <w:szCs w:val="22"/>
        </w:rPr>
        <w:t>гими сочными кормами;</w:t>
      </w:r>
    </w:p>
    <w:p w:rsidR="00E73FF0" w:rsidRPr="0018683B" w:rsidRDefault="00E73FF0" w:rsidP="0018683B">
      <w:pPr>
        <w:ind w:firstLine="425"/>
        <w:jc w:val="both"/>
        <w:rPr>
          <w:sz w:val="22"/>
          <w:szCs w:val="22"/>
        </w:rPr>
      </w:pPr>
      <w:r w:rsidRPr="0018683B">
        <w:rPr>
          <w:sz w:val="22"/>
          <w:szCs w:val="22"/>
        </w:rPr>
        <w:lastRenderedPageBreak/>
        <w:t>4. В качестве строительного материала при изготовлении стр</w:t>
      </w:r>
      <w:r w:rsidRPr="0018683B">
        <w:rPr>
          <w:sz w:val="22"/>
          <w:szCs w:val="22"/>
        </w:rPr>
        <w:t>а</w:t>
      </w:r>
      <w:r w:rsidRPr="0018683B">
        <w:rPr>
          <w:sz w:val="22"/>
          <w:szCs w:val="22"/>
        </w:rPr>
        <w:t>ломитовых плит, служащих изоляционным и утепляющим матери</w:t>
      </w:r>
      <w:r w:rsidRPr="0018683B">
        <w:rPr>
          <w:sz w:val="22"/>
          <w:szCs w:val="22"/>
        </w:rPr>
        <w:t>а</w:t>
      </w:r>
      <w:r w:rsidRPr="0018683B">
        <w:rPr>
          <w:sz w:val="22"/>
          <w:szCs w:val="22"/>
        </w:rPr>
        <w:t>лом;</w:t>
      </w:r>
    </w:p>
    <w:p w:rsidR="00E73FF0" w:rsidRPr="0018683B" w:rsidRDefault="00E73FF0" w:rsidP="0018683B">
      <w:pPr>
        <w:ind w:firstLine="425"/>
        <w:jc w:val="both"/>
        <w:rPr>
          <w:sz w:val="22"/>
          <w:szCs w:val="22"/>
        </w:rPr>
      </w:pPr>
      <w:r w:rsidRPr="0018683B">
        <w:rPr>
          <w:sz w:val="22"/>
          <w:szCs w:val="22"/>
        </w:rPr>
        <w:t>5. При производстве бумаги и упаковочных материалов;</w:t>
      </w:r>
    </w:p>
    <w:p w:rsidR="00E73FF0" w:rsidRPr="0018683B" w:rsidRDefault="00E73FF0" w:rsidP="0018683B">
      <w:pPr>
        <w:ind w:firstLine="425"/>
        <w:jc w:val="both"/>
        <w:rPr>
          <w:sz w:val="22"/>
          <w:szCs w:val="22"/>
        </w:rPr>
      </w:pPr>
      <w:r w:rsidRPr="0018683B">
        <w:rPr>
          <w:sz w:val="22"/>
          <w:szCs w:val="22"/>
        </w:rPr>
        <w:t>6. В качестве источника получения тепла при изготовлении отопительных брикетов;</w:t>
      </w:r>
    </w:p>
    <w:p w:rsidR="00E73FF0" w:rsidRPr="0018683B" w:rsidRDefault="00E73FF0" w:rsidP="0018683B">
      <w:pPr>
        <w:ind w:firstLine="425"/>
        <w:jc w:val="both"/>
        <w:rPr>
          <w:sz w:val="22"/>
          <w:szCs w:val="22"/>
        </w:rPr>
      </w:pPr>
      <w:r w:rsidRPr="0018683B">
        <w:rPr>
          <w:sz w:val="22"/>
          <w:szCs w:val="22"/>
        </w:rPr>
        <w:t>7. В быту при изготовлении циновок, корзин, шляп, палочек для еды и др.;</w:t>
      </w:r>
    </w:p>
    <w:p w:rsidR="00E73FF0" w:rsidRPr="0018683B" w:rsidRDefault="00E73FF0" w:rsidP="0018683B">
      <w:pPr>
        <w:ind w:firstLine="425"/>
        <w:jc w:val="both"/>
        <w:rPr>
          <w:sz w:val="22"/>
          <w:szCs w:val="22"/>
        </w:rPr>
      </w:pPr>
      <w:r w:rsidRPr="0018683B">
        <w:rPr>
          <w:sz w:val="22"/>
          <w:szCs w:val="22"/>
        </w:rPr>
        <w:t>8. Сжигание соломы, в основном, в местах ее производства или с вывозом за их пределы.</w:t>
      </w:r>
    </w:p>
    <w:p w:rsidR="00E73FF0" w:rsidRPr="0018683B" w:rsidRDefault="00E73FF0" w:rsidP="0018683B">
      <w:pPr>
        <w:ind w:firstLine="425"/>
        <w:jc w:val="both"/>
        <w:rPr>
          <w:sz w:val="22"/>
          <w:szCs w:val="22"/>
        </w:rPr>
      </w:pPr>
      <w:r w:rsidRPr="0018683B">
        <w:rPr>
          <w:sz w:val="22"/>
          <w:szCs w:val="22"/>
        </w:rPr>
        <w:t>Все названные способы апробированы и в различных масшт</w:t>
      </w:r>
      <w:r w:rsidRPr="0018683B">
        <w:rPr>
          <w:sz w:val="22"/>
          <w:szCs w:val="22"/>
        </w:rPr>
        <w:t>а</w:t>
      </w:r>
      <w:r w:rsidRPr="0018683B">
        <w:rPr>
          <w:sz w:val="22"/>
          <w:szCs w:val="22"/>
        </w:rPr>
        <w:t>бах находят применение в производстве и быту. В Краснодарском крае находят применение сбор рисовой соломы на технологические нужды для животноводства, ее сжигании в незначительных объемах и в качестве  свежего органического вещества при заделке в почву [3].</w:t>
      </w:r>
    </w:p>
    <w:p w:rsidR="00E73FF0" w:rsidRPr="0018683B" w:rsidRDefault="00E73FF0" w:rsidP="0018683B">
      <w:pPr>
        <w:ind w:firstLine="425"/>
        <w:jc w:val="both"/>
        <w:rPr>
          <w:sz w:val="22"/>
          <w:szCs w:val="22"/>
        </w:rPr>
      </w:pPr>
      <w:r w:rsidRPr="0018683B">
        <w:rPr>
          <w:sz w:val="22"/>
          <w:szCs w:val="22"/>
        </w:rPr>
        <w:t>Лузга, получаемая при переработке риса в крупу на крупозав</w:t>
      </w:r>
      <w:r w:rsidRPr="0018683B">
        <w:rPr>
          <w:sz w:val="22"/>
          <w:szCs w:val="22"/>
        </w:rPr>
        <w:t>о</w:t>
      </w:r>
      <w:r w:rsidRPr="0018683B">
        <w:rPr>
          <w:sz w:val="22"/>
          <w:szCs w:val="22"/>
        </w:rPr>
        <w:t>дах Краснодарского края, практически ни в производстве, ни в быту не используется.</w:t>
      </w:r>
    </w:p>
    <w:p w:rsidR="00E73FF0" w:rsidRPr="0018683B" w:rsidRDefault="00E73FF0" w:rsidP="0018683B">
      <w:pPr>
        <w:ind w:firstLine="425"/>
        <w:jc w:val="both"/>
        <w:rPr>
          <w:sz w:val="22"/>
          <w:szCs w:val="22"/>
        </w:rPr>
      </w:pPr>
      <w:r w:rsidRPr="0018683B">
        <w:rPr>
          <w:sz w:val="22"/>
          <w:szCs w:val="22"/>
        </w:rPr>
        <w:t>В настоящее время и видимо в ближайшие 5–10 лет, примен</w:t>
      </w:r>
      <w:r w:rsidRPr="0018683B">
        <w:rPr>
          <w:sz w:val="22"/>
          <w:szCs w:val="22"/>
        </w:rPr>
        <w:t>е</w:t>
      </w:r>
      <w:r w:rsidRPr="0018683B">
        <w:rPr>
          <w:sz w:val="22"/>
          <w:szCs w:val="22"/>
        </w:rPr>
        <w:t>ние соломы в животноводстве сойдет на нет. Это связано, в первую очередь со значительным сокращением поголовья крупного рогат</w:t>
      </w:r>
      <w:r w:rsidRPr="0018683B">
        <w:rPr>
          <w:sz w:val="22"/>
          <w:szCs w:val="22"/>
        </w:rPr>
        <w:t>о</w:t>
      </w:r>
      <w:r w:rsidRPr="0018683B">
        <w:rPr>
          <w:sz w:val="22"/>
          <w:szCs w:val="22"/>
        </w:rPr>
        <w:t>го скота в сельхозпредприятиях, занимающихся производством р</w:t>
      </w:r>
      <w:r w:rsidRPr="0018683B">
        <w:rPr>
          <w:sz w:val="22"/>
          <w:szCs w:val="22"/>
        </w:rPr>
        <w:t>и</w:t>
      </w:r>
      <w:r w:rsidRPr="0018683B">
        <w:rPr>
          <w:sz w:val="22"/>
          <w:szCs w:val="22"/>
        </w:rPr>
        <w:t>са и сложностью ее заготовки и доставки к местам содержания ж</w:t>
      </w:r>
      <w:r w:rsidRPr="0018683B">
        <w:rPr>
          <w:sz w:val="22"/>
          <w:szCs w:val="22"/>
        </w:rPr>
        <w:t>и</w:t>
      </w:r>
      <w:r w:rsidRPr="0018683B">
        <w:rPr>
          <w:sz w:val="22"/>
          <w:szCs w:val="22"/>
        </w:rPr>
        <w:t>вотных.</w:t>
      </w:r>
    </w:p>
    <w:p w:rsidR="00E73FF0" w:rsidRPr="0018683B" w:rsidRDefault="00E73FF0" w:rsidP="0018683B">
      <w:pPr>
        <w:ind w:firstLine="425"/>
        <w:jc w:val="both"/>
        <w:rPr>
          <w:sz w:val="22"/>
          <w:szCs w:val="22"/>
        </w:rPr>
      </w:pPr>
      <w:r w:rsidRPr="0018683B">
        <w:rPr>
          <w:sz w:val="22"/>
          <w:szCs w:val="22"/>
        </w:rPr>
        <w:t>Механизация уборки незерновой части урожая риса затрудн</w:t>
      </w:r>
      <w:r w:rsidRPr="0018683B">
        <w:rPr>
          <w:sz w:val="22"/>
          <w:szCs w:val="22"/>
        </w:rPr>
        <w:t>е</w:t>
      </w:r>
      <w:r w:rsidRPr="0018683B">
        <w:rPr>
          <w:sz w:val="22"/>
          <w:szCs w:val="22"/>
        </w:rPr>
        <w:t>на. Это объясняется малой плотностью соломы, которая в 40 раз меньше, чем у зерна и отсутствием сыпучести. Повышенное соде</w:t>
      </w:r>
      <w:r w:rsidRPr="0018683B">
        <w:rPr>
          <w:sz w:val="22"/>
          <w:szCs w:val="22"/>
        </w:rPr>
        <w:t>р</w:t>
      </w:r>
      <w:r w:rsidRPr="0018683B">
        <w:rPr>
          <w:sz w:val="22"/>
          <w:szCs w:val="22"/>
        </w:rPr>
        <w:t>жание кремния в стеблях риса (до 17 %) приводит к повышенному износу рабочих органов соломоуборочных устройств и замедлению процесса гумификации. Затраты на уборку НЧУ достигает 60–70 % от всех затрат на уборку урожая [4].</w:t>
      </w:r>
    </w:p>
    <w:p w:rsidR="00E73FF0" w:rsidRPr="0018683B" w:rsidRDefault="00E73FF0" w:rsidP="0018683B">
      <w:pPr>
        <w:ind w:firstLine="425"/>
        <w:jc w:val="both"/>
        <w:rPr>
          <w:sz w:val="22"/>
          <w:szCs w:val="22"/>
        </w:rPr>
      </w:pPr>
      <w:r w:rsidRPr="0018683B">
        <w:rPr>
          <w:sz w:val="22"/>
          <w:szCs w:val="22"/>
        </w:rPr>
        <w:t>Сжигание соломы наиболее экономичный, простой и досту</w:t>
      </w:r>
      <w:r w:rsidRPr="0018683B">
        <w:rPr>
          <w:sz w:val="22"/>
          <w:szCs w:val="22"/>
        </w:rPr>
        <w:t>п</w:t>
      </w:r>
      <w:r w:rsidRPr="0018683B">
        <w:rPr>
          <w:sz w:val="22"/>
          <w:szCs w:val="22"/>
        </w:rPr>
        <w:t>ный способ уборки и утилизации рисовой соломы, не требующий никаких средств механизации, кроме рисоуборочного комбайна. Солома, сбоины (мелкие части стеблей) и полова (мякина), оста</w:t>
      </w:r>
      <w:r w:rsidRPr="0018683B">
        <w:rPr>
          <w:sz w:val="22"/>
          <w:szCs w:val="22"/>
        </w:rPr>
        <w:t>в</w:t>
      </w:r>
      <w:r w:rsidRPr="0018683B">
        <w:rPr>
          <w:sz w:val="22"/>
          <w:szCs w:val="22"/>
        </w:rPr>
        <w:t xml:space="preserve">шиеся от растения после отделения колосков (зерна), сбрасываются с соломотряса комбайна, и расстилаются ввиде валка за комбайном </w:t>
      </w:r>
      <w:r w:rsidRPr="0018683B">
        <w:rPr>
          <w:sz w:val="22"/>
          <w:szCs w:val="22"/>
        </w:rPr>
        <w:lastRenderedPageBreak/>
        <w:t>на поверхности чека. После подсыхания (для лучшего горения) в</w:t>
      </w:r>
      <w:r w:rsidRPr="0018683B">
        <w:rPr>
          <w:sz w:val="22"/>
          <w:szCs w:val="22"/>
        </w:rPr>
        <w:t>а</w:t>
      </w:r>
      <w:r w:rsidRPr="0018683B">
        <w:rPr>
          <w:sz w:val="22"/>
          <w:szCs w:val="22"/>
        </w:rPr>
        <w:t>лок с соломой поджигается и, подобно бикфордовому шнуру, сг</w:t>
      </w:r>
      <w:r w:rsidRPr="0018683B">
        <w:rPr>
          <w:sz w:val="22"/>
          <w:szCs w:val="22"/>
        </w:rPr>
        <w:t>о</w:t>
      </w:r>
      <w:r w:rsidRPr="0018683B">
        <w:rPr>
          <w:sz w:val="22"/>
          <w:szCs w:val="22"/>
        </w:rPr>
        <w:t>рает от начала до конца. При горении соломы в атмосферу выдел</w:t>
      </w:r>
      <w:r w:rsidRPr="0018683B">
        <w:rPr>
          <w:sz w:val="22"/>
          <w:szCs w:val="22"/>
        </w:rPr>
        <w:t>я</w:t>
      </w:r>
      <w:r w:rsidRPr="0018683B">
        <w:rPr>
          <w:sz w:val="22"/>
          <w:szCs w:val="22"/>
        </w:rPr>
        <w:t>ется большое количество вредных токсичных химических газов и их соединений, которые оказывают негативное влияние на окруж</w:t>
      </w:r>
      <w:r w:rsidRPr="0018683B">
        <w:rPr>
          <w:sz w:val="22"/>
          <w:szCs w:val="22"/>
        </w:rPr>
        <w:t>а</w:t>
      </w:r>
      <w:r w:rsidRPr="0018683B">
        <w:rPr>
          <w:sz w:val="22"/>
          <w:szCs w:val="22"/>
        </w:rPr>
        <w:t>ющую среду и здоровье людей. Кроме этого, под валком резко п</w:t>
      </w:r>
      <w:r w:rsidRPr="0018683B">
        <w:rPr>
          <w:sz w:val="22"/>
          <w:szCs w:val="22"/>
        </w:rPr>
        <w:t>о</w:t>
      </w:r>
      <w:r w:rsidRPr="0018683B">
        <w:rPr>
          <w:sz w:val="22"/>
          <w:szCs w:val="22"/>
        </w:rPr>
        <w:t>вышается температура почвы, что приводит к частичному выгор</w:t>
      </w:r>
      <w:r w:rsidRPr="0018683B">
        <w:rPr>
          <w:sz w:val="22"/>
          <w:szCs w:val="22"/>
        </w:rPr>
        <w:t>а</w:t>
      </w:r>
      <w:r w:rsidRPr="0018683B">
        <w:rPr>
          <w:sz w:val="22"/>
          <w:szCs w:val="22"/>
        </w:rPr>
        <w:t>нию гумуса в верхнем ее слое и уничтожению почвенной биоты.</w:t>
      </w:r>
    </w:p>
    <w:p w:rsidR="00E73FF0" w:rsidRPr="0018683B" w:rsidRDefault="00E73FF0" w:rsidP="0018683B">
      <w:pPr>
        <w:ind w:firstLine="425"/>
        <w:jc w:val="both"/>
        <w:rPr>
          <w:sz w:val="22"/>
          <w:szCs w:val="22"/>
        </w:rPr>
      </w:pPr>
      <w:r w:rsidRPr="0018683B">
        <w:rPr>
          <w:sz w:val="22"/>
          <w:szCs w:val="22"/>
        </w:rPr>
        <w:t>Несмотря на это единственно целесообразным и экологически безопасным способом утилизации НЧУ остается измельчение и з</w:t>
      </w:r>
      <w:r w:rsidRPr="0018683B">
        <w:rPr>
          <w:sz w:val="22"/>
          <w:szCs w:val="22"/>
        </w:rPr>
        <w:t>а</w:t>
      </w:r>
      <w:r w:rsidRPr="0018683B">
        <w:rPr>
          <w:sz w:val="22"/>
          <w:szCs w:val="22"/>
        </w:rPr>
        <w:t>делка соломы в почву в качестве свежего органического вещества. Агрономические аспекты этой научно-производственной задачи учеными решены [5]. Дальнейшая реализация этого способа будет зависеть от наличия средств механизации для измельчения, ра</w:t>
      </w:r>
      <w:r w:rsidRPr="0018683B">
        <w:rPr>
          <w:sz w:val="22"/>
          <w:szCs w:val="22"/>
        </w:rPr>
        <w:t>с</w:t>
      </w:r>
      <w:r w:rsidRPr="0018683B">
        <w:rPr>
          <w:sz w:val="22"/>
          <w:szCs w:val="22"/>
        </w:rPr>
        <w:t>щепления и заделки соломы в почву.</w:t>
      </w:r>
    </w:p>
    <w:p w:rsidR="00E73FF0" w:rsidRPr="0018683B" w:rsidRDefault="00E73FF0" w:rsidP="006E5B69">
      <w:pPr>
        <w:ind w:firstLine="425"/>
        <w:jc w:val="both"/>
        <w:rPr>
          <w:sz w:val="22"/>
          <w:szCs w:val="22"/>
        </w:rPr>
      </w:pPr>
      <w:r w:rsidRPr="0018683B">
        <w:rPr>
          <w:sz w:val="22"/>
          <w:szCs w:val="22"/>
        </w:rPr>
        <w:t>Вывод. Из всех проанализированных способов утилизации НЧУ риса в условиях Краснодарского края экономически целесоо</w:t>
      </w:r>
      <w:r w:rsidRPr="0018683B">
        <w:rPr>
          <w:sz w:val="22"/>
          <w:szCs w:val="22"/>
        </w:rPr>
        <w:t>б</w:t>
      </w:r>
      <w:r w:rsidRPr="0018683B">
        <w:rPr>
          <w:sz w:val="22"/>
          <w:szCs w:val="22"/>
        </w:rPr>
        <w:t>разен, и экологически безопасен только способ ее измельчения и заделки в почву.</w:t>
      </w:r>
    </w:p>
    <w:p w:rsidR="00E73FF0" w:rsidRPr="0018683B" w:rsidRDefault="00E73FF0" w:rsidP="0018683B">
      <w:pPr>
        <w:jc w:val="center"/>
        <w:rPr>
          <w:sz w:val="22"/>
          <w:szCs w:val="22"/>
        </w:rPr>
      </w:pPr>
      <w:r w:rsidRPr="0018683B">
        <w:rPr>
          <w:sz w:val="22"/>
          <w:szCs w:val="22"/>
        </w:rPr>
        <w:t>Список литературы</w:t>
      </w:r>
    </w:p>
    <w:p w:rsidR="00E73FF0" w:rsidRPr="0018683B" w:rsidRDefault="00E73FF0" w:rsidP="0018683B">
      <w:pPr>
        <w:widowControl w:val="0"/>
        <w:autoSpaceDE w:val="0"/>
        <w:autoSpaceDN w:val="0"/>
        <w:adjustRightInd w:val="0"/>
        <w:ind w:firstLine="425"/>
        <w:jc w:val="both"/>
        <w:rPr>
          <w:color w:val="000000"/>
          <w:sz w:val="22"/>
          <w:szCs w:val="22"/>
        </w:rPr>
      </w:pPr>
      <w:r w:rsidRPr="0018683B">
        <w:rPr>
          <w:sz w:val="22"/>
          <w:szCs w:val="22"/>
        </w:rPr>
        <w:t xml:space="preserve">1. </w:t>
      </w:r>
      <w:r w:rsidRPr="0018683B">
        <w:rPr>
          <w:color w:val="000000"/>
          <w:sz w:val="22"/>
          <w:szCs w:val="22"/>
        </w:rPr>
        <w:t>Проблемы утилизации рисовой соломы. Чеботарёв М.И., Масиенко И.В. Сельский механизатор № 2, 2015 г. С. 18–19.</w:t>
      </w:r>
    </w:p>
    <w:p w:rsidR="00E73FF0" w:rsidRPr="0018683B" w:rsidRDefault="00E73FF0" w:rsidP="0018683B">
      <w:pPr>
        <w:widowControl w:val="0"/>
        <w:autoSpaceDE w:val="0"/>
        <w:autoSpaceDN w:val="0"/>
        <w:adjustRightInd w:val="0"/>
        <w:ind w:firstLine="425"/>
        <w:jc w:val="both"/>
        <w:rPr>
          <w:sz w:val="22"/>
          <w:szCs w:val="22"/>
        </w:rPr>
      </w:pPr>
      <w:r w:rsidRPr="0018683B">
        <w:rPr>
          <w:color w:val="000000"/>
          <w:sz w:val="22"/>
          <w:szCs w:val="22"/>
        </w:rPr>
        <w:t xml:space="preserve">2. </w:t>
      </w:r>
      <w:r w:rsidRPr="0018683B">
        <w:rPr>
          <w:bCs/>
          <w:color w:val="000000"/>
          <w:sz w:val="22"/>
          <w:szCs w:val="22"/>
        </w:rPr>
        <w:t>Эффективность различных способов утилизации рисовой с</w:t>
      </w:r>
      <w:r w:rsidRPr="0018683B">
        <w:rPr>
          <w:bCs/>
          <w:color w:val="000000"/>
          <w:sz w:val="22"/>
          <w:szCs w:val="22"/>
        </w:rPr>
        <w:t>о</w:t>
      </w:r>
      <w:r w:rsidRPr="0018683B">
        <w:rPr>
          <w:bCs/>
          <w:color w:val="000000"/>
          <w:sz w:val="22"/>
          <w:szCs w:val="22"/>
        </w:rPr>
        <w:t>ломы</w:t>
      </w:r>
      <w:r w:rsidRPr="0018683B">
        <w:rPr>
          <w:color w:val="000000"/>
          <w:sz w:val="22"/>
          <w:szCs w:val="22"/>
        </w:rPr>
        <w:t>.</w:t>
      </w:r>
      <w:r w:rsidRPr="0018683B">
        <w:rPr>
          <w:sz w:val="22"/>
          <w:szCs w:val="22"/>
        </w:rPr>
        <w:t xml:space="preserve"> Чеботарёв М. И., Масиенко И. В., Масиенко В. В. В сборн</w:t>
      </w:r>
      <w:r w:rsidRPr="0018683B">
        <w:rPr>
          <w:sz w:val="22"/>
          <w:szCs w:val="22"/>
        </w:rPr>
        <w:t>и</w:t>
      </w:r>
      <w:r w:rsidRPr="0018683B">
        <w:rPr>
          <w:sz w:val="22"/>
          <w:szCs w:val="22"/>
        </w:rPr>
        <w:t>ке: Актуальные проблемы научно-технического прогресса в АПК. Сборник научных статей XII Международной научно-практ. конф., в рамках XVIII Международной агропромышленной выставки «А</w:t>
      </w:r>
      <w:r w:rsidRPr="0018683B">
        <w:rPr>
          <w:sz w:val="22"/>
          <w:szCs w:val="22"/>
        </w:rPr>
        <w:t>г</w:t>
      </w:r>
      <w:r w:rsidRPr="0018683B">
        <w:rPr>
          <w:sz w:val="22"/>
          <w:szCs w:val="22"/>
        </w:rPr>
        <w:t>роуниверсал – 2016». Издательство «АГРУС» (Ставрополь). 2016. С. 304–311.</w:t>
      </w:r>
    </w:p>
    <w:p w:rsidR="00E73FF0" w:rsidRPr="0018683B" w:rsidRDefault="00E73FF0" w:rsidP="0018683B">
      <w:pPr>
        <w:widowControl w:val="0"/>
        <w:autoSpaceDE w:val="0"/>
        <w:autoSpaceDN w:val="0"/>
        <w:adjustRightInd w:val="0"/>
        <w:ind w:firstLine="425"/>
        <w:jc w:val="both"/>
        <w:rPr>
          <w:sz w:val="22"/>
          <w:szCs w:val="22"/>
        </w:rPr>
      </w:pPr>
      <w:r w:rsidRPr="0018683B">
        <w:rPr>
          <w:sz w:val="22"/>
          <w:szCs w:val="22"/>
        </w:rPr>
        <w:t>3. Качественные показатели измельчения рисовой соломы р</w:t>
      </w:r>
      <w:r w:rsidRPr="0018683B">
        <w:rPr>
          <w:sz w:val="22"/>
          <w:szCs w:val="22"/>
        </w:rPr>
        <w:t>о</w:t>
      </w:r>
      <w:r w:rsidRPr="0018683B">
        <w:rPr>
          <w:sz w:val="22"/>
          <w:szCs w:val="22"/>
        </w:rPr>
        <w:t>торными комбайнами. Масиенко И. В., Чеботарёв М. И. В сборн</w:t>
      </w:r>
      <w:r w:rsidRPr="0018683B">
        <w:rPr>
          <w:sz w:val="22"/>
          <w:szCs w:val="22"/>
        </w:rPr>
        <w:t>и</w:t>
      </w:r>
      <w:r w:rsidRPr="0018683B">
        <w:rPr>
          <w:sz w:val="22"/>
          <w:szCs w:val="22"/>
        </w:rPr>
        <w:t>ке: Научное обеспечение агропромышленного комплекса : сб. ст. по материалам Х Всерос. конф. молодых ученых. – Краснодар : КубГАУ, 2017. – С. 580–581.</w:t>
      </w:r>
    </w:p>
    <w:p w:rsidR="00E73FF0" w:rsidRPr="0018683B" w:rsidRDefault="00E73FF0" w:rsidP="0018683B">
      <w:pPr>
        <w:widowControl w:val="0"/>
        <w:autoSpaceDE w:val="0"/>
        <w:autoSpaceDN w:val="0"/>
        <w:adjustRightInd w:val="0"/>
        <w:ind w:firstLine="425"/>
        <w:jc w:val="both"/>
        <w:rPr>
          <w:color w:val="000000"/>
          <w:sz w:val="22"/>
          <w:szCs w:val="22"/>
        </w:rPr>
      </w:pPr>
      <w:r w:rsidRPr="0018683B">
        <w:rPr>
          <w:sz w:val="22"/>
          <w:szCs w:val="22"/>
        </w:rPr>
        <w:t xml:space="preserve">4. Выбор рационального способа измельчения рисовой соломы. </w:t>
      </w:r>
      <w:r w:rsidRPr="0018683B">
        <w:rPr>
          <w:color w:val="000000"/>
          <w:sz w:val="22"/>
          <w:szCs w:val="22"/>
        </w:rPr>
        <w:t>Чеботарёв М.И., Масиенко И.В., Метлёв И.В. В сборнике: Актуал</w:t>
      </w:r>
      <w:r w:rsidRPr="0018683B">
        <w:rPr>
          <w:color w:val="000000"/>
          <w:sz w:val="22"/>
          <w:szCs w:val="22"/>
        </w:rPr>
        <w:t>ь</w:t>
      </w:r>
      <w:r w:rsidRPr="0018683B">
        <w:rPr>
          <w:color w:val="000000"/>
          <w:sz w:val="22"/>
          <w:szCs w:val="22"/>
        </w:rPr>
        <w:t>ные проблемы научно-технического прогресса в АПК. XI Межд</w:t>
      </w:r>
      <w:r w:rsidRPr="0018683B">
        <w:rPr>
          <w:color w:val="000000"/>
          <w:sz w:val="22"/>
          <w:szCs w:val="22"/>
        </w:rPr>
        <w:t>у</w:t>
      </w:r>
      <w:r w:rsidRPr="0018683B">
        <w:rPr>
          <w:color w:val="000000"/>
          <w:sz w:val="22"/>
          <w:szCs w:val="22"/>
        </w:rPr>
        <w:t>народная научно-практ. конф., посвящ. 65-летию факультета мех</w:t>
      </w:r>
      <w:r w:rsidRPr="0018683B">
        <w:rPr>
          <w:color w:val="000000"/>
          <w:sz w:val="22"/>
          <w:szCs w:val="22"/>
        </w:rPr>
        <w:t>а</w:t>
      </w:r>
      <w:r w:rsidRPr="0018683B">
        <w:rPr>
          <w:color w:val="000000"/>
          <w:sz w:val="22"/>
          <w:szCs w:val="22"/>
        </w:rPr>
        <w:lastRenderedPageBreak/>
        <w:t>низации сельского хозяйства, в рамках ХVII Международной в</w:t>
      </w:r>
      <w:r w:rsidRPr="0018683B">
        <w:rPr>
          <w:color w:val="000000"/>
          <w:sz w:val="22"/>
          <w:szCs w:val="22"/>
        </w:rPr>
        <w:t>ы</w:t>
      </w:r>
      <w:r w:rsidRPr="0018683B">
        <w:rPr>
          <w:color w:val="000000"/>
          <w:sz w:val="22"/>
          <w:szCs w:val="22"/>
        </w:rPr>
        <w:t>ставки «Агроуниверсал – 2015». 2015. С. 53–57.</w:t>
      </w:r>
    </w:p>
    <w:p w:rsidR="00E73FF0" w:rsidRPr="0018683B" w:rsidRDefault="00E73FF0" w:rsidP="0018683B">
      <w:pPr>
        <w:widowControl w:val="0"/>
        <w:autoSpaceDE w:val="0"/>
        <w:autoSpaceDN w:val="0"/>
        <w:adjustRightInd w:val="0"/>
        <w:ind w:firstLine="425"/>
        <w:jc w:val="both"/>
        <w:rPr>
          <w:color w:val="000000"/>
          <w:sz w:val="22"/>
          <w:szCs w:val="22"/>
        </w:rPr>
      </w:pPr>
      <w:r w:rsidRPr="0018683B">
        <w:rPr>
          <w:color w:val="000000"/>
          <w:sz w:val="22"/>
          <w:szCs w:val="22"/>
        </w:rPr>
        <w:t xml:space="preserve">5.  </w:t>
      </w:r>
      <w:r w:rsidRPr="0018683B">
        <w:rPr>
          <w:sz w:val="22"/>
          <w:szCs w:val="22"/>
        </w:rPr>
        <w:t xml:space="preserve">Мобильный измельчитель рисовой соломы. Чеботарёв М. И., Масиенко И. В. В сборнике: </w:t>
      </w:r>
      <w:r w:rsidRPr="0018683B">
        <w:rPr>
          <w:color w:val="000000"/>
          <w:sz w:val="22"/>
          <w:szCs w:val="22"/>
        </w:rPr>
        <w:t>Научное обеспечение производства сельскохозяйственных культур в современных условиях.: Межд</w:t>
      </w:r>
      <w:r w:rsidRPr="0018683B">
        <w:rPr>
          <w:color w:val="000000"/>
          <w:sz w:val="22"/>
          <w:szCs w:val="22"/>
        </w:rPr>
        <w:t>у</w:t>
      </w:r>
      <w:r w:rsidRPr="0018683B">
        <w:rPr>
          <w:color w:val="000000"/>
          <w:sz w:val="22"/>
          <w:szCs w:val="22"/>
        </w:rPr>
        <w:t>народная научно-практ. конф. : материалы конф. / ФГБНУ ВНИИ риса, 2016. С. 233–239.</w:t>
      </w:r>
    </w:p>
    <w:p w:rsidR="00E73FF0" w:rsidRPr="0018683B" w:rsidRDefault="00E73FF0" w:rsidP="0018683B">
      <w:pPr>
        <w:widowControl w:val="0"/>
        <w:autoSpaceDE w:val="0"/>
        <w:autoSpaceDN w:val="0"/>
        <w:adjustRightInd w:val="0"/>
        <w:spacing w:line="265" w:lineRule="exact"/>
        <w:ind w:left="15"/>
        <w:rPr>
          <w:color w:val="000000"/>
          <w:sz w:val="22"/>
          <w:szCs w:val="22"/>
        </w:rPr>
      </w:pPr>
    </w:p>
    <w:p w:rsidR="0018683B" w:rsidRDefault="0018683B" w:rsidP="006E5B69">
      <w:pPr>
        <w:pStyle w:val="31"/>
        <w:ind w:firstLine="0"/>
        <w:rPr>
          <w:sz w:val="22"/>
          <w:szCs w:val="22"/>
        </w:rPr>
      </w:pPr>
    </w:p>
    <w:p w:rsidR="006E5B69" w:rsidRDefault="006E5B69" w:rsidP="006E5B69">
      <w:pPr>
        <w:rPr>
          <w:bCs/>
          <w:iCs/>
          <w:sz w:val="22"/>
          <w:szCs w:val="22"/>
        </w:rPr>
      </w:pPr>
      <w:bookmarkStart w:id="5" w:name="OCRUncertain001"/>
      <w:r>
        <w:rPr>
          <w:bCs/>
          <w:iCs/>
          <w:sz w:val="22"/>
          <w:szCs w:val="22"/>
        </w:rPr>
        <w:t xml:space="preserve">УДК </w:t>
      </w:r>
      <w:r w:rsidR="00281602" w:rsidRPr="00281602">
        <w:rPr>
          <w:bCs/>
          <w:iCs/>
          <w:sz w:val="22"/>
          <w:szCs w:val="22"/>
        </w:rPr>
        <w:t>691.116</w:t>
      </w:r>
    </w:p>
    <w:p w:rsidR="00E90444" w:rsidRPr="006E5B69" w:rsidRDefault="00E90444" w:rsidP="006E5B69">
      <w:pPr>
        <w:rPr>
          <w:bCs/>
          <w:iCs/>
          <w:sz w:val="22"/>
          <w:szCs w:val="22"/>
        </w:rPr>
      </w:pPr>
    </w:p>
    <w:p w:rsidR="00281602" w:rsidRPr="0018683B" w:rsidRDefault="0018683B" w:rsidP="0018683B">
      <w:pPr>
        <w:jc w:val="center"/>
        <w:rPr>
          <w:b/>
          <w:sz w:val="24"/>
          <w:szCs w:val="24"/>
        </w:rPr>
      </w:pPr>
      <w:r w:rsidRPr="0018683B">
        <w:rPr>
          <w:b/>
          <w:sz w:val="24"/>
          <w:szCs w:val="24"/>
        </w:rPr>
        <w:t>Звукоизоляционные свойства материалов на основе</w:t>
      </w:r>
      <w:r w:rsidR="006E5B69">
        <w:rPr>
          <w:b/>
          <w:sz w:val="24"/>
          <w:szCs w:val="24"/>
        </w:rPr>
        <w:br/>
      </w:r>
      <w:r w:rsidRPr="0018683B">
        <w:rPr>
          <w:b/>
          <w:sz w:val="24"/>
          <w:szCs w:val="24"/>
        </w:rPr>
        <w:t xml:space="preserve"> клееной и прессованной древесины</w:t>
      </w:r>
    </w:p>
    <w:p w:rsidR="0018683B" w:rsidRPr="006E5B69" w:rsidRDefault="0018683B" w:rsidP="006E5B69">
      <w:pPr>
        <w:ind w:firstLine="425"/>
        <w:jc w:val="center"/>
        <w:rPr>
          <w:b/>
          <w:sz w:val="24"/>
          <w:szCs w:val="24"/>
          <w:lang w:val="en-US"/>
        </w:rPr>
      </w:pPr>
      <w:r w:rsidRPr="0018683B">
        <w:rPr>
          <w:b/>
          <w:sz w:val="24"/>
          <w:szCs w:val="24"/>
          <w:lang w:val="en-US"/>
        </w:rPr>
        <w:t>Sound</w:t>
      </w:r>
      <w:r w:rsidRPr="006E5B69">
        <w:rPr>
          <w:b/>
          <w:sz w:val="24"/>
          <w:szCs w:val="24"/>
          <w:lang w:val="en-US"/>
        </w:rPr>
        <w:t xml:space="preserve"> </w:t>
      </w:r>
      <w:r w:rsidRPr="0018683B">
        <w:rPr>
          <w:b/>
          <w:sz w:val="24"/>
          <w:szCs w:val="24"/>
          <w:lang w:val="en-US"/>
        </w:rPr>
        <w:t>insulation</w:t>
      </w:r>
      <w:r w:rsidRPr="006E5B69">
        <w:rPr>
          <w:b/>
          <w:sz w:val="24"/>
          <w:szCs w:val="24"/>
          <w:lang w:val="en-US"/>
        </w:rPr>
        <w:t xml:space="preserve"> </w:t>
      </w:r>
      <w:r w:rsidRPr="0018683B">
        <w:rPr>
          <w:b/>
          <w:sz w:val="24"/>
          <w:szCs w:val="24"/>
          <w:lang w:val="en-US"/>
        </w:rPr>
        <w:t>properties</w:t>
      </w:r>
      <w:r w:rsidRPr="006E5B69">
        <w:rPr>
          <w:b/>
          <w:sz w:val="24"/>
          <w:szCs w:val="24"/>
          <w:lang w:val="en-US"/>
        </w:rPr>
        <w:t xml:space="preserve"> </w:t>
      </w:r>
      <w:r w:rsidRPr="0018683B">
        <w:rPr>
          <w:b/>
          <w:sz w:val="24"/>
          <w:szCs w:val="24"/>
          <w:lang w:val="en-US"/>
        </w:rPr>
        <w:t>of</w:t>
      </w:r>
      <w:r w:rsidRPr="006E5B69">
        <w:rPr>
          <w:b/>
          <w:sz w:val="24"/>
          <w:szCs w:val="24"/>
          <w:lang w:val="en-US"/>
        </w:rPr>
        <w:t xml:space="preserve"> </w:t>
      </w:r>
      <w:r w:rsidRPr="0018683B">
        <w:rPr>
          <w:b/>
          <w:sz w:val="24"/>
          <w:szCs w:val="24"/>
          <w:lang w:val="en-US"/>
        </w:rPr>
        <w:t>materials</w:t>
      </w:r>
      <w:r w:rsidRPr="006E5B69">
        <w:rPr>
          <w:b/>
          <w:sz w:val="24"/>
          <w:szCs w:val="24"/>
          <w:lang w:val="en-US"/>
        </w:rPr>
        <w:t xml:space="preserve"> </w:t>
      </w:r>
      <w:r w:rsidRPr="0018683B">
        <w:rPr>
          <w:b/>
          <w:sz w:val="24"/>
          <w:szCs w:val="24"/>
          <w:lang w:val="en-US"/>
        </w:rPr>
        <w:t>based</w:t>
      </w:r>
      <w:r w:rsidRPr="006E5B69">
        <w:rPr>
          <w:b/>
          <w:sz w:val="24"/>
          <w:szCs w:val="24"/>
          <w:lang w:val="en-US"/>
        </w:rPr>
        <w:t xml:space="preserve"> </w:t>
      </w:r>
      <w:r w:rsidRPr="0018683B">
        <w:rPr>
          <w:b/>
          <w:sz w:val="24"/>
          <w:szCs w:val="24"/>
          <w:lang w:val="en-US"/>
        </w:rPr>
        <w:t>on</w:t>
      </w:r>
      <w:r w:rsidRPr="006E5B69">
        <w:rPr>
          <w:b/>
          <w:sz w:val="24"/>
          <w:szCs w:val="24"/>
          <w:lang w:val="en-US"/>
        </w:rPr>
        <w:t xml:space="preserve"> </w:t>
      </w:r>
      <w:r w:rsidRPr="0018683B">
        <w:rPr>
          <w:b/>
          <w:sz w:val="24"/>
          <w:szCs w:val="24"/>
          <w:lang w:val="en-US"/>
        </w:rPr>
        <w:t>glued</w:t>
      </w:r>
      <w:r w:rsidRPr="006E5B69">
        <w:rPr>
          <w:b/>
          <w:sz w:val="24"/>
          <w:szCs w:val="24"/>
          <w:lang w:val="en-US"/>
        </w:rPr>
        <w:t xml:space="preserve"> </w:t>
      </w:r>
      <w:r w:rsidRPr="0018683B">
        <w:rPr>
          <w:b/>
          <w:sz w:val="24"/>
          <w:szCs w:val="24"/>
          <w:lang w:val="en-US"/>
        </w:rPr>
        <w:t>and</w:t>
      </w:r>
      <w:r w:rsidRPr="006E5B69">
        <w:rPr>
          <w:b/>
          <w:sz w:val="24"/>
          <w:szCs w:val="24"/>
          <w:lang w:val="en-US"/>
        </w:rPr>
        <w:t xml:space="preserve"> </w:t>
      </w:r>
      <w:r w:rsidRPr="0018683B">
        <w:rPr>
          <w:b/>
          <w:sz w:val="24"/>
          <w:szCs w:val="24"/>
          <w:lang w:val="en-US"/>
        </w:rPr>
        <w:t>pressed</w:t>
      </w:r>
      <w:r w:rsidRPr="006E5B69">
        <w:rPr>
          <w:b/>
          <w:sz w:val="24"/>
          <w:szCs w:val="24"/>
          <w:lang w:val="en-US"/>
        </w:rPr>
        <w:t xml:space="preserve"> </w:t>
      </w:r>
      <w:r w:rsidRPr="0018683B">
        <w:rPr>
          <w:b/>
          <w:sz w:val="24"/>
          <w:szCs w:val="24"/>
          <w:lang w:val="en-US"/>
        </w:rPr>
        <w:t>wood</w:t>
      </w:r>
    </w:p>
    <w:p w:rsidR="0018683B" w:rsidRPr="0018683B" w:rsidRDefault="0018683B" w:rsidP="0018683B">
      <w:pPr>
        <w:ind w:firstLine="1985"/>
        <w:jc w:val="right"/>
        <w:rPr>
          <w:bCs/>
          <w:iCs/>
          <w:sz w:val="22"/>
          <w:szCs w:val="22"/>
        </w:rPr>
      </w:pPr>
      <w:r w:rsidRPr="0018683B">
        <w:rPr>
          <w:bCs/>
          <w:iCs/>
          <w:sz w:val="22"/>
          <w:szCs w:val="22"/>
        </w:rPr>
        <w:t>Туровский Б. В.,</w:t>
      </w:r>
    </w:p>
    <w:p w:rsidR="0018683B" w:rsidRPr="0018683B" w:rsidRDefault="0018683B" w:rsidP="0018683B">
      <w:pPr>
        <w:ind w:firstLine="1985"/>
        <w:jc w:val="right"/>
        <w:rPr>
          <w:bCs/>
          <w:iCs/>
          <w:sz w:val="22"/>
          <w:szCs w:val="22"/>
        </w:rPr>
      </w:pPr>
      <w:r w:rsidRPr="0018683B">
        <w:rPr>
          <w:bCs/>
          <w:iCs/>
          <w:sz w:val="22"/>
          <w:szCs w:val="22"/>
        </w:rPr>
        <w:t>профессор</w:t>
      </w:r>
    </w:p>
    <w:p w:rsidR="0018683B" w:rsidRPr="0018683B" w:rsidRDefault="0018683B" w:rsidP="0018683B">
      <w:pPr>
        <w:ind w:firstLine="1985"/>
        <w:jc w:val="right"/>
        <w:rPr>
          <w:bCs/>
          <w:iCs/>
          <w:sz w:val="22"/>
          <w:szCs w:val="22"/>
        </w:rPr>
      </w:pPr>
      <w:r w:rsidRPr="0018683B">
        <w:rPr>
          <w:bCs/>
          <w:iCs/>
          <w:sz w:val="22"/>
          <w:szCs w:val="22"/>
        </w:rPr>
        <w:t>Алтунян А. О., Клименко Н.</w:t>
      </w:r>
      <w:r w:rsidR="006E5B69">
        <w:rPr>
          <w:bCs/>
          <w:iCs/>
          <w:sz w:val="22"/>
          <w:szCs w:val="22"/>
        </w:rPr>
        <w:t xml:space="preserve"> </w:t>
      </w:r>
      <w:r w:rsidRPr="0018683B">
        <w:rPr>
          <w:bCs/>
          <w:iCs/>
          <w:sz w:val="22"/>
          <w:szCs w:val="22"/>
        </w:rPr>
        <w:t>Е.,</w:t>
      </w:r>
    </w:p>
    <w:p w:rsidR="0018683B" w:rsidRPr="0018683B" w:rsidRDefault="0018683B" w:rsidP="0018683B">
      <w:pPr>
        <w:ind w:firstLine="1985"/>
        <w:jc w:val="right"/>
        <w:rPr>
          <w:bCs/>
          <w:iCs/>
          <w:sz w:val="22"/>
          <w:szCs w:val="22"/>
        </w:rPr>
      </w:pPr>
      <w:r>
        <w:rPr>
          <w:bCs/>
          <w:iCs/>
          <w:sz w:val="22"/>
          <w:szCs w:val="22"/>
        </w:rPr>
        <w:t>с</w:t>
      </w:r>
      <w:r w:rsidRPr="0018683B">
        <w:rPr>
          <w:bCs/>
          <w:iCs/>
          <w:sz w:val="22"/>
          <w:szCs w:val="22"/>
        </w:rPr>
        <w:t xml:space="preserve">туденты 3 курса </w:t>
      </w:r>
    </w:p>
    <w:p w:rsidR="0018683B" w:rsidRPr="00E73FF0" w:rsidRDefault="0018683B" w:rsidP="0018683B">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Куб</w:t>
      </w:r>
      <w:r>
        <w:rPr>
          <w:rFonts w:eastAsia="Courier New"/>
          <w:color w:val="000000"/>
          <w:sz w:val="22"/>
          <w:szCs w:val="22"/>
          <w:lang w:eastAsia="en-US"/>
        </w:rPr>
        <w:t>анский государственный аграрный</w:t>
      </w:r>
    </w:p>
    <w:p w:rsidR="0018683B" w:rsidRDefault="0018683B" w:rsidP="0018683B">
      <w:pPr>
        <w:widowControl w:val="0"/>
        <w:tabs>
          <w:tab w:val="left" w:pos="8223"/>
        </w:tabs>
        <w:jc w:val="right"/>
        <w:rPr>
          <w:rFonts w:eastAsia="Courier New"/>
          <w:color w:val="000000"/>
          <w:sz w:val="22"/>
          <w:szCs w:val="22"/>
          <w:lang w:eastAsia="en-US"/>
        </w:rPr>
      </w:pPr>
      <w:r w:rsidRPr="00E73FF0">
        <w:rPr>
          <w:rFonts w:eastAsia="Courier New"/>
          <w:color w:val="000000"/>
          <w:sz w:val="22"/>
          <w:szCs w:val="22"/>
          <w:lang w:eastAsia="en-US"/>
        </w:rPr>
        <w:t>университет имени И. Т. Трубилина</w:t>
      </w:r>
    </w:p>
    <w:p w:rsidR="00281602" w:rsidRPr="0018683B" w:rsidRDefault="00281602" w:rsidP="0018683B">
      <w:pPr>
        <w:jc w:val="both"/>
        <w:rPr>
          <w:bCs/>
          <w:iCs/>
          <w:sz w:val="22"/>
          <w:szCs w:val="22"/>
        </w:rPr>
      </w:pPr>
    </w:p>
    <w:p w:rsidR="00281602" w:rsidRPr="0018683B" w:rsidRDefault="0018683B" w:rsidP="0018683B">
      <w:pPr>
        <w:ind w:firstLine="425"/>
        <w:jc w:val="both"/>
        <w:rPr>
          <w:bCs/>
          <w:iCs/>
          <w:sz w:val="22"/>
          <w:szCs w:val="22"/>
        </w:rPr>
      </w:pPr>
      <w:r w:rsidRPr="00281602">
        <w:rPr>
          <w:bCs/>
          <w:iCs/>
          <w:sz w:val="22"/>
          <w:szCs w:val="22"/>
        </w:rPr>
        <w:t>АННОТАЦИЯ:</w:t>
      </w:r>
      <w:r>
        <w:rPr>
          <w:bCs/>
          <w:iCs/>
          <w:sz w:val="22"/>
          <w:szCs w:val="22"/>
        </w:rPr>
        <w:t xml:space="preserve"> </w:t>
      </w:r>
      <w:r w:rsidR="00281602" w:rsidRPr="00281602">
        <w:rPr>
          <w:sz w:val="22"/>
          <w:szCs w:val="22"/>
        </w:rPr>
        <w:t>В статье рассматриваются основные звукоиз</w:t>
      </w:r>
      <w:r w:rsidR="00281602" w:rsidRPr="00281602">
        <w:rPr>
          <w:sz w:val="22"/>
          <w:szCs w:val="22"/>
        </w:rPr>
        <w:t>о</w:t>
      </w:r>
      <w:r w:rsidR="00281602" w:rsidRPr="00281602">
        <w:rPr>
          <w:sz w:val="22"/>
          <w:szCs w:val="22"/>
        </w:rPr>
        <w:t>ляционные материалы на основе клееной и прессованной древес</w:t>
      </w:r>
      <w:r w:rsidR="00281602" w:rsidRPr="00281602">
        <w:rPr>
          <w:sz w:val="22"/>
          <w:szCs w:val="22"/>
        </w:rPr>
        <w:t>и</w:t>
      </w:r>
      <w:r w:rsidR="00281602" w:rsidRPr="00281602">
        <w:rPr>
          <w:sz w:val="22"/>
          <w:szCs w:val="22"/>
        </w:rPr>
        <w:t>ны, используемые в современном строительстве и приводится их сравнение.</w:t>
      </w:r>
    </w:p>
    <w:p w:rsidR="00281602" w:rsidRPr="00281602" w:rsidRDefault="0018683B" w:rsidP="0018683B">
      <w:pPr>
        <w:ind w:firstLine="425"/>
        <w:jc w:val="both"/>
        <w:rPr>
          <w:bCs/>
          <w:iCs/>
          <w:sz w:val="22"/>
          <w:szCs w:val="22"/>
          <w:lang w:val="en-US"/>
        </w:rPr>
      </w:pPr>
      <w:r w:rsidRPr="00281602">
        <w:rPr>
          <w:bCs/>
          <w:iCs/>
          <w:sz w:val="22"/>
          <w:szCs w:val="22"/>
          <w:lang w:val="en-US"/>
        </w:rPr>
        <w:t>ANNOTATION:</w:t>
      </w:r>
      <w:r w:rsidRPr="0018683B">
        <w:rPr>
          <w:bCs/>
          <w:iCs/>
          <w:sz w:val="22"/>
          <w:szCs w:val="22"/>
          <w:lang w:val="en-US"/>
        </w:rPr>
        <w:t xml:space="preserve"> </w:t>
      </w:r>
      <w:r w:rsidR="00281602" w:rsidRPr="00281602">
        <w:rPr>
          <w:bCs/>
          <w:iCs/>
          <w:sz w:val="22"/>
          <w:szCs w:val="22"/>
          <w:lang w:val="en-US"/>
        </w:rPr>
        <w:t>The article describes basic soundproof materials based on glued and pressed wood used in modern construction and co</w:t>
      </w:r>
      <w:r w:rsidR="00281602" w:rsidRPr="00281602">
        <w:rPr>
          <w:bCs/>
          <w:iCs/>
          <w:sz w:val="22"/>
          <w:szCs w:val="22"/>
          <w:lang w:val="en-US"/>
        </w:rPr>
        <w:t>m</w:t>
      </w:r>
      <w:r w:rsidR="00281602" w:rsidRPr="00281602">
        <w:rPr>
          <w:bCs/>
          <w:iCs/>
          <w:sz w:val="22"/>
          <w:szCs w:val="22"/>
          <w:lang w:val="en-US"/>
        </w:rPr>
        <w:t>pares them.</w:t>
      </w:r>
    </w:p>
    <w:p w:rsidR="00281602" w:rsidRPr="00281602" w:rsidRDefault="0018683B" w:rsidP="0018683B">
      <w:pPr>
        <w:ind w:firstLine="425"/>
        <w:jc w:val="both"/>
        <w:rPr>
          <w:bCs/>
          <w:iCs/>
          <w:sz w:val="22"/>
          <w:szCs w:val="22"/>
        </w:rPr>
      </w:pPr>
      <w:r w:rsidRPr="00281602">
        <w:rPr>
          <w:bCs/>
          <w:iCs/>
          <w:sz w:val="22"/>
          <w:szCs w:val="22"/>
        </w:rPr>
        <w:t>КЛЮЧЕВЫЕ СЛОВА:</w:t>
      </w:r>
      <w:r>
        <w:rPr>
          <w:bCs/>
          <w:iCs/>
          <w:sz w:val="22"/>
          <w:szCs w:val="22"/>
        </w:rPr>
        <w:t xml:space="preserve"> </w:t>
      </w:r>
      <w:r w:rsidR="00281602" w:rsidRPr="00281602">
        <w:rPr>
          <w:bCs/>
          <w:iCs/>
          <w:sz w:val="22"/>
          <w:szCs w:val="22"/>
        </w:rPr>
        <w:t>Строительство, звукоизоляция, шум, материалы, оргалит, фанера, МДФ.</w:t>
      </w:r>
    </w:p>
    <w:p w:rsidR="00281602" w:rsidRPr="00281602" w:rsidRDefault="0018683B" w:rsidP="0018683B">
      <w:pPr>
        <w:ind w:firstLine="425"/>
        <w:jc w:val="both"/>
        <w:rPr>
          <w:bCs/>
          <w:iCs/>
          <w:sz w:val="22"/>
          <w:szCs w:val="22"/>
          <w:lang w:val="en-US"/>
        </w:rPr>
      </w:pPr>
      <w:r w:rsidRPr="00281602">
        <w:rPr>
          <w:bCs/>
          <w:iCs/>
          <w:sz w:val="22"/>
          <w:szCs w:val="22"/>
          <w:lang w:val="en-US"/>
        </w:rPr>
        <w:t>KEYWORDS:</w:t>
      </w:r>
      <w:r w:rsidRPr="0018683B">
        <w:rPr>
          <w:bCs/>
          <w:iCs/>
          <w:sz w:val="22"/>
          <w:szCs w:val="22"/>
          <w:lang w:val="en-US"/>
        </w:rPr>
        <w:t xml:space="preserve"> </w:t>
      </w:r>
      <w:r w:rsidR="00281602" w:rsidRPr="00281602">
        <w:rPr>
          <w:bCs/>
          <w:iCs/>
          <w:sz w:val="22"/>
          <w:szCs w:val="22"/>
          <w:lang w:val="en-US"/>
        </w:rPr>
        <w:t>Building construction, sound insulation, noise, mat</w:t>
      </w:r>
      <w:r w:rsidR="00281602" w:rsidRPr="00281602">
        <w:rPr>
          <w:bCs/>
          <w:iCs/>
          <w:sz w:val="22"/>
          <w:szCs w:val="22"/>
          <w:lang w:val="en-US"/>
        </w:rPr>
        <w:t>e</w:t>
      </w:r>
      <w:r w:rsidR="00281602" w:rsidRPr="00281602">
        <w:rPr>
          <w:bCs/>
          <w:iCs/>
          <w:sz w:val="22"/>
          <w:szCs w:val="22"/>
          <w:lang w:val="en-US"/>
        </w:rPr>
        <w:t>rials, hardboard, plywood, MDF.</w:t>
      </w:r>
      <w:bookmarkStart w:id="6" w:name="OCRUncertain009"/>
      <w:bookmarkEnd w:id="5"/>
    </w:p>
    <w:bookmarkEnd w:id="6"/>
    <w:p w:rsidR="00281602" w:rsidRPr="00281602" w:rsidRDefault="00281602" w:rsidP="00281602">
      <w:pPr>
        <w:widowControl w:val="0"/>
        <w:autoSpaceDE w:val="0"/>
        <w:autoSpaceDN w:val="0"/>
        <w:adjustRightInd w:val="0"/>
        <w:ind w:firstLine="425"/>
        <w:jc w:val="both"/>
        <w:rPr>
          <w:sz w:val="22"/>
          <w:szCs w:val="22"/>
          <w:lang w:val="en-US"/>
        </w:rPr>
      </w:pPr>
    </w:p>
    <w:p w:rsidR="00281602" w:rsidRPr="00281602" w:rsidRDefault="00281602" w:rsidP="00281602">
      <w:pPr>
        <w:ind w:firstLine="425"/>
        <w:jc w:val="both"/>
        <w:rPr>
          <w:sz w:val="22"/>
          <w:szCs w:val="22"/>
        </w:rPr>
      </w:pPr>
      <w:r w:rsidRPr="00281602">
        <w:rPr>
          <w:sz w:val="22"/>
          <w:szCs w:val="22"/>
        </w:rPr>
        <w:t>Довольно долго воздействие шума на организм человека сп</w:t>
      </w:r>
      <w:r w:rsidRPr="00281602">
        <w:rPr>
          <w:sz w:val="22"/>
          <w:szCs w:val="22"/>
        </w:rPr>
        <w:t>е</w:t>
      </w:r>
      <w:r w:rsidRPr="00281602">
        <w:rPr>
          <w:sz w:val="22"/>
          <w:szCs w:val="22"/>
        </w:rPr>
        <w:t>циально не исследовалось, несмотря на то, что уже в древние вр</w:t>
      </w:r>
      <w:r w:rsidRPr="00281602">
        <w:rPr>
          <w:sz w:val="22"/>
          <w:szCs w:val="22"/>
        </w:rPr>
        <w:t>е</w:t>
      </w:r>
      <w:r w:rsidRPr="00281602">
        <w:rPr>
          <w:sz w:val="22"/>
          <w:szCs w:val="22"/>
        </w:rPr>
        <w:t xml:space="preserve">мена было известно о его вреде и, например, в античных городах </w:t>
      </w:r>
      <w:r w:rsidRPr="00281602">
        <w:rPr>
          <w:sz w:val="22"/>
          <w:szCs w:val="22"/>
        </w:rPr>
        <w:lastRenderedPageBreak/>
        <w:t>вводились правила ограничения шума. Сегодня ученые всего мира проводят исследования с целью выяснения влияния шума на здор</w:t>
      </w:r>
      <w:r w:rsidRPr="00281602">
        <w:rPr>
          <w:sz w:val="22"/>
          <w:szCs w:val="22"/>
        </w:rPr>
        <w:t>о</w:t>
      </w:r>
      <w:r w:rsidRPr="00281602">
        <w:rPr>
          <w:sz w:val="22"/>
          <w:szCs w:val="22"/>
        </w:rPr>
        <w:t>вье человека [1].</w:t>
      </w:r>
    </w:p>
    <w:p w:rsidR="00281602" w:rsidRPr="00281602" w:rsidRDefault="00281602" w:rsidP="00281602">
      <w:pPr>
        <w:ind w:firstLine="425"/>
        <w:jc w:val="both"/>
        <w:rPr>
          <w:sz w:val="22"/>
          <w:szCs w:val="22"/>
        </w:rPr>
      </w:pPr>
      <w:r w:rsidRPr="00281602">
        <w:rPr>
          <w:sz w:val="22"/>
          <w:szCs w:val="22"/>
        </w:rPr>
        <w:t>Угроза и вред шума станут более нагляднее, если учесть, что в больших мегаполисах он каждый год увеличивается примерно на 1дБ. Известный американский специалист по шуму доктор Кнудсен считает, что «шум – такой же медленный убийца, как и смог» [1].</w:t>
      </w:r>
    </w:p>
    <w:p w:rsidR="00281602" w:rsidRPr="00281602" w:rsidRDefault="00281602" w:rsidP="00281602">
      <w:pPr>
        <w:ind w:firstLine="425"/>
        <w:jc w:val="both"/>
        <w:rPr>
          <w:sz w:val="22"/>
          <w:szCs w:val="22"/>
        </w:rPr>
      </w:pPr>
      <w:r w:rsidRPr="00281602">
        <w:rPr>
          <w:sz w:val="22"/>
          <w:szCs w:val="22"/>
        </w:rPr>
        <w:t>Для проведения исследования были выбраны звукоизоляцио</w:t>
      </w:r>
      <w:r w:rsidRPr="00281602">
        <w:rPr>
          <w:sz w:val="22"/>
          <w:szCs w:val="22"/>
        </w:rPr>
        <w:t>н</w:t>
      </w:r>
      <w:r w:rsidRPr="00281602">
        <w:rPr>
          <w:sz w:val="22"/>
          <w:szCs w:val="22"/>
        </w:rPr>
        <w:t>ные материалы созданные на основе  прессованной и клееной др</w:t>
      </w:r>
      <w:r w:rsidRPr="00281602">
        <w:rPr>
          <w:sz w:val="22"/>
          <w:szCs w:val="22"/>
        </w:rPr>
        <w:t>е</w:t>
      </w:r>
      <w:r w:rsidRPr="00281602">
        <w:rPr>
          <w:sz w:val="22"/>
          <w:szCs w:val="22"/>
        </w:rPr>
        <w:t>весины, которые в данный момент актуальны на рынке строител</w:t>
      </w:r>
      <w:r w:rsidRPr="00281602">
        <w:rPr>
          <w:sz w:val="22"/>
          <w:szCs w:val="22"/>
        </w:rPr>
        <w:t>ь</w:t>
      </w:r>
      <w:r w:rsidRPr="00281602">
        <w:rPr>
          <w:sz w:val="22"/>
          <w:szCs w:val="22"/>
        </w:rPr>
        <w:t>ных материалов, такие как:</w:t>
      </w:r>
    </w:p>
    <w:p w:rsidR="00281602" w:rsidRPr="00281602" w:rsidRDefault="00281602" w:rsidP="00281602">
      <w:pPr>
        <w:ind w:firstLine="425"/>
        <w:jc w:val="both"/>
        <w:rPr>
          <w:sz w:val="22"/>
          <w:szCs w:val="22"/>
        </w:rPr>
      </w:pPr>
      <w:r w:rsidRPr="00281602">
        <w:rPr>
          <w:sz w:val="22"/>
          <w:szCs w:val="22"/>
        </w:rPr>
        <w:t>1.Оргалит (толщина 6мм)</w:t>
      </w:r>
    </w:p>
    <w:p w:rsidR="00281602" w:rsidRPr="00281602" w:rsidRDefault="00281602" w:rsidP="00281602">
      <w:pPr>
        <w:ind w:firstLine="425"/>
        <w:jc w:val="both"/>
        <w:rPr>
          <w:sz w:val="22"/>
          <w:szCs w:val="22"/>
        </w:rPr>
      </w:pPr>
      <w:r w:rsidRPr="00281602">
        <w:rPr>
          <w:sz w:val="22"/>
          <w:szCs w:val="22"/>
        </w:rPr>
        <w:t>2.МДФ (толщина 6мм)</w:t>
      </w:r>
    </w:p>
    <w:p w:rsidR="00281602" w:rsidRPr="00281602" w:rsidRDefault="00281602" w:rsidP="00281602">
      <w:pPr>
        <w:ind w:firstLine="425"/>
        <w:jc w:val="both"/>
        <w:rPr>
          <w:sz w:val="22"/>
          <w:szCs w:val="22"/>
        </w:rPr>
      </w:pPr>
      <w:r w:rsidRPr="00281602">
        <w:rPr>
          <w:sz w:val="22"/>
          <w:szCs w:val="22"/>
        </w:rPr>
        <w:t>3.Фанера (толщина 6мм)</w:t>
      </w:r>
    </w:p>
    <w:p w:rsidR="00281602" w:rsidRPr="00281602" w:rsidRDefault="00281602" w:rsidP="00281602">
      <w:pPr>
        <w:tabs>
          <w:tab w:val="left" w:pos="2835"/>
        </w:tabs>
        <w:ind w:firstLine="425"/>
        <w:jc w:val="both"/>
        <w:rPr>
          <w:bCs/>
          <w:sz w:val="22"/>
          <w:szCs w:val="22"/>
        </w:rPr>
      </w:pPr>
      <w:r w:rsidRPr="00281602">
        <w:rPr>
          <w:bCs/>
          <w:sz w:val="22"/>
          <w:szCs w:val="22"/>
        </w:rPr>
        <w:t>Испытания проводились при помощи установки «ухо», которая являлась моделью искусственной среды испытания. Ее размеры в плане 40х40, высота 80 см. Установка состоит из 2-х коробов, в о</w:t>
      </w:r>
      <w:r w:rsidRPr="00281602">
        <w:rPr>
          <w:bCs/>
          <w:sz w:val="22"/>
          <w:szCs w:val="22"/>
        </w:rPr>
        <w:t>д</w:t>
      </w:r>
      <w:r w:rsidRPr="00281602">
        <w:rPr>
          <w:bCs/>
          <w:sz w:val="22"/>
          <w:szCs w:val="22"/>
        </w:rPr>
        <w:t>ном из которых находится  устройство создающее звук регулиру</w:t>
      </w:r>
      <w:r w:rsidRPr="00281602">
        <w:rPr>
          <w:bCs/>
          <w:sz w:val="22"/>
          <w:szCs w:val="22"/>
        </w:rPr>
        <w:t>е</w:t>
      </w:r>
      <w:r w:rsidRPr="00281602">
        <w:rPr>
          <w:bCs/>
          <w:sz w:val="22"/>
          <w:szCs w:val="22"/>
        </w:rPr>
        <w:t>мой частоты, во втором коробе находится приемник звука. Иссл</w:t>
      </w:r>
      <w:r w:rsidRPr="00281602">
        <w:rPr>
          <w:bCs/>
          <w:sz w:val="22"/>
          <w:szCs w:val="22"/>
        </w:rPr>
        <w:t>е</w:t>
      </w:r>
      <w:r w:rsidRPr="00281602">
        <w:rPr>
          <w:bCs/>
          <w:sz w:val="22"/>
          <w:szCs w:val="22"/>
        </w:rPr>
        <w:t xml:space="preserve">дуемый материал размещался по стыку коробов [2]. </w:t>
      </w:r>
    </w:p>
    <w:p w:rsidR="00281602" w:rsidRPr="00281602" w:rsidRDefault="00281602" w:rsidP="0018683B">
      <w:pPr>
        <w:tabs>
          <w:tab w:val="left" w:pos="2835"/>
        </w:tabs>
        <w:ind w:firstLine="425"/>
        <w:jc w:val="both"/>
        <w:rPr>
          <w:bCs/>
          <w:sz w:val="22"/>
          <w:szCs w:val="22"/>
        </w:rPr>
      </w:pPr>
      <w:r w:rsidRPr="00281602">
        <w:rPr>
          <w:bCs/>
          <w:sz w:val="22"/>
          <w:szCs w:val="22"/>
        </w:rPr>
        <w:t>Перед началом испытания показания шумомера были устано</w:t>
      </w:r>
      <w:r w:rsidRPr="00281602">
        <w:rPr>
          <w:bCs/>
          <w:sz w:val="22"/>
          <w:szCs w:val="22"/>
        </w:rPr>
        <w:t>в</w:t>
      </w:r>
      <w:r w:rsidRPr="00281602">
        <w:rPr>
          <w:bCs/>
          <w:sz w:val="22"/>
          <w:szCs w:val="22"/>
        </w:rPr>
        <w:t>лены на 80 дБ в без преграды для определения начальной точки о</w:t>
      </w:r>
      <w:r w:rsidRPr="00281602">
        <w:rPr>
          <w:bCs/>
          <w:sz w:val="22"/>
          <w:szCs w:val="22"/>
        </w:rPr>
        <w:t>т</w:t>
      </w:r>
      <w:r w:rsidRPr="00281602">
        <w:rPr>
          <w:bCs/>
          <w:sz w:val="22"/>
          <w:szCs w:val="22"/>
        </w:rPr>
        <w:t>счета. Затем испытывались разные звукоизоляционные материалы при частотах 250, 500, 750, 1000, 1250, 1500, 1750, 2000 Гц. При этом уровень шума был не изменен и равен 80 дБ.</w:t>
      </w:r>
    </w:p>
    <w:p w:rsidR="000E3E48" w:rsidRPr="0018683B" w:rsidRDefault="00281602" w:rsidP="000E3E48">
      <w:pPr>
        <w:ind w:firstLine="425"/>
        <w:jc w:val="both"/>
        <w:rPr>
          <w:bCs/>
          <w:sz w:val="22"/>
          <w:szCs w:val="22"/>
        </w:rPr>
      </w:pPr>
      <w:r w:rsidRPr="00281602">
        <w:rPr>
          <w:bCs/>
          <w:sz w:val="22"/>
          <w:szCs w:val="22"/>
        </w:rPr>
        <w:t>В процессе испытания снимались показания с шумомера и з</w:t>
      </w:r>
      <w:r w:rsidRPr="00281602">
        <w:rPr>
          <w:bCs/>
          <w:sz w:val="22"/>
          <w:szCs w:val="22"/>
        </w:rPr>
        <w:t>а</w:t>
      </w:r>
      <w:r w:rsidRPr="00281602">
        <w:rPr>
          <w:bCs/>
          <w:sz w:val="22"/>
          <w:szCs w:val="22"/>
        </w:rPr>
        <w:t>носились в табли</w:t>
      </w:r>
      <w:r w:rsidR="00906BF3">
        <w:rPr>
          <w:bCs/>
          <w:sz w:val="22"/>
          <w:szCs w:val="22"/>
        </w:rPr>
        <w:t>цу</w:t>
      </w:r>
      <w:r w:rsidRPr="00281602">
        <w:rPr>
          <w:bCs/>
          <w:sz w:val="22"/>
          <w:szCs w:val="22"/>
        </w:rPr>
        <w:t>.</w:t>
      </w:r>
    </w:p>
    <w:p w:rsidR="00281602" w:rsidRPr="00E90444" w:rsidRDefault="000E3E48" w:rsidP="00E90444">
      <w:pPr>
        <w:ind w:firstLine="425"/>
        <w:contextualSpacing/>
        <w:jc w:val="both"/>
        <w:rPr>
          <w:rFonts w:eastAsia="Calibri"/>
          <w:noProof/>
          <w:sz w:val="22"/>
          <w:szCs w:val="22"/>
        </w:rPr>
      </w:pPr>
      <w:r>
        <w:rPr>
          <w:rFonts w:eastAsia="Calibri"/>
          <w:bCs/>
          <w:sz w:val="22"/>
          <w:szCs w:val="22"/>
          <w:lang w:eastAsia="en-US"/>
        </w:rPr>
        <w:t xml:space="preserve">На основе полученных измерений </w:t>
      </w:r>
      <w:r w:rsidR="00281602" w:rsidRPr="00281602">
        <w:rPr>
          <w:rFonts w:eastAsia="Calibri"/>
          <w:bCs/>
          <w:sz w:val="22"/>
          <w:szCs w:val="22"/>
          <w:lang w:eastAsia="en-US"/>
        </w:rPr>
        <w:t>был сделан вывод об эффе</w:t>
      </w:r>
      <w:r w:rsidR="00281602" w:rsidRPr="00281602">
        <w:rPr>
          <w:rFonts w:eastAsia="Calibri"/>
          <w:bCs/>
          <w:sz w:val="22"/>
          <w:szCs w:val="22"/>
          <w:lang w:eastAsia="en-US"/>
        </w:rPr>
        <w:t>к</w:t>
      </w:r>
      <w:r w:rsidR="00281602" w:rsidRPr="00281602">
        <w:rPr>
          <w:rFonts w:eastAsia="Calibri"/>
          <w:bCs/>
          <w:sz w:val="22"/>
          <w:szCs w:val="22"/>
          <w:lang w:eastAsia="en-US"/>
        </w:rPr>
        <w:t>тивности испытанных материалов:</w:t>
      </w:r>
      <w:r w:rsidR="00281602" w:rsidRPr="00281602">
        <w:rPr>
          <w:rFonts w:eastAsia="Calibri"/>
          <w:noProof/>
          <w:sz w:val="22"/>
          <w:szCs w:val="22"/>
          <w:lang w:eastAsia="en-US"/>
        </w:rPr>
        <w:t xml:space="preserve"> </w:t>
      </w:r>
      <w:r w:rsidR="00281602" w:rsidRPr="00281602">
        <w:rPr>
          <w:rFonts w:eastAsia="Calibri"/>
          <w:noProof/>
          <w:sz w:val="22"/>
          <w:szCs w:val="22"/>
        </w:rPr>
        <w:t>из трёх образцов материалов лучшим себя показал МДФ, его звукоизоляционные свойства имеют более стабильный характер. Стоит отметить что оргалит и фанера не уступают МДФ в плане звукоизоляции, но его стабильность звукоизоляционных свойств хуже.</w:t>
      </w:r>
    </w:p>
    <w:p w:rsidR="00281602" w:rsidRPr="00281602" w:rsidRDefault="00906BF3" w:rsidP="00906BF3">
      <w:pPr>
        <w:ind w:firstLine="425"/>
        <w:jc w:val="center"/>
        <w:rPr>
          <w:sz w:val="22"/>
          <w:szCs w:val="22"/>
        </w:rPr>
      </w:pPr>
      <w:r>
        <w:rPr>
          <w:sz w:val="22"/>
          <w:szCs w:val="22"/>
        </w:rPr>
        <w:t>Список литературы</w:t>
      </w:r>
    </w:p>
    <w:p w:rsidR="00281602" w:rsidRPr="00281602" w:rsidRDefault="000E3E48" w:rsidP="002D7DA5">
      <w:pPr>
        <w:numPr>
          <w:ilvl w:val="0"/>
          <w:numId w:val="19"/>
        </w:numPr>
        <w:ind w:left="0"/>
        <w:contextualSpacing/>
        <w:jc w:val="both"/>
        <w:rPr>
          <w:rFonts w:eastAsia="Calibri"/>
          <w:sz w:val="22"/>
          <w:szCs w:val="22"/>
          <w:lang w:eastAsia="en-US"/>
        </w:rPr>
      </w:pPr>
      <w:r>
        <w:rPr>
          <w:rFonts w:eastAsia="Calibri"/>
          <w:sz w:val="22"/>
          <w:szCs w:val="22"/>
          <w:lang w:eastAsia="en-US"/>
        </w:rPr>
        <w:t>Туровский Б. В.</w:t>
      </w:r>
      <w:r w:rsidR="00281602" w:rsidRPr="00281602">
        <w:rPr>
          <w:rFonts w:eastAsia="Calibri"/>
          <w:sz w:val="22"/>
          <w:szCs w:val="22"/>
          <w:lang w:eastAsia="en-US"/>
        </w:rPr>
        <w:t>, Резниченко С. М. Организационно-техническое обеспечение охраны труда в строительстве. 2-е изд., исправленное. СПб.: издательство «Лань», 2017.</w:t>
      </w:r>
    </w:p>
    <w:p w:rsidR="00281602" w:rsidRPr="00281602" w:rsidRDefault="00281602" w:rsidP="002D7DA5">
      <w:pPr>
        <w:numPr>
          <w:ilvl w:val="0"/>
          <w:numId w:val="19"/>
        </w:numPr>
        <w:ind w:left="0"/>
        <w:contextualSpacing/>
        <w:jc w:val="both"/>
        <w:rPr>
          <w:rFonts w:eastAsia="Calibri"/>
          <w:sz w:val="22"/>
          <w:szCs w:val="22"/>
          <w:lang w:eastAsia="en-US"/>
        </w:rPr>
      </w:pPr>
      <w:r w:rsidRPr="00281602">
        <w:rPr>
          <w:rFonts w:eastAsia="Calibri"/>
          <w:sz w:val="22"/>
          <w:szCs w:val="22"/>
          <w:lang w:eastAsia="en-US"/>
        </w:rPr>
        <w:lastRenderedPageBreak/>
        <w:t>Туровский Б.</w:t>
      </w:r>
      <w:r w:rsidR="000E3E48">
        <w:rPr>
          <w:rFonts w:eastAsia="Calibri"/>
          <w:sz w:val="22"/>
          <w:szCs w:val="22"/>
          <w:lang w:eastAsia="en-US"/>
        </w:rPr>
        <w:t xml:space="preserve"> </w:t>
      </w:r>
      <w:r w:rsidRPr="00281602">
        <w:rPr>
          <w:rFonts w:eastAsia="Calibri"/>
          <w:sz w:val="22"/>
          <w:szCs w:val="22"/>
          <w:lang w:eastAsia="en-US"/>
        </w:rPr>
        <w:t>В. Оценка потенциальной опасности технол</w:t>
      </w:r>
      <w:r w:rsidRPr="00281602">
        <w:rPr>
          <w:rFonts w:eastAsia="Calibri"/>
          <w:sz w:val="22"/>
          <w:szCs w:val="22"/>
          <w:lang w:eastAsia="en-US"/>
        </w:rPr>
        <w:t>о</w:t>
      </w:r>
      <w:r w:rsidRPr="00281602">
        <w:rPr>
          <w:rFonts w:eastAsia="Calibri"/>
          <w:sz w:val="22"/>
          <w:szCs w:val="22"/>
          <w:lang w:eastAsia="en-US"/>
        </w:rPr>
        <w:t>гических процессов. В сборнике: Научное обеспечение агропр</w:t>
      </w:r>
      <w:r w:rsidRPr="00281602">
        <w:rPr>
          <w:rFonts w:eastAsia="Calibri"/>
          <w:sz w:val="22"/>
          <w:szCs w:val="22"/>
          <w:lang w:eastAsia="en-US"/>
        </w:rPr>
        <w:t>о</w:t>
      </w:r>
      <w:r w:rsidRPr="00281602">
        <w:rPr>
          <w:rFonts w:eastAsia="Calibri"/>
          <w:sz w:val="22"/>
          <w:szCs w:val="22"/>
          <w:lang w:eastAsia="en-US"/>
        </w:rPr>
        <w:t>мышленного комплекса. Сборник статей по материалам 71-й нау</w:t>
      </w:r>
      <w:r w:rsidRPr="00281602">
        <w:rPr>
          <w:rFonts w:eastAsia="Calibri"/>
          <w:sz w:val="22"/>
          <w:szCs w:val="22"/>
          <w:lang w:eastAsia="en-US"/>
        </w:rPr>
        <w:t>ч</w:t>
      </w:r>
      <w:r w:rsidRPr="00281602">
        <w:rPr>
          <w:rFonts w:eastAsia="Calibri"/>
          <w:sz w:val="22"/>
          <w:szCs w:val="22"/>
          <w:lang w:eastAsia="en-US"/>
        </w:rPr>
        <w:t>но-практической конференции преподавателей по итогам НИР за 2015 год. Ответственный за выпуск А. Г. Кощаев. 2016.</w:t>
      </w:r>
    </w:p>
    <w:p w:rsidR="00906BF3" w:rsidRDefault="00906BF3" w:rsidP="00B43BBC">
      <w:pPr>
        <w:pStyle w:val="31"/>
        <w:rPr>
          <w:sz w:val="22"/>
          <w:szCs w:val="22"/>
        </w:rPr>
      </w:pPr>
    </w:p>
    <w:p w:rsidR="00E90444" w:rsidRDefault="00E90444" w:rsidP="00B43BBC">
      <w:pPr>
        <w:pStyle w:val="31"/>
        <w:rPr>
          <w:sz w:val="22"/>
          <w:szCs w:val="22"/>
        </w:rPr>
      </w:pPr>
    </w:p>
    <w:p w:rsidR="00281602" w:rsidRPr="00281602" w:rsidRDefault="00281602" w:rsidP="00281602">
      <w:pPr>
        <w:spacing w:after="200"/>
        <w:rPr>
          <w:sz w:val="22"/>
          <w:szCs w:val="22"/>
        </w:rPr>
      </w:pPr>
      <w:r w:rsidRPr="00281602">
        <w:rPr>
          <w:sz w:val="22"/>
          <w:szCs w:val="22"/>
        </w:rPr>
        <w:t>УДК 631.313.6</w:t>
      </w:r>
    </w:p>
    <w:p w:rsidR="00281602" w:rsidRPr="00281602" w:rsidRDefault="00281602" w:rsidP="00281602">
      <w:pPr>
        <w:ind w:firstLine="426"/>
        <w:jc w:val="center"/>
        <w:rPr>
          <w:b/>
          <w:sz w:val="24"/>
          <w:szCs w:val="24"/>
        </w:rPr>
      </w:pPr>
      <w:r w:rsidRPr="00281602">
        <w:rPr>
          <w:b/>
          <w:sz w:val="24"/>
          <w:szCs w:val="24"/>
        </w:rPr>
        <w:t>Гребнистость дна борозды  при работе дисковых</w:t>
      </w:r>
      <w:r w:rsidR="00906BF3">
        <w:rPr>
          <w:b/>
          <w:sz w:val="24"/>
          <w:szCs w:val="24"/>
        </w:rPr>
        <w:br/>
      </w:r>
      <w:r w:rsidRPr="00281602">
        <w:rPr>
          <w:b/>
          <w:sz w:val="24"/>
          <w:szCs w:val="24"/>
        </w:rPr>
        <w:t xml:space="preserve"> орудий и способы ее снижения </w:t>
      </w:r>
    </w:p>
    <w:p w:rsidR="00906BF3" w:rsidRPr="00E90444" w:rsidRDefault="00281602" w:rsidP="00E90444">
      <w:pPr>
        <w:ind w:firstLine="426"/>
        <w:jc w:val="center"/>
        <w:rPr>
          <w:b/>
          <w:sz w:val="24"/>
          <w:szCs w:val="24"/>
          <w:lang w:val="en-US"/>
        </w:rPr>
      </w:pPr>
      <w:r w:rsidRPr="00281602">
        <w:rPr>
          <w:b/>
          <w:sz w:val="24"/>
          <w:szCs w:val="24"/>
          <w:lang w:val="en-US"/>
        </w:rPr>
        <w:t>The</w:t>
      </w:r>
      <w:r w:rsidRPr="00024398">
        <w:rPr>
          <w:b/>
          <w:sz w:val="24"/>
          <w:szCs w:val="24"/>
          <w:lang w:val="en-US"/>
        </w:rPr>
        <w:t xml:space="preserve"> </w:t>
      </w:r>
      <w:r w:rsidRPr="00281602">
        <w:rPr>
          <w:b/>
          <w:sz w:val="24"/>
          <w:szCs w:val="24"/>
          <w:lang w:val="en-US"/>
        </w:rPr>
        <w:t>crest</w:t>
      </w:r>
      <w:r w:rsidRPr="00024398">
        <w:rPr>
          <w:b/>
          <w:sz w:val="24"/>
          <w:szCs w:val="24"/>
          <w:lang w:val="en-US"/>
        </w:rPr>
        <w:t xml:space="preserve"> </w:t>
      </w:r>
      <w:r w:rsidRPr="00281602">
        <w:rPr>
          <w:b/>
          <w:sz w:val="24"/>
          <w:szCs w:val="24"/>
          <w:lang w:val="en-US"/>
        </w:rPr>
        <w:t>of</w:t>
      </w:r>
      <w:r w:rsidRPr="00024398">
        <w:rPr>
          <w:b/>
          <w:sz w:val="24"/>
          <w:szCs w:val="24"/>
          <w:lang w:val="en-US"/>
        </w:rPr>
        <w:t xml:space="preserve"> </w:t>
      </w:r>
      <w:r w:rsidRPr="00281602">
        <w:rPr>
          <w:b/>
          <w:sz w:val="24"/>
          <w:szCs w:val="24"/>
          <w:lang w:val="en-US"/>
        </w:rPr>
        <w:t>the</w:t>
      </w:r>
      <w:r w:rsidRPr="00024398">
        <w:rPr>
          <w:b/>
          <w:sz w:val="24"/>
          <w:szCs w:val="24"/>
          <w:lang w:val="en-US"/>
        </w:rPr>
        <w:t xml:space="preserve"> </w:t>
      </w:r>
      <w:r w:rsidRPr="00281602">
        <w:rPr>
          <w:b/>
          <w:sz w:val="24"/>
          <w:szCs w:val="24"/>
          <w:lang w:val="en-US"/>
        </w:rPr>
        <w:t>bottom</w:t>
      </w:r>
      <w:r w:rsidRPr="00024398">
        <w:rPr>
          <w:b/>
          <w:sz w:val="24"/>
          <w:szCs w:val="24"/>
          <w:lang w:val="en-US"/>
        </w:rPr>
        <w:t xml:space="preserve"> </w:t>
      </w:r>
      <w:r w:rsidRPr="00281602">
        <w:rPr>
          <w:b/>
          <w:sz w:val="24"/>
          <w:szCs w:val="24"/>
          <w:lang w:val="en-US"/>
        </w:rPr>
        <w:t>of</w:t>
      </w:r>
      <w:r w:rsidRPr="00024398">
        <w:rPr>
          <w:b/>
          <w:sz w:val="24"/>
          <w:szCs w:val="24"/>
          <w:lang w:val="en-US"/>
        </w:rPr>
        <w:t xml:space="preserve"> </w:t>
      </w:r>
      <w:r w:rsidRPr="00281602">
        <w:rPr>
          <w:b/>
          <w:sz w:val="24"/>
          <w:szCs w:val="24"/>
          <w:lang w:val="en-US"/>
        </w:rPr>
        <w:t>the</w:t>
      </w:r>
      <w:r w:rsidRPr="00024398">
        <w:rPr>
          <w:b/>
          <w:sz w:val="24"/>
          <w:szCs w:val="24"/>
          <w:lang w:val="en-US"/>
        </w:rPr>
        <w:t xml:space="preserve"> </w:t>
      </w:r>
      <w:r w:rsidRPr="00281602">
        <w:rPr>
          <w:b/>
          <w:sz w:val="24"/>
          <w:szCs w:val="24"/>
          <w:lang w:val="en-US"/>
        </w:rPr>
        <w:t>furrow</w:t>
      </w:r>
      <w:r w:rsidRPr="00024398">
        <w:rPr>
          <w:b/>
          <w:sz w:val="24"/>
          <w:szCs w:val="24"/>
          <w:lang w:val="en-US"/>
        </w:rPr>
        <w:t xml:space="preserve"> </w:t>
      </w:r>
      <w:r w:rsidRPr="00281602">
        <w:rPr>
          <w:b/>
          <w:sz w:val="24"/>
          <w:szCs w:val="24"/>
          <w:lang w:val="en-US"/>
        </w:rPr>
        <w:t>during</w:t>
      </w:r>
      <w:r w:rsidRPr="00024398">
        <w:rPr>
          <w:b/>
          <w:sz w:val="24"/>
          <w:szCs w:val="24"/>
          <w:lang w:val="en-US"/>
        </w:rPr>
        <w:t xml:space="preserve"> </w:t>
      </w:r>
      <w:r w:rsidRPr="00281602">
        <w:rPr>
          <w:b/>
          <w:sz w:val="24"/>
          <w:szCs w:val="24"/>
          <w:lang w:val="en-US"/>
        </w:rPr>
        <w:t>the</w:t>
      </w:r>
      <w:r w:rsidRPr="00024398">
        <w:rPr>
          <w:b/>
          <w:sz w:val="24"/>
          <w:szCs w:val="24"/>
          <w:lang w:val="en-US"/>
        </w:rPr>
        <w:t xml:space="preserve"> </w:t>
      </w:r>
      <w:r w:rsidRPr="00281602">
        <w:rPr>
          <w:b/>
          <w:sz w:val="24"/>
          <w:szCs w:val="24"/>
          <w:lang w:val="en-US"/>
        </w:rPr>
        <w:t>operation</w:t>
      </w:r>
      <w:r w:rsidRPr="00024398">
        <w:rPr>
          <w:b/>
          <w:sz w:val="24"/>
          <w:szCs w:val="24"/>
          <w:lang w:val="en-US"/>
        </w:rPr>
        <w:t xml:space="preserve"> </w:t>
      </w:r>
      <w:r w:rsidRPr="00281602">
        <w:rPr>
          <w:b/>
          <w:sz w:val="24"/>
          <w:szCs w:val="24"/>
          <w:lang w:val="en-US"/>
        </w:rPr>
        <w:t>of</w:t>
      </w:r>
      <w:r w:rsidRPr="00024398">
        <w:rPr>
          <w:b/>
          <w:sz w:val="24"/>
          <w:szCs w:val="24"/>
          <w:lang w:val="en-US"/>
        </w:rPr>
        <w:t xml:space="preserve"> </w:t>
      </w:r>
      <w:proofErr w:type="gramStart"/>
      <w:r w:rsidRPr="00281602">
        <w:rPr>
          <w:b/>
          <w:sz w:val="24"/>
          <w:szCs w:val="24"/>
          <w:lang w:val="en-US"/>
        </w:rPr>
        <w:t>disk</w:t>
      </w:r>
      <w:r w:rsidRPr="00024398">
        <w:rPr>
          <w:b/>
          <w:sz w:val="24"/>
          <w:szCs w:val="24"/>
          <w:lang w:val="en-US"/>
        </w:rPr>
        <w:t xml:space="preserve">  </w:t>
      </w:r>
      <w:r w:rsidRPr="00281602">
        <w:rPr>
          <w:b/>
          <w:sz w:val="24"/>
          <w:szCs w:val="24"/>
          <w:lang w:val="en-US"/>
        </w:rPr>
        <w:t>and</w:t>
      </w:r>
      <w:proofErr w:type="gramEnd"/>
      <w:r w:rsidRPr="00024398">
        <w:rPr>
          <w:b/>
          <w:sz w:val="24"/>
          <w:szCs w:val="24"/>
          <w:lang w:val="en-US"/>
        </w:rPr>
        <w:t xml:space="preserve"> </w:t>
      </w:r>
      <w:r w:rsidRPr="00281602">
        <w:rPr>
          <w:b/>
          <w:sz w:val="24"/>
          <w:szCs w:val="24"/>
          <w:lang w:val="en-US"/>
        </w:rPr>
        <w:t>ways</w:t>
      </w:r>
      <w:r w:rsidRPr="00024398">
        <w:rPr>
          <w:b/>
          <w:sz w:val="24"/>
          <w:szCs w:val="24"/>
          <w:lang w:val="en-US"/>
        </w:rPr>
        <w:t xml:space="preserve"> </w:t>
      </w:r>
      <w:r w:rsidRPr="00281602">
        <w:rPr>
          <w:b/>
          <w:sz w:val="24"/>
          <w:szCs w:val="24"/>
          <w:lang w:val="en-US"/>
        </w:rPr>
        <w:t>to</w:t>
      </w:r>
      <w:r w:rsidRPr="00024398">
        <w:rPr>
          <w:b/>
          <w:sz w:val="24"/>
          <w:szCs w:val="24"/>
          <w:lang w:val="en-US"/>
        </w:rPr>
        <w:t xml:space="preserve"> </w:t>
      </w:r>
      <w:r w:rsidRPr="00281602">
        <w:rPr>
          <w:b/>
          <w:sz w:val="24"/>
          <w:szCs w:val="24"/>
          <w:lang w:val="en-US"/>
        </w:rPr>
        <w:t>reduce</w:t>
      </w:r>
      <w:r w:rsidRPr="00024398">
        <w:rPr>
          <w:b/>
          <w:sz w:val="24"/>
          <w:szCs w:val="24"/>
          <w:lang w:val="en-US"/>
        </w:rPr>
        <w:t xml:space="preserve"> </w:t>
      </w:r>
      <w:r w:rsidRPr="00281602">
        <w:rPr>
          <w:b/>
          <w:sz w:val="24"/>
          <w:szCs w:val="24"/>
          <w:lang w:val="en-US"/>
        </w:rPr>
        <w:t>it</w:t>
      </w:r>
    </w:p>
    <w:p w:rsidR="00281602" w:rsidRPr="00281602" w:rsidRDefault="00281602" w:rsidP="00281602">
      <w:pPr>
        <w:ind w:firstLine="426"/>
        <w:jc w:val="right"/>
        <w:rPr>
          <w:sz w:val="22"/>
          <w:szCs w:val="22"/>
        </w:rPr>
      </w:pPr>
      <w:r w:rsidRPr="00281602">
        <w:rPr>
          <w:sz w:val="22"/>
          <w:szCs w:val="22"/>
        </w:rPr>
        <w:t>Худиков В. Ю.</w:t>
      </w:r>
      <w:r w:rsidR="00906BF3">
        <w:rPr>
          <w:sz w:val="22"/>
          <w:szCs w:val="22"/>
        </w:rPr>
        <w:t>,</w:t>
      </w:r>
    </w:p>
    <w:p w:rsidR="00281602" w:rsidRPr="00281602" w:rsidRDefault="00281602" w:rsidP="00281602">
      <w:pPr>
        <w:ind w:firstLine="426"/>
        <w:jc w:val="right"/>
        <w:rPr>
          <w:sz w:val="22"/>
          <w:szCs w:val="22"/>
        </w:rPr>
      </w:pPr>
      <w:r w:rsidRPr="00281602">
        <w:rPr>
          <w:sz w:val="22"/>
          <w:szCs w:val="22"/>
        </w:rPr>
        <w:t>студент 2-го курса магистратуры факультета механизации</w:t>
      </w:r>
    </w:p>
    <w:p w:rsidR="00281602" w:rsidRPr="00281602" w:rsidRDefault="00281602" w:rsidP="00281602">
      <w:pPr>
        <w:ind w:firstLine="426"/>
        <w:jc w:val="right"/>
        <w:rPr>
          <w:sz w:val="22"/>
          <w:szCs w:val="22"/>
        </w:rPr>
      </w:pPr>
      <w:r w:rsidRPr="00281602">
        <w:rPr>
          <w:sz w:val="22"/>
          <w:szCs w:val="22"/>
        </w:rPr>
        <w:t>Коновалов С. И., Коновалова О. В.</w:t>
      </w:r>
      <w:r w:rsidR="00906BF3">
        <w:rPr>
          <w:sz w:val="22"/>
          <w:szCs w:val="22"/>
        </w:rPr>
        <w:t>,</w:t>
      </w:r>
    </w:p>
    <w:p w:rsidR="00281602" w:rsidRPr="00281602" w:rsidRDefault="00281602" w:rsidP="00281602">
      <w:pPr>
        <w:widowControl w:val="0"/>
        <w:tabs>
          <w:tab w:val="left" w:pos="8223"/>
        </w:tabs>
        <w:jc w:val="right"/>
        <w:rPr>
          <w:rFonts w:eastAsia="Courier New"/>
          <w:color w:val="000000"/>
          <w:sz w:val="22"/>
          <w:szCs w:val="22"/>
        </w:rPr>
      </w:pPr>
      <w:r w:rsidRPr="00281602">
        <w:rPr>
          <w:rFonts w:eastAsia="Courier New"/>
          <w:color w:val="000000"/>
          <w:sz w:val="22"/>
          <w:szCs w:val="22"/>
        </w:rPr>
        <w:t>Куб</w:t>
      </w:r>
      <w:r w:rsidR="00906BF3">
        <w:rPr>
          <w:rFonts w:eastAsia="Courier New"/>
          <w:color w:val="000000"/>
          <w:sz w:val="22"/>
          <w:szCs w:val="22"/>
        </w:rPr>
        <w:t>анский государственный аграрный</w:t>
      </w:r>
    </w:p>
    <w:p w:rsidR="00281602" w:rsidRPr="00281602" w:rsidRDefault="00281602" w:rsidP="00281602">
      <w:pPr>
        <w:widowControl w:val="0"/>
        <w:tabs>
          <w:tab w:val="left" w:pos="8223"/>
        </w:tabs>
        <w:jc w:val="right"/>
        <w:rPr>
          <w:rFonts w:eastAsia="Courier New"/>
          <w:color w:val="000000"/>
          <w:sz w:val="22"/>
          <w:szCs w:val="22"/>
        </w:rPr>
      </w:pPr>
      <w:r w:rsidRPr="00281602">
        <w:rPr>
          <w:rFonts w:eastAsia="Courier New"/>
          <w:color w:val="000000"/>
          <w:sz w:val="22"/>
          <w:szCs w:val="22"/>
        </w:rPr>
        <w:t>университет имени И.Т. Трубилина</w:t>
      </w:r>
    </w:p>
    <w:p w:rsidR="00281602" w:rsidRPr="00281602" w:rsidRDefault="00281602" w:rsidP="00281602">
      <w:pPr>
        <w:ind w:firstLine="426"/>
        <w:jc w:val="center"/>
        <w:rPr>
          <w:sz w:val="24"/>
          <w:szCs w:val="24"/>
        </w:rPr>
      </w:pPr>
    </w:p>
    <w:p w:rsidR="00281602" w:rsidRPr="00281602" w:rsidRDefault="00281602" w:rsidP="00281602">
      <w:pPr>
        <w:ind w:firstLine="426"/>
        <w:jc w:val="both"/>
        <w:rPr>
          <w:sz w:val="22"/>
          <w:szCs w:val="22"/>
          <w:lang w:val="en-US"/>
        </w:rPr>
      </w:pPr>
      <w:r w:rsidRPr="00281602">
        <w:rPr>
          <w:sz w:val="22"/>
          <w:szCs w:val="22"/>
        </w:rPr>
        <w:t>АННОТАЦИЯ: В статье представлен анализ теоретической з</w:t>
      </w:r>
      <w:r w:rsidRPr="00281602">
        <w:rPr>
          <w:sz w:val="22"/>
          <w:szCs w:val="22"/>
        </w:rPr>
        <w:t>а</w:t>
      </w:r>
      <w:r w:rsidRPr="00281602">
        <w:rPr>
          <w:sz w:val="22"/>
          <w:szCs w:val="22"/>
        </w:rPr>
        <w:t>висимости высоты гребнистости дна борозды от конструктивно-технологических параметров соседних одинаково направленных дисковых рабочих органов. Определены</w:t>
      </w:r>
      <w:r w:rsidRPr="00281602">
        <w:rPr>
          <w:sz w:val="22"/>
          <w:szCs w:val="22"/>
          <w:lang w:val="en-US"/>
        </w:rPr>
        <w:t xml:space="preserve"> </w:t>
      </w:r>
      <w:r w:rsidRPr="00281602">
        <w:rPr>
          <w:sz w:val="22"/>
          <w:szCs w:val="22"/>
        </w:rPr>
        <w:t>методы</w:t>
      </w:r>
      <w:r w:rsidRPr="00281602">
        <w:rPr>
          <w:sz w:val="22"/>
          <w:szCs w:val="22"/>
          <w:lang w:val="en-US"/>
        </w:rPr>
        <w:t xml:space="preserve"> </w:t>
      </w:r>
      <w:r w:rsidRPr="00281602">
        <w:rPr>
          <w:sz w:val="22"/>
          <w:szCs w:val="22"/>
        </w:rPr>
        <w:t>снижение</w:t>
      </w:r>
      <w:r w:rsidRPr="00281602">
        <w:rPr>
          <w:sz w:val="22"/>
          <w:szCs w:val="22"/>
          <w:lang w:val="en-US"/>
        </w:rPr>
        <w:t xml:space="preserve"> </w:t>
      </w:r>
      <w:r w:rsidRPr="00281602">
        <w:rPr>
          <w:sz w:val="22"/>
          <w:szCs w:val="22"/>
        </w:rPr>
        <w:t>высоты</w:t>
      </w:r>
      <w:r w:rsidRPr="00281602">
        <w:rPr>
          <w:sz w:val="22"/>
          <w:szCs w:val="22"/>
          <w:lang w:val="en-US"/>
        </w:rPr>
        <w:t xml:space="preserve"> </w:t>
      </w:r>
      <w:r w:rsidRPr="00281602">
        <w:rPr>
          <w:sz w:val="22"/>
          <w:szCs w:val="22"/>
        </w:rPr>
        <w:t>гребнистости</w:t>
      </w:r>
      <w:r w:rsidRPr="00281602">
        <w:rPr>
          <w:sz w:val="22"/>
          <w:szCs w:val="22"/>
          <w:lang w:val="en-US"/>
        </w:rPr>
        <w:t xml:space="preserve"> </w:t>
      </w:r>
      <w:r w:rsidRPr="00281602">
        <w:rPr>
          <w:sz w:val="22"/>
          <w:szCs w:val="22"/>
        </w:rPr>
        <w:t>дна</w:t>
      </w:r>
      <w:r w:rsidRPr="00281602">
        <w:rPr>
          <w:sz w:val="22"/>
          <w:szCs w:val="22"/>
          <w:lang w:val="en-US"/>
        </w:rPr>
        <w:t xml:space="preserve"> </w:t>
      </w:r>
      <w:r w:rsidRPr="00281602">
        <w:rPr>
          <w:sz w:val="22"/>
          <w:szCs w:val="22"/>
        </w:rPr>
        <w:t>борозды</w:t>
      </w:r>
      <w:r w:rsidRPr="00281602">
        <w:rPr>
          <w:sz w:val="22"/>
          <w:szCs w:val="22"/>
          <w:lang w:val="en-US"/>
        </w:rPr>
        <w:t>.</w:t>
      </w:r>
    </w:p>
    <w:p w:rsidR="00281602" w:rsidRPr="00281602" w:rsidRDefault="00281602" w:rsidP="00281602">
      <w:pPr>
        <w:ind w:firstLine="426"/>
        <w:jc w:val="both"/>
        <w:rPr>
          <w:sz w:val="22"/>
          <w:szCs w:val="22"/>
          <w:lang w:val="en-US"/>
        </w:rPr>
      </w:pPr>
      <w:r w:rsidRPr="00281602">
        <w:rPr>
          <w:rFonts w:eastAsia="Courier New"/>
          <w:color w:val="000000"/>
          <w:sz w:val="22"/>
          <w:szCs w:val="22"/>
          <w:lang w:val="en-US"/>
        </w:rPr>
        <w:t>ABSTRACT:</w:t>
      </w:r>
      <w:r w:rsidRPr="00281602">
        <w:rPr>
          <w:rFonts w:ascii="Calibri" w:hAnsi="Calibri"/>
          <w:sz w:val="22"/>
          <w:szCs w:val="22"/>
          <w:lang w:val="en-US"/>
        </w:rPr>
        <w:t xml:space="preserve"> </w:t>
      </w:r>
      <w:r w:rsidRPr="00281602">
        <w:rPr>
          <w:sz w:val="22"/>
          <w:szCs w:val="22"/>
          <w:lang w:val="en-US"/>
        </w:rPr>
        <w:t>The article presents an analysis of the theoretical d</w:t>
      </w:r>
      <w:r w:rsidRPr="00281602">
        <w:rPr>
          <w:sz w:val="22"/>
          <w:szCs w:val="22"/>
          <w:lang w:val="en-US"/>
        </w:rPr>
        <w:t>e</w:t>
      </w:r>
      <w:r w:rsidRPr="00281602">
        <w:rPr>
          <w:sz w:val="22"/>
          <w:szCs w:val="22"/>
          <w:lang w:val="en-US"/>
        </w:rPr>
        <w:t>pendence of the depth of the crest of the bottom of the furrow on the structural and technological parameters of neighboring equally directed discs. The methods of reducing the height of the crest of the furrow bo</w:t>
      </w:r>
      <w:r w:rsidRPr="00281602">
        <w:rPr>
          <w:sz w:val="22"/>
          <w:szCs w:val="22"/>
          <w:lang w:val="en-US"/>
        </w:rPr>
        <w:t>t</w:t>
      </w:r>
      <w:r w:rsidRPr="00281602">
        <w:rPr>
          <w:sz w:val="22"/>
          <w:szCs w:val="22"/>
          <w:lang w:val="en-US"/>
        </w:rPr>
        <w:t>tom are determined.</w:t>
      </w:r>
    </w:p>
    <w:p w:rsidR="00281602" w:rsidRPr="00281602" w:rsidRDefault="00281602" w:rsidP="00281602">
      <w:pPr>
        <w:ind w:firstLine="426"/>
        <w:jc w:val="both"/>
        <w:rPr>
          <w:sz w:val="22"/>
          <w:szCs w:val="22"/>
        </w:rPr>
      </w:pPr>
      <w:r w:rsidRPr="00281602">
        <w:rPr>
          <w:sz w:val="22"/>
          <w:szCs w:val="22"/>
        </w:rPr>
        <w:t>КЛЮЧЕВЫЕ СЛОВА: дисковая борона, агротехнические тр</w:t>
      </w:r>
      <w:r w:rsidRPr="00281602">
        <w:rPr>
          <w:sz w:val="22"/>
          <w:szCs w:val="22"/>
        </w:rPr>
        <w:t>е</w:t>
      </w:r>
      <w:r w:rsidRPr="00281602">
        <w:rPr>
          <w:sz w:val="22"/>
          <w:szCs w:val="22"/>
        </w:rPr>
        <w:t xml:space="preserve">бования, угол атаки. </w:t>
      </w:r>
    </w:p>
    <w:p w:rsidR="00281602" w:rsidRPr="00281602" w:rsidRDefault="00281602" w:rsidP="00281602">
      <w:pPr>
        <w:ind w:firstLine="426"/>
        <w:jc w:val="both"/>
        <w:rPr>
          <w:sz w:val="22"/>
          <w:szCs w:val="22"/>
          <w:lang w:val="en-US"/>
        </w:rPr>
      </w:pPr>
      <w:r w:rsidRPr="00281602">
        <w:rPr>
          <w:rFonts w:eastAsia="Courier New"/>
          <w:color w:val="000000"/>
          <w:sz w:val="22"/>
          <w:szCs w:val="22"/>
          <w:lang w:val="en-US"/>
        </w:rPr>
        <w:t>KEYWORDS:</w:t>
      </w:r>
      <w:r w:rsidRPr="00281602">
        <w:rPr>
          <w:rFonts w:ascii="Calibri" w:hAnsi="Calibri"/>
          <w:sz w:val="22"/>
          <w:szCs w:val="22"/>
          <w:lang w:val="en-US"/>
        </w:rPr>
        <w:t xml:space="preserve"> </w:t>
      </w:r>
      <w:r w:rsidRPr="00281602">
        <w:rPr>
          <w:rFonts w:eastAsia="Courier New"/>
          <w:color w:val="000000"/>
          <w:sz w:val="22"/>
          <w:szCs w:val="22"/>
          <w:lang w:val="en-US"/>
        </w:rPr>
        <w:t>disc harrow, agrotechnical requirements, angle of a</w:t>
      </w:r>
      <w:r w:rsidRPr="00281602">
        <w:rPr>
          <w:rFonts w:eastAsia="Courier New"/>
          <w:color w:val="000000"/>
          <w:sz w:val="22"/>
          <w:szCs w:val="22"/>
          <w:lang w:val="en-US"/>
        </w:rPr>
        <w:t>t</w:t>
      </w:r>
      <w:r w:rsidRPr="00281602">
        <w:rPr>
          <w:rFonts w:eastAsia="Courier New"/>
          <w:color w:val="000000"/>
          <w:sz w:val="22"/>
          <w:szCs w:val="22"/>
          <w:lang w:val="en-US"/>
        </w:rPr>
        <w:t>tack.</w:t>
      </w:r>
    </w:p>
    <w:p w:rsidR="00281602" w:rsidRPr="00281602" w:rsidRDefault="00281602" w:rsidP="00281602">
      <w:pPr>
        <w:ind w:firstLine="426"/>
        <w:jc w:val="both"/>
        <w:rPr>
          <w:sz w:val="24"/>
          <w:szCs w:val="24"/>
          <w:lang w:val="en-US"/>
        </w:rPr>
      </w:pPr>
    </w:p>
    <w:p w:rsidR="00281602" w:rsidRPr="00281602" w:rsidRDefault="00281602" w:rsidP="00281602">
      <w:pPr>
        <w:ind w:firstLine="426"/>
        <w:jc w:val="both"/>
        <w:rPr>
          <w:sz w:val="22"/>
          <w:szCs w:val="22"/>
        </w:rPr>
      </w:pPr>
      <w:r w:rsidRPr="00281602">
        <w:rPr>
          <w:sz w:val="22"/>
          <w:szCs w:val="22"/>
        </w:rPr>
        <w:t>Эффективность применения всех сельскохозяйственных машин определяется из ряда показателей,  например, экономические, агр</w:t>
      </w:r>
      <w:r w:rsidRPr="00281602">
        <w:rPr>
          <w:sz w:val="22"/>
          <w:szCs w:val="22"/>
        </w:rPr>
        <w:t>о</w:t>
      </w:r>
      <w:r w:rsidRPr="00281602">
        <w:rPr>
          <w:sz w:val="22"/>
          <w:szCs w:val="22"/>
        </w:rPr>
        <w:t>технические и д. р.[1].</w:t>
      </w:r>
    </w:p>
    <w:p w:rsidR="00281602" w:rsidRPr="00281602" w:rsidRDefault="00281602" w:rsidP="00281602">
      <w:pPr>
        <w:ind w:firstLine="426"/>
        <w:jc w:val="both"/>
        <w:rPr>
          <w:sz w:val="22"/>
          <w:szCs w:val="22"/>
        </w:rPr>
      </w:pPr>
      <w:r w:rsidRPr="00281602">
        <w:rPr>
          <w:sz w:val="22"/>
          <w:szCs w:val="22"/>
        </w:rPr>
        <w:lastRenderedPageBreak/>
        <w:t>Гребнистость дна борозды является  одним из показателей, на величину которого оказывает большие воздействие конструктивно-технологические особенности дисковых орудий [2, 3, 4]. Согласно литературным данным, гребнистость дна борозды для дисков од</w:t>
      </w:r>
      <w:r w:rsidRPr="00281602">
        <w:rPr>
          <w:sz w:val="22"/>
          <w:szCs w:val="22"/>
        </w:rPr>
        <w:t>и</w:t>
      </w:r>
      <w:r w:rsidRPr="00281602">
        <w:rPr>
          <w:sz w:val="22"/>
          <w:szCs w:val="22"/>
        </w:rPr>
        <w:t>наковой ориентации определяется как произведение косинуса угла наклона диска к вертикали и разности радиуса диска и квадратного корня разности квадрата радиуса и частного шага между соседними дисками и двойного синуса угла атаки [5]. Следует отметить, что данная зависимость показывает теоретическую высоту гребнист</w:t>
      </w:r>
      <w:r w:rsidRPr="00281602">
        <w:rPr>
          <w:sz w:val="22"/>
          <w:szCs w:val="22"/>
        </w:rPr>
        <w:t>о</w:t>
      </w:r>
      <w:r w:rsidRPr="00281602">
        <w:rPr>
          <w:sz w:val="22"/>
          <w:szCs w:val="22"/>
        </w:rPr>
        <w:t>сти дна борозды при использовании дисковых рабочих органов с одинаковыми параметрами, а именно радиусами дисков, углами атаки и углами установки дисков к вертикали. Кроме  того в ук</w:t>
      </w:r>
      <w:r w:rsidRPr="00281602">
        <w:rPr>
          <w:sz w:val="22"/>
          <w:szCs w:val="22"/>
        </w:rPr>
        <w:t>а</w:t>
      </w:r>
      <w:r w:rsidRPr="00281602">
        <w:rPr>
          <w:sz w:val="22"/>
          <w:szCs w:val="22"/>
        </w:rPr>
        <w:t>занной работе делает допущение почва абсолютно пластичное в</w:t>
      </w:r>
      <w:r w:rsidRPr="00281602">
        <w:rPr>
          <w:sz w:val="22"/>
          <w:szCs w:val="22"/>
        </w:rPr>
        <w:t>е</w:t>
      </w:r>
      <w:r w:rsidRPr="00281602">
        <w:rPr>
          <w:sz w:val="22"/>
          <w:szCs w:val="22"/>
        </w:rPr>
        <w:t>щество.</w:t>
      </w:r>
    </w:p>
    <w:p w:rsidR="00281602" w:rsidRPr="00281602" w:rsidRDefault="00281602" w:rsidP="00281602">
      <w:pPr>
        <w:ind w:firstLine="426"/>
        <w:jc w:val="both"/>
        <w:rPr>
          <w:sz w:val="22"/>
          <w:szCs w:val="22"/>
        </w:rPr>
      </w:pPr>
      <w:r w:rsidRPr="00281602">
        <w:rPr>
          <w:sz w:val="22"/>
          <w:szCs w:val="22"/>
        </w:rPr>
        <w:t>Проанализировав данную зависимость можно сделать вывод, что высота гребнистости дна борозды имеет криволинейную зав</w:t>
      </w:r>
      <w:r w:rsidRPr="00281602">
        <w:rPr>
          <w:sz w:val="22"/>
          <w:szCs w:val="22"/>
        </w:rPr>
        <w:t>и</w:t>
      </w:r>
      <w:r w:rsidRPr="00281602">
        <w:rPr>
          <w:sz w:val="22"/>
          <w:szCs w:val="22"/>
        </w:rPr>
        <w:t>симость от конструктивно-технологических параметров и не зав</w:t>
      </w:r>
      <w:r w:rsidRPr="00281602">
        <w:rPr>
          <w:sz w:val="22"/>
          <w:szCs w:val="22"/>
        </w:rPr>
        <w:t>и</w:t>
      </w:r>
      <w:r w:rsidRPr="00281602">
        <w:rPr>
          <w:sz w:val="22"/>
          <w:szCs w:val="22"/>
        </w:rPr>
        <w:t xml:space="preserve">сит от глубины обработки почвы. </w:t>
      </w:r>
    </w:p>
    <w:p w:rsidR="00281602" w:rsidRPr="00281602" w:rsidRDefault="00281602" w:rsidP="00281602">
      <w:pPr>
        <w:ind w:firstLine="426"/>
        <w:jc w:val="both"/>
        <w:rPr>
          <w:sz w:val="22"/>
          <w:szCs w:val="22"/>
        </w:rPr>
      </w:pPr>
      <w:r w:rsidRPr="00281602">
        <w:rPr>
          <w:sz w:val="22"/>
          <w:szCs w:val="22"/>
        </w:rPr>
        <w:t>Так, при работе дисковых рабочих органов с радиусами 280 мм, углом атаки 15 градусов и углом установки дисков к вертикали ра</w:t>
      </w:r>
      <w:r w:rsidRPr="00281602">
        <w:rPr>
          <w:sz w:val="22"/>
          <w:szCs w:val="22"/>
        </w:rPr>
        <w:t>в</w:t>
      </w:r>
      <w:r w:rsidRPr="00281602">
        <w:rPr>
          <w:sz w:val="22"/>
          <w:szCs w:val="22"/>
        </w:rPr>
        <w:t>ным 0 градусов, изменение расстояние между соседним дисками от 50 до 200 мм, что указанное выражение не имеет решение при  ра</w:t>
      </w:r>
      <w:r w:rsidRPr="00281602">
        <w:rPr>
          <w:sz w:val="22"/>
          <w:szCs w:val="22"/>
        </w:rPr>
        <w:t>с</w:t>
      </w:r>
      <w:r w:rsidRPr="00281602">
        <w:rPr>
          <w:sz w:val="22"/>
          <w:szCs w:val="22"/>
        </w:rPr>
        <w:t>стоянии большем чем 150-170 мм, что означает что соседние диск</w:t>
      </w:r>
      <w:r w:rsidRPr="00281602">
        <w:rPr>
          <w:sz w:val="22"/>
          <w:szCs w:val="22"/>
        </w:rPr>
        <w:t>о</w:t>
      </w:r>
      <w:r w:rsidRPr="00281602">
        <w:rPr>
          <w:sz w:val="22"/>
          <w:szCs w:val="22"/>
        </w:rPr>
        <w:t>вые рабочие органы не пересекаются. С другой стороны их  при сближении  гребнистость резко снижается. При установке дисков с расстоянием в 100 мм между собой и использовании уже указанных параметров, изменение угла наклона к вертикали от 1 до 20 град</w:t>
      </w:r>
      <w:r w:rsidRPr="00281602">
        <w:rPr>
          <w:sz w:val="22"/>
          <w:szCs w:val="22"/>
        </w:rPr>
        <w:t>у</w:t>
      </w:r>
      <w:r w:rsidRPr="00281602">
        <w:rPr>
          <w:sz w:val="22"/>
          <w:szCs w:val="22"/>
        </w:rPr>
        <w:t>сов практически не изменяет высоту гребнистости. Изменение угла атаки от 0 до 30 градусов показывает схожий результат. Так при угле атаки меньшем, чем 9 градусов, высота гребнистости прев</w:t>
      </w:r>
      <w:r w:rsidRPr="00281602">
        <w:rPr>
          <w:sz w:val="22"/>
          <w:szCs w:val="22"/>
        </w:rPr>
        <w:t>ы</w:t>
      </w:r>
      <w:r w:rsidRPr="00281602">
        <w:rPr>
          <w:sz w:val="22"/>
          <w:szCs w:val="22"/>
        </w:rPr>
        <w:t>шает 170 мм, что значительно больше, чем возможная глубина о</w:t>
      </w:r>
      <w:r w:rsidRPr="00281602">
        <w:rPr>
          <w:sz w:val="22"/>
          <w:szCs w:val="22"/>
        </w:rPr>
        <w:t>б</w:t>
      </w:r>
      <w:r w:rsidRPr="00281602">
        <w:rPr>
          <w:sz w:val="22"/>
          <w:szCs w:val="22"/>
        </w:rPr>
        <w:t>работки, что говорит об огрехах в работе. Изменение радиуса диска в пределах от 220 до 390 мм имеет такой же характер влияние, что и угол атаки диска.</w:t>
      </w:r>
    </w:p>
    <w:p w:rsidR="00281602" w:rsidRDefault="00281602" w:rsidP="00E90444">
      <w:pPr>
        <w:ind w:firstLine="426"/>
        <w:jc w:val="both"/>
        <w:rPr>
          <w:sz w:val="22"/>
          <w:szCs w:val="22"/>
        </w:rPr>
      </w:pPr>
      <w:r w:rsidRPr="00281602">
        <w:rPr>
          <w:sz w:val="22"/>
          <w:szCs w:val="22"/>
        </w:rPr>
        <w:t>Таким образом, уменьшение гребнистости дна борозды наиб</w:t>
      </w:r>
      <w:r w:rsidRPr="00281602">
        <w:rPr>
          <w:sz w:val="22"/>
          <w:szCs w:val="22"/>
        </w:rPr>
        <w:t>о</w:t>
      </w:r>
      <w:r w:rsidRPr="00281602">
        <w:rPr>
          <w:sz w:val="22"/>
          <w:szCs w:val="22"/>
        </w:rPr>
        <w:t>лее целесообразно проводит изменением угла атаки и расстояния между соседними рабочими органами.</w:t>
      </w:r>
    </w:p>
    <w:p w:rsidR="00E90444" w:rsidRPr="00281602" w:rsidRDefault="00E90444" w:rsidP="00E90444">
      <w:pPr>
        <w:ind w:firstLine="426"/>
        <w:jc w:val="both"/>
        <w:rPr>
          <w:sz w:val="22"/>
          <w:szCs w:val="22"/>
        </w:rPr>
      </w:pPr>
    </w:p>
    <w:p w:rsidR="00281602" w:rsidRPr="00281602" w:rsidRDefault="00281602" w:rsidP="00281602">
      <w:pPr>
        <w:ind w:firstLine="426"/>
        <w:jc w:val="center"/>
        <w:rPr>
          <w:sz w:val="22"/>
          <w:szCs w:val="22"/>
        </w:rPr>
      </w:pPr>
      <w:r w:rsidRPr="00281602">
        <w:rPr>
          <w:sz w:val="22"/>
          <w:szCs w:val="22"/>
        </w:rPr>
        <w:lastRenderedPageBreak/>
        <w:t>Список литературы</w:t>
      </w:r>
    </w:p>
    <w:p w:rsidR="00281602" w:rsidRPr="00281602" w:rsidRDefault="00281602" w:rsidP="00281602">
      <w:pPr>
        <w:ind w:firstLine="426"/>
        <w:jc w:val="both"/>
        <w:rPr>
          <w:sz w:val="22"/>
          <w:szCs w:val="22"/>
        </w:rPr>
      </w:pPr>
      <w:r w:rsidRPr="00281602">
        <w:rPr>
          <w:sz w:val="22"/>
          <w:szCs w:val="22"/>
        </w:rPr>
        <w:t>1. Трубилин Е. И. Экономическая эффективность применения многорядных дисковых борон и лущильников: [Тест] / Е. И. Трубилин, К. А. Сохт, В. И. Коновалов. // Труды К</w:t>
      </w:r>
      <w:r w:rsidRPr="00281602">
        <w:rPr>
          <w:sz w:val="22"/>
          <w:szCs w:val="22"/>
        </w:rPr>
        <w:t>у</w:t>
      </w:r>
      <w:r w:rsidRPr="00281602">
        <w:rPr>
          <w:sz w:val="22"/>
          <w:szCs w:val="22"/>
        </w:rPr>
        <w:t>банского государственного аграрного университета. – 2015. – № 53. – С. 253-254.</w:t>
      </w:r>
    </w:p>
    <w:p w:rsidR="00281602" w:rsidRPr="00281602" w:rsidRDefault="00281602" w:rsidP="00281602">
      <w:pPr>
        <w:ind w:firstLine="426"/>
        <w:jc w:val="both"/>
        <w:rPr>
          <w:sz w:val="22"/>
          <w:szCs w:val="22"/>
        </w:rPr>
      </w:pPr>
      <w:r w:rsidRPr="00281602">
        <w:rPr>
          <w:sz w:val="22"/>
          <w:szCs w:val="22"/>
        </w:rPr>
        <w:t>2. Трубилин Е. И. Равновесие дисковых борон и лущильников в горизонтальной плоскости: [Тест] / Е. И. Трубилин, К. А. Сохт К.А., В. И. Коновалов. // Труды Кубанского государственного аграрного университета. – 2013. – № 40. – С. 166-169.</w:t>
      </w:r>
    </w:p>
    <w:p w:rsidR="00281602" w:rsidRPr="00281602" w:rsidRDefault="00281602" w:rsidP="00281602">
      <w:pPr>
        <w:ind w:firstLine="426"/>
        <w:jc w:val="both"/>
        <w:rPr>
          <w:sz w:val="22"/>
          <w:szCs w:val="22"/>
        </w:rPr>
      </w:pPr>
      <w:r w:rsidRPr="00281602">
        <w:rPr>
          <w:sz w:val="22"/>
          <w:szCs w:val="22"/>
        </w:rPr>
        <w:t>3. Трубилин Е. И. Повышение технологической эффективности дисковых борон: [Тест]/ Е. И. Трубилин, К. А. Сохт, В. И. Коновалов. //  Сельский механизатор. – 2013. – № 3 (49). – С. 8-9.</w:t>
      </w:r>
    </w:p>
    <w:p w:rsidR="00281602" w:rsidRPr="00281602" w:rsidRDefault="00281602" w:rsidP="00281602">
      <w:pPr>
        <w:ind w:firstLine="426"/>
        <w:jc w:val="both"/>
        <w:rPr>
          <w:sz w:val="22"/>
          <w:szCs w:val="22"/>
        </w:rPr>
      </w:pPr>
      <w:r w:rsidRPr="00281602">
        <w:rPr>
          <w:sz w:val="22"/>
          <w:szCs w:val="22"/>
        </w:rPr>
        <w:t>4. Трубилин Е. И. Заглубляющая способность дисковых борон и лущильников: [Тест] /  Е. И. Трубилин, К. А. Сохт, В. И. Коновалов, В. В. Кравченко //  Сельский механизатор. – 2013. – № 11 (57). – С. 14-15.</w:t>
      </w:r>
    </w:p>
    <w:p w:rsidR="00281602" w:rsidRPr="00281602" w:rsidRDefault="000E3E48" w:rsidP="00281602">
      <w:pPr>
        <w:ind w:firstLine="426"/>
        <w:jc w:val="both"/>
        <w:rPr>
          <w:sz w:val="22"/>
          <w:szCs w:val="22"/>
        </w:rPr>
      </w:pPr>
      <w:r>
        <w:rPr>
          <w:sz w:val="22"/>
          <w:szCs w:val="22"/>
        </w:rPr>
        <w:t>5. Канарев Ф. М. Ротационные почвообрабатывающие</w:t>
      </w:r>
      <w:r w:rsidR="00281602" w:rsidRPr="00281602">
        <w:rPr>
          <w:sz w:val="22"/>
          <w:szCs w:val="22"/>
        </w:rPr>
        <w:t xml:space="preserve"> маши</w:t>
      </w:r>
      <w:r>
        <w:rPr>
          <w:sz w:val="22"/>
          <w:szCs w:val="22"/>
        </w:rPr>
        <w:t xml:space="preserve">ны и </w:t>
      </w:r>
      <w:r w:rsidR="00281602" w:rsidRPr="00281602">
        <w:rPr>
          <w:sz w:val="22"/>
          <w:szCs w:val="22"/>
        </w:rPr>
        <w:t>орудия. М., Машиностроение, 1983. 94 с.</w:t>
      </w:r>
    </w:p>
    <w:p w:rsidR="00E73FF0" w:rsidRDefault="00E73FF0" w:rsidP="00B43BBC">
      <w:pPr>
        <w:pStyle w:val="31"/>
        <w:rPr>
          <w:sz w:val="22"/>
          <w:szCs w:val="22"/>
        </w:rPr>
      </w:pPr>
    </w:p>
    <w:p w:rsidR="000E3E48" w:rsidRDefault="000E3E48" w:rsidP="00B43BBC">
      <w:pPr>
        <w:pStyle w:val="31"/>
        <w:rPr>
          <w:sz w:val="22"/>
          <w:szCs w:val="22"/>
        </w:rPr>
      </w:pPr>
    </w:p>
    <w:p w:rsidR="00281602" w:rsidRDefault="00281602" w:rsidP="00281602">
      <w:pPr>
        <w:rPr>
          <w:sz w:val="22"/>
          <w:szCs w:val="22"/>
        </w:rPr>
      </w:pPr>
      <w:r w:rsidRPr="00281602">
        <w:rPr>
          <w:sz w:val="22"/>
          <w:szCs w:val="22"/>
        </w:rPr>
        <w:t>УДК 631.348.4</w:t>
      </w:r>
    </w:p>
    <w:p w:rsidR="00906BF3" w:rsidRPr="00281602" w:rsidRDefault="00906BF3" w:rsidP="00281602">
      <w:pPr>
        <w:rPr>
          <w:sz w:val="22"/>
          <w:szCs w:val="22"/>
        </w:rPr>
      </w:pPr>
    </w:p>
    <w:p w:rsidR="00281602" w:rsidRPr="00281602" w:rsidRDefault="00281602" w:rsidP="00281602">
      <w:pPr>
        <w:ind w:firstLine="426"/>
        <w:jc w:val="center"/>
        <w:rPr>
          <w:b/>
          <w:sz w:val="24"/>
          <w:szCs w:val="24"/>
        </w:rPr>
      </w:pPr>
      <w:r w:rsidRPr="00281602">
        <w:rPr>
          <w:b/>
          <w:sz w:val="24"/>
          <w:szCs w:val="24"/>
        </w:rPr>
        <w:t>Модернизация опрыскивателя ОП-2500</w:t>
      </w:r>
    </w:p>
    <w:p w:rsidR="00281602" w:rsidRPr="00281602" w:rsidRDefault="00281602" w:rsidP="00281602">
      <w:pPr>
        <w:ind w:firstLine="426"/>
        <w:jc w:val="center"/>
        <w:rPr>
          <w:b/>
          <w:sz w:val="24"/>
          <w:szCs w:val="24"/>
        </w:rPr>
      </w:pPr>
      <w:r w:rsidRPr="00281602">
        <w:rPr>
          <w:b/>
          <w:sz w:val="24"/>
          <w:szCs w:val="24"/>
        </w:rPr>
        <w:t>Modernization sprayer OP-2500</w:t>
      </w:r>
    </w:p>
    <w:p w:rsidR="00281602" w:rsidRPr="00281602" w:rsidRDefault="00281602" w:rsidP="00281602">
      <w:pPr>
        <w:ind w:firstLine="426"/>
        <w:jc w:val="center"/>
        <w:rPr>
          <w:b/>
          <w:sz w:val="24"/>
          <w:szCs w:val="24"/>
        </w:rPr>
      </w:pPr>
    </w:p>
    <w:p w:rsidR="00281602" w:rsidRPr="00281602" w:rsidRDefault="00281602" w:rsidP="00281602">
      <w:pPr>
        <w:ind w:firstLine="426"/>
        <w:jc w:val="right"/>
        <w:rPr>
          <w:sz w:val="22"/>
          <w:szCs w:val="22"/>
        </w:rPr>
      </w:pPr>
      <w:r w:rsidRPr="00281602">
        <w:rPr>
          <w:sz w:val="22"/>
          <w:szCs w:val="22"/>
        </w:rPr>
        <w:t>Чечиков В. В.</w:t>
      </w:r>
      <w:r w:rsidR="00906BF3">
        <w:rPr>
          <w:sz w:val="22"/>
          <w:szCs w:val="22"/>
        </w:rPr>
        <w:t>,</w:t>
      </w:r>
    </w:p>
    <w:p w:rsidR="00281602" w:rsidRPr="00281602" w:rsidRDefault="00281602" w:rsidP="00281602">
      <w:pPr>
        <w:ind w:firstLine="426"/>
        <w:jc w:val="right"/>
        <w:rPr>
          <w:sz w:val="22"/>
          <w:szCs w:val="22"/>
        </w:rPr>
      </w:pPr>
      <w:r w:rsidRPr="00281602">
        <w:rPr>
          <w:sz w:val="22"/>
          <w:szCs w:val="22"/>
        </w:rPr>
        <w:t>студент 4-го курса факультета механизации</w:t>
      </w:r>
    </w:p>
    <w:p w:rsidR="00281602" w:rsidRPr="00281602" w:rsidRDefault="00281602" w:rsidP="00281602">
      <w:pPr>
        <w:ind w:firstLine="426"/>
        <w:jc w:val="right"/>
        <w:rPr>
          <w:sz w:val="22"/>
          <w:szCs w:val="22"/>
        </w:rPr>
      </w:pPr>
      <w:r w:rsidRPr="00281602">
        <w:rPr>
          <w:sz w:val="22"/>
          <w:szCs w:val="22"/>
        </w:rPr>
        <w:t>Коновалов В.</w:t>
      </w:r>
      <w:r w:rsidR="00906BF3">
        <w:rPr>
          <w:sz w:val="22"/>
          <w:szCs w:val="22"/>
        </w:rPr>
        <w:t xml:space="preserve"> </w:t>
      </w:r>
      <w:r w:rsidRPr="00281602">
        <w:rPr>
          <w:sz w:val="22"/>
          <w:szCs w:val="22"/>
        </w:rPr>
        <w:t>И.</w:t>
      </w:r>
      <w:r w:rsidR="00906BF3">
        <w:rPr>
          <w:sz w:val="22"/>
          <w:szCs w:val="22"/>
        </w:rPr>
        <w:t>,</w:t>
      </w:r>
    </w:p>
    <w:p w:rsidR="00281602" w:rsidRPr="00281602" w:rsidRDefault="00906BF3" w:rsidP="00281602">
      <w:pPr>
        <w:ind w:firstLine="426"/>
        <w:jc w:val="right"/>
        <w:rPr>
          <w:sz w:val="22"/>
          <w:szCs w:val="22"/>
        </w:rPr>
      </w:pPr>
      <w:r>
        <w:rPr>
          <w:sz w:val="22"/>
          <w:szCs w:val="22"/>
        </w:rPr>
        <w:t>старший преподаватель кафедры</w:t>
      </w:r>
    </w:p>
    <w:p w:rsidR="00281602" w:rsidRPr="00281602" w:rsidRDefault="00281602" w:rsidP="00281602">
      <w:pPr>
        <w:ind w:firstLine="426"/>
        <w:jc w:val="right"/>
        <w:rPr>
          <w:sz w:val="22"/>
          <w:szCs w:val="22"/>
        </w:rPr>
      </w:pPr>
      <w:r w:rsidRPr="00281602">
        <w:rPr>
          <w:sz w:val="22"/>
          <w:szCs w:val="22"/>
        </w:rPr>
        <w:t>«Процессы и машины в агробизнесе»</w:t>
      </w:r>
    </w:p>
    <w:p w:rsidR="00281602" w:rsidRPr="00281602" w:rsidRDefault="00281602" w:rsidP="00281602">
      <w:pPr>
        <w:widowControl w:val="0"/>
        <w:tabs>
          <w:tab w:val="left" w:pos="8223"/>
        </w:tabs>
        <w:jc w:val="right"/>
        <w:rPr>
          <w:rFonts w:eastAsia="Courier New"/>
          <w:color w:val="000000"/>
          <w:sz w:val="22"/>
          <w:szCs w:val="22"/>
        </w:rPr>
      </w:pPr>
      <w:r w:rsidRPr="00281602">
        <w:rPr>
          <w:rFonts w:eastAsia="Courier New"/>
          <w:color w:val="000000"/>
          <w:sz w:val="22"/>
          <w:szCs w:val="22"/>
        </w:rPr>
        <w:t>Куб</w:t>
      </w:r>
      <w:r w:rsidR="00906BF3">
        <w:rPr>
          <w:rFonts w:eastAsia="Courier New"/>
          <w:color w:val="000000"/>
          <w:sz w:val="22"/>
          <w:szCs w:val="22"/>
        </w:rPr>
        <w:t>анский государственный аграрный</w:t>
      </w:r>
    </w:p>
    <w:p w:rsidR="00281602" w:rsidRPr="00281602" w:rsidRDefault="00281602" w:rsidP="00281602">
      <w:pPr>
        <w:widowControl w:val="0"/>
        <w:tabs>
          <w:tab w:val="left" w:pos="8223"/>
        </w:tabs>
        <w:jc w:val="right"/>
        <w:rPr>
          <w:rFonts w:eastAsia="Courier New"/>
          <w:color w:val="000000"/>
          <w:sz w:val="22"/>
          <w:szCs w:val="22"/>
        </w:rPr>
      </w:pPr>
      <w:r w:rsidRPr="00281602">
        <w:rPr>
          <w:rFonts w:eastAsia="Courier New"/>
          <w:color w:val="000000"/>
          <w:sz w:val="22"/>
          <w:szCs w:val="22"/>
        </w:rPr>
        <w:t>университет имени И.Т. Трубилина</w:t>
      </w:r>
    </w:p>
    <w:p w:rsidR="00281602" w:rsidRPr="00281602" w:rsidRDefault="00281602" w:rsidP="00281602">
      <w:pPr>
        <w:ind w:firstLine="426"/>
        <w:jc w:val="center"/>
        <w:rPr>
          <w:sz w:val="24"/>
          <w:szCs w:val="24"/>
        </w:rPr>
      </w:pPr>
    </w:p>
    <w:p w:rsidR="00281602" w:rsidRPr="00281602" w:rsidRDefault="00281602" w:rsidP="00281602">
      <w:pPr>
        <w:ind w:firstLine="426"/>
        <w:jc w:val="both"/>
        <w:rPr>
          <w:sz w:val="22"/>
          <w:szCs w:val="22"/>
        </w:rPr>
      </w:pPr>
      <w:r w:rsidRPr="00281602">
        <w:rPr>
          <w:sz w:val="22"/>
          <w:szCs w:val="22"/>
        </w:rPr>
        <w:t>АННОТАЦИЯ: В статье представлен обзор недостатков наиб</w:t>
      </w:r>
      <w:r w:rsidRPr="00281602">
        <w:rPr>
          <w:sz w:val="22"/>
          <w:szCs w:val="22"/>
        </w:rPr>
        <w:t>о</w:t>
      </w:r>
      <w:r w:rsidRPr="00281602">
        <w:rPr>
          <w:sz w:val="22"/>
          <w:szCs w:val="22"/>
        </w:rPr>
        <w:t>лее часто используемых в сельском хозяйстве распылителей. Пок</w:t>
      </w:r>
      <w:r w:rsidRPr="00281602">
        <w:rPr>
          <w:sz w:val="22"/>
          <w:szCs w:val="22"/>
        </w:rPr>
        <w:t>а</w:t>
      </w:r>
      <w:r w:rsidRPr="00281602">
        <w:rPr>
          <w:sz w:val="22"/>
          <w:szCs w:val="22"/>
        </w:rPr>
        <w:lastRenderedPageBreak/>
        <w:t>зана перспективность использования центробежных распылителей, а также возможность использования для их привода сжатого возд</w:t>
      </w:r>
      <w:r w:rsidRPr="00281602">
        <w:rPr>
          <w:sz w:val="22"/>
          <w:szCs w:val="22"/>
        </w:rPr>
        <w:t>у</w:t>
      </w:r>
      <w:r w:rsidRPr="00281602">
        <w:rPr>
          <w:sz w:val="22"/>
          <w:szCs w:val="22"/>
        </w:rPr>
        <w:t>ха.</w:t>
      </w:r>
    </w:p>
    <w:p w:rsidR="00281602" w:rsidRPr="00281602" w:rsidRDefault="00281602" w:rsidP="00281602">
      <w:pPr>
        <w:ind w:firstLine="426"/>
        <w:jc w:val="both"/>
        <w:rPr>
          <w:rFonts w:eastAsia="Courier New"/>
          <w:color w:val="000000"/>
          <w:sz w:val="22"/>
          <w:szCs w:val="22"/>
          <w:lang w:val="en-US"/>
        </w:rPr>
      </w:pPr>
      <w:r w:rsidRPr="00281602">
        <w:rPr>
          <w:rFonts w:eastAsia="Courier New"/>
          <w:color w:val="000000"/>
          <w:sz w:val="22"/>
          <w:szCs w:val="22"/>
          <w:lang w:val="en-US"/>
        </w:rPr>
        <w:t>ABSTRACT:</w:t>
      </w:r>
      <w:r w:rsidRPr="00281602">
        <w:rPr>
          <w:sz w:val="22"/>
          <w:szCs w:val="22"/>
          <w:lang w:val="en-US"/>
        </w:rPr>
        <w:t xml:space="preserve"> The article presents an overview of the shortcomings of the most commonly used sprayers in agriculture. The prospects of u</w:t>
      </w:r>
      <w:r w:rsidRPr="00281602">
        <w:rPr>
          <w:sz w:val="22"/>
          <w:szCs w:val="22"/>
          <w:lang w:val="en-US"/>
        </w:rPr>
        <w:t>s</w:t>
      </w:r>
      <w:r w:rsidRPr="00281602">
        <w:rPr>
          <w:sz w:val="22"/>
          <w:szCs w:val="22"/>
          <w:lang w:val="en-US"/>
        </w:rPr>
        <w:t>ing centrifugal sprayers, as well as the possibility of using compressed air for their drive, are shown.</w:t>
      </w:r>
    </w:p>
    <w:p w:rsidR="00281602" w:rsidRPr="00281602" w:rsidRDefault="00281602" w:rsidP="00281602">
      <w:pPr>
        <w:ind w:firstLine="426"/>
        <w:jc w:val="both"/>
        <w:rPr>
          <w:sz w:val="22"/>
          <w:szCs w:val="22"/>
        </w:rPr>
      </w:pPr>
      <w:r w:rsidRPr="00281602">
        <w:rPr>
          <w:sz w:val="22"/>
          <w:szCs w:val="22"/>
        </w:rPr>
        <w:t>КЛЮЧЕВЫЕ СЛОВА: Опрыскиватель, механическое распыл</w:t>
      </w:r>
      <w:r w:rsidRPr="00281602">
        <w:rPr>
          <w:sz w:val="22"/>
          <w:szCs w:val="22"/>
        </w:rPr>
        <w:t>е</w:t>
      </w:r>
      <w:r w:rsidRPr="00281602">
        <w:rPr>
          <w:sz w:val="22"/>
          <w:szCs w:val="22"/>
        </w:rPr>
        <w:t>ние, сжатый воздух.</w:t>
      </w:r>
    </w:p>
    <w:p w:rsidR="00281602" w:rsidRPr="00281602" w:rsidRDefault="00281602" w:rsidP="00281602">
      <w:pPr>
        <w:ind w:firstLine="426"/>
        <w:jc w:val="both"/>
        <w:rPr>
          <w:sz w:val="22"/>
          <w:szCs w:val="22"/>
          <w:lang w:val="en-US"/>
        </w:rPr>
      </w:pPr>
      <w:r w:rsidRPr="00281602">
        <w:rPr>
          <w:rFonts w:eastAsia="Courier New"/>
          <w:color w:val="000000"/>
          <w:sz w:val="22"/>
          <w:szCs w:val="22"/>
          <w:lang w:val="en-US"/>
        </w:rPr>
        <w:t>KEYWORDS:</w:t>
      </w:r>
      <w:r w:rsidRPr="00281602">
        <w:rPr>
          <w:sz w:val="22"/>
          <w:szCs w:val="22"/>
          <w:lang w:val="en-US"/>
        </w:rPr>
        <w:t xml:space="preserve"> Sprayer, mechanical spraying, compressed air.</w:t>
      </w:r>
    </w:p>
    <w:p w:rsidR="00281602" w:rsidRPr="00281602" w:rsidRDefault="00281602" w:rsidP="00281602">
      <w:pPr>
        <w:ind w:firstLine="426"/>
        <w:jc w:val="both"/>
        <w:rPr>
          <w:sz w:val="24"/>
          <w:szCs w:val="24"/>
          <w:lang w:val="en-US"/>
        </w:rPr>
      </w:pPr>
    </w:p>
    <w:p w:rsidR="00281602" w:rsidRPr="00281602" w:rsidRDefault="00281602" w:rsidP="00281602">
      <w:pPr>
        <w:ind w:firstLine="426"/>
        <w:jc w:val="both"/>
        <w:rPr>
          <w:sz w:val="22"/>
          <w:szCs w:val="22"/>
        </w:rPr>
      </w:pPr>
      <w:r w:rsidRPr="00281602">
        <w:rPr>
          <w:sz w:val="22"/>
          <w:szCs w:val="22"/>
        </w:rPr>
        <w:t>Системы и способы защиты растений от вредителей и болезней получают все большие применение и распространение в виду пр</w:t>
      </w:r>
      <w:r w:rsidRPr="00281602">
        <w:rPr>
          <w:sz w:val="22"/>
          <w:szCs w:val="22"/>
        </w:rPr>
        <w:t>я</w:t>
      </w:r>
      <w:r w:rsidRPr="00281602">
        <w:rPr>
          <w:sz w:val="22"/>
          <w:szCs w:val="22"/>
        </w:rPr>
        <w:t>мой зависимости урожайности сельскохозкультуры от количества сорной растительности, вредителей и болезней, что непосредстве</w:t>
      </w:r>
      <w:r w:rsidRPr="00281602">
        <w:rPr>
          <w:sz w:val="22"/>
          <w:szCs w:val="22"/>
        </w:rPr>
        <w:t>н</w:t>
      </w:r>
      <w:r w:rsidRPr="00281602">
        <w:rPr>
          <w:sz w:val="22"/>
          <w:szCs w:val="22"/>
        </w:rPr>
        <w:t>но влияет на экономическую целесообразность всего сельскохозя</w:t>
      </w:r>
      <w:r w:rsidRPr="00281602">
        <w:rPr>
          <w:sz w:val="22"/>
          <w:szCs w:val="22"/>
        </w:rPr>
        <w:t>й</w:t>
      </w:r>
      <w:r w:rsidRPr="00281602">
        <w:rPr>
          <w:sz w:val="22"/>
          <w:szCs w:val="22"/>
        </w:rPr>
        <w:t xml:space="preserve">ственного производства [1]. </w:t>
      </w:r>
    </w:p>
    <w:p w:rsidR="00281602" w:rsidRPr="00281602" w:rsidRDefault="00281602" w:rsidP="00281602">
      <w:pPr>
        <w:ind w:firstLine="426"/>
        <w:jc w:val="both"/>
        <w:rPr>
          <w:sz w:val="22"/>
          <w:szCs w:val="22"/>
        </w:rPr>
      </w:pPr>
      <w:r w:rsidRPr="00281602">
        <w:rPr>
          <w:sz w:val="22"/>
          <w:szCs w:val="22"/>
        </w:rPr>
        <w:t>В настоящее время на территории Российской Федерации наиболее распространенным методом защиты растений является химический. При химическом методе защиты растений на повер</w:t>
      </w:r>
      <w:r w:rsidRPr="00281602">
        <w:rPr>
          <w:sz w:val="22"/>
          <w:szCs w:val="22"/>
        </w:rPr>
        <w:t>х</w:t>
      </w:r>
      <w:r w:rsidRPr="00281602">
        <w:rPr>
          <w:sz w:val="22"/>
          <w:szCs w:val="22"/>
        </w:rPr>
        <w:t>ность сельскохозяйственных культур наносят мелко распыленный химический препарат. При этом эффективность срабатывания пр</w:t>
      </w:r>
      <w:r w:rsidRPr="00281602">
        <w:rPr>
          <w:sz w:val="22"/>
          <w:szCs w:val="22"/>
        </w:rPr>
        <w:t>е</w:t>
      </w:r>
      <w:r w:rsidRPr="00281602">
        <w:rPr>
          <w:sz w:val="22"/>
          <w:szCs w:val="22"/>
        </w:rPr>
        <w:t xml:space="preserve">парата во многом зависит от степени его диспергации и осаждения на поверхности растения [2, 3]. </w:t>
      </w:r>
    </w:p>
    <w:p w:rsidR="00281602" w:rsidRPr="00281602" w:rsidRDefault="00281602" w:rsidP="00281602">
      <w:pPr>
        <w:ind w:firstLine="426"/>
        <w:jc w:val="both"/>
        <w:rPr>
          <w:sz w:val="22"/>
          <w:szCs w:val="22"/>
        </w:rPr>
      </w:pPr>
      <w:r w:rsidRPr="00281602">
        <w:rPr>
          <w:sz w:val="22"/>
          <w:szCs w:val="22"/>
        </w:rPr>
        <w:t>Для диспергации рабочих жидкостей используют распылители различной конструкции и принципа действия. Наибольшие распр</w:t>
      </w:r>
      <w:r w:rsidRPr="00281602">
        <w:rPr>
          <w:sz w:val="22"/>
          <w:szCs w:val="22"/>
        </w:rPr>
        <w:t>о</w:t>
      </w:r>
      <w:r w:rsidRPr="00281602">
        <w:rPr>
          <w:sz w:val="22"/>
          <w:szCs w:val="22"/>
        </w:rPr>
        <w:t>странение в сельском хозяйстве получили распыливающие головки, полевой, центробежный, щелевой, дефлекторный и эжекционный распылители. По принципу действия их можно отнести к гидравл</w:t>
      </w:r>
      <w:r w:rsidRPr="00281602">
        <w:rPr>
          <w:sz w:val="22"/>
          <w:szCs w:val="22"/>
        </w:rPr>
        <w:t>и</w:t>
      </w:r>
      <w:r w:rsidRPr="00281602">
        <w:rPr>
          <w:sz w:val="22"/>
          <w:szCs w:val="22"/>
        </w:rPr>
        <w:t>ческим распылителям, в которых диспергация рабочей жидкости происходит за счет перепада давления на выходе их распылителя. Указанное давление создается за счет подачи рабочей жидкости насосами к распылителям. Другим словами для работы данных ра</w:t>
      </w:r>
      <w:r w:rsidRPr="00281602">
        <w:rPr>
          <w:sz w:val="22"/>
          <w:szCs w:val="22"/>
        </w:rPr>
        <w:t>с</w:t>
      </w:r>
      <w:r w:rsidRPr="00281602">
        <w:rPr>
          <w:sz w:val="22"/>
          <w:szCs w:val="22"/>
        </w:rPr>
        <w:t>пылителей необходимо поддержания заданного давления во всех точках замкнутой системы. Данный факт приводит к необходим</w:t>
      </w:r>
      <w:r w:rsidRPr="00281602">
        <w:rPr>
          <w:sz w:val="22"/>
          <w:szCs w:val="22"/>
        </w:rPr>
        <w:t>о</w:t>
      </w:r>
      <w:r w:rsidRPr="00281602">
        <w:rPr>
          <w:sz w:val="22"/>
          <w:szCs w:val="22"/>
        </w:rPr>
        <w:t>сти производственникам при внесении различных химических пр</w:t>
      </w:r>
      <w:r w:rsidRPr="00281602">
        <w:rPr>
          <w:sz w:val="22"/>
          <w:szCs w:val="22"/>
        </w:rPr>
        <w:t>е</w:t>
      </w:r>
      <w:r w:rsidRPr="00281602">
        <w:rPr>
          <w:sz w:val="22"/>
          <w:szCs w:val="22"/>
        </w:rPr>
        <w:t>паратов и доз иметь в наличие несколько распылителей с разли</w:t>
      </w:r>
      <w:r w:rsidRPr="00281602">
        <w:rPr>
          <w:sz w:val="22"/>
          <w:szCs w:val="22"/>
        </w:rPr>
        <w:t>ч</w:t>
      </w:r>
      <w:r w:rsidRPr="00281602">
        <w:rPr>
          <w:sz w:val="22"/>
          <w:szCs w:val="22"/>
        </w:rPr>
        <w:t>ным диаметром питающей трубки, или как еще называют произв</w:t>
      </w:r>
      <w:r w:rsidRPr="00281602">
        <w:rPr>
          <w:sz w:val="22"/>
          <w:szCs w:val="22"/>
        </w:rPr>
        <w:t>о</w:t>
      </w:r>
      <w:r w:rsidRPr="00281602">
        <w:rPr>
          <w:sz w:val="22"/>
          <w:szCs w:val="22"/>
        </w:rPr>
        <w:lastRenderedPageBreak/>
        <w:t>дители распылителей – различным калибром. Для удобства разли</w:t>
      </w:r>
      <w:r w:rsidRPr="00281602">
        <w:rPr>
          <w:sz w:val="22"/>
          <w:szCs w:val="22"/>
        </w:rPr>
        <w:t>ч</w:t>
      </w:r>
      <w:r w:rsidRPr="00281602">
        <w:rPr>
          <w:sz w:val="22"/>
          <w:szCs w:val="22"/>
        </w:rPr>
        <w:t>ные калибры в данный момент принято окрашивать и называть ра</w:t>
      </w:r>
      <w:r w:rsidRPr="00281602">
        <w:rPr>
          <w:sz w:val="22"/>
          <w:szCs w:val="22"/>
        </w:rPr>
        <w:t>з</w:t>
      </w:r>
      <w:r w:rsidRPr="00281602">
        <w:rPr>
          <w:sz w:val="22"/>
          <w:szCs w:val="22"/>
        </w:rPr>
        <w:t>личными цвета, например синий, красный, коричневый и т. д. [4].</w:t>
      </w:r>
    </w:p>
    <w:p w:rsidR="00281602" w:rsidRPr="00281602" w:rsidRDefault="00281602" w:rsidP="00281602">
      <w:pPr>
        <w:ind w:firstLine="426"/>
        <w:jc w:val="both"/>
        <w:rPr>
          <w:sz w:val="22"/>
          <w:szCs w:val="22"/>
        </w:rPr>
      </w:pPr>
      <w:r w:rsidRPr="00281602">
        <w:rPr>
          <w:sz w:val="22"/>
          <w:szCs w:val="22"/>
        </w:rPr>
        <w:t>Помимо указанных видов распылителей, существуют перспе</w:t>
      </w:r>
      <w:r w:rsidRPr="00281602">
        <w:rPr>
          <w:sz w:val="22"/>
          <w:szCs w:val="22"/>
        </w:rPr>
        <w:t>к</w:t>
      </w:r>
      <w:r w:rsidRPr="00281602">
        <w:rPr>
          <w:sz w:val="22"/>
          <w:szCs w:val="22"/>
        </w:rPr>
        <w:t>тивные конструктивно-технологические схемы, по принципу де</w:t>
      </w:r>
      <w:r w:rsidRPr="00281602">
        <w:rPr>
          <w:sz w:val="22"/>
          <w:szCs w:val="22"/>
        </w:rPr>
        <w:t>й</w:t>
      </w:r>
      <w:r w:rsidRPr="00281602">
        <w:rPr>
          <w:sz w:val="22"/>
          <w:szCs w:val="22"/>
        </w:rPr>
        <w:t>ствия которых можно отнести к механическим распылителям. Как правило, такие распылители выполнены в виде вращающихся ди</w:t>
      </w:r>
      <w:r w:rsidRPr="00281602">
        <w:rPr>
          <w:sz w:val="22"/>
          <w:szCs w:val="22"/>
        </w:rPr>
        <w:t>с</w:t>
      </w:r>
      <w:r w:rsidRPr="00281602">
        <w:rPr>
          <w:sz w:val="22"/>
          <w:szCs w:val="22"/>
        </w:rPr>
        <w:t>ков или чаш, а распыление рабочей жидкости проходит за счет де</w:t>
      </w:r>
      <w:r w:rsidRPr="00281602">
        <w:rPr>
          <w:sz w:val="22"/>
          <w:szCs w:val="22"/>
        </w:rPr>
        <w:t>й</w:t>
      </w:r>
      <w:r w:rsidRPr="00281602">
        <w:rPr>
          <w:sz w:val="22"/>
          <w:szCs w:val="22"/>
        </w:rPr>
        <w:t>ствия центробежных сил. Именно поэтому их и называют центр</w:t>
      </w:r>
      <w:r w:rsidRPr="00281602">
        <w:rPr>
          <w:sz w:val="22"/>
          <w:szCs w:val="22"/>
        </w:rPr>
        <w:t>о</w:t>
      </w:r>
      <w:r w:rsidRPr="00281602">
        <w:rPr>
          <w:sz w:val="22"/>
          <w:szCs w:val="22"/>
        </w:rPr>
        <w:t>бежно-дисковыми распылителями. Такие контракции распылителей имеют ряд преимуществ, к которым можно отнести монодиспер</w:t>
      </w:r>
      <w:r w:rsidRPr="00281602">
        <w:rPr>
          <w:sz w:val="22"/>
          <w:szCs w:val="22"/>
        </w:rPr>
        <w:t>с</w:t>
      </w:r>
      <w:r w:rsidRPr="00281602">
        <w:rPr>
          <w:sz w:val="22"/>
          <w:szCs w:val="22"/>
        </w:rPr>
        <w:t>ное распыление рабочей жидкости, широкий диапазон изменения, а ровно и регулирования, дисперсности и дозы рабочей жидкости и д. р. Следует, конечно, отметить, что конструктивно данные схеме гораздо сложнее, чем гидравлические, что, безусловно, говорит об их большей стоимости и низком коэффициенте безотказности. О</w:t>
      </w:r>
      <w:r w:rsidRPr="00281602">
        <w:rPr>
          <w:sz w:val="22"/>
          <w:szCs w:val="22"/>
        </w:rPr>
        <w:t>д</w:t>
      </w:r>
      <w:r w:rsidRPr="00281602">
        <w:rPr>
          <w:sz w:val="22"/>
          <w:szCs w:val="22"/>
        </w:rPr>
        <w:t>нако при достаточно детальном проектировании конструкции ук</w:t>
      </w:r>
      <w:r w:rsidRPr="00281602">
        <w:rPr>
          <w:sz w:val="22"/>
          <w:szCs w:val="22"/>
        </w:rPr>
        <w:t>а</w:t>
      </w:r>
      <w:r w:rsidRPr="00281602">
        <w:rPr>
          <w:sz w:val="22"/>
          <w:szCs w:val="22"/>
        </w:rPr>
        <w:t xml:space="preserve">занные недостатки минимизировать [5]. </w:t>
      </w:r>
    </w:p>
    <w:p w:rsidR="00281602" w:rsidRPr="00281602" w:rsidRDefault="00281602" w:rsidP="00281602">
      <w:pPr>
        <w:ind w:firstLine="426"/>
        <w:jc w:val="both"/>
        <w:rPr>
          <w:sz w:val="22"/>
          <w:szCs w:val="22"/>
        </w:rPr>
      </w:pPr>
      <w:r w:rsidRPr="00281602">
        <w:rPr>
          <w:sz w:val="22"/>
          <w:szCs w:val="22"/>
        </w:rPr>
        <w:t>Для повышения эффективности опрыскивания сельскохозя</w:t>
      </w:r>
      <w:r w:rsidRPr="00281602">
        <w:rPr>
          <w:sz w:val="22"/>
          <w:szCs w:val="22"/>
        </w:rPr>
        <w:t>й</w:t>
      </w:r>
      <w:r w:rsidRPr="00281602">
        <w:rPr>
          <w:sz w:val="22"/>
          <w:szCs w:val="22"/>
        </w:rPr>
        <w:t>ственных культур предлагается использовать центробежно-дисковые распылители, которые будут установлены на стандартную распределительную систему опрыскивателя ОП-2500, а для созд</w:t>
      </w:r>
      <w:r w:rsidRPr="00281602">
        <w:rPr>
          <w:sz w:val="22"/>
          <w:szCs w:val="22"/>
        </w:rPr>
        <w:t>а</w:t>
      </w:r>
      <w:r w:rsidRPr="00281602">
        <w:rPr>
          <w:sz w:val="22"/>
          <w:szCs w:val="22"/>
        </w:rPr>
        <w:t>ния вращающего момента использовать воздух, подаваемый от компрессора. Такое конструктивное исполнение позволит повысить электробезопасность при сохранении указанных преимуществ.</w:t>
      </w:r>
    </w:p>
    <w:p w:rsidR="00281602" w:rsidRPr="00281602" w:rsidRDefault="00281602" w:rsidP="00281602">
      <w:pPr>
        <w:ind w:firstLine="426"/>
        <w:jc w:val="both"/>
        <w:rPr>
          <w:sz w:val="22"/>
          <w:szCs w:val="22"/>
        </w:rPr>
      </w:pPr>
    </w:p>
    <w:p w:rsidR="00281602" w:rsidRPr="00281602" w:rsidRDefault="00281602" w:rsidP="00281602">
      <w:pPr>
        <w:ind w:firstLine="426"/>
        <w:jc w:val="center"/>
        <w:rPr>
          <w:sz w:val="22"/>
          <w:szCs w:val="22"/>
        </w:rPr>
      </w:pPr>
      <w:r w:rsidRPr="00281602">
        <w:rPr>
          <w:sz w:val="22"/>
          <w:szCs w:val="22"/>
        </w:rPr>
        <w:t>Список литературы</w:t>
      </w:r>
    </w:p>
    <w:p w:rsidR="00281602" w:rsidRPr="00281602" w:rsidRDefault="00281602" w:rsidP="00281602">
      <w:pPr>
        <w:ind w:firstLine="426"/>
        <w:jc w:val="both"/>
        <w:rPr>
          <w:spacing w:val="-4"/>
          <w:sz w:val="22"/>
          <w:szCs w:val="22"/>
        </w:rPr>
      </w:pPr>
      <w:r w:rsidRPr="00281602">
        <w:rPr>
          <w:sz w:val="22"/>
          <w:szCs w:val="22"/>
        </w:rPr>
        <w:t>1. Трубилин Е. И. Экономическая эффективность применения многорядных дисковых борон и лущильников: [Тест] / Е. И. Трубилин, К. А. Сохт, В. И. Коновалов. // Труды К</w:t>
      </w:r>
      <w:r w:rsidRPr="00281602">
        <w:rPr>
          <w:sz w:val="22"/>
          <w:szCs w:val="22"/>
        </w:rPr>
        <w:t>у</w:t>
      </w:r>
      <w:r w:rsidRPr="00281602">
        <w:rPr>
          <w:sz w:val="22"/>
          <w:szCs w:val="22"/>
        </w:rPr>
        <w:t>банского государственного аграрного университета. – 2015. – № 53. – С. 253-254.</w:t>
      </w:r>
      <w:r w:rsidRPr="00281602">
        <w:rPr>
          <w:spacing w:val="-4"/>
          <w:sz w:val="22"/>
          <w:szCs w:val="22"/>
        </w:rPr>
        <w:t xml:space="preserve">1. </w:t>
      </w:r>
    </w:p>
    <w:p w:rsidR="00281602" w:rsidRPr="00281602" w:rsidRDefault="00281602" w:rsidP="00281602">
      <w:pPr>
        <w:ind w:firstLine="426"/>
        <w:jc w:val="both"/>
        <w:rPr>
          <w:sz w:val="22"/>
          <w:szCs w:val="22"/>
        </w:rPr>
      </w:pPr>
      <w:r w:rsidRPr="00281602">
        <w:rPr>
          <w:spacing w:val="-4"/>
          <w:sz w:val="22"/>
          <w:szCs w:val="22"/>
        </w:rPr>
        <w:t xml:space="preserve">2. Сохт К. А. Статистические методы исследований процессов и машин в агробизнесе: </w:t>
      </w:r>
      <w:r w:rsidRPr="00281602">
        <w:rPr>
          <w:sz w:val="22"/>
          <w:szCs w:val="22"/>
        </w:rPr>
        <w:t xml:space="preserve">[Тест] </w:t>
      </w:r>
      <w:r w:rsidRPr="00281602">
        <w:rPr>
          <w:spacing w:val="-4"/>
          <w:sz w:val="22"/>
          <w:szCs w:val="22"/>
        </w:rPr>
        <w:t>учеб. пособие / К. А. Сохт, Е. И.</w:t>
      </w:r>
      <w:r w:rsidRPr="00281602">
        <w:rPr>
          <w:sz w:val="22"/>
          <w:szCs w:val="22"/>
        </w:rPr>
        <w:t> Трубилин, В. И. Коновалов. – Краснодар: КубГАУ, 2016. – 217 с.</w:t>
      </w:r>
    </w:p>
    <w:p w:rsidR="00281602" w:rsidRPr="00281602" w:rsidRDefault="00281602" w:rsidP="00281602">
      <w:pPr>
        <w:ind w:firstLine="426"/>
        <w:jc w:val="both"/>
        <w:rPr>
          <w:sz w:val="22"/>
          <w:szCs w:val="22"/>
        </w:rPr>
      </w:pPr>
      <w:r w:rsidRPr="00281602">
        <w:rPr>
          <w:sz w:val="22"/>
          <w:szCs w:val="22"/>
        </w:rPr>
        <w:t xml:space="preserve">3. Белоусов С.В., Метод и технические средства для обработки пропашных культур: [Тест] / С. В. Белоусов, С. А. Помеляйко. // В </w:t>
      </w:r>
      <w:r w:rsidRPr="00281602">
        <w:rPr>
          <w:sz w:val="22"/>
          <w:szCs w:val="22"/>
        </w:rPr>
        <w:lastRenderedPageBreak/>
        <w:t>сборнике: НАУЧНЫЕ ИССЛЕДОВАНИЯ И РАЗРАБОТКИ В ЭПОХУ ГЛОБАЛИЗАЦИИ Сборник статей Международной нау</w:t>
      </w:r>
      <w:r w:rsidRPr="00281602">
        <w:rPr>
          <w:sz w:val="22"/>
          <w:szCs w:val="22"/>
        </w:rPr>
        <w:t>ч</w:t>
      </w:r>
      <w:r w:rsidRPr="00281602">
        <w:rPr>
          <w:sz w:val="22"/>
          <w:szCs w:val="22"/>
        </w:rPr>
        <w:t>но-практической конференции. Ответственный редактор: Сукиасян Асатур Альбертович. 2016. – С. 122-127.</w:t>
      </w:r>
    </w:p>
    <w:p w:rsidR="00281602" w:rsidRPr="00281602" w:rsidRDefault="00281602" w:rsidP="00281602">
      <w:pPr>
        <w:ind w:firstLine="426"/>
        <w:jc w:val="both"/>
        <w:rPr>
          <w:spacing w:val="-4"/>
          <w:sz w:val="22"/>
          <w:szCs w:val="22"/>
        </w:rPr>
      </w:pPr>
      <w:r w:rsidRPr="00281602">
        <w:rPr>
          <w:spacing w:val="-4"/>
          <w:sz w:val="22"/>
          <w:szCs w:val="22"/>
        </w:rPr>
        <w:t xml:space="preserve">4. Сельскохозяйственные машины (устройство, работа и основные регулировки): </w:t>
      </w:r>
      <w:r w:rsidRPr="00281602">
        <w:rPr>
          <w:sz w:val="22"/>
          <w:szCs w:val="22"/>
        </w:rPr>
        <w:t xml:space="preserve">[Тест] </w:t>
      </w:r>
      <w:r w:rsidRPr="00281602">
        <w:rPr>
          <w:spacing w:val="-4"/>
          <w:sz w:val="22"/>
          <w:szCs w:val="22"/>
        </w:rPr>
        <w:t>учеб. пособие / В. А. Романенко [и др.]. – Кра</w:t>
      </w:r>
      <w:r w:rsidRPr="00281602">
        <w:rPr>
          <w:spacing w:val="-4"/>
          <w:sz w:val="22"/>
          <w:szCs w:val="22"/>
        </w:rPr>
        <w:t>с</w:t>
      </w:r>
      <w:r w:rsidRPr="00281602">
        <w:rPr>
          <w:spacing w:val="-4"/>
          <w:sz w:val="22"/>
          <w:szCs w:val="22"/>
        </w:rPr>
        <w:t>нодар: Куб ГАУ, 2014. – 232 с.</w:t>
      </w:r>
    </w:p>
    <w:p w:rsidR="00281602" w:rsidRPr="00281602" w:rsidRDefault="00281602" w:rsidP="00281602">
      <w:pPr>
        <w:ind w:firstLine="426"/>
        <w:jc w:val="both"/>
        <w:rPr>
          <w:sz w:val="22"/>
          <w:szCs w:val="22"/>
        </w:rPr>
      </w:pPr>
      <w:r w:rsidRPr="00281602">
        <w:rPr>
          <w:spacing w:val="-4"/>
          <w:sz w:val="22"/>
          <w:szCs w:val="22"/>
        </w:rPr>
        <w:t xml:space="preserve">5. </w:t>
      </w:r>
      <w:r w:rsidRPr="00281602">
        <w:rPr>
          <w:sz w:val="22"/>
          <w:szCs w:val="22"/>
        </w:rPr>
        <w:t>Сохт К. А. Дисковые бороны и лущильники. Проектирование технологических параметров: [Тест] учеб. пособие / К. А. Сохт, Е. И. Трубилин,  В. И. Коновалов. – Краснодар: КубГАУ, 2014 – 164 стр.</w:t>
      </w:r>
    </w:p>
    <w:p w:rsidR="00281602" w:rsidRPr="00281602" w:rsidRDefault="00281602" w:rsidP="00281602">
      <w:pPr>
        <w:ind w:firstLine="426"/>
        <w:jc w:val="both"/>
        <w:rPr>
          <w:spacing w:val="-4"/>
          <w:sz w:val="22"/>
          <w:szCs w:val="22"/>
        </w:rPr>
      </w:pPr>
    </w:p>
    <w:p w:rsidR="00281602" w:rsidRDefault="00281602" w:rsidP="00B43BBC">
      <w:pPr>
        <w:pStyle w:val="31"/>
        <w:rPr>
          <w:sz w:val="22"/>
          <w:szCs w:val="22"/>
        </w:rPr>
      </w:pPr>
    </w:p>
    <w:p w:rsidR="00451253" w:rsidRDefault="00451253" w:rsidP="006E1893">
      <w:pPr>
        <w:ind w:firstLine="426"/>
        <w:rPr>
          <w:sz w:val="22"/>
          <w:szCs w:val="22"/>
        </w:rPr>
      </w:pPr>
      <w:r>
        <w:rPr>
          <w:sz w:val="22"/>
          <w:szCs w:val="22"/>
        </w:rPr>
        <w:br w:type="page"/>
      </w:r>
    </w:p>
    <w:p w:rsidR="00EC1A78" w:rsidRDefault="00EC1A78" w:rsidP="00EC1A78">
      <w:pPr>
        <w:ind w:firstLine="426"/>
        <w:jc w:val="center"/>
        <w:rPr>
          <w:b/>
        </w:rPr>
      </w:pPr>
      <w:r w:rsidRPr="00EC1A78">
        <w:rPr>
          <w:b/>
        </w:rPr>
        <w:lastRenderedPageBreak/>
        <w:t xml:space="preserve">Факультет плодоовощеводства </w:t>
      </w:r>
      <w:r w:rsidR="00906BF3">
        <w:rPr>
          <w:b/>
        </w:rPr>
        <w:br/>
      </w:r>
      <w:r w:rsidRPr="00EC1A78">
        <w:rPr>
          <w:b/>
        </w:rPr>
        <w:t>и виноградарства</w:t>
      </w:r>
    </w:p>
    <w:p w:rsidR="00906BF3" w:rsidRPr="00906BF3" w:rsidRDefault="00906BF3" w:rsidP="00906BF3">
      <w:pPr>
        <w:ind w:firstLine="426"/>
        <w:jc w:val="both"/>
        <w:rPr>
          <w:rFonts w:eastAsia="Calibri"/>
          <w:color w:val="000000"/>
          <w:sz w:val="22"/>
          <w:szCs w:val="22"/>
          <w:lang w:eastAsia="en-US"/>
        </w:rPr>
      </w:pPr>
    </w:p>
    <w:p w:rsidR="00EC1A78" w:rsidRPr="00906BF3" w:rsidRDefault="00EC1A78" w:rsidP="000E3E48">
      <w:pPr>
        <w:jc w:val="both"/>
        <w:rPr>
          <w:rFonts w:eastAsia="Calibri"/>
          <w:color w:val="000000"/>
          <w:sz w:val="22"/>
          <w:szCs w:val="22"/>
          <w:lang w:eastAsia="en-US"/>
        </w:rPr>
      </w:pPr>
      <w:r w:rsidRPr="00906BF3">
        <w:rPr>
          <w:rFonts w:eastAsia="Calibri"/>
          <w:color w:val="000000"/>
          <w:sz w:val="22"/>
          <w:szCs w:val="22"/>
          <w:lang w:eastAsia="en-US"/>
        </w:rPr>
        <w:t>УДК 663.222 : 634.853 (470.620)</w:t>
      </w:r>
    </w:p>
    <w:p w:rsidR="00906BF3" w:rsidRPr="00906BF3" w:rsidRDefault="00906BF3" w:rsidP="00906BF3">
      <w:pPr>
        <w:ind w:firstLine="426"/>
        <w:jc w:val="both"/>
        <w:rPr>
          <w:rFonts w:eastAsia="Calibri"/>
          <w:color w:val="000000"/>
          <w:sz w:val="22"/>
          <w:szCs w:val="22"/>
          <w:lang w:eastAsia="en-US"/>
        </w:rPr>
      </w:pPr>
    </w:p>
    <w:p w:rsidR="00EC1A78" w:rsidRPr="00906BF3" w:rsidRDefault="00906BF3" w:rsidP="00906BF3">
      <w:pPr>
        <w:ind w:firstLine="426"/>
        <w:jc w:val="center"/>
        <w:rPr>
          <w:rFonts w:eastAsia="Calibri"/>
          <w:b/>
          <w:color w:val="000000"/>
          <w:sz w:val="24"/>
          <w:szCs w:val="24"/>
          <w:lang w:eastAsia="en-US"/>
        </w:rPr>
      </w:pPr>
      <w:r w:rsidRPr="00906BF3">
        <w:rPr>
          <w:rFonts w:eastAsia="Calibri"/>
          <w:b/>
          <w:color w:val="000000"/>
          <w:sz w:val="24"/>
          <w:szCs w:val="24"/>
          <w:lang w:eastAsia="en-US"/>
        </w:rPr>
        <w:t xml:space="preserve">Биохимические </w:t>
      </w:r>
      <w:r w:rsidR="00EC1A78" w:rsidRPr="00906BF3">
        <w:rPr>
          <w:rFonts w:eastAsia="Calibri"/>
          <w:b/>
          <w:color w:val="000000"/>
          <w:sz w:val="24"/>
          <w:szCs w:val="24"/>
          <w:lang w:eastAsia="en-US"/>
        </w:rPr>
        <w:t>показатели вин из тёмно-ягодных</w:t>
      </w:r>
      <w:r w:rsidR="000E3E48">
        <w:rPr>
          <w:rFonts w:eastAsia="Calibri"/>
          <w:b/>
          <w:color w:val="000000"/>
          <w:sz w:val="24"/>
          <w:szCs w:val="24"/>
          <w:lang w:eastAsia="en-US"/>
        </w:rPr>
        <w:br/>
      </w:r>
      <w:r w:rsidR="00EC1A78" w:rsidRPr="00906BF3">
        <w:rPr>
          <w:rFonts w:eastAsia="Calibri"/>
          <w:b/>
          <w:color w:val="000000"/>
          <w:sz w:val="24"/>
          <w:szCs w:val="24"/>
          <w:lang w:eastAsia="en-US"/>
        </w:rPr>
        <w:t xml:space="preserve"> сортов виноград</w:t>
      </w:r>
      <w:r w:rsidRPr="00906BF3">
        <w:rPr>
          <w:rFonts w:eastAsia="Calibri"/>
          <w:b/>
          <w:color w:val="000000"/>
          <w:sz w:val="24"/>
          <w:szCs w:val="24"/>
          <w:lang w:eastAsia="en-US"/>
        </w:rPr>
        <w:t xml:space="preserve">а селекции </w:t>
      </w:r>
      <w:r w:rsidR="00EC1A78" w:rsidRPr="00906BF3">
        <w:rPr>
          <w:rFonts w:eastAsia="Calibri"/>
          <w:b/>
          <w:color w:val="000000"/>
          <w:sz w:val="24"/>
          <w:szCs w:val="24"/>
          <w:lang w:eastAsia="en-US"/>
        </w:rPr>
        <w:t>СКЗНИИСиВ</w:t>
      </w:r>
    </w:p>
    <w:p w:rsidR="00906BF3" w:rsidRPr="000E3E48" w:rsidRDefault="00906BF3" w:rsidP="00906BF3">
      <w:pPr>
        <w:ind w:firstLine="426"/>
        <w:jc w:val="center"/>
        <w:rPr>
          <w:rFonts w:eastAsia="Calibri"/>
          <w:b/>
          <w:color w:val="000000"/>
          <w:sz w:val="24"/>
          <w:szCs w:val="24"/>
          <w:lang w:val="en-US" w:eastAsia="en-US"/>
        </w:rPr>
      </w:pPr>
      <w:r w:rsidRPr="00906BF3">
        <w:rPr>
          <w:rFonts w:eastAsia="Calibri"/>
          <w:b/>
          <w:color w:val="000000"/>
          <w:sz w:val="24"/>
          <w:szCs w:val="24"/>
          <w:lang w:val="en-US" w:eastAsia="en-US"/>
        </w:rPr>
        <w:t>Biochemical</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indicators</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of</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wines</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from</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dark</w:t>
      </w:r>
      <w:r w:rsidRPr="000E3E48">
        <w:rPr>
          <w:rFonts w:eastAsia="Calibri"/>
          <w:b/>
          <w:color w:val="000000"/>
          <w:sz w:val="24"/>
          <w:szCs w:val="24"/>
          <w:lang w:val="en-US" w:eastAsia="en-US"/>
        </w:rPr>
        <w:t>-</w:t>
      </w:r>
      <w:r w:rsidRPr="00906BF3">
        <w:rPr>
          <w:rFonts w:eastAsia="Calibri"/>
          <w:b/>
          <w:color w:val="000000"/>
          <w:sz w:val="24"/>
          <w:szCs w:val="24"/>
          <w:lang w:val="en-US" w:eastAsia="en-US"/>
        </w:rPr>
        <w:t>berry</w:t>
      </w:r>
      <w:r w:rsidRPr="000E3E48">
        <w:rPr>
          <w:rFonts w:eastAsia="Calibri"/>
          <w:b/>
          <w:color w:val="000000"/>
          <w:sz w:val="24"/>
          <w:szCs w:val="24"/>
          <w:lang w:val="en-US" w:eastAsia="en-US"/>
        </w:rPr>
        <w:t xml:space="preserve"> </w:t>
      </w:r>
      <w:r w:rsidR="000E3E48" w:rsidRPr="000E3E48">
        <w:rPr>
          <w:rFonts w:eastAsia="Calibri"/>
          <w:b/>
          <w:color w:val="000000"/>
          <w:sz w:val="24"/>
          <w:szCs w:val="24"/>
          <w:lang w:val="en-US" w:eastAsia="en-US"/>
        </w:rPr>
        <w:br/>
      </w:r>
      <w:r w:rsidRPr="00906BF3">
        <w:rPr>
          <w:rFonts w:eastAsia="Calibri"/>
          <w:b/>
          <w:color w:val="000000"/>
          <w:sz w:val="24"/>
          <w:szCs w:val="24"/>
          <w:lang w:val="en-US" w:eastAsia="en-US"/>
        </w:rPr>
        <w:t>grape</w:t>
      </w:r>
      <w:r w:rsidRPr="000E3E48">
        <w:rPr>
          <w:rFonts w:eastAsia="Calibri"/>
          <w:b/>
          <w:color w:val="000000"/>
          <w:sz w:val="24"/>
          <w:szCs w:val="24"/>
          <w:lang w:val="en-US" w:eastAsia="en-US"/>
        </w:rPr>
        <w:t xml:space="preserve"> </w:t>
      </w:r>
      <w:r w:rsidRPr="00906BF3">
        <w:rPr>
          <w:rFonts w:eastAsia="Calibri"/>
          <w:b/>
          <w:color w:val="000000"/>
          <w:sz w:val="24"/>
          <w:szCs w:val="24"/>
          <w:lang w:val="en-US" w:eastAsia="en-US"/>
        </w:rPr>
        <w:t>varieties</w:t>
      </w:r>
    </w:p>
    <w:p w:rsidR="00906BF3" w:rsidRPr="000E3E48" w:rsidRDefault="00906BF3" w:rsidP="00906BF3">
      <w:pPr>
        <w:ind w:firstLine="426"/>
        <w:jc w:val="both"/>
        <w:rPr>
          <w:rFonts w:eastAsia="Calibri"/>
          <w:b/>
          <w:color w:val="000000"/>
          <w:sz w:val="22"/>
          <w:szCs w:val="22"/>
          <w:lang w:val="en-US" w:eastAsia="en-US"/>
        </w:rPr>
      </w:pPr>
    </w:p>
    <w:p w:rsidR="00EC1A78" w:rsidRPr="00906BF3" w:rsidRDefault="00EC1A78" w:rsidP="00906BF3">
      <w:pPr>
        <w:ind w:firstLine="426"/>
        <w:jc w:val="right"/>
        <w:rPr>
          <w:rFonts w:eastAsia="Calibri"/>
          <w:color w:val="000000"/>
          <w:sz w:val="22"/>
          <w:szCs w:val="22"/>
          <w:lang w:eastAsia="en-US"/>
        </w:rPr>
      </w:pPr>
      <w:r w:rsidRPr="00906BF3">
        <w:rPr>
          <w:rFonts w:eastAsia="Calibri"/>
          <w:color w:val="000000"/>
          <w:sz w:val="22"/>
          <w:szCs w:val="22"/>
          <w:lang w:eastAsia="en-US"/>
        </w:rPr>
        <w:t>Артеменко Я.</w:t>
      </w:r>
      <w:r w:rsidR="00906BF3" w:rsidRPr="00906BF3">
        <w:rPr>
          <w:rFonts w:eastAsia="Calibri"/>
          <w:color w:val="000000"/>
          <w:sz w:val="22"/>
          <w:szCs w:val="22"/>
          <w:lang w:eastAsia="en-US"/>
        </w:rPr>
        <w:t xml:space="preserve"> </w:t>
      </w:r>
      <w:r w:rsidRPr="00906BF3">
        <w:rPr>
          <w:rFonts w:eastAsia="Calibri"/>
          <w:color w:val="000000"/>
          <w:sz w:val="22"/>
          <w:szCs w:val="22"/>
          <w:lang w:eastAsia="en-US"/>
        </w:rPr>
        <w:t>Б. , Прах А.</w:t>
      </w:r>
      <w:r w:rsidR="00906BF3" w:rsidRPr="00906BF3">
        <w:rPr>
          <w:rFonts w:eastAsia="Calibri"/>
          <w:color w:val="000000"/>
          <w:sz w:val="22"/>
          <w:szCs w:val="22"/>
          <w:lang w:eastAsia="en-US"/>
        </w:rPr>
        <w:t xml:space="preserve"> </w:t>
      </w:r>
      <w:r w:rsidRPr="00906BF3">
        <w:rPr>
          <w:rFonts w:eastAsia="Calibri"/>
          <w:color w:val="000000"/>
          <w:sz w:val="22"/>
          <w:szCs w:val="22"/>
          <w:lang w:eastAsia="en-US"/>
        </w:rPr>
        <w:t>В</w:t>
      </w:r>
      <w:r w:rsidR="00906BF3" w:rsidRPr="00906BF3">
        <w:rPr>
          <w:rFonts w:eastAsia="Calibri"/>
          <w:color w:val="000000"/>
          <w:sz w:val="22"/>
          <w:szCs w:val="22"/>
          <w:lang w:eastAsia="en-US"/>
        </w:rPr>
        <w:t>.,</w:t>
      </w:r>
    </w:p>
    <w:p w:rsidR="00906BF3" w:rsidRPr="00906BF3" w:rsidRDefault="00906BF3" w:rsidP="00906BF3">
      <w:pPr>
        <w:widowControl w:val="0"/>
        <w:tabs>
          <w:tab w:val="left" w:pos="8223"/>
        </w:tabs>
        <w:ind w:firstLine="426"/>
        <w:jc w:val="right"/>
        <w:rPr>
          <w:rFonts w:eastAsia="Courier New"/>
          <w:color w:val="000000"/>
          <w:sz w:val="22"/>
          <w:szCs w:val="22"/>
        </w:rPr>
      </w:pPr>
      <w:r w:rsidRPr="00906BF3">
        <w:rPr>
          <w:rFonts w:eastAsia="Courier New"/>
          <w:color w:val="000000"/>
          <w:sz w:val="22"/>
          <w:szCs w:val="22"/>
        </w:rPr>
        <w:t>Кубанский государственный аграрный</w:t>
      </w:r>
    </w:p>
    <w:p w:rsidR="00906BF3" w:rsidRPr="00906BF3" w:rsidRDefault="00906BF3" w:rsidP="00906BF3">
      <w:pPr>
        <w:widowControl w:val="0"/>
        <w:tabs>
          <w:tab w:val="left" w:pos="8223"/>
        </w:tabs>
        <w:ind w:firstLine="426"/>
        <w:jc w:val="right"/>
        <w:rPr>
          <w:rFonts w:eastAsia="Courier New"/>
          <w:color w:val="000000"/>
          <w:sz w:val="22"/>
          <w:szCs w:val="22"/>
        </w:rPr>
      </w:pPr>
      <w:r w:rsidRPr="00906BF3">
        <w:rPr>
          <w:rFonts w:eastAsia="Courier New"/>
          <w:color w:val="000000"/>
          <w:sz w:val="22"/>
          <w:szCs w:val="22"/>
        </w:rPr>
        <w:t>университет имени И.Т. Трубилина</w:t>
      </w:r>
    </w:p>
    <w:p w:rsidR="00EC1A78" w:rsidRPr="00906BF3" w:rsidRDefault="00EC1A78" w:rsidP="00906BF3">
      <w:pPr>
        <w:ind w:firstLine="426"/>
        <w:jc w:val="both"/>
        <w:rPr>
          <w:rFonts w:eastAsia="Calibri"/>
          <w:i/>
          <w:color w:val="000000"/>
          <w:sz w:val="22"/>
          <w:szCs w:val="22"/>
          <w:shd w:val="clear" w:color="auto" w:fill="FFFFFF"/>
          <w:lang w:eastAsia="en-US"/>
        </w:rPr>
      </w:pPr>
    </w:p>
    <w:p w:rsidR="00EC1A78" w:rsidRPr="00906BF3" w:rsidRDefault="00906BF3" w:rsidP="00906BF3">
      <w:pPr>
        <w:shd w:val="clear" w:color="auto" w:fill="FFFFFF"/>
        <w:ind w:firstLine="426"/>
        <w:jc w:val="both"/>
        <w:rPr>
          <w:color w:val="000000"/>
          <w:sz w:val="22"/>
          <w:szCs w:val="22"/>
        </w:rPr>
      </w:pPr>
      <w:r w:rsidRPr="00906BF3">
        <w:rPr>
          <w:color w:val="000000"/>
          <w:sz w:val="22"/>
          <w:szCs w:val="22"/>
          <w:shd w:val="clear" w:color="auto" w:fill="FFFFFF"/>
        </w:rPr>
        <w:t xml:space="preserve">АННОТАЦИЯ: </w:t>
      </w:r>
      <w:r w:rsidR="00EC1A78" w:rsidRPr="00906BF3">
        <w:rPr>
          <w:color w:val="000000"/>
          <w:sz w:val="22"/>
          <w:szCs w:val="22"/>
          <w:shd w:val="clear" w:color="auto" w:fill="FFFFFF"/>
        </w:rPr>
        <w:t>В данной статье, изучался биохимический с</w:t>
      </w:r>
      <w:r w:rsidR="00EC1A78" w:rsidRPr="00906BF3">
        <w:rPr>
          <w:color w:val="000000"/>
          <w:sz w:val="22"/>
          <w:szCs w:val="22"/>
          <w:shd w:val="clear" w:color="auto" w:fill="FFFFFF"/>
        </w:rPr>
        <w:t>о</w:t>
      </w:r>
      <w:r w:rsidR="00EC1A78" w:rsidRPr="00906BF3">
        <w:rPr>
          <w:color w:val="000000"/>
          <w:sz w:val="22"/>
          <w:szCs w:val="22"/>
          <w:shd w:val="clear" w:color="auto" w:fill="FFFFFF"/>
        </w:rPr>
        <w:t>став вин, полученных из сортов винограда Гранатовый, Алькор, Мицар, Антарес, Тана 33, выведенных путём внутривидовой селе</w:t>
      </w:r>
      <w:r w:rsidR="00EC1A78" w:rsidRPr="00906BF3">
        <w:rPr>
          <w:color w:val="000000"/>
          <w:sz w:val="22"/>
          <w:szCs w:val="22"/>
          <w:shd w:val="clear" w:color="auto" w:fill="FFFFFF"/>
        </w:rPr>
        <w:t>к</w:t>
      </w:r>
      <w:r w:rsidR="00EC1A78" w:rsidRPr="00906BF3">
        <w:rPr>
          <w:color w:val="000000"/>
          <w:sz w:val="22"/>
          <w:szCs w:val="22"/>
          <w:shd w:val="clear" w:color="auto" w:fill="FFFFFF"/>
        </w:rPr>
        <w:t xml:space="preserve">ции винограда культурного. </w:t>
      </w:r>
      <w:r w:rsidR="00EC1A78" w:rsidRPr="00906BF3">
        <w:rPr>
          <w:color w:val="000000"/>
          <w:sz w:val="22"/>
          <w:szCs w:val="22"/>
        </w:rPr>
        <w:t>Определялись основные показатели качества винограда и вина – массовые концентрации сахаров, тир</w:t>
      </w:r>
      <w:r w:rsidR="00EC1A78" w:rsidRPr="00906BF3">
        <w:rPr>
          <w:color w:val="000000"/>
          <w:sz w:val="22"/>
          <w:szCs w:val="22"/>
        </w:rPr>
        <w:t>у</w:t>
      </w:r>
      <w:r w:rsidR="00EC1A78" w:rsidRPr="00906BF3">
        <w:rPr>
          <w:color w:val="000000"/>
          <w:sz w:val="22"/>
          <w:szCs w:val="22"/>
        </w:rPr>
        <w:t>емых кислот и рН.</w:t>
      </w:r>
    </w:p>
    <w:p w:rsidR="00EC1A78" w:rsidRPr="00906BF3" w:rsidRDefault="00906BF3" w:rsidP="00906BF3">
      <w:pPr>
        <w:shd w:val="clear" w:color="auto" w:fill="FFFFFF"/>
        <w:ind w:firstLine="426"/>
        <w:jc w:val="both"/>
        <w:rPr>
          <w:color w:val="000000"/>
          <w:sz w:val="22"/>
          <w:szCs w:val="22"/>
          <w:shd w:val="clear" w:color="auto" w:fill="FFFFFF"/>
          <w:lang w:val="en-US"/>
        </w:rPr>
      </w:pPr>
      <w:r w:rsidRPr="00906BF3">
        <w:rPr>
          <w:color w:val="000000"/>
          <w:sz w:val="22"/>
          <w:szCs w:val="22"/>
          <w:shd w:val="clear" w:color="auto" w:fill="FFFFFF"/>
          <w:lang w:val="en-US"/>
        </w:rPr>
        <w:t>SUMMARY: In this article, we studied the biochemical compos</w:t>
      </w:r>
      <w:r w:rsidRPr="00906BF3">
        <w:rPr>
          <w:color w:val="000000"/>
          <w:sz w:val="22"/>
          <w:szCs w:val="22"/>
          <w:shd w:val="clear" w:color="auto" w:fill="FFFFFF"/>
          <w:lang w:val="en-US"/>
        </w:rPr>
        <w:t>i</w:t>
      </w:r>
      <w:r w:rsidRPr="00906BF3">
        <w:rPr>
          <w:color w:val="000000"/>
          <w:sz w:val="22"/>
          <w:szCs w:val="22"/>
          <w:shd w:val="clear" w:color="auto" w:fill="FFFFFF"/>
          <w:lang w:val="en-US"/>
        </w:rPr>
        <w:t>tion of wines obtained from the varieties of the grapes Granatova, Alcor, Mizar, Anta-res, Tana 33, derived by intraspecific selection of cultivated grapes. The main indicators of the quality of grapes and wine were d</w:t>
      </w:r>
      <w:r w:rsidRPr="00906BF3">
        <w:rPr>
          <w:color w:val="000000"/>
          <w:sz w:val="22"/>
          <w:szCs w:val="22"/>
          <w:shd w:val="clear" w:color="auto" w:fill="FFFFFF"/>
          <w:lang w:val="en-US"/>
        </w:rPr>
        <w:t>e</w:t>
      </w:r>
      <w:r w:rsidRPr="00906BF3">
        <w:rPr>
          <w:color w:val="000000"/>
          <w:sz w:val="22"/>
          <w:szCs w:val="22"/>
          <w:shd w:val="clear" w:color="auto" w:fill="FFFFFF"/>
          <w:lang w:val="en-US"/>
        </w:rPr>
        <w:t>termined - the mass concentrations of sugars, titrated acids and pH</w:t>
      </w:r>
    </w:p>
    <w:p w:rsidR="00EC1A78" w:rsidRPr="00906BF3" w:rsidRDefault="00906BF3" w:rsidP="00906BF3">
      <w:pPr>
        <w:ind w:firstLine="426"/>
        <w:jc w:val="both"/>
        <w:rPr>
          <w:rFonts w:eastAsia="Calibri"/>
          <w:color w:val="000000"/>
          <w:sz w:val="22"/>
          <w:szCs w:val="22"/>
          <w:shd w:val="clear" w:color="auto" w:fill="FFFFFF"/>
          <w:lang w:eastAsia="en-US"/>
        </w:rPr>
      </w:pPr>
      <w:r w:rsidRPr="00906BF3">
        <w:rPr>
          <w:rFonts w:eastAsia="Calibri"/>
          <w:color w:val="000000"/>
          <w:sz w:val="22"/>
          <w:szCs w:val="22"/>
          <w:shd w:val="clear" w:color="auto" w:fill="FFFFFF"/>
          <w:lang w:eastAsia="en-US"/>
        </w:rPr>
        <w:t>КЛЮЧЕВЫЕ СЛОВА</w:t>
      </w:r>
      <w:r w:rsidR="00EC1A78" w:rsidRPr="00906BF3">
        <w:rPr>
          <w:rFonts w:eastAsia="Calibri"/>
          <w:color w:val="000000"/>
          <w:sz w:val="22"/>
          <w:szCs w:val="22"/>
          <w:shd w:val="clear" w:color="auto" w:fill="FFFFFF"/>
          <w:lang w:eastAsia="en-US"/>
        </w:rPr>
        <w:t xml:space="preserve">: </w:t>
      </w:r>
      <w:r w:rsidRPr="00906BF3">
        <w:rPr>
          <w:rFonts w:eastAsia="Calibri"/>
          <w:color w:val="000000"/>
          <w:sz w:val="22"/>
          <w:szCs w:val="22"/>
          <w:shd w:val="clear" w:color="auto" w:fill="FFFFFF"/>
          <w:lang w:eastAsia="en-US"/>
        </w:rPr>
        <w:t>виноград, селекция, сорта, концентр</w:t>
      </w:r>
      <w:r w:rsidRPr="00906BF3">
        <w:rPr>
          <w:rFonts w:eastAsia="Calibri"/>
          <w:color w:val="000000"/>
          <w:sz w:val="22"/>
          <w:szCs w:val="22"/>
          <w:shd w:val="clear" w:color="auto" w:fill="FFFFFF"/>
          <w:lang w:eastAsia="en-US"/>
        </w:rPr>
        <w:t>а</w:t>
      </w:r>
      <w:r w:rsidRPr="00906BF3">
        <w:rPr>
          <w:rFonts w:eastAsia="Calibri"/>
          <w:color w:val="000000"/>
          <w:sz w:val="22"/>
          <w:szCs w:val="22"/>
          <w:shd w:val="clear" w:color="auto" w:fill="FFFFFF"/>
          <w:lang w:eastAsia="en-US"/>
        </w:rPr>
        <w:t>ция сахаров, титруемая кислотность, pH.</w:t>
      </w:r>
    </w:p>
    <w:p w:rsidR="00906BF3" w:rsidRPr="00024398" w:rsidRDefault="00906BF3" w:rsidP="00906BF3">
      <w:pPr>
        <w:ind w:firstLine="426"/>
        <w:jc w:val="both"/>
        <w:rPr>
          <w:rFonts w:eastAsia="Calibri"/>
          <w:color w:val="000000"/>
          <w:sz w:val="22"/>
          <w:szCs w:val="22"/>
          <w:shd w:val="clear" w:color="auto" w:fill="FFFFFF"/>
          <w:lang w:val="en-US" w:eastAsia="en-US"/>
        </w:rPr>
      </w:pPr>
      <w:r w:rsidRPr="00906BF3">
        <w:rPr>
          <w:rFonts w:eastAsia="Calibri"/>
          <w:color w:val="000000"/>
          <w:sz w:val="22"/>
          <w:szCs w:val="22"/>
          <w:shd w:val="clear" w:color="auto" w:fill="FFFFFF"/>
          <w:lang w:val="en-US" w:eastAsia="en-US"/>
        </w:rPr>
        <w:t>KEY WORDS: grapes, selection, varieties, concentration of sugars, titratable acidity, pH.</w:t>
      </w:r>
    </w:p>
    <w:p w:rsidR="00906BF3" w:rsidRPr="00024398" w:rsidRDefault="00906BF3" w:rsidP="00906BF3">
      <w:pPr>
        <w:ind w:firstLine="426"/>
        <w:jc w:val="both"/>
        <w:rPr>
          <w:rFonts w:eastAsia="Calibri"/>
          <w:color w:val="000000"/>
          <w:sz w:val="22"/>
          <w:szCs w:val="22"/>
          <w:shd w:val="clear" w:color="auto" w:fill="FFFFFF"/>
          <w:lang w:val="en-US" w:eastAsia="en-US"/>
        </w:rPr>
      </w:pPr>
    </w:p>
    <w:p w:rsidR="00EC1A78" w:rsidRPr="00906BF3" w:rsidRDefault="00EC1A78" w:rsidP="00906BF3">
      <w:pPr>
        <w:ind w:firstLine="426"/>
        <w:jc w:val="both"/>
        <w:rPr>
          <w:rFonts w:eastAsia="Calibri"/>
          <w:color w:val="000000"/>
          <w:sz w:val="22"/>
          <w:szCs w:val="22"/>
          <w:shd w:val="clear" w:color="auto" w:fill="FFFFFF"/>
          <w:lang w:eastAsia="en-US"/>
        </w:rPr>
      </w:pPr>
      <w:r w:rsidRPr="00906BF3">
        <w:rPr>
          <w:rFonts w:eastAsia="Calibri"/>
          <w:color w:val="000000"/>
          <w:sz w:val="22"/>
          <w:szCs w:val="22"/>
          <w:shd w:val="clear" w:color="auto" w:fill="FFFFFF"/>
          <w:lang w:eastAsia="en-US"/>
        </w:rPr>
        <w:t>Комбинативная селекция является самым эффективным путем совершенствования сортимента путём создания местных сортов на основе гибридизации взаимодополняющих исходных форм из ра</w:t>
      </w:r>
      <w:r w:rsidRPr="00906BF3">
        <w:rPr>
          <w:rFonts w:eastAsia="Calibri"/>
          <w:color w:val="000000"/>
          <w:sz w:val="22"/>
          <w:szCs w:val="22"/>
          <w:shd w:val="clear" w:color="auto" w:fill="FFFFFF"/>
          <w:lang w:eastAsia="en-US"/>
        </w:rPr>
        <w:t>з</w:t>
      </w:r>
      <w:r w:rsidRPr="00906BF3">
        <w:rPr>
          <w:rFonts w:eastAsia="Calibri"/>
          <w:color w:val="000000"/>
          <w:sz w:val="22"/>
          <w:szCs w:val="22"/>
          <w:shd w:val="clear" w:color="auto" w:fill="FFFFFF"/>
          <w:lang w:eastAsia="en-US"/>
        </w:rPr>
        <w:t>личных эколого-географических групп. В таком случае в одном г</w:t>
      </w:r>
      <w:r w:rsidRPr="00906BF3">
        <w:rPr>
          <w:rFonts w:eastAsia="Calibri"/>
          <w:color w:val="000000"/>
          <w:sz w:val="22"/>
          <w:szCs w:val="22"/>
          <w:shd w:val="clear" w:color="auto" w:fill="FFFFFF"/>
          <w:lang w:eastAsia="en-US"/>
        </w:rPr>
        <w:t>е</w:t>
      </w:r>
      <w:r w:rsidRPr="00906BF3">
        <w:rPr>
          <w:rFonts w:eastAsia="Calibri"/>
          <w:color w:val="000000"/>
          <w:sz w:val="22"/>
          <w:szCs w:val="22"/>
          <w:shd w:val="clear" w:color="auto" w:fill="FFFFFF"/>
          <w:lang w:eastAsia="en-US"/>
        </w:rPr>
        <w:t>нотипе комбинируются желательные признаки и свойства род</w:t>
      </w:r>
      <w:r w:rsidRPr="00906BF3">
        <w:rPr>
          <w:rFonts w:eastAsia="Calibri"/>
          <w:color w:val="000000"/>
          <w:sz w:val="22"/>
          <w:szCs w:val="22"/>
          <w:shd w:val="clear" w:color="auto" w:fill="FFFFFF"/>
          <w:lang w:eastAsia="en-US"/>
        </w:rPr>
        <w:t>и</w:t>
      </w:r>
      <w:r w:rsidRPr="00906BF3">
        <w:rPr>
          <w:rFonts w:eastAsia="Calibri"/>
          <w:color w:val="000000"/>
          <w:sz w:val="22"/>
          <w:szCs w:val="22"/>
          <w:shd w:val="clear" w:color="auto" w:fill="FFFFFF"/>
          <w:lang w:eastAsia="en-US"/>
        </w:rPr>
        <w:t xml:space="preserve">тельских компонентов. Особенно удачными по приспособленности потомками скрещиваний являются сорта, полученные от разных </w:t>
      </w:r>
      <w:r w:rsidRPr="00906BF3">
        <w:rPr>
          <w:rFonts w:eastAsia="Calibri"/>
          <w:color w:val="000000"/>
          <w:sz w:val="22"/>
          <w:szCs w:val="22"/>
          <w:shd w:val="clear" w:color="auto" w:fill="FFFFFF"/>
          <w:lang w:eastAsia="en-US"/>
        </w:rPr>
        <w:lastRenderedPageBreak/>
        <w:t>видов, так называемые гибриды-прямые производители. Они хара</w:t>
      </w:r>
      <w:r w:rsidRPr="00906BF3">
        <w:rPr>
          <w:rFonts w:eastAsia="Calibri"/>
          <w:color w:val="000000"/>
          <w:sz w:val="22"/>
          <w:szCs w:val="22"/>
          <w:shd w:val="clear" w:color="auto" w:fill="FFFFFF"/>
          <w:lang w:eastAsia="en-US"/>
        </w:rPr>
        <w:t>к</w:t>
      </w:r>
      <w:r w:rsidRPr="00906BF3">
        <w:rPr>
          <w:rFonts w:eastAsia="Calibri"/>
          <w:color w:val="000000"/>
          <w:sz w:val="22"/>
          <w:szCs w:val="22"/>
          <w:shd w:val="clear" w:color="auto" w:fill="FFFFFF"/>
          <w:lang w:eastAsia="en-US"/>
        </w:rPr>
        <w:t>теризуются помимо устойчивости к болезням и вредителям также высокой адаптивностью, определяющей их технологичность.</w:t>
      </w:r>
    </w:p>
    <w:p w:rsidR="00EC1A78" w:rsidRPr="00906BF3" w:rsidRDefault="00EC1A78" w:rsidP="00906BF3">
      <w:pPr>
        <w:ind w:firstLine="426"/>
        <w:jc w:val="both"/>
        <w:rPr>
          <w:b/>
          <w:sz w:val="22"/>
          <w:szCs w:val="22"/>
        </w:rPr>
      </w:pPr>
      <w:r w:rsidRPr="00906BF3">
        <w:rPr>
          <w:b/>
          <w:sz w:val="22"/>
          <w:szCs w:val="22"/>
        </w:rPr>
        <w:t>Результаты исследований</w:t>
      </w:r>
    </w:p>
    <w:p w:rsidR="00EC1A78" w:rsidRPr="00906BF3" w:rsidRDefault="00EC1A78" w:rsidP="00906BF3">
      <w:pPr>
        <w:ind w:firstLine="426"/>
        <w:jc w:val="both"/>
        <w:rPr>
          <w:rFonts w:eastAsia="Calibri"/>
          <w:sz w:val="22"/>
          <w:szCs w:val="22"/>
          <w:lang w:eastAsia="en-US"/>
        </w:rPr>
      </w:pPr>
      <w:r w:rsidRPr="00906BF3">
        <w:rPr>
          <w:rFonts w:eastAsia="Calibri"/>
          <w:sz w:val="22"/>
          <w:szCs w:val="22"/>
          <w:lang w:eastAsia="en-US"/>
        </w:rPr>
        <w:t>Для проведения подробных биохимических и физико- химич</w:t>
      </w:r>
      <w:r w:rsidRPr="00906BF3">
        <w:rPr>
          <w:rFonts w:eastAsia="Calibri"/>
          <w:sz w:val="22"/>
          <w:szCs w:val="22"/>
          <w:lang w:eastAsia="en-US"/>
        </w:rPr>
        <w:t>е</w:t>
      </w:r>
      <w:r w:rsidRPr="00906BF3">
        <w:rPr>
          <w:rFonts w:eastAsia="Calibri"/>
          <w:sz w:val="22"/>
          <w:szCs w:val="22"/>
          <w:lang w:eastAsia="en-US"/>
        </w:rPr>
        <w:t>ских анализов, из винограда сортов Гранатовый, Алькор, Мицар, Антарес, Тана 33 было получено сусло, а затем виноматериалы.</w:t>
      </w:r>
    </w:p>
    <w:p w:rsidR="00EC1A78" w:rsidRPr="00906BF3" w:rsidRDefault="00EC1A78" w:rsidP="00906BF3">
      <w:pPr>
        <w:ind w:firstLine="426"/>
        <w:jc w:val="both"/>
        <w:rPr>
          <w:rFonts w:eastAsia="Calibri"/>
          <w:sz w:val="22"/>
          <w:szCs w:val="22"/>
          <w:lang w:eastAsia="en-US"/>
        </w:rPr>
      </w:pPr>
      <w:r w:rsidRPr="00906BF3">
        <w:rPr>
          <w:rFonts w:eastAsia="Calibri"/>
          <w:sz w:val="22"/>
          <w:szCs w:val="22"/>
          <w:lang w:eastAsia="en-US"/>
        </w:rPr>
        <w:t>Виноград отбирался с опытного участка АЗОСВиВ - филиал ФГБНУ СКФНЦСВВ, город-курорт Анапа, 4 октября 2017 года.</w:t>
      </w:r>
    </w:p>
    <w:p w:rsidR="00EC1A78" w:rsidRPr="00906BF3" w:rsidRDefault="00EC1A78" w:rsidP="00906BF3">
      <w:pPr>
        <w:ind w:firstLine="426"/>
        <w:jc w:val="both"/>
        <w:rPr>
          <w:rFonts w:eastAsia="Calibri"/>
          <w:sz w:val="22"/>
          <w:szCs w:val="22"/>
          <w:lang w:eastAsia="en-US"/>
        </w:rPr>
      </w:pPr>
      <w:r w:rsidRPr="00906BF3">
        <w:rPr>
          <w:rFonts w:eastAsia="Calibri"/>
          <w:sz w:val="22"/>
          <w:szCs w:val="22"/>
          <w:lang w:eastAsia="en-US"/>
        </w:rPr>
        <w:t>Виноматериалы были приготовлены по классической технол</w:t>
      </w:r>
      <w:r w:rsidRPr="00906BF3">
        <w:rPr>
          <w:rFonts w:eastAsia="Calibri"/>
          <w:sz w:val="22"/>
          <w:szCs w:val="22"/>
          <w:lang w:eastAsia="en-US"/>
        </w:rPr>
        <w:t>о</w:t>
      </w:r>
      <w:r w:rsidRPr="00906BF3">
        <w:rPr>
          <w:rFonts w:eastAsia="Calibri"/>
          <w:sz w:val="22"/>
          <w:szCs w:val="22"/>
          <w:lang w:eastAsia="en-US"/>
        </w:rPr>
        <w:t>гии приготовления красных столовых вин в цехе микровиноделия научного центра «Виноделеие» ФГБНУ СКФНЦСВВ. Исследов</w:t>
      </w:r>
      <w:r w:rsidRPr="00906BF3">
        <w:rPr>
          <w:rFonts w:eastAsia="Calibri"/>
          <w:sz w:val="22"/>
          <w:szCs w:val="22"/>
          <w:lang w:eastAsia="en-US"/>
        </w:rPr>
        <w:t>а</w:t>
      </w:r>
      <w:r w:rsidRPr="00906BF3">
        <w:rPr>
          <w:rFonts w:eastAsia="Calibri"/>
          <w:sz w:val="22"/>
          <w:szCs w:val="22"/>
          <w:lang w:eastAsia="en-US"/>
        </w:rPr>
        <w:t xml:space="preserve">ния велись по общепринятым и разработанным в научном центре виноделия методикам. </w:t>
      </w:r>
    </w:p>
    <w:p w:rsidR="00EC1A78" w:rsidRPr="00906BF3" w:rsidRDefault="00EC1A78" w:rsidP="00906BF3">
      <w:pPr>
        <w:ind w:firstLine="426"/>
        <w:jc w:val="both"/>
        <w:rPr>
          <w:bCs/>
          <w:sz w:val="22"/>
          <w:szCs w:val="22"/>
        </w:rPr>
      </w:pPr>
      <w:r w:rsidRPr="00906BF3">
        <w:rPr>
          <w:bCs/>
          <w:sz w:val="22"/>
          <w:szCs w:val="22"/>
        </w:rPr>
        <w:t>Исследуемые сорта винограда отличаются высокими показат</w:t>
      </w:r>
      <w:r w:rsidRPr="00906BF3">
        <w:rPr>
          <w:bCs/>
          <w:sz w:val="22"/>
          <w:szCs w:val="22"/>
        </w:rPr>
        <w:t>е</w:t>
      </w:r>
      <w:r w:rsidRPr="00906BF3">
        <w:rPr>
          <w:bCs/>
          <w:sz w:val="22"/>
          <w:szCs w:val="22"/>
        </w:rPr>
        <w:t>лями хозяйственно-ценных признаков. Ниже приводится их краткая характеристика.</w:t>
      </w:r>
    </w:p>
    <w:p w:rsidR="00EC1A78" w:rsidRPr="00906BF3" w:rsidRDefault="00EC1A78" w:rsidP="00906BF3">
      <w:pPr>
        <w:ind w:firstLine="426"/>
        <w:jc w:val="both"/>
        <w:rPr>
          <w:sz w:val="22"/>
          <w:szCs w:val="22"/>
        </w:rPr>
      </w:pPr>
      <w:r w:rsidRPr="00906BF3">
        <w:rPr>
          <w:b/>
          <w:bCs/>
          <w:sz w:val="22"/>
          <w:szCs w:val="22"/>
        </w:rPr>
        <w:t>Алькор</w:t>
      </w:r>
      <w:r w:rsidRPr="00906BF3">
        <w:rPr>
          <w:bCs/>
          <w:sz w:val="22"/>
          <w:szCs w:val="22"/>
        </w:rPr>
        <w:t xml:space="preserve"> -</w:t>
      </w:r>
      <w:r w:rsidRPr="00906BF3">
        <w:rPr>
          <w:b/>
          <w:bCs/>
          <w:sz w:val="22"/>
          <w:szCs w:val="22"/>
        </w:rPr>
        <w:t xml:space="preserve"> </w:t>
      </w:r>
      <w:r w:rsidRPr="00906BF3">
        <w:rPr>
          <w:sz w:val="22"/>
          <w:szCs w:val="22"/>
        </w:rPr>
        <w:t>получен при скрещивании сортов (Серексия х К</w:t>
      </w:r>
      <w:r w:rsidRPr="00906BF3">
        <w:rPr>
          <w:sz w:val="22"/>
          <w:szCs w:val="22"/>
        </w:rPr>
        <w:t>а</w:t>
      </w:r>
      <w:r w:rsidRPr="00906BF3">
        <w:rPr>
          <w:sz w:val="22"/>
          <w:szCs w:val="22"/>
        </w:rPr>
        <w:t>берне-Совиньон). Высокопродуктивный сорт среднепозднего срока созревания (третья декада сентября). Урожайность в корнесо</w:t>
      </w:r>
      <w:r w:rsidRPr="00906BF3">
        <w:rPr>
          <w:sz w:val="22"/>
          <w:szCs w:val="22"/>
        </w:rPr>
        <w:t>б</w:t>
      </w:r>
      <w:r w:rsidRPr="00906BF3">
        <w:rPr>
          <w:sz w:val="22"/>
          <w:szCs w:val="22"/>
        </w:rPr>
        <w:t xml:space="preserve">ственной культуре стабильная – 150 ц/га, у эталонного сорта </w:t>
      </w:r>
      <w:hyperlink r:id="rId121" w:history="1">
        <w:r w:rsidRPr="00906BF3">
          <w:rPr>
            <w:sz w:val="22"/>
            <w:szCs w:val="22"/>
          </w:rPr>
          <w:t>Сап</w:t>
        </w:r>
        <w:r w:rsidRPr="00906BF3">
          <w:rPr>
            <w:sz w:val="22"/>
            <w:szCs w:val="22"/>
          </w:rPr>
          <w:t>е</w:t>
        </w:r>
        <w:r w:rsidRPr="00906BF3">
          <w:rPr>
            <w:sz w:val="22"/>
            <w:szCs w:val="22"/>
          </w:rPr>
          <w:t>рави</w:t>
        </w:r>
      </w:hyperlink>
      <w:r w:rsidRPr="00906BF3">
        <w:rPr>
          <w:sz w:val="22"/>
          <w:szCs w:val="22"/>
        </w:rPr>
        <w:t xml:space="preserve"> – 105 ц/га Сахаристость сока ягод 22,8-23,8 г/100 см</w:t>
      </w:r>
      <w:r w:rsidRPr="00906BF3">
        <w:rPr>
          <w:sz w:val="22"/>
          <w:szCs w:val="22"/>
          <w:vertAlign w:val="superscript"/>
        </w:rPr>
        <w:t>3</w:t>
      </w:r>
      <w:r w:rsidRPr="00906BF3">
        <w:rPr>
          <w:sz w:val="22"/>
          <w:szCs w:val="22"/>
        </w:rPr>
        <w:t>, кисло</w:t>
      </w:r>
      <w:r w:rsidRPr="00906BF3">
        <w:rPr>
          <w:sz w:val="22"/>
          <w:szCs w:val="22"/>
        </w:rPr>
        <w:t>т</w:t>
      </w:r>
      <w:r w:rsidRPr="00906BF3">
        <w:rPr>
          <w:sz w:val="22"/>
          <w:szCs w:val="22"/>
        </w:rPr>
        <w:t>ность 7,5-8,0 г/дм</w:t>
      </w:r>
      <w:r w:rsidRPr="00906BF3">
        <w:rPr>
          <w:sz w:val="22"/>
          <w:szCs w:val="22"/>
          <w:vertAlign w:val="superscript"/>
        </w:rPr>
        <w:t>3</w:t>
      </w:r>
      <w:r w:rsidRPr="00906BF3">
        <w:rPr>
          <w:sz w:val="22"/>
          <w:szCs w:val="22"/>
        </w:rPr>
        <w:t>.</w:t>
      </w:r>
    </w:p>
    <w:p w:rsidR="00EC1A78" w:rsidRPr="00906BF3" w:rsidRDefault="00EC1A78" w:rsidP="00906BF3">
      <w:pPr>
        <w:ind w:firstLine="426"/>
        <w:jc w:val="both"/>
        <w:rPr>
          <w:sz w:val="22"/>
          <w:szCs w:val="22"/>
        </w:rPr>
      </w:pPr>
      <w:r w:rsidRPr="00906BF3">
        <w:rPr>
          <w:b/>
          <w:bCs/>
          <w:sz w:val="22"/>
          <w:szCs w:val="22"/>
        </w:rPr>
        <w:t>Мицар</w:t>
      </w:r>
      <w:r w:rsidRPr="00906BF3">
        <w:rPr>
          <w:bCs/>
          <w:sz w:val="22"/>
          <w:szCs w:val="22"/>
        </w:rPr>
        <w:t xml:space="preserve"> -</w:t>
      </w:r>
      <w:r w:rsidRPr="00906BF3">
        <w:rPr>
          <w:b/>
          <w:bCs/>
          <w:sz w:val="22"/>
          <w:szCs w:val="22"/>
        </w:rPr>
        <w:t xml:space="preserve"> </w:t>
      </w:r>
      <w:r w:rsidRPr="00906BF3">
        <w:rPr>
          <w:sz w:val="22"/>
          <w:szCs w:val="22"/>
        </w:rPr>
        <w:t>получен при скрещивании сортов (Сереския х К</w:t>
      </w:r>
      <w:r w:rsidRPr="00906BF3">
        <w:rPr>
          <w:sz w:val="22"/>
          <w:szCs w:val="22"/>
        </w:rPr>
        <w:t>а</w:t>
      </w:r>
      <w:r w:rsidRPr="00906BF3">
        <w:rPr>
          <w:sz w:val="22"/>
          <w:szCs w:val="22"/>
        </w:rPr>
        <w:t>берне-Совиньон).</w:t>
      </w:r>
      <w:r w:rsidRPr="00906BF3">
        <w:rPr>
          <w:rFonts w:eastAsia="Calibri"/>
          <w:b/>
          <w:bCs/>
          <w:sz w:val="22"/>
          <w:szCs w:val="22"/>
          <w:lang w:eastAsia="en-US"/>
        </w:rPr>
        <w:t xml:space="preserve"> </w:t>
      </w:r>
      <w:r w:rsidRPr="00906BF3">
        <w:rPr>
          <w:sz w:val="22"/>
          <w:szCs w:val="22"/>
        </w:rPr>
        <w:t>Сорт винограда отличается повышенной усто</w:t>
      </w:r>
      <w:r w:rsidRPr="00906BF3">
        <w:rPr>
          <w:sz w:val="22"/>
          <w:szCs w:val="22"/>
        </w:rPr>
        <w:t>й</w:t>
      </w:r>
      <w:r w:rsidRPr="00906BF3">
        <w:rPr>
          <w:sz w:val="22"/>
          <w:szCs w:val="22"/>
        </w:rPr>
        <w:t>чивостью к грибным болезням, особенно к белой и серой гнилям, высоким качеством вин и соков.</w:t>
      </w:r>
    </w:p>
    <w:p w:rsidR="00EC1A78" w:rsidRPr="00906BF3" w:rsidRDefault="00EC1A78" w:rsidP="00906BF3">
      <w:pPr>
        <w:ind w:firstLine="426"/>
        <w:jc w:val="both"/>
        <w:rPr>
          <w:sz w:val="22"/>
          <w:szCs w:val="22"/>
        </w:rPr>
      </w:pPr>
      <w:r w:rsidRPr="00906BF3">
        <w:rPr>
          <w:b/>
          <w:bCs/>
          <w:sz w:val="22"/>
          <w:szCs w:val="22"/>
        </w:rPr>
        <w:t>Гранатовый</w:t>
      </w:r>
      <w:r w:rsidRPr="00906BF3">
        <w:rPr>
          <w:sz w:val="22"/>
          <w:szCs w:val="22"/>
        </w:rPr>
        <w:t xml:space="preserve"> - получен при скрещивании (</w:t>
      </w:r>
      <w:hyperlink r:id="rId122" w:history="1">
        <w:r w:rsidRPr="00906BF3">
          <w:rPr>
            <w:sz w:val="22"/>
            <w:szCs w:val="22"/>
          </w:rPr>
          <w:t>Саперави</w:t>
        </w:r>
      </w:hyperlink>
      <w:r w:rsidRPr="00906BF3">
        <w:rPr>
          <w:sz w:val="22"/>
          <w:szCs w:val="22"/>
        </w:rPr>
        <w:t> x </w:t>
      </w:r>
      <w:hyperlink r:id="rId123" w:history="1">
        <w:r w:rsidRPr="00906BF3">
          <w:rPr>
            <w:sz w:val="22"/>
            <w:szCs w:val="22"/>
          </w:rPr>
          <w:t>Каберне-Совиньон</w:t>
        </w:r>
      </w:hyperlink>
      <w:r w:rsidRPr="00906BF3">
        <w:rPr>
          <w:sz w:val="22"/>
          <w:szCs w:val="22"/>
        </w:rPr>
        <w:t>). Сорт среднепозднего периода созревания, высокоусто</w:t>
      </w:r>
      <w:r w:rsidRPr="00906BF3">
        <w:rPr>
          <w:sz w:val="22"/>
          <w:szCs w:val="22"/>
        </w:rPr>
        <w:t>й</w:t>
      </w:r>
      <w:r w:rsidRPr="00906BF3">
        <w:rPr>
          <w:sz w:val="22"/>
          <w:szCs w:val="22"/>
        </w:rPr>
        <w:t>чив  к </w:t>
      </w:r>
      <w:hyperlink r:id="rId124" w:history="1">
        <w:r w:rsidRPr="00906BF3">
          <w:rPr>
            <w:sz w:val="22"/>
            <w:szCs w:val="22"/>
          </w:rPr>
          <w:t>милдью</w:t>
        </w:r>
      </w:hyperlink>
      <w:r w:rsidRPr="00906BF3">
        <w:rPr>
          <w:sz w:val="22"/>
          <w:szCs w:val="22"/>
        </w:rPr>
        <w:t>, белой гнили и </w:t>
      </w:r>
      <w:hyperlink r:id="rId125" w:history="1">
        <w:r w:rsidRPr="00906BF3">
          <w:rPr>
            <w:sz w:val="22"/>
            <w:szCs w:val="22"/>
          </w:rPr>
          <w:t>серой гнили</w:t>
        </w:r>
      </w:hyperlink>
      <w:r w:rsidRPr="00906BF3">
        <w:rPr>
          <w:sz w:val="22"/>
          <w:szCs w:val="22"/>
        </w:rPr>
        <w:t>. Обладает достойными вкусовыми качествами. Виноград используется для приготовления красных столовых и десертных вин, а также виноградных соков.</w:t>
      </w:r>
    </w:p>
    <w:p w:rsidR="00EC1A78" w:rsidRPr="00906BF3" w:rsidRDefault="00EC1A78" w:rsidP="00906BF3">
      <w:pPr>
        <w:shd w:val="clear" w:color="auto" w:fill="FFFFFF"/>
        <w:ind w:firstLine="426"/>
        <w:jc w:val="both"/>
        <w:rPr>
          <w:rFonts w:eastAsia="Calibri"/>
          <w:color w:val="444444"/>
          <w:sz w:val="22"/>
          <w:szCs w:val="22"/>
          <w:shd w:val="clear" w:color="auto" w:fill="FFFFFF"/>
          <w:lang w:eastAsia="en-US"/>
        </w:rPr>
      </w:pPr>
      <w:r w:rsidRPr="00906BF3">
        <w:rPr>
          <w:b/>
          <w:sz w:val="22"/>
          <w:szCs w:val="22"/>
        </w:rPr>
        <w:t>Тана 33</w:t>
      </w:r>
      <w:r w:rsidRPr="00906BF3">
        <w:rPr>
          <w:sz w:val="22"/>
          <w:szCs w:val="22"/>
        </w:rPr>
        <w:t xml:space="preserve"> - получен при </w:t>
      </w:r>
      <w:r w:rsidRPr="00906BF3">
        <w:rPr>
          <w:sz w:val="22"/>
          <w:szCs w:val="22"/>
          <w:shd w:val="clear" w:color="auto" w:fill="FFFFFF"/>
        </w:rPr>
        <w:t xml:space="preserve">скрещивании </w:t>
      </w:r>
      <w:r w:rsidRPr="00906BF3">
        <w:rPr>
          <w:color w:val="000000"/>
          <w:sz w:val="22"/>
          <w:szCs w:val="22"/>
          <w:shd w:val="clear" w:color="auto" w:fill="FFFFFF"/>
        </w:rPr>
        <w:t>(</w:t>
      </w:r>
      <w:r w:rsidRPr="00906BF3">
        <w:rPr>
          <w:rFonts w:eastAsia="Calibri"/>
          <w:color w:val="000000"/>
          <w:sz w:val="22"/>
          <w:szCs w:val="22"/>
          <w:shd w:val="clear" w:color="auto" w:fill="FFFFFF"/>
          <w:lang w:eastAsia="en-US"/>
        </w:rPr>
        <w:t>Антарис х Красностоп анапский), в настоящее время является перспективной формой для получения сорта</w:t>
      </w:r>
      <w:r w:rsidRPr="00906BF3">
        <w:rPr>
          <w:sz w:val="22"/>
          <w:szCs w:val="22"/>
          <w:shd w:val="clear" w:color="auto" w:fill="FFFFFF"/>
        </w:rPr>
        <w:t>. Морозоустойчивость высокая (-27</w:t>
      </w:r>
      <w:r w:rsidRPr="00906BF3">
        <w:rPr>
          <w:color w:val="6B6B6B"/>
          <w:sz w:val="22"/>
          <w:szCs w:val="22"/>
          <w:shd w:val="clear" w:color="auto" w:fill="FFFFFF"/>
        </w:rPr>
        <w:t>°С</w:t>
      </w:r>
      <w:r w:rsidRPr="00906BF3">
        <w:rPr>
          <w:sz w:val="22"/>
          <w:szCs w:val="22"/>
          <w:shd w:val="clear" w:color="auto" w:fill="FFFFFF"/>
        </w:rPr>
        <w:t>). Устойч</w:t>
      </w:r>
      <w:r w:rsidRPr="00906BF3">
        <w:rPr>
          <w:sz w:val="22"/>
          <w:szCs w:val="22"/>
          <w:shd w:val="clear" w:color="auto" w:fill="FFFFFF"/>
        </w:rPr>
        <w:t>и</w:t>
      </w:r>
      <w:r w:rsidRPr="00906BF3">
        <w:rPr>
          <w:sz w:val="22"/>
          <w:szCs w:val="22"/>
          <w:shd w:val="clear" w:color="auto" w:fill="FFFFFF"/>
        </w:rPr>
        <w:t xml:space="preserve">вость к грибным поражениям и филлоксере высокая. </w:t>
      </w:r>
      <w:r w:rsidRPr="00906BF3">
        <w:rPr>
          <w:rFonts w:eastAsia="Calibri"/>
          <w:sz w:val="22"/>
          <w:szCs w:val="22"/>
          <w:shd w:val="clear" w:color="auto" w:fill="FFFFFF"/>
          <w:lang w:eastAsia="en-US"/>
        </w:rPr>
        <w:t>В отличие от классических винных сортов виноград Тана не требователен к х</w:t>
      </w:r>
      <w:r w:rsidRPr="00906BF3">
        <w:rPr>
          <w:rFonts w:eastAsia="Calibri"/>
          <w:sz w:val="22"/>
          <w:szCs w:val="22"/>
          <w:shd w:val="clear" w:color="auto" w:fill="FFFFFF"/>
          <w:lang w:eastAsia="en-US"/>
        </w:rPr>
        <w:t>и</w:t>
      </w:r>
      <w:r w:rsidRPr="00906BF3">
        <w:rPr>
          <w:rFonts w:eastAsia="Calibri"/>
          <w:sz w:val="22"/>
          <w:szCs w:val="22"/>
          <w:shd w:val="clear" w:color="auto" w:fill="FFFFFF"/>
          <w:lang w:eastAsia="en-US"/>
        </w:rPr>
        <w:t>мическим обработкам. Для них достаточно двух обработок бордо</w:t>
      </w:r>
      <w:r w:rsidRPr="00906BF3">
        <w:rPr>
          <w:rFonts w:eastAsia="Calibri"/>
          <w:sz w:val="22"/>
          <w:szCs w:val="22"/>
          <w:shd w:val="clear" w:color="auto" w:fill="FFFFFF"/>
          <w:lang w:eastAsia="en-US"/>
        </w:rPr>
        <w:t>с</w:t>
      </w:r>
      <w:r w:rsidRPr="00906BF3">
        <w:rPr>
          <w:rFonts w:eastAsia="Calibri"/>
          <w:sz w:val="22"/>
          <w:szCs w:val="22"/>
          <w:shd w:val="clear" w:color="auto" w:fill="FFFFFF"/>
          <w:lang w:eastAsia="en-US"/>
        </w:rPr>
        <w:lastRenderedPageBreak/>
        <w:t xml:space="preserve">ской смесью. Контрольным сортом был выбран Каберне Совиньон, как самый распространенный сорт в нашем регионе. </w:t>
      </w:r>
    </w:p>
    <w:p w:rsidR="00EC1A78" w:rsidRPr="00906BF3" w:rsidRDefault="00EC1A78" w:rsidP="00906BF3">
      <w:pPr>
        <w:shd w:val="clear" w:color="auto" w:fill="FFFFFF"/>
        <w:ind w:firstLine="426"/>
        <w:jc w:val="both"/>
        <w:rPr>
          <w:rFonts w:eastAsia="Calibri"/>
          <w:sz w:val="22"/>
          <w:szCs w:val="22"/>
          <w:lang w:eastAsia="en-US"/>
        </w:rPr>
      </w:pPr>
      <w:r w:rsidRPr="00906BF3">
        <w:rPr>
          <w:rFonts w:eastAsia="Calibri"/>
          <w:sz w:val="22"/>
          <w:szCs w:val="22"/>
          <w:lang w:eastAsia="en-US"/>
        </w:rPr>
        <w:t>Результаты физико-химического анализа сусла показывают в</w:t>
      </w:r>
      <w:r w:rsidRPr="00906BF3">
        <w:rPr>
          <w:rFonts w:eastAsia="Calibri"/>
          <w:sz w:val="22"/>
          <w:szCs w:val="22"/>
          <w:lang w:eastAsia="en-US"/>
        </w:rPr>
        <w:t>ы</w:t>
      </w:r>
      <w:r w:rsidRPr="00906BF3">
        <w:rPr>
          <w:rFonts w:eastAsia="Calibri"/>
          <w:sz w:val="22"/>
          <w:szCs w:val="22"/>
          <w:lang w:eastAsia="en-US"/>
        </w:rPr>
        <w:t>сокую сахаристость в пределах 21,6 - 22,9 г/100см</w:t>
      </w:r>
      <w:r w:rsidRPr="00906BF3">
        <w:rPr>
          <w:rFonts w:eastAsia="Calibri"/>
          <w:sz w:val="22"/>
          <w:szCs w:val="22"/>
          <w:vertAlign w:val="superscript"/>
          <w:lang w:eastAsia="en-US"/>
        </w:rPr>
        <w:t>3</w:t>
      </w:r>
      <w:r w:rsidRPr="00906BF3">
        <w:rPr>
          <w:rFonts w:eastAsia="Calibri"/>
          <w:sz w:val="22"/>
          <w:szCs w:val="22"/>
          <w:lang w:eastAsia="en-US"/>
        </w:rPr>
        <w:t>, оптимальное содержание титруемых кислот 6,3-8,1 г/дм</w:t>
      </w:r>
      <w:r w:rsidRPr="00906BF3">
        <w:rPr>
          <w:rFonts w:eastAsia="Calibri"/>
          <w:sz w:val="22"/>
          <w:szCs w:val="22"/>
          <w:vertAlign w:val="superscript"/>
          <w:lang w:eastAsia="en-US"/>
        </w:rPr>
        <w:t>3</w:t>
      </w:r>
      <w:r w:rsidRPr="00906BF3">
        <w:rPr>
          <w:rFonts w:eastAsia="Calibri"/>
          <w:sz w:val="22"/>
          <w:szCs w:val="22"/>
          <w:lang w:eastAsia="en-US"/>
        </w:rPr>
        <w:t xml:space="preserve"> и рН в пределах 3,1-3,5, что позволяет говорить о технологичности сортов. Из сусла с да</w:t>
      </w:r>
      <w:r w:rsidRPr="00906BF3">
        <w:rPr>
          <w:rFonts w:eastAsia="Calibri"/>
          <w:sz w:val="22"/>
          <w:szCs w:val="22"/>
          <w:lang w:eastAsia="en-US"/>
        </w:rPr>
        <w:t>н</w:t>
      </w:r>
      <w:r w:rsidRPr="00906BF3">
        <w:rPr>
          <w:rFonts w:eastAsia="Calibri"/>
          <w:sz w:val="22"/>
          <w:szCs w:val="22"/>
          <w:lang w:eastAsia="en-US"/>
        </w:rPr>
        <w:t>ными показателями можно получить вина высокого качества и ра</w:t>
      </w:r>
      <w:r w:rsidRPr="00906BF3">
        <w:rPr>
          <w:rFonts w:eastAsia="Calibri"/>
          <w:sz w:val="22"/>
          <w:szCs w:val="22"/>
          <w:lang w:eastAsia="en-US"/>
        </w:rPr>
        <w:t>з</w:t>
      </w:r>
      <w:r w:rsidRPr="00906BF3">
        <w:rPr>
          <w:rFonts w:eastAsia="Calibri"/>
          <w:sz w:val="22"/>
          <w:szCs w:val="22"/>
          <w:lang w:eastAsia="en-US"/>
        </w:rPr>
        <w:t>ных типов.</w:t>
      </w:r>
    </w:p>
    <w:p w:rsidR="00EC1A78" w:rsidRPr="00906BF3" w:rsidRDefault="00EC1A78" w:rsidP="00906BF3">
      <w:pPr>
        <w:ind w:firstLine="426"/>
        <w:jc w:val="both"/>
        <w:rPr>
          <w:sz w:val="22"/>
          <w:szCs w:val="22"/>
        </w:rPr>
      </w:pPr>
      <w:r w:rsidRPr="00906BF3">
        <w:rPr>
          <w:sz w:val="22"/>
          <w:szCs w:val="22"/>
        </w:rPr>
        <w:t>Результаты физико–химического анализа виноматериалов п</w:t>
      </w:r>
      <w:r w:rsidRPr="00906BF3">
        <w:rPr>
          <w:sz w:val="22"/>
          <w:szCs w:val="22"/>
        </w:rPr>
        <w:t>о</w:t>
      </w:r>
      <w:r w:rsidRPr="00906BF3">
        <w:rPr>
          <w:sz w:val="22"/>
          <w:szCs w:val="22"/>
        </w:rPr>
        <w:t xml:space="preserve">казывают оптимальную массовую концентрацию спирта до 14%, допустимое содержание титруемых кислот 6,5 до 7,8 г/дм </w:t>
      </w:r>
      <w:r w:rsidRPr="00906BF3">
        <w:rPr>
          <w:sz w:val="22"/>
          <w:szCs w:val="22"/>
          <w:vertAlign w:val="superscript"/>
        </w:rPr>
        <w:t xml:space="preserve">3 </w:t>
      </w:r>
      <w:r w:rsidRPr="00906BF3">
        <w:rPr>
          <w:sz w:val="22"/>
          <w:szCs w:val="22"/>
        </w:rPr>
        <w:t xml:space="preserve"> ,концентрация SO</w:t>
      </w:r>
      <w:r w:rsidRPr="00906BF3">
        <w:rPr>
          <w:sz w:val="22"/>
          <w:szCs w:val="22"/>
          <w:vertAlign w:val="subscript"/>
        </w:rPr>
        <w:t xml:space="preserve">2 общ. </w:t>
      </w:r>
      <w:r w:rsidRPr="00906BF3">
        <w:rPr>
          <w:sz w:val="22"/>
          <w:szCs w:val="22"/>
        </w:rPr>
        <w:t>находится в оптимальных пределах 60,0-72,0 мг/дм</w:t>
      </w:r>
      <w:r w:rsidRPr="00906BF3">
        <w:rPr>
          <w:sz w:val="22"/>
          <w:szCs w:val="22"/>
          <w:vertAlign w:val="superscript"/>
        </w:rPr>
        <w:t xml:space="preserve">3  </w:t>
      </w:r>
      <w:r w:rsidRPr="00906BF3">
        <w:rPr>
          <w:sz w:val="22"/>
          <w:szCs w:val="22"/>
        </w:rPr>
        <w:t>,массовая концентра-ция летучих кислот( в пересчёте на у</w:t>
      </w:r>
      <w:r w:rsidRPr="00906BF3">
        <w:rPr>
          <w:sz w:val="22"/>
          <w:szCs w:val="22"/>
        </w:rPr>
        <w:t>к</w:t>
      </w:r>
      <w:r w:rsidRPr="00906BF3">
        <w:rPr>
          <w:sz w:val="22"/>
          <w:szCs w:val="22"/>
        </w:rPr>
        <w:t xml:space="preserve">сусную) не превышает норму для красных сухих вин и находится в оптимальных пределах 0,33-045 г/дм </w:t>
      </w:r>
      <w:r w:rsidRPr="00906BF3">
        <w:rPr>
          <w:sz w:val="22"/>
          <w:szCs w:val="22"/>
          <w:vertAlign w:val="superscript"/>
        </w:rPr>
        <w:t xml:space="preserve">3  </w:t>
      </w:r>
      <w:r w:rsidRPr="00906BF3">
        <w:rPr>
          <w:sz w:val="22"/>
          <w:szCs w:val="22"/>
        </w:rPr>
        <w:t>, что позволяет говорить о высоком качестве виноматериалов и их соответствии требованиям ГОСТ 32030-2013.</w:t>
      </w:r>
    </w:p>
    <w:p w:rsidR="00EC1A78" w:rsidRPr="00906BF3" w:rsidRDefault="00EC1A78" w:rsidP="00906BF3">
      <w:pPr>
        <w:ind w:firstLine="426"/>
        <w:jc w:val="both"/>
        <w:rPr>
          <w:rFonts w:eastAsia="Calibri"/>
          <w:color w:val="000000"/>
          <w:sz w:val="22"/>
          <w:szCs w:val="22"/>
          <w:lang w:eastAsia="en-US"/>
        </w:rPr>
      </w:pPr>
      <w:r w:rsidRPr="00906BF3">
        <w:rPr>
          <w:rFonts w:eastAsia="Calibri"/>
          <w:color w:val="000000"/>
          <w:sz w:val="22"/>
          <w:szCs w:val="22"/>
          <w:lang w:eastAsia="en-US"/>
        </w:rPr>
        <w:t>При проведении органолептической оценки виноматериалов из опытных сортов винограда было решено принять в качестве пр</w:t>
      </w:r>
      <w:r w:rsidRPr="00906BF3">
        <w:rPr>
          <w:rFonts w:eastAsia="Calibri"/>
          <w:color w:val="000000"/>
          <w:sz w:val="22"/>
          <w:szCs w:val="22"/>
          <w:lang w:eastAsia="en-US"/>
        </w:rPr>
        <w:t>о</w:t>
      </w:r>
      <w:r w:rsidRPr="00906BF3">
        <w:rPr>
          <w:rFonts w:eastAsia="Calibri"/>
          <w:color w:val="000000"/>
          <w:sz w:val="22"/>
          <w:szCs w:val="22"/>
          <w:lang w:eastAsia="en-US"/>
        </w:rPr>
        <w:t>ходного балла – 7,8 балла. Все образцы обладают цветом, характе</w:t>
      </w:r>
      <w:r w:rsidRPr="00906BF3">
        <w:rPr>
          <w:rFonts w:eastAsia="Calibri"/>
          <w:color w:val="000000"/>
          <w:sz w:val="22"/>
          <w:szCs w:val="22"/>
          <w:lang w:eastAsia="en-US"/>
        </w:rPr>
        <w:t>р</w:t>
      </w:r>
      <w:r w:rsidRPr="00906BF3">
        <w:rPr>
          <w:rFonts w:eastAsia="Calibri"/>
          <w:color w:val="000000"/>
          <w:sz w:val="22"/>
          <w:szCs w:val="22"/>
          <w:lang w:eastAsia="en-US"/>
        </w:rPr>
        <w:t>ным для красных вин – тёмно-рубиновый в разной интенсивности. Аромат глубокий, чистый, плодово-ягодный с сортовыми оттенк</w:t>
      </w:r>
      <w:r w:rsidRPr="00906BF3">
        <w:rPr>
          <w:rFonts w:eastAsia="Calibri"/>
          <w:color w:val="000000"/>
          <w:sz w:val="22"/>
          <w:szCs w:val="22"/>
          <w:lang w:eastAsia="en-US"/>
        </w:rPr>
        <w:t>а</w:t>
      </w:r>
      <w:r w:rsidRPr="00906BF3">
        <w:rPr>
          <w:rFonts w:eastAsia="Calibri"/>
          <w:color w:val="000000"/>
          <w:sz w:val="22"/>
          <w:szCs w:val="22"/>
          <w:lang w:eastAsia="en-US"/>
        </w:rPr>
        <w:t>ми. Вкус виноматериала, выработанного из сорта Гранатовый отл</w:t>
      </w:r>
      <w:r w:rsidRPr="00906BF3">
        <w:rPr>
          <w:rFonts w:eastAsia="Calibri"/>
          <w:color w:val="000000"/>
          <w:sz w:val="22"/>
          <w:szCs w:val="22"/>
          <w:lang w:eastAsia="en-US"/>
        </w:rPr>
        <w:t>и</w:t>
      </w:r>
      <w:r w:rsidRPr="00906BF3">
        <w:rPr>
          <w:rFonts w:eastAsia="Calibri"/>
          <w:color w:val="000000"/>
          <w:sz w:val="22"/>
          <w:szCs w:val="22"/>
          <w:lang w:eastAsia="en-US"/>
        </w:rPr>
        <w:t>чается продолжительным послевкусием, при полном и свежем вк</w:t>
      </w:r>
      <w:r w:rsidRPr="00906BF3">
        <w:rPr>
          <w:rFonts w:eastAsia="Calibri"/>
          <w:color w:val="000000"/>
          <w:sz w:val="22"/>
          <w:szCs w:val="22"/>
          <w:lang w:eastAsia="en-US"/>
        </w:rPr>
        <w:t>у</w:t>
      </w:r>
      <w:r w:rsidRPr="00906BF3">
        <w:rPr>
          <w:rFonts w:eastAsia="Calibri"/>
          <w:color w:val="000000"/>
          <w:sz w:val="22"/>
          <w:szCs w:val="22"/>
          <w:lang w:eastAsia="en-US"/>
        </w:rPr>
        <w:t>се, образцы из сортов Алькор и Антарес имеют танины во вкусе. У виноматериала из  сорта Мицар вкус свежий и полный, количество баллов при органолептической оценке равно контролю и составило 8,3 балла. Наименьший балл - 8,0 , набрал образец из сорта Тана 33, уступив остальным по ароматике и вкусовым качествам.</w:t>
      </w:r>
    </w:p>
    <w:p w:rsidR="00EC1A78" w:rsidRPr="00906BF3" w:rsidRDefault="00EC1A78" w:rsidP="00906BF3">
      <w:pPr>
        <w:jc w:val="both"/>
        <w:rPr>
          <w:rFonts w:eastAsia="Calibri"/>
          <w:color w:val="000000"/>
          <w:sz w:val="22"/>
          <w:szCs w:val="22"/>
          <w:lang w:eastAsia="en-US"/>
        </w:rPr>
      </w:pPr>
    </w:p>
    <w:p w:rsidR="00EC1A78" w:rsidRPr="00906BF3" w:rsidRDefault="00EC1A78" w:rsidP="00906BF3">
      <w:pPr>
        <w:ind w:firstLine="426"/>
        <w:contextualSpacing/>
        <w:jc w:val="center"/>
        <w:rPr>
          <w:rFonts w:eastAsia="Calibri"/>
          <w:color w:val="000000"/>
          <w:sz w:val="22"/>
          <w:szCs w:val="22"/>
        </w:rPr>
      </w:pPr>
      <w:r w:rsidRPr="00906BF3">
        <w:rPr>
          <w:rFonts w:eastAsia="Calibri"/>
          <w:color w:val="000000"/>
          <w:sz w:val="22"/>
          <w:szCs w:val="22"/>
        </w:rPr>
        <w:t xml:space="preserve">Список </w:t>
      </w:r>
      <w:r w:rsidR="00906BF3">
        <w:rPr>
          <w:rFonts w:eastAsia="Calibri"/>
          <w:color w:val="000000"/>
          <w:sz w:val="22"/>
          <w:szCs w:val="22"/>
        </w:rPr>
        <w:t>литературы</w:t>
      </w:r>
    </w:p>
    <w:p w:rsidR="00EC1A78" w:rsidRPr="00906BF3" w:rsidRDefault="00EC1A78" w:rsidP="00906BF3">
      <w:pPr>
        <w:numPr>
          <w:ilvl w:val="0"/>
          <w:numId w:val="112"/>
        </w:numPr>
        <w:shd w:val="clear" w:color="auto" w:fill="FFFFFF"/>
        <w:ind w:left="0" w:firstLine="426"/>
        <w:jc w:val="both"/>
        <w:rPr>
          <w:sz w:val="22"/>
          <w:szCs w:val="22"/>
        </w:rPr>
      </w:pPr>
      <w:r w:rsidRPr="00906BF3">
        <w:rPr>
          <w:rFonts w:eastAsia="Calibri"/>
          <w:sz w:val="22"/>
          <w:szCs w:val="22"/>
          <w:lang w:eastAsia="en-US"/>
        </w:rPr>
        <w:t>Соболев Э.М. Технология натуральных и специальных вин. –Майкоп:ГРИПП «Адыгея», 2004.- 47-68с.</w:t>
      </w:r>
    </w:p>
    <w:p w:rsidR="00EC1A78" w:rsidRPr="00906BF3" w:rsidRDefault="009D0151" w:rsidP="00906BF3">
      <w:pPr>
        <w:keepNext/>
        <w:numPr>
          <w:ilvl w:val="0"/>
          <w:numId w:val="112"/>
        </w:numPr>
        <w:shd w:val="clear" w:color="auto" w:fill="FFFFFF"/>
        <w:ind w:left="0" w:firstLine="426"/>
        <w:jc w:val="both"/>
        <w:textAlignment w:val="baseline"/>
        <w:outlineLvl w:val="0"/>
        <w:rPr>
          <w:b/>
          <w:bCs/>
          <w:kern w:val="32"/>
          <w:sz w:val="22"/>
          <w:szCs w:val="22"/>
        </w:rPr>
      </w:pPr>
      <w:hyperlink r:id="rId126" w:history="1">
        <w:r w:rsidR="00EC1A78" w:rsidRPr="00906BF3">
          <w:rPr>
            <w:bCs/>
            <w:color w:val="000000"/>
            <w:kern w:val="32"/>
            <w:sz w:val="22"/>
            <w:szCs w:val="22"/>
          </w:rPr>
          <w:t>http://gostexpert.ru/</w:t>
        </w:r>
      </w:hyperlink>
      <w:r w:rsidR="00EC1A78" w:rsidRPr="00906BF3">
        <w:rPr>
          <w:bCs/>
          <w:color w:val="000000"/>
          <w:kern w:val="32"/>
          <w:sz w:val="22"/>
          <w:szCs w:val="22"/>
        </w:rPr>
        <w:t xml:space="preserve"> </w:t>
      </w:r>
      <w:r w:rsidR="00EC1A78" w:rsidRPr="00906BF3">
        <w:rPr>
          <w:bCs/>
          <w:kern w:val="32"/>
          <w:sz w:val="22"/>
          <w:szCs w:val="22"/>
        </w:rPr>
        <w:t>«Единая база ГОСТов РФ</w:t>
      </w:r>
      <w:r w:rsidR="00EC1A78" w:rsidRPr="00906BF3">
        <w:rPr>
          <w:bCs/>
          <w:color w:val="000000"/>
          <w:kern w:val="32"/>
          <w:sz w:val="22"/>
          <w:szCs w:val="22"/>
        </w:rPr>
        <w:t xml:space="preserve">». </w:t>
      </w:r>
      <w:r w:rsidR="00EC1A78" w:rsidRPr="00906BF3">
        <w:rPr>
          <w:bCs/>
          <w:color w:val="000000"/>
          <w:spacing w:val="2"/>
          <w:kern w:val="36"/>
          <w:sz w:val="22"/>
          <w:szCs w:val="22"/>
        </w:rPr>
        <w:t>ГОСТ 32030-2013 Вина столовые и виноматериалы столовые. Общие технич</w:t>
      </w:r>
      <w:r w:rsidR="00EC1A78" w:rsidRPr="00906BF3">
        <w:rPr>
          <w:bCs/>
          <w:color w:val="000000"/>
          <w:spacing w:val="2"/>
          <w:kern w:val="36"/>
          <w:sz w:val="22"/>
          <w:szCs w:val="22"/>
        </w:rPr>
        <w:t>е</w:t>
      </w:r>
      <w:r w:rsidR="00EC1A78" w:rsidRPr="00906BF3">
        <w:rPr>
          <w:bCs/>
          <w:color w:val="000000"/>
          <w:spacing w:val="2"/>
          <w:kern w:val="36"/>
          <w:sz w:val="22"/>
          <w:szCs w:val="22"/>
        </w:rPr>
        <w:t>ские условия (с Поправками, с Изменением N 1</w:t>
      </w:r>
    </w:p>
    <w:p w:rsidR="00EC1A78" w:rsidRPr="00906BF3" w:rsidRDefault="00EC1A78" w:rsidP="00906BF3">
      <w:pPr>
        <w:numPr>
          <w:ilvl w:val="0"/>
          <w:numId w:val="112"/>
        </w:numPr>
        <w:ind w:left="0" w:firstLine="426"/>
        <w:jc w:val="both"/>
        <w:rPr>
          <w:rFonts w:eastAsia="Calibri"/>
          <w:sz w:val="22"/>
          <w:szCs w:val="22"/>
        </w:rPr>
      </w:pPr>
      <w:r w:rsidRPr="00906BF3">
        <w:rPr>
          <w:rFonts w:eastAsia="Calibri"/>
          <w:sz w:val="22"/>
          <w:szCs w:val="22"/>
        </w:rPr>
        <w:t xml:space="preserve">Трошин </w:t>
      </w:r>
      <w:r w:rsidR="00906BF3">
        <w:rPr>
          <w:rFonts w:eastAsia="Calibri"/>
          <w:sz w:val="22"/>
          <w:szCs w:val="22"/>
        </w:rPr>
        <w:t>Л.П., Радчевский П.П.</w:t>
      </w:r>
      <w:r w:rsidRPr="00906BF3">
        <w:rPr>
          <w:rFonts w:eastAsia="Calibri"/>
          <w:sz w:val="22"/>
          <w:szCs w:val="22"/>
        </w:rPr>
        <w:t xml:space="preserve"> Виноград : иллюстрирова</w:t>
      </w:r>
      <w:r w:rsidRPr="00906BF3">
        <w:rPr>
          <w:rFonts w:eastAsia="Calibri"/>
          <w:sz w:val="22"/>
          <w:szCs w:val="22"/>
        </w:rPr>
        <w:t>н</w:t>
      </w:r>
      <w:r w:rsidRPr="00906BF3">
        <w:rPr>
          <w:rFonts w:eastAsia="Calibri"/>
          <w:sz w:val="22"/>
          <w:szCs w:val="22"/>
        </w:rPr>
        <w:t>ный каталог. Районированные, перспективные, тиражные сорта /. — Ростов н/Д : Феникс, 2010. — 48, 96, 237 с. : ил. —(Мир садовода).</w:t>
      </w:r>
    </w:p>
    <w:p w:rsidR="00EC1A78" w:rsidRPr="00906BF3" w:rsidRDefault="00EC1A78" w:rsidP="00906BF3">
      <w:pPr>
        <w:numPr>
          <w:ilvl w:val="0"/>
          <w:numId w:val="112"/>
        </w:numPr>
        <w:ind w:left="0" w:firstLine="426"/>
        <w:jc w:val="both"/>
        <w:rPr>
          <w:rFonts w:eastAsia="Calibri"/>
          <w:sz w:val="22"/>
          <w:szCs w:val="22"/>
        </w:rPr>
      </w:pPr>
      <w:r w:rsidRPr="00906BF3">
        <w:rPr>
          <w:rFonts w:eastAsia="Calibri"/>
          <w:sz w:val="22"/>
          <w:szCs w:val="22"/>
        </w:rPr>
        <w:t>Трошин Л.П. Ампелография с основами селекции виногр</w:t>
      </w:r>
      <w:r w:rsidRPr="00906BF3">
        <w:rPr>
          <w:rFonts w:eastAsia="Calibri"/>
          <w:sz w:val="22"/>
          <w:szCs w:val="22"/>
        </w:rPr>
        <w:t>а</w:t>
      </w:r>
      <w:r w:rsidRPr="00906BF3">
        <w:rPr>
          <w:rFonts w:eastAsia="Calibri"/>
          <w:sz w:val="22"/>
          <w:szCs w:val="22"/>
        </w:rPr>
        <w:t xml:space="preserve">да: учеб. пособие/. – Краснодар: КубГАУ, 2016. -18-30 с. </w:t>
      </w:r>
    </w:p>
    <w:p w:rsidR="00EC1A78" w:rsidRDefault="00EC1A78" w:rsidP="00906BF3">
      <w:pPr>
        <w:ind w:firstLine="426"/>
        <w:jc w:val="center"/>
        <w:rPr>
          <w:sz w:val="22"/>
          <w:szCs w:val="22"/>
        </w:rPr>
      </w:pPr>
    </w:p>
    <w:p w:rsidR="00906BF3" w:rsidRDefault="00906BF3" w:rsidP="00906BF3">
      <w:pPr>
        <w:ind w:firstLine="426"/>
        <w:jc w:val="center"/>
        <w:rPr>
          <w:sz w:val="22"/>
          <w:szCs w:val="22"/>
        </w:rPr>
      </w:pPr>
    </w:p>
    <w:p w:rsidR="00906BF3" w:rsidRPr="00906BF3" w:rsidRDefault="00906BF3" w:rsidP="00906BF3">
      <w:pPr>
        <w:ind w:firstLine="426"/>
        <w:jc w:val="center"/>
        <w:rPr>
          <w:sz w:val="22"/>
          <w:szCs w:val="22"/>
        </w:rPr>
      </w:pPr>
    </w:p>
    <w:p w:rsidR="00EC1A78" w:rsidRPr="00906BF3" w:rsidRDefault="00EC1A78" w:rsidP="00EC1A78">
      <w:pPr>
        <w:tabs>
          <w:tab w:val="left" w:pos="284"/>
        </w:tabs>
        <w:rPr>
          <w:sz w:val="22"/>
          <w:szCs w:val="22"/>
        </w:rPr>
      </w:pPr>
      <w:r w:rsidRPr="00906BF3">
        <w:rPr>
          <w:sz w:val="22"/>
          <w:szCs w:val="22"/>
        </w:rPr>
        <w:t>УДК 635.25.«324»:631.526.325</w:t>
      </w:r>
    </w:p>
    <w:p w:rsidR="00EC1A78" w:rsidRPr="00906BF3" w:rsidRDefault="00EC1A78" w:rsidP="00EC1A78">
      <w:pPr>
        <w:tabs>
          <w:tab w:val="left" w:pos="426"/>
        </w:tabs>
        <w:ind w:firstLine="425"/>
        <w:rPr>
          <w:sz w:val="22"/>
          <w:szCs w:val="22"/>
        </w:rPr>
      </w:pPr>
    </w:p>
    <w:p w:rsidR="00EC1A78" w:rsidRPr="00EC1A78" w:rsidRDefault="00EC1A78" w:rsidP="00EC1A78">
      <w:pPr>
        <w:jc w:val="center"/>
        <w:rPr>
          <w:rFonts w:eastAsia="Calibri"/>
          <w:b/>
          <w:bCs/>
          <w:color w:val="0D0D0D"/>
          <w:sz w:val="24"/>
          <w:szCs w:val="24"/>
          <w:shd w:val="clear" w:color="auto" w:fill="FFFFFF"/>
          <w:lang w:eastAsia="en-US"/>
        </w:rPr>
      </w:pPr>
      <w:r w:rsidRPr="00EC1A78">
        <w:rPr>
          <w:rFonts w:eastAsia="Calibri"/>
          <w:b/>
          <w:bCs/>
          <w:color w:val="0D0D0D"/>
          <w:sz w:val="24"/>
          <w:szCs w:val="24"/>
          <w:shd w:val="clear" w:color="auto" w:fill="FFFFFF"/>
          <w:lang w:eastAsia="en-US"/>
        </w:rPr>
        <w:t xml:space="preserve">Сравнительная оценка озимых гибридов лука репчатого </w:t>
      </w:r>
    </w:p>
    <w:p w:rsidR="00EC1A78" w:rsidRPr="00EC1A7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eastAsia="en-US"/>
        </w:rPr>
        <w:t>в</w:t>
      </w:r>
      <w:r w:rsidRPr="00EC1A7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eastAsia="en-US"/>
        </w:rPr>
        <w:t>посевной</w:t>
      </w:r>
      <w:r w:rsidRPr="00EC1A7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eastAsia="en-US"/>
        </w:rPr>
        <w:t>культуре</w:t>
      </w:r>
    </w:p>
    <w:p w:rsidR="00EC1A78" w:rsidRPr="00EC1A7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val="en-US" w:eastAsia="en-US"/>
        </w:rPr>
        <w:t>Comparative assessment of winter crops of hybrids of onion</w:t>
      </w:r>
    </w:p>
    <w:p w:rsidR="00EC1A78" w:rsidRPr="00EC1A7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val="en-US" w:eastAsia="en-US"/>
        </w:rPr>
        <w:t xml:space="preserve"> in seed culture</w:t>
      </w:r>
    </w:p>
    <w:p w:rsidR="00EC1A78" w:rsidRPr="00EC1A78" w:rsidRDefault="00EC1A78" w:rsidP="00EC1A78">
      <w:pPr>
        <w:jc w:val="center"/>
        <w:rPr>
          <w:rFonts w:eastAsia="Calibri"/>
          <w:b/>
          <w:bCs/>
          <w:color w:val="0D0D0D"/>
          <w:sz w:val="24"/>
          <w:szCs w:val="24"/>
          <w:shd w:val="clear" w:color="auto" w:fill="FFFFFF"/>
          <w:lang w:val="en-US" w:eastAsia="en-US"/>
        </w:rPr>
      </w:pPr>
    </w:p>
    <w:p w:rsidR="00EC1A78" w:rsidRPr="00EC1A78" w:rsidRDefault="00EC1A78" w:rsidP="00EC1A78">
      <w:pPr>
        <w:jc w:val="right"/>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eastAsia="en-US"/>
        </w:rPr>
        <w:t>Барвинов</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А</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В</w:t>
      </w:r>
      <w:r w:rsidRPr="00EC1A78">
        <w:rPr>
          <w:rFonts w:eastAsia="Calibri"/>
          <w:bCs/>
          <w:color w:val="0D0D0D"/>
          <w:sz w:val="22"/>
          <w:szCs w:val="22"/>
          <w:shd w:val="clear" w:color="auto" w:fill="FFFFFF"/>
          <w:lang w:val="en-US" w:eastAsia="en-US"/>
        </w:rPr>
        <w:t>.,</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студент 4-го курса факульт</w:t>
      </w:r>
      <w:r w:rsidR="00906BF3">
        <w:rPr>
          <w:rFonts w:eastAsia="Calibri"/>
          <w:bCs/>
          <w:color w:val="0D0D0D"/>
          <w:sz w:val="22"/>
          <w:szCs w:val="22"/>
          <w:shd w:val="clear" w:color="auto" w:fill="FFFFFF"/>
          <w:lang w:eastAsia="en-US"/>
        </w:rPr>
        <w:t>ета плодоовощеводства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и виноградарства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Благородова Е. Н.,</w:t>
      </w:r>
    </w:p>
    <w:p w:rsidR="00EC1A78" w:rsidRPr="00EC1A78" w:rsidRDefault="00906BF3" w:rsidP="00EC1A78">
      <w:pPr>
        <w:jc w:val="right"/>
        <w:rPr>
          <w:rFonts w:eastAsia="Calibri"/>
          <w:bCs/>
          <w:color w:val="0D0D0D"/>
          <w:sz w:val="22"/>
          <w:szCs w:val="22"/>
          <w:shd w:val="clear" w:color="auto" w:fill="FFFFFF"/>
          <w:lang w:eastAsia="en-US"/>
        </w:rPr>
      </w:pPr>
      <w:r>
        <w:rPr>
          <w:rFonts w:eastAsia="Calibri"/>
          <w:bCs/>
          <w:color w:val="0D0D0D"/>
          <w:sz w:val="22"/>
          <w:szCs w:val="22"/>
          <w:shd w:val="clear" w:color="auto" w:fill="FFFFFF"/>
          <w:lang w:eastAsia="en-US"/>
        </w:rPr>
        <w:t>доцент кафедры 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Куб</w:t>
      </w:r>
      <w:r w:rsidR="00906BF3">
        <w:rPr>
          <w:rFonts w:eastAsia="Calibri"/>
          <w:bCs/>
          <w:color w:val="0D0D0D"/>
          <w:sz w:val="22"/>
          <w:szCs w:val="22"/>
          <w:shd w:val="clear" w:color="auto" w:fill="FFFFFF"/>
          <w:lang w:eastAsia="en-US"/>
        </w:rPr>
        <w:t>анский государственный аграрный</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университет имени И. Т. Трубилина</w:t>
      </w:r>
    </w:p>
    <w:p w:rsidR="00EC1A78" w:rsidRPr="00EC1A78" w:rsidRDefault="00EC1A78" w:rsidP="00EC1A78">
      <w:pPr>
        <w:jc w:val="right"/>
        <w:rPr>
          <w:rFonts w:eastAsia="Calibri"/>
          <w:bCs/>
          <w:color w:val="0D0D0D"/>
          <w:sz w:val="22"/>
          <w:szCs w:val="22"/>
          <w:shd w:val="clear" w:color="auto" w:fill="FFFFFF"/>
          <w:lang w:eastAsia="en-US"/>
        </w:rPr>
      </w:pPr>
    </w:p>
    <w:p w:rsidR="00EC1A78" w:rsidRPr="00EC1A78" w:rsidRDefault="00EC1A78" w:rsidP="00EC1A78">
      <w:pPr>
        <w:ind w:firstLine="425"/>
        <w:jc w:val="both"/>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АННОТАЦИЯ: проведена сравнительная оценка выращивания 4-х гибридов озимого лука в посевной культуре. Возделываемые гибриды позволяют получить продукцию лука-репки с конца мая до середины июня. Гибрид Супернова выделился ранними сроками уборки и высокой урожайностью.</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t>ABSTRACT:</w:t>
      </w:r>
      <w:r w:rsidRPr="00EC1A78">
        <w:rPr>
          <w:color w:val="000000"/>
          <w:sz w:val="27"/>
          <w:szCs w:val="27"/>
          <w:lang w:val="en-US"/>
        </w:rPr>
        <w:t xml:space="preserve"> </w:t>
      </w:r>
      <w:r w:rsidRPr="00EC1A78">
        <w:rPr>
          <w:rFonts w:eastAsia="Calibri"/>
          <w:bCs/>
          <w:color w:val="0D0D0D"/>
          <w:sz w:val="22"/>
          <w:szCs w:val="22"/>
          <w:shd w:val="clear" w:color="auto" w:fill="FFFFFF"/>
          <w:lang w:val="en-US" w:eastAsia="en-US"/>
        </w:rPr>
        <w:t>comparative evaluation of growing of 4 hybrids of winter onion seed culture. Cultivated hybrids allow to obtain products of onion-turnip from late may to mid-June. Supernova hybrid stood out ea</w:t>
      </w:r>
      <w:r w:rsidRPr="00EC1A78">
        <w:rPr>
          <w:rFonts w:eastAsia="Calibri"/>
          <w:bCs/>
          <w:color w:val="0D0D0D"/>
          <w:sz w:val="22"/>
          <w:szCs w:val="22"/>
          <w:shd w:val="clear" w:color="auto" w:fill="FFFFFF"/>
          <w:lang w:val="en-US" w:eastAsia="en-US"/>
        </w:rPr>
        <w:t>r</w:t>
      </w:r>
      <w:r w:rsidRPr="00EC1A78">
        <w:rPr>
          <w:rFonts w:eastAsia="Calibri"/>
          <w:bCs/>
          <w:color w:val="0D0D0D"/>
          <w:sz w:val="22"/>
          <w:szCs w:val="22"/>
          <w:shd w:val="clear" w:color="auto" w:fill="FFFFFF"/>
          <w:lang w:val="en-US" w:eastAsia="en-US"/>
        </w:rPr>
        <w:t>ly harvesting time and high yield.</w:t>
      </w:r>
    </w:p>
    <w:p w:rsidR="00EC1A78" w:rsidRPr="00EC1A78" w:rsidRDefault="00EC1A78" w:rsidP="00EC1A78">
      <w:pPr>
        <w:ind w:firstLine="425"/>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КЛЮЧЕВЫЕ СЛОВА: лук репчатый, озимая культура, лист</w:t>
      </w:r>
      <w:r w:rsidRPr="00EC1A78">
        <w:rPr>
          <w:rFonts w:eastAsia="Calibri"/>
          <w:bCs/>
          <w:color w:val="0D0D0D"/>
          <w:sz w:val="22"/>
          <w:szCs w:val="22"/>
          <w:shd w:val="clear" w:color="auto" w:fill="FFFFFF"/>
          <w:lang w:eastAsia="en-US"/>
        </w:rPr>
        <w:t>о</w:t>
      </w:r>
      <w:r w:rsidRPr="00EC1A78">
        <w:rPr>
          <w:rFonts w:eastAsia="Calibri"/>
          <w:bCs/>
          <w:color w:val="0D0D0D"/>
          <w:sz w:val="22"/>
          <w:szCs w:val="22"/>
          <w:shd w:val="clear" w:color="auto" w:fill="FFFFFF"/>
          <w:lang w:eastAsia="en-US"/>
        </w:rPr>
        <w:t>вой аппарат, срок уборки, урожайность.</w:t>
      </w:r>
    </w:p>
    <w:p w:rsidR="00EC1A78" w:rsidRPr="008D33CB" w:rsidRDefault="00EC1A78" w:rsidP="000E3E48">
      <w:pPr>
        <w:ind w:firstLine="425"/>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lastRenderedPageBreak/>
        <w:t>KEYWORDS:</w:t>
      </w:r>
      <w:r w:rsidRPr="00EC1A78">
        <w:rPr>
          <w:rFonts w:ascii="Calibri" w:eastAsia="Calibri" w:hAnsi="Calibri"/>
          <w:color w:val="000000"/>
          <w:sz w:val="27"/>
          <w:szCs w:val="27"/>
          <w:lang w:val="en-US" w:eastAsia="en-US"/>
        </w:rPr>
        <w:t xml:space="preserve"> </w:t>
      </w:r>
      <w:r w:rsidRPr="00EC1A78">
        <w:rPr>
          <w:rFonts w:eastAsia="Calibri"/>
          <w:bCs/>
          <w:color w:val="0D0D0D"/>
          <w:sz w:val="22"/>
          <w:szCs w:val="22"/>
          <w:shd w:val="clear" w:color="auto" w:fill="FFFFFF"/>
          <w:lang w:val="en-US" w:eastAsia="en-US"/>
        </w:rPr>
        <w:t>onion, winter crop, foliage, harvesting time, yield.</w:t>
      </w:r>
    </w:p>
    <w:p w:rsidR="00E90444" w:rsidRPr="008D33CB" w:rsidRDefault="00E90444" w:rsidP="000E3E48">
      <w:pPr>
        <w:ind w:firstLine="425"/>
        <w:rPr>
          <w:rFonts w:eastAsia="Calibri"/>
          <w:bCs/>
          <w:color w:val="0D0D0D"/>
          <w:sz w:val="22"/>
          <w:szCs w:val="22"/>
          <w:shd w:val="clear" w:color="auto" w:fill="FFFFFF"/>
          <w:lang w:val="en-US" w:eastAsia="en-US"/>
        </w:rPr>
      </w:pPr>
    </w:p>
    <w:p w:rsidR="00EC1A78" w:rsidRPr="00EC1A78" w:rsidRDefault="00EC1A78" w:rsidP="00EC1A78">
      <w:pPr>
        <w:ind w:firstLine="425"/>
        <w:jc w:val="both"/>
        <w:rPr>
          <w:sz w:val="22"/>
          <w:szCs w:val="22"/>
        </w:rPr>
      </w:pPr>
      <w:r w:rsidRPr="00EC1A78">
        <w:rPr>
          <w:sz w:val="22"/>
          <w:szCs w:val="22"/>
        </w:rPr>
        <w:t>Озимая культура лука репчатого широко распространена на юге России. Погодно-климатические условия этого региона, в ц</w:t>
      </w:r>
      <w:r w:rsidRPr="00EC1A78">
        <w:rPr>
          <w:sz w:val="22"/>
          <w:szCs w:val="22"/>
        </w:rPr>
        <w:t>е</w:t>
      </w:r>
      <w:r w:rsidRPr="00EC1A78">
        <w:rPr>
          <w:sz w:val="22"/>
          <w:szCs w:val="22"/>
        </w:rPr>
        <w:t>лом, позволяют получать высокие урожаи лука-репки как при яр</w:t>
      </w:r>
      <w:r w:rsidRPr="00EC1A78">
        <w:rPr>
          <w:sz w:val="22"/>
          <w:szCs w:val="22"/>
        </w:rPr>
        <w:t>о</w:t>
      </w:r>
      <w:r w:rsidRPr="00EC1A78">
        <w:rPr>
          <w:sz w:val="22"/>
          <w:szCs w:val="22"/>
        </w:rPr>
        <w:t>вом, так и при озимом способе выращивания. Озимая культура сп</w:t>
      </w:r>
      <w:r w:rsidRPr="00EC1A78">
        <w:rPr>
          <w:sz w:val="22"/>
          <w:szCs w:val="22"/>
        </w:rPr>
        <w:t>о</w:t>
      </w:r>
      <w:r w:rsidRPr="00EC1A78">
        <w:rPr>
          <w:sz w:val="22"/>
          <w:szCs w:val="22"/>
        </w:rPr>
        <w:t>собствует получению ранней продукции, в чем и является ее осно</w:t>
      </w:r>
      <w:r w:rsidRPr="00EC1A78">
        <w:rPr>
          <w:sz w:val="22"/>
          <w:szCs w:val="22"/>
        </w:rPr>
        <w:t>в</w:t>
      </w:r>
      <w:r w:rsidRPr="00EC1A78">
        <w:rPr>
          <w:sz w:val="22"/>
          <w:szCs w:val="22"/>
        </w:rPr>
        <w:t>ное, но не единственное преимущество [2, 3].</w:t>
      </w:r>
    </w:p>
    <w:p w:rsidR="00EC1A78" w:rsidRPr="00EC1A78" w:rsidRDefault="00EC1A78" w:rsidP="00EC1A78">
      <w:pPr>
        <w:ind w:firstLine="425"/>
        <w:jc w:val="both"/>
        <w:rPr>
          <w:sz w:val="22"/>
          <w:szCs w:val="22"/>
        </w:rPr>
      </w:pPr>
      <w:r w:rsidRPr="00EC1A78">
        <w:rPr>
          <w:sz w:val="22"/>
          <w:szCs w:val="22"/>
        </w:rPr>
        <w:t>Получение высокого урожая лука-репки во многом определяе</w:t>
      </w:r>
      <w:r w:rsidRPr="00EC1A78">
        <w:rPr>
          <w:sz w:val="22"/>
          <w:szCs w:val="22"/>
        </w:rPr>
        <w:t>т</w:t>
      </w:r>
      <w:r w:rsidRPr="00EC1A78">
        <w:rPr>
          <w:sz w:val="22"/>
          <w:szCs w:val="22"/>
        </w:rPr>
        <w:t>ся подбором сортимента. Помимо отечественных сортов (Эллан, Зимовей) широко выращиваются сорта и гибриды зарубежной с</w:t>
      </w:r>
      <w:r w:rsidRPr="00EC1A78">
        <w:rPr>
          <w:sz w:val="22"/>
          <w:szCs w:val="22"/>
        </w:rPr>
        <w:t>е</w:t>
      </w:r>
      <w:r w:rsidRPr="00EC1A78">
        <w:rPr>
          <w:sz w:val="22"/>
          <w:szCs w:val="22"/>
        </w:rPr>
        <w:t>лекции, которые имеют определенные достоинства и недостатки в сравнении с отечественными сортами [1].</w:t>
      </w:r>
    </w:p>
    <w:p w:rsidR="00EC1A78" w:rsidRPr="00EC1A78" w:rsidRDefault="00EC1A78" w:rsidP="00EC1A78">
      <w:pPr>
        <w:ind w:firstLine="425"/>
        <w:jc w:val="both"/>
        <w:rPr>
          <w:sz w:val="22"/>
          <w:szCs w:val="22"/>
        </w:rPr>
      </w:pPr>
      <w:r w:rsidRPr="00EC1A78">
        <w:rPr>
          <w:sz w:val="22"/>
          <w:szCs w:val="22"/>
        </w:rPr>
        <w:t>С появлением на рынке семян новых гибридов озимого лука возникает необходимость в проведении  их сравнительной оценки  по ряду хозяйственно-ценных признаков при выращивании в ко</w:t>
      </w:r>
      <w:r w:rsidRPr="00EC1A78">
        <w:rPr>
          <w:sz w:val="22"/>
          <w:szCs w:val="22"/>
        </w:rPr>
        <w:t>н</w:t>
      </w:r>
      <w:r w:rsidRPr="00EC1A78">
        <w:rPr>
          <w:sz w:val="22"/>
          <w:szCs w:val="22"/>
        </w:rPr>
        <w:t>кретных почвенно-климатических условиях. В связи с этим целью нашей научно-исследовательской работы явилось установление г</w:t>
      </w:r>
      <w:r w:rsidRPr="00EC1A78">
        <w:rPr>
          <w:sz w:val="22"/>
          <w:szCs w:val="22"/>
        </w:rPr>
        <w:t>и</w:t>
      </w:r>
      <w:r w:rsidRPr="00EC1A78">
        <w:rPr>
          <w:sz w:val="22"/>
          <w:szCs w:val="22"/>
        </w:rPr>
        <w:t xml:space="preserve">брида озимого лука, характеризующегося высокой и стабильной урожайностью в условиях Кавказского района. </w:t>
      </w:r>
    </w:p>
    <w:p w:rsidR="00EC1A78" w:rsidRPr="00EC1A78" w:rsidRDefault="00EC1A78" w:rsidP="00EC1A78">
      <w:pPr>
        <w:ind w:firstLine="425"/>
        <w:jc w:val="both"/>
        <w:rPr>
          <w:sz w:val="22"/>
          <w:szCs w:val="22"/>
        </w:rPr>
      </w:pPr>
      <w:r w:rsidRPr="00EC1A78">
        <w:rPr>
          <w:sz w:val="22"/>
          <w:szCs w:val="22"/>
        </w:rPr>
        <w:t>Закладку полевого опыта проводили в производственных пос</w:t>
      </w:r>
      <w:r w:rsidRPr="00EC1A78">
        <w:rPr>
          <w:sz w:val="22"/>
          <w:szCs w:val="22"/>
        </w:rPr>
        <w:t>е</w:t>
      </w:r>
      <w:r w:rsidRPr="00EC1A78">
        <w:rPr>
          <w:sz w:val="22"/>
          <w:szCs w:val="22"/>
        </w:rPr>
        <w:t>вах сельскохозяйственного предприятия по общепринятым метод</w:t>
      </w:r>
      <w:r w:rsidRPr="00EC1A78">
        <w:rPr>
          <w:sz w:val="22"/>
          <w:szCs w:val="22"/>
        </w:rPr>
        <w:t>и</w:t>
      </w:r>
      <w:r w:rsidRPr="00EC1A78">
        <w:rPr>
          <w:sz w:val="22"/>
          <w:szCs w:val="22"/>
        </w:rPr>
        <w:t xml:space="preserve">кам. Объекты исследований – 4 озимых гибрида лука репчатого голландской и японской селекции:  </w:t>
      </w:r>
      <w:r w:rsidRPr="00EC1A78">
        <w:rPr>
          <w:sz w:val="22"/>
          <w:szCs w:val="22"/>
          <w:lang w:val="en-US"/>
        </w:rPr>
        <w:t>F</w:t>
      </w:r>
      <w:r w:rsidRPr="00EC1A78">
        <w:rPr>
          <w:sz w:val="22"/>
          <w:szCs w:val="22"/>
          <w:vertAlign w:val="subscript"/>
        </w:rPr>
        <w:t>1</w:t>
      </w:r>
      <w:r w:rsidRPr="00EC1A78">
        <w:rPr>
          <w:sz w:val="22"/>
          <w:szCs w:val="22"/>
        </w:rPr>
        <w:t xml:space="preserve"> Сеншуй, </w:t>
      </w:r>
      <w:r w:rsidRPr="00EC1A78">
        <w:rPr>
          <w:sz w:val="22"/>
          <w:szCs w:val="22"/>
          <w:lang w:val="en-US"/>
        </w:rPr>
        <w:t>F</w:t>
      </w:r>
      <w:r w:rsidRPr="00EC1A78">
        <w:rPr>
          <w:sz w:val="22"/>
          <w:szCs w:val="22"/>
          <w:vertAlign w:val="subscript"/>
        </w:rPr>
        <w:t xml:space="preserve">1 </w:t>
      </w:r>
      <w:r w:rsidRPr="00EC1A78">
        <w:rPr>
          <w:sz w:val="22"/>
          <w:szCs w:val="22"/>
        </w:rPr>
        <w:t xml:space="preserve">Саратога, </w:t>
      </w:r>
      <w:r w:rsidRPr="00EC1A78">
        <w:rPr>
          <w:sz w:val="22"/>
          <w:szCs w:val="22"/>
          <w:lang w:val="en-US"/>
        </w:rPr>
        <w:t>F</w:t>
      </w:r>
      <w:r w:rsidRPr="00EC1A78">
        <w:rPr>
          <w:sz w:val="22"/>
          <w:szCs w:val="22"/>
          <w:vertAlign w:val="subscript"/>
        </w:rPr>
        <w:t xml:space="preserve">1 </w:t>
      </w:r>
      <w:r w:rsidRPr="00EC1A78">
        <w:rPr>
          <w:sz w:val="22"/>
          <w:szCs w:val="22"/>
        </w:rPr>
        <w:t>Ам</w:t>
      </w:r>
      <w:r w:rsidRPr="00EC1A78">
        <w:rPr>
          <w:sz w:val="22"/>
          <w:szCs w:val="22"/>
        </w:rPr>
        <w:t>а</w:t>
      </w:r>
      <w:r w:rsidRPr="00EC1A78">
        <w:rPr>
          <w:sz w:val="22"/>
          <w:szCs w:val="22"/>
        </w:rPr>
        <w:t xml:space="preserve">рок, </w:t>
      </w:r>
      <w:r w:rsidRPr="00EC1A78">
        <w:rPr>
          <w:sz w:val="22"/>
          <w:szCs w:val="22"/>
          <w:lang w:val="en-US"/>
        </w:rPr>
        <w:t>F</w:t>
      </w:r>
      <w:r w:rsidRPr="00EC1A78">
        <w:rPr>
          <w:sz w:val="22"/>
          <w:szCs w:val="22"/>
          <w:vertAlign w:val="subscript"/>
        </w:rPr>
        <w:t xml:space="preserve">1 </w:t>
      </w:r>
      <w:r w:rsidRPr="00EC1A78">
        <w:rPr>
          <w:sz w:val="22"/>
          <w:szCs w:val="22"/>
        </w:rPr>
        <w:t>Супернова. Площадь учетной делянки 5 м</w:t>
      </w:r>
      <w:r w:rsidRPr="00EC1A78">
        <w:rPr>
          <w:sz w:val="22"/>
          <w:szCs w:val="22"/>
          <w:vertAlign w:val="superscript"/>
        </w:rPr>
        <w:t>2</w:t>
      </w:r>
      <w:r w:rsidRPr="00EC1A78">
        <w:rPr>
          <w:sz w:val="22"/>
          <w:szCs w:val="22"/>
        </w:rPr>
        <w:t>, повторность 5-и кратная, расположение делянок ярусное [4].</w:t>
      </w:r>
    </w:p>
    <w:p w:rsidR="00EC1A78" w:rsidRPr="00EC1A78" w:rsidRDefault="00EC1A78" w:rsidP="00EC1A78">
      <w:pPr>
        <w:ind w:firstLine="425"/>
        <w:jc w:val="both"/>
        <w:rPr>
          <w:sz w:val="22"/>
          <w:szCs w:val="22"/>
        </w:rPr>
      </w:pPr>
      <w:r w:rsidRPr="00EC1A78">
        <w:rPr>
          <w:sz w:val="22"/>
          <w:szCs w:val="22"/>
        </w:rPr>
        <w:t>Семена лука высевали в сентябре 2016 г. по многострочной схеме с густотой 1,4 млн растений на 1 га. Уходные работы  на поле проводили в соответствии с существующими рекомендациями [3].</w:t>
      </w:r>
    </w:p>
    <w:p w:rsidR="00EC1A78" w:rsidRPr="00EC1A78" w:rsidRDefault="00EC1A78" w:rsidP="00EC1A78">
      <w:pPr>
        <w:ind w:firstLine="425"/>
        <w:jc w:val="both"/>
        <w:rPr>
          <w:sz w:val="22"/>
          <w:szCs w:val="22"/>
        </w:rPr>
      </w:pPr>
      <w:r w:rsidRPr="00EC1A78">
        <w:rPr>
          <w:sz w:val="22"/>
          <w:szCs w:val="22"/>
        </w:rPr>
        <w:t>Сохранение густоты посевов в течение перезимовки является одним из решающих факторов получения высокого урожая лука-репки. Поскольку погодные условия зимнего периода 2016/2017 г. не были экстремальными для культуры лука, перезимовало  от 85 до 94 % растений. Существенных различий в разрезе гибридов по этому показателю не было.</w:t>
      </w:r>
    </w:p>
    <w:p w:rsidR="00EC1A78" w:rsidRPr="00EC1A78" w:rsidRDefault="00EC1A78" w:rsidP="00EC1A78">
      <w:pPr>
        <w:ind w:firstLine="425"/>
        <w:jc w:val="both"/>
        <w:rPr>
          <w:sz w:val="22"/>
          <w:szCs w:val="22"/>
        </w:rPr>
      </w:pPr>
      <w:r w:rsidRPr="00EC1A78">
        <w:rPr>
          <w:sz w:val="22"/>
          <w:szCs w:val="22"/>
        </w:rPr>
        <w:t>Получение раннего урожая характеризует скороспелость г</w:t>
      </w:r>
      <w:r w:rsidRPr="00EC1A78">
        <w:rPr>
          <w:sz w:val="22"/>
          <w:szCs w:val="22"/>
        </w:rPr>
        <w:t>и</w:t>
      </w:r>
      <w:r w:rsidRPr="00EC1A78">
        <w:rPr>
          <w:sz w:val="22"/>
          <w:szCs w:val="22"/>
        </w:rPr>
        <w:t xml:space="preserve">брида. В нашем опыте гибрид </w:t>
      </w:r>
      <w:r w:rsidRPr="00EC1A78">
        <w:rPr>
          <w:sz w:val="22"/>
          <w:szCs w:val="22"/>
          <w:lang w:val="en-US"/>
        </w:rPr>
        <w:t>F</w:t>
      </w:r>
      <w:r w:rsidRPr="00EC1A78">
        <w:rPr>
          <w:sz w:val="22"/>
          <w:szCs w:val="22"/>
          <w:vertAlign w:val="subscript"/>
        </w:rPr>
        <w:t xml:space="preserve">1 </w:t>
      </w:r>
      <w:r w:rsidRPr="00EC1A78">
        <w:rPr>
          <w:sz w:val="22"/>
          <w:szCs w:val="22"/>
        </w:rPr>
        <w:t>Супернова оказался самым скор</w:t>
      </w:r>
      <w:r w:rsidRPr="00EC1A78">
        <w:rPr>
          <w:sz w:val="22"/>
          <w:szCs w:val="22"/>
        </w:rPr>
        <w:t>о</w:t>
      </w:r>
      <w:r w:rsidRPr="00EC1A78">
        <w:rPr>
          <w:sz w:val="22"/>
          <w:szCs w:val="22"/>
        </w:rPr>
        <w:t>спелым, его продукция была готова к уборке уже в конце мая-</w:t>
      </w:r>
      <w:r w:rsidRPr="00EC1A78">
        <w:rPr>
          <w:sz w:val="22"/>
          <w:szCs w:val="22"/>
        </w:rPr>
        <w:lastRenderedPageBreak/>
        <w:t>начале июня, урожай других гибридов был убран через 2–3 недели. Но и эти сроки уборки показывают преимущества озимой культуры лука, поскольку яровой лук убирается только в августе.</w:t>
      </w:r>
    </w:p>
    <w:p w:rsidR="00EC1A78" w:rsidRPr="00EC1A78" w:rsidRDefault="00EC1A78" w:rsidP="00EC1A78">
      <w:pPr>
        <w:ind w:firstLine="425"/>
        <w:jc w:val="both"/>
        <w:rPr>
          <w:sz w:val="22"/>
          <w:szCs w:val="22"/>
        </w:rPr>
      </w:pPr>
      <w:r w:rsidRPr="00EC1A78">
        <w:rPr>
          <w:sz w:val="22"/>
          <w:szCs w:val="22"/>
        </w:rPr>
        <w:t xml:space="preserve">Процент застрелковавших растений находился в пределах 8–15, наименее склонными к стрелкованию оказались растения гибрида </w:t>
      </w:r>
      <w:r w:rsidRPr="00EC1A78">
        <w:rPr>
          <w:sz w:val="22"/>
          <w:szCs w:val="22"/>
          <w:lang w:val="en-US"/>
        </w:rPr>
        <w:t>F</w:t>
      </w:r>
      <w:r w:rsidRPr="00EC1A78">
        <w:rPr>
          <w:sz w:val="22"/>
          <w:szCs w:val="22"/>
          <w:vertAlign w:val="subscript"/>
        </w:rPr>
        <w:t xml:space="preserve">1 </w:t>
      </w:r>
      <w:r w:rsidRPr="00EC1A78">
        <w:rPr>
          <w:sz w:val="22"/>
          <w:szCs w:val="22"/>
        </w:rPr>
        <w:t xml:space="preserve">Сеншуй. Стрелкующиеся растения формировали нестандартную луковицу, она медленнее созревала. </w:t>
      </w:r>
    </w:p>
    <w:p w:rsidR="00EC1A78" w:rsidRPr="00EC1A78" w:rsidRDefault="00EC1A78" w:rsidP="00EC1A78">
      <w:pPr>
        <w:ind w:firstLine="425"/>
        <w:jc w:val="both"/>
        <w:rPr>
          <w:sz w:val="22"/>
          <w:szCs w:val="22"/>
        </w:rPr>
      </w:pPr>
      <w:r w:rsidRPr="00EC1A78">
        <w:rPr>
          <w:sz w:val="22"/>
          <w:szCs w:val="22"/>
        </w:rPr>
        <w:t>Урожайность и товарность лука-репки обуславливалась ос</w:t>
      </w:r>
      <w:r w:rsidRPr="00EC1A78">
        <w:rPr>
          <w:sz w:val="22"/>
          <w:szCs w:val="22"/>
        </w:rPr>
        <w:t>о</w:t>
      </w:r>
      <w:r w:rsidRPr="00EC1A78">
        <w:rPr>
          <w:sz w:val="22"/>
          <w:szCs w:val="22"/>
        </w:rPr>
        <w:t>бенностями выращиваемых гибридов. В целом, урожайность была высокой 60–65 т/га. Наибольшую в опыте урожайность показал г</w:t>
      </w:r>
      <w:r w:rsidRPr="00EC1A78">
        <w:rPr>
          <w:sz w:val="22"/>
          <w:szCs w:val="22"/>
        </w:rPr>
        <w:t>и</w:t>
      </w:r>
      <w:r w:rsidRPr="00EC1A78">
        <w:rPr>
          <w:sz w:val="22"/>
          <w:szCs w:val="22"/>
        </w:rPr>
        <w:t xml:space="preserve">брид </w:t>
      </w:r>
      <w:r w:rsidRPr="00EC1A78">
        <w:rPr>
          <w:sz w:val="22"/>
          <w:szCs w:val="22"/>
          <w:lang w:val="en-US"/>
        </w:rPr>
        <w:t>F</w:t>
      </w:r>
      <w:r w:rsidRPr="00EC1A78">
        <w:rPr>
          <w:sz w:val="22"/>
          <w:szCs w:val="22"/>
          <w:vertAlign w:val="subscript"/>
        </w:rPr>
        <w:t xml:space="preserve">1 </w:t>
      </w:r>
      <w:r w:rsidRPr="00EC1A78">
        <w:rPr>
          <w:sz w:val="22"/>
          <w:szCs w:val="22"/>
        </w:rPr>
        <w:t>Сеншуй, несколько отставал по величине и товарности пр</w:t>
      </w:r>
      <w:r w:rsidRPr="00EC1A78">
        <w:rPr>
          <w:sz w:val="22"/>
          <w:szCs w:val="22"/>
        </w:rPr>
        <w:t>о</w:t>
      </w:r>
      <w:r w:rsidRPr="00EC1A78">
        <w:rPr>
          <w:sz w:val="22"/>
          <w:szCs w:val="22"/>
        </w:rPr>
        <w:t xml:space="preserve">дукции лука-репки </w:t>
      </w:r>
      <w:r w:rsidRPr="00EC1A78">
        <w:rPr>
          <w:sz w:val="22"/>
          <w:szCs w:val="22"/>
          <w:lang w:val="en-US"/>
        </w:rPr>
        <w:t>F</w:t>
      </w:r>
      <w:r w:rsidRPr="00EC1A78">
        <w:rPr>
          <w:sz w:val="22"/>
          <w:szCs w:val="22"/>
          <w:vertAlign w:val="subscript"/>
        </w:rPr>
        <w:t xml:space="preserve">1 </w:t>
      </w:r>
      <w:r w:rsidRPr="00EC1A78">
        <w:rPr>
          <w:sz w:val="22"/>
          <w:szCs w:val="22"/>
        </w:rPr>
        <w:t>Супернова. В урожае этого гибрида возросло содержание мелких луковичек, менее 3 см в диаметре, что спосо</w:t>
      </w:r>
      <w:r w:rsidRPr="00EC1A78">
        <w:rPr>
          <w:sz w:val="22"/>
          <w:szCs w:val="22"/>
        </w:rPr>
        <w:t>б</w:t>
      </w:r>
      <w:r w:rsidRPr="00EC1A78">
        <w:rPr>
          <w:sz w:val="22"/>
          <w:szCs w:val="22"/>
        </w:rPr>
        <w:t>ствовало некоторому снижению процента стандартной продукции.</w:t>
      </w:r>
    </w:p>
    <w:p w:rsidR="00EC1A78" w:rsidRPr="00EC1A78" w:rsidRDefault="00EC1A78" w:rsidP="00EC1A78">
      <w:pPr>
        <w:ind w:firstLine="425"/>
        <w:jc w:val="both"/>
        <w:rPr>
          <w:b/>
          <w:sz w:val="22"/>
          <w:szCs w:val="22"/>
        </w:rPr>
      </w:pPr>
      <w:r w:rsidRPr="00EC1A78">
        <w:rPr>
          <w:sz w:val="22"/>
          <w:szCs w:val="22"/>
        </w:rPr>
        <w:t>Таким образом, на основании проведенных исследований мо</w:t>
      </w:r>
      <w:r w:rsidRPr="00EC1A78">
        <w:rPr>
          <w:sz w:val="22"/>
          <w:szCs w:val="22"/>
        </w:rPr>
        <w:t>ж</w:t>
      </w:r>
      <w:r w:rsidRPr="00EC1A78">
        <w:rPr>
          <w:sz w:val="22"/>
          <w:szCs w:val="22"/>
        </w:rPr>
        <w:t>но сделать вывод о том, что все изучаемые гибриды озимого лука пригодны для выращивания в условиях Кавказского района. Ко</w:t>
      </w:r>
      <w:r w:rsidRPr="00EC1A78">
        <w:rPr>
          <w:sz w:val="22"/>
          <w:szCs w:val="22"/>
        </w:rPr>
        <w:t>м</w:t>
      </w:r>
      <w:r w:rsidRPr="00EC1A78">
        <w:rPr>
          <w:sz w:val="22"/>
          <w:szCs w:val="22"/>
        </w:rPr>
        <w:t>плексом хозяйственно-ценных признаков выделился гибрид япо</w:t>
      </w:r>
      <w:r w:rsidRPr="00EC1A78">
        <w:rPr>
          <w:sz w:val="22"/>
          <w:szCs w:val="22"/>
        </w:rPr>
        <w:t>н</w:t>
      </w:r>
      <w:r w:rsidRPr="00EC1A78">
        <w:rPr>
          <w:sz w:val="22"/>
          <w:szCs w:val="22"/>
        </w:rPr>
        <w:t xml:space="preserve">ской селекции </w:t>
      </w:r>
      <w:r w:rsidRPr="00EC1A78">
        <w:rPr>
          <w:sz w:val="22"/>
          <w:szCs w:val="22"/>
          <w:lang w:val="en-US"/>
        </w:rPr>
        <w:t>F</w:t>
      </w:r>
      <w:r w:rsidRPr="00EC1A78">
        <w:rPr>
          <w:sz w:val="22"/>
          <w:szCs w:val="22"/>
          <w:vertAlign w:val="subscript"/>
        </w:rPr>
        <w:t xml:space="preserve">1 </w:t>
      </w:r>
      <w:r w:rsidRPr="00EC1A78">
        <w:rPr>
          <w:sz w:val="22"/>
          <w:szCs w:val="22"/>
        </w:rPr>
        <w:t>Сеншуй.</w:t>
      </w:r>
      <w:r w:rsidRPr="00EC1A78">
        <w:rPr>
          <w:sz w:val="22"/>
          <w:szCs w:val="22"/>
        </w:rPr>
        <w:tab/>
      </w:r>
    </w:p>
    <w:p w:rsidR="00EC1A78" w:rsidRPr="00EC1A78" w:rsidRDefault="00EC1A78" w:rsidP="00EC1A78">
      <w:pPr>
        <w:tabs>
          <w:tab w:val="left" w:pos="449"/>
        </w:tabs>
        <w:jc w:val="both"/>
        <w:rPr>
          <w:sz w:val="22"/>
          <w:szCs w:val="22"/>
        </w:rPr>
      </w:pPr>
    </w:p>
    <w:p w:rsidR="00EC1A78" w:rsidRPr="00EC1A78" w:rsidRDefault="00906BF3" w:rsidP="00EC1A78">
      <w:pPr>
        <w:tabs>
          <w:tab w:val="left" w:pos="449"/>
        </w:tabs>
        <w:jc w:val="center"/>
        <w:rPr>
          <w:sz w:val="22"/>
          <w:szCs w:val="22"/>
        </w:rPr>
      </w:pPr>
      <w:r>
        <w:rPr>
          <w:sz w:val="22"/>
          <w:szCs w:val="22"/>
        </w:rPr>
        <w:t>Список литературы</w:t>
      </w:r>
    </w:p>
    <w:p w:rsidR="00EC1A78" w:rsidRPr="00EC1A78" w:rsidRDefault="00EC1A78" w:rsidP="00906BF3">
      <w:pPr>
        <w:tabs>
          <w:tab w:val="left" w:pos="449"/>
        </w:tabs>
        <w:jc w:val="both"/>
        <w:rPr>
          <w:sz w:val="22"/>
          <w:szCs w:val="22"/>
        </w:rPr>
      </w:pPr>
      <w:r w:rsidRPr="00EC1A78">
        <w:rPr>
          <w:sz w:val="22"/>
          <w:szCs w:val="22"/>
        </w:rPr>
        <w:tab/>
        <w:t>1. Благородова, Е. Н. Озимая культура лука на Кубани – пе</w:t>
      </w:r>
      <w:r w:rsidRPr="00EC1A78">
        <w:rPr>
          <w:sz w:val="22"/>
          <w:szCs w:val="22"/>
        </w:rPr>
        <w:t>р</w:t>
      </w:r>
      <w:r w:rsidRPr="00EC1A78">
        <w:rPr>
          <w:sz w:val="22"/>
          <w:szCs w:val="22"/>
        </w:rPr>
        <w:t>спективна / Е. Н. Благородова, В. В. Соляник // Картофель и овощи, 2008. – №8. – С.17-18.</w:t>
      </w:r>
    </w:p>
    <w:p w:rsidR="00EC1A78" w:rsidRPr="00EC1A78" w:rsidRDefault="00EC1A78" w:rsidP="00906BF3">
      <w:pPr>
        <w:tabs>
          <w:tab w:val="left" w:pos="449"/>
        </w:tabs>
        <w:jc w:val="both"/>
        <w:rPr>
          <w:sz w:val="22"/>
          <w:szCs w:val="22"/>
        </w:rPr>
      </w:pPr>
      <w:r w:rsidRPr="00EC1A78">
        <w:rPr>
          <w:sz w:val="22"/>
          <w:szCs w:val="22"/>
        </w:rPr>
        <w:tab/>
        <w:t>2. Благородова Е. Н. Способы выращивания озимого лука на Кубани / Е. Н. Благородова // Картофель и овощи, 2006. – №8. – С.15-17.</w:t>
      </w:r>
    </w:p>
    <w:p w:rsidR="00EC1A78" w:rsidRPr="00EC1A78" w:rsidRDefault="00EC1A78" w:rsidP="00906BF3">
      <w:pPr>
        <w:tabs>
          <w:tab w:val="left" w:pos="449"/>
        </w:tabs>
        <w:jc w:val="both"/>
        <w:rPr>
          <w:sz w:val="22"/>
          <w:szCs w:val="22"/>
        </w:rPr>
      </w:pPr>
      <w:r w:rsidRPr="00EC1A78">
        <w:rPr>
          <w:sz w:val="22"/>
          <w:szCs w:val="22"/>
        </w:rPr>
        <w:tab/>
        <w:t>3. Гиш, Р. А. Технология выращивания лука репчатого в яр</w:t>
      </w:r>
      <w:r w:rsidRPr="00EC1A78">
        <w:rPr>
          <w:sz w:val="22"/>
          <w:szCs w:val="22"/>
        </w:rPr>
        <w:t>о</w:t>
      </w:r>
      <w:r w:rsidRPr="00EC1A78">
        <w:rPr>
          <w:sz w:val="22"/>
          <w:szCs w:val="22"/>
        </w:rPr>
        <w:t>вой и озимой культуре в условиях малых форм хозяйствования. Научно-производственное пособие / Р. А. Гиш, Е. Н. Благородова, С. Г. Лукомец. – Краснодар: КубГАУ, 2012. – 48 с.</w:t>
      </w:r>
    </w:p>
    <w:p w:rsidR="00EC1A78" w:rsidRPr="00EC1A78" w:rsidRDefault="00EC1A78" w:rsidP="00906BF3">
      <w:pPr>
        <w:tabs>
          <w:tab w:val="left" w:pos="449"/>
        </w:tabs>
        <w:jc w:val="both"/>
        <w:rPr>
          <w:sz w:val="22"/>
          <w:szCs w:val="22"/>
        </w:rPr>
      </w:pPr>
      <w:r w:rsidRPr="00EC1A78">
        <w:rPr>
          <w:sz w:val="22"/>
          <w:szCs w:val="22"/>
        </w:rPr>
        <w:tab/>
      </w:r>
      <w:r w:rsidR="00906BF3">
        <w:rPr>
          <w:sz w:val="22"/>
          <w:szCs w:val="22"/>
        </w:rPr>
        <w:t>4. Литвинов, С. С. Методика полевого опыта в</w:t>
      </w:r>
      <w:r w:rsidRPr="00EC1A78">
        <w:rPr>
          <w:sz w:val="22"/>
          <w:szCs w:val="22"/>
        </w:rPr>
        <w:t xml:space="preserve"> овощеводстве / С. С. Литвинов. – М., 2011. – 635 с.</w:t>
      </w:r>
    </w:p>
    <w:p w:rsidR="00EC1A78" w:rsidRPr="00EC1A78" w:rsidRDefault="00EC1A78" w:rsidP="00EC1A78">
      <w:pPr>
        <w:ind w:firstLine="426"/>
        <w:jc w:val="center"/>
      </w:pPr>
    </w:p>
    <w:p w:rsidR="00EC1A78" w:rsidRDefault="000E3E48" w:rsidP="000E3E48">
      <w:r>
        <w:br w:type="page"/>
      </w:r>
    </w:p>
    <w:p w:rsidR="00EC1A78" w:rsidRPr="00906BF3" w:rsidRDefault="00EC1A78" w:rsidP="00EC1A78">
      <w:pPr>
        <w:tabs>
          <w:tab w:val="left" w:pos="284"/>
        </w:tabs>
        <w:rPr>
          <w:sz w:val="22"/>
          <w:szCs w:val="22"/>
        </w:rPr>
      </w:pPr>
      <w:r w:rsidRPr="00906BF3">
        <w:rPr>
          <w:sz w:val="22"/>
          <w:szCs w:val="22"/>
        </w:rPr>
        <w:lastRenderedPageBreak/>
        <w:t>УДК 635.64:631.544.4</w:t>
      </w:r>
    </w:p>
    <w:p w:rsidR="00EC1A78" w:rsidRPr="00EC1A78" w:rsidRDefault="00EC1A78" w:rsidP="00EC1A78">
      <w:pPr>
        <w:tabs>
          <w:tab w:val="left" w:pos="426"/>
        </w:tabs>
        <w:ind w:firstLine="425"/>
        <w:rPr>
          <w:b/>
          <w:sz w:val="20"/>
          <w:szCs w:val="20"/>
        </w:rPr>
      </w:pPr>
    </w:p>
    <w:p w:rsidR="00EC1A78" w:rsidRPr="00EC1A78" w:rsidRDefault="00EC1A78" w:rsidP="00EC1A78">
      <w:pPr>
        <w:jc w:val="center"/>
        <w:rPr>
          <w:rFonts w:eastAsia="Calibri"/>
          <w:b/>
          <w:bCs/>
          <w:color w:val="0D0D0D"/>
          <w:sz w:val="24"/>
          <w:szCs w:val="24"/>
          <w:shd w:val="clear" w:color="auto" w:fill="FFFFFF"/>
          <w:lang w:eastAsia="en-US"/>
        </w:rPr>
      </w:pPr>
      <w:r w:rsidRPr="00EC1A78">
        <w:rPr>
          <w:rFonts w:eastAsia="Calibri"/>
          <w:b/>
          <w:bCs/>
          <w:color w:val="0D0D0D"/>
          <w:sz w:val="24"/>
          <w:szCs w:val="24"/>
          <w:shd w:val="clear" w:color="auto" w:fill="FFFFFF"/>
          <w:lang w:eastAsia="en-US"/>
        </w:rPr>
        <w:t>Совершенствование сортимента розовоплодного</w:t>
      </w:r>
    </w:p>
    <w:p w:rsidR="00EC1A78" w:rsidRPr="00EC1A78" w:rsidRDefault="00EC1A78" w:rsidP="00EC1A78">
      <w:pPr>
        <w:jc w:val="center"/>
        <w:rPr>
          <w:rFonts w:eastAsia="Calibri"/>
          <w:b/>
          <w:bCs/>
          <w:color w:val="0D0D0D"/>
          <w:sz w:val="24"/>
          <w:szCs w:val="24"/>
          <w:shd w:val="clear" w:color="auto" w:fill="FFFFFF"/>
          <w:lang w:eastAsia="en-US"/>
        </w:rPr>
      </w:pPr>
      <w:r w:rsidRPr="00EC1A78">
        <w:rPr>
          <w:rFonts w:eastAsia="Calibri"/>
          <w:b/>
          <w:bCs/>
          <w:color w:val="0D0D0D"/>
          <w:sz w:val="24"/>
          <w:szCs w:val="24"/>
          <w:shd w:val="clear" w:color="auto" w:fill="FFFFFF"/>
          <w:lang w:eastAsia="en-US"/>
        </w:rPr>
        <w:t>томата для выращивания в пленочных теплицах</w:t>
      </w:r>
    </w:p>
    <w:p w:rsidR="00EC1A78" w:rsidRPr="00EC1A7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val="en-US" w:eastAsia="en-US"/>
        </w:rPr>
        <w:t>Improvement of assortment pink-fruit</w:t>
      </w:r>
    </w:p>
    <w:p w:rsidR="00EC1A78" w:rsidRPr="00EC1A7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val="en-US" w:eastAsia="en-US"/>
        </w:rPr>
        <w:t>tomato for growing in plastic film greenhouses</w:t>
      </w:r>
    </w:p>
    <w:p w:rsidR="00EC1A78" w:rsidRPr="00EC1A78" w:rsidRDefault="00EC1A78" w:rsidP="00EC1A78">
      <w:pPr>
        <w:jc w:val="center"/>
        <w:rPr>
          <w:rFonts w:eastAsia="Calibri"/>
          <w:b/>
          <w:bCs/>
          <w:color w:val="0D0D0D"/>
          <w:sz w:val="24"/>
          <w:szCs w:val="24"/>
          <w:shd w:val="clear" w:color="auto" w:fill="FFFFFF"/>
          <w:lang w:val="en-US" w:eastAsia="en-US"/>
        </w:rPr>
      </w:pP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Демержиди Е. 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студентка 3-го курса факультета пл</w:t>
      </w:r>
      <w:r w:rsidR="00906BF3">
        <w:rPr>
          <w:rFonts w:eastAsia="Calibri"/>
          <w:bCs/>
          <w:color w:val="0D0D0D"/>
          <w:sz w:val="22"/>
          <w:szCs w:val="22"/>
          <w:shd w:val="clear" w:color="auto" w:fill="FFFFFF"/>
          <w:lang w:eastAsia="en-US"/>
        </w:rPr>
        <w:t>одоовощеводства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и виноградарства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Благородова Е. Н.,</w:t>
      </w:r>
    </w:p>
    <w:p w:rsidR="00EC1A78" w:rsidRPr="00EC1A78" w:rsidRDefault="00906BF3" w:rsidP="00EC1A78">
      <w:pPr>
        <w:jc w:val="right"/>
        <w:rPr>
          <w:rFonts w:eastAsia="Calibri"/>
          <w:bCs/>
          <w:color w:val="0D0D0D"/>
          <w:sz w:val="22"/>
          <w:szCs w:val="22"/>
          <w:shd w:val="clear" w:color="auto" w:fill="FFFFFF"/>
          <w:lang w:eastAsia="en-US"/>
        </w:rPr>
      </w:pPr>
      <w:r>
        <w:rPr>
          <w:rFonts w:eastAsia="Calibri"/>
          <w:bCs/>
          <w:color w:val="0D0D0D"/>
          <w:sz w:val="22"/>
          <w:szCs w:val="22"/>
          <w:shd w:val="clear" w:color="auto" w:fill="FFFFFF"/>
          <w:lang w:eastAsia="en-US"/>
        </w:rPr>
        <w:t>доцент кафедры 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Куб</w:t>
      </w:r>
      <w:r w:rsidR="00906BF3">
        <w:rPr>
          <w:rFonts w:eastAsia="Calibri"/>
          <w:bCs/>
          <w:color w:val="0D0D0D"/>
          <w:sz w:val="22"/>
          <w:szCs w:val="22"/>
          <w:shd w:val="clear" w:color="auto" w:fill="FFFFFF"/>
          <w:lang w:eastAsia="en-US"/>
        </w:rPr>
        <w:t>анский государственный аграрный</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университет имени И. Т. Трубилина</w:t>
      </w:r>
    </w:p>
    <w:p w:rsidR="00EC1A78" w:rsidRPr="00EC1A78" w:rsidRDefault="00EC1A78" w:rsidP="00EC1A78">
      <w:pPr>
        <w:jc w:val="right"/>
        <w:rPr>
          <w:rFonts w:eastAsia="Calibri"/>
          <w:bCs/>
          <w:color w:val="0D0D0D"/>
          <w:sz w:val="22"/>
          <w:szCs w:val="22"/>
          <w:shd w:val="clear" w:color="auto" w:fill="FFFFFF"/>
          <w:lang w:eastAsia="en-US"/>
        </w:rPr>
      </w:pP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eastAsia="en-US"/>
        </w:rPr>
        <w:t>АННОТАЦИЯ: изучены хозяйственно-ценные признаки новых розовоплодных гибридов томата для защищенного грунта селекции компании «Селекцентр». Выявлены различия по темпам процессов роста и развития, величине и структуре урожая. По</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ряду</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показат</w:t>
      </w:r>
      <w:r w:rsidRPr="00EC1A78">
        <w:rPr>
          <w:rFonts w:eastAsia="Calibri"/>
          <w:bCs/>
          <w:color w:val="0D0D0D"/>
          <w:sz w:val="22"/>
          <w:szCs w:val="22"/>
          <w:shd w:val="clear" w:color="auto" w:fill="FFFFFF"/>
          <w:lang w:eastAsia="en-US"/>
        </w:rPr>
        <w:t>е</w:t>
      </w:r>
      <w:r w:rsidRPr="00EC1A78">
        <w:rPr>
          <w:rFonts w:eastAsia="Calibri"/>
          <w:bCs/>
          <w:color w:val="0D0D0D"/>
          <w:sz w:val="22"/>
          <w:szCs w:val="22"/>
          <w:shd w:val="clear" w:color="auto" w:fill="FFFFFF"/>
          <w:lang w:eastAsia="en-US"/>
        </w:rPr>
        <w:t>лей</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выделился</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гибрид</w:t>
      </w:r>
      <w:r w:rsidRPr="00EC1A78">
        <w:rPr>
          <w:rFonts w:eastAsia="Calibri"/>
          <w:sz w:val="22"/>
          <w:szCs w:val="22"/>
          <w:lang w:val="en-US" w:eastAsia="en-US"/>
        </w:rPr>
        <w:t xml:space="preserve"> F</w:t>
      </w:r>
      <w:r w:rsidRPr="00EC1A78">
        <w:rPr>
          <w:rFonts w:eastAsia="Calibri"/>
          <w:sz w:val="22"/>
          <w:szCs w:val="22"/>
          <w:vertAlign w:val="subscript"/>
          <w:lang w:val="en-US" w:eastAsia="en-US"/>
        </w:rPr>
        <w:t xml:space="preserve">1 </w:t>
      </w:r>
      <w:r w:rsidRPr="00EC1A78">
        <w:rPr>
          <w:rFonts w:eastAsia="Calibri"/>
          <w:sz w:val="22"/>
          <w:szCs w:val="22"/>
          <w:lang w:eastAsia="en-US"/>
        </w:rPr>
        <w:t>Самба</w:t>
      </w:r>
      <w:r w:rsidRPr="00EC1A78">
        <w:rPr>
          <w:rFonts w:eastAsia="Calibri"/>
          <w:sz w:val="22"/>
          <w:szCs w:val="22"/>
          <w:lang w:val="en-US" w:eastAsia="en-US"/>
        </w:rPr>
        <w:t>.</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t>ABSTRACT:</w:t>
      </w:r>
      <w:r w:rsidRPr="00EC1A78">
        <w:rPr>
          <w:color w:val="000000"/>
          <w:sz w:val="27"/>
          <w:szCs w:val="27"/>
          <w:lang w:val="en-US"/>
        </w:rPr>
        <w:t xml:space="preserve"> </w:t>
      </w:r>
      <w:r w:rsidRPr="00EC1A78">
        <w:rPr>
          <w:rFonts w:eastAsia="Calibri"/>
          <w:bCs/>
          <w:color w:val="0D0D0D"/>
          <w:sz w:val="22"/>
          <w:szCs w:val="22"/>
          <w:shd w:val="clear" w:color="auto" w:fill="FFFFFF"/>
          <w:lang w:val="en-US" w:eastAsia="en-US"/>
        </w:rPr>
        <w:t>studied economic-valuable signs of new pink-fruit hybrids of tomato for protected ground of breeding company «Se</w:t>
      </w:r>
      <w:r w:rsidRPr="00EC1A78">
        <w:rPr>
          <w:rFonts w:eastAsia="Calibri"/>
          <w:bCs/>
          <w:color w:val="0D0D0D"/>
          <w:sz w:val="22"/>
          <w:szCs w:val="22"/>
          <w:shd w:val="clear" w:color="auto" w:fill="FFFFFF"/>
          <w:lang w:val="en-US" w:eastAsia="en-US"/>
        </w:rPr>
        <w:t>l</w:t>
      </w:r>
      <w:r w:rsidRPr="00EC1A78">
        <w:rPr>
          <w:rFonts w:eastAsia="Calibri"/>
          <w:bCs/>
          <w:color w:val="0D0D0D"/>
          <w:sz w:val="22"/>
          <w:szCs w:val="22"/>
          <w:shd w:val="clear" w:color="auto" w:fill="FFFFFF"/>
          <w:lang w:val="en-US" w:eastAsia="en-US"/>
        </w:rPr>
        <w:t>ektcentr». Differences in growth and development rates, crop size and structure are revealed. Some indicators stood out F</w:t>
      </w:r>
      <w:r w:rsidRPr="00EC1A78">
        <w:rPr>
          <w:rFonts w:eastAsia="Calibri"/>
          <w:bCs/>
          <w:color w:val="0D0D0D"/>
          <w:sz w:val="22"/>
          <w:szCs w:val="22"/>
          <w:shd w:val="clear" w:color="auto" w:fill="FFFFFF"/>
          <w:vertAlign w:val="subscript"/>
          <w:lang w:val="en-US" w:eastAsia="en-US"/>
        </w:rPr>
        <w:t>1</w:t>
      </w:r>
      <w:r w:rsidRPr="00EC1A78">
        <w:rPr>
          <w:rFonts w:eastAsia="Calibri"/>
          <w:bCs/>
          <w:color w:val="0D0D0D"/>
          <w:sz w:val="22"/>
          <w:szCs w:val="22"/>
          <w:shd w:val="clear" w:color="auto" w:fill="FFFFFF"/>
          <w:lang w:val="en-US" w:eastAsia="en-US"/>
        </w:rPr>
        <w:t xml:space="preserve"> hybrid of Samba.</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eastAsia="en-US"/>
        </w:rPr>
        <w:t>КЛЮЧЕВЫЕ</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СЛОВА</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томат</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розовоплодный</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гибрид</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плено</w:t>
      </w:r>
      <w:r w:rsidRPr="00EC1A78">
        <w:rPr>
          <w:rFonts w:eastAsia="Calibri"/>
          <w:bCs/>
          <w:color w:val="0D0D0D"/>
          <w:sz w:val="22"/>
          <w:szCs w:val="22"/>
          <w:shd w:val="clear" w:color="auto" w:fill="FFFFFF"/>
          <w:lang w:eastAsia="en-US"/>
        </w:rPr>
        <w:t>ч</w:t>
      </w:r>
      <w:r w:rsidRPr="00EC1A78">
        <w:rPr>
          <w:rFonts w:eastAsia="Calibri"/>
          <w:bCs/>
          <w:color w:val="0D0D0D"/>
          <w:sz w:val="22"/>
          <w:szCs w:val="22"/>
          <w:shd w:val="clear" w:color="auto" w:fill="FFFFFF"/>
          <w:lang w:eastAsia="en-US"/>
        </w:rPr>
        <w:t>ная</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грунтовая</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теплица</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рост</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развитие</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урожайность</w:t>
      </w:r>
      <w:r w:rsidRPr="00EC1A78">
        <w:rPr>
          <w:rFonts w:eastAsia="Calibri"/>
          <w:bCs/>
          <w:color w:val="0D0D0D"/>
          <w:sz w:val="22"/>
          <w:szCs w:val="22"/>
          <w:shd w:val="clear" w:color="auto" w:fill="FFFFFF"/>
          <w:lang w:val="en-US" w:eastAsia="en-US"/>
        </w:rPr>
        <w:t>.</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t>KEYWORDS:</w:t>
      </w:r>
      <w:r w:rsidRPr="00EC1A78">
        <w:rPr>
          <w:color w:val="000000"/>
          <w:sz w:val="27"/>
          <w:szCs w:val="27"/>
          <w:lang w:val="en-US"/>
        </w:rPr>
        <w:t xml:space="preserve"> </w:t>
      </w:r>
      <w:r w:rsidRPr="00EC1A78">
        <w:rPr>
          <w:rFonts w:eastAsia="Calibri"/>
          <w:bCs/>
          <w:color w:val="0D0D0D"/>
          <w:sz w:val="22"/>
          <w:szCs w:val="22"/>
          <w:shd w:val="clear" w:color="auto" w:fill="FFFFFF"/>
          <w:lang w:val="en-US" w:eastAsia="en-US"/>
        </w:rPr>
        <w:t>tomato, pink-fruit hybrid, film ground greenhouse, growth, development, productivity.</w:t>
      </w:r>
    </w:p>
    <w:p w:rsidR="00EC1A78" w:rsidRPr="00EC1A78" w:rsidRDefault="00EC1A78" w:rsidP="00EC1A78">
      <w:pPr>
        <w:tabs>
          <w:tab w:val="left" w:pos="426"/>
        </w:tabs>
        <w:jc w:val="both"/>
        <w:rPr>
          <w:rFonts w:eastAsia="Calibri"/>
          <w:bCs/>
          <w:color w:val="0D0D0D"/>
          <w:sz w:val="22"/>
          <w:szCs w:val="22"/>
          <w:shd w:val="clear" w:color="auto" w:fill="FFFFFF"/>
          <w:lang w:val="en-US" w:eastAsia="en-US"/>
        </w:rPr>
      </w:pPr>
    </w:p>
    <w:p w:rsidR="00EC1A78" w:rsidRPr="00EC1A78" w:rsidRDefault="00EC1A78" w:rsidP="00906BF3">
      <w:pPr>
        <w:tabs>
          <w:tab w:val="left" w:pos="426"/>
        </w:tabs>
        <w:ind w:firstLine="426"/>
        <w:jc w:val="both"/>
        <w:rPr>
          <w:rFonts w:eastAsia="Calibri"/>
          <w:sz w:val="22"/>
          <w:szCs w:val="22"/>
          <w:lang w:eastAsia="en-US"/>
        </w:rPr>
      </w:pPr>
      <w:r w:rsidRPr="00EC1A78">
        <w:rPr>
          <w:rFonts w:eastAsia="Calibri"/>
          <w:sz w:val="22"/>
          <w:szCs w:val="22"/>
          <w:lang w:eastAsia="en-US"/>
        </w:rPr>
        <w:t>Плоды томата востребованы у населения в течение круглого года благодаря наличию в них витаминов, минеральных солей, л</w:t>
      </w:r>
      <w:r w:rsidRPr="00EC1A78">
        <w:rPr>
          <w:rFonts w:eastAsia="Calibri"/>
          <w:sz w:val="22"/>
          <w:szCs w:val="22"/>
          <w:lang w:eastAsia="en-US"/>
        </w:rPr>
        <w:t>и</w:t>
      </w:r>
      <w:r w:rsidRPr="00EC1A78">
        <w:rPr>
          <w:rFonts w:eastAsia="Calibri"/>
          <w:sz w:val="22"/>
          <w:szCs w:val="22"/>
          <w:lang w:eastAsia="en-US"/>
        </w:rPr>
        <w:t>копина, биологически активных веществ [1]. Во внесезонное время  поставщиком продукции овощных культур на рынок являются с</w:t>
      </w:r>
      <w:r w:rsidRPr="00EC1A78">
        <w:rPr>
          <w:rFonts w:eastAsia="Calibri"/>
          <w:sz w:val="22"/>
          <w:szCs w:val="22"/>
          <w:lang w:eastAsia="en-US"/>
        </w:rPr>
        <w:t>о</w:t>
      </w:r>
      <w:r w:rsidRPr="00EC1A78">
        <w:rPr>
          <w:rFonts w:eastAsia="Calibri"/>
          <w:sz w:val="22"/>
          <w:szCs w:val="22"/>
          <w:lang w:eastAsia="en-US"/>
        </w:rPr>
        <w:t>оружения защищенного грунта. Среди плодов томата с разнообра</w:t>
      </w:r>
      <w:r w:rsidRPr="00EC1A78">
        <w:rPr>
          <w:rFonts w:eastAsia="Calibri"/>
          <w:sz w:val="22"/>
          <w:szCs w:val="22"/>
          <w:lang w:eastAsia="en-US"/>
        </w:rPr>
        <w:t>з</w:t>
      </w:r>
      <w:r w:rsidRPr="00EC1A78">
        <w:rPr>
          <w:rFonts w:eastAsia="Calibri"/>
          <w:sz w:val="22"/>
          <w:szCs w:val="22"/>
          <w:lang w:eastAsia="en-US"/>
        </w:rPr>
        <w:t>ной окраской наиболее популярными являются розовоплодные, х</w:t>
      </w:r>
      <w:r w:rsidRPr="00EC1A78">
        <w:rPr>
          <w:rFonts w:eastAsia="Calibri"/>
          <w:sz w:val="22"/>
          <w:szCs w:val="22"/>
          <w:lang w:eastAsia="en-US"/>
        </w:rPr>
        <w:t>а</w:t>
      </w:r>
      <w:r w:rsidRPr="00EC1A78">
        <w:rPr>
          <w:rFonts w:eastAsia="Calibri"/>
          <w:sz w:val="22"/>
          <w:szCs w:val="22"/>
          <w:lang w:eastAsia="en-US"/>
        </w:rPr>
        <w:t>рактеризующиеся высокими вкусовыми качествами. Сортимент р</w:t>
      </w:r>
      <w:r w:rsidRPr="00EC1A78">
        <w:rPr>
          <w:rFonts w:eastAsia="Calibri"/>
          <w:sz w:val="22"/>
          <w:szCs w:val="22"/>
          <w:lang w:eastAsia="en-US"/>
        </w:rPr>
        <w:t>о</w:t>
      </w:r>
      <w:r w:rsidRPr="00EC1A78">
        <w:rPr>
          <w:rFonts w:eastAsia="Calibri"/>
          <w:sz w:val="22"/>
          <w:szCs w:val="22"/>
          <w:lang w:eastAsia="en-US"/>
        </w:rPr>
        <w:t>зовоплодного томата для открытого грунта представлен немног</w:t>
      </w:r>
      <w:r w:rsidRPr="00EC1A78">
        <w:rPr>
          <w:rFonts w:eastAsia="Calibri"/>
          <w:sz w:val="22"/>
          <w:szCs w:val="22"/>
          <w:lang w:eastAsia="en-US"/>
        </w:rPr>
        <w:t>о</w:t>
      </w:r>
      <w:r w:rsidRPr="00EC1A78">
        <w:rPr>
          <w:rFonts w:eastAsia="Calibri"/>
          <w:sz w:val="22"/>
          <w:szCs w:val="22"/>
          <w:lang w:eastAsia="en-US"/>
        </w:rPr>
        <w:lastRenderedPageBreak/>
        <w:t>численными сортами и гибридами, а для защищенного грунта – крайне ограничен. Большую селекционную работу в этом направл</w:t>
      </w:r>
      <w:r w:rsidRPr="00EC1A78">
        <w:rPr>
          <w:rFonts w:eastAsia="Calibri"/>
          <w:sz w:val="22"/>
          <w:szCs w:val="22"/>
          <w:lang w:eastAsia="en-US"/>
        </w:rPr>
        <w:t>е</w:t>
      </w:r>
      <w:r w:rsidRPr="00EC1A78">
        <w:rPr>
          <w:rFonts w:eastAsia="Calibri"/>
          <w:sz w:val="22"/>
          <w:szCs w:val="22"/>
          <w:lang w:eastAsia="en-US"/>
        </w:rPr>
        <w:t>нии проводит ООО «Селекцентр» (компания «Гавриш») [2]. В п</w:t>
      </w:r>
      <w:r w:rsidRPr="00EC1A78">
        <w:rPr>
          <w:rFonts w:eastAsia="Calibri"/>
          <w:sz w:val="22"/>
          <w:szCs w:val="22"/>
          <w:lang w:eastAsia="en-US"/>
        </w:rPr>
        <w:t>о</w:t>
      </w:r>
      <w:r w:rsidRPr="00EC1A78">
        <w:rPr>
          <w:rFonts w:eastAsia="Calibri"/>
          <w:sz w:val="22"/>
          <w:szCs w:val="22"/>
          <w:lang w:eastAsia="en-US"/>
        </w:rPr>
        <w:t>следнее время появились новые гибриды розовоплодного томата для выращивания в защищенном грунте, в связи с чем возникла необходимость проведения их сравнительной оценки по ряду х</w:t>
      </w:r>
      <w:r w:rsidRPr="00EC1A78">
        <w:rPr>
          <w:rFonts w:eastAsia="Calibri"/>
          <w:sz w:val="22"/>
          <w:szCs w:val="22"/>
          <w:lang w:eastAsia="en-US"/>
        </w:rPr>
        <w:t>о</w:t>
      </w:r>
      <w:r w:rsidRPr="00EC1A78">
        <w:rPr>
          <w:rFonts w:eastAsia="Calibri"/>
          <w:sz w:val="22"/>
          <w:szCs w:val="22"/>
          <w:lang w:eastAsia="en-US"/>
        </w:rPr>
        <w:t xml:space="preserve">зяйственно-ценных признаков.  </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В качестве объектов исследований были выбраны 6 розовопл</w:t>
      </w:r>
      <w:r w:rsidRPr="00EC1A78">
        <w:rPr>
          <w:rFonts w:eastAsia="Calibri"/>
          <w:sz w:val="22"/>
          <w:szCs w:val="22"/>
          <w:lang w:eastAsia="en-US"/>
        </w:rPr>
        <w:t>о</w:t>
      </w:r>
      <w:r w:rsidRPr="00EC1A78">
        <w:rPr>
          <w:rFonts w:eastAsia="Calibri"/>
          <w:sz w:val="22"/>
          <w:szCs w:val="22"/>
          <w:lang w:eastAsia="en-US"/>
        </w:rPr>
        <w:t>дных гибридов томата селекции фирмы «Гавриш». Опыты заклад</w:t>
      </w:r>
      <w:r w:rsidRPr="00EC1A78">
        <w:rPr>
          <w:rFonts w:eastAsia="Calibri"/>
          <w:sz w:val="22"/>
          <w:szCs w:val="22"/>
          <w:lang w:eastAsia="en-US"/>
        </w:rPr>
        <w:t>ы</w:t>
      </w:r>
      <w:r w:rsidRPr="00EC1A78">
        <w:rPr>
          <w:rFonts w:eastAsia="Calibri"/>
          <w:sz w:val="22"/>
          <w:szCs w:val="22"/>
          <w:lang w:eastAsia="en-US"/>
        </w:rPr>
        <w:t>вали в грунтовой пленочной теплице в Абинском районе, в 2017 г. При закладке опыта и проведении наблюдений использовали общ</w:t>
      </w:r>
      <w:r w:rsidRPr="00EC1A78">
        <w:rPr>
          <w:rFonts w:eastAsia="Calibri"/>
          <w:sz w:val="22"/>
          <w:szCs w:val="22"/>
          <w:lang w:eastAsia="en-US"/>
        </w:rPr>
        <w:t>е</w:t>
      </w:r>
      <w:r w:rsidRPr="00EC1A78">
        <w:rPr>
          <w:rFonts w:eastAsia="Calibri"/>
          <w:sz w:val="22"/>
          <w:szCs w:val="22"/>
          <w:lang w:eastAsia="en-US"/>
        </w:rPr>
        <w:t>принятые методики. Площадь учетной делянки составляла 5 м</w:t>
      </w:r>
      <w:r w:rsidRPr="00EC1A78">
        <w:rPr>
          <w:rFonts w:eastAsia="Calibri"/>
          <w:sz w:val="22"/>
          <w:szCs w:val="22"/>
          <w:vertAlign w:val="superscript"/>
          <w:lang w:eastAsia="en-US"/>
        </w:rPr>
        <w:t>2</w:t>
      </w:r>
      <w:r w:rsidRPr="00EC1A78">
        <w:rPr>
          <w:rFonts w:eastAsia="Calibri"/>
          <w:sz w:val="22"/>
          <w:szCs w:val="22"/>
          <w:lang w:eastAsia="en-US"/>
        </w:rPr>
        <w:t>, п</w:t>
      </w:r>
      <w:r w:rsidRPr="00EC1A78">
        <w:rPr>
          <w:rFonts w:eastAsia="Calibri"/>
          <w:sz w:val="22"/>
          <w:szCs w:val="22"/>
          <w:lang w:eastAsia="en-US"/>
        </w:rPr>
        <w:t>о</w:t>
      </w:r>
      <w:r w:rsidRPr="00EC1A78">
        <w:rPr>
          <w:rFonts w:eastAsia="Calibri"/>
          <w:sz w:val="22"/>
          <w:szCs w:val="22"/>
          <w:lang w:eastAsia="en-US"/>
        </w:rPr>
        <w:t>вторность – трехкратная [4].</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Выращивали томат через  рассаду, возраст которой составлял 40 сут. Рассаду высаживали в теплицу 10 апреля, густота посадки –2,5 растения на 1 м</w:t>
      </w:r>
      <w:r w:rsidRPr="00EC1A78">
        <w:rPr>
          <w:rFonts w:eastAsia="Calibri"/>
          <w:sz w:val="22"/>
          <w:szCs w:val="22"/>
          <w:vertAlign w:val="superscript"/>
          <w:lang w:eastAsia="en-US"/>
        </w:rPr>
        <w:t>2</w:t>
      </w:r>
      <w:r w:rsidRPr="00EC1A78">
        <w:rPr>
          <w:rFonts w:eastAsia="Calibri"/>
          <w:sz w:val="22"/>
          <w:szCs w:val="22"/>
          <w:lang w:eastAsia="en-US"/>
        </w:rPr>
        <w:t>. Использовали агротехнику, общепринятую для томата в пленочных теплицах. Особое внимание уделяли проветр</w:t>
      </w:r>
      <w:r w:rsidRPr="00EC1A78">
        <w:rPr>
          <w:rFonts w:eastAsia="Calibri"/>
          <w:sz w:val="22"/>
          <w:szCs w:val="22"/>
          <w:lang w:eastAsia="en-US"/>
        </w:rPr>
        <w:t>и</w:t>
      </w:r>
      <w:r w:rsidRPr="00EC1A78">
        <w:rPr>
          <w:rFonts w:eastAsia="Calibri"/>
          <w:sz w:val="22"/>
          <w:szCs w:val="22"/>
          <w:lang w:eastAsia="en-US"/>
        </w:rPr>
        <w:t>ванию теплицы, поскольку томат не выносит повышенной влажн</w:t>
      </w:r>
      <w:r w:rsidRPr="00EC1A78">
        <w:rPr>
          <w:rFonts w:eastAsia="Calibri"/>
          <w:sz w:val="22"/>
          <w:szCs w:val="22"/>
          <w:lang w:eastAsia="en-US"/>
        </w:rPr>
        <w:t>о</w:t>
      </w:r>
      <w:r w:rsidRPr="00EC1A78">
        <w:rPr>
          <w:rFonts w:eastAsia="Calibri"/>
          <w:sz w:val="22"/>
          <w:szCs w:val="22"/>
          <w:lang w:eastAsia="en-US"/>
        </w:rPr>
        <w:t>сти воздуха [3].</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В результате проведения биометрических наблюдений были установлены различия вариантов опыта по темпам ростовых пр</w:t>
      </w:r>
      <w:r w:rsidRPr="00EC1A78">
        <w:rPr>
          <w:rFonts w:eastAsia="Calibri"/>
          <w:sz w:val="22"/>
          <w:szCs w:val="22"/>
          <w:lang w:eastAsia="en-US"/>
        </w:rPr>
        <w:t>о</w:t>
      </w:r>
      <w:r w:rsidRPr="00EC1A78">
        <w:rPr>
          <w:rFonts w:eastAsia="Calibri"/>
          <w:sz w:val="22"/>
          <w:szCs w:val="22"/>
          <w:lang w:eastAsia="en-US"/>
        </w:rPr>
        <w:t>цессов. К середине мая высота растений гибридов томата составл</w:t>
      </w:r>
      <w:r w:rsidRPr="00EC1A78">
        <w:rPr>
          <w:rFonts w:eastAsia="Calibri"/>
          <w:sz w:val="22"/>
          <w:szCs w:val="22"/>
          <w:lang w:eastAsia="en-US"/>
        </w:rPr>
        <w:t>я</w:t>
      </w:r>
      <w:r w:rsidRPr="00EC1A78">
        <w:rPr>
          <w:rFonts w:eastAsia="Calibri"/>
          <w:sz w:val="22"/>
          <w:szCs w:val="22"/>
          <w:lang w:eastAsia="en-US"/>
        </w:rPr>
        <w:t>ла 58–67 см, к середине июня она увеличилась в 1,8–2,6 раза и д</w:t>
      </w:r>
      <w:r w:rsidRPr="00EC1A78">
        <w:rPr>
          <w:rFonts w:eastAsia="Calibri"/>
          <w:sz w:val="22"/>
          <w:szCs w:val="22"/>
          <w:lang w:eastAsia="en-US"/>
        </w:rPr>
        <w:t>о</w:t>
      </w:r>
      <w:r w:rsidRPr="00EC1A78">
        <w:rPr>
          <w:rFonts w:eastAsia="Calibri"/>
          <w:sz w:val="22"/>
          <w:szCs w:val="22"/>
          <w:lang w:eastAsia="en-US"/>
        </w:rPr>
        <w:t xml:space="preserve">стигла 107–176 см.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Мамба оказался самым высокоро</w:t>
      </w:r>
      <w:r w:rsidRPr="00EC1A78">
        <w:rPr>
          <w:rFonts w:eastAsia="Calibri"/>
          <w:sz w:val="22"/>
          <w:szCs w:val="22"/>
          <w:lang w:eastAsia="en-US"/>
        </w:rPr>
        <w:t>с</w:t>
      </w:r>
      <w:r w:rsidRPr="00EC1A78">
        <w:rPr>
          <w:rFonts w:eastAsia="Calibri"/>
          <w:sz w:val="22"/>
          <w:szCs w:val="22"/>
          <w:lang w:eastAsia="en-US"/>
        </w:rPr>
        <w:t>лым, на любую дату наблюдения высота растений превышала пок</w:t>
      </w:r>
      <w:r w:rsidRPr="00EC1A78">
        <w:rPr>
          <w:rFonts w:eastAsia="Calibri"/>
          <w:sz w:val="22"/>
          <w:szCs w:val="22"/>
          <w:lang w:eastAsia="en-US"/>
        </w:rPr>
        <w:t>а</w:t>
      </w:r>
      <w:r w:rsidRPr="00EC1A78">
        <w:rPr>
          <w:rFonts w:eastAsia="Calibri"/>
          <w:sz w:val="22"/>
          <w:szCs w:val="22"/>
          <w:lang w:eastAsia="en-US"/>
        </w:rPr>
        <w:t xml:space="preserve">затели других гибридов в 1,2–1,6 раз. Растения гибрида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Киото в начале вегетации отставали по показателям роста от других вариа</w:t>
      </w:r>
      <w:r w:rsidRPr="00EC1A78">
        <w:rPr>
          <w:rFonts w:eastAsia="Calibri"/>
          <w:sz w:val="22"/>
          <w:szCs w:val="22"/>
          <w:lang w:eastAsia="en-US"/>
        </w:rPr>
        <w:t>н</w:t>
      </w:r>
      <w:r w:rsidRPr="00EC1A78">
        <w:rPr>
          <w:rFonts w:eastAsia="Calibri"/>
          <w:sz w:val="22"/>
          <w:szCs w:val="22"/>
          <w:lang w:eastAsia="en-US"/>
        </w:rPr>
        <w:t>тов, но к середине июня значительно их опередили, уступив по в</w:t>
      </w:r>
      <w:r w:rsidRPr="00EC1A78">
        <w:rPr>
          <w:rFonts w:eastAsia="Calibri"/>
          <w:sz w:val="22"/>
          <w:szCs w:val="22"/>
          <w:lang w:eastAsia="en-US"/>
        </w:rPr>
        <w:t>ы</w:t>
      </w:r>
      <w:r w:rsidRPr="00EC1A78">
        <w:rPr>
          <w:rFonts w:eastAsia="Calibri"/>
          <w:sz w:val="22"/>
          <w:szCs w:val="22"/>
          <w:lang w:eastAsia="en-US"/>
        </w:rPr>
        <w:t xml:space="preserve">соте только гибриду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Мамба. Самыми низкорослыми в опыте ок</w:t>
      </w:r>
      <w:r w:rsidRPr="00EC1A78">
        <w:rPr>
          <w:rFonts w:eastAsia="Calibri"/>
          <w:sz w:val="22"/>
          <w:szCs w:val="22"/>
          <w:lang w:eastAsia="en-US"/>
        </w:rPr>
        <w:t>а</w:t>
      </w:r>
      <w:r w:rsidRPr="00EC1A78">
        <w:rPr>
          <w:rFonts w:eastAsia="Calibri"/>
          <w:sz w:val="22"/>
          <w:szCs w:val="22"/>
          <w:lang w:eastAsia="en-US"/>
        </w:rPr>
        <w:t xml:space="preserve">зались растения гибрида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Розмакс.</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К показателям процессов развития относится высота заложения первой кисти на растениях. Ранний срок появления первой кисти является косвенным показателем скороспелости растений.</w:t>
      </w:r>
    </w:p>
    <w:p w:rsidR="00EC1A78" w:rsidRPr="00EC1A78" w:rsidRDefault="00EC1A78" w:rsidP="00906BF3">
      <w:pPr>
        <w:tabs>
          <w:tab w:val="left" w:pos="449"/>
        </w:tabs>
        <w:ind w:firstLine="426"/>
        <w:jc w:val="both"/>
        <w:rPr>
          <w:sz w:val="22"/>
          <w:szCs w:val="22"/>
        </w:rPr>
      </w:pPr>
      <w:r w:rsidRPr="00EC1A78">
        <w:rPr>
          <w:sz w:val="22"/>
          <w:szCs w:val="22"/>
        </w:rPr>
        <w:t xml:space="preserve">Первая кисть у гибридов </w:t>
      </w:r>
      <w:r w:rsidRPr="00EC1A78">
        <w:rPr>
          <w:sz w:val="22"/>
          <w:szCs w:val="22"/>
          <w:lang w:val="en-US"/>
        </w:rPr>
        <w:t>F</w:t>
      </w:r>
      <w:r w:rsidRPr="00EC1A78">
        <w:rPr>
          <w:sz w:val="22"/>
          <w:szCs w:val="22"/>
          <w:vertAlign w:val="subscript"/>
        </w:rPr>
        <w:t xml:space="preserve">1 </w:t>
      </w:r>
      <w:r w:rsidRPr="00EC1A78">
        <w:rPr>
          <w:sz w:val="22"/>
          <w:szCs w:val="22"/>
        </w:rPr>
        <w:t xml:space="preserve">Ролекс и </w:t>
      </w:r>
      <w:r w:rsidRPr="00EC1A78">
        <w:rPr>
          <w:sz w:val="22"/>
          <w:szCs w:val="22"/>
          <w:lang w:val="en-US"/>
        </w:rPr>
        <w:t>F</w:t>
      </w:r>
      <w:r w:rsidRPr="00EC1A78">
        <w:rPr>
          <w:sz w:val="22"/>
          <w:szCs w:val="22"/>
          <w:vertAlign w:val="subscript"/>
        </w:rPr>
        <w:t xml:space="preserve">1 </w:t>
      </w:r>
      <w:r w:rsidRPr="00EC1A78">
        <w:rPr>
          <w:sz w:val="22"/>
          <w:szCs w:val="22"/>
        </w:rPr>
        <w:t xml:space="preserve">Розмакс заложилась в ранние сроки, на высоте 37–39 см. У растений  гибридов </w:t>
      </w:r>
      <w:r w:rsidRPr="00EC1A78">
        <w:rPr>
          <w:sz w:val="22"/>
          <w:szCs w:val="22"/>
          <w:lang w:val="en-US"/>
        </w:rPr>
        <w:t>F</w:t>
      </w:r>
      <w:r w:rsidRPr="00EC1A78">
        <w:rPr>
          <w:sz w:val="22"/>
          <w:szCs w:val="22"/>
          <w:vertAlign w:val="subscript"/>
        </w:rPr>
        <w:t xml:space="preserve">1 </w:t>
      </w:r>
      <w:r w:rsidRPr="00EC1A78">
        <w:rPr>
          <w:sz w:val="22"/>
          <w:szCs w:val="22"/>
        </w:rPr>
        <w:t xml:space="preserve">Мамба и </w:t>
      </w:r>
      <w:r w:rsidRPr="00EC1A78">
        <w:rPr>
          <w:sz w:val="22"/>
          <w:szCs w:val="22"/>
          <w:lang w:val="en-US"/>
        </w:rPr>
        <w:t>F</w:t>
      </w:r>
      <w:r w:rsidRPr="00EC1A78">
        <w:rPr>
          <w:sz w:val="22"/>
          <w:szCs w:val="22"/>
          <w:vertAlign w:val="subscript"/>
        </w:rPr>
        <w:t xml:space="preserve">1 </w:t>
      </w:r>
      <w:r w:rsidRPr="00EC1A78">
        <w:rPr>
          <w:sz w:val="22"/>
          <w:szCs w:val="22"/>
        </w:rPr>
        <w:t>Киото – позже других вариантов.</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Первая кисть растений томата состояла из 4–6 цветков, из к</w:t>
      </w:r>
      <w:r w:rsidRPr="00EC1A78">
        <w:rPr>
          <w:rFonts w:eastAsia="Calibri"/>
          <w:sz w:val="22"/>
          <w:szCs w:val="22"/>
          <w:lang w:eastAsia="en-US"/>
        </w:rPr>
        <w:t>о</w:t>
      </w:r>
      <w:r w:rsidRPr="00EC1A78">
        <w:rPr>
          <w:rFonts w:eastAsia="Calibri"/>
          <w:sz w:val="22"/>
          <w:szCs w:val="22"/>
          <w:lang w:eastAsia="en-US"/>
        </w:rPr>
        <w:t xml:space="preserve">торых завязалось 4–5 плодов.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Ролекс характеризовался </w:t>
      </w:r>
      <w:r w:rsidRPr="00EC1A78">
        <w:rPr>
          <w:rFonts w:eastAsia="Calibri"/>
          <w:sz w:val="22"/>
          <w:szCs w:val="22"/>
          <w:lang w:eastAsia="en-US"/>
        </w:rPr>
        <w:lastRenderedPageBreak/>
        <w:t xml:space="preserve">100-процентной завязываемостью плодов. Высоким этот показатель был также у растений гибридов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Розарио и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Самба. Ниже других вариантов завязываемость плодов оказалась у гибрида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Мамба.  </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20 мая были проведены замеры показателей листовой повер</w:t>
      </w:r>
      <w:r w:rsidRPr="00EC1A78">
        <w:rPr>
          <w:rFonts w:eastAsia="Calibri"/>
          <w:sz w:val="22"/>
          <w:szCs w:val="22"/>
          <w:lang w:eastAsia="en-US"/>
        </w:rPr>
        <w:t>х</w:t>
      </w:r>
      <w:r w:rsidRPr="00EC1A78">
        <w:rPr>
          <w:rFonts w:eastAsia="Calibri"/>
          <w:sz w:val="22"/>
          <w:szCs w:val="22"/>
          <w:lang w:eastAsia="en-US"/>
        </w:rPr>
        <w:t>ности растений томата различных гибридов. Длина листьев у г</w:t>
      </w:r>
      <w:r w:rsidRPr="00EC1A78">
        <w:rPr>
          <w:rFonts w:eastAsia="Calibri"/>
          <w:sz w:val="22"/>
          <w:szCs w:val="22"/>
          <w:lang w:eastAsia="en-US"/>
        </w:rPr>
        <w:t>и</w:t>
      </w:r>
      <w:r w:rsidRPr="00EC1A78">
        <w:rPr>
          <w:rFonts w:eastAsia="Calibri"/>
          <w:sz w:val="22"/>
          <w:szCs w:val="22"/>
          <w:lang w:eastAsia="en-US"/>
        </w:rPr>
        <w:t xml:space="preserve">бридов колебалась в пределах 30–36 см, ширина 23–31 см.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Ролекс выделялся большими размерами листьев,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Киото уст</w:t>
      </w:r>
      <w:r w:rsidRPr="00EC1A78">
        <w:rPr>
          <w:rFonts w:eastAsia="Calibri"/>
          <w:sz w:val="22"/>
          <w:szCs w:val="22"/>
          <w:lang w:eastAsia="en-US"/>
        </w:rPr>
        <w:t>у</w:t>
      </w:r>
      <w:r w:rsidRPr="00EC1A78">
        <w:rPr>
          <w:rFonts w:eastAsia="Calibri"/>
          <w:sz w:val="22"/>
          <w:szCs w:val="22"/>
          <w:lang w:eastAsia="en-US"/>
        </w:rPr>
        <w:t>пал по показателям длины и ширины листовой пластинки всем из</w:t>
      </w:r>
      <w:r w:rsidRPr="00EC1A78">
        <w:rPr>
          <w:rFonts w:eastAsia="Calibri"/>
          <w:sz w:val="22"/>
          <w:szCs w:val="22"/>
          <w:lang w:eastAsia="en-US"/>
        </w:rPr>
        <w:t>у</w:t>
      </w:r>
      <w:r w:rsidRPr="00EC1A78">
        <w:rPr>
          <w:rFonts w:eastAsia="Calibri"/>
          <w:sz w:val="22"/>
          <w:szCs w:val="22"/>
          <w:lang w:eastAsia="en-US"/>
        </w:rPr>
        <w:t xml:space="preserve">чаемым гибридам. </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Площадь листовой поверхности является важным хозяйстве</w:t>
      </w:r>
      <w:r w:rsidRPr="00EC1A78">
        <w:rPr>
          <w:rFonts w:eastAsia="Calibri"/>
          <w:sz w:val="22"/>
          <w:szCs w:val="22"/>
          <w:lang w:eastAsia="en-US"/>
        </w:rPr>
        <w:t>н</w:t>
      </w:r>
      <w:r w:rsidRPr="00EC1A78">
        <w:rPr>
          <w:rFonts w:eastAsia="Calibri"/>
          <w:sz w:val="22"/>
          <w:szCs w:val="22"/>
          <w:lang w:eastAsia="en-US"/>
        </w:rPr>
        <w:t>но-ценным признаком новых гибридов томата, поскольку спосо</w:t>
      </w:r>
      <w:r w:rsidRPr="00EC1A78">
        <w:rPr>
          <w:rFonts w:eastAsia="Calibri"/>
          <w:sz w:val="22"/>
          <w:szCs w:val="22"/>
          <w:lang w:eastAsia="en-US"/>
        </w:rPr>
        <w:t>б</w:t>
      </w:r>
      <w:r w:rsidRPr="00EC1A78">
        <w:rPr>
          <w:rFonts w:eastAsia="Calibri"/>
          <w:sz w:val="22"/>
          <w:szCs w:val="22"/>
          <w:lang w:eastAsia="en-US"/>
        </w:rPr>
        <w:t>ствует накоплению пластических веществ в плодах, а также пред</w:t>
      </w:r>
      <w:r w:rsidRPr="00EC1A78">
        <w:rPr>
          <w:rFonts w:eastAsia="Calibri"/>
          <w:sz w:val="22"/>
          <w:szCs w:val="22"/>
          <w:lang w:eastAsia="en-US"/>
        </w:rPr>
        <w:t>о</w:t>
      </w:r>
      <w:r w:rsidRPr="00EC1A78">
        <w:rPr>
          <w:rFonts w:eastAsia="Calibri"/>
          <w:sz w:val="22"/>
          <w:szCs w:val="22"/>
          <w:lang w:eastAsia="en-US"/>
        </w:rPr>
        <w:t>храняет их от получения солнечных ожогов в жаркий летний пер</w:t>
      </w:r>
      <w:r w:rsidRPr="00EC1A78">
        <w:rPr>
          <w:rFonts w:eastAsia="Calibri"/>
          <w:sz w:val="22"/>
          <w:szCs w:val="22"/>
          <w:lang w:eastAsia="en-US"/>
        </w:rPr>
        <w:t>и</w:t>
      </w:r>
      <w:r w:rsidRPr="00EC1A78">
        <w:rPr>
          <w:rFonts w:eastAsia="Calibri"/>
          <w:sz w:val="22"/>
          <w:szCs w:val="22"/>
          <w:lang w:eastAsia="en-US"/>
        </w:rPr>
        <w:t xml:space="preserve">од с высокой интенсивностью освещения. Наибольшую площадь листовой поверхности сформировал гибрид </w:t>
      </w:r>
      <w:r w:rsidRPr="00EC1A78">
        <w:rPr>
          <w:rFonts w:eastAsia="Calibri"/>
          <w:sz w:val="22"/>
          <w:szCs w:val="22"/>
          <w:lang w:val="en-US" w:eastAsia="en-US"/>
        </w:rPr>
        <w:t>F</w:t>
      </w:r>
      <w:r w:rsidRPr="00EC1A78">
        <w:rPr>
          <w:rFonts w:eastAsia="Calibri"/>
          <w:sz w:val="22"/>
          <w:szCs w:val="22"/>
          <w:vertAlign w:val="subscript"/>
          <w:lang w:eastAsia="en-US"/>
        </w:rPr>
        <w:t>1</w:t>
      </w:r>
      <w:r w:rsidRPr="00EC1A78">
        <w:rPr>
          <w:rFonts w:eastAsia="Calibri"/>
          <w:sz w:val="22"/>
          <w:szCs w:val="22"/>
          <w:lang w:eastAsia="en-US"/>
        </w:rPr>
        <w:t xml:space="preserve"> Ролекс (</w:t>
      </w:r>
      <w:r w:rsidRPr="00EC1A78">
        <w:rPr>
          <w:sz w:val="22"/>
          <w:szCs w:val="22"/>
        </w:rPr>
        <w:t>7727 см</w:t>
      </w:r>
      <w:r w:rsidRPr="00EC1A78">
        <w:rPr>
          <w:sz w:val="22"/>
          <w:szCs w:val="22"/>
          <w:vertAlign w:val="superscript"/>
        </w:rPr>
        <w:t>2</w:t>
      </w:r>
      <w:r w:rsidRPr="00EC1A78">
        <w:rPr>
          <w:sz w:val="22"/>
          <w:szCs w:val="22"/>
        </w:rPr>
        <w:t>)</w:t>
      </w:r>
      <w:r w:rsidRPr="00EC1A78">
        <w:rPr>
          <w:rFonts w:eastAsia="Calibri"/>
          <w:sz w:val="22"/>
          <w:szCs w:val="22"/>
          <w:lang w:eastAsia="en-US"/>
        </w:rPr>
        <w:t xml:space="preserve">, наименьшую –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Киото (</w:t>
      </w:r>
      <w:r w:rsidRPr="00EC1A78">
        <w:rPr>
          <w:sz w:val="22"/>
          <w:szCs w:val="22"/>
        </w:rPr>
        <w:t>3725 см</w:t>
      </w:r>
      <w:r w:rsidRPr="00EC1A78">
        <w:rPr>
          <w:sz w:val="22"/>
          <w:szCs w:val="22"/>
          <w:vertAlign w:val="superscript"/>
        </w:rPr>
        <w:t>2</w:t>
      </w:r>
      <w:r w:rsidRPr="00EC1A78">
        <w:rPr>
          <w:rFonts w:eastAsia="Calibri"/>
          <w:sz w:val="22"/>
          <w:szCs w:val="22"/>
          <w:lang w:eastAsia="en-US"/>
        </w:rPr>
        <w:t>).</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 xml:space="preserve">Величина и структура урожая плодов имели различия в разрезе вариантов. Наибольшую урожайность товарных плодов и общую урожайность показал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Самба – выше стандарта в 1,3 раза. </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100 % товарностью  продукции   выделились  растения  гибр</w:t>
      </w:r>
      <w:r w:rsidRPr="00EC1A78">
        <w:rPr>
          <w:rFonts w:eastAsia="Calibri"/>
          <w:sz w:val="22"/>
          <w:szCs w:val="22"/>
          <w:lang w:eastAsia="en-US"/>
        </w:rPr>
        <w:t>и</w:t>
      </w:r>
      <w:r w:rsidRPr="00EC1A78">
        <w:rPr>
          <w:rFonts w:eastAsia="Calibri"/>
          <w:sz w:val="22"/>
          <w:szCs w:val="22"/>
          <w:lang w:eastAsia="en-US"/>
        </w:rPr>
        <w:t xml:space="preserve">дов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Мамба и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Киото, незначительно уступил по этому показ</w:t>
      </w:r>
      <w:r w:rsidRPr="00EC1A78">
        <w:rPr>
          <w:rFonts w:eastAsia="Calibri"/>
          <w:sz w:val="22"/>
          <w:szCs w:val="22"/>
          <w:lang w:eastAsia="en-US"/>
        </w:rPr>
        <w:t>а</w:t>
      </w:r>
      <w:r w:rsidRPr="00EC1A78">
        <w:rPr>
          <w:rFonts w:eastAsia="Calibri"/>
          <w:sz w:val="22"/>
          <w:szCs w:val="22"/>
          <w:lang w:eastAsia="en-US"/>
        </w:rPr>
        <w:t xml:space="preserve">телю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Розарио (96,2 %). Наименьшая товарность плодов была получена у гибрида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Ролекс.</w:t>
      </w:r>
    </w:p>
    <w:p w:rsidR="00EC1A78" w:rsidRPr="00EC1A78" w:rsidRDefault="00EC1A78" w:rsidP="00906BF3">
      <w:pPr>
        <w:ind w:firstLine="426"/>
        <w:jc w:val="both"/>
        <w:rPr>
          <w:rFonts w:eastAsia="Calibri"/>
          <w:sz w:val="22"/>
          <w:szCs w:val="22"/>
          <w:lang w:eastAsia="en-US"/>
        </w:rPr>
      </w:pPr>
      <w:r w:rsidRPr="00EC1A78">
        <w:rPr>
          <w:rFonts w:eastAsia="Calibri"/>
          <w:sz w:val="22"/>
          <w:szCs w:val="22"/>
          <w:lang w:eastAsia="en-US"/>
        </w:rPr>
        <w:t>Таким образом, на основании полученных результатов можно отметить, что среди перспективных розовоплодных гибридов том</w:t>
      </w:r>
      <w:r w:rsidRPr="00EC1A78">
        <w:rPr>
          <w:rFonts w:eastAsia="Calibri"/>
          <w:sz w:val="22"/>
          <w:szCs w:val="22"/>
          <w:lang w:eastAsia="en-US"/>
        </w:rPr>
        <w:t>а</w:t>
      </w:r>
      <w:r w:rsidRPr="00EC1A78">
        <w:rPr>
          <w:rFonts w:eastAsia="Calibri"/>
          <w:sz w:val="22"/>
          <w:szCs w:val="22"/>
          <w:lang w:eastAsia="en-US"/>
        </w:rPr>
        <w:t>та для выращивания в пленочных грунтовых теплицах по компле</w:t>
      </w:r>
      <w:r w:rsidRPr="00EC1A78">
        <w:rPr>
          <w:rFonts w:eastAsia="Calibri"/>
          <w:sz w:val="22"/>
          <w:szCs w:val="22"/>
          <w:lang w:eastAsia="en-US"/>
        </w:rPr>
        <w:t>к</w:t>
      </w:r>
      <w:r w:rsidRPr="00EC1A78">
        <w:rPr>
          <w:rFonts w:eastAsia="Calibri"/>
          <w:sz w:val="22"/>
          <w:szCs w:val="22"/>
          <w:lang w:eastAsia="en-US"/>
        </w:rPr>
        <w:t xml:space="preserve">су хозяйственно-ценных признаков выделился гибрид </w:t>
      </w:r>
      <w:r w:rsidRPr="00EC1A78">
        <w:rPr>
          <w:rFonts w:eastAsia="Calibri"/>
          <w:sz w:val="22"/>
          <w:szCs w:val="22"/>
          <w:lang w:val="en-US" w:eastAsia="en-US"/>
        </w:rPr>
        <w:t>F</w:t>
      </w:r>
      <w:r w:rsidRPr="00EC1A78">
        <w:rPr>
          <w:rFonts w:eastAsia="Calibri"/>
          <w:sz w:val="22"/>
          <w:szCs w:val="22"/>
          <w:vertAlign w:val="subscript"/>
          <w:lang w:eastAsia="en-US"/>
        </w:rPr>
        <w:t xml:space="preserve">1 </w:t>
      </w:r>
      <w:r w:rsidRPr="00EC1A78">
        <w:rPr>
          <w:rFonts w:eastAsia="Calibri"/>
          <w:sz w:val="22"/>
          <w:szCs w:val="22"/>
          <w:lang w:eastAsia="en-US"/>
        </w:rPr>
        <w:t xml:space="preserve">Самба. </w:t>
      </w:r>
    </w:p>
    <w:p w:rsidR="00EC1A78" w:rsidRPr="00EC1A78" w:rsidRDefault="00EC1A78" w:rsidP="00906BF3">
      <w:pPr>
        <w:ind w:firstLine="426"/>
        <w:jc w:val="both"/>
        <w:rPr>
          <w:rFonts w:eastAsia="Calibri"/>
          <w:sz w:val="22"/>
          <w:szCs w:val="22"/>
          <w:lang w:eastAsia="en-US"/>
        </w:rPr>
      </w:pPr>
    </w:p>
    <w:p w:rsidR="00EC1A78" w:rsidRPr="00EC1A78" w:rsidRDefault="00906BF3" w:rsidP="00906BF3">
      <w:pPr>
        <w:tabs>
          <w:tab w:val="left" w:pos="449"/>
        </w:tabs>
        <w:ind w:firstLine="426"/>
        <w:jc w:val="center"/>
        <w:rPr>
          <w:sz w:val="22"/>
          <w:szCs w:val="22"/>
        </w:rPr>
      </w:pPr>
      <w:r>
        <w:rPr>
          <w:sz w:val="22"/>
          <w:szCs w:val="22"/>
        </w:rPr>
        <w:t>Список литературы</w:t>
      </w:r>
    </w:p>
    <w:p w:rsidR="00EC1A78" w:rsidRPr="00EC1A78" w:rsidRDefault="00EC1A78" w:rsidP="00906BF3">
      <w:pPr>
        <w:ind w:firstLine="426"/>
        <w:jc w:val="both"/>
        <w:rPr>
          <w:sz w:val="22"/>
          <w:szCs w:val="22"/>
        </w:rPr>
      </w:pPr>
      <w:r w:rsidRPr="00EC1A78">
        <w:rPr>
          <w:sz w:val="22"/>
          <w:szCs w:val="22"/>
        </w:rPr>
        <w:t>1. Благородова, Е. Н. История овощеводства / Е. Н. Благород</w:t>
      </w:r>
      <w:r w:rsidRPr="00EC1A78">
        <w:rPr>
          <w:sz w:val="22"/>
          <w:szCs w:val="22"/>
        </w:rPr>
        <w:t>о</w:t>
      </w:r>
      <w:r w:rsidRPr="00EC1A78">
        <w:rPr>
          <w:sz w:val="22"/>
          <w:szCs w:val="22"/>
        </w:rPr>
        <w:t>ва. – Краснодар, 2007. – С. .</w:t>
      </w:r>
    </w:p>
    <w:p w:rsidR="00EC1A78" w:rsidRPr="00EC1A78" w:rsidRDefault="00EC1A78" w:rsidP="00906BF3">
      <w:pPr>
        <w:tabs>
          <w:tab w:val="left" w:pos="449"/>
        </w:tabs>
        <w:ind w:firstLine="426"/>
        <w:jc w:val="both"/>
        <w:rPr>
          <w:sz w:val="22"/>
          <w:szCs w:val="22"/>
        </w:rPr>
      </w:pPr>
      <w:r w:rsidRPr="00EC1A78">
        <w:rPr>
          <w:sz w:val="22"/>
          <w:szCs w:val="22"/>
        </w:rPr>
        <w:tab/>
        <w:t>2. Гавриш, С. Ф. Томаты / С. Ф. Гавриш – М.: НИИИОЗГ. – 2003. – 184 с.</w:t>
      </w:r>
    </w:p>
    <w:p w:rsidR="00EC1A78" w:rsidRPr="00EC1A78" w:rsidRDefault="00EC1A78" w:rsidP="00906BF3">
      <w:pPr>
        <w:tabs>
          <w:tab w:val="left" w:pos="449"/>
        </w:tabs>
        <w:ind w:firstLine="426"/>
        <w:jc w:val="both"/>
        <w:rPr>
          <w:sz w:val="22"/>
          <w:szCs w:val="22"/>
        </w:rPr>
      </w:pPr>
      <w:r w:rsidRPr="00EC1A78">
        <w:rPr>
          <w:sz w:val="22"/>
          <w:szCs w:val="22"/>
        </w:rPr>
        <w:tab/>
        <w:t>3. Гиш, Р. А. Технология выращивания томата на выщелоче</w:t>
      </w:r>
      <w:r w:rsidRPr="00EC1A78">
        <w:rPr>
          <w:sz w:val="22"/>
          <w:szCs w:val="22"/>
        </w:rPr>
        <w:t>н</w:t>
      </w:r>
      <w:r w:rsidRPr="00EC1A78">
        <w:rPr>
          <w:sz w:val="22"/>
          <w:szCs w:val="22"/>
        </w:rPr>
        <w:t>ных черноземах Кубани в условиях малых форм хозяйствования. Научно-производственное пособие / Р. А. Гиш, Е. Н. Благородова, С. Г. Лукомец. – Краснодар: КубГАУ, 2012. – 42 с.</w:t>
      </w:r>
    </w:p>
    <w:p w:rsidR="00EC1A78" w:rsidRPr="00EC1A78" w:rsidRDefault="00E90444" w:rsidP="00906BF3">
      <w:pPr>
        <w:tabs>
          <w:tab w:val="left" w:pos="449"/>
        </w:tabs>
        <w:ind w:firstLine="426"/>
        <w:jc w:val="both"/>
        <w:rPr>
          <w:sz w:val="22"/>
          <w:szCs w:val="22"/>
        </w:rPr>
      </w:pPr>
      <w:r>
        <w:rPr>
          <w:sz w:val="22"/>
          <w:szCs w:val="22"/>
        </w:rPr>
        <w:lastRenderedPageBreak/>
        <w:tab/>
        <w:t xml:space="preserve">4. Литвинов, С. С. </w:t>
      </w:r>
      <w:r w:rsidR="00EC1A78" w:rsidRPr="00EC1A78">
        <w:rPr>
          <w:sz w:val="22"/>
          <w:szCs w:val="22"/>
        </w:rPr>
        <w:t>Методика</w:t>
      </w:r>
      <w:r>
        <w:rPr>
          <w:sz w:val="22"/>
          <w:szCs w:val="22"/>
        </w:rPr>
        <w:t xml:space="preserve"> полевого опыта в</w:t>
      </w:r>
      <w:r w:rsidR="00EC1A78" w:rsidRPr="00EC1A78">
        <w:rPr>
          <w:sz w:val="22"/>
          <w:szCs w:val="22"/>
        </w:rPr>
        <w:t xml:space="preserve"> овощеводстве / С. С. Литвинов. – М., 2011. – 635 с.</w:t>
      </w:r>
    </w:p>
    <w:p w:rsidR="00906BF3" w:rsidRDefault="00906BF3" w:rsidP="00EC1A78">
      <w:pPr>
        <w:tabs>
          <w:tab w:val="left" w:pos="284"/>
        </w:tabs>
        <w:rPr>
          <w:b/>
          <w:sz w:val="20"/>
          <w:szCs w:val="20"/>
        </w:rPr>
      </w:pPr>
    </w:p>
    <w:p w:rsidR="00E90444" w:rsidRDefault="00E90444" w:rsidP="00EC1A78">
      <w:pPr>
        <w:tabs>
          <w:tab w:val="left" w:pos="284"/>
        </w:tabs>
        <w:rPr>
          <w:b/>
          <w:sz w:val="20"/>
          <w:szCs w:val="20"/>
        </w:rPr>
      </w:pPr>
    </w:p>
    <w:p w:rsidR="00E90444" w:rsidRDefault="00E90444" w:rsidP="00EC1A78">
      <w:pPr>
        <w:tabs>
          <w:tab w:val="left" w:pos="284"/>
        </w:tabs>
        <w:rPr>
          <w:b/>
          <w:sz w:val="20"/>
          <w:szCs w:val="20"/>
        </w:rPr>
      </w:pPr>
    </w:p>
    <w:p w:rsidR="00EC1A78" w:rsidRPr="00906BF3" w:rsidRDefault="00EC1A78" w:rsidP="00EC1A78">
      <w:pPr>
        <w:tabs>
          <w:tab w:val="left" w:pos="284"/>
        </w:tabs>
        <w:rPr>
          <w:sz w:val="22"/>
          <w:szCs w:val="22"/>
        </w:rPr>
      </w:pPr>
      <w:r w:rsidRPr="00906BF3">
        <w:rPr>
          <w:sz w:val="22"/>
          <w:szCs w:val="22"/>
        </w:rPr>
        <w:t xml:space="preserve">УДК 635.91 </w:t>
      </w:r>
    </w:p>
    <w:p w:rsidR="00EC1A78" w:rsidRPr="00EC1A78" w:rsidRDefault="00EC1A78" w:rsidP="00EC1A78">
      <w:pPr>
        <w:tabs>
          <w:tab w:val="left" w:pos="426"/>
        </w:tabs>
        <w:ind w:firstLine="425"/>
        <w:rPr>
          <w:b/>
          <w:sz w:val="20"/>
          <w:szCs w:val="20"/>
        </w:rPr>
      </w:pPr>
    </w:p>
    <w:p w:rsidR="00EC1A78" w:rsidRPr="00EC1A78" w:rsidRDefault="00EC1A78" w:rsidP="00EC1A78">
      <w:pPr>
        <w:jc w:val="center"/>
        <w:rPr>
          <w:rFonts w:eastAsia="Calibri"/>
          <w:b/>
          <w:bCs/>
          <w:color w:val="0D0D0D"/>
          <w:sz w:val="24"/>
          <w:szCs w:val="24"/>
          <w:shd w:val="clear" w:color="auto" w:fill="FFFFFF"/>
          <w:lang w:eastAsia="en-US"/>
        </w:rPr>
      </w:pPr>
      <w:r w:rsidRPr="00EC1A78">
        <w:rPr>
          <w:rFonts w:eastAsia="Calibri"/>
          <w:b/>
          <w:bCs/>
          <w:color w:val="0D0D0D"/>
          <w:sz w:val="24"/>
          <w:szCs w:val="24"/>
          <w:shd w:val="clear" w:color="auto" w:fill="FFFFFF"/>
          <w:lang w:eastAsia="en-US"/>
        </w:rPr>
        <w:t xml:space="preserve">Особенности размножения клематиса стеблевыми </w:t>
      </w:r>
      <w:r w:rsidR="00906BF3">
        <w:rPr>
          <w:rFonts w:eastAsia="Calibri"/>
          <w:b/>
          <w:bCs/>
          <w:color w:val="0D0D0D"/>
          <w:sz w:val="24"/>
          <w:szCs w:val="24"/>
          <w:shd w:val="clear" w:color="auto" w:fill="FFFFFF"/>
          <w:lang w:eastAsia="en-US"/>
        </w:rPr>
        <w:br/>
      </w:r>
      <w:r w:rsidRPr="00EC1A78">
        <w:rPr>
          <w:rFonts w:eastAsia="Calibri"/>
          <w:b/>
          <w:bCs/>
          <w:color w:val="0D0D0D"/>
          <w:sz w:val="24"/>
          <w:szCs w:val="24"/>
          <w:shd w:val="clear" w:color="auto" w:fill="FFFFFF"/>
          <w:lang w:eastAsia="en-US"/>
        </w:rPr>
        <w:t>черенками</w:t>
      </w:r>
    </w:p>
    <w:p w:rsidR="00EC1A78" w:rsidRPr="00024398" w:rsidRDefault="00EC1A78" w:rsidP="00EC1A78">
      <w:pPr>
        <w:jc w:val="center"/>
        <w:rPr>
          <w:rFonts w:eastAsia="Calibri"/>
          <w:b/>
          <w:bCs/>
          <w:color w:val="0D0D0D"/>
          <w:sz w:val="24"/>
          <w:szCs w:val="24"/>
          <w:shd w:val="clear" w:color="auto" w:fill="FFFFFF"/>
          <w:lang w:val="en-US" w:eastAsia="en-US"/>
        </w:rPr>
      </w:pPr>
      <w:r w:rsidRPr="00EC1A78">
        <w:rPr>
          <w:rFonts w:eastAsia="Calibri"/>
          <w:b/>
          <w:bCs/>
          <w:color w:val="0D0D0D"/>
          <w:sz w:val="24"/>
          <w:szCs w:val="24"/>
          <w:shd w:val="clear" w:color="auto" w:fill="FFFFFF"/>
          <w:lang w:val="en-US" w:eastAsia="en-US"/>
        </w:rPr>
        <w:t>Features</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a</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reproduction</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of</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a</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clematis</w:t>
      </w:r>
      <w:r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stem</w:t>
      </w:r>
      <w:r w:rsidR="00906BF3" w:rsidRPr="00024398">
        <w:rPr>
          <w:rFonts w:eastAsia="Calibri"/>
          <w:b/>
          <w:bCs/>
          <w:color w:val="0D0D0D"/>
          <w:sz w:val="24"/>
          <w:szCs w:val="24"/>
          <w:shd w:val="clear" w:color="auto" w:fill="FFFFFF"/>
          <w:lang w:val="en-US" w:eastAsia="en-US"/>
        </w:rPr>
        <w:t xml:space="preserve"> </w:t>
      </w:r>
      <w:r w:rsidRPr="00EC1A78">
        <w:rPr>
          <w:rFonts w:eastAsia="Calibri"/>
          <w:b/>
          <w:bCs/>
          <w:color w:val="0D0D0D"/>
          <w:sz w:val="24"/>
          <w:szCs w:val="24"/>
          <w:shd w:val="clear" w:color="auto" w:fill="FFFFFF"/>
          <w:lang w:val="en-US" w:eastAsia="en-US"/>
        </w:rPr>
        <w:t>cuttings</w:t>
      </w:r>
    </w:p>
    <w:p w:rsidR="00EC1A78" w:rsidRPr="00024398" w:rsidRDefault="00EC1A78" w:rsidP="00EC1A78">
      <w:pPr>
        <w:jc w:val="center"/>
        <w:rPr>
          <w:rFonts w:eastAsia="Calibri"/>
          <w:b/>
          <w:bCs/>
          <w:color w:val="0D0D0D"/>
          <w:sz w:val="24"/>
          <w:szCs w:val="24"/>
          <w:shd w:val="clear" w:color="auto" w:fill="FFFFFF"/>
          <w:lang w:val="en-US" w:eastAsia="en-US"/>
        </w:rPr>
      </w:pP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Мирошниченко Т. Е.,</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студентка 4-го кур</w:t>
      </w:r>
      <w:r w:rsidR="00906BF3">
        <w:rPr>
          <w:rFonts w:eastAsia="Calibri"/>
          <w:bCs/>
          <w:color w:val="0D0D0D"/>
          <w:sz w:val="22"/>
          <w:szCs w:val="22"/>
          <w:shd w:val="clear" w:color="auto" w:fill="FFFFFF"/>
          <w:lang w:eastAsia="en-US"/>
        </w:rPr>
        <w:t>са факультета плодоовощеводства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и виноградарства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Благородова Е. Н.,</w:t>
      </w:r>
    </w:p>
    <w:p w:rsidR="00EC1A78" w:rsidRPr="00EC1A78" w:rsidRDefault="00906BF3" w:rsidP="00EC1A78">
      <w:pPr>
        <w:jc w:val="right"/>
        <w:rPr>
          <w:rFonts w:eastAsia="Calibri"/>
          <w:bCs/>
          <w:color w:val="0D0D0D"/>
          <w:sz w:val="22"/>
          <w:szCs w:val="22"/>
          <w:shd w:val="clear" w:color="auto" w:fill="FFFFFF"/>
          <w:lang w:eastAsia="en-US"/>
        </w:rPr>
      </w:pPr>
      <w:r>
        <w:rPr>
          <w:rFonts w:eastAsia="Calibri"/>
          <w:bCs/>
          <w:color w:val="0D0D0D"/>
          <w:sz w:val="22"/>
          <w:szCs w:val="22"/>
          <w:shd w:val="clear" w:color="auto" w:fill="FFFFFF"/>
          <w:lang w:eastAsia="en-US"/>
        </w:rPr>
        <w:t>доцент кафедры овощеводства</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Куб</w:t>
      </w:r>
      <w:r w:rsidR="00906BF3">
        <w:rPr>
          <w:rFonts w:eastAsia="Calibri"/>
          <w:bCs/>
          <w:color w:val="0D0D0D"/>
          <w:sz w:val="22"/>
          <w:szCs w:val="22"/>
          <w:shd w:val="clear" w:color="auto" w:fill="FFFFFF"/>
          <w:lang w:eastAsia="en-US"/>
        </w:rPr>
        <w:t>анский государственный аграрный</w:t>
      </w:r>
    </w:p>
    <w:p w:rsidR="00EC1A78" w:rsidRPr="00EC1A78" w:rsidRDefault="00EC1A78" w:rsidP="00EC1A78">
      <w:pPr>
        <w:jc w:val="right"/>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университет имени И. Т. Трубилина</w:t>
      </w:r>
    </w:p>
    <w:p w:rsidR="00EC1A78" w:rsidRPr="00EC1A78" w:rsidRDefault="00EC1A78" w:rsidP="00EC1A78">
      <w:pPr>
        <w:jc w:val="right"/>
        <w:rPr>
          <w:rFonts w:eastAsia="Calibri"/>
          <w:bCs/>
          <w:color w:val="0D0D0D"/>
          <w:sz w:val="22"/>
          <w:szCs w:val="22"/>
          <w:shd w:val="clear" w:color="auto" w:fill="FFFFFF"/>
          <w:lang w:eastAsia="en-US"/>
        </w:rPr>
      </w:pPr>
    </w:p>
    <w:p w:rsidR="00EC1A78" w:rsidRPr="00EC1A78" w:rsidRDefault="00EC1A78" w:rsidP="00EC1A78">
      <w:pPr>
        <w:ind w:firstLine="425"/>
        <w:jc w:val="both"/>
        <w:rPr>
          <w:rFonts w:eastAsia="Calibri"/>
          <w:bCs/>
          <w:color w:val="0D0D0D"/>
          <w:sz w:val="22"/>
          <w:szCs w:val="22"/>
          <w:shd w:val="clear" w:color="auto" w:fill="FFFFFF"/>
          <w:lang w:eastAsia="en-US"/>
        </w:rPr>
      </w:pPr>
      <w:r w:rsidRPr="00EC1A78">
        <w:rPr>
          <w:rFonts w:eastAsia="Calibri"/>
          <w:bCs/>
          <w:color w:val="0D0D0D"/>
          <w:sz w:val="22"/>
          <w:szCs w:val="22"/>
          <w:shd w:val="clear" w:color="auto" w:fill="FFFFFF"/>
          <w:lang w:eastAsia="en-US"/>
        </w:rPr>
        <w:t>АН</w:t>
      </w:r>
      <w:r w:rsidR="00906BF3">
        <w:rPr>
          <w:rFonts w:eastAsia="Calibri"/>
          <w:bCs/>
          <w:color w:val="0D0D0D"/>
          <w:sz w:val="22"/>
          <w:szCs w:val="22"/>
          <w:shd w:val="clear" w:color="auto" w:fill="FFFFFF"/>
          <w:lang w:eastAsia="en-US"/>
        </w:rPr>
        <w:t xml:space="preserve">НОТАЦИЯ: приведены результаты укоренения </w:t>
      </w:r>
      <w:r w:rsidRPr="00EC1A78">
        <w:rPr>
          <w:rFonts w:eastAsia="Calibri"/>
          <w:bCs/>
          <w:color w:val="0D0D0D"/>
          <w:sz w:val="22"/>
          <w:szCs w:val="22"/>
          <w:shd w:val="clear" w:color="auto" w:fill="FFFFFF"/>
          <w:lang w:eastAsia="en-US"/>
        </w:rPr>
        <w:t>стеблевых черенков клематиса различных сортов. Высоким выходом кондиц</w:t>
      </w:r>
      <w:r w:rsidRPr="00EC1A78">
        <w:rPr>
          <w:rFonts w:eastAsia="Calibri"/>
          <w:bCs/>
          <w:color w:val="0D0D0D"/>
          <w:sz w:val="22"/>
          <w:szCs w:val="22"/>
          <w:shd w:val="clear" w:color="auto" w:fill="FFFFFF"/>
          <w:lang w:eastAsia="en-US"/>
        </w:rPr>
        <w:t>и</w:t>
      </w:r>
      <w:r w:rsidRPr="00EC1A78">
        <w:rPr>
          <w:rFonts w:eastAsia="Calibri"/>
          <w:bCs/>
          <w:color w:val="0D0D0D"/>
          <w:sz w:val="22"/>
          <w:szCs w:val="22"/>
          <w:shd w:val="clear" w:color="auto" w:fill="FFFFFF"/>
          <w:lang w:eastAsia="en-US"/>
        </w:rPr>
        <w:t xml:space="preserve">онных черенков характеризовался сорт Иоанн Павел </w:t>
      </w:r>
      <w:r w:rsidRPr="00EC1A78">
        <w:rPr>
          <w:rFonts w:eastAsia="Calibri"/>
          <w:bCs/>
          <w:color w:val="0D0D0D"/>
          <w:sz w:val="22"/>
          <w:szCs w:val="22"/>
          <w:shd w:val="clear" w:color="auto" w:fill="FFFFFF"/>
          <w:lang w:val="en-US" w:eastAsia="en-US"/>
        </w:rPr>
        <w:t>II</w:t>
      </w:r>
      <w:r w:rsidRPr="00EC1A78">
        <w:rPr>
          <w:rFonts w:eastAsia="Calibri"/>
          <w:bCs/>
          <w:color w:val="0D0D0D"/>
          <w:sz w:val="22"/>
          <w:szCs w:val="22"/>
          <w:shd w:val="clear" w:color="auto" w:fill="FFFFFF"/>
          <w:lang w:eastAsia="en-US"/>
        </w:rPr>
        <w:t xml:space="preserve">. Черенки сорта Каен не укоренились.  </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t>ABSTRACT:</w:t>
      </w:r>
      <w:r w:rsidRPr="00EC1A78">
        <w:rPr>
          <w:color w:val="000000"/>
          <w:sz w:val="27"/>
          <w:szCs w:val="27"/>
          <w:lang w:val="en-US"/>
        </w:rPr>
        <w:t xml:space="preserve"> </w:t>
      </w:r>
      <w:r w:rsidRPr="00EC1A78">
        <w:rPr>
          <w:rFonts w:eastAsia="Calibri"/>
          <w:bCs/>
          <w:color w:val="0D0D0D"/>
          <w:sz w:val="22"/>
          <w:szCs w:val="22"/>
          <w:shd w:val="clear" w:color="auto" w:fill="FFFFFF"/>
          <w:lang w:val="en-US" w:eastAsia="en-US"/>
        </w:rPr>
        <w:t>the results of rooting stem cuttings of clematis of di</w:t>
      </w:r>
      <w:r w:rsidRPr="00EC1A78">
        <w:rPr>
          <w:rFonts w:eastAsia="Calibri"/>
          <w:bCs/>
          <w:color w:val="0D0D0D"/>
          <w:sz w:val="22"/>
          <w:szCs w:val="22"/>
          <w:shd w:val="clear" w:color="auto" w:fill="FFFFFF"/>
          <w:lang w:val="en-US" w:eastAsia="en-US"/>
        </w:rPr>
        <w:t>f</w:t>
      </w:r>
      <w:r w:rsidRPr="00EC1A78">
        <w:rPr>
          <w:rFonts w:eastAsia="Calibri"/>
          <w:bCs/>
          <w:color w:val="0D0D0D"/>
          <w:sz w:val="22"/>
          <w:szCs w:val="22"/>
          <w:shd w:val="clear" w:color="auto" w:fill="FFFFFF"/>
          <w:lang w:val="en-US" w:eastAsia="en-US"/>
        </w:rPr>
        <w:t>ferent varieties are presented. good yield of air-conditioned cuttings was characterized by the variety Ioann Paul II. Cuttings of the variety Ca</w:t>
      </w:r>
      <w:r w:rsidRPr="00EC1A78">
        <w:rPr>
          <w:rFonts w:eastAsia="Calibri"/>
          <w:bCs/>
          <w:color w:val="0D0D0D"/>
          <w:sz w:val="22"/>
          <w:szCs w:val="22"/>
          <w:shd w:val="clear" w:color="auto" w:fill="FFFFFF"/>
          <w:lang w:val="en-US" w:eastAsia="en-US"/>
        </w:rPr>
        <w:t>y</w:t>
      </w:r>
      <w:r w:rsidRPr="00EC1A78">
        <w:rPr>
          <w:rFonts w:eastAsia="Calibri"/>
          <w:bCs/>
          <w:color w:val="0D0D0D"/>
          <w:sz w:val="22"/>
          <w:szCs w:val="22"/>
          <w:shd w:val="clear" w:color="auto" w:fill="FFFFFF"/>
          <w:lang w:val="en-US" w:eastAsia="en-US"/>
        </w:rPr>
        <w:t>enne is not rooted.</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eastAsia="en-US"/>
        </w:rPr>
        <w:t>КЛЮЧЕВЫЕ</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СЛОВА</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клематис</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сорт</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размножение</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стеблевые</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черенки</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корневая</w:t>
      </w:r>
      <w:r w:rsidRPr="00EC1A78">
        <w:rPr>
          <w:rFonts w:eastAsia="Calibri"/>
          <w:bCs/>
          <w:color w:val="0D0D0D"/>
          <w:sz w:val="22"/>
          <w:szCs w:val="22"/>
          <w:shd w:val="clear" w:color="auto" w:fill="FFFFFF"/>
          <w:lang w:val="en-US" w:eastAsia="en-US"/>
        </w:rPr>
        <w:t xml:space="preserve"> </w:t>
      </w:r>
      <w:r w:rsidRPr="00EC1A78">
        <w:rPr>
          <w:rFonts w:eastAsia="Calibri"/>
          <w:bCs/>
          <w:color w:val="0D0D0D"/>
          <w:sz w:val="22"/>
          <w:szCs w:val="22"/>
          <w:shd w:val="clear" w:color="auto" w:fill="FFFFFF"/>
          <w:lang w:eastAsia="en-US"/>
        </w:rPr>
        <w:t>система</w:t>
      </w:r>
      <w:r w:rsidRPr="00EC1A78">
        <w:rPr>
          <w:rFonts w:eastAsia="Calibri"/>
          <w:bCs/>
          <w:color w:val="0D0D0D"/>
          <w:sz w:val="22"/>
          <w:szCs w:val="22"/>
          <w:shd w:val="clear" w:color="auto" w:fill="FFFFFF"/>
          <w:lang w:val="en-US" w:eastAsia="en-US"/>
        </w:rPr>
        <w:t>.</w:t>
      </w:r>
    </w:p>
    <w:p w:rsidR="00EC1A78" w:rsidRPr="00EC1A78" w:rsidRDefault="00EC1A78" w:rsidP="00EC1A78">
      <w:pPr>
        <w:ind w:firstLine="425"/>
        <w:jc w:val="both"/>
        <w:rPr>
          <w:rFonts w:eastAsia="Calibri"/>
          <w:bCs/>
          <w:color w:val="0D0D0D"/>
          <w:sz w:val="22"/>
          <w:szCs w:val="22"/>
          <w:shd w:val="clear" w:color="auto" w:fill="FFFFFF"/>
          <w:lang w:val="en-US" w:eastAsia="en-US"/>
        </w:rPr>
      </w:pPr>
      <w:r w:rsidRPr="00EC1A78">
        <w:rPr>
          <w:rFonts w:eastAsia="Calibri"/>
          <w:bCs/>
          <w:color w:val="0D0D0D"/>
          <w:sz w:val="22"/>
          <w:szCs w:val="22"/>
          <w:shd w:val="clear" w:color="auto" w:fill="FFFFFF"/>
          <w:lang w:val="en-US" w:eastAsia="en-US"/>
        </w:rPr>
        <w:t>KEYWORDS:</w:t>
      </w:r>
      <w:r w:rsidRPr="00EC1A78">
        <w:rPr>
          <w:color w:val="000000"/>
          <w:sz w:val="27"/>
          <w:szCs w:val="27"/>
          <w:lang w:val="en-US"/>
        </w:rPr>
        <w:t xml:space="preserve"> </w:t>
      </w:r>
      <w:r w:rsidRPr="00EC1A78">
        <w:rPr>
          <w:rFonts w:eastAsia="Calibri"/>
          <w:bCs/>
          <w:color w:val="0D0D0D"/>
          <w:sz w:val="22"/>
          <w:szCs w:val="22"/>
          <w:shd w:val="clear" w:color="auto" w:fill="FFFFFF"/>
          <w:lang w:val="en-US" w:eastAsia="en-US"/>
        </w:rPr>
        <w:t>clematis, variety, reproduction, stem cuttings, root system.</w:t>
      </w:r>
    </w:p>
    <w:p w:rsidR="00EC1A78" w:rsidRPr="00EC1A78" w:rsidRDefault="00EC1A78" w:rsidP="00EC1A78">
      <w:pPr>
        <w:jc w:val="both"/>
        <w:rPr>
          <w:rFonts w:eastAsia="Calibri"/>
          <w:bCs/>
          <w:color w:val="0D0D0D"/>
          <w:sz w:val="22"/>
          <w:szCs w:val="22"/>
          <w:shd w:val="clear" w:color="auto" w:fill="FFFFFF"/>
          <w:lang w:val="en-US" w:eastAsia="en-US"/>
        </w:rPr>
      </w:pPr>
    </w:p>
    <w:p w:rsidR="00EC1A78" w:rsidRPr="00EC1A78" w:rsidRDefault="00EC1A78" w:rsidP="00EC1A78">
      <w:pPr>
        <w:ind w:firstLine="425"/>
        <w:jc w:val="both"/>
        <w:rPr>
          <w:sz w:val="22"/>
          <w:szCs w:val="22"/>
        </w:rPr>
      </w:pPr>
      <w:r w:rsidRPr="00EC1A78">
        <w:rPr>
          <w:sz w:val="22"/>
          <w:szCs w:val="22"/>
        </w:rPr>
        <w:t>Среди цветочных растений особое место занимают декорати</w:t>
      </w:r>
      <w:r w:rsidRPr="00EC1A78">
        <w:rPr>
          <w:sz w:val="22"/>
          <w:szCs w:val="22"/>
        </w:rPr>
        <w:t>в</w:t>
      </w:r>
      <w:r w:rsidRPr="00EC1A78">
        <w:rPr>
          <w:sz w:val="22"/>
          <w:szCs w:val="22"/>
        </w:rPr>
        <w:t>ные лианы, которые используются для вертикального озеленения. Популярной культурой из многолетних высокодекоративных лиан является клематис.  Благодаря его достоинствам: обильному и пр</w:t>
      </w:r>
      <w:r w:rsidRPr="00EC1A78">
        <w:rPr>
          <w:sz w:val="22"/>
          <w:szCs w:val="22"/>
        </w:rPr>
        <w:t>о</w:t>
      </w:r>
      <w:r w:rsidRPr="00EC1A78">
        <w:rPr>
          <w:sz w:val="22"/>
          <w:szCs w:val="22"/>
        </w:rPr>
        <w:t>должительному цветению, неприхотливости к почвенным и пого</w:t>
      </w:r>
      <w:r w:rsidRPr="00EC1A78">
        <w:rPr>
          <w:sz w:val="22"/>
          <w:szCs w:val="22"/>
        </w:rPr>
        <w:t>д</w:t>
      </w:r>
      <w:r w:rsidRPr="00EC1A78">
        <w:rPr>
          <w:sz w:val="22"/>
          <w:szCs w:val="22"/>
        </w:rPr>
        <w:lastRenderedPageBreak/>
        <w:t>ным условиям, слабой  поврежденности грибными заболеваниями, эту культуру широко используют в озеленении [1].</w:t>
      </w:r>
    </w:p>
    <w:p w:rsidR="00EC1A78" w:rsidRPr="00EC1A78" w:rsidRDefault="00EC1A78" w:rsidP="00EC1A78">
      <w:pPr>
        <w:ind w:firstLine="425"/>
        <w:jc w:val="both"/>
        <w:rPr>
          <w:sz w:val="22"/>
          <w:szCs w:val="22"/>
        </w:rPr>
      </w:pPr>
      <w:r w:rsidRPr="00EC1A78">
        <w:rPr>
          <w:sz w:val="22"/>
          <w:szCs w:val="22"/>
        </w:rPr>
        <w:t>Размножают  клематисы семенным и вегетативным способом. В зависимости от сортовых особенностей выбирают те способы размножения, которые непосредственно влияют на продолжител</w:t>
      </w:r>
      <w:r w:rsidRPr="00EC1A78">
        <w:rPr>
          <w:sz w:val="22"/>
          <w:szCs w:val="22"/>
        </w:rPr>
        <w:t>ь</w:t>
      </w:r>
      <w:r w:rsidRPr="00EC1A78">
        <w:rPr>
          <w:sz w:val="22"/>
          <w:szCs w:val="22"/>
        </w:rPr>
        <w:t>ность цветения, декоративные качества растений.  Крупноцветк</w:t>
      </w:r>
      <w:r w:rsidRPr="00EC1A78">
        <w:rPr>
          <w:sz w:val="22"/>
          <w:szCs w:val="22"/>
        </w:rPr>
        <w:t>о</w:t>
      </w:r>
      <w:r w:rsidRPr="00EC1A78">
        <w:rPr>
          <w:sz w:val="22"/>
          <w:szCs w:val="22"/>
        </w:rPr>
        <w:t xml:space="preserve">вые сорта клематиса, не образующие семян  или не сохраняющие в семенном потомстве важные декоративные признаки, размножают вегетативно, используя черенкование [2, 3]. </w:t>
      </w:r>
    </w:p>
    <w:p w:rsidR="00EC1A78" w:rsidRPr="00EC1A78" w:rsidRDefault="00EC1A78" w:rsidP="00EC1A78">
      <w:pPr>
        <w:ind w:firstLine="425"/>
        <w:jc w:val="both"/>
        <w:rPr>
          <w:sz w:val="22"/>
          <w:szCs w:val="22"/>
        </w:rPr>
      </w:pPr>
      <w:r w:rsidRPr="00EC1A78">
        <w:rPr>
          <w:sz w:val="22"/>
          <w:szCs w:val="22"/>
        </w:rPr>
        <w:t>Опыты были заложены в 2017 г. в ЛПХ в станице Казанской Кавказского района. Объектами исследований были выбраны 8 со</w:t>
      </w:r>
      <w:r w:rsidRPr="00EC1A78">
        <w:rPr>
          <w:sz w:val="22"/>
          <w:szCs w:val="22"/>
        </w:rPr>
        <w:t>р</w:t>
      </w:r>
      <w:r w:rsidRPr="00EC1A78">
        <w:rPr>
          <w:sz w:val="22"/>
          <w:szCs w:val="22"/>
        </w:rPr>
        <w:t>тов клематиса, используемых и перспективных для озеленения на юге России. Целью наших исследований явилось установление со</w:t>
      </w:r>
      <w:r w:rsidRPr="00EC1A78">
        <w:rPr>
          <w:sz w:val="22"/>
          <w:szCs w:val="22"/>
        </w:rPr>
        <w:t>р</w:t>
      </w:r>
      <w:r w:rsidRPr="00EC1A78">
        <w:rPr>
          <w:sz w:val="22"/>
          <w:szCs w:val="22"/>
        </w:rPr>
        <w:t xml:space="preserve">товых особенностей клематиса при размножении черенкованием. </w:t>
      </w:r>
    </w:p>
    <w:p w:rsidR="00EC1A78" w:rsidRPr="00EC1A78" w:rsidRDefault="00EC1A78" w:rsidP="00EC1A78">
      <w:pPr>
        <w:ind w:firstLine="425"/>
        <w:jc w:val="both"/>
        <w:rPr>
          <w:sz w:val="22"/>
          <w:szCs w:val="22"/>
        </w:rPr>
      </w:pPr>
      <w:r w:rsidRPr="00EC1A78">
        <w:rPr>
          <w:sz w:val="22"/>
          <w:szCs w:val="22"/>
        </w:rPr>
        <w:t>Черенкование проводили, когда в верхней части черенка накапливалось наибольшее количество пластических веществ, т.е. в фазу бутонизации. Заготавливали черенки со срединной части поб</w:t>
      </w:r>
      <w:r w:rsidRPr="00EC1A78">
        <w:rPr>
          <w:sz w:val="22"/>
          <w:szCs w:val="22"/>
        </w:rPr>
        <w:t>е</w:t>
      </w:r>
      <w:r w:rsidRPr="00EC1A78">
        <w:rPr>
          <w:sz w:val="22"/>
          <w:szCs w:val="22"/>
        </w:rPr>
        <w:t xml:space="preserve">гов первого года жизни, нарезали с одним узлом. </w:t>
      </w:r>
    </w:p>
    <w:p w:rsidR="00EC1A78" w:rsidRPr="00EC1A78" w:rsidRDefault="00EC1A78" w:rsidP="00EC1A78">
      <w:pPr>
        <w:ind w:firstLine="425"/>
        <w:jc w:val="both"/>
        <w:rPr>
          <w:sz w:val="22"/>
          <w:szCs w:val="22"/>
        </w:rPr>
      </w:pPr>
      <w:r w:rsidRPr="00EC1A78">
        <w:rPr>
          <w:sz w:val="22"/>
          <w:szCs w:val="22"/>
        </w:rPr>
        <w:t xml:space="preserve">Закладывали опыт в трехкратной повторности, по 10 черенков в каждой. Высаживали черенки в контейнеры с почвенным грунтом (чернозем, песок, торф, вермикулит, перлит).  </w:t>
      </w:r>
    </w:p>
    <w:p w:rsidR="00EC1A78" w:rsidRPr="00EC1A78" w:rsidRDefault="00EC1A78" w:rsidP="00EC1A78">
      <w:pPr>
        <w:ind w:firstLine="425"/>
        <w:jc w:val="both"/>
        <w:rPr>
          <w:sz w:val="22"/>
          <w:szCs w:val="22"/>
        </w:rPr>
      </w:pPr>
      <w:r w:rsidRPr="00EC1A78">
        <w:rPr>
          <w:sz w:val="22"/>
          <w:szCs w:val="22"/>
        </w:rPr>
        <w:t>Через три месяца после посадки провели подсчет количества укоренившихся черенков и оценили их по морфологическим пок</w:t>
      </w:r>
      <w:r w:rsidRPr="00EC1A78">
        <w:rPr>
          <w:sz w:val="22"/>
          <w:szCs w:val="22"/>
        </w:rPr>
        <w:t>а</w:t>
      </w:r>
      <w:r w:rsidRPr="00EC1A78">
        <w:rPr>
          <w:sz w:val="22"/>
          <w:szCs w:val="22"/>
        </w:rPr>
        <w:t xml:space="preserve">зателям. Выход укоренившихся черенков существенно зависел от сортовых особенностей: у сорта Иоанн Павел </w:t>
      </w:r>
      <w:r w:rsidRPr="00EC1A78">
        <w:rPr>
          <w:sz w:val="22"/>
          <w:szCs w:val="22"/>
          <w:lang w:val="en-US"/>
        </w:rPr>
        <w:t>II</w:t>
      </w:r>
      <w:r w:rsidRPr="00EC1A78">
        <w:rPr>
          <w:sz w:val="22"/>
          <w:szCs w:val="22"/>
        </w:rPr>
        <w:t xml:space="preserve"> он составил 100 %, а у сорта Каен – 0 %. Высоким выходом укоренившихся черенков выделялись сорта Бал цветов (91 %), Рассвет, Министр (80 %). Зн</w:t>
      </w:r>
      <w:r w:rsidRPr="00EC1A78">
        <w:rPr>
          <w:sz w:val="22"/>
          <w:szCs w:val="22"/>
        </w:rPr>
        <w:t>а</w:t>
      </w:r>
      <w:r w:rsidRPr="00EC1A78">
        <w:rPr>
          <w:sz w:val="22"/>
          <w:szCs w:val="22"/>
        </w:rPr>
        <w:t>чительно отставали по корнеобразовательной способности  от др</w:t>
      </w:r>
      <w:r w:rsidRPr="00EC1A78">
        <w:rPr>
          <w:sz w:val="22"/>
          <w:szCs w:val="22"/>
        </w:rPr>
        <w:t>у</w:t>
      </w:r>
      <w:r w:rsidRPr="00EC1A78">
        <w:rPr>
          <w:sz w:val="22"/>
          <w:szCs w:val="22"/>
        </w:rPr>
        <w:t xml:space="preserve">гих вариантов сорта Восток и Фейер Розамунд.   </w:t>
      </w:r>
    </w:p>
    <w:p w:rsidR="00EC1A78" w:rsidRPr="00EC1A78" w:rsidRDefault="00EC1A78" w:rsidP="00EC1A78">
      <w:pPr>
        <w:ind w:firstLine="425"/>
        <w:jc w:val="both"/>
        <w:rPr>
          <w:sz w:val="22"/>
          <w:szCs w:val="22"/>
        </w:rPr>
      </w:pPr>
      <w:r w:rsidRPr="00EC1A78">
        <w:rPr>
          <w:sz w:val="22"/>
          <w:szCs w:val="22"/>
        </w:rPr>
        <w:t>Важным показателем является характеристика полученного п</w:t>
      </w:r>
      <w:r w:rsidRPr="00EC1A78">
        <w:rPr>
          <w:sz w:val="22"/>
          <w:szCs w:val="22"/>
        </w:rPr>
        <w:t>о</w:t>
      </w:r>
      <w:r w:rsidRPr="00EC1A78">
        <w:rPr>
          <w:sz w:val="22"/>
          <w:szCs w:val="22"/>
        </w:rPr>
        <w:t>садочного материала: готов ли он к реализации или требует дор</w:t>
      </w:r>
      <w:r w:rsidRPr="00EC1A78">
        <w:rPr>
          <w:sz w:val="22"/>
          <w:szCs w:val="22"/>
        </w:rPr>
        <w:t>а</w:t>
      </w:r>
      <w:r w:rsidRPr="00EC1A78">
        <w:rPr>
          <w:sz w:val="22"/>
          <w:szCs w:val="22"/>
        </w:rPr>
        <w:t>щивания. Наибольшее количество кондиционного посадочного м</w:t>
      </w:r>
      <w:r w:rsidRPr="00EC1A78">
        <w:rPr>
          <w:sz w:val="22"/>
          <w:szCs w:val="22"/>
        </w:rPr>
        <w:t>а</w:t>
      </w:r>
      <w:r w:rsidRPr="00EC1A78">
        <w:rPr>
          <w:sz w:val="22"/>
          <w:szCs w:val="22"/>
        </w:rPr>
        <w:t xml:space="preserve">териала получено у сорта Иоанн Павел </w:t>
      </w:r>
      <w:r w:rsidRPr="00EC1A78">
        <w:rPr>
          <w:sz w:val="22"/>
          <w:szCs w:val="22"/>
          <w:lang w:val="en-US"/>
        </w:rPr>
        <w:t>II</w:t>
      </w:r>
      <w:r w:rsidRPr="00EC1A78">
        <w:rPr>
          <w:sz w:val="22"/>
          <w:szCs w:val="22"/>
        </w:rPr>
        <w:t xml:space="preserve"> (50 %), высоким выходом товарности характеризовались сорта Министр (ст.), Бал цветов, Ра</w:t>
      </w:r>
      <w:r w:rsidRPr="00EC1A78">
        <w:rPr>
          <w:sz w:val="22"/>
          <w:szCs w:val="22"/>
        </w:rPr>
        <w:t>с</w:t>
      </w:r>
      <w:r w:rsidRPr="00EC1A78">
        <w:rPr>
          <w:sz w:val="22"/>
          <w:szCs w:val="22"/>
        </w:rPr>
        <w:t xml:space="preserve">свет; низким – Ниоби. </w:t>
      </w:r>
    </w:p>
    <w:p w:rsidR="00EC1A78" w:rsidRPr="00EC1A78" w:rsidRDefault="00EC1A78" w:rsidP="00EC1A78">
      <w:pPr>
        <w:ind w:firstLine="425"/>
        <w:jc w:val="both"/>
        <w:rPr>
          <w:sz w:val="22"/>
          <w:szCs w:val="22"/>
        </w:rPr>
      </w:pPr>
      <w:r w:rsidRPr="00EC1A78">
        <w:rPr>
          <w:sz w:val="22"/>
          <w:szCs w:val="22"/>
        </w:rPr>
        <w:t xml:space="preserve">  Проведенный анализ структуры корневой системы кондиц</w:t>
      </w:r>
      <w:r w:rsidRPr="00EC1A78">
        <w:rPr>
          <w:sz w:val="22"/>
          <w:szCs w:val="22"/>
        </w:rPr>
        <w:t>и</w:t>
      </w:r>
      <w:r w:rsidRPr="00EC1A78">
        <w:rPr>
          <w:sz w:val="22"/>
          <w:szCs w:val="22"/>
        </w:rPr>
        <w:t xml:space="preserve">онных черенков клематиса  выявил  различия  в  разрезе  вариантов опыта. Черенки сортов Иоанн Павел </w:t>
      </w:r>
      <w:r w:rsidRPr="00EC1A78">
        <w:rPr>
          <w:sz w:val="22"/>
          <w:szCs w:val="22"/>
          <w:lang w:val="en-US"/>
        </w:rPr>
        <w:t>II</w:t>
      </w:r>
      <w:r w:rsidRPr="00EC1A78">
        <w:rPr>
          <w:sz w:val="22"/>
          <w:szCs w:val="22"/>
        </w:rPr>
        <w:t xml:space="preserve"> и Рассвет образовали </w:t>
      </w:r>
      <w:r w:rsidRPr="00EC1A78">
        <w:rPr>
          <w:sz w:val="22"/>
          <w:szCs w:val="22"/>
        </w:rPr>
        <w:lastRenderedPageBreak/>
        <w:t>наибольшее количество корней,  на 8,3–25,0 % выше стандарта; протяженность корневой системы  при этом была длиннее на 19,3–24,4 %. Значительно уступали по показателям корневой системы другим вариантам сорта Восток, Ниоби и Розамунд. Корни у чере</w:t>
      </w:r>
      <w:r w:rsidRPr="00EC1A78">
        <w:rPr>
          <w:sz w:val="22"/>
          <w:szCs w:val="22"/>
        </w:rPr>
        <w:t>н</w:t>
      </w:r>
      <w:r w:rsidRPr="00EC1A78">
        <w:rPr>
          <w:sz w:val="22"/>
          <w:szCs w:val="22"/>
        </w:rPr>
        <w:t>ков сортов клематиса Министр и Бал цветов были утолщенные, но слаборазветвленные, у других сортов – тонкие, но хорошо развет</w:t>
      </w:r>
      <w:r w:rsidRPr="00EC1A78">
        <w:rPr>
          <w:sz w:val="22"/>
          <w:szCs w:val="22"/>
        </w:rPr>
        <w:t>в</w:t>
      </w:r>
      <w:r w:rsidRPr="00EC1A78">
        <w:rPr>
          <w:sz w:val="22"/>
          <w:szCs w:val="22"/>
        </w:rPr>
        <w:t xml:space="preserve">ленные. </w:t>
      </w:r>
    </w:p>
    <w:p w:rsidR="00EC1A78" w:rsidRPr="00EC1A78" w:rsidRDefault="00EC1A78" w:rsidP="00EC1A78">
      <w:pPr>
        <w:ind w:firstLine="425"/>
        <w:jc w:val="both"/>
        <w:rPr>
          <w:sz w:val="22"/>
          <w:szCs w:val="22"/>
        </w:rPr>
      </w:pPr>
      <w:r w:rsidRPr="00EC1A78">
        <w:rPr>
          <w:sz w:val="22"/>
          <w:szCs w:val="22"/>
        </w:rPr>
        <w:t>Следовательно, на основании полученных результатов можно сделать вывод о том, что укоренение черенков клематиса обусла</w:t>
      </w:r>
      <w:r w:rsidRPr="00EC1A78">
        <w:rPr>
          <w:sz w:val="22"/>
          <w:szCs w:val="22"/>
        </w:rPr>
        <w:t>в</w:t>
      </w:r>
      <w:r w:rsidRPr="00EC1A78">
        <w:rPr>
          <w:sz w:val="22"/>
          <w:szCs w:val="22"/>
        </w:rPr>
        <w:t>ливалось сортовыми особенностями. Высоким выходом кондиц</w:t>
      </w:r>
      <w:r w:rsidRPr="00EC1A78">
        <w:rPr>
          <w:sz w:val="22"/>
          <w:szCs w:val="22"/>
        </w:rPr>
        <w:t>и</w:t>
      </w:r>
      <w:r w:rsidRPr="00EC1A78">
        <w:rPr>
          <w:sz w:val="22"/>
          <w:szCs w:val="22"/>
        </w:rPr>
        <w:t xml:space="preserve">онных черенков  выделился сорт Иоанн Павел </w:t>
      </w:r>
      <w:r w:rsidRPr="00EC1A78">
        <w:rPr>
          <w:sz w:val="22"/>
          <w:szCs w:val="22"/>
          <w:lang w:val="en-US"/>
        </w:rPr>
        <w:t>II</w:t>
      </w:r>
      <w:r w:rsidRPr="00EC1A78">
        <w:rPr>
          <w:sz w:val="22"/>
          <w:szCs w:val="22"/>
        </w:rPr>
        <w:t>.</w:t>
      </w:r>
    </w:p>
    <w:p w:rsidR="00EC1A78" w:rsidRPr="00EC1A78" w:rsidRDefault="00EC1A78" w:rsidP="00EC1A78">
      <w:pPr>
        <w:ind w:firstLine="425"/>
        <w:jc w:val="both"/>
        <w:rPr>
          <w:sz w:val="22"/>
          <w:szCs w:val="22"/>
        </w:rPr>
      </w:pPr>
      <w:r w:rsidRPr="00EC1A78">
        <w:rPr>
          <w:sz w:val="22"/>
          <w:szCs w:val="22"/>
        </w:rPr>
        <w:t xml:space="preserve"> </w:t>
      </w:r>
    </w:p>
    <w:p w:rsidR="00EC1A78" w:rsidRPr="00EC1A78" w:rsidRDefault="00906BF3" w:rsidP="00EC1A78">
      <w:pPr>
        <w:ind w:firstLine="425"/>
        <w:jc w:val="center"/>
        <w:rPr>
          <w:sz w:val="22"/>
          <w:szCs w:val="22"/>
        </w:rPr>
      </w:pPr>
      <w:r>
        <w:rPr>
          <w:sz w:val="22"/>
          <w:szCs w:val="22"/>
        </w:rPr>
        <w:t>Список литературы</w:t>
      </w:r>
    </w:p>
    <w:p w:rsidR="00EC1A78" w:rsidRPr="00EC1A78" w:rsidRDefault="00EC1A78" w:rsidP="00EC1A78">
      <w:pPr>
        <w:ind w:firstLine="425"/>
        <w:jc w:val="both"/>
        <w:rPr>
          <w:sz w:val="22"/>
          <w:szCs w:val="22"/>
        </w:rPr>
      </w:pPr>
      <w:r w:rsidRPr="00EC1A78">
        <w:rPr>
          <w:sz w:val="22"/>
          <w:szCs w:val="22"/>
        </w:rPr>
        <w:t>1. Алексеева, Т. М. Кле</w:t>
      </w:r>
      <w:r w:rsidR="00906BF3">
        <w:rPr>
          <w:sz w:val="22"/>
          <w:szCs w:val="22"/>
        </w:rPr>
        <w:t xml:space="preserve">матисы / Т. М. Алексева. – М.: </w:t>
      </w:r>
      <w:r w:rsidRPr="00EC1A78">
        <w:rPr>
          <w:sz w:val="22"/>
          <w:szCs w:val="22"/>
        </w:rPr>
        <w:t>Фитон плюс. – 2009. – 176 с.</w:t>
      </w:r>
    </w:p>
    <w:p w:rsidR="00EC1A78" w:rsidRPr="00EC1A78" w:rsidRDefault="00EC1A78" w:rsidP="00EC1A78">
      <w:pPr>
        <w:ind w:firstLine="425"/>
        <w:jc w:val="both"/>
        <w:rPr>
          <w:sz w:val="22"/>
          <w:szCs w:val="22"/>
        </w:rPr>
      </w:pPr>
      <w:r w:rsidRPr="00EC1A78">
        <w:rPr>
          <w:sz w:val="22"/>
          <w:szCs w:val="22"/>
        </w:rPr>
        <w:t>2. Кащеева, Ю. П. Размножение клематиса стеблевыми чере</w:t>
      </w:r>
      <w:r w:rsidRPr="00EC1A78">
        <w:rPr>
          <w:sz w:val="22"/>
          <w:szCs w:val="22"/>
        </w:rPr>
        <w:t>н</w:t>
      </w:r>
      <w:r w:rsidRPr="00EC1A78">
        <w:rPr>
          <w:sz w:val="22"/>
          <w:szCs w:val="22"/>
        </w:rPr>
        <w:t>ками / Ю. П. Кащеева // Цветоводство. – 1981. – №2. – С. 32-36.</w:t>
      </w:r>
    </w:p>
    <w:p w:rsidR="00EC1A78" w:rsidRPr="00EC1A78" w:rsidRDefault="00EC1A78" w:rsidP="00EC1A78">
      <w:pPr>
        <w:ind w:firstLine="425"/>
        <w:jc w:val="both"/>
        <w:rPr>
          <w:sz w:val="22"/>
          <w:szCs w:val="22"/>
        </w:rPr>
      </w:pPr>
      <w:r w:rsidRPr="00EC1A78">
        <w:rPr>
          <w:sz w:val="22"/>
          <w:szCs w:val="22"/>
        </w:rPr>
        <w:t>3. Траннуа П. Подбери ключи к клематису / П. Траннуа // Вес</w:t>
      </w:r>
      <w:r w:rsidRPr="00EC1A78">
        <w:rPr>
          <w:sz w:val="22"/>
          <w:szCs w:val="22"/>
        </w:rPr>
        <w:t>т</w:t>
      </w:r>
      <w:r w:rsidRPr="00EC1A78">
        <w:rPr>
          <w:sz w:val="22"/>
          <w:szCs w:val="22"/>
        </w:rPr>
        <w:t>ник цветовода. – 2007. – №16 (84). – С. 26-27.</w:t>
      </w:r>
    </w:p>
    <w:p w:rsidR="00EC1A78" w:rsidRPr="00906BF3" w:rsidRDefault="00906BF3" w:rsidP="00906BF3">
      <w:pPr>
        <w:rPr>
          <w:sz w:val="22"/>
          <w:szCs w:val="22"/>
        </w:rPr>
      </w:pPr>
      <w:r>
        <w:rPr>
          <w:sz w:val="22"/>
          <w:szCs w:val="22"/>
        </w:rPr>
        <w:br w:type="page"/>
      </w:r>
    </w:p>
    <w:p w:rsidR="007D0F07" w:rsidRPr="00CF47AC" w:rsidRDefault="003B335B" w:rsidP="00CF47AC">
      <w:pPr>
        <w:ind w:firstLine="426"/>
        <w:jc w:val="center"/>
        <w:rPr>
          <w:b/>
          <w:shd w:val="clear" w:color="auto" w:fill="FFFFFF"/>
        </w:rPr>
      </w:pPr>
      <w:r>
        <w:rPr>
          <w:b/>
          <w:shd w:val="clear" w:color="auto" w:fill="FFFFFF"/>
        </w:rPr>
        <w:lastRenderedPageBreak/>
        <w:t>Факультет перерабатывающих технологий</w:t>
      </w:r>
    </w:p>
    <w:p w:rsidR="00281602" w:rsidRPr="00281602" w:rsidRDefault="00281602" w:rsidP="00281602">
      <w:pPr>
        <w:rPr>
          <w:rFonts w:eastAsia="Calibri"/>
          <w:sz w:val="22"/>
          <w:szCs w:val="22"/>
          <w:lang w:eastAsia="en-US"/>
        </w:rPr>
      </w:pPr>
    </w:p>
    <w:p w:rsidR="00281602" w:rsidRDefault="00281602" w:rsidP="00281602">
      <w:pPr>
        <w:jc w:val="both"/>
        <w:rPr>
          <w:rFonts w:eastAsia="Calibri"/>
          <w:sz w:val="22"/>
          <w:szCs w:val="22"/>
          <w:lang w:eastAsia="en-US"/>
        </w:rPr>
      </w:pPr>
      <w:r w:rsidRPr="00281602">
        <w:rPr>
          <w:rFonts w:eastAsia="Calibri"/>
          <w:sz w:val="22"/>
          <w:szCs w:val="22"/>
          <w:lang w:eastAsia="en-US"/>
        </w:rPr>
        <w:t>УДК 664.86</w:t>
      </w:r>
      <w:r w:rsidR="00024398">
        <w:rPr>
          <w:rFonts w:eastAsia="Calibri"/>
          <w:sz w:val="22"/>
          <w:szCs w:val="22"/>
          <w:lang w:eastAsia="en-US"/>
        </w:rPr>
        <w:t xml:space="preserve"> </w:t>
      </w:r>
    </w:p>
    <w:p w:rsidR="00024398" w:rsidRPr="00281602" w:rsidRDefault="00024398" w:rsidP="00281602">
      <w:pPr>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Разработка функциональных продуктов </w:t>
      </w:r>
    </w:p>
    <w:p w:rsidR="00281602" w:rsidRPr="001755C3" w:rsidRDefault="00281602" w:rsidP="00281602">
      <w:pPr>
        <w:jc w:val="center"/>
        <w:rPr>
          <w:rFonts w:eastAsia="Calibri"/>
          <w:b/>
          <w:sz w:val="24"/>
          <w:szCs w:val="24"/>
          <w:lang w:val="en-US" w:eastAsia="en-US"/>
        </w:rPr>
      </w:pPr>
      <w:r w:rsidRPr="00281602">
        <w:rPr>
          <w:rFonts w:eastAsia="Calibri"/>
          <w:b/>
          <w:sz w:val="24"/>
          <w:szCs w:val="24"/>
          <w:lang w:eastAsia="en-US"/>
        </w:rPr>
        <w:t>для</w:t>
      </w:r>
      <w:r w:rsidRPr="001755C3">
        <w:rPr>
          <w:rFonts w:eastAsia="Calibri"/>
          <w:b/>
          <w:sz w:val="24"/>
          <w:szCs w:val="24"/>
          <w:lang w:val="en-US" w:eastAsia="en-US"/>
        </w:rPr>
        <w:t xml:space="preserve"> </w:t>
      </w:r>
      <w:r w:rsidRPr="00281602">
        <w:rPr>
          <w:rFonts w:eastAsia="Calibri"/>
          <w:b/>
          <w:sz w:val="24"/>
          <w:szCs w:val="24"/>
          <w:lang w:eastAsia="en-US"/>
        </w:rPr>
        <w:t>диабетиков</w:t>
      </w:r>
    </w:p>
    <w:p w:rsidR="00024398" w:rsidRPr="00024398" w:rsidRDefault="00024398" w:rsidP="00024398">
      <w:pPr>
        <w:jc w:val="center"/>
        <w:rPr>
          <w:rFonts w:eastAsia="Calibri"/>
          <w:b/>
          <w:sz w:val="24"/>
          <w:szCs w:val="24"/>
          <w:lang w:val="en-US" w:eastAsia="en-US"/>
        </w:rPr>
      </w:pPr>
      <w:r w:rsidRPr="00024398">
        <w:rPr>
          <w:rFonts w:eastAsia="Calibri"/>
          <w:b/>
          <w:sz w:val="24"/>
          <w:szCs w:val="24"/>
          <w:lang w:val="en-US" w:eastAsia="en-US"/>
        </w:rPr>
        <w:t>Development of functional products</w:t>
      </w:r>
    </w:p>
    <w:p w:rsidR="00024398" w:rsidRPr="00024398" w:rsidRDefault="00024398" w:rsidP="00024398">
      <w:pPr>
        <w:jc w:val="center"/>
        <w:rPr>
          <w:rFonts w:eastAsia="Calibri"/>
          <w:b/>
          <w:sz w:val="24"/>
          <w:szCs w:val="24"/>
          <w:lang w:val="en-US" w:eastAsia="en-US"/>
        </w:rPr>
      </w:pPr>
      <w:r w:rsidRPr="00024398">
        <w:rPr>
          <w:rFonts w:eastAsia="Calibri"/>
          <w:b/>
          <w:sz w:val="24"/>
          <w:szCs w:val="24"/>
          <w:lang w:val="en-US" w:eastAsia="en-US"/>
        </w:rPr>
        <w:t>for diabetics</w:t>
      </w:r>
    </w:p>
    <w:p w:rsidR="00281602" w:rsidRPr="00024398" w:rsidRDefault="00281602" w:rsidP="00281602">
      <w:pPr>
        <w:rPr>
          <w:rFonts w:eastAsia="Calibri"/>
          <w:b/>
          <w:sz w:val="24"/>
          <w:szCs w:val="24"/>
          <w:lang w:val="en-US" w:eastAsia="en-US"/>
        </w:rPr>
      </w:pPr>
    </w:p>
    <w:p w:rsidR="00281602" w:rsidRPr="00024398" w:rsidRDefault="00281602" w:rsidP="00281602">
      <w:pPr>
        <w:jc w:val="right"/>
        <w:rPr>
          <w:rFonts w:eastAsia="Calibri"/>
          <w:sz w:val="22"/>
          <w:szCs w:val="22"/>
          <w:lang w:val="en-US" w:eastAsia="en-US"/>
        </w:rPr>
      </w:pPr>
      <w:r w:rsidRPr="00281602">
        <w:rPr>
          <w:rFonts w:eastAsia="Calibri"/>
          <w:sz w:val="22"/>
          <w:szCs w:val="22"/>
          <w:lang w:eastAsia="en-US"/>
        </w:rPr>
        <w:t>Аверкиева</w:t>
      </w:r>
      <w:r w:rsidRPr="00024398">
        <w:rPr>
          <w:rFonts w:eastAsia="Calibri"/>
          <w:sz w:val="22"/>
          <w:szCs w:val="22"/>
          <w:lang w:val="en-US" w:eastAsia="en-US"/>
        </w:rPr>
        <w:t xml:space="preserve"> </w:t>
      </w:r>
      <w:r w:rsidRPr="00281602">
        <w:rPr>
          <w:rFonts w:eastAsia="Calibri"/>
          <w:sz w:val="22"/>
          <w:szCs w:val="22"/>
          <w:lang w:eastAsia="en-US"/>
        </w:rPr>
        <w:t>А</w:t>
      </w:r>
      <w:r w:rsidRPr="00024398">
        <w:rPr>
          <w:rFonts w:eastAsia="Calibri"/>
          <w:sz w:val="22"/>
          <w:szCs w:val="22"/>
          <w:lang w:val="en-US" w:eastAsia="en-US"/>
        </w:rPr>
        <w:t>.</w:t>
      </w:r>
      <w:r w:rsidR="00024398" w:rsidRPr="00024398">
        <w:rPr>
          <w:rFonts w:eastAsia="Calibri"/>
          <w:sz w:val="22"/>
          <w:szCs w:val="22"/>
          <w:lang w:val="en-US" w:eastAsia="en-US"/>
        </w:rPr>
        <w:t xml:space="preserve"> </w:t>
      </w:r>
      <w:r w:rsidRPr="00281602">
        <w:rPr>
          <w:rFonts w:eastAsia="Calibri"/>
          <w:sz w:val="22"/>
          <w:szCs w:val="22"/>
          <w:lang w:eastAsia="en-US"/>
        </w:rPr>
        <w:t>И</w:t>
      </w:r>
      <w:r w:rsidRPr="00024398">
        <w:rPr>
          <w:rFonts w:eastAsia="Calibri"/>
          <w:sz w:val="22"/>
          <w:szCs w:val="22"/>
          <w:lang w:val="en-US" w:eastAsia="en-US"/>
        </w:rPr>
        <w:t>.,</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студент-магистрант 2-го курса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факультета 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Соболь И.</w:t>
      </w:r>
      <w:r w:rsidR="00024398">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и переработки растениеводческой продукции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имени И.</w:t>
      </w:r>
      <w:r w:rsidR="00024398">
        <w:rPr>
          <w:rFonts w:eastAsia="Calibri"/>
          <w:sz w:val="22"/>
          <w:szCs w:val="22"/>
          <w:lang w:eastAsia="en-US"/>
        </w:rPr>
        <w:t xml:space="preserve"> </w:t>
      </w:r>
      <w:r w:rsidRPr="00281602">
        <w:rPr>
          <w:rFonts w:eastAsia="Calibri"/>
          <w:sz w:val="22"/>
          <w:szCs w:val="22"/>
          <w:lang w:eastAsia="en-US"/>
        </w:rPr>
        <w:t>Т. Трубилина</w:t>
      </w:r>
    </w:p>
    <w:p w:rsidR="00281602" w:rsidRPr="00281602" w:rsidRDefault="00281602" w:rsidP="00281602">
      <w:pPr>
        <w:jc w:val="right"/>
        <w:rPr>
          <w:rFonts w:eastAsia="Calibri"/>
          <w:sz w:val="22"/>
          <w:szCs w:val="22"/>
          <w:lang w:eastAsia="en-US"/>
        </w:rPr>
      </w:pP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АННОТАЦИЯ: В статье рассматриваются проблемы питания для диабетиков. Описан новый продукт, разработанный с использ</w:t>
      </w:r>
      <w:r w:rsidRPr="00281602">
        <w:rPr>
          <w:rFonts w:eastAsia="Calibri"/>
          <w:sz w:val="22"/>
          <w:szCs w:val="22"/>
          <w:lang w:eastAsia="en-US"/>
        </w:rPr>
        <w:t>о</w:t>
      </w:r>
      <w:r w:rsidRPr="00281602">
        <w:rPr>
          <w:rFonts w:eastAsia="Calibri"/>
          <w:sz w:val="22"/>
          <w:szCs w:val="22"/>
          <w:lang w:eastAsia="en-US"/>
        </w:rPr>
        <w:t>ванием натуральных плодовых и овощных пюре, пектина и ку</w:t>
      </w:r>
      <w:r w:rsidRPr="00281602">
        <w:rPr>
          <w:rFonts w:eastAsia="Calibri"/>
          <w:sz w:val="22"/>
          <w:szCs w:val="22"/>
          <w:lang w:eastAsia="en-US"/>
        </w:rPr>
        <w:t>н</w:t>
      </w:r>
      <w:r w:rsidRPr="00281602">
        <w:rPr>
          <w:rFonts w:eastAsia="Calibri"/>
          <w:sz w:val="22"/>
          <w:szCs w:val="22"/>
          <w:lang w:eastAsia="en-US"/>
        </w:rPr>
        <w:t xml:space="preserve">жута. </w:t>
      </w:r>
    </w:p>
    <w:p w:rsidR="00281602" w:rsidRPr="00281602" w:rsidRDefault="00281602" w:rsidP="00024398">
      <w:pPr>
        <w:ind w:firstLine="426"/>
        <w:jc w:val="both"/>
        <w:rPr>
          <w:rFonts w:eastAsia="Calibri"/>
          <w:sz w:val="22"/>
          <w:szCs w:val="22"/>
          <w:lang w:val="en-US" w:eastAsia="en-US"/>
        </w:rPr>
      </w:pPr>
      <w:r w:rsidRPr="00281602">
        <w:rPr>
          <w:rFonts w:eastAsia="Calibri"/>
          <w:caps/>
          <w:sz w:val="22"/>
          <w:szCs w:val="22"/>
          <w:lang w:val="en-US" w:eastAsia="en-US"/>
        </w:rPr>
        <w:t>Abstract:</w:t>
      </w:r>
      <w:r w:rsidRPr="00281602">
        <w:rPr>
          <w:rFonts w:eastAsia="Calibri"/>
          <w:sz w:val="22"/>
          <w:szCs w:val="22"/>
          <w:lang w:val="en-US" w:eastAsia="en-US"/>
        </w:rPr>
        <w:t xml:space="preserve"> the article deals with the problems of nutrition for d</w:t>
      </w:r>
      <w:r w:rsidRPr="00281602">
        <w:rPr>
          <w:rFonts w:eastAsia="Calibri"/>
          <w:sz w:val="22"/>
          <w:szCs w:val="22"/>
          <w:lang w:val="en-US" w:eastAsia="en-US"/>
        </w:rPr>
        <w:t>i</w:t>
      </w:r>
      <w:r w:rsidRPr="00281602">
        <w:rPr>
          <w:rFonts w:eastAsia="Calibri"/>
          <w:sz w:val="22"/>
          <w:szCs w:val="22"/>
          <w:lang w:val="en-US" w:eastAsia="en-US"/>
        </w:rPr>
        <w:t>abetics. The new product developed with use of natural fruit and veget</w:t>
      </w:r>
      <w:r w:rsidRPr="00281602">
        <w:rPr>
          <w:rFonts w:eastAsia="Calibri"/>
          <w:sz w:val="22"/>
          <w:szCs w:val="22"/>
          <w:lang w:val="en-US" w:eastAsia="en-US"/>
        </w:rPr>
        <w:t>a</w:t>
      </w:r>
      <w:r w:rsidRPr="00281602">
        <w:rPr>
          <w:rFonts w:eastAsia="Calibri"/>
          <w:sz w:val="22"/>
          <w:szCs w:val="22"/>
          <w:lang w:val="en-US" w:eastAsia="en-US"/>
        </w:rPr>
        <w:t>ble puree, pectin and sesame seeds is described.</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КЛЮЧЕВЫЕ СЛОВА: диабет, функциональные продукты, плодовое и овощное пюре, кунжут.</w:t>
      </w:r>
    </w:p>
    <w:p w:rsidR="00281602" w:rsidRPr="00281602" w:rsidRDefault="00281602" w:rsidP="00024398">
      <w:pPr>
        <w:ind w:firstLine="426"/>
        <w:jc w:val="both"/>
        <w:rPr>
          <w:rFonts w:eastAsia="Calibri"/>
          <w:sz w:val="22"/>
          <w:szCs w:val="22"/>
          <w:lang w:val="en-US" w:eastAsia="en-US"/>
        </w:rPr>
      </w:pPr>
      <w:r w:rsidRPr="00281602">
        <w:rPr>
          <w:rFonts w:eastAsia="Calibri"/>
          <w:sz w:val="22"/>
          <w:szCs w:val="22"/>
          <w:lang w:val="en-US" w:eastAsia="en-US"/>
        </w:rPr>
        <w:t>KEYWORDS: diabetes, functional foods, fruit and vegetable puree and sesame.</w:t>
      </w:r>
    </w:p>
    <w:p w:rsidR="00281602" w:rsidRPr="00281602" w:rsidRDefault="00281602" w:rsidP="00024398">
      <w:pPr>
        <w:ind w:firstLine="426"/>
        <w:jc w:val="both"/>
        <w:rPr>
          <w:rFonts w:eastAsia="Calibri"/>
          <w:sz w:val="22"/>
          <w:szCs w:val="22"/>
          <w:lang w:val="en-US" w:eastAsia="en-US"/>
        </w:rPr>
      </w:pP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Питание является важнейшим фактором обеспечивающим и формирующим общественное и социальное положение человека. Обеспечение организма полезными питательными веществами, к</w:t>
      </w:r>
      <w:r w:rsidRPr="00281602">
        <w:rPr>
          <w:rFonts w:eastAsia="Calibri"/>
          <w:sz w:val="22"/>
          <w:szCs w:val="22"/>
          <w:lang w:eastAsia="en-US"/>
        </w:rPr>
        <w:t>о</w:t>
      </w:r>
      <w:r w:rsidRPr="00281602">
        <w:rPr>
          <w:rFonts w:eastAsia="Calibri"/>
          <w:sz w:val="22"/>
          <w:szCs w:val="22"/>
          <w:lang w:eastAsia="en-US"/>
        </w:rPr>
        <w:t>торые поступают вместе с пищей, формирующими правильный о</w:t>
      </w:r>
      <w:r w:rsidRPr="00281602">
        <w:rPr>
          <w:rFonts w:eastAsia="Calibri"/>
          <w:sz w:val="22"/>
          <w:szCs w:val="22"/>
          <w:lang w:eastAsia="en-US"/>
        </w:rPr>
        <w:t>б</w:t>
      </w:r>
      <w:r w:rsidRPr="00281602">
        <w:rPr>
          <w:rFonts w:eastAsia="Calibri"/>
          <w:sz w:val="22"/>
          <w:szCs w:val="22"/>
          <w:lang w:eastAsia="en-US"/>
        </w:rPr>
        <w:t>мен веществ и снабжающими организм необходимой энергией и пластическими материалами, определяют продолжительность жи</w:t>
      </w:r>
      <w:r w:rsidRPr="00281602">
        <w:rPr>
          <w:rFonts w:eastAsia="Calibri"/>
          <w:sz w:val="22"/>
          <w:szCs w:val="22"/>
          <w:lang w:eastAsia="en-US"/>
        </w:rPr>
        <w:t>з</w:t>
      </w:r>
      <w:r w:rsidRPr="00281602">
        <w:rPr>
          <w:rFonts w:eastAsia="Calibri"/>
          <w:sz w:val="22"/>
          <w:szCs w:val="22"/>
          <w:lang w:eastAsia="en-US"/>
        </w:rPr>
        <w:t>ни человека, его умственную и физическую активность.</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lastRenderedPageBreak/>
        <w:t>В настоящее время назрела острая необходимость произво</w:t>
      </w:r>
      <w:r w:rsidRPr="00281602">
        <w:rPr>
          <w:rFonts w:eastAsia="Calibri"/>
          <w:sz w:val="22"/>
          <w:szCs w:val="22"/>
          <w:lang w:eastAsia="en-US"/>
        </w:rPr>
        <w:t>д</w:t>
      </w:r>
      <w:r w:rsidRPr="00281602">
        <w:rPr>
          <w:rFonts w:eastAsia="Calibri"/>
          <w:sz w:val="22"/>
          <w:szCs w:val="22"/>
          <w:lang w:eastAsia="en-US"/>
        </w:rPr>
        <w:t>ства и вывода на российский рынок широкого ассортимента фун</w:t>
      </w:r>
      <w:r w:rsidRPr="00281602">
        <w:rPr>
          <w:rFonts w:eastAsia="Calibri"/>
          <w:sz w:val="22"/>
          <w:szCs w:val="22"/>
          <w:lang w:eastAsia="en-US"/>
        </w:rPr>
        <w:t>к</w:t>
      </w:r>
      <w:r w:rsidRPr="00281602">
        <w:rPr>
          <w:rFonts w:eastAsia="Calibri"/>
          <w:sz w:val="22"/>
          <w:szCs w:val="22"/>
          <w:lang w:eastAsia="en-US"/>
        </w:rPr>
        <w:t>циональных пищевых продуктов различной функциональной направленности [1,2,3].</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В настоящее время сахарный диабет относится к наиболее т</w:t>
      </w:r>
      <w:r w:rsidRPr="00281602">
        <w:rPr>
          <w:rFonts w:eastAsia="Calibri"/>
          <w:sz w:val="22"/>
          <w:szCs w:val="22"/>
          <w:lang w:eastAsia="en-US"/>
        </w:rPr>
        <w:t>я</w:t>
      </w:r>
      <w:r w:rsidRPr="00281602">
        <w:rPr>
          <w:rFonts w:eastAsia="Calibri"/>
          <w:sz w:val="22"/>
          <w:szCs w:val="22"/>
          <w:lang w:eastAsia="en-US"/>
        </w:rPr>
        <w:t>желым и сложным заболеваниям не только в России, но и в мир</w:t>
      </w:r>
      <w:r w:rsidRPr="00281602">
        <w:rPr>
          <w:rFonts w:eastAsia="Calibri"/>
          <w:sz w:val="22"/>
          <w:szCs w:val="22"/>
          <w:lang w:eastAsia="en-US"/>
        </w:rPr>
        <w:t>о</w:t>
      </w:r>
      <w:r w:rsidRPr="00281602">
        <w:rPr>
          <w:rFonts w:eastAsia="Calibri"/>
          <w:sz w:val="22"/>
          <w:szCs w:val="22"/>
          <w:lang w:eastAsia="en-US"/>
        </w:rPr>
        <w:t>вом масштабе. С ним связано нарушение взаимопревращений сах</w:t>
      </w:r>
      <w:r w:rsidRPr="00281602">
        <w:rPr>
          <w:rFonts w:eastAsia="Calibri"/>
          <w:sz w:val="22"/>
          <w:szCs w:val="22"/>
          <w:lang w:eastAsia="en-US"/>
        </w:rPr>
        <w:t>а</w:t>
      </w:r>
      <w:r w:rsidRPr="00281602">
        <w:rPr>
          <w:rFonts w:eastAsia="Calibri"/>
          <w:sz w:val="22"/>
          <w:szCs w:val="22"/>
          <w:lang w:eastAsia="en-US"/>
        </w:rPr>
        <w:t>ра, и в-первую очередь, глюкозы в организме. Это нарушение вл</w:t>
      </w:r>
      <w:r w:rsidRPr="00281602">
        <w:rPr>
          <w:rFonts w:eastAsia="Calibri"/>
          <w:sz w:val="22"/>
          <w:szCs w:val="22"/>
          <w:lang w:eastAsia="en-US"/>
        </w:rPr>
        <w:t>е</w:t>
      </w:r>
      <w:r w:rsidRPr="00281602">
        <w:rPr>
          <w:rFonts w:eastAsia="Calibri"/>
          <w:sz w:val="22"/>
          <w:szCs w:val="22"/>
          <w:lang w:eastAsia="en-US"/>
        </w:rPr>
        <w:t>чет за собой еще более сложное нарушение общего метаболизма веществ таких как жиры и белки [4].</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Основным правилом для поддержания нормального взаим</w:t>
      </w:r>
      <w:r w:rsidRPr="00281602">
        <w:rPr>
          <w:rFonts w:eastAsia="Calibri"/>
          <w:sz w:val="22"/>
          <w:szCs w:val="22"/>
          <w:lang w:eastAsia="en-US"/>
        </w:rPr>
        <w:t>о</w:t>
      </w:r>
      <w:r w:rsidRPr="00281602">
        <w:rPr>
          <w:rFonts w:eastAsia="Calibri"/>
          <w:sz w:val="22"/>
          <w:szCs w:val="22"/>
          <w:lang w:eastAsia="en-US"/>
        </w:rPr>
        <w:t xml:space="preserve">превращения сахара в организме является полный или частичный отказ от него.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Продукты и напитки с высоким содержанием сахара, для л</w:t>
      </w:r>
      <w:r w:rsidRPr="00281602">
        <w:rPr>
          <w:rFonts w:eastAsia="Calibri"/>
          <w:sz w:val="22"/>
          <w:szCs w:val="22"/>
          <w:lang w:eastAsia="en-US"/>
        </w:rPr>
        <w:t>ю</w:t>
      </w:r>
      <w:r w:rsidRPr="00281602">
        <w:rPr>
          <w:rFonts w:eastAsia="Calibri"/>
          <w:sz w:val="22"/>
          <w:szCs w:val="22"/>
          <w:lang w:eastAsia="en-US"/>
        </w:rPr>
        <w:t xml:space="preserve">дей страдающим сахарным диабетом запрещены, так как подобные продукты могут резко повысить уровень сахара в крови и вызвать гипергликемию. Гипергликемия, в свою очередь, приводит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 xml:space="preserve">к нарушению обмена веществ и постепенному поражению функциональных систем организма.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Это обосновывает целесообразность разработки специализир</w:t>
      </w:r>
      <w:r w:rsidRPr="00281602">
        <w:rPr>
          <w:rFonts w:eastAsia="Calibri"/>
          <w:sz w:val="22"/>
          <w:szCs w:val="22"/>
          <w:lang w:eastAsia="en-US"/>
        </w:rPr>
        <w:t>о</w:t>
      </w:r>
      <w:r w:rsidRPr="00281602">
        <w:rPr>
          <w:rFonts w:eastAsia="Calibri"/>
          <w:sz w:val="22"/>
          <w:szCs w:val="22"/>
          <w:lang w:eastAsia="en-US"/>
        </w:rPr>
        <w:t>ванных изделий, которые могли бы использоваться для питания людей, страдающих сахарным диабетом или предрасположенных к этому заболеванию.</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В Кубанском государственном аграрном университете, на к</w:t>
      </w:r>
      <w:r w:rsidRPr="00281602">
        <w:rPr>
          <w:rFonts w:eastAsia="Calibri"/>
          <w:sz w:val="22"/>
          <w:szCs w:val="22"/>
          <w:lang w:eastAsia="en-US"/>
        </w:rPr>
        <w:t>а</w:t>
      </w:r>
      <w:r w:rsidRPr="00281602">
        <w:rPr>
          <w:rFonts w:eastAsia="Calibri"/>
          <w:sz w:val="22"/>
          <w:szCs w:val="22"/>
          <w:lang w:eastAsia="en-US"/>
        </w:rPr>
        <w:t>федре технологии хранения и переработки растениеводческой пр</w:t>
      </w:r>
      <w:r w:rsidRPr="00281602">
        <w:rPr>
          <w:rFonts w:eastAsia="Calibri"/>
          <w:sz w:val="22"/>
          <w:szCs w:val="22"/>
          <w:lang w:eastAsia="en-US"/>
        </w:rPr>
        <w:t>о</w:t>
      </w:r>
      <w:r w:rsidRPr="00281602">
        <w:rPr>
          <w:rFonts w:eastAsia="Calibri"/>
          <w:sz w:val="22"/>
          <w:szCs w:val="22"/>
          <w:lang w:eastAsia="en-US"/>
        </w:rPr>
        <w:t xml:space="preserve">дукции,ведутся исследования по разработке новых видов десертных продуктов для диабетического питания. </w:t>
      </w:r>
    </w:p>
    <w:p w:rsidR="00281602" w:rsidRPr="00281602" w:rsidRDefault="00281602" w:rsidP="00024398">
      <w:pPr>
        <w:ind w:firstLine="426"/>
        <w:jc w:val="both"/>
        <w:rPr>
          <w:sz w:val="22"/>
          <w:szCs w:val="22"/>
          <w:lang w:eastAsia="en-US"/>
        </w:rPr>
      </w:pPr>
      <w:r w:rsidRPr="00281602">
        <w:rPr>
          <w:sz w:val="22"/>
          <w:szCs w:val="22"/>
          <w:lang w:eastAsia="en-US"/>
        </w:rPr>
        <w:t>Новый продукт разрабатывается на основе натуральных ябло</w:t>
      </w:r>
      <w:r w:rsidRPr="00281602">
        <w:rPr>
          <w:sz w:val="22"/>
          <w:szCs w:val="22"/>
          <w:lang w:eastAsia="en-US"/>
        </w:rPr>
        <w:t>ч</w:t>
      </w:r>
      <w:r w:rsidRPr="00281602">
        <w:rPr>
          <w:sz w:val="22"/>
          <w:szCs w:val="22"/>
          <w:lang w:eastAsia="en-US"/>
        </w:rPr>
        <w:t>ного и тыквенного пюре, с введением в его состав натурального д</w:t>
      </w:r>
      <w:r w:rsidRPr="00281602">
        <w:rPr>
          <w:sz w:val="22"/>
          <w:szCs w:val="22"/>
          <w:lang w:eastAsia="en-US"/>
        </w:rPr>
        <w:t>е</w:t>
      </w:r>
      <w:r w:rsidRPr="00281602">
        <w:rPr>
          <w:sz w:val="22"/>
          <w:szCs w:val="22"/>
          <w:lang w:eastAsia="en-US"/>
        </w:rPr>
        <w:t>токсиканта, аниоксиданта и радиопротектора – пектина. В состав продукта также вводится кунжут. В качестве заменителя сахара и</w:t>
      </w:r>
      <w:r w:rsidRPr="00281602">
        <w:rPr>
          <w:sz w:val="22"/>
          <w:szCs w:val="22"/>
          <w:lang w:eastAsia="en-US"/>
        </w:rPr>
        <w:t>с</w:t>
      </w:r>
      <w:r w:rsidRPr="00281602">
        <w:rPr>
          <w:sz w:val="22"/>
          <w:szCs w:val="22"/>
          <w:lang w:eastAsia="en-US"/>
        </w:rPr>
        <w:t>пользуется фруктоза.</w:t>
      </w:r>
    </w:p>
    <w:p w:rsidR="00281602" w:rsidRPr="00281602" w:rsidRDefault="00281602" w:rsidP="00024398">
      <w:pPr>
        <w:ind w:firstLine="426"/>
        <w:jc w:val="both"/>
        <w:rPr>
          <w:sz w:val="22"/>
          <w:szCs w:val="22"/>
          <w:lang w:eastAsia="en-US"/>
        </w:rPr>
      </w:pPr>
      <w:r w:rsidRPr="00281602">
        <w:rPr>
          <w:sz w:val="22"/>
          <w:szCs w:val="22"/>
          <w:lang w:eastAsia="en-US"/>
        </w:rPr>
        <w:t>Натуральное яблочное пюре богато органическими кислотами, витаминами, макро- и микроэлементами (особенно калием и жел</w:t>
      </w:r>
      <w:r w:rsidRPr="00281602">
        <w:rPr>
          <w:sz w:val="22"/>
          <w:szCs w:val="22"/>
          <w:lang w:eastAsia="en-US"/>
        </w:rPr>
        <w:t>е</w:t>
      </w:r>
      <w:r w:rsidRPr="00281602">
        <w:rPr>
          <w:sz w:val="22"/>
          <w:szCs w:val="22"/>
          <w:lang w:eastAsia="en-US"/>
        </w:rPr>
        <w:t>зом), пищевыми волокнами. Что особенно необходимо для орг</w:t>
      </w:r>
      <w:r w:rsidRPr="00281602">
        <w:rPr>
          <w:sz w:val="22"/>
          <w:szCs w:val="22"/>
          <w:lang w:eastAsia="en-US"/>
        </w:rPr>
        <w:t>а</w:t>
      </w:r>
      <w:r w:rsidRPr="00281602">
        <w:rPr>
          <w:sz w:val="22"/>
          <w:szCs w:val="22"/>
          <w:lang w:eastAsia="en-US"/>
        </w:rPr>
        <w:t>низма с нарушением нормального метаболизма.</w:t>
      </w:r>
    </w:p>
    <w:p w:rsidR="00281602" w:rsidRPr="00281602" w:rsidRDefault="00281602" w:rsidP="00024398">
      <w:pPr>
        <w:ind w:firstLine="426"/>
        <w:jc w:val="both"/>
        <w:rPr>
          <w:sz w:val="22"/>
          <w:szCs w:val="22"/>
        </w:rPr>
      </w:pPr>
      <w:r w:rsidRPr="00281602">
        <w:rPr>
          <w:sz w:val="22"/>
          <w:szCs w:val="22"/>
        </w:rPr>
        <w:t xml:space="preserve">В </w:t>
      </w:r>
      <w:r w:rsidRPr="00281602">
        <w:rPr>
          <w:bCs/>
          <w:sz w:val="22"/>
          <w:szCs w:val="22"/>
        </w:rPr>
        <w:t>состав тыквенного пюре входят:</w:t>
      </w:r>
      <w:r w:rsidRPr="00281602">
        <w:rPr>
          <w:sz w:val="22"/>
          <w:szCs w:val="22"/>
        </w:rPr>
        <w:t xml:space="preserve"> вода (91,8г), углеводы (4,4), клетчатка (3г), белки (1г); жиры (0,1г), пищевые волокна (2 г), орг</w:t>
      </w:r>
      <w:r w:rsidRPr="00281602">
        <w:rPr>
          <w:sz w:val="22"/>
          <w:szCs w:val="22"/>
        </w:rPr>
        <w:t>а</w:t>
      </w:r>
      <w:r w:rsidRPr="00281602">
        <w:rPr>
          <w:sz w:val="22"/>
          <w:szCs w:val="22"/>
        </w:rPr>
        <w:lastRenderedPageBreak/>
        <w:t>нические кислоты (0,1г), макро- и микроэлементы, пектин, витам</w:t>
      </w:r>
      <w:r w:rsidRPr="00281602">
        <w:rPr>
          <w:sz w:val="22"/>
          <w:szCs w:val="22"/>
        </w:rPr>
        <w:t>и</w:t>
      </w:r>
      <w:r w:rsidRPr="00281602">
        <w:rPr>
          <w:sz w:val="22"/>
          <w:szCs w:val="22"/>
        </w:rPr>
        <w:t>ны группы В, С, РР, крахмал (0,2г) [5,6,7].</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Кунжутное семя богато мононенасыщенными жирными кисл</w:t>
      </w:r>
      <w:r w:rsidRPr="00281602">
        <w:rPr>
          <w:rFonts w:eastAsia="Calibri"/>
          <w:sz w:val="22"/>
          <w:szCs w:val="22"/>
          <w:lang w:eastAsia="en-US"/>
        </w:rPr>
        <w:t>о</w:t>
      </w:r>
      <w:r w:rsidRPr="00281602">
        <w:rPr>
          <w:rFonts w:eastAsia="Calibri"/>
          <w:sz w:val="22"/>
          <w:szCs w:val="22"/>
          <w:lang w:eastAsia="en-US"/>
        </w:rPr>
        <w:t>тами, способными снизить уровень вредного холестерина и пов</w:t>
      </w:r>
      <w:r w:rsidRPr="00281602">
        <w:rPr>
          <w:rFonts w:eastAsia="Calibri"/>
          <w:sz w:val="22"/>
          <w:szCs w:val="22"/>
          <w:lang w:eastAsia="en-US"/>
        </w:rPr>
        <w:t>ы</w:t>
      </w:r>
      <w:r w:rsidRPr="00281602">
        <w:rPr>
          <w:rFonts w:eastAsia="Calibri"/>
          <w:sz w:val="22"/>
          <w:szCs w:val="22"/>
          <w:lang w:eastAsia="en-US"/>
        </w:rPr>
        <w:t>сить уровень полезного холестерина в организме, тем самым предотвращая заболевания коронарных артерий и сердечный и</w:t>
      </w:r>
      <w:r w:rsidRPr="00281602">
        <w:rPr>
          <w:rFonts w:eastAsia="Calibri"/>
          <w:sz w:val="22"/>
          <w:szCs w:val="22"/>
          <w:lang w:eastAsia="en-US"/>
        </w:rPr>
        <w:t>н</w:t>
      </w:r>
      <w:r w:rsidRPr="00281602">
        <w:rPr>
          <w:rFonts w:eastAsia="Calibri"/>
          <w:sz w:val="22"/>
          <w:szCs w:val="22"/>
          <w:lang w:eastAsia="en-US"/>
        </w:rPr>
        <w:t>сульт.</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По внешнему виду разработанный мармелад «ДиаЛад» пре</w:t>
      </w:r>
      <w:r w:rsidRPr="00281602">
        <w:rPr>
          <w:rFonts w:eastAsia="Calibri"/>
          <w:sz w:val="22"/>
          <w:szCs w:val="22"/>
          <w:lang w:eastAsia="en-US"/>
        </w:rPr>
        <w:t>д</w:t>
      </w:r>
      <w:r w:rsidRPr="00281602">
        <w:rPr>
          <w:rFonts w:eastAsia="Calibri"/>
          <w:sz w:val="22"/>
          <w:szCs w:val="22"/>
          <w:lang w:eastAsia="en-US"/>
        </w:rPr>
        <w:t>ставляет собой плотную, студнеобразную массу, правильной фо</w:t>
      </w:r>
      <w:r w:rsidRPr="00281602">
        <w:rPr>
          <w:rFonts w:eastAsia="Calibri"/>
          <w:sz w:val="22"/>
          <w:szCs w:val="22"/>
          <w:lang w:eastAsia="en-US"/>
        </w:rPr>
        <w:t>р</w:t>
      </w:r>
      <w:r w:rsidRPr="00281602">
        <w:rPr>
          <w:rFonts w:eastAsia="Calibri"/>
          <w:sz w:val="22"/>
          <w:szCs w:val="22"/>
          <w:lang w:eastAsia="en-US"/>
        </w:rPr>
        <w:t>мы, без деформаций,обсыпанную мелкими семенами кунжута. Ко</w:t>
      </w:r>
      <w:r w:rsidRPr="00281602">
        <w:rPr>
          <w:rFonts w:eastAsia="Calibri"/>
          <w:sz w:val="22"/>
          <w:szCs w:val="22"/>
          <w:lang w:eastAsia="en-US"/>
        </w:rPr>
        <w:t>н</w:t>
      </w:r>
      <w:r w:rsidRPr="00281602">
        <w:rPr>
          <w:rFonts w:eastAsia="Calibri"/>
          <w:sz w:val="22"/>
          <w:szCs w:val="22"/>
          <w:lang w:eastAsia="en-US"/>
        </w:rPr>
        <w:t>систенция – студнеобразная, слегка затяжистая. Вкус и запах – натуральный, хорошо выраженный аромат яблок, со слабым аром</w:t>
      </w:r>
      <w:r w:rsidRPr="00281602">
        <w:rPr>
          <w:rFonts w:eastAsia="Calibri"/>
          <w:sz w:val="22"/>
          <w:szCs w:val="22"/>
          <w:lang w:eastAsia="en-US"/>
        </w:rPr>
        <w:t>а</w:t>
      </w:r>
      <w:r w:rsidRPr="00281602">
        <w:rPr>
          <w:rFonts w:eastAsia="Calibri"/>
          <w:sz w:val="22"/>
          <w:szCs w:val="22"/>
          <w:lang w:eastAsia="en-US"/>
        </w:rPr>
        <w:t>том тыквы, вкус приятный кисловато-сладкий, гармоничный. Цвет – темно-оранжевый.</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Новый вид мармелада позволяет расширить ассортимент пр</w:t>
      </w:r>
      <w:r w:rsidRPr="00281602">
        <w:rPr>
          <w:rFonts w:eastAsia="Calibri"/>
          <w:sz w:val="22"/>
          <w:szCs w:val="22"/>
          <w:lang w:eastAsia="en-US"/>
        </w:rPr>
        <w:t>о</w:t>
      </w:r>
      <w:r w:rsidRPr="00281602">
        <w:rPr>
          <w:rFonts w:eastAsia="Calibri"/>
          <w:sz w:val="22"/>
          <w:szCs w:val="22"/>
          <w:lang w:eastAsia="en-US"/>
        </w:rPr>
        <w:t>дуктов для диабетического питания, изготавливаемых из отеч</w:t>
      </w:r>
      <w:r w:rsidRPr="00281602">
        <w:rPr>
          <w:rFonts w:eastAsia="Calibri"/>
          <w:sz w:val="22"/>
          <w:szCs w:val="22"/>
          <w:lang w:eastAsia="en-US"/>
        </w:rPr>
        <w:t>е</w:t>
      </w:r>
      <w:r w:rsidRPr="00281602">
        <w:rPr>
          <w:rFonts w:eastAsia="Calibri"/>
          <w:sz w:val="22"/>
          <w:szCs w:val="22"/>
          <w:lang w:eastAsia="en-US"/>
        </w:rPr>
        <w:t xml:space="preserve">ственного сырья, рекомендовать их для лечебно-профилактических целей. </w:t>
      </w:r>
    </w:p>
    <w:p w:rsidR="00281602" w:rsidRPr="00281602" w:rsidRDefault="00281602" w:rsidP="00024398">
      <w:pPr>
        <w:ind w:firstLine="426"/>
        <w:jc w:val="both"/>
        <w:rPr>
          <w:rFonts w:eastAsia="Calibri"/>
          <w:sz w:val="22"/>
          <w:szCs w:val="22"/>
          <w:lang w:eastAsia="en-US"/>
        </w:rPr>
      </w:pPr>
    </w:p>
    <w:p w:rsidR="00281602" w:rsidRPr="00281602" w:rsidRDefault="00281602" w:rsidP="00024398">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Calibri"/>
          <w:sz w:val="22"/>
          <w:szCs w:val="22"/>
          <w:lang w:eastAsia="en-US"/>
        </w:rPr>
        <w:t>Донченко, Л. В. Технология пектина и пектинопродуктов / Л. В. Донченко: учеб.пособие. – М.: ДеЛи, 2000. – 255 с.</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Calibri"/>
          <w:sz w:val="22"/>
          <w:szCs w:val="22"/>
          <w:lang w:eastAsia="en-US"/>
        </w:rPr>
        <w:t>Корпачев, В.В. Сахар и сахарозаменители: Учебник / В.В. Корпачев — К.: Книга плюс, 2004. — 320 с.</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Arial Unicode MS"/>
          <w:kern w:val="2"/>
          <w:sz w:val="22"/>
          <w:szCs w:val="22"/>
          <w:lang w:eastAsia="en-US"/>
        </w:rPr>
        <w:t>Донченко, Л.В. Технология функциональных пищевых пр</w:t>
      </w:r>
      <w:r w:rsidRPr="00281602">
        <w:rPr>
          <w:rFonts w:eastAsia="Arial Unicode MS"/>
          <w:kern w:val="2"/>
          <w:sz w:val="22"/>
          <w:szCs w:val="22"/>
          <w:lang w:eastAsia="en-US"/>
        </w:rPr>
        <w:t>о</w:t>
      </w:r>
      <w:r w:rsidRPr="00281602">
        <w:rPr>
          <w:rFonts w:eastAsia="Arial Unicode MS"/>
          <w:kern w:val="2"/>
          <w:sz w:val="22"/>
          <w:szCs w:val="22"/>
          <w:lang w:eastAsia="en-US"/>
        </w:rPr>
        <w:t>дуктов: учебное пособие / Л.В. Донченко [и др.]. – М.: Юрайт, Сер. 11 Университеты России (2-е изд.). – 365с.</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Arial Unicode MS"/>
          <w:kern w:val="2"/>
          <w:sz w:val="22"/>
          <w:szCs w:val="22"/>
          <w:lang w:eastAsia="en-US"/>
        </w:rPr>
        <w:t>Соболь, И.В. Использование высокоочищенного подсолне</w:t>
      </w:r>
      <w:r w:rsidRPr="00281602">
        <w:rPr>
          <w:rFonts w:eastAsia="Arial Unicode MS"/>
          <w:kern w:val="2"/>
          <w:sz w:val="22"/>
          <w:szCs w:val="22"/>
          <w:lang w:eastAsia="en-US"/>
        </w:rPr>
        <w:t>ч</w:t>
      </w:r>
      <w:r w:rsidRPr="00281602">
        <w:rPr>
          <w:rFonts w:eastAsia="Arial Unicode MS"/>
          <w:kern w:val="2"/>
          <w:sz w:val="22"/>
          <w:szCs w:val="22"/>
          <w:lang w:eastAsia="en-US"/>
        </w:rPr>
        <w:t>ного пектина в функциональных продуктах питания / И.В.Соболь // Техника и технология пищевых производств, 2016, т. 43, №4. – С. 90-95</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Arial Unicode MS"/>
          <w:kern w:val="2"/>
          <w:sz w:val="22"/>
          <w:szCs w:val="22"/>
          <w:lang w:eastAsia="en-US"/>
        </w:rPr>
        <w:t>Усенкова, М.С. Разработка новых функциональных проду</w:t>
      </w:r>
      <w:r w:rsidRPr="00281602">
        <w:rPr>
          <w:rFonts w:eastAsia="Arial Unicode MS"/>
          <w:kern w:val="2"/>
          <w:sz w:val="22"/>
          <w:szCs w:val="22"/>
          <w:lang w:eastAsia="en-US"/>
        </w:rPr>
        <w:t>к</w:t>
      </w:r>
      <w:r w:rsidRPr="00281602">
        <w:rPr>
          <w:rFonts w:eastAsia="Arial Unicode MS"/>
          <w:kern w:val="2"/>
          <w:sz w:val="22"/>
          <w:szCs w:val="22"/>
          <w:lang w:eastAsia="en-US"/>
        </w:rPr>
        <w:t>тов / М.С.Усенкова, И.В.Соболь // В сборнике: Научное обеспечение агропромышленного комплекса, 2012. – С. 252-254</w:t>
      </w:r>
    </w:p>
    <w:p w:rsidR="00281602" w:rsidRPr="00281602" w:rsidRDefault="00281602" w:rsidP="00024398">
      <w:pPr>
        <w:numPr>
          <w:ilvl w:val="0"/>
          <w:numId w:val="23"/>
        </w:numPr>
        <w:ind w:left="0" w:firstLine="426"/>
        <w:jc w:val="both"/>
        <w:rPr>
          <w:rFonts w:eastAsia="Arial Unicode MS"/>
          <w:kern w:val="2"/>
          <w:sz w:val="22"/>
          <w:szCs w:val="22"/>
          <w:lang w:eastAsia="en-US"/>
        </w:rPr>
      </w:pPr>
      <w:r w:rsidRPr="00281602">
        <w:rPr>
          <w:rFonts w:eastAsia="Arial Unicode MS"/>
          <w:kern w:val="2"/>
          <w:sz w:val="22"/>
          <w:szCs w:val="22"/>
          <w:lang w:eastAsia="en-US"/>
        </w:rPr>
        <w:t>Родионова, Л.Я. Возможность использования плодово-ягодного сырья в производстве функциональных продуктов питания / Л.Я.Родионова, И.В.Соболь, И.Н.Барышева // Сфера услуг: инн</w:t>
      </w:r>
      <w:r w:rsidRPr="00281602">
        <w:rPr>
          <w:rFonts w:eastAsia="Arial Unicode MS"/>
          <w:kern w:val="2"/>
          <w:sz w:val="22"/>
          <w:szCs w:val="22"/>
          <w:lang w:eastAsia="en-US"/>
        </w:rPr>
        <w:t>о</w:t>
      </w:r>
      <w:r w:rsidRPr="00281602">
        <w:rPr>
          <w:rFonts w:eastAsia="Arial Unicode MS"/>
          <w:kern w:val="2"/>
          <w:sz w:val="22"/>
          <w:szCs w:val="22"/>
          <w:lang w:eastAsia="en-US"/>
        </w:rPr>
        <w:lastRenderedPageBreak/>
        <w:t>вации и качество: научно-практ. журнал. - Краснодар: ГОУ ВПО «РГТЭУ». – 2010, №5. – С. 384-387</w:t>
      </w:r>
    </w:p>
    <w:p w:rsidR="00281602" w:rsidRPr="00281602" w:rsidRDefault="00281602" w:rsidP="00024398">
      <w:pPr>
        <w:numPr>
          <w:ilvl w:val="0"/>
          <w:numId w:val="23"/>
        </w:numPr>
        <w:ind w:left="0" w:firstLine="426"/>
        <w:jc w:val="both"/>
        <w:rPr>
          <w:rFonts w:eastAsia="Calibri"/>
          <w:sz w:val="22"/>
          <w:szCs w:val="22"/>
          <w:lang w:eastAsia="en-US"/>
        </w:rPr>
      </w:pPr>
      <w:r w:rsidRPr="00281602">
        <w:rPr>
          <w:rFonts w:eastAsia="Arial Unicode MS"/>
          <w:kern w:val="2"/>
          <w:sz w:val="22"/>
          <w:szCs w:val="22"/>
          <w:lang w:eastAsia="en-US"/>
        </w:rPr>
        <w:t>Серикова, Т.А. Плодоовощные консервы профилактического назначения/ Т.А. Серикова, Е.А. Красноселова// Научное обеспеч</w:t>
      </w:r>
      <w:r w:rsidRPr="00281602">
        <w:rPr>
          <w:rFonts w:eastAsia="Arial Unicode MS"/>
          <w:kern w:val="2"/>
          <w:sz w:val="22"/>
          <w:szCs w:val="22"/>
          <w:lang w:eastAsia="en-US"/>
        </w:rPr>
        <w:t>е</w:t>
      </w:r>
      <w:r w:rsidRPr="00281602">
        <w:rPr>
          <w:rFonts w:eastAsia="Arial Unicode MS"/>
          <w:kern w:val="2"/>
          <w:sz w:val="22"/>
          <w:szCs w:val="22"/>
          <w:lang w:eastAsia="en-US"/>
        </w:rPr>
        <w:t>ние агропромышленного комплекса: Сб. науч. статей/Кубанский государственный аграрный университет. – Краснодар, 2017. – С. 1338–1339.</w:t>
      </w:r>
    </w:p>
    <w:p w:rsidR="00281602" w:rsidRPr="00281602" w:rsidRDefault="00281602" w:rsidP="00024398">
      <w:pPr>
        <w:jc w:val="both"/>
        <w:rPr>
          <w:rFonts w:eastAsia="Calibri"/>
          <w:sz w:val="22"/>
          <w:szCs w:val="22"/>
          <w:lang w:eastAsia="en-US"/>
        </w:rPr>
      </w:pPr>
    </w:p>
    <w:p w:rsidR="00281602" w:rsidRDefault="00281602" w:rsidP="00024398">
      <w:pPr>
        <w:jc w:val="both"/>
        <w:rPr>
          <w:rFonts w:eastAsia="Calibri"/>
          <w:sz w:val="22"/>
          <w:szCs w:val="22"/>
          <w:lang w:eastAsia="en-US"/>
        </w:rPr>
      </w:pPr>
    </w:p>
    <w:p w:rsidR="00024398" w:rsidRPr="00281602" w:rsidRDefault="00024398" w:rsidP="00024398">
      <w:pPr>
        <w:jc w:val="both"/>
        <w:rPr>
          <w:rFonts w:eastAsia="Calibri"/>
          <w:sz w:val="22"/>
          <w:szCs w:val="22"/>
          <w:lang w:eastAsia="en-US"/>
        </w:rPr>
      </w:pPr>
    </w:p>
    <w:p w:rsidR="00281602" w:rsidRDefault="00281602" w:rsidP="00024398">
      <w:pPr>
        <w:jc w:val="both"/>
        <w:rPr>
          <w:rFonts w:eastAsia="Calibri"/>
          <w:sz w:val="22"/>
          <w:szCs w:val="22"/>
          <w:lang w:eastAsia="en-US"/>
        </w:rPr>
      </w:pPr>
      <w:r w:rsidRPr="00281602">
        <w:rPr>
          <w:rFonts w:eastAsia="Calibri"/>
          <w:sz w:val="22"/>
          <w:szCs w:val="22"/>
          <w:lang w:eastAsia="en-US"/>
        </w:rPr>
        <w:t>УДК 634.6</w:t>
      </w:r>
    </w:p>
    <w:p w:rsidR="00024398" w:rsidRPr="00281602" w:rsidRDefault="00024398" w:rsidP="00024398">
      <w:pPr>
        <w:jc w:val="both"/>
        <w:rPr>
          <w:rFonts w:eastAsia="Calibri"/>
          <w:sz w:val="22"/>
          <w:szCs w:val="22"/>
          <w:lang w:eastAsia="en-US"/>
        </w:rPr>
      </w:pPr>
    </w:p>
    <w:p w:rsidR="00281602" w:rsidRPr="000E3E48" w:rsidRDefault="00281602" w:rsidP="00281602">
      <w:pPr>
        <w:jc w:val="center"/>
        <w:rPr>
          <w:rFonts w:eastAsia="Calibri"/>
          <w:b/>
          <w:sz w:val="24"/>
          <w:szCs w:val="24"/>
          <w:lang w:eastAsia="en-US"/>
        </w:rPr>
      </w:pPr>
      <w:r w:rsidRPr="000E3E48">
        <w:rPr>
          <w:rFonts w:eastAsia="Calibri"/>
          <w:b/>
          <w:sz w:val="24"/>
          <w:szCs w:val="24"/>
          <w:lang w:eastAsia="en-US"/>
        </w:rPr>
        <w:t>Изучение некоторых показателей химического состава плодов фейхоа</w:t>
      </w:r>
    </w:p>
    <w:p w:rsidR="00281602" w:rsidRPr="000E3E48" w:rsidRDefault="00281602" w:rsidP="00281602">
      <w:pPr>
        <w:shd w:val="clear" w:color="auto" w:fill="FFFFFF"/>
        <w:jc w:val="center"/>
        <w:rPr>
          <w:rFonts w:eastAsia="Calibri"/>
          <w:b/>
          <w:color w:val="212121"/>
          <w:sz w:val="24"/>
          <w:szCs w:val="24"/>
          <w:lang w:val="en-US" w:eastAsia="en-US"/>
        </w:rPr>
      </w:pPr>
      <w:r w:rsidRPr="000E3E48">
        <w:rPr>
          <w:rFonts w:eastAsia="Calibri"/>
          <w:b/>
          <w:color w:val="212121"/>
          <w:sz w:val="24"/>
          <w:szCs w:val="24"/>
          <w:lang w:val="en-US" w:eastAsia="en-US"/>
        </w:rPr>
        <w:t>The study of some indicators of the chemical composition of the feijoa fruit</w:t>
      </w:r>
    </w:p>
    <w:p w:rsidR="00281602" w:rsidRPr="00281602" w:rsidRDefault="00281602" w:rsidP="00281602">
      <w:pPr>
        <w:jc w:val="right"/>
        <w:rPr>
          <w:rFonts w:eastAsia="Calibri"/>
          <w:b/>
          <w:sz w:val="22"/>
          <w:szCs w:val="22"/>
          <w:lang w:val="en-US"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Акаба А.</w:t>
      </w:r>
      <w:r w:rsidR="00024398">
        <w:rPr>
          <w:rFonts w:eastAsia="Calibri"/>
          <w:sz w:val="22"/>
          <w:szCs w:val="22"/>
          <w:lang w:eastAsia="en-US"/>
        </w:rPr>
        <w:t xml:space="preserve"> </w:t>
      </w:r>
      <w:r w:rsidRPr="00281602">
        <w:rPr>
          <w:rFonts w:eastAsia="Calibri"/>
          <w:sz w:val="22"/>
          <w:szCs w:val="22"/>
          <w:lang w:eastAsia="en-US"/>
        </w:rPr>
        <w:t>Н.,</w:t>
      </w:r>
    </w:p>
    <w:p w:rsidR="00024398" w:rsidRDefault="00281602" w:rsidP="00281602">
      <w:pPr>
        <w:jc w:val="right"/>
        <w:rPr>
          <w:rFonts w:eastAsia="Calibri"/>
          <w:sz w:val="22"/>
          <w:szCs w:val="22"/>
          <w:lang w:eastAsia="en-US"/>
        </w:rPr>
      </w:pPr>
      <w:r w:rsidRPr="00281602">
        <w:rPr>
          <w:rFonts w:eastAsia="Calibri"/>
          <w:sz w:val="22"/>
          <w:szCs w:val="22"/>
          <w:lang w:eastAsia="en-US"/>
        </w:rPr>
        <w:t>магистрант 1-го курса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факультета 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Щербакова Е.</w:t>
      </w:r>
      <w:r w:rsidR="00024398">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профессор кафедры ТХиПРП</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w:t>
      </w:r>
      <w:r w:rsidR="00024398">
        <w:rPr>
          <w:rFonts w:eastAsia="Calibri"/>
          <w:sz w:val="22"/>
          <w:szCs w:val="22"/>
          <w:lang w:eastAsia="en-US"/>
        </w:rPr>
        <w:t xml:space="preserve"> </w:t>
      </w:r>
      <w:r w:rsidRPr="00281602">
        <w:rPr>
          <w:rFonts w:eastAsia="Calibri"/>
          <w:sz w:val="22"/>
          <w:szCs w:val="22"/>
          <w:lang w:eastAsia="en-US"/>
        </w:rPr>
        <w:t>Т. Трубилина</w:t>
      </w:r>
    </w:p>
    <w:p w:rsidR="00281602" w:rsidRPr="00281602" w:rsidRDefault="00281602" w:rsidP="00281602">
      <w:pPr>
        <w:jc w:val="right"/>
        <w:rPr>
          <w:rFonts w:eastAsia="Calibri"/>
          <w:sz w:val="22"/>
          <w:szCs w:val="22"/>
          <w:lang w:eastAsia="en-US"/>
        </w:rPr>
      </w:pP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АННОТАЦИЯ: Выполнено исследование некоторых показат</w:t>
      </w:r>
      <w:r w:rsidRPr="00281602">
        <w:rPr>
          <w:rFonts w:eastAsia="Calibri"/>
          <w:sz w:val="22"/>
          <w:szCs w:val="22"/>
          <w:lang w:eastAsia="en-US"/>
        </w:rPr>
        <w:t>е</w:t>
      </w:r>
      <w:r w:rsidRPr="00281602">
        <w:rPr>
          <w:rFonts w:eastAsia="Calibri"/>
          <w:sz w:val="22"/>
          <w:szCs w:val="22"/>
          <w:lang w:eastAsia="en-US"/>
        </w:rPr>
        <w:t>лей химического состава наиболее распространенных сортов фе</w:t>
      </w:r>
      <w:r w:rsidRPr="00281602">
        <w:rPr>
          <w:rFonts w:eastAsia="Calibri"/>
          <w:sz w:val="22"/>
          <w:szCs w:val="22"/>
          <w:lang w:eastAsia="en-US"/>
        </w:rPr>
        <w:t>й</w:t>
      </w:r>
      <w:r w:rsidRPr="00281602">
        <w:rPr>
          <w:rFonts w:eastAsia="Calibri"/>
          <w:sz w:val="22"/>
          <w:szCs w:val="22"/>
          <w:lang w:eastAsia="en-US"/>
        </w:rPr>
        <w:t>хоа для определения возможности их переработки.</w:t>
      </w:r>
    </w:p>
    <w:p w:rsidR="00281602" w:rsidRPr="00281602" w:rsidRDefault="00281602" w:rsidP="00024398">
      <w:pPr>
        <w:shd w:val="clear" w:color="auto" w:fill="FFFFFF"/>
        <w:ind w:firstLine="426"/>
        <w:jc w:val="both"/>
        <w:rPr>
          <w:rFonts w:eastAsia="Calibri"/>
          <w:color w:val="212121"/>
          <w:sz w:val="22"/>
          <w:szCs w:val="22"/>
          <w:lang w:val="en-US" w:eastAsia="en-US"/>
        </w:rPr>
      </w:pPr>
      <w:r w:rsidRPr="00281602">
        <w:rPr>
          <w:rFonts w:eastAsia="Calibri"/>
          <w:sz w:val="22"/>
          <w:szCs w:val="22"/>
          <w:lang w:val="en-US" w:eastAsia="en-US"/>
        </w:rPr>
        <w:t>ABSTRACT:</w:t>
      </w:r>
      <w:r w:rsidRPr="00281602">
        <w:rPr>
          <w:rFonts w:eastAsia="Calibri"/>
          <w:color w:val="212121"/>
          <w:sz w:val="22"/>
          <w:szCs w:val="22"/>
          <w:lang w:val="en-US" w:eastAsia="en-US"/>
        </w:rPr>
        <w:t xml:space="preserve"> A study of some indicators of the chemical compos</w:t>
      </w:r>
      <w:r w:rsidRPr="00281602">
        <w:rPr>
          <w:rFonts w:eastAsia="Calibri"/>
          <w:color w:val="212121"/>
          <w:sz w:val="22"/>
          <w:szCs w:val="22"/>
          <w:lang w:val="en-US" w:eastAsia="en-US"/>
        </w:rPr>
        <w:t>i</w:t>
      </w:r>
      <w:r w:rsidRPr="00281602">
        <w:rPr>
          <w:rFonts w:eastAsia="Calibri"/>
          <w:color w:val="212121"/>
          <w:sz w:val="22"/>
          <w:szCs w:val="22"/>
          <w:lang w:val="en-US" w:eastAsia="en-US"/>
        </w:rPr>
        <w:t>tion of the most common varieties of feijoa to determine the possibility of their processing.</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КЛЮЧЕВЫЕ СЛОВА: плоды фейхоа, углеводы, кислоты, х</w:t>
      </w:r>
      <w:r w:rsidRPr="00281602">
        <w:rPr>
          <w:rFonts w:eastAsia="Calibri"/>
          <w:sz w:val="22"/>
          <w:szCs w:val="22"/>
          <w:lang w:eastAsia="en-US"/>
        </w:rPr>
        <w:t>и</w:t>
      </w:r>
      <w:r w:rsidRPr="00281602">
        <w:rPr>
          <w:rFonts w:eastAsia="Calibri"/>
          <w:sz w:val="22"/>
          <w:szCs w:val="22"/>
          <w:lang w:eastAsia="en-US"/>
        </w:rPr>
        <w:t>мический состав</w:t>
      </w:r>
    </w:p>
    <w:p w:rsidR="00281602" w:rsidRPr="00281602" w:rsidRDefault="00281602" w:rsidP="00024398">
      <w:pPr>
        <w:shd w:val="clear" w:color="auto" w:fill="FFFFFF"/>
        <w:ind w:firstLine="426"/>
        <w:jc w:val="both"/>
        <w:rPr>
          <w:rFonts w:eastAsia="Calibri"/>
          <w:color w:val="212121"/>
          <w:sz w:val="22"/>
          <w:szCs w:val="22"/>
          <w:lang w:val="en-US" w:eastAsia="en-US"/>
        </w:rPr>
      </w:pPr>
      <w:r w:rsidRPr="00281602">
        <w:rPr>
          <w:rFonts w:eastAsia="Calibri"/>
          <w:sz w:val="22"/>
          <w:szCs w:val="22"/>
          <w:lang w:val="en-US" w:eastAsia="en-US"/>
        </w:rPr>
        <w:t>KEYWORDS:</w:t>
      </w:r>
      <w:r w:rsidRPr="00281602">
        <w:rPr>
          <w:rFonts w:eastAsia="Calibri"/>
          <w:color w:val="212121"/>
          <w:sz w:val="22"/>
          <w:szCs w:val="22"/>
          <w:lang w:val="en-US" w:eastAsia="en-US"/>
        </w:rPr>
        <w:t xml:space="preserve"> fruits of feijoa, carbohydrates, acids, chemical co</w:t>
      </w:r>
      <w:r w:rsidRPr="00281602">
        <w:rPr>
          <w:rFonts w:eastAsia="Calibri"/>
          <w:color w:val="212121"/>
          <w:sz w:val="22"/>
          <w:szCs w:val="22"/>
          <w:lang w:val="en-US" w:eastAsia="en-US"/>
        </w:rPr>
        <w:t>m</w:t>
      </w:r>
      <w:r w:rsidRPr="00281602">
        <w:rPr>
          <w:rFonts w:eastAsia="Calibri"/>
          <w:color w:val="212121"/>
          <w:sz w:val="22"/>
          <w:szCs w:val="22"/>
          <w:lang w:val="en-US" w:eastAsia="en-US"/>
        </w:rPr>
        <w:t>position</w:t>
      </w:r>
    </w:p>
    <w:p w:rsidR="00281602" w:rsidRPr="00281602" w:rsidRDefault="00281602" w:rsidP="00024398">
      <w:pPr>
        <w:ind w:firstLine="426"/>
        <w:rPr>
          <w:rFonts w:eastAsia="Calibri"/>
          <w:sz w:val="22"/>
          <w:szCs w:val="22"/>
          <w:lang w:val="en-US" w:eastAsia="en-US"/>
        </w:rPr>
      </w:pPr>
    </w:p>
    <w:p w:rsidR="00281602" w:rsidRPr="00281602" w:rsidRDefault="00281602" w:rsidP="00024398">
      <w:pPr>
        <w:autoSpaceDE w:val="0"/>
        <w:autoSpaceDN w:val="0"/>
        <w:ind w:firstLine="426"/>
        <w:jc w:val="both"/>
        <w:rPr>
          <w:sz w:val="22"/>
          <w:szCs w:val="22"/>
        </w:rPr>
      </w:pPr>
      <w:r w:rsidRPr="00281602">
        <w:rPr>
          <w:sz w:val="22"/>
          <w:szCs w:val="22"/>
        </w:rPr>
        <w:lastRenderedPageBreak/>
        <w:t>Плоды фейхоа можно считать одной из наиболее ценных пл</w:t>
      </w:r>
      <w:r w:rsidRPr="00281602">
        <w:rPr>
          <w:sz w:val="22"/>
          <w:szCs w:val="22"/>
        </w:rPr>
        <w:t>о</w:t>
      </w:r>
      <w:r w:rsidRPr="00281602">
        <w:rPr>
          <w:sz w:val="22"/>
          <w:szCs w:val="22"/>
        </w:rPr>
        <w:t>довых культур, что связано с высокими вкусовыми и диетическими качествами. Обладая сбалансированным комплексом витаминов, органических кислот и оптимальным содержанием сахаров, плоды фейхоа дают возможность получать продукты переработки, отв</w:t>
      </w:r>
      <w:r w:rsidRPr="00281602">
        <w:rPr>
          <w:sz w:val="22"/>
          <w:szCs w:val="22"/>
        </w:rPr>
        <w:t>е</w:t>
      </w:r>
      <w:r w:rsidRPr="00281602">
        <w:rPr>
          <w:sz w:val="22"/>
          <w:szCs w:val="22"/>
        </w:rPr>
        <w:t xml:space="preserve">чающие требованиям  потребителей. </w:t>
      </w:r>
    </w:p>
    <w:p w:rsidR="00281602" w:rsidRPr="00281602" w:rsidRDefault="00281602" w:rsidP="00024398">
      <w:pPr>
        <w:autoSpaceDE w:val="0"/>
        <w:autoSpaceDN w:val="0"/>
        <w:ind w:firstLine="426"/>
        <w:jc w:val="both"/>
        <w:rPr>
          <w:sz w:val="22"/>
          <w:szCs w:val="22"/>
        </w:rPr>
      </w:pPr>
      <w:r w:rsidRPr="00281602">
        <w:rPr>
          <w:sz w:val="22"/>
          <w:szCs w:val="22"/>
        </w:rPr>
        <w:t xml:space="preserve">Большое значение для получения переработанной продукции имеет химический состав сырья с учетом сортовых особенностей. Поэтому на первом этапе научной работы исследовали некоторые показатели химического состава плодов фейхоа с учетом сортовых особенностей в качестве сырья для дальнейшей переработки.  </w:t>
      </w:r>
    </w:p>
    <w:p w:rsidR="00281602" w:rsidRPr="00281602" w:rsidRDefault="00281602" w:rsidP="00024398">
      <w:pPr>
        <w:autoSpaceDE w:val="0"/>
        <w:autoSpaceDN w:val="0"/>
        <w:ind w:firstLine="426"/>
        <w:jc w:val="both"/>
        <w:rPr>
          <w:sz w:val="22"/>
          <w:szCs w:val="22"/>
        </w:rPr>
      </w:pPr>
      <w:r w:rsidRPr="00281602">
        <w:rPr>
          <w:sz w:val="22"/>
          <w:szCs w:val="22"/>
        </w:rPr>
        <w:t>Для выполнения работы были выбраны наиболее распростр</w:t>
      </w:r>
      <w:r w:rsidRPr="00281602">
        <w:rPr>
          <w:sz w:val="22"/>
          <w:szCs w:val="22"/>
        </w:rPr>
        <w:t>а</w:t>
      </w:r>
      <w:r w:rsidRPr="00281602">
        <w:rPr>
          <w:sz w:val="22"/>
          <w:szCs w:val="22"/>
        </w:rPr>
        <w:t>ненные сорта данной культуры, произрастающие в Абхазии.</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Химический состав плодов фейхоа представлен макро и микр</w:t>
      </w:r>
      <w:r w:rsidRPr="00281602">
        <w:rPr>
          <w:rFonts w:eastAsia="Calibri"/>
          <w:sz w:val="22"/>
          <w:szCs w:val="22"/>
          <w:lang w:eastAsia="en-US"/>
        </w:rPr>
        <w:t>о</w:t>
      </w:r>
      <w:r w:rsidRPr="00281602">
        <w:rPr>
          <w:rFonts w:eastAsia="Calibri"/>
          <w:sz w:val="22"/>
          <w:szCs w:val="22"/>
          <w:lang w:eastAsia="en-US"/>
        </w:rPr>
        <w:t>элементами, основными</w:t>
      </w:r>
      <w:r w:rsidR="000E3E48">
        <w:rPr>
          <w:rFonts w:eastAsia="Calibri"/>
          <w:sz w:val="22"/>
          <w:szCs w:val="22"/>
          <w:lang w:eastAsia="en-US"/>
        </w:rPr>
        <w:t xml:space="preserve"> из которых являются углеводы </w:t>
      </w:r>
      <w:r w:rsidRPr="00281602">
        <w:rPr>
          <w:rFonts w:eastAsia="Calibri"/>
          <w:sz w:val="22"/>
          <w:szCs w:val="22"/>
          <w:lang w:eastAsia="en-US"/>
        </w:rPr>
        <w:t>и кислоты, суммарно формирующие показатель сухих растворимых веществ.</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Сравнительный анализ химического состава плодов по литер</w:t>
      </w:r>
      <w:r w:rsidRPr="00281602">
        <w:rPr>
          <w:rFonts w:eastAsia="Calibri"/>
          <w:sz w:val="22"/>
          <w:szCs w:val="22"/>
          <w:lang w:eastAsia="en-US"/>
        </w:rPr>
        <w:t>а</w:t>
      </w:r>
      <w:r w:rsidRPr="00281602">
        <w:rPr>
          <w:rFonts w:eastAsia="Calibri"/>
          <w:sz w:val="22"/>
          <w:szCs w:val="22"/>
          <w:lang w:eastAsia="en-US"/>
        </w:rPr>
        <w:t>турным данным [1,2,3] показал, что для изучаемой культуры сущ</w:t>
      </w:r>
      <w:r w:rsidRPr="00281602">
        <w:rPr>
          <w:rFonts w:eastAsia="Calibri"/>
          <w:sz w:val="22"/>
          <w:szCs w:val="22"/>
          <w:lang w:eastAsia="en-US"/>
        </w:rPr>
        <w:t>е</w:t>
      </w:r>
      <w:r w:rsidRPr="00281602">
        <w:rPr>
          <w:rFonts w:eastAsia="Calibri"/>
          <w:sz w:val="22"/>
          <w:szCs w:val="22"/>
          <w:lang w:eastAsia="en-US"/>
        </w:rPr>
        <w:t>ствуют определенные сортовые различия в накоплении сухих ра</w:t>
      </w:r>
      <w:r w:rsidRPr="00281602">
        <w:rPr>
          <w:rFonts w:eastAsia="Calibri"/>
          <w:sz w:val="22"/>
          <w:szCs w:val="22"/>
          <w:lang w:eastAsia="en-US"/>
        </w:rPr>
        <w:t>с</w:t>
      </w:r>
      <w:r w:rsidRPr="00281602">
        <w:rPr>
          <w:rFonts w:eastAsia="Calibri"/>
          <w:sz w:val="22"/>
          <w:szCs w:val="22"/>
          <w:lang w:eastAsia="en-US"/>
        </w:rPr>
        <w:t>творимых веществ. В среднем содержание сухих растворимых в</w:t>
      </w:r>
      <w:r w:rsidRPr="00281602">
        <w:rPr>
          <w:rFonts w:eastAsia="Calibri"/>
          <w:sz w:val="22"/>
          <w:szCs w:val="22"/>
          <w:lang w:eastAsia="en-US"/>
        </w:rPr>
        <w:t>е</w:t>
      </w:r>
      <w:r w:rsidRPr="00281602">
        <w:rPr>
          <w:rFonts w:eastAsia="Calibri"/>
          <w:sz w:val="22"/>
          <w:szCs w:val="22"/>
          <w:lang w:eastAsia="en-US"/>
        </w:rPr>
        <w:t xml:space="preserve">ществ в плодах фехоа различных сортов составляет 13,0- 16,0 %.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В ходе выполненных исследований с применением стандар</w:t>
      </w:r>
      <w:r w:rsidRPr="00281602">
        <w:rPr>
          <w:rFonts w:eastAsia="Calibri"/>
          <w:sz w:val="22"/>
          <w:szCs w:val="22"/>
          <w:lang w:eastAsia="en-US"/>
        </w:rPr>
        <w:t>т</w:t>
      </w:r>
      <w:r w:rsidRPr="00281602">
        <w:rPr>
          <w:rFonts w:eastAsia="Calibri"/>
          <w:sz w:val="22"/>
          <w:szCs w:val="22"/>
          <w:lang w:eastAsia="en-US"/>
        </w:rPr>
        <w:t>ных методик, принятых в пищевой промышленности, было уст</w:t>
      </w:r>
      <w:r w:rsidRPr="00281602">
        <w:rPr>
          <w:rFonts w:eastAsia="Calibri"/>
          <w:sz w:val="22"/>
          <w:szCs w:val="22"/>
          <w:lang w:eastAsia="en-US"/>
        </w:rPr>
        <w:t>а</w:t>
      </w:r>
      <w:r w:rsidRPr="00281602">
        <w:rPr>
          <w:rFonts w:eastAsia="Calibri"/>
          <w:sz w:val="22"/>
          <w:szCs w:val="22"/>
          <w:lang w:eastAsia="en-US"/>
        </w:rPr>
        <w:t>новлено, что более высоким содержанием растворимых сухих ра</w:t>
      </w:r>
      <w:r w:rsidRPr="00281602">
        <w:rPr>
          <w:rFonts w:eastAsia="Calibri"/>
          <w:sz w:val="22"/>
          <w:szCs w:val="22"/>
          <w:lang w:eastAsia="en-US"/>
        </w:rPr>
        <w:t>с</w:t>
      </w:r>
      <w:r w:rsidRPr="00281602">
        <w:rPr>
          <w:rFonts w:eastAsia="Calibri"/>
          <w:sz w:val="22"/>
          <w:szCs w:val="22"/>
          <w:lang w:eastAsia="en-US"/>
        </w:rPr>
        <w:t xml:space="preserve">творимых веществ обладают образцы плодов следующих наиболее распространенных сортов фейхоа, выращенных в условиях 2017г. - Гульрипшский (не менее 15,8 %), Сидлинг (13,4 %), Аллегро (13,6 %), Гиркан (13,4 %).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 xml:space="preserve">К углеводам плодовых культур относят сахара, пектиновые вещества и другие соединения, которые на 80 – 90 % составляют количественный состав сухих растворимых веществ.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Различные углеводы имеют различный порог сладости и по разному влияют на организм человека и качество пищевых проду</w:t>
      </w:r>
      <w:r w:rsidRPr="00281602">
        <w:rPr>
          <w:rFonts w:eastAsia="Calibri"/>
          <w:sz w:val="22"/>
          <w:szCs w:val="22"/>
          <w:lang w:eastAsia="en-US"/>
        </w:rPr>
        <w:t>к</w:t>
      </w:r>
      <w:r w:rsidRPr="00281602">
        <w:rPr>
          <w:rFonts w:eastAsia="Calibri"/>
          <w:sz w:val="22"/>
          <w:szCs w:val="22"/>
          <w:lang w:eastAsia="en-US"/>
        </w:rPr>
        <w:t xml:space="preserve">тов. Поэтому при оценке углеводного комплекса плодов изучался фракционный состав простых сахаров. Высокие пищевые свойства плодов фейхоа по литературным данным [1] обусловлены наличием легкоусвояемых сахаров, в первую очередь фруктозы. </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lastRenderedPageBreak/>
        <w:t>Установлено, что в плодах фейхоа изучаемых сортов содержа</w:t>
      </w:r>
      <w:r w:rsidRPr="00281602">
        <w:rPr>
          <w:rFonts w:eastAsia="Calibri"/>
          <w:sz w:val="22"/>
          <w:szCs w:val="22"/>
          <w:lang w:eastAsia="en-US"/>
        </w:rPr>
        <w:t>т</w:t>
      </w:r>
      <w:r w:rsidRPr="00281602">
        <w:rPr>
          <w:rFonts w:eastAsia="Calibri"/>
          <w:sz w:val="22"/>
          <w:szCs w:val="22"/>
          <w:lang w:eastAsia="en-US"/>
        </w:rPr>
        <w:t>ся в основном фруктоза и глюкоза, суммарное содержание которых составляет 85,0 – 90,0 % % от общего количества сахара.</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Кроме этого, плоды фейхоа отличаются достаточно высокой кислотностью. Большое количество органических кислот (2,5 %)  характерно  для таких сортов как Сидлинг и Тбилиссобаю.</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По литературным данным [2,3] фракционный состав кислот представлен в основном лимонной кислотой (более 85% от общего числа кислот), а также небольшим количеством яблочной, янтарной и винной кислот.</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Большое количество лимонной кислоты способствует пред</w:t>
      </w:r>
      <w:r w:rsidRPr="00281602">
        <w:rPr>
          <w:rFonts w:eastAsia="Calibri"/>
          <w:sz w:val="22"/>
          <w:szCs w:val="22"/>
          <w:lang w:eastAsia="en-US"/>
        </w:rPr>
        <w:t>о</w:t>
      </w:r>
      <w:r w:rsidRPr="00281602">
        <w:rPr>
          <w:rFonts w:eastAsia="Calibri"/>
          <w:sz w:val="22"/>
          <w:szCs w:val="22"/>
          <w:lang w:eastAsia="en-US"/>
        </w:rPr>
        <w:t>хранению плодов от окисления в процессе переработки, сто позв</w:t>
      </w:r>
      <w:r w:rsidRPr="00281602">
        <w:rPr>
          <w:rFonts w:eastAsia="Calibri"/>
          <w:sz w:val="22"/>
          <w:szCs w:val="22"/>
          <w:lang w:eastAsia="en-US"/>
        </w:rPr>
        <w:t>о</w:t>
      </w:r>
      <w:r w:rsidRPr="00281602">
        <w:rPr>
          <w:rFonts w:eastAsia="Calibri"/>
          <w:sz w:val="22"/>
          <w:szCs w:val="22"/>
          <w:lang w:eastAsia="en-US"/>
        </w:rPr>
        <w:t>ляет получать продукцию более приятной окраски [1].</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Вкус плодов фейхоа при дегустации был определен для ра</w:t>
      </w:r>
      <w:r w:rsidRPr="00281602">
        <w:rPr>
          <w:rFonts w:eastAsia="Calibri"/>
          <w:sz w:val="22"/>
          <w:szCs w:val="22"/>
          <w:lang w:eastAsia="en-US"/>
        </w:rPr>
        <w:t>з</w:t>
      </w:r>
      <w:r w:rsidRPr="00281602">
        <w:rPr>
          <w:rFonts w:eastAsia="Calibri"/>
          <w:sz w:val="22"/>
          <w:szCs w:val="22"/>
          <w:lang w:eastAsia="en-US"/>
        </w:rPr>
        <w:t>личных сортов как очень кислый и слабо-кислый, и соответствовал показателям титруемой и активной кислотности. Наиболее гарм</w:t>
      </w:r>
      <w:r w:rsidRPr="00281602">
        <w:rPr>
          <w:rFonts w:eastAsia="Calibri"/>
          <w:sz w:val="22"/>
          <w:szCs w:val="22"/>
          <w:lang w:eastAsia="en-US"/>
        </w:rPr>
        <w:t>о</w:t>
      </w:r>
      <w:r w:rsidRPr="00281602">
        <w:rPr>
          <w:rFonts w:eastAsia="Calibri"/>
          <w:sz w:val="22"/>
          <w:szCs w:val="22"/>
          <w:lang w:eastAsia="en-US"/>
        </w:rPr>
        <w:t>ничное сочетание сахара и кислот отмечено в плодах сортов Сачаглы и Гульрипшский, сахарокислотный индекс которых с</w:t>
      </w:r>
      <w:r w:rsidRPr="00281602">
        <w:rPr>
          <w:rFonts w:eastAsia="Calibri"/>
          <w:sz w:val="22"/>
          <w:szCs w:val="22"/>
          <w:lang w:eastAsia="en-US"/>
        </w:rPr>
        <w:t>о</w:t>
      </w:r>
      <w:r w:rsidRPr="00281602">
        <w:rPr>
          <w:rFonts w:eastAsia="Calibri"/>
          <w:sz w:val="22"/>
          <w:szCs w:val="22"/>
          <w:lang w:eastAsia="en-US"/>
        </w:rPr>
        <w:t>ставлял около 6,0 о.е.</w:t>
      </w:r>
    </w:p>
    <w:p w:rsidR="00281602" w:rsidRPr="00281602" w:rsidRDefault="00281602" w:rsidP="00024398">
      <w:pPr>
        <w:ind w:firstLine="426"/>
        <w:jc w:val="both"/>
        <w:rPr>
          <w:rFonts w:eastAsia="Calibri"/>
          <w:sz w:val="22"/>
          <w:szCs w:val="22"/>
          <w:lang w:eastAsia="en-US"/>
        </w:rPr>
      </w:pPr>
      <w:r w:rsidRPr="00281602">
        <w:rPr>
          <w:rFonts w:eastAsia="Calibri"/>
          <w:sz w:val="22"/>
          <w:szCs w:val="22"/>
          <w:lang w:eastAsia="en-US"/>
        </w:rPr>
        <w:t>Таким образом, результаты проведенных исследований позв</w:t>
      </w:r>
      <w:r w:rsidRPr="00281602">
        <w:rPr>
          <w:rFonts w:eastAsia="Calibri"/>
          <w:sz w:val="22"/>
          <w:szCs w:val="22"/>
          <w:lang w:eastAsia="en-US"/>
        </w:rPr>
        <w:t>о</w:t>
      </w:r>
      <w:r w:rsidRPr="00281602">
        <w:rPr>
          <w:rFonts w:eastAsia="Calibri"/>
          <w:sz w:val="22"/>
          <w:szCs w:val="22"/>
          <w:lang w:eastAsia="en-US"/>
        </w:rPr>
        <w:t>ляют заключить, что содержание сухих растворимых веществ, сах</w:t>
      </w:r>
      <w:r w:rsidRPr="00281602">
        <w:rPr>
          <w:rFonts w:eastAsia="Calibri"/>
          <w:sz w:val="22"/>
          <w:szCs w:val="22"/>
          <w:lang w:eastAsia="en-US"/>
        </w:rPr>
        <w:t>а</w:t>
      </w:r>
      <w:r w:rsidRPr="00281602">
        <w:rPr>
          <w:rFonts w:eastAsia="Calibri"/>
          <w:sz w:val="22"/>
          <w:szCs w:val="22"/>
          <w:lang w:eastAsia="en-US"/>
        </w:rPr>
        <w:t>ров и кислот, а также вкусовые качества плодов фейхоа зависят от сортовых особенностей культуры, и позволят получить продукцию переработки отличающуюся сбалансированным вкусом и химич</w:t>
      </w:r>
      <w:r w:rsidRPr="00281602">
        <w:rPr>
          <w:rFonts w:eastAsia="Calibri"/>
          <w:sz w:val="22"/>
          <w:szCs w:val="22"/>
          <w:lang w:eastAsia="en-US"/>
        </w:rPr>
        <w:t>е</w:t>
      </w:r>
      <w:r w:rsidRPr="00281602">
        <w:rPr>
          <w:rFonts w:eastAsia="Calibri"/>
          <w:sz w:val="22"/>
          <w:szCs w:val="22"/>
          <w:lang w:eastAsia="en-US"/>
        </w:rPr>
        <w:t>ским составом.</w:t>
      </w:r>
    </w:p>
    <w:p w:rsidR="00281602" w:rsidRPr="00281602" w:rsidRDefault="00281602" w:rsidP="00024398">
      <w:pPr>
        <w:ind w:firstLine="426"/>
        <w:jc w:val="both"/>
        <w:rPr>
          <w:rFonts w:eastAsia="Calibri"/>
          <w:sz w:val="22"/>
          <w:szCs w:val="22"/>
          <w:lang w:eastAsia="en-US"/>
        </w:rPr>
      </w:pPr>
    </w:p>
    <w:p w:rsidR="00281602" w:rsidRPr="00281602" w:rsidRDefault="00024398" w:rsidP="00024398">
      <w:pPr>
        <w:ind w:firstLine="426"/>
        <w:jc w:val="center"/>
        <w:rPr>
          <w:rFonts w:eastAsia="Calibri"/>
          <w:sz w:val="22"/>
          <w:szCs w:val="22"/>
          <w:lang w:eastAsia="en-US"/>
        </w:rPr>
      </w:pPr>
      <w:r>
        <w:rPr>
          <w:rFonts w:eastAsia="Calibri"/>
          <w:sz w:val="22"/>
          <w:szCs w:val="22"/>
          <w:lang w:eastAsia="en-US"/>
        </w:rPr>
        <w:t>Список литературы</w:t>
      </w:r>
    </w:p>
    <w:p w:rsidR="00281602" w:rsidRPr="00281602" w:rsidRDefault="00281602" w:rsidP="00024398">
      <w:pPr>
        <w:numPr>
          <w:ilvl w:val="0"/>
          <w:numId w:val="24"/>
        </w:numPr>
        <w:spacing w:after="160"/>
        <w:ind w:left="0" w:firstLine="426"/>
        <w:contextualSpacing/>
        <w:jc w:val="both"/>
        <w:rPr>
          <w:rFonts w:eastAsia="Calibri"/>
          <w:sz w:val="22"/>
          <w:szCs w:val="22"/>
          <w:lang w:eastAsia="en-US"/>
        </w:rPr>
      </w:pPr>
      <w:r w:rsidRPr="00281602">
        <w:rPr>
          <w:rFonts w:eastAsia="Calibri"/>
          <w:sz w:val="22"/>
          <w:szCs w:val="22"/>
          <w:lang w:eastAsia="en-US"/>
        </w:rPr>
        <w:t>Метлицкий, Л.В. Биохимия плодов и овощей / Л.В. Метли</w:t>
      </w:r>
      <w:r w:rsidRPr="00281602">
        <w:rPr>
          <w:rFonts w:eastAsia="Calibri"/>
          <w:sz w:val="22"/>
          <w:szCs w:val="22"/>
          <w:lang w:eastAsia="en-US"/>
        </w:rPr>
        <w:t>ц</w:t>
      </w:r>
      <w:r w:rsidRPr="00281602">
        <w:rPr>
          <w:rFonts w:eastAsia="Calibri"/>
          <w:sz w:val="22"/>
          <w:szCs w:val="22"/>
          <w:lang w:eastAsia="en-US"/>
        </w:rPr>
        <w:t>кий. – М.: Экономика, 1970. – 271 с.</w:t>
      </w:r>
    </w:p>
    <w:p w:rsidR="00281602" w:rsidRPr="00281602" w:rsidRDefault="00281602" w:rsidP="00024398">
      <w:pPr>
        <w:numPr>
          <w:ilvl w:val="0"/>
          <w:numId w:val="24"/>
        </w:numPr>
        <w:spacing w:after="160"/>
        <w:ind w:left="0" w:firstLine="426"/>
        <w:contextualSpacing/>
        <w:jc w:val="both"/>
        <w:rPr>
          <w:rFonts w:eastAsia="Calibri"/>
          <w:sz w:val="22"/>
          <w:szCs w:val="22"/>
          <w:lang w:eastAsia="en-US"/>
        </w:rPr>
      </w:pPr>
      <w:r w:rsidRPr="00281602">
        <w:rPr>
          <w:rFonts w:eastAsia="Calibri"/>
          <w:sz w:val="22"/>
          <w:szCs w:val="22"/>
          <w:lang w:eastAsia="en-US"/>
        </w:rPr>
        <w:t>Причко, Т. Г. Биохимические достоинства, лечебные сво</w:t>
      </w:r>
      <w:r w:rsidRPr="00281602">
        <w:rPr>
          <w:rFonts w:eastAsia="Calibri"/>
          <w:sz w:val="22"/>
          <w:szCs w:val="22"/>
          <w:lang w:eastAsia="en-US"/>
        </w:rPr>
        <w:t>й</w:t>
      </w:r>
      <w:r w:rsidRPr="00281602">
        <w:rPr>
          <w:rFonts w:eastAsia="Calibri"/>
          <w:sz w:val="22"/>
          <w:szCs w:val="22"/>
          <w:lang w:eastAsia="en-US"/>
        </w:rPr>
        <w:t>ства и пищевая ценность ягод фейхоа / Т.Г. Причко, Т.И. Москале</w:t>
      </w:r>
      <w:r w:rsidRPr="00281602">
        <w:rPr>
          <w:rFonts w:eastAsia="Calibri"/>
          <w:sz w:val="22"/>
          <w:szCs w:val="22"/>
          <w:lang w:eastAsia="en-US"/>
        </w:rPr>
        <w:t>н</w:t>
      </w:r>
      <w:r w:rsidRPr="00281602">
        <w:rPr>
          <w:rFonts w:eastAsia="Calibri"/>
          <w:sz w:val="22"/>
          <w:szCs w:val="22"/>
          <w:lang w:eastAsia="en-US"/>
        </w:rPr>
        <w:t>ко, Н.П. Козьменко // Новые и нетрадиционные растения и перспе</w:t>
      </w:r>
      <w:r w:rsidRPr="00281602">
        <w:rPr>
          <w:rFonts w:eastAsia="Calibri"/>
          <w:sz w:val="22"/>
          <w:szCs w:val="22"/>
          <w:lang w:eastAsia="en-US"/>
        </w:rPr>
        <w:t>к</w:t>
      </w:r>
      <w:r w:rsidRPr="00281602">
        <w:rPr>
          <w:rFonts w:eastAsia="Calibri"/>
          <w:sz w:val="22"/>
          <w:szCs w:val="22"/>
          <w:lang w:eastAsia="en-US"/>
        </w:rPr>
        <w:t>тивы их использования.- М., 2001.- Т.3.- С.579-582.</w:t>
      </w:r>
    </w:p>
    <w:p w:rsidR="00281602" w:rsidRPr="00281602" w:rsidRDefault="00281602" w:rsidP="00024398">
      <w:pPr>
        <w:numPr>
          <w:ilvl w:val="0"/>
          <w:numId w:val="24"/>
        </w:numPr>
        <w:spacing w:after="160"/>
        <w:ind w:left="0" w:firstLine="426"/>
        <w:contextualSpacing/>
        <w:jc w:val="both"/>
        <w:rPr>
          <w:rFonts w:eastAsia="Calibri"/>
          <w:sz w:val="22"/>
          <w:szCs w:val="22"/>
          <w:lang w:eastAsia="en-US"/>
        </w:rPr>
      </w:pPr>
      <w:r w:rsidRPr="00281602">
        <w:rPr>
          <w:rFonts w:eastAsia="Calibri"/>
          <w:sz w:val="22"/>
          <w:szCs w:val="22"/>
          <w:lang w:eastAsia="en-US"/>
        </w:rPr>
        <w:t>Причко, Т.Г. Сравнительная оценка химического состава и технических показателей плодов фейхоа, выращенных в условиях Абхазии / Т.Г. Причко, Л.Д. Чалая, А,Н. Абшилава // Садоводство и виноградарство.-2012. - № 1.- С.33-37.</w:t>
      </w:r>
    </w:p>
    <w:p w:rsidR="000E3E48" w:rsidRPr="00281602" w:rsidRDefault="000E3E48" w:rsidP="000E3E48">
      <w:pPr>
        <w:rPr>
          <w:rFonts w:eastAsia="Calibri"/>
          <w:sz w:val="22"/>
          <w:szCs w:val="22"/>
          <w:lang w:eastAsia="en-US"/>
        </w:rPr>
      </w:pPr>
    </w:p>
    <w:p w:rsid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613.2:616.6</w:t>
      </w:r>
    </w:p>
    <w:p w:rsidR="000A2E0B" w:rsidRPr="00281602" w:rsidRDefault="000A2E0B" w:rsidP="00281602">
      <w:pPr>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Вопросы питания при заболеваниях почек</w:t>
      </w:r>
    </w:p>
    <w:p w:rsidR="00281602" w:rsidRPr="00E90444" w:rsidRDefault="00281602" w:rsidP="00281602">
      <w:pPr>
        <w:jc w:val="center"/>
        <w:rPr>
          <w:rFonts w:eastAsia="Calibri"/>
          <w:b/>
          <w:sz w:val="24"/>
          <w:szCs w:val="24"/>
          <w:lang w:eastAsia="en-US"/>
        </w:rPr>
      </w:pPr>
      <w:r w:rsidRPr="00281602">
        <w:rPr>
          <w:rFonts w:eastAsia="Calibri"/>
          <w:b/>
          <w:color w:val="000000"/>
          <w:sz w:val="24"/>
          <w:szCs w:val="24"/>
          <w:lang w:val="en-US" w:eastAsia="en-US"/>
        </w:rPr>
        <w:t>Nutrition</w:t>
      </w:r>
      <w:r w:rsidRPr="00E90444">
        <w:rPr>
          <w:rFonts w:eastAsia="Calibri"/>
          <w:b/>
          <w:color w:val="000000"/>
          <w:sz w:val="24"/>
          <w:szCs w:val="24"/>
          <w:lang w:eastAsia="en-US"/>
        </w:rPr>
        <w:t xml:space="preserve"> </w:t>
      </w:r>
      <w:r w:rsidRPr="00281602">
        <w:rPr>
          <w:rFonts w:eastAsia="Calibri"/>
          <w:b/>
          <w:color w:val="000000"/>
          <w:sz w:val="24"/>
          <w:szCs w:val="24"/>
          <w:lang w:val="en-US" w:eastAsia="en-US"/>
        </w:rPr>
        <w:t>issues</w:t>
      </w:r>
      <w:r w:rsidRPr="00E90444">
        <w:rPr>
          <w:rFonts w:eastAsia="Calibri"/>
          <w:b/>
          <w:color w:val="000000"/>
          <w:sz w:val="24"/>
          <w:szCs w:val="24"/>
          <w:lang w:eastAsia="en-US"/>
        </w:rPr>
        <w:t xml:space="preserve"> </w:t>
      </w:r>
      <w:r w:rsidRPr="00281602">
        <w:rPr>
          <w:rFonts w:eastAsia="Calibri"/>
          <w:b/>
          <w:color w:val="000000"/>
          <w:sz w:val="24"/>
          <w:szCs w:val="24"/>
          <w:lang w:val="en-US" w:eastAsia="en-US"/>
        </w:rPr>
        <w:t>in</w:t>
      </w:r>
      <w:r w:rsidRPr="00E90444">
        <w:rPr>
          <w:rFonts w:eastAsia="Calibri"/>
          <w:b/>
          <w:color w:val="000000"/>
          <w:sz w:val="24"/>
          <w:szCs w:val="24"/>
          <w:lang w:eastAsia="en-US"/>
        </w:rPr>
        <w:t xml:space="preserve"> </w:t>
      </w:r>
      <w:r w:rsidRPr="00281602">
        <w:rPr>
          <w:rFonts w:eastAsia="Calibri"/>
          <w:b/>
          <w:color w:val="000000"/>
          <w:sz w:val="24"/>
          <w:szCs w:val="24"/>
          <w:lang w:val="en-US" w:eastAsia="en-US"/>
        </w:rPr>
        <w:t>kidney</w:t>
      </w:r>
      <w:r w:rsidRPr="00E90444">
        <w:rPr>
          <w:rFonts w:eastAsia="Calibri"/>
          <w:b/>
          <w:color w:val="000000"/>
          <w:sz w:val="24"/>
          <w:szCs w:val="24"/>
          <w:lang w:eastAsia="en-US"/>
        </w:rPr>
        <w:t xml:space="preserve"> </w:t>
      </w:r>
      <w:r w:rsidRPr="00281602">
        <w:rPr>
          <w:rFonts w:eastAsia="Calibri"/>
          <w:b/>
          <w:color w:val="000000"/>
          <w:sz w:val="24"/>
          <w:szCs w:val="24"/>
          <w:lang w:val="en-US" w:eastAsia="en-US"/>
        </w:rPr>
        <w:t>disease</w:t>
      </w:r>
    </w:p>
    <w:p w:rsidR="00281602" w:rsidRPr="00E90444" w:rsidRDefault="00281602" w:rsidP="00281602">
      <w:pPr>
        <w:jc w:val="right"/>
        <w:rPr>
          <w:rFonts w:eastAsia="Calibri"/>
          <w:sz w:val="22"/>
          <w:szCs w:val="22"/>
          <w:lang w:eastAsia="en-US"/>
        </w:rPr>
      </w:pPr>
    </w:p>
    <w:p w:rsidR="00281602" w:rsidRPr="00E90444" w:rsidRDefault="00281602" w:rsidP="00281602">
      <w:pPr>
        <w:jc w:val="right"/>
        <w:rPr>
          <w:rFonts w:eastAsia="Calibri"/>
          <w:sz w:val="22"/>
          <w:szCs w:val="22"/>
          <w:lang w:eastAsia="en-US"/>
        </w:rPr>
      </w:pPr>
      <w:r w:rsidRPr="00281602">
        <w:rPr>
          <w:rFonts w:eastAsia="Calibri"/>
          <w:sz w:val="22"/>
          <w:szCs w:val="22"/>
          <w:lang w:eastAsia="en-US"/>
        </w:rPr>
        <w:t>Бутова</w:t>
      </w:r>
      <w:r w:rsidR="000A2E0B" w:rsidRPr="00E90444">
        <w:rPr>
          <w:rFonts w:eastAsia="Calibri"/>
          <w:sz w:val="22"/>
          <w:szCs w:val="22"/>
          <w:lang w:eastAsia="en-US"/>
        </w:rPr>
        <w:t xml:space="preserve"> </w:t>
      </w:r>
      <w:r w:rsidRPr="00281602">
        <w:rPr>
          <w:rFonts w:eastAsia="Calibri"/>
          <w:sz w:val="22"/>
          <w:szCs w:val="22"/>
          <w:lang w:eastAsia="en-US"/>
        </w:rPr>
        <w:t>Л</w:t>
      </w:r>
      <w:r w:rsidRPr="00E90444">
        <w:rPr>
          <w:rFonts w:eastAsia="Calibri"/>
          <w:sz w:val="22"/>
          <w:szCs w:val="22"/>
          <w:lang w:eastAsia="en-US"/>
        </w:rPr>
        <w:t>.</w:t>
      </w:r>
      <w:r w:rsidR="000A2E0B" w:rsidRPr="00E90444">
        <w:rPr>
          <w:rFonts w:eastAsia="Calibri"/>
          <w:sz w:val="22"/>
          <w:szCs w:val="22"/>
          <w:lang w:eastAsia="en-US"/>
        </w:rPr>
        <w:t xml:space="preserve"> </w:t>
      </w:r>
      <w:r w:rsidRPr="00281602">
        <w:rPr>
          <w:rFonts w:eastAsia="Calibri"/>
          <w:sz w:val="22"/>
          <w:szCs w:val="22"/>
          <w:lang w:eastAsia="en-US"/>
        </w:rPr>
        <w:t>А</w:t>
      </w:r>
      <w:r w:rsidRPr="00E90444">
        <w:rPr>
          <w:rFonts w:eastAsia="Calibri"/>
          <w:sz w:val="22"/>
          <w:szCs w:val="22"/>
          <w:lang w:eastAsia="en-US"/>
        </w:rPr>
        <w:t>.,</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студентка 2-го курса факультета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Соболь И.</w:t>
      </w:r>
      <w:r w:rsidR="000A2E0B">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и переработки растениеводческой продукции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имени И.</w:t>
      </w:r>
      <w:r w:rsidR="000A2E0B">
        <w:rPr>
          <w:rFonts w:eastAsia="Calibri"/>
          <w:sz w:val="22"/>
          <w:szCs w:val="22"/>
          <w:lang w:eastAsia="en-US"/>
        </w:rPr>
        <w:t xml:space="preserve"> </w:t>
      </w:r>
      <w:r w:rsidRPr="00281602">
        <w:rPr>
          <w:rFonts w:eastAsia="Calibri"/>
          <w:sz w:val="22"/>
          <w:szCs w:val="22"/>
          <w:lang w:eastAsia="en-US"/>
        </w:rPr>
        <w:t>Т.Трубилина</w:t>
      </w:r>
    </w:p>
    <w:p w:rsidR="00281602" w:rsidRPr="00281602" w:rsidRDefault="00281602" w:rsidP="00281602">
      <w:pPr>
        <w:jc w:val="both"/>
        <w:rPr>
          <w:rFonts w:eastAsia="Calibri"/>
          <w:sz w:val="22"/>
          <w:szCs w:val="22"/>
          <w:lang w:eastAsia="en-US"/>
        </w:rPr>
      </w:pPr>
    </w:p>
    <w:p w:rsidR="00281602" w:rsidRPr="00281602" w:rsidRDefault="00281602" w:rsidP="000A2E0B">
      <w:pPr>
        <w:ind w:firstLine="426"/>
        <w:jc w:val="both"/>
        <w:rPr>
          <w:rFonts w:eastAsia="Calibri"/>
          <w:sz w:val="22"/>
          <w:szCs w:val="22"/>
          <w:lang w:eastAsia="en-US"/>
        </w:rPr>
      </w:pPr>
      <w:r w:rsidRPr="00281602">
        <w:rPr>
          <w:rFonts w:eastAsia="Calibri"/>
          <w:caps/>
          <w:sz w:val="22"/>
          <w:szCs w:val="22"/>
          <w:lang w:eastAsia="en-US"/>
        </w:rPr>
        <w:t xml:space="preserve">Аннотация: </w:t>
      </w:r>
      <w:r w:rsidRPr="00281602">
        <w:rPr>
          <w:rFonts w:eastAsia="Calibri"/>
          <w:sz w:val="22"/>
          <w:szCs w:val="22"/>
          <w:lang w:eastAsia="en-US"/>
        </w:rPr>
        <w:t>Рассматриваются различные виды заболеваний почек и причины на них влияющие. Описываются продукты, и</w:t>
      </w:r>
      <w:r w:rsidRPr="00281602">
        <w:rPr>
          <w:rFonts w:eastAsia="Calibri"/>
          <w:sz w:val="22"/>
          <w:szCs w:val="22"/>
          <w:lang w:eastAsia="en-US"/>
        </w:rPr>
        <w:t>с</w:t>
      </w:r>
      <w:r w:rsidRPr="00281602">
        <w:rPr>
          <w:rFonts w:eastAsia="Calibri"/>
          <w:sz w:val="22"/>
          <w:szCs w:val="22"/>
          <w:lang w:eastAsia="en-US"/>
        </w:rPr>
        <w:t>пользуемые при подобных заболеваниях и продукты, не рекоменд</w:t>
      </w:r>
      <w:r w:rsidRPr="00281602">
        <w:rPr>
          <w:rFonts w:eastAsia="Calibri"/>
          <w:sz w:val="22"/>
          <w:szCs w:val="22"/>
          <w:lang w:eastAsia="en-US"/>
        </w:rPr>
        <w:t>у</w:t>
      </w:r>
      <w:r w:rsidRPr="00281602">
        <w:rPr>
          <w:rFonts w:eastAsia="Calibri"/>
          <w:sz w:val="22"/>
          <w:szCs w:val="22"/>
          <w:lang w:eastAsia="en-US"/>
        </w:rPr>
        <w:t>емые к употреблению.</w:t>
      </w:r>
    </w:p>
    <w:p w:rsidR="00281602" w:rsidRPr="00281602" w:rsidRDefault="00281602" w:rsidP="000A2E0B">
      <w:pPr>
        <w:ind w:firstLine="426"/>
        <w:jc w:val="both"/>
        <w:rPr>
          <w:rFonts w:eastAsia="Calibri"/>
          <w:sz w:val="22"/>
          <w:szCs w:val="22"/>
          <w:lang w:val="en-US" w:eastAsia="en-US"/>
        </w:rPr>
      </w:pPr>
      <w:r w:rsidRPr="00281602">
        <w:rPr>
          <w:rFonts w:eastAsia="Calibri"/>
          <w:sz w:val="22"/>
          <w:szCs w:val="22"/>
          <w:lang w:val="en-US" w:eastAsia="en-US"/>
        </w:rPr>
        <w:t xml:space="preserve">ABSTRACT: </w:t>
      </w:r>
      <w:r w:rsidRPr="00281602">
        <w:rPr>
          <w:rFonts w:eastAsia="Calibri"/>
          <w:sz w:val="21"/>
          <w:szCs w:val="21"/>
          <w:lang w:val="en-US" w:eastAsia="en-US"/>
        </w:rPr>
        <w:t>Various types of kidney diseases and the reasons infl</w:t>
      </w:r>
      <w:r w:rsidRPr="00281602">
        <w:rPr>
          <w:rFonts w:eastAsia="Calibri"/>
          <w:sz w:val="21"/>
          <w:szCs w:val="21"/>
          <w:lang w:val="en-US" w:eastAsia="en-US"/>
        </w:rPr>
        <w:t>u</w:t>
      </w:r>
      <w:r w:rsidRPr="00281602">
        <w:rPr>
          <w:rFonts w:eastAsia="Calibri"/>
          <w:sz w:val="21"/>
          <w:szCs w:val="21"/>
          <w:lang w:val="en-US" w:eastAsia="en-US"/>
        </w:rPr>
        <w:t>encing them are considered. The products used in such diseases and the products which are not recommended to the use are described.</w:t>
      </w:r>
    </w:p>
    <w:p w:rsidR="00281602" w:rsidRPr="00281602" w:rsidRDefault="00281602" w:rsidP="000A2E0B">
      <w:pPr>
        <w:ind w:firstLine="426"/>
        <w:jc w:val="both"/>
        <w:rPr>
          <w:rFonts w:eastAsia="Calibri"/>
          <w:sz w:val="22"/>
          <w:szCs w:val="22"/>
          <w:lang w:eastAsia="en-US"/>
        </w:rPr>
      </w:pPr>
      <w:r w:rsidRPr="00281602">
        <w:rPr>
          <w:rFonts w:eastAsia="Calibri"/>
          <w:caps/>
          <w:sz w:val="22"/>
          <w:szCs w:val="22"/>
          <w:lang w:eastAsia="en-US"/>
        </w:rPr>
        <w:t xml:space="preserve">Ключевые слова: </w:t>
      </w:r>
      <w:r w:rsidRPr="00281602">
        <w:rPr>
          <w:rFonts w:eastAsia="Calibri"/>
          <w:sz w:val="22"/>
          <w:szCs w:val="22"/>
          <w:lang w:eastAsia="en-US"/>
        </w:rPr>
        <w:t>диетическое питание, хронические б</w:t>
      </w:r>
      <w:r w:rsidRPr="00281602">
        <w:rPr>
          <w:rFonts w:eastAsia="Calibri"/>
          <w:sz w:val="22"/>
          <w:szCs w:val="22"/>
          <w:lang w:eastAsia="en-US"/>
        </w:rPr>
        <w:t>о</w:t>
      </w:r>
      <w:r w:rsidRPr="00281602">
        <w:rPr>
          <w:rFonts w:eastAsia="Calibri"/>
          <w:sz w:val="22"/>
          <w:szCs w:val="22"/>
          <w:lang w:eastAsia="en-US"/>
        </w:rPr>
        <w:t>лезни почек, овощи, фрукты</w:t>
      </w:r>
    </w:p>
    <w:p w:rsidR="00281602" w:rsidRPr="00281602" w:rsidRDefault="00281602" w:rsidP="000A2E0B">
      <w:pPr>
        <w:ind w:firstLine="426"/>
        <w:jc w:val="both"/>
        <w:rPr>
          <w:rFonts w:eastAsia="Calibri"/>
          <w:sz w:val="22"/>
          <w:szCs w:val="22"/>
          <w:lang w:val="en-US" w:eastAsia="en-US"/>
        </w:rPr>
      </w:pPr>
      <w:r w:rsidRPr="00281602">
        <w:rPr>
          <w:rFonts w:eastAsia="Calibri"/>
          <w:sz w:val="22"/>
          <w:szCs w:val="22"/>
          <w:lang w:val="en-US" w:eastAsia="en-US"/>
        </w:rPr>
        <w:t xml:space="preserve">KEYWORDS: </w:t>
      </w:r>
      <w:r w:rsidRPr="00281602">
        <w:rPr>
          <w:rFonts w:eastAsia="Calibri"/>
          <w:sz w:val="21"/>
          <w:szCs w:val="21"/>
          <w:lang w:val="en-US" w:eastAsia="en-US"/>
        </w:rPr>
        <w:t>diet food, chronic kidney disease, vegetables, fruits</w:t>
      </w:r>
    </w:p>
    <w:p w:rsidR="00281602" w:rsidRPr="00281602" w:rsidRDefault="00281602" w:rsidP="000A2E0B">
      <w:pPr>
        <w:ind w:firstLine="426"/>
        <w:jc w:val="both"/>
        <w:rPr>
          <w:rFonts w:eastAsia="Calibri"/>
          <w:color w:val="000000"/>
          <w:sz w:val="22"/>
          <w:szCs w:val="22"/>
          <w:lang w:val="en-US" w:eastAsia="en-US"/>
        </w:rPr>
      </w:pP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lang w:eastAsia="en-US"/>
        </w:rPr>
        <w:t>В настоящее время, в России, более 15 миллионов людей стр</w:t>
      </w:r>
      <w:r w:rsidRPr="00281602">
        <w:rPr>
          <w:rFonts w:eastAsia="Calibri"/>
          <w:color w:val="000000"/>
          <w:sz w:val="22"/>
          <w:szCs w:val="22"/>
          <w:lang w:eastAsia="en-US"/>
        </w:rPr>
        <w:t>а</w:t>
      </w:r>
      <w:r w:rsidRPr="00281602">
        <w:rPr>
          <w:rFonts w:eastAsia="Calibri"/>
          <w:color w:val="000000"/>
          <w:sz w:val="22"/>
          <w:szCs w:val="22"/>
          <w:lang w:eastAsia="en-US"/>
        </w:rPr>
        <w:t>дают различными хроническими болезнями почек.</w:t>
      </w:r>
      <w:r w:rsidRPr="00281602">
        <w:rPr>
          <w:rFonts w:eastAsia="Calibri"/>
          <w:color w:val="000000"/>
          <w:sz w:val="22"/>
          <w:szCs w:val="22"/>
          <w:shd w:val="clear" w:color="auto" w:fill="FFFFFF"/>
          <w:lang w:eastAsia="en-US"/>
        </w:rPr>
        <w:t xml:space="preserve"> По последним исследованиям данные показали, что как минимум каждый десятый житель Земли имеет признаки хронической почечной болезни.</w:t>
      </w: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Почки служат фильтром в нашем организме, поэтому все то</w:t>
      </w:r>
      <w:r w:rsidRPr="00281602">
        <w:rPr>
          <w:rFonts w:eastAsia="Calibri"/>
          <w:color w:val="000000"/>
          <w:sz w:val="22"/>
          <w:szCs w:val="22"/>
          <w:shd w:val="clear" w:color="auto" w:fill="FFFFFF"/>
          <w:lang w:eastAsia="en-US"/>
        </w:rPr>
        <w:t>к</w:t>
      </w:r>
      <w:r w:rsidRPr="00281602">
        <w:rPr>
          <w:rFonts w:eastAsia="Calibri"/>
          <w:color w:val="000000"/>
          <w:sz w:val="22"/>
          <w:szCs w:val="22"/>
          <w:shd w:val="clear" w:color="auto" w:fill="FFFFFF"/>
          <w:lang w:eastAsia="en-US"/>
        </w:rPr>
        <w:t>сины, микробы и прочие вредные вещества проходят через них и выводятся из организма. За день через почки проходит около 200 литров крови, вследствие чего злоупотребление вредными привы</w:t>
      </w:r>
      <w:r w:rsidRPr="00281602">
        <w:rPr>
          <w:rFonts w:eastAsia="Calibri"/>
          <w:color w:val="000000"/>
          <w:sz w:val="22"/>
          <w:szCs w:val="22"/>
          <w:shd w:val="clear" w:color="auto" w:fill="FFFFFF"/>
          <w:lang w:eastAsia="en-US"/>
        </w:rPr>
        <w:t>ч</w:t>
      </w:r>
      <w:r w:rsidRPr="00281602">
        <w:rPr>
          <w:rFonts w:eastAsia="Calibri"/>
          <w:color w:val="000000"/>
          <w:sz w:val="22"/>
          <w:szCs w:val="22"/>
          <w:shd w:val="clear" w:color="auto" w:fill="FFFFFF"/>
          <w:lang w:eastAsia="en-US"/>
        </w:rPr>
        <w:t>ками напрямую влияет на этот орган. Основными причинами во</w:t>
      </w:r>
      <w:r w:rsidRPr="00281602">
        <w:rPr>
          <w:rFonts w:eastAsia="Calibri"/>
          <w:color w:val="000000"/>
          <w:sz w:val="22"/>
          <w:szCs w:val="22"/>
          <w:shd w:val="clear" w:color="auto" w:fill="FFFFFF"/>
          <w:lang w:eastAsia="en-US"/>
        </w:rPr>
        <w:t>з</w:t>
      </w:r>
      <w:r w:rsidRPr="00281602">
        <w:rPr>
          <w:rFonts w:eastAsia="Calibri"/>
          <w:color w:val="000000"/>
          <w:sz w:val="22"/>
          <w:szCs w:val="22"/>
          <w:shd w:val="clear" w:color="auto" w:fill="FFFFFF"/>
          <w:lang w:eastAsia="en-US"/>
        </w:rPr>
        <w:t>никновения болезни являются: избыток белка, соли, сахара, алког</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ля в организме и так далее. Такое агрессивное воздействие на почки неизменно приводит к развитию различных патологий – пиелон</w:t>
      </w:r>
      <w:r w:rsidRPr="00281602">
        <w:rPr>
          <w:rFonts w:eastAsia="Calibri"/>
          <w:color w:val="000000"/>
          <w:sz w:val="22"/>
          <w:szCs w:val="22"/>
          <w:shd w:val="clear" w:color="auto" w:fill="FFFFFF"/>
          <w:lang w:eastAsia="en-US"/>
        </w:rPr>
        <w:t>е</w:t>
      </w:r>
      <w:r w:rsidRPr="00281602">
        <w:rPr>
          <w:rFonts w:eastAsia="Calibri"/>
          <w:color w:val="000000"/>
          <w:sz w:val="22"/>
          <w:szCs w:val="22"/>
          <w:shd w:val="clear" w:color="auto" w:fill="FFFFFF"/>
          <w:lang w:eastAsia="en-US"/>
        </w:rPr>
        <w:t xml:space="preserve">фрит, гломерулонефрит, цистит, мочекаменная болезнь. Знание </w:t>
      </w:r>
      <w:r w:rsidRPr="00281602">
        <w:rPr>
          <w:rFonts w:eastAsia="Calibri"/>
          <w:color w:val="000000"/>
          <w:sz w:val="22"/>
          <w:szCs w:val="22"/>
          <w:shd w:val="clear" w:color="auto" w:fill="FFFFFF"/>
          <w:lang w:eastAsia="en-US"/>
        </w:rPr>
        <w:lastRenderedPageBreak/>
        <w:t>причин, влияющих на работу почек, своевременное их устранение и предупреждение, поможет избежать более серьезных проблем [1, 2].</w:t>
      </w: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При данном заболевании рекомендуется соблюдать диету, чт</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бы ограничить поступление веществ, раздражающих почки и пов</w:t>
      </w:r>
      <w:r w:rsidRPr="00281602">
        <w:rPr>
          <w:rFonts w:eastAsia="Calibri"/>
          <w:color w:val="000000"/>
          <w:sz w:val="22"/>
          <w:szCs w:val="22"/>
          <w:shd w:val="clear" w:color="auto" w:fill="FFFFFF"/>
          <w:lang w:eastAsia="en-US"/>
        </w:rPr>
        <w:t>ы</w:t>
      </w:r>
      <w:r w:rsidRPr="00281602">
        <w:rPr>
          <w:rFonts w:eastAsia="Calibri"/>
          <w:color w:val="000000"/>
          <w:sz w:val="22"/>
          <w:szCs w:val="22"/>
          <w:shd w:val="clear" w:color="auto" w:fill="FFFFFF"/>
          <w:lang w:eastAsia="en-US"/>
        </w:rPr>
        <w:t>сить выведение из организма шлаков. При этом диета должна с</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 xml:space="preserve">держать большое количество витаминов, нести в себе белки, жиры и углеводы в разумных пределах. </w:t>
      </w: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xml:space="preserve">Суточное потребление соли не должно быть выше 5 грамм. </w:t>
      </w: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В меню диеты должны входить мочегонные продукты, такие как: тыква, кабачки, огурцы, арбуз, дыня, изюм, чернослив, свекла, свежие фрукты, лиственные салаты. Количество потребляемой в</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ды в день должно быть не менее 800-1000 мл, а рацион питания разделить на 5-6 приемов. Обязательно исключить такие продукты: черный хлеб, любой алкоголь, жирные блюда мяса, рыбы, птицы, газированные напитки, бобовые, лук, чеснок, щавель, шоколад, крепкий кофе, какао.</w:t>
      </w:r>
    </w:p>
    <w:p w:rsidR="00281602" w:rsidRPr="00281602" w:rsidRDefault="00281602" w:rsidP="000A2E0B">
      <w:pPr>
        <w:ind w:firstLine="426"/>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Особое внимание при диете уделяется калорийности пищи (минимум 3500 ккал) и поддержании нормального веса. Количество потребляемого белка должно быть до 20-26 грамм в сутки, при этом сокращают количество растительных белков. Также контролируется поступление натрия, который содержится в поваренной соли, пот</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му что он вызывает задержку воды в организме [3].</w:t>
      </w:r>
    </w:p>
    <w:p w:rsidR="00281602" w:rsidRPr="00281602" w:rsidRDefault="00281602" w:rsidP="000A2E0B">
      <w:pPr>
        <w:ind w:firstLine="426"/>
        <w:jc w:val="both"/>
        <w:rPr>
          <w:rFonts w:eastAsia="Calibri"/>
          <w:iCs/>
          <w:color w:val="000000"/>
          <w:sz w:val="21"/>
          <w:szCs w:val="21"/>
          <w:bdr w:val="none" w:sz="0" w:space="0" w:color="auto" w:frame="1"/>
          <w:lang w:eastAsia="en-US"/>
        </w:rPr>
      </w:pPr>
      <w:r w:rsidRPr="00281602">
        <w:rPr>
          <w:rFonts w:eastAsia="Calibri"/>
          <w:color w:val="000000"/>
          <w:sz w:val="22"/>
          <w:szCs w:val="22"/>
          <w:shd w:val="clear" w:color="auto" w:fill="FFFFFF"/>
          <w:lang w:eastAsia="en-US"/>
        </w:rPr>
        <w:t>Поэтому необходимо помогать нашему организму очищаться от вредных веществ и проводить периодический курс лечения с п</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мощью лекарственных растений. Т</w:t>
      </w:r>
      <w:r w:rsidRPr="00281602">
        <w:rPr>
          <w:rFonts w:eastAsia="Calibri"/>
          <w:iCs/>
          <w:color w:val="000000"/>
          <w:sz w:val="22"/>
          <w:szCs w:val="22"/>
          <w:bdr w:val="none" w:sz="0" w:space="0" w:color="auto" w:frame="1"/>
          <w:lang w:eastAsia="en-US"/>
        </w:rPr>
        <w:t>равяные отвары отлично пром</w:t>
      </w:r>
      <w:r w:rsidRPr="00281602">
        <w:rPr>
          <w:rFonts w:eastAsia="Calibri"/>
          <w:iCs/>
          <w:color w:val="000000"/>
          <w:sz w:val="22"/>
          <w:szCs w:val="22"/>
          <w:bdr w:val="none" w:sz="0" w:space="0" w:color="auto" w:frame="1"/>
          <w:lang w:eastAsia="en-US"/>
        </w:rPr>
        <w:t>ы</w:t>
      </w:r>
      <w:r w:rsidRPr="00281602">
        <w:rPr>
          <w:rFonts w:eastAsia="Calibri"/>
          <w:iCs/>
          <w:color w:val="000000"/>
          <w:sz w:val="22"/>
          <w:szCs w:val="22"/>
          <w:bdr w:val="none" w:sz="0" w:space="0" w:color="auto" w:frame="1"/>
          <w:lang w:eastAsia="en-US"/>
        </w:rPr>
        <w:t>вают почки, но при этом не вымывают кальций из организма в о</w:t>
      </w:r>
      <w:r w:rsidRPr="00281602">
        <w:rPr>
          <w:rFonts w:eastAsia="Calibri"/>
          <w:iCs/>
          <w:color w:val="000000"/>
          <w:sz w:val="22"/>
          <w:szCs w:val="22"/>
          <w:bdr w:val="none" w:sz="0" w:space="0" w:color="auto" w:frame="1"/>
          <w:lang w:eastAsia="en-US"/>
        </w:rPr>
        <w:t>т</w:t>
      </w:r>
      <w:r w:rsidRPr="00281602">
        <w:rPr>
          <w:rFonts w:eastAsia="Calibri"/>
          <w:iCs/>
          <w:color w:val="000000"/>
          <w:sz w:val="22"/>
          <w:szCs w:val="22"/>
          <w:bdr w:val="none" w:sz="0" w:space="0" w:color="auto" w:frame="1"/>
          <w:lang w:eastAsia="en-US"/>
        </w:rPr>
        <w:t>личие от фармакологических препаратов. Рекомендуется употре</w:t>
      </w:r>
      <w:r w:rsidRPr="00281602">
        <w:rPr>
          <w:rFonts w:eastAsia="Calibri"/>
          <w:iCs/>
          <w:color w:val="000000"/>
          <w:sz w:val="22"/>
          <w:szCs w:val="22"/>
          <w:bdr w:val="none" w:sz="0" w:space="0" w:color="auto" w:frame="1"/>
          <w:lang w:eastAsia="en-US"/>
        </w:rPr>
        <w:t>б</w:t>
      </w:r>
      <w:r w:rsidRPr="00281602">
        <w:rPr>
          <w:rFonts w:eastAsia="Calibri"/>
          <w:iCs/>
          <w:color w:val="000000"/>
          <w:sz w:val="22"/>
          <w:szCs w:val="22"/>
          <w:bdr w:val="none" w:sz="0" w:space="0" w:color="auto" w:frame="1"/>
          <w:lang w:eastAsia="en-US"/>
        </w:rPr>
        <w:t>лять в пищу отвар из льняного семени, фиалки трехцветной, цветов бузины, пастушьей сумки или толокнянки. Все эти растения обл</w:t>
      </w:r>
      <w:r w:rsidRPr="00281602">
        <w:rPr>
          <w:rFonts w:eastAsia="Calibri"/>
          <w:iCs/>
          <w:color w:val="000000"/>
          <w:sz w:val="22"/>
          <w:szCs w:val="22"/>
          <w:bdr w:val="none" w:sz="0" w:space="0" w:color="auto" w:frame="1"/>
          <w:lang w:eastAsia="en-US"/>
        </w:rPr>
        <w:t>а</w:t>
      </w:r>
      <w:r w:rsidRPr="00281602">
        <w:rPr>
          <w:rFonts w:eastAsia="Calibri"/>
          <w:iCs/>
          <w:color w:val="000000"/>
          <w:sz w:val="22"/>
          <w:szCs w:val="22"/>
          <w:bdr w:val="none" w:sz="0" w:space="0" w:color="auto" w:frame="1"/>
          <w:lang w:eastAsia="en-US"/>
        </w:rPr>
        <w:t xml:space="preserve">дают мочегонным действием, но следует учитывать артериальное давление, если оно повышенное, то употреблять нужно с отваром пустырника. </w:t>
      </w:r>
    </w:p>
    <w:p w:rsidR="00281602" w:rsidRPr="00281602" w:rsidRDefault="00281602" w:rsidP="000A2E0B">
      <w:pPr>
        <w:ind w:firstLine="426"/>
        <w:jc w:val="both"/>
        <w:rPr>
          <w:rFonts w:eastAsia="Calibri"/>
          <w:color w:val="000000"/>
          <w:sz w:val="21"/>
          <w:szCs w:val="21"/>
          <w:shd w:val="clear" w:color="auto" w:fill="FFFFFF"/>
          <w:lang w:eastAsia="en-US"/>
        </w:rPr>
      </w:pPr>
      <w:r w:rsidRPr="00281602">
        <w:rPr>
          <w:rFonts w:eastAsia="Calibri"/>
          <w:iCs/>
          <w:color w:val="000000"/>
          <w:sz w:val="22"/>
          <w:szCs w:val="22"/>
          <w:bdr w:val="none" w:sz="0" w:space="0" w:color="auto" w:frame="1"/>
          <w:lang w:eastAsia="en-US"/>
        </w:rPr>
        <w:t>Воспалительный процесс в почках снимается с помощью таких отваров растений как толокнянка, тысячелистник и березовые по</w:t>
      </w:r>
      <w:r w:rsidRPr="00281602">
        <w:rPr>
          <w:rFonts w:eastAsia="Calibri"/>
          <w:iCs/>
          <w:color w:val="000000"/>
          <w:sz w:val="22"/>
          <w:szCs w:val="22"/>
          <w:bdr w:val="none" w:sz="0" w:space="0" w:color="auto" w:frame="1"/>
          <w:lang w:eastAsia="en-US"/>
        </w:rPr>
        <w:t>ч</w:t>
      </w:r>
      <w:r w:rsidRPr="00281602">
        <w:rPr>
          <w:rFonts w:eastAsia="Calibri"/>
          <w:iCs/>
          <w:color w:val="000000"/>
          <w:sz w:val="22"/>
          <w:szCs w:val="22"/>
          <w:bdr w:val="none" w:sz="0" w:space="0" w:color="auto" w:frame="1"/>
          <w:lang w:eastAsia="en-US"/>
        </w:rPr>
        <w:t>ки.</w:t>
      </w:r>
      <w:r w:rsidRPr="00281602">
        <w:rPr>
          <w:rFonts w:eastAsia="Calibri"/>
          <w:iCs/>
          <w:color w:val="000000"/>
          <w:sz w:val="22"/>
          <w:szCs w:val="22"/>
          <w:shd w:val="clear" w:color="auto" w:fill="FFFFFF"/>
          <w:lang w:eastAsia="en-US"/>
        </w:rPr>
        <w:t>Также полезно при мочекаменной болезни принимать настой из семян моркови, листьев земляники и брусники, отвар из плодов шиповника [4].</w:t>
      </w:r>
    </w:p>
    <w:p w:rsidR="00281602" w:rsidRPr="00281602" w:rsidRDefault="00281602" w:rsidP="000A2E0B">
      <w:pPr>
        <w:ind w:firstLine="426"/>
        <w:jc w:val="both"/>
        <w:rPr>
          <w:sz w:val="22"/>
          <w:szCs w:val="22"/>
          <w:shd w:val="clear" w:color="auto" w:fill="FFFFFF"/>
        </w:rPr>
      </w:pPr>
      <w:r w:rsidRPr="00281602">
        <w:rPr>
          <w:sz w:val="22"/>
          <w:szCs w:val="22"/>
          <w:shd w:val="clear" w:color="auto" w:fill="FFFFFF"/>
        </w:rPr>
        <w:lastRenderedPageBreak/>
        <w:t>При почечных заболеваниях различного рода рекомендуются углеводные разгрузочные дни (овсяные, фруктовые (особенно я</w:t>
      </w:r>
      <w:r w:rsidRPr="00281602">
        <w:rPr>
          <w:sz w:val="22"/>
          <w:szCs w:val="22"/>
          <w:shd w:val="clear" w:color="auto" w:fill="FFFFFF"/>
        </w:rPr>
        <w:t>б</w:t>
      </w:r>
      <w:r w:rsidRPr="00281602">
        <w:rPr>
          <w:sz w:val="22"/>
          <w:szCs w:val="22"/>
          <w:shd w:val="clear" w:color="auto" w:fill="FFFFFF"/>
        </w:rPr>
        <w:t>лочные, арбузные), ягодные, соковые, овощные (особенно огуре</w:t>
      </w:r>
      <w:r w:rsidRPr="00281602">
        <w:rPr>
          <w:sz w:val="22"/>
          <w:szCs w:val="22"/>
          <w:shd w:val="clear" w:color="auto" w:fill="FFFFFF"/>
        </w:rPr>
        <w:t>ч</w:t>
      </w:r>
      <w:r w:rsidRPr="00281602">
        <w:rPr>
          <w:sz w:val="22"/>
          <w:szCs w:val="22"/>
          <w:shd w:val="clear" w:color="auto" w:fill="FFFFFF"/>
        </w:rPr>
        <w:t>ные), которые повышают уровень выделяемой мочи, улучшают процессы выведения продуктов белкового обмена из организма. Вследствие этого снижается кровяное давление, ослабевают проя</w:t>
      </w:r>
      <w:r w:rsidRPr="00281602">
        <w:rPr>
          <w:sz w:val="22"/>
          <w:szCs w:val="22"/>
          <w:shd w:val="clear" w:color="auto" w:fill="FFFFFF"/>
        </w:rPr>
        <w:t>в</w:t>
      </w:r>
      <w:r w:rsidRPr="00281602">
        <w:rPr>
          <w:sz w:val="22"/>
          <w:szCs w:val="22"/>
          <w:shd w:val="clear" w:color="auto" w:fill="FFFFFF"/>
        </w:rPr>
        <w:t>ления хронической почечной недостаточности.Овощи и фрукты можно тушить, отваривать или употреблять свежими, в виде сал</w:t>
      </w:r>
      <w:r w:rsidRPr="00281602">
        <w:rPr>
          <w:sz w:val="22"/>
          <w:szCs w:val="22"/>
          <w:shd w:val="clear" w:color="auto" w:fill="FFFFFF"/>
        </w:rPr>
        <w:t>а</w:t>
      </w:r>
      <w:r w:rsidRPr="00281602">
        <w:rPr>
          <w:sz w:val="22"/>
          <w:szCs w:val="22"/>
          <w:shd w:val="clear" w:color="auto" w:fill="FFFFFF"/>
        </w:rPr>
        <w:t>тов [5].</w:t>
      </w:r>
    </w:p>
    <w:p w:rsidR="00281602" w:rsidRPr="00281602" w:rsidRDefault="00281602" w:rsidP="000A2E0B">
      <w:pPr>
        <w:ind w:firstLine="426"/>
        <w:jc w:val="both"/>
        <w:rPr>
          <w:sz w:val="22"/>
          <w:szCs w:val="22"/>
          <w:shd w:val="clear" w:color="auto" w:fill="FFFFFF"/>
        </w:rPr>
      </w:pPr>
      <w:r w:rsidRPr="00281602">
        <w:rPr>
          <w:sz w:val="22"/>
          <w:szCs w:val="22"/>
          <w:shd w:val="clear" w:color="auto" w:fill="FFFFFF"/>
        </w:rPr>
        <w:t>На кафедре технологии хранения и переработки растениево</w:t>
      </w:r>
      <w:r w:rsidRPr="00281602">
        <w:rPr>
          <w:sz w:val="22"/>
          <w:szCs w:val="22"/>
          <w:shd w:val="clear" w:color="auto" w:fill="FFFFFF"/>
        </w:rPr>
        <w:t>д</w:t>
      </w:r>
      <w:r w:rsidRPr="00281602">
        <w:rPr>
          <w:sz w:val="22"/>
          <w:szCs w:val="22"/>
          <w:shd w:val="clear" w:color="auto" w:fill="FFFFFF"/>
        </w:rPr>
        <w:t>ческой продукции КубГАУ, ведутся исследования по разработке продуктов, рекомендуемых к употреблению при заболеваниях п</w:t>
      </w:r>
      <w:r w:rsidRPr="00281602">
        <w:rPr>
          <w:sz w:val="22"/>
          <w:szCs w:val="22"/>
          <w:shd w:val="clear" w:color="auto" w:fill="FFFFFF"/>
        </w:rPr>
        <w:t>о</w:t>
      </w:r>
      <w:r w:rsidRPr="00281602">
        <w:rPr>
          <w:sz w:val="22"/>
          <w:szCs w:val="22"/>
          <w:shd w:val="clear" w:color="auto" w:fill="FFFFFF"/>
        </w:rPr>
        <w:t>чек.</w:t>
      </w:r>
    </w:p>
    <w:p w:rsidR="00281602" w:rsidRPr="00281602" w:rsidRDefault="00281602" w:rsidP="000A2E0B">
      <w:pPr>
        <w:ind w:firstLine="426"/>
        <w:jc w:val="both"/>
        <w:rPr>
          <w:rFonts w:eastAsia="Calibri"/>
          <w:iCs/>
          <w:sz w:val="22"/>
          <w:szCs w:val="22"/>
          <w:shd w:val="clear" w:color="auto" w:fill="FFFFFF"/>
          <w:lang w:eastAsia="en-US"/>
        </w:rPr>
      </w:pPr>
    </w:p>
    <w:p w:rsidR="00281602" w:rsidRPr="00281602" w:rsidRDefault="000A2E0B" w:rsidP="000A2E0B">
      <w:pPr>
        <w:ind w:firstLine="426"/>
        <w:jc w:val="center"/>
        <w:rPr>
          <w:rFonts w:eastAsia="Calibri"/>
          <w:iCs/>
          <w:sz w:val="22"/>
          <w:szCs w:val="22"/>
          <w:shd w:val="clear" w:color="auto" w:fill="FFFFFF"/>
          <w:lang w:eastAsia="en-US"/>
        </w:rPr>
      </w:pPr>
      <w:r>
        <w:rPr>
          <w:rFonts w:eastAsia="Calibri"/>
          <w:iCs/>
          <w:sz w:val="22"/>
          <w:szCs w:val="22"/>
          <w:shd w:val="clear" w:color="auto" w:fill="FFFFFF"/>
          <w:lang w:eastAsia="en-US"/>
        </w:rPr>
        <w:t>Список литературы</w:t>
      </w:r>
    </w:p>
    <w:p w:rsidR="00281602" w:rsidRPr="00281602" w:rsidRDefault="00281602" w:rsidP="000A2E0B">
      <w:pPr>
        <w:numPr>
          <w:ilvl w:val="0"/>
          <w:numId w:val="25"/>
        </w:numPr>
        <w:spacing w:after="160"/>
        <w:ind w:left="0" w:firstLine="426"/>
        <w:contextualSpacing/>
        <w:jc w:val="both"/>
        <w:rPr>
          <w:rFonts w:eastAsia="Calibri"/>
          <w:iCs/>
          <w:sz w:val="22"/>
          <w:szCs w:val="22"/>
          <w:shd w:val="clear" w:color="auto" w:fill="FFFFFF"/>
          <w:lang w:eastAsia="en-US"/>
        </w:rPr>
      </w:pPr>
      <w:r w:rsidRPr="00281602">
        <w:rPr>
          <w:rFonts w:eastAsia="Calibri"/>
          <w:iCs/>
          <w:sz w:val="22"/>
          <w:szCs w:val="22"/>
          <w:shd w:val="clear" w:color="auto" w:fill="FFFFFF"/>
          <w:lang w:eastAsia="en-US"/>
        </w:rPr>
        <w:t>Функциональные продукты питания: учебное пособие / ко</w:t>
      </w:r>
      <w:r w:rsidRPr="00281602">
        <w:rPr>
          <w:rFonts w:eastAsia="Calibri"/>
          <w:iCs/>
          <w:sz w:val="22"/>
          <w:szCs w:val="22"/>
          <w:shd w:val="clear" w:color="auto" w:fill="FFFFFF"/>
          <w:lang w:eastAsia="en-US"/>
        </w:rPr>
        <w:t>л</w:t>
      </w:r>
      <w:r w:rsidRPr="00281602">
        <w:rPr>
          <w:rFonts w:eastAsia="Calibri"/>
          <w:iCs/>
          <w:sz w:val="22"/>
          <w:szCs w:val="22"/>
          <w:shd w:val="clear" w:color="auto" w:fill="FFFFFF"/>
          <w:lang w:eastAsia="en-US"/>
        </w:rPr>
        <w:t>лектив авторов. – М.: КНОРУС, 2014. – 302с.</w:t>
      </w:r>
    </w:p>
    <w:p w:rsidR="00281602" w:rsidRPr="00281602" w:rsidRDefault="00281602" w:rsidP="000A2E0B">
      <w:pPr>
        <w:numPr>
          <w:ilvl w:val="0"/>
          <w:numId w:val="25"/>
        </w:numPr>
        <w:spacing w:after="160"/>
        <w:ind w:left="0" w:firstLine="426"/>
        <w:contextualSpacing/>
        <w:jc w:val="both"/>
        <w:rPr>
          <w:rFonts w:eastAsia="Calibri"/>
          <w:iCs/>
          <w:sz w:val="22"/>
          <w:szCs w:val="22"/>
          <w:shd w:val="clear" w:color="auto" w:fill="FFFFFF"/>
          <w:lang w:eastAsia="en-US"/>
        </w:rPr>
      </w:pPr>
      <w:r w:rsidRPr="00281602">
        <w:rPr>
          <w:rFonts w:eastAsia="Calibri"/>
          <w:iCs/>
          <w:sz w:val="22"/>
          <w:szCs w:val="22"/>
          <w:shd w:val="clear" w:color="auto" w:fill="FFFFFF"/>
          <w:lang w:eastAsia="en-US"/>
        </w:rPr>
        <w:t>Донченко, Л. В. Технология функциональных продуктов п</w:t>
      </w:r>
      <w:r w:rsidRPr="00281602">
        <w:rPr>
          <w:rFonts w:eastAsia="Calibri"/>
          <w:iCs/>
          <w:sz w:val="22"/>
          <w:szCs w:val="22"/>
          <w:shd w:val="clear" w:color="auto" w:fill="FFFFFF"/>
          <w:lang w:eastAsia="en-US"/>
        </w:rPr>
        <w:t>и</w:t>
      </w:r>
      <w:r w:rsidRPr="00281602">
        <w:rPr>
          <w:rFonts w:eastAsia="Calibri"/>
          <w:iCs/>
          <w:sz w:val="22"/>
          <w:szCs w:val="22"/>
          <w:shd w:val="clear" w:color="auto" w:fill="FFFFFF"/>
          <w:lang w:eastAsia="en-US"/>
        </w:rPr>
        <w:t>тания: учебное пособие / Л. В. Донченко [и др.]. – М. Юрайт, 2017. – Сер. Университеты России. – 352с.</w:t>
      </w:r>
    </w:p>
    <w:p w:rsidR="00281602" w:rsidRPr="00281602" w:rsidRDefault="00281602" w:rsidP="000A2E0B">
      <w:pPr>
        <w:numPr>
          <w:ilvl w:val="0"/>
          <w:numId w:val="25"/>
        </w:numPr>
        <w:spacing w:after="160"/>
        <w:ind w:left="0" w:firstLine="426"/>
        <w:contextualSpacing/>
        <w:jc w:val="both"/>
        <w:rPr>
          <w:rFonts w:eastAsia="Calibri"/>
          <w:iCs/>
          <w:sz w:val="22"/>
          <w:szCs w:val="22"/>
          <w:shd w:val="clear" w:color="auto" w:fill="FFFFFF"/>
          <w:lang w:eastAsia="en-US"/>
        </w:rPr>
      </w:pPr>
      <w:r w:rsidRPr="00281602">
        <w:rPr>
          <w:rFonts w:eastAsia="Calibri"/>
          <w:iCs/>
          <w:sz w:val="22"/>
          <w:szCs w:val="22"/>
          <w:shd w:val="clear" w:color="auto" w:fill="FFFFFF"/>
          <w:lang w:eastAsia="en-US"/>
        </w:rPr>
        <w:t>Татаринцева, О.И. Разработка рецептуры напитков для л</w:t>
      </w:r>
      <w:r w:rsidRPr="00281602">
        <w:rPr>
          <w:rFonts w:eastAsia="Calibri"/>
          <w:iCs/>
          <w:sz w:val="22"/>
          <w:szCs w:val="22"/>
          <w:shd w:val="clear" w:color="auto" w:fill="FFFFFF"/>
          <w:lang w:eastAsia="en-US"/>
        </w:rPr>
        <w:t>е</w:t>
      </w:r>
      <w:r w:rsidRPr="00281602">
        <w:rPr>
          <w:rFonts w:eastAsia="Calibri"/>
          <w:iCs/>
          <w:sz w:val="22"/>
          <w:szCs w:val="22"/>
          <w:shd w:val="clear" w:color="auto" w:fill="FFFFFF"/>
          <w:lang w:eastAsia="en-US"/>
        </w:rPr>
        <w:t>чебно-профилактического питания / О. И. Татаринцева, И.В. Соболь // В сб.: Научное обеспечение агропромышленного комплекса, 2012. – С. 252-254</w:t>
      </w:r>
    </w:p>
    <w:p w:rsidR="00281602" w:rsidRPr="00281602" w:rsidRDefault="00281602" w:rsidP="000A2E0B">
      <w:pPr>
        <w:numPr>
          <w:ilvl w:val="0"/>
          <w:numId w:val="25"/>
        </w:numPr>
        <w:spacing w:after="160"/>
        <w:ind w:left="0" w:firstLine="426"/>
        <w:contextualSpacing/>
        <w:jc w:val="both"/>
        <w:rPr>
          <w:rFonts w:eastAsia="Calibri"/>
          <w:iCs/>
          <w:sz w:val="22"/>
          <w:szCs w:val="22"/>
          <w:shd w:val="clear" w:color="auto" w:fill="FFFFFF"/>
          <w:lang w:eastAsia="en-US"/>
        </w:rPr>
      </w:pPr>
      <w:r w:rsidRPr="00281602">
        <w:rPr>
          <w:rFonts w:eastAsia="Calibri"/>
          <w:iCs/>
          <w:sz w:val="22"/>
          <w:szCs w:val="22"/>
          <w:shd w:val="clear" w:color="auto" w:fill="FFFFFF"/>
          <w:lang w:eastAsia="en-US"/>
        </w:rPr>
        <w:t>Усенкова, М. С. Разработка новых функциональных проду</w:t>
      </w:r>
      <w:r w:rsidRPr="00281602">
        <w:rPr>
          <w:rFonts w:eastAsia="Calibri"/>
          <w:iCs/>
          <w:sz w:val="22"/>
          <w:szCs w:val="22"/>
          <w:shd w:val="clear" w:color="auto" w:fill="FFFFFF"/>
          <w:lang w:eastAsia="en-US"/>
        </w:rPr>
        <w:t>к</w:t>
      </w:r>
      <w:r w:rsidRPr="00281602">
        <w:rPr>
          <w:rFonts w:eastAsia="Calibri"/>
          <w:iCs/>
          <w:sz w:val="22"/>
          <w:szCs w:val="22"/>
          <w:shd w:val="clear" w:color="auto" w:fill="FFFFFF"/>
          <w:lang w:eastAsia="en-US"/>
        </w:rPr>
        <w:t>тов / М. С. Усенкова, И. В. Соболь // В сб.: Научное обеспечение агропромышленного комплекса, 2012. – С. 260-261</w:t>
      </w:r>
    </w:p>
    <w:p w:rsidR="00281602" w:rsidRPr="00281602" w:rsidRDefault="00281602" w:rsidP="000A2E0B">
      <w:pPr>
        <w:numPr>
          <w:ilvl w:val="0"/>
          <w:numId w:val="25"/>
        </w:numPr>
        <w:spacing w:after="160"/>
        <w:ind w:left="0" w:firstLine="426"/>
        <w:contextualSpacing/>
        <w:jc w:val="both"/>
        <w:rPr>
          <w:rFonts w:eastAsia="Calibri"/>
          <w:iCs/>
          <w:sz w:val="22"/>
          <w:szCs w:val="22"/>
          <w:shd w:val="clear" w:color="auto" w:fill="FFFFFF"/>
          <w:lang w:eastAsia="en-US"/>
        </w:rPr>
      </w:pPr>
      <w:r w:rsidRPr="00281602">
        <w:rPr>
          <w:rFonts w:eastAsia="Calibri"/>
          <w:iCs/>
          <w:sz w:val="22"/>
          <w:szCs w:val="22"/>
          <w:shd w:val="clear" w:color="auto" w:fill="FFFFFF"/>
          <w:lang w:eastAsia="en-US"/>
        </w:rPr>
        <w:t>Родионова, Л.Я. Возможности использования плодово-ягодного сырья в производстве функциональных продуктов питания / Л.Я. Родионова, И.В. Соболь, И.Н. Барышева // Сфера услуг: и</w:t>
      </w:r>
      <w:r w:rsidRPr="00281602">
        <w:rPr>
          <w:rFonts w:eastAsia="Calibri"/>
          <w:iCs/>
          <w:sz w:val="22"/>
          <w:szCs w:val="22"/>
          <w:shd w:val="clear" w:color="auto" w:fill="FFFFFF"/>
          <w:lang w:eastAsia="en-US"/>
        </w:rPr>
        <w:t>н</w:t>
      </w:r>
      <w:r w:rsidRPr="00281602">
        <w:rPr>
          <w:rFonts w:eastAsia="Calibri"/>
          <w:iCs/>
          <w:sz w:val="22"/>
          <w:szCs w:val="22"/>
          <w:shd w:val="clear" w:color="auto" w:fill="FFFFFF"/>
          <w:lang w:eastAsia="en-US"/>
        </w:rPr>
        <w:t>новации и качество, 2012, №5. – С. 151-155.</w:t>
      </w:r>
    </w:p>
    <w:p w:rsidR="00281602" w:rsidRPr="000E3E48" w:rsidRDefault="000E3E48" w:rsidP="000E3E48">
      <w:pPr>
        <w:rPr>
          <w:rFonts w:eastAsia="Calibri"/>
          <w:iCs/>
          <w:sz w:val="22"/>
          <w:szCs w:val="22"/>
          <w:shd w:val="clear" w:color="auto" w:fill="FFFFFF"/>
          <w:lang w:eastAsia="en-US"/>
        </w:rPr>
      </w:pPr>
      <w:r>
        <w:rPr>
          <w:rFonts w:eastAsia="Calibri"/>
          <w:iCs/>
          <w:sz w:val="22"/>
          <w:szCs w:val="22"/>
          <w:shd w:val="clear" w:color="auto" w:fill="FFFFFF"/>
          <w:lang w:eastAsia="en-US"/>
        </w:rPr>
        <w:br w:type="page"/>
      </w:r>
    </w:p>
    <w:p w:rsidR="00281602" w:rsidRPr="003A498D" w:rsidRDefault="00281602" w:rsidP="00281602">
      <w:pPr>
        <w:rPr>
          <w:rFonts w:eastAsia="Calibri"/>
          <w:sz w:val="22"/>
          <w:szCs w:val="22"/>
          <w:lang w:eastAsia="en-US"/>
        </w:rPr>
      </w:pPr>
      <w:r w:rsidRPr="003A498D">
        <w:rPr>
          <w:rFonts w:eastAsia="Calibri"/>
          <w:sz w:val="22"/>
          <w:szCs w:val="22"/>
          <w:lang w:eastAsia="en-US"/>
        </w:rPr>
        <w:lastRenderedPageBreak/>
        <w:t>УДК 637.5</w:t>
      </w:r>
    </w:p>
    <w:p w:rsidR="00281602" w:rsidRPr="00281602" w:rsidRDefault="00281602" w:rsidP="00281602">
      <w:pPr>
        <w:rPr>
          <w:rFonts w:eastAsia="Calibri"/>
          <w:b/>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Биологическая ценность и свойства мяса оленины </w:t>
      </w:r>
    </w:p>
    <w:p w:rsidR="00281602" w:rsidRPr="00281602" w:rsidRDefault="00281602" w:rsidP="00281602">
      <w:pPr>
        <w:jc w:val="center"/>
        <w:rPr>
          <w:rFonts w:eastAsia="Calibri"/>
          <w:b/>
          <w:color w:val="000000"/>
          <w:sz w:val="24"/>
          <w:szCs w:val="24"/>
          <w:shd w:val="clear" w:color="auto" w:fill="FFFFFF"/>
          <w:lang w:val="en-US" w:eastAsia="en-US"/>
        </w:rPr>
      </w:pPr>
      <w:r w:rsidRPr="00281602">
        <w:rPr>
          <w:rFonts w:eastAsia="Calibri"/>
          <w:b/>
          <w:color w:val="000000"/>
          <w:sz w:val="24"/>
          <w:szCs w:val="24"/>
          <w:shd w:val="clear" w:color="auto" w:fill="FFFFFF"/>
          <w:lang w:val="en-US" w:eastAsia="en-US"/>
        </w:rPr>
        <w:t>Biological value and properties of venison meat</w:t>
      </w:r>
    </w:p>
    <w:p w:rsidR="00281602" w:rsidRPr="00281602" w:rsidRDefault="00281602" w:rsidP="00281602">
      <w:pPr>
        <w:jc w:val="center"/>
        <w:rPr>
          <w:rFonts w:eastAsia="Calibri"/>
          <w:b/>
          <w:sz w:val="24"/>
          <w:szCs w:val="24"/>
          <w:lang w:val="en-US" w:eastAsia="en-US"/>
        </w:rPr>
      </w:pPr>
    </w:p>
    <w:p w:rsidR="00281602" w:rsidRPr="00281602" w:rsidRDefault="00281602" w:rsidP="00281602">
      <w:pPr>
        <w:shd w:val="clear" w:color="auto" w:fill="FFFFFF"/>
        <w:jc w:val="right"/>
        <w:outlineLvl w:val="1"/>
        <w:rPr>
          <w:bCs/>
          <w:sz w:val="22"/>
          <w:szCs w:val="22"/>
        </w:rPr>
      </w:pPr>
      <w:r w:rsidRPr="00281602">
        <w:rPr>
          <w:bCs/>
          <w:sz w:val="22"/>
          <w:szCs w:val="22"/>
        </w:rPr>
        <w:t>Гирс Я.</w:t>
      </w:r>
      <w:r w:rsidR="003A498D">
        <w:rPr>
          <w:bCs/>
          <w:sz w:val="22"/>
          <w:szCs w:val="22"/>
        </w:rPr>
        <w:t xml:space="preserve"> </w:t>
      </w:r>
      <w:r w:rsidRPr="00281602">
        <w:rPr>
          <w:bCs/>
          <w:sz w:val="22"/>
          <w:szCs w:val="22"/>
        </w:rPr>
        <w:t>В.,</w:t>
      </w:r>
    </w:p>
    <w:p w:rsidR="00281602" w:rsidRPr="00281602" w:rsidRDefault="00281602" w:rsidP="00281602">
      <w:pPr>
        <w:shd w:val="clear" w:color="auto" w:fill="FFFFFF"/>
        <w:jc w:val="right"/>
        <w:outlineLvl w:val="1"/>
        <w:rPr>
          <w:bCs/>
          <w:sz w:val="22"/>
          <w:szCs w:val="22"/>
        </w:rPr>
      </w:pPr>
      <w:r w:rsidRPr="00281602">
        <w:rPr>
          <w:bCs/>
          <w:sz w:val="22"/>
          <w:szCs w:val="22"/>
        </w:rPr>
        <w:t xml:space="preserve"> студ</w:t>
      </w:r>
      <w:r w:rsidR="003A498D">
        <w:rPr>
          <w:bCs/>
          <w:sz w:val="22"/>
          <w:szCs w:val="22"/>
        </w:rPr>
        <w:t>ент 2-го курса факультета</w:t>
      </w:r>
    </w:p>
    <w:p w:rsidR="00281602" w:rsidRPr="00281602" w:rsidRDefault="003A498D" w:rsidP="00281602">
      <w:pPr>
        <w:shd w:val="clear" w:color="auto" w:fill="FFFFFF"/>
        <w:jc w:val="right"/>
        <w:outlineLvl w:val="1"/>
        <w:rPr>
          <w:bCs/>
          <w:sz w:val="22"/>
          <w:szCs w:val="22"/>
        </w:rPr>
      </w:pPr>
      <w:r>
        <w:rPr>
          <w:bCs/>
          <w:sz w:val="22"/>
          <w:szCs w:val="22"/>
        </w:rPr>
        <w:t>перерабатывающих технологий,</w:t>
      </w:r>
    </w:p>
    <w:p w:rsidR="00281602" w:rsidRPr="00281602" w:rsidRDefault="00281602" w:rsidP="00281602">
      <w:pPr>
        <w:shd w:val="clear" w:color="auto" w:fill="FFFFFF"/>
        <w:jc w:val="right"/>
        <w:outlineLvl w:val="1"/>
        <w:rPr>
          <w:bCs/>
          <w:sz w:val="22"/>
          <w:szCs w:val="22"/>
        </w:rPr>
      </w:pPr>
      <w:r w:rsidRPr="00281602">
        <w:rPr>
          <w:bCs/>
          <w:sz w:val="22"/>
          <w:szCs w:val="22"/>
        </w:rPr>
        <w:t>Коршунова Я.</w:t>
      </w:r>
      <w:r w:rsidR="003A498D">
        <w:rPr>
          <w:bCs/>
          <w:sz w:val="22"/>
          <w:szCs w:val="22"/>
        </w:rPr>
        <w:t xml:space="preserve"> </w:t>
      </w:r>
      <w:r w:rsidRPr="00281602">
        <w:rPr>
          <w:bCs/>
          <w:sz w:val="22"/>
          <w:szCs w:val="22"/>
        </w:rPr>
        <w:t>М.,</w:t>
      </w:r>
    </w:p>
    <w:p w:rsidR="00281602" w:rsidRPr="00281602" w:rsidRDefault="00281602" w:rsidP="00281602">
      <w:pPr>
        <w:shd w:val="clear" w:color="auto" w:fill="FFFFFF"/>
        <w:jc w:val="right"/>
        <w:outlineLvl w:val="1"/>
        <w:rPr>
          <w:bCs/>
          <w:sz w:val="22"/>
          <w:szCs w:val="22"/>
        </w:rPr>
      </w:pPr>
      <w:r w:rsidRPr="00281602">
        <w:rPr>
          <w:bCs/>
          <w:sz w:val="22"/>
          <w:szCs w:val="22"/>
        </w:rPr>
        <w:t xml:space="preserve"> м</w:t>
      </w:r>
      <w:r w:rsidR="003A498D">
        <w:rPr>
          <w:bCs/>
          <w:sz w:val="22"/>
          <w:szCs w:val="22"/>
        </w:rPr>
        <w:t>агистрант 1-го курса факультета</w:t>
      </w:r>
    </w:p>
    <w:p w:rsidR="00281602" w:rsidRPr="00281602" w:rsidRDefault="00281602" w:rsidP="00281602">
      <w:pPr>
        <w:shd w:val="clear" w:color="auto" w:fill="FFFFFF"/>
        <w:jc w:val="right"/>
        <w:outlineLvl w:val="1"/>
        <w:rPr>
          <w:bCs/>
          <w:sz w:val="22"/>
          <w:szCs w:val="22"/>
        </w:rPr>
      </w:pPr>
      <w:r w:rsidRPr="00281602">
        <w:rPr>
          <w:bCs/>
          <w:sz w:val="22"/>
          <w:szCs w:val="22"/>
        </w:rPr>
        <w:t xml:space="preserve">перерабатывающих технологий </w:t>
      </w:r>
      <w:r w:rsidRPr="00281602">
        <w:rPr>
          <w:bCs/>
          <w:sz w:val="22"/>
          <w:szCs w:val="22"/>
        </w:rPr>
        <w:br/>
        <w:t>Патиева А.</w:t>
      </w:r>
      <w:r w:rsidR="003A498D">
        <w:rPr>
          <w:bCs/>
          <w:sz w:val="22"/>
          <w:szCs w:val="22"/>
        </w:rPr>
        <w:t xml:space="preserve"> </w:t>
      </w:r>
      <w:r w:rsidRPr="00281602">
        <w:rPr>
          <w:bCs/>
          <w:sz w:val="22"/>
          <w:szCs w:val="22"/>
        </w:rPr>
        <w:t>М.,</w:t>
      </w:r>
    </w:p>
    <w:p w:rsidR="00A11DF9" w:rsidRDefault="00281602" w:rsidP="00281602">
      <w:pPr>
        <w:jc w:val="right"/>
        <w:rPr>
          <w:rFonts w:eastAsia="Calibri"/>
          <w:sz w:val="22"/>
          <w:szCs w:val="22"/>
          <w:lang w:eastAsia="en-US"/>
        </w:rPr>
      </w:pPr>
      <w:r w:rsidRPr="00281602">
        <w:rPr>
          <w:rFonts w:eastAsia="Calibri"/>
          <w:sz w:val="22"/>
          <w:szCs w:val="22"/>
          <w:lang w:eastAsia="en-US"/>
        </w:rPr>
        <w:t>профессор</w:t>
      </w:r>
      <w:r w:rsidR="00A11DF9">
        <w:rPr>
          <w:rFonts w:eastAsia="Calibri"/>
          <w:sz w:val="22"/>
          <w:szCs w:val="22"/>
          <w:lang w:eastAsia="en-US"/>
        </w:rPr>
        <w:t xml:space="preserve"> </w:t>
      </w:r>
      <w:r w:rsidRPr="00281602">
        <w:rPr>
          <w:rFonts w:eastAsia="Calibri"/>
          <w:sz w:val="22"/>
          <w:szCs w:val="22"/>
          <w:lang w:eastAsia="en-US"/>
        </w:rPr>
        <w:t>кафедры технологии хра</w:t>
      </w:r>
      <w:r w:rsidR="00A11DF9">
        <w:rPr>
          <w:rFonts w:eastAsia="Calibri"/>
          <w:sz w:val="22"/>
          <w:szCs w:val="22"/>
          <w:lang w:eastAsia="en-US"/>
        </w:rPr>
        <w:t>нения</w:t>
      </w:r>
    </w:p>
    <w:p w:rsidR="00281602" w:rsidRPr="00281602" w:rsidRDefault="00A11DF9" w:rsidP="00281602">
      <w:pPr>
        <w:jc w:val="right"/>
        <w:rPr>
          <w:rFonts w:eastAsia="Calibri"/>
          <w:sz w:val="22"/>
          <w:szCs w:val="22"/>
          <w:lang w:eastAsia="en-US"/>
        </w:rPr>
      </w:pPr>
      <w:r>
        <w:rPr>
          <w:rFonts w:eastAsia="Calibri"/>
          <w:sz w:val="22"/>
          <w:szCs w:val="22"/>
          <w:lang w:eastAsia="en-US"/>
        </w:rPr>
        <w:t xml:space="preserve"> и переработки </w:t>
      </w:r>
      <w:r w:rsidR="00281602" w:rsidRPr="00281602">
        <w:rPr>
          <w:rFonts w:eastAsia="Calibri"/>
          <w:sz w:val="22"/>
          <w:szCs w:val="22"/>
          <w:lang w:eastAsia="en-US"/>
        </w:rPr>
        <w:t>животноводческой продукции</w:t>
      </w:r>
    </w:p>
    <w:p w:rsidR="00281602" w:rsidRPr="00281602" w:rsidRDefault="00281602" w:rsidP="00281602">
      <w:pPr>
        <w:shd w:val="clear" w:color="auto" w:fill="FFFFFF"/>
        <w:jc w:val="right"/>
        <w:outlineLvl w:val="1"/>
        <w:rPr>
          <w:bCs/>
          <w:sz w:val="22"/>
          <w:szCs w:val="22"/>
        </w:rPr>
      </w:pPr>
      <w:r w:rsidRPr="00281602">
        <w:rPr>
          <w:bCs/>
          <w:sz w:val="22"/>
          <w:szCs w:val="22"/>
        </w:rPr>
        <w:t>Кубанский госуд</w:t>
      </w:r>
      <w:r w:rsidR="00A11DF9">
        <w:rPr>
          <w:bCs/>
          <w:sz w:val="22"/>
          <w:szCs w:val="22"/>
        </w:rPr>
        <w:t>арственный аграрный</w:t>
      </w:r>
    </w:p>
    <w:p w:rsidR="00281602" w:rsidRPr="00281602" w:rsidRDefault="00281602" w:rsidP="00281602">
      <w:pPr>
        <w:shd w:val="clear" w:color="auto" w:fill="FFFFFF"/>
        <w:jc w:val="right"/>
        <w:outlineLvl w:val="1"/>
        <w:rPr>
          <w:bCs/>
          <w:sz w:val="22"/>
          <w:szCs w:val="22"/>
        </w:rPr>
      </w:pPr>
      <w:r w:rsidRPr="00281602">
        <w:rPr>
          <w:bCs/>
          <w:sz w:val="22"/>
          <w:szCs w:val="22"/>
        </w:rPr>
        <w:t>университет имени И.</w:t>
      </w:r>
      <w:r w:rsidR="00A11DF9">
        <w:rPr>
          <w:bCs/>
          <w:sz w:val="22"/>
          <w:szCs w:val="22"/>
        </w:rPr>
        <w:t xml:space="preserve"> </w:t>
      </w:r>
      <w:r w:rsidRPr="00281602">
        <w:rPr>
          <w:bCs/>
          <w:sz w:val="22"/>
          <w:szCs w:val="22"/>
        </w:rPr>
        <w:t>Т. Трубилина</w:t>
      </w:r>
    </w:p>
    <w:p w:rsidR="00281602" w:rsidRPr="00281602" w:rsidRDefault="00281602" w:rsidP="00281602">
      <w:pPr>
        <w:shd w:val="clear" w:color="auto" w:fill="FFFFFF"/>
        <w:outlineLvl w:val="1"/>
        <w:rPr>
          <w:bCs/>
          <w:i/>
          <w:sz w:val="22"/>
          <w:szCs w:val="22"/>
        </w:rPr>
      </w:pP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АННОТАЦИЯ:</w:t>
      </w:r>
      <w:r w:rsidR="00A11DF9">
        <w:rPr>
          <w:rFonts w:eastAsia="Calibri"/>
          <w:sz w:val="22"/>
          <w:szCs w:val="22"/>
          <w:lang w:eastAsia="en-US"/>
        </w:rPr>
        <w:t xml:space="preserve"> П</w:t>
      </w:r>
      <w:r w:rsidRPr="00281602">
        <w:rPr>
          <w:rFonts w:eastAsia="Calibri"/>
          <w:sz w:val="22"/>
          <w:szCs w:val="22"/>
          <w:lang w:eastAsia="en-US"/>
        </w:rPr>
        <w:t>роведен анализ рынка мясного сырья, выя</w:t>
      </w:r>
      <w:r w:rsidRPr="00281602">
        <w:rPr>
          <w:rFonts w:eastAsia="Calibri"/>
          <w:sz w:val="22"/>
          <w:szCs w:val="22"/>
          <w:lang w:eastAsia="en-US"/>
        </w:rPr>
        <w:t>в</w:t>
      </w:r>
      <w:r w:rsidRPr="00281602">
        <w:rPr>
          <w:rFonts w:eastAsia="Calibri"/>
          <w:sz w:val="22"/>
          <w:szCs w:val="22"/>
          <w:lang w:eastAsia="en-US"/>
        </w:rPr>
        <w:t>лены полезные свойства мяса оленины, рассмотрена перспектива применения мяса оленя в технологии мясных продуктов питания общего и специального назначения.</w:t>
      </w:r>
    </w:p>
    <w:p w:rsidR="00281602" w:rsidRPr="00281602" w:rsidRDefault="00281602" w:rsidP="00A11DF9">
      <w:pPr>
        <w:ind w:firstLine="426"/>
        <w:jc w:val="both"/>
        <w:rPr>
          <w:rFonts w:eastAsia="Calibri"/>
          <w:sz w:val="22"/>
          <w:szCs w:val="22"/>
          <w:lang w:val="en-US" w:eastAsia="en-US"/>
        </w:rPr>
      </w:pPr>
      <w:r w:rsidRPr="00281602">
        <w:rPr>
          <w:rFonts w:eastAsia="Calibri"/>
          <w:sz w:val="22"/>
          <w:szCs w:val="22"/>
          <w:lang w:val="en-US" w:eastAsia="en-US"/>
        </w:rPr>
        <w:t>ABSTRACT:</w:t>
      </w:r>
      <w:r w:rsidRPr="00281602">
        <w:rPr>
          <w:rFonts w:eastAsia="Calibri"/>
          <w:color w:val="000000"/>
          <w:sz w:val="22"/>
          <w:szCs w:val="22"/>
          <w:shd w:val="clear" w:color="auto" w:fill="FFFFFF"/>
          <w:lang w:val="en-US" w:eastAsia="en-US"/>
        </w:rPr>
        <w:t xml:space="preserve"> Meat market has been analyzed, useful properties of venison meat have been revealed, the perspective of the use of venison meat in the technology of meat products of general and special purpose has been considered.</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КЛЮЧЕВЫЕ СЛОВА: Мясо оленя, биологическая ценность, мясная промышленность, продукты питания.</w:t>
      </w:r>
    </w:p>
    <w:p w:rsidR="00281602" w:rsidRPr="00281602" w:rsidRDefault="00281602" w:rsidP="00A11DF9">
      <w:pPr>
        <w:ind w:firstLine="426"/>
        <w:jc w:val="both"/>
        <w:rPr>
          <w:rFonts w:eastAsia="Calibri"/>
          <w:color w:val="000000"/>
          <w:sz w:val="22"/>
          <w:szCs w:val="22"/>
          <w:shd w:val="clear" w:color="auto" w:fill="FFFFFF"/>
          <w:lang w:val="en-US" w:eastAsia="en-US"/>
        </w:rPr>
      </w:pPr>
      <w:r w:rsidRPr="00281602">
        <w:rPr>
          <w:rFonts w:eastAsia="Calibri"/>
          <w:color w:val="000000"/>
          <w:sz w:val="22"/>
          <w:szCs w:val="22"/>
          <w:shd w:val="clear" w:color="auto" w:fill="FFFFFF"/>
          <w:lang w:val="en-US" w:eastAsia="en-US"/>
        </w:rPr>
        <w:t>KEYWORDS: venison meat, biological value, meat industry, food products.</w:t>
      </w:r>
    </w:p>
    <w:p w:rsidR="00281602" w:rsidRPr="00281602" w:rsidRDefault="00281602" w:rsidP="00A11DF9">
      <w:pPr>
        <w:ind w:firstLine="426"/>
        <w:jc w:val="both"/>
        <w:rPr>
          <w:rFonts w:eastAsia="Calibri"/>
          <w:sz w:val="22"/>
          <w:szCs w:val="22"/>
          <w:lang w:val="en-US" w:eastAsia="en-US"/>
        </w:rPr>
      </w:pP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За высокие вкусовые качества мясо оленей получило широкое признание и используется для приготовления различных мясных продуктов, однако, на отечественном рынке не получило широкого распространения. На данный момент на рынке России процентное соотношение оленины на общее количество продаваемого мяса с</w:t>
      </w:r>
      <w:r w:rsidRPr="00281602">
        <w:rPr>
          <w:rFonts w:eastAsia="Calibri"/>
          <w:sz w:val="22"/>
          <w:szCs w:val="22"/>
          <w:lang w:eastAsia="en-US"/>
        </w:rPr>
        <w:t>о</w:t>
      </w:r>
      <w:r w:rsidRPr="00281602">
        <w:rPr>
          <w:rFonts w:eastAsia="Calibri"/>
          <w:sz w:val="22"/>
          <w:szCs w:val="22"/>
          <w:lang w:eastAsia="en-US"/>
        </w:rPr>
        <w:t xml:space="preserve">ставляет 5-7% и практически недоступно населению западной части страны. С увеличением доступности такого мяса слоям населения </w:t>
      </w:r>
      <w:r w:rsidRPr="00281602">
        <w:rPr>
          <w:rFonts w:eastAsia="Calibri"/>
          <w:sz w:val="22"/>
          <w:szCs w:val="22"/>
          <w:lang w:eastAsia="en-US"/>
        </w:rPr>
        <w:lastRenderedPageBreak/>
        <w:t>можно существенно повлиять на здоровье населения и разнообр</w:t>
      </w:r>
      <w:r w:rsidRPr="00281602">
        <w:rPr>
          <w:rFonts w:eastAsia="Calibri"/>
          <w:sz w:val="22"/>
          <w:szCs w:val="22"/>
          <w:lang w:eastAsia="en-US"/>
        </w:rPr>
        <w:t>а</w:t>
      </w:r>
      <w:r w:rsidRPr="00281602">
        <w:rPr>
          <w:rFonts w:eastAsia="Calibri"/>
          <w:sz w:val="22"/>
          <w:szCs w:val="22"/>
          <w:lang w:eastAsia="en-US"/>
        </w:rPr>
        <w:t xml:space="preserve">зить повседневный рацион. </w:t>
      </w:r>
    </w:p>
    <w:p w:rsidR="00281602" w:rsidRPr="00281602" w:rsidRDefault="00281602" w:rsidP="00A11DF9">
      <w:pPr>
        <w:ind w:firstLine="426"/>
        <w:jc w:val="both"/>
        <w:rPr>
          <w:rFonts w:eastAsia="Calibri"/>
          <w:sz w:val="22"/>
          <w:szCs w:val="22"/>
          <w:lang w:eastAsia="en-US"/>
        </w:rPr>
      </w:pPr>
      <w:r w:rsidRPr="00281602">
        <w:rPr>
          <w:sz w:val="22"/>
          <w:szCs w:val="22"/>
        </w:rPr>
        <w:t xml:space="preserve">Биологическая ценность мяса оленины заключается в том, что это богатый источник витаминов, минералов. </w:t>
      </w:r>
      <w:r w:rsidRPr="00281602">
        <w:rPr>
          <w:rFonts w:eastAsia="Calibri"/>
          <w:sz w:val="22"/>
          <w:szCs w:val="22"/>
          <w:lang w:eastAsia="en-US"/>
        </w:rPr>
        <w:t>Данный вид сырья не содержит сахара, высокое содержание железа, фосфора, витамина В</w:t>
      </w:r>
      <w:r w:rsidRPr="00281602">
        <w:rPr>
          <w:rFonts w:eastAsia="Calibri"/>
          <w:sz w:val="22"/>
          <w:szCs w:val="22"/>
          <w:vertAlign w:val="subscript"/>
          <w:lang w:eastAsia="en-US"/>
        </w:rPr>
        <w:t>1</w:t>
      </w:r>
      <w:r w:rsidRPr="00281602">
        <w:rPr>
          <w:rFonts w:eastAsia="Calibri"/>
          <w:sz w:val="22"/>
          <w:szCs w:val="22"/>
          <w:lang w:eastAsia="en-US"/>
        </w:rPr>
        <w:t>, В</w:t>
      </w:r>
      <w:r w:rsidRPr="00281602">
        <w:rPr>
          <w:rFonts w:eastAsia="Calibri"/>
          <w:sz w:val="22"/>
          <w:szCs w:val="22"/>
          <w:vertAlign w:val="subscript"/>
          <w:lang w:eastAsia="en-US"/>
        </w:rPr>
        <w:t>2</w:t>
      </w:r>
      <w:r w:rsidRPr="00281602">
        <w:rPr>
          <w:rFonts w:eastAsia="Calibri"/>
          <w:sz w:val="22"/>
          <w:szCs w:val="22"/>
          <w:lang w:eastAsia="en-US"/>
        </w:rPr>
        <w:t>, В</w:t>
      </w:r>
      <w:r w:rsidRPr="00281602">
        <w:rPr>
          <w:rFonts w:eastAsia="Calibri"/>
          <w:sz w:val="22"/>
          <w:szCs w:val="22"/>
          <w:vertAlign w:val="subscript"/>
          <w:lang w:eastAsia="en-US"/>
        </w:rPr>
        <w:t>3</w:t>
      </w:r>
      <w:r w:rsidRPr="00281602">
        <w:rPr>
          <w:rFonts w:eastAsia="Calibri"/>
          <w:sz w:val="22"/>
          <w:szCs w:val="22"/>
          <w:lang w:eastAsia="en-US"/>
        </w:rPr>
        <w:t>, В</w:t>
      </w:r>
      <w:r w:rsidRPr="00281602">
        <w:rPr>
          <w:rFonts w:eastAsia="Calibri"/>
          <w:sz w:val="22"/>
          <w:szCs w:val="22"/>
          <w:vertAlign w:val="subscript"/>
          <w:lang w:eastAsia="en-US"/>
        </w:rPr>
        <w:t>5</w:t>
      </w:r>
      <w:r w:rsidRPr="00281602">
        <w:rPr>
          <w:rFonts w:eastAsia="Calibri"/>
          <w:sz w:val="22"/>
          <w:szCs w:val="22"/>
          <w:lang w:eastAsia="en-US"/>
        </w:rPr>
        <w:t xml:space="preserve"> В</w:t>
      </w:r>
      <w:r w:rsidRPr="00281602">
        <w:rPr>
          <w:rFonts w:eastAsia="Calibri"/>
          <w:sz w:val="22"/>
          <w:szCs w:val="22"/>
          <w:vertAlign w:val="subscript"/>
          <w:lang w:eastAsia="en-US"/>
        </w:rPr>
        <w:t>6</w:t>
      </w:r>
      <w:r w:rsidRPr="00281602">
        <w:rPr>
          <w:rFonts w:eastAsia="Calibri"/>
          <w:sz w:val="22"/>
          <w:szCs w:val="22"/>
          <w:lang w:eastAsia="en-US"/>
        </w:rPr>
        <w:t>, В</w:t>
      </w:r>
      <w:r w:rsidRPr="00281602">
        <w:rPr>
          <w:rFonts w:eastAsia="Calibri"/>
          <w:sz w:val="22"/>
          <w:szCs w:val="22"/>
          <w:vertAlign w:val="subscript"/>
          <w:lang w:eastAsia="en-US"/>
        </w:rPr>
        <w:t>12</w:t>
      </w:r>
      <w:r w:rsidRPr="00281602">
        <w:rPr>
          <w:rFonts w:eastAsia="Calibri"/>
          <w:sz w:val="22"/>
          <w:szCs w:val="22"/>
          <w:lang w:eastAsia="en-US"/>
        </w:rPr>
        <w:t>, селена, также высокое содержание цинка.</w:t>
      </w:r>
    </w:p>
    <w:p w:rsidR="00281602" w:rsidRPr="00281602" w:rsidRDefault="00281602" w:rsidP="00A11DF9">
      <w:pPr>
        <w:ind w:firstLine="426"/>
        <w:jc w:val="both"/>
        <w:rPr>
          <w:rFonts w:eastAsia="Calibri"/>
          <w:sz w:val="22"/>
          <w:szCs w:val="22"/>
          <w:lang w:eastAsia="en-US"/>
        </w:rPr>
      </w:pPr>
      <w:r w:rsidRPr="00281602">
        <w:rPr>
          <w:sz w:val="22"/>
          <w:szCs w:val="22"/>
        </w:rPr>
        <w:t>Небольшая порция мяса восполняет дневную потребность ч</w:t>
      </w:r>
      <w:r w:rsidRPr="00281602">
        <w:rPr>
          <w:sz w:val="22"/>
          <w:szCs w:val="22"/>
        </w:rPr>
        <w:t>е</w:t>
      </w:r>
      <w:r w:rsidRPr="00281602">
        <w:rPr>
          <w:sz w:val="22"/>
          <w:szCs w:val="22"/>
        </w:rPr>
        <w:t>ловеческого организма в витаминах группы В. Включение в рацион блюд из такого мяса нормализует работу нервной системы, предо</w:t>
      </w:r>
      <w:r w:rsidRPr="00281602">
        <w:rPr>
          <w:sz w:val="22"/>
          <w:szCs w:val="22"/>
        </w:rPr>
        <w:t>т</w:t>
      </w:r>
      <w:r w:rsidRPr="00281602">
        <w:rPr>
          <w:sz w:val="22"/>
          <w:szCs w:val="22"/>
        </w:rPr>
        <w:t>вращает развитие неврозов и депрессий, нейтрализует негативное влияние стрессовых ситуаций на организм.</w:t>
      </w:r>
    </w:p>
    <w:p w:rsidR="00281602" w:rsidRPr="00281602" w:rsidRDefault="00281602" w:rsidP="00A11DF9">
      <w:pPr>
        <w:ind w:firstLine="426"/>
        <w:jc w:val="both"/>
        <w:rPr>
          <w:rFonts w:eastAsia="Calibri"/>
          <w:sz w:val="22"/>
          <w:szCs w:val="22"/>
          <w:lang w:eastAsia="en-US"/>
        </w:rPr>
      </w:pPr>
      <w:r w:rsidRPr="00281602">
        <w:rPr>
          <w:sz w:val="22"/>
          <w:szCs w:val="22"/>
        </w:rPr>
        <w:t>Фосфор,цинк, железо и другие полезные вещества, содержащ</w:t>
      </w:r>
      <w:r w:rsidRPr="00281602">
        <w:rPr>
          <w:sz w:val="22"/>
          <w:szCs w:val="22"/>
        </w:rPr>
        <w:t>и</w:t>
      </w:r>
      <w:r w:rsidRPr="00281602">
        <w:rPr>
          <w:sz w:val="22"/>
          <w:szCs w:val="22"/>
        </w:rPr>
        <w:t>еся в мясе оленей, препятствуют развитию малокровия,помогают регулировать концентрацию сахара в крови и приводят в норму а</w:t>
      </w:r>
      <w:r w:rsidRPr="00281602">
        <w:rPr>
          <w:sz w:val="22"/>
          <w:szCs w:val="22"/>
        </w:rPr>
        <w:t>р</w:t>
      </w:r>
      <w:r w:rsidRPr="00281602">
        <w:rPr>
          <w:sz w:val="22"/>
          <w:szCs w:val="22"/>
        </w:rPr>
        <w:t>териальное давление. Людям, страдающим диабетом и гипертонией, полезно включать этот продукт в свой рацион не реже раза в нед</w:t>
      </w:r>
      <w:r w:rsidRPr="00281602">
        <w:rPr>
          <w:sz w:val="22"/>
          <w:szCs w:val="22"/>
        </w:rPr>
        <w:t>е</w:t>
      </w:r>
      <w:r w:rsidRPr="00281602">
        <w:rPr>
          <w:sz w:val="22"/>
          <w:szCs w:val="22"/>
        </w:rPr>
        <w:t>лю</w:t>
      </w:r>
      <w:r w:rsidRPr="00281602">
        <w:rPr>
          <w:rFonts w:eastAsia="Calibri"/>
          <w:sz w:val="22"/>
          <w:szCs w:val="22"/>
          <w:lang w:eastAsia="en-US"/>
        </w:rPr>
        <w:t>[3].</w:t>
      </w:r>
    </w:p>
    <w:p w:rsidR="00281602" w:rsidRPr="00281602" w:rsidRDefault="00281602" w:rsidP="00A11DF9">
      <w:pPr>
        <w:ind w:firstLine="426"/>
        <w:jc w:val="both"/>
        <w:rPr>
          <w:rFonts w:eastAsia="Calibri"/>
          <w:sz w:val="22"/>
          <w:szCs w:val="22"/>
          <w:lang w:eastAsia="en-US"/>
        </w:rPr>
      </w:pPr>
      <w:r w:rsidRPr="00281602">
        <w:rPr>
          <w:sz w:val="22"/>
          <w:szCs w:val="22"/>
        </w:rPr>
        <w:t>Регулярное потребление в пищу позволяет избежать развития авитаминоза, укрепить иммунные силы организма, повысить его способность сопротивляться паразитарным инвазиям, бактериал</w:t>
      </w:r>
      <w:r w:rsidRPr="00281602">
        <w:rPr>
          <w:sz w:val="22"/>
          <w:szCs w:val="22"/>
        </w:rPr>
        <w:t>ь</w:t>
      </w:r>
      <w:r w:rsidRPr="00281602">
        <w:rPr>
          <w:sz w:val="22"/>
          <w:szCs w:val="22"/>
        </w:rPr>
        <w:t>ным, грибковым и вирусным инфекциям.</w:t>
      </w:r>
    </w:p>
    <w:p w:rsidR="00281602" w:rsidRPr="00281602" w:rsidRDefault="00281602" w:rsidP="00A11DF9">
      <w:pPr>
        <w:ind w:firstLine="426"/>
        <w:jc w:val="both"/>
        <w:rPr>
          <w:rFonts w:eastAsia="Calibri"/>
          <w:sz w:val="22"/>
          <w:szCs w:val="22"/>
          <w:lang w:eastAsia="en-US"/>
        </w:rPr>
      </w:pPr>
      <w:r w:rsidRPr="00281602">
        <w:rPr>
          <w:sz w:val="22"/>
          <w:szCs w:val="22"/>
        </w:rPr>
        <w:t>Оленье мясо содержит целый комплекс антиоксидантов, сп</w:t>
      </w:r>
      <w:r w:rsidRPr="00281602">
        <w:rPr>
          <w:sz w:val="22"/>
          <w:szCs w:val="22"/>
        </w:rPr>
        <w:t>о</w:t>
      </w:r>
      <w:r w:rsidRPr="00281602">
        <w:rPr>
          <w:sz w:val="22"/>
          <w:szCs w:val="22"/>
        </w:rPr>
        <w:t>собных замедлить старение тканей человеческого тела и сократить вероятность развития раковых новообразований.По причине ос</w:t>
      </w:r>
      <w:r w:rsidRPr="00281602">
        <w:rPr>
          <w:sz w:val="22"/>
          <w:szCs w:val="22"/>
        </w:rPr>
        <w:t>о</w:t>
      </w:r>
      <w:r w:rsidRPr="00281602">
        <w:rPr>
          <w:sz w:val="22"/>
          <w:szCs w:val="22"/>
        </w:rPr>
        <w:t>бенности рациона оленей, в повседневное питание входит ягель – лишайник, обладающий антибактериальными и противопаразита</w:t>
      </w:r>
      <w:r w:rsidRPr="00281602">
        <w:rPr>
          <w:sz w:val="22"/>
          <w:szCs w:val="22"/>
        </w:rPr>
        <w:t>р</w:t>
      </w:r>
      <w:r w:rsidRPr="00281602">
        <w:rPr>
          <w:sz w:val="22"/>
          <w:szCs w:val="22"/>
        </w:rPr>
        <w:t>ными свойствами. Благодаря этому животные, относящиеся к этому семейству, практически не болеют, а их мясо не требует тщател</w:t>
      </w:r>
      <w:r w:rsidRPr="00281602">
        <w:rPr>
          <w:sz w:val="22"/>
          <w:szCs w:val="22"/>
        </w:rPr>
        <w:t>ь</w:t>
      </w:r>
      <w:r w:rsidRPr="00281602">
        <w:rPr>
          <w:sz w:val="22"/>
          <w:szCs w:val="22"/>
        </w:rPr>
        <w:t>ной температурной и кулинарной обработки, кроме того, соедин</w:t>
      </w:r>
      <w:r w:rsidRPr="00281602">
        <w:rPr>
          <w:sz w:val="22"/>
          <w:szCs w:val="22"/>
        </w:rPr>
        <w:t>е</w:t>
      </w:r>
      <w:r w:rsidRPr="00281602">
        <w:rPr>
          <w:sz w:val="22"/>
          <w:szCs w:val="22"/>
        </w:rPr>
        <w:t>ния, присутствующие в оленине, способствуют выведению из орг</w:t>
      </w:r>
      <w:r w:rsidRPr="00281602">
        <w:rPr>
          <w:sz w:val="22"/>
          <w:szCs w:val="22"/>
        </w:rPr>
        <w:t>а</w:t>
      </w:r>
      <w:r w:rsidRPr="00281602">
        <w:rPr>
          <w:sz w:val="22"/>
          <w:szCs w:val="22"/>
        </w:rPr>
        <w:t>низма избытков вредного холестерина. Люди, регулярно включа</w:t>
      </w:r>
      <w:r w:rsidRPr="00281602">
        <w:rPr>
          <w:sz w:val="22"/>
          <w:szCs w:val="22"/>
        </w:rPr>
        <w:t>ю</w:t>
      </w:r>
      <w:r w:rsidRPr="00281602">
        <w:rPr>
          <w:sz w:val="22"/>
          <w:szCs w:val="22"/>
        </w:rPr>
        <w:t>щие в рацион этот продукт, реже болеют атеросклерозом.</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Оленину варят, употребляют в сыром виде, вялят, коптят, т</w:t>
      </w:r>
      <w:r w:rsidRPr="00281602">
        <w:rPr>
          <w:rFonts w:eastAsia="Calibri"/>
          <w:sz w:val="22"/>
          <w:szCs w:val="22"/>
          <w:lang w:eastAsia="en-US"/>
        </w:rPr>
        <w:t>у</w:t>
      </w:r>
      <w:r w:rsidRPr="00281602">
        <w:rPr>
          <w:rFonts w:eastAsia="Calibri"/>
          <w:sz w:val="22"/>
          <w:szCs w:val="22"/>
          <w:lang w:eastAsia="en-US"/>
        </w:rPr>
        <w:t>шат, жарят, запекают и готовят на гриле. Перед термической обр</w:t>
      </w:r>
      <w:r w:rsidRPr="00281602">
        <w:rPr>
          <w:rFonts w:eastAsia="Calibri"/>
          <w:sz w:val="22"/>
          <w:szCs w:val="22"/>
          <w:lang w:eastAsia="en-US"/>
        </w:rPr>
        <w:t>а</w:t>
      </w:r>
      <w:r w:rsidRPr="00281602">
        <w:rPr>
          <w:rFonts w:eastAsia="Calibri"/>
          <w:sz w:val="22"/>
          <w:szCs w:val="22"/>
          <w:lang w:eastAsia="en-US"/>
        </w:rPr>
        <w:t>боткой продукт маринуют в лесных ягодах, кислых винах, соке лайма с добавлением специй. Оленину можно без опаски употре</w:t>
      </w:r>
      <w:r w:rsidRPr="00281602">
        <w:rPr>
          <w:rFonts w:eastAsia="Calibri"/>
          <w:sz w:val="22"/>
          <w:szCs w:val="22"/>
          <w:lang w:eastAsia="en-US"/>
        </w:rPr>
        <w:t>б</w:t>
      </w:r>
      <w:r w:rsidRPr="00281602">
        <w:rPr>
          <w:rFonts w:eastAsia="Calibri"/>
          <w:sz w:val="22"/>
          <w:szCs w:val="22"/>
          <w:lang w:eastAsia="en-US"/>
        </w:rPr>
        <w:t>лять в сыром виде. Северные народы готовят строганину. Это зам</w:t>
      </w:r>
      <w:r w:rsidRPr="00281602">
        <w:rPr>
          <w:rFonts w:eastAsia="Calibri"/>
          <w:sz w:val="22"/>
          <w:szCs w:val="22"/>
          <w:lang w:eastAsia="en-US"/>
        </w:rPr>
        <w:t>о</w:t>
      </w:r>
      <w:r w:rsidRPr="00281602">
        <w:rPr>
          <w:rFonts w:eastAsia="Calibri"/>
          <w:sz w:val="22"/>
          <w:szCs w:val="22"/>
          <w:lang w:eastAsia="en-US"/>
        </w:rPr>
        <w:t>роженное мясо оленя, нарезанное тонкими ломтиками.</w:t>
      </w:r>
    </w:p>
    <w:p w:rsidR="00281602" w:rsidRPr="00281602" w:rsidRDefault="00281602" w:rsidP="00E90444">
      <w:pPr>
        <w:ind w:firstLine="426"/>
        <w:jc w:val="both"/>
        <w:rPr>
          <w:rFonts w:eastAsia="Calibri"/>
          <w:sz w:val="22"/>
          <w:szCs w:val="22"/>
          <w:lang w:eastAsia="en-US"/>
        </w:rPr>
      </w:pPr>
      <w:r w:rsidRPr="00281602">
        <w:rPr>
          <w:rFonts w:eastAsia="Calibri"/>
          <w:sz w:val="22"/>
          <w:szCs w:val="22"/>
          <w:lang w:eastAsia="en-US"/>
        </w:rPr>
        <w:lastRenderedPageBreak/>
        <w:t>Благодаря изучению данного материала можно сказать, что м</w:t>
      </w:r>
      <w:r w:rsidRPr="00281602">
        <w:rPr>
          <w:rFonts w:eastAsia="Calibri"/>
          <w:sz w:val="22"/>
          <w:szCs w:val="22"/>
          <w:lang w:eastAsia="en-US"/>
        </w:rPr>
        <w:t>я</w:t>
      </w:r>
      <w:r w:rsidRPr="00281602">
        <w:rPr>
          <w:rFonts w:eastAsia="Calibri"/>
          <w:sz w:val="22"/>
          <w:szCs w:val="22"/>
          <w:lang w:eastAsia="en-US"/>
        </w:rPr>
        <w:t xml:space="preserve">со оленя является крайне полезным для </w:t>
      </w:r>
      <w:proofErr w:type="gramStart"/>
      <w:r w:rsidRPr="00281602">
        <w:rPr>
          <w:rFonts w:eastAsia="Calibri"/>
          <w:sz w:val="22"/>
          <w:szCs w:val="22"/>
          <w:lang w:eastAsia="en-US"/>
        </w:rPr>
        <w:t>потребителя</w:t>
      </w:r>
      <w:proofErr w:type="gramEnd"/>
      <w:r w:rsidRPr="00281602">
        <w:rPr>
          <w:rFonts w:eastAsia="Calibri"/>
          <w:sz w:val="22"/>
          <w:szCs w:val="22"/>
          <w:lang w:eastAsia="en-US"/>
        </w:rPr>
        <w:t xml:space="preserve"> и оно нуждае</w:t>
      </w:r>
      <w:r w:rsidRPr="00281602">
        <w:rPr>
          <w:rFonts w:eastAsia="Calibri"/>
          <w:sz w:val="22"/>
          <w:szCs w:val="22"/>
          <w:lang w:eastAsia="en-US"/>
        </w:rPr>
        <w:t>т</w:t>
      </w:r>
      <w:r w:rsidRPr="00281602">
        <w:rPr>
          <w:rFonts w:eastAsia="Calibri"/>
          <w:sz w:val="22"/>
          <w:szCs w:val="22"/>
          <w:lang w:eastAsia="en-US"/>
        </w:rPr>
        <w:t>ся в распространении не только в регионах, где сосредоточены большинство ферм и пастбищ, но и по всей России [1, 23].</w:t>
      </w:r>
    </w:p>
    <w:p w:rsidR="00281602" w:rsidRPr="00281602" w:rsidRDefault="00281602" w:rsidP="00A11DF9">
      <w:pPr>
        <w:ind w:firstLine="426"/>
        <w:jc w:val="center"/>
        <w:rPr>
          <w:rFonts w:eastAsia="Calibri"/>
          <w:sz w:val="22"/>
          <w:szCs w:val="22"/>
          <w:lang w:eastAsia="en-US"/>
        </w:rPr>
      </w:pPr>
      <w:r w:rsidRPr="00281602">
        <w:rPr>
          <w:rFonts w:eastAsia="Calibri"/>
          <w:sz w:val="22"/>
          <w:szCs w:val="22"/>
          <w:lang w:eastAsia="en-US"/>
        </w:rPr>
        <w:t xml:space="preserve">Список литературы </w:t>
      </w:r>
    </w:p>
    <w:p w:rsidR="00281602" w:rsidRPr="00281602" w:rsidRDefault="00281602" w:rsidP="00A11DF9">
      <w:pPr>
        <w:ind w:firstLine="426"/>
        <w:jc w:val="both"/>
        <w:rPr>
          <w:rFonts w:eastAsia="Calibri"/>
          <w:color w:val="000000"/>
          <w:sz w:val="22"/>
          <w:szCs w:val="22"/>
          <w:shd w:val="clear" w:color="auto" w:fill="FFFFFF"/>
          <w:lang w:eastAsia="en-US"/>
        </w:rPr>
      </w:pPr>
      <w:r w:rsidRPr="00281602">
        <w:rPr>
          <w:rFonts w:eastAsia="Calibri"/>
          <w:bCs/>
          <w:color w:val="000000"/>
          <w:sz w:val="22"/>
          <w:szCs w:val="22"/>
          <w:lang w:eastAsia="en-US"/>
        </w:rPr>
        <w:t>1.Роббек Н.С. Эвенская порода оленей Якутии: мясная проду</w:t>
      </w:r>
      <w:r w:rsidRPr="00281602">
        <w:rPr>
          <w:rFonts w:eastAsia="Calibri"/>
          <w:bCs/>
          <w:color w:val="000000"/>
          <w:sz w:val="22"/>
          <w:szCs w:val="22"/>
          <w:lang w:eastAsia="en-US"/>
        </w:rPr>
        <w:t>к</w:t>
      </w:r>
      <w:r w:rsidRPr="00281602">
        <w:rPr>
          <w:rFonts w:eastAsia="Calibri"/>
          <w:bCs/>
          <w:color w:val="000000"/>
          <w:sz w:val="22"/>
          <w:szCs w:val="22"/>
          <w:lang w:eastAsia="en-US"/>
        </w:rPr>
        <w:t xml:space="preserve">тивность, биологическая и пищевая ценность/ Роббек Н.С., Абрамов А.Ф. </w:t>
      </w:r>
      <w:r w:rsidRPr="00281602">
        <w:rPr>
          <w:rFonts w:eastAsia="Calibri"/>
          <w:color w:val="000000"/>
          <w:sz w:val="22"/>
          <w:szCs w:val="22"/>
          <w:shd w:val="clear" w:color="auto" w:fill="FFFFFF"/>
          <w:lang w:eastAsia="en-US"/>
        </w:rPr>
        <w:t>Новосибирск: АНС «СибАК», 2017. — 144с.</w:t>
      </w:r>
    </w:p>
    <w:p w:rsidR="00281602" w:rsidRPr="00281602" w:rsidRDefault="00281602" w:rsidP="00A11DF9">
      <w:pPr>
        <w:ind w:firstLine="426"/>
        <w:jc w:val="both"/>
        <w:rPr>
          <w:rFonts w:eastAsia="Calibri"/>
          <w:sz w:val="22"/>
          <w:szCs w:val="22"/>
          <w:shd w:val="clear" w:color="auto" w:fill="FFFFFF"/>
          <w:lang w:eastAsia="en-US"/>
        </w:rPr>
      </w:pPr>
      <w:r w:rsidRPr="00281602">
        <w:rPr>
          <w:rFonts w:eastAsia="Calibri"/>
          <w:sz w:val="22"/>
          <w:szCs w:val="22"/>
          <w:shd w:val="clear" w:color="auto" w:fill="FFFFFF"/>
          <w:lang w:eastAsia="en-US"/>
        </w:rPr>
        <w:t>2.</w:t>
      </w:r>
      <w:r w:rsidRPr="00281602">
        <w:rPr>
          <w:rFonts w:eastAsia="Calibri"/>
          <w:sz w:val="22"/>
          <w:szCs w:val="22"/>
          <w:lang w:eastAsia="en-US"/>
        </w:rPr>
        <w:t xml:space="preserve">«Минералы и полезные микроэлементы Оленины» </w:t>
      </w:r>
      <w:r w:rsidRPr="00281602">
        <w:rPr>
          <w:rFonts w:eastAsia="Calibri"/>
          <w:sz w:val="22"/>
          <w:szCs w:val="22"/>
          <w:lang w:val="en-US" w:eastAsia="en-US"/>
        </w:rPr>
        <w:t>URL</w:t>
      </w:r>
      <w:r w:rsidRPr="00281602">
        <w:rPr>
          <w:rFonts w:eastAsia="Calibri"/>
          <w:sz w:val="22"/>
          <w:szCs w:val="22"/>
          <w:lang w:eastAsia="en-US"/>
        </w:rPr>
        <w:t>:</w:t>
      </w:r>
      <w:hyperlink r:id="rId127" w:history="1">
        <w:r w:rsidRPr="00281602">
          <w:rPr>
            <w:rFonts w:eastAsia="Calibri"/>
            <w:sz w:val="22"/>
            <w:szCs w:val="22"/>
            <w:lang w:eastAsia="en-US"/>
          </w:rPr>
          <w:t>http://onwomen.ru/olenina.html</w:t>
        </w:r>
      </w:hyperlink>
    </w:p>
    <w:p w:rsidR="00281602" w:rsidRPr="00281602" w:rsidRDefault="00281602" w:rsidP="00A11DF9">
      <w:pPr>
        <w:ind w:firstLine="426"/>
        <w:jc w:val="both"/>
        <w:rPr>
          <w:rFonts w:eastAsia="Calibri"/>
          <w:color w:val="000000"/>
          <w:sz w:val="22"/>
          <w:szCs w:val="22"/>
          <w:shd w:val="clear" w:color="auto" w:fill="FFFFFF"/>
          <w:lang w:eastAsia="en-US"/>
        </w:rPr>
      </w:pPr>
      <w:r w:rsidRPr="00281602">
        <w:rPr>
          <w:rFonts w:eastAsia="Calibri"/>
          <w:sz w:val="22"/>
          <w:szCs w:val="22"/>
          <w:shd w:val="clear" w:color="auto" w:fill="FFFFFF"/>
          <w:lang w:eastAsia="en-US"/>
        </w:rPr>
        <w:t>3.ГОСТ 32227-2013 Олени для</w:t>
      </w:r>
      <w:r w:rsidRPr="00281602">
        <w:rPr>
          <w:rFonts w:eastAsia="Calibri"/>
          <w:color w:val="000000"/>
          <w:sz w:val="22"/>
          <w:szCs w:val="22"/>
          <w:shd w:val="clear" w:color="auto" w:fill="FFFFFF"/>
          <w:lang w:eastAsia="en-US"/>
        </w:rPr>
        <w:t xml:space="preserve"> убоя. Оленина в тушах и пол</w:t>
      </w:r>
      <w:r w:rsidRPr="00281602">
        <w:rPr>
          <w:rFonts w:eastAsia="Calibri"/>
          <w:color w:val="000000"/>
          <w:sz w:val="22"/>
          <w:szCs w:val="22"/>
          <w:shd w:val="clear" w:color="auto" w:fill="FFFFFF"/>
          <w:lang w:eastAsia="en-US"/>
        </w:rPr>
        <w:t>у</w:t>
      </w:r>
      <w:r w:rsidRPr="00281602">
        <w:rPr>
          <w:rFonts w:eastAsia="Calibri"/>
          <w:color w:val="000000"/>
          <w:sz w:val="22"/>
          <w:szCs w:val="22"/>
          <w:shd w:val="clear" w:color="auto" w:fill="FFFFFF"/>
          <w:lang w:eastAsia="en-US"/>
        </w:rPr>
        <w:t>тушах. Москва Стандартинформ 2014.</w:t>
      </w: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lang w:eastAsia="en-US"/>
        </w:rPr>
      </w:pPr>
      <w:r w:rsidRPr="00281602">
        <w:rPr>
          <w:rFonts w:eastAsia="Calibri"/>
          <w:color w:val="000000"/>
          <w:sz w:val="22"/>
          <w:szCs w:val="22"/>
          <w:lang w:eastAsia="en-US"/>
        </w:rPr>
        <w:t>УДК 665.117:633.853.55</w:t>
      </w:r>
    </w:p>
    <w:p w:rsidR="00281602" w:rsidRPr="00281602" w:rsidRDefault="00281602" w:rsidP="00281602">
      <w:pPr>
        <w:jc w:val="both"/>
        <w:rPr>
          <w:rFonts w:eastAsia="Calibri"/>
          <w:color w:val="000000"/>
          <w:sz w:val="22"/>
          <w:szCs w:val="22"/>
          <w:lang w:eastAsia="en-US"/>
        </w:rPr>
      </w:pPr>
    </w:p>
    <w:p w:rsidR="00281602" w:rsidRPr="00281602" w:rsidRDefault="00281602" w:rsidP="00281602">
      <w:pPr>
        <w:shd w:val="clear" w:color="auto" w:fill="FFFFFF"/>
        <w:jc w:val="center"/>
        <w:rPr>
          <w:rFonts w:eastAsia="Calibri"/>
          <w:b/>
          <w:bCs/>
          <w:color w:val="000000"/>
          <w:sz w:val="24"/>
          <w:szCs w:val="24"/>
          <w:lang w:eastAsia="en-US"/>
        </w:rPr>
      </w:pPr>
      <w:r w:rsidRPr="00281602">
        <w:rPr>
          <w:rFonts w:eastAsia="Calibri"/>
          <w:b/>
          <w:bCs/>
          <w:caps/>
          <w:color w:val="000000"/>
          <w:sz w:val="24"/>
          <w:szCs w:val="24"/>
          <w:lang w:eastAsia="en-US"/>
        </w:rPr>
        <w:t>п</w:t>
      </w:r>
      <w:r w:rsidRPr="00281602">
        <w:rPr>
          <w:rFonts w:eastAsia="Calibri"/>
          <w:b/>
          <w:bCs/>
          <w:color w:val="000000"/>
          <w:sz w:val="24"/>
          <w:szCs w:val="24"/>
          <w:lang w:eastAsia="en-US"/>
        </w:rPr>
        <w:t xml:space="preserve">овышение эффективности переработки сырья </w:t>
      </w:r>
    </w:p>
    <w:p w:rsidR="00281602" w:rsidRPr="00281602" w:rsidRDefault="00281602" w:rsidP="00281602">
      <w:pPr>
        <w:shd w:val="clear" w:color="auto" w:fill="FFFFFF"/>
        <w:jc w:val="center"/>
        <w:rPr>
          <w:rFonts w:eastAsia="Calibri"/>
          <w:b/>
          <w:bCs/>
          <w:color w:val="000000"/>
          <w:sz w:val="24"/>
          <w:szCs w:val="24"/>
          <w:lang w:val="en-US" w:eastAsia="en-US"/>
        </w:rPr>
      </w:pPr>
      <w:r w:rsidRPr="00281602">
        <w:rPr>
          <w:rFonts w:eastAsia="Calibri"/>
          <w:b/>
          <w:bCs/>
          <w:color w:val="000000"/>
          <w:sz w:val="24"/>
          <w:szCs w:val="24"/>
          <w:lang w:eastAsia="en-US"/>
        </w:rPr>
        <w:t>масличных</w:t>
      </w:r>
      <w:r w:rsidRPr="00281602">
        <w:rPr>
          <w:rFonts w:eastAsia="Calibri"/>
          <w:b/>
          <w:bCs/>
          <w:color w:val="000000"/>
          <w:sz w:val="24"/>
          <w:szCs w:val="24"/>
          <w:lang w:val="en-US" w:eastAsia="en-US"/>
        </w:rPr>
        <w:t xml:space="preserve"> </w:t>
      </w:r>
      <w:r w:rsidRPr="00281602">
        <w:rPr>
          <w:rFonts w:eastAsia="Calibri"/>
          <w:b/>
          <w:bCs/>
          <w:color w:val="000000"/>
          <w:sz w:val="24"/>
          <w:szCs w:val="24"/>
          <w:lang w:eastAsia="en-US"/>
        </w:rPr>
        <w:t>культур</w:t>
      </w:r>
    </w:p>
    <w:p w:rsidR="00281602" w:rsidRPr="00281602" w:rsidRDefault="00281602" w:rsidP="00281602">
      <w:pPr>
        <w:shd w:val="clear" w:color="auto" w:fill="FFFFFF"/>
        <w:jc w:val="center"/>
        <w:rPr>
          <w:rFonts w:eastAsia="Calibri"/>
          <w:b/>
          <w:bCs/>
          <w:color w:val="000000"/>
          <w:sz w:val="24"/>
          <w:szCs w:val="24"/>
          <w:lang w:val="en-US" w:eastAsia="en-US"/>
        </w:rPr>
      </w:pPr>
      <w:r w:rsidRPr="00281602">
        <w:rPr>
          <w:rFonts w:eastAsia="Calibri"/>
          <w:b/>
          <w:bCs/>
          <w:color w:val="000000"/>
          <w:sz w:val="24"/>
          <w:szCs w:val="24"/>
          <w:lang w:val="en-US" w:eastAsia="en-US"/>
        </w:rPr>
        <w:t>Increasing the efficiency of processing raw materials oils crops</w:t>
      </w:r>
    </w:p>
    <w:p w:rsidR="00281602" w:rsidRPr="00281602" w:rsidRDefault="00281602" w:rsidP="00281602">
      <w:pPr>
        <w:shd w:val="clear" w:color="auto" w:fill="FFFFFF"/>
        <w:jc w:val="center"/>
        <w:rPr>
          <w:rFonts w:eastAsia="Calibri"/>
          <w:b/>
          <w:bCs/>
          <w:caps/>
          <w:color w:val="000000"/>
          <w:sz w:val="22"/>
          <w:szCs w:val="22"/>
          <w:lang w:val="en-US" w:eastAsia="en-US"/>
        </w:rPr>
      </w:pPr>
    </w:p>
    <w:p w:rsidR="00281602" w:rsidRPr="00281602" w:rsidRDefault="00281602" w:rsidP="00281602">
      <w:pPr>
        <w:shd w:val="clear" w:color="auto" w:fill="FFFFFF"/>
        <w:jc w:val="right"/>
        <w:rPr>
          <w:rFonts w:eastAsia="Calibri"/>
          <w:color w:val="000000"/>
          <w:sz w:val="22"/>
          <w:szCs w:val="22"/>
          <w:lang w:eastAsia="en-US"/>
        </w:rPr>
      </w:pPr>
      <w:r w:rsidRPr="00281602">
        <w:rPr>
          <w:rFonts w:eastAsia="Calibri"/>
          <w:color w:val="000000"/>
          <w:sz w:val="22"/>
          <w:szCs w:val="22"/>
          <w:lang w:eastAsia="en-US"/>
        </w:rPr>
        <w:t>Глизнуца В. Д.,</w:t>
      </w:r>
    </w:p>
    <w:p w:rsidR="00281602" w:rsidRPr="00281602" w:rsidRDefault="00281602" w:rsidP="00281602">
      <w:pPr>
        <w:shd w:val="clear" w:color="auto" w:fill="FFFFFF"/>
        <w:jc w:val="right"/>
        <w:rPr>
          <w:rFonts w:eastAsia="Calibri"/>
          <w:color w:val="000000"/>
          <w:sz w:val="22"/>
          <w:szCs w:val="22"/>
          <w:lang w:eastAsia="en-US"/>
        </w:rPr>
      </w:pPr>
      <w:r w:rsidRPr="00281602">
        <w:rPr>
          <w:rFonts w:eastAsia="Calibri"/>
          <w:color w:val="000000"/>
          <w:sz w:val="22"/>
          <w:szCs w:val="22"/>
          <w:lang w:eastAsia="en-US"/>
        </w:rPr>
        <w:t xml:space="preserve">студент 3-го курса факультета </w:t>
      </w:r>
    </w:p>
    <w:p w:rsidR="00281602" w:rsidRPr="00281602" w:rsidRDefault="00281602" w:rsidP="00281602">
      <w:pPr>
        <w:shd w:val="clear" w:color="auto" w:fill="FFFFFF"/>
        <w:jc w:val="right"/>
        <w:rPr>
          <w:rFonts w:eastAsia="Calibri"/>
          <w:color w:val="000000"/>
          <w:sz w:val="22"/>
          <w:szCs w:val="22"/>
          <w:lang w:eastAsia="en-US"/>
        </w:rPr>
      </w:pPr>
      <w:r w:rsidRPr="00281602">
        <w:rPr>
          <w:rFonts w:eastAsia="Calibri"/>
          <w:color w:val="000000"/>
          <w:sz w:val="22"/>
          <w:szCs w:val="22"/>
          <w:lang w:eastAsia="en-US"/>
        </w:rPr>
        <w:t>перерабатывающих технологий</w:t>
      </w:r>
    </w:p>
    <w:p w:rsidR="00281602" w:rsidRPr="00281602" w:rsidRDefault="00281602" w:rsidP="00281602">
      <w:pPr>
        <w:keepNext/>
        <w:keepLines/>
        <w:jc w:val="right"/>
        <w:outlineLvl w:val="2"/>
        <w:rPr>
          <w:sz w:val="22"/>
          <w:szCs w:val="22"/>
          <w:lang w:eastAsia="en-US"/>
        </w:rPr>
      </w:pPr>
      <w:r w:rsidRPr="00281602">
        <w:rPr>
          <w:sz w:val="22"/>
          <w:szCs w:val="22"/>
          <w:lang w:eastAsia="en-US"/>
        </w:rPr>
        <w:t>Кубанский государственный аграрный</w:t>
      </w:r>
    </w:p>
    <w:p w:rsidR="00281602" w:rsidRPr="00281602" w:rsidRDefault="00281602" w:rsidP="00281602">
      <w:pPr>
        <w:keepNext/>
        <w:keepLines/>
        <w:jc w:val="right"/>
        <w:outlineLvl w:val="2"/>
        <w:rPr>
          <w:sz w:val="22"/>
          <w:szCs w:val="22"/>
          <w:lang w:eastAsia="en-US"/>
        </w:rPr>
      </w:pPr>
      <w:r w:rsidRPr="00281602">
        <w:rPr>
          <w:sz w:val="22"/>
          <w:szCs w:val="22"/>
          <w:lang w:eastAsia="en-US"/>
        </w:rPr>
        <w:t>университет имени И.</w:t>
      </w:r>
      <w:r w:rsidR="00A11DF9">
        <w:rPr>
          <w:sz w:val="22"/>
          <w:szCs w:val="22"/>
          <w:lang w:eastAsia="en-US"/>
        </w:rPr>
        <w:t xml:space="preserve"> </w:t>
      </w:r>
      <w:r w:rsidRPr="00281602">
        <w:rPr>
          <w:sz w:val="22"/>
          <w:szCs w:val="22"/>
          <w:lang w:eastAsia="en-US"/>
        </w:rPr>
        <w:t>Т. Трубилина</w:t>
      </w:r>
    </w:p>
    <w:p w:rsidR="00281602" w:rsidRPr="00281602" w:rsidRDefault="00281602" w:rsidP="00281602">
      <w:pPr>
        <w:shd w:val="clear" w:color="auto" w:fill="FFFFFF"/>
        <w:jc w:val="center"/>
        <w:rPr>
          <w:rFonts w:eastAsia="Calibri"/>
          <w:sz w:val="22"/>
          <w:szCs w:val="22"/>
          <w:lang w:eastAsia="en-US"/>
        </w:rPr>
      </w:pPr>
    </w:p>
    <w:p w:rsidR="00281602" w:rsidRPr="00281602" w:rsidRDefault="00281602" w:rsidP="00A11DF9">
      <w:pPr>
        <w:shd w:val="clear" w:color="auto" w:fill="FFFFFF"/>
        <w:ind w:firstLine="426"/>
        <w:jc w:val="both"/>
        <w:rPr>
          <w:rFonts w:eastAsia="Calibri"/>
          <w:color w:val="000000"/>
          <w:sz w:val="22"/>
          <w:szCs w:val="22"/>
          <w:lang w:eastAsia="en-US"/>
        </w:rPr>
      </w:pPr>
      <w:r w:rsidRPr="00281602">
        <w:rPr>
          <w:rFonts w:eastAsia="Calibri"/>
          <w:color w:val="000000"/>
          <w:sz w:val="22"/>
          <w:szCs w:val="22"/>
          <w:lang w:eastAsia="en-US"/>
        </w:rPr>
        <w:t>АННОТАЦИЯ: Повышение эффективности использования сельскохозяйственного сырья – одна из важнейших задач, стоящих перед страной. Существенная роль в решении этой проблемы отв</w:t>
      </w:r>
      <w:r w:rsidRPr="00281602">
        <w:rPr>
          <w:rFonts w:eastAsia="Calibri"/>
          <w:color w:val="000000"/>
          <w:sz w:val="22"/>
          <w:szCs w:val="22"/>
          <w:lang w:eastAsia="en-US"/>
        </w:rPr>
        <w:t>о</w:t>
      </w:r>
      <w:r w:rsidRPr="00281602">
        <w:rPr>
          <w:rFonts w:eastAsia="Calibri"/>
          <w:color w:val="000000"/>
          <w:sz w:val="22"/>
          <w:szCs w:val="22"/>
          <w:lang w:eastAsia="en-US"/>
        </w:rPr>
        <w:t>дится использованию отходов производства основных продуктов. В числе такого сырья выделяют жмыхи и шроты, а также плодовые и семенные оболочки сырья масличных культур.</w:t>
      </w:r>
    </w:p>
    <w:p w:rsidR="00281602" w:rsidRPr="00281602" w:rsidRDefault="00281602" w:rsidP="00A11DF9">
      <w:pPr>
        <w:shd w:val="clear" w:color="auto" w:fill="FFFFFF"/>
        <w:ind w:firstLine="426"/>
        <w:jc w:val="both"/>
        <w:rPr>
          <w:rFonts w:eastAsia="Calibri"/>
          <w:color w:val="000000"/>
          <w:spacing w:val="-2"/>
          <w:sz w:val="22"/>
          <w:szCs w:val="22"/>
          <w:lang w:val="en-US" w:eastAsia="en-US"/>
        </w:rPr>
      </w:pPr>
      <w:r w:rsidRPr="00281602">
        <w:rPr>
          <w:rFonts w:eastAsia="Calibri"/>
          <w:color w:val="000000"/>
          <w:spacing w:val="-2"/>
          <w:sz w:val="22"/>
          <w:szCs w:val="22"/>
          <w:lang w:val="en-US" w:eastAsia="en-US"/>
        </w:rPr>
        <w:t>ABSTRACT: Increasing the efficiency of the use of agricultural raw materials is one of the most important tasks facing the country. An esse</w:t>
      </w:r>
      <w:r w:rsidRPr="00281602">
        <w:rPr>
          <w:rFonts w:eastAsia="Calibri"/>
          <w:color w:val="000000"/>
          <w:spacing w:val="-2"/>
          <w:sz w:val="22"/>
          <w:szCs w:val="22"/>
          <w:lang w:val="en-US" w:eastAsia="en-US"/>
        </w:rPr>
        <w:t>n</w:t>
      </w:r>
      <w:r w:rsidRPr="00281602">
        <w:rPr>
          <w:rFonts w:eastAsia="Calibri"/>
          <w:color w:val="000000"/>
          <w:spacing w:val="-2"/>
          <w:sz w:val="22"/>
          <w:szCs w:val="22"/>
          <w:lang w:val="en-US" w:eastAsia="en-US"/>
        </w:rPr>
        <w:t>tial role in solving this problem is given to the use of waste products of the main products. Among such raw materials, oil cakes and meal, as well as fruit and seed shells of oilseeds raw materials are isolated.</w:t>
      </w:r>
    </w:p>
    <w:p w:rsidR="00281602" w:rsidRPr="00281602" w:rsidRDefault="00281602" w:rsidP="00A11DF9">
      <w:pPr>
        <w:shd w:val="clear" w:color="auto" w:fill="FFFFFF"/>
        <w:ind w:firstLine="426"/>
        <w:jc w:val="both"/>
        <w:rPr>
          <w:rFonts w:eastAsia="Calibri"/>
          <w:color w:val="000000"/>
          <w:sz w:val="22"/>
          <w:szCs w:val="22"/>
          <w:lang w:eastAsia="en-US"/>
        </w:rPr>
      </w:pPr>
      <w:r w:rsidRPr="00281602">
        <w:rPr>
          <w:rFonts w:eastAsia="Calibri"/>
          <w:color w:val="000000"/>
          <w:sz w:val="22"/>
          <w:szCs w:val="22"/>
          <w:lang w:eastAsia="en-US"/>
        </w:rPr>
        <w:lastRenderedPageBreak/>
        <w:t>КЛЮЧЕВЫЕ СЛОВА: масличные культуры, шрот, жмых, б</w:t>
      </w:r>
      <w:r w:rsidRPr="00281602">
        <w:rPr>
          <w:rFonts w:eastAsia="Calibri"/>
          <w:color w:val="000000"/>
          <w:sz w:val="22"/>
          <w:szCs w:val="22"/>
          <w:lang w:eastAsia="en-US"/>
        </w:rPr>
        <w:t>е</w:t>
      </w:r>
      <w:r w:rsidRPr="00281602">
        <w:rPr>
          <w:rFonts w:eastAsia="Calibri"/>
          <w:color w:val="000000"/>
          <w:sz w:val="22"/>
          <w:szCs w:val="22"/>
          <w:lang w:eastAsia="en-US"/>
        </w:rPr>
        <w:t>лок, комплексная переработка, безотходные технологии</w:t>
      </w:r>
    </w:p>
    <w:p w:rsidR="00281602" w:rsidRPr="00281602" w:rsidRDefault="00281602" w:rsidP="00A11DF9">
      <w:pPr>
        <w:shd w:val="clear" w:color="auto" w:fill="FFFFFF"/>
        <w:ind w:firstLine="426"/>
        <w:jc w:val="both"/>
        <w:rPr>
          <w:rFonts w:eastAsia="Calibri"/>
          <w:color w:val="000000"/>
          <w:spacing w:val="4"/>
          <w:sz w:val="22"/>
          <w:szCs w:val="22"/>
          <w:lang w:val="en-US" w:eastAsia="en-US"/>
        </w:rPr>
      </w:pPr>
      <w:r w:rsidRPr="00281602">
        <w:rPr>
          <w:rFonts w:eastAsia="Calibri"/>
          <w:color w:val="000000"/>
          <w:sz w:val="22"/>
          <w:szCs w:val="22"/>
          <w:lang w:val="en-US" w:eastAsia="en-US"/>
        </w:rPr>
        <w:t xml:space="preserve">KEYWORDS: oilseeds, </w:t>
      </w:r>
      <w:r w:rsidRPr="00281602">
        <w:rPr>
          <w:rFonts w:eastAsia="Calibri"/>
          <w:color w:val="000000"/>
          <w:spacing w:val="4"/>
          <w:sz w:val="22"/>
          <w:szCs w:val="22"/>
          <w:lang w:val="en-US" w:eastAsia="en-US"/>
        </w:rPr>
        <w:t>oil cakes, meal, protein, complex pr</w:t>
      </w:r>
      <w:r w:rsidRPr="00281602">
        <w:rPr>
          <w:rFonts w:eastAsia="Calibri"/>
          <w:color w:val="000000"/>
          <w:spacing w:val="4"/>
          <w:sz w:val="22"/>
          <w:szCs w:val="22"/>
          <w:lang w:val="en-US" w:eastAsia="en-US"/>
        </w:rPr>
        <w:t>o</w:t>
      </w:r>
      <w:r w:rsidRPr="00281602">
        <w:rPr>
          <w:rFonts w:eastAsia="Calibri"/>
          <w:color w:val="000000"/>
          <w:spacing w:val="4"/>
          <w:sz w:val="22"/>
          <w:szCs w:val="22"/>
          <w:lang w:val="en-US" w:eastAsia="en-US"/>
        </w:rPr>
        <w:t>cessing, non-waste technologies</w:t>
      </w:r>
    </w:p>
    <w:p w:rsidR="00281602" w:rsidRPr="00281602" w:rsidRDefault="00281602" w:rsidP="00A11DF9">
      <w:pPr>
        <w:shd w:val="clear" w:color="auto" w:fill="FFFFFF"/>
        <w:ind w:firstLine="426"/>
        <w:jc w:val="both"/>
        <w:rPr>
          <w:rFonts w:eastAsia="Calibri"/>
          <w:color w:val="000000"/>
          <w:sz w:val="22"/>
          <w:szCs w:val="22"/>
          <w:lang w:val="en-US" w:eastAsia="en-US"/>
        </w:rPr>
      </w:pPr>
    </w:p>
    <w:p w:rsidR="00281602" w:rsidRPr="00281602" w:rsidRDefault="00281602" w:rsidP="00A11DF9">
      <w:pPr>
        <w:shd w:val="clear" w:color="auto" w:fill="FFFFFF"/>
        <w:ind w:firstLine="426"/>
        <w:jc w:val="both"/>
        <w:rPr>
          <w:rFonts w:eastAsia="Calibri"/>
          <w:color w:val="000000"/>
          <w:sz w:val="22"/>
          <w:szCs w:val="22"/>
          <w:lang w:eastAsia="en-US"/>
        </w:rPr>
      </w:pPr>
      <w:r w:rsidRPr="00281602">
        <w:rPr>
          <w:rFonts w:eastAsia="Calibri"/>
          <w:color w:val="000000"/>
          <w:sz w:val="22"/>
          <w:szCs w:val="22"/>
          <w:lang w:eastAsia="en-US"/>
        </w:rPr>
        <w:t>Проблема рационального использования такого вторичного сырья, как продукты, получаемые при переработке масличных культур, в том числе и за счет повышения их питательности, акт</w:t>
      </w:r>
      <w:r w:rsidRPr="00281602">
        <w:rPr>
          <w:rFonts w:eastAsia="Calibri"/>
          <w:color w:val="000000"/>
          <w:sz w:val="22"/>
          <w:szCs w:val="22"/>
          <w:lang w:eastAsia="en-US"/>
        </w:rPr>
        <w:t>у</w:t>
      </w:r>
      <w:r w:rsidRPr="00281602">
        <w:rPr>
          <w:rFonts w:eastAsia="Calibri"/>
          <w:color w:val="000000"/>
          <w:sz w:val="22"/>
          <w:szCs w:val="22"/>
          <w:lang w:eastAsia="en-US"/>
        </w:rPr>
        <w:t>альны как у нас в стране, так и за ее пределами, поскольку с давних пор остро стоит вопрос экологизации производства в агропромы</w:t>
      </w:r>
      <w:r w:rsidRPr="00281602">
        <w:rPr>
          <w:rFonts w:eastAsia="Calibri"/>
          <w:color w:val="000000"/>
          <w:sz w:val="22"/>
          <w:szCs w:val="22"/>
          <w:lang w:eastAsia="en-US"/>
        </w:rPr>
        <w:t>ш</w:t>
      </w:r>
      <w:r w:rsidRPr="00281602">
        <w:rPr>
          <w:rFonts w:eastAsia="Calibri"/>
          <w:color w:val="000000"/>
          <w:sz w:val="22"/>
          <w:szCs w:val="22"/>
          <w:lang w:eastAsia="en-US"/>
        </w:rPr>
        <w:t>ленном секторе. Осуществлению такого подход способствует, в том числе, и управление качеством производства по сертифицирова</w:t>
      </w:r>
      <w:r w:rsidRPr="00281602">
        <w:rPr>
          <w:rFonts w:eastAsia="Calibri"/>
          <w:color w:val="000000"/>
          <w:sz w:val="22"/>
          <w:szCs w:val="22"/>
          <w:lang w:eastAsia="en-US"/>
        </w:rPr>
        <w:t>н</w:t>
      </w:r>
      <w:r w:rsidRPr="00281602">
        <w:rPr>
          <w:rFonts w:eastAsia="Calibri"/>
          <w:color w:val="000000"/>
          <w:sz w:val="22"/>
          <w:szCs w:val="22"/>
          <w:lang w:eastAsia="en-US"/>
        </w:rPr>
        <w:t>ным системам, каковой является набирающая все большие обороты внедрения концепция анализа опасности по критическим контрол</w:t>
      </w:r>
      <w:r w:rsidRPr="00281602">
        <w:rPr>
          <w:rFonts w:eastAsia="Calibri"/>
          <w:color w:val="000000"/>
          <w:sz w:val="22"/>
          <w:szCs w:val="22"/>
          <w:lang w:eastAsia="en-US"/>
        </w:rPr>
        <w:t>ь</w:t>
      </w:r>
      <w:r w:rsidRPr="00281602">
        <w:rPr>
          <w:rFonts w:eastAsia="Calibri"/>
          <w:color w:val="000000"/>
          <w:sz w:val="22"/>
          <w:szCs w:val="22"/>
          <w:lang w:eastAsia="en-US"/>
        </w:rPr>
        <w:t xml:space="preserve">ным точкам </w:t>
      </w:r>
      <w:r w:rsidRPr="00281602">
        <w:rPr>
          <w:rFonts w:eastAsia="Calibri"/>
          <w:i/>
          <w:color w:val="000000"/>
          <w:sz w:val="22"/>
          <w:szCs w:val="22"/>
          <w:lang w:eastAsia="en-US"/>
        </w:rPr>
        <w:t>НАССР</w:t>
      </w:r>
      <w:r w:rsidRPr="00281602">
        <w:rPr>
          <w:rFonts w:eastAsia="Calibri"/>
          <w:color w:val="000000"/>
          <w:sz w:val="22"/>
          <w:szCs w:val="22"/>
          <w:lang w:eastAsia="en-US"/>
        </w:rPr>
        <w:t xml:space="preserve"> [2]. Применение такой системы позволяет сн</w:t>
      </w:r>
      <w:r w:rsidRPr="00281602">
        <w:rPr>
          <w:rFonts w:eastAsia="Calibri"/>
          <w:color w:val="000000"/>
          <w:sz w:val="22"/>
          <w:szCs w:val="22"/>
          <w:lang w:eastAsia="en-US"/>
        </w:rPr>
        <w:t>и</w:t>
      </w:r>
      <w:r w:rsidRPr="00281602">
        <w:rPr>
          <w:rFonts w:eastAsia="Calibri"/>
          <w:color w:val="000000"/>
          <w:sz w:val="22"/>
          <w:szCs w:val="22"/>
          <w:lang w:eastAsia="en-US"/>
        </w:rPr>
        <w:t>зить общее число экономических потерь действующего предпри</w:t>
      </w:r>
      <w:r w:rsidRPr="00281602">
        <w:rPr>
          <w:rFonts w:eastAsia="Calibri"/>
          <w:color w:val="000000"/>
          <w:sz w:val="22"/>
          <w:szCs w:val="22"/>
          <w:lang w:eastAsia="en-US"/>
        </w:rPr>
        <w:t>я</w:t>
      </w:r>
      <w:r w:rsidRPr="00281602">
        <w:rPr>
          <w:rFonts w:eastAsia="Calibri"/>
          <w:color w:val="000000"/>
          <w:sz w:val="22"/>
          <w:szCs w:val="22"/>
          <w:lang w:eastAsia="en-US"/>
        </w:rPr>
        <w:t>тия пищевой отрасли, поскольку минимизирует риски выпуска н</w:t>
      </w:r>
      <w:r w:rsidRPr="00281602">
        <w:rPr>
          <w:rFonts w:eastAsia="Calibri"/>
          <w:color w:val="000000"/>
          <w:sz w:val="22"/>
          <w:szCs w:val="22"/>
          <w:lang w:eastAsia="en-US"/>
        </w:rPr>
        <w:t>е</w:t>
      </w:r>
      <w:r w:rsidRPr="00281602">
        <w:rPr>
          <w:rFonts w:eastAsia="Calibri"/>
          <w:color w:val="000000"/>
          <w:sz w:val="22"/>
          <w:szCs w:val="22"/>
          <w:lang w:eastAsia="en-US"/>
        </w:rPr>
        <w:t>качественной продукции и производственного брака, подлежащих возврату и повторной переработке или утилизации.</w:t>
      </w:r>
    </w:p>
    <w:p w:rsidR="00281602" w:rsidRPr="00281602" w:rsidRDefault="00281602" w:rsidP="00A11DF9">
      <w:pPr>
        <w:shd w:val="clear" w:color="auto" w:fill="FFFFFF"/>
        <w:spacing w:line="238" w:lineRule="auto"/>
        <w:ind w:firstLine="426"/>
        <w:jc w:val="both"/>
        <w:rPr>
          <w:rFonts w:eastAsia="Calibri"/>
          <w:sz w:val="22"/>
          <w:szCs w:val="22"/>
          <w:lang w:eastAsia="en-US"/>
        </w:rPr>
      </w:pPr>
      <w:r w:rsidRPr="00281602">
        <w:rPr>
          <w:rFonts w:eastAsia="Calibri"/>
          <w:color w:val="000000"/>
          <w:sz w:val="22"/>
          <w:szCs w:val="22"/>
          <w:lang w:eastAsia="en-US"/>
        </w:rPr>
        <w:t>Так, белковая часть целой группы сельскохозяйственных кул</w:t>
      </w:r>
      <w:r w:rsidRPr="00281602">
        <w:rPr>
          <w:rFonts w:eastAsia="Calibri"/>
          <w:color w:val="000000"/>
          <w:sz w:val="22"/>
          <w:szCs w:val="22"/>
          <w:lang w:eastAsia="en-US"/>
        </w:rPr>
        <w:t>ь</w:t>
      </w:r>
      <w:r w:rsidRPr="00281602">
        <w:rPr>
          <w:rFonts w:eastAsia="Calibri"/>
          <w:color w:val="000000"/>
          <w:sz w:val="22"/>
          <w:szCs w:val="22"/>
          <w:lang w:eastAsia="en-US"/>
        </w:rPr>
        <w:t>тур продовольственного и непищевого назначения, потенциально являясь полноценным кормовым продуктом, содер</w:t>
      </w:r>
      <w:r w:rsidRPr="00281602">
        <w:rPr>
          <w:rFonts w:eastAsia="Calibri"/>
          <w:color w:val="000000"/>
          <w:sz w:val="22"/>
          <w:szCs w:val="22"/>
          <w:lang w:eastAsia="en-US"/>
        </w:rPr>
        <w:softHyphen/>
        <w:t>жит ряд антип</w:t>
      </w:r>
      <w:r w:rsidRPr="00281602">
        <w:rPr>
          <w:rFonts w:eastAsia="Calibri"/>
          <w:color w:val="000000"/>
          <w:sz w:val="22"/>
          <w:szCs w:val="22"/>
          <w:lang w:eastAsia="en-US"/>
        </w:rPr>
        <w:t>и</w:t>
      </w:r>
      <w:r w:rsidRPr="00281602">
        <w:rPr>
          <w:rFonts w:eastAsia="Calibri"/>
          <w:color w:val="000000"/>
          <w:sz w:val="22"/>
          <w:szCs w:val="22"/>
          <w:lang w:eastAsia="en-US"/>
        </w:rPr>
        <w:t>тательных и токсичных компонентов, снижающих кор</w:t>
      </w:r>
      <w:r w:rsidRPr="00281602">
        <w:rPr>
          <w:rFonts w:eastAsia="Calibri"/>
          <w:color w:val="000000"/>
          <w:sz w:val="22"/>
          <w:szCs w:val="22"/>
          <w:lang w:eastAsia="en-US"/>
        </w:rPr>
        <w:softHyphen/>
        <w:t>мовую це</w:t>
      </w:r>
      <w:r w:rsidRPr="00281602">
        <w:rPr>
          <w:rFonts w:eastAsia="Calibri"/>
          <w:color w:val="000000"/>
          <w:sz w:val="22"/>
          <w:szCs w:val="22"/>
          <w:lang w:eastAsia="en-US"/>
        </w:rPr>
        <w:t>н</w:t>
      </w:r>
      <w:r w:rsidRPr="00281602">
        <w:rPr>
          <w:rFonts w:eastAsia="Calibri"/>
          <w:color w:val="000000"/>
          <w:sz w:val="22"/>
          <w:szCs w:val="22"/>
          <w:lang w:eastAsia="en-US"/>
        </w:rPr>
        <w:t>ность сырой биомассы растения [3]. По этой причине жмыхи и шроты, получаемыее при переработке семян этих культур (подсо</w:t>
      </w:r>
      <w:r w:rsidRPr="00281602">
        <w:rPr>
          <w:rFonts w:eastAsia="Calibri"/>
          <w:color w:val="000000"/>
          <w:sz w:val="22"/>
          <w:szCs w:val="22"/>
          <w:lang w:eastAsia="en-US"/>
        </w:rPr>
        <w:t>л</w:t>
      </w:r>
      <w:r w:rsidRPr="00281602">
        <w:rPr>
          <w:rFonts w:eastAsia="Calibri"/>
          <w:color w:val="000000"/>
          <w:sz w:val="22"/>
          <w:szCs w:val="22"/>
          <w:lang w:eastAsia="en-US"/>
        </w:rPr>
        <w:t>нечник, соя, рапс, клещевина, лен и т. д.) часто нерацио</w:t>
      </w:r>
      <w:r w:rsidRPr="00281602">
        <w:rPr>
          <w:rFonts w:eastAsia="Calibri"/>
          <w:color w:val="000000"/>
          <w:sz w:val="22"/>
          <w:szCs w:val="22"/>
          <w:lang w:eastAsia="en-US"/>
        </w:rPr>
        <w:softHyphen/>
        <w:t>нально и</w:t>
      </w:r>
      <w:r w:rsidRPr="00281602">
        <w:rPr>
          <w:rFonts w:eastAsia="Calibri"/>
          <w:color w:val="000000"/>
          <w:sz w:val="22"/>
          <w:szCs w:val="22"/>
          <w:lang w:eastAsia="en-US"/>
        </w:rPr>
        <w:t>с</w:t>
      </w:r>
      <w:r w:rsidRPr="00281602">
        <w:rPr>
          <w:rFonts w:eastAsia="Calibri"/>
          <w:color w:val="000000"/>
          <w:sz w:val="22"/>
          <w:szCs w:val="22"/>
          <w:lang w:eastAsia="en-US"/>
        </w:rPr>
        <w:t>пользуются.</w:t>
      </w:r>
      <w:r w:rsidRPr="00281602">
        <w:rPr>
          <w:rFonts w:eastAsia="Calibri"/>
          <w:sz w:val="22"/>
          <w:szCs w:val="22"/>
          <w:lang w:eastAsia="en-US"/>
        </w:rPr>
        <w:t xml:space="preserve"> </w:t>
      </w:r>
      <w:r w:rsidRPr="00281602">
        <w:rPr>
          <w:rFonts w:eastAsia="Calibri"/>
          <w:color w:val="000000"/>
          <w:sz w:val="22"/>
          <w:szCs w:val="22"/>
          <w:lang w:eastAsia="en-US"/>
        </w:rPr>
        <w:t>Однако эти отходы вполне могут стать источником безопасного кормового и технического белка после инактивации в их составе не</w:t>
      </w:r>
      <w:r w:rsidRPr="00281602">
        <w:rPr>
          <w:rFonts w:eastAsia="Calibri"/>
          <w:color w:val="000000"/>
          <w:sz w:val="22"/>
          <w:szCs w:val="22"/>
          <w:lang w:eastAsia="en-US"/>
        </w:rPr>
        <w:softHyphen/>
        <w:t>желательных компонентов [4]. Кроме того, разработка технологии применения цельнозернового сырья в производстве продуктов питания позволяет повысить биологическую ценность вырабатываемой продукции и снизить экономические затраты [5].</w:t>
      </w:r>
    </w:p>
    <w:p w:rsidR="00281602" w:rsidRPr="00281602" w:rsidRDefault="00281602" w:rsidP="00A11DF9">
      <w:pPr>
        <w:shd w:val="clear" w:color="auto" w:fill="FFFFFF"/>
        <w:spacing w:line="238" w:lineRule="auto"/>
        <w:ind w:firstLine="426"/>
        <w:jc w:val="both"/>
        <w:rPr>
          <w:rFonts w:eastAsia="Calibri"/>
          <w:sz w:val="22"/>
          <w:szCs w:val="22"/>
          <w:lang w:eastAsia="en-US"/>
        </w:rPr>
      </w:pPr>
      <w:r w:rsidRPr="00281602">
        <w:rPr>
          <w:rFonts w:eastAsia="Calibri"/>
          <w:color w:val="000000"/>
          <w:sz w:val="22"/>
          <w:szCs w:val="22"/>
          <w:lang w:eastAsia="en-US"/>
        </w:rPr>
        <w:t>Кроме того, широкое применение могут найти плодовые и с</w:t>
      </w:r>
      <w:r w:rsidRPr="00281602">
        <w:rPr>
          <w:rFonts w:eastAsia="Calibri"/>
          <w:color w:val="000000"/>
          <w:sz w:val="22"/>
          <w:szCs w:val="22"/>
          <w:lang w:eastAsia="en-US"/>
        </w:rPr>
        <w:t>е</w:t>
      </w:r>
      <w:r w:rsidRPr="00281602">
        <w:rPr>
          <w:rFonts w:eastAsia="Calibri"/>
          <w:color w:val="000000"/>
          <w:sz w:val="22"/>
          <w:szCs w:val="22"/>
          <w:lang w:eastAsia="en-US"/>
        </w:rPr>
        <w:t>менные оболочки масличных культур как источники пищевых в</w:t>
      </w:r>
      <w:r w:rsidRPr="00281602">
        <w:rPr>
          <w:rFonts w:eastAsia="Calibri"/>
          <w:color w:val="000000"/>
          <w:sz w:val="22"/>
          <w:szCs w:val="22"/>
          <w:lang w:eastAsia="en-US"/>
        </w:rPr>
        <w:t>о</w:t>
      </w:r>
      <w:r w:rsidRPr="00281602">
        <w:rPr>
          <w:rFonts w:eastAsia="Calibri"/>
          <w:color w:val="000000"/>
          <w:sz w:val="22"/>
          <w:szCs w:val="22"/>
          <w:lang w:eastAsia="en-US"/>
        </w:rPr>
        <w:t>локон и среда для культивирования микроорганизмов.</w:t>
      </w:r>
      <w:r w:rsidRPr="00281602">
        <w:rPr>
          <w:rFonts w:eastAsia="Calibri"/>
          <w:sz w:val="22"/>
          <w:szCs w:val="22"/>
          <w:lang w:eastAsia="en-US"/>
        </w:rPr>
        <w:t xml:space="preserve"> Из пищевых волокон наиболее ценным являются пектиновые вещества, которые, будучи переведенными в гидратоформу, являются высокотехнол</w:t>
      </w:r>
      <w:r w:rsidRPr="00281602">
        <w:rPr>
          <w:rFonts w:eastAsia="Calibri"/>
          <w:sz w:val="22"/>
          <w:szCs w:val="22"/>
          <w:lang w:eastAsia="en-US"/>
        </w:rPr>
        <w:t>о</w:t>
      </w:r>
      <w:r w:rsidRPr="00281602">
        <w:rPr>
          <w:rFonts w:eastAsia="Calibri"/>
          <w:sz w:val="22"/>
          <w:szCs w:val="22"/>
          <w:lang w:eastAsia="en-US"/>
        </w:rPr>
        <w:t>гичным сырьем для производства из него жидких пищевых проду</w:t>
      </w:r>
      <w:r w:rsidRPr="00281602">
        <w:rPr>
          <w:rFonts w:eastAsia="Calibri"/>
          <w:sz w:val="22"/>
          <w:szCs w:val="22"/>
          <w:lang w:eastAsia="en-US"/>
        </w:rPr>
        <w:t>к</w:t>
      </w:r>
      <w:r w:rsidRPr="00281602">
        <w:rPr>
          <w:rFonts w:eastAsia="Calibri"/>
          <w:sz w:val="22"/>
          <w:szCs w:val="22"/>
          <w:lang w:eastAsia="en-US"/>
        </w:rPr>
        <w:lastRenderedPageBreak/>
        <w:t xml:space="preserve">тов, например, безалкогольных напитков </w:t>
      </w:r>
      <w:r w:rsidRPr="00281602">
        <w:rPr>
          <w:rFonts w:eastAsia="Calibri"/>
          <w:color w:val="000000"/>
          <w:sz w:val="22"/>
          <w:szCs w:val="22"/>
          <w:lang w:eastAsia="en-US"/>
        </w:rPr>
        <w:t>[6]</w:t>
      </w:r>
      <w:r w:rsidRPr="00281602">
        <w:rPr>
          <w:rFonts w:eastAsia="Calibri"/>
          <w:sz w:val="22"/>
          <w:szCs w:val="22"/>
          <w:lang w:eastAsia="en-US"/>
        </w:rPr>
        <w:t>, а также всевозможных заливок при приготовлении консервов, как овощных, так и мясных и рыбных, а также в составе желейных десертов. При этом, микр</w:t>
      </w:r>
      <w:r w:rsidRPr="00281602">
        <w:rPr>
          <w:rFonts w:eastAsia="Calibri"/>
          <w:sz w:val="22"/>
          <w:szCs w:val="22"/>
          <w:lang w:eastAsia="en-US"/>
        </w:rPr>
        <w:t>о</w:t>
      </w:r>
      <w:r w:rsidRPr="00281602">
        <w:rPr>
          <w:rFonts w:eastAsia="Calibri"/>
          <w:sz w:val="22"/>
          <w:szCs w:val="22"/>
          <w:lang w:eastAsia="en-US"/>
        </w:rPr>
        <w:t>организмы предложено культивировать и на жмыхе подсолнечника с целью повышения питательности продукта [1]. В таком случае нутриентный состав жмыха обогащается усвояемыми формами п</w:t>
      </w:r>
      <w:r w:rsidRPr="00281602">
        <w:rPr>
          <w:rFonts w:eastAsia="Calibri"/>
          <w:sz w:val="22"/>
          <w:szCs w:val="22"/>
          <w:lang w:eastAsia="en-US"/>
        </w:rPr>
        <w:t>и</w:t>
      </w:r>
      <w:r w:rsidRPr="00281602">
        <w:rPr>
          <w:rFonts w:eastAsia="Calibri"/>
          <w:sz w:val="22"/>
          <w:szCs w:val="22"/>
          <w:lang w:eastAsia="en-US"/>
        </w:rPr>
        <w:t>щевых веществ за счет происходящего в нем ферментативного ги</w:t>
      </w:r>
      <w:r w:rsidRPr="00281602">
        <w:rPr>
          <w:rFonts w:eastAsia="Calibri"/>
          <w:sz w:val="22"/>
          <w:szCs w:val="22"/>
          <w:lang w:eastAsia="en-US"/>
        </w:rPr>
        <w:t>д</w:t>
      </w:r>
      <w:r w:rsidRPr="00281602">
        <w:rPr>
          <w:rFonts w:eastAsia="Calibri"/>
          <w:sz w:val="22"/>
          <w:szCs w:val="22"/>
          <w:lang w:eastAsia="en-US"/>
        </w:rPr>
        <w:t>ролиза и инактивации антипитательных веществ в ходе развития микробиоты среды. С другой стороны, такой подход позволяет об</w:t>
      </w:r>
      <w:r w:rsidRPr="00281602">
        <w:rPr>
          <w:rFonts w:eastAsia="Calibri"/>
          <w:sz w:val="22"/>
          <w:szCs w:val="22"/>
          <w:lang w:eastAsia="en-US"/>
        </w:rPr>
        <w:t>о</w:t>
      </w:r>
      <w:r w:rsidRPr="00281602">
        <w:rPr>
          <w:rFonts w:eastAsia="Calibri"/>
          <w:sz w:val="22"/>
          <w:szCs w:val="22"/>
          <w:lang w:eastAsia="en-US"/>
        </w:rPr>
        <w:t xml:space="preserve">гатить состав продукта микробиальной биомассой и культуральной средой культивированных микроорганизмов (бактерий или грибков, например, дрожжевых), что во многом улучшает аминокислотный и витаминный состав получаемого кормового продукта. </w:t>
      </w:r>
    </w:p>
    <w:p w:rsidR="00281602" w:rsidRPr="00281602" w:rsidRDefault="00281602" w:rsidP="00E90444">
      <w:pPr>
        <w:shd w:val="clear" w:color="auto" w:fill="FFFFFF"/>
        <w:spacing w:line="238" w:lineRule="auto"/>
        <w:ind w:firstLine="426"/>
        <w:jc w:val="both"/>
        <w:rPr>
          <w:rFonts w:eastAsia="Calibri"/>
          <w:sz w:val="22"/>
          <w:szCs w:val="22"/>
          <w:lang w:eastAsia="en-US"/>
        </w:rPr>
      </w:pPr>
      <w:r w:rsidRPr="00281602">
        <w:rPr>
          <w:rFonts w:eastAsia="Calibri"/>
          <w:sz w:val="22"/>
          <w:szCs w:val="22"/>
          <w:lang w:eastAsia="en-US"/>
        </w:rPr>
        <w:t>Средой для культивирования микроорганизмов могут стать плодовые и семенные оболочки сельскохозяйственных культур ра</w:t>
      </w:r>
      <w:r w:rsidRPr="00281602">
        <w:rPr>
          <w:rFonts w:eastAsia="Calibri"/>
          <w:sz w:val="22"/>
          <w:szCs w:val="22"/>
          <w:lang w:eastAsia="en-US"/>
        </w:rPr>
        <w:t>с</w:t>
      </w:r>
      <w:r w:rsidRPr="00281602">
        <w:rPr>
          <w:rFonts w:eastAsia="Calibri"/>
          <w:sz w:val="22"/>
          <w:szCs w:val="22"/>
          <w:lang w:eastAsia="en-US"/>
        </w:rPr>
        <w:t xml:space="preserve">сматриваемой группы, в частности, лузга подсолнечника, с целью получения на ее основе кормовой биомассы </w:t>
      </w:r>
      <w:r w:rsidRPr="00281602">
        <w:rPr>
          <w:rFonts w:eastAsia="Calibri"/>
          <w:color w:val="000000"/>
          <w:sz w:val="22"/>
          <w:szCs w:val="22"/>
          <w:lang w:eastAsia="en-US"/>
        </w:rPr>
        <w:t>[7], что в рамках ко</w:t>
      </w:r>
      <w:r w:rsidRPr="00281602">
        <w:rPr>
          <w:rFonts w:eastAsia="Calibri"/>
          <w:color w:val="000000"/>
          <w:sz w:val="22"/>
          <w:szCs w:val="22"/>
          <w:lang w:eastAsia="en-US"/>
        </w:rPr>
        <w:t>м</w:t>
      </w:r>
      <w:r w:rsidRPr="00281602">
        <w:rPr>
          <w:rFonts w:eastAsia="Calibri"/>
          <w:color w:val="000000"/>
          <w:sz w:val="22"/>
          <w:szCs w:val="22"/>
          <w:lang w:eastAsia="en-US"/>
        </w:rPr>
        <w:t>плекса мер, предпринимаемых в области повышения эффективн</w:t>
      </w:r>
      <w:r w:rsidRPr="00281602">
        <w:rPr>
          <w:rFonts w:eastAsia="Calibri"/>
          <w:color w:val="000000"/>
          <w:sz w:val="22"/>
          <w:szCs w:val="22"/>
          <w:lang w:eastAsia="en-US"/>
        </w:rPr>
        <w:t>о</w:t>
      </w:r>
      <w:r w:rsidRPr="00281602">
        <w:rPr>
          <w:rFonts w:eastAsia="Calibri"/>
          <w:color w:val="000000"/>
          <w:sz w:val="22"/>
          <w:szCs w:val="22"/>
          <w:lang w:eastAsia="en-US"/>
        </w:rPr>
        <w:t>сти производства сырья масличных, обеспечивает перспективу с</w:t>
      </w:r>
      <w:r w:rsidRPr="00281602">
        <w:rPr>
          <w:rFonts w:eastAsia="Calibri"/>
          <w:color w:val="000000"/>
          <w:sz w:val="22"/>
          <w:szCs w:val="22"/>
          <w:lang w:eastAsia="en-US"/>
        </w:rPr>
        <w:t>о</w:t>
      </w:r>
      <w:r w:rsidRPr="00281602">
        <w:rPr>
          <w:rFonts w:eastAsia="Calibri"/>
          <w:color w:val="000000"/>
          <w:sz w:val="22"/>
          <w:szCs w:val="22"/>
          <w:lang w:eastAsia="en-US"/>
        </w:rPr>
        <w:t>здания полноценной безотходной технологии их переработки.</w:t>
      </w:r>
    </w:p>
    <w:p w:rsidR="00281602" w:rsidRPr="00281602" w:rsidRDefault="00281602" w:rsidP="00A11DF9">
      <w:pPr>
        <w:spacing w:line="238" w:lineRule="auto"/>
        <w:ind w:firstLine="425"/>
        <w:jc w:val="center"/>
        <w:rPr>
          <w:sz w:val="22"/>
          <w:szCs w:val="22"/>
        </w:rPr>
      </w:pPr>
      <w:r w:rsidRPr="00281602">
        <w:rPr>
          <w:sz w:val="22"/>
          <w:szCs w:val="22"/>
        </w:rPr>
        <w:t>Список литературы</w:t>
      </w:r>
    </w:p>
    <w:p w:rsidR="00281602" w:rsidRPr="00281602" w:rsidRDefault="00281602" w:rsidP="00A11DF9">
      <w:pPr>
        <w:numPr>
          <w:ilvl w:val="0"/>
          <w:numId w:val="34"/>
        </w:numPr>
        <w:tabs>
          <w:tab w:val="left" w:pos="567"/>
        </w:tabs>
        <w:spacing w:line="238" w:lineRule="auto"/>
        <w:ind w:left="0" w:firstLine="425"/>
        <w:jc w:val="both"/>
        <w:rPr>
          <w:rFonts w:eastAsia="Calibri"/>
          <w:sz w:val="22"/>
          <w:szCs w:val="22"/>
          <w:lang w:eastAsia="en-US"/>
        </w:rPr>
      </w:pPr>
      <w:r w:rsidRPr="00281602">
        <w:rPr>
          <w:rFonts w:eastAsia="Calibri"/>
          <w:sz w:val="22"/>
          <w:szCs w:val="22"/>
          <w:lang w:eastAsia="en-US"/>
        </w:rPr>
        <w:t>Анискина М.В., Волобуева Е.С., Гнеуш А.Н. Влияние физ</w:t>
      </w:r>
      <w:r w:rsidRPr="00281602">
        <w:rPr>
          <w:rFonts w:eastAsia="Calibri"/>
          <w:sz w:val="22"/>
          <w:szCs w:val="22"/>
          <w:lang w:eastAsia="en-US"/>
        </w:rPr>
        <w:t>и</w:t>
      </w:r>
      <w:r w:rsidRPr="00281602">
        <w:rPr>
          <w:rFonts w:eastAsia="Calibri"/>
          <w:sz w:val="22"/>
          <w:szCs w:val="22"/>
          <w:lang w:eastAsia="en-US"/>
        </w:rPr>
        <w:t>ко-химических факторов на рост колоний молочнокислых микроо</w:t>
      </w:r>
      <w:r w:rsidRPr="00281602">
        <w:rPr>
          <w:rFonts w:eastAsia="Calibri"/>
          <w:sz w:val="22"/>
          <w:szCs w:val="22"/>
          <w:lang w:eastAsia="en-US"/>
        </w:rPr>
        <w:t>р</w:t>
      </w:r>
      <w:r w:rsidRPr="00281602">
        <w:rPr>
          <w:rFonts w:eastAsia="Calibri"/>
          <w:sz w:val="22"/>
          <w:szCs w:val="22"/>
          <w:lang w:eastAsia="en-US"/>
        </w:rPr>
        <w:t>ганизмов на подсолнечном жмыхе // Современные аспекты прои</w:t>
      </w:r>
      <w:r w:rsidRPr="00281602">
        <w:rPr>
          <w:rFonts w:eastAsia="Calibri"/>
          <w:sz w:val="22"/>
          <w:szCs w:val="22"/>
          <w:lang w:eastAsia="en-US"/>
        </w:rPr>
        <w:t>з</w:t>
      </w:r>
      <w:r w:rsidRPr="00281602">
        <w:rPr>
          <w:rFonts w:eastAsia="Calibri"/>
          <w:sz w:val="22"/>
          <w:szCs w:val="22"/>
          <w:lang w:eastAsia="en-US"/>
        </w:rPr>
        <w:t>водства и переработки сельскохозяйственной продукции : сборник статей по материалам II научно-практической конференции студе</w:t>
      </w:r>
      <w:r w:rsidRPr="00281602">
        <w:rPr>
          <w:rFonts w:eastAsia="Calibri"/>
          <w:sz w:val="22"/>
          <w:szCs w:val="22"/>
          <w:lang w:eastAsia="en-US"/>
        </w:rPr>
        <w:t>н</w:t>
      </w:r>
      <w:r w:rsidRPr="00281602">
        <w:rPr>
          <w:rFonts w:eastAsia="Calibri"/>
          <w:sz w:val="22"/>
          <w:szCs w:val="22"/>
          <w:lang w:eastAsia="en-US"/>
        </w:rPr>
        <w:t>тов, аспирантов и молодых ученых. Ответственный за выпуск А. А. Нестеренко. 2016. С. 194</w:t>
      </w:r>
      <w:r w:rsidRPr="00281602">
        <w:rPr>
          <w:rFonts w:eastAsia="Calibri"/>
          <w:spacing w:val="-4"/>
          <w:sz w:val="22"/>
          <w:szCs w:val="22"/>
          <w:lang w:eastAsia="en-US"/>
        </w:rPr>
        <w:t>–</w:t>
      </w:r>
      <w:r w:rsidRPr="00281602">
        <w:rPr>
          <w:rFonts w:eastAsia="Calibri"/>
          <w:sz w:val="22"/>
          <w:szCs w:val="22"/>
          <w:lang w:eastAsia="en-US"/>
        </w:rPr>
        <w:t>199.</w:t>
      </w:r>
    </w:p>
    <w:p w:rsidR="00281602" w:rsidRPr="00281602" w:rsidRDefault="00281602" w:rsidP="00A11DF9">
      <w:pPr>
        <w:numPr>
          <w:ilvl w:val="0"/>
          <w:numId w:val="34"/>
        </w:numPr>
        <w:tabs>
          <w:tab w:val="left" w:pos="567"/>
        </w:tabs>
        <w:spacing w:line="238" w:lineRule="auto"/>
        <w:ind w:left="0" w:firstLine="425"/>
        <w:jc w:val="both"/>
        <w:rPr>
          <w:rFonts w:eastAsia="Calibri"/>
          <w:sz w:val="22"/>
          <w:szCs w:val="22"/>
          <w:lang w:eastAsia="en-US"/>
        </w:rPr>
      </w:pPr>
      <w:r w:rsidRPr="00281602">
        <w:rPr>
          <w:rFonts w:eastAsia="Calibri"/>
          <w:sz w:val="22"/>
          <w:szCs w:val="22"/>
          <w:lang w:eastAsia="en-US"/>
        </w:rPr>
        <w:t xml:space="preserve">Донченко Л.В., Ольховатов Е.А., Решетняк А.И. Концепция </w:t>
      </w:r>
      <w:r w:rsidRPr="00281602">
        <w:rPr>
          <w:rFonts w:eastAsia="Calibri"/>
          <w:i/>
          <w:sz w:val="22"/>
          <w:szCs w:val="22"/>
          <w:lang w:eastAsia="en-US"/>
        </w:rPr>
        <w:t>НАССР</w:t>
      </w:r>
      <w:r w:rsidRPr="00281602">
        <w:rPr>
          <w:rFonts w:eastAsia="Calibri"/>
          <w:sz w:val="22"/>
          <w:szCs w:val="22"/>
          <w:lang w:eastAsia="en-US"/>
        </w:rPr>
        <w:t xml:space="preserve"> на малых и средних предприятиях : учебное пособие. Кра</w:t>
      </w:r>
      <w:r w:rsidRPr="00281602">
        <w:rPr>
          <w:rFonts w:eastAsia="Calibri"/>
          <w:sz w:val="22"/>
          <w:szCs w:val="22"/>
          <w:lang w:eastAsia="en-US"/>
        </w:rPr>
        <w:t>с</w:t>
      </w:r>
      <w:r w:rsidRPr="00281602">
        <w:rPr>
          <w:rFonts w:eastAsia="Calibri"/>
          <w:sz w:val="22"/>
          <w:szCs w:val="22"/>
          <w:lang w:eastAsia="en-US"/>
        </w:rPr>
        <w:t>нодар: КубГАУ, 2012. 183 с.</w:t>
      </w:r>
    </w:p>
    <w:p w:rsidR="00281602" w:rsidRPr="00281602" w:rsidRDefault="00281602" w:rsidP="00A11DF9">
      <w:pPr>
        <w:numPr>
          <w:ilvl w:val="0"/>
          <w:numId w:val="34"/>
        </w:numPr>
        <w:tabs>
          <w:tab w:val="left" w:pos="0"/>
          <w:tab w:val="left" w:pos="567"/>
          <w:tab w:val="left" w:pos="993"/>
        </w:tabs>
        <w:spacing w:line="238" w:lineRule="auto"/>
        <w:ind w:left="0" w:firstLine="425"/>
        <w:jc w:val="both"/>
        <w:rPr>
          <w:rFonts w:eastAsia="Calibri"/>
          <w:spacing w:val="2"/>
          <w:sz w:val="22"/>
          <w:szCs w:val="22"/>
          <w:lang w:eastAsia="en-US"/>
        </w:rPr>
      </w:pPr>
      <w:r w:rsidRPr="00281602">
        <w:rPr>
          <w:rFonts w:eastAsia="Calibri"/>
          <w:spacing w:val="2"/>
          <w:sz w:val="22"/>
          <w:szCs w:val="22"/>
          <w:lang w:eastAsia="en-US"/>
        </w:rPr>
        <w:t>Ольховатов Е.А. Щербакова Е.В., Рашидова Г.М., Касьянов Г.И. Антипитательные компоненты семян сельскохозяйственных культур и проблема их устранения // Устойчивое развитие, экол</w:t>
      </w:r>
      <w:r w:rsidRPr="00281602">
        <w:rPr>
          <w:rFonts w:eastAsia="Calibri"/>
          <w:spacing w:val="2"/>
          <w:sz w:val="22"/>
          <w:szCs w:val="22"/>
          <w:lang w:eastAsia="en-US"/>
        </w:rPr>
        <w:t>о</w:t>
      </w:r>
      <w:r w:rsidRPr="00281602">
        <w:rPr>
          <w:rFonts w:eastAsia="Calibri"/>
          <w:spacing w:val="2"/>
          <w:sz w:val="22"/>
          <w:szCs w:val="22"/>
          <w:lang w:eastAsia="en-US"/>
        </w:rPr>
        <w:t>гически безопасные технологии и оборудование для переработки пищевого сельскохозяйственного сырья; импортоопережение : сборник материалов международной научно-практической конф</w:t>
      </w:r>
      <w:r w:rsidRPr="00281602">
        <w:rPr>
          <w:rFonts w:eastAsia="Calibri"/>
          <w:spacing w:val="2"/>
          <w:sz w:val="22"/>
          <w:szCs w:val="22"/>
          <w:lang w:eastAsia="en-US"/>
        </w:rPr>
        <w:t>е</w:t>
      </w:r>
      <w:r w:rsidRPr="00281602">
        <w:rPr>
          <w:rFonts w:eastAsia="Calibri"/>
          <w:spacing w:val="2"/>
          <w:sz w:val="22"/>
          <w:szCs w:val="22"/>
          <w:lang w:eastAsia="en-US"/>
        </w:rPr>
        <w:t>ренции. 2016. С. 141</w:t>
      </w:r>
      <w:r w:rsidRPr="00281602">
        <w:rPr>
          <w:rFonts w:eastAsia="Calibri"/>
          <w:spacing w:val="-4"/>
          <w:sz w:val="22"/>
          <w:szCs w:val="22"/>
          <w:lang w:eastAsia="en-US"/>
        </w:rPr>
        <w:t>–</w:t>
      </w:r>
      <w:r w:rsidRPr="00281602">
        <w:rPr>
          <w:rFonts w:eastAsia="Calibri"/>
          <w:spacing w:val="2"/>
          <w:sz w:val="22"/>
          <w:szCs w:val="22"/>
          <w:lang w:eastAsia="en-US"/>
        </w:rPr>
        <w:t>143.</w:t>
      </w:r>
    </w:p>
    <w:p w:rsidR="00281602" w:rsidRPr="00281602" w:rsidRDefault="00281602" w:rsidP="00A11DF9">
      <w:pPr>
        <w:numPr>
          <w:ilvl w:val="0"/>
          <w:numId w:val="34"/>
        </w:numPr>
        <w:tabs>
          <w:tab w:val="left" w:pos="567"/>
        </w:tabs>
        <w:spacing w:line="238" w:lineRule="auto"/>
        <w:ind w:left="0" w:firstLine="425"/>
        <w:jc w:val="both"/>
        <w:rPr>
          <w:rFonts w:eastAsia="Calibri"/>
          <w:spacing w:val="-4"/>
          <w:sz w:val="22"/>
          <w:szCs w:val="22"/>
          <w:lang w:eastAsia="en-US"/>
        </w:rPr>
      </w:pPr>
      <w:r w:rsidRPr="00281602">
        <w:rPr>
          <w:rFonts w:eastAsia="Calibri"/>
          <w:spacing w:val="-4"/>
          <w:sz w:val="22"/>
          <w:szCs w:val="22"/>
          <w:lang w:eastAsia="en-US"/>
        </w:rPr>
        <w:lastRenderedPageBreak/>
        <w:t>Ольховатов Е.А. Получение нетоксичного клеевого состава из белков семян клещевины // Известия высших учебных заведений. П</w:t>
      </w:r>
      <w:r w:rsidRPr="00281602">
        <w:rPr>
          <w:rFonts w:eastAsia="Calibri"/>
          <w:spacing w:val="-4"/>
          <w:sz w:val="22"/>
          <w:szCs w:val="22"/>
          <w:lang w:eastAsia="en-US"/>
        </w:rPr>
        <w:t>и</w:t>
      </w:r>
      <w:r w:rsidRPr="00281602">
        <w:rPr>
          <w:rFonts w:eastAsia="Calibri"/>
          <w:spacing w:val="-4"/>
          <w:sz w:val="22"/>
          <w:szCs w:val="22"/>
          <w:lang w:eastAsia="en-US"/>
        </w:rPr>
        <w:t>щевая технология. 2011. № 1 (319). С. 115–116.</w:t>
      </w:r>
    </w:p>
    <w:p w:rsidR="00281602" w:rsidRPr="00281602" w:rsidRDefault="00281602" w:rsidP="00A11DF9">
      <w:pPr>
        <w:numPr>
          <w:ilvl w:val="0"/>
          <w:numId w:val="34"/>
        </w:numPr>
        <w:tabs>
          <w:tab w:val="left" w:pos="567"/>
        </w:tabs>
        <w:spacing w:line="238" w:lineRule="auto"/>
        <w:ind w:left="0" w:firstLine="425"/>
        <w:jc w:val="both"/>
        <w:rPr>
          <w:rFonts w:eastAsia="Calibri"/>
          <w:sz w:val="22"/>
          <w:szCs w:val="22"/>
          <w:lang w:eastAsia="en-US"/>
        </w:rPr>
      </w:pPr>
      <w:r w:rsidRPr="00281602">
        <w:rPr>
          <w:rFonts w:eastAsia="Calibri"/>
          <w:sz w:val="22"/>
          <w:szCs w:val="22"/>
          <w:lang w:eastAsia="en-US"/>
        </w:rPr>
        <w:t>Ольховатов Е.А. Щербакова  Е.В. Разработка рецептур б</w:t>
      </w:r>
      <w:r w:rsidRPr="00281602">
        <w:rPr>
          <w:rFonts w:eastAsia="Calibri"/>
          <w:sz w:val="22"/>
          <w:szCs w:val="22"/>
          <w:lang w:eastAsia="en-US"/>
        </w:rPr>
        <w:t>о</w:t>
      </w:r>
      <w:r w:rsidRPr="00281602">
        <w:rPr>
          <w:rFonts w:eastAsia="Calibri"/>
          <w:sz w:val="22"/>
          <w:szCs w:val="22"/>
          <w:lang w:eastAsia="en-US"/>
        </w:rPr>
        <w:t>бовых паст «хумус» с применением семян сои современных сортов отечественной селекции // Сборник научных трудов Всероссийск</w:t>
      </w:r>
      <w:r w:rsidRPr="00281602">
        <w:rPr>
          <w:rFonts w:eastAsia="Calibri"/>
          <w:sz w:val="22"/>
          <w:szCs w:val="22"/>
          <w:lang w:eastAsia="en-US"/>
        </w:rPr>
        <w:t>о</w:t>
      </w:r>
      <w:r w:rsidRPr="00281602">
        <w:rPr>
          <w:rFonts w:eastAsia="Calibri"/>
          <w:sz w:val="22"/>
          <w:szCs w:val="22"/>
          <w:lang w:eastAsia="en-US"/>
        </w:rPr>
        <w:t>го научно-исследовательского института овцеводства и козово</w:t>
      </w:r>
      <w:r w:rsidRPr="00281602">
        <w:rPr>
          <w:rFonts w:eastAsia="Calibri"/>
          <w:sz w:val="22"/>
          <w:szCs w:val="22"/>
          <w:lang w:eastAsia="en-US"/>
        </w:rPr>
        <w:t>д</w:t>
      </w:r>
      <w:r w:rsidRPr="00281602">
        <w:rPr>
          <w:rFonts w:eastAsia="Calibri"/>
          <w:sz w:val="22"/>
          <w:szCs w:val="22"/>
          <w:lang w:eastAsia="en-US"/>
        </w:rPr>
        <w:t>ства. 2015. Т. 1. № 8. С. 241</w:t>
      </w:r>
      <w:r w:rsidRPr="00281602">
        <w:rPr>
          <w:rFonts w:eastAsia="Calibri"/>
          <w:spacing w:val="-4"/>
          <w:sz w:val="22"/>
          <w:szCs w:val="22"/>
          <w:lang w:eastAsia="en-US"/>
        </w:rPr>
        <w:t>–</w:t>
      </w:r>
      <w:r w:rsidRPr="00281602">
        <w:rPr>
          <w:rFonts w:eastAsia="Calibri"/>
          <w:sz w:val="22"/>
          <w:szCs w:val="22"/>
          <w:lang w:eastAsia="en-US"/>
        </w:rPr>
        <w:t>244.</w:t>
      </w:r>
    </w:p>
    <w:p w:rsidR="00281602" w:rsidRPr="00281602" w:rsidRDefault="00281602" w:rsidP="00A11DF9">
      <w:pPr>
        <w:numPr>
          <w:ilvl w:val="0"/>
          <w:numId w:val="34"/>
        </w:numPr>
        <w:tabs>
          <w:tab w:val="left" w:pos="0"/>
          <w:tab w:val="left" w:pos="567"/>
          <w:tab w:val="left" w:pos="993"/>
        </w:tabs>
        <w:spacing w:line="238" w:lineRule="auto"/>
        <w:ind w:left="0" w:firstLine="426"/>
        <w:jc w:val="both"/>
        <w:rPr>
          <w:rFonts w:eastAsia="Calibri"/>
          <w:sz w:val="22"/>
          <w:szCs w:val="22"/>
          <w:lang w:eastAsia="en-US"/>
        </w:rPr>
      </w:pPr>
      <w:r w:rsidRPr="00281602">
        <w:rPr>
          <w:rFonts w:eastAsia="Calibri"/>
          <w:sz w:val="22"/>
          <w:szCs w:val="22"/>
          <w:lang w:eastAsia="en-US"/>
        </w:rPr>
        <w:t>Родионова Л.Я. Степовой А.В., Ольховатов Е.А., Пивень М.М. Проектирование рецептур тонизирующих безалкогольных напитков с выраженными профилактическими свойствами // Пол</w:t>
      </w:r>
      <w:r w:rsidRPr="00281602">
        <w:rPr>
          <w:rFonts w:eastAsia="Calibri"/>
          <w:sz w:val="22"/>
          <w:szCs w:val="22"/>
          <w:lang w:eastAsia="en-US"/>
        </w:rPr>
        <w:t>и</w:t>
      </w:r>
      <w:r w:rsidRPr="00281602">
        <w:rPr>
          <w:rFonts w:eastAsia="Calibri"/>
          <w:sz w:val="22"/>
          <w:szCs w:val="22"/>
          <w:lang w:eastAsia="en-US"/>
        </w:rPr>
        <w:t>тематический сетевой электронный научный журнал Кубанского государственного аграрного университета. 2016. № 122. С. 941</w:t>
      </w:r>
      <w:r w:rsidRPr="00281602">
        <w:rPr>
          <w:rFonts w:eastAsia="Calibri"/>
          <w:spacing w:val="-4"/>
          <w:sz w:val="22"/>
          <w:szCs w:val="22"/>
          <w:lang w:eastAsia="en-US"/>
        </w:rPr>
        <w:t>–</w:t>
      </w:r>
      <w:r w:rsidRPr="00281602">
        <w:rPr>
          <w:rFonts w:eastAsia="Calibri"/>
          <w:sz w:val="22"/>
          <w:szCs w:val="22"/>
          <w:lang w:eastAsia="en-US"/>
        </w:rPr>
        <w:t>952.</w:t>
      </w:r>
    </w:p>
    <w:p w:rsidR="00281602" w:rsidRPr="00281602" w:rsidRDefault="00281602" w:rsidP="00A11DF9">
      <w:pPr>
        <w:numPr>
          <w:ilvl w:val="0"/>
          <w:numId w:val="34"/>
        </w:numPr>
        <w:tabs>
          <w:tab w:val="left" w:pos="0"/>
          <w:tab w:val="left" w:pos="567"/>
          <w:tab w:val="left" w:pos="993"/>
        </w:tabs>
        <w:spacing w:line="238" w:lineRule="auto"/>
        <w:ind w:left="0" w:firstLine="426"/>
        <w:jc w:val="both"/>
        <w:rPr>
          <w:rFonts w:eastAsia="Calibri"/>
          <w:sz w:val="22"/>
          <w:szCs w:val="22"/>
          <w:lang w:eastAsia="en-US"/>
        </w:rPr>
      </w:pPr>
      <w:r w:rsidRPr="00281602">
        <w:rPr>
          <w:rFonts w:eastAsia="Calibri"/>
          <w:sz w:val="22"/>
          <w:szCs w:val="22"/>
          <w:lang w:eastAsia="en-US"/>
        </w:rPr>
        <w:t>Хусид С.Б., Гнеуш А.Н., Нестеренко Е.Е. Подсолнечная лу</w:t>
      </w:r>
      <w:r w:rsidRPr="00281602">
        <w:rPr>
          <w:rFonts w:eastAsia="Calibri"/>
          <w:sz w:val="22"/>
          <w:szCs w:val="22"/>
          <w:lang w:eastAsia="en-US"/>
        </w:rPr>
        <w:t>з</w:t>
      </w:r>
      <w:r w:rsidRPr="00281602">
        <w:rPr>
          <w:rFonts w:eastAsia="Calibri"/>
          <w:sz w:val="22"/>
          <w:szCs w:val="22"/>
          <w:lang w:eastAsia="en-US"/>
        </w:rPr>
        <w:t>га как источник получения функциональных кормовых добавок // Политематический сетевой электронный научный журнал Куба</w:t>
      </w:r>
      <w:r w:rsidRPr="00281602">
        <w:rPr>
          <w:rFonts w:eastAsia="Calibri"/>
          <w:sz w:val="22"/>
          <w:szCs w:val="22"/>
          <w:lang w:eastAsia="en-US"/>
        </w:rPr>
        <w:t>н</w:t>
      </w:r>
      <w:r w:rsidRPr="00281602">
        <w:rPr>
          <w:rFonts w:eastAsia="Calibri"/>
          <w:sz w:val="22"/>
          <w:szCs w:val="22"/>
          <w:lang w:eastAsia="en-US"/>
        </w:rPr>
        <w:t>ского государственного аграрного университета. 2015. № 107. С. 142</w:t>
      </w:r>
      <w:r w:rsidRPr="00281602">
        <w:rPr>
          <w:rFonts w:eastAsia="Calibri"/>
          <w:spacing w:val="-4"/>
          <w:sz w:val="22"/>
          <w:szCs w:val="22"/>
          <w:lang w:eastAsia="en-US"/>
        </w:rPr>
        <w:t>–</w:t>
      </w:r>
      <w:r w:rsidRPr="00281602">
        <w:rPr>
          <w:rFonts w:eastAsia="Calibri"/>
          <w:sz w:val="22"/>
          <w:szCs w:val="22"/>
          <w:lang w:eastAsia="en-US"/>
        </w:rPr>
        <w:t>155.</w:t>
      </w:r>
    </w:p>
    <w:p w:rsidR="00281602" w:rsidRPr="00281602" w:rsidRDefault="00281602" w:rsidP="00A11DF9">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shd w:val="clear" w:color="auto" w:fill="FFFFFF"/>
        <w:spacing w:after="120"/>
        <w:rPr>
          <w:b/>
          <w:sz w:val="24"/>
          <w:szCs w:val="22"/>
          <w:shd w:val="clear" w:color="auto" w:fill="FFFFFF"/>
          <w:lang w:eastAsia="en-US"/>
        </w:rPr>
      </w:pPr>
      <w:r w:rsidRPr="00281602">
        <w:rPr>
          <w:rFonts w:eastAsia="Calibri"/>
          <w:sz w:val="20"/>
          <w:szCs w:val="22"/>
          <w:lang w:eastAsia="en-US"/>
        </w:rPr>
        <w:t>УДК</w:t>
      </w:r>
      <w:r w:rsidRPr="00281602">
        <w:rPr>
          <w:sz w:val="20"/>
          <w:szCs w:val="22"/>
          <w:shd w:val="clear" w:color="auto" w:fill="FFFFFF"/>
          <w:lang w:eastAsia="en-US"/>
        </w:rPr>
        <w:t xml:space="preserve"> 637.352</w:t>
      </w:r>
    </w:p>
    <w:p w:rsidR="00281602" w:rsidRPr="00281602" w:rsidRDefault="00281602" w:rsidP="00281602">
      <w:pPr>
        <w:shd w:val="clear" w:color="auto" w:fill="FFFFFF"/>
        <w:jc w:val="center"/>
        <w:rPr>
          <w:b/>
          <w:sz w:val="24"/>
          <w:szCs w:val="22"/>
          <w:shd w:val="clear" w:color="auto" w:fill="FFFFFF"/>
          <w:lang w:eastAsia="en-US"/>
        </w:rPr>
      </w:pPr>
      <w:r w:rsidRPr="00281602">
        <w:rPr>
          <w:b/>
          <w:sz w:val="24"/>
          <w:szCs w:val="22"/>
          <w:shd w:val="clear" w:color="auto" w:fill="FFFFFF"/>
          <w:lang w:eastAsia="en-US"/>
        </w:rPr>
        <w:t xml:space="preserve">Обоснование включения мягких сыров в </w:t>
      </w:r>
    </w:p>
    <w:p w:rsidR="00281602" w:rsidRPr="00281602" w:rsidRDefault="00281602" w:rsidP="00281602">
      <w:pPr>
        <w:shd w:val="clear" w:color="auto" w:fill="FFFFFF"/>
        <w:jc w:val="center"/>
        <w:rPr>
          <w:b/>
          <w:sz w:val="24"/>
          <w:szCs w:val="22"/>
          <w:shd w:val="clear" w:color="auto" w:fill="FFFFFF"/>
          <w:lang w:eastAsia="en-US"/>
        </w:rPr>
      </w:pPr>
      <w:r w:rsidRPr="00281602">
        <w:rPr>
          <w:b/>
          <w:sz w:val="24"/>
          <w:szCs w:val="22"/>
          <w:shd w:val="clear" w:color="auto" w:fill="FFFFFF"/>
          <w:lang w:eastAsia="en-US"/>
        </w:rPr>
        <w:t>рацион питания</w:t>
      </w:r>
    </w:p>
    <w:p w:rsidR="00281602" w:rsidRPr="001360B4" w:rsidRDefault="00281602" w:rsidP="00A11DF9">
      <w:pPr>
        <w:shd w:val="clear" w:color="auto" w:fill="FFFFFF"/>
        <w:jc w:val="center"/>
        <w:rPr>
          <w:b/>
          <w:sz w:val="24"/>
          <w:szCs w:val="22"/>
          <w:shd w:val="clear" w:color="auto" w:fill="FFFFFF"/>
          <w:lang w:val="en-US" w:eastAsia="en-US"/>
        </w:rPr>
      </w:pPr>
      <w:r w:rsidRPr="00281602">
        <w:rPr>
          <w:b/>
          <w:sz w:val="24"/>
          <w:szCs w:val="22"/>
          <w:shd w:val="clear" w:color="auto" w:fill="FFFFFF"/>
          <w:lang w:val="en-US" w:eastAsia="en-US"/>
        </w:rPr>
        <w:t>Justification for the inclusion of soft cheeses in</w:t>
      </w:r>
      <w:r w:rsidR="001360B4" w:rsidRPr="001360B4">
        <w:rPr>
          <w:b/>
          <w:sz w:val="24"/>
          <w:szCs w:val="22"/>
          <w:shd w:val="clear" w:color="auto" w:fill="FFFFFF"/>
          <w:lang w:val="en-US" w:eastAsia="en-US"/>
        </w:rPr>
        <w:t xml:space="preserve"> </w:t>
      </w:r>
      <w:r w:rsidRPr="00281602">
        <w:rPr>
          <w:b/>
          <w:sz w:val="24"/>
          <w:szCs w:val="22"/>
          <w:shd w:val="clear" w:color="auto" w:fill="FFFFFF"/>
          <w:lang w:val="en-US" w:eastAsia="en-US"/>
        </w:rPr>
        <w:t>food</w:t>
      </w:r>
      <w:r w:rsidRPr="001360B4">
        <w:rPr>
          <w:b/>
          <w:sz w:val="24"/>
          <w:szCs w:val="22"/>
          <w:shd w:val="clear" w:color="auto" w:fill="FFFFFF"/>
          <w:lang w:val="en-US" w:eastAsia="en-US"/>
        </w:rPr>
        <w:t xml:space="preserve"> </w:t>
      </w:r>
      <w:r w:rsidRPr="00281602">
        <w:rPr>
          <w:b/>
          <w:sz w:val="24"/>
          <w:szCs w:val="22"/>
          <w:shd w:val="clear" w:color="auto" w:fill="FFFFFF"/>
          <w:lang w:val="en-US" w:eastAsia="en-US"/>
        </w:rPr>
        <w:t>ration</w:t>
      </w:r>
    </w:p>
    <w:p w:rsidR="00281602" w:rsidRPr="001360B4" w:rsidRDefault="00281602" w:rsidP="00281602">
      <w:pPr>
        <w:shd w:val="clear" w:color="auto" w:fill="FFFFFF"/>
        <w:jc w:val="center"/>
        <w:rPr>
          <w:sz w:val="22"/>
          <w:szCs w:val="22"/>
          <w:shd w:val="clear" w:color="auto" w:fill="FFFFFF"/>
          <w:lang w:val="en-US" w:eastAsia="en-US"/>
        </w:rPr>
      </w:pPr>
    </w:p>
    <w:p w:rsidR="00281602" w:rsidRPr="00A11DF9" w:rsidRDefault="00281602" w:rsidP="00281602">
      <w:pPr>
        <w:shd w:val="clear" w:color="auto" w:fill="FFFFFF"/>
        <w:jc w:val="right"/>
        <w:rPr>
          <w:sz w:val="22"/>
          <w:szCs w:val="22"/>
          <w:shd w:val="clear" w:color="auto" w:fill="FFFFFF"/>
          <w:lang w:eastAsia="en-US"/>
        </w:rPr>
      </w:pPr>
      <w:r w:rsidRPr="00281602">
        <w:rPr>
          <w:sz w:val="22"/>
          <w:szCs w:val="22"/>
          <w:shd w:val="clear" w:color="auto" w:fill="FFFFFF"/>
          <w:lang w:eastAsia="en-US"/>
        </w:rPr>
        <w:t>Горун</w:t>
      </w:r>
      <w:r w:rsidRPr="00A11DF9">
        <w:rPr>
          <w:sz w:val="22"/>
          <w:szCs w:val="22"/>
          <w:shd w:val="clear" w:color="auto" w:fill="FFFFFF"/>
          <w:lang w:eastAsia="en-US"/>
        </w:rPr>
        <w:t xml:space="preserve"> </w:t>
      </w:r>
      <w:r w:rsidRPr="00281602">
        <w:rPr>
          <w:sz w:val="22"/>
          <w:szCs w:val="22"/>
          <w:shd w:val="clear" w:color="auto" w:fill="FFFFFF"/>
          <w:lang w:eastAsia="en-US"/>
        </w:rPr>
        <w:t>О</w:t>
      </w:r>
      <w:r w:rsidRPr="00A11DF9">
        <w:rPr>
          <w:sz w:val="22"/>
          <w:szCs w:val="22"/>
          <w:shd w:val="clear" w:color="auto" w:fill="FFFFFF"/>
          <w:lang w:eastAsia="en-US"/>
        </w:rPr>
        <w:t>.</w:t>
      </w:r>
      <w:r w:rsidR="00A11DF9">
        <w:rPr>
          <w:sz w:val="22"/>
          <w:szCs w:val="22"/>
          <w:shd w:val="clear" w:color="auto" w:fill="FFFFFF"/>
          <w:lang w:eastAsia="en-US"/>
        </w:rPr>
        <w:t xml:space="preserve"> </w:t>
      </w:r>
      <w:r w:rsidRPr="00281602">
        <w:rPr>
          <w:sz w:val="22"/>
          <w:szCs w:val="22"/>
          <w:shd w:val="clear" w:color="auto" w:fill="FFFFFF"/>
          <w:lang w:eastAsia="en-US"/>
        </w:rPr>
        <w:t>Л</w:t>
      </w:r>
      <w:r w:rsidRPr="00A11DF9">
        <w:rPr>
          <w:sz w:val="22"/>
          <w:szCs w:val="22"/>
          <w:shd w:val="clear" w:color="auto" w:fill="FFFFFF"/>
          <w:lang w:eastAsia="en-US"/>
        </w:rPr>
        <w:t xml:space="preserve">., </w:t>
      </w:r>
      <w:r w:rsidRPr="00281602">
        <w:rPr>
          <w:sz w:val="22"/>
          <w:szCs w:val="22"/>
          <w:shd w:val="clear" w:color="auto" w:fill="FFFFFF"/>
          <w:lang w:eastAsia="en-US"/>
        </w:rPr>
        <w:t>Гирс</w:t>
      </w:r>
      <w:r w:rsidRPr="00A11DF9">
        <w:rPr>
          <w:sz w:val="22"/>
          <w:szCs w:val="22"/>
          <w:shd w:val="clear" w:color="auto" w:fill="FFFFFF"/>
          <w:lang w:eastAsia="en-US"/>
        </w:rPr>
        <w:t xml:space="preserve"> </w:t>
      </w:r>
      <w:r w:rsidRPr="00281602">
        <w:rPr>
          <w:sz w:val="22"/>
          <w:szCs w:val="22"/>
          <w:shd w:val="clear" w:color="auto" w:fill="FFFFFF"/>
          <w:lang w:eastAsia="en-US"/>
        </w:rPr>
        <w:t>П</w:t>
      </w:r>
      <w:r w:rsidRPr="00A11DF9">
        <w:rPr>
          <w:sz w:val="22"/>
          <w:szCs w:val="22"/>
          <w:shd w:val="clear" w:color="auto" w:fill="FFFFFF"/>
          <w:lang w:eastAsia="en-US"/>
        </w:rPr>
        <w:t>.</w:t>
      </w:r>
      <w:r w:rsidR="00A11DF9">
        <w:rPr>
          <w:sz w:val="22"/>
          <w:szCs w:val="22"/>
          <w:shd w:val="clear" w:color="auto" w:fill="FFFFFF"/>
          <w:lang w:eastAsia="en-US"/>
        </w:rPr>
        <w:t xml:space="preserve"> </w:t>
      </w:r>
      <w:r w:rsidRPr="00281602">
        <w:rPr>
          <w:sz w:val="22"/>
          <w:szCs w:val="22"/>
          <w:shd w:val="clear" w:color="auto" w:fill="FFFFFF"/>
          <w:lang w:eastAsia="en-US"/>
        </w:rPr>
        <w:t>О</w:t>
      </w:r>
      <w:r w:rsidRPr="00A11DF9">
        <w:rPr>
          <w:sz w:val="22"/>
          <w:szCs w:val="22"/>
          <w:shd w:val="clear" w:color="auto" w:fill="FFFFFF"/>
          <w:lang w:eastAsia="en-US"/>
        </w:rPr>
        <w:t xml:space="preserve">., </w:t>
      </w:r>
      <w:r w:rsidRPr="00281602">
        <w:rPr>
          <w:sz w:val="22"/>
          <w:szCs w:val="22"/>
          <w:shd w:val="clear" w:color="auto" w:fill="FFFFFF"/>
          <w:lang w:eastAsia="en-US"/>
        </w:rPr>
        <w:t>Теленьга</w:t>
      </w:r>
      <w:r w:rsidRPr="00A11DF9">
        <w:rPr>
          <w:sz w:val="22"/>
          <w:szCs w:val="22"/>
          <w:shd w:val="clear" w:color="auto" w:fill="FFFFFF"/>
          <w:lang w:eastAsia="en-US"/>
        </w:rPr>
        <w:t xml:space="preserve"> </w:t>
      </w:r>
      <w:r w:rsidRPr="00281602">
        <w:rPr>
          <w:sz w:val="22"/>
          <w:szCs w:val="22"/>
          <w:shd w:val="clear" w:color="auto" w:fill="FFFFFF"/>
          <w:lang w:eastAsia="en-US"/>
        </w:rPr>
        <w:t>Е</w:t>
      </w:r>
      <w:r w:rsidRPr="00A11DF9">
        <w:rPr>
          <w:sz w:val="22"/>
          <w:szCs w:val="22"/>
          <w:shd w:val="clear" w:color="auto" w:fill="FFFFFF"/>
          <w:lang w:eastAsia="en-US"/>
        </w:rPr>
        <w:t>.</w:t>
      </w:r>
      <w:r w:rsidR="00A11DF9">
        <w:rPr>
          <w:sz w:val="22"/>
          <w:szCs w:val="22"/>
          <w:shd w:val="clear" w:color="auto" w:fill="FFFFFF"/>
          <w:lang w:eastAsia="en-US"/>
        </w:rPr>
        <w:t xml:space="preserve"> </w:t>
      </w:r>
      <w:r w:rsidRPr="00281602">
        <w:rPr>
          <w:sz w:val="22"/>
          <w:szCs w:val="22"/>
          <w:shd w:val="clear" w:color="auto" w:fill="FFFFFF"/>
          <w:lang w:eastAsia="en-US"/>
        </w:rPr>
        <w:t>Н</w:t>
      </w:r>
      <w:r w:rsidRPr="00A11DF9">
        <w:rPr>
          <w:sz w:val="22"/>
          <w:szCs w:val="22"/>
          <w:shd w:val="clear" w:color="auto" w:fill="FFFFFF"/>
          <w:lang w:eastAsia="en-US"/>
        </w:rPr>
        <w:t>.,</w:t>
      </w:r>
    </w:p>
    <w:p w:rsidR="00A11DF9" w:rsidRDefault="00281602" w:rsidP="00281602">
      <w:pPr>
        <w:shd w:val="clear" w:color="auto" w:fill="FFFFFF"/>
        <w:jc w:val="right"/>
        <w:rPr>
          <w:sz w:val="22"/>
          <w:szCs w:val="22"/>
          <w:shd w:val="clear" w:color="auto" w:fill="FFFFFF"/>
          <w:lang w:eastAsia="en-US"/>
        </w:rPr>
      </w:pPr>
      <w:r w:rsidRPr="00281602">
        <w:rPr>
          <w:sz w:val="22"/>
          <w:szCs w:val="22"/>
          <w:shd w:val="clear" w:color="auto" w:fill="FFFFFF"/>
          <w:lang w:eastAsia="en-US"/>
        </w:rPr>
        <w:t>студент</w:t>
      </w:r>
      <w:r w:rsidR="00A11DF9">
        <w:rPr>
          <w:sz w:val="22"/>
          <w:szCs w:val="22"/>
          <w:shd w:val="clear" w:color="auto" w:fill="FFFFFF"/>
          <w:lang w:eastAsia="en-US"/>
        </w:rPr>
        <w:t>ы 2-го курса</w:t>
      </w:r>
    </w:p>
    <w:p w:rsidR="00281602" w:rsidRPr="00281602" w:rsidRDefault="00281602" w:rsidP="00281602">
      <w:pPr>
        <w:shd w:val="clear" w:color="auto" w:fill="FFFFFF"/>
        <w:jc w:val="right"/>
        <w:rPr>
          <w:sz w:val="22"/>
          <w:szCs w:val="22"/>
          <w:shd w:val="clear" w:color="auto" w:fill="FFFFFF"/>
          <w:lang w:eastAsia="en-US"/>
        </w:rPr>
      </w:pPr>
      <w:r w:rsidRPr="00281602">
        <w:rPr>
          <w:sz w:val="22"/>
          <w:szCs w:val="22"/>
          <w:shd w:val="clear" w:color="auto" w:fill="FFFFFF"/>
          <w:lang w:eastAsia="en-US"/>
        </w:rPr>
        <w:t>факультета перерабатывающих технологий</w:t>
      </w:r>
    </w:p>
    <w:p w:rsidR="00281602" w:rsidRPr="00281602" w:rsidRDefault="00281602" w:rsidP="00281602">
      <w:pPr>
        <w:shd w:val="clear" w:color="auto" w:fill="FFFFFF"/>
        <w:jc w:val="right"/>
        <w:rPr>
          <w:sz w:val="22"/>
          <w:szCs w:val="22"/>
          <w:shd w:val="clear" w:color="auto" w:fill="FFFFFF"/>
          <w:lang w:eastAsia="en-US"/>
        </w:rPr>
      </w:pPr>
      <w:r w:rsidRPr="00281602">
        <w:rPr>
          <w:sz w:val="22"/>
          <w:szCs w:val="22"/>
          <w:shd w:val="clear" w:color="auto" w:fill="FFFFFF"/>
          <w:lang w:eastAsia="en-US"/>
        </w:rPr>
        <w:t>Кубанский государственный аграрный</w:t>
      </w:r>
    </w:p>
    <w:p w:rsidR="00281602" w:rsidRPr="00281602" w:rsidRDefault="00281602" w:rsidP="00281602">
      <w:pPr>
        <w:shd w:val="clear" w:color="auto" w:fill="FFFFFF"/>
        <w:jc w:val="right"/>
        <w:rPr>
          <w:sz w:val="22"/>
          <w:szCs w:val="22"/>
          <w:shd w:val="clear" w:color="auto" w:fill="FFFFFF"/>
          <w:lang w:eastAsia="en-US"/>
        </w:rPr>
      </w:pPr>
      <w:r w:rsidRPr="00281602">
        <w:rPr>
          <w:sz w:val="22"/>
          <w:szCs w:val="22"/>
          <w:shd w:val="clear" w:color="auto" w:fill="FFFFFF"/>
          <w:lang w:eastAsia="en-US"/>
        </w:rPr>
        <w:t xml:space="preserve"> университет имени И.</w:t>
      </w:r>
      <w:r w:rsidR="00A11DF9">
        <w:rPr>
          <w:sz w:val="22"/>
          <w:szCs w:val="22"/>
          <w:shd w:val="clear" w:color="auto" w:fill="FFFFFF"/>
          <w:lang w:eastAsia="en-US"/>
        </w:rPr>
        <w:t xml:space="preserve"> </w:t>
      </w:r>
      <w:r w:rsidRPr="00281602">
        <w:rPr>
          <w:sz w:val="22"/>
          <w:szCs w:val="22"/>
          <w:shd w:val="clear" w:color="auto" w:fill="FFFFFF"/>
          <w:lang w:eastAsia="en-US"/>
        </w:rPr>
        <w:t>Т. Трубилина</w:t>
      </w:r>
    </w:p>
    <w:p w:rsidR="00281602" w:rsidRPr="00281602" w:rsidRDefault="00281602" w:rsidP="00281602">
      <w:pPr>
        <w:shd w:val="clear" w:color="auto" w:fill="FFFFFF"/>
        <w:jc w:val="both"/>
        <w:rPr>
          <w:sz w:val="22"/>
          <w:szCs w:val="22"/>
          <w:shd w:val="clear" w:color="auto" w:fill="FFFFFF"/>
          <w:lang w:eastAsia="en-US"/>
        </w:rPr>
      </w:pP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АННОТАЦИЯ</w:t>
      </w:r>
      <w:r w:rsidRPr="00281602">
        <w:rPr>
          <w:i/>
          <w:sz w:val="22"/>
          <w:szCs w:val="22"/>
          <w:shd w:val="clear" w:color="auto" w:fill="FFFFFF"/>
          <w:lang w:eastAsia="en-US"/>
        </w:rPr>
        <w:t>:</w:t>
      </w:r>
      <w:r w:rsidRPr="00281602">
        <w:rPr>
          <w:sz w:val="22"/>
          <w:szCs w:val="22"/>
          <w:shd w:val="clear" w:color="auto" w:fill="FFFFFF"/>
          <w:lang w:eastAsia="en-US"/>
        </w:rPr>
        <w:t xml:space="preserve"> Проведен анализ рынка сыров, рассмотрены перспективность и преимущество мягких сыров, перечислены о</w:t>
      </w:r>
      <w:r w:rsidRPr="00281602">
        <w:rPr>
          <w:sz w:val="22"/>
          <w:szCs w:val="22"/>
          <w:shd w:val="clear" w:color="auto" w:fill="FFFFFF"/>
          <w:lang w:eastAsia="en-US"/>
        </w:rPr>
        <w:t>с</w:t>
      </w:r>
      <w:r w:rsidRPr="00281602">
        <w:rPr>
          <w:sz w:val="22"/>
          <w:szCs w:val="22"/>
          <w:shd w:val="clear" w:color="auto" w:fill="FFFFFF"/>
          <w:lang w:eastAsia="en-US"/>
        </w:rPr>
        <w:t>новные виды плесеней, используемых в приготовлении данного в</w:t>
      </w:r>
      <w:r w:rsidRPr="00281602">
        <w:rPr>
          <w:sz w:val="22"/>
          <w:szCs w:val="22"/>
          <w:shd w:val="clear" w:color="auto" w:fill="FFFFFF"/>
          <w:lang w:eastAsia="en-US"/>
        </w:rPr>
        <w:t>и</w:t>
      </w:r>
      <w:r w:rsidRPr="00281602">
        <w:rPr>
          <w:sz w:val="22"/>
          <w:szCs w:val="22"/>
          <w:shd w:val="clear" w:color="auto" w:fill="FFFFFF"/>
          <w:lang w:eastAsia="en-US"/>
        </w:rPr>
        <w:t>да продукции.</w:t>
      </w:r>
    </w:p>
    <w:p w:rsidR="00281602" w:rsidRPr="00281602" w:rsidRDefault="00281602" w:rsidP="00A11DF9">
      <w:pPr>
        <w:shd w:val="clear" w:color="auto" w:fill="FFFFFF"/>
        <w:ind w:firstLine="426"/>
        <w:jc w:val="both"/>
        <w:rPr>
          <w:sz w:val="22"/>
          <w:szCs w:val="22"/>
          <w:shd w:val="clear" w:color="auto" w:fill="FFFFFF"/>
          <w:lang w:val="en-US" w:eastAsia="en-US"/>
        </w:rPr>
      </w:pPr>
      <w:r w:rsidRPr="00281602">
        <w:rPr>
          <w:sz w:val="22"/>
          <w:szCs w:val="22"/>
          <w:shd w:val="clear" w:color="auto" w:fill="FFFFFF"/>
          <w:lang w:val="en-US" w:eastAsia="en-US"/>
        </w:rPr>
        <w:lastRenderedPageBreak/>
        <w:t>ABSTRACT</w:t>
      </w:r>
      <w:r w:rsidRPr="00281602">
        <w:rPr>
          <w:i/>
          <w:sz w:val="22"/>
          <w:szCs w:val="22"/>
          <w:shd w:val="clear" w:color="auto" w:fill="FFFFFF"/>
          <w:lang w:val="en-US" w:eastAsia="en-US"/>
        </w:rPr>
        <w:t xml:space="preserve">: </w:t>
      </w:r>
      <w:r w:rsidRPr="00281602">
        <w:rPr>
          <w:sz w:val="22"/>
          <w:szCs w:val="22"/>
          <w:shd w:val="clear" w:color="auto" w:fill="FFFFFF"/>
          <w:lang w:val="en-US" w:eastAsia="en-US"/>
        </w:rPr>
        <w:t>Cheese market has been analyzed, perspective and advantages of soft cheeses have been examined, basic kinds of molds have been listed.</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КЛЮЧЕВЫЕ СЛОВА: мягкий сыр, плесень, молоко, продукты питания.</w:t>
      </w:r>
    </w:p>
    <w:p w:rsidR="00281602" w:rsidRPr="00281602" w:rsidRDefault="00281602" w:rsidP="00A11DF9">
      <w:pPr>
        <w:shd w:val="clear" w:color="auto" w:fill="FFFFFF"/>
        <w:ind w:firstLine="426"/>
        <w:jc w:val="both"/>
        <w:rPr>
          <w:sz w:val="22"/>
          <w:szCs w:val="22"/>
          <w:shd w:val="clear" w:color="auto" w:fill="FFFFFF"/>
          <w:lang w:val="en-US" w:eastAsia="en-US"/>
        </w:rPr>
      </w:pPr>
      <w:r w:rsidRPr="00281602">
        <w:rPr>
          <w:sz w:val="22"/>
          <w:szCs w:val="22"/>
          <w:shd w:val="clear" w:color="auto" w:fill="FFFFFF"/>
          <w:lang w:val="en-US" w:eastAsia="en-US"/>
        </w:rPr>
        <w:t xml:space="preserve">KEYWORDS: soft cheese, mold, milk, foodstuffs. </w:t>
      </w:r>
    </w:p>
    <w:p w:rsidR="00281602" w:rsidRPr="00281602" w:rsidRDefault="00281602" w:rsidP="00A11DF9">
      <w:pPr>
        <w:shd w:val="clear" w:color="auto" w:fill="FFFFFF"/>
        <w:ind w:firstLine="426"/>
        <w:jc w:val="both"/>
        <w:rPr>
          <w:sz w:val="22"/>
          <w:szCs w:val="22"/>
          <w:shd w:val="clear" w:color="auto" w:fill="FFFFFF"/>
          <w:lang w:val="en-US" w:eastAsia="en-US"/>
        </w:rPr>
      </w:pPr>
    </w:p>
    <w:p w:rsidR="00281602" w:rsidRPr="00281602" w:rsidRDefault="00281602" w:rsidP="00A11DF9">
      <w:pPr>
        <w:shd w:val="clear" w:color="auto" w:fill="FFFFFF"/>
        <w:ind w:firstLine="426"/>
        <w:jc w:val="both"/>
        <w:rPr>
          <w:spacing w:val="-2"/>
          <w:sz w:val="22"/>
          <w:szCs w:val="22"/>
          <w:shd w:val="clear" w:color="auto" w:fill="FFFFFF"/>
          <w:lang w:eastAsia="en-US"/>
        </w:rPr>
      </w:pPr>
      <w:r w:rsidRPr="00281602">
        <w:rPr>
          <w:spacing w:val="-2"/>
          <w:sz w:val="22"/>
          <w:szCs w:val="22"/>
          <w:shd w:val="clear" w:color="auto" w:fill="FFFFFF"/>
          <w:lang w:eastAsia="en-US"/>
        </w:rPr>
        <w:t>Производство мягких сыров являются перспективным направл</w:t>
      </w:r>
      <w:r w:rsidRPr="00281602">
        <w:rPr>
          <w:spacing w:val="-2"/>
          <w:sz w:val="22"/>
          <w:szCs w:val="22"/>
          <w:shd w:val="clear" w:color="auto" w:fill="FFFFFF"/>
          <w:lang w:eastAsia="en-US"/>
        </w:rPr>
        <w:t>е</w:t>
      </w:r>
      <w:r w:rsidRPr="00281602">
        <w:rPr>
          <w:spacing w:val="-2"/>
          <w:sz w:val="22"/>
          <w:szCs w:val="22"/>
          <w:shd w:val="clear" w:color="auto" w:fill="FFFFFF"/>
          <w:lang w:eastAsia="en-US"/>
        </w:rPr>
        <w:t>нием, так как данный сорт слабо представлен отечественными прои</w:t>
      </w:r>
      <w:r w:rsidRPr="00281602">
        <w:rPr>
          <w:spacing w:val="-2"/>
          <w:sz w:val="22"/>
          <w:szCs w:val="22"/>
          <w:shd w:val="clear" w:color="auto" w:fill="FFFFFF"/>
          <w:lang w:eastAsia="en-US"/>
        </w:rPr>
        <w:t>з</w:t>
      </w:r>
      <w:r w:rsidRPr="00281602">
        <w:rPr>
          <w:spacing w:val="-2"/>
          <w:sz w:val="22"/>
          <w:szCs w:val="22"/>
          <w:shd w:val="clear" w:color="auto" w:fill="FFFFFF"/>
          <w:lang w:eastAsia="en-US"/>
        </w:rPr>
        <w:t>водителями, а соответственно имеет низкую культуру потребления. Анализ рынка это только подтверждает - мягкие сыры занимают вс</w:t>
      </w:r>
      <w:r w:rsidRPr="00281602">
        <w:rPr>
          <w:spacing w:val="-2"/>
          <w:sz w:val="22"/>
          <w:szCs w:val="22"/>
          <w:shd w:val="clear" w:color="auto" w:fill="FFFFFF"/>
          <w:lang w:eastAsia="en-US"/>
        </w:rPr>
        <w:t>е</w:t>
      </w:r>
      <w:r w:rsidRPr="00281602">
        <w:rPr>
          <w:spacing w:val="-2"/>
          <w:sz w:val="22"/>
          <w:szCs w:val="22"/>
          <w:shd w:val="clear" w:color="auto" w:fill="FFFFFF"/>
          <w:lang w:eastAsia="en-US"/>
        </w:rPr>
        <w:t>го лишь 5%. И такая низкая распространенность сказывается на п</w:t>
      </w:r>
      <w:r w:rsidRPr="00281602">
        <w:rPr>
          <w:spacing w:val="-2"/>
          <w:sz w:val="22"/>
          <w:szCs w:val="22"/>
          <w:shd w:val="clear" w:color="auto" w:fill="FFFFFF"/>
          <w:lang w:eastAsia="en-US"/>
        </w:rPr>
        <w:t>о</w:t>
      </w:r>
      <w:r w:rsidRPr="00281602">
        <w:rPr>
          <w:spacing w:val="-2"/>
          <w:sz w:val="22"/>
          <w:szCs w:val="22"/>
          <w:shd w:val="clear" w:color="auto" w:fill="FFFFFF"/>
          <w:lang w:eastAsia="en-US"/>
        </w:rPr>
        <w:t>треблении данного вида продукции в России. Это серьезная пробл</w:t>
      </w:r>
      <w:r w:rsidRPr="00281602">
        <w:rPr>
          <w:spacing w:val="-2"/>
          <w:sz w:val="22"/>
          <w:szCs w:val="22"/>
          <w:shd w:val="clear" w:color="auto" w:fill="FFFFFF"/>
          <w:lang w:eastAsia="en-US"/>
        </w:rPr>
        <w:t>е</w:t>
      </w:r>
      <w:r w:rsidRPr="00281602">
        <w:rPr>
          <w:spacing w:val="-2"/>
          <w:sz w:val="22"/>
          <w:szCs w:val="22"/>
          <w:shd w:val="clear" w:color="auto" w:fill="FFFFFF"/>
          <w:lang w:eastAsia="en-US"/>
        </w:rPr>
        <w:t xml:space="preserve">ма, так как 70-120 г суточная норма для взрослого человека, 50 г – для ребенка, и, естественно, данная норма не выполняется. </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В рамках данной статьи мы рассмотрим показатели качества мягких сыров и проведем оценку их воздействия на организм чел</w:t>
      </w:r>
      <w:r w:rsidRPr="00281602">
        <w:rPr>
          <w:sz w:val="22"/>
          <w:szCs w:val="22"/>
          <w:shd w:val="clear" w:color="auto" w:fill="FFFFFF"/>
          <w:lang w:eastAsia="en-US"/>
        </w:rPr>
        <w:t>о</w:t>
      </w:r>
      <w:r w:rsidRPr="00281602">
        <w:rPr>
          <w:sz w:val="22"/>
          <w:szCs w:val="22"/>
          <w:shd w:val="clear" w:color="auto" w:fill="FFFFFF"/>
          <w:lang w:eastAsia="en-US"/>
        </w:rPr>
        <w:t>века. В связи с этим необходимо изучить рецептуру, исследовать плесневые культуры, получить образцы продукта собственного приготовления.</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Почему же они так полезны? В их состав входят: белки и нез</w:t>
      </w:r>
      <w:r w:rsidRPr="00281602">
        <w:rPr>
          <w:sz w:val="22"/>
          <w:szCs w:val="22"/>
          <w:shd w:val="clear" w:color="auto" w:fill="FFFFFF"/>
          <w:lang w:eastAsia="en-US"/>
        </w:rPr>
        <w:t>а</w:t>
      </w:r>
      <w:r w:rsidRPr="00281602">
        <w:rPr>
          <w:sz w:val="22"/>
          <w:szCs w:val="22"/>
          <w:shd w:val="clear" w:color="auto" w:fill="FFFFFF"/>
          <w:lang w:eastAsia="en-US"/>
        </w:rPr>
        <w:t>менимые аминокислоты 40%: валин, лизин, гистидин, треонин; жирные кислоты до 40% и включают: каприновую, миристиновую, олеиновую, линолевую, линоленовую; водорастворимые витамины: рибофлавин, тиамин, пиридоксин; жирорастворимые витамины с</w:t>
      </w:r>
      <w:r w:rsidRPr="00281602">
        <w:rPr>
          <w:sz w:val="22"/>
          <w:szCs w:val="22"/>
          <w:shd w:val="clear" w:color="auto" w:fill="FFFFFF"/>
          <w:lang w:eastAsia="en-US"/>
        </w:rPr>
        <w:t>о</w:t>
      </w:r>
      <w:r w:rsidRPr="00281602">
        <w:rPr>
          <w:sz w:val="22"/>
          <w:szCs w:val="22"/>
          <w:shd w:val="clear" w:color="auto" w:fill="FFFFFF"/>
          <w:lang w:eastAsia="en-US"/>
        </w:rPr>
        <w:t>ставляют около 18</w:t>
      </w:r>
      <w:r w:rsidR="001360B4">
        <w:rPr>
          <w:sz w:val="22"/>
          <w:szCs w:val="22"/>
          <w:shd w:val="clear" w:color="auto" w:fill="FFFFFF"/>
          <w:lang w:eastAsia="en-US"/>
        </w:rPr>
        <w:t xml:space="preserve">%: бета каротин, ретинол, холин. </w:t>
      </w:r>
      <w:r w:rsidRPr="00281602">
        <w:rPr>
          <w:sz w:val="22"/>
          <w:szCs w:val="22"/>
          <w:shd w:val="clear" w:color="auto" w:fill="FFFFFF"/>
          <w:lang w:eastAsia="en-US"/>
        </w:rPr>
        <w:t>Благодаря этим полезным компонентам, мягкие сыры благоприятно влияют на о</w:t>
      </w:r>
      <w:r w:rsidRPr="00281602">
        <w:rPr>
          <w:sz w:val="22"/>
          <w:szCs w:val="22"/>
          <w:shd w:val="clear" w:color="auto" w:fill="FFFFFF"/>
          <w:lang w:eastAsia="en-US"/>
        </w:rPr>
        <w:t>р</w:t>
      </w:r>
      <w:r w:rsidRPr="00281602">
        <w:rPr>
          <w:sz w:val="22"/>
          <w:szCs w:val="22"/>
          <w:shd w:val="clear" w:color="auto" w:fill="FFFFFF"/>
          <w:lang w:eastAsia="en-US"/>
        </w:rPr>
        <w:t xml:space="preserve">ганизм: способствуют укреплению костей, отвечают за высокую работоспособность </w:t>
      </w:r>
      <w:proofErr w:type="gramStart"/>
      <w:r w:rsidRPr="00281602">
        <w:rPr>
          <w:sz w:val="22"/>
          <w:szCs w:val="22"/>
          <w:shd w:val="clear" w:color="auto" w:fill="FFFFFF"/>
          <w:lang w:eastAsia="en-US"/>
        </w:rPr>
        <w:t>сердечно-сосудистой</w:t>
      </w:r>
      <w:proofErr w:type="gramEnd"/>
      <w:r w:rsidRPr="00281602">
        <w:rPr>
          <w:sz w:val="22"/>
          <w:szCs w:val="22"/>
          <w:shd w:val="clear" w:color="auto" w:fill="FFFFFF"/>
          <w:lang w:eastAsia="en-US"/>
        </w:rPr>
        <w:t>, нервной и пищеварител</w:t>
      </w:r>
      <w:r w:rsidRPr="00281602">
        <w:rPr>
          <w:sz w:val="22"/>
          <w:szCs w:val="22"/>
          <w:shd w:val="clear" w:color="auto" w:fill="FFFFFF"/>
          <w:lang w:eastAsia="en-US"/>
        </w:rPr>
        <w:t>ь</w:t>
      </w:r>
      <w:r w:rsidRPr="00281602">
        <w:rPr>
          <w:sz w:val="22"/>
          <w:szCs w:val="22"/>
          <w:shd w:val="clear" w:color="auto" w:fill="FFFFFF"/>
          <w:lang w:eastAsia="en-US"/>
        </w:rPr>
        <w:t>ной систем, рекомендуются при туберкулезе, проблемах со зрением, анемии, дисбалансе обмена веществ.</w:t>
      </w:r>
    </w:p>
    <w:p w:rsidR="00281602" w:rsidRPr="00281602" w:rsidRDefault="00281602" w:rsidP="00A11DF9">
      <w:pPr>
        <w:shd w:val="clear" w:color="auto" w:fill="FFFFFF"/>
        <w:ind w:firstLine="426"/>
        <w:jc w:val="both"/>
        <w:rPr>
          <w:spacing w:val="-2"/>
          <w:sz w:val="22"/>
          <w:szCs w:val="22"/>
          <w:shd w:val="clear" w:color="auto" w:fill="FFFFFF"/>
          <w:lang w:eastAsia="en-US"/>
        </w:rPr>
      </w:pPr>
      <w:r w:rsidRPr="00281602">
        <w:rPr>
          <w:spacing w:val="-2"/>
          <w:sz w:val="22"/>
          <w:szCs w:val="22"/>
          <w:shd w:val="clear" w:color="auto" w:fill="FFFFFF"/>
          <w:lang w:eastAsia="en-US"/>
        </w:rPr>
        <w:t>Данный вид продукции также отличается необычным внешним видом и консистенцией, большой палитрой вкусов и запахов. По большей части это заслуга плесеней. Существует 3 основных группы:</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Первая группа: сыры с белой плесенью («Бри», «Камамбер»). Приготовление: получают сгусток, затем сыр солят, вносят культ</w:t>
      </w:r>
      <w:r w:rsidRPr="00281602">
        <w:rPr>
          <w:sz w:val="22"/>
          <w:szCs w:val="22"/>
          <w:shd w:val="clear" w:color="auto" w:fill="FFFFFF"/>
          <w:lang w:eastAsia="en-US"/>
        </w:rPr>
        <w:t>у</w:t>
      </w:r>
      <w:r w:rsidRPr="00281602">
        <w:rPr>
          <w:sz w:val="22"/>
          <w:szCs w:val="22"/>
          <w:shd w:val="clear" w:color="auto" w:fill="FFFFFF"/>
          <w:lang w:eastAsia="en-US"/>
        </w:rPr>
        <w:t xml:space="preserve">ру и оставляют вызревать. </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lastRenderedPageBreak/>
        <w:t>Вторая группа: сыры с голубой благородной плесенью («Го</w:t>
      </w:r>
      <w:r w:rsidRPr="00281602">
        <w:rPr>
          <w:sz w:val="22"/>
          <w:szCs w:val="22"/>
          <w:shd w:val="clear" w:color="auto" w:fill="FFFFFF"/>
          <w:lang w:eastAsia="en-US"/>
        </w:rPr>
        <w:t>р</w:t>
      </w:r>
      <w:r w:rsidRPr="00281602">
        <w:rPr>
          <w:sz w:val="22"/>
          <w:szCs w:val="22"/>
          <w:shd w:val="clear" w:color="auto" w:fill="FFFFFF"/>
          <w:lang w:eastAsia="en-US"/>
        </w:rPr>
        <w:t>гонзола», «Рокфор», «Данаблу»). После того как будет получен сг</w:t>
      </w:r>
      <w:r w:rsidRPr="00281602">
        <w:rPr>
          <w:sz w:val="22"/>
          <w:szCs w:val="22"/>
          <w:shd w:val="clear" w:color="auto" w:fill="FFFFFF"/>
          <w:lang w:eastAsia="en-US"/>
        </w:rPr>
        <w:t>у</w:t>
      </w:r>
      <w:r w:rsidRPr="00281602">
        <w:rPr>
          <w:sz w:val="22"/>
          <w:szCs w:val="22"/>
          <w:shd w:val="clear" w:color="auto" w:fill="FFFFFF"/>
          <w:lang w:eastAsia="en-US"/>
        </w:rPr>
        <w:t>сток, сырную массу выкладывают в форму и ждут, пока стечет с</w:t>
      </w:r>
      <w:r w:rsidRPr="00281602">
        <w:rPr>
          <w:sz w:val="22"/>
          <w:szCs w:val="22"/>
          <w:shd w:val="clear" w:color="auto" w:fill="FFFFFF"/>
          <w:lang w:eastAsia="en-US"/>
        </w:rPr>
        <w:t>ы</w:t>
      </w:r>
      <w:r w:rsidRPr="00281602">
        <w:rPr>
          <w:sz w:val="22"/>
          <w:szCs w:val="22"/>
          <w:shd w:val="clear" w:color="auto" w:fill="FFFFFF"/>
          <w:lang w:eastAsia="en-US"/>
        </w:rPr>
        <w:t xml:space="preserve">воротка. Затем сыр натирают солью, добавляют культуру, через время сырную массу протыкают металлическими иглами. </w:t>
      </w:r>
    </w:p>
    <w:p w:rsidR="00281602" w:rsidRPr="00281602" w:rsidRDefault="00281602" w:rsidP="00A11DF9">
      <w:pPr>
        <w:shd w:val="clear" w:color="auto" w:fill="FFFFFF"/>
        <w:ind w:firstLine="426"/>
        <w:jc w:val="both"/>
        <w:rPr>
          <w:sz w:val="22"/>
          <w:szCs w:val="22"/>
          <w:shd w:val="clear" w:color="auto" w:fill="FFFFFF"/>
          <w:lang w:eastAsia="en-US"/>
        </w:rPr>
      </w:pPr>
      <w:r w:rsidRPr="00281602">
        <w:rPr>
          <w:sz w:val="22"/>
          <w:szCs w:val="22"/>
          <w:shd w:val="clear" w:color="auto" w:fill="FFFFFF"/>
          <w:lang w:eastAsia="en-US"/>
        </w:rPr>
        <w:t>Третья группа: сыры с «мытой корочкой», которая покрыта красной плесенью (сыры «Мюнстер», «Маруаль»), оранжевой («Л</w:t>
      </w:r>
      <w:r w:rsidRPr="00281602">
        <w:rPr>
          <w:sz w:val="22"/>
          <w:szCs w:val="22"/>
          <w:shd w:val="clear" w:color="auto" w:fill="FFFFFF"/>
          <w:lang w:eastAsia="en-US"/>
        </w:rPr>
        <w:t>и</w:t>
      </w:r>
      <w:r w:rsidRPr="00281602">
        <w:rPr>
          <w:sz w:val="22"/>
          <w:szCs w:val="22"/>
          <w:shd w:val="clear" w:color="auto" w:fill="FFFFFF"/>
          <w:lang w:eastAsia="en-US"/>
        </w:rPr>
        <w:t xml:space="preserve">варо»), бордовой («Лимбургский»). </w:t>
      </w:r>
    </w:p>
    <w:p w:rsidR="00281602" w:rsidRPr="001F2D25" w:rsidRDefault="00281602" w:rsidP="001F2D25">
      <w:pPr>
        <w:shd w:val="clear" w:color="auto" w:fill="FFFFFF"/>
        <w:ind w:firstLine="426"/>
        <w:jc w:val="both"/>
        <w:rPr>
          <w:rFonts w:eastAsia="Calibri"/>
          <w:sz w:val="22"/>
          <w:szCs w:val="22"/>
          <w:shd w:val="clear" w:color="auto" w:fill="FFFFFF"/>
          <w:lang w:eastAsia="en-US"/>
        </w:rPr>
      </w:pPr>
      <w:r w:rsidRPr="00281602">
        <w:rPr>
          <w:rFonts w:eastAsia="Calibri"/>
          <w:sz w:val="22"/>
          <w:szCs w:val="22"/>
          <w:shd w:val="clear" w:color="auto" w:fill="FFFFFF"/>
          <w:lang w:eastAsia="en-US"/>
        </w:rPr>
        <w:t>На основании проведенного обзора и анализе литературных данных установлено, что введение в рацион мягких сыров полож</w:t>
      </w:r>
      <w:r w:rsidRPr="00281602">
        <w:rPr>
          <w:rFonts w:eastAsia="Calibri"/>
          <w:sz w:val="22"/>
          <w:szCs w:val="22"/>
          <w:shd w:val="clear" w:color="auto" w:fill="FFFFFF"/>
          <w:lang w:eastAsia="en-US"/>
        </w:rPr>
        <w:t>и</w:t>
      </w:r>
      <w:r w:rsidRPr="00281602">
        <w:rPr>
          <w:rFonts w:eastAsia="Calibri"/>
          <w:sz w:val="22"/>
          <w:szCs w:val="22"/>
          <w:shd w:val="clear" w:color="auto" w:fill="FFFFFF"/>
          <w:lang w:eastAsia="en-US"/>
        </w:rPr>
        <w:t>тельно влияет на организм человека, а само направление весьма перспективно и экономически может оправдать себя за счет разн</w:t>
      </w:r>
      <w:r w:rsidRPr="00281602">
        <w:rPr>
          <w:rFonts w:eastAsia="Calibri"/>
          <w:sz w:val="22"/>
          <w:szCs w:val="22"/>
          <w:shd w:val="clear" w:color="auto" w:fill="FFFFFF"/>
          <w:lang w:eastAsia="en-US"/>
        </w:rPr>
        <w:t>о</w:t>
      </w:r>
      <w:r w:rsidRPr="00281602">
        <w:rPr>
          <w:rFonts w:eastAsia="Calibri"/>
          <w:sz w:val="22"/>
          <w:szCs w:val="22"/>
          <w:shd w:val="clear" w:color="auto" w:fill="FFFFFF"/>
          <w:lang w:eastAsia="en-US"/>
        </w:rPr>
        <w:t>образия органолептических показателей и большого количества п</w:t>
      </w:r>
      <w:r w:rsidRPr="00281602">
        <w:rPr>
          <w:rFonts w:eastAsia="Calibri"/>
          <w:sz w:val="22"/>
          <w:szCs w:val="22"/>
          <w:shd w:val="clear" w:color="auto" w:fill="FFFFFF"/>
          <w:lang w:eastAsia="en-US"/>
        </w:rPr>
        <w:t>о</w:t>
      </w:r>
      <w:r w:rsidRPr="00281602">
        <w:rPr>
          <w:rFonts w:eastAsia="Calibri"/>
          <w:sz w:val="22"/>
          <w:szCs w:val="22"/>
          <w:shd w:val="clear" w:color="auto" w:fill="FFFFFF"/>
          <w:lang w:eastAsia="en-US"/>
        </w:rPr>
        <w:t>лезных качеств.</w:t>
      </w:r>
    </w:p>
    <w:p w:rsidR="00281602" w:rsidRPr="00281602" w:rsidRDefault="00281602" w:rsidP="00A11DF9">
      <w:pPr>
        <w:shd w:val="clear" w:color="auto" w:fill="FFFFFF"/>
        <w:ind w:firstLine="426"/>
        <w:jc w:val="center"/>
        <w:rPr>
          <w:sz w:val="22"/>
          <w:szCs w:val="22"/>
          <w:shd w:val="clear" w:color="auto" w:fill="FFFFFF"/>
          <w:lang w:eastAsia="en-US"/>
        </w:rPr>
      </w:pPr>
      <w:r w:rsidRPr="00281602">
        <w:rPr>
          <w:sz w:val="22"/>
          <w:szCs w:val="22"/>
          <w:shd w:val="clear" w:color="auto" w:fill="FFFFFF"/>
          <w:lang w:eastAsia="en-US"/>
        </w:rPr>
        <w:t>Список литературы</w:t>
      </w:r>
    </w:p>
    <w:p w:rsidR="00281602" w:rsidRPr="00281602" w:rsidRDefault="00281602" w:rsidP="00A11DF9">
      <w:pPr>
        <w:shd w:val="clear" w:color="auto" w:fill="FFFFFF"/>
        <w:ind w:firstLine="426"/>
        <w:jc w:val="both"/>
        <w:rPr>
          <w:rFonts w:eastAsia="Calibri"/>
          <w:sz w:val="22"/>
          <w:szCs w:val="22"/>
          <w:lang w:eastAsia="en-US"/>
        </w:rPr>
      </w:pPr>
      <w:r w:rsidRPr="00281602">
        <w:rPr>
          <w:bCs/>
          <w:sz w:val="22"/>
          <w:szCs w:val="22"/>
          <w:shd w:val="clear" w:color="auto" w:fill="FFFFFF"/>
          <w:lang w:eastAsia="en-US"/>
        </w:rPr>
        <w:t>1. Субботина М. А. Особенности технологии мягкого сыра с кедровой мукой //Достижения науки и техники АПК. – 2009. – №. 7.</w:t>
      </w:r>
    </w:p>
    <w:p w:rsidR="00281602" w:rsidRPr="00281602" w:rsidRDefault="00281602" w:rsidP="00A11DF9">
      <w:pPr>
        <w:shd w:val="clear" w:color="auto" w:fill="FFFFFF"/>
        <w:ind w:firstLine="426"/>
        <w:jc w:val="both"/>
        <w:rPr>
          <w:bCs/>
          <w:sz w:val="22"/>
          <w:szCs w:val="22"/>
          <w:shd w:val="clear" w:color="auto" w:fill="FFFFFF"/>
          <w:lang w:eastAsia="en-US"/>
        </w:rPr>
      </w:pPr>
      <w:r w:rsidRPr="00281602">
        <w:rPr>
          <w:bCs/>
          <w:sz w:val="22"/>
          <w:szCs w:val="22"/>
          <w:shd w:val="clear" w:color="auto" w:fill="FFFFFF"/>
          <w:lang w:eastAsia="en-US"/>
        </w:rPr>
        <w:t>2. Тихомирова Н. А. Продукты функционального питания //Молочная промышленность. – 2013. – №. 6. – С. 46-49.</w:t>
      </w:r>
    </w:p>
    <w:p w:rsidR="00281602" w:rsidRPr="00281602" w:rsidRDefault="00281602" w:rsidP="00A11DF9">
      <w:pPr>
        <w:shd w:val="clear" w:color="auto" w:fill="FFFFFF"/>
        <w:ind w:firstLine="426"/>
        <w:jc w:val="both"/>
        <w:rPr>
          <w:rFonts w:eastAsia="Calibri"/>
          <w:sz w:val="22"/>
          <w:szCs w:val="22"/>
          <w:lang w:eastAsia="en-US"/>
        </w:rPr>
      </w:pPr>
      <w:r w:rsidRPr="00281602">
        <w:rPr>
          <w:bCs/>
          <w:sz w:val="22"/>
          <w:szCs w:val="22"/>
          <w:shd w:val="clear" w:color="auto" w:fill="FFFFFF"/>
          <w:lang w:eastAsia="en-US"/>
        </w:rPr>
        <w:t>3.</w:t>
      </w:r>
      <w:r w:rsidRPr="00281602">
        <w:rPr>
          <w:rFonts w:ascii="Calibri" w:eastAsia="Calibri" w:hAnsi="Calibri"/>
          <w:sz w:val="22"/>
          <w:szCs w:val="22"/>
          <w:lang w:eastAsia="en-US"/>
        </w:rPr>
        <w:t xml:space="preserve"> </w:t>
      </w:r>
      <w:r w:rsidRPr="00281602">
        <w:rPr>
          <w:bCs/>
          <w:sz w:val="22"/>
          <w:szCs w:val="22"/>
          <w:shd w:val="clear" w:color="auto" w:fill="FFFFFF"/>
          <w:lang w:eastAsia="en-US"/>
        </w:rPr>
        <w:t>Якуничева Ю. В., Забегалова Г. Н., Фатеева Н. В. создание и продвижение нового вологодского молочного продукта //Редакционная коллегия. – 2017. – С. 214.</w:t>
      </w: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shd w:val="clear" w:color="auto" w:fill="FFFFFF"/>
          <w:lang w:eastAsia="en-US"/>
        </w:rPr>
      </w:pPr>
    </w:p>
    <w:p w:rsidR="00281602" w:rsidRPr="001F2D25" w:rsidRDefault="00281602" w:rsidP="001F2D25">
      <w:pPr>
        <w:rPr>
          <w:rFonts w:eastAsia="Calibri"/>
          <w:sz w:val="22"/>
          <w:szCs w:val="22"/>
          <w:lang w:eastAsia="en-US"/>
        </w:rPr>
      </w:pPr>
      <w:r w:rsidRPr="00A11DF9">
        <w:rPr>
          <w:rFonts w:eastAsia="Calibri"/>
          <w:sz w:val="22"/>
          <w:szCs w:val="22"/>
          <w:lang w:eastAsia="en-US"/>
        </w:rPr>
        <w:t>УДК 664.38: 664.661</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Значимость пищевых волокон в питании</w:t>
      </w:r>
    </w:p>
    <w:p w:rsidR="00281602" w:rsidRPr="001360B4" w:rsidRDefault="00281602" w:rsidP="001360B4">
      <w:pPr>
        <w:jc w:val="center"/>
        <w:rPr>
          <w:rFonts w:eastAsia="Calibri"/>
          <w:b/>
          <w:sz w:val="24"/>
          <w:szCs w:val="24"/>
          <w:lang w:val="en-US" w:eastAsia="en-US"/>
        </w:rPr>
      </w:pPr>
      <w:r w:rsidRPr="00A11DF9">
        <w:rPr>
          <w:rFonts w:eastAsia="Calibri"/>
          <w:b/>
          <w:sz w:val="24"/>
          <w:szCs w:val="24"/>
          <w:lang w:val="en-US" w:eastAsia="en-US"/>
        </w:rPr>
        <w:t>Importance of dietary fiber in nutrition</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Звягинцева В. В.,</w:t>
      </w:r>
    </w:p>
    <w:p w:rsidR="00281602" w:rsidRPr="00281602" w:rsidRDefault="00A11DF9" w:rsidP="001F2D25">
      <w:pPr>
        <w:jc w:val="right"/>
        <w:rPr>
          <w:rFonts w:eastAsia="Calibri"/>
          <w:spacing w:val="-6"/>
          <w:sz w:val="22"/>
          <w:szCs w:val="22"/>
          <w:lang w:eastAsia="en-US"/>
        </w:rPr>
      </w:pPr>
      <w:r>
        <w:rPr>
          <w:rFonts w:eastAsia="Calibri"/>
          <w:spacing w:val="-6"/>
          <w:sz w:val="22"/>
          <w:szCs w:val="22"/>
          <w:lang w:eastAsia="en-US"/>
        </w:rPr>
        <w:t>магистрант 2 курса факультета</w:t>
      </w:r>
      <w:r w:rsidR="001F2D25">
        <w:rPr>
          <w:rFonts w:eastAsia="Calibri"/>
          <w:spacing w:val="-6"/>
          <w:sz w:val="22"/>
          <w:szCs w:val="22"/>
          <w:lang w:eastAsia="en-US"/>
        </w:rPr>
        <w:t xml:space="preserve"> </w:t>
      </w:r>
      <w:r w:rsidR="00281602" w:rsidRPr="00281602">
        <w:rPr>
          <w:rFonts w:eastAsia="Calibri"/>
          <w:spacing w:val="-6"/>
          <w:sz w:val="22"/>
          <w:szCs w:val="22"/>
          <w:lang w:eastAsia="en-US"/>
        </w:rPr>
        <w:t>перерабатывающих технологий</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Влащик Л. Г.,</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доцент кафедры технологии хранения</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 xml:space="preserve"> и переработки растениеводческой продукции</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Кубанский государственный аграрный</w:t>
      </w:r>
    </w:p>
    <w:p w:rsidR="00281602" w:rsidRDefault="00281602" w:rsidP="001F2D25">
      <w:pPr>
        <w:jc w:val="right"/>
        <w:rPr>
          <w:rFonts w:eastAsia="Calibri"/>
          <w:spacing w:val="-6"/>
          <w:sz w:val="22"/>
          <w:szCs w:val="22"/>
          <w:lang w:eastAsia="en-US"/>
        </w:rPr>
      </w:pPr>
      <w:r w:rsidRPr="00281602">
        <w:rPr>
          <w:rFonts w:eastAsia="Calibri"/>
          <w:spacing w:val="-6"/>
          <w:sz w:val="22"/>
          <w:szCs w:val="22"/>
          <w:lang w:eastAsia="en-US"/>
        </w:rPr>
        <w:t>университет имени И.</w:t>
      </w:r>
      <w:r w:rsidR="00A11DF9">
        <w:rPr>
          <w:rFonts w:eastAsia="Calibri"/>
          <w:spacing w:val="-6"/>
          <w:sz w:val="22"/>
          <w:szCs w:val="22"/>
          <w:lang w:eastAsia="en-US"/>
        </w:rPr>
        <w:t xml:space="preserve"> </w:t>
      </w:r>
      <w:r w:rsidRPr="00281602">
        <w:rPr>
          <w:rFonts w:eastAsia="Calibri"/>
          <w:spacing w:val="-6"/>
          <w:sz w:val="22"/>
          <w:szCs w:val="22"/>
          <w:lang w:eastAsia="en-US"/>
        </w:rPr>
        <w:t>Т.</w:t>
      </w:r>
      <w:r w:rsidR="00A11DF9">
        <w:rPr>
          <w:rFonts w:eastAsia="Calibri"/>
          <w:spacing w:val="-6"/>
          <w:sz w:val="22"/>
          <w:szCs w:val="22"/>
          <w:lang w:eastAsia="en-US"/>
        </w:rPr>
        <w:t xml:space="preserve"> </w:t>
      </w:r>
      <w:r w:rsidRPr="00281602">
        <w:rPr>
          <w:rFonts w:eastAsia="Calibri"/>
          <w:spacing w:val="-6"/>
          <w:sz w:val="22"/>
          <w:szCs w:val="22"/>
          <w:lang w:eastAsia="en-US"/>
        </w:rPr>
        <w:t>Трубилина</w:t>
      </w:r>
    </w:p>
    <w:p w:rsidR="001F2D25" w:rsidRPr="001F2D25" w:rsidRDefault="001F2D25" w:rsidP="001F2D25">
      <w:pPr>
        <w:jc w:val="right"/>
        <w:rPr>
          <w:rFonts w:eastAsia="Calibri"/>
          <w:i/>
          <w:sz w:val="22"/>
          <w:szCs w:val="22"/>
          <w:lang w:eastAsia="en-US"/>
        </w:rPr>
      </w:pP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АННОТАЦИЯ: Пищевые волокна на сегодняшний день явл</w:t>
      </w:r>
      <w:r w:rsidRPr="00A11DF9">
        <w:rPr>
          <w:rFonts w:eastAsia="Calibri"/>
          <w:sz w:val="22"/>
          <w:szCs w:val="22"/>
          <w:lang w:eastAsia="en-US"/>
        </w:rPr>
        <w:t>я</w:t>
      </w:r>
      <w:r w:rsidRPr="00A11DF9">
        <w:rPr>
          <w:rFonts w:eastAsia="Calibri"/>
          <w:sz w:val="22"/>
          <w:szCs w:val="22"/>
          <w:lang w:eastAsia="en-US"/>
        </w:rPr>
        <w:t>ются одним из самых востребованных функциональных ингредие</w:t>
      </w:r>
      <w:r w:rsidRPr="00A11DF9">
        <w:rPr>
          <w:rFonts w:eastAsia="Calibri"/>
          <w:sz w:val="22"/>
          <w:szCs w:val="22"/>
          <w:lang w:eastAsia="en-US"/>
        </w:rPr>
        <w:t>н</w:t>
      </w:r>
      <w:r w:rsidRPr="00A11DF9">
        <w:rPr>
          <w:rFonts w:eastAsia="Calibri"/>
          <w:sz w:val="22"/>
          <w:szCs w:val="22"/>
          <w:lang w:eastAsia="en-US"/>
        </w:rPr>
        <w:t>тов благодаря их многофункциональности.</w:t>
      </w:r>
    </w:p>
    <w:p w:rsidR="00281602" w:rsidRPr="00A11DF9" w:rsidRDefault="00281602" w:rsidP="00A11DF9">
      <w:pPr>
        <w:ind w:firstLine="426"/>
        <w:jc w:val="both"/>
        <w:rPr>
          <w:rFonts w:eastAsia="Calibri"/>
          <w:sz w:val="22"/>
          <w:szCs w:val="22"/>
          <w:lang w:val="en-US" w:eastAsia="en-US"/>
        </w:rPr>
      </w:pPr>
      <w:r w:rsidRPr="00A11DF9">
        <w:rPr>
          <w:color w:val="212121"/>
          <w:sz w:val="22"/>
          <w:szCs w:val="22"/>
          <w:lang w:val="en-US"/>
        </w:rPr>
        <w:lastRenderedPageBreak/>
        <w:t>ABSTRACT:</w:t>
      </w:r>
      <w:r w:rsidRPr="00A11DF9">
        <w:rPr>
          <w:rFonts w:eastAsia="Calibri"/>
          <w:sz w:val="22"/>
          <w:szCs w:val="22"/>
          <w:lang w:val="en-US" w:eastAsia="en-US"/>
        </w:rPr>
        <w:t xml:space="preserve"> Dietary fiber today is one of the most sought-after functional ingredients due to their multifunctionality.</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КЛЮЧЕВЫЕ СЛОВА: пищевые волокна, отруби ржаные, о</w:t>
      </w:r>
      <w:r w:rsidRPr="00A11DF9">
        <w:rPr>
          <w:rFonts w:eastAsia="Calibri"/>
          <w:sz w:val="22"/>
          <w:szCs w:val="22"/>
          <w:lang w:eastAsia="en-US"/>
        </w:rPr>
        <w:t>т</w:t>
      </w:r>
      <w:r w:rsidRPr="00A11DF9">
        <w:rPr>
          <w:rFonts w:eastAsia="Calibri"/>
          <w:sz w:val="22"/>
          <w:szCs w:val="22"/>
          <w:lang w:eastAsia="en-US"/>
        </w:rPr>
        <w:t>руби пшеничные, специальное питание.</w:t>
      </w:r>
    </w:p>
    <w:p w:rsidR="00281602" w:rsidRPr="00A11DF9" w:rsidRDefault="00281602" w:rsidP="00A11DF9">
      <w:pPr>
        <w:ind w:firstLine="426"/>
        <w:jc w:val="both"/>
        <w:rPr>
          <w:rFonts w:eastAsia="Calibri"/>
          <w:sz w:val="22"/>
          <w:szCs w:val="22"/>
          <w:lang w:val="en-US" w:eastAsia="en-US"/>
        </w:rPr>
      </w:pPr>
      <w:r w:rsidRPr="00A11DF9">
        <w:rPr>
          <w:rFonts w:eastAsia="Calibri"/>
          <w:sz w:val="22"/>
          <w:szCs w:val="22"/>
          <w:lang w:val="en-US" w:eastAsia="en-US"/>
        </w:rPr>
        <w:t>KEY WORDS: dietary fiber, rye bran, wheat bran, special food.</w:t>
      </w:r>
    </w:p>
    <w:p w:rsidR="00281602" w:rsidRPr="00A11DF9" w:rsidRDefault="00281602" w:rsidP="00A11DF9">
      <w:pPr>
        <w:ind w:firstLine="426"/>
        <w:jc w:val="both"/>
        <w:rPr>
          <w:rFonts w:eastAsia="Calibri"/>
          <w:sz w:val="22"/>
          <w:szCs w:val="22"/>
          <w:lang w:val="en-US" w:eastAsia="en-US"/>
        </w:rPr>
      </w:pP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Особенности рациона питания современного человека пост</w:t>
      </w:r>
      <w:r w:rsidRPr="00A11DF9">
        <w:rPr>
          <w:rFonts w:eastAsia="Calibri"/>
          <w:sz w:val="22"/>
          <w:szCs w:val="22"/>
          <w:lang w:eastAsia="en-US"/>
        </w:rPr>
        <w:t>е</w:t>
      </w:r>
      <w:r w:rsidRPr="00A11DF9">
        <w:rPr>
          <w:rFonts w:eastAsia="Calibri"/>
          <w:sz w:val="22"/>
          <w:szCs w:val="22"/>
          <w:lang w:eastAsia="en-US"/>
        </w:rPr>
        <w:t>пенно привели к дефициту в питании грубоволокнистых баллас</w:t>
      </w:r>
      <w:r w:rsidRPr="00A11DF9">
        <w:rPr>
          <w:rFonts w:eastAsia="Calibri"/>
          <w:sz w:val="22"/>
          <w:szCs w:val="22"/>
          <w:lang w:eastAsia="en-US"/>
        </w:rPr>
        <w:t>т</w:t>
      </w:r>
      <w:r w:rsidRPr="00A11DF9">
        <w:rPr>
          <w:rFonts w:eastAsia="Calibri"/>
          <w:sz w:val="22"/>
          <w:szCs w:val="22"/>
          <w:lang w:eastAsia="en-US"/>
        </w:rPr>
        <w:t>ных веществ. Отсутствие пищевых волокон в питании может в</w:t>
      </w:r>
      <w:r w:rsidRPr="00A11DF9">
        <w:rPr>
          <w:rFonts w:eastAsia="Calibri"/>
          <w:sz w:val="22"/>
          <w:szCs w:val="22"/>
          <w:lang w:eastAsia="en-US"/>
        </w:rPr>
        <w:t>ы</w:t>
      </w:r>
      <w:r w:rsidRPr="00A11DF9">
        <w:rPr>
          <w:rFonts w:eastAsia="Calibri"/>
          <w:sz w:val="22"/>
          <w:szCs w:val="22"/>
          <w:lang w:eastAsia="en-US"/>
        </w:rPr>
        <w:t>звать развитие ряда заболеваний, таких как рак толстой кишки, си</w:t>
      </w:r>
      <w:r w:rsidRPr="00A11DF9">
        <w:rPr>
          <w:rFonts w:eastAsia="Calibri"/>
          <w:sz w:val="22"/>
          <w:szCs w:val="22"/>
          <w:lang w:eastAsia="en-US"/>
        </w:rPr>
        <w:t>н</w:t>
      </w:r>
      <w:r w:rsidRPr="00A11DF9">
        <w:rPr>
          <w:rFonts w:eastAsia="Calibri"/>
          <w:sz w:val="22"/>
          <w:szCs w:val="22"/>
          <w:lang w:eastAsia="en-US"/>
        </w:rPr>
        <w:t>дром раздраженного кишечника, желчнокаменная болезнь, саха</w:t>
      </w:r>
      <w:r w:rsidRPr="00A11DF9">
        <w:rPr>
          <w:rFonts w:eastAsia="Calibri"/>
          <w:sz w:val="22"/>
          <w:szCs w:val="22"/>
          <w:lang w:eastAsia="en-US"/>
        </w:rPr>
        <w:t>р</w:t>
      </w:r>
      <w:r w:rsidRPr="00A11DF9">
        <w:rPr>
          <w:rFonts w:eastAsia="Calibri"/>
          <w:sz w:val="22"/>
          <w:szCs w:val="22"/>
          <w:lang w:eastAsia="en-US"/>
        </w:rPr>
        <w:t>ный диабет, ожирение и другие. Основными источниками пищевых волокон являются злаковые культуры и продукты их переработки - ржаные и пшеничные отруби. Разработка продуктов специального питания, обогащенных пищевыми волокнами, позволит устранить их дефицит и обеспечить профилактику различного рода заболев</w:t>
      </w:r>
      <w:r w:rsidRPr="00A11DF9">
        <w:rPr>
          <w:rFonts w:eastAsia="Calibri"/>
          <w:sz w:val="22"/>
          <w:szCs w:val="22"/>
          <w:lang w:eastAsia="en-US"/>
        </w:rPr>
        <w:t>а</w:t>
      </w:r>
      <w:r w:rsidRPr="00A11DF9">
        <w:rPr>
          <w:rFonts w:eastAsia="Calibri"/>
          <w:sz w:val="22"/>
          <w:szCs w:val="22"/>
          <w:lang w:eastAsia="en-US"/>
        </w:rPr>
        <w:t>ний связанных с питанием[1, 2].</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С целью обоснования целесообразности использования отрубей злаковых культур как источника пищевых волокон в создании пр</w:t>
      </w:r>
      <w:r w:rsidRPr="00A11DF9">
        <w:rPr>
          <w:rFonts w:eastAsia="Calibri"/>
          <w:sz w:val="22"/>
          <w:szCs w:val="22"/>
          <w:lang w:eastAsia="en-US"/>
        </w:rPr>
        <w:t>о</w:t>
      </w:r>
      <w:r w:rsidRPr="00A11DF9">
        <w:rPr>
          <w:rFonts w:eastAsia="Calibri"/>
          <w:sz w:val="22"/>
          <w:szCs w:val="22"/>
          <w:lang w:eastAsia="en-US"/>
        </w:rPr>
        <w:t>дуктов питания специального назначения проводились экспериме</w:t>
      </w:r>
      <w:r w:rsidRPr="00A11DF9">
        <w:rPr>
          <w:rFonts w:eastAsia="Calibri"/>
          <w:sz w:val="22"/>
          <w:szCs w:val="22"/>
          <w:lang w:eastAsia="en-US"/>
        </w:rPr>
        <w:t>н</w:t>
      </w:r>
      <w:r w:rsidRPr="00A11DF9">
        <w:rPr>
          <w:rFonts w:eastAsia="Calibri"/>
          <w:sz w:val="22"/>
          <w:szCs w:val="22"/>
          <w:lang w:eastAsia="en-US"/>
        </w:rPr>
        <w:t>тальные исследования химического состава отрубей пшеничных и ржаных [4,5].</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Анализ экспериментальных данных витаминно-минерального состава показывает, что отруби ржаные по сравнению с пшеничн</w:t>
      </w:r>
      <w:r w:rsidRPr="00A11DF9">
        <w:rPr>
          <w:rFonts w:eastAsia="Calibri"/>
          <w:sz w:val="22"/>
          <w:szCs w:val="22"/>
          <w:lang w:eastAsia="en-US"/>
        </w:rPr>
        <w:t>ы</w:t>
      </w:r>
      <w:r w:rsidRPr="00A11DF9">
        <w:rPr>
          <w:rFonts w:eastAsia="Calibri"/>
          <w:sz w:val="22"/>
          <w:szCs w:val="22"/>
          <w:lang w:eastAsia="en-US"/>
        </w:rPr>
        <w:t>ми характеризуются более высоким содержанием витамина В1 (2,3±0,7мг/100г), а также калия (7,2±1,4г/кг), натрия (42,1±8,4г/кг) и кальция (12,6±2,5г/кг). Исследованием аминокислотного состава отрубей злаковых культур выявлено, что отруби пшеничные и рж</w:t>
      </w:r>
      <w:r w:rsidRPr="00A11DF9">
        <w:rPr>
          <w:rFonts w:eastAsia="Calibri"/>
          <w:sz w:val="22"/>
          <w:szCs w:val="22"/>
          <w:lang w:eastAsia="en-US"/>
        </w:rPr>
        <w:t>а</w:t>
      </w:r>
      <w:r w:rsidRPr="00A11DF9">
        <w:rPr>
          <w:rFonts w:eastAsia="Calibri"/>
          <w:sz w:val="22"/>
          <w:szCs w:val="22"/>
          <w:lang w:eastAsia="en-US"/>
        </w:rPr>
        <w:t>ные являются хорошим источником незаменимых аминокислот. По результатам полученных данных аминокислотного состава был ра</w:t>
      </w:r>
      <w:r w:rsidRPr="00A11DF9">
        <w:rPr>
          <w:rFonts w:eastAsia="Calibri"/>
          <w:sz w:val="22"/>
          <w:szCs w:val="22"/>
          <w:lang w:eastAsia="en-US"/>
        </w:rPr>
        <w:t>с</w:t>
      </w:r>
      <w:r w:rsidRPr="00A11DF9">
        <w:rPr>
          <w:rFonts w:eastAsia="Calibri"/>
          <w:sz w:val="22"/>
          <w:szCs w:val="22"/>
          <w:lang w:eastAsia="en-US"/>
        </w:rPr>
        <w:t>считан показатель аминокислотного скора. Установлено, что первой лимитирующей аминокислотой белка отрубей ржаных является т</w:t>
      </w:r>
      <w:r w:rsidRPr="00A11DF9">
        <w:rPr>
          <w:rFonts w:eastAsia="Calibri"/>
          <w:sz w:val="22"/>
          <w:szCs w:val="22"/>
          <w:lang w:eastAsia="en-US"/>
        </w:rPr>
        <w:t>и</w:t>
      </w:r>
      <w:r w:rsidRPr="00A11DF9">
        <w:rPr>
          <w:rFonts w:eastAsia="Calibri"/>
          <w:sz w:val="22"/>
          <w:szCs w:val="22"/>
          <w:lang w:eastAsia="en-US"/>
        </w:rPr>
        <w:t>розин (71,05 %), пшеничных- метионин (106,36 %). Именно эти аминокислоты будут определять степень использования белков о</w:t>
      </w:r>
      <w:r w:rsidRPr="00A11DF9">
        <w:rPr>
          <w:rFonts w:eastAsia="Calibri"/>
          <w:sz w:val="22"/>
          <w:szCs w:val="22"/>
          <w:lang w:eastAsia="en-US"/>
        </w:rPr>
        <w:t>т</w:t>
      </w:r>
      <w:r w:rsidRPr="00A11DF9">
        <w:rPr>
          <w:rFonts w:eastAsia="Calibri"/>
          <w:sz w:val="22"/>
          <w:szCs w:val="22"/>
          <w:lang w:eastAsia="en-US"/>
        </w:rPr>
        <w:t>рубей в организме человека.</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Отруби ржаные и пшеничные отличаются существенным с</w:t>
      </w:r>
      <w:r w:rsidRPr="00A11DF9">
        <w:rPr>
          <w:rFonts w:eastAsia="Calibri"/>
          <w:sz w:val="22"/>
          <w:szCs w:val="22"/>
          <w:lang w:eastAsia="en-US"/>
        </w:rPr>
        <w:t>о</w:t>
      </w:r>
      <w:r w:rsidRPr="00A11DF9">
        <w:rPr>
          <w:rFonts w:eastAsia="Calibri"/>
          <w:sz w:val="22"/>
          <w:szCs w:val="22"/>
          <w:lang w:eastAsia="en-US"/>
        </w:rPr>
        <w:t>держанием пищевых волокон. В отрубях ржаных содержание кле</w:t>
      </w:r>
      <w:r w:rsidRPr="00A11DF9">
        <w:rPr>
          <w:rFonts w:eastAsia="Calibri"/>
          <w:sz w:val="22"/>
          <w:szCs w:val="22"/>
          <w:lang w:eastAsia="en-US"/>
        </w:rPr>
        <w:t>т</w:t>
      </w:r>
      <w:r w:rsidRPr="00A11DF9">
        <w:rPr>
          <w:rFonts w:eastAsia="Calibri"/>
          <w:sz w:val="22"/>
          <w:szCs w:val="22"/>
          <w:lang w:eastAsia="en-US"/>
        </w:rPr>
        <w:t>чатки - 18±2 %; гемицеллюлозы - 36±1 %; лигнина – 15,0 %. Масс</w:t>
      </w:r>
      <w:r w:rsidRPr="00A11DF9">
        <w:rPr>
          <w:rFonts w:eastAsia="Calibri"/>
          <w:sz w:val="22"/>
          <w:szCs w:val="22"/>
          <w:lang w:eastAsia="en-US"/>
        </w:rPr>
        <w:t>о</w:t>
      </w:r>
      <w:r w:rsidRPr="00A11DF9">
        <w:rPr>
          <w:rFonts w:eastAsia="Calibri"/>
          <w:sz w:val="22"/>
          <w:szCs w:val="22"/>
          <w:lang w:eastAsia="en-US"/>
        </w:rPr>
        <w:lastRenderedPageBreak/>
        <w:t>вые доли пищевых волокон отрубей пшеничных отличаются мен</w:t>
      </w:r>
      <w:r w:rsidRPr="00A11DF9">
        <w:rPr>
          <w:rFonts w:eastAsia="Calibri"/>
          <w:sz w:val="22"/>
          <w:szCs w:val="22"/>
          <w:lang w:eastAsia="en-US"/>
        </w:rPr>
        <w:t>ь</w:t>
      </w:r>
      <w:r w:rsidRPr="00A11DF9">
        <w:rPr>
          <w:rFonts w:eastAsia="Calibri"/>
          <w:sz w:val="22"/>
          <w:szCs w:val="22"/>
          <w:lang w:eastAsia="en-US"/>
        </w:rPr>
        <w:t>шей величиной клетчатки – 10,5±2 %; гемицеллюлозы – 24,5±0,5 %; лигнина – 11,5 %. Пищевые волокна отрубей улучшают перистал</w:t>
      </w:r>
      <w:r w:rsidRPr="00A11DF9">
        <w:rPr>
          <w:rFonts w:eastAsia="Calibri"/>
          <w:sz w:val="22"/>
          <w:szCs w:val="22"/>
          <w:lang w:eastAsia="en-US"/>
        </w:rPr>
        <w:t>ь</w:t>
      </w:r>
      <w:r w:rsidRPr="00A11DF9">
        <w:rPr>
          <w:rFonts w:eastAsia="Calibri"/>
          <w:sz w:val="22"/>
          <w:szCs w:val="22"/>
          <w:lang w:eastAsia="en-US"/>
        </w:rPr>
        <w:t>тику кишечника, понижают уровень холестерина в крови и жел</w:t>
      </w:r>
      <w:r w:rsidRPr="00A11DF9">
        <w:rPr>
          <w:rFonts w:eastAsia="Calibri"/>
          <w:sz w:val="22"/>
          <w:szCs w:val="22"/>
          <w:lang w:eastAsia="en-US"/>
        </w:rPr>
        <w:t>ч</w:t>
      </w:r>
      <w:r w:rsidRPr="00A11DF9">
        <w:rPr>
          <w:rFonts w:eastAsia="Calibri"/>
          <w:sz w:val="22"/>
          <w:szCs w:val="22"/>
          <w:lang w:eastAsia="en-US"/>
        </w:rPr>
        <w:t>ных кислот, оказывают сахаропонижающее действие при сахарном диабете [2,3].</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Результаты исследований позволяют считать отруби злаковых культур перспективным ингредиентом в создании продуктов спец</w:t>
      </w:r>
      <w:r w:rsidRPr="00A11DF9">
        <w:rPr>
          <w:rFonts w:eastAsia="Calibri"/>
          <w:sz w:val="22"/>
          <w:szCs w:val="22"/>
          <w:lang w:eastAsia="en-US"/>
        </w:rPr>
        <w:t>и</w:t>
      </w:r>
      <w:r w:rsidRPr="00A11DF9">
        <w:rPr>
          <w:rFonts w:eastAsia="Calibri"/>
          <w:sz w:val="22"/>
          <w:szCs w:val="22"/>
          <w:lang w:eastAsia="en-US"/>
        </w:rPr>
        <w:t>ального питания [1].</w:t>
      </w:r>
    </w:p>
    <w:p w:rsidR="00281602" w:rsidRPr="00A11DF9" w:rsidRDefault="00281602" w:rsidP="00A11DF9">
      <w:pPr>
        <w:ind w:firstLine="426"/>
        <w:jc w:val="both"/>
        <w:rPr>
          <w:rFonts w:eastAsia="Calibri"/>
          <w:sz w:val="22"/>
          <w:szCs w:val="22"/>
          <w:lang w:eastAsia="en-US"/>
        </w:rPr>
      </w:pPr>
    </w:p>
    <w:p w:rsidR="00281602" w:rsidRPr="00A11DF9" w:rsidRDefault="00281602" w:rsidP="00A11DF9">
      <w:pPr>
        <w:ind w:firstLine="426"/>
        <w:jc w:val="center"/>
        <w:rPr>
          <w:rFonts w:eastAsia="Calibri"/>
          <w:sz w:val="22"/>
          <w:szCs w:val="22"/>
          <w:lang w:eastAsia="en-US"/>
        </w:rPr>
      </w:pPr>
      <w:r w:rsidRPr="00A11DF9">
        <w:rPr>
          <w:rFonts w:eastAsia="Calibri"/>
          <w:sz w:val="22"/>
          <w:szCs w:val="22"/>
          <w:lang w:eastAsia="en-US"/>
        </w:rPr>
        <w:t>Список литературы</w:t>
      </w:r>
    </w:p>
    <w:p w:rsidR="00281602" w:rsidRPr="00A11DF9" w:rsidRDefault="00281602" w:rsidP="00A11DF9">
      <w:pPr>
        <w:numPr>
          <w:ilvl w:val="0"/>
          <w:numId w:val="21"/>
        </w:numPr>
        <w:spacing w:after="160"/>
        <w:ind w:left="0" w:firstLine="426"/>
        <w:contextualSpacing/>
        <w:jc w:val="both"/>
        <w:rPr>
          <w:rFonts w:eastAsia="Calibri"/>
          <w:sz w:val="22"/>
          <w:szCs w:val="22"/>
          <w:lang w:eastAsia="en-US"/>
        </w:rPr>
      </w:pPr>
      <w:r w:rsidRPr="00A11DF9">
        <w:rPr>
          <w:rFonts w:eastAsia="Calibri"/>
          <w:sz w:val="22"/>
          <w:szCs w:val="22"/>
          <w:lang w:eastAsia="en-US"/>
        </w:rPr>
        <w:t>Ардатская М.Д. Клиническое применение пищевых вол</w:t>
      </w:r>
      <w:r w:rsidRPr="00A11DF9">
        <w:rPr>
          <w:rFonts w:eastAsia="Calibri"/>
          <w:sz w:val="22"/>
          <w:szCs w:val="22"/>
          <w:lang w:eastAsia="en-US"/>
        </w:rPr>
        <w:t>о</w:t>
      </w:r>
      <w:r w:rsidRPr="00A11DF9">
        <w:rPr>
          <w:rFonts w:eastAsia="Calibri"/>
          <w:sz w:val="22"/>
          <w:szCs w:val="22"/>
          <w:lang w:eastAsia="en-US"/>
        </w:rPr>
        <w:t>кон: [метод. пособие] / М. Д. Ардатская. – Москва: 4ТЕ Арт, 2010. – 48 с.</w:t>
      </w:r>
    </w:p>
    <w:p w:rsidR="00281602" w:rsidRPr="00A11DF9" w:rsidRDefault="00281602" w:rsidP="00A11DF9">
      <w:pPr>
        <w:numPr>
          <w:ilvl w:val="0"/>
          <w:numId w:val="21"/>
        </w:numPr>
        <w:spacing w:after="160"/>
        <w:ind w:left="0" w:firstLine="426"/>
        <w:contextualSpacing/>
        <w:jc w:val="both"/>
        <w:rPr>
          <w:rFonts w:eastAsia="Calibri"/>
          <w:sz w:val="22"/>
          <w:szCs w:val="22"/>
          <w:lang w:eastAsia="en-US"/>
        </w:rPr>
      </w:pPr>
      <w:r w:rsidRPr="00A11DF9">
        <w:rPr>
          <w:rFonts w:eastAsia="Calibri"/>
          <w:sz w:val="22"/>
          <w:szCs w:val="22"/>
          <w:lang w:eastAsia="en-US"/>
        </w:rPr>
        <w:t>Влащик, Л. Г. Технологическая оценка различных сортов фундука для переработки на предприятии ЗАО «Орехпром» /Л. Г. Влащик, А. А. Хашир // Научн. журнал КубГАУ [Электронный р</w:t>
      </w:r>
      <w:r w:rsidRPr="00A11DF9">
        <w:rPr>
          <w:rFonts w:eastAsia="Calibri"/>
          <w:sz w:val="22"/>
          <w:szCs w:val="22"/>
          <w:lang w:eastAsia="en-US"/>
        </w:rPr>
        <w:t>е</w:t>
      </w:r>
      <w:r w:rsidRPr="00A11DF9">
        <w:rPr>
          <w:rFonts w:eastAsia="Calibri"/>
          <w:sz w:val="22"/>
          <w:szCs w:val="22"/>
          <w:lang w:eastAsia="en-US"/>
        </w:rPr>
        <w:t>сурс]. – Краснодар: КубГАУ, 2006. - № 02 (18). – Шифр Информр</w:t>
      </w:r>
      <w:r w:rsidRPr="00A11DF9">
        <w:rPr>
          <w:rFonts w:eastAsia="Calibri"/>
          <w:sz w:val="22"/>
          <w:szCs w:val="22"/>
          <w:lang w:eastAsia="en-US"/>
        </w:rPr>
        <w:t>е</w:t>
      </w:r>
      <w:r w:rsidRPr="00A11DF9">
        <w:rPr>
          <w:rFonts w:eastAsia="Calibri"/>
          <w:sz w:val="22"/>
          <w:szCs w:val="22"/>
          <w:lang w:eastAsia="en-US"/>
        </w:rPr>
        <w:t xml:space="preserve">гистра: </w:t>
      </w:r>
      <w:r w:rsidRPr="00A11DF9">
        <w:rPr>
          <w:sz w:val="22"/>
          <w:szCs w:val="22"/>
          <w:lang w:eastAsia="en-US"/>
        </w:rPr>
        <w:t xml:space="preserve">IDA [article ID]: 0180602009. </w:t>
      </w:r>
      <w:r w:rsidRPr="00A11DF9">
        <w:rPr>
          <w:rFonts w:eastAsia="Calibri"/>
          <w:sz w:val="22"/>
          <w:szCs w:val="22"/>
          <w:lang w:eastAsia="en-US"/>
        </w:rPr>
        <w:t xml:space="preserve">– Режим доступа: </w:t>
      </w:r>
      <w:hyperlink r:id="rId128" w:history="1">
        <w:r w:rsidRPr="00A11DF9">
          <w:rPr>
            <w:rFonts w:eastAsia="Calibri"/>
            <w:sz w:val="22"/>
            <w:szCs w:val="22"/>
            <w:lang w:eastAsia="en-US"/>
          </w:rPr>
          <w:t>http://ej.kubagro.ru/archive.asp?n=18</w:t>
        </w:r>
      </w:hyperlink>
    </w:p>
    <w:p w:rsidR="00281602" w:rsidRPr="00A11DF9" w:rsidRDefault="00281602" w:rsidP="00A11DF9">
      <w:pPr>
        <w:numPr>
          <w:ilvl w:val="0"/>
          <w:numId w:val="21"/>
        </w:numPr>
        <w:spacing w:after="160"/>
        <w:ind w:left="0" w:firstLine="426"/>
        <w:contextualSpacing/>
        <w:jc w:val="both"/>
        <w:rPr>
          <w:rFonts w:eastAsia="Calibri"/>
          <w:sz w:val="22"/>
          <w:szCs w:val="22"/>
          <w:lang w:eastAsia="en-US"/>
        </w:rPr>
      </w:pPr>
      <w:r w:rsidRPr="00A11DF9">
        <w:rPr>
          <w:rFonts w:eastAsia="Calibri"/>
          <w:sz w:val="22"/>
          <w:szCs w:val="22"/>
          <w:lang w:eastAsia="en-US"/>
        </w:rPr>
        <w:t>Внукова, Т.Н. Новые виды продукции из плодов кормового арбуза с профилактическими свойствами /Т.Н. Внукова, Л.Г. Вл</w:t>
      </w:r>
      <w:r w:rsidRPr="00A11DF9">
        <w:rPr>
          <w:rFonts w:eastAsia="Calibri"/>
          <w:sz w:val="22"/>
          <w:szCs w:val="22"/>
          <w:lang w:eastAsia="en-US"/>
        </w:rPr>
        <w:t>а</w:t>
      </w:r>
      <w:r w:rsidRPr="00A11DF9">
        <w:rPr>
          <w:rFonts w:eastAsia="Calibri"/>
          <w:sz w:val="22"/>
          <w:szCs w:val="22"/>
          <w:lang w:eastAsia="en-US"/>
        </w:rPr>
        <w:t xml:space="preserve">щик, В.Д. Надыкта // Научное обеспечение агропромышленного комплекса :сб. научн. тр. /КубГАУ. –  Краснодар, 2012. – с. 195-196. </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4. Лунева, О.Н. Разработка функциональных продуктов пит</w:t>
      </w:r>
      <w:r w:rsidRPr="00A11DF9">
        <w:rPr>
          <w:rFonts w:eastAsia="Calibri"/>
          <w:sz w:val="22"/>
          <w:szCs w:val="22"/>
          <w:lang w:eastAsia="en-US"/>
        </w:rPr>
        <w:t>а</w:t>
      </w:r>
      <w:r w:rsidRPr="00A11DF9">
        <w:rPr>
          <w:rFonts w:eastAsia="Calibri"/>
          <w:sz w:val="22"/>
          <w:szCs w:val="22"/>
          <w:lang w:eastAsia="en-US"/>
        </w:rPr>
        <w:t>ния специального назначения / О.Н. Лунева, П.М. Глушкова // Научные записки ОрелГИЭТ– 2016. – №2. – С. 158-160.</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5. Позняковский, В.М. Физиология питания: Учебник [Эле</w:t>
      </w:r>
      <w:r w:rsidRPr="00A11DF9">
        <w:rPr>
          <w:rFonts w:eastAsia="Calibri"/>
          <w:sz w:val="22"/>
          <w:szCs w:val="22"/>
          <w:lang w:eastAsia="en-US"/>
        </w:rPr>
        <w:t>к</w:t>
      </w:r>
      <w:r w:rsidRPr="00A11DF9">
        <w:rPr>
          <w:rFonts w:eastAsia="Calibri"/>
          <w:sz w:val="22"/>
          <w:szCs w:val="22"/>
          <w:lang w:eastAsia="en-US"/>
        </w:rPr>
        <w:t>тронный ресурс]: учеб. / В.М. Позняковский, Т.М. Дроздова, П.Е. Влощинский. — Электрон. дан. — Санкт-Петербург: Лань, 2018. — 432 с.</w:t>
      </w:r>
    </w:p>
    <w:p w:rsidR="00281602" w:rsidRPr="00281602" w:rsidRDefault="00281602" w:rsidP="00281602">
      <w:pPr>
        <w:jc w:val="both"/>
        <w:rPr>
          <w:rFonts w:eastAsia="Calibri"/>
          <w:sz w:val="22"/>
          <w:szCs w:val="22"/>
          <w:lang w:eastAsia="en-US"/>
        </w:rPr>
      </w:pPr>
    </w:p>
    <w:p w:rsidR="00A11DF9" w:rsidRPr="00281602" w:rsidRDefault="000D0D2D" w:rsidP="000D0D2D">
      <w:pPr>
        <w:rPr>
          <w:rFonts w:eastAsia="Calibri"/>
          <w:color w:val="000000"/>
          <w:sz w:val="22"/>
          <w:szCs w:val="22"/>
          <w:shd w:val="clear" w:color="auto" w:fill="FFFFFF"/>
          <w:lang w:eastAsia="en-US"/>
        </w:rPr>
      </w:pPr>
      <w:r>
        <w:rPr>
          <w:rFonts w:eastAsia="Calibri"/>
          <w:color w:val="000000"/>
          <w:sz w:val="22"/>
          <w:szCs w:val="22"/>
          <w:shd w:val="clear" w:color="auto" w:fill="FFFFFF"/>
          <w:lang w:eastAsia="en-US"/>
        </w:rPr>
        <w:br w:type="page"/>
      </w:r>
    </w:p>
    <w:p w:rsid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613.22</w:t>
      </w:r>
    </w:p>
    <w:p w:rsidR="00A11DF9" w:rsidRPr="00281602" w:rsidRDefault="00A11DF9" w:rsidP="00281602">
      <w:pPr>
        <w:jc w:val="both"/>
        <w:rPr>
          <w:rFonts w:eastAsia="Calibri"/>
          <w:sz w:val="22"/>
          <w:szCs w:val="22"/>
          <w:lang w:eastAsia="en-US"/>
        </w:rPr>
      </w:pPr>
    </w:p>
    <w:p w:rsidR="00281602" w:rsidRPr="00281602" w:rsidRDefault="00281602" w:rsidP="00281602">
      <w:pPr>
        <w:jc w:val="center"/>
        <w:rPr>
          <w:rFonts w:eastAsia="Calibri"/>
          <w:b/>
          <w:sz w:val="24"/>
          <w:szCs w:val="22"/>
          <w:lang w:eastAsia="en-US"/>
        </w:rPr>
      </w:pPr>
      <w:r w:rsidRPr="00281602">
        <w:rPr>
          <w:rFonts w:eastAsia="Calibri"/>
          <w:b/>
          <w:sz w:val="24"/>
          <w:szCs w:val="22"/>
          <w:lang w:eastAsia="en-US"/>
        </w:rPr>
        <w:t xml:space="preserve">Особенности питания детей младшего </w:t>
      </w:r>
    </w:p>
    <w:p w:rsidR="00281602" w:rsidRPr="00281602" w:rsidRDefault="00281602" w:rsidP="00281602">
      <w:pPr>
        <w:jc w:val="center"/>
        <w:rPr>
          <w:rFonts w:eastAsia="Calibri"/>
          <w:b/>
          <w:sz w:val="24"/>
          <w:szCs w:val="22"/>
          <w:lang w:eastAsia="en-US"/>
        </w:rPr>
      </w:pPr>
      <w:r w:rsidRPr="00281602">
        <w:rPr>
          <w:rFonts w:eastAsia="Calibri"/>
          <w:b/>
          <w:sz w:val="24"/>
          <w:szCs w:val="22"/>
          <w:lang w:eastAsia="en-US"/>
        </w:rPr>
        <w:t>школьного возраста</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Peculiarities of nutrition of children of primary school age</w:t>
      </w:r>
    </w:p>
    <w:p w:rsidR="00281602" w:rsidRPr="00281602" w:rsidRDefault="00281602" w:rsidP="00281602">
      <w:pPr>
        <w:jc w:val="both"/>
        <w:rPr>
          <w:rFonts w:eastAsia="Calibri"/>
          <w:sz w:val="24"/>
          <w:szCs w:val="24"/>
          <w:lang w:val="en-US"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Иванцова Е.</w:t>
      </w:r>
      <w:r w:rsidR="00A11DF9">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студентка 2-го курса факультета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Соболь И.</w:t>
      </w:r>
      <w:r w:rsidR="00A11DF9">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и переработки растениеводческой продукции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имени И.</w:t>
      </w:r>
      <w:r w:rsidR="00A11DF9">
        <w:rPr>
          <w:rFonts w:eastAsia="Calibri"/>
          <w:sz w:val="22"/>
          <w:szCs w:val="22"/>
          <w:lang w:eastAsia="en-US"/>
        </w:rPr>
        <w:t xml:space="preserve"> </w:t>
      </w:r>
      <w:r w:rsidRPr="00281602">
        <w:rPr>
          <w:rFonts w:eastAsia="Calibri"/>
          <w:sz w:val="22"/>
          <w:szCs w:val="22"/>
          <w:lang w:eastAsia="en-US"/>
        </w:rPr>
        <w:t>Т.</w:t>
      </w:r>
      <w:r w:rsidR="00A11DF9">
        <w:rPr>
          <w:rFonts w:eastAsia="Calibri"/>
          <w:sz w:val="22"/>
          <w:szCs w:val="22"/>
          <w:lang w:eastAsia="en-US"/>
        </w:rPr>
        <w:t xml:space="preserve"> </w:t>
      </w:r>
      <w:r w:rsidRPr="00281602">
        <w:rPr>
          <w:rFonts w:eastAsia="Calibri"/>
          <w:sz w:val="22"/>
          <w:szCs w:val="22"/>
          <w:lang w:eastAsia="en-US"/>
        </w:rPr>
        <w:t>Трубилина</w:t>
      </w:r>
    </w:p>
    <w:p w:rsidR="00281602" w:rsidRPr="00281602" w:rsidRDefault="00281602" w:rsidP="00281602">
      <w:pPr>
        <w:jc w:val="both"/>
        <w:rPr>
          <w:rFonts w:eastAsia="Calibri"/>
          <w:sz w:val="22"/>
          <w:szCs w:val="22"/>
          <w:lang w:eastAsia="en-US"/>
        </w:rPr>
      </w:pPr>
    </w:p>
    <w:p w:rsidR="00281602" w:rsidRPr="00281602" w:rsidRDefault="00281602" w:rsidP="00A11DF9">
      <w:pPr>
        <w:ind w:firstLine="426"/>
        <w:jc w:val="both"/>
        <w:rPr>
          <w:rFonts w:eastAsia="Calibri"/>
          <w:caps/>
          <w:sz w:val="22"/>
          <w:szCs w:val="22"/>
          <w:lang w:eastAsia="en-US"/>
        </w:rPr>
      </w:pPr>
      <w:r w:rsidRPr="00281602">
        <w:rPr>
          <w:rFonts w:eastAsia="Calibri"/>
          <w:caps/>
          <w:sz w:val="22"/>
          <w:szCs w:val="22"/>
          <w:lang w:eastAsia="en-US"/>
        </w:rPr>
        <w:t xml:space="preserve">Аннотация: </w:t>
      </w:r>
      <w:r w:rsidRPr="00281602">
        <w:rPr>
          <w:rFonts w:eastAsia="Calibri"/>
          <w:sz w:val="22"/>
          <w:szCs w:val="22"/>
          <w:lang w:eastAsia="en-US"/>
        </w:rPr>
        <w:t>Рассматривают проблемы питания детей мла</w:t>
      </w:r>
      <w:r w:rsidRPr="00281602">
        <w:rPr>
          <w:rFonts w:eastAsia="Calibri"/>
          <w:sz w:val="22"/>
          <w:szCs w:val="22"/>
          <w:lang w:eastAsia="en-US"/>
        </w:rPr>
        <w:t>д</w:t>
      </w:r>
      <w:r w:rsidRPr="00281602">
        <w:rPr>
          <w:rFonts w:eastAsia="Calibri"/>
          <w:sz w:val="22"/>
          <w:szCs w:val="22"/>
          <w:lang w:eastAsia="en-US"/>
        </w:rPr>
        <w:t>шего школьного возраста, связанные с увеличением нагрузок на организм. Описываются наиболее важные факторы в питании детей этого возраста и их влияние на работу всего организма.</w:t>
      </w:r>
    </w:p>
    <w:p w:rsidR="00281602" w:rsidRPr="00281602" w:rsidRDefault="00281602" w:rsidP="00A11DF9">
      <w:pPr>
        <w:ind w:firstLine="426"/>
        <w:jc w:val="both"/>
        <w:rPr>
          <w:rFonts w:eastAsia="Calibri"/>
          <w:sz w:val="22"/>
          <w:szCs w:val="22"/>
          <w:lang w:val="en-US" w:eastAsia="en-US"/>
        </w:rPr>
      </w:pPr>
      <w:r w:rsidRPr="00281602">
        <w:rPr>
          <w:rFonts w:eastAsia="Calibri"/>
          <w:sz w:val="22"/>
          <w:szCs w:val="22"/>
          <w:lang w:val="en-US" w:eastAsia="en-US"/>
        </w:rPr>
        <w:t xml:space="preserve">ABSTRACT: </w:t>
      </w:r>
      <w:r w:rsidRPr="00281602">
        <w:rPr>
          <w:rFonts w:eastAsia="Calibri"/>
          <w:sz w:val="22"/>
          <w:szCs w:val="22"/>
          <w:lang w:eastAsia="en-US"/>
        </w:rPr>
        <w:t>С</w:t>
      </w:r>
      <w:r w:rsidRPr="00281602">
        <w:rPr>
          <w:rFonts w:eastAsia="Calibri"/>
          <w:sz w:val="22"/>
          <w:szCs w:val="22"/>
          <w:lang w:val="en-US" w:eastAsia="en-US"/>
        </w:rPr>
        <w:t>onsiders the problems of nutrition of children of primary school age, associated with increasing body stress. Describes the most important factors in the nutrition of children of this age and their impact on the whole body.</w:t>
      </w:r>
    </w:p>
    <w:p w:rsidR="00281602" w:rsidRPr="00281602" w:rsidRDefault="00281602" w:rsidP="00A11DF9">
      <w:pPr>
        <w:ind w:firstLine="426"/>
        <w:jc w:val="both"/>
        <w:rPr>
          <w:rFonts w:eastAsia="Calibri"/>
          <w:caps/>
          <w:sz w:val="22"/>
          <w:szCs w:val="22"/>
          <w:lang w:eastAsia="en-US"/>
        </w:rPr>
      </w:pPr>
      <w:r w:rsidRPr="00281602">
        <w:rPr>
          <w:rFonts w:eastAsia="Calibri"/>
          <w:caps/>
          <w:sz w:val="22"/>
          <w:szCs w:val="22"/>
          <w:lang w:eastAsia="en-US"/>
        </w:rPr>
        <w:t xml:space="preserve">Ключевые слова: </w:t>
      </w:r>
      <w:r w:rsidRPr="00281602">
        <w:rPr>
          <w:rFonts w:eastAsia="Calibri"/>
          <w:sz w:val="22"/>
          <w:szCs w:val="22"/>
          <w:lang w:eastAsia="en-US"/>
        </w:rPr>
        <w:t>питание, дети младшего школьного во</w:t>
      </w:r>
      <w:r w:rsidRPr="00281602">
        <w:rPr>
          <w:rFonts w:eastAsia="Calibri"/>
          <w:sz w:val="22"/>
          <w:szCs w:val="22"/>
          <w:lang w:eastAsia="en-US"/>
        </w:rPr>
        <w:t>з</w:t>
      </w:r>
      <w:r w:rsidRPr="00281602">
        <w:rPr>
          <w:rFonts w:eastAsia="Calibri"/>
          <w:sz w:val="22"/>
          <w:szCs w:val="22"/>
          <w:lang w:eastAsia="en-US"/>
        </w:rPr>
        <w:t>раста, сбалансированный рацион</w:t>
      </w:r>
    </w:p>
    <w:p w:rsidR="00281602" w:rsidRPr="00281602" w:rsidRDefault="00281602" w:rsidP="00A11DF9">
      <w:pPr>
        <w:ind w:firstLine="426"/>
        <w:jc w:val="both"/>
        <w:rPr>
          <w:rFonts w:eastAsia="Calibri"/>
          <w:sz w:val="22"/>
          <w:szCs w:val="22"/>
          <w:lang w:val="en-US" w:eastAsia="en-US"/>
        </w:rPr>
      </w:pPr>
      <w:r w:rsidRPr="00281602">
        <w:rPr>
          <w:rFonts w:eastAsia="Calibri"/>
          <w:sz w:val="22"/>
          <w:szCs w:val="22"/>
          <w:lang w:val="en-US" w:eastAsia="en-US"/>
        </w:rPr>
        <w:t>KEYWORDS: nutrition, children of primary school age, balanced diet</w:t>
      </w:r>
    </w:p>
    <w:p w:rsidR="00281602" w:rsidRPr="00281602" w:rsidRDefault="00281602" w:rsidP="00A11DF9">
      <w:pPr>
        <w:ind w:firstLine="426"/>
        <w:jc w:val="both"/>
        <w:rPr>
          <w:rFonts w:eastAsia="Calibri"/>
          <w:sz w:val="22"/>
          <w:szCs w:val="22"/>
          <w:lang w:val="en-US" w:eastAsia="en-US"/>
        </w:rPr>
      </w:pP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Сбалансированное, рациональное питание предопределяет не только физическое, но и умственное развитие ребенка. Необход</w:t>
      </w:r>
      <w:r w:rsidRPr="00281602">
        <w:rPr>
          <w:rFonts w:eastAsia="Calibri"/>
          <w:sz w:val="22"/>
          <w:szCs w:val="22"/>
          <w:lang w:eastAsia="en-US"/>
        </w:rPr>
        <w:t>и</w:t>
      </w:r>
      <w:r w:rsidRPr="00281602">
        <w:rPr>
          <w:rFonts w:eastAsia="Calibri"/>
          <w:sz w:val="22"/>
          <w:szCs w:val="22"/>
          <w:lang w:eastAsia="en-US"/>
        </w:rPr>
        <w:t>мое количество витаминов, углеводов, жиров, белков, минеральных веществ позволяет снабжать организм достаточным количеством энергии, является строительным материалом для костной и мыше</w:t>
      </w:r>
      <w:r w:rsidRPr="00281602">
        <w:rPr>
          <w:rFonts w:eastAsia="Calibri"/>
          <w:sz w:val="22"/>
          <w:szCs w:val="22"/>
          <w:lang w:eastAsia="en-US"/>
        </w:rPr>
        <w:t>ч</w:t>
      </w:r>
      <w:r w:rsidRPr="00281602">
        <w:rPr>
          <w:rFonts w:eastAsia="Calibri"/>
          <w:sz w:val="22"/>
          <w:szCs w:val="22"/>
          <w:lang w:eastAsia="en-US"/>
        </w:rPr>
        <w:t>ной ткани, активизирует работу мозга.</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В возрасте 6-7 лет организм ребенка особенно подвергается физическим и умственным нагрузкам. Это возраст поступления р</w:t>
      </w:r>
      <w:r w:rsidRPr="00281602">
        <w:rPr>
          <w:rFonts w:eastAsia="Calibri"/>
          <w:sz w:val="22"/>
          <w:szCs w:val="22"/>
          <w:lang w:eastAsia="en-US"/>
        </w:rPr>
        <w:t>е</w:t>
      </w:r>
      <w:r w:rsidRPr="00281602">
        <w:rPr>
          <w:rFonts w:eastAsia="Calibri"/>
          <w:sz w:val="22"/>
          <w:szCs w:val="22"/>
          <w:lang w:eastAsia="en-US"/>
        </w:rPr>
        <w:t>бенка в школу. В этом возрасте продолжается формирование кос</w:t>
      </w:r>
      <w:r w:rsidRPr="00281602">
        <w:rPr>
          <w:rFonts w:eastAsia="Calibri"/>
          <w:sz w:val="22"/>
          <w:szCs w:val="22"/>
          <w:lang w:eastAsia="en-US"/>
        </w:rPr>
        <w:t>т</w:t>
      </w:r>
      <w:r w:rsidRPr="00281602">
        <w:rPr>
          <w:rFonts w:eastAsia="Calibri"/>
          <w:sz w:val="22"/>
          <w:szCs w:val="22"/>
          <w:lang w:eastAsia="en-US"/>
        </w:rPr>
        <w:lastRenderedPageBreak/>
        <w:t>ной и мышечной тканей, сердечной системы, легочного аппарата и иммунной системы. Происходит активное увеличение массы тела, ускоряются обменные процессы в организме ребенка. Также в это время проходит активное развитие психических функций мозга, способствующие активизации и формированию возможностей к учебной деятельности. В этот период увеличивается потребность школьников в незаменимых белках и, особенно, в незаменимых аминокислотах. Дефицит белков приводит к отставанию физическ</w:t>
      </w:r>
      <w:r w:rsidRPr="00281602">
        <w:rPr>
          <w:rFonts w:eastAsia="Calibri"/>
          <w:sz w:val="22"/>
          <w:szCs w:val="22"/>
          <w:lang w:eastAsia="en-US"/>
        </w:rPr>
        <w:t>о</w:t>
      </w:r>
      <w:r w:rsidRPr="00281602">
        <w:rPr>
          <w:rFonts w:eastAsia="Calibri"/>
          <w:sz w:val="22"/>
          <w:szCs w:val="22"/>
          <w:lang w:eastAsia="en-US"/>
        </w:rPr>
        <w:t>го и психического развития, нарушению деятельности желез вну</w:t>
      </w:r>
      <w:r w:rsidRPr="00281602">
        <w:rPr>
          <w:rFonts w:eastAsia="Calibri"/>
          <w:sz w:val="22"/>
          <w:szCs w:val="22"/>
          <w:lang w:eastAsia="en-US"/>
        </w:rPr>
        <w:t>т</w:t>
      </w:r>
      <w:r w:rsidRPr="00281602">
        <w:rPr>
          <w:rFonts w:eastAsia="Calibri"/>
          <w:sz w:val="22"/>
          <w:szCs w:val="22"/>
          <w:lang w:eastAsia="en-US"/>
        </w:rPr>
        <w:t>ренней секреции [1,2,4].</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Важное значение имеет снабжение организма ребенка  в жирах. В жирах присутствуют необходимые витамины (Д, Е, А) и фосф</w:t>
      </w:r>
      <w:r w:rsidRPr="00281602">
        <w:rPr>
          <w:rFonts w:eastAsia="Calibri"/>
          <w:sz w:val="22"/>
          <w:szCs w:val="22"/>
          <w:lang w:eastAsia="en-US"/>
        </w:rPr>
        <w:t>о</w:t>
      </w:r>
      <w:r w:rsidRPr="00281602">
        <w:rPr>
          <w:rFonts w:eastAsia="Calibri"/>
          <w:sz w:val="22"/>
          <w:szCs w:val="22"/>
          <w:lang w:eastAsia="en-US"/>
        </w:rPr>
        <w:t>липиды, обеспечивающие нормальный обмен веществ. С участием жиров в организме протекают реакции пластического обмена.</w:t>
      </w:r>
    </w:p>
    <w:p w:rsidR="00281602" w:rsidRPr="00281602" w:rsidRDefault="00281602" w:rsidP="00A11DF9">
      <w:pPr>
        <w:shd w:val="clear" w:color="auto" w:fill="FFFFFF"/>
        <w:ind w:firstLine="426"/>
        <w:jc w:val="both"/>
        <w:rPr>
          <w:rFonts w:eastAsia="Calibri"/>
          <w:sz w:val="22"/>
          <w:szCs w:val="22"/>
          <w:lang w:eastAsia="en-US"/>
        </w:rPr>
      </w:pPr>
      <w:r w:rsidRPr="00281602">
        <w:rPr>
          <w:rFonts w:eastAsia="Calibri"/>
          <w:sz w:val="22"/>
          <w:szCs w:val="22"/>
          <w:lang w:eastAsia="en-US"/>
        </w:rPr>
        <w:t>Углеводы в питании детей и подростков являются основным источником энергии. Необходимыми легкоусваиваемыми углев</w:t>
      </w:r>
      <w:r w:rsidRPr="00281602">
        <w:rPr>
          <w:rFonts w:eastAsia="Calibri"/>
          <w:sz w:val="22"/>
          <w:szCs w:val="22"/>
          <w:lang w:eastAsia="en-US"/>
        </w:rPr>
        <w:t>о</w:t>
      </w:r>
      <w:r w:rsidRPr="00281602">
        <w:rPr>
          <w:rFonts w:eastAsia="Calibri"/>
          <w:sz w:val="22"/>
          <w:szCs w:val="22"/>
          <w:lang w:eastAsia="en-US"/>
        </w:rPr>
        <w:t>дами являются глюкоза, фруктоза, сахароза. Они являются осно</w:t>
      </w:r>
      <w:r w:rsidRPr="00281602">
        <w:rPr>
          <w:rFonts w:eastAsia="Calibri"/>
          <w:sz w:val="22"/>
          <w:szCs w:val="22"/>
          <w:lang w:eastAsia="en-US"/>
        </w:rPr>
        <w:t>в</w:t>
      </w:r>
      <w:r w:rsidRPr="00281602">
        <w:rPr>
          <w:rFonts w:eastAsia="Calibri"/>
          <w:sz w:val="22"/>
          <w:szCs w:val="22"/>
          <w:lang w:eastAsia="en-US"/>
        </w:rPr>
        <w:t>ными источниками энергии. Медленнее усваиваются крахмал и гликоген. Они служат источником насыщения организма. Пищевые волокна (клетчатка, пектиновые вещества) являются непереварив</w:t>
      </w:r>
      <w:r w:rsidRPr="00281602">
        <w:rPr>
          <w:rFonts w:eastAsia="Calibri"/>
          <w:sz w:val="22"/>
          <w:szCs w:val="22"/>
          <w:lang w:eastAsia="en-US"/>
        </w:rPr>
        <w:t>а</w:t>
      </w:r>
      <w:r w:rsidRPr="00281602">
        <w:rPr>
          <w:rFonts w:eastAsia="Calibri"/>
          <w:sz w:val="22"/>
          <w:szCs w:val="22"/>
          <w:lang w:eastAsia="en-US"/>
        </w:rPr>
        <w:t>емыми полисахаридами и стимулируют работу мышц желудочно-кишечного тракта. Потребность организма ребенка в углеводах удовлетворяется за счет разнообразных продуктов на основе злаков – хлеб, крупы, готовые завтраки, фрукты и овощи</w:t>
      </w:r>
      <w:r w:rsidRPr="00281602">
        <w:rPr>
          <w:sz w:val="22"/>
          <w:szCs w:val="22"/>
        </w:rPr>
        <w:t>[2,3].</w:t>
      </w:r>
    </w:p>
    <w:p w:rsidR="00281602" w:rsidRPr="00281602" w:rsidRDefault="00281602" w:rsidP="00A11DF9">
      <w:pPr>
        <w:shd w:val="clear" w:color="auto" w:fill="FFFFFF"/>
        <w:ind w:firstLine="426"/>
        <w:jc w:val="both"/>
        <w:rPr>
          <w:sz w:val="22"/>
          <w:szCs w:val="22"/>
        </w:rPr>
      </w:pPr>
      <w:r w:rsidRPr="00281602">
        <w:rPr>
          <w:rFonts w:eastAsia="Calibri"/>
          <w:sz w:val="22"/>
          <w:szCs w:val="22"/>
          <w:lang w:eastAsia="en-US"/>
        </w:rPr>
        <w:t>Необходимо, чтобы энергетическая ценность суточного раци</w:t>
      </w:r>
      <w:r w:rsidRPr="00281602">
        <w:rPr>
          <w:rFonts w:eastAsia="Calibri"/>
          <w:sz w:val="22"/>
          <w:szCs w:val="22"/>
          <w:lang w:eastAsia="en-US"/>
        </w:rPr>
        <w:t>о</w:t>
      </w:r>
      <w:r w:rsidRPr="00281602">
        <w:rPr>
          <w:rFonts w:eastAsia="Calibri"/>
          <w:sz w:val="22"/>
          <w:szCs w:val="22"/>
          <w:lang w:eastAsia="en-US"/>
        </w:rPr>
        <w:t xml:space="preserve">на детей младшего школьного возраста была обеспечена: белками — на 14 %, жирами — на 30 %, углеводами — на 56 %. </w:t>
      </w:r>
      <w:r w:rsidRPr="00281602">
        <w:rPr>
          <w:bCs/>
          <w:sz w:val="22"/>
          <w:szCs w:val="22"/>
        </w:rPr>
        <w:t xml:space="preserve">Суточная физиологическая потребность в пищевых веществах и энергии для детей в возрасте 7 - 10 лет составляет </w:t>
      </w:r>
      <w:r w:rsidRPr="00281602">
        <w:rPr>
          <w:sz w:val="22"/>
          <w:szCs w:val="22"/>
        </w:rPr>
        <w:t>2350 ккал.</w:t>
      </w:r>
    </w:p>
    <w:p w:rsidR="00281602" w:rsidRPr="00281602" w:rsidRDefault="00281602" w:rsidP="00A11DF9">
      <w:pPr>
        <w:ind w:firstLine="426"/>
        <w:jc w:val="both"/>
        <w:rPr>
          <w:rFonts w:eastAsia="Calibri"/>
          <w:sz w:val="22"/>
          <w:szCs w:val="22"/>
          <w:shd w:val="clear" w:color="auto" w:fill="FFFFFF"/>
          <w:lang w:eastAsia="en-US"/>
        </w:rPr>
      </w:pPr>
      <w:r w:rsidRPr="00281602">
        <w:rPr>
          <w:rFonts w:eastAsia="Calibri"/>
          <w:sz w:val="22"/>
          <w:szCs w:val="22"/>
          <w:shd w:val="clear" w:color="auto" w:fill="FFFFFF"/>
          <w:lang w:eastAsia="en-US"/>
        </w:rPr>
        <w:t>Правильная организация питания школьников может помочь в решении многих проблем, возникающих именно в подростковом возрасте,</w:t>
      </w:r>
      <w:r w:rsidRPr="00281602">
        <w:rPr>
          <w:rFonts w:eastAsia="Calibri"/>
          <w:sz w:val="22"/>
          <w:szCs w:val="22"/>
          <w:lang w:eastAsia="en-US"/>
        </w:rPr>
        <w:t xml:space="preserve"> благодаря рациональному питанию организм обеспечив</w:t>
      </w:r>
      <w:r w:rsidRPr="00281602">
        <w:rPr>
          <w:rFonts w:eastAsia="Calibri"/>
          <w:sz w:val="22"/>
          <w:szCs w:val="22"/>
          <w:lang w:eastAsia="en-US"/>
        </w:rPr>
        <w:t>а</w:t>
      </w:r>
      <w:r w:rsidRPr="00281602">
        <w:rPr>
          <w:rFonts w:eastAsia="Calibri"/>
          <w:sz w:val="22"/>
          <w:szCs w:val="22"/>
          <w:lang w:eastAsia="en-US"/>
        </w:rPr>
        <w:t>ется всеми нужными ресурсами для развития, роста и активной де</w:t>
      </w:r>
      <w:r w:rsidRPr="00281602">
        <w:rPr>
          <w:rFonts w:eastAsia="Calibri"/>
          <w:sz w:val="22"/>
          <w:szCs w:val="22"/>
          <w:lang w:eastAsia="en-US"/>
        </w:rPr>
        <w:t>я</w:t>
      </w:r>
      <w:r w:rsidRPr="00281602">
        <w:rPr>
          <w:rFonts w:eastAsia="Calibri"/>
          <w:sz w:val="22"/>
          <w:szCs w:val="22"/>
          <w:lang w:eastAsia="en-US"/>
        </w:rPr>
        <w:t>тельности ребёнка. Поэтому необходимо правильно составлять м</w:t>
      </w:r>
      <w:r w:rsidRPr="00281602">
        <w:rPr>
          <w:rFonts w:eastAsia="Calibri"/>
          <w:sz w:val="22"/>
          <w:szCs w:val="22"/>
          <w:lang w:eastAsia="en-US"/>
        </w:rPr>
        <w:t>е</w:t>
      </w:r>
      <w:r w:rsidRPr="00281602">
        <w:rPr>
          <w:rFonts w:eastAsia="Calibri"/>
          <w:sz w:val="22"/>
          <w:szCs w:val="22"/>
          <w:lang w:eastAsia="en-US"/>
        </w:rPr>
        <w:t xml:space="preserve">ню для школьника, в котором бы сочетались продукты, содержащие достаточное количество </w:t>
      </w:r>
      <w:r w:rsidRPr="00281602">
        <w:rPr>
          <w:rFonts w:eastAsia="Calibri"/>
          <w:bCs/>
          <w:sz w:val="22"/>
          <w:szCs w:val="22"/>
          <w:shd w:val="clear" w:color="auto" w:fill="FFFFFF"/>
          <w:lang w:eastAsia="en-US"/>
        </w:rPr>
        <w:t>питательных веществ.</w:t>
      </w:r>
    </w:p>
    <w:p w:rsidR="00281602" w:rsidRPr="00281602" w:rsidRDefault="00281602" w:rsidP="00A11DF9">
      <w:pPr>
        <w:ind w:firstLine="426"/>
        <w:jc w:val="both"/>
        <w:rPr>
          <w:rFonts w:eastAsia="Calibri"/>
          <w:sz w:val="22"/>
          <w:szCs w:val="22"/>
          <w:shd w:val="clear" w:color="auto" w:fill="FFFFFF"/>
          <w:lang w:eastAsia="en-US"/>
        </w:rPr>
      </w:pPr>
      <w:r w:rsidRPr="00281602">
        <w:rPr>
          <w:rFonts w:eastAsia="Calibri"/>
          <w:sz w:val="22"/>
          <w:szCs w:val="22"/>
          <w:lang w:eastAsia="en-US"/>
        </w:rPr>
        <w:t>Нельзя забывать о важной роли витаминов в питании растущ</w:t>
      </w:r>
      <w:r w:rsidRPr="00281602">
        <w:rPr>
          <w:rFonts w:eastAsia="Calibri"/>
          <w:sz w:val="22"/>
          <w:szCs w:val="22"/>
          <w:lang w:eastAsia="en-US"/>
        </w:rPr>
        <w:t>е</w:t>
      </w:r>
      <w:r w:rsidRPr="00281602">
        <w:rPr>
          <w:rFonts w:eastAsia="Calibri"/>
          <w:sz w:val="22"/>
          <w:szCs w:val="22"/>
          <w:lang w:eastAsia="en-US"/>
        </w:rPr>
        <w:t xml:space="preserve">го организма. Одним из важнейших витаминов в развитии ребенка </w:t>
      </w:r>
      <w:r w:rsidRPr="00281602">
        <w:rPr>
          <w:rFonts w:eastAsia="Calibri"/>
          <w:sz w:val="22"/>
          <w:szCs w:val="22"/>
          <w:lang w:eastAsia="en-US"/>
        </w:rPr>
        <w:lastRenderedPageBreak/>
        <w:t>является витамин А. Он регулирует рост, деятельность эндокри</w:t>
      </w:r>
      <w:r w:rsidRPr="00281602">
        <w:rPr>
          <w:rFonts w:eastAsia="Calibri"/>
          <w:sz w:val="22"/>
          <w:szCs w:val="22"/>
          <w:lang w:eastAsia="en-US"/>
        </w:rPr>
        <w:t>н</w:t>
      </w:r>
      <w:r w:rsidRPr="00281602">
        <w:rPr>
          <w:rFonts w:eastAsia="Calibri"/>
          <w:sz w:val="22"/>
          <w:szCs w:val="22"/>
          <w:lang w:eastAsia="en-US"/>
        </w:rPr>
        <w:t>ных желез, поддерживает нормальное состояние зрения и покро</w:t>
      </w:r>
      <w:r w:rsidRPr="00281602">
        <w:rPr>
          <w:rFonts w:eastAsia="Calibri"/>
          <w:sz w:val="22"/>
          <w:szCs w:val="22"/>
          <w:lang w:eastAsia="en-US"/>
        </w:rPr>
        <w:t>в</w:t>
      </w:r>
      <w:r w:rsidRPr="00281602">
        <w:rPr>
          <w:rFonts w:eastAsia="Calibri"/>
          <w:sz w:val="22"/>
          <w:szCs w:val="22"/>
          <w:lang w:eastAsia="en-US"/>
        </w:rPr>
        <w:t>ных тканей. Витамин D необходим при интенсивном росте и в фо</w:t>
      </w:r>
      <w:r w:rsidRPr="00281602">
        <w:rPr>
          <w:rFonts w:eastAsia="Calibri"/>
          <w:sz w:val="22"/>
          <w:szCs w:val="22"/>
          <w:lang w:eastAsia="en-US"/>
        </w:rPr>
        <w:t>р</w:t>
      </w:r>
      <w:r w:rsidRPr="00281602">
        <w:rPr>
          <w:rFonts w:eastAsia="Calibri"/>
          <w:sz w:val="22"/>
          <w:szCs w:val="22"/>
          <w:lang w:eastAsia="en-US"/>
        </w:rPr>
        <w:t>мировании скелета. Он регулирует фосфорно-кальциевый обмен, способствуя нормальному костеобразованию. Витамин С участвует в окислительно-восстановительных процессах, обмене белков, ж</w:t>
      </w:r>
      <w:r w:rsidRPr="00281602">
        <w:rPr>
          <w:rFonts w:eastAsia="Calibri"/>
          <w:sz w:val="22"/>
          <w:szCs w:val="22"/>
          <w:lang w:eastAsia="en-US"/>
        </w:rPr>
        <w:t>и</w:t>
      </w:r>
      <w:r w:rsidRPr="00281602">
        <w:rPr>
          <w:rFonts w:eastAsia="Calibri"/>
          <w:sz w:val="22"/>
          <w:szCs w:val="22"/>
          <w:lang w:eastAsia="en-US"/>
        </w:rPr>
        <w:t xml:space="preserve">ров, углеводов, а также повышает сопротивляемость организма к инфекциям </w:t>
      </w:r>
      <w:r w:rsidRPr="00281602">
        <w:rPr>
          <w:rFonts w:eastAsia="Calibri"/>
          <w:sz w:val="22"/>
          <w:szCs w:val="22"/>
          <w:shd w:val="clear" w:color="auto" w:fill="FFFFFF"/>
          <w:lang w:eastAsia="en-US"/>
        </w:rPr>
        <w:t>[2,4,5].</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Таким образом, разработка новых видов продуктов для детей младшего школьного возраста, содержащих необходимое колич</w:t>
      </w:r>
      <w:r w:rsidRPr="00281602">
        <w:rPr>
          <w:rFonts w:eastAsia="Calibri"/>
          <w:sz w:val="22"/>
          <w:szCs w:val="22"/>
          <w:lang w:eastAsia="en-US"/>
        </w:rPr>
        <w:t>е</w:t>
      </w:r>
      <w:r w:rsidRPr="00281602">
        <w:rPr>
          <w:rFonts w:eastAsia="Calibri"/>
          <w:sz w:val="22"/>
          <w:szCs w:val="22"/>
          <w:lang w:eastAsia="en-US"/>
        </w:rPr>
        <w:t>ство питательных веществ, обеспечивающих нормальное развитие организма ребенка является актуальным.</w:t>
      </w:r>
    </w:p>
    <w:p w:rsidR="00281602" w:rsidRPr="00281602" w:rsidRDefault="00281602" w:rsidP="00A11DF9">
      <w:pPr>
        <w:ind w:firstLine="426"/>
        <w:jc w:val="both"/>
        <w:rPr>
          <w:rFonts w:eastAsia="Calibri"/>
          <w:sz w:val="22"/>
          <w:szCs w:val="22"/>
          <w:lang w:eastAsia="en-US"/>
        </w:rPr>
      </w:pPr>
      <w:r w:rsidRPr="00281602">
        <w:rPr>
          <w:rFonts w:eastAsia="Calibri"/>
          <w:sz w:val="22"/>
          <w:szCs w:val="22"/>
          <w:lang w:eastAsia="en-US"/>
        </w:rPr>
        <w:t>В Кубанском государственном аграрном университете на ф</w:t>
      </w:r>
      <w:r w:rsidRPr="00281602">
        <w:rPr>
          <w:rFonts w:eastAsia="Calibri"/>
          <w:sz w:val="22"/>
          <w:szCs w:val="22"/>
          <w:lang w:eastAsia="en-US"/>
        </w:rPr>
        <w:t>а</w:t>
      </w:r>
      <w:r w:rsidRPr="00281602">
        <w:rPr>
          <w:rFonts w:eastAsia="Calibri"/>
          <w:sz w:val="22"/>
          <w:szCs w:val="22"/>
          <w:lang w:eastAsia="en-US"/>
        </w:rPr>
        <w:t>культете перерабатывающих технологий ведутся исследования по разработке готовых продуктов для питания детей младшего школ</w:t>
      </w:r>
      <w:r w:rsidRPr="00281602">
        <w:rPr>
          <w:rFonts w:eastAsia="Calibri"/>
          <w:sz w:val="22"/>
          <w:szCs w:val="22"/>
          <w:lang w:eastAsia="en-US"/>
        </w:rPr>
        <w:t>ь</w:t>
      </w:r>
      <w:r w:rsidRPr="00281602">
        <w:rPr>
          <w:rFonts w:eastAsia="Calibri"/>
          <w:sz w:val="22"/>
          <w:szCs w:val="22"/>
          <w:lang w:eastAsia="en-US"/>
        </w:rPr>
        <w:t>ного возраста.</w:t>
      </w:r>
    </w:p>
    <w:p w:rsidR="00281602" w:rsidRPr="00281602" w:rsidRDefault="00281602" w:rsidP="00A11DF9">
      <w:pPr>
        <w:ind w:firstLine="426"/>
        <w:jc w:val="both"/>
        <w:rPr>
          <w:rFonts w:eastAsia="Calibri"/>
          <w:sz w:val="22"/>
          <w:szCs w:val="22"/>
          <w:lang w:eastAsia="en-US"/>
        </w:rPr>
      </w:pPr>
    </w:p>
    <w:p w:rsidR="00281602" w:rsidRPr="00281602" w:rsidRDefault="00281602" w:rsidP="00A11DF9">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A11DF9">
      <w:pPr>
        <w:numPr>
          <w:ilvl w:val="0"/>
          <w:numId w:val="26"/>
        </w:numPr>
        <w:spacing w:after="160"/>
        <w:ind w:left="0" w:firstLine="426"/>
        <w:contextualSpacing/>
        <w:jc w:val="both"/>
        <w:rPr>
          <w:rFonts w:eastAsia="Calibri"/>
          <w:sz w:val="22"/>
          <w:szCs w:val="22"/>
          <w:lang w:eastAsia="en-US"/>
        </w:rPr>
      </w:pPr>
      <w:r w:rsidRPr="00281602">
        <w:rPr>
          <w:rFonts w:eastAsia="Calibri"/>
          <w:sz w:val="22"/>
          <w:szCs w:val="22"/>
          <w:lang w:eastAsia="en-US"/>
        </w:rPr>
        <w:t>Маюрникова, Л.А. Экспертиза специализированных пищ</w:t>
      </w:r>
      <w:r w:rsidRPr="00281602">
        <w:rPr>
          <w:rFonts w:eastAsia="Calibri"/>
          <w:sz w:val="22"/>
          <w:szCs w:val="22"/>
          <w:lang w:eastAsia="en-US"/>
        </w:rPr>
        <w:t>е</w:t>
      </w:r>
      <w:r w:rsidRPr="00281602">
        <w:rPr>
          <w:rFonts w:eastAsia="Calibri"/>
          <w:sz w:val="22"/>
          <w:szCs w:val="22"/>
          <w:lang w:eastAsia="en-US"/>
        </w:rPr>
        <w:t>вых продуктов. Качество и безопасность / Л.А. Маюрникова [и др.] 2016 г.</w:t>
      </w:r>
    </w:p>
    <w:p w:rsidR="00281602" w:rsidRPr="00281602" w:rsidRDefault="00281602" w:rsidP="00A11DF9">
      <w:pPr>
        <w:numPr>
          <w:ilvl w:val="0"/>
          <w:numId w:val="26"/>
        </w:numPr>
        <w:spacing w:after="160"/>
        <w:ind w:left="0" w:firstLine="426"/>
        <w:contextualSpacing/>
        <w:jc w:val="both"/>
        <w:rPr>
          <w:rFonts w:eastAsia="Calibri"/>
          <w:sz w:val="22"/>
          <w:szCs w:val="22"/>
          <w:lang w:eastAsia="en-US"/>
        </w:rPr>
      </w:pPr>
      <w:r w:rsidRPr="00281602">
        <w:rPr>
          <w:rFonts w:eastAsia="Calibri"/>
          <w:sz w:val="22"/>
          <w:szCs w:val="22"/>
          <w:lang w:eastAsia="en-US"/>
        </w:rPr>
        <w:t>Закревский, В.В. Мать и дитя. Энциклопедия питания р</w:t>
      </w:r>
      <w:r w:rsidRPr="00281602">
        <w:rPr>
          <w:rFonts w:eastAsia="Calibri"/>
          <w:sz w:val="22"/>
          <w:szCs w:val="22"/>
          <w:lang w:eastAsia="en-US"/>
        </w:rPr>
        <w:t>е</w:t>
      </w:r>
      <w:r w:rsidRPr="00281602">
        <w:rPr>
          <w:rFonts w:eastAsia="Calibri"/>
          <w:sz w:val="22"/>
          <w:szCs w:val="22"/>
          <w:lang w:eastAsia="en-US"/>
        </w:rPr>
        <w:t>бенка от рождения до юношества / В.В. Закревский, В.Г. Ли</w:t>
      </w:r>
      <w:r w:rsidRPr="00281602">
        <w:rPr>
          <w:rFonts w:eastAsia="Calibri"/>
          <w:sz w:val="22"/>
          <w:szCs w:val="22"/>
          <w:lang w:eastAsia="en-US"/>
        </w:rPr>
        <w:t>ф</w:t>
      </w:r>
      <w:r w:rsidRPr="00281602">
        <w:rPr>
          <w:rFonts w:eastAsia="Calibri"/>
          <w:sz w:val="22"/>
          <w:szCs w:val="22"/>
          <w:lang w:eastAsia="en-US"/>
        </w:rPr>
        <w:t>ляндский. – СПб.: Нева, 2004. – 354с.</w:t>
      </w:r>
    </w:p>
    <w:p w:rsidR="00281602" w:rsidRPr="00281602" w:rsidRDefault="00281602" w:rsidP="00A11DF9">
      <w:pPr>
        <w:numPr>
          <w:ilvl w:val="0"/>
          <w:numId w:val="26"/>
        </w:numPr>
        <w:spacing w:after="160"/>
        <w:ind w:left="0" w:firstLine="426"/>
        <w:contextualSpacing/>
        <w:jc w:val="both"/>
        <w:rPr>
          <w:rFonts w:eastAsia="Calibri"/>
          <w:sz w:val="22"/>
          <w:szCs w:val="22"/>
          <w:lang w:eastAsia="en-US"/>
        </w:rPr>
      </w:pPr>
      <w:r w:rsidRPr="00281602">
        <w:rPr>
          <w:rFonts w:eastAsia="Calibri"/>
          <w:sz w:val="22"/>
          <w:szCs w:val="22"/>
          <w:lang w:eastAsia="en-US"/>
        </w:rPr>
        <w:t>Подколзина, В.А. Детское питание. Полный справочник / В.А. Подколзина, Г.Ю. Лазарева, Э.А. Муллаярова. – Воронеж: Научная книга, 2013. – 830с.</w:t>
      </w:r>
    </w:p>
    <w:p w:rsidR="00281602" w:rsidRPr="00281602" w:rsidRDefault="00281602" w:rsidP="00A11DF9">
      <w:pPr>
        <w:numPr>
          <w:ilvl w:val="0"/>
          <w:numId w:val="26"/>
        </w:numPr>
        <w:spacing w:after="160"/>
        <w:ind w:left="0" w:firstLine="426"/>
        <w:contextualSpacing/>
        <w:jc w:val="both"/>
        <w:rPr>
          <w:rFonts w:eastAsia="Calibri"/>
          <w:sz w:val="22"/>
          <w:szCs w:val="22"/>
          <w:lang w:eastAsia="en-US"/>
        </w:rPr>
      </w:pPr>
      <w:r w:rsidRPr="00281602">
        <w:rPr>
          <w:rFonts w:eastAsia="Calibri"/>
          <w:sz w:val="22"/>
          <w:szCs w:val="22"/>
          <w:lang w:eastAsia="en-US"/>
        </w:rPr>
        <w:t>Багдасарян, А.А. Новые продукты для детского питания / А.А. Багдасарян, И.В. Соболь //Сб: Научное обеспечение агропр</w:t>
      </w:r>
      <w:r w:rsidRPr="00281602">
        <w:rPr>
          <w:rFonts w:eastAsia="Calibri"/>
          <w:sz w:val="22"/>
          <w:szCs w:val="22"/>
          <w:lang w:eastAsia="en-US"/>
        </w:rPr>
        <w:t>о</w:t>
      </w:r>
      <w:r w:rsidRPr="00281602">
        <w:rPr>
          <w:rFonts w:eastAsia="Calibri"/>
          <w:sz w:val="22"/>
          <w:szCs w:val="22"/>
          <w:lang w:eastAsia="en-US"/>
        </w:rPr>
        <w:t xml:space="preserve">мышленного комплекса. Сборник статей по материалам </w:t>
      </w:r>
      <w:r w:rsidRPr="00281602">
        <w:rPr>
          <w:rFonts w:eastAsia="Calibri"/>
          <w:sz w:val="22"/>
          <w:szCs w:val="22"/>
          <w:lang w:val="en-US" w:eastAsia="en-US"/>
        </w:rPr>
        <w:t>IX</w:t>
      </w:r>
      <w:r w:rsidRPr="00281602">
        <w:rPr>
          <w:rFonts w:eastAsia="Calibri"/>
          <w:sz w:val="22"/>
          <w:szCs w:val="22"/>
          <w:lang w:eastAsia="en-US"/>
        </w:rPr>
        <w:t xml:space="preserve"> Всеро</w:t>
      </w:r>
      <w:r w:rsidRPr="00281602">
        <w:rPr>
          <w:rFonts w:eastAsia="Calibri"/>
          <w:sz w:val="22"/>
          <w:szCs w:val="22"/>
          <w:lang w:eastAsia="en-US"/>
        </w:rPr>
        <w:t>с</w:t>
      </w:r>
      <w:r w:rsidRPr="00281602">
        <w:rPr>
          <w:rFonts w:eastAsia="Calibri"/>
          <w:sz w:val="22"/>
          <w:szCs w:val="22"/>
          <w:lang w:eastAsia="en-US"/>
        </w:rPr>
        <w:t>сийской конференции молодых ученых, 2016. – с. 924-925</w:t>
      </w:r>
    </w:p>
    <w:p w:rsidR="00281602" w:rsidRPr="00281602" w:rsidRDefault="00281602" w:rsidP="00A11DF9">
      <w:pPr>
        <w:numPr>
          <w:ilvl w:val="0"/>
          <w:numId w:val="26"/>
        </w:numPr>
        <w:spacing w:after="160"/>
        <w:ind w:left="0" w:firstLine="426"/>
        <w:contextualSpacing/>
        <w:jc w:val="both"/>
        <w:rPr>
          <w:rFonts w:eastAsia="Calibri"/>
          <w:sz w:val="22"/>
          <w:szCs w:val="22"/>
          <w:lang w:eastAsia="en-US"/>
        </w:rPr>
      </w:pPr>
      <w:r w:rsidRPr="00281602">
        <w:rPr>
          <w:rFonts w:eastAsia="Calibri"/>
          <w:sz w:val="22"/>
          <w:szCs w:val="22"/>
          <w:lang w:eastAsia="en-US"/>
        </w:rPr>
        <w:t>Соболь И.В. Использование высокоочищенного подсолне</w:t>
      </w:r>
      <w:r w:rsidRPr="00281602">
        <w:rPr>
          <w:rFonts w:eastAsia="Calibri"/>
          <w:sz w:val="22"/>
          <w:szCs w:val="22"/>
          <w:lang w:eastAsia="en-US"/>
        </w:rPr>
        <w:t>ч</w:t>
      </w:r>
      <w:r w:rsidRPr="00281602">
        <w:rPr>
          <w:rFonts w:eastAsia="Calibri"/>
          <w:sz w:val="22"/>
          <w:szCs w:val="22"/>
          <w:lang w:eastAsia="en-US"/>
        </w:rPr>
        <w:t>ного пектина в функциональных продуктах питания / И.В.Соболь // Техника и технологии пищевых производств, 2015. – т.43. - № 4. – С. 90-95</w:t>
      </w:r>
    </w:p>
    <w:p w:rsidR="00281602" w:rsidRPr="00281602" w:rsidRDefault="00281602" w:rsidP="00281602">
      <w:pPr>
        <w:jc w:val="both"/>
        <w:rPr>
          <w:rFonts w:eastAsia="Calibri"/>
          <w:sz w:val="22"/>
          <w:szCs w:val="22"/>
          <w:lang w:eastAsia="en-US"/>
        </w:rPr>
      </w:pPr>
    </w:p>
    <w:p w:rsidR="00281602" w:rsidRDefault="00281602" w:rsidP="00281602">
      <w:pPr>
        <w:jc w:val="both"/>
        <w:rPr>
          <w:rFonts w:eastAsia="Calibri"/>
          <w:sz w:val="22"/>
          <w:szCs w:val="22"/>
          <w:lang w:eastAsia="en-US"/>
        </w:rPr>
      </w:pPr>
    </w:p>
    <w:p w:rsidR="000D0D2D" w:rsidRPr="00281602" w:rsidRDefault="000D0D2D" w:rsidP="00281602">
      <w:pPr>
        <w:jc w:val="both"/>
        <w:rPr>
          <w:rFonts w:eastAsia="Calibri"/>
          <w:sz w:val="22"/>
          <w:szCs w:val="22"/>
          <w:lang w:eastAsia="en-US"/>
        </w:rPr>
      </w:pPr>
    </w:p>
    <w:p w:rsidR="00281602" w:rsidRPr="00281602" w:rsidRDefault="00281602" w:rsidP="00281602">
      <w:pPr>
        <w:jc w:val="both"/>
        <w:rPr>
          <w:rFonts w:eastAsia="Calibri"/>
          <w:sz w:val="22"/>
          <w:szCs w:val="22"/>
          <w:shd w:val="clear" w:color="auto" w:fill="FFFFFF"/>
          <w:lang w:eastAsia="en-US"/>
        </w:rPr>
      </w:pPr>
      <w:r w:rsidRPr="00281602">
        <w:rPr>
          <w:rFonts w:eastAsia="Calibri"/>
          <w:sz w:val="22"/>
          <w:szCs w:val="22"/>
          <w:lang w:eastAsia="en-US"/>
        </w:rPr>
        <w:lastRenderedPageBreak/>
        <w:t>УДК 633.34:664.</w:t>
      </w:r>
      <w:r w:rsidRPr="00281602">
        <w:rPr>
          <w:rFonts w:eastAsia="Calibri"/>
          <w:sz w:val="22"/>
          <w:szCs w:val="22"/>
          <w:shd w:val="clear" w:color="auto" w:fill="FFFFFF"/>
          <w:lang w:eastAsia="en-US"/>
        </w:rPr>
        <w:t>639.3.043.2</w:t>
      </w:r>
    </w:p>
    <w:p w:rsidR="00281602" w:rsidRPr="00281602" w:rsidRDefault="00281602" w:rsidP="00281602">
      <w:pPr>
        <w:jc w:val="both"/>
        <w:rPr>
          <w:rFonts w:eastAsia="Calibri"/>
          <w:sz w:val="22"/>
          <w:szCs w:val="22"/>
          <w:lang w:eastAsia="en-US"/>
        </w:rPr>
      </w:pPr>
    </w:p>
    <w:p w:rsidR="00281602" w:rsidRPr="00281602" w:rsidRDefault="00281602" w:rsidP="00281602">
      <w:pPr>
        <w:jc w:val="center"/>
        <w:rPr>
          <w:b/>
          <w:bCs/>
          <w:sz w:val="24"/>
          <w:szCs w:val="24"/>
        </w:rPr>
      </w:pPr>
      <w:r w:rsidRPr="00281602">
        <w:rPr>
          <w:b/>
          <w:iCs/>
          <w:sz w:val="24"/>
          <w:szCs w:val="24"/>
        </w:rPr>
        <w:t xml:space="preserve">Использование сырья сои </w:t>
      </w:r>
      <w:r w:rsidRPr="00281602">
        <w:rPr>
          <w:b/>
          <w:bCs/>
          <w:sz w:val="24"/>
          <w:szCs w:val="24"/>
        </w:rPr>
        <w:t xml:space="preserve">в рецептурах продуктов </w:t>
      </w:r>
    </w:p>
    <w:p w:rsidR="00281602" w:rsidRPr="00281602" w:rsidRDefault="000D0D2D" w:rsidP="00281602">
      <w:pPr>
        <w:jc w:val="center"/>
        <w:rPr>
          <w:b/>
          <w:bCs/>
          <w:sz w:val="24"/>
          <w:szCs w:val="24"/>
          <w:lang w:val="en-US"/>
        </w:rPr>
      </w:pPr>
      <w:r>
        <w:rPr>
          <w:b/>
          <w:bCs/>
          <w:sz w:val="24"/>
          <w:szCs w:val="24"/>
        </w:rPr>
        <w:t>п</w:t>
      </w:r>
      <w:r w:rsidR="00281602" w:rsidRPr="00281602">
        <w:rPr>
          <w:b/>
          <w:bCs/>
          <w:sz w:val="24"/>
          <w:szCs w:val="24"/>
        </w:rPr>
        <w:t>итания</w:t>
      </w:r>
      <w:r w:rsidR="00281602" w:rsidRPr="00281602">
        <w:rPr>
          <w:b/>
          <w:bCs/>
          <w:sz w:val="24"/>
          <w:szCs w:val="24"/>
          <w:lang w:val="en-US"/>
        </w:rPr>
        <w:t xml:space="preserve"> </w:t>
      </w:r>
      <w:r w:rsidR="00281602" w:rsidRPr="00281602">
        <w:rPr>
          <w:b/>
          <w:sz w:val="24"/>
          <w:szCs w:val="24"/>
        </w:rPr>
        <w:t>лечебно</w:t>
      </w:r>
      <w:r w:rsidR="00281602" w:rsidRPr="00281602">
        <w:rPr>
          <w:b/>
          <w:sz w:val="24"/>
          <w:szCs w:val="24"/>
          <w:lang w:val="en-US"/>
        </w:rPr>
        <w:t>-</w:t>
      </w:r>
      <w:r w:rsidR="00281602" w:rsidRPr="00281602">
        <w:rPr>
          <w:b/>
          <w:sz w:val="24"/>
          <w:szCs w:val="24"/>
        </w:rPr>
        <w:t>профилактического</w:t>
      </w:r>
      <w:r w:rsidR="00281602" w:rsidRPr="00281602">
        <w:rPr>
          <w:b/>
          <w:sz w:val="24"/>
          <w:szCs w:val="24"/>
          <w:lang w:val="en-US"/>
        </w:rPr>
        <w:t xml:space="preserve"> </w:t>
      </w:r>
      <w:r w:rsidR="00281602" w:rsidRPr="00281602">
        <w:rPr>
          <w:b/>
          <w:sz w:val="24"/>
          <w:szCs w:val="24"/>
        </w:rPr>
        <w:t>назначения</w:t>
      </w:r>
    </w:p>
    <w:p w:rsidR="00281602" w:rsidRPr="00281602" w:rsidRDefault="00281602" w:rsidP="00281602">
      <w:pPr>
        <w:jc w:val="center"/>
        <w:rPr>
          <w:b/>
          <w:iCs/>
          <w:sz w:val="24"/>
          <w:szCs w:val="24"/>
          <w:lang w:val="en-US"/>
        </w:rPr>
      </w:pPr>
      <w:r w:rsidRPr="00281602">
        <w:rPr>
          <w:b/>
          <w:iCs/>
          <w:sz w:val="24"/>
          <w:szCs w:val="24"/>
          <w:lang w:val="en-US"/>
        </w:rPr>
        <w:t>Use of soybean raw materials in formulations of food products of medical and preventive appointments</w:t>
      </w:r>
    </w:p>
    <w:p w:rsidR="00281602" w:rsidRPr="00281602" w:rsidRDefault="00281602" w:rsidP="00281602">
      <w:pPr>
        <w:jc w:val="center"/>
        <w:rPr>
          <w:b/>
          <w:iCs/>
          <w:sz w:val="24"/>
          <w:szCs w:val="24"/>
          <w:lang w:val="en-US"/>
        </w:rPr>
      </w:pPr>
    </w:p>
    <w:p w:rsidR="00281602" w:rsidRPr="00281602" w:rsidRDefault="00281602" w:rsidP="00281602">
      <w:pPr>
        <w:jc w:val="right"/>
        <w:rPr>
          <w:bCs/>
          <w:iCs/>
          <w:sz w:val="22"/>
          <w:szCs w:val="22"/>
        </w:rPr>
      </w:pPr>
      <w:r w:rsidRPr="00281602">
        <w:rPr>
          <w:bCs/>
          <w:iCs/>
          <w:sz w:val="22"/>
          <w:szCs w:val="22"/>
        </w:rPr>
        <w:t>Исай Н. А.,</w:t>
      </w:r>
    </w:p>
    <w:p w:rsidR="00281602" w:rsidRPr="00281602" w:rsidRDefault="00281602" w:rsidP="00281602">
      <w:pPr>
        <w:jc w:val="right"/>
        <w:outlineLvl w:val="2"/>
        <w:rPr>
          <w:bCs/>
          <w:sz w:val="22"/>
          <w:szCs w:val="22"/>
          <w:lang w:eastAsia="en-US"/>
        </w:rPr>
      </w:pPr>
      <w:r w:rsidRPr="00281602">
        <w:rPr>
          <w:bCs/>
          <w:sz w:val="22"/>
          <w:szCs w:val="22"/>
          <w:lang w:eastAsia="en-US"/>
        </w:rPr>
        <w:t>м</w:t>
      </w:r>
      <w:r w:rsidR="00A11DF9">
        <w:rPr>
          <w:bCs/>
          <w:sz w:val="22"/>
          <w:szCs w:val="22"/>
          <w:lang w:eastAsia="en-US"/>
        </w:rPr>
        <w:t>агистрант 1-го курса факультета</w:t>
      </w:r>
    </w:p>
    <w:p w:rsidR="00281602" w:rsidRPr="00281602" w:rsidRDefault="00281602" w:rsidP="00281602">
      <w:pPr>
        <w:jc w:val="right"/>
        <w:outlineLvl w:val="2"/>
        <w:rPr>
          <w:bCs/>
          <w:sz w:val="22"/>
          <w:szCs w:val="22"/>
          <w:lang w:eastAsia="en-US"/>
        </w:rPr>
      </w:pPr>
      <w:r w:rsidRPr="00281602">
        <w:rPr>
          <w:bCs/>
          <w:sz w:val="22"/>
          <w:szCs w:val="22"/>
          <w:lang w:eastAsia="en-US"/>
        </w:rPr>
        <w:t>перерабатывающих технологий</w:t>
      </w:r>
    </w:p>
    <w:p w:rsidR="00281602" w:rsidRPr="00281602" w:rsidRDefault="00281602" w:rsidP="00281602">
      <w:pPr>
        <w:jc w:val="right"/>
        <w:outlineLvl w:val="2"/>
        <w:rPr>
          <w:bCs/>
          <w:sz w:val="22"/>
          <w:szCs w:val="22"/>
          <w:lang w:eastAsia="en-US"/>
        </w:rPr>
      </w:pPr>
      <w:r w:rsidRPr="00281602">
        <w:rPr>
          <w:bCs/>
          <w:sz w:val="22"/>
          <w:szCs w:val="22"/>
          <w:lang w:eastAsia="en-US"/>
        </w:rPr>
        <w:t>Кубанский государственный аграрный</w:t>
      </w:r>
    </w:p>
    <w:p w:rsidR="00281602" w:rsidRPr="00281602" w:rsidRDefault="00281602" w:rsidP="00281602">
      <w:pPr>
        <w:jc w:val="right"/>
        <w:outlineLvl w:val="2"/>
        <w:rPr>
          <w:bCs/>
          <w:sz w:val="22"/>
          <w:szCs w:val="22"/>
          <w:lang w:eastAsia="en-US"/>
        </w:rPr>
      </w:pPr>
      <w:r w:rsidRPr="00281602">
        <w:rPr>
          <w:bCs/>
          <w:sz w:val="22"/>
          <w:szCs w:val="22"/>
          <w:lang w:eastAsia="en-US"/>
        </w:rPr>
        <w:t>университет имени И.</w:t>
      </w:r>
      <w:r w:rsidR="00A11DF9">
        <w:rPr>
          <w:bCs/>
          <w:sz w:val="22"/>
          <w:szCs w:val="22"/>
          <w:lang w:eastAsia="en-US"/>
        </w:rPr>
        <w:t xml:space="preserve"> </w:t>
      </w:r>
      <w:r w:rsidRPr="00281602">
        <w:rPr>
          <w:bCs/>
          <w:sz w:val="22"/>
          <w:szCs w:val="22"/>
          <w:lang w:eastAsia="en-US"/>
        </w:rPr>
        <w:t>Т. Трубилина</w:t>
      </w:r>
    </w:p>
    <w:p w:rsidR="00281602" w:rsidRPr="00281602" w:rsidRDefault="00281602" w:rsidP="00281602">
      <w:pPr>
        <w:jc w:val="center"/>
        <w:rPr>
          <w:rFonts w:cs="Calibri"/>
          <w:b/>
          <w:bCs/>
          <w:i/>
          <w:color w:val="000000"/>
          <w:sz w:val="22"/>
          <w:szCs w:val="22"/>
        </w:rPr>
      </w:pPr>
    </w:p>
    <w:p w:rsidR="00281602" w:rsidRPr="00281602" w:rsidRDefault="00281602" w:rsidP="00A11DF9">
      <w:pPr>
        <w:ind w:firstLine="426"/>
        <w:jc w:val="both"/>
        <w:rPr>
          <w:sz w:val="22"/>
          <w:szCs w:val="22"/>
        </w:rPr>
      </w:pPr>
      <w:r w:rsidRPr="00281602">
        <w:rPr>
          <w:sz w:val="22"/>
          <w:szCs w:val="22"/>
        </w:rPr>
        <w:t>АННОТАЦИЯ: Продукты питания на основе сырья сои пол</w:t>
      </w:r>
      <w:r w:rsidRPr="00281602">
        <w:rPr>
          <w:sz w:val="22"/>
          <w:szCs w:val="22"/>
        </w:rPr>
        <w:t>у</w:t>
      </w:r>
      <w:r w:rsidRPr="00281602">
        <w:rPr>
          <w:sz w:val="22"/>
          <w:szCs w:val="22"/>
        </w:rPr>
        <w:t>чили широкое признание благодаря их высокой пищевой ценности и лечебно-профилактическим свойствам. Развитие технологий п</w:t>
      </w:r>
      <w:r w:rsidRPr="00281602">
        <w:rPr>
          <w:sz w:val="22"/>
          <w:szCs w:val="22"/>
        </w:rPr>
        <w:t>о</w:t>
      </w:r>
      <w:r w:rsidRPr="00281602">
        <w:rPr>
          <w:sz w:val="22"/>
          <w:szCs w:val="22"/>
        </w:rPr>
        <w:t>лучения различных соевых продуктов позволит решить проблему здорового питания, а также ряд социальных и экономиче</w:t>
      </w:r>
      <w:r w:rsidRPr="00281602">
        <w:rPr>
          <w:sz w:val="22"/>
          <w:szCs w:val="22"/>
        </w:rPr>
        <w:softHyphen/>
        <w:t>ских в</w:t>
      </w:r>
      <w:r w:rsidRPr="00281602">
        <w:rPr>
          <w:sz w:val="22"/>
          <w:szCs w:val="22"/>
        </w:rPr>
        <w:t>о</w:t>
      </w:r>
      <w:r w:rsidRPr="00281602">
        <w:rPr>
          <w:sz w:val="22"/>
          <w:szCs w:val="22"/>
        </w:rPr>
        <w:t>просов страны.</w:t>
      </w:r>
    </w:p>
    <w:p w:rsidR="00281602" w:rsidRPr="00281602" w:rsidRDefault="00281602" w:rsidP="00A11DF9">
      <w:pPr>
        <w:ind w:firstLine="426"/>
        <w:jc w:val="both"/>
        <w:rPr>
          <w:sz w:val="22"/>
          <w:szCs w:val="22"/>
        </w:rPr>
      </w:pPr>
      <w:r w:rsidRPr="00281602">
        <w:rPr>
          <w:sz w:val="22"/>
          <w:szCs w:val="22"/>
        </w:rPr>
        <w:t xml:space="preserve">КЛЮЧЕВЫЕ СЛОВА: соя, сырье, функциональные продукты, профилактическое назначение, молочнокислое брожение, белки </w:t>
      </w:r>
    </w:p>
    <w:p w:rsidR="00281602" w:rsidRPr="00281602" w:rsidRDefault="00281602" w:rsidP="00A11DF9">
      <w:pPr>
        <w:ind w:firstLine="426"/>
        <w:jc w:val="both"/>
        <w:rPr>
          <w:sz w:val="22"/>
          <w:szCs w:val="22"/>
          <w:lang w:val="en-US"/>
        </w:rPr>
      </w:pPr>
      <w:r w:rsidRPr="00281602">
        <w:rPr>
          <w:sz w:val="22"/>
          <w:szCs w:val="22"/>
          <w:lang w:val="en-US"/>
        </w:rPr>
        <w:t>ABSTRAKT:Food products based on soybean raw materials are widely recognized due to their high nutritional value and therapeutic and preventive properties.The development of technologies for obtaining various soy products will solve the problem of healthy nutrition, as well as a number of social and economic issues of the country.</w:t>
      </w:r>
    </w:p>
    <w:p w:rsidR="00281602" w:rsidRPr="00281602" w:rsidRDefault="00281602" w:rsidP="00A11DF9">
      <w:pPr>
        <w:ind w:firstLine="426"/>
        <w:jc w:val="both"/>
        <w:rPr>
          <w:sz w:val="22"/>
          <w:szCs w:val="22"/>
          <w:lang w:val="en-US"/>
        </w:rPr>
      </w:pPr>
      <w:r w:rsidRPr="00281602">
        <w:rPr>
          <w:sz w:val="22"/>
          <w:szCs w:val="22"/>
          <w:lang w:val="en-US"/>
        </w:rPr>
        <w:t>KEYWORDS:soybean, raw materials, functional products, proph</w:t>
      </w:r>
      <w:r w:rsidRPr="00281602">
        <w:rPr>
          <w:sz w:val="22"/>
          <w:szCs w:val="22"/>
          <w:lang w:val="en-US"/>
        </w:rPr>
        <w:t>y</w:t>
      </w:r>
      <w:r w:rsidRPr="00281602">
        <w:rPr>
          <w:sz w:val="22"/>
          <w:szCs w:val="22"/>
          <w:lang w:val="en-US"/>
        </w:rPr>
        <w:t>lactic appointment, lactic fermentation, proteins</w:t>
      </w:r>
    </w:p>
    <w:p w:rsidR="00281602" w:rsidRPr="00281602" w:rsidRDefault="00281602" w:rsidP="00A11DF9">
      <w:pPr>
        <w:ind w:firstLine="426"/>
        <w:jc w:val="both"/>
        <w:rPr>
          <w:sz w:val="22"/>
          <w:szCs w:val="22"/>
          <w:lang w:val="en-US"/>
        </w:rPr>
      </w:pPr>
    </w:p>
    <w:p w:rsidR="00281602" w:rsidRPr="00281602" w:rsidRDefault="00281602" w:rsidP="00A11DF9">
      <w:pPr>
        <w:ind w:firstLine="426"/>
        <w:jc w:val="both"/>
        <w:rPr>
          <w:spacing w:val="-2"/>
          <w:sz w:val="22"/>
          <w:szCs w:val="22"/>
        </w:rPr>
      </w:pPr>
      <w:r w:rsidRPr="00281602">
        <w:rPr>
          <w:spacing w:val="-2"/>
          <w:sz w:val="22"/>
          <w:szCs w:val="22"/>
        </w:rPr>
        <w:t>Продукты переработки сои можно использовать как натурал</w:t>
      </w:r>
      <w:r w:rsidRPr="00281602">
        <w:rPr>
          <w:spacing w:val="-2"/>
          <w:sz w:val="22"/>
          <w:szCs w:val="22"/>
        </w:rPr>
        <w:t>ь</w:t>
      </w:r>
      <w:r w:rsidRPr="00281602">
        <w:rPr>
          <w:spacing w:val="-2"/>
          <w:sz w:val="22"/>
          <w:szCs w:val="22"/>
        </w:rPr>
        <w:t>ный коррек</w:t>
      </w:r>
      <w:r w:rsidRPr="00281602">
        <w:rPr>
          <w:spacing w:val="-2"/>
          <w:sz w:val="22"/>
          <w:szCs w:val="22"/>
        </w:rPr>
        <w:softHyphen/>
        <w:t>тор при составлении рационов сбалансированного пит</w:t>
      </w:r>
      <w:r w:rsidRPr="00281602">
        <w:rPr>
          <w:spacing w:val="-2"/>
          <w:sz w:val="22"/>
          <w:szCs w:val="22"/>
        </w:rPr>
        <w:t>а</w:t>
      </w:r>
      <w:r w:rsidRPr="00281602">
        <w:rPr>
          <w:spacing w:val="-2"/>
          <w:sz w:val="22"/>
          <w:szCs w:val="22"/>
        </w:rPr>
        <w:t>ния, что весьма актуально для россиян, так как за последние десять лет характерной особенностью питания населения нашей страны яв</w:t>
      </w:r>
      <w:r w:rsidRPr="00281602">
        <w:rPr>
          <w:spacing w:val="-2"/>
          <w:sz w:val="22"/>
          <w:szCs w:val="22"/>
        </w:rPr>
        <w:softHyphen/>
        <w:t>ляется дефицит белка. Кроме того, актуально создание белковых продуктов, предназначенных для представителей различных энерг</w:t>
      </w:r>
      <w:r w:rsidRPr="00281602">
        <w:rPr>
          <w:spacing w:val="-2"/>
          <w:sz w:val="22"/>
          <w:szCs w:val="22"/>
        </w:rPr>
        <w:t>о</w:t>
      </w:r>
      <w:r w:rsidRPr="00281602">
        <w:rPr>
          <w:spacing w:val="-2"/>
          <w:sz w:val="22"/>
          <w:szCs w:val="22"/>
        </w:rPr>
        <w:t>затратных видов деятельности, в том числе и для работников у</w:t>
      </w:r>
      <w:r w:rsidRPr="00281602">
        <w:rPr>
          <w:spacing w:val="-2"/>
          <w:sz w:val="22"/>
          <w:szCs w:val="22"/>
        </w:rPr>
        <w:t>м</w:t>
      </w:r>
      <w:r w:rsidRPr="00281602">
        <w:rPr>
          <w:spacing w:val="-2"/>
          <w:sz w:val="22"/>
          <w:szCs w:val="22"/>
        </w:rPr>
        <w:t>ственного труда [1].</w:t>
      </w:r>
    </w:p>
    <w:p w:rsidR="00281602" w:rsidRPr="00281602" w:rsidRDefault="00281602" w:rsidP="00A11DF9">
      <w:pPr>
        <w:ind w:firstLine="426"/>
        <w:jc w:val="both"/>
        <w:rPr>
          <w:spacing w:val="-2"/>
          <w:sz w:val="22"/>
          <w:szCs w:val="22"/>
        </w:rPr>
      </w:pPr>
      <w:r w:rsidRPr="00281602">
        <w:rPr>
          <w:spacing w:val="-2"/>
          <w:sz w:val="22"/>
          <w:szCs w:val="22"/>
        </w:rPr>
        <w:lastRenderedPageBreak/>
        <w:t>В связи с этим, целью проводимой нами работы является созд</w:t>
      </w:r>
      <w:r w:rsidRPr="00281602">
        <w:rPr>
          <w:spacing w:val="-2"/>
          <w:sz w:val="22"/>
          <w:szCs w:val="22"/>
        </w:rPr>
        <w:t>а</w:t>
      </w:r>
      <w:r w:rsidRPr="00281602">
        <w:rPr>
          <w:spacing w:val="-2"/>
          <w:sz w:val="22"/>
          <w:szCs w:val="22"/>
        </w:rPr>
        <w:t>ние рецептур новых продуктов лечебно-профилактического назнач</w:t>
      </w:r>
      <w:r w:rsidRPr="00281602">
        <w:rPr>
          <w:spacing w:val="-2"/>
          <w:sz w:val="22"/>
          <w:szCs w:val="22"/>
        </w:rPr>
        <w:t>е</w:t>
      </w:r>
      <w:r w:rsidRPr="00281602">
        <w:rPr>
          <w:spacing w:val="-2"/>
          <w:sz w:val="22"/>
          <w:szCs w:val="22"/>
        </w:rPr>
        <w:t>ния на основе сырья сои сортов Славия, Виллана, Веста и Фора с</w:t>
      </w:r>
      <w:r w:rsidRPr="00281602">
        <w:rPr>
          <w:spacing w:val="-2"/>
          <w:sz w:val="22"/>
          <w:szCs w:val="22"/>
        </w:rPr>
        <w:t>о</w:t>
      </w:r>
      <w:r w:rsidRPr="00281602">
        <w:rPr>
          <w:spacing w:val="-2"/>
          <w:sz w:val="22"/>
          <w:szCs w:val="22"/>
        </w:rPr>
        <w:t>временной отечественной селекции и вторичных сырьевых ресурсов его переработки. Необходимо обратить внимание на особенности химического состава семян сои, которые содержат антипитательные вещества, содержание которых порой весьма значительно и потому требует принятия дополнительных мер [4], потому выбор сортов обусловлен низким содержанием в производимом сырье антипит</w:t>
      </w:r>
      <w:r w:rsidRPr="00281602">
        <w:rPr>
          <w:spacing w:val="-2"/>
          <w:sz w:val="22"/>
          <w:szCs w:val="22"/>
        </w:rPr>
        <w:t>а</w:t>
      </w:r>
      <w:r w:rsidRPr="00281602">
        <w:rPr>
          <w:spacing w:val="-2"/>
          <w:sz w:val="22"/>
          <w:szCs w:val="22"/>
        </w:rPr>
        <w:t>тельных компонентов, что обеспечивает минимизацию энергозатрат при их переработке [2, 3]. Работа позволит не только расширить а</w:t>
      </w:r>
      <w:r w:rsidRPr="00281602">
        <w:rPr>
          <w:spacing w:val="-2"/>
          <w:sz w:val="22"/>
          <w:szCs w:val="22"/>
        </w:rPr>
        <w:t>с</w:t>
      </w:r>
      <w:r w:rsidRPr="00281602">
        <w:rPr>
          <w:spacing w:val="-2"/>
          <w:sz w:val="22"/>
          <w:szCs w:val="22"/>
        </w:rPr>
        <w:t>сортимент продукции лечебно-профилактического направления, но и реабилитировать сою в глазах общественности – ведь современные отечественные сорта, полученные селекционерами ВНИИМК, явл</w:t>
      </w:r>
      <w:r w:rsidRPr="00281602">
        <w:rPr>
          <w:spacing w:val="-2"/>
          <w:sz w:val="22"/>
          <w:szCs w:val="22"/>
        </w:rPr>
        <w:t>я</w:t>
      </w:r>
      <w:r w:rsidRPr="00281602">
        <w:rPr>
          <w:spacing w:val="-2"/>
          <w:sz w:val="22"/>
          <w:szCs w:val="22"/>
        </w:rPr>
        <w:t>ются продуктом традиционных методов селекционной работы и в отличие от широко используемых генномодифицированных форм, не представляют никакой опасности для потребителя.</w:t>
      </w:r>
    </w:p>
    <w:p w:rsidR="00281602" w:rsidRPr="00281602" w:rsidRDefault="00281602" w:rsidP="00A11DF9">
      <w:pPr>
        <w:ind w:firstLine="426"/>
        <w:jc w:val="both"/>
        <w:rPr>
          <w:sz w:val="22"/>
          <w:szCs w:val="22"/>
        </w:rPr>
      </w:pPr>
      <w:r w:rsidRPr="00281602">
        <w:rPr>
          <w:sz w:val="22"/>
          <w:szCs w:val="22"/>
        </w:rPr>
        <w:t>Пектиновые вещества содержатся в плодовых оболочках сои в достаточном количестве, чтобы назвать этот вид сырья перспекти</w:t>
      </w:r>
      <w:r w:rsidRPr="00281602">
        <w:rPr>
          <w:sz w:val="22"/>
          <w:szCs w:val="22"/>
        </w:rPr>
        <w:t>в</w:t>
      </w:r>
      <w:r w:rsidRPr="00281602">
        <w:rPr>
          <w:sz w:val="22"/>
          <w:szCs w:val="22"/>
        </w:rPr>
        <w:t>ным для переработки с получением пектиновых экстрактов. Пок</w:t>
      </w:r>
      <w:r w:rsidRPr="00281602">
        <w:rPr>
          <w:sz w:val="22"/>
          <w:szCs w:val="22"/>
        </w:rPr>
        <w:t>а</w:t>
      </w:r>
      <w:r w:rsidRPr="00281602">
        <w:rPr>
          <w:sz w:val="22"/>
          <w:szCs w:val="22"/>
        </w:rPr>
        <w:t>зана возможность использования получаемых гидратопектинов в качестве заливки при производстве консервов или в качестве осн</w:t>
      </w:r>
      <w:r w:rsidRPr="00281602">
        <w:rPr>
          <w:sz w:val="22"/>
          <w:szCs w:val="22"/>
        </w:rPr>
        <w:t>о</w:t>
      </w:r>
      <w:r w:rsidRPr="00281602">
        <w:rPr>
          <w:sz w:val="22"/>
          <w:szCs w:val="22"/>
        </w:rPr>
        <w:t>вы при приготовлении безалкогольных напитков функционального назначения [5].</w:t>
      </w:r>
    </w:p>
    <w:p w:rsidR="00281602" w:rsidRPr="00281602" w:rsidRDefault="00281602" w:rsidP="00A11DF9">
      <w:pPr>
        <w:ind w:firstLine="426"/>
        <w:jc w:val="both"/>
        <w:rPr>
          <w:sz w:val="22"/>
          <w:szCs w:val="22"/>
        </w:rPr>
      </w:pPr>
      <w:r w:rsidRPr="00281602">
        <w:rPr>
          <w:sz w:val="22"/>
          <w:szCs w:val="22"/>
        </w:rPr>
        <w:t>В литературе неоднократно отмечалось, что напиток является наиболее удобной, технологичной и весьма привлекательной для потребителя формой представления питательных, биологически-активных веществ и функциональных ингредиентов. По этой пр</w:t>
      </w:r>
      <w:r w:rsidRPr="00281602">
        <w:rPr>
          <w:sz w:val="22"/>
          <w:szCs w:val="22"/>
        </w:rPr>
        <w:t>и</w:t>
      </w:r>
      <w:r w:rsidRPr="00281602">
        <w:rPr>
          <w:sz w:val="22"/>
          <w:szCs w:val="22"/>
        </w:rPr>
        <w:t>чине нами было принято решение разработать рецептуры напитков на основе сырья сои, отвечающих основным запросам широкой массы потребителей и всем требованиям нормативной документ</w:t>
      </w:r>
      <w:r w:rsidRPr="00281602">
        <w:rPr>
          <w:sz w:val="22"/>
          <w:szCs w:val="22"/>
        </w:rPr>
        <w:t>а</w:t>
      </w:r>
      <w:r w:rsidRPr="00281602">
        <w:rPr>
          <w:sz w:val="22"/>
          <w:szCs w:val="22"/>
        </w:rPr>
        <w:t>ции к функциональным продуктам питания. Решить поставленную задачу можно посредством создания линейки рецептур белковых напитков, в том числе и с применением способа ферментации сырья путем использования аптечных форм готовых заквасок на основе чистых культур молочнокислых бактерий. Предполагается прим</w:t>
      </w:r>
      <w:r w:rsidRPr="00281602">
        <w:rPr>
          <w:sz w:val="22"/>
          <w:szCs w:val="22"/>
        </w:rPr>
        <w:t>е</w:t>
      </w:r>
      <w:r w:rsidRPr="00281602">
        <w:rPr>
          <w:sz w:val="22"/>
          <w:szCs w:val="22"/>
        </w:rPr>
        <w:t xml:space="preserve">нение пищевых волокон в составе напитка. Такой напиток будет иметь пробиотические свойства, что и позволит рекомендовать его </w:t>
      </w:r>
      <w:r w:rsidRPr="00281602">
        <w:rPr>
          <w:sz w:val="22"/>
          <w:szCs w:val="22"/>
        </w:rPr>
        <w:lastRenderedPageBreak/>
        <w:t xml:space="preserve">как лечебно-профилактический продукт, полезный потребителям всех без исключения возрастных категорий. </w:t>
      </w:r>
    </w:p>
    <w:p w:rsidR="00281602" w:rsidRPr="00281602" w:rsidRDefault="00281602" w:rsidP="00A11DF9">
      <w:pPr>
        <w:ind w:firstLine="426"/>
        <w:jc w:val="both"/>
        <w:rPr>
          <w:spacing w:val="-2"/>
          <w:sz w:val="22"/>
          <w:szCs w:val="22"/>
        </w:rPr>
      </w:pPr>
      <w:r w:rsidRPr="00281602">
        <w:rPr>
          <w:spacing w:val="-2"/>
          <w:sz w:val="22"/>
          <w:szCs w:val="22"/>
        </w:rPr>
        <w:t>Проводимые нами исследования в ближайшей перспективе по</w:t>
      </w:r>
      <w:r w:rsidRPr="00281602">
        <w:rPr>
          <w:spacing w:val="-2"/>
          <w:sz w:val="22"/>
          <w:szCs w:val="22"/>
        </w:rPr>
        <w:t>з</w:t>
      </w:r>
      <w:r w:rsidRPr="00281602">
        <w:rPr>
          <w:spacing w:val="-2"/>
          <w:sz w:val="22"/>
          <w:szCs w:val="22"/>
        </w:rPr>
        <w:t>волят значительно усовершенствовать существующую технологию комплексной переработки сырья сои, дополнив ее способом получ</w:t>
      </w:r>
      <w:r w:rsidRPr="00281602">
        <w:rPr>
          <w:spacing w:val="-2"/>
          <w:sz w:val="22"/>
          <w:szCs w:val="22"/>
        </w:rPr>
        <w:t>е</w:t>
      </w:r>
      <w:r w:rsidRPr="00281602">
        <w:rPr>
          <w:spacing w:val="-2"/>
          <w:sz w:val="22"/>
          <w:szCs w:val="22"/>
        </w:rPr>
        <w:t>нием молочнокислого пектинсодержащего соевого напитка лечебно-профилактического назначения, что, безусловно, будет способств</w:t>
      </w:r>
      <w:r w:rsidRPr="00281602">
        <w:rPr>
          <w:spacing w:val="-2"/>
          <w:sz w:val="22"/>
          <w:szCs w:val="22"/>
        </w:rPr>
        <w:t>о</w:t>
      </w:r>
      <w:r w:rsidRPr="00281602">
        <w:rPr>
          <w:spacing w:val="-2"/>
          <w:sz w:val="22"/>
          <w:szCs w:val="22"/>
        </w:rPr>
        <w:t xml:space="preserve">вать развитию индустрии продуктов здорового питания, а в целом позволит повысить экономическую эффективность производства и переработки сырья сои. </w:t>
      </w:r>
    </w:p>
    <w:p w:rsidR="00281602" w:rsidRPr="00281602" w:rsidRDefault="00281602" w:rsidP="00A11DF9">
      <w:pPr>
        <w:widowControl w:val="0"/>
        <w:autoSpaceDE w:val="0"/>
        <w:autoSpaceDN w:val="0"/>
        <w:adjustRightInd w:val="0"/>
        <w:ind w:firstLine="426"/>
        <w:jc w:val="both"/>
        <w:rPr>
          <w:sz w:val="22"/>
          <w:szCs w:val="22"/>
        </w:rPr>
      </w:pPr>
    </w:p>
    <w:p w:rsidR="00281602" w:rsidRPr="00281602" w:rsidRDefault="00281602" w:rsidP="00A11DF9">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A11DF9">
      <w:pPr>
        <w:numPr>
          <w:ilvl w:val="0"/>
          <w:numId w:val="27"/>
        </w:numPr>
        <w:tabs>
          <w:tab w:val="left" w:pos="720"/>
        </w:tabs>
        <w:ind w:left="0" w:firstLine="426"/>
        <w:jc w:val="both"/>
        <w:rPr>
          <w:rFonts w:eastAsia="Calibri"/>
          <w:sz w:val="22"/>
          <w:szCs w:val="22"/>
          <w:lang w:eastAsia="en-US"/>
        </w:rPr>
      </w:pPr>
      <w:r w:rsidRPr="00281602">
        <w:rPr>
          <w:rFonts w:eastAsia="Calibri"/>
          <w:sz w:val="22"/>
          <w:szCs w:val="22"/>
          <w:lang w:eastAsia="en-US"/>
        </w:rPr>
        <w:t>Касьянов</w:t>
      </w:r>
      <w:r w:rsidR="00A11DF9">
        <w:rPr>
          <w:rFonts w:eastAsia="Calibri"/>
          <w:sz w:val="22"/>
          <w:szCs w:val="22"/>
          <w:lang w:eastAsia="en-US"/>
        </w:rPr>
        <w:t xml:space="preserve"> </w:t>
      </w:r>
      <w:r w:rsidRPr="00281602">
        <w:rPr>
          <w:rFonts w:eastAsia="Calibri"/>
          <w:sz w:val="22"/>
          <w:szCs w:val="22"/>
          <w:lang w:eastAsia="en-US"/>
        </w:rPr>
        <w:t>Д.Г., Гринченко В.С., Ольховатов Е.А. Разработка продуктов питания для людей занятых умственной деятельностью // Политематический сетевой электронный научный журнал Куба</w:t>
      </w:r>
      <w:r w:rsidRPr="00281602">
        <w:rPr>
          <w:rFonts w:eastAsia="Calibri"/>
          <w:sz w:val="22"/>
          <w:szCs w:val="22"/>
          <w:lang w:eastAsia="en-US"/>
        </w:rPr>
        <w:t>н</w:t>
      </w:r>
      <w:r w:rsidRPr="00281602">
        <w:rPr>
          <w:rFonts w:eastAsia="Calibri"/>
          <w:sz w:val="22"/>
          <w:szCs w:val="22"/>
          <w:lang w:eastAsia="en-US"/>
        </w:rPr>
        <w:t>ского государственного аграрного университета. 2016. № 122. С. 930–940.</w:t>
      </w:r>
    </w:p>
    <w:p w:rsidR="00281602" w:rsidRPr="00281602" w:rsidRDefault="00281602" w:rsidP="00A11DF9">
      <w:pPr>
        <w:numPr>
          <w:ilvl w:val="0"/>
          <w:numId w:val="27"/>
        </w:numPr>
        <w:tabs>
          <w:tab w:val="left" w:pos="720"/>
        </w:tabs>
        <w:ind w:left="0" w:firstLine="426"/>
        <w:jc w:val="both"/>
        <w:rPr>
          <w:spacing w:val="2"/>
          <w:sz w:val="22"/>
          <w:szCs w:val="22"/>
        </w:rPr>
      </w:pPr>
      <w:r w:rsidRPr="00281602">
        <w:rPr>
          <w:spacing w:val="2"/>
          <w:sz w:val="22"/>
          <w:szCs w:val="22"/>
        </w:rPr>
        <w:t>Ольховатов Е. А., Щербакова  Е. В. Разработка рецептур бобовых паст «хумус» с применением семян сои современных сортов отечественной селекции // Сборник научных трудов Вс</w:t>
      </w:r>
      <w:r w:rsidRPr="00281602">
        <w:rPr>
          <w:spacing w:val="2"/>
          <w:sz w:val="22"/>
          <w:szCs w:val="22"/>
        </w:rPr>
        <w:t>е</w:t>
      </w:r>
      <w:r w:rsidRPr="00281602">
        <w:rPr>
          <w:spacing w:val="2"/>
          <w:sz w:val="22"/>
          <w:szCs w:val="22"/>
        </w:rPr>
        <w:t>российского научно-исследовательского института овцеводства и козоводства. Ставрополь, 2015. Т. 1. № 8. С. 241–244.</w:t>
      </w:r>
    </w:p>
    <w:p w:rsidR="00281602" w:rsidRPr="00281602" w:rsidRDefault="00281602" w:rsidP="00A11DF9">
      <w:pPr>
        <w:numPr>
          <w:ilvl w:val="0"/>
          <w:numId w:val="27"/>
        </w:numPr>
        <w:tabs>
          <w:tab w:val="left" w:pos="720"/>
        </w:tabs>
        <w:ind w:left="0" w:firstLine="426"/>
        <w:jc w:val="both"/>
        <w:rPr>
          <w:sz w:val="22"/>
          <w:szCs w:val="22"/>
        </w:rPr>
      </w:pPr>
      <w:r w:rsidRPr="00281602">
        <w:rPr>
          <w:sz w:val="22"/>
          <w:szCs w:val="22"/>
        </w:rPr>
        <w:t>Ольховатов Е. А., Щербакова Е. В. Создание рецептур боб</w:t>
      </w:r>
      <w:r w:rsidRPr="00281602">
        <w:rPr>
          <w:sz w:val="22"/>
          <w:szCs w:val="22"/>
        </w:rPr>
        <w:t>о</w:t>
      </w:r>
      <w:r w:rsidRPr="00281602">
        <w:rPr>
          <w:sz w:val="22"/>
          <w:szCs w:val="22"/>
        </w:rPr>
        <w:t>вых паст на основе сырья сои сортов современной отечественной селекции // Научное обеспечение агропромышленного комплекса : сборник статей по материалам 71-й научно-практической конф</w:t>
      </w:r>
      <w:r w:rsidRPr="00281602">
        <w:rPr>
          <w:sz w:val="22"/>
          <w:szCs w:val="22"/>
        </w:rPr>
        <w:t>е</w:t>
      </w:r>
      <w:r w:rsidRPr="00281602">
        <w:rPr>
          <w:sz w:val="22"/>
          <w:szCs w:val="22"/>
        </w:rPr>
        <w:t>ренции преподавателей по итогам НИР за 2016 г. Краснодар : КубГАУ. С. 741–742.</w:t>
      </w:r>
    </w:p>
    <w:p w:rsidR="00281602" w:rsidRPr="00281602" w:rsidRDefault="00281602" w:rsidP="00A11DF9">
      <w:pPr>
        <w:numPr>
          <w:ilvl w:val="0"/>
          <w:numId w:val="27"/>
        </w:numPr>
        <w:tabs>
          <w:tab w:val="left" w:pos="0"/>
          <w:tab w:val="left" w:pos="567"/>
          <w:tab w:val="left" w:pos="720"/>
          <w:tab w:val="left" w:pos="993"/>
        </w:tabs>
        <w:ind w:left="0" w:firstLine="426"/>
        <w:jc w:val="both"/>
        <w:rPr>
          <w:spacing w:val="2"/>
          <w:sz w:val="22"/>
          <w:szCs w:val="22"/>
        </w:rPr>
      </w:pPr>
      <w:r w:rsidRPr="00281602">
        <w:rPr>
          <w:spacing w:val="2"/>
          <w:sz w:val="22"/>
          <w:szCs w:val="22"/>
        </w:rPr>
        <w:t>Ольховатов Е.А. Щербакова Е.В., Рашидова Г.М., Касьянов Г.И. Антипитательные компоненты семян сельскохозяйственных культур и проблема их устранения // Устойчивое развитие, экол</w:t>
      </w:r>
      <w:r w:rsidRPr="00281602">
        <w:rPr>
          <w:spacing w:val="2"/>
          <w:sz w:val="22"/>
          <w:szCs w:val="22"/>
        </w:rPr>
        <w:t>о</w:t>
      </w:r>
      <w:r w:rsidRPr="00281602">
        <w:rPr>
          <w:spacing w:val="2"/>
          <w:sz w:val="22"/>
          <w:szCs w:val="22"/>
        </w:rPr>
        <w:t>гически безопасные технологии и оборудование для переработки пищевого сельскохозяйственного сырья; импортоопережение : сборник материалов международной научно-практической конф</w:t>
      </w:r>
      <w:r w:rsidRPr="00281602">
        <w:rPr>
          <w:spacing w:val="2"/>
          <w:sz w:val="22"/>
          <w:szCs w:val="22"/>
        </w:rPr>
        <w:t>е</w:t>
      </w:r>
      <w:r w:rsidRPr="00281602">
        <w:rPr>
          <w:spacing w:val="2"/>
          <w:sz w:val="22"/>
          <w:szCs w:val="22"/>
        </w:rPr>
        <w:t>ренции. 2016. С. 141</w:t>
      </w:r>
      <w:r w:rsidRPr="00281602">
        <w:rPr>
          <w:spacing w:val="-4"/>
          <w:sz w:val="22"/>
          <w:szCs w:val="22"/>
        </w:rPr>
        <w:t>–</w:t>
      </w:r>
      <w:r w:rsidRPr="00281602">
        <w:rPr>
          <w:spacing w:val="2"/>
          <w:sz w:val="22"/>
          <w:szCs w:val="22"/>
        </w:rPr>
        <w:t>143.</w:t>
      </w:r>
    </w:p>
    <w:p w:rsidR="00281602" w:rsidRPr="00281602" w:rsidRDefault="00281602" w:rsidP="00A11DF9">
      <w:pPr>
        <w:numPr>
          <w:ilvl w:val="0"/>
          <w:numId w:val="27"/>
        </w:numPr>
        <w:tabs>
          <w:tab w:val="left" w:pos="0"/>
          <w:tab w:val="left" w:pos="567"/>
          <w:tab w:val="left" w:pos="720"/>
          <w:tab w:val="left" w:pos="993"/>
        </w:tabs>
        <w:ind w:left="0" w:firstLine="426"/>
        <w:jc w:val="both"/>
        <w:rPr>
          <w:sz w:val="22"/>
          <w:szCs w:val="22"/>
        </w:rPr>
      </w:pPr>
      <w:r w:rsidRPr="00281602">
        <w:rPr>
          <w:sz w:val="22"/>
          <w:szCs w:val="22"/>
        </w:rPr>
        <w:t>Родионова Л.Я. Степовой А.В., Ольховатов Е.А., Пивень М.М. Проектирование рецептур тонизирующих безалкогольных напитков с выраженными профилактическими свойствами // Пол</w:t>
      </w:r>
      <w:r w:rsidRPr="00281602">
        <w:rPr>
          <w:sz w:val="22"/>
          <w:szCs w:val="22"/>
        </w:rPr>
        <w:t>и</w:t>
      </w:r>
      <w:r w:rsidRPr="00281602">
        <w:rPr>
          <w:sz w:val="22"/>
          <w:szCs w:val="22"/>
        </w:rPr>
        <w:lastRenderedPageBreak/>
        <w:t>тематический сетевой электронный научный журнал Кубанского государственного аграрного университета. 2016. № 122. С. 941</w:t>
      </w:r>
      <w:r w:rsidRPr="00281602">
        <w:rPr>
          <w:spacing w:val="-4"/>
          <w:sz w:val="22"/>
          <w:szCs w:val="22"/>
        </w:rPr>
        <w:t>–</w:t>
      </w:r>
      <w:r w:rsidRPr="00281602">
        <w:rPr>
          <w:sz w:val="22"/>
          <w:szCs w:val="22"/>
        </w:rPr>
        <w:t>952.</w:t>
      </w: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rFonts w:eastAsia="Calibri"/>
          <w:color w:val="000000"/>
          <w:sz w:val="22"/>
          <w:szCs w:val="22"/>
          <w:shd w:val="clear" w:color="auto" w:fill="FFFFFF"/>
          <w:lang w:eastAsia="en-US"/>
        </w:rPr>
      </w:pPr>
    </w:p>
    <w:p w:rsidR="00281602" w:rsidRPr="00281602" w:rsidRDefault="00281602" w:rsidP="00281602">
      <w:pPr>
        <w:jc w:val="both"/>
        <w:rPr>
          <w:sz w:val="20"/>
          <w:szCs w:val="20"/>
        </w:rPr>
      </w:pPr>
      <w:r w:rsidRPr="00281602">
        <w:rPr>
          <w:sz w:val="20"/>
          <w:szCs w:val="20"/>
        </w:rPr>
        <w:t>УДК 664.8.022</w:t>
      </w:r>
    </w:p>
    <w:p w:rsidR="00281602" w:rsidRPr="00281602" w:rsidRDefault="00281602" w:rsidP="00281602">
      <w:pPr>
        <w:jc w:val="center"/>
        <w:rPr>
          <w:b/>
          <w:sz w:val="20"/>
          <w:szCs w:val="20"/>
        </w:rPr>
      </w:pPr>
    </w:p>
    <w:p w:rsidR="00281602" w:rsidRPr="00281602" w:rsidRDefault="00281602" w:rsidP="00281602">
      <w:pPr>
        <w:jc w:val="center"/>
        <w:rPr>
          <w:b/>
          <w:sz w:val="24"/>
          <w:szCs w:val="24"/>
          <w:lang w:val="en-US"/>
        </w:rPr>
      </w:pPr>
      <w:r w:rsidRPr="00281602">
        <w:rPr>
          <w:b/>
          <w:sz w:val="24"/>
          <w:szCs w:val="24"/>
        </w:rPr>
        <w:t>Оценка качества зерна озимой мягкой пшеницы селекции «Национального центра зерна им. П</w:t>
      </w:r>
      <w:r w:rsidRPr="00281602">
        <w:rPr>
          <w:b/>
          <w:sz w:val="24"/>
          <w:szCs w:val="24"/>
          <w:lang w:val="en-US"/>
        </w:rPr>
        <w:t>.</w:t>
      </w:r>
      <w:r w:rsidRPr="00281602">
        <w:rPr>
          <w:b/>
          <w:sz w:val="24"/>
          <w:szCs w:val="24"/>
        </w:rPr>
        <w:t>П</w:t>
      </w:r>
      <w:r w:rsidRPr="00281602">
        <w:rPr>
          <w:b/>
          <w:sz w:val="24"/>
          <w:szCs w:val="24"/>
          <w:lang w:val="en-US"/>
        </w:rPr>
        <w:t xml:space="preserve">. </w:t>
      </w:r>
      <w:r w:rsidRPr="00281602">
        <w:rPr>
          <w:b/>
          <w:sz w:val="24"/>
          <w:szCs w:val="24"/>
        </w:rPr>
        <w:t>Лукьяненко</w:t>
      </w:r>
      <w:r w:rsidRPr="00281602">
        <w:rPr>
          <w:b/>
          <w:sz w:val="24"/>
          <w:szCs w:val="24"/>
          <w:lang w:val="en-US"/>
        </w:rPr>
        <w:t>»</w:t>
      </w:r>
    </w:p>
    <w:p w:rsidR="00281602" w:rsidRPr="00281602" w:rsidRDefault="00281602" w:rsidP="00281602">
      <w:pPr>
        <w:jc w:val="center"/>
        <w:rPr>
          <w:b/>
          <w:sz w:val="24"/>
          <w:szCs w:val="24"/>
          <w:lang w:val="en-US"/>
        </w:rPr>
      </w:pPr>
      <w:r w:rsidRPr="00281602">
        <w:rPr>
          <w:b/>
          <w:sz w:val="24"/>
          <w:szCs w:val="24"/>
          <w:lang w:val="en-US"/>
        </w:rPr>
        <w:t xml:space="preserve"> </w:t>
      </w:r>
      <w:r w:rsidRPr="00281602">
        <w:rPr>
          <w:b/>
          <w:sz w:val="24"/>
          <w:szCs w:val="24"/>
        </w:rPr>
        <w:t>для</w:t>
      </w:r>
      <w:r w:rsidRPr="00281602">
        <w:rPr>
          <w:b/>
          <w:sz w:val="24"/>
          <w:szCs w:val="24"/>
          <w:lang w:val="en-US"/>
        </w:rPr>
        <w:t xml:space="preserve"> </w:t>
      </w:r>
      <w:r w:rsidRPr="00281602">
        <w:rPr>
          <w:b/>
          <w:sz w:val="24"/>
          <w:szCs w:val="24"/>
        </w:rPr>
        <w:t>производства</w:t>
      </w:r>
      <w:r w:rsidRPr="00281602">
        <w:rPr>
          <w:b/>
          <w:sz w:val="24"/>
          <w:szCs w:val="24"/>
          <w:lang w:val="en-US"/>
        </w:rPr>
        <w:t xml:space="preserve"> </w:t>
      </w:r>
      <w:r w:rsidRPr="00281602">
        <w:rPr>
          <w:b/>
          <w:sz w:val="24"/>
          <w:szCs w:val="24"/>
        </w:rPr>
        <w:t>зернового</w:t>
      </w:r>
      <w:r w:rsidRPr="00281602">
        <w:rPr>
          <w:b/>
          <w:sz w:val="24"/>
          <w:szCs w:val="24"/>
          <w:lang w:val="en-US"/>
        </w:rPr>
        <w:t xml:space="preserve"> </w:t>
      </w:r>
      <w:r w:rsidRPr="00281602">
        <w:rPr>
          <w:b/>
          <w:sz w:val="24"/>
          <w:szCs w:val="24"/>
        </w:rPr>
        <w:t>хлеба</w:t>
      </w:r>
    </w:p>
    <w:p w:rsidR="00281602" w:rsidRPr="00281602"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281602">
        <w:rPr>
          <w:b/>
          <w:color w:val="212121"/>
          <w:sz w:val="24"/>
          <w:szCs w:val="24"/>
          <w:lang w:val="en-US"/>
        </w:rPr>
        <w:t xml:space="preserve">Evaluation of grain quality of winter soft wheat selection </w:t>
      </w:r>
      <w:r w:rsidR="00A11DF9" w:rsidRPr="00A11DF9">
        <w:rPr>
          <w:b/>
          <w:color w:val="212121"/>
          <w:sz w:val="24"/>
          <w:szCs w:val="24"/>
          <w:lang w:val="en-US"/>
        </w:rPr>
        <w:br/>
      </w:r>
      <w:r w:rsidRPr="00281602">
        <w:rPr>
          <w:b/>
          <w:color w:val="212121"/>
          <w:sz w:val="24"/>
          <w:szCs w:val="24"/>
          <w:lang w:val="en-US"/>
        </w:rPr>
        <w:t xml:space="preserve">"National Center of Grain them. P.P. Lukyanenkofor </w:t>
      </w:r>
      <w:r w:rsidR="00A11DF9" w:rsidRPr="00A11DF9">
        <w:rPr>
          <w:b/>
          <w:color w:val="212121"/>
          <w:sz w:val="24"/>
          <w:szCs w:val="24"/>
          <w:lang w:val="en-US"/>
        </w:rPr>
        <w:br/>
      </w:r>
      <w:r w:rsidRPr="00281602">
        <w:rPr>
          <w:b/>
          <w:color w:val="212121"/>
          <w:sz w:val="24"/>
          <w:szCs w:val="24"/>
          <w:lang w:val="en-US"/>
        </w:rPr>
        <w:t>the production of grain bread</w:t>
      </w:r>
    </w:p>
    <w:p w:rsidR="00281602" w:rsidRPr="001755C3"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lang w:val="en-US"/>
        </w:rPr>
      </w:pP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en-US"/>
        </w:rPr>
      </w:pPr>
      <w:r w:rsidRPr="000D0D2D">
        <w:rPr>
          <w:sz w:val="22"/>
          <w:szCs w:val="22"/>
        </w:rPr>
        <w:t>Казакова</w:t>
      </w:r>
      <w:r w:rsidR="00A11DF9" w:rsidRPr="000D0D2D">
        <w:rPr>
          <w:sz w:val="22"/>
          <w:szCs w:val="22"/>
          <w:lang w:val="en-US"/>
        </w:rPr>
        <w:t xml:space="preserve"> </w:t>
      </w:r>
      <w:r w:rsidRPr="000D0D2D">
        <w:rPr>
          <w:sz w:val="22"/>
          <w:szCs w:val="22"/>
        </w:rPr>
        <w:t>В</w:t>
      </w:r>
      <w:r w:rsidRPr="000D0D2D">
        <w:rPr>
          <w:sz w:val="22"/>
          <w:szCs w:val="22"/>
          <w:lang w:val="en-US"/>
        </w:rPr>
        <w:t>.</w:t>
      </w:r>
      <w:r w:rsidR="00A11DF9" w:rsidRPr="000D0D2D">
        <w:rPr>
          <w:sz w:val="22"/>
          <w:szCs w:val="22"/>
          <w:lang w:val="en-US"/>
        </w:rPr>
        <w:t xml:space="preserve"> </w:t>
      </w:r>
      <w:r w:rsidRPr="000D0D2D">
        <w:rPr>
          <w:sz w:val="22"/>
          <w:szCs w:val="22"/>
        </w:rPr>
        <w:t>С</w:t>
      </w:r>
      <w:r w:rsidRPr="000D0D2D">
        <w:rPr>
          <w:sz w:val="22"/>
          <w:szCs w:val="22"/>
          <w:lang w:val="en-US"/>
        </w:rPr>
        <w:t>.,</w:t>
      </w:r>
    </w:p>
    <w:p w:rsidR="00281602" w:rsidRPr="000D0D2D" w:rsidRDefault="00A11DF9"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студент 2-го курса факультета</w:t>
      </w: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перерабатывающих технологий</w:t>
      </w: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Сокол Н.</w:t>
      </w:r>
      <w:r w:rsidR="00A11DF9" w:rsidRPr="000D0D2D">
        <w:rPr>
          <w:sz w:val="22"/>
          <w:szCs w:val="22"/>
        </w:rPr>
        <w:t xml:space="preserve"> </w:t>
      </w:r>
      <w:r w:rsidRPr="000D0D2D">
        <w:rPr>
          <w:sz w:val="22"/>
          <w:szCs w:val="22"/>
        </w:rPr>
        <w:t>В.</w:t>
      </w:r>
      <w:r w:rsidR="00A11DF9" w:rsidRPr="000D0D2D">
        <w:rPr>
          <w:sz w:val="22"/>
          <w:szCs w:val="22"/>
        </w:rPr>
        <w:t>,</w:t>
      </w:r>
    </w:p>
    <w:p w:rsidR="00A11DF9"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профессор кафедры технологии</w:t>
      </w: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 xml:space="preserve"> хранения и переработки</w:t>
      </w: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Кубанский государственный аграрный</w:t>
      </w:r>
    </w:p>
    <w:p w:rsidR="00281602" w:rsidRPr="000D0D2D"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rPr>
      </w:pPr>
      <w:r w:rsidRPr="000D0D2D">
        <w:rPr>
          <w:sz w:val="22"/>
          <w:szCs w:val="22"/>
        </w:rPr>
        <w:t>университет имени И.</w:t>
      </w:r>
      <w:r w:rsidR="00A11DF9" w:rsidRPr="000D0D2D">
        <w:rPr>
          <w:sz w:val="22"/>
          <w:szCs w:val="22"/>
        </w:rPr>
        <w:t xml:space="preserve"> </w:t>
      </w:r>
      <w:r w:rsidRPr="000D0D2D">
        <w:rPr>
          <w:sz w:val="22"/>
          <w:szCs w:val="22"/>
        </w:rPr>
        <w:t>Т. Трубилина</w:t>
      </w:r>
    </w:p>
    <w:p w:rsidR="00281602" w:rsidRPr="00281602" w:rsidRDefault="00281602" w:rsidP="00281602">
      <w:pPr>
        <w:jc w:val="center"/>
        <w:rPr>
          <w:b/>
          <w:sz w:val="22"/>
          <w:szCs w:val="24"/>
        </w:rPr>
      </w:pPr>
    </w:p>
    <w:p w:rsidR="00281602" w:rsidRPr="000D0D2D" w:rsidRDefault="00281602" w:rsidP="00A11DF9">
      <w:pPr>
        <w:tabs>
          <w:tab w:val="left" w:pos="6379"/>
        </w:tabs>
        <w:ind w:right="85" w:firstLine="426"/>
        <w:jc w:val="both"/>
        <w:rPr>
          <w:sz w:val="22"/>
          <w:szCs w:val="20"/>
          <w:lang w:val="en-US"/>
        </w:rPr>
      </w:pPr>
      <w:r w:rsidRPr="000D0D2D">
        <w:rPr>
          <w:sz w:val="22"/>
          <w:szCs w:val="20"/>
        </w:rPr>
        <w:t>АННОТАЦИЯ: В работе представлены результаты оценки к</w:t>
      </w:r>
      <w:r w:rsidRPr="000D0D2D">
        <w:rPr>
          <w:sz w:val="22"/>
          <w:szCs w:val="20"/>
        </w:rPr>
        <w:t>а</w:t>
      </w:r>
      <w:r w:rsidRPr="000D0D2D">
        <w:rPr>
          <w:sz w:val="22"/>
          <w:szCs w:val="20"/>
        </w:rPr>
        <w:t>чества зерна сортов Курень, Табор, Таня, Калым по показателям натура, масса 1000 зерен, стекловидность, массовая доля клейк</w:t>
      </w:r>
      <w:r w:rsidRPr="000D0D2D">
        <w:rPr>
          <w:sz w:val="22"/>
          <w:szCs w:val="20"/>
        </w:rPr>
        <w:t>о</w:t>
      </w:r>
      <w:r w:rsidRPr="000D0D2D">
        <w:rPr>
          <w:sz w:val="22"/>
          <w:szCs w:val="20"/>
        </w:rPr>
        <w:t>вины, массовая доля белка. Показано</w:t>
      </w:r>
      <w:r w:rsidRPr="000D0D2D">
        <w:rPr>
          <w:sz w:val="22"/>
          <w:szCs w:val="20"/>
          <w:lang w:val="en-US"/>
        </w:rPr>
        <w:t xml:space="preserve">, </w:t>
      </w:r>
      <w:r w:rsidRPr="000D0D2D">
        <w:rPr>
          <w:sz w:val="22"/>
          <w:szCs w:val="20"/>
        </w:rPr>
        <w:t>чтопокомплексупоказат</w:t>
      </w:r>
      <w:r w:rsidRPr="000D0D2D">
        <w:rPr>
          <w:sz w:val="22"/>
          <w:szCs w:val="20"/>
        </w:rPr>
        <w:t>е</w:t>
      </w:r>
      <w:r w:rsidRPr="000D0D2D">
        <w:rPr>
          <w:sz w:val="22"/>
          <w:szCs w:val="20"/>
        </w:rPr>
        <w:t>лейвыделилсясортТабор</w:t>
      </w:r>
      <w:r w:rsidRPr="000D0D2D">
        <w:rPr>
          <w:sz w:val="22"/>
          <w:szCs w:val="20"/>
          <w:lang w:val="en-US"/>
        </w:rPr>
        <w:t>.</w:t>
      </w:r>
    </w:p>
    <w:p w:rsidR="00281602" w:rsidRPr="000D0D2D"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firstLine="426"/>
        <w:jc w:val="both"/>
        <w:rPr>
          <w:sz w:val="22"/>
          <w:szCs w:val="20"/>
          <w:lang w:val="en-US"/>
        </w:rPr>
      </w:pPr>
      <w:r w:rsidRPr="000D0D2D">
        <w:rPr>
          <w:sz w:val="22"/>
          <w:szCs w:val="20"/>
          <w:lang w:val="en-US"/>
        </w:rPr>
        <w:t xml:space="preserve">ABSTRACT: </w:t>
      </w:r>
      <w:r w:rsidRPr="000D0D2D">
        <w:rPr>
          <w:sz w:val="22"/>
          <w:szCs w:val="20"/>
          <w:shd w:val="clear" w:color="auto" w:fill="FFFFFF"/>
          <w:lang w:val="en-US"/>
        </w:rPr>
        <w:t>The paper presents the results of assessing the qual</w:t>
      </w:r>
      <w:r w:rsidRPr="000D0D2D">
        <w:rPr>
          <w:sz w:val="22"/>
          <w:szCs w:val="20"/>
          <w:shd w:val="clear" w:color="auto" w:fill="FFFFFF"/>
          <w:lang w:val="en-US"/>
        </w:rPr>
        <w:t>i</w:t>
      </w:r>
      <w:r w:rsidRPr="000D0D2D">
        <w:rPr>
          <w:sz w:val="22"/>
          <w:szCs w:val="20"/>
          <w:shd w:val="clear" w:color="auto" w:fill="FFFFFF"/>
          <w:lang w:val="en-US"/>
        </w:rPr>
        <w:t>ty of grain varieties Kuren, Tabor, Tanya, Kalym by nature, the mass of 1000 grains, vitreous, the mass fraction of gluten, the mass fraction of protein. It is shown that the Tabor variety was distinguished by a set of indicators.</w:t>
      </w:r>
    </w:p>
    <w:p w:rsidR="00281602" w:rsidRPr="000D0D2D" w:rsidRDefault="00281602" w:rsidP="00A11DF9">
      <w:pPr>
        <w:tabs>
          <w:tab w:val="left" w:pos="6379"/>
        </w:tabs>
        <w:ind w:firstLine="426"/>
        <w:jc w:val="both"/>
        <w:rPr>
          <w:sz w:val="22"/>
          <w:szCs w:val="20"/>
        </w:rPr>
      </w:pPr>
      <w:r w:rsidRPr="000D0D2D">
        <w:rPr>
          <w:sz w:val="22"/>
          <w:szCs w:val="20"/>
        </w:rPr>
        <w:t>КЛЮЧЕВЫЕ СЛОВА: зерно, пшеница, качество, зерновой хлеб</w:t>
      </w:r>
    </w:p>
    <w:p w:rsidR="00281602" w:rsidRPr="000D0D2D"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z w:val="22"/>
          <w:szCs w:val="20"/>
          <w:lang w:val="en-US"/>
        </w:rPr>
      </w:pPr>
      <w:r w:rsidRPr="000D0D2D">
        <w:rPr>
          <w:sz w:val="22"/>
          <w:szCs w:val="20"/>
          <w:lang w:val="en-US"/>
        </w:rPr>
        <w:t>KEYWORDS: grain, wheat, quality, grain bread</w:t>
      </w:r>
    </w:p>
    <w:p w:rsidR="00281602" w:rsidRPr="000D0D2D"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z w:val="22"/>
          <w:szCs w:val="20"/>
          <w:lang w:val="en-US"/>
        </w:rPr>
      </w:pPr>
    </w:p>
    <w:p w:rsidR="00281602" w:rsidRPr="000D0D2D"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0"/>
        </w:rPr>
      </w:pPr>
      <w:r w:rsidRPr="000D0D2D">
        <w:rPr>
          <w:sz w:val="22"/>
          <w:szCs w:val="20"/>
        </w:rPr>
        <w:lastRenderedPageBreak/>
        <w:t>В современных условиях развития общества большое внимание уделяется повышению пищевого статуса населения страны. Многие понимают, что пища должна быть не только вкусной,  но и поле</w:t>
      </w:r>
      <w:r w:rsidRPr="000D0D2D">
        <w:rPr>
          <w:sz w:val="22"/>
          <w:szCs w:val="20"/>
        </w:rPr>
        <w:t>з</w:t>
      </w:r>
      <w:r w:rsidRPr="000D0D2D">
        <w:rPr>
          <w:sz w:val="22"/>
          <w:szCs w:val="20"/>
        </w:rPr>
        <w:t>ной.  В связи с наметившейся тенденцией здорового питания удел</w:t>
      </w:r>
      <w:r w:rsidRPr="000D0D2D">
        <w:rPr>
          <w:sz w:val="22"/>
          <w:szCs w:val="20"/>
        </w:rPr>
        <w:t>я</w:t>
      </w:r>
      <w:r w:rsidRPr="000D0D2D">
        <w:rPr>
          <w:sz w:val="22"/>
          <w:szCs w:val="20"/>
        </w:rPr>
        <w:t>ется внимание обогащению продуктов питания различными доба</w:t>
      </w:r>
      <w:r w:rsidRPr="000D0D2D">
        <w:rPr>
          <w:sz w:val="22"/>
          <w:szCs w:val="20"/>
        </w:rPr>
        <w:t>в</w:t>
      </w:r>
      <w:r w:rsidRPr="000D0D2D">
        <w:rPr>
          <w:sz w:val="22"/>
          <w:szCs w:val="20"/>
        </w:rPr>
        <w:t>ками [1,4]. Используя биохимические приемы можно повысить п</w:t>
      </w:r>
      <w:r w:rsidRPr="000D0D2D">
        <w:rPr>
          <w:sz w:val="22"/>
          <w:szCs w:val="20"/>
        </w:rPr>
        <w:t>и</w:t>
      </w:r>
      <w:r w:rsidRPr="000D0D2D">
        <w:rPr>
          <w:sz w:val="22"/>
          <w:szCs w:val="20"/>
        </w:rPr>
        <w:t>щевую ценность хлеба за счет использования внутренних резервов самого зерна [2]. В зависимости от сорта зерно накапливает разли</w:t>
      </w:r>
      <w:r w:rsidRPr="000D0D2D">
        <w:rPr>
          <w:sz w:val="22"/>
          <w:szCs w:val="20"/>
        </w:rPr>
        <w:t>ч</w:t>
      </w:r>
      <w:r w:rsidRPr="000D0D2D">
        <w:rPr>
          <w:sz w:val="22"/>
          <w:szCs w:val="20"/>
        </w:rPr>
        <w:t>ное количество белка, а при проращивании  в зародыше идет накопление жизненно важных нутриентов [3]. Это и было взято за основу при разработке технологии зернового хлеба.</w:t>
      </w:r>
    </w:p>
    <w:p w:rsidR="00281602" w:rsidRPr="000D0D2D"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0"/>
        </w:rPr>
      </w:pPr>
      <w:r w:rsidRPr="000D0D2D">
        <w:rPr>
          <w:sz w:val="22"/>
          <w:szCs w:val="20"/>
        </w:rPr>
        <w:t>На первом этапе исследований ставилась задача по изучению качества зерна сортов районированных в Краснодарском крае и р</w:t>
      </w:r>
      <w:r w:rsidRPr="000D0D2D">
        <w:rPr>
          <w:sz w:val="22"/>
          <w:szCs w:val="20"/>
        </w:rPr>
        <w:t>е</w:t>
      </w:r>
      <w:r w:rsidRPr="000D0D2D">
        <w:rPr>
          <w:sz w:val="22"/>
          <w:szCs w:val="20"/>
        </w:rPr>
        <w:t>комендованных для выращивания в центральной зоне.</w:t>
      </w:r>
    </w:p>
    <w:p w:rsidR="00281602" w:rsidRPr="00A11DF9"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0"/>
        </w:rPr>
      </w:pPr>
      <w:r w:rsidRPr="000D0D2D">
        <w:rPr>
          <w:sz w:val="22"/>
          <w:szCs w:val="20"/>
        </w:rPr>
        <w:t>Объектами исследований стало зерно сортов озимой мягкой пшеницы Курень, Табор, Таня, Калым. В зерне определяли показ</w:t>
      </w:r>
      <w:r w:rsidRPr="000D0D2D">
        <w:rPr>
          <w:sz w:val="22"/>
          <w:szCs w:val="20"/>
        </w:rPr>
        <w:t>а</w:t>
      </w:r>
      <w:r w:rsidRPr="000D0D2D">
        <w:rPr>
          <w:sz w:val="22"/>
          <w:szCs w:val="20"/>
        </w:rPr>
        <w:t xml:space="preserve">тели </w:t>
      </w:r>
      <w:r w:rsidRPr="00A11DF9">
        <w:rPr>
          <w:sz w:val="22"/>
          <w:szCs w:val="20"/>
        </w:rPr>
        <w:t>качества стандартными и инструментальными методами. Как показали результаты исследований, показатель натура зерна был в пределах 761-790 г/л. Лучший показатель натуры был у сорта Т</w:t>
      </w:r>
      <w:r w:rsidRPr="00A11DF9">
        <w:rPr>
          <w:sz w:val="22"/>
          <w:szCs w:val="20"/>
        </w:rPr>
        <w:t>а</w:t>
      </w:r>
      <w:r w:rsidRPr="00A11DF9">
        <w:rPr>
          <w:sz w:val="22"/>
          <w:szCs w:val="20"/>
        </w:rPr>
        <w:t>бор. Масса 1000 зерен была в пределах 38,0- 49,2 г., наиболее щу</w:t>
      </w:r>
      <w:r w:rsidRPr="00A11DF9">
        <w:rPr>
          <w:sz w:val="22"/>
          <w:szCs w:val="20"/>
        </w:rPr>
        <w:t>п</w:t>
      </w:r>
      <w:r w:rsidRPr="00A11DF9">
        <w:rPr>
          <w:sz w:val="22"/>
          <w:szCs w:val="20"/>
        </w:rPr>
        <w:t>лым было зерно сорта Табор, его масса 1000 зерен была 38,0 г. Ма</w:t>
      </w:r>
      <w:r w:rsidRPr="00A11DF9">
        <w:rPr>
          <w:sz w:val="22"/>
          <w:szCs w:val="20"/>
        </w:rPr>
        <w:t>с</w:t>
      </w:r>
      <w:r w:rsidRPr="00A11DF9">
        <w:rPr>
          <w:sz w:val="22"/>
          <w:szCs w:val="20"/>
        </w:rPr>
        <w:t>совая доля клейковины у сорта Табор была выше, по сравнению с другими сортами  и составила 29,0 %, группа качества на приборе ИДК -3М вторая. Показатель стекловидности у этого сорта был также лучшим - 48,3%. При определении массовой доли белка в</w:t>
      </w:r>
      <w:r w:rsidRPr="00A11DF9">
        <w:rPr>
          <w:sz w:val="22"/>
          <w:szCs w:val="20"/>
        </w:rPr>
        <w:t>ы</w:t>
      </w:r>
      <w:r w:rsidRPr="00A11DF9">
        <w:rPr>
          <w:sz w:val="22"/>
          <w:szCs w:val="20"/>
        </w:rPr>
        <w:t>делился сорт Табор – 14,7%, наименьшее количество белка отмеч</w:t>
      </w:r>
      <w:r w:rsidRPr="00A11DF9">
        <w:rPr>
          <w:sz w:val="22"/>
          <w:szCs w:val="20"/>
        </w:rPr>
        <w:t>е</w:t>
      </w:r>
      <w:r w:rsidRPr="00A11DF9">
        <w:rPr>
          <w:sz w:val="22"/>
          <w:szCs w:val="20"/>
        </w:rPr>
        <w:t>но у сорта Курень -12,9%,  у сорта Таня – 13,8%, Калым -13,1%.</w:t>
      </w:r>
    </w:p>
    <w:p w:rsidR="00281602" w:rsidRPr="00A11DF9" w:rsidRDefault="00281602" w:rsidP="00A11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212121"/>
          <w:sz w:val="22"/>
          <w:szCs w:val="20"/>
        </w:rPr>
      </w:pPr>
      <w:r w:rsidRPr="00A11DF9">
        <w:rPr>
          <w:sz w:val="22"/>
          <w:szCs w:val="20"/>
        </w:rPr>
        <w:t>Учитывая цель исследований - разработка технологии зернов</w:t>
      </w:r>
      <w:r w:rsidRPr="00A11DF9">
        <w:rPr>
          <w:sz w:val="22"/>
          <w:szCs w:val="20"/>
        </w:rPr>
        <w:t>о</w:t>
      </w:r>
      <w:r w:rsidRPr="00A11DF9">
        <w:rPr>
          <w:sz w:val="22"/>
          <w:szCs w:val="20"/>
        </w:rPr>
        <w:t>го хлеба повышенной биологической ценности для дальнейших и</w:t>
      </w:r>
      <w:r w:rsidRPr="00A11DF9">
        <w:rPr>
          <w:sz w:val="22"/>
          <w:szCs w:val="20"/>
        </w:rPr>
        <w:t>с</w:t>
      </w:r>
      <w:r w:rsidRPr="00A11DF9">
        <w:rPr>
          <w:sz w:val="22"/>
          <w:szCs w:val="20"/>
        </w:rPr>
        <w:t>следований был отобран сорт Табор, с повышенным содержанием белка и клейковины.</w:t>
      </w:r>
    </w:p>
    <w:p w:rsidR="00281602" w:rsidRPr="00A11DF9" w:rsidRDefault="00281602" w:rsidP="00A11DF9">
      <w:pPr>
        <w:tabs>
          <w:tab w:val="left" w:pos="1638"/>
        </w:tabs>
        <w:ind w:firstLine="426"/>
        <w:jc w:val="both"/>
        <w:rPr>
          <w:sz w:val="22"/>
          <w:szCs w:val="20"/>
        </w:rPr>
      </w:pPr>
    </w:p>
    <w:p w:rsidR="00281602" w:rsidRPr="00A11DF9" w:rsidRDefault="00281602" w:rsidP="00A11DF9">
      <w:pPr>
        <w:tabs>
          <w:tab w:val="left" w:pos="1638"/>
        </w:tabs>
        <w:ind w:firstLine="426"/>
        <w:jc w:val="center"/>
        <w:rPr>
          <w:sz w:val="22"/>
          <w:szCs w:val="20"/>
        </w:rPr>
      </w:pPr>
      <w:r w:rsidRPr="00A11DF9">
        <w:rPr>
          <w:sz w:val="22"/>
          <w:szCs w:val="20"/>
        </w:rPr>
        <w:t>Список литературы</w:t>
      </w:r>
    </w:p>
    <w:p w:rsidR="00281602" w:rsidRPr="00A11DF9" w:rsidRDefault="00281602" w:rsidP="00A11DF9">
      <w:pPr>
        <w:numPr>
          <w:ilvl w:val="0"/>
          <w:numId w:val="28"/>
        </w:numPr>
        <w:spacing w:after="160"/>
        <w:ind w:left="0" w:firstLine="426"/>
        <w:contextualSpacing/>
        <w:jc w:val="both"/>
        <w:rPr>
          <w:sz w:val="22"/>
          <w:szCs w:val="20"/>
        </w:rPr>
      </w:pPr>
      <w:r w:rsidRPr="00A11DF9">
        <w:rPr>
          <w:sz w:val="22"/>
          <w:szCs w:val="20"/>
        </w:rPr>
        <w:t>Донченко, Л.В. Использование гидратопектинов из дикора</w:t>
      </w:r>
      <w:r w:rsidRPr="00A11DF9">
        <w:rPr>
          <w:sz w:val="22"/>
          <w:szCs w:val="20"/>
        </w:rPr>
        <w:t>с</w:t>
      </w:r>
      <w:r w:rsidRPr="00A11DF9">
        <w:rPr>
          <w:sz w:val="22"/>
          <w:szCs w:val="20"/>
        </w:rPr>
        <w:t>тущего сырья в хлебопечении / Л.В. Донченко, Н.В. Сокол, Н.С. Храмова, О.П. Гайдукова // Хлебопечение России. - 2007. - №1. – С. 14-16.</w:t>
      </w:r>
    </w:p>
    <w:p w:rsidR="00281602" w:rsidRPr="00A11DF9" w:rsidRDefault="00281602" w:rsidP="00A11DF9">
      <w:pPr>
        <w:numPr>
          <w:ilvl w:val="0"/>
          <w:numId w:val="28"/>
        </w:numPr>
        <w:tabs>
          <w:tab w:val="left" w:pos="426"/>
        </w:tabs>
        <w:spacing w:after="160"/>
        <w:ind w:left="0" w:firstLine="426"/>
        <w:contextualSpacing/>
        <w:jc w:val="both"/>
        <w:rPr>
          <w:sz w:val="22"/>
          <w:szCs w:val="20"/>
        </w:rPr>
      </w:pPr>
      <w:r w:rsidRPr="00A11DF9">
        <w:rPr>
          <w:sz w:val="22"/>
          <w:szCs w:val="20"/>
        </w:rPr>
        <w:lastRenderedPageBreak/>
        <w:t>Дудко, М.И.  Новые технологические решения в произво</w:t>
      </w:r>
      <w:r w:rsidRPr="00A11DF9">
        <w:rPr>
          <w:sz w:val="22"/>
          <w:szCs w:val="20"/>
        </w:rPr>
        <w:t>д</w:t>
      </w:r>
      <w:r w:rsidRPr="00A11DF9">
        <w:rPr>
          <w:sz w:val="22"/>
          <w:szCs w:val="20"/>
        </w:rPr>
        <w:t xml:space="preserve">стве зернового хлеба / М.И. Дудко, Н.В. Сокол  // Хлебобулочные, кондитерские и макаронные изделия </w:t>
      </w:r>
      <w:r w:rsidRPr="00A11DF9">
        <w:rPr>
          <w:sz w:val="22"/>
          <w:szCs w:val="20"/>
          <w:lang w:val="en-US"/>
        </w:rPr>
        <w:t>XXI</w:t>
      </w:r>
      <w:r w:rsidRPr="00A11DF9">
        <w:rPr>
          <w:sz w:val="22"/>
          <w:szCs w:val="20"/>
        </w:rPr>
        <w:t xml:space="preserve"> века: </w:t>
      </w:r>
      <w:r w:rsidRPr="00A11DF9">
        <w:rPr>
          <w:sz w:val="22"/>
          <w:szCs w:val="20"/>
          <w:lang w:val="en-US"/>
        </w:rPr>
        <w:t>IV</w:t>
      </w:r>
      <w:r w:rsidRPr="00A11DF9">
        <w:rPr>
          <w:sz w:val="22"/>
          <w:szCs w:val="20"/>
        </w:rPr>
        <w:t xml:space="preserve"> международная научно- практическая конференция. – 2015. – С.182-184.</w:t>
      </w:r>
    </w:p>
    <w:p w:rsidR="00281602" w:rsidRPr="00A11DF9" w:rsidRDefault="00281602" w:rsidP="00A11DF9">
      <w:pPr>
        <w:numPr>
          <w:ilvl w:val="0"/>
          <w:numId w:val="28"/>
        </w:numPr>
        <w:tabs>
          <w:tab w:val="left" w:pos="0"/>
        </w:tabs>
        <w:spacing w:after="160"/>
        <w:ind w:left="0" w:firstLine="426"/>
        <w:contextualSpacing/>
        <w:jc w:val="both"/>
        <w:rPr>
          <w:sz w:val="22"/>
          <w:szCs w:val="20"/>
        </w:rPr>
      </w:pPr>
      <w:r w:rsidRPr="00A11DF9">
        <w:rPr>
          <w:sz w:val="22"/>
          <w:szCs w:val="20"/>
        </w:rPr>
        <w:t>Казарцева, А.Т. Систематизация признаков качества зерна в селекции озимой мягкой пшеницы / А.Т. Казарцева, Р.А. Воробьева, Н.В. Сокол // Сельскохозяйственная биология. – 1990. - №5. – С.3-8.</w:t>
      </w:r>
    </w:p>
    <w:p w:rsidR="00281602" w:rsidRPr="00A11DF9" w:rsidRDefault="00281602" w:rsidP="00A11DF9">
      <w:pPr>
        <w:numPr>
          <w:ilvl w:val="0"/>
          <w:numId w:val="28"/>
        </w:numPr>
        <w:tabs>
          <w:tab w:val="left" w:pos="426"/>
        </w:tabs>
        <w:spacing w:after="160"/>
        <w:ind w:left="0" w:firstLine="426"/>
        <w:contextualSpacing/>
        <w:jc w:val="both"/>
        <w:rPr>
          <w:sz w:val="22"/>
          <w:szCs w:val="20"/>
        </w:rPr>
      </w:pPr>
      <w:r w:rsidRPr="00A11DF9">
        <w:rPr>
          <w:sz w:val="22"/>
          <w:szCs w:val="20"/>
        </w:rPr>
        <w:t>Сокол, Н.В. нетрадиционное сырье в производстве хлеба функционального назначения / Н.В. Сокол, Н.С. Храмова, О.П. Гайдукова// Хлебопечение России. – 2001. - №1. – С. 16-18.</w:t>
      </w:r>
    </w:p>
    <w:p w:rsidR="00A11DF9" w:rsidRDefault="00A11DF9" w:rsidP="00281602">
      <w:pPr>
        <w:rPr>
          <w:rFonts w:eastAsia="Calibri"/>
          <w:sz w:val="22"/>
          <w:szCs w:val="22"/>
          <w:lang w:eastAsia="en-US"/>
        </w:rPr>
      </w:pPr>
    </w:p>
    <w:p w:rsidR="00A11DF9" w:rsidRDefault="00A11DF9" w:rsidP="00281602">
      <w:pPr>
        <w:rPr>
          <w:rFonts w:eastAsia="Calibri"/>
          <w:sz w:val="22"/>
          <w:szCs w:val="22"/>
          <w:lang w:eastAsia="en-US"/>
        </w:rPr>
      </w:pPr>
    </w:p>
    <w:p w:rsidR="00A11DF9" w:rsidRDefault="00A11DF9" w:rsidP="00281602">
      <w:pPr>
        <w:rPr>
          <w:rFonts w:eastAsia="Calibri"/>
          <w:sz w:val="22"/>
          <w:szCs w:val="22"/>
          <w:lang w:eastAsia="en-US"/>
        </w:rPr>
      </w:pPr>
    </w:p>
    <w:p w:rsidR="00281602" w:rsidRPr="00281602" w:rsidRDefault="00281602" w:rsidP="00281602">
      <w:pPr>
        <w:rPr>
          <w:rFonts w:eastAsia="Calibri"/>
          <w:sz w:val="22"/>
          <w:szCs w:val="22"/>
          <w:lang w:eastAsia="en-US"/>
        </w:rPr>
      </w:pPr>
      <w:r w:rsidRPr="00281602">
        <w:rPr>
          <w:rFonts w:eastAsia="Calibri"/>
          <w:sz w:val="22"/>
          <w:szCs w:val="22"/>
          <w:lang w:eastAsia="en-US"/>
        </w:rPr>
        <w:t>УДК 613.2:339.1</w:t>
      </w:r>
    </w:p>
    <w:p w:rsidR="00281602" w:rsidRPr="00281602" w:rsidRDefault="00281602" w:rsidP="00281602">
      <w:pPr>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Жизнь со вкусом пробиотиков</w:t>
      </w:r>
    </w:p>
    <w:p w:rsidR="00281602" w:rsidRPr="00281602" w:rsidRDefault="00281602" w:rsidP="00281602">
      <w:pPr>
        <w:jc w:val="center"/>
        <w:rPr>
          <w:rFonts w:eastAsia="Calibri"/>
          <w:b/>
          <w:sz w:val="24"/>
          <w:szCs w:val="24"/>
          <w:lang w:eastAsia="en-US"/>
        </w:rPr>
      </w:pPr>
      <w:r w:rsidRPr="00281602">
        <w:rPr>
          <w:rFonts w:eastAsia="Calibri"/>
          <w:b/>
          <w:sz w:val="24"/>
          <w:szCs w:val="24"/>
          <w:lang w:val="en-US" w:eastAsia="en-US"/>
        </w:rPr>
        <w:t>L</w:t>
      </w:r>
      <w:r w:rsidRPr="00281602">
        <w:rPr>
          <w:rFonts w:eastAsia="Calibri"/>
          <w:b/>
          <w:sz w:val="24"/>
          <w:szCs w:val="24"/>
          <w:lang w:eastAsia="en-US"/>
        </w:rPr>
        <w:t>ife withtaste probiotics</w:t>
      </w:r>
    </w:p>
    <w:p w:rsidR="00281602" w:rsidRPr="00281602" w:rsidRDefault="00281602" w:rsidP="00281602">
      <w:pPr>
        <w:jc w:val="center"/>
        <w:rPr>
          <w:rFonts w:eastAsia="Calibri"/>
          <w:b/>
          <w:sz w:val="24"/>
          <w:szCs w:val="24"/>
          <w:lang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Кияшко А.</w:t>
      </w:r>
      <w:r w:rsidR="00A11DF9">
        <w:rPr>
          <w:rFonts w:eastAsia="Calibri"/>
          <w:sz w:val="22"/>
          <w:szCs w:val="22"/>
          <w:lang w:eastAsia="en-US"/>
        </w:rPr>
        <w:t xml:space="preserve"> </w:t>
      </w:r>
      <w:r w:rsidRPr="00281602">
        <w:rPr>
          <w:rFonts w:eastAsia="Calibri"/>
          <w:sz w:val="22"/>
          <w:szCs w:val="22"/>
          <w:lang w:eastAsia="en-US"/>
        </w:rPr>
        <w:t>А.,</w:t>
      </w:r>
    </w:p>
    <w:p w:rsidR="00A11DF9" w:rsidRDefault="00A11DF9" w:rsidP="00281602">
      <w:pPr>
        <w:jc w:val="right"/>
        <w:rPr>
          <w:rFonts w:eastAsia="Calibri"/>
          <w:sz w:val="22"/>
          <w:szCs w:val="22"/>
          <w:lang w:eastAsia="en-US"/>
        </w:rPr>
      </w:pPr>
      <w:r>
        <w:rPr>
          <w:rFonts w:eastAsia="Calibri"/>
          <w:sz w:val="22"/>
          <w:szCs w:val="22"/>
          <w:lang w:eastAsia="en-US"/>
        </w:rPr>
        <w:t>студентка 2-го курса</w:t>
      </w:r>
    </w:p>
    <w:p w:rsidR="00281602" w:rsidRPr="00281602" w:rsidRDefault="00A11DF9" w:rsidP="00281602">
      <w:pPr>
        <w:jc w:val="right"/>
        <w:rPr>
          <w:rFonts w:eastAsia="Calibri"/>
          <w:sz w:val="22"/>
          <w:szCs w:val="22"/>
          <w:lang w:eastAsia="en-US"/>
        </w:rPr>
      </w:pPr>
      <w:r>
        <w:rPr>
          <w:rFonts w:eastAsia="Calibri"/>
          <w:sz w:val="22"/>
          <w:szCs w:val="22"/>
          <w:lang w:eastAsia="en-US"/>
        </w:rPr>
        <w:t xml:space="preserve"> факультета перерабатывающих </w:t>
      </w:r>
      <w:r w:rsidR="00281602" w:rsidRPr="00281602">
        <w:rPr>
          <w:rFonts w:eastAsia="Calibri"/>
          <w:sz w:val="22"/>
          <w:szCs w:val="22"/>
          <w:lang w:eastAsia="en-US"/>
        </w:rPr>
        <w:t>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Огнева О.</w:t>
      </w:r>
      <w:r w:rsidR="00A11DF9">
        <w:rPr>
          <w:rFonts w:eastAsia="Calibri"/>
          <w:sz w:val="22"/>
          <w:szCs w:val="22"/>
          <w:lang w:eastAsia="en-US"/>
        </w:rPr>
        <w:t xml:space="preserve"> </w:t>
      </w:r>
      <w:r w:rsidRPr="00281602">
        <w:rPr>
          <w:rFonts w:eastAsia="Calibri"/>
          <w:sz w:val="22"/>
          <w:szCs w:val="22"/>
          <w:lang w:eastAsia="en-US"/>
        </w:rPr>
        <w:t>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 и переработки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животноводческой продукции</w:t>
      </w:r>
    </w:p>
    <w:p w:rsidR="00A11DF9"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университет имени И.</w:t>
      </w:r>
      <w:r w:rsidR="00A11DF9">
        <w:rPr>
          <w:rFonts w:eastAsia="Calibri"/>
          <w:sz w:val="22"/>
          <w:szCs w:val="22"/>
          <w:lang w:eastAsia="en-US"/>
        </w:rPr>
        <w:t xml:space="preserve"> </w:t>
      </w:r>
      <w:r w:rsidRPr="00281602">
        <w:rPr>
          <w:rFonts w:eastAsia="Calibri"/>
          <w:sz w:val="22"/>
          <w:szCs w:val="22"/>
          <w:lang w:eastAsia="en-US"/>
        </w:rPr>
        <w:t>Т. Трубилина</w:t>
      </w:r>
    </w:p>
    <w:p w:rsidR="00281602" w:rsidRPr="00281602" w:rsidRDefault="00281602" w:rsidP="00281602">
      <w:pPr>
        <w:jc w:val="right"/>
        <w:rPr>
          <w:rFonts w:eastAsia="Calibri"/>
          <w:sz w:val="22"/>
          <w:szCs w:val="22"/>
          <w:lang w:eastAsia="en-US"/>
        </w:rPr>
      </w:pP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АННОТАЦИЯ: Изучен ассортимент продуктов, содержащих пробиотические культуры. Доказана многофункциональность пр</w:t>
      </w:r>
      <w:r w:rsidRPr="00A11DF9">
        <w:rPr>
          <w:rFonts w:eastAsia="Calibri"/>
          <w:sz w:val="22"/>
          <w:szCs w:val="22"/>
          <w:lang w:eastAsia="en-US"/>
        </w:rPr>
        <w:t>о</w:t>
      </w:r>
      <w:r w:rsidRPr="00A11DF9">
        <w:rPr>
          <w:rFonts w:eastAsia="Calibri"/>
          <w:sz w:val="22"/>
          <w:szCs w:val="22"/>
          <w:lang w:eastAsia="en-US"/>
        </w:rPr>
        <w:t>биотиков и их благоприятное воздействие на организм человека.</w:t>
      </w:r>
    </w:p>
    <w:p w:rsidR="00281602" w:rsidRPr="00A11DF9" w:rsidRDefault="00281602" w:rsidP="00A11DF9">
      <w:pPr>
        <w:ind w:firstLine="426"/>
        <w:jc w:val="both"/>
        <w:rPr>
          <w:rFonts w:eastAsia="Calibri"/>
          <w:sz w:val="22"/>
          <w:szCs w:val="22"/>
          <w:lang w:val="en-US" w:eastAsia="en-US"/>
        </w:rPr>
      </w:pPr>
      <w:r w:rsidRPr="00A11DF9">
        <w:rPr>
          <w:rFonts w:eastAsia="Calibri"/>
          <w:sz w:val="22"/>
          <w:szCs w:val="22"/>
          <w:lang w:val="en-US" w:eastAsia="en-US"/>
        </w:rPr>
        <w:t>ABSTRACT: The assortment of products containing probiotic cu</w:t>
      </w:r>
      <w:r w:rsidRPr="00A11DF9">
        <w:rPr>
          <w:rFonts w:eastAsia="Calibri"/>
          <w:sz w:val="22"/>
          <w:szCs w:val="22"/>
          <w:lang w:val="en-US" w:eastAsia="en-US"/>
        </w:rPr>
        <w:t>l</w:t>
      </w:r>
      <w:r w:rsidRPr="00A11DF9">
        <w:rPr>
          <w:rFonts w:eastAsia="Calibri"/>
          <w:sz w:val="22"/>
          <w:szCs w:val="22"/>
          <w:lang w:val="en-US" w:eastAsia="en-US"/>
        </w:rPr>
        <w:t>tures has been studied. Multifunctionality of probiotics and their benef</w:t>
      </w:r>
      <w:r w:rsidRPr="00A11DF9">
        <w:rPr>
          <w:rFonts w:eastAsia="Calibri"/>
          <w:sz w:val="22"/>
          <w:szCs w:val="22"/>
          <w:lang w:val="en-US" w:eastAsia="en-US"/>
        </w:rPr>
        <w:t>i</w:t>
      </w:r>
      <w:r w:rsidRPr="00A11DF9">
        <w:rPr>
          <w:rFonts w:eastAsia="Calibri"/>
          <w:sz w:val="22"/>
          <w:szCs w:val="22"/>
          <w:lang w:val="en-US" w:eastAsia="en-US"/>
        </w:rPr>
        <w:t xml:space="preserve">cial effect on the human body is proved. </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КЛЮЧЕВЫЕ СЛОВА: пробиотики,  пробиотические микроо</w:t>
      </w:r>
      <w:r w:rsidRPr="00A11DF9">
        <w:rPr>
          <w:rFonts w:eastAsia="Calibri"/>
          <w:sz w:val="22"/>
          <w:szCs w:val="22"/>
          <w:lang w:eastAsia="en-US"/>
        </w:rPr>
        <w:t>р</w:t>
      </w:r>
      <w:r w:rsidRPr="00A11DF9">
        <w:rPr>
          <w:rFonts w:eastAsia="Calibri"/>
          <w:sz w:val="22"/>
          <w:szCs w:val="22"/>
          <w:lang w:eastAsia="en-US"/>
        </w:rPr>
        <w:t>ганизмы, функциональные продукты питания.</w:t>
      </w:r>
    </w:p>
    <w:p w:rsidR="00281602" w:rsidRPr="00A11DF9" w:rsidRDefault="00281602" w:rsidP="00A11DF9">
      <w:pPr>
        <w:ind w:firstLine="426"/>
        <w:jc w:val="both"/>
        <w:rPr>
          <w:rFonts w:eastAsia="Calibri"/>
          <w:sz w:val="22"/>
          <w:szCs w:val="22"/>
          <w:lang w:val="en-US" w:eastAsia="en-US"/>
        </w:rPr>
      </w:pPr>
      <w:r w:rsidRPr="00A11DF9">
        <w:rPr>
          <w:rFonts w:eastAsia="Calibri"/>
          <w:sz w:val="22"/>
          <w:szCs w:val="22"/>
          <w:lang w:val="en-US" w:eastAsia="en-US"/>
        </w:rPr>
        <w:t>KEYWORDS: probiotics, probiotic microorganisms, functional food products.</w:t>
      </w:r>
    </w:p>
    <w:p w:rsidR="00281602" w:rsidRPr="00A11DF9" w:rsidRDefault="00281602" w:rsidP="00A11DF9">
      <w:pPr>
        <w:ind w:firstLine="426"/>
        <w:jc w:val="both"/>
        <w:rPr>
          <w:rFonts w:eastAsia="Calibri"/>
          <w:sz w:val="22"/>
          <w:szCs w:val="22"/>
          <w:lang w:val="en-US" w:eastAsia="en-US"/>
        </w:rPr>
      </w:pP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Пробиотики представляют собой непатогенные микрооргани</w:t>
      </w:r>
      <w:r w:rsidRPr="00A11DF9">
        <w:rPr>
          <w:rFonts w:eastAsia="Calibri"/>
          <w:sz w:val="22"/>
          <w:szCs w:val="22"/>
          <w:lang w:eastAsia="en-US"/>
        </w:rPr>
        <w:t>з</w:t>
      </w:r>
      <w:r w:rsidRPr="00A11DF9">
        <w:rPr>
          <w:rFonts w:eastAsia="Calibri"/>
          <w:sz w:val="22"/>
          <w:szCs w:val="22"/>
          <w:lang w:eastAsia="en-US"/>
        </w:rPr>
        <w:t>мы, которые при поступлении в кишечник человека с пищей, благ</w:t>
      </w:r>
      <w:r w:rsidRPr="00A11DF9">
        <w:rPr>
          <w:rFonts w:eastAsia="Calibri"/>
          <w:sz w:val="22"/>
          <w:szCs w:val="22"/>
          <w:lang w:eastAsia="en-US"/>
        </w:rPr>
        <w:t>о</w:t>
      </w:r>
      <w:r w:rsidRPr="00A11DF9">
        <w:rPr>
          <w:rFonts w:eastAsia="Calibri"/>
          <w:sz w:val="22"/>
          <w:szCs w:val="22"/>
          <w:lang w:eastAsia="en-US"/>
        </w:rPr>
        <w:t>творно воздействуют на организм и нормализуют состав и биолог</w:t>
      </w:r>
      <w:r w:rsidRPr="00A11DF9">
        <w:rPr>
          <w:rFonts w:eastAsia="Calibri"/>
          <w:sz w:val="22"/>
          <w:szCs w:val="22"/>
          <w:lang w:eastAsia="en-US"/>
        </w:rPr>
        <w:t>и</w:t>
      </w:r>
      <w:r w:rsidRPr="00A11DF9">
        <w:rPr>
          <w:rFonts w:eastAsia="Calibri"/>
          <w:sz w:val="22"/>
          <w:szCs w:val="22"/>
          <w:lang w:eastAsia="en-US"/>
        </w:rPr>
        <w:t>ческую активность микрофлоры. Их классифицируют по двум ко</w:t>
      </w:r>
      <w:r w:rsidRPr="00A11DF9">
        <w:rPr>
          <w:rFonts w:eastAsia="Calibri"/>
          <w:sz w:val="22"/>
          <w:szCs w:val="22"/>
          <w:lang w:eastAsia="en-US"/>
        </w:rPr>
        <w:t>н</w:t>
      </w:r>
      <w:r w:rsidRPr="00A11DF9">
        <w:rPr>
          <w:rFonts w:eastAsia="Calibri"/>
          <w:sz w:val="22"/>
          <w:szCs w:val="22"/>
          <w:lang w:eastAsia="en-US"/>
        </w:rPr>
        <w:t>систенциям: жидкие и сухие пробиотики.</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Также их могут классифицировать по виду употребления: п</w:t>
      </w:r>
      <w:r w:rsidRPr="00A11DF9">
        <w:rPr>
          <w:rFonts w:eastAsia="Calibri"/>
          <w:sz w:val="22"/>
          <w:szCs w:val="22"/>
          <w:lang w:eastAsia="en-US"/>
        </w:rPr>
        <w:t>и</w:t>
      </w:r>
      <w:r w:rsidRPr="00A11DF9">
        <w:rPr>
          <w:rFonts w:eastAsia="Calibri"/>
          <w:sz w:val="22"/>
          <w:szCs w:val="22"/>
          <w:lang w:eastAsia="en-US"/>
        </w:rPr>
        <w:t>щевые продукты, пищевые добавки и лекарственные препараты. Как пищевые добавки и продукты, пробиотики улучшают свое бл</w:t>
      </w:r>
      <w:r w:rsidRPr="00A11DF9">
        <w:rPr>
          <w:rFonts w:eastAsia="Calibri"/>
          <w:sz w:val="22"/>
          <w:szCs w:val="22"/>
          <w:lang w:eastAsia="en-US"/>
        </w:rPr>
        <w:t>а</w:t>
      </w:r>
      <w:r w:rsidRPr="00A11DF9">
        <w:rPr>
          <w:rFonts w:eastAsia="Calibri"/>
          <w:sz w:val="22"/>
          <w:szCs w:val="22"/>
          <w:lang w:eastAsia="en-US"/>
        </w:rPr>
        <w:t>гоприятное воздействие на организм человека в целом, повышая работу желудочно-кишечного тракта. Как лекарственные средства, пробиотики помогает понизить холестерин, предотвратить пробл</w:t>
      </w:r>
      <w:r w:rsidRPr="00A11DF9">
        <w:rPr>
          <w:rFonts w:eastAsia="Calibri"/>
          <w:sz w:val="22"/>
          <w:szCs w:val="22"/>
          <w:lang w:eastAsia="en-US"/>
        </w:rPr>
        <w:t>е</w:t>
      </w:r>
      <w:r w:rsidRPr="00A11DF9">
        <w:rPr>
          <w:rFonts w:eastAsia="Calibri"/>
          <w:sz w:val="22"/>
          <w:szCs w:val="22"/>
          <w:lang w:eastAsia="en-US"/>
        </w:rPr>
        <w:t xml:space="preserve">мы, связанные со стулом [1,2]. </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Пробиотики входят в состав всех функциональных продуктов питания, а также они содержатся в квашеной капусте, некоторых фруктах и овощах. Наибольшее их количество находится в таких кисломолочных продуктах как творог, сыр, кефир, биойогурты.</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Сыр, творог и творожные изделия – это белковые продукты, которые также очень богаты пробиотическими микроорганизмами. В сыре находится более 100 млн. полезных бактерий, которые необходимы организму человека ежедневно, поэтому ученые наст</w:t>
      </w:r>
      <w:r w:rsidRPr="00A11DF9">
        <w:rPr>
          <w:rFonts w:eastAsia="Calibri"/>
          <w:sz w:val="22"/>
          <w:szCs w:val="22"/>
          <w:lang w:eastAsia="en-US"/>
        </w:rPr>
        <w:t>о</w:t>
      </w:r>
      <w:r w:rsidRPr="00A11DF9">
        <w:rPr>
          <w:rFonts w:eastAsia="Calibri"/>
          <w:sz w:val="22"/>
          <w:szCs w:val="22"/>
          <w:lang w:eastAsia="en-US"/>
        </w:rPr>
        <w:t>ятельно рекомендуют его употреблять. В настоящее время разраб</w:t>
      </w:r>
      <w:r w:rsidRPr="00A11DF9">
        <w:rPr>
          <w:rFonts w:eastAsia="Calibri"/>
          <w:sz w:val="22"/>
          <w:szCs w:val="22"/>
          <w:lang w:eastAsia="en-US"/>
        </w:rPr>
        <w:t>о</w:t>
      </w:r>
      <w:r w:rsidRPr="00A11DF9">
        <w:rPr>
          <w:rFonts w:eastAsia="Calibri"/>
          <w:sz w:val="22"/>
          <w:szCs w:val="22"/>
          <w:lang w:eastAsia="en-US"/>
        </w:rPr>
        <w:t>тана новая технология получения сыра с биологически активными веществами. В процессе его выработки в вязкую массу добавляют живые бактерии [3].</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Всем известный кефир, содержащий в своем составе кефирный грибок, и поныне считается самым многофункциональным проду</w:t>
      </w:r>
      <w:r w:rsidRPr="00A11DF9">
        <w:rPr>
          <w:rFonts w:eastAsia="Calibri"/>
          <w:sz w:val="22"/>
          <w:szCs w:val="22"/>
          <w:lang w:eastAsia="en-US"/>
        </w:rPr>
        <w:t>к</w:t>
      </w:r>
      <w:r w:rsidRPr="00A11DF9">
        <w:rPr>
          <w:rFonts w:eastAsia="Calibri"/>
          <w:sz w:val="22"/>
          <w:szCs w:val="22"/>
          <w:lang w:eastAsia="en-US"/>
        </w:rPr>
        <w:t>том. Эта многофункциональность связана с его разнообразными лечебными и профилактическими  свойствами: улучшение пищев</w:t>
      </w:r>
      <w:r w:rsidRPr="00A11DF9">
        <w:rPr>
          <w:rFonts w:eastAsia="Calibri"/>
          <w:sz w:val="22"/>
          <w:szCs w:val="22"/>
          <w:lang w:eastAsia="en-US"/>
        </w:rPr>
        <w:t>а</w:t>
      </w:r>
      <w:r w:rsidRPr="00A11DF9">
        <w:rPr>
          <w:rFonts w:eastAsia="Calibri"/>
          <w:sz w:val="22"/>
          <w:szCs w:val="22"/>
          <w:lang w:eastAsia="en-US"/>
        </w:rPr>
        <w:t>рения, повышение работоспособности, выработка полезных бакт</w:t>
      </w:r>
      <w:r w:rsidRPr="00A11DF9">
        <w:rPr>
          <w:rFonts w:eastAsia="Calibri"/>
          <w:sz w:val="22"/>
          <w:szCs w:val="22"/>
          <w:lang w:eastAsia="en-US"/>
        </w:rPr>
        <w:t>е</w:t>
      </w:r>
      <w:r w:rsidRPr="00A11DF9">
        <w:rPr>
          <w:rFonts w:eastAsia="Calibri"/>
          <w:sz w:val="22"/>
          <w:szCs w:val="22"/>
          <w:lang w:eastAsia="en-US"/>
        </w:rPr>
        <w:t>рий, уничтожающих болезнетворные микроорганизмы и др. [2].</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Также к пробиотическим продуктам можно отнести биойогу</w:t>
      </w:r>
      <w:r w:rsidRPr="00A11DF9">
        <w:rPr>
          <w:rFonts w:eastAsia="Calibri"/>
          <w:sz w:val="22"/>
          <w:szCs w:val="22"/>
          <w:lang w:eastAsia="en-US"/>
        </w:rPr>
        <w:t>р</w:t>
      </w:r>
      <w:r w:rsidRPr="00A11DF9">
        <w:rPr>
          <w:rFonts w:eastAsia="Calibri"/>
          <w:sz w:val="22"/>
          <w:szCs w:val="22"/>
          <w:lang w:eastAsia="en-US"/>
        </w:rPr>
        <w:t>ты. В состав биойогуртов могут включать и разнообразные фрукт</w:t>
      </w:r>
      <w:r w:rsidRPr="00A11DF9">
        <w:rPr>
          <w:rFonts w:eastAsia="Calibri"/>
          <w:sz w:val="22"/>
          <w:szCs w:val="22"/>
          <w:lang w:eastAsia="en-US"/>
        </w:rPr>
        <w:t>о</w:t>
      </w:r>
      <w:r w:rsidRPr="00A11DF9">
        <w:rPr>
          <w:rFonts w:eastAsia="Calibri"/>
          <w:sz w:val="22"/>
          <w:szCs w:val="22"/>
          <w:lang w:eastAsia="en-US"/>
        </w:rPr>
        <w:t xml:space="preserve">во-ягодные добавки, тем самым улучшая вкус продукта. </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 xml:space="preserve">В настоящее время пробиотики по большей части употребляют в качестве БАД к пище. Пробиотики содержат в себе прежде всего бифидо- и лактобактерии[1, 2, 3]. Это доказывает очень высокие лечебные свойства пробиотических микроорганизмов. </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lastRenderedPageBreak/>
        <w:t>Таким образом, можно сделать вывод о многочисленном ассо</w:t>
      </w:r>
      <w:r w:rsidRPr="00A11DF9">
        <w:rPr>
          <w:rFonts w:eastAsia="Calibri"/>
          <w:sz w:val="22"/>
          <w:szCs w:val="22"/>
          <w:lang w:eastAsia="en-US"/>
        </w:rPr>
        <w:t>р</w:t>
      </w:r>
      <w:r w:rsidRPr="00A11DF9">
        <w:rPr>
          <w:rFonts w:eastAsia="Calibri"/>
          <w:sz w:val="22"/>
          <w:szCs w:val="22"/>
          <w:lang w:eastAsia="en-US"/>
        </w:rPr>
        <w:t>тименте продуктов, содержащих пробиотики. На основании отз</w:t>
      </w:r>
      <w:r w:rsidRPr="00A11DF9">
        <w:rPr>
          <w:rFonts w:eastAsia="Calibri"/>
          <w:sz w:val="22"/>
          <w:szCs w:val="22"/>
          <w:lang w:eastAsia="en-US"/>
        </w:rPr>
        <w:t>ы</w:t>
      </w:r>
      <w:r w:rsidRPr="00A11DF9">
        <w:rPr>
          <w:rFonts w:eastAsia="Calibri"/>
          <w:sz w:val="22"/>
          <w:szCs w:val="22"/>
          <w:lang w:eastAsia="en-US"/>
        </w:rPr>
        <w:t>вов людей, регулярно употребляющих пробиотические продукты, следует сказать о многофункциональности, привлекательности и самое главное полезности их употребления.</w:t>
      </w:r>
    </w:p>
    <w:p w:rsidR="00281602" w:rsidRPr="00A11DF9" w:rsidRDefault="00281602" w:rsidP="00A11DF9">
      <w:pPr>
        <w:ind w:firstLine="426"/>
        <w:jc w:val="both"/>
        <w:rPr>
          <w:rFonts w:eastAsia="Calibri"/>
          <w:sz w:val="22"/>
          <w:szCs w:val="22"/>
          <w:lang w:eastAsia="en-US"/>
        </w:rPr>
      </w:pPr>
    </w:p>
    <w:p w:rsidR="00281602" w:rsidRPr="00A11DF9" w:rsidRDefault="00281602" w:rsidP="00A11DF9">
      <w:pPr>
        <w:tabs>
          <w:tab w:val="center" w:pos="3444"/>
          <w:tab w:val="right" w:pos="6464"/>
        </w:tabs>
        <w:ind w:firstLine="426"/>
        <w:rPr>
          <w:rFonts w:eastAsia="Calibri"/>
          <w:sz w:val="22"/>
          <w:szCs w:val="22"/>
          <w:lang w:eastAsia="en-US"/>
        </w:rPr>
      </w:pPr>
      <w:r w:rsidRPr="00A11DF9">
        <w:rPr>
          <w:rFonts w:eastAsia="Calibri"/>
          <w:sz w:val="22"/>
          <w:szCs w:val="22"/>
          <w:lang w:eastAsia="en-US"/>
        </w:rPr>
        <w:tab/>
        <w:t>Список литературы</w:t>
      </w:r>
      <w:r w:rsidRPr="00A11DF9">
        <w:rPr>
          <w:rFonts w:eastAsia="Calibri"/>
          <w:sz w:val="22"/>
          <w:szCs w:val="22"/>
          <w:lang w:eastAsia="en-US"/>
        </w:rPr>
        <w:tab/>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1. Захарова, Л.М. Технология молока и молочных продуктов. Функциональные продукты: лабораторный практикум для вузов / Л.М. Захарова, И.А. Мазеева. – Кемерово: Кемеровский технолог</w:t>
      </w:r>
      <w:r w:rsidRPr="00A11DF9">
        <w:rPr>
          <w:rFonts w:eastAsia="Calibri"/>
          <w:sz w:val="22"/>
          <w:szCs w:val="22"/>
          <w:lang w:eastAsia="en-US"/>
        </w:rPr>
        <w:t>и</w:t>
      </w:r>
      <w:r w:rsidRPr="00A11DF9">
        <w:rPr>
          <w:rFonts w:eastAsia="Calibri"/>
          <w:sz w:val="22"/>
          <w:szCs w:val="22"/>
          <w:lang w:eastAsia="en-US"/>
        </w:rPr>
        <w:t>ческий   институт промышленности, 2014.–187 c.</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 xml:space="preserve">2. Огнева, О.А. </w:t>
      </w:r>
      <w:hyperlink r:id="rId129" w:history="1">
        <w:r w:rsidRPr="00A11DF9">
          <w:rPr>
            <w:rFonts w:eastAsia="Calibri"/>
            <w:sz w:val="22"/>
            <w:szCs w:val="22"/>
            <w:lang w:eastAsia="en-US"/>
          </w:rPr>
          <w:t>Разработка технологий фруктово-овощных продуктов с бифидогенными свойствами</w:t>
        </w:r>
      </w:hyperlink>
      <w:r w:rsidRPr="00A11DF9">
        <w:rPr>
          <w:rFonts w:eastAsia="Calibri"/>
          <w:sz w:val="22"/>
          <w:szCs w:val="22"/>
          <w:lang w:eastAsia="en-US"/>
        </w:rPr>
        <w:t>: дис. … канд. техн. наук: 05.18.01: защищена 18.12.2015 / Огнева Ольга Александровна. – Краснодар, 2015. – 159 с. – Библиогр. : С. 5-15.</w:t>
      </w:r>
    </w:p>
    <w:p w:rsidR="00281602" w:rsidRPr="00A11DF9" w:rsidRDefault="00281602" w:rsidP="00A11DF9">
      <w:pPr>
        <w:ind w:firstLine="426"/>
        <w:jc w:val="both"/>
        <w:rPr>
          <w:rFonts w:eastAsia="Calibri"/>
          <w:sz w:val="22"/>
          <w:szCs w:val="22"/>
          <w:lang w:eastAsia="en-US"/>
        </w:rPr>
      </w:pPr>
      <w:r w:rsidRPr="00A11DF9">
        <w:rPr>
          <w:rFonts w:eastAsia="Calibri"/>
          <w:sz w:val="22"/>
          <w:szCs w:val="22"/>
          <w:lang w:eastAsia="en-US"/>
        </w:rPr>
        <w:t>3. Соколова, О.Я. Технология молочных продуктов лечебно-профилактического питания: учебное пособие / О.Я. Соколова, О.В. Богатова, А.И. Богатов. – Оренбург: ГОУ ОГУ, 2009.–236 c.</w:t>
      </w:r>
    </w:p>
    <w:p w:rsidR="00281602" w:rsidRPr="00A11DF9" w:rsidRDefault="00281602" w:rsidP="00A11DF9">
      <w:pPr>
        <w:ind w:firstLine="426"/>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A11DF9" w:rsidRPr="00281602" w:rsidRDefault="00A11DF9" w:rsidP="00281602">
      <w:pPr>
        <w:jc w:val="both"/>
        <w:rPr>
          <w:rFonts w:eastAsia="Calibri"/>
          <w:sz w:val="22"/>
          <w:szCs w:val="22"/>
          <w:lang w:eastAsia="en-US"/>
        </w:rPr>
      </w:pPr>
    </w:p>
    <w:p w:rsidR="00281602" w:rsidRPr="00281602" w:rsidRDefault="00281602" w:rsidP="00281602">
      <w:pPr>
        <w:jc w:val="both"/>
        <w:rPr>
          <w:color w:val="000000"/>
          <w:sz w:val="20"/>
          <w:szCs w:val="20"/>
          <w:shd w:val="clear" w:color="auto" w:fill="FFFFFF"/>
          <w:lang w:eastAsia="en-US"/>
        </w:rPr>
      </w:pPr>
      <w:r w:rsidRPr="00281602">
        <w:rPr>
          <w:color w:val="000000"/>
          <w:sz w:val="20"/>
          <w:szCs w:val="20"/>
          <w:shd w:val="clear" w:color="auto" w:fill="FFFFFF"/>
          <w:lang w:eastAsia="en-US"/>
        </w:rPr>
        <w:t xml:space="preserve">УДК 664.69:(635.11) </w:t>
      </w:r>
    </w:p>
    <w:p w:rsidR="00281602" w:rsidRPr="00281602" w:rsidRDefault="00281602" w:rsidP="00281602">
      <w:pPr>
        <w:jc w:val="both"/>
        <w:rPr>
          <w:color w:val="000000"/>
          <w:sz w:val="20"/>
          <w:szCs w:val="20"/>
          <w:shd w:val="clear" w:color="auto" w:fill="FFFFFF"/>
          <w:lang w:eastAsia="en-US"/>
        </w:rPr>
      </w:pPr>
    </w:p>
    <w:p w:rsidR="00281602" w:rsidRPr="00281602" w:rsidRDefault="00281602" w:rsidP="00281602">
      <w:pPr>
        <w:jc w:val="center"/>
        <w:rPr>
          <w:b/>
          <w:color w:val="000000"/>
          <w:sz w:val="24"/>
          <w:szCs w:val="24"/>
          <w:shd w:val="clear" w:color="auto" w:fill="FFFFFF"/>
          <w:lang w:eastAsia="en-US"/>
        </w:rPr>
      </w:pPr>
      <w:r w:rsidRPr="00281602">
        <w:rPr>
          <w:b/>
          <w:color w:val="000000"/>
          <w:sz w:val="24"/>
          <w:szCs w:val="24"/>
          <w:shd w:val="clear" w:color="auto" w:fill="FFFFFF"/>
          <w:lang w:eastAsia="en-US"/>
        </w:rPr>
        <w:t xml:space="preserve">Макаронные изделия функционального назначения </w:t>
      </w:r>
      <w:r w:rsidR="00A11DF9">
        <w:rPr>
          <w:b/>
          <w:color w:val="000000"/>
          <w:sz w:val="24"/>
          <w:szCs w:val="24"/>
          <w:shd w:val="clear" w:color="auto" w:fill="FFFFFF"/>
          <w:lang w:eastAsia="en-US"/>
        </w:rPr>
        <w:br/>
      </w:r>
      <w:r w:rsidRPr="00281602">
        <w:rPr>
          <w:b/>
          <w:color w:val="000000"/>
          <w:sz w:val="24"/>
          <w:szCs w:val="24"/>
          <w:shd w:val="clear" w:color="auto" w:fill="FFFFFF"/>
          <w:lang w:eastAsia="en-US"/>
        </w:rPr>
        <w:t>с добавления шпинатного порошка</w:t>
      </w:r>
    </w:p>
    <w:p w:rsidR="00281602" w:rsidRPr="001755C3" w:rsidRDefault="00281602" w:rsidP="00281602">
      <w:pPr>
        <w:jc w:val="center"/>
        <w:rPr>
          <w:b/>
          <w:color w:val="000000"/>
          <w:sz w:val="24"/>
          <w:szCs w:val="24"/>
          <w:shd w:val="clear" w:color="auto" w:fill="FFFFFF"/>
          <w:lang w:val="en-US" w:eastAsia="en-US"/>
        </w:rPr>
      </w:pPr>
      <w:r w:rsidRPr="00281602">
        <w:rPr>
          <w:b/>
          <w:color w:val="000000"/>
          <w:sz w:val="24"/>
          <w:szCs w:val="24"/>
          <w:shd w:val="clear" w:color="auto" w:fill="FFFFFF"/>
          <w:lang w:val="en-US" w:eastAsia="en-US"/>
        </w:rPr>
        <w:t>Pasta</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functional</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purpose</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with</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the</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addition</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of</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spinach</w:t>
      </w:r>
      <w:r w:rsidRPr="001755C3">
        <w:rPr>
          <w:b/>
          <w:color w:val="000000"/>
          <w:sz w:val="24"/>
          <w:szCs w:val="24"/>
          <w:shd w:val="clear" w:color="auto" w:fill="FFFFFF"/>
          <w:lang w:val="en-US" w:eastAsia="en-US"/>
        </w:rPr>
        <w:t xml:space="preserve"> </w:t>
      </w:r>
      <w:r w:rsidRPr="00281602">
        <w:rPr>
          <w:b/>
          <w:color w:val="000000"/>
          <w:sz w:val="24"/>
          <w:szCs w:val="24"/>
          <w:shd w:val="clear" w:color="auto" w:fill="FFFFFF"/>
          <w:lang w:val="en-US" w:eastAsia="en-US"/>
        </w:rPr>
        <w:t>powder</w:t>
      </w:r>
    </w:p>
    <w:p w:rsidR="00A11DF9" w:rsidRPr="001755C3" w:rsidRDefault="00A11DF9" w:rsidP="00281602">
      <w:pPr>
        <w:widowControl w:val="0"/>
        <w:autoSpaceDE w:val="0"/>
        <w:autoSpaceDN w:val="0"/>
        <w:adjustRightInd w:val="0"/>
        <w:jc w:val="right"/>
        <w:rPr>
          <w:sz w:val="22"/>
          <w:szCs w:val="22"/>
          <w:shd w:val="clear" w:color="auto" w:fill="FFFFFF"/>
          <w:lang w:val="en-US"/>
        </w:rPr>
      </w:pPr>
    </w:p>
    <w:p w:rsidR="00281602" w:rsidRPr="00281602" w:rsidRDefault="00281602" w:rsidP="00281602">
      <w:pPr>
        <w:widowControl w:val="0"/>
        <w:autoSpaceDE w:val="0"/>
        <w:autoSpaceDN w:val="0"/>
        <w:adjustRightInd w:val="0"/>
        <w:jc w:val="right"/>
        <w:rPr>
          <w:sz w:val="22"/>
          <w:szCs w:val="22"/>
          <w:shd w:val="clear" w:color="auto" w:fill="FFFFFF"/>
        </w:rPr>
      </w:pPr>
      <w:r w:rsidRPr="00281602">
        <w:rPr>
          <w:sz w:val="22"/>
          <w:szCs w:val="22"/>
          <w:shd w:val="clear" w:color="auto" w:fill="FFFFFF"/>
        </w:rPr>
        <w:t>Копылов В.</w:t>
      </w:r>
      <w:r w:rsidR="00A11DF9">
        <w:rPr>
          <w:sz w:val="22"/>
          <w:szCs w:val="22"/>
          <w:shd w:val="clear" w:color="auto" w:fill="FFFFFF"/>
        </w:rPr>
        <w:t xml:space="preserve"> </w:t>
      </w:r>
      <w:r w:rsidRPr="00281602">
        <w:rPr>
          <w:sz w:val="22"/>
          <w:szCs w:val="22"/>
          <w:shd w:val="clear" w:color="auto" w:fill="FFFFFF"/>
        </w:rPr>
        <w:t>С.</w:t>
      </w:r>
      <w:r w:rsidR="00A11DF9">
        <w:rPr>
          <w:sz w:val="22"/>
          <w:szCs w:val="22"/>
          <w:shd w:val="clear" w:color="auto" w:fill="FFFFFF"/>
        </w:rPr>
        <w:t>,</w:t>
      </w:r>
    </w:p>
    <w:p w:rsidR="00A11DF9" w:rsidRDefault="00A11DF9" w:rsidP="00281602">
      <w:pPr>
        <w:widowControl w:val="0"/>
        <w:autoSpaceDE w:val="0"/>
        <w:autoSpaceDN w:val="0"/>
        <w:adjustRightInd w:val="0"/>
        <w:jc w:val="right"/>
        <w:rPr>
          <w:sz w:val="22"/>
          <w:szCs w:val="22"/>
        </w:rPr>
      </w:pPr>
      <w:r>
        <w:rPr>
          <w:sz w:val="22"/>
          <w:szCs w:val="22"/>
        </w:rPr>
        <w:t>с</w:t>
      </w:r>
      <w:r w:rsidR="00281602" w:rsidRPr="00281602">
        <w:rPr>
          <w:sz w:val="22"/>
          <w:szCs w:val="22"/>
        </w:rPr>
        <w:t>тудент 2 курса магистратуры</w:t>
      </w:r>
    </w:p>
    <w:p w:rsidR="00281602" w:rsidRPr="00281602" w:rsidRDefault="00281602" w:rsidP="00281602">
      <w:pPr>
        <w:widowControl w:val="0"/>
        <w:autoSpaceDE w:val="0"/>
        <w:autoSpaceDN w:val="0"/>
        <w:adjustRightInd w:val="0"/>
        <w:jc w:val="right"/>
        <w:rPr>
          <w:sz w:val="22"/>
          <w:szCs w:val="22"/>
        </w:rPr>
      </w:pPr>
      <w:r w:rsidRPr="00281602">
        <w:rPr>
          <w:sz w:val="22"/>
          <w:szCs w:val="22"/>
        </w:rPr>
        <w:t xml:space="preserve"> факультета перерабатывающих технологий</w:t>
      </w:r>
    </w:p>
    <w:p w:rsidR="00281602" w:rsidRPr="00281602" w:rsidRDefault="00281602" w:rsidP="00281602">
      <w:pPr>
        <w:widowControl w:val="0"/>
        <w:autoSpaceDE w:val="0"/>
        <w:autoSpaceDN w:val="0"/>
        <w:adjustRightInd w:val="0"/>
        <w:jc w:val="right"/>
        <w:rPr>
          <w:sz w:val="22"/>
          <w:szCs w:val="22"/>
        </w:rPr>
      </w:pPr>
      <w:r w:rsidRPr="00281602">
        <w:rPr>
          <w:sz w:val="22"/>
          <w:szCs w:val="22"/>
        </w:rPr>
        <w:t>Щербакова Е.</w:t>
      </w:r>
      <w:r w:rsidR="00A11DF9">
        <w:rPr>
          <w:sz w:val="22"/>
          <w:szCs w:val="22"/>
        </w:rPr>
        <w:t xml:space="preserve"> </w:t>
      </w:r>
      <w:r w:rsidRPr="00281602">
        <w:rPr>
          <w:sz w:val="22"/>
          <w:szCs w:val="22"/>
        </w:rPr>
        <w:t>В.</w:t>
      </w:r>
      <w:r w:rsidR="00A11DF9">
        <w:rPr>
          <w:sz w:val="22"/>
          <w:szCs w:val="22"/>
        </w:rPr>
        <w:t>,</w:t>
      </w:r>
    </w:p>
    <w:p w:rsidR="00281602" w:rsidRPr="00281602" w:rsidRDefault="00281602" w:rsidP="00281602">
      <w:pPr>
        <w:widowControl w:val="0"/>
        <w:autoSpaceDE w:val="0"/>
        <w:autoSpaceDN w:val="0"/>
        <w:adjustRightInd w:val="0"/>
        <w:jc w:val="right"/>
        <w:rPr>
          <w:sz w:val="22"/>
          <w:szCs w:val="20"/>
        </w:rPr>
      </w:pPr>
      <w:r w:rsidRPr="00281602">
        <w:rPr>
          <w:sz w:val="22"/>
          <w:szCs w:val="20"/>
          <w:shd w:val="clear" w:color="auto" w:fill="FFFFFF"/>
        </w:rPr>
        <w:t>профессор, доктор технических наук</w:t>
      </w:r>
    </w:p>
    <w:p w:rsidR="00281602" w:rsidRPr="00281602" w:rsidRDefault="00281602" w:rsidP="00281602">
      <w:pPr>
        <w:widowControl w:val="0"/>
        <w:autoSpaceDE w:val="0"/>
        <w:autoSpaceDN w:val="0"/>
        <w:adjustRightInd w:val="0"/>
        <w:jc w:val="right"/>
        <w:rPr>
          <w:kern w:val="36"/>
          <w:sz w:val="22"/>
          <w:szCs w:val="20"/>
        </w:rPr>
      </w:pPr>
      <w:r w:rsidRPr="00281602">
        <w:rPr>
          <w:kern w:val="36"/>
          <w:sz w:val="22"/>
          <w:szCs w:val="20"/>
        </w:rPr>
        <w:t>технологии хранения и переработки растениеводческой продукции</w:t>
      </w:r>
    </w:p>
    <w:p w:rsidR="00281602" w:rsidRPr="00281602" w:rsidRDefault="00281602" w:rsidP="00281602">
      <w:pPr>
        <w:widowControl w:val="0"/>
        <w:autoSpaceDE w:val="0"/>
        <w:autoSpaceDN w:val="0"/>
        <w:adjustRightInd w:val="0"/>
        <w:jc w:val="right"/>
        <w:rPr>
          <w:sz w:val="20"/>
          <w:szCs w:val="20"/>
        </w:rPr>
      </w:pPr>
      <w:r w:rsidRPr="00281602">
        <w:rPr>
          <w:sz w:val="20"/>
          <w:szCs w:val="20"/>
        </w:rPr>
        <w:t>Кубанский государственный аграрный</w:t>
      </w:r>
    </w:p>
    <w:p w:rsidR="00281602" w:rsidRPr="00281602" w:rsidRDefault="00281602" w:rsidP="00281602">
      <w:pPr>
        <w:widowControl w:val="0"/>
        <w:autoSpaceDE w:val="0"/>
        <w:autoSpaceDN w:val="0"/>
        <w:adjustRightInd w:val="0"/>
        <w:jc w:val="right"/>
        <w:rPr>
          <w:sz w:val="20"/>
          <w:szCs w:val="20"/>
        </w:rPr>
      </w:pPr>
      <w:r w:rsidRPr="00281602">
        <w:rPr>
          <w:sz w:val="20"/>
          <w:szCs w:val="20"/>
        </w:rPr>
        <w:t>университет имени И.</w:t>
      </w:r>
      <w:r w:rsidR="00A11DF9">
        <w:rPr>
          <w:sz w:val="20"/>
          <w:szCs w:val="20"/>
        </w:rPr>
        <w:t xml:space="preserve"> </w:t>
      </w:r>
      <w:r w:rsidRPr="00281602">
        <w:rPr>
          <w:sz w:val="20"/>
          <w:szCs w:val="20"/>
        </w:rPr>
        <w:t>Т.</w:t>
      </w:r>
      <w:r w:rsidR="00A11DF9">
        <w:rPr>
          <w:sz w:val="20"/>
          <w:szCs w:val="20"/>
        </w:rPr>
        <w:t xml:space="preserve"> </w:t>
      </w:r>
      <w:r w:rsidRPr="00281602">
        <w:rPr>
          <w:sz w:val="20"/>
          <w:szCs w:val="20"/>
        </w:rPr>
        <w:t>Трубилина</w:t>
      </w:r>
    </w:p>
    <w:p w:rsidR="00281602" w:rsidRPr="00281602" w:rsidRDefault="00281602" w:rsidP="00281602">
      <w:pPr>
        <w:widowControl w:val="0"/>
        <w:autoSpaceDE w:val="0"/>
        <w:autoSpaceDN w:val="0"/>
        <w:adjustRightInd w:val="0"/>
        <w:jc w:val="right"/>
        <w:rPr>
          <w:sz w:val="20"/>
          <w:szCs w:val="20"/>
        </w:rPr>
      </w:pPr>
    </w:p>
    <w:p w:rsidR="00281602" w:rsidRPr="00A11DF9" w:rsidRDefault="00281602" w:rsidP="00A11DF9">
      <w:pPr>
        <w:widowControl w:val="0"/>
        <w:autoSpaceDE w:val="0"/>
        <w:autoSpaceDN w:val="0"/>
        <w:adjustRightInd w:val="0"/>
        <w:ind w:firstLine="426"/>
        <w:jc w:val="both"/>
        <w:rPr>
          <w:sz w:val="22"/>
          <w:szCs w:val="22"/>
        </w:rPr>
      </w:pPr>
      <w:r w:rsidRPr="00A11DF9">
        <w:rPr>
          <w:sz w:val="22"/>
          <w:szCs w:val="22"/>
        </w:rPr>
        <w:t>АННОТАЦИЯ. Представлено применение шпинатного поро</w:t>
      </w:r>
      <w:r w:rsidRPr="00A11DF9">
        <w:rPr>
          <w:sz w:val="22"/>
          <w:szCs w:val="22"/>
        </w:rPr>
        <w:t>ш</w:t>
      </w:r>
      <w:r w:rsidRPr="00A11DF9">
        <w:rPr>
          <w:sz w:val="22"/>
          <w:szCs w:val="22"/>
        </w:rPr>
        <w:t xml:space="preserve">ка. Рекомендовано применение данного порошка для производства </w:t>
      </w:r>
      <w:r w:rsidRPr="00A11DF9">
        <w:rPr>
          <w:sz w:val="22"/>
          <w:szCs w:val="22"/>
        </w:rPr>
        <w:lastRenderedPageBreak/>
        <w:t>новых видов макаронных изделий с целью улучшения их качества, повышения биологической и питательной ценности.</w:t>
      </w:r>
    </w:p>
    <w:p w:rsidR="00281602" w:rsidRPr="00A11DF9" w:rsidRDefault="00281602" w:rsidP="00A11DF9">
      <w:pPr>
        <w:widowControl w:val="0"/>
        <w:autoSpaceDE w:val="0"/>
        <w:autoSpaceDN w:val="0"/>
        <w:adjustRightInd w:val="0"/>
        <w:ind w:firstLine="426"/>
        <w:jc w:val="both"/>
        <w:rPr>
          <w:sz w:val="22"/>
          <w:szCs w:val="22"/>
          <w:lang w:val="en-US"/>
        </w:rPr>
      </w:pPr>
      <w:r w:rsidRPr="00A11DF9">
        <w:rPr>
          <w:sz w:val="22"/>
          <w:szCs w:val="22"/>
          <w:lang w:val="en-US"/>
        </w:rPr>
        <w:t>ABSTRACT. The application of spinach powder is presented. It is recommended to use this powder for the production of new types of pa</w:t>
      </w:r>
      <w:r w:rsidRPr="00A11DF9">
        <w:rPr>
          <w:sz w:val="22"/>
          <w:szCs w:val="22"/>
          <w:lang w:val="en-US"/>
        </w:rPr>
        <w:t>s</w:t>
      </w:r>
      <w:r w:rsidRPr="00A11DF9">
        <w:rPr>
          <w:sz w:val="22"/>
          <w:szCs w:val="22"/>
          <w:lang w:val="en-US"/>
        </w:rPr>
        <w:t>ta in order to improve their quality, increase biological and nutritional value.</w:t>
      </w:r>
    </w:p>
    <w:p w:rsidR="00281602" w:rsidRPr="00A11DF9" w:rsidRDefault="00281602" w:rsidP="00A11DF9">
      <w:pPr>
        <w:widowControl w:val="0"/>
        <w:autoSpaceDE w:val="0"/>
        <w:autoSpaceDN w:val="0"/>
        <w:adjustRightInd w:val="0"/>
        <w:ind w:firstLine="426"/>
        <w:jc w:val="both"/>
        <w:rPr>
          <w:sz w:val="22"/>
          <w:szCs w:val="22"/>
        </w:rPr>
      </w:pPr>
      <w:r w:rsidRPr="00A11DF9">
        <w:rPr>
          <w:sz w:val="22"/>
          <w:szCs w:val="22"/>
        </w:rPr>
        <w:t>КЛЮЧЕВЫЕ СЛОВА: пшеничная мука, порошок шпината, пищевая промышленность, макароны.</w:t>
      </w:r>
    </w:p>
    <w:p w:rsidR="00281602" w:rsidRPr="00A11DF9" w:rsidRDefault="00281602" w:rsidP="00A11DF9">
      <w:pPr>
        <w:widowControl w:val="0"/>
        <w:autoSpaceDE w:val="0"/>
        <w:autoSpaceDN w:val="0"/>
        <w:adjustRightInd w:val="0"/>
        <w:ind w:firstLine="426"/>
        <w:jc w:val="both"/>
        <w:rPr>
          <w:sz w:val="22"/>
          <w:szCs w:val="22"/>
          <w:lang w:val="en-US"/>
        </w:rPr>
      </w:pPr>
      <w:r w:rsidRPr="00A11DF9">
        <w:rPr>
          <w:sz w:val="22"/>
          <w:szCs w:val="22"/>
          <w:lang w:val="en-US"/>
        </w:rPr>
        <w:t>KEY WORDS: wheat flour, spinach powder, food industry, pasta.</w:t>
      </w:r>
    </w:p>
    <w:p w:rsidR="00281602" w:rsidRPr="00A11DF9" w:rsidRDefault="00281602" w:rsidP="00A11DF9">
      <w:pPr>
        <w:ind w:firstLine="426"/>
        <w:jc w:val="both"/>
        <w:rPr>
          <w:sz w:val="22"/>
          <w:szCs w:val="22"/>
          <w:lang w:val="en-US" w:eastAsia="en-US"/>
        </w:rPr>
      </w:pPr>
    </w:p>
    <w:p w:rsidR="00281602" w:rsidRPr="00A11DF9" w:rsidRDefault="00281602" w:rsidP="00A11DF9">
      <w:pPr>
        <w:ind w:firstLine="426"/>
        <w:jc w:val="both"/>
        <w:rPr>
          <w:sz w:val="22"/>
          <w:szCs w:val="22"/>
          <w:lang w:eastAsia="en-US"/>
        </w:rPr>
      </w:pPr>
      <w:r w:rsidRPr="00A11DF9">
        <w:rPr>
          <w:sz w:val="22"/>
          <w:szCs w:val="22"/>
          <w:lang w:eastAsia="en-US"/>
        </w:rPr>
        <w:t>В последние годы большую популярность получают функци</w:t>
      </w:r>
      <w:r w:rsidRPr="00A11DF9">
        <w:rPr>
          <w:sz w:val="22"/>
          <w:szCs w:val="22"/>
          <w:lang w:eastAsia="en-US"/>
        </w:rPr>
        <w:t>о</w:t>
      </w:r>
      <w:r w:rsidRPr="00A11DF9">
        <w:rPr>
          <w:sz w:val="22"/>
          <w:szCs w:val="22"/>
          <w:lang w:eastAsia="en-US"/>
        </w:rPr>
        <w:t>нальные продукты питания. К ним относят продукты питания, еду, а не БАДы, порошки или таблетки. Такие продукты бывает нат</w:t>
      </w:r>
      <w:r w:rsidRPr="00A11DF9">
        <w:rPr>
          <w:sz w:val="22"/>
          <w:szCs w:val="22"/>
          <w:lang w:eastAsia="en-US"/>
        </w:rPr>
        <w:t>у</w:t>
      </w:r>
      <w:r w:rsidRPr="00A11DF9">
        <w:rPr>
          <w:sz w:val="22"/>
          <w:szCs w:val="22"/>
          <w:lang w:eastAsia="en-US"/>
        </w:rPr>
        <w:t>ральные или искусственные, обладают приятным вкусом и выр</w:t>
      </w:r>
      <w:r w:rsidRPr="00A11DF9">
        <w:rPr>
          <w:sz w:val="22"/>
          <w:szCs w:val="22"/>
          <w:lang w:eastAsia="en-US"/>
        </w:rPr>
        <w:t>а</w:t>
      </w:r>
      <w:r w:rsidRPr="00A11DF9">
        <w:rPr>
          <w:sz w:val="22"/>
          <w:szCs w:val="22"/>
          <w:lang w:eastAsia="en-US"/>
        </w:rPr>
        <w:t>женным оздоровительным эффектом для человека. К данной группе предъявляют требования по удобству в использовании, системати</w:t>
      </w:r>
      <w:r w:rsidRPr="00A11DF9">
        <w:rPr>
          <w:sz w:val="22"/>
          <w:szCs w:val="22"/>
          <w:lang w:eastAsia="en-US"/>
        </w:rPr>
        <w:t>ч</w:t>
      </w:r>
      <w:r w:rsidRPr="00A11DF9">
        <w:rPr>
          <w:sz w:val="22"/>
          <w:szCs w:val="22"/>
          <w:lang w:eastAsia="en-US"/>
        </w:rPr>
        <w:t>ности применения и успешному завершению клинических испыт</w:t>
      </w:r>
      <w:r w:rsidRPr="00A11DF9">
        <w:rPr>
          <w:sz w:val="22"/>
          <w:szCs w:val="22"/>
          <w:lang w:eastAsia="en-US"/>
        </w:rPr>
        <w:t>а</w:t>
      </w:r>
      <w:r w:rsidRPr="00A11DF9">
        <w:rPr>
          <w:sz w:val="22"/>
          <w:szCs w:val="22"/>
          <w:lang w:eastAsia="en-US"/>
        </w:rPr>
        <w:t>ний, что подтверждается медицинской документацией. В соотве</w:t>
      </w:r>
      <w:r w:rsidRPr="00A11DF9">
        <w:rPr>
          <w:sz w:val="22"/>
          <w:szCs w:val="22"/>
          <w:lang w:eastAsia="en-US"/>
        </w:rPr>
        <w:t>т</w:t>
      </w:r>
      <w:r w:rsidRPr="00A11DF9">
        <w:rPr>
          <w:sz w:val="22"/>
          <w:szCs w:val="22"/>
          <w:lang w:eastAsia="en-US"/>
        </w:rPr>
        <w:t>ствии с нормативной документацией функциональными продукты питания становятся, если в их составе не менее 30% суточной дозы биологически активного вещества.</w:t>
      </w:r>
    </w:p>
    <w:p w:rsidR="00281602" w:rsidRPr="00A11DF9" w:rsidRDefault="00281602" w:rsidP="00A11DF9">
      <w:pPr>
        <w:ind w:firstLine="426"/>
        <w:jc w:val="both"/>
        <w:rPr>
          <w:sz w:val="22"/>
          <w:szCs w:val="22"/>
          <w:lang w:eastAsia="en-US"/>
        </w:rPr>
      </w:pPr>
      <w:r w:rsidRPr="00A11DF9">
        <w:rPr>
          <w:sz w:val="22"/>
          <w:szCs w:val="22"/>
          <w:lang w:eastAsia="en-US"/>
        </w:rPr>
        <w:t xml:space="preserve">Россия относится к странам, где, по оценке экспертов ФАО/ВОЗ [1], от 2,5 до 4,0% общей численности населения или примерно 5 − 6 млн человек находится в состоянии хронического дефицита белка и полноценной белковой пищи. </w:t>
      </w:r>
    </w:p>
    <w:p w:rsidR="00281602" w:rsidRPr="00A11DF9" w:rsidRDefault="00281602" w:rsidP="00A11DF9">
      <w:pPr>
        <w:ind w:firstLine="426"/>
        <w:jc w:val="both"/>
        <w:rPr>
          <w:sz w:val="22"/>
          <w:szCs w:val="22"/>
          <w:lang w:eastAsia="en-US"/>
        </w:rPr>
      </w:pPr>
      <w:r w:rsidRPr="00A11DF9">
        <w:rPr>
          <w:sz w:val="22"/>
          <w:szCs w:val="22"/>
          <w:lang w:eastAsia="en-US"/>
        </w:rPr>
        <w:t>По существующим нормативам: 100 г макаронных изделий должны содержать около 11 г белка, от 1,1 до 2,1 г жиров, от 64,5 до 71,5 г углеводов. В Краснодарском крае выращивают в основном пшеницу мягких сортов, не всегда подходящую для изготовления макаронных изделий, что вынуждает вносить различные добавки, улучшающие технологические свойства макаронного теста и вкл</w:t>
      </w:r>
      <w:r w:rsidRPr="00A11DF9">
        <w:rPr>
          <w:sz w:val="22"/>
          <w:szCs w:val="22"/>
          <w:lang w:eastAsia="en-US"/>
        </w:rPr>
        <w:t>ю</w:t>
      </w:r>
      <w:r w:rsidRPr="00A11DF9">
        <w:rPr>
          <w:sz w:val="22"/>
          <w:szCs w:val="22"/>
          <w:lang w:eastAsia="en-US"/>
        </w:rPr>
        <w:t>чающие белковые обогащающие добавки [2].</w:t>
      </w:r>
    </w:p>
    <w:p w:rsidR="00281602" w:rsidRPr="00A11DF9" w:rsidRDefault="00281602" w:rsidP="00A11DF9">
      <w:pPr>
        <w:widowControl w:val="0"/>
        <w:autoSpaceDE w:val="0"/>
        <w:autoSpaceDN w:val="0"/>
        <w:adjustRightInd w:val="0"/>
        <w:ind w:firstLine="426"/>
        <w:jc w:val="both"/>
        <w:rPr>
          <w:sz w:val="22"/>
          <w:szCs w:val="22"/>
          <w:shd w:val="clear" w:color="auto" w:fill="FFFFFF"/>
        </w:rPr>
      </w:pPr>
      <w:r w:rsidRPr="00A11DF9">
        <w:rPr>
          <w:sz w:val="22"/>
          <w:szCs w:val="22"/>
          <w:shd w:val="clear" w:color="auto" w:fill="FFFFFF"/>
        </w:rPr>
        <w:t>В последнее время большое внимание уделяется нетрадицио</w:t>
      </w:r>
      <w:r w:rsidRPr="00A11DF9">
        <w:rPr>
          <w:sz w:val="22"/>
          <w:szCs w:val="22"/>
          <w:shd w:val="clear" w:color="auto" w:fill="FFFFFF"/>
        </w:rPr>
        <w:t>н</w:t>
      </w:r>
      <w:r w:rsidRPr="00A11DF9">
        <w:rPr>
          <w:sz w:val="22"/>
          <w:szCs w:val="22"/>
          <w:shd w:val="clear" w:color="auto" w:fill="FFFFFF"/>
        </w:rPr>
        <w:t>ным видам сырья, к которым можно отнести порошки овощных культур. Главное достоинство шпината – это редкий комплекс в</w:t>
      </w:r>
      <w:r w:rsidRPr="00A11DF9">
        <w:rPr>
          <w:sz w:val="22"/>
          <w:szCs w:val="22"/>
          <w:shd w:val="clear" w:color="auto" w:fill="FFFFFF"/>
        </w:rPr>
        <w:t>и</w:t>
      </w:r>
      <w:r w:rsidRPr="00A11DF9">
        <w:rPr>
          <w:sz w:val="22"/>
          <w:szCs w:val="22"/>
          <w:shd w:val="clear" w:color="auto" w:fill="FFFFFF"/>
        </w:rPr>
        <w:t xml:space="preserve">таминов: А, С, В1, В2, В3, В5, В6, Е, К. А еще – фосфор, калий, магний, кальций, </w:t>
      </w:r>
      <w:r w:rsidRPr="00A11DF9">
        <w:rPr>
          <w:sz w:val="22"/>
          <w:szCs w:val="22"/>
        </w:rPr>
        <w:t>фоливая кислота,</w:t>
      </w:r>
      <w:r w:rsidRPr="00A11DF9">
        <w:rPr>
          <w:sz w:val="22"/>
          <w:szCs w:val="22"/>
          <w:shd w:val="clear" w:color="auto" w:fill="FFFFFF"/>
        </w:rPr>
        <w:t xml:space="preserve"> цинк, йод, медь. По содержанию растительного белка шпинат уступает только бобовым культурам.</w:t>
      </w:r>
    </w:p>
    <w:p w:rsidR="00281602" w:rsidRPr="00A11DF9" w:rsidRDefault="00281602" w:rsidP="00A11DF9">
      <w:pPr>
        <w:widowControl w:val="0"/>
        <w:autoSpaceDE w:val="0"/>
        <w:autoSpaceDN w:val="0"/>
        <w:adjustRightInd w:val="0"/>
        <w:ind w:firstLine="426"/>
        <w:jc w:val="both"/>
        <w:rPr>
          <w:sz w:val="22"/>
          <w:szCs w:val="22"/>
          <w:lang w:eastAsia="en-US"/>
        </w:rPr>
      </w:pPr>
      <w:r w:rsidRPr="00A11DF9">
        <w:rPr>
          <w:sz w:val="22"/>
          <w:szCs w:val="22"/>
          <w:lang w:eastAsia="en-US"/>
        </w:rPr>
        <w:lastRenderedPageBreak/>
        <w:t>В пшеничной муке высшего и второго сортов количество с</w:t>
      </w:r>
      <w:r w:rsidRPr="00A11DF9">
        <w:rPr>
          <w:sz w:val="22"/>
          <w:szCs w:val="22"/>
          <w:lang w:eastAsia="en-US"/>
        </w:rPr>
        <w:t>ы</w:t>
      </w:r>
      <w:r w:rsidRPr="00A11DF9">
        <w:rPr>
          <w:sz w:val="22"/>
          <w:szCs w:val="22"/>
          <w:lang w:eastAsia="en-US"/>
        </w:rPr>
        <w:t>рой клейковины должно быть не менее 28%, а в муке 1 сорта не м</w:t>
      </w:r>
      <w:r w:rsidRPr="00A11DF9">
        <w:rPr>
          <w:sz w:val="22"/>
          <w:szCs w:val="22"/>
          <w:lang w:eastAsia="en-US"/>
        </w:rPr>
        <w:t>е</w:t>
      </w:r>
      <w:r w:rsidRPr="00A11DF9">
        <w:rPr>
          <w:sz w:val="22"/>
          <w:szCs w:val="22"/>
          <w:lang w:eastAsia="en-US"/>
        </w:rPr>
        <w:t>нее 30%.</w:t>
      </w:r>
    </w:p>
    <w:p w:rsidR="00281602" w:rsidRPr="00A11DF9" w:rsidRDefault="00281602" w:rsidP="00A11DF9">
      <w:pPr>
        <w:widowControl w:val="0"/>
        <w:autoSpaceDE w:val="0"/>
        <w:autoSpaceDN w:val="0"/>
        <w:adjustRightInd w:val="0"/>
        <w:ind w:firstLine="426"/>
        <w:jc w:val="both"/>
        <w:rPr>
          <w:sz w:val="22"/>
          <w:szCs w:val="22"/>
          <w:lang w:eastAsia="en-US"/>
        </w:rPr>
      </w:pPr>
      <w:r w:rsidRPr="00A11DF9">
        <w:rPr>
          <w:sz w:val="22"/>
          <w:szCs w:val="22"/>
          <w:lang w:eastAsia="en-US"/>
        </w:rPr>
        <w:t>В ходе проведения исследований изучали влияние внесения порошка шпината на качественные характеристики мягкой пш</w:t>
      </w:r>
      <w:r w:rsidRPr="00A11DF9">
        <w:rPr>
          <w:sz w:val="22"/>
          <w:szCs w:val="22"/>
          <w:lang w:eastAsia="en-US"/>
        </w:rPr>
        <w:t>е</w:t>
      </w:r>
      <w:r w:rsidRPr="00A11DF9">
        <w:rPr>
          <w:sz w:val="22"/>
          <w:szCs w:val="22"/>
          <w:lang w:eastAsia="en-US"/>
        </w:rPr>
        <w:t>ничной муки. Было установлено, что внесение 5% порошка шпин</w:t>
      </w:r>
      <w:r w:rsidRPr="00A11DF9">
        <w:rPr>
          <w:sz w:val="22"/>
          <w:szCs w:val="22"/>
          <w:lang w:eastAsia="en-US"/>
        </w:rPr>
        <w:t>а</w:t>
      </w:r>
      <w:r w:rsidRPr="00A11DF9">
        <w:rPr>
          <w:sz w:val="22"/>
          <w:szCs w:val="22"/>
          <w:lang w:eastAsia="en-US"/>
        </w:rPr>
        <w:t>та к массе муки увеличивает упруго эластичные свойства муки от 81,4 до 89,7 усл. ед.</w:t>
      </w:r>
    </w:p>
    <w:p w:rsidR="00281602" w:rsidRPr="00A11DF9" w:rsidRDefault="00281602" w:rsidP="00A11DF9">
      <w:pPr>
        <w:widowControl w:val="0"/>
        <w:autoSpaceDE w:val="0"/>
        <w:autoSpaceDN w:val="0"/>
        <w:adjustRightInd w:val="0"/>
        <w:ind w:firstLine="426"/>
        <w:jc w:val="both"/>
        <w:rPr>
          <w:sz w:val="22"/>
          <w:szCs w:val="22"/>
        </w:rPr>
      </w:pPr>
      <w:r w:rsidRPr="00A11DF9">
        <w:rPr>
          <w:sz w:val="22"/>
          <w:szCs w:val="22"/>
        </w:rPr>
        <w:t>Введение в рецептуры макаронных изделий обогащающих д</w:t>
      </w:r>
      <w:r w:rsidRPr="00A11DF9">
        <w:rPr>
          <w:sz w:val="22"/>
          <w:szCs w:val="22"/>
        </w:rPr>
        <w:t>о</w:t>
      </w:r>
      <w:r w:rsidRPr="00A11DF9">
        <w:rPr>
          <w:sz w:val="22"/>
          <w:szCs w:val="22"/>
        </w:rPr>
        <w:t>бавок растительного происхождения порошка шпината, позволяет получать изделия, обогащенные балластными, минеральными в</w:t>
      </w:r>
      <w:r w:rsidRPr="00A11DF9">
        <w:rPr>
          <w:sz w:val="22"/>
          <w:szCs w:val="22"/>
        </w:rPr>
        <w:t>е</w:t>
      </w:r>
      <w:r w:rsidRPr="00A11DF9">
        <w:rPr>
          <w:sz w:val="22"/>
          <w:szCs w:val="22"/>
        </w:rPr>
        <w:t>ществами и витаминами. Также компоненты растительных добавок, участвуя в структурировании, оказывают улучшающее действие на структуру теста и качество готовой продукции [3].</w:t>
      </w:r>
    </w:p>
    <w:p w:rsidR="00281602" w:rsidRPr="00A11DF9" w:rsidRDefault="00281602" w:rsidP="00A11DF9">
      <w:pPr>
        <w:widowControl w:val="0"/>
        <w:autoSpaceDE w:val="0"/>
        <w:autoSpaceDN w:val="0"/>
        <w:adjustRightInd w:val="0"/>
        <w:ind w:firstLine="426"/>
        <w:jc w:val="both"/>
        <w:rPr>
          <w:sz w:val="22"/>
          <w:szCs w:val="22"/>
        </w:rPr>
      </w:pPr>
      <w:r w:rsidRPr="00A11DF9">
        <w:rPr>
          <w:sz w:val="22"/>
          <w:szCs w:val="22"/>
        </w:rPr>
        <w:t xml:space="preserve">При отработке технологического процесса в лабораторных и полупроизводственных условиях было установлено, что внесение порошка шпината оптимально на последнем этапе замеса теста. </w:t>
      </w:r>
    </w:p>
    <w:p w:rsidR="00281602" w:rsidRPr="00A11DF9" w:rsidRDefault="00281602" w:rsidP="00A11DF9">
      <w:pPr>
        <w:widowControl w:val="0"/>
        <w:autoSpaceDE w:val="0"/>
        <w:autoSpaceDN w:val="0"/>
        <w:adjustRightInd w:val="0"/>
        <w:ind w:firstLine="426"/>
        <w:jc w:val="both"/>
        <w:rPr>
          <w:sz w:val="22"/>
          <w:szCs w:val="22"/>
          <w:lang w:eastAsia="en-US"/>
        </w:rPr>
      </w:pPr>
      <w:r w:rsidRPr="00A11DF9">
        <w:rPr>
          <w:sz w:val="22"/>
          <w:szCs w:val="22"/>
          <w:lang w:eastAsia="en-US"/>
        </w:rPr>
        <w:t>Учитывая, что в рецептуру макаронных изделий входит пш</w:t>
      </w:r>
      <w:r w:rsidRPr="00A11DF9">
        <w:rPr>
          <w:sz w:val="22"/>
          <w:szCs w:val="22"/>
          <w:lang w:eastAsia="en-US"/>
        </w:rPr>
        <w:t>е</w:t>
      </w:r>
      <w:r w:rsidRPr="00A11DF9">
        <w:rPr>
          <w:sz w:val="22"/>
          <w:szCs w:val="22"/>
          <w:lang w:eastAsia="en-US"/>
        </w:rPr>
        <w:t>ничная мука, определенный интерес представляло взаимодействие белков обогащающих растительных добавок и клейковины муки. Поэтому были выполнены исследования по определению водо- и жироудерживающей способности смесей пшеничной муки и обог</w:t>
      </w:r>
      <w:r w:rsidRPr="00A11DF9">
        <w:rPr>
          <w:sz w:val="22"/>
          <w:szCs w:val="22"/>
          <w:lang w:eastAsia="en-US"/>
        </w:rPr>
        <w:t>а</w:t>
      </w:r>
      <w:r w:rsidRPr="00A11DF9">
        <w:rPr>
          <w:sz w:val="22"/>
          <w:szCs w:val="22"/>
          <w:lang w:eastAsia="en-US"/>
        </w:rPr>
        <w:t>щающих добавок в различных сочетаниях и дозиро</w:t>
      </w:r>
      <w:r w:rsidRPr="00A11DF9">
        <w:rPr>
          <w:sz w:val="22"/>
          <w:szCs w:val="22"/>
          <w:lang w:eastAsia="en-US"/>
        </w:rPr>
        <w:t>в</w:t>
      </w:r>
      <w:r w:rsidRPr="00A11DF9">
        <w:rPr>
          <w:sz w:val="22"/>
          <w:szCs w:val="22"/>
          <w:lang w:eastAsia="en-US"/>
        </w:rPr>
        <w:t>ках.Полученные результаты позволили обосновать оптимальные дозировки и соотношения при разработке рецептуры с обоснован</w:t>
      </w:r>
      <w:r w:rsidRPr="00A11DF9">
        <w:rPr>
          <w:sz w:val="22"/>
          <w:szCs w:val="22"/>
          <w:lang w:eastAsia="en-US"/>
        </w:rPr>
        <w:t>и</w:t>
      </w:r>
      <w:r w:rsidRPr="00A11DF9">
        <w:rPr>
          <w:sz w:val="22"/>
          <w:szCs w:val="22"/>
          <w:lang w:eastAsia="en-US"/>
        </w:rPr>
        <w:t xml:space="preserve">ем функциональности. Водо- и жироудерживающая способность смесей пшеничной муки и порошка шпината в зависимости от его дозировки варьировали от </w:t>
      </w:r>
      <w:r w:rsidRPr="00A11DF9">
        <w:rPr>
          <w:sz w:val="22"/>
          <w:szCs w:val="22"/>
        </w:rPr>
        <w:t xml:space="preserve">ВУС 222,8 и ЖУС 206 в контроле без добавок до ВУС </w:t>
      </w:r>
      <w:r w:rsidRPr="00A11DF9">
        <w:rPr>
          <w:sz w:val="22"/>
          <w:szCs w:val="22"/>
          <w:lang w:eastAsia="en-US"/>
        </w:rPr>
        <w:t>323,7 и ЖУС 262,1 в смеси с обогащающей доба</w:t>
      </w:r>
      <w:r w:rsidRPr="00A11DF9">
        <w:rPr>
          <w:sz w:val="22"/>
          <w:szCs w:val="22"/>
          <w:lang w:eastAsia="en-US"/>
        </w:rPr>
        <w:t>в</w:t>
      </w:r>
      <w:r w:rsidRPr="00A11DF9">
        <w:rPr>
          <w:sz w:val="22"/>
          <w:szCs w:val="22"/>
          <w:lang w:eastAsia="en-US"/>
        </w:rPr>
        <w:t>кой, что позволяет судить о возможности моделирования технол</w:t>
      </w:r>
      <w:r w:rsidRPr="00A11DF9">
        <w:rPr>
          <w:sz w:val="22"/>
          <w:szCs w:val="22"/>
          <w:lang w:eastAsia="en-US"/>
        </w:rPr>
        <w:t>о</w:t>
      </w:r>
      <w:r w:rsidRPr="00A11DF9">
        <w:rPr>
          <w:sz w:val="22"/>
          <w:szCs w:val="22"/>
          <w:lang w:eastAsia="en-US"/>
        </w:rPr>
        <w:t>гических свойств с целью улучшения качественных характеристик готовой продукции.</w:t>
      </w:r>
    </w:p>
    <w:p w:rsidR="00281602" w:rsidRPr="00A11DF9" w:rsidRDefault="00281602" w:rsidP="00A11DF9">
      <w:pPr>
        <w:ind w:firstLine="426"/>
        <w:jc w:val="both"/>
        <w:rPr>
          <w:sz w:val="22"/>
          <w:szCs w:val="22"/>
          <w:lang w:eastAsia="en-US"/>
        </w:rPr>
      </w:pPr>
      <w:r w:rsidRPr="00A11DF9">
        <w:rPr>
          <w:sz w:val="22"/>
          <w:szCs w:val="22"/>
          <w:lang w:eastAsia="en-US"/>
        </w:rPr>
        <w:t>Выполненные эксперименты позволили рекомендовать прим</w:t>
      </w:r>
      <w:r w:rsidRPr="00A11DF9">
        <w:rPr>
          <w:sz w:val="22"/>
          <w:szCs w:val="22"/>
          <w:lang w:eastAsia="en-US"/>
        </w:rPr>
        <w:t>е</w:t>
      </w:r>
      <w:r w:rsidRPr="00A11DF9">
        <w:rPr>
          <w:sz w:val="22"/>
          <w:szCs w:val="22"/>
          <w:lang w:eastAsia="en-US"/>
        </w:rPr>
        <w:t xml:space="preserve">нение порошка шпината в макаронном производстве, что позволит обогатить макаронные изделиями всеми необходимые витаминами и минеральными веществами. Кроме того совместное влияние на технологические свойства теста белков пшеничной муки и порошка </w:t>
      </w:r>
      <w:r w:rsidRPr="00A11DF9">
        <w:rPr>
          <w:sz w:val="22"/>
          <w:szCs w:val="22"/>
          <w:lang w:eastAsia="en-US"/>
        </w:rPr>
        <w:lastRenderedPageBreak/>
        <w:t>шпината позволит использовать в макаронном производстве более дешевое основное сырье.</w:t>
      </w:r>
    </w:p>
    <w:p w:rsidR="00281602" w:rsidRPr="00A11DF9" w:rsidRDefault="00281602" w:rsidP="00A11DF9">
      <w:pPr>
        <w:ind w:firstLine="426"/>
        <w:jc w:val="both"/>
        <w:rPr>
          <w:sz w:val="22"/>
          <w:szCs w:val="22"/>
          <w:lang w:eastAsia="en-US"/>
        </w:rPr>
      </w:pPr>
    </w:p>
    <w:p w:rsidR="00281602" w:rsidRPr="00A11DF9" w:rsidRDefault="00281602" w:rsidP="00A11DF9">
      <w:pPr>
        <w:ind w:firstLine="426"/>
        <w:jc w:val="center"/>
        <w:rPr>
          <w:sz w:val="22"/>
          <w:szCs w:val="22"/>
          <w:lang w:eastAsia="en-US"/>
        </w:rPr>
      </w:pPr>
      <w:r w:rsidRPr="00A11DF9">
        <w:rPr>
          <w:sz w:val="22"/>
          <w:szCs w:val="22"/>
          <w:lang w:eastAsia="en-US"/>
        </w:rPr>
        <w:t>Список литературы</w:t>
      </w:r>
    </w:p>
    <w:p w:rsidR="00281602" w:rsidRPr="00A11DF9" w:rsidRDefault="00281602" w:rsidP="00A11DF9">
      <w:pPr>
        <w:ind w:firstLine="426"/>
        <w:jc w:val="both"/>
        <w:rPr>
          <w:sz w:val="22"/>
          <w:szCs w:val="22"/>
          <w:lang w:eastAsia="en-US"/>
        </w:rPr>
      </w:pPr>
      <w:r w:rsidRPr="00A11DF9">
        <w:rPr>
          <w:sz w:val="22"/>
          <w:szCs w:val="22"/>
          <w:lang w:eastAsia="en-US"/>
        </w:rPr>
        <w:t>1.Ковалев, Н.И. Технология приготовления пищи / Н.И. Ков</w:t>
      </w:r>
      <w:r w:rsidRPr="00A11DF9">
        <w:rPr>
          <w:sz w:val="22"/>
          <w:szCs w:val="22"/>
          <w:lang w:eastAsia="en-US"/>
        </w:rPr>
        <w:t>а</w:t>
      </w:r>
      <w:r w:rsidRPr="00A11DF9">
        <w:rPr>
          <w:sz w:val="22"/>
          <w:szCs w:val="22"/>
          <w:lang w:eastAsia="en-US"/>
        </w:rPr>
        <w:t>лев, М.Н. Куткина, В.А. Кравцова; ред. М.А. Николаева. - М.: Дел</w:t>
      </w:r>
      <w:r w:rsidRPr="00A11DF9">
        <w:rPr>
          <w:sz w:val="22"/>
          <w:szCs w:val="22"/>
          <w:lang w:eastAsia="en-US"/>
        </w:rPr>
        <w:t>о</w:t>
      </w:r>
      <w:r w:rsidRPr="00A11DF9">
        <w:rPr>
          <w:sz w:val="22"/>
          <w:szCs w:val="22"/>
          <w:lang w:eastAsia="en-US"/>
        </w:rPr>
        <w:t>вая литература, 2008.</w:t>
      </w:r>
    </w:p>
    <w:p w:rsidR="00281602" w:rsidRPr="00A11DF9" w:rsidRDefault="00281602" w:rsidP="00A11DF9">
      <w:pPr>
        <w:ind w:firstLine="426"/>
        <w:jc w:val="both"/>
        <w:rPr>
          <w:sz w:val="22"/>
          <w:szCs w:val="22"/>
          <w:lang w:eastAsia="en-US"/>
        </w:rPr>
      </w:pPr>
      <w:r w:rsidRPr="00A11DF9">
        <w:rPr>
          <w:sz w:val="22"/>
          <w:szCs w:val="22"/>
          <w:lang w:eastAsia="en-US"/>
        </w:rPr>
        <w:t>2. Натуральное основание // Продукты &amp; Ингредиенты. − №4. − 2006. − С. 16-17.</w:t>
      </w:r>
    </w:p>
    <w:p w:rsidR="00281602" w:rsidRPr="00A11DF9" w:rsidRDefault="00281602" w:rsidP="00A11DF9">
      <w:pPr>
        <w:widowControl w:val="0"/>
        <w:autoSpaceDE w:val="0"/>
        <w:autoSpaceDN w:val="0"/>
        <w:adjustRightInd w:val="0"/>
        <w:ind w:firstLine="426"/>
        <w:jc w:val="both"/>
        <w:rPr>
          <w:sz w:val="22"/>
          <w:szCs w:val="22"/>
        </w:rPr>
      </w:pPr>
      <w:r w:rsidRPr="00A11DF9">
        <w:rPr>
          <w:sz w:val="22"/>
          <w:szCs w:val="22"/>
        </w:rPr>
        <w:t>3.Обзор рынка макаронных изделий в России URL:http://vproizvodstvo.ru/analitika_rynok/obzor_rynka_makaronnyh_izdelij_v_rossii/ (дата обращения: 21.11.14)].</w:t>
      </w:r>
    </w:p>
    <w:p w:rsidR="00281602" w:rsidRPr="00A11DF9" w:rsidRDefault="00281602" w:rsidP="00A11DF9">
      <w:pPr>
        <w:ind w:firstLine="426"/>
        <w:jc w:val="both"/>
        <w:rPr>
          <w:sz w:val="22"/>
          <w:szCs w:val="22"/>
          <w:lang w:eastAsia="en-US"/>
        </w:rPr>
      </w:pPr>
    </w:p>
    <w:p w:rsidR="000D0D2D" w:rsidRDefault="000D0D2D" w:rsidP="00281602">
      <w:pPr>
        <w:jc w:val="both"/>
        <w:rPr>
          <w:rFonts w:eastAsia="Calibri"/>
          <w:sz w:val="22"/>
          <w:szCs w:val="22"/>
          <w:lang w:eastAsia="en-US"/>
        </w:rPr>
      </w:pPr>
    </w:p>
    <w:p w:rsidR="001360B4" w:rsidRPr="00281602" w:rsidRDefault="001360B4" w:rsidP="00281602">
      <w:pPr>
        <w:jc w:val="both"/>
        <w:rPr>
          <w:rFonts w:eastAsia="Calibri"/>
          <w:sz w:val="22"/>
          <w:szCs w:val="22"/>
          <w:lang w:eastAsia="en-US"/>
        </w:rPr>
      </w:pPr>
    </w:p>
    <w:p w:rsidR="00281602" w:rsidRDefault="00281602" w:rsidP="00281602">
      <w:pPr>
        <w:rPr>
          <w:sz w:val="22"/>
          <w:szCs w:val="22"/>
        </w:rPr>
      </w:pPr>
      <w:r w:rsidRPr="00A11DF9">
        <w:rPr>
          <w:sz w:val="22"/>
          <w:szCs w:val="22"/>
        </w:rPr>
        <w:t>УДК 665.11</w:t>
      </w:r>
    </w:p>
    <w:p w:rsidR="00A11DF9" w:rsidRPr="00A11DF9" w:rsidRDefault="00A11DF9" w:rsidP="00281602">
      <w:pPr>
        <w:rPr>
          <w:sz w:val="22"/>
          <w:szCs w:val="22"/>
        </w:rPr>
      </w:pPr>
    </w:p>
    <w:p w:rsidR="00281602" w:rsidRPr="00281602" w:rsidRDefault="00281602" w:rsidP="00281602">
      <w:pPr>
        <w:jc w:val="center"/>
        <w:rPr>
          <w:b/>
          <w:sz w:val="24"/>
          <w:szCs w:val="24"/>
        </w:rPr>
      </w:pPr>
      <w:r w:rsidRPr="00281602">
        <w:rPr>
          <w:b/>
          <w:sz w:val="24"/>
          <w:szCs w:val="24"/>
        </w:rPr>
        <w:t>Функциональные масложировые продукты питания</w:t>
      </w:r>
    </w:p>
    <w:p w:rsidR="00281602" w:rsidRPr="00281602" w:rsidRDefault="00281602" w:rsidP="00281602">
      <w:pPr>
        <w:jc w:val="center"/>
        <w:rPr>
          <w:b/>
          <w:sz w:val="24"/>
          <w:szCs w:val="24"/>
        </w:rPr>
      </w:pPr>
      <w:r w:rsidRPr="00281602">
        <w:rPr>
          <w:b/>
          <w:sz w:val="24"/>
          <w:szCs w:val="24"/>
        </w:rPr>
        <w:t>с растительными добавками</w:t>
      </w:r>
    </w:p>
    <w:p w:rsidR="00281602" w:rsidRPr="00281602" w:rsidRDefault="00281602" w:rsidP="00281602">
      <w:pPr>
        <w:jc w:val="center"/>
        <w:rPr>
          <w:b/>
          <w:sz w:val="24"/>
          <w:szCs w:val="24"/>
          <w:lang w:val="en-US"/>
        </w:rPr>
      </w:pPr>
      <w:r w:rsidRPr="00281602">
        <w:rPr>
          <w:b/>
          <w:sz w:val="24"/>
          <w:szCs w:val="24"/>
          <w:lang w:val="en-US"/>
        </w:rPr>
        <w:t>Functional fat-and-oil food products</w:t>
      </w:r>
    </w:p>
    <w:p w:rsidR="00281602" w:rsidRPr="00281602" w:rsidRDefault="00281602" w:rsidP="00281602">
      <w:pPr>
        <w:jc w:val="center"/>
        <w:rPr>
          <w:b/>
          <w:sz w:val="24"/>
          <w:szCs w:val="24"/>
          <w:lang w:val="en-US"/>
        </w:rPr>
      </w:pPr>
      <w:r w:rsidRPr="00281602">
        <w:rPr>
          <w:b/>
          <w:sz w:val="24"/>
          <w:szCs w:val="24"/>
          <w:lang w:val="en-US"/>
        </w:rPr>
        <w:t>with herbal supplements</w:t>
      </w:r>
    </w:p>
    <w:p w:rsidR="00281602" w:rsidRPr="00281602" w:rsidRDefault="00281602" w:rsidP="00281602">
      <w:pPr>
        <w:jc w:val="center"/>
        <w:rPr>
          <w:b/>
          <w:sz w:val="24"/>
          <w:szCs w:val="24"/>
          <w:lang w:val="en-US"/>
        </w:rPr>
      </w:pPr>
    </w:p>
    <w:p w:rsidR="00281602" w:rsidRPr="00281602" w:rsidRDefault="00281602" w:rsidP="00281602">
      <w:pPr>
        <w:jc w:val="right"/>
        <w:rPr>
          <w:sz w:val="22"/>
          <w:szCs w:val="22"/>
          <w:lang w:val="en-US"/>
        </w:rPr>
      </w:pPr>
      <w:r w:rsidRPr="00281602">
        <w:rPr>
          <w:sz w:val="22"/>
          <w:szCs w:val="22"/>
        </w:rPr>
        <w:t>Кутнякова</w:t>
      </w:r>
      <w:r w:rsidR="00A11DF9" w:rsidRPr="001755C3">
        <w:rPr>
          <w:sz w:val="22"/>
          <w:szCs w:val="22"/>
          <w:lang w:val="en-US"/>
        </w:rPr>
        <w:t xml:space="preserve"> </w:t>
      </w:r>
      <w:r w:rsidRPr="00281602">
        <w:rPr>
          <w:sz w:val="22"/>
          <w:szCs w:val="22"/>
        </w:rPr>
        <w:t>Л</w:t>
      </w:r>
      <w:r w:rsidRPr="00281602">
        <w:rPr>
          <w:sz w:val="22"/>
          <w:szCs w:val="22"/>
          <w:lang w:val="en-US"/>
        </w:rPr>
        <w:t>.</w:t>
      </w:r>
      <w:r w:rsidR="00A11DF9" w:rsidRPr="001755C3">
        <w:rPr>
          <w:sz w:val="22"/>
          <w:szCs w:val="22"/>
          <w:lang w:val="en-US"/>
        </w:rPr>
        <w:t xml:space="preserve"> </w:t>
      </w:r>
      <w:r w:rsidRPr="00281602">
        <w:rPr>
          <w:sz w:val="22"/>
          <w:szCs w:val="22"/>
        </w:rPr>
        <w:t>А</w:t>
      </w:r>
      <w:r w:rsidRPr="00281602">
        <w:rPr>
          <w:sz w:val="22"/>
          <w:szCs w:val="22"/>
          <w:lang w:val="en-US"/>
        </w:rPr>
        <w:t>.,</w:t>
      </w:r>
    </w:p>
    <w:p w:rsidR="00281602" w:rsidRPr="00281602" w:rsidRDefault="00281602" w:rsidP="00281602">
      <w:pPr>
        <w:jc w:val="right"/>
        <w:rPr>
          <w:sz w:val="22"/>
          <w:szCs w:val="22"/>
        </w:rPr>
      </w:pPr>
      <w:r w:rsidRPr="00281602">
        <w:rPr>
          <w:sz w:val="22"/>
          <w:szCs w:val="22"/>
        </w:rPr>
        <w:t xml:space="preserve">магистрант 1-го курса </w:t>
      </w:r>
    </w:p>
    <w:p w:rsidR="00281602" w:rsidRPr="00281602" w:rsidRDefault="00281602" w:rsidP="00281602">
      <w:pPr>
        <w:jc w:val="right"/>
        <w:rPr>
          <w:sz w:val="22"/>
          <w:szCs w:val="22"/>
        </w:rPr>
      </w:pPr>
      <w:r w:rsidRPr="00281602">
        <w:rPr>
          <w:sz w:val="22"/>
          <w:szCs w:val="22"/>
        </w:rPr>
        <w:t>факультета перерабатывающих технологий</w:t>
      </w:r>
    </w:p>
    <w:p w:rsidR="00281602" w:rsidRPr="00281602" w:rsidRDefault="00281602" w:rsidP="00281602">
      <w:pPr>
        <w:jc w:val="right"/>
        <w:rPr>
          <w:sz w:val="22"/>
          <w:szCs w:val="22"/>
        </w:rPr>
      </w:pPr>
      <w:r w:rsidRPr="00281602">
        <w:rPr>
          <w:sz w:val="22"/>
          <w:szCs w:val="22"/>
        </w:rPr>
        <w:t>Варивода А.</w:t>
      </w:r>
      <w:r w:rsidR="00A11DF9">
        <w:rPr>
          <w:sz w:val="22"/>
          <w:szCs w:val="22"/>
        </w:rPr>
        <w:t xml:space="preserve"> </w:t>
      </w:r>
      <w:r w:rsidRPr="00281602">
        <w:rPr>
          <w:sz w:val="22"/>
          <w:szCs w:val="22"/>
        </w:rPr>
        <w:t>А.,</w:t>
      </w:r>
    </w:p>
    <w:p w:rsidR="00281602" w:rsidRPr="00281602" w:rsidRDefault="00A11DF9" w:rsidP="00281602">
      <w:pPr>
        <w:jc w:val="right"/>
        <w:rPr>
          <w:sz w:val="22"/>
          <w:szCs w:val="22"/>
        </w:rPr>
      </w:pPr>
      <w:r>
        <w:rPr>
          <w:sz w:val="22"/>
          <w:szCs w:val="22"/>
        </w:rPr>
        <w:t>доцент кафедры технологии</w:t>
      </w:r>
    </w:p>
    <w:p w:rsidR="00281602" w:rsidRPr="00281602" w:rsidRDefault="00281602" w:rsidP="00281602">
      <w:pPr>
        <w:jc w:val="right"/>
        <w:rPr>
          <w:sz w:val="22"/>
          <w:szCs w:val="22"/>
        </w:rPr>
      </w:pPr>
      <w:r w:rsidRPr="00281602">
        <w:rPr>
          <w:sz w:val="22"/>
          <w:szCs w:val="22"/>
        </w:rPr>
        <w:t>хранения и переработки растениеводческой продукции</w:t>
      </w:r>
    </w:p>
    <w:p w:rsidR="00281602" w:rsidRPr="00281602" w:rsidRDefault="00281602" w:rsidP="00281602">
      <w:pPr>
        <w:jc w:val="right"/>
        <w:rPr>
          <w:sz w:val="22"/>
          <w:szCs w:val="22"/>
        </w:rPr>
      </w:pPr>
      <w:r w:rsidRPr="00281602">
        <w:rPr>
          <w:sz w:val="22"/>
          <w:szCs w:val="22"/>
        </w:rPr>
        <w:t>Кубанский государственный аграрный</w:t>
      </w:r>
    </w:p>
    <w:p w:rsidR="00281602" w:rsidRPr="00281602" w:rsidRDefault="00281602" w:rsidP="00281602">
      <w:pPr>
        <w:jc w:val="right"/>
        <w:rPr>
          <w:sz w:val="22"/>
          <w:szCs w:val="22"/>
        </w:rPr>
      </w:pPr>
      <w:r w:rsidRPr="00281602">
        <w:rPr>
          <w:sz w:val="22"/>
          <w:szCs w:val="22"/>
        </w:rPr>
        <w:t>университет имени И.</w:t>
      </w:r>
      <w:r w:rsidR="00A11DF9">
        <w:rPr>
          <w:sz w:val="22"/>
          <w:szCs w:val="22"/>
        </w:rPr>
        <w:t xml:space="preserve"> </w:t>
      </w:r>
      <w:r w:rsidRPr="00281602">
        <w:rPr>
          <w:sz w:val="22"/>
          <w:szCs w:val="22"/>
        </w:rPr>
        <w:t>Т. Трубилина</w:t>
      </w:r>
    </w:p>
    <w:p w:rsidR="00281602" w:rsidRPr="00281602" w:rsidRDefault="00281602" w:rsidP="00281602">
      <w:pPr>
        <w:jc w:val="both"/>
        <w:rPr>
          <w:sz w:val="22"/>
          <w:szCs w:val="22"/>
        </w:rPr>
      </w:pPr>
    </w:p>
    <w:p w:rsidR="00281602" w:rsidRPr="00A11DF9" w:rsidRDefault="00A11DF9" w:rsidP="00A11DF9">
      <w:pPr>
        <w:ind w:firstLine="426"/>
        <w:jc w:val="both"/>
        <w:rPr>
          <w:sz w:val="22"/>
          <w:szCs w:val="22"/>
        </w:rPr>
      </w:pPr>
      <w:r w:rsidRPr="00A11DF9">
        <w:rPr>
          <w:sz w:val="22"/>
          <w:szCs w:val="22"/>
        </w:rPr>
        <w:t>АННОТАЦИЯ:</w:t>
      </w:r>
      <w:r w:rsidR="00281602" w:rsidRPr="00A11DF9">
        <w:rPr>
          <w:sz w:val="22"/>
          <w:szCs w:val="22"/>
        </w:rPr>
        <w:t xml:space="preserve"> </w:t>
      </w:r>
      <w:r w:rsidR="00281602" w:rsidRPr="00A11DF9">
        <w:rPr>
          <w:iCs/>
          <w:sz w:val="22"/>
          <w:szCs w:val="22"/>
        </w:rPr>
        <w:t xml:space="preserve">Работа представляет собой обзор </w:t>
      </w:r>
      <w:r w:rsidR="00281602" w:rsidRPr="00A11DF9">
        <w:rPr>
          <w:sz w:val="22"/>
          <w:szCs w:val="22"/>
        </w:rPr>
        <w:t>биологически активных добавок на основе нетрадиционного сырья для функци</w:t>
      </w:r>
      <w:r w:rsidR="00281602" w:rsidRPr="00A11DF9">
        <w:rPr>
          <w:sz w:val="22"/>
          <w:szCs w:val="22"/>
        </w:rPr>
        <w:t>о</w:t>
      </w:r>
      <w:r w:rsidR="00281602" w:rsidRPr="00A11DF9">
        <w:rPr>
          <w:sz w:val="22"/>
          <w:szCs w:val="22"/>
        </w:rPr>
        <w:t>нальных масложировых продуктов питания</w:t>
      </w:r>
      <w:r w:rsidR="00281602" w:rsidRPr="00A11DF9">
        <w:rPr>
          <w:iCs/>
          <w:sz w:val="22"/>
          <w:szCs w:val="22"/>
        </w:rPr>
        <w:t>. Предложена новая д</w:t>
      </w:r>
      <w:r w:rsidR="00281602" w:rsidRPr="00A11DF9">
        <w:rPr>
          <w:iCs/>
          <w:sz w:val="22"/>
          <w:szCs w:val="22"/>
        </w:rPr>
        <w:t>о</w:t>
      </w:r>
      <w:r w:rsidR="00281602" w:rsidRPr="00A11DF9">
        <w:rPr>
          <w:iCs/>
          <w:sz w:val="22"/>
          <w:szCs w:val="22"/>
        </w:rPr>
        <w:t xml:space="preserve">бавка </w:t>
      </w:r>
      <w:r w:rsidR="000D0D2D">
        <w:rPr>
          <w:sz w:val="22"/>
          <w:szCs w:val="22"/>
        </w:rPr>
        <w:t xml:space="preserve">из семян винограда и </w:t>
      </w:r>
      <w:r w:rsidR="00281602" w:rsidRPr="00A11DF9">
        <w:rPr>
          <w:sz w:val="22"/>
          <w:szCs w:val="22"/>
        </w:rPr>
        <w:t>зерна гречихи для майонеза и майоне</w:t>
      </w:r>
      <w:r w:rsidR="00281602" w:rsidRPr="00A11DF9">
        <w:rPr>
          <w:sz w:val="22"/>
          <w:szCs w:val="22"/>
        </w:rPr>
        <w:t>з</w:t>
      </w:r>
      <w:r w:rsidR="00281602" w:rsidRPr="00A11DF9">
        <w:rPr>
          <w:sz w:val="22"/>
          <w:szCs w:val="22"/>
        </w:rPr>
        <w:t>ной эмульсии</w:t>
      </w:r>
      <w:r w:rsidR="00281602" w:rsidRPr="00A11DF9">
        <w:rPr>
          <w:iCs/>
          <w:sz w:val="22"/>
          <w:szCs w:val="22"/>
        </w:rPr>
        <w:t>.</w:t>
      </w:r>
    </w:p>
    <w:p w:rsidR="00281602" w:rsidRPr="00A11DF9" w:rsidRDefault="00A11DF9" w:rsidP="00A11DF9">
      <w:pPr>
        <w:ind w:firstLine="426"/>
        <w:jc w:val="both"/>
        <w:rPr>
          <w:sz w:val="22"/>
          <w:szCs w:val="22"/>
          <w:lang w:val="en-US"/>
        </w:rPr>
      </w:pPr>
      <w:r w:rsidRPr="00A11DF9">
        <w:rPr>
          <w:sz w:val="22"/>
          <w:szCs w:val="22"/>
          <w:lang w:val="en-US"/>
        </w:rPr>
        <w:lastRenderedPageBreak/>
        <w:t>ABSTRACT:</w:t>
      </w:r>
      <w:r w:rsidR="00281602" w:rsidRPr="00A11DF9">
        <w:rPr>
          <w:sz w:val="22"/>
          <w:szCs w:val="22"/>
          <w:lang w:val="en-US"/>
        </w:rPr>
        <w:t xml:space="preserve"> The work is an overview of biologically active add</w:t>
      </w:r>
      <w:r w:rsidR="00281602" w:rsidRPr="00A11DF9">
        <w:rPr>
          <w:sz w:val="22"/>
          <w:szCs w:val="22"/>
          <w:lang w:val="en-US"/>
        </w:rPr>
        <w:t>i</w:t>
      </w:r>
      <w:r w:rsidR="00281602" w:rsidRPr="00A11DF9">
        <w:rPr>
          <w:sz w:val="22"/>
          <w:szCs w:val="22"/>
          <w:lang w:val="en-US"/>
        </w:rPr>
        <w:t>tives based on non-traditional raw materials for functional fat-and-oil products. A new additive of grape seeds and buckwheat for mayonnaise and mayonnaise emulsion was proposed.</w:t>
      </w:r>
    </w:p>
    <w:p w:rsidR="00281602" w:rsidRPr="00A11DF9" w:rsidRDefault="00281602" w:rsidP="00A11DF9">
      <w:pPr>
        <w:ind w:firstLine="426"/>
        <w:jc w:val="both"/>
        <w:rPr>
          <w:sz w:val="22"/>
          <w:szCs w:val="22"/>
        </w:rPr>
      </w:pPr>
      <w:r w:rsidRPr="00A11DF9">
        <w:rPr>
          <w:sz w:val="22"/>
          <w:szCs w:val="22"/>
        </w:rPr>
        <w:t>КЛЮЧЕВЫЕ СЛОВА: добавка, нетрадиционное сырье, семена винограда, рецептура, производство.</w:t>
      </w:r>
    </w:p>
    <w:p w:rsidR="00281602" w:rsidRPr="000D0D2D" w:rsidRDefault="00281602" w:rsidP="000D0D2D">
      <w:pPr>
        <w:ind w:firstLine="426"/>
        <w:jc w:val="both"/>
        <w:rPr>
          <w:sz w:val="22"/>
          <w:szCs w:val="22"/>
          <w:lang w:val="en-US"/>
        </w:rPr>
      </w:pPr>
      <w:r w:rsidRPr="00A11DF9">
        <w:rPr>
          <w:sz w:val="22"/>
          <w:szCs w:val="22"/>
          <w:lang w:val="en-US"/>
        </w:rPr>
        <w:t>KEYWORDS: additive, non-traditional raw materials, grape seeds, formulation, production.</w:t>
      </w:r>
    </w:p>
    <w:p w:rsidR="00281602" w:rsidRPr="00A11DF9" w:rsidRDefault="00281602" w:rsidP="00A11DF9">
      <w:pPr>
        <w:ind w:firstLine="426"/>
        <w:jc w:val="both"/>
        <w:rPr>
          <w:sz w:val="22"/>
          <w:szCs w:val="22"/>
        </w:rPr>
      </w:pPr>
      <w:r w:rsidRPr="00A11DF9">
        <w:rPr>
          <w:sz w:val="22"/>
          <w:szCs w:val="22"/>
        </w:rPr>
        <w:t>Особый интерес среди добавок, используемых для повышения пищевой ценности функциональных продуктов, представляют ра</w:t>
      </w:r>
      <w:r w:rsidRPr="00A11DF9">
        <w:rPr>
          <w:sz w:val="22"/>
          <w:szCs w:val="22"/>
        </w:rPr>
        <w:t>с</w:t>
      </w:r>
      <w:r w:rsidRPr="00A11DF9">
        <w:rPr>
          <w:sz w:val="22"/>
          <w:szCs w:val="22"/>
        </w:rPr>
        <w:t>тительные добавки. К достоинствам растительных добавок относя</w:t>
      </w:r>
      <w:r w:rsidRPr="00A11DF9">
        <w:rPr>
          <w:sz w:val="22"/>
          <w:szCs w:val="22"/>
        </w:rPr>
        <w:t>т</w:t>
      </w:r>
      <w:r w:rsidRPr="00A11DF9">
        <w:rPr>
          <w:sz w:val="22"/>
          <w:szCs w:val="22"/>
        </w:rPr>
        <w:t>ся их комплексный состав, сбалансированность составляющих их ингредиентов, а также присутствие соединений в наиболее физи</w:t>
      </w:r>
      <w:r w:rsidRPr="00A11DF9">
        <w:rPr>
          <w:sz w:val="22"/>
          <w:szCs w:val="22"/>
        </w:rPr>
        <w:t>о</w:t>
      </w:r>
      <w:r w:rsidRPr="00A11DF9">
        <w:rPr>
          <w:sz w:val="22"/>
          <w:szCs w:val="22"/>
        </w:rPr>
        <w:t>логически усвояемой форме.</w:t>
      </w:r>
    </w:p>
    <w:p w:rsidR="00281602" w:rsidRPr="00A11DF9" w:rsidRDefault="00281602" w:rsidP="00A11DF9">
      <w:pPr>
        <w:ind w:firstLine="426"/>
        <w:jc w:val="both"/>
        <w:rPr>
          <w:sz w:val="22"/>
          <w:szCs w:val="22"/>
        </w:rPr>
      </w:pPr>
      <w:r w:rsidRPr="00A11DF9">
        <w:rPr>
          <w:sz w:val="22"/>
          <w:szCs w:val="22"/>
        </w:rPr>
        <w:t>Основным направлением в создании функциональных проду</w:t>
      </w:r>
      <w:r w:rsidRPr="00A11DF9">
        <w:rPr>
          <w:sz w:val="22"/>
          <w:szCs w:val="22"/>
        </w:rPr>
        <w:t>к</w:t>
      </w:r>
      <w:r w:rsidRPr="00A11DF9">
        <w:rPr>
          <w:sz w:val="22"/>
          <w:szCs w:val="22"/>
        </w:rPr>
        <w:t>тов с высокими потребительскими свойствами является широкое использование продуктов переработки овощей, фруктов, отходы сокового производства, различные белковые обогатители на основе бобовых культур, молочных продуктов [1].</w:t>
      </w:r>
    </w:p>
    <w:p w:rsidR="00281602" w:rsidRPr="00A11DF9" w:rsidRDefault="00281602" w:rsidP="00A11DF9">
      <w:pPr>
        <w:ind w:firstLine="426"/>
        <w:jc w:val="both"/>
        <w:rPr>
          <w:sz w:val="22"/>
          <w:szCs w:val="22"/>
        </w:rPr>
      </w:pPr>
      <w:r w:rsidRPr="00A11DF9">
        <w:rPr>
          <w:sz w:val="22"/>
          <w:szCs w:val="22"/>
        </w:rPr>
        <w:t>В качестве улучшителя окислительного действия при прои</w:t>
      </w:r>
      <w:r w:rsidRPr="00A11DF9">
        <w:rPr>
          <w:sz w:val="22"/>
          <w:szCs w:val="22"/>
        </w:rPr>
        <w:t>з</w:t>
      </w:r>
      <w:r w:rsidRPr="00A11DF9">
        <w:rPr>
          <w:sz w:val="22"/>
          <w:szCs w:val="22"/>
        </w:rPr>
        <w:t>водстве функциональных продуктов  нами предложено использ</w:t>
      </w:r>
      <w:r w:rsidRPr="00A11DF9">
        <w:rPr>
          <w:sz w:val="22"/>
          <w:szCs w:val="22"/>
        </w:rPr>
        <w:t>о</w:t>
      </w:r>
      <w:r w:rsidRPr="00A11DF9">
        <w:rPr>
          <w:sz w:val="22"/>
          <w:szCs w:val="22"/>
        </w:rPr>
        <w:t>вать порошок из семян винограда и зерна гречихи, полученного п</w:t>
      </w:r>
      <w:r w:rsidRPr="00A11DF9">
        <w:rPr>
          <w:sz w:val="22"/>
          <w:szCs w:val="22"/>
        </w:rPr>
        <w:t>у</w:t>
      </w:r>
      <w:r w:rsidRPr="00A11DF9">
        <w:rPr>
          <w:sz w:val="22"/>
          <w:szCs w:val="22"/>
        </w:rPr>
        <w:t>тем измельчения смеси семян винограда и зерна гречихи при соо</w:t>
      </w:r>
      <w:r w:rsidRPr="00A11DF9">
        <w:rPr>
          <w:sz w:val="22"/>
          <w:szCs w:val="22"/>
        </w:rPr>
        <w:t>т</w:t>
      </w:r>
      <w:r w:rsidRPr="00A11DF9">
        <w:rPr>
          <w:sz w:val="22"/>
          <w:szCs w:val="22"/>
        </w:rPr>
        <w:t>ношении семена винограда: зерно гречихи (1:4)</w:t>
      </w:r>
      <w:r w:rsidRPr="00A11DF9">
        <w:rPr>
          <w:sz w:val="22"/>
          <w:szCs w:val="22"/>
        </w:rPr>
        <w:sym w:font="Symbol" w:char="F0B8"/>
      </w:r>
      <w:r w:rsidRPr="00A11DF9">
        <w:rPr>
          <w:sz w:val="22"/>
          <w:szCs w:val="22"/>
        </w:rPr>
        <w:t>(1:9) при опред</w:t>
      </w:r>
      <w:r w:rsidRPr="00A11DF9">
        <w:rPr>
          <w:sz w:val="22"/>
          <w:szCs w:val="22"/>
        </w:rPr>
        <w:t>е</w:t>
      </w:r>
      <w:r w:rsidRPr="00A11DF9">
        <w:rPr>
          <w:sz w:val="22"/>
          <w:szCs w:val="22"/>
        </w:rPr>
        <w:t>ленных режимах.  При этом количество порошка из семян виногр</w:t>
      </w:r>
      <w:r w:rsidRPr="00A11DF9">
        <w:rPr>
          <w:sz w:val="22"/>
          <w:szCs w:val="22"/>
        </w:rPr>
        <w:t>а</w:t>
      </w:r>
      <w:r w:rsidRPr="00A11DF9">
        <w:rPr>
          <w:sz w:val="22"/>
          <w:szCs w:val="22"/>
        </w:rPr>
        <w:t>да и зерна гречихи составляет 2,0-4,0% к массе продукта.</w:t>
      </w:r>
    </w:p>
    <w:p w:rsidR="00281602" w:rsidRPr="00A11DF9" w:rsidRDefault="00281602" w:rsidP="00A11DF9">
      <w:pPr>
        <w:ind w:firstLine="426"/>
        <w:jc w:val="both"/>
        <w:rPr>
          <w:sz w:val="22"/>
          <w:szCs w:val="22"/>
          <w:u w:val="single"/>
        </w:rPr>
      </w:pPr>
      <w:r w:rsidRPr="00A11DF9">
        <w:rPr>
          <w:sz w:val="22"/>
          <w:szCs w:val="22"/>
        </w:rPr>
        <w:t>Порошок, полученный из семян винограда и зерна гречихи, с</w:t>
      </w:r>
      <w:r w:rsidRPr="00A11DF9">
        <w:rPr>
          <w:sz w:val="22"/>
          <w:szCs w:val="22"/>
        </w:rPr>
        <w:t>о</w:t>
      </w:r>
      <w:r w:rsidRPr="00A11DF9">
        <w:rPr>
          <w:sz w:val="22"/>
          <w:szCs w:val="22"/>
        </w:rPr>
        <w:t>держит в своем составе липиды с преимущественным количеством полиненасыщенных жирных кислот, и, прежде всего, линоленовую кислоту, что позволяет использовать его в кондитерском, хлебоп</w:t>
      </w:r>
      <w:r w:rsidRPr="00A11DF9">
        <w:rPr>
          <w:sz w:val="22"/>
          <w:szCs w:val="22"/>
        </w:rPr>
        <w:t>е</w:t>
      </w:r>
      <w:r w:rsidRPr="00A11DF9">
        <w:rPr>
          <w:sz w:val="22"/>
          <w:szCs w:val="22"/>
        </w:rPr>
        <w:t>карном и мясном производстве, а также в качестве эмульгатора и стабилизатора[2,3].</w:t>
      </w:r>
    </w:p>
    <w:p w:rsidR="00281602" w:rsidRPr="00A11DF9" w:rsidRDefault="00281602" w:rsidP="00A11DF9">
      <w:pPr>
        <w:ind w:firstLine="426"/>
        <w:jc w:val="both"/>
        <w:rPr>
          <w:sz w:val="22"/>
          <w:szCs w:val="22"/>
        </w:rPr>
      </w:pPr>
      <w:r w:rsidRPr="00A11DF9">
        <w:rPr>
          <w:sz w:val="22"/>
          <w:szCs w:val="22"/>
        </w:rPr>
        <w:t>Одновременно порошок, полученный из семян винограда и зерна гречихи имеет повышенное содержание минеральных в</w:t>
      </w:r>
      <w:r w:rsidRPr="00A11DF9">
        <w:rPr>
          <w:sz w:val="22"/>
          <w:szCs w:val="22"/>
        </w:rPr>
        <w:t>е</w:t>
      </w:r>
      <w:r w:rsidRPr="00A11DF9">
        <w:rPr>
          <w:sz w:val="22"/>
          <w:szCs w:val="22"/>
        </w:rPr>
        <w:t>ществ (железо, цинк, магний, кальций, калий), витаминов (В</w:t>
      </w:r>
      <w:r w:rsidRPr="00A11DF9">
        <w:rPr>
          <w:sz w:val="22"/>
          <w:szCs w:val="22"/>
          <w:vertAlign w:val="subscript"/>
        </w:rPr>
        <w:t>1</w:t>
      </w:r>
      <w:r w:rsidRPr="00A11DF9">
        <w:rPr>
          <w:sz w:val="22"/>
          <w:szCs w:val="22"/>
        </w:rPr>
        <w:t>, В</w:t>
      </w:r>
      <w:r w:rsidRPr="00A11DF9">
        <w:rPr>
          <w:sz w:val="22"/>
          <w:szCs w:val="22"/>
          <w:vertAlign w:val="subscript"/>
        </w:rPr>
        <w:t>2</w:t>
      </w:r>
      <w:r w:rsidRPr="00A11DF9">
        <w:rPr>
          <w:sz w:val="22"/>
          <w:szCs w:val="22"/>
        </w:rPr>
        <w:t>, РР, Е), органических кислот и витаминов.</w:t>
      </w:r>
    </w:p>
    <w:p w:rsidR="00281602" w:rsidRPr="00A11DF9" w:rsidRDefault="00281602" w:rsidP="00A11DF9">
      <w:pPr>
        <w:ind w:firstLine="426"/>
        <w:jc w:val="both"/>
        <w:rPr>
          <w:sz w:val="22"/>
          <w:szCs w:val="22"/>
        </w:rPr>
      </w:pPr>
      <w:r w:rsidRPr="00A11DF9">
        <w:rPr>
          <w:sz w:val="22"/>
          <w:szCs w:val="22"/>
        </w:rPr>
        <w:t>Исследования готового продукта показали, что майонез и ма</w:t>
      </w:r>
      <w:r w:rsidRPr="00A11DF9">
        <w:rPr>
          <w:sz w:val="22"/>
          <w:szCs w:val="22"/>
        </w:rPr>
        <w:t>й</w:t>
      </w:r>
      <w:r w:rsidRPr="00A11DF9">
        <w:rPr>
          <w:sz w:val="22"/>
          <w:szCs w:val="22"/>
        </w:rPr>
        <w:t xml:space="preserve">онезные эмульсии с добавлением порошка из семян винограда и  </w:t>
      </w:r>
      <w:r w:rsidRPr="00A11DF9">
        <w:rPr>
          <w:sz w:val="22"/>
          <w:szCs w:val="22"/>
        </w:rPr>
        <w:lastRenderedPageBreak/>
        <w:t>зерна гречихи имеют более высокие качества по кислотному и п</w:t>
      </w:r>
      <w:r w:rsidRPr="00A11DF9">
        <w:rPr>
          <w:sz w:val="22"/>
          <w:szCs w:val="22"/>
        </w:rPr>
        <w:t>е</w:t>
      </w:r>
      <w:r w:rsidRPr="00A11DF9">
        <w:rPr>
          <w:sz w:val="22"/>
          <w:szCs w:val="22"/>
        </w:rPr>
        <w:t>рекисному числу, а также удовлетворительные реологические пок</w:t>
      </w:r>
      <w:r w:rsidRPr="00A11DF9">
        <w:rPr>
          <w:sz w:val="22"/>
          <w:szCs w:val="22"/>
        </w:rPr>
        <w:t>а</w:t>
      </w:r>
      <w:r w:rsidRPr="00A11DF9">
        <w:rPr>
          <w:sz w:val="22"/>
          <w:szCs w:val="22"/>
        </w:rPr>
        <w:t>затели в сравнении  с контрольным образцом.</w:t>
      </w:r>
    </w:p>
    <w:p w:rsidR="00281602" w:rsidRPr="00A11DF9" w:rsidRDefault="00281602" w:rsidP="00A11DF9">
      <w:pPr>
        <w:ind w:firstLine="426"/>
        <w:jc w:val="both"/>
        <w:rPr>
          <w:sz w:val="22"/>
          <w:szCs w:val="22"/>
        </w:rPr>
      </w:pPr>
      <w:r w:rsidRPr="00A11DF9">
        <w:rPr>
          <w:sz w:val="22"/>
          <w:szCs w:val="22"/>
        </w:rPr>
        <w:t>Предложенный способ применения цельносмолотого зерна гречихи для майонеза и майонезных эмульсий позволяет получить продукт с высокими качественными показателями, биологической и пищевой ценностью, что дает возможность рекомендовать его в к</w:t>
      </w:r>
      <w:r w:rsidRPr="00A11DF9">
        <w:rPr>
          <w:sz w:val="22"/>
          <w:szCs w:val="22"/>
        </w:rPr>
        <w:t>а</w:t>
      </w:r>
      <w:r w:rsidR="00A11DF9">
        <w:rPr>
          <w:sz w:val="22"/>
          <w:szCs w:val="22"/>
        </w:rPr>
        <w:t xml:space="preserve">честве профилактического </w:t>
      </w:r>
      <w:r w:rsidRPr="00A11DF9">
        <w:rPr>
          <w:sz w:val="22"/>
          <w:szCs w:val="22"/>
        </w:rPr>
        <w:t>и лечебного продукта.</w:t>
      </w:r>
    </w:p>
    <w:p w:rsidR="00281602" w:rsidRPr="00A11DF9" w:rsidRDefault="00281602" w:rsidP="00A11DF9">
      <w:pPr>
        <w:ind w:firstLine="426"/>
        <w:jc w:val="both"/>
        <w:rPr>
          <w:sz w:val="22"/>
          <w:szCs w:val="22"/>
        </w:rPr>
      </w:pPr>
      <w:r w:rsidRPr="00A11DF9">
        <w:rPr>
          <w:sz w:val="22"/>
          <w:szCs w:val="22"/>
        </w:rPr>
        <w:t>Использование порошка из семян винограда и зерна гречихи в майонезе и майонезных эмульсиях также повышает сохраняемость про</w:t>
      </w:r>
      <w:r w:rsidR="00A11DF9">
        <w:rPr>
          <w:sz w:val="22"/>
          <w:szCs w:val="22"/>
        </w:rPr>
        <w:t xml:space="preserve">дукта за счет присутствия </w:t>
      </w:r>
      <w:r w:rsidRPr="00A11DF9">
        <w:rPr>
          <w:sz w:val="22"/>
          <w:szCs w:val="22"/>
        </w:rPr>
        <w:t>модифицированных форм крахмала, обладающих более высокой влагоудерживающей способностью, образующихся при механическом воздействии в процессе получ</w:t>
      </w:r>
      <w:r w:rsidRPr="00A11DF9">
        <w:rPr>
          <w:sz w:val="22"/>
          <w:szCs w:val="22"/>
        </w:rPr>
        <w:t>е</w:t>
      </w:r>
      <w:r w:rsidRPr="00A11DF9">
        <w:rPr>
          <w:sz w:val="22"/>
          <w:szCs w:val="22"/>
        </w:rPr>
        <w:t>ния порошка.</w:t>
      </w:r>
    </w:p>
    <w:p w:rsidR="00281602" w:rsidRPr="00A11DF9" w:rsidRDefault="00281602" w:rsidP="00A11DF9">
      <w:pPr>
        <w:ind w:firstLine="426"/>
        <w:jc w:val="center"/>
        <w:rPr>
          <w:sz w:val="22"/>
          <w:szCs w:val="22"/>
        </w:rPr>
      </w:pPr>
      <w:r w:rsidRPr="00A11DF9">
        <w:rPr>
          <w:sz w:val="22"/>
          <w:szCs w:val="22"/>
        </w:rPr>
        <w:t>Список литературы</w:t>
      </w:r>
    </w:p>
    <w:p w:rsidR="00281602" w:rsidRPr="00A11DF9" w:rsidRDefault="00281602" w:rsidP="00A11DF9">
      <w:pPr>
        <w:numPr>
          <w:ilvl w:val="0"/>
          <w:numId w:val="29"/>
        </w:numPr>
        <w:ind w:left="0" w:firstLine="426"/>
        <w:jc w:val="both"/>
        <w:rPr>
          <w:sz w:val="22"/>
          <w:szCs w:val="22"/>
        </w:rPr>
      </w:pPr>
      <w:r w:rsidRPr="00A11DF9">
        <w:rPr>
          <w:sz w:val="22"/>
          <w:szCs w:val="22"/>
        </w:rPr>
        <w:t xml:space="preserve">Фастовская, Е.Ю. </w:t>
      </w:r>
      <w:hyperlink r:id="rId130" w:history="1">
        <w:r w:rsidRPr="00A11DF9">
          <w:rPr>
            <w:bCs/>
            <w:sz w:val="22"/>
            <w:szCs w:val="22"/>
          </w:rPr>
          <w:t>Эмульсионные масложировые продукты функционального назначения</w:t>
        </w:r>
      </w:hyperlink>
      <w:r w:rsidRPr="00A11DF9">
        <w:rPr>
          <w:sz w:val="22"/>
          <w:szCs w:val="22"/>
        </w:rPr>
        <w:t xml:space="preserve"> / Е.Ю. Фастовская,  А.А. </w:t>
      </w:r>
      <w:r w:rsidRPr="00A11DF9">
        <w:rPr>
          <w:iCs/>
          <w:sz w:val="22"/>
          <w:szCs w:val="22"/>
        </w:rPr>
        <w:t>Варивода //</w:t>
      </w:r>
      <w:r w:rsidRPr="00A11DF9">
        <w:rPr>
          <w:sz w:val="22"/>
          <w:szCs w:val="22"/>
        </w:rPr>
        <w:br/>
        <w:t xml:space="preserve">В сборнике: </w:t>
      </w:r>
      <w:hyperlink r:id="rId131" w:history="1">
        <w:r w:rsidRPr="00A11DF9">
          <w:rPr>
            <w:sz w:val="22"/>
            <w:szCs w:val="22"/>
          </w:rPr>
          <w:t>Пища. Экология. Качество</w:t>
        </w:r>
      </w:hyperlink>
      <w:r w:rsidRPr="00A11DF9">
        <w:rPr>
          <w:sz w:val="22"/>
          <w:szCs w:val="22"/>
        </w:rPr>
        <w:t xml:space="preserve"> труды </w:t>
      </w:r>
      <w:r w:rsidRPr="00A11DF9">
        <w:rPr>
          <w:sz w:val="22"/>
          <w:szCs w:val="22"/>
          <w:lang w:val="en-US"/>
        </w:rPr>
        <w:t xml:space="preserve">XIV </w:t>
      </w:r>
      <w:r w:rsidRPr="00A11DF9">
        <w:rPr>
          <w:sz w:val="22"/>
          <w:szCs w:val="22"/>
        </w:rPr>
        <w:t>Международной научно-практической конференции. - 2017. - С. 310-314.</w:t>
      </w:r>
    </w:p>
    <w:p w:rsidR="00281602" w:rsidRPr="00A11DF9" w:rsidRDefault="00281602" w:rsidP="00A11DF9">
      <w:pPr>
        <w:numPr>
          <w:ilvl w:val="0"/>
          <w:numId w:val="29"/>
        </w:numPr>
        <w:ind w:left="0" w:firstLine="426"/>
        <w:jc w:val="both"/>
        <w:rPr>
          <w:sz w:val="22"/>
          <w:szCs w:val="22"/>
        </w:rPr>
      </w:pPr>
      <w:r w:rsidRPr="00A11DF9">
        <w:rPr>
          <w:sz w:val="22"/>
          <w:szCs w:val="22"/>
        </w:rPr>
        <w:t xml:space="preserve">Фастовская, Е.Ю. </w:t>
      </w:r>
      <w:hyperlink r:id="rId132" w:history="1">
        <w:r w:rsidRPr="00A11DF9">
          <w:rPr>
            <w:bCs/>
            <w:sz w:val="22"/>
            <w:szCs w:val="22"/>
          </w:rPr>
          <w:t>Разработка технологии функциональных масложировых продуктов</w:t>
        </w:r>
      </w:hyperlink>
      <w:r w:rsidRPr="00A11DF9">
        <w:rPr>
          <w:sz w:val="22"/>
          <w:szCs w:val="22"/>
        </w:rPr>
        <w:t xml:space="preserve"> / Е.Ю. Фастовская,  А.А. </w:t>
      </w:r>
      <w:r w:rsidRPr="00A11DF9">
        <w:rPr>
          <w:iCs/>
          <w:sz w:val="22"/>
          <w:szCs w:val="22"/>
        </w:rPr>
        <w:t>Варивода //</w:t>
      </w:r>
      <w:r w:rsidRPr="00A11DF9">
        <w:rPr>
          <w:sz w:val="22"/>
          <w:szCs w:val="22"/>
        </w:rPr>
        <w:br/>
        <w:t xml:space="preserve">В сборнике: </w:t>
      </w:r>
      <w:hyperlink r:id="rId133" w:history="1">
        <w:r w:rsidRPr="00A11DF9">
          <w:rPr>
            <w:sz w:val="22"/>
            <w:szCs w:val="22"/>
          </w:rPr>
          <w:t>Научное обеспечение агропромышленного компле</w:t>
        </w:r>
        <w:r w:rsidRPr="00A11DF9">
          <w:rPr>
            <w:sz w:val="22"/>
            <w:szCs w:val="22"/>
          </w:rPr>
          <w:t>к</w:t>
        </w:r>
        <w:r w:rsidRPr="00A11DF9">
          <w:rPr>
            <w:sz w:val="22"/>
            <w:szCs w:val="22"/>
          </w:rPr>
          <w:t>са</w:t>
        </w:r>
      </w:hyperlink>
      <w:r w:rsidRPr="00A11DF9">
        <w:rPr>
          <w:sz w:val="22"/>
          <w:szCs w:val="22"/>
        </w:rPr>
        <w:t xml:space="preserve">по материалам </w:t>
      </w:r>
      <w:r w:rsidRPr="00A11DF9">
        <w:rPr>
          <w:sz w:val="22"/>
          <w:szCs w:val="22"/>
          <w:lang w:val="en-US"/>
        </w:rPr>
        <w:t>XI</w:t>
      </w:r>
      <w:r w:rsidRPr="00A11DF9">
        <w:rPr>
          <w:sz w:val="22"/>
          <w:szCs w:val="22"/>
        </w:rPr>
        <w:t xml:space="preserve"> Всероссийской конференции молодых ученых, посвященной 95-летию кубанского ГАУ и 80-летию со дня образ</w:t>
      </w:r>
      <w:r w:rsidRPr="00A11DF9">
        <w:rPr>
          <w:sz w:val="22"/>
          <w:szCs w:val="22"/>
        </w:rPr>
        <w:t>о</w:t>
      </w:r>
      <w:r w:rsidRPr="00A11DF9">
        <w:rPr>
          <w:sz w:val="22"/>
          <w:szCs w:val="22"/>
        </w:rPr>
        <w:t xml:space="preserve">вания краснодарского края. Ответственный за выпуск А.Г. Кощаев. - 2017. – С. 971-972. </w:t>
      </w:r>
    </w:p>
    <w:p w:rsidR="00281602" w:rsidRPr="00A11DF9" w:rsidRDefault="00281602" w:rsidP="00A11DF9">
      <w:pPr>
        <w:numPr>
          <w:ilvl w:val="0"/>
          <w:numId w:val="29"/>
        </w:numPr>
        <w:ind w:left="0" w:firstLine="426"/>
        <w:jc w:val="both"/>
        <w:rPr>
          <w:sz w:val="22"/>
          <w:szCs w:val="22"/>
        </w:rPr>
      </w:pPr>
      <w:r w:rsidRPr="00A11DF9">
        <w:rPr>
          <w:sz w:val="22"/>
          <w:szCs w:val="22"/>
        </w:rPr>
        <w:t xml:space="preserve">Щледевиц, В.П. </w:t>
      </w:r>
      <w:hyperlink r:id="rId134" w:history="1">
        <w:r w:rsidRPr="00A11DF9">
          <w:rPr>
            <w:bCs/>
            <w:sz w:val="22"/>
            <w:szCs w:val="22"/>
          </w:rPr>
          <w:t>Масложировые продукты из нетрадицио</w:t>
        </w:r>
        <w:r w:rsidRPr="00A11DF9">
          <w:rPr>
            <w:bCs/>
            <w:sz w:val="22"/>
            <w:szCs w:val="22"/>
          </w:rPr>
          <w:t>н</w:t>
        </w:r>
        <w:r w:rsidRPr="00A11DF9">
          <w:rPr>
            <w:bCs/>
            <w:sz w:val="22"/>
            <w:szCs w:val="22"/>
          </w:rPr>
          <w:t>ного сырья</w:t>
        </w:r>
      </w:hyperlink>
      <w:r w:rsidR="00A11DF9">
        <w:rPr>
          <w:sz w:val="22"/>
          <w:szCs w:val="22"/>
        </w:rPr>
        <w:t xml:space="preserve">/ В.П. Щледевиц, </w:t>
      </w:r>
      <w:r w:rsidRPr="00A11DF9">
        <w:rPr>
          <w:sz w:val="22"/>
          <w:szCs w:val="22"/>
        </w:rPr>
        <w:t xml:space="preserve">А.А. </w:t>
      </w:r>
      <w:r w:rsidRPr="00A11DF9">
        <w:rPr>
          <w:iCs/>
          <w:sz w:val="22"/>
          <w:szCs w:val="22"/>
        </w:rPr>
        <w:t>Варивода //</w:t>
      </w:r>
      <w:r w:rsidRPr="00A11DF9">
        <w:rPr>
          <w:sz w:val="22"/>
          <w:szCs w:val="22"/>
        </w:rPr>
        <w:br/>
        <w:t xml:space="preserve">В сборнике: </w:t>
      </w:r>
      <w:hyperlink r:id="rId135" w:history="1">
        <w:r w:rsidRPr="00A11DF9">
          <w:rPr>
            <w:sz w:val="22"/>
            <w:szCs w:val="22"/>
          </w:rPr>
          <w:t>Пища. Экология. Качество</w:t>
        </w:r>
      </w:hyperlink>
      <w:r w:rsidRPr="00A11DF9">
        <w:rPr>
          <w:sz w:val="22"/>
          <w:szCs w:val="22"/>
        </w:rPr>
        <w:t xml:space="preserve">труды </w:t>
      </w:r>
      <w:r w:rsidRPr="00A11DF9">
        <w:rPr>
          <w:sz w:val="22"/>
          <w:szCs w:val="22"/>
          <w:lang w:val="en-US"/>
        </w:rPr>
        <w:t>XIV</w:t>
      </w:r>
      <w:r w:rsidRPr="00A11DF9">
        <w:rPr>
          <w:sz w:val="22"/>
          <w:szCs w:val="22"/>
        </w:rPr>
        <w:t xml:space="preserve"> Международной научно-практической конференции. - 2017. - С. 373-376.</w:t>
      </w:r>
    </w:p>
    <w:p w:rsidR="00281602" w:rsidRPr="00A11DF9" w:rsidRDefault="00281602" w:rsidP="00A11DF9">
      <w:pPr>
        <w:ind w:firstLine="426"/>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281602" w:rsidRPr="00281602" w:rsidRDefault="000D0D2D" w:rsidP="000D0D2D">
      <w:pPr>
        <w:rPr>
          <w:rFonts w:eastAsia="Calibri"/>
          <w:sz w:val="22"/>
          <w:szCs w:val="22"/>
          <w:lang w:eastAsia="en-US"/>
        </w:rPr>
      </w:pPr>
      <w:r>
        <w:rPr>
          <w:rFonts w:eastAsia="Calibri"/>
          <w:sz w:val="22"/>
          <w:szCs w:val="22"/>
          <w:lang w:eastAsia="en-US"/>
        </w:rPr>
        <w:br w:type="page"/>
      </w:r>
    </w:p>
    <w:p w:rsidR="00281602" w:rsidRDefault="00281602" w:rsidP="00281602">
      <w:pPr>
        <w:jc w:val="both"/>
        <w:rPr>
          <w:sz w:val="22"/>
          <w:szCs w:val="22"/>
        </w:rPr>
      </w:pPr>
      <w:r w:rsidRPr="0017022A">
        <w:rPr>
          <w:sz w:val="22"/>
          <w:szCs w:val="22"/>
        </w:rPr>
        <w:lastRenderedPageBreak/>
        <w:t>УДК 664.8.022</w:t>
      </w:r>
    </w:p>
    <w:p w:rsidR="0017022A" w:rsidRPr="0017022A" w:rsidRDefault="0017022A" w:rsidP="00281602">
      <w:pPr>
        <w:jc w:val="both"/>
        <w:rPr>
          <w:sz w:val="22"/>
          <w:szCs w:val="22"/>
        </w:rPr>
      </w:pPr>
    </w:p>
    <w:p w:rsidR="00281602" w:rsidRPr="00281602" w:rsidRDefault="00281602" w:rsidP="00281602">
      <w:pPr>
        <w:jc w:val="center"/>
        <w:rPr>
          <w:b/>
          <w:sz w:val="24"/>
          <w:szCs w:val="24"/>
        </w:rPr>
      </w:pPr>
      <w:r w:rsidRPr="00281602">
        <w:rPr>
          <w:b/>
          <w:sz w:val="24"/>
          <w:szCs w:val="24"/>
        </w:rPr>
        <w:t>Получение пектинового экстракта из плодов кребов</w:t>
      </w:r>
    </w:p>
    <w:p w:rsidR="00281602" w:rsidRPr="00281602" w:rsidRDefault="00281602" w:rsidP="00281602">
      <w:pPr>
        <w:jc w:val="center"/>
        <w:rPr>
          <w:b/>
          <w:sz w:val="24"/>
          <w:szCs w:val="24"/>
          <w:lang w:val="en-US"/>
        </w:rPr>
      </w:pPr>
      <w:r w:rsidRPr="00281602">
        <w:rPr>
          <w:b/>
          <w:sz w:val="24"/>
          <w:szCs w:val="24"/>
        </w:rPr>
        <w:t>и</w:t>
      </w:r>
      <w:r w:rsidRPr="00281602">
        <w:rPr>
          <w:b/>
          <w:sz w:val="24"/>
          <w:szCs w:val="24"/>
          <w:lang w:val="en-US"/>
        </w:rPr>
        <w:t xml:space="preserve"> </w:t>
      </w:r>
      <w:r w:rsidRPr="00281602">
        <w:rPr>
          <w:b/>
          <w:sz w:val="24"/>
          <w:szCs w:val="24"/>
        </w:rPr>
        <w:t>оценка</w:t>
      </w:r>
      <w:r w:rsidRPr="00281602">
        <w:rPr>
          <w:b/>
          <w:sz w:val="24"/>
          <w:szCs w:val="24"/>
          <w:lang w:val="en-US"/>
        </w:rPr>
        <w:t xml:space="preserve"> </w:t>
      </w:r>
      <w:r w:rsidRPr="00281602">
        <w:rPr>
          <w:b/>
          <w:sz w:val="24"/>
          <w:szCs w:val="24"/>
        </w:rPr>
        <w:t>его</w:t>
      </w:r>
      <w:r w:rsidRPr="00281602">
        <w:rPr>
          <w:b/>
          <w:sz w:val="24"/>
          <w:szCs w:val="24"/>
          <w:lang w:val="en-US"/>
        </w:rPr>
        <w:t xml:space="preserve"> </w:t>
      </w:r>
      <w:r w:rsidRPr="00281602">
        <w:rPr>
          <w:b/>
          <w:sz w:val="24"/>
          <w:szCs w:val="24"/>
        </w:rPr>
        <w:t>качества</w:t>
      </w:r>
    </w:p>
    <w:p w:rsidR="00281602" w:rsidRPr="00281602"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281602">
        <w:rPr>
          <w:b/>
          <w:color w:val="212121"/>
          <w:sz w:val="24"/>
          <w:szCs w:val="24"/>
          <w:lang w:val="en-US"/>
        </w:rPr>
        <w:t>Preparation of pectin extract from apple - crabs</w:t>
      </w:r>
    </w:p>
    <w:p w:rsidR="00281602" w:rsidRPr="00281602"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281602">
        <w:rPr>
          <w:b/>
          <w:color w:val="212121"/>
          <w:sz w:val="24"/>
          <w:szCs w:val="24"/>
          <w:lang w:val="en-US"/>
        </w:rPr>
        <w:t>and evaluation of its quality</w:t>
      </w:r>
    </w:p>
    <w:p w:rsidR="00281602" w:rsidRPr="00281602" w:rsidRDefault="00281602" w:rsidP="00281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p>
    <w:p w:rsidR="00281602" w:rsidRPr="001755C3"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lang w:val="en-US"/>
        </w:rPr>
      </w:pPr>
      <w:r w:rsidRPr="0017022A">
        <w:rPr>
          <w:sz w:val="22"/>
          <w:szCs w:val="22"/>
        </w:rPr>
        <w:t>Кушнир</w:t>
      </w:r>
      <w:r w:rsidR="0017022A" w:rsidRPr="001755C3">
        <w:rPr>
          <w:sz w:val="22"/>
          <w:szCs w:val="22"/>
          <w:lang w:val="en-US"/>
        </w:rPr>
        <w:t xml:space="preserve"> </w:t>
      </w:r>
      <w:r w:rsidRPr="0017022A">
        <w:rPr>
          <w:sz w:val="22"/>
          <w:szCs w:val="22"/>
        </w:rPr>
        <w:t>О</w:t>
      </w:r>
      <w:r w:rsidRPr="001755C3">
        <w:rPr>
          <w:sz w:val="22"/>
          <w:szCs w:val="22"/>
          <w:lang w:val="en-US"/>
        </w:rPr>
        <w:t xml:space="preserve">. </w:t>
      </w:r>
      <w:r w:rsidRPr="0017022A">
        <w:rPr>
          <w:sz w:val="22"/>
          <w:szCs w:val="22"/>
        </w:rPr>
        <w:t>И</w:t>
      </w:r>
      <w:r w:rsidRPr="001755C3">
        <w:rPr>
          <w:sz w:val="22"/>
          <w:szCs w:val="22"/>
          <w:lang w:val="en-US"/>
        </w:rPr>
        <w:t>.,</w:t>
      </w:r>
    </w:p>
    <w:p w:rsidR="00281602" w:rsidRPr="0017022A" w:rsidRDefault="0017022A"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студент 3-го курса факультета</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перерабатывающих технологий</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Капралова М. Г.,</w:t>
      </w:r>
    </w:p>
    <w:p w:rsidR="00281602" w:rsidRPr="0017022A" w:rsidRDefault="0017022A"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студент 4-го курса факультета</w:t>
      </w:r>
    </w:p>
    <w:p w:rsidR="00281602" w:rsidRPr="0017022A" w:rsidRDefault="0017022A"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 xml:space="preserve">плодоовощеводства и </w:t>
      </w:r>
      <w:r w:rsidR="00281602" w:rsidRPr="0017022A">
        <w:rPr>
          <w:sz w:val="22"/>
          <w:szCs w:val="22"/>
        </w:rPr>
        <w:t>виноградарства</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Дубравина И.</w:t>
      </w:r>
      <w:r w:rsidR="0017022A" w:rsidRPr="0017022A">
        <w:rPr>
          <w:sz w:val="22"/>
          <w:szCs w:val="22"/>
        </w:rPr>
        <w:t xml:space="preserve"> </w:t>
      </w:r>
      <w:r w:rsidRPr="0017022A">
        <w:rPr>
          <w:sz w:val="22"/>
          <w:szCs w:val="22"/>
        </w:rPr>
        <w:t>В.</w:t>
      </w:r>
      <w:r w:rsidR="0017022A" w:rsidRPr="0017022A">
        <w:rPr>
          <w:sz w:val="22"/>
          <w:szCs w:val="22"/>
        </w:rPr>
        <w:t>,</w:t>
      </w:r>
    </w:p>
    <w:p w:rsidR="0017022A"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доцент кафедр</w:t>
      </w:r>
      <w:r w:rsidR="0017022A" w:rsidRPr="0017022A">
        <w:rPr>
          <w:sz w:val="22"/>
          <w:szCs w:val="22"/>
        </w:rPr>
        <w:t>ы плодоовощеводства</w:t>
      </w:r>
    </w:p>
    <w:p w:rsidR="00281602" w:rsidRPr="0017022A" w:rsidRDefault="0017022A"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 xml:space="preserve"> и </w:t>
      </w:r>
      <w:r w:rsidR="00281602" w:rsidRPr="0017022A">
        <w:rPr>
          <w:sz w:val="22"/>
          <w:szCs w:val="22"/>
        </w:rPr>
        <w:t>виноградарства</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Кубанский государственный аграрный</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right"/>
        <w:rPr>
          <w:sz w:val="22"/>
          <w:szCs w:val="22"/>
        </w:rPr>
      </w:pPr>
      <w:r w:rsidRPr="0017022A">
        <w:rPr>
          <w:sz w:val="22"/>
          <w:szCs w:val="22"/>
        </w:rPr>
        <w:t>университет имени И.</w:t>
      </w:r>
      <w:r w:rsidR="0017022A" w:rsidRPr="0017022A">
        <w:rPr>
          <w:sz w:val="22"/>
          <w:szCs w:val="22"/>
        </w:rPr>
        <w:t xml:space="preserve"> </w:t>
      </w:r>
      <w:r w:rsidRPr="0017022A">
        <w:rPr>
          <w:sz w:val="22"/>
          <w:szCs w:val="22"/>
        </w:rPr>
        <w:t>Т. Трубилина</w:t>
      </w:r>
    </w:p>
    <w:p w:rsidR="00281602" w:rsidRPr="0017022A" w:rsidRDefault="00281602" w:rsidP="0017022A">
      <w:pPr>
        <w:ind w:firstLine="426"/>
        <w:jc w:val="center"/>
        <w:rPr>
          <w:b/>
          <w:sz w:val="22"/>
          <w:szCs w:val="22"/>
        </w:rPr>
      </w:pPr>
    </w:p>
    <w:p w:rsidR="00281602" w:rsidRPr="0017022A" w:rsidRDefault="00281602" w:rsidP="0017022A">
      <w:pPr>
        <w:tabs>
          <w:tab w:val="left" w:pos="6379"/>
        </w:tabs>
        <w:ind w:right="85" w:firstLine="426"/>
        <w:jc w:val="both"/>
        <w:rPr>
          <w:sz w:val="22"/>
          <w:szCs w:val="22"/>
        </w:rPr>
      </w:pPr>
      <w:r w:rsidRPr="0017022A">
        <w:rPr>
          <w:sz w:val="22"/>
          <w:szCs w:val="22"/>
        </w:rPr>
        <w:t>АННОТАЦИЯ: В работе приведены данные по оценке кач</w:t>
      </w:r>
      <w:r w:rsidRPr="0017022A">
        <w:rPr>
          <w:sz w:val="22"/>
          <w:szCs w:val="22"/>
        </w:rPr>
        <w:t>е</w:t>
      </w:r>
      <w:r w:rsidRPr="0017022A">
        <w:rPr>
          <w:sz w:val="22"/>
          <w:szCs w:val="22"/>
        </w:rPr>
        <w:t>ства плодов кребов. Приведены данные по комплексообразующей способности пектинового экстракта, полученного из плодов кр</w:t>
      </w:r>
      <w:r w:rsidRPr="0017022A">
        <w:rPr>
          <w:sz w:val="22"/>
          <w:szCs w:val="22"/>
        </w:rPr>
        <w:t>е</w:t>
      </w:r>
      <w:r w:rsidRPr="0017022A">
        <w:rPr>
          <w:sz w:val="22"/>
          <w:szCs w:val="22"/>
        </w:rPr>
        <w:t>бов.</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237"/>
          <w:tab w:val="left" w:pos="6379"/>
          <w:tab w:val="left" w:pos="7328"/>
          <w:tab w:val="left" w:pos="8244"/>
          <w:tab w:val="left" w:pos="9160"/>
          <w:tab w:val="left" w:pos="10076"/>
          <w:tab w:val="left" w:pos="10992"/>
          <w:tab w:val="left" w:pos="11908"/>
          <w:tab w:val="left" w:pos="12824"/>
          <w:tab w:val="left" w:pos="13740"/>
          <w:tab w:val="left" w:pos="14656"/>
        </w:tabs>
        <w:ind w:right="85" w:firstLine="426"/>
        <w:jc w:val="both"/>
        <w:rPr>
          <w:sz w:val="22"/>
          <w:szCs w:val="22"/>
          <w:lang w:val="en-US"/>
        </w:rPr>
      </w:pPr>
      <w:r w:rsidRPr="0017022A">
        <w:rPr>
          <w:sz w:val="22"/>
          <w:szCs w:val="22"/>
          <w:lang w:val="en-US"/>
        </w:rPr>
        <w:t>ABSTRACT: The paper contains data on the evaluation of the quality from apple - crabs. Data on the complexing capacity of the pe</w:t>
      </w:r>
      <w:r w:rsidRPr="0017022A">
        <w:rPr>
          <w:sz w:val="22"/>
          <w:szCs w:val="22"/>
          <w:lang w:val="en-US"/>
        </w:rPr>
        <w:t>c</w:t>
      </w:r>
      <w:r w:rsidRPr="0017022A">
        <w:rPr>
          <w:sz w:val="22"/>
          <w:szCs w:val="22"/>
          <w:lang w:val="en-US"/>
        </w:rPr>
        <w:t>tin extract obtained from the from apple - crabs</w:t>
      </w:r>
    </w:p>
    <w:p w:rsidR="00281602" w:rsidRPr="0017022A" w:rsidRDefault="00281602" w:rsidP="0017022A">
      <w:pPr>
        <w:tabs>
          <w:tab w:val="left" w:pos="6379"/>
        </w:tabs>
        <w:ind w:firstLine="426"/>
        <w:jc w:val="both"/>
        <w:rPr>
          <w:sz w:val="22"/>
          <w:szCs w:val="22"/>
        </w:rPr>
      </w:pPr>
      <w:r w:rsidRPr="0017022A">
        <w:rPr>
          <w:sz w:val="22"/>
          <w:szCs w:val="22"/>
        </w:rPr>
        <w:t>КЛЮЧЕВЫЕ СЛОВА: вторичные ресурсы, кребы, сухие вещ</w:t>
      </w:r>
      <w:r w:rsidRPr="0017022A">
        <w:rPr>
          <w:sz w:val="22"/>
          <w:szCs w:val="22"/>
        </w:rPr>
        <w:t>е</w:t>
      </w:r>
      <w:r w:rsidRPr="0017022A">
        <w:rPr>
          <w:sz w:val="22"/>
          <w:szCs w:val="22"/>
        </w:rPr>
        <w:t>ства, пектиновый экстракт.</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096"/>
          <w:tab w:val="left" w:pos="6379"/>
          <w:tab w:val="left" w:pos="7328"/>
          <w:tab w:val="left" w:pos="8244"/>
          <w:tab w:val="left" w:pos="9160"/>
          <w:tab w:val="left" w:pos="10076"/>
          <w:tab w:val="left" w:pos="10992"/>
          <w:tab w:val="left" w:pos="11908"/>
          <w:tab w:val="left" w:pos="12824"/>
          <w:tab w:val="left" w:pos="13740"/>
          <w:tab w:val="left" w:pos="14656"/>
        </w:tabs>
        <w:ind w:firstLine="426"/>
        <w:rPr>
          <w:sz w:val="22"/>
          <w:szCs w:val="22"/>
          <w:lang w:val="en-US"/>
        </w:rPr>
      </w:pPr>
      <w:r w:rsidRPr="0017022A">
        <w:rPr>
          <w:sz w:val="22"/>
          <w:szCs w:val="22"/>
          <w:lang w:val="en-US"/>
        </w:rPr>
        <w:t>KEYWORDS: secondary resources, apple - crabs, dry substances, pectin extract.</w:t>
      </w:r>
    </w:p>
    <w:p w:rsidR="00281602" w:rsidRPr="0017022A" w:rsidRDefault="00281602" w:rsidP="0017022A">
      <w:pPr>
        <w:ind w:firstLine="426"/>
        <w:jc w:val="both"/>
        <w:rPr>
          <w:sz w:val="22"/>
          <w:szCs w:val="22"/>
          <w:lang w:val="en-US"/>
        </w:rPr>
      </w:pPr>
    </w:p>
    <w:p w:rsidR="00281602" w:rsidRPr="0017022A" w:rsidRDefault="00281602" w:rsidP="0017022A">
      <w:pPr>
        <w:tabs>
          <w:tab w:val="left" w:pos="1638"/>
        </w:tabs>
        <w:ind w:firstLine="426"/>
        <w:jc w:val="both"/>
        <w:rPr>
          <w:sz w:val="22"/>
          <w:szCs w:val="22"/>
        </w:rPr>
      </w:pPr>
      <w:r w:rsidRPr="0017022A">
        <w:rPr>
          <w:sz w:val="22"/>
          <w:szCs w:val="22"/>
        </w:rPr>
        <w:t>В настоящее время роль кребов – декоративных сортов яблони, играет важную роль в повышении урожайности садовых агросистем [2]. Из-за длительного периода цветения они выступают в качестве сортов-опылителей, а вот плоды кребов пока не нашли применения в пищевой промышленности. Теоретические исследования по из</w:t>
      </w:r>
      <w:r w:rsidRPr="0017022A">
        <w:rPr>
          <w:sz w:val="22"/>
          <w:szCs w:val="22"/>
        </w:rPr>
        <w:t>у</w:t>
      </w:r>
      <w:r w:rsidRPr="0017022A">
        <w:rPr>
          <w:sz w:val="22"/>
          <w:szCs w:val="22"/>
        </w:rPr>
        <w:t xml:space="preserve">чению литературных источников, касающихся данной культуры </w:t>
      </w:r>
      <w:r w:rsidRPr="0017022A">
        <w:rPr>
          <w:sz w:val="22"/>
          <w:szCs w:val="22"/>
        </w:rPr>
        <w:lastRenderedPageBreak/>
        <w:t>показали, что плоды кребов обладают ценным химическим сост</w:t>
      </w:r>
      <w:r w:rsidRPr="0017022A">
        <w:rPr>
          <w:sz w:val="22"/>
          <w:szCs w:val="22"/>
        </w:rPr>
        <w:t>а</w:t>
      </w:r>
      <w:r w:rsidRPr="0017022A">
        <w:rPr>
          <w:sz w:val="22"/>
          <w:szCs w:val="22"/>
        </w:rPr>
        <w:t>вом, что дает основание рекомендовать их для переработки с пол</w:t>
      </w:r>
      <w:r w:rsidRPr="0017022A">
        <w:rPr>
          <w:sz w:val="22"/>
          <w:szCs w:val="22"/>
        </w:rPr>
        <w:t>у</w:t>
      </w:r>
      <w:r w:rsidRPr="0017022A">
        <w:rPr>
          <w:sz w:val="22"/>
          <w:szCs w:val="22"/>
        </w:rPr>
        <w:t>чением ценных продуктов питания лечебно-профилактияческого назначения.</w:t>
      </w:r>
    </w:p>
    <w:p w:rsidR="00281602" w:rsidRPr="0017022A" w:rsidRDefault="00281602" w:rsidP="0017022A">
      <w:pPr>
        <w:tabs>
          <w:tab w:val="left" w:pos="1638"/>
        </w:tabs>
        <w:ind w:firstLine="426"/>
        <w:jc w:val="both"/>
        <w:rPr>
          <w:sz w:val="22"/>
          <w:szCs w:val="22"/>
        </w:rPr>
      </w:pPr>
      <w:r w:rsidRPr="0017022A">
        <w:rPr>
          <w:sz w:val="22"/>
          <w:szCs w:val="22"/>
        </w:rPr>
        <w:t xml:space="preserve">В связи с этим на кафедре технологии хранения и переработки растениеводческой продукции Кубанского ГАУ изучались плоды кребов урожая 2017 года. </w:t>
      </w:r>
    </w:p>
    <w:p w:rsidR="00281602" w:rsidRPr="0017022A" w:rsidRDefault="00281602" w:rsidP="0017022A">
      <w:pPr>
        <w:tabs>
          <w:tab w:val="left" w:pos="1638"/>
        </w:tabs>
        <w:ind w:firstLine="426"/>
        <w:jc w:val="both"/>
        <w:rPr>
          <w:sz w:val="22"/>
          <w:szCs w:val="22"/>
        </w:rPr>
      </w:pPr>
      <w:r w:rsidRPr="0017022A">
        <w:rPr>
          <w:sz w:val="22"/>
          <w:szCs w:val="22"/>
        </w:rPr>
        <w:t xml:space="preserve">В качестве объектов исследований нами были выбраны сорта  такие как – </w:t>
      </w:r>
      <w:r w:rsidRPr="0017022A">
        <w:rPr>
          <w:sz w:val="22"/>
          <w:szCs w:val="22"/>
          <w:lang w:val="en-US"/>
        </w:rPr>
        <w:t>Pearleaf</w:t>
      </w:r>
      <w:r w:rsidRPr="0017022A">
        <w:rPr>
          <w:sz w:val="22"/>
          <w:szCs w:val="22"/>
        </w:rPr>
        <w:t xml:space="preserve">, </w:t>
      </w:r>
      <w:r w:rsidRPr="0017022A">
        <w:rPr>
          <w:sz w:val="22"/>
          <w:szCs w:val="22"/>
          <w:lang w:val="en-US"/>
        </w:rPr>
        <w:t>SpringSnow</w:t>
      </w:r>
      <w:r w:rsidRPr="0017022A">
        <w:rPr>
          <w:sz w:val="22"/>
          <w:szCs w:val="22"/>
        </w:rPr>
        <w:t>, Malys «NevilleCopeman», Malys «Нора», Maly</w:t>
      </w:r>
      <w:r w:rsidRPr="0017022A">
        <w:rPr>
          <w:sz w:val="22"/>
          <w:szCs w:val="22"/>
          <w:lang w:val="en-US"/>
        </w:rPr>
        <w:t>s</w:t>
      </w:r>
      <w:r w:rsidRPr="0017022A">
        <w:rPr>
          <w:sz w:val="22"/>
          <w:szCs w:val="22"/>
        </w:rPr>
        <w:t xml:space="preserve"> «Evereste», Malys «Golden». В плодах определяли содержание сухих веществ на рефрактометре,  витамин С, титру</w:t>
      </w:r>
      <w:r w:rsidRPr="0017022A">
        <w:rPr>
          <w:sz w:val="22"/>
          <w:szCs w:val="22"/>
        </w:rPr>
        <w:t>е</w:t>
      </w:r>
      <w:r w:rsidRPr="0017022A">
        <w:rPr>
          <w:sz w:val="22"/>
          <w:szCs w:val="22"/>
        </w:rPr>
        <w:t>мую и активную кислотности, содержание пектиновых веществ спиртоосаждением. Показатели качества варьировали в зависим</w:t>
      </w:r>
      <w:r w:rsidRPr="0017022A">
        <w:rPr>
          <w:sz w:val="22"/>
          <w:szCs w:val="22"/>
        </w:rPr>
        <w:t>о</w:t>
      </w:r>
      <w:r w:rsidRPr="0017022A">
        <w:rPr>
          <w:sz w:val="22"/>
          <w:szCs w:val="22"/>
        </w:rPr>
        <w:t>сти от сорта. Полученные данные по качественным характерист</w:t>
      </w:r>
      <w:r w:rsidRPr="0017022A">
        <w:rPr>
          <w:sz w:val="22"/>
          <w:szCs w:val="22"/>
        </w:rPr>
        <w:t>и</w:t>
      </w:r>
      <w:r w:rsidRPr="0017022A">
        <w:rPr>
          <w:sz w:val="22"/>
          <w:szCs w:val="22"/>
        </w:rPr>
        <w:t>кам плодов кребов, позволили принять решение об их переработке  на пектиновый экстракт с целью использования при создании пр</w:t>
      </w:r>
      <w:r w:rsidRPr="0017022A">
        <w:rPr>
          <w:sz w:val="22"/>
          <w:szCs w:val="22"/>
        </w:rPr>
        <w:t>о</w:t>
      </w:r>
      <w:r w:rsidRPr="0017022A">
        <w:rPr>
          <w:sz w:val="22"/>
          <w:szCs w:val="22"/>
        </w:rPr>
        <w:t>дуктов питания лечебно- профилактического назначения.</w:t>
      </w:r>
    </w:p>
    <w:p w:rsidR="00281602" w:rsidRPr="0017022A" w:rsidRDefault="00281602" w:rsidP="0017022A">
      <w:pPr>
        <w:tabs>
          <w:tab w:val="left" w:pos="1638"/>
        </w:tabs>
        <w:ind w:firstLine="426"/>
        <w:jc w:val="both"/>
        <w:rPr>
          <w:sz w:val="22"/>
          <w:szCs w:val="22"/>
        </w:rPr>
      </w:pPr>
      <w:r w:rsidRPr="0017022A">
        <w:rPr>
          <w:sz w:val="22"/>
          <w:szCs w:val="22"/>
        </w:rPr>
        <w:t>В лабораторных условиях был получен пектиновый экстракт.  В пектиновом экстракте из плодов кребов была определена компл</w:t>
      </w:r>
      <w:r w:rsidRPr="0017022A">
        <w:rPr>
          <w:sz w:val="22"/>
          <w:szCs w:val="22"/>
        </w:rPr>
        <w:t>е</w:t>
      </w:r>
      <w:r w:rsidRPr="0017022A">
        <w:rPr>
          <w:sz w:val="22"/>
          <w:szCs w:val="22"/>
        </w:rPr>
        <w:t>сообразующая способность (способность пектиновых веществ св</w:t>
      </w:r>
      <w:r w:rsidRPr="0017022A">
        <w:rPr>
          <w:sz w:val="22"/>
          <w:szCs w:val="22"/>
        </w:rPr>
        <w:t>я</w:t>
      </w:r>
      <w:r w:rsidRPr="0017022A">
        <w:rPr>
          <w:sz w:val="22"/>
          <w:szCs w:val="22"/>
        </w:rPr>
        <w:t>зывать ионы тяжелых металлов). Опыт проводили в двух вариантах.  Первый вариант пектиновый экстракт, полученный в лабораторных условиях, второй вариант товарный цитрусовый пектин промы</w:t>
      </w:r>
      <w:r w:rsidRPr="0017022A">
        <w:rPr>
          <w:sz w:val="22"/>
          <w:szCs w:val="22"/>
        </w:rPr>
        <w:t>ш</w:t>
      </w:r>
      <w:r w:rsidRPr="0017022A">
        <w:rPr>
          <w:sz w:val="22"/>
          <w:szCs w:val="22"/>
        </w:rPr>
        <w:t>ленного производства. В первом варианте комплексообразующая способность была 18, 1 мг</w:t>
      </w:r>
      <w:r w:rsidRPr="0017022A">
        <w:rPr>
          <w:sz w:val="22"/>
          <w:szCs w:val="22"/>
          <w:lang w:val="en-US"/>
        </w:rPr>
        <w:t>Pb</w:t>
      </w:r>
      <w:r w:rsidRPr="0017022A">
        <w:rPr>
          <w:sz w:val="22"/>
          <w:szCs w:val="22"/>
          <w:vertAlign w:val="superscript"/>
        </w:rPr>
        <w:t>2+</w:t>
      </w:r>
      <w:r w:rsidRPr="0017022A">
        <w:rPr>
          <w:sz w:val="22"/>
          <w:szCs w:val="22"/>
        </w:rPr>
        <w:t>/г, а во втором – 20,1 мг</w:t>
      </w:r>
      <w:r w:rsidRPr="0017022A">
        <w:rPr>
          <w:sz w:val="22"/>
          <w:szCs w:val="22"/>
          <w:lang w:val="en-US"/>
        </w:rPr>
        <w:t>Pb</w:t>
      </w:r>
      <w:r w:rsidRPr="0017022A">
        <w:rPr>
          <w:sz w:val="22"/>
          <w:szCs w:val="22"/>
          <w:vertAlign w:val="superscript"/>
        </w:rPr>
        <w:t>2+</w:t>
      </w:r>
      <w:r w:rsidRPr="0017022A">
        <w:rPr>
          <w:sz w:val="22"/>
          <w:szCs w:val="22"/>
        </w:rPr>
        <w:t>/г. Пол</w:t>
      </w:r>
      <w:r w:rsidRPr="0017022A">
        <w:rPr>
          <w:sz w:val="22"/>
          <w:szCs w:val="22"/>
        </w:rPr>
        <w:t>у</w:t>
      </w:r>
      <w:r w:rsidRPr="0017022A">
        <w:rPr>
          <w:sz w:val="22"/>
          <w:szCs w:val="22"/>
        </w:rPr>
        <w:t>ченные результаты позволяют говорить о высокой комплексообр</w:t>
      </w:r>
      <w:r w:rsidRPr="0017022A">
        <w:rPr>
          <w:sz w:val="22"/>
          <w:szCs w:val="22"/>
        </w:rPr>
        <w:t>а</w:t>
      </w:r>
      <w:r w:rsidRPr="0017022A">
        <w:rPr>
          <w:sz w:val="22"/>
          <w:szCs w:val="22"/>
        </w:rPr>
        <w:t>зующей способности пектинового экстракта и рекомендовать его для протизводства продуктов питания профилактического назнач</w:t>
      </w:r>
      <w:r w:rsidRPr="0017022A">
        <w:rPr>
          <w:sz w:val="22"/>
          <w:szCs w:val="22"/>
        </w:rPr>
        <w:t>е</w:t>
      </w:r>
      <w:r w:rsidRPr="0017022A">
        <w:rPr>
          <w:sz w:val="22"/>
          <w:szCs w:val="22"/>
        </w:rPr>
        <w:t>ния. Высокая кислотность пектинового экстракта за счет наличия органических кислот, позволяет использовать его в качестве улу</w:t>
      </w:r>
      <w:r w:rsidRPr="0017022A">
        <w:rPr>
          <w:sz w:val="22"/>
          <w:szCs w:val="22"/>
        </w:rPr>
        <w:t>ч</w:t>
      </w:r>
      <w:r w:rsidRPr="0017022A">
        <w:rPr>
          <w:sz w:val="22"/>
          <w:szCs w:val="22"/>
        </w:rPr>
        <w:t>шителя окислительного действия при переработке слабой муки [1, 3]</w:t>
      </w:r>
    </w:p>
    <w:p w:rsidR="00281602" w:rsidRPr="0017022A" w:rsidRDefault="00281602" w:rsidP="0017022A">
      <w:pPr>
        <w:tabs>
          <w:tab w:val="left" w:pos="1638"/>
        </w:tabs>
        <w:ind w:firstLine="426"/>
        <w:jc w:val="both"/>
        <w:rPr>
          <w:sz w:val="22"/>
          <w:szCs w:val="22"/>
        </w:rPr>
      </w:pPr>
    </w:p>
    <w:p w:rsidR="00281602" w:rsidRPr="0017022A" w:rsidRDefault="00281602" w:rsidP="0017022A">
      <w:pPr>
        <w:tabs>
          <w:tab w:val="left" w:pos="1638"/>
        </w:tabs>
        <w:ind w:firstLine="426"/>
        <w:jc w:val="center"/>
        <w:rPr>
          <w:sz w:val="22"/>
          <w:szCs w:val="22"/>
        </w:rPr>
      </w:pPr>
      <w:r w:rsidRPr="0017022A">
        <w:rPr>
          <w:sz w:val="22"/>
          <w:szCs w:val="22"/>
        </w:rPr>
        <w:t>Список литературы</w:t>
      </w:r>
    </w:p>
    <w:p w:rsidR="00281602" w:rsidRPr="0017022A" w:rsidRDefault="00281602" w:rsidP="0017022A">
      <w:pPr>
        <w:tabs>
          <w:tab w:val="left" w:pos="1638"/>
        </w:tabs>
        <w:ind w:firstLine="426"/>
        <w:jc w:val="both"/>
        <w:rPr>
          <w:sz w:val="22"/>
          <w:szCs w:val="22"/>
        </w:rPr>
      </w:pPr>
      <w:r w:rsidRPr="0017022A">
        <w:rPr>
          <w:sz w:val="22"/>
          <w:szCs w:val="22"/>
        </w:rPr>
        <w:t>1. Донченко, Л.В. Использование гидратопектинов из дикора</w:t>
      </w:r>
      <w:r w:rsidRPr="0017022A">
        <w:rPr>
          <w:sz w:val="22"/>
          <w:szCs w:val="22"/>
        </w:rPr>
        <w:t>с</w:t>
      </w:r>
      <w:r w:rsidRPr="0017022A">
        <w:rPr>
          <w:sz w:val="22"/>
          <w:szCs w:val="22"/>
        </w:rPr>
        <w:t>тущего сырья в хлебопечении / Л.В. Донченко, Н.В. Сокол, Н.С. Храмова, О.П. Гайдукова // Хлебопечение России. - 2007. - №1. – С. 14-16.</w:t>
      </w:r>
    </w:p>
    <w:p w:rsidR="00281602" w:rsidRPr="0017022A" w:rsidRDefault="00281602" w:rsidP="0017022A">
      <w:pPr>
        <w:tabs>
          <w:tab w:val="left" w:pos="0"/>
        </w:tabs>
        <w:ind w:firstLine="426"/>
        <w:jc w:val="both"/>
        <w:rPr>
          <w:sz w:val="22"/>
          <w:szCs w:val="22"/>
        </w:rPr>
      </w:pPr>
      <w:r w:rsidRPr="0017022A">
        <w:rPr>
          <w:sz w:val="22"/>
          <w:szCs w:val="22"/>
        </w:rPr>
        <w:lastRenderedPageBreak/>
        <w:t>2. Дубравина, И.В. Экологизациямоносортных насаждений я</w:t>
      </w:r>
      <w:r w:rsidRPr="0017022A">
        <w:rPr>
          <w:sz w:val="22"/>
          <w:szCs w:val="22"/>
        </w:rPr>
        <w:t>б</w:t>
      </w:r>
      <w:r w:rsidRPr="0017022A">
        <w:rPr>
          <w:sz w:val="22"/>
          <w:szCs w:val="22"/>
        </w:rPr>
        <w:t>лони в условиях интенсивных технологий возделывания / И.В. Ду</w:t>
      </w:r>
      <w:r w:rsidRPr="0017022A">
        <w:rPr>
          <w:sz w:val="22"/>
          <w:szCs w:val="22"/>
        </w:rPr>
        <w:t>б</w:t>
      </w:r>
      <w:r w:rsidRPr="0017022A">
        <w:rPr>
          <w:sz w:val="22"/>
          <w:szCs w:val="22"/>
        </w:rPr>
        <w:t>равина, И.С. Чепинога, Р.В. Смирнов, И.И. Василенко //Селекция и сорторазведение садовых культур. -2017.- Т.4. - №1-2.- С. 35-37.</w:t>
      </w:r>
    </w:p>
    <w:p w:rsidR="00281602" w:rsidRPr="0017022A" w:rsidRDefault="00281602" w:rsidP="0017022A">
      <w:pPr>
        <w:tabs>
          <w:tab w:val="left" w:pos="1638"/>
        </w:tabs>
        <w:ind w:firstLine="426"/>
        <w:jc w:val="both"/>
        <w:rPr>
          <w:sz w:val="22"/>
          <w:szCs w:val="22"/>
        </w:rPr>
      </w:pPr>
      <w:r w:rsidRPr="0017022A">
        <w:rPr>
          <w:sz w:val="22"/>
          <w:szCs w:val="22"/>
        </w:rPr>
        <w:t>3. Сокол, Н.В. Пектиновые вещества как улучшитель хлебоп</w:t>
      </w:r>
      <w:r w:rsidRPr="0017022A">
        <w:rPr>
          <w:sz w:val="22"/>
          <w:szCs w:val="22"/>
        </w:rPr>
        <w:t>е</w:t>
      </w:r>
      <w:r w:rsidRPr="0017022A">
        <w:rPr>
          <w:sz w:val="22"/>
          <w:szCs w:val="22"/>
        </w:rPr>
        <w:t>карных свойст муки и качества хлеба / Н.В. Сокол // Известия вы</w:t>
      </w:r>
      <w:r w:rsidRPr="0017022A">
        <w:rPr>
          <w:sz w:val="22"/>
          <w:szCs w:val="22"/>
        </w:rPr>
        <w:t>с</w:t>
      </w:r>
      <w:r w:rsidRPr="0017022A">
        <w:rPr>
          <w:sz w:val="22"/>
          <w:szCs w:val="22"/>
        </w:rPr>
        <w:t>ших учебных заведений. Пищевая технология. – 2003. - №4. – С. 37-38.</w:t>
      </w:r>
    </w:p>
    <w:p w:rsidR="00281602" w:rsidRPr="00281602" w:rsidRDefault="00281602" w:rsidP="00281602">
      <w:pPr>
        <w:jc w:val="both"/>
        <w:rPr>
          <w:rFonts w:eastAsia="Calibri"/>
          <w:sz w:val="22"/>
          <w:szCs w:val="22"/>
          <w:lang w:eastAsia="en-US"/>
        </w:rPr>
      </w:pPr>
    </w:p>
    <w:p w:rsidR="0098373C" w:rsidRDefault="0098373C" w:rsidP="00281602">
      <w:pPr>
        <w:jc w:val="both"/>
        <w:rPr>
          <w:rFonts w:eastAsia="Calibri"/>
          <w:sz w:val="22"/>
          <w:szCs w:val="22"/>
          <w:lang w:eastAsia="en-US"/>
        </w:rPr>
      </w:pPr>
    </w:p>
    <w:p w:rsidR="001360B4" w:rsidRPr="00281602" w:rsidRDefault="001360B4" w:rsidP="00281602">
      <w:pPr>
        <w:jc w:val="both"/>
        <w:rPr>
          <w:rFonts w:eastAsia="Calibri"/>
          <w:sz w:val="22"/>
          <w:szCs w:val="22"/>
          <w:lang w:eastAsia="en-US"/>
        </w:rPr>
      </w:pPr>
    </w:p>
    <w:p w:rsidR="00281602" w:rsidRDefault="00281602" w:rsidP="00281602">
      <w:pPr>
        <w:rPr>
          <w:sz w:val="22"/>
          <w:szCs w:val="22"/>
        </w:rPr>
      </w:pPr>
      <w:r w:rsidRPr="0017022A">
        <w:rPr>
          <w:sz w:val="22"/>
          <w:szCs w:val="22"/>
        </w:rPr>
        <w:t>УДК 664.64.016.8</w:t>
      </w:r>
    </w:p>
    <w:p w:rsidR="0017022A" w:rsidRPr="0017022A" w:rsidRDefault="0017022A" w:rsidP="00281602">
      <w:pPr>
        <w:rPr>
          <w:sz w:val="22"/>
          <w:szCs w:val="22"/>
        </w:rPr>
      </w:pPr>
    </w:p>
    <w:p w:rsidR="00281602" w:rsidRPr="00281602" w:rsidRDefault="00281602" w:rsidP="00281602">
      <w:pPr>
        <w:jc w:val="center"/>
        <w:rPr>
          <w:b/>
          <w:color w:val="000000"/>
          <w:sz w:val="24"/>
          <w:szCs w:val="24"/>
        </w:rPr>
      </w:pPr>
      <w:r w:rsidRPr="00281602">
        <w:rPr>
          <w:b/>
          <w:color w:val="000000"/>
          <w:sz w:val="24"/>
          <w:szCs w:val="24"/>
        </w:rPr>
        <w:t>Полбяная мука – перспективная добавка при</w:t>
      </w:r>
      <w:r w:rsidR="001360B4">
        <w:rPr>
          <w:b/>
          <w:color w:val="000000"/>
          <w:sz w:val="24"/>
          <w:szCs w:val="24"/>
        </w:rPr>
        <w:br/>
      </w:r>
      <w:r w:rsidRPr="00281602">
        <w:rPr>
          <w:b/>
          <w:color w:val="000000"/>
          <w:sz w:val="24"/>
          <w:szCs w:val="24"/>
        </w:rPr>
        <w:t xml:space="preserve"> производстве пшеничного хлеба</w:t>
      </w:r>
    </w:p>
    <w:p w:rsidR="00281602" w:rsidRPr="008D33CB" w:rsidRDefault="00281602" w:rsidP="000D0D2D">
      <w:pPr>
        <w:jc w:val="center"/>
        <w:rPr>
          <w:b/>
          <w:sz w:val="24"/>
          <w:szCs w:val="24"/>
          <w:lang w:val="en-US"/>
        </w:rPr>
      </w:pPr>
      <w:r w:rsidRPr="00281602">
        <w:rPr>
          <w:b/>
          <w:sz w:val="24"/>
          <w:szCs w:val="24"/>
          <w:lang w:val="en-US"/>
        </w:rPr>
        <w:t>Spelt</w:t>
      </w:r>
      <w:r w:rsidRPr="008D33CB">
        <w:rPr>
          <w:b/>
          <w:sz w:val="24"/>
          <w:szCs w:val="24"/>
          <w:lang w:val="en-US"/>
        </w:rPr>
        <w:t xml:space="preserve"> </w:t>
      </w:r>
      <w:r w:rsidRPr="00281602">
        <w:rPr>
          <w:b/>
          <w:sz w:val="24"/>
          <w:szCs w:val="24"/>
          <w:lang w:val="en-US"/>
        </w:rPr>
        <w:t>wheat</w:t>
      </w:r>
      <w:r w:rsidRPr="008D33CB">
        <w:rPr>
          <w:b/>
          <w:sz w:val="24"/>
          <w:szCs w:val="24"/>
          <w:lang w:val="en-US"/>
        </w:rPr>
        <w:t xml:space="preserve"> </w:t>
      </w:r>
      <w:r w:rsidRPr="00281602">
        <w:rPr>
          <w:b/>
          <w:sz w:val="24"/>
          <w:szCs w:val="24"/>
          <w:lang w:val="en-US"/>
        </w:rPr>
        <w:t>flour</w:t>
      </w:r>
      <w:r w:rsidRPr="008D33CB">
        <w:rPr>
          <w:b/>
          <w:sz w:val="24"/>
          <w:szCs w:val="24"/>
          <w:lang w:val="en-US"/>
        </w:rPr>
        <w:t xml:space="preserve"> - </w:t>
      </w:r>
      <w:r w:rsidRPr="00281602">
        <w:rPr>
          <w:b/>
          <w:sz w:val="24"/>
          <w:szCs w:val="24"/>
          <w:lang w:val="en-US"/>
        </w:rPr>
        <w:t>a</w:t>
      </w:r>
      <w:r w:rsidRPr="008D33CB">
        <w:rPr>
          <w:b/>
          <w:sz w:val="24"/>
          <w:szCs w:val="24"/>
          <w:lang w:val="en-US"/>
        </w:rPr>
        <w:t xml:space="preserve"> </w:t>
      </w:r>
      <w:r w:rsidRPr="00281602">
        <w:rPr>
          <w:b/>
          <w:sz w:val="24"/>
          <w:szCs w:val="24"/>
          <w:lang w:val="en-US"/>
        </w:rPr>
        <w:t>promising</w:t>
      </w:r>
      <w:r w:rsidRPr="008D33CB">
        <w:rPr>
          <w:b/>
          <w:sz w:val="24"/>
          <w:szCs w:val="24"/>
          <w:lang w:val="en-US"/>
        </w:rPr>
        <w:t xml:space="preserve"> </w:t>
      </w:r>
      <w:r w:rsidRPr="00281602">
        <w:rPr>
          <w:b/>
          <w:sz w:val="24"/>
          <w:szCs w:val="24"/>
          <w:lang w:val="en-US"/>
        </w:rPr>
        <w:t>supplement</w:t>
      </w:r>
      <w:r w:rsidRPr="008D33CB">
        <w:rPr>
          <w:b/>
          <w:sz w:val="24"/>
          <w:szCs w:val="24"/>
          <w:lang w:val="en-US"/>
        </w:rPr>
        <w:t xml:space="preserve"> </w:t>
      </w:r>
      <w:r w:rsidRPr="00281602">
        <w:rPr>
          <w:b/>
          <w:sz w:val="24"/>
          <w:szCs w:val="24"/>
          <w:lang w:val="en-US"/>
        </w:rPr>
        <w:t>for</w:t>
      </w:r>
      <w:r w:rsidRPr="008D33CB">
        <w:rPr>
          <w:b/>
          <w:sz w:val="24"/>
          <w:szCs w:val="24"/>
          <w:lang w:val="en-US"/>
        </w:rPr>
        <w:t xml:space="preserve"> </w:t>
      </w:r>
      <w:r w:rsidRPr="00281602">
        <w:rPr>
          <w:b/>
          <w:sz w:val="24"/>
          <w:szCs w:val="24"/>
          <w:lang w:val="en-US"/>
        </w:rPr>
        <w:t>the</w:t>
      </w:r>
      <w:r w:rsidRPr="008D33CB">
        <w:rPr>
          <w:b/>
          <w:sz w:val="24"/>
          <w:szCs w:val="24"/>
          <w:lang w:val="en-US"/>
        </w:rPr>
        <w:t xml:space="preserve"> </w:t>
      </w:r>
      <w:r w:rsidRPr="00281602">
        <w:rPr>
          <w:b/>
          <w:sz w:val="24"/>
          <w:szCs w:val="24"/>
          <w:lang w:val="en-US"/>
        </w:rPr>
        <w:t>production</w:t>
      </w:r>
      <w:r w:rsidRPr="008D33CB">
        <w:rPr>
          <w:b/>
          <w:sz w:val="24"/>
          <w:szCs w:val="24"/>
          <w:lang w:val="en-US"/>
        </w:rPr>
        <w:t xml:space="preserve"> </w:t>
      </w:r>
      <w:r w:rsidRPr="00281602">
        <w:rPr>
          <w:b/>
          <w:sz w:val="24"/>
          <w:szCs w:val="24"/>
          <w:lang w:val="en-US"/>
        </w:rPr>
        <w:t>of</w:t>
      </w:r>
      <w:r w:rsidRPr="008D33CB">
        <w:rPr>
          <w:b/>
          <w:sz w:val="24"/>
          <w:szCs w:val="24"/>
          <w:lang w:val="en-US"/>
        </w:rPr>
        <w:t xml:space="preserve"> </w:t>
      </w:r>
      <w:r w:rsidRPr="00281602">
        <w:rPr>
          <w:b/>
          <w:sz w:val="24"/>
          <w:szCs w:val="24"/>
          <w:lang w:val="en-US"/>
        </w:rPr>
        <w:t>wheat</w:t>
      </w:r>
      <w:r w:rsidRPr="008D33CB">
        <w:rPr>
          <w:b/>
          <w:sz w:val="24"/>
          <w:szCs w:val="24"/>
          <w:lang w:val="en-US"/>
        </w:rPr>
        <w:t xml:space="preserve"> </w:t>
      </w:r>
      <w:r w:rsidRPr="00281602">
        <w:rPr>
          <w:b/>
          <w:sz w:val="24"/>
          <w:szCs w:val="24"/>
          <w:lang w:val="en-US"/>
        </w:rPr>
        <w:t>bread</w:t>
      </w:r>
    </w:p>
    <w:p w:rsidR="0098373C" w:rsidRPr="008D33CB" w:rsidRDefault="0098373C" w:rsidP="000D0D2D">
      <w:pPr>
        <w:jc w:val="center"/>
        <w:rPr>
          <w:b/>
          <w:sz w:val="24"/>
          <w:szCs w:val="24"/>
          <w:lang w:val="en-US"/>
        </w:rPr>
      </w:pPr>
    </w:p>
    <w:p w:rsidR="00281602" w:rsidRPr="00281602" w:rsidRDefault="00281602" w:rsidP="00281602">
      <w:pPr>
        <w:jc w:val="right"/>
        <w:rPr>
          <w:sz w:val="22"/>
          <w:szCs w:val="22"/>
        </w:rPr>
      </w:pPr>
      <w:r w:rsidRPr="00281602">
        <w:rPr>
          <w:sz w:val="22"/>
          <w:szCs w:val="22"/>
        </w:rPr>
        <w:t>Мамедов К.</w:t>
      </w:r>
      <w:r w:rsidR="0017022A">
        <w:rPr>
          <w:sz w:val="22"/>
          <w:szCs w:val="22"/>
        </w:rPr>
        <w:t xml:space="preserve"> </w:t>
      </w:r>
      <w:r w:rsidRPr="00281602">
        <w:rPr>
          <w:sz w:val="22"/>
          <w:szCs w:val="22"/>
        </w:rPr>
        <w:t>С.</w:t>
      </w:r>
      <w:r w:rsidR="0017022A">
        <w:rPr>
          <w:sz w:val="22"/>
          <w:szCs w:val="22"/>
        </w:rPr>
        <w:t xml:space="preserve"> </w:t>
      </w:r>
      <w:r w:rsidRPr="00281602">
        <w:rPr>
          <w:sz w:val="22"/>
          <w:szCs w:val="22"/>
        </w:rPr>
        <w:t>О.,</w:t>
      </w:r>
    </w:p>
    <w:p w:rsidR="00281602" w:rsidRPr="00281602" w:rsidRDefault="00281602" w:rsidP="00281602">
      <w:pPr>
        <w:jc w:val="right"/>
        <w:rPr>
          <w:sz w:val="22"/>
          <w:szCs w:val="22"/>
        </w:rPr>
      </w:pPr>
      <w:r w:rsidRPr="00281602">
        <w:rPr>
          <w:sz w:val="22"/>
          <w:szCs w:val="22"/>
        </w:rPr>
        <w:t>м</w:t>
      </w:r>
      <w:r w:rsidR="0017022A">
        <w:rPr>
          <w:sz w:val="22"/>
          <w:szCs w:val="22"/>
        </w:rPr>
        <w:t>агистрант 1-го курса факультета</w:t>
      </w:r>
    </w:p>
    <w:p w:rsidR="00281602" w:rsidRPr="00281602" w:rsidRDefault="00281602" w:rsidP="00281602">
      <w:pPr>
        <w:jc w:val="right"/>
        <w:rPr>
          <w:sz w:val="22"/>
          <w:szCs w:val="22"/>
        </w:rPr>
      </w:pPr>
      <w:r w:rsidRPr="00281602">
        <w:rPr>
          <w:sz w:val="22"/>
          <w:szCs w:val="22"/>
        </w:rPr>
        <w:t>перерабатывающих технологий</w:t>
      </w:r>
    </w:p>
    <w:p w:rsidR="00281602" w:rsidRPr="00281602" w:rsidRDefault="00281602" w:rsidP="00281602">
      <w:pPr>
        <w:jc w:val="right"/>
        <w:rPr>
          <w:sz w:val="22"/>
          <w:szCs w:val="22"/>
        </w:rPr>
      </w:pPr>
      <w:r w:rsidRPr="00281602">
        <w:rPr>
          <w:sz w:val="22"/>
          <w:szCs w:val="22"/>
        </w:rPr>
        <w:t>Санжаровская Н.</w:t>
      </w:r>
      <w:r w:rsidR="0017022A">
        <w:rPr>
          <w:sz w:val="22"/>
          <w:szCs w:val="22"/>
        </w:rPr>
        <w:t xml:space="preserve"> </w:t>
      </w:r>
      <w:r w:rsidRPr="00281602">
        <w:rPr>
          <w:sz w:val="22"/>
          <w:szCs w:val="22"/>
        </w:rPr>
        <w:t>С.,</w:t>
      </w:r>
    </w:p>
    <w:p w:rsidR="00281602" w:rsidRPr="00281602" w:rsidRDefault="00281602" w:rsidP="00281602">
      <w:pPr>
        <w:jc w:val="right"/>
        <w:rPr>
          <w:sz w:val="22"/>
          <w:szCs w:val="22"/>
        </w:rPr>
      </w:pPr>
      <w:r w:rsidRPr="00281602">
        <w:rPr>
          <w:sz w:val="22"/>
          <w:szCs w:val="22"/>
        </w:rPr>
        <w:t>доцен</w:t>
      </w:r>
      <w:r w:rsidR="0017022A">
        <w:rPr>
          <w:sz w:val="22"/>
          <w:szCs w:val="22"/>
        </w:rPr>
        <w:t>т кафедры технологии хранения и</w:t>
      </w:r>
    </w:p>
    <w:p w:rsidR="00281602" w:rsidRPr="00281602" w:rsidRDefault="00281602" w:rsidP="00281602">
      <w:pPr>
        <w:jc w:val="right"/>
        <w:rPr>
          <w:sz w:val="22"/>
          <w:szCs w:val="22"/>
        </w:rPr>
      </w:pPr>
      <w:r w:rsidRPr="00281602">
        <w:rPr>
          <w:sz w:val="22"/>
          <w:szCs w:val="22"/>
        </w:rPr>
        <w:t>переработки растениеводческой продукции</w:t>
      </w:r>
    </w:p>
    <w:p w:rsidR="00281602" w:rsidRPr="00281602" w:rsidRDefault="00281602" w:rsidP="00281602">
      <w:pPr>
        <w:jc w:val="right"/>
        <w:rPr>
          <w:sz w:val="22"/>
          <w:szCs w:val="22"/>
        </w:rPr>
      </w:pPr>
      <w:r w:rsidRPr="00281602">
        <w:rPr>
          <w:sz w:val="22"/>
          <w:szCs w:val="22"/>
        </w:rPr>
        <w:t>Куб</w:t>
      </w:r>
      <w:r w:rsidR="0017022A">
        <w:rPr>
          <w:sz w:val="22"/>
          <w:szCs w:val="22"/>
        </w:rPr>
        <w:t>анский государственный аграрный</w:t>
      </w:r>
    </w:p>
    <w:p w:rsidR="00281602" w:rsidRPr="00281602" w:rsidRDefault="00281602" w:rsidP="00281602">
      <w:pPr>
        <w:jc w:val="right"/>
        <w:rPr>
          <w:sz w:val="22"/>
          <w:szCs w:val="22"/>
        </w:rPr>
      </w:pPr>
      <w:r w:rsidRPr="00281602">
        <w:rPr>
          <w:sz w:val="22"/>
          <w:szCs w:val="22"/>
        </w:rPr>
        <w:t>университет имени И.</w:t>
      </w:r>
      <w:r w:rsidR="0017022A">
        <w:rPr>
          <w:sz w:val="22"/>
          <w:szCs w:val="22"/>
        </w:rPr>
        <w:t xml:space="preserve"> </w:t>
      </w:r>
      <w:r w:rsidRPr="00281602">
        <w:rPr>
          <w:sz w:val="22"/>
          <w:szCs w:val="22"/>
        </w:rPr>
        <w:t>Т. Трубилина</w:t>
      </w:r>
    </w:p>
    <w:p w:rsidR="00281602" w:rsidRPr="00281602" w:rsidRDefault="00281602" w:rsidP="00281602">
      <w:pPr>
        <w:jc w:val="right"/>
        <w:rPr>
          <w:sz w:val="22"/>
          <w:szCs w:val="22"/>
        </w:rPr>
      </w:pPr>
    </w:p>
    <w:p w:rsidR="00281602" w:rsidRPr="0017022A" w:rsidRDefault="0017022A" w:rsidP="0017022A">
      <w:pPr>
        <w:ind w:firstLine="426"/>
        <w:jc w:val="both"/>
        <w:outlineLvl w:val="1"/>
        <w:rPr>
          <w:spacing w:val="-2"/>
          <w:sz w:val="22"/>
          <w:szCs w:val="22"/>
        </w:rPr>
      </w:pPr>
      <w:r w:rsidRPr="0017022A">
        <w:rPr>
          <w:sz w:val="22"/>
          <w:szCs w:val="22"/>
        </w:rPr>
        <w:t>АННОТАЦИЯ:</w:t>
      </w:r>
      <w:r w:rsidR="00281602" w:rsidRPr="0017022A">
        <w:rPr>
          <w:sz w:val="22"/>
          <w:szCs w:val="22"/>
        </w:rPr>
        <w:t xml:space="preserve"> Приведены результаты исследований по во</w:t>
      </w:r>
      <w:r w:rsidR="00281602" w:rsidRPr="0017022A">
        <w:rPr>
          <w:sz w:val="22"/>
          <w:szCs w:val="22"/>
        </w:rPr>
        <w:t>з</w:t>
      </w:r>
      <w:r w:rsidR="00281602" w:rsidRPr="0017022A">
        <w:rPr>
          <w:sz w:val="22"/>
          <w:szCs w:val="22"/>
        </w:rPr>
        <w:t>можности использования полбяной муки в хлебопечении. По р</w:t>
      </w:r>
      <w:r w:rsidR="00281602" w:rsidRPr="0017022A">
        <w:rPr>
          <w:sz w:val="22"/>
          <w:szCs w:val="22"/>
        </w:rPr>
        <w:t>е</w:t>
      </w:r>
      <w:r w:rsidR="00281602" w:rsidRPr="0017022A">
        <w:rPr>
          <w:sz w:val="22"/>
          <w:szCs w:val="22"/>
        </w:rPr>
        <w:t>зультатам экспериментальных данных установлено, что внесение полбяной муки способствует изменению свойств крахмала, колич</w:t>
      </w:r>
      <w:r w:rsidR="00281602" w:rsidRPr="0017022A">
        <w:rPr>
          <w:sz w:val="22"/>
          <w:szCs w:val="22"/>
        </w:rPr>
        <w:t>е</w:t>
      </w:r>
      <w:r w:rsidR="00281602" w:rsidRPr="0017022A">
        <w:rPr>
          <w:sz w:val="22"/>
          <w:szCs w:val="22"/>
        </w:rPr>
        <w:t xml:space="preserve">ства и качества клейковины пшеничной муки. </w:t>
      </w:r>
      <w:r w:rsidR="00281602" w:rsidRPr="0017022A">
        <w:rPr>
          <w:spacing w:val="-2"/>
          <w:sz w:val="22"/>
          <w:szCs w:val="22"/>
        </w:rPr>
        <w:t>Принято технолог</w:t>
      </w:r>
      <w:r w:rsidR="00281602" w:rsidRPr="0017022A">
        <w:rPr>
          <w:spacing w:val="-2"/>
          <w:sz w:val="22"/>
          <w:szCs w:val="22"/>
        </w:rPr>
        <w:t>и</w:t>
      </w:r>
      <w:r w:rsidR="00281602" w:rsidRPr="0017022A">
        <w:rPr>
          <w:spacing w:val="-2"/>
          <w:sz w:val="22"/>
          <w:szCs w:val="22"/>
        </w:rPr>
        <w:t>ческое решение об использовании полбяной муки в количестве 40 % с целью обеспечения функциональных свойств продукта.</w:t>
      </w:r>
    </w:p>
    <w:p w:rsidR="00281602" w:rsidRPr="0017022A" w:rsidRDefault="0017022A" w:rsidP="0017022A">
      <w:pPr>
        <w:ind w:firstLine="426"/>
        <w:jc w:val="both"/>
        <w:rPr>
          <w:sz w:val="22"/>
          <w:szCs w:val="22"/>
          <w:lang w:val="en-US"/>
        </w:rPr>
      </w:pPr>
      <w:r w:rsidRPr="0017022A">
        <w:rPr>
          <w:sz w:val="22"/>
          <w:szCs w:val="22"/>
          <w:lang w:val="en-US"/>
        </w:rPr>
        <w:t>ANNOTATION:</w:t>
      </w:r>
      <w:r w:rsidR="00281602" w:rsidRPr="0017022A">
        <w:rPr>
          <w:sz w:val="22"/>
          <w:szCs w:val="22"/>
          <w:lang w:val="en-US"/>
        </w:rPr>
        <w:t xml:space="preserve"> The results of studies on the possible use of rotten flour in bakery are presented. According to the results of experimental data, it is established that the introduction of rotten flour contributes to a </w:t>
      </w:r>
      <w:r w:rsidR="00281602" w:rsidRPr="0017022A">
        <w:rPr>
          <w:sz w:val="22"/>
          <w:szCs w:val="22"/>
          <w:lang w:val="en-US"/>
        </w:rPr>
        <w:lastRenderedPageBreak/>
        <w:t>change in the properties of starch, the quantity and quality of wheat flour gluten. A technological decision has been made to use 40% fatty flour in order to ensure the functional properties of the product.</w:t>
      </w:r>
    </w:p>
    <w:p w:rsidR="00281602" w:rsidRPr="0017022A" w:rsidRDefault="00281602" w:rsidP="0017022A">
      <w:pPr>
        <w:ind w:firstLine="426"/>
        <w:jc w:val="both"/>
        <w:rPr>
          <w:sz w:val="22"/>
          <w:szCs w:val="22"/>
        </w:rPr>
      </w:pPr>
      <w:r w:rsidRPr="0017022A">
        <w:rPr>
          <w:sz w:val="22"/>
          <w:szCs w:val="22"/>
        </w:rPr>
        <w:t>КЛЮЧЕВЫЕ СЛОВА: полбяная мука, пшеничная мука, кле</w:t>
      </w:r>
      <w:r w:rsidRPr="0017022A">
        <w:rPr>
          <w:sz w:val="22"/>
          <w:szCs w:val="22"/>
        </w:rPr>
        <w:t>й</w:t>
      </w:r>
      <w:r w:rsidRPr="0017022A">
        <w:rPr>
          <w:sz w:val="22"/>
          <w:szCs w:val="22"/>
        </w:rPr>
        <w:t>ковина.</w:t>
      </w:r>
    </w:p>
    <w:p w:rsidR="00281602" w:rsidRPr="0017022A" w:rsidRDefault="00281602" w:rsidP="0017022A">
      <w:pPr>
        <w:ind w:firstLine="426"/>
        <w:jc w:val="both"/>
        <w:rPr>
          <w:sz w:val="22"/>
          <w:szCs w:val="22"/>
          <w:lang w:val="en-US"/>
        </w:rPr>
      </w:pPr>
      <w:r w:rsidRPr="0017022A">
        <w:rPr>
          <w:sz w:val="22"/>
          <w:szCs w:val="22"/>
          <w:lang w:val="en-US"/>
        </w:rPr>
        <w:t>KEYWORDS: spelt wheat flour, wheat flour, gluten.</w:t>
      </w:r>
    </w:p>
    <w:p w:rsidR="00281602" w:rsidRPr="0017022A" w:rsidRDefault="00281602" w:rsidP="0017022A">
      <w:pPr>
        <w:ind w:firstLine="426"/>
        <w:jc w:val="both"/>
        <w:rPr>
          <w:sz w:val="22"/>
          <w:szCs w:val="22"/>
          <w:lang w:val="en-US"/>
        </w:rPr>
      </w:pPr>
    </w:p>
    <w:p w:rsidR="00281602" w:rsidRPr="0017022A" w:rsidRDefault="00281602" w:rsidP="0017022A">
      <w:pPr>
        <w:ind w:firstLine="426"/>
        <w:jc w:val="both"/>
        <w:rPr>
          <w:sz w:val="22"/>
          <w:szCs w:val="22"/>
        </w:rPr>
      </w:pPr>
      <w:r w:rsidRPr="0017022A">
        <w:rPr>
          <w:sz w:val="22"/>
          <w:szCs w:val="22"/>
        </w:rPr>
        <w:t>В настоящее время ведутся активные исследования по разр</w:t>
      </w:r>
      <w:r w:rsidRPr="0017022A">
        <w:rPr>
          <w:sz w:val="22"/>
          <w:szCs w:val="22"/>
        </w:rPr>
        <w:t>а</w:t>
      </w:r>
      <w:r w:rsidRPr="0017022A">
        <w:rPr>
          <w:sz w:val="22"/>
          <w:szCs w:val="22"/>
        </w:rPr>
        <w:t>ботке хлебобулочных изделий повышенной пищевой ценности с использованием нетрадиционных видов сырья [1]. Перспективным видом нетрадиционного сырья при производстве новых сортов хл</w:t>
      </w:r>
      <w:r w:rsidRPr="0017022A">
        <w:rPr>
          <w:sz w:val="22"/>
          <w:szCs w:val="22"/>
        </w:rPr>
        <w:t>е</w:t>
      </w:r>
      <w:r w:rsidRPr="0017022A">
        <w:rPr>
          <w:sz w:val="22"/>
          <w:szCs w:val="22"/>
        </w:rPr>
        <w:t>ба и хлебобулочных изделий функционального назначения считае</w:t>
      </w:r>
      <w:r w:rsidRPr="0017022A">
        <w:rPr>
          <w:sz w:val="22"/>
          <w:szCs w:val="22"/>
        </w:rPr>
        <w:t>т</w:t>
      </w:r>
      <w:r w:rsidRPr="0017022A">
        <w:rPr>
          <w:sz w:val="22"/>
          <w:szCs w:val="22"/>
        </w:rPr>
        <w:t xml:space="preserve">ся полба. </w:t>
      </w:r>
    </w:p>
    <w:p w:rsidR="00281602" w:rsidRPr="0017022A" w:rsidRDefault="00281602" w:rsidP="0017022A">
      <w:pPr>
        <w:ind w:firstLine="426"/>
        <w:jc w:val="both"/>
        <w:rPr>
          <w:sz w:val="22"/>
          <w:szCs w:val="22"/>
        </w:rPr>
      </w:pPr>
      <w:r w:rsidRPr="0017022A">
        <w:rPr>
          <w:sz w:val="22"/>
          <w:szCs w:val="22"/>
        </w:rPr>
        <w:t>Полба имеет ряд важных биологических особенностей: не тр</w:t>
      </w:r>
      <w:r w:rsidRPr="0017022A">
        <w:rPr>
          <w:sz w:val="22"/>
          <w:szCs w:val="22"/>
        </w:rPr>
        <w:t>е</w:t>
      </w:r>
      <w:r w:rsidRPr="0017022A">
        <w:rPr>
          <w:sz w:val="22"/>
          <w:szCs w:val="22"/>
        </w:rPr>
        <w:t>бовательна к климатическим и почвенным условиям, засухоусто</w:t>
      </w:r>
      <w:r w:rsidRPr="0017022A">
        <w:rPr>
          <w:sz w:val="22"/>
          <w:szCs w:val="22"/>
        </w:rPr>
        <w:t>й</w:t>
      </w:r>
      <w:r w:rsidRPr="0017022A">
        <w:rPr>
          <w:sz w:val="22"/>
          <w:szCs w:val="22"/>
        </w:rPr>
        <w:t>чива, скророспела, устойчива к ряду болезней и вредителей, выс</w:t>
      </w:r>
      <w:r w:rsidRPr="0017022A">
        <w:rPr>
          <w:sz w:val="22"/>
          <w:szCs w:val="22"/>
        </w:rPr>
        <w:t>о</w:t>
      </w:r>
      <w:r w:rsidRPr="0017022A">
        <w:rPr>
          <w:sz w:val="22"/>
          <w:szCs w:val="22"/>
        </w:rPr>
        <w:t>коурожайна.</w:t>
      </w:r>
    </w:p>
    <w:p w:rsidR="00281602" w:rsidRPr="0017022A" w:rsidRDefault="00281602" w:rsidP="0017022A">
      <w:pPr>
        <w:ind w:firstLine="426"/>
        <w:jc w:val="both"/>
        <w:rPr>
          <w:sz w:val="22"/>
          <w:szCs w:val="22"/>
        </w:rPr>
      </w:pPr>
      <w:r w:rsidRPr="0017022A">
        <w:rPr>
          <w:sz w:val="22"/>
          <w:szCs w:val="22"/>
        </w:rPr>
        <w:t>Полбяная мука обладает ценным химическим составом. Она богата белком, содержит ненасыщенные жирные кислоты, витам</w:t>
      </w:r>
      <w:r w:rsidRPr="0017022A">
        <w:rPr>
          <w:sz w:val="22"/>
          <w:szCs w:val="22"/>
        </w:rPr>
        <w:t>и</w:t>
      </w:r>
      <w:r w:rsidRPr="0017022A">
        <w:rPr>
          <w:sz w:val="22"/>
          <w:szCs w:val="22"/>
        </w:rPr>
        <w:t>ны А, Е, В</w:t>
      </w:r>
      <w:r w:rsidRPr="0017022A">
        <w:rPr>
          <w:sz w:val="22"/>
          <w:szCs w:val="22"/>
          <w:vertAlign w:val="subscript"/>
        </w:rPr>
        <w:t>1</w:t>
      </w:r>
      <w:r w:rsidRPr="0017022A">
        <w:rPr>
          <w:sz w:val="22"/>
          <w:szCs w:val="22"/>
        </w:rPr>
        <w:t>, В</w:t>
      </w:r>
      <w:r w:rsidRPr="0017022A">
        <w:rPr>
          <w:sz w:val="22"/>
          <w:szCs w:val="22"/>
          <w:vertAlign w:val="subscript"/>
        </w:rPr>
        <w:t>2</w:t>
      </w:r>
      <w:r w:rsidRPr="0017022A">
        <w:rPr>
          <w:sz w:val="22"/>
          <w:szCs w:val="22"/>
        </w:rPr>
        <w:t>, В</w:t>
      </w:r>
      <w:r w:rsidRPr="0017022A">
        <w:rPr>
          <w:sz w:val="22"/>
          <w:szCs w:val="22"/>
          <w:vertAlign w:val="subscript"/>
        </w:rPr>
        <w:t>3</w:t>
      </w:r>
      <w:r w:rsidRPr="0017022A">
        <w:rPr>
          <w:sz w:val="22"/>
          <w:szCs w:val="22"/>
        </w:rPr>
        <w:t>. В муке из полбы отмечено высокое содержание общих и редуцирующих сахаров. Количество незаменимых амин</w:t>
      </w:r>
      <w:r w:rsidRPr="0017022A">
        <w:rPr>
          <w:sz w:val="22"/>
          <w:szCs w:val="22"/>
        </w:rPr>
        <w:t>о</w:t>
      </w:r>
      <w:r w:rsidRPr="0017022A">
        <w:rPr>
          <w:sz w:val="22"/>
          <w:szCs w:val="22"/>
        </w:rPr>
        <w:t>кислот в белке полбяной муки составляет 29,7 г/100 г белка.</w:t>
      </w:r>
    </w:p>
    <w:p w:rsidR="00281602" w:rsidRPr="0017022A" w:rsidRDefault="00281602" w:rsidP="0017022A">
      <w:pPr>
        <w:ind w:firstLine="426"/>
        <w:jc w:val="both"/>
        <w:rPr>
          <w:sz w:val="22"/>
          <w:szCs w:val="22"/>
        </w:rPr>
      </w:pPr>
      <w:r w:rsidRPr="0017022A">
        <w:rPr>
          <w:sz w:val="22"/>
          <w:szCs w:val="22"/>
        </w:rPr>
        <w:t>В ходе проведения исследований изучали влияние полбяной муки на хлебопекарные свойства пшеничной муки и биотехнолог</w:t>
      </w:r>
      <w:r w:rsidRPr="0017022A">
        <w:rPr>
          <w:sz w:val="22"/>
          <w:szCs w:val="22"/>
        </w:rPr>
        <w:t>и</w:t>
      </w:r>
      <w:r w:rsidRPr="0017022A">
        <w:rPr>
          <w:sz w:val="22"/>
          <w:szCs w:val="22"/>
        </w:rPr>
        <w:t>ческие свойства прессованных дрожжей.</w:t>
      </w:r>
    </w:p>
    <w:p w:rsidR="00281602" w:rsidRPr="0017022A" w:rsidRDefault="00281602" w:rsidP="0017022A">
      <w:pPr>
        <w:ind w:firstLine="426"/>
        <w:jc w:val="both"/>
        <w:rPr>
          <w:bCs/>
          <w:sz w:val="22"/>
          <w:szCs w:val="22"/>
        </w:rPr>
      </w:pPr>
      <w:r w:rsidRPr="0017022A">
        <w:rPr>
          <w:sz w:val="22"/>
          <w:szCs w:val="22"/>
        </w:rPr>
        <w:t>Изучение влияния полбяной муки на хлебопекарные свойства пшеничной муки проводили путем определения в ней массовой д</w:t>
      </w:r>
      <w:r w:rsidRPr="0017022A">
        <w:rPr>
          <w:sz w:val="22"/>
          <w:szCs w:val="22"/>
        </w:rPr>
        <w:t>о</w:t>
      </w:r>
      <w:r w:rsidRPr="0017022A">
        <w:rPr>
          <w:sz w:val="22"/>
          <w:szCs w:val="22"/>
        </w:rPr>
        <w:t xml:space="preserve">ли и качества сырой клейковины и определения </w:t>
      </w:r>
      <w:r w:rsidRPr="0017022A">
        <w:rPr>
          <w:bCs/>
          <w:sz w:val="22"/>
          <w:szCs w:val="22"/>
        </w:rPr>
        <w:t>автолитической активности муки.</w:t>
      </w:r>
    </w:p>
    <w:p w:rsidR="00281602" w:rsidRPr="0017022A" w:rsidRDefault="00281602" w:rsidP="0017022A">
      <w:pPr>
        <w:ind w:firstLine="426"/>
        <w:jc w:val="both"/>
        <w:rPr>
          <w:bCs/>
          <w:sz w:val="22"/>
          <w:szCs w:val="22"/>
        </w:rPr>
      </w:pPr>
      <w:r w:rsidRPr="0017022A">
        <w:rPr>
          <w:bCs/>
          <w:sz w:val="22"/>
          <w:szCs w:val="22"/>
        </w:rPr>
        <w:t>Полбяную муку вносили в сухом виде в дозировках 20, 40, 60, 80 и 100% взамен пшеничной муки.</w:t>
      </w:r>
    </w:p>
    <w:p w:rsidR="00281602" w:rsidRPr="0017022A" w:rsidRDefault="00281602" w:rsidP="0017022A">
      <w:pPr>
        <w:ind w:firstLine="426"/>
        <w:jc w:val="both"/>
        <w:rPr>
          <w:sz w:val="22"/>
          <w:szCs w:val="22"/>
        </w:rPr>
      </w:pPr>
      <w:r w:rsidRPr="0017022A">
        <w:rPr>
          <w:sz w:val="22"/>
          <w:szCs w:val="22"/>
        </w:rPr>
        <w:t>По результатам проведенных исследований установлено, что с увеличением доли полбяной муки в смеси происходит увеличение активности амилолитических ферментов, о чем свидетельствует снижение показателя «число падения». Что, вероятно, объясняется высокой сахарообразующей способностью полбяной муки, а также высокой активностью амилолитических ферментов [2].</w:t>
      </w:r>
    </w:p>
    <w:p w:rsidR="00281602" w:rsidRPr="0017022A" w:rsidRDefault="00281602" w:rsidP="0017022A">
      <w:pPr>
        <w:ind w:firstLine="426"/>
        <w:jc w:val="both"/>
        <w:rPr>
          <w:sz w:val="22"/>
          <w:szCs w:val="22"/>
        </w:rPr>
      </w:pPr>
      <w:r w:rsidRPr="0017022A">
        <w:rPr>
          <w:sz w:val="22"/>
          <w:szCs w:val="22"/>
        </w:rPr>
        <w:lastRenderedPageBreak/>
        <w:t>С увеличением дозировки и заменой части пшеничной муки на полбяную происходит уменьшение массовой доли сырой клейков</w:t>
      </w:r>
      <w:r w:rsidRPr="0017022A">
        <w:rPr>
          <w:sz w:val="22"/>
          <w:szCs w:val="22"/>
        </w:rPr>
        <w:t>и</w:t>
      </w:r>
      <w:r w:rsidRPr="0017022A">
        <w:rPr>
          <w:sz w:val="22"/>
          <w:szCs w:val="22"/>
        </w:rPr>
        <w:t xml:space="preserve">ны. На структурно-механические свойства клейковины вносимая добавка существенного влияния не оказывает,во всех вариантах опыта клейковина имела </w:t>
      </w:r>
      <w:r w:rsidRPr="0017022A">
        <w:rPr>
          <w:sz w:val="22"/>
          <w:szCs w:val="22"/>
          <w:lang w:val="en-US"/>
        </w:rPr>
        <w:t>II</w:t>
      </w:r>
      <w:r w:rsidRPr="0017022A">
        <w:rPr>
          <w:sz w:val="22"/>
          <w:szCs w:val="22"/>
        </w:rPr>
        <w:t xml:space="preserve"> группу качества (удовлетворительно слабая).</w:t>
      </w:r>
    </w:p>
    <w:p w:rsidR="00281602" w:rsidRPr="0017022A" w:rsidRDefault="00281602" w:rsidP="0017022A">
      <w:pPr>
        <w:ind w:firstLine="426"/>
        <w:jc w:val="both"/>
        <w:rPr>
          <w:sz w:val="22"/>
          <w:szCs w:val="22"/>
        </w:rPr>
      </w:pPr>
      <w:r w:rsidRPr="0017022A">
        <w:rPr>
          <w:sz w:val="22"/>
          <w:szCs w:val="22"/>
        </w:rPr>
        <w:t>Изучение влияния полбяной муки на качество дрожжей пров</w:t>
      </w:r>
      <w:r w:rsidRPr="0017022A">
        <w:rPr>
          <w:sz w:val="22"/>
          <w:szCs w:val="22"/>
        </w:rPr>
        <w:t>о</w:t>
      </w:r>
      <w:r w:rsidRPr="0017022A">
        <w:rPr>
          <w:sz w:val="22"/>
          <w:szCs w:val="22"/>
        </w:rPr>
        <w:t>дили путем определения их подъемной силы.</w:t>
      </w:r>
    </w:p>
    <w:p w:rsidR="00281602" w:rsidRPr="0017022A" w:rsidRDefault="00281602" w:rsidP="0017022A">
      <w:pPr>
        <w:ind w:firstLine="426"/>
        <w:jc w:val="both"/>
        <w:rPr>
          <w:sz w:val="22"/>
          <w:szCs w:val="22"/>
        </w:rPr>
      </w:pPr>
      <w:r w:rsidRPr="0017022A">
        <w:rPr>
          <w:sz w:val="22"/>
          <w:szCs w:val="22"/>
        </w:rPr>
        <w:t>Было обнаружено, что с увеличением дозировки полбяной м</w:t>
      </w:r>
      <w:r w:rsidRPr="0017022A">
        <w:rPr>
          <w:sz w:val="22"/>
          <w:szCs w:val="22"/>
        </w:rPr>
        <w:t>у</w:t>
      </w:r>
      <w:r w:rsidRPr="0017022A">
        <w:rPr>
          <w:sz w:val="22"/>
          <w:szCs w:val="22"/>
        </w:rPr>
        <w:t>ки подъемная сила прессованных дрожжей улучшается, вероятно, за счет содержания в мукеиз полбы большого количества сахаров, к</w:t>
      </w:r>
      <w:r w:rsidRPr="0017022A">
        <w:rPr>
          <w:sz w:val="22"/>
          <w:szCs w:val="22"/>
        </w:rPr>
        <w:t>о</w:t>
      </w:r>
      <w:r w:rsidRPr="0017022A">
        <w:rPr>
          <w:sz w:val="22"/>
          <w:szCs w:val="22"/>
        </w:rPr>
        <w:t>торые используются дрожжевыми клетками.</w:t>
      </w:r>
    </w:p>
    <w:p w:rsidR="00281602" w:rsidRDefault="00281602" w:rsidP="000D0D2D">
      <w:pPr>
        <w:ind w:firstLine="425"/>
        <w:jc w:val="both"/>
        <w:rPr>
          <w:sz w:val="22"/>
          <w:szCs w:val="22"/>
        </w:rPr>
      </w:pPr>
      <w:r w:rsidRPr="0017022A">
        <w:rPr>
          <w:sz w:val="22"/>
          <w:szCs w:val="22"/>
        </w:rPr>
        <w:t>Таким образом, зная влияние полбяной муки на хлебопекарные свойства муки и биотехнологические свойства прессованных дрожжей, можно принять технологическое решение об интенси</w:t>
      </w:r>
      <w:r w:rsidRPr="0017022A">
        <w:rPr>
          <w:sz w:val="22"/>
          <w:szCs w:val="22"/>
        </w:rPr>
        <w:t>в</w:t>
      </w:r>
      <w:r w:rsidRPr="0017022A">
        <w:rPr>
          <w:sz w:val="22"/>
          <w:szCs w:val="22"/>
        </w:rPr>
        <w:t xml:space="preserve">ном замесе, в процессе которого рекомендуется вносить полбяную муку в количестве 40 % с целью обеспечения функциональных свойств готового продукта. </w:t>
      </w:r>
    </w:p>
    <w:p w:rsidR="0098373C" w:rsidRPr="0017022A" w:rsidRDefault="0098373C" w:rsidP="000D0D2D">
      <w:pPr>
        <w:ind w:firstLine="425"/>
        <w:jc w:val="both"/>
        <w:rPr>
          <w:sz w:val="22"/>
          <w:szCs w:val="22"/>
        </w:rPr>
      </w:pPr>
    </w:p>
    <w:p w:rsidR="00281602" w:rsidRPr="0017022A" w:rsidRDefault="00281602" w:rsidP="0017022A">
      <w:pPr>
        <w:ind w:firstLine="425"/>
        <w:jc w:val="center"/>
        <w:rPr>
          <w:sz w:val="22"/>
          <w:szCs w:val="22"/>
        </w:rPr>
      </w:pPr>
      <w:r w:rsidRPr="0017022A">
        <w:rPr>
          <w:sz w:val="22"/>
          <w:szCs w:val="22"/>
        </w:rPr>
        <w:t>Список литературы</w:t>
      </w:r>
    </w:p>
    <w:p w:rsidR="00281602" w:rsidRPr="0017022A" w:rsidRDefault="00281602" w:rsidP="0017022A">
      <w:pPr>
        <w:numPr>
          <w:ilvl w:val="3"/>
          <w:numId w:val="30"/>
        </w:numPr>
        <w:tabs>
          <w:tab w:val="left" w:pos="720"/>
        </w:tabs>
        <w:ind w:left="0" w:firstLine="425"/>
        <w:jc w:val="both"/>
        <w:rPr>
          <w:sz w:val="22"/>
          <w:szCs w:val="22"/>
        </w:rPr>
      </w:pPr>
      <w:r w:rsidRPr="0017022A">
        <w:rPr>
          <w:sz w:val="22"/>
          <w:szCs w:val="22"/>
        </w:rPr>
        <w:t xml:space="preserve">Шмалько, Н.А. Перспективы использования амарантовой белковой муки в хлебопечении / Н.А. Шмалько, Н.А. Дроздовская, И.А. Чалова, Н.Л. Ромашко // </w:t>
      </w:r>
      <w:hyperlink r:id="rId136" w:history="1">
        <w:r w:rsidRPr="0017022A">
          <w:rPr>
            <w:rFonts w:eastAsia="Arial Unicode MS"/>
            <w:sz w:val="22"/>
            <w:szCs w:val="22"/>
          </w:rPr>
          <w:t>Техника и технология пищевых пр</w:t>
        </w:r>
        <w:r w:rsidRPr="0017022A">
          <w:rPr>
            <w:rFonts w:eastAsia="Arial Unicode MS"/>
            <w:sz w:val="22"/>
            <w:szCs w:val="22"/>
          </w:rPr>
          <w:t>о</w:t>
        </w:r>
        <w:r w:rsidRPr="0017022A">
          <w:rPr>
            <w:rFonts w:eastAsia="Arial Unicode MS"/>
            <w:sz w:val="22"/>
            <w:szCs w:val="22"/>
          </w:rPr>
          <w:t>изводств</w:t>
        </w:r>
      </w:hyperlink>
      <w:r w:rsidRPr="0017022A">
        <w:rPr>
          <w:sz w:val="22"/>
          <w:szCs w:val="22"/>
        </w:rPr>
        <w:t xml:space="preserve">, 2009. – </w:t>
      </w:r>
      <w:hyperlink r:id="rId137" w:history="1">
        <w:r w:rsidRPr="0017022A">
          <w:rPr>
            <w:rFonts w:eastAsia="Arial Unicode MS"/>
            <w:sz w:val="22"/>
            <w:szCs w:val="22"/>
          </w:rPr>
          <w:t>№ 1</w:t>
        </w:r>
      </w:hyperlink>
      <w:r w:rsidRPr="0017022A">
        <w:rPr>
          <w:sz w:val="22"/>
          <w:szCs w:val="22"/>
        </w:rPr>
        <w:t>. – С. 15-19.</w:t>
      </w:r>
    </w:p>
    <w:p w:rsidR="00281602" w:rsidRPr="0017022A" w:rsidRDefault="00281602" w:rsidP="0017022A">
      <w:pPr>
        <w:numPr>
          <w:ilvl w:val="3"/>
          <w:numId w:val="30"/>
        </w:numPr>
        <w:tabs>
          <w:tab w:val="left" w:pos="720"/>
        </w:tabs>
        <w:ind w:left="0" w:firstLine="425"/>
        <w:jc w:val="both"/>
        <w:rPr>
          <w:sz w:val="22"/>
          <w:szCs w:val="22"/>
        </w:rPr>
      </w:pPr>
      <w:r w:rsidRPr="0017022A">
        <w:rPr>
          <w:sz w:val="22"/>
          <w:szCs w:val="22"/>
        </w:rPr>
        <w:t xml:space="preserve">Болдина, А.А. </w:t>
      </w:r>
      <w:hyperlink r:id="rId138" w:history="1">
        <w:r w:rsidRPr="0017022A">
          <w:rPr>
            <w:rFonts w:eastAsia="Arial Unicode MS"/>
            <w:sz w:val="22"/>
            <w:szCs w:val="22"/>
          </w:rPr>
          <w:t>Влияние рисовой мучки на хлебопекарные свойства пшеничной муки</w:t>
        </w:r>
      </w:hyperlink>
      <w:r w:rsidRPr="0017022A">
        <w:rPr>
          <w:sz w:val="22"/>
          <w:szCs w:val="22"/>
        </w:rPr>
        <w:t xml:space="preserve"> / А.А. Болдина, Н.В. Сокол, Н.С. Санж</w:t>
      </w:r>
      <w:r w:rsidRPr="0017022A">
        <w:rPr>
          <w:sz w:val="22"/>
          <w:szCs w:val="22"/>
        </w:rPr>
        <w:t>а</w:t>
      </w:r>
      <w:r w:rsidRPr="0017022A">
        <w:rPr>
          <w:sz w:val="22"/>
          <w:szCs w:val="22"/>
        </w:rPr>
        <w:t xml:space="preserve">ровская // </w:t>
      </w:r>
      <w:hyperlink r:id="rId139" w:history="1">
        <w:r w:rsidRPr="0017022A">
          <w:rPr>
            <w:rFonts w:eastAsia="Arial Unicode MS"/>
            <w:sz w:val="22"/>
            <w:szCs w:val="22"/>
          </w:rPr>
          <w:t>Техника и технология пищевых производств</w:t>
        </w:r>
      </w:hyperlink>
      <w:r w:rsidRPr="0017022A">
        <w:rPr>
          <w:sz w:val="22"/>
          <w:szCs w:val="22"/>
        </w:rPr>
        <w:t xml:space="preserve">, 2016. Т. 40. – </w:t>
      </w:r>
      <w:hyperlink r:id="rId140" w:history="1">
        <w:r w:rsidRPr="0017022A">
          <w:rPr>
            <w:rFonts w:eastAsia="Arial Unicode MS"/>
            <w:sz w:val="22"/>
            <w:szCs w:val="22"/>
          </w:rPr>
          <w:t>№ 1</w:t>
        </w:r>
      </w:hyperlink>
      <w:r w:rsidRPr="0017022A">
        <w:rPr>
          <w:sz w:val="22"/>
          <w:szCs w:val="22"/>
        </w:rPr>
        <w:t>. – С. 5-10.</w:t>
      </w:r>
    </w:p>
    <w:p w:rsidR="00281602" w:rsidRPr="00281602" w:rsidRDefault="00281602" w:rsidP="00281602">
      <w:pPr>
        <w:jc w:val="both"/>
        <w:rPr>
          <w:sz w:val="24"/>
          <w:szCs w:val="24"/>
        </w:rPr>
      </w:pPr>
    </w:p>
    <w:p w:rsidR="0017022A" w:rsidRPr="00281602" w:rsidRDefault="0098373C" w:rsidP="0098373C">
      <w:pPr>
        <w:rPr>
          <w:rFonts w:eastAsia="Calibri"/>
          <w:sz w:val="22"/>
          <w:szCs w:val="22"/>
          <w:lang w:eastAsia="en-US"/>
        </w:rPr>
      </w:pPr>
      <w:r>
        <w:rPr>
          <w:rFonts w:eastAsia="Calibri"/>
          <w:sz w:val="22"/>
          <w:szCs w:val="22"/>
          <w:lang w:eastAsia="en-US"/>
        </w:rPr>
        <w:br w:type="page"/>
      </w:r>
    </w:p>
    <w:p w:rsidR="00281602" w:rsidRPr="0017022A" w:rsidRDefault="00281602" w:rsidP="00281602">
      <w:pPr>
        <w:rPr>
          <w:rFonts w:eastAsia="Calibri"/>
          <w:spacing w:val="-6"/>
          <w:sz w:val="22"/>
          <w:szCs w:val="22"/>
          <w:lang w:eastAsia="en-US"/>
        </w:rPr>
      </w:pPr>
      <w:r w:rsidRPr="0017022A">
        <w:rPr>
          <w:rFonts w:eastAsia="Calibri"/>
          <w:spacing w:val="-6"/>
          <w:sz w:val="22"/>
          <w:szCs w:val="22"/>
          <w:lang w:eastAsia="en-US"/>
        </w:rPr>
        <w:lastRenderedPageBreak/>
        <w:t>УДК 663.85</w:t>
      </w:r>
    </w:p>
    <w:p w:rsidR="00281602" w:rsidRPr="00281602" w:rsidRDefault="00281602" w:rsidP="00281602">
      <w:pPr>
        <w:rPr>
          <w:rFonts w:eastAsia="Calibri"/>
          <w:spacing w:val="-6"/>
          <w:sz w:val="24"/>
          <w:lang w:eastAsia="en-US"/>
        </w:rPr>
      </w:pPr>
    </w:p>
    <w:p w:rsidR="00281602" w:rsidRPr="00281602" w:rsidRDefault="00281602" w:rsidP="00281602">
      <w:pPr>
        <w:jc w:val="center"/>
        <w:rPr>
          <w:rFonts w:eastAsia="Calibri"/>
          <w:b/>
          <w:spacing w:val="-6"/>
          <w:sz w:val="24"/>
          <w:lang w:eastAsia="en-US"/>
        </w:rPr>
      </w:pPr>
      <w:r w:rsidRPr="00281602">
        <w:rPr>
          <w:rFonts w:eastAsia="Calibri"/>
          <w:b/>
          <w:spacing w:val="-6"/>
          <w:sz w:val="24"/>
          <w:lang w:eastAsia="en-US"/>
        </w:rPr>
        <w:t xml:space="preserve">Исследование сырья для разработки функциональных </w:t>
      </w:r>
      <w:r w:rsidR="0017022A">
        <w:rPr>
          <w:rFonts w:eastAsia="Calibri"/>
          <w:b/>
          <w:spacing w:val="-6"/>
          <w:sz w:val="24"/>
          <w:lang w:eastAsia="en-US"/>
        </w:rPr>
        <w:br/>
      </w:r>
      <w:r w:rsidRPr="00281602">
        <w:rPr>
          <w:rFonts w:eastAsia="Calibri"/>
          <w:b/>
          <w:spacing w:val="-6"/>
          <w:sz w:val="24"/>
          <w:lang w:eastAsia="en-US"/>
        </w:rPr>
        <w:t xml:space="preserve">сокосодержащих  фито - напитков с повышенной </w:t>
      </w:r>
    </w:p>
    <w:p w:rsidR="00281602" w:rsidRPr="001755C3" w:rsidRDefault="00281602" w:rsidP="00281602">
      <w:pPr>
        <w:jc w:val="center"/>
        <w:rPr>
          <w:rFonts w:eastAsia="Calibri"/>
          <w:b/>
          <w:spacing w:val="-6"/>
          <w:sz w:val="24"/>
          <w:lang w:val="en-US" w:eastAsia="en-US"/>
        </w:rPr>
      </w:pPr>
      <w:r w:rsidRPr="00281602">
        <w:rPr>
          <w:rFonts w:eastAsia="Calibri"/>
          <w:b/>
          <w:spacing w:val="-6"/>
          <w:sz w:val="24"/>
          <w:lang w:eastAsia="en-US"/>
        </w:rPr>
        <w:t>антиоксидантной</w:t>
      </w:r>
      <w:r w:rsidRPr="001755C3">
        <w:rPr>
          <w:rFonts w:eastAsia="Calibri"/>
          <w:b/>
          <w:spacing w:val="-6"/>
          <w:sz w:val="24"/>
          <w:lang w:val="en-US" w:eastAsia="en-US"/>
        </w:rPr>
        <w:t xml:space="preserve"> </w:t>
      </w:r>
      <w:r w:rsidRPr="00281602">
        <w:rPr>
          <w:rFonts w:eastAsia="Calibri"/>
          <w:b/>
          <w:spacing w:val="-6"/>
          <w:sz w:val="24"/>
          <w:lang w:eastAsia="en-US"/>
        </w:rPr>
        <w:t>активностью</w:t>
      </w:r>
    </w:p>
    <w:p w:rsidR="00281602" w:rsidRPr="0017022A" w:rsidRDefault="00281602" w:rsidP="00281602">
      <w:pPr>
        <w:jc w:val="center"/>
        <w:rPr>
          <w:rFonts w:eastAsia="Calibri"/>
          <w:b/>
          <w:spacing w:val="-6"/>
          <w:sz w:val="24"/>
          <w:lang w:val="en-US" w:eastAsia="en-US"/>
        </w:rPr>
      </w:pPr>
      <w:r w:rsidRPr="0017022A">
        <w:rPr>
          <w:rFonts w:eastAsia="Calibri"/>
          <w:b/>
          <w:spacing w:val="-6"/>
          <w:sz w:val="24"/>
          <w:lang w:val="en-US" w:eastAsia="en-US"/>
        </w:rPr>
        <w:t xml:space="preserve">Research of raw materials for the creation of functional </w:t>
      </w:r>
      <w:r w:rsidR="0017022A" w:rsidRPr="0017022A">
        <w:rPr>
          <w:rFonts w:eastAsia="Calibri"/>
          <w:b/>
          <w:spacing w:val="-6"/>
          <w:sz w:val="24"/>
          <w:lang w:val="en-US" w:eastAsia="en-US"/>
        </w:rPr>
        <w:br/>
      </w:r>
      <w:r w:rsidRPr="0017022A">
        <w:rPr>
          <w:rFonts w:eastAsia="Calibri"/>
          <w:b/>
          <w:spacing w:val="-6"/>
          <w:sz w:val="24"/>
          <w:lang w:val="en-US" w:eastAsia="en-US"/>
        </w:rPr>
        <w:t>juice-containing</w:t>
      </w:r>
      <w:r w:rsidRPr="0017022A">
        <w:rPr>
          <w:rFonts w:eastAsia="Calibri"/>
          <w:b/>
          <w:spacing w:val="-6"/>
          <w:sz w:val="22"/>
          <w:szCs w:val="22"/>
          <w:lang w:val="en-US" w:eastAsia="en-US"/>
        </w:rPr>
        <w:t>phyto-drinks</w:t>
      </w:r>
      <w:r w:rsidRPr="0017022A">
        <w:rPr>
          <w:rFonts w:eastAsia="Calibri"/>
          <w:b/>
          <w:spacing w:val="-6"/>
          <w:sz w:val="24"/>
          <w:lang w:val="en-US" w:eastAsia="en-US"/>
        </w:rPr>
        <w:t xml:space="preserve"> with increased antioxidant activity</w:t>
      </w:r>
    </w:p>
    <w:p w:rsidR="00281602" w:rsidRPr="00281602" w:rsidRDefault="00281602" w:rsidP="00281602">
      <w:pPr>
        <w:jc w:val="center"/>
        <w:rPr>
          <w:rFonts w:eastAsia="Calibri"/>
          <w:spacing w:val="-6"/>
          <w:sz w:val="24"/>
          <w:lang w:val="en-US" w:eastAsia="en-US"/>
        </w:rPr>
      </w:pP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Машногорская А. А.,</w:t>
      </w:r>
    </w:p>
    <w:p w:rsidR="00281602" w:rsidRPr="00281602" w:rsidRDefault="0017022A" w:rsidP="00281602">
      <w:pPr>
        <w:jc w:val="right"/>
        <w:rPr>
          <w:rFonts w:eastAsia="Calibri"/>
          <w:spacing w:val="-6"/>
          <w:sz w:val="22"/>
          <w:szCs w:val="22"/>
          <w:lang w:eastAsia="en-US"/>
        </w:rPr>
      </w:pPr>
      <w:r>
        <w:rPr>
          <w:rFonts w:eastAsia="Calibri"/>
          <w:spacing w:val="-6"/>
          <w:sz w:val="22"/>
          <w:szCs w:val="22"/>
          <w:lang w:eastAsia="en-US"/>
        </w:rPr>
        <w:t>студентка 3 курса факультета</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перерабатывающих технологий</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Влащик Л. Г.,</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доцент кафедры технологии хранения</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 xml:space="preserve"> и переработки растениеводческой продукции</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Кубанский государственный аграрный</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университет имени И.Т.Трубилина</w:t>
      </w:r>
    </w:p>
    <w:p w:rsidR="00281602" w:rsidRPr="00281602" w:rsidRDefault="00281602" w:rsidP="00281602">
      <w:pPr>
        <w:jc w:val="right"/>
        <w:rPr>
          <w:rFonts w:eastAsia="Calibri"/>
          <w:spacing w:val="-6"/>
          <w:sz w:val="22"/>
          <w:szCs w:val="22"/>
          <w:lang w:eastAsia="en-US"/>
        </w:rPr>
      </w:pP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АННОТАЦИЯ: Исследования посвящены разработке технологии получения фито-напитков с повышенной антиоксидантной активностью  и выраженными радиопротекторными свойствами на основе винограда, продуктов его переработки и листовых чаев.</w:t>
      </w:r>
    </w:p>
    <w:p w:rsidR="00281602" w:rsidRPr="0017022A" w:rsidRDefault="00281602" w:rsidP="0017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0"/>
          <w:szCs w:val="20"/>
          <w:lang w:val="en-US"/>
        </w:rPr>
      </w:pPr>
      <w:r w:rsidRPr="0017022A">
        <w:rPr>
          <w:sz w:val="20"/>
          <w:szCs w:val="20"/>
          <w:lang w:val="en-US"/>
        </w:rPr>
        <w:t>ABSTRACT: The research is devoted to the development of technology for the production of phyto-beverages with increased antioxidant activity and pronounced radioprotective properties based on grapes, products of its pr</w:t>
      </w:r>
      <w:r w:rsidRPr="0017022A">
        <w:rPr>
          <w:sz w:val="20"/>
          <w:szCs w:val="20"/>
          <w:lang w:val="en-US"/>
        </w:rPr>
        <w:t>o</w:t>
      </w:r>
      <w:r w:rsidRPr="0017022A">
        <w:rPr>
          <w:sz w:val="20"/>
          <w:szCs w:val="20"/>
          <w:lang w:val="en-US"/>
        </w:rPr>
        <w:t>cessing and leaf teas.</w:t>
      </w: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КЛЮЧЕВЫЕ СЛОВА: антиоксиданты, пектин, переработка вин</w:t>
      </w:r>
      <w:r w:rsidRPr="0017022A">
        <w:rPr>
          <w:rFonts w:eastAsia="Calibri"/>
          <w:spacing w:val="-6"/>
          <w:sz w:val="22"/>
          <w:szCs w:val="22"/>
          <w:lang w:eastAsia="en-US"/>
        </w:rPr>
        <w:t>о</w:t>
      </w:r>
      <w:r w:rsidRPr="0017022A">
        <w:rPr>
          <w:rFonts w:eastAsia="Calibri"/>
          <w:spacing w:val="-6"/>
          <w:sz w:val="22"/>
          <w:szCs w:val="22"/>
          <w:lang w:eastAsia="en-US"/>
        </w:rPr>
        <w:t>града, зеленый чай.</w:t>
      </w:r>
    </w:p>
    <w:p w:rsidR="00281602" w:rsidRPr="0017022A" w:rsidRDefault="00281602" w:rsidP="0017022A">
      <w:pPr>
        <w:ind w:firstLine="426"/>
        <w:jc w:val="both"/>
        <w:rPr>
          <w:rFonts w:eastAsia="Calibri"/>
          <w:spacing w:val="-6"/>
          <w:sz w:val="22"/>
          <w:szCs w:val="22"/>
          <w:lang w:val="en-US" w:eastAsia="en-US"/>
        </w:rPr>
      </w:pPr>
      <w:r w:rsidRPr="0017022A">
        <w:rPr>
          <w:rFonts w:eastAsia="Calibri"/>
          <w:spacing w:val="-6"/>
          <w:sz w:val="22"/>
          <w:szCs w:val="22"/>
          <w:lang w:val="en-US" w:eastAsia="en-US"/>
        </w:rPr>
        <w:t>KEYWORDS: antioxidants, pectin, processing of grapes, green tea.</w:t>
      </w:r>
    </w:p>
    <w:p w:rsidR="00281602" w:rsidRPr="0017022A" w:rsidRDefault="00281602" w:rsidP="0017022A">
      <w:pPr>
        <w:ind w:firstLine="426"/>
        <w:jc w:val="both"/>
        <w:rPr>
          <w:rFonts w:eastAsia="Calibri"/>
          <w:spacing w:val="-6"/>
          <w:sz w:val="22"/>
          <w:szCs w:val="22"/>
          <w:lang w:val="en-US" w:eastAsia="en-US"/>
        </w:rPr>
      </w:pP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Напитки являются наиболее удобной формой для создания новых полезных видов функциональных продуктов питания. Это обусловлено тем, что в жидкой гомогенной среде происходит равномерное распред</w:t>
      </w:r>
      <w:r w:rsidRPr="0017022A">
        <w:rPr>
          <w:rFonts w:eastAsia="Calibri"/>
          <w:spacing w:val="-6"/>
          <w:sz w:val="22"/>
          <w:szCs w:val="22"/>
          <w:lang w:eastAsia="en-US"/>
        </w:rPr>
        <w:t>е</w:t>
      </w:r>
      <w:r w:rsidRPr="0017022A">
        <w:rPr>
          <w:rFonts w:eastAsia="Calibri"/>
          <w:spacing w:val="-6"/>
          <w:sz w:val="22"/>
          <w:szCs w:val="22"/>
          <w:lang w:eastAsia="en-US"/>
        </w:rPr>
        <w:t>ление компонентов по всему объёму напитка [1].</w:t>
      </w: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Нами были проведены исследования по разработке технологии и рецептуры напитков профилактического действия на основе виногра</w:t>
      </w:r>
      <w:r w:rsidRPr="0017022A">
        <w:rPr>
          <w:rFonts w:eastAsia="Calibri"/>
          <w:spacing w:val="-6"/>
          <w:sz w:val="22"/>
          <w:szCs w:val="22"/>
          <w:lang w:eastAsia="en-US"/>
        </w:rPr>
        <w:t>д</w:t>
      </w:r>
      <w:r w:rsidRPr="0017022A">
        <w:rPr>
          <w:rFonts w:eastAsia="Calibri"/>
          <w:spacing w:val="-6"/>
          <w:sz w:val="22"/>
          <w:szCs w:val="22"/>
          <w:lang w:eastAsia="en-US"/>
        </w:rPr>
        <w:t>ного сока и чаев. Виноградный сок содержит антиоксиданты, предста</w:t>
      </w:r>
      <w:r w:rsidRPr="0017022A">
        <w:rPr>
          <w:rFonts w:eastAsia="Calibri"/>
          <w:spacing w:val="-6"/>
          <w:sz w:val="22"/>
          <w:szCs w:val="22"/>
          <w:lang w:eastAsia="en-US"/>
        </w:rPr>
        <w:t>в</w:t>
      </w:r>
      <w:r w:rsidRPr="0017022A">
        <w:rPr>
          <w:rFonts w:eastAsia="Calibri"/>
          <w:spacing w:val="-6"/>
          <w:sz w:val="22"/>
          <w:szCs w:val="22"/>
          <w:lang w:eastAsia="en-US"/>
        </w:rPr>
        <w:t xml:space="preserve">леные в форме антоцианов или гликозидов. Это вещества неферментной </w:t>
      </w:r>
      <w:r w:rsidRPr="0017022A">
        <w:rPr>
          <w:rFonts w:eastAsia="Calibri"/>
          <w:spacing w:val="-6"/>
          <w:sz w:val="22"/>
          <w:szCs w:val="22"/>
          <w:lang w:eastAsia="en-US"/>
        </w:rPr>
        <w:lastRenderedPageBreak/>
        <w:t>природы, ингибирующие процессы окисления в организме человека, препятствующие старению клеток и нейтрализующие свободные рад</w:t>
      </w:r>
      <w:r w:rsidRPr="0017022A">
        <w:rPr>
          <w:rFonts w:eastAsia="Calibri"/>
          <w:spacing w:val="-6"/>
          <w:sz w:val="22"/>
          <w:szCs w:val="22"/>
          <w:lang w:eastAsia="en-US"/>
        </w:rPr>
        <w:t>и</w:t>
      </w:r>
      <w:r w:rsidRPr="0017022A">
        <w:rPr>
          <w:rFonts w:eastAsia="Calibri"/>
          <w:spacing w:val="-6"/>
          <w:sz w:val="22"/>
          <w:szCs w:val="22"/>
          <w:lang w:eastAsia="en-US"/>
        </w:rPr>
        <w:t xml:space="preserve">калы. </w:t>
      </w: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Хорошим источником антиоксидантов также является зеленый чай. Установлено, что антиоксидантная активность зеленых чаев значител</w:t>
      </w:r>
      <w:r w:rsidRPr="0017022A">
        <w:rPr>
          <w:rFonts w:eastAsia="Calibri"/>
          <w:spacing w:val="-6"/>
          <w:sz w:val="22"/>
          <w:szCs w:val="22"/>
          <w:lang w:eastAsia="en-US"/>
        </w:rPr>
        <w:t>ь</w:t>
      </w:r>
      <w:r w:rsidRPr="0017022A">
        <w:rPr>
          <w:rFonts w:eastAsia="Calibri"/>
          <w:spacing w:val="-6"/>
          <w:sz w:val="22"/>
          <w:szCs w:val="22"/>
          <w:lang w:eastAsia="en-US"/>
        </w:rPr>
        <w:t>но выше по сравнению с черным чаем. Значение данного показателя у черных чаев составляет от 0,737 до 2,279 ммоль/л·экв, а минимальное значение у зеленых чаев равно 3,782 ммоль/л·экв. Танины чая укрепл</w:t>
      </w:r>
      <w:r w:rsidRPr="0017022A">
        <w:rPr>
          <w:rFonts w:eastAsia="Calibri"/>
          <w:spacing w:val="-6"/>
          <w:sz w:val="22"/>
          <w:szCs w:val="22"/>
          <w:lang w:eastAsia="en-US"/>
        </w:rPr>
        <w:t>я</w:t>
      </w:r>
      <w:r w:rsidRPr="0017022A">
        <w:rPr>
          <w:rFonts w:eastAsia="Calibri"/>
          <w:spacing w:val="-6"/>
          <w:sz w:val="22"/>
          <w:szCs w:val="22"/>
          <w:lang w:eastAsia="en-US"/>
        </w:rPr>
        <w:t>ют стенки кровеносных сосудов и уменьшают проницаемость капилл</w:t>
      </w:r>
      <w:r w:rsidRPr="0017022A">
        <w:rPr>
          <w:rFonts w:eastAsia="Calibri"/>
          <w:spacing w:val="-6"/>
          <w:sz w:val="22"/>
          <w:szCs w:val="22"/>
          <w:lang w:eastAsia="en-US"/>
        </w:rPr>
        <w:t>я</w:t>
      </w:r>
      <w:r w:rsidRPr="0017022A">
        <w:rPr>
          <w:rFonts w:eastAsia="Calibri"/>
          <w:spacing w:val="-6"/>
          <w:sz w:val="22"/>
          <w:szCs w:val="22"/>
          <w:lang w:eastAsia="en-US"/>
        </w:rPr>
        <w:t>ров в организме человека.</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Антиоксиданты разных групп могут взаимодействовать друг с другом, приобретая при этом новые функциональные свойства. В частности, антоцианы виноградного сока и танины зеленого чая о</w:t>
      </w:r>
      <w:r w:rsidRPr="0017022A">
        <w:rPr>
          <w:rFonts w:eastAsia="Calibri"/>
          <w:sz w:val="22"/>
          <w:szCs w:val="22"/>
          <w:lang w:eastAsia="en-US"/>
        </w:rPr>
        <w:t>б</w:t>
      </w:r>
      <w:r w:rsidRPr="0017022A">
        <w:rPr>
          <w:rFonts w:eastAsia="Calibri"/>
          <w:sz w:val="22"/>
          <w:szCs w:val="22"/>
          <w:lang w:eastAsia="en-US"/>
        </w:rPr>
        <w:t>разуют яркоокрашенные соединения, таким образом танины выст</w:t>
      </w:r>
      <w:r w:rsidRPr="0017022A">
        <w:rPr>
          <w:rFonts w:eastAsia="Calibri"/>
          <w:sz w:val="22"/>
          <w:szCs w:val="22"/>
          <w:lang w:eastAsia="en-US"/>
        </w:rPr>
        <w:t>у</w:t>
      </w:r>
      <w:r w:rsidRPr="0017022A">
        <w:rPr>
          <w:rFonts w:eastAsia="Calibri"/>
          <w:sz w:val="22"/>
          <w:szCs w:val="22"/>
          <w:lang w:eastAsia="en-US"/>
        </w:rPr>
        <w:t>пают копигментами антоцианов [2].</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В виноградном соке помимо антиоксидантов содержатся пе</w:t>
      </w:r>
      <w:r w:rsidRPr="0017022A">
        <w:rPr>
          <w:rFonts w:eastAsia="Calibri"/>
          <w:sz w:val="22"/>
          <w:szCs w:val="22"/>
          <w:lang w:eastAsia="en-US"/>
        </w:rPr>
        <w:t>к</w:t>
      </w:r>
      <w:r w:rsidRPr="0017022A">
        <w:rPr>
          <w:rFonts w:eastAsia="Calibri"/>
          <w:sz w:val="22"/>
          <w:szCs w:val="22"/>
          <w:lang w:eastAsia="en-US"/>
        </w:rPr>
        <w:t>тиновые вещества. Они обладают радиопротекторными свойствами, выступают в роли сорбента и выводят тяжелые металлы и ради</w:t>
      </w:r>
      <w:r w:rsidRPr="0017022A">
        <w:rPr>
          <w:rFonts w:eastAsia="Calibri"/>
          <w:sz w:val="22"/>
          <w:szCs w:val="22"/>
          <w:lang w:eastAsia="en-US"/>
        </w:rPr>
        <w:t>о</w:t>
      </w:r>
      <w:r w:rsidRPr="0017022A">
        <w:rPr>
          <w:rFonts w:eastAsia="Calibri"/>
          <w:sz w:val="22"/>
          <w:szCs w:val="22"/>
          <w:lang w:eastAsia="en-US"/>
        </w:rPr>
        <w:t>нуклиды из организма человека [1, 3].</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Для разработки технологии фито-напитка с повышенной ант</w:t>
      </w:r>
      <w:r w:rsidRPr="0017022A">
        <w:rPr>
          <w:rFonts w:eastAsia="Calibri"/>
          <w:sz w:val="22"/>
          <w:szCs w:val="22"/>
          <w:lang w:eastAsia="en-US"/>
        </w:rPr>
        <w:t>и</w:t>
      </w:r>
      <w:r w:rsidRPr="0017022A">
        <w:rPr>
          <w:rFonts w:eastAsia="Calibri"/>
          <w:sz w:val="22"/>
          <w:szCs w:val="22"/>
          <w:lang w:eastAsia="en-US"/>
        </w:rPr>
        <w:t>оксидантной активностью и радиопротекторными свойствами нами были исследованы технические красные сорта винограда: «Каберне-Совиньон» и «Сира 174 клон»; чаи крупнолистовые байховые: з</w:t>
      </w:r>
      <w:r w:rsidRPr="0017022A">
        <w:rPr>
          <w:rFonts w:eastAsia="Calibri"/>
          <w:sz w:val="22"/>
          <w:szCs w:val="22"/>
          <w:lang w:eastAsia="en-US"/>
        </w:rPr>
        <w:t>е</w:t>
      </w:r>
      <w:r w:rsidRPr="0017022A">
        <w:rPr>
          <w:rFonts w:eastAsia="Calibri"/>
          <w:sz w:val="22"/>
          <w:szCs w:val="22"/>
          <w:lang w:eastAsia="en-US"/>
        </w:rPr>
        <w:t>леный и черный.</w:t>
      </w:r>
    </w:p>
    <w:p w:rsidR="00281602" w:rsidRPr="0017022A" w:rsidRDefault="00281602" w:rsidP="0017022A">
      <w:pPr>
        <w:ind w:firstLine="426"/>
        <w:jc w:val="both"/>
        <w:rPr>
          <w:rFonts w:eastAsia="Calibri"/>
          <w:spacing w:val="-6"/>
          <w:sz w:val="22"/>
          <w:szCs w:val="22"/>
          <w:lang w:eastAsia="en-US"/>
        </w:rPr>
      </w:pPr>
      <w:r w:rsidRPr="0017022A">
        <w:rPr>
          <w:rFonts w:eastAsia="Calibri"/>
          <w:sz w:val="22"/>
          <w:szCs w:val="22"/>
          <w:lang w:eastAsia="en-US"/>
        </w:rPr>
        <w:t>Установлено, что содержание антиоксидантов в винограде со</w:t>
      </w:r>
      <w:r w:rsidRPr="0017022A">
        <w:rPr>
          <w:rFonts w:eastAsia="Calibri"/>
          <w:sz w:val="22"/>
          <w:szCs w:val="22"/>
          <w:lang w:eastAsia="en-US"/>
        </w:rPr>
        <w:t>р</w:t>
      </w:r>
      <w:r w:rsidRPr="0017022A">
        <w:rPr>
          <w:rFonts w:eastAsia="Calibri"/>
          <w:sz w:val="22"/>
          <w:szCs w:val="22"/>
          <w:lang w:eastAsia="en-US"/>
        </w:rPr>
        <w:t>та «Каберне-Совиньон» достигает</w:t>
      </w:r>
      <w:r w:rsidRPr="0017022A">
        <w:rPr>
          <w:rFonts w:eastAsia="Calibri"/>
          <w:spacing w:val="-6"/>
          <w:sz w:val="22"/>
          <w:szCs w:val="22"/>
          <w:lang w:eastAsia="en-US"/>
        </w:rPr>
        <w:t xml:space="preserve"> 1785,6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 а у сорта «Сира» 1857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 Содержание сахаров в исследуемых сортах находится на уровне 23%. По витаминной ценности «Каберне-Совиньон» достигает 39,24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 а «Сира» – 57,50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 Оба сорта винограда содержат значительное количество пектиновых веществ, необходимое для обог</w:t>
      </w:r>
      <w:r w:rsidRPr="0017022A">
        <w:rPr>
          <w:rFonts w:eastAsia="Calibri"/>
          <w:spacing w:val="-6"/>
          <w:sz w:val="22"/>
          <w:szCs w:val="22"/>
          <w:lang w:eastAsia="en-US"/>
        </w:rPr>
        <w:t>а</w:t>
      </w:r>
      <w:r w:rsidRPr="0017022A">
        <w:rPr>
          <w:rFonts w:eastAsia="Calibri"/>
          <w:spacing w:val="-6"/>
          <w:sz w:val="22"/>
          <w:szCs w:val="22"/>
          <w:lang w:eastAsia="en-US"/>
        </w:rPr>
        <w:t xml:space="preserve">щения напитка, обладающего радиопротекторными свойствами. </w:t>
      </w:r>
    </w:p>
    <w:p w:rsidR="00281602" w:rsidRPr="0017022A" w:rsidRDefault="00281602" w:rsidP="0017022A">
      <w:pPr>
        <w:ind w:firstLine="426"/>
        <w:jc w:val="both"/>
        <w:rPr>
          <w:rFonts w:eastAsia="Calibri"/>
          <w:spacing w:val="-6"/>
          <w:sz w:val="22"/>
          <w:szCs w:val="22"/>
          <w:lang w:eastAsia="en-US"/>
        </w:rPr>
      </w:pPr>
      <w:r w:rsidRPr="0017022A">
        <w:rPr>
          <w:rFonts w:eastAsia="Calibri"/>
          <w:spacing w:val="-6"/>
          <w:sz w:val="22"/>
          <w:szCs w:val="22"/>
          <w:lang w:eastAsia="en-US"/>
        </w:rPr>
        <w:t>Содержание антиоксидантов в крупнолистовом байховом зеленом чае составляет 18,59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 а в черном – 16,76 мг/дм</w:t>
      </w:r>
      <w:r w:rsidRPr="0017022A">
        <w:rPr>
          <w:rFonts w:eastAsia="Calibri"/>
          <w:spacing w:val="-6"/>
          <w:sz w:val="22"/>
          <w:szCs w:val="22"/>
          <w:vertAlign w:val="superscript"/>
          <w:lang w:eastAsia="en-US"/>
        </w:rPr>
        <w:t>3</w:t>
      </w:r>
      <w:r w:rsidRPr="0017022A">
        <w:rPr>
          <w:rFonts w:eastAsia="Calibri"/>
          <w:spacing w:val="-6"/>
          <w:sz w:val="22"/>
          <w:szCs w:val="22"/>
          <w:lang w:eastAsia="en-US"/>
        </w:rPr>
        <w:t>.</w:t>
      </w:r>
    </w:p>
    <w:p w:rsidR="0098373C" w:rsidRDefault="00281602" w:rsidP="001360B4">
      <w:pPr>
        <w:ind w:firstLine="426"/>
        <w:jc w:val="both"/>
        <w:rPr>
          <w:rFonts w:eastAsia="Calibri"/>
          <w:spacing w:val="-6"/>
          <w:sz w:val="22"/>
          <w:szCs w:val="22"/>
          <w:lang w:eastAsia="en-US"/>
        </w:rPr>
      </w:pPr>
      <w:r w:rsidRPr="0017022A">
        <w:rPr>
          <w:rFonts w:eastAsia="Calibri"/>
          <w:spacing w:val="-6"/>
          <w:sz w:val="22"/>
          <w:szCs w:val="22"/>
          <w:lang w:eastAsia="en-US"/>
        </w:rPr>
        <w:t>Проведенные исследования по изучению химического состава с</w:t>
      </w:r>
      <w:r w:rsidRPr="0017022A">
        <w:rPr>
          <w:rFonts w:eastAsia="Calibri"/>
          <w:spacing w:val="-6"/>
          <w:sz w:val="22"/>
          <w:szCs w:val="22"/>
          <w:lang w:eastAsia="en-US"/>
        </w:rPr>
        <w:t>ы</w:t>
      </w:r>
      <w:r w:rsidRPr="0017022A">
        <w:rPr>
          <w:rFonts w:eastAsia="Calibri"/>
          <w:spacing w:val="-6"/>
          <w:sz w:val="22"/>
          <w:szCs w:val="22"/>
          <w:lang w:eastAsia="en-US"/>
        </w:rPr>
        <w:t>рьевых ресурсов показали, что красные сорта винограда и зеленый крупнолистовой байховый чай являются перспективным сырьем для производства фито-напитков с повышенной антиоксидантной активн</w:t>
      </w:r>
      <w:r w:rsidRPr="0017022A">
        <w:rPr>
          <w:rFonts w:eastAsia="Calibri"/>
          <w:spacing w:val="-6"/>
          <w:sz w:val="22"/>
          <w:szCs w:val="22"/>
          <w:lang w:eastAsia="en-US"/>
        </w:rPr>
        <w:t>о</w:t>
      </w:r>
      <w:r w:rsidRPr="0017022A">
        <w:rPr>
          <w:rFonts w:eastAsia="Calibri"/>
          <w:spacing w:val="-6"/>
          <w:sz w:val="22"/>
          <w:szCs w:val="22"/>
          <w:lang w:eastAsia="en-US"/>
        </w:rPr>
        <w:t>стью.</w:t>
      </w:r>
    </w:p>
    <w:p w:rsidR="00281602" w:rsidRPr="0017022A" w:rsidRDefault="00281602" w:rsidP="0017022A">
      <w:pPr>
        <w:ind w:firstLine="426"/>
        <w:jc w:val="center"/>
        <w:rPr>
          <w:rFonts w:eastAsia="Calibri"/>
          <w:spacing w:val="-6"/>
          <w:sz w:val="22"/>
          <w:szCs w:val="22"/>
          <w:lang w:eastAsia="en-US"/>
        </w:rPr>
      </w:pPr>
      <w:r w:rsidRPr="0017022A">
        <w:rPr>
          <w:rFonts w:eastAsia="Calibri"/>
          <w:spacing w:val="-6"/>
          <w:sz w:val="22"/>
          <w:szCs w:val="22"/>
          <w:lang w:eastAsia="en-US"/>
        </w:rPr>
        <w:lastRenderedPageBreak/>
        <w:t>Список литературы</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1. Влащик, Л. Г. Влияние параметров гидролиза-экстрагирования на выход и качество пектина из виноградных в</w:t>
      </w:r>
      <w:r w:rsidRPr="0017022A">
        <w:rPr>
          <w:rFonts w:eastAsia="Calibri"/>
          <w:sz w:val="22"/>
          <w:szCs w:val="22"/>
          <w:lang w:eastAsia="en-US"/>
        </w:rPr>
        <w:t>ы</w:t>
      </w:r>
      <w:r w:rsidRPr="0017022A">
        <w:rPr>
          <w:rFonts w:eastAsia="Calibri"/>
          <w:sz w:val="22"/>
          <w:szCs w:val="22"/>
          <w:lang w:eastAsia="en-US"/>
        </w:rPr>
        <w:t>жимок / Л. Г Влащик // Известия высших учебных заведений. П</w:t>
      </w:r>
      <w:r w:rsidRPr="0017022A">
        <w:rPr>
          <w:rFonts w:eastAsia="Calibri"/>
          <w:sz w:val="22"/>
          <w:szCs w:val="22"/>
          <w:lang w:eastAsia="en-US"/>
        </w:rPr>
        <w:t>и</w:t>
      </w:r>
      <w:r w:rsidRPr="0017022A">
        <w:rPr>
          <w:rFonts w:eastAsia="Calibri"/>
          <w:sz w:val="22"/>
          <w:szCs w:val="22"/>
          <w:lang w:eastAsia="en-US"/>
        </w:rPr>
        <w:t>щевая технология. 2007. – № 4. –С. 17–19.</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2. Вяткин А.В., Чугунова О.В. Напитки антиоксидантной направленности как метод борьбы с окислительным стрессом/ А.В Вяткин // Известия вузов. Прикладная химия и биотехнология. 2016. №4 (19).</w:t>
      </w:r>
    </w:p>
    <w:p w:rsidR="00281602" w:rsidRPr="0017022A" w:rsidRDefault="00281602" w:rsidP="0017022A">
      <w:pPr>
        <w:ind w:firstLine="426"/>
        <w:jc w:val="both"/>
        <w:rPr>
          <w:rFonts w:eastAsia="Calibri"/>
          <w:sz w:val="22"/>
          <w:szCs w:val="22"/>
          <w:lang w:eastAsia="en-US"/>
        </w:rPr>
      </w:pPr>
      <w:r w:rsidRPr="0017022A">
        <w:rPr>
          <w:rFonts w:eastAsia="Calibri"/>
          <w:sz w:val="22"/>
          <w:szCs w:val="22"/>
          <w:lang w:eastAsia="en-US"/>
        </w:rPr>
        <w:t>3. Ждамарова, А.Г. Виноград сорта Первенец Магарача как объект комплексной переработки /А Г. Ждамарова, Л. Г. Влащик, О. Е. Ждамарова //Садоводство и виноградарство. –2003. – № 2. – С.20-21.</w:t>
      </w:r>
    </w:p>
    <w:p w:rsidR="00281602" w:rsidRPr="00281602" w:rsidRDefault="00281602" w:rsidP="00281602">
      <w:pPr>
        <w:jc w:val="both"/>
        <w:rPr>
          <w:rFonts w:eastAsia="Calibri"/>
          <w:sz w:val="22"/>
          <w:szCs w:val="22"/>
          <w:lang w:eastAsia="en-US"/>
        </w:rPr>
      </w:pPr>
    </w:p>
    <w:p w:rsidR="00281602" w:rsidRPr="00281602" w:rsidRDefault="00281602" w:rsidP="00281602">
      <w:pPr>
        <w:jc w:val="both"/>
        <w:rPr>
          <w:rFonts w:eastAsia="Calibri"/>
          <w:spacing w:val="-10"/>
          <w:sz w:val="22"/>
          <w:szCs w:val="22"/>
          <w:lang w:eastAsia="en-US"/>
        </w:rPr>
      </w:pPr>
    </w:p>
    <w:p w:rsidR="00281602" w:rsidRPr="00281602" w:rsidRDefault="00281602" w:rsidP="00281602">
      <w:pPr>
        <w:spacing w:after="160"/>
        <w:rPr>
          <w:rFonts w:eastAsia="Calibri"/>
          <w:sz w:val="22"/>
          <w:szCs w:val="22"/>
          <w:lang w:eastAsia="en-US"/>
        </w:rPr>
      </w:pPr>
      <w:r w:rsidRPr="00281602">
        <w:rPr>
          <w:rFonts w:eastAsia="Calibri"/>
          <w:sz w:val="22"/>
          <w:szCs w:val="22"/>
          <w:lang w:eastAsia="en-US"/>
        </w:rPr>
        <w:t>УДК 663.236:663.82</w:t>
      </w:r>
    </w:p>
    <w:p w:rsidR="00281602" w:rsidRPr="00281602" w:rsidRDefault="00281602" w:rsidP="00281602">
      <w:pPr>
        <w:jc w:val="center"/>
        <w:rPr>
          <w:rFonts w:eastAsia="Calibri"/>
          <w:b/>
          <w:sz w:val="24"/>
          <w:szCs w:val="24"/>
        </w:rPr>
      </w:pPr>
      <w:r w:rsidRPr="00281602">
        <w:rPr>
          <w:rFonts w:eastAsia="Calibri"/>
          <w:b/>
          <w:sz w:val="24"/>
          <w:szCs w:val="24"/>
        </w:rPr>
        <w:t>Композиции для чайных напитков</w:t>
      </w:r>
    </w:p>
    <w:p w:rsidR="00281602" w:rsidRPr="00281602" w:rsidRDefault="00281602" w:rsidP="00281602">
      <w:pPr>
        <w:jc w:val="center"/>
        <w:rPr>
          <w:rFonts w:eastAsia="Calibri"/>
          <w:b/>
          <w:sz w:val="24"/>
          <w:szCs w:val="24"/>
        </w:rPr>
      </w:pPr>
      <w:r w:rsidRPr="00281602">
        <w:rPr>
          <w:rFonts w:eastAsia="Calibri"/>
          <w:b/>
          <w:sz w:val="24"/>
          <w:szCs w:val="24"/>
        </w:rPr>
        <w:t>функционального назначения</w:t>
      </w:r>
    </w:p>
    <w:p w:rsidR="00281602" w:rsidRPr="00281602" w:rsidRDefault="00281602" w:rsidP="00281602">
      <w:pPr>
        <w:jc w:val="center"/>
        <w:rPr>
          <w:rFonts w:eastAsia="Calibri"/>
          <w:b/>
          <w:sz w:val="24"/>
          <w:szCs w:val="24"/>
          <w:lang w:val="en-US"/>
        </w:rPr>
      </w:pPr>
      <w:r w:rsidRPr="00281602">
        <w:rPr>
          <w:rFonts w:eastAsia="Calibri"/>
          <w:b/>
          <w:sz w:val="24"/>
          <w:szCs w:val="24"/>
          <w:lang w:val="en-US"/>
        </w:rPr>
        <w:t>Compositions for tea drinks functional purpose</w:t>
      </w:r>
    </w:p>
    <w:p w:rsidR="00281602" w:rsidRPr="00281602" w:rsidRDefault="00281602" w:rsidP="00281602">
      <w:pPr>
        <w:jc w:val="center"/>
        <w:rPr>
          <w:rFonts w:eastAsia="Calibri"/>
          <w:b/>
          <w:bCs/>
          <w:i/>
          <w:sz w:val="22"/>
          <w:szCs w:val="22"/>
          <w:lang w:val="en-US" w:eastAsia="en-US"/>
        </w:rPr>
      </w:pPr>
    </w:p>
    <w:p w:rsidR="00281602" w:rsidRPr="00281602" w:rsidRDefault="00281602" w:rsidP="00281602">
      <w:pPr>
        <w:keepNext/>
        <w:keepLines/>
        <w:jc w:val="right"/>
        <w:outlineLvl w:val="2"/>
        <w:rPr>
          <w:sz w:val="22"/>
          <w:szCs w:val="22"/>
          <w:lang w:eastAsia="en-US"/>
        </w:rPr>
      </w:pPr>
      <w:r w:rsidRPr="00281602">
        <w:rPr>
          <w:sz w:val="22"/>
          <w:szCs w:val="22"/>
          <w:lang w:eastAsia="en-US"/>
        </w:rPr>
        <w:t>Михайлютина Д.</w:t>
      </w:r>
      <w:r w:rsidR="0017022A">
        <w:rPr>
          <w:sz w:val="22"/>
          <w:szCs w:val="22"/>
          <w:lang w:eastAsia="en-US"/>
        </w:rPr>
        <w:t xml:space="preserve"> </w:t>
      </w:r>
      <w:r w:rsidRPr="00281602">
        <w:rPr>
          <w:sz w:val="22"/>
          <w:szCs w:val="22"/>
          <w:lang w:eastAsia="en-US"/>
        </w:rPr>
        <w:t>С.,</w:t>
      </w:r>
    </w:p>
    <w:p w:rsidR="00281602" w:rsidRPr="00281602" w:rsidRDefault="00281602" w:rsidP="00281602">
      <w:pPr>
        <w:shd w:val="clear" w:color="auto" w:fill="FFFFFF"/>
        <w:jc w:val="right"/>
        <w:rPr>
          <w:rFonts w:eastAsia="Calibri"/>
          <w:sz w:val="22"/>
          <w:szCs w:val="22"/>
          <w:lang w:eastAsia="en-US"/>
        </w:rPr>
      </w:pPr>
      <w:r w:rsidRPr="00281602">
        <w:rPr>
          <w:rFonts w:eastAsia="Calibri"/>
          <w:sz w:val="22"/>
          <w:szCs w:val="22"/>
          <w:lang w:eastAsia="en-US"/>
        </w:rPr>
        <w:t>студентка 3-го курса факультета</w:t>
      </w:r>
    </w:p>
    <w:p w:rsidR="00281602" w:rsidRPr="00281602" w:rsidRDefault="00281602" w:rsidP="00281602">
      <w:pPr>
        <w:keepNext/>
        <w:keepLines/>
        <w:jc w:val="right"/>
        <w:outlineLvl w:val="2"/>
        <w:rPr>
          <w:sz w:val="22"/>
          <w:szCs w:val="22"/>
          <w:lang w:eastAsia="en-US"/>
        </w:rPr>
      </w:pPr>
      <w:r w:rsidRPr="00281602">
        <w:rPr>
          <w:sz w:val="22"/>
          <w:szCs w:val="22"/>
          <w:lang w:eastAsia="en-US"/>
        </w:rPr>
        <w:t>перерабатывающих технологий</w:t>
      </w:r>
    </w:p>
    <w:p w:rsidR="00281602" w:rsidRPr="00281602" w:rsidRDefault="00281602" w:rsidP="00281602">
      <w:pPr>
        <w:keepNext/>
        <w:keepLines/>
        <w:jc w:val="right"/>
        <w:outlineLvl w:val="2"/>
        <w:rPr>
          <w:sz w:val="22"/>
          <w:szCs w:val="22"/>
          <w:lang w:eastAsia="en-US"/>
        </w:rPr>
      </w:pPr>
      <w:r w:rsidRPr="00281602">
        <w:rPr>
          <w:sz w:val="22"/>
          <w:szCs w:val="22"/>
          <w:lang w:eastAsia="en-US"/>
        </w:rPr>
        <w:t>Ольховатов Е.</w:t>
      </w:r>
      <w:r w:rsidR="0017022A">
        <w:rPr>
          <w:sz w:val="22"/>
          <w:szCs w:val="22"/>
          <w:lang w:eastAsia="en-US"/>
        </w:rPr>
        <w:t xml:space="preserve"> А.,</w:t>
      </w:r>
    </w:p>
    <w:p w:rsidR="00281602" w:rsidRPr="00281602" w:rsidRDefault="00281602" w:rsidP="00281602">
      <w:pPr>
        <w:keepNext/>
        <w:keepLines/>
        <w:jc w:val="right"/>
        <w:outlineLvl w:val="2"/>
        <w:rPr>
          <w:sz w:val="22"/>
          <w:szCs w:val="22"/>
          <w:lang w:eastAsia="en-US"/>
        </w:rPr>
      </w:pPr>
      <w:r w:rsidRPr="00281602">
        <w:rPr>
          <w:sz w:val="22"/>
          <w:szCs w:val="22"/>
          <w:lang w:eastAsia="en-US"/>
        </w:rPr>
        <w:t>доц</w:t>
      </w:r>
      <w:r w:rsidR="0017022A">
        <w:rPr>
          <w:sz w:val="22"/>
          <w:szCs w:val="22"/>
          <w:lang w:eastAsia="en-US"/>
        </w:rPr>
        <w:t>ент кафедры технологии хранения</w:t>
      </w:r>
    </w:p>
    <w:p w:rsidR="00281602" w:rsidRPr="00281602" w:rsidRDefault="00281602" w:rsidP="00281602">
      <w:pPr>
        <w:keepNext/>
        <w:keepLines/>
        <w:jc w:val="right"/>
        <w:outlineLvl w:val="2"/>
        <w:rPr>
          <w:sz w:val="22"/>
          <w:szCs w:val="22"/>
          <w:lang w:eastAsia="en-US"/>
        </w:rPr>
      </w:pPr>
      <w:r w:rsidRPr="00281602">
        <w:rPr>
          <w:sz w:val="22"/>
          <w:szCs w:val="22"/>
          <w:lang w:eastAsia="en-US"/>
        </w:rPr>
        <w:t>и переработки растениеводческой продукции</w:t>
      </w:r>
    </w:p>
    <w:p w:rsidR="00281602" w:rsidRPr="00281602" w:rsidRDefault="00281602" w:rsidP="00281602">
      <w:pPr>
        <w:keepNext/>
        <w:keepLines/>
        <w:jc w:val="right"/>
        <w:outlineLvl w:val="2"/>
        <w:rPr>
          <w:sz w:val="22"/>
          <w:szCs w:val="22"/>
          <w:lang w:eastAsia="en-US"/>
        </w:rPr>
      </w:pPr>
      <w:r w:rsidRPr="00281602">
        <w:rPr>
          <w:sz w:val="22"/>
          <w:szCs w:val="22"/>
          <w:lang w:eastAsia="en-US"/>
        </w:rPr>
        <w:t>Кубанский государственный аграрный</w:t>
      </w:r>
    </w:p>
    <w:p w:rsidR="00281602" w:rsidRPr="00281602" w:rsidRDefault="00281602" w:rsidP="00281602">
      <w:pPr>
        <w:keepNext/>
        <w:keepLines/>
        <w:jc w:val="right"/>
        <w:outlineLvl w:val="2"/>
        <w:rPr>
          <w:sz w:val="22"/>
          <w:szCs w:val="22"/>
          <w:lang w:eastAsia="en-US"/>
        </w:rPr>
      </w:pPr>
      <w:r w:rsidRPr="00281602">
        <w:rPr>
          <w:sz w:val="22"/>
          <w:szCs w:val="22"/>
          <w:lang w:eastAsia="en-US"/>
        </w:rPr>
        <w:t>университет имени И.</w:t>
      </w:r>
      <w:r w:rsidR="0017022A">
        <w:rPr>
          <w:sz w:val="22"/>
          <w:szCs w:val="22"/>
          <w:lang w:eastAsia="en-US"/>
        </w:rPr>
        <w:t xml:space="preserve"> </w:t>
      </w:r>
      <w:r w:rsidRPr="00281602">
        <w:rPr>
          <w:sz w:val="22"/>
          <w:szCs w:val="22"/>
          <w:lang w:eastAsia="en-US"/>
        </w:rPr>
        <w:t>Т. Трубилина</w:t>
      </w:r>
    </w:p>
    <w:p w:rsidR="00281602" w:rsidRPr="00281602" w:rsidRDefault="00281602" w:rsidP="00281602">
      <w:pPr>
        <w:jc w:val="center"/>
        <w:rPr>
          <w:rFonts w:eastAsia="Calibri"/>
          <w:b/>
          <w:bCs/>
          <w:i/>
          <w:sz w:val="22"/>
          <w:szCs w:val="22"/>
          <w:lang w:eastAsia="en-US"/>
        </w:rPr>
      </w:pPr>
    </w:p>
    <w:p w:rsidR="00281602" w:rsidRPr="00281602" w:rsidRDefault="00281602" w:rsidP="0017022A">
      <w:pPr>
        <w:ind w:firstLine="426"/>
        <w:jc w:val="both"/>
        <w:rPr>
          <w:rFonts w:eastAsia="Calibri"/>
          <w:bCs/>
          <w:sz w:val="22"/>
          <w:szCs w:val="22"/>
          <w:lang w:eastAsia="en-US"/>
        </w:rPr>
      </w:pPr>
      <w:r w:rsidRPr="00281602">
        <w:rPr>
          <w:rFonts w:eastAsia="Calibri"/>
          <w:spacing w:val="-4"/>
          <w:sz w:val="22"/>
          <w:szCs w:val="22"/>
          <w:lang w:eastAsia="en-US"/>
        </w:rPr>
        <w:t xml:space="preserve">АННОТАЦИЯ: </w:t>
      </w:r>
      <w:r w:rsidRPr="00281602">
        <w:rPr>
          <w:rFonts w:eastAsia="Calibri"/>
          <w:bCs/>
          <w:sz w:val="22"/>
          <w:szCs w:val="22"/>
          <w:lang w:eastAsia="en-US"/>
        </w:rPr>
        <w:t>Расширение ассортимента чайных напитков раскрывает возможности управления процессом поступления би</w:t>
      </w:r>
      <w:r w:rsidRPr="00281602">
        <w:rPr>
          <w:rFonts w:eastAsia="Calibri"/>
          <w:bCs/>
          <w:sz w:val="22"/>
          <w:szCs w:val="22"/>
          <w:lang w:eastAsia="en-US"/>
        </w:rPr>
        <w:t>о</w:t>
      </w:r>
      <w:r w:rsidRPr="00281602">
        <w:rPr>
          <w:rFonts w:eastAsia="Calibri"/>
          <w:bCs/>
          <w:sz w:val="22"/>
          <w:szCs w:val="22"/>
          <w:lang w:eastAsia="en-US"/>
        </w:rPr>
        <w:t xml:space="preserve">логически активных веществ в организм человека. При обеспечении потребителей различных возрастных групп чайными напитками с заданными составом и свойствами, им предоставляется доступное средство профилактики и оздоровления. </w:t>
      </w:r>
    </w:p>
    <w:p w:rsidR="00281602" w:rsidRPr="001755C3" w:rsidRDefault="00281602" w:rsidP="0017022A">
      <w:pPr>
        <w:ind w:firstLine="426"/>
        <w:jc w:val="both"/>
        <w:rPr>
          <w:rFonts w:eastAsia="Calibri"/>
          <w:spacing w:val="2"/>
          <w:sz w:val="22"/>
          <w:szCs w:val="22"/>
          <w:lang w:val="en-US" w:eastAsia="en-US"/>
        </w:rPr>
      </w:pPr>
      <w:r w:rsidRPr="00281602">
        <w:rPr>
          <w:rFonts w:eastAsia="Calibri"/>
          <w:sz w:val="22"/>
          <w:szCs w:val="22"/>
          <w:lang w:val="en-US" w:eastAsia="en-US"/>
        </w:rPr>
        <w:t xml:space="preserve">ABSTRAKT: </w:t>
      </w:r>
      <w:r w:rsidRPr="00281602">
        <w:rPr>
          <w:rFonts w:eastAsia="Calibri"/>
          <w:spacing w:val="2"/>
          <w:sz w:val="22"/>
          <w:szCs w:val="22"/>
          <w:lang w:val="en-US" w:eastAsia="en-US"/>
        </w:rPr>
        <w:t>Expansion of the assortment of tea beverages r</w:t>
      </w:r>
      <w:r w:rsidRPr="00281602">
        <w:rPr>
          <w:rFonts w:eastAsia="Calibri"/>
          <w:spacing w:val="2"/>
          <w:sz w:val="22"/>
          <w:szCs w:val="22"/>
          <w:lang w:val="en-US" w:eastAsia="en-US"/>
        </w:rPr>
        <w:t>e</w:t>
      </w:r>
      <w:r w:rsidRPr="00281602">
        <w:rPr>
          <w:rFonts w:eastAsia="Calibri"/>
          <w:spacing w:val="2"/>
          <w:sz w:val="22"/>
          <w:szCs w:val="22"/>
          <w:lang w:val="en-US" w:eastAsia="en-US"/>
        </w:rPr>
        <w:t>veals the possibilities of controlling the process of intake of biologica</w:t>
      </w:r>
      <w:r w:rsidRPr="00281602">
        <w:rPr>
          <w:rFonts w:eastAsia="Calibri"/>
          <w:spacing w:val="2"/>
          <w:sz w:val="22"/>
          <w:szCs w:val="22"/>
          <w:lang w:val="en-US" w:eastAsia="en-US"/>
        </w:rPr>
        <w:t>l</w:t>
      </w:r>
      <w:r w:rsidRPr="00281602">
        <w:rPr>
          <w:rFonts w:eastAsia="Calibri"/>
          <w:spacing w:val="2"/>
          <w:sz w:val="22"/>
          <w:szCs w:val="22"/>
          <w:lang w:val="en-US" w:eastAsia="en-US"/>
        </w:rPr>
        <w:lastRenderedPageBreak/>
        <w:t>ly active substances into the human body. Providing consumers of di</w:t>
      </w:r>
      <w:r w:rsidRPr="00281602">
        <w:rPr>
          <w:rFonts w:eastAsia="Calibri"/>
          <w:spacing w:val="2"/>
          <w:sz w:val="22"/>
          <w:szCs w:val="22"/>
          <w:lang w:val="en-US" w:eastAsia="en-US"/>
        </w:rPr>
        <w:t>f</w:t>
      </w:r>
      <w:r w:rsidRPr="00281602">
        <w:rPr>
          <w:rFonts w:eastAsia="Calibri"/>
          <w:spacing w:val="2"/>
          <w:sz w:val="22"/>
          <w:szCs w:val="22"/>
          <w:lang w:val="en-US" w:eastAsia="en-US"/>
        </w:rPr>
        <w:t>ferent age groups with tea drinks with the specified composition and properties, they are provided with an accessible means of prevention and rehabilitation.</w:t>
      </w:r>
    </w:p>
    <w:p w:rsidR="0017022A" w:rsidRPr="0017022A" w:rsidRDefault="0017022A" w:rsidP="0017022A">
      <w:pPr>
        <w:ind w:firstLine="426"/>
        <w:jc w:val="both"/>
        <w:rPr>
          <w:rFonts w:eastAsia="Calibri"/>
          <w:sz w:val="22"/>
          <w:szCs w:val="22"/>
          <w:lang w:eastAsia="en-US"/>
        </w:rPr>
      </w:pPr>
      <w:r w:rsidRPr="00281602">
        <w:rPr>
          <w:rFonts w:eastAsia="Calibri"/>
          <w:sz w:val="22"/>
          <w:szCs w:val="22"/>
          <w:lang w:eastAsia="en-US"/>
        </w:rPr>
        <w:t>КЛЮЧЕВЫЕ СЛОВА: чайные напитки, растительное сырье, лекарственные растения, фун</w:t>
      </w:r>
      <w:r>
        <w:rPr>
          <w:rFonts w:eastAsia="Calibri"/>
          <w:sz w:val="22"/>
          <w:szCs w:val="22"/>
          <w:lang w:eastAsia="en-US"/>
        </w:rPr>
        <w:t>кциональный продукт, композиции.</w:t>
      </w:r>
    </w:p>
    <w:p w:rsidR="00281602" w:rsidRPr="0017022A" w:rsidRDefault="00281602" w:rsidP="0017022A">
      <w:pPr>
        <w:ind w:firstLine="426"/>
        <w:jc w:val="both"/>
        <w:rPr>
          <w:rFonts w:eastAsia="Calibri"/>
          <w:sz w:val="22"/>
          <w:szCs w:val="22"/>
          <w:lang w:val="en-US" w:eastAsia="en-US"/>
        </w:rPr>
      </w:pPr>
      <w:r w:rsidRPr="00281602">
        <w:rPr>
          <w:rFonts w:eastAsia="Calibri"/>
          <w:sz w:val="22"/>
          <w:szCs w:val="22"/>
          <w:lang w:val="en-US" w:eastAsia="en-US"/>
        </w:rPr>
        <w:t>KEYWORDS: tea drinks, vegetable raw materials, medicinal plants, functional product, compositions</w:t>
      </w:r>
      <w:r w:rsidR="0017022A" w:rsidRPr="0017022A">
        <w:rPr>
          <w:rFonts w:eastAsia="Calibri"/>
          <w:sz w:val="22"/>
          <w:szCs w:val="22"/>
          <w:lang w:val="en-US" w:eastAsia="en-US"/>
        </w:rPr>
        <w:t>.</w:t>
      </w:r>
    </w:p>
    <w:p w:rsidR="00281602" w:rsidRPr="00281602" w:rsidRDefault="00281602" w:rsidP="0017022A">
      <w:pPr>
        <w:ind w:firstLine="426"/>
        <w:jc w:val="both"/>
        <w:rPr>
          <w:rFonts w:eastAsia="Calibri"/>
          <w:sz w:val="22"/>
          <w:szCs w:val="22"/>
          <w:lang w:val="en-US" w:eastAsia="en-US"/>
        </w:rPr>
      </w:pPr>
    </w:p>
    <w:p w:rsidR="00281602" w:rsidRPr="00281602" w:rsidRDefault="00281602" w:rsidP="0017022A">
      <w:pPr>
        <w:shd w:val="clear" w:color="auto" w:fill="FFFFFF"/>
        <w:ind w:firstLine="426"/>
        <w:jc w:val="both"/>
        <w:rPr>
          <w:rFonts w:eastAsia="Calibri"/>
          <w:sz w:val="22"/>
          <w:szCs w:val="22"/>
          <w:lang w:eastAsia="en-US"/>
        </w:rPr>
      </w:pPr>
      <w:r w:rsidRPr="00281602">
        <w:rPr>
          <w:rFonts w:eastAsia="Calibri"/>
          <w:bCs/>
          <w:sz w:val="22"/>
          <w:szCs w:val="22"/>
          <w:lang w:eastAsia="en-US"/>
        </w:rPr>
        <w:t xml:space="preserve">Целью проводимых нами </w:t>
      </w:r>
      <w:r w:rsidRPr="00281602">
        <w:rPr>
          <w:rFonts w:eastAsia="Calibri"/>
          <w:sz w:val="22"/>
          <w:szCs w:val="22"/>
          <w:lang w:eastAsia="en-US"/>
        </w:rPr>
        <w:t>исследований является</w:t>
      </w:r>
      <w:r w:rsidRPr="00281602">
        <w:rPr>
          <w:rFonts w:eastAsia="Calibri"/>
          <w:b/>
          <w:bCs/>
          <w:sz w:val="22"/>
          <w:szCs w:val="22"/>
          <w:lang w:eastAsia="en-US"/>
        </w:rPr>
        <w:t xml:space="preserve"> </w:t>
      </w:r>
      <w:r w:rsidRPr="00281602">
        <w:rPr>
          <w:rFonts w:eastAsia="Calibri"/>
          <w:sz w:val="22"/>
          <w:szCs w:val="22"/>
          <w:lang w:eastAsia="en-US"/>
        </w:rPr>
        <w:t>соверше</w:t>
      </w:r>
      <w:r w:rsidRPr="00281602">
        <w:rPr>
          <w:rFonts w:eastAsia="Calibri"/>
          <w:sz w:val="22"/>
          <w:szCs w:val="22"/>
          <w:lang w:eastAsia="en-US"/>
        </w:rPr>
        <w:t>н</w:t>
      </w:r>
      <w:r w:rsidRPr="00281602">
        <w:rPr>
          <w:rFonts w:eastAsia="Calibri"/>
          <w:sz w:val="22"/>
          <w:szCs w:val="22"/>
          <w:lang w:eastAsia="en-US"/>
        </w:rPr>
        <w:t>ствование технологии чайных напитков функционального назнач</w:t>
      </w:r>
      <w:r w:rsidRPr="00281602">
        <w:rPr>
          <w:rFonts w:eastAsia="Calibri"/>
          <w:sz w:val="22"/>
          <w:szCs w:val="22"/>
          <w:lang w:eastAsia="en-US"/>
        </w:rPr>
        <w:t>е</w:t>
      </w:r>
      <w:r w:rsidRPr="00281602">
        <w:rPr>
          <w:rFonts w:eastAsia="Calibri"/>
          <w:sz w:val="22"/>
          <w:szCs w:val="22"/>
          <w:lang w:eastAsia="en-US"/>
        </w:rPr>
        <w:t xml:space="preserve">ния с разработкой их рецептурных смесей, в связи с чем </w:t>
      </w:r>
      <w:r w:rsidRPr="00281602">
        <w:rPr>
          <w:rFonts w:eastAsia="Calibri"/>
          <w:bCs/>
          <w:sz w:val="22"/>
          <w:szCs w:val="22"/>
          <w:lang w:eastAsia="en-US"/>
        </w:rPr>
        <w:t>нами р</w:t>
      </w:r>
      <w:r w:rsidRPr="00281602">
        <w:rPr>
          <w:rFonts w:eastAsia="Calibri"/>
          <w:bCs/>
          <w:sz w:val="22"/>
          <w:szCs w:val="22"/>
          <w:lang w:eastAsia="en-US"/>
        </w:rPr>
        <w:t>е</w:t>
      </w:r>
      <w:r w:rsidRPr="00281602">
        <w:rPr>
          <w:rFonts w:eastAsia="Calibri"/>
          <w:bCs/>
          <w:sz w:val="22"/>
          <w:szCs w:val="22"/>
          <w:lang w:eastAsia="en-US"/>
        </w:rPr>
        <w:t>шались следующие задачи:</w:t>
      </w:r>
    </w:p>
    <w:p w:rsidR="00281602" w:rsidRPr="00281602" w:rsidRDefault="00281602" w:rsidP="0017022A">
      <w:pPr>
        <w:ind w:firstLine="426"/>
        <w:jc w:val="both"/>
        <w:rPr>
          <w:rFonts w:eastAsia="Calibri"/>
          <w:bCs/>
          <w:sz w:val="22"/>
          <w:szCs w:val="22"/>
        </w:rPr>
      </w:pPr>
      <w:r w:rsidRPr="00281602">
        <w:rPr>
          <w:rFonts w:eastAsia="Calibri"/>
          <w:b/>
          <w:bCs/>
          <w:sz w:val="22"/>
          <w:szCs w:val="22"/>
          <w:lang w:eastAsia="en-US"/>
        </w:rPr>
        <w:t>– </w:t>
      </w:r>
      <w:r w:rsidRPr="00281602">
        <w:rPr>
          <w:rFonts w:eastAsia="Calibri"/>
          <w:bCs/>
          <w:sz w:val="22"/>
          <w:szCs w:val="22"/>
        </w:rPr>
        <w:t>исследование местного растительного сырья, оптимального по составу и свойствам, технологичности и доступности;</w:t>
      </w:r>
    </w:p>
    <w:p w:rsidR="00281602" w:rsidRPr="00281602" w:rsidRDefault="00281602" w:rsidP="0017022A">
      <w:pPr>
        <w:ind w:firstLine="426"/>
        <w:jc w:val="both"/>
        <w:rPr>
          <w:rFonts w:eastAsia="Calibri"/>
          <w:bCs/>
          <w:sz w:val="22"/>
          <w:szCs w:val="22"/>
        </w:rPr>
      </w:pPr>
      <w:r w:rsidRPr="00281602">
        <w:rPr>
          <w:rFonts w:eastAsia="Calibri"/>
          <w:b/>
          <w:bCs/>
          <w:sz w:val="22"/>
          <w:szCs w:val="22"/>
          <w:lang w:eastAsia="en-US"/>
        </w:rPr>
        <w:t>–</w:t>
      </w:r>
      <w:r w:rsidRPr="00281602">
        <w:rPr>
          <w:rFonts w:eastAsia="Calibri"/>
          <w:bCs/>
          <w:sz w:val="22"/>
          <w:szCs w:val="22"/>
        </w:rPr>
        <w:t xml:space="preserve"> подбор оптимальной технологической схемы переработки фитосырья с получением готового продукта </w:t>
      </w:r>
      <w:r w:rsidRPr="00281602">
        <w:rPr>
          <w:rFonts w:eastAsia="Calibri"/>
          <w:bCs/>
          <w:sz w:val="22"/>
          <w:szCs w:val="22"/>
          <w:lang w:eastAsia="en-US"/>
        </w:rPr>
        <w:t>–</w:t>
      </w:r>
      <w:r w:rsidRPr="00281602">
        <w:rPr>
          <w:rFonts w:eastAsia="Calibri"/>
          <w:bCs/>
          <w:sz w:val="22"/>
          <w:szCs w:val="22"/>
        </w:rPr>
        <w:t xml:space="preserve"> чайного напитка;</w:t>
      </w:r>
    </w:p>
    <w:p w:rsidR="00281602" w:rsidRPr="00281602" w:rsidRDefault="00281602" w:rsidP="0017022A">
      <w:pPr>
        <w:ind w:firstLine="426"/>
        <w:jc w:val="both"/>
        <w:rPr>
          <w:rFonts w:eastAsia="Calibri"/>
          <w:bCs/>
          <w:spacing w:val="-4"/>
          <w:sz w:val="22"/>
          <w:szCs w:val="22"/>
        </w:rPr>
      </w:pPr>
      <w:r w:rsidRPr="00281602">
        <w:rPr>
          <w:rFonts w:eastAsia="Calibri"/>
          <w:b/>
          <w:bCs/>
          <w:sz w:val="22"/>
          <w:szCs w:val="22"/>
          <w:lang w:eastAsia="en-US"/>
        </w:rPr>
        <w:t>–</w:t>
      </w:r>
      <w:r w:rsidRPr="00281602">
        <w:rPr>
          <w:rFonts w:eastAsia="Calibri"/>
          <w:bCs/>
          <w:sz w:val="22"/>
          <w:szCs w:val="22"/>
        </w:rPr>
        <w:t> исследование степени экстрактивности получаемых из гот</w:t>
      </w:r>
      <w:r w:rsidRPr="00281602">
        <w:rPr>
          <w:rFonts w:eastAsia="Calibri"/>
          <w:bCs/>
          <w:sz w:val="22"/>
          <w:szCs w:val="22"/>
        </w:rPr>
        <w:t>о</w:t>
      </w:r>
      <w:r w:rsidRPr="00281602">
        <w:rPr>
          <w:rFonts w:eastAsia="Calibri"/>
          <w:bCs/>
          <w:sz w:val="22"/>
          <w:szCs w:val="22"/>
        </w:rPr>
        <w:t>вого продукта фитоэкстрактов;</w:t>
      </w:r>
    </w:p>
    <w:p w:rsidR="00281602" w:rsidRPr="00281602" w:rsidRDefault="00281602" w:rsidP="0017022A">
      <w:pPr>
        <w:ind w:firstLine="426"/>
        <w:jc w:val="both"/>
        <w:rPr>
          <w:rFonts w:eastAsia="Calibri"/>
          <w:bCs/>
          <w:spacing w:val="-4"/>
          <w:sz w:val="22"/>
          <w:szCs w:val="22"/>
        </w:rPr>
      </w:pPr>
      <w:r w:rsidRPr="00281602">
        <w:rPr>
          <w:rFonts w:eastAsia="Calibri"/>
          <w:b/>
          <w:bCs/>
          <w:sz w:val="22"/>
          <w:szCs w:val="22"/>
          <w:lang w:eastAsia="en-US"/>
        </w:rPr>
        <w:t>–</w:t>
      </w:r>
      <w:r w:rsidRPr="00281602">
        <w:rPr>
          <w:rFonts w:eastAsia="Calibri"/>
          <w:bCs/>
          <w:sz w:val="22"/>
          <w:szCs w:val="22"/>
        </w:rPr>
        <w:t> </w:t>
      </w:r>
      <w:r w:rsidRPr="00281602">
        <w:rPr>
          <w:rFonts w:eastAsia="Calibri"/>
          <w:bCs/>
          <w:spacing w:val="-4"/>
          <w:sz w:val="22"/>
          <w:szCs w:val="22"/>
        </w:rPr>
        <w:t xml:space="preserve">исследование комплекса биологически-активных веществ </w:t>
      </w:r>
      <w:r w:rsidRPr="00281602">
        <w:rPr>
          <w:rFonts w:eastAsia="Calibri"/>
          <w:bCs/>
          <w:sz w:val="22"/>
          <w:szCs w:val="22"/>
        </w:rPr>
        <w:t>фит</w:t>
      </w:r>
      <w:r w:rsidRPr="00281602">
        <w:rPr>
          <w:rFonts w:eastAsia="Calibri"/>
          <w:bCs/>
          <w:sz w:val="22"/>
          <w:szCs w:val="22"/>
        </w:rPr>
        <w:t>о</w:t>
      </w:r>
      <w:r w:rsidRPr="00281602">
        <w:rPr>
          <w:rFonts w:eastAsia="Calibri"/>
          <w:bCs/>
          <w:sz w:val="22"/>
          <w:szCs w:val="22"/>
        </w:rPr>
        <w:t>экстрактов, получаемых из готового продукта;</w:t>
      </w:r>
    </w:p>
    <w:p w:rsidR="00281602" w:rsidRPr="00281602" w:rsidRDefault="00281602" w:rsidP="0017022A">
      <w:pPr>
        <w:ind w:firstLine="426"/>
        <w:jc w:val="both"/>
        <w:rPr>
          <w:rFonts w:eastAsia="Calibri"/>
          <w:bCs/>
          <w:sz w:val="22"/>
          <w:szCs w:val="22"/>
        </w:rPr>
      </w:pPr>
      <w:r w:rsidRPr="00281602">
        <w:rPr>
          <w:rFonts w:eastAsia="Calibri"/>
          <w:b/>
          <w:bCs/>
          <w:sz w:val="22"/>
          <w:szCs w:val="22"/>
          <w:lang w:eastAsia="en-US"/>
        </w:rPr>
        <w:t>–</w:t>
      </w:r>
      <w:r w:rsidRPr="00281602">
        <w:rPr>
          <w:rFonts w:eastAsia="Calibri"/>
          <w:bCs/>
          <w:sz w:val="22"/>
          <w:szCs w:val="22"/>
        </w:rPr>
        <w:t> исследование состава и свойств пектиновых веществ готового продукта и фитоэкстрактов, из него получаемых;</w:t>
      </w:r>
    </w:p>
    <w:p w:rsidR="00281602" w:rsidRPr="00281602" w:rsidRDefault="00281602" w:rsidP="0017022A">
      <w:pPr>
        <w:ind w:firstLine="426"/>
        <w:jc w:val="both"/>
        <w:rPr>
          <w:rFonts w:eastAsia="Calibri"/>
          <w:bCs/>
          <w:sz w:val="22"/>
          <w:szCs w:val="22"/>
        </w:rPr>
      </w:pPr>
      <w:r w:rsidRPr="00281602">
        <w:rPr>
          <w:rFonts w:eastAsia="Calibri"/>
          <w:b/>
          <w:bCs/>
          <w:sz w:val="22"/>
          <w:szCs w:val="22"/>
          <w:lang w:eastAsia="en-US"/>
        </w:rPr>
        <w:t>–</w:t>
      </w:r>
      <w:r w:rsidRPr="00281602">
        <w:rPr>
          <w:rFonts w:eastAsia="Calibri"/>
          <w:bCs/>
          <w:sz w:val="22"/>
          <w:szCs w:val="22"/>
        </w:rPr>
        <w:t> разработка оптимальных рецептур чайного напитка.</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Научная новизна разработки состоит в применении предлага</w:t>
      </w:r>
      <w:r w:rsidRPr="00281602">
        <w:rPr>
          <w:rFonts w:eastAsia="Calibri"/>
          <w:sz w:val="22"/>
          <w:szCs w:val="22"/>
          <w:lang w:eastAsia="en-US"/>
        </w:rPr>
        <w:t>е</w:t>
      </w:r>
      <w:r w:rsidRPr="00281602">
        <w:rPr>
          <w:rFonts w:eastAsia="Calibri"/>
          <w:sz w:val="22"/>
          <w:szCs w:val="22"/>
          <w:lang w:eastAsia="en-US"/>
        </w:rPr>
        <w:t>мого нами инновационного способа обработки фитосырья для п</w:t>
      </w:r>
      <w:r w:rsidRPr="00281602">
        <w:rPr>
          <w:rFonts w:eastAsia="Calibri"/>
          <w:sz w:val="22"/>
          <w:szCs w:val="22"/>
          <w:lang w:eastAsia="en-US"/>
        </w:rPr>
        <w:t>о</w:t>
      </w:r>
      <w:r w:rsidRPr="00281602">
        <w:rPr>
          <w:rFonts w:eastAsia="Calibri"/>
          <w:sz w:val="22"/>
          <w:szCs w:val="22"/>
          <w:lang w:eastAsia="en-US"/>
        </w:rPr>
        <w:t>вышения его экстрактивности, в разработке оригинальных реце</w:t>
      </w:r>
      <w:r w:rsidRPr="00281602">
        <w:rPr>
          <w:rFonts w:eastAsia="Calibri"/>
          <w:sz w:val="22"/>
          <w:szCs w:val="22"/>
          <w:lang w:eastAsia="en-US"/>
        </w:rPr>
        <w:t>п</w:t>
      </w:r>
      <w:r w:rsidRPr="00281602">
        <w:rPr>
          <w:rFonts w:eastAsia="Calibri"/>
          <w:sz w:val="22"/>
          <w:szCs w:val="22"/>
          <w:lang w:eastAsia="en-US"/>
        </w:rPr>
        <w:t>турных смесей чайного напитка с выраженным функциональным назначением, в придании разрабатываемым составам одновременно ряда функциональных свойств. Осуществлению такого подход сп</w:t>
      </w:r>
      <w:r w:rsidRPr="00281602">
        <w:rPr>
          <w:rFonts w:eastAsia="Calibri"/>
          <w:sz w:val="22"/>
          <w:szCs w:val="22"/>
          <w:lang w:eastAsia="en-US"/>
        </w:rPr>
        <w:t>о</w:t>
      </w:r>
      <w:r w:rsidRPr="00281602">
        <w:rPr>
          <w:rFonts w:eastAsia="Calibri"/>
          <w:sz w:val="22"/>
          <w:szCs w:val="22"/>
          <w:lang w:eastAsia="en-US"/>
        </w:rPr>
        <w:t>собствует, в том числе, и управление качеством производства по сертифицированным системам, каковой является система менед</w:t>
      </w:r>
      <w:r w:rsidRPr="00281602">
        <w:rPr>
          <w:rFonts w:eastAsia="Calibri"/>
          <w:sz w:val="22"/>
          <w:szCs w:val="22"/>
          <w:lang w:eastAsia="en-US"/>
        </w:rPr>
        <w:t>ж</w:t>
      </w:r>
      <w:r w:rsidRPr="00281602">
        <w:rPr>
          <w:rFonts w:eastAsia="Calibri"/>
          <w:sz w:val="22"/>
          <w:szCs w:val="22"/>
          <w:lang w:eastAsia="en-US"/>
        </w:rPr>
        <w:t>мента качества и безопасности пищевых продуктов [1]. Применение такой системы позволяет снизить общее число экономических п</w:t>
      </w:r>
      <w:r w:rsidRPr="00281602">
        <w:rPr>
          <w:rFonts w:eastAsia="Calibri"/>
          <w:sz w:val="22"/>
          <w:szCs w:val="22"/>
          <w:lang w:eastAsia="en-US"/>
        </w:rPr>
        <w:t>о</w:t>
      </w:r>
      <w:r w:rsidRPr="00281602">
        <w:rPr>
          <w:rFonts w:eastAsia="Calibri"/>
          <w:sz w:val="22"/>
          <w:szCs w:val="22"/>
          <w:lang w:eastAsia="en-US"/>
        </w:rPr>
        <w:t>терь действующего предприятия пищевой отрасли, поскольку м</w:t>
      </w:r>
      <w:r w:rsidRPr="00281602">
        <w:rPr>
          <w:rFonts w:eastAsia="Calibri"/>
          <w:sz w:val="22"/>
          <w:szCs w:val="22"/>
          <w:lang w:eastAsia="en-US"/>
        </w:rPr>
        <w:t>и</w:t>
      </w:r>
      <w:r w:rsidRPr="00281602">
        <w:rPr>
          <w:rFonts w:eastAsia="Calibri"/>
          <w:sz w:val="22"/>
          <w:szCs w:val="22"/>
          <w:lang w:eastAsia="en-US"/>
        </w:rPr>
        <w:t>нимизирует риски выпуска некачественной продукции и произво</w:t>
      </w:r>
      <w:r w:rsidRPr="00281602">
        <w:rPr>
          <w:rFonts w:eastAsia="Calibri"/>
          <w:sz w:val="22"/>
          <w:szCs w:val="22"/>
          <w:lang w:eastAsia="en-US"/>
        </w:rPr>
        <w:t>д</w:t>
      </w:r>
      <w:r w:rsidRPr="00281602">
        <w:rPr>
          <w:rFonts w:eastAsia="Calibri"/>
          <w:sz w:val="22"/>
          <w:szCs w:val="22"/>
          <w:lang w:eastAsia="en-US"/>
        </w:rPr>
        <w:t>ственного брака, подлежащих возврату и повторной переработке или утилизации.</w:t>
      </w:r>
    </w:p>
    <w:p w:rsidR="00281602" w:rsidRPr="00281602" w:rsidRDefault="00281602" w:rsidP="0017022A">
      <w:pPr>
        <w:ind w:firstLine="426"/>
        <w:jc w:val="both"/>
        <w:rPr>
          <w:rFonts w:eastAsia="Calibri"/>
          <w:sz w:val="22"/>
          <w:szCs w:val="22"/>
          <w:lang w:eastAsia="en-US"/>
        </w:rPr>
      </w:pPr>
      <w:r w:rsidRPr="00281602">
        <w:rPr>
          <w:rFonts w:eastAsia="Calibri"/>
          <w:spacing w:val="-3"/>
          <w:sz w:val="22"/>
          <w:szCs w:val="22"/>
          <w:lang w:eastAsia="en-US"/>
        </w:rPr>
        <w:lastRenderedPageBreak/>
        <w:t xml:space="preserve">В настоящее время в мире наблюдается ежегодное </w:t>
      </w:r>
      <w:r w:rsidRPr="00281602">
        <w:rPr>
          <w:rFonts w:eastAsia="Calibri"/>
          <w:spacing w:val="-4"/>
          <w:sz w:val="22"/>
          <w:szCs w:val="22"/>
          <w:lang w:eastAsia="en-US"/>
        </w:rPr>
        <w:t>увеличение потребления чая и различных чайных напитков</w:t>
      </w:r>
      <w:r w:rsidRPr="00281602">
        <w:rPr>
          <w:rFonts w:eastAsia="Calibri"/>
          <w:sz w:val="22"/>
          <w:szCs w:val="22"/>
          <w:lang w:eastAsia="en-US"/>
        </w:rPr>
        <w:t>. Наиболее доступным источником биологически активных веществ, микроэлементов, а</w:t>
      </w:r>
      <w:r w:rsidRPr="00281602">
        <w:rPr>
          <w:rFonts w:eastAsia="Calibri"/>
          <w:sz w:val="22"/>
          <w:szCs w:val="22"/>
          <w:lang w:eastAsia="en-US"/>
        </w:rPr>
        <w:t>н</w:t>
      </w:r>
      <w:r w:rsidRPr="00281602">
        <w:rPr>
          <w:rFonts w:eastAsia="Calibri"/>
          <w:sz w:val="22"/>
          <w:szCs w:val="22"/>
          <w:lang w:eastAsia="en-US"/>
        </w:rPr>
        <w:t>тиоксидантов является лекарственное и пряно-ароматическое ра</w:t>
      </w:r>
      <w:r w:rsidRPr="00281602">
        <w:rPr>
          <w:rFonts w:eastAsia="Calibri"/>
          <w:sz w:val="22"/>
          <w:szCs w:val="22"/>
          <w:lang w:eastAsia="en-US"/>
        </w:rPr>
        <w:t>с</w:t>
      </w:r>
      <w:r w:rsidRPr="00281602">
        <w:rPr>
          <w:rFonts w:eastAsia="Calibri"/>
          <w:sz w:val="22"/>
          <w:szCs w:val="22"/>
          <w:lang w:eastAsia="en-US"/>
        </w:rPr>
        <w:t>тительное сырье, которое позволяет исключить из применения и потребления искусственные ароматизаторы, красители, консерва</w:t>
      </w:r>
      <w:r w:rsidRPr="00281602">
        <w:rPr>
          <w:rFonts w:eastAsia="Calibri"/>
          <w:sz w:val="22"/>
          <w:szCs w:val="22"/>
          <w:lang w:eastAsia="en-US"/>
        </w:rPr>
        <w:t>н</w:t>
      </w:r>
      <w:r w:rsidRPr="00281602">
        <w:rPr>
          <w:rFonts w:eastAsia="Calibri"/>
          <w:sz w:val="22"/>
          <w:szCs w:val="22"/>
          <w:lang w:eastAsia="en-US"/>
        </w:rPr>
        <w:t>ты [2]. Наибольшее распространение получили растения: донник, шалфей,</w:t>
      </w:r>
      <w:r w:rsidRPr="00281602">
        <w:rPr>
          <w:rFonts w:eastAsia="Calibri"/>
          <w:spacing w:val="2"/>
          <w:sz w:val="22"/>
          <w:szCs w:val="22"/>
          <w:lang w:eastAsia="en-US"/>
        </w:rPr>
        <w:t xml:space="preserve"> любисток, родиола розовая, кора дуба, левзея, календула, липа, </w:t>
      </w:r>
      <w:r w:rsidRPr="00281602">
        <w:rPr>
          <w:rFonts w:eastAsia="Calibri"/>
          <w:sz w:val="22"/>
          <w:szCs w:val="22"/>
          <w:lang w:eastAsia="en-US"/>
        </w:rPr>
        <w:t>крапива, одуванчик. Ряд рецептур, разрабатываемых нами, предусматривает получение купажей чайных напитков, получаемых из местного фитосырья, в том числе плодовых культур и лека</w:t>
      </w:r>
      <w:r w:rsidRPr="00281602">
        <w:rPr>
          <w:rFonts w:eastAsia="Calibri"/>
          <w:sz w:val="22"/>
          <w:szCs w:val="22"/>
          <w:lang w:eastAsia="en-US"/>
        </w:rPr>
        <w:t>р</w:t>
      </w:r>
      <w:r w:rsidRPr="00281602">
        <w:rPr>
          <w:rFonts w:eastAsia="Calibri"/>
          <w:sz w:val="22"/>
          <w:szCs w:val="22"/>
          <w:lang w:eastAsia="en-US"/>
        </w:rPr>
        <w:t>ственных растений.</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Следует отметить, что в технлогии продуктов питания все чаще используются инновационные приемы, позволяющие получать в</w:t>
      </w:r>
      <w:r w:rsidRPr="00281602">
        <w:rPr>
          <w:rFonts w:eastAsia="Calibri"/>
          <w:sz w:val="22"/>
          <w:szCs w:val="22"/>
          <w:lang w:eastAsia="en-US"/>
        </w:rPr>
        <w:t>ы</w:t>
      </w:r>
      <w:r w:rsidRPr="00281602">
        <w:rPr>
          <w:rFonts w:eastAsia="Calibri"/>
          <w:sz w:val="22"/>
          <w:szCs w:val="22"/>
          <w:lang w:eastAsia="en-US"/>
        </w:rPr>
        <w:t>сококачественную продукцию при низких экономических затратах и высокой экологичности [3, 4]. В связи с этим, нами планируется применение электрофизических и газожидкостных технологий в производстве сырья для чайных напитков.</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Разрабатываемые рецептурные смеси чайных напитков, изг</w:t>
      </w:r>
      <w:r w:rsidRPr="00281602">
        <w:rPr>
          <w:rFonts w:eastAsia="Calibri"/>
          <w:sz w:val="22"/>
          <w:szCs w:val="22"/>
          <w:lang w:eastAsia="en-US"/>
        </w:rPr>
        <w:t>о</w:t>
      </w:r>
      <w:r w:rsidRPr="00281602">
        <w:rPr>
          <w:rFonts w:eastAsia="Calibri"/>
          <w:sz w:val="22"/>
          <w:szCs w:val="22"/>
          <w:lang w:eastAsia="en-US"/>
        </w:rPr>
        <w:t>тавливаемые из различного фитосырья, в том числе и сырья лека</w:t>
      </w:r>
      <w:r w:rsidRPr="00281602">
        <w:rPr>
          <w:rFonts w:eastAsia="Calibri"/>
          <w:sz w:val="22"/>
          <w:szCs w:val="22"/>
          <w:lang w:eastAsia="en-US"/>
        </w:rPr>
        <w:t>р</w:t>
      </w:r>
      <w:r w:rsidRPr="00281602">
        <w:rPr>
          <w:rFonts w:eastAsia="Calibri"/>
          <w:sz w:val="22"/>
          <w:szCs w:val="22"/>
          <w:lang w:eastAsia="en-US"/>
        </w:rPr>
        <w:t>ственных растений, содержат функциональные ингредиенты – би</w:t>
      </w:r>
      <w:r w:rsidRPr="00281602">
        <w:rPr>
          <w:rFonts w:eastAsia="Calibri"/>
          <w:sz w:val="22"/>
          <w:szCs w:val="22"/>
          <w:lang w:eastAsia="en-US"/>
        </w:rPr>
        <w:t>о</w:t>
      </w:r>
      <w:r w:rsidRPr="00281602">
        <w:rPr>
          <w:rFonts w:eastAsia="Calibri"/>
          <w:sz w:val="22"/>
          <w:szCs w:val="22"/>
          <w:lang w:eastAsia="en-US"/>
        </w:rPr>
        <w:t>флавоноиды, дубильные и пектиновые вещества, макро- и микр</w:t>
      </w:r>
      <w:r w:rsidRPr="00281602">
        <w:rPr>
          <w:rFonts w:eastAsia="Calibri"/>
          <w:sz w:val="22"/>
          <w:szCs w:val="22"/>
          <w:lang w:eastAsia="en-US"/>
        </w:rPr>
        <w:t>о</w:t>
      </w:r>
      <w:r w:rsidRPr="00281602">
        <w:rPr>
          <w:rFonts w:eastAsia="Calibri"/>
          <w:sz w:val="22"/>
          <w:szCs w:val="22"/>
          <w:lang w:eastAsia="en-US"/>
        </w:rPr>
        <w:t>элементы [5]. У нас имеется научный задел по заявляемой на ко</w:t>
      </w:r>
      <w:r w:rsidRPr="00281602">
        <w:rPr>
          <w:rFonts w:eastAsia="Calibri"/>
          <w:sz w:val="22"/>
          <w:szCs w:val="22"/>
          <w:lang w:eastAsia="en-US"/>
        </w:rPr>
        <w:t>н</w:t>
      </w:r>
      <w:r w:rsidRPr="00281602">
        <w:rPr>
          <w:rFonts w:eastAsia="Calibri"/>
          <w:sz w:val="22"/>
          <w:szCs w:val="22"/>
          <w:lang w:eastAsia="en-US"/>
        </w:rPr>
        <w:t>курс тематике – исследован количественный состав экстрактивной составляющей различных сырьевых компонентов и продуктов, из них получаемых, а также разработаны пробные рецептурные смеси чайных напитков; апробированы различные способы заготовки, подготовки и переработки фитосырья; проведена оценка комплекса пектиновых веществ  заготовляемого сырья и готового продукта; разработана и предложена методика анализа количествапектиновых веществ в исследуемом фитосырье, результаты работы отражены в ряде научных публикаций.</w:t>
      </w:r>
    </w:p>
    <w:p w:rsidR="00281602" w:rsidRPr="00281602" w:rsidRDefault="00281602" w:rsidP="0017022A">
      <w:pPr>
        <w:ind w:firstLine="426"/>
        <w:jc w:val="both"/>
        <w:rPr>
          <w:rFonts w:eastAsia="Calibri"/>
          <w:spacing w:val="-4"/>
          <w:sz w:val="22"/>
          <w:szCs w:val="22"/>
          <w:lang w:eastAsia="en-US"/>
        </w:rPr>
      </w:pPr>
      <w:r w:rsidRPr="00281602">
        <w:rPr>
          <w:rFonts w:eastAsia="Calibri"/>
          <w:spacing w:val="-4"/>
          <w:sz w:val="22"/>
          <w:szCs w:val="22"/>
          <w:lang w:eastAsia="en-US"/>
        </w:rPr>
        <w:t>Разрабатываемая технология позволяет получать фитоэкстракты купажей чайных напитков стандартного качества, изготавливаемых из местного фитосырья (в том числе плодовых, ягодных и лекарственных растений) и может быть внедрена на любом предприятии чаесушил</w:t>
      </w:r>
      <w:r w:rsidRPr="00281602">
        <w:rPr>
          <w:rFonts w:eastAsia="Calibri"/>
          <w:spacing w:val="-4"/>
          <w:sz w:val="22"/>
          <w:szCs w:val="22"/>
          <w:lang w:eastAsia="en-US"/>
        </w:rPr>
        <w:t>ь</w:t>
      </w:r>
      <w:r w:rsidRPr="00281602">
        <w:rPr>
          <w:rFonts w:eastAsia="Calibri"/>
          <w:spacing w:val="-4"/>
          <w:sz w:val="22"/>
          <w:szCs w:val="22"/>
          <w:lang w:eastAsia="en-US"/>
        </w:rPr>
        <w:t>ной и безалкогольной отраслей пищевой промышленности.</w:t>
      </w:r>
    </w:p>
    <w:p w:rsidR="00281602" w:rsidRPr="00281602" w:rsidRDefault="00281602" w:rsidP="0017022A">
      <w:pPr>
        <w:ind w:firstLine="426"/>
        <w:jc w:val="both"/>
        <w:rPr>
          <w:rFonts w:eastAsia="Calibri"/>
          <w:sz w:val="22"/>
          <w:szCs w:val="22"/>
          <w:lang w:eastAsia="en-US"/>
        </w:rPr>
      </w:pPr>
    </w:p>
    <w:p w:rsidR="00281602" w:rsidRPr="00281602" w:rsidRDefault="00281602" w:rsidP="0017022A">
      <w:pPr>
        <w:ind w:firstLine="426"/>
        <w:jc w:val="center"/>
        <w:rPr>
          <w:rFonts w:eastAsia="Calibri"/>
          <w:sz w:val="22"/>
          <w:szCs w:val="22"/>
          <w:lang w:eastAsia="en-US"/>
        </w:rPr>
      </w:pPr>
      <w:r w:rsidRPr="00281602">
        <w:rPr>
          <w:rFonts w:eastAsia="Calibri"/>
          <w:sz w:val="22"/>
          <w:szCs w:val="22"/>
          <w:lang w:eastAsia="en-US"/>
        </w:rPr>
        <w:lastRenderedPageBreak/>
        <w:t>Список литературы</w:t>
      </w:r>
    </w:p>
    <w:p w:rsidR="00281602" w:rsidRPr="00281602" w:rsidRDefault="00281602" w:rsidP="0017022A">
      <w:pPr>
        <w:numPr>
          <w:ilvl w:val="0"/>
          <w:numId w:val="35"/>
        </w:numPr>
        <w:tabs>
          <w:tab w:val="left" w:pos="709"/>
        </w:tabs>
        <w:ind w:left="0" w:firstLine="426"/>
        <w:jc w:val="both"/>
        <w:rPr>
          <w:sz w:val="22"/>
          <w:szCs w:val="22"/>
        </w:rPr>
      </w:pPr>
      <w:r w:rsidRPr="00281602">
        <w:rPr>
          <w:sz w:val="22"/>
          <w:szCs w:val="22"/>
        </w:rPr>
        <w:t>Запорожский А.А., Касьянов Г.И., Мишкевич Э.Ю. К вопр</w:t>
      </w:r>
      <w:r w:rsidRPr="00281602">
        <w:rPr>
          <w:sz w:val="22"/>
          <w:szCs w:val="22"/>
        </w:rPr>
        <w:t>о</w:t>
      </w:r>
      <w:r w:rsidRPr="00281602">
        <w:rPr>
          <w:sz w:val="22"/>
          <w:szCs w:val="22"/>
        </w:rPr>
        <w:t>су о системе менеджмента качества и безопасности пищевых пр</w:t>
      </w:r>
      <w:r w:rsidRPr="00281602">
        <w:rPr>
          <w:sz w:val="22"/>
          <w:szCs w:val="22"/>
        </w:rPr>
        <w:t>о</w:t>
      </w:r>
      <w:r w:rsidRPr="00281602">
        <w:rPr>
          <w:sz w:val="22"/>
          <w:szCs w:val="22"/>
        </w:rPr>
        <w:t>дуктов // Техника и технология пищевых производств. 2013. № 4 (31). С. 17-21.</w:t>
      </w:r>
    </w:p>
    <w:p w:rsidR="00281602" w:rsidRPr="00281602" w:rsidRDefault="00281602" w:rsidP="0017022A">
      <w:pPr>
        <w:numPr>
          <w:ilvl w:val="0"/>
          <w:numId w:val="35"/>
        </w:numPr>
        <w:tabs>
          <w:tab w:val="left" w:pos="709"/>
        </w:tabs>
        <w:ind w:left="0" w:firstLine="426"/>
        <w:jc w:val="both"/>
        <w:rPr>
          <w:sz w:val="22"/>
          <w:szCs w:val="22"/>
        </w:rPr>
      </w:pPr>
      <w:r w:rsidRPr="00281602">
        <w:rPr>
          <w:sz w:val="22"/>
          <w:szCs w:val="22"/>
        </w:rPr>
        <w:t>Касьянов Г.И., Кизим И.Е., Холодцов М.А. Применение пряно-ароматических и лекарственных растений в пищевой пр</w:t>
      </w:r>
      <w:r w:rsidRPr="00281602">
        <w:rPr>
          <w:sz w:val="22"/>
          <w:szCs w:val="22"/>
        </w:rPr>
        <w:t>о</w:t>
      </w:r>
      <w:r w:rsidRPr="00281602">
        <w:rPr>
          <w:sz w:val="22"/>
          <w:szCs w:val="22"/>
        </w:rPr>
        <w:t>мышленности // Пищевая промышленность. 2000. № 5. С. 33.</w:t>
      </w:r>
    </w:p>
    <w:p w:rsidR="00281602" w:rsidRPr="00281602" w:rsidRDefault="00281602" w:rsidP="0017022A">
      <w:pPr>
        <w:numPr>
          <w:ilvl w:val="0"/>
          <w:numId w:val="35"/>
        </w:numPr>
        <w:tabs>
          <w:tab w:val="left" w:pos="709"/>
        </w:tabs>
        <w:ind w:left="0" w:firstLine="426"/>
        <w:jc w:val="both"/>
        <w:rPr>
          <w:spacing w:val="-4"/>
          <w:sz w:val="22"/>
          <w:szCs w:val="22"/>
        </w:rPr>
      </w:pPr>
      <w:r w:rsidRPr="00281602">
        <w:rPr>
          <w:spacing w:val="-4"/>
          <w:sz w:val="22"/>
          <w:szCs w:val="22"/>
        </w:rPr>
        <w:t>Мякинникова Е.И., Касьянов Г.И. Использование электроф</w:t>
      </w:r>
      <w:r w:rsidRPr="00281602">
        <w:rPr>
          <w:spacing w:val="-4"/>
          <w:sz w:val="22"/>
          <w:szCs w:val="22"/>
        </w:rPr>
        <w:t>и</w:t>
      </w:r>
      <w:r w:rsidRPr="00281602">
        <w:rPr>
          <w:spacing w:val="-4"/>
          <w:sz w:val="22"/>
          <w:szCs w:val="22"/>
        </w:rPr>
        <w:t>зических и газожидкостных технологий для сушки плодового сырья // Техника и технология пищевых производств. 2015. № 2 (37). С. 48-53.</w:t>
      </w:r>
    </w:p>
    <w:p w:rsidR="00281602" w:rsidRPr="00281602" w:rsidRDefault="00281602" w:rsidP="0017022A">
      <w:pPr>
        <w:numPr>
          <w:ilvl w:val="0"/>
          <w:numId w:val="35"/>
        </w:numPr>
        <w:tabs>
          <w:tab w:val="left" w:pos="709"/>
        </w:tabs>
        <w:ind w:left="0" w:firstLine="426"/>
        <w:jc w:val="both"/>
        <w:rPr>
          <w:spacing w:val="-4"/>
          <w:sz w:val="22"/>
          <w:szCs w:val="22"/>
        </w:rPr>
      </w:pPr>
      <w:r w:rsidRPr="00281602">
        <w:rPr>
          <w:spacing w:val="-4"/>
          <w:sz w:val="22"/>
          <w:szCs w:val="22"/>
        </w:rPr>
        <w:t>Прянишников В.В., Касьянов Г.И. Производство и применение СО</w:t>
      </w:r>
      <w:r w:rsidRPr="00281602">
        <w:rPr>
          <w:spacing w:val="-4"/>
          <w:sz w:val="22"/>
          <w:szCs w:val="22"/>
          <w:vertAlign w:val="subscript"/>
        </w:rPr>
        <w:t>2</w:t>
      </w:r>
      <w:r w:rsidRPr="00281602">
        <w:rPr>
          <w:spacing w:val="-4"/>
          <w:sz w:val="22"/>
          <w:szCs w:val="22"/>
        </w:rPr>
        <w:t>-экстрактов в пищевой промышленности. Саарбрюкен, 2012. 200 с.</w:t>
      </w:r>
    </w:p>
    <w:p w:rsidR="00281602" w:rsidRPr="00281602" w:rsidRDefault="00281602" w:rsidP="0017022A">
      <w:pPr>
        <w:numPr>
          <w:ilvl w:val="0"/>
          <w:numId w:val="35"/>
        </w:numPr>
        <w:tabs>
          <w:tab w:val="left" w:pos="709"/>
        </w:tabs>
        <w:ind w:left="0" w:firstLine="426"/>
        <w:jc w:val="both"/>
        <w:rPr>
          <w:sz w:val="22"/>
          <w:szCs w:val="22"/>
        </w:rPr>
      </w:pPr>
      <w:r w:rsidRPr="00281602">
        <w:rPr>
          <w:sz w:val="22"/>
          <w:szCs w:val="22"/>
        </w:rPr>
        <w:t>Тамова М.Ю., Касьянов Г.И. Пищевые продукты функци</w:t>
      </w:r>
      <w:r w:rsidRPr="00281602">
        <w:rPr>
          <w:sz w:val="22"/>
          <w:szCs w:val="22"/>
        </w:rPr>
        <w:t>о</w:t>
      </w:r>
      <w:r w:rsidRPr="00281602">
        <w:rPr>
          <w:sz w:val="22"/>
          <w:szCs w:val="22"/>
        </w:rPr>
        <w:t>нального назначения // Пищевая промышленность. 2002. № 9. С. 66.</w:t>
      </w:r>
    </w:p>
    <w:p w:rsidR="00281602" w:rsidRPr="00281602" w:rsidRDefault="00281602" w:rsidP="00281602">
      <w:pPr>
        <w:tabs>
          <w:tab w:val="left" w:pos="709"/>
        </w:tabs>
        <w:jc w:val="both"/>
        <w:rPr>
          <w:sz w:val="22"/>
          <w:szCs w:val="22"/>
        </w:rPr>
      </w:pPr>
    </w:p>
    <w:p w:rsidR="00281602" w:rsidRPr="00281602" w:rsidRDefault="00281602" w:rsidP="00281602">
      <w:pPr>
        <w:tabs>
          <w:tab w:val="left" w:pos="709"/>
        </w:tabs>
        <w:jc w:val="both"/>
        <w:rPr>
          <w:sz w:val="22"/>
          <w:szCs w:val="22"/>
        </w:rPr>
      </w:pPr>
    </w:p>
    <w:p w:rsidR="00281602" w:rsidRPr="00281602" w:rsidRDefault="00281602" w:rsidP="00281602">
      <w:pPr>
        <w:suppressAutoHyphens/>
        <w:jc w:val="both"/>
        <w:rPr>
          <w:sz w:val="22"/>
          <w:szCs w:val="22"/>
          <w:lang w:eastAsia="en-US"/>
        </w:rPr>
      </w:pPr>
      <w:r w:rsidRPr="00281602">
        <w:rPr>
          <w:sz w:val="22"/>
          <w:szCs w:val="22"/>
          <w:lang w:eastAsia="en-US"/>
        </w:rPr>
        <w:t>УДК 664:69.059.7</w:t>
      </w:r>
    </w:p>
    <w:p w:rsidR="00281602" w:rsidRPr="00281602" w:rsidRDefault="00281602" w:rsidP="00281602">
      <w:pPr>
        <w:suppressAutoHyphens/>
        <w:jc w:val="both"/>
        <w:rPr>
          <w:sz w:val="22"/>
          <w:szCs w:val="22"/>
          <w:lang w:eastAsia="en-US"/>
        </w:rPr>
      </w:pPr>
    </w:p>
    <w:p w:rsidR="00281602" w:rsidRPr="00281602" w:rsidRDefault="00281602" w:rsidP="00281602">
      <w:pPr>
        <w:suppressAutoHyphens/>
        <w:jc w:val="center"/>
        <w:rPr>
          <w:b/>
          <w:color w:val="000000"/>
          <w:sz w:val="24"/>
          <w:szCs w:val="22"/>
          <w:lang w:eastAsia="en-US"/>
        </w:rPr>
      </w:pPr>
      <w:r w:rsidRPr="00281602">
        <w:rPr>
          <w:b/>
          <w:color w:val="000000"/>
          <w:sz w:val="24"/>
          <w:szCs w:val="22"/>
          <w:lang w:eastAsia="en-US"/>
        </w:rPr>
        <w:t>Основные проблемы реконструкции предприятий пищевой промышленности</w:t>
      </w:r>
    </w:p>
    <w:p w:rsidR="00281602" w:rsidRPr="00281602" w:rsidRDefault="00281602" w:rsidP="00281602">
      <w:pPr>
        <w:suppressAutoHyphens/>
        <w:jc w:val="center"/>
        <w:rPr>
          <w:b/>
          <w:color w:val="000000"/>
          <w:sz w:val="24"/>
          <w:szCs w:val="22"/>
          <w:lang w:val="en-US" w:eastAsia="en-US"/>
        </w:rPr>
      </w:pPr>
      <w:r w:rsidRPr="00281602">
        <w:rPr>
          <w:b/>
          <w:color w:val="000000"/>
          <w:sz w:val="24"/>
          <w:szCs w:val="22"/>
          <w:lang w:val="en-US" w:eastAsia="en-US"/>
        </w:rPr>
        <w:t>The main problems of reconstruction of food enterprises</w:t>
      </w:r>
    </w:p>
    <w:p w:rsidR="00281602" w:rsidRPr="00281602" w:rsidRDefault="00281602" w:rsidP="00281602">
      <w:pPr>
        <w:suppressAutoHyphens/>
        <w:jc w:val="center"/>
        <w:rPr>
          <w:b/>
          <w:color w:val="000000"/>
          <w:sz w:val="22"/>
          <w:szCs w:val="22"/>
          <w:lang w:val="en-US" w:eastAsia="en-US"/>
        </w:rPr>
      </w:pP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Мочалов В.</w:t>
      </w:r>
      <w:r w:rsidR="0017022A">
        <w:rPr>
          <w:color w:val="000000"/>
          <w:sz w:val="22"/>
          <w:szCs w:val="22"/>
          <w:lang w:eastAsia="en-US"/>
        </w:rPr>
        <w:t xml:space="preserve"> </w:t>
      </w:r>
      <w:r w:rsidRPr="00281602">
        <w:rPr>
          <w:color w:val="000000"/>
          <w:sz w:val="22"/>
          <w:szCs w:val="22"/>
          <w:lang w:eastAsia="en-US"/>
        </w:rPr>
        <w:t>Н.</w:t>
      </w:r>
      <w:r w:rsidR="0017022A">
        <w:rPr>
          <w:color w:val="000000"/>
          <w:sz w:val="22"/>
          <w:szCs w:val="22"/>
          <w:lang w:eastAsia="en-US"/>
        </w:rPr>
        <w:t>,</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студент 2-го курса факультета</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перерабатывающих технологий</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Платонова Н.</w:t>
      </w:r>
      <w:r w:rsidR="0017022A">
        <w:rPr>
          <w:color w:val="000000"/>
          <w:sz w:val="22"/>
          <w:szCs w:val="22"/>
          <w:lang w:eastAsia="en-US"/>
        </w:rPr>
        <w:t xml:space="preserve"> </w:t>
      </w:r>
      <w:r w:rsidRPr="00281602">
        <w:rPr>
          <w:color w:val="000000"/>
          <w:sz w:val="22"/>
          <w:szCs w:val="22"/>
          <w:lang w:eastAsia="en-US"/>
        </w:rPr>
        <w:t>А.</w:t>
      </w:r>
      <w:r w:rsidR="0017022A">
        <w:rPr>
          <w:color w:val="000000"/>
          <w:sz w:val="22"/>
          <w:szCs w:val="22"/>
          <w:lang w:eastAsia="en-US"/>
        </w:rPr>
        <w:t>,</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студент 2-го курса факультета</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перерабатывающих технологий</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Красноселова Е.</w:t>
      </w:r>
      <w:r w:rsidR="0017022A">
        <w:rPr>
          <w:color w:val="000000"/>
          <w:sz w:val="22"/>
          <w:szCs w:val="22"/>
          <w:lang w:eastAsia="en-US"/>
        </w:rPr>
        <w:t xml:space="preserve"> </w:t>
      </w:r>
      <w:r w:rsidRPr="00281602">
        <w:rPr>
          <w:color w:val="000000"/>
          <w:sz w:val="22"/>
          <w:szCs w:val="22"/>
          <w:lang w:eastAsia="en-US"/>
        </w:rPr>
        <w:t>А.,</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доцент кафедры растениеводства</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Кубанский государственный аграрный</w:t>
      </w:r>
    </w:p>
    <w:p w:rsidR="00281602" w:rsidRPr="00281602" w:rsidRDefault="00281602" w:rsidP="00281602">
      <w:pPr>
        <w:suppressAutoHyphens/>
        <w:jc w:val="right"/>
        <w:rPr>
          <w:color w:val="000000"/>
          <w:sz w:val="22"/>
          <w:szCs w:val="22"/>
          <w:lang w:eastAsia="en-US"/>
        </w:rPr>
      </w:pPr>
      <w:r w:rsidRPr="00281602">
        <w:rPr>
          <w:color w:val="000000"/>
          <w:sz w:val="22"/>
          <w:szCs w:val="22"/>
          <w:lang w:eastAsia="en-US"/>
        </w:rPr>
        <w:t>университет имени И.</w:t>
      </w:r>
      <w:r w:rsidR="0017022A">
        <w:rPr>
          <w:color w:val="000000"/>
          <w:sz w:val="22"/>
          <w:szCs w:val="22"/>
          <w:lang w:eastAsia="en-US"/>
        </w:rPr>
        <w:t xml:space="preserve"> </w:t>
      </w:r>
      <w:r w:rsidRPr="00281602">
        <w:rPr>
          <w:color w:val="000000"/>
          <w:sz w:val="22"/>
          <w:szCs w:val="22"/>
          <w:lang w:eastAsia="en-US"/>
        </w:rPr>
        <w:t>Т. Трубилина</w:t>
      </w:r>
    </w:p>
    <w:p w:rsidR="00281602" w:rsidRPr="00281602" w:rsidRDefault="00281602" w:rsidP="00281602">
      <w:pPr>
        <w:suppressAutoHyphens/>
        <w:jc w:val="right"/>
        <w:rPr>
          <w:sz w:val="22"/>
          <w:szCs w:val="22"/>
          <w:lang w:eastAsia="en-US"/>
        </w:rPr>
      </w:pPr>
    </w:p>
    <w:p w:rsidR="00281602" w:rsidRPr="00281602" w:rsidRDefault="00281602" w:rsidP="0017022A">
      <w:pPr>
        <w:suppressAutoHyphens/>
        <w:ind w:firstLine="426"/>
        <w:jc w:val="both"/>
        <w:rPr>
          <w:color w:val="000000"/>
          <w:sz w:val="22"/>
          <w:szCs w:val="22"/>
          <w:lang w:eastAsia="en-US"/>
        </w:rPr>
      </w:pPr>
      <w:r w:rsidRPr="00281602">
        <w:rPr>
          <w:color w:val="000000"/>
          <w:sz w:val="22"/>
          <w:szCs w:val="22"/>
          <w:lang w:eastAsia="en-US"/>
        </w:rPr>
        <w:t xml:space="preserve">АННОТАЦИЯ: В статье кратко рассмотрены основные проблемы реконструкции пищевых предприятий. Выявлены </w:t>
      </w:r>
      <w:r w:rsidRPr="00281602">
        <w:rPr>
          <w:color w:val="000000"/>
          <w:sz w:val="22"/>
          <w:szCs w:val="22"/>
          <w:lang w:eastAsia="en-US"/>
        </w:rPr>
        <w:lastRenderedPageBreak/>
        <w:t>способы оптимизации производства плодоовощных консервов. Изучена тенденция развития пищевой отрасли.</w:t>
      </w:r>
    </w:p>
    <w:p w:rsidR="00281602" w:rsidRPr="00281602" w:rsidRDefault="00281602" w:rsidP="0017022A">
      <w:pPr>
        <w:suppressAutoHyphens/>
        <w:ind w:firstLine="426"/>
        <w:jc w:val="both"/>
        <w:rPr>
          <w:sz w:val="22"/>
          <w:szCs w:val="22"/>
          <w:lang w:val="en-US" w:eastAsia="en-US"/>
        </w:rPr>
      </w:pPr>
      <w:r w:rsidRPr="00281602">
        <w:rPr>
          <w:sz w:val="22"/>
          <w:szCs w:val="22"/>
          <w:lang w:val="en-US" w:eastAsia="en-US"/>
        </w:rPr>
        <w:t>ABSTRACT: The article briefly describes the main problems of reconstruction of food enterprises. Ways of optimization of production of fruit and vegetable canned food are revealed. Studied the development trend of the food industry.</w:t>
      </w:r>
    </w:p>
    <w:p w:rsidR="00281602" w:rsidRPr="00281602" w:rsidRDefault="00281602" w:rsidP="0017022A">
      <w:pPr>
        <w:suppressAutoHyphens/>
        <w:ind w:firstLine="426"/>
        <w:jc w:val="both"/>
        <w:rPr>
          <w:color w:val="000000"/>
          <w:sz w:val="22"/>
          <w:szCs w:val="22"/>
          <w:lang w:val="en-US" w:eastAsia="en-US"/>
        </w:rPr>
      </w:pPr>
      <w:r w:rsidRPr="00281602">
        <w:rPr>
          <w:color w:val="000000"/>
          <w:sz w:val="22"/>
          <w:szCs w:val="22"/>
          <w:lang w:eastAsia="en-US"/>
        </w:rPr>
        <w:t>КЛЮЧЕВЫЕСЛОВА</w:t>
      </w:r>
      <w:r w:rsidRPr="00281602">
        <w:rPr>
          <w:color w:val="000000"/>
          <w:sz w:val="22"/>
          <w:szCs w:val="22"/>
          <w:lang w:val="en-US" w:eastAsia="en-US"/>
        </w:rPr>
        <w:t xml:space="preserve">: </w:t>
      </w:r>
      <w:r w:rsidRPr="00281602">
        <w:rPr>
          <w:color w:val="000000"/>
          <w:sz w:val="22"/>
          <w:szCs w:val="22"/>
          <w:lang w:eastAsia="en-US"/>
        </w:rPr>
        <w:t>реконструкция</w:t>
      </w:r>
      <w:r w:rsidRPr="00281602">
        <w:rPr>
          <w:color w:val="000000"/>
          <w:sz w:val="22"/>
          <w:szCs w:val="22"/>
          <w:lang w:val="en-US" w:eastAsia="en-US"/>
        </w:rPr>
        <w:t xml:space="preserve">, </w:t>
      </w:r>
      <w:r w:rsidRPr="00281602">
        <w:rPr>
          <w:color w:val="000000"/>
          <w:sz w:val="22"/>
          <w:szCs w:val="22"/>
          <w:lang w:eastAsia="en-US"/>
        </w:rPr>
        <w:t>пищевоепроизводство</w:t>
      </w:r>
      <w:r w:rsidRPr="00281602">
        <w:rPr>
          <w:color w:val="000000"/>
          <w:sz w:val="22"/>
          <w:szCs w:val="22"/>
          <w:lang w:val="en-US" w:eastAsia="en-US"/>
        </w:rPr>
        <w:t xml:space="preserve">, </w:t>
      </w:r>
      <w:r w:rsidRPr="00281602">
        <w:rPr>
          <w:color w:val="000000"/>
          <w:sz w:val="22"/>
          <w:szCs w:val="22"/>
          <w:lang w:eastAsia="en-US"/>
        </w:rPr>
        <w:t>экология</w:t>
      </w:r>
      <w:r w:rsidRPr="00281602">
        <w:rPr>
          <w:color w:val="000000"/>
          <w:sz w:val="22"/>
          <w:szCs w:val="22"/>
          <w:lang w:val="en-US" w:eastAsia="en-US"/>
        </w:rPr>
        <w:t>.</w:t>
      </w:r>
    </w:p>
    <w:p w:rsidR="00281602" w:rsidRPr="00281602" w:rsidRDefault="00281602" w:rsidP="0017022A">
      <w:pPr>
        <w:suppressAutoHyphens/>
        <w:ind w:firstLine="426"/>
        <w:jc w:val="both"/>
        <w:rPr>
          <w:sz w:val="22"/>
          <w:szCs w:val="22"/>
          <w:lang w:val="en-US" w:eastAsia="en-US"/>
        </w:rPr>
      </w:pPr>
      <w:r w:rsidRPr="00281602">
        <w:rPr>
          <w:sz w:val="22"/>
          <w:szCs w:val="22"/>
          <w:lang w:val="en-US" w:eastAsia="en-US"/>
        </w:rPr>
        <w:t>KEYWORDS: reconstruction, food production, ecology.</w:t>
      </w:r>
    </w:p>
    <w:p w:rsidR="00281602" w:rsidRPr="00281602" w:rsidRDefault="00281602" w:rsidP="0017022A">
      <w:pPr>
        <w:suppressAutoHyphens/>
        <w:ind w:firstLine="426"/>
        <w:jc w:val="both"/>
        <w:rPr>
          <w:color w:val="000000"/>
          <w:sz w:val="22"/>
          <w:szCs w:val="22"/>
          <w:lang w:val="en-US" w:eastAsia="en-US"/>
        </w:rPr>
      </w:pP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Пищевая промышленность включает большое количество отра</w:t>
      </w:r>
      <w:r w:rsidRPr="00281602">
        <w:rPr>
          <w:spacing w:val="-2"/>
          <w:sz w:val="22"/>
          <w:szCs w:val="22"/>
          <w:lang w:eastAsia="en-US"/>
        </w:rPr>
        <w:t>с</w:t>
      </w:r>
      <w:r w:rsidRPr="00281602">
        <w:rPr>
          <w:spacing w:val="-2"/>
          <w:sz w:val="22"/>
          <w:szCs w:val="22"/>
          <w:lang w:eastAsia="en-US"/>
        </w:rPr>
        <w:t>лей: мясоперерабатывающую, масложировую, сахарную, консер</w:t>
      </w:r>
      <w:r w:rsidRPr="00281602">
        <w:rPr>
          <w:spacing w:val="-2"/>
          <w:sz w:val="22"/>
          <w:szCs w:val="22"/>
          <w:lang w:eastAsia="en-US"/>
        </w:rPr>
        <w:t>в</w:t>
      </w:r>
      <w:r w:rsidRPr="00281602">
        <w:rPr>
          <w:spacing w:val="-2"/>
          <w:sz w:val="22"/>
          <w:szCs w:val="22"/>
          <w:lang w:eastAsia="en-US"/>
        </w:rPr>
        <w:t>ную, безалкогольную и т.д.</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При анализе современного состояния перечисленных отраслей было выявлено, что самое плачевное имеет производство плод</w:t>
      </w:r>
      <w:r w:rsidRPr="00281602">
        <w:rPr>
          <w:spacing w:val="-2"/>
          <w:sz w:val="22"/>
          <w:szCs w:val="22"/>
          <w:lang w:eastAsia="en-US"/>
        </w:rPr>
        <w:t>о</w:t>
      </w:r>
      <w:r w:rsidRPr="00281602">
        <w:rPr>
          <w:spacing w:val="-2"/>
          <w:sz w:val="22"/>
          <w:szCs w:val="22"/>
          <w:lang w:eastAsia="en-US"/>
        </w:rPr>
        <w:t>овощных консервов. Это связано с тем, что на предприятиях по их выработке до сих пор установлено оборудование Советского пери</w:t>
      </w:r>
      <w:r w:rsidRPr="00281602">
        <w:rPr>
          <w:spacing w:val="-2"/>
          <w:sz w:val="22"/>
          <w:szCs w:val="22"/>
          <w:lang w:eastAsia="en-US"/>
        </w:rPr>
        <w:t>о</w:t>
      </w:r>
      <w:r w:rsidRPr="00281602">
        <w:rPr>
          <w:spacing w:val="-2"/>
          <w:sz w:val="22"/>
          <w:szCs w:val="22"/>
          <w:lang w:eastAsia="en-US"/>
        </w:rPr>
        <w:t>да. В основном на массовое производство плодоовощной продукции запущены линии иностранного производства (Италия, Франция) что можно видеть на крупных предприятиях по производству овощных натуральных консервов и концентрированных томатопродуктов. Остальные ниши на данном этапе не заняты.</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В связи со сложившейся ситуацией необходимо данное прои</w:t>
      </w:r>
      <w:r w:rsidRPr="00281602">
        <w:rPr>
          <w:spacing w:val="-2"/>
          <w:sz w:val="22"/>
          <w:szCs w:val="22"/>
          <w:lang w:eastAsia="en-US"/>
        </w:rPr>
        <w:t>з</w:t>
      </w:r>
      <w:r w:rsidRPr="00281602">
        <w:rPr>
          <w:spacing w:val="-2"/>
          <w:sz w:val="22"/>
          <w:szCs w:val="22"/>
          <w:lang w:eastAsia="en-US"/>
        </w:rPr>
        <w:t>водство подвергнуть реконструкции.</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Согласно «Государственной программе развития сельского х</w:t>
      </w:r>
      <w:r w:rsidRPr="00281602">
        <w:rPr>
          <w:spacing w:val="-2"/>
          <w:sz w:val="22"/>
          <w:szCs w:val="22"/>
          <w:lang w:eastAsia="en-US"/>
        </w:rPr>
        <w:t>о</w:t>
      </w:r>
      <w:r w:rsidRPr="00281602">
        <w:rPr>
          <w:spacing w:val="-2"/>
          <w:sz w:val="22"/>
          <w:szCs w:val="22"/>
          <w:lang w:eastAsia="en-US"/>
        </w:rPr>
        <w:t>зяйства и регулирования рынков сельскохозяйственной продукции, сырья и продовольствия на 2013–2020 годы» [1], модернизация и о</w:t>
      </w:r>
      <w:r w:rsidRPr="00281602">
        <w:rPr>
          <w:spacing w:val="-2"/>
          <w:sz w:val="22"/>
          <w:szCs w:val="22"/>
          <w:lang w:eastAsia="en-US"/>
        </w:rPr>
        <w:t>б</w:t>
      </w:r>
      <w:r w:rsidRPr="00281602">
        <w:rPr>
          <w:spacing w:val="-2"/>
          <w:sz w:val="22"/>
          <w:szCs w:val="22"/>
          <w:lang w:eastAsia="en-US"/>
        </w:rPr>
        <w:t>новление действующих предприятий пищевой промышленности, а также развитие новых предприятий будет осуществляться за счет и</w:t>
      </w:r>
      <w:r w:rsidRPr="00281602">
        <w:rPr>
          <w:spacing w:val="-2"/>
          <w:sz w:val="22"/>
          <w:szCs w:val="22"/>
          <w:lang w:eastAsia="en-US"/>
        </w:rPr>
        <w:t>н</w:t>
      </w:r>
      <w:r w:rsidRPr="00281602">
        <w:rPr>
          <w:spacing w:val="-2"/>
          <w:sz w:val="22"/>
          <w:szCs w:val="22"/>
          <w:lang w:eastAsia="en-US"/>
        </w:rPr>
        <w:t>вестиционного кредитования, долгосрочных кредитов коммерческих и государственных банков, а также за счет средств, выделенных го</w:t>
      </w:r>
      <w:r w:rsidRPr="00281602">
        <w:rPr>
          <w:spacing w:val="-2"/>
          <w:sz w:val="22"/>
          <w:szCs w:val="22"/>
          <w:lang w:eastAsia="en-US"/>
        </w:rPr>
        <w:t>с</w:t>
      </w:r>
      <w:r w:rsidRPr="00281602">
        <w:rPr>
          <w:spacing w:val="-2"/>
          <w:sz w:val="22"/>
          <w:szCs w:val="22"/>
          <w:lang w:eastAsia="en-US"/>
        </w:rPr>
        <w:t>ударством на данную целевую программу.</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В соответствии с данной целевой программой правительство приняло решение консолидировать все источники финансирования АПК с целью эффективного вложения средств. Также программа предусматривает эффективное использование ресурсов за счет пр</w:t>
      </w:r>
      <w:r w:rsidRPr="00281602">
        <w:rPr>
          <w:spacing w:val="-2"/>
          <w:sz w:val="22"/>
          <w:szCs w:val="22"/>
          <w:lang w:eastAsia="en-US"/>
        </w:rPr>
        <w:t>и</w:t>
      </w:r>
      <w:r w:rsidRPr="00281602">
        <w:rPr>
          <w:spacing w:val="-2"/>
          <w:sz w:val="22"/>
          <w:szCs w:val="22"/>
          <w:lang w:eastAsia="en-US"/>
        </w:rPr>
        <w:t>менения ресурсосберегающих технологий.</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lastRenderedPageBreak/>
        <w:t>Основными требованиям к реконструкции является обеспечение сырьевой базой от цеха не более чем 60 км, соответственно необх</w:t>
      </w:r>
      <w:r w:rsidRPr="00281602">
        <w:rPr>
          <w:spacing w:val="-2"/>
          <w:sz w:val="22"/>
          <w:szCs w:val="22"/>
          <w:lang w:eastAsia="en-US"/>
        </w:rPr>
        <w:t>о</w:t>
      </w:r>
      <w:r w:rsidRPr="00281602">
        <w:rPr>
          <w:spacing w:val="-2"/>
          <w:sz w:val="22"/>
          <w:szCs w:val="22"/>
          <w:lang w:eastAsia="en-US"/>
        </w:rPr>
        <w:t>дим анализ выращиваемого в той или иной зоне фруктов и овощей. Массовое их возделывание можно наблюдать в южных регионах страны.</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Также важна рентабельность предприятия, которая во многом зависит от цены на оборудование. Необходимо разрабатывать совр</w:t>
      </w:r>
      <w:r w:rsidRPr="00281602">
        <w:rPr>
          <w:spacing w:val="-2"/>
          <w:sz w:val="22"/>
          <w:szCs w:val="22"/>
          <w:lang w:eastAsia="en-US"/>
        </w:rPr>
        <w:t>е</w:t>
      </w:r>
      <w:r w:rsidRPr="00281602">
        <w:rPr>
          <w:spacing w:val="-2"/>
          <w:sz w:val="22"/>
          <w:szCs w:val="22"/>
          <w:lang w:eastAsia="en-US"/>
        </w:rPr>
        <w:t>менные модели и модернизировать уже имеющие с целью их конк</w:t>
      </w:r>
      <w:r w:rsidRPr="00281602">
        <w:rPr>
          <w:spacing w:val="-2"/>
          <w:sz w:val="22"/>
          <w:szCs w:val="22"/>
          <w:lang w:eastAsia="en-US"/>
        </w:rPr>
        <w:t>у</w:t>
      </w:r>
      <w:r w:rsidRPr="00281602">
        <w:rPr>
          <w:spacing w:val="-2"/>
          <w:sz w:val="22"/>
          <w:szCs w:val="22"/>
          <w:lang w:eastAsia="en-US"/>
        </w:rPr>
        <w:t>рентоспособности по отношению к импортному оборудованию.</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Оборудование и технология должна отвечать современным тр</w:t>
      </w:r>
      <w:r w:rsidRPr="00281602">
        <w:rPr>
          <w:spacing w:val="-2"/>
          <w:sz w:val="22"/>
          <w:szCs w:val="22"/>
          <w:lang w:eastAsia="en-US"/>
        </w:rPr>
        <w:t>е</w:t>
      </w:r>
      <w:r w:rsidRPr="00281602">
        <w:rPr>
          <w:spacing w:val="-2"/>
          <w:sz w:val="22"/>
          <w:szCs w:val="22"/>
          <w:lang w:eastAsia="en-US"/>
        </w:rPr>
        <w:t>бованиям по экологическим показателям, а именно выбросам в атм</w:t>
      </w:r>
      <w:r w:rsidRPr="00281602">
        <w:rPr>
          <w:spacing w:val="-2"/>
          <w:sz w:val="22"/>
          <w:szCs w:val="22"/>
          <w:lang w:eastAsia="en-US"/>
        </w:rPr>
        <w:t>о</w:t>
      </w:r>
      <w:r w:rsidRPr="00281602">
        <w:rPr>
          <w:spacing w:val="-2"/>
          <w:sz w:val="22"/>
          <w:szCs w:val="22"/>
          <w:lang w:eastAsia="en-US"/>
        </w:rPr>
        <w:t>сферу и составу сточных вод, что достигается правильным подбором оборудования и очистными сооружениями [2].</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Необходимо предусмотреть безотходное производство для ув</w:t>
      </w:r>
      <w:r w:rsidRPr="00281602">
        <w:rPr>
          <w:spacing w:val="-2"/>
          <w:sz w:val="22"/>
          <w:szCs w:val="22"/>
          <w:lang w:eastAsia="en-US"/>
        </w:rPr>
        <w:t>е</w:t>
      </w:r>
      <w:r w:rsidRPr="00281602">
        <w:rPr>
          <w:spacing w:val="-2"/>
          <w:sz w:val="22"/>
          <w:szCs w:val="22"/>
          <w:lang w:eastAsia="en-US"/>
        </w:rPr>
        <w:t>личения рентабельности [3].</w:t>
      </w:r>
    </w:p>
    <w:p w:rsidR="00281602" w:rsidRPr="00281602" w:rsidRDefault="00281602" w:rsidP="0017022A">
      <w:pPr>
        <w:ind w:firstLine="426"/>
        <w:jc w:val="both"/>
        <w:rPr>
          <w:spacing w:val="-2"/>
          <w:sz w:val="22"/>
          <w:szCs w:val="22"/>
          <w:lang w:eastAsia="en-US"/>
        </w:rPr>
      </w:pPr>
      <w:r w:rsidRPr="00281602">
        <w:rPr>
          <w:spacing w:val="-2"/>
          <w:sz w:val="22"/>
          <w:szCs w:val="22"/>
          <w:lang w:eastAsia="en-US"/>
        </w:rPr>
        <w:t>Приведенные основные проблемы реконструкции пищевых предприятий являются основанием для направлений исследований в магистерских диссертациях.</w:t>
      </w:r>
    </w:p>
    <w:p w:rsidR="00281602" w:rsidRPr="00281602" w:rsidRDefault="00281602" w:rsidP="0017022A">
      <w:pPr>
        <w:ind w:firstLine="426"/>
        <w:jc w:val="both"/>
        <w:rPr>
          <w:spacing w:val="-2"/>
          <w:sz w:val="22"/>
          <w:szCs w:val="22"/>
          <w:lang w:eastAsia="en-US"/>
        </w:rPr>
      </w:pPr>
    </w:p>
    <w:p w:rsidR="00281602" w:rsidRPr="00281602" w:rsidRDefault="00281602" w:rsidP="0017022A">
      <w:pPr>
        <w:ind w:firstLine="426"/>
        <w:jc w:val="center"/>
        <w:rPr>
          <w:sz w:val="22"/>
          <w:szCs w:val="22"/>
          <w:lang w:eastAsia="en-US"/>
        </w:rPr>
      </w:pPr>
      <w:r w:rsidRPr="00281602">
        <w:rPr>
          <w:sz w:val="22"/>
          <w:szCs w:val="22"/>
          <w:lang w:eastAsia="en-US"/>
        </w:rPr>
        <w:t>Список литературы</w:t>
      </w:r>
    </w:p>
    <w:p w:rsidR="00281602" w:rsidRPr="00281602" w:rsidRDefault="00281602" w:rsidP="0017022A">
      <w:pPr>
        <w:ind w:firstLine="426"/>
        <w:jc w:val="both"/>
        <w:rPr>
          <w:sz w:val="22"/>
          <w:szCs w:val="22"/>
          <w:lang w:eastAsia="en-US"/>
        </w:rPr>
      </w:pPr>
      <w:r w:rsidRPr="00281602">
        <w:rPr>
          <w:sz w:val="22"/>
          <w:szCs w:val="22"/>
          <w:lang w:eastAsia="en-US"/>
        </w:rPr>
        <w:t xml:space="preserve">1. Государственная программа развития сельского хозяйства и регулирования рынков сельскохозяйственной продукции, сырья и продовольствия на 2013-2020 годы [Электронный ресурс] </w:t>
      </w:r>
      <w:r w:rsidRPr="00281602">
        <w:rPr>
          <w:sz w:val="22"/>
          <w:szCs w:val="22"/>
          <w:lang w:val="en-US" w:eastAsia="en-US"/>
        </w:rPr>
        <w:t>www</w:t>
      </w:r>
      <w:r w:rsidRPr="00281602">
        <w:rPr>
          <w:sz w:val="22"/>
          <w:szCs w:val="22"/>
          <w:lang w:eastAsia="en-US"/>
        </w:rPr>
        <w:t>.</w:t>
      </w:r>
      <w:r w:rsidRPr="00281602">
        <w:rPr>
          <w:sz w:val="22"/>
          <w:szCs w:val="22"/>
          <w:lang w:val="en-US" w:eastAsia="en-US"/>
        </w:rPr>
        <w:t>consultant</w:t>
      </w:r>
      <w:r w:rsidRPr="00281602">
        <w:rPr>
          <w:sz w:val="22"/>
          <w:szCs w:val="22"/>
          <w:lang w:eastAsia="en-US"/>
        </w:rPr>
        <w:t>.</w:t>
      </w:r>
      <w:r w:rsidRPr="00281602">
        <w:rPr>
          <w:sz w:val="22"/>
          <w:szCs w:val="22"/>
          <w:lang w:val="en-US" w:eastAsia="en-US"/>
        </w:rPr>
        <w:t>ru</w:t>
      </w:r>
    </w:p>
    <w:p w:rsidR="00281602" w:rsidRPr="00281602" w:rsidRDefault="00281602" w:rsidP="0017022A">
      <w:pPr>
        <w:ind w:firstLine="426"/>
        <w:jc w:val="both"/>
        <w:rPr>
          <w:sz w:val="22"/>
          <w:szCs w:val="22"/>
          <w:lang w:eastAsia="en-US"/>
        </w:rPr>
      </w:pPr>
      <w:r w:rsidRPr="00281602">
        <w:rPr>
          <w:sz w:val="22"/>
          <w:szCs w:val="22"/>
          <w:lang w:eastAsia="en-US"/>
        </w:rPr>
        <w:t>2. Красноселова, Е.А. О необходимости и эффективности вне</w:t>
      </w:r>
      <w:r w:rsidRPr="00281602">
        <w:rPr>
          <w:sz w:val="22"/>
          <w:szCs w:val="22"/>
          <w:lang w:eastAsia="en-US"/>
        </w:rPr>
        <w:t>д</w:t>
      </w:r>
      <w:r w:rsidRPr="00281602">
        <w:rPr>
          <w:sz w:val="22"/>
          <w:szCs w:val="22"/>
          <w:lang w:eastAsia="en-US"/>
        </w:rPr>
        <w:t>рения безотходных технологий в современную пищевую промы</w:t>
      </w:r>
      <w:r w:rsidRPr="00281602">
        <w:rPr>
          <w:sz w:val="22"/>
          <w:szCs w:val="22"/>
          <w:lang w:eastAsia="en-US"/>
        </w:rPr>
        <w:t>ш</w:t>
      </w:r>
      <w:r w:rsidRPr="00281602">
        <w:rPr>
          <w:sz w:val="22"/>
          <w:szCs w:val="22"/>
          <w:lang w:eastAsia="en-US"/>
        </w:rPr>
        <w:t>ленность/ Е.А. Красноселова, М.В. Тайкова// Современные аспекты производства и переработки сельскохозяйственной продукции: Сб. статей по материалам III науч.-практ. конф./Кубанский госуда</w:t>
      </w:r>
      <w:r w:rsidRPr="00281602">
        <w:rPr>
          <w:sz w:val="22"/>
          <w:szCs w:val="22"/>
          <w:lang w:eastAsia="en-US"/>
        </w:rPr>
        <w:t>р</w:t>
      </w:r>
      <w:r w:rsidRPr="00281602">
        <w:rPr>
          <w:sz w:val="22"/>
          <w:szCs w:val="22"/>
          <w:lang w:eastAsia="en-US"/>
        </w:rPr>
        <w:t>ственный аграрный университет. – Краснодар, 2017. – С. 669–675</w:t>
      </w:r>
    </w:p>
    <w:p w:rsidR="00281602" w:rsidRPr="00281602" w:rsidRDefault="00281602" w:rsidP="0017022A">
      <w:pPr>
        <w:ind w:firstLine="426"/>
        <w:jc w:val="both"/>
        <w:rPr>
          <w:sz w:val="22"/>
          <w:szCs w:val="22"/>
          <w:lang w:eastAsia="en-US"/>
        </w:rPr>
      </w:pPr>
      <w:r w:rsidRPr="00281602">
        <w:rPr>
          <w:sz w:val="22"/>
          <w:szCs w:val="22"/>
          <w:lang w:eastAsia="en-US"/>
        </w:rPr>
        <w:t>3. ИТС 44-2017. Производство продуктов питания. – М.: Бюро НДТ, 2017 – 436 с.</w:t>
      </w:r>
    </w:p>
    <w:p w:rsidR="00281602" w:rsidRDefault="00281602" w:rsidP="00281602">
      <w:pPr>
        <w:jc w:val="both"/>
        <w:rPr>
          <w:rFonts w:eastAsia="Calibri"/>
          <w:spacing w:val="-10"/>
          <w:sz w:val="22"/>
          <w:szCs w:val="22"/>
          <w:lang w:eastAsia="en-US"/>
        </w:rPr>
      </w:pPr>
    </w:p>
    <w:p w:rsidR="0017022A" w:rsidRDefault="0017022A" w:rsidP="00281602">
      <w:pPr>
        <w:jc w:val="both"/>
        <w:rPr>
          <w:rFonts w:eastAsia="Calibri"/>
          <w:spacing w:val="-10"/>
          <w:sz w:val="22"/>
          <w:szCs w:val="22"/>
          <w:lang w:eastAsia="en-US"/>
        </w:rPr>
      </w:pPr>
    </w:p>
    <w:p w:rsidR="0017022A" w:rsidRDefault="0017022A" w:rsidP="00281602">
      <w:pPr>
        <w:jc w:val="both"/>
        <w:rPr>
          <w:rFonts w:eastAsia="Calibri"/>
          <w:spacing w:val="-10"/>
          <w:sz w:val="22"/>
          <w:szCs w:val="22"/>
          <w:lang w:eastAsia="en-US"/>
        </w:rPr>
      </w:pPr>
    </w:p>
    <w:p w:rsidR="0098373C" w:rsidRDefault="0098373C" w:rsidP="00281602">
      <w:pPr>
        <w:jc w:val="both"/>
        <w:rPr>
          <w:rFonts w:eastAsia="Calibri"/>
          <w:spacing w:val="-10"/>
          <w:sz w:val="22"/>
          <w:szCs w:val="22"/>
          <w:lang w:eastAsia="en-US"/>
        </w:rPr>
      </w:pPr>
    </w:p>
    <w:p w:rsidR="0098373C" w:rsidRDefault="0098373C" w:rsidP="00281602">
      <w:pPr>
        <w:jc w:val="both"/>
        <w:rPr>
          <w:rFonts w:eastAsia="Calibri"/>
          <w:spacing w:val="-10"/>
          <w:sz w:val="22"/>
          <w:szCs w:val="22"/>
          <w:lang w:eastAsia="en-US"/>
        </w:rPr>
      </w:pPr>
    </w:p>
    <w:p w:rsidR="0098373C" w:rsidRPr="00281602" w:rsidRDefault="0098373C" w:rsidP="00281602">
      <w:pPr>
        <w:jc w:val="both"/>
        <w:rPr>
          <w:rFonts w:eastAsia="Calibri"/>
          <w:spacing w:val="-10"/>
          <w:sz w:val="22"/>
          <w:szCs w:val="22"/>
          <w:lang w:eastAsia="en-US"/>
        </w:rPr>
      </w:pPr>
    </w:p>
    <w:p w:rsidR="00281602" w:rsidRPr="0017022A" w:rsidRDefault="00281602" w:rsidP="00281602">
      <w:pPr>
        <w:rPr>
          <w:rFonts w:eastAsia="Calibri"/>
          <w:caps/>
          <w:sz w:val="22"/>
          <w:szCs w:val="22"/>
          <w:lang w:eastAsia="en-US"/>
        </w:rPr>
      </w:pPr>
      <w:r w:rsidRPr="0017022A">
        <w:rPr>
          <w:rFonts w:eastAsia="Calibri"/>
          <w:caps/>
          <w:sz w:val="22"/>
          <w:szCs w:val="22"/>
          <w:lang w:eastAsia="en-US"/>
        </w:rPr>
        <w:lastRenderedPageBreak/>
        <w:t>удк 664.784.3</w:t>
      </w:r>
    </w:p>
    <w:p w:rsidR="00281602" w:rsidRPr="0017022A" w:rsidRDefault="00281602" w:rsidP="00281602">
      <w:pPr>
        <w:rPr>
          <w:rFonts w:eastAsia="Calibri"/>
          <w:caps/>
          <w:sz w:val="22"/>
          <w:szCs w:val="22"/>
          <w:lang w:eastAsia="en-US"/>
        </w:rPr>
      </w:pPr>
    </w:p>
    <w:p w:rsidR="00281602" w:rsidRDefault="00281602" w:rsidP="00281602">
      <w:pPr>
        <w:jc w:val="center"/>
        <w:rPr>
          <w:rFonts w:eastAsia="Calibri"/>
          <w:b/>
          <w:sz w:val="24"/>
          <w:szCs w:val="24"/>
          <w:lang w:eastAsia="en-US"/>
        </w:rPr>
      </w:pPr>
      <w:r w:rsidRPr="00281602">
        <w:rPr>
          <w:rFonts w:eastAsia="Calibri"/>
          <w:b/>
          <w:sz w:val="24"/>
          <w:szCs w:val="24"/>
          <w:lang w:eastAsia="en-US"/>
        </w:rPr>
        <w:t>Применение нетрадиционного вида муки в хлебопечении</w:t>
      </w:r>
    </w:p>
    <w:p w:rsidR="0017022A" w:rsidRPr="0017022A" w:rsidRDefault="0017022A" w:rsidP="00281602">
      <w:pPr>
        <w:jc w:val="center"/>
        <w:rPr>
          <w:rFonts w:eastAsia="Calibri"/>
          <w:b/>
          <w:sz w:val="24"/>
          <w:szCs w:val="24"/>
          <w:lang w:val="en-US" w:eastAsia="en-US"/>
        </w:rPr>
      </w:pPr>
      <w:r w:rsidRPr="0017022A">
        <w:rPr>
          <w:rFonts w:eastAsia="Calibri"/>
          <w:b/>
          <w:sz w:val="24"/>
          <w:szCs w:val="24"/>
          <w:lang w:val="en-US" w:eastAsia="en-US"/>
        </w:rPr>
        <w:t>Application of non-traditional type of flour in bakery</w:t>
      </w:r>
    </w:p>
    <w:p w:rsidR="00281602" w:rsidRPr="0017022A" w:rsidRDefault="00281602" w:rsidP="00281602">
      <w:pPr>
        <w:jc w:val="right"/>
        <w:rPr>
          <w:rFonts w:eastAsia="Calibri"/>
          <w:sz w:val="22"/>
          <w:szCs w:val="22"/>
          <w:lang w:val="en-US"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Невенчаная Г.</w:t>
      </w:r>
      <w:r w:rsidR="0017022A">
        <w:rPr>
          <w:rFonts w:eastAsia="Calibri"/>
          <w:sz w:val="22"/>
          <w:szCs w:val="22"/>
          <w:lang w:eastAsia="en-US"/>
        </w:rPr>
        <w:t xml:space="preserve"> </w:t>
      </w:r>
      <w:r w:rsidRPr="00281602">
        <w:rPr>
          <w:rFonts w:eastAsia="Calibri"/>
          <w:sz w:val="22"/>
          <w:szCs w:val="22"/>
          <w:lang w:eastAsia="en-US"/>
        </w:rPr>
        <w:t>А.,</w:t>
      </w:r>
    </w:p>
    <w:p w:rsidR="0017022A" w:rsidRDefault="00281602" w:rsidP="00281602">
      <w:pPr>
        <w:jc w:val="right"/>
        <w:rPr>
          <w:rFonts w:eastAsia="Calibri"/>
          <w:sz w:val="22"/>
          <w:szCs w:val="22"/>
          <w:lang w:eastAsia="en-US"/>
        </w:rPr>
      </w:pPr>
      <w:r w:rsidRPr="00281602">
        <w:rPr>
          <w:rFonts w:eastAsia="Calibri"/>
          <w:sz w:val="22"/>
          <w:szCs w:val="22"/>
          <w:lang w:eastAsia="en-US"/>
        </w:rPr>
        <w:t>студентка 3-го курса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факультета 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Храпко О.</w:t>
      </w:r>
      <w:r w:rsidR="0017022A">
        <w:rPr>
          <w:rFonts w:eastAsia="Calibri"/>
          <w:sz w:val="22"/>
          <w:szCs w:val="22"/>
          <w:lang w:eastAsia="en-US"/>
        </w:rPr>
        <w:t xml:space="preserve"> П.,</w:t>
      </w:r>
    </w:p>
    <w:p w:rsidR="0017022A"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 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переработки растениеводче</w:t>
      </w:r>
      <w:r w:rsidR="0017022A">
        <w:rPr>
          <w:rFonts w:eastAsia="Calibri"/>
          <w:sz w:val="22"/>
          <w:szCs w:val="22"/>
          <w:lang w:eastAsia="en-US"/>
        </w:rPr>
        <w:t>ской продукции,</w:t>
      </w:r>
    </w:p>
    <w:p w:rsidR="0017022A"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17022A">
      <w:pPr>
        <w:jc w:val="right"/>
        <w:rPr>
          <w:rFonts w:eastAsia="Calibri"/>
          <w:sz w:val="22"/>
          <w:szCs w:val="22"/>
          <w:lang w:eastAsia="en-US"/>
        </w:rPr>
      </w:pPr>
      <w:r w:rsidRPr="00281602">
        <w:rPr>
          <w:rFonts w:eastAsia="Calibri"/>
          <w:sz w:val="22"/>
          <w:szCs w:val="22"/>
          <w:lang w:eastAsia="en-US"/>
        </w:rPr>
        <w:t xml:space="preserve"> университет имени И.</w:t>
      </w:r>
      <w:r w:rsidR="0017022A">
        <w:rPr>
          <w:rFonts w:eastAsia="Calibri"/>
          <w:sz w:val="22"/>
          <w:szCs w:val="22"/>
          <w:lang w:eastAsia="en-US"/>
        </w:rPr>
        <w:t xml:space="preserve"> </w:t>
      </w:r>
      <w:r w:rsidRPr="00281602">
        <w:rPr>
          <w:rFonts w:eastAsia="Calibri"/>
          <w:sz w:val="22"/>
          <w:szCs w:val="22"/>
          <w:lang w:eastAsia="en-US"/>
        </w:rPr>
        <w:t>Т. Тру</w:t>
      </w:r>
      <w:r w:rsidR="0017022A">
        <w:rPr>
          <w:rFonts w:eastAsia="Calibri"/>
          <w:sz w:val="22"/>
          <w:szCs w:val="22"/>
          <w:lang w:eastAsia="en-US"/>
        </w:rPr>
        <w:t>билина</w:t>
      </w:r>
    </w:p>
    <w:p w:rsidR="00281602" w:rsidRPr="00281602" w:rsidRDefault="00281602" w:rsidP="00281602">
      <w:pPr>
        <w:jc w:val="both"/>
        <w:rPr>
          <w:rFonts w:eastAsia="Calibri"/>
          <w:sz w:val="22"/>
          <w:szCs w:val="22"/>
          <w:lang w:eastAsia="en-US"/>
        </w:rPr>
      </w:pPr>
    </w:p>
    <w:p w:rsidR="00281602" w:rsidRDefault="00281602" w:rsidP="0017022A">
      <w:pPr>
        <w:ind w:firstLine="426"/>
        <w:jc w:val="both"/>
        <w:rPr>
          <w:rFonts w:eastAsia="Calibri"/>
          <w:sz w:val="22"/>
          <w:szCs w:val="22"/>
          <w:lang w:eastAsia="en-US"/>
        </w:rPr>
      </w:pPr>
      <w:r w:rsidRPr="00281602">
        <w:rPr>
          <w:rFonts w:eastAsia="Calibri"/>
          <w:sz w:val="22"/>
          <w:szCs w:val="22"/>
          <w:lang w:eastAsia="en-US"/>
        </w:rPr>
        <w:t>АННОТАЦИЯ: В работе приведены результаты исследований по применению муки из белозерной кукурузы в хлебопечении. Из</w:t>
      </w:r>
      <w:r w:rsidRPr="00281602">
        <w:rPr>
          <w:rFonts w:eastAsia="Calibri"/>
          <w:sz w:val="22"/>
          <w:szCs w:val="22"/>
          <w:lang w:eastAsia="en-US"/>
        </w:rPr>
        <w:t>у</w:t>
      </w:r>
      <w:r w:rsidRPr="00281602">
        <w:rPr>
          <w:rFonts w:eastAsia="Calibri"/>
          <w:sz w:val="22"/>
          <w:szCs w:val="22"/>
          <w:lang w:eastAsia="en-US"/>
        </w:rPr>
        <w:t>чен химический состав, органолептические и физико-химические показатели качества белозерной муки.</w:t>
      </w:r>
    </w:p>
    <w:p w:rsidR="0017022A" w:rsidRPr="0017022A" w:rsidRDefault="0017022A" w:rsidP="0017022A">
      <w:pPr>
        <w:ind w:firstLine="426"/>
        <w:jc w:val="both"/>
        <w:rPr>
          <w:rFonts w:eastAsia="Calibri"/>
          <w:sz w:val="22"/>
          <w:szCs w:val="22"/>
          <w:lang w:val="en-US" w:eastAsia="en-US"/>
        </w:rPr>
      </w:pPr>
      <w:r w:rsidRPr="0017022A">
        <w:rPr>
          <w:rFonts w:eastAsia="Calibri"/>
          <w:sz w:val="22"/>
          <w:szCs w:val="22"/>
          <w:lang w:val="en-US" w:eastAsia="en-US"/>
        </w:rPr>
        <w:t>ABSTRACT: The paper presents the results of research on the use of white wheat flour in bakery. The chemical composition, organoleptic and physicochemical indicators of the quality of white-grained flour have been studied.</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КЛЮЧЕВЫЕ СЛОВА: белозерная кукуруза, кукурузная мука, пшеничная мука.</w:t>
      </w:r>
    </w:p>
    <w:p w:rsidR="00281602" w:rsidRPr="001755C3" w:rsidRDefault="0017022A" w:rsidP="0017022A">
      <w:pPr>
        <w:ind w:firstLine="426"/>
        <w:jc w:val="both"/>
        <w:rPr>
          <w:rFonts w:eastAsia="Calibri"/>
          <w:sz w:val="22"/>
          <w:szCs w:val="22"/>
          <w:lang w:val="en-US" w:eastAsia="en-US"/>
        </w:rPr>
      </w:pPr>
      <w:r w:rsidRPr="0017022A">
        <w:rPr>
          <w:rFonts w:eastAsia="Calibri"/>
          <w:sz w:val="22"/>
          <w:szCs w:val="22"/>
          <w:lang w:val="en-US" w:eastAsia="en-US"/>
        </w:rPr>
        <w:t>KEYWORDS: white-grained corn, corn flour, wheat flour.</w:t>
      </w:r>
    </w:p>
    <w:p w:rsidR="0017022A" w:rsidRPr="001755C3" w:rsidRDefault="0017022A" w:rsidP="0017022A">
      <w:pPr>
        <w:ind w:firstLine="426"/>
        <w:jc w:val="both"/>
        <w:rPr>
          <w:rFonts w:eastAsia="Calibri"/>
          <w:sz w:val="22"/>
          <w:szCs w:val="22"/>
          <w:lang w:val="en-US" w:eastAsia="en-US"/>
        </w:rPr>
      </w:pP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Полноценному и регулярному снабжению человеческого орг</w:t>
      </w:r>
      <w:r w:rsidRPr="00281602">
        <w:rPr>
          <w:rFonts w:eastAsia="Calibri"/>
          <w:sz w:val="22"/>
          <w:szCs w:val="22"/>
          <w:lang w:eastAsia="en-US"/>
        </w:rPr>
        <w:t>а</w:t>
      </w:r>
      <w:r w:rsidRPr="00281602">
        <w:rPr>
          <w:rFonts w:eastAsia="Calibri"/>
          <w:sz w:val="22"/>
          <w:szCs w:val="22"/>
          <w:lang w:eastAsia="en-US"/>
        </w:rPr>
        <w:t>низма всеми необходимыми макро и микронутриентами принадл</w:t>
      </w:r>
      <w:r w:rsidRPr="00281602">
        <w:rPr>
          <w:rFonts w:eastAsia="Calibri"/>
          <w:sz w:val="22"/>
          <w:szCs w:val="22"/>
          <w:lang w:eastAsia="en-US"/>
        </w:rPr>
        <w:t>е</w:t>
      </w:r>
      <w:r w:rsidRPr="00281602">
        <w:rPr>
          <w:rFonts w:eastAsia="Calibri"/>
          <w:sz w:val="22"/>
          <w:szCs w:val="22"/>
          <w:lang w:eastAsia="en-US"/>
        </w:rPr>
        <w:t>жит важная роль среди прочих пищевых факторов. Наиболее э</w:t>
      </w:r>
      <w:r w:rsidRPr="00281602">
        <w:rPr>
          <w:rFonts w:eastAsia="Calibri"/>
          <w:sz w:val="22"/>
          <w:szCs w:val="22"/>
          <w:lang w:eastAsia="en-US"/>
        </w:rPr>
        <w:t>ф</w:t>
      </w:r>
      <w:r w:rsidRPr="00281602">
        <w:rPr>
          <w:rFonts w:eastAsia="Calibri"/>
          <w:sz w:val="22"/>
          <w:szCs w:val="22"/>
          <w:lang w:eastAsia="en-US"/>
        </w:rPr>
        <w:t>фективный путь обеспечения населения необходимыми элементами для ликвидации дефицита является создание функциональных пр</w:t>
      </w:r>
      <w:r w:rsidRPr="00281602">
        <w:rPr>
          <w:rFonts w:eastAsia="Calibri"/>
          <w:sz w:val="22"/>
          <w:szCs w:val="22"/>
          <w:lang w:eastAsia="en-US"/>
        </w:rPr>
        <w:t>о</w:t>
      </w:r>
      <w:r w:rsidRPr="00281602">
        <w:rPr>
          <w:rFonts w:eastAsia="Calibri"/>
          <w:sz w:val="22"/>
          <w:szCs w:val="22"/>
          <w:lang w:eastAsia="en-US"/>
        </w:rPr>
        <w:t>дуктов питания из числа продуктов массового потребления. Это направление нашло отражение в государственной политике в обл</w:t>
      </w:r>
      <w:r w:rsidRPr="00281602">
        <w:rPr>
          <w:rFonts w:eastAsia="Calibri"/>
          <w:sz w:val="22"/>
          <w:szCs w:val="22"/>
          <w:lang w:eastAsia="en-US"/>
        </w:rPr>
        <w:t>а</w:t>
      </w:r>
      <w:r w:rsidRPr="00281602">
        <w:rPr>
          <w:rFonts w:eastAsia="Calibri"/>
          <w:sz w:val="22"/>
          <w:szCs w:val="22"/>
          <w:lang w:eastAsia="en-US"/>
        </w:rPr>
        <w:t>сти здорового питания населения России.</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Хлеб и хлебобулочные изделия, являющиеся продуктами ма</w:t>
      </w:r>
      <w:r w:rsidRPr="00281602">
        <w:rPr>
          <w:rFonts w:eastAsia="Calibri"/>
          <w:sz w:val="22"/>
          <w:szCs w:val="22"/>
          <w:lang w:eastAsia="en-US"/>
        </w:rPr>
        <w:t>с</w:t>
      </w:r>
      <w:r w:rsidRPr="00281602">
        <w:rPr>
          <w:rFonts w:eastAsia="Calibri"/>
          <w:sz w:val="22"/>
          <w:szCs w:val="22"/>
          <w:lang w:eastAsia="en-US"/>
        </w:rPr>
        <w:t>сового потребления, целесообразно использовать как источник п</w:t>
      </w:r>
      <w:r w:rsidRPr="00281602">
        <w:rPr>
          <w:rFonts w:eastAsia="Calibri"/>
          <w:sz w:val="22"/>
          <w:szCs w:val="22"/>
          <w:lang w:eastAsia="en-US"/>
        </w:rPr>
        <w:t>о</w:t>
      </w:r>
      <w:r w:rsidRPr="00281602">
        <w:rPr>
          <w:rFonts w:eastAsia="Calibri"/>
          <w:sz w:val="22"/>
          <w:szCs w:val="22"/>
          <w:lang w:eastAsia="en-US"/>
        </w:rPr>
        <w:t>лезных для организма человека ингредиентов. С помощью хлебоб</w:t>
      </w:r>
      <w:r w:rsidRPr="00281602">
        <w:rPr>
          <w:rFonts w:eastAsia="Calibri"/>
          <w:sz w:val="22"/>
          <w:szCs w:val="22"/>
          <w:lang w:eastAsia="en-US"/>
        </w:rPr>
        <w:t>у</w:t>
      </w:r>
      <w:r w:rsidRPr="00281602">
        <w:rPr>
          <w:rFonts w:eastAsia="Calibri"/>
          <w:sz w:val="22"/>
          <w:szCs w:val="22"/>
          <w:lang w:eastAsia="en-US"/>
        </w:rPr>
        <w:t>лочных изделий с заданной рецептурой можно добиться коррект</w:t>
      </w:r>
      <w:r w:rsidRPr="00281602">
        <w:rPr>
          <w:rFonts w:eastAsia="Calibri"/>
          <w:sz w:val="22"/>
          <w:szCs w:val="22"/>
          <w:lang w:eastAsia="en-US"/>
        </w:rPr>
        <w:t>и</w:t>
      </w:r>
      <w:r w:rsidRPr="00281602">
        <w:rPr>
          <w:rFonts w:eastAsia="Calibri"/>
          <w:sz w:val="22"/>
          <w:szCs w:val="22"/>
          <w:lang w:eastAsia="en-US"/>
        </w:rPr>
        <w:lastRenderedPageBreak/>
        <w:t>ровки рациона населения, обогащая его всеми необходимыми эл</w:t>
      </w:r>
      <w:r w:rsidRPr="00281602">
        <w:rPr>
          <w:rFonts w:eastAsia="Calibri"/>
          <w:sz w:val="22"/>
          <w:szCs w:val="22"/>
          <w:lang w:eastAsia="en-US"/>
        </w:rPr>
        <w:t>е</w:t>
      </w:r>
      <w:r w:rsidRPr="00281602">
        <w:rPr>
          <w:rFonts w:eastAsia="Calibri"/>
          <w:sz w:val="22"/>
          <w:szCs w:val="22"/>
          <w:lang w:eastAsia="en-US"/>
        </w:rPr>
        <w:t>ментами [3, 4].</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Прекрасной обогащающей добавкой для хлебобулочных изд</w:t>
      </w:r>
      <w:r w:rsidRPr="00281602">
        <w:rPr>
          <w:rFonts w:eastAsia="Calibri"/>
          <w:sz w:val="22"/>
          <w:szCs w:val="22"/>
          <w:lang w:eastAsia="en-US"/>
        </w:rPr>
        <w:t>е</w:t>
      </w:r>
      <w:r w:rsidRPr="00281602">
        <w:rPr>
          <w:rFonts w:eastAsia="Calibri"/>
          <w:sz w:val="22"/>
          <w:szCs w:val="22"/>
          <w:lang w:eastAsia="en-US"/>
        </w:rPr>
        <w:t>лий, приготовленных из пшеничной муки, может являться кукуру</w:t>
      </w:r>
      <w:r w:rsidRPr="00281602">
        <w:rPr>
          <w:rFonts w:eastAsia="Calibri"/>
          <w:sz w:val="22"/>
          <w:szCs w:val="22"/>
          <w:lang w:eastAsia="en-US"/>
        </w:rPr>
        <w:t>з</w:t>
      </w:r>
      <w:r w:rsidRPr="00281602">
        <w:rPr>
          <w:rFonts w:eastAsia="Calibri"/>
          <w:sz w:val="22"/>
          <w:szCs w:val="22"/>
          <w:lang w:eastAsia="en-US"/>
        </w:rPr>
        <w:t>ная мука.</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Кукурузная мука имеет богатый химических состав. В ней с</w:t>
      </w:r>
      <w:r w:rsidRPr="00281602">
        <w:rPr>
          <w:rFonts w:eastAsia="Calibri"/>
          <w:sz w:val="22"/>
          <w:szCs w:val="22"/>
          <w:lang w:eastAsia="en-US"/>
        </w:rPr>
        <w:t>о</w:t>
      </w:r>
      <w:r w:rsidRPr="00281602">
        <w:rPr>
          <w:rFonts w:eastAsia="Calibri"/>
          <w:sz w:val="22"/>
          <w:szCs w:val="22"/>
          <w:lang w:eastAsia="en-US"/>
        </w:rPr>
        <w:t>держатся витамины группы В и РР, сахара, минеральные соли К, Са, М</w:t>
      </w:r>
      <w:r w:rsidRPr="00281602">
        <w:rPr>
          <w:rFonts w:eastAsia="Calibri"/>
          <w:sz w:val="22"/>
          <w:szCs w:val="22"/>
          <w:lang w:val="en-US" w:eastAsia="en-US"/>
        </w:rPr>
        <w:t>g</w:t>
      </w:r>
      <w:r w:rsidRPr="00281602">
        <w:rPr>
          <w:rFonts w:eastAsia="Calibri"/>
          <w:sz w:val="22"/>
          <w:szCs w:val="22"/>
          <w:lang w:eastAsia="en-US"/>
        </w:rPr>
        <w:t xml:space="preserve">, </w:t>
      </w:r>
      <w:r w:rsidRPr="00281602">
        <w:rPr>
          <w:rFonts w:eastAsia="Calibri"/>
          <w:sz w:val="22"/>
          <w:szCs w:val="22"/>
          <w:lang w:val="en-US" w:eastAsia="en-US"/>
        </w:rPr>
        <w:t>P</w:t>
      </w:r>
      <w:r w:rsidRPr="00281602">
        <w:rPr>
          <w:rFonts w:eastAsia="Calibri"/>
          <w:sz w:val="22"/>
          <w:szCs w:val="22"/>
          <w:lang w:eastAsia="en-US"/>
        </w:rPr>
        <w:t xml:space="preserve">, </w:t>
      </w:r>
      <w:r w:rsidRPr="00281602">
        <w:rPr>
          <w:rFonts w:eastAsia="Calibri"/>
          <w:sz w:val="22"/>
          <w:szCs w:val="22"/>
          <w:lang w:val="en-US" w:eastAsia="en-US"/>
        </w:rPr>
        <w:t>Fe</w:t>
      </w:r>
      <w:r w:rsidRPr="00281602">
        <w:rPr>
          <w:rFonts w:eastAsia="Calibri"/>
          <w:sz w:val="22"/>
          <w:szCs w:val="22"/>
          <w:lang w:eastAsia="en-US"/>
        </w:rPr>
        <w:t xml:space="preserve">, крахмал и каротин. Питательные свойства кукурузной муки превосходят свойства пшеничной. Так как кукурузная мука не содержит белок глютен, для производства хлебобулочных изделий ее рекомендуют использовать в смеси с пшеничной. </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Кукурузная мука легче, чем пшеничная усваивается органи</w:t>
      </w:r>
      <w:r w:rsidRPr="00281602">
        <w:rPr>
          <w:rFonts w:eastAsia="Calibri"/>
          <w:sz w:val="22"/>
          <w:szCs w:val="22"/>
          <w:lang w:eastAsia="en-US"/>
        </w:rPr>
        <w:t>з</w:t>
      </w:r>
      <w:r w:rsidRPr="00281602">
        <w:rPr>
          <w:rFonts w:eastAsia="Calibri"/>
          <w:sz w:val="22"/>
          <w:szCs w:val="22"/>
          <w:lang w:eastAsia="en-US"/>
        </w:rPr>
        <w:t>мом, стимулирует желчевыделение, обладает мочегонными сво</w:t>
      </w:r>
      <w:r w:rsidRPr="00281602">
        <w:rPr>
          <w:rFonts w:eastAsia="Calibri"/>
          <w:sz w:val="22"/>
          <w:szCs w:val="22"/>
          <w:lang w:eastAsia="en-US"/>
        </w:rPr>
        <w:t>й</w:t>
      </w:r>
      <w:r w:rsidRPr="00281602">
        <w:rPr>
          <w:rFonts w:eastAsia="Calibri"/>
          <w:sz w:val="22"/>
          <w:szCs w:val="22"/>
          <w:lang w:eastAsia="en-US"/>
        </w:rPr>
        <w:t>ствами, нормализует внутреннюю микрофлору, укрепляет серде</w:t>
      </w:r>
      <w:r w:rsidRPr="00281602">
        <w:rPr>
          <w:rFonts w:eastAsia="Calibri"/>
          <w:sz w:val="22"/>
          <w:szCs w:val="22"/>
          <w:lang w:eastAsia="en-US"/>
        </w:rPr>
        <w:t>ч</w:t>
      </w:r>
      <w:r w:rsidRPr="00281602">
        <w:rPr>
          <w:rFonts w:eastAsia="Calibri"/>
          <w:sz w:val="22"/>
          <w:szCs w:val="22"/>
          <w:lang w:eastAsia="en-US"/>
        </w:rPr>
        <w:t>но-сосудистую систему, способствует улучшению состояния кров</w:t>
      </w:r>
      <w:r w:rsidRPr="00281602">
        <w:rPr>
          <w:rFonts w:eastAsia="Calibri"/>
          <w:sz w:val="22"/>
          <w:szCs w:val="22"/>
          <w:lang w:eastAsia="en-US"/>
        </w:rPr>
        <w:t>е</w:t>
      </w:r>
      <w:r w:rsidRPr="00281602">
        <w:rPr>
          <w:rFonts w:eastAsia="Calibri"/>
          <w:sz w:val="22"/>
          <w:szCs w:val="22"/>
          <w:lang w:eastAsia="en-US"/>
        </w:rPr>
        <w:t>носных сосудов, нормализации уровня холестерина в крови и укреплению зубов [1, 2].</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На кафедре технологии хранения и переработки растениево</w:t>
      </w:r>
      <w:r w:rsidRPr="00281602">
        <w:rPr>
          <w:rFonts w:eastAsia="Calibri"/>
          <w:sz w:val="22"/>
          <w:szCs w:val="22"/>
          <w:lang w:eastAsia="en-US"/>
        </w:rPr>
        <w:t>д</w:t>
      </w:r>
      <w:r w:rsidRPr="00281602">
        <w:rPr>
          <w:rFonts w:eastAsia="Calibri"/>
          <w:sz w:val="22"/>
          <w:szCs w:val="22"/>
          <w:lang w:eastAsia="en-US"/>
        </w:rPr>
        <w:t>ческой продукции ФГБОУ ВО Кубанский ГАУ ведутся исследов</w:t>
      </w:r>
      <w:r w:rsidRPr="00281602">
        <w:rPr>
          <w:rFonts w:eastAsia="Calibri"/>
          <w:sz w:val="22"/>
          <w:szCs w:val="22"/>
          <w:lang w:eastAsia="en-US"/>
        </w:rPr>
        <w:t>а</w:t>
      </w:r>
      <w:r w:rsidRPr="00281602">
        <w:rPr>
          <w:rFonts w:eastAsia="Calibri"/>
          <w:sz w:val="22"/>
          <w:szCs w:val="22"/>
          <w:lang w:eastAsia="en-US"/>
        </w:rPr>
        <w:t>ния по применению муки из белозерной кукурузы в хлебобулочных изделиях.</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Нами был проведен анализ химического состава муки из бел</w:t>
      </w:r>
      <w:r w:rsidRPr="00281602">
        <w:rPr>
          <w:rFonts w:eastAsia="Calibri"/>
          <w:sz w:val="22"/>
          <w:szCs w:val="22"/>
          <w:lang w:eastAsia="en-US"/>
        </w:rPr>
        <w:t>о</w:t>
      </w:r>
      <w:r w:rsidRPr="00281602">
        <w:rPr>
          <w:rFonts w:eastAsia="Calibri"/>
          <w:sz w:val="22"/>
          <w:szCs w:val="22"/>
          <w:lang w:eastAsia="en-US"/>
        </w:rPr>
        <w:t>зерной кукурузы, который выявил повышенное содержание белков, жиров и углеводов по сравнению с пшеничной. Таким образом, б</w:t>
      </w:r>
      <w:r w:rsidRPr="00281602">
        <w:rPr>
          <w:rFonts w:eastAsia="Calibri"/>
          <w:sz w:val="22"/>
          <w:szCs w:val="22"/>
          <w:lang w:eastAsia="en-US"/>
        </w:rPr>
        <w:t>е</w:t>
      </w:r>
      <w:r w:rsidRPr="00281602">
        <w:rPr>
          <w:rFonts w:eastAsia="Calibri"/>
          <w:sz w:val="22"/>
          <w:szCs w:val="22"/>
          <w:lang w:eastAsia="en-US"/>
        </w:rPr>
        <w:t>лозерную кукурузную муку можно рекомендовать в качестве д</w:t>
      </w:r>
      <w:r w:rsidRPr="00281602">
        <w:rPr>
          <w:rFonts w:eastAsia="Calibri"/>
          <w:sz w:val="22"/>
          <w:szCs w:val="22"/>
          <w:lang w:eastAsia="en-US"/>
        </w:rPr>
        <w:t>о</w:t>
      </w:r>
      <w:r w:rsidRPr="00281602">
        <w:rPr>
          <w:rFonts w:eastAsia="Calibri"/>
          <w:sz w:val="22"/>
          <w:szCs w:val="22"/>
          <w:lang w:eastAsia="en-US"/>
        </w:rPr>
        <w:t>бавки для повышения биологической ценности хлебобулочных и</w:t>
      </w:r>
      <w:r w:rsidRPr="00281602">
        <w:rPr>
          <w:rFonts w:eastAsia="Calibri"/>
          <w:sz w:val="22"/>
          <w:szCs w:val="22"/>
          <w:lang w:eastAsia="en-US"/>
        </w:rPr>
        <w:t>з</w:t>
      </w:r>
      <w:r w:rsidRPr="00281602">
        <w:rPr>
          <w:rFonts w:eastAsia="Calibri"/>
          <w:sz w:val="22"/>
          <w:szCs w:val="22"/>
          <w:lang w:eastAsia="en-US"/>
        </w:rPr>
        <w:t>делий.</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Проведенная оценка качества муки по органолептическим и физико-химическим показателям показала, что такая мука может использоваться в хлебопечении. Мука из белозерной кукурузы им</w:t>
      </w:r>
      <w:r w:rsidRPr="00281602">
        <w:rPr>
          <w:rFonts w:eastAsia="Calibri"/>
          <w:sz w:val="22"/>
          <w:szCs w:val="22"/>
          <w:lang w:eastAsia="en-US"/>
        </w:rPr>
        <w:t>е</w:t>
      </w:r>
      <w:r w:rsidRPr="00281602">
        <w:rPr>
          <w:rFonts w:eastAsia="Calibri"/>
          <w:sz w:val="22"/>
          <w:szCs w:val="22"/>
          <w:lang w:eastAsia="en-US"/>
        </w:rPr>
        <w:t>ет белый цвет с легким желтоватым оттенком; вкус и запах сво</w:t>
      </w:r>
      <w:r w:rsidRPr="00281602">
        <w:rPr>
          <w:rFonts w:eastAsia="Calibri"/>
          <w:sz w:val="22"/>
          <w:szCs w:val="22"/>
          <w:lang w:eastAsia="en-US"/>
        </w:rPr>
        <w:t>й</w:t>
      </w:r>
      <w:r w:rsidRPr="00281602">
        <w:rPr>
          <w:rFonts w:eastAsia="Calibri"/>
          <w:sz w:val="22"/>
          <w:szCs w:val="22"/>
          <w:lang w:eastAsia="en-US"/>
        </w:rPr>
        <w:t>ственны виду муки. Кислотность белозерной кукурузной муки пр</w:t>
      </w:r>
      <w:r w:rsidRPr="00281602">
        <w:rPr>
          <w:rFonts w:eastAsia="Calibri"/>
          <w:sz w:val="22"/>
          <w:szCs w:val="22"/>
          <w:lang w:eastAsia="en-US"/>
        </w:rPr>
        <w:t>е</w:t>
      </w:r>
      <w:r w:rsidRPr="00281602">
        <w:rPr>
          <w:rFonts w:eastAsia="Calibri"/>
          <w:sz w:val="22"/>
          <w:szCs w:val="22"/>
          <w:lang w:eastAsia="en-US"/>
        </w:rPr>
        <w:t>вышает кислотность пшеничной: 8,5 и 2,6 град. соответственно.Это может положительно отразится на процессе брожения теста. Также определяли показатель белизны муки: 47,6 ед. прибора – у белозе</w:t>
      </w:r>
      <w:r w:rsidRPr="00281602">
        <w:rPr>
          <w:rFonts w:eastAsia="Calibri"/>
          <w:sz w:val="22"/>
          <w:szCs w:val="22"/>
          <w:lang w:eastAsia="en-US"/>
        </w:rPr>
        <w:t>р</w:t>
      </w:r>
      <w:r w:rsidRPr="00281602">
        <w:rPr>
          <w:rFonts w:eastAsia="Calibri"/>
          <w:sz w:val="22"/>
          <w:szCs w:val="22"/>
          <w:lang w:eastAsia="en-US"/>
        </w:rPr>
        <w:t>ной муки, 54,4 – у пшеничной муки. Влажность муки существенно не отличалась друг от друга.</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lastRenderedPageBreak/>
        <w:t>Дальнейшие исследования по определению дозировки внос</w:t>
      </w:r>
      <w:r w:rsidRPr="00281602">
        <w:rPr>
          <w:rFonts w:eastAsia="Calibri"/>
          <w:sz w:val="22"/>
          <w:szCs w:val="22"/>
          <w:lang w:eastAsia="en-US"/>
        </w:rPr>
        <w:t>и</w:t>
      </w:r>
      <w:r w:rsidRPr="00281602">
        <w:rPr>
          <w:rFonts w:eastAsia="Calibri"/>
          <w:sz w:val="22"/>
          <w:szCs w:val="22"/>
          <w:lang w:eastAsia="en-US"/>
        </w:rPr>
        <w:t>мой добавки выявили, что оптимальной является внесение 10% б</w:t>
      </w:r>
      <w:r w:rsidRPr="00281602">
        <w:rPr>
          <w:rFonts w:eastAsia="Calibri"/>
          <w:sz w:val="22"/>
          <w:szCs w:val="22"/>
          <w:lang w:eastAsia="en-US"/>
        </w:rPr>
        <w:t>е</w:t>
      </w:r>
      <w:r w:rsidRPr="00281602">
        <w:rPr>
          <w:rFonts w:eastAsia="Calibri"/>
          <w:sz w:val="22"/>
          <w:szCs w:val="22"/>
          <w:lang w:eastAsia="en-US"/>
        </w:rPr>
        <w:t>лозерной муки.</w:t>
      </w:r>
    </w:p>
    <w:p w:rsidR="00281602" w:rsidRPr="00281602" w:rsidRDefault="00281602" w:rsidP="0017022A">
      <w:pPr>
        <w:ind w:firstLine="426"/>
        <w:jc w:val="both"/>
        <w:rPr>
          <w:rFonts w:eastAsia="Calibri"/>
          <w:sz w:val="22"/>
          <w:szCs w:val="22"/>
          <w:lang w:eastAsia="en-US"/>
        </w:rPr>
      </w:pPr>
      <w:r w:rsidRPr="00281602">
        <w:rPr>
          <w:rFonts w:eastAsia="Calibri"/>
          <w:sz w:val="22"/>
          <w:szCs w:val="22"/>
          <w:lang w:eastAsia="en-US"/>
        </w:rPr>
        <w:t>По результатам исследований можно сделать вывод, что пр</w:t>
      </w:r>
      <w:r w:rsidRPr="00281602">
        <w:rPr>
          <w:rFonts w:eastAsia="Calibri"/>
          <w:sz w:val="22"/>
          <w:szCs w:val="22"/>
          <w:lang w:eastAsia="en-US"/>
        </w:rPr>
        <w:t>и</w:t>
      </w:r>
      <w:r w:rsidRPr="00281602">
        <w:rPr>
          <w:rFonts w:eastAsia="Calibri"/>
          <w:sz w:val="22"/>
          <w:szCs w:val="22"/>
          <w:lang w:eastAsia="en-US"/>
        </w:rPr>
        <w:t>менение кукурузной муки в хлебопечении является целесообразным и позволит получить изделия с повышенной пищевой ценностью.</w:t>
      </w:r>
    </w:p>
    <w:p w:rsidR="00281602" w:rsidRPr="00281602" w:rsidRDefault="00281602" w:rsidP="0017022A">
      <w:pPr>
        <w:tabs>
          <w:tab w:val="left" w:pos="180"/>
        </w:tabs>
        <w:autoSpaceDE w:val="0"/>
        <w:autoSpaceDN w:val="0"/>
        <w:adjustRightInd w:val="0"/>
        <w:ind w:firstLine="426"/>
        <w:jc w:val="center"/>
        <w:rPr>
          <w:b/>
          <w:bCs/>
          <w:i/>
          <w:iCs/>
          <w:color w:val="000000"/>
          <w:sz w:val="22"/>
          <w:szCs w:val="22"/>
        </w:rPr>
      </w:pPr>
    </w:p>
    <w:p w:rsidR="00281602" w:rsidRPr="00281602" w:rsidRDefault="00281602" w:rsidP="0017022A">
      <w:pPr>
        <w:tabs>
          <w:tab w:val="left" w:pos="180"/>
        </w:tabs>
        <w:autoSpaceDE w:val="0"/>
        <w:autoSpaceDN w:val="0"/>
        <w:adjustRightInd w:val="0"/>
        <w:ind w:firstLine="426"/>
        <w:jc w:val="center"/>
        <w:rPr>
          <w:bCs/>
          <w:iCs/>
          <w:color w:val="000000"/>
          <w:sz w:val="22"/>
          <w:szCs w:val="22"/>
        </w:rPr>
      </w:pPr>
      <w:r w:rsidRPr="00281602">
        <w:rPr>
          <w:bCs/>
          <w:iCs/>
          <w:color w:val="000000"/>
          <w:sz w:val="22"/>
          <w:szCs w:val="22"/>
        </w:rPr>
        <w:t>Список литературы</w:t>
      </w:r>
    </w:p>
    <w:p w:rsidR="00281602" w:rsidRPr="00281602" w:rsidRDefault="00564DAA" w:rsidP="0017022A">
      <w:pPr>
        <w:ind w:firstLine="426"/>
        <w:jc w:val="both"/>
        <w:rPr>
          <w:sz w:val="22"/>
          <w:szCs w:val="22"/>
        </w:rPr>
      </w:pPr>
      <w:r>
        <w:rPr>
          <w:sz w:val="22"/>
          <w:szCs w:val="22"/>
        </w:rPr>
        <w:t>1.</w:t>
      </w:r>
      <w:r w:rsidR="00281602" w:rsidRPr="00281602">
        <w:rPr>
          <w:sz w:val="22"/>
          <w:szCs w:val="22"/>
        </w:rPr>
        <w:t xml:space="preserve"> Невенчаная Г.А. Применение муки из белозерной кукурузы в хлебопечении / Г.А. </w:t>
      </w:r>
      <w:r w:rsidR="00281602" w:rsidRPr="00281602">
        <w:rPr>
          <w:iCs/>
          <w:sz w:val="22"/>
          <w:szCs w:val="22"/>
        </w:rPr>
        <w:t>Невенчаная, О.П. Храпко</w:t>
      </w:r>
      <w:r w:rsidR="00281602" w:rsidRPr="00281602">
        <w:rPr>
          <w:sz w:val="22"/>
          <w:szCs w:val="22"/>
        </w:rPr>
        <w:t>. Сборник статей по материалам ХI Всероссийской конференции молодых ученых, п</w:t>
      </w:r>
      <w:r w:rsidR="00281602" w:rsidRPr="00281602">
        <w:rPr>
          <w:sz w:val="22"/>
          <w:szCs w:val="22"/>
        </w:rPr>
        <w:t>о</w:t>
      </w:r>
      <w:r w:rsidR="00281602" w:rsidRPr="00281602">
        <w:rPr>
          <w:sz w:val="22"/>
          <w:szCs w:val="22"/>
        </w:rPr>
        <w:t>священной 95-летию Кубанского ГАУ и 80-летию со дня образов</w:t>
      </w:r>
      <w:r w:rsidR="00281602" w:rsidRPr="00281602">
        <w:rPr>
          <w:sz w:val="22"/>
          <w:szCs w:val="22"/>
        </w:rPr>
        <w:t>а</w:t>
      </w:r>
      <w:r w:rsidR="00281602" w:rsidRPr="00281602">
        <w:rPr>
          <w:sz w:val="22"/>
          <w:szCs w:val="22"/>
        </w:rPr>
        <w:t>ния Краснодарского края. Ответственный за выпуск А. Г. Кощаев. 2017. С. 949-950.</w:t>
      </w:r>
    </w:p>
    <w:p w:rsidR="00281602" w:rsidRPr="00281602" w:rsidRDefault="00564DAA" w:rsidP="0017022A">
      <w:pPr>
        <w:ind w:firstLine="426"/>
        <w:jc w:val="both"/>
        <w:rPr>
          <w:sz w:val="22"/>
          <w:szCs w:val="22"/>
        </w:rPr>
      </w:pPr>
      <w:r>
        <w:rPr>
          <w:sz w:val="22"/>
          <w:szCs w:val="22"/>
        </w:rPr>
        <w:t>2.</w:t>
      </w:r>
      <w:r w:rsidR="00281602" w:rsidRPr="00281602">
        <w:rPr>
          <w:sz w:val="22"/>
          <w:szCs w:val="22"/>
        </w:rPr>
        <w:t xml:space="preserve"> Невенчаная Г.А. Возможность использования муки из выс</w:t>
      </w:r>
      <w:r w:rsidR="00281602" w:rsidRPr="00281602">
        <w:rPr>
          <w:sz w:val="22"/>
          <w:szCs w:val="22"/>
        </w:rPr>
        <w:t>о</w:t>
      </w:r>
      <w:r w:rsidR="00281602" w:rsidRPr="00281602">
        <w:rPr>
          <w:sz w:val="22"/>
          <w:szCs w:val="22"/>
        </w:rPr>
        <w:t xml:space="preserve">колизиновой кукурузы в хлебопечении / Г.А. </w:t>
      </w:r>
      <w:r w:rsidR="00281602" w:rsidRPr="00281602">
        <w:rPr>
          <w:iCs/>
          <w:sz w:val="22"/>
          <w:szCs w:val="22"/>
        </w:rPr>
        <w:t>Невенчаная, Е.А. Ш</w:t>
      </w:r>
      <w:r w:rsidR="00281602" w:rsidRPr="00281602">
        <w:rPr>
          <w:iCs/>
          <w:sz w:val="22"/>
          <w:szCs w:val="22"/>
        </w:rPr>
        <w:t>и</w:t>
      </w:r>
      <w:r w:rsidR="00281602" w:rsidRPr="00281602">
        <w:rPr>
          <w:iCs/>
          <w:sz w:val="22"/>
          <w:szCs w:val="22"/>
        </w:rPr>
        <w:t>лова, О.П. Храпко</w:t>
      </w:r>
      <w:r w:rsidR="00281602" w:rsidRPr="00281602">
        <w:rPr>
          <w:sz w:val="22"/>
          <w:szCs w:val="22"/>
        </w:rPr>
        <w:t>. Сборник статей по материалам 72-й научно-практической конференции студентов по итогам НИР за 2016 год. – 2017. – С. 363-365.</w:t>
      </w:r>
    </w:p>
    <w:p w:rsidR="00281602" w:rsidRPr="00281602" w:rsidRDefault="00564DAA" w:rsidP="0017022A">
      <w:pPr>
        <w:ind w:firstLine="426"/>
        <w:jc w:val="both"/>
        <w:rPr>
          <w:rFonts w:eastAsia="Calibri"/>
          <w:sz w:val="22"/>
          <w:szCs w:val="22"/>
          <w:lang w:eastAsia="en-US"/>
        </w:rPr>
      </w:pPr>
      <w:r>
        <w:rPr>
          <w:rFonts w:eastAsia="Calibri"/>
          <w:sz w:val="22"/>
          <w:szCs w:val="22"/>
          <w:lang w:eastAsia="en-US"/>
        </w:rPr>
        <w:t xml:space="preserve">3. </w:t>
      </w:r>
      <w:r w:rsidR="00281602" w:rsidRPr="00281602">
        <w:rPr>
          <w:rFonts w:eastAsia="Calibri"/>
          <w:sz w:val="22"/>
          <w:szCs w:val="22"/>
          <w:lang w:eastAsia="en-US"/>
        </w:rPr>
        <w:t>Храпко О.П. Разработка технологий и рецептур хлебобуло</w:t>
      </w:r>
      <w:r w:rsidR="00281602" w:rsidRPr="00281602">
        <w:rPr>
          <w:rFonts w:eastAsia="Calibri"/>
          <w:sz w:val="22"/>
          <w:szCs w:val="22"/>
          <w:lang w:eastAsia="en-US"/>
        </w:rPr>
        <w:t>ч</w:t>
      </w:r>
      <w:r w:rsidR="00281602" w:rsidRPr="00281602">
        <w:rPr>
          <w:rFonts w:eastAsia="Calibri"/>
          <w:sz w:val="22"/>
          <w:szCs w:val="22"/>
          <w:lang w:eastAsia="en-US"/>
        </w:rPr>
        <w:t>ных изделий функционального назначения с использованием нетр</w:t>
      </w:r>
      <w:r w:rsidR="00281602" w:rsidRPr="00281602">
        <w:rPr>
          <w:rFonts w:eastAsia="Calibri"/>
          <w:sz w:val="22"/>
          <w:szCs w:val="22"/>
          <w:lang w:eastAsia="en-US"/>
        </w:rPr>
        <w:t>а</w:t>
      </w:r>
      <w:r w:rsidR="00281602" w:rsidRPr="00281602">
        <w:rPr>
          <w:rFonts w:eastAsia="Calibri"/>
          <w:sz w:val="22"/>
          <w:szCs w:val="22"/>
          <w:lang w:eastAsia="en-US"/>
        </w:rPr>
        <w:t>диционного растительного сырья Краснодарского края: автореф. дисс. на соискание ученой степени канд. техн. наук: 05.18.01. – Краснодар, 2012. – 25 с.</w:t>
      </w:r>
    </w:p>
    <w:p w:rsidR="00281602" w:rsidRPr="00281602" w:rsidRDefault="00564DAA" w:rsidP="0017022A">
      <w:pPr>
        <w:ind w:firstLine="426"/>
        <w:jc w:val="both"/>
        <w:rPr>
          <w:rFonts w:eastAsia="Calibri"/>
          <w:sz w:val="22"/>
          <w:szCs w:val="22"/>
          <w:lang w:eastAsia="en-US"/>
        </w:rPr>
      </w:pPr>
      <w:r>
        <w:rPr>
          <w:rFonts w:eastAsia="Calibri"/>
          <w:sz w:val="22"/>
          <w:szCs w:val="22"/>
          <w:lang w:eastAsia="en-US"/>
        </w:rPr>
        <w:t>4.</w:t>
      </w:r>
      <w:r w:rsidR="00281602" w:rsidRPr="00281602">
        <w:rPr>
          <w:rFonts w:eastAsia="Calibri"/>
          <w:sz w:val="22"/>
          <w:szCs w:val="22"/>
          <w:lang w:eastAsia="en-US"/>
        </w:rPr>
        <w:t xml:space="preserve"> Храпко О.П. Разработка технологий и рецептур хлебобуло</w:t>
      </w:r>
      <w:r w:rsidR="00281602" w:rsidRPr="00281602">
        <w:rPr>
          <w:rFonts w:eastAsia="Calibri"/>
          <w:sz w:val="22"/>
          <w:szCs w:val="22"/>
          <w:lang w:eastAsia="en-US"/>
        </w:rPr>
        <w:t>ч</w:t>
      </w:r>
      <w:r w:rsidR="00281602" w:rsidRPr="00281602">
        <w:rPr>
          <w:rFonts w:eastAsia="Calibri"/>
          <w:sz w:val="22"/>
          <w:szCs w:val="22"/>
          <w:lang w:eastAsia="en-US"/>
        </w:rPr>
        <w:t>ных изделий функционального назначения с использованием нетр</w:t>
      </w:r>
      <w:r w:rsidR="00281602" w:rsidRPr="00281602">
        <w:rPr>
          <w:rFonts w:eastAsia="Calibri"/>
          <w:sz w:val="22"/>
          <w:szCs w:val="22"/>
          <w:lang w:eastAsia="en-US"/>
        </w:rPr>
        <w:t>а</w:t>
      </w:r>
      <w:r w:rsidR="00281602" w:rsidRPr="00281602">
        <w:rPr>
          <w:rFonts w:eastAsia="Calibri"/>
          <w:sz w:val="22"/>
          <w:szCs w:val="22"/>
          <w:lang w:eastAsia="en-US"/>
        </w:rPr>
        <w:t>диционного растительного сырья Краснодарского края: дис. … канд. техн. наук: 05.18.01:защищена 15.11.2012: утв. 11.03.2013. – М., 2012. – 184 с.</w:t>
      </w:r>
    </w:p>
    <w:p w:rsidR="00281602" w:rsidRPr="00281602" w:rsidRDefault="00281602" w:rsidP="00564DAA">
      <w:pPr>
        <w:jc w:val="both"/>
        <w:rPr>
          <w:rFonts w:eastAsia="Calibri"/>
          <w:sz w:val="22"/>
          <w:szCs w:val="22"/>
          <w:lang w:eastAsia="en-US"/>
        </w:rPr>
      </w:pPr>
    </w:p>
    <w:p w:rsidR="00281602" w:rsidRDefault="00281602" w:rsidP="00564DAA">
      <w:pPr>
        <w:jc w:val="both"/>
        <w:rPr>
          <w:rFonts w:eastAsia="Segoe UI"/>
          <w:sz w:val="22"/>
          <w:szCs w:val="22"/>
          <w:lang w:eastAsia="en-US"/>
        </w:rPr>
      </w:pPr>
    </w:p>
    <w:p w:rsidR="00564DAA" w:rsidRPr="00281602" w:rsidRDefault="0098373C" w:rsidP="0098373C">
      <w:pPr>
        <w:rPr>
          <w:rFonts w:eastAsia="Segoe UI"/>
          <w:sz w:val="22"/>
          <w:szCs w:val="22"/>
          <w:lang w:eastAsia="en-US"/>
        </w:rPr>
      </w:pPr>
      <w:r>
        <w:rPr>
          <w:rFonts w:eastAsia="Segoe UI"/>
          <w:sz w:val="22"/>
          <w:szCs w:val="22"/>
          <w:lang w:eastAsia="en-US"/>
        </w:rPr>
        <w:br w:type="page"/>
      </w:r>
    </w:p>
    <w:p w:rsidR="00281602" w:rsidRDefault="00281602" w:rsidP="00564DAA">
      <w:pPr>
        <w:jc w:val="both"/>
        <w:rPr>
          <w:rFonts w:eastAsia="Segoe UI"/>
          <w:sz w:val="22"/>
          <w:szCs w:val="22"/>
          <w:lang w:eastAsia="en-US"/>
        </w:rPr>
      </w:pPr>
      <w:r w:rsidRPr="00281602">
        <w:rPr>
          <w:rFonts w:eastAsia="Segoe UI"/>
          <w:sz w:val="22"/>
          <w:szCs w:val="22"/>
          <w:lang w:eastAsia="en-US"/>
        </w:rPr>
        <w:lastRenderedPageBreak/>
        <w:t>УДК 579.674</w:t>
      </w:r>
    </w:p>
    <w:p w:rsidR="00564DAA" w:rsidRPr="00281602" w:rsidRDefault="00564DAA" w:rsidP="00564DAA">
      <w:pPr>
        <w:jc w:val="both"/>
        <w:rPr>
          <w:rFonts w:eastAsia="Segoe UI"/>
          <w:sz w:val="22"/>
          <w:szCs w:val="22"/>
          <w:lang w:eastAsia="en-US"/>
        </w:rPr>
      </w:pPr>
    </w:p>
    <w:p w:rsidR="00281602" w:rsidRPr="00281602" w:rsidRDefault="00281602" w:rsidP="00281602">
      <w:pPr>
        <w:jc w:val="center"/>
        <w:rPr>
          <w:rFonts w:eastAsia="Segoe UI"/>
          <w:b/>
          <w:sz w:val="24"/>
          <w:szCs w:val="24"/>
          <w:lang w:eastAsia="en-US"/>
        </w:rPr>
      </w:pPr>
      <w:r w:rsidRPr="00281602">
        <w:rPr>
          <w:rFonts w:eastAsia="Segoe UI"/>
          <w:b/>
          <w:sz w:val="24"/>
          <w:szCs w:val="24"/>
          <w:lang w:eastAsia="en-US"/>
        </w:rPr>
        <w:t xml:space="preserve">Исследование синергизма дрожжей и молочнокислых </w:t>
      </w:r>
      <w:r w:rsidR="00564DAA">
        <w:rPr>
          <w:rFonts w:eastAsia="Segoe UI"/>
          <w:b/>
          <w:sz w:val="24"/>
          <w:szCs w:val="24"/>
          <w:lang w:eastAsia="en-US"/>
        </w:rPr>
        <w:br/>
      </w:r>
      <w:r w:rsidRPr="00281602">
        <w:rPr>
          <w:rFonts w:eastAsia="Segoe UI"/>
          <w:b/>
          <w:sz w:val="24"/>
          <w:szCs w:val="24"/>
          <w:lang w:eastAsia="en-US"/>
        </w:rPr>
        <w:t>микроорганизмов в составе слабоалкогольных напитков</w:t>
      </w:r>
    </w:p>
    <w:p w:rsidR="00281602" w:rsidRPr="00281602" w:rsidRDefault="00281602" w:rsidP="00281602">
      <w:pPr>
        <w:jc w:val="center"/>
        <w:rPr>
          <w:rFonts w:eastAsia="Segoe UI"/>
          <w:b/>
          <w:sz w:val="24"/>
          <w:szCs w:val="24"/>
          <w:lang w:val="en-US" w:eastAsia="en-US"/>
        </w:rPr>
      </w:pPr>
      <w:r w:rsidRPr="00281602">
        <w:rPr>
          <w:rFonts w:eastAsia="Segoe UI"/>
          <w:b/>
          <w:sz w:val="24"/>
          <w:szCs w:val="24"/>
          <w:lang w:val="en-US" w:eastAsia="en-US"/>
        </w:rPr>
        <w:t xml:space="preserve">Research of synergism of yeast and lactic acid </w:t>
      </w:r>
    </w:p>
    <w:p w:rsidR="00281602" w:rsidRPr="00281602" w:rsidRDefault="00281602" w:rsidP="00281602">
      <w:pPr>
        <w:jc w:val="center"/>
        <w:rPr>
          <w:rFonts w:eastAsia="Segoe UI"/>
          <w:b/>
          <w:sz w:val="24"/>
          <w:szCs w:val="24"/>
          <w:lang w:val="en-US" w:eastAsia="en-US"/>
        </w:rPr>
      </w:pPr>
      <w:r w:rsidRPr="00281602">
        <w:rPr>
          <w:rFonts w:eastAsia="Segoe UI"/>
          <w:b/>
          <w:sz w:val="24"/>
          <w:szCs w:val="24"/>
          <w:lang w:val="en-US" w:eastAsia="en-US"/>
        </w:rPr>
        <w:t>microorganisms in the composition of low-alcohol drinks</w:t>
      </w:r>
    </w:p>
    <w:p w:rsidR="00281602" w:rsidRPr="00281602" w:rsidRDefault="00281602" w:rsidP="00281602">
      <w:pPr>
        <w:jc w:val="center"/>
        <w:rPr>
          <w:rFonts w:eastAsia="Segoe UI"/>
          <w:b/>
          <w:sz w:val="24"/>
          <w:szCs w:val="24"/>
          <w:lang w:val="en-US" w:eastAsia="en-US"/>
        </w:rPr>
      </w:pPr>
    </w:p>
    <w:p w:rsidR="00281602" w:rsidRPr="00281602" w:rsidRDefault="00564DAA" w:rsidP="0098373C">
      <w:pPr>
        <w:jc w:val="right"/>
        <w:rPr>
          <w:rFonts w:eastAsia="Segoe UI"/>
          <w:sz w:val="22"/>
          <w:szCs w:val="22"/>
          <w:lang w:eastAsia="en-US"/>
        </w:rPr>
      </w:pPr>
      <w:r>
        <w:rPr>
          <w:rFonts w:eastAsia="Segoe UI"/>
          <w:sz w:val="22"/>
          <w:szCs w:val="22"/>
          <w:lang w:eastAsia="en-US"/>
        </w:rPr>
        <w:t xml:space="preserve">Обмоина А. В., </w:t>
      </w:r>
      <w:r w:rsidR="00281602" w:rsidRPr="00281602">
        <w:rPr>
          <w:rFonts w:eastAsia="Segoe UI"/>
          <w:sz w:val="22"/>
          <w:szCs w:val="22"/>
          <w:lang w:eastAsia="en-US"/>
        </w:rPr>
        <w:t>Папикян Т. А.</w:t>
      </w:r>
      <w:r>
        <w:rPr>
          <w:rFonts w:eastAsia="Segoe UI"/>
          <w:sz w:val="22"/>
          <w:szCs w:val="22"/>
          <w:lang w:eastAsia="en-US"/>
        </w:rPr>
        <w:t>,</w:t>
      </w:r>
    </w:p>
    <w:p w:rsidR="00281602" w:rsidRPr="00281602" w:rsidRDefault="00564DAA" w:rsidP="0098373C">
      <w:pPr>
        <w:jc w:val="right"/>
        <w:rPr>
          <w:rFonts w:eastAsia="Segoe UI"/>
          <w:sz w:val="22"/>
          <w:szCs w:val="22"/>
          <w:lang w:eastAsia="en-US"/>
        </w:rPr>
      </w:pPr>
      <w:r>
        <w:rPr>
          <w:rFonts w:eastAsia="Segoe UI"/>
          <w:sz w:val="22"/>
          <w:szCs w:val="22"/>
          <w:lang w:eastAsia="en-US"/>
        </w:rPr>
        <w:t>студенты 4 курса</w:t>
      </w:r>
      <w:r w:rsidR="0098373C">
        <w:rPr>
          <w:rFonts w:eastAsia="Segoe UI"/>
          <w:sz w:val="22"/>
          <w:szCs w:val="22"/>
          <w:lang w:eastAsia="en-US"/>
        </w:rPr>
        <w:t xml:space="preserve"> </w:t>
      </w:r>
      <w:r w:rsidR="00281602" w:rsidRPr="00281602">
        <w:rPr>
          <w:rFonts w:eastAsia="Segoe UI"/>
          <w:sz w:val="22"/>
          <w:szCs w:val="22"/>
          <w:lang w:eastAsia="en-US"/>
        </w:rPr>
        <w:t>факультета перерабатывающих технологий</w:t>
      </w:r>
    </w:p>
    <w:p w:rsidR="00281602" w:rsidRPr="00281602" w:rsidRDefault="00564DAA" w:rsidP="0098373C">
      <w:pPr>
        <w:jc w:val="right"/>
        <w:rPr>
          <w:rFonts w:eastAsia="Segoe UI"/>
          <w:sz w:val="22"/>
          <w:szCs w:val="22"/>
          <w:lang w:eastAsia="en-US"/>
        </w:rPr>
      </w:pPr>
      <w:r>
        <w:rPr>
          <w:rFonts w:eastAsia="Segoe UI"/>
          <w:sz w:val="22"/>
          <w:szCs w:val="22"/>
          <w:lang w:eastAsia="en-US"/>
        </w:rPr>
        <w:t>Волкова С. А.,</w:t>
      </w:r>
    </w:p>
    <w:p w:rsidR="00281602" w:rsidRPr="00281602" w:rsidRDefault="00281602" w:rsidP="0098373C">
      <w:pPr>
        <w:jc w:val="right"/>
        <w:rPr>
          <w:rFonts w:eastAsia="Segoe UI"/>
          <w:sz w:val="22"/>
          <w:szCs w:val="22"/>
          <w:lang w:eastAsia="en-US"/>
        </w:rPr>
      </w:pPr>
      <w:r w:rsidRPr="00281602">
        <w:rPr>
          <w:rFonts w:eastAsia="Segoe UI"/>
          <w:sz w:val="22"/>
          <w:szCs w:val="22"/>
          <w:lang w:eastAsia="en-US"/>
        </w:rPr>
        <w:t xml:space="preserve">доцент кафедры биотехнологии, биохимии </w:t>
      </w:r>
      <w:r w:rsidR="00564DAA">
        <w:rPr>
          <w:rFonts w:eastAsia="Segoe UI"/>
          <w:sz w:val="22"/>
          <w:szCs w:val="22"/>
          <w:lang w:eastAsia="en-US"/>
        </w:rPr>
        <w:t>и биофизики</w:t>
      </w:r>
    </w:p>
    <w:p w:rsidR="00281602" w:rsidRPr="00281602" w:rsidRDefault="00281602" w:rsidP="0098373C">
      <w:pPr>
        <w:jc w:val="right"/>
        <w:rPr>
          <w:rFonts w:eastAsia="Segoe UI"/>
          <w:sz w:val="22"/>
          <w:szCs w:val="22"/>
          <w:lang w:eastAsia="en-US"/>
        </w:rPr>
      </w:pPr>
      <w:r w:rsidRPr="00281602">
        <w:rPr>
          <w:rFonts w:eastAsia="Segoe UI"/>
          <w:sz w:val="22"/>
          <w:szCs w:val="22"/>
          <w:lang w:eastAsia="en-US"/>
        </w:rPr>
        <w:t>факультета перерабатывающих технологий</w:t>
      </w:r>
    </w:p>
    <w:p w:rsidR="00281602" w:rsidRPr="00281602" w:rsidRDefault="00281602" w:rsidP="0098373C">
      <w:pPr>
        <w:ind w:right="28"/>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98373C">
      <w:pPr>
        <w:ind w:right="28"/>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rPr>
          <w:rFonts w:eastAsia="Segoe UI"/>
          <w:sz w:val="22"/>
          <w:szCs w:val="22"/>
          <w:lang w:eastAsia="en-US"/>
        </w:rPr>
      </w:pPr>
    </w:p>
    <w:p w:rsidR="00281602" w:rsidRPr="00281602" w:rsidRDefault="00564DAA" w:rsidP="00564DAA">
      <w:pPr>
        <w:ind w:firstLine="426"/>
        <w:jc w:val="both"/>
        <w:rPr>
          <w:rFonts w:eastAsia="Segoe UI"/>
          <w:sz w:val="22"/>
          <w:szCs w:val="22"/>
          <w:lang w:eastAsia="en-US"/>
        </w:rPr>
      </w:pPr>
      <w:r>
        <w:rPr>
          <w:rFonts w:eastAsia="Segoe UI"/>
          <w:sz w:val="22"/>
          <w:szCs w:val="22"/>
          <w:lang w:eastAsia="en-US"/>
        </w:rPr>
        <w:t>АННОТАЦИЯ:</w:t>
      </w:r>
      <w:r w:rsidR="00281602" w:rsidRPr="00281602">
        <w:rPr>
          <w:rFonts w:eastAsia="Segoe UI"/>
          <w:sz w:val="22"/>
          <w:szCs w:val="22"/>
          <w:lang w:eastAsia="en-US"/>
        </w:rPr>
        <w:t xml:space="preserve"> Рассмотрены проблемы обогащения слабоалк</w:t>
      </w:r>
      <w:r w:rsidR="00281602" w:rsidRPr="00281602">
        <w:rPr>
          <w:rFonts w:eastAsia="Segoe UI"/>
          <w:sz w:val="22"/>
          <w:szCs w:val="22"/>
          <w:lang w:eastAsia="en-US"/>
        </w:rPr>
        <w:t>о</w:t>
      </w:r>
      <w:r w:rsidR="00281602" w:rsidRPr="00281602">
        <w:rPr>
          <w:rFonts w:eastAsia="Segoe UI"/>
          <w:sz w:val="22"/>
          <w:szCs w:val="22"/>
          <w:lang w:eastAsia="en-US"/>
        </w:rPr>
        <w:t>гольных напитков пробиотическими свойствами. Правильный по</w:t>
      </w:r>
      <w:r w:rsidR="00281602" w:rsidRPr="00281602">
        <w:rPr>
          <w:rFonts w:eastAsia="Segoe UI"/>
          <w:sz w:val="22"/>
          <w:szCs w:val="22"/>
          <w:lang w:eastAsia="en-US"/>
        </w:rPr>
        <w:t>д</w:t>
      </w:r>
      <w:r w:rsidR="00281602" w:rsidRPr="00281602">
        <w:rPr>
          <w:rFonts w:eastAsia="Segoe UI"/>
          <w:sz w:val="22"/>
          <w:szCs w:val="22"/>
          <w:lang w:eastAsia="en-US"/>
        </w:rPr>
        <w:t>бор видов молочнокислых организмов и дрожжей при изготовлении напитков способен улучшить как органолептические, так и микр</w:t>
      </w:r>
      <w:r w:rsidR="00281602" w:rsidRPr="00281602">
        <w:rPr>
          <w:rFonts w:eastAsia="Segoe UI"/>
          <w:sz w:val="22"/>
          <w:szCs w:val="22"/>
          <w:lang w:eastAsia="en-US"/>
        </w:rPr>
        <w:t>о</w:t>
      </w:r>
      <w:r w:rsidR="00281602" w:rsidRPr="00281602">
        <w:rPr>
          <w:rFonts w:eastAsia="Segoe UI"/>
          <w:sz w:val="22"/>
          <w:szCs w:val="22"/>
          <w:lang w:eastAsia="en-US"/>
        </w:rPr>
        <w:t>биологические показатели продукта. Таким образом, напиток ст</w:t>
      </w:r>
      <w:r w:rsidR="00281602" w:rsidRPr="00281602">
        <w:rPr>
          <w:rFonts w:eastAsia="Segoe UI"/>
          <w:sz w:val="22"/>
          <w:szCs w:val="22"/>
          <w:lang w:eastAsia="en-US"/>
        </w:rPr>
        <w:t>а</w:t>
      </w:r>
      <w:r w:rsidR="00281602" w:rsidRPr="00281602">
        <w:rPr>
          <w:rFonts w:eastAsia="Segoe UI"/>
          <w:sz w:val="22"/>
          <w:szCs w:val="22"/>
          <w:lang w:eastAsia="en-US"/>
        </w:rPr>
        <w:t>новится более цененным для потребителя, приобретает новые п</w:t>
      </w:r>
      <w:r w:rsidR="00281602" w:rsidRPr="00281602">
        <w:rPr>
          <w:rFonts w:eastAsia="Segoe UI"/>
          <w:sz w:val="22"/>
          <w:szCs w:val="22"/>
          <w:lang w:eastAsia="en-US"/>
        </w:rPr>
        <w:t>о</w:t>
      </w:r>
      <w:r w:rsidR="00281602" w:rsidRPr="00281602">
        <w:rPr>
          <w:rFonts w:eastAsia="Segoe UI"/>
          <w:sz w:val="22"/>
          <w:szCs w:val="22"/>
          <w:lang w:eastAsia="en-US"/>
        </w:rPr>
        <w:t>лезные свойства.</w:t>
      </w:r>
    </w:p>
    <w:p w:rsidR="00281602" w:rsidRPr="00281602" w:rsidRDefault="00564DAA" w:rsidP="00564DAA">
      <w:pPr>
        <w:ind w:firstLine="426"/>
        <w:jc w:val="both"/>
        <w:rPr>
          <w:rFonts w:eastAsia="Segoe UI"/>
          <w:sz w:val="22"/>
          <w:szCs w:val="22"/>
          <w:lang w:val="en-US" w:eastAsia="en-US"/>
        </w:rPr>
      </w:pPr>
      <w:r>
        <w:rPr>
          <w:rFonts w:eastAsia="Segoe UI"/>
          <w:sz w:val="22"/>
          <w:szCs w:val="22"/>
          <w:lang w:val="en-US" w:eastAsia="en-US"/>
        </w:rPr>
        <w:t>ABSTRACT</w:t>
      </w:r>
      <w:r w:rsidRPr="00564DAA">
        <w:rPr>
          <w:rFonts w:eastAsia="Segoe UI"/>
          <w:sz w:val="22"/>
          <w:szCs w:val="22"/>
          <w:lang w:val="en-US" w:eastAsia="en-US"/>
        </w:rPr>
        <w:t>:</w:t>
      </w:r>
      <w:r w:rsidR="00281602" w:rsidRPr="00281602">
        <w:rPr>
          <w:rFonts w:eastAsia="Segoe UI"/>
          <w:sz w:val="22"/>
          <w:szCs w:val="22"/>
          <w:lang w:val="en-US" w:eastAsia="en-US"/>
        </w:rPr>
        <w:t xml:space="preserve"> Problems of enrichment of low-alcohol drinks with probiotic properties are considered. The correct selection of types of la</w:t>
      </w:r>
      <w:r w:rsidR="00281602" w:rsidRPr="00281602">
        <w:rPr>
          <w:rFonts w:eastAsia="Segoe UI"/>
          <w:sz w:val="22"/>
          <w:szCs w:val="22"/>
          <w:lang w:val="en-US" w:eastAsia="en-US"/>
        </w:rPr>
        <w:t>c</w:t>
      </w:r>
      <w:r w:rsidR="00281602" w:rsidRPr="00281602">
        <w:rPr>
          <w:rFonts w:eastAsia="Segoe UI"/>
          <w:sz w:val="22"/>
          <w:szCs w:val="22"/>
          <w:lang w:val="en-US" w:eastAsia="en-US"/>
        </w:rPr>
        <w:t>tic acid organisms and yeast in the manufacture of beverages can i</w:t>
      </w:r>
      <w:r w:rsidR="00281602" w:rsidRPr="00281602">
        <w:rPr>
          <w:rFonts w:eastAsia="Segoe UI"/>
          <w:sz w:val="22"/>
          <w:szCs w:val="22"/>
          <w:lang w:val="en-US" w:eastAsia="en-US"/>
        </w:rPr>
        <w:t>m</w:t>
      </w:r>
      <w:r w:rsidR="00281602" w:rsidRPr="00281602">
        <w:rPr>
          <w:rFonts w:eastAsia="Segoe UI"/>
          <w:sz w:val="22"/>
          <w:szCs w:val="22"/>
          <w:lang w:val="en-US" w:eastAsia="en-US"/>
        </w:rPr>
        <w:t>prove both organoleptic and microbiological parameters of the product. Thus, the drink becomes more valuable for the consumer, acquires new useful properties.</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КЛЮЧЕВЫЕ СЛОВА: молочнокислые бактерии, дрожжи, з</w:t>
      </w:r>
      <w:r w:rsidRPr="00281602">
        <w:rPr>
          <w:rFonts w:eastAsia="Segoe UI"/>
          <w:sz w:val="22"/>
          <w:szCs w:val="22"/>
          <w:lang w:eastAsia="en-US"/>
        </w:rPr>
        <w:t>а</w:t>
      </w:r>
      <w:r w:rsidRPr="00281602">
        <w:rPr>
          <w:rFonts w:eastAsia="Segoe UI"/>
          <w:sz w:val="22"/>
          <w:szCs w:val="22"/>
          <w:lang w:eastAsia="en-US"/>
        </w:rPr>
        <w:t>кваска, пробиотические свойства, слабоалкогольные напитки.</w:t>
      </w:r>
    </w:p>
    <w:p w:rsidR="00281602" w:rsidRPr="00281602" w:rsidRDefault="00281602" w:rsidP="00564DAA">
      <w:pPr>
        <w:ind w:firstLine="426"/>
        <w:jc w:val="both"/>
        <w:rPr>
          <w:rFonts w:eastAsia="Segoe UI"/>
          <w:sz w:val="22"/>
          <w:szCs w:val="22"/>
          <w:lang w:val="en-US" w:eastAsia="en-US"/>
        </w:rPr>
      </w:pPr>
      <w:r w:rsidRPr="00281602">
        <w:rPr>
          <w:rFonts w:eastAsia="Segoe UI"/>
          <w:sz w:val="22"/>
          <w:szCs w:val="22"/>
          <w:lang w:val="en-US" w:eastAsia="en-US"/>
        </w:rPr>
        <w:t>KEYWORDS: lactic acid bacteria, yeast, ferment, probiotic prope</w:t>
      </w:r>
      <w:r w:rsidRPr="00281602">
        <w:rPr>
          <w:rFonts w:eastAsia="Segoe UI"/>
          <w:sz w:val="22"/>
          <w:szCs w:val="22"/>
          <w:lang w:val="en-US" w:eastAsia="en-US"/>
        </w:rPr>
        <w:t>r</w:t>
      </w:r>
      <w:r w:rsidRPr="00281602">
        <w:rPr>
          <w:rFonts w:eastAsia="Segoe UI"/>
          <w:sz w:val="22"/>
          <w:szCs w:val="22"/>
          <w:lang w:val="en-US" w:eastAsia="en-US"/>
        </w:rPr>
        <w:t>ties, low-alcohol drinks.</w:t>
      </w:r>
    </w:p>
    <w:p w:rsidR="00281602" w:rsidRPr="00281602" w:rsidRDefault="00281602" w:rsidP="00564DAA">
      <w:pPr>
        <w:ind w:firstLine="426"/>
        <w:jc w:val="both"/>
        <w:rPr>
          <w:rFonts w:eastAsia="Segoe UI"/>
          <w:sz w:val="22"/>
          <w:szCs w:val="22"/>
          <w:lang w:val="en-US" w:eastAsia="en-US"/>
        </w:rPr>
      </w:pPr>
    </w:p>
    <w:p w:rsidR="00281602" w:rsidRPr="00281602" w:rsidRDefault="00281602" w:rsidP="00564DAA">
      <w:pPr>
        <w:ind w:firstLine="426"/>
        <w:jc w:val="both"/>
        <w:rPr>
          <w:rFonts w:eastAsia="Segoe UI"/>
          <w:sz w:val="22"/>
          <w:szCs w:val="22"/>
          <w:lang w:eastAsia="en-US"/>
        </w:rPr>
      </w:pPr>
      <w:bookmarkStart w:id="7" w:name="_Toc256000001"/>
      <w:r w:rsidRPr="00281602">
        <w:rPr>
          <w:rFonts w:eastAsia="Segoe UI"/>
          <w:sz w:val="22"/>
          <w:szCs w:val="22"/>
          <w:lang w:eastAsia="en-US"/>
        </w:rPr>
        <w:t>Целью эксперимента было определить взаимодействие моло</w:t>
      </w:r>
      <w:r w:rsidRPr="00281602">
        <w:rPr>
          <w:rFonts w:eastAsia="Segoe UI"/>
          <w:sz w:val="22"/>
          <w:szCs w:val="22"/>
          <w:lang w:eastAsia="en-US"/>
        </w:rPr>
        <w:t>ч</w:t>
      </w:r>
      <w:r w:rsidRPr="00281602">
        <w:rPr>
          <w:rFonts w:eastAsia="Segoe UI"/>
          <w:sz w:val="22"/>
          <w:szCs w:val="22"/>
          <w:lang w:eastAsia="en-US"/>
        </w:rPr>
        <w:t>нокислых бактерий и дрожжей. Изучался синергизм заквасок Эв</w:t>
      </w:r>
      <w:r w:rsidRPr="00281602">
        <w:rPr>
          <w:rFonts w:eastAsia="Segoe UI"/>
          <w:sz w:val="22"/>
          <w:szCs w:val="22"/>
          <w:lang w:eastAsia="en-US"/>
        </w:rPr>
        <w:t>и</w:t>
      </w:r>
      <w:r w:rsidRPr="00281602">
        <w:rPr>
          <w:rFonts w:eastAsia="Segoe UI"/>
          <w:sz w:val="22"/>
          <w:szCs w:val="22"/>
          <w:lang w:eastAsia="en-US"/>
        </w:rPr>
        <w:t xml:space="preserve">талия, Наринэ. а также бактерий </w:t>
      </w:r>
      <w:r w:rsidRPr="00281602">
        <w:rPr>
          <w:rFonts w:eastAsia="Segoe UI"/>
          <w:i/>
          <w:sz w:val="22"/>
          <w:szCs w:val="22"/>
          <w:lang w:val="en-US" w:eastAsia="en-US"/>
        </w:rPr>
        <w:t>Lactobacillus</w:t>
      </w:r>
      <w:r w:rsidRPr="00281602">
        <w:rPr>
          <w:rFonts w:eastAsia="Segoe UI"/>
          <w:i/>
          <w:sz w:val="22"/>
          <w:szCs w:val="22"/>
          <w:lang w:eastAsia="en-US"/>
        </w:rPr>
        <w:t xml:space="preserve"> plantarum</w:t>
      </w:r>
      <w:r w:rsidRPr="00281602">
        <w:rPr>
          <w:rFonts w:eastAsia="Segoe UI"/>
          <w:sz w:val="22"/>
          <w:szCs w:val="22"/>
          <w:lang w:eastAsia="en-US"/>
        </w:rPr>
        <w:t xml:space="preserve"> и дрожжей видов </w:t>
      </w:r>
      <w:r w:rsidRPr="00281602">
        <w:rPr>
          <w:rFonts w:eastAsia="Segoe UI"/>
          <w:i/>
          <w:sz w:val="22"/>
          <w:szCs w:val="22"/>
          <w:lang w:eastAsia="en-US"/>
        </w:rPr>
        <w:t>Saccharomyces carlsbergensis</w:t>
      </w:r>
      <w:r w:rsidRPr="00281602">
        <w:rPr>
          <w:rFonts w:eastAsia="Segoe UI"/>
          <w:sz w:val="22"/>
          <w:szCs w:val="22"/>
          <w:lang w:eastAsia="en-US"/>
        </w:rPr>
        <w:t xml:space="preserve">, </w:t>
      </w:r>
      <w:r w:rsidRPr="00281602">
        <w:rPr>
          <w:rFonts w:eastAsia="Segoe UI"/>
          <w:i/>
          <w:sz w:val="22"/>
          <w:szCs w:val="22"/>
          <w:lang w:eastAsia="en-US"/>
        </w:rPr>
        <w:t xml:space="preserve">Safbrew Abbaye. </w:t>
      </w:r>
      <w:r w:rsidRPr="00281602">
        <w:rPr>
          <w:rFonts w:eastAsia="Segoe UI"/>
          <w:sz w:val="22"/>
          <w:szCs w:val="22"/>
          <w:lang w:eastAsia="en-US"/>
        </w:rPr>
        <w:t>В состав з</w:t>
      </w:r>
      <w:r w:rsidRPr="00281602">
        <w:rPr>
          <w:rFonts w:eastAsia="Segoe UI"/>
          <w:sz w:val="22"/>
          <w:szCs w:val="22"/>
          <w:lang w:eastAsia="en-US"/>
        </w:rPr>
        <w:t>а</w:t>
      </w:r>
      <w:r w:rsidRPr="00281602">
        <w:rPr>
          <w:rFonts w:eastAsia="Segoe UI"/>
          <w:sz w:val="22"/>
          <w:szCs w:val="22"/>
          <w:lang w:eastAsia="en-US"/>
        </w:rPr>
        <w:lastRenderedPageBreak/>
        <w:t xml:space="preserve">кваски Эвиталия входят </w:t>
      </w:r>
      <w:r w:rsidRPr="00281602">
        <w:rPr>
          <w:rFonts w:eastAsia="Segoe UI"/>
          <w:i/>
          <w:sz w:val="22"/>
          <w:szCs w:val="22"/>
          <w:lang w:val="en-US" w:eastAsia="en-US"/>
        </w:rPr>
        <w:t>Streptococcus</w:t>
      </w:r>
      <w:r w:rsidRPr="00281602">
        <w:rPr>
          <w:rFonts w:eastAsia="Segoe UI"/>
          <w:i/>
          <w:sz w:val="22"/>
          <w:szCs w:val="22"/>
          <w:lang w:eastAsia="en-US"/>
        </w:rPr>
        <w:t xml:space="preserve"> </w:t>
      </w:r>
      <w:r w:rsidRPr="00281602">
        <w:rPr>
          <w:rFonts w:eastAsia="Segoe UI"/>
          <w:i/>
          <w:sz w:val="22"/>
          <w:szCs w:val="22"/>
          <w:lang w:val="en-US" w:eastAsia="en-US"/>
        </w:rPr>
        <w:t>thermophilus</w:t>
      </w:r>
      <w:r w:rsidRPr="00281602">
        <w:rPr>
          <w:rFonts w:eastAsia="Segoe UI"/>
          <w:i/>
          <w:sz w:val="22"/>
          <w:szCs w:val="22"/>
          <w:lang w:eastAsia="en-US"/>
        </w:rPr>
        <w:t xml:space="preserve">, </w:t>
      </w:r>
      <w:r w:rsidRPr="00281602">
        <w:rPr>
          <w:rFonts w:eastAsia="Segoe UI"/>
          <w:i/>
          <w:sz w:val="22"/>
          <w:szCs w:val="22"/>
          <w:lang w:val="en-US" w:eastAsia="en-US"/>
        </w:rPr>
        <w:t>Lactococcus</w:t>
      </w:r>
      <w:r w:rsidRPr="00281602">
        <w:rPr>
          <w:rFonts w:eastAsia="Segoe UI"/>
          <w:i/>
          <w:sz w:val="22"/>
          <w:szCs w:val="22"/>
          <w:lang w:eastAsia="en-US"/>
        </w:rPr>
        <w:t xml:space="preserve"> </w:t>
      </w:r>
      <w:r w:rsidRPr="00281602">
        <w:rPr>
          <w:rFonts w:eastAsia="Segoe UI"/>
          <w:i/>
          <w:sz w:val="22"/>
          <w:szCs w:val="22"/>
          <w:lang w:val="en-US" w:eastAsia="en-US"/>
        </w:rPr>
        <w:t>la</w:t>
      </w:r>
      <w:r w:rsidRPr="00281602">
        <w:rPr>
          <w:rFonts w:eastAsia="Segoe UI"/>
          <w:i/>
          <w:sz w:val="22"/>
          <w:szCs w:val="22"/>
          <w:lang w:val="en-US" w:eastAsia="en-US"/>
        </w:rPr>
        <w:t>c</w:t>
      </w:r>
      <w:r w:rsidRPr="00281602">
        <w:rPr>
          <w:rFonts w:eastAsia="Segoe UI"/>
          <w:i/>
          <w:sz w:val="22"/>
          <w:szCs w:val="22"/>
          <w:lang w:val="en-US" w:eastAsia="en-US"/>
        </w:rPr>
        <w:t>tis</w:t>
      </w:r>
      <w:r w:rsidRPr="00281602">
        <w:rPr>
          <w:rFonts w:eastAsia="Segoe UI"/>
          <w:i/>
          <w:sz w:val="22"/>
          <w:szCs w:val="22"/>
          <w:lang w:eastAsia="en-US"/>
        </w:rPr>
        <w:t xml:space="preserve">, </w:t>
      </w:r>
      <w:r w:rsidRPr="00281602">
        <w:rPr>
          <w:rFonts w:eastAsia="Segoe UI"/>
          <w:i/>
          <w:sz w:val="22"/>
          <w:szCs w:val="22"/>
          <w:lang w:val="en-US" w:eastAsia="en-US"/>
        </w:rPr>
        <w:t>Lactobacillus</w:t>
      </w:r>
      <w:r w:rsidRPr="00281602">
        <w:rPr>
          <w:rFonts w:eastAsia="Segoe UI"/>
          <w:i/>
          <w:sz w:val="22"/>
          <w:szCs w:val="22"/>
          <w:lang w:eastAsia="en-US"/>
        </w:rPr>
        <w:t xml:space="preserve"> </w:t>
      </w:r>
      <w:r w:rsidRPr="00281602">
        <w:rPr>
          <w:rFonts w:eastAsia="Segoe UI"/>
          <w:i/>
          <w:sz w:val="22"/>
          <w:szCs w:val="22"/>
          <w:lang w:val="en-US" w:eastAsia="en-US"/>
        </w:rPr>
        <w:t>acidophilus</w:t>
      </w:r>
      <w:r w:rsidRPr="00281602">
        <w:rPr>
          <w:rFonts w:eastAsia="Segoe UI"/>
          <w:i/>
          <w:sz w:val="22"/>
          <w:szCs w:val="22"/>
          <w:lang w:eastAsia="en-US"/>
        </w:rPr>
        <w:t xml:space="preserve">, </w:t>
      </w:r>
      <w:r w:rsidRPr="00281602">
        <w:rPr>
          <w:rFonts w:eastAsia="Segoe UI"/>
          <w:i/>
          <w:sz w:val="22"/>
          <w:szCs w:val="22"/>
          <w:lang w:val="en-US" w:eastAsia="en-US"/>
        </w:rPr>
        <w:t>Lactobacillus</w:t>
      </w:r>
      <w:r w:rsidRPr="00281602">
        <w:rPr>
          <w:rFonts w:eastAsia="Segoe UI"/>
          <w:i/>
          <w:sz w:val="22"/>
          <w:szCs w:val="22"/>
          <w:lang w:eastAsia="en-US"/>
        </w:rPr>
        <w:t xml:space="preserve"> </w:t>
      </w:r>
      <w:r w:rsidRPr="00281602">
        <w:rPr>
          <w:rFonts w:eastAsia="Segoe UI"/>
          <w:i/>
          <w:sz w:val="22"/>
          <w:szCs w:val="22"/>
          <w:lang w:val="en-US" w:eastAsia="en-US"/>
        </w:rPr>
        <w:t>helveticus</w:t>
      </w:r>
      <w:r w:rsidRPr="00281602">
        <w:rPr>
          <w:rFonts w:eastAsia="Segoe UI"/>
          <w:i/>
          <w:sz w:val="22"/>
          <w:szCs w:val="22"/>
          <w:lang w:eastAsia="en-US"/>
        </w:rPr>
        <w:t xml:space="preserve">, </w:t>
      </w:r>
      <w:r w:rsidRPr="00281602">
        <w:rPr>
          <w:rFonts w:eastAsia="Segoe UI"/>
          <w:i/>
          <w:sz w:val="22"/>
          <w:szCs w:val="22"/>
          <w:lang w:val="en-US" w:eastAsia="en-US"/>
        </w:rPr>
        <w:t>Propionibact</w:t>
      </w:r>
      <w:r w:rsidRPr="00281602">
        <w:rPr>
          <w:rFonts w:eastAsia="Segoe UI"/>
          <w:i/>
          <w:sz w:val="22"/>
          <w:szCs w:val="22"/>
          <w:lang w:val="en-US" w:eastAsia="en-US"/>
        </w:rPr>
        <w:t>e</w:t>
      </w:r>
      <w:r w:rsidRPr="00281602">
        <w:rPr>
          <w:rFonts w:eastAsia="Segoe UI"/>
          <w:i/>
          <w:sz w:val="22"/>
          <w:szCs w:val="22"/>
          <w:lang w:val="en-US" w:eastAsia="en-US"/>
        </w:rPr>
        <w:t>rium</w:t>
      </w:r>
      <w:r w:rsidRPr="00281602">
        <w:rPr>
          <w:rFonts w:eastAsia="Segoe UI"/>
          <w:i/>
          <w:sz w:val="22"/>
          <w:szCs w:val="22"/>
          <w:lang w:eastAsia="en-US"/>
        </w:rPr>
        <w:t xml:space="preserve"> </w:t>
      </w:r>
      <w:r w:rsidRPr="00281602">
        <w:rPr>
          <w:rFonts w:eastAsia="Segoe UI"/>
          <w:i/>
          <w:sz w:val="22"/>
          <w:szCs w:val="22"/>
          <w:lang w:val="en-US" w:eastAsia="en-US"/>
        </w:rPr>
        <w:t>freudenreichii</w:t>
      </w:r>
      <w:r w:rsidRPr="00281602">
        <w:rPr>
          <w:rFonts w:eastAsia="Segoe UI"/>
          <w:i/>
          <w:sz w:val="22"/>
          <w:szCs w:val="22"/>
          <w:lang w:eastAsia="en-US"/>
        </w:rPr>
        <w:t xml:space="preserve"> </w:t>
      </w:r>
      <w:r w:rsidRPr="00281602">
        <w:rPr>
          <w:rFonts w:eastAsia="Segoe UI"/>
          <w:i/>
          <w:sz w:val="22"/>
          <w:szCs w:val="22"/>
          <w:lang w:val="en-US" w:eastAsia="en-US"/>
        </w:rPr>
        <w:t>subsp</w:t>
      </w:r>
      <w:r w:rsidRPr="00281602">
        <w:rPr>
          <w:rFonts w:eastAsia="Segoe UI"/>
          <w:i/>
          <w:sz w:val="22"/>
          <w:szCs w:val="22"/>
          <w:lang w:eastAsia="en-US"/>
        </w:rPr>
        <w:t xml:space="preserve">. </w:t>
      </w:r>
      <w:r w:rsidRPr="00281602">
        <w:rPr>
          <w:rFonts w:eastAsia="Segoe UI"/>
          <w:i/>
          <w:sz w:val="22"/>
          <w:szCs w:val="22"/>
          <w:lang w:val="en-US" w:eastAsia="en-US"/>
        </w:rPr>
        <w:t>Shermanii</w:t>
      </w:r>
      <w:r w:rsidRPr="00281602">
        <w:rPr>
          <w:rFonts w:eastAsia="Segoe UI"/>
          <w:sz w:val="22"/>
          <w:szCs w:val="22"/>
          <w:lang w:eastAsia="en-US"/>
        </w:rPr>
        <w:t>. Закваска Наринэ содержит вид молочнокислых микроорганизмов</w:t>
      </w:r>
      <w:r w:rsidRPr="00281602">
        <w:rPr>
          <w:rFonts w:eastAsia="Segoe UI"/>
          <w:i/>
          <w:sz w:val="22"/>
          <w:szCs w:val="22"/>
          <w:lang w:eastAsia="en-US"/>
        </w:rPr>
        <w:t xml:space="preserve"> </w:t>
      </w:r>
      <w:r w:rsidRPr="00281602">
        <w:rPr>
          <w:rFonts w:eastAsia="Segoe UI"/>
          <w:bCs/>
          <w:i/>
          <w:iCs/>
          <w:sz w:val="22"/>
          <w:szCs w:val="22"/>
          <w:lang w:eastAsia="en-US"/>
        </w:rPr>
        <w:t>Lactobacillus acidophilus</w:t>
      </w:r>
      <w:r w:rsidRPr="00281602">
        <w:rPr>
          <w:rFonts w:eastAsia="Segoe UI"/>
          <w:bCs/>
          <w:iCs/>
          <w:sz w:val="22"/>
          <w:szCs w:val="22"/>
          <w:lang w:eastAsia="en-US"/>
        </w:rPr>
        <w:t>.</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Было проведено исследование культур молочнокислых бакт</w:t>
      </w:r>
      <w:r w:rsidRPr="00281602">
        <w:rPr>
          <w:rFonts w:eastAsia="Segoe UI"/>
          <w:sz w:val="22"/>
          <w:szCs w:val="22"/>
          <w:lang w:eastAsia="en-US"/>
        </w:rPr>
        <w:t>е</w:t>
      </w:r>
      <w:r w:rsidRPr="00281602">
        <w:rPr>
          <w:rFonts w:eastAsia="Segoe UI"/>
          <w:sz w:val="22"/>
          <w:szCs w:val="22"/>
          <w:lang w:eastAsia="en-US"/>
        </w:rPr>
        <w:t>рий, традиционно не используемых в производстве слабоалкогол</w:t>
      </w:r>
      <w:r w:rsidRPr="00281602">
        <w:rPr>
          <w:rFonts w:eastAsia="Segoe UI"/>
          <w:sz w:val="22"/>
          <w:szCs w:val="22"/>
          <w:lang w:eastAsia="en-US"/>
        </w:rPr>
        <w:t>ь</w:t>
      </w:r>
      <w:r w:rsidRPr="00281602">
        <w:rPr>
          <w:rFonts w:eastAsia="Segoe UI"/>
          <w:sz w:val="22"/>
          <w:szCs w:val="22"/>
          <w:lang w:eastAsia="en-US"/>
        </w:rPr>
        <w:t>ных напитков. Нестандартным пунктом эксперимента также являе</w:t>
      </w:r>
      <w:r w:rsidRPr="00281602">
        <w:rPr>
          <w:rFonts w:eastAsia="Segoe UI"/>
          <w:sz w:val="22"/>
          <w:szCs w:val="22"/>
          <w:lang w:eastAsia="en-US"/>
        </w:rPr>
        <w:t>т</w:t>
      </w:r>
      <w:r w:rsidRPr="00281602">
        <w:rPr>
          <w:rFonts w:eastAsia="Segoe UI"/>
          <w:sz w:val="22"/>
          <w:szCs w:val="22"/>
          <w:lang w:eastAsia="en-US"/>
        </w:rPr>
        <w:t>ся разница между температурными оптимумами культур дрожжей и молочнокислых культур.</w:t>
      </w:r>
    </w:p>
    <w:p w:rsidR="00281602" w:rsidRPr="00281602" w:rsidRDefault="00281602" w:rsidP="00564DAA">
      <w:pPr>
        <w:ind w:firstLine="426"/>
        <w:jc w:val="both"/>
        <w:rPr>
          <w:rFonts w:eastAsia="Segoe UI"/>
          <w:spacing w:val="-2"/>
          <w:sz w:val="22"/>
          <w:szCs w:val="22"/>
          <w:lang w:eastAsia="en-US"/>
        </w:rPr>
      </w:pPr>
      <w:r w:rsidRPr="00281602">
        <w:rPr>
          <w:rFonts w:eastAsia="Segoe UI"/>
          <w:spacing w:val="-2"/>
          <w:sz w:val="22"/>
          <w:szCs w:val="22"/>
          <w:lang w:eastAsia="en-US"/>
        </w:rPr>
        <w:t>Молочнокислые микроорганизмы помогают пищеварению, во</w:t>
      </w:r>
      <w:r w:rsidRPr="00281602">
        <w:rPr>
          <w:rFonts w:eastAsia="Segoe UI"/>
          <w:spacing w:val="-2"/>
          <w:sz w:val="22"/>
          <w:szCs w:val="22"/>
          <w:lang w:eastAsia="en-US"/>
        </w:rPr>
        <w:t>с</w:t>
      </w:r>
      <w:r w:rsidRPr="00281602">
        <w:rPr>
          <w:rFonts w:eastAsia="Segoe UI"/>
          <w:spacing w:val="-2"/>
          <w:sz w:val="22"/>
          <w:szCs w:val="22"/>
          <w:lang w:eastAsia="en-US"/>
        </w:rPr>
        <w:t>станавливают бактериальную микрофлору желудочно-кишечного тракта и образуют защитный барьер от болезнетворных бактерий. Молочнокислые бактерии не являются обязательным компонентом слабоалкогольных напитков, однако их содержание в составе напитка  приносит ощутимую пользу здоровью человека [2].</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Дрожжи обязательный компонент. Придают напитку характе</w:t>
      </w:r>
      <w:r w:rsidRPr="00281602">
        <w:rPr>
          <w:rFonts w:eastAsia="Segoe UI"/>
          <w:sz w:val="22"/>
          <w:szCs w:val="22"/>
          <w:lang w:eastAsia="en-US"/>
        </w:rPr>
        <w:t>р</w:t>
      </w:r>
      <w:r w:rsidRPr="00281602">
        <w:rPr>
          <w:rFonts w:eastAsia="Segoe UI"/>
          <w:sz w:val="22"/>
          <w:szCs w:val="22"/>
          <w:lang w:eastAsia="en-US"/>
        </w:rPr>
        <w:t>ный вкус, обогащают его углекислым газом и спиртом. Пивные дрожжи являются богатым источником минеральных веществ (ма</w:t>
      </w:r>
      <w:r w:rsidRPr="00281602">
        <w:rPr>
          <w:rFonts w:eastAsia="Segoe UI"/>
          <w:sz w:val="22"/>
          <w:szCs w:val="22"/>
          <w:lang w:eastAsia="en-US"/>
        </w:rPr>
        <w:t>г</w:t>
      </w:r>
      <w:r w:rsidRPr="00281602">
        <w:rPr>
          <w:rFonts w:eastAsia="Segoe UI"/>
          <w:sz w:val="22"/>
          <w:szCs w:val="22"/>
          <w:lang w:eastAsia="en-US"/>
        </w:rPr>
        <w:t>ний, фосфор, кальций, селен, марганец, железо, цинк и другие) в</w:t>
      </w:r>
      <w:r w:rsidRPr="00281602">
        <w:rPr>
          <w:rFonts w:eastAsia="Segoe UI"/>
          <w:sz w:val="22"/>
          <w:szCs w:val="22"/>
          <w:lang w:eastAsia="en-US"/>
        </w:rPr>
        <w:t>и</w:t>
      </w:r>
      <w:r w:rsidRPr="00281602">
        <w:rPr>
          <w:rFonts w:eastAsia="Segoe UI"/>
          <w:sz w:val="22"/>
          <w:szCs w:val="22"/>
          <w:lang w:eastAsia="en-US"/>
        </w:rPr>
        <w:t>таминов группы B, Е, РР, Н, D, высокоусвояемого белка, незамен</w:t>
      </w:r>
      <w:r w:rsidRPr="00281602">
        <w:rPr>
          <w:rFonts w:eastAsia="Segoe UI"/>
          <w:sz w:val="22"/>
          <w:szCs w:val="22"/>
          <w:lang w:eastAsia="en-US"/>
        </w:rPr>
        <w:t>и</w:t>
      </w:r>
      <w:r w:rsidRPr="00281602">
        <w:rPr>
          <w:rFonts w:eastAsia="Segoe UI"/>
          <w:sz w:val="22"/>
          <w:szCs w:val="22"/>
          <w:lang w:eastAsia="en-US"/>
        </w:rPr>
        <w:t>мых аминокислот.</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При установлении эффективности синергизма микрооргани</w:t>
      </w:r>
      <w:r w:rsidRPr="00281602">
        <w:rPr>
          <w:rFonts w:eastAsia="Segoe UI"/>
          <w:sz w:val="22"/>
          <w:szCs w:val="22"/>
          <w:lang w:eastAsia="en-US"/>
        </w:rPr>
        <w:t>з</w:t>
      </w:r>
      <w:r w:rsidRPr="00281602">
        <w:rPr>
          <w:rFonts w:eastAsia="Segoe UI"/>
          <w:sz w:val="22"/>
          <w:szCs w:val="22"/>
          <w:lang w:eastAsia="en-US"/>
        </w:rPr>
        <w:t>мов учитывались как микробиологические, так и органолептические показатели.</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Субстратом для исследования был выбран яблочный сок с д</w:t>
      </w:r>
      <w:r w:rsidRPr="00281602">
        <w:rPr>
          <w:rFonts w:eastAsia="Segoe UI"/>
          <w:sz w:val="22"/>
          <w:szCs w:val="22"/>
          <w:lang w:eastAsia="en-US"/>
        </w:rPr>
        <w:t>о</w:t>
      </w:r>
      <w:r w:rsidRPr="00281602">
        <w:rPr>
          <w:rFonts w:eastAsia="Segoe UI"/>
          <w:sz w:val="22"/>
          <w:szCs w:val="22"/>
          <w:lang w:eastAsia="en-US"/>
        </w:rPr>
        <w:t>бавлением 1</w:t>
      </w:r>
      <w:r w:rsidRPr="00281602">
        <w:rPr>
          <w:rFonts w:eastAsia="Segoe UI"/>
          <w:color w:val="000000"/>
          <w:sz w:val="24"/>
          <w:szCs w:val="24"/>
          <w:lang w:eastAsia="en-US"/>
        </w:rPr>
        <w:t xml:space="preserve"> % </w:t>
      </w:r>
      <w:r w:rsidRPr="00281602">
        <w:rPr>
          <w:rFonts w:eastAsia="Segoe UI"/>
          <w:sz w:val="22"/>
          <w:szCs w:val="22"/>
          <w:lang w:eastAsia="en-US"/>
        </w:rPr>
        <w:t>сахарозы. Первым этапом проводилось культивир</w:t>
      </w:r>
      <w:r w:rsidRPr="00281602">
        <w:rPr>
          <w:rFonts w:eastAsia="Segoe UI"/>
          <w:sz w:val="22"/>
          <w:szCs w:val="22"/>
          <w:lang w:eastAsia="en-US"/>
        </w:rPr>
        <w:t>о</w:t>
      </w:r>
      <w:r w:rsidRPr="00281602">
        <w:rPr>
          <w:rFonts w:eastAsia="Segoe UI"/>
          <w:sz w:val="22"/>
          <w:szCs w:val="22"/>
          <w:lang w:eastAsia="en-US"/>
        </w:rPr>
        <w:t>вание дрожжей с аэрированием 24 ч при температуре 23 °С. После чего в смесь добавлялись восстановленные культуры молочноки</w:t>
      </w:r>
      <w:r w:rsidRPr="00281602">
        <w:rPr>
          <w:rFonts w:eastAsia="Segoe UI"/>
          <w:sz w:val="22"/>
          <w:szCs w:val="22"/>
          <w:lang w:eastAsia="en-US"/>
        </w:rPr>
        <w:t>с</w:t>
      </w:r>
      <w:r w:rsidRPr="00281602">
        <w:rPr>
          <w:rFonts w:eastAsia="Segoe UI"/>
          <w:sz w:val="22"/>
          <w:szCs w:val="22"/>
          <w:lang w:eastAsia="en-US"/>
        </w:rPr>
        <w:t>лых организмов. Культивирование микроорганизмов на сусле ос</w:t>
      </w:r>
      <w:r w:rsidRPr="00281602">
        <w:rPr>
          <w:rFonts w:eastAsia="Segoe UI"/>
          <w:sz w:val="22"/>
          <w:szCs w:val="22"/>
          <w:lang w:eastAsia="en-US"/>
        </w:rPr>
        <w:t>у</w:t>
      </w:r>
      <w:r w:rsidRPr="00281602">
        <w:rPr>
          <w:rFonts w:eastAsia="Segoe UI"/>
          <w:sz w:val="22"/>
          <w:szCs w:val="22"/>
          <w:lang w:eastAsia="en-US"/>
        </w:rPr>
        <w:t>ществлялось при температуре 32 °С. Соотношение инокулирова</w:t>
      </w:r>
      <w:r w:rsidRPr="00281602">
        <w:rPr>
          <w:rFonts w:eastAsia="Segoe UI"/>
          <w:sz w:val="22"/>
          <w:szCs w:val="22"/>
          <w:lang w:eastAsia="en-US"/>
        </w:rPr>
        <w:t>н</w:t>
      </w:r>
      <w:r w:rsidRPr="00281602">
        <w:rPr>
          <w:rFonts w:eastAsia="Segoe UI"/>
          <w:sz w:val="22"/>
          <w:szCs w:val="22"/>
          <w:lang w:eastAsia="en-US"/>
        </w:rPr>
        <w:t>ных в субстрат дрожжей и молочнокислых организмов составляло соответственно 3:1.</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Концентрация жизнеспособных клеток молочнокислых бакт</w:t>
      </w:r>
      <w:r w:rsidRPr="00281602">
        <w:rPr>
          <w:rFonts w:eastAsia="Segoe UI"/>
          <w:sz w:val="22"/>
          <w:szCs w:val="22"/>
          <w:lang w:eastAsia="en-US"/>
        </w:rPr>
        <w:t>е</w:t>
      </w:r>
      <w:r w:rsidRPr="00281602">
        <w:rPr>
          <w:rFonts w:eastAsia="Segoe UI"/>
          <w:sz w:val="22"/>
          <w:szCs w:val="22"/>
          <w:lang w:eastAsia="en-US"/>
        </w:rPr>
        <w:t>рий определялась по ГОСТ 10444.11-2013 Микробиология пищевых продуктов и кормов для животных. Методы выявления и подсчета количества мезофильных молочнокислых микроорганизмов [1]. К</w:t>
      </w:r>
      <w:r w:rsidRPr="00281602">
        <w:rPr>
          <w:rFonts w:eastAsia="Segoe UI"/>
          <w:sz w:val="22"/>
          <w:szCs w:val="22"/>
          <w:lang w:eastAsia="en-US"/>
        </w:rPr>
        <w:t>о</w:t>
      </w:r>
      <w:r w:rsidRPr="00281602">
        <w:rPr>
          <w:rFonts w:eastAsia="Segoe UI"/>
          <w:sz w:val="22"/>
          <w:szCs w:val="22"/>
          <w:lang w:eastAsia="en-US"/>
        </w:rPr>
        <w:t xml:space="preserve">личество клеток дрожжей определяли с помощью камеры Горяева. Наилучший показатель отмечался при взаимодействии дрожжей </w:t>
      </w:r>
      <w:r w:rsidRPr="00281602">
        <w:rPr>
          <w:rFonts w:eastAsia="Segoe UI"/>
          <w:sz w:val="22"/>
          <w:szCs w:val="22"/>
          <w:lang w:eastAsia="en-US"/>
        </w:rPr>
        <w:lastRenderedPageBreak/>
        <w:t xml:space="preserve">вида </w:t>
      </w:r>
      <w:r w:rsidRPr="00281602">
        <w:rPr>
          <w:rFonts w:eastAsia="Segoe UI"/>
          <w:i/>
          <w:sz w:val="22"/>
          <w:szCs w:val="22"/>
          <w:lang w:eastAsia="en-US"/>
        </w:rPr>
        <w:t>Saccharomyces carlsbergens</w:t>
      </w:r>
      <w:r w:rsidRPr="00281602">
        <w:rPr>
          <w:rFonts w:eastAsia="Segoe UI"/>
          <w:i/>
          <w:sz w:val="22"/>
          <w:szCs w:val="22"/>
          <w:lang w:val="en-US" w:eastAsia="en-US"/>
        </w:rPr>
        <w:t>is</w:t>
      </w:r>
      <w:r w:rsidRPr="00281602">
        <w:rPr>
          <w:rFonts w:eastAsia="Segoe UI"/>
          <w:i/>
          <w:sz w:val="22"/>
          <w:szCs w:val="22"/>
          <w:lang w:eastAsia="en-US"/>
        </w:rPr>
        <w:t xml:space="preserve"> </w:t>
      </w:r>
      <w:r w:rsidRPr="00281602">
        <w:rPr>
          <w:rFonts w:eastAsia="Segoe UI"/>
          <w:sz w:val="22"/>
          <w:szCs w:val="22"/>
          <w:lang w:eastAsia="en-US"/>
        </w:rPr>
        <w:t xml:space="preserve">и бактерий </w:t>
      </w:r>
      <w:r w:rsidRPr="00281602">
        <w:rPr>
          <w:rFonts w:eastAsia="Segoe UI"/>
          <w:i/>
          <w:sz w:val="22"/>
          <w:szCs w:val="22"/>
          <w:lang w:val="en-US" w:eastAsia="en-US"/>
        </w:rPr>
        <w:t>Lactobacillus</w:t>
      </w:r>
      <w:r w:rsidRPr="00281602">
        <w:rPr>
          <w:rFonts w:eastAsia="Segoe UI"/>
          <w:i/>
          <w:sz w:val="22"/>
          <w:szCs w:val="22"/>
          <w:lang w:eastAsia="en-US"/>
        </w:rPr>
        <w:t xml:space="preserve"> plantarum.</w:t>
      </w:r>
      <w:r w:rsidRPr="00281602">
        <w:rPr>
          <w:rFonts w:eastAsia="Segoe UI"/>
          <w:sz w:val="22"/>
          <w:szCs w:val="22"/>
          <w:lang w:eastAsia="en-US"/>
        </w:rPr>
        <w:t xml:space="preserve"> В данном образце</w:t>
      </w:r>
      <w:r w:rsidRPr="00281602">
        <w:rPr>
          <w:rFonts w:eastAsia="Segoe UI"/>
          <w:i/>
          <w:sz w:val="22"/>
          <w:szCs w:val="22"/>
          <w:lang w:eastAsia="en-US"/>
        </w:rPr>
        <w:t xml:space="preserve"> </w:t>
      </w:r>
      <w:r w:rsidRPr="00281602">
        <w:rPr>
          <w:rFonts w:eastAsia="Segoe UI"/>
          <w:sz w:val="22"/>
          <w:szCs w:val="22"/>
          <w:lang w:eastAsia="en-US"/>
        </w:rPr>
        <w:t xml:space="preserve">дрожжи </w:t>
      </w:r>
      <w:r w:rsidRPr="00281602">
        <w:rPr>
          <w:rFonts w:eastAsia="Segoe UI"/>
          <w:i/>
          <w:sz w:val="22"/>
          <w:szCs w:val="22"/>
          <w:lang w:eastAsia="en-US"/>
        </w:rPr>
        <w:t>Saccharomyces carlsbergens</w:t>
      </w:r>
      <w:r w:rsidRPr="00281602">
        <w:rPr>
          <w:rFonts w:eastAsia="Segoe UI"/>
          <w:i/>
          <w:sz w:val="22"/>
          <w:szCs w:val="22"/>
          <w:lang w:val="en-US" w:eastAsia="en-US"/>
        </w:rPr>
        <w:t>is</w:t>
      </w:r>
      <w:r w:rsidRPr="00281602">
        <w:rPr>
          <w:rFonts w:eastAsia="Segoe UI"/>
          <w:i/>
          <w:sz w:val="22"/>
          <w:szCs w:val="22"/>
          <w:lang w:eastAsia="en-US"/>
        </w:rPr>
        <w:t xml:space="preserve"> </w:t>
      </w:r>
      <w:r w:rsidRPr="00281602">
        <w:rPr>
          <w:rFonts w:eastAsia="Segoe UI"/>
          <w:sz w:val="22"/>
          <w:szCs w:val="22"/>
          <w:lang w:eastAsia="en-US"/>
        </w:rPr>
        <w:t>при подсчёте на камере Горяева имели показатель 1,2×10</w:t>
      </w:r>
      <w:r w:rsidRPr="00281602">
        <w:rPr>
          <w:rFonts w:eastAsia="Segoe UI"/>
          <w:sz w:val="22"/>
          <w:szCs w:val="22"/>
          <w:vertAlign w:val="superscript"/>
          <w:lang w:eastAsia="en-US"/>
        </w:rPr>
        <w:t xml:space="preserve">8 </w:t>
      </w:r>
      <w:r w:rsidRPr="00281602">
        <w:rPr>
          <w:rFonts w:eastAsia="Segoe UI"/>
          <w:sz w:val="22"/>
          <w:szCs w:val="22"/>
          <w:lang w:eastAsia="en-US"/>
        </w:rPr>
        <w:t xml:space="preserve">КОЕ/мл. Бактерии </w:t>
      </w:r>
      <w:r w:rsidRPr="00281602">
        <w:rPr>
          <w:rFonts w:eastAsia="Segoe UI"/>
          <w:i/>
          <w:sz w:val="22"/>
          <w:szCs w:val="22"/>
          <w:lang w:val="en-US" w:eastAsia="en-US"/>
        </w:rPr>
        <w:t>Lactobacillus</w:t>
      </w:r>
      <w:r w:rsidRPr="00281602">
        <w:rPr>
          <w:rFonts w:eastAsia="Segoe UI"/>
          <w:i/>
          <w:sz w:val="22"/>
          <w:szCs w:val="22"/>
          <w:lang w:eastAsia="en-US"/>
        </w:rPr>
        <w:t xml:space="preserve"> plantarum </w:t>
      </w:r>
      <w:r w:rsidRPr="00281602">
        <w:rPr>
          <w:rFonts w:eastAsia="Segoe UI"/>
          <w:sz w:val="22"/>
          <w:szCs w:val="22"/>
          <w:lang w:eastAsia="en-US"/>
        </w:rPr>
        <w:t>имели титр 2,5×10</w:t>
      </w:r>
      <w:r w:rsidRPr="00281602">
        <w:rPr>
          <w:rFonts w:eastAsia="Segoe UI"/>
          <w:sz w:val="22"/>
          <w:szCs w:val="22"/>
          <w:vertAlign w:val="superscript"/>
          <w:lang w:eastAsia="en-US"/>
        </w:rPr>
        <w:t xml:space="preserve">9 </w:t>
      </w:r>
      <w:r w:rsidRPr="00281602">
        <w:rPr>
          <w:rFonts w:eastAsia="Segoe UI"/>
          <w:sz w:val="22"/>
          <w:szCs w:val="22"/>
          <w:lang w:eastAsia="en-US"/>
        </w:rPr>
        <w:t>КОЕ/мл. Да</w:t>
      </w:r>
      <w:r w:rsidRPr="00281602">
        <w:rPr>
          <w:rFonts w:eastAsia="Segoe UI"/>
          <w:sz w:val="22"/>
          <w:szCs w:val="22"/>
          <w:lang w:eastAsia="en-US"/>
        </w:rPr>
        <w:t>н</w:t>
      </w:r>
      <w:r w:rsidRPr="00281602">
        <w:rPr>
          <w:rFonts w:eastAsia="Segoe UI"/>
          <w:sz w:val="22"/>
          <w:szCs w:val="22"/>
          <w:lang w:eastAsia="en-US"/>
        </w:rPr>
        <w:t>ные показатели являются высокими и свидетельствуют о том, что среда является благоприятной для развития исследуемых микроо</w:t>
      </w:r>
      <w:r w:rsidRPr="00281602">
        <w:rPr>
          <w:rFonts w:eastAsia="Segoe UI"/>
          <w:sz w:val="22"/>
          <w:szCs w:val="22"/>
          <w:lang w:eastAsia="en-US"/>
        </w:rPr>
        <w:t>р</w:t>
      </w:r>
      <w:r w:rsidRPr="00281602">
        <w:rPr>
          <w:rFonts w:eastAsia="Segoe UI"/>
          <w:sz w:val="22"/>
          <w:szCs w:val="22"/>
          <w:lang w:eastAsia="en-US"/>
        </w:rPr>
        <w:t>ганизмов. При органолептической оценке образец имел освежа</w:t>
      </w:r>
      <w:r w:rsidRPr="00281602">
        <w:rPr>
          <w:rFonts w:eastAsia="Segoe UI"/>
          <w:sz w:val="22"/>
          <w:szCs w:val="22"/>
          <w:lang w:eastAsia="en-US"/>
        </w:rPr>
        <w:t>ю</w:t>
      </w:r>
      <w:r w:rsidRPr="00281602">
        <w:rPr>
          <w:rFonts w:eastAsia="Segoe UI"/>
          <w:sz w:val="22"/>
          <w:szCs w:val="22"/>
          <w:lang w:eastAsia="en-US"/>
        </w:rPr>
        <w:t>щий немного кисловатый вкус и характерный приятный аромат.</w:t>
      </w:r>
    </w:p>
    <w:p w:rsidR="00281602" w:rsidRPr="00281602" w:rsidRDefault="00281602" w:rsidP="0098373C">
      <w:pPr>
        <w:ind w:firstLine="426"/>
        <w:jc w:val="both"/>
        <w:rPr>
          <w:rFonts w:eastAsia="Segoe UI"/>
          <w:sz w:val="22"/>
          <w:szCs w:val="22"/>
          <w:lang w:eastAsia="en-US"/>
        </w:rPr>
      </w:pPr>
      <w:r w:rsidRPr="00281602">
        <w:rPr>
          <w:rFonts w:eastAsia="Segoe UI"/>
          <w:sz w:val="22"/>
          <w:szCs w:val="22"/>
          <w:lang w:eastAsia="en-US"/>
        </w:rPr>
        <w:t xml:space="preserve">Таким образом, совместное использование дрожжей </w:t>
      </w:r>
      <w:r w:rsidRPr="00281602">
        <w:rPr>
          <w:rFonts w:eastAsia="Segoe UI"/>
          <w:i/>
          <w:sz w:val="22"/>
          <w:szCs w:val="22"/>
          <w:lang w:eastAsia="en-US"/>
        </w:rPr>
        <w:t>Saccharomyces carlsbergens</w:t>
      </w:r>
      <w:r w:rsidRPr="00281602">
        <w:rPr>
          <w:rFonts w:eastAsia="Segoe UI"/>
          <w:i/>
          <w:sz w:val="22"/>
          <w:szCs w:val="22"/>
          <w:lang w:val="en-US" w:eastAsia="en-US"/>
        </w:rPr>
        <w:t>is</w:t>
      </w:r>
      <w:r w:rsidRPr="00281602">
        <w:rPr>
          <w:rFonts w:eastAsia="Segoe UI"/>
          <w:i/>
          <w:sz w:val="22"/>
          <w:szCs w:val="22"/>
          <w:lang w:eastAsia="en-US"/>
        </w:rPr>
        <w:t xml:space="preserve"> </w:t>
      </w:r>
      <w:r w:rsidRPr="00281602">
        <w:rPr>
          <w:rFonts w:eastAsia="Segoe UI"/>
          <w:sz w:val="22"/>
          <w:szCs w:val="22"/>
          <w:lang w:eastAsia="en-US"/>
        </w:rPr>
        <w:t xml:space="preserve">и молочнокислых бактерий </w:t>
      </w:r>
      <w:r w:rsidRPr="00281602">
        <w:rPr>
          <w:rFonts w:eastAsia="Segoe UI"/>
          <w:i/>
          <w:sz w:val="22"/>
          <w:szCs w:val="22"/>
          <w:lang w:val="en-US" w:eastAsia="en-US"/>
        </w:rPr>
        <w:t>Lactobaci</w:t>
      </w:r>
      <w:r w:rsidRPr="00281602">
        <w:rPr>
          <w:rFonts w:eastAsia="Segoe UI"/>
          <w:i/>
          <w:sz w:val="22"/>
          <w:szCs w:val="22"/>
          <w:lang w:val="en-US" w:eastAsia="en-US"/>
        </w:rPr>
        <w:t>l</w:t>
      </w:r>
      <w:r w:rsidRPr="00281602">
        <w:rPr>
          <w:rFonts w:eastAsia="Segoe UI"/>
          <w:i/>
          <w:sz w:val="22"/>
          <w:szCs w:val="22"/>
          <w:lang w:val="en-US" w:eastAsia="en-US"/>
        </w:rPr>
        <w:t>lus</w:t>
      </w:r>
      <w:r w:rsidRPr="00281602">
        <w:rPr>
          <w:rFonts w:eastAsia="Segoe UI"/>
          <w:i/>
          <w:sz w:val="22"/>
          <w:szCs w:val="22"/>
          <w:lang w:eastAsia="en-US"/>
        </w:rPr>
        <w:t xml:space="preserve"> plantarum </w:t>
      </w:r>
      <w:r w:rsidRPr="00281602">
        <w:rPr>
          <w:rFonts w:eastAsia="Segoe UI"/>
          <w:sz w:val="22"/>
          <w:szCs w:val="22"/>
          <w:lang w:eastAsia="en-US"/>
        </w:rPr>
        <w:t>можно рекомендовать для производства слабоалк</w:t>
      </w:r>
      <w:r w:rsidRPr="00281602">
        <w:rPr>
          <w:rFonts w:eastAsia="Segoe UI"/>
          <w:sz w:val="22"/>
          <w:szCs w:val="22"/>
          <w:lang w:eastAsia="en-US"/>
        </w:rPr>
        <w:t>о</w:t>
      </w:r>
      <w:r w:rsidRPr="00281602">
        <w:rPr>
          <w:rFonts w:eastAsia="Segoe UI"/>
          <w:sz w:val="22"/>
          <w:szCs w:val="22"/>
          <w:lang w:eastAsia="en-US"/>
        </w:rPr>
        <w:t>гольных напитков.</w:t>
      </w:r>
    </w:p>
    <w:bookmarkEnd w:id="7"/>
    <w:p w:rsidR="00281602" w:rsidRPr="00281602" w:rsidRDefault="00281602" w:rsidP="00564DAA">
      <w:pPr>
        <w:ind w:firstLine="426"/>
        <w:jc w:val="center"/>
        <w:rPr>
          <w:rFonts w:eastAsia="Segoe UI"/>
          <w:sz w:val="22"/>
          <w:szCs w:val="22"/>
          <w:lang w:eastAsia="en-US"/>
        </w:rPr>
      </w:pPr>
      <w:r w:rsidRPr="00281602">
        <w:rPr>
          <w:rFonts w:eastAsia="Segoe UI"/>
          <w:sz w:val="22"/>
          <w:szCs w:val="22"/>
          <w:lang w:eastAsia="en-US"/>
        </w:rPr>
        <w:t>Список литературы</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1. ГОСТ 10444.11-2013. Микробиология пищевых продуктов и кормов для животных. Методы выявления и подсчета количества мезофильных молочнокислых микроорганизмов. – Москва: Ста</w:t>
      </w:r>
      <w:r w:rsidRPr="00281602">
        <w:rPr>
          <w:rFonts w:eastAsia="Segoe UI"/>
          <w:sz w:val="22"/>
          <w:szCs w:val="22"/>
          <w:lang w:eastAsia="en-US"/>
        </w:rPr>
        <w:t>н</w:t>
      </w:r>
      <w:r w:rsidRPr="00281602">
        <w:rPr>
          <w:rFonts w:eastAsia="Segoe UI"/>
          <w:sz w:val="22"/>
          <w:szCs w:val="22"/>
          <w:lang w:eastAsia="en-US"/>
        </w:rPr>
        <w:t>дартинформ, 2014. – 23 с.</w:t>
      </w:r>
    </w:p>
    <w:p w:rsidR="00281602" w:rsidRPr="00281602" w:rsidRDefault="00281602" w:rsidP="00564DAA">
      <w:pPr>
        <w:ind w:firstLine="426"/>
        <w:jc w:val="both"/>
        <w:rPr>
          <w:rFonts w:eastAsia="Segoe UI"/>
          <w:sz w:val="22"/>
          <w:szCs w:val="22"/>
          <w:lang w:eastAsia="en-US"/>
        </w:rPr>
      </w:pPr>
      <w:r w:rsidRPr="00281602">
        <w:rPr>
          <w:rFonts w:eastAsia="Segoe UI"/>
          <w:sz w:val="22"/>
          <w:szCs w:val="22"/>
          <w:lang w:eastAsia="en-US"/>
        </w:rPr>
        <w:t>2. Еремин, Ю. Н. Актуальные проблемы обогащения продуктов питания биологически активными веществами //Известия Урал</w:t>
      </w:r>
      <w:r w:rsidRPr="00281602">
        <w:rPr>
          <w:rFonts w:eastAsia="Segoe UI"/>
          <w:sz w:val="22"/>
          <w:szCs w:val="22"/>
          <w:lang w:eastAsia="en-US"/>
        </w:rPr>
        <w:t>ь</w:t>
      </w:r>
      <w:r w:rsidRPr="00281602">
        <w:rPr>
          <w:rFonts w:eastAsia="Segoe UI"/>
          <w:sz w:val="22"/>
          <w:szCs w:val="22"/>
          <w:lang w:eastAsia="en-US"/>
        </w:rPr>
        <w:t>ского государственного экономического университета. – 2008. – №. 2 (21)</w:t>
      </w:r>
    </w:p>
    <w:p w:rsidR="001360B4" w:rsidRPr="00281602" w:rsidRDefault="001360B4" w:rsidP="00564DAA">
      <w:pPr>
        <w:spacing w:line="259" w:lineRule="auto"/>
        <w:rPr>
          <w:rFonts w:eastAsia="Calibri"/>
          <w:sz w:val="20"/>
          <w:szCs w:val="20"/>
          <w:lang w:eastAsia="en-US"/>
        </w:rPr>
      </w:pPr>
    </w:p>
    <w:p w:rsidR="001360B4" w:rsidRPr="00564DAA" w:rsidRDefault="00281602" w:rsidP="00564DAA">
      <w:pPr>
        <w:keepNext/>
        <w:keepLines/>
        <w:tabs>
          <w:tab w:val="left" w:pos="1481"/>
        </w:tabs>
        <w:outlineLvl w:val="0"/>
        <w:rPr>
          <w:sz w:val="22"/>
          <w:szCs w:val="22"/>
          <w:lang w:eastAsia="en-US"/>
        </w:rPr>
      </w:pPr>
      <w:r w:rsidRPr="00564DAA">
        <w:rPr>
          <w:sz w:val="22"/>
          <w:szCs w:val="22"/>
          <w:lang w:eastAsia="en-US"/>
        </w:rPr>
        <w:t>УДК 633.432:579.864</w:t>
      </w:r>
    </w:p>
    <w:p w:rsidR="00281602" w:rsidRPr="00281602" w:rsidRDefault="00281602" w:rsidP="00564DAA">
      <w:pPr>
        <w:keepNext/>
        <w:keepLines/>
        <w:jc w:val="center"/>
        <w:outlineLvl w:val="0"/>
        <w:rPr>
          <w:b/>
          <w:sz w:val="24"/>
          <w:szCs w:val="32"/>
          <w:lang w:eastAsia="en-US"/>
        </w:rPr>
      </w:pPr>
      <w:r w:rsidRPr="00281602">
        <w:rPr>
          <w:b/>
          <w:sz w:val="24"/>
          <w:szCs w:val="32"/>
          <w:lang w:eastAsia="en-US"/>
        </w:rPr>
        <w:t xml:space="preserve">Оптимизация питательной среды для </w:t>
      </w:r>
    </w:p>
    <w:p w:rsidR="00281602" w:rsidRPr="00281602" w:rsidRDefault="00281602" w:rsidP="00564DAA">
      <w:pPr>
        <w:keepNext/>
        <w:keepLines/>
        <w:jc w:val="center"/>
        <w:outlineLvl w:val="0"/>
        <w:rPr>
          <w:b/>
          <w:sz w:val="24"/>
          <w:szCs w:val="32"/>
          <w:lang w:eastAsia="en-US"/>
        </w:rPr>
      </w:pPr>
      <w:r w:rsidRPr="00281602">
        <w:rPr>
          <w:b/>
          <w:sz w:val="24"/>
          <w:szCs w:val="32"/>
          <w:lang w:eastAsia="en-US"/>
        </w:rPr>
        <w:t>культивирования молочнокислых бактерий</w:t>
      </w:r>
    </w:p>
    <w:p w:rsidR="00281602" w:rsidRPr="00281602" w:rsidRDefault="00281602" w:rsidP="00564DAA">
      <w:pPr>
        <w:keepNext/>
        <w:keepLines/>
        <w:jc w:val="center"/>
        <w:outlineLvl w:val="0"/>
        <w:rPr>
          <w:b/>
          <w:sz w:val="24"/>
          <w:szCs w:val="32"/>
          <w:lang w:eastAsia="en-US"/>
        </w:rPr>
      </w:pPr>
      <w:r w:rsidRPr="00281602">
        <w:rPr>
          <w:b/>
          <w:sz w:val="24"/>
          <w:szCs w:val="32"/>
          <w:lang w:val="en-US" w:eastAsia="en-US"/>
        </w:rPr>
        <w:t>Optimization</w:t>
      </w:r>
      <w:r w:rsidRPr="00281602">
        <w:rPr>
          <w:b/>
          <w:sz w:val="24"/>
          <w:szCs w:val="32"/>
          <w:lang w:eastAsia="en-US"/>
        </w:rPr>
        <w:t xml:space="preserve"> </w:t>
      </w:r>
      <w:r w:rsidRPr="00281602">
        <w:rPr>
          <w:b/>
          <w:sz w:val="24"/>
          <w:szCs w:val="32"/>
          <w:lang w:val="en-US" w:eastAsia="en-US"/>
        </w:rPr>
        <w:t>of</w:t>
      </w:r>
      <w:r w:rsidRPr="00281602">
        <w:rPr>
          <w:b/>
          <w:sz w:val="24"/>
          <w:szCs w:val="32"/>
          <w:lang w:eastAsia="en-US"/>
        </w:rPr>
        <w:t xml:space="preserve"> </w:t>
      </w:r>
      <w:r w:rsidRPr="00281602">
        <w:rPr>
          <w:b/>
          <w:sz w:val="24"/>
          <w:szCs w:val="32"/>
          <w:lang w:val="en-US" w:eastAsia="en-US"/>
        </w:rPr>
        <w:t>nutrient</w:t>
      </w:r>
      <w:r w:rsidRPr="00281602">
        <w:rPr>
          <w:b/>
          <w:sz w:val="24"/>
          <w:szCs w:val="32"/>
          <w:lang w:eastAsia="en-US"/>
        </w:rPr>
        <w:t xml:space="preserve"> </w:t>
      </w:r>
      <w:r w:rsidRPr="00281602">
        <w:rPr>
          <w:b/>
          <w:sz w:val="24"/>
          <w:szCs w:val="32"/>
          <w:lang w:val="en-US" w:eastAsia="en-US"/>
        </w:rPr>
        <w:t>medium</w:t>
      </w:r>
      <w:r w:rsidRPr="00281602">
        <w:rPr>
          <w:b/>
          <w:sz w:val="24"/>
          <w:szCs w:val="32"/>
          <w:lang w:eastAsia="en-US"/>
        </w:rPr>
        <w:t xml:space="preserve"> </w:t>
      </w:r>
      <w:r w:rsidRPr="00281602">
        <w:rPr>
          <w:b/>
          <w:sz w:val="24"/>
          <w:szCs w:val="32"/>
          <w:lang w:val="en-US" w:eastAsia="en-US"/>
        </w:rPr>
        <w:t>for</w:t>
      </w:r>
      <w:r w:rsidRPr="00281602">
        <w:rPr>
          <w:b/>
          <w:sz w:val="24"/>
          <w:szCs w:val="32"/>
          <w:lang w:eastAsia="en-US"/>
        </w:rPr>
        <w:t xml:space="preserve"> </w:t>
      </w:r>
      <w:r w:rsidRPr="00281602">
        <w:rPr>
          <w:b/>
          <w:sz w:val="24"/>
          <w:szCs w:val="32"/>
          <w:lang w:val="en-US" w:eastAsia="en-US"/>
        </w:rPr>
        <w:t>the</w:t>
      </w:r>
      <w:r w:rsidRPr="00281602">
        <w:rPr>
          <w:b/>
          <w:sz w:val="24"/>
          <w:szCs w:val="32"/>
          <w:lang w:eastAsia="en-US"/>
        </w:rPr>
        <w:t xml:space="preserve"> </w:t>
      </w:r>
      <w:r w:rsidRPr="00281602">
        <w:rPr>
          <w:b/>
          <w:sz w:val="24"/>
          <w:szCs w:val="32"/>
          <w:lang w:val="en-US" w:eastAsia="en-US"/>
        </w:rPr>
        <w:t>obtaining</w:t>
      </w:r>
      <w:r w:rsidRPr="00281602">
        <w:rPr>
          <w:b/>
          <w:sz w:val="24"/>
          <w:szCs w:val="32"/>
          <w:lang w:eastAsia="en-US"/>
        </w:rPr>
        <w:t xml:space="preserve"> </w:t>
      </w:r>
      <w:r w:rsidRPr="00281602">
        <w:rPr>
          <w:b/>
          <w:sz w:val="24"/>
          <w:szCs w:val="32"/>
          <w:lang w:val="en-US" w:eastAsia="en-US"/>
        </w:rPr>
        <w:t>of</w:t>
      </w:r>
      <w:r w:rsidRPr="00281602">
        <w:rPr>
          <w:b/>
          <w:sz w:val="24"/>
          <w:szCs w:val="32"/>
          <w:lang w:eastAsia="en-US"/>
        </w:rPr>
        <w:t xml:space="preserve"> </w:t>
      </w:r>
    </w:p>
    <w:p w:rsidR="00281602" w:rsidRPr="008D33CB" w:rsidRDefault="00281602" w:rsidP="001360B4">
      <w:pPr>
        <w:keepNext/>
        <w:keepLines/>
        <w:jc w:val="center"/>
        <w:outlineLvl w:val="0"/>
        <w:rPr>
          <w:b/>
          <w:sz w:val="24"/>
          <w:szCs w:val="32"/>
          <w:lang w:val="en-US" w:eastAsia="en-US"/>
        </w:rPr>
      </w:pPr>
      <w:proofErr w:type="gramStart"/>
      <w:r w:rsidRPr="00281602">
        <w:rPr>
          <w:b/>
          <w:sz w:val="24"/>
          <w:szCs w:val="32"/>
          <w:lang w:val="en-US" w:eastAsia="en-US"/>
        </w:rPr>
        <w:t>lactic</w:t>
      </w:r>
      <w:proofErr w:type="gramEnd"/>
      <w:r w:rsidRPr="00281602">
        <w:rPr>
          <w:b/>
          <w:sz w:val="24"/>
          <w:szCs w:val="32"/>
          <w:lang w:val="en-US" w:eastAsia="en-US"/>
        </w:rPr>
        <w:t xml:space="preserve"> acid bacteria</w:t>
      </w:r>
    </w:p>
    <w:p w:rsidR="001360B4" w:rsidRPr="008D33CB" w:rsidRDefault="001360B4" w:rsidP="001360B4">
      <w:pPr>
        <w:keepNext/>
        <w:keepLines/>
        <w:jc w:val="center"/>
        <w:outlineLvl w:val="0"/>
        <w:rPr>
          <w:b/>
          <w:sz w:val="24"/>
          <w:szCs w:val="32"/>
          <w:lang w:val="en-US" w:eastAsia="en-US"/>
        </w:rPr>
      </w:pPr>
    </w:p>
    <w:p w:rsidR="00281602" w:rsidRPr="008D33CB" w:rsidRDefault="00281602" w:rsidP="00281602">
      <w:pPr>
        <w:jc w:val="right"/>
        <w:rPr>
          <w:rFonts w:eastAsia="Calibri"/>
          <w:sz w:val="22"/>
          <w:szCs w:val="22"/>
          <w:lang w:val="en-US" w:eastAsia="en-US"/>
        </w:rPr>
      </w:pPr>
      <w:r w:rsidRPr="00281602">
        <w:rPr>
          <w:rFonts w:eastAsia="Calibri"/>
          <w:sz w:val="22"/>
          <w:szCs w:val="22"/>
          <w:lang w:eastAsia="en-US"/>
        </w:rPr>
        <w:t>Папикян</w:t>
      </w:r>
      <w:r w:rsidRPr="00281602">
        <w:rPr>
          <w:rFonts w:eastAsia="Calibri"/>
          <w:sz w:val="22"/>
          <w:szCs w:val="22"/>
          <w:lang w:val="en-US" w:eastAsia="en-US"/>
        </w:rPr>
        <w:t> </w:t>
      </w:r>
      <w:r w:rsidRPr="00281602">
        <w:rPr>
          <w:rFonts w:eastAsia="Calibri"/>
          <w:sz w:val="22"/>
          <w:szCs w:val="22"/>
          <w:lang w:eastAsia="en-US"/>
        </w:rPr>
        <w:t>Т</w:t>
      </w:r>
      <w:r w:rsidRPr="008D33CB">
        <w:rPr>
          <w:rFonts w:eastAsia="Calibri"/>
          <w:sz w:val="22"/>
          <w:szCs w:val="22"/>
          <w:lang w:val="en-US" w:eastAsia="en-US"/>
        </w:rPr>
        <w:t>.</w:t>
      </w:r>
      <w:r w:rsidRPr="00281602">
        <w:rPr>
          <w:rFonts w:eastAsia="Calibri"/>
          <w:sz w:val="22"/>
          <w:szCs w:val="22"/>
          <w:lang w:val="en-US" w:eastAsia="en-US"/>
        </w:rPr>
        <w:t> </w:t>
      </w:r>
      <w:r w:rsidRPr="00281602">
        <w:rPr>
          <w:rFonts w:eastAsia="Calibri"/>
          <w:sz w:val="22"/>
          <w:szCs w:val="22"/>
          <w:lang w:eastAsia="en-US"/>
        </w:rPr>
        <w:t>А</w:t>
      </w:r>
      <w:r w:rsidRPr="008D33CB">
        <w:rPr>
          <w:rFonts w:eastAsia="Calibri"/>
          <w:sz w:val="22"/>
          <w:szCs w:val="22"/>
          <w:lang w:val="en-US" w:eastAsia="en-US"/>
        </w:rPr>
        <w:t xml:space="preserve">., </w:t>
      </w:r>
      <w:r w:rsidRPr="00281602">
        <w:rPr>
          <w:rFonts w:eastAsia="Calibri"/>
          <w:sz w:val="22"/>
          <w:szCs w:val="22"/>
          <w:lang w:eastAsia="en-US"/>
        </w:rPr>
        <w:t>Обмоина</w:t>
      </w:r>
      <w:r w:rsidRPr="00281602">
        <w:rPr>
          <w:rFonts w:eastAsia="Calibri"/>
          <w:sz w:val="22"/>
          <w:szCs w:val="22"/>
          <w:lang w:val="en-US" w:eastAsia="en-US"/>
        </w:rPr>
        <w:t> </w:t>
      </w:r>
      <w:r w:rsidRPr="00281602">
        <w:rPr>
          <w:rFonts w:eastAsia="Calibri"/>
          <w:sz w:val="22"/>
          <w:szCs w:val="22"/>
          <w:lang w:eastAsia="en-US"/>
        </w:rPr>
        <w:t>А</w:t>
      </w:r>
      <w:r w:rsidRPr="008D33CB">
        <w:rPr>
          <w:rFonts w:eastAsia="Calibri"/>
          <w:sz w:val="22"/>
          <w:szCs w:val="22"/>
          <w:lang w:val="en-US" w:eastAsia="en-US"/>
        </w:rPr>
        <w:t>.</w:t>
      </w:r>
      <w:r w:rsidRPr="00281602">
        <w:rPr>
          <w:rFonts w:eastAsia="Calibri"/>
          <w:sz w:val="22"/>
          <w:szCs w:val="22"/>
          <w:lang w:val="en-US" w:eastAsia="en-US"/>
        </w:rPr>
        <w:t> </w:t>
      </w:r>
      <w:r w:rsidRPr="00281602">
        <w:rPr>
          <w:rFonts w:eastAsia="Calibri"/>
          <w:sz w:val="22"/>
          <w:szCs w:val="22"/>
          <w:lang w:eastAsia="en-US"/>
        </w:rPr>
        <w:t>В</w:t>
      </w:r>
      <w:r w:rsidRPr="008D33CB">
        <w:rPr>
          <w:rFonts w:eastAsia="Calibri"/>
          <w:sz w:val="22"/>
          <w:szCs w:val="22"/>
          <w:lang w:val="en-US" w:eastAsia="en-US"/>
        </w:rPr>
        <w:t>.,</w:t>
      </w:r>
    </w:p>
    <w:p w:rsidR="00281602" w:rsidRPr="00281602" w:rsidRDefault="00281602" w:rsidP="0098373C">
      <w:pPr>
        <w:jc w:val="right"/>
        <w:rPr>
          <w:rFonts w:eastAsia="Calibri"/>
          <w:sz w:val="22"/>
          <w:szCs w:val="22"/>
          <w:lang w:eastAsia="en-US"/>
        </w:rPr>
      </w:pPr>
      <w:r w:rsidRPr="00281602">
        <w:rPr>
          <w:rFonts w:eastAsia="Calibri"/>
          <w:sz w:val="22"/>
          <w:szCs w:val="22"/>
          <w:lang w:eastAsia="en-US"/>
        </w:rPr>
        <w:t>студентки 4-го курса</w:t>
      </w:r>
      <w:r w:rsidR="0098373C">
        <w:rPr>
          <w:rFonts w:eastAsia="Calibri"/>
          <w:sz w:val="22"/>
          <w:szCs w:val="22"/>
          <w:lang w:eastAsia="en-US"/>
        </w:rPr>
        <w:t xml:space="preserve"> </w:t>
      </w:r>
      <w:r w:rsidRPr="00281602">
        <w:rPr>
          <w:rFonts w:eastAsia="Calibri"/>
          <w:sz w:val="22"/>
          <w:szCs w:val="22"/>
          <w:lang w:eastAsia="en-US"/>
        </w:rPr>
        <w:t>факультета 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Волкова С. 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биотехнологии, биохимии и биофизики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spacing w:after="240"/>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АННОТАЦИЯ: Рассмотрены проблемы повышения эффекти</w:t>
      </w:r>
      <w:r w:rsidRPr="00281602">
        <w:rPr>
          <w:rFonts w:eastAsia="Calibri"/>
          <w:sz w:val="22"/>
          <w:szCs w:val="22"/>
          <w:lang w:eastAsia="en-US"/>
        </w:rPr>
        <w:t>в</w:t>
      </w:r>
      <w:r w:rsidRPr="00281602">
        <w:rPr>
          <w:rFonts w:eastAsia="Calibri"/>
          <w:sz w:val="22"/>
          <w:szCs w:val="22"/>
          <w:lang w:eastAsia="en-US"/>
        </w:rPr>
        <w:t>ности производства пробиотиков путем усовершенствования пит</w:t>
      </w:r>
      <w:r w:rsidRPr="00281602">
        <w:rPr>
          <w:rFonts w:eastAsia="Calibri"/>
          <w:sz w:val="22"/>
          <w:szCs w:val="22"/>
          <w:lang w:eastAsia="en-US"/>
        </w:rPr>
        <w:t>а</w:t>
      </w:r>
      <w:r w:rsidRPr="00281602">
        <w:rPr>
          <w:rFonts w:eastAsia="Calibri"/>
          <w:sz w:val="22"/>
          <w:szCs w:val="22"/>
          <w:lang w:eastAsia="en-US"/>
        </w:rPr>
        <w:lastRenderedPageBreak/>
        <w:t>тельных сред для их культивирования. Использование моркови в качестве источника углерода, витаминов, макро- и микроэлементов приводит к снижению затрат производства, а также увеличению биомассы пробиотических микроорганизмов при глубинном жи</w:t>
      </w:r>
      <w:r w:rsidRPr="00281602">
        <w:rPr>
          <w:rFonts w:eastAsia="Calibri"/>
          <w:sz w:val="22"/>
          <w:szCs w:val="22"/>
          <w:lang w:eastAsia="en-US"/>
        </w:rPr>
        <w:t>д</w:t>
      </w:r>
      <w:r w:rsidRPr="00281602">
        <w:rPr>
          <w:rFonts w:eastAsia="Calibri"/>
          <w:sz w:val="22"/>
          <w:szCs w:val="22"/>
          <w:lang w:eastAsia="en-US"/>
        </w:rPr>
        <w:t>кофазном культивировании.</w:t>
      </w:r>
    </w:p>
    <w:p w:rsidR="00281602" w:rsidRPr="00281602" w:rsidRDefault="00281602" w:rsidP="00564DAA">
      <w:pPr>
        <w:tabs>
          <w:tab w:val="left" w:pos="2160"/>
        </w:tabs>
        <w:ind w:firstLine="426"/>
        <w:jc w:val="both"/>
        <w:rPr>
          <w:rFonts w:eastAsia="Calibri"/>
          <w:sz w:val="22"/>
          <w:szCs w:val="22"/>
          <w:lang w:val="en-US" w:eastAsia="en-US"/>
        </w:rPr>
      </w:pPr>
      <w:r w:rsidRPr="00281602">
        <w:rPr>
          <w:rFonts w:eastAsia="Calibri"/>
          <w:sz w:val="22"/>
          <w:szCs w:val="22"/>
          <w:lang w:val="en-US" w:eastAsia="en-US"/>
        </w:rPr>
        <w:t>ABSTRACT: Problems of increase of production efficiency of pr</w:t>
      </w:r>
      <w:r w:rsidRPr="00281602">
        <w:rPr>
          <w:rFonts w:eastAsia="Calibri"/>
          <w:sz w:val="22"/>
          <w:szCs w:val="22"/>
          <w:lang w:val="en-US" w:eastAsia="en-US"/>
        </w:rPr>
        <w:t>o</w:t>
      </w:r>
      <w:r w:rsidRPr="00281602">
        <w:rPr>
          <w:rFonts w:eastAsia="Calibri"/>
          <w:sz w:val="22"/>
          <w:szCs w:val="22"/>
          <w:lang w:val="en-US" w:eastAsia="en-US"/>
        </w:rPr>
        <w:t>biotics by improvement of nutrient mediums for their cultivation are considered. The use of carrots as a source of carbon, vitamins, macro - and microcells leads to a decrease in production costs, as well as an i</w:t>
      </w:r>
      <w:r w:rsidRPr="00281602">
        <w:rPr>
          <w:rFonts w:eastAsia="Calibri"/>
          <w:sz w:val="22"/>
          <w:szCs w:val="22"/>
          <w:lang w:val="en-US" w:eastAsia="en-US"/>
        </w:rPr>
        <w:t>n</w:t>
      </w:r>
      <w:r w:rsidRPr="00281602">
        <w:rPr>
          <w:rFonts w:eastAsia="Calibri"/>
          <w:sz w:val="22"/>
          <w:szCs w:val="22"/>
          <w:lang w:val="en-US" w:eastAsia="en-US"/>
        </w:rPr>
        <w:t xml:space="preserve">crease in the biomass of probiotic </w:t>
      </w:r>
      <w:r w:rsidRPr="00281602">
        <w:rPr>
          <w:rFonts w:eastAsia="Calibri"/>
          <w:spacing w:val="-4"/>
          <w:sz w:val="22"/>
          <w:szCs w:val="22"/>
          <w:lang w:val="en-US" w:eastAsia="en-US"/>
        </w:rPr>
        <w:t>microorganisms in deep liquid-phase cultivation.</w:t>
      </w:r>
    </w:p>
    <w:p w:rsidR="00281602" w:rsidRPr="00281602" w:rsidRDefault="00281602" w:rsidP="00564DAA">
      <w:pPr>
        <w:tabs>
          <w:tab w:val="left" w:pos="2160"/>
        </w:tabs>
        <w:ind w:firstLine="426"/>
        <w:jc w:val="both"/>
        <w:rPr>
          <w:rFonts w:eastAsia="Calibri"/>
          <w:sz w:val="22"/>
          <w:szCs w:val="22"/>
          <w:lang w:eastAsia="en-US"/>
        </w:rPr>
      </w:pPr>
      <w:r w:rsidRPr="00281602">
        <w:rPr>
          <w:rFonts w:eastAsia="Calibri"/>
          <w:sz w:val="22"/>
          <w:szCs w:val="22"/>
          <w:lang w:eastAsia="en-US"/>
        </w:rPr>
        <w:t>КЛЮЧЕВЫЕ СЛОВА: питательные среды, пробиотики, з</w:t>
      </w:r>
      <w:r w:rsidRPr="00281602">
        <w:rPr>
          <w:rFonts w:eastAsia="Calibri"/>
          <w:sz w:val="22"/>
          <w:szCs w:val="22"/>
          <w:lang w:eastAsia="en-US"/>
        </w:rPr>
        <w:t>а</w:t>
      </w:r>
      <w:r w:rsidRPr="00281602">
        <w:rPr>
          <w:rFonts w:eastAsia="Calibri"/>
          <w:sz w:val="22"/>
          <w:szCs w:val="22"/>
          <w:lang w:eastAsia="en-US"/>
        </w:rPr>
        <w:t>кваска, морковный сок.</w:t>
      </w:r>
    </w:p>
    <w:p w:rsidR="00281602" w:rsidRPr="00281602" w:rsidRDefault="00281602" w:rsidP="00564DAA">
      <w:pPr>
        <w:tabs>
          <w:tab w:val="center" w:pos="3444"/>
        </w:tabs>
        <w:spacing w:after="240"/>
        <w:ind w:firstLine="426"/>
        <w:jc w:val="both"/>
        <w:rPr>
          <w:rFonts w:eastAsia="Calibri"/>
          <w:sz w:val="22"/>
          <w:szCs w:val="22"/>
          <w:lang w:val="en-US" w:eastAsia="en-US"/>
        </w:rPr>
      </w:pPr>
      <w:r w:rsidRPr="00281602">
        <w:rPr>
          <w:rFonts w:eastAsia="Calibri"/>
          <w:sz w:val="22"/>
          <w:szCs w:val="22"/>
          <w:lang w:val="en-US" w:eastAsia="en-US"/>
        </w:rPr>
        <w:t>KEYWORDS: nutrient medium, probiotics, ferment, carrot juice.</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Проблема повышения эффективности производства пробиот</w:t>
      </w:r>
      <w:r w:rsidRPr="00281602">
        <w:rPr>
          <w:rFonts w:eastAsia="Calibri"/>
          <w:sz w:val="22"/>
          <w:szCs w:val="22"/>
          <w:lang w:eastAsia="en-US"/>
        </w:rPr>
        <w:t>и</w:t>
      </w:r>
      <w:r w:rsidRPr="00281602">
        <w:rPr>
          <w:rFonts w:eastAsia="Calibri"/>
          <w:sz w:val="22"/>
          <w:szCs w:val="22"/>
          <w:lang w:eastAsia="en-US"/>
        </w:rPr>
        <w:t>ков предполагает использование различных подходов, среди кот</w:t>
      </w:r>
      <w:r w:rsidRPr="00281602">
        <w:rPr>
          <w:rFonts w:eastAsia="Calibri"/>
          <w:sz w:val="22"/>
          <w:szCs w:val="22"/>
          <w:lang w:eastAsia="en-US"/>
        </w:rPr>
        <w:t>о</w:t>
      </w:r>
      <w:r w:rsidRPr="00281602">
        <w:rPr>
          <w:rFonts w:eastAsia="Calibri"/>
          <w:sz w:val="22"/>
          <w:szCs w:val="22"/>
          <w:lang w:eastAsia="en-US"/>
        </w:rPr>
        <w:t>рых оптимизация питательных сред для их культивирования. Ра</w:t>
      </w:r>
      <w:r w:rsidRPr="00281602">
        <w:rPr>
          <w:rFonts w:eastAsia="Calibri"/>
          <w:sz w:val="22"/>
          <w:szCs w:val="22"/>
          <w:lang w:eastAsia="en-US"/>
        </w:rPr>
        <w:t>з</w:t>
      </w:r>
      <w:r w:rsidRPr="00281602">
        <w:rPr>
          <w:rFonts w:eastAsia="Calibri"/>
          <w:sz w:val="22"/>
          <w:szCs w:val="22"/>
          <w:lang w:eastAsia="en-US"/>
        </w:rPr>
        <w:t>нообразие компонентов питательных сред на сегодняшний день очень велико, и проведение сравнительных анализов помогает в</w:t>
      </w:r>
      <w:r w:rsidRPr="00281602">
        <w:rPr>
          <w:rFonts w:eastAsia="Calibri"/>
          <w:sz w:val="22"/>
          <w:szCs w:val="22"/>
          <w:lang w:eastAsia="en-US"/>
        </w:rPr>
        <w:t>ы</w:t>
      </w:r>
      <w:r w:rsidRPr="00281602">
        <w:rPr>
          <w:rFonts w:eastAsia="Calibri"/>
          <w:sz w:val="22"/>
          <w:szCs w:val="22"/>
          <w:lang w:eastAsia="en-US"/>
        </w:rPr>
        <w:t>явить лучшие сочетания и соотношения для определенных видов бактерий. Основным элементом питания молочнокислых бактерий являются углеводы, поэтому большинство сред содержат в своем составе их источники [1].</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Целью эксперимента явилось увеличение продукции биомассы пробиотических микроорганизмов при глубинном культивировании на жидкой питательной среде на основе морковного сока, содерж</w:t>
      </w:r>
      <w:r w:rsidRPr="00281602">
        <w:rPr>
          <w:rFonts w:eastAsia="Calibri"/>
          <w:sz w:val="22"/>
          <w:szCs w:val="22"/>
          <w:lang w:eastAsia="en-US"/>
        </w:rPr>
        <w:t>а</w:t>
      </w:r>
      <w:r w:rsidRPr="00281602">
        <w:rPr>
          <w:rFonts w:eastAsia="Calibri"/>
          <w:sz w:val="22"/>
          <w:szCs w:val="22"/>
          <w:lang w:eastAsia="en-US"/>
        </w:rPr>
        <w:t>щего значительное количество углеводов, минералов, макро- и ми</w:t>
      </w:r>
      <w:r w:rsidRPr="00281602">
        <w:rPr>
          <w:rFonts w:eastAsia="Calibri"/>
          <w:sz w:val="22"/>
          <w:szCs w:val="22"/>
          <w:lang w:eastAsia="en-US"/>
        </w:rPr>
        <w:t>к</w:t>
      </w:r>
      <w:r w:rsidRPr="00281602">
        <w:rPr>
          <w:rFonts w:eastAsia="Calibri"/>
          <w:sz w:val="22"/>
          <w:szCs w:val="22"/>
          <w:lang w:eastAsia="en-US"/>
        </w:rPr>
        <w:t>роэлементов, способных в полной мере обеспечивать рост и разв</w:t>
      </w:r>
      <w:r w:rsidRPr="00281602">
        <w:rPr>
          <w:rFonts w:eastAsia="Calibri"/>
          <w:sz w:val="22"/>
          <w:szCs w:val="22"/>
          <w:lang w:eastAsia="en-US"/>
        </w:rPr>
        <w:t>и</w:t>
      </w:r>
      <w:r w:rsidRPr="00281602">
        <w:rPr>
          <w:rFonts w:eastAsia="Calibri"/>
          <w:sz w:val="22"/>
          <w:szCs w:val="22"/>
          <w:lang w:eastAsia="en-US"/>
        </w:rPr>
        <w:t>тие лактобактерий.</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Объектом исследования послужила лиофилизированная кул</w:t>
      </w:r>
      <w:r w:rsidRPr="00281602">
        <w:rPr>
          <w:rFonts w:eastAsia="Calibri"/>
          <w:sz w:val="22"/>
          <w:szCs w:val="22"/>
          <w:lang w:eastAsia="en-US"/>
        </w:rPr>
        <w:t>ь</w:t>
      </w:r>
      <w:r w:rsidRPr="00281602">
        <w:rPr>
          <w:rFonts w:eastAsia="Calibri"/>
          <w:sz w:val="22"/>
          <w:szCs w:val="22"/>
          <w:lang w:eastAsia="en-US"/>
        </w:rPr>
        <w:t xml:space="preserve">тура лактобактерий </w:t>
      </w:r>
      <w:r w:rsidRPr="00281602">
        <w:rPr>
          <w:rFonts w:eastAsia="Calibri"/>
          <w:i/>
          <w:sz w:val="22"/>
          <w:szCs w:val="22"/>
          <w:lang w:val="en-US" w:eastAsia="en-US"/>
        </w:rPr>
        <w:t>Lactobacillus</w:t>
      </w:r>
      <w:r w:rsidRPr="00281602">
        <w:rPr>
          <w:rFonts w:eastAsia="Calibri"/>
          <w:i/>
          <w:sz w:val="22"/>
          <w:szCs w:val="22"/>
          <w:lang w:eastAsia="en-US"/>
        </w:rPr>
        <w:t xml:space="preserve"> </w:t>
      </w:r>
      <w:r w:rsidRPr="00281602">
        <w:rPr>
          <w:rFonts w:eastAsia="Calibri"/>
          <w:i/>
          <w:sz w:val="22"/>
          <w:szCs w:val="22"/>
          <w:lang w:val="en-US" w:eastAsia="en-US"/>
        </w:rPr>
        <w:t>plantarum</w:t>
      </w:r>
      <w:r w:rsidRPr="00281602">
        <w:rPr>
          <w:rFonts w:eastAsia="Calibri"/>
          <w:sz w:val="22"/>
          <w:szCs w:val="22"/>
          <w:lang w:eastAsia="en-US"/>
        </w:rPr>
        <w:t xml:space="preserve"> в форме пробиотическ</w:t>
      </w:r>
      <w:r w:rsidRPr="00281602">
        <w:rPr>
          <w:rFonts w:eastAsia="Calibri"/>
          <w:sz w:val="22"/>
          <w:szCs w:val="22"/>
          <w:lang w:eastAsia="en-US"/>
        </w:rPr>
        <w:t>о</w:t>
      </w:r>
      <w:r w:rsidRPr="00281602">
        <w:rPr>
          <w:rFonts w:eastAsia="Calibri"/>
          <w:sz w:val="22"/>
          <w:szCs w:val="22"/>
          <w:lang w:eastAsia="en-US"/>
        </w:rPr>
        <w:t>го препарата «Лактобактерин».</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В результате изучения литературных данных было разработ</w:t>
      </w:r>
      <w:r w:rsidRPr="00281602">
        <w:rPr>
          <w:rFonts w:eastAsia="Calibri"/>
          <w:sz w:val="22"/>
          <w:szCs w:val="22"/>
          <w:lang w:eastAsia="en-US"/>
        </w:rPr>
        <w:t>а</w:t>
      </w:r>
      <w:r w:rsidRPr="00281602">
        <w:rPr>
          <w:rFonts w:eastAsia="Calibri"/>
          <w:sz w:val="22"/>
          <w:szCs w:val="22"/>
          <w:lang w:eastAsia="en-US"/>
        </w:rPr>
        <w:t>но 5 опытных питательных сред (№ 1, № 2, № 3, № 4, № 5), след</w:t>
      </w:r>
      <w:r w:rsidRPr="00281602">
        <w:rPr>
          <w:rFonts w:eastAsia="Calibri"/>
          <w:sz w:val="22"/>
          <w:szCs w:val="22"/>
          <w:lang w:eastAsia="en-US"/>
        </w:rPr>
        <w:t>у</w:t>
      </w:r>
      <w:r w:rsidRPr="00281602">
        <w:rPr>
          <w:rFonts w:eastAsia="Calibri"/>
          <w:sz w:val="22"/>
          <w:szCs w:val="22"/>
          <w:lang w:eastAsia="en-US"/>
        </w:rPr>
        <w:t>ющих составов: № 1 – 12 % морковного сока, 2 % дрожжевого а</w:t>
      </w:r>
      <w:r w:rsidRPr="00281602">
        <w:rPr>
          <w:rFonts w:eastAsia="Calibri"/>
          <w:sz w:val="22"/>
          <w:szCs w:val="22"/>
          <w:lang w:eastAsia="en-US"/>
        </w:rPr>
        <w:t>в</w:t>
      </w:r>
      <w:r w:rsidRPr="00281602">
        <w:rPr>
          <w:rFonts w:eastAsia="Calibri"/>
          <w:sz w:val="22"/>
          <w:szCs w:val="22"/>
          <w:lang w:eastAsia="en-US"/>
        </w:rPr>
        <w:t xml:space="preserve">толизата, 2 % глюкозы, 0,3 % кукурузного экстракта; № 2 – 14 % морковного сока, 2 % дрожжевого автолизата, 2 % глюкозы, 0,3 % </w:t>
      </w:r>
      <w:r w:rsidRPr="00281602">
        <w:rPr>
          <w:rFonts w:eastAsia="Calibri"/>
          <w:sz w:val="22"/>
          <w:szCs w:val="22"/>
          <w:lang w:eastAsia="en-US"/>
        </w:rPr>
        <w:lastRenderedPageBreak/>
        <w:t>кукурузного экстракта; № 3 – 16 % морковного сока, 2 % дрожж</w:t>
      </w:r>
      <w:r w:rsidRPr="00281602">
        <w:rPr>
          <w:rFonts w:eastAsia="Calibri"/>
          <w:sz w:val="22"/>
          <w:szCs w:val="22"/>
          <w:lang w:eastAsia="en-US"/>
        </w:rPr>
        <w:t>е</w:t>
      </w:r>
      <w:r w:rsidRPr="00281602">
        <w:rPr>
          <w:rFonts w:eastAsia="Calibri"/>
          <w:sz w:val="22"/>
          <w:szCs w:val="22"/>
          <w:lang w:eastAsia="en-US"/>
        </w:rPr>
        <w:t>вого автолизата, 2 % глюкозы, 0,3 % кукурузного экстракта; № 4 – 18 % морковного сока, 2 % дрожжевого автолизата, 2 % глюкозы, 0,3 % кукурузного экстракта; № 5 – 20 % морковного сока, 2 % дрожжевого автолизата, 2 % глюкозы, 0,3 % кукурузного экстракта. Основным источником углерода является – сахароза, содержащаяся в достаточном количестве в морковном соке. Морковный сок явл</w:t>
      </w:r>
      <w:r w:rsidRPr="00281602">
        <w:rPr>
          <w:rFonts w:eastAsia="Calibri"/>
          <w:sz w:val="22"/>
          <w:szCs w:val="22"/>
          <w:lang w:eastAsia="en-US"/>
        </w:rPr>
        <w:t>я</w:t>
      </w:r>
      <w:r w:rsidRPr="00281602">
        <w:rPr>
          <w:rFonts w:eastAsia="Calibri"/>
          <w:sz w:val="22"/>
          <w:szCs w:val="22"/>
          <w:lang w:eastAsia="en-US"/>
        </w:rPr>
        <w:t>ется источником макро- и микроэлементов, витаминов и БАВ.</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Подбор проходил с учетом экономических аспектов: использ</w:t>
      </w:r>
      <w:r w:rsidRPr="00281602">
        <w:rPr>
          <w:rFonts w:eastAsia="Calibri"/>
          <w:sz w:val="22"/>
          <w:szCs w:val="22"/>
          <w:lang w:eastAsia="en-US"/>
        </w:rPr>
        <w:t>о</w:t>
      </w:r>
      <w:r w:rsidRPr="00281602">
        <w:rPr>
          <w:rFonts w:eastAsia="Calibri"/>
          <w:sz w:val="22"/>
          <w:szCs w:val="22"/>
          <w:lang w:eastAsia="en-US"/>
        </w:rPr>
        <w:t>валась некондиционная морковь, являющаяся вторичным сырьем в сельском хозяйстве и пищевой промышленности и имеет низкую стоимость. Контролем выступала питательная среда на основе т</w:t>
      </w:r>
      <w:r w:rsidRPr="00281602">
        <w:rPr>
          <w:rFonts w:eastAsia="Calibri"/>
          <w:sz w:val="22"/>
          <w:szCs w:val="22"/>
          <w:lang w:eastAsia="en-US"/>
        </w:rPr>
        <w:t>о</w:t>
      </w:r>
      <w:r w:rsidRPr="00281602">
        <w:rPr>
          <w:rFonts w:eastAsia="Calibri"/>
          <w:sz w:val="22"/>
          <w:szCs w:val="22"/>
          <w:lang w:eastAsia="en-US"/>
        </w:rPr>
        <w:t>матного сока. Применять томатный сок для культивирования ла</w:t>
      </w:r>
      <w:r w:rsidRPr="00281602">
        <w:rPr>
          <w:rFonts w:eastAsia="Calibri"/>
          <w:sz w:val="22"/>
          <w:szCs w:val="22"/>
          <w:lang w:eastAsia="en-US"/>
        </w:rPr>
        <w:t>к</w:t>
      </w:r>
      <w:r w:rsidRPr="00281602">
        <w:rPr>
          <w:rFonts w:eastAsia="Calibri"/>
          <w:sz w:val="22"/>
          <w:szCs w:val="22"/>
          <w:lang w:eastAsia="en-US"/>
        </w:rPr>
        <w:t xml:space="preserve">тобактерий впервые предложили Майкл и Брид в 1925 году. На этой питательной среде хорошо растут молочнокислые бактерии, в том числе </w:t>
      </w:r>
      <w:r w:rsidRPr="00281602">
        <w:rPr>
          <w:rFonts w:eastAsia="Calibri"/>
          <w:i/>
          <w:sz w:val="22"/>
          <w:szCs w:val="22"/>
          <w:lang w:eastAsia="en-US"/>
        </w:rPr>
        <w:t xml:space="preserve">Lactobacillus </w:t>
      </w:r>
      <w:r w:rsidRPr="00281602">
        <w:rPr>
          <w:rFonts w:eastAsia="Calibri"/>
          <w:i/>
          <w:sz w:val="22"/>
          <w:szCs w:val="22"/>
          <w:lang w:val="en-US" w:eastAsia="en-US"/>
        </w:rPr>
        <w:t>plantarum</w:t>
      </w:r>
      <w:r w:rsidRPr="00281602">
        <w:rPr>
          <w:rFonts w:eastAsia="Calibri"/>
          <w:sz w:val="22"/>
          <w:szCs w:val="22"/>
          <w:lang w:eastAsia="en-US"/>
        </w:rPr>
        <w:t>.</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Среды были дробно проавтоклавированы при температуре 96 °С в течение 15 мин, 2 раза. Дробная пастеризация позволит ма</w:t>
      </w:r>
      <w:r w:rsidRPr="00281602">
        <w:rPr>
          <w:rFonts w:eastAsia="Calibri"/>
          <w:sz w:val="22"/>
          <w:szCs w:val="22"/>
          <w:lang w:eastAsia="en-US"/>
        </w:rPr>
        <w:t>к</w:t>
      </w:r>
      <w:r w:rsidRPr="00281602">
        <w:rPr>
          <w:rFonts w:eastAsia="Calibri"/>
          <w:sz w:val="22"/>
          <w:szCs w:val="22"/>
          <w:lang w:eastAsia="en-US"/>
        </w:rPr>
        <w:t>симально сохранить сахариды, витамины и БАВ.</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В среды внесли 3 % подготовленной закваски.</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Культуры выращивали в термостате в течение 24 ч при темп</w:t>
      </w:r>
      <w:r w:rsidRPr="00281602">
        <w:rPr>
          <w:rFonts w:eastAsia="Calibri"/>
          <w:sz w:val="22"/>
          <w:szCs w:val="22"/>
          <w:lang w:eastAsia="en-US"/>
        </w:rPr>
        <w:t>е</w:t>
      </w:r>
      <w:r w:rsidRPr="00281602">
        <w:rPr>
          <w:rFonts w:eastAsia="Calibri"/>
          <w:sz w:val="22"/>
          <w:szCs w:val="22"/>
          <w:lang w:eastAsia="en-US"/>
        </w:rPr>
        <w:t>ратуре 37 °С. Были взяты образцы и окрашены по Граму. Результ</w:t>
      </w:r>
      <w:r w:rsidRPr="00281602">
        <w:rPr>
          <w:rFonts w:eastAsia="Calibri"/>
          <w:sz w:val="22"/>
          <w:szCs w:val="22"/>
          <w:lang w:eastAsia="en-US"/>
        </w:rPr>
        <w:t>а</w:t>
      </w:r>
      <w:r w:rsidRPr="00281602">
        <w:rPr>
          <w:rFonts w:eastAsia="Calibri"/>
          <w:sz w:val="22"/>
          <w:szCs w:val="22"/>
          <w:lang w:eastAsia="en-US"/>
        </w:rPr>
        <w:t>ты микроскопирования показали, что образцы не содержат морф</w:t>
      </w:r>
      <w:r w:rsidRPr="00281602">
        <w:rPr>
          <w:rFonts w:eastAsia="Calibri"/>
          <w:sz w:val="22"/>
          <w:szCs w:val="22"/>
          <w:lang w:eastAsia="en-US"/>
        </w:rPr>
        <w:t>о</w:t>
      </w:r>
      <w:r w:rsidRPr="00281602">
        <w:rPr>
          <w:rFonts w:eastAsia="Calibri"/>
          <w:sz w:val="22"/>
          <w:szCs w:val="22"/>
          <w:lang w:eastAsia="en-US"/>
        </w:rPr>
        <w:t xml:space="preserve">логических форм не характерных для данной культуры. </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Приготовили ряд десятикратных разведений с использованием раствора хлористого натрия (0,9 г/л). Определение интенсивности роста колоний проводили на селективной модифицированной ср</w:t>
      </w:r>
      <w:r w:rsidRPr="00281602">
        <w:rPr>
          <w:rFonts w:eastAsia="Calibri"/>
          <w:sz w:val="22"/>
          <w:szCs w:val="22"/>
          <w:lang w:eastAsia="en-US"/>
        </w:rPr>
        <w:t>е</w:t>
      </w:r>
      <w:r w:rsidRPr="00281602">
        <w:rPr>
          <w:rFonts w:eastAsia="Calibri"/>
          <w:sz w:val="22"/>
          <w:szCs w:val="22"/>
          <w:lang w:eastAsia="en-US"/>
        </w:rPr>
        <w:t xml:space="preserve">де MRS. </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Из каждой пробы сделали посев на 4 чашки из разведений. Каждое разведение засевали стерильной пипеткой в количестве 1 мл в одну чашку Петри с заранее маркированной крышкой. Далее чашки Петри ставили в термостат на 48 ч при температуре 37 °С [2].</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Для достоверности проводимых исследований опыты имели 4-х разовую повторность.</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При подсчете колоний были получены следующие данные. П</w:t>
      </w:r>
      <w:r w:rsidRPr="00281602">
        <w:rPr>
          <w:rFonts w:eastAsia="Calibri"/>
          <w:sz w:val="22"/>
          <w:szCs w:val="22"/>
          <w:lang w:eastAsia="en-US"/>
        </w:rPr>
        <w:t>и</w:t>
      </w:r>
      <w:r w:rsidRPr="00281602">
        <w:rPr>
          <w:rFonts w:eastAsia="Calibri"/>
          <w:sz w:val="22"/>
          <w:szCs w:val="22"/>
          <w:lang w:eastAsia="en-US"/>
        </w:rPr>
        <w:t xml:space="preserve">тательные среды № 1 и 2 показали близкие к контролю результаты. Среда № 3 с содержанием морковного сока (16 %) показала самые высокие результаты по росту на ней лактобактерий. Концентрация </w:t>
      </w:r>
      <w:r w:rsidRPr="00281602">
        <w:rPr>
          <w:rFonts w:eastAsia="Calibri"/>
          <w:sz w:val="22"/>
          <w:szCs w:val="22"/>
          <w:lang w:eastAsia="en-US"/>
        </w:rPr>
        <w:lastRenderedPageBreak/>
        <w:t xml:space="preserve">клеток культуры молочнокислых палочек штамма </w:t>
      </w:r>
      <w:r w:rsidRPr="00281602">
        <w:rPr>
          <w:rFonts w:eastAsia="Calibri"/>
          <w:i/>
          <w:sz w:val="22"/>
          <w:szCs w:val="22"/>
          <w:lang w:val="en-US" w:eastAsia="en-US"/>
        </w:rPr>
        <w:t>Lactobacillus</w:t>
      </w:r>
      <w:r w:rsidRPr="00281602">
        <w:rPr>
          <w:rFonts w:eastAsia="Calibri"/>
          <w:i/>
          <w:sz w:val="22"/>
          <w:szCs w:val="22"/>
          <w:lang w:eastAsia="en-US"/>
        </w:rPr>
        <w:t xml:space="preserve"> </w:t>
      </w:r>
      <w:r w:rsidRPr="00281602">
        <w:rPr>
          <w:rFonts w:eastAsia="Calibri"/>
          <w:i/>
          <w:sz w:val="22"/>
          <w:szCs w:val="22"/>
          <w:lang w:val="en-US" w:eastAsia="en-US"/>
        </w:rPr>
        <w:t>plantarum</w:t>
      </w:r>
      <w:r w:rsidRPr="00281602">
        <w:rPr>
          <w:rFonts w:eastAsia="Calibri"/>
          <w:sz w:val="22"/>
          <w:szCs w:val="22"/>
          <w:lang w:eastAsia="en-US"/>
        </w:rPr>
        <w:t xml:space="preserve"> на среде № 3 составила 7,2 миллиардов КОЕ/мл.</w:t>
      </w:r>
    </w:p>
    <w:p w:rsidR="00564DAA" w:rsidRDefault="00281602" w:rsidP="001360B4">
      <w:pPr>
        <w:tabs>
          <w:tab w:val="left" w:pos="2472"/>
        </w:tabs>
        <w:ind w:firstLine="426"/>
        <w:jc w:val="both"/>
        <w:rPr>
          <w:rFonts w:eastAsia="Calibri"/>
          <w:sz w:val="22"/>
          <w:szCs w:val="22"/>
          <w:lang w:eastAsia="en-US"/>
        </w:rPr>
      </w:pPr>
      <w:r w:rsidRPr="00281602">
        <w:rPr>
          <w:rFonts w:eastAsia="Calibri"/>
          <w:sz w:val="22"/>
          <w:szCs w:val="22"/>
          <w:lang w:eastAsia="en-US"/>
        </w:rPr>
        <w:t>Средняя стоимость некондиционных томатов составляет 20 руб/кг, столовой моркови – 5 руб/кг. Выход сока у томата в среднем равен 80 %, моркови – 50 %. Однако разницу в выходе сока покрывает низкая стоимость и меньшая доля морковного сока в п</w:t>
      </w:r>
      <w:r w:rsidRPr="00281602">
        <w:rPr>
          <w:rFonts w:eastAsia="Calibri"/>
          <w:sz w:val="22"/>
          <w:szCs w:val="22"/>
          <w:lang w:eastAsia="en-US"/>
        </w:rPr>
        <w:t>и</w:t>
      </w:r>
      <w:r w:rsidRPr="00281602">
        <w:rPr>
          <w:rFonts w:eastAsia="Calibri"/>
          <w:sz w:val="22"/>
          <w:szCs w:val="22"/>
          <w:lang w:eastAsia="en-US"/>
        </w:rPr>
        <w:t>тательной среде. Согласно подсчетам, цена за 1 л питательной ср</w:t>
      </w:r>
      <w:r w:rsidRPr="00281602">
        <w:rPr>
          <w:rFonts w:eastAsia="Calibri"/>
          <w:sz w:val="22"/>
          <w:szCs w:val="22"/>
          <w:lang w:eastAsia="en-US"/>
        </w:rPr>
        <w:t>е</w:t>
      </w:r>
      <w:r w:rsidRPr="00281602">
        <w:rPr>
          <w:rFonts w:eastAsia="Calibri"/>
          <w:sz w:val="22"/>
          <w:szCs w:val="22"/>
          <w:lang w:eastAsia="en-US"/>
        </w:rPr>
        <w:t>ды из моркови будет равна примерно 6 рублям, в то время как среда из томатного сока обойдется в 1,5 раза дороже. Таким образом, ср</w:t>
      </w:r>
      <w:r w:rsidRPr="00281602">
        <w:rPr>
          <w:rFonts w:eastAsia="Calibri"/>
          <w:sz w:val="22"/>
          <w:szCs w:val="22"/>
          <w:lang w:eastAsia="en-US"/>
        </w:rPr>
        <w:t>е</w:t>
      </w:r>
      <w:r w:rsidRPr="00281602">
        <w:rPr>
          <w:rFonts w:eastAsia="Calibri"/>
          <w:sz w:val="22"/>
          <w:szCs w:val="22"/>
          <w:lang w:eastAsia="en-US"/>
        </w:rPr>
        <w:t>да из морковного сока в концентрации 16 % отвечает всем заявле</w:t>
      </w:r>
      <w:r w:rsidRPr="00281602">
        <w:rPr>
          <w:rFonts w:eastAsia="Calibri"/>
          <w:sz w:val="22"/>
          <w:szCs w:val="22"/>
          <w:lang w:eastAsia="en-US"/>
        </w:rPr>
        <w:t>н</w:t>
      </w:r>
      <w:r w:rsidRPr="00281602">
        <w:rPr>
          <w:rFonts w:eastAsia="Calibri"/>
          <w:sz w:val="22"/>
          <w:szCs w:val="22"/>
          <w:lang w:eastAsia="en-US"/>
        </w:rPr>
        <w:t>ным требованиям по эффективности и экономической целесообра</w:t>
      </w:r>
      <w:r w:rsidRPr="00281602">
        <w:rPr>
          <w:rFonts w:eastAsia="Calibri"/>
          <w:sz w:val="22"/>
          <w:szCs w:val="22"/>
          <w:lang w:eastAsia="en-US"/>
        </w:rPr>
        <w:t>з</w:t>
      </w:r>
      <w:r w:rsidRPr="00281602">
        <w:rPr>
          <w:rFonts w:eastAsia="Calibri"/>
          <w:sz w:val="22"/>
          <w:szCs w:val="22"/>
          <w:lang w:eastAsia="en-US"/>
        </w:rPr>
        <w:t>ности.</w:t>
      </w:r>
    </w:p>
    <w:p w:rsidR="00281602" w:rsidRPr="00281602" w:rsidRDefault="00281602" w:rsidP="00564DAA">
      <w:pPr>
        <w:tabs>
          <w:tab w:val="left" w:pos="2472"/>
        </w:tabs>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564DAA">
      <w:pPr>
        <w:tabs>
          <w:tab w:val="left" w:pos="2472"/>
        </w:tabs>
        <w:ind w:firstLine="426"/>
        <w:jc w:val="both"/>
        <w:rPr>
          <w:rFonts w:eastAsia="Calibri"/>
          <w:sz w:val="22"/>
          <w:szCs w:val="22"/>
          <w:lang w:eastAsia="en-US"/>
        </w:rPr>
      </w:pPr>
      <w:r w:rsidRPr="00281602">
        <w:rPr>
          <w:rFonts w:eastAsia="Calibri"/>
          <w:sz w:val="22"/>
          <w:szCs w:val="22"/>
          <w:lang w:eastAsia="en-US"/>
        </w:rPr>
        <w:t>1. Петухова, Е.В. Пищевая микробиология: учебное пособие / Е.В. Петухова, А.Ю. Крыницкая, З.А. Канарская. – Казань: Изд-во КНИТУ, 2014. – 116 c.</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2. Сорокина, Н.П. Контроль качества бактериальных конце</w:t>
      </w:r>
      <w:r w:rsidRPr="00281602">
        <w:rPr>
          <w:rFonts w:eastAsia="Calibri"/>
          <w:sz w:val="22"/>
          <w:szCs w:val="22"/>
          <w:lang w:eastAsia="en-US"/>
        </w:rPr>
        <w:t>н</w:t>
      </w:r>
      <w:r w:rsidRPr="00281602">
        <w:rPr>
          <w:rFonts w:eastAsia="Calibri"/>
          <w:sz w:val="22"/>
          <w:szCs w:val="22"/>
          <w:lang w:eastAsia="en-US"/>
        </w:rPr>
        <w:t>тратов и заквасок / Н.П. Сорокина. – 2008. – С. 76.</w:t>
      </w:r>
    </w:p>
    <w:p w:rsidR="00564DAA" w:rsidRDefault="00564DAA" w:rsidP="00564DAA">
      <w:pPr>
        <w:spacing w:line="259" w:lineRule="auto"/>
        <w:rPr>
          <w:rFonts w:eastAsia="Calibri"/>
          <w:sz w:val="22"/>
          <w:szCs w:val="22"/>
          <w:lang w:eastAsia="en-US"/>
        </w:rPr>
      </w:pPr>
    </w:p>
    <w:p w:rsidR="001360B4" w:rsidRPr="00564DAA" w:rsidRDefault="001360B4" w:rsidP="00564DAA">
      <w:pPr>
        <w:spacing w:line="259" w:lineRule="auto"/>
        <w:rPr>
          <w:rFonts w:eastAsia="Calibri"/>
          <w:sz w:val="22"/>
          <w:szCs w:val="22"/>
          <w:lang w:eastAsia="en-US"/>
        </w:rPr>
      </w:pPr>
    </w:p>
    <w:p w:rsidR="00281602" w:rsidRDefault="00281602" w:rsidP="00564DAA">
      <w:pPr>
        <w:rPr>
          <w:rFonts w:eastAsia="Calibri"/>
          <w:sz w:val="22"/>
          <w:szCs w:val="22"/>
          <w:lang w:eastAsia="en-US"/>
        </w:rPr>
      </w:pPr>
      <w:r w:rsidRPr="00564DAA">
        <w:rPr>
          <w:rFonts w:eastAsia="Calibri"/>
          <w:sz w:val="22"/>
          <w:szCs w:val="22"/>
          <w:lang w:eastAsia="en-US"/>
        </w:rPr>
        <w:t>УДК</w:t>
      </w:r>
      <w:r w:rsidR="00357356">
        <w:rPr>
          <w:rFonts w:eastAsia="Calibri"/>
          <w:sz w:val="22"/>
          <w:szCs w:val="22"/>
          <w:lang w:eastAsia="en-US"/>
        </w:rPr>
        <w:t xml:space="preserve"> </w:t>
      </w:r>
      <w:r w:rsidRPr="00564DAA">
        <w:rPr>
          <w:rFonts w:eastAsia="Calibri"/>
          <w:sz w:val="22"/>
          <w:szCs w:val="22"/>
          <w:lang w:eastAsia="en-US"/>
        </w:rPr>
        <w:t>664.66.022.3</w:t>
      </w:r>
    </w:p>
    <w:p w:rsidR="00564DAA" w:rsidRPr="00564DAA" w:rsidRDefault="00564DAA" w:rsidP="00564DAA">
      <w:pPr>
        <w:rPr>
          <w:rFonts w:eastAsia="Calibri"/>
          <w:sz w:val="22"/>
          <w:szCs w:val="22"/>
          <w:lang w:eastAsia="en-US"/>
        </w:rPr>
      </w:pPr>
    </w:p>
    <w:p w:rsidR="00281602" w:rsidRPr="00564DAA" w:rsidRDefault="00281602" w:rsidP="00564DAA">
      <w:pPr>
        <w:ind w:right="142"/>
        <w:jc w:val="center"/>
        <w:rPr>
          <w:rFonts w:eastAsia="Calibri"/>
          <w:b/>
          <w:sz w:val="24"/>
          <w:szCs w:val="24"/>
          <w:lang w:eastAsia="en-US"/>
        </w:rPr>
      </w:pPr>
      <w:r w:rsidRPr="00564DAA">
        <w:rPr>
          <w:rFonts w:eastAsia="Calibri"/>
          <w:b/>
          <w:sz w:val="24"/>
          <w:szCs w:val="24"/>
          <w:lang w:eastAsia="en-US"/>
        </w:rPr>
        <w:t xml:space="preserve">Обогащение хлебобулочных изделий вялеными </w:t>
      </w:r>
    </w:p>
    <w:p w:rsidR="00281602" w:rsidRPr="00564DAA" w:rsidRDefault="00281602" w:rsidP="00564DAA">
      <w:pPr>
        <w:ind w:right="142"/>
        <w:jc w:val="center"/>
        <w:rPr>
          <w:rFonts w:eastAsia="Calibri"/>
          <w:b/>
          <w:sz w:val="24"/>
          <w:szCs w:val="24"/>
          <w:lang w:eastAsia="en-US"/>
        </w:rPr>
      </w:pPr>
      <w:r w:rsidRPr="00564DAA">
        <w:rPr>
          <w:rFonts w:eastAsia="Calibri"/>
          <w:b/>
          <w:sz w:val="24"/>
          <w:szCs w:val="24"/>
          <w:lang w:eastAsia="en-US"/>
        </w:rPr>
        <w:t xml:space="preserve">помидорами для получения функционального хлеба </w:t>
      </w:r>
    </w:p>
    <w:p w:rsidR="00564DAA" w:rsidRPr="001360B4" w:rsidRDefault="00281602" w:rsidP="001360B4">
      <w:pPr>
        <w:ind w:right="142"/>
        <w:jc w:val="center"/>
        <w:rPr>
          <w:rFonts w:eastAsia="Calibri"/>
          <w:b/>
          <w:sz w:val="24"/>
          <w:szCs w:val="24"/>
          <w:lang w:val="en-US" w:eastAsia="en-US"/>
        </w:rPr>
      </w:pPr>
      <w:r w:rsidRPr="00564DAA">
        <w:rPr>
          <w:rFonts w:eastAsia="Calibri"/>
          <w:b/>
          <w:sz w:val="24"/>
          <w:szCs w:val="24"/>
          <w:lang w:val="en-US" w:eastAsia="en-US"/>
        </w:rPr>
        <w:t>Enrichment of bakery products with sun-dried tomatoes for functional bread</w:t>
      </w:r>
    </w:p>
    <w:p w:rsidR="00281602" w:rsidRPr="00564DAA" w:rsidRDefault="00564DAA" w:rsidP="00564DAA">
      <w:pPr>
        <w:ind w:right="142"/>
        <w:jc w:val="right"/>
        <w:rPr>
          <w:rFonts w:eastAsia="Calibri"/>
          <w:sz w:val="22"/>
          <w:szCs w:val="22"/>
          <w:lang w:eastAsia="en-US"/>
        </w:rPr>
      </w:pPr>
      <w:r>
        <w:rPr>
          <w:rFonts w:eastAsia="Calibri"/>
          <w:sz w:val="22"/>
          <w:szCs w:val="22"/>
          <w:lang w:eastAsia="en-US"/>
        </w:rPr>
        <w:t>Перепелица И. А.,</w:t>
      </w:r>
    </w:p>
    <w:p w:rsidR="00281602" w:rsidRPr="00564DAA" w:rsidRDefault="00281602" w:rsidP="00564DAA">
      <w:pPr>
        <w:ind w:right="142"/>
        <w:jc w:val="right"/>
        <w:rPr>
          <w:rFonts w:eastAsia="Calibri"/>
          <w:sz w:val="22"/>
          <w:szCs w:val="22"/>
          <w:lang w:eastAsia="en-US"/>
        </w:rPr>
      </w:pPr>
      <w:r w:rsidRPr="00564DAA">
        <w:rPr>
          <w:rFonts w:eastAsia="Calibri"/>
          <w:sz w:val="22"/>
          <w:szCs w:val="22"/>
          <w:lang w:eastAsia="en-US"/>
        </w:rPr>
        <w:t>студентка 4 курса</w:t>
      </w:r>
    </w:p>
    <w:p w:rsidR="00281602" w:rsidRPr="00564DAA" w:rsidRDefault="00281602" w:rsidP="00564DAA">
      <w:pPr>
        <w:ind w:right="142"/>
        <w:jc w:val="right"/>
        <w:rPr>
          <w:rFonts w:eastAsia="Calibri"/>
          <w:sz w:val="22"/>
          <w:szCs w:val="22"/>
          <w:lang w:eastAsia="en-US"/>
        </w:rPr>
      </w:pPr>
      <w:r w:rsidRPr="00564DAA">
        <w:rPr>
          <w:rFonts w:eastAsia="Calibri"/>
          <w:sz w:val="22"/>
          <w:szCs w:val="22"/>
          <w:lang w:eastAsia="en-US"/>
        </w:rPr>
        <w:t xml:space="preserve"> факульте</w:t>
      </w:r>
      <w:r w:rsidR="00564DAA">
        <w:rPr>
          <w:rFonts w:eastAsia="Calibri"/>
          <w:sz w:val="22"/>
          <w:szCs w:val="22"/>
          <w:lang w:eastAsia="en-US"/>
        </w:rPr>
        <w:t>та перерабатывающих технологий</w:t>
      </w:r>
    </w:p>
    <w:p w:rsidR="00281602" w:rsidRPr="00564DAA" w:rsidRDefault="00564DAA" w:rsidP="00564DAA">
      <w:pPr>
        <w:ind w:right="142"/>
        <w:jc w:val="right"/>
        <w:rPr>
          <w:rFonts w:eastAsia="Calibri"/>
          <w:sz w:val="22"/>
          <w:szCs w:val="22"/>
          <w:lang w:eastAsia="en-US"/>
        </w:rPr>
      </w:pPr>
      <w:r>
        <w:rPr>
          <w:rFonts w:eastAsia="Calibri"/>
          <w:sz w:val="22"/>
          <w:szCs w:val="22"/>
          <w:lang w:eastAsia="en-US"/>
        </w:rPr>
        <w:t>Мачнева Н. Л.,</w:t>
      </w:r>
    </w:p>
    <w:p w:rsidR="00281602" w:rsidRPr="00564DAA" w:rsidRDefault="00281602" w:rsidP="00564DAA">
      <w:pPr>
        <w:ind w:right="142"/>
        <w:jc w:val="right"/>
        <w:rPr>
          <w:rFonts w:eastAsia="Calibri"/>
          <w:sz w:val="22"/>
          <w:szCs w:val="22"/>
          <w:lang w:eastAsia="en-US"/>
        </w:rPr>
      </w:pPr>
      <w:r w:rsidRPr="00564DAA">
        <w:rPr>
          <w:rFonts w:eastAsia="Calibri"/>
          <w:sz w:val="22"/>
          <w:szCs w:val="22"/>
          <w:lang w:eastAsia="en-US"/>
        </w:rPr>
        <w:t>доцент кафедры биотехнологии, биохимии и биофизики</w:t>
      </w:r>
    </w:p>
    <w:p w:rsidR="00281602" w:rsidRPr="00564DAA" w:rsidRDefault="00281602" w:rsidP="00564DAA">
      <w:pPr>
        <w:ind w:right="142"/>
        <w:jc w:val="right"/>
        <w:rPr>
          <w:rFonts w:eastAsia="Calibri"/>
          <w:sz w:val="22"/>
          <w:szCs w:val="22"/>
          <w:lang w:eastAsia="en-US"/>
        </w:rPr>
      </w:pPr>
      <w:r w:rsidRPr="00564DAA">
        <w:rPr>
          <w:rFonts w:eastAsia="Calibri"/>
          <w:sz w:val="22"/>
          <w:szCs w:val="22"/>
          <w:lang w:eastAsia="en-US"/>
        </w:rPr>
        <w:t>Кубанский государственный аграрный</w:t>
      </w:r>
    </w:p>
    <w:p w:rsidR="00281602" w:rsidRPr="00564DAA" w:rsidRDefault="00281602" w:rsidP="00564DAA">
      <w:pPr>
        <w:ind w:right="142"/>
        <w:jc w:val="right"/>
        <w:rPr>
          <w:rFonts w:eastAsia="Calibri"/>
          <w:sz w:val="22"/>
          <w:szCs w:val="22"/>
          <w:lang w:eastAsia="en-US"/>
        </w:rPr>
      </w:pPr>
      <w:r w:rsidRPr="00564DAA">
        <w:rPr>
          <w:rFonts w:eastAsia="Calibri"/>
          <w:sz w:val="22"/>
          <w:szCs w:val="22"/>
          <w:lang w:eastAsia="en-US"/>
        </w:rPr>
        <w:t>университет им. И. Т. Трубилина</w:t>
      </w:r>
    </w:p>
    <w:p w:rsidR="00281602" w:rsidRPr="00564DAA" w:rsidRDefault="00281602" w:rsidP="00564DAA">
      <w:pPr>
        <w:jc w:val="both"/>
        <w:rPr>
          <w:rFonts w:eastAsia="Calibri"/>
          <w:sz w:val="22"/>
          <w:szCs w:val="22"/>
          <w:lang w:eastAsia="en-US"/>
        </w:rPr>
      </w:pP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АННОТАЦИЯ: Рассмотрены проблемы повышения эффекти</w:t>
      </w:r>
      <w:r w:rsidRPr="00281602">
        <w:rPr>
          <w:rFonts w:eastAsia="Calibri"/>
          <w:sz w:val="22"/>
          <w:szCs w:val="22"/>
          <w:lang w:eastAsia="en-US"/>
        </w:rPr>
        <w:t>в</w:t>
      </w:r>
      <w:r w:rsidRPr="00281602">
        <w:rPr>
          <w:rFonts w:eastAsia="Calibri"/>
          <w:sz w:val="22"/>
          <w:szCs w:val="22"/>
          <w:lang w:eastAsia="en-US"/>
        </w:rPr>
        <w:t>ности качества хлебобулочной продукции, с использованием, как функциональной добавки –  вяленые помидоры.</w:t>
      </w:r>
    </w:p>
    <w:p w:rsidR="00281602" w:rsidRPr="00281602" w:rsidRDefault="00281602" w:rsidP="00564DAA">
      <w:pPr>
        <w:ind w:firstLine="426"/>
        <w:jc w:val="both"/>
        <w:rPr>
          <w:rFonts w:eastAsia="Calibri"/>
          <w:sz w:val="22"/>
          <w:szCs w:val="22"/>
          <w:lang w:val="en-US" w:eastAsia="en-US"/>
        </w:rPr>
      </w:pPr>
      <w:r w:rsidRPr="00281602">
        <w:rPr>
          <w:rFonts w:eastAsia="Calibri"/>
          <w:sz w:val="22"/>
          <w:szCs w:val="22"/>
          <w:lang w:val="en-US" w:eastAsia="en-US"/>
        </w:rPr>
        <w:lastRenderedPageBreak/>
        <w:t>SBSTRAKT: The problems of improving the quality of bakery products, using as a functional additive – sun-dried tomatoes</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КЛЮЧЕВЫЕ СЛОВА: хлебобулочные изделия, вяленые пом</w:t>
      </w:r>
      <w:r w:rsidRPr="00281602">
        <w:rPr>
          <w:rFonts w:eastAsia="Calibri"/>
          <w:sz w:val="22"/>
          <w:szCs w:val="22"/>
          <w:lang w:eastAsia="en-US"/>
        </w:rPr>
        <w:t>и</w:t>
      </w:r>
      <w:r w:rsidRPr="00281602">
        <w:rPr>
          <w:rFonts w:eastAsia="Calibri"/>
          <w:sz w:val="22"/>
          <w:szCs w:val="22"/>
          <w:lang w:eastAsia="en-US"/>
        </w:rPr>
        <w:t>доры, функциональный хлеб, томаты.</w:t>
      </w:r>
    </w:p>
    <w:p w:rsidR="00281602" w:rsidRPr="00281602" w:rsidRDefault="00281602" w:rsidP="00564DAA">
      <w:pPr>
        <w:ind w:firstLine="426"/>
        <w:jc w:val="both"/>
        <w:rPr>
          <w:rFonts w:eastAsia="Calibri"/>
          <w:sz w:val="22"/>
          <w:szCs w:val="22"/>
          <w:lang w:val="en-US" w:eastAsia="en-US"/>
        </w:rPr>
      </w:pPr>
      <w:r w:rsidRPr="00281602">
        <w:rPr>
          <w:rFonts w:eastAsia="Calibri"/>
          <w:sz w:val="22"/>
          <w:szCs w:val="22"/>
          <w:lang w:val="en-US" w:eastAsia="en-US"/>
        </w:rPr>
        <w:t>KEYWORDS: bakery products, sun-dried tomatoes, functional bread, tomatoes</w:t>
      </w:r>
    </w:p>
    <w:p w:rsidR="00281602" w:rsidRPr="00281602" w:rsidRDefault="00281602" w:rsidP="00564DAA">
      <w:pPr>
        <w:ind w:firstLine="426"/>
        <w:jc w:val="both"/>
        <w:rPr>
          <w:rFonts w:eastAsia="Calibri"/>
          <w:sz w:val="22"/>
          <w:szCs w:val="22"/>
          <w:lang w:val="en-US" w:eastAsia="en-US"/>
        </w:rPr>
      </w:pP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Целью эксперимента являлось повышение качества хлебоб</w:t>
      </w:r>
      <w:r w:rsidRPr="00281602">
        <w:rPr>
          <w:rFonts w:eastAsia="Calibri"/>
          <w:sz w:val="22"/>
          <w:szCs w:val="22"/>
          <w:lang w:eastAsia="en-US"/>
        </w:rPr>
        <w:t>у</w:t>
      </w:r>
      <w:r w:rsidRPr="00281602">
        <w:rPr>
          <w:rFonts w:eastAsia="Calibri"/>
          <w:sz w:val="22"/>
          <w:szCs w:val="22"/>
          <w:lang w:eastAsia="en-US"/>
        </w:rPr>
        <w:t xml:space="preserve">лочных изделий за счет внесения в тесто вяленых томатов.  </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Немалое значение в питании человека имеет хлеб и хлебоб</w:t>
      </w:r>
      <w:r w:rsidRPr="00281602">
        <w:rPr>
          <w:rFonts w:eastAsia="Calibri"/>
          <w:sz w:val="22"/>
          <w:szCs w:val="22"/>
          <w:lang w:eastAsia="en-US"/>
        </w:rPr>
        <w:t>у</w:t>
      </w:r>
      <w:r w:rsidRPr="00281602">
        <w:rPr>
          <w:rFonts w:eastAsia="Calibri"/>
          <w:sz w:val="22"/>
          <w:szCs w:val="22"/>
          <w:lang w:eastAsia="en-US"/>
        </w:rPr>
        <w:t>лочные изделия. За последнее время, по различным подсчетам, в России вырабатывают хлебобулочные изделия около 14 тыс пре</w:t>
      </w:r>
      <w:r w:rsidRPr="00281602">
        <w:rPr>
          <w:rFonts w:eastAsia="Calibri"/>
          <w:sz w:val="22"/>
          <w:szCs w:val="22"/>
          <w:lang w:eastAsia="en-US"/>
        </w:rPr>
        <w:t>д</w:t>
      </w:r>
      <w:r w:rsidRPr="00281602">
        <w:rPr>
          <w:rFonts w:eastAsia="Calibri"/>
          <w:sz w:val="22"/>
          <w:szCs w:val="22"/>
          <w:lang w:eastAsia="en-US"/>
        </w:rPr>
        <w:t>приятий, в число которых входит 7 ты</w:t>
      </w:r>
      <w:r w:rsidRPr="00281602">
        <w:rPr>
          <w:rFonts w:eastAsia="Calibri"/>
          <w:sz w:val="22"/>
          <w:szCs w:val="22"/>
          <w:lang w:val="en-US" w:eastAsia="en-US"/>
        </w:rPr>
        <w:t>c</w:t>
      </w:r>
      <w:r w:rsidRPr="00281602">
        <w:rPr>
          <w:rFonts w:eastAsia="Calibri"/>
          <w:sz w:val="22"/>
          <w:szCs w:val="22"/>
          <w:lang w:eastAsia="en-US"/>
        </w:rPr>
        <w:t xml:space="preserve"> пекарен, 5,5 тыс предпри</w:t>
      </w:r>
      <w:r w:rsidRPr="00281602">
        <w:rPr>
          <w:rFonts w:eastAsia="Calibri"/>
          <w:sz w:val="22"/>
          <w:szCs w:val="22"/>
          <w:lang w:eastAsia="en-US"/>
        </w:rPr>
        <w:t>я</w:t>
      </w:r>
      <w:r w:rsidRPr="00281602">
        <w:rPr>
          <w:rFonts w:eastAsia="Calibri"/>
          <w:sz w:val="22"/>
          <w:szCs w:val="22"/>
          <w:lang w:eastAsia="en-US"/>
        </w:rPr>
        <w:t>тий потребкоопераций [3].</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Хлебобулочные изделия являются одними из основных пр</w:t>
      </w:r>
      <w:r w:rsidRPr="00281602">
        <w:rPr>
          <w:rFonts w:eastAsia="Calibri"/>
          <w:sz w:val="22"/>
          <w:szCs w:val="22"/>
          <w:lang w:eastAsia="en-US"/>
        </w:rPr>
        <w:t>о</w:t>
      </w:r>
      <w:r w:rsidRPr="00281602">
        <w:rPr>
          <w:rFonts w:eastAsia="Calibri"/>
          <w:sz w:val="22"/>
          <w:szCs w:val="22"/>
          <w:lang w:eastAsia="en-US"/>
        </w:rPr>
        <w:t>дуктов питания для человека. В среднем, суточное потребление хлеба составляет от 150-500 г на душу населения. Это можно об</w:t>
      </w:r>
      <w:r w:rsidRPr="00281602">
        <w:rPr>
          <w:rFonts w:eastAsia="Calibri"/>
          <w:sz w:val="22"/>
          <w:szCs w:val="22"/>
          <w:lang w:eastAsia="en-US"/>
        </w:rPr>
        <w:t>ъ</w:t>
      </w:r>
      <w:r w:rsidRPr="00281602">
        <w:rPr>
          <w:rFonts w:eastAsia="Calibri"/>
          <w:sz w:val="22"/>
          <w:szCs w:val="22"/>
          <w:lang w:eastAsia="en-US"/>
        </w:rPr>
        <w:t>яснить тем, что хлеб относится к основным продуктам питания.</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Качество хлебных изделий напрямую зависит от муки. Наиб</w:t>
      </w:r>
      <w:r w:rsidRPr="00281602">
        <w:rPr>
          <w:rFonts w:eastAsia="Calibri"/>
          <w:sz w:val="22"/>
          <w:szCs w:val="22"/>
          <w:lang w:eastAsia="en-US"/>
        </w:rPr>
        <w:t>о</w:t>
      </w:r>
      <w:r w:rsidRPr="00281602">
        <w:rPr>
          <w:rFonts w:eastAsia="Calibri"/>
          <w:sz w:val="22"/>
          <w:szCs w:val="22"/>
          <w:lang w:eastAsia="en-US"/>
        </w:rPr>
        <w:t>лее качественной мукой для выпечки является пшеничная мука высшего сорта. В пшеничной муке содержится большое количество крахмала и практически нет жиров. Клейковина составляет 28%, также в муке содержатся витамины группы В, такие как В1, В2, в</w:t>
      </w:r>
      <w:r w:rsidRPr="00281602">
        <w:rPr>
          <w:rFonts w:eastAsia="Calibri"/>
          <w:sz w:val="22"/>
          <w:szCs w:val="22"/>
          <w:lang w:eastAsia="en-US"/>
        </w:rPr>
        <w:t>и</w:t>
      </w:r>
      <w:r w:rsidRPr="00281602">
        <w:rPr>
          <w:rFonts w:eastAsia="Calibri"/>
          <w:sz w:val="22"/>
          <w:szCs w:val="22"/>
          <w:lang w:eastAsia="en-US"/>
        </w:rPr>
        <w:t>тамин В9 и РР. Эти витамины не разрушаются при приготовлении хлебных изделий и выполняют в организме человека немаловажные функции. Они регулируют процессы восстановления и влияют на оздоровление организма [1].</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Мука богата микроэлементами: калием и натрием, которые участвуют в передаче импульса нервной системы, поддерживают постоянство состава клеточного сока. Магний способствует сниж</w:t>
      </w:r>
      <w:r w:rsidRPr="00281602">
        <w:rPr>
          <w:rFonts w:eastAsia="Calibri"/>
          <w:sz w:val="22"/>
          <w:szCs w:val="22"/>
          <w:lang w:eastAsia="en-US"/>
        </w:rPr>
        <w:t>е</w:t>
      </w:r>
      <w:r w:rsidRPr="00281602">
        <w:rPr>
          <w:rFonts w:eastAsia="Calibri"/>
          <w:sz w:val="22"/>
          <w:szCs w:val="22"/>
          <w:lang w:eastAsia="en-US"/>
        </w:rPr>
        <w:t>нию неблагоприятных воздействий стрессовых факторов на орг</w:t>
      </w:r>
      <w:r w:rsidRPr="00281602">
        <w:rPr>
          <w:rFonts w:eastAsia="Calibri"/>
          <w:sz w:val="22"/>
          <w:szCs w:val="22"/>
          <w:lang w:eastAsia="en-US"/>
        </w:rPr>
        <w:t>а</w:t>
      </w:r>
      <w:r w:rsidRPr="00281602">
        <w:rPr>
          <w:rFonts w:eastAsia="Calibri"/>
          <w:sz w:val="22"/>
          <w:szCs w:val="22"/>
          <w:lang w:eastAsia="en-US"/>
        </w:rPr>
        <w:t>низм человека.</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Хлебобулочные изделия характеризуются высокой энергетич</w:t>
      </w:r>
      <w:r w:rsidRPr="00281602">
        <w:rPr>
          <w:rFonts w:eastAsia="Calibri"/>
          <w:sz w:val="22"/>
          <w:szCs w:val="22"/>
          <w:lang w:eastAsia="en-US"/>
        </w:rPr>
        <w:t>е</w:t>
      </w:r>
      <w:r w:rsidRPr="00281602">
        <w:rPr>
          <w:rFonts w:eastAsia="Calibri"/>
          <w:sz w:val="22"/>
          <w:szCs w:val="22"/>
          <w:lang w:eastAsia="en-US"/>
        </w:rPr>
        <w:t>ской ценностью, легкой перевариваемостью и хорошей усвояем</w:t>
      </w:r>
      <w:r w:rsidRPr="00281602">
        <w:rPr>
          <w:rFonts w:eastAsia="Calibri"/>
          <w:sz w:val="22"/>
          <w:szCs w:val="22"/>
          <w:lang w:eastAsia="en-US"/>
        </w:rPr>
        <w:t>о</w:t>
      </w:r>
      <w:r w:rsidRPr="00281602">
        <w:rPr>
          <w:rFonts w:eastAsia="Calibri"/>
          <w:sz w:val="22"/>
          <w:szCs w:val="22"/>
          <w:lang w:eastAsia="en-US"/>
        </w:rPr>
        <w:t>стью, изделия приятны на вкус. За счет употребления 250 – 300 г хлебопродуктов, дневная потребность человека в пище удовлетв</w:t>
      </w:r>
      <w:r w:rsidRPr="00281602">
        <w:rPr>
          <w:rFonts w:eastAsia="Calibri"/>
          <w:sz w:val="22"/>
          <w:szCs w:val="22"/>
          <w:lang w:eastAsia="en-US"/>
        </w:rPr>
        <w:t>о</w:t>
      </w:r>
      <w:r w:rsidRPr="00281602">
        <w:rPr>
          <w:rFonts w:eastAsia="Calibri"/>
          <w:sz w:val="22"/>
          <w:szCs w:val="22"/>
          <w:lang w:eastAsia="en-US"/>
        </w:rPr>
        <w:t>ряется на 1/3, в жизненной энергии – на 30-50%, в витаминах гру</w:t>
      </w:r>
      <w:r w:rsidRPr="00281602">
        <w:rPr>
          <w:rFonts w:eastAsia="Calibri"/>
          <w:sz w:val="22"/>
          <w:szCs w:val="22"/>
          <w:lang w:eastAsia="en-US"/>
        </w:rPr>
        <w:t>п</w:t>
      </w:r>
      <w:r w:rsidRPr="00281602">
        <w:rPr>
          <w:rFonts w:eastAsia="Calibri"/>
          <w:sz w:val="22"/>
          <w:szCs w:val="22"/>
          <w:lang w:eastAsia="en-US"/>
        </w:rPr>
        <w:t xml:space="preserve">пы В – на 50-60%, витамина Е – на 80%. Содержание витаминов В1, </w:t>
      </w:r>
      <w:r w:rsidRPr="00281602">
        <w:rPr>
          <w:rFonts w:eastAsia="Calibri"/>
          <w:sz w:val="22"/>
          <w:szCs w:val="22"/>
          <w:lang w:eastAsia="en-US"/>
        </w:rPr>
        <w:lastRenderedPageBreak/>
        <w:t>В6, РР, Е и фолиевой кислоты в зерне пшеницы, ржи и других кул</w:t>
      </w:r>
      <w:r w:rsidRPr="00281602">
        <w:rPr>
          <w:rFonts w:eastAsia="Calibri"/>
          <w:sz w:val="22"/>
          <w:szCs w:val="22"/>
          <w:lang w:eastAsia="en-US"/>
        </w:rPr>
        <w:t>ь</w:t>
      </w:r>
      <w:r w:rsidRPr="00281602">
        <w:rPr>
          <w:rFonts w:eastAsia="Calibri"/>
          <w:sz w:val="22"/>
          <w:szCs w:val="22"/>
          <w:lang w:eastAsia="en-US"/>
        </w:rPr>
        <w:t>тур сбалансированно в соответствии с потребностями человека: 100 г зерна обеспечивает 20-30% суточной потребности каждого из этих витаминов [4].</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В хлебе присутствует такой основной макроэлемент, как угл</w:t>
      </w:r>
      <w:r w:rsidRPr="00281602">
        <w:rPr>
          <w:rFonts w:eastAsia="Calibri"/>
          <w:sz w:val="22"/>
          <w:szCs w:val="22"/>
          <w:lang w:eastAsia="en-US"/>
        </w:rPr>
        <w:t>е</w:t>
      </w:r>
      <w:r w:rsidRPr="00281602">
        <w:rPr>
          <w:rFonts w:eastAsia="Calibri"/>
          <w:sz w:val="22"/>
          <w:szCs w:val="22"/>
          <w:lang w:eastAsia="en-US"/>
        </w:rPr>
        <w:t>род, содержание которого составляет 40-45% и 5-7% белка. В состав белка входят аминокислоты. Есть незаменимые, которые не могут вырабатываться самостоятельно, поэтому необходимо потреблять их с пищей и заменимые, которые вырабатываются в организме ч</w:t>
      </w:r>
      <w:r w:rsidRPr="00281602">
        <w:rPr>
          <w:rFonts w:eastAsia="Calibri"/>
          <w:sz w:val="22"/>
          <w:szCs w:val="22"/>
          <w:lang w:eastAsia="en-US"/>
        </w:rPr>
        <w:t>е</w:t>
      </w:r>
      <w:r w:rsidRPr="00281602">
        <w:rPr>
          <w:rFonts w:eastAsia="Calibri"/>
          <w:sz w:val="22"/>
          <w:szCs w:val="22"/>
          <w:lang w:eastAsia="en-US"/>
        </w:rPr>
        <w:t>ловека. В хлебе содержаться такие аминокислоты как: лизин, ле</w:t>
      </w:r>
      <w:r w:rsidRPr="00281602">
        <w:rPr>
          <w:rFonts w:eastAsia="Calibri"/>
          <w:sz w:val="22"/>
          <w:szCs w:val="22"/>
          <w:lang w:eastAsia="en-US"/>
        </w:rPr>
        <w:t>й</w:t>
      </w:r>
      <w:r w:rsidRPr="00281602">
        <w:rPr>
          <w:rFonts w:eastAsia="Calibri"/>
          <w:sz w:val="22"/>
          <w:szCs w:val="22"/>
          <w:lang w:eastAsia="en-US"/>
        </w:rPr>
        <w:t>цин, изолейцин, треонин, триптофан, валин, аргенин.и тд. Это обе</w:t>
      </w:r>
      <w:r w:rsidRPr="00281602">
        <w:rPr>
          <w:rFonts w:eastAsia="Calibri"/>
          <w:sz w:val="22"/>
          <w:szCs w:val="22"/>
          <w:lang w:eastAsia="en-US"/>
        </w:rPr>
        <w:t>с</w:t>
      </w:r>
      <w:r w:rsidRPr="00281602">
        <w:rPr>
          <w:rFonts w:eastAsia="Calibri"/>
          <w:sz w:val="22"/>
          <w:szCs w:val="22"/>
          <w:lang w:eastAsia="en-US"/>
        </w:rPr>
        <w:t>печивает синтез белка в организме и питание становится полноце</w:t>
      </w:r>
      <w:r w:rsidRPr="00281602">
        <w:rPr>
          <w:rFonts w:eastAsia="Calibri"/>
          <w:sz w:val="22"/>
          <w:szCs w:val="22"/>
          <w:lang w:eastAsia="en-US"/>
        </w:rPr>
        <w:t>н</w:t>
      </w:r>
      <w:r w:rsidRPr="00281602">
        <w:rPr>
          <w:rFonts w:eastAsia="Calibri"/>
          <w:sz w:val="22"/>
          <w:szCs w:val="22"/>
          <w:lang w:eastAsia="en-US"/>
        </w:rPr>
        <w:t>ным [2].</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Несмотря на то, что хлебобулочные изделия обладают немалой биологической ценностью, ее увеличивают за счет функциональных добавок, таких как изюм, мак, кунжут, сушеные помидоры, морко</w:t>
      </w:r>
      <w:r w:rsidRPr="00281602">
        <w:rPr>
          <w:rFonts w:eastAsia="Calibri"/>
          <w:sz w:val="22"/>
          <w:szCs w:val="22"/>
          <w:lang w:eastAsia="en-US"/>
        </w:rPr>
        <w:t>в</w:t>
      </w:r>
      <w:r w:rsidRPr="00281602">
        <w:rPr>
          <w:rFonts w:eastAsia="Calibri"/>
          <w:sz w:val="22"/>
          <w:szCs w:val="22"/>
          <w:lang w:eastAsia="en-US"/>
        </w:rPr>
        <w:t>ное пюре, чернослив и тд.</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С целью увеличения функционального продукта мы добавляли в хлебобулочные изделия помидоры. В дальнейшем были провед</w:t>
      </w:r>
      <w:r w:rsidRPr="00281602">
        <w:rPr>
          <w:rFonts w:eastAsia="Calibri"/>
          <w:sz w:val="22"/>
          <w:szCs w:val="22"/>
          <w:lang w:eastAsia="en-US"/>
        </w:rPr>
        <w:t>е</w:t>
      </w:r>
      <w:r w:rsidRPr="00281602">
        <w:rPr>
          <w:rFonts w:eastAsia="Calibri"/>
          <w:sz w:val="22"/>
          <w:szCs w:val="22"/>
          <w:lang w:eastAsia="en-US"/>
        </w:rPr>
        <w:t>ны ряд исследований, которые помогли выявить улучшение биол</w:t>
      </w:r>
      <w:r w:rsidRPr="00281602">
        <w:rPr>
          <w:rFonts w:eastAsia="Calibri"/>
          <w:sz w:val="22"/>
          <w:szCs w:val="22"/>
          <w:lang w:eastAsia="en-US"/>
        </w:rPr>
        <w:t>о</w:t>
      </w:r>
      <w:r w:rsidRPr="00281602">
        <w:rPr>
          <w:rFonts w:eastAsia="Calibri"/>
          <w:sz w:val="22"/>
          <w:szCs w:val="22"/>
          <w:lang w:eastAsia="en-US"/>
        </w:rPr>
        <w:t>гической ценности в хлебе.</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Помидор богат полезными элементами: витаминами А, К, В, РР, Е, йодом, магнием, глюкозой, натрием, марганцем, фруктозой, пектиновыми и азотистыми веществами, минеральными солями и алкалоидами. Также в нем содержатся вещества, умеющие активно бороться с раком и защищающие клетки организма от распада.</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Так как в помидорах содержится ликопин, который защищает организм человека от сердечно сосудистого заболевания, бронх</w:t>
      </w:r>
      <w:r w:rsidRPr="00281602">
        <w:rPr>
          <w:rFonts w:eastAsia="Calibri"/>
          <w:sz w:val="22"/>
          <w:szCs w:val="22"/>
          <w:lang w:eastAsia="en-US"/>
        </w:rPr>
        <w:t>и</w:t>
      </w:r>
      <w:r w:rsidRPr="00281602">
        <w:rPr>
          <w:rFonts w:eastAsia="Calibri"/>
          <w:sz w:val="22"/>
          <w:szCs w:val="22"/>
          <w:lang w:eastAsia="en-US"/>
        </w:rPr>
        <w:t>альной астмы и тд., они являются хорошей функциональной доба</w:t>
      </w:r>
      <w:r w:rsidRPr="00281602">
        <w:rPr>
          <w:rFonts w:eastAsia="Calibri"/>
          <w:sz w:val="22"/>
          <w:szCs w:val="22"/>
          <w:lang w:eastAsia="en-US"/>
        </w:rPr>
        <w:t>в</w:t>
      </w:r>
      <w:r w:rsidRPr="00281602">
        <w:rPr>
          <w:rFonts w:eastAsia="Calibri"/>
          <w:sz w:val="22"/>
          <w:szCs w:val="22"/>
          <w:lang w:eastAsia="en-US"/>
        </w:rPr>
        <w:t>кой для хлеба.</w:t>
      </w:r>
    </w:p>
    <w:p w:rsidR="00281602" w:rsidRPr="00281602" w:rsidRDefault="00281602" w:rsidP="00564DAA">
      <w:pPr>
        <w:ind w:firstLine="426"/>
        <w:jc w:val="both"/>
        <w:rPr>
          <w:rFonts w:eastAsia="Calibri"/>
          <w:sz w:val="22"/>
          <w:szCs w:val="22"/>
          <w:lang w:eastAsia="en-US"/>
        </w:rPr>
      </w:pPr>
    </w:p>
    <w:p w:rsidR="00281602" w:rsidRPr="00281602" w:rsidRDefault="00281602" w:rsidP="00564DAA">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1. Бутковский, В. Институт перерабатывающей промышленн</w:t>
      </w:r>
      <w:r w:rsidRPr="00281602">
        <w:rPr>
          <w:rFonts w:eastAsia="Calibri"/>
          <w:sz w:val="22"/>
          <w:szCs w:val="22"/>
          <w:lang w:eastAsia="en-US"/>
        </w:rPr>
        <w:t>о</w:t>
      </w:r>
      <w:r w:rsidRPr="00281602">
        <w:rPr>
          <w:rFonts w:eastAsia="Calibri"/>
          <w:sz w:val="22"/>
          <w:szCs w:val="22"/>
          <w:lang w:eastAsia="en-US"/>
        </w:rPr>
        <w:t>сти - составное звено отраслевой науки и практики. / В. Бунтовский. – М.: Хлебопродукты. - 1999. – 7-11 с.</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2. Зайгало, А.Л. Аминокислоты глазами химиков, фармацевтов, биологов. / А.Л. Зайгало, В.В. Давыдов. – Х.: Щедра садиба плюс. – 2014. – 228 с.</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lastRenderedPageBreak/>
        <w:t>3. Кострова И.Е. Малое хлебопекарное производство. / И.Е. К</w:t>
      </w:r>
      <w:r w:rsidRPr="00281602">
        <w:rPr>
          <w:rFonts w:eastAsia="Calibri"/>
          <w:sz w:val="22"/>
          <w:szCs w:val="22"/>
          <w:lang w:eastAsia="en-US"/>
        </w:rPr>
        <w:t>о</w:t>
      </w:r>
      <w:r w:rsidRPr="00281602">
        <w:rPr>
          <w:rFonts w:eastAsia="Calibri"/>
          <w:sz w:val="22"/>
          <w:szCs w:val="22"/>
          <w:lang w:eastAsia="en-US"/>
        </w:rPr>
        <w:t>строва. – Санкт-Петербург: ГИОРД. – 2001. – 120 с.</w:t>
      </w:r>
    </w:p>
    <w:p w:rsidR="00281602" w:rsidRPr="00281602" w:rsidRDefault="00281602" w:rsidP="00564DAA">
      <w:pPr>
        <w:ind w:firstLine="426"/>
        <w:jc w:val="both"/>
        <w:rPr>
          <w:rFonts w:eastAsia="Calibri"/>
          <w:sz w:val="22"/>
          <w:szCs w:val="22"/>
          <w:lang w:eastAsia="en-US"/>
        </w:rPr>
      </w:pPr>
      <w:r w:rsidRPr="00281602">
        <w:rPr>
          <w:rFonts w:eastAsia="Calibri"/>
          <w:sz w:val="22"/>
          <w:szCs w:val="22"/>
          <w:lang w:eastAsia="en-US"/>
        </w:rPr>
        <w:t>4. Пащенко, Л. П. Технология хлебобулочных изделий. / Л.П. Пащенко, И.М. Жаркова. – М.: КолосС. – 2008. – 389 с.</w:t>
      </w:r>
    </w:p>
    <w:p w:rsidR="00281602" w:rsidRPr="00281602" w:rsidRDefault="00281602"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664.8.022.6:664.38</w:t>
      </w:r>
    </w:p>
    <w:p w:rsidR="00281602" w:rsidRPr="00281602" w:rsidRDefault="00281602" w:rsidP="00281602">
      <w:pPr>
        <w:jc w:val="both"/>
        <w:rPr>
          <w:rFonts w:eastAsia="Calibri"/>
          <w:sz w:val="22"/>
          <w:szCs w:val="22"/>
          <w:lang w:eastAsia="en-US"/>
        </w:rPr>
      </w:pPr>
    </w:p>
    <w:p w:rsidR="00281602" w:rsidRPr="00281602" w:rsidRDefault="00281602" w:rsidP="00281602">
      <w:pPr>
        <w:widowControl w:val="0"/>
        <w:overflowPunct w:val="0"/>
        <w:autoSpaceDE w:val="0"/>
        <w:autoSpaceDN w:val="0"/>
        <w:adjustRightInd w:val="0"/>
        <w:spacing w:line="244" w:lineRule="auto"/>
        <w:jc w:val="center"/>
        <w:rPr>
          <w:b/>
          <w:sz w:val="24"/>
          <w:szCs w:val="24"/>
          <w:lang w:eastAsia="en-US"/>
        </w:rPr>
      </w:pPr>
      <w:r w:rsidRPr="00281602">
        <w:rPr>
          <w:b/>
          <w:sz w:val="24"/>
          <w:szCs w:val="24"/>
          <w:lang w:eastAsia="en-US"/>
        </w:rPr>
        <w:t xml:space="preserve">Рецептурные решения композиций бутербродных паст </w:t>
      </w:r>
    </w:p>
    <w:p w:rsidR="00281602" w:rsidRPr="00281602" w:rsidRDefault="00281602" w:rsidP="00281602">
      <w:pPr>
        <w:widowControl w:val="0"/>
        <w:overflowPunct w:val="0"/>
        <w:autoSpaceDE w:val="0"/>
        <w:autoSpaceDN w:val="0"/>
        <w:adjustRightInd w:val="0"/>
        <w:spacing w:line="244" w:lineRule="auto"/>
        <w:jc w:val="center"/>
        <w:rPr>
          <w:b/>
          <w:sz w:val="24"/>
          <w:szCs w:val="24"/>
          <w:lang w:eastAsia="en-US"/>
        </w:rPr>
      </w:pPr>
      <w:r w:rsidRPr="00281602">
        <w:rPr>
          <w:b/>
          <w:sz w:val="24"/>
          <w:szCs w:val="24"/>
          <w:lang w:eastAsia="en-US"/>
        </w:rPr>
        <w:t>из сырья хлебных зерновых и зернобобовых культур</w:t>
      </w:r>
    </w:p>
    <w:p w:rsidR="00281602" w:rsidRPr="00281602" w:rsidRDefault="00281602" w:rsidP="00281602">
      <w:pPr>
        <w:widowControl w:val="0"/>
        <w:overflowPunct w:val="0"/>
        <w:autoSpaceDE w:val="0"/>
        <w:autoSpaceDN w:val="0"/>
        <w:adjustRightInd w:val="0"/>
        <w:spacing w:line="244" w:lineRule="auto"/>
        <w:jc w:val="center"/>
        <w:rPr>
          <w:b/>
          <w:sz w:val="24"/>
          <w:szCs w:val="24"/>
          <w:lang w:val="en-US" w:eastAsia="en-US"/>
        </w:rPr>
      </w:pPr>
      <w:r w:rsidRPr="00281602">
        <w:rPr>
          <w:b/>
          <w:sz w:val="24"/>
          <w:szCs w:val="24"/>
          <w:lang w:val="en-US" w:eastAsia="en-US"/>
        </w:rPr>
        <w:t xml:space="preserve">Prescription solutions of sandwich pastes from raw </w:t>
      </w:r>
    </w:p>
    <w:p w:rsidR="00281602" w:rsidRPr="00281602" w:rsidRDefault="00281602" w:rsidP="00281602">
      <w:pPr>
        <w:widowControl w:val="0"/>
        <w:overflowPunct w:val="0"/>
        <w:autoSpaceDE w:val="0"/>
        <w:autoSpaceDN w:val="0"/>
        <w:adjustRightInd w:val="0"/>
        <w:spacing w:line="244" w:lineRule="auto"/>
        <w:jc w:val="center"/>
        <w:rPr>
          <w:b/>
          <w:sz w:val="24"/>
          <w:szCs w:val="24"/>
          <w:lang w:val="en-US" w:eastAsia="en-US"/>
        </w:rPr>
      </w:pPr>
      <w:r w:rsidRPr="00281602">
        <w:rPr>
          <w:b/>
          <w:sz w:val="24"/>
          <w:szCs w:val="24"/>
          <w:lang w:val="en-US" w:eastAsia="en-US"/>
        </w:rPr>
        <w:t>bread cereals and legumes</w:t>
      </w:r>
    </w:p>
    <w:p w:rsidR="00281602" w:rsidRPr="00281602" w:rsidRDefault="00281602" w:rsidP="00281602">
      <w:pPr>
        <w:widowControl w:val="0"/>
        <w:overflowPunct w:val="0"/>
        <w:autoSpaceDE w:val="0"/>
        <w:autoSpaceDN w:val="0"/>
        <w:adjustRightInd w:val="0"/>
        <w:spacing w:line="244" w:lineRule="auto"/>
        <w:jc w:val="center"/>
        <w:rPr>
          <w:b/>
          <w:sz w:val="22"/>
          <w:szCs w:val="22"/>
          <w:lang w:val="en-US" w:eastAsia="en-US"/>
        </w:rPr>
      </w:pPr>
    </w:p>
    <w:p w:rsidR="00281602" w:rsidRPr="00C609D1" w:rsidRDefault="00281602" w:rsidP="00281602">
      <w:pPr>
        <w:spacing w:line="244" w:lineRule="auto"/>
        <w:jc w:val="right"/>
        <w:outlineLvl w:val="2"/>
        <w:rPr>
          <w:bCs/>
          <w:sz w:val="22"/>
          <w:szCs w:val="22"/>
          <w:lang w:val="en-US" w:eastAsia="en-US"/>
        </w:rPr>
      </w:pPr>
      <w:r w:rsidRPr="00281602">
        <w:rPr>
          <w:bCs/>
          <w:sz w:val="22"/>
          <w:szCs w:val="22"/>
          <w:lang w:eastAsia="en-US"/>
        </w:rPr>
        <w:t>Сотченко</w:t>
      </w:r>
      <w:r w:rsidR="00B572C5" w:rsidRPr="00C609D1">
        <w:rPr>
          <w:bCs/>
          <w:sz w:val="22"/>
          <w:szCs w:val="22"/>
          <w:lang w:val="en-US" w:eastAsia="en-US"/>
        </w:rPr>
        <w:t xml:space="preserve"> </w:t>
      </w:r>
      <w:r w:rsidRPr="00281602">
        <w:rPr>
          <w:bCs/>
          <w:sz w:val="22"/>
          <w:szCs w:val="22"/>
          <w:lang w:eastAsia="en-US"/>
        </w:rPr>
        <w:t>Д</w:t>
      </w:r>
      <w:r w:rsidRPr="00281602">
        <w:rPr>
          <w:bCs/>
          <w:sz w:val="22"/>
          <w:szCs w:val="22"/>
          <w:lang w:val="en-US" w:eastAsia="en-US"/>
        </w:rPr>
        <w:t>. </w:t>
      </w:r>
      <w:r w:rsidRPr="00281602">
        <w:rPr>
          <w:bCs/>
          <w:sz w:val="22"/>
          <w:szCs w:val="22"/>
          <w:lang w:eastAsia="en-US"/>
        </w:rPr>
        <w:t>Ю</w:t>
      </w:r>
      <w:r w:rsidRPr="00C609D1">
        <w:rPr>
          <w:bCs/>
          <w:sz w:val="22"/>
          <w:szCs w:val="22"/>
          <w:lang w:val="en-US" w:eastAsia="en-US"/>
        </w:rPr>
        <w:t>.,</w:t>
      </w:r>
    </w:p>
    <w:p w:rsidR="00281602" w:rsidRPr="00281602" w:rsidRDefault="00281602" w:rsidP="00281602">
      <w:pPr>
        <w:spacing w:line="244" w:lineRule="auto"/>
        <w:jc w:val="right"/>
        <w:outlineLvl w:val="2"/>
        <w:rPr>
          <w:bCs/>
          <w:sz w:val="22"/>
          <w:szCs w:val="22"/>
          <w:lang w:eastAsia="en-US"/>
        </w:rPr>
      </w:pPr>
      <w:r w:rsidRPr="00281602">
        <w:rPr>
          <w:bCs/>
          <w:sz w:val="22"/>
          <w:szCs w:val="22"/>
          <w:lang w:eastAsia="en-US"/>
        </w:rPr>
        <w:t>м</w:t>
      </w:r>
      <w:r w:rsidR="00564DAA">
        <w:rPr>
          <w:bCs/>
          <w:sz w:val="22"/>
          <w:szCs w:val="22"/>
          <w:lang w:eastAsia="en-US"/>
        </w:rPr>
        <w:t>агистрант 2-го курса факультета</w:t>
      </w:r>
    </w:p>
    <w:p w:rsidR="00281602" w:rsidRPr="00281602" w:rsidRDefault="00281602" w:rsidP="00281602">
      <w:pPr>
        <w:spacing w:line="244" w:lineRule="auto"/>
        <w:jc w:val="right"/>
        <w:outlineLvl w:val="2"/>
        <w:rPr>
          <w:bCs/>
          <w:sz w:val="22"/>
          <w:szCs w:val="22"/>
          <w:lang w:eastAsia="en-US"/>
        </w:rPr>
      </w:pPr>
      <w:r w:rsidRPr="00281602">
        <w:rPr>
          <w:bCs/>
          <w:sz w:val="22"/>
          <w:szCs w:val="22"/>
          <w:lang w:eastAsia="en-US"/>
        </w:rPr>
        <w:t>перерабатывающих технологий</w:t>
      </w:r>
    </w:p>
    <w:p w:rsidR="00281602" w:rsidRPr="00281602" w:rsidRDefault="00281602" w:rsidP="00281602">
      <w:pPr>
        <w:spacing w:line="244" w:lineRule="auto"/>
        <w:jc w:val="right"/>
        <w:outlineLvl w:val="2"/>
        <w:rPr>
          <w:bCs/>
          <w:sz w:val="22"/>
          <w:szCs w:val="22"/>
          <w:lang w:eastAsia="en-US"/>
        </w:rPr>
      </w:pPr>
      <w:r w:rsidRPr="00281602">
        <w:rPr>
          <w:bCs/>
          <w:sz w:val="22"/>
          <w:szCs w:val="22"/>
          <w:lang w:eastAsia="en-US"/>
        </w:rPr>
        <w:t>Кубанский государственный аграрный</w:t>
      </w:r>
    </w:p>
    <w:p w:rsidR="00281602" w:rsidRPr="00281602" w:rsidRDefault="00281602" w:rsidP="00281602">
      <w:pPr>
        <w:spacing w:line="244" w:lineRule="auto"/>
        <w:jc w:val="right"/>
        <w:outlineLvl w:val="2"/>
        <w:rPr>
          <w:bCs/>
          <w:sz w:val="22"/>
          <w:szCs w:val="22"/>
          <w:lang w:eastAsia="en-US"/>
        </w:rPr>
      </w:pPr>
      <w:r w:rsidRPr="00281602">
        <w:rPr>
          <w:bCs/>
          <w:sz w:val="22"/>
          <w:szCs w:val="22"/>
          <w:lang w:eastAsia="en-US"/>
        </w:rPr>
        <w:t>университет имени И.</w:t>
      </w:r>
      <w:r w:rsidR="00564DAA">
        <w:rPr>
          <w:bCs/>
          <w:sz w:val="22"/>
          <w:szCs w:val="22"/>
          <w:lang w:eastAsia="en-US"/>
        </w:rPr>
        <w:t xml:space="preserve"> </w:t>
      </w:r>
      <w:r w:rsidRPr="00281602">
        <w:rPr>
          <w:bCs/>
          <w:sz w:val="22"/>
          <w:szCs w:val="22"/>
          <w:lang w:eastAsia="en-US"/>
        </w:rPr>
        <w:t>Т. Трубилина</w:t>
      </w:r>
    </w:p>
    <w:p w:rsidR="00281602" w:rsidRPr="00281602" w:rsidRDefault="00281602" w:rsidP="00281602">
      <w:pPr>
        <w:widowControl w:val="0"/>
        <w:overflowPunct w:val="0"/>
        <w:autoSpaceDE w:val="0"/>
        <w:autoSpaceDN w:val="0"/>
        <w:adjustRightInd w:val="0"/>
        <w:spacing w:line="244" w:lineRule="auto"/>
        <w:jc w:val="center"/>
        <w:rPr>
          <w:sz w:val="22"/>
          <w:szCs w:val="22"/>
          <w:lang w:eastAsia="en-US"/>
        </w:rPr>
      </w:pPr>
    </w:p>
    <w:p w:rsidR="00281602" w:rsidRPr="00281602" w:rsidRDefault="00281602" w:rsidP="00B572C5">
      <w:pPr>
        <w:widowControl w:val="0"/>
        <w:overflowPunct w:val="0"/>
        <w:autoSpaceDE w:val="0"/>
        <w:autoSpaceDN w:val="0"/>
        <w:adjustRightInd w:val="0"/>
        <w:ind w:firstLine="426"/>
        <w:jc w:val="both"/>
        <w:rPr>
          <w:spacing w:val="-4"/>
          <w:sz w:val="22"/>
          <w:szCs w:val="22"/>
          <w:lang w:eastAsia="en-US"/>
        </w:rPr>
      </w:pPr>
      <w:r w:rsidRPr="00281602">
        <w:rPr>
          <w:spacing w:val="-4"/>
          <w:sz w:val="22"/>
          <w:szCs w:val="22"/>
          <w:lang w:eastAsia="en-US"/>
        </w:rPr>
        <w:t>АННОТАЦИЯ: Разработка призвана расширить ассортимент пр</w:t>
      </w:r>
      <w:r w:rsidRPr="00281602">
        <w:rPr>
          <w:spacing w:val="-4"/>
          <w:sz w:val="22"/>
          <w:szCs w:val="22"/>
          <w:lang w:eastAsia="en-US"/>
        </w:rPr>
        <w:t>о</w:t>
      </w:r>
      <w:r w:rsidRPr="00281602">
        <w:rPr>
          <w:spacing w:val="-4"/>
          <w:sz w:val="22"/>
          <w:szCs w:val="22"/>
          <w:lang w:eastAsia="en-US"/>
        </w:rPr>
        <w:t>довольственных товаров направления здорового питания. Представл</w:t>
      </w:r>
      <w:r w:rsidRPr="00281602">
        <w:rPr>
          <w:spacing w:val="-4"/>
          <w:sz w:val="22"/>
          <w:szCs w:val="22"/>
          <w:lang w:eastAsia="en-US"/>
        </w:rPr>
        <w:t>я</w:t>
      </w:r>
      <w:r w:rsidRPr="00281602">
        <w:rPr>
          <w:spacing w:val="-4"/>
          <w:sz w:val="22"/>
          <w:szCs w:val="22"/>
          <w:lang w:eastAsia="en-US"/>
        </w:rPr>
        <w:t>ет собой сбалансированный по нутриентному составу пищевой ко</w:t>
      </w:r>
      <w:r w:rsidRPr="00281602">
        <w:rPr>
          <w:spacing w:val="-4"/>
          <w:sz w:val="22"/>
          <w:szCs w:val="22"/>
          <w:lang w:eastAsia="en-US"/>
        </w:rPr>
        <w:t>м</w:t>
      </w:r>
      <w:r w:rsidRPr="00281602">
        <w:rPr>
          <w:spacing w:val="-4"/>
          <w:sz w:val="22"/>
          <w:szCs w:val="22"/>
          <w:lang w:eastAsia="en-US"/>
        </w:rPr>
        <w:t>плекс с вариабельными компонентными и органолептическими хара</w:t>
      </w:r>
      <w:r w:rsidRPr="00281602">
        <w:rPr>
          <w:spacing w:val="-4"/>
          <w:sz w:val="22"/>
          <w:szCs w:val="22"/>
          <w:lang w:eastAsia="en-US"/>
        </w:rPr>
        <w:t>к</w:t>
      </w:r>
      <w:r w:rsidRPr="00281602">
        <w:rPr>
          <w:spacing w:val="-4"/>
          <w:sz w:val="22"/>
          <w:szCs w:val="22"/>
          <w:lang w:eastAsia="en-US"/>
        </w:rPr>
        <w:t>теристиками, адресованный широкому кругу населения, а также те</w:t>
      </w:r>
      <w:r w:rsidRPr="00281602">
        <w:rPr>
          <w:spacing w:val="-4"/>
          <w:sz w:val="22"/>
          <w:szCs w:val="22"/>
          <w:lang w:eastAsia="en-US"/>
        </w:rPr>
        <w:t>х</w:t>
      </w:r>
      <w:r w:rsidRPr="00281602">
        <w:rPr>
          <w:spacing w:val="-4"/>
          <w:sz w:val="22"/>
          <w:szCs w:val="22"/>
          <w:lang w:eastAsia="en-US"/>
        </w:rPr>
        <w:t>нологию его получения.</w:t>
      </w:r>
    </w:p>
    <w:p w:rsidR="00281602" w:rsidRPr="00281602" w:rsidRDefault="00281602" w:rsidP="00B572C5">
      <w:pPr>
        <w:widowControl w:val="0"/>
        <w:overflowPunct w:val="0"/>
        <w:autoSpaceDE w:val="0"/>
        <w:autoSpaceDN w:val="0"/>
        <w:adjustRightInd w:val="0"/>
        <w:ind w:firstLine="426"/>
        <w:jc w:val="both"/>
        <w:rPr>
          <w:sz w:val="22"/>
          <w:szCs w:val="22"/>
          <w:lang w:eastAsia="en-US"/>
        </w:rPr>
      </w:pPr>
      <w:r w:rsidRPr="00281602">
        <w:rPr>
          <w:sz w:val="22"/>
          <w:szCs w:val="22"/>
          <w:lang w:eastAsia="en-US"/>
        </w:rPr>
        <w:t>КЛЮЧЕВЫЕ СЛОВА: технология функциональных продуктов, рецептуры, бобовое сырье, сырье кукурузы, бутербродные пасты</w:t>
      </w:r>
    </w:p>
    <w:p w:rsidR="00281602" w:rsidRPr="00281602" w:rsidRDefault="00281602" w:rsidP="00B572C5">
      <w:pPr>
        <w:widowControl w:val="0"/>
        <w:overflowPunct w:val="0"/>
        <w:autoSpaceDE w:val="0"/>
        <w:autoSpaceDN w:val="0"/>
        <w:adjustRightInd w:val="0"/>
        <w:ind w:firstLine="426"/>
        <w:jc w:val="both"/>
        <w:rPr>
          <w:sz w:val="22"/>
          <w:szCs w:val="22"/>
          <w:lang w:val="en-US" w:eastAsia="en-US"/>
        </w:rPr>
      </w:pPr>
      <w:r w:rsidRPr="00281602">
        <w:rPr>
          <w:sz w:val="22"/>
          <w:szCs w:val="22"/>
          <w:lang w:val="en-US" w:eastAsia="en-US"/>
        </w:rPr>
        <w:t>ABSTRAKT: The development is intended to expand the range of food products in the direction of healthy nutrition. It is a balanced nutr</w:t>
      </w:r>
      <w:r w:rsidRPr="00281602">
        <w:rPr>
          <w:sz w:val="22"/>
          <w:szCs w:val="22"/>
          <w:lang w:val="en-US" w:eastAsia="en-US"/>
        </w:rPr>
        <w:t>i</w:t>
      </w:r>
      <w:r w:rsidRPr="00281602">
        <w:rPr>
          <w:sz w:val="22"/>
          <w:szCs w:val="22"/>
          <w:lang w:val="en-US" w:eastAsia="en-US"/>
        </w:rPr>
        <w:t>tional complex with variable component and organoleptic characteristics, addressed to a wide range of people, as well as the technology for its production.</w:t>
      </w:r>
    </w:p>
    <w:p w:rsidR="00281602" w:rsidRPr="00281602" w:rsidRDefault="00281602" w:rsidP="00B572C5">
      <w:pPr>
        <w:widowControl w:val="0"/>
        <w:overflowPunct w:val="0"/>
        <w:autoSpaceDE w:val="0"/>
        <w:autoSpaceDN w:val="0"/>
        <w:adjustRightInd w:val="0"/>
        <w:ind w:firstLine="426"/>
        <w:jc w:val="both"/>
        <w:rPr>
          <w:sz w:val="22"/>
          <w:szCs w:val="22"/>
          <w:lang w:val="en-US" w:eastAsia="en-US"/>
        </w:rPr>
      </w:pPr>
      <w:r w:rsidRPr="00281602">
        <w:rPr>
          <w:sz w:val="22"/>
          <w:szCs w:val="22"/>
          <w:lang w:val="en-US" w:eastAsia="en-US"/>
        </w:rPr>
        <w:t>KEYWORDS: technology of functional products, compositions, bean raw materials, raw maize, sandwich pastes</w:t>
      </w:r>
    </w:p>
    <w:p w:rsidR="00281602" w:rsidRPr="00281602" w:rsidRDefault="00281602" w:rsidP="00B572C5">
      <w:pPr>
        <w:widowControl w:val="0"/>
        <w:overflowPunct w:val="0"/>
        <w:autoSpaceDE w:val="0"/>
        <w:autoSpaceDN w:val="0"/>
        <w:adjustRightInd w:val="0"/>
        <w:ind w:firstLine="426"/>
        <w:jc w:val="both"/>
        <w:rPr>
          <w:sz w:val="22"/>
          <w:szCs w:val="22"/>
          <w:lang w:val="en-US" w:eastAsia="en-US"/>
        </w:rPr>
      </w:pP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lastRenderedPageBreak/>
        <w:t>Цель проводимых нами исследований - усовершенствовать технологию и разработать рецептуры бутербродных паст из раст</w:t>
      </w:r>
      <w:r w:rsidRPr="00281602">
        <w:rPr>
          <w:rFonts w:eastAsia="Calibri"/>
          <w:sz w:val="22"/>
          <w:szCs w:val="22"/>
          <w:lang w:eastAsia="en-US"/>
        </w:rPr>
        <w:t>и</w:t>
      </w:r>
      <w:r w:rsidRPr="00281602">
        <w:rPr>
          <w:rFonts w:eastAsia="Calibri"/>
          <w:sz w:val="22"/>
          <w:szCs w:val="22"/>
          <w:lang w:eastAsia="en-US"/>
        </w:rPr>
        <w:t>тельного сырья функционального назначения. Разработка рецептур продукта будет вестись на основании передовых достижений ну</w:t>
      </w:r>
      <w:r w:rsidRPr="00281602">
        <w:rPr>
          <w:rFonts w:eastAsia="Calibri"/>
          <w:sz w:val="22"/>
          <w:szCs w:val="22"/>
          <w:lang w:eastAsia="en-US"/>
        </w:rPr>
        <w:t>т</w:t>
      </w:r>
      <w:r w:rsidRPr="00281602">
        <w:rPr>
          <w:rFonts w:eastAsia="Calibri"/>
          <w:sz w:val="22"/>
          <w:szCs w:val="22"/>
          <w:lang w:eastAsia="en-US"/>
        </w:rPr>
        <w:t>рициологии [1, 2].</w:t>
      </w: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t>К основным решениям проводимого нами исследования отн</w:t>
      </w:r>
      <w:r w:rsidRPr="00281602">
        <w:rPr>
          <w:rFonts w:eastAsia="Calibri"/>
          <w:sz w:val="22"/>
          <w:szCs w:val="22"/>
          <w:lang w:eastAsia="en-US"/>
        </w:rPr>
        <w:t>о</w:t>
      </w:r>
      <w:r w:rsidRPr="00281602">
        <w:rPr>
          <w:rFonts w:eastAsia="Calibri"/>
          <w:sz w:val="22"/>
          <w:szCs w:val="22"/>
          <w:lang w:eastAsia="en-US"/>
        </w:rPr>
        <w:t>сится применение комплекса сырья злаковых, бобовых и масли</w:t>
      </w:r>
      <w:r w:rsidRPr="00281602">
        <w:rPr>
          <w:rFonts w:eastAsia="Calibri"/>
          <w:sz w:val="22"/>
          <w:szCs w:val="22"/>
          <w:lang w:eastAsia="en-US"/>
        </w:rPr>
        <w:t>ч</w:t>
      </w:r>
      <w:r w:rsidRPr="00281602">
        <w:rPr>
          <w:rFonts w:eastAsia="Calibri"/>
          <w:sz w:val="22"/>
          <w:szCs w:val="22"/>
          <w:lang w:eastAsia="en-US"/>
        </w:rPr>
        <w:t>ных культур современных сортов отечественной селекции для фо</w:t>
      </w:r>
      <w:r w:rsidRPr="00281602">
        <w:rPr>
          <w:rFonts w:eastAsia="Calibri"/>
          <w:sz w:val="22"/>
          <w:szCs w:val="22"/>
          <w:lang w:eastAsia="en-US"/>
        </w:rPr>
        <w:t>р</w:t>
      </w:r>
      <w:r w:rsidRPr="00281602">
        <w:rPr>
          <w:rFonts w:eastAsia="Calibri"/>
          <w:sz w:val="22"/>
          <w:szCs w:val="22"/>
          <w:lang w:eastAsia="en-US"/>
        </w:rPr>
        <w:t>мирования продукта, сбалансированного по аминокислотному с</w:t>
      </w:r>
      <w:r w:rsidRPr="00281602">
        <w:rPr>
          <w:rFonts w:eastAsia="Calibri"/>
          <w:sz w:val="22"/>
          <w:szCs w:val="22"/>
          <w:lang w:eastAsia="en-US"/>
        </w:rPr>
        <w:t>о</w:t>
      </w:r>
      <w:r w:rsidRPr="00281602">
        <w:rPr>
          <w:rFonts w:eastAsia="Calibri"/>
          <w:sz w:val="22"/>
          <w:szCs w:val="22"/>
          <w:lang w:eastAsia="en-US"/>
        </w:rPr>
        <w:t>ставу его белковой компоненты, а также использование иных сыр</w:t>
      </w:r>
      <w:r w:rsidRPr="00281602">
        <w:rPr>
          <w:rFonts w:eastAsia="Calibri"/>
          <w:sz w:val="22"/>
          <w:szCs w:val="22"/>
          <w:lang w:eastAsia="en-US"/>
        </w:rPr>
        <w:t>ь</w:t>
      </w:r>
      <w:r w:rsidRPr="00281602">
        <w:rPr>
          <w:rFonts w:eastAsia="Calibri"/>
          <w:sz w:val="22"/>
          <w:szCs w:val="22"/>
          <w:lang w:eastAsia="en-US"/>
        </w:rPr>
        <w:t>евых источников, позволяющих сбалансировать нутриентный с</w:t>
      </w:r>
      <w:r w:rsidRPr="00281602">
        <w:rPr>
          <w:rFonts w:eastAsia="Calibri"/>
          <w:sz w:val="22"/>
          <w:szCs w:val="22"/>
          <w:lang w:eastAsia="en-US"/>
        </w:rPr>
        <w:t>о</w:t>
      </w:r>
      <w:r w:rsidRPr="00281602">
        <w:rPr>
          <w:rFonts w:eastAsia="Calibri"/>
          <w:sz w:val="22"/>
          <w:szCs w:val="22"/>
          <w:lang w:eastAsia="en-US"/>
        </w:rPr>
        <w:t>став по другим его составляющим [4, 5]. Кроме этого, технология будет дополнена приемами, увеличивающими биологическую д</w:t>
      </w:r>
      <w:r w:rsidRPr="00281602">
        <w:rPr>
          <w:rFonts w:eastAsia="Calibri"/>
          <w:sz w:val="22"/>
          <w:szCs w:val="22"/>
          <w:lang w:eastAsia="en-US"/>
        </w:rPr>
        <w:t>о</w:t>
      </w:r>
      <w:r w:rsidRPr="00281602">
        <w:rPr>
          <w:rFonts w:eastAsia="Calibri"/>
          <w:sz w:val="22"/>
          <w:szCs w:val="22"/>
          <w:lang w:eastAsia="en-US"/>
        </w:rPr>
        <w:t>ступность компонентов, входящих в состав продукции вырабатыв</w:t>
      </w:r>
      <w:r w:rsidRPr="00281602">
        <w:rPr>
          <w:rFonts w:eastAsia="Calibri"/>
          <w:sz w:val="22"/>
          <w:szCs w:val="22"/>
          <w:lang w:eastAsia="en-US"/>
        </w:rPr>
        <w:t>а</w:t>
      </w:r>
      <w:r w:rsidRPr="00281602">
        <w:rPr>
          <w:rFonts w:eastAsia="Calibri"/>
          <w:sz w:val="22"/>
          <w:szCs w:val="22"/>
          <w:lang w:eastAsia="en-US"/>
        </w:rPr>
        <w:t>емого ассортимента и повышающими экономическую эффекти</w:t>
      </w:r>
      <w:r w:rsidRPr="00281602">
        <w:rPr>
          <w:rFonts w:eastAsia="Calibri"/>
          <w:sz w:val="22"/>
          <w:szCs w:val="22"/>
          <w:lang w:eastAsia="en-US"/>
        </w:rPr>
        <w:t>в</w:t>
      </w:r>
      <w:r w:rsidRPr="00281602">
        <w:rPr>
          <w:rFonts w:eastAsia="Calibri"/>
          <w:sz w:val="22"/>
          <w:szCs w:val="22"/>
          <w:lang w:eastAsia="en-US"/>
        </w:rPr>
        <w:t>ность производства в целом при снижении ресурсопотребления и трудозатрат. Новизну предлагаемых решений определяет примен</w:t>
      </w:r>
      <w:r w:rsidRPr="00281602">
        <w:rPr>
          <w:rFonts w:eastAsia="Calibri"/>
          <w:sz w:val="22"/>
          <w:szCs w:val="22"/>
          <w:lang w:eastAsia="en-US"/>
        </w:rPr>
        <w:t>я</w:t>
      </w:r>
      <w:r w:rsidRPr="00281602">
        <w:rPr>
          <w:rFonts w:eastAsia="Calibri"/>
          <w:sz w:val="22"/>
          <w:szCs w:val="22"/>
          <w:lang w:eastAsia="en-US"/>
        </w:rPr>
        <w:t>емое сырье, что формирует особые параметры процесса его перер</w:t>
      </w:r>
      <w:r w:rsidRPr="00281602">
        <w:rPr>
          <w:rFonts w:eastAsia="Calibri"/>
          <w:sz w:val="22"/>
          <w:szCs w:val="22"/>
          <w:lang w:eastAsia="en-US"/>
        </w:rPr>
        <w:t>а</w:t>
      </w:r>
      <w:r w:rsidRPr="00281602">
        <w:rPr>
          <w:rFonts w:eastAsia="Calibri"/>
          <w:sz w:val="22"/>
          <w:szCs w:val="22"/>
          <w:lang w:eastAsia="en-US"/>
        </w:rPr>
        <w:t>ботки и требует совершенствования существующей технологии. Другим определяющим новизну работы решением является предл</w:t>
      </w:r>
      <w:r w:rsidRPr="00281602">
        <w:rPr>
          <w:rFonts w:eastAsia="Calibri"/>
          <w:sz w:val="22"/>
          <w:szCs w:val="22"/>
          <w:lang w:eastAsia="en-US"/>
        </w:rPr>
        <w:t>а</w:t>
      </w:r>
      <w:r w:rsidRPr="00281602">
        <w:rPr>
          <w:rFonts w:eastAsia="Calibri"/>
          <w:sz w:val="22"/>
          <w:szCs w:val="22"/>
          <w:lang w:eastAsia="en-US"/>
        </w:rPr>
        <w:t>гаемый способ обработки сырья в технологическом процессе.</w:t>
      </w: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t>В ходе выполнения запланированных НИОКР нами будут и</w:t>
      </w:r>
      <w:r w:rsidRPr="00281602">
        <w:rPr>
          <w:rFonts w:eastAsia="Calibri"/>
          <w:sz w:val="22"/>
          <w:szCs w:val="22"/>
          <w:lang w:eastAsia="en-US"/>
        </w:rPr>
        <w:t>с</w:t>
      </w:r>
      <w:r w:rsidRPr="00281602">
        <w:rPr>
          <w:rFonts w:eastAsia="Calibri"/>
          <w:sz w:val="22"/>
          <w:szCs w:val="22"/>
          <w:lang w:eastAsia="en-US"/>
        </w:rPr>
        <w:t>следованы состав и свойства белкового комплекса сырья злаковых, бобовых и масличных культур современных сортов отечественной селекции, что позволит лучше понять природу факторов, препя</w:t>
      </w:r>
      <w:r w:rsidRPr="00281602">
        <w:rPr>
          <w:rFonts w:eastAsia="Calibri"/>
          <w:sz w:val="22"/>
          <w:szCs w:val="22"/>
          <w:lang w:eastAsia="en-US"/>
        </w:rPr>
        <w:t>т</w:t>
      </w:r>
      <w:r w:rsidRPr="00281602">
        <w:rPr>
          <w:rFonts w:eastAsia="Calibri"/>
          <w:sz w:val="22"/>
          <w:szCs w:val="22"/>
          <w:lang w:eastAsia="en-US"/>
        </w:rPr>
        <w:t>ствующих максимальному его усвоению из продуктов и разраб</w:t>
      </w:r>
      <w:r w:rsidRPr="00281602">
        <w:rPr>
          <w:rFonts w:eastAsia="Calibri"/>
          <w:sz w:val="22"/>
          <w:szCs w:val="22"/>
          <w:lang w:eastAsia="en-US"/>
        </w:rPr>
        <w:t>о</w:t>
      </w:r>
      <w:r w:rsidRPr="00281602">
        <w:rPr>
          <w:rFonts w:eastAsia="Calibri"/>
          <w:sz w:val="22"/>
          <w:szCs w:val="22"/>
          <w:lang w:eastAsia="en-US"/>
        </w:rPr>
        <w:t>тать способы, устраняющие эти факторы [3]. Разрабатываемый нами продукт отличает сбалансированный аминокислотный состав, а также достаточное содержание эссенциальных жиров, углеводов и минералов. Сорта применяемых в технологии разрабатываемого продукта бобовых, злаковых и масличных культур подобраны т</w:t>
      </w:r>
      <w:r w:rsidRPr="00281602">
        <w:rPr>
          <w:rFonts w:eastAsia="Calibri"/>
          <w:sz w:val="22"/>
          <w:szCs w:val="22"/>
          <w:lang w:eastAsia="en-US"/>
        </w:rPr>
        <w:t>а</w:t>
      </w:r>
      <w:r w:rsidRPr="00281602">
        <w:rPr>
          <w:rFonts w:eastAsia="Calibri"/>
          <w:sz w:val="22"/>
          <w:szCs w:val="22"/>
          <w:lang w:eastAsia="en-US"/>
        </w:rPr>
        <w:t>ким образом, чтобы после технологической обработки сырья с пр</w:t>
      </w:r>
      <w:r w:rsidRPr="00281602">
        <w:rPr>
          <w:rFonts w:eastAsia="Calibri"/>
          <w:sz w:val="22"/>
          <w:szCs w:val="22"/>
          <w:lang w:eastAsia="en-US"/>
        </w:rPr>
        <w:t>и</w:t>
      </w:r>
      <w:r w:rsidRPr="00281602">
        <w:rPr>
          <w:rFonts w:eastAsia="Calibri"/>
          <w:sz w:val="22"/>
          <w:szCs w:val="22"/>
          <w:lang w:eastAsia="en-US"/>
        </w:rPr>
        <w:t xml:space="preserve">менением специальных приемов, содержащийся в нем белок стал максимально доступным для усвоения организмом потребителей. </w:t>
      </w: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t>Качественные параметры, характеризующие нашу разработку, формируются соблюдением рецептурных соотношений сырья и технологических норм производства продуктов. Количественные параметры формируются наличием и доступностью сырья, прои</w:t>
      </w:r>
      <w:r w:rsidRPr="00281602">
        <w:rPr>
          <w:rFonts w:eastAsia="Calibri"/>
          <w:sz w:val="22"/>
          <w:szCs w:val="22"/>
          <w:lang w:eastAsia="en-US"/>
        </w:rPr>
        <w:t>з</w:t>
      </w:r>
      <w:r w:rsidRPr="00281602">
        <w:rPr>
          <w:rFonts w:eastAsia="Calibri"/>
          <w:sz w:val="22"/>
          <w:szCs w:val="22"/>
          <w:lang w:eastAsia="en-US"/>
        </w:rPr>
        <w:lastRenderedPageBreak/>
        <w:t>водительностью технологической линии, а во многом зависят от существующего спроса со стороны потребителя и степени нас</w:t>
      </w:r>
      <w:r w:rsidRPr="00281602">
        <w:rPr>
          <w:rFonts w:eastAsia="Calibri"/>
          <w:sz w:val="22"/>
          <w:szCs w:val="22"/>
          <w:lang w:eastAsia="en-US"/>
        </w:rPr>
        <w:t>ы</w:t>
      </w:r>
      <w:r w:rsidRPr="00281602">
        <w:rPr>
          <w:rFonts w:eastAsia="Calibri"/>
          <w:sz w:val="22"/>
          <w:szCs w:val="22"/>
          <w:lang w:eastAsia="en-US"/>
        </w:rPr>
        <w:t>щенности рынка аналогичными товарами. По экономическим х</w:t>
      </w:r>
      <w:r w:rsidRPr="00281602">
        <w:rPr>
          <w:rFonts w:eastAsia="Calibri"/>
          <w:sz w:val="22"/>
          <w:szCs w:val="22"/>
          <w:lang w:eastAsia="en-US"/>
        </w:rPr>
        <w:t>а</w:t>
      </w:r>
      <w:r w:rsidRPr="00281602">
        <w:rPr>
          <w:rFonts w:eastAsia="Calibri"/>
          <w:sz w:val="22"/>
          <w:szCs w:val="22"/>
          <w:lang w:eastAsia="en-US"/>
        </w:rPr>
        <w:t>рактеристикам продукт будет более конкурентным в сравнении с существующим на рынке аналогом, поскольку разрабатываемая нами технология предполагает существенное снижение энергоемк</w:t>
      </w:r>
      <w:r w:rsidRPr="00281602">
        <w:rPr>
          <w:rFonts w:eastAsia="Calibri"/>
          <w:sz w:val="22"/>
          <w:szCs w:val="22"/>
          <w:lang w:eastAsia="en-US"/>
        </w:rPr>
        <w:t>о</w:t>
      </w:r>
      <w:r w:rsidRPr="00281602">
        <w:rPr>
          <w:rFonts w:eastAsia="Calibri"/>
          <w:sz w:val="22"/>
          <w:szCs w:val="22"/>
          <w:lang w:eastAsia="en-US"/>
        </w:rPr>
        <w:t>сти и трудозатрат. Инновации, реализуемые в заявляемом нами проекте, позволят создать функциональный продукт, привлекател</w:t>
      </w:r>
      <w:r w:rsidRPr="00281602">
        <w:rPr>
          <w:rFonts w:eastAsia="Calibri"/>
          <w:sz w:val="22"/>
          <w:szCs w:val="22"/>
          <w:lang w:eastAsia="en-US"/>
        </w:rPr>
        <w:t>ь</w:t>
      </w:r>
      <w:r w:rsidRPr="00281602">
        <w:rPr>
          <w:rFonts w:eastAsia="Calibri"/>
          <w:sz w:val="22"/>
          <w:szCs w:val="22"/>
          <w:lang w:eastAsia="en-US"/>
        </w:rPr>
        <w:t xml:space="preserve">ный для широкого круга потребителей. </w:t>
      </w: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t>Конечный результат нашей работы будет использован в техн</w:t>
      </w:r>
      <w:r w:rsidRPr="00281602">
        <w:rPr>
          <w:rFonts w:eastAsia="Calibri"/>
          <w:sz w:val="22"/>
          <w:szCs w:val="22"/>
          <w:lang w:eastAsia="en-US"/>
        </w:rPr>
        <w:t>о</w:t>
      </w:r>
      <w:r w:rsidRPr="00281602">
        <w:rPr>
          <w:rFonts w:eastAsia="Calibri"/>
          <w:sz w:val="22"/>
          <w:szCs w:val="22"/>
          <w:lang w:eastAsia="en-US"/>
        </w:rPr>
        <w:t>логии продуктов питания функционального и лечебно-профилактического назначения, рекомендуемых широкому кругу потребителей, заинтересованных в приобретении и потреблении полезных сбалансированных по составу продуктов питания.</w:t>
      </w:r>
    </w:p>
    <w:p w:rsidR="00281602" w:rsidRPr="00281602" w:rsidRDefault="00281602" w:rsidP="00B572C5">
      <w:pPr>
        <w:ind w:firstLine="426"/>
        <w:jc w:val="both"/>
        <w:rPr>
          <w:rFonts w:eastAsia="Calibri"/>
          <w:sz w:val="22"/>
          <w:szCs w:val="22"/>
          <w:lang w:eastAsia="en-US"/>
        </w:rPr>
      </w:pPr>
    </w:p>
    <w:p w:rsidR="00281602" w:rsidRPr="00281602" w:rsidRDefault="00281602" w:rsidP="00B572C5">
      <w:pPr>
        <w:ind w:firstLine="426"/>
        <w:jc w:val="center"/>
        <w:rPr>
          <w:rFonts w:eastAsia="Calibri"/>
          <w:sz w:val="22"/>
          <w:szCs w:val="22"/>
        </w:rPr>
      </w:pPr>
      <w:r w:rsidRPr="00281602">
        <w:rPr>
          <w:rFonts w:eastAsia="Calibri"/>
          <w:sz w:val="22"/>
          <w:szCs w:val="22"/>
          <w:lang w:eastAsia="en-US"/>
        </w:rPr>
        <w:t>Список литературы</w:t>
      </w:r>
    </w:p>
    <w:p w:rsidR="00281602" w:rsidRPr="00281602" w:rsidRDefault="00281602" w:rsidP="00B572C5">
      <w:pPr>
        <w:widowControl w:val="0"/>
        <w:numPr>
          <w:ilvl w:val="0"/>
          <w:numId w:val="32"/>
        </w:numPr>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t>Касьянов  Д.Г., Гринченко В.С., Ольховатов Е.А. Разработка продуктов питания для людей занятых умственной деятельностью // Политематический сетевой электронный научный журнал Куба</w:t>
      </w:r>
      <w:r w:rsidRPr="00281602">
        <w:rPr>
          <w:rFonts w:eastAsia="Calibri"/>
          <w:sz w:val="22"/>
          <w:szCs w:val="22"/>
          <w:lang w:eastAsia="en-US"/>
        </w:rPr>
        <w:t>н</w:t>
      </w:r>
      <w:r w:rsidRPr="00281602">
        <w:rPr>
          <w:rFonts w:eastAsia="Calibri"/>
          <w:sz w:val="22"/>
          <w:szCs w:val="22"/>
          <w:lang w:eastAsia="en-US"/>
        </w:rPr>
        <w:t>ского государственного аграрного университета. 2016. № 122. С. 930-940.</w:t>
      </w:r>
    </w:p>
    <w:p w:rsidR="00281602" w:rsidRPr="00281602" w:rsidRDefault="00281602" w:rsidP="00B572C5">
      <w:pPr>
        <w:widowControl w:val="0"/>
        <w:numPr>
          <w:ilvl w:val="0"/>
          <w:numId w:val="32"/>
        </w:numPr>
        <w:tabs>
          <w:tab w:val="left" w:pos="709"/>
        </w:tabs>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t>Касьянов Г.И. Ольховатов Е.А., Сакибаев К.Ш. Инновации в технологии производства сухих завтраков // Политематический с</w:t>
      </w:r>
      <w:r w:rsidRPr="00281602">
        <w:rPr>
          <w:rFonts w:eastAsia="Calibri"/>
          <w:sz w:val="22"/>
          <w:szCs w:val="22"/>
          <w:lang w:eastAsia="en-US"/>
        </w:rPr>
        <w:t>е</w:t>
      </w:r>
      <w:r w:rsidRPr="00281602">
        <w:rPr>
          <w:rFonts w:eastAsia="Calibri"/>
          <w:sz w:val="22"/>
          <w:szCs w:val="22"/>
          <w:lang w:eastAsia="en-US"/>
        </w:rPr>
        <w:t>тевой электронный научный журнал Кубанского государственного аграрного университета. Краснодар: КубГАУ. 2017. №130. С. 922-933.</w:t>
      </w:r>
    </w:p>
    <w:p w:rsidR="00281602" w:rsidRPr="00281602" w:rsidRDefault="00281602" w:rsidP="00B572C5">
      <w:pPr>
        <w:widowControl w:val="0"/>
        <w:numPr>
          <w:ilvl w:val="0"/>
          <w:numId w:val="32"/>
        </w:numPr>
        <w:overflowPunct w:val="0"/>
        <w:autoSpaceDE w:val="0"/>
        <w:autoSpaceDN w:val="0"/>
        <w:adjustRightInd w:val="0"/>
        <w:ind w:left="0" w:firstLine="426"/>
        <w:jc w:val="both"/>
        <w:rPr>
          <w:rFonts w:eastAsia="Calibri"/>
          <w:spacing w:val="-2"/>
          <w:sz w:val="22"/>
          <w:szCs w:val="22"/>
          <w:lang w:eastAsia="en-US"/>
        </w:rPr>
      </w:pPr>
      <w:r w:rsidRPr="00281602">
        <w:rPr>
          <w:rFonts w:eastAsia="Calibri"/>
          <w:spacing w:val="-2"/>
          <w:sz w:val="22"/>
          <w:szCs w:val="22"/>
          <w:lang w:eastAsia="en-US"/>
        </w:rPr>
        <w:t>Ольховатов Е.А., Щербакова Е.В., Рашидова Г.М., Касьянов Г.И. Антипитательные компоненты семян сельскохозяйственных культур и проблема их устранения  // Устойчивое развитие, эколог</w:t>
      </w:r>
      <w:r w:rsidRPr="00281602">
        <w:rPr>
          <w:rFonts w:eastAsia="Calibri"/>
          <w:spacing w:val="-2"/>
          <w:sz w:val="22"/>
          <w:szCs w:val="22"/>
          <w:lang w:eastAsia="en-US"/>
        </w:rPr>
        <w:t>и</w:t>
      </w:r>
      <w:r w:rsidRPr="00281602">
        <w:rPr>
          <w:rFonts w:eastAsia="Calibri"/>
          <w:spacing w:val="-2"/>
          <w:sz w:val="22"/>
          <w:szCs w:val="22"/>
          <w:lang w:eastAsia="en-US"/>
        </w:rPr>
        <w:t>чески безопасные технологии и оборудование для переработки п</w:t>
      </w:r>
      <w:r w:rsidRPr="00281602">
        <w:rPr>
          <w:rFonts w:eastAsia="Calibri"/>
          <w:spacing w:val="-2"/>
          <w:sz w:val="22"/>
          <w:szCs w:val="22"/>
          <w:lang w:eastAsia="en-US"/>
        </w:rPr>
        <w:t>и</w:t>
      </w:r>
      <w:r w:rsidRPr="00281602">
        <w:rPr>
          <w:rFonts w:eastAsia="Calibri"/>
          <w:spacing w:val="-2"/>
          <w:sz w:val="22"/>
          <w:szCs w:val="22"/>
          <w:lang w:eastAsia="en-US"/>
        </w:rPr>
        <w:t>щевого сельскохозяйственного сырья; импортоопережение : сборник материалов международной научно-практической конференции. Краснодар: КубГТУ, 2016. С. 141-143.</w:t>
      </w:r>
    </w:p>
    <w:p w:rsidR="00281602" w:rsidRPr="00281602" w:rsidRDefault="00281602" w:rsidP="00B572C5">
      <w:pPr>
        <w:widowControl w:val="0"/>
        <w:numPr>
          <w:ilvl w:val="0"/>
          <w:numId w:val="32"/>
        </w:numPr>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t>Ольховатов Е.А., Щербакова Е.В. Разработка рецептур б</w:t>
      </w:r>
      <w:r w:rsidRPr="00281602">
        <w:rPr>
          <w:rFonts w:eastAsia="Calibri"/>
          <w:sz w:val="22"/>
          <w:szCs w:val="22"/>
          <w:lang w:eastAsia="en-US"/>
        </w:rPr>
        <w:t>о</w:t>
      </w:r>
      <w:r w:rsidRPr="00281602">
        <w:rPr>
          <w:rFonts w:eastAsia="Calibri"/>
          <w:sz w:val="22"/>
          <w:szCs w:val="22"/>
          <w:lang w:eastAsia="en-US"/>
        </w:rPr>
        <w:t>бовых паст «хумус» с применением семян сои современных сортов отечественной селекции // Сборник научных трудов Всероссийск</w:t>
      </w:r>
      <w:r w:rsidRPr="00281602">
        <w:rPr>
          <w:rFonts w:eastAsia="Calibri"/>
          <w:sz w:val="22"/>
          <w:szCs w:val="22"/>
          <w:lang w:eastAsia="en-US"/>
        </w:rPr>
        <w:t>о</w:t>
      </w:r>
      <w:r w:rsidRPr="00281602">
        <w:rPr>
          <w:rFonts w:eastAsia="Calibri"/>
          <w:sz w:val="22"/>
          <w:szCs w:val="22"/>
          <w:lang w:eastAsia="en-US"/>
        </w:rPr>
        <w:t>го научно-исследовательского института овцеводства и козово</w:t>
      </w:r>
      <w:r w:rsidRPr="00281602">
        <w:rPr>
          <w:rFonts w:eastAsia="Calibri"/>
          <w:sz w:val="22"/>
          <w:szCs w:val="22"/>
          <w:lang w:eastAsia="en-US"/>
        </w:rPr>
        <w:t>д</w:t>
      </w:r>
      <w:r w:rsidRPr="00281602">
        <w:rPr>
          <w:rFonts w:eastAsia="Calibri"/>
          <w:sz w:val="22"/>
          <w:szCs w:val="22"/>
          <w:lang w:eastAsia="en-US"/>
        </w:rPr>
        <w:t>ства. 2015. Т. 1. № 8. С. 241-244.</w:t>
      </w:r>
    </w:p>
    <w:p w:rsidR="00281602" w:rsidRPr="00281602" w:rsidRDefault="00281602" w:rsidP="00B572C5">
      <w:pPr>
        <w:widowControl w:val="0"/>
        <w:numPr>
          <w:ilvl w:val="0"/>
          <w:numId w:val="32"/>
        </w:numPr>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lastRenderedPageBreak/>
        <w:t>Ольховатов Е.А., Щербакова Е.В. Создание рецептур боб</w:t>
      </w:r>
      <w:r w:rsidRPr="00281602">
        <w:rPr>
          <w:rFonts w:eastAsia="Calibri"/>
          <w:sz w:val="22"/>
          <w:szCs w:val="22"/>
          <w:lang w:eastAsia="en-US"/>
        </w:rPr>
        <w:t>о</w:t>
      </w:r>
      <w:r w:rsidRPr="00281602">
        <w:rPr>
          <w:rFonts w:eastAsia="Calibri"/>
          <w:sz w:val="22"/>
          <w:szCs w:val="22"/>
          <w:lang w:eastAsia="en-US"/>
        </w:rPr>
        <w:t>вых паст на основе сырья сои сортов современной отечественной селекции // Научное обеспечение агропромышленного комплекса : сборник статей по материалам 71-й научно-практической конф</w:t>
      </w:r>
      <w:r w:rsidRPr="00281602">
        <w:rPr>
          <w:rFonts w:eastAsia="Calibri"/>
          <w:sz w:val="22"/>
          <w:szCs w:val="22"/>
          <w:lang w:eastAsia="en-US"/>
        </w:rPr>
        <w:t>е</w:t>
      </w:r>
      <w:r w:rsidRPr="00281602">
        <w:rPr>
          <w:rFonts w:eastAsia="Calibri"/>
          <w:sz w:val="22"/>
          <w:szCs w:val="22"/>
          <w:lang w:eastAsia="en-US"/>
        </w:rPr>
        <w:t>ренции преподавателей по итогам НИР за 2015 год.  Краснодар: КубГАУ, 2016. С. 741-742.</w:t>
      </w:r>
    </w:p>
    <w:p w:rsidR="00281602" w:rsidRPr="00281602" w:rsidRDefault="00281602" w:rsidP="00281602">
      <w:pPr>
        <w:jc w:val="both"/>
        <w:rPr>
          <w:rFonts w:eastAsia="Calibri"/>
          <w:sz w:val="22"/>
          <w:szCs w:val="22"/>
          <w:lang w:eastAsia="en-US"/>
        </w:rPr>
      </w:pPr>
    </w:p>
    <w:p w:rsidR="00541645" w:rsidRDefault="00541645" w:rsidP="00281602">
      <w:pPr>
        <w:jc w:val="both"/>
        <w:rPr>
          <w:rFonts w:eastAsia="Calibri"/>
          <w:sz w:val="22"/>
          <w:szCs w:val="22"/>
          <w:lang w:eastAsia="en-US"/>
        </w:rPr>
      </w:pPr>
    </w:p>
    <w:p w:rsidR="00B572C5" w:rsidRPr="00281602" w:rsidRDefault="00B572C5" w:rsidP="00281602">
      <w:pPr>
        <w:jc w:val="both"/>
        <w:rPr>
          <w:rFonts w:eastAsia="Calibri"/>
          <w:sz w:val="22"/>
          <w:szCs w:val="22"/>
          <w:lang w:eastAsia="en-US"/>
        </w:rPr>
      </w:pPr>
    </w:p>
    <w:p w:rsidR="00281602" w:rsidRDefault="00281602" w:rsidP="00281602">
      <w:pPr>
        <w:jc w:val="both"/>
        <w:rPr>
          <w:rFonts w:eastAsia="Calibri"/>
          <w:sz w:val="22"/>
          <w:szCs w:val="22"/>
          <w:lang w:eastAsia="en-US"/>
        </w:rPr>
      </w:pPr>
      <w:r w:rsidRPr="00281602">
        <w:rPr>
          <w:rFonts w:eastAsia="Calibri"/>
          <w:sz w:val="22"/>
          <w:szCs w:val="22"/>
          <w:lang w:eastAsia="en-US"/>
        </w:rPr>
        <w:t>УДК 664.66.022.39</w:t>
      </w:r>
    </w:p>
    <w:p w:rsidR="00541645" w:rsidRPr="00281602" w:rsidRDefault="00541645" w:rsidP="00281602">
      <w:pPr>
        <w:jc w:val="both"/>
        <w:rPr>
          <w:rFonts w:eastAsia="Calibri"/>
          <w:sz w:val="22"/>
          <w:szCs w:val="22"/>
          <w:lang w:eastAsia="en-US"/>
        </w:rPr>
      </w:pPr>
    </w:p>
    <w:p w:rsidR="00281602" w:rsidRPr="00541645" w:rsidRDefault="00281602" w:rsidP="00281602">
      <w:pPr>
        <w:jc w:val="center"/>
        <w:rPr>
          <w:rFonts w:eastAsia="Calibri"/>
          <w:b/>
          <w:sz w:val="24"/>
          <w:szCs w:val="24"/>
          <w:lang w:eastAsia="en-US"/>
        </w:rPr>
      </w:pPr>
      <w:r w:rsidRPr="00541645">
        <w:rPr>
          <w:rFonts w:eastAsia="Calibri"/>
          <w:b/>
          <w:sz w:val="24"/>
          <w:szCs w:val="24"/>
          <w:lang w:eastAsia="en-US"/>
        </w:rPr>
        <w:t>Использование лекарственных растений в производстве продуктов питания</w:t>
      </w:r>
    </w:p>
    <w:p w:rsidR="00281602" w:rsidRPr="001755C3" w:rsidRDefault="00281602" w:rsidP="00281602">
      <w:pPr>
        <w:jc w:val="center"/>
        <w:rPr>
          <w:rFonts w:eastAsia="Calibri"/>
          <w:b/>
          <w:sz w:val="24"/>
          <w:szCs w:val="24"/>
          <w:lang w:val="en-US" w:eastAsia="en-US"/>
        </w:rPr>
      </w:pPr>
      <w:r w:rsidRPr="00541645">
        <w:rPr>
          <w:rFonts w:eastAsia="Calibri"/>
          <w:b/>
          <w:sz w:val="24"/>
          <w:szCs w:val="24"/>
          <w:lang w:eastAsia="en-US"/>
        </w:rPr>
        <w:t>Т</w:t>
      </w:r>
      <w:r w:rsidRPr="00541645">
        <w:rPr>
          <w:rFonts w:eastAsia="Calibri"/>
          <w:b/>
          <w:sz w:val="24"/>
          <w:szCs w:val="24"/>
          <w:lang w:val="en-US" w:eastAsia="en-US"/>
        </w:rPr>
        <w:t>he use of medicinal plants in food production</w:t>
      </w:r>
    </w:p>
    <w:p w:rsidR="00541645" w:rsidRPr="001755C3" w:rsidRDefault="00541645" w:rsidP="00281602">
      <w:pPr>
        <w:jc w:val="center"/>
        <w:rPr>
          <w:rFonts w:eastAsia="Calibri"/>
          <w:b/>
          <w:sz w:val="22"/>
          <w:szCs w:val="22"/>
          <w:lang w:val="en-US" w:eastAsia="en-US"/>
        </w:rPr>
      </w:pPr>
    </w:p>
    <w:p w:rsidR="00281602" w:rsidRPr="00281602" w:rsidRDefault="00281602" w:rsidP="00281602">
      <w:pPr>
        <w:ind w:right="-114"/>
        <w:jc w:val="right"/>
        <w:rPr>
          <w:rFonts w:eastAsia="Calibri"/>
          <w:sz w:val="22"/>
          <w:szCs w:val="22"/>
          <w:lang w:eastAsia="en-US"/>
        </w:rPr>
      </w:pPr>
      <w:r w:rsidRPr="00281602">
        <w:rPr>
          <w:rFonts w:eastAsia="Calibri"/>
          <w:sz w:val="22"/>
          <w:szCs w:val="22"/>
          <w:lang w:eastAsia="en-US"/>
        </w:rPr>
        <w:t>Струсовский С.</w:t>
      </w:r>
      <w:r w:rsidR="00541645">
        <w:rPr>
          <w:rFonts w:eastAsia="Calibri"/>
          <w:sz w:val="22"/>
          <w:szCs w:val="22"/>
          <w:lang w:eastAsia="en-US"/>
        </w:rPr>
        <w:t xml:space="preserve"> </w:t>
      </w:r>
      <w:r w:rsidRPr="00281602">
        <w:rPr>
          <w:rFonts w:eastAsia="Calibri"/>
          <w:sz w:val="22"/>
          <w:szCs w:val="22"/>
          <w:lang w:eastAsia="en-US"/>
        </w:rPr>
        <w:t>Г.</w:t>
      </w:r>
      <w:r w:rsidR="00541645">
        <w:rPr>
          <w:rFonts w:eastAsia="Calibri"/>
          <w:sz w:val="22"/>
          <w:szCs w:val="22"/>
          <w:lang w:eastAsia="en-US"/>
        </w:rPr>
        <w:t>,</w:t>
      </w:r>
    </w:p>
    <w:p w:rsidR="00541645" w:rsidRDefault="00281602" w:rsidP="00281602">
      <w:pPr>
        <w:ind w:right="-114"/>
        <w:jc w:val="right"/>
        <w:rPr>
          <w:rFonts w:eastAsia="Calibri"/>
          <w:sz w:val="22"/>
          <w:szCs w:val="22"/>
          <w:lang w:eastAsia="en-US"/>
        </w:rPr>
      </w:pPr>
      <w:r w:rsidRPr="00281602">
        <w:rPr>
          <w:rFonts w:eastAsia="Calibri"/>
          <w:sz w:val="22"/>
          <w:szCs w:val="22"/>
          <w:lang w:eastAsia="en-US"/>
        </w:rPr>
        <w:t>магистрант 1-го курса</w:t>
      </w:r>
    </w:p>
    <w:p w:rsidR="00281602" w:rsidRPr="00281602" w:rsidRDefault="00281602" w:rsidP="00281602">
      <w:pPr>
        <w:ind w:right="-114"/>
        <w:jc w:val="right"/>
        <w:rPr>
          <w:rFonts w:eastAsia="Calibri"/>
          <w:sz w:val="22"/>
          <w:szCs w:val="22"/>
          <w:lang w:eastAsia="en-US"/>
        </w:rPr>
      </w:pPr>
      <w:r w:rsidRPr="00281602">
        <w:rPr>
          <w:rFonts w:eastAsia="Calibri"/>
          <w:sz w:val="22"/>
          <w:szCs w:val="22"/>
          <w:lang w:eastAsia="en-US"/>
        </w:rPr>
        <w:t xml:space="preserve"> факультета перерабатывающих технологий</w:t>
      </w:r>
    </w:p>
    <w:p w:rsidR="00281602" w:rsidRPr="00281602" w:rsidRDefault="00281602" w:rsidP="00281602">
      <w:pPr>
        <w:ind w:right="-114"/>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right="-114"/>
        <w:jc w:val="right"/>
        <w:rPr>
          <w:rFonts w:eastAsia="Calibri"/>
          <w:sz w:val="22"/>
          <w:szCs w:val="22"/>
          <w:lang w:eastAsia="en-US"/>
        </w:rPr>
      </w:pPr>
      <w:r w:rsidRPr="00281602">
        <w:rPr>
          <w:rFonts w:eastAsia="Calibri"/>
          <w:sz w:val="22"/>
          <w:szCs w:val="22"/>
          <w:lang w:eastAsia="en-US"/>
        </w:rPr>
        <w:t>университет им. И.Т. Трубилина</w:t>
      </w:r>
    </w:p>
    <w:p w:rsidR="00281602" w:rsidRPr="00281602" w:rsidRDefault="00281602" w:rsidP="00281602">
      <w:pPr>
        <w:ind w:right="-114"/>
        <w:jc w:val="both"/>
        <w:rPr>
          <w:rFonts w:eastAsia="Calibri"/>
          <w:sz w:val="22"/>
          <w:szCs w:val="22"/>
          <w:lang w:eastAsia="en-US"/>
        </w:rPr>
      </w:pP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АННОТАЦИЯ: Рассматриваются нарушения, возникающие при сахарном диабете; основные правила питания при этом забол</w:t>
      </w:r>
      <w:r w:rsidRPr="00281602">
        <w:rPr>
          <w:rFonts w:eastAsia="Calibri"/>
          <w:sz w:val="22"/>
          <w:szCs w:val="22"/>
          <w:lang w:eastAsia="en-US"/>
        </w:rPr>
        <w:t>е</w:t>
      </w:r>
      <w:r w:rsidRPr="00281602">
        <w:rPr>
          <w:rFonts w:eastAsia="Calibri"/>
          <w:sz w:val="22"/>
          <w:szCs w:val="22"/>
          <w:lang w:eastAsia="en-US"/>
        </w:rPr>
        <w:t>вании. Исследуется возможность использования иннулинсодерж</w:t>
      </w:r>
      <w:r w:rsidRPr="00281602">
        <w:rPr>
          <w:rFonts w:eastAsia="Calibri"/>
          <w:sz w:val="22"/>
          <w:szCs w:val="22"/>
          <w:lang w:eastAsia="en-US"/>
        </w:rPr>
        <w:t>а</w:t>
      </w:r>
      <w:r w:rsidRPr="00281602">
        <w:rPr>
          <w:rFonts w:eastAsia="Calibri"/>
          <w:sz w:val="22"/>
          <w:szCs w:val="22"/>
          <w:lang w:eastAsia="en-US"/>
        </w:rPr>
        <w:t xml:space="preserve">щих растений при производстве продуктов питания. </w:t>
      </w:r>
    </w:p>
    <w:p w:rsidR="00281602" w:rsidRPr="00281602" w:rsidRDefault="00281602" w:rsidP="00541645">
      <w:pPr>
        <w:ind w:firstLine="425"/>
        <w:jc w:val="both"/>
        <w:rPr>
          <w:rFonts w:eastAsia="Calibri"/>
          <w:sz w:val="22"/>
          <w:szCs w:val="22"/>
          <w:lang w:val="en-US" w:eastAsia="en-US"/>
        </w:rPr>
      </w:pPr>
      <w:r w:rsidRPr="00281602">
        <w:rPr>
          <w:rFonts w:eastAsia="Calibri"/>
          <w:sz w:val="22"/>
          <w:szCs w:val="22"/>
          <w:lang w:val="en-US" w:eastAsia="en-US"/>
        </w:rPr>
        <w:t>ABSTRACT</w:t>
      </w:r>
      <w:r w:rsidRPr="00281602">
        <w:rPr>
          <w:rFonts w:eastAsia="Calibri"/>
          <w:sz w:val="22"/>
          <w:szCs w:val="22"/>
          <w:lang w:eastAsia="en-US"/>
        </w:rPr>
        <w:t>: т</w:t>
      </w:r>
      <w:r w:rsidRPr="00281602">
        <w:rPr>
          <w:rFonts w:eastAsia="Calibri"/>
          <w:sz w:val="22"/>
          <w:szCs w:val="22"/>
          <w:lang w:val="en-US" w:eastAsia="en-US"/>
        </w:rPr>
        <w:t>theviolationsarisingatdiabetesmellitusareConsidered</w:t>
      </w:r>
      <w:r w:rsidRPr="00281602">
        <w:rPr>
          <w:rFonts w:eastAsia="Calibri"/>
          <w:sz w:val="22"/>
          <w:szCs w:val="22"/>
          <w:lang w:eastAsia="en-US"/>
        </w:rPr>
        <w:t xml:space="preserve">; </w:t>
      </w:r>
      <w:r w:rsidRPr="00281602">
        <w:rPr>
          <w:rFonts w:eastAsia="Calibri"/>
          <w:sz w:val="22"/>
          <w:szCs w:val="22"/>
          <w:lang w:val="en-US" w:eastAsia="en-US"/>
        </w:rPr>
        <w:t>thebasicrulesoffoodatthisdisease</w:t>
      </w:r>
      <w:r w:rsidRPr="00281602">
        <w:rPr>
          <w:rFonts w:eastAsia="Calibri"/>
          <w:sz w:val="22"/>
          <w:szCs w:val="22"/>
          <w:lang w:eastAsia="en-US"/>
        </w:rPr>
        <w:t xml:space="preserve">. </w:t>
      </w:r>
      <w:r w:rsidRPr="00281602">
        <w:rPr>
          <w:rFonts w:eastAsia="Calibri"/>
          <w:sz w:val="22"/>
          <w:szCs w:val="22"/>
          <w:lang w:val="en-US" w:eastAsia="en-US"/>
        </w:rPr>
        <w:t>The possibility of using inulin-containing plants in food production is investigated.</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КЛЮЧЕВЫЕ СЛОВА: сахарный диабет, лопух, одуванчик, ц</w:t>
      </w:r>
      <w:r w:rsidRPr="00281602">
        <w:rPr>
          <w:rFonts w:eastAsia="Calibri"/>
          <w:sz w:val="22"/>
          <w:szCs w:val="22"/>
          <w:lang w:eastAsia="en-US"/>
        </w:rPr>
        <w:t>и</w:t>
      </w:r>
      <w:r w:rsidRPr="00281602">
        <w:rPr>
          <w:rFonts w:eastAsia="Calibri"/>
          <w:sz w:val="22"/>
          <w:szCs w:val="22"/>
          <w:lang w:eastAsia="en-US"/>
        </w:rPr>
        <w:t>корий, продукты питания.</w:t>
      </w:r>
    </w:p>
    <w:p w:rsidR="00281602" w:rsidRPr="00281602" w:rsidRDefault="00281602" w:rsidP="00541645">
      <w:pPr>
        <w:ind w:firstLine="425"/>
        <w:jc w:val="both"/>
        <w:rPr>
          <w:rFonts w:eastAsia="Calibri"/>
          <w:sz w:val="22"/>
          <w:szCs w:val="22"/>
          <w:lang w:val="en-US" w:eastAsia="en-US"/>
        </w:rPr>
      </w:pPr>
      <w:r w:rsidRPr="00281602">
        <w:rPr>
          <w:rFonts w:eastAsia="Calibri"/>
          <w:sz w:val="22"/>
          <w:szCs w:val="22"/>
          <w:lang w:val="en-US" w:eastAsia="en-US"/>
        </w:rPr>
        <w:t>KEYWORDS: diabetes mellitus, burdock, dandelion, chicory, food.</w:t>
      </w:r>
    </w:p>
    <w:p w:rsidR="00281602" w:rsidRPr="00281602" w:rsidRDefault="00281602" w:rsidP="00541645">
      <w:pPr>
        <w:ind w:firstLine="425"/>
        <w:jc w:val="both"/>
        <w:rPr>
          <w:rFonts w:eastAsia="Calibri"/>
          <w:sz w:val="22"/>
          <w:szCs w:val="22"/>
          <w:lang w:val="en-US" w:eastAsia="en-US"/>
        </w:rPr>
      </w:pPr>
    </w:p>
    <w:p w:rsidR="00281602" w:rsidRPr="00281602" w:rsidRDefault="00281602" w:rsidP="00541645">
      <w:pPr>
        <w:ind w:firstLine="425"/>
        <w:jc w:val="both"/>
        <w:rPr>
          <w:rFonts w:eastAsia="Calibri"/>
          <w:color w:val="000000"/>
          <w:sz w:val="22"/>
          <w:szCs w:val="22"/>
        </w:rPr>
      </w:pPr>
      <w:r w:rsidRPr="00281602">
        <w:rPr>
          <w:rFonts w:eastAsia="Calibri"/>
          <w:color w:val="000000"/>
          <w:sz w:val="22"/>
          <w:szCs w:val="22"/>
        </w:rPr>
        <w:t>Сахарный диабет среди заболеваний, вызванных нарушением обмена веществ занимает второе место после ожирения. Сахарный диабет возникает при нарушении обменных процессов, контрол</w:t>
      </w:r>
      <w:r w:rsidRPr="00281602">
        <w:rPr>
          <w:rFonts w:eastAsia="Calibri"/>
          <w:color w:val="000000"/>
          <w:sz w:val="22"/>
          <w:szCs w:val="22"/>
        </w:rPr>
        <w:t>и</w:t>
      </w:r>
      <w:r w:rsidRPr="00281602">
        <w:rPr>
          <w:rFonts w:eastAsia="Calibri"/>
          <w:color w:val="000000"/>
          <w:sz w:val="22"/>
          <w:szCs w:val="22"/>
        </w:rPr>
        <w:t xml:space="preserve">руемых инсулином. Принимая участие в обмене углеводов, инсулин повышает поступление в клетки глюкозы, способствует синтезу и </w:t>
      </w:r>
      <w:r w:rsidRPr="00281602">
        <w:rPr>
          <w:rFonts w:eastAsia="Calibri"/>
          <w:color w:val="000000"/>
          <w:sz w:val="22"/>
          <w:szCs w:val="22"/>
        </w:rPr>
        <w:lastRenderedPageBreak/>
        <w:t>накоплению гликогена в печени, тормозит распад углеводных с</w:t>
      </w:r>
      <w:r w:rsidRPr="00281602">
        <w:rPr>
          <w:rFonts w:eastAsia="Calibri"/>
          <w:color w:val="000000"/>
          <w:sz w:val="22"/>
          <w:szCs w:val="22"/>
        </w:rPr>
        <w:t>о</w:t>
      </w:r>
      <w:r w:rsidRPr="00281602">
        <w:rPr>
          <w:rFonts w:eastAsia="Calibri"/>
          <w:color w:val="000000"/>
          <w:sz w:val="22"/>
          <w:szCs w:val="22"/>
        </w:rPr>
        <w:t>единений. В процессе белкового обмена инсулин усиливает синтез нуклеиновых кислот, белка и подавляет его распад. Влияние инс</w:t>
      </w:r>
      <w:r w:rsidRPr="00281602">
        <w:rPr>
          <w:rFonts w:eastAsia="Calibri"/>
          <w:color w:val="000000"/>
          <w:sz w:val="22"/>
          <w:szCs w:val="22"/>
        </w:rPr>
        <w:t>у</w:t>
      </w:r>
      <w:r w:rsidRPr="00281602">
        <w:rPr>
          <w:rFonts w:eastAsia="Calibri"/>
          <w:color w:val="000000"/>
          <w:sz w:val="22"/>
          <w:szCs w:val="22"/>
        </w:rPr>
        <w:t xml:space="preserve">лина на жировой обмен заключается в активизации поступления в жировые клетки глюкозы, энергетических процессов в клетках, синтезе жирных кислот и замедлении распада жиров. </w:t>
      </w:r>
    </w:p>
    <w:p w:rsidR="00281602" w:rsidRPr="00281602" w:rsidRDefault="00281602" w:rsidP="00541645">
      <w:pPr>
        <w:ind w:firstLine="425"/>
        <w:jc w:val="both"/>
        <w:rPr>
          <w:rFonts w:eastAsia="Calibri"/>
          <w:color w:val="000000"/>
          <w:sz w:val="22"/>
          <w:szCs w:val="22"/>
        </w:rPr>
      </w:pPr>
      <w:r w:rsidRPr="00281602">
        <w:rPr>
          <w:rFonts w:eastAsia="Calibri"/>
          <w:color w:val="000000"/>
          <w:sz w:val="22"/>
          <w:szCs w:val="22"/>
        </w:rPr>
        <w:t>При данном заболевании рекомендуется соблюдать диету, чт</w:t>
      </w:r>
      <w:r w:rsidRPr="00281602">
        <w:rPr>
          <w:rFonts w:eastAsia="Calibri"/>
          <w:color w:val="000000"/>
          <w:sz w:val="22"/>
          <w:szCs w:val="22"/>
        </w:rPr>
        <w:t>о</w:t>
      </w:r>
      <w:r w:rsidRPr="00281602">
        <w:rPr>
          <w:rFonts w:eastAsia="Calibri"/>
          <w:color w:val="000000"/>
          <w:sz w:val="22"/>
          <w:szCs w:val="22"/>
        </w:rPr>
        <w:t>бы ограничить поступление сахара. Также диета должна содержать большое количество витаминов, для повышения иммунитета. О</w:t>
      </w:r>
      <w:r w:rsidRPr="00281602">
        <w:rPr>
          <w:rFonts w:eastAsia="Calibri"/>
          <w:color w:val="000000"/>
          <w:sz w:val="22"/>
          <w:szCs w:val="22"/>
        </w:rPr>
        <w:t>д</w:t>
      </w:r>
      <w:r w:rsidRPr="00281602">
        <w:rPr>
          <w:rFonts w:eastAsia="Calibri"/>
          <w:color w:val="000000"/>
          <w:sz w:val="22"/>
          <w:szCs w:val="22"/>
        </w:rPr>
        <w:t>ним из путей расширения ассортимента питания людей, страда</w:t>
      </w:r>
      <w:r w:rsidRPr="00281602">
        <w:rPr>
          <w:rFonts w:eastAsia="Calibri"/>
          <w:color w:val="000000"/>
          <w:sz w:val="22"/>
          <w:szCs w:val="22"/>
        </w:rPr>
        <w:t>ю</w:t>
      </w:r>
      <w:r w:rsidRPr="00281602">
        <w:rPr>
          <w:rFonts w:eastAsia="Calibri"/>
          <w:color w:val="000000"/>
          <w:sz w:val="22"/>
          <w:szCs w:val="22"/>
        </w:rPr>
        <w:t xml:space="preserve">щих сахарным диабетом, могут стать и функциональные продукты, поскольку их производство относится к одному из актуальных направлений развития пищевой промышленности. </w:t>
      </w:r>
    </w:p>
    <w:p w:rsidR="00281602" w:rsidRPr="00281602" w:rsidRDefault="00281602" w:rsidP="00541645">
      <w:pPr>
        <w:ind w:firstLine="425"/>
        <w:jc w:val="both"/>
        <w:rPr>
          <w:sz w:val="22"/>
          <w:szCs w:val="22"/>
        </w:rPr>
      </w:pPr>
      <w:r w:rsidRPr="00281602">
        <w:rPr>
          <w:sz w:val="22"/>
          <w:szCs w:val="22"/>
        </w:rPr>
        <w:t>Натуральные растительные добавки являются источником в</w:t>
      </w:r>
      <w:r w:rsidRPr="00281602">
        <w:rPr>
          <w:sz w:val="22"/>
          <w:szCs w:val="22"/>
        </w:rPr>
        <w:t>и</w:t>
      </w:r>
      <w:r w:rsidRPr="00281602">
        <w:rPr>
          <w:sz w:val="22"/>
          <w:szCs w:val="22"/>
        </w:rPr>
        <w:t>таминов, макро- и микроэлементов и других веществ, которые сп</w:t>
      </w:r>
      <w:r w:rsidRPr="00281602">
        <w:rPr>
          <w:sz w:val="22"/>
          <w:szCs w:val="22"/>
        </w:rPr>
        <w:t>о</w:t>
      </w:r>
      <w:r w:rsidRPr="00281602">
        <w:rPr>
          <w:sz w:val="22"/>
          <w:szCs w:val="22"/>
        </w:rPr>
        <w:t>собствуют улучшению самочувствия человека, усиливающие его сопротивление к неблагоприятным условиям среды, влияющие на его сердечно-сосудистую, мозговую, нервную, пищеварительную и выделительную деятельность. Одним из перспективных направл</w:t>
      </w:r>
      <w:r w:rsidRPr="00281602">
        <w:rPr>
          <w:sz w:val="22"/>
          <w:szCs w:val="22"/>
        </w:rPr>
        <w:t>е</w:t>
      </w:r>
      <w:r w:rsidRPr="00281602">
        <w:rPr>
          <w:sz w:val="22"/>
          <w:szCs w:val="22"/>
        </w:rPr>
        <w:t>ний создания функциональных продуктов питания является испол</w:t>
      </w:r>
      <w:r w:rsidRPr="00281602">
        <w:rPr>
          <w:sz w:val="22"/>
          <w:szCs w:val="22"/>
        </w:rPr>
        <w:t>ь</w:t>
      </w:r>
      <w:r w:rsidRPr="00281602">
        <w:rPr>
          <w:sz w:val="22"/>
          <w:szCs w:val="22"/>
        </w:rPr>
        <w:t>зование лекарственных растений и продуктов их переработки при традиционном производстве.</w:t>
      </w:r>
    </w:p>
    <w:p w:rsidR="00281602" w:rsidRPr="00281602" w:rsidRDefault="00281602" w:rsidP="00541645">
      <w:pPr>
        <w:ind w:firstLine="425"/>
        <w:jc w:val="both"/>
        <w:rPr>
          <w:sz w:val="22"/>
          <w:szCs w:val="22"/>
        </w:rPr>
      </w:pPr>
      <w:r w:rsidRPr="00281602">
        <w:rPr>
          <w:sz w:val="22"/>
          <w:szCs w:val="22"/>
        </w:rPr>
        <w:t>Краснодарский край отличается большим разнообразием ра</w:t>
      </w:r>
      <w:r w:rsidRPr="00281602">
        <w:rPr>
          <w:sz w:val="22"/>
          <w:szCs w:val="22"/>
        </w:rPr>
        <w:t>с</w:t>
      </w:r>
      <w:r w:rsidRPr="00281602">
        <w:rPr>
          <w:sz w:val="22"/>
          <w:szCs w:val="22"/>
        </w:rPr>
        <w:t>тительного сырья, лекарственных растений, плодов и ягод и пр</w:t>
      </w:r>
      <w:r w:rsidRPr="00281602">
        <w:rPr>
          <w:sz w:val="22"/>
          <w:szCs w:val="22"/>
        </w:rPr>
        <w:t>о</w:t>
      </w:r>
      <w:r w:rsidRPr="00281602">
        <w:rPr>
          <w:sz w:val="22"/>
          <w:szCs w:val="22"/>
        </w:rPr>
        <w:t>дуктами их переработки. Поэтому объектами исследований были выбраны лекарственные растения – лопух большой, одуванчик л</w:t>
      </w:r>
      <w:r w:rsidRPr="00281602">
        <w:rPr>
          <w:sz w:val="22"/>
          <w:szCs w:val="22"/>
        </w:rPr>
        <w:t>е</w:t>
      </w:r>
      <w:r w:rsidRPr="00281602">
        <w:rPr>
          <w:sz w:val="22"/>
          <w:szCs w:val="22"/>
        </w:rPr>
        <w:t>карственный и цикорий.</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Лекарственные растения отличаются богатым химическим с</w:t>
      </w:r>
      <w:r w:rsidRPr="00281602">
        <w:rPr>
          <w:rFonts w:eastAsia="Calibri"/>
          <w:sz w:val="22"/>
          <w:szCs w:val="22"/>
          <w:lang w:eastAsia="en-US"/>
        </w:rPr>
        <w:t>о</w:t>
      </w:r>
      <w:r w:rsidRPr="00281602">
        <w:rPr>
          <w:rFonts w:eastAsia="Calibri"/>
          <w:sz w:val="22"/>
          <w:szCs w:val="22"/>
          <w:lang w:eastAsia="en-US"/>
        </w:rPr>
        <w:t>ставом. В состав корней одуванчика входят эссенциальные и мин</w:t>
      </w:r>
      <w:r w:rsidRPr="00281602">
        <w:rPr>
          <w:rFonts w:eastAsia="Calibri"/>
          <w:sz w:val="22"/>
          <w:szCs w:val="22"/>
          <w:lang w:eastAsia="en-US"/>
        </w:rPr>
        <w:t>е</w:t>
      </w:r>
      <w:r w:rsidRPr="00281602">
        <w:rPr>
          <w:rFonts w:eastAsia="Calibri"/>
          <w:sz w:val="22"/>
          <w:szCs w:val="22"/>
          <w:lang w:eastAsia="en-US"/>
        </w:rPr>
        <w:t>ральные вещества, такие как каротин, гликозиды, флавоноиды, кальций, калий, железо, фосфор, магний, медь, селен, цинк, вит</w:t>
      </w:r>
      <w:r w:rsidRPr="00281602">
        <w:rPr>
          <w:rFonts w:eastAsia="Calibri"/>
          <w:sz w:val="22"/>
          <w:szCs w:val="22"/>
          <w:lang w:eastAsia="en-US"/>
        </w:rPr>
        <w:t>а</w:t>
      </w:r>
      <w:r w:rsidRPr="00281602">
        <w:rPr>
          <w:rFonts w:eastAsia="Calibri"/>
          <w:sz w:val="22"/>
          <w:szCs w:val="22"/>
          <w:lang w:eastAsia="en-US"/>
        </w:rPr>
        <w:t>мины А, С, Е, В, полисахариды, инулин, холин, сахароза, органич</w:t>
      </w:r>
      <w:r w:rsidRPr="00281602">
        <w:rPr>
          <w:rFonts w:eastAsia="Calibri"/>
          <w:sz w:val="22"/>
          <w:szCs w:val="22"/>
          <w:lang w:eastAsia="en-US"/>
        </w:rPr>
        <w:t>е</w:t>
      </w:r>
      <w:r w:rsidRPr="00281602">
        <w:rPr>
          <w:rFonts w:eastAsia="Calibri"/>
          <w:sz w:val="22"/>
          <w:szCs w:val="22"/>
          <w:lang w:eastAsia="en-US"/>
        </w:rPr>
        <w:t>ские кислоты. По содержанию белка корни одуванчика могут ко</w:t>
      </w:r>
      <w:r w:rsidRPr="00281602">
        <w:rPr>
          <w:rFonts w:eastAsia="Calibri"/>
          <w:sz w:val="22"/>
          <w:szCs w:val="22"/>
          <w:lang w:eastAsia="en-US"/>
        </w:rPr>
        <w:t>н</w:t>
      </w:r>
      <w:r w:rsidRPr="00281602">
        <w:rPr>
          <w:rFonts w:eastAsia="Calibri"/>
          <w:sz w:val="22"/>
          <w:szCs w:val="22"/>
          <w:lang w:eastAsia="en-US"/>
        </w:rPr>
        <w:t>курировать с пшеницей, рожью, овсом и другими злаковыми кул</w:t>
      </w:r>
      <w:r w:rsidRPr="00281602">
        <w:rPr>
          <w:rFonts w:eastAsia="Calibri"/>
          <w:sz w:val="22"/>
          <w:szCs w:val="22"/>
          <w:lang w:eastAsia="en-US"/>
        </w:rPr>
        <w:t>ь</w:t>
      </w:r>
      <w:r w:rsidRPr="00281602">
        <w:rPr>
          <w:rFonts w:eastAsia="Calibri"/>
          <w:sz w:val="22"/>
          <w:szCs w:val="22"/>
          <w:lang w:eastAsia="en-US"/>
        </w:rPr>
        <w:t>турами.</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Важно отметить пользу корня одуванчика при сахарном диаб</w:t>
      </w:r>
      <w:r w:rsidRPr="00281602">
        <w:rPr>
          <w:rFonts w:eastAsia="Calibri"/>
          <w:sz w:val="22"/>
          <w:szCs w:val="22"/>
          <w:lang w:eastAsia="en-US"/>
        </w:rPr>
        <w:t>е</w:t>
      </w:r>
      <w:r w:rsidRPr="00281602">
        <w:rPr>
          <w:rFonts w:eastAsia="Calibri"/>
          <w:sz w:val="22"/>
          <w:szCs w:val="22"/>
          <w:lang w:eastAsia="en-US"/>
        </w:rPr>
        <w:t>те, поскольку в своем составе он содержит инулин, который являе</w:t>
      </w:r>
      <w:r w:rsidRPr="00281602">
        <w:rPr>
          <w:rFonts w:eastAsia="Calibri"/>
          <w:sz w:val="22"/>
          <w:szCs w:val="22"/>
          <w:lang w:eastAsia="en-US"/>
        </w:rPr>
        <w:t>т</w:t>
      </w:r>
      <w:r w:rsidRPr="00281602">
        <w:rPr>
          <w:rFonts w:eastAsia="Calibri"/>
          <w:sz w:val="22"/>
          <w:szCs w:val="22"/>
          <w:lang w:eastAsia="en-US"/>
        </w:rPr>
        <w:t xml:space="preserve">ся натуральным полисахаридом. Инулин снижает концентрацию </w:t>
      </w:r>
      <w:r w:rsidRPr="00281602">
        <w:rPr>
          <w:rFonts w:eastAsia="Calibri"/>
          <w:sz w:val="22"/>
          <w:szCs w:val="22"/>
          <w:lang w:eastAsia="en-US"/>
        </w:rPr>
        <w:lastRenderedPageBreak/>
        <w:t>сахара в крови больного человека, обеспечивая при этом общ</w:t>
      </w:r>
      <w:r w:rsidRPr="00281602">
        <w:rPr>
          <w:rFonts w:eastAsia="Calibri"/>
          <w:sz w:val="22"/>
          <w:szCs w:val="22"/>
          <w:lang w:eastAsia="en-US"/>
        </w:rPr>
        <w:t>е</w:t>
      </w:r>
      <w:r w:rsidRPr="00281602">
        <w:rPr>
          <w:rFonts w:eastAsia="Calibri"/>
          <w:sz w:val="22"/>
          <w:szCs w:val="22"/>
          <w:lang w:eastAsia="en-US"/>
        </w:rPr>
        <w:t>укрепляющий и антитоксический эффект. Благодаря своим сво</w:t>
      </w:r>
      <w:r w:rsidRPr="00281602">
        <w:rPr>
          <w:rFonts w:eastAsia="Calibri"/>
          <w:sz w:val="22"/>
          <w:szCs w:val="22"/>
          <w:lang w:eastAsia="en-US"/>
        </w:rPr>
        <w:t>й</w:t>
      </w:r>
      <w:r w:rsidRPr="00281602">
        <w:rPr>
          <w:rFonts w:eastAsia="Calibri"/>
          <w:sz w:val="22"/>
          <w:szCs w:val="22"/>
          <w:lang w:eastAsia="en-US"/>
        </w:rPr>
        <w:t>ствам, корни одуванчика используются как биологическая добавка для диабетиков [].</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Корень лопуха в своем составе содержит инулин до 50%, что способствует поддержанию достаточного количества лейкоцитов в крови и улучшению обмена веществ. В составе корня лопуха им</w:t>
      </w:r>
      <w:r w:rsidRPr="00281602">
        <w:rPr>
          <w:rFonts w:eastAsia="Calibri"/>
          <w:sz w:val="22"/>
          <w:szCs w:val="22"/>
          <w:lang w:eastAsia="en-US"/>
        </w:rPr>
        <w:t>е</w:t>
      </w:r>
      <w:r w:rsidRPr="00281602">
        <w:rPr>
          <w:rFonts w:eastAsia="Calibri"/>
          <w:sz w:val="22"/>
          <w:szCs w:val="22"/>
          <w:lang w:eastAsia="en-US"/>
        </w:rPr>
        <w:t>ются витамины А, В, Р, С, Е, селен, марганца, цинк, калий, железо, хром, магний, жирные кислоты, алкалоиды, дубильные вещества, эфирные масла, протеин, флавоноиды и другие биологически а</w:t>
      </w:r>
      <w:r w:rsidRPr="00281602">
        <w:rPr>
          <w:rFonts w:eastAsia="Calibri"/>
          <w:sz w:val="22"/>
          <w:szCs w:val="22"/>
          <w:lang w:eastAsia="en-US"/>
        </w:rPr>
        <w:t>к</w:t>
      </w:r>
      <w:r w:rsidRPr="00281602">
        <w:rPr>
          <w:rFonts w:eastAsia="Calibri"/>
          <w:sz w:val="22"/>
          <w:szCs w:val="22"/>
          <w:lang w:eastAsia="en-US"/>
        </w:rPr>
        <w:t>тивные соединения [].</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Корень цикория поставщик углеводов и белка. В сыром виде корень содержит до 11%, а в высушенном – до 40% полисахарида инулина, используемого в пищевой промышленности в качестве натурального сахарозаменителя и являющегося эффективным пр</w:t>
      </w:r>
      <w:r w:rsidRPr="00281602">
        <w:rPr>
          <w:rFonts w:eastAsia="Calibri"/>
          <w:sz w:val="22"/>
          <w:szCs w:val="22"/>
          <w:lang w:eastAsia="en-US"/>
        </w:rPr>
        <w:t>о</w:t>
      </w:r>
      <w:r w:rsidRPr="00281602">
        <w:rPr>
          <w:rFonts w:eastAsia="Calibri"/>
          <w:sz w:val="22"/>
          <w:szCs w:val="22"/>
          <w:lang w:eastAsia="en-US"/>
        </w:rPr>
        <w:t xml:space="preserve">биотиком. Также содержатся витамины С, А, К, Е, РР, группы В; микроэлементы </w:t>
      </w:r>
      <w:r w:rsidRPr="00281602">
        <w:rPr>
          <w:rFonts w:eastAsia="Calibri"/>
          <w:sz w:val="22"/>
          <w:szCs w:val="22"/>
          <w:lang w:val="en-US" w:eastAsia="en-US"/>
        </w:rPr>
        <w:t>Zn</w:t>
      </w:r>
      <w:r w:rsidRPr="00281602">
        <w:rPr>
          <w:rFonts w:eastAsia="Calibri"/>
          <w:sz w:val="22"/>
          <w:szCs w:val="22"/>
          <w:lang w:eastAsia="en-US"/>
        </w:rPr>
        <w:t xml:space="preserve">, </w:t>
      </w:r>
      <w:r w:rsidRPr="00281602">
        <w:rPr>
          <w:rFonts w:eastAsia="Calibri"/>
          <w:sz w:val="22"/>
          <w:szCs w:val="22"/>
          <w:lang w:val="en-US" w:eastAsia="en-US"/>
        </w:rPr>
        <w:t>P</w:t>
      </w:r>
      <w:r w:rsidRPr="00281602">
        <w:rPr>
          <w:rFonts w:eastAsia="Calibri"/>
          <w:sz w:val="22"/>
          <w:szCs w:val="22"/>
          <w:lang w:eastAsia="en-US"/>
        </w:rPr>
        <w:t xml:space="preserve">, </w:t>
      </w:r>
      <w:r w:rsidRPr="00281602">
        <w:rPr>
          <w:rFonts w:eastAsia="Calibri"/>
          <w:sz w:val="22"/>
          <w:szCs w:val="22"/>
          <w:lang w:val="en-US" w:eastAsia="en-US"/>
        </w:rPr>
        <w:t>Ca</w:t>
      </w:r>
      <w:r w:rsidRPr="00281602">
        <w:rPr>
          <w:rFonts w:eastAsia="Calibri"/>
          <w:sz w:val="22"/>
          <w:szCs w:val="22"/>
          <w:lang w:eastAsia="en-US"/>
        </w:rPr>
        <w:t xml:space="preserve">, </w:t>
      </w:r>
      <w:r w:rsidRPr="00281602">
        <w:rPr>
          <w:rFonts w:eastAsia="Calibri"/>
          <w:sz w:val="22"/>
          <w:szCs w:val="22"/>
          <w:lang w:val="en-US" w:eastAsia="en-US"/>
        </w:rPr>
        <w:t>Na</w:t>
      </w:r>
      <w:r w:rsidRPr="00281602">
        <w:rPr>
          <w:rFonts w:eastAsia="Calibri"/>
          <w:sz w:val="22"/>
          <w:szCs w:val="22"/>
          <w:lang w:eastAsia="en-US"/>
        </w:rPr>
        <w:t xml:space="preserve">, </w:t>
      </w:r>
      <w:r w:rsidRPr="00281602">
        <w:rPr>
          <w:rFonts w:eastAsia="Calibri"/>
          <w:sz w:val="22"/>
          <w:szCs w:val="22"/>
          <w:lang w:val="en-US" w:eastAsia="en-US"/>
        </w:rPr>
        <w:t>Mg</w:t>
      </w:r>
      <w:r w:rsidRPr="00281602">
        <w:rPr>
          <w:rFonts w:eastAsia="Calibri"/>
          <w:sz w:val="22"/>
          <w:szCs w:val="22"/>
          <w:lang w:eastAsia="en-US"/>
        </w:rPr>
        <w:t xml:space="preserve">, </w:t>
      </w:r>
      <w:r w:rsidRPr="00281602">
        <w:rPr>
          <w:rFonts w:eastAsia="Calibri"/>
          <w:sz w:val="22"/>
          <w:szCs w:val="22"/>
          <w:lang w:val="en-US" w:eastAsia="en-US"/>
        </w:rPr>
        <w:t>K</w:t>
      </w:r>
      <w:r w:rsidRPr="00281602">
        <w:rPr>
          <w:rFonts w:eastAsia="Calibri"/>
          <w:sz w:val="22"/>
          <w:szCs w:val="22"/>
          <w:lang w:eastAsia="en-US"/>
        </w:rPr>
        <w:t xml:space="preserve">, </w:t>
      </w:r>
      <w:r w:rsidRPr="00281602">
        <w:rPr>
          <w:rFonts w:eastAsia="Calibri"/>
          <w:sz w:val="22"/>
          <w:szCs w:val="22"/>
          <w:lang w:val="en-US" w:eastAsia="en-US"/>
        </w:rPr>
        <w:t>Fe</w:t>
      </w:r>
      <w:r w:rsidRPr="00281602">
        <w:rPr>
          <w:rFonts w:eastAsia="Calibri"/>
          <w:sz w:val="22"/>
          <w:szCs w:val="22"/>
          <w:lang w:eastAsia="en-US"/>
        </w:rPr>
        <w:t xml:space="preserve"> и др. Помимо инулина и микроэлементов корень цикория богат дубильными веществами, смолами, фенолами, органическими кислотами, кумаринами и пе</w:t>
      </w:r>
      <w:r w:rsidRPr="00281602">
        <w:rPr>
          <w:rFonts w:eastAsia="Calibri"/>
          <w:sz w:val="22"/>
          <w:szCs w:val="22"/>
          <w:lang w:eastAsia="en-US"/>
        </w:rPr>
        <w:t>к</w:t>
      </w:r>
      <w:r w:rsidRPr="00281602">
        <w:rPr>
          <w:rFonts w:eastAsia="Calibri"/>
          <w:sz w:val="22"/>
          <w:szCs w:val="22"/>
          <w:lang w:eastAsia="en-US"/>
        </w:rPr>
        <w:t>тином.</w:t>
      </w:r>
    </w:p>
    <w:p w:rsidR="00281602" w:rsidRPr="00281602" w:rsidRDefault="00281602" w:rsidP="00541645">
      <w:pPr>
        <w:ind w:firstLine="425"/>
        <w:jc w:val="both"/>
        <w:rPr>
          <w:rFonts w:eastAsia="Calibri"/>
          <w:sz w:val="22"/>
          <w:szCs w:val="22"/>
          <w:lang w:eastAsia="en-US"/>
        </w:rPr>
      </w:pPr>
      <w:r w:rsidRPr="00281602">
        <w:rPr>
          <w:rFonts w:eastAsia="Calibri"/>
          <w:sz w:val="22"/>
          <w:szCs w:val="22"/>
          <w:lang w:eastAsia="en-US"/>
        </w:rPr>
        <w:t>На кафедре технологии хранения и переработки растениево</w:t>
      </w:r>
      <w:r w:rsidRPr="00281602">
        <w:rPr>
          <w:rFonts w:eastAsia="Calibri"/>
          <w:sz w:val="22"/>
          <w:szCs w:val="22"/>
          <w:lang w:eastAsia="en-US"/>
        </w:rPr>
        <w:t>д</w:t>
      </w:r>
      <w:r w:rsidRPr="00281602">
        <w:rPr>
          <w:rFonts w:eastAsia="Calibri"/>
          <w:sz w:val="22"/>
          <w:szCs w:val="22"/>
          <w:lang w:eastAsia="en-US"/>
        </w:rPr>
        <w:t>ческой продукции Кубанского ГАУ, ведутся исследования по ра</w:t>
      </w:r>
      <w:r w:rsidRPr="00281602">
        <w:rPr>
          <w:rFonts w:eastAsia="Calibri"/>
          <w:sz w:val="22"/>
          <w:szCs w:val="22"/>
          <w:lang w:eastAsia="en-US"/>
        </w:rPr>
        <w:t>з</w:t>
      </w:r>
      <w:r w:rsidRPr="00281602">
        <w:rPr>
          <w:rFonts w:eastAsia="Calibri"/>
          <w:sz w:val="22"/>
          <w:szCs w:val="22"/>
          <w:lang w:eastAsia="en-US"/>
        </w:rPr>
        <w:t>работке продуктов, рекомендуемых к употреблению при сахарном диабете, для снижения уровня сахара в крови и дополнительной в</w:t>
      </w:r>
      <w:r w:rsidRPr="00281602">
        <w:rPr>
          <w:rFonts w:eastAsia="Calibri"/>
          <w:sz w:val="22"/>
          <w:szCs w:val="22"/>
          <w:lang w:eastAsia="en-US"/>
        </w:rPr>
        <w:t>и</w:t>
      </w:r>
      <w:r w:rsidRPr="00281602">
        <w:rPr>
          <w:rFonts w:eastAsia="Calibri"/>
          <w:sz w:val="22"/>
          <w:szCs w:val="22"/>
          <w:lang w:eastAsia="en-US"/>
        </w:rPr>
        <w:t>таминизации. Внесение в продукты питания корней лопуха, од</w:t>
      </w:r>
      <w:r w:rsidRPr="00281602">
        <w:rPr>
          <w:rFonts w:eastAsia="Calibri"/>
          <w:sz w:val="22"/>
          <w:szCs w:val="22"/>
          <w:lang w:eastAsia="en-US"/>
        </w:rPr>
        <w:t>у</w:t>
      </w:r>
      <w:r w:rsidRPr="00281602">
        <w:rPr>
          <w:rFonts w:eastAsia="Calibri"/>
          <w:sz w:val="22"/>
          <w:szCs w:val="22"/>
          <w:lang w:eastAsia="en-US"/>
        </w:rPr>
        <w:t>ванчика и цикория позволит нормализовать обменные процессы в организме, способствует очистке его от разнообразных токсинов, снизить уровень холестерина в крови и повысить иммунитет.</w:t>
      </w:r>
    </w:p>
    <w:p w:rsidR="00281602" w:rsidRPr="00281602" w:rsidRDefault="00281602" w:rsidP="00541645">
      <w:pPr>
        <w:ind w:firstLine="425"/>
        <w:jc w:val="center"/>
        <w:rPr>
          <w:rFonts w:eastAsia="Calibri"/>
          <w:sz w:val="22"/>
          <w:szCs w:val="22"/>
          <w:lang w:eastAsia="en-US"/>
        </w:rPr>
      </w:pPr>
    </w:p>
    <w:p w:rsidR="00281602" w:rsidRPr="00281602" w:rsidRDefault="00541645" w:rsidP="00541645">
      <w:pPr>
        <w:ind w:firstLine="425"/>
        <w:jc w:val="center"/>
        <w:rPr>
          <w:rFonts w:eastAsia="Calibri"/>
          <w:sz w:val="22"/>
          <w:szCs w:val="22"/>
          <w:lang w:eastAsia="en-US"/>
        </w:rPr>
      </w:pPr>
      <w:r>
        <w:rPr>
          <w:rFonts w:eastAsia="Calibri"/>
          <w:sz w:val="22"/>
          <w:szCs w:val="22"/>
          <w:lang w:eastAsia="en-US"/>
        </w:rPr>
        <w:t>Список литературы</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t>Ольховатов Е.А. Технология функциональных напитков на основе пектинового экстракта из створок бобов сои / Е.А. Ольхов</w:t>
      </w:r>
      <w:r w:rsidRPr="00281602">
        <w:rPr>
          <w:rFonts w:eastAsia="Calibri"/>
          <w:sz w:val="22"/>
          <w:szCs w:val="22"/>
          <w:lang w:eastAsia="en-US"/>
        </w:rPr>
        <w:t>а</w:t>
      </w:r>
      <w:r w:rsidRPr="00281602">
        <w:rPr>
          <w:rFonts w:eastAsia="Calibri"/>
          <w:sz w:val="22"/>
          <w:szCs w:val="22"/>
          <w:lang w:eastAsia="en-US"/>
        </w:rPr>
        <w:t>тов, Л.Я. Родионова, М.М. Пивень // Современные технологии и управление : сборник научных трудов III Международной научно–практической конференции. – Светлый Яр, 2014. – С. 292–295.</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t>Родионова Л.Я. Практикум по методологии науки о пище. Родионова Л.Я., Санжаровская Н.С., Ольховатов Е.А., Храпко О.П. Учебно-методическое пособие / Ай Пи Эр Медиа. Саратов, 2018.</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lastRenderedPageBreak/>
        <w:t>Соколов С.Я., Замотаев И.П. Справочник по лекарственным растениям. –М.: Медицина, 1985. – 464 с.</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t>Храпко О.П. Разработка технологий и рецептур хлебоб</w:t>
      </w:r>
      <w:r w:rsidRPr="00281602">
        <w:rPr>
          <w:rFonts w:eastAsia="Calibri"/>
          <w:sz w:val="22"/>
          <w:szCs w:val="22"/>
          <w:lang w:eastAsia="en-US"/>
        </w:rPr>
        <w:t>у</w:t>
      </w:r>
      <w:r w:rsidRPr="00281602">
        <w:rPr>
          <w:rFonts w:eastAsia="Calibri"/>
          <w:sz w:val="22"/>
          <w:szCs w:val="22"/>
          <w:lang w:eastAsia="en-US"/>
        </w:rPr>
        <w:t>лочных изделий функционального назначения с использованием нетрадиционного растительного сырья Краснодарского края: авт</w:t>
      </w:r>
      <w:r w:rsidRPr="00281602">
        <w:rPr>
          <w:rFonts w:eastAsia="Calibri"/>
          <w:sz w:val="22"/>
          <w:szCs w:val="22"/>
          <w:lang w:eastAsia="en-US"/>
        </w:rPr>
        <w:t>о</w:t>
      </w:r>
      <w:r w:rsidRPr="00281602">
        <w:rPr>
          <w:rFonts w:eastAsia="Calibri"/>
          <w:sz w:val="22"/>
          <w:szCs w:val="22"/>
          <w:lang w:eastAsia="en-US"/>
        </w:rPr>
        <w:t>реф. дисс. на соискание ученой степени канд. техн. наук: 05.18.01. – Краснодар, 2012. – 25 с.</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t>Храпко О.П. Разработка технологий и рецептур хлебоб</w:t>
      </w:r>
      <w:r w:rsidRPr="00281602">
        <w:rPr>
          <w:rFonts w:eastAsia="Calibri"/>
          <w:sz w:val="22"/>
          <w:szCs w:val="22"/>
          <w:lang w:eastAsia="en-US"/>
        </w:rPr>
        <w:t>у</w:t>
      </w:r>
      <w:r w:rsidRPr="00281602">
        <w:rPr>
          <w:rFonts w:eastAsia="Calibri"/>
          <w:sz w:val="22"/>
          <w:szCs w:val="22"/>
          <w:lang w:eastAsia="en-US"/>
        </w:rPr>
        <w:t>лочных изделий функционального назначения с использованием нетрадиционного растительного сырья Краснодарского края: дис.…канд. техн. наук: 05.18.01:защищена 15.11.2012: утв. 11.03.2013. – М., 2012. – 184 с.</w:t>
      </w:r>
    </w:p>
    <w:p w:rsidR="00281602" w:rsidRPr="00281602" w:rsidRDefault="00281602" w:rsidP="00541645">
      <w:pPr>
        <w:numPr>
          <w:ilvl w:val="0"/>
          <w:numId w:val="31"/>
        </w:numPr>
        <w:ind w:left="0" w:firstLine="425"/>
        <w:contextualSpacing/>
        <w:jc w:val="both"/>
        <w:rPr>
          <w:rFonts w:eastAsia="Calibri"/>
          <w:sz w:val="22"/>
          <w:szCs w:val="22"/>
          <w:lang w:eastAsia="en-US"/>
        </w:rPr>
      </w:pPr>
      <w:r w:rsidRPr="00281602">
        <w:rPr>
          <w:rFonts w:eastAsia="Calibri"/>
          <w:sz w:val="22"/>
          <w:szCs w:val="22"/>
          <w:lang w:eastAsia="en-US"/>
        </w:rPr>
        <w:t>Храпко О.П. Использование фитодобавок для обогащения хлеба пектиновыми веществами / Храпко О.П., Сокол Н.В.// Сбо</w:t>
      </w:r>
      <w:r w:rsidRPr="00281602">
        <w:rPr>
          <w:rFonts w:eastAsia="Calibri"/>
          <w:sz w:val="22"/>
          <w:szCs w:val="22"/>
          <w:lang w:eastAsia="en-US"/>
        </w:rPr>
        <w:t>р</w:t>
      </w:r>
      <w:r w:rsidRPr="00281602">
        <w:rPr>
          <w:rFonts w:eastAsia="Calibri"/>
          <w:sz w:val="22"/>
          <w:szCs w:val="22"/>
          <w:lang w:eastAsia="en-US"/>
        </w:rPr>
        <w:t>ник: Пища. Экология. Качество труды XIV международная научно-практическая конференция. 2017. С. 325-329.</w:t>
      </w:r>
    </w:p>
    <w:p w:rsidR="00281602" w:rsidRPr="00281602" w:rsidRDefault="00281602" w:rsidP="00281602">
      <w:pPr>
        <w:jc w:val="both"/>
        <w:rPr>
          <w:rFonts w:eastAsia="Calibri"/>
          <w:sz w:val="22"/>
          <w:szCs w:val="22"/>
          <w:lang w:eastAsia="en-US"/>
        </w:rPr>
      </w:pPr>
    </w:p>
    <w:p w:rsidR="00541645" w:rsidRPr="00281602" w:rsidRDefault="00541645" w:rsidP="00281602">
      <w:pPr>
        <w:jc w:val="both"/>
        <w:rPr>
          <w:rFonts w:eastAsia="Calibri"/>
          <w:sz w:val="22"/>
          <w:szCs w:val="22"/>
          <w:lang w:eastAsia="en-US"/>
        </w:rPr>
      </w:pPr>
    </w:p>
    <w:p w:rsidR="00281602" w:rsidRDefault="00281602" w:rsidP="00281602">
      <w:pPr>
        <w:jc w:val="both"/>
        <w:rPr>
          <w:color w:val="000000"/>
          <w:sz w:val="22"/>
          <w:szCs w:val="22"/>
        </w:rPr>
      </w:pPr>
      <w:r w:rsidRPr="00281602">
        <w:rPr>
          <w:sz w:val="22"/>
          <w:szCs w:val="22"/>
        </w:rPr>
        <w:t>УДК</w:t>
      </w:r>
      <w:r w:rsidR="00541645">
        <w:rPr>
          <w:sz w:val="22"/>
          <w:szCs w:val="22"/>
        </w:rPr>
        <w:t xml:space="preserve"> </w:t>
      </w:r>
      <w:r w:rsidRPr="00281602">
        <w:rPr>
          <w:color w:val="000000"/>
          <w:sz w:val="22"/>
          <w:szCs w:val="22"/>
        </w:rPr>
        <w:t>664:292</w:t>
      </w:r>
    </w:p>
    <w:p w:rsidR="00541645" w:rsidRPr="00281602" w:rsidRDefault="00541645" w:rsidP="00281602">
      <w:pPr>
        <w:jc w:val="both"/>
        <w:rPr>
          <w:sz w:val="22"/>
          <w:szCs w:val="22"/>
        </w:rPr>
      </w:pPr>
    </w:p>
    <w:p w:rsidR="00281602" w:rsidRPr="00281602" w:rsidRDefault="00281602" w:rsidP="00281602">
      <w:pPr>
        <w:jc w:val="center"/>
        <w:rPr>
          <w:b/>
          <w:sz w:val="24"/>
          <w:szCs w:val="24"/>
        </w:rPr>
      </w:pPr>
      <w:r w:rsidRPr="00281602">
        <w:rPr>
          <w:b/>
          <w:sz w:val="24"/>
          <w:szCs w:val="24"/>
        </w:rPr>
        <w:t xml:space="preserve">Пектиновые вещества лекарственного сырья как </w:t>
      </w:r>
    </w:p>
    <w:p w:rsidR="00281602" w:rsidRPr="00281602" w:rsidRDefault="00281602" w:rsidP="00281602">
      <w:pPr>
        <w:jc w:val="center"/>
        <w:rPr>
          <w:b/>
          <w:sz w:val="24"/>
          <w:szCs w:val="24"/>
        </w:rPr>
      </w:pPr>
      <w:r w:rsidRPr="00281602">
        <w:rPr>
          <w:b/>
          <w:sz w:val="24"/>
          <w:szCs w:val="24"/>
        </w:rPr>
        <w:t xml:space="preserve">иммуномодулирующий компонент </w:t>
      </w:r>
    </w:p>
    <w:p w:rsidR="00281602" w:rsidRPr="00281602" w:rsidRDefault="00281602" w:rsidP="00281602">
      <w:pPr>
        <w:jc w:val="center"/>
        <w:rPr>
          <w:b/>
          <w:sz w:val="24"/>
          <w:szCs w:val="24"/>
        </w:rPr>
      </w:pPr>
      <w:r w:rsidRPr="00281602">
        <w:rPr>
          <w:b/>
          <w:sz w:val="24"/>
          <w:szCs w:val="24"/>
        </w:rPr>
        <w:t>функциональных напитков</w:t>
      </w:r>
    </w:p>
    <w:p w:rsidR="00281602" w:rsidRPr="001755C3" w:rsidRDefault="00281602" w:rsidP="00281602">
      <w:pPr>
        <w:jc w:val="center"/>
        <w:rPr>
          <w:b/>
          <w:sz w:val="24"/>
          <w:szCs w:val="24"/>
          <w:lang w:val="en-US"/>
        </w:rPr>
      </w:pPr>
      <w:r w:rsidRPr="00281602">
        <w:rPr>
          <w:b/>
          <w:sz w:val="24"/>
          <w:szCs w:val="24"/>
          <w:lang w:val="en-US"/>
        </w:rPr>
        <w:t>Pectin</w:t>
      </w:r>
      <w:r w:rsidRPr="001755C3">
        <w:rPr>
          <w:b/>
          <w:sz w:val="24"/>
          <w:szCs w:val="24"/>
          <w:lang w:val="en-US"/>
        </w:rPr>
        <w:t xml:space="preserve"> </w:t>
      </w:r>
      <w:r w:rsidRPr="00281602">
        <w:rPr>
          <w:b/>
          <w:sz w:val="24"/>
          <w:szCs w:val="24"/>
          <w:lang w:val="en-US"/>
        </w:rPr>
        <w:t>substances</w:t>
      </w:r>
      <w:r w:rsidRPr="001755C3">
        <w:rPr>
          <w:b/>
          <w:sz w:val="24"/>
          <w:szCs w:val="24"/>
          <w:lang w:val="en-US"/>
        </w:rPr>
        <w:t xml:space="preserve"> </w:t>
      </w:r>
      <w:r w:rsidRPr="00281602">
        <w:rPr>
          <w:b/>
          <w:sz w:val="24"/>
          <w:szCs w:val="24"/>
          <w:lang w:val="en-US"/>
        </w:rPr>
        <w:t>of</w:t>
      </w:r>
      <w:r w:rsidRPr="001755C3">
        <w:rPr>
          <w:b/>
          <w:sz w:val="24"/>
          <w:szCs w:val="24"/>
          <w:lang w:val="en-US"/>
        </w:rPr>
        <w:t xml:space="preserve"> </w:t>
      </w:r>
      <w:r w:rsidRPr="00281602">
        <w:rPr>
          <w:b/>
          <w:sz w:val="24"/>
          <w:szCs w:val="24"/>
          <w:lang w:val="en-US"/>
        </w:rPr>
        <w:t>medicinal</w:t>
      </w:r>
      <w:r w:rsidRPr="001755C3">
        <w:rPr>
          <w:b/>
          <w:sz w:val="24"/>
          <w:szCs w:val="24"/>
          <w:lang w:val="en-US"/>
        </w:rPr>
        <w:t xml:space="preserve"> </w:t>
      </w:r>
      <w:r w:rsidRPr="00281602">
        <w:rPr>
          <w:b/>
          <w:sz w:val="24"/>
          <w:szCs w:val="24"/>
          <w:lang w:val="en-US"/>
        </w:rPr>
        <w:t>raw</w:t>
      </w:r>
      <w:r w:rsidRPr="001755C3">
        <w:rPr>
          <w:b/>
          <w:sz w:val="24"/>
          <w:szCs w:val="24"/>
          <w:lang w:val="en-US"/>
        </w:rPr>
        <w:t xml:space="preserve"> </w:t>
      </w:r>
      <w:r w:rsidRPr="00281602">
        <w:rPr>
          <w:b/>
          <w:sz w:val="24"/>
          <w:szCs w:val="24"/>
          <w:lang w:val="en-US"/>
        </w:rPr>
        <w:t>materials</w:t>
      </w:r>
      <w:r w:rsidRPr="001755C3">
        <w:rPr>
          <w:b/>
          <w:sz w:val="24"/>
          <w:szCs w:val="24"/>
          <w:lang w:val="en-US"/>
        </w:rPr>
        <w:t xml:space="preserve"> </w:t>
      </w:r>
      <w:r w:rsidRPr="00281602">
        <w:rPr>
          <w:b/>
          <w:sz w:val="24"/>
          <w:szCs w:val="24"/>
          <w:lang w:val="en-US"/>
        </w:rPr>
        <w:t>as</w:t>
      </w:r>
      <w:r w:rsidRPr="001755C3">
        <w:rPr>
          <w:b/>
          <w:sz w:val="24"/>
          <w:szCs w:val="24"/>
          <w:lang w:val="en-US"/>
        </w:rPr>
        <w:t xml:space="preserve"> </w:t>
      </w:r>
      <w:r w:rsidR="00541645" w:rsidRPr="001755C3">
        <w:rPr>
          <w:b/>
          <w:sz w:val="24"/>
          <w:szCs w:val="24"/>
          <w:lang w:val="en-US"/>
        </w:rPr>
        <w:br/>
      </w:r>
      <w:r w:rsidRPr="00281602">
        <w:rPr>
          <w:b/>
          <w:sz w:val="24"/>
          <w:szCs w:val="24"/>
          <w:lang w:val="en-US"/>
        </w:rPr>
        <w:t>immunomodulating</w:t>
      </w:r>
      <w:r w:rsidRPr="001755C3">
        <w:rPr>
          <w:b/>
          <w:sz w:val="24"/>
          <w:szCs w:val="24"/>
          <w:lang w:val="en-US"/>
        </w:rPr>
        <w:t xml:space="preserve"> </w:t>
      </w:r>
      <w:r w:rsidRPr="00281602">
        <w:rPr>
          <w:b/>
          <w:sz w:val="24"/>
          <w:szCs w:val="24"/>
          <w:lang w:val="en-US"/>
        </w:rPr>
        <w:t>component</w:t>
      </w:r>
      <w:r w:rsidRPr="001755C3">
        <w:rPr>
          <w:b/>
          <w:sz w:val="24"/>
          <w:szCs w:val="24"/>
          <w:lang w:val="en-US"/>
        </w:rPr>
        <w:t xml:space="preserve"> </w:t>
      </w:r>
      <w:r w:rsidRPr="00281602">
        <w:rPr>
          <w:b/>
          <w:sz w:val="24"/>
          <w:szCs w:val="24"/>
          <w:lang w:val="en-US"/>
        </w:rPr>
        <w:t>of</w:t>
      </w:r>
      <w:r w:rsidRPr="001755C3">
        <w:rPr>
          <w:b/>
          <w:sz w:val="24"/>
          <w:szCs w:val="24"/>
          <w:lang w:val="en-US"/>
        </w:rPr>
        <w:t xml:space="preserve"> </w:t>
      </w:r>
      <w:r w:rsidRPr="00281602">
        <w:rPr>
          <w:b/>
          <w:sz w:val="24"/>
          <w:szCs w:val="24"/>
          <w:lang w:val="en-US"/>
        </w:rPr>
        <w:t>functional</w:t>
      </w:r>
      <w:r w:rsidRPr="001755C3">
        <w:rPr>
          <w:b/>
          <w:sz w:val="24"/>
          <w:szCs w:val="24"/>
          <w:lang w:val="en-US"/>
        </w:rPr>
        <w:t xml:space="preserve"> </w:t>
      </w:r>
      <w:r w:rsidRPr="00281602">
        <w:rPr>
          <w:b/>
          <w:sz w:val="24"/>
          <w:szCs w:val="24"/>
          <w:lang w:val="en-US"/>
        </w:rPr>
        <w:t>drinks</w:t>
      </w:r>
    </w:p>
    <w:p w:rsidR="00281602" w:rsidRPr="001755C3" w:rsidRDefault="00281602" w:rsidP="00281602">
      <w:pPr>
        <w:jc w:val="center"/>
        <w:rPr>
          <w:b/>
          <w:sz w:val="24"/>
          <w:szCs w:val="24"/>
          <w:lang w:val="en-US"/>
        </w:rPr>
      </w:pPr>
    </w:p>
    <w:p w:rsidR="00281602" w:rsidRPr="00281602" w:rsidRDefault="00281602" w:rsidP="00281602">
      <w:pPr>
        <w:jc w:val="right"/>
        <w:rPr>
          <w:sz w:val="22"/>
          <w:szCs w:val="22"/>
        </w:rPr>
      </w:pPr>
      <w:r w:rsidRPr="00281602">
        <w:rPr>
          <w:sz w:val="22"/>
          <w:szCs w:val="22"/>
        </w:rPr>
        <w:t>Тарасова В.</w:t>
      </w:r>
      <w:r w:rsidR="00541645">
        <w:rPr>
          <w:sz w:val="22"/>
          <w:szCs w:val="22"/>
        </w:rPr>
        <w:t xml:space="preserve"> </w:t>
      </w:r>
      <w:r w:rsidRPr="00281602">
        <w:rPr>
          <w:sz w:val="22"/>
          <w:szCs w:val="22"/>
        </w:rPr>
        <w:t>Н.</w:t>
      </w:r>
      <w:r w:rsidR="00541645">
        <w:rPr>
          <w:sz w:val="22"/>
          <w:szCs w:val="22"/>
        </w:rPr>
        <w:t>,</w:t>
      </w:r>
    </w:p>
    <w:p w:rsidR="00281602" w:rsidRPr="00281602" w:rsidRDefault="00281602" w:rsidP="00281602">
      <w:pPr>
        <w:jc w:val="right"/>
        <w:rPr>
          <w:sz w:val="22"/>
          <w:szCs w:val="22"/>
        </w:rPr>
      </w:pPr>
      <w:r w:rsidRPr="00281602">
        <w:rPr>
          <w:sz w:val="22"/>
          <w:szCs w:val="22"/>
        </w:rPr>
        <w:t>м</w:t>
      </w:r>
      <w:r w:rsidR="00541645">
        <w:rPr>
          <w:sz w:val="22"/>
          <w:szCs w:val="22"/>
        </w:rPr>
        <w:t>агистрант 1-го курса факультета</w:t>
      </w:r>
    </w:p>
    <w:p w:rsidR="00281602" w:rsidRPr="00281602" w:rsidRDefault="00281602" w:rsidP="00281602">
      <w:pPr>
        <w:jc w:val="right"/>
        <w:rPr>
          <w:sz w:val="22"/>
          <w:szCs w:val="22"/>
        </w:rPr>
      </w:pPr>
      <w:r w:rsidRPr="00281602">
        <w:rPr>
          <w:sz w:val="22"/>
          <w:szCs w:val="22"/>
        </w:rPr>
        <w:t>перерабатывающих технологий</w:t>
      </w:r>
    </w:p>
    <w:p w:rsidR="00541645" w:rsidRPr="00281602" w:rsidRDefault="00541645" w:rsidP="00B572C5">
      <w:pPr>
        <w:ind w:right="28"/>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541645" w:rsidRPr="00281602" w:rsidRDefault="00541645" w:rsidP="00B572C5">
      <w:pPr>
        <w:ind w:right="28"/>
        <w:jc w:val="right"/>
        <w:rPr>
          <w:rFonts w:eastAsia="Calibri"/>
          <w:sz w:val="22"/>
          <w:szCs w:val="22"/>
          <w:lang w:eastAsia="en-US"/>
        </w:rPr>
      </w:pPr>
      <w:r w:rsidRPr="00281602">
        <w:rPr>
          <w:rFonts w:eastAsia="Calibri"/>
          <w:sz w:val="22"/>
          <w:szCs w:val="22"/>
          <w:lang w:eastAsia="en-US"/>
        </w:rPr>
        <w:t>университет им. И.Т. Трубилина</w:t>
      </w:r>
    </w:p>
    <w:p w:rsidR="00281602" w:rsidRPr="00281602" w:rsidRDefault="00281602" w:rsidP="00281602">
      <w:pPr>
        <w:jc w:val="right"/>
        <w:rPr>
          <w:sz w:val="22"/>
          <w:szCs w:val="22"/>
        </w:rPr>
      </w:pPr>
    </w:p>
    <w:p w:rsidR="00281602" w:rsidRPr="00541645" w:rsidRDefault="00281602" w:rsidP="00541645">
      <w:pPr>
        <w:ind w:firstLine="426"/>
        <w:jc w:val="both"/>
        <w:rPr>
          <w:sz w:val="22"/>
          <w:szCs w:val="22"/>
        </w:rPr>
      </w:pPr>
      <w:r w:rsidRPr="00541645">
        <w:rPr>
          <w:sz w:val="22"/>
          <w:szCs w:val="22"/>
        </w:rPr>
        <w:t>АННОТАЦИЯ: Описано иммуномодулирующее действие пе</w:t>
      </w:r>
      <w:r w:rsidRPr="00541645">
        <w:rPr>
          <w:sz w:val="22"/>
          <w:szCs w:val="22"/>
        </w:rPr>
        <w:t>к</w:t>
      </w:r>
      <w:r w:rsidRPr="00541645">
        <w:rPr>
          <w:sz w:val="22"/>
          <w:szCs w:val="22"/>
        </w:rPr>
        <w:t>тиновых веществ  на организм человека. Обоснована эффекти</w:t>
      </w:r>
      <w:r w:rsidRPr="00541645">
        <w:rPr>
          <w:sz w:val="22"/>
          <w:szCs w:val="22"/>
        </w:rPr>
        <w:t>в</w:t>
      </w:r>
      <w:r w:rsidRPr="00541645">
        <w:rPr>
          <w:sz w:val="22"/>
          <w:szCs w:val="22"/>
        </w:rPr>
        <w:t>ность использования пектиновых веществ лекарственного сырья как иммуномодулирующего компонента функциональных напи</w:t>
      </w:r>
      <w:r w:rsidRPr="00541645">
        <w:rPr>
          <w:sz w:val="22"/>
          <w:szCs w:val="22"/>
        </w:rPr>
        <w:t>т</w:t>
      </w:r>
      <w:r w:rsidRPr="00541645">
        <w:rPr>
          <w:sz w:val="22"/>
          <w:szCs w:val="22"/>
        </w:rPr>
        <w:t>ков.</w:t>
      </w:r>
    </w:p>
    <w:p w:rsidR="00281602" w:rsidRPr="00541645" w:rsidRDefault="00281602" w:rsidP="00541645">
      <w:pPr>
        <w:ind w:firstLine="426"/>
        <w:jc w:val="both"/>
        <w:rPr>
          <w:sz w:val="22"/>
          <w:szCs w:val="22"/>
          <w:lang w:val="en-US"/>
        </w:rPr>
      </w:pPr>
      <w:r w:rsidRPr="00541645">
        <w:rPr>
          <w:sz w:val="22"/>
          <w:szCs w:val="22"/>
          <w:lang w:val="en-US"/>
        </w:rPr>
        <w:lastRenderedPageBreak/>
        <w:t>ABSTRACT: The immunomodulatory effect of pectin substances on the human body is described. The effectiveness of the use of pectin substances of medicinal raw materials as an immunomodulating comp</w:t>
      </w:r>
      <w:r w:rsidRPr="00541645">
        <w:rPr>
          <w:sz w:val="22"/>
          <w:szCs w:val="22"/>
          <w:lang w:val="en-US"/>
        </w:rPr>
        <w:t>o</w:t>
      </w:r>
      <w:r w:rsidRPr="00541645">
        <w:rPr>
          <w:sz w:val="22"/>
          <w:szCs w:val="22"/>
          <w:lang w:val="en-US"/>
        </w:rPr>
        <w:t>nent of functional drinks is substantiated.</w:t>
      </w:r>
    </w:p>
    <w:p w:rsidR="00281602" w:rsidRPr="00541645" w:rsidRDefault="00281602" w:rsidP="00541645">
      <w:pPr>
        <w:ind w:firstLine="426"/>
        <w:jc w:val="both"/>
        <w:rPr>
          <w:sz w:val="22"/>
          <w:szCs w:val="22"/>
        </w:rPr>
      </w:pPr>
      <w:r w:rsidRPr="00541645">
        <w:rPr>
          <w:sz w:val="22"/>
          <w:szCs w:val="22"/>
        </w:rPr>
        <w:t>КЛЮЧЕВЫЕ СЛОВА: иммунитет, пектин, лекарственное с</w:t>
      </w:r>
      <w:r w:rsidRPr="00541645">
        <w:rPr>
          <w:sz w:val="22"/>
          <w:szCs w:val="22"/>
        </w:rPr>
        <w:t>ы</w:t>
      </w:r>
      <w:r w:rsidRPr="00541645">
        <w:rPr>
          <w:sz w:val="22"/>
          <w:szCs w:val="22"/>
        </w:rPr>
        <w:t>рье, функциональные напитки.</w:t>
      </w:r>
    </w:p>
    <w:p w:rsidR="00281602" w:rsidRPr="00541645" w:rsidRDefault="00281602" w:rsidP="00541645">
      <w:pPr>
        <w:ind w:firstLine="426"/>
        <w:jc w:val="both"/>
        <w:rPr>
          <w:sz w:val="22"/>
          <w:szCs w:val="22"/>
          <w:lang w:val="en-US"/>
        </w:rPr>
      </w:pPr>
      <w:r w:rsidRPr="00541645">
        <w:rPr>
          <w:sz w:val="22"/>
          <w:szCs w:val="22"/>
          <w:lang w:val="en-US"/>
        </w:rPr>
        <w:t>KEYWORDS: immunity, pectin, medicinal raw materials, functio</w:t>
      </w:r>
      <w:r w:rsidRPr="00541645">
        <w:rPr>
          <w:sz w:val="22"/>
          <w:szCs w:val="22"/>
          <w:lang w:val="en-US"/>
        </w:rPr>
        <w:t>n</w:t>
      </w:r>
      <w:r w:rsidRPr="00541645">
        <w:rPr>
          <w:sz w:val="22"/>
          <w:szCs w:val="22"/>
          <w:lang w:val="en-US"/>
        </w:rPr>
        <w:t>al drinks.</w:t>
      </w:r>
    </w:p>
    <w:p w:rsidR="00281602" w:rsidRPr="00541645" w:rsidRDefault="00281602" w:rsidP="00541645">
      <w:pPr>
        <w:ind w:firstLine="426"/>
        <w:jc w:val="both"/>
        <w:rPr>
          <w:sz w:val="22"/>
          <w:szCs w:val="22"/>
          <w:lang w:val="en-US"/>
        </w:rPr>
      </w:pPr>
    </w:p>
    <w:p w:rsidR="00281602" w:rsidRPr="00541645" w:rsidRDefault="00281602" w:rsidP="00541645">
      <w:pPr>
        <w:ind w:firstLine="426"/>
        <w:jc w:val="both"/>
        <w:rPr>
          <w:bCs/>
          <w:sz w:val="22"/>
          <w:szCs w:val="22"/>
        </w:rPr>
      </w:pPr>
      <w:r w:rsidRPr="00541645">
        <w:rPr>
          <w:bCs/>
          <w:sz w:val="22"/>
          <w:szCs w:val="22"/>
        </w:rPr>
        <w:t>Сложно переоценить важность повышения эффективности р</w:t>
      </w:r>
      <w:r w:rsidRPr="00541645">
        <w:rPr>
          <w:bCs/>
          <w:sz w:val="22"/>
          <w:szCs w:val="22"/>
        </w:rPr>
        <w:t>а</w:t>
      </w:r>
      <w:r w:rsidRPr="00541645">
        <w:rPr>
          <w:bCs/>
          <w:sz w:val="22"/>
          <w:szCs w:val="22"/>
        </w:rPr>
        <w:t>боты иммунной системы организма человека в условиях жизни м</w:t>
      </w:r>
      <w:r w:rsidRPr="00541645">
        <w:rPr>
          <w:bCs/>
          <w:sz w:val="22"/>
          <w:szCs w:val="22"/>
        </w:rPr>
        <w:t>е</w:t>
      </w:r>
      <w:r w:rsidRPr="00541645">
        <w:rPr>
          <w:bCs/>
          <w:sz w:val="22"/>
          <w:szCs w:val="22"/>
        </w:rPr>
        <w:t>гаполиса. Загрязненный воздух, повышенный уровень шума и ви</w:t>
      </w:r>
      <w:r w:rsidRPr="00541645">
        <w:rPr>
          <w:bCs/>
          <w:sz w:val="22"/>
          <w:szCs w:val="22"/>
        </w:rPr>
        <w:t>б</w:t>
      </w:r>
      <w:r w:rsidRPr="00541645">
        <w:rPr>
          <w:bCs/>
          <w:sz w:val="22"/>
          <w:szCs w:val="22"/>
        </w:rPr>
        <w:t>раций, постоянный стресс, недостаток сна и несбалансированность питания оказывают разрушающее действие на защитные функции организма. Кроме того, иммунитет защищает человека не только от внешних негативных факторов, но и регулирует внутреннюю раб</w:t>
      </w:r>
      <w:r w:rsidRPr="00541645">
        <w:rPr>
          <w:bCs/>
          <w:sz w:val="22"/>
          <w:szCs w:val="22"/>
        </w:rPr>
        <w:t>о</w:t>
      </w:r>
      <w:r w:rsidRPr="00541645">
        <w:rPr>
          <w:bCs/>
          <w:sz w:val="22"/>
          <w:szCs w:val="22"/>
        </w:rPr>
        <w:t>ту организма в целом, отслеживая опасности, образующиеся в с</w:t>
      </w:r>
      <w:r w:rsidRPr="00541645">
        <w:rPr>
          <w:bCs/>
          <w:sz w:val="22"/>
          <w:szCs w:val="22"/>
        </w:rPr>
        <w:t>а</w:t>
      </w:r>
      <w:r w:rsidRPr="00541645">
        <w:rPr>
          <w:bCs/>
          <w:sz w:val="22"/>
          <w:szCs w:val="22"/>
        </w:rPr>
        <w:t>мом организме.</w:t>
      </w:r>
    </w:p>
    <w:p w:rsidR="00281602" w:rsidRPr="00541645" w:rsidRDefault="00281602" w:rsidP="00541645">
      <w:pPr>
        <w:ind w:firstLine="426"/>
        <w:jc w:val="both"/>
        <w:rPr>
          <w:bCs/>
          <w:sz w:val="22"/>
          <w:szCs w:val="22"/>
        </w:rPr>
      </w:pPr>
      <w:r w:rsidRPr="00541645">
        <w:rPr>
          <w:bCs/>
          <w:sz w:val="22"/>
          <w:szCs w:val="22"/>
        </w:rPr>
        <w:t>Иммуномодулирующее действие пектиновых веществ лека</w:t>
      </w:r>
      <w:r w:rsidRPr="00541645">
        <w:rPr>
          <w:bCs/>
          <w:sz w:val="22"/>
          <w:szCs w:val="22"/>
        </w:rPr>
        <w:t>р</w:t>
      </w:r>
      <w:r w:rsidRPr="00541645">
        <w:rPr>
          <w:bCs/>
          <w:sz w:val="22"/>
          <w:szCs w:val="22"/>
        </w:rPr>
        <w:t xml:space="preserve">ственного сырья основано на том, что кишечник – иммунный орган человека и в слизистой оболочке кишечника локализовано около 80% иммунокомпетентных клеток. </w:t>
      </w:r>
    </w:p>
    <w:p w:rsidR="00281602" w:rsidRPr="00541645" w:rsidRDefault="00281602" w:rsidP="00541645">
      <w:pPr>
        <w:ind w:firstLine="426"/>
        <w:jc w:val="both"/>
        <w:rPr>
          <w:bCs/>
          <w:sz w:val="22"/>
          <w:szCs w:val="22"/>
        </w:rPr>
      </w:pPr>
      <w:r w:rsidRPr="00541645">
        <w:rPr>
          <w:bCs/>
          <w:sz w:val="22"/>
          <w:szCs w:val="22"/>
        </w:rPr>
        <w:t>Попадая в организм человека, пектин оказывает обволакива</w:t>
      </w:r>
      <w:r w:rsidRPr="00541645">
        <w:rPr>
          <w:bCs/>
          <w:sz w:val="22"/>
          <w:szCs w:val="22"/>
        </w:rPr>
        <w:t>ю</w:t>
      </w:r>
      <w:r w:rsidRPr="00541645">
        <w:rPr>
          <w:bCs/>
          <w:sz w:val="22"/>
          <w:szCs w:val="22"/>
        </w:rPr>
        <w:t>щее воздействие на желудок и кишечник, что способствует сниж</w:t>
      </w:r>
      <w:r w:rsidRPr="00541645">
        <w:rPr>
          <w:bCs/>
          <w:sz w:val="22"/>
          <w:szCs w:val="22"/>
        </w:rPr>
        <w:t>е</w:t>
      </w:r>
      <w:r w:rsidRPr="00541645">
        <w:rPr>
          <w:bCs/>
          <w:sz w:val="22"/>
          <w:szCs w:val="22"/>
        </w:rPr>
        <w:t>нию воспалений, таких как язвы и повреждения ЖКТ, угнетает п</w:t>
      </w:r>
      <w:r w:rsidRPr="00541645">
        <w:rPr>
          <w:bCs/>
          <w:sz w:val="22"/>
          <w:szCs w:val="22"/>
        </w:rPr>
        <w:t>а</w:t>
      </w:r>
      <w:r w:rsidRPr="00541645">
        <w:rPr>
          <w:bCs/>
          <w:sz w:val="22"/>
          <w:szCs w:val="22"/>
        </w:rPr>
        <w:t>тогенную микрофлору. Детоксицирующее свойство пектиновых веществ замедляет разрушительное воздействие токсических в</w:t>
      </w:r>
      <w:r w:rsidRPr="00541645">
        <w:rPr>
          <w:bCs/>
          <w:sz w:val="22"/>
          <w:szCs w:val="22"/>
        </w:rPr>
        <w:t>е</w:t>
      </w:r>
      <w:r w:rsidRPr="00541645">
        <w:rPr>
          <w:bCs/>
          <w:sz w:val="22"/>
          <w:szCs w:val="22"/>
        </w:rPr>
        <w:t>ществ, попадающих в организм вместе с пищей [1].</w:t>
      </w:r>
    </w:p>
    <w:p w:rsidR="00281602" w:rsidRPr="00541645" w:rsidRDefault="00281602" w:rsidP="00541645">
      <w:pPr>
        <w:ind w:firstLine="426"/>
        <w:contextualSpacing/>
        <w:jc w:val="both"/>
        <w:rPr>
          <w:color w:val="000000"/>
          <w:sz w:val="22"/>
          <w:szCs w:val="22"/>
        </w:rPr>
      </w:pPr>
      <w:r w:rsidRPr="00541645">
        <w:rPr>
          <w:bCs/>
          <w:sz w:val="22"/>
          <w:szCs w:val="22"/>
        </w:rPr>
        <w:t>Иммуномодулирующее действие пектиновых веществ на орг</w:t>
      </w:r>
      <w:r w:rsidRPr="00541645">
        <w:rPr>
          <w:bCs/>
          <w:sz w:val="22"/>
          <w:szCs w:val="22"/>
        </w:rPr>
        <w:t>а</w:t>
      </w:r>
      <w:r w:rsidRPr="00541645">
        <w:rPr>
          <w:bCs/>
          <w:sz w:val="22"/>
          <w:szCs w:val="22"/>
        </w:rPr>
        <w:t>низм подтверждается улучшением таких показателей иммунной системы, как нормализация гуморальных и сывороточных факт</w:t>
      </w:r>
      <w:r w:rsidRPr="00541645">
        <w:rPr>
          <w:bCs/>
          <w:sz w:val="22"/>
          <w:szCs w:val="22"/>
        </w:rPr>
        <w:t>о</w:t>
      </w:r>
      <w:r w:rsidRPr="00541645">
        <w:rPr>
          <w:bCs/>
          <w:sz w:val="22"/>
          <w:szCs w:val="22"/>
        </w:rPr>
        <w:t>ров, регулировка количества Т-лимфоцитов и  Т-хеллеров.</w:t>
      </w:r>
    </w:p>
    <w:p w:rsidR="00281602" w:rsidRPr="00541645" w:rsidRDefault="00281602" w:rsidP="00541645">
      <w:pPr>
        <w:ind w:firstLine="426"/>
        <w:jc w:val="both"/>
        <w:rPr>
          <w:bCs/>
          <w:sz w:val="22"/>
          <w:szCs w:val="22"/>
        </w:rPr>
      </w:pPr>
      <w:r w:rsidRPr="00541645">
        <w:rPr>
          <w:bCs/>
          <w:sz w:val="22"/>
          <w:szCs w:val="22"/>
        </w:rPr>
        <w:t>Философия нашего исследования построена на использовании лекарственного сырья иммумодулирующего действия в сочетании с пектиновым яблочным экстрактом при производстве функционал</w:t>
      </w:r>
      <w:r w:rsidRPr="00541645">
        <w:rPr>
          <w:bCs/>
          <w:sz w:val="22"/>
          <w:szCs w:val="22"/>
        </w:rPr>
        <w:t>ь</w:t>
      </w:r>
      <w:r w:rsidRPr="00541645">
        <w:rPr>
          <w:bCs/>
          <w:sz w:val="22"/>
          <w:szCs w:val="22"/>
        </w:rPr>
        <w:t xml:space="preserve">ных напитков. </w:t>
      </w:r>
    </w:p>
    <w:p w:rsidR="00281602" w:rsidRPr="00541645" w:rsidRDefault="00281602" w:rsidP="00541645">
      <w:pPr>
        <w:ind w:firstLine="426"/>
        <w:contextualSpacing/>
        <w:jc w:val="both"/>
        <w:rPr>
          <w:color w:val="000000"/>
          <w:sz w:val="22"/>
          <w:szCs w:val="22"/>
        </w:rPr>
      </w:pPr>
      <w:r w:rsidRPr="00541645">
        <w:rPr>
          <w:color w:val="000000"/>
          <w:sz w:val="22"/>
          <w:szCs w:val="22"/>
        </w:rPr>
        <w:lastRenderedPageBreak/>
        <w:t xml:space="preserve">В результате исследования фракционного состава пектиновых веществ лекарственного сырья кальций-пектатным методом были получены следующие данные. </w:t>
      </w:r>
    </w:p>
    <w:p w:rsidR="00281602" w:rsidRPr="00541645" w:rsidRDefault="00281602" w:rsidP="00541645">
      <w:pPr>
        <w:ind w:firstLine="426"/>
        <w:contextualSpacing/>
        <w:jc w:val="both"/>
        <w:rPr>
          <w:color w:val="000000"/>
          <w:sz w:val="22"/>
          <w:szCs w:val="22"/>
        </w:rPr>
      </w:pPr>
      <w:r w:rsidRPr="00541645">
        <w:rPr>
          <w:color w:val="000000"/>
          <w:sz w:val="22"/>
          <w:szCs w:val="22"/>
        </w:rPr>
        <w:t>В траве чабреца содержится 0,3329 г/100 г гидратопектина и 3,1525 г/100 г протопектина.</w:t>
      </w:r>
    </w:p>
    <w:p w:rsidR="00281602" w:rsidRPr="00541645" w:rsidRDefault="00281602" w:rsidP="00541645">
      <w:pPr>
        <w:ind w:firstLine="426"/>
        <w:contextualSpacing/>
        <w:jc w:val="both"/>
        <w:rPr>
          <w:color w:val="000000"/>
          <w:sz w:val="22"/>
          <w:szCs w:val="22"/>
        </w:rPr>
      </w:pPr>
      <w:r w:rsidRPr="00541645">
        <w:rPr>
          <w:color w:val="000000"/>
          <w:sz w:val="22"/>
          <w:szCs w:val="22"/>
        </w:rPr>
        <w:t>В мяте перечной содержится  0,6557 г/100 г гидратопектина и 3,0891 г/100 г протопектина.</w:t>
      </w:r>
    </w:p>
    <w:p w:rsidR="00281602" w:rsidRPr="00541645" w:rsidRDefault="00281602" w:rsidP="00541645">
      <w:pPr>
        <w:ind w:firstLine="426"/>
        <w:contextualSpacing/>
        <w:jc w:val="both"/>
        <w:rPr>
          <w:color w:val="000000"/>
          <w:sz w:val="22"/>
          <w:szCs w:val="22"/>
        </w:rPr>
      </w:pPr>
      <w:r w:rsidRPr="00541645">
        <w:rPr>
          <w:color w:val="000000"/>
          <w:sz w:val="22"/>
          <w:szCs w:val="22"/>
        </w:rPr>
        <w:t>В плодах шиповника содержится  4,1050 г/100 г гидратопект</w:t>
      </w:r>
      <w:r w:rsidRPr="00541645">
        <w:rPr>
          <w:color w:val="000000"/>
          <w:sz w:val="22"/>
          <w:szCs w:val="22"/>
        </w:rPr>
        <w:t>и</w:t>
      </w:r>
      <w:r w:rsidRPr="00541645">
        <w:rPr>
          <w:color w:val="000000"/>
          <w:sz w:val="22"/>
          <w:szCs w:val="22"/>
        </w:rPr>
        <w:t>на и 5,5364 г/100 г протопектина.</w:t>
      </w:r>
    </w:p>
    <w:p w:rsidR="00281602" w:rsidRPr="00541645" w:rsidRDefault="00281602" w:rsidP="00541645">
      <w:pPr>
        <w:ind w:firstLine="426"/>
        <w:contextualSpacing/>
        <w:jc w:val="both"/>
        <w:rPr>
          <w:color w:val="000000"/>
          <w:sz w:val="22"/>
          <w:szCs w:val="22"/>
        </w:rPr>
      </w:pPr>
      <w:r w:rsidRPr="00541645">
        <w:rPr>
          <w:color w:val="000000"/>
          <w:sz w:val="22"/>
          <w:szCs w:val="22"/>
        </w:rPr>
        <w:t>В плодах боярышника содержится  6,2752 г/100 г гидратопе</w:t>
      </w:r>
      <w:r w:rsidRPr="00541645">
        <w:rPr>
          <w:color w:val="000000"/>
          <w:sz w:val="22"/>
          <w:szCs w:val="22"/>
        </w:rPr>
        <w:t>к</w:t>
      </w:r>
      <w:r w:rsidRPr="00541645">
        <w:rPr>
          <w:color w:val="000000"/>
          <w:sz w:val="22"/>
          <w:szCs w:val="22"/>
        </w:rPr>
        <w:t>тина и 8,3894  г/100 г протопектина.</w:t>
      </w:r>
    </w:p>
    <w:p w:rsidR="00281602" w:rsidRPr="00541645" w:rsidRDefault="00281602" w:rsidP="00541645">
      <w:pPr>
        <w:ind w:firstLine="426"/>
        <w:jc w:val="both"/>
        <w:rPr>
          <w:color w:val="000000"/>
          <w:sz w:val="22"/>
          <w:szCs w:val="22"/>
        </w:rPr>
      </w:pPr>
      <w:r w:rsidRPr="00541645">
        <w:rPr>
          <w:color w:val="000000"/>
          <w:sz w:val="22"/>
          <w:szCs w:val="22"/>
        </w:rPr>
        <w:t>Суммарное содержание пектина составляет (г/100 г) в чабреце – 3,4854; мяте – 3,7448; шиповнике – 9, 6414; боярышнике – 14,6646</w:t>
      </w:r>
      <w:r w:rsidRPr="00541645">
        <w:rPr>
          <w:color w:val="000000"/>
          <w:sz w:val="22"/>
          <w:szCs w:val="22"/>
          <w:lang w:val="en-US"/>
        </w:rPr>
        <w:t> </w:t>
      </w:r>
      <w:r w:rsidRPr="00541645">
        <w:rPr>
          <w:color w:val="000000"/>
          <w:sz w:val="22"/>
          <w:szCs w:val="22"/>
        </w:rPr>
        <w:t>[2].</w:t>
      </w:r>
    </w:p>
    <w:p w:rsidR="00281602" w:rsidRPr="00541645" w:rsidRDefault="00281602" w:rsidP="00541645">
      <w:pPr>
        <w:ind w:firstLine="426"/>
        <w:jc w:val="both"/>
        <w:rPr>
          <w:color w:val="000000"/>
          <w:sz w:val="22"/>
          <w:szCs w:val="22"/>
        </w:rPr>
      </w:pPr>
      <w:r w:rsidRPr="00541645">
        <w:rPr>
          <w:color w:val="000000"/>
          <w:sz w:val="22"/>
          <w:szCs w:val="22"/>
        </w:rPr>
        <w:t>Полученные данные о фракционном составе пектиновых в</w:t>
      </w:r>
      <w:r w:rsidRPr="00541645">
        <w:rPr>
          <w:color w:val="000000"/>
          <w:sz w:val="22"/>
          <w:szCs w:val="22"/>
        </w:rPr>
        <w:t>е</w:t>
      </w:r>
      <w:r w:rsidRPr="00541645">
        <w:rPr>
          <w:color w:val="000000"/>
          <w:sz w:val="22"/>
          <w:szCs w:val="22"/>
        </w:rPr>
        <w:t>ществ лекарственного сырья позволяют судить о целесообразности использования данных плодов и трав в качестве источника не тол</w:t>
      </w:r>
      <w:r w:rsidRPr="00541645">
        <w:rPr>
          <w:color w:val="000000"/>
          <w:sz w:val="22"/>
          <w:szCs w:val="22"/>
        </w:rPr>
        <w:t>ь</w:t>
      </w:r>
      <w:r w:rsidRPr="00541645">
        <w:rPr>
          <w:color w:val="000000"/>
          <w:sz w:val="22"/>
          <w:szCs w:val="22"/>
        </w:rPr>
        <w:t>ко минеральных веществ и витаминов, но и пектина.</w:t>
      </w:r>
    </w:p>
    <w:p w:rsidR="00281602" w:rsidRPr="00541645" w:rsidRDefault="00281602" w:rsidP="00541645">
      <w:pPr>
        <w:ind w:firstLine="426"/>
        <w:jc w:val="center"/>
        <w:rPr>
          <w:sz w:val="22"/>
          <w:szCs w:val="22"/>
        </w:rPr>
      </w:pPr>
    </w:p>
    <w:p w:rsidR="00281602" w:rsidRPr="00541645" w:rsidRDefault="00281602" w:rsidP="00541645">
      <w:pPr>
        <w:ind w:firstLine="426"/>
        <w:jc w:val="center"/>
        <w:rPr>
          <w:sz w:val="22"/>
          <w:szCs w:val="22"/>
        </w:rPr>
      </w:pPr>
      <w:r w:rsidRPr="00541645">
        <w:rPr>
          <w:sz w:val="22"/>
          <w:szCs w:val="22"/>
        </w:rPr>
        <w:t>Список литературы</w:t>
      </w:r>
    </w:p>
    <w:p w:rsidR="00281602" w:rsidRPr="00541645" w:rsidRDefault="00281602" w:rsidP="00541645">
      <w:pPr>
        <w:tabs>
          <w:tab w:val="left" w:pos="709"/>
          <w:tab w:val="left" w:pos="851"/>
        </w:tabs>
        <w:ind w:firstLine="426"/>
        <w:jc w:val="both"/>
        <w:rPr>
          <w:color w:val="000000"/>
          <w:sz w:val="22"/>
          <w:szCs w:val="22"/>
        </w:rPr>
      </w:pPr>
      <w:r w:rsidRPr="00541645">
        <w:rPr>
          <w:color w:val="000000"/>
          <w:sz w:val="22"/>
          <w:szCs w:val="22"/>
        </w:rPr>
        <w:t>1. Огнева, О.А. Пектиносодержащие напитки с пробиотич</w:t>
      </w:r>
      <w:r w:rsidRPr="00541645">
        <w:rPr>
          <w:color w:val="000000"/>
          <w:sz w:val="22"/>
          <w:szCs w:val="22"/>
        </w:rPr>
        <w:t>е</w:t>
      </w:r>
      <w:r w:rsidRPr="00541645">
        <w:rPr>
          <w:color w:val="000000"/>
          <w:sz w:val="22"/>
          <w:szCs w:val="22"/>
        </w:rPr>
        <w:t>скими свойствами / О.А. Огнева, Л.В. Донченко //Политематический сетевой электронный научный журнал Куба</w:t>
      </w:r>
      <w:r w:rsidRPr="00541645">
        <w:rPr>
          <w:color w:val="000000"/>
          <w:sz w:val="22"/>
          <w:szCs w:val="22"/>
        </w:rPr>
        <w:t>н</w:t>
      </w:r>
      <w:r w:rsidRPr="00541645">
        <w:rPr>
          <w:color w:val="000000"/>
          <w:sz w:val="22"/>
          <w:szCs w:val="22"/>
        </w:rPr>
        <w:t>ского государственного аграрного университета, 2015, № 107. – С. 333 – 341.</w:t>
      </w:r>
    </w:p>
    <w:p w:rsidR="00281602" w:rsidRPr="00541645" w:rsidRDefault="00281602" w:rsidP="00541645">
      <w:pPr>
        <w:spacing w:after="160"/>
        <w:ind w:firstLine="426"/>
        <w:jc w:val="both"/>
        <w:rPr>
          <w:sz w:val="22"/>
          <w:szCs w:val="22"/>
        </w:rPr>
      </w:pPr>
      <w:r w:rsidRPr="00541645">
        <w:rPr>
          <w:sz w:val="22"/>
          <w:szCs w:val="22"/>
        </w:rPr>
        <w:t>2. Тарасова, В. Н. Пектиносодержащие напитки с добавлением экстрактов лекарственного сырья / В.Н. Тарасова, Л.В. Донченко// Сборник научных статей  по материалам ХVIII Международной студенческой научной  конференции. – Гродно, 2017. – Издател</w:t>
      </w:r>
      <w:r w:rsidRPr="00541645">
        <w:rPr>
          <w:sz w:val="22"/>
          <w:szCs w:val="22"/>
        </w:rPr>
        <w:t>ь</w:t>
      </w:r>
      <w:r w:rsidRPr="00541645">
        <w:rPr>
          <w:sz w:val="22"/>
          <w:szCs w:val="22"/>
        </w:rPr>
        <w:t>ско–полиграфический отдел УО «ГГАУ». – С 112–114.</w:t>
      </w:r>
    </w:p>
    <w:p w:rsidR="00B572C5" w:rsidRDefault="00B572C5" w:rsidP="00281602">
      <w:pPr>
        <w:jc w:val="both"/>
        <w:rPr>
          <w:sz w:val="22"/>
          <w:szCs w:val="22"/>
        </w:rPr>
      </w:pPr>
    </w:p>
    <w:p w:rsidR="001360B4" w:rsidRDefault="001360B4" w:rsidP="00281602">
      <w:pPr>
        <w:jc w:val="both"/>
        <w:rPr>
          <w:sz w:val="22"/>
          <w:szCs w:val="22"/>
        </w:rPr>
      </w:pPr>
    </w:p>
    <w:p w:rsidR="001360B4" w:rsidRDefault="001360B4" w:rsidP="00281602">
      <w:pPr>
        <w:jc w:val="both"/>
        <w:rPr>
          <w:sz w:val="22"/>
          <w:szCs w:val="22"/>
        </w:rPr>
      </w:pPr>
    </w:p>
    <w:p w:rsidR="001360B4" w:rsidRDefault="001360B4" w:rsidP="00281602">
      <w:pPr>
        <w:jc w:val="both"/>
        <w:rPr>
          <w:sz w:val="22"/>
          <w:szCs w:val="22"/>
        </w:rPr>
      </w:pPr>
    </w:p>
    <w:p w:rsidR="001360B4" w:rsidRDefault="001360B4" w:rsidP="00281602">
      <w:pPr>
        <w:jc w:val="both"/>
        <w:rPr>
          <w:sz w:val="22"/>
          <w:szCs w:val="22"/>
        </w:rPr>
      </w:pPr>
    </w:p>
    <w:p w:rsidR="001360B4" w:rsidRDefault="001360B4" w:rsidP="00281602">
      <w:pPr>
        <w:jc w:val="both"/>
        <w:rPr>
          <w:sz w:val="22"/>
          <w:szCs w:val="22"/>
        </w:rPr>
      </w:pPr>
    </w:p>
    <w:p w:rsidR="001360B4" w:rsidRPr="00281602" w:rsidRDefault="001360B4" w:rsidP="00281602">
      <w:pPr>
        <w:jc w:val="both"/>
        <w:rPr>
          <w:sz w:val="22"/>
          <w:szCs w:val="22"/>
        </w:rPr>
      </w:pPr>
    </w:p>
    <w:p w:rsidR="00281602" w:rsidRDefault="00281602" w:rsidP="00281602">
      <w:pPr>
        <w:suppressAutoHyphens/>
        <w:jc w:val="both"/>
        <w:rPr>
          <w:rFonts w:eastAsia="Calibri"/>
          <w:sz w:val="22"/>
          <w:szCs w:val="22"/>
          <w:lang w:eastAsia="en-US"/>
        </w:rPr>
      </w:pPr>
      <w:r w:rsidRPr="00281602">
        <w:rPr>
          <w:rFonts w:eastAsia="Calibri"/>
          <w:sz w:val="22"/>
          <w:szCs w:val="22"/>
          <w:lang w:eastAsia="en-US"/>
        </w:rPr>
        <w:lastRenderedPageBreak/>
        <w:t xml:space="preserve">УДК 664.292:612.391.4 </w:t>
      </w:r>
    </w:p>
    <w:p w:rsidR="00541645" w:rsidRPr="00281602" w:rsidRDefault="00541645" w:rsidP="00281602">
      <w:pPr>
        <w:suppressAutoHyphens/>
        <w:jc w:val="both"/>
        <w:rPr>
          <w:rFonts w:eastAsia="Calibri"/>
          <w:sz w:val="22"/>
          <w:szCs w:val="22"/>
          <w:lang w:eastAsia="en-US"/>
        </w:rPr>
      </w:pPr>
    </w:p>
    <w:p w:rsidR="00281602" w:rsidRPr="00281602" w:rsidRDefault="00281602" w:rsidP="00281602">
      <w:pPr>
        <w:suppressAutoHyphens/>
        <w:jc w:val="center"/>
        <w:rPr>
          <w:rFonts w:eastAsia="Calibri"/>
          <w:b/>
          <w:color w:val="000000"/>
          <w:sz w:val="24"/>
          <w:szCs w:val="22"/>
          <w:lang w:eastAsia="en-US"/>
        </w:rPr>
      </w:pPr>
      <w:r w:rsidRPr="00281602">
        <w:rPr>
          <w:rFonts w:eastAsia="Calibri"/>
          <w:b/>
          <w:color w:val="000000"/>
          <w:sz w:val="24"/>
          <w:szCs w:val="22"/>
          <w:lang w:eastAsia="en-US"/>
        </w:rPr>
        <w:t>Пектин как основа профилактического питания</w:t>
      </w:r>
    </w:p>
    <w:p w:rsidR="00281602" w:rsidRPr="00281602" w:rsidRDefault="00281602" w:rsidP="00281602">
      <w:pPr>
        <w:suppressAutoHyphens/>
        <w:jc w:val="center"/>
        <w:rPr>
          <w:rFonts w:eastAsia="Calibri"/>
          <w:b/>
          <w:color w:val="000000"/>
          <w:sz w:val="24"/>
          <w:szCs w:val="22"/>
          <w:lang w:val="en-US" w:eastAsia="en-US"/>
        </w:rPr>
      </w:pPr>
      <w:r w:rsidRPr="00281602">
        <w:rPr>
          <w:rFonts w:eastAsia="Calibri"/>
          <w:b/>
          <w:color w:val="000000"/>
          <w:sz w:val="24"/>
          <w:szCs w:val="22"/>
          <w:lang w:val="en-US" w:eastAsia="en-US"/>
        </w:rPr>
        <w:t>Pectin as a basis for preventive nutrition</w:t>
      </w:r>
    </w:p>
    <w:p w:rsidR="00281602" w:rsidRPr="00281602" w:rsidRDefault="00281602" w:rsidP="00281602">
      <w:pPr>
        <w:suppressAutoHyphens/>
        <w:jc w:val="center"/>
        <w:rPr>
          <w:rFonts w:eastAsia="Calibri"/>
          <w:b/>
          <w:color w:val="000000"/>
          <w:sz w:val="22"/>
          <w:szCs w:val="22"/>
          <w:lang w:val="en-US" w:eastAsia="en-US"/>
        </w:rPr>
      </w:pP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Тарверанова Я.</w:t>
      </w:r>
      <w:r w:rsidR="00541645">
        <w:rPr>
          <w:rFonts w:eastAsia="Calibri"/>
          <w:color w:val="000000"/>
          <w:sz w:val="22"/>
          <w:szCs w:val="22"/>
          <w:lang w:eastAsia="en-US"/>
        </w:rPr>
        <w:t xml:space="preserve"> </w:t>
      </w:r>
      <w:r w:rsidRPr="00281602">
        <w:rPr>
          <w:rFonts w:eastAsia="Calibri"/>
          <w:color w:val="000000"/>
          <w:sz w:val="22"/>
          <w:szCs w:val="22"/>
          <w:lang w:eastAsia="en-US"/>
        </w:rPr>
        <w:t>О.,</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студент 1-го курса факультета</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перерабатывающих технологий</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Красноселова Е.</w:t>
      </w:r>
      <w:r w:rsidR="00541645">
        <w:rPr>
          <w:rFonts w:eastAsia="Calibri"/>
          <w:color w:val="000000"/>
          <w:sz w:val="22"/>
          <w:szCs w:val="22"/>
          <w:lang w:eastAsia="en-US"/>
        </w:rPr>
        <w:t xml:space="preserve"> </w:t>
      </w:r>
      <w:r w:rsidRPr="00281602">
        <w:rPr>
          <w:rFonts w:eastAsia="Calibri"/>
          <w:color w:val="000000"/>
          <w:sz w:val="22"/>
          <w:szCs w:val="22"/>
          <w:lang w:eastAsia="en-US"/>
        </w:rPr>
        <w:t>А.,</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доцент кафедры растениеводства</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Кубанский государственный аграрный</w:t>
      </w:r>
    </w:p>
    <w:p w:rsidR="00281602" w:rsidRPr="00281602" w:rsidRDefault="00281602" w:rsidP="00281602">
      <w:pPr>
        <w:suppressAutoHyphens/>
        <w:jc w:val="right"/>
        <w:rPr>
          <w:rFonts w:eastAsia="Calibri"/>
          <w:color w:val="000000"/>
          <w:sz w:val="22"/>
          <w:szCs w:val="22"/>
          <w:lang w:eastAsia="en-US"/>
        </w:rPr>
      </w:pPr>
      <w:r w:rsidRPr="00281602">
        <w:rPr>
          <w:rFonts w:eastAsia="Calibri"/>
          <w:color w:val="000000"/>
          <w:sz w:val="22"/>
          <w:szCs w:val="22"/>
          <w:lang w:eastAsia="en-US"/>
        </w:rPr>
        <w:t>университет имени И.</w:t>
      </w:r>
      <w:r w:rsidR="00541645">
        <w:rPr>
          <w:rFonts w:eastAsia="Calibri"/>
          <w:color w:val="000000"/>
          <w:sz w:val="22"/>
          <w:szCs w:val="22"/>
          <w:lang w:eastAsia="en-US"/>
        </w:rPr>
        <w:t xml:space="preserve"> </w:t>
      </w:r>
      <w:r w:rsidRPr="00281602">
        <w:rPr>
          <w:rFonts w:eastAsia="Calibri"/>
          <w:color w:val="000000"/>
          <w:sz w:val="22"/>
          <w:szCs w:val="22"/>
          <w:lang w:eastAsia="en-US"/>
        </w:rPr>
        <w:t>Т. Трубилина</w:t>
      </w:r>
    </w:p>
    <w:p w:rsidR="00281602" w:rsidRPr="00281602" w:rsidRDefault="00281602" w:rsidP="00281602">
      <w:pPr>
        <w:suppressAutoHyphens/>
        <w:jc w:val="right"/>
        <w:rPr>
          <w:rFonts w:eastAsia="Calibri"/>
          <w:sz w:val="22"/>
          <w:szCs w:val="22"/>
          <w:lang w:eastAsia="en-US"/>
        </w:rPr>
      </w:pPr>
    </w:p>
    <w:p w:rsidR="00281602" w:rsidRPr="00281602" w:rsidRDefault="00281602" w:rsidP="00541645">
      <w:pPr>
        <w:suppressAutoHyphens/>
        <w:ind w:firstLine="426"/>
        <w:jc w:val="both"/>
        <w:rPr>
          <w:rFonts w:eastAsia="Calibri"/>
          <w:color w:val="000000"/>
          <w:sz w:val="22"/>
          <w:szCs w:val="22"/>
          <w:lang w:eastAsia="en-US"/>
        </w:rPr>
      </w:pPr>
      <w:r w:rsidRPr="00281602">
        <w:rPr>
          <w:rFonts w:eastAsia="Calibri"/>
          <w:color w:val="000000"/>
          <w:sz w:val="22"/>
          <w:szCs w:val="22"/>
          <w:lang w:eastAsia="en-US"/>
        </w:rPr>
        <w:t xml:space="preserve">АННОТАЦИЯ: В статье кратко рассмотрены неблагоприятные факторы окружающей среды, влияющие на здоровье человека. Выявлены методы по борьбе с их воздействием. Изучены профилактические свойства пектинопродуктов. </w:t>
      </w:r>
    </w:p>
    <w:p w:rsidR="00281602" w:rsidRPr="00281602" w:rsidRDefault="00281602" w:rsidP="00541645">
      <w:pPr>
        <w:suppressAutoHyphens/>
        <w:ind w:firstLine="426"/>
        <w:jc w:val="both"/>
        <w:rPr>
          <w:rFonts w:eastAsia="Calibri"/>
          <w:sz w:val="22"/>
          <w:szCs w:val="22"/>
          <w:lang w:val="en-US" w:eastAsia="en-US"/>
        </w:rPr>
      </w:pPr>
      <w:r w:rsidRPr="00281602">
        <w:rPr>
          <w:rFonts w:eastAsia="Calibri"/>
          <w:sz w:val="22"/>
          <w:szCs w:val="22"/>
          <w:lang w:val="en-US" w:eastAsia="en-US"/>
        </w:rPr>
        <w:t>ABSTRACT: The article briefly describes the adverse environmental factors that affect human health. Methods to combat their impact are revealed. Studied preventive properties pectinibranchia.</w:t>
      </w:r>
    </w:p>
    <w:p w:rsidR="00281602" w:rsidRPr="00281602" w:rsidRDefault="00281602" w:rsidP="00541645">
      <w:pPr>
        <w:suppressAutoHyphens/>
        <w:ind w:firstLine="426"/>
        <w:jc w:val="both"/>
        <w:rPr>
          <w:rFonts w:eastAsia="Calibri"/>
          <w:color w:val="000000"/>
          <w:sz w:val="22"/>
          <w:szCs w:val="22"/>
          <w:lang w:eastAsia="en-US"/>
        </w:rPr>
      </w:pPr>
      <w:r w:rsidRPr="00281602">
        <w:rPr>
          <w:rFonts w:eastAsia="Calibri"/>
          <w:color w:val="000000"/>
          <w:sz w:val="22"/>
          <w:szCs w:val="22"/>
          <w:lang w:eastAsia="en-US"/>
        </w:rPr>
        <w:t>КЛЮЧЕВЫЕ СЛОВА: факторы, пектинопродукты, профилактическое питание, здоровье.</w:t>
      </w:r>
    </w:p>
    <w:p w:rsidR="00281602" w:rsidRPr="00281602" w:rsidRDefault="00281602" w:rsidP="00541645">
      <w:pPr>
        <w:suppressAutoHyphens/>
        <w:ind w:firstLine="426"/>
        <w:jc w:val="both"/>
        <w:rPr>
          <w:rFonts w:eastAsia="Calibri"/>
          <w:sz w:val="22"/>
          <w:szCs w:val="22"/>
          <w:lang w:val="en-US" w:eastAsia="en-US"/>
        </w:rPr>
      </w:pPr>
      <w:r w:rsidRPr="00281602">
        <w:rPr>
          <w:rFonts w:eastAsia="Calibri"/>
          <w:sz w:val="22"/>
          <w:szCs w:val="22"/>
          <w:lang w:val="en-US" w:eastAsia="en-US"/>
        </w:rPr>
        <w:t>KEYWORDS: factors, pectin products, preventive nutrition, health.</w:t>
      </w:r>
    </w:p>
    <w:p w:rsidR="00281602" w:rsidRPr="00281602" w:rsidRDefault="00281602" w:rsidP="00541645">
      <w:pPr>
        <w:suppressAutoHyphens/>
        <w:ind w:firstLine="426"/>
        <w:jc w:val="both"/>
        <w:rPr>
          <w:rFonts w:eastAsia="Calibri"/>
          <w:color w:val="000000"/>
          <w:sz w:val="22"/>
          <w:szCs w:val="22"/>
          <w:lang w:val="en-US" w:eastAsia="en-US"/>
        </w:rPr>
      </w:pPr>
    </w:p>
    <w:p w:rsidR="00281602" w:rsidRPr="00281602" w:rsidRDefault="00281602" w:rsidP="00541645">
      <w:pPr>
        <w:ind w:firstLine="426"/>
        <w:jc w:val="both"/>
        <w:rPr>
          <w:rFonts w:eastAsia="Calibri"/>
          <w:spacing w:val="-2"/>
          <w:sz w:val="22"/>
          <w:szCs w:val="22"/>
          <w:lang w:eastAsia="en-US"/>
        </w:rPr>
      </w:pPr>
      <w:r w:rsidRPr="00281602">
        <w:rPr>
          <w:rFonts w:eastAsia="Calibri"/>
          <w:spacing w:val="-2"/>
          <w:sz w:val="22"/>
          <w:szCs w:val="22"/>
          <w:lang w:eastAsia="en-US"/>
        </w:rPr>
        <w:t>В последнее время наблюдается значительное снижение здор</w:t>
      </w:r>
      <w:r w:rsidRPr="00281602">
        <w:rPr>
          <w:rFonts w:eastAsia="Calibri"/>
          <w:spacing w:val="-2"/>
          <w:sz w:val="22"/>
          <w:szCs w:val="22"/>
          <w:lang w:eastAsia="en-US"/>
        </w:rPr>
        <w:t>о</w:t>
      </w:r>
      <w:r w:rsidRPr="00281602">
        <w:rPr>
          <w:rFonts w:eastAsia="Calibri"/>
          <w:spacing w:val="-2"/>
          <w:sz w:val="22"/>
          <w:szCs w:val="22"/>
          <w:lang w:eastAsia="en-US"/>
        </w:rPr>
        <w:t>вья людей и в следствии повышение риска заболеваний различного характера. Это все возникает в результате влияния на человека н</w:t>
      </w:r>
      <w:r w:rsidRPr="00281602">
        <w:rPr>
          <w:rFonts w:eastAsia="Calibri"/>
          <w:spacing w:val="-2"/>
          <w:sz w:val="22"/>
          <w:szCs w:val="22"/>
          <w:lang w:eastAsia="en-US"/>
        </w:rPr>
        <w:t>е</w:t>
      </w:r>
      <w:r w:rsidRPr="00281602">
        <w:rPr>
          <w:rFonts w:eastAsia="Calibri"/>
          <w:spacing w:val="-2"/>
          <w:sz w:val="22"/>
          <w:szCs w:val="22"/>
          <w:lang w:eastAsia="en-US"/>
        </w:rPr>
        <w:t>благоприятных факторов, примером могут служить факторы окр</w:t>
      </w:r>
      <w:r w:rsidRPr="00281602">
        <w:rPr>
          <w:rFonts w:eastAsia="Calibri"/>
          <w:spacing w:val="-2"/>
          <w:sz w:val="22"/>
          <w:szCs w:val="22"/>
          <w:lang w:eastAsia="en-US"/>
        </w:rPr>
        <w:t>у</w:t>
      </w:r>
      <w:r w:rsidRPr="00281602">
        <w:rPr>
          <w:rFonts w:eastAsia="Calibri"/>
          <w:spacing w:val="-2"/>
          <w:sz w:val="22"/>
          <w:szCs w:val="22"/>
          <w:lang w:eastAsia="en-US"/>
        </w:rPr>
        <w:t xml:space="preserve">жающей среды, а в особенности вредные производственные условия. </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Во избежание таких последствий, необходимо помнить, что именно правильное питание несет основную роль жизнедеятельн</w:t>
      </w:r>
      <w:r w:rsidRPr="00281602">
        <w:rPr>
          <w:rFonts w:eastAsia="Calibri"/>
          <w:sz w:val="22"/>
          <w:szCs w:val="22"/>
          <w:lang w:eastAsia="en-US"/>
        </w:rPr>
        <w:t>о</w:t>
      </w:r>
      <w:r w:rsidRPr="00281602">
        <w:rPr>
          <w:rFonts w:eastAsia="Calibri"/>
          <w:sz w:val="22"/>
          <w:szCs w:val="22"/>
          <w:lang w:eastAsia="en-US"/>
        </w:rPr>
        <w:t>сти организма, и в результате, его противостояние к различных н</w:t>
      </w:r>
      <w:r w:rsidRPr="00281602">
        <w:rPr>
          <w:rFonts w:eastAsia="Calibri"/>
          <w:sz w:val="22"/>
          <w:szCs w:val="22"/>
          <w:lang w:eastAsia="en-US"/>
        </w:rPr>
        <w:t>е</w:t>
      </w:r>
      <w:r w:rsidRPr="00281602">
        <w:rPr>
          <w:rFonts w:eastAsia="Calibri"/>
          <w:sz w:val="22"/>
          <w:szCs w:val="22"/>
          <w:lang w:eastAsia="en-US"/>
        </w:rPr>
        <w:t>благоприятным факторам. Важно знать, что правильное (здоровое) питание – это залог здоровья.</w:t>
      </w:r>
    </w:p>
    <w:p w:rsidR="00281602" w:rsidRPr="00281602" w:rsidRDefault="00281602" w:rsidP="00541645">
      <w:pPr>
        <w:ind w:firstLine="426"/>
        <w:jc w:val="both"/>
        <w:rPr>
          <w:rFonts w:eastAsia="Calibri"/>
          <w:color w:val="000000"/>
          <w:sz w:val="22"/>
          <w:szCs w:val="22"/>
          <w:lang w:eastAsia="en-US"/>
        </w:rPr>
      </w:pPr>
      <w:r w:rsidRPr="00281602">
        <w:rPr>
          <w:rFonts w:eastAsia="Calibri"/>
          <w:sz w:val="22"/>
          <w:szCs w:val="22"/>
          <w:lang w:eastAsia="en-US"/>
        </w:rPr>
        <w:t xml:space="preserve">Одним из видов питания человека является профилактическое [1]. Это питание особенно важно в </w:t>
      </w:r>
      <w:r w:rsidRPr="00281602">
        <w:rPr>
          <w:rFonts w:eastAsia="Calibri"/>
          <w:color w:val="000000"/>
          <w:sz w:val="22"/>
          <w:szCs w:val="22"/>
          <w:lang w:eastAsia="en-US"/>
        </w:rPr>
        <w:t>условиях, когда масштабы пр</w:t>
      </w:r>
      <w:r w:rsidRPr="00281602">
        <w:rPr>
          <w:rFonts w:eastAsia="Calibri"/>
          <w:color w:val="000000"/>
          <w:sz w:val="22"/>
          <w:szCs w:val="22"/>
          <w:lang w:eastAsia="en-US"/>
        </w:rPr>
        <w:t>о</w:t>
      </w:r>
      <w:r w:rsidRPr="00281602">
        <w:rPr>
          <w:rFonts w:eastAsia="Calibri"/>
          <w:color w:val="000000"/>
          <w:sz w:val="22"/>
          <w:szCs w:val="22"/>
          <w:lang w:eastAsia="en-US"/>
        </w:rPr>
        <w:t xml:space="preserve">изводства химических веществ превышают потенциал биосферной экосистемы. Такое питание рассматривается как индивидуальное, </w:t>
      </w:r>
      <w:r w:rsidRPr="00281602">
        <w:rPr>
          <w:rFonts w:eastAsia="Calibri"/>
          <w:color w:val="000000"/>
          <w:sz w:val="22"/>
          <w:szCs w:val="22"/>
          <w:lang w:eastAsia="en-US"/>
        </w:rPr>
        <w:lastRenderedPageBreak/>
        <w:t xml:space="preserve">так как степень риска и характер генеза возможного возникновения патологии у каждого человека различны. </w:t>
      </w:r>
    </w:p>
    <w:p w:rsidR="00281602" w:rsidRPr="00281602" w:rsidRDefault="00281602" w:rsidP="00541645">
      <w:pPr>
        <w:ind w:firstLine="426"/>
        <w:jc w:val="both"/>
        <w:rPr>
          <w:rFonts w:eastAsia="Calibri"/>
          <w:color w:val="000000"/>
          <w:sz w:val="22"/>
          <w:szCs w:val="22"/>
          <w:lang w:eastAsia="en-US"/>
        </w:rPr>
      </w:pPr>
      <w:r w:rsidRPr="00281602">
        <w:rPr>
          <w:rFonts w:eastAsia="Calibri"/>
          <w:color w:val="000000"/>
          <w:sz w:val="22"/>
          <w:szCs w:val="22"/>
          <w:lang w:eastAsia="en-US"/>
        </w:rPr>
        <w:t>В нашей стране состояние условий и охраны труда находится на невысоком уровне, так доля работников, которые связаны с вредными факторами производства составляет 20%, помимо этого не на всех предприятиях существуют такие условия, которые отв</w:t>
      </w:r>
      <w:r w:rsidRPr="00281602">
        <w:rPr>
          <w:rFonts w:eastAsia="Calibri"/>
          <w:color w:val="000000"/>
          <w:sz w:val="22"/>
          <w:szCs w:val="22"/>
          <w:lang w:eastAsia="en-US"/>
        </w:rPr>
        <w:t>е</w:t>
      </w:r>
      <w:r w:rsidRPr="00281602">
        <w:rPr>
          <w:rFonts w:eastAsia="Calibri"/>
          <w:color w:val="000000"/>
          <w:sz w:val="22"/>
          <w:szCs w:val="22"/>
          <w:lang w:eastAsia="en-US"/>
        </w:rPr>
        <w:t>чают требованиям санитарно-гигиенических норм.</w:t>
      </w:r>
    </w:p>
    <w:p w:rsidR="00281602" w:rsidRPr="00281602" w:rsidRDefault="00281602" w:rsidP="00541645">
      <w:pPr>
        <w:ind w:firstLine="426"/>
        <w:jc w:val="both"/>
        <w:rPr>
          <w:rFonts w:eastAsia="Calibri"/>
          <w:color w:val="000000"/>
          <w:sz w:val="22"/>
          <w:szCs w:val="22"/>
          <w:lang w:eastAsia="en-US"/>
        </w:rPr>
      </w:pPr>
      <w:r w:rsidRPr="00281602">
        <w:rPr>
          <w:rFonts w:eastAsia="Calibri"/>
          <w:color w:val="000000"/>
          <w:sz w:val="22"/>
          <w:szCs w:val="22"/>
          <w:lang w:eastAsia="en-US"/>
        </w:rPr>
        <w:t>В результате этого на предприятиях делают упор на систему компенсаций за работу во вредных условиях труда. Одним из таких элементов – лечебно-профилактическое питание, которое пред</w:t>
      </w:r>
      <w:r w:rsidRPr="00281602">
        <w:rPr>
          <w:rFonts w:eastAsia="Calibri"/>
          <w:color w:val="000000"/>
          <w:sz w:val="22"/>
          <w:szCs w:val="22"/>
          <w:lang w:eastAsia="en-US"/>
        </w:rPr>
        <w:t>у</w:t>
      </w:r>
      <w:r w:rsidRPr="00281602">
        <w:rPr>
          <w:rFonts w:eastAsia="Calibri"/>
          <w:color w:val="000000"/>
          <w:sz w:val="22"/>
          <w:szCs w:val="22"/>
          <w:lang w:eastAsia="en-US"/>
        </w:rPr>
        <w:t>сматривает выдачу молока или других равноценных продуктов.</w:t>
      </w:r>
    </w:p>
    <w:p w:rsidR="00281602" w:rsidRPr="00281602" w:rsidRDefault="00281602" w:rsidP="00541645">
      <w:pPr>
        <w:ind w:firstLine="426"/>
        <w:jc w:val="both"/>
        <w:rPr>
          <w:rFonts w:eastAsia="Calibri"/>
          <w:spacing w:val="-2"/>
          <w:sz w:val="22"/>
          <w:szCs w:val="22"/>
          <w:lang w:eastAsia="en-US"/>
        </w:rPr>
      </w:pPr>
      <w:r w:rsidRPr="00281602">
        <w:rPr>
          <w:rFonts w:eastAsia="Calibri"/>
          <w:color w:val="000000"/>
          <w:spacing w:val="-2"/>
          <w:sz w:val="22"/>
          <w:szCs w:val="22"/>
          <w:lang w:eastAsia="en-US"/>
        </w:rPr>
        <w:t>Профилактическое питание подразумевает также использование в качестве профилактики и лечения заболеваний биологически а</w:t>
      </w:r>
      <w:r w:rsidRPr="00281602">
        <w:rPr>
          <w:rFonts w:eastAsia="Calibri"/>
          <w:color w:val="000000"/>
          <w:spacing w:val="-2"/>
          <w:sz w:val="22"/>
          <w:szCs w:val="22"/>
          <w:lang w:eastAsia="en-US"/>
        </w:rPr>
        <w:t>к</w:t>
      </w:r>
      <w:r w:rsidRPr="00281602">
        <w:rPr>
          <w:rFonts w:eastAsia="Calibri"/>
          <w:color w:val="000000"/>
          <w:spacing w:val="-2"/>
          <w:sz w:val="22"/>
          <w:szCs w:val="22"/>
          <w:lang w:eastAsia="en-US"/>
        </w:rPr>
        <w:t xml:space="preserve">тивных добавок. Особую роль здесь играет пектин. Это полисахарид, который образуется остатками главным образом галактуроновой кислоты. </w:t>
      </w:r>
      <w:r w:rsidRPr="00281602">
        <w:rPr>
          <w:rFonts w:eastAsia="Calibri"/>
          <w:spacing w:val="-2"/>
          <w:sz w:val="22"/>
          <w:szCs w:val="22"/>
          <w:lang w:eastAsia="en-US"/>
        </w:rPr>
        <w:t>Он обладает рядом характерных показателей, таких как м</w:t>
      </w:r>
      <w:r w:rsidRPr="00281602">
        <w:rPr>
          <w:rFonts w:eastAsia="Calibri"/>
          <w:spacing w:val="-2"/>
          <w:sz w:val="22"/>
          <w:szCs w:val="22"/>
          <w:lang w:eastAsia="en-US"/>
        </w:rPr>
        <w:t>о</w:t>
      </w:r>
      <w:r w:rsidRPr="00281602">
        <w:rPr>
          <w:rFonts w:eastAsia="Calibri"/>
          <w:spacing w:val="-2"/>
          <w:sz w:val="22"/>
          <w:szCs w:val="22"/>
          <w:lang w:eastAsia="en-US"/>
        </w:rPr>
        <w:t>лекулярный вес, метоксильное и ацетильное число, вязкость золя, растворимость в воде, а также желеобразующей способностью.</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Молекулярный вес пектинов зависит от его источника и спос</w:t>
      </w:r>
      <w:r w:rsidRPr="00281602">
        <w:rPr>
          <w:rFonts w:eastAsia="Calibri"/>
          <w:sz w:val="22"/>
          <w:szCs w:val="22"/>
          <w:lang w:eastAsia="en-US"/>
        </w:rPr>
        <w:t>о</w:t>
      </w:r>
      <w:r w:rsidRPr="00281602">
        <w:rPr>
          <w:rFonts w:eastAsia="Calibri"/>
          <w:sz w:val="22"/>
          <w:szCs w:val="22"/>
          <w:lang w:eastAsia="en-US"/>
        </w:rPr>
        <w:t xml:space="preserve">ба получения. </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Метоксильное число имеет большое значение для желирующих свойств пектина, однако ацетильные группы оказывают отриц</w:t>
      </w:r>
      <w:r w:rsidRPr="00281602">
        <w:rPr>
          <w:rFonts w:eastAsia="Calibri"/>
          <w:sz w:val="22"/>
          <w:szCs w:val="22"/>
          <w:lang w:eastAsia="en-US"/>
        </w:rPr>
        <w:t>а</w:t>
      </w:r>
      <w:r w:rsidRPr="00281602">
        <w:rPr>
          <w:rFonts w:eastAsia="Calibri"/>
          <w:sz w:val="22"/>
          <w:szCs w:val="22"/>
          <w:lang w:eastAsia="en-US"/>
        </w:rPr>
        <w:t xml:space="preserve">тельное влияние на желирующую способность. </w:t>
      </w:r>
    </w:p>
    <w:p w:rsidR="00281602" w:rsidRPr="00281602" w:rsidRDefault="00281602" w:rsidP="00541645">
      <w:pPr>
        <w:ind w:firstLine="426"/>
        <w:jc w:val="both"/>
        <w:rPr>
          <w:rFonts w:eastAsia="Calibri"/>
          <w:color w:val="000000"/>
          <w:sz w:val="22"/>
          <w:szCs w:val="22"/>
          <w:lang w:eastAsia="en-US"/>
        </w:rPr>
      </w:pPr>
      <w:r w:rsidRPr="00281602">
        <w:rPr>
          <w:rFonts w:eastAsia="Calibri"/>
          <w:color w:val="000000"/>
          <w:sz w:val="22"/>
          <w:szCs w:val="22"/>
          <w:lang w:eastAsia="en-US"/>
        </w:rPr>
        <w:t xml:space="preserve">Вязкость золя пектина зависит от молекулярного веса и форм молекулы пектина, вокруг которой образуется жидкостный слой (сольватация). Важным свойством является способность давать студни в присутствии сахара и кислот. </w:t>
      </w:r>
    </w:p>
    <w:p w:rsidR="00281602" w:rsidRPr="00281602" w:rsidRDefault="00281602" w:rsidP="00541645">
      <w:pPr>
        <w:ind w:firstLine="426"/>
        <w:jc w:val="both"/>
        <w:rPr>
          <w:rFonts w:eastAsia="Calibri"/>
          <w:sz w:val="22"/>
          <w:szCs w:val="22"/>
          <w:lang w:eastAsia="en-US"/>
        </w:rPr>
      </w:pPr>
      <w:r w:rsidRPr="00281602">
        <w:rPr>
          <w:rFonts w:eastAsia="Calibri"/>
          <w:color w:val="000000"/>
          <w:sz w:val="22"/>
          <w:szCs w:val="22"/>
          <w:lang w:eastAsia="en-US"/>
        </w:rPr>
        <w:t>Желирующая способность пектина зависит от относительной молекулярной массы пектина, от степени метоксилирования оста</w:t>
      </w:r>
      <w:r w:rsidRPr="00281602">
        <w:rPr>
          <w:rFonts w:eastAsia="Calibri"/>
          <w:color w:val="000000"/>
          <w:sz w:val="22"/>
          <w:szCs w:val="22"/>
          <w:lang w:eastAsia="en-US"/>
        </w:rPr>
        <w:t>т</w:t>
      </w:r>
      <w:r w:rsidRPr="00281602">
        <w:rPr>
          <w:rFonts w:eastAsia="Calibri"/>
          <w:color w:val="000000"/>
          <w:sz w:val="22"/>
          <w:szCs w:val="22"/>
          <w:lang w:eastAsia="en-US"/>
        </w:rPr>
        <w:t>ков галактуроновой кислоты, концентрации сахара в растворе, те</w:t>
      </w:r>
      <w:r w:rsidRPr="00281602">
        <w:rPr>
          <w:rFonts w:eastAsia="Calibri"/>
          <w:color w:val="000000"/>
          <w:sz w:val="22"/>
          <w:szCs w:val="22"/>
          <w:lang w:eastAsia="en-US"/>
        </w:rPr>
        <w:t>м</w:t>
      </w:r>
      <w:r w:rsidRPr="00281602">
        <w:rPr>
          <w:rFonts w:eastAsia="Calibri"/>
          <w:color w:val="000000"/>
          <w:sz w:val="22"/>
          <w:szCs w:val="22"/>
          <w:lang w:eastAsia="en-US"/>
        </w:rPr>
        <w:t xml:space="preserve">пературы, а также рН среды. </w:t>
      </w:r>
      <w:r w:rsidRPr="00281602">
        <w:rPr>
          <w:rFonts w:eastAsia="Calibri"/>
          <w:sz w:val="22"/>
          <w:szCs w:val="22"/>
          <w:lang w:eastAsia="en-US"/>
        </w:rPr>
        <w:t>От состава пектина температура жел</w:t>
      </w:r>
      <w:r w:rsidRPr="00281602">
        <w:rPr>
          <w:rFonts w:eastAsia="Calibri"/>
          <w:sz w:val="22"/>
          <w:szCs w:val="22"/>
          <w:lang w:eastAsia="en-US"/>
        </w:rPr>
        <w:t>и</w:t>
      </w:r>
      <w:r w:rsidRPr="00281602">
        <w:rPr>
          <w:rFonts w:eastAsia="Calibri"/>
          <w:sz w:val="22"/>
          <w:szCs w:val="22"/>
          <w:lang w:eastAsia="en-US"/>
        </w:rPr>
        <w:t xml:space="preserve">рования у всех разная. </w:t>
      </w:r>
    </w:p>
    <w:p w:rsidR="00281602" w:rsidRPr="00281602" w:rsidRDefault="00281602" w:rsidP="00B572C5">
      <w:pPr>
        <w:ind w:firstLine="426"/>
        <w:jc w:val="both"/>
        <w:rPr>
          <w:rFonts w:eastAsia="Calibri"/>
          <w:sz w:val="22"/>
          <w:szCs w:val="22"/>
          <w:lang w:eastAsia="en-US"/>
        </w:rPr>
      </w:pPr>
      <w:r w:rsidRPr="00281602">
        <w:rPr>
          <w:rFonts w:eastAsia="Calibri"/>
          <w:sz w:val="22"/>
          <w:szCs w:val="22"/>
          <w:lang w:eastAsia="en-US"/>
        </w:rPr>
        <w:t>На вязкость и желирующую способность влияет температура, так при повышении ее пектины разрушаются и тем самым умен</w:t>
      </w:r>
      <w:r w:rsidRPr="00281602">
        <w:rPr>
          <w:rFonts w:eastAsia="Calibri"/>
          <w:sz w:val="22"/>
          <w:szCs w:val="22"/>
          <w:lang w:eastAsia="en-US"/>
        </w:rPr>
        <w:t>ь</w:t>
      </w:r>
      <w:r w:rsidRPr="00281602">
        <w:rPr>
          <w:rFonts w:eastAsia="Calibri"/>
          <w:sz w:val="22"/>
          <w:szCs w:val="22"/>
          <w:lang w:eastAsia="en-US"/>
        </w:rPr>
        <w:t>шается вязкость и желеобразование.</w:t>
      </w:r>
      <w:r w:rsidR="00B572C5">
        <w:rPr>
          <w:rFonts w:eastAsia="Calibri"/>
          <w:sz w:val="22"/>
          <w:szCs w:val="22"/>
          <w:lang w:eastAsia="en-US"/>
        </w:rPr>
        <w:t xml:space="preserve"> </w:t>
      </w:r>
      <w:r w:rsidRPr="00281602">
        <w:rPr>
          <w:rFonts w:eastAsia="Calibri"/>
          <w:sz w:val="22"/>
          <w:szCs w:val="22"/>
          <w:lang w:eastAsia="en-US"/>
        </w:rPr>
        <w:t>От этих показателей зависит качество и свойства пектина вырабатываемого из растительного сырья [2].</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lastRenderedPageBreak/>
        <w:t>В последнее время все больше оборотов приобретает безотхо</w:t>
      </w:r>
      <w:r w:rsidRPr="00281602">
        <w:rPr>
          <w:rFonts w:eastAsia="Calibri"/>
          <w:sz w:val="22"/>
          <w:szCs w:val="22"/>
          <w:lang w:eastAsia="en-US"/>
        </w:rPr>
        <w:t>д</w:t>
      </w:r>
      <w:r w:rsidRPr="00281602">
        <w:rPr>
          <w:rFonts w:eastAsia="Calibri"/>
          <w:sz w:val="22"/>
          <w:szCs w:val="22"/>
          <w:lang w:eastAsia="en-US"/>
        </w:rPr>
        <w:t>ное производство [3]. К такому производству можно отнести прои</w:t>
      </w:r>
      <w:r w:rsidRPr="00281602">
        <w:rPr>
          <w:rFonts w:eastAsia="Calibri"/>
          <w:sz w:val="22"/>
          <w:szCs w:val="22"/>
          <w:lang w:eastAsia="en-US"/>
        </w:rPr>
        <w:t>з</w:t>
      </w:r>
      <w:r w:rsidRPr="00281602">
        <w:rPr>
          <w:rFonts w:eastAsia="Calibri"/>
          <w:sz w:val="22"/>
          <w:szCs w:val="22"/>
          <w:lang w:eastAsia="en-US"/>
        </w:rPr>
        <w:t>водство пектина и пектинопродуктов из вторичных сырьевых р</w:t>
      </w:r>
      <w:r w:rsidRPr="00281602">
        <w:rPr>
          <w:rFonts w:eastAsia="Calibri"/>
          <w:sz w:val="22"/>
          <w:szCs w:val="22"/>
          <w:lang w:eastAsia="en-US"/>
        </w:rPr>
        <w:t>е</w:t>
      </w:r>
      <w:r w:rsidRPr="00281602">
        <w:rPr>
          <w:rFonts w:eastAsia="Calibri"/>
          <w:sz w:val="22"/>
          <w:szCs w:val="22"/>
          <w:lang w:eastAsia="en-US"/>
        </w:rPr>
        <w:t>сурсов.</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В России имеется достаточная сырьевая база для производства пектина. Общая площадь яблоневых насаждений составляет 147,9 га, однако собственного производства нет. Оно осуществляется в таких странах, как США, Польша, Австрия, Дания, Италия, Велик</w:t>
      </w:r>
      <w:r w:rsidRPr="00281602">
        <w:rPr>
          <w:rFonts w:eastAsia="Calibri"/>
          <w:sz w:val="22"/>
          <w:szCs w:val="22"/>
          <w:lang w:eastAsia="en-US"/>
        </w:rPr>
        <w:t>о</w:t>
      </w:r>
      <w:r w:rsidRPr="00281602">
        <w:rPr>
          <w:rFonts w:eastAsia="Calibri"/>
          <w:sz w:val="22"/>
          <w:szCs w:val="22"/>
          <w:lang w:eastAsia="en-US"/>
        </w:rPr>
        <w:t>британия, Болгария и Германия. При этом России приходится зак</w:t>
      </w:r>
      <w:r w:rsidRPr="00281602">
        <w:rPr>
          <w:rFonts w:eastAsia="Calibri"/>
          <w:sz w:val="22"/>
          <w:szCs w:val="22"/>
          <w:lang w:eastAsia="en-US"/>
        </w:rPr>
        <w:t>у</w:t>
      </w:r>
      <w:r w:rsidRPr="00281602">
        <w:rPr>
          <w:rFonts w:eastAsia="Calibri"/>
          <w:sz w:val="22"/>
          <w:szCs w:val="22"/>
          <w:lang w:eastAsia="en-US"/>
        </w:rPr>
        <w:t>пать пектин за рубежом, в среднем это составляет 3,0–3,5 тыс. т, но даже это в 20 раз меньше потребности.</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Также следует отметить, что именно использование жи</w:t>
      </w:r>
      <w:r w:rsidRPr="00281602">
        <w:rPr>
          <w:rFonts w:eastAsia="Calibri"/>
          <w:sz w:val="22"/>
          <w:szCs w:val="22"/>
          <w:lang w:eastAsia="en-US"/>
        </w:rPr>
        <w:t>д</w:t>
      </w:r>
      <w:r w:rsidRPr="00281602">
        <w:rPr>
          <w:rFonts w:eastAsia="Calibri"/>
          <w:sz w:val="22"/>
          <w:szCs w:val="22"/>
          <w:lang w:eastAsia="en-US"/>
        </w:rPr>
        <w:t>кихпектинопродуктов – гидратопектинов дает больший эффект оздоровления организма человека нежели пектины в виде порошка. Поэтому в настоящее время развитие и создание технологии пол</w:t>
      </w:r>
      <w:r w:rsidRPr="00281602">
        <w:rPr>
          <w:rFonts w:eastAsia="Calibri"/>
          <w:sz w:val="22"/>
          <w:szCs w:val="22"/>
          <w:lang w:eastAsia="en-US"/>
        </w:rPr>
        <w:t>у</w:t>
      </w:r>
      <w:r w:rsidRPr="00281602">
        <w:rPr>
          <w:rFonts w:eastAsia="Calibri"/>
          <w:sz w:val="22"/>
          <w:szCs w:val="22"/>
          <w:lang w:eastAsia="en-US"/>
        </w:rPr>
        <w:t>чения гидратопектинов является очень важной и актуальной зад</w:t>
      </w:r>
      <w:r w:rsidRPr="00281602">
        <w:rPr>
          <w:rFonts w:eastAsia="Calibri"/>
          <w:sz w:val="22"/>
          <w:szCs w:val="22"/>
          <w:lang w:eastAsia="en-US"/>
        </w:rPr>
        <w:t>а</w:t>
      </w:r>
      <w:r w:rsidRPr="00281602">
        <w:rPr>
          <w:rFonts w:eastAsia="Calibri"/>
          <w:sz w:val="22"/>
          <w:szCs w:val="22"/>
          <w:lang w:eastAsia="en-US"/>
        </w:rPr>
        <w:t>чей, так как она рассматривается не только с коммерческой точки зрения, но особое значение имеет в пищевом рационе.</w:t>
      </w:r>
    </w:p>
    <w:p w:rsidR="00281602" w:rsidRPr="00B572C5" w:rsidRDefault="00281602" w:rsidP="00B572C5">
      <w:pPr>
        <w:ind w:firstLine="426"/>
        <w:jc w:val="both"/>
        <w:rPr>
          <w:rFonts w:eastAsia="Calibri"/>
          <w:sz w:val="22"/>
          <w:szCs w:val="22"/>
          <w:lang w:eastAsia="en-US"/>
        </w:rPr>
      </w:pPr>
      <w:r w:rsidRPr="00281602">
        <w:rPr>
          <w:rFonts w:eastAsia="Calibri"/>
          <w:sz w:val="22"/>
          <w:szCs w:val="22"/>
          <w:lang w:eastAsia="en-US"/>
        </w:rPr>
        <w:t>Таким образом, использование пектинопродуктов в качестве биологически активных добавок улучшает здоровье и поддерживает иммунитет человека, что особенно важно в 21 веке, где одной из главных проблем является экологическая.</w:t>
      </w:r>
    </w:p>
    <w:p w:rsidR="00281602" w:rsidRPr="00281602" w:rsidRDefault="00281602" w:rsidP="00541645">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1. Серикова, Т.А. Плодоовощные консервы профилактического назначения/ Т.А. Серикова, Е.А. Красноселова// Научное обеспеч</w:t>
      </w:r>
      <w:r w:rsidRPr="00281602">
        <w:rPr>
          <w:rFonts w:eastAsia="Calibri"/>
          <w:sz w:val="22"/>
          <w:szCs w:val="22"/>
          <w:lang w:eastAsia="en-US"/>
        </w:rPr>
        <w:t>е</w:t>
      </w:r>
      <w:r w:rsidRPr="00281602">
        <w:rPr>
          <w:rFonts w:eastAsia="Calibri"/>
          <w:sz w:val="22"/>
          <w:szCs w:val="22"/>
          <w:lang w:eastAsia="en-US"/>
        </w:rPr>
        <w:t>ние агропромышленного комплекса: Сб. науч. статей/Кубанский государственный аграрный университет. – Краснодар, 2017. – С. 1338–1339.</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2. Донченко Л.В., Фирсов Г.Г. Технология пектина и пектин</w:t>
      </w:r>
      <w:r w:rsidRPr="00281602">
        <w:rPr>
          <w:rFonts w:eastAsia="Calibri"/>
          <w:sz w:val="22"/>
          <w:szCs w:val="22"/>
          <w:lang w:eastAsia="en-US"/>
        </w:rPr>
        <w:t>о</w:t>
      </w:r>
      <w:r w:rsidRPr="00281602">
        <w:rPr>
          <w:rFonts w:eastAsia="Calibri"/>
          <w:sz w:val="22"/>
          <w:szCs w:val="22"/>
          <w:lang w:eastAsia="en-US"/>
        </w:rPr>
        <w:t>продуктов /Краснодар: КГАУ,2006.-279 с.</w:t>
      </w:r>
    </w:p>
    <w:p w:rsidR="00281602" w:rsidRPr="00281602" w:rsidRDefault="00281602" w:rsidP="00541645">
      <w:pPr>
        <w:ind w:firstLine="426"/>
        <w:jc w:val="both"/>
        <w:rPr>
          <w:rFonts w:eastAsia="Calibri"/>
          <w:sz w:val="22"/>
          <w:szCs w:val="22"/>
          <w:lang w:eastAsia="en-US"/>
        </w:rPr>
      </w:pPr>
      <w:r w:rsidRPr="00281602">
        <w:rPr>
          <w:rFonts w:eastAsia="Calibri"/>
          <w:sz w:val="22"/>
          <w:szCs w:val="22"/>
          <w:lang w:eastAsia="en-US"/>
        </w:rPr>
        <w:t>3. Красноселова, Е.А. О необходимости и эффективности вне</w:t>
      </w:r>
      <w:r w:rsidRPr="00281602">
        <w:rPr>
          <w:rFonts w:eastAsia="Calibri"/>
          <w:sz w:val="22"/>
          <w:szCs w:val="22"/>
          <w:lang w:eastAsia="en-US"/>
        </w:rPr>
        <w:t>д</w:t>
      </w:r>
      <w:r w:rsidRPr="00281602">
        <w:rPr>
          <w:rFonts w:eastAsia="Calibri"/>
          <w:sz w:val="22"/>
          <w:szCs w:val="22"/>
          <w:lang w:eastAsia="en-US"/>
        </w:rPr>
        <w:t>рения безотходных технологий в современную пищевую промы</w:t>
      </w:r>
      <w:r w:rsidRPr="00281602">
        <w:rPr>
          <w:rFonts w:eastAsia="Calibri"/>
          <w:sz w:val="22"/>
          <w:szCs w:val="22"/>
          <w:lang w:eastAsia="en-US"/>
        </w:rPr>
        <w:t>ш</w:t>
      </w:r>
      <w:r w:rsidRPr="00281602">
        <w:rPr>
          <w:rFonts w:eastAsia="Calibri"/>
          <w:sz w:val="22"/>
          <w:szCs w:val="22"/>
          <w:lang w:eastAsia="en-US"/>
        </w:rPr>
        <w:t>ленность/ Е.А. Красноселова, М.В. Тайкова// Современные аспекты производства и переработки сельскохозяйственной продукции: Сб. статей по материалам III науч.-практ. конф./Кубанский госуда</w:t>
      </w:r>
      <w:r w:rsidRPr="00281602">
        <w:rPr>
          <w:rFonts w:eastAsia="Calibri"/>
          <w:sz w:val="22"/>
          <w:szCs w:val="22"/>
          <w:lang w:eastAsia="en-US"/>
        </w:rPr>
        <w:t>р</w:t>
      </w:r>
      <w:r w:rsidRPr="00281602">
        <w:rPr>
          <w:rFonts w:eastAsia="Calibri"/>
          <w:sz w:val="22"/>
          <w:szCs w:val="22"/>
          <w:lang w:eastAsia="en-US"/>
        </w:rPr>
        <w:t>ственный аграрный университет. – Краснодар, 2017. – С. 669–675</w:t>
      </w:r>
    </w:p>
    <w:p w:rsidR="00281602" w:rsidRPr="00281602" w:rsidRDefault="00281602" w:rsidP="00541645">
      <w:pPr>
        <w:ind w:firstLine="426"/>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281602" w:rsidRPr="00281602" w:rsidRDefault="00281602" w:rsidP="00281602">
      <w:pPr>
        <w:rPr>
          <w:rFonts w:eastAsia="Calibri"/>
          <w:sz w:val="22"/>
          <w:szCs w:val="22"/>
          <w:lang w:eastAsia="en-US"/>
        </w:rPr>
      </w:pPr>
      <w:r w:rsidRPr="00281602">
        <w:rPr>
          <w:rFonts w:eastAsia="Calibri"/>
          <w:sz w:val="22"/>
          <w:szCs w:val="22"/>
          <w:lang w:eastAsia="en-US"/>
        </w:rPr>
        <w:lastRenderedPageBreak/>
        <w:t>УДК 663.885</w:t>
      </w:r>
    </w:p>
    <w:p w:rsidR="00281602" w:rsidRPr="00281602" w:rsidRDefault="00281602" w:rsidP="00281602">
      <w:pPr>
        <w:jc w:val="both"/>
        <w:rPr>
          <w:rFonts w:eastAsia="Calibri"/>
          <w:b/>
          <w:sz w:val="20"/>
          <w:szCs w:val="20"/>
          <w:lang w:eastAsia="en-US"/>
        </w:rPr>
      </w:pPr>
      <w:r w:rsidRPr="00281602">
        <w:rPr>
          <w:rFonts w:eastAsia="Calibri"/>
          <w:b/>
          <w:sz w:val="20"/>
          <w:szCs w:val="20"/>
          <w:lang w:eastAsia="en-US"/>
        </w:rPr>
        <w:t>….</w:t>
      </w:r>
    </w:p>
    <w:p w:rsidR="00281602" w:rsidRDefault="00281602" w:rsidP="00281602">
      <w:pPr>
        <w:jc w:val="center"/>
        <w:rPr>
          <w:rFonts w:eastAsia="Calibri"/>
          <w:b/>
          <w:sz w:val="24"/>
          <w:szCs w:val="24"/>
          <w:lang w:eastAsia="en-US"/>
        </w:rPr>
      </w:pPr>
      <w:r w:rsidRPr="00281602">
        <w:rPr>
          <w:rFonts w:eastAsia="Calibri"/>
          <w:b/>
          <w:sz w:val="24"/>
          <w:szCs w:val="24"/>
          <w:lang w:eastAsia="en-US"/>
        </w:rPr>
        <w:t xml:space="preserve">Разработка рецептуры функционального напитка </w:t>
      </w:r>
      <w:r w:rsidR="00541645">
        <w:rPr>
          <w:rFonts w:eastAsia="Calibri"/>
          <w:b/>
          <w:sz w:val="24"/>
          <w:szCs w:val="24"/>
          <w:lang w:eastAsia="en-US"/>
        </w:rPr>
        <w:br/>
      </w:r>
      <w:r w:rsidRPr="00281602">
        <w:rPr>
          <w:rFonts w:eastAsia="Calibri"/>
          <w:b/>
          <w:sz w:val="24"/>
          <w:szCs w:val="24"/>
          <w:lang w:eastAsia="en-US"/>
        </w:rPr>
        <w:t>на осно</w:t>
      </w:r>
      <w:r w:rsidR="00541645">
        <w:rPr>
          <w:rFonts w:eastAsia="Calibri"/>
          <w:b/>
          <w:sz w:val="24"/>
          <w:szCs w:val="24"/>
          <w:lang w:eastAsia="en-US"/>
        </w:rPr>
        <w:t>ве натурального овощного сырья</w:t>
      </w:r>
    </w:p>
    <w:p w:rsidR="00B572C5" w:rsidRPr="001360B4" w:rsidRDefault="00541645" w:rsidP="00B572C5">
      <w:pPr>
        <w:jc w:val="center"/>
        <w:rPr>
          <w:rFonts w:eastAsia="Calibri"/>
          <w:b/>
          <w:sz w:val="24"/>
          <w:szCs w:val="24"/>
          <w:lang w:val="en-US" w:eastAsia="en-US"/>
        </w:rPr>
      </w:pPr>
      <w:r w:rsidRPr="00541645">
        <w:rPr>
          <w:rFonts w:eastAsia="Calibri"/>
          <w:b/>
          <w:sz w:val="24"/>
          <w:szCs w:val="24"/>
          <w:lang w:val="en-US" w:eastAsia="en-US"/>
        </w:rPr>
        <w:t xml:space="preserve">Development of a recipe for a functional drink based </w:t>
      </w:r>
      <w:r w:rsidR="001360B4" w:rsidRPr="001360B4">
        <w:rPr>
          <w:rFonts w:eastAsia="Calibri"/>
          <w:b/>
          <w:sz w:val="24"/>
          <w:szCs w:val="24"/>
          <w:lang w:val="en-US" w:eastAsia="en-US"/>
        </w:rPr>
        <w:br/>
      </w:r>
      <w:r w:rsidRPr="00541645">
        <w:rPr>
          <w:rFonts w:eastAsia="Calibri"/>
          <w:b/>
          <w:sz w:val="24"/>
          <w:szCs w:val="24"/>
          <w:lang w:val="en-US" w:eastAsia="en-US"/>
        </w:rPr>
        <w:t>on natural vegetable raw materials</w:t>
      </w:r>
    </w:p>
    <w:p w:rsidR="001360B4" w:rsidRPr="001360B4" w:rsidRDefault="001360B4" w:rsidP="00B572C5">
      <w:pPr>
        <w:jc w:val="center"/>
        <w:rPr>
          <w:rFonts w:eastAsia="Calibri"/>
          <w:b/>
          <w:sz w:val="24"/>
          <w:szCs w:val="24"/>
          <w:lang w:val="en-US"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Тарасенко А.</w:t>
      </w:r>
      <w:r w:rsidR="00541645">
        <w:rPr>
          <w:rFonts w:eastAsia="Calibri"/>
          <w:sz w:val="22"/>
          <w:szCs w:val="22"/>
          <w:lang w:eastAsia="en-US"/>
        </w:rPr>
        <w:t xml:space="preserve"> </w:t>
      </w:r>
      <w:r w:rsidRPr="00281602">
        <w:rPr>
          <w:rFonts w:eastAsia="Calibri"/>
          <w:sz w:val="22"/>
          <w:szCs w:val="22"/>
          <w:lang w:eastAsia="en-US"/>
        </w:rPr>
        <w:t>В.,</w:t>
      </w:r>
    </w:p>
    <w:p w:rsidR="00281602" w:rsidRPr="00281602" w:rsidRDefault="00541645" w:rsidP="00B572C5">
      <w:pPr>
        <w:jc w:val="right"/>
        <w:rPr>
          <w:rFonts w:eastAsia="Calibri"/>
          <w:spacing w:val="-6"/>
          <w:sz w:val="22"/>
          <w:szCs w:val="22"/>
          <w:lang w:eastAsia="en-US"/>
        </w:rPr>
      </w:pPr>
      <w:r>
        <w:rPr>
          <w:rFonts w:eastAsia="Calibri"/>
          <w:spacing w:val="-6"/>
          <w:sz w:val="22"/>
          <w:szCs w:val="22"/>
          <w:lang w:eastAsia="en-US"/>
        </w:rPr>
        <w:t>студентка 4 курса факультета</w:t>
      </w:r>
      <w:r w:rsidR="00B572C5">
        <w:rPr>
          <w:rFonts w:eastAsia="Calibri"/>
          <w:spacing w:val="-6"/>
          <w:sz w:val="22"/>
          <w:szCs w:val="22"/>
          <w:lang w:eastAsia="en-US"/>
        </w:rPr>
        <w:t xml:space="preserve"> </w:t>
      </w:r>
      <w:r w:rsidR="00281602" w:rsidRPr="00281602">
        <w:rPr>
          <w:rFonts w:eastAsia="Calibri"/>
          <w:spacing w:val="-6"/>
          <w:sz w:val="22"/>
          <w:szCs w:val="22"/>
          <w:lang w:eastAsia="en-US"/>
        </w:rPr>
        <w:t>перерабатывающих технологий</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Влащик Л. Г.,</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доцент кафедры технологии хранения</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 xml:space="preserve"> и переработки растениеводческой продукции</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Кубанский государственный аграрный</w:t>
      </w:r>
    </w:p>
    <w:p w:rsidR="00281602" w:rsidRPr="00281602" w:rsidRDefault="00281602" w:rsidP="00281602">
      <w:pPr>
        <w:jc w:val="right"/>
        <w:rPr>
          <w:rFonts w:eastAsia="Calibri"/>
          <w:spacing w:val="-6"/>
          <w:sz w:val="22"/>
          <w:szCs w:val="22"/>
          <w:lang w:eastAsia="en-US"/>
        </w:rPr>
      </w:pPr>
      <w:r w:rsidRPr="00281602">
        <w:rPr>
          <w:rFonts w:eastAsia="Calibri"/>
          <w:spacing w:val="-6"/>
          <w:sz w:val="22"/>
          <w:szCs w:val="22"/>
          <w:lang w:eastAsia="en-US"/>
        </w:rPr>
        <w:t>университет имени И.</w:t>
      </w:r>
      <w:r w:rsidR="00541645">
        <w:rPr>
          <w:rFonts w:eastAsia="Calibri"/>
          <w:spacing w:val="-6"/>
          <w:sz w:val="22"/>
          <w:szCs w:val="22"/>
          <w:lang w:eastAsia="en-US"/>
        </w:rPr>
        <w:t xml:space="preserve"> </w:t>
      </w:r>
      <w:r w:rsidRPr="00281602">
        <w:rPr>
          <w:rFonts w:eastAsia="Calibri"/>
          <w:spacing w:val="-6"/>
          <w:sz w:val="22"/>
          <w:szCs w:val="22"/>
          <w:lang w:eastAsia="en-US"/>
        </w:rPr>
        <w:t>Т.</w:t>
      </w:r>
      <w:r w:rsidR="00541645">
        <w:rPr>
          <w:rFonts w:eastAsia="Calibri"/>
          <w:spacing w:val="-6"/>
          <w:sz w:val="22"/>
          <w:szCs w:val="22"/>
          <w:lang w:eastAsia="en-US"/>
        </w:rPr>
        <w:t xml:space="preserve"> </w:t>
      </w:r>
      <w:r w:rsidRPr="00281602">
        <w:rPr>
          <w:rFonts w:eastAsia="Calibri"/>
          <w:spacing w:val="-6"/>
          <w:sz w:val="22"/>
          <w:szCs w:val="22"/>
          <w:lang w:eastAsia="en-US"/>
        </w:rPr>
        <w:t>Трубилина</w:t>
      </w:r>
    </w:p>
    <w:p w:rsidR="00281602" w:rsidRPr="00281602" w:rsidRDefault="00281602" w:rsidP="00281602">
      <w:pPr>
        <w:jc w:val="right"/>
        <w:rPr>
          <w:rFonts w:eastAsia="Calibri"/>
          <w:sz w:val="22"/>
          <w:szCs w:val="22"/>
          <w:lang w:eastAsia="en-US"/>
        </w:rPr>
      </w:pP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АННОТАЦИЯ: Изучены показатели качества овощных ингр</w:t>
      </w:r>
      <w:r w:rsidRPr="00541645">
        <w:rPr>
          <w:rFonts w:eastAsia="Calibri"/>
          <w:sz w:val="22"/>
          <w:szCs w:val="22"/>
          <w:lang w:eastAsia="en-US"/>
        </w:rPr>
        <w:t>е</w:t>
      </w:r>
      <w:r w:rsidRPr="00541645">
        <w:rPr>
          <w:rFonts w:eastAsia="Calibri"/>
          <w:sz w:val="22"/>
          <w:szCs w:val="22"/>
          <w:lang w:eastAsia="en-US"/>
        </w:rPr>
        <w:t>диентов для функционального напитка. Разработана рецептура и установлена пищевая ценность овощных напитков с добавлением экстрактов из кормового арбуза и имбиря.</w:t>
      </w:r>
    </w:p>
    <w:p w:rsidR="00281602" w:rsidRPr="00541645" w:rsidRDefault="00281602" w:rsidP="00541645">
      <w:pPr>
        <w:shd w:val="clear" w:color="auto" w:fill="FFFFFF"/>
        <w:ind w:firstLine="425"/>
        <w:rPr>
          <w:rFonts w:eastAsia="Calibri"/>
          <w:sz w:val="22"/>
          <w:szCs w:val="22"/>
          <w:lang w:val="en-US" w:eastAsia="en-US"/>
        </w:rPr>
      </w:pPr>
      <w:r w:rsidRPr="00541645">
        <w:rPr>
          <w:rFonts w:eastAsia="Calibri"/>
          <w:sz w:val="22"/>
          <w:szCs w:val="22"/>
          <w:lang w:val="en-US" w:eastAsia="en-US"/>
        </w:rPr>
        <w:t>ABSTRACT: Quality indicators of vegetable ingredients for a fun</w:t>
      </w:r>
      <w:r w:rsidRPr="00541645">
        <w:rPr>
          <w:rFonts w:eastAsia="Calibri"/>
          <w:sz w:val="22"/>
          <w:szCs w:val="22"/>
          <w:lang w:val="en-US" w:eastAsia="en-US"/>
        </w:rPr>
        <w:t>c</w:t>
      </w:r>
      <w:r w:rsidRPr="00541645">
        <w:rPr>
          <w:rFonts w:eastAsia="Calibri"/>
          <w:sz w:val="22"/>
          <w:szCs w:val="22"/>
          <w:lang w:val="en-US" w:eastAsia="en-US"/>
        </w:rPr>
        <w:t>tional drink have been studied. A recipe has been developed and the n</w:t>
      </w:r>
      <w:r w:rsidRPr="00541645">
        <w:rPr>
          <w:rFonts w:eastAsia="Calibri"/>
          <w:sz w:val="22"/>
          <w:szCs w:val="22"/>
          <w:lang w:val="en-US" w:eastAsia="en-US"/>
        </w:rPr>
        <w:t>u</w:t>
      </w:r>
      <w:r w:rsidRPr="00541645">
        <w:rPr>
          <w:rFonts w:eastAsia="Calibri"/>
          <w:sz w:val="22"/>
          <w:szCs w:val="22"/>
          <w:lang w:val="en-US" w:eastAsia="en-US"/>
        </w:rPr>
        <w:t>tritional value of vegetable drinks has been established with the addition of extracts from watermelon and ginger.</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КЛЮЧЕВЫЕ СЛОВА: Функциональный напиток, витамины, овощное сырье, функциональные ингредиенты, пищевая ценность, пектин, рецептура.</w:t>
      </w:r>
    </w:p>
    <w:p w:rsidR="00281602" w:rsidRPr="00541645" w:rsidRDefault="00281602" w:rsidP="00541645">
      <w:pPr>
        <w:shd w:val="clear" w:color="auto" w:fill="FFFFFF"/>
        <w:ind w:firstLine="425"/>
        <w:rPr>
          <w:rFonts w:eastAsia="Calibri"/>
          <w:sz w:val="22"/>
          <w:szCs w:val="22"/>
          <w:lang w:val="en-US" w:eastAsia="en-US"/>
        </w:rPr>
      </w:pPr>
      <w:r w:rsidRPr="00541645">
        <w:rPr>
          <w:rFonts w:eastAsia="Calibri"/>
          <w:sz w:val="22"/>
          <w:szCs w:val="22"/>
          <w:lang w:val="en-US" w:eastAsia="en-US"/>
        </w:rPr>
        <w:t>KEYWORDS: Functional drink, vitamins, vegetable raw materials, functional ingredients, nutritional value, pectin, formulation.</w:t>
      </w:r>
    </w:p>
    <w:p w:rsidR="00281602" w:rsidRPr="00541645" w:rsidRDefault="00281602" w:rsidP="00541645">
      <w:pPr>
        <w:ind w:firstLine="425"/>
        <w:jc w:val="both"/>
        <w:rPr>
          <w:rFonts w:eastAsia="Calibri"/>
          <w:sz w:val="22"/>
          <w:szCs w:val="22"/>
          <w:lang w:val="en-US" w:eastAsia="en-US"/>
        </w:rPr>
      </w:pP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В соответствии с первостепенными направлениями госуда</w:t>
      </w:r>
      <w:r w:rsidRPr="00541645">
        <w:rPr>
          <w:rFonts w:eastAsia="Calibri"/>
          <w:sz w:val="22"/>
          <w:szCs w:val="22"/>
          <w:lang w:eastAsia="en-US"/>
        </w:rPr>
        <w:t>р</w:t>
      </w:r>
      <w:r w:rsidRPr="00541645">
        <w:rPr>
          <w:rFonts w:eastAsia="Calibri"/>
          <w:sz w:val="22"/>
          <w:szCs w:val="22"/>
          <w:lang w:eastAsia="en-US"/>
        </w:rPr>
        <w:t>ственной политики Российской Федерации в области здорового п</w:t>
      </w:r>
      <w:r w:rsidRPr="00541645">
        <w:rPr>
          <w:rFonts w:eastAsia="Calibri"/>
          <w:sz w:val="22"/>
          <w:szCs w:val="22"/>
          <w:lang w:eastAsia="en-US"/>
        </w:rPr>
        <w:t>и</w:t>
      </w:r>
      <w:r w:rsidRPr="00541645">
        <w:rPr>
          <w:rFonts w:eastAsia="Calibri"/>
          <w:sz w:val="22"/>
          <w:szCs w:val="22"/>
          <w:lang w:eastAsia="en-US"/>
        </w:rPr>
        <w:t>тания населения особо актуальным является конструирование пр</w:t>
      </w:r>
      <w:r w:rsidRPr="00541645">
        <w:rPr>
          <w:rFonts w:eastAsia="Calibri"/>
          <w:sz w:val="22"/>
          <w:szCs w:val="22"/>
          <w:lang w:eastAsia="en-US"/>
        </w:rPr>
        <w:t>о</w:t>
      </w:r>
      <w:r w:rsidRPr="00541645">
        <w:rPr>
          <w:rFonts w:eastAsia="Calibri"/>
          <w:sz w:val="22"/>
          <w:szCs w:val="22"/>
          <w:lang w:eastAsia="en-US"/>
        </w:rPr>
        <w:t>дуктов специального назначения в целях сохранения и укрепления генофонда страны, профилактики заболеваний, связанных с нер</w:t>
      </w:r>
      <w:r w:rsidRPr="00541645">
        <w:rPr>
          <w:rFonts w:eastAsia="Calibri"/>
          <w:sz w:val="22"/>
          <w:szCs w:val="22"/>
          <w:lang w:eastAsia="en-US"/>
        </w:rPr>
        <w:t>а</w:t>
      </w:r>
      <w:r w:rsidRPr="00541645">
        <w:rPr>
          <w:rFonts w:eastAsia="Calibri"/>
          <w:sz w:val="22"/>
          <w:szCs w:val="22"/>
          <w:lang w:eastAsia="en-US"/>
        </w:rPr>
        <w:t>циональным питанием [4,5].</w:t>
      </w:r>
    </w:p>
    <w:p w:rsidR="00281602" w:rsidRPr="00541645" w:rsidRDefault="00281602" w:rsidP="00541645">
      <w:pPr>
        <w:ind w:firstLine="425"/>
        <w:jc w:val="both"/>
        <w:rPr>
          <w:rFonts w:eastAsia="Calibri"/>
          <w:sz w:val="22"/>
          <w:szCs w:val="22"/>
          <w:shd w:val="clear" w:color="auto" w:fill="FFFFFF"/>
          <w:lang w:eastAsia="en-US"/>
        </w:rPr>
      </w:pPr>
      <w:r w:rsidRPr="00541645">
        <w:rPr>
          <w:rFonts w:eastAsia="Calibri"/>
          <w:sz w:val="22"/>
          <w:szCs w:val="22"/>
          <w:shd w:val="clear" w:color="auto" w:fill="FFFFFF"/>
          <w:lang w:eastAsia="en-US"/>
        </w:rPr>
        <w:t xml:space="preserve">Перспективным направлением, развивающимся в последние годы быстрыми темпами в области здорового питания, является </w:t>
      </w:r>
      <w:r w:rsidRPr="00541645">
        <w:rPr>
          <w:rFonts w:eastAsia="Calibri"/>
          <w:sz w:val="22"/>
          <w:szCs w:val="22"/>
          <w:shd w:val="clear" w:color="auto" w:fill="FFFFFF"/>
          <w:lang w:eastAsia="en-US"/>
        </w:rPr>
        <w:lastRenderedPageBreak/>
        <w:t>разработка технологий функциональных продуктов на основе нат</w:t>
      </w:r>
      <w:r w:rsidRPr="00541645">
        <w:rPr>
          <w:rFonts w:eastAsia="Calibri"/>
          <w:sz w:val="22"/>
          <w:szCs w:val="22"/>
          <w:shd w:val="clear" w:color="auto" w:fill="FFFFFF"/>
          <w:lang w:eastAsia="en-US"/>
        </w:rPr>
        <w:t>у</w:t>
      </w:r>
      <w:r w:rsidRPr="00541645">
        <w:rPr>
          <w:rFonts w:eastAsia="Calibri"/>
          <w:sz w:val="22"/>
          <w:szCs w:val="22"/>
          <w:shd w:val="clear" w:color="auto" w:fill="FFFFFF"/>
          <w:lang w:eastAsia="en-US"/>
        </w:rPr>
        <w:t>рального сырья. В настоящее время для их производства использ</w:t>
      </w:r>
      <w:r w:rsidRPr="00541645">
        <w:rPr>
          <w:rFonts w:eastAsia="Calibri"/>
          <w:sz w:val="22"/>
          <w:szCs w:val="22"/>
          <w:shd w:val="clear" w:color="auto" w:fill="FFFFFF"/>
          <w:lang w:eastAsia="en-US"/>
        </w:rPr>
        <w:t>у</w:t>
      </w:r>
      <w:r w:rsidRPr="00541645">
        <w:rPr>
          <w:rFonts w:eastAsia="Calibri"/>
          <w:sz w:val="22"/>
          <w:szCs w:val="22"/>
          <w:shd w:val="clear" w:color="auto" w:fill="FFFFFF"/>
          <w:lang w:eastAsia="en-US"/>
        </w:rPr>
        <w:t>ют растительное сырье, содержащее комплекс биологически акти</w:t>
      </w:r>
      <w:r w:rsidRPr="00541645">
        <w:rPr>
          <w:rFonts w:eastAsia="Calibri"/>
          <w:sz w:val="22"/>
          <w:szCs w:val="22"/>
          <w:shd w:val="clear" w:color="auto" w:fill="FFFFFF"/>
          <w:lang w:eastAsia="en-US"/>
        </w:rPr>
        <w:t>в</w:t>
      </w:r>
      <w:r w:rsidRPr="00541645">
        <w:rPr>
          <w:rFonts w:eastAsia="Calibri"/>
          <w:sz w:val="22"/>
          <w:szCs w:val="22"/>
          <w:shd w:val="clear" w:color="auto" w:fill="FFFFFF"/>
          <w:lang w:eastAsia="en-US"/>
        </w:rPr>
        <w:t>ных веществ. Наличие этих ингредиентов способствует улучшению многих физиологических процессов в организме и повышению его иммунного статуса [1,2].</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Прогрессивные технологии переработки растительного сырья позволяет получать концентрированной экстракты и основы, на б</w:t>
      </w:r>
      <w:r w:rsidRPr="00541645">
        <w:rPr>
          <w:rFonts w:eastAsia="Calibri"/>
          <w:sz w:val="22"/>
          <w:szCs w:val="22"/>
          <w:lang w:eastAsia="en-US"/>
        </w:rPr>
        <w:t>а</w:t>
      </w:r>
      <w:r w:rsidRPr="00541645">
        <w:rPr>
          <w:rFonts w:eastAsia="Calibri"/>
          <w:sz w:val="22"/>
          <w:szCs w:val="22"/>
          <w:lang w:eastAsia="en-US"/>
        </w:rPr>
        <w:t>зе которых производит разнообразные виды функциональных пр</w:t>
      </w:r>
      <w:r w:rsidRPr="00541645">
        <w:rPr>
          <w:rFonts w:eastAsia="Calibri"/>
          <w:sz w:val="22"/>
          <w:szCs w:val="22"/>
          <w:lang w:eastAsia="en-US"/>
        </w:rPr>
        <w:t>о</w:t>
      </w:r>
      <w:r w:rsidRPr="00541645">
        <w:rPr>
          <w:rFonts w:eastAsia="Calibri"/>
          <w:sz w:val="22"/>
          <w:szCs w:val="22"/>
          <w:lang w:eastAsia="en-US"/>
        </w:rPr>
        <w:t>дуктов [3].</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Разработка функционального напитка на основе растительного сырья с обогащением натуральными ингредиентами, на наш взгляд, является перспективным направлением в пищевой промышленн</w:t>
      </w:r>
      <w:r w:rsidRPr="00541645">
        <w:rPr>
          <w:rFonts w:eastAsia="Calibri"/>
          <w:sz w:val="22"/>
          <w:szCs w:val="22"/>
          <w:lang w:eastAsia="en-US"/>
        </w:rPr>
        <w:t>о</w:t>
      </w:r>
      <w:r w:rsidRPr="00541645">
        <w:rPr>
          <w:rFonts w:eastAsia="Calibri"/>
          <w:sz w:val="22"/>
          <w:szCs w:val="22"/>
          <w:lang w:eastAsia="en-US"/>
        </w:rPr>
        <w:t>сти. В связи с этим нами были проведены исследования по разр</w:t>
      </w:r>
      <w:r w:rsidRPr="00541645">
        <w:rPr>
          <w:rFonts w:eastAsia="Calibri"/>
          <w:sz w:val="22"/>
          <w:szCs w:val="22"/>
          <w:lang w:eastAsia="en-US"/>
        </w:rPr>
        <w:t>а</w:t>
      </w:r>
      <w:r w:rsidRPr="00541645">
        <w:rPr>
          <w:rFonts w:eastAsia="Calibri"/>
          <w:sz w:val="22"/>
          <w:szCs w:val="22"/>
          <w:lang w:eastAsia="en-US"/>
        </w:rPr>
        <w:t>ботке рецептур напитков из нетрадиционного овощного сырья, о</w:t>
      </w:r>
      <w:r w:rsidRPr="00541645">
        <w:rPr>
          <w:rFonts w:eastAsia="Calibri"/>
          <w:sz w:val="22"/>
          <w:szCs w:val="22"/>
          <w:lang w:eastAsia="en-US"/>
        </w:rPr>
        <w:t>б</w:t>
      </w:r>
      <w:r w:rsidRPr="00541645">
        <w:rPr>
          <w:rFonts w:eastAsia="Calibri"/>
          <w:sz w:val="22"/>
          <w:szCs w:val="22"/>
          <w:lang w:eastAsia="en-US"/>
        </w:rPr>
        <w:t>ладающих повышенной пищевой, биологической ценностью и пр</w:t>
      </w:r>
      <w:r w:rsidRPr="00541645">
        <w:rPr>
          <w:rFonts w:eastAsia="Calibri"/>
          <w:sz w:val="22"/>
          <w:szCs w:val="22"/>
          <w:lang w:eastAsia="en-US"/>
        </w:rPr>
        <w:t>о</w:t>
      </w:r>
      <w:r w:rsidRPr="00541645">
        <w:rPr>
          <w:rFonts w:eastAsia="Calibri"/>
          <w:sz w:val="22"/>
          <w:szCs w:val="22"/>
          <w:lang w:eastAsia="en-US"/>
        </w:rPr>
        <w:t>филактической направленностью.</w:t>
      </w:r>
    </w:p>
    <w:p w:rsidR="00281602" w:rsidRPr="00541645" w:rsidRDefault="00281602" w:rsidP="00541645">
      <w:pPr>
        <w:tabs>
          <w:tab w:val="left" w:pos="0"/>
        </w:tabs>
        <w:ind w:firstLine="425"/>
        <w:jc w:val="both"/>
        <w:rPr>
          <w:rFonts w:eastAsia="Calibri"/>
          <w:sz w:val="22"/>
          <w:szCs w:val="22"/>
          <w:lang w:eastAsia="en-US"/>
        </w:rPr>
      </w:pPr>
      <w:r w:rsidRPr="00541645">
        <w:rPr>
          <w:rFonts w:eastAsia="Calibri"/>
          <w:sz w:val="22"/>
          <w:szCs w:val="22"/>
          <w:lang w:eastAsia="en-US"/>
        </w:rPr>
        <w:t>В качестве основы для напитка был взят томатный сок, обог</w:t>
      </w:r>
      <w:r w:rsidRPr="00541645">
        <w:rPr>
          <w:rFonts w:eastAsia="Calibri"/>
          <w:sz w:val="22"/>
          <w:szCs w:val="22"/>
          <w:lang w:eastAsia="en-US"/>
        </w:rPr>
        <w:t>а</w:t>
      </w:r>
      <w:r w:rsidRPr="00541645">
        <w:rPr>
          <w:rFonts w:eastAsia="Calibri"/>
          <w:sz w:val="22"/>
          <w:szCs w:val="22"/>
          <w:lang w:eastAsia="en-US"/>
        </w:rPr>
        <w:t>щающим компонентом являются пюре из плодов кабачка, экстра</w:t>
      </w:r>
      <w:r w:rsidRPr="00541645">
        <w:rPr>
          <w:rFonts w:eastAsia="Calibri"/>
          <w:sz w:val="22"/>
          <w:szCs w:val="22"/>
          <w:lang w:eastAsia="en-US"/>
        </w:rPr>
        <w:t>к</w:t>
      </w:r>
      <w:r w:rsidRPr="00541645">
        <w:rPr>
          <w:rFonts w:eastAsia="Calibri"/>
          <w:sz w:val="22"/>
          <w:szCs w:val="22"/>
          <w:lang w:eastAsia="en-US"/>
        </w:rPr>
        <w:t>ты из имбиря и кормового арбуза. Данное сырье содержит знач</w:t>
      </w:r>
      <w:r w:rsidRPr="00541645">
        <w:rPr>
          <w:rFonts w:eastAsia="Calibri"/>
          <w:sz w:val="22"/>
          <w:szCs w:val="22"/>
          <w:lang w:eastAsia="en-US"/>
        </w:rPr>
        <w:t>и</w:t>
      </w:r>
      <w:r w:rsidRPr="00541645">
        <w:rPr>
          <w:rFonts w:eastAsia="Calibri"/>
          <w:sz w:val="22"/>
          <w:szCs w:val="22"/>
          <w:lang w:eastAsia="en-US"/>
        </w:rPr>
        <w:t>тельное количество макро и микроэлементов, витаминов, пектин</w:t>
      </w:r>
      <w:r w:rsidRPr="00541645">
        <w:rPr>
          <w:rFonts w:eastAsia="Calibri"/>
          <w:sz w:val="22"/>
          <w:szCs w:val="22"/>
          <w:lang w:eastAsia="en-US"/>
        </w:rPr>
        <w:t>о</w:t>
      </w:r>
      <w:r w:rsidRPr="00541645">
        <w:rPr>
          <w:rFonts w:eastAsia="Calibri"/>
          <w:sz w:val="22"/>
          <w:szCs w:val="22"/>
          <w:lang w:eastAsia="en-US"/>
        </w:rPr>
        <w:t>вых веществ и хорошо сочетается в рецептуре напитка.</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При разработке рецептуры, подготовленные компоненты вн</w:t>
      </w:r>
      <w:r w:rsidRPr="00541645">
        <w:rPr>
          <w:rFonts w:eastAsia="Calibri"/>
          <w:sz w:val="22"/>
          <w:szCs w:val="22"/>
          <w:lang w:eastAsia="en-US"/>
        </w:rPr>
        <w:t>о</w:t>
      </w:r>
      <w:r w:rsidRPr="00541645">
        <w:rPr>
          <w:rFonts w:eastAsia="Calibri"/>
          <w:sz w:val="22"/>
          <w:szCs w:val="22"/>
          <w:lang w:eastAsia="en-US"/>
        </w:rPr>
        <w:t>сили в разных количественных соотношениях для достижения о</w:t>
      </w:r>
      <w:r w:rsidRPr="00541645">
        <w:rPr>
          <w:rFonts w:eastAsia="Calibri"/>
          <w:sz w:val="22"/>
          <w:szCs w:val="22"/>
          <w:lang w:eastAsia="en-US"/>
        </w:rPr>
        <w:t>п</w:t>
      </w:r>
      <w:r w:rsidRPr="00541645">
        <w:rPr>
          <w:rFonts w:eastAsia="Calibri"/>
          <w:sz w:val="22"/>
          <w:szCs w:val="22"/>
          <w:lang w:eastAsia="en-US"/>
        </w:rPr>
        <w:t xml:space="preserve">тимальной функциональной направленности напитка. </w:t>
      </w:r>
      <w:r w:rsidRPr="00541645">
        <w:rPr>
          <w:rFonts w:eastAsia="Calibri"/>
          <w:bCs/>
          <w:iCs/>
          <w:sz w:val="22"/>
          <w:szCs w:val="22"/>
          <w:lang w:eastAsia="en-US"/>
        </w:rPr>
        <w:t xml:space="preserve">Обогащение продукта функциональными ингредиентами проводилось с учетом их наличия в самом сырье и необходимой суточной потребностью </w:t>
      </w:r>
      <w:r w:rsidRPr="00541645">
        <w:rPr>
          <w:rFonts w:eastAsia="Calibri"/>
          <w:sz w:val="22"/>
          <w:szCs w:val="22"/>
          <w:lang w:eastAsia="en-US"/>
        </w:rPr>
        <w:t>[4].Функциональным напиток является  при наличии 15-20% от с</w:t>
      </w:r>
      <w:r w:rsidRPr="00541645">
        <w:rPr>
          <w:rFonts w:eastAsia="Calibri"/>
          <w:sz w:val="22"/>
          <w:szCs w:val="22"/>
          <w:lang w:eastAsia="en-US"/>
        </w:rPr>
        <w:t>у</w:t>
      </w:r>
      <w:r w:rsidRPr="00541645">
        <w:rPr>
          <w:rFonts w:eastAsia="Calibri"/>
          <w:sz w:val="22"/>
          <w:szCs w:val="22"/>
          <w:lang w:eastAsia="en-US"/>
        </w:rPr>
        <w:t>точной нормы пектина, которая составляет 3 грамма в сутки [2].</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Получение оптимальных вкусовых значений сладости и кисл</w:t>
      </w:r>
      <w:r w:rsidRPr="00541645">
        <w:rPr>
          <w:rFonts w:eastAsia="Calibri"/>
          <w:sz w:val="22"/>
          <w:szCs w:val="22"/>
          <w:lang w:eastAsia="en-US"/>
        </w:rPr>
        <w:t>о</w:t>
      </w:r>
      <w:r w:rsidRPr="00541645">
        <w:rPr>
          <w:rFonts w:eastAsia="Calibri"/>
          <w:sz w:val="22"/>
          <w:szCs w:val="22"/>
          <w:lang w:eastAsia="en-US"/>
        </w:rPr>
        <w:t xml:space="preserve">ты достигалось за счет добавления сахара и соли. </w:t>
      </w:r>
    </w:p>
    <w:p w:rsidR="00281602" w:rsidRPr="00541645" w:rsidRDefault="00281602" w:rsidP="00541645">
      <w:pPr>
        <w:ind w:firstLine="425"/>
        <w:jc w:val="both"/>
        <w:rPr>
          <w:rFonts w:eastAsia="Calibri"/>
          <w:sz w:val="22"/>
          <w:szCs w:val="22"/>
          <w:lang w:eastAsia="en-US"/>
        </w:rPr>
      </w:pPr>
      <w:r w:rsidRPr="00541645">
        <w:rPr>
          <w:rFonts w:eastAsia="Calibri"/>
          <w:bCs/>
          <w:iCs/>
          <w:sz w:val="22"/>
          <w:szCs w:val="22"/>
          <w:lang w:eastAsia="en-US"/>
        </w:rPr>
        <w:t>Оценка качества готового напитка проводилась по органоле</w:t>
      </w:r>
      <w:r w:rsidRPr="00541645">
        <w:rPr>
          <w:rFonts w:eastAsia="Calibri"/>
          <w:bCs/>
          <w:iCs/>
          <w:sz w:val="22"/>
          <w:szCs w:val="22"/>
          <w:lang w:eastAsia="en-US"/>
        </w:rPr>
        <w:t>п</w:t>
      </w:r>
      <w:r w:rsidRPr="00541645">
        <w:rPr>
          <w:rFonts w:eastAsia="Calibri"/>
          <w:bCs/>
          <w:iCs/>
          <w:sz w:val="22"/>
          <w:szCs w:val="22"/>
          <w:lang w:eastAsia="en-US"/>
        </w:rPr>
        <w:t>тическим и физико-химическим показателям. Исследованиями установлено, что напиток имеет достаточно высокую пищевую ценность: содержит 11,3% сухих веществ, 6,1% сахара, 3,1% пект</w:t>
      </w:r>
      <w:r w:rsidRPr="00541645">
        <w:rPr>
          <w:rFonts w:eastAsia="Calibri"/>
          <w:bCs/>
          <w:iCs/>
          <w:sz w:val="22"/>
          <w:szCs w:val="22"/>
          <w:lang w:eastAsia="en-US"/>
        </w:rPr>
        <w:t>и</w:t>
      </w:r>
      <w:r w:rsidRPr="00541645">
        <w:rPr>
          <w:rFonts w:eastAsia="Calibri"/>
          <w:bCs/>
          <w:iCs/>
          <w:sz w:val="22"/>
          <w:szCs w:val="22"/>
          <w:lang w:eastAsia="en-US"/>
        </w:rPr>
        <w:t>новых веществ, общую кислотность 1,1 и рН 4,1.</w:t>
      </w:r>
    </w:p>
    <w:p w:rsidR="00281602" w:rsidRPr="00541645" w:rsidRDefault="00281602" w:rsidP="00541645">
      <w:pPr>
        <w:ind w:firstLine="425"/>
        <w:jc w:val="both"/>
        <w:rPr>
          <w:rFonts w:eastAsia="Calibri"/>
          <w:bCs/>
          <w:iCs/>
          <w:sz w:val="22"/>
          <w:szCs w:val="22"/>
          <w:lang w:eastAsia="en-US"/>
        </w:rPr>
      </w:pPr>
      <w:r w:rsidRPr="00541645">
        <w:rPr>
          <w:rFonts w:eastAsia="Calibri"/>
          <w:sz w:val="22"/>
          <w:szCs w:val="22"/>
          <w:lang w:eastAsia="en-US"/>
        </w:rPr>
        <w:t>По внешнему виду, готовый напиток представляет собой вя</w:t>
      </w:r>
      <w:r w:rsidRPr="00541645">
        <w:rPr>
          <w:rFonts w:eastAsia="Calibri"/>
          <w:sz w:val="22"/>
          <w:szCs w:val="22"/>
          <w:lang w:eastAsia="en-US"/>
        </w:rPr>
        <w:t>з</w:t>
      </w:r>
      <w:r w:rsidRPr="00541645">
        <w:rPr>
          <w:rFonts w:eastAsia="Calibri"/>
          <w:sz w:val="22"/>
          <w:szCs w:val="22"/>
          <w:lang w:eastAsia="en-US"/>
        </w:rPr>
        <w:t>кую, однородную жидкость без осадка, красного цвета, обогаще</w:t>
      </w:r>
      <w:r w:rsidRPr="00541645">
        <w:rPr>
          <w:rFonts w:eastAsia="Calibri"/>
          <w:sz w:val="22"/>
          <w:szCs w:val="22"/>
          <w:lang w:eastAsia="en-US"/>
        </w:rPr>
        <w:t>н</w:t>
      </w:r>
      <w:r w:rsidRPr="00541645">
        <w:rPr>
          <w:rFonts w:eastAsia="Calibri"/>
          <w:sz w:val="22"/>
          <w:szCs w:val="22"/>
          <w:lang w:eastAsia="en-US"/>
        </w:rPr>
        <w:lastRenderedPageBreak/>
        <w:t>ную пектиновым экстрактом из имбиря. Также напиток имеет пр</w:t>
      </w:r>
      <w:r w:rsidRPr="00541645">
        <w:rPr>
          <w:rFonts w:eastAsia="Calibri"/>
          <w:sz w:val="22"/>
          <w:szCs w:val="22"/>
          <w:lang w:eastAsia="en-US"/>
        </w:rPr>
        <w:t>и</w:t>
      </w:r>
      <w:r w:rsidRPr="00541645">
        <w:rPr>
          <w:rFonts w:eastAsia="Calibri"/>
          <w:sz w:val="22"/>
          <w:szCs w:val="22"/>
          <w:lang w:eastAsia="en-US"/>
        </w:rPr>
        <w:t xml:space="preserve">ятный натуральный томатный запах и кисло-сладкий вкус с легким имбирным послевкусием. </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По результатам оценки органолептических и физико-химических показателей качества, можно сделать вывод о том, что напиток обладает хорошими потребительскими свойствами, а вн</w:t>
      </w:r>
      <w:r w:rsidRPr="00541645">
        <w:rPr>
          <w:rFonts w:eastAsia="Calibri"/>
          <w:sz w:val="22"/>
          <w:szCs w:val="22"/>
          <w:lang w:eastAsia="en-US"/>
        </w:rPr>
        <w:t>е</w:t>
      </w:r>
      <w:r w:rsidRPr="00541645">
        <w:rPr>
          <w:rFonts w:eastAsia="Calibri"/>
          <w:sz w:val="22"/>
          <w:szCs w:val="22"/>
          <w:lang w:eastAsia="en-US"/>
        </w:rPr>
        <w:t>сенные компоненты обеспечивают функциональные свойства.</w:t>
      </w:r>
    </w:p>
    <w:p w:rsidR="00281602" w:rsidRPr="00541645" w:rsidRDefault="00281602" w:rsidP="00541645">
      <w:pPr>
        <w:ind w:firstLine="425"/>
        <w:jc w:val="both"/>
        <w:rPr>
          <w:rFonts w:eastAsia="Calibri"/>
          <w:sz w:val="22"/>
          <w:szCs w:val="22"/>
          <w:lang w:eastAsia="en-US"/>
        </w:rPr>
      </w:pPr>
    </w:p>
    <w:p w:rsidR="00281602" w:rsidRPr="00541645" w:rsidRDefault="00281602" w:rsidP="00541645">
      <w:pPr>
        <w:ind w:firstLine="425"/>
        <w:jc w:val="center"/>
        <w:rPr>
          <w:rFonts w:eastAsia="Calibri"/>
          <w:sz w:val="22"/>
          <w:szCs w:val="22"/>
          <w:lang w:eastAsia="en-US"/>
        </w:rPr>
      </w:pPr>
      <w:r w:rsidRPr="00541645">
        <w:rPr>
          <w:rFonts w:eastAsia="Calibri"/>
          <w:sz w:val="22"/>
          <w:szCs w:val="22"/>
          <w:lang w:eastAsia="en-US"/>
        </w:rPr>
        <w:t>Список литературы</w:t>
      </w:r>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1.Влащик, Л. Г. Технологическая оценка различных сортов фундука для переработки на предприятии ЗАО «Орехпром» /Л. Г. Влащик, А. А. Хашир // Научн. журнал КубГАУ [Электронный р</w:t>
      </w:r>
      <w:r w:rsidRPr="00541645">
        <w:rPr>
          <w:rFonts w:eastAsia="Calibri"/>
          <w:sz w:val="22"/>
          <w:szCs w:val="22"/>
          <w:lang w:eastAsia="en-US"/>
        </w:rPr>
        <w:t>е</w:t>
      </w:r>
      <w:r w:rsidRPr="00541645">
        <w:rPr>
          <w:rFonts w:eastAsia="Calibri"/>
          <w:sz w:val="22"/>
          <w:szCs w:val="22"/>
          <w:lang w:eastAsia="en-US"/>
        </w:rPr>
        <w:t>сурс]. – Краснодар: КубГАУ, 2006. - № 02 (18). – Шифр Информр</w:t>
      </w:r>
      <w:r w:rsidRPr="00541645">
        <w:rPr>
          <w:rFonts w:eastAsia="Calibri"/>
          <w:sz w:val="22"/>
          <w:szCs w:val="22"/>
          <w:lang w:eastAsia="en-US"/>
        </w:rPr>
        <w:t>е</w:t>
      </w:r>
      <w:r w:rsidRPr="00541645">
        <w:rPr>
          <w:rFonts w:eastAsia="Calibri"/>
          <w:sz w:val="22"/>
          <w:szCs w:val="22"/>
          <w:lang w:eastAsia="en-US"/>
        </w:rPr>
        <w:t xml:space="preserve">гистра: </w:t>
      </w:r>
      <w:r w:rsidRPr="00541645">
        <w:rPr>
          <w:sz w:val="22"/>
          <w:szCs w:val="22"/>
          <w:lang w:eastAsia="en-US"/>
        </w:rPr>
        <w:t xml:space="preserve">IDA [article ID]: 0180602009. </w:t>
      </w:r>
      <w:r w:rsidRPr="00541645">
        <w:rPr>
          <w:rFonts w:eastAsia="Calibri"/>
          <w:sz w:val="22"/>
          <w:szCs w:val="22"/>
          <w:lang w:eastAsia="en-US"/>
        </w:rPr>
        <w:t xml:space="preserve">– Режим доступа: </w:t>
      </w:r>
      <w:hyperlink r:id="rId141" w:history="1">
        <w:r w:rsidRPr="00541645">
          <w:rPr>
            <w:rFonts w:eastAsia="Calibri"/>
            <w:sz w:val="22"/>
            <w:szCs w:val="22"/>
            <w:lang w:eastAsia="en-US"/>
          </w:rPr>
          <w:t>http://ej.kubagro.ru/archive.asp?n=18</w:t>
        </w:r>
      </w:hyperlink>
    </w:p>
    <w:p w:rsidR="00281602" w:rsidRPr="00541645" w:rsidRDefault="00281602" w:rsidP="00541645">
      <w:pPr>
        <w:ind w:firstLine="425"/>
        <w:jc w:val="both"/>
        <w:rPr>
          <w:rFonts w:eastAsia="Calibri"/>
          <w:sz w:val="22"/>
          <w:szCs w:val="22"/>
          <w:lang w:eastAsia="en-US"/>
        </w:rPr>
      </w:pPr>
      <w:r w:rsidRPr="00541645">
        <w:rPr>
          <w:rFonts w:eastAsia="Calibri"/>
          <w:sz w:val="22"/>
          <w:szCs w:val="22"/>
          <w:lang w:eastAsia="en-US"/>
        </w:rPr>
        <w:t>2.</w:t>
      </w:r>
      <w:r w:rsidR="00541645">
        <w:rPr>
          <w:rFonts w:eastAsia="Calibri"/>
          <w:sz w:val="22"/>
          <w:szCs w:val="22"/>
          <w:lang w:eastAsia="en-US"/>
        </w:rPr>
        <w:t xml:space="preserve"> </w:t>
      </w:r>
      <w:r w:rsidRPr="00541645">
        <w:rPr>
          <w:rFonts w:eastAsia="Calibri"/>
          <w:sz w:val="22"/>
          <w:szCs w:val="22"/>
          <w:lang w:eastAsia="en-US"/>
        </w:rPr>
        <w:t>Внукова, Т.Н. Новые виды продукции из плодов кормового арбуза с профилактическими свойствами /Т.Н. Внукова, Л.Г. Вл</w:t>
      </w:r>
      <w:r w:rsidRPr="00541645">
        <w:rPr>
          <w:rFonts w:eastAsia="Calibri"/>
          <w:sz w:val="22"/>
          <w:szCs w:val="22"/>
          <w:lang w:eastAsia="en-US"/>
        </w:rPr>
        <w:t>а</w:t>
      </w:r>
      <w:r w:rsidRPr="00541645">
        <w:rPr>
          <w:rFonts w:eastAsia="Calibri"/>
          <w:sz w:val="22"/>
          <w:szCs w:val="22"/>
          <w:lang w:eastAsia="en-US"/>
        </w:rPr>
        <w:t xml:space="preserve">щик, В.Д. Надыкта // Научное обеспечение агропромышленного комплекса :сб. научн. тр. /КубГАУ. –  Краснодар, 2012. – с. 195-196. </w:t>
      </w:r>
    </w:p>
    <w:p w:rsidR="00281602" w:rsidRPr="00541645" w:rsidRDefault="00281602" w:rsidP="00541645">
      <w:pPr>
        <w:numPr>
          <w:ilvl w:val="0"/>
          <w:numId w:val="22"/>
        </w:numPr>
        <w:spacing w:line="259" w:lineRule="auto"/>
        <w:ind w:left="0" w:firstLine="425"/>
        <w:contextualSpacing/>
        <w:jc w:val="both"/>
        <w:rPr>
          <w:rFonts w:eastAsia="Calibri"/>
          <w:sz w:val="22"/>
          <w:szCs w:val="22"/>
          <w:lang w:eastAsia="en-US"/>
        </w:rPr>
      </w:pPr>
      <w:r w:rsidRPr="00541645">
        <w:rPr>
          <w:rFonts w:eastAsia="Calibri"/>
          <w:sz w:val="22"/>
          <w:szCs w:val="22"/>
          <w:lang w:eastAsia="en-US"/>
        </w:rPr>
        <w:t>Донченко, Л. В. Обогащение хлеба биологически активными веществами профилактического назначения /Л.В. Донченко, Н. В. Сокол, Л. Г. Влащик //Научн. журнал КубГАУ [Электронный р</w:t>
      </w:r>
      <w:r w:rsidRPr="00541645">
        <w:rPr>
          <w:rFonts w:eastAsia="Calibri"/>
          <w:sz w:val="22"/>
          <w:szCs w:val="22"/>
          <w:lang w:eastAsia="en-US"/>
        </w:rPr>
        <w:t>е</w:t>
      </w:r>
      <w:r w:rsidRPr="00541645">
        <w:rPr>
          <w:rFonts w:eastAsia="Calibri"/>
          <w:sz w:val="22"/>
          <w:szCs w:val="22"/>
          <w:lang w:eastAsia="en-US"/>
        </w:rPr>
        <w:t>сурс]. – Краснодар: КубГАУ, 2017. - №125 (01).- Шифр Информр</w:t>
      </w:r>
      <w:r w:rsidRPr="00541645">
        <w:rPr>
          <w:rFonts w:eastAsia="Calibri"/>
          <w:sz w:val="22"/>
          <w:szCs w:val="22"/>
          <w:lang w:eastAsia="en-US"/>
        </w:rPr>
        <w:t>е</w:t>
      </w:r>
      <w:r w:rsidRPr="00541645">
        <w:rPr>
          <w:rFonts w:eastAsia="Calibri"/>
          <w:sz w:val="22"/>
          <w:szCs w:val="22"/>
          <w:lang w:eastAsia="en-US"/>
        </w:rPr>
        <w:t xml:space="preserve">гистра: </w:t>
      </w:r>
      <w:r w:rsidRPr="00541645">
        <w:rPr>
          <w:rFonts w:eastAsia="Calibri"/>
          <w:sz w:val="22"/>
          <w:szCs w:val="22"/>
          <w:shd w:val="clear" w:color="auto" w:fill="FFFFFF"/>
          <w:lang w:eastAsia="en-US"/>
        </w:rPr>
        <w:t xml:space="preserve">IDA [article ID]: 1251701041. - </w:t>
      </w:r>
      <w:r w:rsidRPr="00541645">
        <w:rPr>
          <w:rFonts w:eastAsia="Calibri"/>
          <w:sz w:val="22"/>
          <w:szCs w:val="22"/>
          <w:lang w:eastAsia="en-US"/>
        </w:rPr>
        <w:t xml:space="preserve">Режим доступа: </w:t>
      </w:r>
      <w:hyperlink r:id="rId142" w:history="1">
        <w:r w:rsidRPr="00541645">
          <w:rPr>
            <w:rFonts w:eastAsia="Calibri"/>
            <w:sz w:val="22"/>
            <w:szCs w:val="22"/>
            <w:lang w:eastAsia="en-US"/>
          </w:rPr>
          <w:t>http://ej.kubagro.ru/2017/01/pdf/41</w:t>
        </w:r>
      </w:hyperlink>
    </w:p>
    <w:p w:rsidR="00281602" w:rsidRPr="00541645" w:rsidRDefault="00281602" w:rsidP="00541645">
      <w:pPr>
        <w:numPr>
          <w:ilvl w:val="0"/>
          <w:numId w:val="22"/>
        </w:numPr>
        <w:spacing w:line="259" w:lineRule="auto"/>
        <w:ind w:left="0" w:firstLine="425"/>
        <w:contextualSpacing/>
        <w:jc w:val="both"/>
        <w:rPr>
          <w:rFonts w:eastAsia="Calibri"/>
          <w:sz w:val="22"/>
          <w:szCs w:val="22"/>
          <w:lang w:eastAsia="en-US"/>
        </w:rPr>
      </w:pPr>
      <w:r w:rsidRPr="00541645">
        <w:rPr>
          <w:rFonts w:eastAsia="Calibri"/>
          <w:sz w:val="22"/>
          <w:szCs w:val="22"/>
          <w:shd w:val="clear" w:color="auto" w:fill="FFFFFF"/>
          <w:lang w:eastAsia="en-US"/>
        </w:rPr>
        <w:t>Добрынина, Е. С., Создание новых рецептур соусов и дре</w:t>
      </w:r>
      <w:r w:rsidRPr="00541645">
        <w:rPr>
          <w:rFonts w:eastAsia="Calibri"/>
          <w:sz w:val="22"/>
          <w:szCs w:val="22"/>
          <w:shd w:val="clear" w:color="auto" w:fill="FFFFFF"/>
          <w:lang w:eastAsia="en-US"/>
        </w:rPr>
        <w:t>с</w:t>
      </w:r>
      <w:r w:rsidRPr="00541645">
        <w:rPr>
          <w:rFonts w:eastAsia="Calibri"/>
          <w:sz w:val="22"/>
          <w:szCs w:val="22"/>
          <w:shd w:val="clear" w:color="auto" w:fill="FFFFFF"/>
          <w:lang w:eastAsia="en-US"/>
        </w:rPr>
        <w:t>сингов функционального питания /Е.С. Добрынина, О.И. Ломо</w:t>
      </w:r>
      <w:r w:rsidRPr="00541645">
        <w:rPr>
          <w:rFonts w:eastAsia="Calibri"/>
          <w:sz w:val="22"/>
          <w:szCs w:val="22"/>
          <w:shd w:val="clear" w:color="auto" w:fill="FFFFFF"/>
          <w:lang w:eastAsia="en-US"/>
        </w:rPr>
        <w:t>в</w:t>
      </w:r>
      <w:r w:rsidRPr="00541645">
        <w:rPr>
          <w:rFonts w:eastAsia="Calibri"/>
          <w:sz w:val="22"/>
          <w:szCs w:val="22"/>
          <w:shd w:val="clear" w:color="auto" w:fill="FFFFFF"/>
          <w:lang w:eastAsia="en-US"/>
        </w:rPr>
        <w:t xml:space="preserve">ский О. И //Пищевая промышленность, № 8. </w:t>
      </w:r>
      <w:r w:rsidRPr="00541645">
        <w:rPr>
          <w:rFonts w:eastAsia="Calibri"/>
          <w:sz w:val="22"/>
          <w:szCs w:val="22"/>
          <w:lang w:eastAsia="en-US"/>
        </w:rPr>
        <w:t xml:space="preserve">– </w:t>
      </w:r>
      <w:r w:rsidRPr="00541645">
        <w:rPr>
          <w:rFonts w:eastAsia="Calibri"/>
          <w:sz w:val="22"/>
          <w:szCs w:val="22"/>
          <w:shd w:val="clear" w:color="auto" w:fill="FFFFFF"/>
          <w:lang w:eastAsia="en-US"/>
        </w:rPr>
        <w:t xml:space="preserve">2010. </w:t>
      </w:r>
      <w:r w:rsidRPr="00541645">
        <w:rPr>
          <w:rFonts w:eastAsia="Calibri"/>
          <w:sz w:val="22"/>
          <w:szCs w:val="22"/>
          <w:lang w:eastAsia="en-US"/>
        </w:rPr>
        <w:t>–</w:t>
      </w:r>
      <w:r w:rsidRPr="00541645">
        <w:rPr>
          <w:rFonts w:eastAsia="Calibri"/>
          <w:sz w:val="22"/>
          <w:szCs w:val="22"/>
          <w:shd w:val="clear" w:color="auto" w:fill="FFFFFF"/>
          <w:lang w:eastAsia="en-US"/>
        </w:rPr>
        <w:t xml:space="preserve"> С 16-18</w:t>
      </w:r>
    </w:p>
    <w:p w:rsidR="00281602" w:rsidRPr="00541645" w:rsidRDefault="00281602" w:rsidP="00541645">
      <w:pPr>
        <w:numPr>
          <w:ilvl w:val="0"/>
          <w:numId w:val="22"/>
        </w:numPr>
        <w:spacing w:line="259" w:lineRule="auto"/>
        <w:ind w:left="0" w:firstLine="425"/>
        <w:contextualSpacing/>
        <w:jc w:val="both"/>
        <w:rPr>
          <w:rFonts w:eastAsia="Calibri"/>
          <w:sz w:val="22"/>
          <w:szCs w:val="22"/>
          <w:lang w:eastAsia="en-US"/>
        </w:rPr>
      </w:pPr>
      <w:r w:rsidRPr="00541645">
        <w:rPr>
          <w:rFonts w:eastAsia="Calibri"/>
          <w:sz w:val="22"/>
          <w:szCs w:val="22"/>
          <w:shd w:val="clear" w:color="auto" w:fill="FFFFFF"/>
          <w:lang w:eastAsia="en-US"/>
        </w:rPr>
        <w:t xml:space="preserve">Шатнюк, Л. Н., Обогащение напитков / Л.Н. Шатнюк, А.В.  Юдина // Индустрия ингредиентов, № 4. </w:t>
      </w:r>
      <w:r w:rsidRPr="00541645">
        <w:rPr>
          <w:rFonts w:eastAsia="Calibri"/>
          <w:sz w:val="22"/>
          <w:szCs w:val="22"/>
          <w:lang w:eastAsia="en-US"/>
        </w:rPr>
        <w:t>–</w:t>
      </w:r>
      <w:r w:rsidRPr="00541645">
        <w:rPr>
          <w:rFonts w:eastAsia="Calibri"/>
          <w:sz w:val="22"/>
          <w:szCs w:val="22"/>
          <w:shd w:val="clear" w:color="auto" w:fill="FFFFFF"/>
          <w:lang w:eastAsia="en-US"/>
        </w:rPr>
        <w:t xml:space="preserve"> 2011. </w:t>
      </w:r>
      <w:r w:rsidRPr="00541645">
        <w:rPr>
          <w:rFonts w:eastAsia="Calibri"/>
          <w:sz w:val="22"/>
          <w:szCs w:val="22"/>
          <w:lang w:eastAsia="en-US"/>
        </w:rPr>
        <w:t xml:space="preserve">– С. </w:t>
      </w:r>
      <w:r w:rsidRPr="00541645">
        <w:rPr>
          <w:rFonts w:eastAsia="Calibri"/>
          <w:sz w:val="22"/>
          <w:szCs w:val="22"/>
          <w:shd w:val="clear" w:color="auto" w:fill="FFFFFF"/>
          <w:lang w:eastAsia="en-US"/>
        </w:rPr>
        <w:t>28–30.</w:t>
      </w:r>
    </w:p>
    <w:p w:rsidR="00281602" w:rsidRPr="00281602" w:rsidRDefault="00281602"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p>
    <w:p w:rsidR="00281602" w:rsidRDefault="00281602" w:rsidP="00281602">
      <w:pPr>
        <w:jc w:val="both"/>
        <w:rPr>
          <w:rFonts w:eastAsia="Calibri"/>
          <w:sz w:val="22"/>
          <w:szCs w:val="22"/>
          <w:lang w:eastAsia="en-US"/>
        </w:rPr>
      </w:pPr>
    </w:p>
    <w:p w:rsidR="001360B4" w:rsidRDefault="001360B4" w:rsidP="00281602">
      <w:pPr>
        <w:jc w:val="both"/>
        <w:rPr>
          <w:rFonts w:eastAsia="Calibri"/>
          <w:sz w:val="22"/>
          <w:szCs w:val="22"/>
          <w:lang w:eastAsia="en-US"/>
        </w:rPr>
      </w:pPr>
    </w:p>
    <w:p w:rsidR="001360B4" w:rsidRDefault="001360B4" w:rsidP="00281602">
      <w:pPr>
        <w:jc w:val="both"/>
        <w:rPr>
          <w:rFonts w:eastAsia="Calibri"/>
          <w:sz w:val="22"/>
          <w:szCs w:val="22"/>
          <w:lang w:eastAsia="en-US"/>
        </w:rPr>
      </w:pPr>
    </w:p>
    <w:p w:rsidR="001360B4" w:rsidRDefault="001360B4" w:rsidP="00281602">
      <w:pPr>
        <w:jc w:val="both"/>
        <w:rPr>
          <w:rFonts w:eastAsia="Calibri"/>
          <w:sz w:val="22"/>
          <w:szCs w:val="22"/>
          <w:lang w:eastAsia="en-US"/>
        </w:rPr>
      </w:pPr>
    </w:p>
    <w:p w:rsidR="001360B4" w:rsidRPr="00281602" w:rsidRDefault="001360B4"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613.2</w:t>
      </w:r>
    </w:p>
    <w:p w:rsidR="00281602" w:rsidRPr="00281602" w:rsidRDefault="00281602" w:rsidP="00281602">
      <w:pPr>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Функциональные продукты питания</w:t>
      </w:r>
    </w:p>
    <w:p w:rsidR="00281602" w:rsidRPr="00281602" w:rsidRDefault="00281602" w:rsidP="00281602">
      <w:pPr>
        <w:jc w:val="center"/>
        <w:rPr>
          <w:rFonts w:eastAsia="Calibri"/>
          <w:b/>
          <w:sz w:val="24"/>
          <w:szCs w:val="24"/>
          <w:lang w:eastAsia="en-US"/>
        </w:rPr>
      </w:pPr>
      <w:r w:rsidRPr="00281602">
        <w:rPr>
          <w:rFonts w:eastAsia="Calibri"/>
          <w:b/>
          <w:sz w:val="24"/>
          <w:szCs w:val="24"/>
          <w:lang w:val="en-US" w:eastAsia="en-US"/>
        </w:rPr>
        <w:t>Functionalfoodsnutrition</w:t>
      </w:r>
    </w:p>
    <w:p w:rsidR="00281602" w:rsidRPr="00281602" w:rsidRDefault="00281602" w:rsidP="00281602">
      <w:pPr>
        <w:jc w:val="center"/>
        <w:rPr>
          <w:rFonts w:eastAsia="Calibri"/>
          <w:b/>
          <w:sz w:val="24"/>
          <w:szCs w:val="24"/>
          <w:lang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Топанова Ю.</w:t>
      </w:r>
      <w:r w:rsidR="00541645">
        <w:rPr>
          <w:rFonts w:eastAsia="Calibri"/>
          <w:sz w:val="22"/>
          <w:szCs w:val="22"/>
          <w:lang w:eastAsia="en-US"/>
        </w:rPr>
        <w:t xml:space="preserve"> </w:t>
      </w:r>
      <w:r w:rsidRPr="00281602">
        <w:rPr>
          <w:rFonts w:eastAsia="Calibri"/>
          <w:sz w:val="22"/>
          <w:szCs w:val="22"/>
          <w:lang w:eastAsia="en-US"/>
        </w:rPr>
        <w:t>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студентка 2-го кур</w:t>
      </w:r>
      <w:r w:rsidR="00541645">
        <w:rPr>
          <w:rFonts w:eastAsia="Calibri"/>
          <w:sz w:val="22"/>
          <w:szCs w:val="22"/>
          <w:lang w:eastAsia="en-US"/>
        </w:rPr>
        <w:t>са факультета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перерабатывающих  технологий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Огнева О.</w:t>
      </w:r>
      <w:r w:rsidR="00541645">
        <w:rPr>
          <w:rFonts w:eastAsia="Calibri"/>
          <w:sz w:val="22"/>
          <w:szCs w:val="22"/>
          <w:lang w:eastAsia="en-US"/>
        </w:rPr>
        <w:t xml:space="preserve"> </w:t>
      </w:r>
      <w:r w:rsidRPr="00281602">
        <w:rPr>
          <w:rFonts w:eastAsia="Calibri"/>
          <w:sz w:val="22"/>
          <w:szCs w:val="22"/>
          <w:lang w:eastAsia="en-US"/>
        </w:rPr>
        <w:t>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 и переработки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животноводческой продукции</w:t>
      </w:r>
    </w:p>
    <w:p w:rsidR="00A1144E" w:rsidRDefault="00281602" w:rsidP="00281602">
      <w:pPr>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университет имени И.</w:t>
      </w:r>
      <w:r w:rsidR="00A1144E">
        <w:rPr>
          <w:rFonts w:eastAsia="Calibri"/>
          <w:sz w:val="22"/>
          <w:szCs w:val="22"/>
          <w:lang w:eastAsia="en-US"/>
        </w:rPr>
        <w:t xml:space="preserve"> </w:t>
      </w:r>
      <w:r w:rsidRPr="00281602">
        <w:rPr>
          <w:rFonts w:eastAsia="Calibri"/>
          <w:sz w:val="22"/>
          <w:szCs w:val="22"/>
          <w:lang w:eastAsia="en-US"/>
        </w:rPr>
        <w:t>Т. Трубилина</w:t>
      </w:r>
    </w:p>
    <w:p w:rsidR="00281602" w:rsidRPr="00281602" w:rsidRDefault="00281602" w:rsidP="00281602">
      <w:pPr>
        <w:jc w:val="both"/>
        <w:rPr>
          <w:rFonts w:eastAsia="Calibri"/>
          <w:color w:val="222222"/>
          <w:sz w:val="22"/>
          <w:szCs w:val="22"/>
          <w:lang w:eastAsia="en-US"/>
        </w:rPr>
      </w:pPr>
    </w:p>
    <w:p w:rsidR="00281602" w:rsidRPr="00A1144E" w:rsidRDefault="00281602" w:rsidP="00A1144E">
      <w:pPr>
        <w:ind w:firstLine="426"/>
        <w:jc w:val="both"/>
        <w:rPr>
          <w:rFonts w:eastAsia="Calibri"/>
          <w:sz w:val="22"/>
          <w:szCs w:val="22"/>
          <w:lang w:eastAsia="en-US"/>
        </w:rPr>
      </w:pPr>
      <w:r w:rsidRPr="00A1144E">
        <w:rPr>
          <w:rFonts w:eastAsia="Calibri"/>
          <w:color w:val="222222"/>
          <w:sz w:val="22"/>
          <w:szCs w:val="22"/>
          <w:lang w:eastAsia="en-US"/>
        </w:rPr>
        <w:t>АННОТАЦИЯ</w:t>
      </w:r>
      <w:r w:rsidRPr="00A1144E">
        <w:rPr>
          <w:rFonts w:eastAsia="Calibri"/>
          <w:sz w:val="22"/>
          <w:szCs w:val="22"/>
          <w:lang w:eastAsia="en-US"/>
        </w:rPr>
        <w:t>: В связи с тем, что рацион питания человека не соответствует нормам, были разработаны и введены продукты функционального питания, которые оказывают благоприятное во</w:t>
      </w:r>
      <w:r w:rsidRPr="00A1144E">
        <w:rPr>
          <w:rFonts w:eastAsia="Calibri"/>
          <w:sz w:val="22"/>
          <w:szCs w:val="22"/>
          <w:lang w:eastAsia="en-US"/>
        </w:rPr>
        <w:t>з</w:t>
      </w:r>
      <w:r w:rsidRPr="00A1144E">
        <w:rPr>
          <w:rFonts w:eastAsia="Calibri"/>
          <w:sz w:val="22"/>
          <w:szCs w:val="22"/>
          <w:lang w:eastAsia="en-US"/>
        </w:rPr>
        <w:t>действие на организм человека.</w:t>
      </w:r>
    </w:p>
    <w:p w:rsidR="00281602" w:rsidRPr="00B572C5" w:rsidRDefault="00281602" w:rsidP="00A1144E">
      <w:pPr>
        <w:ind w:firstLine="426"/>
        <w:jc w:val="both"/>
        <w:rPr>
          <w:rFonts w:eastAsia="Calibri"/>
          <w:sz w:val="22"/>
          <w:szCs w:val="22"/>
          <w:lang w:val="en-US" w:eastAsia="en-US"/>
        </w:rPr>
      </w:pPr>
      <w:r w:rsidRPr="00B572C5">
        <w:rPr>
          <w:rFonts w:eastAsia="Calibri"/>
          <w:sz w:val="22"/>
          <w:szCs w:val="22"/>
          <w:lang w:val="en-US" w:eastAsia="en-US"/>
        </w:rPr>
        <w:t>ABSTRACT: Due to the fact that the diet of human food does not comply with the norms, functional food products have been developed and introduced that have a beneficial effect on the human body.</w:t>
      </w:r>
    </w:p>
    <w:p w:rsidR="00281602" w:rsidRPr="00B572C5" w:rsidRDefault="00281602" w:rsidP="00A1144E">
      <w:pPr>
        <w:ind w:firstLine="426"/>
        <w:jc w:val="both"/>
        <w:rPr>
          <w:rFonts w:eastAsia="Calibri"/>
          <w:sz w:val="22"/>
          <w:szCs w:val="22"/>
          <w:lang w:eastAsia="en-US"/>
        </w:rPr>
      </w:pPr>
      <w:r w:rsidRPr="00B572C5">
        <w:rPr>
          <w:rFonts w:eastAsia="Calibri"/>
          <w:sz w:val="22"/>
          <w:szCs w:val="22"/>
          <w:lang w:eastAsia="en-US"/>
        </w:rPr>
        <w:t>КЛЮЧЕВЫЕ СЛОВА: здоровое питание, функциональные продукты, дисбактериоз, пробиотики, пребиотки.</w:t>
      </w:r>
    </w:p>
    <w:p w:rsidR="00281602" w:rsidRPr="00B572C5" w:rsidRDefault="00281602" w:rsidP="00A1144E">
      <w:pPr>
        <w:ind w:firstLine="426"/>
        <w:jc w:val="both"/>
        <w:rPr>
          <w:rFonts w:eastAsia="Calibri"/>
          <w:sz w:val="22"/>
          <w:szCs w:val="22"/>
          <w:lang w:val="en-US" w:eastAsia="en-US"/>
        </w:rPr>
      </w:pPr>
      <w:r w:rsidRPr="00B572C5">
        <w:rPr>
          <w:rFonts w:eastAsia="Calibri"/>
          <w:sz w:val="22"/>
          <w:szCs w:val="22"/>
          <w:lang w:val="en-US" w:eastAsia="en-US"/>
        </w:rPr>
        <w:t>KEYWORDS: healthy food, functional products, dysbacteriosis, probiotics, prebiotics.</w:t>
      </w:r>
    </w:p>
    <w:p w:rsidR="00281602" w:rsidRPr="00A1144E" w:rsidRDefault="00281602" w:rsidP="00A1144E">
      <w:pPr>
        <w:ind w:firstLine="426"/>
        <w:jc w:val="both"/>
        <w:rPr>
          <w:rFonts w:eastAsia="Calibri"/>
          <w:sz w:val="22"/>
          <w:szCs w:val="22"/>
          <w:lang w:val="en-US" w:eastAsia="en-US"/>
        </w:rPr>
      </w:pP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Питание большинства людей не соответствует нормам здор</w:t>
      </w:r>
      <w:r w:rsidRPr="00A1144E">
        <w:rPr>
          <w:rFonts w:eastAsia="Calibri"/>
          <w:sz w:val="22"/>
          <w:szCs w:val="22"/>
          <w:lang w:eastAsia="en-US"/>
        </w:rPr>
        <w:t>о</w:t>
      </w:r>
      <w:r w:rsidRPr="00A1144E">
        <w:rPr>
          <w:rFonts w:eastAsia="Calibri"/>
          <w:sz w:val="22"/>
          <w:szCs w:val="22"/>
          <w:lang w:eastAsia="en-US"/>
        </w:rPr>
        <w:t>вого питания из-за потребления пищевых продуктов, содержащих большое количество жира животного происхождения и простых углеводов, недостатка в рационе овощей и фруктов, рыбы и мор</w:t>
      </w:r>
      <w:r w:rsidRPr="00A1144E">
        <w:rPr>
          <w:rFonts w:eastAsia="Calibri"/>
          <w:sz w:val="22"/>
          <w:szCs w:val="22"/>
          <w:lang w:eastAsia="en-US"/>
        </w:rPr>
        <w:t>е</w:t>
      </w:r>
      <w:r w:rsidRPr="00A1144E">
        <w:rPr>
          <w:rFonts w:eastAsia="Calibri"/>
          <w:sz w:val="22"/>
          <w:szCs w:val="22"/>
          <w:lang w:eastAsia="en-US"/>
        </w:rPr>
        <w:t>продуктов [1].</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В современном мире проблемой глобального масштаба являе</w:t>
      </w:r>
      <w:r w:rsidRPr="00A1144E">
        <w:rPr>
          <w:rFonts w:eastAsia="Calibri"/>
          <w:sz w:val="22"/>
          <w:szCs w:val="22"/>
          <w:lang w:eastAsia="en-US"/>
        </w:rPr>
        <w:t>т</w:t>
      </w:r>
      <w:r w:rsidRPr="00A1144E">
        <w:rPr>
          <w:rFonts w:eastAsia="Calibri"/>
          <w:sz w:val="22"/>
          <w:szCs w:val="22"/>
          <w:lang w:eastAsia="en-US"/>
        </w:rPr>
        <w:t>ся недостаточное количество настоящих продуктов здорового пит</w:t>
      </w:r>
      <w:r w:rsidRPr="00A1144E">
        <w:rPr>
          <w:rFonts w:eastAsia="Calibri"/>
          <w:sz w:val="22"/>
          <w:szCs w:val="22"/>
          <w:lang w:eastAsia="en-US"/>
        </w:rPr>
        <w:t>а</w:t>
      </w:r>
      <w:r w:rsidRPr="00A1144E">
        <w:rPr>
          <w:rFonts w:eastAsia="Calibri"/>
          <w:sz w:val="22"/>
          <w:szCs w:val="22"/>
          <w:lang w:eastAsia="en-US"/>
        </w:rPr>
        <w:t>ния, в связи с этим у человека появляется дефицит: витаминов, микро- и макроэлементов, насыщенных и полиненасыщенных ки</w:t>
      </w:r>
      <w:r w:rsidRPr="00A1144E">
        <w:rPr>
          <w:rFonts w:eastAsia="Calibri"/>
          <w:sz w:val="22"/>
          <w:szCs w:val="22"/>
          <w:lang w:eastAsia="en-US"/>
        </w:rPr>
        <w:t>с</w:t>
      </w:r>
      <w:r w:rsidRPr="00A1144E">
        <w:rPr>
          <w:rFonts w:eastAsia="Calibri"/>
          <w:sz w:val="22"/>
          <w:szCs w:val="22"/>
          <w:lang w:eastAsia="en-US"/>
        </w:rPr>
        <w:t>лот. У береме</w:t>
      </w:r>
      <w:r w:rsidR="00B572C5">
        <w:rPr>
          <w:rFonts w:eastAsia="Calibri"/>
          <w:sz w:val="22"/>
          <w:szCs w:val="22"/>
          <w:lang w:eastAsia="en-US"/>
        </w:rPr>
        <w:t>нных и кормящих женщин, а также</w:t>
      </w:r>
      <w:r w:rsidRPr="00A1144E">
        <w:rPr>
          <w:rFonts w:eastAsia="Calibri"/>
          <w:sz w:val="22"/>
          <w:szCs w:val="22"/>
          <w:lang w:eastAsia="en-US"/>
        </w:rPr>
        <w:t xml:space="preserve"> у детей развивае</w:t>
      </w:r>
      <w:r w:rsidRPr="00A1144E">
        <w:rPr>
          <w:rFonts w:eastAsia="Calibri"/>
          <w:sz w:val="22"/>
          <w:szCs w:val="22"/>
          <w:lang w:eastAsia="en-US"/>
        </w:rPr>
        <w:t>т</w:t>
      </w:r>
      <w:r w:rsidRPr="00A1144E">
        <w:rPr>
          <w:rFonts w:eastAsia="Calibri"/>
          <w:sz w:val="22"/>
          <w:szCs w:val="22"/>
          <w:lang w:eastAsia="en-US"/>
        </w:rPr>
        <w:t>ся железодефицитная анемия. Уже с раннего возраста дети начин</w:t>
      </w:r>
      <w:r w:rsidRPr="00A1144E">
        <w:rPr>
          <w:rFonts w:eastAsia="Calibri"/>
          <w:sz w:val="22"/>
          <w:szCs w:val="22"/>
          <w:lang w:eastAsia="en-US"/>
        </w:rPr>
        <w:t>а</w:t>
      </w:r>
      <w:r w:rsidRPr="00A1144E">
        <w:rPr>
          <w:rFonts w:eastAsia="Calibri"/>
          <w:sz w:val="22"/>
          <w:szCs w:val="22"/>
          <w:lang w:eastAsia="en-US"/>
        </w:rPr>
        <w:lastRenderedPageBreak/>
        <w:t>ют страдать дисбактериозом, т. е. нарушением микрофлоры жел</w:t>
      </w:r>
      <w:r w:rsidRPr="00A1144E">
        <w:rPr>
          <w:rFonts w:eastAsia="Calibri"/>
          <w:sz w:val="22"/>
          <w:szCs w:val="22"/>
          <w:lang w:eastAsia="en-US"/>
        </w:rPr>
        <w:t>у</w:t>
      </w:r>
      <w:r w:rsidRPr="00A1144E">
        <w:rPr>
          <w:rFonts w:eastAsia="Calibri"/>
          <w:sz w:val="22"/>
          <w:szCs w:val="22"/>
          <w:lang w:eastAsia="en-US"/>
        </w:rPr>
        <w:t>дочно-кишечного тракта (ЖКТ).</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Все это свидетельствует о необходимости развития программ, направленных на оптимизацию питания населения. Распоряжением Правительства Российской Федерации от 25 октября 2010 г. № 1873-р утверждены «Основы государственной политики Росси</w:t>
      </w:r>
      <w:r w:rsidRPr="00A1144E">
        <w:rPr>
          <w:rFonts w:eastAsia="Calibri"/>
          <w:sz w:val="22"/>
          <w:szCs w:val="22"/>
          <w:lang w:eastAsia="en-US"/>
        </w:rPr>
        <w:t>й</w:t>
      </w:r>
      <w:r w:rsidRPr="00A1144E">
        <w:rPr>
          <w:rFonts w:eastAsia="Calibri"/>
          <w:sz w:val="22"/>
          <w:szCs w:val="22"/>
          <w:lang w:eastAsia="en-US"/>
        </w:rPr>
        <w:t>ской Федерации в области здорового питания населения на период до 2020 года» [1, 3].</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Создание и введение в пищевое производство лечебно-профилактических продуктов – одно из важнейших направлений в программе питания человека, провозглашенной ООН[2,4].</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В сложившихся обстоятельствах  в настоящее время на первом плане стоит разработка и внедрение таких продуктов питания, в к</w:t>
      </w:r>
      <w:r w:rsidRPr="00A1144E">
        <w:rPr>
          <w:rFonts w:eastAsia="Calibri"/>
          <w:sz w:val="22"/>
          <w:szCs w:val="22"/>
          <w:lang w:eastAsia="en-US"/>
        </w:rPr>
        <w:t>о</w:t>
      </w:r>
      <w:r w:rsidRPr="00A1144E">
        <w:rPr>
          <w:rFonts w:eastAsia="Calibri"/>
          <w:sz w:val="22"/>
          <w:szCs w:val="22"/>
          <w:lang w:eastAsia="en-US"/>
        </w:rPr>
        <w:t>торых максимально будут сохраняться все вещества, обеспечива</w:t>
      </w:r>
      <w:r w:rsidRPr="00A1144E">
        <w:rPr>
          <w:rFonts w:eastAsia="Calibri"/>
          <w:sz w:val="22"/>
          <w:szCs w:val="22"/>
          <w:lang w:eastAsia="en-US"/>
        </w:rPr>
        <w:t>ю</w:t>
      </w:r>
      <w:r w:rsidRPr="00A1144E">
        <w:rPr>
          <w:rFonts w:eastAsia="Calibri"/>
          <w:sz w:val="22"/>
          <w:szCs w:val="22"/>
          <w:lang w:eastAsia="en-US"/>
        </w:rPr>
        <w:t>щие пищевую ценность продукта: витамины, макро- и микроэл</w:t>
      </w:r>
      <w:r w:rsidRPr="00A1144E">
        <w:rPr>
          <w:rFonts w:eastAsia="Calibri"/>
          <w:sz w:val="22"/>
          <w:szCs w:val="22"/>
          <w:lang w:eastAsia="en-US"/>
        </w:rPr>
        <w:t>е</w:t>
      </w:r>
      <w:r w:rsidRPr="00A1144E">
        <w:rPr>
          <w:rFonts w:eastAsia="Calibri"/>
          <w:sz w:val="22"/>
          <w:szCs w:val="22"/>
          <w:lang w:eastAsia="en-US"/>
        </w:rPr>
        <w:t>менты, полезные микроорганизмы и другие вещества.</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 xml:space="preserve">В </w:t>
      </w:r>
      <w:r w:rsidRPr="00A1144E">
        <w:rPr>
          <w:rFonts w:eastAsia="Calibri"/>
          <w:sz w:val="22"/>
          <w:szCs w:val="22"/>
          <w:lang w:val="en-US" w:eastAsia="en-US"/>
        </w:rPr>
        <w:t>XXI</w:t>
      </w:r>
      <w:r w:rsidRPr="00A1144E">
        <w:rPr>
          <w:rFonts w:eastAsia="Calibri"/>
          <w:sz w:val="22"/>
          <w:szCs w:val="22"/>
          <w:lang w:eastAsia="en-US"/>
        </w:rPr>
        <w:t xml:space="preserve"> веке особый интерес у производителей и потребителей вызывают продукты функционального питания, а именно кислом</w:t>
      </w:r>
      <w:r w:rsidRPr="00A1144E">
        <w:rPr>
          <w:rFonts w:eastAsia="Calibri"/>
          <w:sz w:val="22"/>
          <w:szCs w:val="22"/>
          <w:lang w:eastAsia="en-US"/>
        </w:rPr>
        <w:t>о</w:t>
      </w:r>
      <w:r w:rsidRPr="00A1144E">
        <w:rPr>
          <w:rFonts w:eastAsia="Calibri"/>
          <w:sz w:val="22"/>
          <w:szCs w:val="22"/>
          <w:lang w:eastAsia="en-US"/>
        </w:rPr>
        <w:t>лочные продукты, оказывающие благоприятное воздействие на о</w:t>
      </w:r>
      <w:r w:rsidRPr="00A1144E">
        <w:rPr>
          <w:rFonts w:eastAsia="Calibri"/>
          <w:sz w:val="22"/>
          <w:szCs w:val="22"/>
          <w:lang w:eastAsia="en-US"/>
        </w:rPr>
        <w:t>р</w:t>
      </w:r>
      <w:r w:rsidRPr="00A1144E">
        <w:rPr>
          <w:rFonts w:eastAsia="Calibri"/>
          <w:sz w:val="22"/>
          <w:szCs w:val="22"/>
          <w:lang w:eastAsia="en-US"/>
        </w:rPr>
        <w:t>ганизм человека. Они заменяют лечебные препараты, которые с</w:t>
      </w:r>
      <w:r w:rsidRPr="00A1144E">
        <w:rPr>
          <w:rFonts w:eastAsia="Calibri"/>
          <w:sz w:val="22"/>
          <w:szCs w:val="22"/>
          <w:lang w:eastAsia="en-US"/>
        </w:rPr>
        <w:t>о</w:t>
      </w:r>
      <w:r w:rsidRPr="00A1144E">
        <w:rPr>
          <w:rFonts w:eastAsia="Calibri"/>
          <w:sz w:val="22"/>
          <w:szCs w:val="22"/>
          <w:lang w:eastAsia="en-US"/>
        </w:rPr>
        <w:t xml:space="preserve">держат в своем составе про- и пребиотики. </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В настоящее время пробиотики получили широкое распростр</w:t>
      </w:r>
      <w:r w:rsidRPr="00A1144E">
        <w:rPr>
          <w:rFonts w:eastAsia="Calibri"/>
          <w:sz w:val="22"/>
          <w:szCs w:val="22"/>
          <w:lang w:eastAsia="en-US"/>
        </w:rPr>
        <w:t>а</w:t>
      </w:r>
      <w:r w:rsidRPr="00A1144E">
        <w:rPr>
          <w:rFonts w:eastAsia="Calibri"/>
          <w:sz w:val="22"/>
          <w:szCs w:val="22"/>
          <w:lang w:eastAsia="en-US"/>
        </w:rPr>
        <w:t>нение. Они входят в состав фармацевтических препаратов, нат</w:t>
      </w:r>
      <w:r w:rsidRPr="00A1144E">
        <w:rPr>
          <w:rFonts w:eastAsia="Calibri"/>
          <w:sz w:val="22"/>
          <w:szCs w:val="22"/>
          <w:lang w:eastAsia="en-US"/>
        </w:rPr>
        <w:t>у</w:t>
      </w:r>
      <w:r w:rsidRPr="00A1144E">
        <w:rPr>
          <w:rFonts w:eastAsia="Calibri"/>
          <w:sz w:val="22"/>
          <w:szCs w:val="22"/>
          <w:lang w:eastAsia="en-US"/>
        </w:rPr>
        <w:t>ральных пищевых продуктов, но особое место среди них занимают кисломолочные продукты, обогащенные различными пробиотич</w:t>
      </w:r>
      <w:r w:rsidRPr="00A1144E">
        <w:rPr>
          <w:rFonts w:eastAsia="Calibri"/>
          <w:sz w:val="22"/>
          <w:szCs w:val="22"/>
          <w:lang w:eastAsia="en-US"/>
        </w:rPr>
        <w:t>е</w:t>
      </w:r>
      <w:r w:rsidRPr="00A1144E">
        <w:rPr>
          <w:rFonts w:eastAsia="Calibri"/>
          <w:sz w:val="22"/>
          <w:szCs w:val="22"/>
          <w:lang w:eastAsia="en-US"/>
        </w:rPr>
        <w:t>скими микроорганизмами [5].</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Молоко и продукты, выработанные из него, уже очень давно занимают одно из ведущих мест в рационе человека. Еще с самых древних времен молоко отождествлялось с физической силой и крепким здоровьем [4,5].</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Бифилакт «Биота» является пробиотическим продуктом, в к</w:t>
      </w:r>
      <w:r w:rsidRPr="00A1144E">
        <w:rPr>
          <w:rFonts w:eastAsia="Calibri"/>
          <w:sz w:val="22"/>
          <w:szCs w:val="22"/>
          <w:lang w:eastAsia="en-US"/>
        </w:rPr>
        <w:t>о</w:t>
      </w:r>
      <w:r w:rsidRPr="00A1144E">
        <w:rPr>
          <w:rFonts w:eastAsia="Calibri"/>
          <w:sz w:val="22"/>
          <w:szCs w:val="22"/>
          <w:lang w:eastAsia="en-US"/>
        </w:rPr>
        <w:t>тором содержатся живые бифидумбактерии, лактобактерии и л</w:t>
      </w:r>
      <w:r w:rsidRPr="00A1144E">
        <w:rPr>
          <w:rFonts w:eastAsia="Calibri"/>
          <w:sz w:val="22"/>
          <w:szCs w:val="22"/>
          <w:lang w:eastAsia="en-US"/>
        </w:rPr>
        <w:t>е</w:t>
      </w:r>
      <w:r w:rsidRPr="00A1144E">
        <w:rPr>
          <w:rFonts w:eastAsia="Calibri"/>
          <w:sz w:val="22"/>
          <w:szCs w:val="22"/>
          <w:lang w:eastAsia="en-US"/>
        </w:rPr>
        <w:t>чебные продукты их жизнедеятельности, которые в первые же часы приема оказывает благотворное влияние на организм.</w:t>
      </w:r>
    </w:p>
    <w:p w:rsidR="00281602" w:rsidRPr="00A1144E" w:rsidRDefault="00281602" w:rsidP="00A1144E">
      <w:pPr>
        <w:ind w:firstLine="426"/>
        <w:jc w:val="both"/>
        <w:rPr>
          <w:rFonts w:eastAsia="Calibri"/>
          <w:sz w:val="22"/>
          <w:szCs w:val="22"/>
          <w:lang w:eastAsia="en-US"/>
        </w:rPr>
      </w:pPr>
    </w:p>
    <w:p w:rsidR="00281602" w:rsidRPr="00A1144E" w:rsidRDefault="00281602" w:rsidP="00A1144E">
      <w:pPr>
        <w:ind w:firstLine="426"/>
        <w:jc w:val="center"/>
        <w:rPr>
          <w:rFonts w:eastAsia="Calibri"/>
          <w:sz w:val="22"/>
          <w:szCs w:val="22"/>
          <w:lang w:eastAsia="en-US"/>
        </w:rPr>
      </w:pPr>
      <w:r w:rsidRPr="00A1144E">
        <w:rPr>
          <w:rFonts w:eastAsia="Calibri"/>
          <w:sz w:val="22"/>
          <w:szCs w:val="22"/>
          <w:lang w:eastAsia="en-US"/>
        </w:rPr>
        <w:t>Список литературы</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 xml:space="preserve">1. Австриевских, А.Н. Продукты здорового питания: новые технологии обеспечение качества, эффективность применения / </w:t>
      </w:r>
      <w:r w:rsidRPr="00A1144E">
        <w:rPr>
          <w:rFonts w:eastAsia="Calibri"/>
          <w:sz w:val="22"/>
          <w:szCs w:val="22"/>
          <w:lang w:eastAsia="en-US"/>
        </w:rPr>
        <w:lastRenderedPageBreak/>
        <w:t>А.Н. Австриевских, А.А. Вековцев, В.М. Позняковский. – Саратов : Издательство «Вузовское образование», 2014.–317 c.</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2. Захарова, Л.М. Технология молока и молочных продуктов. Функциональные продукты: лабораторный практикум для вузов / Л.М. Захарова, И.А. Мазеева. – Кемерово: Кемеровский технолог</w:t>
      </w:r>
      <w:r w:rsidRPr="00A1144E">
        <w:rPr>
          <w:rFonts w:eastAsia="Calibri"/>
          <w:sz w:val="22"/>
          <w:szCs w:val="22"/>
          <w:lang w:eastAsia="en-US"/>
        </w:rPr>
        <w:t>и</w:t>
      </w:r>
      <w:r w:rsidRPr="00A1144E">
        <w:rPr>
          <w:rFonts w:eastAsia="Calibri"/>
          <w:sz w:val="22"/>
          <w:szCs w:val="22"/>
          <w:lang w:eastAsia="en-US"/>
        </w:rPr>
        <w:t>ческий   институт промышленности, 2014.–187 c.</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 xml:space="preserve">3. Огнева, О.А. </w:t>
      </w:r>
      <w:hyperlink r:id="rId143" w:history="1">
        <w:r w:rsidRPr="00A1144E">
          <w:rPr>
            <w:rFonts w:eastAsia="Calibri"/>
            <w:sz w:val="22"/>
            <w:szCs w:val="22"/>
            <w:lang w:eastAsia="en-US"/>
          </w:rPr>
          <w:t>Разработка технологий фруктово-овощных продуктов с бифидогенными свойствами</w:t>
        </w:r>
      </w:hyperlink>
      <w:r w:rsidRPr="00A1144E">
        <w:rPr>
          <w:rFonts w:eastAsia="Calibri"/>
          <w:sz w:val="22"/>
          <w:szCs w:val="22"/>
          <w:lang w:eastAsia="en-US"/>
        </w:rPr>
        <w:t>: дис. … канд. техн. наук: 05.18.01: защищена 18.12.2015 / Огнева Ольга Александровна. – Краснодар, 2015. – 159 с. – Библиогр. : С. 5-27.</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4. Рябцева, С.А. Микробиология молока и молочных проду</w:t>
      </w:r>
      <w:r w:rsidRPr="00A1144E">
        <w:rPr>
          <w:rFonts w:eastAsia="Calibri"/>
          <w:sz w:val="22"/>
          <w:szCs w:val="22"/>
          <w:lang w:eastAsia="en-US"/>
        </w:rPr>
        <w:t>к</w:t>
      </w:r>
      <w:r w:rsidRPr="00A1144E">
        <w:rPr>
          <w:rFonts w:eastAsia="Calibri"/>
          <w:sz w:val="22"/>
          <w:szCs w:val="22"/>
          <w:lang w:eastAsia="en-US"/>
        </w:rPr>
        <w:t>тов: учебное пособие /С.А. Рябцева, Н.М. Панова. – Ставрополь : Издательство СКФУ,2017. –217с.</w:t>
      </w:r>
    </w:p>
    <w:p w:rsidR="00281602" w:rsidRPr="00A1144E" w:rsidRDefault="00281602" w:rsidP="00A1144E">
      <w:pPr>
        <w:ind w:firstLine="426"/>
        <w:jc w:val="both"/>
        <w:rPr>
          <w:rFonts w:eastAsia="Calibri"/>
          <w:sz w:val="22"/>
          <w:szCs w:val="22"/>
          <w:lang w:eastAsia="en-US"/>
        </w:rPr>
      </w:pPr>
      <w:r w:rsidRPr="00A1144E">
        <w:rPr>
          <w:rFonts w:eastAsia="Calibri"/>
          <w:sz w:val="22"/>
          <w:szCs w:val="22"/>
          <w:lang w:eastAsia="en-US"/>
        </w:rPr>
        <w:t>5. Соколова, О.Я. Технология молочных продуктов лечебно-профилактического питания: учебное пособие / О.Я. Соколова, О.В. Богатова, А.И. Богатов. – Оренбург : ГОУ ОГУ, 2009.–236 c.</w:t>
      </w:r>
    </w:p>
    <w:p w:rsidR="00281602" w:rsidRPr="00281602" w:rsidRDefault="00281602" w:rsidP="00281602">
      <w:pPr>
        <w:widowControl w:val="0"/>
        <w:rPr>
          <w:rFonts w:eastAsia="Calibri"/>
          <w:sz w:val="20"/>
          <w:szCs w:val="20"/>
          <w:lang w:eastAsia="en-US"/>
        </w:rPr>
      </w:pPr>
    </w:p>
    <w:p w:rsidR="00B572C5" w:rsidRDefault="00B572C5" w:rsidP="005914ED">
      <w:pPr>
        <w:widowControl w:val="0"/>
        <w:rPr>
          <w:rFonts w:eastAsia="Calibri"/>
          <w:sz w:val="20"/>
          <w:szCs w:val="20"/>
          <w:lang w:eastAsia="en-US"/>
        </w:rPr>
      </w:pPr>
    </w:p>
    <w:p w:rsidR="00B572C5" w:rsidRPr="00281602" w:rsidRDefault="00B572C5" w:rsidP="005914ED">
      <w:pPr>
        <w:widowControl w:val="0"/>
        <w:rPr>
          <w:rFonts w:eastAsia="Calibri"/>
          <w:sz w:val="20"/>
          <w:szCs w:val="20"/>
          <w:lang w:eastAsia="en-US"/>
        </w:rPr>
      </w:pPr>
    </w:p>
    <w:p w:rsidR="00281602" w:rsidRDefault="00281602" w:rsidP="00281602">
      <w:pPr>
        <w:widowControl w:val="0"/>
        <w:overflowPunct w:val="0"/>
        <w:autoSpaceDE w:val="0"/>
        <w:autoSpaceDN w:val="0"/>
        <w:adjustRightInd w:val="0"/>
        <w:jc w:val="both"/>
        <w:rPr>
          <w:rFonts w:eastAsia="Segoe UI"/>
          <w:sz w:val="22"/>
          <w:szCs w:val="22"/>
          <w:lang w:eastAsia="en-US"/>
        </w:rPr>
      </w:pPr>
      <w:r w:rsidRPr="00281602">
        <w:rPr>
          <w:rFonts w:eastAsia="Segoe UI"/>
          <w:sz w:val="22"/>
          <w:szCs w:val="22"/>
          <w:lang w:eastAsia="en-US"/>
        </w:rPr>
        <w:t>УДК 664.71-11</w:t>
      </w:r>
    </w:p>
    <w:p w:rsidR="005914ED" w:rsidRPr="00281602" w:rsidRDefault="005914ED" w:rsidP="00281602">
      <w:pPr>
        <w:widowControl w:val="0"/>
        <w:overflowPunct w:val="0"/>
        <w:autoSpaceDE w:val="0"/>
        <w:autoSpaceDN w:val="0"/>
        <w:adjustRightInd w:val="0"/>
        <w:jc w:val="both"/>
        <w:rPr>
          <w:rFonts w:eastAsia="Segoe UI"/>
          <w:sz w:val="22"/>
          <w:szCs w:val="22"/>
          <w:lang w:eastAsia="en-US"/>
        </w:rPr>
      </w:pPr>
    </w:p>
    <w:p w:rsidR="00281602" w:rsidRPr="00281602" w:rsidRDefault="00281602" w:rsidP="005914ED">
      <w:pPr>
        <w:widowControl w:val="0"/>
        <w:suppressAutoHyphens/>
        <w:overflowPunct w:val="0"/>
        <w:autoSpaceDE w:val="0"/>
        <w:autoSpaceDN w:val="0"/>
        <w:adjustRightInd w:val="0"/>
        <w:jc w:val="center"/>
        <w:rPr>
          <w:b/>
          <w:sz w:val="24"/>
          <w:szCs w:val="24"/>
          <w:lang w:eastAsia="en-US"/>
        </w:rPr>
      </w:pPr>
      <w:r w:rsidRPr="00281602">
        <w:rPr>
          <w:b/>
          <w:sz w:val="24"/>
          <w:szCs w:val="24"/>
          <w:lang w:eastAsia="en-US"/>
        </w:rPr>
        <w:t>Разработка технологии тритикале - пшеничной муки и хлеба на ее основе</w:t>
      </w:r>
    </w:p>
    <w:p w:rsidR="00281602" w:rsidRPr="00281602" w:rsidRDefault="00281602" w:rsidP="005914ED">
      <w:pPr>
        <w:widowControl w:val="0"/>
        <w:overflowPunct w:val="0"/>
        <w:autoSpaceDE w:val="0"/>
        <w:autoSpaceDN w:val="0"/>
        <w:adjustRightInd w:val="0"/>
        <w:jc w:val="center"/>
        <w:rPr>
          <w:b/>
          <w:sz w:val="24"/>
          <w:szCs w:val="24"/>
          <w:lang w:val="en-US" w:eastAsia="en-US"/>
        </w:rPr>
      </w:pPr>
      <w:r w:rsidRPr="00281602">
        <w:rPr>
          <w:b/>
          <w:sz w:val="24"/>
          <w:szCs w:val="24"/>
          <w:lang w:val="en-US" w:eastAsia="en-US"/>
        </w:rPr>
        <w:t>The development of triticale flour and bread based on it</w:t>
      </w:r>
    </w:p>
    <w:p w:rsidR="00281602" w:rsidRPr="00281602" w:rsidRDefault="00281602" w:rsidP="005914ED">
      <w:pPr>
        <w:widowControl w:val="0"/>
        <w:overflowPunct w:val="0"/>
        <w:autoSpaceDE w:val="0"/>
        <w:autoSpaceDN w:val="0"/>
        <w:adjustRightInd w:val="0"/>
        <w:jc w:val="center"/>
        <w:rPr>
          <w:b/>
          <w:sz w:val="22"/>
          <w:szCs w:val="22"/>
          <w:lang w:val="en-US" w:eastAsia="en-US"/>
        </w:rPr>
      </w:pPr>
    </w:p>
    <w:p w:rsidR="00281602" w:rsidRPr="00281602" w:rsidRDefault="00281602" w:rsidP="00281602">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Хорольцев Д.</w:t>
      </w:r>
      <w:r w:rsidR="005914ED">
        <w:rPr>
          <w:spacing w:val="-4"/>
          <w:sz w:val="22"/>
          <w:szCs w:val="22"/>
          <w:lang w:eastAsia="en-US"/>
        </w:rPr>
        <w:t xml:space="preserve"> </w:t>
      </w:r>
      <w:r w:rsidRPr="00281602">
        <w:rPr>
          <w:spacing w:val="-4"/>
          <w:sz w:val="22"/>
          <w:szCs w:val="22"/>
          <w:lang w:eastAsia="en-US"/>
        </w:rPr>
        <w:t>А.</w:t>
      </w:r>
      <w:r w:rsidR="005914ED">
        <w:rPr>
          <w:spacing w:val="-4"/>
          <w:sz w:val="22"/>
          <w:szCs w:val="22"/>
          <w:lang w:eastAsia="en-US"/>
        </w:rPr>
        <w:t>,</w:t>
      </w:r>
    </w:p>
    <w:p w:rsidR="00281602" w:rsidRPr="00281602" w:rsidRDefault="00281602" w:rsidP="00B572C5">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 xml:space="preserve"> студент 4 курса факультета перерабатывающих технологий</w:t>
      </w:r>
    </w:p>
    <w:p w:rsidR="00281602" w:rsidRPr="00281602" w:rsidRDefault="00281602" w:rsidP="00281602">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Сокол Н.</w:t>
      </w:r>
      <w:r w:rsidR="005914ED">
        <w:rPr>
          <w:spacing w:val="-4"/>
          <w:sz w:val="22"/>
          <w:szCs w:val="22"/>
          <w:lang w:eastAsia="en-US"/>
        </w:rPr>
        <w:t xml:space="preserve"> </w:t>
      </w:r>
      <w:r w:rsidRPr="00281602">
        <w:rPr>
          <w:spacing w:val="-4"/>
          <w:sz w:val="22"/>
          <w:szCs w:val="22"/>
          <w:lang w:eastAsia="en-US"/>
        </w:rPr>
        <w:t>В.</w:t>
      </w:r>
      <w:r w:rsidR="005914ED">
        <w:rPr>
          <w:spacing w:val="-4"/>
          <w:sz w:val="22"/>
          <w:szCs w:val="22"/>
          <w:lang w:eastAsia="en-US"/>
        </w:rPr>
        <w:t>,</w:t>
      </w:r>
    </w:p>
    <w:p w:rsidR="005914ED" w:rsidRDefault="00281602" w:rsidP="00B572C5">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профессор кафедры</w:t>
      </w:r>
      <w:r w:rsidR="00B572C5">
        <w:rPr>
          <w:spacing w:val="-4"/>
          <w:sz w:val="22"/>
          <w:szCs w:val="22"/>
          <w:lang w:eastAsia="en-US"/>
        </w:rPr>
        <w:t xml:space="preserve"> </w:t>
      </w:r>
      <w:r w:rsidRPr="00281602">
        <w:rPr>
          <w:spacing w:val="-4"/>
          <w:sz w:val="22"/>
          <w:szCs w:val="22"/>
          <w:lang w:eastAsia="en-US"/>
        </w:rPr>
        <w:t>технологии хранения и переработки</w:t>
      </w:r>
    </w:p>
    <w:p w:rsidR="00281602" w:rsidRPr="00281602" w:rsidRDefault="00281602" w:rsidP="00281602">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 xml:space="preserve"> растениеводческой продукции</w:t>
      </w:r>
    </w:p>
    <w:p w:rsidR="00281602" w:rsidRPr="00281602" w:rsidRDefault="00281602" w:rsidP="00281602">
      <w:pPr>
        <w:widowControl w:val="0"/>
        <w:overflowPunct w:val="0"/>
        <w:autoSpaceDE w:val="0"/>
        <w:autoSpaceDN w:val="0"/>
        <w:adjustRightInd w:val="0"/>
        <w:jc w:val="right"/>
        <w:rPr>
          <w:spacing w:val="-4"/>
          <w:sz w:val="22"/>
          <w:szCs w:val="22"/>
          <w:lang w:eastAsia="en-US"/>
        </w:rPr>
      </w:pPr>
      <w:r w:rsidRPr="00281602">
        <w:rPr>
          <w:spacing w:val="-4"/>
          <w:sz w:val="22"/>
          <w:szCs w:val="22"/>
          <w:lang w:eastAsia="en-US"/>
        </w:rPr>
        <w:t xml:space="preserve">Кубанский государственный аграрный </w:t>
      </w:r>
    </w:p>
    <w:p w:rsidR="00281602" w:rsidRPr="00281602" w:rsidRDefault="00281602" w:rsidP="00281602">
      <w:pPr>
        <w:widowControl w:val="0"/>
        <w:overflowPunct w:val="0"/>
        <w:autoSpaceDE w:val="0"/>
        <w:autoSpaceDN w:val="0"/>
        <w:adjustRightInd w:val="0"/>
        <w:jc w:val="right"/>
        <w:rPr>
          <w:i/>
          <w:sz w:val="22"/>
          <w:szCs w:val="22"/>
          <w:lang w:eastAsia="en-US"/>
        </w:rPr>
      </w:pPr>
      <w:r w:rsidRPr="00281602">
        <w:rPr>
          <w:spacing w:val="-4"/>
          <w:sz w:val="22"/>
          <w:szCs w:val="22"/>
          <w:lang w:eastAsia="en-US"/>
        </w:rPr>
        <w:t>университет имени И.Т. Трубилина</w:t>
      </w:r>
    </w:p>
    <w:p w:rsidR="00281602" w:rsidRPr="00281602" w:rsidRDefault="00281602" w:rsidP="00281602">
      <w:pPr>
        <w:widowControl w:val="0"/>
        <w:overflowPunct w:val="0"/>
        <w:autoSpaceDE w:val="0"/>
        <w:autoSpaceDN w:val="0"/>
        <w:adjustRightInd w:val="0"/>
        <w:jc w:val="right"/>
        <w:rPr>
          <w:sz w:val="22"/>
          <w:szCs w:val="22"/>
          <w:lang w:eastAsia="en-US"/>
        </w:rPr>
      </w:pPr>
    </w:p>
    <w:p w:rsidR="00281602" w:rsidRPr="00281602" w:rsidRDefault="00281602" w:rsidP="005914ED">
      <w:pPr>
        <w:widowControl w:val="0"/>
        <w:suppressAutoHyphens/>
        <w:overflowPunct w:val="0"/>
        <w:autoSpaceDE w:val="0"/>
        <w:autoSpaceDN w:val="0"/>
        <w:adjustRightInd w:val="0"/>
        <w:ind w:firstLine="426"/>
        <w:jc w:val="both"/>
        <w:rPr>
          <w:spacing w:val="-4"/>
          <w:sz w:val="22"/>
          <w:szCs w:val="22"/>
          <w:lang w:eastAsia="en-US"/>
        </w:rPr>
      </w:pPr>
      <w:r w:rsidRPr="00281602">
        <w:rPr>
          <w:spacing w:val="-4"/>
          <w:sz w:val="22"/>
          <w:szCs w:val="22"/>
          <w:lang w:eastAsia="en-US"/>
        </w:rPr>
        <w:t xml:space="preserve">АННОТАЦИЯ: В работе затронута тема повышения эффективности переработки тритикалевого зерна на хлебопекарные цели. Представлены результаты по формированию помольных партий зерна из высокостекловидных сортов озимой мягкой пшеницы и сорта озимой тритикале, производственных помолов и пробной </w:t>
      </w:r>
      <w:r w:rsidRPr="00281602">
        <w:rPr>
          <w:spacing w:val="-4"/>
          <w:sz w:val="22"/>
          <w:szCs w:val="22"/>
          <w:lang w:eastAsia="en-US"/>
        </w:rPr>
        <w:lastRenderedPageBreak/>
        <w:t>лабораторной  выпечки.</w:t>
      </w:r>
    </w:p>
    <w:p w:rsidR="00281602" w:rsidRPr="00B572C5" w:rsidRDefault="00281602" w:rsidP="00591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B572C5">
        <w:rPr>
          <w:spacing w:val="-4"/>
          <w:sz w:val="22"/>
          <w:szCs w:val="22"/>
          <w:lang w:val="en-US"/>
        </w:rPr>
        <w:t xml:space="preserve">ABSTRACT: </w:t>
      </w:r>
      <w:r w:rsidRPr="00B572C5">
        <w:rPr>
          <w:sz w:val="22"/>
          <w:szCs w:val="22"/>
          <w:lang w:val="en-US"/>
        </w:rPr>
        <w:t>The paper touches upon the issue of increasing the e</w:t>
      </w:r>
      <w:r w:rsidRPr="00B572C5">
        <w:rPr>
          <w:sz w:val="22"/>
          <w:szCs w:val="22"/>
          <w:lang w:val="en-US"/>
        </w:rPr>
        <w:t>f</w:t>
      </w:r>
      <w:r w:rsidRPr="00B572C5">
        <w:rPr>
          <w:sz w:val="22"/>
          <w:szCs w:val="22"/>
          <w:lang w:val="en-US"/>
        </w:rPr>
        <w:t>ficiency of processing of tritical grain for baking purposes. The results are presented on the formation of grinding batches of grain from high-viscosity varieties of winter soft wheat and winter triticale variety, pr</w:t>
      </w:r>
      <w:r w:rsidRPr="00B572C5">
        <w:rPr>
          <w:sz w:val="22"/>
          <w:szCs w:val="22"/>
          <w:lang w:val="en-US"/>
        </w:rPr>
        <w:t>o</w:t>
      </w:r>
      <w:r w:rsidRPr="00B572C5">
        <w:rPr>
          <w:sz w:val="22"/>
          <w:szCs w:val="22"/>
          <w:lang w:val="en-US"/>
        </w:rPr>
        <w:t>duction grinds and trial laboratory baking.</w:t>
      </w:r>
    </w:p>
    <w:p w:rsidR="00281602" w:rsidRPr="00B572C5" w:rsidRDefault="00281602" w:rsidP="005914ED">
      <w:pPr>
        <w:widowControl w:val="0"/>
        <w:overflowPunct w:val="0"/>
        <w:autoSpaceDE w:val="0"/>
        <w:autoSpaceDN w:val="0"/>
        <w:adjustRightInd w:val="0"/>
        <w:ind w:firstLine="426"/>
        <w:jc w:val="both"/>
        <w:rPr>
          <w:sz w:val="22"/>
          <w:szCs w:val="22"/>
          <w:lang w:eastAsia="en-US"/>
        </w:rPr>
      </w:pPr>
      <w:r w:rsidRPr="00B572C5">
        <w:rPr>
          <w:sz w:val="22"/>
          <w:szCs w:val="22"/>
          <w:lang w:eastAsia="en-US"/>
        </w:rPr>
        <w:t>КЛЮЧЕВЫЕ СЛОВА: зерно, тритикале, пшеница, компози</w:t>
      </w:r>
      <w:r w:rsidRPr="00B572C5">
        <w:rPr>
          <w:sz w:val="22"/>
          <w:szCs w:val="22"/>
          <w:lang w:eastAsia="en-US"/>
        </w:rPr>
        <w:t>т</w:t>
      </w:r>
      <w:r w:rsidRPr="00B572C5">
        <w:rPr>
          <w:sz w:val="22"/>
          <w:szCs w:val="22"/>
          <w:lang w:eastAsia="en-US"/>
        </w:rPr>
        <w:t>ная смесь, технология, помол, мука, хлеб.</w:t>
      </w:r>
    </w:p>
    <w:p w:rsidR="00281602" w:rsidRPr="00B572C5" w:rsidRDefault="00281602" w:rsidP="005914ED">
      <w:pPr>
        <w:widowControl w:val="0"/>
        <w:overflowPunct w:val="0"/>
        <w:autoSpaceDE w:val="0"/>
        <w:autoSpaceDN w:val="0"/>
        <w:adjustRightInd w:val="0"/>
        <w:ind w:firstLine="426"/>
        <w:jc w:val="both"/>
        <w:rPr>
          <w:spacing w:val="-4"/>
          <w:sz w:val="22"/>
          <w:szCs w:val="22"/>
          <w:lang w:val="en-US" w:eastAsia="en-US"/>
        </w:rPr>
      </w:pPr>
      <w:r w:rsidRPr="00B572C5">
        <w:rPr>
          <w:spacing w:val="-4"/>
          <w:sz w:val="22"/>
          <w:szCs w:val="22"/>
          <w:lang w:val="en-US" w:eastAsia="en-US"/>
        </w:rPr>
        <w:t>KEYWORDS: cereals, triticale, wheat, composite blend technology, milling, flour, bread.</w:t>
      </w:r>
    </w:p>
    <w:p w:rsidR="00281602" w:rsidRPr="00281602" w:rsidRDefault="00281602" w:rsidP="005914ED">
      <w:pPr>
        <w:widowControl w:val="0"/>
        <w:overflowPunct w:val="0"/>
        <w:autoSpaceDE w:val="0"/>
        <w:autoSpaceDN w:val="0"/>
        <w:adjustRightInd w:val="0"/>
        <w:ind w:firstLine="426"/>
        <w:jc w:val="both"/>
        <w:rPr>
          <w:sz w:val="22"/>
          <w:szCs w:val="22"/>
          <w:lang w:val="en-US" w:eastAsia="en-US"/>
        </w:rPr>
      </w:pP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Зерно тритикале обладает уникальными свойствами, которые обусловлены предшественниками этой культуры. Показатель б</w:t>
      </w:r>
      <w:r w:rsidRPr="00281602">
        <w:rPr>
          <w:rFonts w:eastAsia="Calibri"/>
          <w:sz w:val="22"/>
          <w:szCs w:val="22"/>
          <w:lang w:eastAsia="en-US"/>
        </w:rPr>
        <w:t>е</w:t>
      </w:r>
      <w:r w:rsidRPr="00281602">
        <w:rPr>
          <w:rFonts w:eastAsia="Calibri"/>
          <w:sz w:val="22"/>
          <w:szCs w:val="22"/>
          <w:lang w:eastAsia="en-US"/>
        </w:rPr>
        <w:t>лизна муки и хорошие хлебопекарные свойства условно относят ее к пшеничным качествам, а высокая активность амилолитических ферментов и сбалансированность белков - к ржаным. В связи с в</w:t>
      </w:r>
      <w:r w:rsidRPr="00281602">
        <w:rPr>
          <w:rFonts w:eastAsia="Calibri"/>
          <w:sz w:val="22"/>
          <w:szCs w:val="22"/>
          <w:lang w:eastAsia="en-US"/>
        </w:rPr>
        <w:t>ы</w:t>
      </w:r>
      <w:r w:rsidRPr="00281602">
        <w:rPr>
          <w:rFonts w:eastAsia="Calibri"/>
          <w:sz w:val="22"/>
          <w:szCs w:val="22"/>
          <w:lang w:eastAsia="en-US"/>
        </w:rPr>
        <w:t>сокой морозоустойчивостью, а также устойчивостью ко многим з</w:t>
      </w:r>
      <w:r w:rsidRPr="00281602">
        <w:rPr>
          <w:rFonts w:eastAsia="Calibri"/>
          <w:sz w:val="22"/>
          <w:szCs w:val="22"/>
          <w:lang w:eastAsia="en-US"/>
        </w:rPr>
        <w:t>а</w:t>
      </w:r>
      <w:r w:rsidRPr="00281602">
        <w:rPr>
          <w:rFonts w:eastAsia="Calibri"/>
          <w:sz w:val="22"/>
          <w:szCs w:val="22"/>
          <w:lang w:eastAsia="en-US"/>
        </w:rPr>
        <w:t>болеваниям, тритикале не нуждается в обработке дополнительными средствами защиты растений и удобрений.</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Трудностью при помоле такого зерна по пшеничному типу я</w:t>
      </w:r>
      <w:r w:rsidRPr="00281602">
        <w:rPr>
          <w:rFonts w:eastAsia="Calibri"/>
          <w:sz w:val="22"/>
          <w:szCs w:val="22"/>
          <w:lang w:eastAsia="en-US"/>
        </w:rPr>
        <w:t>в</w:t>
      </w:r>
      <w:r w:rsidRPr="00281602">
        <w:rPr>
          <w:rFonts w:eastAsia="Calibri"/>
          <w:sz w:val="22"/>
          <w:szCs w:val="22"/>
          <w:lang w:eastAsia="en-US"/>
        </w:rPr>
        <w:t>ляется повышенная активность амилолитических ферментов, кот</w:t>
      </w:r>
      <w:r w:rsidRPr="00281602">
        <w:rPr>
          <w:rFonts w:eastAsia="Calibri"/>
          <w:sz w:val="22"/>
          <w:szCs w:val="22"/>
          <w:lang w:eastAsia="en-US"/>
        </w:rPr>
        <w:t>о</w:t>
      </w:r>
      <w:r w:rsidRPr="00281602">
        <w:rPr>
          <w:rFonts w:eastAsia="Calibri"/>
          <w:sz w:val="22"/>
          <w:szCs w:val="22"/>
          <w:lang w:eastAsia="en-US"/>
        </w:rPr>
        <w:t>рые частично гидролизуют крахмал, что ведет к затиранию рабочих отверстий рассева. Следовательно, выход муки уменьшается в среднем на 10-15% в сравнении с выходом пшеничной муки анал</w:t>
      </w:r>
      <w:r w:rsidRPr="00281602">
        <w:rPr>
          <w:rFonts w:eastAsia="Calibri"/>
          <w:sz w:val="22"/>
          <w:szCs w:val="22"/>
          <w:lang w:eastAsia="en-US"/>
        </w:rPr>
        <w:t>о</w:t>
      </w:r>
      <w:r w:rsidRPr="00281602">
        <w:rPr>
          <w:rFonts w:eastAsia="Calibri"/>
          <w:sz w:val="22"/>
          <w:szCs w:val="22"/>
          <w:lang w:eastAsia="en-US"/>
        </w:rPr>
        <w:t>гичным методом помола. Попыток увеличения выхода муки из тр</w:t>
      </w:r>
      <w:r w:rsidRPr="00281602">
        <w:rPr>
          <w:rFonts w:eastAsia="Calibri"/>
          <w:sz w:val="22"/>
          <w:szCs w:val="22"/>
          <w:lang w:eastAsia="en-US"/>
        </w:rPr>
        <w:t>и</w:t>
      </w:r>
      <w:r w:rsidRPr="00281602">
        <w:rPr>
          <w:rFonts w:eastAsia="Calibri"/>
          <w:sz w:val="22"/>
          <w:szCs w:val="22"/>
          <w:lang w:eastAsia="en-US"/>
        </w:rPr>
        <w:t>тикале зафиксировано не было.</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Предварительная оценка качества зерна тритикале сорта «В</w:t>
      </w:r>
      <w:r w:rsidRPr="00281602">
        <w:rPr>
          <w:rFonts w:eastAsia="Calibri"/>
          <w:sz w:val="22"/>
          <w:szCs w:val="22"/>
          <w:lang w:eastAsia="en-US"/>
        </w:rPr>
        <w:t>а</w:t>
      </w:r>
      <w:r w:rsidRPr="00281602">
        <w:rPr>
          <w:rFonts w:eastAsia="Calibri"/>
          <w:sz w:val="22"/>
          <w:szCs w:val="22"/>
          <w:lang w:eastAsia="en-US"/>
        </w:rPr>
        <w:t>лентин 90» показала перспективность сорта в получении муки, пр</w:t>
      </w:r>
      <w:r w:rsidRPr="00281602">
        <w:rPr>
          <w:rFonts w:eastAsia="Calibri"/>
          <w:sz w:val="22"/>
          <w:szCs w:val="22"/>
          <w:lang w:eastAsia="en-US"/>
        </w:rPr>
        <w:t>и</w:t>
      </w:r>
      <w:r w:rsidRPr="00281602">
        <w:rPr>
          <w:rFonts w:eastAsia="Calibri"/>
          <w:sz w:val="22"/>
          <w:szCs w:val="22"/>
          <w:lang w:eastAsia="en-US"/>
        </w:rPr>
        <w:t>годной для хлебопечения. Из 8 сортов селекции КНИИСХ им. П.П. Лукьяненко удалось выделить два наиболее перспективных по п</w:t>
      </w:r>
      <w:r w:rsidRPr="00281602">
        <w:rPr>
          <w:rFonts w:eastAsia="Calibri"/>
          <w:sz w:val="22"/>
          <w:szCs w:val="22"/>
          <w:lang w:eastAsia="en-US"/>
        </w:rPr>
        <w:t>о</w:t>
      </w:r>
      <w:r w:rsidRPr="00281602">
        <w:rPr>
          <w:rFonts w:eastAsia="Calibri"/>
          <w:sz w:val="22"/>
          <w:szCs w:val="22"/>
          <w:lang w:eastAsia="en-US"/>
        </w:rPr>
        <w:t>казателю стекловидности – «Баграт» и «Гром» для формирования помольных смесей с зерном тритикале. Данные полученные на пр</w:t>
      </w:r>
      <w:r w:rsidRPr="00281602">
        <w:rPr>
          <w:rFonts w:eastAsia="Calibri"/>
          <w:sz w:val="22"/>
          <w:szCs w:val="22"/>
          <w:lang w:eastAsia="en-US"/>
        </w:rPr>
        <w:t>и</w:t>
      </w:r>
      <w:r w:rsidRPr="00281602">
        <w:rPr>
          <w:rFonts w:eastAsia="Calibri"/>
          <w:sz w:val="22"/>
          <w:szCs w:val="22"/>
          <w:lang w:eastAsia="en-US"/>
        </w:rPr>
        <w:t>боре фаринограф показали перспективность сорта пшеницы «Гром» для формирования композитных смесей зерна пшеницы с с зерном тритикале для получения муки тритикале-пшеничной.</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Данные, полученные при оценке качества зерна и реологич</w:t>
      </w:r>
      <w:r w:rsidRPr="00281602">
        <w:rPr>
          <w:rFonts w:eastAsia="Calibri"/>
          <w:sz w:val="22"/>
          <w:szCs w:val="22"/>
          <w:lang w:eastAsia="en-US"/>
        </w:rPr>
        <w:t>е</w:t>
      </w:r>
      <w:r w:rsidRPr="00281602">
        <w:rPr>
          <w:rFonts w:eastAsia="Calibri"/>
          <w:sz w:val="22"/>
          <w:szCs w:val="22"/>
          <w:lang w:eastAsia="en-US"/>
        </w:rPr>
        <w:t>ских свойств теста позволяют говорить о целесообразности испол</w:t>
      </w:r>
      <w:r w:rsidRPr="00281602">
        <w:rPr>
          <w:rFonts w:eastAsia="Calibri"/>
          <w:sz w:val="22"/>
          <w:szCs w:val="22"/>
          <w:lang w:eastAsia="en-US"/>
        </w:rPr>
        <w:t>ь</w:t>
      </w:r>
      <w:r w:rsidRPr="00281602">
        <w:rPr>
          <w:rFonts w:eastAsia="Calibri"/>
          <w:sz w:val="22"/>
          <w:szCs w:val="22"/>
          <w:lang w:eastAsia="en-US"/>
        </w:rPr>
        <w:t xml:space="preserve">зования сортосмеси зерна пшеницы сорта «Гром» и зерна тритикале </w:t>
      </w:r>
      <w:r w:rsidRPr="00281602">
        <w:rPr>
          <w:rFonts w:eastAsia="Calibri"/>
          <w:sz w:val="22"/>
          <w:szCs w:val="22"/>
          <w:lang w:eastAsia="en-US"/>
        </w:rPr>
        <w:lastRenderedPageBreak/>
        <w:t xml:space="preserve">сорта «Валентин-90» в соотношении 3:7 соответственно. Анализ хлебопекарных свойств муки, а также органолептические и физико-химические показатели готовых изделий свидетельствуют о том, что поставленные задачи достигнуты. </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В августе 2017 года был произведен помол партии сортосмеси зерна общим весом 857 кг. В нее входило: 600 кг зерна тритикале сорта «Валентин-90» и 257 кг зерна пшеницы сорта «Гром». Таким образом, выдержалось соотношение 70% тритикалиевого зерна и 30% пшеничного.  В результате помола был зафиксирован выход муки 72%. После очистки мельницы был произведен контрольный помол чистого тритикале, выход которого составил 60%. Целью исследования мы ставили повышение эффективности помола, кот</w:t>
      </w:r>
      <w:r w:rsidRPr="00281602">
        <w:rPr>
          <w:rFonts w:eastAsia="Calibri"/>
          <w:sz w:val="22"/>
          <w:szCs w:val="22"/>
          <w:lang w:eastAsia="en-US"/>
        </w:rPr>
        <w:t>о</w:t>
      </w:r>
      <w:r w:rsidRPr="00281602">
        <w:rPr>
          <w:rFonts w:eastAsia="Calibri"/>
          <w:sz w:val="22"/>
          <w:szCs w:val="22"/>
          <w:lang w:eastAsia="en-US"/>
        </w:rPr>
        <w:t xml:space="preserve">рая была достигнута. </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Из опытной партии муки была произведена контрольная в</w:t>
      </w:r>
      <w:r w:rsidRPr="00281602">
        <w:rPr>
          <w:rFonts w:eastAsia="Calibri"/>
          <w:sz w:val="22"/>
          <w:szCs w:val="22"/>
          <w:lang w:eastAsia="en-US"/>
        </w:rPr>
        <w:t>ы</w:t>
      </w:r>
      <w:r w:rsidRPr="00281602">
        <w:rPr>
          <w:rFonts w:eastAsia="Calibri"/>
          <w:sz w:val="22"/>
          <w:szCs w:val="22"/>
          <w:lang w:eastAsia="en-US"/>
        </w:rPr>
        <w:t>печка хлебобулочных и кондитерских изделий в производственных условиях. Образцы готовых изделий имели качество, по многим показателям превосходящее продукцию из пшеничной муки. Отл</w:t>
      </w:r>
      <w:r w:rsidRPr="00281602">
        <w:rPr>
          <w:rFonts w:eastAsia="Calibri"/>
          <w:sz w:val="22"/>
          <w:szCs w:val="22"/>
          <w:lang w:eastAsia="en-US"/>
        </w:rPr>
        <w:t>и</w:t>
      </w:r>
      <w:r w:rsidRPr="00281602">
        <w:rPr>
          <w:rFonts w:eastAsia="Calibri"/>
          <w:sz w:val="22"/>
          <w:szCs w:val="22"/>
          <w:lang w:eastAsia="en-US"/>
        </w:rPr>
        <w:t>чительным особенностью полученных изделий является высокая белизна.</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Полученные при выполнении поставленных задач данные по</w:t>
      </w:r>
      <w:r w:rsidRPr="00281602">
        <w:rPr>
          <w:rFonts w:eastAsia="Calibri"/>
          <w:sz w:val="22"/>
          <w:szCs w:val="22"/>
          <w:lang w:eastAsia="en-US"/>
        </w:rPr>
        <w:t>з</w:t>
      </w:r>
      <w:r w:rsidRPr="00281602">
        <w:rPr>
          <w:rFonts w:eastAsia="Calibri"/>
          <w:sz w:val="22"/>
          <w:szCs w:val="22"/>
          <w:lang w:eastAsia="en-US"/>
        </w:rPr>
        <w:t>воляют рекомендовать инновационные технологические решения в технологии муки из зерна тритикале. К таким решениям относятся: предварительное формирование помольных смесей с учетом пок</w:t>
      </w:r>
      <w:r w:rsidRPr="00281602">
        <w:rPr>
          <w:rFonts w:eastAsia="Calibri"/>
          <w:sz w:val="22"/>
          <w:szCs w:val="22"/>
          <w:lang w:eastAsia="en-US"/>
        </w:rPr>
        <w:t>а</w:t>
      </w:r>
      <w:r w:rsidRPr="00281602">
        <w:rPr>
          <w:rFonts w:eastAsia="Calibri"/>
          <w:sz w:val="22"/>
          <w:szCs w:val="22"/>
          <w:lang w:eastAsia="en-US"/>
        </w:rPr>
        <w:t>зателя стекловидности, холодное кондиционирование зерна с те</w:t>
      </w:r>
      <w:r w:rsidRPr="00281602">
        <w:rPr>
          <w:rFonts w:eastAsia="Calibri"/>
          <w:sz w:val="22"/>
          <w:szCs w:val="22"/>
          <w:lang w:eastAsia="en-US"/>
        </w:rPr>
        <w:t>м</w:t>
      </w:r>
      <w:r w:rsidRPr="00281602">
        <w:rPr>
          <w:rFonts w:eastAsia="Calibri"/>
          <w:sz w:val="22"/>
          <w:szCs w:val="22"/>
          <w:lang w:eastAsia="en-US"/>
        </w:rPr>
        <w:t>пературой воды 18-20°С и увлажнении зерна до W=15% . При пр</w:t>
      </w:r>
      <w:r w:rsidRPr="00281602">
        <w:rPr>
          <w:rFonts w:eastAsia="Calibri"/>
          <w:sz w:val="22"/>
          <w:szCs w:val="22"/>
          <w:lang w:eastAsia="en-US"/>
        </w:rPr>
        <w:t>о</w:t>
      </w:r>
      <w:r w:rsidRPr="00281602">
        <w:rPr>
          <w:rFonts w:eastAsia="Calibri"/>
          <w:sz w:val="22"/>
          <w:szCs w:val="22"/>
          <w:lang w:eastAsia="en-US"/>
        </w:rPr>
        <w:t>цессе замеса теста этой муки, рекомендуется влажность 43%.</w:t>
      </w:r>
    </w:p>
    <w:p w:rsidR="005914ED" w:rsidRDefault="005914ED" w:rsidP="005914ED">
      <w:pPr>
        <w:ind w:firstLine="426"/>
        <w:jc w:val="both"/>
        <w:rPr>
          <w:rFonts w:eastAsia="Calibri"/>
          <w:sz w:val="22"/>
          <w:szCs w:val="22"/>
          <w:lang w:eastAsia="en-US"/>
        </w:rPr>
      </w:pPr>
    </w:p>
    <w:p w:rsidR="00281602" w:rsidRPr="00281602" w:rsidRDefault="00281602" w:rsidP="005914ED">
      <w:pPr>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5914ED">
      <w:pPr>
        <w:widowControl w:val="0"/>
        <w:numPr>
          <w:ilvl w:val="0"/>
          <w:numId w:val="33"/>
        </w:numPr>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t>Сокол, Н.В. Тритикале- культура хлебная: монография / Н.В. Сокол. – Саарбрюкен,  2014. – 137 с.</w:t>
      </w:r>
    </w:p>
    <w:p w:rsidR="00281602" w:rsidRPr="00281602" w:rsidRDefault="00281602" w:rsidP="005914ED">
      <w:pPr>
        <w:widowControl w:val="0"/>
        <w:numPr>
          <w:ilvl w:val="0"/>
          <w:numId w:val="33"/>
        </w:numPr>
        <w:overflowPunct w:val="0"/>
        <w:autoSpaceDE w:val="0"/>
        <w:autoSpaceDN w:val="0"/>
        <w:adjustRightInd w:val="0"/>
        <w:ind w:left="0" w:firstLine="426"/>
        <w:jc w:val="both"/>
        <w:rPr>
          <w:rFonts w:eastAsia="Calibri"/>
          <w:sz w:val="22"/>
          <w:szCs w:val="22"/>
          <w:lang w:eastAsia="en-US"/>
        </w:rPr>
      </w:pPr>
      <w:r w:rsidRPr="00281602">
        <w:rPr>
          <w:rFonts w:eastAsia="Calibri"/>
          <w:sz w:val="22"/>
          <w:szCs w:val="22"/>
          <w:lang w:eastAsia="en-US"/>
        </w:rPr>
        <w:t>Сокол, Н.В. Хлебопекарные свойства муки из зерна трит</w:t>
      </w:r>
      <w:r w:rsidRPr="00281602">
        <w:rPr>
          <w:rFonts w:eastAsia="Calibri"/>
          <w:sz w:val="22"/>
          <w:szCs w:val="22"/>
          <w:lang w:eastAsia="en-US"/>
        </w:rPr>
        <w:t>и</w:t>
      </w:r>
      <w:r w:rsidRPr="00281602">
        <w:rPr>
          <w:rFonts w:eastAsia="Calibri"/>
          <w:sz w:val="22"/>
          <w:szCs w:val="22"/>
          <w:lang w:eastAsia="en-US"/>
        </w:rPr>
        <w:t>кале и перспектива ее использования /Н.В. Сокол, Л.В. Донченко, Н.С. Храмова, В.Я. Ковтуненко, С.А. Гриценко // Известия высших учебных заведений. Пищевая технология. – 2006. - №1. – С.38-39.</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 xml:space="preserve">3. Хорольцев, Д. А. Составление сортосмеси зерна тритикале и пшеницы на основе стекловидности /Д. А. Хорольцев, Н.В. Сокол //Научное обеспечение агропромышленного комплекса: сб. науч. </w:t>
      </w:r>
      <w:r w:rsidRPr="00281602">
        <w:rPr>
          <w:rFonts w:eastAsia="Calibri"/>
          <w:sz w:val="22"/>
          <w:szCs w:val="22"/>
          <w:lang w:eastAsia="en-US"/>
        </w:rPr>
        <w:lastRenderedPageBreak/>
        <w:t>статей по материалам 72-й науч.- практ. конф.студ.по итогам НИР за 2016 год/Кубанский ГАУ. - Краснодар, 2017. – С 378-381.</w:t>
      </w:r>
    </w:p>
    <w:p w:rsidR="00281602" w:rsidRPr="00281602" w:rsidRDefault="00281602" w:rsidP="00281602">
      <w:pPr>
        <w:jc w:val="both"/>
        <w:rPr>
          <w:rFonts w:ascii="Calibri" w:eastAsia="Calibri" w:hAnsi="Calibri"/>
          <w:sz w:val="20"/>
          <w:szCs w:val="20"/>
          <w:lang w:eastAsia="en-US"/>
        </w:rPr>
      </w:pPr>
    </w:p>
    <w:p w:rsidR="00281602" w:rsidRDefault="00281602" w:rsidP="00281602">
      <w:pPr>
        <w:widowControl w:val="0"/>
        <w:rPr>
          <w:rFonts w:eastAsia="Calibri"/>
          <w:sz w:val="20"/>
          <w:szCs w:val="20"/>
          <w:lang w:eastAsia="en-US"/>
        </w:rPr>
      </w:pPr>
    </w:p>
    <w:p w:rsidR="001360B4" w:rsidRPr="00281602" w:rsidRDefault="001360B4" w:rsidP="00281602">
      <w:pPr>
        <w:widowControl w:val="0"/>
        <w:rPr>
          <w:rFonts w:eastAsia="Calibri"/>
          <w:sz w:val="20"/>
          <w:szCs w:val="20"/>
          <w:lang w:eastAsia="en-US"/>
        </w:rPr>
      </w:pPr>
    </w:p>
    <w:p w:rsidR="00281602" w:rsidRDefault="00281602" w:rsidP="00281602">
      <w:pPr>
        <w:widowControl w:val="0"/>
        <w:rPr>
          <w:rFonts w:eastAsia="Calibri"/>
          <w:sz w:val="22"/>
          <w:szCs w:val="22"/>
          <w:lang w:eastAsia="en-US"/>
        </w:rPr>
      </w:pPr>
      <w:r w:rsidRPr="00281602">
        <w:rPr>
          <w:rFonts w:eastAsia="Calibri"/>
          <w:sz w:val="22"/>
          <w:szCs w:val="22"/>
          <w:lang w:eastAsia="en-US"/>
        </w:rPr>
        <w:t>УДК 637.147.4</w:t>
      </w:r>
    </w:p>
    <w:p w:rsidR="005914ED" w:rsidRPr="00281602" w:rsidRDefault="005914ED" w:rsidP="00281602">
      <w:pPr>
        <w:widowControl w:val="0"/>
        <w:rPr>
          <w:rFonts w:eastAsia="Calibri"/>
          <w:sz w:val="22"/>
          <w:szCs w:val="22"/>
          <w:lang w:eastAsia="en-US"/>
        </w:rPr>
      </w:pPr>
    </w:p>
    <w:p w:rsidR="00281602" w:rsidRPr="00281602" w:rsidRDefault="00281602" w:rsidP="00281602">
      <w:pPr>
        <w:widowControl w:val="0"/>
        <w:jc w:val="center"/>
        <w:rPr>
          <w:rFonts w:eastAsia="Calibri"/>
          <w:b/>
          <w:sz w:val="24"/>
          <w:szCs w:val="24"/>
          <w:lang w:eastAsia="en-US"/>
        </w:rPr>
      </w:pPr>
      <w:r w:rsidRPr="00281602">
        <w:rPr>
          <w:rFonts w:eastAsia="Calibri"/>
          <w:b/>
          <w:sz w:val="24"/>
          <w:szCs w:val="24"/>
          <w:lang w:eastAsia="en-US"/>
        </w:rPr>
        <w:t xml:space="preserve">Творог диетический, разработанный из вторичного </w:t>
      </w:r>
      <w:r w:rsidR="005914ED">
        <w:rPr>
          <w:rFonts w:eastAsia="Calibri"/>
          <w:b/>
          <w:sz w:val="24"/>
          <w:szCs w:val="24"/>
          <w:lang w:eastAsia="en-US"/>
        </w:rPr>
        <w:br/>
      </w:r>
      <w:r w:rsidRPr="00281602">
        <w:rPr>
          <w:rFonts w:eastAsia="Calibri"/>
          <w:b/>
          <w:sz w:val="24"/>
          <w:szCs w:val="24"/>
          <w:lang w:eastAsia="en-US"/>
        </w:rPr>
        <w:t>молочного сырья</w:t>
      </w:r>
    </w:p>
    <w:p w:rsidR="00281602" w:rsidRPr="005914ED" w:rsidRDefault="00281602" w:rsidP="00281602">
      <w:pPr>
        <w:widowControl w:val="0"/>
        <w:jc w:val="center"/>
        <w:rPr>
          <w:rFonts w:eastAsia="Calibri"/>
          <w:b/>
          <w:sz w:val="24"/>
          <w:szCs w:val="24"/>
          <w:lang w:val="en-US" w:eastAsia="en-US"/>
        </w:rPr>
      </w:pPr>
      <w:r w:rsidRPr="00281602">
        <w:rPr>
          <w:rFonts w:eastAsia="Calibri"/>
          <w:b/>
          <w:sz w:val="24"/>
          <w:szCs w:val="24"/>
          <w:lang w:val="en-US" w:eastAsia="en-US"/>
        </w:rPr>
        <w:t>Dietary curd, developed from secondary milk raw materials</w:t>
      </w:r>
    </w:p>
    <w:p w:rsidR="00281602" w:rsidRPr="005914ED" w:rsidRDefault="00281602" w:rsidP="00281602">
      <w:pPr>
        <w:widowControl w:val="0"/>
        <w:jc w:val="center"/>
        <w:rPr>
          <w:rFonts w:eastAsia="Calibri"/>
          <w:sz w:val="22"/>
          <w:szCs w:val="22"/>
          <w:lang w:val="en-US" w:eastAsia="en-US"/>
        </w:rPr>
      </w:pP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Чеснокова А.</w:t>
      </w:r>
      <w:r w:rsidR="005914ED">
        <w:rPr>
          <w:rFonts w:eastAsia="Calibri"/>
          <w:sz w:val="22"/>
          <w:szCs w:val="22"/>
          <w:lang w:eastAsia="en-US"/>
        </w:rPr>
        <w:t xml:space="preserve"> </w:t>
      </w:r>
      <w:r w:rsidRPr="00281602">
        <w:rPr>
          <w:rFonts w:eastAsia="Calibri"/>
          <w:sz w:val="22"/>
          <w:szCs w:val="22"/>
          <w:lang w:eastAsia="en-US"/>
        </w:rPr>
        <w:t>А.,</w:t>
      </w: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магистрант 1-го курса</w:t>
      </w: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факультета перерабатывающих технологий</w:t>
      </w: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Огнева О.</w:t>
      </w:r>
      <w:r w:rsidR="005914ED">
        <w:rPr>
          <w:rFonts w:eastAsia="Calibri"/>
          <w:sz w:val="22"/>
          <w:szCs w:val="22"/>
          <w:lang w:eastAsia="en-US"/>
        </w:rPr>
        <w:t xml:space="preserve"> </w:t>
      </w:r>
      <w:r w:rsidRPr="00281602">
        <w:rPr>
          <w:rFonts w:eastAsia="Calibri"/>
          <w:sz w:val="22"/>
          <w:szCs w:val="22"/>
          <w:lang w:eastAsia="en-US"/>
        </w:rPr>
        <w:t>А.,</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технологии хранения и переработки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 животноводческой продукции</w:t>
      </w: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widowControl w:val="0"/>
        <w:jc w:val="right"/>
        <w:rPr>
          <w:rFonts w:eastAsia="Calibri"/>
          <w:sz w:val="22"/>
          <w:szCs w:val="22"/>
          <w:lang w:eastAsia="en-US"/>
        </w:rPr>
      </w:pPr>
      <w:r w:rsidRPr="00281602">
        <w:rPr>
          <w:rFonts w:eastAsia="Calibri"/>
          <w:sz w:val="22"/>
          <w:szCs w:val="22"/>
          <w:lang w:eastAsia="en-US"/>
        </w:rPr>
        <w:t>университет имени И.</w:t>
      </w:r>
      <w:r w:rsidR="005914ED">
        <w:rPr>
          <w:rFonts w:eastAsia="Calibri"/>
          <w:sz w:val="22"/>
          <w:szCs w:val="22"/>
          <w:lang w:eastAsia="en-US"/>
        </w:rPr>
        <w:t xml:space="preserve"> </w:t>
      </w:r>
      <w:r w:rsidRPr="00281602">
        <w:rPr>
          <w:rFonts w:eastAsia="Calibri"/>
          <w:sz w:val="22"/>
          <w:szCs w:val="22"/>
          <w:lang w:eastAsia="en-US"/>
        </w:rPr>
        <w:t>Т. Трубилина</w:t>
      </w:r>
    </w:p>
    <w:p w:rsidR="00281602" w:rsidRPr="00281602" w:rsidRDefault="00281602" w:rsidP="00281602">
      <w:pPr>
        <w:widowControl w:val="0"/>
        <w:jc w:val="right"/>
        <w:rPr>
          <w:rFonts w:eastAsia="Calibri"/>
          <w:sz w:val="22"/>
          <w:szCs w:val="22"/>
          <w:lang w:eastAsia="en-US"/>
        </w:rPr>
      </w:pP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АННОТАЦИЯ: Изучены перспективные направления перер</w:t>
      </w:r>
      <w:r w:rsidRPr="00281602">
        <w:rPr>
          <w:rFonts w:eastAsia="Calibri"/>
          <w:sz w:val="22"/>
          <w:szCs w:val="22"/>
          <w:lang w:eastAsia="en-US"/>
        </w:rPr>
        <w:t>а</w:t>
      </w:r>
      <w:r w:rsidRPr="00281602">
        <w:rPr>
          <w:rFonts w:eastAsia="Calibri"/>
          <w:sz w:val="22"/>
          <w:szCs w:val="22"/>
          <w:lang w:eastAsia="en-US"/>
        </w:rPr>
        <w:t>ботки вторичного молочного сырья. Описана технология произво</w:t>
      </w:r>
      <w:r w:rsidRPr="00281602">
        <w:rPr>
          <w:rFonts w:eastAsia="Calibri"/>
          <w:sz w:val="22"/>
          <w:szCs w:val="22"/>
          <w:lang w:eastAsia="en-US"/>
        </w:rPr>
        <w:t>д</w:t>
      </w:r>
      <w:r w:rsidRPr="00281602">
        <w:rPr>
          <w:rFonts w:eastAsia="Calibri"/>
          <w:sz w:val="22"/>
          <w:szCs w:val="22"/>
          <w:lang w:eastAsia="en-US"/>
        </w:rPr>
        <w:t xml:space="preserve">ства диетического творога и целесообразность использования его в рационе питания. </w:t>
      </w:r>
    </w:p>
    <w:p w:rsidR="00281602" w:rsidRPr="00281602" w:rsidRDefault="00281602" w:rsidP="005914ED">
      <w:pPr>
        <w:widowControl w:val="0"/>
        <w:ind w:firstLine="426"/>
        <w:jc w:val="both"/>
        <w:rPr>
          <w:rFonts w:eastAsia="Calibri"/>
          <w:sz w:val="22"/>
          <w:szCs w:val="22"/>
          <w:lang w:val="en-US" w:eastAsia="en-US"/>
        </w:rPr>
      </w:pPr>
      <w:r w:rsidRPr="00281602">
        <w:rPr>
          <w:rFonts w:eastAsia="Calibri"/>
          <w:sz w:val="22"/>
          <w:szCs w:val="22"/>
          <w:lang w:val="en-US" w:eastAsia="en-US"/>
        </w:rPr>
        <w:t>ABSTRACT: Prospective directions of processing of secondary dairy raw materials are studied. The technology of production of dietary curds and the expediency of using it in the diet are described.</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КЛЮЧЕВЫЕСЛОВА: диетическийтворог, пахта, обезжиренн</w:t>
      </w:r>
      <w:r w:rsidRPr="00281602">
        <w:rPr>
          <w:rFonts w:eastAsia="Calibri"/>
          <w:sz w:val="22"/>
          <w:szCs w:val="22"/>
          <w:lang w:eastAsia="en-US"/>
        </w:rPr>
        <w:t>о</w:t>
      </w:r>
      <w:r w:rsidRPr="00281602">
        <w:rPr>
          <w:rFonts w:eastAsia="Calibri"/>
          <w:sz w:val="22"/>
          <w:szCs w:val="22"/>
          <w:lang w:eastAsia="en-US"/>
        </w:rPr>
        <w:t>емолоко, казеин, пастеризация, сквашивание.</w:t>
      </w:r>
    </w:p>
    <w:p w:rsidR="00281602" w:rsidRPr="00281602" w:rsidRDefault="00281602" w:rsidP="005914ED">
      <w:pPr>
        <w:widowControl w:val="0"/>
        <w:ind w:firstLine="426"/>
        <w:jc w:val="both"/>
        <w:rPr>
          <w:rFonts w:eastAsia="Calibri"/>
          <w:sz w:val="22"/>
          <w:szCs w:val="22"/>
          <w:lang w:val="en-US" w:eastAsia="en-US"/>
        </w:rPr>
      </w:pPr>
      <w:r w:rsidRPr="00281602">
        <w:rPr>
          <w:rFonts w:eastAsia="Calibri"/>
          <w:sz w:val="22"/>
          <w:szCs w:val="22"/>
          <w:lang w:val="en-US" w:eastAsia="en-US"/>
        </w:rPr>
        <w:t>KEYWORDS: dietary cottage cheese, buttermilk, skimmed milk, casein, pasteurization, fermentation.</w:t>
      </w:r>
    </w:p>
    <w:p w:rsidR="00281602" w:rsidRPr="00281602" w:rsidRDefault="00281602" w:rsidP="005914ED">
      <w:pPr>
        <w:widowControl w:val="0"/>
        <w:ind w:firstLine="426"/>
        <w:jc w:val="both"/>
        <w:rPr>
          <w:rFonts w:eastAsia="Calibri"/>
          <w:sz w:val="22"/>
          <w:szCs w:val="22"/>
          <w:lang w:val="en-US" w:eastAsia="en-US"/>
        </w:rPr>
      </w:pP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Здоровье человека во многом зависит от его питания. В наст</w:t>
      </w:r>
      <w:r w:rsidRPr="00281602">
        <w:rPr>
          <w:rFonts w:eastAsia="Calibri"/>
          <w:sz w:val="22"/>
          <w:szCs w:val="22"/>
          <w:lang w:eastAsia="en-US"/>
        </w:rPr>
        <w:t>о</w:t>
      </w:r>
      <w:r w:rsidRPr="00281602">
        <w:rPr>
          <w:rFonts w:eastAsia="Calibri"/>
          <w:sz w:val="22"/>
          <w:szCs w:val="22"/>
          <w:lang w:eastAsia="en-US"/>
        </w:rPr>
        <w:t>ящее время все большее внимание уделяется продуктам функци</w:t>
      </w:r>
      <w:r w:rsidRPr="00281602">
        <w:rPr>
          <w:rFonts w:eastAsia="Calibri"/>
          <w:sz w:val="22"/>
          <w:szCs w:val="22"/>
          <w:lang w:eastAsia="en-US"/>
        </w:rPr>
        <w:t>о</w:t>
      </w:r>
      <w:r w:rsidRPr="00281602">
        <w:rPr>
          <w:rFonts w:eastAsia="Calibri"/>
          <w:sz w:val="22"/>
          <w:szCs w:val="22"/>
          <w:lang w:eastAsia="en-US"/>
        </w:rPr>
        <w:t>нального назначения, благодаря которым человек получает поле</w:t>
      </w:r>
      <w:r w:rsidRPr="00281602">
        <w:rPr>
          <w:rFonts w:eastAsia="Calibri"/>
          <w:sz w:val="22"/>
          <w:szCs w:val="22"/>
          <w:lang w:eastAsia="en-US"/>
        </w:rPr>
        <w:t>з</w:t>
      </w:r>
      <w:r w:rsidRPr="00281602">
        <w:rPr>
          <w:rFonts w:eastAsia="Calibri"/>
          <w:sz w:val="22"/>
          <w:szCs w:val="22"/>
          <w:lang w:eastAsia="en-US"/>
        </w:rPr>
        <w:t>ные вещества и необходимые биологически активные компоне</w:t>
      </w:r>
      <w:r w:rsidRPr="00281602">
        <w:rPr>
          <w:rFonts w:eastAsia="Calibri"/>
          <w:sz w:val="22"/>
          <w:szCs w:val="22"/>
          <w:lang w:eastAsia="en-US"/>
        </w:rPr>
        <w:t>н</w:t>
      </w:r>
      <w:r w:rsidRPr="00281602">
        <w:rPr>
          <w:rFonts w:eastAsia="Calibri"/>
          <w:sz w:val="22"/>
          <w:szCs w:val="22"/>
          <w:lang w:eastAsia="en-US"/>
        </w:rPr>
        <w:t>ты [2, 3, 4]. Одним из видов данных продуктов является диетич</w:t>
      </w:r>
      <w:r w:rsidRPr="00281602">
        <w:rPr>
          <w:rFonts w:eastAsia="Calibri"/>
          <w:sz w:val="22"/>
          <w:szCs w:val="22"/>
          <w:lang w:eastAsia="en-US"/>
        </w:rPr>
        <w:t>е</w:t>
      </w:r>
      <w:r w:rsidRPr="00281602">
        <w:rPr>
          <w:rFonts w:eastAsia="Calibri"/>
          <w:sz w:val="22"/>
          <w:szCs w:val="22"/>
          <w:lang w:eastAsia="en-US"/>
        </w:rPr>
        <w:t>ский творог, выработанный из вторичного молочного сырья – обе</w:t>
      </w:r>
      <w:r w:rsidRPr="00281602">
        <w:rPr>
          <w:rFonts w:eastAsia="Calibri"/>
          <w:sz w:val="22"/>
          <w:szCs w:val="22"/>
          <w:lang w:eastAsia="en-US"/>
        </w:rPr>
        <w:t>з</w:t>
      </w:r>
      <w:r w:rsidRPr="00281602">
        <w:rPr>
          <w:rFonts w:eastAsia="Calibri"/>
          <w:sz w:val="22"/>
          <w:szCs w:val="22"/>
          <w:lang w:eastAsia="en-US"/>
        </w:rPr>
        <w:lastRenderedPageBreak/>
        <w:t>жиренного молока и пахты.</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Диетический творог является важным продуктом, служащим источником легкоусвояемого белка – казеина. Аминокислотный состав этого белка оптимален для усвоения человека и характериз</w:t>
      </w:r>
      <w:r w:rsidRPr="00281602">
        <w:rPr>
          <w:rFonts w:eastAsia="Calibri"/>
          <w:sz w:val="22"/>
          <w:szCs w:val="22"/>
          <w:lang w:eastAsia="en-US"/>
        </w:rPr>
        <w:t>у</w:t>
      </w:r>
      <w:r w:rsidRPr="00281602">
        <w:rPr>
          <w:rFonts w:eastAsia="Calibri"/>
          <w:sz w:val="22"/>
          <w:szCs w:val="22"/>
          <w:lang w:eastAsia="en-US"/>
        </w:rPr>
        <w:t>ется наличием незаменимых аминокислот[1, 4]. Полезные свойства творога заключаются и в его химическом составе. Он содержит в</w:t>
      </w:r>
      <w:r w:rsidRPr="00281602">
        <w:rPr>
          <w:rFonts w:eastAsia="Calibri"/>
          <w:sz w:val="22"/>
          <w:szCs w:val="22"/>
          <w:lang w:eastAsia="en-US"/>
        </w:rPr>
        <w:t>и</w:t>
      </w:r>
      <w:r w:rsidRPr="00281602">
        <w:rPr>
          <w:rFonts w:eastAsia="Calibri"/>
          <w:sz w:val="22"/>
          <w:szCs w:val="22"/>
          <w:lang w:eastAsia="en-US"/>
        </w:rPr>
        <w:t>тамин С, витамины группы В (В</w:t>
      </w:r>
      <w:r w:rsidRPr="00281602">
        <w:rPr>
          <w:rFonts w:eastAsia="Calibri"/>
          <w:sz w:val="22"/>
          <w:szCs w:val="22"/>
          <w:vertAlign w:val="subscript"/>
          <w:lang w:eastAsia="en-US"/>
        </w:rPr>
        <w:t>1</w:t>
      </w:r>
      <w:r w:rsidRPr="00281602">
        <w:rPr>
          <w:rFonts w:eastAsia="Calibri"/>
          <w:sz w:val="22"/>
          <w:szCs w:val="22"/>
          <w:lang w:eastAsia="en-US"/>
        </w:rPr>
        <w:t>, В</w:t>
      </w:r>
      <w:r w:rsidRPr="00281602">
        <w:rPr>
          <w:rFonts w:eastAsia="Calibri"/>
          <w:sz w:val="22"/>
          <w:szCs w:val="22"/>
          <w:vertAlign w:val="subscript"/>
          <w:lang w:eastAsia="en-US"/>
        </w:rPr>
        <w:t>2</w:t>
      </w:r>
      <w:r w:rsidRPr="00281602">
        <w:rPr>
          <w:rFonts w:eastAsia="Calibri"/>
          <w:sz w:val="22"/>
          <w:szCs w:val="22"/>
          <w:lang w:eastAsia="en-US"/>
        </w:rPr>
        <w:t>, В</w:t>
      </w:r>
      <w:r w:rsidRPr="00281602">
        <w:rPr>
          <w:rFonts w:eastAsia="Calibri"/>
          <w:sz w:val="22"/>
          <w:szCs w:val="22"/>
          <w:vertAlign w:val="subscript"/>
          <w:lang w:eastAsia="en-US"/>
        </w:rPr>
        <w:t>5</w:t>
      </w:r>
      <w:r w:rsidRPr="00281602">
        <w:rPr>
          <w:rFonts w:eastAsia="Calibri"/>
          <w:sz w:val="22"/>
          <w:szCs w:val="22"/>
          <w:lang w:eastAsia="en-US"/>
        </w:rPr>
        <w:t>, В</w:t>
      </w:r>
      <w:r w:rsidRPr="00281602">
        <w:rPr>
          <w:rFonts w:eastAsia="Calibri"/>
          <w:sz w:val="22"/>
          <w:szCs w:val="22"/>
          <w:vertAlign w:val="subscript"/>
          <w:lang w:eastAsia="en-US"/>
        </w:rPr>
        <w:t>6</w:t>
      </w:r>
      <w:r w:rsidRPr="00281602">
        <w:rPr>
          <w:rFonts w:eastAsia="Calibri"/>
          <w:sz w:val="22"/>
          <w:szCs w:val="22"/>
          <w:lang w:eastAsia="en-US"/>
        </w:rPr>
        <w:t>, В</w:t>
      </w:r>
      <w:r w:rsidRPr="00281602">
        <w:rPr>
          <w:rFonts w:eastAsia="Calibri"/>
          <w:sz w:val="22"/>
          <w:szCs w:val="22"/>
          <w:vertAlign w:val="subscript"/>
          <w:lang w:eastAsia="en-US"/>
        </w:rPr>
        <w:t>9</w:t>
      </w:r>
      <w:r w:rsidRPr="00281602">
        <w:rPr>
          <w:rFonts w:eastAsia="Calibri"/>
          <w:sz w:val="22"/>
          <w:szCs w:val="22"/>
          <w:lang w:eastAsia="en-US"/>
        </w:rPr>
        <w:t>, В</w:t>
      </w:r>
      <w:r w:rsidRPr="00281602">
        <w:rPr>
          <w:rFonts w:eastAsia="Calibri"/>
          <w:sz w:val="22"/>
          <w:szCs w:val="22"/>
          <w:vertAlign w:val="subscript"/>
          <w:lang w:eastAsia="en-US"/>
        </w:rPr>
        <w:t>12</w:t>
      </w:r>
      <w:r w:rsidRPr="00281602">
        <w:rPr>
          <w:rFonts w:eastAsia="Calibri"/>
          <w:sz w:val="22"/>
          <w:szCs w:val="22"/>
          <w:lang w:eastAsia="en-US"/>
        </w:rPr>
        <w:t>), биотин, ни</w:t>
      </w:r>
      <w:r w:rsidRPr="00281602">
        <w:rPr>
          <w:rFonts w:eastAsia="Calibri"/>
          <w:sz w:val="22"/>
          <w:szCs w:val="22"/>
          <w:lang w:eastAsia="en-US"/>
        </w:rPr>
        <w:t>а</w:t>
      </w:r>
      <w:r w:rsidRPr="00281602">
        <w:rPr>
          <w:rFonts w:eastAsia="Calibri"/>
          <w:sz w:val="22"/>
          <w:szCs w:val="22"/>
          <w:lang w:eastAsia="en-US"/>
        </w:rPr>
        <w:t>цин. Минеральный состав представлен калием, кальцием, магнием, натрием, фосфором, кобальтом, селеном и молибденом [4, 6,7].</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Сырье, используемое при производстве творога, обладает в</w:t>
      </w:r>
      <w:r w:rsidRPr="00281602">
        <w:rPr>
          <w:rFonts w:eastAsia="Calibri"/>
          <w:sz w:val="22"/>
          <w:szCs w:val="22"/>
          <w:lang w:eastAsia="en-US"/>
        </w:rPr>
        <w:t>ы</w:t>
      </w:r>
      <w:r w:rsidRPr="00281602">
        <w:rPr>
          <w:rFonts w:eastAsia="Calibri"/>
          <w:sz w:val="22"/>
          <w:szCs w:val="22"/>
          <w:lang w:eastAsia="en-US"/>
        </w:rPr>
        <w:t>сокой биологической ценностью, не уступающей цельному мол</w:t>
      </w:r>
      <w:r w:rsidRPr="00281602">
        <w:rPr>
          <w:rFonts w:eastAsia="Calibri"/>
          <w:sz w:val="22"/>
          <w:szCs w:val="22"/>
          <w:lang w:eastAsia="en-US"/>
        </w:rPr>
        <w:t>о</w:t>
      </w:r>
      <w:r w:rsidRPr="00281602">
        <w:rPr>
          <w:rFonts w:eastAsia="Calibri"/>
          <w:sz w:val="22"/>
          <w:szCs w:val="22"/>
          <w:lang w:eastAsia="en-US"/>
        </w:rPr>
        <w:t>ку.Обезжиренное молоко содержит практически все микроэлементы цельного молока. Отличительной особенностью является небол</w:t>
      </w:r>
      <w:r w:rsidRPr="00281602">
        <w:rPr>
          <w:rFonts w:eastAsia="Calibri"/>
          <w:sz w:val="22"/>
          <w:szCs w:val="22"/>
          <w:lang w:eastAsia="en-US"/>
        </w:rPr>
        <w:t>ь</w:t>
      </w:r>
      <w:r w:rsidRPr="00281602">
        <w:rPr>
          <w:rFonts w:eastAsia="Calibri"/>
          <w:sz w:val="22"/>
          <w:szCs w:val="22"/>
          <w:lang w:eastAsia="en-US"/>
        </w:rPr>
        <w:t>шое содержание жира. Молочный жир, содержащийся в обезжире</w:t>
      </w:r>
      <w:r w:rsidRPr="00281602">
        <w:rPr>
          <w:rFonts w:eastAsia="Calibri"/>
          <w:sz w:val="22"/>
          <w:szCs w:val="22"/>
          <w:lang w:eastAsia="en-US"/>
        </w:rPr>
        <w:t>н</w:t>
      </w:r>
      <w:r w:rsidRPr="00281602">
        <w:rPr>
          <w:rFonts w:eastAsia="Calibri"/>
          <w:sz w:val="22"/>
          <w:szCs w:val="22"/>
          <w:lang w:eastAsia="en-US"/>
        </w:rPr>
        <w:t>ном молоке, характеризуется высокой степенью дисперсности, что способствует легкой усвояемости.Белок обезжиренного молока п</w:t>
      </w:r>
      <w:r w:rsidRPr="00281602">
        <w:rPr>
          <w:rFonts w:eastAsia="Calibri"/>
          <w:sz w:val="22"/>
          <w:szCs w:val="22"/>
          <w:lang w:eastAsia="en-US"/>
        </w:rPr>
        <w:t>о</w:t>
      </w:r>
      <w:r w:rsidRPr="00281602">
        <w:rPr>
          <w:rFonts w:eastAsia="Calibri"/>
          <w:sz w:val="22"/>
          <w:szCs w:val="22"/>
          <w:lang w:eastAsia="en-US"/>
        </w:rPr>
        <w:t>чти не содержит белков оболочек жировых шариков, он обладает большей биологической ценностью по сравнению с белком цельн</w:t>
      </w:r>
      <w:r w:rsidRPr="00281602">
        <w:rPr>
          <w:rFonts w:eastAsia="Calibri"/>
          <w:sz w:val="22"/>
          <w:szCs w:val="22"/>
          <w:lang w:eastAsia="en-US"/>
        </w:rPr>
        <w:t>о</w:t>
      </w:r>
      <w:r w:rsidRPr="00281602">
        <w:rPr>
          <w:rFonts w:eastAsia="Calibri"/>
          <w:sz w:val="22"/>
          <w:szCs w:val="22"/>
          <w:lang w:eastAsia="en-US"/>
        </w:rPr>
        <w:t>го молока.Пахта является высококачественным диетическим м</w:t>
      </w:r>
      <w:r w:rsidRPr="00281602">
        <w:rPr>
          <w:rFonts w:eastAsia="Calibri"/>
          <w:sz w:val="22"/>
          <w:szCs w:val="22"/>
          <w:lang w:eastAsia="en-US"/>
        </w:rPr>
        <w:t>о</w:t>
      </w:r>
      <w:r w:rsidRPr="00281602">
        <w:rPr>
          <w:rFonts w:eastAsia="Calibri"/>
          <w:sz w:val="22"/>
          <w:szCs w:val="22"/>
          <w:lang w:eastAsia="en-US"/>
        </w:rPr>
        <w:t>лочным сырьем. В ее состав входят летучие жирные кислоты. Жир представленлинолевой, линоленовой и арахидиновой жирными кислотами. Пахта служит источником высокоценного молочного белка, содержащего аминокислоты, обладающие липотропными свойствами, а также содержит полный комплекс минеральных в</w:t>
      </w:r>
      <w:r w:rsidRPr="00281602">
        <w:rPr>
          <w:rFonts w:eastAsia="Calibri"/>
          <w:sz w:val="22"/>
          <w:szCs w:val="22"/>
          <w:lang w:eastAsia="en-US"/>
        </w:rPr>
        <w:t>е</w:t>
      </w:r>
      <w:r w:rsidRPr="00281602">
        <w:rPr>
          <w:rFonts w:eastAsia="Calibri"/>
          <w:sz w:val="22"/>
          <w:szCs w:val="22"/>
          <w:lang w:eastAsia="en-US"/>
        </w:rPr>
        <w:t>ществ[5, 6, 7,8 ,9, 10]. Благодаря большому содержанию сухих в</w:t>
      </w:r>
      <w:r w:rsidRPr="00281602">
        <w:rPr>
          <w:rFonts w:eastAsia="Calibri"/>
          <w:sz w:val="22"/>
          <w:szCs w:val="22"/>
          <w:lang w:eastAsia="en-US"/>
        </w:rPr>
        <w:t>е</w:t>
      </w:r>
      <w:r w:rsidRPr="00281602">
        <w:rPr>
          <w:rFonts w:eastAsia="Calibri"/>
          <w:sz w:val="22"/>
          <w:szCs w:val="22"/>
          <w:lang w:eastAsia="en-US"/>
        </w:rPr>
        <w:t>ществ в обезжиренном молоке и пахте, продукты из них являются ценными в биологическом отношении.</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Технология производства диетического творога предусматр</w:t>
      </w:r>
      <w:r w:rsidRPr="00281602">
        <w:rPr>
          <w:rFonts w:eastAsia="Calibri"/>
          <w:sz w:val="22"/>
          <w:szCs w:val="22"/>
          <w:lang w:eastAsia="en-US"/>
        </w:rPr>
        <w:t>и</w:t>
      </w:r>
      <w:r w:rsidRPr="00281602">
        <w:rPr>
          <w:rFonts w:eastAsia="Calibri"/>
          <w:sz w:val="22"/>
          <w:szCs w:val="22"/>
          <w:lang w:eastAsia="en-US"/>
        </w:rPr>
        <w:t>вает пастеризацию при температуре 78-80 °Сс выдержкой 20-30 с,охлаждение до температуры заквашивания 28-30 °С летом и 30-32 °С зимой, заквашивание, сквашивание, продолжительностью 6-10 часов, постанову зерна, самопрессование, охлаждение и</w:t>
      </w:r>
      <w:r w:rsidRPr="00281602">
        <w:rPr>
          <w:rFonts w:eastAsia="Calibri"/>
          <w:sz w:val="22"/>
          <w:szCs w:val="22"/>
          <w:lang w:eastAsia="en-US"/>
        </w:rPr>
        <w:br/>
        <w:t>фасование[1].</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Благодаря малому количеству жира и высокому содержанию фосфатидов в обезжиренном молоке и пахте, диетический творог позволяет нормализовать жировой и холестериновой обмен, что важно для лиц с повышенным уровнем холестерина в крови. В тв</w:t>
      </w:r>
      <w:r w:rsidRPr="00281602">
        <w:rPr>
          <w:rFonts w:eastAsia="Calibri"/>
          <w:sz w:val="22"/>
          <w:szCs w:val="22"/>
          <w:lang w:eastAsia="en-US"/>
        </w:rPr>
        <w:t>о</w:t>
      </w:r>
      <w:r w:rsidRPr="00281602">
        <w:rPr>
          <w:rFonts w:eastAsia="Calibri"/>
          <w:sz w:val="22"/>
          <w:szCs w:val="22"/>
          <w:lang w:eastAsia="en-US"/>
        </w:rPr>
        <w:t xml:space="preserve">роге из обезжиренного молока и пахты почти в полтора раза больше </w:t>
      </w:r>
      <w:r w:rsidRPr="00281602">
        <w:rPr>
          <w:rFonts w:eastAsia="Calibri"/>
          <w:sz w:val="22"/>
          <w:szCs w:val="22"/>
          <w:lang w:eastAsia="en-US"/>
        </w:rPr>
        <w:lastRenderedPageBreak/>
        <w:t>аминокислот антиатеросклеротического направления (метионина, лизина, лейцина, изолейцина и др.), чем из цельного.</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Таким образом, диетические свойства творога обуславливают использование его в питании при болезнях печени, нарушениях р</w:t>
      </w:r>
      <w:r w:rsidRPr="00281602">
        <w:rPr>
          <w:rFonts w:eastAsia="Calibri"/>
          <w:sz w:val="22"/>
          <w:szCs w:val="22"/>
          <w:lang w:eastAsia="en-US"/>
        </w:rPr>
        <w:t>а</w:t>
      </w:r>
      <w:r w:rsidRPr="00281602">
        <w:rPr>
          <w:rFonts w:eastAsia="Calibri"/>
          <w:sz w:val="22"/>
          <w:szCs w:val="22"/>
          <w:lang w:eastAsia="en-US"/>
        </w:rPr>
        <w:t>боты сердечно-сосудистой системы, при сахарном диабете и изб</w:t>
      </w:r>
      <w:r w:rsidRPr="00281602">
        <w:rPr>
          <w:rFonts w:eastAsia="Calibri"/>
          <w:sz w:val="22"/>
          <w:szCs w:val="22"/>
          <w:lang w:eastAsia="en-US"/>
        </w:rPr>
        <w:t>ы</w:t>
      </w:r>
      <w:r w:rsidRPr="00281602">
        <w:rPr>
          <w:rFonts w:eastAsia="Calibri"/>
          <w:sz w:val="22"/>
          <w:szCs w:val="22"/>
          <w:lang w:eastAsia="en-US"/>
        </w:rPr>
        <w:t>точной массе тела.</w:t>
      </w:r>
    </w:p>
    <w:p w:rsidR="00281602" w:rsidRPr="00281602" w:rsidRDefault="00281602" w:rsidP="005914ED">
      <w:pPr>
        <w:widowControl w:val="0"/>
        <w:ind w:firstLine="426"/>
        <w:jc w:val="both"/>
        <w:rPr>
          <w:rFonts w:eastAsia="Calibri"/>
          <w:sz w:val="22"/>
          <w:szCs w:val="22"/>
          <w:lang w:eastAsia="en-US"/>
        </w:rPr>
      </w:pPr>
    </w:p>
    <w:p w:rsidR="00281602" w:rsidRPr="00281602" w:rsidRDefault="00281602" w:rsidP="005914ED">
      <w:pPr>
        <w:widowControl w:val="0"/>
        <w:ind w:firstLine="426"/>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1. ГОСТ Творог. Технические условия – Введ. 2014-07-01. – М.: Стандартинформ, 2013. – 10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2. Николаенко, Е.В. Разработка функциональных напитков на основе молочной сыворотки, обогащенной топинамбуром / Е.В. Николаенко, О.А. Огнева // Инновационный конвент «Кузбасс: образование, наука, инновации»: сб. науч. работ (материалы Инн</w:t>
      </w:r>
      <w:r w:rsidRPr="00281602">
        <w:rPr>
          <w:rFonts w:eastAsia="Calibri"/>
          <w:sz w:val="22"/>
          <w:szCs w:val="22"/>
          <w:lang w:eastAsia="en-US"/>
        </w:rPr>
        <w:t>о</w:t>
      </w:r>
      <w:r w:rsidRPr="00281602">
        <w:rPr>
          <w:rFonts w:eastAsia="Calibri"/>
          <w:sz w:val="22"/>
          <w:szCs w:val="22"/>
          <w:lang w:eastAsia="en-US"/>
        </w:rPr>
        <w:t>вационного конвента) / Сибирский государственный индустриал</w:t>
      </w:r>
      <w:r w:rsidRPr="00281602">
        <w:rPr>
          <w:rFonts w:eastAsia="Calibri"/>
          <w:sz w:val="22"/>
          <w:szCs w:val="22"/>
          <w:lang w:eastAsia="en-US"/>
        </w:rPr>
        <w:t>ь</w:t>
      </w:r>
      <w:r w:rsidRPr="00281602">
        <w:rPr>
          <w:rFonts w:eastAsia="Calibri"/>
          <w:sz w:val="22"/>
          <w:szCs w:val="22"/>
          <w:lang w:eastAsia="en-US"/>
        </w:rPr>
        <w:t>ный университет. – Новокузнецк, 2014. – С. 156-157;</w:t>
      </w:r>
    </w:p>
    <w:p w:rsidR="00281602" w:rsidRPr="00281602" w:rsidRDefault="00281602" w:rsidP="005914ED">
      <w:pPr>
        <w:ind w:firstLine="426"/>
        <w:jc w:val="both"/>
        <w:rPr>
          <w:rFonts w:eastAsia="Calibri"/>
          <w:sz w:val="22"/>
          <w:szCs w:val="22"/>
          <w:lang w:eastAsia="en-US"/>
        </w:rPr>
      </w:pPr>
      <w:r w:rsidRPr="00281602">
        <w:rPr>
          <w:rFonts w:eastAsia="Calibri"/>
          <w:sz w:val="22"/>
          <w:szCs w:val="22"/>
          <w:lang w:eastAsia="en-US"/>
        </w:rPr>
        <w:t xml:space="preserve">3. Огнева, О.А. </w:t>
      </w:r>
      <w:hyperlink r:id="rId144" w:history="1">
        <w:r w:rsidRPr="00281602">
          <w:rPr>
            <w:rFonts w:eastAsia="Calibri"/>
            <w:sz w:val="22"/>
            <w:szCs w:val="22"/>
            <w:lang w:eastAsia="en-US"/>
          </w:rPr>
          <w:t>Разработка технологий фруктово-овощных продуктов с бифидогенными свойствами</w:t>
        </w:r>
      </w:hyperlink>
      <w:r w:rsidRPr="00281602">
        <w:rPr>
          <w:rFonts w:eastAsia="Calibri"/>
          <w:sz w:val="22"/>
          <w:szCs w:val="22"/>
          <w:lang w:eastAsia="en-US"/>
        </w:rPr>
        <w:t>: дис. … канд. техн. наук: 05.18.01: защищена 18.12.2015 / Огнева Ольга Александровна. – Краснодар, 2015. – 159 с. – Библиогр. : С. 5-15.</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4. Состояние и перспективы развития концепции функционал</w:t>
      </w:r>
      <w:r w:rsidRPr="00281602">
        <w:rPr>
          <w:rFonts w:eastAsia="Calibri"/>
          <w:sz w:val="22"/>
          <w:szCs w:val="22"/>
          <w:lang w:eastAsia="en-US"/>
        </w:rPr>
        <w:t>ь</w:t>
      </w:r>
      <w:r w:rsidRPr="00281602">
        <w:rPr>
          <w:rFonts w:eastAsia="Calibri"/>
          <w:sz w:val="22"/>
          <w:szCs w:val="22"/>
          <w:lang w:eastAsia="en-US"/>
        </w:rPr>
        <w:t>ного питания [Электронный ресурс]. – Режим доступа: http://obad.ru/badinfo/pro-bady/sostoyanie-i-perspektivy-razvitiya-kontseptsii-funktsionalnoe-pitanie-v-rossii. ru/;</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5. Справочник технолога молочного производства. Технология и рецептура. Том 5. Продукты из обезжиренного молока, пахты и молочной сыворотки/А.Г.Храмцов. – Спб.: ГИОРД, 2004. – 229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6. Технология продуктов из вторичного молочного сырья: учебное пособие. А. Г. Храмцов [и др.]. – СПб.: ГИОРД, 2009. – 424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7. Храмцов А.Г. Рациональное использование молока, пахты и молочной сыворотки / А.Г. Храмцов, С.В. Василисин. – Научно-технические рекомендации. – Ставрополь, 2001. – 108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8. Храмцов, А.Г. Безотходная технология молочной промы</w:t>
      </w:r>
      <w:r w:rsidRPr="00281602">
        <w:rPr>
          <w:rFonts w:eastAsia="Calibri"/>
          <w:sz w:val="22"/>
          <w:szCs w:val="22"/>
          <w:lang w:eastAsia="en-US"/>
        </w:rPr>
        <w:t>ш</w:t>
      </w:r>
      <w:r w:rsidRPr="00281602">
        <w:rPr>
          <w:rFonts w:eastAsia="Calibri"/>
          <w:sz w:val="22"/>
          <w:szCs w:val="22"/>
          <w:lang w:eastAsia="en-US"/>
        </w:rPr>
        <w:t>ленности / А.Г. Храмцов, П.Г. Нестеренко ; под ред. Храмцова А.Г. – М. : Агропромиздат, 1989. – 279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t>9. Храмцов, А.Г. Промышленная переработка вторичного с</w:t>
      </w:r>
      <w:r w:rsidRPr="00281602">
        <w:rPr>
          <w:rFonts w:eastAsia="Calibri"/>
          <w:sz w:val="22"/>
          <w:szCs w:val="22"/>
          <w:lang w:eastAsia="en-US"/>
        </w:rPr>
        <w:t>ы</w:t>
      </w:r>
      <w:r w:rsidRPr="00281602">
        <w:rPr>
          <w:rFonts w:eastAsia="Calibri"/>
          <w:sz w:val="22"/>
          <w:szCs w:val="22"/>
          <w:lang w:eastAsia="en-US"/>
        </w:rPr>
        <w:t>рья /А.Г. Храмцов, С.В. Василисин. - М.: ДеЛи-принт, 2003. – 100 с.</w:t>
      </w:r>
    </w:p>
    <w:p w:rsidR="00281602" w:rsidRPr="00281602" w:rsidRDefault="00281602" w:rsidP="005914ED">
      <w:pPr>
        <w:widowControl w:val="0"/>
        <w:ind w:firstLine="426"/>
        <w:jc w:val="both"/>
        <w:rPr>
          <w:rFonts w:eastAsia="Calibri"/>
          <w:sz w:val="22"/>
          <w:szCs w:val="22"/>
          <w:lang w:eastAsia="en-US"/>
        </w:rPr>
      </w:pPr>
      <w:r w:rsidRPr="00281602">
        <w:rPr>
          <w:rFonts w:eastAsia="Calibri"/>
          <w:sz w:val="22"/>
          <w:szCs w:val="22"/>
          <w:lang w:eastAsia="en-US"/>
        </w:rPr>
        <w:lastRenderedPageBreak/>
        <w:t>10. Храмцов, А.Г. Справочник технолога молочного произво</w:t>
      </w:r>
      <w:r w:rsidRPr="00281602">
        <w:rPr>
          <w:rFonts w:eastAsia="Calibri"/>
          <w:sz w:val="22"/>
          <w:szCs w:val="22"/>
          <w:lang w:eastAsia="en-US"/>
        </w:rPr>
        <w:t>д</w:t>
      </w:r>
      <w:r w:rsidRPr="00281602">
        <w:rPr>
          <w:rFonts w:eastAsia="Calibri"/>
          <w:sz w:val="22"/>
          <w:szCs w:val="22"/>
          <w:lang w:eastAsia="en-US"/>
        </w:rPr>
        <w:t>ства. Технология и рецептуры. Т. 5. Продукты из обезжиренного молока, пахты и молочной сыворотки / А.Г. Храмцов, С.В. Василисин. – СПб. : ГИОРД, 2004. – 576 с.: ил.</w:t>
      </w:r>
    </w:p>
    <w:p w:rsidR="007D0F07" w:rsidRPr="007D0F07" w:rsidRDefault="007D0F07" w:rsidP="007D0F07">
      <w:pPr>
        <w:ind w:firstLine="425"/>
        <w:jc w:val="center"/>
        <w:rPr>
          <w:rFonts w:eastAsia="TimesNewRomanPSMT"/>
          <w:sz w:val="22"/>
          <w:szCs w:val="22"/>
          <w:lang w:eastAsia="en-US"/>
        </w:rPr>
      </w:pPr>
    </w:p>
    <w:p w:rsidR="00451253" w:rsidRPr="006415DB" w:rsidRDefault="00451253" w:rsidP="00B43BBC">
      <w:pPr>
        <w:ind w:firstLine="426"/>
        <w:rPr>
          <w:sz w:val="22"/>
          <w:szCs w:val="20"/>
        </w:rPr>
      </w:pPr>
      <w:r w:rsidRPr="006415DB">
        <w:rPr>
          <w:sz w:val="22"/>
          <w:szCs w:val="20"/>
        </w:rPr>
        <w:br w:type="page"/>
      </w:r>
    </w:p>
    <w:p w:rsidR="00451253" w:rsidRDefault="003B335B" w:rsidP="00B43BBC">
      <w:pPr>
        <w:ind w:firstLine="426"/>
        <w:jc w:val="center"/>
        <w:rPr>
          <w:b/>
        </w:rPr>
      </w:pPr>
      <w:bookmarkStart w:id="8" w:name="_Toc5791280"/>
      <w:r>
        <w:rPr>
          <w:b/>
        </w:rPr>
        <w:lastRenderedPageBreak/>
        <w:t>Факультет прикладной информатики</w:t>
      </w:r>
    </w:p>
    <w:bookmarkEnd w:id="8"/>
    <w:p w:rsidR="00281602" w:rsidRPr="00281602" w:rsidRDefault="00281602" w:rsidP="00281602">
      <w:pPr>
        <w:ind w:firstLine="425"/>
        <w:jc w:val="both"/>
        <w:rPr>
          <w:rFonts w:eastAsia="Calibri"/>
          <w:b/>
          <w:sz w:val="20"/>
          <w:szCs w:val="20"/>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004.9</w:t>
      </w:r>
    </w:p>
    <w:p w:rsidR="00281602" w:rsidRPr="00281602" w:rsidRDefault="00281602" w:rsidP="00281602">
      <w:pPr>
        <w:jc w:val="both"/>
        <w:rPr>
          <w:rFonts w:eastAsia="Calibri"/>
          <w:b/>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Искусственный интеллект на службе сельского хозяйства</w:t>
      </w:r>
      <w:r w:rsidRPr="00281602">
        <w:rPr>
          <w:rFonts w:eastAsia="Calibri"/>
          <w:b/>
          <w:sz w:val="24"/>
          <w:szCs w:val="24"/>
          <w:vertAlign w:val="superscript"/>
          <w:lang w:eastAsia="en-US"/>
        </w:rPr>
        <w:footnoteReference w:id="1"/>
      </w:r>
    </w:p>
    <w:p w:rsidR="00281602" w:rsidRPr="00176F7A" w:rsidRDefault="00281602" w:rsidP="00281602">
      <w:pPr>
        <w:jc w:val="center"/>
        <w:rPr>
          <w:rFonts w:eastAsia="Calibri"/>
          <w:b/>
          <w:sz w:val="24"/>
          <w:szCs w:val="24"/>
          <w:lang w:val="en-US" w:eastAsia="en-US"/>
        </w:rPr>
      </w:pPr>
      <w:r w:rsidRPr="00281602">
        <w:rPr>
          <w:rFonts w:eastAsia="Calibri"/>
          <w:b/>
          <w:sz w:val="24"/>
          <w:szCs w:val="24"/>
          <w:lang w:val="en-US" w:eastAsia="en-US"/>
        </w:rPr>
        <w:t>Artificial</w:t>
      </w:r>
      <w:r w:rsidRPr="00176F7A">
        <w:rPr>
          <w:rFonts w:eastAsia="Calibri"/>
          <w:b/>
          <w:sz w:val="24"/>
          <w:szCs w:val="24"/>
          <w:lang w:val="en-US" w:eastAsia="en-US"/>
        </w:rPr>
        <w:t xml:space="preserve"> </w:t>
      </w:r>
      <w:r w:rsidRPr="00281602">
        <w:rPr>
          <w:rFonts w:eastAsia="Calibri"/>
          <w:b/>
          <w:sz w:val="24"/>
          <w:szCs w:val="24"/>
          <w:lang w:val="en-US" w:eastAsia="en-US"/>
        </w:rPr>
        <w:t>Intelligence</w:t>
      </w:r>
      <w:r w:rsidRPr="00176F7A">
        <w:rPr>
          <w:rFonts w:eastAsia="Calibri"/>
          <w:b/>
          <w:sz w:val="24"/>
          <w:szCs w:val="24"/>
          <w:lang w:val="en-US" w:eastAsia="en-US"/>
        </w:rPr>
        <w:t xml:space="preserve"> </w:t>
      </w:r>
      <w:r w:rsidRPr="00281602">
        <w:rPr>
          <w:rFonts w:eastAsia="Calibri"/>
          <w:b/>
          <w:sz w:val="24"/>
          <w:szCs w:val="24"/>
          <w:lang w:val="en-US" w:eastAsia="en-US"/>
        </w:rPr>
        <w:t>in</w:t>
      </w:r>
      <w:r w:rsidRPr="00176F7A">
        <w:rPr>
          <w:rFonts w:eastAsia="Calibri"/>
          <w:b/>
          <w:sz w:val="24"/>
          <w:szCs w:val="24"/>
          <w:lang w:val="en-US" w:eastAsia="en-US"/>
        </w:rPr>
        <w:t xml:space="preserve"> </w:t>
      </w:r>
      <w:r w:rsidRPr="00281602">
        <w:rPr>
          <w:rFonts w:eastAsia="Calibri"/>
          <w:b/>
          <w:sz w:val="24"/>
          <w:szCs w:val="24"/>
          <w:lang w:val="en-US" w:eastAsia="en-US"/>
        </w:rPr>
        <w:t>the</w:t>
      </w:r>
      <w:r w:rsidRPr="00176F7A">
        <w:rPr>
          <w:rFonts w:eastAsia="Calibri"/>
          <w:b/>
          <w:sz w:val="24"/>
          <w:szCs w:val="24"/>
          <w:lang w:val="en-US" w:eastAsia="en-US"/>
        </w:rPr>
        <w:t xml:space="preserve"> </w:t>
      </w:r>
      <w:r w:rsidRPr="00281602">
        <w:rPr>
          <w:rFonts w:eastAsia="Calibri"/>
          <w:b/>
          <w:sz w:val="24"/>
          <w:szCs w:val="24"/>
          <w:lang w:val="en-US" w:eastAsia="en-US"/>
        </w:rPr>
        <w:t>Service</w:t>
      </w:r>
      <w:r w:rsidRPr="00176F7A">
        <w:rPr>
          <w:rFonts w:eastAsia="Calibri"/>
          <w:b/>
          <w:sz w:val="24"/>
          <w:szCs w:val="24"/>
          <w:lang w:val="en-US" w:eastAsia="en-US"/>
        </w:rPr>
        <w:t xml:space="preserve"> </w:t>
      </w:r>
      <w:r w:rsidRPr="00281602">
        <w:rPr>
          <w:rFonts w:eastAsia="Calibri"/>
          <w:b/>
          <w:sz w:val="24"/>
          <w:szCs w:val="24"/>
          <w:lang w:val="en-US" w:eastAsia="en-US"/>
        </w:rPr>
        <w:t>of</w:t>
      </w:r>
      <w:r w:rsidRPr="00176F7A">
        <w:rPr>
          <w:rFonts w:eastAsia="Calibri"/>
          <w:b/>
          <w:sz w:val="24"/>
          <w:szCs w:val="24"/>
          <w:lang w:val="en-US" w:eastAsia="en-US"/>
        </w:rPr>
        <w:t xml:space="preserve"> </w:t>
      </w:r>
      <w:r w:rsidRPr="00281602">
        <w:rPr>
          <w:rFonts w:eastAsia="Calibri"/>
          <w:b/>
          <w:sz w:val="24"/>
          <w:szCs w:val="24"/>
          <w:lang w:val="en-US" w:eastAsia="en-US"/>
        </w:rPr>
        <w:t>Agriculture</w:t>
      </w:r>
    </w:p>
    <w:p w:rsidR="00281602" w:rsidRPr="00176F7A" w:rsidRDefault="00281602" w:rsidP="00281602">
      <w:pPr>
        <w:jc w:val="both"/>
        <w:rPr>
          <w:rFonts w:eastAsia="Calibri"/>
          <w:b/>
          <w:sz w:val="22"/>
          <w:szCs w:val="22"/>
          <w:lang w:val="en-US" w:eastAsia="en-US"/>
        </w:rPr>
      </w:pPr>
    </w:p>
    <w:p w:rsidR="00281602" w:rsidRPr="00281602" w:rsidRDefault="00281602" w:rsidP="00B572C5">
      <w:pPr>
        <w:jc w:val="right"/>
        <w:rPr>
          <w:rFonts w:eastAsia="Calibri"/>
          <w:sz w:val="22"/>
          <w:szCs w:val="22"/>
          <w:lang w:eastAsia="en-US"/>
        </w:rPr>
      </w:pPr>
      <w:r w:rsidRPr="00281602">
        <w:rPr>
          <w:rFonts w:eastAsia="Calibri"/>
          <w:sz w:val="22"/>
          <w:szCs w:val="22"/>
          <w:lang w:eastAsia="en-US"/>
        </w:rPr>
        <w:t>Ващенко В. Р.,</w:t>
      </w:r>
      <w:r w:rsidR="00B572C5">
        <w:rPr>
          <w:rFonts w:eastAsia="Calibri"/>
          <w:sz w:val="22"/>
          <w:szCs w:val="22"/>
          <w:lang w:eastAsia="en-US"/>
        </w:rPr>
        <w:t xml:space="preserve"> </w:t>
      </w:r>
      <w:r w:rsidRPr="00281602">
        <w:rPr>
          <w:rFonts w:eastAsia="Calibri"/>
          <w:sz w:val="22"/>
          <w:szCs w:val="22"/>
          <w:lang w:eastAsia="en-US"/>
        </w:rPr>
        <w:t>Куликова М. И.,</w:t>
      </w:r>
    </w:p>
    <w:p w:rsidR="00281602" w:rsidRPr="00281602" w:rsidRDefault="00B572C5" w:rsidP="00281602">
      <w:pPr>
        <w:jc w:val="right"/>
        <w:rPr>
          <w:rFonts w:eastAsia="Calibri"/>
          <w:sz w:val="22"/>
          <w:szCs w:val="22"/>
          <w:lang w:eastAsia="en-US"/>
        </w:rPr>
      </w:pPr>
      <w:r>
        <w:rPr>
          <w:rFonts w:eastAsia="Calibri"/>
          <w:sz w:val="22"/>
          <w:szCs w:val="22"/>
          <w:lang w:eastAsia="en-US"/>
        </w:rPr>
        <w:t>студентки</w:t>
      </w:r>
      <w:r w:rsidR="00281602" w:rsidRPr="00281602">
        <w:rPr>
          <w:rFonts w:eastAsia="Calibri"/>
          <w:sz w:val="22"/>
          <w:szCs w:val="22"/>
          <w:lang w:eastAsia="en-US"/>
        </w:rPr>
        <w:t xml:space="preserve"> 2-го курса факультета прикладной информатики,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Фешина Е. В.,</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доцент кафедры компьютерных технологий и систем</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Кубанский государственный аграрный </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И.Т. Трубилина</w:t>
      </w:r>
    </w:p>
    <w:p w:rsidR="00281602" w:rsidRPr="00281602" w:rsidRDefault="00281602" w:rsidP="00281602">
      <w:pPr>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В статье рассмотрены возможности примен</w:t>
      </w:r>
      <w:r w:rsidRPr="00281602">
        <w:rPr>
          <w:rFonts w:eastAsia="Calibri"/>
          <w:sz w:val="22"/>
          <w:szCs w:val="22"/>
          <w:lang w:eastAsia="en-US"/>
        </w:rPr>
        <w:t>е</w:t>
      </w:r>
      <w:r w:rsidRPr="00281602">
        <w:rPr>
          <w:rFonts w:eastAsia="Calibri"/>
          <w:sz w:val="22"/>
          <w:szCs w:val="22"/>
          <w:lang w:eastAsia="en-US"/>
        </w:rPr>
        <w:t>ния искусственного интеллекта в сельском хозяйстве и перспективы дальнейшего развития применения в животноводстве и растени</w:t>
      </w:r>
      <w:r w:rsidRPr="00281602">
        <w:rPr>
          <w:rFonts w:eastAsia="Calibri"/>
          <w:sz w:val="22"/>
          <w:szCs w:val="22"/>
          <w:lang w:eastAsia="en-US"/>
        </w:rPr>
        <w:t>е</w:t>
      </w:r>
      <w:r w:rsidRPr="00281602">
        <w:rPr>
          <w:rFonts w:eastAsia="Calibri"/>
          <w:sz w:val="22"/>
          <w:szCs w:val="22"/>
          <w:lang w:eastAsia="en-US"/>
        </w:rPr>
        <w:t>водстве.</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the article discusses the possibilities of using artificial intelligence in agriculture and the prospects for further development of application in animal husbandry and crop production.</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нейронная сеть, компьютерное зрение, роботы.</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 WORDS: neural network, computer vision, robots.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Важнейшими факторами ускоренного развития современного мира стали микроэлектроника, вычислительная техника, различные технологии. Технологические новшества не обошли стороной и сельское хозяйство.</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Сегодня сельское хозяйство является крупнейшей и важной о</w:t>
      </w:r>
      <w:r w:rsidRPr="00281602">
        <w:rPr>
          <w:rFonts w:eastAsia="Calibri"/>
          <w:sz w:val="22"/>
          <w:szCs w:val="22"/>
          <w:lang w:eastAsia="en-US"/>
        </w:rPr>
        <w:t>т</w:t>
      </w:r>
      <w:r w:rsidRPr="00281602">
        <w:rPr>
          <w:rFonts w:eastAsia="Calibri"/>
          <w:sz w:val="22"/>
          <w:szCs w:val="22"/>
          <w:lang w:eastAsia="en-US"/>
        </w:rPr>
        <w:t>раслью на всей планете. Чтобы накормить миллиарды людей, нео</w:t>
      </w:r>
      <w:r w:rsidRPr="00281602">
        <w:rPr>
          <w:rFonts w:eastAsia="Calibri"/>
          <w:sz w:val="22"/>
          <w:szCs w:val="22"/>
          <w:lang w:eastAsia="en-US"/>
        </w:rPr>
        <w:t>б</w:t>
      </w:r>
      <w:r w:rsidRPr="00281602">
        <w:rPr>
          <w:rFonts w:eastAsia="Calibri"/>
          <w:sz w:val="22"/>
          <w:szCs w:val="22"/>
          <w:lang w:eastAsia="en-US"/>
        </w:rPr>
        <w:t>ходимо возделывать огромные площади земли. Обрабатывать ее вручную, или с применением существующей техники, уже нево</w:t>
      </w:r>
      <w:r w:rsidRPr="00281602">
        <w:rPr>
          <w:rFonts w:eastAsia="Calibri"/>
          <w:sz w:val="22"/>
          <w:szCs w:val="22"/>
          <w:lang w:eastAsia="en-US"/>
        </w:rPr>
        <w:t>з</w:t>
      </w:r>
      <w:r w:rsidRPr="00281602">
        <w:rPr>
          <w:rFonts w:eastAsia="Calibri"/>
          <w:sz w:val="22"/>
          <w:szCs w:val="22"/>
          <w:lang w:eastAsia="en-US"/>
        </w:rPr>
        <w:t xml:space="preserve">можно. Природные катаклизмы, изменение климата, нашествия насекомых, новые болезни растений приводят к неурожаям. При </w:t>
      </w:r>
      <w:r w:rsidRPr="00281602">
        <w:rPr>
          <w:rFonts w:eastAsia="Calibri"/>
          <w:sz w:val="22"/>
          <w:szCs w:val="22"/>
          <w:lang w:eastAsia="en-US"/>
        </w:rPr>
        <w:lastRenderedPageBreak/>
        <w:t>современных масштабах сельского хозяйства выявить и нейтрал</w:t>
      </w:r>
      <w:r w:rsidRPr="00281602">
        <w:rPr>
          <w:rFonts w:eastAsia="Calibri"/>
          <w:sz w:val="22"/>
          <w:szCs w:val="22"/>
          <w:lang w:eastAsia="en-US"/>
        </w:rPr>
        <w:t>и</w:t>
      </w:r>
      <w:r w:rsidRPr="00281602">
        <w:rPr>
          <w:rFonts w:eastAsia="Calibri"/>
          <w:sz w:val="22"/>
          <w:szCs w:val="22"/>
          <w:lang w:eastAsia="en-US"/>
        </w:rPr>
        <w:t>зовать такие проблемы вовремя сложно. Анализировать и прин</w:t>
      </w:r>
      <w:r w:rsidRPr="00281602">
        <w:rPr>
          <w:rFonts w:eastAsia="Calibri"/>
          <w:sz w:val="22"/>
          <w:szCs w:val="22"/>
          <w:lang w:eastAsia="en-US"/>
        </w:rPr>
        <w:t>и</w:t>
      </w:r>
      <w:r w:rsidRPr="00281602">
        <w:rPr>
          <w:rFonts w:eastAsia="Calibri"/>
          <w:sz w:val="22"/>
          <w:szCs w:val="22"/>
          <w:lang w:eastAsia="en-US"/>
        </w:rPr>
        <w:t xml:space="preserve">мать правильное решение даже самому опытному специалисту сложно. Необходимо использовать новые современные технологии.  На помощь приходит искусственный интеллект, нейронные сети [2].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Выявлять ранние признаки заболеваний растений по снимкам, выявлять распространение вредителей по данным аэрофотосъемки можно с помощью алгоритмов компьютерного зрения.  Эти алг</w:t>
      </w:r>
      <w:r w:rsidRPr="00281602">
        <w:rPr>
          <w:rFonts w:eastAsia="Calibri"/>
          <w:sz w:val="22"/>
          <w:szCs w:val="22"/>
          <w:lang w:eastAsia="en-US"/>
        </w:rPr>
        <w:t>о</w:t>
      </w:r>
      <w:r w:rsidRPr="00281602">
        <w:rPr>
          <w:rFonts w:eastAsia="Calibri"/>
          <w:sz w:val="22"/>
          <w:szCs w:val="22"/>
          <w:lang w:eastAsia="en-US"/>
        </w:rPr>
        <w:t xml:space="preserve">ритмы основаны на современном подходе к компьютерному зрению – использованию сверхточных нейронных сетей. В агрономии чаще используют получение изображений растений путем использования лазерного трехмерного сканирования или с помощью специальных датчиков собирают гиперспектральные изображения.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Качество и количество урожая зависит еще и от засоренности полей сорняками. Нейросеть можно научить анализировать фот</w:t>
      </w:r>
      <w:r w:rsidRPr="00281602">
        <w:rPr>
          <w:rFonts w:eastAsia="Calibri"/>
          <w:sz w:val="22"/>
          <w:szCs w:val="22"/>
          <w:lang w:eastAsia="en-US"/>
        </w:rPr>
        <w:t>о</w:t>
      </w:r>
      <w:r w:rsidRPr="00281602">
        <w:rPr>
          <w:rFonts w:eastAsia="Calibri"/>
          <w:sz w:val="22"/>
          <w:szCs w:val="22"/>
          <w:lang w:eastAsia="en-US"/>
        </w:rPr>
        <w:t>графии полей и принимать правильные решения о внесении нужн</w:t>
      </w:r>
      <w:r w:rsidRPr="00281602">
        <w:rPr>
          <w:rFonts w:eastAsia="Calibri"/>
          <w:sz w:val="22"/>
          <w:szCs w:val="22"/>
          <w:lang w:eastAsia="en-US"/>
        </w:rPr>
        <w:t>о</w:t>
      </w:r>
      <w:r w:rsidRPr="00281602">
        <w:rPr>
          <w:rFonts w:eastAsia="Calibri"/>
          <w:sz w:val="22"/>
          <w:szCs w:val="22"/>
          <w:lang w:eastAsia="en-US"/>
        </w:rPr>
        <w:t>го количества гербицидов.</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Можно создать такую систему на основе нейронной сети, кот</w:t>
      </w:r>
      <w:r w:rsidRPr="00281602">
        <w:rPr>
          <w:rFonts w:eastAsia="Calibri"/>
          <w:sz w:val="22"/>
          <w:szCs w:val="22"/>
          <w:lang w:eastAsia="en-US"/>
        </w:rPr>
        <w:t>о</w:t>
      </w:r>
      <w:r w:rsidRPr="00281602">
        <w:rPr>
          <w:rFonts w:eastAsia="Calibri"/>
          <w:sz w:val="22"/>
          <w:szCs w:val="22"/>
          <w:lang w:eastAsia="en-US"/>
        </w:rPr>
        <w:t>рая бы сортировала урожай еще на полях, выбраковывая испорче</w:t>
      </w:r>
      <w:r w:rsidRPr="00281602">
        <w:rPr>
          <w:rFonts w:eastAsia="Calibri"/>
          <w:sz w:val="22"/>
          <w:szCs w:val="22"/>
          <w:lang w:eastAsia="en-US"/>
        </w:rPr>
        <w:t>н</w:t>
      </w:r>
      <w:r w:rsidRPr="00281602">
        <w:rPr>
          <w:rFonts w:eastAsia="Calibri"/>
          <w:sz w:val="22"/>
          <w:szCs w:val="22"/>
          <w:lang w:eastAsia="en-US"/>
        </w:rPr>
        <w:t>ный урожай, сортируя по классам [1].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Компьютерное зрение найдет применение в животноводстве. Следить за состоянием животных на пастбищах, следить за темп</w:t>
      </w:r>
      <w:r w:rsidRPr="00281602">
        <w:rPr>
          <w:rFonts w:eastAsia="Calibri"/>
          <w:sz w:val="22"/>
          <w:szCs w:val="22"/>
          <w:lang w:eastAsia="en-US"/>
        </w:rPr>
        <w:t>е</w:t>
      </w:r>
      <w:r w:rsidRPr="00281602">
        <w:rPr>
          <w:rFonts w:eastAsia="Calibri"/>
          <w:sz w:val="22"/>
          <w:szCs w:val="22"/>
          <w:lang w:eastAsia="en-US"/>
        </w:rPr>
        <w:t>ратурой тела, распознавать «лица» животных на фермах, свинарн</w:t>
      </w:r>
      <w:r w:rsidRPr="00281602">
        <w:rPr>
          <w:rFonts w:eastAsia="Calibri"/>
          <w:sz w:val="22"/>
          <w:szCs w:val="22"/>
          <w:lang w:eastAsia="en-US"/>
        </w:rPr>
        <w:t>и</w:t>
      </w:r>
      <w:r w:rsidRPr="00281602">
        <w:rPr>
          <w:rFonts w:eastAsia="Calibri"/>
          <w:sz w:val="22"/>
          <w:szCs w:val="22"/>
          <w:lang w:eastAsia="en-US"/>
        </w:rPr>
        <w:t>ках возможно тоже с внедрением компьютерного зрения.   Эти же технологии можно использовать в оптимизации процесса откорма животных на свинофермах. Процесс отслеживания привеса свиней сейчас осуществляется  простым взвешиванием. Используя иску</w:t>
      </w:r>
      <w:r w:rsidRPr="00281602">
        <w:rPr>
          <w:rFonts w:eastAsia="Calibri"/>
          <w:sz w:val="22"/>
          <w:szCs w:val="22"/>
          <w:lang w:eastAsia="en-US"/>
        </w:rPr>
        <w:t>с</w:t>
      </w:r>
      <w:r w:rsidRPr="00281602">
        <w:rPr>
          <w:rFonts w:eastAsia="Calibri"/>
          <w:sz w:val="22"/>
          <w:szCs w:val="22"/>
          <w:lang w:eastAsia="en-US"/>
        </w:rPr>
        <w:t>ственный интеллект можно разработать специальные программы, которые бы позволили специалистам знать, как происходит откорм каждого животного, сколько надо добавить и какие пищевые доба</w:t>
      </w:r>
      <w:r w:rsidRPr="00281602">
        <w:rPr>
          <w:rFonts w:eastAsia="Calibri"/>
          <w:sz w:val="22"/>
          <w:szCs w:val="22"/>
          <w:lang w:eastAsia="en-US"/>
        </w:rPr>
        <w:t>в</w:t>
      </w:r>
      <w:r w:rsidRPr="00281602">
        <w:rPr>
          <w:rFonts w:eastAsia="Calibri"/>
          <w:sz w:val="22"/>
          <w:szCs w:val="22"/>
          <w:lang w:eastAsia="en-US"/>
        </w:rPr>
        <w:t>ки, что существенно улучшило бы продукцию на выходе. Вес ж</w:t>
      </w:r>
      <w:r w:rsidRPr="00281602">
        <w:rPr>
          <w:rFonts w:eastAsia="Calibri"/>
          <w:sz w:val="22"/>
          <w:szCs w:val="22"/>
          <w:lang w:eastAsia="en-US"/>
        </w:rPr>
        <w:t>и</w:t>
      </w:r>
      <w:r w:rsidRPr="00281602">
        <w:rPr>
          <w:rFonts w:eastAsia="Calibri"/>
          <w:sz w:val="22"/>
          <w:szCs w:val="22"/>
          <w:lang w:eastAsia="en-US"/>
        </w:rPr>
        <w:t>вотных можно будет определять по фото и видео данным, испол</w:t>
      </w:r>
      <w:r w:rsidRPr="00281602">
        <w:rPr>
          <w:rFonts w:eastAsia="Calibri"/>
          <w:sz w:val="22"/>
          <w:szCs w:val="22"/>
          <w:lang w:eastAsia="en-US"/>
        </w:rPr>
        <w:t>ь</w:t>
      </w:r>
      <w:r w:rsidRPr="00281602">
        <w:rPr>
          <w:rFonts w:eastAsia="Calibri"/>
          <w:sz w:val="22"/>
          <w:szCs w:val="22"/>
          <w:lang w:eastAsia="en-US"/>
        </w:rPr>
        <w:t>зуя технологии нейронных сетей.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Сейчас ведутся разработки роботов-пропольщиков, которые заменят на полях тяжелый труд человека. Такие роботы будут ра</w:t>
      </w:r>
      <w:r w:rsidRPr="00281602">
        <w:rPr>
          <w:rFonts w:eastAsia="Calibri"/>
          <w:sz w:val="22"/>
          <w:szCs w:val="22"/>
          <w:lang w:eastAsia="en-US"/>
        </w:rPr>
        <w:t>с</w:t>
      </w:r>
      <w:r w:rsidRPr="00281602">
        <w:rPr>
          <w:rFonts w:eastAsia="Calibri"/>
          <w:sz w:val="22"/>
          <w:szCs w:val="22"/>
          <w:lang w:eastAsia="en-US"/>
        </w:rPr>
        <w:t>познавать культурные растения и сорняки, больные и здоровые ра</w:t>
      </w:r>
      <w:r w:rsidRPr="00281602">
        <w:rPr>
          <w:rFonts w:eastAsia="Calibri"/>
          <w:sz w:val="22"/>
          <w:szCs w:val="22"/>
          <w:lang w:eastAsia="en-US"/>
        </w:rPr>
        <w:t>с</w:t>
      </w:r>
      <w:r w:rsidRPr="00281602">
        <w:rPr>
          <w:rFonts w:eastAsia="Calibri"/>
          <w:sz w:val="22"/>
          <w:szCs w:val="22"/>
          <w:lang w:eastAsia="en-US"/>
        </w:rPr>
        <w:t>тения, и принимать самостоятельно решения по уничтожению н</w:t>
      </w:r>
      <w:r w:rsidRPr="00281602">
        <w:rPr>
          <w:rFonts w:eastAsia="Calibri"/>
          <w:sz w:val="22"/>
          <w:szCs w:val="22"/>
          <w:lang w:eastAsia="en-US"/>
        </w:rPr>
        <w:t>е</w:t>
      </w:r>
      <w:r w:rsidRPr="00281602">
        <w:rPr>
          <w:rFonts w:eastAsia="Calibri"/>
          <w:sz w:val="22"/>
          <w:szCs w:val="22"/>
          <w:lang w:eastAsia="en-US"/>
        </w:rPr>
        <w:lastRenderedPageBreak/>
        <w:t>нужных растений. А разработка робота, который может сажать и ухаживать за растениями, выполнять рутинную работу в поле, по</w:t>
      </w:r>
      <w:r w:rsidRPr="00281602">
        <w:rPr>
          <w:rFonts w:eastAsia="Calibri"/>
          <w:sz w:val="22"/>
          <w:szCs w:val="22"/>
          <w:lang w:eastAsia="en-US"/>
        </w:rPr>
        <w:t>з</w:t>
      </w:r>
      <w:r w:rsidRPr="00281602">
        <w:rPr>
          <w:rFonts w:eastAsia="Calibri"/>
          <w:sz w:val="22"/>
          <w:szCs w:val="22"/>
          <w:lang w:eastAsia="en-US"/>
        </w:rPr>
        <w:t>волит повысить не только производительность, но и урожайность полей. Летающие дроны смогут доставлять опасные химикаты б</w:t>
      </w:r>
      <w:r w:rsidRPr="00281602">
        <w:rPr>
          <w:rFonts w:eastAsia="Calibri"/>
          <w:sz w:val="22"/>
          <w:szCs w:val="22"/>
          <w:lang w:eastAsia="en-US"/>
        </w:rPr>
        <w:t>о</w:t>
      </w:r>
      <w:r w:rsidRPr="00281602">
        <w:rPr>
          <w:rFonts w:eastAsia="Calibri"/>
          <w:sz w:val="22"/>
          <w:szCs w:val="22"/>
          <w:lang w:eastAsia="en-US"/>
        </w:rPr>
        <w:t>лее точно, по сравнению с самолетами. Современные методы ко</w:t>
      </w:r>
      <w:r w:rsidRPr="00281602">
        <w:rPr>
          <w:rFonts w:eastAsia="Calibri"/>
          <w:sz w:val="22"/>
          <w:szCs w:val="22"/>
          <w:lang w:eastAsia="en-US"/>
        </w:rPr>
        <w:t>м</w:t>
      </w:r>
      <w:r w:rsidRPr="00281602">
        <w:rPr>
          <w:rFonts w:eastAsia="Calibri"/>
          <w:sz w:val="22"/>
          <w:szCs w:val="22"/>
          <w:lang w:eastAsia="en-US"/>
        </w:rPr>
        <w:t xml:space="preserve">пьютерного зрения и робототехники позволят создавать роботов, собирающих клубнику, ягоды, плоды с деревьев [3].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Если сейчас используются различные датчики для снятия пок</w:t>
      </w:r>
      <w:r w:rsidRPr="00281602">
        <w:rPr>
          <w:rFonts w:eastAsia="Calibri"/>
          <w:sz w:val="22"/>
          <w:szCs w:val="22"/>
          <w:lang w:eastAsia="en-US"/>
        </w:rPr>
        <w:t>а</w:t>
      </w:r>
      <w:r w:rsidRPr="00281602">
        <w:rPr>
          <w:rFonts w:eastAsia="Calibri"/>
          <w:sz w:val="22"/>
          <w:szCs w:val="22"/>
          <w:lang w:eastAsia="en-US"/>
        </w:rPr>
        <w:t>заний температуры воздуха и земли, влажности, освещенности, кислотности почвы, и другие показатели, и это передается на ко</w:t>
      </w:r>
      <w:r w:rsidRPr="00281602">
        <w:rPr>
          <w:rFonts w:eastAsia="Calibri"/>
          <w:sz w:val="22"/>
          <w:szCs w:val="22"/>
          <w:lang w:eastAsia="en-US"/>
        </w:rPr>
        <w:t>м</w:t>
      </w:r>
      <w:r w:rsidRPr="00281602">
        <w:rPr>
          <w:rFonts w:eastAsia="Calibri"/>
          <w:sz w:val="22"/>
          <w:szCs w:val="22"/>
          <w:lang w:eastAsia="en-US"/>
        </w:rPr>
        <w:t>пьютер и обрабатывается, то в будущем количество показателей будет в разы расти. Необходимо разрабатывать универсальный да</w:t>
      </w:r>
      <w:r w:rsidRPr="00281602">
        <w:rPr>
          <w:rFonts w:eastAsia="Calibri"/>
          <w:sz w:val="22"/>
          <w:szCs w:val="22"/>
          <w:lang w:eastAsia="en-US"/>
        </w:rPr>
        <w:t>т</w:t>
      </w:r>
      <w:r w:rsidRPr="00281602">
        <w:rPr>
          <w:rFonts w:eastAsia="Calibri"/>
          <w:sz w:val="22"/>
          <w:szCs w:val="22"/>
          <w:lang w:eastAsia="en-US"/>
        </w:rPr>
        <w:t xml:space="preserve">чик, способный заменить несколько специализированных. </w:t>
      </w:r>
    </w:p>
    <w:p w:rsidR="00281602" w:rsidRPr="00281602" w:rsidRDefault="00281602" w:rsidP="00B572C5">
      <w:pPr>
        <w:ind w:firstLine="425"/>
        <w:jc w:val="both"/>
        <w:rPr>
          <w:rFonts w:eastAsia="Calibri"/>
          <w:sz w:val="22"/>
          <w:szCs w:val="22"/>
          <w:lang w:eastAsia="en-US"/>
        </w:rPr>
      </w:pPr>
      <w:r w:rsidRPr="00281602">
        <w:rPr>
          <w:rFonts w:eastAsia="Calibri"/>
          <w:sz w:val="22"/>
          <w:szCs w:val="22"/>
          <w:lang w:eastAsia="en-US"/>
        </w:rPr>
        <w:t>Искусственный интеллект может стать той технологией, кот</w:t>
      </w:r>
      <w:r w:rsidRPr="00281602">
        <w:rPr>
          <w:rFonts w:eastAsia="Calibri"/>
          <w:sz w:val="22"/>
          <w:szCs w:val="22"/>
          <w:lang w:eastAsia="en-US"/>
        </w:rPr>
        <w:t>о</w:t>
      </w:r>
      <w:r w:rsidRPr="00281602">
        <w:rPr>
          <w:rFonts w:eastAsia="Calibri"/>
          <w:sz w:val="22"/>
          <w:szCs w:val="22"/>
          <w:lang w:eastAsia="en-US"/>
        </w:rPr>
        <w:t>рая выведет сельское хозяйство на новый уровень. А высокотехн</w:t>
      </w:r>
      <w:r w:rsidRPr="00281602">
        <w:rPr>
          <w:rFonts w:eastAsia="Calibri"/>
          <w:sz w:val="22"/>
          <w:szCs w:val="22"/>
          <w:lang w:eastAsia="en-US"/>
        </w:rPr>
        <w:t>о</w:t>
      </w:r>
      <w:r w:rsidRPr="00281602">
        <w:rPr>
          <w:rFonts w:eastAsia="Calibri"/>
          <w:sz w:val="22"/>
          <w:szCs w:val="22"/>
          <w:lang w:eastAsia="en-US"/>
        </w:rPr>
        <w:t>логичные инструменты, такие как дроны и датчики, станут ста</w:t>
      </w:r>
      <w:r w:rsidRPr="00281602">
        <w:rPr>
          <w:rFonts w:eastAsia="Calibri"/>
          <w:sz w:val="22"/>
          <w:szCs w:val="22"/>
          <w:lang w:eastAsia="en-US"/>
        </w:rPr>
        <w:t>н</w:t>
      </w:r>
      <w:r w:rsidRPr="00281602">
        <w:rPr>
          <w:rFonts w:eastAsia="Calibri"/>
          <w:sz w:val="22"/>
          <w:szCs w:val="22"/>
          <w:lang w:eastAsia="en-US"/>
        </w:rPr>
        <w:t xml:space="preserve">дартным набором для современного фермера. </w:t>
      </w:r>
    </w:p>
    <w:p w:rsidR="00281602" w:rsidRPr="00281602" w:rsidRDefault="00281602" w:rsidP="00B572C5">
      <w:pPr>
        <w:ind w:firstLine="425"/>
        <w:jc w:val="both"/>
        <w:rPr>
          <w:rFonts w:eastAsia="Calibri"/>
          <w:sz w:val="22"/>
          <w:szCs w:val="22"/>
          <w:lang w:eastAsia="en-US"/>
        </w:rPr>
      </w:pPr>
    </w:p>
    <w:p w:rsidR="00281602" w:rsidRPr="00281602" w:rsidRDefault="00281602" w:rsidP="00B572C5">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B572C5">
      <w:pPr>
        <w:numPr>
          <w:ilvl w:val="0"/>
          <w:numId w:val="36"/>
        </w:numPr>
        <w:ind w:left="0" w:firstLine="425"/>
        <w:jc w:val="both"/>
        <w:rPr>
          <w:rFonts w:eastAsia="Calibri"/>
          <w:sz w:val="22"/>
          <w:szCs w:val="22"/>
          <w:lang w:eastAsia="en-US"/>
        </w:rPr>
      </w:pPr>
      <w:r w:rsidRPr="00281602">
        <w:rPr>
          <w:rFonts w:eastAsia="Calibri"/>
          <w:sz w:val="22"/>
          <w:szCs w:val="22"/>
          <w:lang w:eastAsia="en-US"/>
        </w:rPr>
        <w:t>Омельченко Д.А.. Сферы применения нейронных сетей в настоящем и будущем. / Е.В. Фешина, Д.А. Омельченко // Конце</w:t>
      </w:r>
      <w:r w:rsidRPr="00281602">
        <w:rPr>
          <w:rFonts w:eastAsia="Calibri"/>
          <w:sz w:val="22"/>
          <w:szCs w:val="22"/>
          <w:lang w:eastAsia="en-US"/>
        </w:rPr>
        <w:t>п</w:t>
      </w:r>
      <w:r w:rsidRPr="00281602">
        <w:rPr>
          <w:rFonts w:eastAsia="Calibri"/>
          <w:sz w:val="22"/>
          <w:szCs w:val="22"/>
          <w:lang w:eastAsia="en-US"/>
        </w:rPr>
        <w:t>ции фундаментальных и прикладных научных исследований. Сбо</w:t>
      </w:r>
      <w:r w:rsidRPr="00281602">
        <w:rPr>
          <w:rFonts w:eastAsia="Calibri"/>
          <w:sz w:val="22"/>
          <w:szCs w:val="22"/>
          <w:lang w:eastAsia="en-US"/>
        </w:rPr>
        <w:t>р</w:t>
      </w:r>
      <w:r w:rsidRPr="00281602">
        <w:rPr>
          <w:rFonts w:eastAsia="Calibri"/>
          <w:sz w:val="22"/>
          <w:szCs w:val="22"/>
          <w:lang w:eastAsia="en-US"/>
        </w:rPr>
        <w:t>ник статей Международной научно-практической конференции: в 2 частях. – 2018. – С. 36-40.</w:t>
      </w:r>
    </w:p>
    <w:p w:rsidR="00281602" w:rsidRPr="00281602" w:rsidRDefault="00281602" w:rsidP="00B572C5">
      <w:pPr>
        <w:numPr>
          <w:ilvl w:val="0"/>
          <w:numId w:val="36"/>
        </w:numPr>
        <w:ind w:left="0" w:firstLine="425"/>
        <w:jc w:val="both"/>
        <w:rPr>
          <w:rFonts w:eastAsia="Calibri"/>
          <w:sz w:val="22"/>
          <w:szCs w:val="22"/>
          <w:lang w:eastAsia="en-US"/>
        </w:rPr>
      </w:pPr>
      <w:r w:rsidRPr="00281602">
        <w:rPr>
          <w:rFonts w:eastAsia="Calibri"/>
          <w:sz w:val="22"/>
          <w:szCs w:val="22"/>
          <w:lang w:eastAsia="en-US"/>
        </w:rPr>
        <w:t>Омельченко Д.А. Интеллектуальные системы как средство автоматизации личного подсобного хозяйства./ Д.А. Омельченко, Е.В. Фешина // Научное обеспечение агропромышленного компле</w:t>
      </w:r>
      <w:r w:rsidRPr="00281602">
        <w:rPr>
          <w:rFonts w:eastAsia="Calibri"/>
          <w:sz w:val="22"/>
          <w:szCs w:val="22"/>
          <w:lang w:eastAsia="en-US"/>
        </w:rPr>
        <w:t>к</w:t>
      </w:r>
      <w:r w:rsidRPr="00281602">
        <w:rPr>
          <w:rFonts w:eastAsia="Calibri"/>
          <w:sz w:val="22"/>
          <w:szCs w:val="22"/>
          <w:lang w:eastAsia="en-US"/>
        </w:rPr>
        <w:t xml:space="preserve">са. Сборник статей </w:t>
      </w:r>
      <w:r w:rsidRPr="00281602">
        <w:rPr>
          <w:rFonts w:eastAsia="Calibri"/>
          <w:sz w:val="22"/>
          <w:szCs w:val="22"/>
          <w:lang w:val="en-US" w:eastAsia="en-US"/>
        </w:rPr>
        <w:t>XI</w:t>
      </w:r>
      <w:r w:rsidRPr="00281602">
        <w:rPr>
          <w:rFonts w:eastAsia="Calibri"/>
          <w:sz w:val="22"/>
          <w:szCs w:val="22"/>
          <w:lang w:eastAsia="en-US"/>
        </w:rPr>
        <w:t xml:space="preserve"> Всероссийской конференции молодых уч</w:t>
      </w:r>
      <w:r w:rsidRPr="00281602">
        <w:rPr>
          <w:rFonts w:eastAsia="Calibri"/>
          <w:sz w:val="22"/>
          <w:szCs w:val="22"/>
          <w:lang w:eastAsia="en-US"/>
        </w:rPr>
        <w:t>е</w:t>
      </w:r>
      <w:r w:rsidRPr="00281602">
        <w:rPr>
          <w:rFonts w:eastAsia="Calibri"/>
          <w:sz w:val="22"/>
          <w:szCs w:val="22"/>
          <w:lang w:eastAsia="en-US"/>
        </w:rPr>
        <w:t>ных, посвященной 95-летию Кубанского ГАУ и 80-летию образов</w:t>
      </w:r>
      <w:r w:rsidRPr="00281602">
        <w:rPr>
          <w:rFonts w:eastAsia="Calibri"/>
          <w:sz w:val="22"/>
          <w:szCs w:val="22"/>
          <w:lang w:eastAsia="en-US"/>
        </w:rPr>
        <w:t>а</w:t>
      </w:r>
      <w:r w:rsidRPr="00281602">
        <w:rPr>
          <w:rFonts w:eastAsia="Calibri"/>
          <w:sz w:val="22"/>
          <w:szCs w:val="22"/>
          <w:lang w:eastAsia="en-US"/>
        </w:rPr>
        <w:t>ния Краснодарского края. – 2017. – С. 267-268.</w:t>
      </w:r>
    </w:p>
    <w:p w:rsidR="00281602" w:rsidRPr="00281602" w:rsidRDefault="00281602" w:rsidP="00B572C5">
      <w:pPr>
        <w:numPr>
          <w:ilvl w:val="0"/>
          <w:numId w:val="36"/>
        </w:numPr>
        <w:ind w:left="0" w:firstLine="425"/>
        <w:jc w:val="both"/>
        <w:rPr>
          <w:rFonts w:eastAsia="Calibri"/>
          <w:sz w:val="22"/>
          <w:szCs w:val="22"/>
          <w:lang w:eastAsia="en-US"/>
        </w:rPr>
      </w:pPr>
      <w:r w:rsidRPr="00281602">
        <w:rPr>
          <w:rFonts w:eastAsia="Calibri"/>
          <w:sz w:val="22"/>
          <w:szCs w:val="22"/>
          <w:lang w:eastAsia="en-US"/>
        </w:rPr>
        <w:t>Острицова В.А. Применение нейронных сетей в сельском хозяйстве как неотъемлемая часть инновационного развития отра</w:t>
      </w:r>
      <w:r w:rsidRPr="00281602">
        <w:rPr>
          <w:rFonts w:eastAsia="Calibri"/>
          <w:sz w:val="22"/>
          <w:szCs w:val="22"/>
          <w:lang w:eastAsia="en-US"/>
        </w:rPr>
        <w:t>с</w:t>
      </w:r>
      <w:r w:rsidRPr="00281602">
        <w:rPr>
          <w:rFonts w:eastAsia="Calibri"/>
          <w:sz w:val="22"/>
          <w:szCs w:val="22"/>
          <w:lang w:eastAsia="en-US"/>
        </w:rPr>
        <w:t>ли / В.А. Острицова, В.В. Ткаченко // Наука в современном общ</w:t>
      </w:r>
      <w:r w:rsidRPr="00281602">
        <w:rPr>
          <w:rFonts w:eastAsia="Calibri"/>
          <w:sz w:val="22"/>
          <w:szCs w:val="22"/>
          <w:lang w:eastAsia="en-US"/>
        </w:rPr>
        <w:t>е</w:t>
      </w:r>
      <w:r w:rsidRPr="00281602">
        <w:rPr>
          <w:rFonts w:eastAsia="Calibri"/>
          <w:sz w:val="22"/>
          <w:szCs w:val="22"/>
          <w:lang w:eastAsia="en-US"/>
        </w:rPr>
        <w:t>ства: закономерности и тенденции развития. Сборник статей ме</w:t>
      </w:r>
      <w:r w:rsidRPr="00281602">
        <w:rPr>
          <w:rFonts w:eastAsia="Calibri"/>
          <w:sz w:val="22"/>
          <w:szCs w:val="22"/>
          <w:lang w:eastAsia="en-US"/>
        </w:rPr>
        <w:t>ж</w:t>
      </w:r>
      <w:r w:rsidRPr="00281602">
        <w:rPr>
          <w:rFonts w:eastAsia="Calibri"/>
          <w:sz w:val="22"/>
          <w:szCs w:val="22"/>
          <w:lang w:eastAsia="en-US"/>
        </w:rPr>
        <w:t>дународной научно-практической конференции: в 2 частях. 2016. С.42-48.</w:t>
      </w:r>
    </w:p>
    <w:p w:rsidR="00281602" w:rsidRPr="00281602" w:rsidRDefault="00281602" w:rsidP="00B572C5">
      <w:pPr>
        <w:numPr>
          <w:ilvl w:val="0"/>
          <w:numId w:val="36"/>
        </w:numPr>
        <w:ind w:left="0" w:firstLine="425"/>
        <w:jc w:val="both"/>
        <w:rPr>
          <w:rFonts w:eastAsia="Calibri"/>
          <w:sz w:val="22"/>
          <w:szCs w:val="22"/>
          <w:lang w:eastAsia="en-US"/>
        </w:rPr>
      </w:pPr>
      <w:r w:rsidRPr="00281602">
        <w:rPr>
          <w:rFonts w:eastAsia="Calibri"/>
          <w:sz w:val="22"/>
          <w:szCs w:val="22"/>
          <w:lang w:eastAsia="en-US"/>
        </w:rPr>
        <w:t xml:space="preserve">Фешина Е.В. Метод определения концентрации танинов в дубовых клепках с использованием ИК-спектрометра и нейронной </w:t>
      </w:r>
      <w:r w:rsidRPr="00281602">
        <w:rPr>
          <w:rFonts w:eastAsia="Calibri"/>
          <w:sz w:val="22"/>
          <w:szCs w:val="22"/>
          <w:lang w:eastAsia="en-US"/>
        </w:rPr>
        <w:lastRenderedPageBreak/>
        <w:t>сети / Е.В. Фешина, А.А. Фешин  // Внедрение результатов иннов</w:t>
      </w:r>
      <w:r w:rsidRPr="00281602">
        <w:rPr>
          <w:rFonts w:eastAsia="Calibri"/>
          <w:sz w:val="22"/>
          <w:szCs w:val="22"/>
          <w:lang w:eastAsia="en-US"/>
        </w:rPr>
        <w:t>а</w:t>
      </w:r>
      <w:r w:rsidRPr="00281602">
        <w:rPr>
          <w:rFonts w:eastAsia="Calibri"/>
          <w:sz w:val="22"/>
          <w:szCs w:val="22"/>
          <w:lang w:eastAsia="en-US"/>
        </w:rPr>
        <w:t>ционных разработок: проблемы и перспективы. Сборник статей международной научно-практической конференции. – 2016, .С. 39-42.</w:t>
      </w:r>
    </w:p>
    <w:p w:rsidR="00281602" w:rsidRPr="00281602" w:rsidRDefault="00281602" w:rsidP="00281602">
      <w:pPr>
        <w:ind w:firstLine="425"/>
        <w:jc w:val="both"/>
        <w:rPr>
          <w:rFonts w:eastAsia="Calibri"/>
          <w:sz w:val="22"/>
          <w:szCs w:val="22"/>
          <w:lang w:eastAsia="en-US"/>
        </w:rPr>
      </w:pPr>
    </w:p>
    <w:p w:rsidR="00281602" w:rsidRDefault="00281602" w:rsidP="00281602">
      <w:pPr>
        <w:widowControl w:val="0"/>
        <w:tabs>
          <w:tab w:val="left" w:pos="8223"/>
        </w:tabs>
        <w:autoSpaceDE w:val="0"/>
        <w:autoSpaceDN w:val="0"/>
        <w:adjustRightInd w:val="0"/>
        <w:ind w:firstLine="425"/>
        <w:jc w:val="both"/>
        <w:rPr>
          <w:rFonts w:eastAsia="Courier New"/>
          <w:color w:val="000000"/>
          <w:sz w:val="22"/>
          <w:szCs w:val="22"/>
          <w:lang w:eastAsia="en-US"/>
        </w:rPr>
      </w:pPr>
    </w:p>
    <w:p w:rsidR="00A35AC1" w:rsidRPr="00281602" w:rsidRDefault="00A35AC1" w:rsidP="00281602">
      <w:pPr>
        <w:widowControl w:val="0"/>
        <w:tabs>
          <w:tab w:val="left" w:pos="8223"/>
        </w:tabs>
        <w:autoSpaceDE w:val="0"/>
        <w:autoSpaceDN w:val="0"/>
        <w:adjustRightInd w:val="0"/>
        <w:ind w:firstLine="425"/>
        <w:jc w:val="both"/>
        <w:rPr>
          <w:rFonts w:eastAsia="Courier New"/>
          <w:color w:val="000000"/>
          <w:sz w:val="22"/>
          <w:szCs w:val="22"/>
          <w:lang w:eastAsia="en-US"/>
        </w:rPr>
      </w:pPr>
    </w:p>
    <w:p w:rsidR="00281602" w:rsidRPr="00281602" w:rsidRDefault="00281602" w:rsidP="00281602">
      <w:pPr>
        <w:widowControl w:val="0"/>
        <w:tabs>
          <w:tab w:val="left" w:pos="8223"/>
        </w:tabs>
        <w:autoSpaceDE w:val="0"/>
        <w:autoSpaceDN w:val="0"/>
        <w:adjustRightInd w:val="0"/>
        <w:jc w:val="both"/>
        <w:rPr>
          <w:rFonts w:eastAsia="Courier New"/>
          <w:color w:val="000000"/>
          <w:sz w:val="22"/>
          <w:szCs w:val="22"/>
          <w:lang w:val="en-US" w:eastAsia="en-US"/>
        </w:rPr>
      </w:pPr>
      <w:r w:rsidRPr="00281602">
        <w:rPr>
          <w:rFonts w:eastAsia="Courier New"/>
          <w:color w:val="000000"/>
          <w:sz w:val="22"/>
          <w:szCs w:val="22"/>
          <w:lang w:eastAsia="en-US"/>
        </w:rPr>
        <w:t>УДК</w:t>
      </w:r>
      <w:r w:rsidRPr="00281602">
        <w:rPr>
          <w:rFonts w:eastAsia="Courier New"/>
          <w:color w:val="000000"/>
          <w:sz w:val="22"/>
          <w:szCs w:val="22"/>
          <w:lang w:val="en-US" w:eastAsia="en-US"/>
        </w:rPr>
        <w:t xml:space="preserve"> 004.4</w:t>
      </w:r>
    </w:p>
    <w:p w:rsidR="00281602" w:rsidRPr="00281602" w:rsidRDefault="00281602" w:rsidP="00281602">
      <w:pPr>
        <w:widowControl w:val="0"/>
        <w:tabs>
          <w:tab w:val="left" w:pos="8223"/>
        </w:tabs>
        <w:autoSpaceDE w:val="0"/>
        <w:autoSpaceDN w:val="0"/>
        <w:adjustRightInd w:val="0"/>
        <w:jc w:val="both"/>
        <w:rPr>
          <w:rFonts w:eastAsia="Courier New"/>
          <w:color w:val="000000"/>
          <w:sz w:val="16"/>
          <w:szCs w:val="16"/>
          <w:lang w:val="en-US" w:eastAsia="en-US"/>
        </w:rPr>
      </w:pPr>
    </w:p>
    <w:p w:rsidR="00281602" w:rsidRPr="00281602" w:rsidRDefault="00281602" w:rsidP="00281602">
      <w:pPr>
        <w:widowControl w:val="0"/>
        <w:tabs>
          <w:tab w:val="left" w:pos="8223"/>
        </w:tabs>
        <w:autoSpaceDE w:val="0"/>
        <w:autoSpaceDN w:val="0"/>
        <w:adjustRightInd w:val="0"/>
        <w:jc w:val="center"/>
        <w:rPr>
          <w:rFonts w:eastAsia="Courier New"/>
          <w:b/>
          <w:color w:val="000000"/>
          <w:sz w:val="24"/>
          <w:szCs w:val="24"/>
          <w:lang w:eastAsia="en-US"/>
        </w:rPr>
      </w:pPr>
      <w:r w:rsidRPr="00281602">
        <w:rPr>
          <w:rFonts w:eastAsia="Courier New"/>
          <w:b/>
          <w:color w:val="000000"/>
          <w:sz w:val="24"/>
          <w:szCs w:val="24"/>
          <w:lang w:eastAsia="en-US"/>
        </w:rPr>
        <w:t>Сравнительная характеристика программных продуктов для реализации функции подбора персонала</w:t>
      </w:r>
    </w:p>
    <w:p w:rsidR="00281602" w:rsidRPr="00281602" w:rsidRDefault="00281602" w:rsidP="00281602">
      <w:pPr>
        <w:widowControl w:val="0"/>
        <w:tabs>
          <w:tab w:val="left" w:pos="8223"/>
        </w:tabs>
        <w:autoSpaceDE w:val="0"/>
        <w:autoSpaceDN w:val="0"/>
        <w:adjustRightInd w:val="0"/>
        <w:jc w:val="center"/>
        <w:rPr>
          <w:rFonts w:eastAsia="Courier New"/>
          <w:b/>
          <w:color w:val="000000"/>
          <w:sz w:val="24"/>
          <w:szCs w:val="24"/>
          <w:lang w:val="en-US" w:eastAsia="en-US"/>
        </w:rPr>
      </w:pPr>
      <w:r w:rsidRPr="00281602">
        <w:rPr>
          <w:rFonts w:eastAsia="Courier New"/>
          <w:b/>
          <w:color w:val="000000"/>
          <w:sz w:val="24"/>
          <w:szCs w:val="24"/>
          <w:lang w:val="en-US" w:eastAsia="en-US"/>
        </w:rPr>
        <w:t xml:space="preserve">Comparative characteristics of software products for </w:t>
      </w:r>
      <w:r w:rsidR="00A35AC1" w:rsidRPr="00A35AC1">
        <w:rPr>
          <w:rFonts w:eastAsia="Courier New"/>
          <w:b/>
          <w:color w:val="000000"/>
          <w:sz w:val="24"/>
          <w:szCs w:val="24"/>
          <w:lang w:val="en-US" w:eastAsia="en-US"/>
        </w:rPr>
        <w:br/>
      </w:r>
      <w:r w:rsidRPr="00281602">
        <w:rPr>
          <w:rFonts w:eastAsia="Courier New"/>
          <w:b/>
          <w:color w:val="000000"/>
          <w:sz w:val="24"/>
          <w:szCs w:val="24"/>
          <w:lang w:val="en-US" w:eastAsia="en-US"/>
        </w:rPr>
        <w:t>the implementation of the recruitment function</w:t>
      </w:r>
    </w:p>
    <w:p w:rsidR="00281602" w:rsidRPr="00281602" w:rsidRDefault="00281602" w:rsidP="00281602">
      <w:pPr>
        <w:widowControl w:val="0"/>
        <w:tabs>
          <w:tab w:val="left" w:pos="8223"/>
        </w:tabs>
        <w:autoSpaceDE w:val="0"/>
        <w:autoSpaceDN w:val="0"/>
        <w:adjustRightInd w:val="0"/>
        <w:ind w:firstLine="425"/>
        <w:jc w:val="both"/>
        <w:rPr>
          <w:rFonts w:eastAsia="Courier New"/>
          <w:color w:val="000000"/>
          <w:sz w:val="16"/>
          <w:szCs w:val="16"/>
          <w:lang w:val="en-US" w:eastAsia="en-US"/>
        </w:rPr>
      </w:pPr>
    </w:p>
    <w:p w:rsidR="00281602" w:rsidRPr="00281602" w:rsidRDefault="00281602" w:rsidP="00281602">
      <w:pPr>
        <w:widowControl w:val="0"/>
        <w:tabs>
          <w:tab w:val="left" w:pos="8223"/>
        </w:tabs>
        <w:autoSpaceDE w:val="0"/>
        <w:autoSpaceDN w:val="0"/>
        <w:adjustRightInd w:val="0"/>
        <w:ind w:firstLine="425"/>
        <w:jc w:val="right"/>
        <w:rPr>
          <w:rFonts w:eastAsia="Courier New"/>
          <w:color w:val="000000"/>
          <w:sz w:val="22"/>
          <w:szCs w:val="22"/>
          <w:lang w:eastAsia="en-US"/>
        </w:rPr>
      </w:pPr>
      <w:r w:rsidRPr="00281602">
        <w:rPr>
          <w:rFonts w:eastAsia="Courier New"/>
          <w:color w:val="000000"/>
          <w:sz w:val="22"/>
          <w:szCs w:val="22"/>
          <w:lang w:eastAsia="en-US"/>
        </w:rPr>
        <w:t>Базилев С. А.,</w:t>
      </w:r>
    </w:p>
    <w:p w:rsidR="00A35AC1" w:rsidRDefault="00281602" w:rsidP="00281602">
      <w:pPr>
        <w:ind w:firstLine="425"/>
        <w:jc w:val="right"/>
        <w:rPr>
          <w:rFonts w:eastAsia="Calibri"/>
          <w:sz w:val="22"/>
          <w:szCs w:val="22"/>
          <w:lang w:eastAsia="en-US"/>
        </w:rPr>
      </w:pPr>
      <w:r w:rsidRPr="00281602">
        <w:rPr>
          <w:rFonts w:eastAsia="Calibri"/>
          <w:sz w:val="22"/>
          <w:szCs w:val="22"/>
          <w:lang w:eastAsia="en-US"/>
        </w:rPr>
        <w:t>студент 4-го курса</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 xml:space="preserve"> факультета прикладной информатики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w:t>
      </w:r>
      <w:r w:rsidR="00A35AC1">
        <w:rPr>
          <w:rFonts w:eastAsia="Calibri"/>
          <w:sz w:val="22"/>
          <w:szCs w:val="22"/>
          <w:lang w:eastAsia="en-US"/>
        </w:rPr>
        <w:t>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tabs>
          <w:tab w:val="left" w:pos="4812"/>
        </w:tabs>
        <w:ind w:firstLine="425"/>
        <w:jc w:val="both"/>
        <w:rPr>
          <w:rFonts w:eastAsia="Calibri"/>
          <w:b/>
          <w:bCs/>
          <w:sz w:val="16"/>
          <w:szCs w:val="16"/>
          <w:lang w:eastAsia="en-US"/>
        </w:rPr>
      </w:pPr>
      <w:r w:rsidRPr="00281602">
        <w:rPr>
          <w:rFonts w:eastAsia="Calibri"/>
          <w:b/>
          <w:bCs/>
          <w:sz w:val="22"/>
          <w:szCs w:val="22"/>
          <w:lang w:eastAsia="en-US"/>
        </w:rPr>
        <w:tab/>
      </w:r>
    </w:p>
    <w:p w:rsidR="00281602" w:rsidRPr="00281602" w:rsidRDefault="00281602" w:rsidP="00281602">
      <w:pPr>
        <w:widowControl w:val="0"/>
        <w:autoSpaceDE w:val="0"/>
        <w:autoSpaceDN w:val="0"/>
        <w:adjustRightInd w:val="0"/>
        <w:ind w:firstLine="425"/>
        <w:jc w:val="both"/>
        <w:rPr>
          <w:sz w:val="22"/>
          <w:szCs w:val="22"/>
          <w:lang w:val="en-US" w:eastAsia="en-US"/>
        </w:rPr>
      </w:pPr>
      <w:r w:rsidRPr="00281602">
        <w:rPr>
          <w:rFonts w:eastAsia="Calibri"/>
          <w:bCs/>
          <w:sz w:val="22"/>
          <w:szCs w:val="22"/>
          <w:lang w:eastAsia="en-US"/>
        </w:rPr>
        <w:t>АННОТАЦИЯ:</w:t>
      </w:r>
      <w:r w:rsidRPr="00281602">
        <w:rPr>
          <w:sz w:val="22"/>
          <w:szCs w:val="22"/>
          <w:lang w:eastAsia="en-US"/>
        </w:rPr>
        <w:t> В работе исследованы процессы подбора пе</w:t>
      </w:r>
      <w:r w:rsidRPr="00281602">
        <w:rPr>
          <w:sz w:val="22"/>
          <w:szCs w:val="22"/>
          <w:lang w:eastAsia="en-US"/>
        </w:rPr>
        <w:t>р</w:t>
      </w:r>
      <w:r w:rsidRPr="00281602">
        <w:rPr>
          <w:sz w:val="22"/>
          <w:szCs w:val="22"/>
          <w:lang w:eastAsia="en-US"/>
        </w:rPr>
        <w:t>сонала на основе современных информационных технологий. Пр</w:t>
      </w:r>
      <w:r w:rsidRPr="00281602">
        <w:rPr>
          <w:sz w:val="22"/>
          <w:szCs w:val="22"/>
          <w:lang w:eastAsia="en-US"/>
        </w:rPr>
        <w:t>о</w:t>
      </w:r>
      <w:r w:rsidRPr="00281602">
        <w:rPr>
          <w:sz w:val="22"/>
          <w:szCs w:val="22"/>
          <w:lang w:eastAsia="en-US"/>
        </w:rPr>
        <w:t>ведена сравнительная характеристика программных продуктов для реализации функции подбора персонала. Рассмотрены</w:t>
      </w:r>
      <w:r w:rsidRPr="00281602">
        <w:rPr>
          <w:sz w:val="22"/>
          <w:szCs w:val="22"/>
          <w:lang w:val="en-US" w:eastAsia="en-US"/>
        </w:rPr>
        <w:t xml:space="preserve"> </w:t>
      </w:r>
      <w:r w:rsidRPr="00281602">
        <w:rPr>
          <w:sz w:val="22"/>
          <w:szCs w:val="22"/>
          <w:lang w:eastAsia="en-US"/>
        </w:rPr>
        <w:t>этапы</w:t>
      </w:r>
      <w:r w:rsidRPr="00281602">
        <w:rPr>
          <w:sz w:val="22"/>
          <w:szCs w:val="22"/>
          <w:lang w:val="en-US" w:eastAsia="en-US"/>
        </w:rPr>
        <w:t xml:space="preserve"> </w:t>
      </w:r>
      <w:r w:rsidRPr="00281602">
        <w:rPr>
          <w:sz w:val="22"/>
          <w:szCs w:val="22"/>
          <w:lang w:eastAsia="en-US"/>
        </w:rPr>
        <w:t>по</w:t>
      </w:r>
      <w:r w:rsidRPr="00281602">
        <w:rPr>
          <w:sz w:val="22"/>
          <w:szCs w:val="22"/>
          <w:lang w:eastAsia="en-US"/>
        </w:rPr>
        <w:t>д</w:t>
      </w:r>
      <w:r w:rsidRPr="00281602">
        <w:rPr>
          <w:sz w:val="22"/>
          <w:szCs w:val="22"/>
          <w:lang w:eastAsia="en-US"/>
        </w:rPr>
        <w:t>бора</w:t>
      </w:r>
      <w:r w:rsidRPr="00281602">
        <w:rPr>
          <w:sz w:val="22"/>
          <w:szCs w:val="22"/>
          <w:lang w:val="en-US" w:eastAsia="en-US"/>
        </w:rPr>
        <w:t>.</w:t>
      </w:r>
    </w:p>
    <w:p w:rsidR="00281602" w:rsidRPr="00281602" w:rsidRDefault="00281602" w:rsidP="00281602">
      <w:pPr>
        <w:widowControl w:val="0"/>
        <w:autoSpaceDE w:val="0"/>
        <w:autoSpaceDN w:val="0"/>
        <w:adjustRightInd w:val="0"/>
        <w:ind w:firstLine="425"/>
        <w:jc w:val="both"/>
        <w:rPr>
          <w:sz w:val="22"/>
          <w:szCs w:val="22"/>
          <w:lang w:eastAsia="en-US"/>
        </w:rPr>
      </w:pPr>
      <w:r w:rsidRPr="00281602">
        <w:rPr>
          <w:sz w:val="22"/>
          <w:szCs w:val="22"/>
          <w:lang w:val="en-US" w:eastAsia="en-US"/>
        </w:rPr>
        <w:t xml:space="preserve">ABSTRACT: The processes of personnel selection on the basis of modern information technologies are investigated. The comparative characteristic of software products for realization of function of selection of the personnel is carried out. </w:t>
      </w:r>
      <w:r w:rsidRPr="00281602">
        <w:rPr>
          <w:sz w:val="22"/>
          <w:szCs w:val="22"/>
          <w:lang w:eastAsia="en-US"/>
        </w:rPr>
        <w:t>The stages of selection a reconsidered.</w:t>
      </w:r>
    </w:p>
    <w:p w:rsidR="00281602" w:rsidRPr="00281602" w:rsidRDefault="00281602" w:rsidP="00281602">
      <w:pPr>
        <w:widowControl w:val="0"/>
        <w:autoSpaceDE w:val="0"/>
        <w:autoSpaceDN w:val="0"/>
        <w:adjustRightInd w:val="0"/>
        <w:ind w:firstLine="425"/>
        <w:jc w:val="both"/>
        <w:rPr>
          <w:color w:val="000000"/>
          <w:sz w:val="22"/>
          <w:szCs w:val="22"/>
          <w:lang w:eastAsia="en-US"/>
        </w:rPr>
      </w:pPr>
      <w:r w:rsidRPr="00281602">
        <w:rPr>
          <w:rFonts w:eastAsia="Calibri"/>
          <w:bCs/>
          <w:sz w:val="22"/>
          <w:szCs w:val="22"/>
          <w:lang w:eastAsia="en-US"/>
        </w:rPr>
        <w:t>КЛЮЧЕВЫЕ СЛОВА:</w:t>
      </w:r>
      <w:r w:rsidRPr="00281602">
        <w:rPr>
          <w:rFonts w:eastAsia="Calibri"/>
          <w:b/>
          <w:bCs/>
          <w:sz w:val="22"/>
          <w:szCs w:val="22"/>
          <w:lang w:eastAsia="en-US"/>
        </w:rPr>
        <w:t> </w:t>
      </w:r>
      <w:r w:rsidRPr="00281602">
        <w:rPr>
          <w:sz w:val="22"/>
          <w:szCs w:val="22"/>
          <w:lang w:eastAsia="en-US"/>
        </w:rPr>
        <w:t>Управление персоналом, программные продукты, решения, кандидат, система, квалификация.</w:t>
      </w:r>
    </w:p>
    <w:p w:rsidR="00281602" w:rsidRPr="00281602" w:rsidRDefault="00281602" w:rsidP="00281602">
      <w:pPr>
        <w:widowControl w:val="0"/>
        <w:autoSpaceDE w:val="0"/>
        <w:autoSpaceDN w:val="0"/>
        <w:adjustRightInd w:val="0"/>
        <w:ind w:firstLine="425"/>
        <w:jc w:val="both"/>
        <w:rPr>
          <w:color w:val="000000"/>
          <w:sz w:val="22"/>
          <w:szCs w:val="22"/>
          <w:lang w:val="en-US" w:eastAsia="en-US"/>
        </w:rPr>
      </w:pPr>
      <w:r w:rsidRPr="00281602">
        <w:rPr>
          <w:color w:val="000000"/>
          <w:sz w:val="22"/>
          <w:szCs w:val="22"/>
          <w:lang w:val="en-US" w:eastAsia="en-US"/>
        </w:rPr>
        <w:t>KEYWORDS: Personnel management, software products, sol</w:t>
      </w:r>
      <w:r w:rsidRPr="00281602">
        <w:rPr>
          <w:color w:val="000000"/>
          <w:sz w:val="22"/>
          <w:szCs w:val="22"/>
          <w:lang w:val="en-US" w:eastAsia="en-US"/>
        </w:rPr>
        <w:t>u</w:t>
      </w:r>
      <w:r w:rsidRPr="00281602">
        <w:rPr>
          <w:color w:val="000000"/>
          <w:sz w:val="22"/>
          <w:szCs w:val="22"/>
          <w:lang w:val="en-US" w:eastAsia="en-US"/>
        </w:rPr>
        <w:t>tions, candidate, system, qualification.</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современных условиях формирования рынка труда и пов</w:t>
      </w:r>
      <w:r w:rsidRPr="00281602">
        <w:rPr>
          <w:rFonts w:eastAsia="Calibri"/>
          <w:sz w:val="22"/>
          <w:szCs w:val="22"/>
          <w:lang w:eastAsia="en-US"/>
        </w:rPr>
        <w:t>ы</w:t>
      </w:r>
      <w:r w:rsidRPr="00281602">
        <w:rPr>
          <w:rFonts w:eastAsia="Calibri"/>
          <w:sz w:val="22"/>
          <w:szCs w:val="22"/>
          <w:lang w:eastAsia="en-US"/>
        </w:rPr>
        <w:t xml:space="preserve">шения экономической эффективности деятельности предприятий важное значение приобретает процесс управления персоналом. Особое внимание компании уделяют процессу подбора персонала, </w:t>
      </w:r>
      <w:r w:rsidRPr="00281602">
        <w:rPr>
          <w:rFonts w:eastAsia="Calibri"/>
          <w:sz w:val="22"/>
          <w:szCs w:val="22"/>
          <w:lang w:eastAsia="en-US"/>
        </w:rPr>
        <w:lastRenderedPageBreak/>
        <w:t>так как от персонала зависит ее эффективность, конкурентоспосо</w:t>
      </w:r>
      <w:r w:rsidRPr="00281602">
        <w:rPr>
          <w:rFonts w:eastAsia="Calibri"/>
          <w:sz w:val="22"/>
          <w:szCs w:val="22"/>
          <w:lang w:eastAsia="en-US"/>
        </w:rPr>
        <w:t>б</w:t>
      </w:r>
      <w:r w:rsidRPr="00281602">
        <w:rPr>
          <w:rFonts w:eastAsia="Calibri"/>
          <w:sz w:val="22"/>
          <w:szCs w:val="22"/>
          <w:lang w:eastAsia="en-US"/>
        </w:rPr>
        <w:t>ность и прибыльность на рынке товаров и услуг [1].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Наиболее важной составной частью найма работников является профессиональный отбор, который в значительной степени опред</w:t>
      </w:r>
      <w:r w:rsidRPr="00281602">
        <w:rPr>
          <w:rFonts w:eastAsia="Calibri"/>
          <w:sz w:val="22"/>
          <w:szCs w:val="22"/>
          <w:lang w:eastAsia="en-US"/>
        </w:rPr>
        <w:t>е</w:t>
      </w:r>
      <w:r w:rsidRPr="00281602">
        <w:rPr>
          <w:rFonts w:eastAsia="Calibri"/>
          <w:sz w:val="22"/>
          <w:szCs w:val="22"/>
          <w:lang w:eastAsia="en-US"/>
        </w:rPr>
        <w:t>ляет результативность управления персоналом. Объективное реш</w:t>
      </w:r>
      <w:r w:rsidRPr="00281602">
        <w:rPr>
          <w:rFonts w:eastAsia="Calibri"/>
          <w:sz w:val="22"/>
          <w:szCs w:val="22"/>
          <w:lang w:eastAsia="en-US"/>
        </w:rPr>
        <w:t>е</w:t>
      </w:r>
      <w:r w:rsidRPr="00281602">
        <w:rPr>
          <w:rFonts w:eastAsia="Calibri"/>
          <w:sz w:val="22"/>
          <w:szCs w:val="22"/>
          <w:lang w:eastAsia="en-US"/>
        </w:rPr>
        <w:t>ние о выборе, в зависимости от обстоятельств, может основываться на создании впечатления о кандидате, уровня его профессионал</w:t>
      </w:r>
      <w:r w:rsidRPr="00281602">
        <w:rPr>
          <w:rFonts w:eastAsia="Calibri"/>
          <w:sz w:val="22"/>
          <w:szCs w:val="22"/>
          <w:lang w:eastAsia="en-US"/>
        </w:rPr>
        <w:t>ь</w:t>
      </w:r>
      <w:r w:rsidRPr="00281602">
        <w:rPr>
          <w:rFonts w:eastAsia="Calibri"/>
          <w:sz w:val="22"/>
          <w:szCs w:val="22"/>
          <w:lang w:eastAsia="en-US"/>
        </w:rPr>
        <w:t xml:space="preserve">ных навыков, опыта предшествующей работы, личных качествах.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ТЕЗАЛ – это многофункциональная экспертная система, предназначенная для автоматизации процессов сбора и интерпрет</w:t>
      </w:r>
      <w:r w:rsidRPr="00281602">
        <w:rPr>
          <w:rFonts w:eastAsia="Calibri"/>
          <w:sz w:val="22"/>
          <w:szCs w:val="22"/>
          <w:lang w:eastAsia="en-US"/>
        </w:rPr>
        <w:t>а</w:t>
      </w:r>
      <w:r w:rsidRPr="00281602">
        <w:rPr>
          <w:rFonts w:eastAsia="Calibri"/>
          <w:sz w:val="22"/>
          <w:szCs w:val="22"/>
          <w:lang w:eastAsia="en-US"/>
        </w:rPr>
        <w:t>ции информации о личностных качествах, интеграции тестовых данных и экспертных оценок. Функции программы: лингвистич</w:t>
      </w:r>
      <w:r w:rsidRPr="00281602">
        <w:rPr>
          <w:rFonts w:eastAsia="Calibri"/>
          <w:sz w:val="22"/>
          <w:szCs w:val="22"/>
          <w:lang w:eastAsia="en-US"/>
        </w:rPr>
        <w:t>е</w:t>
      </w:r>
      <w:r w:rsidRPr="00281602">
        <w:rPr>
          <w:rFonts w:eastAsia="Calibri"/>
          <w:sz w:val="22"/>
          <w:szCs w:val="22"/>
          <w:lang w:eastAsia="en-US"/>
        </w:rPr>
        <w:t>ское обеспечение работы психолога, создание текстовых интерпр</w:t>
      </w:r>
      <w:r w:rsidRPr="00281602">
        <w:rPr>
          <w:rFonts w:eastAsia="Calibri"/>
          <w:sz w:val="22"/>
          <w:szCs w:val="22"/>
          <w:lang w:eastAsia="en-US"/>
        </w:rPr>
        <w:t>е</w:t>
      </w:r>
      <w:r w:rsidRPr="00281602">
        <w:rPr>
          <w:rFonts w:eastAsia="Calibri"/>
          <w:sz w:val="22"/>
          <w:szCs w:val="22"/>
          <w:lang w:eastAsia="en-US"/>
        </w:rPr>
        <w:t>таций и факторных профилей; построение реальных и «идеальных портретов» специалистов различных профессий с помощью опроса экспертов.</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ПРОФПЛАН – система разработана с целью поддержки ко</w:t>
      </w:r>
      <w:r w:rsidRPr="00281602">
        <w:rPr>
          <w:rFonts w:eastAsia="Calibri"/>
          <w:sz w:val="22"/>
          <w:szCs w:val="22"/>
          <w:lang w:eastAsia="en-US"/>
        </w:rPr>
        <w:t>н</w:t>
      </w:r>
      <w:r w:rsidRPr="00281602">
        <w:rPr>
          <w:rFonts w:eastAsia="Calibri"/>
          <w:sz w:val="22"/>
          <w:szCs w:val="22"/>
          <w:lang w:eastAsia="en-US"/>
        </w:rPr>
        <w:t>сультационной работы сотрудников центров занятости, психол</w:t>
      </w:r>
      <w:r w:rsidRPr="00281602">
        <w:rPr>
          <w:rFonts w:eastAsia="Calibri"/>
          <w:sz w:val="22"/>
          <w:szCs w:val="22"/>
          <w:lang w:eastAsia="en-US"/>
        </w:rPr>
        <w:t>о</w:t>
      </w:r>
      <w:r w:rsidRPr="00281602">
        <w:rPr>
          <w:rFonts w:eastAsia="Calibri"/>
          <w:sz w:val="22"/>
          <w:szCs w:val="22"/>
          <w:lang w:eastAsia="en-US"/>
        </w:rPr>
        <w:t>гов–профконсультантов, специалистов по развитию персонала. Функции программы: интерактивная визуализация диагностическ</w:t>
      </w:r>
      <w:r w:rsidRPr="00281602">
        <w:rPr>
          <w:rFonts w:eastAsia="Calibri"/>
          <w:sz w:val="22"/>
          <w:szCs w:val="22"/>
          <w:lang w:eastAsia="en-US"/>
        </w:rPr>
        <w:t>о</w:t>
      </w:r>
      <w:r w:rsidRPr="00281602">
        <w:rPr>
          <w:rFonts w:eastAsia="Calibri"/>
          <w:sz w:val="22"/>
          <w:szCs w:val="22"/>
          <w:lang w:eastAsia="en-US"/>
        </w:rPr>
        <w:t>го профиля клиента профессионально ориентационной консульт</w:t>
      </w:r>
      <w:r w:rsidRPr="00281602">
        <w:rPr>
          <w:rFonts w:eastAsia="Calibri"/>
          <w:sz w:val="22"/>
          <w:szCs w:val="22"/>
          <w:lang w:eastAsia="en-US"/>
        </w:rPr>
        <w:t>а</w:t>
      </w:r>
      <w:r w:rsidRPr="00281602">
        <w:rPr>
          <w:rFonts w:eastAsia="Calibri"/>
          <w:sz w:val="22"/>
          <w:szCs w:val="22"/>
          <w:lang w:eastAsia="en-US"/>
        </w:rPr>
        <w:t>ции, предоставление справочной информации по профессиям и специальностям.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3. Система тестирования </w:t>
      </w:r>
      <w:r w:rsidRPr="00281602">
        <w:rPr>
          <w:rFonts w:eastAsia="Calibri"/>
          <w:sz w:val="22"/>
          <w:szCs w:val="22"/>
          <w:lang w:val="en-US" w:eastAsia="en-US"/>
        </w:rPr>
        <w:t>MAINTEST</w:t>
      </w:r>
      <w:r w:rsidRPr="00281602">
        <w:rPr>
          <w:rFonts w:eastAsia="Calibri"/>
          <w:sz w:val="22"/>
          <w:szCs w:val="22"/>
          <w:lang w:eastAsia="en-US"/>
        </w:rPr>
        <w:t>: КОНКОМ позволяет с</w:t>
      </w:r>
      <w:r w:rsidRPr="00281602">
        <w:rPr>
          <w:rFonts w:eastAsia="Calibri"/>
          <w:sz w:val="22"/>
          <w:szCs w:val="22"/>
          <w:lang w:eastAsia="en-US"/>
        </w:rPr>
        <w:t>о</w:t>
      </w:r>
      <w:r w:rsidRPr="00281602">
        <w:rPr>
          <w:rFonts w:eastAsia="Calibri"/>
          <w:sz w:val="22"/>
          <w:szCs w:val="22"/>
          <w:lang w:eastAsia="en-US"/>
        </w:rPr>
        <w:t>здавать отчеты в виде индивидуального профиля компетенций на основании результатов тестов для принятия оперативных управле</w:t>
      </w:r>
      <w:r w:rsidRPr="00281602">
        <w:rPr>
          <w:rFonts w:eastAsia="Calibri"/>
          <w:sz w:val="22"/>
          <w:szCs w:val="22"/>
          <w:lang w:eastAsia="en-US"/>
        </w:rPr>
        <w:t>н</w:t>
      </w:r>
      <w:r w:rsidRPr="00281602">
        <w:rPr>
          <w:rFonts w:eastAsia="Calibri"/>
          <w:sz w:val="22"/>
          <w:szCs w:val="22"/>
          <w:lang w:eastAsia="en-US"/>
        </w:rPr>
        <w:t>ческих решений. Предназначена для использования работниками кадровых служб организаций. Функции программы: расстановка кадров; конкурсный отбор, составление планов обучения и развития персонала.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4. Система </w:t>
      </w:r>
      <w:r w:rsidRPr="00281602">
        <w:rPr>
          <w:rFonts w:eastAsia="Calibri"/>
          <w:sz w:val="22"/>
          <w:szCs w:val="22"/>
          <w:lang w:val="en-US" w:eastAsia="en-US"/>
        </w:rPr>
        <w:t>PSI</w:t>
      </w:r>
      <w:r w:rsidRPr="00281602">
        <w:rPr>
          <w:rFonts w:eastAsia="Calibri"/>
          <w:sz w:val="22"/>
          <w:szCs w:val="22"/>
          <w:lang w:eastAsia="en-US"/>
        </w:rPr>
        <w:t>-КАРТА – система количественной экспресс д</w:t>
      </w:r>
      <w:r w:rsidRPr="00281602">
        <w:rPr>
          <w:rFonts w:eastAsia="Calibri"/>
          <w:sz w:val="22"/>
          <w:szCs w:val="22"/>
          <w:lang w:eastAsia="en-US"/>
        </w:rPr>
        <w:t>и</w:t>
      </w:r>
      <w:r w:rsidRPr="00281602">
        <w:rPr>
          <w:rFonts w:eastAsia="Calibri"/>
          <w:sz w:val="22"/>
          <w:szCs w:val="22"/>
          <w:lang w:eastAsia="en-US"/>
        </w:rPr>
        <w:t>агностики для отбора кандидатов на типовые управленческие и и</w:t>
      </w:r>
      <w:r w:rsidRPr="00281602">
        <w:rPr>
          <w:rFonts w:eastAsia="Calibri"/>
          <w:sz w:val="22"/>
          <w:szCs w:val="22"/>
          <w:lang w:eastAsia="en-US"/>
        </w:rPr>
        <w:t>с</w:t>
      </w:r>
      <w:r w:rsidRPr="00281602">
        <w:rPr>
          <w:rFonts w:eastAsia="Calibri"/>
          <w:sz w:val="22"/>
          <w:szCs w:val="22"/>
          <w:lang w:eastAsia="en-US"/>
        </w:rPr>
        <w:t xml:space="preserve">полнительские позиции и для кадрового мониторинга служащих. Функции программы: составление должностных </w:t>
      </w:r>
      <w:r w:rsidRPr="00281602">
        <w:rPr>
          <w:rFonts w:eastAsia="Calibri"/>
          <w:sz w:val="22"/>
          <w:szCs w:val="22"/>
          <w:lang w:val="en-US" w:eastAsia="en-US"/>
        </w:rPr>
        <w:t>PSI</w:t>
      </w:r>
      <w:r w:rsidRPr="00281602">
        <w:rPr>
          <w:rFonts w:eastAsia="Calibri"/>
          <w:sz w:val="22"/>
          <w:szCs w:val="22"/>
          <w:lang w:eastAsia="en-US"/>
        </w:rPr>
        <w:t>-карт для при</w:t>
      </w:r>
      <w:r w:rsidRPr="00281602">
        <w:rPr>
          <w:rFonts w:eastAsia="Calibri"/>
          <w:sz w:val="22"/>
          <w:szCs w:val="22"/>
          <w:lang w:eastAsia="en-US"/>
        </w:rPr>
        <w:t>е</w:t>
      </w:r>
      <w:r w:rsidRPr="00281602">
        <w:rPr>
          <w:rFonts w:eastAsia="Calibri"/>
          <w:sz w:val="22"/>
          <w:szCs w:val="22"/>
          <w:lang w:eastAsia="en-US"/>
        </w:rPr>
        <w:t>ма на работу; подстройки их критериев требованиям конкретной организации; хранения и сравнение между собой полученных да</w:t>
      </w:r>
      <w:r w:rsidRPr="00281602">
        <w:rPr>
          <w:rFonts w:eastAsia="Calibri"/>
          <w:sz w:val="22"/>
          <w:szCs w:val="22"/>
          <w:lang w:eastAsia="en-US"/>
        </w:rPr>
        <w:t>н</w:t>
      </w:r>
      <w:r w:rsidRPr="00281602">
        <w:rPr>
          <w:rFonts w:eastAsia="Calibri"/>
          <w:sz w:val="22"/>
          <w:szCs w:val="22"/>
          <w:lang w:eastAsia="en-US"/>
        </w:rPr>
        <w:t>ных; проведения психологического тестирования тех качеств, оце</w:t>
      </w:r>
      <w:r w:rsidRPr="00281602">
        <w:rPr>
          <w:rFonts w:eastAsia="Calibri"/>
          <w:sz w:val="22"/>
          <w:szCs w:val="22"/>
          <w:lang w:eastAsia="en-US"/>
        </w:rPr>
        <w:t>н</w:t>
      </w:r>
      <w:r w:rsidRPr="00281602">
        <w:rPr>
          <w:rFonts w:eastAsia="Calibri"/>
          <w:sz w:val="22"/>
          <w:szCs w:val="22"/>
          <w:lang w:eastAsia="en-US"/>
        </w:rPr>
        <w:t xml:space="preserve">ка которых находится в компетенции психолога, осуществление </w:t>
      </w:r>
      <w:r w:rsidRPr="00281602">
        <w:rPr>
          <w:rFonts w:eastAsia="Calibri"/>
          <w:sz w:val="22"/>
          <w:szCs w:val="22"/>
          <w:lang w:eastAsia="en-US"/>
        </w:rPr>
        <w:lastRenderedPageBreak/>
        <w:t>мониторинга успешности профессиональной деятельности от</w:t>
      </w:r>
      <w:r w:rsidRPr="00281602">
        <w:rPr>
          <w:rFonts w:eastAsia="Calibri"/>
          <w:sz w:val="22"/>
          <w:szCs w:val="22"/>
          <w:lang w:eastAsia="en-US"/>
        </w:rPr>
        <w:t>о</w:t>
      </w:r>
      <w:r w:rsidRPr="00281602">
        <w:rPr>
          <w:rFonts w:eastAsia="Calibri"/>
          <w:sz w:val="22"/>
          <w:szCs w:val="22"/>
          <w:lang w:eastAsia="en-US"/>
        </w:rPr>
        <w:t>бранных сотрудников с помощью процедуры аттестации.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Проанализировав различные системы автоматизированного процесса подбора персонала следует отметить наиболее комплек</w:t>
      </w:r>
      <w:r w:rsidRPr="00281602">
        <w:rPr>
          <w:rFonts w:eastAsia="Calibri"/>
          <w:sz w:val="22"/>
          <w:szCs w:val="22"/>
          <w:lang w:eastAsia="en-US"/>
        </w:rPr>
        <w:t>с</w:t>
      </w:r>
      <w:r w:rsidRPr="00281602">
        <w:rPr>
          <w:rFonts w:eastAsia="Calibri"/>
          <w:sz w:val="22"/>
          <w:szCs w:val="22"/>
          <w:lang w:eastAsia="en-US"/>
        </w:rPr>
        <w:t>ной и многофункциональной является программное обеспечение ТЕЗАЛ [3]. Она является экспертной системой, которая позволяет выбрать лучшего кандидата из возможных. Система используется руководителями и специалистами кадровых служб при решении задач отбора персонала, анализа межличностных отношений в ко</w:t>
      </w:r>
      <w:r w:rsidRPr="00281602">
        <w:rPr>
          <w:rFonts w:eastAsia="Calibri"/>
          <w:sz w:val="22"/>
          <w:szCs w:val="22"/>
          <w:lang w:eastAsia="en-US"/>
        </w:rPr>
        <w:t>л</w:t>
      </w:r>
      <w:r w:rsidRPr="00281602">
        <w:rPr>
          <w:rFonts w:eastAsia="Calibri"/>
          <w:sz w:val="22"/>
          <w:szCs w:val="22"/>
          <w:lang w:eastAsia="en-US"/>
        </w:rPr>
        <w:t>лективе, ведении базы данных по кадрам [4]. В ней хранятся свед</w:t>
      </w:r>
      <w:r w:rsidRPr="00281602">
        <w:rPr>
          <w:rFonts w:eastAsia="Calibri"/>
          <w:sz w:val="22"/>
          <w:szCs w:val="22"/>
          <w:lang w:eastAsia="en-US"/>
        </w:rPr>
        <w:t>е</w:t>
      </w:r>
      <w:r w:rsidRPr="00281602">
        <w:rPr>
          <w:rFonts w:eastAsia="Calibri"/>
          <w:sz w:val="22"/>
          <w:szCs w:val="22"/>
          <w:lang w:eastAsia="en-US"/>
        </w:rPr>
        <w:t>ния о личностных характеристиках людей, полученных в результате соответствующего тестирования.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систему включены разнообразные тесты, позволяют выявить уровень профессиональной квалификации работников, их психоф</w:t>
      </w:r>
      <w:r w:rsidRPr="00281602">
        <w:rPr>
          <w:rFonts w:eastAsia="Calibri"/>
          <w:sz w:val="22"/>
          <w:szCs w:val="22"/>
          <w:lang w:eastAsia="en-US"/>
        </w:rPr>
        <w:t>и</w:t>
      </w:r>
      <w:r w:rsidRPr="00281602">
        <w:rPr>
          <w:rFonts w:eastAsia="Calibri"/>
          <w:sz w:val="22"/>
          <w:szCs w:val="22"/>
          <w:lang w:eastAsia="en-US"/>
        </w:rPr>
        <w:t>зиологические параметры. А также проследить за динамикой изм</w:t>
      </w:r>
      <w:r w:rsidRPr="00281602">
        <w:rPr>
          <w:rFonts w:eastAsia="Calibri"/>
          <w:sz w:val="22"/>
          <w:szCs w:val="22"/>
          <w:lang w:eastAsia="en-US"/>
        </w:rPr>
        <w:t>е</w:t>
      </w:r>
      <w:r w:rsidRPr="00281602">
        <w:rPr>
          <w:rFonts w:eastAsia="Calibri"/>
          <w:sz w:val="22"/>
          <w:szCs w:val="22"/>
          <w:lang w:eastAsia="en-US"/>
        </w:rPr>
        <w:t>нения определенных характеристик, чтобы выделить те из них, к</w:t>
      </w:r>
      <w:r w:rsidRPr="00281602">
        <w:rPr>
          <w:rFonts w:eastAsia="Calibri"/>
          <w:sz w:val="22"/>
          <w:szCs w:val="22"/>
          <w:lang w:eastAsia="en-US"/>
        </w:rPr>
        <w:t>о</w:t>
      </w:r>
      <w:r w:rsidRPr="00281602">
        <w:rPr>
          <w:rFonts w:eastAsia="Calibri"/>
          <w:sz w:val="22"/>
          <w:szCs w:val="22"/>
          <w:lang w:eastAsia="en-US"/>
        </w:rPr>
        <w:t>торые имеют отклонения от общепринятых общественных норм [5]. Программное обеспечение ТЕЗАЛ имеет ряд преимуществ среди программных продуктов подобного класса, так как объединяет в себе несколько важных функций кадрового менеджмента, а именно вопросов, входящих в круг задач процесса подбора персонала.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Лукьяненко Т.В. Формирование стратегии развития социал</w:t>
      </w:r>
      <w:r w:rsidRPr="00281602">
        <w:rPr>
          <w:rFonts w:eastAsia="Calibri"/>
          <w:sz w:val="22"/>
          <w:szCs w:val="22"/>
          <w:lang w:eastAsia="en-US"/>
        </w:rPr>
        <w:t>ь</w:t>
      </w:r>
      <w:r w:rsidRPr="00281602">
        <w:rPr>
          <w:rFonts w:eastAsia="Calibri"/>
          <w:sz w:val="22"/>
          <w:szCs w:val="22"/>
          <w:lang w:eastAsia="en-US"/>
        </w:rPr>
        <w:t>но-экономической системы в условиях ограниченности ресурсов / Т.В. Лукьяненко, А.Г. Дмитриева // Политематический сетевой электронный научный журнал Кубанского государственного агра</w:t>
      </w:r>
      <w:r w:rsidRPr="00281602">
        <w:rPr>
          <w:rFonts w:eastAsia="Calibri"/>
          <w:sz w:val="22"/>
          <w:szCs w:val="22"/>
          <w:lang w:eastAsia="en-US"/>
        </w:rPr>
        <w:t>р</w:t>
      </w:r>
      <w:r w:rsidRPr="00281602">
        <w:rPr>
          <w:rFonts w:eastAsia="Calibri"/>
          <w:sz w:val="22"/>
          <w:szCs w:val="22"/>
          <w:lang w:eastAsia="en-US"/>
        </w:rPr>
        <w:t>ного университета (Научный журнал КубГАУ) [Электронный р</w:t>
      </w:r>
      <w:r w:rsidRPr="00281602">
        <w:rPr>
          <w:rFonts w:eastAsia="Calibri"/>
          <w:sz w:val="22"/>
          <w:szCs w:val="22"/>
          <w:lang w:eastAsia="en-US"/>
        </w:rPr>
        <w:t>е</w:t>
      </w:r>
      <w:r w:rsidRPr="00281602">
        <w:rPr>
          <w:rFonts w:eastAsia="Calibri"/>
          <w:sz w:val="22"/>
          <w:szCs w:val="22"/>
          <w:lang w:eastAsia="en-US"/>
        </w:rPr>
        <w:t>сурс]. – Краснодар: КубГАУ, 2015. – №06(110). С. 1178 – 1192.</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2. Лядский В.В. </w:t>
      </w:r>
      <w:hyperlink r:id="rId145" w:history="1">
        <w:r w:rsidRPr="00281602">
          <w:rPr>
            <w:rFonts w:eastAsia="Calibri"/>
            <w:sz w:val="22"/>
            <w:szCs w:val="22"/>
            <w:lang w:eastAsia="en-US"/>
          </w:rPr>
          <w:t>Разработка приложения «Кадры» с использ</w:t>
        </w:r>
        <w:r w:rsidRPr="00281602">
          <w:rPr>
            <w:rFonts w:eastAsia="Calibri"/>
            <w:sz w:val="22"/>
            <w:szCs w:val="22"/>
            <w:lang w:eastAsia="en-US"/>
          </w:rPr>
          <w:t>о</w:t>
        </w:r>
        <w:r w:rsidRPr="00281602">
          <w:rPr>
            <w:rFonts w:eastAsia="Calibri"/>
            <w:sz w:val="22"/>
            <w:szCs w:val="22"/>
            <w:lang w:eastAsia="en-US"/>
          </w:rPr>
          <w:t>ванием механизма покомпонентной оценки резюме</w:t>
        </w:r>
      </w:hyperlink>
      <w:r w:rsidRPr="00281602">
        <w:rPr>
          <w:rFonts w:eastAsia="Calibri"/>
          <w:sz w:val="22"/>
          <w:szCs w:val="22"/>
          <w:lang w:eastAsia="en-US"/>
        </w:rPr>
        <w:t xml:space="preserve"> / В.В. Лядский, Т.В. Лукьяненко // Научное обеспечение агропромышленного ко</w:t>
      </w:r>
      <w:r w:rsidRPr="00281602">
        <w:rPr>
          <w:rFonts w:eastAsia="Calibri"/>
          <w:sz w:val="22"/>
          <w:szCs w:val="22"/>
          <w:lang w:eastAsia="en-US"/>
        </w:rPr>
        <w:t>м</w:t>
      </w:r>
      <w:r w:rsidRPr="00281602">
        <w:rPr>
          <w:rFonts w:eastAsia="Calibri"/>
          <w:sz w:val="22"/>
          <w:szCs w:val="22"/>
          <w:lang w:eastAsia="en-US"/>
        </w:rPr>
        <w:t>плекса : сб. ст. по материалам 71-й науч.-практ. конф. студентов по итогам НИР за 2015 год. – Краснодар: КубГАУ, 2016. – С. 387–389.</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3. Костенко И. В. Выбор методов анализа при обработке да</w:t>
      </w:r>
      <w:r w:rsidRPr="00281602">
        <w:rPr>
          <w:rFonts w:eastAsia="Calibri"/>
          <w:sz w:val="22"/>
          <w:szCs w:val="22"/>
          <w:lang w:eastAsia="en-US"/>
        </w:rPr>
        <w:t>н</w:t>
      </w:r>
      <w:r w:rsidRPr="00281602">
        <w:rPr>
          <w:rFonts w:eastAsia="Calibri"/>
          <w:sz w:val="22"/>
          <w:szCs w:val="22"/>
          <w:lang w:eastAsia="en-US"/>
        </w:rPr>
        <w:t>ных в научных исследованиях / Т. А. Крамаренко, И. В. Костенко // Научное обеспечение агропромышленного комплекса : сб. ст. по материалам Х Всерос. конф. молодых ученых, посвященной 120-</w:t>
      </w:r>
      <w:r w:rsidRPr="00281602">
        <w:rPr>
          <w:rFonts w:eastAsia="Calibri"/>
          <w:sz w:val="22"/>
          <w:szCs w:val="22"/>
          <w:lang w:eastAsia="en-US"/>
        </w:rPr>
        <w:lastRenderedPageBreak/>
        <w:t>летию И. С. Косенко. Отв. за вып. А. Г. Кощаев. – Красн</w:t>
      </w:r>
      <w:r w:rsidRPr="00281602">
        <w:rPr>
          <w:rFonts w:eastAsia="Calibri"/>
          <w:sz w:val="22"/>
          <w:szCs w:val="22"/>
          <w:lang w:eastAsia="en-US"/>
        </w:rPr>
        <w:t>о</w:t>
      </w:r>
      <w:r w:rsidRPr="00281602">
        <w:rPr>
          <w:rFonts w:eastAsia="Calibri"/>
          <w:sz w:val="22"/>
          <w:szCs w:val="22"/>
          <w:lang w:eastAsia="en-US"/>
        </w:rPr>
        <w:t>дар :КубГАУ, 2017. – С. 428–429.</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4. Рубцов А.С. Обеспечение безопасности VBA-приложений / А.С. Рубцов, Т.А. Крамаренко, Т.В. Лукьяненко // Информационное общество: современное состояние и перспективы развития : сб. м</w:t>
      </w:r>
      <w:r w:rsidRPr="00281602">
        <w:rPr>
          <w:rFonts w:eastAsia="Calibri"/>
          <w:sz w:val="22"/>
          <w:szCs w:val="22"/>
          <w:lang w:eastAsia="en-US"/>
        </w:rPr>
        <w:t>а</w:t>
      </w:r>
      <w:r w:rsidRPr="00281602">
        <w:rPr>
          <w:rFonts w:eastAsia="Calibri"/>
          <w:sz w:val="22"/>
          <w:szCs w:val="22"/>
          <w:lang w:eastAsia="en-US"/>
        </w:rPr>
        <w:t>териалов IX студенческого Междунар. форума. – Краснодар :КубГАУ, 2017. – С. 335–337.</w:t>
      </w:r>
    </w:p>
    <w:p w:rsidR="00281602" w:rsidRPr="00281602" w:rsidRDefault="00281602" w:rsidP="00281602">
      <w:pPr>
        <w:ind w:firstLine="425"/>
        <w:jc w:val="both"/>
        <w:rPr>
          <w:rFonts w:eastAsia="Calibri"/>
          <w:b/>
          <w:color w:val="1A1A1A"/>
          <w:sz w:val="22"/>
          <w:szCs w:val="22"/>
          <w:lang w:eastAsia="en-US"/>
        </w:rPr>
      </w:pPr>
    </w:p>
    <w:p w:rsidR="00281602" w:rsidRDefault="00281602" w:rsidP="00281602">
      <w:pPr>
        <w:ind w:firstLine="425"/>
        <w:jc w:val="both"/>
        <w:rPr>
          <w:rFonts w:eastAsia="Calibri"/>
          <w:b/>
          <w:color w:val="1A1A1A"/>
          <w:sz w:val="22"/>
          <w:szCs w:val="22"/>
          <w:lang w:eastAsia="en-US"/>
        </w:rPr>
      </w:pPr>
    </w:p>
    <w:p w:rsidR="00A35AC1" w:rsidRPr="00281602" w:rsidRDefault="00A35AC1" w:rsidP="00281602">
      <w:pPr>
        <w:ind w:firstLine="425"/>
        <w:jc w:val="both"/>
        <w:rPr>
          <w:rFonts w:eastAsia="Calibri"/>
          <w:b/>
          <w:color w:val="1A1A1A"/>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004.051:[004.3+004.4]</w:t>
      </w:r>
    </w:p>
    <w:p w:rsidR="00281602" w:rsidRPr="00281602" w:rsidRDefault="00281602" w:rsidP="00281602">
      <w:pPr>
        <w:ind w:firstLine="425"/>
        <w:jc w:val="both"/>
        <w:rPr>
          <w:rFonts w:eastAsia="Calibri"/>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Вопросы соответствия </w:t>
      </w:r>
      <w:r w:rsidRPr="00281602">
        <w:rPr>
          <w:rFonts w:eastAsia="Calibri"/>
          <w:b/>
          <w:sz w:val="24"/>
          <w:szCs w:val="24"/>
          <w:lang w:val="en-US" w:eastAsia="en-US"/>
        </w:rPr>
        <w:t>IT</w:t>
      </w:r>
      <w:r w:rsidRPr="00281602">
        <w:rPr>
          <w:rFonts w:eastAsia="Calibri"/>
          <w:b/>
          <w:sz w:val="24"/>
          <w:szCs w:val="24"/>
          <w:lang w:eastAsia="en-US"/>
        </w:rPr>
        <w:t>-инфраструктуры иностранных компаний Закону №152-ФЗ «О персональных данных»</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The compliance of the IT-infrastructure of foreign companies with the Law No.152-FZ "About Personal Data"</w:t>
      </w:r>
    </w:p>
    <w:p w:rsidR="00281602" w:rsidRPr="00281602" w:rsidRDefault="00281602" w:rsidP="00281602">
      <w:pPr>
        <w:ind w:firstLine="425"/>
        <w:jc w:val="both"/>
        <w:rPr>
          <w:rFonts w:eastAsia="Calibri"/>
          <w:b/>
          <w:sz w:val="24"/>
          <w:szCs w:val="24"/>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Галат И. 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магистрант 2-го курса факультета прикладной информатики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Кубанский государственный аграрный </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ind w:firstLine="425"/>
        <w:jc w:val="right"/>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Действие Закона №152-ФЗ «О персональных данных» накладывает существенные ограничения на хранение и обработку данных. Особенно сильное влияние данный закон оказ</w:t>
      </w:r>
      <w:r w:rsidRPr="00281602">
        <w:rPr>
          <w:rFonts w:eastAsia="Calibri"/>
          <w:sz w:val="22"/>
          <w:szCs w:val="22"/>
          <w:lang w:eastAsia="en-US"/>
        </w:rPr>
        <w:t>ы</w:t>
      </w:r>
      <w:r w:rsidRPr="00281602">
        <w:rPr>
          <w:rFonts w:eastAsia="Calibri"/>
          <w:sz w:val="22"/>
          <w:szCs w:val="22"/>
          <w:lang w:eastAsia="en-US"/>
        </w:rPr>
        <w:t>вает на функционирование иностранных организаций.</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The applying of Law No. 152-FZ "About Personal Data" imposes significant restrictions on the storage and processing of data. This law has a particularly significant impact on the functioning of foreign organizations.</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миграция инфраструктуры, информац</w:t>
      </w:r>
      <w:r w:rsidRPr="00281602">
        <w:rPr>
          <w:rFonts w:eastAsia="Calibri"/>
          <w:sz w:val="22"/>
          <w:szCs w:val="22"/>
          <w:lang w:eastAsia="en-US"/>
        </w:rPr>
        <w:t>и</w:t>
      </w:r>
      <w:r w:rsidRPr="00281602">
        <w:rPr>
          <w:rFonts w:eastAsia="Calibri"/>
          <w:sz w:val="22"/>
          <w:szCs w:val="22"/>
          <w:lang w:eastAsia="en-US"/>
        </w:rPr>
        <w:t>онная инфраструктура, персональные данные.</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infrastructure migration, information infrastructure, personal data.</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Сложившаяся экономическая обстановка достаточно сильно сказывается на российском бизнесе в целом и отрасли информац</w:t>
      </w:r>
      <w:r w:rsidRPr="00281602">
        <w:rPr>
          <w:rFonts w:eastAsia="Calibri"/>
          <w:sz w:val="22"/>
          <w:szCs w:val="22"/>
          <w:lang w:eastAsia="en-US"/>
        </w:rPr>
        <w:t>и</w:t>
      </w:r>
      <w:r w:rsidRPr="00281602">
        <w:rPr>
          <w:rFonts w:eastAsia="Calibri"/>
          <w:sz w:val="22"/>
          <w:szCs w:val="22"/>
          <w:lang w:eastAsia="en-US"/>
        </w:rPr>
        <w:lastRenderedPageBreak/>
        <w:t>онных технологий в частности. Популярным сейчас способом сн</w:t>
      </w:r>
      <w:r w:rsidRPr="00281602">
        <w:rPr>
          <w:rFonts w:eastAsia="Calibri"/>
          <w:sz w:val="22"/>
          <w:szCs w:val="22"/>
          <w:lang w:eastAsia="en-US"/>
        </w:rPr>
        <w:t>и</w:t>
      </w:r>
      <w:r w:rsidRPr="00281602">
        <w:rPr>
          <w:rFonts w:eastAsia="Calibri"/>
          <w:sz w:val="22"/>
          <w:szCs w:val="22"/>
          <w:lang w:eastAsia="en-US"/>
        </w:rPr>
        <w:t xml:space="preserve">жения издержек в компаниях является экономия на </w:t>
      </w:r>
      <w:r w:rsidRPr="00281602">
        <w:rPr>
          <w:rFonts w:eastAsia="Calibri"/>
          <w:sz w:val="22"/>
          <w:szCs w:val="22"/>
          <w:lang w:val="en-US" w:eastAsia="en-US"/>
        </w:rPr>
        <w:t>IT</w:t>
      </w:r>
      <w:r w:rsidRPr="00281602">
        <w:rPr>
          <w:rFonts w:eastAsia="Calibri"/>
          <w:sz w:val="22"/>
          <w:szCs w:val="22"/>
          <w:lang w:eastAsia="en-US"/>
        </w:rPr>
        <w:t>-инфраструктуре. Одна из возможностей – обратиться к услугам х</w:t>
      </w:r>
      <w:r w:rsidRPr="00281602">
        <w:rPr>
          <w:rFonts w:eastAsia="Calibri"/>
          <w:sz w:val="22"/>
          <w:szCs w:val="22"/>
          <w:lang w:eastAsia="en-US"/>
        </w:rPr>
        <w:t>о</w:t>
      </w:r>
      <w:r w:rsidRPr="00281602">
        <w:rPr>
          <w:rFonts w:eastAsia="Calibri"/>
          <w:sz w:val="22"/>
          <w:szCs w:val="22"/>
          <w:lang w:eastAsia="en-US"/>
        </w:rPr>
        <w:t>стинг-провайдеров, которые предлагают размещение данных и даже полноценных рабочих мест сотрудников на своих мощностях.</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Для иностранных компаний, ведущих бизнес в России, так же является проблемой необходимость учитывать требования закона №152-ФЗ «О персональных данных», что подталкивает их разм</w:t>
      </w:r>
      <w:r w:rsidRPr="00281602">
        <w:rPr>
          <w:rFonts w:eastAsia="Calibri"/>
          <w:sz w:val="22"/>
          <w:szCs w:val="22"/>
          <w:lang w:eastAsia="en-US"/>
        </w:rPr>
        <w:t>е</w:t>
      </w:r>
      <w:r w:rsidRPr="00281602">
        <w:rPr>
          <w:rFonts w:eastAsia="Calibri"/>
          <w:sz w:val="22"/>
          <w:szCs w:val="22"/>
          <w:lang w:eastAsia="en-US"/>
        </w:rPr>
        <w:t>щать свои данные в облаке провайдера. Например, закон обязывает: брать согласие на обработку, хранение и передачу данных третьим лицами; собирать только тот перечень данных, который необходим для работы с клиентом; удалять все данные клиента по его запросу; оберегать данные клиента от воздействия третьими лицами.</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В зависимости от типа хранимых и обрабатываемых данных, требования закона могут меняться. Например, в случае работы с конфиденциальной информацией уже требуется лицензия ФСТЭК, а с государственной тайной – ФСБ.</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Одним из камней преткновения является и пункт о трансгр</w:t>
      </w:r>
      <w:r w:rsidRPr="00281602">
        <w:rPr>
          <w:rFonts w:eastAsia="Calibri"/>
          <w:sz w:val="22"/>
          <w:szCs w:val="22"/>
          <w:lang w:eastAsia="en-US"/>
        </w:rPr>
        <w:t>а</w:t>
      </w:r>
      <w:r w:rsidRPr="00281602">
        <w:rPr>
          <w:rFonts w:eastAsia="Calibri"/>
          <w:sz w:val="22"/>
          <w:szCs w:val="22"/>
          <w:lang w:eastAsia="en-US"/>
        </w:rPr>
        <w:t>ничной передаче данных, который усложняет процесс передачи персональных данных на заграничные серверы.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целом, данный закон преследует благие цели: повысить ур</w:t>
      </w:r>
      <w:r w:rsidRPr="00281602">
        <w:rPr>
          <w:rFonts w:eastAsia="Calibri"/>
          <w:sz w:val="22"/>
          <w:szCs w:val="22"/>
          <w:lang w:eastAsia="en-US"/>
        </w:rPr>
        <w:t>о</w:t>
      </w:r>
      <w:r w:rsidRPr="00281602">
        <w:rPr>
          <w:rFonts w:eastAsia="Calibri"/>
          <w:sz w:val="22"/>
          <w:szCs w:val="22"/>
          <w:lang w:eastAsia="en-US"/>
        </w:rPr>
        <w:t>вень информационной безопасности граждан и стимулировать от</w:t>
      </w:r>
      <w:r w:rsidRPr="00281602">
        <w:rPr>
          <w:rFonts w:eastAsia="Calibri"/>
          <w:sz w:val="22"/>
          <w:szCs w:val="22"/>
          <w:lang w:eastAsia="en-US"/>
        </w:rPr>
        <w:t>е</w:t>
      </w:r>
      <w:r w:rsidRPr="00281602">
        <w:rPr>
          <w:rFonts w:eastAsia="Calibri"/>
          <w:sz w:val="22"/>
          <w:szCs w:val="22"/>
          <w:lang w:eastAsia="en-US"/>
        </w:rPr>
        <w:t>чественный рынок современных информационных технологий.</w:t>
      </w:r>
    </w:p>
    <w:p w:rsidR="00281602" w:rsidRPr="001360B4" w:rsidRDefault="00281602" w:rsidP="001360B4">
      <w:pPr>
        <w:ind w:firstLine="425"/>
        <w:jc w:val="both"/>
        <w:rPr>
          <w:rFonts w:eastAsia="Calibri"/>
          <w:sz w:val="22"/>
          <w:szCs w:val="22"/>
          <w:lang w:eastAsia="en-US"/>
        </w:rPr>
      </w:pPr>
      <w:r w:rsidRPr="00281602">
        <w:rPr>
          <w:rFonts w:eastAsia="Calibri"/>
          <w:sz w:val="22"/>
          <w:szCs w:val="22"/>
          <w:lang w:eastAsia="en-US"/>
        </w:rPr>
        <w:t>Таким образом, для того, чтобы деятельность иностранной компании полностью соответствовала букве российского закона, ее владельцы должны озаботиться не только переносом самих данных на территорию юрисдикции Российской Федерации. Логично пре</w:t>
      </w:r>
      <w:r w:rsidRPr="00281602">
        <w:rPr>
          <w:rFonts w:eastAsia="Calibri"/>
          <w:sz w:val="22"/>
          <w:szCs w:val="22"/>
          <w:lang w:eastAsia="en-US"/>
        </w:rPr>
        <w:t>д</w:t>
      </w:r>
      <w:r w:rsidRPr="00281602">
        <w:rPr>
          <w:rFonts w:eastAsia="Calibri"/>
          <w:sz w:val="22"/>
          <w:szCs w:val="22"/>
          <w:lang w:eastAsia="en-US"/>
        </w:rPr>
        <w:t>положить тот колоссальный объем инвестиций, которые должны осуществить иностранные компании, чтобы обеспечить хранение и обслуживание данных. При этом инвестиции не только в аппара</w:t>
      </w:r>
      <w:r w:rsidRPr="00281602">
        <w:rPr>
          <w:rFonts w:eastAsia="Calibri"/>
          <w:sz w:val="22"/>
          <w:szCs w:val="22"/>
          <w:lang w:eastAsia="en-US"/>
        </w:rPr>
        <w:t>т</w:t>
      </w:r>
      <w:r w:rsidRPr="00281602">
        <w:rPr>
          <w:rFonts w:eastAsia="Calibri"/>
          <w:sz w:val="22"/>
          <w:szCs w:val="22"/>
          <w:lang w:eastAsia="en-US"/>
        </w:rPr>
        <w:t>ное и программное обеспечение, но и в сотрудников соответству</w:t>
      </w:r>
      <w:r w:rsidRPr="00281602">
        <w:rPr>
          <w:rFonts w:eastAsia="Calibri"/>
          <w:sz w:val="22"/>
          <w:szCs w:val="22"/>
          <w:lang w:eastAsia="en-US"/>
        </w:rPr>
        <w:t>ю</w:t>
      </w:r>
      <w:r w:rsidRPr="00281602">
        <w:rPr>
          <w:rFonts w:eastAsia="Calibri"/>
          <w:sz w:val="22"/>
          <w:szCs w:val="22"/>
          <w:lang w:eastAsia="en-US"/>
        </w:rPr>
        <w:t>щей квалификации. При этом гарантии экономических выгод с т</w:t>
      </w:r>
      <w:r w:rsidRPr="00281602">
        <w:rPr>
          <w:rFonts w:eastAsia="Calibri"/>
          <w:sz w:val="22"/>
          <w:szCs w:val="22"/>
          <w:lang w:eastAsia="en-US"/>
        </w:rPr>
        <w:t>а</w:t>
      </w:r>
      <w:r w:rsidRPr="00281602">
        <w:rPr>
          <w:rFonts w:eastAsia="Calibri"/>
          <w:sz w:val="22"/>
          <w:szCs w:val="22"/>
          <w:lang w:eastAsia="en-US"/>
        </w:rPr>
        <w:t xml:space="preserve">ким подходом к построению </w:t>
      </w:r>
      <w:r w:rsidRPr="00281602">
        <w:rPr>
          <w:rFonts w:eastAsia="Calibri"/>
          <w:sz w:val="22"/>
          <w:szCs w:val="22"/>
          <w:lang w:val="en-US" w:eastAsia="en-US"/>
        </w:rPr>
        <w:t>IT</w:t>
      </w:r>
      <w:r w:rsidRPr="00281602">
        <w:rPr>
          <w:rFonts w:eastAsia="Calibri"/>
          <w:sz w:val="22"/>
          <w:szCs w:val="22"/>
          <w:lang w:eastAsia="en-US"/>
        </w:rPr>
        <w:t>-инфраструктуры весьма туманны. С учетом постоянно растущего объема хранимых данных (благодаря пакету законов «Яровой»), затраты становятся необоснованными. И в таких условиях единственным способом обеспечить рентабел</w:t>
      </w:r>
      <w:r w:rsidRPr="00281602">
        <w:rPr>
          <w:rFonts w:eastAsia="Calibri"/>
          <w:sz w:val="22"/>
          <w:szCs w:val="22"/>
          <w:lang w:eastAsia="en-US"/>
        </w:rPr>
        <w:t>ь</w:t>
      </w:r>
      <w:r w:rsidRPr="00281602">
        <w:rPr>
          <w:rFonts w:eastAsia="Calibri"/>
          <w:sz w:val="22"/>
          <w:szCs w:val="22"/>
          <w:lang w:eastAsia="en-US"/>
        </w:rPr>
        <w:t>ную работу с данными является миграция в облачную инфрастру</w:t>
      </w:r>
      <w:r w:rsidRPr="00281602">
        <w:rPr>
          <w:rFonts w:eastAsia="Calibri"/>
          <w:sz w:val="22"/>
          <w:szCs w:val="22"/>
          <w:lang w:eastAsia="en-US"/>
        </w:rPr>
        <w:t>к</w:t>
      </w:r>
      <w:r w:rsidRPr="00281602">
        <w:rPr>
          <w:rFonts w:eastAsia="Calibri"/>
          <w:sz w:val="22"/>
          <w:szCs w:val="22"/>
          <w:lang w:eastAsia="en-US"/>
        </w:rPr>
        <w:t>туру.</w:t>
      </w:r>
    </w:p>
    <w:p w:rsidR="00281602" w:rsidRPr="00281602" w:rsidRDefault="00281602" w:rsidP="00281602">
      <w:pPr>
        <w:ind w:firstLine="425"/>
        <w:jc w:val="center"/>
        <w:rPr>
          <w:sz w:val="22"/>
          <w:szCs w:val="22"/>
        </w:rPr>
      </w:pPr>
      <w:r w:rsidRPr="00281602">
        <w:rPr>
          <w:sz w:val="22"/>
          <w:szCs w:val="22"/>
        </w:rPr>
        <w:lastRenderedPageBreak/>
        <w:t>Список литературы</w:t>
      </w:r>
    </w:p>
    <w:p w:rsidR="00281602" w:rsidRPr="00281602" w:rsidRDefault="00A35AC1" w:rsidP="00281602">
      <w:pPr>
        <w:ind w:firstLine="425"/>
        <w:jc w:val="both"/>
        <w:rPr>
          <w:bCs/>
          <w:sz w:val="22"/>
          <w:szCs w:val="22"/>
        </w:rPr>
      </w:pPr>
      <w:r>
        <w:rPr>
          <w:bCs/>
          <w:sz w:val="22"/>
          <w:szCs w:val="22"/>
        </w:rPr>
        <w:t xml:space="preserve">1. </w:t>
      </w:r>
      <w:r w:rsidR="00281602" w:rsidRPr="00281602">
        <w:rPr>
          <w:bCs/>
          <w:sz w:val="22"/>
          <w:szCs w:val="22"/>
        </w:rPr>
        <w:t>Попок Л.Е. Проблемы внедрения информационных систем на основе технологий облачных вычислений в сельскохозяйстве</w:t>
      </w:r>
      <w:r w:rsidR="00281602" w:rsidRPr="00281602">
        <w:rPr>
          <w:bCs/>
          <w:sz w:val="22"/>
          <w:szCs w:val="22"/>
        </w:rPr>
        <w:t>н</w:t>
      </w:r>
      <w:r w:rsidR="00281602" w:rsidRPr="00281602">
        <w:rPr>
          <w:bCs/>
          <w:sz w:val="22"/>
          <w:szCs w:val="22"/>
        </w:rPr>
        <w:t>ных организациях [Текст] / Л.Е. Попок // Научное обеспечение а</w:t>
      </w:r>
      <w:r w:rsidR="00281602" w:rsidRPr="00281602">
        <w:rPr>
          <w:bCs/>
          <w:sz w:val="22"/>
          <w:szCs w:val="22"/>
        </w:rPr>
        <w:t>г</w:t>
      </w:r>
      <w:r w:rsidR="00281602" w:rsidRPr="00281602">
        <w:rPr>
          <w:bCs/>
          <w:sz w:val="22"/>
          <w:szCs w:val="22"/>
        </w:rPr>
        <w:t xml:space="preserve">ропромышленного комплекса. Сборник статей по материалам </w:t>
      </w:r>
      <w:r w:rsidR="00281602" w:rsidRPr="00281602">
        <w:rPr>
          <w:bCs/>
          <w:sz w:val="22"/>
          <w:szCs w:val="22"/>
          <w:lang w:val="en-US"/>
        </w:rPr>
        <w:t>VI</w:t>
      </w:r>
      <w:r w:rsidR="00281602" w:rsidRPr="00281602">
        <w:rPr>
          <w:bCs/>
          <w:sz w:val="22"/>
          <w:szCs w:val="22"/>
        </w:rPr>
        <w:t xml:space="preserve"> Всероссийской научно-практической конференции молодых уч</w:t>
      </w:r>
      <w:r w:rsidR="00281602" w:rsidRPr="00281602">
        <w:rPr>
          <w:bCs/>
          <w:sz w:val="22"/>
          <w:szCs w:val="22"/>
        </w:rPr>
        <w:t>е</w:t>
      </w:r>
      <w:r w:rsidR="00281602" w:rsidRPr="00281602">
        <w:rPr>
          <w:bCs/>
          <w:sz w:val="22"/>
          <w:szCs w:val="22"/>
        </w:rPr>
        <w:t>ных. – Краснодар: КубГАУ. –2012. – С. 526-228.</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Попок Л.Е. Этап оценки информационных активов в метод</w:t>
      </w:r>
      <w:r w:rsidRPr="00281602">
        <w:rPr>
          <w:rFonts w:eastAsia="Calibri"/>
          <w:sz w:val="22"/>
          <w:szCs w:val="22"/>
          <w:lang w:eastAsia="en-US"/>
        </w:rPr>
        <w:t>о</w:t>
      </w:r>
      <w:r w:rsidRPr="00281602">
        <w:rPr>
          <w:rFonts w:eastAsia="Calibri"/>
          <w:sz w:val="22"/>
          <w:szCs w:val="22"/>
          <w:lang w:eastAsia="en-US"/>
        </w:rPr>
        <w:t xml:space="preserve">логии применения технологий «Больших данных» [Текст] / </w:t>
      </w:r>
      <w:r w:rsidRPr="00281602">
        <w:rPr>
          <w:bCs/>
          <w:sz w:val="22"/>
          <w:szCs w:val="22"/>
        </w:rPr>
        <w:t>Л.Е. Попок // Научное обеспечение агропромышленного комплекса. Сборник статей по материалам 71-й научно-практической конф</w:t>
      </w:r>
      <w:r w:rsidRPr="00281602">
        <w:rPr>
          <w:bCs/>
          <w:sz w:val="22"/>
          <w:szCs w:val="22"/>
        </w:rPr>
        <w:t>е</w:t>
      </w:r>
      <w:r w:rsidRPr="00281602">
        <w:rPr>
          <w:bCs/>
          <w:sz w:val="22"/>
          <w:szCs w:val="22"/>
        </w:rPr>
        <w:t>ренции преподавателей по итогам НИР за 2015 год. – Краснодар: КубГАУ. – 2016. – С. 519-520.</w:t>
      </w:r>
    </w:p>
    <w:p w:rsidR="00281602" w:rsidRPr="00281602" w:rsidRDefault="00281602" w:rsidP="00281602">
      <w:pPr>
        <w:ind w:firstLine="425"/>
        <w:jc w:val="both"/>
        <w:rPr>
          <w:rFonts w:eastAsia="Calibri"/>
          <w:b/>
          <w:bCs/>
          <w:sz w:val="22"/>
          <w:szCs w:val="22"/>
          <w:lang w:eastAsia="en-US"/>
        </w:rPr>
      </w:pPr>
      <w:r w:rsidRPr="00281602">
        <w:rPr>
          <w:rFonts w:eastAsia="Calibri"/>
          <w:sz w:val="22"/>
          <w:szCs w:val="22"/>
          <w:lang w:eastAsia="en-US"/>
        </w:rPr>
        <w:t>3. Миграция в облако. Простые шаги для повышения эффе</w:t>
      </w:r>
      <w:r w:rsidRPr="00281602">
        <w:rPr>
          <w:rFonts w:eastAsia="Calibri"/>
          <w:sz w:val="22"/>
          <w:szCs w:val="22"/>
          <w:lang w:eastAsia="en-US"/>
        </w:rPr>
        <w:t>к</w:t>
      </w:r>
      <w:r w:rsidRPr="00281602">
        <w:rPr>
          <w:rFonts w:eastAsia="Calibri"/>
          <w:sz w:val="22"/>
          <w:szCs w:val="22"/>
          <w:lang w:eastAsia="en-US"/>
        </w:rPr>
        <w:t xml:space="preserve">тивности бизнеса  [Электронный ресурс] / Блог компании </w:t>
      </w:r>
      <w:r w:rsidRPr="00281602">
        <w:rPr>
          <w:rFonts w:eastAsia="Calibri"/>
          <w:sz w:val="22"/>
          <w:szCs w:val="22"/>
          <w:lang w:val="en-US" w:eastAsia="en-US"/>
        </w:rPr>
        <w:t>RUVDS</w:t>
      </w:r>
      <w:r w:rsidRPr="00281602">
        <w:rPr>
          <w:rFonts w:eastAsia="Calibri"/>
          <w:sz w:val="22"/>
          <w:szCs w:val="22"/>
          <w:lang w:eastAsia="en-US"/>
        </w:rPr>
        <w:t xml:space="preserve"> – режим доступа: </w:t>
      </w:r>
      <w:hyperlink r:id="rId146" w:history="1">
        <w:r w:rsidRPr="00281602">
          <w:rPr>
            <w:rFonts w:eastAsia="Calibri"/>
            <w:sz w:val="22"/>
            <w:szCs w:val="22"/>
            <w:lang w:eastAsia="en-US"/>
          </w:rPr>
          <w:t>https://habrahabr.ru/company/ruvds/blog/306734/</w:t>
        </w:r>
      </w:hyperlink>
      <w:r w:rsidRPr="00281602">
        <w:rPr>
          <w:rFonts w:eastAsia="Calibri"/>
          <w:sz w:val="22"/>
          <w:szCs w:val="22"/>
          <w:lang w:eastAsia="en-US"/>
        </w:rPr>
        <w:t xml:space="preserve"> – дата обращения: 20.03.2018.</w:t>
      </w:r>
    </w:p>
    <w:p w:rsidR="00281602" w:rsidRPr="00281602" w:rsidRDefault="00281602" w:rsidP="00281602">
      <w:pPr>
        <w:ind w:firstLine="425"/>
        <w:jc w:val="both"/>
        <w:rPr>
          <w:rFonts w:eastAsia="Calibri"/>
          <w:sz w:val="22"/>
          <w:szCs w:val="22"/>
          <w:lang w:eastAsia="en-US"/>
        </w:rPr>
      </w:pPr>
    </w:p>
    <w:p w:rsidR="00281602" w:rsidRDefault="00281602" w:rsidP="00281602">
      <w:pPr>
        <w:ind w:firstLine="425"/>
        <w:jc w:val="both"/>
        <w:rPr>
          <w:rFonts w:eastAsia="Calibri"/>
          <w:sz w:val="22"/>
          <w:szCs w:val="22"/>
          <w:lang w:eastAsia="en-US"/>
        </w:rPr>
      </w:pPr>
    </w:p>
    <w:p w:rsidR="003B37B7" w:rsidRPr="00281602" w:rsidRDefault="003B37B7" w:rsidP="00281602">
      <w:pPr>
        <w:ind w:firstLine="425"/>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004.946</w:t>
      </w:r>
    </w:p>
    <w:p w:rsidR="00281602" w:rsidRPr="00281602" w:rsidRDefault="00281602" w:rsidP="00281602">
      <w:pPr>
        <w:jc w:val="both"/>
        <w:rPr>
          <w:rFonts w:eastAsia="Calibri"/>
          <w:b/>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val="en-US" w:eastAsia="en-US"/>
        </w:rPr>
        <w:t>VR</w:t>
      </w:r>
      <w:r w:rsidRPr="00281602">
        <w:rPr>
          <w:rFonts w:eastAsia="Calibri"/>
          <w:b/>
          <w:sz w:val="24"/>
          <w:szCs w:val="24"/>
          <w:lang w:eastAsia="en-US"/>
        </w:rPr>
        <w:t>/</w:t>
      </w:r>
      <w:r w:rsidRPr="00281602">
        <w:rPr>
          <w:rFonts w:eastAsia="Calibri"/>
          <w:b/>
          <w:sz w:val="24"/>
          <w:szCs w:val="24"/>
          <w:lang w:val="en-US" w:eastAsia="en-US"/>
        </w:rPr>
        <w:t>AR</w:t>
      </w:r>
      <w:r w:rsidRPr="00281602">
        <w:rPr>
          <w:rFonts w:eastAsia="Calibri"/>
          <w:b/>
          <w:sz w:val="24"/>
          <w:szCs w:val="24"/>
          <w:lang w:eastAsia="en-US"/>
        </w:rPr>
        <w:t xml:space="preserve"> – технологии будущего в образовательном процессе студентов сельскохозяйственного вуза</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VR / AR - technologies of the future in the educational process of students of an agricultural high school</w:t>
      </w:r>
    </w:p>
    <w:p w:rsidR="00281602" w:rsidRPr="00281602" w:rsidRDefault="00281602" w:rsidP="00281602">
      <w:pPr>
        <w:ind w:firstLine="425"/>
        <w:jc w:val="both"/>
        <w:rPr>
          <w:rFonts w:eastAsia="Calibri"/>
          <w:sz w:val="24"/>
          <w:szCs w:val="24"/>
          <w:lang w:val="en-US" w:eastAsia="en-US"/>
        </w:rPr>
      </w:pPr>
    </w:p>
    <w:p w:rsidR="00281602" w:rsidRPr="00281602" w:rsidRDefault="003B37B7" w:rsidP="00281602">
      <w:pPr>
        <w:ind w:firstLine="425"/>
        <w:jc w:val="right"/>
        <w:rPr>
          <w:rFonts w:eastAsia="Calibri"/>
          <w:sz w:val="22"/>
          <w:szCs w:val="22"/>
          <w:lang w:eastAsia="en-US"/>
        </w:rPr>
      </w:pPr>
      <w:r>
        <w:rPr>
          <w:rFonts w:eastAsia="Calibri"/>
          <w:sz w:val="22"/>
          <w:szCs w:val="22"/>
          <w:lang w:eastAsia="en-US"/>
        </w:rPr>
        <w:t>Гонатаев Р. Г.,</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 2-го курса факультета прикладной информатики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w:t>
      </w:r>
      <w:r w:rsidR="003B37B7">
        <w:rPr>
          <w:rFonts w:eastAsia="Calibri"/>
          <w:sz w:val="22"/>
          <w:szCs w:val="22"/>
          <w:lang w:eastAsia="en-US"/>
        </w:rPr>
        <w:t>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ind w:firstLine="425"/>
        <w:jc w:val="right"/>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Рассмотрены вопросы применения виртуальной и дополненной реальности в образовательном процессе студентов сельскохозяйственного вуза.</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lastRenderedPageBreak/>
        <w:t>ABSTRACT: The application of virtual and augmented reality in the educational process of students of an agricultural higher educational institution is considered.</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инновационные интерактивные техн</w:t>
      </w:r>
      <w:r w:rsidRPr="00281602">
        <w:rPr>
          <w:rFonts w:eastAsia="Calibri"/>
          <w:sz w:val="22"/>
          <w:szCs w:val="22"/>
          <w:lang w:eastAsia="en-US"/>
        </w:rPr>
        <w:t>о</w:t>
      </w:r>
      <w:r w:rsidRPr="00281602">
        <w:rPr>
          <w:rFonts w:eastAsia="Calibri"/>
          <w:sz w:val="22"/>
          <w:szCs w:val="22"/>
          <w:lang w:eastAsia="en-US"/>
        </w:rPr>
        <w:t>логии, виртуальная реальность, дополненная реальность.</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innovative interactive technologies, virtual reality, augmented reality.</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качестве основных способов получения знаний в вузах и</w:t>
      </w:r>
      <w:r w:rsidRPr="00281602">
        <w:rPr>
          <w:rFonts w:eastAsia="Calibri"/>
          <w:sz w:val="22"/>
          <w:szCs w:val="22"/>
          <w:lang w:eastAsia="en-US"/>
        </w:rPr>
        <w:t>с</w:t>
      </w:r>
      <w:r w:rsidRPr="00281602">
        <w:rPr>
          <w:rFonts w:eastAsia="Calibri"/>
          <w:sz w:val="22"/>
          <w:szCs w:val="22"/>
          <w:lang w:eastAsia="en-US"/>
        </w:rPr>
        <w:t>пользуются традиционные методы обучения – прослушивание ле</w:t>
      </w:r>
      <w:r w:rsidRPr="00281602">
        <w:rPr>
          <w:rFonts w:eastAsia="Calibri"/>
          <w:sz w:val="22"/>
          <w:szCs w:val="22"/>
          <w:lang w:eastAsia="en-US"/>
        </w:rPr>
        <w:t>к</w:t>
      </w:r>
      <w:r w:rsidRPr="00281602">
        <w:rPr>
          <w:rFonts w:eastAsia="Calibri"/>
          <w:sz w:val="22"/>
          <w:szCs w:val="22"/>
          <w:lang w:eastAsia="en-US"/>
        </w:rPr>
        <w:t>ций и работа с учебными пособиями.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 сегодняшний момент перед образованием стоят важнейшие задачи внедрения и применения современных инновационных и</w:t>
      </w:r>
      <w:r w:rsidRPr="00281602">
        <w:rPr>
          <w:rFonts w:eastAsia="Calibri"/>
          <w:sz w:val="22"/>
          <w:szCs w:val="22"/>
          <w:lang w:eastAsia="en-US"/>
        </w:rPr>
        <w:t>н</w:t>
      </w:r>
      <w:r w:rsidRPr="00281602">
        <w:rPr>
          <w:rFonts w:eastAsia="Calibri"/>
          <w:sz w:val="22"/>
          <w:szCs w:val="22"/>
          <w:lang w:eastAsia="en-US"/>
        </w:rPr>
        <w:t>терактивных технологий, которые находят все большее применение в различных областях: проектирование, медицина, средства масс</w:t>
      </w:r>
      <w:r w:rsidRPr="00281602">
        <w:rPr>
          <w:rFonts w:eastAsia="Calibri"/>
          <w:sz w:val="22"/>
          <w:szCs w:val="22"/>
          <w:lang w:eastAsia="en-US"/>
        </w:rPr>
        <w:t>о</w:t>
      </w:r>
      <w:r w:rsidRPr="00281602">
        <w:rPr>
          <w:rFonts w:eastAsia="Calibri"/>
          <w:sz w:val="22"/>
          <w:szCs w:val="22"/>
          <w:lang w:eastAsia="en-US"/>
        </w:rPr>
        <w:t xml:space="preserve">вой информации, торговля. Это технологии </w:t>
      </w:r>
      <w:r w:rsidRPr="00281602">
        <w:rPr>
          <w:rFonts w:eastAsia="Calibri"/>
          <w:sz w:val="22"/>
          <w:szCs w:val="22"/>
          <w:lang w:val="en-US" w:eastAsia="en-US"/>
        </w:rPr>
        <w:t>VR</w:t>
      </w:r>
      <w:r w:rsidRPr="00281602">
        <w:rPr>
          <w:rFonts w:eastAsia="Calibri"/>
          <w:sz w:val="22"/>
          <w:szCs w:val="22"/>
          <w:lang w:eastAsia="en-US"/>
        </w:rPr>
        <w:t>/</w:t>
      </w:r>
      <w:r w:rsidRPr="00281602">
        <w:rPr>
          <w:rFonts w:eastAsia="Calibri"/>
          <w:sz w:val="22"/>
          <w:szCs w:val="22"/>
          <w:lang w:val="en-US" w:eastAsia="en-US"/>
        </w:rPr>
        <w:t>AR</w:t>
      </w:r>
      <w:r w:rsidRPr="00281602">
        <w:rPr>
          <w:rFonts w:eastAsia="Calibri"/>
          <w:sz w:val="22"/>
          <w:szCs w:val="22"/>
          <w:lang w:eastAsia="en-US"/>
        </w:rPr>
        <w:t xml:space="preserve"> – технологии виртуальной и дополненной реальности.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Регулярное появление новых программно-аппаратных средств  дополненной и виртуальной реальности позволяют находить все новые и новые сферы применения их возможностей.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Виртуальная реальность – это технология, построенная на о</w:t>
      </w:r>
      <w:r w:rsidRPr="00281602">
        <w:rPr>
          <w:rFonts w:eastAsia="Calibri"/>
          <w:sz w:val="22"/>
          <w:szCs w:val="22"/>
          <w:lang w:eastAsia="en-US"/>
        </w:rPr>
        <w:t>с</w:t>
      </w:r>
      <w:r w:rsidRPr="00281602">
        <w:rPr>
          <w:rFonts w:eastAsia="Calibri"/>
          <w:sz w:val="22"/>
          <w:szCs w:val="22"/>
          <w:lang w:eastAsia="en-US"/>
        </w:rPr>
        <w:t>нове современных компьютерных технологий.  Дополненная реал</w:t>
      </w:r>
      <w:r w:rsidRPr="00281602">
        <w:rPr>
          <w:rFonts w:eastAsia="Calibri"/>
          <w:sz w:val="22"/>
          <w:szCs w:val="22"/>
          <w:lang w:eastAsia="en-US"/>
        </w:rPr>
        <w:t>ь</w:t>
      </w:r>
      <w:r w:rsidRPr="00281602">
        <w:rPr>
          <w:rFonts w:eastAsia="Calibri"/>
          <w:sz w:val="22"/>
          <w:szCs w:val="22"/>
          <w:lang w:eastAsia="en-US"/>
        </w:rPr>
        <w:t>ность – это технология интерактивной визуализации, которая д</w:t>
      </w:r>
      <w:r w:rsidRPr="00281602">
        <w:rPr>
          <w:rFonts w:eastAsia="Calibri"/>
          <w:sz w:val="22"/>
          <w:szCs w:val="22"/>
          <w:lang w:eastAsia="en-US"/>
        </w:rPr>
        <w:t>о</w:t>
      </w:r>
      <w:r w:rsidRPr="00281602">
        <w:rPr>
          <w:rFonts w:eastAsia="Calibri"/>
          <w:sz w:val="22"/>
          <w:szCs w:val="22"/>
          <w:lang w:eastAsia="en-US"/>
        </w:rPr>
        <w:t>полняется виртуальными элементами.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использования технологии виртуальной реальности нео</w:t>
      </w:r>
      <w:r w:rsidRPr="00281602">
        <w:rPr>
          <w:rFonts w:eastAsia="Calibri"/>
          <w:sz w:val="22"/>
          <w:szCs w:val="22"/>
          <w:lang w:eastAsia="en-US"/>
        </w:rPr>
        <w:t>б</w:t>
      </w:r>
      <w:r w:rsidRPr="00281602">
        <w:rPr>
          <w:rFonts w:eastAsia="Calibri"/>
          <w:sz w:val="22"/>
          <w:szCs w:val="22"/>
          <w:lang w:eastAsia="en-US"/>
        </w:rPr>
        <w:t>ходимо достаточно дорогостоящее оборудование – шлемы вирт</w:t>
      </w:r>
      <w:r w:rsidRPr="00281602">
        <w:rPr>
          <w:rFonts w:eastAsia="Calibri"/>
          <w:sz w:val="22"/>
          <w:szCs w:val="22"/>
          <w:lang w:eastAsia="en-US"/>
        </w:rPr>
        <w:t>у</w:t>
      </w:r>
      <w:r w:rsidRPr="00281602">
        <w:rPr>
          <w:rFonts w:eastAsia="Calibri"/>
          <w:sz w:val="22"/>
          <w:szCs w:val="22"/>
          <w:lang w:eastAsia="en-US"/>
        </w:rPr>
        <w:t>альной реальности. А вот для использования технологий дополне</w:t>
      </w:r>
      <w:r w:rsidRPr="00281602">
        <w:rPr>
          <w:rFonts w:eastAsia="Calibri"/>
          <w:sz w:val="22"/>
          <w:szCs w:val="22"/>
          <w:lang w:eastAsia="en-US"/>
        </w:rPr>
        <w:t>н</w:t>
      </w:r>
      <w:r w:rsidRPr="00281602">
        <w:rPr>
          <w:rFonts w:eastAsia="Calibri"/>
          <w:sz w:val="22"/>
          <w:szCs w:val="22"/>
          <w:lang w:eastAsia="en-US"/>
        </w:rPr>
        <w:t>ной реальности можно применять недорогие смартфоны или пла</w:t>
      </w:r>
      <w:r w:rsidRPr="00281602">
        <w:rPr>
          <w:rFonts w:eastAsia="Calibri"/>
          <w:sz w:val="22"/>
          <w:szCs w:val="22"/>
          <w:lang w:eastAsia="en-US"/>
        </w:rPr>
        <w:t>н</w:t>
      </w:r>
      <w:r w:rsidRPr="00281602">
        <w:rPr>
          <w:rFonts w:eastAsia="Calibri"/>
          <w:sz w:val="22"/>
          <w:szCs w:val="22"/>
          <w:lang w:eastAsia="en-US"/>
        </w:rPr>
        <w:t>шеты. Производители программного обеспечения  сейчас все бол</w:t>
      </w:r>
      <w:r w:rsidRPr="00281602">
        <w:rPr>
          <w:rFonts w:eastAsia="Calibri"/>
          <w:sz w:val="22"/>
          <w:szCs w:val="22"/>
          <w:lang w:eastAsia="en-US"/>
        </w:rPr>
        <w:t>ь</w:t>
      </w:r>
      <w:r w:rsidRPr="00281602">
        <w:rPr>
          <w:rFonts w:eastAsia="Calibri"/>
          <w:sz w:val="22"/>
          <w:szCs w:val="22"/>
          <w:lang w:eastAsia="en-US"/>
        </w:rPr>
        <w:t>ше внимания уделяют развитию этих технологий.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Возможности технологии дополненной реальности может «оживить» практически любые учебные материалы – схемы, карты, рисунки, иллюстрации в книгах.  Особенно полезной, а порой и н</w:t>
      </w:r>
      <w:r w:rsidRPr="00281602">
        <w:rPr>
          <w:rFonts w:eastAsia="Calibri"/>
          <w:sz w:val="22"/>
          <w:szCs w:val="22"/>
          <w:lang w:eastAsia="en-US"/>
        </w:rPr>
        <w:t>е</w:t>
      </w:r>
      <w:r w:rsidRPr="00281602">
        <w:rPr>
          <w:rFonts w:eastAsia="Calibri"/>
          <w:sz w:val="22"/>
          <w:szCs w:val="22"/>
          <w:lang w:eastAsia="en-US"/>
        </w:rPr>
        <w:t xml:space="preserve">заменимой, применение этой технологии будет в тех учебных учреждениях, в которых отсутствуют специальные лаборатории для ведения учебного процесса.  Дополненная реальность может помочь в моделировании законов физики и химии, увидеть протекающие процессы в окружающем мире. В любой науке есть темы, которые </w:t>
      </w:r>
      <w:r w:rsidRPr="00281602">
        <w:rPr>
          <w:rFonts w:eastAsia="Calibri"/>
          <w:sz w:val="22"/>
          <w:szCs w:val="22"/>
          <w:lang w:eastAsia="en-US"/>
        </w:rPr>
        <w:lastRenderedPageBreak/>
        <w:t>было бы неплохо визуализировать. Для сельскохозяйственных в</w:t>
      </w:r>
      <w:r w:rsidRPr="00281602">
        <w:rPr>
          <w:rFonts w:eastAsia="Calibri"/>
          <w:sz w:val="22"/>
          <w:szCs w:val="22"/>
          <w:lang w:eastAsia="en-US"/>
        </w:rPr>
        <w:t>у</w:t>
      </w:r>
      <w:r w:rsidRPr="00281602">
        <w:rPr>
          <w:rFonts w:eastAsia="Calibri"/>
          <w:sz w:val="22"/>
          <w:szCs w:val="22"/>
          <w:lang w:eastAsia="en-US"/>
        </w:rPr>
        <w:t>зов дополненная реальность  позволит студентам изучать развитие живых организмов и растений, выводить новые сорта, изучать заб</w:t>
      </w:r>
      <w:r w:rsidRPr="00281602">
        <w:rPr>
          <w:rFonts w:eastAsia="Calibri"/>
          <w:sz w:val="22"/>
          <w:szCs w:val="22"/>
          <w:lang w:eastAsia="en-US"/>
        </w:rPr>
        <w:t>о</w:t>
      </w:r>
      <w:r w:rsidRPr="00281602">
        <w:rPr>
          <w:rFonts w:eastAsia="Calibri"/>
          <w:sz w:val="22"/>
          <w:szCs w:val="22"/>
          <w:lang w:eastAsia="en-US"/>
        </w:rPr>
        <w:t>левания растений. Для ветеринаров виртуальная  реальность при помощи специальных симуляторов позволит, отрабатывать профе</w:t>
      </w:r>
      <w:r w:rsidRPr="00281602">
        <w:rPr>
          <w:rFonts w:eastAsia="Calibri"/>
          <w:sz w:val="22"/>
          <w:szCs w:val="22"/>
          <w:lang w:eastAsia="en-US"/>
        </w:rPr>
        <w:t>с</w:t>
      </w:r>
      <w:r w:rsidRPr="00281602">
        <w:rPr>
          <w:rFonts w:eastAsia="Calibri"/>
          <w:sz w:val="22"/>
          <w:szCs w:val="22"/>
          <w:lang w:eastAsia="en-US"/>
        </w:rPr>
        <w:t>сиональные навыки на наглядных моделях. Виртуальные 3-</w:t>
      </w:r>
      <w:r w:rsidRPr="00281602">
        <w:rPr>
          <w:rFonts w:eastAsia="Calibri"/>
          <w:sz w:val="22"/>
          <w:szCs w:val="22"/>
          <w:lang w:val="en-US" w:eastAsia="en-US"/>
        </w:rPr>
        <w:t>d</w:t>
      </w:r>
      <w:r w:rsidRPr="00281602">
        <w:rPr>
          <w:rFonts w:eastAsia="Calibri"/>
          <w:sz w:val="22"/>
          <w:szCs w:val="22"/>
          <w:lang w:eastAsia="en-US"/>
        </w:rPr>
        <w:t xml:space="preserve"> мод</w:t>
      </w:r>
      <w:r w:rsidRPr="00281602">
        <w:rPr>
          <w:rFonts w:eastAsia="Calibri"/>
          <w:sz w:val="22"/>
          <w:szCs w:val="22"/>
          <w:lang w:eastAsia="en-US"/>
        </w:rPr>
        <w:t>е</w:t>
      </w:r>
      <w:r w:rsidRPr="00281602">
        <w:rPr>
          <w:rFonts w:eastAsia="Calibri"/>
          <w:sz w:val="22"/>
          <w:szCs w:val="22"/>
          <w:lang w:eastAsia="en-US"/>
        </w:rPr>
        <w:t>ли позволят визуализировать внутреннее строение животных, ув</w:t>
      </w:r>
      <w:r w:rsidRPr="00281602">
        <w:rPr>
          <w:rFonts w:eastAsia="Calibri"/>
          <w:sz w:val="22"/>
          <w:szCs w:val="22"/>
          <w:lang w:eastAsia="en-US"/>
        </w:rPr>
        <w:t>и</w:t>
      </w:r>
      <w:r w:rsidRPr="00281602">
        <w:rPr>
          <w:rFonts w:eastAsia="Calibri"/>
          <w:sz w:val="22"/>
          <w:szCs w:val="22"/>
          <w:lang w:eastAsia="en-US"/>
        </w:rPr>
        <w:t>деть объемные модели внутренних органов, которые необходимо оперировать. Студентам строительного факультета виртуальная р</w:t>
      </w:r>
      <w:r w:rsidRPr="00281602">
        <w:rPr>
          <w:rFonts w:eastAsia="Calibri"/>
          <w:sz w:val="22"/>
          <w:szCs w:val="22"/>
          <w:lang w:eastAsia="en-US"/>
        </w:rPr>
        <w:t>е</w:t>
      </w:r>
      <w:r w:rsidRPr="00281602">
        <w:rPr>
          <w:rFonts w:eastAsia="Calibri"/>
          <w:sz w:val="22"/>
          <w:szCs w:val="22"/>
          <w:lang w:eastAsia="en-US"/>
        </w:rPr>
        <w:t>альность позволит моделировать  сельскохозяйственные компле</w:t>
      </w:r>
      <w:r w:rsidRPr="00281602">
        <w:rPr>
          <w:rFonts w:eastAsia="Calibri"/>
          <w:sz w:val="22"/>
          <w:szCs w:val="22"/>
          <w:lang w:eastAsia="en-US"/>
        </w:rPr>
        <w:t>к</w:t>
      </w:r>
      <w:r w:rsidRPr="00281602">
        <w:rPr>
          <w:rFonts w:eastAsia="Calibri"/>
          <w:sz w:val="22"/>
          <w:szCs w:val="22"/>
          <w:lang w:eastAsia="en-US"/>
        </w:rPr>
        <w:t>сы, подскажет лучшие решения для реализации в действительности. Незаменимы эти технологии и в процессе освоения и обработке больших объемов информации.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образовательной среде дополненная реальность, несомненно, является  огромным прорывом в способе подачи образовательного материала, что открывает  новые возможности и перспективы для  усвоения  и восприятия  информации студентами. 3D-изображение позволит визуально проникнуть в иную, виртуальную реальность, что, безусловно, привлекает человека и активизирует его внимание и восприимчивость к информационной составляющей. Вне завис</w:t>
      </w:r>
      <w:r w:rsidRPr="00281602">
        <w:rPr>
          <w:rFonts w:eastAsia="Calibri"/>
          <w:sz w:val="22"/>
          <w:szCs w:val="22"/>
          <w:lang w:eastAsia="en-US"/>
        </w:rPr>
        <w:t>и</w:t>
      </w:r>
      <w:r w:rsidRPr="00281602">
        <w:rPr>
          <w:rFonts w:eastAsia="Calibri"/>
          <w:sz w:val="22"/>
          <w:szCs w:val="22"/>
          <w:lang w:eastAsia="en-US"/>
        </w:rPr>
        <w:t>мости от изучаемого предмета, дополненная реальность поможет повысить его привлекательность для студентов, увеличит мотив</w:t>
      </w:r>
      <w:r w:rsidRPr="00281602">
        <w:rPr>
          <w:rFonts w:eastAsia="Calibri"/>
          <w:sz w:val="22"/>
          <w:szCs w:val="22"/>
          <w:lang w:eastAsia="en-US"/>
        </w:rPr>
        <w:t>а</w:t>
      </w:r>
      <w:r w:rsidRPr="00281602">
        <w:rPr>
          <w:rFonts w:eastAsia="Calibri"/>
          <w:sz w:val="22"/>
          <w:szCs w:val="22"/>
          <w:lang w:eastAsia="en-US"/>
        </w:rPr>
        <w:t>цию к получению знаний, позволит развивать навыки практической деятельности, позволит создавать интересные проекты [2].</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 использовании дополненной реальности студенты могут управлять объектами AR, перемещать их, поворачивать, изменять масштаб, рассматривать с разных сторон – это дает большой и</w:t>
      </w:r>
      <w:r w:rsidRPr="00281602">
        <w:rPr>
          <w:rFonts w:eastAsia="Calibri"/>
          <w:sz w:val="22"/>
          <w:szCs w:val="22"/>
          <w:lang w:eastAsia="en-US"/>
        </w:rPr>
        <w:t>м</w:t>
      </w:r>
      <w:r w:rsidRPr="00281602">
        <w:rPr>
          <w:rFonts w:eastAsia="Calibri"/>
          <w:sz w:val="22"/>
          <w:szCs w:val="22"/>
          <w:lang w:eastAsia="en-US"/>
        </w:rPr>
        <w:t>пульс к развитию пространственного мышления, позволяет воспр</w:t>
      </w:r>
      <w:r w:rsidRPr="00281602">
        <w:rPr>
          <w:rFonts w:eastAsia="Calibri"/>
          <w:sz w:val="22"/>
          <w:szCs w:val="22"/>
          <w:lang w:eastAsia="en-US"/>
        </w:rPr>
        <w:t>и</w:t>
      </w:r>
      <w:r w:rsidRPr="00281602">
        <w:rPr>
          <w:rFonts w:eastAsia="Calibri"/>
          <w:sz w:val="22"/>
          <w:szCs w:val="22"/>
          <w:lang w:eastAsia="en-US"/>
        </w:rPr>
        <w:t>нять изучаемый предмет полнее и глубже, повышая уровень позн</w:t>
      </w:r>
      <w:r w:rsidRPr="00281602">
        <w:rPr>
          <w:rFonts w:eastAsia="Calibri"/>
          <w:sz w:val="22"/>
          <w:szCs w:val="22"/>
          <w:lang w:eastAsia="en-US"/>
        </w:rPr>
        <w:t>а</w:t>
      </w:r>
      <w:r w:rsidRPr="00281602">
        <w:rPr>
          <w:rFonts w:eastAsia="Calibri"/>
          <w:sz w:val="22"/>
          <w:szCs w:val="22"/>
          <w:lang w:eastAsia="en-US"/>
        </w:rPr>
        <w:t>ния. За счет  того, что визуальная или аудиальная информация п</w:t>
      </w:r>
      <w:r w:rsidRPr="00281602">
        <w:rPr>
          <w:rFonts w:eastAsia="Calibri"/>
          <w:sz w:val="22"/>
          <w:szCs w:val="22"/>
          <w:lang w:eastAsia="en-US"/>
        </w:rPr>
        <w:t>о</w:t>
      </w:r>
      <w:r w:rsidRPr="00281602">
        <w:rPr>
          <w:rFonts w:eastAsia="Calibri"/>
          <w:sz w:val="22"/>
          <w:szCs w:val="22"/>
          <w:lang w:eastAsia="en-US"/>
        </w:rPr>
        <w:t>дается синхронно с тем, что происходит в реальности, создается полное погружение в информационную ситуацию и активизируется ее восприятие.</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Обучение с использованием дополненной реальности имеет также и материальные плюсы: отпадет необходимость в произво</w:t>
      </w:r>
      <w:r w:rsidRPr="00281602">
        <w:rPr>
          <w:rFonts w:eastAsia="Calibri"/>
          <w:sz w:val="22"/>
          <w:szCs w:val="22"/>
          <w:lang w:eastAsia="en-US"/>
        </w:rPr>
        <w:t>д</w:t>
      </w:r>
      <w:r w:rsidRPr="00281602">
        <w:rPr>
          <w:rFonts w:eastAsia="Calibri"/>
          <w:sz w:val="22"/>
          <w:szCs w:val="22"/>
          <w:lang w:eastAsia="en-US"/>
        </w:rPr>
        <w:t>стве и использовании громоздких плакатов, стендов, досок и пр</w:t>
      </w:r>
      <w:r w:rsidRPr="00281602">
        <w:rPr>
          <w:rFonts w:eastAsia="Calibri"/>
          <w:sz w:val="22"/>
          <w:szCs w:val="22"/>
          <w:lang w:eastAsia="en-US"/>
        </w:rPr>
        <w:t>о</w:t>
      </w:r>
      <w:r w:rsidRPr="00281602">
        <w:rPr>
          <w:rFonts w:eastAsia="Calibri"/>
          <w:sz w:val="22"/>
          <w:szCs w:val="22"/>
          <w:lang w:eastAsia="en-US"/>
        </w:rPr>
        <w:t>чих наглядных пособий, сократятся расходы на печать некоторых учебников. Размещенный перед камерой двумерный маркер, с кот</w:t>
      </w:r>
      <w:r w:rsidRPr="00281602">
        <w:rPr>
          <w:rFonts w:eastAsia="Calibri"/>
          <w:sz w:val="22"/>
          <w:szCs w:val="22"/>
          <w:lang w:eastAsia="en-US"/>
        </w:rPr>
        <w:t>о</w:t>
      </w:r>
      <w:r w:rsidRPr="00281602">
        <w:rPr>
          <w:rFonts w:eastAsia="Calibri"/>
          <w:sz w:val="22"/>
          <w:szCs w:val="22"/>
          <w:lang w:eastAsia="en-US"/>
        </w:rPr>
        <w:lastRenderedPageBreak/>
        <w:t>рого считывается и анализируется вся информация, – вот и все, что необходимо для получения эффекта дополненной реальности.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Сейчас дополненная реальность присутствует практически на всех устройствах, от смартфонов до компьютеров со встроенными камерами. Поэтому с учетом доступности гаджетов практически для всех слоев населения технический вопрос использования AR в образовании упирается только в выбор и внедрение конкретной, унифицированной платформы, на которой будет осуществляться весь процесс образования.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Многие специалисты в области информационных технологий сходятся во мнении, что будущее виртуальной и дополненной р</w:t>
      </w:r>
      <w:r w:rsidRPr="00281602">
        <w:rPr>
          <w:rFonts w:eastAsia="Calibri"/>
          <w:sz w:val="22"/>
          <w:szCs w:val="22"/>
          <w:lang w:eastAsia="en-US"/>
        </w:rPr>
        <w:t>е</w:t>
      </w:r>
      <w:r w:rsidRPr="00281602">
        <w:rPr>
          <w:rFonts w:eastAsia="Calibri"/>
          <w:sz w:val="22"/>
          <w:szCs w:val="22"/>
          <w:lang w:eastAsia="en-US"/>
        </w:rPr>
        <w:t>альности в различных областях нашей жизни имеет довольно р</w:t>
      </w:r>
      <w:r w:rsidRPr="00281602">
        <w:rPr>
          <w:rFonts w:eastAsia="Calibri"/>
          <w:sz w:val="22"/>
          <w:szCs w:val="22"/>
          <w:lang w:eastAsia="en-US"/>
        </w:rPr>
        <w:t>а</w:t>
      </w:r>
      <w:r w:rsidRPr="00281602">
        <w:rPr>
          <w:rFonts w:eastAsia="Calibri"/>
          <w:sz w:val="22"/>
          <w:szCs w:val="22"/>
          <w:lang w:eastAsia="en-US"/>
        </w:rPr>
        <w:t xml:space="preserve">дужные перспективы, а </w:t>
      </w:r>
      <w:r w:rsidRPr="00281602">
        <w:rPr>
          <w:rFonts w:eastAsia="Calibri"/>
          <w:sz w:val="22"/>
          <w:szCs w:val="22"/>
          <w:lang w:val="en-US" w:eastAsia="en-US"/>
        </w:rPr>
        <w:t>VR</w:t>
      </w:r>
      <w:r w:rsidRPr="00281602">
        <w:rPr>
          <w:rFonts w:eastAsia="Calibri"/>
          <w:sz w:val="22"/>
          <w:szCs w:val="22"/>
          <w:lang w:eastAsia="en-US"/>
        </w:rPr>
        <w:t>/AR-технологии в образовании рано или поздно выведут нашу систему образования на качественно новый уровень.</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3B37B7">
      <w:pPr>
        <w:numPr>
          <w:ilvl w:val="0"/>
          <w:numId w:val="38"/>
        </w:numPr>
        <w:ind w:left="0" w:firstLine="425"/>
        <w:jc w:val="both"/>
        <w:rPr>
          <w:rFonts w:eastAsia="Calibri"/>
          <w:sz w:val="22"/>
          <w:szCs w:val="22"/>
          <w:lang w:eastAsia="en-US"/>
        </w:rPr>
      </w:pPr>
      <w:r w:rsidRPr="00281602">
        <w:rPr>
          <w:rFonts w:eastAsia="Calibri"/>
          <w:sz w:val="22"/>
          <w:szCs w:val="22"/>
          <w:lang w:eastAsia="en-US"/>
        </w:rPr>
        <w:t xml:space="preserve">Попова Е.Д. Сферы применения и перспективы </w:t>
      </w:r>
      <w:r w:rsidRPr="00281602">
        <w:rPr>
          <w:rFonts w:eastAsia="Calibri"/>
          <w:sz w:val="22"/>
          <w:szCs w:val="22"/>
          <w:lang w:val="en-US" w:eastAsia="en-US"/>
        </w:rPr>
        <w:t>AV</w:t>
      </w:r>
      <w:r w:rsidRPr="00281602">
        <w:rPr>
          <w:rFonts w:eastAsia="Calibri"/>
          <w:sz w:val="22"/>
          <w:szCs w:val="22"/>
          <w:lang w:eastAsia="en-US"/>
        </w:rPr>
        <w:t>/</w:t>
      </w:r>
      <w:r w:rsidRPr="00281602">
        <w:rPr>
          <w:rFonts w:eastAsia="Calibri"/>
          <w:sz w:val="22"/>
          <w:szCs w:val="22"/>
          <w:lang w:val="en-US" w:eastAsia="en-US"/>
        </w:rPr>
        <w:t>VR</w:t>
      </w:r>
      <w:r w:rsidRPr="00281602">
        <w:rPr>
          <w:rFonts w:eastAsia="Calibri"/>
          <w:sz w:val="22"/>
          <w:szCs w:val="22"/>
          <w:lang w:eastAsia="en-US"/>
        </w:rPr>
        <w:t>-технологий. / Е.Д. Попова // Всероссийская научно-методическая конференция «Виртуальная и дополненная реальность-2016: сост</w:t>
      </w:r>
      <w:r w:rsidRPr="00281602">
        <w:rPr>
          <w:rFonts w:eastAsia="Calibri"/>
          <w:sz w:val="22"/>
          <w:szCs w:val="22"/>
          <w:lang w:eastAsia="en-US"/>
        </w:rPr>
        <w:t>о</w:t>
      </w:r>
      <w:r w:rsidRPr="00281602">
        <w:rPr>
          <w:rFonts w:eastAsia="Calibri"/>
          <w:sz w:val="22"/>
          <w:szCs w:val="22"/>
          <w:lang w:eastAsia="en-US"/>
        </w:rPr>
        <w:t>яние и перспективы». Москва. – 28-29 апреля 2016. – С. 270-276.</w:t>
      </w:r>
    </w:p>
    <w:p w:rsidR="00281602" w:rsidRPr="00281602" w:rsidRDefault="00281602" w:rsidP="003B37B7">
      <w:pPr>
        <w:numPr>
          <w:ilvl w:val="0"/>
          <w:numId w:val="38"/>
        </w:numPr>
        <w:ind w:left="0" w:firstLine="425"/>
        <w:jc w:val="both"/>
        <w:rPr>
          <w:rFonts w:eastAsia="Calibri"/>
          <w:sz w:val="22"/>
          <w:szCs w:val="22"/>
          <w:lang w:eastAsia="en-US"/>
        </w:rPr>
      </w:pPr>
      <w:r w:rsidRPr="00281602">
        <w:rPr>
          <w:rFonts w:eastAsia="Calibri"/>
          <w:sz w:val="22"/>
          <w:szCs w:val="22"/>
          <w:lang w:eastAsia="en-US"/>
        </w:rPr>
        <w:t xml:space="preserve">Фешина Е.В. Практическое использование ИКТ и метода проектов в обучении и воспитании студентов. / Е.В. Фешина, Е.Е. Острожная // Сборник материалов </w:t>
      </w:r>
      <w:r w:rsidRPr="00281602">
        <w:rPr>
          <w:rFonts w:eastAsia="Calibri"/>
          <w:sz w:val="22"/>
          <w:szCs w:val="22"/>
          <w:lang w:val="en-US" w:eastAsia="en-US"/>
        </w:rPr>
        <w:t>VI</w:t>
      </w:r>
      <w:r w:rsidRPr="00281602">
        <w:rPr>
          <w:rFonts w:eastAsia="Calibri"/>
          <w:sz w:val="22"/>
          <w:szCs w:val="22"/>
          <w:lang w:eastAsia="en-US"/>
        </w:rPr>
        <w:t xml:space="preserve"> Международной научно-практической конференции. – 2017. – С.233-239.</w:t>
      </w:r>
    </w:p>
    <w:p w:rsidR="00281602" w:rsidRPr="00281602" w:rsidRDefault="00281602" w:rsidP="00281602">
      <w:pPr>
        <w:ind w:firstLine="425"/>
        <w:jc w:val="both"/>
        <w:rPr>
          <w:rFonts w:eastAsia="Calibri"/>
          <w:sz w:val="22"/>
          <w:szCs w:val="22"/>
          <w:lang w:eastAsia="en-US"/>
        </w:rPr>
      </w:pPr>
    </w:p>
    <w:p w:rsidR="00281602" w:rsidRDefault="00281602" w:rsidP="00281602">
      <w:pPr>
        <w:ind w:firstLine="425"/>
        <w:jc w:val="both"/>
        <w:rPr>
          <w:rFonts w:eastAsia="Calibri"/>
          <w:sz w:val="22"/>
          <w:szCs w:val="22"/>
          <w:lang w:eastAsia="en-US"/>
        </w:rPr>
      </w:pPr>
    </w:p>
    <w:p w:rsidR="003B37B7" w:rsidRPr="00281602" w:rsidRDefault="001360B4" w:rsidP="001360B4">
      <w:pPr>
        <w:rPr>
          <w:rFonts w:eastAsia="Calibri"/>
          <w:sz w:val="22"/>
          <w:szCs w:val="22"/>
          <w:lang w:eastAsia="en-US"/>
        </w:rPr>
      </w:pPr>
      <w:r>
        <w:rPr>
          <w:rFonts w:eastAsia="Calibri"/>
          <w:sz w:val="22"/>
          <w:szCs w:val="22"/>
          <w:lang w:eastAsia="en-US"/>
        </w:rPr>
        <w:br w:type="page"/>
      </w:r>
    </w:p>
    <w:p w:rsidR="00281602" w:rsidRPr="00281602" w:rsidRDefault="00281602" w:rsidP="00281602">
      <w:pPr>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lastRenderedPageBreak/>
        <w:t>УДК 519.816</w:t>
      </w:r>
    </w:p>
    <w:p w:rsidR="00281602" w:rsidRPr="00281602" w:rsidRDefault="00281602" w:rsidP="00281602">
      <w:pPr>
        <w:ind w:firstLine="425"/>
        <w:jc w:val="both"/>
        <w:rPr>
          <w:rFonts w:eastAsia="Calibri"/>
          <w:color w:val="000000"/>
          <w:sz w:val="22"/>
          <w:szCs w:val="22"/>
          <w:shd w:val="clear" w:color="auto" w:fill="FFFFFF"/>
          <w:lang w:eastAsia="en-US"/>
        </w:rPr>
      </w:pPr>
    </w:p>
    <w:p w:rsidR="00281602" w:rsidRPr="00281602" w:rsidRDefault="00281602" w:rsidP="00281602">
      <w:pPr>
        <w:jc w:val="center"/>
        <w:rPr>
          <w:rFonts w:eastAsia="Calibri"/>
          <w:b/>
          <w:color w:val="000000"/>
          <w:sz w:val="24"/>
          <w:szCs w:val="24"/>
          <w:shd w:val="clear" w:color="auto" w:fill="FFFFFF"/>
          <w:lang w:eastAsia="en-US"/>
        </w:rPr>
      </w:pPr>
      <w:r w:rsidRPr="00281602">
        <w:rPr>
          <w:rFonts w:eastAsia="Calibri"/>
          <w:b/>
          <w:color w:val="000000"/>
          <w:sz w:val="24"/>
          <w:szCs w:val="24"/>
          <w:shd w:val="clear" w:color="auto" w:fill="FFFFFF"/>
          <w:lang w:eastAsia="en-US"/>
        </w:rPr>
        <w:t xml:space="preserve">Направления применения СППР в оценке </w:t>
      </w:r>
    </w:p>
    <w:p w:rsidR="00281602" w:rsidRPr="00281602" w:rsidRDefault="00281602" w:rsidP="00281602">
      <w:pPr>
        <w:jc w:val="center"/>
        <w:rPr>
          <w:rFonts w:eastAsia="Calibri"/>
          <w:b/>
          <w:color w:val="000000"/>
          <w:sz w:val="24"/>
          <w:szCs w:val="24"/>
          <w:shd w:val="clear" w:color="auto" w:fill="FFFFFF"/>
          <w:lang w:val="en-US" w:eastAsia="en-US"/>
        </w:rPr>
      </w:pPr>
      <w:r w:rsidRPr="00281602">
        <w:rPr>
          <w:rFonts w:eastAsia="Calibri"/>
          <w:b/>
          <w:color w:val="000000"/>
          <w:sz w:val="24"/>
          <w:szCs w:val="24"/>
          <w:shd w:val="clear" w:color="auto" w:fill="FFFFFF"/>
          <w:lang w:eastAsia="en-US"/>
        </w:rPr>
        <w:t>деятельности</w:t>
      </w:r>
      <w:r w:rsidRPr="00281602">
        <w:rPr>
          <w:rFonts w:eastAsia="Calibri"/>
          <w:b/>
          <w:color w:val="000000"/>
          <w:sz w:val="24"/>
          <w:szCs w:val="24"/>
          <w:shd w:val="clear" w:color="auto" w:fill="FFFFFF"/>
          <w:lang w:val="en-US" w:eastAsia="en-US"/>
        </w:rPr>
        <w:t> </w:t>
      </w:r>
      <w:r w:rsidR="000C4264">
        <w:rPr>
          <w:rFonts w:eastAsia="Calibri"/>
          <w:b/>
          <w:color w:val="000000"/>
          <w:sz w:val="24"/>
          <w:szCs w:val="24"/>
          <w:shd w:val="clear" w:color="auto" w:fill="FFFFFF"/>
          <w:lang w:eastAsia="en-US"/>
        </w:rPr>
        <w:t>вуз</w:t>
      </w:r>
      <w:r w:rsidRPr="00281602">
        <w:rPr>
          <w:rFonts w:eastAsia="Calibri"/>
          <w:b/>
          <w:color w:val="000000"/>
          <w:sz w:val="24"/>
          <w:szCs w:val="24"/>
          <w:shd w:val="clear" w:color="auto" w:fill="FFFFFF"/>
          <w:lang w:eastAsia="en-US"/>
        </w:rPr>
        <w:t>ов</w:t>
      </w:r>
    </w:p>
    <w:p w:rsidR="00281602" w:rsidRPr="00281602" w:rsidRDefault="00281602" w:rsidP="00281602">
      <w:pPr>
        <w:jc w:val="center"/>
        <w:rPr>
          <w:rFonts w:eastAsia="Calibri"/>
          <w:b/>
          <w:color w:val="000000"/>
          <w:sz w:val="24"/>
          <w:szCs w:val="24"/>
          <w:shd w:val="clear" w:color="auto" w:fill="FFFFFF"/>
          <w:lang w:val="en-US" w:eastAsia="en-US"/>
        </w:rPr>
      </w:pPr>
      <w:r w:rsidRPr="00281602">
        <w:rPr>
          <w:rFonts w:eastAsia="Calibri"/>
          <w:b/>
          <w:color w:val="000000"/>
          <w:sz w:val="24"/>
          <w:szCs w:val="24"/>
          <w:shd w:val="clear" w:color="auto" w:fill="FFFFFF"/>
          <w:lang w:val="en-US" w:eastAsia="en-US"/>
        </w:rPr>
        <w:t xml:space="preserve">Directions of DSS application in the universities’ </w:t>
      </w:r>
    </w:p>
    <w:p w:rsidR="00281602" w:rsidRPr="00281602" w:rsidRDefault="00281602" w:rsidP="00281602">
      <w:pPr>
        <w:jc w:val="center"/>
        <w:rPr>
          <w:rFonts w:eastAsia="Calibri"/>
          <w:b/>
          <w:color w:val="000000"/>
          <w:sz w:val="24"/>
          <w:szCs w:val="24"/>
          <w:shd w:val="clear" w:color="auto" w:fill="FFFFFF"/>
          <w:lang w:val="en-US" w:eastAsia="en-US"/>
        </w:rPr>
      </w:pPr>
      <w:r w:rsidRPr="00281602">
        <w:rPr>
          <w:rFonts w:eastAsia="Calibri"/>
          <w:b/>
          <w:color w:val="000000"/>
          <w:sz w:val="24"/>
          <w:szCs w:val="24"/>
          <w:shd w:val="clear" w:color="auto" w:fill="FFFFFF"/>
          <w:lang w:val="en-US" w:eastAsia="en-US"/>
        </w:rPr>
        <w:t>activity evaluation</w:t>
      </w:r>
    </w:p>
    <w:p w:rsidR="00281602" w:rsidRPr="00281602" w:rsidRDefault="00281602" w:rsidP="00281602">
      <w:pPr>
        <w:ind w:firstLine="425"/>
        <w:jc w:val="both"/>
        <w:rPr>
          <w:rFonts w:eastAsia="Calibri"/>
          <w:color w:val="000000"/>
          <w:sz w:val="22"/>
          <w:szCs w:val="22"/>
          <w:shd w:val="clear" w:color="auto" w:fill="FFFFFF"/>
          <w:lang w:val="en-US" w:eastAsia="en-US"/>
        </w:rPr>
      </w:pPr>
    </w:p>
    <w:p w:rsidR="00281602" w:rsidRPr="00C609D1" w:rsidRDefault="00281602" w:rsidP="000C4264">
      <w:pPr>
        <w:jc w:val="right"/>
        <w:rPr>
          <w:rFonts w:eastAsia="Calibri"/>
          <w:color w:val="000000"/>
          <w:sz w:val="22"/>
          <w:szCs w:val="22"/>
          <w:shd w:val="clear" w:color="auto" w:fill="FFFFFF"/>
          <w:lang w:val="en-US" w:eastAsia="en-US"/>
        </w:rPr>
      </w:pPr>
      <w:r w:rsidRPr="00281602">
        <w:rPr>
          <w:rFonts w:eastAsia="Calibri"/>
          <w:color w:val="000000"/>
          <w:sz w:val="22"/>
          <w:szCs w:val="22"/>
          <w:shd w:val="clear" w:color="auto" w:fill="FFFFFF"/>
          <w:lang w:eastAsia="en-US"/>
        </w:rPr>
        <w:t>Горкавой</w:t>
      </w:r>
      <w:r w:rsidRPr="00C609D1">
        <w:rPr>
          <w:rFonts w:eastAsia="Calibri"/>
          <w:color w:val="000000"/>
          <w:sz w:val="22"/>
          <w:szCs w:val="22"/>
          <w:shd w:val="clear" w:color="auto" w:fill="FFFFFF"/>
          <w:lang w:val="en-US" w:eastAsia="en-US"/>
        </w:rPr>
        <w:t xml:space="preserve"> </w:t>
      </w:r>
      <w:r w:rsidRPr="00281602">
        <w:rPr>
          <w:rFonts w:eastAsia="Calibri"/>
          <w:color w:val="000000"/>
          <w:sz w:val="22"/>
          <w:szCs w:val="22"/>
          <w:shd w:val="clear" w:color="auto" w:fill="FFFFFF"/>
          <w:lang w:eastAsia="en-US"/>
        </w:rPr>
        <w:t>П</w:t>
      </w:r>
      <w:r w:rsidRPr="00C609D1">
        <w:rPr>
          <w:rFonts w:eastAsia="Calibri"/>
          <w:color w:val="000000"/>
          <w:sz w:val="22"/>
          <w:szCs w:val="22"/>
          <w:shd w:val="clear" w:color="auto" w:fill="FFFFFF"/>
          <w:lang w:val="en-US" w:eastAsia="en-US"/>
        </w:rPr>
        <w:t xml:space="preserve">. </w:t>
      </w:r>
      <w:r w:rsidRPr="00281602">
        <w:rPr>
          <w:rFonts w:eastAsia="Calibri"/>
          <w:color w:val="000000"/>
          <w:sz w:val="22"/>
          <w:szCs w:val="22"/>
          <w:shd w:val="clear" w:color="auto" w:fill="FFFFFF"/>
          <w:lang w:eastAsia="en-US"/>
        </w:rPr>
        <w:t>Г</w:t>
      </w:r>
      <w:r w:rsidR="003B37B7" w:rsidRPr="00C609D1">
        <w:rPr>
          <w:rFonts w:eastAsia="Calibri"/>
          <w:color w:val="000000"/>
          <w:sz w:val="22"/>
          <w:szCs w:val="22"/>
          <w:shd w:val="clear" w:color="auto" w:fill="FFFFFF"/>
          <w:lang w:val="en-US" w:eastAsia="en-US"/>
        </w:rPr>
        <w:t>.,</w:t>
      </w:r>
      <w:r w:rsidR="000C4264" w:rsidRPr="00C609D1">
        <w:rPr>
          <w:rFonts w:eastAsia="Calibri"/>
          <w:color w:val="000000"/>
          <w:sz w:val="22"/>
          <w:szCs w:val="22"/>
          <w:shd w:val="clear" w:color="auto" w:fill="FFFFFF"/>
          <w:lang w:val="en-US" w:eastAsia="en-US"/>
        </w:rPr>
        <w:t xml:space="preserve"> </w:t>
      </w:r>
      <w:r w:rsidRPr="00281602">
        <w:rPr>
          <w:rFonts w:eastAsia="Calibri"/>
          <w:color w:val="000000"/>
          <w:sz w:val="22"/>
          <w:szCs w:val="22"/>
          <w:shd w:val="clear" w:color="auto" w:fill="FFFFFF"/>
          <w:lang w:eastAsia="en-US"/>
        </w:rPr>
        <w:t>Шутов</w:t>
      </w:r>
      <w:r w:rsidRPr="00C609D1">
        <w:rPr>
          <w:rFonts w:eastAsia="Calibri"/>
          <w:color w:val="000000"/>
          <w:sz w:val="22"/>
          <w:szCs w:val="22"/>
          <w:shd w:val="clear" w:color="auto" w:fill="FFFFFF"/>
          <w:lang w:val="en-US" w:eastAsia="en-US"/>
        </w:rPr>
        <w:t xml:space="preserve"> </w:t>
      </w:r>
      <w:r w:rsidRPr="00281602">
        <w:rPr>
          <w:rFonts w:eastAsia="Calibri"/>
          <w:color w:val="000000"/>
          <w:sz w:val="22"/>
          <w:szCs w:val="22"/>
          <w:shd w:val="clear" w:color="auto" w:fill="FFFFFF"/>
          <w:lang w:eastAsia="en-US"/>
        </w:rPr>
        <w:t>В</w:t>
      </w:r>
      <w:r w:rsidRPr="00C609D1">
        <w:rPr>
          <w:rFonts w:eastAsia="Calibri"/>
          <w:color w:val="000000"/>
          <w:sz w:val="22"/>
          <w:szCs w:val="22"/>
          <w:shd w:val="clear" w:color="auto" w:fill="FFFFFF"/>
          <w:lang w:val="en-US" w:eastAsia="en-US"/>
        </w:rPr>
        <w:t xml:space="preserve">. </w:t>
      </w:r>
      <w:r w:rsidRPr="00281602">
        <w:rPr>
          <w:rFonts w:eastAsia="Calibri"/>
          <w:color w:val="000000"/>
          <w:sz w:val="22"/>
          <w:szCs w:val="22"/>
          <w:shd w:val="clear" w:color="auto" w:fill="FFFFFF"/>
          <w:lang w:eastAsia="en-US"/>
        </w:rPr>
        <w:t>А</w:t>
      </w:r>
      <w:r w:rsidRPr="00C609D1">
        <w:rPr>
          <w:rFonts w:eastAsia="Calibri"/>
          <w:color w:val="000000"/>
          <w:sz w:val="22"/>
          <w:szCs w:val="22"/>
          <w:shd w:val="clear" w:color="auto" w:fill="FFFFFF"/>
          <w:lang w:val="en-US" w:eastAsia="en-US"/>
        </w:rPr>
        <w:t>.,</w:t>
      </w:r>
    </w:p>
    <w:p w:rsidR="00281602" w:rsidRPr="00281602" w:rsidRDefault="00281602" w:rsidP="00281602">
      <w:pPr>
        <w:jc w:val="right"/>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студент</w:t>
      </w:r>
      <w:r w:rsidR="000C4264">
        <w:rPr>
          <w:rFonts w:eastAsia="Calibri"/>
          <w:color w:val="000000"/>
          <w:sz w:val="22"/>
          <w:szCs w:val="22"/>
          <w:shd w:val="clear" w:color="auto" w:fill="FFFFFF"/>
          <w:lang w:eastAsia="en-US"/>
        </w:rPr>
        <w:t>ы</w:t>
      </w:r>
      <w:r w:rsidRPr="00281602">
        <w:rPr>
          <w:rFonts w:eastAsia="Calibri"/>
          <w:color w:val="000000"/>
          <w:sz w:val="22"/>
          <w:szCs w:val="22"/>
          <w:shd w:val="clear" w:color="auto" w:fill="FFFFFF"/>
          <w:lang w:eastAsia="en-US"/>
        </w:rPr>
        <w:t xml:space="preserve"> 3-го курса фа</w:t>
      </w:r>
      <w:r w:rsidR="003B37B7">
        <w:rPr>
          <w:rFonts w:eastAsia="Calibri"/>
          <w:color w:val="000000"/>
          <w:sz w:val="22"/>
          <w:szCs w:val="22"/>
          <w:shd w:val="clear" w:color="auto" w:fill="FFFFFF"/>
          <w:lang w:eastAsia="en-US"/>
        </w:rPr>
        <w:t>культета прикладной информатики</w:t>
      </w:r>
    </w:p>
    <w:p w:rsidR="00281602" w:rsidRPr="00281602" w:rsidRDefault="00281602" w:rsidP="00281602">
      <w:pPr>
        <w:jc w:val="right"/>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Замотайлова Д. А.,</w:t>
      </w:r>
    </w:p>
    <w:p w:rsidR="00281602" w:rsidRPr="00281602" w:rsidRDefault="00281602" w:rsidP="00281602">
      <w:pPr>
        <w:jc w:val="right"/>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доцент кафедры информационных систем</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 xml:space="preserve">Кубанский </w:t>
      </w:r>
      <w:r w:rsidR="003B37B7">
        <w:rPr>
          <w:rFonts w:eastAsia="Calibri"/>
          <w:sz w:val="22"/>
          <w:szCs w:val="22"/>
          <w:lang w:eastAsia="en-US"/>
        </w:rPr>
        <w:t>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ind w:firstLine="425"/>
        <w:jc w:val="both"/>
        <w:rPr>
          <w:rFonts w:eastAsia="Calibri"/>
          <w:color w:val="000000"/>
          <w:sz w:val="22"/>
          <w:szCs w:val="22"/>
          <w:shd w:val="clear" w:color="auto" w:fill="FFFFFF"/>
          <w:lang w:eastAsia="en-US"/>
        </w:rPr>
      </w:pP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АННОТАЦИЯ: определен</w:t>
      </w:r>
      <w:r w:rsidR="003B37B7">
        <w:rPr>
          <w:rFonts w:eastAsia="Calibri"/>
          <w:color w:val="000000"/>
          <w:sz w:val="22"/>
          <w:szCs w:val="22"/>
          <w:shd w:val="clear" w:color="auto" w:fill="FFFFFF"/>
          <w:lang w:eastAsia="en-US"/>
        </w:rPr>
        <w:t>а база для оценки деятельности в</w:t>
      </w:r>
      <w:r w:rsidR="003B37B7">
        <w:rPr>
          <w:rFonts w:eastAsia="Calibri"/>
          <w:color w:val="000000"/>
          <w:sz w:val="22"/>
          <w:szCs w:val="22"/>
          <w:shd w:val="clear" w:color="auto" w:fill="FFFFFF"/>
          <w:lang w:eastAsia="en-US"/>
        </w:rPr>
        <w:t>у</w:t>
      </w:r>
      <w:r w:rsidR="003B37B7">
        <w:rPr>
          <w:rFonts w:eastAsia="Calibri"/>
          <w:color w:val="000000"/>
          <w:sz w:val="22"/>
          <w:szCs w:val="22"/>
          <w:shd w:val="clear" w:color="auto" w:fill="FFFFFF"/>
          <w:lang w:eastAsia="en-US"/>
        </w:rPr>
        <w:t>з</w:t>
      </w:r>
      <w:r w:rsidRPr="00281602">
        <w:rPr>
          <w:rFonts w:eastAsia="Calibri"/>
          <w:color w:val="000000"/>
          <w:sz w:val="22"/>
          <w:szCs w:val="22"/>
          <w:shd w:val="clear" w:color="auto" w:fill="FFFFFF"/>
          <w:lang w:eastAsia="en-US"/>
        </w:rPr>
        <w:t>ов.</w:t>
      </w:r>
    </w:p>
    <w:p w:rsidR="00281602" w:rsidRPr="00281602" w:rsidRDefault="003B37B7" w:rsidP="00281602">
      <w:pPr>
        <w:ind w:firstLine="425"/>
        <w:jc w:val="both"/>
        <w:rPr>
          <w:rFonts w:eastAsia="Calibri"/>
          <w:color w:val="000000"/>
          <w:sz w:val="22"/>
          <w:szCs w:val="22"/>
          <w:shd w:val="clear" w:color="auto" w:fill="FFFFFF"/>
          <w:lang w:val="en-US" w:eastAsia="en-US"/>
        </w:rPr>
      </w:pPr>
      <w:r>
        <w:rPr>
          <w:rFonts w:eastAsia="Calibri"/>
          <w:color w:val="000000"/>
          <w:sz w:val="22"/>
          <w:szCs w:val="22"/>
          <w:shd w:val="clear" w:color="auto" w:fill="FFFFFF"/>
          <w:lang w:val="en-US" w:eastAsia="en-US"/>
        </w:rPr>
        <w:t xml:space="preserve">ABSTRACT: </w:t>
      </w:r>
      <w:r w:rsidR="00281602" w:rsidRPr="00281602">
        <w:rPr>
          <w:rFonts w:eastAsia="Calibri"/>
          <w:color w:val="000000"/>
          <w:sz w:val="22"/>
          <w:szCs w:val="22"/>
          <w:shd w:val="clear" w:color="auto" w:fill="FFFFFF"/>
          <w:lang w:val="en-US" w:eastAsia="en-US"/>
        </w:rPr>
        <w:t>a base for assessing the activity of universities is co</w:t>
      </w:r>
      <w:r w:rsidR="00281602" w:rsidRPr="00281602">
        <w:rPr>
          <w:rFonts w:eastAsia="Calibri"/>
          <w:color w:val="000000"/>
          <w:sz w:val="22"/>
          <w:szCs w:val="22"/>
          <w:shd w:val="clear" w:color="auto" w:fill="FFFFFF"/>
          <w:lang w:val="en-US" w:eastAsia="en-US"/>
        </w:rPr>
        <w:t>n</w:t>
      </w:r>
      <w:r w:rsidR="00281602" w:rsidRPr="00281602">
        <w:rPr>
          <w:rFonts w:eastAsia="Calibri"/>
          <w:color w:val="000000"/>
          <w:sz w:val="22"/>
          <w:szCs w:val="22"/>
          <w:shd w:val="clear" w:color="auto" w:fill="FFFFFF"/>
          <w:lang w:val="en-US" w:eastAsia="en-US"/>
        </w:rPr>
        <w:t>sidered.</w:t>
      </w: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КЛЮЧЕВЫЕ СЛОВА: база для оценки, СППР, деятельность ВУЗов, моделирование.</w:t>
      </w:r>
    </w:p>
    <w:p w:rsidR="00281602" w:rsidRPr="001755C3" w:rsidRDefault="00281602" w:rsidP="00281602">
      <w:pPr>
        <w:ind w:firstLine="425"/>
        <w:jc w:val="both"/>
        <w:rPr>
          <w:rFonts w:eastAsia="Calibri"/>
          <w:color w:val="000000"/>
          <w:sz w:val="22"/>
          <w:szCs w:val="22"/>
          <w:shd w:val="clear" w:color="auto" w:fill="FFFFFF"/>
          <w:lang w:val="en-US" w:eastAsia="en-US"/>
        </w:rPr>
      </w:pPr>
      <w:r w:rsidRPr="00281602">
        <w:rPr>
          <w:rFonts w:eastAsia="Calibri"/>
          <w:color w:val="000000"/>
          <w:sz w:val="22"/>
          <w:szCs w:val="22"/>
          <w:shd w:val="clear" w:color="auto" w:fill="FFFFFF"/>
          <w:lang w:val="en-US" w:eastAsia="en-US"/>
        </w:rPr>
        <w:t>KEYWORDS: base for evaluation, DSS, activity of higher educ</w:t>
      </w:r>
      <w:r w:rsidRPr="00281602">
        <w:rPr>
          <w:rFonts w:eastAsia="Calibri"/>
          <w:color w:val="000000"/>
          <w:sz w:val="22"/>
          <w:szCs w:val="22"/>
          <w:shd w:val="clear" w:color="auto" w:fill="FFFFFF"/>
          <w:lang w:val="en-US" w:eastAsia="en-US"/>
        </w:rPr>
        <w:t>a</w:t>
      </w:r>
      <w:r w:rsidRPr="00281602">
        <w:rPr>
          <w:rFonts w:eastAsia="Calibri"/>
          <w:color w:val="000000"/>
          <w:sz w:val="22"/>
          <w:szCs w:val="22"/>
          <w:shd w:val="clear" w:color="auto" w:fill="FFFFFF"/>
          <w:lang w:val="en-US" w:eastAsia="en-US"/>
        </w:rPr>
        <w:t>tion institutions, modeling.</w:t>
      </w:r>
    </w:p>
    <w:p w:rsidR="003B37B7" w:rsidRPr="001755C3" w:rsidRDefault="003B37B7" w:rsidP="00281602">
      <w:pPr>
        <w:ind w:firstLine="425"/>
        <w:jc w:val="both"/>
        <w:rPr>
          <w:rFonts w:eastAsia="Calibri"/>
          <w:color w:val="000000"/>
          <w:sz w:val="22"/>
          <w:szCs w:val="22"/>
          <w:shd w:val="clear" w:color="auto" w:fill="FFFFFF"/>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Образование – одна из ключевых сфер, отвечающих за разв</w:t>
      </w:r>
      <w:r w:rsidRPr="00281602">
        <w:rPr>
          <w:rFonts w:eastAsia="Calibri"/>
          <w:sz w:val="22"/>
          <w:szCs w:val="22"/>
          <w:lang w:eastAsia="en-US"/>
        </w:rPr>
        <w:t>и</w:t>
      </w:r>
      <w:r w:rsidRPr="00281602">
        <w:rPr>
          <w:rFonts w:eastAsia="Calibri"/>
          <w:sz w:val="22"/>
          <w:szCs w:val="22"/>
          <w:lang w:eastAsia="en-US"/>
        </w:rPr>
        <w:t>тие общества и экономики. В то же время конкуренция на рынке высшего образования в целях обеспечения более высокого уровня освоения компетенций, повышения уровня освоения навыков и о</w:t>
      </w:r>
      <w:r w:rsidRPr="00281602">
        <w:rPr>
          <w:rFonts w:eastAsia="Calibri"/>
          <w:sz w:val="22"/>
          <w:szCs w:val="22"/>
          <w:lang w:eastAsia="en-US"/>
        </w:rPr>
        <w:t>б</w:t>
      </w:r>
      <w:r w:rsidRPr="00281602">
        <w:rPr>
          <w:rFonts w:eastAsia="Calibri"/>
          <w:sz w:val="22"/>
          <w:szCs w:val="22"/>
          <w:lang w:eastAsia="en-US"/>
        </w:rPr>
        <w:t>щей конкурентоспособности выпускников толкает ВУЗы к созд</w:t>
      </w:r>
      <w:r w:rsidRPr="00281602">
        <w:rPr>
          <w:rFonts w:eastAsia="Calibri"/>
          <w:sz w:val="22"/>
          <w:szCs w:val="22"/>
          <w:lang w:eastAsia="en-US"/>
        </w:rPr>
        <w:t>а</w:t>
      </w:r>
      <w:r w:rsidRPr="00281602">
        <w:rPr>
          <w:rFonts w:eastAsia="Calibri"/>
          <w:sz w:val="22"/>
          <w:szCs w:val="22"/>
          <w:lang w:eastAsia="en-US"/>
        </w:rPr>
        <w:t>нию более объективной системы оценки знаний обучающихся, с</w:t>
      </w:r>
      <w:r w:rsidRPr="00281602">
        <w:rPr>
          <w:rFonts w:eastAsia="Calibri"/>
          <w:sz w:val="22"/>
          <w:szCs w:val="22"/>
          <w:lang w:eastAsia="en-US"/>
        </w:rPr>
        <w:t>о</w:t>
      </w:r>
      <w:r w:rsidRPr="00281602">
        <w:rPr>
          <w:rFonts w:eastAsia="Calibri"/>
          <w:sz w:val="22"/>
          <w:szCs w:val="22"/>
          <w:lang w:eastAsia="en-US"/>
        </w:rPr>
        <w:t>стояния материально-технической базы, учебно-методической обеспеченности и проверки компетентности преподавательского состава. В целях структуризации подобного массива информации учебные заведения склоняются к использованию СППР, которые будут способны оценить потенциал ВУЗа, а также оказывать п</w:t>
      </w:r>
      <w:r w:rsidRPr="00281602">
        <w:rPr>
          <w:rFonts w:eastAsia="Calibri"/>
          <w:sz w:val="22"/>
          <w:szCs w:val="22"/>
          <w:lang w:eastAsia="en-US"/>
        </w:rPr>
        <w:t>о</w:t>
      </w:r>
      <w:r w:rsidRPr="00281602">
        <w:rPr>
          <w:rFonts w:eastAsia="Calibri"/>
          <w:sz w:val="22"/>
          <w:szCs w:val="22"/>
          <w:lang w:eastAsia="en-US"/>
        </w:rPr>
        <w:t xml:space="preserve">мощь при принятии решений управленческого характера. Самым простым и очевидным примером применения подобной системы является тестирование обучающихся.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lastRenderedPageBreak/>
        <w:t>При подготовке подобной методологии следует решить ряд проблем, а именно: 1. максимально точно детерминировать оцено</w:t>
      </w:r>
      <w:r w:rsidRPr="00281602">
        <w:rPr>
          <w:rFonts w:eastAsia="Calibri"/>
          <w:sz w:val="22"/>
          <w:szCs w:val="22"/>
          <w:lang w:eastAsia="en-US"/>
        </w:rPr>
        <w:t>ч</w:t>
      </w:r>
      <w:r w:rsidRPr="00281602">
        <w:rPr>
          <w:rFonts w:eastAsia="Calibri"/>
          <w:sz w:val="22"/>
          <w:szCs w:val="22"/>
          <w:lang w:eastAsia="en-US"/>
        </w:rPr>
        <w:t>ную базу научного и учебного потенциала обучающихся, матер</w:t>
      </w:r>
      <w:r w:rsidRPr="00281602">
        <w:rPr>
          <w:rFonts w:eastAsia="Calibri"/>
          <w:sz w:val="22"/>
          <w:szCs w:val="22"/>
          <w:lang w:eastAsia="en-US"/>
        </w:rPr>
        <w:t>и</w:t>
      </w:r>
      <w:r w:rsidRPr="00281602">
        <w:rPr>
          <w:rFonts w:eastAsia="Calibri"/>
          <w:sz w:val="22"/>
          <w:szCs w:val="22"/>
          <w:lang w:eastAsia="en-US"/>
        </w:rPr>
        <w:t>ально-технической базы, учебно-методического обеспечения, кв</w:t>
      </w:r>
      <w:r w:rsidRPr="00281602">
        <w:rPr>
          <w:rFonts w:eastAsia="Calibri"/>
          <w:sz w:val="22"/>
          <w:szCs w:val="22"/>
          <w:lang w:eastAsia="en-US"/>
        </w:rPr>
        <w:t>а</w:t>
      </w:r>
      <w:r w:rsidRPr="00281602">
        <w:rPr>
          <w:rFonts w:eastAsia="Calibri"/>
          <w:sz w:val="22"/>
          <w:szCs w:val="22"/>
          <w:lang w:eastAsia="en-US"/>
        </w:rPr>
        <w:t>лифицированности преподавательского и научного состава; 2. произвести формализацию и описание область деятельности ун</w:t>
      </w:r>
      <w:r w:rsidRPr="00281602">
        <w:rPr>
          <w:rFonts w:eastAsia="Calibri"/>
          <w:sz w:val="22"/>
          <w:szCs w:val="22"/>
          <w:lang w:eastAsia="en-US"/>
        </w:rPr>
        <w:t>и</w:t>
      </w:r>
      <w:r w:rsidRPr="00281602">
        <w:rPr>
          <w:rFonts w:eastAsia="Calibri"/>
          <w:sz w:val="22"/>
          <w:szCs w:val="22"/>
          <w:lang w:eastAsia="en-US"/>
        </w:rPr>
        <w:t>верситета; 3. разработать и реализовать методику оценки, основа</w:t>
      </w:r>
      <w:r w:rsidRPr="00281602">
        <w:rPr>
          <w:rFonts w:eastAsia="Calibri"/>
          <w:sz w:val="22"/>
          <w:szCs w:val="22"/>
          <w:lang w:eastAsia="en-US"/>
        </w:rPr>
        <w:t>н</w:t>
      </w:r>
      <w:r w:rsidRPr="00281602">
        <w:rPr>
          <w:rFonts w:eastAsia="Calibri"/>
          <w:sz w:val="22"/>
          <w:szCs w:val="22"/>
          <w:lang w:eastAsia="en-US"/>
        </w:rPr>
        <w:t>ную на детерминированной базе; 4. разработать и реализовать и</w:t>
      </w:r>
      <w:r w:rsidRPr="00281602">
        <w:rPr>
          <w:rFonts w:eastAsia="Calibri"/>
          <w:sz w:val="22"/>
          <w:szCs w:val="22"/>
          <w:lang w:eastAsia="en-US"/>
        </w:rPr>
        <w:t>н</w:t>
      </w:r>
      <w:r w:rsidRPr="00281602">
        <w:rPr>
          <w:rFonts w:eastAsia="Calibri"/>
          <w:sz w:val="22"/>
          <w:szCs w:val="22"/>
          <w:lang w:eastAsia="en-US"/>
        </w:rPr>
        <w:t>теллектуальную информационную систему. В рамках данной раб</w:t>
      </w:r>
      <w:r w:rsidRPr="00281602">
        <w:rPr>
          <w:rFonts w:eastAsia="Calibri"/>
          <w:sz w:val="22"/>
          <w:szCs w:val="22"/>
          <w:lang w:eastAsia="en-US"/>
        </w:rPr>
        <w:t>о</w:t>
      </w:r>
      <w:r w:rsidRPr="00281602">
        <w:rPr>
          <w:rFonts w:eastAsia="Calibri"/>
          <w:sz w:val="22"/>
          <w:szCs w:val="22"/>
          <w:lang w:eastAsia="en-US"/>
        </w:rPr>
        <w:t xml:space="preserve">ты рассмотрим подробнее п.1.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 оценке учебного потенциала обучающихся могут прим</w:t>
      </w:r>
      <w:r w:rsidRPr="00281602">
        <w:rPr>
          <w:rFonts w:eastAsia="Calibri"/>
          <w:sz w:val="22"/>
          <w:szCs w:val="22"/>
          <w:lang w:eastAsia="en-US"/>
        </w:rPr>
        <w:t>е</w:t>
      </w:r>
      <w:r w:rsidRPr="00281602">
        <w:rPr>
          <w:rFonts w:eastAsia="Calibri"/>
          <w:sz w:val="22"/>
          <w:szCs w:val="22"/>
          <w:lang w:eastAsia="en-US"/>
        </w:rPr>
        <w:t>няться следующие способы: устный экзамен, письменный экзамен, зачет, дифференцированный зачет, курсовые работы и проекты, анализ итогов практического обучения, компьютерное тестиров</w:t>
      </w:r>
      <w:r w:rsidRPr="00281602">
        <w:rPr>
          <w:rFonts w:eastAsia="Calibri"/>
          <w:sz w:val="22"/>
          <w:szCs w:val="22"/>
          <w:lang w:eastAsia="en-US"/>
        </w:rPr>
        <w:t>а</w:t>
      </w:r>
      <w:r w:rsidRPr="00281602">
        <w:rPr>
          <w:rFonts w:eastAsia="Calibri"/>
          <w:sz w:val="22"/>
          <w:szCs w:val="22"/>
          <w:lang w:eastAsia="en-US"/>
        </w:rPr>
        <w:t>ние, анализ текущей успеваемости, своевременности прохождения промежуточной и итоговой аттестации, и прочее. Критериями оценки при определении учебного потенциала обучающегося могут являться следующие показатели: средний балл, итоговая оценка по дисциплине или модулю, наличие или отсутствие академической задолженности, а также пропусков, результаты тестирований пр</w:t>
      </w:r>
      <w:r w:rsidRPr="00281602">
        <w:rPr>
          <w:rFonts w:eastAsia="Calibri"/>
          <w:sz w:val="22"/>
          <w:szCs w:val="22"/>
          <w:lang w:eastAsia="en-US"/>
        </w:rPr>
        <w:t>о</w:t>
      </w:r>
      <w:r w:rsidRPr="00281602">
        <w:rPr>
          <w:rFonts w:eastAsia="Calibri"/>
          <w:sz w:val="22"/>
          <w:szCs w:val="22"/>
          <w:lang w:eastAsia="en-US"/>
        </w:rPr>
        <w:t>межуточных и остаточных знаний, оценка по государственной ит</w:t>
      </w:r>
      <w:r w:rsidRPr="00281602">
        <w:rPr>
          <w:rFonts w:eastAsia="Calibri"/>
          <w:sz w:val="22"/>
          <w:szCs w:val="22"/>
          <w:lang w:eastAsia="en-US"/>
        </w:rPr>
        <w:t>о</w:t>
      </w:r>
      <w:r w:rsidRPr="00281602">
        <w:rPr>
          <w:rFonts w:eastAsia="Calibri"/>
          <w:sz w:val="22"/>
          <w:szCs w:val="22"/>
          <w:lang w:eastAsia="en-US"/>
        </w:rPr>
        <w:t>говой аттестации.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определения научного потенциала следует учитывать сл</w:t>
      </w:r>
      <w:r w:rsidRPr="00281602">
        <w:rPr>
          <w:rFonts w:eastAsia="Calibri"/>
          <w:sz w:val="22"/>
          <w:szCs w:val="22"/>
          <w:lang w:eastAsia="en-US"/>
        </w:rPr>
        <w:t>е</w:t>
      </w:r>
      <w:r w:rsidRPr="00281602">
        <w:rPr>
          <w:rFonts w:eastAsia="Calibri"/>
          <w:sz w:val="22"/>
          <w:szCs w:val="22"/>
          <w:lang w:eastAsia="en-US"/>
        </w:rPr>
        <w:t>дующие показатели: публикационную активность обучающихся, участие, наличие призовых мест и победы в различных научных конкурсах, олимпиадах, выступление с докладами на научно-практических конференциях и форумах различного уровня, участие в грантах, наличие свидетельств о праве на интеллектуальную со</w:t>
      </w:r>
      <w:r w:rsidRPr="00281602">
        <w:rPr>
          <w:rFonts w:eastAsia="Calibri"/>
          <w:sz w:val="22"/>
          <w:szCs w:val="22"/>
          <w:lang w:eastAsia="en-US"/>
        </w:rPr>
        <w:t>б</w:t>
      </w:r>
      <w:r w:rsidRPr="00281602">
        <w:rPr>
          <w:rFonts w:eastAsia="Calibri"/>
          <w:sz w:val="22"/>
          <w:szCs w:val="22"/>
          <w:lang w:eastAsia="en-US"/>
        </w:rPr>
        <w:t>ственность, патентов и т. д.</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Отметим также, что для определения интегральной оценки п</w:t>
      </w:r>
      <w:r w:rsidRPr="00281602">
        <w:rPr>
          <w:rFonts w:eastAsia="Calibri"/>
          <w:sz w:val="22"/>
          <w:szCs w:val="22"/>
          <w:lang w:eastAsia="en-US"/>
        </w:rPr>
        <w:t>о</w:t>
      </w:r>
      <w:r w:rsidRPr="00281602">
        <w:rPr>
          <w:rFonts w:eastAsia="Calibri"/>
          <w:sz w:val="22"/>
          <w:szCs w:val="22"/>
          <w:lang w:eastAsia="en-US"/>
        </w:rPr>
        <w:t>тенциала обучающегося могут учитываться такие параметры, как: место получения среднего образования, личностные характерист</w:t>
      </w:r>
      <w:r w:rsidRPr="00281602">
        <w:rPr>
          <w:rFonts w:eastAsia="Calibri"/>
          <w:sz w:val="22"/>
          <w:szCs w:val="22"/>
          <w:lang w:eastAsia="en-US"/>
        </w:rPr>
        <w:t>и</w:t>
      </w:r>
      <w:r w:rsidRPr="00281602">
        <w:rPr>
          <w:rFonts w:eastAsia="Calibri"/>
          <w:sz w:val="22"/>
          <w:szCs w:val="22"/>
          <w:lang w:eastAsia="en-US"/>
        </w:rPr>
        <w:t>ки, наличие дополнительной подготовки, знание иностранных яз</w:t>
      </w:r>
      <w:r w:rsidRPr="00281602">
        <w:rPr>
          <w:rFonts w:eastAsia="Calibri"/>
          <w:sz w:val="22"/>
          <w:szCs w:val="22"/>
          <w:lang w:eastAsia="en-US"/>
        </w:rPr>
        <w:t>ы</w:t>
      </w:r>
      <w:r w:rsidRPr="00281602">
        <w:rPr>
          <w:rFonts w:eastAsia="Calibri"/>
          <w:sz w:val="22"/>
          <w:szCs w:val="22"/>
          <w:lang w:eastAsia="en-US"/>
        </w:rPr>
        <w:t>ков и уровень их освоения, сведения о прохождении стажировок и т. п.</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комплексной оценки материально-технической базы вы</w:t>
      </w:r>
      <w:r w:rsidRPr="00281602">
        <w:rPr>
          <w:rFonts w:eastAsia="Calibri"/>
          <w:sz w:val="22"/>
          <w:szCs w:val="22"/>
          <w:lang w:eastAsia="en-US"/>
        </w:rPr>
        <w:t>с</w:t>
      </w:r>
      <w:r w:rsidRPr="00281602">
        <w:rPr>
          <w:rFonts w:eastAsia="Calibri"/>
          <w:sz w:val="22"/>
          <w:szCs w:val="22"/>
          <w:lang w:eastAsia="en-US"/>
        </w:rPr>
        <w:t>шего учебного заведения, на наш взгляд, достаточно учета показ</w:t>
      </w:r>
      <w:r w:rsidRPr="00281602">
        <w:rPr>
          <w:rFonts w:eastAsia="Calibri"/>
          <w:sz w:val="22"/>
          <w:szCs w:val="22"/>
          <w:lang w:eastAsia="en-US"/>
        </w:rPr>
        <w:t>а</w:t>
      </w:r>
      <w:r w:rsidRPr="00281602">
        <w:rPr>
          <w:rFonts w:eastAsia="Calibri"/>
          <w:sz w:val="22"/>
          <w:szCs w:val="22"/>
          <w:lang w:eastAsia="en-US"/>
        </w:rPr>
        <w:t>телей, приведенных в  методике мониторинга эффективности де</w:t>
      </w:r>
      <w:r w:rsidRPr="00281602">
        <w:rPr>
          <w:rFonts w:eastAsia="Calibri"/>
          <w:sz w:val="22"/>
          <w:szCs w:val="22"/>
          <w:lang w:eastAsia="en-US"/>
        </w:rPr>
        <w:t>я</w:t>
      </w:r>
      <w:r w:rsidRPr="00281602">
        <w:rPr>
          <w:rFonts w:eastAsia="Calibri"/>
          <w:sz w:val="22"/>
          <w:szCs w:val="22"/>
          <w:lang w:eastAsia="en-US"/>
        </w:rPr>
        <w:lastRenderedPageBreak/>
        <w:t>тельности образовательных организаций высшего образования, а именно: количества персональных компьютеров в расчете на одного студента, удельного веса стоимости машин и оборудования (не старше 5 лет) в общей стоимости машин и оборудования, доли пе</w:t>
      </w:r>
      <w:r w:rsidRPr="00281602">
        <w:rPr>
          <w:rFonts w:eastAsia="Calibri"/>
          <w:sz w:val="22"/>
          <w:szCs w:val="22"/>
          <w:lang w:eastAsia="en-US"/>
        </w:rPr>
        <w:t>р</w:t>
      </w:r>
      <w:r w:rsidRPr="00281602">
        <w:rPr>
          <w:rFonts w:eastAsia="Calibri"/>
          <w:sz w:val="22"/>
          <w:szCs w:val="22"/>
          <w:lang w:eastAsia="en-US"/>
        </w:rPr>
        <w:t>сональных компьютеров, имеющих доступ к сети Интернет, нал</w:t>
      </w:r>
      <w:r w:rsidRPr="00281602">
        <w:rPr>
          <w:rFonts w:eastAsia="Calibri"/>
          <w:sz w:val="22"/>
          <w:szCs w:val="22"/>
          <w:lang w:eastAsia="en-US"/>
        </w:rPr>
        <w:t>и</w:t>
      </w:r>
      <w:r w:rsidRPr="00281602">
        <w:rPr>
          <w:rFonts w:eastAsia="Calibri"/>
          <w:sz w:val="22"/>
          <w:szCs w:val="22"/>
          <w:lang w:eastAsia="en-US"/>
        </w:rPr>
        <w:t>чия электронной библиотечной системы, общей площади учебно-лабораторных помещений в расчете на одного студента, площади помещений по способу их использования.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Учебно-методическую обеспеченность следует оценивать не только в целом по ВУЗу, но и по конкретным образовательным программам. При проведении анализа необходимо учитывать сл</w:t>
      </w:r>
      <w:r w:rsidRPr="00281602">
        <w:rPr>
          <w:rFonts w:eastAsia="Calibri"/>
          <w:sz w:val="22"/>
          <w:szCs w:val="22"/>
          <w:lang w:eastAsia="en-US"/>
        </w:rPr>
        <w:t>е</w:t>
      </w:r>
      <w:r w:rsidRPr="00281602">
        <w:rPr>
          <w:rFonts w:eastAsia="Calibri"/>
          <w:sz w:val="22"/>
          <w:szCs w:val="22"/>
          <w:lang w:eastAsia="en-US"/>
        </w:rPr>
        <w:t>дующие показатели: количество изданий из списков основной и д</w:t>
      </w:r>
      <w:r w:rsidRPr="00281602">
        <w:rPr>
          <w:rFonts w:eastAsia="Calibri"/>
          <w:sz w:val="22"/>
          <w:szCs w:val="22"/>
          <w:lang w:eastAsia="en-US"/>
        </w:rPr>
        <w:t>о</w:t>
      </w:r>
      <w:r w:rsidRPr="00281602">
        <w:rPr>
          <w:rFonts w:eastAsia="Calibri"/>
          <w:sz w:val="22"/>
          <w:szCs w:val="22"/>
          <w:lang w:eastAsia="en-US"/>
        </w:rPr>
        <w:t>полнительной литературы на обучающегося, наличие учебного и научно-исследовательского программного обеспечения, собстве</w:t>
      </w:r>
      <w:r w:rsidRPr="00281602">
        <w:rPr>
          <w:rFonts w:eastAsia="Calibri"/>
          <w:sz w:val="22"/>
          <w:szCs w:val="22"/>
          <w:lang w:eastAsia="en-US"/>
        </w:rPr>
        <w:t>н</w:t>
      </w:r>
      <w:r w:rsidRPr="00281602">
        <w:rPr>
          <w:rFonts w:eastAsia="Calibri"/>
          <w:sz w:val="22"/>
          <w:szCs w:val="22"/>
          <w:lang w:eastAsia="en-US"/>
        </w:rPr>
        <w:t>ной ЭБС, а также доступа к сторонним ЭБС, обеспеченность обр</w:t>
      </w:r>
      <w:r w:rsidRPr="00281602">
        <w:rPr>
          <w:rFonts w:eastAsia="Calibri"/>
          <w:sz w:val="22"/>
          <w:szCs w:val="22"/>
          <w:lang w:eastAsia="en-US"/>
        </w:rPr>
        <w:t>а</w:t>
      </w:r>
      <w:r w:rsidRPr="00281602">
        <w:rPr>
          <w:rFonts w:eastAsia="Calibri"/>
          <w:sz w:val="22"/>
          <w:szCs w:val="22"/>
          <w:lang w:eastAsia="en-US"/>
        </w:rPr>
        <w:t>зовательного процесса собственными учебными материалами.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 анализе кадрового обеспечения образовательной организ</w:t>
      </w:r>
      <w:r w:rsidRPr="00281602">
        <w:rPr>
          <w:rFonts w:eastAsia="Calibri"/>
          <w:sz w:val="22"/>
          <w:szCs w:val="22"/>
          <w:lang w:eastAsia="en-US"/>
        </w:rPr>
        <w:t>а</w:t>
      </w:r>
      <w:r w:rsidRPr="00281602">
        <w:rPr>
          <w:rFonts w:eastAsia="Calibri"/>
          <w:sz w:val="22"/>
          <w:szCs w:val="22"/>
          <w:lang w:eastAsia="en-US"/>
        </w:rPr>
        <w:t>ции не стоит ограничиваться только показателями, представленн</w:t>
      </w:r>
      <w:r w:rsidRPr="00281602">
        <w:rPr>
          <w:rFonts w:eastAsia="Calibri"/>
          <w:sz w:val="22"/>
          <w:szCs w:val="22"/>
          <w:lang w:eastAsia="en-US"/>
        </w:rPr>
        <w:t>ы</w:t>
      </w:r>
      <w:r w:rsidRPr="00281602">
        <w:rPr>
          <w:rFonts w:eastAsia="Calibri"/>
          <w:sz w:val="22"/>
          <w:szCs w:val="22"/>
          <w:lang w:eastAsia="en-US"/>
        </w:rPr>
        <w:t>ми в методике мониторинга деятельности ВУЗов. В</w:t>
      </w:r>
      <w:r w:rsidRPr="00281602">
        <w:rPr>
          <w:rFonts w:eastAsia="Calibri"/>
          <w:sz w:val="22"/>
          <w:szCs w:val="22"/>
          <w:lang w:val="en-US" w:eastAsia="en-US"/>
        </w:rPr>
        <w:t> </w:t>
      </w:r>
      <w:r w:rsidRPr="00281602">
        <w:rPr>
          <w:rFonts w:eastAsia="Calibri"/>
          <w:sz w:val="22"/>
          <w:szCs w:val="22"/>
          <w:lang w:eastAsia="en-US"/>
        </w:rPr>
        <w:t>целом, метод</w:t>
      </w:r>
      <w:r w:rsidRPr="00281602">
        <w:rPr>
          <w:rFonts w:eastAsia="Calibri"/>
          <w:sz w:val="22"/>
          <w:szCs w:val="22"/>
          <w:lang w:eastAsia="en-US"/>
        </w:rPr>
        <w:t>и</w:t>
      </w:r>
      <w:r w:rsidRPr="00281602">
        <w:rPr>
          <w:rFonts w:eastAsia="Calibri"/>
          <w:sz w:val="22"/>
          <w:szCs w:val="22"/>
          <w:lang w:eastAsia="en-US"/>
        </w:rPr>
        <w:t>ка предусматривает оценку кадрового потенциала организации с учетом общей численности работников, ППС, научных работников, доли ППС и научных работников, имеющих ученые степени, во</w:t>
      </w:r>
      <w:r w:rsidRPr="00281602">
        <w:rPr>
          <w:rFonts w:eastAsia="Calibri"/>
          <w:sz w:val="22"/>
          <w:szCs w:val="22"/>
          <w:lang w:eastAsia="en-US"/>
        </w:rPr>
        <w:t>з</w:t>
      </w:r>
      <w:r w:rsidRPr="00281602">
        <w:rPr>
          <w:rFonts w:eastAsia="Calibri"/>
          <w:sz w:val="22"/>
          <w:szCs w:val="22"/>
          <w:lang w:eastAsia="en-US"/>
        </w:rPr>
        <w:t>растной категории моложе 65 лет/моложе 40</w:t>
      </w:r>
      <w:r w:rsidRPr="00281602">
        <w:rPr>
          <w:rFonts w:eastAsia="Calibri"/>
          <w:sz w:val="22"/>
          <w:szCs w:val="22"/>
          <w:lang w:val="en-US" w:eastAsia="en-US"/>
        </w:rPr>
        <w:t> </w:t>
      </w:r>
      <w:r w:rsidRPr="00281602">
        <w:rPr>
          <w:rFonts w:eastAsia="Calibri"/>
          <w:sz w:val="22"/>
          <w:szCs w:val="22"/>
          <w:lang w:eastAsia="en-US"/>
        </w:rPr>
        <w:t>лет. Анализ кадрового обеспечения организации должен включать в себя оценку педагог</w:t>
      </w:r>
      <w:r w:rsidRPr="00281602">
        <w:rPr>
          <w:rFonts w:eastAsia="Calibri"/>
          <w:sz w:val="22"/>
          <w:szCs w:val="22"/>
          <w:lang w:eastAsia="en-US"/>
        </w:rPr>
        <w:t>и</w:t>
      </w:r>
      <w:r w:rsidRPr="00281602">
        <w:rPr>
          <w:rFonts w:eastAsia="Calibri"/>
          <w:sz w:val="22"/>
          <w:szCs w:val="22"/>
          <w:lang w:eastAsia="en-US"/>
        </w:rPr>
        <w:t>ческих навыков ППС, наличия у</w:t>
      </w:r>
      <w:r w:rsidRPr="00281602">
        <w:rPr>
          <w:rFonts w:eastAsia="Calibri"/>
          <w:sz w:val="22"/>
          <w:szCs w:val="22"/>
          <w:lang w:val="en-US" w:eastAsia="en-US"/>
        </w:rPr>
        <w:t> </w:t>
      </w:r>
      <w:r w:rsidRPr="00281602">
        <w:rPr>
          <w:rFonts w:eastAsia="Calibri"/>
          <w:sz w:val="22"/>
          <w:szCs w:val="22"/>
          <w:lang w:eastAsia="en-US"/>
        </w:rPr>
        <w:t>его представителей базового обр</w:t>
      </w:r>
      <w:r w:rsidRPr="00281602">
        <w:rPr>
          <w:rFonts w:eastAsia="Calibri"/>
          <w:sz w:val="22"/>
          <w:szCs w:val="22"/>
          <w:lang w:eastAsia="en-US"/>
        </w:rPr>
        <w:t>а</w:t>
      </w:r>
      <w:r w:rsidRPr="00281602">
        <w:rPr>
          <w:rFonts w:eastAsia="Calibri"/>
          <w:sz w:val="22"/>
          <w:szCs w:val="22"/>
          <w:lang w:eastAsia="en-US"/>
        </w:rPr>
        <w:t>зования, соответствующего профилю преподаваемых дисциплин, прохождения стажировок, курсов повышения квалификации, гото</w:t>
      </w:r>
      <w:r w:rsidRPr="00281602">
        <w:rPr>
          <w:rFonts w:eastAsia="Calibri"/>
          <w:sz w:val="22"/>
          <w:szCs w:val="22"/>
          <w:lang w:eastAsia="en-US"/>
        </w:rPr>
        <w:t>в</w:t>
      </w:r>
      <w:r w:rsidRPr="00281602">
        <w:rPr>
          <w:rFonts w:eastAsia="Calibri"/>
          <w:sz w:val="22"/>
          <w:szCs w:val="22"/>
          <w:lang w:eastAsia="en-US"/>
        </w:rPr>
        <w:t>ности к проведению факультативных занятий, соотношения оценок по ВКР обучающихся, закрепленных за конкретным преподават</w:t>
      </w:r>
      <w:r w:rsidRPr="00281602">
        <w:rPr>
          <w:rFonts w:eastAsia="Calibri"/>
          <w:sz w:val="22"/>
          <w:szCs w:val="22"/>
          <w:lang w:eastAsia="en-US"/>
        </w:rPr>
        <w:t>е</w:t>
      </w:r>
      <w:r w:rsidRPr="00281602">
        <w:rPr>
          <w:rFonts w:eastAsia="Calibri"/>
          <w:sz w:val="22"/>
          <w:szCs w:val="22"/>
          <w:lang w:eastAsia="en-US"/>
        </w:rPr>
        <w:t xml:space="preserve">лем и т. д. </w:t>
      </w:r>
    </w:p>
    <w:p w:rsidR="00281602" w:rsidRPr="00281602" w:rsidRDefault="00281602" w:rsidP="00281602">
      <w:pPr>
        <w:ind w:firstLine="425"/>
        <w:jc w:val="both"/>
        <w:rPr>
          <w:rFonts w:eastAsia="Calibri"/>
          <w:lang w:eastAsia="en-US"/>
        </w:rPr>
      </w:pPr>
      <w:r w:rsidRPr="00281602">
        <w:rPr>
          <w:rFonts w:eastAsia="Calibri"/>
          <w:sz w:val="22"/>
          <w:szCs w:val="22"/>
          <w:lang w:eastAsia="en-US"/>
        </w:rPr>
        <w:t>В данной работе была произведена попытка детерминирования оценочной базы для обозначенной методологии. Отметим, что при дальнейшей работе в данном направлении эта база может быть дополнена, в том числе для определения коррелирующих показат</w:t>
      </w:r>
      <w:r w:rsidRPr="00281602">
        <w:rPr>
          <w:rFonts w:eastAsia="Calibri"/>
          <w:sz w:val="22"/>
          <w:szCs w:val="22"/>
          <w:lang w:eastAsia="en-US"/>
        </w:rPr>
        <w:t>е</w:t>
      </w:r>
      <w:r w:rsidRPr="00281602">
        <w:rPr>
          <w:rFonts w:eastAsia="Calibri"/>
          <w:sz w:val="22"/>
          <w:szCs w:val="22"/>
          <w:lang w:eastAsia="en-US"/>
        </w:rPr>
        <w:t xml:space="preserve">лей, что позволит более точно сформировать методику оценки </w:t>
      </w:r>
      <w:r w:rsidR="003B37B7">
        <w:rPr>
          <w:rFonts w:eastAsia="Calibri"/>
          <w:sz w:val="22"/>
          <w:szCs w:val="22"/>
          <w:lang w:eastAsia="en-US"/>
        </w:rPr>
        <w:t>в</w:t>
      </w:r>
      <w:r w:rsidR="003B37B7">
        <w:rPr>
          <w:rFonts w:eastAsia="Calibri"/>
          <w:sz w:val="22"/>
          <w:szCs w:val="22"/>
          <w:lang w:eastAsia="en-US"/>
        </w:rPr>
        <w:t>у</w:t>
      </w:r>
      <w:r w:rsidR="003B37B7">
        <w:rPr>
          <w:rFonts w:eastAsia="Calibri"/>
          <w:sz w:val="22"/>
          <w:szCs w:val="22"/>
          <w:lang w:eastAsia="en-US"/>
        </w:rPr>
        <w:t>з</w:t>
      </w:r>
      <w:r w:rsidRPr="00281602">
        <w:rPr>
          <w:rFonts w:eastAsia="Calibri"/>
          <w:sz w:val="22"/>
          <w:szCs w:val="22"/>
          <w:lang w:eastAsia="en-US"/>
        </w:rPr>
        <w:t>ов.</w:t>
      </w:r>
    </w:p>
    <w:p w:rsidR="00281602" w:rsidRPr="00281602" w:rsidRDefault="00281602" w:rsidP="00281602">
      <w:pPr>
        <w:ind w:firstLine="425"/>
        <w:jc w:val="both"/>
        <w:rPr>
          <w:rFonts w:eastAsia="Calibri"/>
          <w:sz w:val="22"/>
          <w:szCs w:val="22"/>
          <w:lang w:eastAsia="en-US"/>
        </w:rPr>
      </w:pPr>
    </w:p>
    <w:p w:rsidR="003B37B7" w:rsidRPr="00281602" w:rsidRDefault="003B37B7" w:rsidP="00CC1F5C">
      <w:pPr>
        <w:jc w:val="both"/>
        <w:rPr>
          <w:rFonts w:eastAsia="Calibri"/>
          <w:sz w:val="22"/>
          <w:szCs w:val="22"/>
          <w:lang w:eastAsia="en-US"/>
        </w:rPr>
      </w:pPr>
    </w:p>
    <w:p w:rsidR="00281602" w:rsidRPr="00281602" w:rsidRDefault="00281602" w:rsidP="00281602">
      <w:pPr>
        <w:widowControl w:val="0"/>
        <w:tabs>
          <w:tab w:val="left" w:pos="8223"/>
        </w:tabs>
        <w:jc w:val="both"/>
        <w:rPr>
          <w:rFonts w:eastAsia="Courier New"/>
          <w:color w:val="000000"/>
          <w:sz w:val="22"/>
          <w:szCs w:val="22"/>
          <w:lang w:eastAsia="en-US"/>
        </w:rPr>
      </w:pPr>
      <w:r w:rsidRPr="00281602">
        <w:rPr>
          <w:rFonts w:eastAsia="Courier New"/>
          <w:color w:val="000000"/>
          <w:sz w:val="22"/>
          <w:szCs w:val="22"/>
          <w:lang w:eastAsia="en-US"/>
        </w:rPr>
        <w:lastRenderedPageBreak/>
        <w:t>УДК 004.43:004.942;534.11</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autoSpaceDE w:val="0"/>
        <w:autoSpaceDN w:val="0"/>
        <w:adjustRightInd w:val="0"/>
        <w:jc w:val="center"/>
        <w:rPr>
          <w:rFonts w:eastAsia="TimesNewRoman"/>
          <w:b/>
          <w:bCs/>
          <w:color w:val="000000"/>
          <w:sz w:val="24"/>
          <w:szCs w:val="24"/>
          <w:lang w:eastAsia="en-US"/>
        </w:rPr>
      </w:pPr>
      <w:r w:rsidRPr="00281602">
        <w:rPr>
          <w:rFonts w:eastAsia="TimesNewRoman"/>
          <w:b/>
          <w:bCs/>
          <w:color w:val="000000"/>
          <w:sz w:val="24"/>
          <w:szCs w:val="24"/>
          <w:lang w:eastAsia="en-US"/>
        </w:rPr>
        <w:t>Реализация модели двойного маятника на С++</w:t>
      </w:r>
    </w:p>
    <w:p w:rsidR="00281602" w:rsidRPr="00281602" w:rsidRDefault="00281602" w:rsidP="00281602">
      <w:pPr>
        <w:autoSpaceDE w:val="0"/>
        <w:autoSpaceDN w:val="0"/>
        <w:adjustRightInd w:val="0"/>
        <w:jc w:val="center"/>
        <w:rPr>
          <w:rFonts w:eastAsia="TimesNewRoman"/>
          <w:b/>
          <w:bCs/>
          <w:color w:val="000000"/>
          <w:sz w:val="24"/>
          <w:szCs w:val="24"/>
          <w:lang w:val="en-US" w:eastAsia="en-US"/>
        </w:rPr>
      </w:pPr>
      <w:r w:rsidRPr="00281602">
        <w:rPr>
          <w:rFonts w:eastAsia="TimesNewRoman"/>
          <w:b/>
          <w:bCs/>
          <w:color w:val="000000"/>
          <w:sz w:val="24"/>
          <w:szCs w:val="24"/>
          <w:lang w:val="en-US" w:eastAsia="en-US"/>
        </w:rPr>
        <w:t>Implementing a double pendulum model in C++</w:t>
      </w:r>
    </w:p>
    <w:p w:rsidR="00281602" w:rsidRPr="00281602" w:rsidRDefault="00281602" w:rsidP="00281602">
      <w:pPr>
        <w:autoSpaceDE w:val="0"/>
        <w:autoSpaceDN w:val="0"/>
        <w:adjustRightInd w:val="0"/>
        <w:ind w:firstLine="425"/>
        <w:jc w:val="both"/>
        <w:rPr>
          <w:rFonts w:eastAsia="TimesNewRoman"/>
          <w:b/>
          <w:bCs/>
          <w:color w:val="000000"/>
          <w:sz w:val="24"/>
          <w:szCs w:val="24"/>
          <w:lang w:val="en-US" w:eastAsia="en-US"/>
        </w:rPr>
      </w:pPr>
    </w:p>
    <w:p w:rsidR="00281602" w:rsidRPr="00281602" w:rsidRDefault="00281602" w:rsidP="000C4264">
      <w:pPr>
        <w:widowControl w:val="0"/>
        <w:tabs>
          <w:tab w:val="left" w:pos="8223"/>
        </w:tabs>
        <w:jc w:val="right"/>
        <w:rPr>
          <w:rFonts w:eastAsia="Courier New"/>
          <w:color w:val="000000"/>
          <w:sz w:val="22"/>
          <w:szCs w:val="22"/>
          <w:lang w:eastAsia="en-US"/>
        </w:rPr>
      </w:pPr>
      <w:r w:rsidRPr="00281602">
        <w:rPr>
          <w:rFonts w:eastAsia="Courier New"/>
          <w:color w:val="000000"/>
          <w:sz w:val="22"/>
          <w:szCs w:val="22"/>
          <w:lang w:eastAsia="en-US"/>
        </w:rPr>
        <w:t>Донской И. С.,</w:t>
      </w:r>
      <w:r w:rsidR="000C4264">
        <w:rPr>
          <w:rFonts w:eastAsia="Courier New"/>
          <w:color w:val="000000"/>
          <w:sz w:val="22"/>
          <w:szCs w:val="22"/>
          <w:lang w:eastAsia="en-US"/>
        </w:rPr>
        <w:t xml:space="preserve"> </w:t>
      </w:r>
      <w:r w:rsidR="003B37B7">
        <w:rPr>
          <w:rFonts w:eastAsia="Courier New"/>
          <w:color w:val="000000"/>
          <w:sz w:val="22"/>
          <w:szCs w:val="22"/>
          <w:lang w:eastAsia="en-US"/>
        </w:rPr>
        <w:t>Будникова А. А.,</w:t>
      </w:r>
    </w:p>
    <w:p w:rsidR="00281602" w:rsidRPr="00281602" w:rsidRDefault="000C4264" w:rsidP="00281602">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студенты</w:t>
      </w:r>
      <w:r w:rsidR="00281602" w:rsidRPr="00281602">
        <w:rPr>
          <w:rFonts w:eastAsia="Courier New"/>
          <w:color w:val="000000"/>
          <w:sz w:val="22"/>
          <w:szCs w:val="22"/>
          <w:lang w:eastAsia="en-US"/>
        </w:rPr>
        <w:t xml:space="preserve"> 2-го курса фа</w:t>
      </w:r>
      <w:r w:rsidR="003B37B7">
        <w:rPr>
          <w:rFonts w:eastAsia="Courier New"/>
          <w:color w:val="000000"/>
          <w:sz w:val="22"/>
          <w:szCs w:val="22"/>
          <w:lang w:eastAsia="en-US"/>
        </w:rPr>
        <w:t>культета прикладной информатики</w:t>
      </w:r>
    </w:p>
    <w:p w:rsidR="00281602" w:rsidRPr="00281602" w:rsidRDefault="00281602" w:rsidP="00281602">
      <w:pPr>
        <w:widowControl w:val="0"/>
        <w:tabs>
          <w:tab w:val="left" w:pos="8223"/>
        </w:tabs>
        <w:jc w:val="right"/>
        <w:rPr>
          <w:rFonts w:eastAsia="Courier New"/>
          <w:color w:val="000000"/>
          <w:sz w:val="22"/>
          <w:szCs w:val="22"/>
          <w:lang w:eastAsia="en-US"/>
        </w:rPr>
      </w:pPr>
      <w:r w:rsidRPr="00281602">
        <w:rPr>
          <w:rFonts w:eastAsia="Courier New"/>
          <w:color w:val="000000"/>
          <w:sz w:val="22"/>
          <w:szCs w:val="22"/>
          <w:lang w:eastAsia="en-US"/>
        </w:rPr>
        <w:t>Крамаренко Т. А.,</w:t>
      </w:r>
    </w:p>
    <w:p w:rsidR="00281602" w:rsidRPr="00281602" w:rsidRDefault="00281602" w:rsidP="00281602">
      <w:pPr>
        <w:widowControl w:val="0"/>
        <w:tabs>
          <w:tab w:val="left" w:pos="8223"/>
        </w:tabs>
        <w:jc w:val="right"/>
        <w:rPr>
          <w:rFonts w:eastAsia="Courier New"/>
          <w:color w:val="000000"/>
          <w:sz w:val="22"/>
          <w:szCs w:val="22"/>
          <w:lang w:eastAsia="en-US"/>
        </w:rPr>
      </w:pPr>
      <w:r w:rsidRPr="00281602">
        <w:rPr>
          <w:rFonts w:eastAsia="Courier New"/>
          <w:color w:val="000000"/>
          <w:sz w:val="22"/>
          <w:szCs w:val="22"/>
          <w:lang w:eastAsia="en-US"/>
        </w:rPr>
        <w:t>доцент кафедры системного анализа и обработки информации</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Куб</w:t>
      </w:r>
      <w:r w:rsidR="003B37B7">
        <w:rPr>
          <w:rFonts w:eastAsia="Calibri"/>
          <w:sz w:val="22"/>
          <w:szCs w:val="22"/>
          <w:lang w:eastAsia="en-US"/>
        </w:rPr>
        <w:t>анский государственный аграрный</w:t>
      </w: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университет им. И. Т. Трубилина</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sz w:val="20"/>
          <w:szCs w:val="20"/>
        </w:rPr>
        <w:t xml:space="preserve">АННОТАЦИЯ: </w:t>
      </w:r>
      <w:r w:rsidRPr="00281602">
        <w:rPr>
          <w:rFonts w:eastAsia="TimesNewRoman"/>
          <w:color w:val="000000"/>
          <w:sz w:val="22"/>
          <w:szCs w:val="22"/>
          <w:lang w:eastAsia="en-US"/>
        </w:rPr>
        <w:t xml:space="preserve">В статье представлена программная реализация на С++ физической модели движения двух связанных маятников с использованием численных методов. </w:t>
      </w:r>
    </w:p>
    <w:p w:rsidR="00281602" w:rsidRPr="00281602" w:rsidRDefault="00281602" w:rsidP="00281602">
      <w:pPr>
        <w:autoSpaceDE w:val="0"/>
        <w:autoSpaceDN w:val="0"/>
        <w:adjustRightInd w:val="0"/>
        <w:ind w:firstLine="425"/>
        <w:jc w:val="both"/>
        <w:rPr>
          <w:spacing w:val="-4"/>
          <w:sz w:val="20"/>
          <w:szCs w:val="20"/>
          <w:lang w:val="en-US"/>
        </w:rPr>
      </w:pPr>
      <w:r w:rsidRPr="00281602">
        <w:rPr>
          <w:sz w:val="20"/>
          <w:szCs w:val="20"/>
          <w:lang w:val="en-US"/>
        </w:rPr>
        <w:t xml:space="preserve">ANNOTATION: </w:t>
      </w:r>
      <w:r w:rsidRPr="00281602">
        <w:rPr>
          <w:rFonts w:eastAsia="TimesNewRoman"/>
          <w:color w:val="000000"/>
          <w:sz w:val="22"/>
          <w:szCs w:val="22"/>
          <w:lang w:val="en-US" w:eastAsia="en-US"/>
        </w:rPr>
        <w:t>In this article presents a software implementation in C ++ of the physical model of motion of two coupled pendulums using numerical methods.</w:t>
      </w:r>
    </w:p>
    <w:p w:rsidR="00281602" w:rsidRPr="00281602" w:rsidRDefault="00281602" w:rsidP="003B37B7">
      <w:pPr>
        <w:autoSpaceDE w:val="0"/>
        <w:autoSpaceDN w:val="0"/>
        <w:adjustRightInd w:val="0"/>
        <w:ind w:firstLine="425"/>
        <w:jc w:val="both"/>
        <w:rPr>
          <w:rFonts w:eastAsia="TimesNewRoman"/>
          <w:color w:val="000000"/>
          <w:sz w:val="22"/>
          <w:szCs w:val="22"/>
          <w:lang w:eastAsia="en-US"/>
        </w:rPr>
      </w:pPr>
      <w:r w:rsidRPr="00281602">
        <w:rPr>
          <w:spacing w:val="-4"/>
          <w:sz w:val="20"/>
          <w:szCs w:val="20"/>
        </w:rPr>
        <w:t xml:space="preserve">КЛЮЧЕВЫЕ СЛОВА: </w:t>
      </w:r>
      <w:r w:rsidRPr="00281602">
        <w:rPr>
          <w:rFonts w:eastAsia="TimesNewRoman"/>
          <w:color w:val="000000"/>
          <w:sz w:val="22"/>
          <w:szCs w:val="22"/>
          <w:lang w:eastAsia="en-US"/>
        </w:rPr>
        <w:t>модель, колебания, двойной математич</w:t>
      </w:r>
      <w:r w:rsidRPr="00281602">
        <w:rPr>
          <w:rFonts w:eastAsia="TimesNewRoman"/>
          <w:color w:val="000000"/>
          <w:sz w:val="22"/>
          <w:szCs w:val="22"/>
          <w:lang w:eastAsia="en-US"/>
        </w:rPr>
        <w:t>е</w:t>
      </w:r>
      <w:r w:rsidRPr="00281602">
        <w:rPr>
          <w:rFonts w:eastAsia="TimesNewRoman"/>
          <w:color w:val="000000"/>
          <w:sz w:val="22"/>
          <w:szCs w:val="22"/>
          <w:lang w:eastAsia="en-US"/>
        </w:rPr>
        <w:t>ский маятник, приложение, объектно-ориентированное программ</w:t>
      </w:r>
      <w:r w:rsidRPr="00281602">
        <w:rPr>
          <w:rFonts w:eastAsia="TimesNewRoman"/>
          <w:color w:val="000000"/>
          <w:sz w:val="22"/>
          <w:szCs w:val="22"/>
          <w:lang w:eastAsia="en-US"/>
        </w:rPr>
        <w:t>и</w:t>
      </w:r>
      <w:r w:rsidRPr="00281602">
        <w:rPr>
          <w:rFonts w:eastAsia="TimesNewRoman"/>
          <w:color w:val="000000"/>
          <w:sz w:val="22"/>
          <w:szCs w:val="22"/>
          <w:lang w:eastAsia="en-US"/>
        </w:rPr>
        <w:t>рование, язык C++.</w:t>
      </w:r>
    </w:p>
    <w:p w:rsidR="00281602" w:rsidRPr="00281602" w:rsidRDefault="00281602" w:rsidP="00281602">
      <w:pPr>
        <w:autoSpaceDE w:val="0"/>
        <w:autoSpaceDN w:val="0"/>
        <w:adjustRightInd w:val="0"/>
        <w:ind w:firstLine="425"/>
        <w:jc w:val="both"/>
        <w:rPr>
          <w:rFonts w:eastAsia="TimesNewRoman"/>
          <w:color w:val="000000"/>
          <w:sz w:val="22"/>
          <w:szCs w:val="22"/>
          <w:lang w:val="en-US" w:eastAsia="en-US"/>
        </w:rPr>
      </w:pPr>
      <w:r w:rsidRPr="00281602">
        <w:rPr>
          <w:sz w:val="20"/>
          <w:szCs w:val="20"/>
          <w:lang w:val="en-US"/>
        </w:rPr>
        <w:t xml:space="preserve">KEYWORDS: </w:t>
      </w:r>
      <w:r w:rsidRPr="00281602">
        <w:rPr>
          <w:rFonts w:eastAsia="TimesNewRoman"/>
          <w:color w:val="000000"/>
          <w:sz w:val="22"/>
          <w:szCs w:val="22"/>
          <w:lang w:val="en-US" w:eastAsia="en-US"/>
        </w:rPr>
        <w:t>model, oscillation, double mathematical pendulum, application, object-oriented programming, the C++language.</w:t>
      </w:r>
    </w:p>
    <w:p w:rsidR="00281602" w:rsidRPr="00281602" w:rsidRDefault="00281602" w:rsidP="00281602">
      <w:pPr>
        <w:autoSpaceDE w:val="0"/>
        <w:autoSpaceDN w:val="0"/>
        <w:adjustRightInd w:val="0"/>
        <w:ind w:firstLine="425"/>
        <w:jc w:val="both"/>
        <w:rPr>
          <w:rFonts w:eastAsia="TimesNewRoman"/>
          <w:color w:val="000000"/>
          <w:sz w:val="22"/>
          <w:szCs w:val="22"/>
          <w:lang w:val="en-US" w:eastAsia="en-US"/>
        </w:rPr>
      </w:pP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Известно, что не все физические процессы можно наблюдать, изучать и исследовать в реальных масштабах, условиях и т. д. В практике часто используется моделирование процессов и явлений, в том числе, моделирование колебательных процессов различной природы (механические, электромагнитные). Так, например, мат</w:t>
      </w:r>
      <w:r w:rsidRPr="00281602">
        <w:rPr>
          <w:rFonts w:eastAsia="TimesNewRoman"/>
          <w:color w:val="000000"/>
          <w:sz w:val="22"/>
          <w:szCs w:val="22"/>
          <w:lang w:eastAsia="en-US"/>
        </w:rPr>
        <w:t>е</w:t>
      </w:r>
      <w:r w:rsidRPr="00281602">
        <w:rPr>
          <w:rFonts w:eastAsia="TimesNewRoman"/>
          <w:color w:val="000000"/>
          <w:sz w:val="22"/>
          <w:szCs w:val="22"/>
          <w:lang w:eastAsia="en-US"/>
        </w:rPr>
        <w:t>матический маятник служит простейшей моделью физического т</w:t>
      </w:r>
      <w:r w:rsidRPr="00281602">
        <w:rPr>
          <w:rFonts w:eastAsia="TimesNewRoman"/>
          <w:color w:val="000000"/>
          <w:sz w:val="22"/>
          <w:szCs w:val="22"/>
          <w:lang w:eastAsia="en-US"/>
        </w:rPr>
        <w:t>е</w:t>
      </w:r>
      <w:r w:rsidRPr="00281602">
        <w:rPr>
          <w:rFonts w:eastAsia="TimesNewRoman"/>
          <w:color w:val="000000"/>
          <w:sz w:val="22"/>
          <w:szCs w:val="22"/>
          <w:lang w:eastAsia="en-US"/>
        </w:rPr>
        <w:t>ла, совершающего колебания при движении по одной траектории между двумя предельными положениями. Такая модель не учит</w:t>
      </w:r>
      <w:r w:rsidRPr="00281602">
        <w:rPr>
          <w:rFonts w:eastAsia="TimesNewRoman"/>
          <w:color w:val="000000"/>
          <w:sz w:val="22"/>
          <w:szCs w:val="22"/>
          <w:lang w:eastAsia="en-US"/>
        </w:rPr>
        <w:t>ы</w:t>
      </w:r>
      <w:r w:rsidRPr="00281602">
        <w:rPr>
          <w:rFonts w:eastAsia="TimesNewRoman"/>
          <w:color w:val="000000"/>
          <w:sz w:val="22"/>
          <w:szCs w:val="22"/>
          <w:lang w:eastAsia="en-US"/>
        </w:rPr>
        <w:t>вает распределение массы. Примером колебательных движений м</w:t>
      </w:r>
      <w:r w:rsidRPr="00281602">
        <w:rPr>
          <w:rFonts w:eastAsia="TimesNewRoman"/>
          <w:color w:val="000000"/>
          <w:sz w:val="22"/>
          <w:szCs w:val="22"/>
          <w:lang w:eastAsia="en-US"/>
        </w:rPr>
        <w:t>е</w:t>
      </w:r>
      <w:r w:rsidRPr="00281602">
        <w:rPr>
          <w:rFonts w:eastAsia="TimesNewRoman"/>
          <w:color w:val="000000"/>
          <w:sz w:val="22"/>
          <w:szCs w:val="22"/>
          <w:lang w:eastAsia="en-US"/>
        </w:rPr>
        <w:t>ханической системы с двумя степенями свободы может служить двойной маятник – маятник с другим маятником, прикреплённым к его концу. Двойной математический маятник является простой ф</w:t>
      </w:r>
      <w:r w:rsidRPr="00281602">
        <w:rPr>
          <w:rFonts w:eastAsia="TimesNewRoman"/>
          <w:color w:val="000000"/>
          <w:sz w:val="22"/>
          <w:szCs w:val="22"/>
          <w:lang w:eastAsia="en-US"/>
        </w:rPr>
        <w:t>и</w:t>
      </w:r>
      <w:r w:rsidRPr="00281602">
        <w:rPr>
          <w:rFonts w:eastAsia="TimesNewRoman"/>
          <w:color w:val="000000"/>
          <w:sz w:val="22"/>
          <w:szCs w:val="22"/>
          <w:lang w:eastAsia="en-US"/>
        </w:rPr>
        <w:lastRenderedPageBreak/>
        <w:t>зической системой, которая проявляет разнообразное динамическое поведение со значительной зависимостью от начальных условий.</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Моделирование двойного маятника относится к сложно-формализуемым задачам, которые не решаются на должном уровне. Необходимо определить уравнение Лагранжа для расчета коорд</w:t>
      </w:r>
      <w:r w:rsidRPr="00281602">
        <w:rPr>
          <w:rFonts w:eastAsia="TimesNewRoman"/>
          <w:color w:val="000000"/>
          <w:sz w:val="22"/>
          <w:szCs w:val="22"/>
          <w:lang w:eastAsia="en-US"/>
        </w:rPr>
        <w:t>и</w:t>
      </w:r>
      <w:r w:rsidRPr="00281602">
        <w:rPr>
          <w:rFonts w:eastAsia="TimesNewRoman"/>
          <w:color w:val="000000"/>
          <w:sz w:val="22"/>
          <w:szCs w:val="22"/>
          <w:lang w:eastAsia="en-US"/>
        </w:rPr>
        <w:t>нат маятников и решать его с помощью метода Эйлера, чтобы м</w:t>
      </w:r>
      <w:r w:rsidRPr="00281602">
        <w:rPr>
          <w:rFonts w:eastAsia="TimesNewRoman"/>
          <w:color w:val="000000"/>
          <w:sz w:val="22"/>
          <w:szCs w:val="22"/>
          <w:lang w:eastAsia="en-US"/>
        </w:rPr>
        <w:t>о</w:t>
      </w:r>
      <w:r w:rsidRPr="00281602">
        <w:rPr>
          <w:rFonts w:eastAsia="TimesNewRoman"/>
          <w:color w:val="000000"/>
          <w:sz w:val="22"/>
          <w:szCs w:val="22"/>
          <w:lang w:eastAsia="en-US"/>
        </w:rPr>
        <w:t>делирование движения было максимально достоверным. В данной работе были проведены все необходимые расчеты, что позволило создать адекватную модель двойного маятника [1].</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Для создания клиентского приложения была выбрана среда для быстрой разработки интерфейсов приложений C++ Builder из пак</w:t>
      </w:r>
      <w:r w:rsidRPr="00281602">
        <w:rPr>
          <w:rFonts w:eastAsia="TimesNewRoman"/>
          <w:color w:val="000000"/>
          <w:sz w:val="22"/>
          <w:szCs w:val="22"/>
          <w:lang w:eastAsia="en-US"/>
        </w:rPr>
        <w:t>е</w:t>
      </w:r>
      <w:r w:rsidRPr="00281602">
        <w:rPr>
          <w:rFonts w:eastAsia="TimesNewRoman"/>
          <w:color w:val="000000"/>
          <w:sz w:val="22"/>
          <w:szCs w:val="22"/>
          <w:lang w:eastAsia="en-US"/>
        </w:rPr>
        <w:t>та Embarcadero RAD Studio XE, которая содержит достаточно ко</w:t>
      </w:r>
      <w:r w:rsidRPr="00281602">
        <w:rPr>
          <w:rFonts w:eastAsia="TimesNewRoman"/>
          <w:color w:val="000000"/>
          <w:sz w:val="22"/>
          <w:szCs w:val="22"/>
          <w:lang w:eastAsia="en-US"/>
        </w:rPr>
        <w:t>м</w:t>
      </w:r>
      <w:r w:rsidRPr="00281602">
        <w:rPr>
          <w:rFonts w:eastAsia="TimesNewRoman"/>
          <w:color w:val="000000"/>
          <w:sz w:val="22"/>
          <w:szCs w:val="22"/>
          <w:lang w:eastAsia="en-US"/>
        </w:rPr>
        <w:t>понентов для реализации интерфейса разрабатываемого прилож</w:t>
      </w:r>
      <w:r w:rsidRPr="00281602">
        <w:rPr>
          <w:rFonts w:eastAsia="TimesNewRoman"/>
          <w:color w:val="000000"/>
          <w:sz w:val="22"/>
          <w:szCs w:val="22"/>
          <w:lang w:eastAsia="en-US"/>
        </w:rPr>
        <w:t>е</w:t>
      </w:r>
      <w:r w:rsidRPr="00281602">
        <w:rPr>
          <w:rFonts w:eastAsia="TimesNewRoman"/>
          <w:color w:val="000000"/>
          <w:sz w:val="22"/>
          <w:szCs w:val="22"/>
          <w:lang w:eastAsia="en-US"/>
        </w:rPr>
        <w:t>ния, в том числе, вывода графиков, траектории движения маятников и т. д.</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После запуска приложения «Двойной маятник» открывается з</w:t>
      </w:r>
      <w:r w:rsidRPr="00281602">
        <w:rPr>
          <w:rFonts w:eastAsia="TimesNewRoman"/>
          <w:color w:val="000000"/>
          <w:sz w:val="22"/>
          <w:szCs w:val="22"/>
          <w:lang w:eastAsia="en-US"/>
        </w:rPr>
        <w:t>а</w:t>
      </w:r>
      <w:r w:rsidRPr="00281602">
        <w:rPr>
          <w:rFonts w:eastAsia="TimesNewRoman"/>
          <w:color w:val="000000"/>
          <w:sz w:val="22"/>
          <w:szCs w:val="22"/>
          <w:lang w:eastAsia="en-US"/>
        </w:rPr>
        <w:t>грузочная форма, на которой отображается меню. При щелчке на кнопку «О создателе» появляются краткие данные о разработчике программы. При нажатии кнопки «Справка» отображается  краткая теория о том, как совершаются колебания системы маятников.</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Для запуска модели нужно выбрать в главном окне М</w:t>
      </w:r>
      <w:r w:rsidRPr="00281602">
        <w:rPr>
          <w:rFonts w:eastAsia="TimesNewRoman"/>
          <w:color w:val="000000"/>
          <w:sz w:val="22"/>
          <w:szCs w:val="22"/>
          <w:lang w:eastAsia="en-US"/>
        </w:rPr>
        <w:t>е</w:t>
      </w:r>
      <w:r w:rsidRPr="00281602">
        <w:rPr>
          <w:rFonts w:eastAsia="TimesNewRoman"/>
          <w:color w:val="000000"/>
          <w:sz w:val="22"/>
          <w:szCs w:val="22"/>
          <w:lang w:eastAsia="en-US"/>
        </w:rPr>
        <w:t xml:space="preserve">ню→Маятники. </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Данная программа спроектирована таким образом, чтобы ее можно было использовать на интерактивной доске. Начальные зн</w:t>
      </w:r>
      <w:r w:rsidRPr="00281602">
        <w:rPr>
          <w:rFonts w:eastAsia="TimesNewRoman"/>
          <w:color w:val="000000"/>
          <w:sz w:val="22"/>
          <w:szCs w:val="22"/>
          <w:lang w:eastAsia="en-US"/>
        </w:rPr>
        <w:t>а</w:t>
      </w:r>
      <w:r w:rsidRPr="00281602">
        <w:rPr>
          <w:rFonts w:eastAsia="TimesNewRoman"/>
          <w:color w:val="000000"/>
          <w:sz w:val="22"/>
          <w:szCs w:val="22"/>
          <w:lang w:eastAsia="en-US"/>
        </w:rPr>
        <w:t>чения двух маятников на длинных невесомых стержнях задаются с помощью ползунков.</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Так, перед запуском на выполнение можно задать:</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1. Угол отклонения 1-го и 2-го мятников от –1800 до 1800.</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2. Начальную скорость 1-го и 2-го мятников от –25 до 25.</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3. Массу первого и второго мятников от 5 до 25.</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4. Длину стержня у первого и второго мятников от 10 до 300.</w:t>
      </w:r>
    </w:p>
    <w:p w:rsidR="00281602" w:rsidRPr="00281602" w:rsidRDefault="00281602" w:rsidP="00281602">
      <w:pPr>
        <w:autoSpaceDE w:val="0"/>
        <w:autoSpaceDN w:val="0"/>
        <w:adjustRightInd w:val="0"/>
        <w:ind w:firstLine="425"/>
        <w:jc w:val="both"/>
        <w:rPr>
          <w:rFonts w:eastAsia="TimesNewRoman"/>
          <w:b/>
          <w:bCs/>
          <w:color w:val="000000"/>
          <w:sz w:val="22"/>
          <w:szCs w:val="22"/>
          <w:lang w:eastAsia="en-US"/>
        </w:rPr>
      </w:pPr>
      <w:r w:rsidRPr="00281602">
        <w:rPr>
          <w:rFonts w:eastAsia="TimesNewRoman"/>
          <w:color w:val="000000"/>
          <w:sz w:val="22"/>
          <w:szCs w:val="22"/>
          <w:lang w:eastAsia="en-US"/>
        </w:rPr>
        <w:t>Выставив начальные значения маятников, нужно нажать кно</w:t>
      </w:r>
      <w:r w:rsidRPr="00281602">
        <w:rPr>
          <w:rFonts w:eastAsia="TimesNewRoman"/>
          <w:color w:val="000000"/>
          <w:sz w:val="22"/>
          <w:szCs w:val="22"/>
          <w:lang w:eastAsia="en-US"/>
        </w:rPr>
        <w:t>п</w:t>
      </w:r>
      <w:r w:rsidRPr="00281602">
        <w:rPr>
          <w:rFonts w:eastAsia="TimesNewRoman"/>
          <w:color w:val="000000"/>
          <w:sz w:val="22"/>
          <w:szCs w:val="22"/>
          <w:lang w:eastAsia="en-US"/>
        </w:rPr>
        <w:t>ку «Запуск». Маятники начинают совершать колебательные незат</w:t>
      </w:r>
      <w:r w:rsidRPr="00281602">
        <w:rPr>
          <w:rFonts w:eastAsia="TimesNewRoman"/>
          <w:color w:val="000000"/>
          <w:sz w:val="22"/>
          <w:szCs w:val="22"/>
          <w:lang w:eastAsia="en-US"/>
        </w:rPr>
        <w:t>у</w:t>
      </w:r>
      <w:r w:rsidRPr="00281602">
        <w:rPr>
          <w:rFonts w:eastAsia="TimesNewRoman"/>
          <w:color w:val="000000"/>
          <w:sz w:val="22"/>
          <w:szCs w:val="22"/>
          <w:lang w:eastAsia="en-US"/>
        </w:rPr>
        <w:t xml:space="preserve">хающие колебания. При этом отображаются графики зависимости скорости от угла первого и второго маятников. Ниже располагается окно для отображения графиков зависимости ускорения от времени, скорости от времени и угла от времени. На рабочем поле можно включать отображение траекторий обоих маятников с помощью </w:t>
      </w:r>
      <w:r w:rsidRPr="00281602">
        <w:rPr>
          <w:rFonts w:eastAsia="TimesNewRoman"/>
          <w:color w:val="000000"/>
          <w:sz w:val="22"/>
          <w:szCs w:val="22"/>
          <w:lang w:eastAsia="en-US"/>
        </w:rPr>
        <w:lastRenderedPageBreak/>
        <w:t>флажков под кнопкой «Стоп». Кнопка «Стоп» останавливает ан</w:t>
      </w:r>
      <w:r w:rsidRPr="00281602">
        <w:rPr>
          <w:rFonts w:eastAsia="TimesNewRoman"/>
          <w:color w:val="000000"/>
          <w:sz w:val="22"/>
          <w:szCs w:val="22"/>
          <w:lang w:eastAsia="en-US"/>
        </w:rPr>
        <w:t>и</w:t>
      </w:r>
      <w:r w:rsidRPr="00281602">
        <w:rPr>
          <w:rFonts w:eastAsia="TimesNewRoman"/>
          <w:color w:val="000000"/>
          <w:sz w:val="22"/>
          <w:szCs w:val="22"/>
          <w:lang w:eastAsia="en-US"/>
        </w:rPr>
        <w:t>мацию. Чтобы закрыть программу нужно нажать Меню→Выход</w:t>
      </w:r>
      <w:r w:rsidRPr="00281602">
        <w:rPr>
          <w:rFonts w:eastAsia="TimesNewRoman"/>
          <w:b/>
          <w:bCs/>
          <w:color w:val="000000"/>
          <w:sz w:val="22"/>
          <w:szCs w:val="22"/>
          <w:lang w:eastAsia="en-US"/>
        </w:rPr>
        <w:t>.</w:t>
      </w:r>
    </w:p>
    <w:p w:rsidR="00281602" w:rsidRPr="00281602" w:rsidRDefault="00281602" w:rsidP="00281602">
      <w:pPr>
        <w:autoSpaceDE w:val="0"/>
        <w:autoSpaceDN w:val="0"/>
        <w:adjustRightInd w:val="0"/>
        <w:ind w:firstLine="425"/>
        <w:jc w:val="both"/>
        <w:rPr>
          <w:rFonts w:eastAsia="TimesNewRoman"/>
          <w:b/>
          <w:bCs/>
          <w:color w:val="000000"/>
          <w:sz w:val="22"/>
          <w:szCs w:val="22"/>
          <w:lang w:eastAsia="en-US"/>
        </w:rPr>
      </w:pPr>
      <w:r w:rsidRPr="00281602">
        <w:rPr>
          <w:rFonts w:eastAsia="TimesNewRoman"/>
          <w:color w:val="000000"/>
          <w:sz w:val="22"/>
          <w:szCs w:val="22"/>
          <w:lang w:eastAsia="en-US"/>
        </w:rPr>
        <w:t>Программа была протестирована на операционных системах: WindowsXP, Windows 7, Windows 8, Windows 10 [3].</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Подводя итоги, отметим, что созданное приложение можно и</w:t>
      </w:r>
      <w:r w:rsidRPr="00281602">
        <w:rPr>
          <w:rFonts w:eastAsia="TimesNewRoman"/>
          <w:color w:val="000000"/>
          <w:sz w:val="22"/>
          <w:szCs w:val="22"/>
          <w:lang w:eastAsia="en-US"/>
        </w:rPr>
        <w:t>с</w:t>
      </w:r>
      <w:r w:rsidRPr="00281602">
        <w:rPr>
          <w:rFonts w:eastAsia="TimesNewRoman"/>
          <w:color w:val="000000"/>
          <w:sz w:val="22"/>
          <w:szCs w:val="22"/>
          <w:lang w:eastAsia="en-US"/>
        </w:rPr>
        <w:t>пользовать как модель двойного маятника при исследовании кол</w:t>
      </w:r>
      <w:r w:rsidRPr="00281602">
        <w:rPr>
          <w:rFonts w:eastAsia="TimesNewRoman"/>
          <w:color w:val="000000"/>
          <w:sz w:val="22"/>
          <w:szCs w:val="22"/>
          <w:lang w:eastAsia="en-US"/>
        </w:rPr>
        <w:t>е</w:t>
      </w:r>
      <w:r w:rsidRPr="00281602">
        <w:rPr>
          <w:rFonts w:eastAsia="TimesNewRoman"/>
          <w:color w:val="000000"/>
          <w:sz w:val="22"/>
          <w:szCs w:val="22"/>
          <w:lang w:eastAsia="en-US"/>
        </w:rPr>
        <w:t>баний, а также как методическое пособие на занятиях по физике, во внеурочной деятельности – как виртуальную лабораторию, на зан</w:t>
      </w:r>
      <w:r w:rsidRPr="00281602">
        <w:rPr>
          <w:rFonts w:eastAsia="TimesNewRoman"/>
          <w:color w:val="000000"/>
          <w:sz w:val="22"/>
          <w:szCs w:val="22"/>
          <w:lang w:eastAsia="en-US"/>
        </w:rPr>
        <w:t>я</w:t>
      </w:r>
      <w:r w:rsidRPr="00281602">
        <w:rPr>
          <w:rFonts w:eastAsia="TimesNewRoman"/>
          <w:color w:val="000000"/>
          <w:sz w:val="22"/>
          <w:szCs w:val="22"/>
          <w:lang w:eastAsia="en-US"/>
        </w:rPr>
        <w:t>тиях по информатике и программированию – для демонстрации и изучения приложений, разработанных на языке объектно-ориентированного программирования С++.</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p>
    <w:p w:rsidR="00281602" w:rsidRPr="00281602" w:rsidRDefault="00281602" w:rsidP="00281602">
      <w:pPr>
        <w:autoSpaceDE w:val="0"/>
        <w:autoSpaceDN w:val="0"/>
        <w:adjustRightInd w:val="0"/>
        <w:ind w:firstLine="425"/>
        <w:jc w:val="center"/>
        <w:rPr>
          <w:rFonts w:eastAsia="TimesNewRoman"/>
          <w:color w:val="000000"/>
          <w:sz w:val="22"/>
          <w:szCs w:val="22"/>
          <w:lang w:eastAsia="en-US"/>
        </w:rPr>
      </w:pPr>
      <w:r w:rsidRPr="00281602">
        <w:rPr>
          <w:rFonts w:eastAsia="TimesNewRoman"/>
          <w:color w:val="000000"/>
          <w:sz w:val="22"/>
          <w:szCs w:val="22"/>
          <w:lang w:eastAsia="en-US"/>
        </w:rPr>
        <w:t>Список литературы</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1.</w:t>
      </w:r>
      <w:r w:rsidRPr="00281602">
        <w:rPr>
          <w:rFonts w:eastAsia="TimesNewRoman"/>
          <w:color w:val="000000"/>
          <w:sz w:val="22"/>
          <w:szCs w:val="22"/>
          <w:lang w:val="en-US" w:eastAsia="en-US"/>
        </w:rPr>
        <w:t> </w:t>
      </w:r>
      <w:r w:rsidRPr="00281602">
        <w:rPr>
          <w:rFonts w:eastAsia="TimesNewRoman"/>
          <w:color w:val="000000"/>
          <w:sz w:val="22"/>
          <w:szCs w:val="22"/>
          <w:lang w:eastAsia="en-US"/>
        </w:rPr>
        <w:t>Крамаренко Т.А. К вопросу моделирования колебательного процесса средствами объектно-ориентированного программиров</w:t>
      </w:r>
      <w:r w:rsidRPr="00281602">
        <w:rPr>
          <w:rFonts w:eastAsia="TimesNewRoman"/>
          <w:color w:val="000000"/>
          <w:sz w:val="22"/>
          <w:szCs w:val="22"/>
          <w:lang w:eastAsia="en-US"/>
        </w:rPr>
        <w:t>а</w:t>
      </w:r>
      <w:r w:rsidRPr="00281602">
        <w:rPr>
          <w:rFonts w:eastAsia="TimesNewRoman"/>
          <w:color w:val="000000"/>
          <w:sz w:val="22"/>
          <w:szCs w:val="22"/>
          <w:lang w:eastAsia="en-US"/>
        </w:rPr>
        <w:t>ния /  Т.А. Крамаренко, Т.В. Лукьяненко, И.С. Донской // Полит</w:t>
      </w:r>
      <w:r w:rsidRPr="00281602">
        <w:rPr>
          <w:rFonts w:eastAsia="TimesNewRoman"/>
          <w:color w:val="000000"/>
          <w:sz w:val="22"/>
          <w:szCs w:val="22"/>
          <w:lang w:eastAsia="en-US"/>
        </w:rPr>
        <w:t>е</w:t>
      </w:r>
      <w:r w:rsidRPr="00281602">
        <w:rPr>
          <w:rFonts w:eastAsia="TimesNewRoman"/>
          <w:color w:val="000000"/>
          <w:sz w:val="22"/>
          <w:szCs w:val="22"/>
          <w:lang w:eastAsia="en-US"/>
        </w:rPr>
        <w:t>матический сетевой электронный научный журнал Кубанского го</w:t>
      </w:r>
      <w:r w:rsidRPr="00281602">
        <w:rPr>
          <w:rFonts w:eastAsia="TimesNewRoman"/>
          <w:color w:val="000000"/>
          <w:sz w:val="22"/>
          <w:szCs w:val="22"/>
          <w:lang w:eastAsia="en-US"/>
        </w:rPr>
        <w:t>с</w:t>
      </w:r>
      <w:r w:rsidRPr="00281602">
        <w:rPr>
          <w:rFonts w:eastAsia="TimesNewRoman"/>
          <w:color w:val="000000"/>
          <w:sz w:val="22"/>
          <w:szCs w:val="22"/>
          <w:lang w:eastAsia="en-US"/>
        </w:rPr>
        <w:t>ударственного аграрного университета (Научный журнал КубГАУ) [Электронный ресурс]. – Краснодар :КубГАУ, 2017. – №08(132). С. 875–891.</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2.</w:t>
      </w:r>
      <w:r w:rsidRPr="00281602">
        <w:rPr>
          <w:rFonts w:eastAsia="TimesNewRoman"/>
          <w:color w:val="000000"/>
          <w:sz w:val="22"/>
          <w:szCs w:val="22"/>
          <w:lang w:val="en-US" w:eastAsia="en-US"/>
        </w:rPr>
        <w:t> </w:t>
      </w:r>
      <w:r w:rsidRPr="00281602">
        <w:rPr>
          <w:rFonts w:eastAsia="TimesNewRoman"/>
          <w:color w:val="000000"/>
          <w:sz w:val="22"/>
          <w:szCs w:val="22"/>
          <w:lang w:eastAsia="en-US"/>
        </w:rPr>
        <w:t>Крамаренко Т. А. Подготовка специалистов в системе вы</w:t>
      </w:r>
      <w:r w:rsidRPr="00281602">
        <w:rPr>
          <w:rFonts w:eastAsia="TimesNewRoman"/>
          <w:color w:val="000000"/>
          <w:sz w:val="22"/>
          <w:szCs w:val="22"/>
          <w:lang w:eastAsia="en-US"/>
        </w:rPr>
        <w:t>с</w:t>
      </w:r>
      <w:r w:rsidRPr="00281602">
        <w:rPr>
          <w:rFonts w:eastAsia="TimesNewRoman"/>
          <w:color w:val="000000"/>
          <w:sz w:val="22"/>
          <w:szCs w:val="22"/>
          <w:lang w:eastAsia="en-US"/>
        </w:rPr>
        <w:t>шего образования к созданию компьютерных средств обучения / Т. А. Крамаренко // Педагогический профессионализм в образов</w:t>
      </w:r>
      <w:r w:rsidRPr="00281602">
        <w:rPr>
          <w:rFonts w:eastAsia="TimesNewRoman"/>
          <w:color w:val="000000"/>
          <w:sz w:val="22"/>
          <w:szCs w:val="22"/>
          <w:lang w:eastAsia="en-US"/>
        </w:rPr>
        <w:t>а</w:t>
      </w:r>
      <w:r w:rsidRPr="00281602">
        <w:rPr>
          <w:rFonts w:eastAsia="TimesNewRoman"/>
          <w:color w:val="000000"/>
          <w:sz w:val="22"/>
          <w:szCs w:val="22"/>
          <w:lang w:eastAsia="en-US"/>
        </w:rPr>
        <w:t>нии : сб. науч. трудов XI Междунар. науч.-практ. конф, посвяще</w:t>
      </w:r>
      <w:r w:rsidRPr="00281602">
        <w:rPr>
          <w:rFonts w:eastAsia="TimesNewRoman"/>
          <w:color w:val="000000"/>
          <w:sz w:val="22"/>
          <w:szCs w:val="22"/>
          <w:lang w:eastAsia="en-US"/>
        </w:rPr>
        <w:t>н</w:t>
      </w:r>
      <w:r w:rsidRPr="00281602">
        <w:rPr>
          <w:rFonts w:eastAsia="TimesNewRoman"/>
          <w:color w:val="000000"/>
          <w:sz w:val="22"/>
          <w:szCs w:val="22"/>
          <w:lang w:eastAsia="en-US"/>
        </w:rPr>
        <w:t>ной 80-летию НГПУ, ФГБОУ ВПО Новосибирский гос. пед. ун-т. – Новосибирск : Изд-во НГПУ, 2015. – Ч. III. – С. 103–106.</w:t>
      </w:r>
    </w:p>
    <w:p w:rsidR="00281602" w:rsidRPr="00281602" w:rsidRDefault="00281602" w:rsidP="00281602">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3.</w:t>
      </w:r>
      <w:r w:rsidRPr="00281602">
        <w:rPr>
          <w:rFonts w:eastAsia="TimesNewRoman"/>
          <w:color w:val="000000"/>
          <w:sz w:val="22"/>
          <w:szCs w:val="22"/>
          <w:lang w:val="en-US" w:eastAsia="en-US"/>
        </w:rPr>
        <w:t> </w:t>
      </w:r>
      <w:r w:rsidRPr="00281602">
        <w:rPr>
          <w:rFonts w:eastAsia="TimesNewRoman"/>
          <w:color w:val="000000"/>
          <w:sz w:val="22"/>
          <w:szCs w:val="22"/>
          <w:lang w:eastAsia="en-US"/>
        </w:rPr>
        <w:t>Рыбалко М.</w:t>
      </w:r>
      <w:r w:rsidRPr="00281602">
        <w:rPr>
          <w:rFonts w:eastAsia="TimesNewRoman"/>
          <w:color w:val="000000"/>
          <w:sz w:val="22"/>
          <w:szCs w:val="22"/>
          <w:lang w:val="en-US" w:eastAsia="en-US"/>
        </w:rPr>
        <w:t> </w:t>
      </w:r>
      <w:r w:rsidRPr="00281602">
        <w:rPr>
          <w:rFonts w:eastAsia="TimesNewRoman"/>
          <w:color w:val="000000"/>
          <w:sz w:val="22"/>
          <w:szCs w:val="22"/>
          <w:lang w:eastAsia="en-US"/>
        </w:rPr>
        <w:t>А. Тестирование программного обеспечения, м</w:t>
      </w:r>
      <w:r w:rsidRPr="00281602">
        <w:rPr>
          <w:rFonts w:eastAsia="TimesNewRoman"/>
          <w:color w:val="000000"/>
          <w:sz w:val="22"/>
          <w:szCs w:val="22"/>
          <w:lang w:eastAsia="en-US"/>
        </w:rPr>
        <w:t>е</w:t>
      </w:r>
      <w:r w:rsidRPr="00281602">
        <w:rPr>
          <w:rFonts w:eastAsia="TimesNewRoman"/>
          <w:color w:val="000000"/>
          <w:sz w:val="22"/>
          <w:szCs w:val="22"/>
          <w:lang w:eastAsia="en-US"/>
        </w:rPr>
        <w:t>тоды тестирования / М. А. Рыбалко, Е. А. Иванова // Информацио</w:t>
      </w:r>
      <w:r w:rsidRPr="00281602">
        <w:rPr>
          <w:rFonts w:eastAsia="TimesNewRoman"/>
          <w:color w:val="000000"/>
          <w:sz w:val="22"/>
          <w:szCs w:val="22"/>
          <w:lang w:eastAsia="en-US"/>
        </w:rPr>
        <w:t>н</w:t>
      </w:r>
      <w:r w:rsidRPr="00281602">
        <w:rPr>
          <w:rFonts w:eastAsia="TimesNewRoman"/>
          <w:color w:val="000000"/>
          <w:sz w:val="22"/>
          <w:szCs w:val="22"/>
          <w:lang w:eastAsia="en-US"/>
        </w:rPr>
        <w:t>ное общество: современное состояние и перспективы развития : сб. материалов VIII студенческого Междунар. форума. – Красн</w:t>
      </w:r>
      <w:r w:rsidRPr="00281602">
        <w:rPr>
          <w:rFonts w:eastAsia="TimesNewRoman"/>
          <w:color w:val="000000"/>
          <w:sz w:val="22"/>
          <w:szCs w:val="22"/>
          <w:lang w:eastAsia="en-US"/>
        </w:rPr>
        <w:t>о</w:t>
      </w:r>
      <w:r w:rsidRPr="00281602">
        <w:rPr>
          <w:rFonts w:eastAsia="TimesNewRoman"/>
          <w:color w:val="000000"/>
          <w:sz w:val="22"/>
          <w:szCs w:val="22"/>
          <w:lang w:eastAsia="en-US"/>
        </w:rPr>
        <w:t>дар :КубГАУ, 2017. – С. 320–322.</w:t>
      </w:r>
    </w:p>
    <w:p w:rsidR="003B37B7" w:rsidRPr="00CC1F5C" w:rsidRDefault="00281602" w:rsidP="00CC1F5C">
      <w:pPr>
        <w:autoSpaceDE w:val="0"/>
        <w:autoSpaceDN w:val="0"/>
        <w:adjustRightInd w:val="0"/>
        <w:ind w:firstLine="425"/>
        <w:jc w:val="both"/>
        <w:rPr>
          <w:rFonts w:eastAsia="TimesNewRoman"/>
          <w:color w:val="000000"/>
          <w:sz w:val="22"/>
          <w:szCs w:val="22"/>
          <w:lang w:eastAsia="en-US"/>
        </w:rPr>
      </w:pPr>
      <w:r w:rsidRPr="00281602">
        <w:rPr>
          <w:rFonts w:eastAsia="TimesNewRoman"/>
          <w:color w:val="000000"/>
          <w:sz w:val="22"/>
          <w:szCs w:val="22"/>
          <w:lang w:eastAsia="en-US"/>
        </w:rPr>
        <w:t>4. Харламов В. И. Управление социально-экономической де</w:t>
      </w:r>
      <w:r w:rsidRPr="00281602">
        <w:rPr>
          <w:rFonts w:eastAsia="TimesNewRoman"/>
          <w:color w:val="000000"/>
          <w:sz w:val="22"/>
          <w:szCs w:val="22"/>
          <w:lang w:eastAsia="en-US"/>
        </w:rPr>
        <w:t>я</w:t>
      </w:r>
      <w:r w:rsidRPr="00281602">
        <w:rPr>
          <w:rFonts w:eastAsia="TimesNewRoman"/>
          <w:color w:val="000000"/>
          <w:sz w:val="22"/>
          <w:szCs w:val="22"/>
          <w:lang w:eastAsia="en-US"/>
        </w:rPr>
        <w:t xml:space="preserve">тельностью и актуальные вопросы реинжиниринга региональной системы управления потребительской кооперацией Краснодарского края / В. И. Харламов, А. Е. Вострокнутов, Н. Л. Христюк // Авт. </w:t>
      </w:r>
      <w:proofErr w:type="gramStart"/>
      <w:r w:rsidRPr="00281602">
        <w:rPr>
          <w:rFonts w:eastAsia="TimesNewRoman"/>
          <w:color w:val="000000"/>
          <w:sz w:val="22"/>
          <w:szCs w:val="22"/>
          <w:lang w:eastAsia="en-US"/>
        </w:rPr>
        <w:t>некоммерческая</w:t>
      </w:r>
      <w:proofErr w:type="gramEnd"/>
      <w:r w:rsidRPr="00281602">
        <w:rPr>
          <w:rFonts w:eastAsia="TimesNewRoman"/>
          <w:color w:val="000000"/>
          <w:sz w:val="22"/>
          <w:szCs w:val="22"/>
          <w:lang w:eastAsia="en-US"/>
        </w:rPr>
        <w:t xml:space="preserve"> орг. высш. проф. образования Центросоюза Ро</w:t>
      </w:r>
      <w:r w:rsidRPr="00281602">
        <w:rPr>
          <w:rFonts w:eastAsia="TimesNewRoman"/>
          <w:color w:val="000000"/>
          <w:sz w:val="22"/>
          <w:szCs w:val="22"/>
          <w:lang w:eastAsia="en-US"/>
        </w:rPr>
        <w:t>с</w:t>
      </w:r>
      <w:r w:rsidRPr="00281602">
        <w:rPr>
          <w:rFonts w:eastAsia="TimesNewRoman"/>
          <w:color w:val="000000"/>
          <w:sz w:val="22"/>
          <w:szCs w:val="22"/>
          <w:lang w:eastAsia="en-US"/>
        </w:rPr>
        <w:t>сийской Федерации «Российский ун-т кооперации», Краснодарский кооперативный ин-т (фил.). – Москва, 2007.</w:t>
      </w:r>
    </w:p>
    <w:p w:rsidR="00281602" w:rsidRPr="00281602" w:rsidRDefault="00281602" w:rsidP="00281602">
      <w:pPr>
        <w:widowControl w:val="0"/>
        <w:jc w:val="both"/>
        <w:rPr>
          <w:rFonts w:eastAsia="Courier New"/>
          <w:color w:val="000000"/>
          <w:sz w:val="22"/>
          <w:szCs w:val="22"/>
          <w:lang w:eastAsia="en-US"/>
        </w:rPr>
      </w:pPr>
      <w:r w:rsidRPr="00281602">
        <w:rPr>
          <w:rFonts w:eastAsia="Courier New"/>
          <w:color w:val="000000"/>
          <w:sz w:val="22"/>
          <w:szCs w:val="22"/>
          <w:lang w:eastAsia="en-US"/>
        </w:rPr>
        <w:lastRenderedPageBreak/>
        <w:t>УДК 004.89</w:t>
      </w:r>
    </w:p>
    <w:p w:rsidR="00281602" w:rsidRPr="00281602" w:rsidRDefault="00281602" w:rsidP="00281602">
      <w:pPr>
        <w:widowControl w:val="0"/>
        <w:ind w:firstLine="425"/>
        <w:jc w:val="both"/>
        <w:rPr>
          <w:rFonts w:eastAsia="Calibri"/>
          <w:sz w:val="22"/>
          <w:szCs w:val="22"/>
          <w:lang w:eastAsia="en-US"/>
        </w:rPr>
      </w:pPr>
    </w:p>
    <w:p w:rsidR="00281602" w:rsidRPr="00281602" w:rsidRDefault="00281602" w:rsidP="00281602">
      <w:pPr>
        <w:widowControl w:val="0"/>
        <w:jc w:val="center"/>
        <w:rPr>
          <w:rFonts w:eastAsia="Courier New"/>
          <w:b/>
          <w:color w:val="000000"/>
          <w:sz w:val="24"/>
          <w:szCs w:val="24"/>
          <w:lang w:eastAsia="en-US"/>
        </w:rPr>
      </w:pPr>
      <w:r w:rsidRPr="00281602">
        <w:rPr>
          <w:rFonts w:eastAsia="Courier New"/>
          <w:b/>
          <w:color w:val="000000"/>
          <w:sz w:val="24"/>
          <w:szCs w:val="24"/>
          <w:lang w:eastAsia="en-US"/>
        </w:rPr>
        <w:t>Современное изобразительное искусство в исполнении нейросети</w:t>
      </w:r>
    </w:p>
    <w:p w:rsidR="00281602" w:rsidRPr="00281602" w:rsidRDefault="00281602" w:rsidP="00281602">
      <w:pPr>
        <w:widowControl w:val="0"/>
        <w:jc w:val="center"/>
        <w:rPr>
          <w:rFonts w:eastAsia="Courier New"/>
          <w:b/>
          <w:color w:val="000000"/>
          <w:sz w:val="24"/>
          <w:szCs w:val="24"/>
          <w:lang w:val="en-US" w:eastAsia="en-US"/>
        </w:rPr>
      </w:pPr>
      <w:r w:rsidRPr="00281602">
        <w:rPr>
          <w:rFonts w:eastAsia="Courier New"/>
          <w:b/>
          <w:color w:val="000000"/>
          <w:sz w:val="24"/>
          <w:szCs w:val="24"/>
          <w:lang w:val="en-US" w:eastAsia="en-US"/>
        </w:rPr>
        <w:t>Modern arts in the performance of neural networks</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Дунская Л. К.,</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студентка 3-го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w:t>
      </w:r>
      <w:r w:rsidR="003B37B7">
        <w:rPr>
          <w:rFonts w:eastAsia="Courier New"/>
          <w:color w:val="000000"/>
          <w:sz w:val="22"/>
          <w:szCs w:val="22"/>
          <w:lang w:eastAsia="en-US"/>
        </w:rPr>
        <w:t>анский государственный 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АННОТАЦИЯ: В данной статье рассмотрен принцип работы нейросети, создающей картины. Алгоритм работы данной системы в настоящее время наиболее приближен к алгоритму создания ка</w:t>
      </w:r>
      <w:r w:rsidRPr="00281602">
        <w:rPr>
          <w:rFonts w:eastAsia="Courier New"/>
          <w:color w:val="000000"/>
          <w:sz w:val="22"/>
          <w:szCs w:val="22"/>
          <w:lang w:eastAsia="en-US"/>
        </w:rPr>
        <w:t>р</w:t>
      </w:r>
      <w:r w:rsidRPr="00281602">
        <w:rPr>
          <w:rFonts w:eastAsia="Courier New"/>
          <w:color w:val="000000"/>
          <w:sz w:val="22"/>
          <w:szCs w:val="22"/>
          <w:lang w:eastAsia="en-US"/>
        </w:rPr>
        <w:t>тин художниками.</w:t>
      </w:r>
    </w:p>
    <w:p w:rsidR="00281602" w:rsidRPr="00281602" w:rsidRDefault="00281602" w:rsidP="00281602">
      <w:pPr>
        <w:widowControl w:val="0"/>
        <w:tabs>
          <w:tab w:val="left" w:pos="8223"/>
        </w:tabs>
        <w:ind w:firstLine="425"/>
        <w:jc w:val="both"/>
        <w:rPr>
          <w:rFonts w:eastAsia="Calibri"/>
          <w:sz w:val="22"/>
          <w:szCs w:val="22"/>
          <w:lang w:val="en-US" w:eastAsia="en-US"/>
        </w:rPr>
      </w:pPr>
      <w:r w:rsidRPr="00281602">
        <w:rPr>
          <w:rFonts w:eastAsia="Courier New"/>
          <w:color w:val="000000"/>
          <w:sz w:val="22"/>
          <w:szCs w:val="22"/>
          <w:lang w:val="en-US" w:eastAsia="en-US"/>
        </w:rPr>
        <w:t>ABSTRACT: This article considers the principles of the neural network that creates pictures. The algorithm of this system at the present time is the closest to the algorithm for creating paintings by artists.</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КЛЮЧЕВЫЕ СЛОВА: система, нейросеть, изображение, ура</w:t>
      </w:r>
      <w:r w:rsidRPr="00281602">
        <w:rPr>
          <w:rFonts w:eastAsia="Courier New"/>
          <w:color w:val="000000"/>
          <w:sz w:val="22"/>
          <w:szCs w:val="22"/>
          <w:lang w:eastAsia="en-US"/>
        </w:rPr>
        <w:t>в</w:t>
      </w:r>
      <w:r w:rsidRPr="00281602">
        <w:rPr>
          <w:rFonts w:eastAsia="Courier New"/>
          <w:color w:val="000000"/>
          <w:sz w:val="22"/>
          <w:szCs w:val="22"/>
          <w:lang w:eastAsia="en-US"/>
        </w:rPr>
        <w:t>нение, искусственный интеллект</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r w:rsidRPr="00281602">
        <w:rPr>
          <w:rFonts w:eastAsia="Courier New"/>
          <w:color w:val="000000"/>
          <w:sz w:val="22"/>
          <w:szCs w:val="22"/>
          <w:lang w:val="en-US" w:eastAsia="en-US"/>
        </w:rPr>
        <w:t>KEYWORDS: system, neural network, image, equations, artificial Intelligence</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Обычному человеку непривычно слышать про машинное об</w:t>
      </w:r>
      <w:r w:rsidRPr="00281602">
        <w:rPr>
          <w:rFonts w:eastAsia="Calibri"/>
          <w:sz w:val="22"/>
          <w:szCs w:val="22"/>
          <w:lang w:eastAsia="en-US"/>
        </w:rPr>
        <w:t>у</w:t>
      </w:r>
      <w:r w:rsidRPr="00281602">
        <w:rPr>
          <w:rFonts w:eastAsia="Calibri"/>
          <w:sz w:val="22"/>
          <w:szCs w:val="22"/>
          <w:lang w:eastAsia="en-US"/>
        </w:rPr>
        <w:t>чение с помощью эмпирических данных и про искусственный и</w:t>
      </w:r>
      <w:r w:rsidRPr="00281602">
        <w:rPr>
          <w:rFonts w:eastAsia="Calibri"/>
          <w:sz w:val="22"/>
          <w:szCs w:val="22"/>
          <w:lang w:eastAsia="en-US"/>
        </w:rPr>
        <w:t>н</w:t>
      </w:r>
      <w:r w:rsidRPr="00281602">
        <w:rPr>
          <w:rFonts w:eastAsia="Calibri"/>
          <w:sz w:val="22"/>
          <w:szCs w:val="22"/>
          <w:lang w:eastAsia="en-US"/>
        </w:rPr>
        <w:t>теллект, успешно используемый в творчестве, т. к. и «обучение», и «создание чего-либо» ассоциируется больше с человеком, чем с машиной.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Существуют много сетей, приложений, машин, способных во</w:t>
      </w:r>
      <w:r w:rsidRPr="00281602">
        <w:rPr>
          <w:rFonts w:eastAsia="Calibri"/>
          <w:sz w:val="22"/>
          <w:szCs w:val="22"/>
          <w:lang w:eastAsia="en-US"/>
        </w:rPr>
        <w:t>с</w:t>
      </w:r>
      <w:r w:rsidRPr="00281602">
        <w:rPr>
          <w:rFonts w:eastAsia="Calibri"/>
          <w:sz w:val="22"/>
          <w:szCs w:val="22"/>
          <w:lang w:eastAsia="en-US"/>
        </w:rPr>
        <w:t>производить картины по заданному стилю. Некоторые современные художники используют такие системы: им присылают изображение или фотографии, а машина сразу воспроизводит полученную ка</w:t>
      </w:r>
      <w:r w:rsidRPr="00281602">
        <w:rPr>
          <w:rFonts w:eastAsia="Calibri"/>
          <w:sz w:val="22"/>
          <w:szCs w:val="22"/>
          <w:lang w:eastAsia="en-US"/>
        </w:rPr>
        <w:t>р</w:t>
      </w:r>
      <w:r w:rsidRPr="00281602">
        <w:rPr>
          <w:rFonts w:eastAsia="Calibri"/>
          <w:sz w:val="22"/>
          <w:szCs w:val="22"/>
          <w:lang w:eastAsia="en-US"/>
        </w:rPr>
        <w:t>тину Данный вид деятельности сложно назвать искусством, т. к. в большинстве своем творческий процесс отождествляют с созданием «уникального», с использованием собственного стиля.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Может ли сеть сама найти свой стиль? Ответ на этот вопрос кроется в понимании самой нейронной сети и процесса ее обучения: </w:t>
      </w:r>
      <w:r w:rsidRPr="00281602">
        <w:rPr>
          <w:rFonts w:eastAsia="Calibri"/>
          <w:sz w:val="22"/>
          <w:szCs w:val="22"/>
          <w:lang w:eastAsia="en-US"/>
        </w:rPr>
        <w:lastRenderedPageBreak/>
        <w:t>сеть получает большой объем информации для анализа и «усво</w:t>
      </w:r>
      <w:r w:rsidRPr="00281602">
        <w:rPr>
          <w:rFonts w:eastAsia="Calibri"/>
          <w:sz w:val="22"/>
          <w:szCs w:val="22"/>
          <w:lang w:eastAsia="en-US"/>
        </w:rPr>
        <w:t>е</w:t>
      </w:r>
      <w:r w:rsidRPr="00281602">
        <w:rPr>
          <w:rFonts w:eastAsia="Calibri"/>
          <w:sz w:val="22"/>
          <w:szCs w:val="22"/>
          <w:lang w:eastAsia="en-US"/>
        </w:rPr>
        <w:t>ния», а уже на основе этих данных корректируется и находит пр</w:t>
      </w:r>
      <w:r w:rsidRPr="00281602">
        <w:rPr>
          <w:rFonts w:eastAsia="Calibri"/>
          <w:sz w:val="22"/>
          <w:szCs w:val="22"/>
          <w:lang w:eastAsia="en-US"/>
        </w:rPr>
        <w:t>а</w:t>
      </w:r>
      <w:r w:rsidRPr="00281602">
        <w:rPr>
          <w:rFonts w:eastAsia="Calibri"/>
          <w:sz w:val="22"/>
          <w:szCs w:val="22"/>
          <w:lang w:eastAsia="en-US"/>
        </w:rPr>
        <w:t>вильный ответ. В случае с машинами-художниками им загружают данные об определенном стиле и без дополнительных данных с</w:t>
      </w:r>
      <w:r w:rsidRPr="00281602">
        <w:rPr>
          <w:rFonts w:eastAsia="Calibri"/>
          <w:sz w:val="22"/>
          <w:szCs w:val="22"/>
          <w:lang w:eastAsia="en-US"/>
        </w:rPr>
        <w:t>о</w:t>
      </w:r>
      <w:r w:rsidRPr="00281602">
        <w:rPr>
          <w:rFonts w:eastAsia="Calibri"/>
          <w:sz w:val="22"/>
          <w:szCs w:val="22"/>
          <w:lang w:eastAsia="en-US"/>
        </w:rPr>
        <w:t>здать изображение, допустим, в стиле Ван Гога, сводится к нево</w:t>
      </w:r>
      <w:r w:rsidRPr="00281602">
        <w:rPr>
          <w:rFonts w:eastAsia="Calibri"/>
          <w:sz w:val="22"/>
          <w:szCs w:val="22"/>
          <w:lang w:eastAsia="en-US"/>
        </w:rPr>
        <w:t>з</w:t>
      </w:r>
      <w:r w:rsidRPr="00281602">
        <w:rPr>
          <w:rFonts w:eastAsia="Calibri"/>
          <w:sz w:val="22"/>
          <w:szCs w:val="22"/>
          <w:lang w:eastAsia="en-US"/>
        </w:rPr>
        <w:t>можному. Вопрос остается открытым.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23 июля в сети появилось видео с конференции от сотрудника компании </w:t>
      </w:r>
      <w:r w:rsidRPr="00281602">
        <w:rPr>
          <w:rFonts w:eastAsia="Calibri"/>
          <w:sz w:val="22"/>
          <w:szCs w:val="22"/>
          <w:lang w:val="en-US" w:eastAsia="en-US"/>
        </w:rPr>
        <w:t>Google</w:t>
      </w:r>
      <w:r w:rsidRPr="00281602">
        <w:rPr>
          <w:rFonts w:eastAsia="Calibri"/>
          <w:sz w:val="22"/>
          <w:szCs w:val="22"/>
          <w:lang w:eastAsia="en-US"/>
        </w:rPr>
        <w:t>, возглавляющего команду разработчиков, под названием «Howcomputersarelearningtobecreative». В данном видео БлезАгюера рассказал о творческих успехах их системы распозн</w:t>
      </w:r>
      <w:r w:rsidRPr="00281602">
        <w:rPr>
          <w:rFonts w:eastAsia="Calibri"/>
          <w:sz w:val="22"/>
          <w:szCs w:val="22"/>
          <w:lang w:eastAsia="en-US"/>
        </w:rPr>
        <w:t>а</w:t>
      </w:r>
      <w:r w:rsidRPr="00281602">
        <w:rPr>
          <w:rFonts w:eastAsia="Calibri"/>
          <w:sz w:val="22"/>
          <w:szCs w:val="22"/>
          <w:lang w:eastAsia="en-US"/>
        </w:rPr>
        <w:t>вания изображений в создании картин, объяснив на примере ура</w:t>
      </w:r>
      <w:r w:rsidRPr="00281602">
        <w:rPr>
          <w:rFonts w:eastAsia="Calibri"/>
          <w:sz w:val="22"/>
          <w:szCs w:val="22"/>
          <w:lang w:eastAsia="en-US"/>
        </w:rPr>
        <w:t>в</w:t>
      </w:r>
      <w:r w:rsidRPr="00281602">
        <w:rPr>
          <w:rFonts w:eastAsia="Calibri"/>
          <w:sz w:val="22"/>
          <w:szCs w:val="22"/>
          <w:lang w:eastAsia="en-US"/>
        </w:rPr>
        <w:t>нения, за счет каких алгоритмов их разработка смогла добиться п</w:t>
      </w:r>
      <w:r w:rsidRPr="00281602">
        <w:rPr>
          <w:rFonts w:eastAsia="Calibri"/>
          <w:sz w:val="22"/>
          <w:szCs w:val="22"/>
          <w:lang w:eastAsia="en-US"/>
        </w:rPr>
        <w:t>о</w:t>
      </w:r>
      <w:r w:rsidRPr="00281602">
        <w:rPr>
          <w:rFonts w:eastAsia="Calibri"/>
          <w:sz w:val="22"/>
          <w:szCs w:val="22"/>
          <w:lang w:eastAsia="en-US"/>
        </w:rPr>
        <w:t>добного результат.</w:t>
      </w:r>
    </w:p>
    <w:p w:rsidR="00281602" w:rsidRPr="00281602" w:rsidRDefault="00281602" w:rsidP="00281602">
      <w:pPr>
        <w:ind w:firstLine="425"/>
        <w:jc w:val="both"/>
        <w:rPr>
          <w:sz w:val="22"/>
          <w:szCs w:val="22"/>
          <w:lang w:eastAsia="en-US"/>
        </w:rPr>
      </w:pPr>
      <w:r w:rsidRPr="00281602">
        <w:rPr>
          <w:rFonts w:eastAsia="Calibri"/>
          <w:sz w:val="22"/>
          <w:szCs w:val="22"/>
          <w:lang w:eastAsia="en-US"/>
        </w:rPr>
        <w:t xml:space="preserve">Агюера приводит достаточно простое на вид уравнение с тремя переменными: </w:t>
      </w:r>
      <m:oMath>
        <m:r>
          <w:rPr>
            <w:rFonts w:ascii="Cambria Math" w:eastAsia="Calibri" w:hAnsi="Cambria Math"/>
            <w:sz w:val="22"/>
            <w:szCs w:val="22"/>
            <w:lang w:val="en-US" w:eastAsia="en-US"/>
          </w:rPr>
          <m:t>Y</m:t>
        </m:r>
        <m:r>
          <w:rPr>
            <w:rFonts w:ascii="Cambria Math" w:eastAsia="Calibri" w:hAnsi="Cambria Math"/>
            <w:sz w:val="22"/>
            <w:szCs w:val="22"/>
            <w:lang w:eastAsia="en-US"/>
          </w:rPr>
          <m:t>=</m:t>
        </m:r>
        <m:r>
          <w:rPr>
            <w:rFonts w:ascii="Cambria Math" w:eastAsia="Calibri" w:hAnsi="Cambria Math"/>
            <w:sz w:val="22"/>
            <w:szCs w:val="22"/>
            <w:lang w:val="en-US" w:eastAsia="en-US"/>
          </w:rPr>
          <m:t>W</m:t>
        </m:r>
        <m:r>
          <w:rPr>
            <w:rFonts w:ascii="Cambria Math" w:eastAsia="Calibri" w:hAnsi="Cambria Math"/>
            <w:sz w:val="22"/>
            <w:szCs w:val="22"/>
            <w:lang w:eastAsia="en-US"/>
          </w:rPr>
          <m:t xml:space="preserve"> "</m:t>
        </m:r>
        <m:r>
          <m:rPr>
            <m:nor/>
          </m:rPr>
          <w:rPr>
            <w:rFonts w:eastAsia="Calibri"/>
            <w:sz w:val="22"/>
            <w:szCs w:val="22"/>
            <w:lang w:eastAsia="en-US"/>
          </w:rPr>
          <m:t xml:space="preserve">×" </m:t>
        </m:r>
        <m:r>
          <w:rPr>
            <w:rFonts w:ascii="Cambria Math" w:eastAsia="Calibri" w:hAnsi="Cambria Math"/>
            <w:sz w:val="22"/>
            <w:szCs w:val="22"/>
            <w:lang w:val="en-US" w:eastAsia="en-US"/>
          </w:rPr>
          <m:t>X</m:t>
        </m:r>
      </m:oMath>
      <w:r w:rsidRPr="00281602">
        <w:rPr>
          <w:sz w:val="22"/>
          <w:szCs w:val="22"/>
          <w:lang w:eastAsia="en-US"/>
        </w:rPr>
        <w:t xml:space="preserve">, где </w:t>
      </w:r>
      <w:r w:rsidRPr="00281602">
        <w:rPr>
          <w:sz w:val="22"/>
          <w:szCs w:val="22"/>
          <w:lang w:val="en-US" w:eastAsia="en-US"/>
        </w:rPr>
        <w:t>X</w:t>
      </w:r>
      <w:r w:rsidRPr="00281602">
        <w:rPr>
          <w:sz w:val="22"/>
          <w:szCs w:val="22"/>
          <w:lang w:eastAsia="en-US"/>
        </w:rPr>
        <w:t xml:space="preserve"> – разбитое на пиксели исходное изображение, </w:t>
      </w:r>
      <w:r w:rsidRPr="00281602">
        <w:rPr>
          <w:sz w:val="22"/>
          <w:szCs w:val="22"/>
          <w:lang w:val="en-US" w:eastAsia="en-US"/>
        </w:rPr>
        <w:t>W</w:t>
      </w:r>
      <w:r w:rsidRPr="00281602">
        <w:rPr>
          <w:sz w:val="22"/>
          <w:szCs w:val="22"/>
          <w:lang w:eastAsia="en-US"/>
        </w:rPr>
        <w:t xml:space="preserve"> – веса синапсов нейронной сети, </w:t>
      </w:r>
      <w:r w:rsidRPr="00281602">
        <w:rPr>
          <w:sz w:val="22"/>
          <w:szCs w:val="22"/>
          <w:lang w:val="en-US" w:eastAsia="en-US"/>
        </w:rPr>
        <w:t>Y</w:t>
      </w:r>
      <w:r w:rsidRPr="00281602">
        <w:rPr>
          <w:sz w:val="22"/>
          <w:szCs w:val="22"/>
          <w:lang w:eastAsia="en-US"/>
        </w:rPr>
        <w:t xml:space="preserve"> – значение п</w:t>
      </w:r>
      <w:r w:rsidRPr="00281602">
        <w:rPr>
          <w:sz w:val="22"/>
          <w:szCs w:val="22"/>
          <w:lang w:eastAsia="en-US"/>
        </w:rPr>
        <w:t>о</w:t>
      </w:r>
      <w:r w:rsidRPr="00281602">
        <w:rPr>
          <w:sz w:val="22"/>
          <w:szCs w:val="22"/>
          <w:lang w:eastAsia="en-US"/>
        </w:rPr>
        <w:t xml:space="preserve">сле работы системы по распознаванию изображений, а </w:t>
      </w:r>
      <m:oMath>
        <m:r>
          <w:rPr>
            <w:rFonts w:ascii="Cambria Math" w:eastAsia="Calibri" w:hAnsi="Cambria Math"/>
            <w:sz w:val="22"/>
            <w:szCs w:val="22"/>
            <w:lang w:eastAsia="en-US"/>
          </w:rPr>
          <m:t>"</m:t>
        </m:r>
        <m:r>
          <m:rPr>
            <m:nor/>
          </m:rPr>
          <w:rPr>
            <w:rFonts w:eastAsia="Calibri"/>
            <w:sz w:val="22"/>
            <w:szCs w:val="22"/>
            <w:lang w:eastAsia="en-US"/>
          </w:rPr>
          <m:t>×"</m:t>
        </m:r>
      </m:oMath>
      <w:r w:rsidRPr="00281602">
        <w:rPr>
          <w:sz w:val="22"/>
          <w:szCs w:val="22"/>
          <w:lang w:eastAsia="en-US"/>
        </w:rPr>
        <w:t xml:space="preserve"> – сло</w:t>
      </w:r>
      <w:r w:rsidRPr="00281602">
        <w:rPr>
          <w:sz w:val="22"/>
          <w:szCs w:val="22"/>
          <w:lang w:eastAsia="en-US"/>
        </w:rPr>
        <w:t>ж</w:t>
      </w:r>
      <w:r w:rsidRPr="00281602">
        <w:rPr>
          <w:sz w:val="22"/>
          <w:szCs w:val="22"/>
          <w:lang w:eastAsia="en-US"/>
        </w:rPr>
        <w:t>ная система математических расчетов, по выполнению которых с</w:t>
      </w:r>
      <w:r w:rsidRPr="00281602">
        <w:rPr>
          <w:sz w:val="22"/>
          <w:szCs w:val="22"/>
          <w:lang w:eastAsia="en-US"/>
        </w:rPr>
        <w:t>и</w:t>
      </w:r>
      <w:r w:rsidRPr="00281602">
        <w:rPr>
          <w:sz w:val="22"/>
          <w:szCs w:val="22"/>
          <w:lang w:eastAsia="en-US"/>
        </w:rPr>
        <w:t>стема выдает верный ответ.</w:t>
      </w:r>
    </w:p>
    <w:p w:rsidR="00281602" w:rsidRPr="00281602" w:rsidRDefault="00281602" w:rsidP="00281602">
      <w:pPr>
        <w:ind w:firstLine="425"/>
        <w:jc w:val="both"/>
        <w:rPr>
          <w:sz w:val="22"/>
          <w:szCs w:val="22"/>
          <w:lang w:eastAsia="en-US"/>
        </w:rPr>
      </w:pPr>
      <w:r w:rsidRPr="00281602">
        <w:rPr>
          <w:sz w:val="22"/>
          <w:szCs w:val="22"/>
          <w:lang w:eastAsia="en-US"/>
        </w:rPr>
        <w:t>Интересно, что, не вдаваясь в подробное изучение математич</w:t>
      </w:r>
      <w:r w:rsidRPr="00281602">
        <w:rPr>
          <w:sz w:val="22"/>
          <w:szCs w:val="22"/>
          <w:lang w:eastAsia="en-US"/>
        </w:rPr>
        <w:t>е</w:t>
      </w:r>
      <w:r w:rsidRPr="00281602">
        <w:rPr>
          <w:sz w:val="22"/>
          <w:szCs w:val="22"/>
          <w:lang w:eastAsia="en-US"/>
        </w:rPr>
        <w:t>ских формул и в определение заданных терминов, с помощью да</w:t>
      </w:r>
      <w:r w:rsidRPr="00281602">
        <w:rPr>
          <w:sz w:val="22"/>
          <w:szCs w:val="22"/>
          <w:lang w:eastAsia="en-US"/>
        </w:rPr>
        <w:t>н</w:t>
      </w:r>
      <w:r w:rsidRPr="00281602">
        <w:rPr>
          <w:sz w:val="22"/>
          <w:szCs w:val="22"/>
          <w:lang w:eastAsia="en-US"/>
        </w:rPr>
        <w:t>ного уравнения человек может получить некоторое понимание определенных действий системы, задав за неизвестное каждую п</w:t>
      </w:r>
      <w:r w:rsidRPr="00281602">
        <w:rPr>
          <w:sz w:val="22"/>
          <w:szCs w:val="22"/>
          <w:lang w:eastAsia="en-US"/>
        </w:rPr>
        <w:t>е</w:t>
      </w:r>
      <w:r w:rsidRPr="00281602">
        <w:rPr>
          <w:sz w:val="22"/>
          <w:szCs w:val="22"/>
          <w:lang w:eastAsia="en-US"/>
        </w:rPr>
        <w:t>ременную. Рассмотрим данные ситуации.</w:t>
      </w:r>
    </w:p>
    <w:p w:rsidR="00281602" w:rsidRPr="00281602" w:rsidRDefault="00281602" w:rsidP="00281602">
      <w:pPr>
        <w:ind w:firstLine="425"/>
        <w:jc w:val="both"/>
        <w:rPr>
          <w:sz w:val="22"/>
          <w:szCs w:val="22"/>
          <w:lang w:eastAsia="en-US"/>
        </w:rPr>
      </w:pPr>
      <w:r w:rsidRPr="00281602">
        <w:rPr>
          <w:sz w:val="22"/>
          <w:szCs w:val="22"/>
          <w:lang w:eastAsia="en-US"/>
        </w:rPr>
        <w:t>Первая, самая простая и понятная ситуация, когда за неизвес</w:t>
      </w:r>
      <w:r w:rsidRPr="00281602">
        <w:rPr>
          <w:sz w:val="22"/>
          <w:szCs w:val="22"/>
          <w:lang w:eastAsia="en-US"/>
        </w:rPr>
        <w:t>т</w:t>
      </w:r>
      <w:r w:rsidRPr="00281602">
        <w:rPr>
          <w:sz w:val="22"/>
          <w:szCs w:val="22"/>
          <w:lang w:eastAsia="en-US"/>
        </w:rPr>
        <w:t>ное взят</w:t>
      </w:r>
      <w:r w:rsidRPr="00281602">
        <w:rPr>
          <w:sz w:val="22"/>
          <w:szCs w:val="22"/>
          <w:lang w:val="en-US" w:eastAsia="en-US"/>
        </w:rPr>
        <w:t>Y</w:t>
      </w:r>
      <w:r w:rsidRPr="00281602">
        <w:rPr>
          <w:sz w:val="22"/>
          <w:szCs w:val="22"/>
          <w:lang w:eastAsia="en-US"/>
        </w:rPr>
        <w:t xml:space="preserve">. Мы имеем первичное изображение предмета или живого существа </w:t>
      </w:r>
      <w:r w:rsidRPr="00281602">
        <w:rPr>
          <w:sz w:val="22"/>
          <w:szCs w:val="22"/>
          <w:lang w:val="en-US" w:eastAsia="en-US"/>
        </w:rPr>
        <w:t>X</w:t>
      </w:r>
      <w:r w:rsidRPr="00281602">
        <w:rPr>
          <w:sz w:val="22"/>
          <w:szCs w:val="22"/>
          <w:lang w:eastAsia="en-US"/>
        </w:rPr>
        <w:t xml:space="preserve">, имеем обученную систему </w:t>
      </w:r>
      <w:r w:rsidRPr="00281602">
        <w:rPr>
          <w:sz w:val="22"/>
          <w:szCs w:val="22"/>
          <w:lang w:val="en-US" w:eastAsia="en-US"/>
        </w:rPr>
        <w:t>W</w:t>
      </w:r>
      <w:r w:rsidRPr="00281602">
        <w:rPr>
          <w:sz w:val="22"/>
          <w:szCs w:val="22"/>
          <w:lang w:eastAsia="en-US"/>
        </w:rPr>
        <w:t>, а значит правильный ответ система выдает. Это так же понятно, подставив вместо пер</w:t>
      </w:r>
      <w:r w:rsidRPr="00281602">
        <w:rPr>
          <w:sz w:val="22"/>
          <w:szCs w:val="22"/>
          <w:lang w:eastAsia="en-US"/>
        </w:rPr>
        <w:t>е</w:t>
      </w:r>
      <w:r w:rsidRPr="00281602">
        <w:rPr>
          <w:sz w:val="22"/>
          <w:szCs w:val="22"/>
          <w:lang w:eastAsia="en-US"/>
        </w:rPr>
        <w:t xml:space="preserve">менных цифры: </w:t>
      </w:r>
      <w:r w:rsidRPr="00281602">
        <w:rPr>
          <w:sz w:val="22"/>
          <w:szCs w:val="22"/>
          <w:lang w:val="en-US" w:eastAsia="en-US"/>
        </w:rPr>
        <w:t>Y</w:t>
      </w:r>
      <w:r w:rsidRPr="00281602">
        <w:rPr>
          <w:sz w:val="22"/>
          <w:szCs w:val="22"/>
          <w:lang w:eastAsia="en-US"/>
        </w:rPr>
        <w:t xml:space="preserve"> = 2</w:t>
      </w:r>
      <m:oMath>
        <m:r>
          <m:rPr>
            <m:nor/>
          </m:rPr>
          <w:rPr>
            <w:rFonts w:eastAsia="Calibri"/>
            <w:sz w:val="22"/>
            <w:szCs w:val="22"/>
            <w:lang w:eastAsia="en-US"/>
          </w:rPr>
          <m:t>×</m:t>
        </m:r>
      </m:oMath>
      <w:r w:rsidRPr="00281602">
        <w:rPr>
          <w:sz w:val="22"/>
          <w:szCs w:val="22"/>
          <w:lang w:eastAsia="en-US"/>
        </w:rPr>
        <w:t>3.</w:t>
      </w:r>
    </w:p>
    <w:p w:rsidR="00281602" w:rsidRPr="00281602" w:rsidRDefault="00281602" w:rsidP="00281602">
      <w:pPr>
        <w:ind w:firstLine="425"/>
        <w:jc w:val="both"/>
        <w:rPr>
          <w:sz w:val="22"/>
          <w:szCs w:val="22"/>
          <w:lang w:eastAsia="en-US"/>
        </w:rPr>
      </w:pPr>
      <w:r w:rsidRPr="00281602">
        <w:rPr>
          <w:sz w:val="22"/>
          <w:szCs w:val="22"/>
          <w:lang w:eastAsia="en-US"/>
        </w:rPr>
        <w:t xml:space="preserve">Ситуация осложняется, когда за неизвестное взята сама нейросеть (W). Уравнение преобразуется в вид: </w:t>
      </w:r>
      <m:oMath>
        <m:r>
          <m:rPr>
            <m:sty m:val="p"/>
          </m:rPr>
          <w:rPr>
            <w:rFonts w:ascii="Cambria Math" w:hAnsi="Cambria Math"/>
            <w:sz w:val="22"/>
            <w:szCs w:val="22"/>
            <w:lang w:eastAsia="en-US"/>
          </w:rPr>
          <m:t>0=</m:t>
        </m:r>
        <m:r>
          <w:rPr>
            <w:rFonts w:ascii="Cambria Math" w:hAnsi="Cambria Math"/>
            <w:sz w:val="22"/>
            <w:szCs w:val="22"/>
            <w:lang w:eastAsia="en-US"/>
          </w:rPr>
          <m:t>X</m:t>
        </m:r>
        <m:r>
          <m:rPr>
            <m:sty m:val="p"/>
          </m:rPr>
          <w:rPr>
            <w:rFonts w:ascii="Cambria Math" w:hAnsi="Cambria Math"/>
            <w:sz w:val="22"/>
            <w:szCs w:val="22"/>
            <w:lang w:eastAsia="en-US"/>
          </w:rPr>
          <m:t>×</m:t>
        </m:r>
        <m:r>
          <w:rPr>
            <w:rFonts w:ascii="Cambria Math" w:hAnsi="Cambria Math"/>
            <w:sz w:val="22"/>
            <w:szCs w:val="22"/>
            <w:lang w:eastAsia="en-US"/>
          </w:rPr>
          <m:t>W</m:t>
        </m:r>
        <m:r>
          <m:rPr>
            <m:sty m:val="p"/>
          </m:rPr>
          <w:rPr>
            <w:rFonts w:ascii="Cambria Math" w:hAnsi="Cambria Math"/>
            <w:sz w:val="22"/>
            <w:szCs w:val="22"/>
            <w:lang w:eastAsia="en-US"/>
          </w:rPr>
          <m:t>-</m:t>
        </m:r>
        <m:r>
          <w:rPr>
            <w:rFonts w:ascii="Cambria Math" w:hAnsi="Cambria Math"/>
            <w:sz w:val="22"/>
            <w:szCs w:val="22"/>
            <w:lang w:eastAsia="en-US"/>
          </w:rPr>
          <m:t>Y</m:t>
        </m:r>
      </m:oMath>
      <w:r w:rsidRPr="00281602">
        <w:rPr>
          <w:sz w:val="22"/>
          <w:szCs w:val="22"/>
          <w:lang w:eastAsia="en-US"/>
        </w:rPr>
        <w:t xml:space="preserve">. В случае с цифрами: </w:t>
      </w:r>
      <m:oMath>
        <m:r>
          <w:rPr>
            <w:rFonts w:ascii="Cambria Math" w:hAnsi="Cambria Math"/>
            <w:sz w:val="22"/>
            <w:szCs w:val="22"/>
            <w:lang w:eastAsia="en-US"/>
          </w:rPr>
          <m:t>0=2×W-6</m:t>
        </m:r>
      </m:oMath>
      <w:r w:rsidRPr="00281602">
        <w:rPr>
          <w:sz w:val="22"/>
          <w:szCs w:val="22"/>
          <w:lang w:eastAsia="en-US"/>
        </w:rPr>
        <w:t xml:space="preserve">, где значение в правой части уравнение принимается за отклонение, т.е. В данной ситуации мы находим </w:t>
      </w:r>
      <w:r w:rsidRPr="00281602">
        <w:rPr>
          <w:sz w:val="22"/>
          <w:szCs w:val="22"/>
          <w:lang w:val="en-US" w:eastAsia="en-US"/>
        </w:rPr>
        <w:t>W</w:t>
      </w:r>
      <w:r w:rsidRPr="00281602">
        <w:rPr>
          <w:sz w:val="22"/>
          <w:szCs w:val="22"/>
          <w:lang w:eastAsia="en-US"/>
        </w:rPr>
        <w:t xml:space="preserve">, перебирая числа в поисках наименьшего отклонения от, наиболее приближающего нас к ответу для всех возможных </w:t>
      </w:r>
      <w:r w:rsidRPr="00281602">
        <w:rPr>
          <w:sz w:val="22"/>
          <w:szCs w:val="22"/>
          <w:lang w:val="en-US" w:eastAsia="en-US"/>
        </w:rPr>
        <w:t>X</w:t>
      </w:r>
      <w:r w:rsidRPr="00281602">
        <w:rPr>
          <w:sz w:val="22"/>
          <w:szCs w:val="22"/>
          <w:lang w:eastAsia="en-US"/>
        </w:rPr>
        <w:t xml:space="preserve"> и </w:t>
      </w:r>
      <w:r w:rsidRPr="00281602">
        <w:rPr>
          <w:sz w:val="22"/>
          <w:szCs w:val="22"/>
          <w:lang w:val="en-US" w:eastAsia="en-US"/>
        </w:rPr>
        <w:t>Y</w:t>
      </w:r>
      <w:r w:rsidRPr="00281602">
        <w:rPr>
          <w:sz w:val="22"/>
          <w:szCs w:val="22"/>
          <w:lang w:eastAsia="en-US"/>
        </w:rPr>
        <w:t>. Точно так же поступает и система – она обучается, подбирая то или иное значение, пока не найдет верный ответ [1].</w:t>
      </w:r>
    </w:p>
    <w:p w:rsidR="00281602" w:rsidRPr="00281602" w:rsidRDefault="00281602" w:rsidP="00281602">
      <w:pPr>
        <w:ind w:firstLine="425"/>
        <w:jc w:val="both"/>
        <w:rPr>
          <w:sz w:val="22"/>
          <w:szCs w:val="22"/>
          <w:lang w:eastAsia="en-US"/>
        </w:rPr>
      </w:pPr>
      <w:r w:rsidRPr="00281602">
        <w:rPr>
          <w:sz w:val="22"/>
          <w:szCs w:val="22"/>
          <w:lang w:eastAsia="en-US"/>
        </w:rPr>
        <w:lastRenderedPageBreak/>
        <w:t>Последняя и самая интересная ситуация возникает при неи</w:t>
      </w:r>
      <w:r w:rsidRPr="00281602">
        <w:rPr>
          <w:sz w:val="22"/>
          <w:szCs w:val="22"/>
          <w:lang w:eastAsia="en-US"/>
        </w:rPr>
        <w:t>з</w:t>
      </w:r>
      <w:r w:rsidRPr="00281602">
        <w:rPr>
          <w:sz w:val="22"/>
          <w:szCs w:val="22"/>
          <w:lang w:eastAsia="en-US"/>
        </w:rPr>
        <w:t xml:space="preserve">вестном </w:t>
      </w:r>
      <w:r w:rsidRPr="00281602">
        <w:rPr>
          <w:sz w:val="22"/>
          <w:szCs w:val="22"/>
          <w:lang w:val="en-US" w:eastAsia="en-US"/>
        </w:rPr>
        <w:t>X</w:t>
      </w:r>
      <w:r w:rsidRPr="00281602">
        <w:rPr>
          <w:sz w:val="22"/>
          <w:szCs w:val="22"/>
          <w:lang w:eastAsia="en-US"/>
        </w:rPr>
        <w:t xml:space="preserve">. В данном случае вы задаете системе критерий </w:t>
      </w:r>
      <w:r w:rsidRPr="00281602">
        <w:rPr>
          <w:sz w:val="22"/>
          <w:szCs w:val="22"/>
          <w:lang w:val="en-US" w:eastAsia="en-US"/>
        </w:rPr>
        <w:t>Y</w:t>
      </w:r>
      <w:r w:rsidRPr="00281602">
        <w:rPr>
          <w:sz w:val="22"/>
          <w:szCs w:val="22"/>
          <w:lang w:eastAsia="en-US"/>
        </w:rPr>
        <w:t>, сист</w:t>
      </w:r>
      <w:r w:rsidRPr="00281602">
        <w:rPr>
          <w:sz w:val="22"/>
          <w:szCs w:val="22"/>
          <w:lang w:eastAsia="en-US"/>
        </w:rPr>
        <w:t>е</w:t>
      </w:r>
      <w:r w:rsidRPr="00281602">
        <w:rPr>
          <w:sz w:val="22"/>
          <w:szCs w:val="22"/>
          <w:lang w:eastAsia="en-US"/>
        </w:rPr>
        <w:t>ма знает эту вещь, осталось ее отобразить.</w:t>
      </w:r>
    </w:p>
    <w:p w:rsidR="00281602" w:rsidRPr="00281602" w:rsidRDefault="00281602" w:rsidP="00281602">
      <w:pPr>
        <w:ind w:firstLine="425"/>
        <w:jc w:val="both"/>
        <w:rPr>
          <w:sz w:val="22"/>
          <w:szCs w:val="22"/>
          <w:lang w:eastAsia="en-US"/>
        </w:rPr>
      </w:pPr>
      <w:r w:rsidRPr="00281602">
        <w:rPr>
          <w:sz w:val="22"/>
          <w:szCs w:val="22"/>
          <w:lang w:eastAsia="en-US"/>
        </w:rPr>
        <w:t>Причина, почему изображение является столь сюрреалисти</w:t>
      </w:r>
      <w:r w:rsidRPr="00281602">
        <w:rPr>
          <w:sz w:val="22"/>
          <w:szCs w:val="22"/>
          <w:lang w:eastAsia="en-US"/>
        </w:rPr>
        <w:t>ч</w:t>
      </w:r>
      <w:r w:rsidRPr="00281602">
        <w:rPr>
          <w:sz w:val="22"/>
          <w:szCs w:val="22"/>
          <w:lang w:eastAsia="en-US"/>
        </w:rPr>
        <w:t>ным, в стремлении сети к минимизации неопределенности, которое возникает при разных ракурсах, свете, положении нахождения пт</w:t>
      </w:r>
      <w:r w:rsidRPr="00281602">
        <w:rPr>
          <w:sz w:val="22"/>
          <w:szCs w:val="22"/>
          <w:lang w:eastAsia="en-US"/>
        </w:rPr>
        <w:t>и</w:t>
      </w:r>
      <w:r w:rsidRPr="00281602">
        <w:rPr>
          <w:sz w:val="22"/>
          <w:szCs w:val="22"/>
          <w:lang w:eastAsia="en-US"/>
        </w:rPr>
        <w:t>цы и т.д. при отсутствии опорного изображения (таким образом действуют известные «маски», распространенные в современных гаджетах и специализированных приложениях).</w:t>
      </w:r>
    </w:p>
    <w:p w:rsidR="00281602" w:rsidRPr="00281602" w:rsidRDefault="00281602" w:rsidP="00281602">
      <w:pPr>
        <w:ind w:firstLine="425"/>
        <w:jc w:val="both"/>
        <w:rPr>
          <w:sz w:val="22"/>
          <w:szCs w:val="22"/>
          <w:lang w:eastAsia="en-US"/>
        </w:rPr>
      </w:pPr>
      <w:r w:rsidRPr="00281602">
        <w:rPr>
          <w:sz w:val="22"/>
          <w:szCs w:val="22"/>
          <w:lang w:eastAsia="en-US"/>
        </w:rPr>
        <w:t>Самое интересное заключается в том, что сеть может творить, как используя пустой холст, заполняя его изображением по крит</w:t>
      </w:r>
      <w:r w:rsidRPr="00281602">
        <w:rPr>
          <w:sz w:val="22"/>
          <w:szCs w:val="22"/>
          <w:lang w:eastAsia="en-US"/>
        </w:rPr>
        <w:t>е</w:t>
      </w:r>
      <w:r w:rsidRPr="00281602">
        <w:rPr>
          <w:sz w:val="22"/>
          <w:szCs w:val="22"/>
          <w:lang w:eastAsia="en-US"/>
        </w:rPr>
        <w:t xml:space="preserve">риям </w:t>
      </w:r>
      <w:r w:rsidRPr="00281602">
        <w:rPr>
          <w:sz w:val="22"/>
          <w:szCs w:val="22"/>
          <w:lang w:val="en-US" w:eastAsia="en-US"/>
        </w:rPr>
        <w:t>Y</w:t>
      </w:r>
      <w:r w:rsidRPr="00281602">
        <w:rPr>
          <w:sz w:val="22"/>
          <w:szCs w:val="22"/>
          <w:lang w:eastAsia="en-US"/>
        </w:rPr>
        <w:t>, так и заданное изображение. В результате так же получ</w:t>
      </w:r>
      <w:r w:rsidRPr="00281602">
        <w:rPr>
          <w:sz w:val="22"/>
          <w:szCs w:val="22"/>
          <w:lang w:eastAsia="en-US"/>
        </w:rPr>
        <w:t>а</w:t>
      </w:r>
      <w:r w:rsidRPr="00281602">
        <w:rPr>
          <w:sz w:val="22"/>
          <w:szCs w:val="22"/>
          <w:lang w:eastAsia="en-US"/>
        </w:rPr>
        <w:t>ются сюрреалистичные картины, но сюрреализм и есть определе</w:t>
      </w:r>
      <w:r w:rsidRPr="00281602">
        <w:rPr>
          <w:sz w:val="22"/>
          <w:szCs w:val="22"/>
          <w:lang w:eastAsia="en-US"/>
        </w:rPr>
        <w:t>н</w:t>
      </w:r>
      <w:r w:rsidRPr="00281602">
        <w:rPr>
          <w:sz w:val="22"/>
          <w:szCs w:val="22"/>
          <w:lang w:eastAsia="en-US"/>
        </w:rPr>
        <w:t>ное направление в искусстве.</w:t>
      </w:r>
    </w:p>
    <w:p w:rsidR="00281602" w:rsidRPr="00281602" w:rsidRDefault="00281602" w:rsidP="00281602">
      <w:pPr>
        <w:ind w:firstLine="425"/>
        <w:jc w:val="both"/>
        <w:rPr>
          <w:sz w:val="22"/>
          <w:szCs w:val="22"/>
          <w:lang w:eastAsia="en-US"/>
        </w:rPr>
      </w:pPr>
      <w:r w:rsidRPr="00281602">
        <w:rPr>
          <w:sz w:val="22"/>
          <w:szCs w:val="22"/>
          <w:lang w:eastAsia="en-US"/>
        </w:rPr>
        <w:t>Так же данная разработка в некотором роде подтверждает мысль о том, что восприятие и изображение связано друг с другом: машина, как и человек, обучается, а затем воспроизводит получе</w:t>
      </w:r>
      <w:r w:rsidRPr="00281602">
        <w:rPr>
          <w:sz w:val="22"/>
          <w:szCs w:val="22"/>
          <w:lang w:eastAsia="en-US"/>
        </w:rPr>
        <w:t>н</w:t>
      </w:r>
      <w:r w:rsidRPr="00281602">
        <w:rPr>
          <w:sz w:val="22"/>
          <w:szCs w:val="22"/>
          <w:lang w:eastAsia="en-US"/>
        </w:rPr>
        <w:t>ные данные в своем «стиле». Можно сказать, что стремление к м</w:t>
      </w:r>
      <w:r w:rsidRPr="00281602">
        <w:rPr>
          <w:sz w:val="22"/>
          <w:szCs w:val="22"/>
          <w:lang w:eastAsia="en-US"/>
        </w:rPr>
        <w:t>и</w:t>
      </w:r>
      <w:r w:rsidRPr="00281602">
        <w:rPr>
          <w:sz w:val="22"/>
          <w:szCs w:val="22"/>
          <w:lang w:eastAsia="en-US"/>
        </w:rPr>
        <w:t>нимизации погрешностей в рисунке – стиль, созданный конкретно искусственным интеллектом.</w:t>
      </w:r>
    </w:p>
    <w:p w:rsidR="00281602" w:rsidRPr="00281602" w:rsidRDefault="00281602" w:rsidP="00281602">
      <w:pPr>
        <w:autoSpaceDE w:val="0"/>
        <w:autoSpaceDN w:val="0"/>
        <w:adjustRightInd w:val="0"/>
        <w:ind w:firstLine="425"/>
        <w:jc w:val="center"/>
        <w:rPr>
          <w:rFonts w:eastAsia="TimesNewRoman"/>
          <w:color w:val="000000"/>
          <w:sz w:val="22"/>
          <w:szCs w:val="22"/>
          <w:lang w:eastAsia="en-US"/>
        </w:rPr>
      </w:pPr>
    </w:p>
    <w:p w:rsidR="00281602" w:rsidRPr="00281602" w:rsidRDefault="00281602" w:rsidP="00281602">
      <w:pPr>
        <w:autoSpaceDE w:val="0"/>
        <w:autoSpaceDN w:val="0"/>
        <w:adjustRightInd w:val="0"/>
        <w:ind w:firstLine="425"/>
        <w:jc w:val="center"/>
        <w:rPr>
          <w:rFonts w:eastAsia="TimesNewRoman"/>
          <w:color w:val="000000"/>
          <w:sz w:val="22"/>
          <w:szCs w:val="22"/>
          <w:lang w:eastAsia="en-US"/>
        </w:rPr>
      </w:pPr>
      <w:r w:rsidRPr="00281602">
        <w:rPr>
          <w:rFonts w:eastAsia="TimesNewRoman"/>
          <w:color w:val="000000"/>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Михалевич Ю.С. Использование сверточных нейронных с</w:t>
      </w:r>
      <w:r w:rsidRPr="00281602">
        <w:rPr>
          <w:rFonts w:eastAsia="Calibri"/>
          <w:sz w:val="22"/>
          <w:szCs w:val="22"/>
          <w:lang w:eastAsia="en-US"/>
        </w:rPr>
        <w:t>е</w:t>
      </w:r>
      <w:r w:rsidRPr="00281602">
        <w:rPr>
          <w:rFonts w:eastAsia="Calibri"/>
          <w:sz w:val="22"/>
          <w:szCs w:val="22"/>
          <w:lang w:eastAsia="en-US"/>
        </w:rPr>
        <w:t>тей для распознавания автомобильных номеров. Преимущества и недостатки по сравнению с шаблонным методом /  Ю.С. Михалевич, В.В. Ткаченко // Политематический сетевой электронный научный журнал Кубанского государственного агра</w:t>
      </w:r>
      <w:r w:rsidRPr="00281602">
        <w:rPr>
          <w:rFonts w:eastAsia="Calibri"/>
          <w:sz w:val="22"/>
          <w:szCs w:val="22"/>
          <w:lang w:eastAsia="en-US"/>
        </w:rPr>
        <w:t>р</w:t>
      </w:r>
      <w:r w:rsidRPr="00281602">
        <w:rPr>
          <w:rFonts w:eastAsia="Calibri"/>
          <w:sz w:val="22"/>
          <w:szCs w:val="22"/>
          <w:lang w:eastAsia="en-US"/>
        </w:rPr>
        <w:t>ного университета (Научный журнал КубГАУ) [Электронный р</w:t>
      </w:r>
      <w:r w:rsidRPr="00281602">
        <w:rPr>
          <w:rFonts w:eastAsia="Calibri"/>
          <w:sz w:val="22"/>
          <w:szCs w:val="22"/>
          <w:lang w:eastAsia="en-US"/>
        </w:rPr>
        <w:t>е</w:t>
      </w:r>
      <w:r w:rsidRPr="00281602">
        <w:rPr>
          <w:rFonts w:eastAsia="Calibri"/>
          <w:sz w:val="22"/>
          <w:szCs w:val="22"/>
          <w:lang w:eastAsia="en-US"/>
        </w:rPr>
        <w:t>сурс]. – Краснодар: КубГАУ, 2016. – №06(120). С. 1706 – 1715. – IDA [article ID]: 1201606112. – Режим доступа: http://ej.kubagro.ru/2016/06/pdf/112.pdf.</w:t>
      </w:r>
    </w:p>
    <w:p w:rsidR="00281602" w:rsidRPr="00281602" w:rsidRDefault="00281602" w:rsidP="00281602">
      <w:pPr>
        <w:jc w:val="both"/>
        <w:rPr>
          <w:rFonts w:eastAsia="Calibri"/>
          <w:color w:val="1A1A1A"/>
          <w:sz w:val="22"/>
          <w:szCs w:val="22"/>
          <w:lang w:eastAsia="en-US"/>
        </w:rPr>
      </w:pPr>
    </w:p>
    <w:p w:rsidR="00281602" w:rsidRDefault="00281602" w:rsidP="00281602">
      <w:pPr>
        <w:jc w:val="both"/>
        <w:rPr>
          <w:rFonts w:eastAsia="Calibri"/>
          <w:color w:val="1A1A1A"/>
          <w:sz w:val="22"/>
          <w:szCs w:val="22"/>
          <w:lang w:eastAsia="en-US"/>
        </w:rPr>
      </w:pPr>
    </w:p>
    <w:p w:rsidR="003B37B7" w:rsidRDefault="003B37B7" w:rsidP="00281602">
      <w:pPr>
        <w:tabs>
          <w:tab w:val="left" w:pos="8223"/>
        </w:tabs>
        <w:jc w:val="both"/>
        <w:rPr>
          <w:rFonts w:eastAsia="Courier New"/>
          <w:color w:val="000000"/>
          <w:sz w:val="22"/>
          <w:szCs w:val="22"/>
          <w:lang w:eastAsia="en-US"/>
        </w:rPr>
      </w:pPr>
    </w:p>
    <w:p w:rsidR="00CC1F5C" w:rsidRDefault="00CC1F5C" w:rsidP="00281602">
      <w:pPr>
        <w:tabs>
          <w:tab w:val="left" w:pos="8223"/>
        </w:tabs>
        <w:jc w:val="both"/>
        <w:rPr>
          <w:rFonts w:eastAsia="Courier New"/>
          <w:color w:val="000000"/>
          <w:sz w:val="22"/>
          <w:szCs w:val="22"/>
          <w:lang w:eastAsia="en-US"/>
        </w:rPr>
      </w:pPr>
    </w:p>
    <w:p w:rsidR="00CC1F5C" w:rsidRDefault="00CC1F5C" w:rsidP="00281602">
      <w:pPr>
        <w:tabs>
          <w:tab w:val="left" w:pos="8223"/>
        </w:tabs>
        <w:jc w:val="both"/>
        <w:rPr>
          <w:rFonts w:eastAsia="Courier New"/>
          <w:color w:val="000000"/>
          <w:sz w:val="22"/>
          <w:szCs w:val="22"/>
          <w:lang w:eastAsia="en-US"/>
        </w:rPr>
      </w:pPr>
    </w:p>
    <w:p w:rsidR="00CC1F5C" w:rsidRDefault="00CC1F5C" w:rsidP="00281602">
      <w:pPr>
        <w:tabs>
          <w:tab w:val="left" w:pos="8223"/>
        </w:tabs>
        <w:jc w:val="both"/>
        <w:rPr>
          <w:rFonts w:eastAsia="Courier New"/>
          <w:color w:val="000000"/>
          <w:sz w:val="22"/>
          <w:szCs w:val="22"/>
          <w:lang w:eastAsia="en-US"/>
        </w:rPr>
      </w:pPr>
    </w:p>
    <w:p w:rsidR="00CC1F5C" w:rsidRDefault="00CC1F5C" w:rsidP="00281602">
      <w:pPr>
        <w:tabs>
          <w:tab w:val="left" w:pos="8223"/>
        </w:tabs>
        <w:jc w:val="both"/>
        <w:rPr>
          <w:rFonts w:eastAsia="Courier New"/>
          <w:color w:val="000000"/>
          <w:sz w:val="22"/>
          <w:szCs w:val="22"/>
          <w:lang w:eastAsia="en-US"/>
        </w:rPr>
      </w:pPr>
    </w:p>
    <w:p w:rsidR="00281602" w:rsidRPr="003B37B7" w:rsidRDefault="00281602" w:rsidP="00281602">
      <w:pPr>
        <w:tabs>
          <w:tab w:val="left" w:pos="8223"/>
        </w:tabs>
        <w:jc w:val="both"/>
        <w:rPr>
          <w:rFonts w:eastAsia="Courier New"/>
          <w:color w:val="000000"/>
          <w:sz w:val="22"/>
          <w:szCs w:val="22"/>
          <w:lang w:eastAsia="en-US"/>
        </w:rPr>
      </w:pPr>
      <w:r w:rsidRPr="00281602">
        <w:rPr>
          <w:rFonts w:eastAsia="Courier New"/>
          <w:color w:val="000000"/>
          <w:sz w:val="22"/>
          <w:szCs w:val="22"/>
          <w:lang w:eastAsia="en-US"/>
        </w:rPr>
        <w:lastRenderedPageBreak/>
        <w:t>УДК</w:t>
      </w:r>
      <w:r w:rsidRPr="003B37B7">
        <w:rPr>
          <w:rFonts w:eastAsia="Courier New"/>
          <w:color w:val="000000"/>
          <w:sz w:val="22"/>
          <w:szCs w:val="22"/>
          <w:lang w:eastAsia="en-US"/>
        </w:rPr>
        <w:t xml:space="preserve"> 004.4'234</w:t>
      </w:r>
    </w:p>
    <w:p w:rsidR="00281602" w:rsidRPr="003B37B7" w:rsidRDefault="00281602" w:rsidP="00281602">
      <w:pPr>
        <w:ind w:firstLine="425"/>
        <w:jc w:val="both"/>
        <w:rPr>
          <w:b/>
          <w:sz w:val="24"/>
          <w:szCs w:val="22"/>
        </w:rPr>
      </w:pPr>
    </w:p>
    <w:p w:rsidR="00281602" w:rsidRPr="003B37B7" w:rsidRDefault="00281602" w:rsidP="00281602">
      <w:pPr>
        <w:jc w:val="center"/>
        <w:rPr>
          <w:b/>
          <w:sz w:val="24"/>
          <w:szCs w:val="22"/>
        </w:rPr>
      </w:pPr>
      <w:r w:rsidRPr="00281602">
        <w:rPr>
          <w:b/>
          <w:sz w:val="24"/>
          <w:szCs w:val="22"/>
        </w:rPr>
        <w:t>Использование</w:t>
      </w:r>
      <w:r w:rsidRPr="003B37B7">
        <w:rPr>
          <w:b/>
          <w:sz w:val="24"/>
          <w:szCs w:val="22"/>
        </w:rPr>
        <w:t xml:space="preserve"> </w:t>
      </w:r>
      <w:r w:rsidRPr="00281602">
        <w:rPr>
          <w:b/>
          <w:sz w:val="24"/>
          <w:szCs w:val="22"/>
          <w:lang w:val="en-US"/>
        </w:rPr>
        <w:t>Bootstrap</w:t>
      </w:r>
      <w:r w:rsidRPr="003B37B7">
        <w:rPr>
          <w:b/>
          <w:sz w:val="24"/>
          <w:szCs w:val="22"/>
        </w:rPr>
        <w:t xml:space="preserve"> </w:t>
      </w:r>
      <w:r w:rsidRPr="00281602">
        <w:rPr>
          <w:b/>
          <w:sz w:val="24"/>
          <w:szCs w:val="22"/>
        </w:rPr>
        <w:t>для</w:t>
      </w:r>
      <w:r w:rsidRPr="003B37B7">
        <w:rPr>
          <w:b/>
          <w:sz w:val="24"/>
          <w:szCs w:val="22"/>
        </w:rPr>
        <w:t xml:space="preserve"> </w:t>
      </w:r>
      <w:r w:rsidRPr="00281602">
        <w:rPr>
          <w:b/>
          <w:sz w:val="24"/>
          <w:szCs w:val="22"/>
        </w:rPr>
        <w:t>разработки</w:t>
      </w:r>
      <w:r w:rsidRPr="003B37B7">
        <w:rPr>
          <w:b/>
          <w:sz w:val="24"/>
          <w:szCs w:val="22"/>
        </w:rPr>
        <w:t xml:space="preserve"> </w:t>
      </w:r>
      <w:r w:rsidRPr="00281602">
        <w:rPr>
          <w:b/>
          <w:sz w:val="24"/>
          <w:szCs w:val="22"/>
        </w:rPr>
        <w:t>сайтов</w:t>
      </w:r>
    </w:p>
    <w:p w:rsidR="00281602" w:rsidRPr="00C609D1" w:rsidRDefault="00281602" w:rsidP="00281602">
      <w:pPr>
        <w:jc w:val="center"/>
        <w:rPr>
          <w:b/>
          <w:bCs/>
          <w:sz w:val="24"/>
          <w:szCs w:val="24"/>
          <w:lang w:val="en-US"/>
        </w:rPr>
      </w:pPr>
      <w:r w:rsidRPr="00281602">
        <w:rPr>
          <w:b/>
          <w:bCs/>
          <w:sz w:val="24"/>
          <w:szCs w:val="24"/>
          <w:lang w:val="en-US"/>
        </w:rPr>
        <w:t>Use</w:t>
      </w:r>
      <w:r w:rsidRPr="00C609D1">
        <w:rPr>
          <w:b/>
          <w:sz w:val="24"/>
          <w:szCs w:val="22"/>
          <w:lang w:val="en-US"/>
        </w:rPr>
        <w:t xml:space="preserve"> </w:t>
      </w:r>
      <w:r w:rsidRPr="00281602">
        <w:rPr>
          <w:b/>
          <w:sz w:val="24"/>
          <w:szCs w:val="22"/>
          <w:lang w:val="en-US"/>
        </w:rPr>
        <w:t>Bootstrap</w:t>
      </w:r>
      <w:r w:rsidRPr="00C609D1">
        <w:rPr>
          <w:b/>
          <w:sz w:val="24"/>
          <w:szCs w:val="22"/>
          <w:lang w:val="en-US"/>
        </w:rPr>
        <w:t xml:space="preserve"> </w:t>
      </w:r>
      <w:r w:rsidRPr="00281602">
        <w:rPr>
          <w:b/>
          <w:sz w:val="24"/>
          <w:szCs w:val="22"/>
          <w:lang w:val="en-US"/>
        </w:rPr>
        <w:t>for</w:t>
      </w:r>
      <w:r w:rsidRPr="00C609D1">
        <w:rPr>
          <w:b/>
          <w:sz w:val="24"/>
          <w:szCs w:val="22"/>
          <w:lang w:val="en-US"/>
        </w:rPr>
        <w:t xml:space="preserve"> </w:t>
      </w:r>
      <w:r w:rsidRPr="00281602">
        <w:rPr>
          <w:b/>
          <w:sz w:val="24"/>
          <w:szCs w:val="22"/>
          <w:lang w:val="en-US"/>
        </w:rPr>
        <w:t>site</w:t>
      </w:r>
      <w:r w:rsidRPr="00C609D1">
        <w:rPr>
          <w:b/>
          <w:sz w:val="24"/>
          <w:szCs w:val="22"/>
          <w:lang w:val="en-US"/>
        </w:rPr>
        <w:t xml:space="preserve"> </w:t>
      </w:r>
      <w:r w:rsidRPr="00281602">
        <w:rPr>
          <w:b/>
          <w:bCs/>
          <w:sz w:val="24"/>
          <w:szCs w:val="24"/>
          <w:lang w:val="en-US"/>
        </w:rPr>
        <w:t>development</w:t>
      </w:r>
    </w:p>
    <w:p w:rsidR="00281602" w:rsidRPr="00C609D1" w:rsidRDefault="00281602" w:rsidP="00281602">
      <w:pPr>
        <w:tabs>
          <w:tab w:val="left" w:pos="8223"/>
        </w:tabs>
        <w:ind w:firstLine="425"/>
        <w:jc w:val="right"/>
        <w:rPr>
          <w:rFonts w:eastAsia="Courier New"/>
          <w:color w:val="000000"/>
          <w:sz w:val="22"/>
          <w:szCs w:val="22"/>
          <w:lang w:val="en-US" w:eastAsia="en-US"/>
        </w:rPr>
      </w:pPr>
    </w:p>
    <w:p w:rsidR="00281602" w:rsidRPr="00C609D1" w:rsidRDefault="00281602" w:rsidP="00281602">
      <w:pPr>
        <w:tabs>
          <w:tab w:val="left" w:pos="8223"/>
        </w:tabs>
        <w:ind w:firstLine="425"/>
        <w:jc w:val="right"/>
        <w:rPr>
          <w:rFonts w:eastAsia="Courier New"/>
          <w:color w:val="000000"/>
          <w:sz w:val="22"/>
          <w:szCs w:val="22"/>
          <w:lang w:val="en-US" w:eastAsia="en-US"/>
        </w:rPr>
      </w:pPr>
      <w:r w:rsidRPr="00281602">
        <w:rPr>
          <w:rFonts w:eastAsia="Courier New"/>
          <w:color w:val="000000"/>
          <w:sz w:val="22"/>
          <w:szCs w:val="22"/>
          <w:lang w:eastAsia="en-US"/>
        </w:rPr>
        <w:t>Журавлев</w:t>
      </w:r>
      <w:r w:rsidRPr="00C609D1">
        <w:rPr>
          <w:rFonts w:eastAsia="Courier New"/>
          <w:color w:val="000000"/>
          <w:sz w:val="22"/>
          <w:szCs w:val="22"/>
          <w:lang w:val="en-US" w:eastAsia="en-US"/>
        </w:rPr>
        <w:t xml:space="preserve"> </w:t>
      </w:r>
      <w:r w:rsidRPr="00281602">
        <w:rPr>
          <w:rFonts w:eastAsia="Courier New"/>
          <w:color w:val="000000"/>
          <w:sz w:val="22"/>
          <w:szCs w:val="22"/>
          <w:lang w:eastAsia="en-US"/>
        </w:rPr>
        <w:t>Е</w:t>
      </w:r>
      <w:r w:rsidRPr="00C609D1">
        <w:rPr>
          <w:rFonts w:eastAsia="Courier New"/>
          <w:color w:val="000000"/>
          <w:sz w:val="22"/>
          <w:szCs w:val="22"/>
          <w:lang w:val="en-US" w:eastAsia="en-US"/>
        </w:rPr>
        <w:t xml:space="preserve">. </w:t>
      </w:r>
      <w:r w:rsidRPr="00281602">
        <w:rPr>
          <w:rFonts w:eastAsia="Courier New"/>
          <w:color w:val="000000"/>
          <w:sz w:val="22"/>
          <w:szCs w:val="22"/>
          <w:lang w:eastAsia="en-US"/>
        </w:rPr>
        <w:t>С</w:t>
      </w:r>
      <w:r w:rsidRPr="00C609D1">
        <w:rPr>
          <w:rFonts w:eastAsia="Courier New"/>
          <w:color w:val="000000"/>
          <w:sz w:val="22"/>
          <w:szCs w:val="22"/>
          <w:lang w:val="en-US" w:eastAsia="en-US"/>
        </w:rPr>
        <w:t>.,</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 4-го курса прикладной информатики</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Кубанский государственный аграр</w:t>
      </w:r>
      <w:r w:rsidR="003B37B7">
        <w:rPr>
          <w:rFonts w:eastAsia="Courier New"/>
          <w:color w:val="000000"/>
          <w:sz w:val="22"/>
          <w:szCs w:val="22"/>
          <w:lang w:eastAsia="en-US"/>
        </w:rPr>
        <w:t>ный</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b/>
          <w:sz w:val="24"/>
          <w:szCs w:val="22"/>
        </w:rPr>
      </w:pPr>
    </w:p>
    <w:p w:rsidR="00281602" w:rsidRPr="00281602" w:rsidRDefault="00281602" w:rsidP="00281602">
      <w:pPr>
        <w:ind w:firstLine="425"/>
        <w:jc w:val="both"/>
        <w:rPr>
          <w:sz w:val="22"/>
          <w:szCs w:val="22"/>
        </w:rPr>
      </w:pPr>
      <w:r w:rsidRPr="00281602">
        <w:rPr>
          <w:sz w:val="22"/>
          <w:szCs w:val="22"/>
        </w:rPr>
        <w:t>АННОТАЦИЯ: В работе рассматривается современное сре</w:t>
      </w:r>
      <w:r w:rsidRPr="00281602">
        <w:rPr>
          <w:sz w:val="22"/>
          <w:szCs w:val="22"/>
        </w:rPr>
        <w:t>д</w:t>
      </w:r>
      <w:r w:rsidRPr="00281602">
        <w:rPr>
          <w:sz w:val="22"/>
          <w:szCs w:val="22"/>
        </w:rPr>
        <w:t>ство фреймворк Bootstrap, используемое разработчиками интерфе</w:t>
      </w:r>
      <w:r w:rsidRPr="00281602">
        <w:rPr>
          <w:sz w:val="22"/>
          <w:szCs w:val="22"/>
        </w:rPr>
        <w:t>й</w:t>
      </w:r>
      <w:r w:rsidRPr="00281602">
        <w:rPr>
          <w:sz w:val="22"/>
          <w:szCs w:val="22"/>
        </w:rPr>
        <w:t>сов, дизайнерами и вебмастерами, доступное для использования по открытой лицензии. В работе представлено описание фреймвока Bootsterap, общие понятия, тенденции развития, преимущества и недостатки применения.</w:t>
      </w:r>
    </w:p>
    <w:p w:rsidR="00281602" w:rsidRPr="00281602" w:rsidRDefault="00281602" w:rsidP="00281602">
      <w:pPr>
        <w:ind w:firstLine="425"/>
        <w:jc w:val="both"/>
        <w:rPr>
          <w:sz w:val="22"/>
          <w:szCs w:val="22"/>
          <w:lang w:val="en-US"/>
        </w:rPr>
      </w:pPr>
      <w:r w:rsidRPr="00281602">
        <w:rPr>
          <w:color w:val="000000"/>
          <w:sz w:val="22"/>
          <w:szCs w:val="22"/>
          <w:lang w:val="en-US"/>
        </w:rPr>
        <w:t xml:space="preserve">ABSTRACT: </w:t>
      </w:r>
      <w:r w:rsidRPr="00281602">
        <w:rPr>
          <w:sz w:val="22"/>
          <w:szCs w:val="22"/>
          <w:lang w:val="en-US"/>
        </w:rPr>
        <w:t>The paper considers the modern tool Bootstrap framework, used by developers of interfaces, design frames and we</w:t>
      </w:r>
      <w:r w:rsidRPr="00281602">
        <w:rPr>
          <w:sz w:val="22"/>
          <w:szCs w:val="22"/>
          <w:lang w:val="en-US"/>
        </w:rPr>
        <w:t>b</w:t>
      </w:r>
      <w:r w:rsidRPr="00281602">
        <w:rPr>
          <w:sz w:val="22"/>
          <w:szCs w:val="22"/>
          <w:lang w:val="en-US"/>
        </w:rPr>
        <w:t>masters, available for the use of open-source software. The paper d</w:t>
      </w:r>
      <w:r w:rsidRPr="00281602">
        <w:rPr>
          <w:sz w:val="22"/>
          <w:szCs w:val="22"/>
          <w:lang w:val="en-US"/>
        </w:rPr>
        <w:t>e</w:t>
      </w:r>
      <w:r w:rsidRPr="00281602">
        <w:rPr>
          <w:sz w:val="22"/>
          <w:szCs w:val="22"/>
          <w:lang w:val="en-US"/>
        </w:rPr>
        <w:t>scribes the Bootsterap framework, General concepts, development trends, advantages and disadvantages of the application.</w:t>
      </w:r>
    </w:p>
    <w:p w:rsidR="00281602" w:rsidRPr="00281602" w:rsidRDefault="00281602" w:rsidP="00281602">
      <w:pPr>
        <w:ind w:firstLine="425"/>
        <w:jc w:val="both"/>
        <w:rPr>
          <w:sz w:val="22"/>
          <w:szCs w:val="22"/>
        </w:rPr>
      </w:pPr>
      <w:r w:rsidRPr="00281602">
        <w:rPr>
          <w:color w:val="000000"/>
          <w:sz w:val="22"/>
          <w:szCs w:val="22"/>
        </w:rPr>
        <w:t>КЛЮЧЕВЫЕ СЛОВА: ф</w:t>
      </w:r>
      <w:r w:rsidRPr="00281602">
        <w:rPr>
          <w:sz w:val="22"/>
          <w:szCs w:val="22"/>
        </w:rPr>
        <w:t xml:space="preserve">реймворк, интерфейс, </w:t>
      </w:r>
      <w:r w:rsidRPr="00281602">
        <w:rPr>
          <w:sz w:val="22"/>
          <w:szCs w:val="22"/>
          <w:lang w:val="en-US"/>
        </w:rPr>
        <w:t>Bootstrap</w:t>
      </w:r>
      <w:r w:rsidRPr="00281602">
        <w:rPr>
          <w:sz w:val="22"/>
          <w:szCs w:val="22"/>
        </w:rPr>
        <w:t>, сетки, таблицы, формы, инструменты, сайт.</w:t>
      </w:r>
    </w:p>
    <w:p w:rsidR="00281602" w:rsidRPr="00281602" w:rsidRDefault="00281602" w:rsidP="00281602">
      <w:pPr>
        <w:ind w:firstLine="425"/>
        <w:jc w:val="both"/>
        <w:rPr>
          <w:sz w:val="22"/>
          <w:szCs w:val="22"/>
          <w:lang w:val="en-US"/>
        </w:rPr>
      </w:pPr>
      <w:r w:rsidRPr="00281602">
        <w:rPr>
          <w:color w:val="000000"/>
          <w:sz w:val="22"/>
          <w:szCs w:val="22"/>
          <w:lang w:val="en-US"/>
        </w:rPr>
        <w:t xml:space="preserve">KEYWORDS: </w:t>
      </w:r>
      <w:r w:rsidRPr="00281602">
        <w:rPr>
          <w:sz w:val="22"/>
          <w:szCs w:val="22"/>
          <w:lang w:val="en-US"/>
        </w:rPr>
        <w:t>framework, interface, Bootstrap, grids, tables, forms, modules, website.</w:t>
      </w:r>
    </w:p>
    <w:p w:rsidR="00281602" w:rsidRPr="00281602" w:rsidRDefault="00281602" w:rsidP="00281602">
      <w:pPr>
        <w:ind w:firstLine="425"/>
        <w:jc w:val="both"/>
        <w:rPr>
          <w:sz w:val="22"/>
          <w:szCs w:val="22"/>
          <w:lang w:val="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создания любого интерфейса необходимо изучить осно</w:t>
      </w:r>
      <w:r w:rsidRPr="00281602">
        <w:rPr>
          <w:rFonts w:eastAsia="Calibri"/>
          <w:sz w:val="22"/>
          <w:szCs w:val="22"/>
          <w:lang w:eastAsia="en-US"/>
        </w:rPr>
        <w:t>в</w:t>
      </w:r>
      <w:r w:rsidRPr="00281602">
        <w:rPr>
          <w:rFonts w:eastAsia="Calibri"/>
          <w:sz w:val="22"/>
          <w:szCs w:val="22"/>
          <w:lang w:eastAsia="en-US"/>
        </w:rPr>
        <w:t xml:space="preserve">ные инструменты </w:t>
      </w:r>
      <w:r w:rsidRPr="00281602">
        <w:rPr>
          <w:rFonts w:eastAsia="Calibri"/>
          <w:sz w:val="22"/>
          <w:szCs w:val="22"/>
          <w:lang w:val="en-US" w:eastAsia="en-US"/>
        </w:rPr>
        <w:t>Bootstrap</w:t>
      </w:r>
      <w:r w:rsidRPr="00281602">
        <w:rPr>
          <w:rFonts w:eastAsia="Calibri"/>
          <w:sz w:val="22"/>
          <w:szCs w:val="22"/>
          <w:lang w:eastAsia="en-US"/>
        </w:rPr>
        <w:t xml:space="preserve">, такие как: сетки, шаблоны, таблицы и формы. </w:t>
      </w:r>
      <w:r w:rsidRPr="00281602">
        <w:rPr>
          <w:rFonts w:eastAsia="Calibri"/>
          <w:bCs/>
          <w:sz w:val="22"/>
          <w:szCs w:val="22"/>
          <w:lang w:eastAsia="en-US"/>
        </w:rPr>
        <w:t>Bootstrap</w:t>
      </w:r>
      <w:r w:rsidRPr="00281602">
        <w:rPr>
          <w:rFonts w:eastAsia="Calibri"/>
          <w:sz w:val="22"/>
          <w:szCs w:val="22"/>
          <w:lang w:eastAsia="en-US"/>
        </w:rPr>
        <w:t xml:space="preserve"> это замечательный фреймворк для создания с</w:t>
      </w:r>
      <w:r w:rsidRPr="00281602">
        <w:rPr>
          <w:rFonts w:eastAsia="Calibri"/>
          <w:sz w:val="22"/>
          <w:szCs w:val="22"/>
          <w:lang w:eastAsia="en-US"/>
        </w:rPr>
        <w:t>о</w:t>
      </w:r>
      <w:r w:rsidRPr="00281602">
        <w:rPr>
          <w:rFonts w:eastAsia="Calibri"/>
          <w:sz w:val="22"/>
          <w:szCs w:val="22"/>
          <w:lang w:eastAsia="en-US"/>
        </w:rPr>
        <w:t>временных, кросс-браузерных и стандартизованных интерфейсов. Продуманная структура кода HTML, JavaScript и CSS дает возмо</w:t>
      </w:r>
      <w:r w:rsidRPr="00281602">
        <w:rPr>
          <w:rFonts w:eastAsia="Calibri"/>
          <w:sz w:val="22"/>
          <w:szCs w:val="22"/>
          <w:lang w:eastAsia="en-US"/>
        </w:rPr>
        <w:t>ж</w:t>
      </w:r>
      <w:r w:rsidRPr="00281602">
        <w:rPr>
          <w:rFonts w:eastAsia="Calibri"/>
          <w:sz w:val="22"/>
          <w:szCs w:val="22"/>
          <w:lang w:eastAsia="en-US"/>
        </w:rPr>
        <w:t>ность создавать множество самых разнообразных элементов инте</w:t>
      </w:r>
      <w:r w:rsidRPr="00281602">
        <w:rPr>
          <w:rFonts w:eastAsia="Calibri"/>
          <w:sz w:val="22"/>
          <w:szCs w:val="22"/>
          <w:lang w:eastAsia="en-US"/>
        </w:rPr>
        <w:t>р</w:t>
      </w:r>
      <w:r w:rsidRPr="00281602">
        <w:rPr>
          <w:rFonts w:eastAsia="Calibri"/>
          <w:sz w:val="22"/>
          <w:szCs w:val="22"/>
          <w:lang w:eastAsia="en-US"/>
        </w:rPr>
        <w:t>фейса и сетку сайта [1].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Bootstrap – это очень удачная разработка, популярность кот</w:t>
      </w:r>
      <w:r w:rsidRPr="00281602">
        <w:rPr>
          <w:rFonts w:eastAsia="Calibri"/>
          <w:sz w:val="22"/>
          <w:szCs w:val="22"/>
          <w:lang w:eastAsia="en-US"/>
        </w:rPr>
        <w:t>о</w:t>
      </w:r>
      <w:r w:rsidRPr="00281602">
        <w:rPr>
          <w:rFonts w:eastAsia="Calibri"/>
          <w:sz w:val="22"/>
          <w:szCs w:val="22"/>
          <w:lang w:eastAsia="en-US"/>
        </w:rPr>
        <w:t>рого очень быстро растет. Нынешний уровень развития этого фреймворка уже позволяет полностью создать любой web-</w:t>
      </w:r>
      <w:r w:rsidRPr="00281602">
        <w:rPr>
          <w:rFonts w:eastAsia="Calibri"/>
          <w:sz w:val="22"/>
          <w:szCs w:val="22"/>
          <w:lang w:eastAsia="en-US"/>
        </w:rPr>
        <w:lastRenderedPageBreak/>
        <w:t>интерфейс. Именно поэтому недавно презентовали полностью ада</w:t>
      </w:r>
      <w:r w:rsidRPr="00281602">
        <w:rPr>
          <w:rFonts w:eastAsia="Calibri"/>
          <w:sz w:val="22"/>
          <w:szCs w:val="22"/>
          <w:lang w:eastAsia="en-US"/>
        </w:rPr>
        <w:t>п</w:t>
      </w:r>
      <w:r w:rsidRPr="00281602">
        <w:rPr>
          <w:rFonts w:eastAsia="Calibri"/>
          <w:sz w:val="22"/>
          <w:szCs w:val="22"/>
          <w:lang w:eastAsia="en-US"/>
        </w:rPr>
        <w:t xml:space="preserve">тивные шаблоны. Рассмотрим основные инструменты </w:t>
      </w:r>
      <w:r w:rsidRPr="00281602">
        <w:rPr>
          <w:rFonts w:eastAsia="Calibri"/>
          <w:sz w:val="22"/>
          <w:szCs w:val="22"/>
          <w:lang w:val="en-US" w:eastAsia="en-US"/>
        </w:rPr>
        <w:t>Bottstrap</w:t>
      </w:r>
      <w:r w:rsidRPr="00281602">
        <w:rPr>
          <w:rFonts w:eastAsia="Calibri"/>
          <w:sz w:val="22"/>
          <w:szCs w:val="22"/>
          <w:lang w:eastAsia="en-US"/>
        </w:rPr>
        <w:t>.</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bCs/>
          <w:sz w:val="22"/>
          <w:szCs w:val="22"/>
          <w:lang w:eastAsia="en-US"/>
        </w:rPr>
        <w:t>Сетки</w:t>
      </w:r>
      <w:r w:rsidRPr="00281602">
        <w:rPr>
          <w:rFonts w:eastAsia="Calibri"/>
          <w:sz w:val="22"/>
          <w:szCs w:val="22"/>
          <w:lang w:eastAsia="en-US"/>
        </w:rPr>
        <w:t xml:space="preserve"> – заранее заданные размеры колонок, которые можно сразу же использовать, например ширина колонки 90px относится к классу .span-2, который мы можем использовать в CSS описании документа.</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bCs/>
          <w:sz w:val="22"/>
          <w:szCs w:val="22"/>
          <w:lang w:eastAsia="en-US"/>
        </w:rPr>
        <w:t>Шаблоны</w:t>
      </w:r>
      <w:r w:rsidRPr="00281602">
        <w:rPr>
          <w:rFonts w:eastAsia="Calibri"/>
          <w:sz w:val="22"/>
          <w:szCs w:val="22"/>
          <w:lang w:eastAsia="en-US"/>
        </w:rPr>
        <w:t xml:space="preserve"> – фиксированный или резиновый шаблон документа. </w:t>
      </w:r>
      <w:r w:rsidRPr="00281602">
        <w:rPr>
          <w:rFonts w:eastAsia="Calibri"/>
          <w:bCs/>
          <w:sz w:val="22"/>
          <w:szCs w:val="22"/>
          <w:lang w:eastAsia="en-US"/>
        </w:rPr>
        <w:t>Типографика</w:t>
      </w:r>
      <w:r w:rsidRPr="00281602">
        <w:rPr>
          <w:rFonts w:eastAsia="Calibri"/>
          <w:sz w:val="22"/>
          <w:szCs w:val="22"/>
          <w:lang w:eastAsia="en-US"/>
        </w:rPr>
        <w:t xml:space="preserve"> – описания шрифтов, определение некоторых классов для шрифтов таких как код, цитаты и т.п..</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bCs/>
          <w:sz w:val="22"/>
          <w:szCs w:val="22"/>
          <w:lang w:eastAsia="en-US"/>
        </w:rPr>
        <w:t>Медиа</w:t>
      </w:r>
      <w:r w:rsidRPr="00281602">
        <w:rPr>
          <w:rFonts w:eastAsia="Calibri"/>
          <w:sz w:val="22"/>
          <w:szCs w:val="22"/>
          <w:lang w:eastAsia="en-US"/>
        </w:rPr>
        <w:t xml:space="preserve"> – представляет возможности управления изображени</w:t>
      </w:r>
      <w:r w:rsidRPr="00281602">
        <w:rPr>
          <w:rFonts w:eastAsia="Calibri"/>
          <w:sz w:val="22"/>
          <w:szCs w:val="22"/>
          <w:lang w:eastAsia="en-US"/>
        </w:rPr>
        <w:t>я</w:t>
      </w:r>
      <w:r w:rsidRPr="00281602">
        <w:rPr>
          <w:rFonts w:eastAsia="Calibri"/>
          <w:sz w:val="22"/>
          <w:szCs w:val="22"/>
          <w:lang w:eastAsia="en-US"/>
        </w:rPr>
        <w:t xml:space="preserve">ми и видео. </w:t>
      </w:r>
      <w:r w:rsidRPr="00281602">
        <w:rPr>
          <w:rFonts w:eastAsia="Calibri"/>
          <w:bCs/>
          <w:sz w:val="22"/>
          <w:szCs w:val="22"/>
          <w:lang w:eastAsia="en-US"/>
        </w:rPr>
        <w:t>Таблицы</w:t>
      </w:r>
      <w:r w:rsidRPr="00281602">
        <w:rPr>
          <w:rFonts w:eastAsia="Calibri"/>
          <w:sz w:val="22"/>
          <w:szCs w:val="22"/>
          <w:lang w:eastAsia="en-US"/>
        </w:rPr>
        <w:t xml:space="preserve"> – средства оформления таблиц, вплоть до д</w:t>
      </w:r>
      <w:r w:rsidRPr="00281602">
        <w:rPr>
          <w:rFonts w:eastAsia="Calibri"/>
          <w:sz w:val="22"/>
          <w:szCs w:val="22"/>
          <w:lang w:eastAsia="en-US"/>
        </w:rPr>
        <w:t>о</w:t>
      </w:r>
      <w:r w:rsidRPr="00281602">
        <w:rPr>
          <w:rFonts w:eastAsia="Calibri"/>
          <w:sz w:val="22"/>
          <w:szCs w:val="22"/>
          <w:lang w:eastAsia="en-US"/>
        </w:rPr>
        <w:t>бавления функциональности для обеспечения возможности сорт</w:t>
      </w:r>
      <w:r w:rsidRPr="00281602">
        <w:rPr>
          <w:rFonts w:eastAsia="Calibri"/>
          <w:sz w:val="22"/>
          <w:szCs w:val="22"/>
          <w:lang w:eastAsia="en-US"/>
        </w:rPr>
        <w:t>и</w:t>
      </w:r>
      <w:r w:rsidRPr="00281602">
        <w:rPr>
          <w:rFonts w:eastAsia="Calibri"/>
          <w:sz w:val="22"/>
          <w:szCs w:val="22"/>
          <w:lang w:eastAsia="en-US"/>
        </w:rPr>
        <w:t>ровки.</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bCs/>
          <w:sz w:val="22"/>
          <w:szCs w:val="22"/>
          <w:lang w:eastAsia="en-US"/>
        </w:rPr>
        <w:t>Формы</w:t>
      </w:r>
      <w:r w:rsidRPr="00281602">
        <w:rPr>
          <w:rFonts w:eastAsia="Calibri"/>
          <w:sz w:val="22"/>
          <w:szCs w:val="22"/>
          <w:lang w:eastAsia="en-US"/>
        </w:rPr>
        <w:t xml:space="preserve"> – классы для оформления не только форм, но и некот</w:t>
      </w:r>
      <w:r w:rsidRPr="00281602">
        <w:rPr>
          <w:rFonts w:eastAsia="Calibri"/>
          <w:sz w:val="22"/>
          <w:szCs w:val="22"/>
          <w:lang w:eastAsia="en-US"/>
        </w:rPr>
        <w:t>о</w:t>
      </w:r>
      <w:r w:rsidRPr="00281602">
        <w:rPr>
          <w:rFonts w:eastAsia="Calibri"/>
          <w:sz w:val="22"/>
          <w:szCs w:val="22"/>
          <w:lang w:eastAsia="en-US"/>
        </w:rPr>
        <w:t xml:space="preserve">рых событий, происходящих с ними. </w:t>
      </w:r>
      <w:r w:rsidRPr="00281602">
        <w:rPr>
          <w:rFonts w:eastAsia="Calibri"/>
          <w:bCs/>
          <w:sz w:val="22"/>
          <w:szCs w:val="22"/>
          <w:lang w:eastAsia="en-US"/>
        </w:rPr>
        <w:t>Навигация</w:t>
      </w:r>
      <w:r w:rsidRPr="00281602">
        <w:rPr>
          <w:rFonts w:eastAsia="Calibri"/>
          <w:sz w:val="22"/>
          <w:szCs w:val="22"/>
          <w:lang w:eastAsia="en-US"/>
        </w:rPr>
        <w:t xml:space="preserve"> – классы оформл</w:t>
      </w:r>
      <w:r w:rsidRPr="00281602">
        <w:rPr>
          <w:rFonts w:eastAsia="Calibri"/>
          <w:sz w:val="22"/>
          <w:szCs w:val="22"/>
          <w:lang w:eastAsia="en-US"/>
        </w:rPr>
        <w:t>е</w:t>
      </w:r>
      <w:r w:rsidRPr="00281602">
        <w:rPr>
          <w:rFonts w:eastAsia="Calibri"/>
          <w:sz w:val="22"/>
          <w:szCs w:val="22"/>
          <w:lang w:eastAsia="en-US"/>
        </w:rPr>
        <w:t xml:space="preserve">ния для вкладок, страниц, меню и панелей инструментов. </w:t>
      </w:r>
      <w:r w:rsidRPr="00281602">
        <w:rPr>
          <w:rFonts w:eastAsia="Calibri"/>
          <w:bCs/>
          <w:sz w:val="22"/>
          <w:szCs w:val="22"/>
          <w:lang w:eastAsia="en-US"/>
        </w:rPr>
        <w:t>Алерты</w:t>
      </w:r>
      <w:r w:rsidRPr="00281602">
        <w:rPr>
          <w:rFonts w:eastAsia="Calibri"/>
          <w:sz w:val="22"/>
          <w:szCs w:val="22"/>
          <w:lang w:eastAsia="en-US"/>
        </w:rPr>
        <w:t xml:space="preserve"> – оформление диалоговых окон, подсказок и всплывающих окон [2].</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Изначально Bootstrap был создан разработчиками Твиттера для внутреннего пользования, но спустя время он был выложен в о</w:t>
      </w:r>
      <w:r w:rsidRPr="00281602">
        <w:rPr>
          <w:rFonts w:eastAsia="Calibri"/>
          <w:sz w:val="22"/>
          <w:szCs w:val="22"/>
          <w:lang w:eastAsia="en-US"/>
        </w:rPr>
        <w:t>т</w:t>
      </w:r>
      <w:r w:rsidRPr="00281602">
        <w:rPr>
          <w:rFonts w:eastAsia="Calibri"/>
          <w:sz w:val="22"/>
          <w:szCs w:val="22"/>
          <w:lang w:eastAsia="en-US"/>
        </w:rPr>
        <w:t xml:space="preserve">крытый доступ и стал удобным набором инструментов для создания пользовательских интерфейсов любой сложности. </w:t>
      </w:r>
    </w:p>
    <w:p w:rsidR="00281602" w:rsidRPr="00281602" w:rsidRDefault="00281602" w:rsidP="00281602">
      <w:pPr>
        <w:ind w:firstLine="425"/>
        <w:jc w:val="both"/>
        <w:rPr>
          <w:rFonts w:eastAsia="Calibri"/>
          <w:bCs/>
          <w:sz w:val="22"/>
          <w:szCs w:val="22"/>
          <w:lang w:eastAsia="en-US"/>
        </w:rPr>
      </w:pPr>
      <w:r w:rsidRPr="00281602">
        <w:rPr>
          <w:rFonts w:eastAsia="Calibri"/>
          <w:bCs/>
          <w:sz w:val="22"/>
          <w:szCs w:val="22"/>
          <w:lang w:eastAsia="en-US"/>
        </w:rPr>
        <w:t xml:space="preserve">К преимуществам Bootstrap можно отнести: </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sz w:val="22"/>
          <w:szCs w:val="22"/>
          <w:lang w:eastAsia="en-US"/>
        </w:rPr>
        <w:t>Сокращения времени, необходимого для создания макета са</w:t>
      </w:r>
      <w:r w:rsidRPr="00281602">
        <w:rPr>
          <w:rFonts w:eastAsia="Calibri"/>
          <w:sz w:val="22"/>
          <w:szCs w:val="22"/>
          <w:lang w:eastAsia="en-US"/>
        </w:rPr>
        <w:t>й</w:t>
      </w:r>
      <w:r w:rsidRPr="00281602">
        <w:rPr>
          <w:rFonts w:eastAsia="Calibri"/>
          <w:sz w:val="22"/>
          <w:szCs w:val="22"/>
          <w:lang w:eastAsia="en-US"/>
        </w:rPr>
        <w:t>та. Фреймворк предлагает достаточное количество шаблонов и г</w:t>
      </w:r>
      <w:r w:rsidRPr="00281602">
        <w:rPr>
          <w:rFonts w:eastAsia="Calibri"/>
          <w:sz w:val="22"/>
          <w:szCs w:val="22"/>
          <w:lang w:eastAsia="en-US"/>
        </w:rPr>
        <w:t>о</w:t>
      </w:r>
      <w:r w:rsidRPr="00281602">
        <w:rPr>
          <w:rFonts w:eastAsia="Calibri"/>
          <w:sz w:val="22"/>
          <w:szCs w:val="22"/>
          <w:lang w:eastAsia="en-US"/>
        </w:rPr>
        <w:t>товых решений.</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sz w:val="22"/>
          <w:szCs w:val="22"/>
          <w:lang w:eastAsia="en-US"/>
        </w:rPr>
        <w:t>Кросс-браузерность и адаптивность. Сайты, созданные с п</w:t>
      </w:r>
      <w:r w:rsidRPr="00281602">
        <w:rPr>
          <w:rFonts w:eastAsia="Calibri"/>
          <w:sz w:val="22"/>
          <w:szCs w:val="22"/>
          <w:lang w:eastAsia="en-US"/>
        </w:rPr>
        <w:t>о</w:t>
      </w:r>
      <w:r w:rsidRPr="00281602">
        <w:rPr>
          <w:rFonts w:eastAsia="Calibri"/>
          <w:sz w:val="22"/>
          <w:szCs w:val="22"/>
          <w:lang w:eastAsia="en-US"/>
        </w:rPr>
        <w:t>мощью Bootstrap, идентично отображаются на разных устройствах и в современных браузерах.</w:t>
      </w:r>
    </w:p>
    <w:p w:rsidR="00281602" w:rsidRPr="00281602" w:rsidRDefault="00281602" w:rsidP="00281602">
      <w:pPr>
        <w:tabs>
          <w:tab w:val="left" w:pos="709"/>
          <w:tab w:val="left" w:pos="993"/>
        </w:tabs>
        <w:ind w:firstLine="426"/>
        <w:jc w:val="both"/>
        <w:rPr>
          <w:rFonts w:eastAsia="Calibri"/>
          <w:sz w:val="22"/>
          <w:szCs w:val="22"/>
          <w:lang w:eastAsia="en-US"/>
        </w:rPr>
      </w:pPr>
      <w:r w:rsidRPr="00281602">
        <w:rPr>
          <w:rFonts w:eastAsia="Calibri"/>
          <w:sz w:val="22"/>
          <w:szCs w:val="22"/>
          <w:lang w:eastAsia="en-US"/>
        </w:rPr>
        <w:t>Простота использования. Для работы с фреймворком потреб</w:t>
      </w:r>
      <w:r w:rsidRPr="00281602">
        <w:rPr>
          <w:rFonts w:eastAsia="Calibri"/>
          <w:sz w:val="22"/>
          <w:szCs w:val="22"/>
          <w:lang w:eastAsia="en-US"/>
        </w:rPr>
        <w:t>у</w:t>
      </w:r>
      <w:r w:rsidRPr="00281602">
        <w:rPr>
          <w:rFonts w:eastAsia="Calibri"/>
          <w:sz w:val="22"/>
          <w:szCs w:val="22"/>
          <w:lang w:eastAsia="en-US"/>
        </w:rPr>
        <w:t>ются элементарные навыки верстки.</w:t>
      </w:r>
    </w:p>
    <w:p w:rsidR="00281602" w:rsidRPr="00281602" w:rsidRDefault="00281602" w:rsidP="00281602">
      <w:pPr>
        <w:tabs>
          <w:tab w:val="left" w:pos="709"/>
          <w:tab w:val="left" w:pos="993"/>
        </w:tabs>
        <w:ind w:firstLine="426"/>
        <w:jc w:val="both"/>
        <w:rPr>
          <w:rFonts w:eastAsia="Calibri"/>
          <w:b/>
          <w:bCs/>
          <w:sz w:val="22"/>
          <w:szCs w:val="22"/>
          <w:lang w:eastAsia="en-US"/>
        </w:rPr>
      </w:pPr>
      <w:r w:rsidRPr="00281602">
        <w:rPr>
          <w:rFonts w:eastAsia="Calibri"/>
          <w:sz w:val="22"/>
          <w:szCs w:val="22"/>
          <w:lang w:eastAsia="en-US"/>
        </w:rPr>
        <w:t xml:space="preserve"> Легкость в освоении. Достаточное количество обучающих в</w:t>
      </w:r>
      <w:r w:rsidRPr="00281602">
        <w:rPr>
          <w:rFonts w:eastAsia="Calibri"/>
          <w:sz w:val="22"/>
          <w:szCs w:val="22"/>
          <w:lang w:eastAsia="en-US"/>
        </w:rPr>
        <w:t>и</w:t>
      </w:r>
      <w:r w:rsidRPr="00281602">
        <w:rPr>
          <w:rFonts w:eastAsia="Calibri"/>
          <w:sz w:val="22"/>
          <w:szCs w:val="22"/>
          <w:lang w:eastAsia="en-US"/>
        </w:rPr>
        <w:t>деоматериалов поможет вам быстро и без особых трудностей осв</w:t>
      </w:r>
      <w:r w:rsidRPr="00281602">
        <w:rPr>
          <w:rFonts w:eastAsia="Calibri"/>
          <w:sz w:val="22"/>
          <w:szCs w:val="22"/>
          <w:lang w:eastAsia="en-US"/>
        </w:rPr>
        <w:t>о</w:t>
      </w:r>
      <w:r w:rsidRPr="00281602">
        <w:rPr>
          <w:rFonts w:eastAsia="Calibri"/>
          <w:sz w:val="22"/>
          <w:szCs w:val="22"/>
          <w:lang w:eastAsia="en-US"/>
        </w:rPr>
        <w:t>ить Bootstrap.</w:t>
      </w:r>
    </w:p>
    <w:p w:rsidR="00281602" w:rsidRPr="00281602" w:rsidRDefault="00281602" w:rsidP="00281602">
      <w:pPr>
        <w:ind w:firstLine="425"/>
        <w:jc w:val="both"/>
        <w:rPr>
          <w:rFonts w:eastAsia="Calibri"/>
          <w:sz w:val="22"/>
          <w:szCs w:val="22"/>
          <w:lang w:eastAsia="en-US"/>
        </w:rPr>
      </w:pPr>
      <w:r w:rsidRPr="00281602">
        <w:rPr>
          <w:rFonts w:eastAsia="Calibri"/>
          <w:bCs/>
          <w:sz w:val="22"/>
          <w:szCs w:val="22"/>
          <w:lang w:eastAsia="en-US"/>
        </w:rPr>
        <w:t xml:space="preserve">Рассмотрим ситуации, в которых </w:t>
      </w:r>
      <w:r w:rsidRPr="00281602">
        <w:rPr>
          <w:rFonts w:eastAsia="Calibri"/>
          <w:sz w:val="22"/>
          <w:szCs w:val="22"/>
          <w:lang w:eastAsia="en-US"/>
        </w:rPr>
        <w:t>фреймворк Bootstrap</w:t>
      </w:r>
      <w:r w:rsidRPr="00281602">
        <w:rPr>
          <w:rFonts w:eastAsia="Calibri"/>
          <w:bCs/>
          <w:sz w:val="22"/>
          <w:szCs w:val="22"/>
          <w:lang w:eastAsia="en-US"/>
        </w:rPr>
        <w:t xml:space="preserve"> не по</w:t>
      </w:r>
      <w:r w:rsidRPr="00281602">
        <w:rPr>
          <w:rFonts w:eastAsia="Calibri"/>
          <w:bCs/>
          <w:sz w:val="22"/>
          <w:szCs w:val="22"/>
          <w:lang w:eastAsia="en-US"/>
        </w:rPr>
        <w:t>д</w:t>
      </w:r>
      <w:r w:rsidRPr="00281602">
        <w:rPr>
          <w:rFonts w:eastAsia="Calibri"/>
          <w:bCs/>
          <w:sz w:val="22"/>
          <w:szCs w:val="22"/>
          <w:lang w:eastAsia="en-US"/>
        </w:rPr>
        <w:t>ходит для реализации проекта.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Шаблоны, предлагаемые Bootstrap, содержат гораздо больше информации, чем нужно на самом деле. Когда разработчик сам</w:t>
      </w:r>
      <w:r w:rsidRPr="00281602">
        <w:rPr>
          <w:rFonts w:eastAsia="Calibri"/>
          <w:sz w:val="22"/>
          <w:szCs w:val="22"/>
          <w:lang w:eastAsia="en-US"/>
        </w:rPr>
        <w:t>о</w:t>
      </w:r>
      <w:r w:rsidRPr="00281602">
        <w:rPr>
          <w:rFonts w:eastAsia="Calibri"/>
          <w:sz w:val="22"/>
          <w:szCs w:val="22"/>
          <w:lang w:eastAsia="en-US"/>
        </w:rPr>
        <w:t>стоятельно создает макет, он использует только необходимый м</w:t>
      </w:r>
      <w:r w:rsidRPr="00281602">
        <w:rPr>
          <w:rFonts w:eastAsia="Calibri"/>
          <w:sz w:val="22"/>
          <w:szCs w:val="22"/>
          <w:lang w:eastAsia="en-US"/>
        </w:rPr>
        <w:t>и</w:t>
      </w:r>
      <w:r w:rsidRPr="00281602">
        <w:rPr>
          <w:rFonts w:eastAsia="Calibri"/>
          <w:sz w:val="22"/>
          <w:szCs w:val="22"/>
          <w:lang w:eastAsia="en-US"/>
        </w:rPr>
        <w:lastRenderedPageBreak/>
        <w:t>нимум для реализации задуманных идей. Шаблон должен учит</w:t>
      </w:r>
      <w:r w:rsidRPr="00281602">
        <w:rPr>
          <w:rFonts w:eastAsia="Calibri"/>
          <w:sz w:val="22"/>
          <w:szCs w:val="22"/>
          <w:lang w:eastAsia="en-US"/>
        </w:rPr>
        <w:t>ы</w:t>
      </w:r>
      <w:r w:rsidRPr="00281602">
        <w:rPr>
          <w:rFonts w:eastAsia="Calibri"/>
          <w:sz w:val="22"/>
          <w:szCs w:val="22"/>
          <w:lang w:eastAsia="en-US"/>
        </w:rPr>
        <w:t>вать множество других вариантов, то есть быть универсальным. Решить эту проблему можно, контролируя компоненты, которые вы будете переносить CSS-файл (по сути, можно использовать только сетку, вводя остальные данные вручную).</w:t>
      </w:r>
    </w:p>
    <w:p w:rsidR="00281602" w:rsidRPr="00281602" w:rsidRDefault="00281602" w:rsidP="00281602">
      <w:pPr>
        <w:ind w:firstLine="425"/>
        <w:jc w:val="both"/>
        <w:rPr>
          <w:rFonts w:eastAsia="Calibri"/>
          <w:bCs/>
          <w:sz w:val="22"/>
          <w:szCs w:val="22"/>
          <w:lang w:eastAsia="en-US"/>
        </w:rPr>
      </w:pPr>
      <w:r w:rsidRPr="00281602">
        <w:rPr>
          <w:rFonts w:eastAsia="Calibri"/>
          <w:sz w:val="22"/>
          <w:szCs w:val="22"/>
          <w:lang w:eastAsia="en-US"/>
        </w:rPr>
        <w:t>2. Часто сайты, созданные с помощью фреймворка, похожи один на другой: одинаковая структура, кнопки, навигационные эл</w:t>
      </w:r>
      <w:r w:rsidRPr="00281602">
        <w:rPr>
          <w:rFonts w:eastAsia="Calibri"/>
          <w:sz w:val="22"/>
          <w:szCs w:val="22"/>
          <w:lang w:eastAsia="en-US"/>
        </w:rPr>
        <w:t>е</w:t>
      </w:r>
      <w:r w:rsidRPr="00281602">
        <w:rPr>
          <w:rFonts w:eastAsia="Calibri"/>
          <w:sz w:val="22"/>
          <w:szCs w:val="22"/>
          <w:lang w:eastAsia="en-US"/>
        </w:rPr>
        <w:t>менты. Теряется уникальность дизайна, что не всегда уместно. Этот недостаток тоже легко устранить. Можно минимизировать испол</w:t>
      </w:r>
      <w:r w:rsidRPr="00281602">
        <w:rPr>
          <w:rFonts w:eastAsia="Calibri"/>
          <w:sz w:val="22"/>
          <w:szCs w:val="22"/>
          <w:lang w:eastAsia="en-US"/>
        </w:rPr>
        <w:t>ь</w:t>
      </w:r>
      <w:r w:rsidRPr="00281602">
        <w:rPr>
          <w:rFonts w:eastAsia="Calibri"/>
          <w:sz w:val="22"/>
          <w:szCs w:val="22"/>
          <w:lang w:eastAsia="en-US"/>
        </w:rPr>
        <w:t>зование готовых решений Bootstrap, изменяйте шаблон в соотве</w:t>
      </w:r>
      <w:r w:rsidRPr="00281602">
        <w:rPr>
          <w:rFonts w:eastAsia="Calibri"/>
          <w:sz w:val="22"/>
          <w:szCs w:val="22"/>
          <w:lang w:eastAsia="en-US"/>
        </w:rPr>
        <w:t>т</w:t>
      </w:r>
      <w:r w:rsidRPr="00281602">
        <w:rPr>
          <w:rFonts w:eastAsia="Calibri"/>
          <w:sz w:val="22"/>
          <w:szCs w:val="22"/>
          <w:lang w:eastAsia="en-US"/>
        </w:rPr>
        <w:t>ствии с индивидуальным решением дизайнера и запросов заказчика.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 точки зрения разработчика, Bootstrap использует новейшие возможности HTML и CSS. Они могут не поддерживаться старыми версиями браузеров. В первую очередь нужно быть осторожным с Internet Explorer. Начиная с версии Bootstrap 2 все макеты, создав</w:t>
      </w:r>
      <w:r w:rsidRPr="00281602">
        <w:rPr>
          <w:rFonts w:eastAsia="Calibri"/>
          <w:sz w:val="22"/>
          <w:szCs w:val="22"/>
          <w:lang w:eastAsia="en-US"/>
        </w:rPr>
        <w:t>а</w:t>
      </w:r>
      <w:r w:rsidRPr="00281602">
        <w:rPr>
          <w:rFonts w:eastAsia="Calibri"/>
          <w:sz w:val="22"/>
          <w:szCs w:val="22"/>
          <w:lang w:eastAsia="en-US"/>
        </w:rPr>
        <w:t>емые с его помощью, стали адаптивными [3].</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Вывод: данная статья раскрыла основные преимущества и н</w:t>
      </w:r>
      <w:r w:rsidRPr="00281602">
        <w:rPr>
          <w:rFonts w:eastAsia="Calibri"/>
          <w:sz w:val="22"/>
          <w:szCs w:val="22"/>
          <w:lang w:eastAsia="en-US"/>
        </w:rPr>
        <w:t>е</w:t>
      </w:r>
      <w:r w:rsidRPr="00281602">
        <w:rPr>
          <w:rFonts w:eastAsia="Calibri"/>
          <w:sz w:val="22"/>
          <w:szCs w:val="22"/>
          <w:lang w:eastAsia="en-US"/>
        </w:rPr>
        <w:t xml:space="preserve">достатки </w:t>
      </w:r>
      <w:r w:rsidRPr="00281602">
        <w:rPr>
          <w:rFonts w:eastAsia="Calibri"/>
          <w:sz w:val="22"/>
          <w:szCs w:val="22"/>
          <w:lang w:val="en-US" w:eastAsia="en-US"/>
        </w:rPr>
        <w:t>Bootstrap</w:t>
      </w:r>
      <w:r w:rsidRPr="00281602">
        <w:rPr>
          <w:rFonts w:eastAsia="Calibri"/>
          <w:sz w:val="22"/>
          <w:szCs w:val="22"/>
          <w:lang w:eastAsia="en-US"/>
        </w:rPr>
        <w:t>. Данный фреймворк позволяет создавать сайты с самым разнообразным дизайном и структурой, главное научиться правильно использовать все инструменты, которые предлагаются фронтенд-разработчикам.</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tabs>
          <w:tab w:val="left" w:pos="0"/>
          <w:tab w:val="left" w:pos="709"/>
          <w:tab w:val="left" w:pos="993"/>
        </w:tabs>
        <w:ind w:firstLine="425"/>
        <w:jc w:val="both"/>
        <w:rPr>
          <w:rFonts w:eastAsia="Calibri"/>
          <w:sz w:val="22"/>
          <w:szCs w:val="22"/>
          <w:lang w:eastAsia="en-US"/>
        </w:rPr>
      </w:pPr>
      <w:r w:rsidRPr="00281602">
        <w:rPr>
          <w:rFonts w:eastAsia="Calibri"/>
          <w:sz w:val="22"/>
          <w:szCs w:val="22"/>
          <w:lang w:eastAsia="en-US"/>
        </w:rPr>
        <w:t>1. Лукьяненко Т.В. Опыт использования системы Moodle для организации дистанционного обучения в ВУЗе / Т.В. Лукьяненко // Качество современных образовательных услуг – основа конкуре</w:t>
      </w:r>
      <w:r w:rsidRPr="00281602">
        <w:rPr>
          <w:rFonts w:eastAsia="Calibri"/>
          <w:sz w:val="22"/>
          <w:szCs w:val="22"/>
          <w:lang w:eastAsia="en-US"/>
        </w:rPr>
        <w:t>н</w:t>
      </w:r>
      <w:r w:rsidRPr="00281602">
        <w:rPr>
          <w:rFonts w:eastAsia="Calibri"/>
          <w:sz w:val="22"/>
          <w:szCs w:val="22"/>
          <w:lang w:eastAsia="en-US"/>
        </w:rPr>
        <w:t xml:space="preserve">тоспособности ВУЗА :  сб. ст. по материалам межфак. учеб.-метод. конф. / отв. за выпуск М.В. Шаталова. – Краснодар :КубГАУ, 2016. – С. 301–303. </w:t>
      </w:r>
    </w:p>
    <w:p w:rsidR="00281602" w:rsidRPr="00281602" w:rsidRDefault="00281602" w:rsidP="00281602">
      <w:pPr>
        <w:tabs>
          <w:tab w:val="left" w:pos="0"/>
          <w:tab w:val="left" w:pos="709"/>
          <w:tab w:val="left" w:pos="993"/>
        </w:tabs>
        <w:ind w:firstLine="425"/>
        <w:jc w:val="both"/>
        <w:rPr>
          <w:rFonts w:eastAsia="Calibri"/>
          <w:sz w:val="22"/>
          <w:szCs w:val="22"/>
          <w:lang w:eastAsia="en-US"/>
        </w:rPr>
      </w:pPr>
      <w:r w:rsidRPr="00281602">
        <w:rPr>
          <w:rFonts w:eastAsia="Calibri"/>
          <w:sz w:val="22"/>
          <w:szCs w:val="22"/>
          <w:lang w:eastAsia="en-US"/>
        </w:rPr>
        <w:t xml:space="preserve">2. Лукьяненко Т.В. </w:t>
      </w:r>
      <w:hyperlink r:id="rId147" w:history="1">
        <w:r w:rsidRPr="00281602">
          <w:rPr>
            <w:rFonts w:eastAsia="Calibri"/>
            <w:sz w:val="22"/>
            <w:szCs w:val="22"/>
            <w:lang w:eastAsia="en-US"/>
          </w:rPr>
          <w:t>Организация и опыт проведения научно-исследовательской практики магистров</w:t>
        </w:r>
      </w:hyperlink>
      <w:r w:rsidRPr="00281602">
        <w:rPr>
          <w:rFonts w:eastAsia="Calibri"/>
          <w:sz w:val="22"/>
          <w:szCs w:val="22"/>
          <w:lang w:eastAsia="en-US"/>
        </w:rPr>
        <w:t xml:space="preserve"> / Т.В Лукьяненко // </w:t>
      </w:r>
      <w:hyperlink r:id="rId148" w:history="1">
        <w:r w:rsidRPr="00281602">
          <w:rPr>
            <w:rFonts w:eastAsia="Calibri"/>
            <w:sz w:val="22"/>
            <w:szCs w:val="22"/>
            <w:lang w:eastAsia="en-US"/>
          </w:rPr>
          <w:t>Практ</w:t>
        </w:r>
        <w:r w:rsidRPr="00281602">
          <w:rPr>
            <w:rFonts w:eastAsia="Calibri"/>
            <w:sz w:val="22"/>
            <w:szCs w:val="22"/>
            <w:lang w:eastAsia="en-US"/>
          </w:rPr>
          <w:t>и</w:t>
        </w:r>
        <w:r w:rsidRPr="00281602">
          <w:rPr>
            <w:rFonts w:eastAsia="Calibri"/>
            <w:sz w:val="22"/>
            <w:szCs w:val="22"/>
            <w:lang w:eastAsia="en-US"/>
          </w:rPr>
          <w:t>ко-ориентированное обучение: опыт и современные тенденции</w:t>
        </w:r>
      </w:hyperlink>
      <w:r w:rsidRPr="00281602">
        <w:rPr>
          <w:rFonts w:eastAsia="Calibri"/>
          <w:sz w:val="22"/>
          <w:szCs w:val="22"/>
          <w:lang w:eastAsia="en-US"/>
        </w:rPr>
        <w:t xml:space="preserve"> : сб. ст. по материалам учебно-методической конференции. 2017. – Краснодар :КубГАУ, 2017. – С. 246–247.</w:t>
      </w:r>
    </w:p>
    <w:p w:rsidR="00281602" w:rsidRPr="00281602" w:rsidRDefault="00281602" w:rsidP="00281602">
      <w:pPr>
        <w:ind w:firstLine="425"/>
        <w:jc w:val="both"/>
        <w:rPr>
          <w:sz w:val="22"/>
          <w:szCs w:val="22"/>
        </w:rPr>
      </w:pPr>
      <w:r w:rsidRPr="00281602">
        <w:rPr>
          <w:rFonts w:eastAsia="Calibri"/>
          <w:sz w:val="22"/>
          <w:szCs w:val="22"/>
          <w:lang w:eastAsia="en-US"/>
        </w:rPr>
        <w:t>3. Костенко И. В. Выбор методов анализа при обработке да</w:t>
      </w:r>
      <w:r w:rsidRPr="00281602">
        <w:rPr>
          <w:rFonts w:eastAsia="Calibri"/>
          <w:sz w:val="22"/>
          <w:szCs w:val="22"/>
          <w:lang w:eastAsia="en-US"/>
        </w:rPr>
        <w:t>н</w:t>
      </w:r>
      <w:r w:rsidRPr="00281602">
        <w:rPr>
          <w:rFonts w:eastAsia="Calibri"/>
          <w:sz w:val="22"/>
          <w:szCs w:val="22"/>
          <w:lang w:eastAsia="en-US"/>
        </w:rPr>
        <w:t>ных в научных исследованиях  / Т. А. Крамаренко, И. В. Костенко  // Научное обеспечение агропромышленного комплекса : сб. ст. по материалам Х Всерос. конф. молодых ученых, посвященной 120-</w:t>
      </w:r>
      <w:r w:rsidRPr="00281602">
        <w:rPr>
          <w:rFonts w:eastAsia="Calibri"/>
          <w:sz w:val="22"/>
          <w:szCs w:val="22"/>
          <w:lang w:eastAsia="en-US"/>
        </w:rPr>
        <w:lastRenderedPageBreak/>
        <w:t>летию И. С. Косенко. Отв. за вып. А. Г. Кощаев. – Краснодар :КубГАУ, 2017. – С. 428–429.</w:t>
      </w:r>
    </w:p>
    <w:p w:rsidR="003B37B7" w:rsidRDefault="003B37B7" w:rsidP="00281602">
      <w:pPr>
        <w:jc w:val="both"/>
        <w:rPr>
          <w:color w:val="000000"/>
          <w:sz w:val="22"/>
          <w:szCs w:val="22"/>
        </w:rPr>
      </w:pPr>
    </w:p>
    <w:p w:rsidR="003B37B7" w:rsidRDefault="003B37B7" w:rsidP="00281602">
      <w:pPr>
        <w:jc w:val="both"/>
        <w:rPr>
          <w:color w:val="000000"/>
          <w:sz w:val="22"/>
          <w:szCs w:val="22"/>
        </w:rPr>
      </w:pPr>
    </w:p>
    <w:p w:rsidR="003B37B7" w:rsidRDefault="003B37B7" w:rsidP="00281602">
      <w:pPr>
        <w:jc w:val="both"/>
        <w:rPr>
          <w:color w:val="000000"/>
          <w:sz w:val="22"/>
          <w:szCs w:val="22"/>
        </w:rPr>
      </w:pPr>
    </w:p>
    <w:p w:rsidR="00281602" w:rsidRPr="00281602" w:rsidRDefault="00281602" w:rsidP="00281602">
      <w:pPr>
        <w:jc w:val="both"/>
        <w:rPr>
          <w:color w:val="000000"/>
          <w:sz w:val="22"/>
          <w:szCs w:val="22"/>
        </w:rPr>
      </w:pPr>
      <w:r w:rsidRPr="00281602">
        <w:rPr>
          <w:color w:val="000000"/>
          <w:sz w:val="22"/>
          <w:szCs w:val="22"/>
        </w:rPr>
        <w:t>УДК 621.3.037.372.3</w:t>
      </w:r>
    </w:p>
    <w:p w:rsidR="00281602" w:rsidRPr="00281602" w:rsidRDefault="00281602" w:rsidP="00281602">
      <w:pPr>
        <w:ind w:firstLine="425"/>
        <w:jc w:val="both"/>
        <w:rPr>
          <w:color w:val="000000"/>
          <w:sz w:val="22"/>
          <w:szCs w:val="22"/>
        </w:rPr>
      </w:pPr>
    </w:p>
    <w:p w:rsidR="00281602" w:rsidRPr="00787EA7" w:rsidRDefault="00281602" w:rsidP="00281602">
      <w:pPr>
        <w:jc w:val="center"/>
        <w:rPr>
          <w:b/>
          <w:color w:val="000000"/>
          <w:sz w:val="24"/>
          <w:szCs w:val="24"/>
        </w:rPr>
      </w:pPr>
      <w:r w:rsidRPr="00281602">
        <w:rPr>
          <w:b/>
          <w:color w:val="000000"/>
          <w:sz w:val="24"/>
          <w:szCs w:val="24"/>
        </w:rPr>
        <w:t>Троичный</w:t>
      </w:r>
      <w:r w:rsidRPr="00787EA7">
        <w:rPr>
          <w:b/>
          <w:color w:val="000000"/>
          <w:sz w:val="24"/>
          <w:szCs w:val="24"/>
        </w:rPr>
        <w:t xml:space="preserve"> </w:t>
      </w:r>
      <w:r w:rsidRPr="00281602">
        <w:rPr>
          <w:b/>
          <w:color w:val="000000"/>
          <w:sz w:val="24"/>
          <w:szCs w:val="24"/>
        </w:rPr>
        <w:t>компьютер</w:t>
      </w:r>
      <w:r w:rsidRPr="00787EA7">
        <w:rPr>
          <w:b/>
          <w:color w:val="000000"/>
          <w:sz w:val="24"/>
          <w:szCs w:val="24"/>
        </w:rPr>
        <w:t xml:space="preserve">: </w:t>
      </w:r>
      <w:r w:rsidRPr="00281602">
        <w:rPr>
          <w:b/>
          <w:color w:val="000000"/>
          <w:sz w:val="24"/>
          <w:szCs w:val="24"/>
        </w:rPr>
        <w:t>основы</w:t>
      </w:r>
      <w:r w:rsidRPr="00787EA7">
        <w:rPr>
          <w:b/>
          <w:color w:val="000000"/>
          <w:sz w:val="24"/>
          <w:szCs w:val="24"/>
        </w:rPr>
        <w:t xml:space="preserve"> </w:t>
      </w:r>
      <w:r w:rsidRPr="00281602">
        <w:rPr>
          <w:b/>
          <w:color w:val="000000"/>
          <w:sz w:val="24"/>
          <w:szCs w:val="24"/>
        </w:rPr>
        <w:t>троичной</w:t>
      </w:r>
      <w:r w:rsidRPr="00787EA7">
        <w:rPr>
          <w:b/>
          <w:color w:val="000000"/>
          <w:sz w:val="24"/>
          <w:szCs w:val="24"/>
        </w:rPr>
        <w:t xml:space="preserve"> </w:t>
      </w:r>
      <w:r w:rsidRPr="00281602">
        <w:rPr>
          <w:b/>
          <w:color w:val="000000"/>
          <w:sz w:val="24"/>
          <w:szCs w:val="24"/>
        </w:rPr>
        <w:t>логики</w:t>
      </w:r>
    </w:p>
    <w:p w:rsidR="00281602" w:rsidRPr="00281602" w:rsidRDefault="00281602" w:rsidP="00281602">
      <w:pPr>
        <w:jc w:val="center"/>
        <w:rPr>
          <w:b/>
          <w:color w:val="000000"/>
          <w:sz w:val="24"/>
          <w:szCs w:val="24"/>
          <w:lang w:val="en-US"/>
        </w:rPr>
      </w:pPr>
      <w:r w:rsidRPr="00281602">
        <w:rPr>
          <w:b/>
          <w:color w:val="000000"/>
          <w:sz w:val="24"/>
          <w:szCs w:val="24"/>
          <w:lang w:val="en-US"/>
        </w:rPr>
        <w:t>Ternary computer: the basics of ternary logic</w:t>
      </w:r>
    </w:p>
    <w:p w:rsidR="00281602" w:rsidRPr="00281602" w:rsidRDefault="00281602" w:rsidP="00281602">
      <w:pPr>
        <w:ind w:firstLine="425"/>
        <w:jc w:val="both"/>
        <w:rPr>
          <w:color w:val="000000"/>
          <w:sz w:val="22"/>
          <w:szCs w:val="22"/>
          <w:lang w:val="en-US"/>
        </w:rPr>
      </w:pPr>
    </w:p>
    <w:p w:rsidR="00281602" w:rsidRPr="00281602" w:rsidRDefault="00281602" w:rsidP="003B37B7">
      <w:pPr>
        <w:ind w:firstLine="425"/>
        <w:jc w:val="right"/>
        <w:rPr>
          <w:color w:val="000000"/>
          <w:sz w:val="22"/>
          <w:szCs w:val="22"/>
        </w:rPr>
      </w:pPr>
      <w:r w:rsidRPr="00281602">
        <w:rPr>
          <w:color w:val="000000"/>
          <w:sz w:val="22"/>
          <w:szCs w:val="22"/>
        </w:rPr>
        <w:t>Емельянов Д. О.,</w:t>
      </w:r>
      <w:r w:rsidR="003B37B7" w:rsidRPr="003B37B7">
        <w:rPr>
          <w:color w:val="000000"/>
          <w:sz w:val="22"/>
          <w:szCs w:val="22"/>
        </w:rPr>
        <w:t xml:space="preserve"> </w:t>
      </w:r>
      <w:r w:rsidR="003B37B7" w:rsidRPr="00281602">
        <w:rPr>
          <w:color w:val="000000"/>
          <w:sz w:val="22"/>
          <w:szCs w:val="22"/>
        </w:rPr>
        <w:t>Караев А. В.,</w:t>
      </w:r>
    </w:p>
    <w:p w:rsidR="00281602" w:rsidRPr="00281602" w:rsidRDefault="003B37B7" w:rsidP="00281602">
      <w:pPr>
        <w:ind w:firstLine="425"/>
        <w:jc w:val="right"/>
        <w:rPr>
          <w:color w:val="000000"/>
          <w:sz w:val="22"/>
          <w:szCs w:val="22"/>
        </w:rPr>
      </w:pPr>
      <w:r>
        <w:rPr>
          <w:color w:val="000000"/>
          <w:sz w:val="22"/>
          <w:szCs w:val="22"/>
        </w:rPr>
        <w:t>студенты 1-го курса факультета п</w:t>
      </w:r>
      <w:r w:rsidR="00281602" w:rsidRPr="00281602">
        <w:rPr>
          <w:color w:val="000000"/>
          <w:sz w:val="22"/>
          <w:szCs w:val="22"/>
        </w:rPr>
        <w:t>рикладной информатики</w:t>
      </w:r>
    </w:p>
    <w:p w:rsidR="00281602" w:rsidRPr="00281602" w:rsidRDefault="00281602" w:rsidP="00281602">
      <w:pPr>
        <w:ind w:firstLine="425"/>
        <w:jc w:val="right"/>
        <w:rPr>
          <w:color w:val="000000"/>
          <w:sz w:val="22"/>
          <w:szCs w:val="22"/>
        </w:rPr>
      </w:pPr>
      <w:r w:rsidRPr="00281602">
        <w:rPr>
          <w:color w:val="000000"/>
          <w:sz w:val="22"/>
          <w:szCs w:val="22"/>
        </w:rPr>
        <w:t>Иванова Е. А.,</w:t>
      </w:r>
    </w:p>
    <w:p w:rsidR="00281602" w:rsidRPr="00281602" w:rsidRDefault="00281602" w:rsidP="00281602">
      <w:pPr>
        <w:ind w:firstLine="425"/>
        <w:jc w:val="right"/>
        <w:rPr>
          <w:color w:val="000000"/>
          <w:sz w:val="22"/>
          <w:szCs w:val="22"/>
        </w:rPr>
      </w:pPr>
      <w:r w:rsidRPr="00281602">
        <w:rPr>
          <w:color w:val="000000"/>
          <w:sz w:val="22"/>
          <w:szCs w:val="22"/>
        </w:rPr>
        <w:t>старший преподава</w:t>
      </w:r>
      <w:r w:rsidR="003B37B7">
        <w:rPr>
          <w:color w:val="000000"/>
          <w:sz w:val="22"/>
          <w:szCs w:val="22"/>
        </w:rPr>
        <w:t>тель кафедры системного анализа</w:t>
      </w:r>
    </w:p>
    <w:p w:rsidR="00281602" w:rsidRPr="00281602" w:rsidRDefault="00281602" w:rsidP="00281602">
      <w:pPr>
        <w:ind w:firstLine="425"/>
        <w:jc w:val="right"/>
        <w:rPr>
          <w:color w:val="000000"/>
          <w:sz w:val="22"/>
          <w:szCs w:val="22"/>
        </w:rPr>
      </w:pPr>
      <w:r w:rsidRPr="00281602">
        <w:rPr>
          <w:color w:val="000000"/>
          <w:sz w:val="22"/>
          <w:szCs w:val="22"/>
        </w:rPr>
        <w:t>и обработки информации</w:t>
      </w:r>
    </w:p>
    <w:p w:rsidR="00281602" w:rsidRPr="00281602" w:rsidRDefault="00281602" w:rsidP="00281602">
      <w:pPr>
        <w:ind w:firstLine="425"/>
        <w:jc w:val="right"/>
        <w:rPr>
          <w:color w:val="000000"/>
          <w:sz w:val="22"/>
          <w:szCs w:val="22"/>
        </w:rPr>
      </w:pPr>
      <w:r w:rsidRPr="00281602">
        <w:rPr>
          <w:color w:val="000000"/>
          <w:sz w:val="22"/>
          <w:szCs w:val="22"/>
        </w:rPr>
        <w:t>Кубанский государственный аграрный</w:t>
      </w:r>
    </w:p>
    <w:p w:rsidR="00281602" w:rsidRPr="00281602" w:rsidRDefault="00281602" w:rsidP="00281602">
      <w:pPr>
        <w:ind w:firstLine="425"/>
        <w:jc w:val="right"/>
        <w:rPr>
          <w:color w:val="000000"/>
          <w:sz w:val="22"/>
          <w:szCs w:val="22"/>
        </w:rPr>
      </w:pPr>
      <w:r w:rsidRPr="00281602">
        <w:rPr>
          <w:color w:val="000000"/>
          <w:sz w:val="22"/>
          <w:szCs w:val="22"/>
        </w:rPr>
        <w:t>университет имени И.</w:t>
      </w:r>
      <w:r w:rsidR="003B37B7">
        <w:rPr>
          <w:color w:val="000000"/>
          <w:sz w:val="22"/>
          <w:szCs w:val="22"/>
        </w:rPr>
        <w:t xml:space="preserve"> </w:t>
      </w:r>
      <w:r w:rsidRPr="00281602">
        <w:rPr>
          <w:color w:val="000000"/>
          <w:sz w:val="22"/>
          <w:szCs w:val="22"/>
        </w:rPr>
        <w:t>Т. Трубилина</w:t>
      </w:r>
    </w:p>
    <w:p w:rsidR="00281602" w:rsidRPr="00281602" w:rsidRDefault="00281602" w:rsidP="00281602">
      <w:pPr>
        <w:ind w:firstLine="425"/>
        <w:jc w:val="both"/>
        <w:rPr>
          <w:b/>
          <w:color w:val="000000"/>
          <w:sz w:val="22"/>
          <w:szCs w:val="22"/>
        </w:rPr>
      </w:pPr>
    </w:p>
    <w:p w:rsidR="00281602" w:rsidRPr="00281602" w:rsidRDefault="00281602" w:rsidP="00281602">
      <w:pPr>
        <w:ind w:firstLine="425"/>
        <w:jc w:val="both"/>
        <w:rPr>
          <w:color w:val="000000"/>
          <w:sz w:val="22"/>
          <w:szCs w:val="22"/>
        </w:rPr>
      </w:pPr>
      <w:r w:rsidRPr="00281602">
        <w:rPr>
          <w:color w:val="000000"/>
          <w:sz w:val="22"/>
          <w:szCs w:val="22"/>
        </w:rPr>
        <w:t>АННОТАЦИЯ: Описана история создания тернарных компь</w:t>
      </w:r>
      <w:r w:rsidRPr="00281602">
        <w:rPr>
          <w:color w:val="000000"/>
          <w:sz w:val="22"/>
          <w:szCs w:val="22"/>
        </w:rPr>
        <w:t>ю</w:t>
      </w:r>
      <w:r w:rsidRPr="00281602">
        <w:rPr>
          <w:color w:val="000000"/>
          <w:sz w:val="22"/>
          <w:szCs w:val="22"/>
        </w:rPr>
        <w:t>теров. Приведены основные принципы тернарной логики в терна</w:t>
      </w:r>
      <w:r w:rsidRPr="00281602">
        <w:rPr>
          <w:color w:val="000000"/>
          <w:sz w:val="22"/>
          <w:szCs w:val="22"/>
        </w:rPr>
        <w:t>р</w:t>
      </w:r>
      <w:r w:rsidRPr="00281602">
        <w:rPr>
          <w:color w:val="000000"/>
          <w:sz w:val="22"/>
          <w:szCs w:val="22"/>
        </w:rPr>
        <w:t>ных компьютерах.</w:t>
      </w:r>
    </w:p>
    <w:p w:rsidR="00281602" w:rsidRPr="00281602" w:rsidRDefault="00281602" w:rsidP="00281602">
      <w:pPr>
        <w:ind w:firstLine="425"/>
        <w:jc w:val="both"/>
        <w:rPr>
          <w:color w:val="000000"/>
          <w:sz w:val="22"/>
          <w:szCs w:val="22"/>
          <w:lang w:val="en-US"/>
        </w:rPr>
      </w:pPr>
      <w:r w:rsidRPr="00281602">
        <w:rPr>
          <w:color w:val="000000"/>
          <w:sz w:val="22"/>
          <w:szCs w:val="22"/>
          <w:lang w:val="en-US"/>
        </w:rPr>
        <w:t>ABSTRACT: The history of the creation of ternary computers is d</w:t>
      </w:r>
      <w:r w:rsidRPr="00281602">
        <w:rPr>
          <w:color w:val="000000"/>
          <w:sz w:val="22"/>
          <w:szCs w:val="22"/>
          <w:lang w:val="en-US"/>
        </w:rPr>
        <w:t>e</w:t>
      </w:r>
      <w:r w:rsidRPr="00281602">
        <w:rPr>
          <w:color w:val="000000"/>
          <w:sz w:val="22"/>
          <w:szCs w:val="22"/>
          <w:lang w:val="en-US"/>
        </w:rPr>
        <w:t xml:space="preserve">scribed. The main principles of ternary logic in ternary computers are given. </w:t>
      </w:r>
    </w:p>
    <w:p w:rsidR="00281602" w:rsidRPr="00281602" w:rsidRDefault="00281602" w:rsidP="00281602">
      <w:pPr>
        <w:ind w:firstLine="425"/>
        <w:jc w:val="both"/>
        <w:rPr>
          <w:color w:val="000000"/>
          <w:sz w:val="22"/>
          <w:szCs w:val="22"/>
        </w:rPr>
      </w:pPr>
      <w:r w:rsidRPr="00281602">
        <w:rPr>
          <w:color w:val="000000"/>
          <w:sz w:val="22"/>
          <w:szCs w:val="22"/>
        </w:rPr>
        <w:t>КЛЮЧЕВЫЕ СЛОВА: троичный компьютер, двоичный ко</w:t>
      </w:r>
      <w:r w:rsidRPr="00281602">
        <w:rPr>
          <w:color w:val="000000"/>
          <w:sz w:val="22"/>
          <w:szCs w:val="22"/>
        </w:rPr>
        <w:t>м</w:t>
      </w:r>
      <w:r w:rsidRPr="00281602">
        <w:rPr>
          <w:color w:val="000000"/>
          <w:sz w:val="22"/>
          <w:szCs w:val="22"/>
        </w:rPr>
        <w:t>пьютер, троичная система счисления, ферритовые сердечники, дв</w:t>
      </w:r>
      <w:r w:rsidRPr="00281602">
        <w:rPr>
          <w:color w:val="000000"/>
          <w:sz w:val="22"/>
          <w:szCs w:val="22"/>
        </w:rPr>
        <w:t>о</w:t>
      </w:r>
      <w:r w:rsidRPr="00281602">
        <w:rPr>
          <w:color w:val="000000"/>
          <w:sz w:val="22"/>
          <w:szCs w:val="22"/>
        </w:rPr>
        <w:t>ичная система счисления, задача о гирях Фибоначчи</w:t>
      </w:r>
    </w:p>
    <w:p w:rsidR="00281602" w:rsidRPr="00281602" w:rsidRDefault="00281602" w:rsidP="00281602">
      <w:pPr>
        <w:ind w:firstLine="425"/>
        <w:jc w:val="both"/>
        <w:rPr>
          <w:color w:val="000000"/>
          <w:sz w:val="22"/>
          <w:szCs w:val="22"/>
          <w:lang w:val="en-US"/>
        </w:rPr>
      </w:pPr>
      <w:r w:rsidRPr="00281602">
        <w:rPr>
          <w:color w:val="000000"/>
          <w:sz w:val="22"/>
          <w:szCs w:val="22"/>
          <w:lang w:val="en-US"/>
        </w:rPr>
        <w:t>KEYWORDS: ternary computer, binary computer, ternary number system, ferrite cores, binary number system, the Fibonacci problem of weights</w:t>
      </w:r>
    </w:p>
    <w:p w:rsidR="00281602" w:rsidRPr="00281602" w:rsidRDefault="00281602" w:rsidP="00281602">
      <w:pPr>
        <w:ind w:firstLine="425"/>
        <w:jc w:val="both"/>
        <w:rPr>
          <w:color w:val="000000"/>
          <w:sz w:val="22"/>
          <w:szCs w:val="22"/>
          <w:lang w:val="en-US"/>
        </w:rPr>
      </w:pPr>
    </w:p>
    <w:p w:rsidR="00281602" w:rsidRPr="00281602" w:rsidRDefault="00281602" w:rsidP="00281602">
      <w:pPr>
        <w:ind w:firstLine="425"/>
        <w:jc w:val="both"/>
        <w:rPr>
          <w:rFonts w:eastAsia="Calibri"/>
          <w:color w:val="000000"/>
          <w:sz w:val="22"/>
          <w:szCs w:val="22"/>
          <w:lang w:eastAsia="en-US"/>
        </w:rPr>
      </w:pPr>
      <w:r w:rsidRPr="00281602">
        <w:rPr>
          <w:color w:val="000000"/>
          <w:sz w:val="22"/>
          <w:szCs w:val="22"/>
        </w:rPr>
        <w:t xml:space="preserve">История троичного компьютера сама по себе необычна, так как идея его существования выходила за рамки классической логики. </w:t>
      </w:r>
    </w:p>
    <w:p w:rsidR="00281602" w:rsidRPr="00281602" w:rsidRDefault="00281602" w:rsidP="00281602">
      <w:pPr>
        <w:ind w:firstLine="425"/>
        <w:jc w:val="both"/>
        <w:rPr>
          <w:color w:val="000000"/>
          <w:sz w:val="22"/>
          <w:szCs w:val="22"/>
        </w:rPr>
      </w:pPr>
      <w:r w:rsidRPr="00281602">
        <w:rPr>
          <w:color w:val="000000"/>
          <w:sz w:val="22"/>
          <w:szCs w:val="22"/>
        </w:rPr>
        <w:t>В 1203 году Фибоначчи сформулировал «задачи о гирях», к</w:t>
      </w:r>
      <w:r w:rsidRPr="00281602">
        <w:rPr>
          <w:color w:val="000000"/>
          <w:sz w:val="22"/>
          <w:szCs w:val="22"/>
        </w:rPr>
        <w:t>о</w:t>
      </w:r>
      <w:r w:rsidRPr="00281602">
        <w:rPr>
          <w:color w:val="000000"/>
          <w:sz w:val="22"/>
          <w:szCs w:val="22"/>
        </w:rPr>
        <w:t>торая заключалась в выборе наилучшей системы гирь для взвеш</w:t>
      </w:r>
      <w:r w:rsidRPr="00281602">
        <w:rPr>
          <w:color w:val="000000"/>
          <w:sz w:val="22"/>
          <w:szCs w:val="22"/>
        </w:rPr>
        <w:t>и</w:t>
      </w:r>
      <w:r w:rsidRPr="00281602">
        <w:rPr>
          <w:color w:val="000000"/>
          <w:sz w:val="22"/>
          <w:szCs w:val="22"/>
        </w:rPr>
        <w:t>вания на рычажных весах. Задача была представлена в двух вариа</w:t>
      </w:r>
      <w:r w:rsidRPr="00281602">
        <w:rPr>
          <w:color w:val="000000"/>
          <w:sz w:val="22"/>
          <w:szCs w:val="22"/>
        </w:rPr>
        <w:t>н</w:t>
      </w:r>
      <w:r w:rsidRPr="00281602">
        <w:rPr>
          <w:color w:val="000000"/>
          <w:sz w:val="22"/>
          <w:szCs w:val="22"/>
        </w:rPr>
        <w:t>тах. В простом варианте: требуется найти пять гирь, с помощью к</w:t>
      </w:r>
      <w:r w:rsidRPr="00281602">
        <w:rPr>
          <w:color w:val="000000"/>
          <w:sz w:val="22"/>
          <w:szCs w:val="22"/>
        </w:rPr>
        <w:t>о</w:t>
      </w:r>
      <w:r w:rsidRPr="00281602">
        <w:rPr>
          <w:color w:val="000000"/>
          <w:sz w:val="22"/>
          <w:szCs w:val="22"/>
        </w:rPr>
        <w:t xml:space="preserve">торых можно найти все веса меньше 30, при этом гири можно </w:t>
      </w:r>
      <w:r w:rsidRPr="00281602">
        <w:rPr>
          <w:color w:val="000000"/>
          <w:sz w:val="22"/>
          <w:szCs w:val="22"/>
        </w:rPr>
        <w:lastRenderedPageBreak/>
        <w:t>класть только на одну чашу весов. Правильный ответ: 1, 2, 4, 8, 16. Решение строится в двоичной системе счисления. В сложном вар</w:t>
      </w:r>
      <w:r w:rsidRPr="00281602">
        <w:rPr>
          <w:color w:val="000000"/>
          <w:sz w:val="22"/>
          <w:szCs w:val="22"/>
        </w:rPr>
        <w:t>и</w:t>
      </w:r>
      <w:r w:rsidRPr="00281602">
        <w:rPr>
          <w:color w:val="000000"/>
          <w:sz w:val="22"/>
          <w:szCs w:val="22"/>
        </w:rPr>
        <w:t>анте требуется найти наименьшее число гирь, с помощью которого можно взвесить все веса меньше заданного. Правильный ответ: 1, 3, 9, 27, 81 и т.д. Решение строится в системе счисления по основанию три. Эти задачи были опубликованы в главном труде Фибоначчи “книга абака”.</w:t>
      </w:r>
    </w:p>
    <w:p w:rsidR="00281602" w:rsidRPr="00281602" w:rsidRDefault="00281602" w:rsidP="00281602">
      <w:pPr>
        <w:ind w:firstLine="425"/>
        <w:jc w:val="both"/>
        <w:rPr>
          <w:color w:val="000000"/>
          <w:sz w:val="22"/>
          <w:szCs w:val="22"/>
        </w:rPr>
      </w:pPr>
      <w:r w:rsidRPr="00281602">
        <w:rPr>
          <w:color w:val="000000"/>
          <w:sz w:val="22"/>
          <w:szCs w:val="22"/>
        </w:rPr>
        <w:t>Первый троичный компьютер был создан в 1959 г. под рук</w:t>
      </w:r>
      <w:r w:rsidRPr="00281602">
        <w:rPr>
          <w:color w:val="000000"/>
          <w:sz w:val="22"/>
          <w:szCs w:val="22"/>
        </w:rPr>
        <w:t>о</w:t>
      </w:r>
      <w:r w:rsidRPr="00281602">
        <w:rPr>
          <w:color w:val="000000"/>
          <w:sz w:val="22"/>
          <w:szCs w:val="22"/>
        </w:rPr>
        <w:t>водством советского конструктора Н. П. Брусенцова. Немного по</w:t>
      </w:r>
      <w:r w:rsidRPr="00281602">
        <w:rPr>
          <w:color w:val="000000"/>
          <w:sz w:val="22"/>
          <w:szCs w:val="22"/>
        </w:rPr>
        <w:t>з</w:t>
      </w:r>
      <w:r w:rsidRPr="00281602">
        <w:rPr>
          <w:color w:val="000000"/>
          <w:sz w:val="22"/>
          <w:szCs w:val="22"/>
        </w:rPr>
        <w:t>же была разработана первая серийная троичная ЭВМ «Сетунь». Всего же Казанским заводом Математических машин было прои</w:t>
      </w:r>
      <w:r w:rsidRPr="00281602">
        <w:rPr>
          <w:color w:val="000000"/>
          <w:sz w:val="22"/>
          <w:szCs w:val="22"/>
        </w:rPr>
        <w:t>з</w:t>
      </w:r>
      <w:r w:rsidRPr="00281602">
        <w:rPr>
          <w:color w:val="000000"/>
          <w:sz w:val="22"/>
          <w:szCs w:val="22"/>
        </w:rPr>
        <w:t>ведено 50 компьютеров «Сетунь», 30 из них использовались в ун</w:t>
      </w:r>
      <w:r w:rsidRPr="00281602">
        <w:rPr>
          <w:color w:val="000000"/>
          <w:sz w:val="22"/>
          <w:szCs w:val="22"/>
        </w:rPr>
        <w:t>и</w:t>
      </w:r>
      <w:r w:rsidRPr="00281602">
        <w:rPr>
          <w:color w:val="000000"/>
          <w:sz w:val="22"/>
          <w:szCs w:val="22"/>
        </w:rPr>
        <w:t>верситетах СССР.</w:t>
      </w:r>
    </w:p>
    <w:p w:rsidR="00281602" w:rsidRPr="00281602" w:rsidRDefault="00281602" w:rsidP="00281602">
      <w:pPr>
        <w:ind w:firstLine="425"/>
        <w:jc w:val="both"/>
        <w:rPr>
          <w:color w:val="000000"/>
          <w:sz w:val="22"/>
          <w:szCs w:val="22"/>
        </w:rPr>
      </w:pPr>
      <w:r w:rsidRPr="00281602">
        <w:rPr>
          <w:color w:val="000000"/>
          <w:sz w:val="22"/>
          <w:szCs w:val="22"/>
        </w:rPr>
        <w:t xml:space="preserve">Автор «Сетуни» на основе обычной двоичной ферритодиодной ячейки Гутенмахера разработал её уникальный троичный аналог, работа которого была построена на двухбитном троичном коде. Так получились </w:t>
      </w:r>
      <w:r w:rsidRPr="00281602">
        <w:rPr>
          <w:rFonts w:eastAsia="Calibri"/>
          <w:color w:val="000000"/>
          <w:sz w:val="22"/>
          <w:szCs w:val="22"/>
          <w:lang w:eastAsia="en-US"/>
        </w:rPr>
        <w:t>ферритовые сердечники, в которых</w:t>
      </w:r>
      <w:r w:rsidRPr="00281602">
        <w:rPr>
          <w:color w:val="000000"/>
          <w:sz w:val="22"/>
          <w:szCs w:val="22"/>
        </w:rPr>
        <w:t xml:space="preserve"> один трит (единица измерения в данном случае) записывается в два двоичных разряда.</w:t>
      </w:r>
    </w:p>
    <w:p w:rsidR="00281602" w:rsidRPr="00281602" w:rsidRDefault="00281602" w:rsidP="00281602">
      <w:pPr>
        <w:ind w:firstLine="425"/>
        <w:jc w:val="both"/>
        <w:rPr>
          <w:color w:val="000000"/>
          <w:sz w:val="22"/>
          <w:szCs w:val="22"/>
        </w:rPr>
      </w:pPr>
      <w:r w:rsidRPr="00281602">
        <w:rPr>
          <w:color w:val="000000"/>
          <w:sz w:val="22"/>
          <w:szCs w:val="22"/>
        </w:rPr>
        <w:t>Многие знают, что компьютеры хранят данные и работают их с помощью двоичной системы счисления. Одно из главных объясн</w:t>
      </w:r>
      <w:r w:rsidRPr="00281602">
        <w:rPr>
          <w:color w:val="000000"/>
          <w:sz w:val="22"/>
          <w:szCs w:val="22"/>
        </w:rPr>
        <w:t>е</w:t>
      </w:r>
      <w:r w:rsidRPr="00281602">
        <w:rPr>
          <w:color w:val="000000"/>
          <w:sz w:val="22"/>
          <w:szCs w:val="22"/>
        </w:rPr>
        <w:t>ний этому можно найти в схеме современных компьютеров, кот</w:t>
      </w:r>
      <w:r w:rsidRPr="00281602">
        <w:rPr>
          <w:color w:val="000000"/>
          <w:sz w:val="22"/>
          <w:szCs w:val="22"/>
        </w:rPr>
        <w:t>о</w:t>
      </w:r>
      <w:r w:rsidRPr="00281602">
        <w:rPr>
          <w:color w:val="000000"/>
          <w:sz w:val="22"/>
          <w:szCs w:val="22"/>
        </w:rPr>
        <w:t>рые состоят из миллиардов простых и массово производимых тра</w:t>
      </w:r>
      <w:r w:rsidRPr="00281602">
        <w:rPr>
          <w:color w:val="000000"/>
          <w:sz w:val="22"/>
          <w:szCs w:val="22"/>
        </w:rPr>
        <w:t>н</w:t>
      </w:r>
      <w:r w:rsidRPr="00281602">
        <w:rPr>
          <w:color w:val="000000"/>
          <w:sz w:val="22"/>
          <w:szCs w:val="22"/>
        </w:rPr>
        <w:t>зисторов и конденсаторов, которые могут вместе представлять два состояния: высокое напряжение (1) и низкое напряжение (0).</w:t>
      </w:r>
    </w:p>
    <w:p w:rsidR="00281602" w:rsidRPr="00281602" w:rsidRDefault="00281602" w:rsidP="00281602">
      <w:pPr>
        <w:ind w:firstLine="425"/>
        <w:jc w:val="both"/>
        <w:rPr>
          <w:color w:val="000000"/>
          <w:sz w:val="22"/>
          <w:szCs w:val="22"/>
        </w:rPr>
      </w:pPr>
      <w:r w:rsidRPr="00281602">
        <w:rPr>
          <w:color w:val="000000"/>
          <w:sz w:val="22"/>
          <w:szCs w:val="22"/>
        </w:rPr>
        <w:t>Чтобы понять принцип работы троичного компьютера, необх</w:t>
      </w:r>
      <w:r w:rsidRPr="00281602">
        <w:rPr>
          <w:color w:val="000000"/>
          <w:sz w:val="22"/>
          <w:szCs w:val="22"/>
        </w:rPr>
        <w:t>о</w:t>
      </w:r>
      <w:r w:rsidRPr="00281602">
        <w:rPr>
          <w:color w:val="000000"/>
          <w:sz w:val="22"/>
          <w:szCs w:val="22"/>
        </w:rPr>
        <w:t xml:space="preserve">димо иметь представление о троичной системе счисления [1]. </w:t>
      </w:r>
    </w:p>
    <w:p w:rsidR="00281602" w:rsidRPr="00281602" w:rsidRDefault="00281602" w:rsidP="00281602">
      <w:pPr>
        <w:ind w:firstLine="425"/>
        <w:jc w:val="both"/>
        <w:rPr>
          <w:color w:val="000000"/>
          <w:sz w:val="22"/>
          <w:szCs w:val="22"/>
        </w:rPr>
      </w:pPr>
      <w:r w:rsidRPr="00281602">
        <w:rPr>
          <w:color w:val="000000"/>
          <w:sz w:val="22"/>
          <w:szCs w:val="22"/>
        </w:rPr>
        <w:t>Тернарная или троичная — это система счисления, в которой есть три вероятных значения: 0, 1 и 2. В её сбалансированной ве</w:t>
      </w:r>
      <w:r w:rsidRPr="00281602">
        <w:rPr>
          <w:color w:val="000000"/>
          <w:sz w:val="22"/>
          <w:szCs w:val="22"/>
        </w:rPr>
        <w:t>р</w:t>
      </w:r>
      <w:r w:rsidRPr="00281602">
        <w:rPr>
          <w:color w:val="000000"/>
          <w:sz w:val="22"/>
          <w:szCs w:val="22"/>
        </w:rPr>
        <w:t>сии существуют три вероятности -1, 0 и +1, часто упрощённые до -, 0 и + соответственно.</w:t>
      </w:r>
    </w:p>
    <w:p w:rsidR="00281602" w:rsidRPr="00281602" w:rsidRDefault="00281602" w:rsidP="00281602">
      <w:pPr>
        <w:ind w:firstLine="425"/>
        <w:jc w:val="both"/>
        <w:rPr>
          <w:color w:val="000000"/>
          <w:sz w:val="22"/>
          <w:szCs w:val="22"/>
        </w:rPr>
      </w:pPr>
      <w:r w:rsidRPr="00281602">
        <w:rPr>
          <w:color w:val="000000"/>
          <w:sz w:val="22"/>
          <w:szCs w:val="22"/>
        </w:rPr>
        <w:t>Представим для примера в троичной записи число 33 и 48:</w:t>
      </w:r>
    </w:p>
    <w:p w:rsidR="00281602" w:rsidRPr="00281602" w:rsidRDefault="00281602" w:rsidP="00281602">
      <w:pPr>
        <w:ind w:firstLine="425"/>
        <w:jc w:val="both"/>
        <w:rPr>
          <w:color w:val="000000"/>
          <w:sz w:val="22"/>
          <w:szCs w:val="22"/>
        </w:rPr>
      </w:pPr>
      <w:r w:rsidRPr="00281602">
        <w:rPr>
          <w:color w:val="000000"/>
          <w:sz w:val="22"/>
          <w:szCs w:val="22"/>
        </w:rPr>
        <w:t>++-0 = (1 * 3^3) + (1 * 3^2) + (-1 * 3^1) + 0 = 27 + 9 + -3 = 33</w:t>
      </w:r>
    </w:p>
    <w:p w:rsidR="00281602" w:rsidRPr="00281602" w:rsidRDefault="00281602" w:rsidP="00281602">
      <w:pPr>
        <w:ind w:firstLine="425"/>
        <w:jc w:val="both"/>
        <w:rPr>
          <w:color w:val="000000"/>
          <w:sz w:val="22"/>
          <w:szCs w:val="22"/>
        </w:rPr>
      </w:pPr>
      <w:r w:rsidRPr="00281602">
        <w:rPr>
          <w:color w:val="000000"/>
          <w:sz w:val="22"/>
          <w:szCs w:val="22"/>
        </w:rPr>
        <w:t>+--+0 = (1*3^4) + (-1 * 3^3) + (-1 * 3^2) + (1 * 3^1) + 0 = 81 – 27 – 9 + 3 =48</w:t>
      </w:r>
    </w:p>
    <w:p w:rsidR="00281602" w:rsidRPr="00281602" w:rsidRDefault="00281602" w:rsidP="00281602">
      <w:pPr>
        <w:ind w:firstLine="425"/>
        <w:jc w:val="both"/>
        <w:rPr>
          <w:color w:val="000000"/>
          <w:sz w:val="22"/>
          <w:szCs w:val="22"/>
        </w:rPr>
      </w:pPr>
      <w:r w:rsidRPr="00281602">
        <w:rPr>
          <w:color w:val="000000"/>
          <w:sz w:val="22"/>
          <w:szCs w:val="22"/>
        </w:rPr>
        <w:t>В бинарной или двоичной системе число 33 и 48 записывается так:</w:t>
      </w:r>
    </w:p>
    <w:p w:rsidR="00281602" w:rsidRPr="00281602" w:rsidRDefault="00281602" w:rsidP="00281602">
      <w:pPr>
        <w:ind w:firstLine="425"/>
        <w:jc w:val="both"/>
        <w:rPr>
          <w:color w:val="000000"/>
          <w:sz w:val="22"/>
          <w:szCs w:val="22"/>
        </w:rPr>
      </w:pPr>
      <w:r w:rsidRPr="00281602">
        <w:rPr>
          <w:color w:val="000000"/>
          <w:sz w:val="22"/>
          <w:szCs w:val="22"/>
        </w:rPr>
        <w:t>100001 = (1 * 2^5) + 0 + 0 + 0 + 0 + (1 * 2^0) = 32 + 1 = 31</w:t>
      </w:r>
    </w:p>
    <w:p w:rsidR="00281602" w:rsidRPr="00281602" w:rsidRDefault="00281602" w:rsidP="00281602">
      <w:pPr>
        <w:ind w:firstLine="425"/>
        <w:jc w:val="both"/>
        <w:rPr>
          <w:color w:val="000000"/>
          <w:sz w:val="22"/>
          <w:szCs w:val="22"/>
        </w:rPr>
      </w:pPr>
      <w:r w:rsidRPr="00281602">
        <w:rPr>
          <w:color w:val="000000"/>
          <w:sz w:val="22"/>
          <w:szCs w:val="22"/>
        </w:rPr>
        <w:t>110000 = 1*2^5 + 1*2^4 + 0 + 0 + 0 + 0 = 48</w:t>
      </w:r>
    </w:p>
    <w:p w:rsidR="00281602" w:rsidRPr="00281602" w:rsidRDefault="00281602" w:rsidP="00281602">
      <w:pPr>
        <w:ind w:firstLine="425"/>
        <w:jc w:val="both"/>
        <w:rPr>
          <w:color w:val="000000"/>
          <w:sz w:val="22"/>
          <w:szCs w:val="22"/>
        </w:rPr>
      </w:pPr>
      <w:r w:rsidRPr="00281602">
        <w:rPr>
          <w:color w:val="000000"/>
          <w:sz w:val="22"/>
          <w:szCs w:val="22"/>
        </w:rPr>
        <w:lastRenderedPageBreak/>
        <w:t>А что, если мы хотим представить -33 или -48? В двоичной и десятичной системах нам понадобится использовать новый символ: знак (sign). В троичной системе, чтобы представить обратную вел</w:t>
      </w:r>
      <w:r w:rsidRPr="00281602">
        <w:rPr>
          <w:color w:val="000000"/>
          <w:sz w:val="22"/>
          <w:szCs w:val="22"/>
        </w:rPr>
        <w:t>и</w:t>
      </w:r>
      <w:r w:rsidRPr="00281602">
        <w:rPr>
          <w:color w:val="000000"/>
          <w:sz w:val="22"/>
          <w:szCs w:val="22"/>
        </w:rPr>
        <w:t>чину числа (инвертированное число), нам просто нужно поменять все "+" на "-" и наоборот. Например:</w:t>
      </w:r>
    </w:p>
    <w:p w:rsidR="00281602" w:rsidRPr="00281602" w:rsidRDefault="00281602" w:rsidP="00281602">
      <w:pPr>
        <w:ind w:firstLine="425"/>
        <w:jc w:val="both"/>
        <w:rPr>
          <w:color w:val="000000"/>
          <w:sz w:val="22"/>
          <w:szCs w:val="22"/>
        </w:rPr>
      </w:pPr>
      <w:r w:rsidRPr="00281602">
        <w:rPr>
          <w:color w:val="000000"/>
          <w:sz w:val="22"/>
          <w:szCs w:val="22"/>
        </w:rPr>
        <w:t>--+0 = + (-1 * 3^3) + (-1 * 3^2) + (1 * 3^1) + 0= -27 + -9 + 3 = -33</w:t>
      </w:r>
    </w:p>
    <w:p w:rsidR="00281602" w:rsidRPr="00281602" w:rsidRDefault="00281602" w:rsidP="00281602">
      <w:pPr>
        <w:ind w:firstLine="425"/>
        <w:jc w:val="both"/>
        <w:rPr>
          <w:color w:val="000000"/>
          <w:sz w:val="22"/>
          <w:szCs w:val="22"/>
        </w:rPr>
      </w:pPr>
      <w:r w:rsidRPr="00281602">
        <w:rPr>
          <w:color w:val="000000"/>
          <w:sz w:val="22"/>
          <w:szCs w:val="22"/>
        </w:rPr>
        <w:t>-++-0 = (-1*3^4) + (1 * 3^3) + (1 * 3^2) + (-1 * 3^1) + 0 = -81 + 27 + 9 - 3 = -48</w:t>
      </w:r>
    </w:p>
    <w:p w:rsidR="00281602" w:rsidRPr="00281602" w:rsidRDefault="00281602" w:rsidP="00281602">
      <w:pPr>
        <w:ind w:firstLine="425"/>
        <w:jc w:val="both"/>
        <w:rPr>
          <w:color w:val="000000"/>
          <w:sz w:val="22"/>
          <w:szCs w:val="22"/>
        </w:rPr>
      </w:pPr>
      <w:r w:rsidRPr="00281602">
        <w:rPr>
          <w:color w:val="000000"/>
          <w:sz w:val="22"/>
          <w:szCs w:val="22"/>
        </w:rPr>
        <w:t xml:space="preserve">Таким образом, троичная логика, как стоящая на разряд выше, включает в себя все возможности двоичного кода, и, сверх этого, обладает целым рядом дополнительных преимуществ. </w:t>
      </w:r>
    </w:p>
    <w:p w:rsidR="00281602" w:rsidRPr="00281602" w:rsidRDefault="00281602" w:rsidP="00281602">
      <w:pPr>
        <w:ind w:firstLine="425"/>
        <w:jc w:val="both"/>
        <w:rPr>
          <w:color w:val="000000"/>
          <w:sz w:val="22"/>
          <w:szCs w:val="22"/>
        </w:rPr>
      </w:pPr>
    </w:p>
    <w:p w:rsidR="00281602" w:rsidRPr="00281602" w:rsidRDefault="00281602" w:rsidP="00281602">
      <w:pPr>
        <w:ind w:firstLine="425"/>
        <w:jc w:val="center"/>
        <w:rPr>
          <w:color w:val="000000"/>
          <w:sz w:val="22"/>
          <w:szCs w:val="22"/>
        </w:rPr>
      </w:pPr>
      <w:r w:rsidRPr="00281602">
        <w:rPr>
          <w:color w:val="000000"/>
          <w:sz w:val="22"/>
          <w:szCs w:val="22"/>
        </w:rPr>
        <w:t>Список литературы</w:t>
      </w:r>
    </w:p>
    <w:p w:rsidR="00281602" w:rsidRPr="00281602" w:rsidRDefault="00281602" w:rsidP="00281602">
      <w:pPr>
        <w:ind w:firstLine="425"/>
        <w:jc w:val="both"/>
        <w:rPr>
          <w:color w:val="000000"/>
          <w:sz w:val="22"/>
          <w:szCs w:val="22"/>
        </w:rPr>
      </w:pPr>
      <w:r w:rsidRPr="00281602">
        <w:rPr>
          <w:color w:val="000000"/>
          <w:sz w:val="22"/>
          <w:szCs w:val="22"/>
        </w:rPr>
        <w:t>1. Крамаренко Т. А. Подготовка специалистов в системе вы</w:t>
      </w:r>
      <w:r w:rsidRPr="00281602">
        <w:rPr>
          <w:color w:val="000000"/>
          <w:sz w:val="22"/>
          <w:szCs w:val="22"/>
        </w:rPr>
        <w:t>с</w:t>
      </w:r>
      <w:r w:rsidRPr="00281602">
        <w:rPr>
          <w:color w:val="000000"/>
          <w:sz w:val="22"/>
          <w:szCs w:val="22"/>
        </w:rPr>
        <w:t>шего образования к созданию компьютерных средств обучения / Т. А. Крамаренко // Педагогический профессионализм в образов</w:t>
      </w:r>
      <w:r w:rsidRPr="00281602">
        <w:rPr>
          <w:color w:val="000000"/>
          <w:sz w:val="22"/>
          <w:szCs w:val="22"/>
        </w:rPr>
        <w:t>а</w:t>
      </w:r>
      <w:r w:rsidRPr="00281602">
        <w:rPr>
          <w:color w:val="000000"/>
          <w:sz w:val="22"/>
          <w:szCs w:val="22"/>
        </w:rPr>
        <w:t>нии : сб. науч. трудов XI Междунар. науч.-практ. конф, посвяще</w:t>
      </w:r>
      <w:r w:rsidRPr="00281602">
        <w:rPr>
          <w:color w:val="000000"/>
          <w:sz w:val="22"/>
          <w:szCs w:val="22"/>
        </w:rPr>
        <w:t>н</w:t>
      </w:r>
      <w:r w:rsidRPr="00281602">
        <w:rPr>
          <w:color w:val="000000"/>
          <w:sz w:val="22"/>
          <w:szCs w:val="22"/>
        </w:rPr>
        <w:t>ной 80-летию НГПУ, ФГБОУ ВПО Новосибирский гос. пед. ун-т. – Новосибирск : Изд-во НГПУ, 2015. – Ч. III. – С. 103–106.</w:t>
      </w:r>
    </w:p>
    <w:p w:rsidR="00281602" w:rsidRPr="00281602" w:rsidRDefault="00281602" w:rsidP="00281602">
      <w:pPr>
        <w:ind w:firstLine="425"/>
        <w:jc w:val="both"/>
        <w:rPr>
          <w:color w:val="000000"/>
          <w:sz w:val="22"/>
          <w:szCs w:val="22"/>
        </w:rPr>
      </w:pPr>
      <w:r w:rsidRPr="00281602">
        <w:rPr>
          <w:color w:val="000000"/>
          <w:sz w:val="22"/>
          <w:szCs w:val="22"/>
        </w:rPr>
        <w:t>2. Кузьмина Э.В., Пьянкова Н.Г., Салий В.В. Подходы к инте</w:t>
      </w:r>
      <w:r w:rsidRPr="00281602">
        <w:rPr>
          <w:color w:val="000000"/>
          <w:sz w:val="22"/>
          <w:szCs w:val="22"/>
        </w:rPr>
        <w:t>л</w:t>
      </w:r>
      <w:r w:rsidRPr="00281602">
        <w:rPr>
          <w:color w:val="000000"/>
          <w:sz w:val="22"/>
          <w:szCs w:val="22"/>
        </w:rPr>
        <w:t>лектуализации Web-ресурсов фольклорного творчества // Культу</w:t>
      </w:r>
      <w:r w:rsidRPr="00281602">
        <w:rPr>
          <w:color w:val="000000"/>
          <w:sz w:val="22"/>
          <w:szCs w:val="22"/>
        </w:rPr>
        <w:t>р</w:t>
      </w:r>
      <w:r w:rsidRPr="00281602">
        <w:rPr>
          <w:color w:val="000000"/>
          <w:sz w:val="22"/>
          <w:szCs w:val="22"/>
        </w:rPr>
        <w:t>ная жизнь Юга России. 2016. № 2 (61). С. 133-137.</w:t>
      </w:r>
    </w:p>
    <w:p w:rsidR="00281602" w:rsidRPr="00281602" w:rsidRDefault="00281602" w:rsidP="00281602">
      <w:pPr>
        <w:ind w:firstLine="425"/>
        <w:jc w:val="both"/>
        <w:rPr>
          <w:color w:val="000000"/>
          <w:sz w:val="22"/>
          <w:szCs w:val="22"/>
        </w:rPr>
      </w:pPr>
      <w:r w:rsidRPr="00281602">
        <w:rPr>
          <w:color w:val="000000"/>
          <w:sz w:val="22"/>
          <w:szCs w:val="22"/>
        </w:rPr>
        <w:t>3. Маяков В.А.. Сравнительная характеристика основных пла</w:t>
      </w:r>
      <w:r w:rsidRPr="00281602">
        <w:rPr>
          <w:color w:val="000000"/>
          <w:sz w:val="22"/>
          <w:szCs w:val="22"/>
        </w:rPr>
        <w:t>т</w:t>
      </w:r>
      <w:r w:rsidRPr="00281602">
        <w:rPr>
          <w:color w:val="000000"/>
          <w:sz w:val="22"/>
          <w:szCs w:val="22"/>
        </w:rPr>
        <w:t>форм облачных вычислений / Маяков В.А., Иванова Е.А // сб. ст.: Информационное общество: современное состояние и перспективы развития. Материалы VIII международного форума. 2017. С. 358-359.</w:t>
      </w:r>
    </w:p>
    <w:p w:rsidR="00281602" w:rsidRPr="00281602" w:rsidRDefault="00281602" w:rsidP="00281602">
      <w:pPr>
        <w:ind w:firstLine="425"/>
        <w:jc w:val="both"/>
        <w:rPr>
          <w:color w:val="000000"/>
          <w:sz w:val="22"/>
          <w:szCs w:val="22"/>
        </w:rPr>
      </w:pPr>
      <w:r w:rsidRPr="00281602">
        <w:rPr>
          <w:color w:val="000000"/>
          <w:sz w:val="22"/>
          <w:szCs w:val="22"/>
        </w:rPr>
        <w:t>4. Троичная система счисления [Электронный ресурс]. – Режим доступа: http://evmhistory.ru/tutorial/ternarynumber.html. – Загл. с экрана.</w:t>
      </w:r>
    </w:p>
    <w:p w:rsidR="00281602" w:rsidRPr="00281602" w:rsidRDefault="00281602" w:rsidP="00281602">
      <w:pPr>
        <w:ind w:firstLine="425"/>
        <w:jc w:val="both"/>
        <w:rPr>
          <w:color w:val="000000"/>
          <w:sz w:val="22"/>
          <w:szCs w:val="22"/>
        </w:rPr>
      </w:pPr>
      <w:r w:rsidRPr="00281602">
        <w:rPr>
          <w:color w:val="000000"/>
          <w:sz w:val="22"/>
          <w:szCs w:val="22"/>
        </w:rPr>
        <w:t>5. Элементы теории нечетких множеств: учебное пособие / Н.В. Ефанова, Е.А. Иванова. – Краснодар, КубГАУ, 2017. – 202 с.</w:t>
      </w:r>
    </w:p>
    <w:p w:rsidR="00281602" w:rsidRPr="00281602" w:rsidRDefault="00281602" w:rsidP="00281602">
      <w:pPr>
        <w:ind w:firstLine="425"/>
        <w:jc w:val="both"/>
        <w:rPr>
          <w:rFonts w:eastAsia="Calibri"/>
          <w:sz w:val="22"/>
          <w:szCs w:val="22"/>
          <w:lang w:eastAsia="en-US"/>
        </w:rPr>
      </w:pPr>
    </w:p>
    <w:p w:rsidR="00281602" w:rsidRDefault="00281602" w:rsidP="00281602">
      <w:pPr>
        <w:jc w:val="both"/>
        <w:rPr>
          <w:rFonts w:eastAsia="Calibri"/>
          <w:color w:val="1A1A1A"/>
          <w:sz w:val="22"/>
          <w:szCs w:val="22"/>
          <w:lang w:eastAsia="en-US"/>
        </w:rPr>
      </w:pPr>
    </w:p>
    <w:p w:rsidR="003B37B7" w:rsidRDefault="003B37B7" w:rsidP="000C4264">
      <w:pPr>
        <w:jc w:val="both"/>
        <w:rPr>
          <w:rFonts w:eastAsia="Calibri"/>
          <w:sz w:val="22"/>
          <w:szCs w:val="22"/>
          <w:lang w:eastAsia="en-US"/>
        </w:rPr>
      </w:pPr>
    </w:p>
    <w:p w:rsidR="00CC1F5C" w:rsidRDefault="00CC1F5C" w:rsidP="000C4264">
      <w:pPr>
        <w:jc w:val="both"/>
        <w:rPr>
          <w:rFonts w:eastAsia="Calibri"/>
          <w:sz w:val="22"/>
          <w:szCs w:val="22"/>
          <w:lang w:eastAsia="en-US"/>
        </w:rPr>
      </w:pPr>
    </w:p>
    <w:p w:rsidR="00CC1F5C" w:rsidRDefault="00CC1F5C" w:rsidP="000C4264">
      <w:pPr>
        <w:jc w:val="both"/>
        <w:rPr>
          <w:rFonts w:eastAsia="Calibri"/>
          <w:sz w:val="22"/>
          <w:szCs w:val="22"/>
          <w:lang w:eastAsia="en-US"/>
        </w:rPr>
      </w:pPr>
    </w:p>
    <w:p w:rsidR="00CC1F5C" w:rsidRPr="00281602" w:rsidRDefault="00CC1F5C" w:rsidP="000C4264">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004.432:004.7</w:t>
      </w:r>
    </w:p>
    <w:p w:rsidR="00281602" w:rsidRPr="00281602" w:rsidRDefault="00281602" w:rsidP="00281602">
      <w:pPr>
        <w:ind w:firstLine="425"/>
        <w:jc w:val="both"/>
        <w:rPr>
          <w:rFonts w:eastAsia="Calibri"/>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Выбор комплекса технологий для разработки </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eastAsia="en-US"/>
        </w:rPr>
        <w:t>современного</w:t>
      </w:r>
      <w:r w:rsidRPr="00281602">
        <w:rPr>
          <w:rFonts w:eastAsia="Calibri"/>
          <w:b/>
          <w:sz w:val="24"/>
          <w:szCs w:val="24"/>
          <w:lang w:val="en-US" w:eastAsia="en-US"/>
        </w:rPr>
        <w:t xml:space="preserve"> </w:t>
      </w:r>
      <w:r w:rsidRPr="00281602">
        <w:rPr>
          <w:rFonts w:eastAsia="Calibri"/>
          <w:b/>
          <w:sz w:val="24"/>
          <w:szCs w:val="24"/>
          <w:lang w:eastAsia="en-US"/>
        </w:rPr>
        <w:t>веб</w:t>
      </w:r>
      <w:r w:rsidRPr="00281602">
        <w:rPr>
          <w:rFonts w:eastAsia="Calibri"/>
          <w:b/>
          <w:sz w:val="24"/>
          <w:szCs w:val="24"/>
          <w:lang w:val="en-US" w:eastAsia="en-US"/>
        </w:rPr>
        <w:t>-</w:t>
      </w:r>
      <w:r w:rsidRPr="00281602">
        <w:rPr>
          <w:rFonts w:eastAsia="Calibri"/>
          <w:b/>
          <w:sz w:val="24"/>
          <w:szCs w:val="24"/>
          <w:lang w:eastAsia="en-US"/>
        </w:rPr>
        <w:t>приложенния</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Selection of a complex of technologies for developing a modern web application</w:t>
      </w:r>
    </w:p>
    <w:p w:rsidR="00281602" w:rsidRPr="00281602" w:rsidRDefault="00281602" w:rsidP="00281602">
      <w:pPr>
        <w:ind w:firstLine="425"/>
        <w:jc w:val="both"/>
        <w:rPr>
          <w:rFonts w:eastAsia="Calibri"/>
          <w:b/>
          <w:sz w:val="24"/>
          <w:szCs w:val="24"/>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Зарученко А. А.,</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студентка 4-курса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Попок Л. Е.,</w:t>
      </w:r>
    </w:p>
    <w:p w:rsidR="00281602" w:rsidRPr="00281602" w:rsidRDefault="00281602" w:rsidP="00281602">
      <w:pPr>
        <w:widowControl w:val="0"/>
        <w:tabs>
          <w:tab w:val="left" w:pos="8223"/>
        </w:tabs>
        <w:ind w:firstLine="425"/>
        <w:jc w:val="right"/>
        <w:rPr>
          <w:rFonts w:eastAsia="Calibri"/>
          <w:sz w:val="22"/>
          <w:szCs w:val="22"/>
          <w:lang w:eastAsia="en-US"/>
        </w:rPr>
      </w:pPr>
      <w:r w:rsidRPr="00281602">
        <w:rPr>
          <w:rFonts w:eastAsia="Calibri"/>
          <w:sz w:val="22"/>
          <w:szCs w:val="22"/>
          <w:lang w:eastAsia="en-US"/>
        </w:rPr>
        <w:t>доцент кафедры информационных систем</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w:t>
      </w:r>
      <w:r w:rsidR="003B37B7">
        <w:rPr>
          <w:rFonts w:eastAsia="Courier New"/>
          <w:color w:val="000000"/>
          <w:sz w:val="22"/>
          <w:szCs w:val="22"/>
          <w:lang w:eastAsia="en-US"/>
        </w:rPr>
        <w:t>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Количество современных технологий разрабо</w:t>
      </w:r>
      <w:r w:rsidRPr="00281602">
        <w:rPr>
          <w:rFonts w:eastAsia="Calibri"/>
          <w:sz w:val="22"/>
          <w:szCs w:val="22"/>
          <w:lang w:eastAsia="en-US"/>
        </w:rPr>
        <w:t>т</w:t>
      </w:r>
      <w:r w:rsidRPr="00281602">
        <w:rPr>
          <w:rFonts w:eastAsia="Calibri"/>
          <w:sz w:val="22"/>
          <w:szCs w:val="22"/>
          <w:lang w:eastAsia="en-US"/>
        </w:rPr>
        <w:t>ки веб-приложений предлагает широкие возможности для набора оптимального инструментария разработки.</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The amount of modern technologies for developing Web applications offers a wide range of options for set of a optimal complex of development tools.</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веб-приложения, веб-стандарты, стру</w:t>
      </w:r>
      <w:r w:rsidRPr="00281602">
        <w:rPr>
          <w:rFonts w:eastAsia="Calibri"/>
          <w:sz w:val="22"/>
          <w:szCs w:val="22"/>
          <w:lang w:eastAsia="en-US"/>
        </w:rPr>
        <w:t>к</w:t>
      </w:r>
      <w:r w:rsidRPr="00281602">
        <w:rPr>
          <w:rFonts w:eastAsia="Calibri"/>
          <w:sz w:val="22"/>
          <w:szCs w:val="22"/>
          <w:lang w:eastAsia="en-US"/>
        </w:rPr>
        <w:t>тура веб-страницы, скрипты.</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web-applications, web-standards, web-page stru</w:t>
      </w:r>
      <w:r w:rsidRPr="00281602">
        <w:rPr>
          <w:rFonts w:eastAsia="Calibri"/>
          <w:sz w:val="22"/>
          <w:szCs w:val="22"/>
          <w:lang w:val="en-US" w:eastAsia="en-US"/>
        </w:rPr>
        <w:t>c</w:t>
      </w:r>
      <w:r w:rsidRPr="00281602">
        <w:rPr>
          <w:rFonts w:eastAsia="Calibri"/>
          <w:sz w:val="22"/>
          <w:szCs w:val="22"/>
          <w:lang w:val="en-US" w:eastAsia="en-US"/>
        </w:rPr>
        <w:t>ture, scripts.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В настоящее время технологий и подходов к проектированию веб-приложений достаточно много, и в процессе реализации всегда встает вопрос выбора. Зачастую набор технологий зависит от ко</w:t>
      </w:r>
      <w:r w:rsidRPr="00281602">
        <w:rPr>
          <w:rFonts w:eastAsia="Calibri"/>
          <w:sz w:val="22"/>
          <w:szCs w:val="22"/>
          <w:lang w:eastAsia="en-US"/>
        </w:rPr>
        <w:t>н</w:t>
      </w:r>
      <w:r w:rsidRPr="00281602">
        <w:rPr>
          <w:rFonts w:eastAsia="Calibri"/>
          <w:sz w:val="22"/>
          <w:szCs w:val="22"/>
          <w:lang w:eastAsia="en-US"/>
        </w:rPr>
        <w:t>кретно реализуемой задачи. В частности, в целях реализации веб-приложения по автоматизации учебного процесса в автошколе нами предлагается следующий оптимальный пул технологий.</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Клиентская и серверная части приложения взаимодействуют друг с другом при помощи </w:t>
      </w:r>
      <w:r w:rsidRPr="00281602">
        <w:rPr>
          <w:rFonts w:eastAsia="Calibri"/>
          <w:sz w:val="22"/>
          <w:szCs w:val="22"/>
          <w:lang w:val="en-US" w:eastAsia="en-US"/>
        </w:rPr>
        <w:t>RESTAPI</w:t>
      </w:r>
      <w:r w:rsidRPr="00281602">
        <w:rPr>
          <w:rFonts w:eastAsia="Calibri"/>
          <w:sz w:val="22"/>
          <w:szCs w:val="22"/>
          <w:lang w:eastAsia="en-US"/>
        </w:rPr>
        <w:t>, которое предоставляется се</w:t>
      </w:r>
      <w:r w:rsidRPr="00281602">
        <w:rPr>
          <w:rFonts w:eastAsia="Calibri"/>
          <w:sz w:val="22"/>
          <w:szCs w:val="22"/>
          <w:lang w:eastAsia="en-US"/>
        </w:rPr>
        <w:t>р</w:t>
      </w:r>
      <w:r w:rsidRPr="00281602">
        <w:rPr>
          <w:rFonts w:eastAsia="Calibri"/>
          <w:sz w:val="22"/>
          <w:szCs w:val="22"/>
          <w:lang w:eastAsia="en-US"/>
        </w:rPr>
        <w:t>верной частью. В данном случае задача RESR API принимать и о</w:t>
      </w:r>
      <w:r w:rsidRPr="00281602">
        <w:rPr>
          <w:rFonts w:eastAsia="Calibri"/>
          <w:sz w:val="22"/>
          <w:szCs w:val="22"/>
          <w:lang w:eastAsia="en-US"/>
        </w:rPr>
        <w:t>т</w:t>
      </w:r>
      <w:r w:rsidRPr="00281602">
        <w:rPr>
          <w:rFonts w:eastAsia="Calibri"/>
          <w:sz w:val="22"/>
          <w:szCs w:val="22"/>
          <w:lang w:eastAsia="en-US"/>
        </w:rPr>
        <w:t xml:space="preserve">правлять сообщения в формате </w:t>
      </w:r>
      <w:r w:rsidRPr="00281602">
        <w:rPr>
          <w:rFonts w:eastAsia="Calibri"/>
          <w:sz w:val="22"/>
          <w:szCs w:val="22"/>
          <w:lang w:val="en-US" w:eastAsia="en-US"/>
        </w:rPr>
        <w:t>JSON</w:t>
      </w:r>
      <w:r w:rsidRPr="00281602">
        <w:rPr>
          <w:rFonts w:eastAsia="Calibri"/>
          <w:sz w:val="22"/>
          <w:szCs w:val="22"/>
          <w:lang w:eastAsia="en-US"/>
        </w:rPr>
        <w:t>. Следовательно, можно сд</w:t>
      </w:r>
      <w:r w:rsidRPr="00281602">
        <w:rPr>
          <w:rFonts w:eastAsia="Calibri"/>
          <w:sz w:val="22"/>
          <w:szCs w:val="22"/>
          <w:lang w:eastAsia="en-US"/>
        </w:rPr>
        <w:t>е</w:t>
      </w:r>
      <w:r w:rsidRPr="00281602">
        <w:rPr>
          <w:rFonts w:eastAsia="Calibri"/>
          <w:sz w:val="22"/>
          <w:szCs w:val="22"/>
          <w:lang w:eastAsia="en-US"/>
        </w:rPr>
        <w:t>лать вывод, что данное веб-приложение отвечает принципу инка</w:t>
      </w:r>
      <w:r w:rsidRPr="00281602">
        <w:rPr>
          <w:rFonts w:eastAsia="Calibri"/>
          <w:sz w:val="22"/>
          <w:szCs w:val="22"/>
          <w:lang w:eastAsia="en-US"/>
        </w:rPr>
        <w:t>п</w:t>
      </w:r>
      <w:r w:rsidRPr="00281602">
        <w:rPr>
          <w:rFonts w:eastAsia="Calibri"/>
          <w:sz w:val="22"/>
          <w:szCs w:val="22"/>
          <w:lang w:eastAsia="en-US"/>
        </w:rPr>
        <w:t>суляции и способствует взаимозаменяемости любого из компоне</w:t>
      </w:r>
      <w:r w:rsidRPr="00281602">
        <w:rPr>
          <w:rFonts w:eastAsia="Calibri"/>
          <w:sz w:val="22"/>
          <w:szCs w:val="22"/>
          <w:lang w:eastAsia="en-US"/>
        </w:rPr>
        <w:t>н</w:t>
      </w:r>
      <w:r w:rsidRPr="00281602">
        <w:rPr>
          <w:rFonts w:eastAsia="Calibri"/>
          <w:sz w:val="22"/>
          <w:szCs w:val="22"/>
          <w:lang w:eastAsia="en-US"/>
        </w:rPr>
        <w:lastRenderedPageBreak/>
        <w:t xml:space="preserve">тов архитектуры. В качестве хранилища данных идеально подходит документо-ориентированная СУБД </w:t>
      </w:r>
      <w:r w:rsidRPr="00281602">
        <w:rPr>
          <w:rFonts w:eastAsia="Calibri"/>
          <w:sz w:val="22"/>
          <w:szCs w:val="22"/>
          <w:lang w:val="en-US" w:eastAsia="en-US"/>
        </w:rPr>
        <w:t>MongoDB</w:t>
      </w:r>
      <w:r w:rsidRPr="00281602">
        <w:rPr>
          <w:rFonts w:eastAsia="Calibri"/>
          <w:sz w:val="22"/>
          <w:szCs w:val="22"/>
          <w:lang w:eastAsia="en-US"/>
        </w:rPr>
        <w:t xml:space="preserve">. В качестве основы для разработки клиентской части приложения: </w:t>
      </w:r>
      <w:r w:rsidRPr="00281602">
        <w:rPr>
          <w:rFonts w:eastAsia="Calibri"/>
          <w:sz w:val="22"/>
          <w:szCs w:val="22"/>
          <w:lang w:val="en-US" w:eastAsia="en-US"/>
        </w:rPr>
        <w:t>HTML</w:t>
      </w:r>
      <w:r w:rsidRPr="00281602">
        <w:rPr>
          <w:rFonts w:eastAsia="Calibri"/>
          <w:sz w:val="22"/>
          <w:szCs w:val="22"/>
          <w:lang w:eastAsia="en-US"/>
        </w:rPr>
        <w:t xml:space="preserve">, </w:t>
      </w:r>
      <w:r w:rsidRPr="00281602">
        <w:rPr>
          <w:rFonts w:eastAsia="Calibri"/>
          <w:sz w:val="22"/>
          <w:szCs w:val="22"/>
          <w:lang w:val="en-US" w:eastAsia="en-US"/>
        </w:rPr>
        <w:t>CSS</w:t>
      </w:r>
      <w:r w:rsidRPr="00281602">
        <w:rPr>
          <w:rFonts w:eastAsia="Calibri"/>
          <w:sz w:val="22"/>
          <w:szCs w:val="22"/>
          <w:lang w:eastAsia="en-US"/>
        </w:rPr>
        <w:t xml:space="preserve">, </w:t>
      </w:r>
      <w:r w:rsidRPr="00281602">
        <w:rPr>
          <w:rFonts w:eastAsia="Calibri"/>
          <w:sz w:val="22"/>
          <w:szCs w:val="22"/>
          <w:lang w:val="en-US" w:eastAsia="en-US"/>
        </w:rPr>
        <w:t>Java</w:t>
      </w:r>
      <w:r w:rsidRPr="00281602">
        <w:rPr>
          <w:rFonts w:eastAsia="Calibri"/>
          <w:sz w:val="22"/>
          <w:szCs w:val="22"/>
          <w:lang w:val="en-US" w:eastAsia="en-US"/>
        </w:rPr>
        <w:t>S</w:t>
      </w:r>
      <w:r w:rsidRPr="00281602">
        <w:rPr>
          <w:rFonts w:eastAsia="Calibri"/>
          <w:sz w:val="22"/>
          <w:szCs w:val="22"/>
          <w:lang w:val="en-US" w:eastAsia="en-US"/>
        </w:rPr>
        <w:t>cript</w:t>
      </w:r>
      <w:r w:rsidRPr="00281602">
        <w:rPr>
          <w:rFonts w:eastAsia="Calibri"/>
          <w:sz w:val="22"/>
          <w:szCs w:val="22"/>
          <w:lang w:eastAsia="en-US"/>
        </w:rPr>
        <w:t xml:space="preserve"> и </w:t>
      </w:r>
      <w:r w:rsidRPr="00281602">
        <w:rPr>
          <w:rFonts w:eastAsia="Calibri"/>
          <w:sz w:val="22"/>
          <w:szCs w:val="22"/>
          <w:lang w:val="en-US" w:eastAsia="en-US"/>
        </w:rPr>
        <w:t>Polymer</w:t>
      </w:r>
      <w:r w:rsidRPr="00281602">
        <w:rPr>
          <w:rFonts w:eastAsia="Calibri"/>
          <w:sz w:val="22"/>
          <w:szCs w:val="22"/>
          <w:lang w:eastAsia="en-US"/>
        </w:rPr>
        <w:t>.Polymer – это JavaScript библиотека с открытым и</w:t>
      </w:r>
      <w:r w:rsidRPr="00281602">
        <w:rPr>
          <w:rFonts w:eastAsia="Calibri"/>
          <w:sz w:val="22"/>
          <w:szCs w:val="22"/>
          <w:lang w:eastAsia="en-US"/>
        </w:rPr>
        <w:t>с</w:t>
      </w:r>
      <w:r w:rsidRPr="00281602">
        <w:rPr>
          <w:rFonts w:eastAsia="Calibri"/>
          <w:sz w:val="22"/>
          <w:szCs w:val="22"/>
          <w:lang w:eastAsia="en-US"/>
        </w:rPr>
        <w:t xml:space="preserve">ходным кодом для создания web-приложений на основе веб-компонентов. </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Веб-компоненты – это определенный набор стандартов </w:t>
      </w:r>
      <w:r w:rsidRPr="00281602">
        <w:rPr>
          <w:rFonts w:eastAsia="Calibri"/>
          <w:sz w:val="22"/>
          <w:szCs w:val="22"/>
          <w:lang w:val="en-US" w:eastAsia="en-US"/>
        </w:rPr>
        <w:t>W</w:t>
      </w:r>
      <w:r w:rsidRPr="00281602">
        <w:rPr>
          <w:rFonts w:eastAsia="Calibri"/>
          <w:sz w:val="22"/>
          <w:szCs w:val="22"/>
          <w:lang w:eastAsia="en-US"/>
        </w:rPr>
        <w:t>3</w:t>
      </w:r>
      <w:r w:rsidRPr="00281602">
        <w:rPr>
          <w:rFonts w:eastAsia="Calibri"/>
          <w:sz w:val="22"/>
          <w:szCs w:val="22"/>
          <w:lang w:val="en-US" w:eastAsia="en-US"/>
        </w:rPr>
        <w:t>C</w:t>
      </w:r>
      <w:r w:rsidRPr="00281602">
        <w:rPr>
          <w:rFonts w:eastAsia="Calibri"/>
          <w:sz w:val="22"/>
          <w:szCs w:val="22"/>
          <w:lang w:eastAsia="en-US"/>
        </w:rPr>
        <w:t>, поддерживаемый в настоящее время некоторыми браузерами. Пр</w:t>
      </w:r>
      <w:r w:rsidRPr="00281602">
        <w:rPr>
          <w:rFonts w:eastAsia="Calibri"/>
          <w:sz w:val="22"/>
          <w:szCs w:val="22"/>
          <w:lang w:eastAsia="en-US"/>
        </w:rPr>
        <w:t>о</w:t>
      </w:r>
      <w:r w:rsidRPr="00281602">
        <w:rPr>
          <w:rFonts w:eastAsia="Calibri"/>
          <w:sz w:val="22"/>
          <w:szCs w:val="22"/>
          <w:lang w:eastAsia="en-US"/>
        </w:rPr>
        <w:t xml:space="preserve">ще говоря, веб-компонент – это выделенный кусок </w:t>
      </w:r>
      <w:r w:rsidRPr="00281602">
        <w:rPr>
          <w:rFonts w:eastAsia="Calibri"/>
          <w:sz w:val="22"/>
          <w:szCs w:val="22"/>
          <w:lang w:val="en-US" w:eastAsia="en-US"/>
        </w:rPr>
        <w:t>html</w:t>
      </w:r>
      <w:r w:rsidRPr="00281602">
        <w:rPr>
          <w:rFonts w:eastAsia="Calibri"/>
          <w:sz w:val="22"/>
          <w:szCs w:val="22"/>
          <w:lang w:eastAsia="en-US"/>
        </w:rPr>
        <w:t xml:space="preserve"> кода с ша</w:t>
      </w:r>
      <w:r w:rsidRPr="00281602">
        <w:rPr>
          <w:rFonts w:eastAsia="Calibri"/>
          <w:sz w:val="22"/>
          <w:szCs w:val="22"/>
          <w:lang w:eastAsia="en-US"/>
        </w:rPr>
        <w:t>б</w:t>
      </w:r>
      <w:r w:rsidRPr="00281602">
        <w:rPr>
          <w:rFonts w:eastAsia="Calibri"/>
          <w:sz w:val="22"/>
          <w:szCs w:val="22"/>
          <w:lang w:eastAsia="en-US"/>
        </w:rPr>
        <w:t>лонизатором, логикой и стилями. Их использование позволяет б</w:t>
      </w:r>
      <w:r w:rsidRPr="00281602">
        <w:rPr>
          <w:rFonts w:eastAsia="Calibri"/>
          <w:sz w:val="22"/>
          <w:szCs w:val="22"/>
          <w:lang w:eastAsia="en-US"/>
        </w:rPr>
        <w:t>о</w:t>
      </w:r>
      <w:r w:rsidRPr="00281602">
        <w:rPr>
          <w:rFonts w:eastAsia="Calibri"/>
          <w:sz w:val="22"/>
          <w:szCs w:val="22"/>
          <w:lang w:eastAsia="en-US"/>
        </w:rPr>
        <w:t>лее четко структурировать код, повысить его читаемость и возмо</w:t>
      </w:r>
      <w:r w:rsidRPr="00281602">
        <w:rPr>
          <w:rFonts w:eastAsia="Calibri"/>
          <w:sz w:val="22"/>
          <w:szCs w:val="22"/>
          <w:lang w:eastAsia="en-US"/>
        </w:rPr>
        <w:t>ж</w:t>
      </w:r>
      <w:r w:rsidRPr="00281602">
        <w:rPr>
          <w:rFonts w:eastAsia="Calibri"/>
          <w:sz w:val="22"/>
          <w:szCs w:val="22"/>
          <w:lang w:eastAsia="en-US"/>
        </w:rPr>
        <w:t xml:space="preserve">ность повторного использования. </w:t>
      </w:r>
      <w:r w:rsidRPr="00281602">
        <w:rPr>
          <w:rFonts w:eastAsia="Calibri"/>
          <w:sz w:val="22"/>
          <w:szCs w:val="22"/>
          <w:lang w:val="en-US" w:eastAsia="en-US"/>
        </w:rPr>
        <w:t>Polymer</w:t>
      </w:r>
      <w:r w:rsidRPr="00281602">
        <w:rPr>
          <w:rFonts w:eastAsia="Calibri"/>
          <w:sz w:val="22"/>
          <w:szCs w:val="22"/>
          <w:lang w:eastAsia="en-US"/>
        </w:rPr>
        <w:t xml:space="preserve"> создает веб-компоненты на основе так называемой «Теневой модели документа», или «</w:t>
      </w:r>
      <w:r w:rsidRPr="00281602">
        <w:rPr>
          <w:rFonts w:eastAsia="Calibri"/>
          <w:sz w:val="22"/>
          <w:szCs w:val="22"/>
          <w:lang w:val="en-US" w:eastAsia="en-US"/>
        </w:rPr>
        <w:t>ShadowDOM</w:t>
      </w:r>
      <w:r w:rsidRPr="00281602">
        <w:rPr>
          <w:rFonts w:eastAsia="Calibri"/>
          <w:sz w:val="22"/>
          <w:szCs w:val="22"/>
          <w:lang w:eastAsia="en-US"/>
        </w:rPr>
        <w:t xml:space="preserve">». Спецификация </w:t>
      </w:r>
      <w:r w:rsidRPr="00281602">
        <w:rPr>
          <w:rFonts w:eastAsia="Calibri"/>
          <w:sz w:val="22"/>
          <w:szCs w:val="22"/>
          <w:lang w:val="en-US" w:eastAsia="en-US"/>
        </w:rPr>
        <w:t>ShadowDOM</w:t>
      </w:r>
      <w:r w:rsidRPr="00281602">
        <w:rPr>
          <w:rFonts w:eastAsia="Calibri"/>
          <w:sz w:val="22"/>
          <w:szCs w:val="22"/>
          <w:lang w:eastAsia="en-US"/>
        </w:rPr>
        <w:t xml:space="preserve"> является отдельным стандартом. Частично он уже используется для обычных</w:t>
      </w:r>
      <w:r w:rsidRPr="00281602">
        <w:rPr>
          <w:rFonts w:eastAsia="Calibri"/>
          <w:sz w:val="22"/>
          <w:szCs w:val="22"/>
          <w:lang w:val="en-US" w:eastAsia="en-US"/>
        </w:rPr>
        <w:t>DOM</w:t>
      </w:r>
      <w:r w:rsidRPr="00281602">
        <w:rPr>
          <w:rFonts w:eastAsia="Calibri"/>
          <w:sz w:val="22"/>
          <w:szCs w:val="22"/>
          <w:lang w:eastAsia="en-US"/>
        </w:rPr>
        <w:t xml:space="preserve">-элементов (таких как </w:t>
      </w:r>
      <w:r w:rsidRPr="00281602">
        <w:rPr>
          <w:rFonts w:eastAsia="Calibri"/>
          <w:sz w:val="22"/>
          <w:szCs w:val="22"/>
          <w:lang w:val="en-US" w:eastAsia="en-US"/>
        </w:rPr>
        <w:t>input</w:t>
      </w:r>
      <w:r w:rsidRPr="00281602">
        <w:rPr>
          <w:rFonts w:eastAsia="Calibri"/>
          <w:sz w:val="22"/>
          <w:szCs w:val="22"/>
          <w:lang w:eastAsia="en-US"/>
        </w:rPr>
        <w:t xml:space="preserve">, </w:t>
      </w:r>
      <w:r w:rsidRPr="00281602">
        <w:rPr>
          <w:rFonts w:eastAsia="Calibri"/>
          <w:sz w:val="22"/>
          <w:szCs w:val="22"/>
          <w:lang w:val="en-US" w:eastAsia="en-US"/>
        </w:rPr>
        <w:t>button</w:t>
      </w:r>
      <w:r w:rsidRPr="00281602">
        <w:rPr>
          <w:rFonts w:eastAsia="Calibri"/>
          <w:sz w:val="22"/>
          <w:szCs w:val="22"/>
          <w:lang w:eastAsia="en-US"/>
        </w:rPr>
        <w:t>), но также применяется для с</w:t>
      </w:r>
      <w:r w:rsidRPr="00281602">
        <w:rPr>
          <w:rFonts w:eastAsia="Calibri"/>
          <w:sz w:val="22"/>
          <w:szCs w:val="22"/>
          <w:lang w:eastAsia="en-US"/>
        </w:rPr>
        <w:t>о</w:t>
      </w:r>
      <w:r w:rsidRPr="00281602">
        <w:rPr>
          <w:rFonts w:eastAsia="Calibri"/>
          <w:sz w:val="22"/>
          <w:szCs w:val="22"/>
          <w:lang w:eastAsia="en-US"/>
        </w:rPr>
        <w:t xml:space="preserve">здания веб-компонентов. </w:t>
      </w:r>
      <w:r w:rsidRPr="00281602">
        <w:rPr>
          <w:rFonts w:eastAsia="Calibri"/>
          <w:sz w:val="22"/>
          <w:szCs w:val="22"/>
          <w:lang w:val="en-US" w:eastAsia="en-US"/>
        </w:rPr>
        <w:t>ShadowDOM</w:t>
      </w:r>
      <w:r w:rsidRPr="00281602">
        <w:rPr>
          <w:rFonts w:eastAsia="Calibri"/>
          <w:sz w:val="22"/>
          <w:szCs w:val="22"/>
          <w:lang w:eastAsia="en-US"/>
        </w:rPr>
        <w:t xml:space="preserve"> – часть документа, которая реализует полноценную инкапсуляцию одного </w:t>
      </w:r>
      <w:r w:rsidRPr="00281602">
        <w:rPr>
          <w:rFonts w:eastAsia="Calibri"/>
          <w:sz w:val="22"/>
          <w:szCs w:val="22"/>
          <w:lang w:val="en-US" w:eastAsia="en-US"/>
        </w:rPr>
        <w:t>DOM</w:t>
      </w:r>
      <w:r w:rsidRPr="00281602">
        <w:rPr>
          <w:rFonts w:eastAsia="Calibri"/>
          <w:sz w:val="22"/>
          <w:szCs w:val="22"/>
          <w:lang w:eastAsia="en-US"/>
        </w:rPr>
        <w:t xml:space="preserve"> дерева в др</w:t>
      </w:r>
      <w:r w:rsidRPr="00281602">
        <w:rPr>
          <w:rFonts w:eastAsia="Calibri"/>
          <w:sz w:val="22"/>
          <w:szCs w:val="22"/>
          <w:lang w:eastAsia="en-US"/>
        </w:rPr>
        <w:t>у</w:t>
      </w:r>
      <w:r w:rsidRPr="00281602">
        <w:rPr>
          <w:rFonts w:eastAsia="Calibri"/>
          <w:sz w:val="22"/>
          <w:szCs w:val="22"/>
          <w:lang w:eastAsia="en-US"/>
        </w:rPr>
        <w:t xml:space="preserve">гом </w:t>
      </w:r>
      <w:r w:rsidRPr="00281602">
        <w:rPr>
          <w:rFonts w:eastAsia="Calibri"/>
          <w:sz w:val="22"/>
          <w:szCs w:val="22"/>
          <w:lang w:val="en-US" w:eastAsia="en-US"/>
        </w:rPr>
        <w:t>DOM</w:t>
      </w:r>
      <w:r w:rsidRPr="00281602">
        <w:rPr>
          <w:rFonts w:eastAsia="Calibri"/>
          <w:sz w:val="22"/>
          <w:szCs w:val="22"/>
          <w:lang w:eastAsia="en-US"/>
        </w:rPr>
        <w:t xml:space="preserve"> дереве. Эта теневая модель является частью документа </w:t>
      </w:r>
      <w:r w:rsidRPr="00281602">
        <w:rPr>
          <w:rFonts w:eastAsia="Calibri"/>
          <w:sz w:val="22"/>
          <w:szCs w:val="22"/>
          <w:lang w:val="en-US" w:eastAsia="en-US"/>
        </w:rPr>
        <w:t>DOM</w:t>
      </w:r>
      <w:r w:rsidRPr="00281602">
        <w:rPr>
          <w:rFonts w:eastAsia="Calibri"/>
          <w:sz w:val="22"/>
          <w:szCs w:val="22"/>
          <w:lang w:eastAsia="en-US"/>
        </w:rPr>
        <w:t xml:space="preserve"> и встраивается непосредственно внутрь страницы.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Надо заметить, что в стандарте </w:t>
      </w:r>
      <w:r w:rsidRPr="00281602">
        <w:rPr>
          <w:rFonts w:eastAsia="Calibri"/>
          <w:sz w:val="22"/>
          <w:szCs w:val="22"/>
          <w:lang w:val="en-US" w:eastAsia="en-US"/>
        </w:rPr>
        <w:t>W</w:t>
      </w:r>
      <w:r w:rsidRPr="00281602">
        <w:rPr>
          <w:rFonts w:eastAsia="Calibri"/>
          <w:sz w:val="22"/>
          <w:szCs w:val="22"/>
          <w:lang w:eastAsia="en-US"/>
        </w:rPr>
        <w:t>3</w:t>
      </w:r>
      <w:r w:rsidRPr="00281602">
        <w:rPr>
          <w:rFonts w:eastAsia="Calibri"/>
          <w:sz w:val="22"/>
          <w:szCs w:val="22"/>
          <w:lang w:val="en-US" w:eastAsia="en-US"/>
        </w:rPr>
        <w:t>C</w:t>
      </w:r>
      <w:r w:rsidRPr="00281602">
        <w:rPr>
          <w:rFonts w:eastAsia="Calibri"/>
          <w:sz w:val="22"/>
          <w:szCs w:val="22"/>
          <w:lang w:eastAsia="en-US"/>
        </w:rPr>
        <w:t xml:space="preserve"> реализуемая инкапсуляция называется функциональной, так как </w:t>
      </w:r>
      <w:r w:rsidRPr="00281602">
        <w:rPr>
          <w:rFonts w:eastAsia="Calibri"/>
          <w:sz w:val="22"/>
          <w:szCs w:val="22"/>
          <w:lang w:val="en-US" w:eastAsia="en-US"/>
        </w:rPr>
        <w:t>shadowDOM</w:t>
      </w:r>
      <w:r w:rsidRPr="00281602">
        <w:rPr>
          <w:rFonts w:eastAsia="Calibri"/>
          <w:sz w:val="22"/>
          <w:szCs w:val="22"/>
          <w:lang w:eastAsia="en-US"/>
        </w:rPr>
        <w:t xml:space="preserve"> встраивается в </w:t>
      </w:r>
      <w:r w:rsidRPr="00281602">
        <w:rPr>
          <w:rFonts w:eastAsia="Calibri"/>
          <w:sz w:val="22"/>
          <w:szCs w:val="22"/>
          <w:lang w:val="en-US" w:eastAsia="en-US"/>
        </w:rPr>
        <w:t>DOM</w:t>
      </w:r>
      <w:r w:rsidRPr="00281602">
        <w:rPr>
          <w:rFonts w:eastAsia="Calibri"/>
          <w:sz w:val="22"/>
          <w:szCs w:val="22"/>
          <w:lang w:eastAsia="en-US"/>
        </w:rPr>
        <w:t xml:space="preserve"> и является одной из многих его частей, работающих практ</w:t>
      </w:r>
      <w:r w:rsidRPr="00281602">
        <w:rPr>
          <w:rFonts w:eastAsia="Calibri"/>
          <w:sz w:val="22"/>
          <w:szCs w:val="22"/>
          <w:lang w:eastAsia="en-US"/>
        </w:rPr>
        <w:t>и</w:t>
      </w:r>
      <w:r w:rsidRPr="00281602">
        <w:rPr>
          <w:rFonts w:eastAsia="Calibri"/>
          <w:sz w:val="22"/>
          <w:szCs w:val="22"/>
          <w:lang w:eastAsia="en-US"/>
        </w:rPr>
        <w:t>чески независимо друг от друга. Соответственно, при проектиров</w:t>
      </w:r>
      <w:r w:rsidRPr="00281602">
        <w:rPr>
          <w:rFonts w:eastAsia="Calibri"/>
          <w:sz w:val="22"/>
          <w:szCs w:val="22"/>
          <w:lang w:eastAsia="en-US"/>
        </w:rPr>
        <w:t>а</w:t>
      </w:r>
      <w:r w:rsidRPr="00281602">
        <w:rPr>
          <w:rFonts w:eastAsia="Calibri"/>
          <w:sz w:val="22"/>
          <w:szCs w:val="22"/>
          <w:lang w:eastAsia="en-US"/>
        </w:rPr>
        <w:t xml:space="preserve">нии реализации, нужно было установить функциональные границы в дереве документа, чтобы как-то оперировать с множеством таких «независимых» частей </w:t>
      </w:r>
      <w:r w:rsidRPr="00281602">
        <w:rPr>
          <w:rFonts w:eastAsia="Calibri"/>
          <w:sz w:val="22"/>
          <w:szCs w:val="22"/>
          <w:lang w:val="en-US" w:eastAsia="en-US"/>
        </w:rPr>
        <w:t>DOM</w:t>
      </w:r>
      <w:r w:rsidRPr="00281602">
        <w:rPr>
          <w:rFonts w:eastAsia="Calibri"/>
          <w:sz w:val="22"/>
          <w:szCs w:val="22"/>
          <w:lang w:eastAsia="en-US"/>
        </w:rPr>
        <w:t xml:space="preserve"> дерева. Для решения проблемы инка</w:t>
      </w:r>
      <w:r w:rsidRPr="00281602">
        <w:rPr>
          <w:rFonts w:eastAsia="Calibri"/>
          <w:sz w:val="22"/>
          <w:szCs w:val="22"/>
          <w:lang w:eastAsia="en-US"/>
        </w:rPr>
        <w:t>п</w:t>
      </w:r>
      <w:r w:rsidRPr="00281602">
        <w:rPr>
          <w:rFonts w:eastAsia="Calibri"/>
          <w:sz w:val="22"/>
          <w:szCs w:val="22"/>
          <w:lang w:eastAsia="en-US"/>
        </w:rPr>
        <w:t xml:space="preserve">суляции и было решено ввести новый уровень абстракции – </w:t>
      </w:r>
      <w:r w:rsidRPr="00281602">
        <w:rPr>
          <w:rFonts w:eastAsia="Calibri"/>
          <w:sz w:val="22"/>
          <w:szCs w:val="22"/>
          <w:lang w:val="en-US" w:eastAsia="en-US"/>
        </w:rPr>
        <w:t>shadowDOM</w:t>
      </w:r>
      <w:r w:rsidRPr="00281602">
        <w:rPr>
          <w:rFonts w:eastAsia="Calibri"/>
          <w:sz w:val="22"/>
          <w:szCs w:val="22"/>
          <w:lang w:eastAsia="en-US"/>
        </w:rPr>
        <w:t xml:space="preserve">, который позволил создавать несколько </w:t>
      </w:r>
      <w:r w:rsidRPr="00281602">
        <w:rPr>
          <w:rFonts w:eastAsia="Calibri"/>
          <w:sz w:val="22"/>
          <w:szCs w:val="22"/>
          <w:lang w:val="en-US" w:eastAsia="en-US"/>
        </w:rPr>
        <w:t>DOM</w:t>
      </w:r>
      <w:r w:rsidRPr="00281602">
        <w:rPr>
          <w:rFonts w:eastAsia="Calibri"/>
          <w:sz w:val="22"/>
          <w:szCs w:val="22"/>
          <w:lang w:eastAsia="en-US"/>
        </w:rPr>
        <w:t xml:space="preserve"> деревьев в рамках главного родительского </w:t>
      </w:r>
      <w:r w:rsidRPr="00281602">
        <w:rPr>
          <w:rFonts w:eastAsia="Calibri"/>
          <w:sz w:val="22"/>
          <w:szCs w:val="22"/>
          <w:lang w:val="en-US" w:eastAsia="en-US"/>
        </w:rPr>
        <w:t>DOM</w:t>
      </w:r>
      <w:r w:rsidRPr="00281602">
        <w:rPr>
          <w:rFonts w:eastAsia="Calibri"/>
          <w:sz w:val="22"/>
          <w:szCs w:val="22"/>
          <w:lang w:eastAsia="en-US"/>
        </w:rPr>
        <w:t xml:space="preserve"> дерева и был разработан специальный документ, описывающий ее.</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Дочернее дерево, по этой спецификации, размещается внутри некоторого элемента на странице. Границы между основным </w:t>
      </w:r>
      <w:r w:rsidRPr="00281602">
        <w:rPr>
          <w:rFonts w:eastAsia="Calibri"/>
          <w:sz w:val="22"/>
          <w:szCs w:val="22"/>
          <w:lang w:val="en-US" w:eastAsia="en-US"/>
        </w:rPr>
        <w:t>DOM</w:t>
      </w:r>
      <w:r w:rsidRPr="00281602">
        <w:rPr>
          <w:rFonts w:eastAsia="Calibri"/>
          <w:sz w:val="22"/>
          <w:szCs w:val="22"/>
          <w:lang w:eastAsia="en-US"/>
        </w:rPr>
        <w:t xml:space="preserve"> деревом документа и теневым имеют название «</w:t>
      </w:r>
      <w:r w:rsidRPr="00281602">
        <w:rPr>
          <w:rFonts w:eastAsia="Calibri"/>
          <w:sz w:val="22"/>
          <w:szCs w:val="22"/>
          <w:lang w:val="en-US" w:eastAsia="en-US"/>
        </w:rPr>
        <w:t>shadowboundaries</w:t>
      </w:r>
      <w:r w:rsidRPr="00281602">
        <w:rPr>
          <w:rFonts w:eastAsia="Calibri"/>
          <w:sz w:val="22"/>
          <w:szCs w:val="22"/>
          <w:lang w:eastAsia="en-US"/>
        </w:rPr>
        <w:t xml:space="preserve">», или «теневые границы». Сам элемент, который размещает в себе теневое </w:t>
      </w:r>
      <w:r w:rsidRPr="00281602">
        <w:rPr>
          <w:rFonts w:eastAsia="Calibri"/>
          <w:sz w:val="22"/>
          <w:szCs w:val="22"/>
          <w:lang w:val="en-US" w:eastAsia="en-US"/>
        </w:rPr>
        <w:t>DOM</w:t>
      </w:r>
      <w:r w:rsidRPr="00281602">
        <w:rPr>
          <w:rFonts w:eastAsia="Calibri"/>
          <w:sz w:val="22"/>
          <w:szCs w:val="22"/>
          <w:lang w:eastAsia="en-US"/>
        </w:rPr>
        <w:t xml:space="preserve"> дерево, называется «</w:t>
      </w:r>
      <w:r w:rsidRPr="00281602">
        <w:rPr>
          <w:rFonts w:eastAsia="Calibri"/>
          <w:sz w:val="22"/>
          <w:szCs w:val="22"/>
          <w:lang w:val="en-US" w:eastAsia="en-US"/>
        </w:rPr>
        <w:t>shadowhost</w:t>
      </w:r>
      <w:r w:rsidRPr="00281602">
        <w:rPr>
          <w:rFonts w:eastAsia="Calibri"/>
          <w:sz w:val="22"/>
          <w:szCs w:val="22"/>
          <w:lang w:eastAsia="en-US"/>
        </w:rPr>
        <w:t>», а корень теневого</w:t>
      </w:r>
      <w:r w:rsidRPr="00281602">
        <w:rPr>
          <w:rFonts w:eastAsia="Calibri"/>
          <w:sz w:val="22"/>
          <w:szCs w:val="22"/>
          <w:lang w:val="en-US" w:eastAsia="en-US"/>
        </w:rPr>
        <w:t>DOM</w:t>
      </w:r>
      <w:r w:rsidRPr="00281602">
        <w:rPr>
          <w:rFonts w:eastAsia="Calibri"/>
          <w:sz w:val="22"/>
          <w:szCs w:val="22"/>
          <w:lang w:eastAsia="en-US"/>
        </w:rPr>
        <w:t xml:space="preserve"> дерево, соответственно, называется «</w:t>
      </w:r>
      <w:r w:rsidRPr="00281602">
        <w:rPr>
          <w:rFonts w:eastAsia="Calibri"/>
          <w:sz w:val="22"/>
          <w:szCs w:val="22"/>
          <w:lang w:val="en-US" w:eastAsia="en-US"/>
        </w:rPr>
        <w:t>shadowroot</w:t>
      </w:r>
      <w:r w:rsidRPr="00281602">
        <w:rPr>
          <w:rFonts w:eastAsia="Calibri"/>
          <w:sz w:val="22"/>
          <w:szCs w:val="22"/>
          <w:lang w:eastAsia="en-US"/>
        </w:rPr>
        <w:t xml:space="preserve">». </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lastRenderedPageBreak/>
        <w:t xml:space="preserve">Чтобы пользоваться библиотекой </w:t>
      </w:r>
      <w:r w:rsidRPr="00281602">
        <w:rPr>
          <w:rFonts w:eastAsia="Calibri"/>
          <w:sz w:val="22"/>
          <w:szCs w:val="22"/>
          <w:lang w:val="en-US" w:eastAsia="en-US"/>
        </w:rPr>
        <w:t>Polymer</w:t>
      </w:r>
      <w:r w:rsidRPr="00281602">
        <w:rPr>
          <w:rFonts w:eastAsia="Calibri"/>
          <w:sz w:val="22"/>
          <w:szCs w:val="22"/>
          <w:lang w:eastAsia="en-US"/>
        </w:rPr>
        <w:t xml:space="preserve"> рекомендуется и</w:t>
      </w:r>
      <w:r w:rsidRPr="00281602">
        <w:rPr>
          <w:rFonts w:eastAsia="Calibri"/>
          <w:sz w:val="22"/>
          <w:szCs w:val="22"/>
          <w:lang w:eastAsia="en-US"/>
        </w:rPr>
        <w:t>с</w:t>
      </w:r>
      <w:r w:rsidRPr="00281602">
        <w:rPr>
          <w:rFonts w:eastAsia="Calibri"/>
          <w:sz w:val="22"/>
          <w:szCs w:val="22"/>
          <w:lang w:eastAsia="en-US"/>
        </w:rPr>
        <w:t>пользовать менеджер пакетов Bower. В качестве технологии разр</w:t>
      </w:r>
      <w:r w:rsidRPr="00281602">
        <w:rPr>
          <w:rFonts w:eastAsia="Calibri"/>
          <w:sz w:val="22"/>
          <w:szCs w:val="22"/>
          <w:lang w:eastAsia="en-US"/>
        </w:rPr>
        <w:t>а</w:t>
      </w:r>
      <w:r w:rsidRPr="00281602">
        <w:rPr>
          <w:rFonts w:eastAsia="Calibri"/>
          <w:sz w:val="22"/>
          <w:szCs w:val="22"/>
          <w:lang w:eastAsia="en-US"/>
        </w:rPr>
        <w:t xml:space="preserve">ботки серверной части приложения была выбрана программная платформа </w:t>
      </w:r>
      <w:r w:rsidRPr="00281602">
        <w:rPr>
          <w:rFonts w:eastAsia="Calibri"/>
          <w:sz w:val="22"/>
          <w:szCs w:val="22"/>
          <w:lang w:val="en-US" w:eastAsia="en-US"/>
        </w:rPr>
        <w:t>Node</w:t>
      </w:r>
      <w:r w:rsidRPr="00281602">
        <w:rPr>
          <w:rFonts w:eastAsia="Calibri"/>
          <w:sz w:val="22"/>
          <w:szCs w:val="22"/>
          <w:lang w:eastAsia="en-US"/>
        </w:rPr>
        <w:t>.</w:t>
      </w:r>
      <w:r w:rsidRPr="00281602">
        <w:rPr>
          <w:rFonts w:eastAsia="Calibri"/>
          <w:sz w:val="22"/>
          <w:szCs w:val="22"/>
          <w:lang w:val="en-US" w:eastAsia="en-US"/>
        </w:rPr>
        <w:t>js</w:t>
      </w:r>
      <w:r w:rsidRPr="00281602">
        <w:rPr>
          <w:rFonts w:eastAsia="Calibri"/>
          <w:sz w:val="22"/>
          <w:szCs w:val="22"/>
          <w:lang w:eastAsia="en-US"/>
        </w:rPr>
        <w:t>. Node.js – это среда выполнения JavaScript, ра</w:t>
      </w:r>
      <w:r w:rsidRPr="00281602">
        <w:rPr>
          <w:rFonts w:eastAsia="Calibri"/>
          <w:sz w:val="22"/>
          <w:szCs w:val="22"/>
          <w:lang w:eastAsia="en-US"/>
        </w:rPr>
        <w:t>з</w:t>
      </w:r>
      <w:r w:rsidRPr="00281602">
        <w:rPr>
          <w:rFonts w:eastAsia="Calibri"/>
          <w:sz w:val="22"/>
          <w:szCs w:val="22"/>
          <w:lang w:eastAsia="en-US"/>
        </w:rPr>
        <w:t>работанная на JavaScript-движке Chrome V8. Node.js использует управляемую событиями, неблокирующую модель ввода/вывода, которая делает его легким и эффективным. Пакетная экосистема Node.js, npm, является крупнейшей экосистемой библиотек с о</w:t>
      </w:r>
      <w:r w:rsidRPr="00281602">
        <w:rPr>
          <w:rFonts w:eastAsia="Calibri"/>
          <w:sz w:val="22"/>
          <w:szCs w:val="22"/>
          <w:lang w:eastAsia="en-US"/>
        </w:rPr>
        <w:t>т</w:t>
      </w:r>
      <w:r w:rsidRPr="00281602">
        <w:rPr>
          <w:rFonts w:eastAsia="Calibri"/>
          <w:sz w:val="22"/>
          <w:szCs w:val="22"/>
          <w:lang w:eastAsia="en-US"/>
        </w:rPr>
        <w:t>крытым исходным кодом в мире.</w:t>
      </w:r>
    </w:p>
    <w:p w:rsidR="00281602" w:rsidRPr="00281602" w:rsidRDefault="00281602" w:rsidP="00281602">
      <w:pPr>
        <w:ind w:firstLine="425"/>
        <w:jc w:val="both"/>
        <w:rPr>
          <w:sz w:val="22"/>
          <w:szCs w:val="22"/>
        </w:rPr>
      </w:pPr>
    </w:p>
    <w:p w:rsidR="00281602" w:rsidRPr="00281602" w:rsidRDefault="00281602" w:rsidP="00281602">
      <w:pPr>
        <w:ind w:firstLine="425"/>
        <w:jc w:val="center"/>
        <w:rPr>
          <w:sz w:val="22"/>
          <w:szCs w:val="22"/>
        </w:rPr>
      </w:pPr>
      <w:r w:rsidRPr="00281602">
        <w:rPr>
          <w:sz w:val="22"/>
          <w:szCs w:val="22"/>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1. Бариев Р.Р., Попок Л.Е. Методики оценки стоимости бизнеса в Интернете </w:t>
      </w:r>
      <w:r w:rsidRPr="00281602">
        <w:rPr>
          <w:bCs/>
          <w:sz w:val="22"/>
          <w:szCs w:val="20"/>
        </w:rPr>
        <w:t xml:space="preserve">[Текст] / Р.Р. Бариев, Л.Е. Попок </w:t>
      </w:r>
      <w:r w:rsidRPr="00281602">
        <w:rPr>
          <w:rFonts w:eastAsia="Calibri"/>
          <w:sz w:val="22"/>
          <w:szCs w:val="22"/>
          <w:lang w:eastAsia="en-US"/>
        </w:rPr>
        <w:t>// Современная эк</w:t>
      </w:r>
      <w:r w:rsidRPr="00281602">
        <w:rPr>
          <w:rFonts w:eastAsia="Calibri"/>
          <w:sz w:val="22"/>
          <w:szCs w:val="22"/>
          <w:lang w:eastAsia="en-US"/>
        </w:rPr>
        <w:t>о</w:t>
      </w:r>
      <w:r w:rsidRPr="00281602">
        <w:rPr>
          <w:rFonts w:eastAsia="Calibri"/>
          <w:sz w:val="22"/>
          <w:szCs w:val="22"/>
          <w:lang w:eastAsia="en-US"/>
        </w:rPr>
        <w:t xml:space="preserve">номика: проблемы и решения. </w:t>
      </w:r>
      <w:r w:rsidRPr="00281602">
        <w:rPr>
          <w:bCs/>
          <w:sz w:val="22"/>
          <w:szCs w:val="20"/>
        </w:rPr>
        <w:t xml:space="preserve">– </w:t>
      </w:r>
      <w:r w:rsidRPr="00281602">
        <w:rPr>
          <w:rFonts w:eastAsia="Calibri"/>
          <w:sz w:val="22"/>
          <w:szCs w:val="22"/>
          <w:lang w:eastAsia="en-US"/>
        </w:rPr>
        <w:t>2013</w:t>
      </w:r>
      <w:r w:rsidRPr="00281602">
        <w:rPr>
          <w:bCs/>
          <w:sz w:val="22"/>
          <w:szCs w:val="20"/>
        </w:rPr>
        <w:t xml:space="preserve">. – </w:t>
      </w:r>
      <w:r w:rsidRPr="00281602">
        <w:rPr>
          <w:rFonts w:eastAsia="Calibri"/>
          <w:sz w:val="22"/>
          <w:szCs w:val="22"/>
          <w:lang w:eastAsia="en-US"/>
        </w:rPr>
        <w:t xml:space="preserve"> № 11(47). </w:t>
      </w:r>
      <w:r w:rsidRPr="00281602">
        <w:rPr>
          <w:bCs/>
          <w:sz w:val="22"/>
          <w:szCs w:val="20"/>
        </w:rPr>
        <w:t>– С</w:t>
      </w:r>
      <w:r w:rsidRPr="00281602">
        <w:rPr>
          <w:rFonts w:eastAsia="Calibri"/>
          <w:sz w:val="22"/>
          <w:szCs w:val="22"/>
          <w:lang w:eastAsia="en-US"/>
        </w:rPr>
        <w:t>. 150-156.</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Попок Л.Е., Сивидов И.Г. Использование потенциала совр</w:t>
      </w:r>
      <w:r w:rsidRPr="00281602">
        <w:rPr>
          <w:rFonts w:eastAsia="Calibri"/>
          <w:sz w:val="22"/>
          <w:szCs w:val="22"/>
          <w:lang w:eastAsia="en-US"/>
        </w:rPr>
        <w:t>е</w:t>
      </w:r>
      <w:r w:rsidRPr="00281602">
        <w:rPr>
          <w:rFonts w:eastAsia="Calibri"/>
          <w:sz w:val="22"/>
          <w:szCs w:val="22"/>
          <w:lang w:eastAsia="en-US"/>
        </w:rPr>
        <w:t>менных интернет-технологий в российской экономике [Текст] / Л.Е. Попок, И.Г. Сивидов // Научно-практический журнал «Современная экономика: проблемы и решения». Воронеж: Воронежский госуда</w:t>
      </w:r>
      <w:r w:rsidRPr="00281602">
        <w:rPr>
          <w:rFonts w:eastAsia="Calibri"/>
          <w:sz w:val="22"/>
          <w:szCs w:val="22"/>
          <w:lang w:eastAsia="en-US"/>
        </w:rPr>
        <w:t>р</w:t>
      </w:r>
      <w:r w:rsidRPr="00281602">
        <w:rPr>
          <w:rFonts w:eastAsia="Calibri"/>
          <w:sz w:val="22"/>
          <w:szCs w:val="22"/>
          <w:lang w:eastAsia="en-US"/>
        </w:rPr>
        <w:t>ственный университет. − 2013. −  № 7. − С. 122-127.</w:t>
      </w:r>
    </w:p>
    <w:p w:rsidR="00281602" w:rsidRPr="00281602" w:rsidRDefault="00281602" w:rsidP="00281602">
      <w:pPr>
        <w:ind w:firstLine="425"/>
        <w:jc w:val="both"/>
        <w:rPr>
          <w:rFonts w:eastAsia="Calibri"/>
          <w:b/>
          <w:bCs/>
          <w:sz w:val="22"/>
          <w:szCs w:val="22"/>
          <w:lang w:eastAsia="en-US"/>
        </w:rPr>
      </w:pPr>
    </w:p>
    <w:p w:rsidR="003B37B7" w:rsidRDefault="003B37B7" w:rsidP="000C4264">
      <w:pPr>
        <w:rPr>
          <w:rFonts w:eastAsia="Calibri"/>
          <w:sz w:val="22"/>
          <w:szCs w:val="22"/>
          <w:lang w:eastAsia="en-US"/>
        </w:rPr>
      </w:pPr>
    </w:p>
    <w:p w:rsidR="00CC1F5C" w:rsidRPr="00281602" w:rsidRDefault="00CC1F5C" w:rsidP="000C4264">
      <w:pPr>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004.415.25: 004.75</w:t>
      </w:r>
    </w:p>
    <w:p w:rsidR="00281602" w:rsidRPr="00281602" w:rsidRDefault="00281602" w:rsidP="00281602">
      <w:pPr>
        <w:ind w:firstLine="425"/>
        <w:jc w:val="both"/>
        <w:rPr>
          <w:rFonts w:eastAsia="Calibri"/>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Технология разработки браузерного расширения </w:t>
      </w:r>
      <w:r w:rsidR="003B37B7">
        <w:rPr>
          <w:rFonts w:eastAsia="Calibri"/>
          <w:b/>
          <w:sz w:val="24"/>
          <w:szCs w:val="24"/>
          <w:lang w:eastAsia="en-US"/>
        </w:rPr>
        <w:br/>
      </w:r>
      <w:r w:rsidRPr="00281602">
        <w:rPr>
          <w:rFonts w:eastAsia="Calibri"/>
          <w:b/>
          <w:sz w:val="24"/>
          <w:szCs w:val="24"/>
          <w:lang w:eastAsia="en-US"/>
        </w:rPr>
        <w:t>для борьбы со скрытым майнингом криптовалют</w:t>
      </w:r>
    </w:p>
    <w:p w:rsidR="00281602" w:rsidRPr="001755C3" w:rsidRDefault="00281602" w:rsidP="00281602">
      <w:pPr>
        <w:jc w:val="center"/>
        <w:rPr>
          <w:rFonts w:eastAsia="Calibri"/>
          <w:b/>
          <w:sz w:val="24"/>
          <w:szCs w:val="24"/>
          <w:lang w:val="en-US" w:eastAsia="en-US"/>
        </w:rPr>
      </w:pPr>
      <w:r w:rsidRPr="00281602">
        <w:rPr>
          <w:rFonts w:eastAsia="Calibri"/>
          <w:b/>
          <w:sz w:val="24"/>
          <w:szCs w:val="24"/>
          <w:lang w:val="en-US" w:eastAsia="en-US"/>
        </w:rPr>
        <w:t>Technology</w:t>
      </w:r>
      <w:r w:rsidRPr="001755C3">
        <w:rPr>
          <w:rFonts w:eastAsia="Calibri"/>
          <w:b/>
          <w:sz w:val="24"/>
          <w:szCs w:val="24"/>
          <w:lang w:val="en-US" w:eastAsia="en-US"/>
        </w:rPr>
        <w:t xml:space="preserve"> </w:t>
      </w:r>
      <w:r w:rsidRPr="00281602">
        <w:rPr>
          <w:rFonts w:eastAsia="Calibri"/>
          <w:b/>
          <w:sz w:val="24"/>
          <w:szCs w:val="24"/>
          <w:lang w:val="en-US" w:eastAsia="en-US"/>
        </w:rPr>
        <w:t>of</w:t>
      </w:r>
      <w:r w:rsidRPr="001755C3">
        <w:rPr>
          <w:rFonts w:eastAsia="Calibri"/>
          <w:b/>
          <w:sz w:val="24"/>
          <w:szCs w:val="24"/>
          <w:lang w:val="en-US" w:eastAsia="en-US"/>
        </w:rPr>
        <w:t xml:space="preserve"> </w:t>
      </w:r>
      <w:r w:rsidRPr="00281602">
        <w:rPr>
          <w:rFonts w:eastAsia="Calibri"/>
          <w:b/>
          <w:sz w:val="24"/>
          <w:szCs w:val="24"/>
          <w:lang w:val="en-US" w:eastAsia="en-US"/>
        </w:rPr>
        <w:t>the</w:t>
      </w:r>
      <w:r w:rsidRPr="001755C3">
        <w:rPr>
          <w:rFonts w:eastAsia="Calibri"/>
          <w:b/>
          <w:sz w:val="24"/>
          <w:szCs w:val="24"/>
          <w:lang w:val="en-US" w:eastAsia="en-US"/>
        </w:rPr>
        <w:t xml:space="preserve"> </w:t>
      </w:r>
      <w:r w:rsidRPr="00281602">
        <w:rPr>
          <w:rFonts w:eastAsia="Calibri"/>
          <w:b/>
          <w:sz w:val="24"/>
          <w:szCs w:val="24"/>
          <w:lang w:val="en-US" w:eastAsia="en-US"/>
        </w:rPr>
        <w:t>development</w:t>
      </w:r>
      <w:r w:rsidRPr="001755C3">
        <w:rPr>
          <w:rFonts w:eastAsia="Calibri"/>
          <w:b/>
          <w:sz w:val="24"/>
          <w:szCs w:val="24"/>
          <w:lang w:val="en-US" w:eastAsia="en-US"/>
        </w:rPr>
        <w:t xml:space="preserve"> </w:t>
      </w:r>
      <w:r w:rsidRPr="00281602">
        <w:rPr>
          <w:rFonts w:eastAsia="Calibri"/>
          <w:b/>
          <w:sz w:val="24"/>
          <w:szCs w:val="24"/>
          <w:lang w:val="en-US" w:eastAsia="en-US"/>
        </w:rPr>
        <w:t>of</w:t>
      </w:r>
      <w:r w:rsidRPr="001755C3">
        <w:rPr>
          <w:rFonts w:eastAsia="Calibri"/>
          <w:b/>
          <w:sz w:val="24"/>
          <w:szCs w:val="24"/>
          <w:lang w:val="en-US" w:eastAsia="en-US"/>
        </w:rPr>
        <w:t xml:space="preserve"> </w:t>
      </w:r>
      <w:r w:rsidRPr="00281602">
        <w:rPr>
          <w:rFonts w:eastAsia="Calibri"/>
          <w:b/>
          <w:sz w:val="24"/>
          <w:szCs w:val="24"/>
          <w:lang w:val="en-US" w:eastAsia="en-US"/>
        </w:rPr>
        <w:t>browser</w:t>
      </w:r>
      <w:r w:rsidRPr="001755C3">
        <w:rPr>
          <w:rFonts w:eastAsia="Calibri"/>
          <w:b/>
          <w:sz w:val="24"/>
          <w:szCs w:val="24"/>
          <w:lang w:val="en-US" w:eastAsia="en-US"/>
        </w:rPr>
        <w:t xml:space="preserve"> </w:t>
      </w:r>
      <w:r w:rsidRPr="00281602">
        <w:rPr>
          <w:rFonts w:eastAsia="Calibri"/>
          <w:b/>
          <w:sz w:val="24"/>
          <w:szCs w:val="24"/>
          <w:lang w:val="en-US" w:eastAsia="en-US"/>
        </w:rPr>
        <w:t>extension</w:t>
      </w:r>
      <w:r w:rsidRPr="001755C3">
        <w:rPr>
          <w:rFonts w:eastAsia="Calibri"/>
          <w:b/>
          <w:sz w:val="24"/>
          <w:szCs w:val="24"/>
          <w:lang w:val="en-US" w:eastAsia="en-US"/>
        </w:rPr>
        <w:t xml:space="preserve"> </w:t>
      </w:r>
      <w:r w:rsidRPr="00281602">
        <w:rPr>
          <w:rFonts w:eastAsia="Calibri"/>
          <w:b/>
          <w:sz w:val="24"/>
          <w:szCs w:val="24"/>
          <w:lang w:val="en-US" w:eastAsia="en-US"/>
        </w:rPr>
        <w:t>for</w:t>
      </w:r>
      <w:r w:rsidRPr="001755C3">
        <w:rPr>
          <w:rFonts w:eastAsia="Calibri"/>
          <w:b/>
          <w:sz w:val="24"/>
          <w:szCs w:val="24"/>
          <w:lang w:val="en-US" w:eastAsia="en-US"/>
        </w:rPr>
        <w:t xml:space="preserve"> </w:t>
      </w:r>
      <w:r w:rsidRPr="00281602">
        <w:rPr>
          <w:rFonts w:eastAsia="Calibri"/>
          <w:b/>
          <w:sz w:val="24"/>
          <w:szCs w:val="24"/>
          <w:lang w:val="en-US" w:eastAsia="en-US"/>
        </w:rPr>
        <w:t>the</w:t>
      </w:r>
      <w:r w:rsidRPr="001755C3">
        <w:rPr>
          <w:rFonts w:eastAsia="Calibri"/>
          <w:b/>
          <w:sz w:val="24"/>
          <w:szCs w:val="24"/>
          <w:lang w:val="en-US" w:eastAsia="en-US"/>
        </w:rPr>
        <w:t xml:space="preserve"> </w:t>
      </w:r>
      <w:r w:rsidRPr="00281602">
        <w:rPr>
          <w:rFonts w:eastAsia="Calibri"/>
          <w:b/>
          <w:sz w:val="24"/>
          <w:szCs w:val="24"/>
          <w:lang w:val="en-US" w:eastAsia="en-US"/>
        </w:rPr>
        <w:t>control</w:t>
      </w:r>
      <w:r w:rsidRPr="001755C3">
        <w:rPr>
          <w:rFonts w:eastAsia="Calibri"/>
          <w:b/>
          <w:sz w:val="24"/>
          <w:szCs w:val="24"/>
          <w:lang w:val="en-US" w:eastAsia="en-US"/>
        </w:rPr>
        <w:t xml:space="preserve"> </w:t>
      </w:r>
      <w:r w:rsidRPr="00281602">
        <w:rPr>
          <w:rFonts w:eastAsia="Calibri"/>
          <w:b/>
          <w:sz w:val="24"/>
          <w:szCs w:val="24"/>
          <w:lang w:val="en-US" w:eastAsia="en-US"/>
        </w:rPr>
        <w:t>of</w:t>
      </w:r>
      <w:r w:rsidRPr="001755C3">
        <w:rPr>
          <w:rFonts w:eastAsia="Calibri"/>
          <w:b/>
          <w:sz w:val="24"/>
          <w:szCs w:val="24"/>
          <w:lang w:val="en-US" w:eastAsia="en-US"/>
        </w:rPr>
        <w:t xml:space="preserve"> </w:t>
      </w:r>
      <w:r w:rsidRPr="00281602">
        <w:rPr>
          <w:rFonts w:eastAsia="Calibri"/>
          <w:b/>
          <w:sz w:val="24"/>
          <w:szCs w:val="24"/>
          <w:lang w:val="en-US" w:eastAsia="en-US"/>
        </w:rPr>
        <w:t>hidden</w:t>
      </w:r>
      <w:r w:rsidRPr="001755C3">
        <w:rPr>
          <w:rFonts w:eastAsia="Calibri"/>
          <w:b/>
          <w:sz w:val="24"/>
          <w:szCs w:val="24"/>
          <w:lang w:val="en-US" w:eastAsia="en-US"/>
        </w:rPr>
        <w:t xml:space="preserve"> </w:t>
      </w:r>
      <w:r w:rsidRPr="00281602">
        <w:rPr>
          <w:rFonts w:eastAsia="Calibri"/>
          <w:b/>
          <w:sz w:val="24"/>
          <w:szCs w:val="24"/>
          <w:lang w:val="en-US" w:eastAsia="en-US"/>
        </w:rPr>
        <w:t>mining</w:t>
      </w:r>
      <w:r w:rsidRPr="001755C3">
        <w:rPr>
          <w:rFonts w:eastAsia="Calibri"/>
          <w:b/>
          <w:sz w:val="24"/>
          <w:szCs w:val="24"/>
          <w:lang w:val="en-US" w:eastAsia="en-US"/>
        </w:rPr>
        <w:t xml:space="preserve"> </w:t>
      </w:r>
      <w:r w:rsidRPr="00281602">
        <w:rPr>
          <w:rFonts w:eastAsia="Calibri"/>
          <w:b/>
          <w:sz w:val="24"/>
          <w:szCs w:val="24"/>
          <w:lang w:val="en-US" w:eastAsia="en-US"/>
        </w:rPr>
        <w:t>of</w:t>
      </w:r>
      <w:r w:rsidRPr="001755C3">
        <w:rPr>
          <w:rFonts w:eastAsia="Calibri"/>
          <w:b/>
          <w:sz w:val="24"/>
          <w:szCs w:val="24"/>
          <w:lang w:val="en-US" w:eastAsia="en-US"/>
        </w:rPr>
        <w:t xml:space="preserve"> </w:t>
      </w:r>
      <w:r w:rsidRPr="00281602">
        <w:rPr>
          <w:rFonts w:eastAsia="Calibri"/>
          <w:b/>
          <w:sz w:val="24"/>
          <w:szCs w:val="24"/>
          <w:lang w:val="en-US" w:eastAsia="en-US"/>
        </w:rPr>
        <w:t>the</w:t>
      </w:r>
      <w:r w:rsidRPr="001755C3">
        <w:rPr>
          <w:rFonts w:eastAsia="Calibri"/>
          <w:b/>
          <w:sz w:val="24"/>
          <w:szCs w:val="24"/>
          <w:lang w:val="en-US" w:eastAsia="en-US"/>
        </w:rPr>
        <w:t xml:space="preserve"> </w:t>
      </w:r>
      <w:r w:rsidRPr="00281602">
        <w:rPr>
          <w:rFonts w:eastAsia="Calibri"/>
          <w:b/>
          <w:sz w:val="24"/>
          <w:szCs w:val="24"/>
          <w:lang w:val="en-US" w:eastAsia="en-US"/>
        </w:rPr>
        <w:t>cryptocurrency</w:t>
      </w:r>
    </w:p>
    <w:p w:rsidR="00281602" w:rsidRPr="001755C3" w:rsidRDefault="00281602" w:rsidP="00281602">
      <w:pPr>
        <w:ind w:firstLine="425"/>
        <w:jc w:val="both"/>
        <w:rPr>
          <w:rFonts w:eastAsia="Calibri"/>
          <w:b/>
          <w:sz w:val="24"/>
          <w:szCs w:val="24"/>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Зубко А. А.,</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 4-курса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Кубанский госу</w:t>
      </w:r>
      <w:r w:rsidR="003B37B7">
        <w:rPr>
          <w:rFonts w:eastAsia="Courier New"/>
          <w:color w:val="000000"/>
          <w:sz w:val="22"/>
          <w:szCs w:val="22"/>
          <w:lang w:eastAsia="en-US"/>
        </w:rPr>
        <w:t>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right"/>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АННОТАЦИЯ: Современный интернет позволяет зарабатывать криптовалюту на обычных пользователях. При этом потребление </w:t>
      </w:r>
      <w:r w:rsidRPr="00281602">
        <w:rPr>
          <w:rFonts w:eastAsia="Calibri"/>
          <w:sz w:val="22"/>
          <w:szCs w:val="22"/>
          <w:lang w:eastAsia="en-US"/>
        </w:rPr>
        <w:lastRenderedPageBreak/>
        <w:t>вычислительных ресурсов увеличивается без ведома их собстве</w:t>
      </w:r>
      <w:r w:rsidRPr="00281602">
        <w:rPr>
          <w:rFonts w:eastAsia="Calibri"/>
          <w:sz w:val="22"/>
          <w:szCs w:val="22"/>
          <w:lang w:eastAsia="en-US"/>
        </w:rPr>
        <w:t>н</w:t>
      </w:r>
      <w:r w:rsidRPr="00281602">
        <w:rPr>
          <w:rFonts w:eastAsia="Calibri"/>
          <w:sz w:val="22"/>
          <w:szCs w:val="22"/>
          <w:lang w:eastAsia="en-US"/>
        </w:rPr>
        <w:t>ника в несколько раз.</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Modern Internet allows you to earn crypto currency on ordinary users. At the same time, the consumption of computational resources is increased several times without the knowledge of their ow</w:t>
      </w:r>
      <w:r w:rsidRPr="00281602">
        <w:rPr>
          <w:rFonts w:eastAsia="Calibri"/>
          <w:sz w:val="22"/>
          <w:szCs w:val="22"/>
          <w:lang w:val="en-US" w:eastAsia="en-US"/>
        </w:rPr>
        <w:t>n</w:t>
      </w:r>
      <w:r w:rsidRPr="00281602">
        <w:rPr>
          <w:rFonts w:eastAsia="Calibri"/>
          <w:sz w:val="22"/>
          <w:szCs w:val="22"/>
          <w:lang w:val="en-US" w:eastAsia="en-US"/>
        </w:rPr>
        <w:t>er.</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майнинг, криптовалюта, браузер, ра</w:t>
      </w:r>
      <w:r w:rsidRPr="00281602">
        <w:rPr>
          <w:rFonts w:eastAsia="Calibri"/>
          <w:sz w:val="22"/>
          <w:szCs w:val="22"/>
          <w:lang w:eastAsia="en-US"/>
        </w:rPr>
        <w:t>с</w:t>
      </w:r>
      <w:r w:rsidRPr="00281602">
        <w:rPr>
          <w:rFonts w:eastAsia="Calibri"/>
          <w:sz w:val="22"/>
          <w:szCs w:val="22"/>
          <w:lang w:eastAsia="en-US"/>
        </w:rPr>
        <w:t>ширение браузера, защита ресурсов</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mining, crypto currency, browser, browser exte</w:t>
      </w:r>
      <w:r w:rsidRPr="00281602">
        <w:rPr>
          <w:rFonts w:eastAsia="Calibri"/>
          <w:sz w:val="22"/>
          <w:szCs w:val="22"/>
          <w:lang w:val="en-US" w:eastAsia="en-US"/>
        </w:rPr>
        <w:t>n</w:t>
      </w:r>
      <w:r w:rsidRPr="00281602">
        <w:rPr>
          <w:rFonts w:eastAsia="Calibri"/>
          <w:sz w:val="22"/>
          <w:szCs w:val="22"/>
          <w:lang w:val="en-US" w:eastAsia="en-US"/>
        </w:rPr>
        <w:t>sion, resource protection</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Большие данные привнесли в современный мир абсолютно н</w:t>
      </w:r>
      <w:r w:rsidRPr="00281602">
        <w:rPr>
          <w:rFonts w:eastAsia="Calibri"/>
          <w:sz w:val="22"/>
          <w:szCs w:val="22"/>
          <w:lang w:eastAsia="en-US"/>
        </w:rPr>
        <w:t>о</w:t>
      </w:r>
      <w:r w:rsidRPr="00281602">
        <w:rPr>
          <w:rFonts w:eastAsia="Calibri"/>
          <w:sz w:val="22"/>
          <w:szCs w:val="22"/>
          <w:lang w:eastAsia="en-US"/>
        </w:rPr>
        <w:t>вые возможности обработки данных. Криптовалюта и переоценка существующих информационных активов – следствие развития технологий больших данных [2]. Однако есть и другая сторона м</w:t>
      </w:r>
      <w:r w:rsidRPr="00281602">
        <w:rPr>
          <w:rFonts w:eastAsia="Calibri"/>
          <w:sz w:val="22"/>
          <w:szCs w:val="22"/>
          <w:lang w:eastAsia="en-US"/>
        </w:rPr>
        <w:t>е</w:t>
      </w:r>
      <w:r w:rsidRPr="00281602">
        <w:rPr>
          <w:rFonts w:eastAsia="Calibri"/>
          <w:sz w:val="22"/>
          <w:szCs w:val="22"/>
          <w:lang w:eastAsia="en-US"/>
        </w:rPr>
        <w:t>дали – веб-майнинг, который приводит к избыточной нагрузке на вычислительные мощности интернет-пользователей. Порой даже без их ведома.</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Одним из перспективных способов борьбы с незаконным ве</w:t>
      </w:r>
      <w:r w:rsidRPr="00281602">
        <w:rPr>
          <w:rFonts w:eastAsia="Calibri"/>
          <w:sz w:val="22"/>
          <w:szCs w:val="22"/>
          <w:lang w:eastAsia="en-US"/>
        </w:rPr>
        <w:t>б</w:t>
      </w:r>
      <w:r w:rsidRPr="00281602">
        <w:rPr>
          <w:rFonts w:eastAsia="Calibri"/>
          <w:sz w:val="22"/>
          <w:szCs w:val="22"/>
          <w:lang w:eastAsia="en-US"/>
        </w:rPr>
        <w:t>майнингом является установка специализированного браузерного расширения, которое призвано защитить пользователей от скрытого веб-майнинга. Расширения в представляют собой небольшие пр</w:t>
      </w:r>
      <w:r w:rsidRPr="00281602">
        <w:rPr>
          <w:rFonts w:eastAsia="Calibri"/>
          <w:sz w:val="22"/>
          <w:szCs w:val="22"/>
          <w:lang w:eastAsia="en-US"/>
        </w:rPr>
        <w:t>о</w:t>
      </w:r>
      <w:r w:rsidRPr="00281602">
        <w:rPr>
          <w:rFonts w:eastAsia="Calibri"/>
          <w:sz w:val="22"/>
          <w:szCs w:val="22"/>
          <w:lang w:eastAsia="en-US"/>
        </w:rPr>
        <w:t>граммы, которые совершенствуют и увеличивают его функци</w:t>
      </w:r>
      <w:r w:rsidRPr="00281602">
        <w:rPr>
          <w:rFonts w:eastAsia="Calibri"/>
          <w:sz w:val="22"/>
          <w:szCs w:val="22"/>
          <w:lang w:eastAsia="en-US"/>
        </w:rPr>
        <w:t>о</w:t>
      </w:r>
      <w:r w:rsidRPr="00281602">
        <w:rPr>
          <w:rFonts w:eastAsia="Calibri"/>
          <w:sz w:val="22"/>
          <w:szCs w:val="22"/>
          <w:lang w:eastAsia="en-US"/>
        </w:rPr>
        <w:t>нальность. Расширения можно создавать с помощью языков HTML, JavaScript и CSS. Они практически не имеют собственного польз</w:t>
      </w:r>
      <w:r w:rsidRPr="00281602">
        <w:rPr>
          <w:rFonts w:eastAsia="Calibri"/>
          <w:sz w:val="22"/>
          <w:szCs w:val="22"/>
          <w:lang w:eastAsia="en-US"/>
        </w:rPr>
        <w:t>о</w:t>
      </w:r>
      <w:r w:rsidRPr="00281602">
        <w:rPr>
          <w:rFonts w:eastAsia="Calibri"/>
          <w:sz w:val="22"/>
          <w:szCs w:val="22"/>
          <w:lang w:eastAsia="en-US"/>
        </w:rPr>
        <w:t>вательского интерфейса. Исходные файлы расширения упаковыв</w:t>
      </w:r>
      <w:r w:rsidRPr="00281602">
        <w:rPr>
          <w:rFonts w:eastAsia="Calibri"/>
          <w:sz w:val="22"/>
          <w:szCs w:val="22"/>
          <w:lang w:eastAsia="en-US"/>
        </w:rPr>
        <w:t>а</w:t>
      </w:r>
      <w:r w:rsidRPr="00281602">
        <w:rPr>
          <w:rFonts w:eastAsia="Calibri"/>
          <w:sz w:val="22"/>
          <w:szCs w:val="22"/>
          <w:lang w:eastAsia="en-US"/>
        </w:rPr>
        <w:t>ются в один, который затем скачивает и устанавливает конечный пользователь. Это означает, что в отличие от обычных веб-приложений расширения могут работать без соединения с интерн</w:t>
      </w:r>
      <w:r w:rsidRPr="00281602">
        <w:rPr>
          <w:rFonts w:eastAsia="Calibri"/>
          <w:sz w:val="22"/>
          <w:szCs w:val="22"/>
          <w:lang w:eastAsia="en-US"/>
        </w:rPr>
        <w:t>е</w:t>
      </w:r>
      <w:r w:rsidRPr="00281602">
        <w:rPr>
          <w:rFonts w:eastAsia="Calibri"/>
          <w:sz w:val="22"/>
          <w:szCs w:val="22"/>
          <w:lang w:eastAsia="en-US"/>
        </w:rPr>
        <w:t>том. По существу, расширения представляют собой веб-страницы. В связи с этим, они могут использовать все программные интерфе</w:t>
      </w:r>
      <w:r w:rsidRPr="00281602">
        <w:rPr>
          <w:rFonts w:eastAsia="Calibri"/>
          <w:sz w:val="22"/>
          <w:szCs w:val="22"/>
          <w:lang w:eastAsia="en-US"/>
        </w:rPr>
        <w:t>й</w:t>
      </w:r>
      <w:r w:rsidRPr="00281602">
        <w:rPr>
          <w:rFonts w:eastAsia="Calibri"/>
          <w:sz w:val="22"/>
          <w:szCs w:val="22"/>
          <w:lang w:eastAsia="en-US"/>
        </w:rPr>
        <w:t>сы, называемые API, которые браузер представляет для веб-страниц. Расширения могут взаимодействовать с веб-страницами или серверами, используя скрипты.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Для решения задачи защиты пользователя от скрытого веб-майнинга, нами был выбран скриптовый тип расширения, так как оно должно уведомлять пользователя о том, что на посещаемой странице был обнаружен веб-майнинг.</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lastRenderedPageBreak/>
        <w:t xml:space="preserve"> Использование майнинга на веб-сайтах подразумевает испол</w:t>
      </w:r>
      <w:r w:rsidRPr="00281602">
        <w:rPr>
          <w:rFonts w:eastAsia="Calibri"/>
          <w:sz w:val="22"/>
          <w:szCs w:val="22"/>
          <w:lang w:eastAsia="en-US"/>
        </w:rPr>
        <w:t>ь</w:t>
      </w:r>
      <w:r w:rsidRPr="00281602">
        <w:rPr>
          <w:rFonts w:eastAsia="Calibri"/>
          <w:sz w:val="22"/>
          <w:szCs w:val="22"/>
          <w:lang w:eastAsia="en-US"/>
        </w:rPr>
        <w:t>зование специализированных сервисов, которые конвертируют нагрузку на компьютеры в криптовалюту. Владельцу сайта нужно получить специальный идентификатор доступа к сервису и после этого компьютеры посетителей сайта будут с помощью этих иде</w:t>
      </w:r>
      <w:r w:rsidRPr="00281602">
        <w:rPr>
          <w:rFonts w:eastAsia="Calibri"/>
          <w:sz w:val="22"/>
          <w:szCs w:val="22"/>
          <w:lang w:eastAsia="en-US"/>
        </w:rPr>
        <w:t>н</w:t>
      </w:r>
      <w:r w:rsidRPr="00281602">
        <w:rPr>
          <w:rFonts w:eastAsia="Calibri"/>
          <w:sz w:val="22"/>
          <w:szCs w:val="22"/>
          <w:lang w:eastAsia="en-US"/>
        </w:rPr>
        <w:t>тификаторов подключаться к сервису, который нагружает це</w:t>
      </w:r>
      <w:r w:rsidRPr="00281602">
        <w:rPr>
          <w:rFonts w:eastAsia="Calibri"/>
          <w:sz w:val="22"/>
          <w:szCs w:val="22"/>
          <w:lang w:eastAsia="en-US"/>
        </w:rPr>
        <w:t>н</w:t>
      </w:r>
      <w:r w:rsidRPr="00281602">
        <w:rPr>
          <w:rFonts w:eastAsia="Calibri"/>
          <w:sz w:val="22"/>
          <w:szCs w:val="22"/>
          <w:lang w:eastAsia="en-US"/>
        </w:rPr>
        <w:t>тральный процессор. Одним из таких сервисов является CoinHive, который платит криптовалютуMonero. После получения идентиф</w:t>
      </w:r>
      <w:r w:rsidRPr="00281602">
        <w:rPr>
          <w:rFonts w:eastAsia="Calibri"/>
          <w:sz w:val="22"/>
          <w:szCs w:val="22"/>
          <w:lang w:eastAsia="en-US"/>
        </w:rPr>
        <w:t>и</w:t>
      </w:r>
      <w:r w:rsidRPr="00281602">
        <w:rPr>
          <w:rFonts w:eastAsia="Calibri"/>
          <w:sz w:val="22"/>
          <w:szCs w:val="22"/>
          <w:lang w:eastAsia="en-US"/>
        </w:rPr>
        <w:t>катора достаточно добавить в исходный код сайта анонимное по</w:t>
      </w:r>
      <w:r w:rsidRPr="00281602">
        <w:rPr>
          <w:rFonts w:eastAsia="Calibri"/>
          <w:sz w:val="22"/>
          <w:szCs w:val="22"/>
          <w:lang w:eastAsia="en-US"/>
        </w:rPr>
        <w:t>д</w:t>
      </w:r>
      <w:r w:rsidRPr="00281602">
        <w:rPr>
          <w:rFonts w:eastAsia="Calibri"/>
          <w:sz w:val="22"/>
          <w:szCs w:val="22"/>
          <w:lang w:eastAsia="en-US"/>
        </w:rPr>
        <w:t>ключение к сервису по этому идентификатору. Тогда компьютер получит инструкции по выполнению вычислений и будет отпра</w:t>
      </w:r>
      <w:r w:rsidRPr="00281602">
        <w:rPr>
          <w:rFonts w:eastAsia="Calibri"/>
          <w:sz w:val="22"/>
          <w:szCs w:val="22"/>
          <w:lang w:eastAsia="en-US"/>
        </w:rPr>
        <w:t>в</w:t>
      </w:r>
      <w:r w:rsidRPr="00281602">
        <w:rPr>
          <w:rFonts w:eastAsia="Calibri"/>
          <w:sz w:val="22"/>
          <w:szCs w:val="22"/>
          <w:lang w:eastAsia="en-US"/>
        </w:rPr>
        <w:t>лять их результаты в CoinHive.</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Разработанное нами расширение анализирует исходный код страницы и вычисляет участки, которые посылают запросы на се</w:t>
      </w:r>
      <w:r w:rsidRPr="00281602">
        <w:rPr>
          <w:rFonts w:eastAsia="Calibri"/>
          <w:sz w:val="22"/>
          <w:szCs w:val="22"/>
          <w:lang w:eastAsia="en-US"/>
        </w:rPr>
        <w:t>р</w:t>
      </w:r>
      <w:r w:rsidRPr="00281602">
        <w:rPr>
          <w:rFonts w:eastAsia="Calibri"/>
          <w:sz w:val="22"/>
          <w:szCs w:val="22"/>
          <w:lang w:eastAsia="en-US"/>
        </w:rPr>
        <w:t>висы, подобные CoinHive. Список таких сервисов расположен в о</w:t>
      </w:r>
      <w:r w:rsidRPr="00281602">
        <w:rPr>
          <w:rFonts w:eastAsia="Calibri"/>
          <w:sz w:val="22"/>
          <w:szCs w:val="22"/>
          <w:lang w:eastAsia="en-US"/>
        </w:rPr>
        <w:t>б</w:t>
      </w:r>
      <w:r w:rsidRPr="00281602">
        <w:rPr>
          <w:rFonts w:eastAsia="Calibri"/>
          <w:sz w:val="22"/>
          <w:szCs w:val="22"/>
          <w:lang w:eastAsia="en-US"/>
        </w:rPr>
        <w:t>лачном хранилище, чтобы обеспечить его своевременное обновл</w:t>
      </w:r>
      <w:r w:rsidRPr="00281602">
        <w:rPr>
          <w:rFonts w:eastAsia="Calibri"/>
          <w:sz w:val="22"/>
          <w:szCs w:val="22"/>
          <w:lang w:eastAsia="en-US"/>
        </w:rPr>
        <w:t>е</w:t>
      </w:r>
      <w:r w:rsidRPr="00281602">
        <w:rPr>
          <w:rFonts w:eastAsia="Calibri"/>
          <w:sz w:val="22"/>
          <w:szCs w:val="22"/>
          <w:lang w:eastAsia="en-US"/>
        </w:rPr>
        <w:t>ние в случае обнаружения новых угроз. Именно с ними расширение сравнивает сигнатуры, выявленные при анализе кода страниц,  и при их совпадении отображать всплывающее окно, уведомляющее пользователя о веб-майнинге на просматриваемой странице.</w:t>
      </w:r>
    </w:p>
    <w:p w:rsidR="00281602" w:rsidRPr="00281602" w:rsidRDefault="00281602" w:rsidP="00281602">
      <w:pPr>
        <w:ind w:firstLine="425"/>
        <w:jc w:val="both"/>
        <w:rPr>
          <w:sz w:val="22"/>
          <w:szCs w:val="22"/>
        </w:rPr>
      </w:pPr>
    </w:p>
    <w:p w:rsidR="00281602" w:rsidRPr="00281602" w:rsidRDefault="00281602" w:rsidP="00281602">
      <w:pPr>
        <w:ind w:firstLine="425"/>
        <w:jc w:val="center"/>
        <w:rPr>
          <w:sz w:val="22"/>
          <w:szCs w:val="22"/>
        </w:rPr>
      </w:pPr>
      <w:r w:rsidRPr="00281602">
        <w:rPr>
          <w:sz w:val="22"/>
          <w:szCs w:val="22"/>
        </w:rPr>
        <w:t>Список литературы</w:t>
      </w:r>
    </w:p>
    <w:p w:rsidR="00281602" w:rsidRPr="00281602" w:rsidRDefault="003B37B7" w:rsidP="00281602">
      <w:pPr>
        <w:ind w:firstLine="425"/>
        <w:jc w:val="both"/>
        <w:rPr>
          <w:bCs/>
          <w:sz w:val="22"/>
          <w:szCs w:val="22"/>
        </w:rPr>
      </w:pPr>
      <w:r>
        <w:rPr>
          <w:bCs/>
          <w:sz w:val="22"/>
          <w:szCs w:val="22"/>
        </w:rPr>
        <w:t xml:space="preserve">1. </w:t>
      </w:r>
      <w:r w:rsidR="00281602" w:rsidRPr="00281602">
        <w:rPr>
          <w:bCs/>
          <w:sz w:val="22"/>
          <w:szCs w:val="22"/>
        </w:rPr>
        <w:t>Пещеров А. И. Понятие и место криптовалюты в системе д</w:t>
      </w:r>
      <w:r w:rsidR="00281602" w:rsidRPr="00281602">
        <w:rPr>
          <w:bCs/>
          <w:sz w:val="22"/>
          <w:szCs w:val="22"/>
        </w:rPr>
        <w:t>е</w:t>
      </w:r>
      <w:r w:rsidR="00281602" w:rsidRPr="00281602">
        <w:rPr>
          <w:bCs/>
          <w:sz w:val="22"/>
          <w:szCs w:val="22"/>
        </w:rPr>
        <w:t>нежных средств [Текст] / А. И. Пещеров // Юридическая мысль. — 2016. — Т. 95, № 3. — С. 130-138.</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Попок Л.Е. Этап оценки информационных активов в метод</w:t>
      </w:r>
      <w:r w:rsidRPr="00281602">
        <w:rPr>
          <w:rFonts w:eastAsia="Calibri"/>
          <w:sz w:val="22"/>
          <w:szCs w:val="22"/>
          <w:lang w:eastAsia="en-US"/>
        </w:rPr>
        <w:t>о</w:t>
      </w:r>
      <w:r w:rsidRPr="00281602">
        <w:rPr>
          <w:rFonts w:eastAsia="Calibri"/>
          <w:sz w:val="22"/>
          <w:szCs w:val="22"/>
          <w:lang w:eastAsia="en-US"/>
        </w:rPr>
        <w:t xml:space="preserve">логии применения технологий «Больших данных» [Текст] / </w:t>
      </w:r>
      <w:r w:rsidRPr="00281602">
        <w:rPr>
          <w:bCs/>
          <w:sz w:val="22"/>
          <w:szCs w:val="22"/>
        </w:rPr>
        <w:t>Л.Е. Попок // Научное обеспечение агропромышленного комплекса. Сборник статей по материалам 71-й научно-практической конф</w:t>
      </w:r>
      <w:r w:rsidRPr="00281602">
        <w:rPr>
          <w:bCs/>
          <w:sz w:val="22"/>
          <w:szCs w:val="22"/>
        </w:rPr>
        <w:t>е</w:t>
      </w:r>
      <w:r w:rsidRPr="00281602">
        <w:rPr>
          <w:bCs/>
          <w:sz w:val="22"/>
          <w:szCs w:val="22"/>
        </w:rPr>
        <w:t>ренции преподавателей по итогам НИР за 2015 год. – Краснодар: КубГАУ. – 2016. – С. 519-520.</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3. Попок Л.Е. Блокчейн, как базисная технология будущего [Текст] / Л.Е. Попок // </w:t>
      </w:r>
      <w:r w:rsidRPr="00281602">
        <w:rPr>
          <w:rFonts w:eastAsia="Calibri"/>
          <w:bCs/>
          <w:sz w:val="22"/>
          <w:szCs w:val="22"/>
          <w:lang w:eastAsia="en-US"/>
        </w:rPr>
        <w:t xml:space="preserve">Научное обеспечение агропромышленного комплекса. Сборник статей по материалам </w:t>
      </w:r>
      <w:r w:rsidRPr="00281602">
        <w:rPr>
          <w:rFonts w:eastAsia="Calibri"/>
          <w:bCs/>
          <w:sz w:val="22"/>
          <w:szCs w:val="22"/>
          <w:lang w:val="en-US" w:eastAsia="en-US"/>
        </w:rPr>
        <w:t>XI</w:t>
      </w:r>
      <w:r w:rsidRPr="00281602">
        <w:rPr>
          <w:rFonts w:eastAsia="Calibri"/>
          <w:bCs/>
          <w:sz w:val="22"/>
          <w:szCs w:val="22"/>
          <w:lang w:eastAsia="en-US"/>
        </w:rPr>
        <w:t xml:space="preserve"> Всероссийской ко</w:t>
      </w:r>
      <w:r w:rsidRPr="00281602">
        <w:rPr>
          <w:rFonts w:eastAsia="Calibri"/>
          <w:bCs/>
          <w:sz w:val="22"/>
          <w:szCs w:val="22"/>
          <w:lang w:eastAsia="en-US"/>
        </w:rPr>
        <w:t>н</w:t>
      </w:r>
      <w:r w:rsidRPr="00281602">
        <w:rPr>
          <w:rFonts w:eastAsia="Calibri"/>
          <w:bCs/>
          <w:sz w:val="22"/>
          <w:szCs w:val="22"/>
          <w:lang w:eastAsia="en-US"/>
        </w:rPr>
        <w:t>ференции молодых ученых. – Краснодар: КубГАУ. – 2017. – С. 275-276.</w:t>
      </w:r>
    </w:p>
    <w:p w:rsidR="00281602" w:rsidRPr="00281602" w:rsidRDefault="00281602" w:rsidP="00281602">
      <w:pPr>
        <w:ind w:firstLine="425"/>
        <w:jc w:val="both"/>
        <w:rPr>
          <w:rFonts w:eastAsia="Calibri"/>
          <w:sz w:val="22"/>
          <w:szCs w:val="22"/>
          <w:lang w:eastAsia="en-US"/>
        </w:rPr>
      </w:pPr>
    </w:p>
    <w:p w:rsidR="003B37B7" w:rsidRPr="00281602" w:rsidRDefault="003B37B7" w:rsidP="00281602">
      <w:pPr>
        <w:ind w:firstLine="425"/>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519.23:004;61</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Использование метода деревьев решений в принятии </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решений о прикреплении граждан к медицинским </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учреждениям по обязательному медицинскому </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страхованию онлайн</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 xml:space="preserve">Using the decision tree method in making decisions on the </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attachment of citizens to medical institutions for compulsory medical insurance online</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Зуев А.</w:t>
      </w:r>
      <w:r w:rsidRPr="00281602">
        <w:rPr>
          <w:rFonts w:eastAsia="Calibri"/>
          <w:sz w:val="22"/>
          <w:szCs w:val="22"/>
          <w:lang w:val="en-US" w:eastAsia="en-US"/>
        </w:rPr>
        <w:t> </w:t>
      </w:r>
      <w:r w:rsidRPr="00281602">
        <w:rPr>
          <w:rFonts w:eastAsia="Calibri"/>
          <w:sz w:val="22"/>
          <w:szCs w:val="22"/>
          <w:lang w:eastAsia="en-US"/>
        </w:rPr>
        <w:t>В.,</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магистрант 1-го 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Изучен алгоритм прикрепления граждан к м</w:t>
      </w:r>
      <w:r w:rsidRPr="00281602">
        <w:rPr>
          <w:rFonts w:eastAsia="Calibri"/>
          <w:sz w:val="22"/>
          <w:szCs w:val="22"/>
          <w:lang w:eastAsia="en-US"/>
        </w:rPr>
        <w:t>е</w:t>
      </w:r>
      <w:r w:rsidRPr="00281602">
        <w:rPr>
          <w:rFonts w:eastAsia="Calibri"/>
          <w:sz w:val="22"/>
          <w:szCs w:val="22"/>
          <w:lang w:eastAsia="en-US"/>
        </w:rPr>
        <w:t>дицинскому учреждению по ОМС. Доказана необходимость и</w:t>
      </w:r>
      <w:r w:rsidRPr="00281602">
        <w:rPr>
          <w:rFonts w:eastAsia="Calibri"/>
          <w:sz w:val="22"/>
          <w:szCs w:val="22"/>
          <w:lang w:eastAsia="en-US"/>
        </w:rPr>
        <w:t>с</w:t>
      </w:r>
      <w:r w:rsidRPr="00281602">
        <w:rPr>
          <w:rFonts w:eastAsia="Calibri"/>
          <w:sz w:val="22"/>
          <w:szCs w:val="22"/>
          <w:lang w:eastAsia="en-US"/>
        </w:rPr>
        <w:t>пользования алгоритмов метода деревья решений в процессе пр</w:t>
      </w:r>
      <w:r w:rsidRPr="00281602">
        <w:rPr>
          <w:rFonts w:eastAsia="Calibri"/>
          <w:sz w:val="22"/>
          <w:szCs w:val="22"/>
          <w:lang w:eastAsia="en-US"/>
        </w:rPr>
        <w:t>и</w:t>
      </w:r>
      <w:r w:rsidRPr="00281602">
        <w:rPr>
          <w:rFonts w:eastAsia="Calibri"/>
          <w:sz w:val="22"/>
          <w:szCs w:val="22"/>
          <w:lang w:eastAsia="en-US"/>
        </w:rPr>
        <w:t>крепления граждан к амбулаторно-поликлиническому учреждению по ОМС удаленно.</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The algorithm of citizens' attachment to a medical i</w:t>
      </w:r>
      <w:r w:rsidRPr="00281602">
        <w:rPr>
          <w:rFonts w:eastAsia="Calibri"/>
          <w:sz w:val="22"/>
          <w:szCs w:val="22"/>
          <w:lang w:val="en-US" w:eastAsia="en-US"/>
        </w:rPr>
        <w:t>n</w:t>
      </w:r>
      <w:r w:rsidRPr="00281602">
        <w:rPr>
          <w:rFonts w:eastAsia="Calibri"/>
          <w:sz w:val="22"/>
          <w:szCs w:val="22"/>
          <w:lang w:val="en-US" w:eastAsia="en-US"/>
        </w:rPr>
        <w:t>stitution under CMI has been studied. The necessity of using decision trees for decision trees in the process of attaching citizens to an outp</w:t>
      </w:r>
      <w:r w:rsidRPr="00281602">
        <w:rPr>
          <w:rFonts w:eastAsia="Calibri"/>
          <w:sz w:val="22"/>
          <w:szCs w:val="22"/>
          <w:lang w:val="en-US" w:eastAsia="en-US"/>
        </w:rPr>
        <w:t>a</w:t>
      </w:r>
      <w:r w:rsidRPr="00281602">
        <w:rPr>
          <w:rFonts w:eastAsia="Calibri"/>
          <w:sz w:val="22"/>
          <w:szCs w:val="22"/>
          <w:lang w:val="en-US" w:eastAsia="en-US"/>
        </w:rPr>
        <w:t>tient clinic by CMI remotely.</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дерево решений, прикрепление по ОМС, медицинские учреждения, алгоритм принятия решений.</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The decision tree, obligatory medical insurance, medical organization, decision-making algorithm.</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Обязательное медицинское страхование (ОМС) – составная часть системы государственного социального страхования и зан</w:t>
      </w:r>
      <w:r w:rsidRPr="00281602">
        <w:rPr>
          <w:rFonts w:eastAsia="Calibri"/>
          <w:sz w:val="22"/>
          <w:szCs w:val="22"/>
          <w:lang w:eastAsia="en-US"/>
        </w:rPr>
        <w:t>и</w:t>
      </w:r>
      <w:r w:rsidRPr="00281602">
        <w:rPr>
          <w:rFonts w:eastAsia="Calibri"/>
          <w:sz w:val="22"/>
          <w:szCs w:val="22"/>
          <w:lang w:eastAsia="en-US"/>
        </w:rPr>
        <w:t>мает особое место в системе социальной защиты населения.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Правила ОМС разрабатываются и утверждаются в каждом субъекте РФ на основании закона РФ «О медицинском страховании граждан в Российской Федерации» и Типовых правил обязательн</w:t>
      </w:r>
      <w:r w:rsidRPr="00281602">
        <w:rPr>
          <w:rFonts w:eastAsia="Calibri"/>
          <w:sz w:val="22"/>
          <w:szCs w:val="22"/>
          <w:lang w:eastAsia="en-US"/>
        </w:rPr>
        <w:t>о</w:t>
      </w:r>
      <w:r w:rsidRPr="00281602">
        <w:rPr>
          <w:rFonts w:eastAsia="Calibri"/>
          <w:sz w:val="22"/>
          <w:szCs w:val="22"/>
          <w:lang w:eastAsia="en-US"/>
        </w:rPr>
        <w:t xml:space="preserve">го медицинского страхования, утвержденных в ФФОМС. В целях получения первичной медицинской помощи гражданин должен </w:t>
      </w:r>
      <w:r w:rsidRPr="00281602">
        <w:rPr>
          <w:rFonts w:eastAsia="Calibri"/>
          <w:sz w:val="22"/>
          <w:szCs w:val="22"/>
          <w:lang w:eastAsia="en-US"/>
        </w:rPr>
        <w:lastRenderedPageBreak/>
        <w:t>быть зарегистрирован в базовом амбулаторно-поликлиническом учреждении (АПУ), включенном в программу ОМС. Для граждан, не имеющих регистрации, базовым считается АПУ по месту пост</w:t>
      </w:r>
      <w:r w:rsidRPr="00281602">
        <w:rPr>
          <w:rFonts w:eastAsia="Calibri"/>
          <w:sz w:val="22"/>
          <w:szCs w:val="22"/>
          <w:lang w:eastAsia="en-US"/>
        </w:rPr>
        <w:t>о</w:t>
      </w:r>
      <w:r w:rsidRPr="00281602">
        <w:rPr>
          <w:rFonts w:eastAsia="Calibri"/>
          <w:sz w:val="22"/>
          <w:szCs w:val="22"/>
          <w:lang w:eastAsia="en-US"/>
        </w:rPr>
        <w:t>янного проживания застрахованного. Права граждан по выбору м</w:t>
      </w:r>
      <w:r w:rsidRPr="00281602">
        <w:rPr>
          <w:rFonts w:eastAsia="Calibri"/>
          <w:sz w:val="22"/>
          <w:szCs w:val="22"/>
          <w:lang w:eastAsia="en-US"/>
        </w:rPr>
        <w:t>е</w:t>
      </w:r>
      <w:r w:rsidRPr="00281602">
        <w:rPr>
          <w:rFonts w:eastAsia="Calibri"/>
          <w:sz w:val="22"/>
          <w:szCs w:val="22"/>
          <w:lang w:eastAsia="en-US"/>
        </w:rPr>
        <w:t>дицинского учреждения регламентируются территориальной пр</w:t>
      </w:r>
      <w:r w:rsidRPr="00281602">
        <w:rPr>
          <w:rFonts w:eastAsia="Calibri"/>
          <w:sz w:val="22"/>
          <w:szCs w:val="22"/>
          <w:lang w:eastAsia="en-US"/>
        </w:rPr>
        <w:t>о</w:t>
      </w:r>
      <w:r w:rsidRPr="00281602">
        <w:rPr>
          <w:rFonts w:eastAsia="Calibri"/>
          <w:sz w:val="22"/>
          <w:szCs w:val="22"/>
          <w:lang w:eastAsia="en-US"/>
        </w:rPr>
        <w:t>граммой ОМС.</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Так, для того чтобы воспользоваться медицинскими услугами согласно полиса ОМС, необходимо пройти процедуру прикрепл</w:t>
      </w:r>
      <w:r w:rsidRPr="00281602">
        <w:rPr>
          <w:rFonts w:eastAsia="Calibri"/>
          <w:sz w:val="22"/>
          <w:szCs w:val="22"/>
          <w:lang w:eastAsia="en-US"/>
        </w:rPr>
        <w:t>е</w:t>
      </w:r>
      <w:r w:rsidRPr="00281602">
        <w:rPr>
          <w:rFonts w:eastAsia="Calibri"/>
          <w:sz w:val="22"/>
          <w:szCs w:val="22"/>
          <w:lang w:eastAsia="en-US"/>
        </w:rPr>
        <w:t>ния к лечебно-профилактическому учреждению, которую в бол</w:t>
      </w:r>
      <w:r w:rsidRPr="00281602">
        <w:rPr>
          <w:rFonts w:eastAsia="Calibri"/>
          <w:sz w:val="22"/>
          <w:szCs w:val="22"/>
          <w:lang w:eastAsia="en-US"/>
        </w:rPr>
        <w:t>ь</w:t>
      </w:r>
      <w:r w:rsidRPr="00281602">
        <w:rPr>
          <w:rFonts w:eastAsia="Calibri"/>
          <w:sz w:val="22"/>
          <w:szCs w:val="22"/>
          <w:lang w:eastAsia="en-US"/>
        </w:rPr>
        <w:t>шинстве регионов РФ необходимо проходить непосредственно в медицинском учреждении. Поэтому разработка веб-приложения, которое позволит удаленно осуществить прикрепление к АПУ даст возможность гражданам быстро и, главное, мобильно получать д</w:t>
      </w:r>
      <w:r w:rsidRPr="00281602">
        <w:rPr>
          <w:rFonts w:eastAsia="Calibri"/>
          <w:sz w:val="22"/>
          <w:szCs w:val="22"/>
          <w:lang w:eastAsia="en-US"/>
        </w:rPr>
        <w:t>о</w:t>
      </w:r>
      <w:r w:rsidRPr="00281602">
        <w:rPr>
          <w:rFonts w:eastAsia="Calibri"/>
          <w:sz w:val="22"/>
          <w:szCs w:val="22"/>
          <w:lang w:eastAsia="en-US"/>
        </w:rPr>
        <w:t xml:space="preserve">ступные по ОМС медицинские услуги.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процессе анализа для реализации поставленных задач можно воспользоваться методом интеллектуального анализа деревья реш</w:t>
      </w:r>
      <w:r w:rsidRPr="00281602">
        <w:rPr>
          <w:rFonts w:eastAsia="Calibri"/>
          <w:sz w:val="22"/>
          <w:szCs w:val="22"/>
          <w:lang w:eastAsia="en-US"/>
        </w:rPr>
        <w:t>е</w:t>
      </w:r>
      <w:r w:rsidRPr="00281602">
        <w:rPr>
          <w:rFonts w:eastAsia="Calibri"/>
          <w:sz w:val="22"/>
          <w:szCs w:val="22"/>
          <w:lang w:eastAsia="en-US"/>
        </w:rPr>
        <w:t xml:space="preserve">ний [2],[3],[5].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Дерево решений (ДР) – это математическая модель, которая показывает все возможные исходы решений, а также сопутству</w:t>
      </w:r>
      <w:r w:rsidRPr="00281602">
        <w:rPr>
          <w:rFonts w:eastAsia="Calibri"/>
          <w:sz w:val="22"/>
          <w:szCs w:val="22"/>
          <w:lang w:eastAsia="en-US"/>
        </w:rPr>
        <w:t>ю</w:t>
      </w:r>
      <w:r w:rsidRPr="00281602">
        <w:rPr>
          <w:rFonts w:eastAsia="Calibri"/>
          <w:sz w:val="22"/>
          <w:szCs w:val="22"/>
          <w:lang w:eastAsia="en-US"/>
        </w:rPr>
        <w:t xml:space="preserve">щие этим решения события. Главным плюсом деревьев решений являются четкие правила на понятном человеку языке.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случае с прикреплением к медицинской организации метод деревьев решений позволит прикрепить человека к желаемому м</w:t>
      </w:r>
      <w:r w:rsidRPr="00281602">
        <w:rPr>
          <w:rFonts w:eastAsia="Calibri"/>
          <w:sz w:val="22"/>
          <w:szCs w:val="22"/>
          <w:lang w:eastAsia="en-US"/>
        </w:rPr>
        <w:t>е</w:t>
      </w:r>
      <w:r w:rsidRPr="00281602">
        <w:rPr>
          <w:rFonts w:eastAsia="Calibri"/>
          <w:sz w:val="22"/>
          <w:szCs w:val="22"/>
          <w:lang w:eastAsia="en-US"/>
        </w:rPr>
        <w:t xml:space="preserve">дицинскому учреждению с учетом всех условий, необходимых для этого.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Информационная система, использующая алгоритм ДР, пров</w:t>
      </w:r>
      <w:r w:rsidRPr="00281602">
        <w:rPr>
          <w:rFonts w:eastAsia="Calibri"/>
          <w:sz w:val="22"/>
          <w:szCs w:val="22"/>
          <w:lang w:eastAsia="en-US"/>
        </w:rPr>
        <w:t>е</w:t>
      </w:r>
      <w:r w:rsidRPr="00281602">
        <w:rPr>
          <w:rFonts w:eastAsia="Calibri"/>
          <w:sz w:val="22"/>
          <w:szCs w:val="22"/>
          <w:lang w:eastAsia="en-US"/>
        </w:rPr>
        <w:t>рит данные о человеке в своей базе данных, узнает к какой орган</w:t>
      </w:r>
      <w:r w:rsidRPr="00281602">
        <w:rPr>
          <w:rFonts w:eastAsia="Calibri"/>
          <w:sz w:val="22"/>
          <w:szCs w:val="22"/>
          <w:lang w:eastAsia="en-US"/>
        </w:rPr>
        <w:t>и</w:t>
      </w:r>
      <w:r w:rsidRPr="00281602">
        <w:rPr>
          <w:rFonts w:eastAsia="Calibri"/>
          <w:sz w:val="22"/>
          <w:szCs w:val="22"/>
          <w:lang w:eastAsia="en-US"/>
        </w:rPr>
        <w:t>зации он прикреплен, а также какая страховая компания его обсл</w:t>
      </w:r>
      <w:r w:rsidRPr="00281602">
        <w:rPr>
          <w:rFonts w:eastAsia="Calibri"/>
          <w:sz w:val="22"/>
          <w:szCs w:val="22"/>
          <w:lang w:eastAsia="en-US"/>
        </w:rPr>
        <w:t>у</w:t>
      </w:r>
      <w:r w:rsidRPr="00281602">
        <w:rPr>
          <w:rFonts w:eastAsia="Calibri"/>
          <w:sz w:val="22"/>
          <w:szCs w:val="22"/>
          <w:lang w:eastAsia="en-US"/>
        </w:rPr>
        <w:t xml:space="preserve">живает [4].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случае если человек прикреплялся в течение года к организ</w:t>
      </w:r>
      <w:r w:rsidRPr="00281602">
        <w:rPr>
          <w:rFonts w:eastAsia="Calibri"/>
          <w:sz w:val="22"/>
          <w:szCs w:val="22"/>
          <w:lang w:eastAsia="en-US"/>
        </w:rPr>
        <w:t>а</w:t>
      </w:r>
      <w:r w:rsidRPr="00281602">
        <w:rPr>
          <w:rFonts w:eastAsia="Calibri"/>
          <w:sz w:val="22"/>
          <w:szCs w:val="22"/>
          <w:lang w:eastAsia="en-US"/>
        </w:rPr>
        <w:t>ции, то система откажет в прикреплении (если же человек изменил прописку, то предложит осуществить стандартную процедуру и</w:t>
      </w:r>
      <w:r w:rsidRPr="00281602">
        <w:rPr>
          <w:rFonts w:eastAsia="Calibri"/>
          <w:sz w:val="22"/>
          <w:szCs w:val="22"/>
          <w:lang w:eastAsia="en-US"/>
        </w:rPr>
        <w:t>з</w:t>
      </w:r>
      <w:r w:rsidRPr="00281602">
        <w:rPr>
          <w:rFonts w:eastAsia="Calibri"/>
          <w:sz w:val="22"/>
          <w:szCs w:val="22"/>
          <w:lang w:eastAsia="en-US"/>
        </w:rPr>
        <w:t>менения прикрепления путем обращения в поликлинику). Если есть возможность прикрепить человека, то система выдаст ему решение о том, что он прикреплен, а также направит в новую медицинскую организацию, старую медицинскую организацию и страховую ко</w:t>
      </w:r>
      <w:r w:rsidRPr="00281602">
        <w:rPr>
          <w:rFonts w:eastAsia="Calibri"/>
          <w:sz w:val="22"/>
          <w:szCs w:val="22"/>
          <w:lang w:eastAsia="en-US"/>
        </w:rPr>
        <w:t>м</w:t>
      </w:r>
      <w:r w:rsidRPr="00281602">
        <w:rPr>
          <w:rFonts w:eastAsia="Calibri"/>
          <w:sz w:val="22"/>
          <w:szCs w:val="22"/>
          <w:lang w:eastAsia="en-US"/>
        </w:rPr>
        <w:t>панию уведомления о том, что пациент изменил прикрепление, с</w:t>
      </w:r>
      <w:r w:rsidRPr="00281602">
        <w:rPr>
          <w:rFonts w:eastAsia="Calibri"/>
          <w:sz w:val="22"/>
          <w:szCs w:val="22"/>
          <w:lang w:eastAsia="en-US"/>
        </w:rPr>
        <w:t>о</w:t>
      </w:r>
      <w:r w:rsidRPr="00281602">
        <w:rPr>
          <w:rFonts w:eastAsia="Calibri"/>
          <w:sz w:val="22"/>
          <w:szCs w:val="22"/>
          <w:lang w:eastAsia="en-US"/>
        </w:rPr>
        <w:lastRenderedPageBreak/>
        <w:t xml:space="preserve">берет данные у старой медицинской организации и направит их в новую и т.д.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Так, реализация в информационной системе прикрепления граждан в АПУ алгоритма принятия решений, позволит достичь поставленных задач – осуществить прикрепление по ОМС к амб</w:t>
      </w:r>
      <w:r w:rsidRPr="00281602">
        <w:rPr>
          <w:rFonts w:eastAsia="Calibri"/>
          <w:sz w:val="22"/>
          <w:szCs w:val="22"/>
          <w:lang w:eastAsia="en-US"/>
        </w:rPr>
        <w:t>у</w:t>
      </w:r>
      <w:r w:rsidRPr="00281602">
        <w:rPr>
          <w:rFonts w:eastAsia="Calibri"/>
          <w:sz w:val="22"/>
          <w:szCs w:val="22"/>
          <w:lang w:eastAsia="en-US"/>
        </w:rPr>
        <w:t>латорно-поликлиническому учреждению онлайн.</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Костенко И. В. Анализ данных в научных исследованиях с использованием критерия Пирсона / И. В. Костенко, Т. А. Крам</w:t>
      </w:r>
      <w:r w:rsidRPr="00281602">
        <w:rPr>
          <w:rFonts w:eastAsia="Calibri"/>
          <w:sz w:val="22"/>
          <w:szCs w:val="22"/>
          <w:lang w:eastAsia="en-US"/>
        </w:rPr>
        <w:t>а</w:t>
      </w:r>
      <w:r w:rsidRPr="00281602">
        <w:rPr>
          <w:rFonts w:eastAsia="Calibri"/>
          <w:sz w:val="22"/>
          <w:szCs w:val="22"/>
          <w:lang w:eastAsia="en-US"/>
        </w:rPr>
        <w:t>ренко // Информационное общество: современное состояние и пе</w:t>
      </w:r>
      <w:r w:rsidRPr="00281602">
        <w:rPr>
          <w:rFonts w:eastAsia="Calibri"/>
          <w:sz w:val="22"/>
          <w:szCs w:val="22"/>
          <w:lang w:eastAsia="en-US"/>
        </w:rPr>
        <w:t>р</w:t>
      </w:r>
      <w:r w:rsidRPr="00281602">
        <w:rPr>
          <w:rFonts w:eastAsia="Calibri"/>
          <w:sz w:val="22"/>
          <w:szCs w:val="22"/>
          <w:lang w:eastAsia="en-US"/>
        </w:rPr>
        <w:t xml:space="preserve">спективы развития : сб. материалов VIII студенческого Междунар. форума. – Краснодар :КубГАУ, 2017. – С. 24–26.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Костенко И. В. Выбор методов анализа при обработке да</w:t>
      </w:r>
      <w:r w:rsidRPr="00281602">
        <w:rPr>
          <w:rFonts w:eastAsia="Calibri"/>
          <w:sz w:val="22"/>
          <w:szCs w:val="22"/>
          <w:lang w:eastAsia="en-US"/>
        </w:rPr>
        <w:t>н</w:t>
      </w:r>
      <w:r w:rsidRPr="00281602">
        <w:rPr>
          <w:rFonts w:eastAsia="Calibri"/>
          <w:sz w:val="22"/>
          <w:szCs w:val="22"/>
          <w:lang w:eastAsia="en-US"/>
        </w:rPr>
        <w:t>ных в научных исследованиях / Т. А. Крамаренко, И. В. Костенко  // Научное обеспечение агропромышленного комплекса : сб. ст. по материалам Х Всерос. конф. молодых ученых, посвященной 120-летию И. С. Косенко. Отв. за вып. А. Г. Кощаев. – Красн</w:t>
      </w:r>
      <w:r w:rsidRPr="00281602">
        <w:rPr>
          <w:rFonts w:eastAsia="Calibri"/>
          <w:sz w:val="22"/>
          <w:szCs w:val="22"/>
          <w:lang w:eastAsia="en-US"/>
        </w:rPr>
        <w:t>о</w:t>
      </w:r>
      <w:r w:rsidRPr="00281602">
        <w:rPr>
          <w:rFonts w:eastAsia="Calibri"/>
          <w:sz w:val="22"/>
          <w:szCs w:val="22"/>
          <w:lang w:eastAsia="en-US"/>
        </w:rPr>
        <w:t>дар :КубГАУ, 2017. – С. 428–429.</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3. Крамаренко Т.А. Деревья решений как инструмент анализа данных / Т. А. Крамаренко, А. В. Болтунова // </w:t>
      </w:r>
      <w:hyperlink r:id="rId149" w:history="1">
        <w:r w:rsidRPr="00281602">
          <w:rPr>
            <w:rFonts w:eastAsia="Calibri"/>
            <w:sz w:val="22"/>
            <w:szCs w:val="22"/>
            <w:lang w:eastAsia="en-US"/>
          </w:rPr>
          <w:t>Сolloquium-journal</w:t>
        </w:r>
      </w:hyperlink>
      <w:r w:rsidRPr="00281602">
        <w:rPr>
          <w:rFonts w:eastAsia="Calibri"/>
          <w:sz w:val="22"/>
          <w:szCs w:val="22"/>
          <w:lang w:eastAsia="en-US"/>
        </w:rPr>
        <w:t>. – 2018. – № 2-1 (13). – С. 25–27.</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4. Крамаренко Т. А. К вопросу автоматизации процесса анализа данных научного исследования / Т. А. Крамаренко // Научное обе</w:t>
      </w:r>
      <w:r w:rsidRPr="00281602">
        <w:rPr>
          <w:rFonts w:eastAsia="Calibri"/>
          <w:sz w:val="22"/>
          <w:szCs w:val="22"/>
          <w:lang w:eastAsia="en-US"/>
        </w:rPr>
        <w:t>с</w:t>
      </w:r>
      <w:r w:rsidRPr="00281602">
        <w:rPr>
          <w:rFonts w:eastAsia="Calibri"/>
          <w:sz w:val="22"/>
          <w:szCs w:val="22"/>
          <w:lang w:eastAsia="en-US"/>
        </w:rPr>
        <w:t>печение агропромышленного комплекса : сб. ст. по материалам 72-й научно-практ. конф. преподавателей по итогам НИР за 2016 г. – Краснодар : КубГАУ, 2017. – С. 429–430.</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5. Лукьяненко Т. В. </w:t>
      </w:r>
      <w:hyperlink r:id="rId150" w:history="1">
        <w:r w:rsidRPr="00281602">
          <w:rPr>
            <w:rFonts w:eastAsia="Calibri"/>
            <w:sz w:val="22"/>
            <w:szCs w:val="22"/>
            <w:lang w:eastAsia="en-US"/>
          </w:rPr>
          <w:t>Исследование методов анализа и прогноз</w:t>
        </w:r>
        <w:r w:rsidRPr="00281602">
          <w:rPr>
            <w:rFonts w:eastAsia="Calibri"/>
            <w:sz w:val="22"/>
            <w:szCs w:val="22"/>
            <w:lang w:eastAsia="en-US"/>
          </w:rPr>
          <w:t>и</w:t>
        </w:r>
        <w:r w:rsidRPr="00281602">
          <w:rPr>
            <w:rFonts w:eastAsia="Calibri"/>
            <w:sz w:val="22"/>
            <w:szCs w:val="22"/>
            <w:lang w:eastAsia="en-US"/>
          </w:rPr>
          <w:t>рования цен на недвижимость</w:t>
        </w:r>
      </w:hyperlink>
      <w:r w:rsidRPr="00281602">
        <w:rPr>
          <w:rFonts w:eastAsia="Calibri"/>
          <w:sz w:val="22"/>
          <w:szCs w:val="22"/>
          <w:lang w:eastAsia="en-US"/>
        </w:rPr>
        <w:t xml:space="preserve"> / Т. В. Лукьяненко // Научное обесп</w:t>
      </w:r>
      <w:r w:rsidRPr="00281602">
        <w:rPr>
          <w:rFonts w:eastAsia="Calibri"/>
          <w:sz w:val="22"/>
          <w:szCs w:val="22"/>
          <w:lang w:eastAsia="en-US"/>
        </w:rPr>
        <w:t>е</w:t>
      </w:r>
      <w:r w:rsidRPr="00281602">
        <w:rPr>
          <w:rFonts w:eastAsia="Calibri"/>
          <w:sz w:val="22"/>
          <w:szCs w:val="22"/>
          <w:lang w:eastAsia="en-US"/>
        </w:rPr>
        <w:t>чение агропромышленного комплекса : сб. ст. по материалам 72-й научно-практ. конф. преподавателей по итогам НИР за 2016 г. – Краснодар : КубГАУ, 2017. – С. 431–432.</w:t>
      </w:r>
    </w:p>
    <w:p w:rsidR="00281602" w:rsidRPr="00281602" w:rsidRDefault="00281602" w:rsidP="00281602">
      <w:pPr>
        <w:ind w:firstLine="425"/>
        <w:jc w:val="both"/>
        <w:rPr>
          <w:rFonts w:eastAsia="Calibri"/>
          <w:sz w:val="22"/>
          <w:szCs w:val="22"/>
          <w:lang w:eastAsia="en-US"/>
        </w:rPr>
      </w:pPr>
    </w:p>
    <w:p w:rsidR="003B37B7" w:rsidRDefault="003B37B7" w:rsidP="000C4264">
      <w:pPr>
        <w:jc w:val="both"/>
        <w:rPr>
          <w:rFonts w:eastAsia="Calibri"/>
          <w:sz w:val="22"/>
          <w:szCs w:val="22"/>
          <w:lang w:eastAsia="en-US"/>
        </w:rPr>
      </w:pPr>
    </w:p>
    <w:p w:rsidR="00CC1F5C" w:rsidRDefault="00CC1F5C" w:rsidP="000C4264">
      <w:pPr>
        <w:jc w:val="both"/>
        <w:rPr>
          <w:rFonts w:eastAsia="Calibri"/>
          <w:sz w:val="22"/>
          <w:szCs w:val="22"/>
          <w:lang w:eastAsia="en-US"/>
        </w:rPr>
      </w:pPr>
    </w:p>
    <w:p w:rsidR="00CC1F5C" w:rsidRDefault="00CC1F5C" w:rsidP="000C4264">
      <w:pPr>
        <w:jc w:val="both"/>
        <w:rPr>
          <w:rFonts w:eastAsia="Calibri"/>
          <w:sz w:val="22"/>
          <w:szCs w:val="22"/>
          <w:lang w:eastAsia="en-US"/>
        </w:rPr>
      </w:pPr>
    </w:p>
    <w:p w:rsidR="00CC1F5C" w:rsidRDefault="00CC1F5C" w:rsidP="000C4264">
      <w:pPr>
        <w:jc w:val="both"/>
        <w:rPr>
          <w:rFonts w:eastAsia="Calibri"/>
          <w:sz w:val="22"/>
          <w:szCs w:val="22"/>
          <w:lang w:eastAsia="en-US"/>
        </w:rPr>
      </w:pPr>
    </w:p>
    <w:p w:rsidR="00CC1F5C" w:rsidRPr="00281602" w:rsidRDefault="00CC1F5C" w:rsidP="000C4264">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004.9</w:t>
      </w:r>
    </w:p>
    <w:p w:rsidR="00281602" w:rsidRPr="00281602" w:rsidRDefault="00281602" w:rsidP="00281602">
      <w:pPr>
        <w:jc w:val="both"/>
        <w:rPr>
          <w:rFonts w:eastAsia="Calibri"/>
          <w:b/>
          <w:sz w:val="24"/>
          <w:szCs w:val="24"/>
          <w:lang w:eastAsia="en-US"/>
        </w:rPr>
      </w:pPr>
    </w:p>
    <w:p w:rsidR="00281602" w:rsidRPr="00281602" w:rsidRDefault="00281602" w:rsidP="00281602">
      <w:pPr>
        <w:widowControl w:val="0"/>
        <w:jc w:val="center"/>
        <w:rPr>
          <w:rFonts w:eastAsia="Calibri"/>
          <w:b/>
          <w:color w:val="000000"/>
          <w:sz w:val="24"/>
          <w:szCs w:val="24"/>
          <w:lang w:eastAsia="en-US"/>
        </w:rPr>
      </w:pPr>
      <w:r w:rsidRPr="00281602">
        <w:rPr>
          <w:rFonts w:eastAsia="Calibri"/>
          <w:b/>
          <w:color w:val="000000"/>
          <w:sz w:val="24"/>
          <w:szCs w:val="24"/>
          <w:lang w:eastAsia="en-US"/>
        </w:rPr>
        <w:t xml:space="preserve">Перспективы использования решений и функций </w:t>
      </w:r>
    </w:p>
    <w:p w:rsidR="00281602" w:rsidRPr="00281602" w:rsidRDefault="00281602" w:rsidP="00281602">
      <w:pPr>
        <w:widowControl w:val="0"/>
        <w:jc w:val="center"/>
        <w:rPr>
          <w:rFonts w:eastAsia="Calibri"/>
          <w:b/>
          <w:color w:val="000000"/>
          <w:sz w:val="24"/>
          <w:szCs w:val="24"/>
          <w:lang w:val="en-US" w:eastAsia="en-US"/>
        </w:rPr>
      </w:pPr>
      <w:r w:rsidRPr="00281602">
        <w:rPr>
          <w:rFonts w:eastAsia="Calibri"/>
          <w:b/>
          <w:color w:val="000000"/>
          <w:sz w:val="24"/>
          <w:szCs w:val="24"/>
          <w:lang w:eastAsia="en-US"/>
        </w:rPr>
        <w:t>программного</w:t>
      </w:r>
      <w:r w:rsidRPr="00281602">
        <w:rPr>
          <w:rFonts w:eastAsia="Calibri"/>
          <w:b/>
          <w:color w:val="000000"/>
          <w:sz w:val="24"/>
          <w:szCs w:val="24"/>
          <w:lang w:val="en-US" w:eastAsia="en-US"/>
        </w:rPr>
        <w:t xml:space="preserve"> </w:t>
      </w:r>
      <w:r w:rsidRPr="00281602">
        <w:rPr>
          <w:rFonts w:eastAsia="Calibri"/>
          <w:b/>
          <w:color w:val="000000"/>
          <w:sz w:val="24"/>
          <w:szCs w:val="24"/>
          <w:lang w:eastAsia="en-US"/>
        </w:rPr>
        <w:t>пакета</w:t>
      </w:r>
      <w:r w:rsidRPr="00281602">
        <w:rPr>
          <w:rFonts w:eastAsia="Calibri"/>
          <w:b/>
          <w:color w:val="000000"/>
          <w:sz w:val="24"/>
          <w:szCs w:val="24"/>
          <w:lang w:val="en-US" w:eastAsia="en-US"/>
        </w:rPr>
        <w:t xml:space="preserve"> «</w:t>
      </w:r>
      <w:r w:rsidRPr="00281602">
        <w:rPr>
          <w:rFonts w:eastAsia="Calibri"/>
          <w:b/>
          <w:color w:val="000000"/>
          <w:sz w:val="24"/>
          <w:szCs w:val="24"/>
          <w:lang w:eastAsia="en-US"/>
        </w:rPr>
        <w:t>КОРАЛЛ</w:t>
      </w:r>
      <w:r w:rsidRPr="00281602">
        <w:rPr>
          <w:rFonts w:eastAsia="Calibri"/>
          <w:b/>
          <w:color w:val="000000"/>
          <w:sz w:val="24"/>
          <w:szCs w:val="24"/>
          <w:lang w:val="en-US" w:eastAsia="en-US"/>
        </w:rPr>
        <w:t>»</w:t>
      </w:r>
    </w:p>
    <w:p w:rsidR="00281602" w:rsidRPr="00281602" w:rsidRDefault="00281602" w:rsidP="00281602">
      <w:pPr>
        <w:widowControl w:val="0"/>
        <w:jc w:val="center"/>
        <w:rPr>
          <w:rFonts w:eastAsia="Calibri"/>
          <w:b/>
          <w:color w:val="000000"/>
          <w:sz w:val="24"/>
          <w:szCs w:val="24"/>
          <w:lang w:val="en-US" w:eastAsia="en-US"/>
        </w:rPr>
      </w:pPr>
      <w:r w:rsidRPr="00281602">
        <w:rPr>
          <w:rFonts w:eastAsia="Calibri"/>
          <w:b/>
          <w:color w:val="000000"/>
          <w:sz w:val="24"/>
          <w:szCs w:val="24"/>
          <w:lang w:val="en-US" w:eastAsia="en-US"/>
        </w:rPr>
        <w:t>The prospects of use the solutions and functions of the sof</w:t>
      </w:r>
      <w:r w:rsidRPr="00281602">
        <w:rPr>
          <w:rFonts w:eastAsia="Calibri"/>
          <w:b/>
          <w:color w:val="000000"/>
          <w:sz w:val="24"/>
          <w:szCs w:val="24"/>
          <w:lang w:val="en-US" w:eastAsia="en-US"/>
        </w:rPr>
        <w:t>t</w:t>
      </w:r>
      <w:r w:rsidRPr="00281602">
        <w:rPr>
          <w:rFonts w:eastAsia="Calibri"/>
          <w:b/>
          <w:color w:val="000000"/>
          <w:sz w:val="24"/>
          <w:szCs w:val="24"/>
          <w:lang w:val="en-US" w:eastAsia="en-US"/>
        </w:rPr>
        <w:t>ware package "CORAL"</w:t>
      </w:r>
    </w:p>
    <w:p w:rsidR="00281602" w:rsidRPr="00281602" w:rsidRDefault="00281602" w:rsidP="00281602">
      <w:pPr>
        <w:widowControl w:val="0"/>
        <w:tabs>
          <w:tab w:val="left" w:pos="8223"/>
        </w:tabs>
        <w:ind w:firstLine="425"/>
        <w:jc w:val="right"/>
        <w:rPr>
          <w:rFonts w:eastAsia="Calibri"/>
          <w:color w:val="000000"/>
          <w:sz w:val="22"/>
          <w:szCs w:val="22"/>
          <w:lang w:val="en-US" w:eastAsia="en-US"/>
        </w:rPr>
      </w:pP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Каденцева А. А.,</w:t>
      </w: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студентка 4-го курса факультета прикладной информатики</w:t>
      </w: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Филоненко М. В.,</w:t>
      </w: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студент 4-го курса факультета прикладной информатики</w:t>
      </w: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 xml:space="preserve">Кубанский государственный аграрный </w:t>
      </w:r>
    </w:p>
    <w:p w:rsidR="00281602" w:rsidRPr="00281602" w:rsidRDefault="00281602" w:rsidP="00281602">
      <w:pPr>
        <w:widowControl w:val="0"/>
        <w:tabs>
          <w:tab w:val="left" w:pos="8223"/>
        </w:tabs>
        <w:ind w:firstLine="425"/>
        <w:jc w:val="right"/>
        <w:rPr>
          <w:rFonts w:eastAsia="Calibri"/>
          <w:color w:val="000000"/>
          <w:sz w:val="22"/>
          <w:szCs w:val="22"/>
          <w:lang w:eastAsia="en-US"/>
        </w:rPr>
      </w:pPr>
      <w:r w:rsidRPr="00281602">
        <w:rPr>
          <w:rFonts w:eastAsia="Calibri"/>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alibri"/>
          <w:color w:val="000000"/>
          <w:sz w:val="22"/>
          <w:szCs w:val="22"/>
          <w:lang w:eastAsia="en-US"/>
        </w:rPr>
      </w:pPr>
    </w:p>
    <w:p w:rsidR="00281602" w:rsidRPr="00281602" w:rsidRDefault="00281602" w:rsidP="00281602">
      <w:pPr>
        <w:widowControl w:val="0"/>
        <w:tabs>
          <w:tab w:val="left" w:pos="8223"/>
        </w:tabs>
        <w:ind w:firstLine="425"/>
        <w:jc w:val="both"/>
        <w:rPr>
          <w:rFonts w:eastAsia="Calibri"/>
          <w:color w:val="000000"/>
          <w:sz w:val="22"/>
          <w:szCs w:val="22"/>
          <w:lang w:eastAsia="en-US"/>
        </w:rPr>
      </w:pPr>
      <w:r w:rsidRPr="00281602">
        <w:rPr>
          <w:rFonts w:eastAsia="Calibri"/>
          <w:color w:val="000000"/>
          <w:sz w:val="22"/>
          <w:szCs w:val="22"/>
          <w:lang w:eastAsia="en-US"/>
        </w:rPr>
        <w:t>АННОТАЦИЯ: Изучены решения и функции программного п</w:t>
      </w:r>
      <w:r w:rsidRPr="00281602">
        <w:rPr>
          <w:rFonts w:eastAsia="Calibri"/>
          <w:color w:val="000000"/>
          <w:sz w:val="22"/>
          <w:szCs w:val="22"/>
          <w:lang w:eastAsia="en-US"/>
        </w:rPr>
        <w:t>а</w:t>
      </w:r>
      <w:r w:rsidRPr="00281602">
        <w:rPr>
          <w:rFonts w:eastAsia="Calibri"/>
          <w:color w:val="000000"/>
          <w:sz w:val="22"/>
          <w:szCs w:val="22"/>
          <w:lang w:eastAsia="en-US"/>
        </w:rPr>
        <w:t>кета «Коралл».</w:t>
      </w:r>
    </w:p>
    <w:p w:rsidR="00281602" w:rsidRPr="00281602" w:rsidRDefault="00281602" w:rsidP="00281602">
      <w:pPr>
        <w:widowControl w:val="0"/>
        <w:tabs>
          <w:tab w:val="left" w:pos="8223"/>
        </w:tabs>
        <w:ind w:firstLine="425"/>
        <w:jc w:val="both"/>
        <w:rPr>
          <w:rFonts w:eastAsia="Calibri"/>
          <w:color w:val="000000"/>
          <w:sz w:val="22"/>
          <w:szCs w:val="22"/>
          <w:lang w:val="en-US" w:eastAsia="en-US"/>
        </w:rPr>
      </w:pPr>
      <w:r w:rsidRPr="00281602">
        <w:rPr>
          <w:rFonts w:eastAsia="Calibri"/>
          <w:color w:val="000000"/>
          <w:sz w:val="22"/>
          <w:szCs w:val="22"/>
          <w:lang w:val="en-US" w:eastAsia="en-US"/>
        </w:rPr>
        <w:t>ABSTRACT: The solutions and functions of the "Coral" software package have been studied.</w:t>
      </w:r>
    </w:p>
    <w:p w:rsidR="00281602" w:rsidRPr="00281602" w:rsidRDefault="00281602" w:rsidP="00281602">
      <w:pPr>
        <w:widowControl w:val="0"/>
        <w:tabs>
          <w:tab w:val="left" w:pos="8223"/>
        </w:tabs>
        <w:ind w:firstLine="425"/>
        <w:jc w:val="both"/>
        <w:rPr>
          <w:rFonts w:eastAsia="Calibri"/>
          <w:color w:val="000000"/>
          <w:sz w:val="22"/>
          <w:szCs w:val="22"/>
          <w:lang w:eastAsia="en-US"/>
        </w:rPr>
      </w:pPr>
      <w:r w:rsidRPr="00281602">
        <w:rPr>
          <w:rFonts w:eastAsia="Calibri"/>
          <w:color w:val="000000"/>
          <w:sz w:val="22"/>
          <w:szCs w:val="22"/>
          <w:lang w:eastAsia="en-US"/>
        </w:rPr>
        <w:t>КЛЮЧЕВЫЕ СЛОВА: животноводство, скот, информационная системы, диета, сырье, отчет.</w:t>
      </w:r>
    </w:p>
    <w:p w:rsidR="00281602" w:rsidRPr="00281602" w:rsidRDefault="00281602" w:rsidP="00281602">
      <w:pPr>
        <w:widowControl w:val="0"/>
        <w:tabs>
          <w:tab w:val="left" w:pos="8223"/>
        </w:tabs>
        <w:ind w:firstLine="425"/>
        <w:jc w:val="both"/>
        <w:rPr>
          <w:rFonts w:eastAsia="Calibri"/>
          <w:color w:val="000000"/>
          <w:sz w:val="22"/>
          <w:szCs w:val="22"/>
          <w:lang w:val="en-US" w:eastAsia="en-US"/>
        </w:rPr>
      </w:pPr>
      <w:r w:rsidRPr="00281602">
        <w:rPr>
          <w:rFonts w:eastAsia="Calibri"/>
          <w:color w:val="000000"/>
          <w:sz w:val="22"/>
          <w:szCs w:val="22"/>
          <w:lang w:val="en-US" w:eastAsia="en-US"/>
        </w:rPr>
        <w:t>KEYWORDS: livestock, livestock, information system, diet, raw materials, report.</w:t>
      </w:r>
    </w:p>
    <w:p w:rsidR="00281602" w:rsidRPr="00281602" w:rsidRDefault="00281602" w:rsidP="00281602">
      <w:pPr>
        <w:widowControl w:val="0"/>
        <w:tabs>
          <w:tab w:val="left" w:pos="8223"/>
        </w:tabs>
        <w:ind w:firstLine="425"/>
        <w:jc w:val="both"/>
        <w:rPr>
          <w:rFonts w:eastAsia="Calibri"/>
          <w:color w:val="000000"/>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1970-х и начале 1980-х годов информационные системы ш</w:t>
      </w:r>
      <w:r w:rsidRPr="00281602">
        <w:rPr>
          <w:rFonts w:eastAsia="Calibri"/>
          <w:sz w:val="22"/>
          <w:szCs w:val="22"/>
          <w:lang w:eastAsia="en-US"/>
        </w:rPr>
        <w:t>и</w:t>
      </w:r>
      <w:r w:rsidRPr="00281602">
        <w:rPr>
          <w:rFonts w:eastAsia="Calibri"/>
          <w:sz w:val="22"/>
          <w:szCs w:val="22"/>
          <w:lang w:eastAsia="en-US"/>
        </w:rPr>
        <w:t>роко использовались в качестве средства управления, поддержки и ускорения процесса принятия решений.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конце 1980-х годов изменилось направление применения и</w:t>
      </w:r>
      <w:r w:rsidRPr="00281602">
        <w:rPr>
          <w:rFonts w:eastAsia="Calibri"/>
          <w:sz w:val="22"/>
          <w:szCs w:val="22"/>
          <w:lang w:eastAsia="en-US"/>
        </w:rPr>
        <w:t>н</w:t>
      </w:r>
      <w:r w:rsidRPr="00281602">
        <w:rPr>
          <w:rFonts w:eastAsia="Calibri"/>
          <w:sz w:val="22"/>
          <w:szCs w:val="22"/>
          <w:lang w:eastAsia="en-US"/>
        </w:rPr>
        <w:t>формационной системы. Она становится самым важным источн</w:t>
      </w:r>
      <w:r w:rsidRPr="00281602">
        <w:rPr>
          <w:rFonts w:eastAsia="Calibri"/>
          <w:sz w:val="22"/>
          <w:szCs w:val="22"/>
          <w:lang w:eastAsia="en-US"/>
        </w:rPr>
        <w:t>и</w:t>
      </w:r>
      <w:r w:rsidRPr="00281602">
        <w:rPr>
          <w:rFonts w:eastAsia="Calibri"/>
          <w:sz w:val="22"/>
          <w:szCs w:val="22"/>
          <w:lang w:eastAsia="en-US"/>
        </w:rPr>
        <w:t>ком информации и применяется ко всем бизнес-уровням и проф</w:t>
      </w:r>
      <w:r w:rsidRPr="00281602">
        <w:rPr>
          <w:rFonts w:eastAsia="Calibri"/>
          <w:sz w:val="22"/>
          <w:szCs w:val="22"/>
          <w:lang w:eastAsia="en-US"/>
        </w:rPr>
        <w:t>и</w:t>
      </w:r>
      <w:r w:rsidRPr="00281602">
        <w:rPr>
          <w:rFonts w:eastAsia="Calibri"/>
          <w:sz w:val="22"/>
          <w:szCs w:val="22"/>
          <w:lang w:eastAsia="en-US"/>
        </w:rPr>
        <w:t>лям. В это время информационной системы помогает компаниям превзойти свою деятельность, найти новые рынки в качестве це</w:t>
      </w:r>
      <w:r w:rsidRPr="00281602">
        <w:rPr>
          <w:rFonts w:eastAsia="Calibri"/>
          <w:sz w:val="22"/>
          <w:szCs w:val="22"/>
          <w:lang w:eastAsia="en-US"/>
        </w:rPr>
        <w:t>н</w:t>
      </w:r>
      <w:r w:rsidRPr="00281602">
        <w:rPr>
          <w:rFonts w:eastAsia="Calibri"/>
          <w:sz w:val="22"/>
          <w:szCs w:val="22"/>
          <w:lang w:eastAsia="en-US"/>
        </w:rPr>
        <w:t>ных партнеров и организовать производство по низким ценам.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Система обработки информации выполняет все операции, к</w:t>
      </w:r>
      <w:r w:rsidRPr="00281602">
        <w:rPr>
          <w:rFonts w:eastAsia="Calibri"/>
          <w:sz w:val="22"/>
          <w:szCs w:val="22"/>
          <w:lang w:eastAsia="en-US"/>
        </w:rPr>
        <w:t>о</w:t>
      </w:r>
      <w:r w:rsidRPr="00281602">
        <w:rPr>
          <w:rFonts w:eastAsia="Calibri"/>
          <w:sz w:val="22"/>
          <w:szCs w:val="22"/>
          <w:lang w:eastAsia="en-US"/>
        </w:rPr>
        <w:t>торые обрабатывают информацию об определенном алгоритме. П</w:t>
      </w:r>
      <w:r w:rsidRPr="00281602">
        <w:rPr>
          <w:rFonts w:eastAsia="Calibri"/>
          <w:sz w:val="22"/>
          <w:szCs w:val="22"/>
          <w:lang w:eastAsia="en-US"/>
        </w:rPr>
        <w:t>о</w:t>
      </w:r>
      <w:r w:rsidRPr="00281602">
        <w:rPr>
          <w:rFonts w:eastAsia="Calibri"/>
          <w:sz w:val="22"/>
          <w:szCs w:val="22"/>
          <w:lang w:eastAsia="en-US"/>
        </w:rPr>
        <w:t>лученная информация классифицируется по степени, на которую информация влияет на процесс принятия решения, и ей назначаю</w:t>
      </w:r>
      <w:r w:rsidRPr="00281602">
        <w:rPr>
          <w:rFonts w:eastAsia="Calibri"/>
          <w:sz w:val="22"/>
          <w:szCs w:val="22"/>
          <w:lang w:eastAsia="en-US"/>
        </w:rPr>
        <w:t>т</w:t>
      </w:r>
      <w:r w:rsidRPr="00281602">
        <w:rPr>
          <w:rFonts w:eastAsia="Calibri"/>
          <w:sz w:val="22"/>
          <w:szCs w:val="22"/>
          <w:lang w:eastAsia="en-US"/>
        </w:rPr>
        <w:t>ся два класса: администратор и пользователь.</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lastRenderedPageBreak/>
        <w:t>IP-адрес управления генерирует информацию, необходимую человеку для принятия решения. Эти системы имеют своего рода вычислительную работу и большой объем обработки данных. Например, существует система учета, которая представляет собой операционную систему планирования для выхода.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 глобальном рынке программных продуктов представлены десятки программ для расчета квот на основе общего методолог</w:t>
      </w:r>
      <w:r w:rsidRPr="00281602">
        <w:rPr>
          <w:rFonts w:eastAsia="Calibri"/>
          <w:sz w:val="22"/>
          <w:szCs w:val="22"/>
          <w:lang w:eastAsia="en-US"/>
        </w:rPr>
        <w:t>и</w:t>
      </w:r>
      <w:r w:rsidRPr="00281602">
        <w:rPr>
          <w:rFonts w:eastAsia="Calibri"/>
          <w:sz w:val="22"/>
          <w:szCs w:val="22"/>
          <w:lang w:eastAsia="en-US"/>
        </w:rPr>
        <w:t>ческого принципа, разработанного в середине прошлого века: «Для достижения минимальных затрат с диетой, предопределенной пит</w:t>
      </w:r>
      <w:r w:rsidRPr="00281602">
        <w:rPr>
          <w:rFonts w:eastAsia="Calibri"/>
          <w:sz w:val="22"/>
          <w:szCs w:val="22"/>
          <w:lang w:eastAsia="en-US"/>
        </w:rPr>
        <w:t>а</w:t>
      </w:r>
      <w:r w:rsidRPr="00281602">
        <w:rPr>
          <w:rFonts w:eastAsia="Calibri"/>
          <w:sz w:val="22"/>
          <w:szCs w:val="22"/>
          <w:lang w:eastAsia="en-US"/>
        </w:rPr>
        <w:t>нием», где заданная задача питания назначается через периоды зн</w:t>
      </w:r>
      <w:r w:rsidRPr="00281602">
        <w:rPr>
          <w:rFonts w:eastAsia="Calibri"/>
          <w:sz w:val="22"/>
          <w:szCs w:val="22"/>
          <w:lang w:eastAsia="en-US"/>
        </w:rPr>
        <w:t>а</w:t>
      </w:r>
      <w:r w:rsidRPr="00281602">
        <w:rPr>
          <w:rFonts w:eastAsia="Calibri"/>
          <w:sz w:val="22"/>
          <w:szCs w:val="22"/>
          <w:lang w:eastAsia="en-US"/>
        </w:rPr>
        <w:t>чений и компонентов, представляющих приемлемые отношения, прогрессивная в свое время. Системный подход для расчета квот на день может не обеспечивать потребности современной науки в кормлении животных, поэтому не разрешается проводить эконом</w:t>
      </w:r>
      <w:r w:rsidRPr="00281602">
        <w:rPr>
          <w:rFonts w:eastAsia="Calibri"/>
          <w:sz w:val="22"/>
          <w:szCs w:val="22"/>
          <w:lang w:eastAsia="en-US"/>
        </w:rPr>
        <w:t>и</w:t>
      </w:r>
      <w:r w:rsidRPr="00281602">
        <w:rPr>
          <w:rFonts w:eastAsia="Calibri"/>
          <w:sz w:val="22"/>
          <w:szCs w:val="22"/>
          <w:lang w:eastAsia="en-US"/>
        </w:rPr>
        <w:t>ческий анализ затрат и потерь, вызванных несбалансированными диетами.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Решения «КОРАЛЛ».</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Чтобы решить не состыковки между традиционными методами максимизации современных теорий животного питания в соотве</w:t>
      </w:r>
      <w:r w:rsidRPr="00281602">
        <w:rPr>
          <w:rFonts w:eastAsia="Calibri"/>
          <w:sz w:val="22"/>
          <w:szCs w:val="22"/>
          <w:lang w:eastAsia="en-US"/>
        </w:rPr>
        <w:t>т</w:t>
      </w:r>
      <w:r w:rsidRPr="00281602">
        <w:rPr>
          <w:rFonts w:eastAsia="Calibri"/>
          <w:sz w:val="22"/>
          <w:szCs w:val="22"/>
          <w:lang w:eastAsia="en-US"/>
        </w:rPr>
        <w:t>ствии с действующими экономическими стандартами для оценки использования квот и качества ухода за больными, инвестиционная программа «Коралл», которая улучшает квоты и систему поставок, необходимо решить и развиться следующим образом: из опред</w:t>
      </w:r>
      <w:r w:rsidRPr="00281602">
        <w:rPr>
          <w:rFonts w:eastAsia="Calibri"/>
          <w:sz w:val="22"/>
          <w:szCs w:val="22"/>
          <w:lang w:eastAsia="en-US"/>
        </w:rPr>
        <w:t>е</w:t>
      </w:r>
      <w:r w:rsidRPr="00281602">
        <w:rPr>
          <w:rFonts w:eastAsia="Calibri"/>
          <w:sz w:val="22"/>
          <w:szCs w:val="22"/>
          <w:lang w:eastAsia="en-US"/>
        </w:rPr>
        <w:t>ленной группы кормовых добавок и кормовых добавок к текущим (ожидаемым) ценам на продукты питания можно создать диету, обеспечивающую лучшую прибыль и лучшее соотношение для продуктов питания, и животных.</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Программный пакет «Коралл», основанный на новых моделях и алгоритмах повышения рациона - разработан для «Животново</w:t>
      </w:r>
      <w:r w:rsidRPr="00281602">
        <w:rPr>
          <w:rFonts w:eastAsia="Calibri"/>
          <w:sz w:val="22"/>
          <w:szCs w:val="22"/>
          <w:lang w:eastAsia="en-US"/>
        </w:rPr>
        <w:t>д</w:t>
      </w:r>
      <w:r w:rsidRPr="00281602">
        <w:rPr>
          <w:rFonts w:eastAsia="Calibri"/>
          <w:sz w:val="22"/>
          <w:szCs w:val="22"/>
          <w:lang w:eastAsia="en-US"/>
        </w:rPr>
        <w:t>ства: свиньи, овцы, птицы».</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Основные функции программы питания заключаются в след</w:t>
      </w:r>
      <w:r w:rsidRPr="00281602">
        <w:rPr>
          <w:rFonts w:eastAsia="Calibri"/>
          <w:sz w:val="22"/>
          <w:szCs w:val="22"/>
          <w:lang w:eastAsia="en-US"/>
        </w:rPr>
        <w:t>у</w:t>
      </w:r>
      <w:r w:rsidRPr="00281602">
        <w:rPr>
          <w:rFonts w:eastAsia="Calibri"/>
          <w:sz w:val="22"/>
          <w:szCs w:val="22"/>
          <w:lang w:eastAsia="en-US"/>
        </w:rPr>
        <w:t>ющем:</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внедрить новую модель диеты, чтобы объяснить потерю, вызванную дисбалансом диеты;</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высчитывать и записывать убытки в результате дисбаланса;</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отображать общую оценку баланса диеты;</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lastRenderedPageBreak/>
        <w:t>рассмотреть скорость пищеварения и фактическую скорость пищеварения корма;</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регистрировать добавки;</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изучать экономическую эффективность;</w:t>
      </w:r>
    </w:p>
    <w:p w:rsidR="00281602" w:rsidRPr="00281602" w:rsidRDefault="00281602" w:rsidP="003B37B7">
      <w:pPr>
        <w:numPr>
          <w:ilvl w:val="0"/>
          <w:numId w:val="41"/>
        </w:numPr>
        <w:ind w:left="0" w:firstLine="425"/>
        <w:jc w:val="both"/>
        <w:rPr>
          <w:rFonts w:eastAsia="Calibri"/>
          <w:sz w:val="22"/>
          <w:szCs w:val="22"/>
          <w:lang w:eastAsia="en-US"/>
        </w:rPr>
      </w:pPr>
      <w:r w:rsidRPr="00281602">
        <w:rPr>
          <w:rFonts w:eastAsia="Calibri"/>
          <w:sz w:val="22"/>
          <w:szCs w:val="22"/>
          <w:lang w:eastAsia="en-US"/>
        </w:rPr>
        <w:t>улучшать состав кормовых запасов.</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Экономические критерии максимизации использования квот в программе «Коралл» регулируют кормление животных таким обр</w:t>
      </w:r>
      <w:r w:rsidRPr="00281602">
        <w:rPr>
          <w:rFonts w:eastAsia="Calibri"/>
          <w:sz w:val="22"/>
          <w:szCs w:val="22"/>
          <w:lang w:eastAsia="en-US"/>
        </w:rPr>
        <w:t>а</w:t>
      </w:r>
      <w:r w:rsidRPr="00281602">
        <w:rPr>
          <w:rFonts w:eastAsia="Calibri"/>
          <w:sz w:val="22"/>
          <w:szCs w:val="22"/>
          <w:lang w:eastAsia="en-US"/>
        </w:rPr>
        <w:t>зом, чтобы максимизировать эффективность производства в ра</w:t>
      </w:r>
      <w:r w:rsidRPr="00281602">
        <w:rPr>
          <w:rFonts w:eastAsia="Calibri"/>
          <w:sz w:val="22"/>
          <w:szCs w:val="22"/>
          <w:lang w:eastAsia="en-US"/>
        </w:rPr>
        <w:t>з</w:t>
      </w:r>
      <w:r w:rsidRPr="00281602">
        <w:rPr>
          <w:rFonts w:eastAsia="Calibri"/>
          <w:sz w:val="22"/>
          <w:szCs w:val="22"/>
          <w:lang w:eastAsia="en-US"/>
        </w:rPr>
        <w:t>личных промышленных и экономических ситуациях.</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Производственные документы делятся на две абсолютно ра</w:t>
      </w:r>
      <w:r w:rsidRPr="00281602">
        <w:rPr>
          <w:rFonts w:eastAsia="Calibri"/>
          <w:sz w:val="22"/>
          <w:szCs w:val="22"/>
          <w:lang w:eastAsia="en-US"/>
        </w:rPr>
        <w:t>з</w:t>
      </w:r>
      <w:r w:rsidRPr="00281602">
        <w:rPr>
          <w:rFonts w:eastAsia="Calibri"/>
          <w:sz w:val="22"/>
          <w:szCs w:val="22"/>
          <w:lang w:eastAsia="en-US"/>
        </w:rPr>
        <w:t>ные группы: персональные ожидания от производительности кор</w:t>
      </w:r>
      <w:r w:rsidRPr="00281602">
        <w:rPr>
          <w:rFonts w:eastAsia="Calibri"/>
          <w:sz w:val="22"/>
          <w:szCs w:val="22"/>
          <w:lang w:eastAsia="en-US"/>
        </w:rPr>
        <w:t>о</w:t>
      </w:r>
      <w:r w:rsidRPr="00281602">
        <w:rPr>
          <w:rFonts w:eastAsia="Calibri"/>
          <w:sz w:val="22"/>
          <w:szCs w:val="22"/>
          <w:lang w:eastAsia="en-US"/>
        </w:rPr>
        <w:t>вы и интегрированные предполагаемые результаты производства, производительность молока, общее планирование каждой группы влаги и сельскохозяйственная экономика..</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Необходимость использования программного пакета «Коралл» невозможно оспорить, так как все его функции и возможности н</w:t>
      </w:r>
      <w:r w:rsidRPr="00281602">
        <w:rPr>
          <w:rFonts w:eastAsia="Calibri"/>
          <w:sz w:val="22"/>
          <w:szCs w:val="22"/>
          <w:lang w:eastAsia="en-US"/>
        </w:rPr>
        <w:t>е</w:t>
      </w:r>
      <w:r w:rsidRPr="00281602">
        <w:rPr>
          <w:rFonts w:eastAsia="Calibri"/>
          <w:sz w:val="22"/>
          <w:szCs w:val="22"/>
          <w:lang w:eastAsia="en-US"/>
        </w:rPr>
        <w:t>заменимы в животноводстве. Использование его структурных отч</w:t>
      </w:r>
      <w:r w:rsidRPr="00281602">
        <w:rPr>
          <w:rFonts w:eastAsia="Calibri"/>
          <w:sz w:val="22"/>
          <w:szCs w:val="22"/>
          <w:lang w:eastAsia="en-US"/>
        </w:rPr>
        <w:t>е</w:t>
      </w:r>
      <w:r w:rsidRPr="00281602">
        <w:rPr>
          <w:rFonts w:eastAsia="Calibri"/>
          <w:sz w:val="22"/>
          <w:szCs w:val="22"/>
          <w:lang w:eastAsia="en-US"/>
        </w:rPr>
        <w:t>тов при создании диеты для скота значительно повышает эффе</w:t>
      </w:r>
      <w:r w:rsidRPr="00281602">
        <w:rPr>
          <w:rFonts w:eastAsia="Calibri"/>
          <w:sz w:val="22"/>
          <w:szCs w:val="22"/>
          <w:lang w:eastAsia="en-US"/>
        </w:rPr>
        <w:t>к</w:t>
      </w:r>
      <w:r w:rsidRPr="00281602">
        <w:rPr>
          <w:rFonts w:eastAsia="Calibri"/>
          <w:sz w:val="22"/>
          <w:szCs w:val="22"/>
          <w:lang w:eastAsia="en-US"/>
        </w:rPr>
        <w:t>тивность производства молока и позволяет эффективно распред</w:t>
      </w:r>
      <w:r w:rsidRPr="00281602">
        <w:rPr>
          <w:rFonts w:eastAsia="Calibri"/>
          <w:sz w:val="22"/>
          <w:szCs w:val="22"/>
          <w:lang w:eastAsia="en-US"/>
        </w:rPr>
        <w:t>е</w:t>
      </w:r>
      <w:r w:rsidRPr="00281602">
        <w:rPr>
          <w:rFonts w:eastAsia="Calibri"/>
          <w:sz w:val="22"/>
          <w:szCs w:val="22"/>
          <w:lang w:eastAsia="en-US"/>
        </w:rPr>
        <w:t>лять средства при закупке сырья.</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Великанова Л.О. Предпосылки создания автоматизирова</w:t>
      </w:r>
      <w:r w:rsidRPr="00281602">
        <w:rPr>
          <w:rFonts w:eastAsia="Calibri"/>
          <w:sz w:val="22"/>
          <w:szCs w:val="22"/>
          <w:lang w:eastAsia="en-US"/>
        </w:rPr>
        <w:t>н</w:t>
      </w:r>
      <w:r w:rsidRPr="00281602">
        <w:rPr>
          <w:rFonts w:eastAsia="Calibri"/>
          <w:sz w:val="22"/>
          <w:szCs w:val="22"/>
          <w:lang w:eastAsia="en-US"/>
        </w:rPr>
        <w:t>ной информационной системы "Управление возделыванием пол</w:t>
      </w:r>
      <w:r w:rsidRPr="00281602">
        <w:rPr>
          <w:rFonts w:eastAsia="Calibri"/>
          <w:sz w:val="22"/>
          <w:szCs w:val="22"/>
          <w:lang w:eastAsia="en-US"/>
        </w:rPr>
        <w:t>е</w:t>
      </w:r>
      <w:r w:rsidRPr="00281602">
        <w:rPr>
          <w:rFonts w:eastAsia="Calibri"/>
          <w:sz w:val="22"/>
          <w:szCs w:val="22"/>
          <w:lang w:eastAsia="en-US"/>
        </w:rPr>
        <w:t>вых культур" /  Л.О. Великанова, В.В. Ткаченко // Политематич</w:t>
      </w:r>
      <w:r w:rsidRPr="00281602">
        <w:rPr>
          <w:rFonts w:eastAsia="Calibri"/>
          <w:sz w:val="22"/>
          <w:szCs w:val="22"/>
          <w:lang w:eastAsia="en-US"/>
        </w:rPr>
        <w:t>е</w:t>
      </w:r>
      <w:r w:rsidRPr="00281602">
        <w:rPr>
          <w:rFonts w:eastAsia="Calibri"/>
          <w:sz w:val="22"/>
          <w:szCs w:val="22"/>
          <w:lang w:eastAsia="en-US"/>
        </w:rPr>
        <w:t>ский сетевой электронный научный журнал Кубанского госуда</w:t>
      </w:r>
      <w:r w:rsidRPr="00281602">
        <w:rPr>
          <w:rFonts w:eastAsia="Calibri"/>
          <w:sz w:val="22"/>
          <w:szCs w:val="22"/>
          <w:lang w:eastAsia="en-US"/>
        </w:rPr>
        <w:t>р</w:t>
      </w:r>
      <w:r w:rsidRPr="00281602">
        <w:rPr>
          <w:rFonts w:eastAsia="Calibri"/>
          <w:sz w:val="22"/>
          <w:szCs w:val="22"/>
          <w:lang w:eastAsia="en-US"/>
        </w:rPr>
        <w:t xml:space="preserve">ственного аграрного университета (Научный журнал КубГАУ) [Электронный ресурс]. – Краснодар: КубГАУ, 2005. – №04(012). С. 166 – 173. – IDA [article ID]: 0120504015. – Режим доступа: </w:t>
      </w:r>
      <w:hyperlink r:id="rId151" w:history="1">
        <w:r w:rsidRPr="00281602">
          <w:rPr>
            <w:rFonts w:eastAsia="Calibri"/>
            <w:sz w:val="22"/>
            <w:szCs w:val="22"/>
            <w:lang w:eastAsia="en-US"/>
          </w:rPr>
          <w:t>http://ej.kubagro.ru/2005/04/pdf/15.pdf</w:t>
        </w:r>
      </w:hyperlink>
      <w:r w:rsidRPr="00281602">
        <w:rPr>
          <w:rFonts w:eastAsia="Calibri"/>
          <w:sz w:val="22"/>
          <w:szCs w:val="22"/>
          <w:lang w:eastAsia="en-US"/>
        </w:rPr>
        <w: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2. </w:t>
      </w:r>
      <w:r w:rsidRPr="00281602">
        <w:rPr>
          <w:rFonts w:eastAsia="Calibri"/>
          <w:color w:val="000000"/>
          <w:sz w:val="22"/>
          <w:szCs w:val="22"/>
          <w:shd w:val="clear" w:color="auto" w:fill="FFFFFF"/>
          <w:lang w:eastAsia="en-US"/>
        </w:rPr>
        <w:t>Воробьева М.А. Особенности использования и перспективы внедрения проектного управления в агропромышленном сект</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ре /  М.А. Воробьева, В.В. Ткаченко, Н.А. Ткаченко // Политемат</w:t>
      </w:r>
      <w:r w:rsidRPr="00281602">
        <w:rPr>
          <w:rFonts w:eastAsia="Calibri"/>
          <w:color w:val="000000"/>
          <w:sz w:val="22"/>
          <w:szCs w:val="22"/>
          <w:shd w:val="clear" w:color="auto" w:fill="FFFFFF"/>
          <w:lang w:eastAsia="en-US"/>
        </w:rPr>
        <w:t>и</w:t>
      </w:r>
      <w:r w:rsidRPr="00281602">
        <w:rPr>
          <w:rFonts w:eastAsia="Calibri"/>
          <w:color w:val="000000"/>
          <w:sz w:val="22"/>
          <w:szCs w:val="22"/>
          <w:shd w:val="clear" w:color="auto" w:fill="FFFFFF"/>
          <w:lang w:eastAsia="en-US"/>
        </w:rPr>
        <w:t>ческий сетевой электронный научный журнал Кубанского госуда</w:t>
      </w:r>
      <w:r w:rsidRPr="00281602">
        <w:rPr>
          <w:rFonts w:eastAsia="Calibri"/>
          <w:color w:val="000000"/>
          <w:sz w:val="22"/>
          <w:szCs w:val="22"/>
          <w:shd w:val="clear" w:color="auto" w:fill="FFFFFF"/>
          <w:lang w:eastAsia="en-US"/>
        </w:rPr>
        <w:t>р</w:t>
      </w:r>
      <w:r w:rsidRPr="00281602">
        <w:rPr>
          <w:rFonts w:eastAsia="Calibri"/>
          <w:color w:val="000000"/>
          <w:sz w:val="22"/>
          <w:szCs w:val="22"/>
          <w:shd w:val="clear" w:color="auto" w:fill="FFFFFF"/>
          <w:lang w:eastAsia="en-US"/>
        </w:rPr>
        <w:t xml:space="preserve">ственного аграрного университета (Научный журнал КубГАУ) [Электронный ресурс]. – Краснодар: КубГАУ, 2017. – №02(126). С. </w:t>
      </w:r>
      <w:r w:rsidRPr="00281602">
        <w:rPr>
          <w:rFonts w:eastAsia="Calibri"/>
          <w:color w:val="000000"/>
          <w:sz w:val="22"/>
          <w:szCs w:val="22"/>
          <w:shd w:val="clear" w:color="auto" w:fill="FFFFFF"/>
          <w:lang w:eastAsia="en-US"/>
        </w:rPr>
        <w:lastRenderedPageBreak/>
        <w:t>879 – 890. – IDA [article ID]: 1261702062. – Режим доступа: http://ej.kubagro.ru/2017/02/pdf/62.pdf, 0,75 у.п.л.</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3. Ткаченко В.В. Информационная подсистема планирования и расчета дозировок органических удобрений /  В.В. Ткаченко, И.И. Третьяков, С.А. Боярко // Политематический сетевой эле</w:t>
      </w:r>
      <w:r w:rsidRPr="00281602">
        <w:rPr>
          <w:rFonts w:eastAsia="Calibri"/>
          <w:sz w:val="22"/>
          <w:szCs w:val="22"/>
          <w:lang w:eastAsia="en-US"/>
        </w:rPr>
        <w:t>к</w:t>
      </w:r>
      <w:r w:rsidRPr="00281602">
        <w:rPr>
          <w:rFonts w:eastAsia="Calibri"/>
          <w:sz w:val="22"/>
          <w:szCs w:val="22"/>
          <w:lang w:eastAsia="en-US"/>
        </w:rPr>
        <w:t>тронный научный журнал Кубанского государственного аграрного университета (Научный журнал КубГАУ) [Электронный ресурс]. – Краснодар: КубГАУ, 2012. – №06(080). С. 593 – 608. – IDA [article ID]: 0801206047. – Режим доступа: http://ej.kubagro.ru/2012/06/pdf/47.pdf.</w:t>
      </w:r>
    </w:p>
    <w:p w:rsidR="00281602" w:rsidRPr="00281602" w:rsidRDefault="00281602" w:rsidP="00281602">
      <w:pPr>
        <w:ind w:firstLine="425"/>
        <w:jc w:val="both"/>
        <w:rPr>
          <w:rFonts w:eastAsia="Calibri"/>
          <w:sz w:val="22"/>
          <w:szCs w:val="22"/>
          <w:lang w:eastAsia="en-US"/>
        </w:rPr>
      </w:pPr>
    </w:p>
    <w:p w:rsidR="003B37B7" w:rsidRDefault="003B37B7" w:rsidP="000C4264">
      <w:pPr>
        <w:jc w:val="both"/>
        <w:rPr>
          <w:rFonts w:eastAsia="Calibri"/>
          <w:sz w:val="22"/>
          <w:szCs w:val="22"/>
          <w:lang w:eastAsia="en-US"/>
        </w:rPr>
      </w:pPr>
    </w:p>
    <w:p w:rsidR="00CC1F5C" w:rsidRPr="00281602" w:rsidRDefault="00CC1F5C" w:rsidP="000C4264">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519.816</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Управление знаниями: методы </w:t>
      </w:r>
      <w:r w:rsidRPr="00281602">
        <w:rPr>
          <w:rFonts w:eastAsia="Calibri"/>
          <w:b/>
          <w:sz w:val="24"/>
          <w:szCs w:val="24"/>
          <w:lang w:val="en-US" w:eastAsia="en-US"/>
        </w:rPr>
        <w:t>TOPSIS</w:t>
      </w:r>
      <w:r w:rsidRPr="00281602">
        <w:rPr>
          <w:rFonts w:eastAsia="Calibri"/>
          <w:b/>
          <w:sz w:val="24"/>
          <w:szCs w:val="24"/>
          <w:lang w:eastAsia="en-US"/>
        </w:rPr>
        <w:t xml:space="preserve"> и энтропии</w:t>
      </w:r>
    </w:p>
    <w:p w:rsidR="00281602" w:rsidRPr="00281602" w:rsidRDefault="00281602" w:rsidP="00281602">
      <w:pPr>
        <w:jc w:val="center"/>
        <w:rPr>
          <w:rFonts w:eastAsia="Calibri"/>
          <w:b/>
          <w:sz w:val="24"/>
          <w:szCs w:val="22"/>
          <w:lang w:val="en-US" w:eastAsia="en-US"/>
        </w:rPr>
      </w:pPr>
      <w:r w:rsidRPr="00281602">
        <w:rPr>
          <w:rFonts w:eastAsia="Calibri"/>
          <w:b/>
          <w:sz w:val="24"/>
          <w:szCs w:val="22"/>
          <w:lang w:val="en-US" w:eastAsia="en-US"/>
        </w:rPr>
        <w:t>Knowledge management: TOPSIS and entropy methods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Коляда В. В.,</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аспирант 1-го 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В статье рассматривается возможность прим</w:t>
      </w:r>
      <w:r w:rsidRPr="00281602">
        <w:rPr>
          <w:rFonts w:eastAsia="Calibri"/>
          <w:sz w:val="22"/>
          <w:szCs w:val="22"/>
          <w:lang w:eastAsia="en-US"/>
        </w:rPr>
        <w:t>е</w:t>
      </w:r>
      <w:r w:rsidRPr="00281602">
        <w:rPr>
          <w:rFonts w:eastAsia="Calibri"/>
          <w:sz w:val="22"/>
          <w:szCs w:val="22"/>
          <w:lang w:eastAsia="en-US"/>
        </w:rPr>
        <w:t xml:space="preserve">нения методов </w:t>
      </w:r>
      <w:r w:rsidRPr="00281602">
        <w:rPr>
          <w:rFonts w:eastAsia="Calibri"/>
          <w:sz w:val="22"/>
          <w:szCs w:val="22"/>
          <w:lang w:val="en-US" w:eastAsia="en-US"/>
        </w:rPr>
        <w:t>TOPSIS</w:t>
      </w:r>
      <w:r w:rsidRPr="00281602">
        <w:rPr>
          <w:rFonts w:eastAsia="Calibri"/>
          <w:sz w:val="22"/>
          <w:szCs w:val="22"/>
          <w:lang w:eastAsia="en-US"/>
        </w:rPr>
        <w:t xml:space="preserve"> и энтропии для управления знаниями.</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The article considers the possibility of applying TOPSIS and entropy methods for knowledge management.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КЛЮЧЕВЫЕ СЛОВА: управление знаниями, </w:t>
      </w:r>
      <w:r w:rsidRPr="00281602">
        <w:rPr>
          <w:rFonts w:eastAsia="Calibri"/>
          <w:sz w:val="22"/>
          <w:szCs w:val="22"/>
          <w:lang w:val="en-US" w:eastAsia="en-US"/>
        </w:rPr>
        <w:t>TOPSIS</w:t>
      </w:r>
      <w:r w:rsidRPr="00281602">
        <w:rPr>
          <w:rFonts w:eastAsia="Calibri"/>
          <w:sz w:val="22"/>
          <w:szCs w:val="22"/>
          <w:lang w:eastAsia="en-US"/>
        </w:rPr>
        <w:t>, метод энтропии, стратегия.</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knowledge management, TOPSIS, entropy method, strategy.</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реализации конкурентного преимущества в экономике, необходимо найти способ для создания, обмена и использования знаний. В настоящее время в бизнес-среде присутствует большая конкурентная борьба, поэтому многие компании подчеркивают важность управления знаниями (УЗ) и основывают стратегию УЗ на своих уникальных ресурсах и возможностях. Управление знан</w:t>
      </w:r>
      <w:r w:rsidRPr="00281602">
        <w:rPr>
          <w:rFonts w:eastAsia="Calibri"/>
          <w:sz w:val="22"/>
          <w:szCs w:val="22"/>
          <w:lang w:eastAsia="en-US"/>
        </w:rPr>
        <w:t>и</w:t>
      </w:r>
      <w:r w:rsidRPr="00281602">
        <w:rPr>
          <w:rFonts w:eastAsia="Calibri"/>
          <w:sz w:val="22"/>
          <w:szCs w:val="22"/>
          <w:lang w:eastAsia="en-US"/>
        </w:rPr>
        <w:lastRenderedPageBreak/>
        <w:t>ями – это организационная оптимизация знаний для достижения повышения производительности с использованием различных м</w:t>
      </w:r>
      <w:r w:rsidRPr="00281602">
        <w:rPr>
          <w:rFonts w:eastAsia="Calibri"/>
          <w:sz w:val="22"/>
          <w:szCs w:val="22"/>
          <w:lang w:eastAsia="en-US"/>
        </w:rPr>
        <w:t>е</w:t>
      </w:r>
      <w:r w:rsidRPr="00281602">
        <w:rPr>
          <w:rFonts w:eastAsia="Calibri"/>
          <w:sz w:val="22"/>
          <w:szCs w:val="22"/>
          <w:lang w:eastAsia="en-US"/>
        </w:rPr>
        <w:t xml:space="preserve">тодов и технологий.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Самым важным при обеспечении эффективного управления знаниями является выбор надлежащей стратегии. Однако выбор стратегии обычно субъективен. А именно: выбор стратегии УЗ ограничен потребностями в ресурсах, требованиями времени, соо</w:t>
      </w:r>
      <w:r w:rsidRPr="00281602">
        <w:rPr>
          <w:rFonts w:eastAsia="Calibri"/>
          <w:sz w:val="22"/>
          <w:szCs w:val="22"/>
          <w:lang w:eastAsia="en-US"/>
        </w:rPr>
        <w:t>т</w:t>
      </w:r>
      <w:r w:rsidRPr="00281602">
        <w:rPr>
          <w:rFonts w:eastAsia="Calibri"/>
          <w:sz w:val="22"/>
          <w:szCs w:val="22"/>
          <w:lang w:eastAsia="en-US"/>
        </w:rPr>
        <w:t>ветствием ожидаемым результатам и бизнес-целям. В данном смысле обработка выбора стратегии УЗ необходима для более р</w:t>
      </w:r>
      <w:r w:rsidRPr="00281602">
        <w:rPr>
          <w:rFonts w:eastAsia="Calibri"/>
          <w:sz w:val="22"/>
          <w:szCs w:val="22"/>
          <w:lang w:eastAsia="en-US"/>
        </w:rPr>
        <w:t>а</w:t>
      </w:r>
      <w:r w:rsidRPr="00281602">
        <w:rPr>
          <w:rFonts w:eastAsia="Calibri"/>
          <w:sz w:val="22"/>
          <w:szCs w:val="22"/>
          <w:lang w:eastAsia="en-US"/>
        </w:rPr>
        <w:t>зумного и логичного управления несколькими сложными фактор</w:t>
      </w:r>
      <w:r w:rsidRPr="00281602">
        <w:rPr>
          <w:rFonts w:eastAsia="Calibri"/>
          <w:sz w:val="22"/>
          <w:szCs w:val="22"/>
          <w:lang w:eastAsia="en-US"/>
        </w:rPr>
        <w:t>а</w:t>
      </w:r>
      <w:r w:rsidRPr="00281602">
        <w:rPr>
          <w:rFonts w:eastAsia="Calibri"/>
          <w:sz w:val="22"/>
          <w:szCs w:val="22"/>
          <w:lang w:eastAsia="en-US"/>
        </w:rPr>
        <w:t>ми. Таким образом, выбор стратегии УЗ является одной из  проблем при принятии решений с несколькими критериями и требует опр</w:t>
      </w:r>
      <w:r w:rsidRPr="00281602">
        <w:rPr>
          <w:rFonts w:eastAsia="Calibri"/>
          <w:sz w:val="22"/>
          <w:szCs w:val="22"/>
          <w:lang w:eastAsia="en-US"/>
        </w:rPr>
        <w:t>е</w:t>
      </w:r>
      <w:r w:rsidRPr="00281602">
        <w:rPr>
          <w:rFonts w:eastAsia="Calibri"/>
          <w:sz w:val="22"/>
          <w:szCs w:val="22"/>
          <w:lang w:eastAsia="en-US"/>
        </w:rPr>
        <w:t xml:space="preserve">деленного подхода при работе с ней. Для решения таких проблем необходимо пользоваться комплексом методов, включающим в себя метод энтропии и метод </w:t>
      </w:r>
      <w:r w:rsidRPr="00281602">
        <w:rPr>
          <w:rFonts w:eastAsia="Calibri"/>
          <w:sz w:val="22"/>
          <w:szCs w:val="22"/>
          <w:lang w:val="en-US" w:eastAsia="en-US"/>
        </w:rPr>
        <w:t>TOPSIS</w:t>
      </w:r>
      <w:r w:rsidRPr="00281602">
        <w:rPr>
          <w:rFonts w:eastAsia="Calibri"/>
          <w:sz w:val="22"/>
          <w:szCs w:val="22"/>
          <w:lang w:eastAsia="en-US"/>
        </w:rPr>
        <w: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Метод энтропии используется не только для количественной оценки, но и для объективного вычисления относительного веса информации. Метод энтропийного веса используется для получения относительного веса каждого атрибута. Энтропия является критер</w:t>
      </w:r>
      <w:r w:rsidRPr="00281602">
        <w:rPr>
          <w:rFonts w:eastAsia="Calibri"/>
          <w:sz w:val="22"/>
          <w:szCs w:val="22"/>
          <w:lang w:eastAsia="en-US"/>
        </w:rPr>
        <w:t>и</w:t>
      </w:r>
      <w:r w:rsidRPr="00281602">
        <w:rPr>
          <w:rFonts w:eastAsia="Calibri"/>
          <w:sz w:val="22"/>
          <w:szCs w:val="22"/>
          <w:lang w:eastAsia="en-US"/>
        </w:rPr>
        <w:t>ем для величины неопределенности, представленной дискретным распределением вероятности. Каждому атрибуту присваивается значение по каждому критерию для вычисления значений энтропии. Затем сравниваются значения энтропии для каждого критерия и рассчитываются относительные уровни значимости друг друга. З</w:t>
      </w:r>
      <w:r w:rsidRPr="00281602">
        <w:rPr>
          <w:rFonts w:eastAsia="Calibri"/>
          <w:sz w:val="22"/>
          <w:szCs w:val="22"/>
          <w:lang w:eastAsia="en-US"/>
        </w:rPr>
        <w:t>а</w:t>
      </w:r>
      <w:r w:rsidRPr="00281602">
        <w:rPr>
          <w:rFonts w:eastAsia="Calibri"/>
          <w:sz w:val="22"/>
          <w:szCs w:val="22"/>
          <w:lang w:eastAsia="en-US"/>
        </w:rPr>
        <w:t>тем вес энтропии рассчитывается на основе информации матрицы оценки, которая относится к объективным значениям массы.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Метод </w:t>
      </w:r>
      <w:r w:rsidRPr="00281602">
        <w:rPr>
          <w:rFonts w:eastAsia="Calibri"/>
          <w:sz w:val="22"/>
          <w:szCs w:val="22"/>
          <w:lang w:val="en-US" w:eastAsia="en-US"/>
        </w:rPr>
        <w:t>TOPSIS</w:t>
      </w:r>
      <w:r w:rsidRPr="00281602">
        <w:rPr>
          <w:rFonts w:eastAsia="Calibri"/>
          <w:sz w:val="22"/>
          <w:szCs w:val="22"/>
          <w:lang w:eastAsia="en-US"/>
        </w:rPr>
        <w:t xml:space="preserve"> оценивает альтернативы в соответствии с их удалением от идеального и наихудшего решения, т. е. лучшая альтернатива имеет кратчайшее расстояние от идеального решения и максимально удаленное от наихудшего. На практике TOPSIS успешно применяется для решения проблем выбора оценки с конечным числом альтернатив.</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Выбор стратегии УЗ – это своего рода проблема принятия р</w:t>
      </w:r>
      <w:r w:rsidRPr="00281602">
        <w:rPr>
          <w:rFonts w:eastAsia="Calibri"/>
          <w:sz w:val="22"/>
          <w:szCs w:val="22"/>
          <w:lang w:eastAsia="en-US"/>
        </w:rPr>
        <w:t>е</w:t>
      </w:r>
      <w:r w:rsidRPr="00281602">
        <w:rPr>
          <w:rFonts w:eastAsia="Calibri"/>
          <w:sz w:val="22"/>
          <w:szCs w:val="22"/>
          <w:lang w:eastAsia="en-US"/>
        </w:rPr>
        <w:t>шения с несколькими критериями, которая требует нескольких кр</w:t>
      </w:r>
      <w:r w:rsidRPr="00281602">
        <w:rPr>
          <w:rFonts w:eastAsia="Calibri"/>
          <w:sz w:val="22"/>
          <w:szCs w:val="22"/>
          <w:lang w:eastAsia="en-US"/>
        </w:rPr>
        <w:t>и</w:t>
      </w:r>
      <w:r w:rsidRPr="00281602">
        <w:rPr>
          <w:rFonts w:eastAsia="Calibri"/>
          <w:sz w:val="22"/>
          <w:szCs w:val="22"/>
          <w:lang w:eastAsia="en-US"/>
        </w:rPr>
        <w:t>териев оценки. Решение проблемы принятия решения с несколькими критериями требуется для определения критериев оценки, поиска альтернатив и оценки их с точки зрения критериев, применения соответствующего метода многокритериального анал</w:t>
      </w:r>
      <w:r w:rsidRPr="00281602">
        <w:rPr>
          <w:rFonts w:eastAsia="Calibri"/>
          <w:sz w:val="22"/>
          <w:szCs w:val="22"/>
          <w:lang w:eastAsia="en-US"/>
        </w:rPr>
        <w:t>и</w:t>
      </w:r>
      <w:r w:rsidRPr="00281602">
        <w:rPr>
          <w:rFonts w:eastAsia="Calibri"/>
          <w:sz w:val="22"/>
          <w:szCs w:val="22"/>
          <w:lang w:eastAsia="en-US"/>
        </w:rPr>
        <w:lastRenderedPageBreak/>
        <w:t>за и выбора наилучших альтернатив. Принятие решений – это пр</w:t>
      </w:r>
      <w:r w:rsidRPr="00281602">
        <w:rPr>
          <w:rFonts w:eastAsia="Calibri"/>
          <w:sz w:val="22"/>
          <w:szCs w:val="22"/>
          <w:lang w:eastAsia="en-US"/>
        </w:rPr>
        <w:t>о</w:t>
      </w:r>
      <w:r w:rsidRPr="00281602">
        <w:rPr>
          <w:rFonts w:eastAsia="Calibri"/>
          <w:sz w:val="22"/>
          <w:szCs w:val="22"/>
          <w:lang w:eastAsia="en-US"/>
        </w:rPr>
        <w:t>цесс определения целей принятия решений, сбора соответствующих критериев и возможных альтернатив, оценки альтернатив для пр</w:t>
      </w:r>
      <w:r w:rsidRPr="00281602">
        <w:rPr>
          <w:rFonts w:eastAsia="Calibri"/>
          <w:sz w:val="22"/>
          <w:szCs w:val="22"/>
          <w:lang w:eastAsia="en-US"/>
        </w:rPr>
        <w:t>е</w:t>
      </w:r>
      <w:r w:rsidRPr="00281602">
        <w:rPr>
          <w:rFonts w:eastAsia="Calibri"/>
          <w:sz w:val="22"/>
          <w:szCs w:val="22"/>
          <w:lang w:eastAsia="en-US"/>
        </w:rPr>
        <w:t>имуществ и недостатков и выбора оптимальной альтернативы. В связи с этим необходимо использовать описанные выше методы.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Метод энтропии полезен при оценке веса критериев. Важно отметить, что, если критерии оценки какой-либо альтернативы вз</w:t>
      </w:r>
      <w:r w:rsidRPr="00281602">
        <w:rPr>
          <w:rFonts w:eastAsia="Calibri"/>
          <w:sz w:val="22"/>
          <w:szCs w:val="22"/>
          <w:lang w:eastAsia="en-US"/>
        </w:rPr>
        <w:t>а</w:t>
      </w:r>
      <w:r w:rsidRPr="00281602">
        <w:rPr>
          <w:rFonts w:eastAsia="Calibri"/>
          <w:sz w:val="22"/>
          <w:szCs w:val="22"/>
          <w:lang w:eastAsia="en-US"/>
        </w:rPr>
        <w:t>имосвязаны друг с другом, то необходимо учитывать и другие кр</w:t>
      </w:r>
      <w:r w:rsidRPr="00281602">
        <w:rPr>
          <w:rFonts w:eastAsia="Calibri"/>
          <w:sz w:val="22"/>
          <w:szCs w:val="22"/>
          <w:lang w:eastAsia="en-US"/>
        </w:rPr>
        <w:t>и</w:t>
      </w:r>
      <w:r w:rsidRPr="00281602">
        <w:rPr>
          <w:rFonts w:eastAsia="Calibri"/>
          <w:sz w:val="22"/>
          <w:szCs w:val="22"/>
          <w:lang w:eastAsia="en-US"/>
        </w:rPr>
        <w:t>терии и их взаимосвязи между собой.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TOPSIS не только может использоваться как способ обработки внутренних зависимостей в рамках набора критериев, но также м</w:t>
      </w:r>
      <w:r w:rsidRPr="00281602">
        <w:rPr>
          <w:rFonts w:eastAsia="Calibri"/>
          <w:sz w:val="22"/>
          <w:szCs w:val="22"/>
          <w:lang w:eastAsia="en-US"/>
        </w:rPr>
        <w:t>о</w:t>
      </w:r>
      <w:r w:rsidRPr="00281602">
        <w:rPr>
          <w:rFonts w:eastAsia="Calibri"/>
          <w:sz w:val="22"/>
          <w:szCs w:val="22"/>
          <w:lang w:eastAsia="en-US"/>
        </w:rPr>
        <w:t xml:space="preserve">жет давать более ценную информацию для принятия решений.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Следовательно, необходимо использовать комбинацию данных методов для получения точных оценок.</w:t>
      </w:r>
    </w:p>
    <w:p w:rsidR="00281602" w:rsidRPr="00281602" w:rsidRDefault="00281602" w:rsidP="00281602">
      <w:pPr>
        <w:ind w:firstLine="425"/>
        <w:jc w:val="both"/>
        <w:rPr>
          <w:rFonts w:eastAsia="Calibri"/>
          <w:sz w:val="22"/>
          <w:szCs w:val="22"/>
          <w:lang w:eastAsia="en-US"/>
        </w:rPr>
      </w:pPr>
    </w:p>
    <w:p w:rsidR="003B37B7" w:rsidRPr="00281602" w:rsidRDefault="003B37B7" w:rsidP="000C4264">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004.9</w:t>
      </w:r>
    </w:p>
    <w:p w:rsidR="00281602" w:rsidRPr="00281602" w:rsidRDefault="00281602" w:rsidP="00281602">
      <w:pPr>
        <w:ind w:firstLine="425"/>
        <w:jc w:val="both"/>
        <w:rPr>
          <w:rFonts w:eastAsia="Calibri"/>
          <w:sz w:val="22"/>
          <w:szCs w:val="22"/>
          <w:lang w:eastAsia="en-US"/>
        </w:rPr>
      </w:pPr>
    </w:p>
    <w:p w:rsidR="003B37B7" w:rsidRDefault="00281602" w:rsidP="00281602">
      <w:pPr>
        <w:jc w:val="center"/>
        <w:rPr>
          <w:rFonts w:eastAsia="Calibri"/>
          <w:b/>
          <w:sz w:val="24"/>
          <w:szCs w:val="24"/>
          <w:shd w:val="clear" w:color="auto" w:fill="FFFFFF"/>
          <w:lang w:eastAsia="en-US"/>
        </w:rPr>
      </w:pPr>
      <w:r w:rsidRPr="00281602">
        <w:rPr>
          <w:rFonts w:eastAsia="Calibri"/>
          <w:b/>
          <w:sz w:val="24"/>
          <w:szCs w:val="24"/>
          <w:shd w:val="clear" w:color="auto" w:fill="FFFFFF"/>
          <w:lang w:eastAsia="en-US"/>
        </w:rPr>
        <w:t xml:space="preserve">Теоретическое обеспечение функционирования сервиса информационного обслуживания граждан в случае </w:t>
      </w:r>
    </w:p>
    <w:p w:rsidR="00281602" w:rsidRPr="00281602" w:rsidRDefault="00281602" w:rsidP="00281602">
      <w:pPr>
        <w:jc w:val="center"/>
        <w:rPr>
          <w:rFonts w:eastAsia="Calibri"/>
          <w:b/>
          <w:sz w:val="24"/>
          <w:szCs w:val="24"/>
          <w:shd w:val="clear" w:color="auto" w:fill="FFFFFF"/>
          <w:lang w:val="en-US" w:eastAsia="en-US"/>
        </w:rPr>
      </w:pPr>
      <w:r w:rsidRPr="00281602">
        <w:rPr>
          <w:rFonts w:eastAsia="Calibri"/>
          <w:b/>
          <w:sz w:val="24"/>
          <w:szCs w:val="24"/>
          <w:shd w:val="clear" w:color="auto" w:fill="FFFFFF"/>
          <w:lang w:eastAsia="en-US"/>
        </w:rPr>
        <w:t>ГО</w:t>
      </w:r>
      <w:r w:rsidRPr="00281602">
        <w:rPr>
          <w:rFonts w:eastAsia="Calibri"/>
          <w:b/>
          <w:sz w:val="24"/>
          <w:szCs w:val="24"/>
          <w:shd w:val="clear" w:color="auto" w:fill="FFFFFF"/>
          <w:lang w:val="en-US" w:eastAsia="en-US"/>
        </w:rPr>
        <w:t xml:space="preserve"> </w:t>
      </w:r>
      <w:r w:rsidRPr="00281602">
        <w:rPr>
          <w:rFonts w:eastAsia="Calibri"/>
          <w:b/>
          <w:sz w:val="24"/>
          <w:szCs w:val="24"/>
          <w:shd w:val="clear" w:color="auto" w:fill="FFFFFF"/>
          <w:lang w:eastAsia="en-US"/>
        </w:rPr>
        <w:t>и</w:t>
      </w:r>
      <w:r w:rsidRPr="00281602">
        <w:rPr>
          <w:rFonts w:eastAsia="Calibri"/>
          <w:b/>
          <w:sz w:val="24"/>
          <w:szCs w:val="24"/>
          <w:shd w:val="clear" w:color="auto" w:fill="FFFFFF"/>
          <w:lang w:val="en-US" w:eastAsia="en-US"/>
        </w:rPr>
        <w:t xml:space="preserve"> </w:t>
      </w:r>
      <w:r w:rsidRPr="00281602">
        <w:rPr>
          <w:rFonts w:eastAsia="Calibri"/>
          <w:b/>
          <w:sz w:val="24"/>
          <w:szCs w:val="24"/>
          <w:shd w:val="clear" w:color="auto" w:fill="FFFFFF"/>
          <w:lang w:eastAsia="en-US"/>
        </w:rPr>
        <w:t>ЧС</w:t>
      </w:r>
    </w:p>
    <w:p w:rsidR="00281602" w:rsidRPr="00281602" w:rsidRDefault="00281602" w:rsidP="00281602">
      <w:pPr>
        <w:jc w:val="center"/>
        <w:rPr>
          <w:rFonts w:eastAsia="Calibri"/>
          <w:b/>
          <w:sz w:val="24"/>
          <w:szCs w:val="24"/>
          <w:shd w:val="clear" w:color="auto" w:fill="FFFFFF"/>
          <w:lang w:val="en-US" w:eastAsia="en-US"/>
        </w:rPr>
      </w:pPr>
      <w:r w:rsidRPr="00281602">
        <w:rPr>
          <w:rFonts w:eastAsia="Calibri"/>
          <w:b/>
          <w:sz w:val="24"/>
          <w:szCs w:val="24"/>
          <w:shd w:val="clear" w:color="auto" w:fill="FFFFFF"/>
          <w:lang w:val="en-US" w:eastAsia="en-US"/>
        </w:rPr>
        <w:t>Theoretical support of the information service of citizens in the case of civil defense and emergency situations</w:t>
      </w:r>
    </w:p>
    <w:p w:rsidR="00281602" w:rsidRPr="00281602" w:rsidRDefault="00281602" w:rsidP="00281602">
      <w:pPr>
        <w:ind w:firstLine="425"/>
        <w:jc w:val="both"/>
        <w:rPr>
          <w:rFonts w:eastAsia="Calibri"/>
          <w:b/>
          <w:sz w:val="22"/>
          <w:szCs w:val="22"/>
          <w:shd w:val="clear" w:color="auto" w:fill="FFFFFF"/>
          <w:lang w:val="en-US" w:eastAsia="en-US"/>
        </w:rPr>
      </w:pPr>
    </w:p>
    <w:p w:rsidR="00281602" w:rsidRPr="00281602" w:rsidRDefault="00281602" w:rsidP="000C4264">
      <w:pPr>
        <w:ind w:firstLine="425"/>
        <w:jc w:val="right"/>
        <w:rPr>
          <w:rFonts w:eastAsia="Calibri"/>
          <w:sz w:val="22"/>
          <w:szCs w:val="22"/>
          <w:shd w:val="clear" w:color="auto" w:fill="FFFFFF"/>
          <w:lang w:eastAsia="en-US"/>
        </w:rPr>
      </w:pPr>
      <w:r w:rsidRPr="00281602">
        <w:rPr>
          <w:rFonts w:eastAsia="Calibri"/>
          <w:sz w:val="22"/>
          <w:szCs w:val="22"/>
          <w:shd w:val="clear" w:color="auto" w:fill="FFFFFF"/>
          <w:lang w:eastAsia="en-US"/>
        </w:rPr>
        <w:t>Кравченко К. А.,</w:t>
      </w:r>
      <w:r w:rsidR="000C4264">
        <w:rPr>
          <w:rFonts w:eastAsia="Calibri"/>
          <w:sz w:val="22"/>
          <w:szCs w:val="22"/>
          <w:shd w:val="clear" w:color="auto" w:fill="FFFFFF"/>
          <w:lang w:eastAsia="en-US"/>
        </w:rPr>
        <w:t xml:space="preserve"> </w:t>
      </w:r>
      <w:r w:rsidRPr="00281602">
        <w:rPr>
          <w:rFonts w:eastAsia="Calibri"/>
          <w:sz w:val="22"/>
          <w:szCs w:val="22"/>
          <w:shd w:val="clear" w:color="auto" w:fill="FFFFFF"/>
          <w:lang w:eastAsia="en-US"/>
        </w:rPr>
        <w:t>Щутский А. С.,</w:t>
      </w:r>
    </w:p>
    <w:p w:rsidR="00281602" w:rsidRPr="00281602" w:rsidRDefault="00281602" w:rsidP="00281602">
      <w:pPr>
        <w:ind w:firstLine="425"/>
        <w:jc w:val="right"/>
        <w:rPr>
          <w:rFonts w:eastAsia="Calibri"/>
          <w:sz w:val="22"/>
          <w:szCs w:val="22"/>
          <w:shd w:val="clear" w:color="auto" w:fill="FFFFFF"/>
          <w:lang w:eastAsia="en-US"/>
        </w:rPr>
      </w:pPr>
      <w:r w:rsidRPr="00281602">
        <w:rPr>
          <w:rFonts w:eastAsia="Calibri"/>
          <w:sz w:val="22"/>
          <w:szCs w:val="22"/>
          <w:shd w:val="clear" w:color="auto" w:fill="FFFFFF"/>
          <w:lang w:eastAsia="en-US"/>
        </w:rPr>
        <w:t>студент</w:t>
      </w:r>
      <w:r w:rsidR="000C4264">
        <w:rPr>
          <w:rFonts w:eastAsia="Calibri"/>
          <w:sz w:val="22"/>
          <w:szCs w:val="22"/>
          <w:shd w:val="clear" w:color="auto" w:fill="FFFFFF"/>
          <w:lang w:eastAsia="en-US"/>
        </w:rPr>
        <w:t>ы</w:t>
      </w:r>
      <w:r w:rsidRPr="00281602">
        <w:rPr>
          <w:rFonts w:eastAsia="Calibri"/>
          <w:sz w:val="22"/>
          <w:szCs w:val="22"/>
          <w:shd w:val="clear" w:color="auto" w:fill="FFFFFF"/>
          <w:lang w:eastAsia="en-US"/>
        </w:rPr>
        <w:t xml:space="preserve"> 3-го 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shd w:val="clear" w:color="auto" w:fill="FFFFFF"/>
          <w:lang w:eastAsia="en-US"/>
        </w:rPr>
      </w:pPr>
    </w:p>
    <w:p w:rsidR="00281602" w:rsidRPr="00281602" w:rsidRDefault="00281602" w:rsidP="00281602">
      <w:pPr>
        <w:ind w:firstLine="425"/>
        <w:jc w:val="both"/>
        <w:rPr>
          <w:rFonts w:eastAsia="Calibri"/>
          <w:sz w:val="22"/>
          <w:szCs w:val="22"/>
          <w:shd w:val="clear" w:color="auto" w:fill="FFFFFF"/>
          <w:lang w:val="en-US" w:eastAsia="en-US"/>
        </w:rPr>
      </w:pPr>
      <w:r w:rsidRPr="00281602">
        <w:rPr>
          <w:rFonts w:eastAsia="Calibri"/>
          <w:sz w:val="22"/>
          <w:szCs w:val="22"/>
          <w:shd w:val="clear" w:color="auto" w:fill="FFFFFF"/>
          <w:lang w:eastAsia="en-US"/>
        </w:rPr>
        <w:t>АННОТАЦИЯ: В статье определены цель и задачи разработки приложения для прогнозирования последствий аварий на предпри</w:t>
      </w:r>
      <w:r w:rsidRPr="00281602">
        <w:rPr>
          <w:rFonts w:eastAsia="Calibri"/>
          <w:sz w:val="22"/>
          <w:szCs w:val="22"/>
          <w:shd w:val="clear" w:color="auto" w:fill="FFFFFF"/>
          <w:lang w:eastAsia="en-US"/>
        </w:rPr>
        <w:t>я</w:t>
      </w:r>
      <w:r w:rsidRPr="00281602">
        <w:rPr>
          <w:rFonts w:eastAsia="Calibri"/>
          <w:sz w:val="22"/>
          <w:szCs w:val="22"/>
          <w:shd w:val="clear" w:color="auto" w:fill="FFFFFF"/>
          <w:lang w:eastAsia="en-US"/>
        </w:rPr>
        <w:t>тиях, использующих химически опасные вещества. Исформулир</w:t>
      </w:r>
      <w:r w:rsidRPr="00281602">
        <w:rPr>
          <w:rFonts w:eastAsia="Calibri"/>
          <w:sz w:val="22"/>
          <w:szCs w:val="22"/>
          <w:shd w:val="clear" w:color="auto" w:fill="FFFFFF"/>
          <w:lang w:eastAsia="en-US"/>
        </w:rPr>
        <w:t>о</w:t>
      </w:r>
      <w:r w:rsidRPr="00281602">
        <w:rPr>
          <w:rFonts w:eastAsia="Calibri"/>
          <w:sz w:val="22"/>
          <w:szCs w:val="22"/>
          <w:shd w:val="clear" w:color="auto" w:fill="FFFFFF"/>
          <w:lang w:eastAsia="en-US"/>
        </w:rPr>
        <w:t>ванытребованиякней</w:t>
      </w:r>
      <w:r w:rsidRPr="00281602">
        <w:rPr>
          <w:rFonts w:eastAsia="Calibri"/>
          <w:sz w:val="22"/>
          <w:szCs w:val="22"/>
          <w:shd w:val="clear" w:color="auto" w:fill="FFFFFF"/>
          <w:lang w:val="en-US" w:eastAsia="en-US"/>
        </w:rPr>
        <w:t>.</w:t>
      </w:r>
    </w:p>
    <w:p w:rsidR="00281602" w:rsidRPr="00281602" w:rsidRDefault="00281602" w:rsidP="00281602">
      <w:pPr>
        <w:ind w:firstLine="425"/>
        <w:jc w:val="both"/>
        <w:rPr>
          <w:rFonts w:eastAsia="Calibri"/>
          <w:sz w:val="22"/>
          <w:szCs w:val="22"/>
          <w:shd w:val="clear" w:color="auto" w:fill="FFFFFF"/>
          <w:lang w:eastAsia="en-US"/>
        </w:rPr>
      </w:pPr>
      <w:r w:rsidRPr="00281602">
        <w:rPr>
          <w:rFonts w:eastAsia="Calibri"/>
          <w:sz w:val="22"/>
          <w:szCs w:val="22"/>
          <w:shd w:val="clear" w:color="auto" w:fill="FFFFFF"/>
          <w:lang w:val="en-US" w:eastAsia="en-US"/>
        </w:rPr>
        <w:t>ANNOTATION: The goal and tasks of developing an application for predicting the consequences of accidents at enterprises using chem</w:t>
      </w:r>
      <w:r w:rsidRPr="00281602">
        <w:rPr>
          <w:rFonts w:eastAsia="Calibri"/>
          <w:sz w:val="22"/>
          <w:szCs w:val="22"/>
          <w:shd w:val="clear" w:color="auto" w:fill="FFFFFF"/>
          <w:lang w:val="en-US" w:eastAsia="en-US"/>
        </w:rPr>
        <w:t>i</w:t>
      </w:r>
      <w:r w:rsidRPr="00281602">
        <w:rPr>
          <w:rFonts w:eastAsia="Calibri"/>
          <w:sz w:val="22"/>
          <w:szCs w:val="22"/>
          <w:shd w:val="clear" w:color="auto" w:fill="FFFFFF"/>
          <w:lang w:val="en-US" w:eastAsia="en-US"/>
        </w:rPr>
        <w:t xml:space="preserve">cally hazardous substances are defined in the article. </w:t>
      </w:r>
      <w:r w:rsidRPr="00281602">
        <w:rPr>
          <w:rFonts w:eastAsia="Calibri"/>
          <w:sz w:val="22"/>
          <w:szCs w:val="22"/>
          <w:shd w:val="clear" w:color="auto" w:fill="FFFFFF"/>
          <w:lang w:eastAsia="en-US"/>
        </w:rPr>
        <w:t>Andformulatedtherequirementsforit.</w:t>
      </w:r>
    </w:p>
    <w:p w:rsidR="00281602" w:rsidRPr="00281602" w:rsidRDefault="00281602" w:rsidP="00281602">
      <w:pPr>
        <w:shd w:val="clear" w:color="auto" w:fill="FFFFFF"/>
        <w:ind w:firstLine="425"/>
        <w:jc w:val="both"/>
        <w:rPr>
          <w:color w:val="000000"/>
          <w:sz w:val="22"/>
          <w:szCs w:val="22"/>
        </w:rPr>
      </w:pPr>
      <w:r w:rsidRPr="00281602">
        <w:rPr>
          <w:color w:val="000000"/>
          <w:sz w:val="22"/>
          <w:szCs w:val="22"/>
        </w:rPr>
        <w:lastRenderedPageBreak/>
        <w:t>КЛЮЧЕВЫЕ СЛОВА: химически опасный, ядовитые вещ</w:t>
      </w:r>
      <w:r w:rsidRPr="00281602">
        <w:rPr>
          <w:color w:val="000000"/>
          <w:sz w:val="22"/>
          <w:szCs w:val="22"/>
        </w:rPr>
        <w:t>е</w:t>
      </w:r>
      <w:r w:rsidRPr="00281602">
        <w:rPr>
          <w:color w:val="000000"/>
          <w:sz w:val="22"/>
          <w:szCs w:val="22"/>
        </w:rPr>
        <w:t>ства, загрязнение, авария, анализ последствий.</w:t>
      </w:r>
    </w:p>
    <w:p w:rsidR="00281602" w:rsidRPr="001755C3" w:rsidRDefault="00281602" w:rsidP="00281602">
      <w:pPr>
        <w:shd w:val="clear" w:color="auto" w:fill="FFFFFF"/>
        <w:ind w:firstLine="425"/>
        <w:jc w:val="both"/>
        <w:rPr>
          <w:color w:val="000000"/>
          <w:sz w:val="22"/>
          <w:szCs w:val="22"/>
          <w:lang w:val="en-US"/>
        </w:rPr>
      </w:pPr>
      <w:r w:rsidRPr="00281602">
        <w:rPr>
          <w:color w:val="000000"/>
          <w:sz w:val="22"/>
          <w:szCs w:val="22"/>
          <w:lang w:val="en-US"/>
        </w:rPr>
        <w:t>KEYWORDS: chemically hazardous, poisonous substances, poll</w:t>
      </w:r>
      <w:r w:rsidRPr="00281602">
        <w:rPr>
          <w:color w:val="000000"/>
          <w:sz w:val="22"/>
          <w:szCs w:val="22"/>
          <w:lang w:val="en-US"/>
        </w:rPr>
        <w:t>u</w:t>
      </w:r>
      <w:r w:rsidRPr="00281602">
        <w:rPr>
          <w:color w:val="000000"/>
          <w:sz w:val="22"/>
          <w:szCs w:val="22"/>
          <w:lang w:val="en-US"/>
        </w:rPr>
        <w:t>tion, accident, impact analysis.</w:t>
      </w:r>
    </w:p>
    <w:p w:rsidR="003B37B7" w:rsidRPr="001755C3" w:rsidRDefault="003B37B7" w:rsidP="00281602">
      <w:pPr>
        <w:shd w:val="clear" w:color="auto" w:fill="FFFFFF"/>
        <w:ind w:firstLine="425"/>
        <w:jc w:val="both"/>
        <w:rPr>
          <w:color w:val="000000"/>
          <w:sz w:val="22"/>
          <w:szCs w:val="22"/>
          <w:lang w:val="en-US"/>
        </w:rPr>
      </w:pPr>
    </w:p>
    <w:p w:rsidR="00281602" w:rsidRPr="00281602" w:rsidRDefault="00281602" w:rsidP="00281602">
      <w:pPr>
        <w:shd w:val="clear" w:color="auto" w:fill="FFFFFF"/>
        <w:ind w:firstLine="425"/>
        <w:jc w:val="both"/>
        <w:rPr>
          <w:color w:val="000000"/>
          <w:sz w:val="22"/>
          <w:szCs w:val="22"/>
        </w:rPr>
      </w:pPr>
      <w:r w:rsidRPr="00281602">
        <w:rPr>
          <w:color w:val="000000"/>
          <w:sz w:val="22"/>
          <w:szCs w:val="22"/>
        </w:rPr>
        <w:t>Существенное социальное и экономическое значение имеет своевременное прогнозирование, профилактика, предупреждение и ликвидация последствий ЧС, возникающих в результате аварий, катастроф и стихийных бедствий.</w:t>
      </w: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Одним из экологических факторов, оказывающих наиболее в</w:t>
      </w:r>
      <w:r w:rsidRPr="00281602">
        <w:rPr>
          <w:rFonts w:eastAsia="Calibri"/>
          <w:color w:val="000000"/>
          <w:sz w:val="22"/>
          <w:szCs w:val="22"/>
          <w:shd w:val="clear" w:color="auto" w:fill="FFFFFF"/>
          <w:lang w:eastAsia="en-US"/>
        </w:rPr>
        <w:t>ы</w:t>
      </w:r>
      <w:r w:rsidRPr="00281602">
        <w:rPr>
          <w:rFonts w:eastAsia="Calibri"/>
          <w:color w:val="000000"/>
          <w:sz w:val="22"/>
          <w:szCs w:val="22"/>
          <w:shd w:val="clear" w:color="auto" w:fill="FFFFFF"/>
          <w:lang w:eastAsia="en-US"/>
        </w:rPr>
        <w:t xml:space="preserve">раженное влияние на жизнь человека, является качество атмосферы. Особую опасность в настоящее время представляют выбросы в нее загрязняющих веществ. Из чего следует сделать вывод, что </w:t>
      </w:r>
      <w:r w:rsidRPr="00281602">
        <w:rPr>
          <w:rFonts w:eastAsia="Calibri"/>
          <w:sz w:val="22"/>
          <w:szCs w:val="22"/>
          <w:lang w:eastAsia="en-US"/>
        </w:rPr>
        <w:t>цель работы – разработка сервиса для заблаговременного и оперативного прогнозирования масштабов заражения в случае выброса ядовитых опасных веществ в окружающую среду при авариях (разрушениях) на химически опасных объектах.</w:t>
      </w: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Задачи:</w:t>
      </w:r>
    </w:p>
    <w:p w:rsidR="00281602" w:rsidRPr="00281602" w:rsidRDefault="00281602" w:rsidP="00281602">
      <w:pPr>
        <w:ind w:left="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анализ предметной области;</w:t>
      </w:r>
    </w:p>
    <w:p w:rsidR="00281602" w:rsidRPr="00281602" w:rsidRDefault="00281602" w:rsidP="00281602">
      <w:pPr>
        <w:ind w:left="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изучение моделей;</w:t>
      </w:r>
    </w:p>
    <w:p w:rsidR="00281602" w:rsidRPr="00281602" w:rsidRDefault="00281602" w:rsidP="00281602">
      <w:pPr>
        <w:ind w:left="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программная реализация изученных моделей;</w:t>
      </w:r>
    </w:p>
    <w:p w:rsidR="00281602" w:rsidRPr="00281602" w:rsidRDefault="00281602" w:rsidP="00281602">
      <w:pPr>
        <w:ind w:left="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визуализация расчетов;</w:t>
      </w:r>
    </w:p>
    <w:p w:rsidR="00281602" w:rsidRPr="00281602" w:rsidRDefault="00281602" w:rsidP="00281602">
      <w:pPr>
        <w:ind w:left="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создание баз данных для хранения результатов расчетов.</w:t>
      </w: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В результате деятельности людей главными источниками з</w:t>
      </w:r>
      <w:r w:rsidRPr="00281602">
        <w:rPr>
          <w:rFonts w:eastAsia="Calibri"/>
          <w:color w:val="000000"/>
          <w:sz w:val="22"/>
          <w:szCs w:val="22"/>
          <w:shd w:val="clear" w:color="auto" w:fill="FFFFFF"/>
          <w:lang w:eastAsia="en-US"/>
        </w:rPr>
        <w:t>а</w:t>
      </w:r>
      <w:r w:rsidRPr="00281602">
        <w:rPr>
          <w:rFonts w:eastAsia="Calibri"/>
          <w:color w:val="000000"/>
          <w:sz w:val="22"/>
          <w:szCs w:val="22"/>
          <w:shd w:val="clear" w:color="auto" w:fill="FFFFFF"/>
          <w:lang w:eastAsia="en-US"/>
        </w:rPr>
        <w:t>грязняющих веществ на современном этапе развития технологий являются антропогенные, а именно – промышленность, сельское хозяйство и автотранспорт. Также существуют природные источн</w:t>
      </w:r>
      <w:r w:rsidRPr="00281602">
        <w:rPr>
          <w:rFonts w:eastAsia="Calibri"/>
          <w:color w:val="000000"/>
          <w:sz w:val="22"/>
          <w:szCs w:val="22"/>
          <w:shd w:val="clear" w:color="auto" w:fill="FFFFFF"/>
          <w:lang w:eastAsia="en-US"/>
        </w:rPr>
        <w:t>и</w:t>
      </w:r>
      <w:r w:rsidRPr="00281602">
        <w:rPr>
          <w:rFonts w:eastAsia="Calibri"/>
          <w:color w:val="000000"/>
          <w:sz w:val="22"/>
          <w:szCs w:val="22"/>
          <w:shd w:val="clear" w:color="auto" w:fill="FFFFFF"/>
          <w:lang w:eastAsia="en-US"/>
        </w:rPr>
        <w:t>ки загрязнения воздуха. Основными примесями, которые содержат выбросы в атмосферу от естественных источников, являются пыль космического, вулканического и растительного происхождения, газы и дым, образующиеся в результате лесных и степных пожаров, продукты разрушения и выветривания горных пород и почв и пр. Уровни загрязнения воздушной среды природными источниками носят фоновый характер; они достаточно мало изменяются со вр</w:t>
      </w:r>
      <w:r w:rsidRPr="00281602">
        <w:rPr>
          <w:rFonts w:eastAsia="Calibri"/>
          <w:color w:val="000000"/>
          <w:sz w:val="22"/>
          <w:szCs w:val="22"/>
          <w:shd w:val="clear" w:color="auto" w:fill="FFFFFF"/>
          <w:lang w:eastAsia="en-US"/>
        </w:rPr>
        <w:t>е</w:t>
      </w:r>
      <w:r w:rsidRPr="00281602">
        <w:rPr>
          <w:rFonts w:eastAsia="Calibri"/>
          <w:color w:val="000000"/>
          <w:sz w:val="22"/>
          <w:szCs w:val="22"/>
          <w:shd w:val="clear" w:color="auto" w:fill="FFFFFF"/>
          <w:lang w:eastAsia="en-US"/>
        </w:rPr>
        <w:t>менем.</w:t>
      </w:r>
    </w:p>
    <w:p w:rsidR="00281602" w:rsidRPr="00281602" w:rsidRDefault="00281602" w:rsidP="003B37B7">
      <w:pPr>
        <w:shd w:val="clear" w:color="auto" w:fill="FFFFFF"/>
        <w:ind w:firstLine="425"/>
        <w:jc w:val="both"/>
        <w:rPr>
          <w:color w:val="000000"/>
          <w:sz w:val="22"/>
          <w:szCs w:val="22"/>
        </w:rPr>
      </w:pPr>
      <w:r w:rsidRPr="00281602">
        <w:rPr>
          <w:color w:val="000000"/>
          <w:sz w:val="22"/>
          <w:szCs w:val="22"/>
        </w:rPr>
        <w:t>Специфика аварии на современном промышленном предпри</w:t>
      </w:r>
      <w:r w:rsidRPr="00281602">
        <w:rPr>
          <w:color w:val="000000"/>
          <w:sz w:val="22"/>
          <w:szCs w:val="22"/>
        </w:rPr>
        <w:t>я</w:t>
      </w:r>
      <w:r w:rsidRPr="00281602">
        <w:rPr>
          <w:color w:val="000000"/>
          <w:sz w:val="22"/>
          <w:szCs w:val="22"/>
        </w:rPr>
        <w:t>тии проявляется в порядке четырех характерных фаз.</w:t>
      </w:r>
    </w:p>
    <w:p w:rsidR="00281602" w:rsidRPr="00281602" w:rsidRDefault="00281602" w:rsidP="003B37B7">
      <w:pPr>
        <w:numPr>
          <w:ilvl w:val="0"/>
          <w:numId w:val="43"/>
        </w:numPr>
        <w:shd w:val="clear" w:color="auto" w:fill="FFFFFF"/>
        <w:tabs>
          <w:tab w:val="left" w:pos="0"/>
        </w:tabs>
        <w:spacing w:line="259" w:lineRule="auto"/>
        <w:ind w:left="0" w:firstLine="425"/>
        <w:jc w:val="both"/>
        <w:rPr>
          <w:color w:val="000000"/>
          <w:sz w:val="22"/>
          <w:szCs w:val="22"/>
        </w:rPr>
      </w:pPr>
      <w:r w:rsidRPr="00281602">
        <w:rPr>
          <w:color w:val="000000"/>
          <w:sz w:val="22"/>
          <w:szCs w:val="22"/>
        </w:rPr>
        <w:lastRenderedPageBreak/>
        <w:t>Инициирование аварии - переход предприятия в нестабил</w:t>
      </w:r>
      <w:r w:rsidRPr="00281602">
        <w:rPr>
          <w:color w:val="000000"/>
          <w:sz w:val="22"/>
          <w:szCs w:val="22"/>
        </w:rPr>
        <w:t>ь</w:t>
      </w:r>
      <w:r w:rsidRPr="00281602">
        <w:rPr>
          <w:color w:val="000000"/>
          <w:sz w:val="22"/>
          <w:szCs w:val="22"/>
        </w:rPr>
        <w:t>ное состояние.</w:t>
      </w:r>
    </w:p>
    <w:p w:rsidR="00281602" w:rsidRPr="00281602" w:rsidRDefault="00281602" w:rsidP="003B37B7">
      <w:pPr>
        <w:numPr>
          <w:ilvl w:val="0"/>
          <w:numId w:val="43"/>
        </w:numPr>
        <w:shd w:val="clear" w:color="auto" w:fill="FFFFFF"/>
        <w:tabs>
          <w:tab w:val="left" w:pos="0"/>
        </w:tabs>
        <w:spacing w:line="259" w:lineRule="auto"/>
        <w:ind w:left="0" w:firstLine="425"/>
        <w:jc w:val="both"/>
        <w:rPr>
          <w:color w:val="000000"/>
          <w:sz w:val="22"/>
          <w:szCs w:val="22"/>
        </w:rPr>
      </w:pPr>
      <w:r w:rsidRPr="00281602">
        <w:rPr>
          <w:color w:val="000000"/>
          <w:sz w:val="22"/>
          <w:szCs w:val="22"/>
        </w:rPr>
        <w:t>Развитие аварии – цепной процесс разрушительного высв</w:t>
      </w:r>
      <w:r w:rsidRPr="00281602">
        <w:rPr>
          <w:color w:val="000000"/>
          <w:sz w:val="22"/>
          <w:szCs w:val="22"/>
        </w:rPr>
        <w:t>о</w:t>
      </w:r>
      <w:r w:rsidRPr="00281602">
        <w:rPr>
          <w:color w:val="000000"/>
          <w:sz w:val="22"/>
          <w:szCs w:val="22"/>
        </w:rPr>
        <w:t>бождения энергозапаса объекта и других опасностей технологии, неконтролируемость (необратимость) процесса аварии. Темп выд</w:t>
      </w:r>
      <w:r w:rsidRPr="00281602">
        <w:rPr>
          <w:color w:val="000000"/>
          <w:sz w:val="22"/>
          <w:szCs w:val="22"/>
        </w:rPr>
        <w:t>е</w:t>
      </w:r>
      <w:r w:rsidRPr="00281602">
        <w:rPr>
          <w:color w:val="000000"/>
          <w:sz w:val="22"/>
          <w:szCs w:val="22"/>
        </w:rPr>
        <w:t>ления опасностей при аварии не соответствует возможностям сил и средств обеспечения безопасности.</w:t>
      </w:r>
    </w:p>
    <w:p w:rsidR="00281602" w:rsidRPr="00281602" w:rsidRDefault="00281602" w:rsidP="003B37B7">
      <w:pPr>
        <w:numPr>
          <w:ilvl w:val="0"/>
          <w:numId w:val="43"/>
        </w:numPr>
        <w:shd w:val="clear" w:color="auto" w:fill="FFFFFF"/>
        <w:tabs>
          <w:tab w:val="left" w:pos="0"/>
        </w:tabs>
        <w:spacing w:line="259" w:lineRule="auto"/>
        <w:ind w:left="0" w:firstLine="425"/>
        <w:jc w:val="both"/>
        <w:rPr>
          <w:color w:val="000000"/>
          <w:sz w:val="22"/>
          <w:szCs w:val="22"/>
        </w:rPr>
      </w:pPr>
      <w:r w:rsidRPr="00281602">
        <w:rPr>
          <w:color w:val="000000"/>
          <w:sz w:val="22"/>
          <w:szCs w:val="22"/>
        </w:rPr>
        <w:t>Фаза выхода аварии за пределы предприятия – создание ЧС для населения и окружающей местности в районе размещения предприятия.</w:t>
      </w:r>
    </w:p>
    <w:p w:rsidR="00281602" w:rsidRPr="00281602" w:rsidRDefault="00281602" w:rsidP="003B37B7">
      <w:pPr>
        <w:numPr>
          <w:ilvl w:val="0"/>
          <w:numId w:val="43"/>
        </w:numPr>
        <w:shd w:val="clear" w:color="auto" w:fill="FFFFFF"/>
        <w:tabs>
          <w:tab w:val="left" w:pos="0"/>
        </w:tabs>
        <w:spacing w:line="259" w:lineRule="auto"/>
        <w:ind w:left="0" w:firstLine="425"/>
        <w:jc w:val="both"/>
        <w:rPr>
          <w:color w:val="000000"/>
          <w:sz w:val="22"/>
          <w:szCs w:val="22"/>
        </w:rPr>
      </w:pPr>
      <w:r w:rsidRPr="00281602">
        <w:rPr>
          <w:color w:val="000000"/>
          <w:sz w:val="22"/>
          <w:szCs w:val="22"/>
        </w:rPr>
        <w:t>Ликвидация последствий аварии – устранение действия п</w:t>
      </w:r>
      <w:r w:rsidRPr="00281602">
        <w:rPr>
          <w:color w:val="000000"/>
          <w:sz w:val="22"/>
          <w:szCs w:val="22"/>
        </w:rPr>
        <w:t>о</w:t>
      </w:r>
      <w:r w:rsidRPr="00281602">
        <w:rPr>
          <w:color w:val="000000"/>
          <w:sz w:val="22"/>
          <w:szCs w:val="22"/>
        </w:rPr>
        <w:t>рожденных аварией опасных факторов. [1]</w:t>
      </w:r>
    </w:p>
    <w:p w:rsidR="00281602" w:rsidRPr="00281602" w:rsidRDefault="00281602" w:rsidP="003B37B7">
      <w:pPr>
        <w:shd w:val="clear" w:color="auto" w:fill="FFFFFF"/>
        <w:ind w:firstLine="425"/>
        <w:jc w:val="both"/>
        <w:rPr>
          <w:color w:val="000000"/>
          <w:sz w:val="22"/>
          <w:szCs w:val="22"/>
        </w:rPr>
      </w:pPr>
      <w:r w:rsidRPr="00281602">
        <w:rPr>
          <w:color w:val="000000"/>
          <w:sz w:val="22"/>
          <w:szCs w:val="22"/>
        </w:rPr>
        <w:t>Процесс ликвидации ЧС зависит от объекта (места), характера и хода аварии. Поэтому представление данного процесса единой моделью практически невозможно. Вместе с тем имеется опред</w:t>
      </w:r>
      <w:r w:rsidRPr="00281602">
        <w:rPr>
          <w:color w:val="000000"/>
          <w:sz w:val="22"/>
          <w:szCs w:val="22"/>
        </w:rPr>
        <w:t>е</w:t>
      </w:r>
      <w:r w:rsidRPr="00281602">
        <w:rPr>
          <w:color w:val="000000"/>
          <w:sz w:val="22"/>
          <w:szCs w:val="22"/>
        </w:rPr>
        <w:t>ленная общность происходящих процессов и последствий.</w:t>
      </w:r>
    </w:p>
    <w:p w:rsidR="00281602" w:rsidRPr="00281602" w:rsidRDefault="00281602" w:rsidP="003B37B7">
      <w:pPr>
        <w:shd w:val="clear" w:color="auto" w:fill="FFFFFF"/>
        <w:ind w:firstLine="425"/>
        <w:jc w:val="both"/>
        <w:rPr>
          <w:color w:val="000000"/>
          <w:sz w:val="22"/>
          <w:szCs w:val="22"/>
        </w:rPr>
      </w:pPr>
      <w:r w:rsidRPr="00281602">
        <w:rPr>
          <w:color w:val="000000"/>
          <w:sz w:val="22"/>
          <w:szCs w:val="22"/>
        </w:rPr>
        <w:t>Следует отметить, что на фазе выхода аварии за пределы пре</w:t>
      </w:r>
      <w:r w:rsidRPr="00281602">
        <w:rPr>
          <w:color w:val="000000"/>
          <w:sz w:val="22"/>
          <w:szCs w:val="22"/>
        </w:rPr>
        <w:t>д</w:t>
      </w:r>
      <w:r w:rsidRPr="00281602">
        <w:rPr>
          <w:color w:val="000000"/>
          <w:sz w:val="22"/>
          <w:szCs w:val="22"/>
        </w:rPr>
        <w:t>приятия, деятельность по обработке данных может производиться с помощью разрабатываемого сервиса. То есть приложение можно использовать как дополнительное средство анализа и прогнозир</w:t>
      </w:r>
      <w:r w:rsidRPr="00281602">
        <w:rPr>
          <w:color w:val="000000"/>
          <w:sz w:val="22"/>
          <w:szCs w:val="22"/>
        </w:rPr>
        <w:t>о</w:t>
      </w:r>
      <w:r w:rsidRPr="00281602">
        <w:rPr>
          <w:color w:val="000000"/>
          <w:sz w:val="22"/>
          <w:szCs w:val="22"/>
        </w:rPr>
        <w:t>вания состояния территории и атмосферы вследствие аварий на объектах, деятельность которых связана с химически опасными в</w:t>
      </w:r>
      <w:r w:rsidRPr="00281602">
        <w:rPr>
          <w:color w:val="000000"/>
          <w:sz w:val="22"/>
          <w:szCs w:val="22"/>
        </w:rPr>
        <w:t>е</w:t>
      </w:r>
      <w:r w:rsidRPr="00281602">
        <w:rPr>
          <w:color w:val="000000"/>
          <w:sz w:val="22"/>
          <w:szCs w:val="22"/>
        </w:rPr>
        <w:t>ществами.</w:t>
      </w:r>
    </w:p>
    <w:p w:rsidR="00281602" w:rsidRPr="00281602" w:rsidRDefault="00281602" w:rsidP="003B37B7">
      <w:pPr>
        <w:ind w:firstLine="425"/>
        <w:jc w:val="both"/>
        <w:rPr>
          <w:rFonts w:eastAsia="Calibri"/>
          <w:sz w:val="22"/>
          <w:szCs w:val="22"/>
          <w:lang w:eastAsia="en-US"/>
        </w:rPr>
      </w:pPr>
      <w:r w:rsidRPr="00281602">
        <w:rPr>
          <w:rFonts w:eastAsia="Calibri"/>
          <w:sz w:val="22"/>
          <w:szCs w:val="22"/>
          <w:lang w:eastAsia="en-US"/>
        </w:rPr>
        <w:t>Преимущества использования приложения при обнаружении какого-либо выброса:</w:t>
      </w:r>
    </w:p>
    <w:p w:rsidR="00281602" w:rsidRPr="00281602" w:rsidRDefault="00281602" w:rsidP="003B37B7">
      <w:pPr>
        <w:numPr>
          <w:ilvl w:val="0"/>
          <w:numId w:val="42"/>
        </w:numPr>
        <w:spacing w:line="259" w:lineRule="auto"/>
        <w:ind w:left="0" w:firstLine="425"/>
        <w:jc w:val="both"/>
        <w:rPr>
          <w:rFonts w:eastAsia="Calibri"/>
          <w:sz w:val="22"/>
          <w:szCs w:val="22"/>
          <w:lang w:eastAsia="en-US"/>
        </w:rPr>
      </w:pPr>
      <w:r w:rsidRPr="00281602">
        <w:rPr>
          <w:rFonts w:eastAsia="Calibri"/>
          <w:sz w:val="22"/>
          <w:szCs w:val="22"/>
          <w:lang w:eastAsia="en-US"/>
        </w:rPr>
        <w:t>Уменьшение числа пострадавших благодаря своевременн</w:t>
      </w:r>
      <w:r w:rsidRPr="00281602">
        <w:rPr>
          <w:rFonts w:eastAsia="Calibri"/>
          <w:sz w:val="22"/>
          <w:szCs w:val="22"/>
          <w:lang w:eastAsia="en-US"/>
        </w:rPr>
        <w:t>о</w:t>
      </w:r>
      <w:r w:rsidRPr="00281602">
        <w:rPr>
          <w:rFonts w:eastAsia="Calibri"/>
          <w:sz w:val="22"/>
          <w:szCs w:val="22"/>
          <w:lang w:eastAsia="en-US"/>
        </w:rPr>
        <w:t>му оповещению.</w:t>
      </w:r>
    </w:p>
    <w:p w:rsidR="00281602" w:rsidRPr="00281602" w:rsidRDefault="00281602" w:rsidP="003B37B7">
      <w:pPr>
        <w:numPr>
          <w:ilvl w:val="0"/>
          <w:numId w:val="42"/>
        </w:numPr>
        <w:spacing w:line="259" w:lineRule="auto"/>
        <w:ind w:left="0" w:firstLine="425"/>
        <w:jc w:val="both"/>
        <w:rPr>
          <w:rFonts w:eastAsia="Calibri"/>
          <w:sz w:val="22"/>
          <w:szCs w:val="22"/>
          <w:lang w:eastAsia="en-US"/>
        </w:rPr>
      </w:pPr>
      <w:r w:rsidRPr="00281602">
        <w:rPr>
          <w:rFonts w:eastAsia="Calibri"/>
          <w:sz w:val="22"/>
          <w:szCs w:val="22"/>
          <w:lang w:eastAsia="en-US"/>
        </w:rPr>
        <w:t>Наглядная визуализация данных о масштабах заражения.</w:t>
      </w:r>
    </w:p>
    <w:p w:rsidR="00281602" w:rsidRPr="00281602" w:rsidRDefault="00281602" w:rsidP="003B37B7">
      <w:pPr>
        <w:numPr>
          <w:ilvl w:val="0"/>
          <w:numId w:val="42"/>
        </w:numPr>
        <w:spacing w:line="259" w:lineRule="auto"/>
        <w:ind w:left="0" w:firstLine="425"/>
        <w:jc w:val="both"/>
        <w:rPr>
          <w:rFonts w:eastAsia="Calibri"/>
          <w:sz w:val="22"/>
          <w:szCs w:val="22"/>
          <w:lang w:eastAsia="en-US"/>
        </w:rPr>
      </w:pPr>
      <w:r w:rsidRPr="00281602">
        <w:rPr>
          <w:rFonts w:eastAsia="Calibri"/>
          <w:sz w:val="22"/>
          <w:szCs w:val="22"/>
          <w:lang w:eastAsia="en-US"/>
        </w:rPr>
        <w:t xml:space="preserve">Сокращения и определения, используемые в приложении, интуитивно-понятны пользователю. </w:t>
      </w:r>
    </w:p>
    <w:p w:rsidR="00281602" w:rsidRPr="00281602" w:rsidRDefault="00281602" w:rsidP="003B37B7">
      <w:pPr>
        <w:ind w:firstLine="425"/>
        <w:jc w:val="both"/>
        <w:rPr>
          <w:rFonts w:eastAsia="Calibri"/>
          <w:sz w:val="22"/>
          <w:szCs w:val="22"/>
          <w:lang w:eastAsia="en-US"/>
        </w:rPr>
      </w:pPr>
      <w:r w:rsidRPr="00281602">
        <w:rPr>
          <w:rFonts w:eastAsia="Calibri"/>
          <w:color w:val="000000"/>
          <w:sz w:val="22"/>
          <w:szCs w:val="22"/>
          <w:lang w:eastAsia="en-US"/>
        </w:rPr>
        <w:t>Методика прогнозирования масштабов зон заражения при ав</w:t>
      </w:r>
      <w:r w:rsidRPr="00281602">
        <w:rPr>
          <w:rFonts w:eastAsia="Calibri"/>
          <w:color w:val="000000"/>
          <w:sz w:val="22"/>
          <w:szCs w:val="22"/>
          <w:lang w:eastAsia="en-US"/>
        </w:rPr>
        <w:t>а</w:t>
      </w:r>
      <w:r w:rsidRPr="00281602">
        <w:rPr>
          <w:rFonts w:eastAsia="Calibri"/>
          <w:color w:val="000000"/>
          <w:sz w:val="22"/>
          <w:szCs w:val="22"/>
          <w:lang w:eastAsia="en-US"/>
        </w:rPr>
        <w:t>риях на технологических установках, при транспортировке, а также в случае разрушения химически опасных объектов [2] не раз пр</w:t>
      </w:r>
      <w:r w:rsidRPr="00281602">
        <w:rPr>
          <w:rFonts w:eastAsia="Calibri"/>
          <w:color w:val="000000"/>
          <w:sz w:val="22"/>
          <w:szCs w:val="22"/>
          <w:lang w:eastAsia="en-US"/>
        </w:rPr>
        <w:t>и</w:t>
      </w:r>
      <w:r w:rsidRPr="00281602">
        <w:rPr>
          <w:rFonts w:eastAsia="Calibri"/>
          <w:color w:val="000000"/>
          <w:sz w:val="22"/>
          <w:szCs w:val="22"/>
          <w:lang w:eastAsia="en-US"/>
        </w:rPr>
        <w:t>менялась при создании программ с похожим функционалом.</w:t>
      </w:r>
      <w:r w:rsidRPr="00281602">
        <w:rPr>
          <w:rFonts w:eastAsia="Calibri"/>
          <w:sz w:val="22"/>
          <w:szCs w:val="22"/>
          <w:lang w:eastAsia="en-US"/>
        </w:rPr>
        <w:t xml:space="preserve"> Одн</w:t>
      </w:r>
      <w:r w:rsidRPr="00281602">
        <w:rPr>
          <w:rFonts w:eastAsia="Calibri"/>
          <w:sz w:val="22"/>
          <w:szCs w:val="22"/>
          <w:lang w:eastAsia="en-US"/>
        </w:rPr>
        <w:t>а</w:t>
      </w:r>
      <w:r w:rsidRPr="00281602">
        <w:rPr>
          <w:rFonts w:eastAsia="Calibri"/>
          <w:sz w:val="22"/>
          <w:szCs w:val="22"/>
          <w:lang w:eastAsia="en-US"/>
        </w:rPr>
        <w:t>ко разрабатываемый сервис будет иметь следующие конкурентные преимущества: упрощенный ввод данных и визуализация результ</w:t>
      </w:r>
      <w:r w:rsidRPr="00281602">
        <w:rPr>
          <w:rFonts w:eastAsia="Calibri"/>
          <w:sz w:val="22"/>
          <w:szCs w:val="22"/>
          <w:lang w:eastAsia="en-US"/>
        </w:rPr>
        <w:t>а</w:t>
      </w:r>
      <w:r w:rsidRPr="00281602">
        <w:rPr>
          <w:rFonts w:eastAsia="Calibri"/>
          <w:sz w:val="22"/>
          <w:szCs w:val="22"/>
          <w:lang w:eastAsia="en-US"/>
        </w:rPr>
        <w:lastRenderedPageBreak/>
        <w:t>тов их обработки. Помимо этого, в перспективе использование пр</w:t>
      </w:r>
      <w:r w:rsidRPr="00281602">
        <w:rPr>
          <w:rFonts w:eastAsia="Calibri"/>
          <w:sz w:val="22"/>
          <w:szCs w:val="22"/>
          <w:lang w:eastAsia="en-US"/>
        </w:rPr>
        <w:t>и</w:t>
      </w:r>
      <w:r w:rsidRPr="00281602">
        <w:rPr>
          <w:rFonts w:eastAsia="Calibri"/>
          <w:sz w:val="22"/>
          <w:szCs w:val="22"/>
          <w:lang w:eastAsia="en-US"/>
        </w:rPr>
        <w:t>ложения как средства анализа территории на наличие загрязняющих веществ после проведениях работ, нейтрализующих угрозу.</w:t>
      </w:r>
    </w:p>
    <w:p w:rsidR="00281602" w:rsidRPr="00281602" w:rsidRDefault="00281602" w:rsidP="000C4264">
      <w:pPr>
        <w:ind w:firstLine="425"/>
        <w:jc w:val="both"/>
        <w:rPr>
          <w:rFonts w:eastAsia="Calibri"/>
          <w:sz w:val="22"/>
          <w:szCs w:val="22"/>
          <w:lang w:eastAsia="en-US"/>
        </w:rPr>
      </w:pPr>
      <w:r w:rsidRPr="00281602">
        <w:rPr>
          <w:rFonts w:eastAsia="Calibri"/>
          <w:sz w:val="22"/>
          <w:szCs w:val="22"/>
          <w:lang w:eastAsia="en-US"/>
        </w:rPr>
        <w:t>Таким образом, приложение позволит усовершенствовать сп</w:t>
      </w:r>
      <w:r w:rsidRPr="00281602">
        <w:rPr>
          <w:rFonts w:eastAsia="Calibri"/>
          <w:sz w:val="22"/>
          <w:szCs w:val="22"/>
          <w:lang w:eastAsia="en-US"/>
        </w:rPr>
        <w:t>о</w:t>
      </w:r>
      <w:r w:rsidRPr="00281602">
        <w:rPr>
          <w:rFonts w:eastAsia="Calibri"/>
          <w:sz w:val="22"/>
          <w:szCs w:val="22"/>
          <w:lang w:eastAsia="en-US"/>
        </w:rPr>
        <w:t>соб информирования населения и подачи данных о химической опасности (место и характер аварии, границы опасной зоны, направление распространения АХОВ, глубину поражения) и опр</w:t>
      </w:r>
      <w:r w:rsidRPr="00281602">
        <w:rPr>
          <w:rFonts w:eastAsia="Calibri"/>
          <w:sz w:val="22"/>
          <w:szCs w:val="22"/>
          <w:lang w:eastAsia="en-US"/>
        </w:rPr>
        <w:t>е</w:t>
      </w:r>
      <w:r w:rsidRPr="00281602">
        <w:rPr>
          <w:rFonts w:eastAsia="Calibri"/>
          <w:sz w:val="22"/>
          <w:szCs w:val="22"/>
          <w:lang w:eastAsia="en-US"/>
        </w:rPr>
        <w:t>деление мер защиты.</w:t>
      </w: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1. http://05.mchs.gov.ru/document/2590219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http://www.infosait.ru/norma_doc/45/45344/</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3. Параскевов А.В. Особенности применения методов мног</w:t>
      </w:r>
      <w:r w:rsidRPr="00281602">
        <w:rPr>
          <w:rFonts w:eastAsia="Calibri"/>
          <w:sz w:val="22"/>
          <w:szCs w:val="22"/>
          <w:lang w:eastAsia="en-US"/>
        </w:rPr>
        <w:t>о</w:t>
      </w:r>
      <w:r w:rsidRPr="00281602">
        <w:rPr>
          <w:rFonts w:eastAsia="Calibri"/>
          <w:sz w:val="22"/>
          <w:szCs w:val="22"/>
          <w:lang w:eastAsia="en-US"/>
        </w:rPr>
        <w:t>критериальной оптимизации в сфере общественного питания /Параскевов А.В., Молько О.Д., Кравченко К.А. // Политематич</w:t>
      </w:r>
      <w:r w:rsidRPr="00281602">
        <w:rPr>
          <w:rFonts w:eastAsia="Calibri"/>
          <w:sz w:val="22"/>
          <w:szCs w:val="22"/>
          <w:lang w:eastAsia="en-US"/>
        </w:rPr>
        <w:t>е</w:t>
      </w:r>
      <w:r w:rsidRPr="00281602">
        <w:rPr>
          <w:rFonts w:eastAsia="Calibri"/>
          <w:sz w:val="22"/>
          <w:szCs w:val="22"/>
          <w:lang w:eastAsia="en-US"/>
        </w:rPr>
        <w:t>ский сетевой электронный научный журнал Кубанского госуда</w:t>
      </w:r>
      <w:r w:rsidRPr="00281602">
        <w:rPr>
          <w:rFonts w:eastAsia="Calibri"/>
          <w:sz w:val="22"/>
          <w:szCs w:val="22"/>
          <w:lang w:eastAsia="en-US"/>
        </w:rPr>
        <w:t>р</w:t>
      </w:r>
      <w:r w:rsidRPr="00281602">
        <w:rPr>
          <w:rFonts w:eastAsia="Calibri"/>
          <w:sz w:val="22"/>
          <w:szCs w:val="22"/>
          <w:lang w:eastAsia="en-US"/>
        </w:rPr>
        <w:t>ственного аграрного университета  (Научный журнал КубГАУ) [Электронный ресурс]. – Краснодар: КубГАУ, 2017. – №05(129).</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4.17.mchs.gov.ru/upload/site64/iblock/e2c/e2c92ca1f34eb2ddb5647bbd69cbfa6e.doc</w:t>
      </w:r>
    </w:p>
    <w:p w:rsidR="00281602" w:rsidRPr="00281602" w:rsidRDefault="00281602" w:rsidP="00281602">
      <w:pPr>
        <w:ind w:firstLine="425"/>
        <w:jc w:val="both"/>
        <w:rPr>
          <w:rFonts w:eastAsia="Calibri"/>
          <w:sz w:val="22"/>
          <w:szCs w:val="22"/>
          <w:lang w:val="en-US" w:eastAsia="en-US"/>
        </w:rPr>
      </w:pPr>
    </w:p>
    <w:p w:rsidR="003B37B7" w:rsidRPr="008D33CB" w:rsidRDefault="003B37B7" w:rsidP="000C4264">
      <w:pPr>
        <w:jc w:val="both"/>
        <w:rPr>
          <w:rFonts w:eastAsia="Calibri"/>
          <w:sz w:val="22"/>
          <w:szCs w:val="22"/>
          <w:lang w:val="en-US" w:eastAsia="en-US"/>
        </w:rPr>
      </w:pPr>
    </w:p>
    <w:p w:rsidR="00CC1F5C" w:rsidRPr="008D33CB" w:rsidRDefault="00CC1F5C" w:rsidP="000C4264">
      <w:pPr>
        <w:jc w:val="both"/>
        <w:rPr>
          <w:rFonts w:eastAsia="Calibri"/>
          <w:sz w:val="22"/>
          <w:szCs w:val="22"/>
          <w:lang w:val="en-US" w:eastAsia="en-US"/>
        </w:rPr>
      </w:pPr>
    </w:p>
    <w:p w:rsidR="000C4264" w:rsidRDefault="00281602" w:rsidP="000C4264">
      <w:pPr>
        <w:jc w:val="both"/>
        <w:rPr>
          <w:rFonts w:eastAsia="Calibri"/>
          <w:sz w:val="22"/>
          <w:szCs w:val="22"/>
          <w:lang w:eastAsia="en-US"/>
        </w:rPr>
      </w:pPr>
      <w:r w:rsidRPr="00281602">
        <w:rPr>
          <w:rFonts w:eastAsia="Calibri"/>
          <w:sz w:val="22"/>
          <w:szCs w:val="22"/>
          <w:lang w:eastAsia="en-US"/>
        </w:rPr>
        <w:t>УДК 004.855</w:t>
      </w:r>
    </w:p>
    <w:p w:rsidR="00CC1F5C" w:rsidRPr="00281602" w:rsidRDefault="00CC1F5C" w:rsidP="000C4264">
      <w:pPr>
        <w:jc w:val="both"/>
        <w:rPr>
          <w:rFonts w:eastAsia="Calibri"/>
          <w:sz w:val="22"/>
          <w:szCs w:val="22"/>
          <w:lang w:eastAsia="en-US"/>
        </w:rPr>
      </w:pPr>
    </w:p>
    <w:p w:rsidR="00281602" w:rsidRPr="00281602" w:rsidRDefault="00281602" w:rsidP="00281602">
      <w:pPr>
        <w:ind w:firstLine="425"/>
        <w:jc w:val="center"/>
        <w:rPr>
          <w:rFonts w:eastAsia="Calibri"/>
          <w:b/>
          <w:sz w:val="24"/>
          <w:szCs w:val="22"/>
          <w:lang w:eastAsia="en-US"/>
        </w:rPr>
      </w:pPr>
      <w:r w:rsidRPr="00281602">
        <w:rPr>
          <w:rFonts w:eastAsia="Calibri"/>
          <w:b/>
          <w:sz w:val="24"/>
          <w:szCs w:val="22"/>
          <w:lang w:eastAsia="en-US"/>
        </w:rPr>
        <w:t xml:space="preserve">Самоорганизующиеся карты Кохонена и их </w:t>
      </w:r>
    </w:p>
    <w:p w:rsidR="00281602" w:rsidRPr="00281602" w:rsidRDefault="00281602" w:rsidP="00281602">
      <w:pPr>
        <w:ind w:firstLine="425"/>
        <w:jc w:val="center"/>
        <w:rPr>
          <w:rFonts w:eastAsia="Calibri"/>
          <w:b/>
          <w:sz w:val="24"/>
          <w:szCs w:val="22"/>
          <w:lang w:val="en-US" w:eastAsia="en-US"/>
        </w:rPr>
      </w:pPr>
      <w:r w:rsidRPr="00281602">
        <w:rPr>
          <w:rFonts w:eastAsia="Calibri"/>
          <w:b/>
          <w:sz w:val="24"/>
          <w:szCs w:val="22"/>
          <w:lang w:eastAsia="en-US"/>
        </w:rPr>
        <w:t>применение</w:t>
      </w:r>
      <w:r w:rsidRPr="00281602">
        <w:rPr>
          <w:rFonts w:eastAsia="Calibri"/>
          <w:b/>
          <w:sz w:val="24"/>
          <w:szCs w:val="22"/>
          <w:lang w:val="en-US" w:eastAsia="en-US"/>
        </w:rPr>
        <w:t xml:space="preserve"> </w:t>
      </w:r>
      <w:r w:rsidRPr="00281602">
        <w:rPr>
          <w:rFonts w:eastAsia="Calibri"/>
          <w:b/>
          <w:sz w:val="24"/>
          <w:szCs w:val="22"/>
          <w:lang w:eastAsia="en-US"/>
        </w:rPr>
        <w:t>в</w:t>
      </w:r>
      <w:r w:rsidRPr="00281602">
        <w:rPr>
          <w:rFonts w:eastAsia="Calibri"/>
          <w:b/>
          <w:sz w:val="24"/>
          <w:szCs w:val="22"/>
          <w:lang w:val="en-US" w:eastAsia="en-US"/>
        </w:rPr>
        <w:t xml:space="preserve"> </w:t>
      </w:r>
      <w:r w:rsidRPr="00281602">
        <w:rPr>
          <w:rFonts w:eastAsia="Calibri"/>
          <w:b/>
          <w:sz w:val="24"/>
          <w:szCs w:val="22"/>
          <w:lang w:eastAsia="en-US"/>
        </w:rPr>
        <w:t>задачах</w:t>
      </w:r>
      <w:r w:rsidRPr="00281602">
        <w:rPr>
          <w:rFonts w:eastAsia="Calibri"/>
          <w:b/>
          <w:sz w:val="24"/>
          <w:szCs w:val="22"/>
          <w:lang w:val="en-US" w:eastAsia="en-US"/>
        </w:rPr>
        <w:t xml:space="preserve"> </w:t>
      </w:r>
      <w:r w:rsidRPr="00281602">
        <w:rPr>
          <w:rFonts w:eastAsia="Calibri"/>
          <w:b/>
          <w:sz w:val="24"/>
          <w:szCs w:val="22"/>
          <w:lang w:eastAsia="en-US"/>
        </w:rPr>
        <w:t>кластеризации</w:t>
      </w:r>
      <w:r w:rsidRPr="00281602">
        <w:rPr>
          <w:rFonts w:eastAsia="Calibri"/>
          <w:b/>
          <w:sz w:val="24"/>
          <w:szCs w:val="22"/>
          <w:lang w:val="en-US" w:eastAsia="en-US"/>
        </w:rPr>
        <w:t xml:space="preserve"> </w:t>
      </w:r>
      <w:r w:rsidRPr="00281602">
        <w:rPr>
          <w:rFonts w:eastAsia="Calibri"/>
          <w:b/>
          <w:sz w:val="24"/>
          <w:szCs w:val="22"/>
          <w:lang w:eastAsia="en-US"/>
        </w:rPr>
        <w:t>данных</w:t>
      </w:r>
    </w:p>
    <w:p w:rsidR="00281602" w:rsidRPr="00281602" w:rsidRDefault="00281602" w:rsidP="00281602">
      <w:pPr>
        <w:ind w:firstLine="425"/>
        <w:jc w:val="center"/>
        <w:rPr>
          <w:rFonts w:eastAsia="Calibri"/>
          <w:b/>
          <w:sz w:val="24"/>
          <w:szCs w:val="22"/>
          <w:lang w:val="en-US" w:eastAsia="en-US"/>
        </w:rPr>
      </w:pPr>
      <w:r w:rsidRPr="00281602">
        <w:rPr>
          <w:rFonts w:eastAsia="Calibri"/>
          <w:b/>
          <w:sz w:val="24"/>
          <w:szCs w:val="22"/>
          <w:lang w:val="en-US" w:eastAsia="en-US"/>
        </w:rPr>
        <w:t>Kohonen’s self-organizing maps and their application in area of clustering tasks</w:t>
      </w:r>
    </w:p>
    <w:p w:rsidR="00281602" w:rsidRPr="00281602" w:rsidRDefault="00281602" w:rsidP="00281602">
      <w:pPr>
        <w:ind w:firstLine="425"/>
        <w:jc w:val="both"/>
        <w:rPr>
          <w:rFonts w:eastAsia="Calibri"/>
          <w:b/>
          <w:sz w:val="22"/>
          <w:szCs w:val="22"/>
          <w:lang w:val="en-US" w:eastAsia="en-US"/>
        </w:rPr>
      </w:pPr>
    </w:p>
    <w:p w:rsidR="00281602" w:rsidRPr="00281602" w:rsidRDefault="000C4264" w:rsidP="000C4264">
      <w:pPr>
        <w:ind w:firstLine="425"/>
        <w:jc w:val="right"/>
        <w:rPr>
          <w:rFonts w:eastAsia="Calibri"/>
          <w:sz w:val="22"/>
          <w:szCs w:val="22"/>
          <w:lang w:eastAsia="en-US"/>
        </w:rPr>
      </w:pPr>
      <w:r>
        <w:rPr>
          <w:rFonts w:eastAsia="Calibri"/>
          <w:sz w:val="22"/>
          <w:szCs w:val="22"/>
          <w:lang w:eastAsia="en-US"/>
        </w:rPr>
        <w:t xml:space="preserve">Лабинцева В. Р., </w:t>
      </w:r>
      <w:r w:rsidR="00281602" w:rsidRPr="00281602">
        <w:rPr>
          <w:rFonts w:eastAsia="Calibri"/>
          <w:sz w:val="22"/>
          <w:szCs w:val="22"/>
          <w:lang w:eastAsia="en-US"/>
        </w:rPr>
        <w:t>Овчаров А. П.,</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w:t>
      </w:r>
      <w:r w:rsidR="000C4264">
        <w:rPr>
          <w:rFonts w:eastAsia="Calibri"/>
          <w:sz w:val="22"/>
          <w:szCs w:val="22"/>
          <w:lang w:eastAsia="en-US"/>
        </w:rPr>
        <w:t>ы</w:t>
      </w:r>
      <w:r w:rsidRPr="00281602">
        <w:rPr>
          <w:rFonts w:eastAsia="Calibri"/>
          <w:sz w:val="22"/>
          <w:szCs w:val="22"/>
          <w:lang w:eastAsia="en-US"/>
        </w:rPr>
        <w:t xml:space="preserve"> 3-го 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В статье рассматривается кластеризация как метод анализа данных и ее реализация в алгоритме самоорганиз</w:t>
      </w:r>
      <w:r w:rsidRPr="00281602">
        <w:rPr>
          <w:rFonts w:eastAsia="Calibri"/>
          <w:sz w:val="22"/>
          <w:szCs w:val="22"/>
          <w:lang w:eastAsia="en-US"/>
        </w:rPr>
        <w:t>у</w:t>
      </w:r>
      <w:r w:rsidRPr="00281602">
        <w:rPr>
          <w:rFonts w:eastAsia="Calibri"/>
          <w:sz w:val="22"/>
          <w:szCs w:val="22"/>
          <w:lang w:eastAsia="en-US"/>
        </w:rPr>
        <w:t>ющихся карт Кохонена.</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lastRenderedPageBreak/>
        <w:t>ABSTRACT: Clustering as a method of data analysis and its i</w:t>
      </w:r>
      <w:r w:rsidRPr="00281602">
        <w:rPr>
          <w:rFonts w:eastAsia="Calibri"/>
          <w:sz w:val="22"/>
          <w:szCs w:val="22"/>
          <w:lang w:val="en-US" w:eastAsia="en-US"/>
        </w:rPr>
        <w:t>m</w:t>
      </w:r>
      <w:r w:rsidRPr="00281602">
        <w:rPr>
          <w:rFonts w:eastAsia="Calibri"/>
          <w:sz w:val="22"/>
          <w:szCs w:val="22"/>
          <w:lang w:val="en-US" w:eastAsia="en-US"/>
        </w:rPr>
        <w:t>plementation in the algorithm of Kohonen’s self-organizing maps is co</w:t>
      </w:r>
      <w:r w:rsidRPr="00281602">
        <w:rPr>
          <w:rFonts w:eastAsia="Calibri"/>
          <w:sz w:val="22"/>
          <w:szCs w:val="22"/>
          <w:lang w:val="en-US" w:eastAsia="en-US"/>
        </w:rPr>
        <w:t>n</w:t>
      </w:r>
      <w:r w:rsidRPr="00281602">
        <w:rPr>
          <w:rFonts w:eastAsia="Calibri"/>
          <w:sz w:val="22"/>
          <w:szCs w:val="22"/>
          <w:lang w:val="en-US" w:eastAsia="en-US"/>
        </w:rPr>
        <w:t>sidered in the article.</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объект, признак, выборка, кластер, ка</w:t>
      </w:r>
      <w:r w:rsidRPr="00281602">
        <w:rPr>
          <w:rFonts w:eastAsia="Calibri"/>
          <w:sz w:val="22"/>
          <w:szCs w:val="22"/>
          <w:lang w:eastAsia="en-US"/>
        </w:rPr>
        <w:t>р</w:t>
      </w:r>
      <w:r w:rsidRPr="00281602">
        <w:rPr>
          <w:rFonts w:eastAsia="Calibri"/>
          <w:sz w:val="22"/>
          <w:szCs w:val="22"/>
          <w:lang w:eastAsia="en-US"/>
        </w:rPr>
        <w:t>та, алгоритм.</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object, attribute, selection, cluster, map, algorithm.</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Задача кластеризации любых объектов, в том числе и данных, сводится к их группировке. Но в отличие от классификации, пр</w:t>
      </w:r>
      <w:r w:rsidRPr="00281602">
        <w:rPr>
          <w:rFonts w:eastAsia="Calibri"/>
          <w:sz w:val="22"/>
          <w:szCs w:val="22"/>
          <w:lang w:eastAsia="en-US"/>
        </w:rPr>
        <w:t>и</w:t>
      </w:r>
      <w:r w:rsidRPr="00281602">
        <w:rPr>
          <w:rFonts w:eastAsia="Calibri"/>
          <w:sz w:val="22"/>
          <w:szCs w:val="22"/>
          <w:lang w:eastAsia="en-US"/>
        </w:rPr>
        <w:t>знаки для объединения объектов в группы не задаются предвар</w:t>
      </w:r>
      <w:r w:rsidRPr="00281602">
        <w:rPr>
          <w:rFonts w:eastAsia="Calibri"/>
          <w:sz w:val="22"/>
          <w:szCs w:val="22"/>
          <w:lang w:eastAsia="en-US"/>
        </w:rPr>
        <w:t>и</w:t>
      </w:r>
      <w:r w:rsidRPr="00281602">
        <w:rPr>
          <w:rFonts w:eastAsia="Calibri"/>
          <w:sz w:val="22"/>
          <w:szCs w:val="22"/>
          <w:lang w:eastAsia="en-US"/>
        </w:rPr>
        <w:t>тельно, а выявляются непосредственно в ходе анализа выборки. И</w:t>
      </w:r>
      <w:r w:rsidRPr="00281602">
        <w:rPr>
          <w:rFonts w:eastAsia="Calibri"/>
          <w:sz w:val="22"/>
          <w:szCs w:val="22"/>
          <w:lang w:eastAsia="en-US"/>
        </w:rPr>
        <w:t>с</w:t>
      </w:r>
      <w:r w:rsidRPr="00281602">
        <w:rPr>
          <w:rFonts w:eastAsia="Calibri"/>
          <w:sz w:val="22"/>
          <w:szCs w:val="22"/>
          <w:lang w:eastAsia="en-US"/>
        </w:rPr>
        <w:t>пользование такого метода позволяет повысить эффективность ан</w:t>
      </w:r>
      <w:r w:rsidRPr="00281602">
        <w:rPr>
          <w:rFonts w:eastAsia="Calibri"/>
          <w:sz w:val="22"/>
          <w:szCs w:val="22"/>
          <w:lang w:eastAsia="en-US"/>
        </w:rPr>
        <w:t>а</w:t>
      </w:r>
      <w:r w:rsidRPr="00281602">
        <w:rPr>
          <w:rFonts w:eastAsia="Calibri"/>
          <w:sz w:val="22"/>
          <w:szCs w:val="22"/>
          <w:lang w:eastAsia="en-US"/>
        </w:rPr>
        <w:t xml:space="preserve">лиза данных, поиска нетривиальных связей и закономерностей между элементами одного кластера [1].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общем случае классификация и кластеризация преследуют одну цель – разделение объектов выборки на группы по некоторым критериям. Но принципиальное различие состоит в том, являются ли эти критерии заранее определенными или формируются в пр</w:t>
      </w:r>
      <w:r w:rsidRPr="00281602">
        <w:rPr>
          <w:rFonts w:eastAsia="Calibri"/>
          <w:sz w:val="22"/>
          <w:szCs w:val="22"/>
          <w:lang w:eastAsia="en-US"/>
        </w:rPr>
        <w:t>о</w:t>
      </w:r>
      <w:r w:rsidRPr="00281602">
        <w:rPr>
          <w:rFonts w:eastAsia="Calibri"/>
          <w:sz w:val="22"/>
          <w:szCs w:val="22"/>
          <w:lang w:eastAsia="en-US"/>
        </w:rPr>
        <w:t>цессе анализа. Кластеризация позволяет определять значимые п</w:t>
      </w:r>
      <w:r w:rsidRPr="00281602">
        <w:rPr>
          <w:rFonts w:eastAsia="Calibri"/>
          <w:sz w:val="22"/>
          <w:szCs w:val="22"/>
          <w:lang w:eastAsia="en-US"/>
        </w:rPr>
        <w:t>а</w:t>
      </w:r>
      <w:r w:rsidRPr="00281602">
        <w:rPr>
          <w:rFonts w:eastAsia="Calibri"/>
          <w:sz w:val="22"/>
          <w:szCs w:val="22"/>
          <w:lang w:eastAsia="en-US"/>
        </w:rPr>
        <w:t>раметры объектов автоматически, не требуя от аналитика глубокого анализа данных с целью выявления их семантики [2].</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Кластеризация как метод обработки данных успешно реализ</w:t>
      </w:r>
      <w:r w:rsidRPr="00281602">
        <w:rPr>
          <w:rFonts w:eastAsia="Calibri"/>
          <w:sz w:val="22"/>
          <w:szCs w:val="22"/>
          <w:lang w:eastAsia="en-US"/>
        </w:rPr>
        <w:t>у</w:t>
      </w:r>
      <w:r w:rsidRPr="00281602">
        <w:rPr>
          <w:rFonts w:eastAsia="Calibri"/>
          <w:sz w:val="22"/>
          <w:szCs w:val="22"/>
          <w:lang w:eastAsia="en-US"/>
        </w:rPr>
        <w:t>ется с помощью искусственных нейронных сетей (ИНС). В контексте науки об искусственном интеллекте кластеризация я</w:t>
      </w:r>
      <w:r w:rsidRPr="00281602">
        <w:rPr>
          <w:rFonts w:eastAsia="Calibri"/>
          <w:sz w:val="22"/>
          <w:szCs w:val="22"/>
          <w:lang w:eastAsia="en-US"/>
        </w:rPr>
        <w:t>в</w:t>
      </w:r>
      <w:r w:rsidRPr="00281602">
        <w:rPr>
          <w:rFonts w:eastAsia="Calibri"/>
          <w:sz w:val="22"/>
          <w:szCs w:val="22"/>
          <w:lang w:eastAsia="en-US"/>
        </w:rPr>
        <w:t>ляется разновидностью индуктивного обучения («без учителя»). Одним из наиболее эффективных нейросетевых алгоритмов являе</w:t>
      </w:r>
      <w:r w:rsidRPr="00281602">
        <w:rPr>
          <w:rFonts w:eastAsia="Calibri"/>
          <w:sz w:val="22"/>
          <w:szCs w:val="22"/>
          <w:lang w:eastAsia="en-US"/>
        </w:rPr>
        <w:t>т</w:t>
      </w:r>
      <w:r w:rsidRPr="00281602">
        <w:rPr>
          <w:rFonts w:eastAsia="Calibri"/>
          <w:sz w:val="22"/>
          <w:szCs w:val="22"/>
          <w:lang w:eastAsia="en-US"/>
        </w:rPr>
        <w:t>ся метод самоорганизующихся карт Кохонена. Нейронные сети данного типа используются для решения широкого спектра задач, от заполнения пропусков в данных до финансовых прогнозов [3].</w:t>
      </w:r>
    </w:p>
    <w:p w:rsidR="00281602" w:rsidRPr="00281602" w:rsidRDefault="00281602" w:rsidP="00D34D80">
      <w:pPr>
        <w:ind w:firstLine="425"/>
        <w:jc w:val="both"/>
        <w:rPr>
          <w:rFonts w:eastAsia="Calibri"/>
          <w:sz w:val="22"/>
          <w:szCs w:val="22"/>
          <w:lang w:eastAsia="en-US"/>
        </w:rPr>
      </w:pPr>
      <w:r w:rsidRPr="00281602">
        <w:rPr>
          <w:rFonts w:eastAsia="Calibri"/>
          <w:sz w:val="22"/>
          <w:szCs w:val="22"/>
          <w:lang w:eastAsia="en-US"/>
        </w:rPr>
        <w:t>Основная идея вышеупомянутого метода состоит в возможности перехода от многомерных векторов к двумерному их представлению. Использование карт Кохонена позволяет проецир</w:t>
      </w:r>
      <w:r w:rsidRPr="00281602">
        <w:rPr>
          <w:rFonts w:eastAsia="Calibri"/>
          <w:sz w:val="22"/>
          <w:szCs w:val="22"/>
          <w:lang w:eastAsia="en-US"/>
        </w:rPr>
        <w:t>о</w:t>
      </w:r>
      <w:r w:rsidRPr="00281602">
        <w:rPr>
          <w:rFonts w:eastAsia="Calibri"/>
          <w:sz w:val="22"/>
          <w:szCs w:val="22"/>
          <w:lang w:eastAsia="en-US"/>
        </w:rPr>
        <w:t>вать многомерное пространство данных в структуру с более низкой размерностью. Далее объекты, схожие по некоторой совокупности признаков, размещаются рядом на полученной карте. В результате автоматически формируются кластеры объектов по критериям, в</w:t>
      </w:r>
      <w:r w:rsidRPr="00281602">
        <w:rPr>
          <w:rFonts w:eastAsia="Calibri"/>
          <w:sz w:val="22"/>
          <w:szCs w:val="22"/>
          <w:lang w:eastAsia="en-US"/>
        </w:rPr>
        <w:t>ы</w:t>
      </w:r>
      <w:r w:rsidRPr="00281602">
        <w:rPr>
          <w:rFonts w:eastAsia="Calibri"/>
          <w:sz w:val="22"/>
          <w:szCs w:val="22"/>
          <w:lang w:eastAsia="en-US"/>
        </w:rPr>
        <w:t>явленным в процессе машинного анализа.</w:t>
      </w:r>
      <w:r w:rsidR="00D34D80">
        <w:rPr>
          <w:rFonts w:eastAsia="Calibri"/>
          <w:sz w:val="22"/>
          <w:szCs w:val="22"/>
          <w:lang w:eastAsia="en-US"/>
        </w:rPr>
        <w:t xml:space="preserve"> </w:t>
      </w:r>
      <w:r w:rsidRPr="00281602">
        <w:rPr>
          <w:rFonts w:eastAsia="Calibri"/>
          <w:sz w:val="22"/>
          <w:szCs w:val="22"/>
          <w:lang w:eastAsia="en-US"/>
        </w:rPr>
        <w:t xml:space="preserve">Высокая эффективность данного подхода обеспечивается тем, что параметры кластеризации </w:t>
      </w:r>
      <w:r w:rsidRPr="00281602">
        <w:rPr>
          <w:rFonts w:eastAsia="Calibri"/>
          <w:sz w:val="22"/>
          <w:szCs w:val="22"/>
          <w:lang w:eastAsia="en-US"/>
        </w:rPr>
        <w:lastRenderedPageBreak/>
        <w:t>достоверно отражают исследуемую выборку объектов. Соотве</w:t>
      </w:r>
      <w:r w:rsidRPr="00281602">
        <w:rPr>
          <w:rFonts w:eastAsia="Calibri"/>
          <w:sz w:val="22"/>
          <w:szCs w:val="22"/>
          <w:lang w:eastAsia="en-US"/>
        </w:rPr>
        <w:t>т</w:t>
      </w:r>
      <w:r w:rsidRPr="00281602">
        <w:rPr>
          <w:rFonts w:eastAsia="Calibri"/>
          <w:sz w:val="22"/>
          <w:szCs w:val="22"/>
          <w:lang w:eastAsia="en-US"/>
        </w:rPr>
        <w:t>ственно, алгоритм гарантирует гибкость и информативность пол</w:t>
      </w:r>
      <w:r w:rsidRPr="00281602">
        <w:rPr>
          <w:rFonts w:eastAsia="Calibri"/>
          <w:sz w:val="22"/>
          <w:szCs w:val="22"/>
          <w:lang w:eastAsia="en-US"/>
        </w:rPr>
        <w:t>у</w:t>
      </w:r>
      <w:r w:rsidRPr="00281602">
        <w:rPr>
          <w:rFonts w:eastAsia="Calibri"/>
          <w:sz w:val="22"/>
          <w:szCs w:val="22"/>
          <w:lang w:eastAsia="en-US"/>
        </w:rPr>
        <w:t>ченных в ходе анализа сведений. Закономерной отрицательной че</w:t>
      </w:r>
      <w:r w:rsidRPr="00281602">
        <w:rPr>
          <w:rFonts w:eastAsia="Calibri"/>
          <w:sz w:val="22"/>
          <w:szCs w:val="22"/>
          <w:lang w:eastAsia="en-US"/>
        </w:rPr>
        <w:t>р</w:t>
      </w:r>
      <w:r w:rsidRPr="00281602">
        <w:rPr>
          <w:rFonts w:eastAsia="Calibri"/>
          <w:sz w:val="22"/>
          <w:szCs w:val="22"/>
          <w:lang w:eastAsia="en-US"/>
        </w:rPr>
        <w:t>той этого метода можно считать низкуюформализованность и ун</w:t>
      </w:r>
      <w:r w:rsidRPr="00281602">
        <w:rPr>
          <w:rFonts w:eastAsia="Calibri"/>
          <w:sz w:val="22"/>
          <w:szCs w:val="22"/>
          <w:lang w:eastAsia="en-US"/>
        </w:rPr>
        <w:t>и</w:t>
      </w:r>
      <w:r w:rsidRPr="00281602">
        <w:rPr>
          <w:rFonts w:eastAsia="Calibri"/>
          <w:sz w:val="22"/>
          <w:szCs w:val="22"/>
          <w:lang w:eastAsia="en-US"/>
        </w:rPr>
        <w:t>фицированность выходной информации [4].</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Несомненным достоинством самоорганизующихся карт Кох</w:t>
      </w:r>
      <w:r w:rsidRPr="00281602">
        <w:rPr>
          <w:rFonts w:eastAsia="Calibri"/>
          <w:sz w:val="22"/>
          <w:szCs w:val="22"/>
          <w:lang w:eastAsia="en-US"/>
        </w:rPr>
        <w:t>о</w:t>
      </w:r>
      <w:r w:rsidRPr="00281602">
        <w:rPr>
          <w:rFonts w:eastAsia="Calibri"/>
          <w:sz w:val="22"/>
          <w:szCs w:val="22"/>
          <w:lang w:eastAsia="en-US"/>
        </w:rPr>
        <w:t>нена является возможность легкого перехода к визуальному пре</w:t>
      </w:r>
      <w:r w:rsidRPr="00281602">
        <w:rPr>
          <w:rFonts w:eastAsia="Calibri"/>
          <w:sz w:val="22"/>
          <w:szCs w:val="22"/>
          <w:lang w:eastAsia="en-US"/>
        </w:rPr>
        <w:t>д</w:t>
      </w:r>
      <w:r w:rsidRPr="00281602">
        <w:rPr>
          <w:rFonts w:eastAsia="Calibri"/>
          <w:sz w:val="22"/>
          <w:szCs w:val="22"/>
          <w:lang w:eastAsia="en-US"/>
        </w:rPr>
        <w:t>ставлению полученных кластеров. Результаты работы алгоритма могут быть представлены в графическом виде, что упрощает посл</w:t>
      </w:r>
      <w:r w:rsidRPr="00281602">
        <w:rPr>
          <w:rFonts w:eastAsia="Calibri"/>
          <w:sz w:val="22"/>
          <w:szCs w:val="22"/>
          <w:lang w:eastAsia="en-US"/>
        </w:rPr>
        <w:t>е</w:t>
      </w:r>
      <w:r w:rsidRPr="00281602">
        <w:rPr>
          <w:rFonts w:eastAsia="Calibri"/>
          <w:sz w:val="22"/>
          <w:szCs w:val="22"/>
          <w:lang w:eastAsia="en-US"/>
        </w:rPr>
        <w:t xml:space="preserve">дующий анализ информации. Такая возможность реализована во многих аналитических платформах, например в системе </w:t>
      </w:r>
      <w:r w:rsidRPr="00281602">
        <w:rPr>
          <w:rFonts w:eastAsia="Calibri"/>
          <w:sz w:val="22"/>
          <w:szCs w:val="22"/>
          <w:lang w:val="en-US" w:eastAsia="en-US"/>
        </w:rPr>
        <w:t>Dedu</w:t>
      </w:r>
      <w:r w:rsidRPr="00281602">
        <w:rPr>
          <w:rFonts w:eastAsia="Calibri"/>
          <w:sz w:val="22"/>
          <w:szCs w:val="22"/>
          <w:lang w:val="en-US" w:eastAsia="en-US"/>
        </w:rPr>
        <w:t>c</w:t>
      </w:r>
      <w:r w:rsidRPr="00281602">
        <w:rPr>
          <w:rFonts w:eastAsia="Calibri"/>
          <w:sz w:val="22"/>
          <w:szCs w:val="22"/>
          <w:lang w:val="en-US" w:eastAsia="en-US"/>
        </w:rPr>
        <w:t>torStudio</w:t>
      </w:r>
      <w:r w:rsidRPr="00281602">
        <w:rPr>
          <w:rFonts w:eastAsia="Calibri"/>
          <w:sz w:val="22"/>
          <w:szCs w:val="22"/>
          <w:lang w:eastAsia="en-US"/>
        </w:rPr>
        <w:t xml:space="preserve"> компании </w:t>
      </w:r>
      <w:r w:rsidRPr="00281602">
        <w:rPr>
          <w:rFonts w:eastAsia="Calibri"/>
          <w:sz w:val="22"/>
          <w:szCs w:val="22"/>
          <w:lang w:val="en-US" w:eastAsia="en-US"/>
        </w:rPr>
        <w:t>BaseLabs</w:t>
      </w:r>
      <w:r w:rsidRPr="00281602">
        <w:rPr>
          <w:rFonts w:eastAsia="Calibri"/>
          <w:sz w:val="22"/>
          <w:szCs w:val="22"/>
          <w:lang w:eastAsia="en-US"/>
        </w:rPr>
        <w:t>.</w:t>
      </w:r>
    </w:p>
    <w:p w:rsidR="00281602" w:rsidRPr="00281602" w:rsidRDefault="00281602" w:rsidP="000C4264">
      <w:pPr>
        <w:ind w:firstLine="425"/>
        <w:jc w:val="both"/>
        <w:rPr>
          <w:rFonts w:eastAsia="Calibri"/>
          <w:sz w:val="22"/>
          <w:szCs w:val="22"/>
          <w:lang w:eastAsia="en-US"/>
        </w:rPr>
      </w:pPr>
      <w:r w:rsidRPr="00281602">
        <w:rPr>
          <w:rFonts w:eastAsia="Calibri"/>
          <w:sz w:val="22"/>
          <w:szCs w:val="22"/>
          <w:lang w:eastAsia="en-US"/>
        </w:rPr>
        <w:t>Таким образом, задача разделения объектов на группы может успешно решаться методом кластеризации, в частности алгоритмом  самоорганизующихся карт Кохонена.</w:t>
      </w:r>
    </w:p>
    <w:p w:rsidR="00CC1F5C" w:rsidRDefault="00CC1F5C" w:rsidP="00281602">
      <w:pPr>
        <w:ind w:firstLine="425"/>
        <w:jc w:val="center"/>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Горяинова Е.Р. Прикладные методы анализа статистических данных: Учебное пособие / Е.Р. Горяинова, А.Р. Панков, Е.Н. Пл</w:t>
      </w:r>
      <w:r w:rsidRPr="00281602">
        <w:rPr>
          <w:rFonts w:eastAsia="Calibri"/>
          <w:sz w:val="22"/>
          <w:szCs w:val="22"/>
          <w:lang w:eastAsia="en-US"/>
        </w:rPr>
        <w:t>а</w:t>
      </w:r>
      <w:r w:rsidRPr="00281602">
        <w:rPr>
          <w:rFonts w:eastAsia="Calibri"/>
          <w:sz w:val="22"/>
          <w:szCs w:val="22"/>
          <w:lang w:eastAsia="en-US"/>
        </w:rPr>
        <w:t>тонов. — М.: ИД ГУ ВШЭ, 2012. – 310 c.</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Круглов В.В., Дли М.И., Голунов Р.Ю. Нечеткая логика и и</w:t>
      </w:r>
      <w:r w:rsidRPr="00281602">
        <w:rPr>
          <w:rFonts w:eastAsia="Calibri"/>
          <w:sz w:val="22"/>
          <w:szCs w:val="22"/>
          <w:lang w:eastAsia="en-US"/>
        </w:rPr>
        <w:t>с</w:t>
      </w:r>
      <w:r w:rsidRPr="00281602">
        <w:rPr>
          <w:rFonts w:eastAsia="Calibri"/>
          <w:sz w:val="22"/>
          <w:szCs w:val="22"/>
          <w:lang w:eastAsia="en-US"/>
        </w:rPr>
        <w:t>кусственные нейронные сети: учебное пособие для студентов вузов, обучающихся по специальности «Прикладная информатика». - М.: Физматлит, 2001.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3. Хайкин С. Нейронные сети: полный курс, 2-е издание. : Пер. с англ. – М.: Издательский дом «Вильямс», 2008</w:t>
      </w:r>
    </w:p>
    <w:p w:rsidR="00281602" w:rsidRPr="00281602" w:rsidRDefault="00281602" w:rsidP="00281602">
      <w:pPr>
        <w:jc w:val="both"/>
        <w:rPr>
          <w:rFonts w:eastAsia="Calibri"/>
          <w:sz w:val="22"/>
          <w:szCs w:val="22"/>
          <w:lang w:eastAsia="en-US"/>
        </w:rPr>
      </w:pPr>
    </w:p>
    <w:p w:rsidR="003B37B7" w:rsidRPr="00281602" w:rsidRDefault="00CC1F5C" w:rsidP="00CC1F5C">
      <w:pPr>
        <w:rPr>
          <w:rFonts w:eastAsia="Calibri"/>
          <w:sz w:val="22"/>
          <w:szCs w:val="22"/>
          <w:lang w:eastAsia="en-US"/>
        </w:rPr>
      </w:pPr>
      <w:r>
        <w:rPr>
          <w:rFonts w:eastAsia="Calibri"/>
          <w:sz w:val="22"/>
          <w:szCs w:val="22"/>
          <w:lang w:eastAsia="en-US"/>
        </w:rPr>
        <w:br w:type="page"/>
      </w:r>
    </w:p>
    <w:p w:rsidR="00281602" w:rsidRPr="00281602" w:rsidRDefault="00281602" w:rsidP="000C4264">
      <w:pPr>
        <w:jc w:val="both"/>
        <w:rPr>
          <w:rFonts w:eastAsia="Calibri"/>
          <w:sz w:val="22"/>
          <w:szCs w:val="22"/>
          <w:lang w:eastAsia="en-US"/>
        </w:rPr>
      </w:pPr>
      <w:r w:rsidRPr="00281602">
        <w:rPr>
          <w:rFonts w:eastAsia="Calibri"/>
          <w:sz w:val="22"/>
          <w:szCs w:val="22"/>
          <w:lang w:eastAsia="en-US"/>
        </w:rPr>
        <w:lastRenderedPageBreak/>
        <w:t>УДК 004.023</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Предпосылки разработки программного комплекса </w:t>
      </w: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поддержки транспортных отделов предприятий малого бизнеса</w:t>
      </w:r>
    </w:p>
    <w:p w:rsidR="00281602" w:rsidRPr="000C4264" w:rsidRDefault="00281602" w:rsidP="00281602">
      <w:pPr>
        <w:jc w:val="center"/>
        <w:rPr>
          <w:rFonts w:eastAsia="Calibri"/>
          <w:b/>
          <w:sz w:val="24"/>
          <w:szCs w:val="24"/>
          <w:lang w:val="en-US" w:eastAsia="en-US"/>
        </w:rPr>
      </w:pPr>
      <w:r w:rsidRPr="00281602">
        <w:rPr>
          <w:rFonts w:eastAsia="Calibri"/>
          <w:b/>
          <w:sz w:val="24"/>
          <w:szCs w:val="24"/>
          <w:lang w:val="en-US" w:eastAsia="en-US"/>
        </w:rPr>
        <w:t xml:space="preserve">Prerequisites for the development of a software package for supporting transport </w:t>
      </w:r>
      <w:r w:rsidR="000C4264">
        <w:rPr>
          <w:rFonts w:eastAsia="Calibri"/>
          <w:b/>
          <w:sz w:val="24"/>
          <w:szCs w:val="24"/>
          <w:lang w:val="en-US" w:eastAsia="en-US"/>
        </w:rPr>
        <w:t>departments of small businesses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3B37B7">
      <w:pPr>
        <w:ind w:firstLine="425"/>
        <w:jc w:val="right"/>
        <w:rPr>
          <w:rFonts w:eastAsia="Calibri"/>
          <w:sz w:val="22"/>
          <w:szCs w:val="22"/>
          <w:lang w:eastAsia="en-US"/>
        </w:rPr>
      </w:pPr>
      <w:r w:rsidRPr="00281602">
        <w:rPr>
          <w:rFonts w:eastAsia="Calibri"/>
          <w:sz w:val="22"/>
          <w:szCs w:val="22"/>
          <w:lang w:eastAsia="en-US"/>
        </w:rPr>
        <w:t>Левченко Б. И.,</w:t>
      </w:r>
      <w:r w:rsidR="003B37B7" w:rsidRPr="003B37B7">
        <w:rPr>
          <w:rFonts w:eastAsia="Calibri"/>
          <w:sz w:val="22"/>
          <w:szCs w:val="22"/>
          <w:lang w:eastAsia="en-US"/>
        </w:rPr>
        <w:t xml:space="preserve"> </w:t>
      </w:r>
      <w:r w:rsidR="003B37B7" w:rsidRPr="00281602">
        <w:rPr>
          <w:rFonts w:eastAsia="Calibri"/>
          <w:sz w:val="22"/>
          <w:szCs w:val="22"/>
          <w:lang w:eastAsia="en-US"/>
        </w:rPr>
        <w:t>Молько О. Д.,</w:t>
      </w:r>
    </w:p>
    <w:p w:rsidR="00281602" w:rsidRPr="00281602" w:rsidRDefault="00281602" w:rsidP="003B37B7">
      <w:pPr>
        <w:ind w:firstLine="425"/>
        <w:jc w:val="right"/>
        <w:rPr>
          <w:rFonts w:eastAsia="Calibri"/>
          <w:sz w:val="22"/>
          <w:szCs w:val="22"/>
          <w:lang w:eastAsia="en-US"/>
        </w:rPr>
      </w:pPr>
      <w:r w:rsidRPr="00281602">
        <w:rPr>
          <w:rFonts w:eastAsia="Calibri"/>
          <w:sz w:val="22"/>
          <w:szCs w:val="22"/>
          <w:lang w:eastAsia="en-US"/>
        </w:rPr>
        <w:t>студент</w:t>
      </w:r>
      <w:r w:rsidR="003B37B7">
        <w:rPr>
          <w:rFonts w:eastAsia="Calibri"/>
          <w:sz w:val="22"/>
          <w:szCs w:val="22"/>
          <w:lang w:eastAsia="en-US"/>
        </w:rPr>
        <w:t>ы</w:t>
      </w:r>
      <w:r w:rsidRPr="00281602">
        <w:rPr>
          <w:rFonts w:eastAsia="Calibri"/>
          <w:sz w:val="22"/>
          <w:szCs w:val="22"/>
          <w:lang w:eastAsia="en-US"/>
        </w:rPr>
        <w:t xml:space="preserve"> 3-го курса факу</w:t>
      </w:r>
      <w:r w:rsidR="003B37B7">
        <w:rPr>
          <w:rFonts w:eastAsia="Calibri"/>
          <w:sz w:val="22"/>
          <w:szCs w:val="22"/>
          <w:lang w:eastAsia="en-US"/>
        </w:rPr>
        <w:t>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Default="00281602" w:rsidP="000C4264">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0C4264" w:rsidRPr="00281602" w:rsidRDefault="000C4264" w:rsidP="000C4264">
      <w:pPr>
        <w:ind w:firstLine="425"/>
        <w:jc w:val="right"/>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Формирование требований технического и эк</w:t>
      </w:r>
      <w:r w:rsidRPr="00281602">
        <w:rPr>
          <w:rFonts w:eastAsia="Calibri"/>
          <w:sz w:val="22"/>
          <w:szCs w:val="22"/>
          <w:lang w:eastAsia="en-US"/>
        </w:rPr>
        <w:t>с</w:t>
      </w:r>
      <w:r w:rsidRPr="00281602">
        <w:rPr>
          <w:rFonts w:eastAsia="Calibri"/>
          <w:sz w:val="22"/>
          <w:szCs w:val="22"/>
          <w:lang w:eastAsia="en-US"/>
        </w:rPr>
        <w:t>плуатационного характера необходимых при проектировании и ра</w:t>
      </w:r>
      <w:r w:rsidRPr="00281602">
        <w:rPr>
          <w:rFonts w:eastAsia="Calibri"/>
          <w:sz w:val="22"/>
          <w:szCs w:val="22"/>
          <w:lang w:eastAsia="en-US"/>
        </w:rPr>
        <w:t>з</w:t>
      </w:r>
      <w:r w:rsidRPr="00281602">
        <w:rPr>
          <w:rFonts w:eastAsia="Calibri"/>
          <w:sz w:val="22"/>
          <w:szCs w:val="22"/>
          <w:lang w:eastAsia="en-US"/>
        </w:rPr>
        <w:t>работки программного комплекса, рассчитанного на применение в малом бизнесе, для помощи в работе сотрудников, занимающихся решением вопроса транспортной логистики.</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Formation of technical and operational requirements necessary for the design and development of a software package d</w:t>
      </w:r>
      <w:r w:rsidRPr="00281602">
        <w:rPr>
          <w:rFonts w:eastAsia="Calibri"/>
          <w:sz w:val="22"/>
          <w:szCs w:val="22"/>
          <w:lang w:val="en-US" w:eastAsia="en-US"/>
        </w:rPr>
        <w:t>e</w:t>
      </w:r>
      <w:r w:rsidRPr="00281602">
        <w:rPr>
          <w:rFonts w:eastAsia="Calibri"/>
          <w:sz w:val="22"/>
          <w:szCs w:val="22"/>
          <w:lang w:val="en-US" w:eastAsia="en-US"/>
        </w:rPr>
        <w:t>signed to be used in small business, to assist the work of employees dea</w:t>
      </w:r>
      <w:r w:rsidRPr="00281602">
        <w:rPr>
          <w:rFonts w:eastAsia="Calibri"/>
          <w:sz w:val="22"/>
          <w:szCs w:val="22"/>
          <w:lang w:val="en-US" w:eastAsia="en-US"/>
        </w:rPr>
        <w:t>l</w:t>
      </w:r>
      <w:r w:rsidRPr="00281602">
        <w:rPr>
          <w:rFonts w:eastAsia="Calibri"/>
          <w:sz w:val="22"/>
          <w:szCs w:val="22"/>
          <w:lang w:val="en-US" w:eastAsia="en-US"/>
        </w:rPr>
        <w:t>ing with transport logistics.</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программный комплекс, транспортная логистика, оптимизация, транспорт.</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software complex, transport logistics, optimization, transport.</w:t>
      </w:r>
    </w:p>
    <w:p w:rsidR="00281602" w:rsidRPr="00281602" w:rsidRDefault="00281602" w:rsidP="00281602">
      <w:pPr>
        <w:ind w:firstLine="425"/>
        <w:jc w:val="both"/>
        <w:rPr>
          <w:rFonts w:eastAsia="Calibri"/>
          <w:sz w:val="22"/>
          <w:szCs w:val="22"/>
          <w:lang w:val="en-US" w:eastAsia="en-US"/>
        </w:rPr>
      </w:pPr>
    </w:p>
    <w:p w:rsidR="00281602" w:rsidRPr="00D34D80" w:rsidRDefault="00281602" w:rsidP="00281602">
      <w:pPr>
        <w:ind w:firstLine="425"/>
        <w:jc w:val="both"/>
        <w:rPr>
          <w:rFonts w:eastAsia="Calibri"/>
          <w:sz w:val="22"/>
          <w:szCs w:val="22"/>
          <w:lang w:eastAsia="en-US"/>
        </w:rPr>
      </w:pPr>
      <w:r w:rsidRPr="00281602">
        <w:rPr>
          <w:rFonts w:eastAsia="Calibri"/>
          <w:sz w:val="22"/>
          <w:szCs w:val="22"/>
          <w:lang w:eastAsia="en-US"/>
        </w:rPr>
        <w:t>На данный момент, когда в мире есть множество разнообра</w:t>
      </w:r>
      <w:r w:rsidRPr="00281602">
        <w:rPr>
          <w:rFonts w:eastAsia="Calibri"/>
          <w:sz w:val="22"/>
          <w:szCs w:val="22"/>
          <w:lang w:eastAsia="en-US"/>
        </w:rPr>
        <w:t>з</w:t>
      </w:r>
      <w:r w:rsidRPr="00281602">
        <w:rPr>
          <w:rFonts w:eastAsia="Calibri"/>
          <w:sz w:val="22"/>
          <w:szCs w:val="22"/>
          <w:lang w:eastAsia="en-US"/>
        </w:rPr>
        <w:t>ной продукции, материалов для строительства и т.д., возникает в</w:t>
      </w:r>
      <w:r w:rsidRPr="00281602">
        <w:rPr>
          <w:rFonts w:eastAsia="Calibri"/>
          <w:sz w:val="22"/>
          <w:szCs w:val="22"/>
          <w:lang w:eastAsia="en-US"/>
        </w:rPr>
        <w:t>о</w:t>
      </w:r>
      <w:r w:rsidRPr="00281602">
        <w:rPr>
          <w:rFonts w:eastAsia="Calibri"/>
          <w:sz w:val="22"/>
          <w:szCs w:val="22"/>
          <w:lang w:eastAsia="en-US"/>
        </w:rPr>
        <w:t>прос о том как их доставить из пункта А в пункт В наиболее раци</w:t>
      </w:r>
      <w:r w:rsidRPr="00281602">
        <w:rPr>
          <w:rFonts w:eastAsia="Calibri"/>
          <w:sz w:val="22"/>
          <w:szCs w:val="22"/>
          <w:lang w:eastAsia="en-US"/>
        </w:rPr>
        <w:t>о</w:t>
      </w:r>
      <w:r w:rsidRPr="00281602">
        <w:rPr>
          <w:rFonts w:eastAsia="Calibri"/>
          <w:sz w:val="22"/>
          <w:szCs w:val="22"/>
          <w:lang w:eastAsia="en-US"/>
        </w:rPr>
        <w:t>нальным способом. Решением поставленного вопроса занимается о</w:t>
      </w:r>
      <w:r w:rsidRPr="00281602">
        <w:rPr>
          <w:rFonts w:eastAsia="Calibri"/>
          <w:color w:val="222222"/>
          <w:sz w:val="22"/>
          <w:szCs w:val="22"/>
          <w:lang w:eastAsia="en-US"/>
        </w:rPr>
        <w:t xml:space="preserve">дин из </w:t>
      </w:r>
      <w:r w:rsidRPr="00D34D80">
        <w:rPr>
          <w:rFonts w:eastAsia="Calibri"/>
          <w:sz w:val="22"/>
          <w:szCs w:val="22"/>
          <w:lang w:eastAsia="en-US"/>
        </w:rPr>
        <w:t>важнейших функциональных разделов общей логистич</w:t>
      </w:r>
      <w:r w:rsidRPr="00D34D80">
        <w:rPr>
          <w:rFonts w:eastAsia="Calibri"/>
          <w:sz w:val="22"/>
          <w:szCs w:val="22"/>
          <w:lang w:eastAsia="en-US"/>
        </w:rPr>
        <w:t>е</w:t>
      </w:r>
      <w:r w:rsidRPr="00D34D80">
        <w:rPr>
          <w:rFonts w:eastAsia="Calibri"/>
          <w:sz w:val="22"/>
          <w:szCs w:val="22"/>
          <w:lang w:eastAsia="en-US"/>
        </w:rPr>
        <w:t>ской науки, который непосредственно связан с организацией и управлением движением материальных потоков – транспортная л</w:t>
      </w:r>
      <w:r w:rsidRPr="00D34D80">
        <w:rPr>
          <w:rFonts w:eastAsia="Calibri"/>
          <w:sz w:val="22"/>
          <w:szCs w:val="22"/>
          <w:lang w:eastAsia="en-US"/>
        </w:rPr>
        <w:t>о</w:t>
      </w:r>
      <w:r w:rsidRPr="00D34D80">
        <w:rPr>
          <w:rFonts w:eastAsia="Calibri"/>
          <w:sz w:val="22"/>
          <w:szCs w:val="22"/>
          <w:lang w:eastAsia="en-US"/>
        </w:rPr>
        <w:t>гистика.</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Транспортная логистика – раздел логистики, занимающийся организацией доставки, то есть перемещения каких-либо матер</w:t>
      </w:r>
      <w:r w:rsidRPr="00D34D80">
        <w:rPr>
          <w:rFonts w:eastAsia="Calibri"/>
          <w:sz w:val="22"/>
          <w:szCs w:val="22"/>
          <w:lang w:eastAsia="en-US"/>
        </w:rPr>
        <w:t>и</w:t>
      </w:r>
      <w:r w:rsidRPr="00D34D80">
        <w:rPr>
          <w:rFonts w:eastAsia="Calibri"/>
          <w:sz w:val="22"/>
          <w:szCs w:val="22"/>
          <w:lang w:eastAsia="en-US"/>
        </w:rPr>
        <w:lastRenderedPageBreak/>
        <w:t>альных объектов (продукция, вещества) из одного пункта в другой по квазиоптимальному маршруту.</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Целью транспортной логистики является доставка нужного к</w:t>
      </w:r>
      <w:r w:rsidRPr="00D34D80">
        <w:rPr>
          <w:rFonts w:eastAsia="Calibri"/>
          <w:sz w:val="22"/>
          <w:szCs w:val="22"/>
          <w:lang w:eastAsia="en-US"/>
        </w:rPr>
        <w:t>о</w:t>
      </w:r>
      <w:r w:rsidRPr="00D34D80">
        <w:rPr>
          <w:rFonts w:eastAsia="Calibri"/>
          <w:sz w:val="22"/>
          <w:szCs w:val="22"/>
          <w:lang w:eastAsia="en-US"/>
        </w:rPr>
        <w:t>личества товара, необходимого качества в заданные время и место с оптимальными затратами. В задачи этого раздела логистики входит:</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выбор вида транспорта (автомобильный, ж/д, авиа и т.д.);</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выбор способа транспортировки (вида перевозки);</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выбор перевозчика и других логистических партнеров;</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определение рациональных маршрутов доставки;</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обеспечение технологического единства транспортно-складского процесса;</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оптимизация параметров транспортного процесса (увелич</w:t>
      </w:r>
      <w:r w:rsidRPr="00D34D80">
        <w:rPr>
          <w:rFonts w:eastAsia="Calibri"/>
          <w:sz w:val="22"/>
          <w:szCs w:val="22"/>
          <w:lang w:eastAsia="en-US"/>
        </w:rPr>
        <w:t>е</w:t>
      </w:r>
      <w:r w:rsidRPr="00D34D80">
        <w:rPr>
          <w:rFonts w:eastAsia="Calibri"/>
          <w:sz w:val="22"/>
          <w:szCs w:val="22"/>
          <w:lang w:eastAsia="en-US"/>
        </w:rPr>
        <w:t>ние скорости транспортировки, уменьшение расходов топлива и пр.).</w:t>
      </w:r>
    </w:p>
    <w:p w:rsidR="00281602" w:rsidRPr="00D34D80" w:rsidRDefault="00281602" w:rsidP="00281602">
      <w:pPr>
        <w:ind w:firstLine="425"/>
        <w:jc w:val="both"/>
        <w:rPr>
          <w:rFonts w:eastAsia="Calibri"/>
          <w:sz w:val="22"/>
          <w:szCs w:val="22"/>
          <w:highlight w:val="yellow"/>
          <w:lang w:eastAsia="en-US"/>
        </w:rPr>
      </w:pPr>
      <w:r w:rsidRPr="00D34D80">
        <w:rPr>
          <w:rFonts w:eastAsia="Calibri"/>
          <w:sz w:val="22"/>
          <w:szCs w:val="22"/>
          <w:lang w:eastAsia="en-US"/>
        </w:rPr>
        <w:t>Планируется создание программного комплекса, который будет основан на транспортной логистике, а именно за счет вводимых данных предложит наиболее выгодные варианты для перевозки гр</w:t>
      </w:r>
      <w:r w:rsidRPr="00D34D80">
        <w:rPr>
          <w:rFonts w:eastAsia="Calibri"/>
          <w:sz w:val="22"/>
          <w:szCs w:val="22"/>
          <w:lang w:eastAsia="en-US"/>
        </w:rPr>
        <w:t>у</w:t>
      </w:r>
      <w:r w:rsidRPr="00D34D80">
        <w:rPr>
          <w:rFonts w:eastAsia="Calibri"/>
          <w:sz w:val="22"/>
          <w:szCs w:val="22"/>
          <w:lang w:eastAsia="en-US"/>
        </w:rPr>
        <w:t>за. На сегодняшний день человечеством придумано и создано мн</w:t>
      </w:r>
      <w:r w:rsidRPr="00D34D80">
        <w:rPr>
          <w:rFonts w:eastAsia="Calibri"/>
          <w:sz w:val="22"/>
          <w:szCs w:val="22"/>
          <w:lang w:eastAsia="en-US"/>
        </w:rPr>
        <w:t>о</w:t>
      </w:r>
      <w:r w:rsidRPr="00D34D80">
        <w:rPr>
          <w:rFonts w:eastAsia="Calibri"/>
          <w:sz w:val="22"/>
          <w:szCs w:val="22"/>
          <w:lang w:eastAsia="en-US"/>
        </w:rPr>
        <w:t>жество различных приложений для сферы транспортной логистики.</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 xml:space="preserve">Перевозки могут осуществляться как самой компанией, так и сторонней организацией: перевозчиком или экспедитором. Создать собственный автопарк или воспользоваться услугами перевозчика компания решает исходя из затрат в обоих вариантах, надежности перевозчиков и пр. </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Программный комплекс собирает информацию о стоимости, расстоянии между пунктами назначения, количестве остановок и их приблизительной длительности, времени доставки товара, груз</w:t>
      </w:r>
      <w:r w:rsidRPr="00D34D80">
        <w:rPr>
          <w:rFonts w:eastAsia="Calibri"/>
          <w:sz w:val="22"/>
          <w:szCs w:val="22"/>
          <w:lang w:eastAsia="en-US"/>
        </w:rPr>
        <w:t>о</w:t>
      </w:r>
      <w:r w:rsidRPr="00D34D80">
        <w:rPr>
          <w:rFonts w:eastAsia="Calibri"/>
          <w:sz w:val="22"/>
          <w:szCs w:val="22"/>
          <w:lang w:eastAsia="en-US"/>
        </w:rPr>
        <w:t>вместимости и наличие холодильных камер в транспорте, из файлов формата .</w:t>
      </w:r>
      <w:r w:rsidRPr="00D34D80">
        <w:rPr>
          <w:rFonts w:eastAsia="Calibri"/>
          <w:sz w:val="22"/>
          <w:szCs w:val="22"/>
          <w:lang w:val="en-GB" w:eastAsia="en-US"/>
        </w:rPr>
        <w:t>txt</w:t>
      </w:r>
      <w:r w:rsidRPr="00D34D80">
        <w:rPr>
          <w:rFonts w:eastAsia="Calibri"/>
          <w:sz w:val="22"/>
          <w:szCs w:val="22"/>
          <w:lang w:eastAsia="en-US"/>
        </w:rPr>
        <w:t>, .</w:t>
      </w:r>
      <w:r w:rsidRPr="00D34D80">
        <w:rPr>
          <w:rFonts w:eastAsia="Calibri"/>
          <w:sz w:val="22"/>
          <w:szCs w:val="22"/>
          <w:lang w:val="en-GB" w:eastAsia="en-US"/>
        </w:rPr>
        <w:t>xls</w:t>
      </w:r>
      <w:r w:rsidRPr="00D34D80">
        <w:rPr>
          <w:rFonts w:eastAsia="Calibri"/>
          <w:sz w:val="22"/>
          <w:szCs w:val="22"/>
          <w:lang w:eastAsia="en-US"/>
        </w:rPr>
        <w:t xml:space="preserve"> или .</w:t>
      </w:r>
      <w:r w:rsidRPr="00D34D80">
        <w:rPr>
          <w:rFonts w:eastAsia="Calibri"/>
          <w:sz w:val="22"/>
          <w:szCs w:val="22"/>
          <w:lang w:val="en-GB" w:eastAsia="en-US"/>
        </w:rPr>
        <w:t>doc</w:t>
      </w:r>
      <w:r w:rsidRPr="00D34D80">
        <w:rPr>
          <w:rFonts w:eastAsia="Calibri"/>
          <w:sz w:val="22"/>
          <w:szCs w:val="22"/>
          <w:lang w:eastAsia="en-US"/>
        </w:rPr>
        <w:t>. Далее на основе вводимых данных пол</w:t>
      </w:r>
      <w:r w:rsidRPr="00D34D80">
        <w:rPr>
          <w:rFonts w:eastAsia="Calibri"/>
          <w:sz w:val="22"/>
          <w:szCs w:val="22"/>
          <w:lang w:eastAsia="en-US"/>
        </w:rPr>
        <w:t>ь</w:t>
      </w:r>
      <w:r w:rsidRPr="00D34D80">
        <w:rPr>
          <w:rFonts w:eastAsia="Calibri"/>
          <w:sz w:val="22"/>
          <w:szCs w:val="22"/>
          <w:lang w:eastAsia="en-US"/>
        </w:rPr>
        <w:t>зователем, а именно:</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название пункта отправления и пункта назначения;</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вес и размер груза в кубических метрах;</w:t>
      </w:r>
    </w:p>
    <w:p w:rsidR="00281602" w:rsidRPr="00D34D80" w:rsidRDefault="00281602" w:rsidP="002D7DA5">
      <w:pPr>
        <w:numPr>
          <w:ilvl w:val="0"/>
          <w:numId w:val="44"/>
        </w:numPr>
        <w:spacing w:after="160" w:line="259" w:lineRule="auto"/>
        <w:ind w:left="0" w:firstLine="425"/>
        <w:contextualSpacing/>
        <w:jc w:val="both"/>
        <w:rPr>
          <w:rFonts w:eastAsia="Calibri"/>
          <w:sz w:val="22"/>
          <w:szCs w:val="22"/>
          <w:lang w:eastAsia="en-US"/>
        </w:rPr>
      </w:pPr>
      <w:r w:rsidRPr="00D34D80">
        <w:rPr>
          <w:rFonts w:eastAsia="Calibri"/>
          <w:sz w:val="22"/>
          <w:szCs w:val="22"/>
          <w:lang w:eastAsia="en-US"/>
        </w:rPr>
        <w:t>необходим холодильник или нет и т.д.</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Программа берет данные по запросу в подключенной базе да</w:t>
      </w:r>
      <w:r w:rsidRPr="00D34D80">
        <w:rPr>
          <w:rFonts w:eastAsia="Calibri"/>
          <w:sz w:val="22"/>
          <w:szCs w:val="22"/>
          <w:lang w:eastAsia="en-US"/>
        </w:rPr>
        <w:t>н</w:t>
      </w:r>
      <w:r w:rsidRPr="00D34D80">
        <w:rPr>
          <w:rFonts w:eastAsia="Calibri"/>
          <w:sz w:val="22"/>
          <w:szCs w:val="22"/>
          <w:lang w:eastAsia="en-US"/>
        </w:rPr>
        <w:t xml:space="preserve">ных и производит расчет. В итоге на экран пользователя выводится в виде таблицы несколько возможных видов транспорта. Напротив </w:t>
      </w:r>
      <w:r w:rsidRPr="00D34D80">
        <w:rPr>
          <w:rFonts w:eastAsia="Calibri"/>
          <w:sz w:val="22"/>
          <w:szCs w:val="22"/>
          <w:lang w:eastAsia="en-US"/>
        </w:rPr>
        <w:lastRenderedPageBreak/>
        <w:t>каждого из них в колонках указано: расстояние, которое будет им пройдено, необходимое количество этого транспорта, время в пути и общая цена с учетом остановок. Исходя из этих данных, пользов</w:t>
      </w:r>
      <w:r w:rsidRPr="00D34D80">
        <w:rPr>
          <w:rFonts w:eastAsia="Calibri"/>
          <w:sz w:val="22"/>
          <w:szCs w:val="22"/>
          <w:lang w:eastAsia="en-US"/>
        </w:rPr>
        <w:t>а</w:t>
      </w:r>
      <w:r w:rsidRPr="00D34D80">
        <w:rPr>
          <w:rFonts w:eastAsia="Calibri"/>
          <w:sz w:val="22"/>
          <w:szCs w:val="22"/>
          <w:lang w:eastAsia="en-US"/>
        </w:rPr>
        <w:t>тель сможет сам решить какой вариант для него наиболее подход</w:t>
      </w:r>
      <w:r w:rsidRPr="00D34D80">
        <w:rPr>
          <w:rFonts w:eastAsia="Calibri"/>
          <w:sz w:val="22"/>
          <w:szCs w:val="22"/>
          <w:lang w:eastAsia="en-US"/>
        </w:rPr>
        <w:t>я</w:t>
      </w:r>
      <w:r w:rsidRPr="00D34D80">
        <w:rPr>
          <w:rFonts w:eastAsia="Calibri"/>
          <w:sz w:val="22"/>
          <w:szCs w:val="22"/>
          <w:lang w:eastAsia="en-US"/>
        </w:rPr>
        <w:t xml:space="preserve">щий. Также выводимые данные будут представлены не только внутри приложения, но и с возможностью печати в виде отчета. </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Данное приложение будет ориент</w:t>
      </w:r>
      <w:r w:rsidR="003B37B7" w:rsidRPr="00D34D80">
        <w:rPr>
          <w:rFonts w:eastAsia="Calibri"/>
          <w:sz w:val="22"/>
          <w:szCs w:val="22"/>
          <w:lang w:eastAsia="en-US"/>
        </w:rPr>
        <w:t>ировано на малые предпри</w:t>
      </w:r>
      <w:r w:rsidR="003B37B7" w:rsidRPr="00D34D80">
        <w:rPr>
          <w:rFonts w:eastAsia="Calibri"/>
          <w:sz w:val="22"/>
          <w:szCs w:val="22"/>
          <w:lang w:eastAsia="en-US"/>
        </w:rPr>
        <w:t>я</w:t>
      </w:r>
      <w:r w:rsidR="003B37B7" w:rsidRPr="00D34D80">
        <w:rPr>
          <w:rFonts w:eastAsia="Calibri"/>
          <w:sz w:val="22"/>
          <w:szCs w:val="22"/>
          <w:lang w:eastAsia="en-US"/>
        </w:rPr>
        <w:t xml:space="preserve">тия и </w:t>
      </w:r>
      <w:r w:rsidRPr="00D34D80">
        <w:rPr>
          <w:rFonts w:eastAsia="Calibri"/>
          <w:sz w:val="22"/>
          <w:szCs w:val="22"/>
          <w:lang w:eastAsia="en-US"/>
        </w:rPr>
        <w:t>предназначено для упрощения работы сотрудников из сферы логистики.</w:t>
      </w:r>
    </w:p>
    <w:p w:rsidR="00281602" w:rsidRPr="00D34D80" w:rsidRDefault="00281602" w:rsidP="00281602">
      <w:pPr>
        <w:ind w:firstLine="425"/>
        <w:jc w:val="both"/>
        <w:rPr>
          <w:rFonts w:eastAsia="Calibri"/>
          <w:sz w:val="22"/>
          <w:szCs w:val="22"/>
          <w:lang w:eastAsia="en-US"/>
        </w:rPr>
      </w:pPr>
    </w:p>
    <w:p w:rsidR="00281602" w:rsidRPr="00D34D80" w:rsidRDefault="00281602" w:rsidP="00281602">
      <w:pPr>
        <w:ind w:firstLine="425"/>
        <w:jc w:val="center"/>
        <w:rPr>
          <w:rFonts w:eastAsia="Calibri"/>
          <w:sz w:val="22"/>
          <w:szCs w:val="22"/>
          <w:lang w:eastAsia="en-US"/>
        </w:rPr>
      </w:pPr>
      <w:r w:rsidRPr="00D34D80">
        <w:rPr>
          <w:rFonts w:eastAsia="Calibri"/>
          <w:sz w:val="22"/>
          <w:szCs w:val="22"/>
          <w:lang w:eastAsia="en-US"/>
        </w:rPr>
        <w:t>Список литературы</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1. http://megaobuchalka.ru/8/19139.html</w:t>
      </w:r>
    </w:p>
    <w:p w:rsidR="00281602" w:rsidRPr="00D34D80" w:rsidRDefault="00281602" w:rsidP="00281602">
      <w:pPr>
        <w:ind w:firstLine="425"/>
        <w:jc w:val="both"/>
        <w:rPr>
          <w:rFonts w:eastAsia="Calibri"/>
          <w:sz w:val="22"/>
          <w:szCs w:val="22"/>
          <w:lang w:eastAsia="en-US"/>
        </w:rPr>
      </w:pPr>
      <w:r w:rsidRPr="00D34D80">
        <w:rPr>
          <w:rFonts w:eastAsia="Calibri"/>
          <w:sz w:val="22"/>
          <w:szCs w:val="22"/>
          <w:lang w:eastAsia="en-US"/>
        </w:rPr>
        <w:t>2. Параскевов А.В., Молько О.Д., Кравченко К.А. Особенности применения методов многокритериальной оптимизации в сфере общественного питания / Политематический сетевой электронный научный журнал Кубанского государственного аграрного универс</w:t>
      </w:r>
      <w:r w:rsidRPr="00D34D80">
        <w:rPr>
          <w:rFonts w:eastAsia="Calibri"/>
          <w:sz w:val="22"/>
          <w:szCs w:val="22"/>
          <w:lang w:eastAsia="en-US"/>
        </w:rPr>
        <w:t>и</w:t>
      </w:r>
      <w:r w:rsidRPr="00D34D80">
        <w:rPr>
          <w:rFonts w:eastAsia="Calibri"/>
          <w:sz w:val="22"/>
          <w:szCs w:val="22"/>
          <w:lang w:eastAsia="en-US"/>
        </w:rPr>
        <w:t xml:space="preserve">тета. 2017. </w:t>
      </w:r>
      <w:hyperlink r:id="rId152" w:history="1">
        <w:r w:rsidRPr="00D34D80">
          <w:rPr>
            <w:rFonts w:eastAsia="Calibri"/>
            <w:sz w:val="22"/>
            <w:szCs w:val="22"/>
            <w:lang w:eastAsia="en-US"/>
          </w:rPr>
          <w:t>№ 129</w:t>
        </w:r>
      </w:hyperlink>
      <w:r w:rsidRPr="00D34D80">
        <w:rPr>
          <w:rFonts w:eastAsia="Calibri"/>
          <w:sz w:val="22"/>
          <w:szCs w:val="22"/>
          <w:lang w:eastAsia="en-US"/>
        </w:rPr>
        <w:t>. С. 1137-1150.</w:t>
      </w:r>
    </w:p>
    <w:p w:rsidR="00281602" w:rsidRPr="00281602" w:rsidRDefault="00281602" w:rsidP="00281602">
      <w:pPr>
        <w:ind w:firstLine="425"/>
        <w:jc w:val="both"/>
        <w:rPr>
          <w:rFonts w:eastAsia="Calibri"/>
          <w:sz w:val="22"/>
          <w:szCs w:val="22"/>
          <w:lang w:eastAsia="en-US"/>
        </w:rPr>
      </w:pPr>
      <w:r w:rsidRPr="00D34D80">
        <w:rPr>
          <w:rFonts w:eastAsia="Calibri"/>
          <w:sz w:val="22"/>
          <w:szCs w:val="22"/>
          <w:lang w:eastAsia="en-US"/>
        </w:rPr>
        <w:t>3. Параскевов А.В., Кравченко К.А., Молько О.Д. Компьюте</w:t>
      </w:r>
      <w:r w:rsidRPr="00D34D80">
        <w:rPr>
          <w:rFonts w:eastAsia="Calibri"/>
          <w:sz w:val="22"/>
          <w:szCs w:val="22"/>
          <w:lang w:eastAsia="en-US"/>
        </w:rPr>
        <w:t>р</w:t>
      </w:r>
      <w:r w:rsidRPr="00D34D80">
        <w:rPr>
          <w:rFonts w:eastAsia="Calibri"/>
          <w:sz w:val="22"/>
          <w:szCs w:val="22"/>
          <w:lang w:eastAsia="en-US"/>
        </w:rPr>
        <w:t>ная автоматизированная система как средство повышения эффе</w:t>
      </w:r>
      <w:r w:rsidRPr="00D34D80">
        <w:rPr>
          <w:rFonts w:eastAsia="Calibri"/>
          <w:sz w:val="22"/>
          <w:szCs w:val="22"/>
          <w:lang w:eastAsia="en-US"/>
        </w:rPr>
        <w:t>к</w:t>
      </w:r>
      <w:r w:rsidRPr="00D34D80">
        <w:rPr>
          <w:rFonts w:eastAsia="Calibri"/>
          <w:sz w:val="22"/>
          <w:szCs w:val="22"/>
          <w:lang w:eastAsia="en-US"/>
        </w:rPr>
        <w:t>тивности деятельности ремонтных предприятия / Политематич</w:t>
      </w:r>
      <w:r w:rsidRPr="00D34D80">
        <w:rPr>
          <w:rFonts w:eastAsia="Calibri"/>
          <w:sz w:val="22"/>
          <w:szCs w:val="22"/>
          <w:lang w:eastAsia="en-US"/>
        </w:rPr>
        <w:t>е</w:t>
      </w:r>
      <w:r w:rsidRPr="00D34D80">
        <w:rPr>
          <w:rFonts w:eastAsia="Calibri"/>
          <w:sz w:val="22"/>
          <w:szCs w:val="22"/>
          <w:lang w:eastAsia="en-US"/>
        </w:rPr>
        <w:t>ский сетевой электронный научный журнал Кубанского госуда</w:t>
      </w:r>
      <w:r w:rsidRPr="00D34D80">
        <w:rPr>
          <w:rFonts w:eastAsia="Calibri"/>
          <w:sz w:val="22"/>
          <w:szCs w:val="22"/>
          <w:lang w:eastAsia="en-US"/>
        </w:rPr>
        <w:t>р</w:t>
      </w:r>
      <w:r w:rsidRPr="00D34D80">
        <w:rPr>
          <w:rFonts w:eastAsia="Calibri"/>
          <w:sz w:val="22"/>
          <w:szCs w:val="22"/>
          <w:lang w:eastAsia="en-US"/>
        </w:rPr>
        <w:t xml:space="preserve">ственного аграрного университета. 2017. </w:t>
      </w:r>
      <w:hyperlink r:id="rId153" w:history="1">
        <w:r w:rsidRPr="00D34D80">
          <w:rPr>
            <w:rFonts w:eastAsia="Calibri"/>
            <w:sz w:val="22"/>
            <w:szCs w:val="22"/>
            <w:lang w:eastAsia="en-US"/>
          </w:rPr>
          <w:t>№ 133</w:t>
        </w:r>
      </w:hyperlink>
      <w:r w:rsidRPr="00D34D80">
        <w:rPr>
          <w:rFonts w:eastAsia="Calibri"/>
          <w:sz w:val="22"/>
          <w:szCs w:val="22"/>
          <w:lang w:eastAsia="en-US"/>
        </w:rPr>
        <w:t>. С. 1013-1028</w:t>
      </w:r>
      <w:r w:rsidRPr="00281602">
        <w:rPr>
          <w:rFonts w:eastAsia="Calibri"/>
          <w:sz w:val="22"/>
          <w:szCs w:val="22"/>
          <w:lang w:eastAsia="en-US"/>
        </w:rPr>
        <w:t>.</w:t>
      </w:r>
    </w:p>
    <w:p w:rsidR="00281602" w:rsidRPr="00281602" w:rsidRDefault="00281602" w:rsidP="00281602">
      <w:pPr>
        <w:ind w:firstLine="425"/>
        <w:jc w:val="both"/>
        <w:rPr>
          <w:rFonts w:eastAsia="Calibri"/>
          <w:sz w:val="22"/>
          <w:szCs w:val="22"/>
          <w:lang w:eastAsia="en-US"/>
        </w:rPr>
      </w:pPr>
    </w:p>
    <w:p w:rsidR="003B37B7" w:rsidRPr="00281602" w:rsidRDefault="00CC1F5C" w:rsidP="00CC1F5C">
      <w:pPr>
        <w:rPr>
          <w:rFonts w:eastAsia="Calibri"/>
          <w:sz w:val="22"/>
          <w:szCs w:val="22"/>
          <w:lang w:eastAsia="en-US"/>
        </w:rPr>
      </w:pPr>
      <w:r>
        <w:rPr>
          <w:rFonts w:eastAsia="Calibri"/>
          <w:sz w:val="22"/>
          <w:szCs w:val="22"/>
          <w:lang w:eastAsia="en-US"/>
        </w:rPr>
        <w:br w:type="page"/>
      </w: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004.051:[004.3+004.4]</w:t>
      </w:r>
    </w:p>
    <w:p w:rsidR="00281602" w:rsidRPr="00281602" w:rsidRDefault="00281602" w:rsidP="00281602">
      <w:pPr>
        <w:ind w:firstLine="425"/>
        <w:jc w:val="both"/>
        <w:rPr>
          <w:rFonts w:eastAsia="Calibri"/>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Проблемы переноса аппаратно-программных комплексов в облачные инфраструктуры</w:t>
      </w:r>
    </w:p>
    <w:p w:rsidR="00281602" w:rsidRDefault="00281602" w:rsidP="00D34D80">
      <w:pPr>
        <w:jc w:val="center"/>
        <w:rPr>
          <w:rFonts w:eastAsia="Calibri"/>
          <w:b/>
          <w:sz w:val="24"/>
          <w:szCs w:val="24"/>
          <w:lang w:eastAsia="en-US"/>
        </w:rPr>
      </w:pPr>
      <w:r w:rsidRPr="00281602">
        <w:rPr>
          <w:rFonts w:eastAsia="Calibri"/>
          <w:b/>
          <w:sz w:val="24"/>
          <w:szCs w:val="24"/>
          <w:lang w:val="en-US" w:eastAsia="en-US"/>
        </w:rPr>
        <w:t>Problems</w:t>
      </w:r>
      <w:r w:rsidRPr="00C609D1">
        <w:rPr>
          <w:rFonts w:eastAsia="Calibri"/>
          <w:b/>
          <w:sz w:val="24"/>
          <w:szCs w:val="24"/>
          <w:lang w:eastAsia="en-US"/>
        </w:rPr>
        <w:t xml:space="preserve"> </w:t>
      </w:r>
      <w:r w:rsidRPr="00281602">
        <w:rPr>
          <w:rFonts w:eastAsia="Calibri"/>
          <w:b/>
          <w:sz w:val="24"/>
          <w:szCs w:val="24"/>
          <w:lang w:val="en-US" w:eastAsia="en-US"/>
        </w:rPr>
        <w:t>of</w:t>
      </w:r>
      <w:r w:rsidRPr="00C609D1">
        <w:rPr>
          <w:rFonts w:eastAsia="Calibri"/>
          <w:b/>
          <w:sz w:val="24"/>
          <w:szCs w:val="24"/>
          <w:lang w:eastAsia="en-US"/>
        </w:rPr>
        <w:t xml:space="preserve"> </w:t>
      </w:r>
      <w:r w:rsidRPr="00281602">
        <w:rPr>
          <w:rFonts w:eastAsia="Calibri"/>
          <w:b/>
          <w:sz w:val="24"/>
          <w:szCs w:val="24"/>
          <w:lang w:val="en-US" w:eastAsia="en-US"/>
        </w:rPr>
        <w:t>transferring</w:t>
      </w:r>
      <w:r w:rsidRPr="00C609D1">
        <w:rPr>
          <w:rFonts w:eastAsia="Calibri"/>
          <w:b/>
          <w:sz w:val="24"/>
          <w:szCs w:val="24"/>
          <w:lang w:eastAsia="en-US"/>
        </w:rPr>
        <w:t xml:space="preserve"> </w:t>
      </w:r>
      <w:r w:rsidRPr="00281602">
        <w:rPr>
          <w:rFonts w:eastAsia="Calibri"/>
          <w:b/>
          <w:sz w:val="24"/>
          <w:szCs w:val="24"/>
          <w:lang w:val="en-US" w:eastAsia="en-US"/>
        </w:rPr>
        <w:t>hardware</w:t>
      </w:r>
      <w:r w:rsidRPr="00C609D1">
        <w:rPr>
          <w:rFonts w:eastAsia="Calibri"/>
          <w:b/>
          <w:sz w:val="24"/>
          <w:szCs w:val="24"/>
          <w:lang w:eastAsia="en-US"/>
        </w:rPr>
        <w:t xml:space="preserve"> </w:t>
      </w:r>
      <w:r w:rsidRPr="00281602">
        <w:rPr>
          <w:rFonts w:eastAsia="Calibri"/>
          <w:b/>
          <w:sz w:val="24"/>
          <w:szCs w:val="24"/>
          <w:lang w:val="en-US" w:eastAsia="en-US"/>
        </w:rPr>
        <w:t>and</w:t>
      </w:r>
      <w:r w:rsidRPr="00C609D1">
        <w:rPr>
          <w:rFonts w:eastAsia="Calibri"/>
          <w:b/>
          <w:sz w:val="24"/>
          <w:szCs w:val="24"/>
          <w:lang w:eastAsia="en-US"/>
        </w:rPr>
        <w:t xml:space="preserve"> </w:t>
      </w:r>
      <w:r w:rsidRPr="00281602">
        <w:rPr>
          <w:rFonts w:eastAsia="Calibri"/>
          <w:b/>
          <w:sz w:val="24"/>
          <w:szCs w:val="24"/>
          <w:lang w:val="en-US" w:eastAsia="en-US"/>
        </w:rPr>
        <w:t>software</w:t>
      </w:r>
      <w:r w:rsidRPr="00C609D1">
        <w:rPr>
          <w:rFonts w:eastAsia="Calibri"/>
          <w:b/>
          <w:sz w:val="24"/>
          <w:szCs w:val="24"/>
          <w:lang w:eastAsia="en-US"/>
        </w:rPr>
        <w:t xml:space="preserve"> </w:t>
      </w:r>
      <w:r w:rsidRPr="00281602">
        <w:rPr>
          <w:rFonts w:eastAsia="Calibri"/>
          <w:b/>
          <w:sz w:val="24"/>
          <w:szCs w:val="24"/>
          <w:lang w:val="en-US" w:eastAsia="en-US"/>
        </w:rPr>
        <w:t>systems</w:t>
      </w:r>
      <w:r w:rsidRPr="00C609D1">
        <w:rPr>
          <w:rFonts w:eastAsia="Calibri"/>
          <w:b/>
          <w:sz w:val="24"/>
          <w:szCs w:val="24"/>
          <w:lang w:eastAsia="en-US"/>
        </w:rPr>
        <w:t xml:space="preserve"> </w:t>
      </w:r>
      <w:r w:rsidRPr="00281602">
        <w:rPr>
          <w:rFonts w:eastAsia="Calibri"/>
          <w:b/>
          <w:sz w:val="24"/>
          <w:szCs w:val="24"/>
          <w:lang w:val="en-US" w:eastAsia="en-US"/>
        </w:rPr>
        <w:t>to</w:t>
      </w:r>
      <w:r w:rsidRPr="00C609D1">
        <w:rPr>
          <w:rFonts w:eastAsia="Calibri"/>
          <w:b/>
          <w:sz w:val="24"/>
          <w:szCs w:val="24"/>
          <w:lang w:eastAsia="en-US"/>
        </w:rPr>
        <w:t xml:space="preserve"> </w:t>
      </w:r>
      <w:r w:rsidRPr="00281602">
        <w:rPr>
          <w:rFonts w:eastAsia="Calibri"/>
          <w:b/>
          <w:sz w:val="24"/>
          <w:szCs w:val="24"/>
          <w:lang w:val="en-US" w:eastAsia="en-US"/>
        </w:rPr>
        <w:t>cloud</w:t>
      </w:r>
      <w:r w:rsidRPr="00C609D1">
        <w:rPr>
          <w:rFonts w:eastAsia="Calibri"/>
          <w:b/>
          <w:sz w:val="24"/>
          <w:szCs w:val="24"/>
          <w:lang w:eastAsia="en-US"/>
        </w:rPr>
        <w:t xml:space="preserve"> </w:t>
      </w:r>
      <w:r w:rsidRPr="00281602">
        <w:rPr>
          <w:rFonts w:eastAsia="Calibri"/>
          <w:b/>
          <w:sz w:val="24"/>
          <w:szCs w:val="24"/>
          <w:lang w:val="en-US" w:eastAsia="en-US"/>
        </w:rPr>
        <w:t>infrastructure</w:t>
      </w:r>
    </w:p>
    <w:p w:rsidR="00CC1F5C" w:rsidRPr="00CC1F5C" w:rsidRDefault="00CC1F5C" w:rsidP="00D34D80">
      <w:pPr>
        <w:jc w:val="center"/>
        <w:rPr>
          <w:rFonts w:eastAsia="Calibri"/>
          <w:b/>
          <w:sz w:val="24"/>
          <w:szCs w:val="24"/>
          <w:lang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Мороз С. 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 4-курса факультета прикладной информатики</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Кубанский государственный аграрный</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АННОТАЦИЯ: В современных условиях хозяйствования сн</w:t>
      </w:r>
      <w:r w:rsidRPr="00281602">
        <w:rPr>
          <w:rFonts w:eastAsia="Calibri"/>
          <w:sz w:val="22"/>
          <w:szCs w:val="22"/>
          <w:lang w:eastAsia="en-US"/>
        </w:rPr>
        <w:t>и</w:t>
      </w:r>
      <w:r w:rsidRPr="00281602">
        <w:rPr>
          <w:rFonts w:eastAsia="Calibri"/>
          <w:sz w:val="22"/>
          <w:szCs w:val="22"/>
          <w:lang w:eastAsia="en-US"/>
        </w:rPr>
        <w:t>жение издержек на поддержку информационной инфраструктуры возможно только при условии применения облачных технологий.</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In modern conditions of management, the reduction of costs for the support of the information infrastructure is possible only with the use of cloud technologies.</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облачная инфраструктура, миграция, этапы, эффективность информационных систем.</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cloud infrastructure, migration, stages, the effectiv</w:t>
      </w:r>
      <w:r w:rsidRPr="00281602">
        <w:rPr>
          <w:rFonts w:eastAsia="Calibri"/>
          <w:sz w:val="22"/>
          <w:szCs w:val="22"/>
          <w:lang w:val="en-US" w:eastAsia="en-US"/>
        </w:rPr>
        <w:t>e</w:t>
      </w:r>
      <w:r w:rsidRPr="00281602">
        <w:rPr>
          <w:rFonts w:eastAsia="Calibri"/>
          <w:sz w:val="22"/>
          <w:szCs w:val="22"/>
          <w:lang w:val="en-US" w:eastAsia="en-US"/>
        </w:rPr>
        <w:t>ness of information systems.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Проблема переноса </w:t>
      </w:r>
      <w:r w:rsidRPr="00281602">
        <w:rPr>
          <w:rFonts w:eastAsia="Calibri"/>
          <w:sz w:val="22"/>
          <w:szCs w:val="22"/>
          <w:lang w:val="en-US" w:eastAsia="en-US"/>
        </w:rPr>
        <w:t>IT</w:t>
      </w:r>
      <w:r w:rsidRPr="00281602">
        <w:rPr>
          <w:rFonts w:eastAsia="Calibri"/>
          <w:sz w:val="22"/>
          <w:szCs w:val="22"/>
          <w:lang w:eastAsia="en-US"/>
        </w:rPr>
        <w:t>-инфраструктуры в облако стоит у дост</w:t>
      </w:r>
      <w:r w:rsidRPr="00281602">
        <w:rPr>
          <w:rFonts w:eastAsia="Calibri"/>
          <w:sz w:val="22"/>
          <w:szCs w:val="22"/>
          <w:lang w:eastAsia="en-US"/>
        </w:rPr>
        <w:t>а</w:t>
      </w:r>
      <w:r w:rsidRPr="00281602">
        <w:rPr>
          <w:rFonts w:eastAsia="Calibri"/>
          <w:sz w:val="22"/>
          <w:szCs w:val="22"/>
          <w:lang w:eastAsia="en-US"/>
        </w:rPr>
        <w:t>точно большого количества как российских, так и иностранных коммерческих организаций. Хостинг-провайдеры, предоставля</w:t>
      </w:r>
      <w:r w:rsidRPr="00281602">
        <w:rPr>
          <w:rFonts w:eastAsia="Calibri"/>
          <w:sz w:val="22"/>
          <w:szCs w:val="22"/>
          <w:lang w:eastAsia="en-US"/>
        </w:rPr>
        <w:t>ю</w:t>
      </w:r>
      <w:r w:rsidRPr="00281602">
        <w:rPr>
          <w:rFonts w:eastAsia="Calibri"/>
          <w:sz w:val="22"/>
          <w:szCs w:val="22"/>
          <w:lang w:eastAsia="en-US"/>
        </w:rPr>
        <w:t>щие подобные услуги уже имеют возможность предложить полный спектр необходимых услуг – от создания резервных копий до орг</w:t>
      </w:r>
      <w:r w:rsidRPr="00281602">
        <w:rPr>
          <w:rFonts w:eastAsia="Calibri"/>
          <w:sz w:val="22"/>
          <w:szCs w:val="22"/>
          <w:lang w:eastAsia="en-US"/>
        </w:rPr>
        <w:t>а</w:t>
      </w:r>
      <w:r w:rsidRPr="00281602">
        <w:rPr>
          <w:rFonts w:eastAsia="Calibri"/>
          <w:sz w:val="22"/>
          <w:szCs w:val="22"/>
          <w:lang w:eastAsia="en-US"/>
        </w:rPr>
        <w:t>низации распределенного хранения данных и обеспечения заказч</w:t>
      </w:r>
      <w:r w:rsidRPr="00281602">
        <w:rPr>
          <w:rFonts w:eastAsia="Calibri"/>
          <w:sz w:val="22"/>
          <w:szCs w:val="22"/>
          <w:lang w:eastAsia="en-US"/>
        </w:rPr>
        <w:t>и</w:t>
      </w:r>
      <w:r w:rsidRPr="00281602">
        <w:rPr>
          <w:rFonts w:eastAsia="Calibri"/>
          <w:sz w:val="22"/>
          <w:szCs w:val="22"/>
          <w:lang w:eastAsia="en-US"/>
        </w:rPr>
        <w:t>ка необходимыми вычислительными мощностями. Помимо высв</w:t>
      </w:r>
      <w:r w:rsidRPr="00281602">
        <w:rPr>
          <w:rFonts w:eastAsia="Calibri"/>
          <w:sz w:val="22"/>
          <w:szCs w:val="22"/>
          <w:lang w:eastAsia="en-US"/>
        </w:rPr>
        <w:t>о</w:t>
      </w:r>
      <w:r w:rsidRPr="00281602">
        <w:rPr>
          <w:rFonts w:eastAsia="Calibri"/>
          <w:sz w:val="22"/>
          <w:szCs w:val="22"/>
          <w:lang w:eastAsia="en-US"/>
        </w:rPr>
        <w:t>бождения аппаратных ресурсов, при переносе инфраструктуры в облако решается и проблема затрат на лицензии к программным продуктам. Гораздо дешевле и проще арендовать программное обеспечение ухостинг-провайдера, чем покупать экземпляры л</w:t>
      </w:r>
      <w:r w:rsidRPr="00281602">
        <w:rPr>
          <w:rFonts w:eastAsia="Calibri"/>
          <w:sz w:val="22"/>
          <w:szCs w:val="22"/>
          <w:lang w:eastAsia="en-US"/>
        </w:rPr>
        <w:t>и</w:t>
      </w:r>
      <w:r w:rsidRPr="00281602">
        <w:rPr>
          <w:rFonts w:eastAsia="Calibri"/>
          <w:sz w:val="22"/>
          <w:szCs w:val="22"/>
          <w:lang w:eastAsia="en-US"/>
        </w:rPr>
        <w:t>цензий. Еще больше выгод сулит экономия на налогообложении, ведь большая часть затрат переносится из капитальных в операц</w:t>
      </w:r>
      <w:r w:rsidRPr="00281602">
        <w:rPr>
          <w:rFonts w:eastAsia="Calibri"/>
          <w:sz w:val="22"/>
          <w:szCs w:val="22"/>
          <w:lang w:eastAsia="en-US"/>
        </w:rPr>
        <w:t>и</w:t>
      </w:r>
      <w:r w:rsidRPr="00281602">
        <w:rPr>
          <w:rFonts w:eastAsia="Calibri"/>
          <w:sz w:val="22"/>
          <w:szCs w:val="22"/>
          <w:lang w:eastAsia="en-US"/>
        </w:rPr>
        <w:t xml:space="preserve">онные. </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lastRenderedPageBreak/>
        <w:t xml:space="preserve">Перенос </w:t>
      </w:r>
      <w:r w:rsidRPr="00281602">
        <w:rPr>
          <w:rFonts w:eastAsia="Calibri"/>
          <w:sz w:val="22"/>
          <w:szCs w:val="22"/>
          <w:lang w:val="en-US" w:eastAsia="en-US"/>
        </w:rPr>
        <w:t>IT</w:t>
      </w:r>
      <w:r w:rsidRPr="00281602">
        <w:rPr>
          <w:rFonts w:eastAsia="Calibri"/>
          <w:sz w:val="22"/>
          <w:szCs w:val="22"/>
          <w:lang w:eastAsia="en-US"/>
        </w:rPr>
        <w:t>-инфраструктуры в облако освобождает компанию от необходимости поддерживать команду квалифицированных сп</w:t>
      </w:r>
      <w:r w:rsidRPr="00281602">
        <w:rPr>
          <w:rFonts w:eastAsia="Calibri"/>
          <w:sz w:val="22"/>
          <w:szCs w:val="22"/>
          <w:lang w:eastAsia="en-US"/>
        </w:rPr>
        <w:t>е</w:t>
      </w:r>
      <w:r w:rsidRPr="00281602">
        <w:rPr>
          <w:rFonts w:eastAsia="Calibri"/>
          <w:sz w:val="22"/>
          <w:szCs w:val="22"/>
          <w:lang w:eastAsia="en-US"/>
        </w:rPr>
        <w:t>циалистов, обученную поддерживать высокотехнологичное обор</w:t>
      </w:r>
      <w:r w:rsidRPr="00281602">
        <w:rPr>
          <w:rFonts w:eastAsia="Calibri"/>
          <w:sz w:val="22"/>
          <w:szCs w:val="22"/>
          <w:lang w:eastAsia="en-US"/>
        </w:rPr>
        <w:t>у</w:t>
      </w:r>
      <w:r w:rsidRPr="00281602">
        <w:rPr>
          <w:rFonts w:eastAsia="Calibri"/>
          <w:sz w:val="22"/>
          <w:szCs w:val="22"/>
          <w:lang w:eastAsia="en-US"/>
        </w:rPr>
        <w:t>дование. Также не стоит забывать, что облачный подход к разве</w:t>
      </w:r>
      <w:r w:rsidRPr="00281602">
        <w:rPr>
          <w:rFonts w:eastAsia="Calibri"/>
          <w:sz w:val="22"/>
          <w:szCs w:val="22"/>
          <w:lang w:eastAsia="en-US"/>
        </w:rPr>
        <w:t>р</w:t>
      </w:r>
      <w:r w:rsidRPr="00281602">
        <w:rPr>
          <w:rFonts w:eastAsia="Calibri"/>
          <w:sz w:val="22"/>
          <w:szCs w:val="22"/>
          <w:lang w:eastAsia="en-US"/>
        </w:rPr>
        <w:t>тыванию инфраструктуры дает дополнительные возможности по оперативному масштабированию инфраструктуры.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Таким образом, перенос </w:t>
      </w:r>
      <w:r w:rsidRPr="00281602">
        <w:rPr>
          <w:rFonts w:eastAsia="Calibri"/>
          <w:sz w:val="22"/>
          <w:szCs w:val="22"/>
          <w:lang w:val="en-US" w:eastAsia="en-US"/>
        </w:rPr>
        <w:t>IT</w:t>
      </w:r>
      <w:r w:rsidRPr="00281602">
        <w:rPr>
          <w:rFonts w:eastAsia="Calibri"/>
          <w:sz w:val="22"/>
          <w:szCs w:val="22"/>
          <w:lang w:eastAsia="en-US"/>
        </w:rPr>
        <w:t>-инфраструктуры в виртуальный х</w:t>
      </w:r>
      <w:r w:rsidRPr="00281602">
        <w:rPr>
          <w:rFonts w:eastAsia="Calibri"/>
          <w:sz w:val="22"/>
          <w:szCs w:val="22"/>
          <w:lang w:eastAsia="en-US"/>
        </w:rPr>
        <w:t>о</w:t>
      </w:r>
      <w:r w:rsidRPr="00281602">
        <w:rPr>
          <w:rFonts w:eastAsia="Calibri"/>
          <w:sz w:val="22"/>
          <w:szCs w:val="22"/>
          <w:lang w:eastAsia="en-US"/>
        </w:rPr>
        <w:t>стинг, обеспеченный надежным хостинг-провайдером является се</w:t>
      </w:r>
      <w:r w:rsidRPr="00281602">
        <w:rPr>
          <w:rFonts w:eastAsia="Calibri"/>
          <w:sz w:val="22"/>
          <w:szCs w:val="22"/>
          <w:lang w:eastAsia="en-US"/>
        </w:rPr>
        <w:t>й</w:t>
      </w:r>
      <w:r w:rsidRPr="00281602">
        <w:rPr>
          <w:rFonts w:eastAsia="Calibri"/>
          <w:sz w:val="22"/>
          <w:szCs w:val="22"/>
          <w:lang w:eastAsia="en-US"/>
        </w:rPr>
        <w:t>час простым и понятным решением по повышению эффективности функционирования компании. Логично, что иностранный бизнес получает помимо всего прочего еще и преимущество от облачного провайдера, благодаря гарантиям исполнения закона №152-ФЗ.</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В чем же заключается перенос инфраструктуры с технической точки зрения? Можно выделить следующие этапы.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1. Оценка информационных ресурсов заказчика с точки зрения возможности переноса ее хранения и операций обработки на мо</w:t>
      </w:r>
      <w:r w:rsidRPr="00281602">
        <w:rPr>
          <w:rFonts w:eastAsia="Calibri"/>
          <w:sz w:val="22"/>
          <w:szCs w:val="22"/>
          <w:lang w:eastAsia="en-US"/>
        </w:rPr>
        <w:t>щ</w:t>
      </w:r>
      <w:r w:rsidRPr="00281602">
        <w:rPr>
          <w:rFonts w:eastAsia="Calibri"/>
          <w:sz w:val="22"/>
          <w:szCs w:val="22"/>
          <w:lang w:eastAsia="en-US"/>
        </w:rPr>
        <w:t>ности третьей стороны.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2. Оценка ресурсной базы заказчика на соответствие реальным требованиям по хранению данных.</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3. Оценка структуры и состояния программных комплексов, используемых заказчиком при работе с данными.</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4. Подготовка плана поэтапного перехода информационных сервисов из локальной инфраструктуры заказчика в облачную с полным дублированием на этапе перехода.</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5. Организация тестирования инфраструктуры на отказоусто</w:t>
      </w:r>
      <w:r w:rsidRPr="00281602">
        <w:rPr>
          <w:rFonts w:eastAsia="Calibri"/>
          <w:sz w:val="22"/>
          <w:szCs w:val="22"/>
          <w:lang w:eastAsia="en-US"/>
        </w:rPr>
        <w:t>й</w:t>
      </w:r>
      <w:r w:rsidRPr="00281602">
        <w:rPr>
          <w:rFonts w:eastAsia="Calibri"/>
          <w:sz w:val="22"/>
          <w:szCs w:val="22"/>
          <w:lang w:eastAsia="en-US"/>
        </w:rPr>
        <w:t>чивость и надежность работы на каждом этапе переноса инфр</w:t>
      </w:r>
      <w:r w:rsidRPr="00281602">
        <w:rPr>
          <w:rFonts w:eastAsia="Calibri"/>
          <w:sz w:val="22"/>
          <w:szCs w:val="22"/>
          <w:lang w:eastAsia="en-US"/>
        </w:rPr>
        <w:t>а</w:t>
      </w:r>
      <w:r w:rsidRPr="00281602">
        <w:rPr>
          <w:rFonts w:eastAsia="Calibri"/>
          <w:sz w:val="22"/>
          <w:szCs w:val="22"/>
          <w:lang w:eastAsia="en-US"/>
        </w:rPr>
        <w:t>структуры.</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При этом следует отметить, что при выполнении миграции на </w:t>
      </w:r>
      <w:r w:rsidRPr="00281602">
        <w:rPr>
          <w:rFonts w:eastAsia="Calibri"/>
          <w:sz w:val="22"/>
          <w:szCs w:val="22"/>
          <w:lang w:val="en-US" w:eastAsia="en-US"/>
        </w:rPr>
        <w:t>VPS</w:t>
      </w:r>
      <w:r w:rsidRPr="00281602">
        <w:rPr>
          <w:rFonts w:eastAsia="Calibri"/>
          <w:sz w:val="22"/>
          <w:szCs w:val="22"/>
          <w:lang w:eastAsia="en-US"/>
        </w:rPr>
        <w:t>-сервер, многие хотинг-провайдеры предлагают услуги помощи на каждом этапе, так как поставщик облачных услуг всегда заинт</w:t>
      </w:r>
      <w:r w:rsidRPr="00281602">
        <w:rPr>
          <w:rFonts w:eastAsia="Calibri"/>
          <w:sz w:val="22"/>
          <w:szCs w:val="22"/>
          <w:lang w:eastAsia="en-US"/>
        </w:rPr>
        <w:t>е</w:t>
      </w:r>
      <w:r w:rsidRPr="00281602">
        <w:rPr>
          <w:rFonts w:eastAsia="Calibri"/>
          <w:sz w:val="22"/>
          <w:szCs w:val="22"/>
          <w:lang w:eastAsia="en-US"/>
        </w:rPr>
        <w:t>ресован в клиенте и в качестве выполненных работ.</w:t>
      </w:r>
    </w:p>
    <w:p w:rsidR="00281602" w:rsidRPr="00281602" w:rsidRDefault="00281602" w:rsidP="00281602">
      <w:pPr>
        <w:ind w:firstLine="425"/>
        <w:jc w:val="both"/>
        <w:rPr>
          <w:sz w:val="22"/>
          <w:szCs w:val="22"/>
        </w:rPr>
      </w:pPr>
    </w:p>
    <w:p w:rsidR="00281602" w:rsidRPr="00281602" w:rsidRDefault="00281602" w:rsidP="00281602">
      <w:pPr>
        <w:ind w:firstLine="425"/>
        <w:jc w:val="center"/>
        <w:rPr>
          <w:sz w:val="22"/>
          <w:szCs w:val="22"/>
        </w:rPr>
      </w:pPr>
      <w:r w:rsidRPr="00281602">
        <w:rPr>
          <w:sz w:val="22"/>
          <w:szCs w:val="22"/>
        </w:rPr>
        <w:t>Список литературы</w:t>
      </w:r>
    </w:p>
    <w:p w:rsidR="00281602" w:rsidRPr="00281602" w:rsidRDefault="003B37B7" w:rsidP="00281602">
      <w:pPr>
        <w:ind w:firstLine="425"/>
        <w:jc w:val="both"/>
        <w:rPr>
          <w:bCs/>
          <w:sz w:val="22"/>
          <w:szCs w:val="22"/>
        </w:rPr>
      </w:pPr>
      <w:r>
        <w:rPr>
          <w:bCs/>
          <w:sz w:val="22"/>
          <w:szCs w:val="22"/>
        </w:rPr>
        <w:t xml:space="preserve">1. </w:t>
      </w:r>
      <w:r w:rsidR="00281602" w:rsidRPr="00281602">
        <w:rPr>
          <w:bCs/>
          <w:sz w:val="22"/>
          <w:szCs w:val="22"/>
        </w:rPr>
        <w:t>Попок Л.Е. Проблемы внедрения информационных систем на основе технологий облачных вычислений в сельскохозяйстве</w:t>
      </w:r>
      <w:r w:rsidR="00281602" w:rsidRPr="00281602">
        <w:rPr>
          <w:bCs/>
          <w:sz w:val="22"/>
          <w:szCs w:val="22"/>
        </w:rPr>
        <w:t>н</w:t>
      </w:r>
      <w:r w:rsidR="00281602" w:rsidRPr="00281602">
        <w:rPr>
          <w:bCs/>
          <w:sz w:val="22"/>
          <w:szCs w:val="22"/>
        </w:rPr>
        <w:t>ных организациях [Текст] / Л.Е. Попок // Научное обеспечение а</w:t>
      </w:r>
      <w:r w:rsidR="00281602" w:rsidRPr="00281602">
        <w:rPr>
          <w:bCs/>
          <w:sz w:val="22"/>
          <w:szCs w:val="22"/>
        </w:rPr>
        <w:t>г</w:t>
      </w:r>
      <w:r w:rsidR="00281602" w:rsidRPr="00281602">
        <w:rPr>
          <w:bCs/>
          <w:sz w:val="22"/>
          <w:szCs w:val="22"/>
        </w:rPr>
        <w:t xml:space="preserve">ропромышленного комплекса. Сборник статей по материалам </w:t>
      </w:r>
      <w:r w:rsidR="00281602" w:rsidRPr="00281602">
        <w:rPr>
          <w:bCs/>
          <w:sz w:val="22"/>
          <w:szCs w:val="22"/>
          <w:lang w:val="en-US"/>
        </w:rPr>
        <w:t>VI</w:t>
      </w:r>
      <w:r w:rsidR="00281602" w:rsidRPr="00281602">
        <w:rPr>
          <w:bCs/>
          <w:sz w:val="22"/>
          <w:szCs w:val="22"/>
        </w:rPr>
        <w:t xml:space="preserve"> </w:t>
      </w:r>
      <w:r w:rsidR="00281602" w:rsidRPr="00281602">
        <w:rPr>
          <w:bCs/>
          <w:sz w:val="22"/>
          <w:szCs w:val="22"/>
        </w:rPr>
        <w:lastRenderedPageBreak/>
        <w:t>Всероссийской научно-практической конференции молодых уч</w:t>
      </w:r>
      <w:r w:rsidR="00281602" w:rsidRPr="00281602">
        <w:rPr>
          <w:bCs/>
          <w:sz w:val="22"/>
          <w:szCs w:val="22"/>
        </w:rPr>
        <w:t>е</w:t>
      </w:r>
      <w:r w:rsidR="00281602" w:rsidRPr="00281602">
        <w:rPr>
          <w:bCs/>
          <w:sz w:val="22"/>
          <w:szCs w:val="22"/>
        </w:rPr>
        <w:t>ных. – Краснодар: КубГАУ. –2012. – С. 526-228.</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Попок Л.Е. Этап оценки информационных активов в метод</w:t>
      </w:r>
      <w:r w:rsidRPr="00281602">
        <w:rPr>
          <w:rFonts w:eastAsia="Calibri"/>
          <w:sz w:val="22"/>
          <w:szCs w:val="22"/>
          <w:lang w:eastAsia="en-US"/>
        </w:rPr>
        <w:t>о</w:t>
      </w:r>
      <w:r w:rsidRPr="00281602">
        <w:rPr>
          <w:rFonts w:eastAsia="Calibri"/>
          <w:sz w:val="22"/>
          <w:szCs w:val="22"/>
          <w:lang w:eastAsia="en-US"/>
        </w:rPr>
        <w:t xml:space="preserve">логии применения технологий «Больших данных» [Текст] / </w:t>
      </w:r>
      <w:r w:rsidRPr="00281602">
        <w:rPr>
          <w:bCs/>
          <w:sz w:val="22"/>
          <w:szCs w:val="22"/>
        </w:rPr>
        <w:t>Л.Е. Попок // Научное обеспечение агропромышленного комплекса. Сборник статей по материалам 71-й научно-практической конф</w:t>
      </w:r>
      <w:r w:rsidRPr="00281602">
        <w:rPr>
          <w:bCs/>
          <w:sz w:val="22"/>
          <w:szCs w:val="22"/>
        </w:rPr>
        <w:t>е</w:t>
      </w:r>
      <w:r w:rsidRPr="00281602">
        <w:rPr>
          <w:bCs/>
          <w:sz w:val="22"/>
          <w:szCs w:val="22"/>
        </w:rPr>
        <w:t>ренции преподавателей по итогам НИР за 2015 год. – Краснодар: КубГАУ. – 2016. – С. 519-520.</w:t>
      </w:r>
    </w:p>
    <w:p w:rsidR="00281602" w:rsidRPr="00281602" w:rsidRDefault="00281602" w:rsidP="00281602">
      <w:pPr>
        <w:ind w:firstLine="425"/>
        <w:jc w:val="both"/>
        <w:rPr>
          <w:rFonts w:eastAsia="Calibri"/>
          <w:b/>
          <w:bCs/>
          <w:sz w:val="22"/>
          <w:szCs w:val="22"/>
          <w:lang w:eastAsia="en-US"/>
        </w:rPr>
      </w:pPr>
      <w:r w:rsidRPr="00281602">
        <w:rPr>
          <w:rFonts w:eastAsia="Calibri"/>
          <w:sz w:val="22"/>
          <w:szCs w:val="22"/>
          <w:lang w:eastAsia="en-US"/>
        </w:rPr>
        <w:t>3. Миграция в облако. Простые шаги для повышения эффе</w:t>
      </w:r>
      <w:r w:rsidRPr="00281602">
        <w:rPr>
          <w:rFonts w:eastAsia="Calibri"/>
          <w:sz w:val="22"/>
          <w:szCs w:val="22"/>
          <w:lang w:eastAsia="en-US"/>
        </w:rPr>
        <w:t>к</w:t>
      </w:r>
      <w:r w:rsidRPr="00281602">
        <w:rPr>
          <w:rFonts w:eastAsia="Calibri"/>
          <w:sz w:val="22"/>
          <w:szCs w:val="22"/>
          <w:lang w:eastAsia="en-US"/>
        </w:rPr>
        <w:t xml:space="preserve">тивности бизнеса  [Электронный ресурс] / Блог компании </w:t>
      </w:r>
      <w:r w:rsidRPr="00281602">
        <w:rPr>
          <w:rFonts w:eastAsia="Calibri"/>
          <w:sz w:val="22"/>
          <w:szCs w:val="22"/>
          <w:lang w:val="en-US" w:eastAsia="en-US"/>
        </w:rPr>
        <w:t>RUVDS</w:t>
      </w:r>
      <w:r w:rsidRPr="00281602">
        <w:rPr>
          <w:rFonts w:eastAsia="Calibri"/>
          <w:sz w:val="22"/>
          <w:szCs w:val="22"/>
          <w:lang w:eastAsia="en-US"/>
        </w:rPr>
        <w:t xml:space="preserve"> – режим доступа: </w:t>
      </w:r>
      <w:hyperlink r:id="rId154" w:history="1">
        <w:r w:rsidRPr="00281602">
          <w:rPr>
            <w:rFonts w:eastAsia="Calibri"/>
            <w:sz w:val="22"/>
            <w:szCs w:val="22"/>
            <w:lang w:eastAsia="en-US"/>
          </w:rPr>
          <w:t>https://habrahabr.ru/company/ruvds/blog/306734/</w:t>
        </w:r>
      </w:hyperlink>
      <w:r w:rsidRPr="00281602">
        <w:rPr>
          <w:rFonts w:eastAsia="Calibri"/>
          <w:sz w:val="22"/>
          <w:szCs w:val="22"/>
          <w:lang w:eastAsia="en-US"/>
        </w:rPr>
        <w:t xml:space="preserve"> – дата обращения: 20.03.2018.</w:t>
      </w:r>
    </w:p>
    <w:p w:rsidR="00281602" w:rsidRPr="00281602" w:rsidRDefault="00281602" w:rsidP="00281602">
      <w:pPr>
        <w:jc w:val="both"/>
        <w:rPr>
          <w:rFonts w:eastAsia="Calibri"/>
          <w:sz w:val="22"/>
          <w:szCs w:val="22"/>
          <w:lang w:eastAsia="en-US"/>
        </w:rPr>
      </w:pPr>
    </w:p>
    <w:p w:rsidR="00281602" w:rsidRDefault="00281602" w:rsidP="00281602">
      <w:pPr>
        <w:jc w:val="both"/>
        <w:rPr>
          <w:rFonts w:eastAsia="Calibri"/>
          <w:sz w:val="22"/>
          <w:szCs w:val="22"/>
          <w:lang w:eastAsia="en-US"/>
        </w:rPr>
      </w:pPr>
    </w:p>
    <w:p w:rsidR="003B37B7" w:rsidRPr="00281602" w:rsidRDefault="003B37B7" w:rsidP="00281602">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65.02</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Применение и разработка смарт-контрактов</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Application and development of smart contracts</w:t>
      </w:r>
    </w:p>
    <w:p w:rsidR="00281602" w:rsidRPr="00281602" w:rsidRDefault="00281602" w:rsidP="00281602">
      <w:pPr>
        <w:ind w:firstLine="425"/>
        <w:jc w:val="both"/>
        <w:rPr>
          <w:rFonts w:eastAsia="Calibri"/>
          <w:b/>
          <w:sz w:val="22"/>
          <w:szCs w:val="22"/>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Недогонова Т. А.,</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студентка 4-го курса факультета прикладной информатики</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Кубанский государств</w:t>
      </w:r>
      <w:r w:rsidR="003B37B7">
        <w:rPr>
          <w:rFonts w:eastAsia="Courier New"/>
          <w:color w:val="000000"/>
          <w:sz w:val="22"/>
          <w:szCs w:val="22"/>
          <w:lang w:eastAsia="en-US"/>
        </w:rPr>
        <w:t>енный аграрный</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 xml:space="preserve">АННОТАЦИЯ: в данной статье рассматриваются смарт-контракты, основанные на технологии </w:t>
      </w:r>
      <w:r w:rsidRPr="00281602">
        <w:rPr>
          <w:rFonts w:eastAsia="Calibri"/>
          <w:color w:val="000000"/>
          <w:sz w:val="22"/>
          <w:szCs w:val="22"/>
          <w:lang w:val="en-US" w:eastAsia="en-US"/>
        </w:rPr>
        <w:t>blockchain</w:t>
      </w:r>
      <w:r w:rsidRPr="00281602">
        <w:rPr>
          <w:rFonts w:eastAsia="Calibri"/>
          <w:color w:val="000000"/>
          <w:sz w:val="22"/>
          <w:szCs w:val="22"/>
          <w:lang w:eastAsia="en-US"/>
        </w:rPr>
        <w:t>, и перспективы их применения.</w:t>
      </w:r>
    </w:p>
    <w:p w:rsidR="00281602" w:rsidRPr="00281602" w:rsidRDefault="00281602" w:rsidP="00281602">
      <w:pPr>
        <w:ind w:firstLine="425"/>
        <w:jc w:val="both"/>
        <w:rPr>
          <w:rFonts w:eastAsia="Calibri"/>
          <w:sz w:val="22"/>
          <w:szCs w:val="22"/>
          <w:shd w:val="clear" w:color="auto" w:fill="FFFFFF"/>
          <w:lang w:val="en-US" w:eastAsia="en-US"/>
        </w:rPr>
      </w:pPr>
      <w:r w:rsidRPr="00281602">
        <w:rPr>
          <w:rFonts w:eastAsia="Calibri"/>
          <w:sz w:val="22"/>
          <w:szCs w:val="22"/>
          <w:shd w:val="clear" w:color="auto" w:fill="FFFFFF"/>
          <w:lang w:val="en-US" w:eastAsia="en-US"/>
        </w:rPr>
        <w:t>ABSTRACT: article discusses smart contracts based on blockchain technology, and the prospects of their application.</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 xml:space="preserve">КЛЮЧЕВЫЕ СЛОВА: смарт-контракт, </w:t>
      </w:r>
      <w:r w:rsidRPr="00281602">
        <w:rPr>
          <w:rFonts w:eastAsia="Calibri"/>
          <w:color w:val="000000"/>
          <w:sz w:val="22"/>
          <w:szCs w:val="22"/>
          <w:lang w:val="en-GB" w:eastAsia="en-US"/>
        </w:rPr>
        <w:t>blockchain</w:t>
      </w:r>
      <w:r w:rsidRPr="00281602">
        <w:rPr>
          <w:rFonts w:eastAsia="Calibri"/>
          <w:color w:val="000000"/>
          <w:sz w:val="22"/>
          <w:szCs w:val="22"/>
          <w:lang w:eastAsia="en-US"/>
        </w:rPr>
        <w:t>, криптов</w:t>
      </w:r>
      <w:r w:rsidRPr="00281602">
        <w:rPr>
          <w:rFonts w:eastAsia="Calibri"/>
          <w:color w:val="000000"/>
          <w:sz w:val="22"/>
          <w:szCs w:val="22"/>
          <w:lang w:eastAsia="en-US"/>
        </w:rPr>
        <w:t>а</w:t>
      </w:r>
      <w:r w:rsidRPr="00281602">
        <w:rPr>
          <w:rFonts w:eastAsia="Calibri"/>
          <w:color w:val="000000"/>
          <w:sz w:val="22"/>
          <w:szCs w:val="22"/>
          <w:lang w:eastAsia="en-US"/>
        </w:rPr>
        <w:t xml:space="preserve">люта, </w:t>
      </w:r>
      <w:r w:rsidRPr="00281602">
        <w:rPr>
          <w:rFonts w:eastAsia="Calibri"/>
          <w:color w:val="000000"/>
          <w:sz w:val="22"/>
          <w:szCs w:val="22"/>
          <w:shd w:val="clear" w:color="auto" w:fill="FFFFFF"/>
          <w:lang w:eastAsia="en-US"/>
        </w:rPr>
        <w:t>Ethereum.</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shd w:val="clear" w:color="auto" w:fill="FFFFFF"/>
          <w:lang w:val="en-US" w:eastAsia="en-US"/>
        </w:rPr>
        <w:t>KEYWORDS: smart contract, blockchain, crypto currency, Ether</w:t>
      </w:r>
      <w:r w:rsidRPr="00281602">
        <w:rPr>
          <w:rFonts w:eastAsia="Calibri"/>
          <w:color w:val="000000"/>
          <w:sz w:val="22"/>
          <w:szCs w:val="22"/>
          <w:shd w:val="clear" w:color="auto" w:fill="FFFFFF"/>
          <w:lang w:val="en-US" w:eastAsia="en-US"/>
        </w:rPr>
        <w:t>e</w:t>
      </w:r>
      <w:r w:rsidRPr="00281602">
        <w:rPr>
          <w:rFonts w:eastAsia="Calibri"/>
          <w:color w:val="000000"/>
          <w:sz w:val="22"/>
          <w:szCs w:val="22"/>
          <w:shd w:val="clear" w:color="auto" w:fill="FFFFFF"/>
          <w:lang w:val="en-US" w:eastAsia="en-US"/>
        </w:rPr>
        <w:t>um.</w:t>
      </w:r>
    </w:p>
    <w:p w:rsidR="00281602" w:rsidRPr="00281602" w:rsidRDefault="00281602" w:rsidP="00281602">
      <w:pPr>
        <w:ind w:firstLine="425"/>
        <w:jc w:val="both"/>
        <w:rPr>
          <w:rFonts w:eastAsia="Calibri"/>
          <w:color w:val="000000"/>
          <w:sz w:val="22"/>
          <w:szCs w:val="22"/>
          <w:lang w:val="en-US" w:eastAsia="en-US"/>
        </w:rPr>
      </w:pPr>
    </w:p>
    <w:p w:rsidR="00281602" w:rsidRPr="00281602" w:rsidRDefault="00281602" w:rsidP="00281602">
      <w:pPr>
        <w:ind w:firstLine="425"/>
        <w:jc w:val="both"/>
        <w:rPr>
          <w:rFonts w:eastAsia="Calibri"/>
          <w:color w:val="000000"/>
          <w:sz w:val="22"/>
          <w:szCs w:val="22"/>
          <w:shd w:val="clear" w:color="auto" w:fill="FEFEFE"/>
          <w:lang w:eastAsia="en-US"/>
        </w:rPr>
      </w:pPr>
      <w:r w:rsidRPr="00281602">
        <w:rPr>
          <w:rFonts w:eastAsia="Calibri"/>
          <w:color w:val="000000"/>
          <w:sz w:val="22"/>
          <w:szCs w:val="22"/>
          <w:shd w:val="clear" w:color="auto" w:fill="FFFFFF"/>
          <w:lang w:val="en-GB" w:eastAsia="en-US"/>
        </w:rPr>
        <w:t>Blockchain</w:t>
      </w:r>
      <w:r w:rsidRPr="00281602">
        <w:rPr>
          <w:rFonts w:eastAsia="Calibri"/>
          <w:color w:val="000000"/>
          <w:sz w:val="22"/>
          <w:szCs w:val="22"/>
          <w:shd w:val="clear" w:color="auto" w:fill="FFFFFF"/>
          <w:lang w:eastAsia="en-US"/>
        </w:rPr>
        <w:t xml:space="preserve"> – это выстроенная по определённым правилам, п</w:t>
      </w:r>
      <w:r w:rsidRPr="00281602">
        <w:rPr>
          <w:rFonts w:eastAsia="Calibri"/>
          <w:color w:val="000000"/>
          <w:sz w:val="22"/>
          <w:szCs w:val="22"/>
          <w:shd w:val="clear" w:color="auto" w:fill="FFFFFF"/>
          <w:lang w:eastAsia="en-US"/>
        </w:rPr>
        <w:t>о</w:t>
      </w:r>
      <w:r w:rsidRPr="00281602">
        <w:rPr>
          <w:rFonts w:eastAsia="Calibri"/>
          <w:color w:val="000000"/>
          <w:sz w:val="22"/>
          <w:szCs w:val="22"/>
          <w:shd w:val="clear" w:color="auto" w:fill="FFFFFF"/>
          <w:lang w:eastAsia="en-US"/>
        </w:rPr>
        <w:t>следовательная цепочка блоков, содержащих информацию.</w:t>
      </w:r>
      <w:r w:rsidRPr="00281602">
        <w:rPr>
          <w:rFonts w:eastAsia="Calibri"/>
          <w:color w:val="000000"/>
          <w:sz w:val="22"/>
          <w:szCs w:val="22"/>
          <w:shd w:val="clear" w:color="auto" w:fill="FEFEFE"/>
          <w:lang w:eastAsia="en-US"/>
        </w:rPr>
        <w:t xml:space="preserve">Главное отличие данной технологии − распределённый реестр, т. е. данные </w:t>
      </w:r>
      <w:r w:rsidRPr="00281602">
        <w:rPr>
          <w:rFonts w:eastAsia="Calibri"/>
          <w:color w:val="000000"/>
          <w:sz w:val="22"/>
          <w:szCs w:val="22"/>
          <w:shd w:val="clear" w:color="auto" w:fill="FEFEFE"/>
          <w:lang w:eastAsia="en-US"/>
        </w:rPr>
        <w:lastRenderedPageBreak/>
        <w:t>распределены среди большого количества компьютеров, а не хр</w:t>
      </w:r>
      <w:r w:rsidRPr="00281602">
        <w:rPr>
          <w:rFonts w:eastAsia="Calibri"/>
          <w:color w:val="000000"/>
          <w:sz w:val="22"/>
          <w:szCs w:val="22"/>
          <w:shd w:val="clear" w:color="auto" w:fill="FEFEFE"/>
          <w:lang w:eastAsia="en-US"/>
        </w:rPr>
        <w:t>а</w:t>
      </w:r>
      <w:r w:rsidRPr="00281602">
        <w:rPr>
          <w:rFonts w:eastAsia="Calibri"/>
          <w:color w:val="000000"/>
          <w:sz w:val="22"/>
          <w:szCs w:val="22"/>
          <w:shd w:val="clear" w:color="auto" w:fill="FEFEFE"/>
          <w:lang w:eastAsia="en-US"/>
        </w:rPr>
        <w:t>нятся на одном.</w:t>
      </w:r>
    </w:p>
    <w:p w:rsidR="00281602" w:rsidRPr="00281602" w:rsidRDefault="00281602" w:rsidP="00281602">
      <w:pPr>
        <w:ind w:firstLine="425"/>
        <w:jc w:val="both"/>
        <w:rPr>
          <w:rFonts w:eastAsia="Calibri"/>
          <w:color w:val="000000"/>
          <w:sz w:val="22"/>
          <w:szCs w:val="22"/>
          <w:shd w:val="clear" w:color="auto" w:fill="FFFFFF"/>
          <w:lang w:eastAsia="en-US"/>
        </w:rPr>
      </w:pPr>
      <w:r w:rsidRPr="00281602">
        <w:rPr>
          <w:rFonts w:eastAsia="Calibri"/>
          <w:color w:val="000000"/>
          <w:sz w:val="22"/>
          <w:szCs w:val="22"/>
          <w:shd w:val="clear" w:color="auto" w:fill="FFFFFF"/>
          <w:lang w:eastAsia="en-US"/>
        </w:rPr>
        <w:t xml:space="preserve">Технология </w:t>
      </w:r>
      <w:r w:rsidRPr="00281602">
        <w:rPr>
          <w:rFonts w:eastAsia="Calibri"/>
          <w:color w:val="000000"/>
          <w:sz w:val="22"/>
          <w:szCs w:val="22"/>
          <w:shd w:val="clear" w:color="auto" w:fill="FFFFFF"/>
          <w:lang w:val="en-GB" w:eastAsia="en-US"/>
        </w:rPr>
        <w:t>blockchain</w:t>
      </w:r>
      <w:r w:rsidRPr="00281602">
        <w:rPr>
          <w:rFonts w:eastAsia="Calibri"/>
          <w:color w:val="000000"/>
          <w:sz w:val="22"/>
          <w:szCs w:val="22"/>
          <w:shd w:val="clear" w:color="auto" w:fill="FFFFFF"/>
          <w:lang w:eastAsia="en-US"/>
        </w:rPr>
        <w:t xml:space="preserve"> стала широко известна благодаря разв</w:t>
      </w:r>
      <w:r w:rsidRPr="00281602">
        <w:rPr>
          <w:rFonts w:eastAsia="Calibri"/>
          <w:color w:val="000000"/>
          <w:sz w:val="22"/>
          <w:szCs w:val="22"/>
          <w:shd w:val="clear" w:color="auto" w:fill="FFFFFF"/>
          <w:lang w:eastAsia="en-US"/>
        </w:rPr>
        <w:t>и</w:t>
      </w:r>
      <w:r w:rsidRPr="00281602">
        <w:rPr>
          <w:rFonts w:eastAsia="Calibri"/>
          <w:color w:val="000000"/>
          <w:sz w:val="22"/>
          <w:szCs w:val="22"/>
          <w:shd w:val="clear" w:color="auto" w:fill="FFFFFF"/>
          <w:lang w:eastAsia="en-US"/>
        </w:rPr>
        <w:t xml:space="preserve">тию криптовалют. Сейчас технологию распределенных реестров применяют не только в финансовой сфере. Например, </w:t>
      </w:r>
      <w:r w:rsidRPr="00281602">
        <w:rPr>
          <w:rFonts w:eastAsia="Calibri"/>
          <w:color w:val="000000"/>
          <w:sz w:val="22"/>
          <w:szCs w:val="22"/>
          <w:shd w:val="clear" w:color="auto" w:fill="FFFFFF"/>
          <w:lang w:val="en-GB" w:eastAsia="en-US"/>
        </w:rPr>
        <w:t>blockchain</w:t>
      </w:r>
      <w:r w:rsidRPr="00281602">
        <w:rPr>
          <w:rFonts w:eastAsia="Calibri"/>
          <w:color w:val="000000"/>
          <w:sz w:val="22"/>
          <w:szCs w:val="22"/>
          <w:shd w:val="clear" w:color="auto" w:fill="FFFFFF"/>
          <w:lang w:eastAsia="en-US"/>
        </w:rPr>
        <w:t xml:space="preserve"> используются в сфере авторского права, в алмазной индустрии, для идентификации и подтверждения прав доступа. Одним из наиболее перспективных направлений применения данной технологии сч</w:t>
      </w:r>
      <w:r w:rsidRPr="00281602">
        <w:rPr>
          <w:rFonts w:eastAsia="Calibri"/>
          <w:color w:val="000000"/>
          <w:sz w:val="22"/>
          <w:szCs w:val="22"/>
          <w:shd w:val="clear" w:color="auto" w:fill="FFFFFF"/>
          <w:lang w:eastAsia="en-US"/>
        </w:rPr>
        <w:t>и</w:t>
      </w:r>
      <w:r w:rsidRPr="00281602">
        <w:rPr>
          <w:rFonts w:eastAsia="Calibri"/>
          <w:color w:val="000000"/>
          <w:sz w:val="22"/>
          <w:szCs w:val="22"/>
          <w:shd w:val="clear" w:color="auto" w:fill="FFFFFF"/>
          <w:lang w:eastAsia="en-US"/>
        </w:rPr>
        <w:t>таются смарт-контракты.</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Смарт-контракт (умный контракт) – это электронный алгоритм, описывающий некоторые условия, выполнения которых влечет за собой события в реальном мире или цифровых системах.</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Смарт-контракты исключают человеческий фактор со стороны участников сделки, они реализовываются в децентрализованной среде, а для оплат в их рамках используется криптовалюта.</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Смарт-контракты позволяют выполнять операции по обмену деньгами, собственностью, акциями или другими активами без п</w:t>
      </w:r>
      <w:r w:rsidRPr="00281602">
        <w:rPr>
          <w:rFonts w:eastAsia="Calibri"/>
          <w:color w:val="000000"/>
          <w:sz w:val="22"/>
          <w:szCs w:val="22"/>
          <w:lang w:eastAsia="en-US"/>
        </w:rPr>
        <w:t>о</w:t>
      </w:r>
      <w:r w:rsidRPr="00281602">
        <w:rPr>
          <w:rFonts w:eastAsia="Calibri"/>
          <w:color w:val="000000"/>
          <w:sz w:val="22"/>
          <w:szCs w:val="22"/>
          <w:lang w:eastAsia="en-US"/>
        </w:rPr>
        <w:t xml:space="preserve">средников. </w:t>
      </w:r>
    </w:p>
    <w:p w:rsidR="00281602" w:rsidRPr="00281602" w:rsidRDefault="00281602" w:rsidP="00281602">
      <w:pPr>
        <w:ind w:firstLine="425"/>
        <w:contextualSpacing/>
        <w:jc w:val="both"/>
        <w:textAlignment w:val="baseline"/>
        <w:rPr>
          <w:rFonts w:eastAsia="Calibri"/>
          <w:color w:val="000000"/>
          <w:spacing w:val="5"/>
          <w:sz w:val="22"/>
          <w:szCs w:val="22"/>
          <w:lang w:eastAsia="en-US"/>
        </w:rPr>
      </w:pPr>
      <w:r w:rsidRPr="00281602">
        <w:rPr>
          <w:rFonts w:eastAsia="Calibri"/>
          <w:color w:val="000000"/>
          <w:sz w:val="22"/>
          <w:szCs w:val="22"/>
          <w:lang w:eastAsia="en-US"/>
        </w:rPr>
        <w:t xml:space="preserve">Для создания смарт-контрактов существуют специальные платформы (Qtum, Ubiq, </w:t>
      </w:r>
      <w:r w:rsidRPr="00281602">
        <w:rPr>
          <w:rFonts w:eastAsia="Calibri"/>
          <w:color w:val="000000"/>
          <w:sz w:val="22"/>
          <w:szCs w:val="22"/>
          <w:shd w:val="clear" w:color="auto" w:fill="FFFFFF"/>
          <w:lang w:eastAsia="en-US"/>
        </w:rPr>
        <w:t>Ethereum)</w:t>
      </w:r>
      <w:r w:rsidRPr="00281602">
        <w:rPr>
          <w:rFonts w:eastAsia="Calibri"/>
          <w:color w:val="000000"/>
          <w:sz w:val="24"/>
          <w:szCs w:val="22"/>
          <w:shd w:val="clear" w:color="auto" w:fill="FFFFFF"/>
          <w:lang w:eastAsia="en-US"/>
        </w:rPr>
        <w:t xml:space="preserve"> Самой популярной является </w:t>
      </w:r>
      <w:r w:rsidRPr="00281602">
        <w:rPr>
          <w:rFonts w:eastAsia="Calibri"/>
          <w:color w:val="000000"/>
          <w:sz w:val="22"/>
          <w:szCs w:val="22"/>
          <w:shd w:val="clear" w:color="auto" w:fill="FFFFFF"/>
          <w:lang w:eastAsia="en-US"/>
        </w:rPr>
        <w:t xml:space="preserve">Ethereum – </w:t>
      </w:r>
      <w:r w:rsidRPr="00281602">
        <w:rPr>
          <w:rFonts w:eastAsia="Calibri"/>
          <w:color w:val="000000"/>
          <w:sz w:val="22"/>
          <w:szCs w:val="22"/>
          <w:lang w:eastAsia="en-US"/>
        </w:rPr>
        <w:t xml:space="preserve">открытая программная платформа на основе технологии </w:t>
      </w:r>
      <w:r w:rsidRPr="00281602">
        <w:rPr>
          <w:rFonts w:eastAsia="Calibri"/>
          <w:color w:val="000000"/>
          <w:sz w:val="22"/>
          <w:szCs w:val="22"/>
          <w:lang w:val="en-GB" w:eastAsia="en-US"/>
        </w:rPr>
        <w:t>blockchain</w:t>
      </w:r>
      <w:r w:rsidRPr="00281602">
        <w:rPr>
          <w:rFonts w:eastAsia="Calibri"/>
          <w:color w:val="000000"/>
          <w:sz w:val="22"/>
          <w:szCs w:val="22"/>
          <w:lang w:eastAsia="en-US"/>
        </w:rPr>
        <w:t>, позволяющая разработчикам создавать и разворачивать децентрализованные приложения.</w:t>
      </w:r>
    </w:p>
    <w:p w:rsidR="00281602" w:rsidRPr="00281602" w:rsidRDefault="00281602" w:rsidP="00281602">
      <w:pPr>
        <w:ind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Для организации смарт-контракта необходимы следующие условия:</w:t>
      </w:r>
    </w:p>
    <w:p w:rsidR="00281602" w:rsidRPr="00281602" w:rsidRDefault="00281602" w:rsidP="002D7DA5">
      <w:pPr>
        <w:numPr>
          <w:ilvl w:val="0"/>
          <w:numId w:val="46"/>
        </w:numPr>
        <w:spacing w:after="160" w:line="259" w:lineRule="auto"/>
        <w:ind w:left="0" w:firstLine="425"/>
        <w:contextualSpacing/>
        <w:jc w:val="both"/>
        <w:textAlignment w:val="baseline"/>
        <w:rPr>
          <w:rFonts w:eastAsia="Calibri"/>
          <w:color w:val="000000"/>
          <w:sz w:val="22"/>
          <w:szCs w:val="22"/>
          <w:lang w:eastAsia="en-US"/>
        </w:rPr>
      </w:pPr>
      <w:r w:rsidRPr="00281602">
        <w:rPr>
          <w:rFonts w:eastAsia="Calibri"/>
          <w:color w:val="000000"/>
          <w:sz w:val="22"/>
          <w:szCs w:val="22"/>
          <w:lang w:val="en-US" w:eastAsia="en-US"/>
        </w:rPr>
        <w:t>Blockchain</w:t>
      </w:r>
      <w:r w:rsidRPr="00281602">
        <w:rPr>
          <w:rFonts w:eastAsia="Calibri"/>
          <w:color w:val="000000"/>
          <w:sz w:val="22"/>
          <w:szCs w:val="22"/>
          <w:lang w:eastAsia="en-US"/>
        </w:rPr>
        <w:t>-платформа, на которой будет выполняться ко</w:t>
      </w:r>
      <w:r w:rsidRPr="00281602">
        <w:rPr>
          <w:rFonts w:eastAsia="Calibri"/>
          <w:color w:val="000000"/>
          <w:sz w:val="22"/>
          <w:szCs w:val="22"/>
          <w:lang w:eastAsia="en-US"/>
        </w:rPr>
        <w:t>н</w:t>
      </w:r>
      <w:r w:rsidRPr="00281602">
        <w:rPr>
          <w:rFonts w:eastAsia="Calibri"/>
          <w:color w:val="000000"/>
          <w:sz w:val="22"/>
          <w:szCs w:val="22"/>
          <w:lang w:eastAsia="en-US"/>
        </w:rPr>
        <w:t>тракт;</w:t>
      </w:r>
    </w:p>
    <w:p w:rsidR="00281602" w:rsidRPr="00281602" w:rsidRDefault="00281602" w:rsidP="002D7DA5">
      <w:pPr>
        <w:numPr>
          <w:ilvl w:val="0"/>
          <w:numId w:val="46"/>
        </w:numPr>
        <w:spacing w:after="160" w:line="259" w:lineRule="auto"/>
        <w:ind w:left="0"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Участники договора с электронными подписями;</w:t>
      </w:r>
    </w:p>
    <w:p w:rsidR="00281602" w:rsidRPr="00281602" w:rsidRDefault="00281602" w:rsidP="002D7DA5">
      <w:pPr>
        <w:numPr>
          <w:ilvl w:val="0"/>
          <w:numId w:val="46"/>
        </w:numPr>
        <w:spacing w:after="160" w:line="259" w:lineRule="auto"/>
        <w:ind w:left="0"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Предмет договора (например, криптовалюта);</w:t>
      </w:r>
    </w:p>
    <w:p w:rsidR="00281602" w:rsidRPr="00281602" w:rsidRDefault="00281602" w:rsidP="002D7DA5">
      <w:pPr>
        <w:numPr>
          <w:ilvl w:val="0"/>
          <w:numId w:val="46"/>
        </w:numPr>
        <w:spacing w:after="160" w:line="259" w:lineRule="auto"/>
        <w:ind w:left="0"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 xml:space="preserve">Алгоритм, который описывает логику исполнения пунктов договора математическим путем. </w:t>
      </w:r>
    </w:p>
    <w:p w:rsidR="00281602" w:rsidRPr="00281602" w:rsidRDefault="00281602" w:rsidP="00281602">
      <w:pPr>
        <w:ind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 xml:space="preserve">В отличие от традиционных договоров, смарт-контракты не только содержат информацию об обязательствах сторон и санкциях за их нарушение, но и автоматически обеспечивают выполнение всех условий договора. Программа подтверждает выполнение того или иного условия договора и определяет, должен ли актив перейти к одному из участников сделки или вернуться к другой стороне; до </w:t>
      </w:r>
      <w:r w:rsidRPr="00281602">
        <w:rPr>
          <w:rFonts w:eastAsia="Calibri"/>
          <w:color w:val="000000"/>
          <w:sz w:val="22"/>
          <w:szCs w:val="22"/>
          <w:lang w:eastAsia="en-US"/>
        </w:rPr>
        <w:lastRenderedPageBreak/>
        <w:t>этого документ хранится в децентрализованном реестре, что обе</w:t>
      </w:r>
      <w:r w:rsidRPr="00281602">
        <w:rPr>
          <w:rFonts w:eastAsia="Calibri"/>
          <w:color w:val="000000"/>
          <w:sz w:val="22"/>
          <w:szCs w:val="22"/>
          <w:lang w:eastAsia="en-US"/>
        </w:rPr>
        <w:t>с</w:t>
      </w:r>
      <w:r w:rsidRPr="00281602">
        <w:rPr>
          <w:rFonts w:eastAsia="Calibri"/>
          <w:color w:val="000000"/>
          <w:sz w:val="22"/>
          <w:szCs w:val="22"/>
          <w:lang w:eastAsia="en-US"/>
        </w:rPr>
        <w:t>печивает надежность операции и не позволяет ни одной из сторон менять условия соглашения.</w:t>
      </w:r>
    </w:p>
    <w:p w:rsidR="00281602" w:rsidRPr="00281602" w:rsidRDefault="00281602" w:rsidP="00281602">
      <w:pPr>
        <w:ind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Вектор применения умных контрактов достаточно обширен; специалисты предлагают использовать их для проведения голос</w:t>
      </w:r>
      <w:r w:rsidRPr="00281602">
        <w:rPr>
          <w:rFonts w:eastAsia="Calibri"/>
          <w:color w:val="000000"/>
          <w:sz w:val="22"/>
          <w:szCs w:val="22"/>
          <w:lang w:eastAsia="en-US"/>
        </w:rPr>
        <w:t>о</w:t>
      </w:r>
      <w:r w:rsidRPr="00281602">
        <w:rPr>
          <w:rFonts w:eastAsia="Calibri"/>
          <w:color w:val="000000"/>
          <w:sz w:val="22"/>
          <w:szCs w:val="22"/>
          <w:lang w:eastAsia="en-US"/>
        </w:rPr>
        <w:t>ваний, в логистике, недвижимости, менеджменте и других отраслях.</w:t>
      </w:r>
    </w:p>
    <w:p w:rsidR="00281602" w:rsidRPr="00281602" w:rsidRDefault="00281602" w:rsidP="00281602">
      <w:pPr>
        <w:ind w:firstLine="425"/>
        <w:contextualSpacing/>
        <w:jc w:val="both"/>
        <w:textAlignment w:val="baseline"/>
        <w:rPr>
          <w:rFonts w:eastAsia="Calibri"/>
          <w:color w:val="000000"/>
          <w:sz w:val="22"/>
          <w:szCs w:val="22"/>
          <w:lang w:eastAsia="en-US"/>
        </w:rPr>
      </w:pPr>
      <w:r w:rsidRPr="00281602">
        <w:rPr>
          <w:rFonts w:eastAsia="Calibri"/>
          <w:color w:val="000000"/>
          <w:sz w:val="22"/>
          <w:szCs w:val="22"/>
          <w:lang w:eastAsia="en-US"/>
        </w:rPr>
        <w:t>Основное преимущество использования смарт-контракта –прозрачность, обеспеченная технологией распределенных реестров.</w:t>
      </w:r>
      <w:r w:rsidRPr="00281602">
        <w:rPr>
          <w:rFonts w:eastAsia="Calibri"/>
          <w:color w:val="000000"/>
          <w:sz w:val="22"/>
          <w:szCs w:val="22"/>
          <w:shd w:val="clear" w:color="auto" w:fill="FFFFFF"/>
          <w:lang w:eastAsia="en-US"/>
        </w:rPr>
        <w:t xml:space="preserve"> Выделим также следующие достоинства умных контрактов:</w:t>
      </w:r>
    </w:p>
    <w:p w:rsidR="00281602" w:rsidRPr="00281602" w:rsidRDefault="00281602" w:rsidP="002D7DA5">
      <w:pPr>
        <w:numPr>
          <w:ilvl w:val="0"/>
          <w:numId w:val="45"/>
        </w:numPr>
        <w:tabs>
          <w:tab w:val="num" w:pos="0"/>
        </w:tabs>
        <w:spacing w:after="160" w:line="259" w:lineRule="auto"/>
        <w:ind w:left="0" w:firstLine="425"/>
        <w:contextualSpacing/>
        <w:jc w:val="both"/>
        <w:rPr>
          <w:rFonts w:eastAsia="Calibri"/>
          <w:color w:val="000000"/>
          <w:sz w:val="22"/>
          <w:szCs w:val="22"/>
          <w:shd w:val="clear" w:color="auto" w:fill="FFFFFF"/>
          <w:lang w:eastAsia="en-US"/>
        </w:rPr>
      </w:pPr>
      <w:r w:rsidRPr="00281602">
        <w:rPr>
          <w:rFonts w:eastAsia="Calibri"/>
          <w:bCs/>
          <w:color w:val="000000"/>
          <w:sz w:val="22"/>
          <w:szCs w:val="22"/>
          <w:lang w:eastAsia="en-US"/>
        </w:rPr>
        <w:t>Неизменность;</w:t>
      </w:r>
    </w:p>
    <w:p w:rsidR="00281602" w:rsidRPr="00281602" w:rsidRDefault="00281602" w:rsidP="002D7DA5">
      <w:pPr>
        <w:numPr>
          <w:ilvl w:val="0"/>
          <w:numId w:val="45"/>
        </w:numPr>
        <w:tabs>
          <w:tab w:val="num" w:pos="0"/>
        </w:tabs>
        <w:spacing w:after="160" w:line="259" w:lineRule="auto"/>
        <w:ind w:left="0" w:firstLine="425"/>
        <w:contextualSpacing/>
        <w:jc w:val="both"/>
        <w:rPr>
          <w:rFonts w:eastAsia="Calibri"/>
          <w:color w:val="000000"/>
          <w:sz w:val="22"/>
          <w:szCs w:val="22"/>
          <w:shd w:val="clear" w:color="auto" w:fill="FFFFFF"/>
          <w:lang w:eastAsia="en-US"/>
        </w:rPr>
      </w:pPr>
      <w:r w:rsidRPr="00281602">
        <w:rPr>
          <w:rFonts w:eastAsia="Calibri"/>
          <w:bCs/>
          <w:color w:val="000000"/>
          <w:sz w:val="22"/>
          <w:szCs w:val="22"/>
          <w:lang w:eastAsia="en-US"/>
        </w:rPr>
        <w:t>Защита от вмешательства</w:t>
      </w:r>
      <w:r w:rsidRPr="00281602">
        <w:rPr>
          <w:rFonts w:eastAsia="Calibri"/>
          <w:color w:val="000000"/>
          <w:sz w:val="22"/>
          <w:szCs w:val="22"/>
          <w:lang w:eastAsia="en-US"/>
        </w:rPr>
        <w:t>;</w:t>
      </w:r>
    </w:p>
    <w:p w:rsidR="00281602" w:rsidRPr="00281602" w:rsidRDefault="00281602" w:rsidP="002D7DA5">
      <w:pPr>
        <w:numPr>
          <w:ilvl w:val="0"/>
          <w:numId w:val="45"/>
        </w:numPr>
        <w:tabs>
          <w:tab w:val="num" w:pos="0"/>
        </w:tabs>
        <w:spacing w:after="160" w:line="259" w:lineRule="auto"/>
        <w:ind w:left="0" w:firstLine="425"/>
        <w:contextualSpacing/>
        <w:jc w:val="both"/>
        <w:rPr>
          <w:rFonts w:eastAsia="Calibri"/>
          <w:color w:val="000000"/>
          <w:sz w:val="22"/>
          <w:szCs w:val="22"/>
          <w:shd w:val="clear" w:color="auto" w:fill="FFFFFF"/>
          <w:lang w:eastAsia="en-US"/>
        </w:rPr>
      </w:pPr>
      <w:r w:rsidRPr="00281602">
        <w:rPr>
          <w:rFonts w:eastAsia="Calibri"/>
          <w:bCs/>
          <w:color w:val="000000"/>
          <w:sz w:val="22"/>
          <w:szCs w:val="22"/>
          <w:lang w:eastAsia="en-US"/>
        </w:rPr>
        <w:t>Безопасность;</w:t>
      </w:r>
    </w:p>
    <w:p w:rsidR="00281602" w:rsidRPr="00281602" w:rsidRDefault="00281602" w:rsidP="002D7DA5">
      <w:pPr>
        <w:numPr>
          <w:ilvl w:val="0"/>
          <w:numId w:val="45"/>
        </w:numPr>
        <w:tabs>
          <w:tab w:val="num" w:pos="0"/>
        </w:tabs>
        <w:spacing w:after="160" w:line="259" w:lineRule="auto"/>
        <w:ind w:left="0" w:firstLine="425"/>
        <w:contextualSpacing/>
        <w:jc w:val="both"/>
        <w:rPr>
          <w:rFonts w:eastAsia="Calibri"/>
          <w:color w:val="000000"/>
          <w:sz w:val="22"/>
          <w:szCs w:val="22"/>
          <w:shd w:val="clear" w:color="auto" w:fill="FFFFFF"/>
          <w:lang w:eastAsia="en-US"/>
        </w:rPr>
      </w:pPr>
      <w:r w:rsidRPr="00281602">
        <w:rPr>
          <w:rFonts w:eastAsia="Calibri"/>
          <w:bCs/>
          <w:color w:val="000000"/>
          <w:sz w:val="22"/>
          <w:szCs w:val="22"/>
          <w:lang w:eastAsia="en-US"/>
        </w:rPr>
        <w:t>Отсутствие посредников</w:t>
      </w:r>
      <w:r w:rsidRPr="00281602">
        <w:rPr>
          <w:rFonts w:eastAsia="Calibri"/>
          <w:color w:val="000000"/>
          <w:sz w:val="22"/>
          <w:szCs w:val="22"/>
          <w:shd w:val="clear" w:color="auto" w:fill="FFFFFF"/>
          <w:lang w:eastAsia="en-US"/>
        </w:rPr>
        <w:t>.</w:t>
      </w:r>
    </w:p>
    <w:p w:rsidR="00281602" w:rsidRPr="00281602" w:rsidRDefault="00281602" w:rsidP="00281602">
      <w:pPr>
        <w:ind w:firstLine="425"/>
        <w:contextualSpacing/>
        <w:jc w:val="both"/>
        <w:rPr>
          <w:rFonts w:eastAsia="Calibri"/>
          <w:color w:val="000000"/>
          <w:sz w:val="22"/>
          <w:szCs w:val="22"/>
          <w:lang w:eastAsia="en-US"/>
        </w:rPr>
      </w:pPr>
      <w:r w:rsidRPr="00281602">
        <w:rPr>
          <w:rFonts w:eastAsia="Calibri"/>
          <w:color w:val="000000"/>
          <w:sz w:val="22"/>
          <w:szCs w:val="22"/>
          <w:shd w:val="clear" w:color="auto" w:fill="FFFFFF"/>
          <w:lang w:eastAsia="en-US"/>
        </w:rPr>
        <w:t>Конечно, не стоит забывать, что сами смарт-контракты разр</w:t>
      </w:r>
      <w:r w:rsidRPr="00281602">
        <w:rPr>
          <w:rFonts w:eastAsia="Calibri"/>
          <w:color w:val="000000"/>
          <w:sz w:val="22"/>
          <w:szCs w:val="22"/>
          <w:shd w:val="clear" w:color="auto" w:fill="FFFFFF"/>
          <w:lang w:eastAsia="en-US"/>
        </w:rPr>
        <w:t>а</w:t>
      </w:r>
      <w:r w:rsidRPr="00281602">
        <w:rPr>
          <w:rFonts w:eastAsia="Calibri"/>
          <w:color w:val="000000"/>
          <w:sz w:val="22"/>
          <w:szCs w:val="22"/>
          <w:shd w:val="clear" w:color="auto" w:fill="FFFFFF"/>
          <w:lang w:eastAsia="en-US"/>
        </w:rPr>
        <w:t>батываются на платформах программистами, людьми. Таким обр</w:t>
      </w:r>
      <w:r w:rsidRPr="00281602">
        <w:rPr>
          <w:rFonts w:eastAsia="Calibri"/>
          <w:color w:val="000000"/>
          <w:sz w:val="22"/>
          <w:szCs w:val="22"/>
          <w:shd w:val="clear" w:color="auto" w:fill="FFFFFF"/>
          <w:lang w:eastAsia="en-US"/>
        </w:rPr>
        <w:t>а</w:t>
      </w:r>
      <w:r w:rsidRPr="00281602">
        <w:rPr>
          <w:rFonts w:eastAsia="Calibri"/>
          <w:color w:val="000000"/>
          <w:sz w:val="22"/>
          <w:szCs w:val="22"/>
          <w:shd w:val="clear" w:color="auto" w:fill="FFFFFF"/>
          <w:lang w:eastAsia="en-US"/>
        </w:rPr>
        <w:t>зом, не исключена вероятность ошибок или недочетов</w:t>
      </w:r>
      <w:r w:rsidRPr="00281602">
        <w:rPr>
          <w:rFonts w:eastAsia="Calibri"/>
          <w:color w:val="000000"/>
          <w:sz w:val="22"/>
          <w:szCs w:val="22"/>
          <w:lang w:eastAsia="en-US"/>
        </w:rPr>
        <w:t xml:space="preserve"> в коде.</w:t>
      </w:r>
    </w:p>
    <w:p w:rsidR="00281602" w:rsidRPr="00281602" w:rsidRDefault="00281602" w:rsidP="00281602">
      <w:pPr>
        <w:ind w:firstLine="425"/>
        <w:jc w:val="both"/>
        <w:rPr>
          <w:rFonts w:eastAsia="Calibri"/>
          <w:color w:val="000000"/>
          <w:sz w:val="22"/>
          <w:szCs w:val="22"/>
          <w:lang w:eastAsia="en-US"/>
        </w:rPr>
      </w:pPr>
      <w:r w:rsidRPr="00281602">
        <w:rPr>
          <w:bCs/>
          <w:color w:val="000000"/>
          <w:sz w:val="22"/>
          <w:szCs w:val="22"/>
        </w:rPr>
        <w:t>Таким образом, использование умных контрактов позволит снизить расходы (не нужно платить нотариусам и юристам), мин</w:t>
      </w:r>
      <w:r w:rsidRPr="00281602">
        <w:rPr>
          <w:bCs/>
          <w:color w:val="000000"/>
          <w:sz w:val="22"/>
          <w:szCs w:val="22"/>
        </w:rPr>
        <w:t>и</w:t>
      </w:r>
      <w:r w:rsidRPr="00281602">
        <w:rPr>
          <w:bCs/>
          <w:color w:val="000000"/>
          <w:sz w:val="22"/>
          <w:szCs w:val="22"/>
        </w:rPr>
        <w:t>мизировать человеческий фактор (никто не сможет изменить усл</w:t>
      </w:r>
      <w:r w:rsidRPr="00281602">
        <w:rPr>
          <w:bCs/>
          <w:color w:val="000000"/>
          <w:sz w:val="22"/>
          <w:szCs w:val="22"/>
        </w:rPr>
        <w:t>о</w:t>
      </w:r>
      <w:r w:rsidRPr="00281602">
        <w:rPr>
          <w:bCs/>
          <w:color w:val="000000"/>
          <w:sz w:val="22"/>
          <w:szCs w:val="22"/>
        </w:rPr>
        <w:t>вия договора) и быть уверенным в безопасности сделки.</w:t>
      </w:r>
    </w:p>
    <w:p w:rsidR="00281602" w:rsidRPr="00281602" w:rsidRDefault="00281602" w:rsidP="00281602">
      <w:pPr>
        <w:ind w:firstLine="425"/>
        <w:jc w:val="both"/>
        <w:rPr>
          <w:rFonts w:eastAsia="Calibri"/>
          <w:sz w:val="22"/>
          <w:szCs w:val="22"/>
          <w:lang w:eastAsia="en-US"/>
        </w:rPr>
      </w:pPr>
    </w:p>
    <w:p w:rsidR="00281602" w:rsidRPr="00281602" w:rsidRDefault="00281602" w:rsidP="003B37B7">
      <w:pPr>
        <w:jc w:val="both"/>
        <w:rPr>
          <w:rFonts w:eastAsia="Calibri"/>
          <w:sz w:val="22"/>
          <w:szCs w:val="22"/>
          <w:lang w:eastAsia="en-US"/>
        </w:rPr>
      </w:pPr>
    </w:p>
    <w:p w:rsidR="00281602" w:rsidRPr="00281602" w:rsidRDefault="00281602" w:rsidP="00281602">
      <w:pPr>
        <w:widowControl w:val="0"/>
        <w:jc w:val="both"/>
        <w:rPr>
          <w:rFonts w:eastAsia="Courier New"/>
          <w:color w:val="000000"/>
          <w:sz w:val="22"/>
          <w:szCs w:val="22"/>
          <w:lang w:eastAsia="en-US"/>
        </w:rPr>
      </w:pPr>
      <w:r w:rsidRPr="00281602">
        <w:rPr>
          <w:rFonts w:eastAsia="Courier New"/>
          <w:color w:val="000000"/>
          <w:sz w:val="22"/>
          <w:szCs w:val="22"/>
          <w:lang w:eastAsia="en-US"/>
        </w:rPr>
        <w:t>УДК 631.145</w:t>
      </w:r>
    </w:p>
    <w:p w:rsidR="00281602" w:rsidRPr="00281602" w:rsidRDefault="00281602" w:rsidP="00281602">
      <w:pPr>
        <w:widowControl w:val="0"/>
        <w:ind w:firstLine="425"/>
        <w:jc w:val="both"/>
        <w:rPr>
          <w:rFonts w:eastAsia="Courier New"/>
          <w:b/>
          <w:color w:val="000000"/>
          <w:sz w:val="24"/>
          <w:szCs w:val="24"/>
          <w:lang w:eastAsia="en-US"/>
        </w:rPr>
      </w:pPr>
    </w:p>
    <w:p w:rsidR="00281602" w:rsidRPr="00281602" w:rsidRDefault="00281602" w:rsidP="00281602">
      <w:pPr>
        <w:widowControl w:val="0"/>
        <w:jc w:val="center"/>
        <w:rPr>
          <w:rFonts w:eastAsia="Courier New"/>
          <w:b/>
          <w:color w:val="000000"/>
          <w:sz w:val="24"/>
          <w:szCs w:val="24"/>
          <w:lang w:eastAsia="en-US"/>
        </w:rPr>
      </w:pPr>
      <w:r w:rsidRPr="00281602">
        <w:rPr>
          <w:rFonts w:eastAsia="Courier New"/>
          <w:b/>
          <w:color w:val="000000"/>
          <w:sz w:val="24"/>
          <w:szCs w:val="24"/>
          <w:lang w:eastAsia="en-US"/>
        </w:rPr>
        <w:t xml:space="preserve">Разработка </w:t>
      </w:r>
      <w:r w:rsidRPr="00281602">
        <w:rPr>
          <w:rFonts w:eastAsia="Courier New"/>
          <w:b/>
          <w:color w:val="000000"/>
          <w:sz w:val="24"/>
          <w:szCs w:val="24"/>
          <w:lang w:val="en-US" w:eastAsia="en-US"/>
        </w:rPr>
        <w:t>IoT</w:t>
      </w:r>
      <w:r w:rsidRPr="00281602">
        <w:rPr>
          <w:rFonts w:eastAsia="Courier New"/>
          <w:b/>
          <w:color w:val="000000"/>
          <w:sz w:val="24"/>
          <w:szCs w:val="24"/>
          <w:lang w:eastAsia="en-US"/>
        </w:rPr>
        <w:t xml:space="preserve"> системы для слежения за состоянием </w:t>
      </w:r>
      <w:r w:rsidR="003B37B7">
        <w:rPr>
          <w:rFonts w:eastAsia="Courier New"/>
          <w:b/>
          <w:color w:val="000000"/>
          <w:sz w:val="24"/>
          <w:szCs w:val="24"/>
          <w:lang w:eastAsia="en-US"/>
        </w:rPr>
        <w:br/>
      </w:r>
      <w:r w:rsidRPr="00281602">
        <w:rPr>
          <w:rFonts w:eastAsia="Courier New"/>
          <w:b/>
          <w:color w:val="000000"/>
          <w:sz w:val="24"/>
          <w:szCs w:val="24"/>
          <w:lang w:eastAsia="en-US"/>
        </w:rPr>
        <w:t xml:space="preserve">сельскохозяйственных полей на основе одноплатного </w:t>
      </w:r>
    </w:p>
    <w:p w:rsidR="00281602" w:rsidRPr="001755C3" w:rsidRDefault="00281602" w:rsidP="00281602">
      <w:pPr>
        <w:widowControl w:val="0"/>
        <w:jc w:val="center"/>
        <w:rPr>
          <w:rFonts w:eastAsia="Courier New"/>
          <w:b/>
          <w:color w:val="000000"/>
          <w:sz w:val="24"/>
          <w:szCs w:val="24"/>
          <w:lang w:val="en-US" w:eastAsia="en-US"/>
        </w:rPr>
      </w:pPr>
      <w:r w:rsidRPr="00281602">
        <w:rPr>
          <w:rFonts w:eastAsia="Courier New"/>
          <w:b/>
          <w:color w:val="000000"/>
          <w:sz w:val="24"/>
          <w:szCs w:val="24"/>
          <w:lang w:eastAsia="en-US"/>
        </w:rPr>
        <w:t>компьютера</w:t>
      </w:r>
      <w:r w:rsidRPr="001755C3">
        <w:rPr>
          <w:rFonts w:eastAsia="Courier New"/>
          <w:b/>
          <w:color w:val="000000"/>
          <w:sz w:val="24"/>
          <w:szCs w:val="24"/>
          <w:lang w:val="en-US" w:eastAsia="en-US"/>
        </w:rPr>
        <w:t xml:space="preserve"> </w:t>
      </w:r>
      <w:r w:rsidRPr="00281602">
        <w:rPr>
          <w:rFonts w:eastAsia="Courier New"/>
          <w:b/>
          <w:color w:val="000000"/>
          <w:sz w:val="24"/>
          <w:szCs w:val="24"/>
          <w:lang w:val="en-US" w:eastAsia="en-US"/>
        </w:rPr>
        <w:t>RaspberryPi</w:t>
      </w:r>
    </w:p>
    <w:p w:rsidR="00281602" w:rsidRPr="00D34D80" w:rsidRDefault="00281602" w:rsidP="00D34D80">
      <w:pPr>
        <w:widowControl w:val="0"/>
        <w:jc w:val="center"/>
        <w:rPr>
          <w:rFonts w:eastAsia="Courier New"/>
          <w:b/>
          <w:color w:val="000000"/>
          <w:sz w:val="24"/>
          <w:szCs w:val="24"/>
          <w:lang w:val="en-US" w:eastAsia="en-US"/>
        </w:rPr>
      </w:pPr>
      <w:r w:rsidRPr="00281602">
        <w:rPr>
          <w:rFonts w:eastAsia="Courier New"/>
          <w:b/>
          <w:color w:val="000000"/>
          <w:sz w:val="24"/>
          <w:szCs w:val="24"/>
          <w:lang w:val="en-US" w:eastAsia="en-US"/>
        </w:rPr>
        <w:t>Development</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of</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the</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IoT</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system</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for</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tracking</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the</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state</w:t>
      </w:r>
      <w:r w:rsidRPr="003B37B7">
        <w:rPr>
          <w:rFonts w:eastAsia="Courier New"/>
          <w:b/>
          <w:color w:val="000000"/>
          <w:sz w:val="24"/>
          <w:szCs w:val="24"/>
          <w:lang w:val="en-US" w:eastAsia="en-US"/>
        </w:rPr>
        <w:t xml:space="preserve"> </w:t>
      </w:r>
      <w:r w:rsidR="003B37B7" w:rsidRPr="003B37B7">
        <w:rPr>
          <w:rFonts w:eastAsia="Courier New"/>
          <w:b/>
          <w:color w:val="000000"/>
          <w:sz w:val="24"/>
          <w:szCs w:val="24"/>
          <w:lang w:val="en-US" w:eastAsia="en-US"/>
        </w:rPr>
        <w:br/>
      </w:r>
      <w:r w:rsidRPr="00281602">
        <w:rPr>
          <w:rFonts w:eastAsia="Courier New"/>
          <w:b/>
          <w:color w:val="000000"/>
          <w:sz w:val="24"/>
          <w:szCs w:val="24"/>
          <w:lang w:val="en-US" w:eastAsia="en-US"/>
        </w:rPr>
        <w:t>of</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agricultural</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fields</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based</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on</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a</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single</w:t>
      </w:r>
      <w:r w:rsidRPr="003B37B7">
        <w:rPr>
          <w:rFonts w:eastAsia="Courier New"/>
          <w:b/>
          <w:color w:val="000000"/>
          <w:sz w:val="24"/>
          <w:szCs w:val="24"/>
          <w:lang w:val="en-US" w:eastAsia="en-US"/>
        </w:rPr>
        <w:t>-</w:t>
      </w:r>
      <w:r w:rsidRPr="00281602">
        <w:rPr>
          <w:rFonts w:eastAsia="Courier New"/>
          <w:b/>
          <w:color w:val="000000"/>
          <w:sz w:val="24"/>
          <w:szCs w:val="24"/>
          <w:lang w:val="en-US" w:eastAsia="en-US"/>
        </w:rPr>
        <w:t>board</w:t>
      </w:r>
      <w:r w:rsidRPr="003B37B7">
        <w:rPr>
          <w:rFonts w:eastAsia="Courier New"/>
          <w:b/>
          <w:color w:val="000000"/>
          <w:sz w:val="24"/>
          <w:szCs w:val="24"/>
          <w:lang w:val="en-US" w:eastAsia="en-US"/>
        </w:rPr>
        <w:t xml:space="preserve"> </w:t>
      </w:r>
      <w:r w:rsidRPr="00281602">
        <w:rPr>
          <w:rFonts w:eastAsia="Courier New"/>
          <w:b/>
          <w:color w:val="000000"/>
          <w:sz w:val="24"/>
          <w:szCs w:val="24"/>
          <w:lang w:val="en-US" w:eastAsia="en-US"/>
        </w:rPr>
        <w:t xml:space="preserve">computer </w:t>
      </w:r>
      <w:r w:rsidR="00CC1F5C" w:rsidRPr="00CC1F5C">
        <w:rPr>
          <w:rFonts w:eastAsia="Courier New"/>
          <w:b/>
          <w:color w:val="000000"/>
          <w:sz w:val="24"/>
          <w:szCs w:val="24"/>
          <w:lang w:val="en-US" w:eastAsia="en-US"/>
        </w:rPr>
        <w:br/>
      </w:r>
      <w:r w:rsidRPr="00281602">
        <w:rPr>
          <w:rFonts w:eastAsia="Courier New"/>
          <w:b/>
          <w:color w:val="000000"/>
          <w:sz w:val="24"/>
          <w:szCs w:val="24"/>
          <w:lang w:val="en-US" w:eastAsia="en-US"/>
        </w:rPr>
        <w:t>Raspberry Pi</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Олешко Р. Б.,</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магистрант 2-го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Кубанский государственный 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aps/>
          <w:color w:val="000000"/>
          <w:sz w:val="22"/>
          <w:szCs w:val="22"/>
          <w:lang w:eastAsia="en-US"/>
        </w:rPr>
        <w:t>Аннотация</w:t>
      </w:r>
      <w:r w:rsidRPr="00281602">
        <w:rPr>
          <w:rFonts w:eastAsia="Courier New"/>
          <w:color w:val="000000"/>
          <w:sz w:val="22"/>
          <w:szCs w:val="22"/>
          <w:lang w:eastAsia="en-US"/>
        </w:rPr>
        <w:t xml:space="preserve">: В данной статье рассматривается разработка </w:t>
      </w:r>
      <w:r w:rsidRPr="00281602">
        <w:rPr>
          <w:rFonts w:eastAsia="Courier New"/>
          <w:color w:val="000000"/>
          <w:sz w:val="22"/>
          <w:szCs w:val="22"/>
          <w:lang w:val="en-US" w:eastAsia="en-US"/>
        </w:rPr>
        <w:t>IoT</w:t>
      </w:r>
      <w:r w:rsidRPr="00281602">
        <w:rPr>
          <w:rFonts w:eastAsia="Courier New"/>
          <w:color w:val="000000"/>
          <w:sz w:val="22"/>
          <w:szCs w:val="22"/>
          <w:lang w:eastAsia="en-US"/>
        </w:rPr>
        <w:t xml:space="preserve"> системы для слежения за состоянием сельскохозяйственных </w:t>
      </w:r>
      <w:r w:rsidRPr="00281602">
        <w:rPr>
          <w:rFonts w:eastAsia="Courier New"/>
          <w:color w:val="000000"/>
          <w:sz w:val="22"/>
          <w:szCs w:val="22"/>
          <w:lang w:eastAsia="en-US"/>
        </w:rPr>
        <w:lastRenderedPageBreak/>
        <w:t xml:space="preserve">полей на основе одноплатного компьютера </w:t>
      </w:r>
      <w:r w:rsidRPr="00281602">
        <w:rPr>
          <w:rFonts w:eastAsia="Courier New"/>
          <w:color w:val="000000"/>
          <w:sz w:val="22"/>
          <w:szCs w:val="22"/>
          <w:lang w:val="en-US" w:eastAsia="en-US"/>
        </w:rPr>
        <w:t>R</w:t>
      </w:r>
      <w:r w:rsidRPr="00281602">
        <w:rPr>
          <w:rFonts w:eastAsia="Courier New"/>
          <w:color w:val="000000"/>
          <w:sz w:val="22"/>
          <w:szCs w:val="22"/>
          <w:lang w:eastAsia="en-US"/>
        </w:rPr>
        <w:t>aspberry</w:t>
      </w:r>
      <w:r w:rsidRPr="00281602">
        <w:rPr>
          <w:rFonts w:eastAsia="Courier New"/>
          <w:color w:val="000000"/>
          <w:sz w:val="22"/>
          <w:szCs w:val="22"/>
          <w:lang w:val="en-US" w:eastAsia="en-US"/>
        </w:rPr>
        <w:t>Pic</w:t>
      </w:r>
      <w:r w:rsidRPr="00281602">
        <w:rPr>
          <w:rFonts w:eastAsia="Courier New"/>
          <w:color w:val="000000"/>
          <w:sz w:val="22"/>
          <w:szCs w:val="22"/>
          <w:lang w:eastAsia="en-US"/>
        </w:rPr>
        <w:t xml:space="preserve"> использ</w:t>
      </w:r>
      <w:r w:rsidRPr="00281602">
        <w:rPr>
          <w:rFonts w:eastAsia="Courier New"/>
          <w:color w:val="000000"/>
          <w:sz w:val="22"/>
          <w:szCs w:val="22"/>
          <w:lang w:eastAsia="en-US"/>
        </w:rPr>
        <w:t>о</w:t>
      </w:r>
      <w:r w:rsidRPr="00281602">
        <w:rPr>
          <w:rFonts w:eastAsia="Courier New"/>
          <w:color w:val="000000"/>
          <w:sz w:val="22"/>
          <w:szCs w:val="22"/>
          <w:lang w:eastAsia="en-US"/>
        </w:rPr>
        <w:t>ванием различных датчиков.</w:t>
      </w:r>
    </w:p>
    <w:p w:rsidR="00281602" w:rsidRPr="00281602" w:rsidRDefault="00281602" w:rsidP="00281602">
      <w:pPr>
        <w:widowControl w:val="0"/>
        <w:tabs>
          <w:tab w:val="left" w:pos="8223"/>
        </w:tabs>
        <w:ind w:firstLine="425"/>
        <w:jc w:val="both"/>
        <w:rPr>
          <w:rFonts w:eastAsia="Courier New"/>
          <w:color w:val="000000"/>
          <w:sz w:val="22"/>
          <w:szCs w:val="22"/>
          <w:shd w:val="clear" w:color="auto" w:fill="FFFFFF"/>
          <w:lang w:val="en-US" w:eastAsia="en-US"/>
        </w:rPr>
      </w:pPr>
      <w:r w:rsidRPr="00281602">
        <w:rPr>
          <w:rFonts w:eastAsia="Courier New"/>
          <w:caps/>
          <w:color w:val="000000"/>
          <w:sz w:val="22"/>
          <w:szCs w:val="22"/>
          <w:lang w:val="en-US" w:eastAsia="en-US"/>
        </w:rPr>
        <w:t>Abctract</w:t>
      </w:r>
      <w:r w:rsidRPr="00281602">
        <w:rPr>
          <w:rFonts w:eastAsia="Courier New"/>
          <w:b/>
          <w:color w:val="000000"/>
          <w:sz w:val="22"/>
          <w:szCs w:val="22"/>
          <w:lang w:val="en-US" w:eastAsia="en-US"/>
        </w:rPr>
        <w:t>:</w:t>
      </w:r>
      <w:r w:rsidRPr="00281602">
        <w:rPr>
          <w:rFonts w:eastAsia="Courier New"/>
          <w:color w:val="000000"/>
          <w:sz w:val="22"/>
          <w:szCs w:val="22"/>
          <w:shd w:val="clear" w:color="auto" w:fill="FFFFFF"/>
          <w:lang w:val="en-US" w:eastAsia="en-US"/>
        </w:rPr>
        <w:t xml:space="preserve"> This article describes the development of the IoT sy</w:t>
      </w:r>
      <w:r w:rsidRPr="00281602">
        <w:rPr>
          <w:rFonts w:eastAsia="Courier New"/>
          <w:color w:val="000000"/>
          <w:sz w:val="22"/>
          <w:szCs w:val="22"/>
          <w:shd w:val="clear" w:color="auto" w:fill="FFFFFF"/>
          <w:lang w:val="en-US" w:eastAsia="en-US"/>
        </w:rPr>
        <w:t>s</w:t>
      </w:r>
      <w:r w:rsidRPr="00281602">
        <w:rPr>
          <w:rFonts w:eastAsia="Courier New"/>
          <w:color w:val="000000"/>
          <w:sz w:val="22"/>
          <w:szCs w:val="22"/>
          <w:shd w:val="clear" w:color="auto" w:fill="FFFFFF"/>
          <w:lang w:val="en-US" w:eastAsia="en-US"/>
        </w:rPr>
        <w:t>tem for monitoring the state of agricultural fields based on a single-board Raspberry Pi computer using different sensors</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aps/>
          <w:color w:val="000000"/>
          <w:sz w:val="22"/>
          <w:szCs w:val="22"/>
          <w:lang w:eastAsia="en-US"/>
        </w:rPr>
        <w:t>Ключевые слова</w:t>
      </w:r>
      <w:r w:rsidRPr="00281602">
        <w:rPr>
          <w:rFonts w:eastAsia="Courier New"/>
          <w:color w:val="000000"/>
          <w:sz w:val="22"/>
          <w:szCs w:val="22"/>
          <w:lang w:eastAsia="en-US"/>
        </w:rPr>
        <w:t xml:space="preserve">: интернет вещей, </w:t>
      </w:r>
      <w:r w:rsidRPr="00281602">
        <w:rPr>
          <w:rFonts w:eastAsia="Courier New"/>
          <w:color w:val="000000"/>
          <w:sz w:val="22"/>
          <w:szCs w:val="22"/>
          <w:lang w:val="en-US" w:eastAsia="en-US"/>
        </w:rPr>
        <w:t>RaspberryPi</w:t>
      </w:r>
      <w:r w:rsidRPr="00281602">
        <w:rPr>
          <w:rFonts w:eastAsia="Courier New"/>
          <w:color w:val="000000"/>
          <w:sz w:val="22"/>
          <w:szCs w:val="22"/>
          <w:lang w:eastAsia="en-US"/>
        </w:rPr>
        <w:t>, сельское хозяйство, датчик влажности почвы, датчик температуры.</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r w:rsidRPr="00281602">
        <w:rPr>
          <w:rFonts w:eastAsia="Courier New"/>
          <w:caps/>
          <w:color w:val="000000"/>
          <w:sz w:val="22"/>
          <w:szCs w:val="22"/>
          <w:lang w:val="en-US" w:eastAsia="en-US"/>
        </w:rPr>
        <w:t>Keywords</w:t>
      </w:r>
      <w:r w:rsidRPr="00281602">
        <w:rPr>
          <w:rFonts w:eastAsia="Courier New"/>
          <w:color w:val="000000"/>
          <w:sz w:val="22"/>
          <w:szCs w:val="22"/>
          <w:lang w:val="en-US" w:eastAsia="en-US"/>
        </w:rPr>
        <w:t xml:space="preserve">: </w:t>
      </w:r>
      <w:r w:rsidRPr="00281602">
        <w:rPr>
          <w:rFonts w:eastAsia="Calibri"/>
          <w:sz w:val="22"/>
          <w:szCs w:val="22"/>
          <w:lang w:val="en-US" w:eastAsia="en-US"/>
        </w:rPr>
        <w:t>Internet of Things</w:t>
      </w:r>
      <w:r w:rsidRPr="00281602">
        <w:rPr>
          <w:rFonts w:eastAsia="Courier New"/>
          <w:color w:val="000000"/>
          <w:sz w:val="22"/>
          <w:szCs w:val="22"/>
          <w:lang w:val="en-US" w:eastAsia="en-US"/>
        </w:rPr>
        <w:t xml:space="preserve"> Raspberry Pi, agriculture, soil humidity sensor, temperature sensor.</w:t>
      </w:r>
    </w:p>
    <w:p w:rsidR="00281602" w:rsidRPr="00281602" w:rsidRDefault="00281602" w:rsidP="00281602">
      <w:pPr>
        <w:widowControl w:val="0"/>
        <w:tabs>
          <w:tab w:val="left" w:pos="8223"/>
        </w:tabs>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С бурным развитием </w:t>
      </w:r>
      <w:r w:rsidRPr="00281602">
        <w:rPr>
          <w:rFonts w:eastAsia="Calibri"/>
          <w:sz w:val="22"/>
          <w:szCs w:val="22"/>
          <w:lang w:val="en-US" w:eastAsia="en-US"/>
        </w:rPr>
        <w:t>IoT</w:t>
      </w:r>
      <w:r w:rsidRPr="00281602">
        <w:rPr>
          <w:rFonts w:eastAsia="Calibri"/>
          <w:sz w:val="22"/>
          <w:szCs w:val="22"/>
          <w:lang w:eastAsia="en-US"/>
        </w:rPr>
        <w:t xml:space="preserve"> устройств, умные устройства стали применяться во многих сферах человеческой деятельности. Не я</w:t>
      </w:r>
      <w:r w:rsidRPr="00281602">
        <w:rPr>
          <w:rFonts w:eastAsia="Calibri"/>
          <w:sz w:val="22"/>
          <w:szCs w:val="22"/>
          <w:lang w:eastAsia="en-US"/>
        </w:rPr>
        <w:t>в</w:t>
      </w:r>
      <w:r w:rsidRPr="00281602">
        <w:rPr>
          <w:rFonts w:eastAsia="Calibri"/>
          <w:sz w:val="22"/>
          <w:szCs w:val="22"/>
          <w:lang w:eastAsia="en-US"/>
        </w:rPr>
        <w:t>ляется исключением и сфера сельского хозяйства. Для удовлетв</w:t>
      </w:r>
      <w:r w:rsidRPr="00281602">
        <w:rPr>
          <w:rFonts w:eastAsia="Calibri"/>
          <w:sz w:val="22"/>
          <w:szCs w:val="22"/>
          <w:lang w:eastAsia="en-US"/>
        </w:rPr>
        <w:t>о</w:t>
      </w:r>
      <w:r w:rsidRPr="00281602">
        <w:rPr>
          <w:rFonts w:eastAsia="Calibri"/>
          <w:sz w:val="22"/>
          <w:szCs w:val="22"/>
          <w:lang w:eastAsia="en-US"/>
        </w:rPr>
        <w:t>рения запросов сельскохозяйственных предприятий, деятельность технических компаний нацелена на повышение технического уро</w:t>
      </w:r>
      <w:r w:rsidRPr="00281602">
        <w:rPr>
          <w:rFonts w:eastAsia="Calibri"/>
          <w:sz w:val="22"/>
          <w:szCs w:val="22"/>
          <w:lang w:eastAsia="en-US"/>
        </w:rPr>
        <w:t>в</w:t>
      </w:r>
      <w:r w:rsidRPr="00281602">
        <w:rPr>
          <w:rFonts w:eastAsia="Calibri"/>
          <w:sz w:val="22"/>
          <w:szCs w:val="22"/>
          <w:lang w:eastAsia="en-US"/>
        </w:rPr>
        <w:t>ня, качества и надежности техники, эффективности машинных те</w:t>
      </w:r>
      <w:r w:rsidRPr="00281602">
        <w:rPr>
          <w:rFonts w:eastAsia="Calibri"/>
          <w:sz w:val="22"/>
          <w:szCs w:val="22"/>
          <w:lang w:eastAsia="en-US"/>
        </w:rPr>
        <w:t>х</w:t>
      </w:r>
      <w:r w:rsidRPr="00281602">
        <w:rPr>
          <w:rFonts w:eastAsia="Calibri"/>
          <w:sz w:val="22"/>
          <w:szCs w:val="22"/>
          <w:lang w:eastAsia="en-US"/>
        </w:rPr>
        <w:t>нологий.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Российские сельскохозяйственные предприятия охотно вне</w:t>
      </w:r>
      <w:r w:rsidRPr="00281602">
        <w:rPr>
          <w:rFonts w:eastAsia="Calibri"/>
          <w:sz w:val="22"/>
          <w:szCs w:val="22"/>
          <w:lang w:eastAsia="en-US"/>
        </w:rPr>
        <w:t>д</w:t>
      </w:r>
      <w:r w:rsidRPr="00281602">
        <w:rPr>
          <w:rFonts w:eastAsia="Calibri"/>
          <w:sz w:val="22"/>
          <w:szCs w:val="22"/>
          <w:lang w:eastAsia="en-US"/>
        </w:rPr>
        <w:t>ряют проекты с применением технологии Интернета вещей для сб</w:t>
      </w:r>
      <w:r w:rsidRPr="00281602">
        <w:rPr>
          <w:rFonts w:eastAsia="Calibri"/>
          <w:sz w:val="22"/>
          <w:szCs w:val="22"/>
          <w:lang w:eastAsia="en-US"/>
        </w:rPr>
        <w:t>е</w:t>
      </w:r>
      <w:r w:rsidRPr="00281602">
        <w:rPr>
          <w:rFonts w:eastAsia="Calibri"/>
          <w:sz w:val="22"/>
          <w:szCs w:val="22"/>
          <w:lang w:eastAsia="en-US"/>
        </w:rPr>
        <w:t xml:space="preserve">режения ресурсов. Современная сельхозтехника оснащена </w:t>
      </w:r>
      <w:r w:rsidRPr="00281602">
        <w:rPr>
          <w:rFonts w:eastAsia="Calibri"/>
          <w:sz w:val="22"/>
          <w:szCs w:val="22"/>
          <w:lang w:val="en-US" w:eastAsia="en-US"/>
        </w:rPr>
        <w:t>GPS</w:t>
      </w:r>
      <w:r w:rsidRPr="00281602">
        <w:rPr>
          <w:rFonts w:eastAsia="Calibri"/>
          <w:sz w:val="22"/>
          <w:szCs w:val="22"/>
          <w:lang w:eastAsia="en-US"/>
        </w:rPr>
        <w:t>-трекерами, датчиками расхода топлива, разного вида идентифик</w:t>
      </w:r>
      <w:r w:rsidRPr="00281602">
        <w:rPr>
          <w:rFonts w:eastAsia="Calibri"/>
          <w:sz w:val="22"/>
          <w:szCs w:val="22"/>
          <w:lang w:eastAsia="en-US"/>
        </w:rPr>
        <w:t>а</w:t>
      </w:r>
      <w:r w:rsidRPr="00281602">
        <w:rPr>
          <w:rFonts w:eastAsia="Calibri"/>
          <w:sz w:val="22"/>
          <w:szCs w:val="22"/>
          <w:lang w:eastAsia="en-US"/>
        </w:rPr>
        <w:t>торами и сенсорами и т.д. Новой задачей для сельскохозяйственных предприятий становится не просто установка датчиков, но и инт</w:t>
      </w:r>
      <w:r w:rsidRPr="00281602">
        <w:rPr>
          <w:rFonts w:eastAsia="Calibri"/>
          <w:sz w:val="22"/>
          <w:szCs w:val="22"/>
          <w:lang w:eastAsia="en-US"/>
        </w:rPr>
        <w:t>е</w:t>
      </w:r>
      <w:r w:rsidRPr="00281602">
        <w:rPr>
          <w:rFonts w:eastAsia="Calibri"/>
          <w:sz w:val="22"/>
          <w:szCs w:val="22"/>
          <w:lang w:eastAsia="en-US"/>
        </w:rPr>
        <w:t>грация получаемых с них информации с информационными сист</w:t>
      </w:r>
      <w:r w:rsidRPr="00281602">
        <w:rPr>
          <w:rFonts w:eastAsia="Calibri"/>
          <w:sz w:val="22"/>
          <w:szCs w:val="22"/>
          <w:lang w:eastAsia="en-US"/>
        </w:rPr>
        <w:t>е</w:t>
      </w:r>
      <w:r w:rsidRPr="00281602">
        <w:rPr>
          <w:rFonts w:eastAsia="Calibri"/>
          <w:sz w:val="22"/>
          <w:szCs w:val="22"/>
          <w:lang w:eastAsia="en-US"/>
        </w:rPr>
        <w:t>мами учета. В ближайшее время количество IoT-сенсоров в сел</w:t>
      </w:r>
      <w:r w:rsidRPr="00281602">
        <w:rPr>
          <w:rFonts w:eastAsia="Calibri"/>
          <w:sz w:val="22"/>
          <w:szCs w:val="22"/>
          <w:lang w:eastAsia="en-US"/>
        </w:rPr>
        <w:t>ь</w:t>
      </w:r>
      <w:r w:rsidRPr="00281602">
        <w:rPr>
          <w:rFonts w:eastAsia="Calibri"/>
          <w:sz w:val="22"/>
          <w:szCs w:val="22"/>
          <w:lang w:eastAsia="en-US"/>
        </w:rPr>
        <w:t>ском хозяйстве вырастет в геометрической прогрессии благодаря их доступности и возможностям прикладного применения [2].</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Предлагаемое устройство, разработанное на основе однопла</w:t>
      </w:r>
      <w:r w:rsidRPr="00281602">
        <w:rPr>
          <w:rFonts w:eastAsia="Calibri"/>
          <w:sz w:val="22"/>
          <w:szCs w:val="22"/>
          <w:lang w:eastAsia="en-US"/>
        </w:rPr>
        <w:t>т</w:t>
      </w:r>
      <w:r w:rsidRPr="00281602">
        <w:rPr>
          <w:rFonts w:eastAsia="Calibri"/>
          <w:sz w:val="22"/>
          <w:szCs w:val="22"/>
          <w:lang w:eastAsia="en-US"/>
        </w:rPr>
        <w:t>ного компьютера с использованием различных датчиков, позволяет получать оперативные данные с полей, находящихся в труднод</w:t>
      </w:r>
      <w:r w:rsidRPr="00281602">
        <w:rPr>
          <w:rFonts w:eastAsia="Calibri"/>
          <w:sz w:val="22"/>
          <w:szCs w:val="22"/>
          <w:lang w:eastAsia="en-US"/>
        </w:rPr>
        <w:t>о</w:t>
      </w:r>
      <w:r w:rsidRPr="00281602">
        <w:rPr>
          <w:rFonts w:eastAsia="Calibri"/>
          <w:sz w:val="22"/>
          <w:szCs w:val="22"/>
          <w:lang w:eastAsia="en-US"/>
        </w:rPr>
        <w:t>ступных местах.</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качестве микрокомпьютерной платы используется R</w:t>
      </w:r>
      <w:r w:rsidRPr="00281602">
        <w:rPr>
          <w:rFonts w:eastAsia="Calibri"/>
          <w:sz w:val="22"/>
          <w:szCs w:val="22"/>
          <w:lang w:val="en-US" w:eastAsia="en-US"/>
        </w:rPr>
        <w:t>aspbe</w:t>
      </w:r>
      <w:r w:rsidRPr="00281602">
        <w:rPr>
          <w:rFonts w:eastAsia="Calibri"/>
          <w:sz w:val="22"/>
          <w:szCs w:val="22"/>
          <w:lang w:val="en-US" w:eastAsia="en-US"/>
        </w:rPr>
        <w:t>r</w:t>
      </w:r>
      <w:r w:rsidRPr="00281602">
        <w:rPr>
          <w:rFonts w:eastAsia="Calibri"/>
          <w:sz w:val="22"/>
          <w:szCs w:val="22"/>
          <w:lang w:val="en-US" w:eastAsia="en-US"/>
        </w:rPr>
        <w:t>ryPiZeroW</w:t>
      </w:r>
      <w:r w:rsidR="003B37B7">
        <w:rPr>
          <w:rFonts w:eastAsia="Calibri"/>
          <w:sz w:val="22"/>
          <w:szCs w:val="22"/>
          <w:lang w:eastAsia="en-US"/>
        </w:rPr>
        <w:t xml:space="preserve"> – </w:t>
      </w:r>
      <w:r w:rsidRPr="00281602">
        <w:rPr>
          <w:rFonts w:eastAsia="Calibri"/>
          <w:sz w:val="22"/>
          <w:szCs w:val="22"/>
          <w:lang w:eastAsia="en-US"/>
        </w:rPr>
        <w:t>это полноценный компьютер, управляемый операц</w:t>
      </w:r>
      <w:r w:rsidRPr="00281602">
        <w:rPr>
          <w:rFonts w:eastAsia="Calibri"/>
          <w:sz w:val="22"/>
          <w:szCs w:val="22"/>
          <w:lang w:eastAsia="en-US"/>
        </w:rPr>
        <w:t>и</w:t>
      </w:r>
      <w:r w:rsidRPr="00281602">
        <w:rPr>
          <w:rFonts w:eastAsia="Calibri"/>
          <w:sz w:val="22"/>
          <w:szCs w:val="22"/>
          <w:lang w:eastAsia="en-US"/>
        </w:rPr>
        <w:t xml:space="preserve">онными системами на основе </w:t>
      </w:r>
      <w:r w:rsidRPr="00281602">
        <w:rPr>
          <w:rFonts w:eastAsia="Calibri"/>
          <w:sz w:val="22"/>
          <w:szCs w:val="22"/>
          <w:lang w:val="en-US" w:eastAsia="en-US"/>
        </w:rPr>
        <w:t>Linux</w:t>
      </w:r>
      <w:r w:rsidRPr="00281602">
        <w:rPr>
          <w:rFonts w:eastAsia="Calibri"/>
          <w:sz w:val="22"/>
          <w:szCs w:val="22"/>
          <w:lang w:eastAsia="en-US"/>
        </w:rPr>
        <w:t>. На плате располагается гиг</w:t>
      </w:r>
      <w:r w:rsidRPr="00281602">
        <w:rPr>
          <w:rFonts w:eastAsia="Calibri"/>
          <w:sz w:val="22"/>
          <w:szCs w:val="22"/>
          <w:lang w:eastAsia="en-US"/>
        </w:rPr>
        <w:t>а</w:t>
      </w:r>
      <w:r w:rsidRPr="00281602">
        <w:rPr>
          <w:rFonts w:eastAsia="Calibri"/>
          <w:sz w:val="22"/>
          <w:szCs w:val="22"/>
          <w:lang w:eastAsia="en-US"/>
        </w:rPr>
        <w:t>герцовый процессор ARM11 core, 512 мегабайт оперативной пам</w:t>
      </w:r>
      <w:r w:rsidRPr="00281602">
        <w:rPr>
          <w:rFonts w:eastAsia="Calibri"/>
          <w:sz w:val="22"/>
          <w:szCs w:val="22"/>
          <w:lang w:eastAsia="en-US"/>
        </w:rPr>
        <w:t>я</w:t>
      </w:r>
      <w:r w:rsidRPr="00281602">
        <w:rPr>
          <w:rFonts w:eastAsia="Calibri"/>
          <w:sz w:val="22"/>
          <w:szCs w:val="22"/>
          <w:lang w:eastAsia="en-US"/>
        </w:rPr>
        <w:t>ти, разъем HDMI, слот для microSD, два разъема microUSB (для п</w:t>
      </w:r>
      <w:r w:rsidRPr="00281602">
        <w:rPr>
          <w:rFonts w:eastAsia="Calibri"/>
          <w:sz w:val="22"/>
          <w:szCs w:val="22"/>
          <w:lang w:eastAsia="en-US"/>
        </w:rPr>
        <w:t>и</w:t>
      </w:r>
      <w:r w:rsidRPr="00281602">
        <w:rPr>
          <w:rFonts w:eastAsia="Calibri"/>
          <w:sz w:val="22"/>
          <w:szCs w:val="22"/>
          <w:lang w:eastAsia="en-US"/>
        </w:rPr>
        <w:t>тания и подключения периферийных устройств), интерфейс CSI для подключения камеры, а также два нераспаянных разъема: 40-</w:t>
      </w:r>
      <w:r w:rsidRPr="00281602">
        <w:rPr>
          <w:rFonts w:eastAsia="Calibri"/>
          <w:sz w:val="22"/>
          <w:szCs w:val="22"/>
          <w:lang w:eastAsia="en-US"/>
        </w:rPr>
        <w:lastRenderedPageBreak/>
        <w:t>контактный разъем расширенного ввода-вывода (GPIO) и комп</w:t>
      </w:r>
      <w:r w:rsidRPr="00281602">
        <w:rPr>
          <w:rFonts w:eastAsia="Calibri"/>
          <w:sz w:val="22"/>
          <w:szCs w:val="22"/>
          <w:lang w:eastAsia="en-US"/>
        </w:rPr>
        <w:t>о</w:t>
      </w:r>
      <w:r w:rsidRPr="00281602">
        <w:rPr>
          <w:rFonts w:eastAsia="Calibri"/>
          <w:sz w:val="22"/>
          <w:szCs w:val="22"/>
          <w:lang w:eastAsia="en-US"/>
        </w:rPr>
        <w:t>зитный видеовыход. GPIO позволяет подключать к плате компь</w:t>
      </w:r>
      <w:r w:rsidRPr="00281602">
        <w:rPr>
          <w:rFonts w:eastAsia="Calibri"/>
          <w:sz w:val="22"/>
          <w:szCs w:val="22"/>
          <w:lang w:eastAsia="en-US"/>
        </w:rPr>
        <w:t>ю</w:t>
      </w:r>
      <w:r w:rsidRPr="00281602">
        <w:rPr>
          <w:rFonts w:eastAsia="Calibri"/>
          <w:sz w:val="22"/>
          <w:szCs w:val="22"/>
          <w:lang w:eastAsia="en-US"/>
        </w:rPr>
        <w:t>тера различные устройства, такие как датчики (температуры, давл</w:t>
      </w:r>
      <w:r w:rsidRPr="00281602">
        <w:rPr>
          <w:rFonts w:eastAsia="Calibri"/>
          <w:sz w:val="22"/>
          <w:szCs w:val="22"/>
          <w:lang w:eastAsia="en-US"/>
        </w:rPr>
        <w:t>е</w:t>
      </w:r>
      <w:r w:rsidRPr="00281602">
        <w:rPr>
          <w:rFonts w:eastAsia="Calibri"/>
          <w:sz w:val="22"/>
          <w:szCs w:val="22"/>
          <w:lang w:eastAsia="en-US"/>
        </w:rPr>
        <w:t>ния, расстояния, движения, положения, GPS и пр.), реле и электр</w:t>
      </w:r>
      <w:r w:rsidRPr="00281602">
        <w:rPr>
          <w:rFonts w:eastAsia="Calibri"/>
          <w:sz w:val="22"/>
          <w:szCs w:val="22"/>
          <w:lang w:eastAsia="en-US"/>
        </w:rPr>
        <w:t>о</w:t>
      </w:r>
      <w:r w:rsidRPr="00281602">
        <w:rPr>
          <w:rFonts w:eastAsia="Calibri"/>
          <w:sz w:val="22"/>
          <w:szCs w:val="22"/>
          <w:lang w:eastAsia="en-US"/>
        </w:rPr>
        <w:t>двигатели. Все поддерживаемые среды разработки позволяют раб</w:t>
      </w:r>
      <w:r w:rsidRPr="00281602">
        <w:rPr>
          <w:rFonts w:eastAsia="Calibri"/>
          <w:sz w:val="22"/>
          <w:szCs w:val="22"/>
          <w:lang w:eastAsia="en-US"/>
        </w:rPr>
        <w:t>о</w:t>
      </w:r>
      <w:r w:rsidRPr="00281602">
        <w:rPr>
          <w:rFonts w:eastAsia="Calibri"/>
          <w:sz w:val="22"/>
          <w:szCs w:val="22"/>
          <w:lang w:eastAsia="en-US"/>
        </w:rPr>
        <w:t>тать с портами ввода-вывода, что в значительной степени меняет результаты процесса разработки программ - происходит выход за пределы экрана [1].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качестве датчика температуры и влажности воздуха испол</w:t>
      </w:r>
      <w:r w:rsidRPr="00281602">
        <w:rPr>
          <w:rFonts w:eastAsia="Calibri"/>
          <w:sz w:val="22"/>
          <w:szCs w:val="22"/>
          <w:lang w:eastAsia="en-US"/>
        </w:rPr>
        <w:t>ь</w:t>
      </w:r>
      <w:r w:rsidRPr="00281602">
        <w:rPr>
          <w:rFonts w:eastAsia="Calibri"/>
          <w:sz w:val="22"/>
          <w:szCs w:val="22"/>
          <w:lang w:eastAsia="en-US"/>
        </w:rPr>
        <w:t xml:space="preserve">зуется модуль </w:t>
      </w:r>
      <w:r w:rsidRPr="00281602">
        <w:rPr>
          <w:rFonts w:eastAsia="Calibri"/>
          <w:sz w:val="22"/>
          <w:szCs w:val="22"/>
          <w:lang w:val="en-US" w:eastAsia="en-US"/>
        </w:rPr>
        <w:t>DHT</w:t>
      </w:r>
      <w:r w:rsidRPr="00281602">
        <w:rPr>
          <w:rFonts w:eastAsia="Calibri"/>
          <w:sz w:val="22"/>
          <w:szCs w:val="22"/>
          <w:lang w:eastAsia="en-US"/>
        </w:rPr>
        <w:t>22. Модуль DHT22 состоит из чувствительного емкостного датчика и NTC-термистора, а также 8-ми битном чипе, который преобразует аналоговый сигнал с датчиков, в цифровой на выходе.</w:t>
      </w:r>
    </w:p>
    <w:p w:rsidR="00281602" w:rsidRPr="00281602" w:rsidRDefault="00281602" w:rsidP="00281602">
      <w:pPr>
        <w:ind w:firstLine="425"/>
        <w:jc w:val="both"/>
        <w:rPr>
          <w:rFonts w:eastAsia="Calibri"/>
          <w:color w:val="1F282C"/>
          <w:sz w:val="22"/>
          <w:szCs w:val="22"/>
          <w:shd w:val="clear" w:color="auto" w:fill="FFFFFF"/>
          <w:lang w:eastAsia="en-US"/>
        </w:rPr>
      </w:pPr>
      <w:r w:rsidRPr="00281602">
        <w:rPr>
          <w:rFonts w:eastAsia="Calibri"/>
          <w:sz w:val="22"/>
          <w:szCs w:val="22"/>
          <w:lang w:eastAsia="en-US"/>
        </w:rPr>
        <w:t>Для измерения влажности почвы применяется компаратор, п</w:t>
      </w:r>
      <w:r w:rsidRPr="00281602">
        <w:rPr>
          <w:rFonts w:eastAsia="Calibri"/>
          <w:sz w:val="22"/>
          <w:szCs w:val="22"/>
          <w:lang w:eastAsia="en-US"/>
        </w:rPr>
        <w:t>о</w:t>
      </w:r>
      <w:r w:rsidRPr="00281602">
        <w:rPr>
          <w:rFonts w:eastAsia="Calibri"/>
          <w:sz w:val="22"/>
          <w:szCs w:val="22"/>
          <w:lang w:eastAsia="en-US"/>
        </w:rPr>
        <w:t>строенный на основе микросхемы LM393 и потенциометра, кот</w:t>
      </w:r>
      <w:r w:rsidRPr="00281602">
        <w:rPr>
          <w:rFonts w:eastAsia="Calibri"/>
          <w:sz w:val="22"/>
          <w:szCs w:val="22"/>
          <w:lang w:eastAsia="en-US"/>
        </w:rPr>
        <w:t>о</w:t>
      </w:r>
      <w:r w:rsidRPr="00281602">
        <w:rPr>
          <w:rFonts w:eastAsia="Calibri"/>
          <w:sz w:val="22"/>
          <w:szCs w:val="22"/>
          <w:lang w:eastAsia="en-US"/>
        </w:rPr>
        <w:t xml:space="preserve">рым регулируется порог срабатывания датчика и </w:t>
      </w:r>
      <w:r w:rsidRPr="00281602">
        <w:rPr>
          <w:rFonts w:eastAsia="Calibri"/>
          <w:color w:val="1F282C"/>
          <w:sz w:val="22"/>
          <w:szCs w:val="22"/>
          <w:shd w:val="clear" w:color="auto" w:fill="FFFFFF"/>
          <w:lang w:eastAsia="en-US"/>
        </w:rPr>
        <w:t>модуль датчика влажности почвы с проводами для подключения.</w:t>
      </w:r>
    </w:p>
    <w:p w:rsidR="00281602" w:rsidRPr="00281602" w:rsidRDefault="00281602" w:rsidP="00281602">
      <w:pPr>
        <w:ind w:firstLine="425"/>
        <w:jc w:val="both"/>
        <w:rPr>
          <w:rFonts w:eastAsia="Calibri"/>
          <w:sz w:val="22"/>
          <w:szCs w:val="22"/>
          <w:lang w:eastAsia="en-US"/>
        </w:rPr>
      </w:pPr>
      <w:r w:rsidRPr="00281602">
        <w:rPr>
          <w:rFonts w:eastAsia="Calibri"/>
          <w:color w:val="1F282C"/>
          <w:sz w:val="22"/>
          <w:szCs w:val="22"/>
          <w:shd w:val="clear" w:color="auto" w:fill="FFFFFF"/>
          <w:lang w:eastAsia="en-US"/>
        </w:rPr>
        <w:t xml:space="preserve">Передача данных с датчиков может осуществляться по </w:t>
      </w:r>
      <w:r w:rsidRPr="00281602">
        <w:rPr>
          <w:rFonts w:eastAsia="Calibri"/>
          <w:sz w:val="22"/>
          <w:szCs w:val="22"/>
          <w:lang w:eastAsia="en-US"/>
        </w:rPr>
        <w:t>прот</w:t>
      </w:r>
      <w:r w:rsidRPr="00281602">
        <w:rPr>
          <w:rFonts w:eastAsia="Calibri"/>
          <w:sz w:val="22"/>
          <w:szCs w:val="22"/>
          <w:lang w:eastAsia="en-US"/>
        </w:rPr>
        <w:t>о</w:t>
      </w:r>
      <w:r w:rsidRPr="00281602">
        <w:rPr>
          <w:rFonts w:eastAsia="Calibri"/>
          <w:sz w:val="22"/>
          <w:szCs w:val="22"/>
          <w:lang w:eastAsia="en-US"/>
        </w:rPr>
        <w:t>колу беспроводной связи LoRaWAN. Типовая беспроводная сеть LoRaWAN представляет собой совокупность шлюзов (gateways), пересылающих сообщения между оконечными устройствами (end-devices) и центральным сервером (NetworkServer, NS), и характер</w:t>
      </w:r>
      <w:r w:rsidRPr="00281602">
        <w:rPr>
          <w:rFonts w:eastAsia="Calibri"/>
          <w:sz w:val="22"/>
          <w:szCs w:val="22"/>
          <w:lang w:eastAsia="en-US"/>
        </w:rPr>
        <w:t>и</w:t>
      </w:r>
      <w:r w:rsidRPr="00281602">
        <w:rPr>
          <w:rFonts w:eastAsia="Calibri"/>
          <w:sz w:val="22"/>
          <w:szCs w:val="22"/>
          <w:lang w:eastAsia="en-US"/>
        </w:rPr>
        <w:t>зуется «звездной» топологией «star-of-stars». Связь между шлюзами и оконечными устройствами является двусторонней, но предпол</w:t>
      </w:r>
      <w:r w:rsidRPr="00281602">
        <w:rPr>
          <w:rFonts w:eastAsia="Calibri"/>
          <w:sz w:val="22"/>
          <w:szCs w:val="22"/>
          <w:lang w:eastAsia="en-US"/>
        </w:rPr>
        <w:t>а</w:t>
      </w:r>
      <w:r w:rsidRPr="00281602">
        <w:rPr>
          <w:rFonts w:eastAsia="Calibri"/>
          <w:sz w:val="22"/>
          <w:szCs w:val="22"/>
          <w:lang w:eastAsia="en-US"/>
        </w:rPr>
        <w:t>гается, что основной объем данных передается от оконечных устройств к шлюзам. Технология LoRa обеспечивает скорость пер</w:t>
      </w:r>
      <w:r w:rsidRPr="00281602">
        <w:rPr>
          <w:rFonts w:eastAsia="Calibri"/>
          <w:sz w:val="22"/>
          <w:szCs w:val="22"/>
          <w:lang w:eastAsia="en-US"/>
        </w:rPr>
        <w:t>е</w:t>
      </w:r>
      <w:r w:rsidRPr="00281602">
        <w:rPr>
          <w:rFonts w:eastAsia="Calibri"/>
          <w:sz w:val="22"/>
          <w:szCs w:val="22"/>
          <w:lang w:eastAsia="en-US"/>
        </w:rPr>
        <w:t>дачи в беспроводном канале от 0.3 до 50 кбит/с. Для разделения к</w:t>
      </w:r>
      <w:r w:rsidRPr="00281602">
        <w:rPr>
          <w:rFonts w:eastAsia="Calibri"/>
          <w:sz w:val="22"/>
          <w:szCs w:val="22"/>
          <w:lang w:eastAsia="en-US"/>
        </w:rPr>
        <w:t>а</w:t>
      </w:r>
      <w:r w:rsidRPr="00281602">
        <w:rPr>
          <w:rFonts w:eastAsia="Calibri"/>
          <w:sz w:val="22"/>
          <w:szCs w:val="22"/>
          <w:lang w:eastAsia="en-US"/>
        </w:rPr>
        <w:t>налов используется как набор частотных каналов, так и скоростей передачи (datarates) [3].</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Полученные данные с датчиков передаются на WEB-сервер для последующей их обработки данных с целью визуализации и выдачи пользователю в различных формах, документирования, выполнения процедур диагностики и прогнозирования параметров почвы.</w:t>
      </w:r>
    </w:p>
    <w:p w:rsidR="00281602" w:rsidRPr="00281602" w:rsidRDefault="00281602" w:rsidP="00281602">
      <w:pPr>
        <w:widowControl w:val="0"/>
        <w:autoSpaceDE w:val="0"/>
        <w:autoSpaceDN w:val="0"/>
        <w:adjustRightInd w:val="0"/>
        <w:ind w:firstLine="425"/>
        <w:jc w:val="both"/>
        <w:rPr>
          <w:rFonts w:eastAsia="Calibri"/>
          <w:sz w:val="22"/>
          <w:szCs w:val="22"/>
          <w:lang w:eastAsia="en-US"/>
        </w:rPr>
      </w:pPr>
      <w:r w:rsidRPr="00281602">
        <w:rPr>
          <w:rFonts w:eastAsia="Calibri"/>
          <w:sz w:val="22"/>
          <w:szCs w:val="22"/>
          <w:lang w:eastAsia="en-US"/>
        </w:rPr>
        <w:t>Благодаря объединению объектов в единую сеть, обмену и управлению данными на основе интернета вещей, возросшей пр</w:t>
      </w:r>
      <w:r w:rsidRPr="00281602">
        <w:rPr>
          <w:rFonts w:eastAsia="Calibri"/>
          <w:sz w:val="22"/>
          <w:szCs w:val="22"/>
          <w:lang w:eastAsia="en-US"/>
        </w:rPr>
        <w:t>о</w:t>
      </w:r>
      <w:r w:rsidRPr="00281602">
        <w:rPr>
          <w:rFonts w:eastAsia="Calibri"/>
          <w:sz w:val="22"/>
          <w:szCs w:val="22"/>
          <w:lang w:eastAsia="en-US"/>
        </w:rPr>
        <w:t>изводительной мощности компьютеров, развитию программного обеспечения и облачных платформ, стало возможным автоматиз</w:t>
      </w:r>
      <w:r w:rsidRPr="00281602">
        <w:rPr>
          <w:rFonts w:eastAsia="Calibri"/>
          <w:sz w:val="22"/>
          <w:szCs w:val="22"/>
          <w:lang w:eastAsia="en-US"/>
        </w:rPr>
        <w:t>и</w:t>
      </w:r>
      <w:r w:rsidRPr="00281602">
        <w:rPr>
          <w:rFonts w:eastAsia="Calibri"/>
          <w:sz w:val="22"/>
          <w:szCs w:val="22"/>
          <w:lang w:eastAsia="en-US"/>
        </w:rPr>
        <w:t xml:space="preserve">ровать максимальное количество сельскохозяйственных процессов </w:t>
      </w:r>
      <w:r w:rsidRPr="00281602">
        <w:rPr>
          <w:rFonts w:eastAsia="Calibri"/>
          <w:sz w:val="22"/>
          <w:szCs w:val="22"/>
          <w:lang w:eastAsia="en-US"/>
        </w:rPr>
        <w:lastRenderedPageBreak/>
        <w:t>за счет создания виртуальной (цифровой) модели всего цикла пр</w:t>
      </w:r>
      <w:r w:rsidRPr="00281602">
        <w:rPr>
          <w:rFonts w:eastAsia="Calibri"/>
          <w:sz w:val="22"/>
          <w:szCs w:val="22"/>
          <w:lang w:eastAsia="en-US"/>
        </w:rPr>
        <w:t>о</w:t>
      </w:r>
      <w:r w:rsidRPr="00281602">
        <w:rPr>
          <w:rFonts w:eastAsia="Calibri"/>
          <w:sz w:val="22"/>
          <w:szCs w:val="22"/>
          <w:lang w:eastAsia="en-US"/>
        </w:rPr>
        <w:t>изводства и взаимосвязанных звеньев цепочки создания стоимости, и с математической точностью планировать график работ, прин</w:t>
      </w:r>
      <w:r w:rsidRPr="00281602">
        <w:rPr>
          <w:rFonts w:eastAsia="Calibri"/>
          <w:sz w:val="22"/>
          <w:szCs w:val="22"/>
          <w:lang w:eastAsia="en-US"/>
        </w:rPr>
        <w:t>и</w:t>
      </w:r>
      <w:r w:rsidRPr="00281602">
        <w:rPr>
          <w:rFonts w:eastAsia="Calibri"/>
          <w:sz w:val="22"/>
          <w:szCs w:val="22"/>
          <w:lang w:eastAsia="en-US"/>
        </w:rPr>
        <w:t>мать экстренные меры для предотвращения потерь вслучае зафи</w:t>
      </w:r>
      <w:r w:rsidRPr="00281602">
        <w:rPr>
          <w:rFonts w:eastAsia="Calibri"/>
          <w:sz w:val="22"/>
          <w:szCs w:val="22"/>
          <w:lang w:eastAsia="en-US"/>
        </w:rPr>
        <w:t>к</w:t>
      </w:r>
      <w:r w:rsidRPr="00281602">
        <w:rPr>
          <w:rFonts w:eastAsia="Calibri"/>
          <w:sz w:val="22"/>
          <w:szCs w:val="22"/>
          <w:lang w:eastAsia="en-US"/>
        </w:rPr>
        <w:t>сированной угрозы, просчитывать возможную урожайность, себ</w:t>
      </w:r>
      <w:r w:rsidRPr="00281602">
        <w:rPr>
          <w:rFonts w:eastAsia="Calibri"/>
          <w:sz w:val="22"/>
          <w:szCs w:val="22"/>
          <w:lang w:eastAsia="en-US"/>
        </w:rPr>
        <w:t>е</w:t>
      </w:r>
      <w:r w:rsidRPr="00281602">
        <w:rPr>
          <w:rFonts w:eastAsia="Calibri"/>
          <w:sz w:val="22"/>
          <w:szCs w:val="22"/>
          <w:lang w:eastAsia="en-US"/>
        </w:rPr>
        <w:t>стоимость производства и прибыль.</w:t>
      </w:r>
    </w:p>
    <w:p w:rsidR="00281602" w:rsidRPr="00281602" w:rsidRDefault="00281602" w:rsidP="00281602">
      <w:pPr>
        <w:widowControl w:val="0"/>
        <w:autoSpaceDE w:val="0"/>
        <w:autoSpaceDN w:val="0"/>
        <w:adjustRightInd w:val="0"/>
        <w:ind w:firstLine="425"/>
        <w:jc w:val="both"/>
        <w:rPr>
          <w:rFonts w:eastAsia="Calibri"/>
          <w:color w:val="000000"/>
          <w:sz w:val="22"/>
          <w:szCs w:val="22"/>
          <w:lang w:eastAsia="en-US"/>
        </w:rPr>
      </w:pPr>
    </w:p>
    <w:p w:rsidR="00281602" w:rsidRPr="00281602" w:rsidRDefault="00281602" w:rsidP="00281602">
      <w:pPr>
        <w:widowControl w:val="0"/>
        <w:autoSpaceDE w:val="0"/>
        <w:autoSpaceDN w:val="0"/>
        <w:adjustRightInd w:val="0"/>
        <w:ind w:firstLine="425"/>
        <w:jc w:val="center"/>
        <w:rPr>
          <w:rFonts w:eastAsia="Calibri"/>
          <w:color w:val="000000"/>
          <w:sz w:val="22"/>
          <w:szCs w:val="22"/>
          <w:lang w:eastAsia="en-US"/>
        </w:rPr>
      </w:pPr>
      <w:r w:rsidRPr="00281602">
        <w:rPr>
          <w:rFonts w:eastAsia="Calibri"/>
          <w:color w:val="000000"/>
          <w:sz w:val="22"/>
          <w:szCs w:val="22"/>
          <w:lang w:eastAsia="en-US"/>
        </w:rPr>
        <w:t>Список литературы</w:t>
      </w:r>
    </w:p>
    <w:p w:rsidR="00281602" w:rsidRPr="00281602" w:rsidRDefault="00281602" w:rsidP="00281602">
      <w:pPr>
        <w:widowControl w:val="0"/>
        <w:autoSpaceDE w:val="0"/>
        <w:autoSpaceDN w:val="0"/>
        <w:adjustRightInd w:val="0"/>
        <w:ind w:firstLine="425"/>
        <w:contextualSpacing/>
        <w:jc w:val="both"/>
        <w:rPr>
          <w:rFonts w:eastAsia="Calibri"/>
          <w:color w:val="000000"/>
          <w:sz w:val="22"/>
          <w:szCs w:val="22"/>
          <w:lang w:eastAsia="en-US"/>
        </w:rPr>
      </w:pPr>
      <w:r w:rsidRPr="00281602">
        <w:rPr>
          <w:rFonts w:eastAsia="Calibri"/>
          <w:color w:val="000000"/>
          <w:sz w:val="22"/>
          <w:szCs w:val="22"/>
          <w:lang w:eastAsia="en-US"/>
        </w:rPr>
        <w:t xml:space="preserve">1. Олешко Р.Б. </w:t>
      </w:r>
      <w:r w:rsidRPr="00281602">
        <w:rPr>
          <w:rFonts w:eastAsia="Calibri"/>
          <w:bCs/>
          <w:color w:val="000000"/>
          <w:sz w:val="22"/>
          <w:szCs w:val="22"/>
          <w:lang w:eastAsia="en-US"/>
        </w:rPr>
        <w:t>Конструирование и программирование устро</w:t>
      </w:r>
      <w:r w:rsidRPr="00281602">
        <w:rPr>
          <w:rFonts w:eastAsia="Calibri"/>
          <w:bCs/>
          <w:color w:val="000000"/>
          <w:sz w:val="22"/>
          <w:szCs w:val="22"/>
          <w:lang w:eastAsia="en-US"/>
        </w:rPr>
        <w:t>й</w:t>
      </w:r>
      <w:r w:rsidRPr="00281602">
        <w:rPr>
          <w:rFonts w:eastAsia="Calibri"/>
          <w:bCs/>
          <w:color w:val="000000"/>
          <w:sz w:val="22"/>
          <w:szCs w:val="22"/>
          <w:lang w:eastAsia="en-US"/>
        </w:rPr>
        <w:t xml:space="preserve">ства для слепоглухих на основе </w:t>
      </w:r>
      <w:r w:rsidRPr="00281602">
        <w:rPr>
          <w:rFonts w:eastAsia="Calibri"/>
          <w:bCs/>
          <w:color w:val="000000"/>
          <w:sz w:val="22"/>
          <w:szCs w:val="22"/>
          <w:lang w:val="en-US" w:eastAsia="en-US"/>
        </w:rPr>
        <w:t>A</w:t>
      </w:r>
      <w:r w:rsidRPr="00281602">
        <w:rPr>
          <w:rFonts w:eastAsia="Calibri"/>
          <w:bCs/>
          <w:color w:val="000000"/>
          <w:sz w:val="22"/>
          <w:szCs w:val="22"/>
          <w:lang w:eastAsia="en-US"/>
        </w:rPr>
        <w:t xml:space="preserve">rduino / </w:t>
      </w:r>
      <w:r w:rsidRPr="00281602">
        <w:rPr>
          <w:rFonts w:eastAsia="Calibri"/>
          <w:color w:val="000000"/>
          <w:sz w:val="22"/>
          <w:szCs w:val="22"/>
          <w:lang w:eastAsia="en-US"/>
        </w:rPr>
        <w:t>Р.Б. Олешко,  </w:t>
      </w:r>
      <w:r w:rsidRPr="00281602">
        <w:rPr>
          <w:rFonts w:eastAsia="Calibri"/>
          <w:bCs/>
          <w:color w:val="000000"/>
          <w:sz w:val="22"/>
          <w:szCs w:val="22"/>
          <w:lang w:eastAsia="en-US"/>
        </w:rPr>
        <w:t>Аль Зуба</w:t>
      </w:r>
      <w:r w:rsidRPr="00281602">
        <w:rPr>
          <w:rFonts w:eastAsia="Calibri"/>
          <w:bCs/>
          <w:color w:val="000000"/>
          <w:sz w:val="22"/>
          <w:szCs w:val="22"/>
          <w:lang w:eastAsia="en-US"/>
        </w:rPr>
        <w:t>й</w:t>
      </w:r>
      <w:r w:rsidRPr="00281602">
        <w:rPr>
          <w:rFonts w:eastAsia="Calibri"/>
          <w:bCs/>
          <w:color w:val="000000"/>
          <w:sz w:val="22"/>
          <w:szCs w:val="22"/>
          <w:lang w:eastAsia="en-US"/>
        </w:rPr>
        <w:t>диМуртада Халил Ибрагим // Инструменты современной научной деятельности. Сборник статей по итогам Международной научно-практической конференции: в 2 частях – 2017. – С. 45-48</w:t>
      </w:r>
    </w:p>
    <w:p w:rsidR="00281602" w:rsidRPr="00281602" w:rsidRDefault="00281602" w:rsidP="00281602">
      <w:pPr>
        <w:widowControl w:val="0"/>
        <w:autoSpaceDE w:val="0"/>
        <w:autoSpaceDN w:val="0"/>
        <w:adjustRightInd w:val="0"/>
        <w:ind w:firstLine="425"/>
        <w:contextualSpacing/>
        <w:jc w:val="both"/>
        <w:rPr>
          <w:rFonts w:eastAsia="Calibri"/>
          <w:color w:val="000000"/>
          <w:sz w:val="22"/>
          <w:szCs w:val="22"/>
          <w:lang w:eastAsia="en-US"/>
        </w:rPr>
      </w:pPr>
      <w:r w:rsidRPr="00281602">
        <w:rPr>
          <w:rFonts w:eastAsia="Calibri"/>
          <w:color w:val="000000"/>
          <w:sz w:val="22"/>
          <w:szCs w:val="22"/>
          <w:lang w:eastAsia="en-US"/>
        </w:rPr>
        <w:t>2. Фешина Е.В. Интеллектуальные системы как средство авт</w:t>
      </w:r>
      <w:r w:rsidRPr="00281602">
        <w:rPr>
          <w:rFonts w:eastAsia="Calibri"/>
          <w:color w:val="000000"/>
          <w:sz w:val="22"/>
          <w:szCs w:val="22"/>
          <w:lang w:eastAsia="en-US"/>
        </w:rPr>
        <w:t>о</w:t>
      </w:r>
      <w:r w:rsidRPr="00281602">
        <w:rPr>
          <w:rFonts w:eastAsia="Calibri"/>
          <w:color w:val="000000"/>
          <w:sz w:val="22"/>
          <w:szCs w:val="22"/>
          <w:lang w:eastAsia="en-US"/>
        </w:rPr>
        <w:t>матизации личного подсобного хозяйства / Е.В. Фешина, Д.А. Омельченко // Научное обеспечение агропромышленного ко</w:t>
      </w:r>
      <w:r w:rsidRPr="00281602">
        <w:rPr>
          <w:rFonts w:eastAsia="Calibri"/>
          <w:color w:val="000000"/>
          <w:sz w:val="22"/>
          <w:szCs w:val="22"/>
          <w:lang w:eastAsia="en-US"/>
        </w:rPr>
        <w:t>м</w:t>
      </w:r>
      <w:r w:rsidRPr="00281602">
        <w:rPr>
          <w:rFonts w:eastAsia="Calibri"/>
          <w:color w:val="000000"/>
          <w:sz w:val="22"/>
          <w:szCs w:val="22"/>
          <w:lang w:eastAsia="en-US"/>
        </w:rPr>
        <w:t>плекса.  Сборник статей по материалам Всероссийской конфере</w:t>
      </w:r>
      <w:r w:rsidRPr="00281602">
        <w:rPr>
          <w:rFonts w:eastAsia="Calibri"/>
          <w:color w:val="000000"/>
          <w:sz w:val="22"/>
          <w:szCs w:val="22"/>
          <w:lang w:eastAsia="en-US"/>
        </w:rPr>
        <w:t>н</w:t>
      </w:r>
      <w:r w:rsidRPr="00281602">
        <w:rPr>
          <w:rFonts w:eastAsia="Calibri"/>
          <w:color w:val="000000"/>
          <w:sz w:val="22"/>
          <w:szCs w:val="22"/>
          <w:lang w:eastAsia="en-US"/>
        </w:rPr>
        <w:t>ции молодых ученых, посвященных 95-летию Кубанского ГАУ и 80-летию со дня образования Краснодарского края. Ответственный за выпуск Г. Кощаев. – 2017. – С. 267-268.</w:t>
      </w:r>
    </w:p>
    <w:p w:rsidR="00281602" w:rsidRPr="00281602" w:rsidRDefault="00281602" w:rsidP="00281602">
      <w:pPr>
        <w:widowControl w:val="0"/>
        <w:autoSpaceDE w:val="0"/>
        <w:autoSpaceDN w:val="0"/>
        <w:adjustRightInd w:val="0"/>
        <w:ind w:firstLine="425"/>
        <w:contextualSpacing/>
        <w:jc w:val="both"/>
        <w:rPr>
          <w:rFonts w:eastAsia="Calibri"/>
          <w:color w:val="000000"/>
          <w:sz w:val="22"/>
          <w:szCs w:val="22"/>
          <w:lang w:eastAsia="en-US"/>
        </w:rPr>
      </w:pPr>
      <w:r w:rsidRPr="00281602">
        <w:rPr>
          <w:rFonts w:eastAsia="Calibri"/>
          <w:color w:val="000000"/>
          <w:sz w:val="22"/>
          <w:szCs w:val="22"/>
          <w:lang w:eastAsia="en-US"/>
        </w:rPr>
        <w:t xml:space="preserve">3. Общеобразовательное сообщество [Электронный ресурс] / Спецификация LoRaWAN. Введение. Основные понятия </w:t>
      </w:r>
      <w:r w:rsidRPr="00281602">
        <w:rPr>
          <w:rFonts w:eastAsia="Calibri"/>
          <w:color w:val="000000"/>
          <w:sz w:val="22"/>
          <w:szCs w:val="22"/>
          <w:lang w:eastAsia="en-US"/>
        </w:rPr>
        <w:br/>
        <w:t>и классы конечных устройств – Режим доступа: https://habrahabr.ru/company/efo/blog/316954/. Зак. с экрана. - Яз.рус.</w:t>
      </w:r>
    </w:p>
    <w:p w:rsidR="00281602" w:rsidRPr="00281602" w:rsidRDefault="00281602" w:rsidP="00281602">
      <w:pPr>
        <w:ind w:firstLine="425"/>
        <w:jc w:val="both"/>
        <w:rPr>
          <w:rFonts w:eastAsia="Calibri"/>
          <w:sz w:val="22"/>
          <w:szCs w:val="22"/>
          <w:lang w:eastAsia="en-US"/>
        </w:rPr>
      </w:pPr>
    </w:p>
    <w:p w:rsidR="003B37B7" w:rsidRPr="00281602" w:rsidRDefault="00CC1F5C" w:rsidP="00CC1F5C">
      <w:pPr>
        <w:rPr>
          <w:rFonts w:eastAsia="Calibri"/>
          <w:sz w:val="22"/>
          <w:szCs w:val="22"/>
          <w:lang w:eastAsia="en-US"/>
        </w:rPr>
      </w:pPr>
      <w:r>
        <w:rPr>
          <w:rFonts w:eastAsia="Calibri"/>
          <w:sz w:val="22"/>
          <w:szCs w:val="22"/>
          <w:lang w:eastAsia="en-US"/>
        </w:rPr>
        <w:br w:type="page"/>
      </w: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631.1</w:t>
      </w:r>
    </w:p>
    <w:p w:rsidR="00281602" w:rsidRPr="00281602" w:rsidRDefault="00281602" w:rsidP="00281602">
      <w:pPr>
        <w:ind w:firstLine="425"/>
        <w:jc w:val="both"/>
        <w:rPr>
          <w:rFonts w:eastAsia="Calibri"/>
          <w:b/>
          <w:sz w:val="24"/>
          <w:szCs w:val="24"/>
          <w:lang w:eastAsia="en-US"/>
        </w:rPr>
      </w:pPr>
    </w:p>
    <w:p w:rsidR="00281602" w:rsidRPr="00281602" w:rsidRDefault="00281602" w:rsidP="00281602">
      <w:pPr>
        <w:ind w:firstLine="425"/>
        <w:jc w:val="center"/>
        <w:rPr>
          <w:rFonts w:eastAsia="Calibri"/>
          <w:b/>
          <w:sz w:val="24"/>
          <w:szCs w:val="24"/>
          <w:lang w:eastAsia="en-US"/>
        </w:rPr>
      </w:pPr>
      <w:r w:rsidRPr="00281602">
        <w:rPr>
          <w:rFonts w:eastAsia="Calibri"/>
          <w:b/>
          <w:sz w:val="24"/>
          <w:szCs w:val="24"/>
          <w:lang w:eastAsia="en-US"/>
        </w:rPr>
        <w:t xml:space="preserve">Внедрение новых </w:t>
      </w:r>
      <w:r w:rsidRPr="00281602">
        <w:rPr>
          <w:rFonts w:eastAsia="Calibri"/>
          <w:b/>
          <w:sz w:val="24"/>
          <w:szCs w:val="24"/>
          <w:lang w:val="en-US" w:eastAsia="en-US"/>
        </w:rPr>
        <w:t>IT</w:t>
      </w:r>
      <w:r w:rsidRPr="00281602">
        <w:rPr>
          <w:rFonts w:eastAsia="Calibri"/>
          <w:b/>
          <w:sz w:val="24"/>
          <w:szCs w:val="24"/>
          <w:lang w:eastAsia="en-US"/>
        </w:rPr>
        <w:t>- технологий  как фактор развития личных подсобных хозяйств</w:t>
      </w:r>
    </w:p>
    <w:p w:rsidR="00281602" w:rsidRPr="00281602" w:rsidRDefault="00281602" w:rsidP="00281602">
      <w:pPr>
        <w:ind w:firstLine="425"/>
        <w:jc w:val="center"/>
        <w:rPr>
          <w:rFonts w:eastAsia="Calibri"/>
          <w:b/>
          <w:sz w:val="24"/>
          <w:szCs w:val="24"/>
          <w:lang w:val="en-US" w:eastAsia="en-US"/>
        </w:rPr>
      </w:pPr>
      <w:r w:rsidRPr="00281602">
        <w:rPr>
          <w:rFonts w:eastAsia="Calibri"/>
          <w:b/>
          <w:sz w:val="24"/>
          <w:szCs w:val="24"/>
          <w:lang w:val="en-US" w:eastAsia="en-US"/>
        </w:rPr>
        <w:t>The introduction of new IT - technologies as a factor of development of personal subsidiary farms</w:t>
      </w:r>
    </w:p>
    <w:p w:rsidR="00281602" w:rsidRPr="00281602" w:rsidRDefault="00281602" w:rsidP="00281602">
      <w:pPr>
        <w:ind w:firstLine="425"/>
        <w:jc w:val="both"/>
        <w:rPr>
          <w:rFonts w:eastAsia="Calibri"/>
          <w:b/>
          <w:sz w:val="24"/>
          <w:szCs w:val="24"/>
          <w:lang w:val="en-US" w:eastAsia="en-US"/>
        </w:rPr>
      </w:pPr>
    </w:p>
    <w:p w:rsidR="00281602" w:rsidRPr="00281602" w:rsidRDefault="00281602" w:rsidP="00281602">
      <w:pPr>
        <w:jc w:val="right"/>
        <w:rPr>
          <w:rFonts w:eastAsia="Calibri"/>
          <w:sz w:val="22"/>
          <w:szCs w:val="22"/>
          <w:lang w:eastAsia="en-US"/>
        </w:rPr>
      </w:pPr>
      <w:r w:rsidRPr="00281602">
        <w:rPr>
          <w:rFonts w:eastAsia="Calibri"/>
          <w:sz w:val="22"/>
          <w:szCs w:val="22"/>
          <w:lang w:eastAsia="en-US"/>
        </w:rPr>
        <w:t>Омельченко Д. А.,</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alibri"/>
          <w:sz w:val="22"/>
          <w:szCs w:val="22"/>
          <w:lang w:eastAsia="en-US"/>
        </w:rPr>
        <w:t xml:space="preserve">студент 2-го курса факультета прикладной информатики </w:t>
      </w:r>
      <w:r w:rsidRPr="00281602">
        <w:rPr>
          <w:rFonts w:eastAsia="Calibri"/>
          <w:sz w:val="22"/>
          <w:szCs w:val="22"/>
          <w:lang w:eastAsia="en-US"/>
        </w:rPr>
        <w:br/>
      </w:r>
      <w:r w:rsidRPr="00281602">
        <w:rPr>
          <w:rFonts w:eastAsia="Courier New"/>
          <w:color w:val="000000"/>
          <w:sz w:val="22"/>
          <w:szCs w:val="22"/>
          <w:lang w:eastAsia="en-US"/>
        </w:rPr>
        <w:t>Кубанский государственный 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jc w:val="right"/>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АННОТАЦИЯ: автоматизация сельскохозяйственного труда, оснащение личных подсобных хозяйств доступными по стоимости устройствами, датчиками и другими современными </w:t>
      </w:r>
      <w:r w:rsidRPr="00281602">
        <w:rPr>
          <w:rFonts w:eastAsia="Calibri"/>
          <w:sz w:val="22"/>
          <w:szCs w:val="22"/>
          <w:lang w:val="en-US" w:eastAsia="en-US"/>
        </w:rPr>
        <w:t>IT</w:t>
      </w:r>
      <w:r w:rsidRPr="00281602">
        <w:rPr>
          <w:rFonts w:eastAsia="Calibri"/>
          <w:sz w:val="22"/>
          <w:szCs w:val="22"/>
          <w:lang w:eastAsia="en-US"/>
        </w:rPr>
        <w:t>-технологиями позволят сделать качественный рывок в своем разв</w:t>
      </w:r>
      <w:r w:rsidRPr="00281602">
        <w:rPr>
          <w:rFonts w:eastAsia="Calibri"/>
          <w:sz w:val="22"/>
          <w:szCs w:val="22"/>
          <w:lang w:eastAsia="en-US"/>
        </w:rPr>
        <w:t>и</w:t>
      </w:r>
      <w:r w:rsidRPr="00281602">
        <w:rPr>
          <w:rFonts w:eastAsia="Calibri"/>
          <w:sz w:val="22"/>
          <w:szCs w:val="22"/>
          <w:lang w:eastAsia="en-US"/>
        </w:rPr>
        <w:t>тии и выйти на мировой уровень.</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ABSTRACT: automation of agricultural production equipment of private farms affordable devices, sensors and other modern IT-technologies allow to make a qualitative leap in its development and go global.</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автоматизация, личное подсобное х</w:t>
      </w:r>
      <w:r w:rsidRPr="00281602">
        <w:rPr>
          <w:rFonts w:eastAsia="Calibri"/>
          <w:sz w:val="22"/>
          <w:szCs w:val="22"/>
          <w:lang w:eastAsia="en-US"/>
        </w:rPr>
        <w:t>о</w:t>
      </w:r>
      <w:r w:rsidRPr="00281602">
        <w:rPr>
          <w:rFonts w:eastAsia="Calibri"/>
          <w:sz w:val="22"/>
          <w:szCs w:val="22"/>
          <w:lang w:eastAsia="en-US"/>
        </w:rPr>
        <w:t xml:space="preserve">зяйство, </w:t>
      </w:r>
      <w:r w:rsidRPr="00281602">
        <w:rPr>
          <w:rFonts w:eastAsia="Calibri"/>
          <w:sz w:val="22"/>
          <w:szCs w:val="22"/>
          <w:lang w:val="en-US" w:eastAsia="en-US"/>
        </w:rPr>
        <w:t>IT</w:t>
      </w:r>
      <w:r w:rsidRPr="00281602">
        <w:rPr>
          <w:rFonts w:eastAsia="Calibri"/>
          <w:sz w:val="22"/>
          <w:szCs w:val="22"/>
          <w:lang w:eastAsia="en-US"/>
        </w:rPr>
        <w:t>-технологии, нейротехнологии.</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automation, private farming, IT technologies, nan</w:t>
      </w:r>
      <w:r w:rsidRPr="00281602">
        <w:rPr>
          <w:rFonts w:eastAsia="Calibri"/>
          <w:sz w:val="22"/>
          <w:szCs w:val="22"/>
          <w:lang w:val="en-US" w:eastAsia="en-US"/>
        </w:rPr>
        <w:t>o</w:t>
      </w:r>
      <w:r w:rsidRPr="00281602">
        <w:rPr>
          <w:rFonts w:eastAsia="Calibri"/>
          <w:sz w:val="22"/>
          <w:szCs w:val="22"/>
          <w:lang w:val="en-US" w:eastAsia="en-US"/>
        </w:rPr>
        <w:t>tehnologii.</w:t>
      </w:r>
    </w:p>
    <w:p w:rsidR="00281602" w:rsidRPr="00281602" w:rsidRDefault="00281602" w:rsidP="00281602">
      <w:pPr>
        <w:ind w:firstLine="425"/>
        <w:jc w:val="both"/>
        <w:rPr>
          <w:rFonts w:eastAsia="Calibri"/>
          <w:sz w:val="22"/>
          <w:szCs w:val="22"/>
          <w:lang w:val="en-US" w:eastAsia="en-US"/>
        </w:rPr>
      </w:pPr>
    </w:p>
    <w:p w:rsidR="00281602" w:rsidRPr="00281602" w:rsidRDefault="003B37B7" w:rsidP="00281602">
      <w:pPr>
        <w:ind w:firstLine="425"/>
        <w:jc w:val="both"/>
        <w:rPr>
          <w:rFonts w:eastAsia="Calibri"/>
          <w:sz w:val="22"/>
          <w:szCs w:val="22"/>
          <w:lang w:eastAsia="en-US"/>
        </w:rPr>
      </w:pPr>
      <w:r>
        <w:rPr>
          <w:rFonts w:eastAsia="Calibri"/>
          <w:sz w:val="22"/>
          <w:szCs w:val="22"/>
          <w:lang w:eastAsia="en-US"/>
        </w:rPr>
        <w:t>В Федеральном Законе</w:t>
      </w:r>
      <w:r w:rsidR="00281602" w:rsidRPr="00281602">
        <w:rPr>
          <w:rFonts w:eastAsia="Calibri"/>
          <w:sz w:val="22"/>
          <w:szCs w:val="22"/>
          <w:lang w:eastAsia="en-US"/>
        </w:rPr>
        <w:t xml:space="preserve"> «О личном подсобном хозяйстве», пр</w:t>
      </w:r>
      <w:r w:rsidR="00281602" w:rsidRPr="00281602">
        <w:rPr>
          <w:rFonts w:eastAsia="Calibri"/>
          <w:sz w:val="22"/>
          <w:szCs w:val="22"/>
          <w:lang w:eastAsia="en-US"/>
        </w:rPr>
        <w:t>и</w:t>
      </w:r>
      <w:r w:rsidR="00281602" w:rsidRPr="00281602">
        <w:rPr>
          <w:rFonts w:eastAsia="Calibri"/>
          <w:sz w:val="22"/>
          <w:szCs w:val="22"/>
          <w:lang w:eastAsia="en-US"/>
        </w:rPr>
        <w:t>нятом Государственной Думой в 2003 году и одобренном Советом Федерации дано определение личного подсобного хозяйства: «Ли</w:t>
      </w:r>
      <w:r w:rsidR="00281602" w:rsidRPr="00281602">
        <w:rPr>
          <w:rFonts w:eastAsia="Calibri"/>
          <w:sz w:val="22"/>
          <w:szCs w:val="22"/>
          <w:lang w:eastAsia="en-US"/>
        </w:rPr>
        <w:t>ч</w:t>
      </w:r>
      <w:r w:rsidR="00281602" w:rsidRPr="00281602">
        <w:rPr>
          <w:rFonts w:eastAsia="Calibri"/>
          <w:sz w:val="22"/>
          <w:szCs w:val="22"/>
          <w:lang w:eastAsia="en-US"/>
        </w:rPr>
        <w:t>н</w:t>
      </w:r>
      <w:r>
        <w:rPr>
          <w:rFonts w:eastAsia="Calibri"/>
          <w:sz w:val="22"/>
          <w:szCs w:val="22"/>
          <w:lang w:eastAsia="en-US"/>
        </w:rPr>
        <w:t xml:space="preserve">ое подсобное хозяйство – форма </w:t>
      </w:r>
      <w:r w:rsidR="00281602" w:rsidRPr="00281602">
        <w:rPr>
          <w:rFonts w:eastAsia="Calibri"/>
          <w:sz w:val="22"/>
          <w:szCs w:val="22"/>
          <w:lang w:eastAsia="en-US"/>
        </w:rPr>
        <w:t>непредпринимательской деятел</w:t>
      </w:r>
      <w:r w:rsidR="00281602" w:rsidRPr="00281602">
        <w:rPr>
          <w:rFonts w:eastAsia="Calibri"/>
          <w:sz w:val="22"/>
          <w:szCs w:val="22"/>
          <w:lang w:eastAsia="en-US"/>
        </w:rPr>
        <w:t>ь</w:t>
      </w:r>
      <w:r>
        <w:rPr>
          <w:rFonts w:eastAsia="Calibri"/>
          <w:sz w:val="22"/>
          <w:szCs w:val="22"/>
          <w:lang w:eastAsia="en-US"/>
        </w:rPr>
        <w:t>ности по производству и</w:t>
      </w:r>
      <w:r w:rsidR="00281602" w:rsidRPr="00281602">
        <w:rPr>
          <w:rFonts w:eastAsia="Calibri"/>
          <w:sz w:val="22"/>
          <w:szCs w:val="22"/>
          <w:lang w:eastAsia="en-US"/>
        </w:rPr>
        <w:t xml:space="preserve"> переработке сельскохозяйственной пр</w:t>
      </w:r>
      <w:r w:rsidR="00281602" w:rsidRPr="00281602">
        <w:rPr>
          <w:rFonts w:eastAsia="Calibri"/>
          <w:sz w:val="22"/>
          <w:szCs w:val="22"/>
          <w:lang w:eastAsia="en-US"/>
        </w:rPr>
        <w:t>о</w:t>
      </w:r>
      <w:r w:rsidR="00281602" w:rsidRPr="00281602">
        <w:rPr>
          <w:rFonts w:eastAsia="Calibri"/>
          <w:sz w:val="22"/>
          <w:szCs w:val="22"/>
          <w:lang w:eastAsia="en-US"/>
        </w:rPr>
        <w:t>дукции»[1]. Несмотря на то, что аграрный сектор сегодня стрем</w:t>
      </w:r>
      <w:r w:rsidR="00281602" w:rsidRPr="00281602">
        <w:rPr>
          <w:rFonts w:eastAsia="Calibri"/>
          <w:sz w:val="22"/>
          <w:szCs w:val="22"/>
          <w:lang w:eastAsia="en-US"/>
        </w:rPr>
        <w:t>и</w:t>
      </w:r>
      <w:r>
        <w:rPr>
          <w:rFonts w:eastAsia="Calibri"/>
          <w:sz w:val="22"/>
          <w:szCs w:val="22"/>
          <w:lang w:eastAsia="en-US"/>
        </w:rPr>
        <w:t xml:space="preserve">тельно развивается, </w:t>
      </w:r>
      <w:r w:rsidR="00281602" w:rsidRPr="00281602">
        <w:rPr>
          <w:rFonts w:eastAsia="Calibri"/>
          <w:sz w:val="22"/>
          <w:szCs w:val="22"/>
          <w:lang w:eastAsia="en-US"/>
        </w:rPr>
        <w:t xml:space="preserve">бурного роста в личных подсобных хозяйствах (ЛПХ) не наблюдается.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сельской местности, где нет крупных или средних сельск</w:t>
      </w:r>
      <w:r w:rsidRPr="00281602">
        <w:rPr>
          <w:rFonts w:eastAsia="Calibri"/>
          <w:sz w:val="22"/>
          <w:szCs w:val="22"/>
          <w:lang w:eastAsia="en-US"/>
        </w:rPr>
        <w:t>о</w:t>
      </w:r>
      <w:r w:rsidRPr="00281602">
        <w:rPr>
          <w:rFonts w:eastAsia="Calibri"/>
          <w:sz w:val="22"/>
          <w:szCs w:val="22"/>
          <w:lang w:eastAsia="en-US"/>
        </w:rPr>
        <w:t>хозяйственных или промышленных предприятий, личные подсо</w:t>
      </w:r>
      <w:r w:rsidRPr="00281602">
        <w:rPr>
          <w:rFonts w:eastAsia="Calibri"/>
          <w:sz w:val="22"/>
          <w:szCs w:val="22"/>
          <w:lang w:eastAsia="en-US"/>
        </w:rPr>
        <w:t>б</w:t>
      </w:r>
      <w:r w:rsidRPr="00281602">
        <w:rPr>
          <w:rFonts w:eastAsia="Calibri"/>
          <w:sz w:val="22"/>
          <w:szCs w:val="22"/>
          <w:lang w:eastAsia="en-US"/>
        </w:rPr>
        <w:t>ные хозяйства являются основной, а в некоторых случаях и еди</w:t>
      </w:r>
      <w:r w:rsidRPr="00281602">
        <w:rPr>
          <w:rFonts w:eastAsia="Calibri"/>
          <w:sz w:val="22"/>
          <w:szCs w:val="22"/>
          <w:lang w:eastAsia="en-US"/>
        </w:rPr>
        <w:t>н</w:t>
      </w:r>
      <w:r w:rsidRPr="00281602">
        <w:rPr>
          <w:rFonts w:eastAsia="Calibri"/>
          <w:sz w:val="22"/>
          <w:szCs w:val="22"/>
          <w:lang w:eastAsia="en-US"/>
        </w:rPr>
        <w:lastRenderedPageBreak/>
        <w:t>ственной, формой занятости и получения дохода в селе. Личные подсобные хозяйства можно считать такой формой организации сельского хозяйства, которая вне приоритета имеет право на сущ</w:t>
      </w:r>
      <w:r w:rsidRPr="00281602">
        <w:rPr>
          <w:rFonts w:eastAsia="Calibri"/>
          <w:sz w:val="22"/>
          <w:szCs w:val="22"/>
          <w:lang w:eastAsia="en-US"/>
        </w:rPr>
        <w:t>е</w:t>
      </w:r>
      <w:r w:rsidRPr="00281602">
        <w:rPr>
          <w:rFonts w:eastAsia="Calibri"/>
          <w:sz w:val="22"/>
          <w:szCs w:val="22"/>
          <w:lang w:eastAsia="en-US"/>
        </w:rPr>
        <w:t>ствование в будущем, но при условии решения многих проблемных направлений, и особенно автоматизации ручного тяжелого труда за счет привлечения новых IT-технологий.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Затраты ЛПХ могут быть оптимизированы с помощью цифр</w:t>
      </w:r>
      <w:r w:rsidRPr="00281602">
        <w:rPr>
          <w:rFonts w:eastAsia="Calibri"/>
          <w:sz w:val="22"/>
          <w:szCs w:val="22"/>
          <w:lang w:eastAsia="en-US"/>
        </w:rPr>
        <w:t>о</w:t>
      </w:r>
      <w:r w:rsidRPr="00281602">
        <w:rPr>
          <w:rFonts w:eastAsia="Calibri"/>
          <w:sz w:val="22"/>
          <w:szCs w:val="22"/>
          <w:lang w:eastAsia="en-US"/>
        </w:rPr>
        <w:t>вых технологий и различных информационных систем [3], что по</w:t>
      </w:r>
      <w:r w:rsidRPr="00281602">
        <w:rPr>
          <w:rFonts w:eastAsia="Calibri"/>
          <w:sz w:val="22"/>
          <w:szCs w:val="22"/>
          <w:lang w:eastAsia="en-US"/>
        </w:rPr>
        <w:t>з</w:t>
      </w:r>
      <w:r w:rsidRPr="00281602">
        <w:rPr>
          <w:rFonts w:eastAsia="Calibri"/>
          <w:sz w:val="22"/>
          <w:szCs w:val="22"/>
          <w:lang w:eastAsia="en-US"/>
        </w:rPr>
        <w:t>волит выходить на более высокий качественный и количественный уровень производства всех продовольственных товаров и повыш</w:t>
      </w:r>
      <w:r w:rsidRPr="00281602">
        <w:rPr>
          <w:rFonts w:eastAsia="Calibri"/>
          <w:sz w:val="22"/>
          <w:szCs w:val="22"/>
          <w:lang w:eastAsia="en-US"/>
        </w:rPr>
        <w:t>е</w:t>
      </w:r>
      <w:r w:rsidRPr="00281602">
        <w:rPr>
          <w:rFonts w:eastAsia="Calibri"/>
          <w:sz w:val="22"/>
          <w:szCs w:val="22"/>
          <w:lang w:eastAsia="en-US"/>
        </w:rPr>
        <w:t xml:space="preserve">ния урожайности выращиваемых растений.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Переходу ЛПХ на качественный уровень поможет внедрение технологий </w:t>
      </w:r>
      <w:r w:rsidRPr="00281602">
        <w:rPr>
          <w:rFonts w:eastAsia="Calibri"/>
          <w:sz w:val="22"/>
          <w:szCs w:val="22"/>
          <w:lang w:val="en-US" w:eastAsia="en-US"/>
        </w:rPr>
        <w:t>IoT</w:t>
      </w:r>
      <w:r w:rsidRPr="00281602">
        <w:rPr>
          <w:rFonts w:eastAsia="Calibri"/>
          <w:sz w:val="22"/>
          <w:szCs w:val="22"/>
          <w:lang w:eastAsia="en-US"/>
        </w:rPr>
        <w:t xml:space="preserve">, использование микроконтроллеров </w:t>
      </w:r>
      <w:r w:rsidRPr="00281602">
        <w:rPr>
          <w:rFonts w:eastAsia="Calibri"/>
          <w:sz w:val="22"/>
          <w:szCs w:val="22"/>
          <w:lang w:val="en-US" w:eastAsia="en-US"/>
        </w:rPr>
        <w:t>Arduino</w:t>
      </w:r>
      <w:r w:rsidRPr="00281602">
        <w:rPr>
          <w:rFonts w:eastAsia="Calibri"/>
          <w:sz w:val="22"/>
          <w:szCs w:val="22"/>
          <w:lang w:eastAsia="en-US"/>
        </w:rPr>
        <w:t xml:space="preserve"> с по</w:t>
      </w:r>
      <w:r w:rsidRPr="00281602">
        <w:rPr>
          <w:rFonts w:eastAsia="Calibri"/>
          <w:sz w:val="22"/>
          <w:szCs w:val="22"/>
          <w:lang w:eastAsia="en-US"/>
        </w:rPr>
        <w:t>д</w:t>
      </w:r>
      <w:r w:rsidRPr="00281602">
        <w:rPr>
          <w:rFonts w:eastAsia="Calibri"/>
          <w:sz w:val="22"/>
          <w:szCs w:val="22"/>
          <w:lang w:eastAsia="en-US"/>
        </w:rPr>
        <w:t>ключенными различными датчиками. Представленные российскими разработчиками системы «Умная теплица», «Умный полив», «У</w:t>
      </w:r>
      <w:r w:rsidRPr="00281602">
        <w:rPr>
          <w:rFonts w:eastAsia="Calibri"/>
          <w:sz w:val="22"/>
          <w:szCs w:val="22"/>
          <w:lang w:eastAsia="en-US"/>
        </w:rPr>
        <w:t>м</w:t>
      </w:r>
      <w:r w:rsidRPr="00281602">
        <w:rPr>
          <w:rFonts w:eastAsia="Calibri"/>
          <w:sz w:val="22"/>
          <w:szCs w:val="22"/>
          <w:lang w:eastAsia="en-US"/>
        </w:rPr>
        <w:t xml:space="preserve">ный птичник» и другие, построенные на основе </w:t>
      </w:r>
      <w:r w:rsidRPr="00281602">
        <w:rPr>
          <w:rFonts w:eastAsia="Calibri"/>
          <w:sz w:val="22"/>
          <w:szCs w:val="22"/>
          <w:lang w:val="en-US" w:eastAsia="en-US"/>
        </w:rPr>
        <w:t>Arduino</w:t>
      </w:r>
      <w:r w:rsidRPr="00281602">
        <w:rPr>
          <w:rFonts w:eastAsia="Calibri"/>
          <w:sz w:val="22"/>
          <w:szCs w:val="22"/>
          <w:lang w:eastAsia="en-US"/>
        </w:rPr>
        <w:t xml:space="preserve">  вполне д</w:t>
      </w:r>
      <w:r w:rsidRPr="00281602">
        <w:rPr>
          <w:rFonts w:eastAsia="Calibri"/>
          <w:sz w:val="22"/>
          <w:szCs w:val="22"/>
          <w:lang w:eastAsia="en-US"/>
        </w:rPr>
        <w:t>о</w:t>
      </w:r>
      <w:r w:rsidRPr="00281602">
        <w:rPr>
          <w:rFonts w:eastAsia="Calibri"/>
          <w:sz w:val="22"/>
          <w:szCs w:val="22"/>
          <w:lang w:eastAsia="en-US"/>
        </w:rPr>
        <w:t>ступны для приобретения владельцами ЛПХ. Это несложные, надежные и не дорогостоящие системы. Пользование такими устройствами не потребует долгого обучения.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Стремительное развитие нейротехнологий [2] и искусственного интеллекта [4], робототехники и сенсорики, виртуальной реальн</w:t>
      </w:r>
      <w:r w:rsidRPr="00281602">
        <w:rPr>
          <w:rFonts w:eastAsia="Calibri"/>
          <w:sz w:val="22"/>
          <w:szCs w:val="22"/>
          <w:lang w:eastAsia="en-US"/>
        </w:rPr>
        <w:t>о</w:t>
      </w:r>
      <w:r w:rsidRPr="00281602">
        <w:rPr>
          <w:rFonts w:eastAsia="Calibri"/>
          <w:sz w:val="22"/>
          <w:szCs w:val="22"/>
          <w:lang w:eastAsia="en-US"/>
        </w:rPr>
        <w:t>сти позволят их применять для определения качества производимой продукции, особенно премиум-класса, автоматизировать труд чел</w:t>
      </w:r>
      <w:r w:rsidRPr="00281602">
        <w:rPr>
          <w:rFonts w:eastAsia="Calibri"/>
          <w:sz w:val="22"/>
          <w:szCs w:val="22"/>
          <w:lang w:eastAsia="en-US"/>
        </w:rPr>
        <w:t>о</w:t>
      </w:r>
      <w:r w:rsidRPr="00281602">
        <w:rPr>
          <w:rFonts w:eastAsia="Calibri"/>
          <w:sz w:val="22"/>
          <w:szCs w:val="22"/>
          <w:lang w:eastAsia="en-US"/>
        </w:rPr>
        <w:t>века, развивать селекцию, сделать прорыв в эффективном землед</w:t>
      </w:r>
      <w:r w:rsidRPr="00281602">
        <w:rPr>
          <w:rFonts w:eastAsia="Calibri"/>
          <w:sz w:val="22"/>
          <w:szCs w:val="22"/>
          <w:lang w:eastAsia="en-US"/>
        </w:rPr>
        <w:t>е</w:t>
      </w:r>
      <w:r w:rsidRPr="00281602">
        <w:rPr>
          <w:rFonts w:eastAsia="Calibri"/>
          <w:sz w:val="22"/>
          <w:szCs w:val="22"/>
          <w:lang w:eastAsia="en-US"/>
        </w:rPr>
        <w:t>лии, производить экологически чистую продукцию. По проведе</w:t>
      </w:r>
      <w:r w:rsidRPr="00281602">
        <w:rPr>
          <w:rFonts w:eastAsia="Calibri"/>
          <w:sz w:val="22"/>
          <w:szCs w:val="22"/>
          <w:lang w:eastAsia="en-US"/>
        </w:rPr>
        <w:t>н</w:t>
      </w:r>
      <w:r w:rsidRPr="00281602">
        <w:rPr>
          <w:rFonts w:eastAsia="Calibri"/>
          <w:sz w:val="22"/>
          <w:szCs w:val="22"/>
          <w:lang w:eastAsia="en-US"/>
        </w:rPr>
        <w:t>ным наблюдениям, в России на 1000 человек, работающих в сел</w:t>
      </w:r>
      <w:r w:rsidRPr="00281602">
        <w:rPr>
          <w:rFonts w:eastAsia="Calibri"/>
          <w:sz w:val="22"/>
          <w:szCs w:val="22"/>
          <w:lang w:eastAsia="en-US"/>
        </w:rPr>
        <w:t>ь</w:t>
      </w:r>
      <w:r w:rsidRPr="00281602">
        <w:rPr>
          <w:rFonts w:eastAsia="Calibri"/>
          <w:sz w:val="22"/>
          <w:szCs w:val="22"/>
          <w:lang w:eastAsia="en-US"/>
        </w:rPr>
        <w:t xml:space="preserve">ском хозяйстве, приходится 5 </w:t>
      </w:r>
      <w:r w:rsidRPr="00281602">
        <w:rPr>
          <w:rFonts w:eastAsia="Calibri"/>
          <w:sz w:val="22"/>
          <w:szCs w:val="22"/>
          <w:lang w:val="en-US" w:eastAsia="en-US"/>
        </w:rPr>
        <w:t>IT</w:t>
      </w:r>
      <w:r w:rsidRPr="00281602">
        <w:rPr>
          <w:rFonts w:eastAsia="Calibri"/>
          <w:sz w:val="22"/>
          <w:szCs w:val="22"/>
          <w:lang w:eastAsia="en-US"/>
        </w:rPr>
        <w:t>-специалистов, а вот в Европе этот показатель в 5 раз больше. Задача ускорения проникновения и</w:t>
      </w:r>
      <w:r w:rsidRPr="00281602">
        <w:rPr>
          <w:rFonts w:eastAsia="Calibri"/>
          <w:sz w:val="22"/>
          <w:szCs w:val="22"/>
          <w:lang w:eastAsia="en-US"/>
        </w:rPr>
        <w:t>н</w:t>
      </w:r>
      <w:r w:rsidRPr="00281602">
        <w:rPr>
          <w:rFonts w:eastAsia="Calibri"/>
          <w:sz w:val="22"/>
          <w:szCs w:val="22"/>
          <w:lang w:eastAsia="en-US"/>
        </w:rPr>
        <w:t>формационных технологий в сельскохозяйственную отрасль сег</w:t>
      </w:r>
      <w:r w:rsidRPr="00281602">
        <w:rPr>
          <w:rFonts w:eastAsia="Calibri"/>
          <w:sz w:val="22"/>
          <w:szCs w:val="22"/>
          <w:lang w:eastAsia="en-US"/>
        </w:rPr>
        <w:t>о</w:t>
      </w:r>
      <w:r w:rsidRPr="00281602">
        <w:rPr>
          <w:rFonts w:eastAsia="Calibri"/>
          <w:sz w:val="22"/>
          <w:szCs w:val="22"/>
          <w:lang w:eastAsia="en-US"/>
        </w:rPr>
        <w:t xml:space="preserve">дня является наиболее важной.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Внедрение новых передовых </w:t>
      </w:r>
      <w:r w:rsidRPr="00281602">
        <w:rPr>
          <w:rFonts w:eastAsia="Calibri"/>
          <w:sz w:val="22"/>
          <w:szCs w:val="22"/>
          <w:lang w:val="en-US" w:eastAsia="en-US"/>
        </w:rPr>
        <w:t>IT</w:t>
      </w:r>
      <w:r w:rsidRPr="00281602">
        <w:rPr>
          <w:rFonts w:eastAsia="Calibri"/>
          <w:sz w:val="22"/>
          <w:szCs w:val="22"/>
          <w:lang w:eastAsia="en-US"/>
        </w:rPr>
        <w:t>-технологий в ЛПХ  позволит привлечь молодых людей к сельской жизни, сделает сельский труд привлекательней. Как предполагают аналитики, к началу следу</w:t>
      </w:r>
      <w:r w:rsidRPr="00281602">
        <w:rPr>
          <w:rFonts w:eastAsia="Calibri"/>
          <w:sz w:val="22"/>
          <w:szCs w:val="22"/>
          <w:lang w:eastAsia="en-US"/>
        </w:rPr>
        <w:t>ю</w:t>
      </w:r>
      <w:r w:rsidRPr="00281602">
        <w:rPr>
          <w:rFonts w:eastAsia="Calibri"/>
          <w:sz w:val="22"/>
          <w:szCs w:val="22"/>
          <w:lang w:eastAsia="en-US"/>
        </w:rPr>
        <w:t>щего десятилетия сельскохозяйственные роботы автоматизируют все рутинные полевые работы: вспашку, посадку, прополку, полив, внесение удобрений и сбор урожая.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Сегодня хозяин ЛПХ хочет точно знать состав почвы на своих земельных угодьях, какие удобрения, в какое время и в каких пр</w:t>
      </w:r>
      <w:r w:rsidRPr="00281602">
        <w:rPr>
          <w:rFonts w:eastAsia="Calibri"/>
          <w:sz w:val="22"/>
          <w:szCs w:val="22"/>
          <w:lang w:eastAsia="en-US"/>
        </w:rPr>
        <w:t>о</w:t>
      </w:r>
      <w:r w:rsidRPr="00281602">
        <w:rPr>
          <w:rFonts w:eastAsia="Calibri"/>
          <w:sz w:val="22"/>
          <w:szCs w:val="22"/>
          <w:lang w:eastAsia="en-US"/>
        </w:rPr>
        <w:lastRenderedPageBreak/>
        <w:t>порциях нужно вносить, когда, чем и как провести подкормку ра</w:t>
      </w:r>
      <w:r w:rsidRPr="00281602">
        <w:rPr>
          <w:rFonts w:eastAsia="Calibri"/>
          <w:sz w:val="22"/>
          <w:szCs w:val="22"/>
          <w:lang w:eastAsia="en-US"/>
        </w:rPr>
        <w:t>с</w:t>
      </w:r>
      <w:r w:rsidRPr="00281602">
        <w:rPr>
          <w:rFonts w:eastAsia="Calibri"/>
          <w:sz w:val="22"/>
          <w:szCs w:val="22"/>
          <w:lang w:eastAsia="en-US"/>
        </w:rPr>
        <w:t>тений, ему нужно организовать учет затрат на содержание сельск</w:t>
      </w:r>
      <w:r w:rsidRPr="00281602">
        <w:rPr>
          <w:rFonts w:eastAsia="Calibri"/>
          <w:sz w:val="22"/>
          <w:szCs w:val="22"/>
          <w:lang w:eastAsia="en-US"/>
        </w:rPr>
        <w:t>о</w:t>
      </w:r>
      <w:r w:rsidRPr="00281602">
        <w:rPr>
          <w:rFonts w:eastAsia="Calibri"/>
          <w:sz w:val="22"/>
          <w:szCs w:val="22"/>
          <w:lang w:eastAsia="en-US"/>
        </w:rPr>
        <w:t>хозяйственных машин, имеющихся в собственности таким образом, чтобы распределить эти затраты пропорционально объемам выпо</w:t>
      </w:r>
      <w:r w:rsidRPr="00281602">
        <w:rPr>
          <w:rFonts w:eastAsia="Calibri"/>
          <w:sz w:val="22"/>
          <w:szCs w:val="22"/>
          <w:lang w:eastAsia="en-US"/>
        </w:rPr>
        <w:t>л</w:t>
      </w:r>
      <w:r w:rsidRPr="00281602">
        <w:rPr>
          <w:rFonts w:eastAsia="Calibri"/>
          <w:sz w:val="22"/>
          <w:szCs w:val="22"/>
          <w:lang w:eastAsia="en-US"/>
        </w:rPr>
        <w:t>ненных работ. Похожая ситуация ожидается в ЛПХ и в животн</w:t>
      </w:r>
      <w:r w:rsidRPr="00281602">
        <w:rPr>
          <w:rFonts w:eastAsia="Calibri"/>
          <w:sz w:val="22"/>
          <w:szCs w:val="22"/>
          <w:lang w:eastAsia="en-US"/>
        </w:rPr>
        <w:t>о</w:t>
      </w:r>
      <w:r w:rsidRPr="00281602">
        <w:rPr>
          <w:rFonts w:eastAsia="Calibri"/>
          <w:sz w:val="22"/>
          <w:szCs w:val="22"/>
          <w:lang w:eastAsia="en-US"/>
        </w:rPr>
        <w:t>водстве. Недостаточно просто знать, какие животные  в наличии и сколько корма они съели. Необходимо получать подробную инфо</w:t>
      </w:r>
      <w:r w:rsidRPr="00281602">
        <w:rPr>
          <w:rFonts w:eastAsia="Calibri"/>
          <w:sz w:val="22"/>
          <w:szCs w:val="22"/>
          <w:lang w:eastAsia="en-US"/>
        </w:rPr>
        <w:t>р</w:t>
      </w:r>
      <w:r w:rsidRPr="00281602">
        <w:rPr>
          <w:rFonts w:eastAsia="Calibri"/>
          <w:sz w:val="22"/>
          <w:szCs w:val="22"/>
          <w:lang w:eastAsia="en-US"/>
        </w:rPr>
        <w:t>мацию о состоянии каждого из них, чтобы правильно спланировать график вакцинации, разработать рацион кормления, предупреждать заболевания. Невозможно обойтись без современных IT-технологий и при проведении селекционных работ в племенном животново</w:t>
      </w:r>
      <w:r w:rsidRPr="00281602">
        <w:rPr>
          <w:rFonts w:eastAsia="Calibri"/>
          <w:sz w:val="22"/>
          <w:szCs w:val="22"/>
          <w:lang w:eastAsia="en-US"/>
        </w:rPr>
        <w:t>д</w:t>
      </w:r>
      <w:r w:rsidRPr="00281602">
        <w:rPr>
          <w:rFonts w:eastAsia="Calibri"/>
          <w:sz w:val="22"/>
          <w:szCs w:val="22"/>
          <w:lang w:eastAsia="en-US"/>
        </w:rPr>
        <w:t>стве и птицеводстве.</w:t>
      </w:r>
    </w:p>
    <w:p w:rsidR="00281602" w:rsidRPr="00281602" w:rsidRDefault="00281602" w:rsidP="00D34D80">
      <w:pPr>
        <w:ind w:firstLine="425"/>
        <w:jc w:val="both"/>
        <w:rPr>
          <w:rFonts w:eastAsia="Calibri"/>
          <w:sz w:val="22"/>
          <w:szCs w:val="22"/>
          <w:lang w:eastAsia="en-US"/>
        </w:rPr>
      </w:pPr>
      <w:r w:rsidRPr="00281602">
        <w:rPr>
          <w:rFonts w:eastAsia="Calibri"/>
          <w:sz w:val="22"/>
          <w:szCs w:val="22"/>
          <w:lang w:eastAsia="en-US"/>
        </w:rPr>
        <w:t>В нашей стране сельхозпроизводители плохо информированы об эффективности и окупаемости инвестиций в IT-технологии, п</w:t>
      </w:r>
      <w:r w:rsidRPr="00281602">
        <w:rPr>
          <w:rFonts w:eastAsia="Calibri"/>
          <w:sz w:val="22"/>
          <w:szCs w:val="22"/>
          <w:lang w:eastAsia="en-US"/>
        </w:rPr>
        <w:t>о</w:t>
      </w:r>
      <w:r w:rsidRPr="00281602">
        <w:rPr>
          <w:rFonts w:eastAsia="Calibri"/>
          <w:sz w:val="22"/>
          <w:szCs w:val="22"/>
          <w:lang w:eastAsia="en-US"/>
        </w:rPr>
        <w:t>этому  пока не очень большое количество ЛПХ осмеливаются на реальное их внедрение Хозяевам ЛПХ важно понимать, что затраты на внедрение IT-технологий позволит быстро окупить вложенные в него средства и в скором времени получить дополнительную пр</w:t>
      </w:r>
      <w:r w:rsidRPr="00281602">
        <w:rPr>
          <w:rFonts w:eastAsia="Calibri"/>
          <w:sz w:val="22"/>
          <w:szCs w:val="22"/>
          <w:lang w:eastAsia="en-US"/>
        </w:rPr>
        <w:t>и</w:t>
      </w:r>
      <w:r w:rsidRPr="00281602">
        <w:rPr>
          <w:rFonts w:eastAsia="Calibri"/>
          <w:sz w:val="22"/>
          <w:szCs w:val="22"/>
          <w:lang w:eastAsia="en-US"/>
        </w:rPr>
        <w:t>быль.</w:t>
      </w: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6"/>
        <w:jc w:val="both"/>
        <w:rPr>
          <w:rFonts w:eastAsia="Calibri"/>
          <w:sz w:val="22"/>
          <w:szCs w:val="22"/>
          <w:lang w:eastAsia="en-US"/>
        </w:rPr>
      </w:pPr>
      <w:r w:rsidRPr="00281602">
        <w:rPr>
          <w:rFonts w:eastAsia="Calibri"/>
          <w:sz w:val="22"/>
          <w:szCs w:val="22"/>
          <w:lang w:eastAsia="en-US"/>
        </w:rPr>
        <w:t>1. Федеральный закон «О личном подсобном хозяйстве». Пр</w:t>
      </w:r>
      <w:r w:rsidRPr="00281602">
        <w:rPr>
          <w:rFonts w:eastAsia="Calibri"/>
          <w:sz w:val="22"/>
          <w:szCs w:val="22"/>
          <w:lang w:eastAsia="en-US"/>
        </w:rPr>
        <w:t>и</w:t>
      </w:r>
      <w:r w:rsidRPr="00281602">
        <w:rPr>
          <w:rFonts w:eastAsia="Calibri"/>
          <w:sz w:val="22"/>
          <w:szCs w:val="22"/>
          <w:lang w:eastAsia="en-US"/>
        </w:rPr>
        <w:t>нят Государственной Думой 21.06.2003. Одобрен Советом Федер</w:t>
      </w:r>
      <w:r w:rsidRPr="00281602">
        <w:rPr>
          <w:rFonts w:eastAsia="Calibri"/>
          <w:sz w:val="22"/>
          <w:szCs w:val="22"/>
          <w:lang w:eastAsia="en-US"/>
        </w:rPr>
        <w:t>а</w:t>
      </w:r>
      <w:r w:rsidRPr="00281602">
        <w:rPr>
          <w:rFonts w:eastAsia="Calibri"/>
          <w:sz w:val="22"/>
          <w:szCs w:val="22"/>
          <w:lang w:eastAsia="en-US"/>
        </w:rPr>
        <w:t>ции 26.06.2003 // Российская газета – Федеральный выпуск №3249 (0) 10 июля 2003.</w:t>
      </w:r>
    </w:p>
    <w:p w:rsidR="00281602" w:rsidRPr="00281602" w:rsidRDefault="006F7F71" w:rsidP="00281602">
      <w:pPr>
        <w:ind w:firstLine="426"/>
        <w:jc w:val="both"/>
        <w:rPr>
          <w:rFonts w:eastAsia="Calibri"/>
          <w:sz w:val="22"/>
          <w:szCs w:val="22"/>
          <w:lang w:eastAsia="en-US"/>
        </w:rPr>
      </w:pPr>
      <w:r>
        <w:rPr>
          <w:rFonts w:eastAsia="Calibri"/>
          <w:sz w:val="22"/>
          <w:szCs w:val="22"/>
          <w:lang w:eastAsia="en-US"/>
        </w:rPr>
        <w:t>2. Омельченко Д.А.</w:t>
      </w:r>
      <w:r w:rsidR="00281602" w:rsidRPr="00281602">
        <w:rPr>
          <w:rFonts w:eastAsia="Calibri"/>
          <w:sz w:val="22"/>
          <w:szCs w:val="22"/>
          <w:lang w:eastAsia="en-US"/>
        </w:rPr>
        <w:t xml:space="preserve"> Сферы применения нейронных сетей в настоящем и будущем. / Е.В. Фешина, Д.А. Омельченко // Конце</w:t>
      </w:r>
      <w:r w:rsidR="00281602" w:rsidRPr="00281602">
        <w:rPr>
          <w:rFonts w:eastAsia="Calibri"/>
          <w:sz w:val="22"/>
          <w:szCs w:val="22"/>
          <w:lang w:eastAsia="en-US"/>
        </w:rPr>
        <w:t>п</w:t>
      </w:r>
      <w:r w:rsidR="00281602" w:rsidRPr="00281602">
        <w:rPr>
          <w:rFonts w:eastAsia="Calibri"/>
          <w:sz w:val="22"/>
          <w:szCs w:val="22"/>
          <w:lang w:eastAsia="en-US"/>
        </w:rPr>
        <w:t>ции фундаментальных и прикладных научных исследований. Сбо</w:t>
      </w:r>
      <w:r w:rsidR="00281602" w:rsidRPr="00281602">
        <w:rPr>
          <w:rFonts w:eastAsia="Calibri"/>
          <w:sz w:val="22"/>
          <w:szCs w:val="22"/>
          <w:lang w:eastAsia="en-US"/>
        </w:rPr>
        <w:t>р</w:t>
      </w:r>
      <w:r w:rsidR="00281602" w:rsidRPr="00281602">
        <w:rPr>
          <w:rFonts w:eastAsia="Calibri"/>
          <w:sz w:val="22"/>
          <w:szCs w:val="22"/>
          <w:lang w:eastAsia="en-US"/>
        </w:rPr>
        <w:t>ник статей Международной научно-практической конференции: в 2 частях. – 2018. – С. 36-40.</w:t>
      </w:r>
    </w:p>
    <w:p w:rsidR="00281602" w:rsidRPr="00281602" w:rsidRDefault="00281602" w:rsidP="00281602">
      <w:pPr>
        <w:ind w:firstLine="426"/>
        <w:jc w:val="both"/>
        <w:rPr>
          <w:rFonts w:eastAsia="Calibri"/>
          <w:sz w:val="22"/>
          <w:szCs w:val="22"/>
          <w:lang w:eastAsia="en-US"/>
        </w:rPr>
      </w:pPr>
      <w:r w:rsidRPr="00281602">
        <w:rPr>
          <w:rFonts w:eastAsia="Calibri"/>
          <w:sz w:val="22"/>
          <w:szCs w:val="22"/>
          <w:lang w:eastAsia="en-US"/>
        </w:rPr>
        <w:t>3. Фешина Е.В. Интеллектуальные системы как средство авт</w:t>
      </w:r>
      <w:r w:rsidRPr="00281602">
        <w:rPr>
          <w:rFonts w:eastAsia="Calibri"/>
          <w:sz w:val="22"/>
          <w:szCs w:val="22"/>
          <w:lang w:eastAsia="en-US"/>
        </w:rPr>
        <w:t>о</w:t>
      </w:r>
      <w:r w:rsidRPr="00281602">
        <w:rPr>
          <w:rFonts w:eastAsia="Calibri"/>
          <w:sz w:val="22"/>
          <w:szCs w:val="22"/>
          <w:lang w:eastAsia="en-US"/>
        </w:rPr>
        <w:t>матизации личного подсобного хозяйства./ Е.В. Фешина, Д.А. Омельченко // Научное обеспечение агропромышленного компле</w:t>
      </w:r>
      <w:r w:rsidRPr="00281602">
        <w:rPr>
          <w:rFonts w:eastAsia="Calibri"/>
          <w:sz w:val="22"/>
          <w:szCs w:val="22"/>
          <w:lang w:eastAsia="en-US"/>
        </w:rPr>
        <w:t>к</w:t>
      </w:r>
      <w:r w:rsidRPr="00281602">
        <w:rPr>
          <w:rFonts w:eastAsia="Calibri"/>
          <w:sz w:val="22"/>
          <w:szCs w:val="22"/>
          <w:lang w:eastAsia="en-US"/>
        </w:rPr>
        <w:t xml:space="preserve">са. Сборник статей </w:t>
      </w:r>
      <w:r w:rsidRPr="00281602">
        <w:rPr>
          <w:rFonts w:eastAsia="Calibri"/>
          <w:sz w:val="22"/>
          <w:szCs w:val="22"/>
          <w:lang w:val="en-US" w:eastAsia="en-US"/>
        </w:rPr>
        <w:t>XI</w:t>
      </w:r>
      <w:r w:rsidRPr="00281602">
        <w:rPr>
          <w:rFonts w:eastAsia="Calibri"/>
          <w:sz w:val="22"/>
          <w:szCs w:val="22"/>
          <w:lang w:eastAsia="en-US"/>
        </w:rPr>
        <w:t>Всероссийской конференции молодых уч</w:t>
      </w:r>
      <w:r w:rsidRPr="00281602">
        <w:rPr>
          <w:rFonts w:eastAsia="Calibri"/>
          <w:sz w:val="22"/>
          <w:szCs w:val="22"/>
          <w:lang w:eastAsia="en-US"/>
        </w:rPr>
        <w:t>е</w:t>
      </w:r>
      <w:r w:rsidRPr="00281602">
        <w:rPr>
          <w:rFonts w:eastAsia="Calibri"/>
          <w:sz w:val="22"/>
          <w:szCs w:val="22"/>
          <w:lang w:eastAsia="en-US"/>
        </w:rPr>
        <w:t>ных, посвященной 95-летию Кубанского ГАУ и 80-летию образов</w:t>
      </w:r>
      <w:r w:rsidRPr="00281602">
        <w:rPr>
          <w:rFonts w:eastAsia="Calibri"/>
          <w:sz w:val="22"/>
          <w:szCs w:val="22"/>
          <w:lang w:eastAsia="en-US"/>
        </w:rPr>
        <w:t>а</w:t>
      </w:r>
      <w:r w:rsidRPr="00281602">
        <w:rPr>
          <w:rFonts w:eastAsia="Calibri"/>
          <w:sz w:val="22"/>
          <w:szCs w:val="22"/>
          <w:lang w:eastAsia="en-US"/>
        </w:rPr>
        <w:t>ния Краснодарского края. – 2017. –С. 267-268.</w:t>
      </w:r>
    </w:p>
    <w:p w:rsidR="00281602" w:rsidRPr="00281602" w:rsidRDefault="00281602" w:rsidP="00281602">
      <w:pPr>
        <w:ind w:firstLine="426"/>
        <w:jc w:val="both"/>
        <w:rPr>
          <w:rFonts w:eastAsia="Calibri"/>
          <w:sz w:val="22"/>
          <w:szCs w:val="22"/>
          <w:lang w:eastAsia="en-US"/>
        </w:rPr>
      </w:pPr>
      <w:r w:rsidRPr="00281602">
        <w:rPr>
          <w:rFonts w:eastAsia="Calibri"/>
          <w:sz w:val="22"/>
          <w:szCs w:val="22"/>
          <w:lang w:eastAsia="en-US"/>
        </w:rPr>
        <w:t>4. Фешина Е.В. Метод определения концентрации танинов в дубовых клепках с использованием ИК-спектрометра и нейронной сети / Е.В. Фешина, А.А. Фешина  // Внедрение результатов инн</w:t>
      </w:r>
      <w:r w:rsidRPr="00281602">
        <w:rPr>
          <w:rFonts w:eastAsia="Calibri"/>
          <w:sz w:val="22"/>
          <w:szCs w:val="22"/>
          <w:lang w:eastAsia="en-US"/>
        </w:rPr>
        <w:t>о</w:t>
      </w:r>
      <w:r w:rsidRPr="00281602">
        <w:rPr>
          <w:rFonts w:eastAsia="Calibri"/>
          <w:sz w:val="22"/>
          <w:szCs w:val="22"/>
          <w:lang w:eastAsia="en-US"/>
        </w:rPr>
        <w:lastRenderedPageBreak/>
        <w:t>вационных разработок: проблемы и перспективы. Сборник статей международной научно-практической конференции. – 2016, .С. 39-42.</w:t>
      </w:r>
    </w:p>
    <w:p w:rsidR="00281602" w:rsidRPr="00281602" w:rsidRDefault="00281602" w:rsidP="00281602">
      <w:pPr>
        <w:ind w:firstLine="425"/>
        <w:jc w:val="both"/>
        <w:rPr>
          <w:rFonts w:eastAsia="Calibri"/>
          <w:sz w:val="22"/>
          <w:szCs w:val="22"/>
          <w:lang w:eastAsia="en-US"/>
        </w:rPr>
      </w:pPr>
    </w:p>
    <w:p w:rsidR="006F7F71" w:rsidRPr="00281602" w:rsidRDefault="006F7F71" w:rsidP="00D34D80">
      <w:pPr>
        <w:jc w:val="both"/>
        <w:rPr>
          <w:rFonts w:eastAsia="Calibri"/>
          <w:sz w:val="22"/>
          <w:szCs w:val="22"/>
          <w:lang w:eastAsia="en-US"/>
        </w:rPr>
      </w:pPr>
    </w:p>
    <w:p w:rsidR="00281602" w:rsidRPr="00281602" w:rsidRDefault="00281602" w:rsidP="00281602">
      <w:pPr>
        <w:jc w:val="both"/>
        <w:rPr>
          <w:rFonts w:eastAsia="Calibri"/>
          <w:sz w:val="22"/>
          <w:szCs w:val="22"/>
          <w:lang w:eastAsia="en-US"/>
        </w:rPr>
      </w:pPr>
      <w:r w:rsidRPr="00281602">
        <w:rPr>
          <w:rFonts w:eastAsia="Calibri"/>
          <w:sz w:val="22"/>
          <w:szCs w:val="22"/>
          <w:lang w:eastAsia="en-US"/>
        </w:rPr>
        <w:t>УДК 004.9</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widowControl w:val="0"/>
        <w:jc w:val="center"/>
        <w:rPr>
          <w:rFonts w:eastAsia="Courier New"/>
          <w:b/>
          <w:color w:val="000000"/>
          <w:sz w:val="24"/>
          <w:szCs w:val="24"/>
          <w:lang w:eastAsia="en-US"/>
        </w:rPr>
      </w:pPr>
      <w:r w:rsidRPr="00281602">
        <w:rPr>
          <w:rFonts w:eastAsia="Courier New"/>
          <w:b/>
          <w:color w:val="000000"/>
          <w:sz w:val="24"/>
          <w:szCs w:val="24"/>
          <w:lang w:eastAsia="en-US"/>
        </w:rPr>
        <w:t xml:space="preserve">Системы контроля версий и актуальность перехода с </w:t>
      </w:r>
      <w:r w:rsidRPr="00281602">
        <w:rPr>
          <w:rFonts w:eastAsia="Courier New"/>
          <w:b/>
          <w:color w:val="000000"/>
          <w:sz w:val="24"/>
          <w:szCs w:val="24"/>
          <w:lang w:val="en-US" w:eastAsia="en-US"/>
        </w:rPr>
        <w:t>SVN</w:t>
      </w:r>
      <w:r w:rsidRPr="00281602">
        <w:rPr>
          <w:rFonts w:eastAsia="Courier New"/>
          <w:b/>
          <w:color w:val="000000"/>
          <w:sz w:val="24"/>
          <w:szCs w:val="24"/>
          <w:lang w:eastAsia="en-US"/>
        </w:rPr>
        <w:t xml:space="preserve"> на </w:t>
      </w:r>
      <w:r w:rsidRPr="00281602">
        <w:rPr>
          <w:rFonts w:eastAsia="Courier New"/>
          <w:b/>
          <w:color w:val="000000"/>
          <w:sz w:val="24"/>
          <w:szCs w:val="24"/>
          <w:lang w:val="en-US" w:eastAsia="en-US"/>
        </w:rPr>
        <w:t>GIT</w:t>
      </w:r>
    </w:p>
    <w:p w:rsidR="00281602" w:rsidRPr="00281602" w:rsidRDefault="00281602" w:rsidP="00281602">
      <w:pPr>
        <w:widowControl w:val="0"/>
        <w:jc w:val="center"/>
        <w:rPr>
          <w:rFonts w:eastAsia="Courier New"/>
          <w:b/>
          <w:color w:val="000000"/>
          <w:sz w:val="24"/>
          <w:szCs w:val="24"/>
          <w:lang w:val="en-US" w:eastAsia="en-US"/>
        </w:rPr>
      </w:pPr>
      <w:r w:rsidRPr="00281602">
        <w:rPr>
          <w:rFonts w:eastAsia="Courier New"/>
          <w:b/>
          <w:color w:val="000000"/>
          <w:sz w:val="24"/>
          <w:szCs w:val="24"/>
          <w:lang w:val="en-US" w:eastAsia="en-US"/>
        </w:rPr>
        <w:t>Version Control System and relevance of the transition from SVN to GIT</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Острицова В. А.,</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студентка 4-го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w:t>
      </w:r>
      <w:r w:rsidR="006F7F71">
        <w:rPr>
          <w:rFonts w:eastAsia="Courier New"/>
          <w:color w:val="000000"/>
          <w:sz w:val="22"/>
          <w:szCs w:val="22"/>
          <w:lang w:eastAsia="en-US"/>
        </w:rPr>
        <w:t>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АННОТАЦИЯ: Изучены системы контроля версий, выявлена их необходимость и эффективность в процессе разработки. Прои</w:t>
      </w:r>
      <w:r w:rsidRPr="00281602">
        <w:rPr>
          <w:rFonts w:eastAsia="Courier New"/>
          <w:color w:val="000000"/>
          <w:sz w:val="22"/>
          <w:szCs w:val="22"/>
          <w:lang w:eastAsia="en-US"/>
        </w:rPr>
        <w:t>з</w:t>
      </w:r>
      <w:r w:rsidRPr="00281602">
        <w:rPr>
          <w:rFonts w:eastAsia="Courier New"/>
          <w:color w:val="000000"/>
          <w:sz w:val="22"/>
          <w:szCs w:val="22"/>
          <w:lang w:eastAsia="en-US"/>
        </w:rPr>
        <w:t>веден сравнительный анализ самых популярных систем и доказаны преимущества GIT перед SVN.</w:t>
      </w:r>
    </w:p>
    <w:p w:rsidR="00281602" w:rsidRPr="00281602" w:rsidRDefault="00281602" w:rsidP="00281602">
      <w:pPr>
        <w:widowControl w:val="0"/>
        <w:tabs>
          <w:tab w:val="left" w:pos="8223"/>
        </w:tabs>
        <w:ind w:firstLine="425"/>
        <w:jc w:val="both"/>
        <w:rPr>
          <w:rFonts w:eastAsia="Courier New"/>
          <w:color w:val="000000"/>
          <w:sz w:val="22"/>
          <w:szCs w:val="22"/>
          <w:shd w:val="clear" w:color="auto" w:fill="FFFFFF"/>
          <w:lang w:val="en-US" w:eastAsia="en-US"/>
        </w:rPr>
      </w:pPr>
      <w:r w:rsidRPr="00281602">
        <w:rPr>
          <w:rFonts w:eastAsia="Courier New"/>
          <w:color w:val="000000"/>
          <w:sz w:val="22"/>
          <w:szCs w:val="22"/>
          <w:lang w:val="en-US" w:eastAsia="en-US"/>
        </w:rPr>
        <w:t>ABSTRACT:</w:t>
      </w:r>
      <w:r w:rsidRPr="00281602">
        <w:rPr>
          <w:rFonts w:eastAsia="Courier New"/>
          <w:color w:val="000000"/>
          <w:sz w:val="22"/>
          <w:szCs w:val="22"/>
          <w:shd w:val="clear" w:color="auto" w:fill="FFFFFF"/>
          <w:lang w:val="en-US" w:eastAsia="en-US"/>
        </w:rPr>
        <w:t xml:space="preserve"> Version control systems have been studied, their n</w:t>
      </w:r>
      <w:r w:rsidRPr="00281602">
        <w:rPr>
          <w:rFonts w:eastAsia="Courier New"/>
          <w:color w:val="000000"/>
          <w:sz w:val="22"/>
          <w:szCs w:val="22"/>
          <w:shd w:val="clear" w:color="auto" w:fill="FFFFFF"/>
          <w:lang w:val="en-US" w:eastAsia="en-US"/>
        </w:rPr>
        <w:t>e</w:t>
      </w:r>
      <w:r w:rsidRPr="00281602">
        <w:rPr>
          <w:rFonts w:eastAsia="Courier New"/>
          <w:color w:val="000000"/>
          <w:sz w:val="22"/>
          <w:szCs w:val="22"/>
          <w:shd w:val="clear" w:color="auto" w:fill="FFFFFF"/>
          <w:lang w:val="en-US" w:eastAsia="en-US"/>
        </w:rPr>
        <w:t>cessity and efficiency in the development process have been revealed. A comparative analysis of the most popular systems was made, the a</w:t>
      </w:r>
      <w:r w:rsidRPr="00281602">
        <w:rPr>
          <w:rFonts w:eastAsia="Courier New"/>
          <w:color w:val="000000"/>
          <w:sz w:val="22"/>
          <w:szCs w:val="22"/>
          <w:shd w:val="clear" w:color="auto" w:fill="FFFFFF"/>
          <w:lang w:val="en-US" w:eastAsia="en-US"/>
        </w:rPr>
        <w:t>d</w:t>
      </w:r>
      <w:r w:rsidRPr="00281602">
        <w:rPr>
          <w:rFonts w:eastAsia="Courier New"/>
          <w:color w:val="000000"/>
          <w:sz w:val="22"/>
          <w:szCs w:val="22"/>
          <w:shd w:val="clear" w:color="auto" w:fill="FFFFFF"/>
          <w:lang w:val="en-US" w:eastAsia="en-US"/>
        </w:rPr>
        <w:t>vantages of SVN before GIT were proven.</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КЛЮЧЕВЫЕ СЛОВА: система контроля версий, репозиторий, конфликты, слияние, проект, разработка, </w:t>
      </w:r>
      <w:r w:rsidRPr="00281602">
        <w:rPr>
          <w:rFonts w:eastAsia="Courier New"/>
          <w:color w:val="000000"/>
          <w:sz w:val="22"/>
          <w:szCs w:val="22"/>
          <w:lang w:val="en-US" w:eastAsia="en-US"/>
        </w:rPr>
        <w:t>SVN</w:t>
      </w:r>
      <w:r w:rsidRPr="00281602">
        <w:rPr>
          <w:rFonts w:eastAsia="Courier New"/>
          <w:color w:val="000000"/>
          <w:sz w:val="22"/>
          <w:szCs w:val="22"/>
          <w:lang w:eastAsia="en-US"/>
        </w:rPr>
        <w:t xml:space="preserve">, </w:t>
      </w:r>
      <w:r w:rsidRPr="00281602">
        <w:rPr>
          <w:rFonts w:eastAsia="Courier New"/>
          <w:color w:val="000000"/>
          <w:sz w:val="22"/>
          <w:szCs w:val="22"/>
          <w:lang w:val="en-US" w:eastAsia="en-US"/>
        </w:rPr>
        <w:t>GIT</w:t>
      </w:r>
      <w:r w:rsidRPr="00281602">
        <w:rPr>
          <w:rFonts w:eastAsia="Courier New"/>
          <w:color w:val="000000"/>
          <w:sz w:val="22"/>
          <w:szCs w:val="22"/>
          <w:lang w:eastAsia="en-US"/>
        </w:rPr>
        <w:t>.</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r w:rsidRPr="00281602">
        <w:rPr>
          <w:rFonts w:eastAsia="Courier New"/>
          <w:color w:val="000000"/>
          <w:sz w:val="22"/>
          <w:szCs w:val="22"/>
          <w:lang w:val="en-US" w:eastAsia="en-US"/>
        </w:rPr>
        <w:t>KEYWORDS:version control system, repository, conflicts, merge, project, development, SVN, GIT.</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В наш век информационных технологий каждый, кто работал в команде над одним проектом или даже самостоятельно с необход</w:t>
      </w:r>
      <w:r w:rsidRPr="00281602">
        <w:rPr>
          <w:rFonts w:eastAsia="Courier New"/>
          <w:color w:val="000000"/>
          <w:sz w:val="22"/>
          <w:szCs w:val="22"/>
          <w:lang w:eastAsia="en-US"/>
        </w:rPr>
        <w:t>и</w:t>
      </w:r>
      <w:r w:rsidRPr="00281602">
        <w:rPr>
          <w:rFonts w:eastAsia="Courier New"/>
          <w:color w:val="000000"/>
          <w:sz w:val="22"/>
          <w:szCs w:val="22"/>
          <w:lang w:eastAsia="en-US"/>
        </w:rPr>
        <w:t xml:space="preserve">мостью сохранять изменения по несколько раз в день, хотя бы раз слышал о системах контроля версий. Изначально </w:t>
      </w:r>
      <w:r w:rsidRPr="00281602">
        <w:rPr>
          <w:rFonts w:eastAsia="Courier New"/>
          <w:color w:val="000000"/>
          <w:sz w:val="22"/>
          <w:szCs w:val="22"/>
          <w:lang w:val="en-US" w:eastAsia="en-US"/>
        </w:rPr>
        <w:t>VCS</w:t>
      </w:r>
      <w:r w:rsidRPr="00281602">
        <w:rPr>
          <w:rFonts w:eastAsia="Courier New"/>
          <w:color w:val="000000"/>
          <w:sz w:val="22"/>
          <w:szCs w:val="22"/>
          <w:lang w:eastAsia="en-US"/>
        </w:rPr>
        <w:t xml:space="preserve"> создавались для комфортной работы команды, без путаниц, без конфликта ве</w:t>
      </w:r>
      <w:r w:rsidRPr="00281602">
        <w:rPr>
          <w:rFonts w:eastAsia="Courier New"/>
          <w:color w:val="000000"/>
          <w:sz w:val="22"/>
          <w:szCs w:val="22"/>
          <w:lang w:eastAsia="en-US"/>
        </w:rPr>
        <w:t>р</w:t>
      </w:r>
      <w:r w:rsidRPr="00281602">
        <w:rPr>
          <w:rFonts w:eastAsia="Courier New"/>
          <w:color w:val="000000"/>
          <w:sz w:val="22"/>
          <w:szCs w:val="22"/>
          <w:lang w:eastAsia="en-US"/>
        </w:rPr>
        <w:t xml:space="preserve">сий  и возможностями отслеживания версий и отката к ним [1]. </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Чтобы грамотно оценить уже существующие системы, разб</w:t>
      </w:r>
      <w:r w:rsidRPr="00281602">
        <w:rPr>
          <w:rFonts w:eastAsia="Courier New"/>
          <w:color w:val="000000"/>
          <w:sz w:val="22"/>
          <w:szCs w:val="22"/>
          <w:lang w:eastAsia="en-US"/>
        </w:rPr>
        <w:t>е</w:t>
      </w:r>
      <w:r w:rsidRPr="00281602">
        <w:rPr>
          <w:rFonts w:eastAsia="Courier New"/>
          <w:color w:val="000000"/>
          <w:sz w:val="22"/>
          <w:szCs w:val="22"/>
          <w:lang w:eastAsia="en-US"/>
        </w:rPr>
        <w:t>ремся с основными терминами области:</w:t>
      </w:r>
    </w:p>
    <w:p w:rsidR="00281602" w:rsidRPr="00281602" w:rsidRDefault="00281602" w:rsidP="002D7DA5">
      <w:pPr>
        <w:numPr>
          <w:ilvl w:val="0"/>
          <w:numId w:val="47"/>
        </w:numPr>
        <w:autoSpaceDE w:val="0"/>
        <w:autoSpaceDN w:val="0"/>
        <w:adjustRightInd w:val="0"/>
        <w:spacing w:after="160" w:line="259" w:lineRule="auto"/>
        <w:ind w:left="0" w:firstLine="425"/>
        <w:contextualSpacing/>
        <w:jc w:val="both"/>
        <w:rPr>
          <w:rFonts w:eastAsia="Courier New"/>
          <w:color w:val="000000"/>
          <w:sz w:val="22"/>
          <w:szCs w:val="22"/>
          <w:lang w:eastAsia="en-US"/>
        </w:rPr>
      </w:pPr>
      <w:r w:rsidRPr="00281602">
        <w:rPr>
          <w:rFonts w:eastAsia="Courier New"/>
          <w:color w:val="000000"/>
          <w:sz w:val="22"/>
          <w:szCs w:val="22"/>
          <w:lang w:eastAsia="en-US"/>
        </w:rPr>
        <w:lastRenderedPageBreak/>
        <w:t>Репозиторий – хранилище, база данных;</w:t>
      </w:r>
    </w:p>
    <w:p w:rsidR="00281602" w:rsidRPr="00281602" w:rsidRDefault="00281602" w:rsidP="002D7DA5">
      <w:pPr>
        <w:numPr>
          <w:ilvl w:val="0"/>
          <w:numId w:val="47"/>
        </w:numPr>
        <w:autoSpaceDE w:val="0"/>
        <w:autoSpaceDN w:val="0"/>
        <w:adjustRightInd w:val="0"/>
        <w:spacing w:after="160" w:line="259" w:lineRule="auto"/>
        <w:ind w:left="0" w:firstLine="425"/>
        <w:contextualSpacing/>
        <w:jc w:val="both"/>
        <w:rPr>
          <w:rFonts w:eastAsia="Courier New"/>
          <w:color w:val="000000"/>
          <w:sz w:val="22"/>
          <w:szCs w:val="22"/>
          <w:lang w:eastAsia="en-US"/>
        </w:rPr>
      </w:pPr>
      <w:r w:rsidRPr="00281602">
        <w:rPr>
          <w:rFonts w:eastAsia="Courier New"/>
          <w:color w:val="000000"/>
          <w:sz w:val="22"/>
          <w:szCs w:val="22"/>
          <w:lang w:eastAsia="en-US"/>
        </w:rPr>
        <w:t>Trunk – основное направление разработки;</w:t>
      </w:r>
    </w:p>
    <w:p w:rsidR="00281602" w:rsidRPr="00281602" w:rsidRDefault="00281602" w:rsidP="002D7DA5">
      <w:pPr>
        <w:numPr>
          <w:ilvl w:val="0"/>
          <w:numId w:val="47"/>
        </w:numPr>
        <w:autoSpaceDE w:val="0"/>
        <w:autoSpaceDN w:val="0"/>
        <w:adjustRightInd w:val="0"/>
        <w:spacing w:after="160" w:line="259" w:lineRule="auto"/>
        <w:ind w:left="0" w:firstLine="425"/>
        <w:contextualSpacing/>
        <w:jc w:val="both"/>
        <w:rPr>
          <w:rFonts w:eastAsia="Courier New"/>
          <w:color w:val="000000"/>
          <w:sz w:val="22"/>
          <w:szCs w:val="22"/>
          <w:lang w:eastAsia="en-US"/>
        </w:rPr>
      </w:pPr>
      <w:r w:rsidRPr="00281602">
        <w:rPr>
          <w:rFonts w:eastAsia="Courier New"/>
          <w:color w:val="000000"/>
          <w:sz w:val="22"/>
          <w:szCs w:val="22"/>
          <w:lang w:eastAsia="en-US"/>
        </w:rPr>
        <w:t>Branch (''Ветка'') - направление разработки, которое сущ</w:t>
      </w:r>
      <w:r w:rsidRPr="00281602">
        <w:rPr>
          <w:rFonts w:eastAsia="Courier New"/>
          <w:color w:val="000000"/>
          <w:sz w:val="22"/>
          <w:szCs w:val="22"/>
          <w:lang w:eastAsia="en-US"/>
        </w:rPr>
        <w:t>е</w:t>
      </w:r>
      <w:r w:rsidRPr="00281602">
        <w:rPr>
          <w:rFonts w:eastAsia="Courier New"/>
          <w:color w:val="000000"/>
          <w:sz w:val="22"/>
          <w:szCs w:val="22"/>
          <w:lang w:eastAsia="en-US"/>
        </w:rPr>
        <w:t>ствует независимо от другого направления, но имеет с ним связь и единую историю. Ветка изначально лишь копия чего-либо, но вп</w:t>
      </w:r>
      <w:r w:rsidRPr="00281602">
        <w:rPr>
          <w:rFonts w:eastAsia="Courier New"/>
          <w:color w:val="000000"/>
          <w:sz w:val="22"/>
          <w:szCs w:val="22"/>
          <w:lang w:eastAsia="en-US"/>
        </w:rPr>
        <w:t>о</w:t>
      </w:r>
      <w:r w:rsidRPr="00281602">
        <w:rPr>
          <w:rFonts w:eastAsia="Courier New"/>
          <w:color w:val="000000"/>
          <w:sz w:val="22"/>
          <w:szCs w:val="22"/>
          <w:lang w:eastAsia="en-US"/>
        </w:rPr>
        <w:t>следствии разработчик создает свою собственную историю.</w:t>
      </w:r>
    </w:p>
    <w:p w:rsidR="00281602" w:rsidRPr="00281602" w:rsidRDefault="00281602" w:rsidP="002D7DA5">
      <w:pPr>
        <w:numPr>
          <w:ilvl w:val="0"/>
          <w:numId w:val="47"/>
        </w:numPr>
        <w:autoSpaceDE w:val="0"/>
        <w:autoSpaceDN w:val="0"/>
        <w:adjustRightInd w:val="0"/>
        <w:spacing w:after="160" w:line="259" w:lineRule="auto"/>
        <w:ind w:left="0" w:firstLine="425"/>
        <w:contextualSpacing/>
        <w:jc w:val="both"/>
        <w:rPr>
          <w:rFonts w:eastAsia="Courier New"/>
          <w:color w:val="000000"/>
          <w:sz w:val="22"/>
          <w:szCs w:val="22"/>
          <w:lang w:eastAsia="en-US"/>
        </w:rPr>
      </w:pPr>
      <w:r w:rsidRPr="00281602">
        <w:rPr>
          <w:rFonts w:eastAsia="Courier New"/>
          <w:color w:val="000000"/>
          <w:sz w:val="22"/>
          <w:szCs w:val="22"/>
          <w:lang w:eastAsia="en-US"/>
        </w:rPr>
        <w:t>Commit – команда, которая выполняет фиксацию изменений файлов проекта в WC в репозиторий [2].</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К основным преимуществам систем контроля версий относят удобство централизованного репозитория, возможность обновления файлов и слияния веток проекта. С ростом популярности таких с</w:t>
      </w:r>
      <w:r w:rsidRPr="00281602">
        <w:rPr>
          <w:rFonts w:eastAsia="Courier New"/>
          <w:color w:val="000000"/>
          <w:sz w:val="22"/>
          <w:szCs w:val="22"/>
          <w:lang w:eastAsia="en-US"/>
        </w:rPr>
        <w:t>и</w:t>
      </w:r>
      <w:r w:rsidRPr="00281602">
        <w:rPr>
          <w:rFonts w:eastAsia="Courier New"/>
          <w:color w:val="000000"/>
          <w:sz w:val="22"/>
          <w:szCs w:val="22"/>
          <w:lang w:eastAsia="en-US"/>
        </w:rPr>
        <w:t>стем возникли и бурные споры о том, какая же система самая лу</w:t>
      </w:r>
      <w:r w:rsidRPr="00281602">
        <w:rPr>
          <w:rFonts w:eastAsia="Courier New"/>
          <w:color w:val="000000"/>
          <w:sz w:val="22"/>
          <w:szCs w:val="22"/>
          <w:lang w:eastAsia="en-US"/>
        </w:rPr>
        <w:t>ч</w:t>
      </w:r>
      <w:r w:rsidRPr="00281602">
        <w:rPr>
          <w:rFonts w:eastAsia="Courier New"/>
          <w:color w:val="000000"/>
          <w:sz w:val="22"/>
          <w:szCs w:val="22"/>
          <w:lang w:eastAsia="en-US"/>
        </w:rPr>
        <w:t xml:space="preserve">шая. На сегодняшний день самыми известными являются СКВ </w:t>
      </w:r>
      <w:r w:rsidRPr="00281602">
        <w:rPr>
          <w:rFonts w:eastAsia="Courier New"/>
          <w:color w:val="000000"/>
          <w:sz w:val="22"/>
          <w:szCs w:val="22"/>
          <w:lang w:val="en-US" w:eastAsia="en-US"/>
        </w:rPr>
        <w:t>SVN</w:t>
      </w:r>
      <w:r w:rsidRPr="00281602">
        <w:rPr>
          <w:rFonts w:eastAsia="Courier New"/>
          <w:color w:val="000000"/>
          <w:sz w:val="22"/>
          <w:szCs w:val="22"/>
          <w:lang w:eastAsia="en-US"/>
        </w:rPr>
        <w:t xml:space="preserve"> и </w:t>
      </w:r>
      <w:r w:rsidRPr="00281602">
        <w:rPr>
          <w:rFonts w:eastAsia="Courier New"/>
          <w:color w:val="000000"/>
          <w:sz w:val="22"/>
          <w:szCs w:val="22"/>
          <w:lang w:val="en-US" w:eastAsia="en-US"/>
        </w:rPr>
        <w:t>GIT</w:t>
      </w:r>
      <w:r w:rsidRPr="00281602">
        <w:rPr>
          <w:rFonts w:eastAsia="Courier New"/>
          <w:color w:val="000000"/>
          <w:sz w:val="22"/>
          <w:szCs w:val="22"/>
          <w:lang w:eastAsia="en-US"/>
        </w:rPr>
        <w:t>. Попробуем разобраться в преимуществах каждой из них.</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Итак,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 это распределенная система, она не имеет центра,   у каждого разработчика будет своя копия хранилища-репозитария (слепок) со всеми «коммитами» (от английского </w:t>
      </w:r>
      <w:r w:rsidRPr="00281602">
        <w:rPr>
          <w:rFonts w:eastAsia="Courier New"/>
          <w:color w:val="000000"/>
          <w:sz w:val="22"/>
          <w:szCs w:val="22"/>
          <w:lang w:val="en-US" w:eastAsia="en-US"/>
        </w:rPr>
        <w:t>commit</w:t>
      </w:r>
      <w:r w:rsidRPr="00281602">
        <w:rPr>
          <w:rFonts w:eastAsia="Courier New"/>
          <w:color w:val="000000"/>
          <w:sz w:val="22"/>
          <w:szCs w:val="22"/>
          <w:lang w:eastAsia="en-US"/>
        </w:rPr>
        <w:t xml:space="preserve"> - фиксир</w:t>
      </w:r>
      <w:r w:rsidRPr="00281602">
        <w:rPr>
          <w:rFonts w:eastAsia="Courier New"/>
          <w:color w:val="000000"/>
          <w:sz w:val="22"/>
          <w:szCs w:val="22"/>
          <w:lang w:eastAsia="en-US"/>
        </w:rPr>
        <w:t>о</w:t>
      </w:r>
      <w:r w:rsidRPr="00281602">
        <w:rPr>
          <w:rFonts w:eastAsia="Courier New"/>
          <w:color w:val="000000"/>
          <w:sz w:val="22"/>
          <w:szCs w:val="22"/>
          <w:lang w:eastAsia="en-US"/>
        </w:rPr>
        <w:t>вать). Соответственно, такие операции, как checkout и commit пр</w:t>
      </w:r>
      <w:r w:rsidRPr="00281602">
        <w:rPr>
          <w:rFonts w:eastAsia="Courier New"/>
          <w:color w:val="000000"/>
          <w:sz w:val="22"/>
          <w:szCs w:val="22"/>
          <w:lang w:eastAsia="en-US"/>
        </w:rPr>
        <w:t>о</w:t>
      </w:r>
      <w:r w:rsidRPr="00281602">
        <w:rPr>
          <w:rFonts w:eastAsia="Courier New"/>
          <w:color w:val="000000"/>
          <w:sz w:val="22"/>
          <w:szCs w:val="22"/>
          <w:lang w:eastAsia="en-US"/>
        </w:rPr>
        <w:t>изводятся с локальным репозиторием. После фиксации и отправл</w:t>
      </w:r>
      <w:r w:rsidRPr="00281602">
        <w:rPr>
          <w:rFonts w:eastAsia="Courier New"/>
          <w:color w:val="000000"/>
          <w:sz w:val="22"/>
          <w:szCs w:val="22"/>
          <w:lang w:eastAsia="en-US"/>
        </w:rPr>
        <w:t>е</w:t>
      </w:r>
      <w:r w:rsidRPr="00281602">
        <w:rPr>
          <w:rFonts w:eastAsia="Courier New"/>
          <w:color w:val="000000"/>
          <w:sz w:val="22"/>
          <w:szCs w:val="22"/>
          <w:lang w:eastAsia="en-US"/>
        </w:rPr>
        <w:t>ния (</w:t>
      </w:r>
      <w:r w:rsidRPr="00281602">
        <w:rPr>
          <w:rFonts w:eastAsia="Courier New"/>
          <w:color w:val="000000"/>
          <w:sz w:val="22"/>
          <w:szCs w:val="22"/>
          <w:lang w:val="en-US" w:eastAsia="en-US"/>
        </w:rPr>
        <w:t>push</w:t>
      </w:r>
      <w:r w:rsidRPr="00281602">
        <w:rPr>
          <w:rFonts w:eastAsia="Courier New"/>
          <w:color w:val="000000"/>
          <w:sz w:val="22"/>
          <w:szCs w:val="22"/>
          <w:lang w:eastAsia="en-US"/>
        </w:rPr>
        <w:t>) изменений на сервер, эти файлы будут доступны кажд</w:t>
      </w:r>
      <w:r w:rsidRPr="00281602">
        <w:rPr>
          <w:rFonts w:eastAsia="Courier New"/>
          <w:color w:val="000000"/>
          <w:sz w:val="22"/>
          <w:szCs w:val="22"/>
          <w:lang w:eastAsia="en-US"/>
        </w:rPr>
        <w:t>о</w:t>
      </w:r>
      <w:r w:rsidRPr="00281602">
        <w:rPr>
          <w:rFonts w:eastAsia="Courier New"/>
          <w:color w:val="000000"/>
          <w:sz w:val="22"/>
          <w:szCs w:val="22"/>
          <w:lang w:eastAsia="en-US"/>
        </w:rPr>
        <w:t xml:space="preserve">му. </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Subversion (SVN) – бесплатная система управления версиями с открытым исходным кодом,  использующая «виртуальную» файл</w:t>
      </w:r>
      <w:r w:rsidRPr="00281602">
        <w:rPr>
          <w:rFonts w:eastAsia="Courier New"/>
          <w:color w:val="000000"/>
          <w:sz w:val="22"/>
          <w:szCs w:val="22"/>
          <w:lang w:eastAsia="en-US"/>
        </w:rPr>
        <w:t>о</w:t>
      </w:r>
      <w:r w:rsidRPr="00281602">
        <w:rPr>
          <w:rFonts w:eastAsia="Courier New"/>
          <w:color w:val="000000"/>
          <w:sz w:val="22"/>
          <w:szCs w:val="22"/>
          <w:lang w:eastAsia="en-US"/>
        </w:rPr>
        <w:t xml:space="preserve">вую систему. Работа в данной СКВ идет в одной ветке </w:t>
      </w:r>
      <w:r w:rsidRPr="00281602">
        <w:rPr>
          <w:rFonts w:eastAsia="Courier New"/>
          <w:color w:val="000000"/>
          <w:sz w:val="22"/>
          <w:szCs w:val="22"/>
          <w:lang w:val="en-US" w:eastAsia="en-US"/>
        </w:rPr>
        <w:t>trunk</w:t>
      </w:r>
      <w:r w:rsidRPr="00281602">
        <w:rPr>
          <w:rFonts w:eastAsia="Courier New"/>
          <w:color w:val="000000"/>
          <w:sz w:val="22"/>
          <w:szCs w:val="22"/>
          <w:lang w:eastAsia="en-US"/>
        </w:rPr>
        <w:t>, и зн</w:t>
      </w:r>
      <w:r w:rsidRPr="00281602">
        <w:rPr>
          <w:rFonts w:eastAsia="Courier New"/>
          <w:color w:val="000000"/>
          <w:sz w:val="22"/>
          <w:szCs w:val="22"/>
          <w:lang w:eastAsia="en-US"/>
        </w:rPr>
        <w:t>а</w:t>
      </w:r>
      <w:r w:rsidRPr="00281602">
        <w:rPr>
          <w:rFonts w:eastAsia="Courier New"/>
          <w:color w:val="000000"/>
          <w:sz w:val="22"/>
          <w:szCs w:val="22"/>
          <w:lang w:eastAsia="en-US"/>
        </w:rPr>
        <w:t>чительным недостатком здесь является то, что задачу надо додел</w:t>
      </w:r>
      <w:r w:rsidRPr="00281602">
        <w:rPr>
          <w:rFonts w:eastAsia="Courier New"/>
          <w:color w:val="000000"/>
          <w:sz w:val="22"/>
          <w:szCs w:val="22"/>
          <w:lang w:eastAsia="en-US"/>
        </w:rPr>
        <w:t>ы</w:t>
      </w:r>
      <w:r w:rsidRPr="00281602">
        <w:rPr>
          <w:rFonts w:eastAsia="Courier New"/>
          <w:color w:val="000000"/>
          <w:sz w:val="22"/>
          <w:szCs w:val="22"/>
          <w:lang w:eastAsia="en-US"/>
        </w:rPr>
        <w:t xml:space="preserve">вать до конца без возможности «коммита». </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Если говорить о слиянии и конфликтах, без которых не обх</w:t>
      </w:r>
      <w:r w:rsidRPr="00281602">
        <w:rPr>
          <w:rFonts w:eastAsia="Courier New"/>
          <w:color w:val="000000"/>
          <w:sz w:val="22"/>
          <w:szCs w:val="22"/>
          <w:lang w:eastAsia="en-US"/>
        </w:rPr>
        <w:t>о</w:t>
      </w:r>
      <w:r w:rsidRPr="00281602">
        <w:rPr>
          <w:rFonts w:eastAsia="Courier New"/>
          <w:color w:val="000000"/>
          <w:sz w:val="22"/>
          <w:szCs w:val="22"/>
          <w:lang w:eastAsia="en-US"/>
        </w:rPr>
        <w:t xml:space="preserve">дится ни одна разработка, то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справляется с их решением лучше </w:t>
      </w:r>
      <w:r w:rsidRPr="00281602">
        <w:rPr>
          <w:rFonts w:eastAsia="Courier New"/>
          <w:color w:val="000000"/>
          <w:sz w:val="22"/>
          <w:szCs w:val="22"/>
          <w:lang w:val="en-US" w:eastAsia="en-US"/>
        </w:rPr>
        <w:t>SVN</w:t>
      </w:r>
      <w:r w:rsidRPr="00281602">
        <w:rPr>
          <w:rFonts w:eastAsia="Courier New"/>
          <w:color w:val="000000"/>
          <w:sz w:val="22"/>
          <w:szCs w:val="22"/>
          <w:lang w:eastAsia="en-US"/>
        </w:rPr>
        <w:t>, так как он имеет множество стратегий объединений, в осно</w:t>
      </w:r>
      <w:r w:rsidRPr="00281602">
        <w:rPr>
          <w:rFonts w:eastAsia="Courier New"/>
          <w:color w:val="000000"/>
          <w:sz w:val="22"/>
          <w:szCs w:val="22"/>
          <w:lang w:eastAsia="en-US"/>
        </w:rPr>
        <w:t>в</w:t>
      </w:r>
      <w:r w:rsidRPr="00281602">
        <w:rPr>
          <w:rFonts w:eastAsia="Courier New"/>
          <w:color w:val="000000"/>
          <w:sz w:val="22"/>
          <w:szCs w:val="22"/>
          <w:lang w:eastAsia="en-US"/>
        </w:rPr>
        <w:t xml:space="preserve">ном это трехстороннее слияние. </w:t>
      </w:r>
      <w:r w:rsidRPr="00281602">
        <w:rPr>
          <w:rFonts w:eastAsia="Courier New"/>
          <w:color w:val="000000"/>
          <w:sz w:val="22"/>
          <w:szCs w:val="22"/>
          <w:lang w:val="en-US" w:eastAsia="en-US"/>
        </w:rPr>
        <w:t>SVN</w:t>
      </w:r>
      <w:r w:rsidRPr="00281602">
        <w:rPr>
          <w:rFonts w:eastAsia="Courier New"/>
          <w:color w:val="000000"/>
          <w:sz w:val="22"/>
          <w:szCs w:val="22"/>
          <w:lang w:eastAsia="en-US"/>
        </w:rPr>
        <w:t xml:space="preserve"> лишь отслеживает, где пр</w:t>
      </w:r>
      <w:r w:rsidRPr="00281602">
        <w:rPr>
          <w:rFonts w:eastAsia="Courier New"/>
          <w:color w:val="000000"/>
          <w:sz w:val="22"/>
          <w:szCs w:val="22"/>
          <w:lang w:eastAsia="en-US"/>
        </w:rPr>
        <w:t>о</w:t>
      </w:r>
      <w:r w:rsidRPr="00281602">
        <w:rPr>
          <w:rFonts w:eastAsia="Courier New"/>
          <w:color w:val="000000"/>
          <w:sz w:val="22"/>
          <w:szCs w:val="22"/>
          <w:lang w:eastAsia="en-US"/>
        </w:rPr>
        <w:t>изошли слияния, однако модель его остается линейной.</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же я</w:t>
      </w:r>
      <w:r w:rsidRPr="00281602">
        <w:rPr>
          <w:rFonts w:eastAsia="Courier New"/>
          <w:color w:val="000000"/>
          <w:sz w:val="22"/>
          <w:szCs w:val="22"/>
          <w:lang w:eastAsia="en-US"/>
        </w:rPr>
        <w:t>в</w:t>
      </w:r>
      <w:r w:rsidRPr="00281602">
        <w:rPr>
          <w:rFonts w:eastAsia="Courier New"/>
          <w:color w:val="000000"/>
          <w:sz w:val="22"/>
          <w:szCs w:val="22"/>
          <w:lang w:eastAsia="en-US"/>
        </w:rPr>
        <w:t>ляется частью истории,  в этой СКВ заложено согласование сли</w:t>
      </w:r>
      <w:r w:rsidRPr="00281602">
        <w:rPr>
          <w:rFonts w:eastAsia="Courier New"/>
          <w:color w:val="000000"/>
          <w:sz w:val="22"/>
          <w:szCs w:val="22"/>
          <w:lang w:eastAsia="en-US"/>
        </w:rPr>
        <w:t>я</w:t>
      </w:r>
      <w:r w:rsidRPr="00281602">
        <w:rPr>
          <w:rFonts w:eastAsia="Courier New"/>
          <w:color w:val="000000"/>
          <w:sz w:val="22"/>
          <w:szCs w:val="22"/>
          <w:lang w:eastAsia="en-US"/>
        </w:rPr>
        <w:t>ния, т.е. фиксация с двумя родителями. Это позволяет Git быть б</w:t>
      </w:r>
      <w:r w:rsidRPr="00281602">
        <w:rPr>
          <w:rFonts w:eastAsia="Courier New"/>
          <w:color w:val="000000"/>
          <w:sz w:val="22"/>
          <w:szCs w:val="22"/>
          <w:lang w:eastAsia="en-US"/>
        </w:rPr>
        <w:t>о</w:t>
      </w:r>
      <w:r w:rsidRPr="00281602">
        <w:rPr>
          <w:rFonts w:eastAsia="Courier New"/>
          <w:color w:val="000000"/>
          <w:sz w:val="22"/>
          <w:szCs w:val="22"/>
          <w:lang w:eastAsia="en-US"/>
        </w:rPr>
        <w:t>лее интеллектуальным во избежание конфликтов.</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В большой базе данных особо важен вопрос экономии места и времени, поэтому стоит отметить, что SVN сохраняет файлы цел</w:t>
      </w:r>
      <w:r w:rsidRPr="00281602">
        <w:rPr>
          <w:rFonts w:eastAsia="Courier New"/>
          <w:color w:val="000000"/>
          <w:sz w:val="22"/>
          <w:szCs w:val="22"/>
          <w:lang w:eastAsia="en-US"/>
        </w:rPr>
        <w:t>и</w:t>
      </w:r>
      <w:r w:rsidRPr="00281602">
        <w:rPr>
          <w:rFonts w:eastAsia="Courier New"/>
          <w:color w:val="000000"/>
          <w:sz w:val="22"/>
          <w:szCs w:val="22"/>
          <w:lang w:eastAsia="en-US"/>
        </w:rPr>
        <w:lastRenderedPageBreak/>
        <w:t>ком, тогда как  GIT лишь метаданные изменений, что, разумеется, занимает гораздо меньше ресурсов.</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В качестве главных недостатков SVN выделяют сравнительно низкую скорость и нехватку распределенного управления версиями. Также при работе была выделена нехватка набора команд для раб</w:t>
      </w:r>
      <w:r w:rsidRPr="00281602">
        <w:rPr>
          <w:rFonts w:eastAsia="Courier New"/>
          <w:color w:val="000000"/>
          <w:sz w:val="22"/>
          <w:szCs w:val="22"/>
          <w:lang w:eastAsia="en-US"/>
        </w:rPr>
        <w:t>о</w:t>
      </w:r>
      <w:r w:rsidRPr="00281602">
        <w:rPr>
          <w:rFonts w:eastAsia="Courier New"/>
          <w:color w:val="000000"/>
          <w:sz w:val="22"/>
          <w:szCs w:val="22"/>
          <w:lang w:eastAsia="en-US"/>
        </w:rPr>
        <w:t xml:space="preserve">ты с репозиторием. </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Еще одним преимуществом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является доступность в реж</w:t>
      </w:r>
      <w:r w:rsidRPr="00281602">
        <w:rPr>
          <w:rFonts w:eastAsia="Courier New"/>
          <w:color w:val="000000"/>
          <w:sz w:val="22"/>
          <w:szCs w:val="22"/>
          <w:lang w:eastAsia="en-US"/>
        </w:rPr>
        <w:t>и</w:t>
      </w:r>
      <w:r w:rsidRPr="00281602">
        <w:rPr>
          <w:rFonts w:eastAsia="Courier New"/>
          <w:color w:val="000000"/>
          <w:sz w:val="22"/>
          <w:szCs w:val="22"/>
          <w:lang w:eastAsia="en-US"/>
        </w:rPr>
        <w:t>ме оффлайн полной истории разработки. Однако при многих уже перечисленных достоинствах, нельзя не отметить тот факт, что п</w:t>
      </w:r>
      <w:r w:rsidRPr="00281602">
        <w:rPr>
          <w:rFonts w:eastAsia="Courier New"/>
          <w:color w:val="000000"/>
          <w:sz w:val="22"/>
          <w:szCs w:val="22"/>
          <w:lang w:eastAsia="en-US"/>
        </w:rPr>
        <w:t>о</w:t>
      </w:r>
      <w:r w:rsidRPr="00281602">
        <w:rPr>
          <w:rFonts w:eastAsia="Courier New"/>
          <w:color w:val="000000"/>
          <w:sz w:val="22"/>
          <w:szCs w:val="22"/>
          <w:lang w:eastAsia="en-US"/>
        </w:rPr>
        <w:t xml:space="preserve">сле </w:t>
      </w:r>
      <w:r w:rsidRPr="00281602">
        <w:rPr>
          <w:rFonts w:eastAsia="Courier New"/>
          <w:color w:val="000000"/>
          <w:sz w:val="22"/>
          <w:szCs w:val="22"/>
          <w:lang w:val="en-US" w:eastAsia="en-US"/>
        </w:rPr>
        <w:t>SVN</w:t>
      </w:r>
      <w:r w:rsidRPr="00281602">
        <w:rPr>
          <w:rFonts w:eastAsia="Courier New"/>
          <w:color w:val="000000"/>
          <w:sz w:val="22"/>
          <w:szCs w:val="22"/>
          <w:lang w:eastAsia="en-US"/>
        </w:rPr>
        <w:t xml:space="preserve"> перейти на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довольно непросто, это довольно высокий порог обучения, да и вдобавок ограниченная поддержка </w:t>
      </w:r>
      <w:r w:rsidRPr="00281602">
        <w:rPr>
          <w:rFonts w:eastAsia="Courier New"/>
          <w:color w:val="000000"/>
          <w:sz w:val="22"/>
          <w:szCs w:val="22"/>
          <w:lang w:val="en-US" w:eastAsia="en-US"/>
        </w:rPr>
        <w:t>Windows</w:t>
      </w:r>
      <w:r w:rsidRPr="00281602">
        <w:rPr>
          <w:rFonts w:eastAsia="Courier New"/>
          <w:color w:val="000000"/>
          <w:sz w:val="22"/>
          <w:szCs w:val="22"/>
          <w:lang w:eastAsia="en-US"/>
        </w:rPr>
        <w:t xml:space="preserve"> [3].</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Итак, вот уже не менее 10 лет системы контроля версий – это главный и незаменимый помощник любой команды разработчиков. Коллективное владение кодом, его безопасное, а главное удобное хранение с историей изменений,  непрерывная интеграция и знач</w:t>
      </w:r>
      <w:r w:rsidRPr="00281602">
        <w:rPr>
          <w:rFonts w:eastAsia="Courier New"/>
          <w:color w:val="000000"/>
          <w:sz w:val="22"/>
          <w:szCs w:val="22"/>
          <w:lang w:eastAsia="en-US"/>
        </w:rPr>
        <w:t>и</w:t>
      </w:r>
      <w:r w:rsidRPr="00281602">
        <w:rPr>
          <w:rFonts w:eastAsia="Courier New"/>
          <w:color w:val="000000"/>
          <w:sz w:val="22"/>
          <w:szCs w:val="22"/>
          <w:lang w:eastAsia="en-US"/>
        </w:rPr>
        <w:t>тельная автоматизация разработки.</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Несмотря на значительную схожесть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и </w:t>
      </w:r>
      <w:r w:rsidRPr="00281602">
        <w:rPr>
          <w:rFonts w:eastAsia="Courier New"/>
          <w:color w:val="000000"/>
          <w:sz w:val="22"/>
          <w:szCs w:val="22"/>
          <w:lang w:val="en-US" w:eastAsia="en-US"/>
        </w:rPr>
        <w:t>SVN</w:t>
      </w:r>
      <w:r w:rsidRPr="00281602">
        <w:rPr>
          <w:rFonts w:eastAsia="Courier New"/>
          <w:color w:val="000000"/>
          <w:sz w:val="22"/>
          <w:szCs w:val="22"/>
          <w:lang w:eastAsia="en-US"/>
        </w:rPr>
        <w:t xml:space="preserve">, </w:t>
      </w:r>
      <w:r w:rsidRPr="00281602">
        <w:rPr>
          <w:rFonts w:eastAsia="Courier New"/>
          <w:color w:val="000000"/>
          <w:sz w:val="22"/>
          <w:szCs w:val="22"/>
          <w:lang w:val="en-US" w:eastAsia="en-US"/>
        </w:rPr>
        <w:t>GIT</w:t>
      </w:r>
      <w:r w:rsidRPr="00281602">
        <w:rPr>
          <w:rFonts w:eastAsia="Courier New"/>
          <w:color w:val="000000"/>
          <w:sz w:val="22"/>
          <w:szCs w:val="22"/>
          <w:lang w:eastAsia="en-US"/>
        </w:rPr>
        <w:t xml:space="preserve"> вырвался вперед за счет развитость инструментов и возможности хранения в нем результатов работы по нескольким параллельно выполняемым задачам. При этом промежуточные результаты не влияют друг на друга. Финальные протестированные результаты достаточно легко комбинируются в одну итоговую версию приложения. Также нем</w:t>
      </w:r>
      <w:r w:rsidRPr="00281602">
        <w:rPr>
          <w:rFonts w:eastAsia="Courier New"/>
          <w:color w:val="000000"/>
          <w:sz w:val="22"/>
          <w:szCs w:val="22"/>
          <w:lang w:eastAsia="en-US"/>
        </w:rPr>
        <w:t>а</w:t>
      </w:r>
      <w:r w:rsidRPr="00281602">
        <w:rPr>
          <w:rFonts w:eastAsia="Courier New"/>
          <w:color w:val="000000"/>
          <w:sz w:val="22"/>
          <w:szCs w:val="22"/>
          <w:lang w:eastAsia="en-US"/>
        </w:rPr>
        <w:t>ловажную роль во всеобщей популярности Git’a в мире CVS сыграл ресурс GitHub, на котором размещены тысячи репозиториев на ра</w:t>
      </w:r>
      <w:r w:rsidRPr="00281602">
        <w:rPr>
          <w:rFonts w:eastAsia="Courier New"/>
          <w:color w:val="000000"/>
          <w:sz w:val="22"/>
          <w:szCs w:val="22"/>
          <w:lang w:eastAsia="en-US"/>
        </w:rPr>
        <w:t>з</w:t>
      </w:r>
      <w:r w:rsidRPr="00281602">
        <w:rPr>
          <w:rFonts w:eastAsia="Courier New"/>
          <w:color w:val="000000"/>
          <w:sz w:val="22"/>
          <w:szCs w:val="22"/>
          <w:lang w:eastAsia="en-US"/>
        </w:rPr>
        <w:t xml:space="preserve">личных языках. </w:t>
      </w:r>
    </w:p>
    <w:p w:rsidR="00281602" w:rsidRPr="00281602" w:rsidRDefault="00281602" w:rsidP="00281602">
      <w:pPr>
        <w:autoSpaceDE w:val="0"/>
        <w:autoSpaceDN w:val="0"/>
        <w:adjustRightInd w:val="0"/>
        <w:ind w:firstLine="425"/>
        <w:jc w:val="both"/>
        <w:rPr>
          <w:rFonts w:eastAsia="Calibri"/>
          <w:color w:val="000000"/>
          <w:sz w:val="24"/>
          <w:szCs w:val="24"/>
          <w:lang w:eastAsia="en-US"/>
        </w:rPr>
      </w:pPr>
    </w:p>
    <w:p w:rsidR="00281602" w:rsidRPr="00281602" w:rsidRDefault="00281602" w:rsidP="00281602">
      <w:pPr>
        <w:widowControl w:val="0"/>
        <w:autoSpaceDE w:val="0"/>
        <w:autoSpaceDN w:val="0"/>
        <w:adjustRightInd w:val="0"/>
        <w:ind w:firstLine="425"/>
        <w:jc w:val="center"/>
        <w:rPr>
          <w:rFonts w:eastAsia="Calibri"/>
          <w:color w:val="000000"/>
          <w:sz w:val="22"/>
          <w:szCs w:val="22"/>
          <w:lang w:eastAsia="en-US"/>
        </w:rPr>
      </w:pPr>
      <w:r w:rsidRPr="00281602">
        <w:rPr>
          <w:rFonts w:eastAsia="Calibri"/>
          <w:color w:val="000000"/>
          <w:sz w:val="22"/>
          <w:szCs w:val="22"/>
          <w:lang w:eastAsia="en-US"/>
        </w:rPr>
        <w:t>Список литературы</w:t>
      </w:r>
    </w:p>
    <w:p w:rsidR="00281602" w:rsidRPr="00281602" w:rsidRDefault="00281602" w:rsidP="00281602">
      <w:pPr>
        <w:widowControl w:val="0"/>
        <w:autoSpaceDE w:val="0"/>
        <w:autoSpaceDN w:val="0"/>
        <w:adjustRightInd w:val="0"/>
        <w:ind w:firstLine="425"/>
        <w:jc w:val="both"/>
        <w:rPr>
          <w:rFonts w:eastAsia="Courier New"/>
          <w:sz w:val="22"/>
          <w:szCs w:val="22"/>
          <w:lang w:eastAsia="en-US"/>
        </w:rPr>
      </w:pPr>
      <w:r w:rsidRPr="00281602">
        <w:rPr>
          <w:rFonts w:eastAsia="Courier New"/>
          <w:sz w:val="22"/>
          <w:szCs w:val="22"/>
          <w:lang w:eastAsia="en-US"/>
        </w:rPr>
        <w:t>1.</w:t>
      </w:r>
      <w:r w:rsidRPr="00281602">
        <w:rPr>
          <w:rFonts w:eastAsia="Courier New"/>
          <w:bCs/>
          <w:sz w:val="22"/>
          <w:szCs w:val="22"/>
          <w:lang w:eastAsia="en-US"/>
        </w:rPr>
        <w:t xml:space="preserve"> Системы управления версиями. Пособие для инженеров, х</w:t>
      </w:r>
      <w:r w:rsidRPr="00281602">
        <w:rPr>
          <w:rFonts w:eastAsia="Courier New"/>
          <w:bCs/>
          <w:sz w:val="22"/>
          <w:szCs w:val="22"/>
          <w:lang w:eastAsia="en-US"/>
        </w:rPr>
        <w:t>у</w:t>
      </w:r>
      <w:r w:rsidRPr="00281602">
        <w:rPr>
          <w:rFonts w:eastAsia="Courier New"/>
          <w:bCs/>
          <w:sz w:val="22"/>
          <w:szCs w:val="22"/>
          <w:lang w:eastAsia="en-US"/>
        </w:rPr>
        <w:t xml:space="preserve">дожников и писателей. 2011г.  </w:t>
      </w:r>
      <w:r w:rsidRPr="00281602">
        <w:rPr>
          <w:rFonts w:eastAsia="Courier New"/>
          <w:bCs/>
          <w:color w:val="000000"/>
          <w:sz w:val="22"/>
          <w:szCs w:val="22"/>
          <w:lang w:eastAsia="en-US"/>
        </w:rPr>
        <w:t>[</w:t>
      </w:r>
      <w:r w:rsidRPr="00281602">
        <w:rPr>
          <w:rFonts w:eastAsia="Courier New"/>
          <w:bCs/>
          <w:sz w:val="22"/>
          <w:szCs w:val="22"/>
          <w:lang w:eastAsia="en-US"/>
        </w:rPr>
        <w:t xml:space="preserve">Электронный ресурс] / Ресурс для IT-специалистов «Хабрахабр». </w:t>
      </w:r>
      <w:r w:rsidRPr="00281602">
        <w:rPr>
          <w:rFonts w:eastAsia="Courier New"/>
          <w:sz w:val="22"/>
          <w:szCs w:val="22"/>
          <w:lang w:eastAsia="en-US"/>
        </w:rPr>
        <w:t xml:space="preserve">– </w:t>
      </w:r>
      <w:r w:rsidRPr="00281602">
        <w:rPr>
          <w:rFonts w:eastAsia="Courier New"/>
          <w:sz w:val="22"/>
          <w:szCs w:val="22"/>
          <w:lang w:val="en-US" w:eastAsia="en-US"/>
        </w:rPr>
        <w:t>U</w:t>
      </w:r>
      <w:r w:rsidRPr="00281602">
        <w:rPr>
          <w:rFonts w:eastAsia="Courier New"/>
          <w:sz w:val="22"/>
          <w:szCs w:val="22"/>
          <w:lang w:eastAsia="en-US"/>
        </w:rPr>
        <w:t>RL: https://habrahabr.ru/post/122060/ (Дата обращения: 20.02.2018).</w:t>
      </w:r>
    </w:p>
    <w:p w:rsidR="00281602" w:rsidRPr="00281602" w:rsidRDefault="00281602" w:rsidP="00281602">
      <w:pPr>
        <w:widowControl w:val="0"/>
        <w:autoSpaceDE w:val="0"/>
        <w:autoSpaceDN w:val="0"/>
        <w:adjustRightInd w:val="0"/>
        <w:ind w:firstLine="425"/>
        <w:jc w:val="both"/>
        <w:rPr>
          <w:rFonts w:eastAsia="Courier New"/>
          <w:sz w:val="22"/>
          <w:szCs w:val="22"/>
          <w:lang w:eastAsia="en-US"/>
        </w:rPr>
      </w:pPr>
      <w:r w:rsidRPr="00281602">
        <w:rPr>
          <w:rFonts w:eastAsia="Courier New"/>
          <w:sz w:val="22"/>
          <w:szCs w:val="22"/>
          <w:lang w:eastAsia="en-US"/>
        </w:rPr>
        <w:t xml:space="preserve">2. </w:t>
      </w:r>
      <w:r w:rsidRPr="00281602">
        <w:rPr>
          <w:rFonts w:eastAsia="Courier New"/>
          <w:bCs/>
          <w:sz w:val="22"/>
          <w:szCs w:val="22"/>
          <w:lang w:eastAsia="en-US"/>
        </w:rPr>
        <w:t xml:space="preserve">Про Git на пальцах (для переходящих с SVN). 2009г.  </w:t>
      </w:r>
      <w:r w:rsidRPr="00281602">
        <w:rPr>
          <w:rFonts w:eastAsia="Courier New"/>
          <w:bCs/>
          <w:color w:val="000000"/>
          <w:sz w:val="22"/>
          <w:szCs w:val="22"/>
          <w:lang w:eastAsia="en-US"/>
        </w:rPr>
        <w:t>[</w:t>
      </w:r>
      <w:r w:rsidRPr="00281602">
        <w:rPr>
          <w:rFonts w:eastAsia="Courier New"/>
          <w:bCs/>
          <w:sz w:val="22"/>
          <w:szCs w:val="22"/>
          <w:lang w:eastAsia="en-US"/>
        </w:rPr>
        <w:t>Эле</w:t>
      </w:r>
      <w:r w:rsidRPr="00281602">
        <w:rPr>
          <w:rFonts w:eastAsia="Courier New"/>
          <w:bCs/>
          <w:sz w:val="22"/>
          <w:szCs w:val="22"/>
          <w:lang w:eastAsia="en-US"/>
        </w:rPr>
        <w:t>к</w:t>
      </w:r>
      <w:r w:rsidRPr="00281602">
        <w:rPr>
          <w:rFonts w:eastAsia="Courier New"/>
          <w:bCs/>
          <w:sz w:val="22"/>
          <w:szCs w:val="22"/>
          <w:lang w:eastAsia="en-US"/>
        </w:rPr>
        <w:t xml:space="preserve">тронный ресурс] / Ресурс для IT-специалистов «Хабрахабр». </w:t>
      </w:r>
      <w:r w:rsidRPr="00281602">
        <w:rPr>
          <w:rFonts w:eastAsia="Courier New"/>
          <w:sz w:val="22"/>
          <w:szCs w:val="22"/>
          <w:lang w:eastAsia="en-US"/>
        </w:rPr>
        <w:t xml:space="preserve">– </w:t>
      </w:r>
      <w:r w:rsidRPr="00281602">
        <w:rPr>
          <w:rFonts w:eastAsia="Courier New"/>
          <w:sz w:val="22"/>
          <w:szCs w:val="22"/>
          <w:lang w:val="en-US" w:eastAsia="en-US"/>
        </w:rPr>
        <w:t>U</w:t>
      </w:r>
      <w:r w:rsidRPr="00281602">
        <w:rPr>
          <w:rFonts w:eastAsia="Courier New"/>
          <w:sz w:val="22"/>
          <w:szCs w:val="22"/>
          <w:lang w:eastAsia="en-US"/>
        </w:rPr>
        <w:t>RL: https://habrahabr.ru/post/68341/ (Дата обращения: 20.02.2018).</w:t>
      </w:r>
    </w:p>
    <w:p w:rsidR="00281602" w:rsidRPr="00281602" w:rsidRDefault="00281602" w:rsidP="00281602">
      <w:pPr>
        <w:widowControl w:val="0"/>
        <w:autoSpaceDE w:val="0"/>
        <w:autoSpaceDN w:val="0"/>
        <w:adjustRightInd w:val="0"/>
        <w:ind w:firstLine="425"/>
        <w:jc w:val="both"/>
        <w:rPr>
          <w:rFonts w:eastAsia="Courier New"/>
          <w:sz w:val="22"/>
          <w:szCs w:val="22"/>
          <w:lang w:val="en-US" w:eastAsia="en-US"/>
        </w:rPr>
      </w:pPr>
      <w:r w:rsidRPr="00281602">
        <w:rPr>
          <w:rFonts w:eastAsia="Courier New"/>
          <w:sz w:val="22"/>
          <w:szCs w:val="22"/>
          <w:lang w:val="en-US" w:eastAsia="en-US"/>
        </w:rPr>
        <w:t xml:space="preserve">3. </w:t>
      </w:r>
      <w:r w:rsidRPr="00281602">
        <w:rPr>
          <w:rFonts w:eastAsia="Courier New"/>
          <w:sz w:val="22"/>
          <w:szCs w:val="22"/>
          <w:lang w:eastAsia="en-US"/>
        </w:rPr>
        <w:t>Чакон</w:t>
      </w:r>
      <w:r w:rsidRPr="00281602">
        <w:rPr>
          <w:rFonts w:eastAsia="Courier New"/>
          <w:sz w:val="22"/>
          <w:szCs w:val="22"/>
          <w:lang w:val="en-US" w:eastAsia="en-US"/>
        </w:rPr>
        <w:t xml:space="preserve"> </w:t>
      </w:r>
      <w:r w:rsidRPr="00281602">
        <w:rPr>
          <w:rFonts w:eastAsia="Courier New"/>
          <w:sz w:val="22"/>
          <w:szCs w:val="22"/>
          <w:lang w:eastAsia="en-US"/>
        </w:rPr>
        <w:t>С</w:t>
      </w:r>
      <w:r w:rsidRPr="00281602">
        <w:rPr>
          <w:rFonts w:eastAsia="Courier New"/>
          <w:sz w:val="22"/>
          <w:szCs w:val="22"/>
          <w:lang w:val="en-US" w:eastAsia="en-US"/>
        </w:rPr>
        <w:t xml:space="preserve">., </w:t>
      </w:r>
      <w:r w:rsidRPr="00281602">
        <w:rPr>
          <w:rFonts w:eastAsia="Courier New"/>
          <w:sz w:val="22"/>
          <w:szCs w:val="22"/>
          <w:lang w:eastAsia="en-US"/>
        </w:rPr>
        <w:t>Штрауб</w:t>
      </w:r>
      <w:r w:rsidRPr="00281602">
        <w:rPr>
          <w:rFonts w:eastAsia="Courier New"/>
          <w:sz w:val="22"/>
          <w:szCs w:val="22"/>
          <w:lang w:val="en-US" w:eastAsia="en-US"/>
        </w:rPr>
        <w:t xml:space="preserve"> </w:t>
      </w:r>
      <w:r w:rsidRPr="00281602">
        <w:rPr>
          <w:rFonts w:eastAsia="Courier New"/>
          <w:sz w:val="22"/>
          <w:szCs w:val="22"/>
          <w:lang w:eastAsia="en-US"/>
        </w:rPr>
        <w:t>Б</w:t>
      </w:r>
      <w:r w:rsidRPr="00281602">
        <w:rPr>
          <w:rFonts w:eastAsia="Courier New"/>
          <w:sz w:val="22"/>
          <w:szCs w:val="22"/>
          <w:lang w:val="en-US" w:eastAsia="en-US"/>
        </w:rPr>
        <w:t xml:space="preserve">. Pro GIT / C. </w:t>
      </w:r>
      <w:r w:rsidRPr="00281602">
        <w:rPr>
          <w:rFonts w:eastAsia="Courier New"/>
          <w:sz w:val="22"/>
          <w:szCs w:val="22"/>
          <w:lang w:eastAsia="en-US"/>
        </w:rPr>
        <w:t>Чакон</w:t>
      </w:r>
      <w:r w:rsidRPr="00281602">
        <w:rPr>
          <w:rFonts w:eastAsia="Courier New"/>
          <w:sz w:val="22"/>
          <w:szCs w:val="22"/>
          <w:lang w:val="en-US" w:eastAsia="en-US"/>
        </w:rPr>
        <w:t xml:space="preserve">, </w:t>
      </w:r>
      <w:r w:rsidRPr="00281602">
        <w:rPr>
          <w:rFonts w:eastAsia="Courier New"/>
          <w:sz w:val="22"/>
          <w:szCs w:val="22"/>
          <w:lang w:eastAsia="en-US"/>
        </w:rPr>
        <w:t>Б</w:t>
      </w:r>
      <w:r w:rsidRPr="00281602">
        <w:rPr>
          <w:rFonts w:eastAsia="Courier New"/>
          <w:sz w:val="22"/>
          <w:szCs w:val="22"/>
          <w:lang w:val="en-US" w:eastAsia="en-US"/>
        </w:rPr>
        <w:t xml:space="preserve">. </w:t>
      </w:r>
      <w:r w:rsidRPr="00281602">
        <w:rPr>
          <w:rFonts w:eastAsia="Courier New"/>
          <w:sz w:val="22"/>
          <w:szCs w:val="22"/>
          <w:lang w:eastAsia="en-US"/>
        </w:rPr>
        <w:t>Штрауб</w:t>
      </w:r>
      <w:r w:rsidRPr="00281602">
        <w:rPr>
          <w:rFonts w:eastAsia="Courier New"/>
          <w:sz w:val="22"/>
          <w:szCs w:val="22"/>
          <w:lang w:val="en-US" w:eastAsia="en-US"/>
        </w:rPr>
        <w:t xml:space="preserve">. – Apress; 2nd ed. edition (November 9, 2014). – </w:t>
      </w:r>
      <w:r w:rsidRPr="00281602">
        <w:rPr>
          <w:rFonts w:eastAsia="Courier New"/>
          <w:sz w:val="22"/>
          <w:szCs w:val="22"/>
          <w:lang w:eastAsia="en-US"/>
        </w:rPr>
        <w:t>С</w:t>
      </w:r>
      <w:r w:rsidRPr="00281602">
        <w:rPr>
          <w:rFonts w:eastAsia="Courier New"/>
          <w:sz w:val="22"/>
          <w:szCs w:val="22"/>
          <w:lang w:val="en-US" w:eastAsia="en-US"/>
        </w:rPr>
        <w:t>. 146-149.</w:t>
      </w:r>
    </w:p>
    <w:p w:rsidR="006F7F71" w:rsidRPr="008D33CB" w:rsidRDefault="006F7F71" w:rsidP="00D34D80">
      <w:pPr>
        <w:jc w:val="both"/>
        <w:rPr>
          <w:rFonts w:eastAsia="Calibri"/>
          <w:sz w:val="22"/>
          <w:szCs w:val="22"/>
          <w:lang w:val="en-US" w:eastAsia="en-US"/>
        </w:rPr>
      </w:pPr>
    </w:p>
    <w:p w:rsidR="00281602" w:rsidRPr="00281602" w:rsidRDefault="00281602" w:rsidP="00281602">
      <w:pPr>
        <w:widowControl w:val="0"/>
        <w:jc w:val="both"/>
        <w:rPr>
          <w:rFonts w:eastAsia="Courier New"/>
          <w:sz w:val="22"/>
          <w:szCs w:val="22"/>
          <w:lang w:eastAsia="en-US"/>
        </w:rPr>
      </w:pPr>
      <w:r w:rsidRPr="00281602">
        <w:rPr>
          <w:rFonts w:eastAsia="Courier New"/>
          <w:sz w:val="22"/>
          <w:szCs w:val="22"/>
          <w:lang w:eastAsia="en-US"/>
        </w:rPr>
        <w:lastRenderedPageBreak/>
        <w:t>УДК 004.921</w:t>
      </w:r>
    </w:p>
    <w:p w:rsidR="00281602" w:rsidRPr="00281602" w:rsidRDefault="00281602" w:rsidP="00281602">
      <w:pPr>
        <w:widowControl w:val="0"/>
        <w:ind w:firstLine="425"/>
        <w:jc w:val="both"/>
        <w:rPr>
          <w:rFonts w:eastAsia="Courier New"/>
          <w:sz w:val="22"/>
          <w:szCs w:val="22"/>
          <w:highlight w:val="yellow"/>
          <w:lang w:eastAsia="en-US"/>
        </w:rPr>
      </w:pPr>
    </w:p>
    <w:p w:rsidR="00281602" w:rsidRPr="00281602" w:rsidRDefault="00281602" w:rsidP="00281602">
      <w:pPr>
        <w:widowControl w:val="0"/>
        <w:ind w:firstLine="425"/>
        <w:jc w:val="center"/>
        <w:rPr>
          <w:rFonts w:eastAsia="Courier New"/>
          <w:b/>
          <w:sz w:val="24"/>
          <w:szCs w:val="24"/>
          <w:lang w:eastAsia="en-US"/>
        </w:rPr>
      </w:pPr>
      <w:r w:rsidRPr="00281602">
        <w:rPr>
          <w:rFonts w:eastAsia="Courier New"/>
          <w:b/>
          <w:sz w:val="24"/>
          <w:szCs w:val="24"/>
          <w:lang w:eastAsia="en-US"/>
        </w:rPr>
        <w:t>Компьютерная графика в современном мире</w:t>
      </w:r>
    </w:p>
    <w:p w:rsidR="00281602" w:rsidRPr="00281602" w:rsidRDefault="00281602" w:rsidP="00281602">
      <w:pPr>
        <w:widowControl w:val="0"/>
        <w:ind w:firstLine="425"/>
        <w:jc w:val="center"/>
        <w:rPr>
          <w:rFonts w:eastAsia="Courier New"/>
          <w:b/>
          <w:sz w:val="24"/>
          <w:szCs w:val="24"/>
          <w:lang w:val="en-US" w:eastAsia="en-US"/>
        </w:rPr>
      </w:pPr>
      <w:r w:rsidRPr="00281602">
        <w:rPr>
          <w:rFonts w:eastAsia="Courier New"/>
          <w:b/>
          <w:sz w:val="24"/>
          <w:szCs w:val="24"/>
          <w:lang w:val="en-US" w:eastAsia="en-US"/>
        </w:rPr>
        <w:t>Computer graphics in the modern world</w:t>
      </w:r>
    </w:p>
    <w:p w:rsidR="00281602" w:rsidRPr="00281602" w:rsidRDefault="00281602" w:rsidP="00281602">
      <w:pPr>
        <w:widowControl w:val="0"/>
        <w:ind w:firstLine="425"/>
        <w:jc w:val="both"/>
        <w:rPr>
          <w:rFonts w:eastAsia="Courier New"/>
          <w:b/>
          <w:sz w:val="24"/>
          <w:szCs w:val="24"/>
          <w:highlight w:val="yellow"/>
          <w:lang w:val="en-US" w:eastAsia="en-US"/>
        </w:rPr>
      </w:pPr>
    </w:p>
    <w:p w:rsidR="00281602" w:rsidRPr="00281602" w:rsidRDefault="00281602" w:rsidP="00D34D80">
      <w:pPr>
        <w:widowControl w:val="0"/>
        <w:tabs>
          <w:tab w:val="left" w:pos="8223"/>
        </w:tabs>
        <w:ind w:firstLine="425"/>
        <w:jc w:val="right"/>
        <w:rPr>
          <w:rFonts w:eastAsia="Courier New"/>
          <w:sz w:val="22"/>
          <w:szCs w:val="22"/>
          <w:lang w:eastAsia="en-US"/>
        </w:rPr>
      </w:pPr>
      <w:r w:rsidRPr="00281602">
        <w:rPr>
          <w:rFonts w:eastAsia="Courier New"/>
          <w:sz w:val="22"/>
          <w:szCs w:val="22"/>
          <w:lang w:eastAsia="en-US"/>
        </w:rPr>
        <w:t>Роганян Р. В.,</w:t>
      </w:r>
      <w:r w:rsidR="00D34D80">
        <w:rPr>
          <w:rFonts w:eastAsia="Courier New"/>
          <w:sz w:val="22"/>
          <w:szCs w:val="22"/>
          <w:lang w:eastAsia="en-US"/>
        </w:rPr>
        <w:t xml:space="preserve"> </w:t>
      </w:r>
      <w:r w:rsidRPr="00281602">
        <w:rPr>
          <w:rFonts w:eastAsia="Courier New"/>
          <w:sz w:val="22"/>
          <w:szCs w:val="22"/>
          <w:lang w:eastAsia="en-US"/>
        </w:rPr>
        <w:t>Уминская Н. Е.,</w:t>
      </w:r>
    </w:p>
    <w:p w:rsidR="00281602" w:rsidRPr="00281602" w:rsidRDefault="00D34D80" w:rsidP="00281602">
      <w:pPr>
        <w:widowControl w:val="0"/>
        <w:tabs>
          <w:tab w:val="left" w:pos="8223"/>
        </w:tabs>
        <w:ind w:firstLine="425"/>
        <w:jc w:val="right"/>
        <w:rPr>
          <w:rFonts w:eastAsia="Courier New"/>
          <w:sz w:val="22"/>
          <w:szCs w:val="22"/>
          <w:lang w:eastAsia="en-US"/>
        </w:rPr>
      </w:pPr>
      <w:r>
        <w:rPr>
          <w:rFonts w:eastAsia="Courier New"/>
          <w:sz w:val="22"/>
          <w:szCs w:val="22"/>
          <w:lang w:eastAsia="en-US"/>
        </w:rPr>
        <w:t>студенты</w:t>
      </w:r>
      <w:r w:rsidR="00281602" w:rsidRPr="00281602">
        <w:rPr>
          <w:rFonts w:eastAsia="Courier New"/>
          <w:sz w:val="22"/>
          <w:szCs w:val="22"/>
          <w:lang w:eastAsia="en-US"/>
        </w:rPr>
        <w:t xml:space="preserve"> 2-го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w:t>
      </w:r>
      <w:r w:rsidR="006F7F71">
        <w:rPr>
          <w:rFonts w:eastAsia="Courier New"/>
          <w:color w:val="000000"/>
          <w:sz w:val="22"/>
          <w:szCs w:val="22"/>
          <w:lang w:eastAsia="en-US"/>
        </w:rPr>
        <w:t>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sz w:val="22"/>
          <w:szCs w:val="22"/>
          <w:lang w:eastAsia="en-US"/>
        </w:rPr>
      </w:pPr>
    </w:p>
    <w:p w:rsidR="00281602" w:rsidRPr="00281602" w:rsidRDefault="00281602" w:rsidP="00281602">
      <w:pPr>
        <w:widowControl w:val="0"/>
        <w:tabs>
          <w:tab w:val="left" w:pos="8223"/>
        </w:tabs>
        <w:ind w:firstLine="425"/>
        <w:jc w:val="both"/>
        <w:rPr>
          <w:rFonts w:eastAsia="Courier New"/>
          <w:sz w:val="22"/>
          <w:szCs w:val="22"/>
          <w:lang w:eastAsia="en-US"/>
        </w:rPr>
      </w:pPr>
      <w:r w:rsidRPr="00281602">
        <w:rPr>
          <w:rFonts w:eastAsia="Courier New"/>
          <w:sz w:val="22"/>
          <w:szCs w:val="22"/>
          <w:lang w:eastAsia="en-US"/>
        </w:rPr>
        <w:t>АННОТАЦИЯ: В современное общество не обходится без к</w:t>
      </w:r>
      <w:r w:rsidRPr="00281602">
        <w:rPr>
          <w:rFonts w:eastAsia="Courier New"/>
          <w:sz w:val="22"/>
          <w:szCs w:val="22"/>
          <w:lang w:eastAsia="en-US"/>
        </w:rPr>
        <w:t>а</w:t>
      </w:r>
      <w:r w:rsidRPr="00281602">
        <w:rPr>
          <w:rFonts w:eastAsia="Courier New"/>
          <w:sz w:val="22"/>
          <w:szCs w:val="22"/>
          <w:lang w:eastAsia="en-US"/>
        </w:rPr>
        <w:t>чественного изображения на экране. Мониторы совершенствуются каждый день. Все виды компьютерной графики уникальны и и</w:t>
      </w:r>
      <w:r w:rsidRPr="00281602">
        <w:rPr>
          <w:rFonts w:eastAsia="Courier New"/>
          <w:sz w:val="22"/>
          <w:szCs w:val="22"/>
          <w:lang w:eastAsia="en-US"/>
        </w:rPr>
        <w:t>с</w:t>
      </w:r>
      <w:r w:rsidRPr="00281602">
        <w:rPr>
          <w:rFonts w:eastAsia="Courier New"/>
          <w:sz w:val="22"/>
          <w:szCs w:val="22"/>
          <w:lang w:eastAsia="en-US"/>
        </w:rPr>
        <w:t>пользуются человеком.</w:t>
      </w:r>
    </w:p>
    <w:p w:rsidR="00281602" w:rsidRPr="00281602" w:rsidRDefault="00281602" w:rsidP="00281602">
      <w:pPr>
        <w:widowControl w:val="0"/>
        <w:tabs>
          <w:tab w:val="left" w:pos="8223"/>
        </w:tabs>
        <w:ind w:firstLine="425"/>
        <w:jc w:val="both"/>
        <w:rPr>
          <w:rFonts w:eastAsia="Courier New"/>
          <w:sz w:val="22"/>
          <w:szCs w:val="22"/>
          <w:shd w:val="clear" w:color="auto" w:fill="FFFFFF"/>
          <w:lang w:val="en-US" w:eastAsia="en-US"/>
        </w:rPr>
      </w:pPr>
      <w:r w:rsidRPr="00281602">
        <w:rPr>
          <w:rFonts w:eastAsia="Courier New"/>
          <w:sz w:val="22"/>
          <w:szCs w:val="22"/>
          <w:lang w:val="en-US" w:eastAsia="en-US"/>
        </w:rPr>
        <w:t>ABSTRACT:</w:t>
      </w:r>
      <w:r w:rsidRPr="00281602">
        <w:rPr>
          <w:rFonts w:eastAsia="Courier New"/>
          <w:sz w:val="22"/>
          <w:szCs w:val="22"/>
          <w:shd w:val="clear" w:color="auto" w:fill="FFFFFF"/>
          <w:lang w:val="en-US" w:eastAsia="en-US"/>
        </w:rPr>
        <w:t xml:space="preserve"> In modern society can not do without a quality image on the screen. Monitors are improved every day. All kinds of computer graphics are unique and used by man.</w:t>
      </w:r>
    </w:p>
    <w:p w:rsidR="00281602" w:rsidRPr="00281602" w:rsidRDefault="00281602" w:rsidP="00281602">
      <w:pPr>
        <w:widowControl w:val="0"/>
        <w:tabs>
          <w:tab w:val="left" w:pos="8223"/>
        </w:tabs>
        <w:ind w:firstLine="425"/>
        <w:jc w:val="both"/>
        <w:rPr>
          <w:rFonts w:eastAsia="Courier New"/>
          <w:sz w:val="22"/>
          <w:szCs w:val="22"/>
          <w:lang w:eastAsia="en-US"/>
        </w:rPr>
      </w:pPr>
      <w:r w:rsidRPr="00281602">
        <w:rPr>
          <w:rFonts w:eastAsia="Courier New"/>
          <w:sz w:val="22"/>
          <w:szCs w:val="22"/>
          <w:lang w:eastAsia="en-US"/>
        </w:rPr>
        <w:t xml:space="preserve">КЛЮЧЕВЫЕ СЛОВА: </w:t>
      </w:r>
      <w:r w:rsidRPr="00281602">
        <w:rPr>
          <w:rFonts w:eastAsia="Calibri"/>
          <w:iCs/>
          <w:sz w:val="22"/>
          <w:szCs w:val="22"/>
          <w:shd w:val="clear" w:color="auto" w:fill="FEFEFE"/>
          <w:lang w:eastAsia="en-US"/>
        </w:rPr>
        <w:t>компьютерная графика, изображение</w:t>
      </w:r>
      <w:r w:rsidRPr="00281602">
        <w:rPr>
          <w:rFonts w:eastAsia="Courier New"/>
          <w:sz w:val="22"/>
          <w:szCs w:val="22"/>
          <w:lang w:eastAsia="en-US"/>
        </w:rPr>
        <w:t>, рисунок, монитор.</w:t>
      </w:r>
    </w:p>
    <w:p w:rsidR="00281602" w:rsidRPr="00281602" w:rsidRDefault="00281602" w:rsidP="00281602">
      <w:pPr>
        <w:widowControl w:val="0"/>
        <w:tabs>
          <w:tab w:val="left" w:pos="8223"/>
        </w:tabs>
        <w:ind w:firstLine="425"/>
        <w:jc w:val="both"/>
        <w:rPr>
          <w:rFonts w:eastAsia="Courier New"/>
          <w:sz w:val="22"/>
          <w:szCs w:val="22"/>
          <w:lang w:val="en-US" w:eastAsia="en-US"/>
        </w:rPr>
      </w:pPr>
      <w:r w:rsidRPr="00281602">
        <w:rPr>
          <w:rFonts w:eastAsia="Courier New"/>
          <w:sz w:val="22"/>
          <w:szCs w:val="22"/>
          <w:lang w:val="en-US" w:eastAsia="en-US"/>
        </w:rPr>
        <w:t>KEYWORDS:computer graphics, image, drawing, monitor.</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iCs/>
          <w:sz w:val="22"/>
          <w:szCs w:val="22"/>
          <w:shd w:val="clear" w:color="auto" w:fill="FEFEFE"/>
          <w:lang w:eastAsia="en-US"/>
        </w:rPr>
      </w:pPr>
      <w:r w:rsidRPr="00281602">
        <w:rPr>
          <w:rFonts w:eastAsia="Calibri"/>
          <w:sz w:val="22"/>
          <w:szCs w:val="22"/>
          <w:lang w:eastAsia="en-US"/>
        </w:rPr>
        <w:t>Начиная с середины 20 века человек научился представлять различные данные на мониторах больших ЭВМ, использовавшихся в военных и научных целях. С того времени графическое отображ</w:t>
      </w:r>
      <w:r w:rsidRPr="00281602">
        <w:rPr>
          <w:rFonts w:eastAsia="Calibri"/>
          <w:sz w:val="22"/>
          <w:szCs w:val="22"/>
          <w:lang w:eastAsia="en-US"/>
        </w:rPr>
        <w:t>е</w:t>
      </w:r>
      <w:r w:rsidRPr="00281602">
        <w:rPr>
          <w:rFonts w:eastAsia="Calibri"/>
          <w:sz w:val="22"/>
          <w:szCs w:val="22"/>
          <w:lang w:eastAsia="en-US"/>
        </w:rPr>
        <w:t>ние данных стало неотъемлемой частью большого числа различных компьютерных систем, а в наши дни и вовсе графический инте</w:t>
      </w:r>
      <w:r w:rsidRPr="00281602">
        <w:rPr>
          <w:rFonts w:eastAsia="Calibri"/>
          <w:sz w:val="22"/>
          <w:szCs w:val="22"/>
          <w:lang w:eastAsia="en-US"/>
        </w:rPr>
        <w:t>р</w:t>
      </w:r>
      <w:r w:rsidRPr="00281602">
        <w:rPr>
          <w:rFonts w:eastAsia="Calibri"/>
          <w:sz w:val="22"/>
          <w:szCs w:val="22"/>
          <w:lang w:eastAsia="en-US"/>
        </w:rPr>
        <w:t>фейс является стандартом для различного программного обеспеч</w:t>
      </w:r>
      <w:r w:rsidRPr="00281602">
        <w:rPr>
          <w:rFonts w:eastAsia="Calibri"/>
          <w:sz w:val="22"/>
          <w:szCs w:val="22"/>
          <w:lang w:eastAsia="en-US"/>
        </w:rPr>
        <w:t>е</w:t>
      </w:r>
      <w:r w:rsidRPr="00281602">
        <w:rPr>
          <w:rFonts w:eastAsia="Calibri"/>
          <w:sz w:val="22"/>
          <w:szCs w:val="22"/>
          <w:lang w:eastAsia="en-US"/>
        </w:rPr>
        <w:t>ния, начиная с операционных систем</w:t>
      </w:r>
      <w:r w:rsidRPr="00281602">
        <w:rPr>
          <w:rFonts w:eastAsia="Calibri"/>
          <w:iCs/>
          <w:sz w:val="22"/>
          <w:szCs w:val="22"/>
          <w:shd w:val="clear" w:color="auto" w:fill="FEFEFE"/>
          <w:lang w:eastAsia="en-US"/>
        </w:rPr>
        <w:t>.</w:t>
      </w:r>
    </w:p>
    <w:p w:rsidR="00281602" w:rsidRPr="00281602" w:rsidRDefault="00281602" w:rsidP="00281602">
      <w:pPr>
        <w:ind w:firstLine="425"/>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Существует 4 вида компьютерной графики:</w:t>
      </w:r>
    </w:p>
    <w:p w:rsidR="00281602" w:rsidRPr="00281602" w:rsidRDefault="00281602" w:rsidP="002D7DA5">
      <w:pPr>
        <w:numPr>
          <w:ilvl w:val="0"/>
          <w:numId w:val="48"/>
        </w:numPr>
        <w:spacing w:after="160" w:line="259" w:lineRule="auto"/>
        <w:ind w:left="0" w:firstLine="425"/>
        <w:contextualSpacing/>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фрактальная;</w:t>
      </w:r>
    </w:p>
    <w:p w:rsidR="00281602" w:rsidRPr="00281602" w:rsidRDefault="00281602" w:rsidP="002D7DA5">
      <w:pPr>
        <w:numPr>
          <w:ilvl w:val="0"/>
          <w:numId w:val="48"/>
        </w:numPr>
        <w:spacing w:after="160" w:line="259" w:lineRule="auto"/>
        <w:ind w:left="0" w:firstLine="425"/>
        <w:contextualSpacing/>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трехмерная;</w:t>
      </w:r>
    </w:p>
    <w:p w:rsidR="00281602" w:rsidRPr="00281602" w:rsidRDefault="00281602" w:rsidP="002D7DA5">
      <w:pPr>
        <w:numPr>
          <w:ilvl w:val="0"/>
          <w:numId w:val="48"/>
        </w:numPr>
        <w:spacing w:after="160" w:line="259" w:lineRule="auto"/>
        <w:ind w:left="0" w:firstLine="425"/>
        <w:contextualSpacing/>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растровая;</w:t>
      </w:r>
    </w:p>
    <w:p w:rsidR="00281602" w:rsidRPr="00281602" w:rsidRDefault="00281602" w:rsidP="002D7DA5">
      <w:pPr>
        <w:numPr>
          <w:ilvl w:val="0"/>
          <w:numId w:val="48"/>
        </w:numPr>
        <w:spacing w:after="160" w:line="259" w:lineRule="auto"/>
        <w:ind w:left="0" w:firstLine="425"/>
        <w:contextualSpacing/>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векторная.</w:t>
      </w:r>
    </w:p>
    <w:p w:rsidR="00281602" w:rsidRPr="00281602" w:rsidRDefault="00281602" w:rsidP="00281602">
      <w:pPr>
        <w:ind w:firstLine="425"/>
        <w:jc w:val="both"/>
        <w:rPr>
          <w:rFonts w:eastAsia="Calibri"/>
          <w:iCs/>
          <w:sz w:val="22"/>
          <w:szCs w:val="22"/>
          <w:shd w:val="clear" w:color="auto" w:fill="FEFEFE"/>
          <w:lang w:eastAsia="en-US"/>
        </w:rPr>
      </w:pPr>
      <w:r w:rsidRPr="00281602">
        <w:rPr>
          <w:rFonts w:eastAsia="Calibri"/>
          <w:iCs/>
          <w:sz w:val="22"/>
          <w:szCs w:val="22"/>
          <w:shd w:val="clear" w:color="auto" w:fill="FEFEFE"/>
          <w:lang w:eastAsia="en-US"/>
        </w:rPr>
        <w:t>Рассмотрим каждый вид.</w:t>
      </w:r>
    </w:p>
    <w:p w:rsidR="00281602" w:rsidRPr="00281602" w:rsidRDefault="00281602" w:rsidP="00281602">
      <w:pPr>
        <w:ind w:firstLine="425"/>
        <w:jc w:val="both"/>
        <w:rPr>
          <w:rFonts w:eastAsia="Calibri"/>
          <w:sz w:val="22"/>
          <w:szCs w:val="22"/>
          <w:shd w:val="clear" w:color="auto" w:fill="FEFEFE"/>
          <w:lang w:eastAsia="en-US"/>
        </w:rPr>
      </w:pPr>
      <w:r w:rsidRPr="00281602">
        <w:rPr>
          <w:rFonts w:eastAsia="Calibri"/>
          <w:sz w:val="22"/>
          <w:szCs w:val="22"/>
          <w:shd w:val="clear" w:color="auto" w:fill="FEFEFE"/>
          <w:lang w:eastAsia="en-US"/>
        </w:rPr>
        <w:t>Фрактальная графика. Данный вид компьютерной графики, о</w:t>
      </w:r>
      <w:r w:rsidRPr="00281602">
        <w:rPr>
          <w:rFonts w:eastAsia="Calibri"/>
          <w:sz w:val="22"/>
          <w:szCs w:val="22"/>
          <w:shd w:val="clear" w:color="auto" w:fill="FEFEFE"/>
          <w:lang w:eastAsia="en-US"/>
        </w:rPr>
        <w:t>с</w:t>
      </w:r>
      <w:r w:rsidRPr="00281602">
        <w:rPr>
          <w:rFonts w:eastAsia="Calibri"/>
          <w:sz w:val="22"/>
          <w:szCs w:val="22"/>
          <w:shd w:val="clear" w:color="auto" w:fill="FEFEFE"/>
          <w:lang w:eastAsia="en-US"/>
        </w:rPr>
        <w:t>нованной на математических вычислениях, является самым разв</w:t>
      </w:r>
      <w:r w:rsidRPr="00281602">
        <w:rPr>
          <w:rFonts w:eastAsia="Calibri"/>
          <w:sz w:val="22"/>
          <w:szCs w:val="22"/>
          <w:shd w:val="clear" w:color="auto" w:fill="FEFEFE"/>
          <w:lang w:eastAsia="en-US"/>
        </w:rPr>
        <w:t>и</w:t>
      </w:r>
      <w:r w:rsidRPr="00281602">
        <w:rPr>
          <w:rFonts w:eastAsia="Calibri"/>
          <w:sz w:val="22"/>
          <w:szCs w:val="22"/>
          <w:shd w:val="clear" w:color="auto" w:fill="FEFEFE"/>
          <w:lang w:eastAsia="en-US"/>
        </w:rPr>
        <w:t>ваемым на сегодняшний день. Базовый элемент фрактальной гр</w:t>
      </w:r>
      <w:r w:rsidRPr="00281602">
        <w:rPr>
          <w:rFonts w:eastAsia="Calibri"/>
          <w:sz w:val="22"/>
          <w:szCs w:val="22"/>
          <w:shd w:val="clear" w:color="auto" w:fill="FEFEFE"/>
          <w:lang w:eastAsia="en-US"/>
        </w:rPr>
        <w:t>а</w:t>
      </w:r>
      <w:r w:rsidRPr="00281602">
        <w:rPr>
          <w:rFonts w:eastAsia="Calibri"/>
          <w:sz w:val="22"/>
          <w:szCs w:val="22"/>
          <w:shd w:val="clear" w:color="auto" w:fill="FEFEFE"/>
          <w:lang w:eastAsia="en-US"/>
        </w:rPr>
        <w:lastRenderedPageBreak/>
        <w:t>фики – это математическая формула. Из этого следует, что в памяти компьютера нет никаких объектов, а изображение конструируется только уравнениями. Фрактальная графика способна построить изображение от простых структур до сложных иллюстраций, таких как трехмерные объекты или различные ландшафты. Стоит обр</w:t>
      </w:r>
      <w:r w:rsidRPr="00281602">
        <w:rPr>
          <w:rFonts w:eastAsia="Calibri"/>
          <w:sz w:val="22"/>
          <w:szCs w:val="22"/>
          <w:shd w:val="clear" w:color="auto" w:fill="FEFEFE"/>
          <w:lang w:eastAsia="en-US"/>
        </w:rPr>
        <w:t>а</w:t>
      </w:r>
      <w:r w:rsidRPr="00281602">
        <w:rPr>
          <w:rFonts w:eastAsia="Calibri"/>
          <w:sz w:val="22"/>
          <w:szCs w:val="22"/>
          <w:shd w:val="clear" w:color="auto" w:fill="FEFEFE"/>
          <w:lang w:eastAsia="en-US"/>
        </w:rPr>
        <w:t>тить внимание на то, что фрактальная графика появилась в 21 веке и получила широкое распространение. С ее помощью можно прим</w:t>
      </w:r>
      <w:r w:rsidRPr="00281602">
        <w:rPr>
          <w:rFonts w:eastAsia="Calibri"/>
          <w:sz w:val="22"/>
          <w:szCs w:val="22"/>
          <w:shd w:val="clear" w:color="auto" w:fill="FEFEFE"/>
          <w:lang w:eastAsia="en-US"/>
        </w:rPr>
        <w:t>е</w:t>
      </w:r>
      <w:r w:rsidRPr="00281602">
        <w:rPr>
          <w:rFonts w:eastAsia="Calibri"/>
          <w:sz w:val="22"/>
          <w:szCs w:val="22"/>
          <w:shd w:val="clear" w:color="auto" w:fill="FEFEFE"/>
          <w:lang w:eastAsia="en-US"/>
        </w:rPr>
        <w:t>нить различные приемы, такие как симметрия, асимметрия, и др</w:t>
      </w:r>
      <w:r w:rsidRPr="00281602">
        <w:rPr>
          <w:rFonts w:eastAsia="Calibri"/>
          <w:sz w:val="22"/>
          <w:szCs w:val="22"/>
          <w:shd w:val="clear" w:color="auto" w:fill="FEFEFE"/>
          <w:lang w:eastAsia="en-US"/>
        </w:rPr>
        <w:t>у</w:t>
      </w:r>
      <w:r w:rsidRPr="00281602">
        <w:rPr>
          <w:rFonts w:eastAsia="Calibri"/>
          <w:sz w:val="22"/>
          <w:szCs w:val="22"/>
          <w:shd w:val="clear" w:color="auto" w:fill="FEFEFE"/>
          <w:lang w:eastAsia="en-US"/>
        </w:rPr>
        <w:t>гие, тем самым можно создать различные абстрактные композиции. Фрактальное изображение можно сравнить со структурой снежи</w:t>
      </w:r>
      <w:r w:rsidRPr="00281602">
        <w:rPr>
          <w:rFonts w:eastAsia="Calibri"/>
          <w:sz w:val="22"/>
          <w:szCs w:val="22"/>
          <w:shd w:val="clear" w:color="auto" w:fill="FEFEFE"/>
          <w:lang w:eastAsia="en-US"/>
        </w:rPr>
        <w:t>н</w:t>
      </w:r>
      <w:r w:rsidRPr="00281602">
        <w:rPr>
          <w:rFonts w:eastAsia="Calibri"/>
          <w:sz w:val="22"/>
          <w:szCs w:val="22"/>
          <w:shd w:val="clear" w:color="auto" w:fill="FEFEFE"/>
          <w:lang w:eastAsia="en-US"/>
        </w:rPr>
        <w:t>ки, элементы которой составляют одну композицию. Это свойство используется для создания орнамента или различных декоративны композиций. Благодаря современным алгоритмам синтеза коэфф</w:t>
      </w:r>
      <w:r w:rsidRPr="00281602">
        <w:rPr>
          <w:rFonts w:eastAsia="Calibri"/>
          <w:sz w:val="22"/>
          <w:szCs w:val="22"/>
          <w:shd w:val="clear" w:color="auto" w:fill="FEFEFE"/>
          <w:lang w:eastAsia="en-US"/>
        </w:rPr>
        <w:t>и</w:t>
      </w:r>
      <w:r w:rsidRPr="00281602">
        <w:rPr>
          <w:rFonts w:eastAsia="Calibri"/>
          <w:sz w:val="22"/>
          <w:szCs w:val="22"/>
          <w:shd w:val="clear" w:color="auto" w:fill="FEFEFE"/>
          <w:lang w:eastAsia="en-US"/>
        </w:rPr>
        <w:t>циентов кристалла, фрактальная графика позволяет воспроизвести копию любого изображения, максимально близкой к оригиналу.</w:t>
      </w:r>
    </w:p>
    <w:p w:rsidR="00281602" w:rsidRPr="00281602" w:rsidRDefault="00281602" w:rsidP="00281602">
      <w:pPr>
        <w:ind w:firstLine="425"/>
        <w:jc w:val="both"/>
        <w:rPr>
          <w:sz w:val="22"/>
          <w:szCs w:val="22"/>
          <w:shd w:val="clear" w:color="auto" w:fill="FEFEFE"/>
        </w:rPr>
      </w:pPr>
      <w:r w:rsidRPr="00281602">
        <w:rPr>
          <w:sz w:val="22"/>
          <w:szCs w:val="22"/>
          <w:shd w:val="clear" w:color="auto" w:fill="FEFEFE"/>
        </w:rPr>
        <w:t>Трехмерная графика. Этот вид графики подходит для научных расчетов, различного проектирования и моделирования. Трехмерная графика позволяет осуществить такие сложные задачи, как, напр</w:t>
      </w:r>
      <w:r w:rsidRPr="00281602">
        <w:rPr>
          <w:sz w:val="22"/>
          <w:szCs w:val="22"/>
          <w:shd w:val="clear" w:color="auto" w:fill="FEFEFE"/>
        </w:rPr>
        <w:t>и</w:t>
      </w:r>
      <w:r w:rsidRPr="00281602">
        <w:rPr>
          <w:sz w:val="22"/>
          <w:szCs w:val="22"/>
          <w:shd w:val="clear" w:color="auto" w:fill="FEFEFE"/>
        </w:rPr>
        <w:t>мер, смоделировать подвижное изображение реального физическ</w:t>
      </w:r>
      <w:r w:rsidRPr="00281602">
        <w:rPr>
          <w:sz w:val="22"/>
          <w:szCs w:val="22"/>
          <w:shd w:val="clear" w:color="auto" w:fill="FEFEFE"/>
        </w:rPr>
        <w:t>о</w:t>
      </w:r>
      <w:r w:rsidRPr="00281602">
        <w:rPr>
          <w:sz w:val="22"/>
          <w:szCs w:val="22"/>
          <w:shd w:val="clear" w:color="auto" w:fill="FEFEFE"/>
        </w:rPr>
        <w:t>го объекта. Стоит отметить, что трехмерная графика является об</w:t>
      </w:r>
      <w:r w:rsidRPr="00281602">
        <w:rPr>
          <w:sz w:val="22"/>
          <w:szCs w:val="22"/>
          <w:shd w:val="clear" w:color="auto" w:fill="FEFEFE"/>
        </w:rPr>
        <w:t>ъ</w:t>
      </w:r>
      <w:r w:rsidRPr="00281602">
        <w:rPr>
          <w:sz w:val="22"/>
          <w:szCs w:val="22"/>
          <w:shd w:val="clear" w:color="auto" w:fill="FEFEFE"/>
        </w:rPr>
        <w:t>ектно-ориентированной. Это говорит о том, что в трехмерной ко</w:t>
      </w:r>
      <w:r w:rsidRPr="00281602">
        <w:rPr>
          <w:sz w:val="22"/>
          <w:szCs w:val="22"/>
          <w:shd w:val="clear" w:color="auto" w:fill="FEFEFE"/>
        </w:rPr>
        <w:t>м</w:t>
      </w:r>
      <w:r w:rsidRPr="00281602">
        <w:rPr>
          <w:sz w:val="22"/>
          <w:szCs w:val="22"/>
          <w:shd w:val="clear" w:color="auto" w:fill="FEFEFE"/>
        </w:rPr>
        <w:t>позиции можно изменять как все объекты отдельно, так и все вм</w:t>
      </w:r>
      <w:r w:rsidRPr="00281602">
        <w:rPr>
          <w:sz w:val="22"/>
          <w:szCs w:val="22"/>
          <w:shd w:val="clear" w:color="auto" w:fill="FEFEFE"/>
        </w:rPr>
        <w:t>е</w:t>
      </w:r>
      <w:r w:rsidRPr="00281602">
        <w:rPr>
          <w:sz w:val="22"/>
          <w:szCs w:val="22"/>
          <w:shd w:val="clear" w:color="auto" w:fill="FEFEFE"/>
        </w:rPr>
        <w:t>сте.</w:t>
      </w:r>
    </w:p>
    <w:p w:rsidR="00281602" w:rsidRPr="00281602" w:rsidRDefault="00281602" w:rsidP="00281602">
      <w:pPr>
        <w:ind w:firstLine="425"/>
        <w:jc w:val="both"/>
        <w:rPr>
          <w:rFonts w:eastAsia="Calibri"/>
          <w:sz w:val="22"/>
          <w:szCs w:val="22"/>
          <w:shd w:val="clear" w:color="auto" w:fill="FEFEFE"/>
          <w:lang w:eastAsia="en-US"/>
        </w:rPr>
      </w:pPr>
      <w:r w:rsidRPr="00281602">
        <w:rPr>
          <w:sz w:val="22"/>
          <w:szCs w:val="22"/>
          <w:shd w:val="clear" w:color="auto" w:fill="FEFEFE"/>
        </w:rPr>
        <w:t>Векторная графика. Векторная графика</w:t>
      </w:r>
      <w:r w:rsidRPr="00281602">
        <w:rPr>
          <w:rFonts w:eastAsia="Calibri"/>
          <w:sz w:val="22"/>
          <w:szCs w:val="22"/>
          <w:shd w:val="clear" w:color="auto" w:fill="FEFEFE"/>
          <w:lang w:eastAsia="en-US"/>
        </w:rPr>
        <w:t xml:space="preserve"> рисует изображение с помощью математических формул и представляет собой массив пикселей, а также хранит информацию для каждого из них. Друг</w:t>
      </w:r>
      <w:r w:rsidRPr="00281602">
        <w:rPr>
          <w:rFonts w:eastAsia="Calibri"/>
          <w:sz w:val="22"/>
          <w:szCs w:val="22"/>
          <w:shd w:val="clear" w:color="auto" w:fill="FEFEFE"/>
          <w:lang w:eastAsia="en-US"/>
        </w:rPr>
        <w:t>и</w:t>
      </w:r>
      <w:r w:rsidRPr="00281602">
        <w:rPr>
          <w:rFonts w:eastAsia="Calibri"/>
          <w:sz w:val="22"/>
          <w:szCs w:val="22"/>
          <w:shd w:val="clear" w:color="auto" w:fill="FEFEFE"/>
          <w:lang w:eastAsia="en-US"/>
        </w:rPr>
        <w:t>ми словами, векторная графика – это набор графических примит</w:t>
      </w:r>
      <w:r w:rsidRPr="00281602">
        <w:rPr>
          <w:rFonts w:eastAsia="Calibri"/>
          <w:sz w:val="22"/>
          <w:szCs w:val="22"/>
          <w:shd w:val="clear" w:color="auto" w:fill="FEFEFE"/>
          <w:lang w:eastAsia="en-US"/>
        </w:rPr>
        <w:t>и</w:t>
      </w:r>
      <w:r w:rsidRPr="00281602">
        <w:rPr>
          <w:rFonts w:eastAsia="Calibri"/>
          <w:sz w:val="22"/>
          <w:szCs w:val="22"/>
          <w:shd w:val="clear" w:color="auto" w:fill="FEFEFE"/>
          <w:lang w:eastAsia="en-US"/>
        </w:rPr>
        <w:t>вов, состоящих из математических формул. К примеру, чтобы нар</w:t>
      </w:r>
      <w:r w:rsidRPr="00281602">
        <w:rPr>
          <w:rFonts w:eastAsia="Calibri"/>
          <w:sz w:val="22"/>
          <w:szCs w:val="22"/>
          <w:shd w:val="clear" w:color="auto" w:fill="FEFEFE"/>
          <w:lang w:eastAsia="en-US"/>
        </w:rPr>
        <w:t>и</w:t>
      </w:r>
      <w:r w:rsidRPr="00281602">
        <w:rPr>
          <w:rFonts w:eastAsia="Calibri"/>
          <w:sz w:val="22"/>
          <w:szCs w:val="22"/>
          <w:shd w:val="clear" w:color="auto" w:fill="FEFEFE"/>
          <w:lang w:eastAsia="en-US"/>
        </w:rPr>
        <w:t>совать линию с помощью векторной графики, следует знать только начальную точку и конечную, а также цвет. Главная особенность векторного построения изображений в том, что при изменении ра</w:t>
      </w:r>
      <w:r w:rsidRPr="00281602">
        <w:rPr>
          <w:rFonts w:eastAsia="Calibri"/>
          <w:sz w:val="22"/>
          <w:szCs w:val="22"/>
          <w:shd w:val="clear" w:color="auto" w:fill="FEFEFE"/>
          <w:lang w:eastAsia="en-US"/>
        </w:rPr>
        <w:t>з</w:t>
      </w:r>
      <w:r w:rsidRPr="00281602">
        <w:rPr>
          <w:rFonts w:eastAsia="Calibri"/>
          <w:sz w:val="22"/>
          <w:szCs w:val="22"/>
          <w:shd w:val="clear" w:color="auto" w:fill="FEFEFE"/>
          <w:lang w:eastAsia="en-US"/>
        </w:rPr>
        <w:t>мера изображения его качество сохранится (как и при увеличении, так и при уменьшении).</w:t>
      </w:r>
    </w:p>
    <w:p w:rsidR="00281602" w:rsidRPr="00281602" w:rsidRDefault="00281602" w:rsidP="00281602">
      <w:pPr>
        <w:ind w:firstLine="425"/>
        <w:jc w:val="both"/>
        <w:rPr>
          <w:rFonts w:eastAsia="Calibri"/>
          <w:sz w:val="22"/>
          <w:szCs w:val="22"/>
          <w:shd w:val="clear" w:color="auto" w:fill="FEFEFE"/>
          <w:lang w:eastAsia="en-US"/>
        </w:rPr>
      </w:pPr>
      <w:r w:rsidRPr="00281602">
        <w:rPr>
          <w:rFonts w:eastAsia="Calibri"/>
          <w:sz w:val="22"/>
          <w:szCs w:val="22"/>
          <w:shd w:val="clear" w:color="auto" w:fill="FEFEFE"/>
          <w:lang w:eastAsia="en-US"/>
        </w:rPr>
        <w:t>Следует ответить некоторые достоинства векторной графики:</w:t>
      </w:r>
    </w:p>
    <w:p w:rsidR="00281602" w:rsidRPr="00281602" w:rsidRDefault="00281602" w:rsidP="002D7DA5">
      <w:pPr>
        <w:numPr>
          <w:ilvl w:val="0"/>
          <w:numId w:val="49"/>
        </w:numPr>
        <w:spacing w:after="160" w:line="259" w:lineRule="auto"/>
        <w:ind w:left="0" w:firstLine="425"/>
        <w:contextualSpacing/>
        <w:jc w:val="both"/>
        <w:rPr>
          <w:rFonts w:eastAsia="Calibri"/>
          <w:sz w:val="22"/>
          <w:szCs w:val="22"/>
          <w:shd w:val="clear" w:color="auto" w:fill="FEFEFE"/>
          <w:lang w:eastAsia="en-US"/>
        </w:rPr>
      </w:pPr>
      <w:r w:rsidRPr="00281602">
        <w:rPr>
          <w:rFonts w:eastAsia="Calibri"/>
          <w:sz w:val="22"/>
          <w:szCs w:val="22"/>
          <w:shd w:val="clear" w:color="auto" w:fill="FEFEFE"/>
          <w:lang w:eastAsia="en-US"/>
        </w:rPr>
        <w:t>файлы растровой графики имеют небольшой вес (при н</w:t>
      </w:r>
      <w:r w:rsidRPr="00281602">
        <w:rPr>
          <w:rFonts w:eastAsia="Calibri"/>
          <w:sz w:val="22"/>
          <w:szCs w:val="22"/>
          <w:shd w:val="clear" w:color="auto" w:fill="FEFEFE"/>
          <w:lang w:eastAsia="en-US"/>
        </w:rPr>
        <w:t>е</w:t>
      </w:r>
      <w:r w:rsidRPr="00281602">
        <w:rPr>
          <w:rFonts w:eastAsia="Calibri"/>
          <w:sz w:val="22"/>
          <w:szCs w:val="22"/>
          <w:shd w:val="clear" w:color="auto" w:fill="FEFEFE"/>
          <w:lang w:eastAsia="en-US"/>
        </w:rPr>
        <w:t>сложной детализации);</w:t>
      </w:r>
    </w:p>
    <w:p w:rsidR="00281602" w:rsidRPr="00281602" w:rsidRDefault="00281602" w:rsidP="002D7DA5">
      <w:pPr>
        <w:numPr>
          <w:ilvl w:val="0"/>
          <w:numId w:val="49"/>
        </w:numPr>
        <w:spacing w:after="160" w:line="259" w:lineRule="auto"/>
        <w:ind w:left="0" w:firstLine="425"/>
        <w:contextualSpacing/>
        <w:jc w:val="both"/>
        <w:rPr>
          <w:rFonts w:eastAsia="Calibri"/>
          <w:sz w:val="22"/>
          <w:szCs w:val="22"/>
          <w:shd w:val="clear" w:color="auto" w:fill="FEFEFE"/>
          <w:lang w:eastAsia="en-US"/>
        </w:rPr>
      </w:pPr>
      <w:r w:rsidRPr="00281602">
        <w:rPr>
          <w:rFonts w:eastAsia="Calibri"/>
          <w:sz w:val="22"/>
          <w:szCs w:val="22"/>
          <w:shd w:val="clear" w:color="auto" w:fill="FEFEFE"/>
          <w:lang w:eastAsia="en-US"/>
        </w:rPr>
        <w:lastRenderedPageBreak/>
        <w:t>неограниченное изменение размера изображения без потерь качества;</w:t>
      </w:r>
    </w:p>
    <w:p w:rsidR="00281602" w:rsidRPr="00281602" w:rsidRDefault="00281602" w:rsidP="002D7DA5">
      <w:pPr>
        <w:numPr>
          <w:ilvl w:val="0"/>
          <w:numId w:val="49"/>
        </w:numPr>
        <w:spacing w:after="160" w:line="259" w:lineRule="auto"/>
        <w:ind w:left="0" w:firstLine="425"/>
        <w:contextualSpacing/>
        <w:jc w:val="both"/>
        <w:rPr>
          <w:rFonts w:eastAsia="Calibri"/>
          <w:sz w:val="22"/>
          <w:szCs w:val="22"/>
          <w:shd w:val="clear" w:color="auto" w:fill="FEFEFE"/>
          <w:lang w:eastAsia="en-US"/>
        </w:rPr>
      </w:pPr>
      <w:r w:rsidRPr="00281602">
        <w:rPr>
          <w:rFonts w:eastAsia="Calibri"/>
          <w:sz w:val="22"/>
          <w:szCs w:val="22"/>
          <w:shd w:val="clear" w:color="auto" w:fill="FEFEFE"/>
          <w:lang w:eastAsia="en-US"/>
        </w:rPr>
        <w:t>между объектами растровой графики можно делать такие операции как сложение, вычитание, пересечение, дополнение.</w:t>
      </w:r>
    </w:p>
    <w:p w:rsidR="00281602" w:rsidRPr="00281602" w:rsidRDefault="00281602" w:rsidP="00281602">
      <w:pPr>
        <w:ind w:firstLine="425"/>
        <w:jc w:val="both"/>
        <w:rPr>
          <w:rFonts w:eastAsia="Calibri"/>
          <w:sz w:val="22"/>
          <w:szCs w:val="22"/>
          <w:shd w:val="clear" w:color="auto" w:fill="FEFEFE"/>
          <w:lang w:eastAsia="en-US"/>
        </w:rPr>
      </w:pPr>
      <w:r w:rsidRPr="00281602">
        <w:rPr>
          <w:rFonts w:eastAsia="Calibri"/>
          <w:sz w:val="22"/>
          <w:szCs w:val="22"/>
          <w:shd w:val="clear" w:color="auto" w:fill="FEFEFE"/>
          <w:lang w:eastAsia="en-US"/>
        </w:rPr>
        <w:t>Из недостатков следует выделить только:</w:t>
      </w:r>
    </w:p>
    <w:p w:rsidR="00281602" w:rsidRPr="00281602" w:rsidRDefault="00281602" w:rsidP="002D7DA5">
      <w:pPr>
        <w:numPr>
          <w:ilvl w:val="0"/>
          <w:numId w:val="50"/>
        </w:numPr>
        <w:spacing w:after="160" w:line="259" w:lineRule="auto"/>
        <w:ind w:left="0" w:firstLine="425"/>
        <w:contextualSpacing/>
        <w:jc w:val="both"/>
        <w:rPr>
          <w:rFonts w:eastAsia="Calibri"/>
          <w:sz w:val="22"/>
          <w:szCs w:val="22"/>
          <w:lang w:eastAsia="en-US"/>
        </w:rPr>
      </w:pPr>
      <w:r w:rsidRPr="00281602">
        <w:rPr>
          <w:rFonts w:eastAsia="Calibri"/>
          <w:sz w:val="22"/>
          <w:szCs w:val="22"/>
          <w:shd w:val="clear" w:color="auto" w:fill="FEFEFE"/>
          <w:lang w:eastAsia="en-US"/>
        </w:rPr>
        <w:t>большой размер файла (если композиция сложная);</w:t>
      </w:r>
    </w:p>
    <w:p w:rsidR="00281602" w:rsidRPr="00281602" w:rsidRDefault="00281602" w:rsidP="002D7DA5">
      <w:pPr>
        <w:numPr>
          <w:ilvl w:val="0"/>
          <w:numId w:val="50"/>
        </w:numPr>
        <w:spacing w:after="160" w:line="259" w:lineRule="auto"/>
        <w:ind w:left="0" w:firstLine="425"/>
        <w:contextualSpacing/>
        <w:jc w:val="both"/>
        <w:rPr>
          <w:rFonts w:eastAsia="Calibri"/>
          <w:sz w:val="22"/>
          <w:szCs w:val="22"/>
          <w:shd w:val="clear" w:color="auto" w:fill="FEFEFE"/>
          <w:lang w:eastAsia="en-US"/>
        </w:rPr>
      </w:pPr>
      <w:r w:rsidRPr="00281602">
        <w:rPr>
          <w:rFonts w:eastAsia="Calibri"/>
          <w:sz w:val="22"/>
          <w:szCs w:val="22"/>
          <w:lang w:eastAsia="en-US"/>
        </w:rPr>
        <w:t>проблемы совместимости программ (многие программы и редакторы не поддерживают файлы с векторной графикой или отображают их некорректно).</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Растровая графика. Растровая графика – это изображения, к</w:t>
      </w:r>
      <w:r w:rsidRPr="00281602">
        <w:rPr>
          <w:rFonts w:eastAsia="Calibri"/>
          <w:sz w:val="22"/>
          <w:szCs w:val="22"/>
          <w:lang w:eastAsia="en-US"/>
        </w:rPr>
        <w:t>о</w:t>
      </w:r>
      <w:r w:rsidRPr="00281602">
        <w:rPr>
          <w:rFonts w:eastAsia="Calibri"/>
          <w:sz w:val="22"/>
          <w:szCs w:val="22"/>
          <w:lang w:eastAsia="en-US"/>
        </w:rPr>
        <w:t>торые состоят из пикселов. Пиксель – это наименьшая единица, из которого состоит изображение. В отличие от векторных изображ</w:t>
      </w:r>
      <w:r w:rsidRPr="00281602">
        <w:rPr>
          <w:rFonts w:eastAsia="Calibri"/>
          <w:sz w:val="22"/>
          <w:szCs w:val="22"/>
          <w:lang w:eastAsia="en-US"/>
        </w:rPr>
        <w:t>е</w:t>
      </w:r>
      <w:r w:rsidRPr="00281602">
        <w:rPr>
          <w:rFonts w:eastAsia="Calibri"/>
          <w:sz w:val="22"/>
          <w:szCs w:val="22"/>
          <w:lang w:eastAsia="en-US"/>
        </w:rPr>
        <w:t>ний, качество растровых изображений напрямую зависит от кол</w:t>
      </w:r>
      <w:r w:rsidRPr="00281602">
        <w:rPr>
          <w:rFonts w:eastAsia="Calibri"/>
          <w:sz w:val="22"/>
          <w:szCs w:val="22"/>
          <w:lang w:eastAsia="en-US"/>
        </w:rPr>
        <w:t>и</w:t>
      </w:r>
      <w:r w:rsidRPr="00281602">
        <w:rPr>
          <w:rFonts w:eastAsia="Calibri"/>
          <w:sz w:val="22"/>
          <w:szCs w:val="22"/>
          <w:lang w:eastAsia="en-US"/>
        </w:rPr>
        <w:t>чества пикселов. Если начать увеличивать пиксельное изображение, оно постепенно будет терять качество, так как изображение увел</w:t>
      </w:r>
      <w:r w:rsidRPr="00281602">
        <w:rPr>
          <w:rFonts w:eastAsia="Calibri"/>
          <w:sz w:val="22"/>
          <w:szCs w:val="22"/>
          <w:lang w:eastAsia="en-US"/>
        </w:rPr>
        <w:t>и</w:t>
      </w:r>
      <w:r w:rsidRPr="00281602">
        <w:rPr>
          <w:rFonts w:eastAsia="Calibri"/>
          <w:sz w:val="22"/>
          <w:szCs w:val="22"/>
          <w:lang w:eastAsia="en-US"/>
        </w:rPr>
        <w:t>чивается, а количество пикселов – нет.</w:t>
      </w:r>
    </w:p>
    <w:p w:rsidR="00281602" w:rsidRPr="00281602" w:rsidRDefault="00281602" w:rsidP="006F7F71">
      <w:pPr>
        <w:ind w:firstLine="425"/>
        <w:jc w:val="both"/>
        <w:rPr>
          <w:rFonts w:eastAsia="Calibri"/>
          <w:sz w:val="22"/>
          <w:szCs w:val="22"/>
          <w:lang w:eastAsia="en-US"/>
        </w:rPr>
      </w:pPr>
      <w:r w:rsidRPr="00281602">
        <w:rPr>
          <w:rFonts w:eastAsia="Calibri"/>
          <w:sz w:val="22"/>
          <w:szCs w:val="22"/>
          <w:lang w:eastAsia="en-US"/>
        </w:rPr>
        <w:t>Из достоинств выделим:</w:t>
      </w:r>
    </w:p>
    <w:p w:rsidR="00281602" w:rsidRPr="00281602" w:rsidRDefault="00281602" w:rsidP="006F7F71">
      <w:pPr>
        <w:numPr>
          <w:ilvl w:val="0"/>
          <w:numId w:val="51"/>
        </w:numPr>
        <w:ind w:left="0" w:firstLine="425"/>
        <w:contextualSpacing/>
        <w:jc w:val="both"/>
        <w:rPr>
          <w:rFonts w:eastAsia="Calibri"/>
          <w:sz w:val="22"/>
          <w:szCs w:val="22"/>
          <w:lang w:eastAsia="en-US"/>
        </w:rPr>
      </w:pPr>
      <w:r w:rsidRPr="00281602">
        <w:rPr>
          <w:rFonts w:eastAsia="Calibri"/>
          <w:sz w:val="22"/>
          <w:szCs w:val="22"/>
          <w:lang w:eastAsia="en-US"/>
        </w:rPr>
        <w:t>возможность повторить любое изображение;</w:t>
      </w:r>
    </w:p>
    <w:p w:rsidR="00281602" w:rsidRPr="00281602" w:rsidRDefault="00281602" w:rsidP="006F7F71">
      <w:pPr>
        <w:numPr>
          <w:ilvl w:val="0"/>
          <w:numId w:val="51"/>
        </w:numPr>
        <w:ind w:left="0" w:firstLine="425"/>
        <w:contextualSpacing/>
        <w:jc w:val="both"/>
        <w:rPr>
          <w:rFonts w:eastAsia="Calibri"/>
          <w:sz w:val="22"/>
          <w:szCs w:val="22"/>
          <w:lang w:eastAsia="en-US"/>
        </w:rPr>
      </w:pPr>
      <w:r w:rsidRPr="00281602">
        <w:rPr>
          <w:rFonts w:eastAsia="Calibri"/>
          <w:sz w:val="22"/>
          <w:szCs w:val="22"/>
          <w:lang w:eastAsia="en-US"/>
        </w:rPr>
        <w:t>точная передача всех цветов.</w:t>
      </w:r>
    </w:p>
    <w:p w:rsidR="00281602" w:rsidRPr="00281602" w:rsidRDefault="00281602" w:rsidP="006F7F71">
      <w:pPr>
        <w:ind w:firstLine="425"/>
        <w:jc w:val="both"/>
        <w:rPr>
          <w:rFonts w:eastAsia="Calibri"/>
          <w:sz w:val="22"/>
          <w:szCs w:val="22"/>
          <w:lang w:eastAsia="en-US"/>
        </w:rPr>
      </w:pPr>
      <w:r w:rsidRPr="00281602">
        <w:rPr>
          <w:rFonts w:eastAsia="Calibri"/>
          <w:sz w:val="22"/>
          <w:szCs w:val="22"/>
          <w:lang w:eastAsia="en-US"/>
        </w:rPr>
        <w:t>Недостатки:</w:t>
      </w:r>
    </w:p>
    <w:p w:rsidR="00281602" w:rsidRPr="00281602" w:rsidRDefault="00281602" w:rsidP="006F7F71">
      <w:pPr>
        <w:numPr>
          <w:ilvl w:val="0"/>
          <w:numId w:val="52"/>
        </w:numPr>
        <w:shd w:val="clear" w:color="auto" w:fill="FEFEFE"/>
        <w:ind w:left="0" w:firstLine="425"/>
        <w:jc w:val="both"/>
        <w:rPr>
          <w:sz w:val="22"/>
          <w:szCs w:val="22"/>
        </w:rPr>
      </w:pPr>
      <w:r w:rsidRPr="00281602">
        <w:rPr>
          <w:sz w:val="22"/>
          <w:szCs w:val="22"/>
        </w:rPr>
        <w:t>большие размеры файлов (так как для каждого пикселя хр</w:t>
      </w:r>
      <w:r w:rsidRPr="00281602">
        <w:rPr>
          <w:sz w:val="22"/>
          <w:szCs w:val="22"/>
        </w:rPr>
        <w:t>а</w:t>
      </w:r>
      <w:r w:rsidRPr="00281602">
        <w:rPr>
          <w:sz w:val="22"/>
          <w:szCs w:val="22"/>
        </w:rPr>
        <w:t>нится отдельная ячейка памяти);</w:t>
      </w:r>
    </w:p>
    <w:p w:rsidR="00281602" w:rsidRPr="00281602" w:rsidRDefault="00281602" w:rsidP="006F7F71">
      <w:pPr>
        <w:numPr>
          <w:ilvl w:val="0"/>
          <w:numId w:val="52"/>
        </w:numPr>
        <w:shd w:val="clear" w:color="auto" w:fill="FEFEFE"/>
        <w:ind w:left="0" w:firstLine="425"/>
        <w:jc w:val="both"/>
        <w:rPr>
          <w:sz w:val="22"/>
          <w:szCs w:val="22"/>
        </w:rPr>
      </w:pPr>
      <w:r w:rsidRPr="00281602">
        <w:rPr>
          <w:sz w:val="22"/>
          <w:szCs w:val="22"/>
        </w:rPr>
        <w:t>невозможно без потери качества увеличить изображение.</w:t>
      </w:r>
    </w:p>
    <w:p w:rsidR="00281602" w:rsidRPr="00281602" w:rsidRDefault="00281602" w:rsidP="006F7F71">
      <w:pPr>
        <w:shd w:val="clear" w:color="auto" w:fill="FEFEFE"/>
        <w:ind w:firstLine="425"/>
        <w:jc w:val="both"/>
        <w:rPr>
          <w:sz w:val="22"/>
          <w:szCs w:val="22"/>
        </w:rPr>
      </w:pPr>
      <w:r w:rsidRPr="00281602">
        <w:rPr>
          <w:sz w:val="22"/>
          <w:szCs w:val="22"/>
        </w:rPr>
        <w:t>В современном обществе тяжело обойтись без качественного изображения на экране, мониторы совершенствуются каждый день, увеличивая количество пикселов на дюйм. Все виды компьютерной графики уникальны и используются человеком, но стоит отметить, что наши мониторы отображают двухмерное растровое изображ</w:t>
      </w:r>
      <w:r w:rsidRPr="00281602">
        <w:rPr>
          <w:sz w:val="22"/>
          <w:szCs w:val="22"/>
        </w:rPr>
        <w:t>е</w:t>
      </w:r>
      <w:r w:rsidRPr="00281602">
        <w:rPr>
          <w:sz w:val="22"/>
          <w:szCs w:val="22"/>
        </w:rPr>
        <w:t>ние. Все это благодаря высокотехнологичным матрицам в монит</w:t>
      </w:r>
      <w:r w:rsidRPr="00281602">
        <w:rPr>
          <w:sz w:val="22"/>
          <w:szCs w:val="22"/>
        </w:rPr>
        <w:t>о</w:t>
      </w:r>
      <w:r w:rsidRPr="00281602">
        <w:rPr>
          <w:sz w:val="22"/>
          <w:szCs w:val="22"/>
        </w:rPr>
        <w:t>рах, именно благодаря им формируется изображение. Для вывода изображения на экран используются ресурсы видеокарт.</w:t>
      </w:r>
    </w:p>
    <w:p w:rsidR="00281602" w:rsidRPr="00281602" w:rsidRDefault="00281602" w:rsidP="00281602">
      <w:pPr>
        <w:shd w:val="clear" w:color="auto" w:fill="FEFEFE"/>
        <w:ind w:firstLine="425"/>
        <w:jc w:val="both"/>
        <w:rPr>
          <w:sz w:val="22"/>
          <w:szCs w:val="22"/>
        </w:rPr>
      </w:pPr>
    </w:p>
    <w:p w:rsidR="00281602" w:rsidRPr="00281602" w:rsidRDefault="00281602" w:rsidP="00281602">
      <w:pPr>
        <w:widowControl w:val="0"/>
        <w:autoSpaceDE w:val="0"/>
        <w:autoSpaceDN w:val="0"/>
        <w:adjustRightInd w:val="0"/>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D7DA5">
      <w:pPr>
        <w:widowControl w:val="0"/>
        <w:numPr>
          <w:ilvl w:val="0"/>
          <w:numId w:val="53"/>
        </w:numPr>
        <w:autoSpaceDE w:val="0"/>
        <w:autoSpaceDN w:val="0"/>
        <w:adjustRightInd w:val="0"/>
        <w:spacing w:after="160" w:line="259" w:lineRule="auto"/>
        <w:ind w:left="0" w:firstLine="425"/>
        <w:contextualSpacing/>
        <w:jc w:val="both"/>
        <w:rPr>
          <w:sz w:val="22"/>
          <w:szCs w:val="22"/>
        </w:rPr>
      </w:pPr>
      <w:r w:rsidRPr="00281602">
        <w:rPr>
          <w:sz w:val="22"/>
          <w:szCs w:val="22"/>
        </w:rPr>
        <w:t xml:space="preserve">Роганян Р.В., </w:t>
      </w:r>
      <w:hyperlink r:id="rId155" w:history="1">
        <w:r w:rsidRPr="00281602">
          <w:rPr>
            <w:sz w:val="22"/>
            <w:szCs w:val="22"/>
          </w:rPr>
          <w:t>Налоги и другие обязательные платежи гос</w:t>
        </w:r>
        <w:r w:rsidRPr="00281602">
          <w:rPr>
            <w:sz w:val="22"/>
            <w:szCs w:val="22"/>
          </w:rPr>
          <w:t>у</w:t>
        </w:r>
        <w:r w:rsidRPr="00281602">
          <w:rPr>
            <w:sz w:val="22"/>
            <w:szCs w:val="22"/>
          </w:rPr>
          <w:t>дарству в российской федерации</w:t>
        </w:r>
      </w:hyperlink>
      <w:r w:rsidRPr="00281602">
        <w:rPr>
          <w:sz w:val="22"/>
          <w:szCs w:val="22"/>
        </w:rPr>
        <w:t>Роганян Р.В., Бочкова Т.А. В сбо</w:t>
      </w:r>
      <w:r w:rsidRPr="00281602">
        <w:rPr>
          <w:sz w:val="22"/>
          <w:szCs w:val="22"/>
        </w:rPr>
        <w:t>р</w:t>
      </w:r>
      <w:r w:rsidRPr="00281602">
        <w:rPr>
          <w:sz w:val="22"/>
          <w:szCs w:val="22"/>
        </w:rPr>
        <w:t>нике: </w:t>
      </w:r>
      <w:hyperlink r:id="rId156" w:history="1">
        <w:r w:rsidRPr="00281602">
          <w:rPr>
            <w:sz w:val="22"/>
            <w:szCs w:val="22"/>
          </w:rPr>
          <w:t>информационное общество: современное состояние и пе</w:t>
        </w:r>
        <w:r w:rsidRPr="00281602">
          <w:rPr>
            <w:sz w:val="22"/>
            <w:szCs w:val="22"/>
          </w:rPr>
          <w:t>р</w:t>
        </w:r>
        <w:r w:rsidRPr="00281602">
          <w:rPr>
            <w:sz w:val="22"/>
            <w:szCs w:val="22"/>
          </w:rPr>
          <w:lastRenderedPageBreak/>
          <w:t>спективы развития</w:t>
        </w:r>
      </w:hyperlink>
      <w:r w:rsidRPr="00281602">
        <w:rPr>
          <w:sz w:val="22"/>
          <w:szCs w:val="22"/>
        </w:rPr>
        <w:t xml:space="preserve"> сборник материалов VIII международного ф</w:t>
      </w:r>
      <w:r w:rsidRPr="00281602">
        <w:rPr>
          <w:sz w:val="22"/>
          <w:szCs w:val="22"/>
        </w:rPr>
        <w:t>о</w:t>
      </w:r>
      <w:r w:rsidRPr="00281602">
        <w:rPr>
          <w:sz w:val="22"/>
          <w:szCs w:val="22"/>
        </w:rPr>
        <w:t>рума. 2017. С. 400-403.</w:t>
      </w:r>
    </w:p>
    <w:p w:rsidR="00281602" w:rsidRPr="00281602" w:rsidRDefault="00281602" w:rsidP="002D7DA5">
      <w:pPr>
        <w:widowControl w:val="0"/>
        <w:numPr>
          <w:ilvl w:val="0"/>
          <w:numId w:val="53"/>
        </w:numPr>
        <w:autoSpaceDE w:val="0"/>
        <w:autoSpaceDN w:val="0"/>
        <w:adjustRightInd w:val="0"/>
        <w:spacing w:after="160" w:line="259" w:lineRule="auto"/>
        <w:ind w:left="0" w:firstLine="425"/>
        <w:contextualSpacing/>
        <w:jc w:val="both"/>
        <w:rPr>
          <w:sz w:val="22"/>
          <w:szCs w:val="22"/>
        </w:rPr>
      </w:pPr>
      <w:r w:rsidRPr="00281602">
        <w:rPr>
          <w:sz w:val="22"/>
          <w:szCs w:val="22"/>
        </w:rPr>
        <w:t xml:space="preserve">Роганян Р.В., </w:t>
      </w:r>
      <w:hyperlink r:id="rId157" w:history="1">
        <w:r w:rsidRPr="00281602">
          <w:rPr>
            <w:sz w:val="22"/>
            <w:szCs w:val="22"/>
          </w:rPr>
          <w:t>Сущность малого и среднего бизнеса в россии и его значение</w:t>
        </w:r>
      </w:hyperlink>
      <w:r w:rsidRPr="00281602">
        <w:rPr>
          <w:sz w:val="22"/>
          <w:szCs w:val="22"/>
        </w:rPr>
        <w:t>Роганян Р.В., Курносова Н.С. В сборн</w:t>
      </w:r>
      <w:r w:rsidRPr="00281602">
        <w:rPr>
          <w:sz w:val="22"/>
          <w:szCs w:val="22"/>
        </w:rPr>
        <w:t>и</w:t>
      </w:r>
      <w:r w:rsidRPr="00281602">
        <w:rPr>
          <w:sz w:val="22"/>
          <w:szCs w:val="22"/>
        </w:rPr>
        <w:t>ке: </w:t>
      </w:r>
      <w:hyperlink r:id="rId158" w:history="1">
        <w:r w:rsidRPr="00281602">
          <w:rPr>
            <w:sz w:val="22"/>
            <w:szCs w:val="22"/>
          </w:rPr>
          <w:t>информационное общество: современное состояние и перспе</w:t>
        </w:r>
        <w:r w:rsidRPr="00281602">
          <w:rPr>
            <w:sz w:val="22"/>
            <w:szCs w:val="22"/>
          </w:rPr>
          <w:t>к</w:t>
        </w:r>
        <w:r w:rsidRPr="00281602">
          <w:rPr>
            <w:sz w:val="22"/>
            <w:szCs w:val="22"/>
          </w:rPr>
          <w:t>тивы развития</w:t>
        </w:r>
      </w:hyperlink>
      <w:r w:rsidRPr="00281602">
        <w:rPr>
          <w:sz w:val="22"/>
          <w:szCs w:val="22"/>
        </w:rPr>
        <w:t xml:space="preserve"> сборник материалов VIII международного форума. 2017. С. 404-406.</w:t>
      </w:r>
    </w:p>
    <w:p w:rsidR="00281602" w:rsidRPr="00281602" w:rsidRDefault="009D0151" w:rsidP="002D7DA5">
      <w:pPr>
        <w:widowControl w:val="0"/>
        <w:numPr>
          <w:ilvl w:val="0"/>
          <w:numId w:val="53"/>
        </w:numPr>
        <w:autoSpaceDE w:val="0"/>
        <w:autoSpaceDN w:val="0"/>
        <w:adjustRightInd w:val="0"/>
        <w:spacing w:after="160" w:line="259" w:lineRule="auto"/>
        <w:ind w:left="0" w:firstLine="425"/>
        <w:contextualSpacing/>
        <w:jc w:val="both"/>
        <w:rPr>
          <w:sz w:val="22"/>
          <w:szCs w:val="22"/>
        </w:rPr>
      </w:pPr>
      <w:hyperlink r:id="rId159" w:history="1">
        <w:r w:rsidR="00281602" w:rsidRPr="00281602">
          <w:rPr>
            <w:sz w:val="22"/>
            <w:szCs w:val="22"/>
          </w:rPr>
          <w:t>Комиссарова К.А.</w:t>
        </w:r>
      </w:hyperlink>
      <w:r w:rsidR="00281602" w:rsidRPr="00281602">
        <w:rPr>
          <w:sz w:val="22"/>
          <w:szCs w:val="22"/>
        </w:rPr>
        <w:t> Методы фрактального анализа и фазовых портретов для прогнозирования временных рядов социального страхования страхования//</w:t>
      </w:r>
      <w:hyperlink r:id="rId160" w:tooltip="Известия высших учебных заведений. Пищевая технология" w:history="1">
        <w:r w:rsidR="00281602" w:rsidRPr="00281602">
          <w:rPr>
            <w:sz w:val="22"/>
            <w:szCs w:val="22"/>
          </w:rPr>
          <w:t>Деп. ВИНИТИ</w:t>
        </w:r>
      </w:hyperlink>
      <w:r w:rsidR="00281602" w:rsidRPr="00281602">
        <w:rPr>
          <w:sz w:val="22"/>
          <w:szCs w:val="22"/>
        </w:rPr>
        <w:t>, 2004. -38с.ил., №1518-В 2004 от 27.09.2004. </w:t>
      </w:r>
    </w:p>
    <w:p w:rsidR="00281602" w:rsidRPr="00281602" w:rsidRDefault="009D0151" w:rsidP="002D7DA5">
      <w:pPr>
        <w:widowControl w:val="0"/>
        <w:numPr>
          <w:ilvl w:val="0"/>
          <w:numId w:val="53"/>
        </w:numPr>
        <w:autoSpaceDE w:val="0"/>
        <w:autoSpaceDN w:val="0"/>
        <w:adjustRightInd w:val="0"/>
        <w:spacing w:after="160" w:line="259" w:lineRule="auto"/>
        <w:ind w:left="0" w:firstLine="425"/>
        <w:contextualSpacing/>
        <w:jc w:val="both"/>
        <w:rPr>
          <w:sz w:val="22"/>
          <w:szCs w:val="22"/>
        </w:rPr>
      </w:pPr>
      <w:hyperlink r:id="rId161" w:history="1">
        <w:r w:rsidR="00281602" w:rsidRPr="00281602">
          <w:rPr>
            <w:sz w:val="22"/>
            <w:szCs w:val="22"/>
          </w:rPr>
          <w:t>Ручинская Ю.С.</w:t>
        </w:r>
      </w:hyperlink>
      <w:r w:rsidR="00281602" w:rsidRPr="00281602">
        <w:rPr>
          <w:sz w:val="22"/>
          <w:szCs w:val="22"/>
        </w:rPr>
        <w:t> Транспортная задача и ее применение в ооо «Виктория»/</w:t>
      </w:r>
      <w:hyperlink r:id="rId162" w:history="1">
        <w:r w:rsidR="00281602" w:rsidRPr="00281602">
          <w:rPr>
            <w:sz w:val="22"/>
            <w:szCs w:val="22"/>
          </w:rPr>
          <w:t>Ручинская Ю.С.</w:t>
        </w:r>
      </w:hyperlink>
      <w:r w:rsidR="00281602" w:rsidRPr="00281602">
        <w:rPr>
          <w:sz w:val="22"/>
          <w:szCs w:val="22"/>
        </w:rPr>
        <w:t>, </w:t>
      </w:r>
      <w:hyperlink r:id="rId163" w:history="1">
        <w:r w:rsidR="00281602" w:rsidRPr="00281602">
          <w:rPr>
            <w:sz w:val="22"/>
            <w:szCs w:val="22"/>
          </w:rPr>
          <w:t>Панкратова Е.В.</w:t>
        </w:r>
      </w:hyperlink>
      <w:r w:rsidR="00281602" w:rsidRPr="00281602">
        <w:rPr>
          <w:sz w:val="22"/>
          <w:szCs w:val="22"/>
        </w:rPr>
        <w:t>, </w:t>
      </w:r>
      <w:hyperlink r:id="rId164" w:history="1">
        <w:r w:rsidR="00281602" w:rsidRPr="00281602">
          <w:rPr>
            <w:sz w:val="22"/>
            <w:szCs w:val="22"/>
          </w:rPr>
          <w:t>Ковалева К.А.</w:t>
        </w:r>
      </w:hyperlink>
      <w:r w:rsidR="00281602" w:rsidRPr="00281602">
        <w:rPr>
          <w:sz w:val="22"/>
          <w:szCs w:val="22"/>
        </w:rPr>
        <w:t>//</w:t>
      </w:r>
      <w:hyperlink r:id="rId165" w:tooltip="Политематический сетевой электронный научный журнал Кубанского государственного аграрного университета" w:history="1">
        <w:r w:rsidR="00281602" w:rsidRPr="00281602">
          <w:rPr>
            <w:sz w:val="22"/>
            <w:szCs w:val="22"/>
          </w:rPr>
          <w:t>Политематический сетевой электронный научный журнал К</w:t>
        </w:r>
        <w:r w:rsidR="00281602" w:rsidRPr="00281602">
          <w:rPr>
            <w:sz w:val="22"/>
            <w:szCs w:val="22"/>
          </w:rPr>
          <w:t>у</w:t>
        </w:r>
        <w:r w:rsidR="00281602" w:rsidRPr="00281602">
          <w:rPr>
            <w:sz w:val="22"/>
            <w:szCs w:val="22"/>
          </w:rPr>
          <w:t>банского государственного аграрного университета (Научный жу</w:t>
        </w:r>
        <w:r w:rsidR="00281602" w:rsidRPr="00281602">
          <w:rPr>
            <w:sz w:val="22"/>
            <w:szCs w:val="22"/>
          </w:rPr>
          <w:t>р</w:t>
        </w:r>
        <w:r w:rsidR="00281602" w:rsidRPr="00281602">
          <w:rPr>
            <w:sz w:val="22"/>
            <w:szCs w:val="22"/>
          </w:rPr>
          <w:t>нал КубГАУ)</w:t>
        </w:r>
      </w:hyperlink>
      <w:r w:rsidR="00281602" w:rsidRPr="00281602">
        <w:rPr>
          <w:sz w:val="22"/>
          <w:szCs w:val="22"/>
        </w:rPr>
        <w:t> . -Краснодар: КубГАУ, 2015. -№05(109). -IDA : 1091505019. -Режим доступа: </w:t>
      </w:r>
      <w:hyperlink r:id="rId166" w:tgtFrame="_new" w:history="1">
        <w:r w:rsidR="00281602" w:rsidRPr="00281602">
          <w:rPr>
            <w:sz w:val="22"/>
            <w:szCs w:val="22"/>
          </w:rPr>
          <w:t>http://ej.kubagro.ru/2015/05/pdf/19.pdf</w:t>
        </w:r>
      </w:hyperlink>
      <w:r w:rsidR="00281602" w:rsidRPr="00281602">
        <w:rPr>
          <w:sz w:val="22"/>
          <w:szCs w:val="22"/>
        </w:rPr>
        <w:t>. 0,688 у.п.л.  </w:t>
      </w:r>
    </w:p>
    <w:p w:rsidR="00281602" w:rsidRPr="00281602" w:rsidRDefault="00281602" w:rsidP="002D7DA5">
      <w:pPr>
        <w:widowControl w:val="0"/>
        <w:numPr>
          <w:ilvl w:val="0"/>
          <w:numId w:val="53"/>
        </w:numPr>
        <w:autoSpaceDE w:val="0"/>
        <w:autoSpaceDN w:val="0"/>
        <w:adjustRightInd w:val="0"/>
        <w:spacing w:after="160" w:line="259" w:lineRule="auto"/>
        <w:ind w:left="0" w:firstLine="425"/>
        <w:contextualSpacing/>
        <w:jc w:val="both"/>
        <w:rPr>
          <w:sz w:val="22"/>
          <w:szCs w:val="22"/>
        </w:rPr>
      </w:pPr>
      <w:r w:rsidRPr="00281602">
        <w:rPr>
          <w:sz w:val="22"/>
          <w:szCs w:val="22"/>
        </w:rPr>
        <w:t>Облога В.В. Применение теории игр для оптимизации в</w:t>
      </w:r>
      <w:r w:rsidRPr="00281602">
        <w:rPr>
          <w:sz w:val="22"/>
          <w:szCs w:val="22"/>
        </w:rPr>
        <w:t>ы</w:t>
      </w:r>
      <w:r w:rsidRPr="00281602">
        <w:rPr>
          <w:sz w:val="22"/>
          <w:szCs w:val="22"/>
        </w:rPr>
        <w:t>пуска продукции/Облога В.В., Черненко Т.А., Ковалева К.А.//Политематический сетевой электронный научный журнал К</w:t>
      </w:r>
      <w:r w:rsidRPr="00281602">
        <w:rPr>
          <w:sz w:val="22"/>
          <w:szCs w:val="22"/>
        </w:rPr>
        <w:t>у</w:t>
      </w:r>
      <w:r w:rsidRPr="00281602">
        <w:rPr>
          <w:sz w:val="22"/>
          <w:szCs w:val="22"/>
        </w:rPr>
        <w:t>банского государственного аграрного университета (Научный жу</w:t>
      </w:r>
      <w:r w:rsidRPr="00281602">
        <w:rPr>
          <w:sz w:val="22"/>
          <w:szCs w:val="22"/>
        </w:rPr>
        <w:t>р</w:t>
      </w:r>
      <w:r w:rsidRPr="00281602">
        <w:rPr>
          <w:sz w:val="22"/>
          <w:szCs w:val="22"/>
        </w:rPr>
        <w:t>нал КубГАУ). -Краснодар: КубГАУ, 2015. -№04(108). -IDA: 1081504088. -Режим доступа: http://ej.kubagro.ru/2015/04/pdf/88.pdf, 0,688 у.п.л.</w:t>
      </w:r>
    </w:p>
    <w:p w:rsidR="00281602" w:rsidRPr="00281602" w:rsidRDefault="00281602" w:rsidP="00281602">
      <w:pPr>
        <w:jc w:val="both"/>
        <w:rPr>
          <w:rFonts w:eastAsia="Calibri"/>
          <w:sz w:val="22"/>
          <w:szCs w:val="22"/>
          <w:lang w:eastAsia="en-US"/>
        </w:rPr>
      </w:pPr>
    </w:p>
    <w:p w:rsidR="00281602" w:rsidRDefault="00281602" w:rsidP="00281602">
      <w:pPr>
        <w:jc w:val="both"/>
        <w:rPr>
          <w:rFonts w:eastAsia="Calibri"/>
          <w:sz w:val="22"/>
          <w:szCs w:val="22"/>
          <w:lang w:eastAsia="en-US"/>
        </w:rPr>
      </w:pPr>
    </w:p>
    <w:p w:rsidR="006F7F71" w:rsidRPr="00281602" w:rsidRDefault="00CC1F5C" w:rsidP="00CC1F5C">
      <w:pPr>
        <w:rPr>
          <w:rFonts w:eastAsia="Calibri"/>
          <w:sz w:val="22"/>
          <w:szCs w:val="22"/>
          <w:lang w:eastAsia="en-US"/>
        </w:rPr>
      </w:pPr>
      <w:r>
        <w:rPr>
          <w:rFonts w:eastAsia="Calibri"/>
          <w:sz w:val="22"/>
          <w:szCs w:val="22"/>
          <w:lang w:eastAsia="en-US"/>
        </w:rPr>
        <w:br w:type="page"/>
      </w: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004.051:[004.3+004.4]</w:t>
      </w:r>
    </w:p>
    <w:p w:rsidR="00281602" w:rsidRPr="00281602" w:rsidRDefault="00281602" w:rsidP="00281602">
      <w:pPr>
        <w:ind w:firstLine="425"/>
        <w:jc w:val="both"/>
        <w:rPr>
          <w:rFonts w:eastAsia="Calibri"/>
          <w:sz w:val="24"/>
          <w:szCs w:val="24"/>
          <w:lang w:eastAsia="en-US"/>
        </w:rPr>
      </w:pPr>
    </w:p>
    <w:p w:rsidR="00281602" w:rsidRPr="00281602" w:rsidRDefault="00281602" w:rsidP="00281602">
      <w:pPr>
        <w:jc w:val="center"/>
        <w:rPr>
          <w:rFonts w:eastAsia="Calibri"/>
          <w:b/>
          <w:sz w:val="24"/>
          <w:szCs w:val="24"/>
          <w:lang w:eastAsia="en-US"/>
        </w:rPr>
      </w:pPr>
      <w:r w:rsidRPr="00281602">
        <w:rPr>
          <w:rFonts w:eastAsia="Calibri"/>
          <w:b/>
          <w:sz w:val="24"/>
          <w:szCs w:val="24"/>
          <w:lang w:eastAsia="en-US"/>
        </w:rPr>
        <w:t xml:space="preserve">Этапы миграции </w:t>
      </w:r>
      <w:r w:rsidRPr="00281602">
        <w:rPr>
          <w:rFonts w:eastAsia="Calibri"/>
          <w:b/>
          <w:sz w:val="24"/>
          <w:szCs w:val="24"/>
          <w:lang w:val="en-US" w:eastAsia="en-US"/>
        </w:rPr>
        <w:t>IT</w:t>
      </w:r>
      <w:r w:rsidRPr="00281602">
        <w:rPr>
          <w:rFonts w:eastAsia="Calibri"/>
          <w:b/>
          <w:sz w:val="24"/>
          <w:szCs w:val="24"/>
          <w:lang w:eastAsia="en-US"/>
        </w:rPr>
        <w:t>-инфраструктуры в облачные сервисы</w:t>
      </w:r>
    </w:p>
    <w:p w:rsidR="00281602" w:rsidRPr="00281602" w:rsidRDefault="00281602" w:rsidP="00281602">
      <w:pPr>
        <w:jc w:val="center"/>
        <w:rPr>
          <w:rFonts w:eastAsia="Calibri"/>
          <w:b/>
          <w:sz w:val="24"/>
          <w:szCs w:val="24"/>
          <w:lang w:val="en-US" w:eastAsia="en-US"/>
        </w:rPr>
      </w:pPr>
      <w:r w:rsidRPr="00281602">
        <w:rPr>
          <w:rFonts w:eastAsia="Calibri"/>
          <w:b/>
          <w:sz w:val="24"/>
          <w:szCs w:val="24"/>
          <w:lang w:val="en-US" w:eastAsia="en-US"/>
        </w:rPr>
        <w:t>Stages of migration of IT-infrastructure into the cloud services</w:t>
      </w:r>
    </w:p>
    <w:p w:rsidR="00281602" w:rsidRPr="00281602" w:rsidRDefault="00281602" w:rsidP="00281602">
      <w:pPr>
        <w:ind w:firstLine="425"/>
        <w:jc w:val="both"/>
        <w:rPr>
          <w:rFonts w:eastAsia="Calibri"/>
          <w:b/>
          <w:sz w:val="24"/>
          <w:szCs w:val="24"/>
          <w:lang w:val="en-US"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Сербин Д. В.,</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студент 4-курса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аграрный </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eastAsia="en-US"/>
        </w:rPr>
        <w:t>АННОТАЦИЯ: Миграция программно-аппаратной инфр</w:t>
      </w:r>
      <w:r w:rsidRPr="00281602">
        <w:rPr>
          <w:rFonts w:eastAsia="Calibri"/>
          <w:sz w:val="22"/>
          <w:szCs w:val="22"/>
          <w:lang w:eastAsia="en-US"/>
        </w:rPr>
        <w:t>а</w:t>
      </w:r>
      <w:r w:rsidRPr="00281602">
        <w:rPr>
          <w:rFonts w:eastAsia="Calibri"/>
          <w:sz w:val="22"/>
          <w:szCs w:val="22"/>
          <w:lang w:eastAsia="en-US"/>
        </w:rPr>
        <w:t>структуры в облачные сервисы – один из способов повышения функционирования компаний. В</w:t>
      </w:r>
      <w:r w:rsidRPr="00281602">
        <w:rPr>
          <w:rFonts w:eastAsia="Calibri"/>
          <w:sz w:val="22"/>
          <w:szCs w:val="22"/>
          <w:lang w:val="en-US" w:eastAsia="en-US"/>
        </w:rPr>
        <w:t xml:space="preserve"> </w:t>
      </w:r>
      <w:r w:rsidRPr="00281602">
        <w:rPr>
          <w:rFonts w:eastAsia="Calibri"/>
          <w:sz w:val="22"/>
          <w:szCs w:val="22"/>
          <w:lang w:eastAsia="en-US"/>
        </w:rPr>
        <w:t>статье</w:t>
      </w:r>
      <w:r w:rsidRPr="00281602">
        <w:rPr>
          <w:rFonts w:eastAsia="Calibri"/>
          <w:sz w:val="22"/>
          <w:szCs w:val="22"/>
          <w:lang w:val="en-US" w:eastAsia="en-US"/>
        </w:rPr>
        <w:t xml:space="preserve"> </w:t>
      </w:r>
      <w:r w:rsidRPr="00281602">
        <w:rPr>
          <w:rFonts w:eastAsia="Calibri"/>
          <w:sz w:val="22"/>
          <w:szCs w:val="22"/>
          <w:lang w:eastAsia="en-US"/>
        </w:rPr>
        <w:t>рассмотрены</w:t>
      </w:r>
      <w:r w:rsidRPr="00281602">
        <w:rPr>
          <w:rFonts w:eastAsia="Calibri"/>
          <w:sz w:val="22"/>
          <w:szCs w:val="22"/>
          <w:lang w:val="en-US" w:eastAsia="en-US"/>
        </w:rPr>
        <w:t xml:space="preserve"> </w:t>
      </w:r>
      <w:r w:rsidRPr="00281602">
        <w:rPr>
          <w:rFonts w:eastAsia="Calibri"/>
          <w:sz w:val="22"/>
          <w:szCs w:val="22"/>
          <w:lang w:eastAsia="en-US"/>
        </w:rPr>
        <w:t>этапы</w:t>
      </w:r>
      <w:r w:rsidRPr="00281602">
        <w:rPr>
          <w:rFonts w:eastAsia="Calibri"/>
          <w:sz w:val="22"/>
          <w:szCs w:val="22"/>
          <w:lang w:val="en-US" w:eastAsia="en-US"/>
        </w:rPr>
        <w:t xml:space="preserve"> </w:t>
      </w:r>
      <w:r w:rsidRPr="00281602">
        <w:rPr>
          <w:rFonts w:eastAsia="Calibri"/>
          <w:sz w:val="22"/>
          <w:szCs w:val="22"/>
          <w:lang w:eastAsia="en-US"/>
        </w:rPr>
        <w:t>пров</w:t>
      </w:r>
      <w:r w:rsidRPr="00281602">
        <w:rPr>
          <w:rFonts w:eastAsia="Calibri"/>
          <w:sz w:val="22"/>
          <w:szCs w:val="22"/>
          <w:lang w:eastAsia="en-US"/>
        </w:rPr>
        <w:t>е</w:t>
      </w:r>
      <w:r w:rsidRPr="00281602">
        <w:rPr>
          <w:rFonts w:eastAsia="Calibri"/>
          <w:sz w:val="22"/>
          <w:szCs w:val="22"/>
          <w:lang w:eastAsia="en-US"/>
        </w:rPr>
        <w:t>дения</w:t>
      </w:r>
      <w:r w:rsidRPr="00281602">
        <w:rPr>
          <w:rFonts w:eastAsia="Calibri"/>
          <w:sz w:val="22"/>
          <w:szCs w:val="22"/>
          <w:lang w:val="en-US" w:eastAsia="en-US"/>
        </w:rPr>
        <w:t xml:space="preserve"> </w:t>
      </w:r>
      <w:r w:rsidRPr="00281602">
        <w:rPr>
          <w:rFonts w:eastAsia="Calibri"/>
          <w:sz w:val="22"/>
          <w:szCs w:val="22"/>
          <w:lang w:eastAsia="en-US"/>
        </w:rPr>
        <w:t>такой</w:t>
      </w:r>
      <w:r w:rsidRPr="00281602">
        <w:rPr>
          <w:rFonts w:eastAsia="Calibri"/>
          <w:sz w:val="22"/>
          <w:szCs w:val="22"/>
          <w:lang w:val="en-US" w:eastAsia="en-US"/>
        </w:rPr>
        <w:t xml:space="preserve"> </w:t>
      </w:r>
      <w:r w:rsidRPr="00281602">
        <w:rPr>
          <w:rFonts w:eastAsia="Calibri"/>
          <w:sz w:val="22"/>
          <w:szCs w:val="22"/>
          <w:lang w:eastAsia="en-US"/>
        </w:rPr>
        <w:t>миграции</w:t>
      </w:r>
      <w:r w:rsidRPr="00281602">
        <w:rPr>
          <w:rFonts w:eastAsia="Calibri"/>
          <w:sz w:val="22"/>
          <w:szCs w:val="22"/>
          <w:lang w:val="en-US" w:eastAsia="en-US"/>
        </w:rPr>
        <w: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en-US" w:eastAsia="en-US"/>
        </w:rPr>
        <w:t>ABSTRACT: Migrating of software and hardware infrastructure i</w:t>
      </w:r>
      <w:r w:rsidRPr="00281602">
        <w:rPr>
          <w:rFonts w:eastAsia="Calibri"/>
          <w:sz w:val="22"/>
          <w:szCs w:val="22"/>
          <w:lang w:val="en-US" w:eastAsia="en-US"/>
        </w:rPr>
        <w:t>n</w:t>
      </w:r>
      <w:r w:rsidRPr="00281602">
        <w:rPr>
          <w:rFonts w:eastAsia="Calibri"/>
          <w:sz w:val="22"/>
          <w:szCs w:val="22"/>
          <w:lang w:val="en-US" w:eastAsia="en-US"/>
        </w:rPr>
        <w:t>to the cloud services is one of the ways to improve the functioning of companies. Thearticleconsidersthestagesofsuchmigration</w:t>
      </w:r>
      <w:r w:rsidRPr="00281602">
        <w:rPr>
          <w:rFonts w:eastAsia="Calibri"/>
          <w:sz w:val="22"/>
          <w:szCs w:val="22"/>
          <w:lang w:eastAsia="en-US"/>
        </w:rPr>
        <w: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КЛЮЧЕВЫЕ СЛОВА: облачная инфраструктура, миграция, этапы, эффективность информационных систем.</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val="en-US" w:eastAsia="en-US"/>
        </w:rPr>
        <w:t>KEYWORDS: cloud infrastructure, migration, stages, the effectiv</w:t>
      </w:r>
      <w:r w:rsidRPr="00281602">
        <w:rPr>
          <w:rFonts w:eastAsia="Calibri"/>
          <w:sz w:val="22"/>
          <w:szCs w:val="22"/>
          <w:lang w:val="en-US" w:eastAsia="en-US"/>
        </w:rPr>
        <w:t>e</w:t>
      </w:r>
      <w:r w:rsidRPr="00281602">
        <w:rPr>
          <w:rFonts w:eastAsia="Calibri"/>
          <w:sz w:val="22"/>
          <w:szCs w:val="22"/>
          <w:lang w:val="en-US" w:eastAsia="en-US"/>
        </w:rPr>
        <w:t>ness of information systems.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 xml:space="preserve">Миграция </w:t>
      </w:r>
      <w:r w:rsidRPr="00281602">
        <w:rPr>
          <w:rFonts w:eastAsia="Calibri"/>
          <w:sz w:val="22"/>
          <w:szCs w:val="22"/>
          <w:lang w:val="en-US" w:eastAsia="en-US"/>
        </w:rPr>
        <w:t>IT</w:t>
      </w:r>
      <w:r w:rsidRPr="00281602">
        <w:rPr>
          <w:rFonts w:eastAsia="Calibri"/>
          <w:sz w:val="22"/>
          <w:szCs w:val="22"/>
          <w:lang w:eastAsia="en-US"/>
        </w:rPr>
        <w:t>-инфраструктуры из локальной (корпоративной) среды развертывания в облачную является одним из популярных и эффективных способов снижения затрат на содержание информ</w:t>
      </w:r>
      <w:r w:rsidRPr="00281602">
        <w:rPr>
          <w:rFonts w:eastAsia="Calibri"/>
          <w:sz w:val="22"/>
          <w:szCs w:val="22"/>
          <w:lang w:eastAsia="en-US"/>
        </w:rPr>
        <w:t>а</w:t>
      </w:r>
      <w:r w:rsidRPr="00281602">
        <w:rPr>
          <w:rFonts w:eastAsia="Calibri"/>
          <w:sz w:val="22"/>
          <w:szCs w:val="22"/>
          <w:lang w:eastAsia="en-US"/>
        </w:rPr>
        <w:t>ционных ресурсов коммерческой организации.</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И если с экономической точки зрения управленческий перс</w:t>
      </w:r>
      <w:r w:rsidRPr="00281602">
        <w:rPr>
          <w:rFonts w:eastAsia="Calibri"/>
          <w:sz w:val="22"/>
          <w:szCs w:val="22"/>
          <w:lang w:eastAsia="en-US"/>
        </w:rPr>
        <w:t>о</w:t>
      </w:r>
      <w:r w:rsidRPr="00281602">
        <w:rPr>
          <w:rFonts w:eastAsia="Calibri"/>
          <w:sz w:val="22"/>
          <w:szCs w:val="22"/>
          <w:lang w:eastAsia="en-US"/>
        </w:rPr>
        <w:t>нал уже в большей степени осознал необходимость такого преобр</w:t>
      </w:r>
      <w:r w:rsidRPr="00281602">
        <w:rPr>
          <w:rFonts w:eastAsia="Calibri"/>
          <w:sz w:val="22"/>
          <w:szCs w:val="22"/>
          <w:lang w:eastAsia="en-US"/>
        </w:rPr>
        <w:t>а</w:t>
      </w:r>
      <w:r w:rsidRPr="00281602">
        <w:rPr>
          <w:rFonts w:eastAsia="Calibri"/>
          <w:sz w:val="22"/>
          <w:szCs w:val="22"/>
          <w:lang w:eastAsia="en-US"/>
        </w:rPr>
        <w:t>зования, то по технической части часто возникает множество в</w:t>
      </w:r>
      <w:r w:rsidRPr="00281602">
        <w:rPr>
          <w:rFonts w:eastAsia="Calibri"/>
          <w:sz w:val="22"/>
          <w:szCs w:val="22"/>
          <w:lang w:eastAsia="en-US"/>
        </w:rPr>
        <w:t>о</w:t>
      </w:r>
      <w:r w:rsidRPr="00281602">
        <w:rPr>
          <w:rFonts w:eastAsia="Calibri"/>
          <w:sz w:val="22"/>
          <w:szCs w:val="22"/>
          <w:lang w:eastAsia="en-US"/>
        </w:rPr>
        <w:t>просов, связанных в основном с недопониманием технологии м</w:t>
      </w:r>
      <w:r w:rsidRPr="00281602">
        <w:rPr>
          <w:rFonts w:eastAsia="Calibri"/>
          <w:sz w:val="22"/>
          <w:szCs w:val="22"/>
          <w:lang w:eastAsia="en-US"/>
        </w:rPr>
        <w:t>и</w:t>
      </w:r>
      <w:r w:rsidRPr="00281602">
        <w:rPr>
          <w:rFonts w:eastAsia="Calibri"/>
          <w:sz w:val="22"/>
          <w:szCs w:val="22"/>
          <w:lang w:eastAsia="en-US"/>
        </w:rPr>
        <w:t>грации. Тем не менее, сам процесс является достаточно простым технологически, но требующим высоко квалифицированного по</w:t>
      </w:r>
      <w:r w:rsidRPr="00281602">
        <w:rPr>
          <w:rFonts w:eastAsia="Calibri"/>
          <w:sz w:val="22"/>
          <w:szCs w:val="22"/>
          <w:lang w:eastAsia="en-US"/>
        </w:rPr>
        <w:t>д</w:t>
      </w:r>
      <w:r w:rsidRPr="00281602">
        <w:rPr>
          <w:rFonts w:eastAsia="Calibri"/>
          <w:sz w:val="22"/>
          <w:szCs w:val="22"/>
          <w:lang w:eastAsia="en-US"/>
        </w:rPr>
        <w:t xml:space="preserve">хода. Можно выделить следующие этапы миграции </w:t>
      </w:r>
      <w:r w:rsidRPr="00281602">
        <w:rPr>
          <w:rFonts w:eastAsia="Calibri"/>
          <w:sz w:val="22"/>
          <w:szCs w:val="22"/>
          <w:lang w:val="en-US" w:eastAsia="en-US"/>
        </w:rPr>
        <w:t>IT</w:t>
      </w:r>
      <w:r w:rsidRPr="00281602">
        <w:rPr>
          <w:rFonts w:eastAsia="Calibri"/>
          <w:sz w:val="22"/>
          <w:szCs w:val="22"/>
          <w:lang w:eastAsia="en-US"/>
        </w:rPr>
        <w:t>-инфраструктуры в облако.</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1. Оценка информационных ресурсов организации с точки зр</w:t>
      </w:r>
      <w:r w:rsidRPr="00281602">
        <w:rPr>
          <w:rFonts w:eastAsia="Calibri"/>
          <w:sz w:val="22"/>
          <w:szCs w:val="22"/>
          <w:lang w:eastAsia="en-US"/>
        </w:rPr>
        <w:t>е</w:t>
      </w:r>
      <w:r w:rsidRPr="00281602">
        <w:rPr>
          <w:rFonts w:eastAsia="Calibri"/>
          <w:sz w:val="22"/>
          <w:szCs w:val="22"/>
          <w:lang w:eastAsia="en-US"/>
        </w:rPr>
        <w:t>ния возможности переноса ее хранения и операций обработки на мощности третьей стороны. На данном этапе, прежде всего, прои</w:t>
      </w:r>
      <w:r w:rsidRPr="00281602">
        <w:rPr>
          <w:rFonts w:eastAsia="Calibri"/>
          <w:sz w:val="22"/>
          <w:szCs w:val="22"/>
          <w:lang w:eastAsia="en-US"/>
        </w:rPr>
        <w:t>с</w:t>
      </w:r>
      <w:r w:rsidRPr="00281602">
        <w:rPr>
          <w:rFonts w:eastAsia="Calibri"/>
          <w:sz w:val="22"/>
          <w:szCs w:val="22"/>
          <w:lang w:eastAsia="en-US"/>
        </w:rPr>
        <w:lastRenderedPageBreak/>
        <w:t>ходит разграничение информацию на общедоступную, служебную, конфиденциальную и специальную.</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При этом основная задача этапа – понять какую часть инфо</w:t>
      </w:r>
      <w:r w:rsidRPr="00281602">
        <w:rPr>
          <w:rFonts w:eastAsia="Calibri"/>
          <w:sz w:val="22"/>
          <w:szCs w:val="22"/>
          <w:lang w:eastAsia="en-US"/>
        </w:rPr>
        <w:t>р</w:t>
      </w:r>
      <w:r w:rsidRPr="00281602">
        <w:rPr>
          <w:rFonts w:eastAsia="Calibri"/>
          <w:sz w:val="22"/>
          <w:szCs w:val="22"/>
          <w:lang w:eastAsia="en-US"/>
        </w:rPr>
        <w:t>мации можно передать на хранение и обработку хостинг-провайдеру, а какую оставить на мощностях организации. Ту же самую процедуру необходимо произвести и по отношению ко всем сервисам компании.</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2. Оценка ресурсной базы компании на соответствие реальным требованиям по хранению данных. Зачастую, имеющиеся в комп</w:t>
      </w:r>
      <w:r w:rsidRPr="00281602">
        <w:rPr>
          <w:rFonts w:eastAsia="Calibri"/>
          <w:sz w:val="22"/>
          <w:szCs w:val="22"/>
          <w:lang w:eastAsia="en-US"/>
        </w:rPr>
        <w:t>а</w:t>
      </w:r>
      <w:r w:rsidRPr="00281602">
        <w:rPr>
          <w:rFonts w:eastAsia="Calibri"/>
          <w:sz w:val="22"/>
          <w:szCs w:val="22"/>
          <w:lang w:eastAsia="en-US"/>
        </w:rPr>
        <w:t>нии вычислительные мощности избыточны, и на данном этапе необходимо собрать статистику их использования, чтобы подобрать необходимую конфигурацию будущего облачного сервиса.</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3. Оценка структуры и состояния программных комплексов, используемых компанией при работе с данными. На данном этапе совместно с хостинг-провайдером составляется перечень пр</w:t>
      </w:r>
      <w:r w:rsidRPr="00281602">
        <w:rPr>
          <w:rFonts w:eastAsia="Calibri"/>
          <w:sz w:val="22"/>
          <w:szCs w:val="22"/>
          <w:lang w:eastAsia="en-US"/>
        </w:rPr>
        <w:t>о</w:t>
      </w:r>
      <w:r w:rsidRPr="00281602">
        <w:rPr>
          <w:rFonts w:eastAsia="Calibri"/>
          <w:sz w:val="22"/>
          <w:szCs w:val="22"/>
          <w:lang w:eastAsia="en-US"/>
        </w:rPr>
        <w:t>граммных продуктов, необходимых для предоставления им в аре</w:t>
      </w:r>
      <w:r w:rsidRPr="00281602">
        <w:rPr>
          <w:rFonts w:eastAsia="Calibri"/>
          <w:sz w:val="22"/>
          <w:szCs w:val="22"/>
          <w:lang w:eastAsia="en-US"/>
        </w:rPr>
        <w:t>н</w:t>
      </w:r>
      <w:r w:rsidRPr="00281602">
        <w:rPr>
          <w:rFonts w:eastAsia="Calibri"/>
          <w:sz w:val="22"/>
          <w:szCs w:val="22"/>
          <w:lang w:eastAsia="en-US"/>
        </w:rPr>
        <w:t>ду или приобретаемых отдельно.</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4. Подготовка плана поэтапного перехода информационных сервисов из локальной инфраструктуры заказчика в облачную с полным дублированием на этапе перехода. Самая большая пробл</w:t>
      </w:r>
      <w:r w:rsidRPr="00281602">
        <w:rPr>
          <w:rFonts w:eastAsia="Calibri"/>
          <w:sz w:val="22"/>
          <w:szCs w:val="22"/>
          <w:lang w:eastAsia="en-US"/>
        </w:rPr>
        <w:t>е</w:t>
      </w:r>
      <w:r w:rsidRPr="00281602">
        <w:rPr>
          <w:rFonts w:eastAsia="Calibri"/>
          <w:sz w:val="22"/>
          <w:szCs w:val="22"/>
          <w:lang w:eastAsia="en-US"/>
        </w:rPr>
        <w:t>ма миграции – это сохранение работоспособности текущей конф</w:t>
      </w:r>
      <w:r w:rsidRPr="00281602">
        <w:rPr>
          <w:rFonts w:eastAsia="Calibri"/>
          <w:sz w:val="22"/>
          <w:szCs w:val="22"/>
          <w:lang w:eastAsia="en-US"/>
        </w:rPr>
        <w:t>и</w:t>
      </w:r>
      <w:r w:rsidRPr="00281602">
        <w:rPr>
          <w:rFonts w:eastAsia="Calibri"/>
          <w:sz w:val="22"/>
          <w:szCs w:val="22"/>
          <w:lang w:eastAsia="en-US"/>
        </w:rPr>
        <w:t>гурации вплоть до момента начала работы новой. Обычно мигр</w:t>
      </w:r>
      <w:r w:rsidRPr="00281602">
        <w:rPr>
          <w:rFonts w:eastAsia="Calibri"/>
          <w:sz w:val="22"/>
          <w:szCs w:val="22"/>
          <w:lang w:eastAsia="en-US"/>
        </w:rPr>
        <w:t>а</w:t>
      </w:r>
      <w:r w:rsidRPr="00281602">
        <w:rPr>
          <w:rFonts w:eastAsia="Calibri"/>
          <w:sz w:val="22"/>
          <w:szCs w:val="22"/>
          <w:lang w:eastAsia="en-US"/>
        </w:rPr>
        <w:t>цию делят на строго оговоренные этапы с постепенным переносом сервисов и данных так, чтобы весь этот процесс прошел незаметно для пользователей.</w:t>
      </w:r>
    </w:p>
    <w:p w:rsidR="00281602" w:rsidRPr="00281602" w:rsidRDefault="00281602" w:rsidP="00281602">
      <w:pPr>
        <w:tabs>
          <w:tab w:val="num" w:pos="720"/>
        </w:tabs>
        <w:ind w:firstLine="425"/>
        <w:jc w:val="both"/>
        <w:rPr>
          <w:rFonts w:eastAsia="Calibri"/>
          <w:sz w:val="22"/>
          <w:szCs w:val="22"/>
          <w:lang w:eastAsia="en-US"/>
        </w:rPr>
      </w:pPr>
      <w:r w:rsidRPr="00281602">
        <w:rPr>
          <w:rFonts w:eastAsia="Calibri"/>
          <w:sz w:val="22"/>
          <w:szCs w:val="22"/>
          <w:lang w:eastAsia="en-US"/>
        </w:rPr>
        <w:t>5. Организация тестирования инфраструктуры на отказоусто</w:t>
      </w:r>
      <w:r w:rsidRPr="00281602">
        <w:rPr>
          <w:rFonts w:eastAsia="Calibri"/>
          <w:sz w:val="22"/>
          <w:szCs w:val="22"/>
          <w:lang w:eastAsia="en-US"/>
        </w:rPr>
        <w:t>й</w:t>
      </w:r>
      <w:r w:rsidRPr="00281602">
        <w:rPr>
          <w:rFonts w:eastAsia="Calibri"/>
          <w:sz w:val="22"/>
          <w:szCs w:val="22"/>
          <w:lang w:eastAsia="en-US"/>
        </w:rPr>
        <w:t>чивость и надежность работы на каждом этапе переноса инфр</w:t>
      </w:r>
      <w:r w:rsidRPr="00281602">
        <w:rPr>
          <w:rFonts w:eastAsia="Calibri"/>
          <w:sz w:val="22"/>
          <w:szCs w:val="22"/>
          <w:lang w:eastAsia="en-US"/>
        </w:rPr>
        <w:t>а</w:t>
      </w:r>
      <w:r w:rsidRPr="00281602">
        <w:rPr>
          <w:rFonts w:eastAsia="Calibri"/>
          <w:sz w:val="22"/>
          <w:szCs w:val="22"/>
          <w:lang w:eastAsia="en-US"/>
        </w:rPr>
        <w:t>структуры. Проверка работоспособности и отказоустойчивости и</w:t>
      </w:r>
      <w:r w:rsidRPr="00281602">
        <w:rPr>
          <w:rFonts w:eastAsia="Calibri"/>
          <w:sz w:val="22"/>
          <w:szCs w:val="22"/>
          <w:lang w:eastAsia="en-US"/>
        </w:rPr>
        <w:t>н</w:t>
      </w:r>
      <w:r w:rsidRPr="00281602">
        <w:rPr>
          <w:rFonts w:eastAsia="Calibri"/>
          <w:sz w:val="22"/>
          <w:szCs w:val="22"/>
          <w:lang w:eastAsia="en-US"/>
        </w:rPr>
        <w:t>фраструктуры – обязательное условие выполнения каждого из эт</w:t>
      </w:r>
      <w:r w:rsidRPr="00281602">
        <w:rPr>
          <w:rFonts w:eastAsia="Calibri"/>
          <w:sz w:val="22"/>
          <w:szCs w:val="22"/>
          <w:lang w:eastAsia="en-US"/>
        </w:rPr>
        <w:t>а</w:t>
      </w:r>
      <w:r w:rsidRPr="00281602">
        <w:rPr>
          <w:rFonts w:eastAsia="Calibri"/>
          <w:sz w:val="22"/>
          <w:szCs w:val="22"/>
          <w:lang w:eastAsia="en-US"/>
        </w:rPr>
        <w:t>пов миграции. Только после этого можно отказываться от испол</w:t>
      </w:r>
      <w:r w:rsidRPr="00281602">
        <w:rPr>
          <w:rFonts w:eastAsia="Calibri"/>
          <w:sz w:val="22"/>
          <w:szCs w:val="22"/>
          <w:lang w:eastAsia="en-US"/>
        </w:rPr>
        <w:t>ь</w:t>
      </w:r>
      <w:r w:rsidRPr="00281602">
        <w:rPr>
          <w:rFonts w:eastAsia="Calibri"/>
          <w:sz w:val="22"/>
          <w:szCs w:val="22"/>
          <w:lang w:eastAsia="en-US"/>
        </w:rPr>
        <w:t>зования старой конфигурации и считать миграцию завершенной.</w:t>
      </w:r>
    </w:p>
    <w:p w:rsidR="00281602" w:rsidRPr="00281602" w:rsidRDefault="00281602" w:rsidP="00281602">
      <w:pPr>
        <w:ind w:firstLine="425"/>
        <w:jc w:val="both"/>
        <w:rPr>
          <w:sz w:val="22"/>
          <w:szCs w:val="22"/>
        </w:rPr>
      </w:pPr>
    </w:p>
    <w:p w:rsidR="00281602" w:rsidRPr="00281602" w:rsidRDefault="00281602" w:rsidP="00281602">
      <w:pPr>
        <w:ind w:firstLine="425"/>
        <w:jc w:val="center"/>
        <w:rPr>
          <w:sz w:val="22"/>
          <w:szCs w:val="22"/>
        </w:rPr>
      </w:pPr>
      <w:r w:rsidRPr="00281602">
        <w:rPr>
          <w:sz w:val="22"/>
          <w:szCs w:val="22"/>
        </w:rPr>
        <w:t>Список литературы</w:t>
      </w:r>
    </w:p>
    <w:p w:rsidR="00281602" w:rsidRPr="00281602" w:rsidRDefault="006F7F71" w:rsidP="00281602">
      <w:pPr>
        <w:ind w:firstLine="425"/>
        <w:jc w:val="both"/>
        <w:rPr>
          <w:bCs/>
          <w:sz w:val="22"/>
          <w:szCs w:val="22"/>
        </w:rPr>
      </w:pPr>
      <w:r>
        <w:rPr>
          <w:bCs/>
          <w:sz w:val="22"/>
          <w:szCs w:val="22"/>
        </w:rPr>
        <w:t xml:space="preserve">1. </w:t>
      </w:r>
      <w:r w:rsidR="00281602" w:rsidRPr="00281602">
        <w:rPr>
          <w:bCs/>
          <w:sz w:val="22"/>
          <w:szCs w:val="22"/>
        </w:rPr>
        <w:t>Попок Л.Е. Проблемы внедрения информационных систем на основе технологий облачных вычислений в сельскохозяйстве</w:t>
      </w:r>
      <w:r w:rsidR="00281602" w:rsidRPr="00281602">
        <w:rPr>
          <w:bCs/>
          <w:sz w:val="22"/>
          <w:szCs w:val="22"/>
        </w:rPr>
        <w:t>н</w:t>
      </w:r>
      <w:r w:rsidR="00281602" w:rsidRPr="00281602">
        <w:rPr>
          <w:bCs/>
          <w:sz w:val="22"/>
          <w:szCs w:val="22"/>
        </w:rPr>
        <w:t>ных организациях [Текст] / Л.Е. Попок // Научное обеспечение а</w:t>
      </w:r>
      <w:r w:rsidR="00281602" w:rsidRPr="00281602">
        <w:rPr>
          <w:bCs/>
          <w:sz w:val="22"/>
          <w:szCs w:val="22"/>
        </w:rPr>
        <w:t>г</w:t>
      </w:r>
      <w:r w:rsidR="00281602" w:rsidRPr="00281602">
        <w:rPr>
          <w:bCs/>
          <w:sz w:val="22"/>
          <w:szCs w:val="22"/>
        </w:rPr>
        <w:t xml:space="preserve">ропромышленного комплекса. Сборник статей по материалам </w:t>
      </w:r>
      <w:r w:rsidR="00281602" w:rsidRPr="00281602">
        <w:rPr>
          <w:bCs/>
          <w:sz w:val="22"/>
          <w:szCs w:val="22"/>
          <w:lang w:val="en-US"/>
        </w:rPr>
        <w:t>VI</w:t>
      </w:r>
      <w:r w:rsidR="00281602" w:rsidRPr="00281602">
        <w:rPr>
          <w:bCs/>
          <w:sz w:val="22"/>
          <w:szCs w:val="22"/>
        </w:rPr>
        <w:t xml:space="preserve"> </w:t>
      </w:r>
      <w:r w:rsidR="00281602" w:rsidRPr="00281602">
        <w:rPr>
          <w:bCs/>
          <w:sz w:val="22"/>
          <w:szCs w:val="22"/>
        </w:rPr>
        <w:lastRenderedPageBreak/>
        <w:t>Всероссийской научно-практической конференции молодых уч</w:t>
      </w:r>
      <w:r w:rsidR="00281602" w:rsidRPr="00281602">
        <w:rPr>
          <w:bCs/>
          <w:sz w:val="22"/>
          <w:szCs w:val="22"/>
        </w:rPr>
        <w:t>е</w:t>
      </w:r>
      <w:r w:rsidR="00281602" w:rsidRPr="00281602">
        <w:rPr>
          <w:bCs/>
          <w:sz w:val="22"/>
          <w:szCs w:val="22"/>
        </w:rPr>
        <w:t>ных. – Краснодар: КубГАУ. –2012. – С. 526-228.</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 Попок Л.Е. Этап оценки информационных активов в метод</w:t>
      </w:r>
      <w:r w:rsidRPr="00281602">
        <w:rPr>
          <w:rFonts w:eastAsia="Calibri"/>
          <w:sz w:val="22"/>
          <w:szCs w:val="22"/>
          <w:lang w:eastAsia="en-US"/>
        </w:rPr>
        <w:t>о</w:t>
      </w:r>
      <w:r w:rsidRPr="00281602">
        <w:rPr>
          <w:rFonts w:eastAsia="Calibri"/>
          <w:sz w:val="22"/>
          <w:szCs w:val="22"/>
          <w:lang w:eastAsia="en-US"/>
        </w:rPr>
        <w:t xml:space="preserve">логии применения технологий «Больших данных» [Текст] / </w:t>
      </w:r>
      <w:r w:rsidRPr="00281602">
        <w:rPr>
          <w:bCs/>
          <w:sz w:val="22"/>
          <w:szCs w:val="22"/>
        </w:rPr>
        <w:t>Л.Е. Попок // Научное обеспечение агропромышленного комплекса. Сборник статей по материалам 71-й научно-практической конф</w:t>
      </w:r>
      <w:r w:rsidRPr="00281602">
        <w:rPr>
          <w:bCs/>
          <w:sz w:val="22"/>
          <w:szCs w:val="22"/>
        </w:rPr>
        <w:t>е</w:t>
      </w:r>
      <w:r w:rsidRPr="00281602">
        <w:rPr>
          <w:bCs/>
          <w:sz w:val="22"/>
          <w:szCs w:val="22"/>
        </w:rPr>
        <w:t>ренции преподавателей по итогам НИР за 2015 год. – Краснодар: КубГАУ. – 2016. – С. 519-520.</w:t>
      </w:r>
    </w:p>
    <w:p w:rsidR="00281602" w:rsidRPr="00281602" w:rsidRDefault="00281602" w:rsidP="00281602">
      <w:pPr>
        <w:ind w:firstLine="425"/>
        <w:jc w:val="both"/>
        <w:rPr>
          <w:rFonts w:eastAsia="Calibri"/>
          <w:b/>
          <w:bCs/>
          <w:sz w:val="22"/>
          <w:szCs w:val="22"/>
          <w:lang w:eastAsia="en-US"/>
        </w:rPr>
      </w:pPr>
      <w:r w:rsidRPr="00281602">
        <w:rPr>
          <w:rFonts w:eastAsia="Calibri"/>
          <w:sz w:val="22"/>
          <w:szCs w:val="22"/>
          <w:lang w:eastAsia="en-US"/>
        </w:rPr>
        <w:t>3. Миграция в облако. Простые шаги для повышения эффе</w:t>
      </w:r>
      <w:r w:rsidRPr="00281602">
        <w:rPr>
          <w:rFonts w:eastAsia="Calibri"/>
          <w:sz w:val="22"/>
          <w:szCs w:val="22"/>
          <w:lang w:eastAsia="en-US"/>
        </w:rPr>
        <w:t>к</w:t>
      </w:r>
      <w:r w:rsidRPr="00281602">
        <w:rPr>
          <w:rFonts w:eastAsia="Calibri"/>
          <w:sz w:val="22"/>
          <w:szCs w:val="22"/>
          <w:lang w:eastAsia="en-US"/>
        </w:rPr>
        <w:t xml:space="preserve">тивности бизнеса  [Электронный ресурс] / Блог компании </w:t>
      </w:r>
      <w:r w:rsidRPr="00281602">
        <w:rPr>
          <w:rFonts w:eastAsia="Calibri"/>
          <w:sz w:val="22"/>
          <w:szCs w:val="22"/>
          <w:lang w:val="en-US" w:eastAsia="en-US"/>
        </w:rPr>
        <w:t>RUVDS</w:t>
      </w:r>
      <w:r w:rsidRPr="00281602">
        <w:rPr>
          <w:rFonts w:eastAsia="Calibri"/>
          <w:sz w:val="22"/>
          <w:szCs w:val="22"/>
          <w:lang w:eastAsia="en-US"/>
        </w:rPr>
        <w:t xml:space="preserve"> – режим доступа: </w:t>
      </w:r>
      <w:hyperlink r:id="rId167" w:history="1">
        <w:r w:rsidRPr="00281602">
          <w:rPr>
            <w:rFonts w:eastAsia="Calibri"/>
            <w:sz w:val="22"/>
            <w:szCs w:val="22"/>
            <w:lang w:eastAsia="en-US"/>
          </w:rPr>
          <w:t>https://habrahabr.ru/company/ruvds/blog/306734/</w:t>
        </w:r>
      </w:hyperlink>
      <w:r w:rsidRPr="00281602">
        <w:rPr>
          <w:rFonts w:eastAsia="Calibri"/>
          <w:sz w:val="22"/>
          <w:szCs w:val="22"/>
          <w:lang w:eastAsia="en-US"/>
        </w:rPr>
        <w:t xml:space="preserve"> – дата обращения: 20.03.2018.</w:t>
      </w:r>
    </w:p>
    <w:p w:rsidR="00281602" w:rsidRPr="00281602" w:rsidRDefault="00281602" w:rsidP="006F7F71">
      <w:pPr>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sz w:val="22"/>
          <w:szCs w:val="22"/>
          <w:lang w:eastAsia="en-US"/>
        </w:rPr>
      </w:pPr>
    </w:p>
    <w:p w:rsidR="00281602" w:rsidRPr="00281602" w:rsidRDefault="00281602" w:rsidP="00281602">
      <w:pPr>
        <w:jc w:val="both"/>
        <w:rPr>
          <w:color w:val="1A1A1A"/>
          <w:sz w:val="22"/>
          <w:szCs w:val="22"/>
          <w:lang w:eastAsia="en-US"/>
        </w:rPr>
      </w:pPr>
      <w:r w:rsidRPr="00281602">
        <w:rPr>
          <w:color w:val="1A1A1A"/>
          <w:sz w:val="22"/>
          <w:szCs w:val="22"/>
          <w:lang w:eastAsia="en-US"/>
        </w:rPr>
        <w:t>УДК 330.34</w:t>
      </w:r>
    </w:p>
    <w:p w:rsidR="00281602" w:rsidRPr="00281602" w:rsidRDefault="00281602" w:rsidP="00281602">
      <w:pPr>
        <w:ind w:firstLine="425"/>
        <w:jc w:val="center"/>
        <w:rPr>
          <w:b/>
          <w:color w:val="1A1A1A"/>
          <w:sz w:val="24"/>
          <w:szCs w:val="24"/>
          <w:lang w:eastAsia="en-US"/>
        </w:rPr>
      </w:pPr>
    </w:p>
    <w:p w:rsidR="00281602" w:rsidRPr="00281602" w:rsidRDefault="00281602" w:rsidP="00281602">
      <w:pPr>
        <w:ind w:firstLine="425"/>
        <w:jc w:val="center"/>
        <w:rPr>
          <w:b/>
          <w:color w:val="1A1A1A"/>
          <w:sz w:val="24"/>
          <w:szCs w:val="24"/>
          <w:lang w:eastAsia="en-US"/>
        </w:rPr>
      </w:pPr>
      <w:r w:rsidRPr="00281602">
        <w:rPr>
          <w:b/>
          <w:color w:val="1A1A1A"/>
          <w:sz w:val="24"/>
          <w:szCs w:val="24"/>
          <w:lang w:eastAsia="en-US"/>
        </w:rPr>
        <w:t>Производственная и инфраструктурная база развития ВПК Краснодарского края</w:t>
      </w:r>
    </w:p>
    <w:p w:rsidR="00281602" w:rsidRPr="00281602" w:rsidRDefault="00281602" w:rsidP="00281602">
      <w:pPr>
        <w:ind w:firstLine="425"/>
        <w:jc w:val="center"/>
        <w:rPr>
          <w:b/>
          <w:color w:val="1A1A1A"/>
          <w:sz w:val="24"/>
          <w:szCs w:val="24"/>
          <w:lang w:val="en-US" w:eastAsia="en-US"/>
        </w:rPr>
      </w:pPr>
      <w:r w:rsidRPr="00281602">
        <w:rPr>
          <w:b/>
          <w:color w:val="1A1A1A"/>
          <w:sz w:val="24"/>
          <w:szCs w:val="24"/>
          <w:lang w:val="en-US" w:eastAsia="en-US"/>
        </w:rPr>
        <w:t>The industrial and infrastructure base for development of MIC Krasnodar territory</w:t>
      </w:r>
    </w:p>
    <w:p w:rsidR="00281602" w:rsidRPr="00281602" w:rsidRDefault="00281602" w:rsidP="00281602">
      <w:pPr>
        <w:ind w:firstLine="425"/>
        <w:jc w:val="both"/>
        <w:rPr>
          <w:b/>
          <w:color w:val="1A1A1A"/>
          <w:sz w:val="20"/>
          <w:szCs w:val="20"/>
          <w:lang w:val="en-US" w:eastAsia="en-US"/>
        </w:rPr>
      </w:pPr>
    </w:p>
    <w:p w:rsidR="00281602" w:rsidRPr="00281602" w:rsidRDefault="006F7F71" w:rsidP="00281602">
      <w:pPr>
        <w:ind w:firstLine="425"/>
        <w:jc w:val="right"/>
        <w:rPr>
          <w:color w:val="1A1A1A"/>
          <w:sz w:val="22"/>
          <w:szCs w:val="22"/>
          <w:lang w:eastAsia="en-US"/>
        </w:rPr>
      </w:pPr>
      <w:r>
        <w:rPr>
          <w:color w:val="1A1A1A"/>
          <w:sz w:val="22"/>
          <w:szCs w:val="22"/>
          <w:lang w:eastAsia="en-US"/>
        </w:rPr>
        <w:t>Солошенко А. А.,</w:t>
      </w:r>
    </w:p>
    <w:p w:rsidR="00281602" w:rsidRPr="006F7F71" w:rsidRDefault="00281602" w:rsidP="00281602">
      <w:pPr>
        <w:ind w:firstLine="425"/>
        <w:jc w:val="right"/>
        <w:rPr>
          <w:color w:val="1A1A1A"/>
          <w:sz w:val="22"/>
          <w:szCs w:val="22"/>
          <w:lang w:eastAsia="en-US"/>
        </w:rPr>
      </w:pPr>
      <w:r w:rsidRPr="006F7F71">
        <w:rPr>
          <w:color w:val="1A1A1A"/>
          <w:sz w:val="22"/>
          <w:szCs w:val="22"/>
          <w:lang w:eastAsia="en-US"/>
        </w:rPr>
        <w:t>студент 1-го курса факультета прикладной информатики</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w:t>
      </w:r>
      <w:r w:rsidR="006F7F71">
        <w:rPr>
          <w:rFonts w:eastAsia="Courier New"/>
          <w:color w:val="000000"/>
          <w:sz w:val="22"/>
          <w:szCs w:val="22"/>
          <w:lang w:eastAsia="en-US"/>
        </w:rPr>
        <w:t>анский государственный аграрный</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color w:val="1A1A1A"/>
          <w:sz w:val="20"/>
          <w:szCs w:val="20"/>
          <w:lang w:eastAsia="en-US"/>
        </w:rPr>
      </w:pPr>
    </w:p>
    <w:p w:rsidR="00281602" w:rsidRPr="00D34D80" w:rsidRDefault="00281602" w:rsidP="00281602">
      <w:pPr>
        <w:ind w:firstLine="425"/>
        <w:jc w:val="both"/>
        <w:rPr>
          <w:sz w:val="22"/>
          <w:szCs w:val="22"/>
          <w:lang w:eastAsia="en-US"/>
        </w:rPr>
      </w:pPr>
      <w:r w:rsidRPr="00D34D80">
        <w:rPr>
          <w:caps/>
          <w:sz w:val="22"/>
          <w:szCs w:val="22"/>
          <w:lang w:eastAsia="en-US"/>
        </w:rPr>
        <w:t>Аннотация</w:t>
      </w:r>
      <w:r w:rsidRPr="00D34D80">
        <w:rPr>
          <w:sz w:val="22"/>
          <w:szCs w:val="22"/>
          <w:lang w:eastAsia="en-US"/>
        </w:rPr>
        <w:t>: В статье представлены данные, характеризу</w:t>
      </w:r>
      <w:r w:rsidRPr="00D34D80">
        <w:rPr>
          <w:sz w:val="22"/>
          <w:szCs w:val="22"/>
          <w:lang w:eastAsia="en-US"/>
        </w:rPr>
        <w:t>ю</w:t>
      </w:r>
      <w:r w:rsidRPr="00D34D80">
        <w:rPr>
          <w:sz w:val="22"/>
          <w:szCs w:val="22"/>
          <w:lang w:eastAsia="en-US"/>
        </w:rPr>
        <w:t>щие развитие производственной и инфраструктурной базы ВПК в Краснодарском крае</w:t>
      </w:r>
    </w:p>
    <w:p w:rsidR="00281602" w:rsidRPr="00D34D80" w:rsidRDefault="00281602" w:rsidP="00281602">
      <w:pPr>
        <w:ind w:firstLine="425"/>
        <w:jc w:val="both"/>
        <w:rPr>
          <w:sz w:val="22"/>
          <w:szCs w:val="22"/>
          <w:lang w:val="en-US" w:eastAsia="en-US"/>
        </w:rPr>
      </w:pPr>
      <w:r w:rsidRPr="00D34D80">
        <w:rPr>
          <w:caps/>
          <w:sz w:val="22"/>
          <w:szCs w:val="22"/>
          <w:lang w:val="en-US" w:eastAsia="en-US"/>
        </w:rPr>
        <w:t>Abstract</w:t>
      </w:r>
      <w:r w:rsidRPr="00D34D80">
        <w:rPr>
          <w:sz w:val="22"/>
          <w:szCs w:val="22"/>
          <w:lang w:val="en-US" w:eastAsia="en-US"/>
        </w:rPr>
        <w:t xml:space="preserve">: T </w:t>
      </w:r>
      <w:r w:rsidRPr="00D34D80">
        <w:rPr>
          <w:rFonts w:eastAsia="Calibri"/>
          <w:sz w:val="22"/>
          <w:szCs w:val="22"/>
          <w:shd w:val="clear" w:color="auto" w:fill="FFFFFF"/>
          <w:lang w:val="en-US" w:eastAsia="en-US"/>
        </w:rPr>
        <w:t>The article presents data characterizing the deve</w:t>
      </w:r>
      <w:r w:rsidRPr="00D34D80">
        <w:rPr>
          <w:rFonts w:eastAsia="Calibri"/>
          <w:sz w:val="22"/>
          <w:szCs w:val="22"/>
          <w:shd w:val="clear" w:color="auto" w:fill="FFFFFF"/>
          <w:lang w:val="en-US" w:eastAsia="en-US"/>
        </w:rPr>
        <w:t>l</w:t>
      </w:r>
      <w:r w:rsidRPr="00D34D80">
        <w:rPr>
          <w:rFonts w:eastAsia="Calibri"/>
          <w:sz w:val="22"/>
          <w:szCs w:val="22"/>
          <w:shd w:val="clear" w:color="auto" w:fill="FFFFFF"/>
          <w:lang w:val="en-US" w:eastAsia="en-US"/>
        </w:rPr>
        <w:t>opment of industrial and infrastructural base of the military-industrial complex in Krasnodar Krai</w:t>
      </w:r>
    </w:p>
    <w:p w:rsidR="00281602" w:rsidRPr="00D34D80" w:rsidRDefault="00281602" w:rsidP="00281602">
      <w:pPr>
        <w:ind w:firstLine="425"/>
        <w:jc w:val="both"/>
        <w:rPr>
          <w:sz w:val="22"/>
          <w:szCs w:val="22"/>
          <w:lang w:eastAsia="en-US"/>
        </w:rPr>
      </w:pPr>
      <w:r w:rsidRPr="00D34D80">
        <w:rPr>
          <w:caps/>
          <w:sz w:val="22"/>
          <w:szCs w:val="22"/>
          <w:lang w:eastAsia="en-US"/>
        </w:rPr>
        <w:t>Ключевые слова</w:t>
      </w:r>
      <w:r w:rsidRPr="00D34D80">
        <w:rPr>
          <w:sz w:val="22"/>
          <w:szCs w:val="22"/>
          <w:lang w:eastAsia="en-US"/>
        </w:rPr>
        <w:t>: военно-промышленный комплекс, Краснодарский край, инвестиции, потенциал, развитие</w:t>
      </w:r>
    </w:p>
    <w:p w:rsidR="00281602" w:rsidRPr="00D34D80" w:rsidRDefault="00281602" w:rsidP="00281602">
      <w:pPr>
        <w:ind w:firstLine="425"/>
        <w:jc w:val="both"/>
        <w:rPr>
          <w:sz w:val="22"/>
          <w:szCs w:val="22"/>
          <w:lang w:val="en-US" w:eastAsia="en-US"/>
        </w:rPr>
      </w:pPr>
      <w:r w:rsidRPr="00D34D80">
        <w:rPr>
          <w:caps/>
          <w:sz w:val="22"/>
          <w:szCs w:val="22"/>
          <w:lang w:val="en-US" w:eastAsia="en-US"/>
        </w:rPr>
        <w:t>Keywords</w:t>
      </w:r>
      <w:r w:rsidRPr="00D34D80">
        <w:rPr>
          <w:sz w:val="22"/>
          <w:szCs w:val="22"/>
          <w:lang w:val="en-US" w:eastAsia="en-US"/>
        </w:rPr>
        <w:t xml:space="preserve">: </w:t>
      </w:r>
      <w:r w:rsidRPr="00D34D80">
        <w:rPr>
          <w:rFonts w:eastAsia="Calibri"/>
          <w:sz w:val="22"/>
          <w:szCs w:val="22"/>
          <w:shd w:val="clear" w:color="auto" w:fill="FFFFFF"/>
          <w:lang w:val="en-US" w:eastAsia="en-US"/>
        </w:rPr>
        <w:t>the military-industrial complex of Krasnodar Krai, investment, capacity, development</w:t>
      </w:r>
    </w:p>
    <w:p w:rsidR="00281602" w:rsidRPr="00281602" w:rsidRDefault="00281602" w:rsidP="00281602">
      <w:pPr>
        <w:ind w:firstLine="425"/>
        <w:jc w:val="both"/>
        <w:rPr>
          <w:color w:val="1A1A1A"/>
          <w:sz w:val="22"/>
          <w:szCs w:val="22"/>
          <w:lang w:val="en-US" w:eastAsia="en-US"/>
        </w:rPr>
      </w:pPr>
    </w:p>
    <w:p w:rsidR="00281602" w:rsidRPr="00281602" w:rsidRDefault="00281602" w:rsidP="00281602">
      <w:pPr>
        <w:ind w:firstLine="425"/>
        <w:contextualSpacing/>
        <w:jc w:val="both"/>
        <w:rPr>
          <w:rFonts w:eastAsia="Calibri"/>
          <w:color w:val="000000"/>
          <w:sz w:val="22"/>
          <w:szCs w:val="22"/>
          <w:lang w:eastAsia="en-US"/>
        </w:rPr>
      </w:pPr>
      <w:r w:rsidRPr="00281602">
        <w:rPr>
          <w:rFonts w:eastAsia="Calibri"/>
          <w:color w:val="000000"/>
          <w:sz w:val="22"/>
          <w:szCs w:val="22"/>
          <w:lang w:eastAsia="en-US"/>
        </w:rPr>
        <w:t>Военная отрасль в экономике Краснодарского края не занимает ведущей позиции, так как инвестиции в основном направлены на развитие отраслей пищевой (свыше 45% объема кубанской пр</w:t>
      </w:r>
      <w:r w:rsidRPr="00281602">
        <w:rPr>
          <w:rFonts w:eastAsia="Calibri"/>
          <w:color w:val="000000"/>
          <w:sz w:val="22"/>
          <w:szCs w:val="22"/>
          <w:lang w:eastAsia="en-US"/>
        </w:rPr>
        <w:t>о</w:t>
      </w:r>
      <w:r w:rsidRPr="00281602">
        <w:rPr>
          <w:rFonts w:eastAsia="Calibri"/>
          <w:color w:val="000000"/>
          <w:sz w:val="22"/>
          <w:szCs w:val="22"/>
          <w:lang w:eastAsia="en-US"/>
        </w:rPr>
        <w:t>мышленной продукции) и деревообрабатывающей промышленн</w:t>
      </w:r>
      <w:r w:rsidRPr="00281602">
        <w:rPr>
          <w:rFonts w:eastAsia="Calibri"/>
          <w:color w:val="000000"/>
          <w:sz w:val="22"/>
          <w:szCs w:val="22"/>
          <w:lang w:eastAsia="en-US"/>
        </w:rPr>
        <w:t>о</w:t>
      </w:r>
      <w:r w:rsidRPr="00281602">
        <w:rPr>
          <w:rFonts w:eastAsia="Calibri"/>
          <w:color w:val="000000"/>
          <w:sz w:val="22"/>
          <w:szCs w:val="22"/>
          <w:lang w:eastAsia="en-US"/>
        </w:rPr>
        <w:t>сти. Причина этого - Кубань, житница России, климатически расп</w:t>
      </w:r>
      <w:r w:rsidRPr="00281602">
        <w:rPr>
          <w:rFonts w:eastAsia="Calibri"/>
          <w:color w:val="000000"/>
          <w:sz w:val="22"/>
          <w:szCs w:val="22"/>
          <w:lang w:eastAsia="en-US"/>
        </w:rPr>
        <w:t>о</w:t>
      </w:r>
      <w:r w:rsidRPr="00281602">
        <w:rPr>
          <w:rFonts w:eastAsia="Calibri"/>
          <w:color w:val="000000"/>
          <w:sz w:val="22"/>
          <w:szCs w:val="22"/>
          <w:lang w:eastAsia="en-US"/>
        </w:rPr>
        <w:t>ложена очень выгодно: умеренно-континентальный пояс, близость морей (Азовского, Чёрного), сочетание гор Кавказа на юге и равнин на севере, богатство рек и озёр. Также исторически сформирова</w:t>
      </w:r>
      <w:r w:rsidRPr="00281602">
        <w:rPr>
          <w:rFonts w:eastAsia="Calibri"/>
          <w:color w:val="000000"/>
          <w:sz w:val="22"/>
          <w:szCs w:val="22"/>
          <w:lang w:eastAsia="en-US"/>
        </w:rPr>
        <w:t>н</w:t>
      </w:r>
      <w:r w:rsidRPr="00281602">
        <w:rPr>
          <w:rFonts w:eastAsia="Calibri"/>
          <w:color w:val="000000"/>
          <w:sz w:val="22"/>
          <w:szCs w:val="22"/>
          <w:lang w:eastAsia="en-US"/>
        </w:rPr>
        <w:t>ный рельеф и чернозёмные почвы в совокупности с огромными степными равнинами способствуют развитию сельского хозяйства.</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Промышленность Краснодарского края развивается на базе собственного природно-ресурсного потенциала региона, основу к</w:t>
      </w:r>
      <w:r w:rsidRPr="00281602">
        <w:rPr>
          <w:rFonts w:eastAsia="Calibri"/>
          <w:color w:val="000000"/>
          <w:sz w:val="22"/>
          <w:szCs w:val="22"/>
          <w:lang w:eastAsia="en-US"/>
        </w:rPr>
        <w:t>о</w:t>
      </w:r>
      <w:r w:rsidRPr="00281602">
        <w:rPr>
          <w:rFonts w:eastAsia="Calibri"/>
          <w:color w:val="000000"/>
          <w:sz w:val="22"/>
          <w:szCs w:val="22"/>
          <w:lang w:eastAsia="en-US"/>
        </w:rPr>
        <w:t>торого составляют растениеводство, животноводство, различные полезные ископаемые, минеральные источники, а также буковые и дубовые леса.</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Более 2,5 тыс. предприятий Кубани работают в отраслях маш</w:t>
      </w:r>
      <w:r w:rsidRPr="00281602">
        <w:rPr>
          <w:rFonts w:eastAsia="Calibri"/>
          <w:color w:val="000000"/>
          <w:sz w:val="22"/>
          <w:szCs w:val="22"/>
          <w:lang w:eastAsia="en-US"/>
        </w:rPr>
        <w:t>и</w:t>
      </w:r>
      <w:r w:rsidRPr="00281602">
        <w:rPr>
          <w:rFonts w:eastAsia="Calibri"/>
          <w:color w:val="000000"/>
          <w:sz w:val="22"/>
          <w:szCs w:val="22"/>
          <w:lang w:eastAsia="en-US"/>
        </w:rPr>
        <w:t>ностроения и металлообработки. В Краснодарском крае функци</w:t>
      </w:r>
      <w:r w:rsidRPr="00281602">
        <w:rPr>
          <w:rFonts w:eastAsia="Calibri"/>
          <w:color w:val="000000"/>
          <w:sz w:val="22"/>
          <w:szCs w:val="22"/>
          <w:lang w:eastAsia="en-US"/>
        </w:rPr>
        <w:t>о</w:t>
      </w:r>
      <w:r w:rsidRPr="00281602">
        <w:rPr>
          <w:rFonts w:eastAsia="Calibri"/>
          <w:color w:val="000000"/>
          <w:sz w:val="22"/>
          <w:szCs w:val="22"/>
          <w:lang w:eastAsia="en-US"/>
        </w:rPr>
        <w:t>нируют заводы и фабрики сельскохозяйственного, железнодоро</w:t>
      </w:r>
      <w:r w:rsidRPr="00281602">
        <w:rPr>
          <w:rFonts w:eastAsia="Calibri"/>
          <w:color w:val="000000"/>
          <w:sz w:val="22"/>
          <w:szCs w:val="22"/>
          <w:lang w:eastAsia="en-US"/>
        </w:rPr>
        <w:t>ж</w:t>
      </w:r>
      <w:r w:rsidRPr="00281602">
        <w:rPr>
          <w:rFonts w:eastAsia="Calibri"/>
          <w:color w:val="000000"/>
          <w:sz w:val="22"/>
          <w:szCs w:val="22"/>
          <w:lang w:eastAsia="en-US"/>
        </w:rPr>
        <w:t>ного, нефтяного, химического машиностроения, приборостроения, станкостроения, оборонной промышленности.</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Кубань славится богатством нефтяных месторождений и разв</w:t>
      </w:r>
      <w:r w:rsidRPr="00281602">
        <w:rPr>
          <w:rFonts w:eastAsia="Calibri"/>
          <w:color w:val="000000"/>
          <w:sz w:val="22"/>
          <w:szCs w:val="22"/>
          <w:lang w:eastAsia="en-US"/>
        </w:rPr>
        <w:t>и</w:t>
      </w:r>
      <w:r w:rsidRPr="00281602">
        <w:rPr>
          <w:rFonts w:eastAsia="Calibri"/>
          <w:color w:val="000000"/>
          <w:sz w:val="22"/>
          <w:szCs w:val="22"/>
          <w:lang w:eastAsia="en-US"/>
        </w:rPr>
        <w:t>тым топливно-энергетическим комплексом. Это одна из главных причин захвата Гитлером Краснодарского края (Северный Кавказ вместе с Баку были основным источником нефти для всей эконом</w:t>
      </w:r>
      <w:r w:rsidRPr="00281602">
        <w:rPr>
          <w:rFonts w:eastAsia="Calibri"/>
          <w:color w:val="000000"/>
          <w:sz w:val="22"/>
          <w:szCs w:val="22"/>
          <w:lang w:eastAsia="en-US"/>
        </w:rPr>
        <w:t>и</w:t>
      </w:r>
      <w:r w:rsidRPr="00281602">
        <w:rPr>
          <w:rFonts w:eastAsia="Calibri"/>
          <w:color w:val="000000"/>
          <w:sz w:val="22"/>
          <w:szCs w:val="22"/>
          <w:lang w:eastAsia="en-US"/>
        </w:rPr>
        <w:t xml:space="preserve">ки СССР). </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Нефть пока еще остаётся основным топливом для заправки в</w:t>
      </w:r>
      <w:r w:rsidRPr="00281602">
        <w:rPr>
          <w:rFonts w:eastAsia="Calibri"/>
          <w:color w:val="000000"/>
          <w:sz w:val="22"/>
          <w:szCs w:val="22"/>
          <w:lang w:eastAsia="en-US"/>
        </w:rPr>
        <w:t>о</w:t>
      </w:r>
      <w:r w:rsidRPr="00281602">
        <w:rPr>
          <w:rFonts w:eastAsia="Calibri"/>
          <w:color w:val="000000"/>
          <w:sz w:val="22"/>
          <w:szCs w:val="22"/>
          <w:lang w:eastAsia="en-US"/>
        </w:rPr>
        <w:t>енной техники, в том числе бронетехники, которая является и</w:t>
      </w:r>
      <w:r w:rsidRPr="00281602">
        <w:rPr>
          <w:rFonts w:eastAsia="Calibri"/>
          <w:color w:val="000000"/>
          <w:sz w:val="22"/>
          <w:szCs w:val="22"/>
          <w:lang w:eastAsia="en-US"/>
        </w:rPr>
        <w:t>н</w:t>
      </w:r>
      <w:r w:rsidRPr="00281602">
        <w:rPr>
          <w:rFonts w:eastAsia="Calibri"/>
          <w:color w:val="000000"/>
          <w:sz w:val="22"/>
          <w:szCs w:val="22"/>
          <w:lang w:eastAsia="en-US"/>
        </w:rPr>
        <w:t>струментом современных держав в ведении горячих войн. Обесп</w:t>
      </w:r>
      <w:r w:rsidRPr="00281602">
        <w:rPr>
          <w:rFonts w:eastAsia="Calibri"/>
          <w:color w:val="000000"/>
          <w:sz w:val="22"/>
          <w:szCs w:val="22"/>
          <w:lang w:eastAsia="en-US"/>
        </w:rPr>
        <w:t>е</w:t>
      </w:r>
      <w:r w:rsidRPr="00281602">
        <w:rPr>
          <w:rFonts w:eastAsia="Calibri"/>
          <w:color w:val="000000"/>
          <w:sz w:val="22"/>
          <w:szCs w:val="22"/>
          <w:lang w:eastAsia="en-US"/>
        </w:rPr>
        <w:t>ченность топливом в совокупности с развитой металлургией (жел</w:t>
      </w:r>
      <w:r w:rsidRPr="00281602">
        <w:rPr>
          <w:rFonts w:eastAsia="Calibri"/>
          <w:color w:val="000000"/>
          <w:sz w:val="22"/>
          <w:szCs w:val="22"/>
          <w:lang w:eastAsia="en-US"/>
        </w:rPr>
        <w:t>е</w:t>
      </w:r>
      <w:r w:rsidRPr="00281602">
        <w:rPr>
          <w:rFonts w:eastAsia="Calibri"/>
          <w:color w:val="000000"/>
          <w:sz w:val="22"/>
          <w:szCs w:val="22"/>
          <w:lang w:eastAsia="en-US"/>
        </w:rPr>
        <w:t>зо, медь) и машиностроением создает основу для переоснащения промышленности с целью увеличения производства бронетехники и прочей наземной боевой техники.</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Краснодарский завод тяжёлого станкостроения может помочь решить задачу переоснащения заводов на производство военной продукции.</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Транспортная сеть на территории Кубани также хорошо разв</w:t>
      </w:r>
      <w:r w:rsidRPr="00281602">
        <w:rPr>
          <w:rFonts w:eastAsia="Calibri"/>
          <w:color w:val="000000"/>
          <w:sz w:val="22"/>
          <w:szCs w:val="22"/>
          <w:lang w:eastAsia="en-US"/>
        </w:rPr>
        <w:t>и</w:t>
      </w:r>
      <w:r w:rsidRPr="00281602">
        <w:rPr>
          <w:rFonts w:eastAsia="Calibri"/>
          <w:color w:val="000000"/>
          <w:sz w:val="22"/>
          <w:szCs w:val="22"/>
          <w:lang w:eastAsia="en-US"/>
        </w:rPr>
        <w:t>та. Востребованные в военной сфере, прежде всего, железнодоро</w:t>
      </w:r>
      <w:r w:rsidRPr="00281602">
        <w:rPr>
          <w:rFonts w:eastAsia="Calibri"/>
          <w:color w:val="000000"/>
          <w:sz w:val="22"/>
          <w:szCs w:val="22"/>
          <w:lang w:eastAsia="en-US"/>
        </w:rPr>
        <w:t>ж</w:t>
      </w:r>
      <w:r w:rsidRPr="00281602">
        <w:rPr>
          <w:rFonts w:eastAsia="Calibri"/>
          <w:color w:val="000000"/>
          <w:sz w:val="22"/>
          <w:szCs w:val="22"/>
          <w:lang w:eastAsia="en-US"/>
        </w:rPr>
        <w:lastRenderedPageBreak/>
        <w:t>ный, водный и воздушный виды транспорта. Одно из направлений инвестиций ВПК – налаживание прочных каналов снабжения по всей территории страны. Возможно создание специальных средств мобильного базирования стратегических вооружений. Например, БЖРК «Баргузин» - проектировавшийся мобильный комплекс р</w:t>
      </w:r>
      <w:r w:rsidRPr="00281602">
        <w:rPr>
          <w:rFonts w:eastAsia="Calibri"/>
          <w:color w:val="000000"/>
          <w:sz w:val="22"/>
          <w:szCs w:val="22"/>
          <w:lang w:eastAsia="en-US"/>
        </w:rPr>
        <w:t>а</w:t>
      </w:r>
      <w:r w:rsidRPr="00281602">
        <w:rPr>
          <w:rFonts w:eastAsia="Calibri"/>
          <w:color w:val="000000"/>
          <w:sz w:val="22"/>
          <w:szCs w:val="22"/>
          <w:lang w:eastAsia="en-US"/>
        </w:rPr>
        <w:t xml:space="preserve">кетного вооружения ракетных войск стратегического назначения. </w:t>
      </w:r>
      <w:r>
        <w:rPr>
          <w:rFonts w:eastAsia="Calibri"/>
          <w:noProof/>
          <w:color w:val="000000"/>
          <w:sz w:val="22"/>
          <w:szCs w:val="22"/>
        </w:rPr>
        <mc:AlternateContent>
          <mc:Choice Requires="wps">
            <w:drawing>
              <wp:anchor distT="0" distB="0" distL="114300" distR="114300" simplePos="0" relativeHeight="251661312" behindDoc="1" locked="0" layoutInCell="1" allowOverlap="1" wp14:anchorId="3EB02405" wp14:editId="06629C33">
                <wp:simplePos x="0" y="0"/>
                <wp:positionH relativeFrom="column">
                  <wp:posOffset>4310380</wp:posOffset>
                </wp:positionH>
                <wp:positionV relativeFrom="paragraph">
                  <wp:posOffset>2598420</wp:posOffset>
                </wp:positionV>
                <wp:extent cx="548640" cy="226695"/>
                <wp:effectExtent l="0" t="0" r="3810" b="1905"/>
                <wp:wrapTight wrapText="bothSides">
                  <wp:wrapPolygon edited="0">
                    <wp:start x="0" y="0"/>
                    <wp:lineTo x="0" y="19966"/>
                    <wp:lineTo x="21000" y="19966"/>
                    <wp:lineTo x="21000" y="0"/>
                    <wp:lineTo x="0" y="0"/>
                  </wp:wrapPolygon>
                </wp:wrapTight>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226695"/>
                        </a:xfrm>
                        <a:prstGeom prst="rect">
                          <a:avLst/>
                        </a:prstGeom>
                        <a:noFill/>
                        <a:ln>
                          <a:noFill/>
                        </a:ln>
                      </wps:spPr>
                      <wps:txbx>
                        <w:txbxContent>
                          <w:p w:rsidR="0019447C" w:rsidRPr="006F7CE4" w:rsidRDefault="0019447C" w:rsidP="00281602">
                            <w:pPr>
                              <w:pStyle w:val="1f2"/>
                              <w:rPr>
                                <w:rFonts w:ascii="Times New Roman" w:hAnsi="Times New Roman"/>
                                <w:noProof/>
                                <w:color w:val="FFFFFF" w:themeColor="background1"/>
                                <w:sz w:val="28"/>
                                <w:szCs w:val="28"/>
                              </w:rPr>
                            </w:pPr>
                            <w:r w:rsidRPr="006F7CE4">
                              <w:rPr>
                                <w:rFonts w:ascii="Times New Roman" w:hAnsi="Times New Roman"/>
                                <w:noProof/>
                                <w:color w:val="FFFFFF" w:themeColor="background1"/>
                                <w:sz w:val="28"/>
                                <w:szCs w:val="28"/>
                              </w:rPr>
                              <w:t>Су-24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339.4pt;margin-top:204.6pt;width:43.2pt;height:1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" filled="f" stroked="f">
                <v:path arrowok="t"/>
                <v:textbox inset="0,0,0,0">
                  <w:txbxContent>
                    <w:p w:rsidR="00863F6A" w:rsidRPr="006F7CE4" w:rsidRDefault="00863F6A" w:rsidP="00281602">
                      <w:pPr>
                        <w:pStyle w:val="1f2"/>
                        <w:rPr>
                          <w:rFonts w:ascii="Times New Roman" w:hAnsi="Times New Roman"/>
                          <w:noProof/>
                          <w:color w:val="FFFFFF" w:themeColor="background1"/>
                          <w:sz w:val="28"/>
                          <w:szCs w:val="28"/>
                        </w:rPr>
                      </w:pPr>
                      <w:r w:rsidRPr="006F7CE4">
                        <w:rPr>
                          <w:rFonts w:ascii="Times New Roman" w:hAnsi="Times New Roman"/>
                          <w:noProof/>
                          <w:color w:val="FFFFFF" w:themeColor="background1"/>
                          <w:sz w:val="28"/>
                          <w:szCs w:val="28"/>
                        </w:rPr>
                        <w:t>Су-24</w:t>
                      </w:r>
                    </w:p>
                  </w:txbxContent>
                </v:textbox>
                <w10:wrap type="tight"/>
              </v:shape>
            </w:pict>
          </mc:Fallback>
        </mc:AlternateContent>
      </w:r>
      <w:r w:rsidRPr="00281602">
        <w:rPr>
          <w:rFonts w:eastAsia="Calibri"/>
          <w:color w:val="000000"/>
          <w:sz w:val="22"/>
          <w:szCs w:val="22"/>
          <w:lang w:eastAsia="en-US"/>
        </w:rPr>
        <w:t>Одна из особенностей Кубани - огромные воздушные пространства. Наличие же ремонтных авиационных заводов в Краснодаре и Ейске, а также электромеханические заводы в Краснодаре и Армавире служат аргументами в пользу инвестиций в производство военной авиации или.  Как известно, авиация – важнейший род войск, с п</w:t>
      </w:r>
      <w:r w:rsidRPr="00281602">
        <w:rPr>
          <w:rFonts w:eastAsia="Calibri"/>
          <w:color w:val="000000"/>
          <w:sz w:val="22"/>
          <w:szCs w:val="22"/>
          <w:lang w:eastAsia="en-US"/>
        </w:rPr>
        <w:t>о</w:t>
      </w:r>
      <w:r w:rsidRPr="00281602">
        <w:rPr>
          <w:rFonts w:eastAsia="Calibri"/>
          <w:color w:val="000000"/>
          <w:sz w:val="22"/>
          <w:szCs w:val="22"/>
          <w:lang w:eastAsia="en-US"/>
        </w:rPr>
        <w:t>мощью которого возможно не только держать оборону, но и нан</w:t>
      </w:r>
      <w:r w:rsidRPr="00281602">
        <w:rPr>
          <w:rFonts w:eastAsia="Calibri"/>
          <w:color w:val="000000"/>
          <w:sz w:val="22"/>
          <w:szCs w:val="22"/>
          <w:lang w:eastAsia="en-US"/>
        </w:rPr>
        <w:t>о</w:t>
      </w:r>
      <w:r w:rsidRPr="00281602">
        <w:rPr>
          <w:rFonts w:eastAsia="Calibri"/>
          <w:color w:val="000000"/>
          <w:sz w:val="22"/>
          <w:szCs w:val="22"/>
          <w:lang w:eastAsia="en-US"/>
        </w:rPr>
        <w:t>сить удары далеко за пределами театра военных действий. Авиац</w:t>
      </w:r>
      <w:r w:rsidRPr="00281602">
        <w:rPr>
          <w:rFonts w:eastAsia="Calibri"/>
          <w:color w:val="000000"/>
          <w:sz w:val="22"/>
          <w:szCs w:val="22"/>
          <w:lang w:eastAsia="en-US"/>
        </w:rPr>
        <w:t>и</w:t>
      </w:r>
      <w:r w:rsidRPr="00281602">
        <w:rPr>
          <w:rFonts w:eastAsia="Calibri"/>
          <w:color w:val="000000"/>
          <w:sz w:val="22"/>
          <w:szCs w:val="22"/>
          <w:lang w:eastAsia="en-US"/>
        </w:rPr>
        <w:t>онные удары бомбардировщиков Су-24 и Су-34 по позициям ИГИЛ в Сирии тому пример. А с современным ядерным оружием создание аэродромов для базирования стратегических бомбардировщиков – важная стратегическая задача. Следует помнить и о военно-морском потенциале черноморского флота, в том числе подводного, который базируется в Севастополе. Пусть он и находится в Крыму, судоремонтные заводы в Новороссийске и Туапсе могут быть не только средствами поддержания боевых кораблей, но и при соо</w:t>
      </w:r>
      <w:r w:rsidRPr="00281602">
        <w:rPr>
          <w:rFonts w:eastAsia="Calibri"/>
          <w:color w:val="000000"/>
          <w:sz w:val="22"/>
          <w:szCs w:val="22"/>
          <w:lang w:eastAsia="en-US"/>
        </w:rPr>
        <w:t>т</w:t>
      </w:r>
      <w:r w:rsidRPr="00281602">
        <w:rPr>
          <w:rFonts w:eastAsia="Calibri"/>
          <w:color w:val="000000"/>
          <w:sz w:val="22"/>
          <w:szCs w:val="22"/>
          <w:lang w:eastAsia="en-US"/>
        </w:rPr>
        <w:t>ветствующем инвестировании служить основой для создания суд</w:t>
      </w:r>
      <w:r w:rsidRPr="00281602">
        <w:rPr>
          <w:rFonts w:eastAsia="Calibri"/>
          <w:color w:val="000000"/>
          <w:sz w:val="22"/>
          <w:szCs w:val="22"/>
          <w:lang w:eastAsia="en-US"/>
        </w:rPr>
        <w:t>о</w:t>
      </w:r>
      <w:r w:rsidRPr="00281602">
        <w:rPr>
          <w:rFonts w:eastAsia="Calibri"/>
          <w:color w:val="000000"/>
          <w:sz w:val="22"/>
          <w:szCs w:val="22"/>
          <w:lang w:eastAsia="en-US"/>
        </w:rPr>
        <w:t>строительных заводов. Армавирский завод связи представляет большую ценность для ВПК, так как организация связи и координ</w:t>
      </w:r>
      <w:r w:rsidRPr="00281602">
        <w:rPr>
          <w:rFonts w:eastAsia="Calibri"/>
          <w:color w:val="000000"/>
          <w:sz w:val="22"/>
          <w:szCs w:val="22"/>
          <w:lang w:eastAsia="en-US"/>
        </w:rPr>
        <w:t>а</w:t>
      </w:r>
      <w:r w:rsidRPr="00281602">
        <w:rPr>
          <w:rFonts w:eastAsia="Calibri"/>
          <w:color w:val="000000"/>
          <w:sz w:val="22"/>
          <w:szCs w:val="22"/>
          <w:lang w:eastAsia="en-US"/>
        </w:rPr>
        <w:t>ции действий войск и подразделений всегда имели колоссальное значение для успешного проведения боевых операций и в военное время. Современная спутниковая система (ГЛОНАСС) должна ш</w:t>
      </w:r>
      <w:r w:rsidRPr="00281602">
        <w:rPr>
          <w:rFonts w:eastAsia="Calibri"/>
          <w:color w:val="000000"/>
          <w:sz w:val="22"/>
          <w:szCs w:val="22"/>
          <w:lang w:eastAsia="en-US"/>
        </w:rPr>
        <w:t>и</w:t>
      </w:r>
      <w:r w:rsidRPr="00281602">
        <w:rPr>
          <w:rFonts w:eastAsia="Calibri"/>
          <w:color w:val="000000"/>
          <w:sz w:val="22"/>
          <w:szCs w:val="22"/>
          <w:lang w:eastAsia="en-US"/>
        </w:rPr>
        <w:t>роко использоваться военными и быть достаточно надёжной для этой цели. В Краснодарском крае множество крупных строител</w:t>
      </w:r>
      <w:r w:rsidRPr="00281602">
        <w:rPr>
          <w:rFonts w:eastAsia="Calibri"/>
          <w:color w:val="000000"/>
          <w:sz w:val="22"/>
          <w:szCs w:val="22"/>
          <w:lang w:eastAsia="en-US"/>
        </w:rPr>
        <w:t>ь</w:t>
      </w:r>
      <w:r w:rsidRPr="00281602">
        <w:rPr>
          <w:rFonts w:eastAsia="Calibri"/>
          <w:color w:val="000000"/>
          <w:sz w:val="22"/>
          <w:szCs w:val="22"/>
          <w:lang w:eastAsia="en-US"/>
        </w:rPr>
        <w:t>ных предприятий (Краснодар, Новороссийск, Ейск, Сочи, Усть-Лабинск, Белореченск, Новокубанск, Коноково и Абинск). Возмо</w:t>
      </w:r>
      <w:r w:rsidRPr="00281602">
        <w:rPr>
          <w:rFonts w:eastAsia="Calibri"/>
          <w:color w:val="000000"/>
          <w:sz w:val="22"/>
          <w:szCs w:val="22"/>
          <w:lang w:eastAsia="en-US"/>
        </w:rPr>
        <w:t>ж</w:t>
      </w:r>
      <w:r w:rsidRPr="00281602">
        <w:rPr>
          <w:rFonts w:eastAsia="Calibri"/>
          <w:color w:val="000000"/>
          <w:sz w:val="22"/>
          <w:szCs w:val="22"/>
          <w:lang w:eastAsia="en-US"/>
        </w:rPr>
        <w:t>но инвестирование расширения этих заводов с целью формирования их внутренней структуры, частью которой является производство стройматериалов для постройки баз базирования ПВО- и ПРО-комплексов, важнейших элементов защиты государственных границ от ударов с воздуха. Производство таких систем очень нескоро ст</w:t>
      </w:r>
      <w:r w:rsidRPr="00281602">
        <w:rPr>
          <w:rFonts w:eastAsia="Calibri"/>
          <w:color w:val="000000"/>
          <w:sz w:val="22"/>
          <w:szCs w:val="22"/>
          <w:lang w:eastAsia="en-US"/>
        </w:rPr>
        <w:t>а</w:t>
      </w:r>
      <w:r w:rsidRPr="00281602">
        <w:rPr>
          <w:rFonts w:eastAsia="Calibri"/>
          <w:color w:val="000000"/>
          <w:sz w:val="22"/>
          <w:szCs w:val="22"/>
          <w:lang w:eastAsia="en-US"/>
        </w:rPr>
        <w:t>нет избыточным, так как Россия – самая большая по площади стр</w:t>
      </w:r>
      <w:r w:rsidRPr="00281602">
        <w:rPr>
          <w:rFonts w:eastAsia="Calibri"/>
          <w:color w:val="000000"/>
          <w:sz w:val="22"/>
          <w:szCs w:val="22"/>
          <w:lang w:eastAsia="en-US"/>
        </w:rPr>
        <w:t>а</w:t>
      </w:r>
      <w:r w:rsidRPr="00281602">
        <w:rPr>
          <w:rFonts w:eastAsia="Calibri"/>
          <w:color w:val="000000"/>
          <w:sz w:val="22"/>
          <w:szCs w:val="22"/>
          <w:lang w:eastAsia="en-US"/>
        </w:rPr>
        <w:t xml:space="preserve">на в мире, имеет самые протяжённые границы, защищать которые </w:t>
      </w:r>
      <w:r w:rsidRPr="00281602">
        <w:rPr>
          <w:rFonts w:eastAsia="Calibri"/>
          <w:color w:val="000000"/>
          <w:sz w:val="22"/>
          <w:szCs w:val="22"/>
          <w:lang w:eastAsia="en-US"/>
        </w:rPr>
        <w:lastRenderedPageBreak/>
        <w:t>не так просто, тем более военные США постоянно модернизируют ракетные средства поражения, у них есть уже вполне рабочие пр</w:t>
      </w:r>
      <w:r w:rsidRPr="00281602">
        <w:rPr>
          <w:rFonts w:eastAsia="Calibri"/>
          <w:color w:val="000000"/>
          <w:sz w:val="22"/>
          <w:szCs w:val="22"/>
          <w:lang w:eastAsia="en-US"/>
        </w:rPr>
        <w:t>о</w:t>
      </w:r>
      <w:r w:rsidRPr="00281602">
        <w:rPr>
          <w:rFonts w:eastAsia="Calibri"/>
          <w:color w:val="000000"/>
          <w:sz w:val="22"/>
          <w:szCs w:val="22"/>
          <w:lang w:eastAsia="en-US"/>
        </w:rPr>
        <w:t>тотипы гиперзвуковых космических самолётов (американский рак</w:t>
      </w:r>
      <w:r w:rsidRPr="00281602">
        <w:rPr>
          <w:rFonts w:eastAsia="Calibri"/>
          <w:color w:val="000000"/>
          <w:sz w:val="22"/>
          <w:szCs w:val="22"/>
          <w:lang w:eastAsia="en-US"/>
        </w:rPr>
        <w:t>е</w:t>
      </w:r>
      <w:r w:rsidRPr="00281602">
        <w:rPr>
          <w:rFonts w:eastAsia="Calibri"/>
          <w:color w:val="000000"/>
          <w:sz w:val="22"/>
          <w:szCs w:val="22"/>
          <w:lang w:eastAsia="en-US"/>
        </w:rPr>
        <w:t>топлан</w:t>
      </w:r>
      <w:r w:rsidRPr="00281602">
        <w:rPr>
          <w:rFonts w:eastAsia="Calibri"/>
          <w:color w:val="000000"/>
          <w:sz w:val="22"/>
          <w:szCs w:val="22"/>
          <w:lang w:val="en-US" w:eastAsia="en-US"/>
        </w:rPr>
        <w:t>X</w:t>
      </w:r>
      <w:r w:rsidRPr="00281602">
        <w:rPr>
          <w:rFonts w:eastAsia="Calibri"/>
          <w:color w:val="000000"/>
          <w:sz w:val="22"/>
          <w:szCs w:val="22"/>
          <w:lang w:eastAsia="en-US"/>
        </w:rPr>
        <w:t>-15). Российские военные конструкторы также работают над подобными проектами, но пока еще отстают. Таким образом, Краснодарский край имеет достаточно обустроенную современную производственную и инфраструктурную базу для функциониров</w:t>
      </w:r>
      <w:r w:rsidRPr="00281602">
        <w:rPr>
          <w:rFonts w:eastAsia="Calibri"/>
          <w:color w:val="000000"/>
          <w:sz w:val="22"/>
          <w:szCs w:val="22"/>
          <w:lang w:eastAsia="en-US"/>
        </w:rPr>
        <w:t>а</w:t>
      </w:r>
      <w:r w:rsidRPr="00281602">
        <w:rPr>
          <w:rFonts w:eastAsia="Calibri"/>
          <w:color w:val="000000"/>
          <w:sz w:val="22"/>
          <w:szCs w:val="22"/>
          <w:lang w:eastAsia="en-US"/>
        </w:rPr>
        <w:t>ния ВПК. Для успешной модернизации средств вооружения нашему ВПК необходимы инвестиции.</w:t>
      </w:r>
    </w:p>
    <w:p w:rsidR="00281602" w:rsidRPr="00281602" w:rsidRDefault="00281602" w:rsidP="00281602">
      <w:pPr>
        <w:ind w:firstLine="425"/>
        <w:jc w:val="both"/>
        <w:rPr>
          <w:b/>
          <w:color w:val="1A1A1A"/>
          <w:sz w:val="22"/>
          <w:szCs w:val="22"/>
          <w:lang w:eastAsia="en-US"/>
        </w:rPr>
      </w:pPr>
    </w:p>
    <w:p w:rsidR="00281602" w:rsidRPr="00281602" w:rsidRDefault="00281602" w:rsidP="00281602">
      <w:pPr>
        <w:ind w:firstLine="425"/>
        <w:jc w:val="center"/>
        <w:rPr>
          <w:sz w:val="22"/>
          <w:szCs w:val="22"/>
        </w:rPr>
      </w:pPr>
      <w:r w:rsidRPr="00281602">
        <w:rPr>
          <w:sz w:val="22"/>
          <w:szCs w:val="22"/>
        </w:rPr>
        <w:t>Список литературы</w:t>
      </w:r>
    </w:p>
    <w:p w:rsidR="00281602" w:rsidRPr="00281602" w:rsidRDefault="00281602" w:rsidP="00281602">
      <w:pPr>
        <w:tabs>
          <w:tab w:val="left" w:pos="6336"/>
        </w:tabs>
        <w:ind w:firstLine="426"/>
        <w:jc w:val="both"/>
        <w:rPr>
          <w:rFonts w:eastAsia="Calibri"/>
          <w:color w:val="1A1A1A"/>
          <w:sz w:val="22"/>
          <w:szCs w:val="22"/>
          <w:lang w:eastAsia="en-US"/>
        </w:rPr>
      </w:pPr>
      <w:r w:rsidRPr="00281602">
        <w:rPr>
          <w:iCs/>
          <w:color w:val="000000"/>
          <w:sz w:val="22"/>
          <w:szCs w:val="22"/>
        </w:rPr>
        <w:t xml:space="preserve">1. Великанова Л.О. </w:t>
      </w:r>
      <w:hyperlink r:id="rId168" w:history="1">
        <w:r w:rsidRPr="00281602">
          <w:rPr>
            <w:bCs/>
            <w:color w:val="000000"/>
            <w:sz w:val="22"/>
            <w:szCs w:val="22"/>
          </w:rPr>
          <w:t>Информационные</w:t>
        </w:r>
      </w:hyperlink>
      <w:r w:rsidRPr="00281602">
        <w:rPr>
          <w:color w:val="000000"/>
          <w:sz w:val="22"/>
          <w:szCs w:val="22"/>
        </w:rPr>
        <w:t xml:space="preserve"> системы в экономике /Л.О. </w:t>
      </w:r>
      <w:r w:rsidRPr="00281602">
        <w:rPr>
          <w:iCs/>
          <w:color w:val="000000"/>
          <w:sz w:val="22"/>
          <w:szCs w:val="22"/>
        </w:rPr>
        <w:t>Великанова, В.В. Ткаченко, О.Д. Ткаченко</w:t>
      </w:r>
      <w:r w:rsidRPr="00281602">
        <w:rPr>
          <w:color w:val="000000"/>
          <w:sz w:val="22"/>
          <w:szCs w:val="22"/>
        </w:rPr>
        <w:br/>
        <w:t>/Метод.рекоменд. к выполнению лабораторных работ для студентов специальности 080109.65 "Бухгалтерский учет, анализ и аудит". – Краснодар: КубГАУ, 2010. – 32 с.</w:t>
      </w:r>
    </w:p>
    <w:p w:rsidR="00281602" w:rsidRPr="00281602" w:rsidRDefault="00281602" w:rsidP="00281602">
      <w:pPr>
        <w:tabs>
          <w:tab w:val="left" w:pos="6336"/>
        </w:tabs>
        <w:ind w:firstLine="426"/>
        <w:jc w:val="both"/>
        <w:rPr>
          <w:rFonts w:eastAsia="Calibri"/>
          <w:color w:val="1A1A1A"/>
          <w:sz w:val="22"/>
          <w:szCs w:val="22"/>
          <w:lang w:eastAsia="en-US"/>
        </w:rPr>
      </w:pPr>
      <w:r w:rsidRPr="00281602">
        <w:rPr>
          <w:iCs/>
          <w:color w:val="000000"/>
          <w:sz w:val="22"/>
          <w:szCs w:val="22"/>
        </w:rPr>
        <w:t>2. Орлова Е.Б. Теоретические и практические аспекты сниж</w:t>
      </w:r>
      <w:r w:rsidRPr="00281602">
        <w:rPr>
          <w:iCs/>
          <w:color w:val="000000"/>
          <w:sz w:val="22"/>
          <w:szCs w:val="22"/>
        </w:rPr>
        <w:t>е</w:t>
      </w:r>
      <w:r w:rsidRPr="00281602">
        <w:rPr>
          <w:iCs/>
          <w:color w:val="000000"/>
          <w:sz w:val="22"/>
          <w:szCs w:val="22"/>
        </w:rPr>
        <w:t>ния внешнего влияния на экономику России / Е.Б. Орлова, А.Р. Арифова</w:t>
      </w:r>
      <w:r w:rsidRPr="00281602">
        <w:rPr>
          <w:color w:val="000000"/>
          <w:sz w:val="22"/>
          <w:szCs w:val="22"/>
        </w:rPr>
        <w:t>//</w:t>
      </w:r>
      <w:hyperlink r:id="rId169" w:history="1">
        <w:r w:rsidRPr="00281602">
          <w:rPr>
            <w:color w:val="000000"/>
            <w:sz w:val="22"/>
            <w:szCs w:val="22"/>
          </w:rPr>
          <w:t>Экономика и предпринимательство</w:t>
        </w:r>
      </w:hyperlink>
      <w:r w:rsidRPr="00281602">
        <w:rPr>
          <w:rFonts w:eastAsia="Calibri"/>
          <w:sz w:val="22"/>
          <w:szCs w:val="22"/>
          <w:lang w:eastAsia="en-US"/>
        </w:rPr>
        <w:t>»</w:t>
      </w:r>
      <w:r w:rsidRPr="00281602">
        <w:rPr>
          <w:color w:val="000000"/>
          <w:sz w:val="22"/>
          <w:szCs w:val="22"/>
        </w:rPr>
        <w:t>. </w:t>
      </w:r>
      <w:hyperlink r:id="rId170" w:history="1">
        <w:r w:rsidRPr="00281602">
          <w:rPr>
            <w:color w:val="000000"/>
            <w:sz w:val="22"/>
            <w:szCs w:val="22"/>
          </w:rPr>
          <w:t>№ 8-2 (85-2)</w:t>
        </w:r>
      </w:hyperlink>
      <w:r w:rsidRPr="00281602">
        <w:rPr>
          <w:color w:val="000000"/>
          <w:sz w:val="22"/>
          <w:szCs w:val="22"/>
        </w:rPr>
        <w:t>. С. 173-176.</w:t>
      </w:r>
    </w:p>
    <w:p w:rsidR="00281602" w:rsidRPr="00281602" w:rsidRDefault="00281602" w:rsidP="00281602">
      <w:pPr>
        <w:tabs>
          <w:tab w:val="left" w:pos="6336"/>
        </w:tabs>
        <w:ind w:firstLine="426"/>
        <w:jc w:val="both"/>
        <w:rPr>
          <w:rFonts w:eastAsia="Calibri"/>
          <w:color w:val="1A1A1A"/>
          <w:sz w:val="22"/>
          <w:szCs w:val="22"/>
          <w:lang w:eastAsia="en-US"/>
        </w:rPr>
      </w:pPr>
      <w:r w:rsidRPr="00281602">
        <w:rPr>
          <w:iCs/>
          <w:color w:val="000000"/>
          <w:sz w:val="22"/>
          <w:szCs w:val="22"/>
        </w:rPr>
        <w:t>3. Орлова Е.Б. Теоретические и практические аспекты влияния Центрального банка РФ на отрицательную динамику курса рубля по отношению к мировым валютам / Е.Б. Орлова, А.Ю. Пшид</w:t>
      </w:r>
      <w:r w:rsidRPr="00281602">
        <w:rPr>
          <w:iCs/>
          <w:color w:val="000000"/>
          <w:sz w:val="22"/>
          <w:szCs w:val="22"/>
        </w:rPr>
        <w:t>а</w:t>
      </w:r>
      <w:r w:rsidRPr="00281602">
        <w:rPr>
          <w:iCs/>
          <w:color w:val="000000"/>
          <w:sz w:val="22"/>
          <w:szCs w:val="22"/>
        </w:rPr>
        <w:t>ток</w:t>
      </w:r>
      <w:r w:rsidRPr="00281602">
        <w:rPr>
          <w:color w:val="000000"/>
          <w:sz w:val="22"/>
          <w:szCs w:val="22"/>
        </w:rPr>
        <w:t>//</w:t>
      </w:r>
      <w:hyperlink r:id="rId171" w:history="1">
        <w:r w:rsidRPr="00281602">
          <w:rPr>
            <w:color w:val="000000"/>
            <w:sz w:val="22"/>
            <w:szCs w:val="22"/>
          </w:rPr>
          <w:t>Экономика и предпринимательство</w:t>
        </w:r>
      </w:hyperlink>
      <w:r w:rsidRPr="00281602">
        <w:rPr>
          <w:color w:val="000000"/>
          <w:sz w:val="22"/>
          <w:szCs w:val="22"/>
        </w:rPr>
        <w:t>. </w:t>
      </w:r>
      <w:hyperlink r:id="rId172" w:history="1">
        <w:r w:rsidRPr="00281602">
          <w:rPr>
            <w:color w:val="000000"/>
            <w:sz w:val="22"/>
            <w:szCs w:val="22"/>
          </w:rPr>
          <w:t>№ 4-2 (81-2)</w:t>
        </w:r>
      </w:hyperlink>
      <w:r w:rsidRPr="00281602">
        <w:rPr>
          <w:color w:val="000000"/>
          <w:sz w:val="22"/>
          <w:szCs w:val="22"/>
        </w:rPr>
        <w:t>. С. 739-742.</w:t>
      </w:r>
    </w:p>
    <w:p w:rsidR="00281602" w:rsidRPr="00281602" w:rsidRDefault="00281602" w:rsidP="00281602">
      <w:pPr>
        <w:tabs>
          <w:tab w:val="left" w:pos="567"/>
        </w:tabs>
        <w:overflowPunct w:val="0"/>
        <w:autoSpaceDE w:val="0"/>
        <w:autoSpaceDN w:val="0"/>
        <w:adjustRightInd w:val="0"/>
        <w:ind w:firstLine="426"/>
        <w:jc w:val="both"/>
        <w:rPr>
          <w:rFonts w:eastAsia="Calibri"/>
          <w:color w:val="000000"/>
          <w:sz w:val="22"/>
          <w:szCs w:val="22"/>
          <w:lang w:eastAsia="en-US"/>
        </w:rPr>
      </w:pPr>
      <w:r w:rsidRPr="00281602">
        <w:rPr>
          <w:rFonts w:eastAsia="Calibri"/>
          <w:sz w:val="22"/>
          <w:szCs w:val="22"/>
          <w:lang w:eastAsia="en-US"/>
        </w:rPr>
        <w:t>4. Хачемизова Э.А. Факторы социально-экономического разв</w:t>
      </w:r>
      <w:r w:rsidRPr="00281602">
        <w:rPr>
          <w:rFonts w:eastAsia="Calibri"/>
          <w:sz w:val="22"/>
          <w:szCs w:val="22"/>
          <w:lang w:eastAsia="en-US"/>
        </w:rPr>
        <w:t>и</w:t>
      </w:r>
      <w:r w:rsidRPr="00281602">
        <w:rPr>
          <w:rFonts w:eastAsia="Calibri"/>
          <w:sz w:val="22"/>
          <w:szCs w:val="22"/>
          <w:lang w:eastAsia="en-US"/>
        </w:rPr>
        <w:t xml:space="preserve">тия и конкурентоспособности регионов </w:t>
      </w:r>
      <w:r w:rsidRPr="00281602">
        <w:rPr>
          <w:rFonts w:eastAsia="Calibri"/>
          <w:color w:val="000000"/>
          <w:sz w:val="22"/>
          <w:szCs w:val="22"/>
          <w:lang w:eastAsia="en-US"/>
        </w:rPr>
        <w:t xml:space="preserve">/Э.А. </w:t>
      </w:r>
      <w:r w:rsidRPr="00281602">
        <w:rPr>
          <w:rFonts w:eastAsia="Calibri"/>
          <w:iCs/>
          <w:color w:val="000000"/>
          <w:sz w:val="22"/>
          <w:szCs w:val="22"/>
          <w:lang w:eastAsia="en-US"/>
        </w:rPr>
        <w:t>Хачемизова //</w:t>
      </w:r>
      <w:hyperlink r:id="rId173" w:history="1">
        <w:r w:rsidRPr="00281602">
          <w:rPr>
            <w:rFonts w:eastAsia="Calibri"/>
            <w:color w:val="000000"/>
            <w:sz w:val="22"/>
            <w:szCs w:val="22"/>
            <w:lang w:eastAsia="en-US"/>
          </w:rPr>
          <w:t>Вестник Майкопского государственного технологического университета</w:t>
        </w:r>
      </w:hyperlink>
      <w:r w:rsidRPr="00281602">
        <w:rPr>
          <w:rFonts w:eastAsia="Calibri"/>
          <w:color w:val="000000"/>
          <w:sz w:val="22"/>
          <w:szCs w:val="22"/>
          <w:lang w:eastAsia="en-US"/>
        </w:rPr>
        <w:t>. 2009. </w:t>
      </w:r>
      <w:hyperlink r:id="rId174" w:history="1">
        <w:r w:rsidRPr="00281602">
          <w:rPr>
            <w:rFonts w:eastAsia="Calibri"/>
            <w:color w:val="000000"/>
            <w:sz w:val="22"/>
            <w:szCs w:val="22"/>
            <w:lang w:eastAsia="en-US"/>
          </w:rPr>
          <w:t>№ 3</w:t>
        </w:r>
      </w:hyperlink>
      <w:r w:rsidRPr="00281602">
        <w:rPr>
          <w:rFonts w:eastAsia="Calibri"/>
          <w:color w:val="000000"/>
          <w:sz w:val="22"/>
          <w:szCs w:val="22"/>
          <w:lang w:eastAsia="en-US"/>
        </w:rPr>
        <w:t>. - С. 88-92.</w:t>
      </w:r>
    </w:p>
    <w:p w:rsidR="00281602" w:rsidRPr="00281602" w:rsidRDefault="00281602" w:rsidP="00281602">
      <w:pPr>
        <w:ind w:firstLine="425"/>
        <w:jc w:val="both"/>
        <w:rPr>
          <w:rFonts w:eastAsia="Calibri"/>
          <w:sz w:val="22"/>
          <w:szCs w:val="22"/>
          <w:lang w:eastAsia="en-US"/>
        </w:rPr>
      </w:pPr>
    </w:p>
    <w:p w:rsidR="006F7F71" w:rsidRPr="00281602" w:rsidRDefault="00D34D80" w:rsidP="00D34D80">
      <w:pPr>
        <w:rPr>
          <w:rFonts w:eastAsia="Calibri"/>
          <w:sz w:val="22"/>
          <w:szCs w:val="22"/>
          <w:lang w:eastAsia="en-US"/>
        </w:rPr>
      </w:pPr>
      <w:r>
        <w:rPr>
          <w:rFonts w:eastAsia="Calibri"/>
          <w:sz w:val="22"/>
          <w:szCs w:val="22"/>
          <w:lang w:eastAsia="en-US"/>
        </w:rPr>
        <w:br w:type="page"/>
      </w:r>
    </w:p>
    <w:p w:rsidR="00281602" w:rsidRPr="00281602" w:rsidRDefault="00281602" w:rsidP="00281602">
      <w:pPr>
        <w:jc w:val="both"/>
        <w:rPr>
          <w:rFonts w:eastAsia="Calibri"/>
          <w:sz w:val="22"/>
          <w:szCs w:val="22"/>
          <w:lang w:eastAsia="en-US"/>
        </w:rPr>
      </w:pPr>
      <w:r w:rsidRPr="00281602">
        <w:rPr>
          <w:rFonts w:eastAsia="Calibri"/>
          <w:sz w:val="22"/>
          <w:szCs w:val="22"/>
          <w:lang w:eastAsia="en-US"/>
        </w:rPr>
        <w:lastRenderedPageBreak/>
        <w:t>УДК 004.65</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jc w:val="center"/>
        <w:rPr>
          <w:rFonts w:eastAsia="Calibri"/>
          <w:b/>
          <w:sz w:val="24"/>
          <w:szCs w:val="22"/>
          <w:lang w:eastAsia="en-US"/>
        </w:rPr>
      </w:pPr>
      <w:r w:rsidRPr="00281602">
        <w:rPr>
          <w:rFonts w:eastAsia="Calibri"/>
          <w:b/>
          <w:sz w:val="24"/>
          <w:szCs w:val="22"/>
          <w:lang w:eastAsia="en-US"/>
        </w:rPr>
        <w:t xml:space="preserve">Анализ преимуществ и недостатков нереляционных СУБД на примере </w:t>
      </w:r>
      <w:r w:rsidRPr="00281602">
        <w:rPr>
          <w:rFonts w:eastAsia="Calibri"/>
          <w:b/>
          <w:sz w:val="24"/>
          <w:szCs w:val="22"/>
          <w:lang w:val="en-US" w:eastAsia="en-US"/>
        </w:rPr>
        <w:t>MongoDB</w:t>
      </w:r>
    </w:p>
    <w:p w:rsidR="00281602" w:rsidRPr="00281602" w:rsidRDefault="00281602" w:rsidP="00281602">
      <w:pPr>
        <w:jc w:val="center"/>
        <w:rPr>
          <w:rFonts w:eastAsia="Calibri"/>
          <w:b/>
          <w:sz w:val="24"/>
          <w:szCs w:val="22"/>
          <w:lang w:val="en-US" w:eastAsia="en-US"/>
        </w:rPr>
      </w:pPr>
      <w:r w:rsidRPr="00281602">
        <w:rPr>
          <w:rFonts w:eastAsia="Calibri"/>
          <w:b/>
          <w:sz w:val="24"/>
          <w:szCs w:val="22"/>
          <w:lang w:val="en-US" w:eastAsia="en-US"/>
        </w:rPr>
        <w:t>Analysis of advantages and disadvantages of non-relational DBMS using MongoDB as an example</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Степовик А. Н.,</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студентка 3-го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аграрный </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АННОТАЦИЯ: В данной статье рассмотрена нереляционная СУБД на примере </w:t>
      </w:r>
      <w:r w:rsidRPr="00281602">
        <w:rPr>
          <w:rFonts w:eastAsia="Courier New"/>
          <w:color w:val="000000"/>
          <w:sz w:val="22"/>
          <w:szCs w:val="22"/>
          <w:lang w:val="en-US" w:eastAsia="en-US"/>
        </w:rPr>
        <w:t>MongoDB</w:t>
      </w:r>
      <w:r w:rsidRPr="00281602">
        <w:rPr>
          <w:rFonts w:eastAsia="Courier New"/>
          <w:color w:val="000000"/>
          <w:sz w:val="22"/>
          <w:szCs w:val="22"/>
          <w:lang w:eastAsia="en-US"/>
        </w:rPr>
        <w:t>, а также проанализированы преимущ</w:t>
      </w:r>
      <w:r w:rsidRPr="00281602">
        <w:rPr>
          <w:rFonts w:eastAsia="Courier New"/>
          <w:color w:val="000000"/>
          <w:sz w:val="22"/>
          <w:szCs w:val="22"/>
          <w:lang w:eastAsia="en-US"/>
        </w:rPr>
        <w:t>е</w:t>
      </w:r>
      <w:r w:rsidRPr="00281602">
        <w:rPr>
          <w:rFonts w:eastAsia="Courier New"/>
          <w:color w:val="000000"/>
          <w:sz w:val="22"/>
          <w:szCs w:val="22"/>
          <w:lang w:eastAsia="en-US"/>
        </w:rPr>
        <w:t>ства и недостатки данной СУБД.</w:t>
      </w:r>
    </w:p>
    <w:p w:rsidR="00281602" w:rsidRPr="00281602" w:rsidRDefault="00281602" w:rsidP="00281602">
      <w:pPr>
        <w:widowControl w:val="0"/>
        <w:tabs>
          <w:tab w:val="left" w:pos="8223"/>
        </w:tabs>
        <w:ind w:firstLine="425"/>
        <w:jc w:val="both"/>
        <w:rPr>
          <w:rFonts w:eastAsia="Courier New"/>
          <w:color w:val="000000"/>
          <w:sz w:val="22"/>
          <w:szCs w:val="22"/>
          <w:shd w:val="clear" w:color="auto" w:fill="FFFFFF"/>
          <w:lang w:val="en-US" w:eastAsia="en-US"/>
        </w:rPr>
      </w:pPr>
      <w:r w:rsidRPr="00281602">
        <w:rPr>
          <w:rFonts w:eastAsia="Courier New"/>
          <w:color w:val="000000"/>
          <w:sz w:val="22"/>
          <w:szCs w:val="22"/>
          <w:lang w:val="en-US" w:eastAsia="en-US"/>
        </w:rPr>
        <w:t>ABSTRACT:</w:t>
      </w:r>
      <w:r w:rsidRPr="00281602">
        <w:rPr>
          <w:rFonts w:eastAsia="Courier New"/>
          <w:color w:val="000000"/>
          <w:sz w:val="22"/>
          <w:szCs w:val="22"/>
          <w:shd w:val="clear" w:color="auto" w:fill="FFFFFF"/>
          <w:lang w:val="en-US" w:eastAsia="en-US"/>
        </w:rPr>
        <w:t xml:space="preserve"> In this article a non-relational DBMS using Mo</w:t>
      </w:r>
      <w:r w:rsidRPr="00281602">
        <w:rPr>
          <w:rFonts w:eastAsia="Courier New"/>
          <w:color w:val="000000"/>
          <w:sz w:val="22"/>
          <w:szCs w:val="22"/>
          <w:shd w:val="clear" w:color="auto" w:fill="FFFFFF"/>
          <w:lang w:val="en-US" w:eastAsia="en-US"/>
        </w:rPr>
        <w:t>n</w:t>
      </w:r>
      <w:r w:rsidRPr="00281602">
        <w:rPr>
          <w:rFonts w:eastAsia="Courier New"/>
          <w:color w:val="000000"/>
          <w:sz w:val="22"/>
          <w:szCs w:val="22"/>
          <w:shd w:val="clear" w:color="auto" w:fill="FFFFFF"/>
          <w:lang w:val="en-US" w:eastAsia="en-US"/>
        </w:rPr>
        <w:t>goDB as an example was considered and advantages and disadvantages of this database were analyzed.</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КЛЮЧЕВЫЕ СЛОВА: </w:t>
      </w:r>
      <w:r w:rsidRPr="00281602">
        <w:rPr>
          <w:rFonts w:eastAsia="Courier New"/>
          <w:color w:val="000000"/>
          <w:sz w:val="22"/>
          <w:szCs w:val="22"/>
          <w:lang w:val="en-US" w:eastAsia="en-US"/>
        </w:rPr>
        <w:t>MongoDB</w:t>
      </w:r>
      <w:r w:rsidRPr="00281602">
        <w:rPr>
          <w:rFonts w:eastAsia="Courier New"/>
          <w:color w:val="000000"/>
          <w:sz w:val="22"/>
          <w:szCs w:val="22"/>
          <w:lang w:eastAsia="en-US"/>
        </w:rPr>
        <w:t>, нереляционные базы данных, СУБД, документ</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r w:rsidRPr="00281602">
        <w:rPr>
          <w:rFonts w:eastAsia="Courier New"/>
          <w:color w:val="000000"/>
          <w:sz w:val="22"/>
          <w:szCs w:val="22"/>
          <w:lang w:val="en-US" w:eastAsia="en-US"/>
        </w:rPr>
        <w:t>KEYWORDS:MongoDB, non-relational databases, DBMS, doc</w:t>
      </w:r>
      <w:r w:rsidRPr="00281602">
        <w:rPr>
          <w:rFonts w:eastAsia="Courier New"/>
          <w:color w:val="000000"/>
          <w:sz w:val="22"/>
          <w:szCs w:val="22"/>
          <w:lang w:val="en-US" w:eastAsia="en-US"/>
        </w:rPr>
        <w:t>u</w:t>
      </w:r>
      <w:r w:rsidRPr="00281602">
        <w:rPr>
          <w:rFonts w:eastAsia="Courier New"/>
          <w:color w:val="000000"/>
          <w:sz w:val="22"/>
          <w:szCs w:val="22"/>
          <w:lang w:val="en-US" w:eastAsia="en-US"/>
        </w:rPr>
        <w:t>ment</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 разработке приложений мы часто сталкиваемся с разным требованиями пользователей к хранению данных. В основном на практике используются реляционные базы данных, так как они предоставляют довольно много возможностей и пользуются бол</w:t>
      </w:r>
      <w:r w:rsidRPr="00281602">
        <w:rPr>
          <w:rFonts w:eastAsia="Calibri"/>
          <w:sz w:val="22"/>
          <w:szCs w:val="22"/>
          <w:lang w:eastAsia="en-US"/>
        </w:rPr>
        <w:t>ь</w:t>
      </w:r>
      <w:r w:rsidRPr="00281602">
        <w:rPr>
          <w:rFonts w:eastAsia="Calibri"/>
          <w:sz w:val="22"/>
          <w:szCs w:val="22"/>
          <w:lang w:eastAsia="en-US"/>
        </w:rPr>
        <w:t>шой популярностью. Однако для решения некоторых задач целес</w:t>
      </w:r>
      <w:r w:rsidRPr="00281602">
        <w:rPr>
          <w:rFonts w:eastAsia="Calibri"/>
          <w:sz w:val="22"/>
          <w:szCs w:val="22"/>
          <w:lang w:eastAsia="en-US"/>
        </w:rPr>
        <w:t>о</w:t>
      </w:r>
      <w:r w:rsidRPr="00281602">
        <w:rPr>
          <w:rFonts w:eastAsia="Calibri"/>
          <w:sz w:val="22"/>
          <w:szCs w:val="22"/>
          <w:lang w:eastAsia="en-US"/>
        </w:rPr>
        <w:t>образнее использовать нереляционные базы данных. В качестве и</w:t>
      </w:r>
      <w:r w:rsidRPr="00281602">
        <w:rPr>
          <w:rFonts w:eastAsia="Calibri"/>
          <w:sz w:val="22"/>
          <w:szCs w:val="22"/>
          <w:lang w:eastAsia="en-US"/>
        </w:rPr>
        <w:t>н</w:t>
      </w:r>
      <w:r w:rsidRPr="00281602">
        <w:rPr>
          <w:rFonts w:eastAsia="Calibri"/>
          <w:sz w:val="22"/>
          <w:szCs w:val="22"/>
          <w:lang w:eastAsia="en-US"/>
        </w:rPr>
        <w:t xml:space="preserve">струмента разработки таких баз данных рассмотрим СУБД </w:t>
      </w:r>
      <w:r w:rsidRPr="00281602">
        <w:rPr>
          <w:rFonts w:eastAsia="Calibri"/>
          <w:sz w:val="22"/>
          <w:szCs w:val="22"/>
          <w:lang w:val="en-US" w:eastAsia="en-US"/>
        </w:rPr>
        <w:t>Mo</w:t>
      </w:r>
      <w:r w:rsidRPr="00281602">
        <w:rPr>
          <w:rFonts w:eastAsia="Calibri"/>
          <w:sz w:val="22"/>
          <w:szCs w:val="22"/>
          <w:lang w:val="en-US" w:eastAsia="en-US"/>
        </w:rPr>
        <w:t>n</w:t>
      </w:r>
      <w:r w:rsidRPr="00281602">
        <w:rPr>
          <w:rFonts w:eastAsia="Calibri"/>
          <w:sz w:val="22"/>
          <w:szCs w:val="22"/>
          <w:lang w:val="en-US" w:eastAsia="en-US"/>
        </w:rPr>
        <w:t>goDB</w:t>
      </w:r>
      <w:r w:rsidRPr="00281602">
        <w:rPr>
          <w:rFonts w:eastAsia="Calibri"/>
          <w:sz w:val="22"/>
          <w:szCs w:val="22"/>
          <w:lang w:eastAsia="en-US"/>
        </w:rPr>
        <w:t>.</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en-US" w:eastAsia="en-US"/>
        </w:rPr>
        <w:t>MongoDB</w:t>
      </w:r>
      <w:r w:rsidRPr="00281602">
        <w:rPr>
          <w:rFonts w:eastAsia="Calibri"/>
          <w:sz w:val="22"/>
          <w:szCs w:val="22"/>
          <w:lang w:eastAsia="en-US"/>
        </w:rPr>
        <w:t xml:space="preserve"> является документоориентированной СУБД, испол</w:t>
      </w:r>
      <w:r w:rsidRPr="00281602">
        <w:rPr>
          <w:rFonts w:eastAsia="Calibri"/>
          <w:sz w:val="22"/>
          <w:szCs w:val="22"/>
          <w:lang w:eastAsia="en-US"/>
        </w:rPr>
        <w:t>ь</w:t>
      </w:r>
      <w:r w:rsidRPr="00281602">
        <w:rPr>
          <w:rFonts w:eastAsia="Calibri"/>
          <w:sz w:val="22"/>
          <w:szCs w:val="22"/>
          <w:lang w:eastAsia="en-US"/>
        </w:rPr>
        <w:t xml:space="preserve">зующей структуру документов, похожей на </w:t>
      </w:r>
      <w:r w:rsidRPr="00281602">
        <w:rPr>
          <w:rFonts w:eastAsia="Calibri"/>
          <w:sz w:val="22"/>
          <w:szCs w:val="22"/>
          <w:lang w:val="en-US" w:eastAsia="en-US"/>
        </w:rPr>
        <w:t>JSON</w:t>
      </w:r>
      <w:r w:rsidRPr="00281602">
        <w:rPr>
          <w:rFonts w:eastAsia="Calibri"/>
          <w:sz w:val="22"/>
          <w:szCs w:val="22"/>
          <w:lang w:eastAsia="en-US"/>
        </w:rPr>
        <w:t xml:space="preserve">. Для хранения принимается формат </w:t>
      </w:r>
      <w:r w:rsidRPr="00281602">
        <w:rPr>
          <w:rFonts w:eastAsia="Calibri"/>
          <w:sz w:val="22"/>
          <w:szCs w:val="22"/>
          <w:lang w:val="en-US" w:eastAsia="en-US"/>
        </w:rPr>
        <w:t>BSON</w:t>
      </w:r>
      <w:r w:rsidRPr="00281602">
        <w:rPr>
          <w:rFonts w:eastAsia="Calibri"/>
          <w:sz w:val="22"/>
          <w:szCs w:val="22"/>
          <w:lang w:eastAsia="en-US"/>
        </w:rPr>
        <w:t xml:space="preserve"> (</w:t>
      </w:r>
      <w:r w:rsidRPr="00281602">
        <w:rPr>
          <w:rFonts w:eastAsia="Calibri"/>
          <w:sz w:val="22"/>
          <w:szCs w:val="22"/>
          <w:lang w:val="en-US" w:eastAsia="en-US"/>
        </w:rPr>
        <w:t>binaryJSON</w:t>
      </w:r>
      <w:r w:rsidRPr="00281602">
        <w:rPr>
          <w:rFonts w:eastAsia="Calibri"/>
          <w:sz w:val="22"/>
          <w:szCs w:val="22"/>
          <w:lang w:eastAsia="en-US"/>
        </w:rPr>
        <w:t>). Благодаря использов</w:t>
      </w:r>
      <w:r w:rsidRPr="00281602">
        <w:rPr>
          <w:rFonts w:eastAsia="Calibri"/>
          <w:sz w:val="22"/>
          <w:szCs w:val="22"/>
          <w:lang w:eastAsia="en-US"/>
        </w:rPr>
        <w:t>а</w:t>
      </w:r>
      <w:r w:rsidRPr="00281602">
        <w:rPr>
          <w:rFonts w:eastAsia="Calibri"/>
          <w:sz w:val="22"/>
          <w:szCs w:val="22"/>
          <w:lang w:eastAsia="en-US"/>
        </w:rPr>
        <w:t>нию данного формата, обработка и поиск выполняется быстрее, х</w:t>
      </w:r>
      <w:r w:rsidRPr="00281602">
        <w:rPr>
          <w:rFonts w:eastAsia="Calibri"/>
          <w:sz w:val="22"/>
          <w:szCs w:val="22"/>
          <w:lang w:eastAsia="en-US"/>
        </w:rPr>
        <w:t>о</w:t>
      </w:r>
      <w:r w:rsidRPr="00281602">
        <w:rPr>
          <w:rFonts w:eastAsia="Calibri"/>
          <w:sz w:val="22"/>
          <w:szCs w:val="22"/>
          <w:lang w:eastAsia="en-US"/>
        </w:rPr>
        <w:t xml:space="preserve">тя в отличие от </w:t>
      </w:r>
      <w:r w:rsidRPr="00281602">
        <w:rPr>
          <w:rFonts w:eastAsia="Calibri"/>
          <w:sz w:val="22"/>
          <w:szCs w:val="22"/>
          <w:lang w:val="en-US" w:eastAsia="en-US"/>
        </w:rPr>
        <w:t>JSON</w:t>
      </w:r>
      <w:r w:rsidRPr="00281602">
        <w:rPr>
          <w:rFonts w:eastAsia="Calibri"/>
          <w:sz w:val="22"/>
          <w:szCs w:val="22"/>
          <w:lang w:eastAsia="en-US"/>
        </w:rPr>
        <w:t>, он занимает больше памяти. Если при реал</w:t>
      </w:r>
      <w:r w:rsidRPr="00281602">
        <w:rPr>
          <w:rFonts w:eastAsia="Calibri"/>
          <w:sz w:val="22"/>
          <w:szCs w:val="22"/>
          <w:lang w:eastAsia="en-US"/>
        </w:rPr>
        <w:t>и</w:t>
      </w:r>
      <w:r w:rsidRPr="00281602">
        <w:rPr>
          <w:rFonts w:eastAsia="Calibri"/>
          <w:sz w:val="22"/>
          <w:szCs w:val="22"/>
          <w:lang w:eastAsia="en-US"/>
        </w:rPr>
        <w:t>зации БД используется гибкая схема, данная СУБД хорошо подх</w:t>
      </w:r>
      <w:r w:rsidRPr="00281602">
        <w:rPr>
          <w:rFonts w:eastAsia="Calibri"/>
          <w:sz w:val="22"/>
          <w:szCs w:val="22"/>
          <w:lang w:eastAsia="en-US"/>
        </w:rPr>
        <w:t>о</w:t>
      </w:r>
      <w:r w:rsidRPr="00281602">
        <w:rPr>
          <w:rFonts w:eastAsia="Calibri"/>
          <w:sz w:val="22"/>
          <w:szCs w:val="22"/>
          <w:lang w:eastAsia="en-US"/>
        </w:rPr>
        <w:lastRenderedPageBreak/>
        <w:t>дит для хранения документов, так как допускает наличие различий по структуре: количество полей, содержание и размер которых м</w:t>
      </w:r>
      <w:r w:rsidRPr="00281602">
        <w:rPr>
          <w:rFonts w:eastAsia="Calibri"/>
          <w:sz w:val="22"/>
          <w:szCs w:val="22"/>
          <w:lang w:eastAsia="en-US"/>
        </w:rPr>
        <w:t>о</w:t>
      </w:r>
      <w:r w:rsidRPr="00281602">
        <w:rPr>
          <w:rFonts w:eastAsia="Calibri"/>
          <w:sz w:val="22"/>
          <w:szCs w:val="22"/>
          <w:lang w:eastAsia="en-US"/>
        </w:rPr>
        <w:t xml:space="preserve">гут быть разными.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en-US" w:eastAsia="en-US"/>
        </w:rPr>
        <w:t>MongoDB</w:t>
      </w:r>
      <w:r w:rsidRPr="00281602">
        <w:rPr>
          <w:rFonts w:eastAsia="Calibri"/>
          <w:sz w:val="22"/>
          <w:szCs w:val="22"/>
          <w:lang w:eastAsia="en-US"/>
        </w:rPr>
        <w:t xml:space="preserve"> является системой управления баз данных, содерж</w:t>
      </w:r>
      <w:r w:rsidRPr="00281602">
        <w:rPr>
          <w:rFonts w:eastAsia="Calibri"/>
          <w:sz w:val="22"/>
          <w:szCs w:val="22"/>
          <w:lang w:eastAsia="en-US"/>
        </w:rPr>
        <w:t>а</w:t>
      </w:r>
      <w:r w:rsidRPr="00281602">
        <w:rPr>
          <w:rFonts w:eastAsia="Calibri"/>
          <w:sz w:val="22"/>
          <w:szCs w:val="22"/>
          <w:lang w:eastAsia="en-US"/>
        </w:rPr>
        <w:t>щей, так называемые, коллекции, которые, в свою очередь, состоят из документов, включающих в себя поля. СУБД поддерживаются индексы, что является несомненным плюсом, так как их использ</w:t>
      </w:r>
      <w:r w:rsidRPr="00281602">
        <w:rPr>
          <w:rFonts w:eastAsia="Calibri"/>
          <w:sz w:val="22"/>
          <w:szCs w:val="22"/>
          <w:lang w:eastAsia="en-US"/>
        </w:rPr>
        <w:t>о</w:t>
      </w:r>
      <w:r w:rsidRPr="00281602">
        <w:rPr>
          <w:rFonts w:eastAsia="Calibri"/>
          <w:sz w:val="22"/>
          <w:szCs w:val="22"/>
          <w:lang w:eastAsia="en-US"/>
        </w:rPr>
        <w:t>вание увеличивает скорость сортировки и выборки данных. Без и</w:t>
      </w:r>
      <w:r w:rsidRPr="00281602">
        <w:rPr>
          <w:rFonts w:eastAsia="Calibri"/>
          <w:sz w:val="22"/>
          <w:szCs w:val="22"/>
          <w:lang w:eastAsia="en-US"/>
        </w:rPr>
        <w:t>н</w:t>
      </w:r>
      <w:r w:rsidRPr="00281602">
        <w:rPr>
          <w:rFonts w:eastAsia="Calibri"/>
          <w:sz w:val="22"/>
          <w:szCs w:val="22"/>
          <w:lang w:eastAsia="en-US"/>
        </w:rPr>
        <w:t>дексирования необходимо «сканировать» каждый документ, пока не будет найден тот, который соответствует запросу, что является н</w:t>
      </w:r>
      <w:r w:rsidRPr="00281602">
        <w:rPr>
          <w:rFonts w:eastAsia="Calibri"/>
          <w:sz w:val="22"/>
          <w:szCs w:val="22"/>
          <w:lang w:eastAsia="en-US"/>
        </w:rPr>
        <w:t>е</w:t>
      </w:r>
      <w:r w:rsidRPr="00281602">
        <w:rPr>
          <w:rFonts w:eastAsia="Calibri"/>
          <w:sz w:val="22"/>
          <w:szCs w:val="22"/>
          <w:lang w:eastAsia="en-US"/>
        </w:rPr>
        <w:t>эффективным процессом. Еще одним из главных достоинств явл</w:t>
      </w:r>
      <w:r w:rsidRPr="00281602">
        <w:rPr>
          <w:rFonts w:eastAsia="Calibri"/>
          <w:sz w:val="22"/>
          <w:szCs w:val="22"/>
          <w:lang w:eastAsia="en-US"/>
        </w:rPr>
        <w:t>я</w:t>
      </w:r>
      <w:r w:rsidRPr="00281602">
        <w:rPr>
          <w:rFonts w:eastAsia="Calibri"/>
          <w:sz w:val="22"/>
          <w:szCs w:val="22"/>
          <w:lang w:eastAsia="en-US"/>
        </w:rPr>
        <w:t xml:space="preserve">ется поддержка отказоустойчивости и масштабируемости. </w:t>
      </w:r>
      <w:r w:rsidRPr="00281602">
        <w:rPr>
          <w:rFonts w:eastAsia="Calibri"/>
          <w:sz w:val="22"/>
          <w:szCs w:val="22"/>
          <w:lang w:val="en-US" w:eastAsia="en-US"/>
        </w:rPr>
        <w:t>Mo</w:t>
      </w:r>
      <w:r w:rsidRPr="00281602">
        <w:rPr>
          <w:rFonts w:eastAsia="Calibri"/>
          <w:sz w:val="22"/>
          <w:szCs w:val="22"/>
          <w:lang w:val="en-US" w:eastAsia="en-US"/>
        </w:rPr>
        <w:t>n</w:t>
      </w:r>
      <w:r w:rsidRPr="00281602">
        <w:rPr>
          <w:rFonts w:eastAsia="Calibri"/>
          <w:sz w:val="22"/>
          <w:szCs w:val="22"/>
          <w:lang w:val="en-US" w:eastAsia="en-US"/>
        </w:rPr>
        <w:t>goDB</w:t>
      </w:r>
      <w:r w:rsidRPr="00281602">
        <w:rPr>
          <w:rFonts w:eastAsia="Calibri"/>
          <w:sz w:val="22"/>
          <w:szCs w:val="22"/>
          <w:lang w:eastAsia="en-US"/>
        </w:rPr>
        <w:t xml:space="preserve"> использует репликацию – процесс хранения и синхронизации данных на нескольких серверах. В случае сбоя одного из серверов, база данных сохраняется. Также репликация не оказывает влияния на работу приложения.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en-US" w:eastAsia="en-US"/>
        </w:rPr>
        <w:t>MongoDB</w:t>
      </w:r>
      <w:r w:rsidRPr="00281602">
        <w:rPr>
          <w:rFonts w:eastAsia="Calibri"/>
          <w:sz w:val="22"/>
          <w:szCs w:val="22"/>
          <w:lang w:eastAsia="en-US"/>
        </w:rPr>
        <w:t xml:space="preserve"> поддерживает шардинг – подход, обеспечивающий хранение части данных на разных серверах, что позволяет решить проблему горизонтального масштабирования.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Для создания приложения, подразумевающего работу с док</w:t>
      </w:r>
      <w:r w:rsidRPr="00281602">
        <w:rPr>
          <w:rFonts w:eastAsia="Calibri"/>
          <w:sz w:val="22"/>
          <w:szCs w:val="22"/>
          <w:lang w:eastAsia="en-US"/>
        </w:rPr>
        <w:t>у</w:t>
      </w:r>
      <w:r w:rsidRPr="00281602">
        <w:rPr>
          <w:rFonts w:eastAsia="Calibri"/>
          <w:sz w:val="22"/>
          <w:szCs w:val="22"/>
          <w:lang w:eastAsia="en-US"/>
        </w:rPr>
        <w:t xml:space="preserve">ментами, </w:t>
      </w:r>
      <w:r w:rsidRPr="00281602">
        <w:rPr>
          <w:rFonts w:eastAsia="Calibri"/>
          <w:sz w:val="22"/>
          <w:szCs w:val="22"/>
          <w:lang w:val="en-US" w:eastAsia="en-US"/>
        </w:rPr>
        <w:t>MongoDB</w:t>
      </w:r>
      <w:r w:rsidRPr="00281602">
        <w:rPr>
          <w:rFonts w:eastAsia="Calibri"/>
          <w:sz w:val="22"/>
          <w:szCs w:val="22"/>
          <w:lang w:eastAsia="en-US"/>
        </w:rPr>
        <w:t xml:space="preserve"> подходит идеально, так как база будет легко расширяемой. Что касается записи данных, то она происходит без подтверждения. Конечно, это увеличивает производительность, но и имеет серьезный недостаток: возможна потеря данных при сл</w:t>
      </w:r>
      <w:r w:rsidRPr="00281602">
        <w:rPr>
          <w:rFonts w:eastAsia="Calibri"/>
          <w:sz w:val="22"/>
          <w:szCs w:val="22"/>
          <w:lang w:eastAsia="en-US"/>
        </w:rPr>
        <w:t>у</w:t>
      </w:r>
      <w:r w:rsidRPr="00281602">
        <w:rPr>
          <w:rFonts w:eastAsia="Calibri"/>
          <w:sz w:val="22"/>
          <w:szCs w:val="22"/>
          <w:lang w:eastAsia="en-US"/>
        </w:rPr>
        <w:t>чайной ошибке.</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Если при обновлении и вставке данных нарушается уникал</w:t>
      </w:r>
      <w:r w:rsidRPr="00281602">
        <w:rPr>
          <w:rFonts w:eastAsia="Calibri"/>
          <w:sz w:val="22"/>
          <w:szCs w:val="22"/>
          <w:lang w:eastAsia="en-US"/>
        </w:rPr>
        <w:t>ь</w:t>
      </w:r>
      <w:r w:rsidRPr="00281602">
        <w:rPr>
          <w:rFonts w:eastAsia="Calibri"/>
          <w:sz w:val="22"/>
          <w:szCs w:val="22"/>
          <w:lang w:eastAsia="en-US"/>
        </w:rPr>
        <w:t>ность индекса, то ошибка отображаться не будет; о ней можно узнать только при вызове db.getLastError(). Также при удалении к</w:t>
      </w:r>
      <w:r w:rsidRPr="00281602">
        <w:rPr>
          <w:rFonts w:eastAsia="Calibri"/>
          <w:sz w:val="22"/>
          <w:szCs w:val="22"/>
          <w:lang w:eastAsia="en-US"/>
        </w:rPr>
        <w:t>а</w:t>
      </w:r>
      <w:r w:rsidRPr="00281602">
        <w:rPr>
          <w:rFonts w:eastAsia="Calibri"/>
          <w:sz w:val="22"/>
          <w:szCs w:val="22"/>
          <w:lang w:eastAsia="en-US"/>
        </w:rPr>
        <w:t>кого-то документа обнаруживается еще один недостаток: физически он не удаляется, а только помечается как удаленный, но продолжает занимать место на диске. Только при перераспределении коллекций он будет удален окончательно.</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Приведем пример. Мы удаляли по 9 документов из 10, а потом решили произвести статистические вычисления. В итоге, чтобы з</w:t>
      </w:r>
      <w:r w:rsidRPr="00281602">
        <w:rPr>
          <w:rFonts w:eastAsia="Calibri"/>
          <w:sz w:val="22"/>
          <w:szCs w:val="22"/>
          <w:lang w:eastAsia="en-US"/>
        </w:rPr>
        <w:t>а</w:t>
      </w:r>
      <w:r w:rsidRPr="00281602">
        <w:rPr>
          <w:rFonts w:eastAsia="Calibri"/>
          <w:sz w:val="22"/>
          <w:szCs w:val="22"/>
          <w:lang w:eastAsia="en-US"/>
        </w:rPr>
        <w:t>грузить 10 документов, загружается в 10 раз больше страниц, на которых 1 документ будет реальным, а 9 – «фантомами», что пр</w:t>
      </w:r>
      <w:r w:rsidRPr="00281602">
        <w:rPr>
          <w:rFonts w:eastAsia="Calibri"/>
          <w:sz w:val="22"/>
          <w:szCs w:val="22"/>
          <w:lang w:eastAsia="en-US"/>
        </w:rPr>
        <w:t>и</w:t>
      </w:r>
      <w:r w:rsidRPr="00281602">
        <w:rPr>
          <w:rFonts w:eastAsia="Calibri"/>
          <w:sz w:val="22"/>
          <w:szCs w:val="22"/>
          <w:lang w:eastAsia="en-US"/>
        </w:rPr>
        <w:t xml:space="preserve">водит к заполнению памяти и лишней нагрузке на диск. Отметим, </w:t>
      </w:r>
      <w:r w:rsidRPr="00281602">
        <w:rPr>
          <w:rFonts w:eastAsia="Calibri"/>
          <w:sz w:val="22"/>
          <w:szCs w:val="22"/>
          <w:lang w:eastAsia="en-US"/>
        </w:rPr>
        <w:lastRenderedPageBreak/>
        <w:t>что для быстрого доступа к используемым данным, хранение док</w:t>
      </w:r>
      <w:r w:rsidRPr="00281602">
        <w:rPr>
          <w:rFonts w:eastAsia="Calibri"/>
          <w:sz w:val="22"/>
          <w:szCs w:val="22"/>
          <w:lang w:eastAsia="en-US"/>
        </w:rPr>
        <w:t>у</w:t>
      </w:r>
      <w:r w:rsidRPr="00281602">
        <w:rPr>
          <w:rFonts w:eastAsia="Calibri"/>
          <w:sz w:val="22"/>
          <w:szCs w:val="22"/>
          <w:lang w:eastAsia="en-US"/>
        </w:rPr>
        <w:t>ментов происходит во внутренней памяти.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заключении можно сделать вывод, что главными достои</w:t>
      </w:r>
      <w:r w:rsidRPr="00281602">
        <w:rPr>
          <w:rFonts w:eastAsia="Calibri"/>
          <w:sz w:val="22"/>
          <w:szCs w:val="22"/>
          <w:lang w:eastAsia="en-US"/>
        </w:rPr>
        <w:t>н</w:t>
      </w:r>
      <w:r w:rsidRPr="00281602">
        <w:rPr>
          <w:rFonts w:eastAsia="Calibri"/>
          <w:sz w:val="22"/>
          <w:szCs w:val="22"/>
          <w:lang w:eastAsia="en-US"/>
        </w:rPr>
        <w:t xml:space="preserve">ствами </w:t>
      </w:r>
      <w:r w:rsidRPr="00281602">
        <w:rPr>
          <w:rFonts w:eastAsia="Calibri"/>
          <w:sz w:val="22"/>
          <w:szCs w:val="22"/>
          <w:lang w:val="en-US" w:eastAsia="en-US"/>
        </w:rPr>
        <w:t>MongoDB</w:t>
      </w:r>
      <w:r w:rsidRPr="00281602">
        <w:rPr>
          <w:rFonts w:eastAsia="Calibri"/>
          <w:sz w:val="22"/>
          <w:szCs w:val="22"/>
          <w:lang w:eastAsia="en-US"/>
        </w:rPr>
        <w:t xml:space="preserve"> являются скорость разработки, гибкость, отсу</w:t>
      </w:r>
      <w:r w:rsidRPr="00281602">
        <w:rPr>
          <w:rFonts w:eastAsia="Calibri"/>
          <w:sz w:val="22"/>
          <w:szCs w:val="22"/>
          <w:lang w:eastAsia="en-US"/>
        </w:rPr>
        <w:t>т</w:t>
      </w:r>
      <w:r w:rsidRPr="00281602">
        <w:rPr>
          <w:rFonts w:eastAsia="Calibri"/>
          <w:sz w:val="22"/>
          <w:szCs w:val="22"/>
          <w:lang w:eastAsia="en-US"/>
        </w:rPr>
        <w:t>ствие необходимости синхронизировать схему в базе данных и пр</w:t>
      </w:r>
      <w:r w:rsidRPr="00281602">
        <w:rPr>
          <w:rFonts w:eastAsia="Calibri"/>
          <w:sz w:val="22"/>
          <w:szCs w:val="22"/>
          <w:lang w:eastAsia="en-US"/>
        </w:rPr>
        <w:t>и</w:t>
      </w:r>
      <w:r w:rsidRPr="00281602">
        <w:rPr>
          <w:rFonts w:eastAsia="Calibri"/>
          <w:sz w:val="22"/>
          <w:szCs w:val="22"/>
          <w:lang w:eastAsia="en-US"/>
        </w:rPr>
        <w:t>ложении, наличие понятного пути к масштабируемости. Из нед</w:t>
      </w:r>
      <w:r w:rsidRPr="00281602">
        <w:rPr>
          <w:rFonts w:eastAsia="Calibri"/>
          <w:sz w:val="22"/>
          <w:szCs w:val="22"/>
          <w:lang w:eastAsia="en-US"/>
        </w:rPr>
        <w:t>о</w:t>
      </w:r>
      <w:r w:rsidRPr="00281602">
        <w:rPr>
          <w:rFonts w:eastAsia="Calibri"/>
          <w:sz w:val="22"/>
          <w:szCs w:val="22"/>
          <w:lang w:eastAsia="en-US"/>
        </w:rPr>
        <w:t>статков можно выделить наличие большой нагрузки на память, во</w:t>
      </w:r>
      <w:r w:rsidRPr="00281602">
        <w:rPr>
          <w:rFonts w:eastAsia="Calibri"/>
          <w:sz w:val="22"/>
          <w:szCs w:val="22"/>
          <w:lang w:eastAsia="en-US"/>
        </w:rPr>
        <w:t>з</w:t>
      </w:r>
      <w:r w:rsidRPr="00281602">
        <w:rPr>
          <w:rFonts w:eastAsia="Calibri"/>
          <w:sz w:val="22"/>
          <w:szCs w:val="22"/>
          <w:lang w:eastAsia="en-US"/>
        </w:rPr>
        <w:t>можность нарушения целостности данных, необходимость самост</w:t>
      </w:r>
      <w:r w:rsidRPr="00281602">
        <w:rPr>
          <w:rFonts w:eastAsia="Calibri"/>
          <w:sz w:val="22"/>
          <w:szCs w:val="22"/>
          <w:lang w:eastAsia="en-US"/>
        </w:rPr>
        <w:t>о</w:t>
      </w:r>
      <w:r w:rsidRPr="00281602">
        <w:rPr>
          <w:rFonts w:eastAsia="Calibri"/>
          <w:sz w:val="22"/>
          <w:szCs w:val="22"/>
          <w:lang w:eastAsia="en-US"/>
        </w:rPr>
        <w:t>ятельного «закрытия» медленных запросов. Использование нерел</w:t>
      </w:r>
      <w:r w:rsidRPr="00281602">
        <w:rPr>
          <w:rFonts w:eastAsia="Calibri"/>
          <w:sz w:val="22"/>
          <w:szCs w:val="22"/>
          <w:lang w:eastAsia="en-US"/>
        </w:rPr>
        <w:t>я</w:t>
      </w:r>
      <w:r w:rsidRPr="00281602">
        <w:rPr>
          <w:rFonts w:eastAsia="Calibri"/>
          <w:sz w:val="22"/>
          <w:szCs w:val="22"/>
          <w:lang w:eastAsia="en-US"/>
        </w:rPr>
        <w:t xml:space="preserve">ционных СУБД, таких как </w:t>
      </w:r>
      <w:r w:rsidRPr="00281602">
        <w:rPr>
          <w:rFonts w:eastAsia="Calibri"/>
          <w:sz w:val="22"/>
          <w:szCs w:val="22"/>
          <w:lang w:val="en-US" w:eastAsia="en-US"/>
        </w:rPr>
        <w:t>MongoDB</w:t>
      </w:r>
      <w:r w:rsidRPr="00281602">
        <w:rPr>
          <w:rFonts w:eastAsia="Calibri"/>
          <w:sz w:val="22"/>
          <w:szCs w:val="22"/>
          <w:lang w:eastAsia="en-US"/>
        </w:rPr>
        <w:t>, необходимо для решений определенных задач в рамках проектов, подразумевающих работу с документами и часто претерпевающих изменений в объемах базы данных.</w:t>
      </w:r>
    </w:p>
    <w:p w:rsidR="00281602" w:rsidRPr="00281602" w:rsidRDefault="00281602" w:rsidP="00281602">
      <w:pPr>
        <w:ind w:firstLine="425"/>
        <w:jc w:val="both"/>
        <w:rPr>
          <w:rFonts w:eastAsia="Calibri"/>
          <w:sz w:val="22"/>
          <w:szCs w:val="22"/>
          <w:lang w:eastAsia="en-US"/>
        </w:rPr>
      </w:pPr>
    </w:p>
    <w:p w:rsidR="006F7F71" w:rsidRDefault="006F7F71" w:rsidP="006F7F71">
      <w:pPr>
        <w:jc w:val="both"/>
        <w:rPr>
          <w:rFonts w:eastAsia="Calibri"/>
          <w:sz w:val="22"/>
          <w:szCs w:val="22"/>
          <w:lang w:eastAsia="en-US"/>
        </w:rPr>
      </w:pPr>
    </w:p>
    <w:p w:rsidR="006F7F71" w:rsidRPr="00281602" w:rsidRDefault="006F7F71" w:rsidP="006F7F71">
      <w:pPr>
        <w:jc w:val="both"/>
        <w:rPr>
          <w:rFonts w:eastAsia="Calibri"/>
          <w:sz w:val="22"/>
          <w:szCs w:val="22"/>
          <w:lang w:eastAsia="en-US"/>
        </w:rPr>
      </w:pPr>
    </w:p>
    <w:p w:rsidR="00281602" w:rsidRPr="00281602" w:rsidRDefault="00281602" w:rsidP="00281602">
      <w:pPr>
        <w:widowControl w:val="0"/>
        <w:jc w:val="both"/>
        <w:rPr>
          <w:rFonts w:eastAsia="Courier New"/>
          <w:color w:val="000000"/>
          <w:sz w:val="22"/>
          <w:szCs w:val="22"/>
          <w:lang w:eastAsia="en-US"/>
        </w:rPr>
      </w:pPr>
      <w:r w:rsidRPr="00281602">
        <w:rPr>
          <w:rFonts w:eastAsia="Courier New"/>
          <w:color w:val="000000"/>
          <w:sz w:val="22"/>
          <w:szCs w:val="22"/>
          <w:lang w:eastAsia="en-US"/>
        </w:rPr>
        <w:t>УДК 004.42</w:t>
      </w:r>
    </w:p>
    <w:p w:rsidR="00281602" w:rsidRPr="00281602" w:rsidRDefault="00281602" w:rsidP="00281602">
      <w:pPr>
        <w:widowControl w:val="0"/>
        <w:ind w:firstLine="425"/>
        <w:jc w:val="both"/>
        <w:rPr>
          <w:rFonts w:eastAsia="Courier New"/>
          <w:color w:val="000000"/>
          <w:sz w:val="22"/>
          <w:szCs w:val="22"/>
          <w:lang w:eastAsia="en-US"/>
        </w:rPr>
      </w:pPr>
    </w:p>
    <w:p w:rsidR="00281602" w:rsidRPr="00281602" w:rsidRDefault="00281602" w:rsidP="00281602">
      <w:pPr>
        <w:widowControl w:val="0"/>
        <w:jc w:val="center"/>
        <w:rPr>
          <w:rFonts w:eastAsia="Courier New"/>
          <w:b/>
          <w:color w:val="000000"/>
          <w:sz w:val="24"/>
          <w:szCs w:val="24"/>
          <w:lang w:eastAsia="en-US"/>
        </w:rPr>
      </w:pPr>
      <w:r w:rsidRPr="00281602">
        <w:rPr>
          <w:rFonts w:eastAsia="Courier New"/>
          <w:b/>
          <w:color w:val="000000"/>
          <w:sz w:val="24"/>
          <w:szCs w:val="24"/>
          <w:lang w:eastAsia="en-US"/>
        </w:rPr>
        <w:t xml:space="preserve">Проектирование мобильного приложения </w:t>
      </w:r>
    </w:p>
    <w:p w:rsidR="00281602" w:rsidRPr="00281602" w:rsidRDefault="00281602" w:rsidP="00281602">
      <w:pPr>
        <w:widowControl w:val="0"/>
        <w:jc w:val="center"/>
        <w:rPr>
          <w:rFonts w:eastAsia="Courier New"/>
          <w:b/>
          <w:color w:val="000000"/>
          <w:sz w:val="24"/>
          <w:szCs w:val="24"/>
          <w:lang w:eastAsia="en-US"/>
        </w:rPr>
      </w:pPr>
      <w:r w:rsidRPr="00281602">
        <w:rPr>
          <w:rFonts w:eastAsia="Courier New"/>
          <w:b/>
          <w:color w:val="000000"/>
          <w:sz w:val="24"/>
          <w:szCs w:val="24"/>
          <w:lang w:eastAsia="en-US"/>
        </w:rPr>
        <w:t xml:space="preserve">«Интерактивная оффлайн карта Кубанского </w:t>
      </w:r>
    </w:p>
    <w:p w:rsidR="00281602" w:rsidRPr="00281602" w:rsidRDefault="00281602" w:rsidP="00281602">
      <w:pPr>
        <w:widowControl w:val="0"/>
        <w:jc w:val="center"/>
        <w:rPr>
          <w:rFonts w:eastAsia="Courier New"/>
          <w:b/>
          <w:color w:val="000000"/>
          <w:sz w:val="24"/>
          <w:szCs w:val="24"/>
          <w:lang w:val="en-US" w:eastAsia="en-US"/>
        </w:rPr>
      </w:pPr>
      <w:r w:rsidRPr="00281602">
        <w:rPr>
          <w:rFonts w:eastAsia="Courier New"/>
          <w:b/>
          <w:color w:val="000000"/>
          <w:sz w:val="24"/>
          <w:szCs w:val="24"/>
          <w:lang w:eastAsia="en-US"/>
        </w:rPr>
        <w:t>государственного</w:t>
      </w:r>
      <w:r w:rsidRPr="00281602">
        <w:rPr>
          <w:rFonts w:eastAsia="Courier New"/>
          <w:b/>
          <w:color w:val="000000"/>
          <w:sz w:val="24"/>
          <w:szCs w:val="24"/>
          <w:lang w:val="en-US" w:eastAsia="en-US"/>
        </w:rPr>
        <w:t xml:space="preserve"> </w:t>
      </w:r>
      <w:r w:rsidRPr="00281602">
        <w:rPr>
          <w:rFonts w:eastAsia="Courier New"/>
          <w:b/>
          <w:color w:val="000000"/>
          <w:sz w:val="24"/>
          <w:szCs w:val="24"/>
          <w:lang w:eastAsia="en-US"/>
        </w:rPr>
        <w:t>аграрного</w:t>
      </w:r>
      <w:r w:rsidRPr="00281602">
        <w:rPr>
          <w:rFonts w:eastAsia="Courier New"/>
          <w:b/>
          <w:color w:val="000000"/>
          <w:sz w:val="24"/>
          <w:szCs w:val="24"/>
          <w:lang w:val="en-US" w:eastAsia="en-US"/>
        </w:rPr>
        <w:t xml:space="preserve"> </w:t>
      </w:r>
      <w:r w:rsidRPr="00281602">
        <w:rPr>
          <w:rFonts w:eastAsia="Courier New"/>
          <w:b/>
          <w:color w:val="000000"/>
          <w:sz w:val="24"/>
          <w:szCs w:val="24"/>
          <w:lang w:eastAsia="en-US"/>
        </w:rPr>
        <w:t>университета</w:t>
      </w:r>
      <w:r w:rsidRPr="00281602">
        <w:rPr>
          <w:rFonts w:eastAsia="Courier New"/>
          <w:b/>
          <w:color w:val="000000"/>
          <w:sz w:val="24"/>
          <w:szCs w:val="24"/>
          <w:lang w:val="en-US" w:eastAsia="en-US"/>
        </w:rPr>
        <w:t xml:space="preserve"> «KubSAUMap»</w:t>
      </w:r>
    </w:p>
    <w:p w:rsidR="00281602" w:rsidRPr="00281602" w:rsidRDefault="00281602" w:rsidP="00281602">
      <w:pPr>
        <w:widowControl w:val="0"/>
        <w:jc w:val="center"/>
        <w:rPr>
          <w:rFonts w:eastAsia="Courier New"/>
          <w:b/>
          <w:color w:val="000000"/>
          <w:sz w:val="24"/>
          <w:szCs w:val="24"/>
          <w:lang w:val="en-US" w:eastAsia="en-US"/>
        </w:rPr>
      </w:pPr>
      <w:r w:rsidRPr="00281602">
        <w:rPr>
          <w:rFonts w:eastAsia="Courier New"/>
          <w:b/>
          <w:color w:val="000000"/>
          <w:sz w:val="24"/>
          <w:szCs w:val="24"/>
          <w:lang w:val="en-US" w:eastAsia="en-US"/>
        </w:rPr>
        <w:t xml:space="preserve">Design of mobile application «Interactive offline map of </w:t>
      </w:r>
      <w:r w:rsidRPr="00281602">
        <w:rPr>
          <w:rFonts w:eastAsia="Courier New"/>
          <w:b/>
          <w:color w:val="000000"/>
          <w:sz w:val="24"/>
          <w:szCs w:val="24"/>
          <w:lang w:val="en-US" w:eastAsia="en-US"/>
        </w:rPr>
        <w:br/>
        <w:t>Kuban State Agrarian University «KubSAUMap»</w:t>
      </w:r>
    </w:p>
    <w:p w:rsidR="00281602" w:rsidRPr="00281602" w:rsidRDefault="00281602" w:rsidP="00281602">
      <w:pPr>
        <w:widowControl w:val="0"/>
        <w:ind w:firstLine="425"/>
        <w:jc w:val="both"/>
        <w:rPr>
          <w:rFonts w:eastAsia="Courier New"/>
          <w:b/>
          <w:color w:val="000000"/>
          <w:sz w:val="24"/>
          <w:szCs w:val="24"/>
          <w:lang w:val="en-US" w:eastAsia="en-US"/>
        </w:rPr>
      </w:pP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Толстов А. Р.,</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 4-го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Ефанова Н. В.,</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доцент кафедры системного анализа и обработки информации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аграрный </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АННОТАЦИЯ: Обоснована необходимость в проектировании и разработке мобильного приложения «Интерактивная оффлайн карта Кубанского государственного аграрного университета «</w:t>
      </w:r>
      <w:r w:rsidRPr="00281602">
        <w:rPr>
          <w:rFonts w:eastAsia="Courier New"/>
          <w:color w:val="000000"/>
          <w:sz w:val="22"/>
          <w:szCs w:val="22"/>
          <w:lang w:val="en-US" w:eastAsia="en-US"/>
        </w:rPr>
        <w:t>KubSAUMap</w:t>
      </w:r>
      <w:r w:rsidRPr="00281602">
        <w:rPr>
          <w:rFonts w:eastAsia="Courier New"/>
          <w:color w:val="000000"/>
          <w:sz w:val="22"/>
          <w:szCs w:val="22"/>
          <w:lang w:eastAsia="en-US"/>
        </w:rPr>
        <w:t>». Рассмотрены используемые в разработке технол</w:t>
      </w:r>
      <w:r w:rsidRPr="00281602">
        <w:rPr>
          <w:rFonts w:eastAsia="Courier New"/>
          <w:color w:val="000000"/>
          <w:sz w:val="22"/>
          <w:szCs w:val="22"/>
          <w:lang w:eastAsia="en-US"/>
        </w:rPr>
        <w:t>о</w:t>
      </w:r>
      <w:r w:rsidRPr="00281602">
        <w:rPr>
          <w:rFonts w:eastAsia="Courier New"/>
          <w:color w:val="000000"/>
          <w:sz w:val="22"/>
          <w:szCs w:val="22"/>
          <w:lang w:eastAsia="en-US"/>
        </w:rPr>
        <w:t>гии. Описаны возможности прототипа и функционал мобильного приложения.</w:t>
      </w:r>
    </w:p>
    <w:p w:rsidR="00281602" w:rsidRPr="00281602" w:rsidRDefault="00281602" w:rsidP="00281602">
      <w:pPr>
        <w:widowControl w:val="0"/>
        <w:tabs>
          <w:tab w:val="left" w:pos="8223"/>
        </w:tabs>
        <w:ind w:firstLine="425"/>
        <w:jc w:val="both"/>
        <w:rPr>
          <w:rFonts w:eastAsia="Courier New"/>
          <w:color w:val="000000"/>
          <w:sz w:val="22"/>
          <w:szCs w:val="22"/>
          <w:shd w:val="clear" w:color="auto" w:fill="FFFFFF"/>
          <w:lang w:val="en-US" w:eastAsia="en-US"/>
        </w:rPr>
      </w:pPr>
      <w:r w:rsidRPr="00281602">
        <w:rPr>
          <w:rFonts w:eastAsia="Courier New"/>
          <w:color w:val="000000"/>
          <w:sz w:val="22"/>
          <w:szCs w:val="22"/>
          <w:lang w:val="en-US" w:eastAsia="en-US"/>
        </w:rPr>
        <w:lastRenderedPageBreak/>
        <w:t>ABSTRACT:</w:t>
      </w:r>
      <w:r w:rsidRPr="00281602">
        <w:rPr>
          <w:rFonts w:eastAsia="Courier New"/>
          <w:color w:val="000000"/>
          <w:sz w:val="22"/>
          <w:szCs w:val="22"/>
          <w:shd w:val="clear" w:color="auto" w:fill="FFFFFF"/>
          <w:lang w:val="en-US" w:eastAsia="en-US"/>
        </w:rPr>
        <w:t xml:space="preserve"> Need for design and development of a mobile appl</w:t>
      </w:r>
      <w:r w:rsidRPr="00281602">
        <w:rPr>
          <w:rFonts w:eastAsia="Courier New"/>
          <w:color w:val="000000"/>
          <w:sz w:val="22"/>
          <w:szCs w:val="22"/>
          <w:shd w:val="clear" w:color="auto" w:fill="FFFFFF"/>
          <w:lang w:val="en-US" w:eastAsia="en-US"/>
        </w:rPr>
        <w:t>i</w:t>
      </w:r>
      <w:r w:rsidRPr="00281602">
        <w:rPr>
          <w:rFonts w:eastAsia="Courier New"/>
          <w:color w:val="000000"/>
          <w:sz w:val="22"/>
          <w:szCs w:val="22"/>
          <w:shd w:val="clear" w:color="auto" w:fill="FFFFFF"/>
          <w:lang w:val="en-US" w:eastAsia="en-US"/>
        </w:rPr>
        <w:t>cation named "The interactive offline the map of the Kuban state agrar</w:t>
      </w:r>
      <w:r w:rsidRPr="00281602">
        <w:rPr>
          <w:rFonts w:eastAsia="Courier New"/>
          <w:color w:val="000000"/>
          <w:sz w:val="22"/>
          <w:szCs w:val="22"/>
          <w:shd w:val="clear" w:color="auto" w:fill="FFFFFF"/>
          <w:lang w:val="en-US" w:eastAsia="en-US"/>
        </w:rPr>
        <w:t>i</w:t>
      </w:r>
      <w:r w:rsidRPr="00281602">
        <w:rPr>
          <w:rFonts w:eastAsia="Courier New"/>
          <w:color w:val="000000"/>
          <w:sz w:val="22"/>
          <w:szCs w:val="22"/>
          <w:shd w:val="clear" w:color="auto" w:fill="FFFFFF"/>
          <w:lang w:val="en-US" w:eastAsia="en-US"/>
        </w:rPr>
        <w:t>an university "KubSAUMap" was proved. The technologies used in d</w:t>
      </w:r>
      <w:r w:rsidRPr="00281602">
        <w:rPr>
          <w:rFonts w:eastAsia="Courier New"/>
          <w:color w:val="000000"/>
          <w:sz w:val="22"/>
          <w:szCs w:val="22"/>
          <w:shd w:val="clear" w:color="auto" w:fill="FFFFFF"/>
          <w:lang w:val="en-US" w:eastAsia="en-US"/>
        </w:rPr>
        <w:t>e</w:t>
      </w:r>
      <w:r w:rsidRPr="00281602">
        <w:rPr>
          <w:rFonts w:eastAsia="Courier New"/>
          <w:color w:val="000000"/>
          <w:sz w:val="22"/>
          <w:szCs w:val="22"/>
          <w:shd w:val="clear" w:color="auto" w:fill="FFFFFF"/>
          <w:lang w:val="en-US" w:eastAsia="en-US"/>
        </w:rPr>
        <w:t>velopment of a mobile application was considered. Possibilities of a pr</w:t>
      </w:r>
      <w:r w:rsidRPr="00281602">
        <w:rPr>
          <w:rFonts w:eastAsia="Courier New"/>
          <w:color w:val="000000"/>
          <w:sz w:val="22"/>
          <w:szCs w:val="22"/>
          <w:shd w:val="clear" w:color="auto" w:fill="FFFFFF"/>
          <w:lang w:val="en-US" w:eastAsia="en-US"/>
        </w:rPr>
        <w:t>o</w:t>
      </w:r>
      <w:r w:rsidRPr="00281602">
        <w:rPr>
          <w:rFonts w:eastAsia="Courier New"/>
          <w:color w:val="000000"/>
          <w:sz w:val="22"/>
          <w:szCs w:val="22"/>
          <w:shd w:val="clear" w:color="auto" w:fill="FFFFFF"/>
          <w:lang w:val="en-US" w:eastAsia="en-US"/>
        </w:rPr>
        <w:t>totype and functionality of a mobile application was described.</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КЛЮЧЕВЫЕ СЛОВА: мобильное приложение, карта, КубГАУ, </w:t>
      </w:r>
      <w:r w:rsidRPr="00281602">
        <w:rPr>
          <w:rFonts w:eastAsia="Courier New"/>
          <w:color w:val="000000"/>
          <w:sz w:val="22"/>
          <w:szCs w:val="22"/>
          <w:lang w:val="en-US" w:eastAsia="en-US"/>
        </w:rPr>
        <w:t>OSM</w:t>
      </w:r>
      <w:r w:rsidRPr="00281602">
        <w:rPr>
          <w:rFonts w:eastAsia="Courier New"/>
          <w:color w:val="000000"/>
          <w:sz w:val="22"/>
          <w:szCs w:val="22"/>
          <w:lang w:eastAsia="en-US"/>
        </w:rPr>
        <w:t xml:space="preserve">, </w:t>
      </w:r>
      <w:r w:rsidRPr="00281602">
        <w:rPr>
          <w:rFonts w:eastAsia="Courier New"/>
          <w:color w:val="000000"/>
          <w:sz w:val="22"/>
          <w:szCs w:val="22"/>
          <w:lang w:val="en-US" w:eastAsia="en-US"/>
        </w:rPr>
        <w:t>GeoJSON</w:t>
      </w:r>
      <w:r w:rsidRPr="00281602">
        <w:rPr>
          <w:rFonts w:eastAsia="Courier New"/>
          <w:color w:val="000000"/>
          <w:sz w:val="22"/>
          <w:szCs w:val="22"/>
          <w:lang w:eastAsia="en-US"/>
        </w:rPr>
        <w:t xml:space="preserve">, </w:t>
      </w:r>
      <w:r w:rsidRPr="00281602">
        <w:rPr>
          <w:rFonts w:eastAsia="Courier New"/>
          <w:color w:val="000000"/>
          <w:sz w:val="22"/>
          <w:szCs w:val="22"/>
          <w:lang w:val="en-US" w:eastAsia="en-US"/>
        </w:rPr>
        <w:t>Java</w:t>
      </w:r>
      <w:r w:rsidRPr="00281602">
        <w:rPr>
          <w:rFonts w:eastAsia="Courier New"/>
          <w:color w:val="000000"/>
          <w:sz w:val="22"/>
          <w:szCs w:val="22"/>
          <w:lang w:eastAsia="en-US"/>
        </w:rPr>
        <w:t>.</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r w:rsidRPr="00281602">
        <w:rPr>
          <w:rFonts w:eastAsia="Courier New"/>
          <w:color w:val="000000"/>
          <w:sz w:val="22"/>
          <w:szCs w:val="22"/>
          <w:lang w:val="en-US" w:eastAsia="en-US"/>
        </w:rPr>
        <w:t>KEYWORDS: mobile application, map, KubSAU, OSM, GeoJSON, Java.</w:t>
      </w:r>
    </w:p>
    <w:p w:rsidR="00281602" w:rsidRPr="00281602" w:rsidRDefault="00281602" w:rsidP="00281602">
      <w:pPr>
        <w:widowControl w:val="0"/>
        <w:tabs>
          <w:tab w:val="left" w:pos="8223"/>
        </w:tabs>
        <w:ind w:firstLine="425"/>
        <w:jc w:val="both"/>
        <w:rPr>
          <w:rFonts w:eastAsia="Courier New"/>
          <w:color w:val="000000"/>
          <w:sz w:val="22"/>
          <w:szCs w:val="22"/>
          <w:lang w:val="en-US" w:eastAsia="en-US"/>
        </w:rPr>
      </w:pP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Территория Кубанского государственного аграрного универс</w:t>
      </w:r>
      <w:r w:rsidRPr="00281602">
        <w:rPr>
          <w:rFonts w:eastAsia="Courier New"/>
          <w:color w:val="000000"/>
          <w:sz w:val="22"/>
          <w:szCs w:val="22"/>
          <w:lang w:eastAsia="en-US"/>
        </w:rPr>
        <w:t>и</w:t>
      </w:r>
      <w:r w:rsidRPr="00281602">
        <w:rPr>
          <w:rFonts w:eastAsia="Courier New"/>
          <w:color w:val="000000"/>
          <w:sz w:val="22"/>
          <w:szCs w:val="22"/>
          <w:lang w:eastAsia="en-US"/>
        </w:rPr>
        <w:t>тета имеет площадь 174 гектара. На территории расположено 11 учебных корпусов, почта, отделение банка, поликлиника и 20 о</w:t>
      </w:r>
      <w:r w:rsidRPr="00281602">
        <w:rPr>
          <w:rFonts w:eastAsia="Courier New"/>
          <w:color w:val="000000"/>
          <w:sz w:val="22"/>
          <w:szCs w:val="22"/>
          <w:lang w:eastAsia="en-US"/>
        </w:rPr>
        <w:t>б</w:t>
      </w:r>
      <w:r w:rsidRPr="00281602">
        <w:rPr>
          <w:rFonts w:eastAsia="Courier New"/>
          <w:color w:val="000000"/>
          <w:sz w:val="22"/>
          <w:szCs w:val="22"/>
          <w:lang w:eastAsia="en-US"/>
        </w:rPr>
        <w:t>щежитий. Для студентов (особенно первого курса) поиск аудит</w:t>
      </w:r>
      <w:r w:rsidRPr="00281602">
        <w:rPr>
          <w:rFonts w:eastAsia="Courier New"/>
          <w:color w:val="000000"/>
          <w:sz w:val="22"/>
          <w:szCs w:val="22"/>
          <w:lang w:eastAsia="en-US"/>
        </w:rPr>
        <w:t>о</w:t>
      </w:r>
      <w:r w:rsidRPr="00281602">
        <w:rPr>
          <w:rFonts w:eastAsia="Courier New"/>
          <w:color w:val="000000"/>
          <w:sz w:val="22"/>
          <w:szCs w:val="22"/>
          <w:lang w:eastAsia="en-US"/>
        </w:rPr>
        <w:t>рии, где будет проходить занятие, может занять много времени, что приведет к опозданию на пару. Также преподаватели, которым была назначена новая аудитория для проведения пары, не знают, является ли эта аудитория подготовленной для проведения этой пары (нал</w:t>
      </w:r>
      <w:r w:rsidRPr="00281602">
        <w:rPr>
          <w:rFonts w:eastAsia="Courier New"/>
          <w:color w:val="000000"/>
          <w:sz w:val="22"/>
          <w:szCs w:val="22"/>
          <w:lang w:eastAsia="en-US"/>
        </w:rPr>
        <w:t>и</w:t>
      </w:r>
      <w:r w:rsidRPr="00281602">
        <w:rPr>
          <w:rFonts w:eastAsia="Courier New"/>
          <w:color w:val="000000"/>
          <w:sz w:val="22"/>
          <w:szCs w:val="22"/>
          <w:lang w:eastAsia="en-US"/>
        </w:rPr>
        <w:t>чие проектора, кафедры, компьютера). Кроме того студентам и пр</w:t>
      </w:r>
      <w:r w:rsidRPr="00281602">
        <w:rPr>
          <w:rFonts w:eastAsia="Courier New"/>
          <w:color w:val="000000"/>
          <w:sz w:val="22"/>
          <w:szCs w:val="22"/>
          <w:lang w:eastAsia="en-US"/>
        </w:rPr>
        <w:t>е</w:t>
      </w:r>
      <w:r w:rsidRPr="00281602">
        <w:rPr>
          <w:rFonts w:eastAsia="Courier New"/>
          <w:color w:val="000000"/>
          <w:sz w:val="22"/>
          <w:szCs w:val="22"/>
          <w:lang w:eastAsia="en-US"/>
        </w:rPr>
        <w:t>подавателям важно знать расположение подразделений вуза и и</w:t>
      </w:r>
      <w:r w:rsidRPr="00281602">
        <w:rPr>
          <w:rFonts w:eastAsia="Courier New"/>
          <w:color w:val="000000"/>
          <w:sz w:val="22"/>
          <w:szCs w:val="22"/>
          <w:lang w:eastAsia="en-US"/>
        </w:rPr>
        <w:t>н</w:t>
      </w:r>
      <w:r w:rsidRPr="00281602">
        <w:rPr>
          <w:rFonts w:eastAsia="Courier New"/>
          <w:color w:val="000000"/>
          <w:sz w:val="22"/>
          <w:szCs w:val="22"/>
          <w:lang w:eastAsia="en-US"/>
        </w:rPr>
        <w:t>формацию о них. Для решения таких проблем была поставлена з</w:t>
      </w:r>
      <w:r w:rsidRPr="00281602">
        <w:rPr>
          <w:rFonts w:eastAsia="Courier New"/>
          <w:color w:val="000000"/>
          <w:sz w:val="22"/>
          <w:szCs w:val="22"/>
          <w:lang w:eastAsia="en-US"/>
        </w:rPr>
        <w:t>а</w:t>
      </w:r>
      <w:r w:rsidRPr="00281602">
        <w:rPr>
          <w:rFonts w:eastAsia="Courier New"/>
          <w:color w:val="000000"/>
          <w:sz w:val="22"/>
          <w:szCs w:val="22"/>
          <w:lang w:eastAsia="en-US"/>
        </w:rPr>
        <w:t>дача разработки мобильного приложения «Интерактивная оффлайн карта Кубанского государственного аграрного университета «KubSAUMap» (далее KubSAUMap).</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 xml:space="preserve">Приложение разрабатывается на языке Java на платформе AndroidStudio. Приложение будет поддерживаться операционной системой Android, начиная с версии 4.0.3. Отображение карты без подключения к интернету достигается за счет хранения в ресурсах приложения карты университета в формате </w:t>
      </w:r>
      <w:r w:rsidRPr="00281602">
        <w:rPr>
          <w:rFonts w:eastAsia="Courier New"/>
          <w:color w:val="000000"/>
          <w:sz w:val="22"/>
          <w:szCs w:val="22"/>
          <w:lang w:val="en-US" w:eastAsia="en-US"/>
        </w:rPr>
        <w:t>GeoJSON</w:t>
      </w:r>
      <w:r w:rsidRPr="00281602">
        <w:rPr>
          <w:rFonts w:eastAsia="Courier New"/>
          <w:color w:val="000000"/>
          <w:sz w:val="22"/>
          <w:szCs w:val="22"/>
          <w:lang w:eastAsia="en-US"/>
        </w:rPr>
        <w:t xml:space="preserve"> и </w:t>
      </w:r>
      <w:r w:rsidRPr="00281602">
        <w:rPr>
          <w:rFonts w:eastAsia="Courier New"/>
          <w:color w:val="000000"/>
          <w:sz w:val="22"/>
          <w:szCs w:val="22"/>
          <w:lang w:val="en-US" w:eastAsia="en-US"/>
        </w:rPr>
        <w:t>OSM</w:t>
      </w:r>
      <w:r w:rsidRPr="00281602">
        <w:rPr>
          <w:rFonts w:eastAsia="Courier New"/>
          <w:color w:val="000000"/>
          <w:sz w:val="22"/>
          <w:szCs w:val="22"/>
          <w:lang w:eastAsia="en-US"/>
        </w:rPr>
        <w:t>. И</w:t>
      </w:r>
      <w:r w:rsidRPr="00281602">
        <w:rPr>
          <w:rFonts w:eastAsia="Courier New"/>
          <w:color w:val="000000"/>
          <w:sz w:val="22"/>
          <w:szCs w:val="22"/>
          <w:lang w:eastAsia="en-US"/>
        </w:rPr>
        <w:t>н</w:t>
      </w:r>
      <w:r w:rsidRPr="00281602">
        <w:rPr>
          <w:rFonts w:eastAsia="Courier New"/>
          <w:color w:val="000000"/>
          <w:sz w:val="22"/>
          <w:szCs w:val="22"/>
          <w:lang w:eastAsia="en-US"/>
        </w:rPr>
        <w:t xml:space="preserve">формация об аудиториях хранится в бинарном файле в формате JSON. </w:t>
      </w:r>
      <w:r w:rsidRPr="00281602">
        <w:rPr>
          <w:rFonts w:eastAsia="Courier New"/>
          <w:color w:val="000000"/>
          <w:sz w:val="22"/>
          <w:szCs w:val="22"/>
          <w:lang w:val="en-US" w:eastAsia="en-US"/>
        </w:rPr>
        <w:t>OSM</w:t>
      </w:r>
      <w:r w:rsidRPr="00281602">
        <w:rPr>
          <w:rFonts w:eastAsia="Courier New"/>
          <w:color w:val="000000"/>
          <w:sz w:val="22"/>
          <w:szCs w:val="22"/>
          <w:lang w:eastAsia="en-US"/>
        </w:rPr>
        <w:t xml:space="preserve"> – это формат данных, используемый сервисом хранения и отображения векторной карты планеты </w:t>
      </w:r>
      <w:r w:rsidRPr="00281602">
        <w:rPr>
          <w:rFonts w:eastAsia="Courier New"/>
          <w:color w:val="000000"/>
          <w:sz w:val="22"/>
          <w:szCs w:val="22"/>
          <w:lang w:val="en-US" w:eastAsia="en-US"/>
        </w:rPr>
        <w:t>OpenStreetMap</w:t>
      </w:r>
      <w:r w:rsidRPr="00281602">
        <w:rPr>
          <w:rFonts w:eastAsia="Courier New"/>
          <w:color w:val="000000"/>
          <w:sz w:val="22"/>
          <w:szCs w:val="22"/>
          <w:lang w:eastAsia="en-US"/>
        </w:rPr>
        <w:t xml:space="preserve"> для хран</w:t>
      </w:r>
      <w:r w:rsidRPr="00281602">
        <w:rPr>
          <w:rFonts w:eastAsia="Courier New"/>
          <w:color w:val="000000"/>
          <w:sz w:val="22"/>
          <w:szCs w:val="22"/>
          <w:lang w:eastAsia="en-US"/>
        </w:rPr>
        <w:t>е</w:t>
      </w:r>
      <w:r w:rsidRPr="00281602">
        <w:rPr>
          <w:rFonts w:eastAsia="Courier New"/>
          <w:color w:val="000000"/>
          <w:sz w:val="22"/>
          <w:szCs w:val="22"/>
          <w:lang w:eastAsia="en-US"/>
        </w:rPr>
        <w:t xml:space="preserve">ния геоданных. Внутри файла такого формата хранится разметка, схожая с форматом </w:t>
      </w:r>
      <w:r w:rsidRPr="00281602">
        <w:rPr>
          <w:rFonts w:eastAsia="Courier New"/>
          <w:color w:val="000000"/>
          <w:sz w:val="22"/>
          <w:szCs w:val="22"/>
          <w:lang w:val="en-US" w:eastAsia="en-US"/>
        </w:rPr>
        <w:t>HTML</w:t>
      </w:r>
      <w:r w:rsidRPr="00281602">
        <w:rPr>
          <w:rFonts w:eastAsia="Courier New"/>
          <w:color w:val="000000"/>
          <w:sz w:val="22"/>
          <w:szCs w:val="22"/>
          <w:lang w:eastAsia="en-US"/>
        </w:rPr>
        <w:t xml:space="preserve">, однако имеющий свой собственный набор зарезервированных тегов, определяющих координаты и тип объектов карты. </w:t>
      </w:r>
      <w:r w:rsidRPr="00281602">
        <w:rPr>
          <w:rFonts w:eastAsia="Courier New"/>
          <w:color w:val="000000"/>
          <w:sz w:val="22"/>
          <w:szCs w:val="22"/>
          <w:lang w:val="en-US" w:eastAsia="en-US"/>
        </w:rPr>
        <w:t>GeoJSON</w:t>
      </w:r>
      <w:r w:rsidRPr="00281602">
        <w:rPr>
          <w:rFonts w:eastAsia="Courier New"/>
          <w:color w:val="000000"/>
          <w:sz w:val="22"/>
          <w:szCs w:val="22"/>
          <w:lang w:eastAsia="en-US"/>
        </w:rPr>
        <w:t xml:space="preserve"> – это формат данных, используемый многими сервисами отображения векторной карты так же, как и </w:t>
      </w:r>
      <w:r w:rsidRPr="00281602">
        <w:rPr>
          <w:rFonts w:eastAsia="Courier New"/>
          <w:color w:val="000000"/>
          <w:sz w:val="22"/>
          <w:szCs w:val="22"/>
          <w:lang w:val="en-US" w:eastAsia="en-US"/>
        </w:rPr>
        <w:t>OSM</w:t>
      </w:r>
      <w:r w:rsidRPr="00281602">
        <w:rPr>
          <w:rFonts w:eastAsia="Courier New"/>
          <w:color w:val="000000"/>
          <w:sz w:val="22"/>
          <w:szCs w:val="22"/>
          <w:lang w:eastAsia="en-US"/>
        </w:rPr>
        <w:t>. Эти два формата похожи по выполняемым задачам, но отл</w:t>
      </w:r>
      <w:r w:rsidRPr="00281602">
        <w:rPr>
          <w:rFonts w:eastAsia="Courier New"/>
          <w:color w:val="000000"/>
          <w:sz w:val="22"/>
          <w:szCs w:val="22"/>
          <w:lang w:eastAsia="en-US"/>
        </w:rPr>
        <w:t>и</w:t>
      </w:r>
      <w:r w:rsidRPr="00281602">
        <w:rPr>
          <w:rFonts w:eastAsia="Courier New"/>
          <w:color w:val="000000"/>
          <w:sz w:val="22"/>
          <w:szCs w:val="22"/>
          <w:lang w:eastAsia="en-US"/>
        </w:rPr>
        <w:lastRenderedPageBreak/>
        <w:t xml:space="preserve">чаются подходом к их реализации: </w:t>
      </w:r>
      <w:r w:rsidRPr="00281602">
        <w:rPr>
          <w:rFonts w:eastAsia="Courier New"/>
          <w:color w:val="000000"/>
          <w:sz w:val="22"/>
          <w:szCs w:val="22"/>
          <w:lang w:val="en-US" w:eastAsia="en-US"/>
        </w:rPr>
        <w:t>OSM</w:t>
      </w:r>
      <w:r w:rsidRPr="00281602">
        <w:rPr>
          <w:rFonts w:eastAsia="Courier New"/>
          <w:color w:val="000000"/>
          <w:sz w:val="22"/>
          <w:szCs w:val="22"/>
          <w:lang w:eastAsia="en-US"/>
        </w:rPr>
        <w:t xml:space="preserve"> – использование разметки, схожей с </w:t>
      </w:r>
      <w:r w:rsidRPr="00281602">
        <w:rPr>
          <w:rFonts w:eastAsia="Courier New"/>
          <w:color w:val="000000"/>
          <w:sz w:val="22"/>
          <w:szCs w:val="22"/>
          <w:lang w:val="en-US" w:eastAsia="en-US"/>
        </w:rPr>
        <w:t>HTML</w:t>
      </w:r>
      <w:r w:rsidRPr="00281602">
        <w:rPr>
          <w:rFonts w:eastAsia="Courier New"/>
          <w:color w:val="000000"/>
          <w:sz w:val="22"/>
          <w:szCs w:val="22"/>
          <w:lang w:eastAsia="en-US"/>
        </w:rPr>
        <w:t xml:space="preserve">, </w:t>
      </w:r>
      <w:r w:rsidRPr="00281602">
        <w:rPr>
          <w:rFonts w:eastAsia="Courier New"/>
          <w:color w:val="000000"/>
          <w:sz w:val="22"/>
          <w:szCs w:val="22"/>
          <w:lang w:val="en-US" w:eastAsia="en-US"/>
        </w:rPr>
        <w:t>GeoJSON</w:t>
      </w:r>
      <w:r w:rsidRPr="00281602">
        <w:rPr>
          <w:rFonts w:eastAsia="Courier New"/>
          <w:color w:val="000000"/>
          <w:sz w:val="22"/>
          <w:szCs w:val="22"/>
          <w:lang w:eastAsia="en-US"/>
        </w:rPr>
        <w:t xml:space="preserve"> – использование формата хранения да</w:t>
      </w:r>
      <w:r w:rsidRPr="00281602">
        <w:rPr>
          <w:rFonts w:eastAsia="Courier New"/>
          <w:color w:val="000000"/>
          <w:sz w:val="22"/>
          <w:szCs w:val="22"/>
          <w:lang w:eastAsia="en-US"/>
        </w:rPr>
        <w:t>н</w:t>
      </w:r>
      <w:r w:rsidRPr="00281602">
        <w:rPr>
          <w:rFonts w:eastAsia="Courier New"/>
          <w:color w:val="000000"/>
          <w:sz w:val="22"/>
          <w:szCs w:val="22"/>
          <w:lang w:eastAsia="en-US"/>
        </w:rPr>
        <w:t xml:space="preserve">ных, схожего с </w:t>
      </w:r>
      <w:r w:rsidRPr="00281602">
        <w:rPr>
          <w:rFonts w:eastAsia="Courier New"/>
          <w:color w:val="000000"/>
          <w:sz w:val="22"/>
          <w:szCs w:val="22"/>
          <w:lang w:val="en-US" w:eastAsia="en-US"/>
        </w:rPr>
        <w:t>JSON</w:t>
      </w:r>
      <w:r w:rsidRPr="00281602">
        <w:rPr>
          <w:rFonts w:eastAsia="Courier New"/>
          <w:color w:val="000000"/>
          <w:sz w:val="22"/>
          <w:szCs w:val="22"/>
          <w:lang w:eastAsia="en-US"/>
        </w:rPr>
        <w:t>.</w:t>
      </w:r>
    </w:p>
    <w:p w:rsidR="00281602" w:rsidRPr="00281602" w:rsidRDefault="00281602" w:rsidP="00281602">
      <w:pPr>
        <w:autoSpaceDE w:val="0"/>
        <w:autoSpaceDN w:val="0"/>
        <w:adjustRightInd w:val="0"/>
        <w:ind w:firstLine="425"/>
        <w:jc w:val="both"/>
        <w:rPr>
          <w:rFonts w:eastAsia="Courier New"/>
          <w:color w:val="000000"/>
          <w:sz w:val="22"/>
          <w:szCs w:val="22"/>
          <w:lang w:eastAsia="en-US"/>
        </w:rPr>
      </w:pPr>
      <w:r w:rsidRPr="00281602">
        <w:rPr>
          <w:rFonts w:eastAsia="Courier New"/>
          <w:color w:val="000000"/>
          <w:sz w:val="22"/>
          <w:szCs w:val="22"/>
          <w:lang w:eastAsia="en-US"/>
        </w:rPr>
        <w:t xml:space="preserve">Работающий прототип мобильного приложения </w:t>
      </w:r>
      <w:r w:rsidRPr="00281602">
        <w:rPr>
          <w:rFonts w:eastAsia="Courier New"/>
          <w:color w:val="000000"/>
          <w:sz w:val="22"/>
          <w:szCs w:val="22"/>
          <w:lang w:val="en-US" w:eastAsia="en-US"/>
        </w:rPr>
        <w:t>KubSAUMap</w:t>
      </w:r>
      <w:r w:rsidRPr="00281602">
        <w:rPr>
          <w:rFonts w:eastAsia="Courier New"/>
          <w:color w:val="000000"/>
          <w:sz w:val="22"/>
          <w:szCs w:val="22"/>
          <w:lang w:eastAsia="en-US"/>
        </w:rPr>
        <w:t xml:space="preserve"> содержит активное окно, где отображается карта территории вуза, включая все корпуса и другие строения. Приложение считывает данные файла формата </w:t>
      </w:r>
      <w:r w:rsidRPr="00281602">
        <w:rPr>
          <w:rFonts w:eastAsia="Courier New"/>
          <w:color w:val="000000"/>
          <w:sz w:val="22"/>
          <w:szCs w:val="22"/>
          <w:lang w:val="en-US" w:eastAsia="en-US"/>
        </w:rPr>
        <w:t>OSM</w:t>
      </w:r>
      <w:r w:rsidRPr="00281602">
        <w:rPr>
          <w:rFonts w:eastAsia="Courier New"/>
          <w:color w:val="000000"/>
          <w:sz w:val="22"/>
          <w:szCs w:val="22"/>
          <w:lang w:eastAsia="en-US"/>
        </w:rPr>
        <w:t xml:space="preserve"> для отображения карты вне помещ</w:t>
      </w:r>
      <w:r w:rsidRPr="00281602">
        <w:rPr>
          <w:rFonts w:eastAsia="Courier New"/>
          <w:color w:val="000000"/>
          <w:sz w:val="22"/>
          <w:szCs w:val="22"/>
          <w:lang w:eastAsia="en-US"/>
        </w:rPr>
        <w:t>е</w:t>
      </w:r>
      <w:r w:rsidRPr="00281602">
        <w:rPr>
          <w:rFonts w:eastAsia="Courier New"/>
          <w:color w:val="000000"/>
          <w:sz w:val="22"/>
          <w:szCs w:val="22"/>
          <w:lang w:eastAsia="en-US"/>
        </w:rPr>
        <w:t xml:space="preserve">ний. После чего поверх накладывается слой карты внутреннего строения помещений, хранящийся в формате </w:t>
      </w:r>
      <w:r w:rsidRPr="00281602">
        <w:rPr>
          <w:rFonts w:eastAsia="Courier New"/>
          <w:color w:val="000000"/>
          <w:sz w:val="22"/>
          <w:szCs w:val="22"/>
          <w:lang w:val="en-US" w:eastAsia="en-US"/>
        </w:rPr>
        <w:t>GeoJSON</w:t>
      </w:r>
      <w:r w:rsidRPr="00281602">
        <w:rPr>
          <w:rFonts w:eastAsia="Courier New"/>
          <w:color w:val="000000"/>
          <w:sz w:val="22"/>
          <w:szCs w:val="22"/>
          <w:lang w:eastAsia="en-US"/>
        </w:rPr>
        <w:t>. Справа отображаются интерактивные кнопки с номерами этажей, при нажатии на которые будет накладываться слой с соответствующим этажом, а сменяемый не отображается. При смене слоев внутренн</w:t>
      </w:r>
      <w:r w:rsidRPr="00281602">
        <w:rPr>
          <w:rFonts w:eastAsia="Courier New"/>
          <w:color w:val="000000"/>
          <w:sz w:val="22"/>
          <w:szCs w:val="22"/>
          <w:lang w:eastAsia="en-US"/>
        </w:rPr>
        <w:t>е</w:t>
      </w:r>
      <w:r w:rsidRPr="00281602">
        <w:rPr>
          <w:rFonts w:eastAsia="Courier New"/>
          <w:color w:val="000000"/>
          <w:sz w:val="22"/>
          <w:szCs w:val="22"/>
          <w:lang w:eastAsia="en-US"/>
        </w:rPr>
        <w:t>го строения помещений слой отображения внешней карты не мен</w:t>
      </w:r>
      <w:r w:rsidRPr="00281602">
        <w:rPr>
          <w:rFonts w:eastAsia="Courier New"/>
          <w:color w:val="000000"/>
          <w:sz w:val="22"/>
          <w:szCs w:val="22"/>
          <w:lang w:eastAsia="en-US"/>
        </w:rPr>
        <w:t>я</w:t>
      </w:r>
      <w:r w:rsidRPr="00281602">
        <w:rPr>
          <w:rFonts w:eastAsia="Courier New"/>
          <w:color w:val="000000"/>
          <w:sz w:val="22"/>
          <w:szCs w:val="22"/>
          <w:lang w:eastAsia="en-US"/>
        </w:rPr>
        <w:t>ется и остается видимым.</w:t>
      </w:r>
    </w:p>
    <w:p w:rsidR="00281602" w:rsidRPr="00281602" w:rsidRDefault="00281602" w:rsidP="00281602">
      <w:pPr>
        <w:autoSpaceDE w:val="0"/>
        <w:autoSpaceDN w:val="0"/>
        <w:adjustRightInd w:val="0"/>
        <w:ind w:firstLine="425"/>
        <w:jc w:val="both"/>
        <w:rPr>
          <w:rFonts w:eastAsia="Calibri"/>
          <w:color w:val="000000"/>
          <w:sz w:val="22"/>
          <w:szCs w:val="24"/>
          <w:lang w:eastAsia="en-US"/>
        </w:rPr>
      </w:pPr>
      <w:r w:rsidRPr="00281602">
        <w:rPr>
          <w:rFonts w:eastAsia="Calibri"/>
          <w:color w:val="000000"/>
          <w:sz w:val="22"/>
          <w:szCs w:val="24"/>
          <w:lang w:eastAsia="en-US"/>
        </w:rPr>
        <w:t>Готовое к использованию мобильное приложение «Интера</w:t>
      </w:r>
      <w:r w:rsidRPr="00281602">
        <w:rPr>
          <w:rFonts w:eastAsia="Calibri"/>
          <w:color w:val="000000"/>
          <w:sz w:val="22"/>
          <w:szCs w:val="24"/>
          <w:lang w:eastAsia="en-US"/>
        </w:rPr>
        <w:t>к</w:t>
      </w:r>
      <w:r w:rsidRPr="00281602">
        <w:rPr>
          <w:rFonts w:eastAsia="Calibri"/>
          <w:color w:val="000000"/>
          <w:sz w:val="22"/>
          <w:szCs w:val="24"/>
          <w:lang w:eastAsia="en-US"/>
        </w:rPr>
        <w:t>тивная оффлайн карта Кубанского государственного аграрного ун</w:t>
      </w:r>
      <w:r w:rsidRPr="00281602">
        <w:rPr>
          <w:rFonts w:eastAsia="Calibri"/>
          <w:color w:val="000000"/>
          <w:sz w:val="22"/>
          <w:szCs w:val="24"/>
          <w:lang w:eastAsia="en-US"/>
        </w:rPr>
        <w:t>и</w:t>
      </w:r>
      <w:r w:rsidRPr="00281602">
        <w:rPr>
          <w:rFonts w:eastAsia="Calibri"/>
          <w:color w:val="000000"/>
          <w:sz w:val="22"/>
          <w:szCs w:val="24"/>
          <w:lang w:eastAsia="en-US"/>
        </w:rPr>
        <w:t>верситета «KubSAUMap» сможет:</w:t>
      </w:r>
    </w:p>
    <w:p w:rsidR="00281602" w:rsidRPr="00281602" w:rsidRDefault="00281602" w:rsidP="002D7DA5">
      <w:pPr>
        <w:numPr>
          <w:ilvl w:val="0"/>
          <w:numId w:val="55"/>
        </w:numPr>
        <w:autoSpaceDE w:val="0"/>
        <w:autoSpaceDN w:val="0"/>
        <w:adjustRightInd w:val="0"/>
        <w:spacing w:after="160" w:line="259" w:lineRule="auto"/>
        <w:ind w:left="0" w:firstLine="425"/>
        <w:contextualSpacing/>
        <w:jc w:val="both"/>
        <w:rPr>
          <w:rFonts w:eastAsia="Calibri"/>
          <w:color w:val="000000"/>
          <w:sz w:val="22"/>
          <w:szCs w:val="24"/>
          <w:lang w:eastAsia="en-US"/>
        </w:rPr>
      </w:pPr>
      <w:r w:rsidRPr="00281602">
        <w:rPr>
          <w:rFonts w:eastAsia="Calibri"/>
          <w:color w:val="000000"/>
          <w:sz w:val="22"/>
          <w:szCs w:val="24"/>
          <w:lang w:eastAsia="en-US"/>
        </w:rPr>
        <w:t>отображать интерактивную карту университета без подкл</w:t>
      </w:r>
      <w:r w:rsidRPr="00281602">
        <w:rPr>
          <w:rFonts w:eastAsia="Calibri"/>
          <w:color w:val="000000"/>
          <w:sz w:val="22"/>
          <w:szCs w:val="24"/>
          <w:lang w:eastAsia="en-US"/>
        </w:rPr>
        <w:t>ю</w:t>
      </w:r>
      <w:r w:rsidRPr="00281602">
        <w:rPr>
          <w:rFonts w:eastAsia="Calibri"/>
          <w:color w:val="000000"/>
          <w:sz w:val="22"/>
          <w:szCs w:val="24"/>
          <w:lang w:eastAsia="en-US"/>
        </w:rPr>
        <w:t>чения к интернету;</w:t>
      </w:r>
    </w:p>
    <w:p w:rsidR="00281602" w:rsidRPr="00281602" w:rsidRDefault="00281602" w:rsidP="002D7DA5">
      <w:pPr>
        <w:numPr>
          <w:ilvl w:val="0"/>
          <w:numId w:val="55"/>
        </w:numPr>
        <w:autoSpaceDE w:val="0"/>
        <w:autoSpaceDN w:val="0"/>
        <w:adjustRightInd w:val="0"/>
        <w:spacing w:after="160" w:line="259" w:lineRule="auto"/>
        <w:ind w:left="0" w:firstLine="425"/>
        <w:contextualSpacing/>
        <w:jc w:val="both"/>
        <w:rPr>
          <w:rFonts w:eastAsia="Calibri"/>
          <w:color w:val="000000"/>
          <w:sz w:val="22"/>
          <w:szCs w:val="24"/>
          <w:lang w:eastAsia="en-US"/>
        </w:rPr>
      </w:pPr>
      <w:r w:rsidRPr="00281602">
        <w:rPr>
          <w:rFonts w:eastAsia="Calibri"/>
          <w:color w:val="000000"/>
          <w:sz w:val="22"/>
          <w:szCs w:val="24"/>
          <w:lang w:eastAsia="en-US"/>
        </w:rPr>
        <w:t>получать данные GPS для определения местоположения смартфона;</w:t>
      </w:r>
    </w:p>
    <w:p w:rsidR="00281602" w:rsidRPr="00281602" w:rsidRDefault="00281602" w:rsidP="002D7DA5">
      <w:pPr>
        <w:numPr>
          <w:ilvl w:val="0"/>
          <w:numId w:val="55"/>
        </w:numPr>
        <w:autoSpaceDE w:val="0"/>
        <w:autoSpaceDN w:val="0"/>
        <w:adjustRightInd w:val="0"/>
        <w:spacing w:after="160" w:line="259" w:lineRule="auto"/>
        <w:ind w:left="0" w:firstLine="425"/>
        <w:contextualSpacing/>
        <w:jc w:val="both"/>
        <w:rPr>
          <w:rFonts w:eastAsia="Calibri"/>
          <w:color w:val="000000"/>
          <w:sz w:val="22"/>
          <w:szCs w:val="24"/>
          <w:lang w:eastAsia="en-US"/>
        </w:rPr>
      </w:pPr>
      <w:r w:rsidRPr="00281602">
        <w:rPr>
          <w:rFonts w:eastAsia="Calibri"/>
          <w:color w:val="000000"/>
          <w:sz w:val="22"/>
          <w:szCs w:val="24"/>
          <w:lang w:eastAsia="en-US"/>
        </w:rPr>
        <w:t>отображать информацию об аудиториях: количество сид</w:t>
      </w:r>
      <w:r w:rsidRPr="00281602">
        <w:rPr>
          <w:rFonts w:eastAsia="Calibri"/>
          <w:color w:val="000000"/>
          <w:sz w:val="22"/>
          <w:szCs w:val="24"/>
          <w:lang w:eastAsia="en-US"/>
        </w:rPr>
        <w:t>я</w:t>
      </w:r>
      <w:r w:rsidRPr="00281602">
        <w:rPr>
          <w:rFonts w:eastAsia="Calibri"/>
          <w:color w:val="000000"/>
          <w:sz w:val="22"/>
          <w:szCs w:val="24"/>
          <w:lang w:eastAsia="en-US"/>
        </w:rPr>
        <w:t>чих мест, наличие проектора, кафедры и количество компьютеров;</w:t>
      </w:r>
    </w:p>
    <w:p w:rsidR="00281602" w:rsidRPr="00281602" w:rsidRDefault="00281602" w:rsidP="002D7DA5">
      <w:pPr>
        <w:numPr>
          <w:ilvl w:val="0"/>
          <w:numId w:val="55"/>
        </w:numPr>
        <w:autoSpaceDE w:val="0"/>
        <w:autoSpaceDN w:val="0"/>
        <w:adjustRightInd w:val="0"/>
        <w:spacing w:after="160" w:line="259" w:lineRule="auto"/>
        <w:ind w:left="0" w:firstLine="425"/>
        <w:contextualSpacing/>
        <w:jc w:val="both"/>
        <w:rPr>
          <w:rFonts w:eastAsia="Calibri"/>
          <w:color w:val="000000"/>
          <w:sz w:val="22"/>
          <w:szCs w:val="24"/>
          <w:lang w:eastAsia="en-US"/>
        </w:rPr>
      </w:pPr>
      <w:r w:rsidRPr="00281602">
        <w:rPr>
          <w:rFonts w:eastAsia="Calibri"/>
          <w:color w:val="000000"/>
          <w:sz w:val="22"/>
          <w:szCs w:val="24"/>
          <w:lang w:eastAsia="en-US"/>
        </w:rPr>
        <w:t>осуществлять поиск контактной информации по подразд</w:t>
      </w:r>
      <w:r w:rsidRPr="00281602">
        <w:rPr>
          <w:rFonts w:eastAsia="Calibri"/>
          <w:color w:val="000000"/>
          <w:sz w:val="22"/>
          <w:szCs w:val="24"/>
          <w:lang w:eastAsia="en-US"/>
        </w:rPr>
        <w:t>е</w:t>
      </w:r>
      <w:r w:rsidRPr="00281602">
        <w:rPr>
          <w:rFonts w:eastAsia="Calibri"/>
          <w:color w:val="000000"/>
          <w:sz w:val="22"/>
          <w:szCs w:val="24"/>
          <w:lang w:eastAsia="en-US"/>
        </w:rPr>
        <w:t>лениям вуза и организациям, расположенным в агломерации терр</w:t>
      </w:r>
      <w:r w:rsidRPr="00281602">
        <w:rPr>
          <w:rFonts w:eastAsia="Calibri"/>
          <w:color w:val="000000"/>
          <w:sz w:val="22"/>
          <w:szCs w:val="24"/>
          <w:lang w:eastAsia="en-US"/>
        </w:rPr>
        <w:t>и</w:t>
      </w:r>
      <w:r w:rsidRPr="00281602">
        <w:rPr>
          <w:rFonts w:eastAsia="Calibri"/>
          <w:color w:val="000000"/>
          <w:sz w:val="22"/>
          <w:szCs w:val="24"/>
          <w:lang w:eastAsia="en-US"/>
        </w:rPr>
        <w:t>тории вуза.</w:t>
      </w:r>
    </w:p>
    <w:p w:rsidR="00281602" w:rsidRPr="00281602" w:rsidRDefault="00281602" w:rsidP="00281602">
      <w:pPr>
        <w:autoSpaceDE w:val="0"/>
        <w:autoSpaceDN w:val="0"/>
        <w:adjustRightInd w:val="0"/>
        <w:ind w:firstLine="425"/>
        <w:jc w:val="both"/>
        <w:rPr>
          <w:rFonts w:eastAsia="Calibri"/>
          <w:color w:val="000000"/>
          <w:sz w:val="22"/>
          <w:szCs w:val="24"/>
          <w:lang w:eastAsia="en-US"/>
        </w:rPr>
      </w:pPr>
      <w:r w:rsidRPr="00281602">
        <w:rPr>
          <w:rFonts w:eastAsia="Calibri"/>
          <w:color w:val="000000"/>
          <w:sz w:val="22"/>
          <w:szCs w:val="24"/>
          <w:lang w:eastAsia="en-US"/>
        </w:rPr>
        <w:t>К перспективам развития приложения можно отнести добавл</w:t>
      </w:r>
      <w:r w:rsidRPr="00281602">
        <w:rPr>
          <w:rFonts w:eastAsia="Calibri"/>
          <w:color w:val="000000"/>
          <w:sz w:val="22"/>
          <w:szCs w:val="24"/>
          <w:lang w:eastAsia="en-US"/>
        </w:rPr>
        <w:t>е</w:t>
      </w:r>
      <w:r w:rsidRPr="00281602">
        <w:rPr>
          <w:rFonts w:eastAsia="Calibri"/>
          <w:color w:val="000000"/>
          <w:sz w:val="22"/>
          <w:szCs w:val="24"/>
          <w:lang w:eastAsia="en-US"/>
        </w:rPr>
        <w:t>ние возможности голосового поиска. Также пока не решен вопрос с правилами обновления информации в приложении. Как вариант –позволить пользователям делать пометки на карте, уточняя инфо</w:t>
      </w:r>
      <w:r w:rsidRPr="00281602">
        <w:rPr>
          <w:rFonts w:eastAsia="Calibri"/>
          <w:color w:val="000000"/>
          <w:sz w:val="22"/>
          <w:szCs w:val="24"/>
          <w:lang w:eastAsia="en-US"/>
        </w:rPr>
        <w:t>р</w:t>
      </w:r>
      <w:r w:rsidRPr="00281602">
        <w:rPr>
          <w:rFonts w:eastAsia="Calibri"/>
          <w:color w:val="000000"/>
          <w:sz w:val="22"/>
          <w:szCs w:val="24"/>
          <w:lang w:eastAsia="en-US"/>
        </w:rPr>
        <w:t>мацию.</w:t>
      </w:r>
    </w:p>
    <w:p w:rsidR="00281602" w:rsidRPr="00281602" w:rsidRDefault="00281602" w:rsidP="00281602">
      <w:pPr>
        <w:autoSpaceDE w:val="0"/>
        <w:autoSpaceDN w:val="0"/>
        <w:adjustRightInd w:val="0"/>
        <w:ind w:firstLine="425"/>
        <w:jc w:val="both"/>
        <w:rPr>
          <w:rFonts w:eastAsia="Calibri"/>
          <w:color w:val="000000"/>
          <w:sz w:val="22"/>
          <w:szCs w:val="24"/>
          <w:lang w:eastAsia="en-US"/>
        </w:rPr>
      </w:pPr>
      <w:r w:rsidRPr="00281602">
        <w:rPr>
          <w:rFonts w:eastAsia="Calibri"/>
          <w:color w:val="000000"/>
          <w:sz w:val="22"/>
          <w:szCs w:val="24"/>
          <w:lang w:eastAsia="en-US"/>
        </w:rPr>
        <w:t>Социальная значимость разрабатываемого мобильного прил</w:t>
      </w:r>
      <w:r w:rsidRPr="00281602">
        <w:rPr>
          <w:rFonts w:eastAsia="Calibri"/>
          <w:color w:val="000000"/>
          <w:sz w:val="22"/>
          <w:szCs w:val="24"/>
          <w:lang w:eastAsia="en-US"/>
        </w:rPr>
        <w:t>о</w:t>
      </w:r>
      <w:r w:rsidRPr="00281602">
        <w:rPr>
          <w:rFonts w:eastAsia="Calibri"/>
          <w:color w:val="000000"/>
          <w:sz w:val="22"/>
          <w:szCs w:val="24"/>
          <w:lang w:eastAsia="en-US"/>
        </w:rPr>
        <w:t>жения заключается в обеспечении сотрудников и студентом вуза удобным информационным средством получения справочной и</w:t>
      </w:r>
      <w:r w:rsidRPr="00281602">
        <w:rPr>
          <w:rFonts w:eastAsia="Calibri"/>
          <w:color w:val="000000"/>
          <w:sz w:val="22"/>
          <w:szCs w:val="24"/>
          <w:lang w:eastAsia="en-US"/>
        </w:rPr>
        <w:t>н</w:t>
      </w:r>
      <w:r w:rsidRPr="00281602">
        <w:rPr>
          <w:rFonts w:eastAsia="Calibri"/>
          <w:color w:val="000000"/>
          <w:sz w:val="22"/>
          <w:szCs w:val="24"/>
          <w:lang w:eastAsia="en-US"/>
        </w:rPr>
        <w:t>формации о ФГБОУ ВО «Кубанский государственный аграрный университет имени И.Т. Трубилина».</w:t>
      </w:r>
    </w:p>
    <w:p w:rsidR="00281602" w:rsidRPr="00281602" w:rsidRDefault="00281602" w:rsidP="00281602">
      <w:pPr>
        <w:autoSpaceDE w:val="0"/>
        <w:autoSpaceDN w:val="0"/>
        <w:adjustRightInd w:val="0"/>
        <w:ind w:firstLine="425"/>
        <w:jc w:val="both"/>
        <w:rPr>
          <w:rFonts w:eastAsia="Calibri"/>
          <w:color w:val="000000"/>
          <w:sz w:val="22"/>
          <w:szCs w:val="24"/>
          <w:lang w:eastAsia="en-US"/>
        </w:rPr>
      </w:pPr>
    </w:p>
    <w:p w:rsidR="00281602" w:rsidRPr="00281602" w:rsidRDefault="00281602" w:rsidP="00281602">
      <w:pPr>
        <w:widowControl w:val="0"/>
        <w:autoSpaceDE w:val="0"/>
        <w:autoSpaceDN w:val="0"/>
        <w:adjustRightInd w:val="0"/>
        <w:ind w:firstLine="425"/>
        <w:jc w:val="center"/>
        <w:rPr>
          <w:rFonts w:eastAsia="Calibri"/>
          <w:color w:val="000000"/>
          <w:sz w:val="22"/>
          <w:szCs w:val="22"/>
          <w:lang w:eastAsia="en-US"/>
        </w:rPr>
      </w:pPr>
      <w:r w:rsidRPr="00281602">
        <w:rPr>
          <w:rFonts w:eastAsia="Calibri"/>
          <w:color w:val="000000"/>
          <w:sz w:val="22"/>
          <w:szCs w:val="22"/>
          <w:lang w:eastAsia="en-US"/>
        </w:rPr>
        <w:lastRenderedPageBreak/>
        <w:t>Список литературы</w:t>
      </w:r>
    </w:p>
    <w:p w:rsidR="00281602" w:rsidRPr="00281602" w:rsidRDefault="00281602" w:rsidP="00281602">
      <w:pPr>
        <w:widowControl w:val="0"/>
        <w:autoSpaceDE w:val="0"/>
        <w:autoSpaceDN w:val="0"/>
        <w:adjustRightInd w:val="0"/>
        <w:ind w:firstLine="425"/>
        <w:jc w:val="both"/>
        <w:rPr>
          <w:rFonts w:eastAsia="Courier New"/>
          <w:sz w:val="22"/>
          <w:szCs w:val="22"/>
          <w:lang w:eastAsia="en-US"/>
        </w:rPr>
      </w:pPr>
      <w:r w:rsidRPr="00281602">
        <w:rPr>
          <w:rFonts w:eastAsia="Courier New"/>
          <w:sz w:val="22"/>
          <w:szCs w:val="22"/>
          <w:lang w:eastAsia="en-US"/>
        </w:rPr>
        <w:t>1. Ефанова, Н. В. Проектирование архитектуры программной системы для оценки и анализа рисков в агропромышленных инт</w:t>
      </w:r>
      <w:r w:rsidRPr="00281602">
        <w:rPr>
          <w:rFonts w:eastAsia="Courier New"/>
          <w:sz w:val="22"/>
          <w:szCs w:val="22"/>
          <w:lang w:eastAsia="en-US"/>
        </w:rPr>
        <w:t>е</w:t>
      </w:r>
      <w:r w:rsidRPr="00281602">
        <w:rPr>
          <w:rFonts w:eastAsia="Courier New"/>
          <w:sz w:val="22"/>
          <w:szCs w:val="22"/>
          <w:lang w:eastAsia="en-US"/>
        </w:rPr>
        <w:t xml:space="preserve">грированных производственных системах [Электронный ресурс] / В. И. Лойко, Н. В. Ефанова // </w:t>
      </w:r>
      <w:hyperlink r:id="rId175" w:tooltip="Оглавления выпусков этого журнала" w:history="1">
        <w:r w:rsidRPr="00281602">
          <w:rPr>
            <w:rFonts w:eastAsia="Courier New"/>
            <w:sz w:val="22"/>
            <w:szCs w:val="22"/>
            <w:lang w:eastAsia="en-US"/>
          </w:rPr>
          <w:t>Новые технологии</w:t>
        </w:r>
      </w:hyperlink>
      <w:r w:rsidRPr="00281602">
        <w:rPr>
          <w:rFonts w:eastAsia="Courier New"/>
          <w:sz w:val="22"/>
          <w:szCs w:val="22"/>
          <w:lang w:eastAsia="en-US"/>
        </w:rPr>
        <w:t xml:space="preserve"> – Майкоп: </w:t>
      </w:r>
      <w:hyperlink r:id="rId176" w:tooltip="Список журналов этого издательства" w:history="1">
        <w:r w:rsidRPr="00281602">
          <w:rPr>
            <w:rFonts w:eastAsia="Courier New"/>
            <w:sz w:val="22"/>
            <w:szCs w:val="22"/>
            <w:lang w:eastAsia="en-US"/>
          </w:rPr>
          <w:t>Ма</w:t>
        </w:r>
        <w:r w:rsidRPr="00281602">
          <w:rPr>
            <w:rFonts w:eastAsia="Courier New"/>
            <w:sz w:val="22"/>
            <w:szCs w:val="22"/>
            <w:lang w:eastAsia="en-US"/>
          </w:rPr>
          <w:t>й</w:t>
        </w:r>
        <w:r w:rsidRPr="00281602">
          <w:rPr>
            <w:rFonts w:eastAsia="Courier New"/>
            <w:sz w:val="22"/>
            <w:szCs w:val="22"/>
            <w:lang w:eastAsia="en-US"/>
          </w:rPr>
          <w:t>копский государственный технологический университет</w:t>
        </w:r>
      </w:hyperlink>
      <w:r w:rsidRPr="00281602">
        <w:rPr>
          <w:rFonts w:eastAsia="Courier New"/>
          <w:sz w:val="22"/>
          <w:szCs w:val="22"/>
          <w:lang w:eastAsia="en-US"/>
        </w:rPr>
        <w:t>, 2017. – №4. – С. 158 – 169. – Режим доступа: http://lib.mkgtu.ru/images /stories/journal-nt/2017-04/023.pdf</w:t>
      </w:r>
    </w:p>
    <w:p w:rsidR="00281602" w:rsidRPr="00281602" w:rsidRDefault="00281602" w:rsidP="00281602">
      <w:pPr>
        <w:widowControl w:val="0"/>
        <w:autoSpaceDE w:val="0"/>
        <w:autoSpaceDN w:val="0"/>
        <w:adjustRightInd w:val="0"/>
        <w:ind w:firstLine="425"/>
        <w:jc w:val="both"/>
        <w:rPr>
          <w:rFonts w:eastAsia="Courier New"/>
          <w:sz w:val="22"/>
          <w:szCs w:val="22"/>
          <w:lang w:eastAsia="en-US"/>
        </w:rPr>
      </w:pPr>
      <w:r w:rsidRPr="00281602">
        <w:rPr>
          <w:rFonts w:eastAsia="Courier New"/>
          <w:sz w:val="22"/>
          <w:szCs w:val="22"/>
          <w:lang w:eastAsia="en-US"/>
        </w:rPr>
        <w:t>2. Ефанова, Н. В. О методологических основах количественной оценки рисков в экономике / Н.В. Ефанова // Труды Кубанского государственного аграрного университета.– Выпуск №420 (448), – КубГАУ, Краснодар, 2005.– с.252-257.</w:t>
      </w:r>
    </w:p>
    <w:p w:rsidR="00281602" w:rsidRPr="00281602" w:rsidRDefault="00281602" w:rsidP="00281602">
      <w:pPr>
        <w:widowControl w:val="0"/>
        <w:autoSpaceDE w:val="0"/>
        <w:autoSpaceDN w:val="0"/>
        <w:adjustRightInd w:val="0"/>
        <w:ind w:firstLine="425"/>
        <w:jc w:val="both"/>
        <w:rPr>
          <w:rFonts w:eastAsia="Calibri"/>
          <w:sz w:val="22"/>
          <w:szCs w:val="22"/>
          <w:lang w:eastAsia="en-US"/>
        </w:rPr>
      </w:pPr>
      <w:r w:rsidRPr="00281602">
        <w:rPr>
          <w:rFonts w:eastAsia="Courier New"/>
          <w:sz w:val="22"/>
          <w:szCs w:val="22"/>
          <w:lang w:eastAsia="en-US"/>
        </w:rPr>
        <w:t>3. Иванова Е. А. Автоматизированная подсистема планиров</w:t>
      </w:r>
      <w:r w:rsidRPr="00281602">
        <w:rPr>
          <w:rFonts w:eastAsia="Courier New"/>
          <w:sz w:val="22"/>
          <w:szCs w:val="22"/>
          <w:lang w:eastAsia="en-US"/>
        </w:rPr>
        <w:t>а</w:t>
      </w:r>
      <w:r w:rsidRPr="00281602">
        <w:rPr>
          <w:rFonts w:eastAsia="Courier New"/>
          <w:sz w:val="22"/>
          <w:szCs w:val="22"/>
          <w:lang w:eastAsia="en-US"/>
        </w:rPr>
        <w:t>ния бюджета доходов для Ставропольского филиала ПАО «Рост</w:t>
      </w:r>
      <w:r w:rsidRPr="00281602">
        <w:rPr>
          <w:rFonts w:eastAsia="Courier New"/>
          <w:sz w:val="22"/>
          <w:szCs w:val="22"/>
          <w:lang w:eastAsia="en-US"/>
        </w:rPr>
        <w:t>е</w:t>
      </w:r>
      <w:r w:rsidRPr="00281602">
        <w:rPr>
          <w:rFonts w:eastAsia="Courier New"/>
          <w:sz w:val="22"/>
          <w:szCs w:val="22"/>
          <w:lang w:eastAsia="en-US"/>
        </w:rPr>
        <w:t>леком» [Электронный ресурс] / Т. П. Барановская, Е. А. Иванова, М. В. Захарова // Научный журнал КубГАУ. – Краснодар: КубГАУ, 2016. – №06(120). С. 209 – 222. – Режим доступа: http://ej.kubagro.ru/2016/06/pdf/12.pdf.</w:t>
      </w:r>
    </w:p>
    <w:p w:rsidR="00281602" w:rsidRPr="00281602" w:rsidRDefault="00281602" w:rsidP="00281602">
      <w:pPr>
        <w:ind w:firstLine="425"/>
        <w:jc w:val="both"/>
        <w:rPr>
          <w:rFonts w:eastAsia="Calibri"/>
          <w:sz w:val="22"/>
          <w:szCs w:val="22"/>
          <w:lang w:eastAsia="en-US"/>
        </w:rPr>
      </w:pPr>
    </w:p>
    <w:p w:rsidR="00281602" w:rsidRDefault="00281602" w:rsidP="00281602">
      <w:pPr>
        <w:ind w:firstLine="425"/>
        <w:jc w:val="both"/>
        <w:rPr>
          <w:rFonts w:eastAsia="Calibri"/>
          <w:sz w:val="22"/>
          <w:szCs w:val="22"/>
          <w:lang w:eastAsia="en-US"/>
        </w:rPr>
      </w:pPr>
    </w:p>
    <w:p w:rsidR="006F7F71" w:rsidRPr="00281602" w:rsidRDefault="006F7F71" w:rsidP="00281602">
      <w:pPr>
        <w:ind w:firstLine="425"/>
        <w:jc w:val="both"/>
        <w:rPr>
          <w:rFonts w:eastAsia="Calibri"/>
          <w:sz w:val="22"/>
          <w:szCs w:val="22"/>
          <w:lang w:eastAsia="en-US"/>
        </w:rPr>
      </w:pPr>
    </w:p>
    <w:p w:rsidR="00281602" w:rsidRPr="00281602" w:rsidRDefault="00281602" w:rsidP="00281602">
      <w:pPr>
        <w:jc w:val="both"/>
        <w:rPr>
          <w:rFonts w:eastAsia="Calibri"/>
          <w:sz w:val="24"/>
          <w:szCs w:val="24"/>
          <w:lang w:eastAsia="en-US"/>
        </w:rPr>
      </w:pPr>
      <w:r w:rsidRPr="00281602">
        <w:rPr>
          <w:rFonts w:eastAsia="Calibri"/>
          <w:sz w:val="22"/>
          <w:szCs w:val="22"/>
          <w:lang w:eastAsia="en-US"/>
        </w:rPr>
        <w:t>УДК 004.9:378.147</w:t>
      </w:r>
    </w:p>
    <w:p w:rsidR="00281602" w:rsidRPr="00281602" w:rsidRDefault="00281602" w:rsidP="00281602">
      <w:pPr>
        <w:ind w:firstLine="425"/>
        <w:jc w:val="both"/>
        <w:rPr>
          <w:rFonts w:eastAsia="Calibri"/>
          <w:b/>
          <w:sz w:val="24"/>
          <w:szCs w:val="24"/>
          <w:lang w:eastAsia="en-US"/>
        </w:rPr>
      </w:pPr>
    </w:p>
    <w:p w:rsidR="00281602" w:rsidRPr="00281602" w:rsidRDefault="00281602" w:rsidP="00281602">
      <w:pPr>
        <w:ind w:firstLine="425"/>
        <w:jc w:val="center"/>
        <w:rPr>
          <w:rFonts w:eastAsia="Calibri"/>
          <w:b/>
          <w:sz w:val="24"/>
          <w:szCs w:val="24"/>
          <w:lang w:eastAsia="en-US"/>
        </w:rPr>
      </w:pPr>
      <w:r w:rsidRPr="00281602">
        <w:rPr>
          <w:rFonts w:eastAsia="Calibri"/>
          <w:b/>
          <w:sz w:val="24"/>
          <w:szCs w:val="24"/>
          <w:lang w:eastAsia="en-US"/>
        </w:rPr>
        <w:t>Виртуальная информационно-образовательная среда</w:t>
      </w:r>
    </w:p>
    <w:p w:rsidR="00281602" w:rsidRPr="00281602" w:rsidRDefault="00281602" w:rsidP="00281602">
      <w:pPr>
        <w:ind w:firstLine="425"/>
        <w:jc w:val="center"/>
        <w:rPr>
          <w:rFonts w:eastAsia="Calibri"/>
          <w:b/>
          <w:sz w:val="24"/>
          <w:szCs w:val="24"/>
          <w:lang w:eastAsia="en-US"/>
        </w:rPr>
      </w:pPr>
      <w:r w:rsidRPr="00281602">
        <w:rPr>
          <w:rFonts w:eastAsia="Calibri"/>
          <w:b/>
          <w:sz w:val="24"/>
          <w:szCs w:val="24"/>
          <w:lang w:eastAsia="en-US"/>
        </w:rPr>
        <w:t xml:space="preserve">Virtual information and education </w:t>
      </w:r>
      <w:r w:rsidRPr="00281602">
        <w:rPr>
          <w:b/>
          <w:sz w:val="24"/>
          <w:szCs w:val="24"/>
          <w:lang w:val="en-US"/>
        </w:rPr>
        <w:t>environment</w:t>
      </w:r>
    </w:p>
    <w:p w:rsidR="00281602" w:rsidRPr="00281602" w:rsidRDefault="00281602" w:rsidP="00281602">
      <w:pPr>
        <w:ind w:firstLine="425"/>
        <w:jc w:val="both"/>
        <w:rPr>
          <w:rFonts w:eastAsia="Calibri"/>
          <w:b/>
          <w:i/>
          <w:sz w:val="22"/>
          <w:szCs w:val="22"/>
          <w:lang w:eastAsia="en-US"/>
        </w:rPr>
      </w:pP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 xml:space="preserve">Торохова М. С., </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магистрант 1-го курса экономического факультета,</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Гайдук Н. В.,</w:t>
      </w:r>
    </w:p>
    <w:p w:rsidR="00281602" w:rsidRPr="00281602" w:rsidRDefault="00281602" w:rsidP="00281602">
      <w:pPr>
        <w:ind w:firstLine="425"/>
        <w:jc w:val="right"/>
        <w:rPr>
          <w:rFonts w:eastAsia="Calibri"/>
          <w:sz w:val="22"/>
          <w:szCs w:val="22"/>
          <w:lang w:eastAsia="en-US"/>
        </w:rPr>
      </w:pPr>
      <w:r w:rsidRPr="00281602">
        <w:rPr>
          <w:rFonts w:eastAsia="Calibri"/>
          <w:sz w:val="22"/>
          <w:szCs w:val="22"/>
          <w:lang w:eastAsia="en-US"/>
        </w:rPr>
        <w:t xml:space="preserve">доцент кафедры информационных систем </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аграрный </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contextualSpacing/>
        <w:jc w:val="both"/>
        <w:rPr>
          <w:rFonts w:eastAsia="Calibri"/>
          <w:sz w:val="22"/>
          <w:szCs w:val="22"/>
          <w:lang w:eastAsia="en-US"/>
        </w:rPr>
      </w:pPr>
    </w:p>
    <w:p w:rsidR="00281602" w:rsidRPr="00281602" w:rsidRDefault="00281602" w:rsidP="00281602">
      <w:pPr>
        <w:ind w:firstLine="425"/>
        <w:contextualSpacing/>
        <w:jc w:val="both"/>
        <w:rPr>
          <w:rFonts w:eastAsia="Calibri"/>
          <w:sz w:val="22"/>
          <w:szCs w:val="22"/>
          <w:lang w:eastAsia="en-US"/>
        </w:rPr>
      </w:pPr>
      <w:r w:rsidRPr="00281602">
        <w:rPr>
          <w:rFonts w:eastAsia="Courier New"/>
          <w:color w:val="000000"/>
          <w:sz w:val="22"/>
          <w:szCs w:val="22"/>
          <w:lang w:eastAsia="en-US"/>
        </w:rPr>
        <w:t xml:space="preserve">АННОТАЦИЯ: </w:t>
      </w:r>
      <w:r w:rsidRPr="00281602">
        <w:rPr>
          <w:rFonts w:eastAsia="Calibri"/>
          <w:sz w:val="22"/>
          <w:szCs w:val="22"/>
          <w:lang w:eastAsia="en-US"/>
        </w:rPr>
        <w:t>В статье произведен анализ виртуальной и</w:t>
      </w:r>
      <w:r w:rsidRPr="00281602">
        <w:rPr>
          <w:rFonts w:eastAsia="Calibri"/>
          <w:sz w:val="22"/>
          <w:szCs w:val="22"/>
          <w:lang w:eastAsia="en-US"/>
        </w:rPr>
        <w:t>н</w:t>
      </w:r>
      <w:r w:rsidRPr="00281602">
        <w:rPr>
          <w:rFonts w:eastAsia="Calibri"/>
          <w:sz w:val="22"/>
          <w:szCs w:val="22"/>
          <w:lang w:eastAsia="en-US"/>
        </w:rPr>
        <w:t>формационно образовательной среды, были раскрыты понятия и сущность.</w:t>
      </w:r>
    </w:p>
    <w:p w:rsidR="00281602" w:rsidRPr="00281602" w:rsidRDefault="00281602" w:rsidP="00281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contextualSpacing/>
        <w:jc w:val="both"/>
        <w:rPr>
          <w:sz w:val="22"/>
          <w:szCs w:val="22"/>
          <w:lang w:val="en-US"/>
        </w:rPr>
      </w:pPr>
      <w:r w:rsidRPr="00281602">
        <w:rPr>
          <w:rFonts w:eastAsia="Courier New"/>
          <w:color w:val="000000"/>
          <w:sz w:val="22"/>
          <w:szCs w:val="22"/>
          <w:lang w:val="en-US" w:eastAsia="en-US"/>
        </w:rPr>
        <w:lastRenderedPageBreak/>
        <w:t xml:space="preserve">ABSTRACT: </w:t>
      </w:r>
      <w:r w:rsidRPr="00281602">
        <w:rPr>
          <w:sz w:val="22"/>
          <w:szCs w:val="22"/>
          <w:lang w:val="en-US"/>
        </w:rPr>
        <w:t>The article analyzes the virtual information educ</w:t>
      </w:r>
      <w:r w:rsidRPr="00281602">
        <w:rPr>
          <w:sz w:val="22"/>
          <w:szCs w:val="22"/>
          <w:lang w:val="en-US"/>
        </w:rPr>
        <w:t>a</w:t>
      </w:r>
      <w:r w:rsidRPr="00281602">
        <w:rPr>
          <w:sz w:val="22"/>
          <w:szCs w:val="22"/>
          <w:lang w:val="en-US"/>
        </w:rPr>
        <w:t>tional environment, the concepts and essence were revealed.</w:t>
      </w:r>
    </w:p>
    <w:p w:rsidR="00281602" w:rsidRPr="00281602" w:rsidRDefault="00281602" w:rsidP="00281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contextualSpacing/>
        <w:jc w:val="both"/>
        <w:rPr>
          <w:color w:val="212121"/>
          <w:sz w:val="22"/>
          <w:szCs w:val="22"/>
        </w:rPr>
      </w:pPr>
      <w:r w:rsidRPr="00281602">
        <w:rPr>
          <w:rFonts w:eastAsia="Courier New"/>
          <w:color w:val="000000"/>
          <w:sz w:val="22"/>
          <w:szCs w:val="22"/>
          <w:lang w:eastAsia="en-US"/>
        </w:rPr>
        <w:t xml:space="preserve">КЛЮЧЕВЫЕ СЛОВА: </w:t>
      </w:r>
      <w:r w:rsidRPr="00281602">
        <w:rPr>
          <w:color w:val="212121"/>
          <w:sz w:val="22"/>
          <w:szCs w:val="22"/>
        </w:rPr>
        <w:t>образование, дистанционное обучение, информационные технологии, виртуальная среда.</w:t>
      </w:r>
    </w:p>
    <w:p w:rsidR="00281602" w:rsidRPr="00281602" w:rsidRDefault="00281602" w:rsidP="00281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contextualSpacing/>
        <w:jc w:val="both"/>
        <w:rPr>
          <w:color w:val="212121"/>
          <w:sz w:val="22"/>
          <w:szCs w:val="22"/>
          <w:lang w:val="en-US"/>
        </w:rPr>
      </w:pPr>
      <w:r w:rsidRPr="00281602">
        <w:rPr>
          <w:rFonts w:eastAsia="Courier New"/>
          <w:color w:val="000000"/>
          <w:sz w:val="22"/>
          <w:szCs w:val="22"/>
          <w:lang w:val="en-US" w:eastAsia="en-US"/>
        </w:rPr>
        <w:t xml:space="preserve">KEYWORDS: </w:t>
      </w:r>
      <w:r w:rsidRPr="00281602">
        <w:rPr>
          <w:color w:val="212121"/>
          <w:sz w:val="22"/>
          <w:szCs w:val="22"/>
          <w:lang w:val="en-US"/>
        </w:rPr>
        <w:t>education, distance learning, information technol</w:t>
      </w:r>
      <w:r w:rsidRPr="00281602">
        <w:rPr>
          <w:color w:val="212121"/>
          <w:sz w:val="22"/>
          <w:szCs w:val="22"/>
          <w:lang w:val="en-US"/>
        </w:rPr>
        <w:t>o</w:t>
      </w:r>
      <w:r w:rsidRPr="00281602">
        <w:rPr>
          <w:color w:val="212121"/>
          <w:sz w:val="22"/>
          <w:szCs w:val="22"/>
          <w:lang w:val="en-US"/>
        </w:rPr>
        <w:t xml:space="preserve">gy, virtual </w:t>
      </w:r>
      <w:r w:rsidRPr="00281602">
        <w:rPr>
          <w:sz w:val="22"/>
          <w:szCs w:val="22"/>
          <w:lang w:val="en-US"/>
        </w:rPr>
        <w:t>environment</w:t>
      </w:r>
      <w:r w:rsidRPr="00281602">
        <w:rPr>
          <w:color w:val="212121"/>
          <w:sz w:val="22"/>
          <w:szCs w:val="22"/>
          <w:lang w:val="en-US"/>
        </w:rPr>
        <w:t>.</w:t>
      </w:r>
    </w:p>
    <w:p w:rsidR="00281602" w:rsidRPr="00281602" w:rsidRDefault="00281602" w:rsidP="00281602">
      <w:pPr>
        <w:ind w:firstLine="425"/>
        <w:contextualSpacing/>
        <w:jc w:val="both"/>
        <w:rPr>
          <w:rFonts w:eastAsia="Calibri"/>
          <w:sz w:val="22"/>
          <w:szCs w:val="22"/>
          <w:lang w:val="en-US" w:eastAsia="en-US"/>
        </w:rPr>
      </w:pPr>
    </w:p>
    <w:p w:rsidR="00281602" w:rsidRPr="00281602" w:rsidRDefault="00281602" w:rsidP="00281602">
      <w:pPr>
        <w:ind w:firstLine="425"/>
        <w:contextualSpacing/>
        <w:jc w:val="both"/>
        <w:rPr>
          <w:rFonts w:eastAsia="Calibri"/>
          <w:sz w:val="22"/>
          <w:szCs w:val="22"/>
          <w:lang w:eastAsia="en-US"/>
        </w:rPr>
      </w:pPr>
      <w:r w:rsidRPr="00281602">
        <w:rPr>
          <w:rFonts w:eastAsia="Calibri"/>
          <w:sz w:val="22"/>
          <w:szCs w:val="22"/>
          <w:lang w:eastAsia="en-US"/>
        </w:rPr>
        <w:t>21 век справедливо именуют веком информационных револ</w:t>
      </w:r>
      <w:r w:rsidRPr="00281602">
        <w:rPr>
          <w:rFonts w:eastAsia="Calibri"/>
          <w:sz w:val="22"/>
          <w:szCs w:val="22"/>
          <w:lang w:eastAsia="en-US"/>
        </w:rPr>
        <w:t>ю</w:t>
      </w:r>
      <w:r w:rsidRPr="00281602">
        <w:rPr>
          <w:rFonts w:eastAsia="Calibri"/>
          <w:sz w:val="22"/>
          <w:szCs w:val="22"/>
          <w:lang w:eastAsia="en-US"/>
        </w:rPr>
        <w:t>ций. В данное время произошел переворот образовательных пр</w:t>
      </w:r>
      <w:r w:rsidRPr="00281602">
        <w:rPr>
          <w:rFonts w:eastAsia="Calibri"/>
          <w:sz w:val="22"/>
          <w:szCs w:val="22"/>
          <w:lang w:eastAsia="en-US"/>
        </w:rPr>
        <w:t>о</w:t>
      </w:r>
      <w:r w:rsidRPr="00281602">
        <w:rPr>
          <w:rFonts w:eastAsia="Calibri"/>
          <w:sz w:val="22"/>
          <w:szCs w:val="22"/>
          <w:lang w:eastAsia="en-US"/>
        </w:rPr>
        <w:t>цессов,  и эта отрасль стала бурно меняться.</w:t>
      </w:r>
    </w:p>
    <w:p w:rsidR="00281602" w:rsidRPr="00281602" w:rsidRDefault="00281602" w:rsidP="00281602">
      <w:pPr>
        <w:ind w:firstLine="425"/>
        <w:contextualSpacing/>
        <w:jc w:val="both"/>
        <w:rPr>
          <w:rFonts w:eastAsia="Calibri"/>
          <w:sz w:val="22"/>
          <w:szCs w:val="22"/>
          <w:lang w:eastAsia="en-US"/>
        </w:rPr>
      </w:pPr>
      <w:r w:rsidRPr="00281602">
        <w:rPr>
          <w:rFonts w:eastAsia="Calibri"/>
          <w:sz w:val="22"/>
          <w:szCs w:val="22"/>
          <w:lang w:eastAsia="en-US"/>
        </w:rPr>
        <w:t xml:space="preserve">Роль среды образования люди осознавали и осмысливали с начала древнегреческих времен. Платоновская Академия – одна из первых образовательных сред, монастыри во время средневековья были образовательными базами.  Школы,  университеты  стали символами образования с Нового времени вплоть до наших дней. Во все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sz w:val="22"/>
          <w:szCs w:val="22"/>
          <w:lang w:eastAsia="en-US"/>
        </w:rPr>
        <w:instrText>времена</w:instrText>
      </w:r>
      <w:r w:rsidRPr="00281602">
        <w:rPr>
          <w:rFonts w:eastAsia="Calibri"/>
          <w:noProof/>
          <w:color w:val="FFFFFF"/>
          <w:spacing w:val="-20000"/>
          <w:sz w:val="22"/>
          <w:szCs w:val="22"/>
          <w:lang w:eastAsia="en-US"/>
        </w:rPr>
        <w:instrText> обработка</w:instrText>
      </w:r>
      <w:r w:rsidRPr="00281602">
        <w:rPr>
          <w:rFonts w:eastAsia="Calibri"/>
          <w:sz w:val="22"/>
          <w:szCs w:val="22"/>
          <w:lang w:eastAsia="en-US"/>
        </w:rPr>
        <w:fldChar w:fldCharType="end"/>
      </w:r>
      <w:r w:rsidRPr="00281602">
        <w:rPr>
          <w:rFonts w:eastAsia="Calibri"/>
          <w:sz w:val="22"/>
          <w:szCs w:val="22"/>
          <w:lang w:eastAsia="en-US"/>
        </w:rPr>
        <w:t xml:space="preserve"> люди пытались</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быстрый </w:instrText>
      </w:r>
      <w:r w:rsidRPr="00281602">
        <w:rPr>
          <w:rFonts w:eastAsia="Calibri"/>
          <w:noProof/>
          <w:sz w:val="22"/>
          <w:szCs w:val="22"/>
          <w:lang w:eastAsia="en-US"/>
        </w:rPr>
        <w:instrText>улучшить</w:instrText>
      </w:r>
      <w:r w:rsidRPr="00281602">
        <w:rPr>
          <w:rFonts w:eastAsia="Calibri"/>
          <w:noProof/>
          <w:color w:val="FFFFFF"/>
          <w:spacing w:val="-20000"/>
          <w:sz w:val="22"/>
          <w:szCs w:val="22"/>
          <w:lang w:eastAsia="en-US"/>
        </w:rPr>
        <w:instrText> лучшее</w:instrText>
      </w:r>
      <w:r w:rsidRPr="00281602">
        <w:rPr>
          <w:rFonts w:eastAsia="Calibri"/>
          <w:sz w:val="22"/>
          <w:szCs w:val="22"/>
          <w:lang w:eastAsia="en-US"/>
        </w:rPr>
        <w:fldChar w:fldCharType="end"/>
      </w:r>
      <w:r w:rsidRPr="00281602">
        <w:rPr>
          <w:rFonts w:eastAsia="Calibri"/>
          <w:sz w:val="22"/>
          <w:szCs w:val="22"/>
          <w:lang w:eastAsia="en-US"/>
        </w:rPr>
        <w:t xml:space="preserve"> и сделать доступнее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работа </w:instrText>
      </w:r>
      <w:r w:rsidRPr="00281602">
        <w:rPr>
          <w:rFonts w:eastAsia="Calibri"/>
          <w:noProof/>
          <w:sz w:val="22"/>
          <w:szCs w:val="22"/>
          <w:lang w:eastAsia="en-US"/>
        </w:rPr>
        <w:instrText>образовательную</w:instrText>
      </w:r>
      <w:r w:rsidRPr="00281602">
        <w:rPr>
          <w:rFonts w:eastAsia="Calibri"/>
          <w:sz w:val="22"/>
          <w:szCs w:val="22"/>
          <w:lang w:eastAsia="en-US"/>
        </w:rPr>
        <w:fldChar w:fldCharType="end"/>
      </w:r>
      <w:r w:rsidRPr="00281602">
        <w:rPr>
          <w:rFonts w:eastAsia="Calibri"/>
          <w:sz w:val="22"/>
          <w:szCs w:val="22"/>
          <w:lang w:eastAsia="en-US"/>
        </w:rPr>
        <w:t xml:space="preserve"> площадку. Современные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подходу </w:instrText>
      </w:r>
      <w:r w:rsidRPr="00281602">
        <w:rPr>
          <w:rFonts w:eastAsia="Calibri"/>
          <w:noProof/>
          <w:sz w:val="22"/>
          <w:szCs w:val="22"/>
          <w:lang w:eastAsia="en-US"/>
        </w:rPr>
        <w:instrText>научные</w:instrText>
      </w:r>
      <w:r w:rsidRPr="00281602">
        <w:rPr>
          <w:rFonts w:eastAsia="Calibri"/>
          <w:noProof/>
          <w:color w:val="FFFFFF"/>
          <w:spacing w:val="-20000"/>
          <w:sz w:val="22"/>
          <w:szCs w:val="22"/>
          <w:lang w:eastAsia="en-US"/>
        </w:rPr>
        <w:instrText> убрать</w:instrText>
      </w:r>
      <w:r w:rsidRPr="00281602">
        <w:rPr>
          <w:rFonts w:eastAsia="Calibri"/>
          <w:sz w:val="22"/>
          <w:szCs w:val="22"/>
          <w:lang w:eastAsia="en-US"/>
        </w:rPr>
        <w:fldChar w:fldCharType="end"/>
      </w:r>
      <w:r w:rsidRPr="00281602">
        <w:rPr>
          <w:rFonts w:eastAsia="Calibri"/>
          <w:sz w:val="22"/>
          <w:szCs w:val="22"/>
          <w:lang w:eastAsia="en-US"/>
        </w:rPr>
        <w:t xml:space="preserve"> исследования показывают, что вопрос взаимодействия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способст </w:instrText>
      </w:r>
      <w:r w:rsidRPr="00281602">
        <w:rPr>
          <w:rFonts w:eastAsia="Calibri"/>
          <w:noProof/>
          <w:sz w:val="22"/>
          <w:szCs w:val="22"/>
          <w:lang w:eastAsia="en-US"/>
        </w:rPr>
        <w:instrText>личности</w:instrText>
      </w:r>
      <w:r w:rsidRPr="00281602">
        <w:rPr>
          <w:rFonts w:eastAsia="Calibri"/>
          <w:noProof/>
          <w:color w:val="FFFFFF"/>
          <w:spacing w:val="-20000"/>
          <w:sz w:val="22"/>
          <w:szCs w:val="22"/>
          <w:lang w:eastAsia="en-US"/>
        </w:rPr>
        <w:instrText> большого</w:instrText>
      </w:r>
      <w:r w:rsidRPr="00281602">
        <w:rPr>
          <w:rFonts w:eastAsia="Calibri"/>
          <w:sz w:val="22"/>
          <w:szCs w:val="22"/>
          <w:lang w:eastAsia="en-US"/>
        </w:rPr>
        <w:fldChar w:fldCharType="end"/>
      </w:r>
      <w:r w:rsidRPr="00281602">
        <w:rPr>
          <w:rFonts w:eastAsia="Calibri"/>
          <w:sz w:val="22"/>
          <w:szCs w:val="22"/>
          <w:lang w:eastAsia="en-US"/>
        </w:rPr>
        <w:t xml:space="preserve"> и образовател</w:t>
      </w:r>
      <w:r w:rsidRPr="00281602">
        <w:rPr>
          <w:rFonts w:eastAsia="Calibri"/>
          <w:sz w:val="22"/>
          <w:szCs w:val="22"/>
          <w:lang w:eastAsia="en-US"/>
        </w:rPr>
        <w:t>ь</w:t>
      </w:r>
      <w:r w:rsidRPr="00281602">
        <w:rPr>
          <w:rFonts w:eastAsia="Calibri"/>
          <w:sz w:val="22"/>
          <w:szCs w:val="22"/>
          <w:lang w:eastAsia="en-US"/>
        </w:rPr>
        <w:t xml:space="preserve">ной среды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обучение </w:instrText>
      </w:r>
      <w:r w:rsidRPr="00281602">
        <w:rPr>
          <w:rFonts w:eastAsia="Calibri"/>
          <w:noProof/>
          <w:sz w:val="22"/>
          <w:szCs w:val="22"/>
          <w:lang w:eastAsia="en-US"/>
        </w:rPr>
        <w:instrText>открыт</w:instrText>
      </w:r>
      <w:r w:rsidRPr="00281602">
        <w:rPr>
          <w:rFonts w:eastAsia="Calibri"/>
          <w:sz w:val="22"/>
          <w:szCs w:val="22"/>
          <w:lang w:eastAsia="en-US"/>
        </w:rPr>
        <w:fldChar w:fldCharType="end"/>
      </w:r>
      <w:r w:rsidRPr="00281602">
        <w:rPr>
          <w:rFonts w:eastAsia="Calibri"/>
          <w:sz w:val="22"/>
          <w:szCs w:val="22"/>
          <w:lang w:eastAsia="en-US"/>
        </w:rPr>
        <w:t xml:space="preserve">, и лучшее решение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дающие </w:instrText>
      </w:r>
      <w:r w:rsidRPr="00281602">
        <w:rPr>
          <w:rFonts w:eastAsia="Calibri"/>
          <w:noProof/>
          <w:sz w:val="22"/>
          <w:szCs w:val="22"/>
          <w:lang w:eastAsia="en-US"/>
        </w:rPr>
        <w:instrText>вопроса</w:instrText>
      </w:r>
      <w:r w:rsidRPr="00281602">
        <w:rPr>
          <w:rFonts w:eastAsia="Calibri"/>
          <w:noProof/>
          <w:color w:val="FFFFFF"/>
          <w:spacing w:val="-20000"/>
          <w:sz w:val="22"/>
          <w:szCs w:val="22"/>
          <w:lang w:eastAsia="en-US"/>
        </w:rPr>
        <w:instrText> подходу</w:instrText>
      </w:r>
      <w:r w:rsidRPr="00281602">
        <w:rPr>
          <w:rFonts w:eastAsia="Calibri"/>
          <w:sz w:val="22"/>
          <w:szCs w:val="22"/>
          <w:lang w:eastAsia="en-US"/>
        </w:rPr>
        <w:fldChar w:fldCharType="end"/>
      </w:r>
      <w:r w:rsidRPr="00281602">
        <w:rPr>
          <w:rFonts w:eastAsia="Calibri"/>
          <w:sz w:val="22"/>
          <w:szCs w:val="22"/>
          <w:lang w:eastAsia="en-US"/>
        </w:rPr>
        <w:t xml:space="preserve"> – создание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sz w:val="22"/>
          <w:szCs w:val="22"/>
          <w:lang w:eastAsia="en-US"/>
        </w:rPr>
        <w:instrText>открытой</w:instrText>
      </w:r>
      <w:r w:rsidRPr="00281602">
        <w:rPr>
          <w:rFonts w:eastAsia="Calibri"/>
          <w:noProof/>
          <w:color w:val="FFFFFF"/>
          <w:spacing w:val="-20000"/>
          <w:sz w:val="22"/>
          <w:szCs w:val="22"/>
          <w:lang w:eastAsia="en-US"/>
        </w:rPr>
        <w:instrText> дающие</w:instrText>
      </w:r>
      <w:r w:rsidRPr="00281602">
        <w:rPr>
          <w:rFonts w:eastAsia="Calibri"/>
          <w:sz w:val="22"/>
          <w:szCs w:val="22"/>
          <w:lang w:eastAsia="en-US"/>
        </w:rPr>
        <w:fldChar w:fldCharType="end"/>
      </w:r>
      <w:r w:rsidR="006F7F71">
        <w:rPr>
          <w:rFonts w:eastAsia="Calibri"/>
          <w:sz w:val="22"/>
          <w:szCs w:val="22"/>
          <w:lang w:eastAsia="en-US"/>
        </w:rPr>
        <w:t xml:space="preserve"> </w:t>
      </w:r>
      <w:r w:rsidRPr="00281602">
        <w:rPr>
          <w:rFonts w:eastAsia="Calibri"/>
          <w:sz w:val="22"/>
          <w:szCs w:val="22"/>
          <w:lang w:eastAsia="en-US"/>
        </w:rPr>
        <w:t>и доступной образовательной среды.</w:t>
      </w:r>
    </w:p>
    <w:p w:rsidR="00281602" w:rsidRPr="00281602" w:rsidRDefault="00281602" w:rsidP="00281602">
      <w:pPr>
        <w:ind w:firstLine="425"/>
        <w:contextualSpacing/>
        <w:jc w:val="both"/>
        <w:rPr>
          <w:rFonts w:eastAsia="Calibri"/>
          <w:sz w:val="22"/>
          <w:szCs w:val="22"/>
          <w:lang w:eastAsia="en-US"/>
        </w:rPr>
      </w:pPr>
      <w:r w:rsidRPr="00281602">
        <w:rPr>
          <w:rFonts w:eastAsia="Calibri"/>
          <w:sz w:val="22"/>
          <w:szCs w:val="22"/>
          <w:lang w:eastAsia="en-US"/>
        </w:rPr>
        <w:t>Информационная образовательная среда – это союз информ</w:t>
      </w:r>
      <w:r w:rsidRPr="00281602">
        <w:rPr>
          <w:rFonts w:eastAsia="Calibri"/>
          <w:sz w:val="22"/>
          <w:szCs w:val="22"/>
          <w:lang w:eastAsia="en-US"/>
        </w:rPr>
        <w:t>а</w:t>
      </w:r>
      <w:r w:rsidRPr="00281602">
        <w:rPr>
          <w:rFonts w:eastAsia="Calibri"/>
          <w:sz w:val="22"/>
          <w:szCs w:val="22"/>
          <w:lang w:eastAsia="en-US"/>
        </w:rPr>
        <w:t>ционных образовательных ресурсов и средств, в том числе цифр</w:t>
      </w:r>
      <w:r w:rsidRPr="00281602">
        <w:rPr>
          <w:rFonts w:eastAsia="Calibri"/>
          <w:sz w:val="22"/>
          <w:szCs w:val="22"/>
          <w:lang w:eastAsia="en-US"/>
        </w:rPr>
        <w:t>о</w:t>
      </w:r>
      <w:r w:rsidRPr="00281602">
        <w:rPr>
          <w:rFonts w:eastAsia="Calibri"/>
          <w:sz w:val="22"/>
          <w:szCs w:val="22"/>
          <w:lang w:eastAsia="en-US"/>
        </w:rPr>
        <w:t>вых, совокупность технологических баз информационных и комм</w:t>
      </w:r>
      <w:r w:rsidRPr="00281602">
        <w:rPr>
          <w:rFonts w:eastAsia="Calibri"/>
          <w:sz w:val="22"/>
          <w:szCs w:val="22"/>
          <w:lang w:eastAsia="en-US"/>
        </w:rPr>
        <w:t>у</w:t>
      </w:r>
      <w:r w:rsidRPr="00281602">
        <w:rPr>
          <w:rFonts w:eastAsia="Calibri"/>
          <w:sz w:val="22"/>
          <w:szCs w:val="22"/>
          <w:lang w:eastAsia="en-US"/>
        </w:rPr>
        <w:t>никационных технологий: компьютеры, иное ИКТ оборудование, коммуникационные каналы, система новейших педагогических те</w:t>
      </w:r>
      <w:r w:rsidRPr="00281602">
        <w:rPr>
          <w:rFonts w:eastAsia="Calibri"/>
          <w:sz w:val="22"/>
          <w:szCs w:val="22"/>
          <w:lang w:eastAsia="en-US"/>
        </w:rPr>
        <w:t>х</w:t>
      </w:r>
      <w:r w:rsidRPr="00281602">
        <w:rPr>
          <w:rFonts w:eastAsia="Calibri"/>
          <w:sz w:val="22"/>
          <w:szCs w:val="22"/>
          <w:lang w:eastAsia="en-US"/>
        </w:rPr>
        <w:t xml:space="preserve">нологий, дающие обучение в современной информационно-образовательной среде (ИОС). </w:t>
      </w:r>
    </w:p>
    <w:p w:rsidR="00281602" w:rsidRPr="00281602" w:rsidRDefault="00281602" w:rsidP="00281602">
      <w:pPr>
        <w:ind w:firstLine="425"/>
        <w:contextualSpacing/>
        <w:jc w:val="both"/>
        <w:rPr>
          <w:rFonts w:eastAsia="Calibri"/>
          <w:sz w:val="22"/>
          <w:szCs w:val="22"/>
          <w:lang w:eastAsia="en-US"/>
        </w:rPr>
      </w:pPr>
      <w:r w:rsidRPr="00281602">
        <w:rPr>
          <w:rFonts w:eastAsia="Calibri"/>
          <w:sz w:val="22"/>
          <w:szCs w:val="22"/>
          <w:lang w:eastAsia="en-US"/>
        </w:rPr>
        <w:t>Ученые исследовали сущность, структуру и особенности поя</w:t>
      </w:r>
      <w:r w:rsidRPr="00281602">
        <w:rPr>
          <w:rFonts w:eastAsia="Calibri"/>
          <w:sz w:val="22"/>
          <w:szCs w:val="22"/>
          <w:lang w:eastAsia="en-US"/>
        </w:rPr>
        <w:t>в</w:t>
      </w:r>
      <w:r w:rsidRPr="00281602">
        <w:rPr>
          <w:rFonts w:eastAsia="Calibri"/>
          <w:sz w:val="22"/>
          <w:szCs w:val="22"/>
          <w:lang w:eastAsia="en-US"/>
        </w:rPr>
        <w:t>ления информационно-образовательной среды, мультимедийной образовательной среды и др. и выявили высокую потребность о</w:t>
      </w:r>
      <w:r w:rsidRPr="00281602">
        <w:rPr>
          <w:rFonts w:eastAsia="Calibri"/>
          <w:sz w:val="22"/>
          <w:szCs w:val="22"/>
          <w:lang w:eastAsia="en-US"/>
        </w:rPr>
        <w:t>б</w:t>
      </w:r>
      <w:r w:rsidRPr="00281602">
        <w:rPr>
          <w:rFonts w:eastAsia="Calibri"/>
          <w:sz w:val="22"/>
          <w:szCs w:val="22"/>
          <w:lang w:eastAsia="en-US"/>
        </w:rPr>
        <w:t>щества вэл</w:t>
      </w:r>
      <w:r w:rsidR="006F7F71">
        <w:rPr>
          <w:rFonts w:eastAsia="Calibri"/>
          <w:sz w:val="22"/>
          <w:szCs w:val="22"/>
          <w:lang w:eastAsia="en-US"/>
        </w:rPr>
        <w:t>ектроном дистанционном</w:t>
      </w:r>
      <w:r w:rsidRPr="00281602">
        <w:rPr>
          <w:rFonts w:eastAsia="Calibri"/>
          <w:sz w:val="22"/>
          <w:szCs w:val="22"/>
          <w:lang w:eastAsia="en-US"/>
        </w:rPr>
        <w:t xml:space="preserve"> обучении. </w:t>
      </w:r>
    </w:p>
    <w:p w:rsidR="00281602" w:rsidRPr="00281602" w:rsidRDefault="00281602" w:rsidP="00281602">
      <w:pPr>
        <w:ind w:firstLine="425"/>
        <w:contextualSpacing/>
        <w:jc w:val="both"/>
        <w:rPr>
          <w:rFonts w:eastAsia="Calibri"/>
          <w:sz w:val="22"/>
          <w:szCs w:val="22"/>
          <w:lang w:eastAsia="en-US"/>
        </w:rPr>
      </w:pPr>
      <w:r w:rsidRPr="00281602">
        <w:rPr>
          <w:rFonts w:eastAsia="Calibri"/>
          <w:sz w:val="22"/>
          <w:szCs w:val="22"/>
          <w:lang w:eastAsia="en-US"/>
        </w:rPr>
        <w:t xml:space="preserve">Цели применения </w:t>
      </w:r>
      <w:r w:rsidRPr="00281602">
        <w:rPr>
          <w:iCs/>
          <w:sz w:val="22"/>
          <w:szCs w:val="22"/>
        </w:rPr>
        <w:t>электронного</w:t>
      </w:r>
      <w:r w:rsidRPr="00281602">
        <w:rPr>
          <w:rFonts w:eastAsia="Calibri"/>
          <w:sz w:val="22"/>
          <w:szCs w:val="22"/>
          <w:lang w:eastAsia="en-US"/>
        </w:rPr>
        <w:t xml:space="preserve"> дистанционного обучения:</w:t>
      </w:r>
    </w:p>
    <w:p w:rsidR="00281602" w:rsidRPr="00281602" w:rsidRDefault="00281602" w:rsidP="00281602">
      <w:pPr>
        <w:ind w:firstLine="425"/>
        <w:contextualSpacing/>
        <w:jc w:val="both"/>
        <w:rPr>
          <w:sz w:val="22"/>
          <w:szCs w:val="22"/>
        </w:rPr>
      </w:pPr>
      <w:r w:rsidRPr="00281602">
        <w:rPr>
          <w:rFonts w:eastAsia="Calibri"/>
          <w:sz w:val="22"/>
          <w:szCs w:val="22"/>
          <w:lang w:eastAsia="en-US"/>
        </w:rPr>
        <w:t xml:space="preserve">– </w:t>
      </w:r>
      <w:r w:rsidRPr="00281602">
        <w:rPr>
          <w:sz w:val="22"/>
          <w:szCs w:val="22"/>
        </w:rPr>
        <w:t xml:space="preserve">оперативность </w:t>
      </w:r>
      <w:r w:rsidRPr="00281602">
        <w:rPr>
          <w:rFonts w:eastAsia="Calibri"/>
          <w:sz w:val="22"/>
          <w:szCs w:val="22"/>
          <w:lang w:eastAsia="en-US"/>
        </w:rPr>
        <w:t xml:space="preserve">– </w:t>
      </w:r>
      <w:r w:rsidRPr="00281602">
        <w:rPr>
          <w:sz w:val="22"/>
          <w:szCs w:val="22"/>
        </w:rPr>
        <w:t xml:space="preserve">быстрый контроль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различными </w:instrText>
      </w:r>
      <w:r w:rsidRPr="00281602">
        <w:rPr>
          <w:noProof/>
          <w:sz w:val="22"/>
          <w:szCs w:val="22"/>
        </w:rPr>
        <w:instrText>учащихся</w:instrText>
      </w:r>
      <w:r w:rsidRPr="00281602">
        <w:rPr>
          <w:rFonts w:eastAsia="Calibri"/>
          <w:noProof/>
          <w:color w:val="FFFFFF"/>
          <w:spacing w:val="-20000"/>
          <w:sz w:val="22"/>
          <w:szCs w:val="22"/>
          <w:lang w:eastAsia="en-US"/>
        </w:rPr>
        <w:instrText> мотивацию</w:instrText>
      </w:r>
      <w:r w:rsidRPr="00281602">
        <w:rPr>
          <w:rFonts w:eastAsia="Calibri"/>
          <w:sz w:val="22"/>
          <w:szCs w:val="22"/>
          <w:lang w:eastAsia="en-US"/>
        </w:rPr>
        <w:fldChar w:fldCharType="end"/>
      </w:r>
      <w:r w:rsidRPr="00281602">
        <w:rPr>
          <w:sz w:val="22"/>
          <w:szCs w:val="22"/>
        </w:rPr>
        <w:t xml:space="preserve"> и мгновенная</w:t>
      </w:r>
      <w:r w:rsidRPr="00281602">
        <w:rPr>
          <w:rFonts w:eastAsia="Calibri"/>
          <w:sz w:val="22"/>
          <w:szCs w:val="22"/>
          <w:lang w:eastAsia="en-US"/>
        </w:rPr>
        <w:t xml:space="preserve"> диагностика</w:t>
      </w:r>
      <w:r w:rsidRPr="00281602">
        <w:rPr>
          <w:sz w:val="22"/>
          <w:szCs w:val="22"/>
        </w:rPr>
        <w:t xml:space="preserve">, более оперативная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доступной </w:instrText>
      </w:r>
      <w:r w:rsidRPr="00281602">
        <w:rPr>
          <w:noProof/>
          <w:sz w:val="22"/>
          <w:szCs w:val="22"/>
        </w:rPr>
        <w:instrText>проверка</w:instrText>
      </w:r>
      <w:r w:rsidRPr="00281602">
        <w:rPr>
          <w:rFonts w:eastAsia="Calibri"/>
          <w:noProof/>
          <w:color w:val="FFFFFF"/>
          <w:spacing w:val="-20000"/>
          <w:sz w:val="22"/>
          <w:szCs w:val="22"/>
          <w:lang w:eastAsia="en-US"/>
        </w:rPr>
        <w:instrText> главная</w:instrText>
      </w:r>
      <w:r w:rsidRPr="00281602">
        <w:rPr>
          <w:rFonts w:eastAsia="Calibri"/>
          <w:sz w:val="22"/>
          <w:szCs w:val="22"/>
          <w:lang w:eastAsia="en-US"/>
        </w:rPr>
        <w:fldChar w:fldCharType="end"/>
      </w:r>
      <w:r w:rsidRPr="00281602">
        <w:rPr>
          <w:sz w:val="22"/>
          <w:szCs w:val="22"/>
        </w:rPr>
        <w:t>, индивидуальная подбо</w:t>
      </w:r>
      <w:r w:rsidRPr="00281602">
        <w:rPr>
          <w:sz w:val="22"/>
          <w:szCs w:val="22"/>
        </w:rPr>
        <w:t>р</w:t>
      </w:r>
      <w:r w:rsidRPr="00281602">
        <w:rPr>
          <w:sz w:val="22"/>
          <w:szCs w:val="22"/>
        </w:rPr>
        <w:t xml:space="preserve">ка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свои </w:instrText>
      </w:r>
      <w:r w:rsidRPr="00281602">
        <w:rPr>
          <w:noProof/>
          <w:sz w:val="22"/>
          <w:szCs w:val="22"/>
        </w:rPr>
        <w:instrText>вариантов</w:instrText>
      </w:r>
      <w:r w:rsidRPr="00281602">
        <w:rPr>
          <w:rFonts w:eastAsia="Calibri"/>
          <w:sz w:val="22"/>
          <w:szCs w:val="22"/>
          <w:lang w:eastAsia="en-US"/>
        </w:rPr>
        <w:fldChar w:fldCharType="end"/>
      </w:r>
      <w:r w:rsidRPr="00281602">
        <w:rPr>
          <w:sz w:val="22"/>
          <w:szCs w:val="22"/>
        </w:rPr>
        <w:t xml:space="preserve"> заданий для каждого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информ </w:instrText>
      </w:r>
      <w:r w:rsidRPr="00281602">
        <w:rPr>
          <w:noProof/>
          <w:sz w:val="22"/>
          <w:szCs w:val="22"/>
        </w:rPr>
        <w:instrText>обучаемого</w:instrText>
      </w:r>
      <w:r w:rsidRPr="00281602">
        <w:rPr>
          <w:rFonts w:eastAsia="Calibri"/>
          <w:noProof/>
          <w:color w:val="FFFFFF"/>
          <w:spacing w:val="-20000"/>
          <w:sz w:val="22"/>
          <w:szCs w:val="22"/>
          <w:lang w:eastAsia="en-US"/>
        </w:rPr>
        <w:instrText> свои</w:instrText>
      </w:r>
      <w:r w:rsidRPr="00281602">
        <w:rPr>
          <w:rFonts w:eastAsia="Calibri"/>
          <w:sz w:val="22"/>
          <w:szCs w:val="22"/>
          <w:lang w:eastAsia="en-US"/>
        </w:rPr>
        <w:fldChar w:fldCharType="end"/>
      </w:r>
      <w:r w:rsidRPr="00281602">
        <w:rPr>
          <w:sz w:val="22"/>
          <w:szCs w:val="22"/>
        </w:rPr>
        <w:t xml:space="preserve">, обработка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noProof/>
          <w:sz w:val="22"/>
          <w:szCs w:val="22"/>
        </w:rPr>
        <w:instrText>результатов</w:instrText>
      </w:r>
      <w:r w:rsidRPr="00281602">
        <w:rPr>
          <w:rFonts w:eastAsia="Calibri"/>
          <w:noProof/>
          <w:color w:val="FFFFFF"/>
          <w:spacing w:val="-20000"/>
          <w:sz w:val="22"/>
          <w:szCs w:val="22"/>
          <w:lang w:eastAsia="en-US"/>
        </w:rPr>
        <w:instrText> знаний</w:instrText>
      </w:r>
      <w:r w:rsidRPr="00281602">
        <w:rPr>
          <w:rFonts w:eastAsia="Calibri"/>
          <w:sz w:val="22"/>
          <w:szCs w:val="22"/>
          <w:lang w:eastAsia="en-US"/>
        </w:rPr>
        <w:fldChar w:fldCharType="end"/>
      </w:r>
      <w:r w:rsidRPr="00281602">
        <w:rPr>
          <w:sz w:val="22"/>
          <w:szCs w:val="22"/>
        </w:rPr>
        <w:t xml:space="preserve"> и быстрое доведение до</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технологий </w:instrText>
      </w:r>
      <w:r w:rsidRPr="00281602">
        <w:rPr>
          <w:noProof/>
          <w:sz w:val="22"/>
          <w:szCs w:val="22"/>
        </w:rPr>
        <w:instrText>каждого</w:instrText>
      </w:r>
      <w:r w:rsidRPr="00281602">
        <w:rPr>
          <w:rFonts w:eastAsia="Calibri"/>
          <w:noProof/>
          <w:color w:val="FFFFFF"/>
          <w:spacing w:val="-20000"/>
          <w:sz w:val="22"/>
          <w:szCs w:val="22"/>
          <w:lang w:eastAsia="en-US"/>
        </w:rPr>
        <w:instrText> компьютере</w:instrText>
      </w:r>
      <w:r w:rsidRPr="00281602">
        <w:rPr>
          <w:rFonts w:eastAsia="Calibri"/>
          <w:sz w:val="22"/>
          <w:szCs w:val="22"/>
          <w:lang w:eastAsia="en-US"/>
        </w:rPr>
        <w:fldChar w:fldCharType="end"/>
      </w:r>
      <w:r w:rsidRPr="00281602">
        <w:rPr>
          <w:sz w:val="22"/>
          <w:szCs w:val="22"/>
        </w:rPr>
        <w:t xml:space="preserve"> обучающегося;</w:t>
      </w:r>
    </w:p>
    <w:p w:rsidR="00281602" w:rsidRPr="00281602" w:rsidRDefault="00281602" w:rsidP="00281602">
      <w:pPr>
        <w:ind w:firstLine="425"/>
        <w:contextualSpacing/>
        <w:jc w:val="both"/>
        <w:rPr>
          <w:sz w:val="22"/>
          <w:szCs w:val="22"/>
        </w:rPr>
      </w:pPr>
      <w:r w:rsidRPr="00281602">
        <w:rPr>
          <w:rFonts w:eastAsia="Calibri"/>
          <w:sz w:val="22"/>
          <w:szCs w:val="22"/>
          <w:lang w:eastAsia="en-US"/>
        </w:rPr>
        <w:t xml:space="preserve">– </w:t>
      </w:r>
      <w:r w:rsidRPr="00281602">
        <w:rPr>
          <w:sz w:val="22"/>
          <w:szCs w:val="22"/>
        </w:rPr>
        <w:t xml:space="preserve">отсутствие ограничений по степени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основных </w:instrText>
      </w:r>
      <w:r w:rsidRPr="00281602">
        <w:rPr>
          <w:noProof/>
          <w:sz w:val="22"/>
          <w:szCs w:val="22"/>
        </w:rPr>
        <w:instrText>числа</w:instrText>
      </w:r>
      <w:r w:rsidRPr="00281602">
        <w:rPr>
          <w:rFonts w:eastAsia="Calibri"/>
          <w:sz w:val="22"/>
          <w:szCs w:val="22"/>
          <w:lang w:eastAsia="en-US"/>
        </w:rPr>
        <w:fldChar w:fldCharType="end"/>
      </w:r>
      <w:r w:rsidRPr="00281602">
        <w:rPr>
          <w:sz w:val="22"/>
          <w:szCs w:val="22"/>
        </w:rPr>
        <w:t xml:space="preserve"> учащихся в уче</w:t>
      </w:r>
      <w:r w:rsidRPr="00281602">
        <w:rPr>
          <w:sz w:val="22"/>
          <w:szCs w:val="22"/>
        </w:rPr>
        <w:t>б</w:t>
      </w:r>
      <w:r w:rsidRPr="00281602">
        <w:rPr>
          <w:sz w:val="22"/>
          <w:szCs w:val="22"/>
        </w:rPr>
        <w:t xml:space="preserve">ном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способст </w:instrText>
      </w:r>
      <w:r w:rsidRPr="00281602">
        <w:rPr>
          <w:noProof/>
          <w:sz w:val="22"/>
          <w:szCs w:val="22"/>
        </w:rPr>
        <w:instrText>деле</w:instrText>
      </w:r>
      <w:r w:rsidRPr="00281602">
        <w:rPr>
          <w:rFonts w:eastAsia="Calibri"/>
          <w:noProof/>
          <w:color w:val="FFFFFF"/>
          <w:spacing w:val="-20000"/>
          <w:sz w:val="22"/>
          <w:szCs w:val="22"/>
          <w:lang w:eastAsia="en-US"/>
        </w:rPr>
        <w:instrText> быстрый</w:instrText>
      </w:r>
      <w:r w:rsidRPr="00281602">
        <w:rPr>
          <w:rFonts w:eastAsia="Calibri"/>
          <w:sz w:val="22"/>
          <w:szCs w:val="22"/>
          <w:lang w:eastAsia="en-US"/>
        </w:rPr>
        <w:fldChar w:fldCharType="end"/>
      </w:r>
      <w:r w:rsidRPr="00281602">
        <w:rPr>
          <w:rFonts w:eastAsia="Calibri"/>
          <w:sz w:val="22"/>
          <w:szCs w:val="22"/>
          <w:lang w:eastAsia="en-US"/>
        </w:rPr>
        <w:t xml:space="preserve">– </w:t>
      </w:r>
      <w:r w:rsidRPr="00281602">
        <w:rPr>
          <w:sz w:val="22"/>
          <w:szCs w:val="22"/>
        </w:rPr>
        <w:t>возможность не</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noProof/>
          <w:sz w:val="22"/>
          <w:szCs w:val="22"/>
        </w:rPr>
        <w:instrText>ограниченного</w:instrText>
      </w:r>
      <w:r w:rsidRPr="00281602">
        <w:rPr>
          <w:rFonts w:eastAsia="Calibri"/>
          <w:noProof/>
          <w:color w:val="FFFFFF"/>
          <w:spacing w:val="-20000"/>
          <w:sz w:val="22"/>
          <w:szCs w:val="22"/>
          <w:lang w:eastAsia="en-US"/>
        </w:rPr>
        <w:instrText> убрать</w:instrText>
      </w:r>
      <w:r w:rsidRPr="00281602">
        <w:rPr>
          <w:rFonts w:eastAsia="Calibri"/>
          <w:sz w:val="22"/>
          <w:szCs w:val="22"/>
          <w:lang w:eastAsia="en-US"/>
        </w:rPr>
        <w:fldChar w:fldCharType="end"/>
      </w:r>
      <w:r w:rsidRPr="00281602">
        <w:rPr>
          <w:sz w:val="22"/>
          <w:szCs w:val="22"/>
        </w:rPr>
        <w:t xml:space="preserve"> числа обучающихся на </w:t>
      </w:r>
      <w:r w:rsidRPr="00281602">
        <w:rPr>
          <w:rFonts w:eastAsia="Calibri"/>
          <w:sz w:val="22"/>
          <w:szCs w:val="22"/>
          <w:highlight w:val="white"/>
          <w:lang w:eastAsia="en-US"/>
        </w:rPr>
        <w:lastRenderedPageBreak/>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большого </w:instrText>
      </w:r>
      <w:r w:rsidRPr="00281602">
        <w:rPr>
          <w:noProof/>
          <w:sz w:val="22"/>
          <w:szCs w:val="22"/>
        </w:rPr>
        <w:instrText>этапе</w:instrText>
      </w:r>
      <w:r w:rsidRPr="00281602">
        <w:rPr>
          <w:rFonts w:eastAsia="Calibri"/>
          <w:noProof/>
          <w:color w:val="FFFFFF"/>
          <w:spacing w:val="-20000"/>
          <w:sz w:val="22"/>
          <w:szCs w:val="22"/>
          <w:lang w:eastAsia="en-US"/>
        </w:rPr>
        <w:instrText> подготовка</w:instrText>
      </w:r>
      <w:r w:rsidRPr="00281602">
        <w:rPr>
          <w:rFonts w:eastAsia="Calibri"/>
          <w:sz w:val="22"/>
          <w:szCs w:val="22"/>
          <w:lang w:eastAsia="en-US"/>
        </w:rPr>
        <w:fldChar w:fldCharType="end"/>
      </w:r>
      <w:r w:rsidRPr="00281602">
        <w:rPr>
          <w:sz w:val="22"/>
          <w:szCs w:val="22"/>
        </w:rPr>
        <w:t xml:space="preserve"> становления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времена </w:instrText>
      </w:r>
      <w:r w:rsidRPr="00281602">
        <w:rPr>
          <w:noProof/>
          <w:sz w:val="22"/>
          <w:szCs w:val="22"/>
        </w:rPr>
        <w:instrText>основных</w:instrText>
      </w:r>
      <w:r w:rsidRPr="00281602">
        <w:rPr>
          <w:rFonts w:eastAsia="Calibri"/>
          <w:sz w:val="22"/>
          <w:szCs w:val="22"/>
          <w:lang w:eastAsia="en-US"/>
        </w:rPr>
        <w:fldChar w:fldCharType="end"/>
      </w:r>
      <w:r w:rsidRPr="00281602">
        <w:rPr>
          <w:sz w:val="22"/>
          <w:szCs w:val="22"/>
        </w:rPr>
        <w:t xml:space="preserve"> знаний и способов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время </w:instrText>
      </w:r>
      <w:r w:rsidRPr="00281602">
        <w:rPr>
          <w:noProof/>
          <w:sz w:val="22"/>
          <w:szCs w:val="22"/>
        </w:rPr>
        <w:instrText>продвижения</w:instrText>
      </w:r>
      <w:r w:rsidRPr="00281602">
        <w:rPr>
          <w:rFonts w:eastAsia="Calibri"/>
          <w:noProof/>
          <w:color w:val="FFFFFF"/>
          <w:spacing w:val="-20000"/>
          <w:sz w:val="22"/>
          <w:szCs w:val="22"/>
          <w:lang w:eastAsia="en-US"/>
        </w:rPr>
        <w:instrText> обработка</w:instrText>
      </w:r>
      <w:r w:rsidRPr="00281602">
        <w:rPr>
          <w:rFonts w:eastAsia="Calibri"/>
          <w:sz w:val="22"/>
          <w:szCs w:val="22"/>
          <w:lang w:eastAsia="en-US"/>
        </w:rPr>
        <w:fldChar w:fldCharType="end"/>
      </w:r>
      <w:r w:rsidRPr="00281602">
        <w:rPr>
          <w:sz w:val="22"/>
          <w:szCs w:val="22"/>
        </w:rPr>
        <w:t xml:space="preserve"> на этапе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noProof/>
          <w:sz w:val="22"/>
          <w:szCs w:val="22"/>
        </w:rPr>
        <w:instrText>обучения</w:instrText>
      </w:r>
      <w:r w:rsidRPr="00281602">
        <w:rPr>
          <w:rFonts w:eastAsia="Calibri"/>
          <w:noProof/>
          <w:color w:val="FFFFFF"/>
          <w:spacing w:val="-20000"/>
          <w:sz w:val="22"/>
          <w:szCs w:val="22"/>
          <w:lang w:eastAsia="en-US"/>
        </w:rPr>
        <w:instrText> познавательной</w:instrText>
      </w:r>
      <w:r w:rsidRPr="00281602">
        <w:rPr>
          <w:rFonts w:eastAsia="Calibri"/>
          <w:sz w:val="22"/>
          <w:szCs w:val="22"/>
          <w:lang w:eastAsia="en-US"/>
        </w:rPr>
        <w:fldChar w:fldCharType="end"/>
      </w:r>
      <w:r w:rsidRPr="00281602">
        <w:rPr>
          <w:sz w:val="22"/>
          <w:szCs w:val="22"/>
        </w:rPr>
        <w:t xml:space="preserve">, на этапе отработки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информационное </w:instrText>
      </w:r>
      <w:r w:rsidRPr="00281602">
        <w:rPr>
          <w:noProof/>
          <w:sz w:val="22"/>
          <w:szCs w:val="22"/>
        </w:rPr>
        <w:instrText>репродуктивных</w:instrText>
      </w:r>
      <w:r w:rsidRPr="00281602">
        <w:rPr>
          <w:rFonts w:eastAsia="Calibri"/>
          <w:noProof/>
          <w:color w:val="FFFFFF"/>
          <w:spacing w:val="-20000"/>
          <w:sz w:val="22"/>
          <w:szCs w:val="22"/>
          <w:lang w:eastAsia="en-US"/>
        </w:rPr>
        <w:instrText> обучение</w:instrText>
      </w:r>
      <w:r w:rsidRPr="00281602">
        <w:rPr>
          <w:rFonts w:eastAsia="Calibri"/>
          <w:sz w:val="22"/>
          <w:szCs w:val="22"/>
          <w:lang w:eastAsia="en-US"/>
        </w:rPr>
        <w:fldChar w:fldCharType="end"/>
      </w:r>
      <w:r w:rsidRPr="00281602">
        <w:rPr>
          <w:sz w:val="22"/>
          <w:szCs w:val="22"/>
        </w:rPr>
        <w:t xml:space="preserve"> умений, нав</w:t>
      </w:r>
      <w:r w:rsidRPr="00281602">
        <w:rPr>
          <w:sz w:val="22"/>
          <w:szCs w:val="22"/>
        </w:rPr>
        <w:t>ы</w:t>
      </w:r>
      <w:r w:rsidRPr="00281602">
        <w:rPr>
          <w:sz w:val="22"/>
          <w:szCs w:val="22"/>
        </w:rPr>
        <w:t>ков и знаний;</w:t>
      </w:r>
    </w:p>
    <w:p w:rsidR="00281602" w:rsidRPr="00281602" w:rsidRDefault="006F7F71" w:rsidP="00281602">
      <w:pPr>
        <w:ind w:firstLine="425"/>
        <w:contextualSpacing/>
        <w:jc w:val="both"/>
        <w:rPr>
          <w:sz w:val="22"/>
          <w:szCs w:val="22"/>
        </w:rPr>
      </w:pPr>
      <w:r>
        <w:rPr>
          <w:rFonts w:eastAsia="Calibri"/>
          <w:sz w:val="22"/>
          <w:szCs w:val="22"/>
          <w:lang w:eastAsia="en-US"/>
        </w:rPr>
        <w:t>–</w:t>
      </w:r>
      <w:r w:rsidR="00281602" w:rsidRPr="00281602">
        <w:rPr>
          <w:sz w:val="22"/>
          <w:szCs w:val="22"/>
        </w:rPr>
        <w:t xml:space="preserve"> индивидуальный подход к обучемым</w:t>
      </w:r>
      <w:r w:rsidR="00281602" w:rsidRPr="00281602">
        <w:rPr>
          <w:rFonts w:eastAsia="Calibri"/>
          <w:sz w:val="22"/>
          <w:szCs w:val="22"/>
          <w:lang w:eastAsia="en-US"/>
        </w:rPr>
        <w:t xml:space="preserve">– </w:t>
      </w:r>
      <w:r w:rsidR="00281602" w:rsidRPr="00281602">
        <w:rPr>
          <w:sz w:val="22"/>
          <w:szCs w:val="22"/>
        </w:rPr>
        <w:t xml:space="preserve">каждый </w:t>
      </w:r>
      <w:r w:rsidR="00281602" w:rsidRPr="00281602">
        <w:rPr>
          <w:rFonts w:eastAsia="Calibri"/>
          <w:sz w:val="22"/>
          <w:szCs w:val="22"/>
          <w:highlight w:val="white"/>
          <w:lang w:eastAsia="en-US"/>
        </w:rPr>
        <w:fldChar w:fldCharType="begin"/>
      </w:r>
      <w:r w:rsidR="00281602" w:rsidRPr="00281602">
        <w:rPr>
          <w:rFonts w:eastAsia="Calibri"/>
          <w:sz w:val="22"/>
          <w:szCs w:val="22"/>
          <w:lang w:eastAsia="en-US"/>
        </w:rPr>
        <w:instrText xml:space="preserve">eq </w:instrText>
      </w:r>
      <w:r w:rsidR="00281602" w:rsidRPr="00281602">
        <w:rPr>
          <w:noProof/>
          <w:sz w:val="22"/>
          <w:szCs w:val="22"/>
        </w:rPr>
        <w:instrText>работает</w:instrText>
      </w:r>
      <w:r w:rsidR="00281602" w:rsidRPr="00281602">
        <w:rPr>
          <w:rFonts w:eastAsia="Calibri"/>
          <w:noProof/>
          <w:color w:val="FFFFFF"/>
          <w:spacing w:val="-20000"/>
          <w:sz w:val="22"/>
          <w:szCs w:val="22"/>
          <w:lang w:eastAsia="en-US"/>
        </w:rPr>
        <w:instrText> информационных</w:instrText>
      </w:r>
      <w:r w:rsidR="00281602" w:rsidRPr="00281602">
        <w:rPr>
          <w:rFonts w:eastAsia="Calibri"/>
          <w:sz w:val="22"/>
          <w:szCs w:val="22"/>
          <w:lang w:eastAsia="en-US"/>
        </w:rPr>
        <w:fldChar w:fldCharType="end"/>
      </w:r>
      <w:r w:rsidR="00281602" w:rsidRPr="00281602">
        <w:rPr>
          <w:sz w:val="22"/>
          <w:szCs w:val="22"/>
        </w:rPr>
        <w:t xml:space="preserve"> с и</w:t>
      </w:r>
      <w:r w:rsidR="00281602" w:rsidRPr="00281602">
        <w:rPr>
          <w:sz w:val="22"/>
          <w:szCs w:val="22"/>
        </w:rPr>
        <w:t>н</w:t>
      </w:r>
      <w:r w:rsidR="00281602" w:rsidRPr="00281602">
        <w:rPr>
          <w:sz w:val="22"/>
          <w:szCs w:val="22"/>
        </w:rPr>
        <w:t xml:space="preserve">дивидуальным компьютером в </w:t>
      </w:r>
      <w:r w:rsidR="00281602" w:rsidRPr="00281602">
        <w:rPr>
          <w:rFonts w:eastAsia="Calibri"/>
          <w:sz w:val="22"/>
          <w:szCs w:val="22"/>
          <w:highlight w:val="white"/>
          <w:lang w:eastAsia="en-US"/>
        </w:rPr>
        <w:fldChar w:fldCharType="begin"/>
      </w:r>
      <w:r w:rsidR="00281602" w:rsidRPr="00281602">
        <w:rPr>
          <w:rFonts w:eastAsia="Calibri"/>
          <w:sz w:val="22"/>
          <w:szCs w:val="22"/>
          <w:lang w:eastAsia="en-US"/>
        </w:rPr>
        <w:instrText xml:space="preserve">eq </w:instrText>
      </w:r>
      <w:r w:rsidR="00281602" w:rsidRPr="00281602">
        <w:rPr>
          <w:rFonts w:eastAsia="Calibri"/>
          <w:noProof/>
          <w:color w:val="FFFFFF"/>
          <w:spacing w:val="-20000"/>
          <w:sz w:val="22"/>
          <w:szCs w:val="22"/>
          <w:lang w:eastAsia="en-US"/>
        </w:rPr>
        <w:instrText xml:space="preserve"> разделение </w:instrText>
      </w:r>
      <w:r w:rsidR="00281602" w:rsidRPr="00281602">
        <w:rPr>
          <w:noProof/>
          <w:sz w:val="22"/>
          <w:szCs w:val="22"/>
        </w:rPr>
        <w:instrText>личном</w:instrText>
      </w:r>
      <w:r w:rsidR="00281602" w:rsidRPr="00281602">
        <w:rPr>
          <w:rFonts w:eastAsia="Calibri"/>
          <w:noProof/>
          <w:color w:val="FFFFFF"/>
          <w:spacing w:val="-20000"/>
          <w:sz w:val="22"/>
          <w:szCs w:val="22"/>
          <w:lang w:eastAsia="en-US"/>
        </w:rPr>
        <w:instrText> университеты</w:instrText>
      </w:r>
      <w:r w:rsidR="00281602" w:rsidRPr="00281602">
        <w:rPr>
          <w:rFonts w:eastAsia="Calibri"/>
          <w:sz w:val="22"/>
          <w:szCs w:val="22"/>
          <w:lang w:eastAsia="en-US"/>
        </w:rPr>
        <w:fldChar w:fldCharType="end"/>
      </w:r>
      <w:r>
        <w:rPr>
          <w:sz w:val="22"/>
          <w:szCs w:val="22"/>
        </w:rPr>
        <w:t xml:space="preserve"> темпе и </w:t>
      </w:r>
      <w:r w:rsidR="00281602" w:rsidRPr="00281602">
        <w:rPr>
          <w:sz w:val="22"/>
          <w:szCs w:val="22"/>
        </w:rPr>
        <w:t>с различными во</w:t>
      </w:r>
      <w:r w:rsidR="00281602" w:rsidRPr="00281602">
        <w:rPr>
          <w:sz w:val="22"/>
          <w:szCs w:val="22"/>
        </w:rPr>
        <w:t>з</w:t>
      </w:r>
      <w:r w:rsidR="00281602" w:rsidRPr="00281602">
        <w:rPr>
          <w:sz w:val="22"/>
          <w:szCs w:val="22"/>
        </w:rPr>
        <w:t xml:space="preserve">можностями; </w:t>
      </w:r>
    </w:p>
    <w:p w:rsidR="00281602" w:rsidRPr="00281602" w:rsidRDefault="006F7F71" w:rsidP="00281602">
      <w:pPr>
        <w:ind w:firstLine="425"/>
        <w:contextualSpacing/>
        <w:jc w:val="both"/>
        <w:rPr>
          <w:rFonts w:eastAsia="Calibri"/>
          <w:sz w:val="22"/>
          <w:szCs w:val="22"/>
          <w:lang w:eastAsia="en-US"/>
        </w:rPr>
      </w:pPr>
      <w:r>
        <w:rPr>
          <w:rFonts w:eastAsia="Calibri"/>
          <w:sz w:val="22"/>
          <w:szCs w:val="22"/>
          <w:lang w:eastAsia="en-US"/>
        </w:rPr>
        <w:t>–</w:t>
      </w:r>
      <w:r w:rsidR="00281602" w:rsidRPr="00281602">
        <w:rPr>
          <w:rFonts w:eastAsia="Calibri"/>
          <w:sz w:val="22"/>
          <w:szCs w:val="22"/>
          <w:lang w:eastAsia="en-US"/>
        </w:rPr>
        <w:t xml:space="preserve"> «механизаци</w:t>
      </w:r>
      <w:r>
        <w:rPr>
          <w:rFonts w:eastAsia="Calibri"/>
          <w:sz w:val="22"/>
          <w:szCs w:val="22"/>
          <w:lang w:eastAsia="en-US"/>
        </w:rPr>
        <w:t xml:space="preserve">я»  педагогических операций – </w:t>
      </w:r>
      <w:r w:rsidR="00281602" w:rsidRPr="00281602">
        <w:rPr>
          <w:rFonts w:eastAsia="Calibri"/>
          <w:sz w:val="22"/>
          <w:szCs w:val="22"/>
          <w:lang w:eastAsia="en-US"/>
        </w:rPr>
        <w:t>разделение работ учащегося при подготовке практических и лабораторных работ, р</w:t>
      </w:r>
      <w:r w:rsidR="00281602" w:rsidRPr="00281602">
        <w:rPr>
          <w:rFonts w:eastAsia="Calibri"/>
          <w:sz w:val="22"/>
          <w:szCs w:val="22"/>
          <w:lang w:eastAsia="en-US"/>
        </w:rPr>
        <w:t>а</w:t>
      </w:r>
      <w:r w:rsidR="00281602" w:rsidRPr="00281602">
        <w:rPr>
          <w:rFonts w:eastAsia="Calibri"/>
          <w:sz w:val="22"/>
          <w:szCs w:val="22"/>
          <w:lang w:eastAsia="en-US"/>
        </w:rPr>
        <w:t>бота компьютера в режиме тренажера, репетитора.</w:t>
      </w:r>
    </w:p>
    <w:p w:rsidR="00281602" w:rsidRPr="00281602" w:rsidRDefault="00281602" w:rsidP="00281602">
      <w:pPr>
        <w:shd w:val="clear" w:color="auto" w:fill="FFFFFF"/>
        <w:ind w:firstLine="425"/>
        <w:contextualSpacing/>
        <w:jc w:val="both"/>
        <w:rPr>
          <w:sz w:val="22"/>
          <w:szCs w:val="22"/>
        </w:rPr>
      </w:pPr>
      <w:r w:rsidRPr="00281602">
        <w:rPr>
          <w:sz w:val="22"/>
          <w:szCs w:val="22"/>
        </w:rPr>
        <w:t xml:space="preserve">Электронные средства обучения – это главная база и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еделение </w:instrText>
      </w:r>
      <w:r w:rsidRPr="00281602">
        <w:rPr>
          <w:noProof/>
          <w:sz w:val="22"/>
          <w:szCs w:val="22"/>
        </w:rPr>
        <w:instrText>важнейшие</w:instrText>
      </w:r>
      <w:r w:rsidRPr="00281602">
        <w:rPr>
          <w:rFonts w:eastAsia="Calibri"/>
          <w:noProof/>
          <w:color w:val="FFFFFF"/>
          <w:spacing w:val="-20000"/>
          <w:sz w:val="22"/>
          <w:szCs w:val="22"/>
          <w:lang w:eastAsia="en-US"/>
        </w:rPr>
        <w:instrText> более</w:instrText>
      </w:r>
      <w:r w:rsidRPr="00281602">
        <w:rPr>
          <w:rFonts w:eastAsia="Calibri"/>
          <w:sz w:val="22"/>
          <w:szCs w:val="22"/>
          <w:lang w:eastAsia="en-US"/>
        </w:rPr>
        <w:fldChar w:fldCharType="end"/>
      </w:r>
      <w:r w:rsidRPr="00281602">
        <w:rPr>
          <w:sz w:val="22"/>
          <w:szCs w:val="22"/>
        </w:rPr>
        <w:t xml:space="preserve"> инструменты в дистанционном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обучения </w:instrText>
      </w:r>
      <w:r w:rsidRPr="00281602">
        <w:rPr>
          <w:noProof/>
          <w:sz w:val="22"/>
          <w:szCs w:val="22"/>
        </w:rPr>
        <w:instrText>образовании</w:instrText>
      </w:r>
      <w:r w:rsidRPr="00281602">
        <w:rPr>
          <w:rFonts w:eastAsia="Calibri"/>
          <w:sz w:val="22"/>
          <w:szCs w:val="22"/>
          <w:lang w:eastAsia="en-US"/>
        </w:rPr>
        <w:fldChar w:fldCharType="end"/>
      </w:r>
      <w:r w:rsidRPr="00281602">
        <w:rPr>
          <w:sz w:val="22"/>
          <w:szCs w:val="22"/>
        </w:rPr>
        <w:t>, они пыт</w:t>
      </w:r>
      <w:r w:rsidRPr="00281602">
        <w:rPr>
          <w:sz w:val="22"/>
          <w:szCs w:val="22"/>
        </w:rPr>
        <w:t>а</w:t>
      </w:r>
      <w:r w:rsidRPr="00281602">
        <w:rPr>
          <w:sz w:val="22"/>
          <w:szCs w:val="22"/>
        </w:rPr>
        <w:t>ются изменить и снять негативное  отношение к учебе – пасси</w:t>
      </w:r>
      <w:r w:rsidRPr="00281602">
        <w:rPr>
          <w:sz w:val="22"/>
          <w:szCs w:val="22"/>
        </w:rPr>
        <w:t>в</w:t>
      </w:r>
      <w:r w:rsidRPr="00281602">
        <w:rPr>
          <w:sz w:val="22"/>
          <w:szCs w:val="22"/>
        </w:rPr>
        <w:t>ность, безразличие обучаемых, связанную с  недопониманием пройденного материала,а также решить проблему невозможности ученика продвигаться дальше из-за  пропуска небольшого этапа  обучения. Образовательная электронная база способна влиять на мотивацию ученика, давая ему возможность попробовать свои  с</w:t>
      </w:r>
      <w:r w:rsidRPr="00281602">
        <w:rPr>
          <w:sz w:val="22"/>
          <w:szCs w:val="22"/>
        </w:rPr>
        <w:t>и</w:t>
      </w:r>
      <w:r w:rsidRPr="00281602">
        <w:rPr>
          <w:sz w:val="22"/>
          <w:szCs w:val="22"/>
        </w:rPr>
        <w:t xml:space="preserve">лы, предлагая ему </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площадку </w:instrText>
      </w:r>
      <w:r w:rsidRPr="00281602">
        <w:rPr>
          <w:noProof/>
          <w:sz w:val="22"/>
          <w:szCs w:val="22"/>
        </w:rPr>
        <w:instrText>интер</w:instrText>
      </w:r>
      <w:r w:rsidRPr="00281602">
        <w:rPr>
          <w:rFonts w:eastAsia="Calibri"/>
          <w:noProof/>
          <w:color w:val="FFFFFF"/>
          <w:spacing w:val="-20000"/>
          <w:sz w:val="22"/>
          <w:szCs w:val="22"/>
          <w:lang w:eastAsia="en-US"/>
        </w:rPr>
        <w:instrText> обществе</w:instrText>
      </w:r>
      <w:r w:rsidRPr="00281602">
        <w:rPr>
          <w:rFonts w:eastAsia="Calibri"/>
          <w:sz w:val="22"/>
          <w:szCs w:val="22"/>
          <w:lang w:eastAsia="en-US"/>
        </w:rPr>
        <w:fldChar w:fldCharType="end"/>
      </w:r>
      <w:r w:rsidRPr="00281602">
        <w:rPr>
          <w:sz w:val="22"/>
          <w:szCs w:val="22"/>
        </w:rPr>
        <w:t xml:space="preserve">есную, завлекательную задачу, </w:t>
      </w:r>
      <w:r w:rsidRPr="00281602">
        <w:rPr>
          <w:rFonts w:eastAsia="Calibri"/>
          <w:noProof/>
          <w:position w:val="-10"/>
          <w:sz w:val="22"/>
          <w:szCs w:val="22"/>
        </w:rPr>
        <w:drawing>
          <wp:inline distT="0" distB="0" distL="0" distR="0" wp14:anchorId="100F15D7" wp14:editId="2DC58D42">
            <wp:extent cx="113665" cy="2203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3665" cy="220345"/>
                    </a:xfrm>
                    <a:prstGeom prst="rect">
                      <a:avLst/>
                    </a:prstGeom>
                    <a:noFill/>
                    <a:ln>
                      <a:noFill/>
                    </a:ln>
                  </pic:spPr>
                </pic:pic>
              </a:graphicData>
            </a:graphic>
          </wp:inline>
        </w:drawing>
      </w:r>
      <w:r w:rsidRPr="00281602">
        <w:rPr>
          <w:sz w:val="22"/>
          <w:szCs w:val="22"/>
        </w:rPr>
        <w:t xml:space="preserve"> задавая свой собственный  темп на изучение  материала. Это способст</w:t>
      </w:r>
      <w:r w:rsidRPr="00281602">
        <w:rPr>
          <w:rFonts w:eastAsia="Calibri"/>
          <w:sz w:val="22"/>
          <w:szCs w:val="22"/>
          <w:highlight w:val="white"/>
          <w:lang w:eastAsia="en-US"/>
        </w:rPr>
        <w:fldChar w:fldCharType="begin"/>
      </w:r>
      <w:r w:rsidRPr="00281602">
        <w:rPr>
          <w:rFonts w:eastAsia="Calibri"/>
          <w:sz w:val="22"/>
          <w:szCs w:val="22"/>
          <w:lang w:eastAsia="en-US"/>
        </w:rPr>
        <w:instrText xml:space="preserve">eq </w:instrText>
      </w:r>
      <w:r w:rsidRPr="00281602">
        <w:rPr>
          <w:rFonts w:eastAsia="Calibri"/>
          <w:noProof/>
          <w:color w:val="FFFFFF"/>
          <w:spacing w:val="-20000"/>
          <w:sz w:val="22"/>
          <w:szCs w:val="22"/>
          <w:lang w:eastAsia="en-US"/>
        </w:rPr>
        <w:instrText xml:space="preserve"> способно </w:instrText>
      </w:r>
      <w:r w:rsidRPr="00281602">
        <w:rPr>
          <w:noProof/>
          <w:sz w:val="22"/>
          <w:szCs w:val="22"/>
        </w:rPr>
        <w:instrText>вует</w:instrText>
      </w:r>
      <w:r w:rsidRPr="00281602">
        <w:rPr>
          <w:rFonts w:eastAsia="Calibri"/>
          <w:noProof/>
          <w:color w:val="FFFFFF"/>
          <w:spacing w:val="-20000"/>
          <w:sz w:val="22"/>
          <w:szCs w:val="22"/>
          <w:lang w:eastAsia="en-US"/>
        </w:rPr>
        <w:instrText> быстрый</w:instrText>
      </w:r>
      <w:r w:rsidRPr="00281602">
        <w:rPr>
          <w:rFonts w:eastAsia="Calibri"/>
          <w:sz w:val="22"/>
          <w:szCs w:val="22"/>
          <w:lang w:eastAsia="en-US"/>
        </w:rPr>
        <w:fldChar w:fldCharType="end"/>
      </w:r>
      <w:r w:rsidRPr="00281602">
        <w:rPr>
          <w:sz w:val="22"/>
          <w:szCs w:val="22"/>
        </w:rPr>
        <w:t xml:space="preserve"> формированию появления интереса к учебе и хорошего отношения к ней, развитию активности  в процессе образования у обучаемого.</w:t>
      </w:r>
    </w:p>
    <w:p w:rsidR="00281602" w:rsidRPr="00281602" w:rsidRDefault="00281602" w:rsidP="00281602">
      <w:pPr>
        <w:shd w:val="clear" w:color="auto" w:fill="FFFFFF"/>
        <w:ind w:firstLine="425"/>
        <w:contextualSpacing/>
        <w:jc w:val="both"/>
        <w:rPr>
          <w:sz w:val="22"/>
          <w:szCs w:val="22"/>
        </w:rPr>
      </w:pPr>
      <w:r w:rsidRPr="00281602">
        <w:rPr>
          <w:sz w:val="22"/>
          <w:szCs w:val="22"/>
        </w:rPr>
        <w:t>Важное значение в этом процессе имеют электронные средства обучения, которые нужны для эффективной реализации фактора активизации  познавательной и активной деятельности ученика. Это дает возможность ученику выбирать на компьютере или электроном устройстве  свой личный темп освоения  материала, решения  ра</w:t>
      </w:r>
      <w:r w:rsidRPr="00281602">
        <w:rPr>
          <w:sz w:val="22"/>
          <w:szCs w:val="22"/>
        </w:rPr>
        <w:t>з</w:t>
      </w:r>
      <w:r w:rsidRPr="00281602">
        <w:rPr>
          <w:sz w:val="22"/>
          <w:szCs w:val="22"/>
        </w:rPr>
        <w:t>личных задач, прохождения этапов образования.</w:t>
      </w:r>
    </w:p>
    <w:p w:rsidR="00281602" w:rsidRPr="00281602" w:rsidRDefault="00281602" w:rsidP="00281602">
      <w:pPr>
        <w:shd w:val="clear" w:color="auto" w:fill="FFFFFF"/>
        <w:ind w:firstLine="425"/>
        <w:contextualSpacing/>
        <w:jc w:val="both"/>
        <w:rPr>
          <w:sz w:val="22"/>
          <w:szCs w:val="22"/>
        </w:rPr>
      </w:pPr>
      <w:r w:rsidRPr="00281602">
        <w:rPr>
          <w:sz w:val="22"/>
          <w:szCs w:val="22"/>
        </w:rPr>
        <w:t>Индивидуализация обучения м</w:t>
      </w:r>
      <w:r w:rsidR="006F7F71">
        <w:rPr>
          <w:sz w:val="22"/>
          <w:szCs w:val="22"/>
        </w:rPr>
        <w:t xml:space="preserve">ожет реализовываться и за счет </w:t>
      </w:r>
      <w:r w:rsidRPr="00281602">
        <w:rPr>
          <w:sz w:val="22"/>
          <w:szCs w:val="22"/>
        </w:rPr>
        <w:t>дифференциации со</w:t>
      </w:r>
      <w:r w:rsidR="006F7F71">
        <w:rPr>
          <w:sz w:val="22"/>
          <w:szCs w:val="22"/>
        </w:rPr>
        <w:t>держания предъявляемого личного</w:t>
      </w:r>
      <w:r w:rsidRPr="00281602">
        <w:rPr>
          <w:sz w:val="22"/>
          <w:szCs w:val="22"/>
        </w:rPr>
        <w:t xml:space="preserve"> учебного материала, заданий и задач. Это становится возможным с выявл</w:t>
      </w:r>
      <w:r w:rsidRPr="00281602">
        <w:rPr>
          <w:sz w:val="22"/>
          <w:szCs w:val="22"/>
        </w:rPr>
        <w:t>е</w:t>
      </w:r>
      <w:r w:rsidRPr="00281602">
        <w:rPr>
          <w:sz w:val="22"/>
          <w:szCs w:val="22"/>
        </w:rPr>
        <w:t>нием исходного, изначального  уровня знаний обучаемых – выявл</w:t>
      </w:r>
      <w:r w:rsidRPr="00281602">
        <w:rPr>
          <w:sz w:val="22"/>
          <w:szCs w:val="22"/>
        </w:rPr>
        <w:t>е</w:t>
      </w:r>
      <w:r w:rsidRPr="00281602">
        <w:rPr>
          <w:sz w:val="22"/>
          <w:szCs w:val="22"/>
        </w:rPr>
        <w:t>нием уровня их знаний  и умений, возможностей, предшествующих новым</w:t>
      </w:r>
      <w:r w:rsidRPr="00281602">
        <w:rPr>
          <w:rFonts w:eastAsia="Calibri"/>
          <w:sz w:val="22"/>
          <w:szCs w:val="22"/>
          <w:lang w:eastAsia="en-US"/>
        </w:rPr>
        <w:t>,</w:t>
      </w:r>
      <w:r w:rsidRPr="00281602">
        <w:rPr>
          <w:sz w:val="22"/>
          <w:szCs w:val="22"/>
        </w:rPr>
        <w:t xml:space="preserve"> определением общего уровня  умений (систематизация, классификация, обобщение и др.). В таком  случае электронное, информационное средство обучения выполняет простейшие, мин</w:t>
      </w:r>
      <w:r w:rsidRPr="00281602">
        <w:rPr>
          <w:sz w:val="22"/>
          <w:szCs w:val="22"/>
        </w:rPr>
        <w:t>и</w:t>
      </w:r>
      <w:r w:rsidRPr="00281602">
        <w:rPr>
          <w:sz w:val="22"/>
          <w:szCs w:val="22"/>
        </w:rPr>
        <w:t>мальные операции по предоставлению  индивидуальных зада</w:t>
      </w:r>
      <w:r w:rsidR="006F7F71">
        <w:rPr>
          <w:sz w:val="22"/>
          <w:szCs w:val="22"/>
        </w:rPr>
        <w:t xml:space="preserve">ний, выбору задач, обработке </w:t>
      </w:r>
      <w:r w:rsidRPr="00281602">
        <w:rPr>
          <w:sz w:val="22"/>
          <w:szCs w:val="22"/>
        </w:rPr>
        <w:t>и</w:t>
      </w:r>
      <w:r w:rsidR="006F7F71">
        <w:rPr>
          <w:sz w:val="22"/>
          <w:szCs w:val="22"/>
        </w:rPr>
        <w:t xml:space="preserve"> проверке результатов решений, </w:t>
      </w:r>
      <w:r w:rsidRPr="00281602">
        <w:rPr>
          <w:sz w:val="22"/>
          <w:szCs w:val="22"/>
        </w:rPr>
        <w:t>и дал</w:t>
      </w:r>
      <w:r w:rsidRPr="00281602">
        <w:rPr>
          <w:sz w:val="22"/>
          <w:szCs w:val="22"/>
        </w:rPr>
        <w:t>ь</w:t>
      </w:r>
      <w:r w:rsidRPr="00281602">
        <w:rPr>
          <w:sz w:val="22"/>
          <w:szCs w:val="22"/>
        </w:rPr>
        <w:lastRenderedPageBreak/>
        <w:t>нейшая подборка следующи</w:t>
      </w:r>
      <w:r w:rsidR="006F7F71">
        <w:rPr>
          <w:sz w:val="22"/>
          <w:szCs w:val="22"/>
        </w:rPr>
        <w:t>х заданий для дифференцирования</w:t>
      </w:r>
      <w:r w:rsidRPr="00281602">
        <w:rPr>
          <w:sz w:val="22"/>
          <w:szCs w:val="22"/>
        </w:rPr>
        <w:t xml:space="preserve"> об</w:t>
      </w:r>
      <w:r w:rsidRPr="00281602">
        <w:rPr>
          <w:sz w:val="22"/>
          <w:szCs w:val="22"/>
        </w:rPr>
        <w:t>у</w:t>
      </w:r>
      <w:r w:rsidRPr="00281602">
        <w:rPr>
          <w:sz w:val="22"/>
          <w:szCs w:val="22"/>
        </w:rPr>
        <w:t>чаемых.</w:t>
      </w:r>
      <w:bookmarkStart w:id="9" w:name="TOC-----.-"/>
      <w:bookmarkEnd w:id="9"/>
    </w:p>
    <w:p w:rsidR="00281602" w:rsidRPr="00281602" w:rsidRDefault="00281602" w:rsidP="00281602">
      <w:pPr>
        <w:shd w:val="clear" w:color="auto" w:fill="FFFFFF"/>
        <w:ind w:firstLine="425"/>
        <w:contextualSpacing/>
        <w:jc w:val="both"/>
        <w:rPr>
          <w:sz w:val="22"/>
          <w:szCs w:val="22"/>
        </w:rPr>
      </w:pPr>
      <w:r w:rsidRPr="00281602">
        <w:rPr>
          <w:sz w:val="22"/>
          <w:szCs w:val="22"/>
        </w:rPr>
        <w:t>Обязательно следует отметить значение применения  информ</w:t>
      </w:r>
      <w:r w:rsidRPr="00281602">
        <w:rPr>
          <w:sz w:val="22"/>
          <w:szCs w:val="22"/>
        </w:rPr>
        <w:t>а</w:t>
      </w:r>
      <w:r w:rsidRPr="00281602">
        <w:rPr>
          <w:sz w:val="22"/>
          <w:szCs w:val="22"/>
        </w:rPr>
        <w:t>цио</w:t>
      </w:r>
      <w:r w:rsidR="006F7F71">
        <w:rPr>
          <w:sz w:val="22"/>
          <w:szCs w:val="22"/>
        </w:rPr>
        <w:t xml:space="preserve">нных технологий для воспитания </w:t>
      </w:r>
      <w:r w:rsidRPr="00281602">
        <w:rPr>
          <w:sz w:val="22"/>
          <w:szCs w:val="22"/>
        </w:rPr>
        <w:t>информационной культуры учащихся, так как лишь  при работе с информационными технол</w:t>
      </w:r>
      <w:r w:rsidRPr="00281602">
        <w:rPr>
          <w:sz w:val="22"/>
          <w:szCs w:val="22"/>
        </w:rPr>
        <w:t>о</w:t>
      </w:r>
      <w:r w:rsidRPr="00281602">
        <w:rPr>
          <w:sz w:val="22"/>
          <w:szCs w:val="22"/>
        </w:rPr>
        <w:t>ги</w:t>
      </w:r>
      <w:r w:rsidR="006F7F71">
        <w:rPr>
          <w:sz w:val="22"/>
          <w:szCs w:val="22"/>
        </w:rPr>
        <w:t>ями  учащийся может получить</w:t>
      </w:r>
      <w:r w:rsidRPr="00281602">
        <w:rPr>
          <w:sz w:val="22"/>
          <w:szCs w:val="22"/>
        </w:rPr>
        <w:t xml:space="preserve"> и освоить умения и навыки, нео</w:t>
      </w:r>
      <w:r w:rsidRPr="00281602">
        <w:rPr>
          <w:sz w:val="22"/>
          <w:szCs w:val="22"/>
        </w:rPr>
        <w:t>б</w:t>
      </w:r>
      <w:r w:rsidRPr="00281602">
        <w:rPr>
          <w:sz w:val="22"/>
          <w:szCs w:val="22"/>
        </w:rPr>
        <w:t>ходимые для жизни в информационном электроном обществе.</w:t>
      </w:r>
    </w:p>
    <w:p w:rsidR="00281602" w:rsidRPr="00281602" w:rsidRDefault="00281602" w:rsidP="00281602">
      <w:pPr>
        <w:shd w:val="clear" w:color="auto" w:fill="FFFFFF"/>
        <w:ind w:firstLine="425"/>
        <w:contextualSpacing/>
        <w:jc w:val="both"/>
        <w:rPr>
          <w:sz w:val="22"/>
          <w:szCs w:val="22"/>
        </w:rPr>
      </w:pPr>
      <w:r w:rsidRPr="00281602">
        <w:rPr>
          <w:sz w:val="22"/>
          <w:szCs w:val="22"/>
        </w:rPr>
        <w:t>Наиболее важные причины, почему обучение учеников должно быть с использованием информационно-коммуникационных и эле</w:t>
      </w:r>
      <w:r w:rsidRPr="00281602">
        <w:rPr>
          <w:sz w:val="22"/>
          <w:szCs w:val="22"/>
        </w:rPr>
        <w:t>к</w:t>
      </w:r>
      <w:r w:rsidRPr="00281602">
        <w:rPr>
          <w:sz w:val="22"/>
          <w:szCs w:val="22"/>
        </w:rPr>
        <w:t>тронных технологий, следующие:</w:t>
      </w:r>
    </w:p>
    <w:p w:rsidR="00281602" w:rsidRPr="00281602" w:rsidRDefault="00281602" w:rsidP="00281602">
      <w:pPr>
        <w:shd w:val="clear" w:color="auto" w:fill="FFFFFF"/>
        <w:ind w:firstLine="425"/>
        <w:contextualSpacing/>
        <w:jc w:val="both"/>
        <w:rPr>
          <w:sz w:val="22"/>
          <w:szCs w:val="22"/>
        </w:rPr>
      </w:pPr>
      <w:r w:rsidRPr="00281602">
        <w:rPr>
          <w:sz w:val="22"/>
          <w:szCs w:val="22"/>
        </w:rPr>
        <w:t>1. Развитие личности ученика, подготовка его к самостоятел</w:t>
      </w:r>
      <w:r w:rsidRPr="00281602">
        <w:rPr>
          <w:sz w:val="22"/>
          <w:szCs w:val="22"/>
        </w:rPr>
        <w:t>ь</w:t>
      </w:r>
      <w:r w:rsidRPr="00281602">
        <w:rPr>
          <w:sz w:val="22"/>
          <w:szCs w:val="22"/>
        </w:rPr>
        <w:t>ной продуктивной и активной деятельности в условиях информац</w:t>
      </w:r>
      <w:r w:rsidRPr="00281602">
        <w:rPr>
          <w:sz w:val="22"/>
          <w:szCs w:val="22"/>
        </w:rPr>
        <w:t>и</w:t>
      </w:r>
      <w:r w:rsidRPr="00281602">
        <w:rPr>
          <w:sz w:val="22"/>
          <w:szCs w:val="22"/>
        </w:rPr>
        <w:t>онного общества через: развитие конструктивного, алгоритмич</w:t>
      </w:r>
      <w:r w:rsidRPr="00281602">
        <w:rPr>
          <w:sz w:val="22"/>
          <w:szCs w:val="22"/>
        </w:rPr>
        <w:t>е</w:t>
      </w:r>
      <w:r w:rsidRPr="00281602">
        <w:rPr>
          <w:sz w:val="22"/>
          <w:szCs w:val="22"/>
        </w:rPr>
        <w:t>ского мышления с помощью особенностей общения с компьютером и информационной средой; развитие творческого мышления за счет уменьшения доли репродуктивной деятельности; формирование информационной культуры, умений осуществлять обработку и оформление различной информации.</w:t>
      </w:r>
    </w:p>
    <w:p w:rsidR="00281602" w:rsidRPr="00281602" w:rsidRDefault="00281602" w:rsidP="00281602">
      <w:pPr>
        <w:shd w:val="clear" w:color="auto" w:fill="FFFFFF"/>
        <w:ind w:firstLine="425"/>
        <w:contextualSpacing/>
        <w:jc w:val="both"/>
        <w:rPr>
          <w:sz w:val="22"/>
          <w:szCs w:val="22"/>
        </w:rPr>
      </w:pPr>
      <w:r w:rsidRPr="00281602">
        <w:rPr>
          <w:sz w:val="22"/>
          <w:szCs w:val="22"/>
        </w:rPr>
        <w:t>2. Реализация социального заказа, обусловленного информат</w:t>
      </w:r>
      <w:r w:rsidRPr="00281602">
        <w:rPr>
          <w:sz w:val="22"/>
          <w:szCs w:val="22"/>
        </w:rPr>
        <w:t>и</w:t>
      </w:r>
      <w:r w:rsidRPr="00281602">
        <w:rPr>
          <w:sz w:val="22"/>
          <w:szCs w:val="22"/>
        </w:rPr>
        <w:t>зацией современного общества: подготовка обучаемых средствами информационно-коммуникационных технологий к самостоятельной познавательной деятельности.</w:t>
      </w:r>
    </w:p>
    <w:p w:rsidR="00281602" w:rsidRPr="00281602" w:rsidRDefault="00281602" w:rsidP="00281602">
      <w:pPr>
        <w:shd w:val="clear" w:color="auto" w:fill="FFFFFF"/>
        <w:ind w:firstLine="425"/>
        <w:contextualSpacing/>
        <w:jc w:val="both"/>
        <w:rPr>
          <w:sz w:val="22"/>
          <w:szCs w:val="22"/>
        </w:rPr>
      </w:pPr>
      <w:r w:rsidRPr="00281602">
        <w:rPr>
          <w:sz w:val="22"/>
          <w:szCs w:val="22"/>
        </w:rPr>
        <w:t>3. Активация и мотивация общеобразовательного процесса: п</w:t>
      </w:r>
      <w:r w:rsidRPr="00281602">
        <w:rPr>
          <w:sz w:val="22"/>
          <w:szCs w:val="22"/>
        </w:rPr>
        <w:t>о</w:t>
      </w:r>
      <w:r w:rsidRPr="00281602">
        <w:rPr>
          <w:sz w:val="22"/>
          <w:szCs w:val="22"/>
        </w:rPr>
        <w:t>вышение качества и заинтересованности в процессе обучения за счет использования информационных технологий во время уроков и внеурочное время.</w:t>
      </w:r>
    </w:p>
    <w:p w:rsidR="00281602" w:rsidRPr="00281602" w:rsidRDefault="00281602" w:rsidP="00281602">
      <w:pPr>
        <w:ind w:firstLine="425"/>
        <w:jc w:val="both"/>
        <w:rPr>
          <w:rFonts w:eastAsia="Calibri"/>
          <w:sz w:val="22"/>
          <w:szCs w:val="22"/>
          <w:lang w:eastAsia="en-US"/>
        </w:rPr>
      </w:pPr>
    </w:p>
    <w:p w:rsidR="00281602" w:rsidRPr="006F7F71" w:rsidRDefault="00281602" w:rsidP="00281602">
      <w:pPr>
        <w:widowControl w:val="0"/>
        <w:autoSpaceDE w:val="0"/>
        <w:autoSpaceDN w:val="0"/>
        <w:adjustRightInd w:val="0"/>
        <w:ind w:left="720"/>
        <w:contextualSpacing/>
        <w:jc w:val="center"/>
        <w:rPr>
          <w:rFonts w:eastAsia="Calibri"/>
          <w:color w:val="000000"/>
          <w:sz w:val="22"/>
          <w:szCs w:val="22"/>
          <w:lang w:eastAsia="en-US"/>
        </w:rPr>
      </w:pPr>
      <w:r w:rsidRPr="006F7F71">
        <w:rPr>
          <w:rFonts w:eastAsia="Calibri"/>
          <w:color w:val="000000"/>
          <w:sz w:val="22"/>
          <w:szCs w:val="22"/>
          <w:lang w:eastAsia="en-US"/>
        </w:rPr>
        <w:t>Список литературы</w:t>
      </w:r>
    </w:p>
    <w:p w:rsidR="00281602" w:rsidRPr="006F7F71" w:rsidRDefault="00281602" w:rsidP="002D7DA5">
      <w:pPr>
        <w:numPr>
          <w:ilvl w:val="0"/>
          <w:numId w:val="56"/>
        </w:numPr>
        <w:spacing w:after="160" w:line="259" w:lineRule="auto"/>
        <w:ind w:left="0" w:firstLine="425"/>
        <w:contextualSpacing/>
        <w:jc w:val="both"/>
        <w:rPr>
          <w:rFonts w:eastAsia="Calibri"/>
          <w:sz w:val="22"/>
          <w:szCs w:val="22"/>
          <w:lang w:eastAsia="en-US"/>
        </w:rPr>
      </w:pPr>
      <w:r w:rsidRPr="006F7F71">
        <w:rPr>
          <w:rFonts w:eastAsia="Calibri"/>
          <w:sz w:val="22"/>
          <w:szCs w:val="22"/>
          <w:lang w:eastAsia="en-US"/>
        </w:rPr>
        <w:t>Бухгалтерский аутсорсинг / Науменко И.Ю., Гайдук Н.В. // В сборнике: Информационное общество: современное состояние и перспективы развития. сборник материалов VII международного форума. ФГБОУ ВО «Кубанский государственный аграрный ун</w:t>
      </w:r>
      <w:r w:rsidRPr="006F7F71">
        <w:rPr>
          <w:rFonts w:eastAsia="Calibri"/>
          <w:sz w:val="22"/>
          <w:szCs w:val="22"/>
          <w:lang w:eastAsia="en-US"/>
        </w:rPr>
        <w:t>и</w:t>
      </w:r>
      <w:r w:rsidRPr="006F7F71">
        <w:rPr>
          <w:rFonts w:eastAsia="Calibri"/>
          <w:sz w:val="22"/>
          <w:szCs w:val="22"/>
          <w:lang w:eastAsia="en-US"/>
        </w:rPr>
        <w:t>верситетимениИ.Т.Трубилина». 2016. С. 26-28.</w:t>
      </w:r>
    </w:p>
    <w:p w:rsidR="00281602" w:rsidRPr="006F7F71" w:rsidRDefault="00281602" w:rsidP="002D7DA5">
      <w:pPr>
        <w:numPr>
          <w:ilvl w:val="0"/>
          <w:numId w:val="56"/>
        </w:numPr>
        <w:spacing w:after="160" w:line="259" w:lineRule="auto"/>
        <w:ind w:left="0" w:firstLine="425"/>
        <w:contextualSpacing/>
        <w:jc w:val="both"/>
        <w:rPr>
          <w:rFonts w:eastAsia="Calibri"/>
          <w:sz w:val="22"/>
          <w:szCs w:val="22"/>
          <w:lang w:eastAsia="en-US"/>
        </w:rPr>
      </w:pPr>
      <w:r w:rsidRPr="006F7F71">
        <w:rPr>
          <w:rFonts w:eastAsia="Calibri"/>
          <w:sz w:val="22"/>
          <w:szCs w:val="22"/>
          <w:lang w:eastAsia="en-US"/>
        </w:rPr>
        <w:t>Гайдук Н. В. Компьютерные технологии в экономической науке и образовании : практикум / Н. В. Гайдук. – Краснодар :КубГАУ, 2016. – Ч. 1. – 68 с.</w:t>
      </w:r>
    </w:p>
    <w:p w:rsidR="00281602" w:rsidRPr="006F7F71" w:rsidRDefault="00281602" w:rsidP="002D7DA5">
      <w:pPr>
        <w:numPr>
          <w:ilvl w:val="0"/>
          <w:numId w:val="56"/>
        </w:numPr>
        <w:spacing w:after="160" w:line="259" w:lineRule="auto"/>
        <w:ind w:left="0" w:firstLine="425"/>
        <w:contextualSpacing/>
        <w:jc w:val="both"/>
        <w:rPr>
          <w:rFonts w:eastAsia="Calibri"/>
          <w:sz w:val="22"/>
          <w:szCs w:val="22"/>
          <w:lang w:eastAsia="en-US"/>
        </w:rPr>
      </w:pPr>
      <w:r w:rsidRPr="006F7F71">
        <w:rPr>
          <w:rFonts w:eastAsia="Calibri"/>
          <w:sz w:val="22"/>
          <w:szCs w:val="22"/>
          <w:lang w:eastAsia="en-US"/>
        </w:rPr>
        <w:lastRenderedPageBreak/>
        <w:t>Инвестиции и интенсификация производства в АПК / Га</w:t>
      </w:r>
      <w:r w:rsidRPr="006F7F71">
        <w:rPr>
          <w:rFonts w:eastAsia="Calibri"/>
          <w:sz w:val="22"/>
          <w:szCs w:val="22"/>
          <w:lang w:eastAsia="en-US"/>
        </w:rPr>
        <w:t>й</w:t>
      </w:r>
      <w:r w:rsidRPr="006F7F71">
        <w:rPr>
          <w:rFonts w:eastAsia="Calibri"/>
          <w:sz w:val="22"/>
          <w:szCs w:val="22"/>
          <w:lang w:eastAsia="en-US"/>
        </w:rPr>
        <w:t>дук Н. В., Горланов С. А., Попов И.И., Кубахов В.М. // В сборнике: Перспективы развития аграрного сектора экономики в условиях вступления России в ВТО. Сборник материалов Международной научно-практической конференции . 2006. С. 363-371.</w:t>
      </w:r>
    </w:p>
    <w:p w:rsidR="00281602" w:rsidRPr="006F7F71" w:rsidRDefault="00281602" w:rsidP="002D7DA5">
      <w:pPr>
        <w:numPr>
          <w:ilvl w:val="0"/>
          <w:numId w:val="56"/>
        </w:numPr>
        <w:spacing w:after="160" w:line="259" w:lineRule="auto"/>
        <w:ind w:left="0" w:firstLine="425"/>
        <w:contextualSpacing/>
        <w:jc w:val="both"/>
        <w:rPr>
          <w:rFonts w:eastAsia="Calibri"/>
          <w:sz w:val="22"/>
          <w:szCs w:val="22"/>
          <w:lang w:eastAsia="en-US"/>
        </w:rPr>
      </w:pPr>
      <w:r w:rsidRPr="006F7F71">
        <w:rPr>
          <w:rFonts w:eastAsia="Calibri"/>
          <w:sz w:val="22"/>
          <w:szCs w:val="22"/>
          <w:lang w:eastAsia="en-US"/>
        </w:rPr>
        <w:t>Компьютерные технологии в экономической науке и обр</w:t>
      </w:r>
      <w:r w:rsidRPr="006F7F71">
        <w:rPr>
          <w:rFonts w:eastAsia="Calibri"/>
          <w:sz w:val="22"/>
          <w:szCs w:val="22"/>
          <w:lang w:eastAsia="en-US"/>
        </w:rPr>
        <w:t>а</w:t>
      </w:r>
      <w:r w:rsidRPr="006F7F71">
        <w:rPr>
          <w:rFonts w:eastAsia="Calibri"/>
          <w:sz w:val="22"/>
          <w:szCs w:val="22"/>
          <w:lang w:eastAsia="en-US"/>
        </w:rPr>
        <w:t>зовании / Гайдук Н.В. Учебно-методическое пособие. Ч. 2. –  Кра</w:t>
      </w:r>
      <w:r w:rsidRPr="006F7F71">
        <w:rPr>
          <w:rFonts w:eastAsia="Calibri"/>
          <w:sz w:val="22"/>
          <w:szCs w:val="22"/>
          <w:lang w:eastAsia="en-US"/>
        </w:rPr>
        <w:t>с</w:t>
      </w:r>
      <w:r w:rsidRPr="006F7F71">
        <w:rPr>
          <w:rFonts w:eastAsia="Calibri"/>
          <w:sz w:val="22"/>
          <w:szCs w:val="22"/>
          <w:lang w:eastAsia="en-US"/>
        </w:rPr>
        <w:t>нодар, 2017.</w:t>
      </w:r>
    </w:p>
    <w:p w:rsidR="00281602" w:rsidRPr="006F7F71" w:rsidRDefault="00281602" w:rsidP="002D7DA5">
      <w:pPr>
        <w:numPr>
          <w:ilvl w:val="0"/>
          <w:numId w:val="56"/>
        </w:numPr>
        <w:spacing w:after="160" w:line="259" w:lineRule="auto"/>
        <w:ind w:left="0" w:firstLine="425"/>
        <w:contextualSpacing/>
        <w:jc w:val="both"/>
        <w:rPr>
          <w:rFonts w:eastAsia="Calibri"/>
          <w:sz w:val="22"/>
          <w:szCs w:val="22"/>
          <w:lang w:eastAsia="en-US"/>
        </w:rPr>
      </w:pPr>
      <w:r w:rsidRPr="006F7F71">
        <w:rPr>
          <w:rFonts w:eastAsia="Calibri"/>
          <w:sz w:val="22"/>
          <w:szCs w:val="22"/>
          <w:lang w:eastAsia="en-US"/>
        </w:rPr>
        <w:t>Обзор текущего состояния рынка программных продуктов для анализа финансовой деятельности предприятия / Колесник А.В., Гайдук Н.В. // В сборнике: Информационное общество: совреме</w:t>
      </w:r>
      <w:r w:rsidRPr="006F7F71">
        <w:rPr>
          <w:rFonts w:eastAsia="Calibri"/>
          <w:sz w:val="22"/>
          <w:szCs w:val="22"/>
          <w:lang w:eastAsia="en-US"/>
        </w:rPr>
        <w:t>н</w:t>
      </w:r>
      <w:r w:rsidRPr="006F7F71">
        <w:rPr>
          <w:rFonts w:eastAsia="Calibri"/>
          <w:sz w:val="22"/>
          <w:szCs w:val="22"/>
          <w:lang w:eastAsia="en-US"/>
        </w:rPr>
        <w:t>ное состояние и перспективы развития. сборник материалов VIII международного форума. 2017. С. 99-101.</w:t>
      </w:r>
    </w:p>
    <w:p w:rsidR="00281602" w:rsidRPr="00281602" w:rsidRDefault="00281602" w:rsidP="00281602">
      <w:pPr>
        <w:ind w:firstLine="425"/>
        <w:jc w:val="both"/>
        <w:rPr>
          <w:rFonts w:eastAsia="Calibri"/>
          <w:sz w:val="22"/>
          <w:szCs w:val="22"/>
          <w:lang w:eastAsia="en-US"/>
        </w:rPr>
      </w:pPr>
    </w:p>
    <w:p w:rsidR="00281602" w:rsidRDefault="00281602" w:rsidP="00281602">
      <w:pPr>
        <w:ind w:firstLine="425"/>
        <w:jc w:val="both"/>
        <w:rPr>
          <w:rFonts w:eastAsia="Calibri"/>
          <w:sz w:val="22"/>
          <w:szCs w:val="22"/>
          <w:lang w:eastAsia="en-US"/>
        </w:rPr>
      </w:pPr>
    </w:p>
    <w:p w:rsidR="006F7F71" w:rsidRPr="00281602" w:rsidRDefault="006F7F71" w:rsidP="008C4B7E">
      <w:pPr>
        <w:jc w:val="both"/>
        <w:rPr>
          <w:rFonts w:eastAsia="Calibri"/>
          <w:sz w:val="22"/>
          <w:szCs w:val="22"/>
          <w:lang w:eastAsia="en-US"/>
        </w:rPr>
      </w:pPr>
    </w:p>
    <w:p w:rsidR="00281602" w:rsidRPr="00281602" w:rsidRDefault="00281602" w:rsidP="00281602">
      <w:pPr>
        <w:tabs>
          <w:tab w:val="left" w:pos="8223"/>
        </w:tabs>
        <w:jc w:val="both"/>
        <w:rPr>
          <w:rFonts w:eastAsia="Courier New"/>
          <w:color w:val="000000"/>
          <w:sz w:val="22"/>
          <w:szCs w:val="22"/>
          <w:lang w:eastAsia="en-US"/>
        </w:rPr>
      </w:pPr>
      <w:r w:rsidRPr="00281602">
        <w:rPr>
          <w:rFonts w:eastAsia="Courier New"/>
          <w:color w:val="000000"/>
          <w:sz w:val="22"/>
          <w:szCs w:val="22"/>
          <w:lang w:eastAsia="en-US"/>
        </w:rPr>
        <w:t>УДК 004.05</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tabs>
          <w:tab w:val="left" w:pos="8223"/>
        </w:tabs>
        <w:jc w:val="center"/>
        <w:rPr>
          <w:rFonts w:eastAsia="Calibri"/>
          <w:b/>
          <w:sz w:val="24"/>
          <w:szCs w:val="24"/>
          <w:lang w:eastAsia="en-US"/>
        </w:rPr>
      </w:pPr>
      <w:r w:rsidRPr="00281602">
        <w:rPr>
          <w:rFonts w:eastAsia="Calibri"/>
          <w:b/>
          <w:sz w:val="24"/>
          <w:szCs w:val="24"/>
          <w:lang w:eastAsia="en-US"/>
        </w:rPr>
        <w:t>Выбор эффективного способа внедрения web-сайта</w:t>
      </w:r>
    </w:p>
    <w:p w:rsidR="00281602" w:rsidRPr="00281602" w:rsidRDefault="00281602" w:rsidP="00281602">
      <w:pPr>
        <w:tabs>
          <w:tab w:val="left" w:pos="8223"/>
        </w:tabs>
        <w:jc w:val="center"/>
        <w:rPr>
          <w:rFonts w:eastAsia="Calibri"/>
          <w:b/>
          <w:sz w:val="24"/>
          <w:szCs w:val="24"/>
          <w:lang w:val="en-US" w:eastAsia="en-US"/>
        </w:rPr>
      </w:pPr>
      <w:r w:rsidRPr="00281602">
        <w:rPr>
          <w:rFonts w:eastAsia="Calibri"/>
          <w:b/>
          <w:sz w:val="24"/>
          <w:szCs w:val="24"/>
          <w:lang w:eastAsia="en-US"/>
        </w:rPr>
        <w:t>в</w:t>
      </w:r>
      <w:r w:rsidRPr="00281602">
        <w:rPr>
          <w:rFonts w:eastAsia="Calibri"/>
          <w:b/>
          <w:sz w:val="24"/>
          <w:szCs w:val="24"/>
          <w:lang w:val="en-US" w:eastAsia="en-US"/>
        </w:rPr>
        <w:t xml:space="preserve"> </w:t>
      </w:r>
      <w:r w:rsidRPr="00281602">
        <w:rPr>
          <w:rFonts w:eastAsia="Calibri"/>
          <w:b/>
          <w:sz w:val="24"/>
          <w:szCs w:val="24"/>
          <w:lang w:eastAsia="en-US"/>
        </w:rPr>
        <w:t>информационное</w:t>
      </w:r>
      <w:r w:rsidRPr="00281602">
        <w:rPr>
          <w:rFonts w:eastAsia="Calibri"/>
          <w:b/>
          <w:sz w:val="24"/>
          <w:szCs w:val="24"/>
          <w:lang w:val="en-US" w:eastAsia="en-US"/>
        </w:rPr>
        <w:t xml:space="preserve"> </w:t>
      </w:r>
      <w:r w:rsidRPr="00281602">
        <w:rPr>
          <w:rFonts w:eastAsia="Calibri"/>
          <w:b/>
          <w:sz w:val="24"/>
          <w:szCs w:val="24"/>
          <w:lang w:eastAsia="en-US"/>
        </w:rPr>
        <w:t>мобильное</w:t>
      </w:r>
      <w:r w:rsidRPr="00281602">
        <w:rPr>
          <w:rFonts w:eastAsia="Calibri"/>
          <w:b/>
          <w:sz w:val="24"/>
          <w:szCs w:val="24"/>
          <w:lang w:val="en-US" w:eastAsia="en-US"/>
        </w:rPr>
        <w:t xml:space="preserve"> </w:t>
      </w:r>
      <w:r w:rsidRPr="00281602">
        <w:rPr>
          <w:rFonts w:eastAsia="Calibri"/>
          <w:b/>
          <w:sz w:val="24"/>
          <w:szCs w:val="24"/>
          <w:lang w:eastAsia="en-US"/>
        </w:rPr>
        <w:t>пространство</w:t>
      </w:r>
    </w:p>
    <w:p w:rsidR="00281602" w:rsidRPr="00281602" w:rsidRDefault="00281602" w:rsidP="00281602">
      <w:pPr>
        <w:tabs>
          <w:tab w:val="left" w:pos="8223"/>
        </w:tabs>
        <w:jc w:val="center"/>
        <w:rPr>
          <w:rFonts w:eastAsia="Courier New"/>
          <w:b/>
          <w:color w:val="000000"/>
          <w:sz w:val="24"/>
          <w:szCs w:val="24"/>
          <w:lang w:val="en-US" w:eastAsia="en-US"/>
        </w:rPr>
      </w:pPr>
      <w:r w:rsidRPr="00281602">
        <w:rPr>
          <w:rFonts w:eastAsia="Courier New"/>
          <w:b/>
          <w:color w:val="000000"/>
          <w:sz w:val="24"/>
          <w:szCs w:val="24"/>
          <w:lang w:val="en-US" w:eastAsia="en-US"/>
        </w:rPr>
        <w:t xml:space="preserve">The choice of effective method implementation web-site </w:t>
      </w:r>
      <w:r w:rsidRPr="00281602">
        <w:rPr>
          <w:rFonts w:eastAsia="Courier New"/>
          <w:b/>
          <w:color w:val="000000"/>
          <w:sz w:val="24"/>
          <w:szCs w:val="24"/>
          <w:lang w:val="en-US" w:eastAsia="en-US"/>
        </w:rPr>
        <w:br/>
        <w:t>in the mobile information space</w:t>
      </w:r>
    </w:p>
    <w:p w:rsidR="00281602" w:rsidRPr="00281602" w:rsidRDefault="00281602" w:rsidP="00281602">
      <w:pPr>
        <w:tabs>
          <w:tab w:val="left" w:pos="8223"/>
        </w:tabs>
        <w:ind w:firstLine="425"/>
        <w:jc w:val="both"/>
        <w:rPr>
          <w:rFonts w:eastAsia="Courier New"/>
          <w:color w:val="000000"/>
          <w:sz w:val="22"/>
          <w:szCs w:val="22"/>
          <w:lang w:val="en-US" w:eastAsia="en-US"/>
        </w:rPr>
      </w:pP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Филипенко С. С.,</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 4-го курса прикладной информатики,</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Лукьяненко Т. В.,</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доцент кафедры компьютерных технологий и систем</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Куб</w:t>
      </w:r>
      <w:r w:rsidR="006F7F71">
        <w:rPr>
          <w:rFonts w:eastAsia="Courier New"/>
          <w:color w:val="000000"/>
          <w:sz w:val="22"/>
          <w:szCs w:val="22"/>
          <w:lang w:eastAsia="en-US"/>
        </w:rPr>
        <w:t>анский государственный аграрный</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 xml:space="preserve">АННОТАЦИЯ: </w:t>
      </w:r>
      <w:r w:rsidRPr="00281602">
        <w:rPr>
          <w:rFonts w:eastAsia="Calibri"/>
          <w:sz w:val="22"/>
          <w:szCs w:val="22"/>
          <w:lang w:eastAsia="en-US"/>
        </w:rPr>
        <w:t>В работе проведен анализ визуализации м</w:t>
      </w:r>
      <w:r w:rsidRPr="00281602">
        <w:rPr>
          <w:rFonts w:eastAsia="Calibri"/>
          <w:sz w:val="22"/>
          <w:szCs w:val="22"/>
          <w:lang w:eastAsia="en-US"/>
        </w:rPr>
        <w:t>о</w:t>
      </w:r>
      <w:r w:rsidRPr="00281602">
        <w:rPr>
          <w:rFonts w:eastAsia="Calibri"/>
          <w:sz w:val="22"/>
          <w:szCs w:val="22"/>
          <w:lang w:eastAsia="en-US"/>
        </w:rPr>
        <w:t>бильной версии сайта. Кратко изложены основные особенности и преимущества мобильной версии и мобильного приложения для сайта.</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lang w:val="en-US" w:eastAsia="en-US"/>
        </w:rPr>
        <w:lastRenderedPageBreak/>
        <w:t>ABSTRACT: Mobile site version visualization analysis completed in this work. The main features and benefits of the mobile version and mobile application for the site are summarized.</w:t>
      </w: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 xml:space="preserve">КЛЮЧЕВЫЕ СЛОВА: </w:t>
      </w:r>
      <w:r w:rsidRPr="00281602">
        <w:rPr>
          <w:rFonts w:eastAsia="Calibri"/>
          <w:sz w:val="22"/>
          <w:szCs w:val="22"/>
          <w:lang w:eastAsia="en-US"/>
        </w:rPr>
        <w:t>сайт, веб-сайт, мобильная, версия, пр</w:t>
      </w:r>
      <w:r w:rsidRPr="00281602">
        <w:rPr>
          <w:rFonts w:eastAsia="Calibri"/>
          <w:sz w:val="22"/>
          <w:szCs w:val="22"/>
          <w:lang w:eastAsia="en-US"/>
        </w:rPr>
        <w:t>и</w:t>
      </w:r>
      <w:r w:rsidRPr="00281602">
        <w:rPr>
          <w:rFonts w:eastAsia="Calibri"/>
          <w:sz w:val="22"/>
          <w:szCs w:val="22"/>
          <w:lang w:eastAsia="en-US"/>
        </w:rPr>
        <w:t>ложение.</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lang w:val="en-US" w:eastAsia="en-US"/>
        </w:rPr>
        <w:t>KEYWORDS: site, website, mobile, version, application.</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Тенденция роста мобильных пользователей различных веб-сайтов стала фактом: каждый день людей, использующих смартфон для доступа к сети интернет становится всё больше. Эту тенденцию нужно учитывать при внедрении в мобильное пространство вашего веб-сайта, иначе можно потерять большую аудиторию будущих пользователей. Необходимо выяснить какие методы использовать для того чтобы угодить всем мобильным пользователям вашего сайта. Решений может быть два: разработка мобильного прилож</w:t>
      </w:r>
      <w:r w:rsidRPr="00281602">
        <w:rPr>
          <w:rFonts w:eastAsia="Calibri"/>
          <w:sz w:val="22"/>
          <w:szCs w:val="22"/>
          <w:lang w:eastAsia="en-US"/>
        </w:rPr>
        <w:t>е</w:t>
      </w:r>
      <w:r w:rsidRPr="00281602">
        <w:rPr>
          <w:rFonts w:eastAsia="Calibri"/>
          <w:sz w:val="22"/>
          <w:szCs w:val="22"/>
          <w:lang w:eastAsia="en-US"/>
        </w:rPr>
        <w:t>ния или мобильной версии веб-сайта.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 данный момент современные смартфоны схожи по своим характеристикам и производительности с персональными компь</w:t>
      </w:r>
      <w:r w:rsidRPr="00281602">
        <w:rPr>
          <w:rFonts w:eastAsia="Calibri"/>
          <w:sz w:val="22"/>
          <w:szCs w:val="22"/>
          <w:lang w:eastAsia="en-US"/>
        </w:rPr>
        <w:t>ю</w:t>
      </w:r>
      <w:r w:rsidRPr="00281602">
        <w:rPr>
          <w:rFonts w:eastAsia="Calibri"/>
          <w:sz w:val="22"/>
          <w:szCs w:val="22"/>
          <w:lang w:eastAsia="en-US"/>
        </w:rPr>
        <w:t>терами пятилетней или четырёхлетней давности. А с учетом роста точек доступа беспроводной сети в городах, мобильный интернет стал намного доступнее, в следствии этого становится явной пр</w:t>
      </w:r>
      <w:r w:rsidRPr="00281602">
        <w:rPr>
          <w:rFonts w:eastAsia="Calibri"/>
          <w:sz w:val="22"/>
          <w:szCs w:val="22"/>
          <w:lang w:eastAsia="en-US"/>
        </w:rPr>
        <w:t>и</w:t>
      </w:r>
      <w:r w:rsidRPr="00281602">
        <w:rPr>
          <w:rFonts w:eastAsia="Calibri"/>
          <w:sz w:val="22"/>
          <w:szCs w:val="22"/>
          <w:lang w:eastAsia="en-US"/>
        </w:rPr>
        <w:t>чина роста пользователей данного вида связи, ведь удобнее и проще найти информацию, используя имеющийся под рукой смартфон.</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Настройка сайта под требования пользователей мобильных д</w:t>
      </w:r>
      <w:r w:rsidRPr="00281602">
        <w:rPr>
          <w:rFonts w:eastAsia="Calibri"/>
          <w:sz w:val="22"/>
          <w:szCs w:val="22"/>
          <w:lang w:eastAsia="en-US"/>
        </w:rPr>
        <w:t>е</w:t>
      </w:r>
      <w:r w:rsidRPr="00281602">
        <w:rPr>
          <w:rFonts w:eastAsia="Calibri"/>
          <w:sz w:val="22"/>
          <w:szCs w:val="22"/>
          <w:lang w:eastAsia="en-US"/>
        </w:rPr>
        <w:t>вайсов происходит в настоящее время по-разному. Кто-то делает адаптивные дизайны, которые автоматически определяют размеры дисплеев пользователей и подстраивают элементы. Другие создают отдельные веб-версии сайтов, которые отличны от декстопных, т</w:t>
      </w:r>
      <w:r w:rsidRPr="00281602">
        <w:rPr>
          <w:rFonts w:eastAsia="Calibri"/>
          <w:sz w:val="22"/>
          <w:szCs w:val="22"/>
          <w:lang w:eastAsia="en-US"/>
        </w:rPr>
        <w:t>а</w:t>
      </w:r>
      <w:r w:rsidRPr="00281602">
        <w:rPr>
          <w:rFonts w:eastAsia="Calibri"/>
          <w:sz w:val="22"/>
          <w:szCs w:val="22"/>
          <w:lang w:eastAsia="en-US"/>
        </w:rPr>
        <w:t>кие версии доступны по отличительным поддоменам. А третьи с</w:t>
      </w:r>
      <w:r w:rsidRPr="00281602">
        <w:rPr>
          <w:rFonts w:eastAsia="Calibri"/>
          <w:sz w:val="22"/>
          <w:szCs w:val="22"/>
          <w:lang w:eastAsia="en-US"/>
        </w:rPr>
        <w:t>о</w:t>
      </w:r>
      <w:r w:rsidRPr="00281602">
        <w:rPr>
          <w:rFonts w:eastAsia="Calibri"/>
          <w:sz w:val="22"/>
          <w:szCs w:val="22"/>
          <w:lang w:eastAsia="en-US"/>
        </w:rPr>
        <w:t>здают целые приложения на основе своих сайтов, которые их пол</w:t>
      </w:r>
      <w:r w:rsidRPr="00281602">
        <w:rPr>
          <w:rFonts w:eastAsia="Calibri"/>
          <w:sz w:val="22"/>
          <w:szCs w:val="22"/>
          <w:lang w:eastAsia="en-US"/>
        </w:rPr>
        <w:t>ь</w:t>
      </w:r>
      <w:r w:rsidRPr="00281602">
        <w:rPr>
          <w:rFonts w:eastAsia="Calibri"/>
          <w:sz w:val="22"/>
          <w:szCs w:val="22"/>
          <w:lang w:eastAsia="en-US"/>
        </w:rPr>
        <w:t>зователи загружают и устанавливают на свои мобильные устро</w:t>
      </w:r>
      <w:r w:rsidRPr="00281602">
        <w:rPr>
          <w:rFonts w:eastAsia="Calibri"/>
          <w:sz w:val="22"/>
          <w:szCs w:val="22"/>
          <w:lang w:eastAsia="en-US"/>
        </w:rPr>
        <w:t>й</w:t>
      </w:r>
      <w:r w:rsidRPr="00281602">
        <w:rPr>
          <w:rFonts w:eastAsia="Calibri"/>
          <w:sz w:val="22"/>
          <w:szCs w:val="22"/>
          <w:lang w:eastAsia="en-US"/>
        </w:rPr>
        <w:t>ства. Чаще всего делать выбор владельцам веб-сайтов приходиться делать выбор между мобильной версией и мобильным приложен</w:t>
      </w:r>
      <w:r w:rsidRPr="00281602">
        <w:rPr>
          <w:rFonts w:eastAsia="Calibri"/>
          <w:sz w:val="22"/>
          <w:szCs w:val="22"/>
          <w:lang w:eastAsia="en-US"/>
        </w:rPr>
        <w:t>и</w:t>
      </w:r>
      <w:r w:rsidRPr="00281602">
        <w:rPr>
          <w:rFonts w:eastAsia="Calibri"/>
          <w:sz w:val="22"/>
          <w:szCs w:val="22"/>
          <w:lang w:eastAsia="en-US"/>
        </w:rPr>
        <w:t>ем, поэтому несколько подробнее проанализируем непосредственно эти два вида.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первую очередь нужно выделить, то что проблемы у мобил</w:t>
      </w:r>
      <w:r w:rsidRPr="00281602">
        <w:rPr>
          <w:rFonts w:eastAsia="Calibri"/>
          <w:sz w:val="22"/>
          <w:szCs w:val="22"/>
          <w:lang w:eastAsia="en-US"/>
        </w:rPr>
        <w:t>ь</w:t>
      </w:r>
      <w:r w:rsidRPr="00281602">
        <w:rPr>
          <w:rFonts w:eastAsia="Calibri"/>
          <w:sz w:val="22"/>
          <w:szCs w:val="22"/>
          <w:lang w:eastAsia="en-US"/>
        </w:rPr>
        <w:t>ных версий веб-сайтов и мобильных приложений очень сильно ра</w:t>
      </w:r>
      <w:r w:rsidRPr="00281602">
        <w:rPr>
          <w:rFonts w:eastAsia="Calibri"/>
          <w:sz w:val="22"/>
          <w:szCs w:val="22"/>
          <w:lang w:eastAsia="en-US"/>
        </w:rPr>
        <w:t>з</w:t>
      </w:r>
      <w:r w:rsidRPr="00281602">
        <w:rPr>
          <w:rFonts w:eastAsia="Calibri"/>
          <w:sz w:val="22"/>
          <w:szCs w:val="22"/>
          <w:lang w:eastAsia="en-US"/>
        </w:rPr>
        <w:t xml:space="preserve">нятся. Адаптивная версия сайта может обеспечить пользователю </w:t>
      </w:r>
      <w:r w:rsidRPr="00281602">
        <w:rPr>
          <w:rFonts w:eastAsia="Calibri"/>
          <w:sz w:val="22"/>
          <w:szCs w:val="22"/>
          <w:lang w:eastAsia="en-US"/>
        </w:rPr>
        <w:lastRenderedPageBreak/>
        <w:t>медиа-контент веб-сайта в наиболее подходящем для восприятия на мобильных устройствах варианте, при этом функции мобильной версии и основного веб-сайта могут практически полностью совп</w:t>
      </w:r>
      <w:r w:rsidRPr="00281602">
        <w:rPr>
          <w:rFonts w:eastAsia="Calibri"/>
          <w:sz w:val="22"/>
          <w:szCs w:val="22"/>
          <w:lang w:eastAsia="en-US"/>
        </w:rPr>
        <w:t>а</w:t>
      </w:r>
      <w:r w:rsidRPr="00281602">
        <w:rPr>
          <w:rFonts w:eastAsia="Calibri"/>
          <w:sz w:val="22"/>
          <w:szCs w:val="22"/>
          <w:lang w:eastAsia="en-US"/>
        </w:rPr>
        <w:t>дать. А мобильное приложение осуществляет абсолютно самосто</w:t>
      </w:r>
      <w:r w:rsidRPr="00281602">
        <w:rPr>
          <w:rFonts w:eastAsia="Calibri"/>
          <w:sz w:val="22"/>
          <w:szCs w:val="22"/>
          <w:lang w:eastAsia="en-US"/>
        </w:rPr>
        <w:t>я</w:t>
      </w:r>
      <w:r w:rsidRPr="00281602">
        <w:rPr>
          <w:rFonts w:eastAsia="Calibri"/>
          <w:sz w:val="22"/>
          <w:szCs w:val="22"/>
          <w:lang w:eastAsia="en-US"/>
        </w:rPr>
        <w:t>тельные задачи и может при этом не совпадать по функциональн</w:t>
      </w:r>
      <w:r w:rsidRPr="00281602">
        <w:rPr>
          <w:rFonts w:eastAsia="Calibri"/>
          <w:sz w:val="22"/>
          <w:szCs w:val="22"/>
          <w:lang w:eastAsia="en-US"/>
        </w:rPr>
        <w:t>о</w:t>
      </w:r>
      <w:r w:rsidRPr="00281602">
        <w:rPr>
          <w:rFonts w:eastAsia="Calibri"/>
          <w:sz w:val="22"/>
          <w:szCs w:val="22"/>
          <w:lang w:eastAsia="en-US"/>
        </w:rPr>
        <w:t>сти с основным веб-сайтом.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случае, если нужно всего лишь «перенести» веб-сайт в м</w:t>
      </w:r>
      <w:r w:rsidRPr="00281602">
        <w:rPr>
          <w:rFonts w:eastAsia="Calibri"/>
          <w:sz w:val="22"/>
          <w:szCs w:val="22"/>
          <w:lang w:eastAsia="en-US"/>
        </w:rPr>
        <w:t>о</w:t>
      </w:r>
      <w:r w:rsidRPr="00281602">
        <w:rPr>
          <w:rFonts w:eastAsia="Calibri"/>
          <w:sz w:val="22"/>
          <w:szCs w:val="22"/>
          <w:lang w:eastAsia="en-US"/>
        </w:rPr>
        <w:t>бильное пространство, не изменяя перечня его функций, то лучше подойдет его мобильная версия. Если мобильным пользователям сайта необходимо предоставить какой-то абсолютно новый медиа-контент или функционал, то целесообразнее разработать мобильное приложение.</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Если приложение и адаптивная версия нужны для ровно одной цели, то нужно точно определиться с выбором версии мобильности вашего сайта, сравнить потребности и функционал мобильных ве</w:t>
      </w:r>
      <w:r w:rsidRPr="00281602">
        <w:rPr>
          <w:rFonts w:eastAsia="Calibri"/>
          <w:sz w:val="22"/>
          <w:szCs w:val="22"/>
          <w:lang w:eastAsia="en-US"/>
        </w:rPr>
        <w:t>р</w:t>
      </w:r>
      <w:r w:rsidRPr="00281602">
        <w:rPr>
          <w:rFonts w:eastAsia="Calibri"/>
          <w:sz w:val="22"/>
          <w:szCs w:val="22"/>
          <w:lang w:eastAsia="en-US"/>
        </w:rPr>
        <w:t>сий и мобильных приложений для сайтов. Мобильная версия сайта и приложения могут быть различного уровня сложности. В таком случае всё зависит от особенностей веб-сайта и целей, которые он должен выполнять. Создание мобильного приложения более сло</w:t>
      </w:r>
      <w:r w:rsidRPr="00281602">
        <w:rPr>
          <w:rFonts w:eastAsia="Calibri"/>
          <w:sz w:val="22"/>
          <w:szCs w:val="22"/>
          <w:lang w:eastAsia="en-US"/>
        </w:rPr>
        <w:t>ж</w:t>
      </w:r>
      <w:r w:rsidRPr="00281602">
        <w:rPr>
          <w:rFonts w:eastAsia="Calibri"/>
          <w:sz w:val="22"/>
          <w:szCs w:val="22"/>
          <w:lang w:eastAsia="en-US"/>
        </w:rPr>
        <w:t>но, так как приходится создавать версии программного обеспечения для всех возможных платформ. Приложение нужно постоянно с</w:t>
      </w:r>
      <w:r w:rsidRPr="00281602">
        <w:rPr>
          <w:rFonts w:eastAsia="Calibri"/>
          <w:sz w:val="22"/>
          <w:szCs w:val="22"/>
          <w:lang w:eastAsia="en-US"/>
        </w:rPr>
        <w:t>о</w:t>
      </w:r>
      <w:r w:rsidRPr="00281602">
        <w:rPr>
          <w:rFonts w:eastAsia="Calibri"/>
          <w:sz w:val="22"/>
          <w:szCs w:val="22"/>
          <w:lang w:eastAsia="en-US"/>
        </w:rPr>
        <w:t>вершенствовать, доводя до совершенства его работоспособность, модернизируя дизайн под меняющиеся потребности целевой ауд</w:t>
      </w:r>
      <w:r w:rsidRPr="00281602">
        <w:rPr>
          <w:rFonts w:eastAsia="Calibri"/>
          <w:sz w:val="22"/>
          <w:szCs w:val="22"/>
          <w:lang w:eastAsia="en-US"/>
        </w:rPr>
        <w:t>и</w:t>
      </w:r>
      <w:r w:rsidRPr="00281602">
        <w:rPr>
          <w:rFonts w:eastAsia="Calibri"/>
          <w:sz w:val="22"/>
          <w:szCs w:val="22"/>
          <w:lang w:eastAsia="en-US"/>
        </w:rPr>
        <w:t>тории. Впрочем, все это справедливо и для мобильных версий веб-сайтов.</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Исходя из того, что разработка мобильного приложения дл</w:t>
      </w:r>
      <w:r w:rsidRPr="00281602">
        <w:rPr>
          <w:rFonts w:eastAsia="Calibri"/>
          <w:sz w:val="22"/>
          <w:szCs w:val="22"/>
          <w:lang w:eastAsia="en-US"/>
        </w:rPr>
        <w:t>и</w:t>
      </w:r>
      <w:r w:rsidRPr="00281602">
        <w:rPr>
          <w:rFonts w:eastAsia="Calibri"/>
          <w:sz w:val="22"/>
          <w:szCs w:val="22"/>
          <w:lang w:eastAsia="en-US"/>
        </w:rPr>
        <w:t>тельный и технически сложный процесс, то и затраты на его созд</w:t>
      </w:r>
      <w:r w:rsidRPr="00281602">
        <w:rPr>
          <w:rFonts w:eastAsia="Calibri"/>
          <w:sz w:val="22"/>
          <w:szCs w:val="22"/>
          <w:lang w:eastAsia="en-US"/>
        </w:rPr>
        <w:t>а</w:t>
      </w:r>
      <w:r w:rsidRPr="00281602">
        <w:rPr>
          <w:rFonts w:eastAsia="Calibri"/>
          <w:sz w:val="22"/>
          <w:szCs w:val="22"/>
          <w:lang w:eastAsia="en-US"/>
        </w:rPr>
        <w:t>ние соответствующе высокие. Поэтому, первые версии сайтов во многих случаях обходятся без мобильных приложений, так как не имеют должного бюджета и финансирования.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Проводить сравнения между мобильной версией и приложен</w:t>
      </w:r>
      <w:r w:rsidRPr="00281602">
        <w:rPr>
          <w:rFonts w:eastAsia="Calibri"/>
          <w:sz w:val="22"/>
          <w:szCs w:val="22"/>
          <w:lang w:eastAsia="en-US"/>
        </w:rPr>
        <w:t>и</w:t>
      </w:r>
      <w:r w:rsidRPr="00281602">
        <w:rPr>
          <w:rFonts w:eastAsia="Calibri"/>
          <w:sz w:val="22"/>
          <w:szCs w:val="22"/>
          <w:lang w:eastAsia="en-US"/>
        </w:rPr>
        <w:t>ем можно по ещё многим критериям, однако сложность в определ</w:t>
      </w:r>
      <w:r w:rsidRPr="00281602">
        <w:rPr>
          <w:rFonts w:eastAsia="Calibri"/>
          <w:sz w:val="22"/>
          <w:szCs w:val="22"/>
          <w:lang w:eastAsia="en-US"/>
        </w:rPr>
        <w:t>е</w:t>
      </w:r>
      <w:r w:rsidRPr="00281602">
        <w:rPr>
          <w:rFonts w:eastAsia="Calibri"/>
          <w:sz w:val="22"/>
          <w:szCs w:val="22"/>
          <w:lang w:eastAsia="en-US"/>
        </w:rPr>
        <w:t>нии всегда вызывает индивидуальность каждого сайта и его ос</w:t>
      </w:r>
      <w:r w:rsidRPr="00281602">
        <w:rPr>
          <w:rFonts w:eastAsia="Calibri"/>
          <w:sz w:val="22"/>
          <w:szCs w:val="22"/>
          <w:lang w:eastAsia="en-US"/>
        </w:rPr>
        <w:t>о</w:t>
      </w:r>
      <w:r w:rsidRPr="00281602">
        <w:rPr>
          <w:rFonts w:eastAsia="Calibri"/>
          <w:sz w:val="22"/>
          <w:szCs w:val="22"/>
          <w:lang w:eastAsia="en-US"/>
        </w:rPr>
        <w:t>бенности. Только по подробному анализу задач, поставленных п</w:t>
      </w:r>
      <w:r w:rsidRPr="00281602">
        <w:rPr>
          <w:rFonts w:eastAsia="Calibri"/>
          <w:sz w:val="22"/>
          <w:szCs w:val="22"/>
          <w:lang w:eastAsia="en-US"/>
        </w:rPr>
        <w:t>е</w:t>
      </w:r>
      <w:r w:rsidRPr="00281602">
        <w:rPr>
          <w:rFonts w:eastAsia="Calibri"/>
          <w:sz w:val="22"/>
          <w:szCs w:val="22"/>
          <w:lang w:eastAsia="en-US"/>
        </w:rPr>
        <w:t>ред сайтом можно сделать вывод о том, какой вариант мобильного решения будет наиболее эффективен для привлечения пользоват</w:t>
      </w:r>
      <w:r w:rsidRPr="00281602">
        <w:rPr>
          <w:rFonts w:eastAsia="Calibri"/>
          <w:sz w:val="22"/>
          <w:szCs w:val="22"/>
          <w:lang w:eastAsia="en-US"/>
        </w:rPr>
        <w:t>е</w:t>
      </w:r>
      <w:r w:rsidRPr="00281602">
        <w:rPr>
          <w:rFonts w:eastAsia="Calibri"/>
          <w:sz w:val="22"/>
          <w:szCs w:val="22"/>
          <w:lang w:eastAsia="en-US"/>
        </w:rPr>
        <w:t>лей гаджетов.</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lastRenderedPageBreak/>
        <w:t>Список литературы</w:t>
      </w:r>
    </w:p>
    <w:p w:rsidR="00281602" w:rsidRPr="00281602" w:rsidRDefault="00281602" w:rsidP="00281602">
      <w:pPr>
        <w:tabs>
          <w:tab w:val="left" w:pos="0"/>
          <w:tab w:val="left" w:pos="993"/>
        </w:tabs>
        <w:ind w:firstLine="425"/>
        <w:jc w:val="both"/>
        <w:rPr>
          <w:rFonts w:eastAsia="Calibri"/>
          <w:sz w:val="22"/>
          <w:lang w:eastAsia="en-US"/>
        </w:rPr>
      </w:pPr>
      <w:r w:rsidRPr="00281602">
        <w:rPr>
          <w:rFonts w:eastAsia="Calibri"/>
          <w:sz w:val="22"/>
          <w:lang w:eastAsia="en-US"/>
        </w:rPr>
        <w:t>1. Рубцов А.С. Обеспечение безопасности VBA-приложений / А.С. Рубцов, Т.А. Крамаренко, Т.В. Лукьяненко // Информационное общество: современное состояние и перспективы развития : сб. м</w:t>
      </w:r>
      <w:r w:rsidRPr="00281602">
        <w:rPr>
          <w:rFonts w:eastAsia="Calibri"/>
          <w:sz w:val="22"/>
          <w:lang w:eastAsia="en-US"/>
        </w:rPr>
        <w:t>а</w:t>
      </w:r>
      <w:r w:rsidRPr="00281602">
        <w:rPr>
          <w:rFonts w:eastAsia="Calibri"/>
          <w:sz w:val="22"/>
          <w:lang w:eastAsia="en-US"/>
        </w:rPr>
        <w:t>териалов IX студенческого международного форума. – Краснодар :КубГАУ, 2017. – С. 335 – 337.</w:t>
      </w:r>
    </w:p>
    <w:p w:rsidR="00281602" w:rsidRPr="00281602" w:rsidRDefault="00281602" w:rsidP="00281602">
      <w:pPr>
        <w:tabs>
          <w:tab w:val="left" w:pos="0"/>
          <w:tab w:val="left" w:pos="993"/>
        </w:tabs>
        <w:ind w:firstLine="425"/>
        <w:jc w:val="both"/>
        <w:rPr>
          <w:rFonts w:eastAsia="Calibri"/>
          <w:sz w:val="22"/>
          <w:lang w:eastAsia="en-US"/>
        </w:rPr>
      </w:pPr>
      <w:r w:rsidRPr="00281602">
        <w:rPr>
          <w:rFonts w:eastAsia="Calibri"/>
          <w:sz w:val="22"/>
          <w:lang w:eastAsia="en-US"/>
        </w:rPr>
        <w:t>2. Кранда М.С. Анализ программных продуктов для автомат</w:t>
      </w:r>
      <w:r w:rsidRPr="00281602">
        <w:rPr>
          <w:rFonts w:eastAsia="Calibri"/>
          <w:sz w:val="22"/>
          <w:lang w:eastAsia="en-US"/>
        </w:rPr>
        <w:t>и</w:t>
      </w:r>
      <w:r w:rsidRPr="00281602">
        <w:rPr>
          <w:rFonts w:eastAsia="Calibri"/>
          <w:sz w:val="22"/>
          <w:lang w:eastAsia="en-US"/>
        </w:rPr>
        <w:t>зации контроля новостроек в городе Краснодар / М. С. Кранда, Т. В. Лукьяненко // Научное обеспечение агропромышленного ко</w:t>
      </w:r>
      <w:r w:rsidRPr="00281602">
        <w:rPr>
          <w:rFonts w:eastAsia="Calibri"/>
          <w:sz w:val="22"/>
          <w:lang w:eastAsia="en-US"/>
        </w:rPr>
        <w:t>м</w:t>
      </w:r>
      <w:r w:rsidRPr="00281602">
        <w:rPr>
          <w:rFonts w:eastAsia="Calibri"/>
          <w:sz w:val="22"/>
          <w:lang w:eastAsia="en-US"/>
        </w:rPr>
        <w:t>плекса : сб. ст. по материалам Х Всеросс. конф. молодых ученых, посвященной 120-летию И. С. Косенко. Отв. за вып. А. Г. Кощаев. – Краснодар :КубГАУ, 2017. – С. 430–431.</w:t>
      </w:r>
    </w:p>
    <w:p w:rsidR="00281602" w:rsidRPr="00281602" w:rsidRDefault="00281602" w:rsidP="00281602">
      <w:pPr>
        <w:tabs>
          <w:tab w:val="left" w:pos="0"/>
          <w:tab w:val="left" w:pos="993"/>
        </w:tabs>
        <w:ind w:firstLine="425"/>
        <w:jc w:val="both"/>
        <w:rPr>
          <w:rFonts w:eastAsia="Calibri"/>
          <w:sz w:val="22"/>
          <w:lang w:eastAsia="en-US"/>
        </w:rPr>
      </w:pPr>
      <w:r w:rsidRPr="00281602">
        <w:rPr>
          <w:rFonts w:eastAsia="Calibri"/>
          <w:sz w:val="22"/>
          <w:lang w:eastAsia="en-US"/>
        </w:rPr>
        <w:t>3. Лукьяненко Т.В. Программная реализация модели В.В. Леонтьева на языке С# /  Т.В. Лукьяненко, Т.А. Крамаренко, В.Р. Лабинцева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2017. – №07(131). С. 387 – 403.</w:t>
      </w:r>
    </w:p>
    <w:p w:rsidR="00281602" w:rsidRPr="00281602" w:rsidRDefault="00281602" w:rsidP="00281602">
      <w:pPr>
        <w:tabs>
          <w:tab w:val="left" w:pos="0"/>
          <w:tab w:val="left" w:pos="993"/>
        </w:tabs>
        <w:ind w:firstLine="425"/>
        <w:jc w:val="both"/>
        <w:rPr>
          <w:rFonts w:eastAsia="Calibri"/>
          <w:sz w:val="22"/>
          <w:lang w:eastAsia="en-US"/>
        </w:rPr>
      </w:pPr>
      <w:r w:rsidRPr="00281602">
        <w:rPr>
          <w:rFonts w:eastAsia="Calibri"/>
          <w:sz w:val="22"/>
          <w:lang w:eastAsia="en-US"/>
        </w:rPr>
        <w:t xml:space="preserve">4. Лядский В.В. </w:t>
      </w:r>
      <w:hyperlink r:id="rId177" w:history="1">
        <w:r w:rsidRPr="00281602">
          <w:rPr>
            <w:rFonts w:eastAsia="Calibri"/>
            <w:sz w:val="22"/>
            <w:lang w:eastAsia="en-US"/>
          </w:rPr>
          <w:t>Разработка приложения «Кадры» с использ</w:t>
        </w:r>
        <w:r w:rsidRPr="00281602">
          <w:rPr>
            <w:rFonts w:eastAsia="Calibri"/>
            <w:sz w:val="22"/>
            <w:lang w:eastAsia="en-US"/>
          </w:rPr>
          <w:t>о</w:t>
        </w:r>
        <w:r w:rsidRPr="00281602">
          <w:rPr>
            <w:rFonts w:eastAsia="Calibri"/>
            <w:sz w:val="22"/>
            <w:lang w:eastAsia="en-US"/>
          </w:rPr>
          <w:t>ванием механизма покомпонентной оценки резюме</w:t>
        </w:r>
      </w:hyperlink>
      <w:r w:rsidRPr="00281602">
        <w:rPr>
          <w:rFonts w:eastAsia="Calibri"/>
          <w:sz w:val="22"/>
          <w:lang w:eastAsia="en-US"/>
        </w:rPr>
        <w:t xml:space="preserve"> / В.В. Лядский, Т.В. Лукьяненко // Научное обеспечение агропромышленного ко</w:t>
      </w:r>
      <w:r w:rsidRPr="00281602">
        <w:rPr>
          <w:rFonts w:eastAsia="Calibri"/>
          <w:sz w:val="22"/>
          <w:lang w:eastAsia="en-US"/>
        </w:rPr>
        <w:t>м</w:t>
      </w:r>
      <w:r w:rsidRPr="00281602">
        <w:rPr>
          <w:rFonts w:eastAsia="Calibri"/>
          <w:sz w:val="22"/>
          <w:lang w:eastAsia="en-US"/>
        </w:rPr>
        <w:t>плекса : сб. ст. по материалам 71-й науч.-практ. конф. студентов по итогам НИР за 2015 год. – Краснодар :КубГАУ, 2016. – С. 387–389.</w:t>
      </w:r>
    </w:p>
    <w:p w:rsidR="00281602" w:rsidRPr="00281602" w:rsidRDefault="00281602" w:rsidP="00281602">
      <w:pPr>
        <w:ind w:firstLine="425"/>
        <w:jc w:val="both"/>
        <w:rPr>
          <w:rFonts w:eastAsia="Calibri"/>
          <w:sz w:val="22"/>
          <w:szCs w:val="22"/>
          <w:lang w:eastAsia="en-US"/>
        </w:rPr>
      </w:pPr>
    </w:p>
    <w:p w:rsidR="00281602" w:rsidRDefault="00281602" w:rsidP="00281602">
      <w:pPr>
        <w:ind w:firstLine="425"/>
        <w:jc w:val="both"/>
        <w:rPr>
          <w:rFonts w:eastAsia="Calibri"/>
          <w:sz w:val="22"/>
          <w:szCs w:val="22"/>
          <w:lang w:eastAsia="en-US"/>
        </w:rPr>
      </w:pPr>
    </w:p>
    <w:p w:rsidR="006F7F71" w:rsidRPr="00281602" w:rsidRDefault="006F7F71" w:rsidP="00281602">
      <w:pPr>
        <w:ind w:firstLine="425"/>
        <w:jc w:val="both"/>
        <w:rPr>
          <w:rFonts w:eastAsia="Calibri"/>
          <w:sz w:val="22"/>
          <w:szCs w:val="22"/>
          <w:lang w:eastAsia="en-US"/>
        </w:rPr>
      </w:pPr>
    </w:p>
    <w:p w:rsidR="00281602" w:rsidRPr="00281602" w:rsidRDefault="00281602" w:rsidP="00281602">
      <w:pPr>
        <w:widowControl w:val="0"/>
        <w:jc w:val="both"/>
        <w:rPr>
          <w:rFonts w:eastAsia="Courier New"/>
          <w:color w:val="000000"/>
          <w:sz w:val="22"/>
          <w:szCs w:val="22"/>
          <w:lang w:val="en-US" w:eastAsia="en-US"/>
        </w:rPr>
      </w:pPr>
      <w:r w:rsidRPr="00281602">
        <w:rPr>
          <w:rFonts w:eastAsia="Courier New"/>
          <w:color w:val="000000"/>
          <w:sz w:val="22"/>
          <w:szCs w:val="22"/>
          <w:lang w:eastAsia="en-US"/>
        </w:rPr>
        <w:t>УДК</w:t>
      </w:r>
      <w:r w:rsidRPr="00281602">
        <w:rPr>
          <w:rFonts w:eastAsia="Courier New"/>
          <w:color w:val="000000"/>
          <w:sz w:val="22"/>
          <w:szCs w:val="22"/>
          <w:lang w:val="en-US" w:eastAsia="en-US"/>
        </w:rPr>
        <w:t xml:space="preserve"> 004.9</w:t>
      </w:r>
    </w:p>
    <w:p w:rsidR="00281602" w:rsidRPr="00281602" w:rsidRDefault="00281602" w:rsidP="00281602">
      <w:pPr>
        <w:widowControl w:val="0"/>
        <w:ind w:firstLine="425"/>
        <w:jc w:val="both"/>
        <w:rPr>
          <w:rFonts w:eastAsia="Courier New"/>
          <w:color w:val="000000"/>
          <w:sz w:val="22"/>
          <w:szCs w:val="22"/>
          <w:lang w:val="en-US" w:eastAsia="en-US"/>
        </w:rPr>
      </w:pPr>
    </w:p>
    <w:p w:rsidR="00281602" w:rsidRPr="00281602" w:rsidRDefault="00281602" w:rsidP="00281602">
      <w:pPr>
        <w:widowControl w:val="0"/>
        <w:ind w:firstLine="425"/>
        <w:jc w:val="center"/>
        <w:rPr>
          <w:rFonts w:eastAsia="Calibri"/>
          <w:b/>
          <w:sz w:val="24"/>
          <w:szCs w:val="24"/>
          <w:lang w:val="en-US" w:eastAsia="en-US"/>
        </w:rPr>
      </w:pPr>
      <w:r w:rsidRPr="00281602">
        <w:rPr>
          <w:rFonts w:eastAsia="Calibri"/>
          <w:b/>
          <w:sz w:val="24"/>
          <w:szCs w:val="24"/>
          <w:lang w:eastAsia="en-US"/>
        </w:rPr>
        <w:t>Использование</w:t>
      </w:r>
      <w:r w:rsidRPr="00281602">
        <w:rPr>
          <w:rFonts w:eastAsia="Calibri"/>
          <w:b/>
          <w:sz w:val="24"/>
          <w:szCs w:val="24"/>
          <w:lang w:val="en-US" w:eastAsia="en-US"/>
        </w:rPr>
        <w:t xml:space="preserve"> </w:t>
      </w:r>
      <w:r w:rsidRPr="00281602">
        <w:rPr>
          <w:rFonts w:eastAsia="Calibri"/>
          <w:b/>
          <w:sz w:val="24"/>
          <w:szCs w:val="24"/>
          <w:lang w:eastAsia="en-US"/>
        </w:rPr>
        <w:t>ботов</w:t>
      </w:r>
      <w:r w:rsidRPr="00281602">
        <w:rPr>
          <w:rFonts w:eastAsia="Calibri"/>
          <w:b/>
          <w:sz w:val="24"/>
          <w:szCs w:val="24"/>
          <w:lang w:val="en-US" w:eastAsia="en-US"/>
        </w:rPr>
        <w:t xml:space="preserve"> </w:t>
      </w:r>
      <w:r w:rsidRPr="00281602">
        <w:rPr>
          <w:rFonts w:eastAsia="Calibri"/>
          <w:b/>
          <w:sz w:val="24"/>
          <w:szCs w:val="24"/>
          <w:lang w:eastAsia="en-US"/>
        </w:rPr>
        <w:t>в</w:t>
      </w:r>
      <w:r w:rsidRPr="00281602">
        <w:rPr>
          <w:rFonts w:eastAsia="Calibri"/>
          <w:b/>
          <w:sz w:val="24"/>
          <w:szCs w:val="24"/>
          <w:lang w:val="en-US" w:eastAsia="en-US"/>
        </w:rPr>
        <w:t xml:space="preserve"> </w:t>
      </w:r>
      <w:r w:rsidRPr="00281602">
        <w:rPr>
          <w:rFonts w:eastAsia="Calibri"/>
          <w:b/>
          <w:sz w:val="24"/>
          <w:szCs w:val="24"/>
          <w:lang w:eastAsia="en-US"/>
        </w:rPr>
        <w:t>бизнесе</w:t>
      </w:r>
    </w:p>
    <w:p w:rsidR="00281602" w:rsidRPr="00281602" w:rsidRDefault="00281602" w:rsidP="00281602">
      <w:pPr>
        <w:widowControl w:val="0"/>
        <w:ind w:firstLine="425"/>
        <w:jc w:val="center"/>
        <w:rPr>
          <w:rFonts w:eastAsia="Calibri"/>
          <w:b/>
          <w:sz w:val="24"/>
          <w:szCs w:val="24"/>
          <w:lang w:val="en-US" w:eastAsia="en-US"/>
        </w:rPr>
      </w:pPr>
      <w:r w:rsidRPr="00281602">
        <w:rPr>
          <w:rFonts w:eastAsia="Calibri"/>
          <w:b/>
          <w:sz w:val="24"/>
          <w:szCs w:val="24"/>
          <w:lang w:val="en-US" w:eastAsia="en-US"/>
        </w:rPr>
        <w:t>The using of bots in business</w:t>
      </w:r>
    </w:p>
    <w:p w:rsidR="00281602" w:rsidRPr="00281602" w:rsidRDefault="00281602" w:rsidP="00281602">
      <w:pPr>
        <w:widowControl w:val="0"/>
        <w:ind w:firstLine="425"/>
        <w:jc w:val="both"/>
        <w:rPr>
          <w:rFonts w:eastAsia="Courier New"/>
          <w:b/>
          <w:color w:val="000000"/>
          <w:sz w:val="24"/>
          <w:szCs w:val="24"/>
          <w:lang w:val="en-US" w:eastAsia="en-US"/>
        </w:rPr>
      </w:pPr>
    </w:p>
    <w:p w:rsidR="00281602" w:rsidRPr="00281602" w:rsidRDefault="006F7F71" w:rsidP="008C4B7E">
      <w:pPr>
        <w:widowControl w:val="0"/>
        <w:tabs>
          <w:tab w:val="left" w:pos="8223"/>
        </w:tabs>
        <w:ind w:firstLine="425"/>
        <w:jc w:val="right"/>
        <w:rPr>
          <w:rFonts w:eastAsia="Courier New"/>
          <w:color w:val="000000"/>
          <w:sz w:val="22"/>
          <w:szCs w:val="22"/>
          <w:lang w:eastAsia="en-US"/>
        </w:rPr>
      </w:pPr>
      <w:r>
        <w:rPr>
          <w:rFonts w:eastAsia="Courier New"/>
          <w:color w:val="000000"/>
          <w:sz w:val="22"/>
          <w:szCs w:val="22"/>
          <w:lang w:eastAsia="en-US"/>
        </w:rPr>
        <w:t>Чич А. А.,</w:t>
      </w:r>
      <w:r w:rsidR="008C4B7E">
        <w:rPr>
          <w:rFonts w:eastAsia="Courier New"/>
          <w:color w:val="000000"/>
          <w:sz w:val="22"/>
          <w:szCs w:val="22"/>
          <w:lang w:eastAsia="en-US"/>
        </w:rPr>
        <w:t xml:space="preserve"> </w:t>
      </w:r>
      <w:r w:rsidR="00281602" w:rsidRPr="00281602">
        <w:rPr>
          <w:rFonts w:eastAsia="Courier New"/>
          <w:color w:val="000000"/>
          <w:sz w:val="22"/>
          <w:szCs w:val="22"/>
          <w:lang w:eastAsia="en-US"/>
        </w:rPr>
        <w:t>Федорова Ю. А.,</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w:t>
      </w:r>
      <w:r w:rsidR="008C4B7E">
        <w:rPr>
          <w:rFonts w:eastAsia="Courier New"/>
          <w:color w:val="000000"/>
          <w:sz w:val="22"/>
          <w:szCs w:val="22"/>
          <w:lang w:eastAsia="en-US"/>
        </w:rPr>
        <w:t>ы</w:t>
      </w:r>
      <w:r w:rsidRPr="00281602">
        <w:rPr>
          <w:rFonts w:eastAsia="Courier New"/>
          <w:color w:val="000000"/>
          <w:sz w:val="22"/>
          <w:szCs w:val="22"/>
          <w:lang w:eastAsia="en-US"/>
        </w:rPr>
        <w:t xml:space="preserve"> 3-го курса факультета прикладной информатики</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w:t>
      </w:r>
      <w:r w:rsidR="006F7F71">
        <w:rPr>
          <w:rFonts w:eastAsia="Courier New"/>
          <w:color w:val="000000"/>
          <w:sz w:val="22"/>
          <w:szCs w:val="22"/>
          <w:lang w:eastAsia="en-US"/>
        </w:rPr>
        <w:t>государственный аграрный</w:t>
      </w:r>
    </w:p>
    <w:p w:rsidR="00281602" w:rsidRPr="00281602" w:rsidRDefault="00281602" w:rsidP="00281602">
      <w:pPr>
        <w:widowControl w:val="0"/>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АННОТАЦИЯ: В статье рассмотрена технология ботов-</w:t>
      </w:r>
      <w:r w:rsidRPr="00281602">
        <w:rPr>
          <w:rFonts w:eastAsia="Courier New"/>
          <w:color w:val="000000"/>
          <w:sz w:val="22"/>
          <w:szCs w:val="22"/>
          <w:lang w:eastAsia="en-US"/>
        </w:rPr>
        <w:lastRenderedPageBreak/>
        <w:t>помощников и их классификация. Изучены достоинства и недоста</w:t>
      </w:r>
      <w:r w:rsidRPr="00281602">
        <w:rPr>
          <w:rFonts w:eastAsia="Courier New"/>
          <w:color w:val="000000"/>
          <w:sz w:val="22"/>
          <w:szCs w:val="22"/>
          <w:lang w:eastAsia="en-US"/>
        </w:rPr>
        <w:t>т</w:t>
      </w:r>
      <w:r w:rsidRPr="00281602">
        <w:rPr>
          <w:rFonts w:eastAsia="Courier New"/>
          <w:color w:val="000000"/>
          <w:sz w:val="22"/>
          <w:szCs w:val="22"/>
          <w:lang w:eastAsia="en-US"/>
        </w:rPr>
        <w:t>ки ботов, как для обычных пользователей, так и для бизнеса.</w:t>
      </w:r>
    </w:p>
    <w:p w:rsidR="00281602" w:rsidRPr="00281602" w:rsidRDefault="00281602" w:rsidP="00281602">
      <w:pPr>
        <w:widowControl w:val="0"/>
        <w:tabs>
          <w:tab w:val="left" w:pos="8223"/>
        </w:tabs>
        <w:ind w:firstLine="425"/>
        <w:jc w:val="both"/>
        <w:rPr>
          <w:rFonts w:eastAsia="Courier New"/>
          <w:color w:val="000000"/>
          <w:sz w:val="22"/>
          <w:szCs w:val="22"/>
          <w:shd w:val="clear" w:color="auto" w:fill="FFFFFF"/>
          <w:lang w:val="en-US" w:eastAsia="en-US"/>
        </w:rPr>
      </w:pPr>
      <w:r w:rsidRPr="00281602">
        <w:rPr>
          <w:rFonts w:eastAsia="Courier New"/>
          <w:color w:val="000000"/>
          <w:sz w:val="22"/>
          <w:szCs w:val="22"/>
          <w:lang w:val="en-US" w:eastAsia="en-US"/>
        </w:rPr>
        <w:t>ABSTRACT:</w:t>
      </w:r>
      <w:r w:rsidRPr="00281602">
        <w:rPr>
          <w:rFonts w:eastAsia="Calibri"/>
          <w:sz w:val="22"/>
          <w:szCs w:val="22"/>
          <w:lang w:val="en-US" w:eastAsia="en-US"/>
        </w:rPr>
        <w:t>The paper examines the technology of bots-assistants and their classification. There is studied the advantages and disa</w:t>
      </w:r>
      <w:r w:rsidRPr="00281602">
        <w:rPr>
          <w:rFonts w:eastAsia="Calibri"/>
          <w:sz w:val="22"/>
          <w:szCs w:val="22"/>
          <w:lang w:val="en-US" w:eastAsia="en-US"/>
        </w:rPr>
        <w:t>d</w:t>
      </w:r>
      <w:r w:rsidRPr="00281602">
        <w:rPr>
          <w:rFonts w:eastAsia="Calibri"/>
          <w:sz w:val="22"/>
          <w:szCs w:val="22"/>
          <w:lang w:val="en-US" w:eastAsia="en-US"/>
        </w:rPr>
        <w:t>vantages of bots, both for ordinary users and for business.</w:t>
      </w:r>
    </w:p>
    <w:p w:rsidR="00281602" w:rsidRPr="00281602" w:rsidRDefault="00281602" w:rsidP="00281602">
      <w:pPr>
        <w:widowControl w:val="0"/>
        <w:tabs>
          <w:tab w:val="left" w:pos="8223"/>
        </w:tabs>
        <w:ind w:firstLine="425"/>
        <w:jc w:val="both"/>
        <w:rPr>
          <w:rFonts w:eastAsia="Courier New"/>
          <w:color w:val="000000"/>
          <w:sz w:val="22"/>
          <w:szCs w:val="22"/>
          <w:lang w:eastAsia="en-US"/>
        </w:rPr>
      </w:pPr>
      <w:r w:rsidRPr="00281602">
        <w:rPr>
          <w:rFonts w:eastAsia="Courier New"/>
          <w:color w:val="000000"/>
          <w:sz w:val="22"/>
          <w:szCs w:val="22"/>
          <w:lang w:eastAsia="en-US"/>
        </w:rPr>
        <w:t>КЛЮЧЕВЫЕ СЛОВА: бот, команды, помощь, клиенты, бизнес.</w:t>
      </w:r>
    </w:p>
    <w:p w:rsidR="00281602" w:rsidRPr="00281602" w:rsidRDefault="00281602" w:rsidP="00281602">
      <w:pPr>
        <w:widowControl w:val="0"/>
        <w:tabs>
          <w:tab w:val="left" w:pos="8223"/>
        </w:tabs>
        <w:ind w:firstLine="425"/>
        <w:jc w:val="both"/>
        <w:rPr>
          <w:rFonts w:eastAsia="Calibri"/>
          <w:sz w:val="22"/>
          <w:szCs w:val="22"/>
          <w:lang w:val="en-US" w:eastAsia="en-US"/>
        </w:rPr>
      </w:pPr>
      <w:r w:rsidRPr="00281602">
        <w:rPr>
          <w:rFonts w:eastAsia="Courier New"/>
          <w:color w:val="000000"/>
          <w:sz w:val="22"/>
          <w:szCs w:val="22"/>
          <w:lang w:val="en-US" w:eastAsia="en-US"/>
        </w:rPr>
        <w:t>KEYWORDS:</w:t>
      </w:r>
      <w:r w:rsidRPr="00281602">
        <w:rPr>
          <w:rFonts w:eastAsia="Calibri"/>
          <w:sz w:val="22"/>
          <w:szCs w:val="22"/>
          <w:lang w:val="en-US" w:eastAsia="en-US"/>
        </w:rPr>
        <w:t>bot, commands, help, customers, business.</w:t>
      </w:r>
    </w:p>
    <w:p w:rsidR="00281602" w:rsidRPr="00281602" w:rsidRDefault="00281602" w:rsidP="00281602">
      <w:pPr>
        <w:widowControl w:val="0"/>
        <w:tabs>
          <w:tab w:val="left" w:pos="8223"/>
        </w:tabs>
        <w:ind w:firstLine="425"/>
        <w:jc w:val="both"/>
        <w:rPr>
          <w:rFonts w:eastAsia="Calibri"/>
          <w:sz w:val="22"/>
          <w:szCs w:val="22"/>
          <w:lang w:val="en-US" w:eastAsia="en-US"/>
        </w:rPr>
      </w:pPr>
    </w:p>
    <w:p w:rsidR="00281602" w:rsidRPr="00281602" w:rsidRDefault="00281602" w:rsidP="00281602">
      <w:pPr>
        <w:ind w:firstLine="425"/>
        <w:jc w:val="both"/>
        <w:rPr>
          <w:rFonts w:eastAsia="Calibri"/>
          <w:i/>
          <w:sz w:val="22"/>
          <w:szCs w:val="22"/>
          <w:lang w:eastAsia="en-US"/>
        </w:rPr>
      </w:pPr>
      <w:r w:rsidRPr="00281602">
        <w:rPr>
          <w:rFonts w:eastAsia="Calibri"/>
          <w:sz w:val="22"/>
          <w:szCs w:val="22"/>
          <w:lang w:eastAsia="en-US"/>
        </w:rPr>
        <w:t>Мессенджеры прочно вошли в повседневную жизнь практич</w:t>
      </w:r>
      <w:r w:rsidRPr="00281602">
        <w:rPr>
          <w:rFonts w:eastAsia="Calibri"/>
          <w:sz w:val="22"/>
          <w:szCs w:val="22"/>
          <w:lang w:eastAsia="en-US"/>
        </w:rPr>
        <w:t>е</w:t>
      </w:r>
      <w:r w:rsidRPr="00281602">
        <w:rPr>
          <w:rFonts w:eastAsia="Calibri"/>
          <w:sz w:val="22"/>
          <w:szCs w:val="22"/>
          <w:lang w:eastAsia="en-US"/>
        </w:rPr>
        <w:t>ски любого интернет-пользователя. Их функционал постоянно улучшается, и все больше людей готовы отказаться от социальных сетей, полностью перейдя на эти программы для обмена сообщен</w:t>
      </w:r>
      <w:r w:rsidRPr="00281602">
        <w:rPr>
          <w:rFonts w:eastAsia="Calibri"/>
          <w:sz w:val="22"/>
          <w:szCs w:val="22"/>
          <w:lang w:eastAsia="en-US"/>
        </w:rPr>
        <w:t>и</w:t>
      </w:r>
      <w:r w:rsidRPr="00281602">
        <w:rPr>
          <w:rFonts w:eastAsia="Calibri"/>
          <w:sz w:val="22"/>
          <w:szCs w:val="22"/>
          <w:lang w:eastAsia="en-US"/>
        </w:rPr>
        <w:t>ями. И действительно, зачем ставить дополнительные программы или запускать браузер, когда практически любую задачу можно в</w:t>
      </w:r>
      <w:r w:rsidRPr="00281602">
        <w:rPr>
          <w:rFonts w:eastAsia="Calibri"/>
          <w:sz w:val="22"/>
          <w:szCs w:val="22"/>
          <w:lang w:eastAsia="en-US"/>
        </w:rPr>
        <w:t>ы</w:t>
      </w:r>
      <w:r w:rsidRPr="00281602">
        <w:rPr>
          <w:rFonts w:eastAsia="Calibri"/>
          <w:sz w:val="22"/>
          <w:szCs w:val="22"/>
          <w:lang w:eastAsia="en-US"/>
        </w:rPr>
        <w:t>полнить с помощью бота.</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Боты – это специальные роботы-помощники, выполняющие различные функции и упрощающие жизнь пользователей. Взаим</w:t>
      </w:r>
      <w:r w:rsidRPr="00281602">
        <w:rPr>
          <w:rFonts w:eastAsia="Calibri"/>
          <w:sz w:val="22"/>
          <w:szCs w:val="22"/>
          <w:lang w:eastAsia="en-US"/>
        </w:rPr>
        <w:t>о</w:t>
      </w:r>
      <w:r w:rsidRPr="00281602">
        <w:rPr>
          <w:rFonts w:eastAsia="Calibri"/>
          <w:sz w:val="22"/>
          <w:szCs w:val="22"/>
          <w:lang w:eastAsia="en-US"/>
        </w:rPr>
        <w:t>действие между пользователем и ботом происходит через обычный чат. Бот получает команды, которые он готов выполнять круглос</w:t>
      </w:r>
      <w:r w:rsidRPr="00281602">
        <w:rPr>
          <w:rFonts w:eastAsia="Calibri"/>
          <w:sz w:val="22"/>
          <w:szCs w:val="22"/>
          <w:lang w:eastAsia="en-US"/>
        </w:rPr>
        <w:t>у</w:t>
      </w:r>
      <w:r w:rsidRPr="00281602">
        <w:rPr>
          <w:rFonts w:eastAsia="Calibri"/>
          <w:sz w:val="22"/>
          <w:szCs w:val="22"/>
          <w:lang w:eastAsia="en-US"/>
        </w:rPr>
        <w:t>точно. Программа имитирует действия живого человека, за счет ч</w:t>
      </w:r>
      <w:r w:rsidRPr="00281602">
        <w:rPr>
          <w:rFonts w:eastAsia="Calibri"/>
          <w:sz w:val="22"/>
          <w:szCs w:val="22"/>
          <w:lang w:eastAsia="en-US"/>
        </w:rPr>
        <w:t>е</w:t>
      </w:r>
      <w:r w:rsidRPr="00281602">
        <w:rPr>
          <w:rFonts w:eastAsia="Calibri"/>
          <w:sz w:val="22"/>
          <w:szCs w:val="22"/>
          <w:lang w:eastAsia="en-US"/>
        </w:rPr>
        <w:t xml:space="preserve">го пользование таким ботом удобно и понятно.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В программах-мессенджерах используется один общий вид б</w:t>
      </w:r>
      <w:r w:rsidRPr="00281602">
        <w:rPr>
          <w:rFonts w:eastAsia="Calibri"/>
          <w:sz w:val="22"/>
          <w:szCs w:val="22"/>
          <w:lang w:eastAsia="en-US"/>
        </w:rPr>
        <w:t>о</w:t>
      </w:r>
      <w:r w:rsidRPr="00281602">
        <w:rPr>
          <w:rFonts w:eastAsia="Calibri"/>
          <w:sz w:val="22"/>
          <w:szCs w:val="22"/>
          <w:lang w:eastAsia="en-US"/>
        </w:rPr>
        <w:t>тов, которых от обычных пользователей мессенджера отличает только наличие приставки «bot» в имени. Сами же боты делятся на несколько направлений:</w:t>
      </w:r>
    </w:p>
    <w:p w:rsidR="00281602" w:rsidRPr="00281602" w:rsidRDefault="00281602" w:rsidP="002D7DA5">
      <w:pPr>
        <w:numPr>
          <w:ilvl w:val="0"/>
          <w:numId w:val="57"/>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Чат-боты. Представляют из себя простейший чат, имитир</w:t>
      </w:r>
      <w:r w:rsidRPr="00281602">
        <w:rPr>
          <w:rFonts w:eastAsia="Calibri"/>
          <w:sz w:val="22"/>
          <w:szCs w:val="22"/>
          <w:lang w:eastAsia="en-US"/>
        </w:rPr>
        <w:t>у</w:t>
      </w:r>
      <w:r w:rsidRPr="00281602">
        <w:rPr>
          <w:rFonts w:eastAsia="Calibri"/>
          <w:sz w:val="22"/>
          <w:szCs w:val="22"/>
          <w:lang w:eastAsia="en-US"/>
        </w:rPr>
        <w:t>ющий общение на заданную пользователем тематику.</w:t>
      </w:r>
    </w:p>
    <w:p w:rsidR="00281602" w:rsidRPr="00281602" w:rsidRDefault="00281602" w:rsidP="002D7DA5">
      <w:pPr>
        <w:numPr>
          <w:ilvl w:val="0"/>
          <w:numId w:val="57"/>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Боты-информаторы. Их главная цель – информирование пользователя о тех или иных событиях (новости, мероприятия, пу</w:t>
      </w:r>
      <w:r w:rsidRPr="00281602">
        <w:rPr>
          <w:rFonts w:eastAsia="Calibri"/>
          <w:sz w:val="22"/>
          <w:szCs w:val="22"/>
          <w:lang w:eastAsia="en-US"/>
        </w:rPr>
        <w:t>б</w:t>
      </w:r>
      <w:r w:rsidRPr="00281602">
        <w:rPr>
          <w:rFonts w:eastAsia="Calibri"/>
          <w:sz w:val="22"/>
          <w:szCs w:val="22"/>
          <w:lang w:eastAsia="en-US"/>
        </w:rPr>
        <w:t>ликации и т.п.).</w:t>
      </w:r>
    </w:p>
    <w:p w:rsidR="00281602" w:rsidRPr="00281602" w:rsidRDefault="00281602" w:rsidP="002D7DA5">
      <w:pPr>
        <w:numPr>
          <w:ilvl w:val="0"/>
          <w:numId w:val="57"/>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Игровые боты. Боты, в которых можно играть в различные игры.</w:t>
      </w:r>
    </w:p>
    <w:p w:rsidR="00281602" w:rsidRPr="00281602" w:rsidRDefault="00281602" w:rsidP="002D7DA5">
      <w:pPr>
        <w:numPr>
          <w:ilvl w:val="0"/>
          <w:numId w:val="57"/>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Боты-ассистенты. Боты, разработанные различными онлайн-сервисами как дополнение к основной веб-версии.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Боты стали карманными помощниками, пользоваться которыми можно даже не покидая мессенджер. На наш взгляд, достоинствами ботов являются:</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lastRenderedPageBreak/>
        <w:t>Круглосуточная помощь: их работу остановит только авария на сервере, что случается крайне редко.</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Удобство использования: большинство команд находится в меню бота.</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Ответы приходят за несколько секунд.</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Для работы используются ресурсы сторонних серверов, так что мощности устройства пользователя не задействованы.</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Безопасность. Боты никак не украдут данные, так как все, что им доступно – это текстовые команды из чата.</w:t>
      </w:r>
    </w:p>
    <w:p w:rsidR="00281602" w:rsidRPr="00281602" w:rsidRDefault="00281602" w:rsidP="002D7DA5">
      <w:pPr>
        <w:numPr>
          <w:ilvl w:val="0"/>
          <w:numId w:val="58"/>
        </w:numPr>
        <w:spacing w:after="160" w:line="259" w:lineRule="auto"/>
        <w:ind w:left="0" w:firstLine="425"/>
        <w:contextualSpacing/>
        <w:jc w:val="both"/>
        <w:rPr>
          <w:rFonts w:eastAsia="Calibri"/>
          <w:sz w:val="22"/>
          <w:szCs w:val="22"/>
          <w:lang w:eastAsia="en-US"/>
        </w:rPr>
      </w:pPr>
      <w:r w:rsidRPr="00281602">
        <w:rPr>
          <w:rFonts w:eastAsia="Calibri"/>
          <w:sz w:val="22"/>
          <w:szCs w:val="22"/>
          <w:lang w:eastAsia="en-US"/>
        </w:rPr>
        <w:t>Установка дополнительных программ не требуется.</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Многие компании, развивающие бизнес через интернет, и</w:t>
      </w:r>
      <w:r w:rsidRPr="00281602">
        <w:rPr>
          <w:rFonts w:eastAsia="Calibri"/>
          <w:sz w:val="22"/>
          <w:szCs w:val="22"/>
          <w:lang w:eastAsia="en-US"/>
        </w:rPr>
        <w:t>с</w:t>
      </w:r>
      <w:r w:rsidRPr="00281602">
        <w:rPr>
          <w:rFonts w:eastAsia="Calibri"/>
          <w:sz w:val="22"/>
          <w:szCs w:val="22"/>
          <w:lang w:eastAsia="en-US"/>
        </w:rPr>
        <w:t>пользуют возможности ботов по нескольким причинам: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w:t>
      </w:r>
      <w:r w:rsidRPr="00281602">
        <w:rPr>
          <w:rFonts w:eastAsia="Calibri"/>
          <w:sz w:val="22"/>
          <w:szCs w:val="22"/>
          <w:lang w:eastAsia="en-US"/>
        </w:rPr>
        <w:tab/>
        <w:t>Они позволяют задействовать очередной канал коммуник</w:t>
      </w:r>
      <w:r w:rsidRPr="00281602">
        <w:rPr>
          <w:rFonts w:eastAsia="Calibri"/>
          <w:sz w:val="22"/>
          <w:szCs w:val="22"/>
          <w:lang w:eastAsia="en-US"/>
        </w:rPr>
        <w:t>а</w:t>
      </w:r>
      <w:r w:rsidRPr="00281602">
        <w:rPr>
          <w:rFonts w:eastAsia="Calibri"/>
          <w:sz w:val="22"/>
          <w:szCs w:val="22"/>
          <w:lang w:eastAsia="en-US"/>
        </w:rPr>
        <w:t>ции с целевой аудиторией.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w:t>
      </w:r>
      <w:r w:rsidRPr="00281602">
        <w:rPr>
          <w:rFonts w:eastAsia="Calibri"/>
          <w:sz w:val="22"/>
          <w:szCs w:val="22"/>
          <w:lang w:eastAsia="en-US"/>
        </w:rPr>
        <w:tab/>
        <w:t>Боты быстро выполняют однообразную работу, позволяя разгрузить наемных сотрудников, тем самым экономя деньги ко</w:t>
      </w:r>
      <w:r w:rsidRPr="00281602">
        <w:rPr>
          <w:rFonts w:eastAsia="Calibri"/>
          <w:sz w:val="22"/>
          <w:szCs w:val="22"/>
          <w:lang w:eastAsia="en-US"/>
        </w:rPr>
        <w:t>м</w:t>
      </w:r>
      <w:r w:rsidRPr="00281602">
        <w:rPr>
          <w:rFonts w:eastAsia="Calibri"/>
          <w:sz w:val="22"/>
          <w:szCs w:val="22"/>
          <w:lang w:eastAsia="en-US"/>
        </w:rPr>
        <w:t>пании.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3. С помощью ботов можно уделить персональное внимание каждому клиенту, что открывает новые возможности для продв</w:t>
      </w:r>
      <w:r w:rsidRPr="00281602">
        <w:rPr>
          <w:rFonts w:eastAsia="Calibri"/>
          <w:sz w:val="22"/>
          <w:szCs w:val="22"/>
          <w:lang w:eastAsia="en-US"/>
        </w:rPr>
        <w:t>и</w:t>
      </w:r>
      <w:r w:rsidRPr="00281602">
        <w:rPr>
          <w:rFonts w:eastAsia="Calibri"/>
          <w:sz w:val="22"/>
          <w:szCs w:val="22"/>
          <w:lang w:eastAsia="en-US"/>
        </w:rPr>
        <w:t>жения услуги, дополнительных бонусов и может принести огро</w:t>
      </w:r>
      <w:r w:rsidRPr="00281602">
        <w:rPr>
          <w:rFonts w:eastAsia="Calibri"/>
          <w:sz w:val="22"/>
          <w:szCs w:val="22"/>
          <w:lang w:eastAsia="en-US"/>
        </w:rPr>
        <w:t>м</w:t>
      </w:r>
      <w:r w:rsidRPr="00281602">
        <w:rPr>
          <w:rFonts w:eastAsia="Calibri"/>
          <w:sz w:val="22"/>
          <w:szCs w:val="22"/>
          <w:lang w:eastAsia="en-US"/>
        </w:rPr>
        <w:t>ную отдачу.</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4. Текстовый интерфейс потребляет мало трафика. Это очень важно в свете того, что около половины клиентов выходят в инте</w:t>
      </w:r>
      <w:r w:rsidRPr="00281602">
        <w:rPr>
          <w:rFonts w:eastAsia="Calibri"/>
          <w:sz w:val="22"/>
          <w:szCs w:val="22"/>
          <w:lang w:eastAsia="en-US"/>
        </w:rPr>
        <w:t>р</w:t>
      </w:r>
      <w:r w:rsidRPr="00281602">
        <w:rPr>
          <w:rFonts w:eastAsia="Calibri"/>
          <w:sz w:val="22"/>
          <w:szCs w:val="22"/>
          <w:lang w:eastAsia="en-US"/>
        </w:rPr>
        <w:t xml:space="preserve">нет только с мобильных устройств и не у всех есть безлимитный интернет или высокая скорость.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5. Защита от конкурентов. С ботами только владелец ботазн</w:t>
      </w:r>
      <w:r w:rsidRPr="00281602">
        <w:rPr>
          <w:rFonts w:eastAsia="Calibri"/>
          <w:sz w:val="22"/>
          <w:szCs w:val="22"/>
          <w:lang w:eastAsia="en-US"/>
        </w:rPr>
        <w:t>а</w:t>
      </w:r>
      <w:r w:rsidRPr="00281602">
        <w:rPr>
          <w:rFonts w:eastAsia="Calibri"/>
          <w:sz w:val="22"/>
          <w:szCs w:val="22"/>
          <w:lang w:eastAsia="en-US"/>
        </w:rPr>
        <w:t>етсвоих клиентов и не показывает их конкурентам.</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6. Чтобы воспользоваться ботом, клиенту не нужно скачивать и устанавливать приложение на телефон или заполнять форму рег</w:t>
      </w:r>
      <w:r w:rsidRPr="00281602">
        <w:rPr>
          <w:rFonts w:eastAsia="Calibri"/>
          <w:sz w:val="22"/>
          <w:szCs w:val="22"/>
          <w:lang w:eastAsia="en-US"/>
        </w:rPr>
        <w:t>и</w:t>
      </w:r>
      <w:r w:rsidRPr="00281602">
        <w:rPr>
          <w:rFonts w:eastAsia="Calibri"/>
          <w:sz w:val="22"/>
          <w:szCs w:val="22"/>
          <w:lang w:eastAsia="en-US"/>
        </w:rPr>
        <w:t xml:space="preserve">страции на сайте или в приложении.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К сожалению, современные боты имеют некоторые недостатки. Например, большинство разработчиков стремится сделать униве</w:t>
      </w:r>
      <w:r w:rsidRPr="00281602">
        <w:rPr>
          <w:rFonts w:eastAsia="Calibri"/>
          <w:sz w:val="22"/>
          <w:szCs w:val="22"/>
          <w:lang w:eastAsia="en-US"/>
        </w:rPr>
        <w:t>р</w:t>
      </w:r>
      <w:r w:rsidRPr="00281602">
        <w:rPr>
          <w:rFonts w:eastAsia="Calibri"/>
          <w:sz w:val="22"/>
          <w:szCs w:val="22"/>
          <w:lang w:eastAsia="en-US"/>
        </w:rPr>
        <w:t>сального бота, который сможет стать полноценным ассистентом пользователя. Вот только на практике получается так, что слишком «функциональные» боты не справляются с большинством запросов. Также недостатком можно назвать «запутанный» интерфейс. Общ</w:t>
      </w:r>
      <w:r w:rsidRPr="00281602">
        <w:rPr>
          <w:rFonts w:eastAsia="Calibri"/>
          <w:sz w:val="22"/>
          <w:szCs w:val="22"/>
          <w:lang w:eastAsia="en-US"/>
        </w:rPr>
        <w:t>е</w:t>
      </w:r>
      <w:r w:rsidRPr="00281602">
        <w:rPr>
          <w:rFonts w:eastAsia="Calibri"/>
          <w:sz w:val="22"/>
          <w:szCs w:val="22"/>
          <w:lang w:eastAsia="en-US"/>
        </w:rPr>
        <w:t>ние с ботом должно экономить время, но если бот не понимает к</w:t>
      </w:r>
      <w:r w:rsidRPr="00281602">
        <w:rPr>
          <w:rFonts w:eastAsia="Calibri"/>
          <w:sz w:val="22"/>
          <w:szCs w:val="22"/>
          <w:lang w:eastAsia="en-US"/>
        </w:rPr>
        <w:t>о</w:t>
      </w:r>
      <w:r w:rsidRPr="00281602">
        <w:rPr>
          <w:rFonts w:eastAsia="Calibri"/>
          <w:sz w:val="22"/>
          <w:szCs w:val="22"/>
          <w:lang w:eastAsia="en-US"/>
        </w:rPr>
        <w:lastRenderedPageBreak/>
        <w:t>манды пользователя, то нужно время, чтобы узнать, на какие к</w:t>
      </w:r>
      <w:r w:rsidRPr="00281602">
        <w:rPr>
          <w:rFonts w:eastAsia="Calibri"/>
          <w:sz w:val="22"/>
          <w:szCs w:val="22"/>
          <w:lang w:eastAsia="en-US"/>
        </w:rPr>
        <w:t>о</w:t>
      </w:r>
      <w:r w:rsidRPr="00281602">
        <w:rPr>
          <w:rFonts w:eastAsia="Calibri"/>
          <w:sz w:val="22"/>
          <w:szCs w:val="22"/>
          <w:lang w:eastAsia="en-US"/>
        </w:rPr>
        <w:t xml:space="preserve">манды бот может реагировать корректно, а какие вопросы лучше ему не задавать.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На сегодняшний день, технология ботов находится на начал</w:t>
      </w:r>
      <w:r w:rsidRPr="00281602">
        <w:rPr>
          <w:rFonts w:eastAsia="Calibri"/>
          <w:sz w:val="22"/>
          <w:szCs w:val="22"/>
          <w:lang w:eastAsia="en-US"/>
        </w:rPr>
        <w:t>ь</w:t>
      </w:r>
      <w:r w:rsidRPr="00281602">
        <w:rPr>
          <w:rFonts w:eastAsia="Calibri"/>
          <w:sz w:val="22"/>
          <w:szCs w:val="22"/>
          <w:lang w:eastAsia="en-US"/>
        </w:rPr>
        <w:t>ной стадии развития, но виртуальные помощники приносят пользу во многих сферах: оптимизируют клиентскую поддержку, проводят опросы и заполняют документы, делают рассылку новостей, ра</w:t>
      </w:r>
      <w:r w:rsidRPr="00281602">
        <w:rPr>
          <w:rFonts w:eastAsia="Calibri"/>
          <w:sz w:val="22"/>
          <w:szCs w:val="22"/>
          <w:lang w:eastAsia="en-US"/>
        </w:rPr>
        <w:t>з</w:t>
      </w:r>
      <w:r w:rsidRPr="00281602">
        <w:rPr>
          <w:rFonts w:eastAsia="Calibri"/>
          <w:sz w:val="22"/>
          <w:szCs w:val="22"/>
          <w:lang w:eastAsia="en-US"/>
        </w:rPr>
        <w:t>влекают пользователей и так далее. Возрастающая популярность этойотрасли означает, что на рынке информационных технологий достаточно места для новых разработок. Так что именно сейчас стоит начать реализовывать перспективный бот-проект.</w:t>
      </w:r>
    </w:p>
    <w:p w:rsidR="00281602" w:rsidRPr="00281602" w:rsidRDefault="00281602" w:rsidP="00281602">
      <w:pPr>
        <w:widowControl w:val="0"/>
        <w:autoSpaceDE w:val="0"/>
        <w:autoSpaceDN w:val="0"/>
        <w:adjustRightInd w:val="0"/>
        <w:ind w:firstLine="425"/>
        <w:jc w:val="both"/>
        <w:rPr>
          <w:rFonts w:eastAsia="Calibri"/>
          <w:color w:val="000000"/>
          <w:sz w:val="22"/>
          <w:szCs w:val="22"/>
          <w:lang w:eastAsia="en-US"/>
        </w:rPr>
      </w:pPr>
    </w:p>
    <w:p w:rsidR="00281602" w:rsidRDefault="00281602" w:rsidP="00281602">
      <w:pPr>
        <w:ind w:firstLine="425"/>
        <w:jc w:val="both"/>
        <w:rPr>
          <w:rFonts w:eastAsia="Calibri"/>
          <w:sz w:val="22"/>
          <w:szCs w:val="22"/>
          <w:lang w:eastAsia="en-US"/>
        </w:rPr>
      </w:pPr>
    </w:p>
    <w:p w:rsidR="008C4B7E" w:rsidRPr="00281602" w:rsidRDefault="008C4B7E" w:rsidP="00281602">
      <w:pPr>
        <w:ind w:firstLine="425"/>
        <w:jc w:val="both"/>
        <w:rPr>
          <w:rFonts w:eastAsia="Calibri"/>
          <w:sz w:val="22"/>
          <w:szCs w:val="22"/>
          <w:lang w:eastAsia="en-US"/>
        </w:rPr>
      </w:pPr>
    </w:p>
    <w:p w:rsidR="00281602" w:rsidRPr="008C4B7E" w:rsidRDefault="00281602" w:rsidP="00281602">
      <w:pPr>
        <w:tabs>
          <w:tab w:val="left" w:pos="8223"/>
        </w:tabs>
        <w:jc w:val="both"/>
        <w:rPr>
          <w:rFonts w:eastAsia="Courier New"/>
          <w:color w:val="000000"/>
          <w:sz w:val="22"/>
          <w:szCs w:val="22"/>
          <w:lang w:eastAsia="en-US"/>
        </w:rPr>
      </w:pPr>
      <w:r w:rsidRPr="00281602">
        <w:rPr>
          <w:rFonts w:eastAsia="Courier New"/>
          <w:color w:val="000000"/>
          <w:sz w:val="22"/>
          <w:szCs w:val="22"/>
          <w:lang w:eastAsia="en-US"/>
        </w:rPr>
        <w:t>УДК</w:t>
      </w:r>
      <w:r w:rsidRPr="008C4B7E">
        <w:rPr>
          <w:rFonts w:eastAsia="Courier New"/>
          <w:color w:val="000000"/>
          <w:sz w:val="22"/>
          <w:szCs w:val="22"/>
          <w:lang w:eastAsia="en-US"/>
        </w:rPr>
        <w:t xml:space="preserve"> 004.056.53</w:t>
      </w:r>
    </w:p>
    <w:p w:rsidR="00281602" w:rsidRPr="008C4B7E" w:rsidRDefault="00281602" w:rsidP="00281602">
      <w:pPr>
        <w:ind w:firstLine="425"/>
        <w:jc w:val="both"/>
        <w:rPr>
          <w:rFonts w:eastAsia="Calibri"/>
          <w:sz w:val="22"/>
          <w:szCs w:val="22"/>
          <w:lang w:eastAsia="en-US"/>
        </w:rPr>
      </w:pPr>
    </w:p>
    <w:p w:rsidR="00281602" w:rsidRPr="008C4B7E" w:rsidRDefault="00281602" w:rsidP="008C4B7E">
      <w:pPr>
        <w:jc w:val="center"/>
        <w:rPr>
          <w:rFonts w:eastAsia="Calibri"/>
          <w:b/>
          <w:sz w:val="24"/>
          <w:szCs w:val="24"/>
          <w:lang w:eastAsia="en-US"/>
        </w:rPr>
      </w:pPr>
      <w:r w:rsidRPr="008C4B7E">
        <w:rPr>
          <w:rFonts w:eastAsia="Calibri"/>
          <w:b/>
          <w:sz w:val="24"/>
          <w:szCs w:val="24"/>
          <w:lang w:val="en-US" w:eastAsia="en-US"/>
        </w:rPr>
        <w:t>Cisco</w:t>
      </w:r>
      <w:r w:rsidRPr="008C4B7E">
        <w:rPr>
          <w:rFonts w:eastAsia="Calibri"/>
          <w:b/>
          <w:sz w:val="24"/>
          <w:szCs w:val="24"/>
          <w:lang w:eastAsia="en-US"/>
        </w:rPr>
        <w:t xml:space="preserve"> </w:t>
      </w:r>
      <w:r w:rsidRPr="008C4B7E">
        <w:rPr>
          <w:rFonts w:eastAsia="Calibri"/>
          <w:b/>
          <w:sz w:val="24"/>
          <w:szCs w:val="24"/>
          <w:lang w:val="en-US" w:eastAsia="en-US"/>
        </w:rPr>
        <w:t>Digital</w:t>
      </w:r>
      <w:r w:rsidRPr="008C4B7E">
        <w:rPr>
          <w:rFonts w:eastAsia="Calibri"/>
          <w:b/>
          <w:sz w:val="24"/>
          <w:szCs w:val="24"/>
          <w:lang w:eastAsia="en-US"/>
        </w:rPr>
        <w:t xml:space="preserve"> </w:t>
      </w:r>
      <w:r w:rsidRPr="008C4B7E">
        <w:rPr>
          <w:rFonts w:eastAsia="Calibri"/>
          <w:b/>
          <w:sz w:val="24"/>
          <w:szCs w:val="24"/>
          <w:lang w:val="en-US" w:eastAsia="en-US"/>
        </w:rPr>
        <w:t>Network</w:t>
      </w:r>
      <w:r w:rsidRPr="008C4B7E">
        <w:rPr>
          <w:rFonts w:eastAsia="Calibri"/>
          <w:b/>
          <w:sz w:val="24"/>
          <w:szCs w:val="24"/>
          <w:lang w:eastAsia="en-US"/>
        </w:rPr>
        <w:t xml:space="preserve"> </w:t>
      </w:r>
      <w:r w:rsidRPr="008C4B7E">
        <w:rPr>
          <w:rFonts w:eastAsia="Calibri"/>
          <w:b/>
          <w:sz w:val="24"/>
          <w:szCs w:val="24"/>
          <w:lang w:val="en-US" w:eastAsia="en-US"/>
        </w:rPr>
        <w:t>Architecture</w:t>
      </w:r>
      <w:r w:rsidRPr="008C4B7E">
        <w:rPr>
          <w:rFonts w:eastAsia="Calibri"/>
          <w:b/>
          <w:sz w:val="24"/>
          <w:szCs w:val="24"/>
          <w:lang w:eastAsia="en-US"/>
        </w:rPr>
        <w:t xml:space="preserve"> как новая ступень</w:t>
      </w:r>
      <w:r w:rsidR="008C4B7E">
        <w:rPr>
          <w:rFonts w:eastAsia="Calibri"/>
          <w:b/>
          <w:sz w:val="24"/>
          <w:szCs w:val="24"/>
          <w:lang w:eastAsia="en-US"/>
        </w:rPr>
        <w:br/>
      </w:r>
      <w:r w:rsidRPr="008C4B7E">
        <w:rPr>
          <w:rFonts w:eastAsia="Calibri"/>
          <w:b/>
          <w:sz w:val="24"/>
          <w:szCs w:val="24"/>
          <w:lang w:eastAsia="en-US"/>
        </w:rPr>
        <w:t>развития сетей</w:t>
      </w:r>
    </w:p>
    <w:p w:rsidR="00281602" w:rsidRPr="008C4B7E" w:rsidRDefault="00281602" w:rsidP="00281602">
      <w:pPr>
        <w:tabs>
          <w:tab w:val="left" w:pos="8223"/>
        </w:tabs>
        <w:jc w:val="center"/>
        <w:rPr>
          <w:rFonts w:eastAsia="Courier New"/>
          <w:b/>
          <w:color w:val="000000"/>
          <w:sz w:val="24"/>
          <w:szCs w:val="24"/>
          <w:lang w:val="en-US" w:eastAsia="en-US"/>
        </w:rPr>
      </w:pPr>
      <w:r w:rsidRPr="008C4B7E">
        <w:rPr>
          <w:rFonts w:eastAsia="Courier New"/>
          <w:b/>
          <w:color w:val="000000"/>
          <w:sz w:val="24"/>
          <w:szCs w:val="24"/>
          <w:lang w:val="en-US" w:eastAsia="en-US"/>
        </w:rPr>
        <w:t xml:space="preserve">Cisco Digital Network Architecture as a new stage of networks </w:t>
      </w:r>
    </w:p>
    <w:p w:rsidR="00281602" w:rsidRPr="00281602" w:rsidRDefault="00281602" w:rsidP="00281602">
      <w:pPr>
        <w:tabs>
          <w:tab w:val="left" w:pos="8223"/>
        </w:tabs>
        <w:jc w:val="center"/>
        <w:rPr>
          <w:rFonts w:eastAsia="Courier New"/>
          <w:b/>
          <w:color w:val="000000"/>
          <w:sz w:val="22"/>
          <w:szCs w:val="22"/>
          <w:lang w:eastAsia="en-US"/>
        </w:rPr>
      </w:pPr>
      <w:r w:rsidRPr="008C4B7E">
        <w:rPr>
          <w:rFonts w:eastAsia="Courier New"/>
          <w:b/>
          <w:color w:val="000000"/>
          <w:sz w:val="24"/>
          <w:szCs w:val="24"/>
          <w:lang w:val="en-US" w:eastAsia="en-US"/>
        </w:rPr>
        <w:t>development</w:t>
      </w:r>
    </w:p>
    <w:p w:rsidR="00281602" w:rsidRPr="00281602" w:rsidRDefault="00281602" w:rsidP="00281602">
      <w:pPr>
        <w:tabs>
          <w:tab w:val="left" w:pos="8223"/>
        </w:tabs>
        <w:ind w:firstLine="425"/>
        <w:jc w:val="both"/>
        <w:rPr>
          <w:rFonts w:eastAsia="Courier New"/>
          <w:b/>
          <w:color w:val="000000"/>
          <w:sz w:val="22"/>
          <w:szCs w:val="22"/>
          <w:lang w:eastAsia="en-US"/>
        </w:rPr>
      </w:pP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Шевченко А. В.,</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студент 4-го курса прикладной информатики</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 xml:space="preserve">Кубанский государственный аграрный </w:t>
      </w:r>
    </w:p>
    <w:p w:rsidR="00281602" w:rsidRPr="00281602" w:rsidRDefault="00281602" w:rsidP="00281602">
      <w:pPr>
        <w:tabs>
          <w:tab w:val="left" w:pos="8223"/>
        </w:tabs>
        <w:ind w:firstLine="425"/>
        <w:jc w:val="right"/>
        <w:rPr>
          <w:rFonts w:eastAsia="Courier New"/>
          <w:color w:val="000000"/>
          <w:sz w:val="22"/>
          <w:szCs w:val="22"/>
          <w:lang w:eastAsia="en-US"/>
        </w:rPr>
      </w:pPr>
      <w:r w:rsidRPr="00281602">
        <w:rPr>
          <w:rFonts w:eastAsia="Courier New"/>
          <w:color w:val="000000"/>
          <w:sz w:val="22"/>
          <w:szCs w:val="22"/>
          <w:lang w:eastAsia="en-US"/>
        </w:rPr>
        <w:t>университет имени И.Т. Трубилина</w:t>
      </w:r>
    </w:p>
    <w:p w:rsidR="00281602" w:rsidRPr="00281602" w:rsidRDefault="00281602" w:rsidP="00281602">
      <w:pPr>
        <w:ind w:firstLine="425"/>
        <w:jc w:val="both"/>
        <w:rPr>
          <w:rFonts w:eastAsia="Calibri"/>
          <w:sz w:val="22"/>
          <w:szCs w:val="22"/>
          <w:lang w:eastAsia="en-US"/>
        </w:rPr>
      </w:pPr>
    </w:p>
    <w:p w:rsidR="00281602" w:rsidRPr="00281602" w:rsidRDefault="00281602" w:rsidP="00281602">
      <w:pPr>
        <w:ind w:firstLine="425"/>
        <w:jc w:val="both"/>
        <w:rPr>
          <w:rFonts w:eastAsia="Calibri"/>
          <w:color w:val="000000"/>
          <w:sz w:val="22"/>
          <w:szCs w:val="22"/>
          <w:lang w:eastAsia="en-US"/>
        </w:rPr>
      </w:pPr>
      <w:r w:rsidRPr="00281602">
        <w:rPr>
          <w:rFonts w:eastAsia="Calibri"/>
          <w:color w:val="000000"/>
          <w:sz w:val="22"/>
          <w:szCs w:val="22"/>
          <w:lang w:eastAsia="en-US"/>
        </w:rPr>
        <w:t xml:space="preserve">АННОТАЦИЯ: </w:t>
      </w:r>
      <w:r w:rsidRPr="00281602">
        <w:rPr>
          <w:rFonts w:eastAsia="Calibri"/>
          <w:sz w:val="22"/>
          <w:szCs w:val="22"/>
          <w:lang w:eastAsia="en-US"/>
        </w:rPr>
        <w:t>В статье рассмотрены основные аспекты арх</w:t>
      </w:r>
      <w:r w:rsidRPr="00281602">
        <w:rPr>
          <w:rFonts w:eastAsia="Calibri"/>
          <w:sz w:val="22"/>
          <w:szCs w:val="22"/>
          <w:lang w:eastAsia="en-US"/>
        </w:rPr>
        <w:t>и</w:t>
      </w:r>
      <w:r w:rsidRPr="00281602">
        <w:rPr>
          <w:rFonts w:eastAsia="Calibri"/>
          <w:sz w:val="22"/>
          <w:szCs w:val="22"/>
          <w:lang w:eastAsia="en-US"/>
        </w:rPr>
        <w:t>тектуры Cisco Digital Network Architecture. Кратко изложены осно</w:t>
      </w:r>
      <w:r w:rsidRPr="00281602">
        <w:rPr>
          <w:rFonts w:eastAsia="Calibri"/>
          <w:sz w:val="22"/>
          <w:szCs w:val="22"/>
          <w:lang w:eastAsia="en-US"/>
        </w:rPr>
        <w:t>в</w:t>
      </w:r>
      <w:r w:rsidRPr="00281602">
        <w:rPr>
          <w:rFonts w:eastAsia="Calibri"/>
          <w:sz w:val="22"/>
          <w:szCs w:val="22"/>
          <w:lang w:eastAsia="en-US"/>
        </w:rPr>
        <w:t>ные особенности и преимущества по отношению к текущим арх</w:t>
      </w:r>
      <w:r w:rsidRPr="00281602">
        <w:rPr>
          <w:rFonts w:eastAsia="Calibri"/>
          <w:sz w:val="22"/>
          <w:szCs w:val="22"/>
          <w:lang w:eastAsia="en-US"/>
        </w:rPr>
        <w:t>и</w:t>
      </w:r>
      <w:r w:rsidRPr="00281602">
        <w:rPr>
          <w:rFonts w:eastAsia="Calibri"/>
          <w:sz w:val="22"/>
          <w:szCs w:val="22"/>
          <w:lang w:eastAsia="en-US"/>
        </w:rPr>
        <w:t>тектурам сетевого взаимодействия.</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lang w:val="en-US" w:eastAsia="en-US"/>
        </w:rPr>
        <w:t>ABSTRACT:The main aspects of Cisco Digital Network Archite</w:t>
      </w:r>
      <w:r w:rsidRPr="00281602">
        <w:rPr>
          <w:rFonts w:eastAsia="Calibri"/>
          <w:color w:val="000000"/>
          <w:sz w:val="22"/>
          <w:szCs w:val="22"/>
          <w:lang w:val="en-US" w:eastAsia="en-US"/>
        </w:rPr>
        <w:t>c</w:t>
      </w:r>
      <w:r w:rsidRPr="00281602">
        <w:rPr>
          <w:rFonts w:eastAsia="Calibri"/>
          <w:color w:val="000000"/>
          <w:sz w:val="22"/>
          <w:szCs w:val="22"/>
          <w:lang w:val="en-US" w:eastAsia="en-US"/>
        </w:rPr>
        <w:t>ture architecture are discussed in this article. The main features and a</w:t>
      </w:r>
      <w:r w:rsidRPr="00281602">
        <w:rPr>
          <w:rFonts w:eastAsia="Calibri"/>
          <w:color w:val="000000"/>
          <w:sz w:val="22"/>
          <w:szCs w:val="22"/>
          <w:lang w:val="en-US" w:eastAsia="en-US"/>
        </w:rPr>
        <w:t>d</w:t>
      </w:r>
      <w:r w:rsidRPr="00281602">
        <w:rPr>
          <w:rFonts w:eastAsia="Calibri"/>
          <w:color w:val="000000"/>
          <w:sz w:val="22"/>
          <w:szCs w:val="22"/>
          <w:lang w:val="en-US" w:eastAsia="en-US"/>
        </w:rPr>
        <w:t>vantages in comparison with other architecture of network interaction are presented.</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lang w:eastAsia="en-US"/>
        </w:rPr>
        <w:t>КЛЮЧЕВЫЕСЛОВА</w:t>
      </w:r>
      <w:r w:rsidRPr="00281602">
        <w:rPr>
          <w:rFonts w:eastAsia="Calibri"/>
          <w:color w:val="000000"/>
          <w:sz w:val="22"/>
          <w:szCs w:val="22"/>
          <w:lang w:val="en-US" w:eastAsia="en-US"/>
        </w:rPr>
        <w:t xml:space="preserve">: </w:t>
      </w:r>
      <w:r w:rsidRPr="00281602">
        <w:rPr>
          <w:rFonts w:eastAsia="Calibri"/>
          <w:sz w:val="22"/>
          <w:szCs w:val="22"/>
          <w:lang w:val="en-US" w:eastAsia="en-US"/>
        </w:rPr>
        <w:t xml:space="preserve">Cisco Digital Network Architecture, </w:t>
      </w:r>
      <w:r w:rsidRPr="00281602">
        <w:rPr>
          <w:rFonts w:eastAsia="Calibri"/>
          <w:sz w:val="22"/>
          <w:szCs w:val="22"/>
          <w:lang w:eastAsia="en-US"/>
        </w:rPr>
        <w:t>сеть</w:t>
      </w:r>
      <w:r w:rsidRPr="00281602">
        <w:rPr>
          <w:rFonts w:eastAsia="Calibri"/>
          <w:sz w:val="22"/>
          <w:szCs w:val="22"/>
          <w:lang w:val="en-US" w:eastAsia="en-US"/>
        </w:rPr>
        <w:t>, дата-</w:t>
      </w:r>
      <w:r w:rsidRPr="00281602">
        <w:rPr>
          <w:rFonts w:eastAsia="Calibri"/>
          <w:sz w:val="22"/>
          <w:szCs w:val="22"/>
          <w:lang w:eastAsia="en-US"/>
        </w:rPr>
        <w:t>центр</w:t>
      </w:r>
      <w:r w:rsidRPr="00281602">
        <w:rPr>
          <w:rFonts w:eastAsia="Calibri"/>
          <w:sz w:val="22"/>
          <w:szCs w:val="22"/>
          <w:lang w:val="en-US" w:eastAsia="en-US"/>
        </w:rPr>
        <w:t xml:space="preserve">, </w:t>
      </w:r>
      <w:r w:rsidRPr="00281602">
        <w:rPr>
          <w:rFonts w:eastAsia="Calibri"/>
          <w:sz w:val="22"/>
          <w:szCs w:val="22"/>
          <w:lang w:eastAsia="en-US"/>
        </w:rPr>
        <w:t>виртуализация</w:t>
      </w:r>
      <w:r w:rsidRPr="00281602">
        <w:rPr>
          <w:rFonts w:eastAsia="Calibri"/>
          <w:sz w:val="22"/>
          <w:szCs w:val="22"/>
          <w:lang w:val="en-US" w:eastAsia="en-US"/>
        </w:rPr>
        <w:t xml:space="preserve">, </w:t>
      </w:r>
      <w:r w:rsidRPr="00281602">
        <w:rPr>
          <w:rFonts w:eastAsia="Calibri"/>
          <w:sz w:val="22"/>
          <w:szCs w:val="22"/>
          <w:lang w:eastAsia="en-US"/>
        </w:rPr>
        <w:t>кибератаки</w:t>
      </w:r>
      <w:r w:rsidRPr="00281602">
        <w:rPr>
          <w:rFonts w:eastAsia="Calibri"/>
          <w:sz w:val="22"/>
          <w:szCs w:val="22"/>
          <w:lang w:val="en-US" w:eastAsia="en-US"/>
        </w:rPr>
        <w:t>.</w:t>
      </w:r>
    </w:p>
    <w:p w:rsidR="00281602" w:rsidRPr="00281602" w:rsidRDefault="00281602" w:rsidP="00281602">
      <w:pPr>
        <w:ind w:firstLine="425"/>
        <w:jc w:val="both"/>
        <w:rPr>
          <w:rFonts w:eastAsia="Calibri"/>
          <w:color w:val="000000"/>
          <w:sz w:val="22"/>
          <w:szCs w:val="22"/>
          <w:lang w:val="en-US" w:eastAsia="en-US"/>
        </w:rPr>
      </w:pPr>
      <w:r w:rsidRPr="00281602">
        <w:rPr>
          <w:rFonts w:eastAsia="Calibri"/>
          <w:color w:val="000000"/>
          <w:sz w:val="22"/>
          <w:szCs w:val="22"/>
          <w:lang w:val="en-US" w:eastAsia="en-US"/>
        </w:rPr>
        <w:lastRenderedPageBreak/>
        <w:t>KEYWORDS: Cisco Digital Network Architecture, network, data center, virtualization, cyberattacks.</w:t>
      </w:r>
    </w:p>
    <w:p w:rsidR="00281602" w:rsidRPr="00281602" w:rsidRDefault="00281602" w:rsidP="00281602">
      <w:pPr>
        <w:ind w:firstLine="425"/>
        <w:jc w:val="both"/>
        <w:rPr>
          <w:rFonts w:eastAsia="Calibri"/>
          <w:sz w:val="22"/>
          <w:szCs w:val="22"/>
          <w:lang w:val="en-US" w:eastAsia="en-US"/>
        </w:rPr>
      </w:pP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en-US" w:eastAsia="en-US"/>
        </w:rPr>
        <w:t>Cisco</w:t>
      </w:r>
      <w:r w:rsidRPr="00281602">
        <w:rPr>
          <w:rFonts w:eastAsia="Calibri"/>
          <w:sz w:val="22"/>
          <w:szCs w:val="22"/>
          <w:lang w:eastAsia="en-US"/>
        </w:rPr>
        <w:t> – американская международная компания, разрабатыв</w:t>
      </w:r>
      <w:r w:rsidRPr="00281602">
        <w:rPr>
          <w:rFonts w:eastAsia="Calibri"/>
          <w:sz w:val="22"/>
          <w:szCs w:val="22"/>
          <w:lang w:eastAsia="en-US"/>
        </w:rPr>
        <w:t>а</w:t>
      </w:r>
      <w:r w:rsidRPr="00281602">
        <w:rPr>
          <w:rFonts w:eastAsia="Calibri"/>
          <w:sz w:val="22"/>
          <w:szCs w:val="22"/>
          <w:lang w:eastAsia="en-US"/>
        </w:rPr>
        <w:t>ющая и торгующая сетевым оборудованием, предназначенным для разворачивания компьютерных сетей. Большая часть нынешних сетей разворачивается с целью получения быстрой и надежной св</w:t>
      </w:r>
      <w:r w:rsidRPr="00281602">
        <w:rPr>
          <w:rFonts w:eastAsia="Calibri"/>
          <w:sz w:val="22"/>
          <w:szCs w:val="22"/>
          <w:lang w:eastAsia="en-US"/>
        </w:rPr>
        <w:t>я</w:t>
      </w:r>
      <w:r w:rsidRPr="00281602">
        <w:rPr>
          <w:rFonts w:eastAsia="Calibri"/>
          <w:sz w:val="22"/>
          <w:szCs w:val="22"/>
          <w:lang w:eastAsia="en-US"/>
        </w:rPr>
        <w:t>зи, но они практически не защищены от изощренных кибератак. Внедряя архитектуру DigitalNetworkArchitecture (DNA) компания переходит на новую ступень сетевого взаимодействия [1].</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Базовые компоненты Cisco DNA – виртуализация сети и защ</w:t>
      </w:r>
      <w:r w:rsidRPr="00281602">
        <w:rPr>
          <w:rFonts w:eastAsia="Calibri"/>
          <w:sz w:val="22"/>
          <w:szCs w:val="22"/>
          <w:lang w:eastAsia="en-US"/>
        </w:rPr>
        <w:t>и</w:t>
      </w:r>
      <w:r w:rsidRPr="00281602">
        <w:rPr>
          <w:rFonts w:eastAsia="Calibri"/>
          <w:sz w:val="22"/>
          <w:szCs w:val="22"/>
          <w:lang w:eastAsia="en-US"/>
        </w:rPr>
        <w:t>щенность информации. С целью расширения виртуализации Ciscoпредоставляет новейшую аппаратную платформу и сетевые сервисы.</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Компания впервые предложила программно-определяемую сегментацию всей цепочки – с конечным пунктом, вплоть до облака – с абсолютной визуализацией приложений. </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 xml:space="preserve">За последнее время </w:t>
      </w:r>
      <w:r w:rsidRPr="00281602">
        <w:rPr>
          <w:rFonts w:eastAsia="Calibri"/>
          <w:sz w:val="22"/>
          <w:szCs w:val="22"/>
          <w:lang w:val="en-US" w:eastAsia="en-US"/>
        </w:rPr>
        <w:t>IT</w:t>
      </w:r>
      <w:r w:rsidRPr="00281602">
        <w:rPr>
          <w:rFonts w:eastAsia="Calibri"/>
          <w:sz w:val="22"/>
          <w:szCs w:val="22"/>
          <w:lang w:eastAsia="en-US"/>
        </w:rPr>
        <w:t>-мир сформировал новый способ прое</w:t>
      </w:r>
      <w:r w:rsidRPr="00281602">
        <w:rPr>
          <w:rFonts w:eastAsia="Calibri"/>
          <w:sz w:val="22"/>
          <w:szCs w:val="22"/>
          <w:lang w:eastAsia="en-US"/>
        </w:rPr>
        <w:t>к</w:t>
      </w:r>
      <w:r w:rsidRPr="00281602">
        <w:rPr>
          <w:rFonts w:eastAsia="Calibri"/>
          <w:sz w:val="22"/>
          <w:szCs w:val="22"/>
          <w:lang w:eastAsia="en-US"/>
        </w:rPr>
        <w:t>тирования и налаживания дата-центров, отображающий желание компаний применять достоинства виртуализации и облачных в</w:t>
      </w:r>
      <w:r w:rsidRPr="00281602">
        <w:rPr>
          <w:rFonts w:eastAsia="Calibri"/>
          <w:sz w:val="22"/>
          <w:szCs w:val="22"/>
          <w:lang w:eastAsia="en-US"/>
        </w:rPr>
        <w:t>ы</w:t>
      </w:r>
      <w:r w:rsidRPr="00281602">
        <w:rPr>
          <w:rFonts w:eastAsia="Calibri"/>
          <w:sz w:val="22"/>
          <w:szCs w:val="22"/>
          <w:lang w:eastAsia="en-US"/>
        </w:rPr>
        <w:t>числений [2]. Сейчас аналогичные изменения ждут и корпорати</w:t>
      </w:r>
      <w:r w:rsidRPr="00281602">
        <w:rPr>
          <w:rFonts w:eastAsia="Calibri"/>
          <w:sz w:val="22"/>
          <w:szCs w:val="22"/>
          <w:lang w:eastAsia="en-US"/>
        </w:rPr>
        <w:t>в</w:t>
      </w:r>
      <w:r w:rsidRPr="00281602">
        <w:rPr>
          <w:rFonts w:eastAsia="Calibri"/>
          <w:sz w:val="22"/>
          <w:szCs w:val="22"/>
          <w:lang w:eastAsia="en-US"/>
        </w:rPr>
        <w:t>ные сети.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Применяя DNA, компании могут расширить влияние подобных сетевых сервисов, как маршрутизация и предоставление функций по защите информации для различных платформ в отделениях, кампусах, центрах общего размещения и в общественном облаке [3]. Ликвидируя строгую взаимосвязь программного и аппаратного обеспечения, Cisco DNA повышает скорость и гибкость сетей.</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Cisco предлагает новинки в двух основных направлениях:</w:t>
      </w:r>
    </w:p>
    <w:p w:rsidR="00281602" w:rsidRPr="00281602" w:rsidRDefault="00281602" w:rsidP="007B7570">
      <w:pPr>
        <w:ind w:firstLine="425"/>
        <w:jc w:val="both"/>
        <w:rPr>
          <w:rFonts w:eastAsia="Calibri"/>
          <w:sz w:val="22"/>
          <w:szCs w:val="22"/>
          <w:lang w:eastAsia="en-US"/>
        </w:rPr>
      </w:pPr>
      <w:r w:rsidRPr="00281602">
        <w:rPr>
          <w:rFonts w:eastAsia="Calibri"/>
          <w:sz w:val="22"/>
          <w:szCs w:val="22"/>
          <w:lang w:eastAsia="en-US"/>
        </w:rPr>
        <w:t>1) Платформа виртуализации коллективных сетевых функций (EnterpriseNetworkFunctionsVirtualization) – стремительно форм</w:t>
      </w:r>
      <w:r w:rsidRPr="00281602">
        <w:rPr>
          <w:rFonts w:eastAsia="Calibri"/>
          <w:sz w:val="22"/>
          <w:szCs w:val="22"/>
          <w:lang w:eastAsia="en-US"/>
        </w:rPr>
        <w:t>и</w:t>
      </w:r>
      <w:r w:rsidRPr="00281602">
        <w:rPr>
          <w:rFonts w:eastAsia="Calibri"/>
          <w:sz w:val="22"/>
          <w:szCs w:val="22"/>
          <w:lang w:eastAsia="en-US"/>
        </w:rPr>
        <w:t>рующаяся методика увеличения гибкости и маневренности на участках с помощью виртуализации филиальных сетей. Cisco пре</w:t>
      </w:r>
      <w:r w:rsidRPr="00281602">
        <w:rPr>
          <w:rFonts w:eastAsia="Calibri"/>
          <w:sz w:val="22"/>
          <w:szCs w:val="22"/>
          <w:lang w:eastAsia="en-US"/>
        </w:rPr>
        <w:t>д</w:t>
      </w:r>
      <w:r w:rsidRPr="00281602">
        <w:rPr>
          <w:rFonts w:eastAsia="Calibri"/>
          <w:sz w:val="22"/>
          <w:szCs w:val="22"/>
          <w:lang w:eastAsia="en-US"/>
        </w:rPr>
        <w:t>полагает новейшую специальную платформу CiscoEnterpriseNetworkComputeSystem. ENCS дает возможность клиентам увеличивать сферу воздействия маршрутизации, охраны, оптимизации WAN и иных сетевых сервисов.</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lastRenderedPageBreak/>
        <w:t>2) Виртуализация сетевого периметра. Сетевого периметр – это шлюз, посредством которого предприятие подключается к сети И</w:t>
      </w:r>
      <w:r w:rsidRPr="00281602">
        <w:rPr>
          <w:rFonts w:eastAsia="Calibri"/>
          <w:sz w:val="22"/>
          <w:szCs w:val="22"/>
          <w:lang w:eastAsia="en-US"/>
        </w:rPr>
        <w:t>н</w:t>
      </w:r>
      <w:r w:rsidRPr="00281602">
        <w:rPr>
          <w:rFonts w:eastAsia="Calibri"/>
          <w:sz w:val="22"/>
          <w:szCs w:val="22"/>
          <w:lang w:eastAsia="en-US"/>
        </w:rPr>
        <w:t>тернет. Новейшее решение CiscoSecureAgileExchange формирует виртуализованный общесетевой шлюз и расширяет область его во</w:t>
      </w:r>
      <w:r w:rsidRPr="00281602">
        <w:rPr>
          <w:rFonts w:eastAsia="Calibri"/>
          <w:sz w:val="22"/>
          <w:szCs w:val="22"/>
          <w:lang w:eastAsia="en-US"/>
        </w:rPr>
        <w:t>з</w:t>
      </w:r>
      <w:r w:rsidRPr="00281602">
        <w:rPr>
          <w:rFonts w:eastAsia="Calibri"/>
          <w:sz w:val="22"/>
          <w:szCs w:val="22"/>
          <w:lang w:eastAsia="en-US"/>
        </w:rPr>
        <w:t>действия. Подобным способом, компании имеют возможность д</w:t>
      </w:r>
      <w:r w:rsidRPr="00281602">
        <w:rPr>
          <w:rFonts w:eastAsia="Calibri"/>
          <w:sz w:val="22"/>
          <w:szCs w:val="22"/>
          <w:lang w:eastAsia="en-US"/>
        </w:rPr>
        <w:t>и</w:t>
      </w:r>
      <w:r w:rsidRPr="00281602">
        <w:rPr>
          <w:rFonts w:eastAsia="Calibri"/>
          <w:sz w:val="22"/>
          <w:szCs w:val="22"/>
          <w:lang w:eastAsia="en-US"/>
        </w:rPr>
        <w:t>намически подсоединять клиентов, работников и партнеров, прим</w:t>
      </w:r>
      <w:r w:rsidRPr="00281602">
        <w:rPr>
          <w:rFonts w:eastAsia="Calibri"/>
          <w:sz w:val="22"/>
          <w:szCs w:val="22"/>
          <w:lang w:eastAsia="en-US"/>
        </w:rPr>
        <w:t>е</w:t>
      </w:r>
      <w:r w:rsidRPr="00281602">
        <w:rPr>
          <w:rFonts w:eastAsia="Calibri"/>
          <w:sz w:val="22"/>
          <w:szCs w:val="22"/>
          <w:lang w:eastAsia="en-US"/>
        </w:rPr>
        <w:t>няя виртуализованные сетевые сервисы по запросу.</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Сеть может гарантировать основательную визуализацию сво</w:t>
      </w:r>
      <w:r w:rsidRPr="00281602">
        <w:rPr>
          <w:rFonts w:eastAsia="Calibri"/>
          <w:sz w:val="22"/>
          <w:szCs w:val="22"/>
          <w:lang w:eastAsia="en-US"/>
        </w:rPr>
        <w:t>й</w:t>
      </w:r>
      <w:r w:rsidRPr="00281602">
        <w:rPr>
          <w:rFonts w:eastAsia="Calibri"/>
          <w:sz w:val="22"/>
          <w:szCs w:val="22"/>
          <w:lang w:eastAsia="en-US"/>
        </w:rPr>
        <w:t>ственных признаков сетевого трафика и широкий анализ опасн</w:t>
      </w:r>
      <w:r w:rsidRPr="00281602">
        <w:rPr>
          <w:rFonts w:eastAsia="Calibri"/>
          <w:sz w:val="22"/>
          <w:szCs w:val="22"/>
          <w:lang w:eastAsia="en-US"/>
        </w:rPr>
        <w:t>о</w:t>
      </w:r>
      <w:r w:rsidRPr="00281602">
        <w:rPr>
          <w:rFonts w:eastAsia="Calibri"/>
          <w:sz w:val="22"/>
          <w:szCs w:val="22"/>
          <w:lang w:eastAsia="en-US"/>
        </w:rPr>
        <w:t>стей [4]. С поддержкой Cisco DNA сеть моментально найдет киб</w:t>
      </w:r>
      <w:r w:rsidRPr="00281602">
        <w:rPr>
          <w:rFonts w:eastAsia="Calibri"/>
          <w:sz w:val="22"/>
          <w:szCs w:val="22"/>
          <w:lang w:eastAsia="en-US"/>
        </w:rPr>
        <w:t>е</w:t>
      </w:r>
      <w:r w:rsidRPr="00281602">
        <w:rPr>
          <w:rFonts w:eastAsia="Calibri"/>
          <w:sz w:val="22"/>
          <w:szCs w:val="22"/>
          <w:lang w:eastAsia="en-US"/>
        </w:rPr>
        <w:t>ругрозы и автоматически предпримет нужные мероприятия с целью их нейтрализации.</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val="uk-UA" w:eastAsia="en-US"/>
        </w:rPr>
        <w:t>Перечислим</w:t>
      </w:r>
      <w:r w:rsidRPr="00281602">
        <w:rPr>
          <w:rFonts w:eastAsia="Calibri"/>
          <w:sz w:val="22"/>
          <w:szCs w:val="22"/>
          <w:lang w:eastAsia="en-US"/>
        </w:rPr>
        <w:t>новейшие функции предоставления защиты и</w:t>
      </w:r>
      <w:r w:rsidRPr="00281602">
        <w:rPr>
          <w:rFonts w:eastAsia="Calibri"/>
          <w:sz w:val="22"/>
          <w:szCs w:val="22"/>
          <w:lang w:eastAsia="en-US"/>
        </w:rPr>
        <w:t>н</w:t>
      </w:r>
      <w:r w:rsidRPr="00281602">
        <w:rPr>
          <w:rFonts w:eastAsia="Calibri"/>
          <w:sz w:val="22"/>
          <w:szCs w:val="22"/>
          <w:lang w:eastAsia="en-US"/>
        </w:rPr>
        <w:t>формации в сетях Cisco DNA:</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1) Визуализация и надзор пользователей и устройств в сети поддерживаются технологией CiscoIdentityServicesEngine (ISE). Модификация ISE 2.2 дает наиболее основательную визуализацию дополнений на оконечных точках вплоть до выявления ненормал</w:t>
      </w:r>
      <w:r w:rsidRPr="00281602">
        <w:rPr>
          <w:rFonts w:eastAsia="Calibri"/>
          <w:sz w:val="22"/>
          <w:szCs w:val="22"/>
          <w:lang w:eastAsia="en-US"/>
        </w:rPr>
        <w:t>ь</w:t>
      </w:r>
      <w:r w:rsidRPr="00281602">
        <w:rPr>
          <w:rFonts w:eastAsia="Calibri"/>
          <w:sz w:val="22"/>
          <w:szCs w:val="22"/>
          <w:lang w:eastAsia="en-US"/>
        </w:rPr>
        <w:t>ного трафика.</w:t>
      </w:r>
    </w:p>
    <w:p w:rsidR="00281602" w:rsidRPr="00281602" w:rsidRDefault="00281602" w:rsidP="008C4B7E">
      <w:pPr>
        <w:ind w:firstLine="425"/>
        <w:jc w:val="both"/>
        <w:rPr>
          <w:rFonts w:eastAsia="Calibri"/>
          <w:sz w:val="22"/>
          <w:szCs w:val="22"/>
          <w:lang w:eastAsia="en-US"/>
        </w:rPr>
      </w:pPr>
      <w:r w:rsidRPr="00281602">
        <w:rPr>
          <w:rFonts w:eastAsia="Calibri"/>
          <w:sz w:val="22"/>
          <w:szCs w:val="22"/>
          <w:lang w:eastAsia="en-US"/>
        </w:rPr>
        <w:t>2) Программно-характеризуемая сегментация с целью изолир</w:t>
      </w:r>
      <w:r w:rsidRPr="00281602">
        <w:rPr>
          <w:rFonts w:eastAsia="Calibri"/>
          <w:sz w:val="22"/>
          <w:szCs w:val="22"/>
          <w:lang w:eastAsia="en-US"/>
        </w:rPr>
        <w:t>о</w:t>
      </w:r>
      <w:r w:rsidRPr="00281602">
        <w:rPr>
          <w:rFonts w:eastAsia="Calibri"/>
          <w:sz w:val="22"/>
          <w:szCs w:val="22"/>
          <w:lang w:eastAsia="en-US"/>
        </w:rPr>
        <w:t>вания атак и лимитирования зон распространения опасностей в сети производится с поддержкой технологии CiscoTrustSec. Подобная динамическая сегментация в 98% стимулирует ход перемены пол</w:t>
      </w:r>
      <w:r w:rsidRPr="00281602">
        <w:rPr>
          <w:rFonts w:eastAsia="Calibri"/>
          <w:sz w:val="22"/>
          <w:szCs w:val="22"/>
          <w:lang w:eastAsia="en-US"/>
        </w:rPr>
        <w:t>и</w:t>
      </w:r>
      <w:r w:rsidRPr="00281602">
        <w:rPr>
          <w:rFonts w:eastAsia="Calibri"/>
          <w:sz w:val="22"/>
          <w:szCs w:val="22"/>
          <w:lang w:eastAsia="en-US"/>
        </w:rPr>
        <w:t>тик безопасности согласно сопоставлению с классическими спос</w:t>
      </w:r>
      <w:r w:rsidRPr="00281602">
        <w:rPr>
          <w:rFonts w:eastAsia="Calibri"/>
          <w:sz w:val="22"/>
          <w:szCs w:val="22"/>
          <w:lang w:eastAsia="en-US"/>
        </w:rPr>
        <w:t>о</w:t>
      </w:r>
      <w:r w:rsidRPr="00281602">
        <w:rPr>
          <w:rFonts w:eastAsia="Calibri"/>
          <w:sz w:val="22"/>
          <w:szCs w:val="22"/>
          <w:lang w:eastAsia="en-US"/>
        </w:rPr>
        <w:t>бами и в 80% уменьшает размер требуемых операций [5]. Дораб</w:t>
      </w:r>
      <w:r w:rsidRPr="00281602">
        <w:rPr>
          <w:rFonts w:eastAsia="Calibri"/>
          <w:sz w:val="22"/>
          <w:szCs w:val="22"/>
          <w:lang w:eastAsia="en-US"/>
        </w:rPr>
        <w:t>о</w:t>
      </w:r>
      <w:r w:rsidRPr="00281602">
        <w:rPr>
          <w:rFonts w:eastAsia="Calibri"/>
          <w:sz w:val="22"/>
          <w:szCs w:val="22"/>
          <w:lang w:eastAsia="en-US"/>
        </w:rPr>
        <w:t>танная модификация TrustSec 6.1 гарантирует динамическую се</w:t>
      </w:r>
      <w:r w:rsidRPr="00281602">
        <w:rPr>
          <w:rFonts w:eastAsia="Calibri"/>
          <w:sz w:val="22"/>
          <w:szCs w:val="22"/>
          <w:lang w:eastAsia="en-US"/>
        </w:rPr>
        <w:t>г</w:t>
      </w:r>
      <w:r w:rsidRPr="00281602">
        <w:rPr>
          <w:rFonts w:eastAsia="Calibri"/>
          <w:sz w:val="22"/>
          <w:szCs w:val="22"/>
          <w:lang w:eastAsia="en-US"/>
        </w:rPr>
        <w:t>ментацию в любом пункте сети, от границы вплоть до центра обр</w:t>
      </w:r>
      <w:r w:rsidRPr="00281602">
        <w:rPr>
          <w:rFonts w:eastAsia="Calibri"/>
          <w:sz w:val="22"/>
          <w:szCs w:val="22"/>
          <w:lang w:eastAsia="en-US"/>
        </w:rPr>
        <w:t>а</w:t>
      </w:r>
      <w:r w:rsidRPr="00281602">
        <w:rPr>
          <w:rFonts w:eastAsia="Calibri"/>
          <w:sz w:val="22"/>
          <w:szCs w:val="22"/>
          <w:lang w:eastAsia="en-US"/>
        </w:rPr>
        <w:t>ботки данных и облака .</w:t>
      </w:r>
    </w:p>
    <w:p w:rsidR="00281602" w:rsidRPr="00281602" w:rsidRDefault="00281602" w:rsidP="00281602">
      <w:pPr>
        <w:ind w:firstLine="425"/>
        <w:jc w:val="center"/>
        <w:rPr>
          <w:rFonts w:eastAsia="Calibri"/>
          <w:sz w:val="22"/>
          <w:szCs w:val="22"/>
          <w:lang w:eastAsia="en-US"/>
        </w:rPr>
      </w:pPr>
      <w:r w:rsidRPr="00281602">
        <w:rPr>
          <w:rFonts w:eastAsia="Calibri"/>
          <w:sz w:val="22"/>
          <w:szCs w:val="22"/>
          <w:lang w:eastAsia="en-US"/>
        </w:rPr>
        <w:t>Список литературы</w:t>
      </w:r>
    </w:p>
    <w:p w:rsidR="00281602" w:rsidRPr="00281602" w:rsidRDefault="00281602" w:rsidP="00281602">
      <w:pPr>
        <w:ind w:firstLine="425"/>
        <w:jc w:val="both"/>
        <w:rPr>
          <w:rFonts w:eastAsia="Calibri"/>
          <w:sz w:val="22"/>
          <w:szCs w:val="22"/>
          <w:lang w:val="en-US" w:eastAsia="en-US"/>
        </w:rPr>
      </w:pPr>
      <w:r w:rsidRPr="00281602">
        <w:rPr>
          <w:rFonts w:eastAsia="Calibri"/>
          <w:sz w:val="22"/>
          <w:szCs w:val="22"/>
          <w:lang w:eastAsia="en-US"/>
        </w:rPr>
        <w:t>1.</w:t>
      </w:r>
      <w:r w:rsidRPr="00281602">
        <w:rPr>
          <w:rFonts w:eastAsia="Calibri"/>
          <w:sz w:val="22"/>
          <w:szCs w:val="22"/>
          <w:lang w:val="en-US" w:eastAsia="en-US"/>
        </w:rPr>
        <w:t> </w:t>
      </w:r>
      <w:r w:rsidRPr="00281602">
        <w:rPr>
          <w:rFonts w:eastAsia="Calibri"/>
          <w:sz w:val="22"/>
          <w:szCs w:val="22"/>
          <w:lang w:eastAsia="en-US"/>
        </w:rPr>
        <w:t xml:space="preserve">Cisco: новые технологии виртуализации и информационной безопасности ускорят эволюцию сетей [Электронный ресурс]. </w:t>
      </w:r>
      <w:r w:rsidRPr="00281602">
        <w:rPr>
          <w:rFonts w:eastAsia="Calibri"/>
          <w:sz w:val="22"/>
          <w:szCs w:val="22"/>
          <w:lang w:val="en-US" w:eastAsia="en-US"/>
        </w:rPr>
        <w:t>URL: https://www.cisco.com/c/ru_ua/about/press/2017/03-01.html.</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2.</w:t>
      </w:r>
      <w:r w:rsidRPr="00281602">
        <w:rPr>
          <w:rFonts w:eastAsia="Calibri"/>
          <w:sz w:val="22"/>
          <w:szCs w:val="22"/>
          <w:lang w:val="en-US" w:eastAsia="en-US"/>
        </w:rPr>
        <w:t> </w:t>
      </w:r>
      <w:r w:rsidRPr="00281602">
        <w:rPr>
          <w:rFonts w:eastAsia="Calibri"/>
          <w:sz w:val="22"/>
          <w:szCs w:val="22"/>
          <w:lang w:eastAsia="en-US"/>
        </w:rPr>
        <w:t>Синицкая П.Н. Разработка информационной системы для медицинских учреждений с централизованным хранением данных на основе облачных технологий / Т.В Лукьяненко, П.Н. Синицкая // Научное обеспечение агропромышленного комплекса : сб. ст. по материалам IХ Всерос. конф. молодых ученых. – Краснодар :КубГАУ, 2016. – С. 275–276.</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lastRenderedPageBreak/>
        <w:t>3.</w:t>
      </w:r>
      <w:r w:rsidRPr="00281602">
        <w:rPr>
          <w:rFonts w:eastAsia="Calibri"/>
          <w:sz w:val="22"/>
          <w:szCs w:val="22"/>
          <w:lang w:val="en-US" w:eastAsia="en-US"/>
        </w:rPr>
        <w:t> </w:t>
      </w:r>
      <w:r w:rsidRPr="00281602">
        <w:rPr>
          <w:rFonts w:eastAsia="Calibri"/>
          <w:sz w:val="22"/>
          <w:szCs w:val="22"/>
          <w:lang w:eastAsia="en-US"/>
        </w:rPr>
        <w:t xml:space="preserve">Лядский В.В. </w:t>
      </w:r>
      <w:hyperlink r:id="rId178" w:history="1">
        <w:r w:rsidRPr="00281602">
          <w:rPr>
            <w:rFonts w:eastAsia="Calibri"/>
            <w:sz w:val="22"/>
            <w:szCs w:val="22"/>
            <w:lang w:eastAsia="en-US"/>
          </w:rPr>
          <w:t>Разработка приложения «Кадры» с использ</w:t>
        </w:r>
        <w:r w:rsidRPr="00281602">
          <w:rPr>
            <w:rFonts w:eastAsia="Calibri"/>
            <w:sz w:val="22"/>
            <w:szCs w:val="22"/>
            <w:lang w:eastAsia="en-US"/>
          </w:rPr>
          <w:t>о</w:t>
        </w:r>
        <w:r w:rsidRPr="00281602">
          <w:rPr>
            <w:rFonts w:eastAsia="Calibri"/>
            <w:sz w:val="22"/>
            <w:szCs w:val="22"/>
            <w:lang w:eastAsia="en-US"/>
          </w:rPr>
          <w:t>ванием механизма покомпонентной оценки резюме</w:t>
        </w:r>
      </w:hyperlink>
      <w:r w:rsidRPr="00281602">
        <w:rPr>
          <w:rFonts w:eastAsia="Calibri"/>
          <w:sz w:val="22"/>
          <w:szCs w:val="22"/>
          <w:lang w:eastAsia="en-US"/>
        </w:rPr>
        <w:t xml:space="preserve"> / В.В. Лядский, Т.В. Лукьяненко // Научное обеспечение агропромышленного ко</w:t>
      </w:r>
      <w:r w:rsidRPr="00281602">
        <w:rPr>
          <w:rFonts w:eastAsia="Calibri"/>
          <w:sz w:val="22"/>
          <w:szCs w:val="22"/>
          <w:lang w:eastAsia="en-US"/>
        </w:rPr>
        <w:t>м</w:t>
      </w:r>
      <w:r w:rsidRPr="00281602">
        <w:rPr>
          <w:rFonts w:eastAsia="Calibri"/>
          <w:sz w:val="22"/>
          <w:szCs w:val="22"/>
          <w:lang w:eastAsia="en-US"/>
        </w:rPr>
        <w:t>плекса : сб. ст. по материалам 71-й науч.-практ. конф. студентов по итогам НИР за 2015 год. – Краснодар :КубГАУ, 2016. – С. 387–389.</w:t>
      </w:r>
    </w:p>
    <w:p w:rsidR="00281602" w:rsidRPr="00281602" w:rsidRDefault="00281602" w:rsidP="00281602">
      <w:pPr>
        <w:ind w:firstLine="425"/>
        <w:jc w:val="both"/>
        <w:rPr>
          <w:rFonts w:eastAsia="Calibri"/>
          <w:sz w:val="22"/>
          <w:szCs w:val="22"/>
          <w:lang w:eastAsia="en-US"/>
        </w:rPr>
      </w:pPr>
      <w:r w:rsidRPr="00281602">
        <w:rPr>
          <w:rFonts w:eastAsia="Calibri"/>
          <w:sz w:val="22"/>
          <w:szCs w:val="22"/>
          <w:lang w:eastAsia="en-US"/>
        </w:rPr>
        <w:t>4.</w:t>
      </w:r>
      <w:r w:rsidRPr="00281602">
        <w:rPr>
          <w:rFonts w:eastAsia="Calibri"/>
          <w:sz w:val="22"/>
          <w:szCs w:val="22"/>
          <w:lang w:val="en-US" w:eastAsia="en-US"/>
        </w:rPr>
        <w:t> </w:t>
      </w:r>
      <w:r w:rsidRPr="00281602">
        <w:rPr>
          <w:rFonts w:eastAsia="Calibri"/>
          <w:sz w:val="22"/>
          <w:szCs w:val="22"/>
          <w:lang w:eastAsia="en-US"/>
        </w:rPr>
        <w:t>Притыченко И.Ю. Разработка базы данных системы прогн</w:t>
      </w:r>
      <w:r w:rsidRPr="00281602">
        <w:rPr>
          <w:rFonts w:eastAsia="Calibri"/>
          <w:sz w:val="22"/>
          <w:szCs w:val="22"/>
          <w:lang w:eastAsia="en-US"/>
        </w:rPr>
        <w:t>о</w:t>
      </w:r>
      <w:r w:rsidRPr="00281602">
        <w:rPr>
          <w:rFonts w:eastAsia="Calibri"/>
          <w:sz w:val="22"/>
          <w:szCs w:val="22"/>
          <w:lang w:eastAsia="en-US"/>
        </w:rPr>
        <w:t>зирования динамики цен на недвижимость / И.Ю. Притыченко, Т.В. Лукьяненко // Научное обеспечение агропромышленного комплекса : сб. ст. по материалам 71-й науч.-практ. конф. студентов по итогам НИР за 2015 год. – Краснодар :КубГАУ, 2016. – С. 395–398.</w:t>
      </w:r>
    </w:p>
    <w:p w:rsidR="00787EA7" w:rsidRPr="007D0F07" w:rsidRDefault="00281602" w:rsidP="008C4B7E">
      <w:pPr>
        <w:ind w:firstLine="425"/>
        <w:jc w:val="both"/>
        <w:rPr>
          <w:rFonts w:eastAsia="Calibri"/>
          <w:sz w:val="22"/>
          <w:szCs w:val="22"/>
          <w:lang w:eastAsia="en-US"/>
        </w:rPr>
      </w:pPr>
      <w:r w:rsidRPr="00281602">
        <w:rPr>
          <w:rFonts w:eastAsia="Calibri"/>
          <w:sz w:val="22"/>
          <w:szCs w:val="22"/>
          <w:lang w:eastAsia="en-US"/>
        </w:rPr>
        <w:t>5.</w:t>
      </w:r>
      <w:r w:rsidRPr="00281602">
        <w:rPr>
          <w:rFonts w:eastAsia="Calibri"/>
          <w:sz w:val="22"/>
          <w:szCs w:val="22"/>
          <w:lang w:val="en-US" w:eastAsia="en-US"/>
        </w:rPr>
        <w:t> </w:t>
      </w:r>
      <w:r w:rsidRPr="00281602">
        <w:rPr>
          <w:rFonts w:eastAsia="Calibri"/>
          <w:sz w:val="22"/>
          <w:szCs w:val="22"/>
          <w:lang w:eastAsia="en-US"/>
        </w:rPr>
        <w:t xml:space="preserve">Лукьяненко Т.В. </w:t>
      </w:r>
      <w:hyperlink r:id="rId179" w:history="1">
        <w:r w:rsidRPr="00281602">
          <w:rPr>
            <w:rFonts w:eastAsia="Calibri"/>
            <w:sz w:val="22"/>
            <w:szCs w:val="22"/>
            <w:lang w:eastAsia="en-US"/>
          </w:rPr>
          <w:t>Организация и опыт проведения научно-исследовательской практики магистров</w:t>
        </w:r>
      </w:hyperlink>
      <w:r w:rsidRPr="00281602">
        <w:rPr>
          <w:rFonts w:eastAsia="Calibri"/>
          <w:sz w:val="22"/>
          <w:szCs w:val="22"/>
          <w:lang w:eastAsia="en-US"/>
        </w:rPr>
        <w:t xml:space="preserve"> / Т.В Лукьяненко // </w:t>
      </w:r>
      <w:hyperlink r:id="rId180" w:history="1">
        <w:r w:rsidRPr="00281602">
          <w:rPr>
            <w:rFonts w:eastAsia="Calibri"/>
            <w:sz w:val="22"/>
            <w:szCs w:val="22"/>
            <w:lang w:eastAsia="en-US"/>
          </w:rPr>
          <w:t>Практ</w:t>
        </w:r>
        <w:r w:rsidRPr="00281602">
          <w:rPr>
            <w:rFonts w:eastAsia="Calibri"/>
            <w:sz w:val="22"/>
            <w:szCs w:val="22"/>
            <w:lang w:eastAsia="en-US"/>
          </w:rPr>
          <w:t>и</w:t>
        </w:r>
        <w:r w:rsidRPr="00281602">
          <w:rPr>
            <w:rFonts w:eastAsia="Calibri"/>
            <w:sz w:val="22"/>
            <w:szCs w:val="22"/>
            <w:lang w:eastAsia="en-US"/>
          </w:rPr>
          <w:t>ко-ориентированное обучение: опыт и современные тенденции</w:t>
        </w:r>
      </w:hyperlink>
      <w:r w:rsidRPr="00281602">
        <w:rPr>
          <w:rFonts w:eastAsia="Calibri"/>
          <w:sz w:val="22"/>
          <w:szCs w:val="22"/>
          <w:lang w:eastAsia="en-US"/>
        </w:rPr>
        <w:t xml:space="preserve"> : сб. ст. по материалам учебно-методической конференции. 2017. – Краснодар :КубГАУ, 2017. – С. 246–247.</w:t>
      </w:r>
    </w:p>
    <w:p w:rsidR="00451253" w:rsidRDefault="00451253" w:rsidP="00B43BBC">
      <w:pPr>
        <w:ind w:firstLine="426"/>
        <w:rPr>
          <w:sz w:val="22"/>
          <w:szCs w:val="22"/>
        </w:rPr>
      </w:pPr>
      <w:r>
        <w:rPr>
          <w:sz w:val="22"/>
          <w:szCs w:val="22"/>
        </w:rPr>
        <w:br w:type="page"/>
      </w:r>
    </w:p>
    <w:p w:rsidR="001755C3" w:rsidRPr="002200F0" w:rsidRDefault="004D0C23" w:rsidP="002200F0">
      <w:pPr>
        <w:tabs>
          <w:tab w:val="left" w:pos="2364"/>
        </w:tabs>
        <w:ind w:firstLine="426"/>
        <w:jc w:val="center"/>
        <w:rPr>
          <w:b/>
        </w:rPr>
      </w:pPr>
      <w:r w:rsidRPr="00D87D29">
        <w:rPr>
          <w:b/>
        </w:rPr>
        <w:lastRenderedPageBreak/>
        <w:t>Факультет управления</w:t>
      </w:r>
    </w:p>
    <w:p w:rsidR="00787EA7" w:rsidRPr="001755C3" w:rsidRDefault="00787EA7" w:rsidP="001755C3">
      <w:pPr>
        <w:ind w:right="425"/>
        <w:rPr>
          <w:rFonts w:eastAsia="Calibri"/>
          <w:sz w:val="22"/>
          <w:szCs w:val="22"/>
          <w:lang w:eastAsia="en-US"/>
        </w:rPr>
      </w:pPr>
      <w:r w:rsidRPr="001755C3">
        <w:rPr>
          <w:rFonts w:eastAsia="Calibri"/>
          <w:sz w:val="22"/>
          <w:szCs w:val="22"/>
          <w:lang w:eastAsia="en-US"/>
        </w:rPr>
        <w:t>УДК 332.2</w:t>
      </w:r>
    </w:p>
    <w:p w:rsidR="00787EA7" w:rsidRPr="00787EA7" w:rsidRDefault="00787EA7" w:rsidP="00787EA7">
      <w:pPr>
        <w:ind w:left="425" w:right="425"/>
        <w:rPr>
          <w:rFonts w:eastAsia="Calibri"/>
          <w:sz w:val="24"/>
          <w:szCs w:val="22"/>
          <w:lang w:eastAsia="en-US"/>
        </w:rPr>
      </w:pPr>
    </w:p>
    <w:p w:rsidR="00787EA7" w:rsidRPr="00497C98" w:rsidRDefault="001755C3" w:rsidP="00787EA7">
      <w:pPr>
        <w:ind w:left="425" w:right="425"/>
        <w:jc w:val="center"/>
        <w:rPr>
          <w:rFonts w:eastAsia="Calibri"/>
          <w:b/>
          <w:sz w:val="24"/>
          <w:szCs w:val="22"/>
          <w:lang w:val="en-US" w:eastAsia="en-US"/>
        </w:rPr>
      </w:pPr>
      <w:r w:rsidRPr="00787EA7">
        <w:rPr>
          <w:rFonts w:eastAsia="Calibri"/>
          <w:b/>
          <w:sz w:val="24"/>
          <w:szCs w:val="22"/>
          <w:lang w:eastAsia="en-US"/>
        </w:rPr>
        <w:t>Проблемы и перспективы совершенствования</w:t>
      </w:r>
      <w:r>
        <w:rPr>
          <w:rFonts w:eastAsia="Calibri"/>
          <w:b/>
          <w:sz w:val="24"/>
          <w:szCs w:val="22"/>
          <w:lang w:eastAsia="en-US"/>
        </w:rPr>
        <w:br/>
      </w:r>
      <w:r w:rsidRPr="00787EA7">
        <w:rPr>
          <w:rFonts w:eastAsia="Calibri"/>
          <w:b/>
          <w:sz w:val="24"/>
          <w:szCs w:val="22"/>
          <w:lang w:eastAsia="en-US"/>
        </w:rPr>
        <w:t xml:space="preserve"> системы управления муниципальной </w:t>
      </w:r>
      <w:r>
        <w:rPr>
          <w:rFonts w:eastAsia="Calibri"/>
          <w:b/>
          <w:sz w:val="24"/>
          <w:szCs w:val="22"/>
          <w:lang w:eastAsia="en-US"/>
        </w:rPr>
        <w:br/>
      </w:r>
      <w:r w:rsidRPr="00787EA7">
        <w:rPr>
          <w:rFonts w:eastAsia="Calibri"/>
          <w:b/>
          <w:sz w:val="24"/>
          <w:szCs w:val="22"/>
          <w:lang w:eastAsia="en-US"/>
        </w:rPr>
        <w:t>собственно</w:t>
      </w:r>
      <w:r>
        <w:rPr>
          <w:rFonts w:eastAsia="Calibri"/>
          <w:b/>
          <w:sz w:val="24"/>
          <w:szCs w:val="22"/>
          <w:lang w:eastAsia="en-US"/>
        </w:rPr>
        <w:t>стью К</w:t>
      </w:r>
      <w:r w:rsidRPr="00787EA7">
        <w:rPr>
          <w:rFonts w:eastAsia="Calibri"/>
          <w:b/>
          <w:sz w:val="24"/>
          <w:szCs w:val="22"/>
          <w:lang w:eastAsia="en-US"/>
        </w:rPr>
        <w:t>раснодарского</w:t>
      </w:r>
      <w:r w:rsidRPr="00497C98">
        <w:rPr>
          <w:rFonts w:eastAsia="Calibri"/>
          <w:b/>
          <w:sz w:val="24"/>
          <w:szCs w:val="22"/>
          <w:lang w:val="en-US" w:eastAsia="en-US"/>
        </w:rPr>
        <w:t xml:space="preserve"> </w:t>
      </w:r>
      <w:r w:rsidRPr="00787EA7">
        <w:rPr>
          <w:rFonts w:eastAsia="Calibri"/>
          <w:b/>
          <w:sz w:val="24"/>
          <w:szCs w:val="22"/>
          <w:lang w:eastAsia="en-US"/>
        </w:rPr>
        <w:t>края</w:t>
      </w:r>
    </w:p>
    <w:p w:rsidR="00787EA7" w:rsidRPr="00787EA7" w:rsidRDefault="001755C3" w:rsidP="00787EA7">
      <w:pPr>
        <w:ind w:left="425" w:right="425"/>
        <w:jc w:val="center"/>
        <w:rPr>
          <w:rFonts w:eastAsia="Calibri"/>
          <w:b/>
          <w:sz w:val="24"/>
          <w:szCs w:val="22"/>
          <w:lang w:val="en-US" w:eastAsia="en-US"/>
        </w:rPr>
      </w:pPr>
      <w:r w:rsidRPr="00787EA7">
        <w:rPr>
          <w:rFonts w:eastAsia="Calibri"/>
          <w:b/>
          <w:sz w:val="24"/>
          <w:szCs w:val="22"/>
          <w:lang w:val="en-US" w:eastAsia="en-US"/>
        </w:rPr>
        <w:t xml:space="preserve">Problems and prospects of improving the system of municipal property management in </w:t>
      </w:r>
      <w:proofErr w:type="gramStart"/>
      <w:r w:rsidRPr="00787EA7">
        <w:rPr>
          <w:rFonts w:eastAsia="Calibri"/>
          <w:b/>
          <w:sz w:val="24"/>
          <w:szCs w:val="22"/>
          <w:lang w:val="en-US" w:eastAsia="en-US"/>
        </w:rPr>
        <w:t>krasnodar</w:t>
      </w:r>
      <w:proofErr w:type="gramEnd"/>
      <w:r w:rsidRPr="00787EA7">
        <w:rPr>
          <w:rFonts w:eastAsia="Calibri"/>
          <w:b/>
          <w:sz w:val="24"/>
          <w:szCs w:val="22"/>
          <w:lang w:val="en-US" w:eastAsia="en-US"/>
        </w:rPr>
        <w:t xml:space="preserve"> region</w:t>
      </w:r>
    </w:p>
    <w:p w:rsidR="00787EA7" w:rsidRPr="00787EA7" w:rsidRDefault="00787EA7" w:rsidP="00787EA7">
      <w:pPr>
        <w:ind w:left="425" w:right="425"/>
        <w:jc w:val="right"/>
        <w:rPr>
          <w:rFonts w:eastAsia="Calibri"/>
          <w:szCs w:val="22"/>
          <w:lang w:val="en-US" w:eastAsia="en-US"/>
        </w:rPr>
      </w:pP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Богач Е.</w:t>
      </w:r>
      <w:r w:rsidR="001755C3">
        <w:rPr>
          <w:rFonts w:eastAsia="Calibri"/>
          <w:sz w:val="22"/>
          <w:szCs w:val="22"/>
          <w:lang w:eastAsia="en-US"/>
        </w:rPr>
        <w:t xml:space="preserve"> Л.,</w:t>
      </w: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студент 4 курса факультета управления</w:t>
      </w: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Шевченко О.</w:t>
      </w:r>
      <w:r w:rsidR="001755C3">
        <w:rPr>
          <w:rFonts w:eastAsia="Calibri"/>
          <w:sz w:val="22"/>
          <w:szCs w:val="22"/>
          <w:lang w:eastAsia="en-US"/>
        </w:rPr>
        <w:t xml:space="preserve"> </w:t>
      </w:r>
      <w:r w:rsidRPr="00787EA7">
        <w:rPr>
          <w:rFonts w:eastAsia="Calibri"/>
          <w:sz w:val="22"/>
          <w:szCs w:val="22"/>
          <w:lang w:eastAsia="en-US"/>
        </w:rPr>
        <w:t>П.,</w:t>
      </w: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доцент кафедры менеджмента</w:t>
      </w: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 xml:space="preserve"> Кубанский государственный аграрный</w:t>
      </w:r>
    </w:p>
    <w:p w:rsidR="00787EA7" w:rsidRPr="00787EA7" w:rsidRDefault="00787EA7" w:rsidP="001755C3">
      <w:pPr>
        <w:tabs>
          <w:tab w:val="left" w:pos="6379"/>
          <w:tab w:val="left" w:pos="6521"/>
        </w:tabs>
        <w:ind w:left="425" w:right="28"/>
        <w:jc w:val="right"/>
        <w:rPr>
          <w:rFonts w:eastAsia="Calibri"/>
          <w:sz w:val="22"/>
          <w:szCs w:val="22"/>
          <w:lang w:eastAsia="en-US"/>
        </w:rPr>
      </w:pPr>
      <w:r w:rsidRPr="00787EA7">
        <w:rPr>
          <w:rFonts w:eastAsia="Calibri"/>
          <w:sz w:val="22"/>
          <w:szCs w:val="22"/>
          <w:lang w:eastAsia="en-US"/>
        </w:rPr>
        <w:t xml:space="preserve"> университет име</w:t>
      </w:r>
      <w:r w:rsidR="001755C3">
        <w:rPr>
          <w:rFonts w:eastAsia="Calibri"/>
          <w:sz w:val="22"/>
          <w:szCs w:val="22"/>
          <w:lang w:eastAsia="en-US"/>
        </w:rPr>
        <w:t>ни И. Т. Трубилина</w:t>
      </w:r>
    </w:p>
    <w:p w:rsidR="00787EA7" w:rsidRPr="00787EA7" w:rsidRDefault="00787EA7" w:rsidP="001755C3">
      <w:pPr>
        <w:tabs>
          <w:tab w:val="left" w:pos="6379"/>
          <w:tab w:val="left" w:pos="6521"/>
        </w:tabs>
        <w:ind w:left="425" w:right="28"/>
        <w:jc w:val="both"/>
        <w:rPr>
          <w:rFonts w:eastAsia="Calibri"/>
          <w:b/>
          <w:sz w:val="22"/>
          <w:szCs w:val="22"/>
          <w:lang w:eastAsia="en-US"/>
        </w:rPr>
      </w:pP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АННОТАЦИЯ: В статье обосновывается актуальность сове</w:t>
      </w:r>
      <w:r w:rsidRPr="00787EA7">
        <w:rPr>
          <w:rFonts w:eastAsia="Calibri"/>
          <w:sz w:val="22"/>
          <w:szCs w:val="22"/>
          <w:lang w:eastAsia="en-US"/>
        </w:rPr>
        <w:t>р</w:t>
      </w:r>
      <w:r w:rsidRPr="00787EA7">
        <w:rPr>
          <w:rFonts w:eastAsia="Calibri"/>
          <w:sz w:val="22"/>
          <w:szCs w:val="22"/>
          <w:lang w:eastAsia="en-US"/>
        </w:rPr>
        <w:t>шенствования системы управления муниципальной собственн</w:t>
      </w:r>
      <w:r w:rsidRPr="00787EA7">
        <w:rPr>
          <w:rFonts w:eastAsia="Calibri"/>
          <w:sz w:val="22"/>
          <w:szCs w:val="22"/>
          <w:lang w:eastAsia="en-US"/>
        </w:rPr>
        <w:t>о</w:t>
      </w:r>
      <w:r w:rsidRPr="00787EA7">
        <w:rPr>
          <w:rFonts w:eastAsia="Calibri"/>
          <w:sz w:val="22"/>
          <w:szCs w:val="22"/>
          <w:lang w:eastAsia="en-US"/>
        </w:rPr>
        <w:t>стью. Приводится общая характеристика муниципальной собстве</w:t>
      </w:r>
      <w:r w:rsidRPr="00787EA7">
        <w:rPr>
          <w:rFonts w:eastAsia="Calibri"/>
          <w:sz w:val="22"/>
          <w:szCs w:val="22"/>
          <w:lang w:eastAsia="en-US"/>
        </w:rPr>
        <w:t>н</w:t>
      </w:r>
      <w:r w:rsidRPr="00787EA7">
        <w:rPr>
          <w:rFonts w:eastAsia="Calibri"/>
          <w:sz w:val="22"/>
          <w:szCs w:val="22"/>
          <w:lang w:eastAsia="en-US"/>
        </w:rPr>
        <w:t>ности, выявлены основные проблемы и определены перспективные направления совершенствования системы управления муниципал</w:t>
      </w:r>
      <w:r w:rsidRPr="00787EA7">
        <w:rPr>
          <w:rFonts w:eastAsia="Calibri"/>
          <w:sz w:val="22"/>
          <w:szCs w:val="22"/>
          <w:lang w:eastAsia="en-US"/>
        </w:rPr>
        <w:t>ь</w:t>
      </w:r>
      <w:r w:rsidRPr="00787EA7">
        <w:rPr>
          <w:rFonts w:eastAsia="Calibri"/>
          <w:sz w:val="22"/>
          <w:szCs w:val="22"/>
          <w:lang w:eastAsia="en-US"/>
        </w:rPr>
        <w:t>ной собственностью в Краснодарском крае.</w:t>
      </w:r>
    </w:p>
    <w:p w:rsidR="00787EA7" w:rsidRPr="00787EA7" w:rsidRDefault="00787EA7" w:rsidP="001755C3">
      <w:pPr>
        <w:ind w:right="28" w:firstLine="426"/>
        <w:jc w:val="both"/>
        <w:rPr>
          <w:rFonts w:eastAsia="Calibri"/>
          <w:sz w:val="22"/>
          <w:szCs w:val="22"/>
          <w:lang w:val="en-US" w:eastAsia="en-US"/>
        </w:rPr>
      </w:pPr>
      <w:r w:rsidRPr="00787EA7">
        <w:rPr>
          <w:rFonts w:eastAsia="Calibri"/>
          <w:sz w:val="22"/>
          <w:szCs w:val="22"/>
          <w:lang w:val="en-US" w:eastAsia="en-US"/>
        </w:rPr>
        <w:t>ABSTRACT: the article substantiates the urgency of improving the system of municipal property management. The General characteristic of municipal property is resulted, the main problems are revealed and pe</w:t>
      </w:r>
      <w:r w:rsidRPr="00787EA7">
        <w:rPr>
          <w:rFonts w:eastAsia="Calibri"/>
          <w:sz w:val="22"/>
          <w:szCs w:val="22"/>
          <w:lang w:val="en-US" w:eastAsia="en-US"/>
        </w:rPr>
        <w:t>r</w:t>
      </w:r>
      <w:r w:rsidRPr="00787EA7">
        <w:rPr>
          <w:rFonts w:eastAsia="Calibri"/>
          <w:sz w:val="22"/>
          <w:szCs w:val="22"/>
          <w:lang w:val="en-US" w:eastAsia="en-US"/>
        </w:rPr>
        <w:t>spective directions of improvement of system of management of muni</w:t>
      </w:r>
      <w:r w:rsidRPr="00787EA7">
        <w:rPr>
          <w:rFonts w:eastAsia="Calibri"/>
          <w:sz w:val="22"/>
          <w:szCs w:val="22"/>
          <w:lang w:val="en-US" w:eastAsia="en-US"/>
        </w:rPr>
        <w:t>c</w:t>
      </w:r>
      <w:r w:rsidRPr="00787EA7">
        <w:rPr>
          <w:rFonts w:eastAsia="Calibri"/>
          <w:sz w:val="22"/>
          <w:szCs w:val="22"/>
          <w:lang w:val="en-US" w:eastAsia="en-US"/>
        </w:rPr>
        <w:t>ipal property in Krasnodar Krai are defined.</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КЛЮЧЕВЫЕ СЛОВА: муниципальная собственность, органы местного самоуправления, управление муниципальным имущ</w:t>
      </w:r>
      <w:r w:rsidRPr="00787EA7">
        <w:rPr>
          <w:rFonts w:eastAsia="Calibri"/>
          <w:sz w:val="22"/>
          <w:szCs w:val="22"/>
          <w:lang w:eastAsia="en-US"/>
        </w:rPr>
        <w:t>е</w:t>
      </w:r>
      <w:r w:rsidRPr="00787EA7">
        <w:rPr>
          <w:rFonts w:eastAsia="Calibri"/>
          <w:sz w:val="22"/>
          <w:szCs w:val="22"/>
          <w:lang w:eastAsia="en-US"/>
        </w:rPr>
        <w:t xml:space="preserve">ством, муниципальное образование, страхование муниципального имущества. </w:t>
      </w:r>
    </w:p>
    <w:p w:rsidR="00787EA7" w:rsidRPr="00787EA7" w:rsidRDefault="00787EA7" w:rsidP="001755C3">
      <w:pPr>
        <w:ind w:right="28" w:firstLine="426"/>
        <w:jc w:val="both"/>
        <w:rPr>
          <w:rFonts w:eastAsia="Calibri"/>
          <w:sz w:val="22"/>
          <w:szCs w:val="22"/>
          <w:lang w:val="en-US" w:eastAsia="en-US"/>
        </w:rPr>
      </w:pPr>
      <w:r w:rsidRPr="00787EA7">
        <w:rPr>
          <w:rFonts w:eastAsia="Calibri"/>
          <w:sz w:val="22"/>
          <w:szCs w:val="22"/>
          <w:lang w:val="en-US" w:eastAsia="en-US"/>
        </w:rPr>
        <w:t>KEYWORDS: municipal property, local self-government bodies, municipal property management, municipal formation, municipal pro</w:t>
      </w:r>
      <w:r w:rsidRPr="00787EA7">
        <w:rPr>
          <w:rFonts w:eastAsia="Calibri"/>
          <w:sz w:val="22"/>
          <w:szCs w:val="22"/>
          <w:lang w:val="en-US" w:eastAsia="en-US"/>
        </w:rPr>
        <w:t>p</w:t>
      </w:r>
      <w:r w:rsidRPr="00787EA7">
        <w:rPr>
          <w:rFonts w:eastAsia="Calibri"/>
          <w:sz w:val="22"/>
          <w:szCs w:val="22"/>
          <w:lang w:val="en-US" w:eastAsia="en-US"/>
        </w:rPr>
        <w:t>erty insurance.</w:t>
      </w:r>
    </w:p>
    <w:p w:rsidR="00787EA7" w:rsidRPr="00787EA7" w:rsidRDefault="00787EA7" w:rsidP="001755C3">
      <w:pPr>
        <w:ind w:right="28" w:firstLine="426"/>
        <w:jc w:val="both"/>
        <w:rPr>
          <w:rFonts w:eastAsia="Calibri"/>
          <w:sz w:val="22"/>
          <w:szCs w:val="22"/>
          <w:lang w:val="en-US" w:eastAsia="en-US"/>
        </w:rPr>
      </w:pP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 xml:space="preserve">В первую очередь, необходимо обозначить, что в настоящее время большое внимание уделяется проблеме эффективности </w:t>
      </w:r>
      <w:r w:rsidRPr="00787EA7">
        <w:rPr>
          <w:rFonts w:eastAsia="Calibri"/>
          <w:sz w:val="22"/>
          <w:szCs w:val="22"/>
          <w:lang w:eastAsia="en-US"/>
        </w:rPr>
        <w:lastRenderedPageBreak/>
        <w:t>управления муниципальной собственности, что связано с ее неэ</w:t>
      </w:r>
      <w:r w:rsidRPr="00787EA7">
        <w:rPr>
          <w:rFonts w:eastAsia="Calibri"/>
          <w:sz w:val="22"/>
          <w:szCs w:val="22"/>
          <w:lang w:eastAsia="en-US"/>
        </w:rPr>
        <w:t>ф</w:t>
      </w:r>
      <w:r w:rsidRPr="00787EA7">
        <w:rPr>
          <w:rFonts w:eastAsia="Calibri"/>
          <w:sz w:val="22"/>
          <w:szCs w:val="22"/>
          <w:lang w:eastAsia="en-US"/>
        </w:rPr>
        <w:t>фективным использованием, а также изношенном состоянии, часто непригодном для использования и нуждающимся в капитальном ремонте.</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В связи с этим определим, что в соответствии со ст. 215 ГК РФ, под муниципальной собственностью следует понимать имущество, принадлежащее на праве собственности городским и сельским п</w:t>
      </w:r>
      <w:r w:rsidRPr="00787EA7">
        <w:rPr>
          <w:rFonts w:eastAsia="Calibri"/>
          <w:sz w:val="22"/>
          <w:szCs w:val="22"/>
          <w:lang w:eastAsia="en-US"/>
        </w:rPr>
        <w:t>о</w:t>
      </w:r>
      <w:r w:rsidRPr="00787EA7">
        <w:rPr>
          <w:rFonts w:eastAsia="Calibri"/>
          <w:sz w:val="22"/>
          <w:szCs w:val="22"/>
          <w:lang w:eastAsia="en-US"/>
        </w:rPr>
        <w:t xml:space="preserve">селениям, а также другим муниципальным образованиям[2]. </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Итак, возвращаясь непосредственно к рассмотрению проблем и перспектив совершенствования системы управления муниципал</w:t>
      </w:r>
      <w:r w:rsidRPr="00787EA7">
        <w:rPr>
          <w:rFonts w:eastAsia="Calibri"/>
          <w:sz w:val="22"/>
          <w:szCs w:val="22"/>
          <w:lang w:eastAsia="en-US"/>
        </w:rPr>
        <w:t>ь</w:t>
      </w:r>
      <w:r w:rsidRPr="00787EA7">
        <w:rPr>
          <w:rFonts w:eastAsia="Calibri"/>
          <w:sz w:val="22"/>
          <w:szCs w:val="22"/>
          <w:lang w:eastAsia="en-US"/>
        </w:rPr>
        <w:t>ной собственностью в Краснодарском крае, важно отметить, в частности, что одной из главных задач деятельности администр</w:t>
      </w:r>
      <w:r w:rsidRPr="00787EA7">
        <w:rPr>
          <w:rFonts w:eastAsia="Calibri"/>
          <w:sz w:val="22"/>
          <w:szCs w:val="22"/>
          <w:lang w:eastAsia="en-US"/>
        </w:rPr>
        <w:t>а</w:t>
      </w:r>
      <w:r w:rsidRPr="00787EA7">
        <w:rPr>
          <w:rFonts w:eastAsia="Calibri"/>
          <w:sz w:val="22"/>
          <w:szCs w:val="22"/>
          <w:lang w:eastAsia="en-US"/>
        </w:rPr>
        <w:t>ции муниципального образования город Краснодар в настоящее время является обеспечение эффективного управления по форм</w:t>
      </w:r>
      <w:r w:rsidRPr="00787EA7">
        <w:rPr>
          <w:rFonts w:eastAsia="Calibri"/>
          <w:sz w:val="22"/>
          <w:szCs w:val="22"/>
          <w:lang w:eastAsia="en-US"/>
        </w:rPr>
        <w:t>и</w:t>
      </w:r>
      <w:r w:rsidRPr="00787EA7">
        <w:rPr>
          <w:rFonts w:eastAsia="Calibri"/>
          <w:sz w:val="22"/>
          <w:szCs w:val="22"/>
          <w:lang w:eastAsia="en-US"/>
        </w:rPr>
        <w:t>рованию и развитию имущественного комплекса, а также его опт</w:t>
      </w:r>
      <w:r w:rsidRPr="00787EA7">
        <w:rPr>
          <w:rFonts w:eastAsia="Calibri"/>
          <w:sz w:val="22"/>
          <w:szCs w:val="22"/>
          <w:lang w:eastAsia="en-US"/>
        </w:rPr>
        <w:t>и</w:t>
      </w:r>
      <w:r w:rsidRPr="00787EA7">
        <w:rPr>
          <w:rFonts w:eastAsia="Calibri"/>
          <w:sz w:val="22"/>
          <w:szCs w:val="22"/>
          <w:lang w:eastAsia="en-US"/>
        </w:rPr>
        <w:t>мизация и контроль за целевым использованием. Так, например, за 2016 год в муниципальную собственность Краснодара было прин</w:t>
      </w:r>
      <w:r w:rsidRPr="00787EA7">
        <w:rPr>
          <w:rFonts w:eastAsia="Calibri"/>
          <w:sz w:val="22"/>
          <w:szCs w:val="22"/>
          <w:lang w:eastAsia="en-US"/>
        </w:rPr>
        <w:t>я</w:t>
      </w:r>
      <w:r w:rsidRPr="00787EA7">
        <w:rPr>
          <w:rFonts w:eastAsia="Calibri"/>
          <w:sz w:val="22"/>
          <w:szCs w:val="22"/>
          <w:lang w:eastAsia="en-US"/>
        </w:rPr>
        <w:t>то основных средств на сумму 1760,7 млн. руб., что на 88,3% ниже показателей 2014 года.</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Наряду с этим увеличилось количество муниципальной со</w:t>
      </w:r>
      <w:r w:rsidRPr="00787EA7">
        <w:rPr>
          <w:rFonts w:eastAsia="Calibri"/>
          <w:sz w:val="22"/>
          <w:szCs w:val="22"/>
          <w:lang w:eastAsia="en-US"/>
        </w:rPr>
        <w:t>б</w:t>
      </w:r>
      <w:r w:rsidRPr="00787EA7">
        <w:rPr>
          <w:rFonts w:eastAsia="Calibri"/>
          <w:sz w:val="22"/>
          <w:szCs w:val="22"/>
          <w:lang w:eastAsia="en-US"/>
        </w:rPr>
        <w:t>ственности, что по итогу 2016 года составило 290 объектов, поста</w:t>
      </w:r>
      <w:r w:rsidRPr="00787EA7">
        <w:rPr>
          <w:rFonts w:eastAsia="Calibri"/>
          <w:sz w:val="22"/>
          <w:szCs w:val="22"/>
          <w:lang w:eastAsia="en-US"/>
        </w:rPr>
        <w:t>в</w:t>
      </w:r>
      <w:r w:rsidRPr="00787EA7">
        <w:rPr>
          <w:rFonts w:eastAsia="Calibri"/>
          <w:sz w:val="22"/>
          <w:szCs w:val="22"/>
          <w:lang w:eastAsia="en-US"/>
        </w:rPr>
        <w:t>лены на учёт как бесхозяйные – 180 ед. [4].</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В то же время, несмотря на достижение ряда положительных результатов в Краснодарском крае сохраняется ряд проблем в сфере управления муниципальной собственностью, которые можно об</w:t>
      </w:r>
      <w:r w:rsidRPr="00787EA7">
        <w:rPr>
          <w:rFonts w:eastAsia="Calibri"/>
          <w:sz w:val="22"/>
          <w:szCs w:val="22"/>
          <w:lang w:eastAsia="en-US"/>
        </w:rPr>
        <w:t>о</w:t>
      </w:r>
      <w:r w:rsidRPr="00787EA7">
        <w:rPr>
          <w:rFonts w:eastAsia="Calibri"/>
          <w:sz w:val="22"/>
          <w:szCs w:val="22"/>
          <w:lang w:eastAsia="en-US"/>
        </w:rPr>
        <w:t>значить на примере муниципального образования город Краснодар:</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1) отсутствие целостной системы учета имущества, а также его хозяйствующих субъектов;</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2) жесткая привязка перечня имущества (ст. 50 ФЗ № 131).</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Таким образом, для решения выше обозначенных проблем в муниципальном образовании город Краснодар в настоящее время реализуется Программа «Управления муниципальным имущ</w:t>
      </w:r>
      <w:r w:rsidRPr="00787EA7">
        <w:rPr>
          <w:rFonts w:eastAsia="Calibri"/>
          <w:sz w:val="22"/>
          <w:szCs w:val="22"/>
          <w:lang w:eastAsia="en-US"/>
        </w:rPr>
        <w:t>е</w:t>
      </w:r>
      <w:r w:rsidRPr="00787EA7">
        <w:rPr>
          <w:rFonts w:eastAsia="Calibri"/>
          <w:sz w:val="22"/>
          <w:szCs w:val="22"/>
          <w:lang w:eastAsia="en-US"/>
        </w:rPr>
        <w:t>ством», которая определяет следующие направления соверше</w:t>
      </w:r>
      <w:r w:rsidRPr="00787EA7">
        <w:rPr>
          <w:rFonts w:eastAsia="Calibri"/>
          <w:sz w:val="22"/>
          <w:szCs w:val="22"/>
          <w:lang w:eastAsia="en-US"/>
        </w:rPr>
        <w:t>н</w:t>
      </w:r>
      <w:r w:rsidRPr="00787EA7">
        <w:rPr>
          <w:rFonts w:eastAsia="Calibri"/>
          <w:sz w:val="22"/>
          <w:szCs w:val="22"/>
          <w:lang w:eastAsia="en-US"/>
        </w:rPr>
        <w:t>ствования системы управления муниципальной собственностью[3]:</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1) достижение оптимального состава муниципального имущ</w:t>
      </w:r>
      <w:r w:rsidRPr="00787EA7">
        <w:rPr>
          <w:rFonts w:eastAsia="Calibri"/>
          <w:sz w:val="22"/>
          <w:szCs w:val="22"/>
          <w:lang w:eastAsia="en-US"/>
        </w:rPr>
        <w:t>е</w:t>
      </w:r>
      <w:r w:rsidRPr="00787EA7">
        <w:rPr>
          <w:rFonts w:eastAsia="Calibri"/>
          <w:sz w:val="22"/>
          <w:szCs w:val="22"/>
          <w:lang w:eastAsia="en-US"/>
        </w:rPr>
        <w:t>ства и его мониторинг, обеспечивающий механизм сбора, консол</w:t>
      </w:r>
      <w:r w:rsidRPr="00787EA7">
        <w:rPr>
          <w:rFonts w:eastAsia="Calibri"/>
          <w:sz w:val="22"/>
          <w:szCs w:val="22"/>
          <w:lang w:eastAsia="en-US"/>
        </w:rPr>
        <w:t>и</w:t>
      </w:r>
      <w:r w:rsidRPr="00787EA7">
        <w:rPr>
          <w:rFonts w:eastAsia="Calibri"/>
          <w:sz w:val="22"/>
          <w:szCs w:val="22"/>
          <w:lang w:eastAsia="en-US"/>
        </w:rPr>
        <w:t>дации и представление информации для принятия и анализа реш</w:t>
      </w:r>
      <w:r w:rsidRPr="00787EA7">
        <w:rPr>
          <w:rFonts w:eastAsia="Calibri"/>
          <w:sz w:val="22"/>
          <w:szCs w:val="22"/>
          <w:lang w:eastAsia="en-US"/>
        </w:rPr>
        <w:t>е</w:t>
      </w:r>
      <w:r w:rsidRPr="00787EA7">
        <w:rPr>
          <w:rFonts w:eastAsia="Calibri"/>
          <w:sz w:val="22"/>
          <w:szCs w:val="22"/>
          <w:lang w:eastAsia="en-US"/>
        </w:rPr>
        <w:t>ний в отношении муниципального имущества;</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lastRenderedPageBreak/>
        <w:t>2) совершенствование механизмов управления муниципальным имуществом посредством нормативно-правового регулирования.</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Вдобавок, следует предположить, что в качестве еще одной перспективы совершенствования системы управления муниципал</w:t>
      </w:r>
      <w:r w:rsidRPr="00787EA7">
        <w:rPr>
          <w:rFonts w:eastAsia="Calibri"/>
          <w:sz w:val="22"/>
          <w:szCs w:val="22"/>
          <w:lang w:eastAsia="en-US"/>
        </w:rPr>
        <w:t>ь</w:t>
      </w:r>
      <w:r w:rsidRPr="00787EA7">
        <w:rPr>
          <w:rFonts w:eastAsia="Calibri"/>
          <w:sz w:val="22"/>
          <w:szCs w:val="22"/>
          <w:lang w:eastAsia="en-US"/>
        </w:rPr>
        <w:t>ной собственностью в Краснодарском крае может стать:</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1) использование современных методов управления имущ</w:t>
      </w:r>
      <w:r w:rsidRPr="00787EA7">
        <w:rPr>
          <w:rFonts w:eastAsia="Calibri"/>
          <w:sz w:val="22"/>
          <w:szCs w:val="22"/>
          <w:lang w:eastAsia="en-US"/>
        </w:rPr>
        <w:t>е</w:t>
      </w:r>
      <w:r w:rsidRPr="00787EA7">
        <w:rPr>
          <w:rFonts w:eastAsia="Calibri"/>
          <w:sz w:val="22"/>
          <w:szCs w:val="22"/>
          <w:lang w:eastAsia="en-US"/>
        </w:rPr>
        <w:t>ством, за счет расширения сферы действия общественно-частного  партнерства.</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2) разработка и внедрение системы страхования муниципал</w:t>
      </w:r>
      <w:r w:rsidRPr="00787EA7">
        <w:rPr>
          <w:rFonts w:eastAsia="Calibri"/>
          <w:sz w:val="22"/>
          <w:szCs w:val="22"/>
          <w:lang w:eastAsia="en-US"/>
        </w:rPr>
        <w:t>ь</w:t>
      </w:r>
      <w:r w:rsidRPr="00787EA7">
        <w:rPr>
          <w:rFonts w:eastAsia="Calibri"/>
          <w:sz w:val="22"/>
          <w:szCs w:val="22"/>
          <w:lang w:eastAsia="en-US"/>
        </w:rPr>
        <w:t>ного имущества.</w:t>
      </w:r>
    </w:p>
    <w:p w:rsidR="00787EA7" w:rsidRPr="00787EA7" w:rsidRDefault="00787EA7" w:rsidP="001755C3">
      <w:pPr>
        <w:ind w:right="28" w:firstLine="426"/>
        <w:jc w:val="both"/>
        <w:rPr>
          <w:rFonts w:eastAsia="Calibri"/>
          <w:sz w:val="22"/>
          <w:szCs w:val="22"/>
          <w:lang w:eastAsia="en-US"/>
        </w:rPr>
      </w:pPr>
    </w:p>
    <w:p w:rsidR="00787EA7" w:rsidRPr="001755C3" w:rsidRDefault="00787EA7" w:rsidP="001755C3">
      <w:pPr>
        <w:ind w:right="28" w:firstLine="426"/>
        <w:jc w:val="center"/>
        <w:rPr>
          <w:rFonts w:eastAsia="Calibri"/>
          <w:sz w:val="22"/>
          <w:szCs w:val="22"/>
          <w:lang w:eastAsia="en-US"/>
        </w:rPr>
      </w:pPr>
      <w:r w:rsidRPr="00787EA7">
        <w:rPr>
          <w:rFonts w:eastAsia="Calibri"/>
          <w:sz w:val="22"/>
          <w:szCs w:val="22"/>
          <w:lang w:eastAsia="en-US"/>
        </w:rPr>
        <w:t>Список литературы</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1. Конституция РФ. – М.: Юридическая литература, 2015. – 77 с.</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2. Постановление администрации муниципального образов</w:t>
      </w:r>
      <w:r w:rsidRPr="00787EA7">
        <w:rPr>
          <w:rFonts w:eastAsia="Calibri"/>
          <w:sz w:val="22"/>
          <w:szCs w:val="22"/>
          <w:lang w:eastAsia="en-US"/>
        </w:rPr>
        <w:t>а</w:t>
      </w:r>
      <w:r w:rsidRPr="00787EA7">
        <w:rPr>
          <w:rFonts w:eastAsia="Calibri"/>
          <w:sz w:val="22"/>
          <w:szCs w:val="22"/>
          <w:lang w:eastAsia="en-US"/>
        </w:rPr>
        <w:t>ния город Краснодар от 10.09.2014 № 6575 (ред. от 27.12.2017) «Об утверждении муниципальной программы муниципального образ</w:t>
      </w:r>
      <w:r w:rsidRPr="00787EA7">
        <w:rPr>
          <w:rFonts w:eastAsia="Calibri"/>
          <w:sz w:val="22"/>
          <w:szCs w:val="22"/>
          <w:lang w:eastAsia="en-US"/>
        </w:rPr>
        <w:t>о</w:t>
      </w:r>
      <w:r w:rsidRPr="00787EA7">
        <w:rPr>
          <w:rFonts w:eastAsia="Calibri"/>
          <w:sz w:val="22"/>
          <w:szCs w:val="22"/>
          <w:lang w:eastAsia="en-US"/>
        </w:rPr>
        <w:t>вания город Краснодар «Управление муниципальным имуществом»</w:t>
      </w:r>
    </w:p>
    <w:p w:rsidR="00787EA7" w:rsidRPr="00787EA7" w:rsidRDefault="00787EA7" w:rsidP="001755C3">
      <w:pPr>
        <w:ind w:right="28" w:firstLine="426"/>
        <w:jc w:val="both"/>
        <w:rPr>
          <w:rFonts w:eastAsia="Calibri"/>
          <w:sz w:val="22"/>
          <w:szCs w:val="22"/>
          <w:lang w:eastAsia="en-US"/>
        </w:rPr>
      </w:pPr>
      <w:r w:rsidRPr="00787EA7">
        <w:rPr>
          <w:rFonts w:eastAsia="Calibri"/>
          <w:sz w:val="22"/>
          <w:szCs w:val="22"/>
          <w:lang w:eastAsia="en-US"/>
        </w:rPr>
        <w:t>3. Федеральный закон от 06.10.2003 № 131-ФЗ (ред. от 29.12.2017) «Об общих принципах организации местного сам</w:t>
      </w:r>
      <w:r w:rsidRPr="00787EA7">
        <w:rPr>
          <w:rFonts w:eastAsia="Calibri"/>
          <w:sz w:val="22"/>
          <w:szCs w:val="22"/>
          <w:lang w:eastAsia="en-US"/>
        </w:rPr>
        <w:t>о</w:t>
      </w:r>
      <w:r w:rsidRPr="00787EA7">
        <w:rPr>
          <w:rFonts w:eastAsia="Calibri"/>
          <w:sz w:val="22"/>
          <w:szCs w:val="22"/>
          <w:lang w:eastAsia="en-US"/>
        </w:rPr>
        <w:t>управления в Российской Федерации»</w:t>
      </w:r>
    </w:p>
    <w:p w:rsidR="00787EA7" w:rsidRDefault="00787EA7" w:rsidP="001755C3">
      <w:pPr>
        <w:ind w:firstLine="426"/>
        <w:rPr>
          <w:sz w:val="22"/>
          <w:szCs w:val="22"/>
        </w:rPr>
      </w:pPr>
    </w:p>
    <w:p w:rsidR="001755C3" w:rsidRDefault="001755C3" w:rsidP="00CC1F5C">
      <w:pPr>
        <w:rPr>
          <w:sz w:val="22"/>
          <w:szCs w:val="22"/>
        </w:rPr>
      </w:pPr>
    </w:p>
    <w:p w:rsidR="00787EA7" w:rsidRPr="00787EA7" w:rsidRDefault="00787EA7" w:rsidP="00787EA7">
      <w:pPr>
        <w:spacing w:after="200"/>
        <w:jc w:val="both"/>
        <w:rPr>
          <w:rFonts w:eastAsia="MS Mincho"/>
          <w:sz w:val="22"/>
          <w:szCs w:val="18"/>
          <w:lang w:eastAsia="ja-JP"/>
        </w:rPr>
      </w:pPr>
      <w:r w:rsidRPr="00787EA7">
        <w:rPr>
          <w:rFonts w:eastAsia="MS Mincho"/>
          <w:sz w:val="22"/>
          <w:szCs w:val="18"/>
          <w:lang w:eastAsia="ja-JP"/>
        </w:rPr>
        <w:t>УДК 331</w:t>
      </w:r>
    </w:p>
    <w:p w:rsidR="00787EA7" w:rsidRPr="001755C3" w:rsidRDefault="00787EA7" w:rsidP="00787EA7">
      <w:pPr>
        <w:jc w:val="center"/>
        <w:rPr>
          <w:rFonts w:eastAsia="MS Mincho"/>
          <w:b/>
          <w:sz w:val="24"/>
          <w:szCs w:val="24"/>
          <w:lang w:eastAsia="ja-JP"/>
        </w:rPr>
      </w:pPr>
      <w:r w:rsidRPr="001755C3">
        <w:rPr>
          <w:rFonts w:eastAsia="MS Mincho"/>
          <w:b/>
          <w:sz w:val="24"/>
          <w:szCs w:val="24"/>
          <w:lang w:eastAsia="ja-JP"/>
        </w:rPr>
        <w:t>Проблема</w:t>
      </w:r>
      <w:r w:rsidR="001755C3">
        <w:rPr>
          <w:rFonts w:eastAsia="MS Mincho"/>
          <w:b/>
          <w:sz w:val="24"/>
          <w:szCs w:val="24"/>
          <w:lang w:eastAsia="ja-JP"/>
        </w:rPr>
        <w:t xml:space="preserve"> борьбы с безработицей в России</w:t>
      </w:r>
    </w:p>
    <w:p w:rsidR="00787EA7" w:rsidRPr="001755C3" w:rsidRDefault="00787EA7" w:rsidP="00787EA7">
      <w:pPr>
        <w:jc w:val="center"/>
        <w:rPr>
          <w:rFonts w:eastAsia="MS Mincho"/>
          <w:b/>
          <w:sz w:val="24"/>
          <w:szCs w:val="24"/>
          <w:lang w:val="en-US" w:eastAsia="ja-JP"/>
        </w:rPr>
      </w:pPr>
      <w:r w:rsidRPr="001755C3">
        <w:rPr>
          <w:rFonts w:eastAsia="MS Mincho"/>
          <w:b/>
          <w:sz w:val="24"/>
          <w:szCs w:val="24"/>
          <w:lang w:val="en-US" w:eastAsia="ja-JP"/>
        </w:rPr>
        <w:t xml:space="preserve">The problem of combating unemployment in </w:t>
      </w:r>
      <w:r w:rsidR="001755C3">
        <w:rPr>
          <w:rFonts w:eastAsia="MS Mincho"/>
          <w:b/>
          <w:sz w:val="24"/>
          <w:szCs w:val="24"/>
          <w:lang w:val="en-US" w:eastAsia="ja-JP"/>
        </w:rPr>
        <w:t>Russia</w:t>
      </w:r>
    </w:p>
    <w:p w:rsidR="001755C3" w:rsidRPr="001755C3" w:rsidRDefault="001755C3" w:rsidP="00787EA7">
      <w:pPr>
        <w:jc w:val="center"/>
        <w:rPr>
          <w:rFonts w:eastAsia="MS Mincho"/>
          <w:b/>
          <w:sz w:val="22"/>
          <w:szCs w:val="22"/>
          <w:lang w:val="en-US" w:eastAsia="ja-JP"/>
        </w:rPr>
      </w:pPr>
    </w:p>
    <w:p w:rsidR="00787EA7" w:rsidRPr="00787EA7" w:rsidRDefault="00787EA7" w:rsidP="00787EA7">
      <w:pPr>
        <w:jc w:val="right"/>
        <w:rPr>
          <w:rFonts w:eastAsia="MS Mincho"/>
          <w:sz w:val="22"/>
          <w:szCs w:val="18"/>
          <w:lang w:eastAsia="ja-JP"/>
        </w:rPr>
      </w:pPr>
      <w:r w:rsidRPr="00787EA7">
        <w:rPr>
          <w:rFonts w:eastAsia="MS Mincho"/>
          <w:sz w:val="22"/>
          <w:szCs w:val="18"/>
          <w:lang w:eastAsia="ja-JP"/>
        </w:rPr>
        <w:t>Быковская И.</w:t>
      </w:r>
      <w:r w:rsidR="001755C3">
        <w:rPr>
          <w:rFonts w:eastAsia="MS Mincho"/>
          <w:sz w:val="22"/>
          <w:szCs w:val="18"/>
          <w:lang w:eastAsia="ja-JP"/>
        </w:rPr>
        <w:t xml:space="preserve"> </w:t>
      </w:r>
      <w:r w:rsidRPr="00787EA7">
        <w:rPr>
          <w:rFonts w:eastAsia="MS Mincho"/>
          <w:sz w:val="22"/>
          <w:szCs w:val="18"/>
          <w:lang w:eastAsia="ja-JP"/>
        </w:rPr>
        <w:t>А.</w:t>
      </w:r>
      <w:r w:rsidR="001755C3">
        <w:rPr>
          <w:rFonts w:eastAsia="MS Mincho"/>
          <w:sz w:val="22"/>
          <w:szCs w:val="18"/>
          <w:lang w:eastAsia="ja-JP"/>
        </w:rPr>
        <w:t>,</w:t>
      </w:r>
    </w:p>
    <w:p w:rsidR="00787EA7" w:rsidRPr="00787EA7" w:rsidRDefault="00787EA7" w:rsidP="00787EA7">
      <w:pPr>
        <w:jc w:val="right"/>
        <w:rPr>
          <w:rFonts w:eastAsia="MS Mincho"/>
          <w:sz w:val="22"/>
          <w:szCs w:val="18"/>
          <w:lang w:eastAsia="ja-JP"/>
        </w:rPr>
      </w:pPr>
      <w:r w:rsidRPr="00787EA7">
        <w:rPr>
          <w:rFonts w:eastAsia="MS Mincho"/>
          <w:sz w:val="22"/>
          <w:szCs w:val="18"/>
          <w:lang w:eastAsia="ja-JP"/>
        </w:rPr>
        <w:t>студентка 1-го курса факультета управления</w:t>
      </w:r>
    </w:p>
    <w:p w:rsidR="00787EA7" w:rsidRDefault="00787EA7" w:rsidP="00787EA7">
      <w:pPr>
        <w:jc w:val="right"/>
        <w:rPr>
          <w:rFonts w:eastAsia="MS Mincho"/>
          <w:sz w:val="22"/>
          <w:szCs w:val="18"/>
          <w:lang w:eastAsia="ja-JP"/>
        </w:rPr>
      </w:pPr>
      <w:r w:rsidRPr="00787EA7">
        <w:rPr>
          <w:rFonts w:eastAsia="MS Mincho"/>
          <w:sz w:val="22"/>
          <w:szCs w:val="18"/>
          <w:lang w:eastAsia="ja-JP"/>
        </w:rPr>
        <w:t>Сафронов А.</w:t>
      </w:r>
      <w:r w:rsidR="001755C3">
        <w:rPr>
          <w:rFonts w:eastAsia="MS Mincho"/>
          <w:sz w:val="22"/>
          <w:szCs w:val="18"/>
          <w:lang w:eastAsia="ja-JP"/>
        </w:rPr>
        <w:t xml:space="preserve"> </w:t>
      </w:r>
      <w:r w:rsidRPr="00787EA7">
        <w:rPr>
          <w:rFonts w:eastAsia="MS Mincho"/>
          <w:sz w:val="22"/>
          <w:szCs w:val="18"/>
          <w:lang w:eastAsia="ja-JP"/>
        </w:rPr>
        <w:t>М.</w:t>
      </w:r>
      <w:r w:rsidR="001755C3">
        <w:rPr>
          <w:rFonts w:eastAsia="MS Mincho"/>
          <w:sz w:val="22"/>
          <w:szCs w:val="18"/>
          <w:lang w:eastAsia="ja-JP"/>
        </w:rPr>
        <w:t>,</w:t>
      </w:r>
    </w:p>
    <w:p w:rsidR="001755C3" w:rsidRPr="00787EA7" w:rsidRDefault="001755C3" w:rsidP="001755C3">
      <w:pPr>
        <w:jc w:val="right"/>
        <w:rPr>
          <w:rFonts w:eastAsia="MS Mincho"/>
          <w:sz w:val="22"/>
          <w:szCs w:val="18"/>
          <w:lang w:eastAsia="ja-JP"/>
        </w:rPr>
      </w:pPr>
      <w:r>
        <w:rPr>
          <w:rFonts w:eastAsia="MS Mincho"/>
          <w:sz w:val="22"/>
          <w:szCs w:val="18"/>
          <w:lang w:eastAsia="ja-JP"/>
        </w:rPr>
        <w:t>с</w:t>
      </w:r>
      <w:r w:rsidRPr="00787EA7">
        <w:rPr>
          <w:rFonts w:eastAsia="MS Mincho"/>
          <w:sz w:val="22"/>
          <w:szCs w:val="18"/>
          <w:lang w:eastAsia="ja-JP"/>
        </w:rPr>
        <w:t>тарший преподаватель</w:t>
      </w:r>
    </w:p>
    <w:p w:rsidR="00787EA7" w:rsidRPr="00787EA7" w:rsidRDefault="00787EA7" w:rsidP="00787EA7">
      <w:pPr>
        <w:jc w:val="right"/>
        <w:rPr>
          <w:rFonts w:eastAsia="MS Mincho"/>
          <w:sz w:val="22"/>
          <w:szCs w:val="18"/>
          <w:lang w:eastAsia="ja-JP"/>
        </w:rPr>
      </w:pPr>
      <w:r w:rsidRPr="00787EA7">
        <w:rPr>
          <w:rFonts w:eastAsia="MS Mincho"/>
          <w:sz w:val="22"/>
          <w:szCs w:val="18"/>
          <w:lang w:eastAsia="ja-JP"/>
        </w:rPr>
        <w:t>Кубанский государственный аграрный</w:t>
      </w:r>
    </w:p>
    <w:p w:rsidR="00787EA7" w:rsidRPr="00787EA7" w:rsidRDefault="001755C3" w:rsidP="00787EA7">
      <w:pPr>
        <w:jc w:val="right"/>
        <w:rPr>
          <w:rFonts w:eastAsia="MS Mincho"/>
          <w:sz w:val="22"/>
          <w:szCs w:val="18"/>
          <w:lang w:eastAsia="ja-JP"/>
        </w:rPr>
      </w:pPr>
      <w:r>
        <w:rPr>
          <w:rFonts w:eastAsia="MS Mincho"/>
          <w:sz w:val="22"/>
          <w:szCs w:val="18"/>
          <w:lang w:eastAsia="ja-JP"/>
        </w:rPr>
        <w:t>у</w:t>
      </w:r>
      <w:r w:rsidR="00787EA7" w:rsidRPr="00787EA7">
        <w:rPr>
          <w:rFonts w:eastAsia="MS Mincho"/>
          <w:sz w:val="22"/>
          <w:szCs w:val="18"/>
          <w:lang w:eastAsia="ja-JP"/>
        </w:rPr>
        <w:t>ниверситет имени И.</w:t>
      </w:r>
      <w:r>
        <w:rPr>
          <w:rFonts w:eastAsia="MS Mincho"/>
          <w:sz w:val="22"/>
          <w:szCs w:val="18"/>
          <w:lang w:eastAsia="ja-JP"/>
        </w:rPr>
        <w:t xml:space="preserve"> </w:t>
      </w:r>
      <w:r w:rsidR="00787EA7" w:rsidRPr="00787EA7">
        <w:rPr>
          <w:rFonts w:eastAsia="MS Mincho"/>
          <w:sz w:val="22"/>
          <w:szCs w:val="18"/>
          <w:lang w:eastAsia="ja-JP"/>
        </w:rPr>
        <w:t>Т. Трубилина</w:t>
      </w:r>
    </w:p>
    <w:p w:rsidR="00787EA7" w:rsidRPr="00787EA7" w:rsidRDefault="00787EA7" w:rsidP="00787EA7">
      <w:pPr>
        <w:jc w:val="both"/>
        <w:rPr>
          <w:rFonts w:eastAsia="MS Mincho"/>
          <w:sz w:val="22"/>
          <w:szCs w:val="18"/>
          <w:lang w:eastAsia="ja-JP"/>
        </w:rPr>
      </w:pP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АННОТАЦИЯ: Выявлены существующие проблемы связанные с безработицей. Изучены пути решения этих проблем,  и предлож</w:t>
      </w:r>
      <w:r w:rsidRPr="00787EA7">
        <w:rPr>
          <w:rFonts w:eastAsia="MS Mincho"/>
          <w:sz w:val="22"/>
          <w:szCs w:val="18"/>
          <w:lang w:eastAsia="ja-JP"/>
        </w:rPr>
        <w:t>е</w:t>
      </w:r>
      <w:r w:rsidRPr="00787EA7">
        <w:rPr>
          <w:rFonts w:eastAsia="MS Mincho"/>
          <w:sz w:val="22"/>
          <w:szCs w:val="18"/>
          <w:lang w:eastAsia="ja-JP"/>
        </w:rPr>
        <w:t>ны меры по их предотвращению.</w:t>
      </w:r>
    </w:p>
    <w:p w:rsidR="00787EA7" w:rsidRPr="00787EA7" w:rsidRDefault="00787EA7" w:rsidP="00787EA7">
      <w:pPr>
        <w:ind w:firstLine="425"/>
        <w:jc w:val="both"/>
        <w:rPr>
          <w:rFonts w:eastAsia="MS Mincho"/>
          <w:sz w:val="22"/>
          <w:szCs w:val="18"/>
          <w:lang w:val="en-US" w:eastAsia="ja-JP"/>
        </w:rPr>
      </w:pPr>
      <w:r w:rsidRPr="00787EA7">
        <w:rPr>
          <w:rFonts w:eastAsia="MS Mincho"/>
          <w:sz w:val="22"/>
          <w:szCs w:val="18"/>
          <w:lang w:val="en-US" w:eastAsia="ja-JP"/>
        </w:rPr>
        <w:lastRenderedPageBreak/>
        <w:t>ABSTRACT: Identified the existing problems associated with u</w:t>
      </w:r>
      <w:r w:rsidRPr="00787EA7">
        <w:rPr>
          <w:rFonts w:eastAsia="MS Mincho"/>
          <w:sz w:val="22"/>
          <w:szCs w:val="18"/>
          <w:lang w:val="en-US" w:eastAsia="ja-JP"/>
        </w:rPr>
        <w:t>n</w:t>
      </w:r>
      <w:r w:rsidRPr="00787EA7">
        <w:rPr>
          <w:rFonts w:eastAsia="MS Mincho"/>
          <w:sz w:val="22"/>
          <w:szCs w:val="18"/>
          <w:lang w:val="en-US" w:eastAsia="ja-JP"/>
        </w:rPr>
        <w:t>employment. The ways of solving these problems have been studied, and measures for their prevention have been proposed.</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КЛЮЧЕВЫЕ СЛОВА: безработица, государство, проблема, з</w:t>
      </w:r>
      <w:r w:rsidRPr="00787EA7">
        <w:rPr>
          <w:rFonts w:eastAsia="MS Mincho"/>
          <w:sz w:val="22"/>
          <w:szCs w:val="18"/>
          <w:lang w:eastAsia="ja-JP"/>
        </w:rPr>
        <w:t>а</w:t>
      </w:r>
      <w:r w:rsidRPr="00787EA7">
        <w:rPr>
          <w:rFonts w:eastAsia="MS Mincho"/>
          <w:sz w:val="22"/>
          <w:szCs w:val="18"/>
          <w:lang w:eastAsia="ja-JP"/>
        </w:rPr>
        <w:t>кон, Российская Федерация.</w:t>
      </w:r>
    </w:p>
    <w:p w:rsidR="00787EA7" w:rsidRPr="00787EA7" w:rsidRDefault="00787EA7" w:rsidP="00787EA7">
      <w:pPr>
        <w:ind w:firstLine="425"/>
        <w:jc w:val="both"/>
        <w:rPr>
          <w:rFonts w:eastAsia="MS Mincho"/>
          <w:sz w:val="22"/>
          <w:szCs w:val="18"/>
          <w:lang w:val="en-US" w:eastAsia="ja-JP"/>
        </w:rPr>
      </w:pPr>
      <w:r w:rsidRPr="00787EA7">
        <w:rPr>
          <w:rFonts w:eastAsia="MS Mincho"/>
          <w:sz w:val="22"/>
          <w:szCs w:val="18"/>
          <w:lang w:val="en-US" w:eastAsia="ja-JP"/>
        </w:rPr>
        <w:t>KEYWORDS: unemployment, state, problem, law, Russian Feder</w:t>
      </w:r>
      <w:r w:rsidRPr="00787EA7">
        <w:rPr>
          <w:rFonts w:eastAsia="MS Mincho"/>
          <w:sz w:val="22"/>
          <w:szCs w:val="18"/>
          <w:lang w:val="en-US" w:eastAsia="ja-JP"/>
        </w:rPr>
        <w:t>a</w:t>
      </w:r>
      <w:r w:rsidRPr="00787EA7">
        <w:rPr>
          <w:rFonts w:eastAsia="MS Mincho"/>
          <w:sz w:val="22"/>
          <w:szCs w:val="18"/>
          <w:lang w:val="en-US" w:eastAsia="ja-JP"/>
        </w:rPr>
        <w:t>tion.</w:t>
      </w:r>
    </w:p>
    <w:p w:rsidR="00787EA7" w:rsidRPr="00787EA7" w:rsidRDefault="00787EA7" w:rsidP="00787EA7">
      <w:pPr>
        <w:jc w:val="both"/>
        <w:rPr>
          <w:rFonts w:eastAsia="MS Mincho"/>
          <w:sz w:val="22"/>
          <w:szCs w:val="18"/>
          <w:lang w:val="en-US" w:eastAsia="ja-JP"/>
        </w:rPr>
      </w:pP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Одной из наиболее важных проблем в России и во всем мире является проблема занятости населения – проблема безработицы. Как известно, уровень безработицы считается одним из объекти</w:t>
      </w:r>
      <w:r w:rsidRPr="00787EA7">
        <w:rPr>
          <w:rFonts w:eastAsia="MS Mincho"/>
          <w:sz w:val="22"/>
          <w:szCs w:val="18"/>
          <w:lang w:eastAsia="ja-JP"/>
        </w:rPr>
        <w:t>в</w:t>
      </w:r>
      <w:r w:rsidRPr="00787EA7">
        <w:rPr>
          <w:rFonts w:eastAsia="MS Mincho"/>
          <w:sz w:val="22"/>
          <w:szCs w:val="18"/>
          <w:lang w:eastAsia="ja-JP"/>
        </w:rPr>
        <w:t>ных показателей экономики страны.</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Экономика страны падает и ухудшается уровень жизни насел</w:t>
      </w:r>
      <w:r w:rsidRPr="00787EA7">
        <w:rPr>
          <w:rFonts w:eastAsia="MS Mincho"/>
          <w:sz w:val="22"/>
          <w:szCs w:val="18"/>
          <w:lang w:eastAsia="ja-JP"/>
        </w:rPr>
        <w:t>е</w:t>
      </w:r>
      <w:r w:rsidRPr="00787EA7">
        <w:rPr>
          <w:rFonts w:eastAsia="MS Mincho"/>
          <w:sz w:val="22"/>
          <w:szCs w:val="18"/>
          <w:lang w:eastAsia="ja-JP"/>
        </w:rPr>
        <w:t>ния, если число безработных растет. Также от уровня безработицы зависят и другие показатели, например, социальная сфера.</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Для начала стоит дать определение понятию «безработица». Безработица - это ситуация в стране, при которой часть экономич</w:t>
      </w:r>
      <w:r w:rsidRPr="00787EA7">
        <w:rPr>
          <w:rFonts w:eastAsia="MS Mincho"/>
          <w:sz w:val="22"/>
          <w:szCs w:val="18"/>
          <w:lang w:eastAsia="ja-JP"/>
        </w:rPr>
        <w:t>е</w:t>
      </w:r>
      <w:r w:rsidRPr="00787EA7">
        <w:rPr>
          <w:rFonts w:eastAsia="MS Mincho"/>
          <w:sz w:val="22"/>
          <w:szCs w:val="18"/>
          <w:lang w:eastAsia="ja-JP"/>
        </w:rPr>
        <w:t>ски активного населения способны и желают трудиться, но не могут найти работу.</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 xml:space="preserve">К сожалению, в Российской Федерации не имеется </w:t>
      </w:r>
      <w:r w:rsidRPr="00787EA7">
        <w:rPr>
          <w:rFonts w:eastAsia="MS Mincho"/>
          <w:sz w:val="22"/>
          <w:szCs w:val="22"/>
          <w:lang w:eastAsia="ja-JP"/>
        </w:rPr>
        <w:t>специальн</w:t>
      </w:r>
      <w:r w:rsidRPr="00787EA7">
        <w:rPr>
          <w:rFonts w:eastAsia="MS Mincho"/>
          <w:sz w:val="22"/>
          <w:szCs w:val="22"/>
          <w:lang w:eastAsia="ja-JP"/>
        </w:rPr>
        <w:t>о</w:t>
      </w:r>
      <w:r w:rsidRPr="00787EA7">
        <w:rPr>
          <w:rFonts w:eastAsia="MS Mincho"/>
          <w:sz w:val="22"/>
          <w:szCs w:val="22"/>
          <w:lang w:eastAsia="ja-JP"/>
        </w:rPr>
        <w:t>го нормативно-правового </w:t>
      </w:r>
      <w:r w:rsidRPr="00787EA7">
        <w:rPr>
          <w:rFonts w:eastAsia="MS Mincho"/>
          <w:sz w:val="22"/>
          <w:szCs w:val="18"/>
          <w:lang w:eastAsia="ja-JP"/>
        </w:rPr>
        <w:t>акта, который бы регулировал безработ</w:t>
      </w:r>
      <w:r w:rsidRPr="00787EA7">
        <w:rPr>
          <w:rFonts w:eastAsia="MS Mincho"/>
          <w:sz w:val="22"/>
          <w:szCs w:val="18"/>
          <w:lang w:eastAsia="ja-JP"/>
        </w:rPr>
        <w:t>и</w:t>
      </w:r>
      <w:r w:rsidRPr="00787EA7">
        <w:rPr>
          <w:rFonts w:eastAsia="MS Mincho"/>
          <w:sz w:val="22"/>
          <w:szCs w:val="18"/>
          <w:lang w:eastAsia="ja-JP"/>
        </w:rPr>
        <w:t>цу, но существует Федеральный закон «О занятости населения РФ», он определяет понятие безработицы и указывает, кто может сч</w:t>
      </w:r>
      <w:r w:rsidRPr="00787EA7">
        <w:rPr>
          <w:rFonts w:eastAsia="MS Mincho"/>
          <w:sz w:val="22"/>
          <w:szCs w:val="18"/>
          <w:lang w:eastAsia="ja-JP"/>
        </w:rPr>
        <w:t>и</w:t>
      </w:r>
      <w:r w:rsidRPr="00787EA7">
        <w:rPr>
          <w:rFonts w:eastAsia="MS Mincho"/>
          <w:sz w:val="22"/>
          <w:szCs w:val="18"/>
          <w:lang w:eastAsia="ja-JP"/>
        </w:rPr>
        <w:t>таться безработным. Человек может считаться безработным только 18 месяцев, причем пособие будет выплачиваться только 12 мес</w:t>
      </w:r>
      <w:r w:rsidRPr="00787EA7">
        <w:rPr>
          <w:rFonts w:eastAsia="MS Mincho"/>
          <w:sz w:val="22"/>
          <w:szCs w:val="18"/>
          <w:lang w:eastAsia="ja-JP"/>
        </w:rPr>
        <w:t>я</w:t>
      </w:r>
      <w:r w:rsidRPr="00787EA7">
        <w:rPr>
          <w:rFonts w:eastAsia="MS Mincho"/>
          <w:sz w:val="22"/>
          <w:szCs w:val="18"/>
          <w:lang w:eastAsia="ja-JP"/>
        </w:rPr>
        <w:t>цев. В течение 11 дней службы занятости регистрируют лицо в к</w:t>
      </w:r>
      <w:r w:rsidRPr="00787EA7">
        <w:rPr>
          <w:rFonts w:eastAsia="MS Mincho"/>
          <w:sz w:val="22"/>
          <w:szCs w:val="18"/>
          <w:lang w:eastAsia="ja-JP"/>
        </w:rPr>
        <w:t>а</w:t>
      </w:r>
      <w:r w:rsidRPr="00787EA7">
        <w:rPr>
          <w:rFonts w:eastAsia="MS Mincho"/>
          <w:sz w:val="22"/>
          <w:szCs w:val="18"/>
          <w:lang w:eastAsia="ja-JP"/>
        </w:rPr>
        <w:t>честве безработного. Граждане, получившие отказ в регистрации, могут в течение месяца подать повторное заявление.</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В январе 2017г., по итогам выборочного обследования рабочей силы, 4,3 млн. человек в возрасте 15-72 лет классифицировались как безработные (в соответствии с методологией Международной О</w:t>
      </w:r>
      <w:r w:rsidRPr="00787EA7">
        <w:rPr>
          <w:rFonts w:eastAsia="MS Mincho"/>
          <w:sz w:val="22"/>
          <w:szCs w:val="18"/>
          <w:lang w:eastAsia="ja-JP"/>
        </w:rPr>
        <w:t>р</w:t>
      </w:r>
      <w:r w:rsidRPr="00787EA7">
        <w:rPr>
          <w:rFonts w:eastAsia="MS Mincho"/>
          <w:sz w:val="22"/>
          <w:szCs w:val="18"/>
          <w:lang w:eastAsia="ja-JP"/>
        </w:rPr>
        <w:t>ганизации Труда)[4].</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Уровень безработицы в январе 2017г. составил 5,6% (без и</w:t>
      </w:r>
      <w:r w:rsidRPr="00787EA7">
        <w:rPr>
          <w:rFonts w:eastAsia="MS Mincho"/>
          <w:sz w:val="22"/>
          <w:szCs w:val="18"/>
          <w:lang w:eastAsia="ja-JP"/>
        </w:rPr>
        <w:t>с</w:t>
      </w:r>
      <w:r w:rsidRPr="00787EA7">
        <w:rPr>
          <w:rFonts w:eastAsia="MS Mincho"/>
          <w:sz w:val="22"/>
          <w:szCs w:val="18"/>
          <w:lang w:eastAsia="ja-JP"/>
        </w:rPr>
        <w:t>ключения сезонного фактора).</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Средний возраст безработных в возрасте 15-72 лет в январе 2017г. составил 36,9 года. Молодежь до 25 лет составляет среди безработных 19,8%, лица в возрасте 50-72 лет - 20,4%.</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lastRenderedPageBreak/>
        <w:t>По мнению многих, именно рыночные отношения послужили причиной появления безработицы в России. Да, именно благодаря им появилась возможность заниматься предпринимательской де</w:t>
      </w:r>
      <w:r w:rsidRPr="00787EA7">
        <w:rPr>
          <w:rFonts w:eastAsia="MS Mincho"/>
          <w:sz w:val="22"/>
          <w:szCs w:val="18"/>
          <w:lang w:eastAsia="ja-JP"/>
        </w:rPr>
        <w:t>я</w:t>
      </w:r>
      <w:r w:rsidRPr="00787EA7">
        <w:rPr>
          <w:rFonts w:eastAsia="MS Mincho"/>
          <w:sz w:val="22"/>
          <w:szCs w:val="18"/>
          <w:lang w:eastAsia="ja-JP"/>
        </w:rPr>
        <w:t>тельностью, что послужило происхождению глобальных изменений в системе народного хозяйства, различные предприятия и организ</w:t>
      </w:r>
      <w:r w:rsidRPr="00787EA7">
        <w:rPr>
          <w:rFonts w:eastAsia="MS Mincho"/>
          <w:sz w:val="22"/>
          <w:szCs w:val="18"/>
          <w:lang w:eastAsia="ja-JP"/>
        </w:rPr>
        <w:t>а</w:t>
      </w:r>
      <w:r w:rsidRPr="00787EA7">
        <w:rPr>
          <w:rFonts w:eastAsia="MS Mincho"/>
          <w:sz w:val="22"/>
          <w:szCs w:val="18"/>
          <w:lang w:eastAsia="ja-JP"/>
        </w:rPr>
        <w:t>ции становятся банкротами, поэтому квалифицированные люди остаются без работы.</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В Советском Союзе не было понятия «безработица». Оно явл</w:t>
      </w:r>
      <w:r w:rsidRPr="00787EA7">
        <w:rPr>
          <w:rFonts w:eastAsia="MS Mincho"/>
          <w:sz w:val="22"/>
          <w:szCs w:val="18"/>
          <w:lang w:eastAsia="ja-JP"/>
        </w:rPr>
        <w:t>я</w:t>
      </w:r>
      <w:r w:rsidRPr="00787EA7">
        <w:rPr>
          <w:rFonts w:eastAsia="MS Mincho"/>
          <w:sz w:val="22"/>
          <w:szCs w:val="18"/>
          <w:lang w:eastAsia="ja-JP"/>
        </w:rPr>
        <w:t>ется неким нововведение для российского государства. В СССР в основе государства лежала идея К. Маркса «труд источник всех б</w:t>
      </w:r>
      <w:r w:rsidRPr="00787EA7">
        <w:rPr>
          <w:rFonts w:eastAsia="MS Mincho"/>
          <w:sz w:val="22"/>
          <w:szCs w:val="18"/>
          <w:lang w:eastAsia="ja-JP"/>
        </w:rPr>
        <w:t>о</w:t>
      </w:r>
      <w:r w:rsidRPr="00787EA7">
        <w:rPr>
          <w:rFonts w:eastAsia="MS Mincho"/>
          <w:sz w:val="22"/>
          <w:szCs w:val="18"/>
          <w:lang w:eastAsia="ja-JP"/>
        </w:rPr>
        <w:t>гатств», поэтому безработица имела временный, условный хара</w:t>
      </w:r>
      <w:r w:rsidRPr="00787EA7">
        <w:rPr>
          <w:rFonts w:eastAsia="MS Mincho"/>
          <w:sz w:val="22"/>
          <w:szCs w:val="18"/>
          <w:lang w:eastAsia="ja-JP"/>
        </w:rPr>
        <w:t>к</w:t>
      </w:r>
      <w:r w:rsidRPr="00787EA7">
        <w:rPr>
          <w:rFonts w:eastAsia="MS Mincho"/>
          <w:sz w:val="22"/>
          <w:szCs w:val="18"/>
          <w:lang w:eastAsia="ja-JP"/>
        </w:rPr>
        <w:t>тер, так как людей переобучали и выплачивали стипендию за пол</w:t>
      </w:r>
      <w:r w:rsidRPr="00787EA7">
        <w:rPr>
          <w:rFonts w:eastAsia="MS Mincho"/>
          <w:sz w:val="22"/>
          <w:szCs w:val="18"/>
          <w:lang w:eastAsia="ja-JP"/>
        </w:rPr>
        <w:t>у</w:t>
      </w:r>
      <w:r w:rsidRPr="00787EA7">
        <w:rPr>
          <w:rFonts w:eastAsia="MS Mincho"/>
          <w:sz w:val="22"/>
          <w:szCs w:val="18"/>
          <w:lang w:eastAsia="ja-JP"/>
        </w:rPr>
        <w:t>чение новой профессии. Как сообщает нам Росстат, в различных регионах нашей большой страны уровень безработицы не однозн</w:t>
      </w:r>
      <w:r w:rsidRPr="00787EA7">
        <w:rPr>
          <w:rFonts w:eastAsia="MS Mincho"/>
          <w:sz w:val="22"/>
          <w:szCs w:val="18"/>
          <w:lang w:eastAsia="ja-JP"/>
        </w:rPr>
        <w:t>а</w:t>
      </w:r>
      <w:r w:rsidRPr="00787EA7">
        <w:rPr>
          <w:rFonts w:eastAsia="MS Mincho"/>
          <w:sz w:val="22"/>
          <w:szCs w:val="18"/>
          <w:lang w:eastAsia="ja-JP"/>
        </w:rPr>
        <w:t>чен. Для примера можно привести центральный федеральный округ. В нем уровень безработицы составил всего – 3,3%, один из самых низких показателей, например, в Москве он составляет 1,6%. Один из самых высоких показателей наблюдается в Северокавка</w:t>
      </w:r>
      <w:r w:rsidRPr="00787EA7">
        <w:rPr>
          <w:rFonts w:eastAsia="MS Mincho"/>
          <w:sz w:val="22"/>
          <w:szCs w:val="18"/>
          <w:lang w:eastAsia="ja-JP"/>
        </w:rPr>
        <w:t>з</w:t>
      </w:r>
      <w:r w:rsidRPr="00787EA7">
        <w:rPr>
          <w:rFonts w:eastAsia="MS Mincho"/>
          <w:sz w:val="22"/>
          <w:szCs w:val="18"/>
          <w:lang w:eastAsia="ja-JP"/>
        </w:rPr>
        <w:t>ских республиках – 13,3%, в Северо-Западном федеральном округе – 4%.</w:t>
      </w:r>
      <w:r w:rsidRPr="00787EA7">
        <w:rPr>
          <w:rFonts w:eastAsia="MS Mincho"/>
          <w:sz w:val="22"/>
          <w:szCs w:val="18"/>
          <w:lang w:eastAsia="ja-JP"/>
        </w:rPr>
        <w:br/>
        <w:t>Хотя, если сравнивать статистику нашей страны и мировой уровень безработицы, то можно заметить, что в Российской Федерации бе</w:t>
      </w:r>
      <w:r w:rsidRPr="00787EA7">
        <w:rPr>
          <w:rFonts w:eastAsia="MS Mincho"/>
          <w:sz w:val="22"/>
          <w:szCs w:val="18"/>
          <w:lang w:eastAsia="ja-JP"/>
        </w:rPr>
        <w:t>з</w:t>
      </w:r>
      <w:r w:rsidRPr="00787EA7">
        <w:rPr>
          <w:rFonts w:eastAsia="MS Mincho"/>
          <w:sz w:val="22"/>
          <w:szCs w:val="18"/>
          <w:lang w:eastAsia="ja-JP"/>
        </w:rPr>
        <w:t>работицы почти что и нет. В европейских странах её уровень куда выше [2].</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Но особое место занимает безработица среди молодежи. В н</w:t>
      </w:r>
      <w:r w:rsidRPr="00787EA7">
        <w:rPr>
          <w:rFonts w:eastAsia="MS Mincho"/>
          <w:sz w:val="22"/>
          <w:szCs w:val="18"/>
          <w:lang w:eastAsia="ja-JP"/>
        </w:rPr>
        <w:t>е</w:t>
      </w:r>
      <w:r w:rsidRPr="00787EA7">
        <w:rPr>
          <w:rFonts w:eastAsia="MS Mincho"/>
          <w:sz w:val="22"/>
          <w:szCs w:val="18"/>
          <w:lang w:eastAsia="ja-JP"/>
        </w:rPr>
        <w:t>которых регионах безработица среди молодежи достигает 30%, как сообщает Росстат. Так как труд перестал цениться. Молодые ребята считают, что лучше «переметаться» случайным заработком, чем заниматься производственным трудом. Для решения данной пр</w:t>
      </w:r>
      <w:r w:rsidRPr="00787EA7">
        <w:rPr>
          <w:rFonts w:eastAsia="MS Mincho"/>
          <w:sz w:val="22"/>
          <w:szCs w:val="18"/>
          <w:lang w:eastAsia="ja-JP"/>
        </w:rPr>
        <w:t>о</w:t>
      </w:r>
      <w:r w:rsidRPr="00787EA7">
        <w:rPr>
          <w:rFonts w:eastAsia="MS Mincho"/>
          <w:sz w:val="22"/>
          <w:szCs w:val="18"/>
          <w:lang w:eastAsia="ja-JP"/>
        </w:rPr>
        <w:t>блемы надо помогать молодому поколению с трудоустройством и формировать у них уважение к труду. Конечно, полностью изб</w:t>
      </w:r>
      <w:r w:rsidRPr="00787EA7">
        <w:rPr>
          <w:rFonts w:eastAsia="MS Mincho"/>
          <w:sz w:val="22"/>
          <w:szCs w:val="18"/>
          <w:lang w:eastAsia="ja-JP"/>
        </w:rPr>
        <w:t>а</w:t>
      </w:r>
      <w:r w:rsidRPr="00787EA7">
        <w:rPr>
          <w:rFonts w:eastAsia="MS Mincho"/>
          <w:sz w:val="22"/>
          <w:szCs w:val="18"/>
          <w:lang w:eastAsia="ja-JP"/>
        </w:rPr>
        <w:t>виться от безработицы невозможно, но необходимо ее максимально минимизировать [3].</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Что же предпринимается в государстве:</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1. Идет переквалификация граждан.</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2. Усиливается социальная поддержка тех, кто не подлежит п</w:t>
      </w:r>
      <w:r w:rsidRPr="00787EA7">
        <w:rPr>
          <w:rFonts w:eastAsia="MS Mincho"/>
          <w:sz w:val="22"/>
          <w:szCs w:val="18"/>
          <w:lang w:eastAsia="ja-JP"/>
        </w:rPr>
        <w:t>е</w:t>
      </w:r>
      <w:r w:rsidRPr="00787EA7">
        <w:rPr>
          <w:rFonts w:eastAsia="MS Mincho"/>
          <w:sz w:val="22"/>
          <w:szCs w:val="18"/>
          <w:lang w:eastAsia="ja-JP"/>
        </w:rPr>
        <w:t>реквалификации.</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lastRenderedPageBreak/>
        <w:t>3. Развивается частный бизнес, который служит источником новых рабочих мест.</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4. Идет освоение новых регионов, в которых много свободных рабочих мест.</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Но не все так гладко. Правительство России упустило еще одну область, область образования.</w:t>
      </w:r>
    </w:p>
    <w:p w:rsidR="001755C3" w:rsidRDefault="00787EA7" w:rsidP="00787EA7">
      <w:pPr>
        <w:ind w:firstLine="425"/>
        <w:jc w:val="both"/>
        <w:rPr>
          <w:rFonts w:eastAsia="MS Mincho"/>
          <w:sz w:val="22"/>
          <w:szCs w:val="18"/>
          <w:lang w:eastAsia="ja-JP"/>
        </w:rPr>
      </w:pPr>
      <w:r w:rsidRPr="00787EA7">
        <w:rPr>
          <w:rFonts w:eastAsia="MS Mincho"/>
          <w:sz w:val="22"/>
          <w:szCs w:val="18"/>
          <w:lang w:eastAsia="ja-JP"/>
        </w:rPr>
        <w:t>Вместо того чтобы привить школьникам какие-нибудь осно</w:t>
      </w:r>
      <w:r w:rsidRPr="00787EA7">
        <w:rPr>
          <w:rFonts w:eastAsia="MS Mincho"/>
          <w:sz w:val="22"/>
          <w:szCs w:val="18"/>
          <w:lang w:eastAsia="ja-JP"/>
        </w:rPr>
        <w:t>в</w:t>
      </w:r>
      <w:r w:rsidRPr="00787EA7">
        <w:rPr>
          <w:rFonts w:eastAsia="MS Mincho"/>
          <w:sz w:val="22"/>
          <w:szCs w:val="18"/>
          <w:lang w:eastAsia="ja-JP"/>
        </w:rPr>
        <w:t>ные профессиональные навыки, вводится в обязательное изучение смутные, напичканные ненужными подробностями предметы. М</w:t>
      </w:r>
      <w:r w:rsidRPr="00787EA7">
        <w:rPr>
          <w:rFonts w:eastAsia="MS Mincho"/>
          <w:sz w:val="22"/>
          <w:szCs w:val="18"/>
          <w:lang w:eastAsia="ja-JP"/>
        </w:rPr>
        <w:t>и</w:t>
      </w:r>
      <w:r w:rsidRPr="00787EA7">
        <w:rPr>
          <w:rFonts w:eastAsia="MS Mincho"/>
          <w:sz w:val="22"/>
          <w:szCs w:val="18"/>
          <w:lang w:eastAsia="ja-JP"/>
        </w:rPr>
        <w:t>нистерство образования так и продолжает готовить «идеальных п</w:t>
      </w:r>
      <w:r w:rsidRPr="00787EA7">
        <w:rPr>
          <w:rFonts w:eastAsia="MS Mincho"/>
          <w:sz w:val="22"/>
          <w:szCs w:val="18"/>
          <w:lang w:eastAsia="ja-JP"/>
        </w:rPr>
        <w:t>о</w:t>
      </w:r>
      <w:r w:rsidRPr="00787EA7">
        <w:rPr>
          <w:rFonts w:eastAsia="MS Mincho"/>
          <w:sz w:val="22"/>
          <w:szCs w:val="18"/>
          <w:lang w:eastAsia="ja-JP"/>
        </w:rPr>
        <w:t>требителей», а не тружеников. Кроме того, нет реальной защиты отечественного рынка труда от неквалифицированных, но дешевых мигрантов из Средней Азии.</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В настоящее время Российская Федерация не имеет серьезных проблем по безработице. Но именно сейчас закладывается основа под настоящую безработицу, уже не статистическую на 2025-2030 годы [5].</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«Так и живем: одной рукой строим здание будущего, другой — закладываем мины под его фундамент».</w:t>
      </w:r>
    </w:p>
    <w:p w:rsidR="00787EA7" w:rsidRPr="00787EA7" w:rsidRDefault="00787EA7" w:rsidP="00787EA7">
      <w:pPr>
        <w:ind w:firstLine="425"/>
        <w:jc w:val="both"/>
        <w:rPr>
          <w:rFonts w:eastAsia="MS Mincho"/>
          <w:sz w:val="22"/>
          <w:szCs w:val="18"/>
          <w:lang w:eastAsia="ja-JP"/>
        </w:rPr>
      </w:pPr>
    </w:p>
    <w:p w:rsidR="00787EA7" w:rsidRPr="00787EA7" w:rsidRDefault="001755C3" w:rsidP="00787EA7">
      <w:pPr>
        <w:ind w:firstLine="425"/>
        <w:jc w:val="center"/>
        <w:rPr>
          <w:rFonts w:eastAsia="MS Mincho"/>
          <w:sz w:val="22"/>
          <w:szCs w:val="18"/>
          <w:lang w:eastAsia="ja-JP"/>
        </w:rPr>
      </w:pPr>
      <w:r>
        <w:rPr>
          <w:rFonts w:eastAsia="MS Mincho"/>
          <w:sz w:val="22"/>
          <w:szCs w:val="18"/>
          <w:lang w:eastAsia="ja-JP"/>
        </w:rPr>
        <w:t>Список литературы</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1. Электронный ресурс: ttp://rusplt.ru/society/paradoksyi-rossiyskoy-bezrabotitsyi-18717.html</w:t>
      </w:r>
    </w:p>
    <w:p w:rsidR="00787EA7" w:rsidRPr="00787EA7" w:rsidRDefault="00787EA7" w:rsidP="00787EA7">
      <w:pPr>
        <w:ind w:firstLine="425"/>
        <w:jc w:val="both"/>
        <w:rPr>
          <w:rFonts w:eastAsia="MS Mincho"/>
          <w:sz w:val="22"/>
          <w:szCs w:val="18"/>
          <w:lang w:eastAsia="ja-JP"/>
        </w:rPr>
      </w:pPr>
      <w:r w:rsidRPr="00787EA7">
        <w:rPr>
          <w:rFonts w:eastAsia="MS Mincho"/>
          <w:sz w:val="22"/>
          <w:szCs w:val="18"/>
          <w:lang w:eastAsia="ja-JP"/>
        </w:rPr>
        <w:t>2. Электронный ресурс: http://www.gks.ru</w:t>
      </w:r>
    </w:p>
    <w:p w:rsidR="00787EA7" w:rsidRPr="00787EA7" w:rsidRDefault="00787EA7" w:rsidP="00787EA7">
      <w:pPr>
        <w:ind w:firstLine="425"/>
        <w:jc w:val="both"/>
        <w:rPr>
          <w:rFonts w:eastAsia="MS Mincho"/>
          <w:sz w:val="22"/>
          <w:szCs w:val="22"/>
          <w:lang w:eastAsia="ja-JP"/>
        </w:rPr>
      </w:pPr>
      <w:r w:rsidRPr="00787EA7">
        <w:rPr>
          <w:rFonts w:eastAsia="MS Mincho"/>
          <w:sz w:val="22"/>
          <w:szCs w:val="18"/>
          <w:lang w:eastAsia="ja-JP"/>
        </w:rPr>
        <w:t>3. Павленко, В.А. Рынок труда. Занятость. Безработица.</w:t>
      </w:r>
      <w:r w:rsidRPr="00787EA7">
        <w:rPr>
          <w:rFonts w:eastAsia="MS Mincho"/>
          <w:sz w:val="22"/>
          <w:szCs w:val="22"/>
          <w:lang w:eastAsia="ja-JP"/>
        </w:rPr>
        <w:t xml:space="preserve"> </w:t>
      </w:r>
      <w:hyperlink r:id="rId181" w:history="1">
        <w:r w:rsidRPr="00787EA7">
          <w:rPr>
            <w:rFonts w:eastAsia="MS Mincho"/>
            <w:sz w:val="22"/>
            <w:szCs w:val="22"/>
            <w:shd w:val="clear" w:color="auto" w:fill="FFFFFF"/>
            <w:lang w:eastAsia="ja-JP"/>
          </w:rPr>
          <w:t>Изд</w:t>
        </w:r>
        <w:r w:rsidRPr="00787EA7">
          <w:rPr>
            <w:rFonts w:eastAsia="MS Mincho"/>
            <w:sz w:val="22"/>
            <w:szCs w:val="22"/>
            <w:shd w:val="clear" w:color="auto" w:fill="FFFFFF"/>
            <w:lang w:eastAsia="ja-JP"/>
          </w:rPr>
          <w:t>а</w:t>
        </w:r>
        <w:r w:rsidRPr="00787EA7">
          <w:rPr>
            <w:rFonts w:eastAsia="MS Mincho"/>
            <w:sz w:val="22"/>
            <w:szCs w:val="22"/>
            <w:shd w:val="clear" w:color="auto" w:fill="FFFFFF"/>
            <w:lang w:eastAsia="ja-JP"/>
          </w:rPr>
          <w:t>тельство МГУ</w:t>
        </w:r>
      </w:hyperlink>
      <w:r w:rsidRPr="00787EA7">
        <w:rPr>
          <w:rFonts w:eastAsia="MS Mincho"/>
          <w:sz w:val="22"/>
          <w:szCs w:val="22"/>
          <w:lang w:eastAsia="ja-JP"/>
        </w:rPr>
        <w:t>, 2004. – С. 115-164.</w:t>
      </w:r>
    </w:p>
    <w:p w:rsidR="00787EA7" w:rsidRPr="00787EA7" w:rsidRDefault="00787EA7" w:rsidP="00787EA7">
      <w:pPr>
        <w:ind w:firstLine="425"/>
        <w:jc w:val="both"/>
        <w:rPr>
          <w:rFonts w:eastAsia="MS Mincho"/>
          <w:sz w:val="22"/>
          <w:szCs w:val="22"/>
          <w:lang w:eastAsia="ja-JP"/>
        </w:rPr>
      </w:pPr>
      <w:r w:rsidRPr="00787EA7">
        <w:rPr>
          <w:rFonts w:eastAsia="MS Mincho"/>
          <w:sz w:val="22"/>
          <w:szCs w:val="22"/>
          <w:lang w:eastAsia="ja-JP"/>
        </w:rPr>
        <w:t>4. Бреев, Б.Д. Безработица в современной России. Наука, 2005. – С. 93-158.</w:t>
      </w:r>
    </w:p>
    <w:p w:rsidR="00787EA7" w:rsidRDefault="00787EA7">
      <w:pPr>
        <w:rPr>
          <w:sz w:val="22"/>
          <w:szCs w:val="22"/>
        </w:rPr>
      </w:pPr>
    </w:p>
    <w:p w:rsidR="001755C3" w:rsidRDefault="002200F0">
      <w:pPr>
        <w:rPr>
          <w:sz w:val="22"/>
          <w:szCs w:val="22"/>
        </w:rPr>
      </w:pPr>
      <w:r>
        <w:rPr>
          <w:sz w:val="22"/>
          <w:szCs w:val="22"/>
        </w:rPr>
        <w:br w:type="page"/>
      </w:r>
    </w:p>
    <w:p w:rsidR="00787EA7" w:rsidRPr="00787EA7" w:rsidRDefault="00787EA7" w:rsidP="00787EA7">
      <w:pPr>
        <w:widowControl w:val="0"/>
        <w:autoSpaceDE w:val="0"/>
        <w:autoSpaceDN w:val="0"/>
        <w:adjustRightInd w:val="0"/>
        <w:rPr>
          <w:sz w:val="22"/>
          <w:szCs w:val="20"/>
        </w:rPr>
      </w:pPr>
      <w:r w:rsidRPr="00787EA7">
        <w:rPr>
          <w:sz w:val="22"/>
          <w:szCs w:val="20"/>
        </w:rPr>
        <w:lastRenderedPageBreak/>
        <w:t>УДК 35.082.38</w:t>
      </w:r>
    </w:p>
    <w:p w:rsidR="00787EA7" w:rsidRPr="00787EA7" w:rsidRDefault="00787EA7" w:rsidP="00787EA7">
      <w:pPr>
        <w:widowControl w:val="0"/>
        <w:autoSpaceDE w:val="0"/>
        <w:autoSpaceDN w:val="0"/>
        <w:adjustRightInd w:val="0"/>
        <w:rPr>
          <w:b/>
          <w:sz w:val="24"/>
          <w:szCs w:val="24"/>
        </w:rPr>
      </w:pPr>
    </w:p>
    <w:p w:rsidR="00787EA7" w:rsidRPr="00787EA7" w:rsidRDefault="00787EA7" w:rsidP="00787EA7">
      <w:pPr>
        <w:widowControl w:val="0"/>
        <w:autoSpaceDE w:val="0"/>
        <w:autoSpaceDN w:val="0"/>
        <w:adjustRightInd w:val="0"/>
        <w:jc w:val="center"/>
        <w:rPr>
          <w:b/>
          <w:sz w:val="24"/>
          <w:szCs w:val="24"/>
        </w:rPr>
      </w:pPr>
      <w:r w:rsidRPr="00787EA7">
        <w:rPr>
          <w:b/>
          <w:sz w:val="24"/>
          <w:szCs w:val="24"/>
        </w:rPr>
        <w:t xml:space="preserve">Кадровый резерв и механизмы его использования </w:t>
      </w:r>
      <w:r w:rsidR="001755C3">
        <w:rPr>
          <w:b/>
          <w:sz w:val="24"/>
          <w:szCs w:val="24"/>
        </w:rPr>
        <w:br/>
      </w:r>
      <w:r w:rsidRPr="00787EA7">
        <w:rPr>
          <w:b/>
          <w:sz w:val="24"/>
          <w:szCs w:val="24"/>
        </w:rPr>
        <w:t xml:space="preserve">в администрации Усть-Лабинского района </w:t>
      </w:r>
      <w:r w:rsidR="00CC1F5C">
        <w:rPr>
          <w:b/>
          <w:sz w:val="24"/>
          <w:szCs w:val="24"/>
        </w:rPr>
        <w:br/>
      </w:r>
      <w:r w:rsidRPr="00787EA7">
        <w:rPr>
          <w:b/>
          <w:sz w:val="24"/>
          <w:szCs w:val="24"/>
        </w:rPr>
        <w:t xml:space="preserve">Краснодарского края </w:t>
      </w:r>
    </w:p>
    <w:p w:rsidR="00787EA7" w:rsidRPr="00787EA7" w:rsidRDefault="00787EA7" w:rsidP="00787EA7">
      <w:pPr>
        <w:widowControl w:val="0"/>
        <w:autoSpaceDE w:val="0"/>
        <w:autoSpaceDN w:val="0"/>
        <w:adjustRightInd w:val="0"/>
        <w:jc w:val="center"/>
        <w:rPr>
          <w:b/>
          <w:sz w:val="24"/>
          <w:szCs w:val="24"/>
          <w:lang w:val="en-US"/>
        </w:rPr>
      </w:pPr>
      <w:r w:rsidRPr="00787EA7">
        <w:rPr>
          <w:b/>
          <w:sz w:val="24"/>
          <w:szCs w:val="24"/>
          <w:lang w:val="en-US"/>
        </w:rPr>
        <w:t>Staff reserve and mechanisms of its use in the administration of Ust-Labinsky district of the Krasnodar Territory</w:t>
      </w:r>
    </w:p>
    <w:p w:rsidR="00787EA7" w:rsidRPr="00787EA7" w:rsidRDefault="00787EA7" w:rsidP="00787EA7">
      <w:pPr>
        <w:widowControl w:val="0"/>
        <w:autoSpaceDE w:val="0"/>
        <w:autoSpaceDN w:val="0"/>
        <w:adjustRightInd w:val="0"/>
        <w:jc w:val="right"/>
        <w:rPr>
          <w:b/>
          <w:sz w:val="24"/>
          <w:szCs w:val="24"/>
          <w:lang w:val="en-US"/>
        </w:rPr>
      </w:pPr>
    </w:p>
    <w:p w:rsidR="00787EA7" w:rsidRPr="00787EA7" w:rsidRDefault="00787EA7" w:rsidP="00787EA7">
      <w:pPr>
        <w:widowControl w:val="0"/>
        <w:autoSpaceDE w:val="0"/>
        <w:autoSpaceDN w:val="0"/>
        <w:adjustRightInd w:val="0"/>
        <w:jc w:val="right"/>
        <w:rPr>
          <w:sz w:val="22"/>
          <w:szCs w:val="24"/>
        </w:rPr>
      </w:pPr>
      <w:r w:rsidRPr="00787EA7">
        <w:rPr>
          <w:sz w:val="22"/>
          <w:szCs w:val="24"/>
        </w:rPr>
        <w:t>Корнева К. Н.,</w:t>
      </w:r>
    </w:p>
    <w:p w:rsidR="00787EA7" w:rsidRPr="00787EA7" w:rsidRDefault="00787EA7" w:rsidP="00787EA7">
      <w:pPr>
        <w:widowControl w:val="0"/>
        <w:autoSpaceDE w:val="0"/>
        <w:autoSpaceDN w:val="0"/>
        <w:adjustRightInd w:val="0"/>
        <w:jc w:val="right"/>
        <w:rPr>
          <w:sz w:val="22"/>
          <w:szCs w:val="24"/>
        </w:rPr>
      </w:pPr>
      <w:r w:rsidRPr="00787EA7">
        <w:rPr>
          <w:sz w:val="22"/>
          <w:szCs w:val="24"/>
        </w:rPr>
        <w:t>студентка 4-го курса факультета управления</w:t>
      </w:r>
    </w:p>
    <w:p w:rsidR="00787EA7" w:rsidRPr="00787EA7" w:rsidRDefault="00787EA7" w:rsidP="00787EA7">
      <w:pPr>
        <w:widowControl w:val="0"/>
        <w:autoSpaceDE w:val="0"/>
        <w:autoSpaceDN w:val="0"/>
        <w:adjustRightInd w:val="0"/>
        <w:jc w:val="right"/>
        <w:rPr>
          <w:sz w:val="22"/>
          <w:szCs w:val="24"/>
        </w:rPr>
      </w:pPr>
      <w:r w:rsidRPr="00787EA7">
        <w:rPr>
          <w:sz w:val="22"/>
          <w:szCs w:val="24"/>
        </w:rPr>
        <w:t>Салий О.</w:t>
      </w:r>
      <w:r w:rsidR="001755C3">
        <w:rPr>
          <w:sz w:val="22"/>
          <w:szCs w:val="24"/>
        </w:rPr>
        <w:t xml:space="preserve"> </w:t>
      </w:r>
      <w:r w:rsidRPr="00787EA7">
        <w:rPr>
          <w:sz w:val="22"/>
          <w:szCs w:val="24"/>
        </w:rPr>
        <w:t>Н.,</w:t>
      </w:r>
    </w:p>
    <w:p w:rsidR="001755C3" w:rsidRDefault="00787EA7" w:rsidP="00787EA7">
      <w:pPr>
        <w:widowControl w:val="0"/>
        <w:autoSpaceDE w:val="0"/>
        <w:autoSpaceDN w:val="0"/>
        <w:adjustRightInd w:val="0"/>
        <w:jc w:val="right"/>
        <w:rPr>
          <w:sz w:val="22"/>
          <w:szCs w:val="24"/>
        </w:rPr>
      </w:pPr>
      <w:r w:rsidRPr="00787EA7">
        <w:rPr>
          <w:sz w:val="22"/>
          <w:szCs w:val="24"/>
        </w:rPr>
        <w:t>доцент кафедры государственного</w:t>
      </w:r>
    </w:p>
    <w:p w:rsidR="00787EA7" w:rsidRPr="00787EA7" w:rsidRDefault="00787EA7" w:rsidP="00787EA7">
      <w:pPr>
        <w:widowControl w:val="0"/>
        <w:autoSpaceDE w:val="0"/>
        <w:autoSpaceDN w:val="0"/>
        <w:adjustRightInd w:val="0"/>
        <w:jc w:val="right"/>
        <w:rPr>
          <w:sz w:val="22"/>
          <w:szCs w:val="24"/>
        </w:rPr>
      </w:pPr>
      <w:r w:rsidRPr="00787EA7">
        <w:rPr>
          <w:sz w:val="22"/>
          <w:szCs w:val="24"/>
        </w:rPr>
        <w:t xml:space="preserve"> и муниципального управления</w:t>
      </w:r>
    </w:p>
    <w:p w:rsidR="00787EA7" w:rsidRPr="00787EA7" w:rsidRDefault="00787EA7" w:rsidP="00787EA7">
      <w:pPr>
        <w:widowControl w:val="0"/>
        <w:autoSpaceDE w:val="0"/>
        <w:autoSpaceDN w:val="0"/>
        <w:adjustRightInd w:val="0"/>
        <w:jc w:val="right"/>
        <w:rPr>
          <w:sz w:val="22"/>
          <w:szCs w:val="24"/>
        </w:rPr>
      </w:pPr>
      <w:r w:rsidRPr="00787EA7">
        <w:rPr>
          <w:sz w:val="22"/>
          <w:szCs w:val="24"/>
        </w:rPr>
        <w:t>Кубанский государственный аграрный</w:t>
      </w:r>
      <w:r w:rsidRPr="00787EA7">
        <w:rPr>
          <w:sz w:val="22"/>
          <w:szCs w:val="24"/>
        </w:rPr>
        <w:br/>
        <w:t xml:space="preserve"> университет имени И.</w:t>
      </w:r>
      <w:r w:rsidR="002200F0">
        <w:rPr>
          <w:sz w:val="22"/>
          <w:szCs w:val="24"/>
        </w:rPr>
        <w:t xml:space="preserve"> </w:t>
      </w:r>
      <w:r w:rsidRPr="00787EA7">
        <w:rPr>
          <w:sz w:val="22"/>
          <w:szCs w:val="24"/>
        </w:rPr>
        <w:t>Т. Трубилина</w:t>
      </w:r>
    </w:p>
    <w:p w:rsidR="00787EA7" w:rsidRPr="00787EA7" w:rsidRDefault="00787EA7" w:rsidP="00787EA7">
      <w:pPr>
        <w:widowControl w:val="0"/>
        <w:autoSpaceDE w:val="0"/>
        <w:autoSpaceDN w:val="0"/>
        <w:adjustRightInd w:val="0"/>
        <w:jc w:val="right"/>
        <w:rPr>
          <w:sz w:val="22"/>
          <w:szCs w:val="24"/>
        </w:rPr>
      </w:pPr>
    </w:p>
    <w:p w:rsidR="00787EA7" w:rsidRPr="00787EA7" w:rsidRDefault="00787EA7" w:rsidP="001755C3">
      <w:pPr>
        <w:widowControl w:val="0"/>
        <w:autoSpaceDE w:val="0"/>
        <w:autoSpaceDN w:val="0"/>
        <w:adjustRightInd w:val="0"/>
        <w:ind w:firstLine="426"/>
        <w:jc w:val="both"/>
        <w:rPr>
          <w:sz w:val="22"/>
          <w:szCs w:val="22"/>
        </w:rPr>
      </w:pPr>
      <w:r w:rsidRPr="00787EA7">
        <w:rPr>
          <w:sz w:val="22"/>
          <w:szCs w:val="24"/>
        </w:rPr>
        <w:t>АННОТАЦИЯ:</w:t>
      </w:r>
      <w:r w:rsidRPr="00787EA7">
        <w:rPr>
          <w:sz w:val="22"/>
          <w:szCs w:val="22"/>
        </w:rPr>
        <w:t xml:space="preserve"> В отечественной теории и практике существ</w:t>
      </w:r>
      <w:r w:rsidRPr="00787EA7">
        <w:rPr>
          <w:sz w:val="22"/>
          <w:szCs w:val="22"/>
        </w:rPr>
        <w:t>у</w:t>
      </w:r>
      <w:r w:rsidRPr="00787EA7">
        <w:rPr>
          <w:sz w:val="22"/>
          <w:szCs w:val="22"/>
        </w:rPr>
        <w:t>ют различные взгляды и подходы к определению дефиниции кадр</w:t>
      </w:r>
      <w:r w:rsidRPr="00787EA7">
        <w:rPr>
          <w:sz w:val="22"/>
          <w:szCs w:val="22"/>
        </w:rPr>
        <w:t>о</w:t>
      </w:r>
      <w:r w:rsidRPr="00787EA7">
        <w:rPr>
          <w:sz w:val="22"/>
          <w:szCs w:val="22"/>
        </w:rPr>
        <w:t>вого резерва, разнообразны организационные принципы его форм</w:t>
      </w:r>
      <w:r w:rsidRPr="00787EA7">
        <w:rPr>
          <w:sz w:val="22"/>
          <w:szCs w:val="22"/>
        </w:rPr>
        <w:t>и</w:t>
      </w:r>
      <w:r w:rsidRPr="00787EA7">
        <w:rPr>
          <w:sz w:val="22"/>
          <w:szCs w:val="22"/>
        </w:rPr>
        <w:t>рования и использования.</w:t>
      </w:r>
    </w:p>
    <w:p w:rsidR="00787EA7" w:rsidRPr="00787EA7" w:rsidRDefault="00787EA7" w:rsidP="001755C3">
      <w:pPr>
        <w:widowControl w:val="0"/>
        <w:autoSpaceDE w:val="0"/>
        <w:autoSpaceDN w:val="0"/>
        <w:adjustRightInd w:val="0"/>
        <w:ind w:firstLine="426"/>
        <w:jc w:val="both"/>
        <w:rPr>
          <w:sz w:val="22"/>
          <w:szCs w:val="22"/>
          <w:lang w:val="en-US"/>
        </w:rPr>
      </w:pPr>
      <w:r w:rsidRPr="00787EA7">
        <w:rPr>
          <w:sz w:val="22"/>
          <w:szCs w:val="22"/>
          <w:lang w:val="en-US"/>
        </w:rPr>
        <w:t>ABSTRACT: In the domestic theory and practice there are different views and approaches to determining the definition of the personnel r</w:t>
      </w:r>
      <w:r w:rsidRPr="00787EA7">
        <w:rPr>
          <w:sz w:val="22"/>
          <w:szCs w:val="22"/>
          <w:lang w:val="en-US"/>
        </w:rPr>
        <w:t>e</w:t>
      </w:r>
      <w:r w:rsidRPr="00787EA7">
        <w:rPr>
          <w:sz w:val="22"/>
          <w:szCs w:val="22"/>
          <w:lang w:val="en-US"/>
        </w:rPr>
        <w:t>serve, the organizational principles of its formation and use are diverse.</w:t>
      </w:r>
    </w:p>
    <w:p w:rsidR="00787EA7" w:rsidRPr="00787EA7" w:rsidRDefault="00787EA7" w:rsidP="001755C3">
      <w:pPr>
        <w:widowControl w:val="0"/>
        <w:autoSpaceDE w:val="0"/>
        <w:autoSpaceDN w:val="0"/>
        <w:adjustRightInd w:val="0"/>
        <w:ind w:firstLine="426"/>
        <w:jc w:val="both"/>
        <w:rPr>
          <w:sz w:val="22"/>
          <w:szCs w:val="22"/>
        </w:rPr>
      </w:pPr>
      <w:r w:rsidRPr="00787EA7">
        <w:rPr>
          <w:sz w:val="22"/>
          <w:szCs w:val="22"/>
        </w:rPr>
        <w:t>КЛЮЧЕВЫЕ СЛОВА: кадровый резерв, муниципальная слу</w:t>
      </w:r>
      <w:r w:rsidRPr="00787EA7">
        <w:rPr>
          <w:sz w:val="22"/>
          <w:szCs w:val="22"/>
        </w:rPr>
        <w:t>ж</w:t>
      </w:r>
      <w:r w:rsidRPr="00787EA7">
        <w:rPr>
          <w:sz w:val="22"/>
          <w:szCs w:val="22"/>
        </w:rPr>
        <w:t>ба, конкурс.</w:t>
      </w:r>
    </w:p>
    <w:p w:rsidR="00787EA7" w:rsidRPr="00787EA7" w:rsidRDefault="00787EA7" w:rsidP="001755C3">
      <w:pPr>
        <w:widowControl w:val="0"/>
        <w:autoSpaceDE w:val="0"/>
        <w:autoSpaceDN w:val="0"/>
        <w:adjustRightInd w:val="0"/>
        <w:ind w:firstLine="426"/>
        <w:jc w:val="both"/>
        <w:rPr>
          <w:sz w:val="22"/>
          <w:szCs w:val="22"/>
          <w:lang w:val="en-US"/>
        </w:rPr>
      </w:pPr>
      <w:r w:rsidRPr="00787EA7">
        <w:rPr>
          <w:sz w:val="22"/>
          <w:szCs w:val="22"/>
          <w:lang w:val="en-US"/>
        </w:rPr>
        <w:t>KEYWORDS: personnel reserve, municipal service, competition.</w:t>
      </w:r>
    </w:p>
    <w:p w:rsidR="00787EA7" w:rsidRPr="00787EA7" w:rsidRDefault="00787EA7" w:rsidP="001755C3">
      <w:pPr>
        <w:widowControl w:val="0"/>
        <w:autoSpaceDE w:val="0"/>
        <w:autoSpaceDN w:val="0"/>
        <w:adjustRightInd w:val="0"/>
        <w:ind w:firstLine="426"/>
        <w:jc w:val="both"/>
        <w:rPr>
          <w:sz w:val="22"/>
          <w:szCs w:val="22"/>
          <w:lang w:val="en-US"/>
        </w:rPr>
      </w:pPr>
    </w:p>
    <w:p w:rsidR="00787EA7" w:rsidRPr="00787EA7" w:rsidRDefault="00787EA7" w:rsidP="001755C3">
      <w:pPr>
        <w:widowControl w:val="0"/>
        <w:autoSpaceDE w:val="0"/>
        <w:autoSpaceDN w:val="0"/>
        <w:adjustRightInd w:val="0"/>
        <w:ind w:firstLine="426"/>
        <w:jc w:val="both"/>
        <w:rPr>
          <w:sz w:val="22"/>
          <w:szCs w:val="22"/>
        </w:rPr>
      </w:pPr>
      <w:r w:rsidRPr="00787EA7">
        <w:rPr>
          <w:sz w:val="22"/>
          <w:szCs w:val="22"/>
        </w:rPr>
        <w:t>Если мы говорим о резерве кадров для системы муниципальн</w:t>
      </w:r>
      <w:r w:rsidRPr="00787EA7">
        <w:rPr>
          <w:sz w:val="22"/>
          <w:szCs w:val="22"/>
        </w:rPr>
        <w:t>о</w:t>
      </w:r>
      <w:r w:rsidRPr="00787EA7">
        <w:rPr>
          <w:sz w:val="22"/>
          <w:szCs w:val="22"/>
        </w:rPr>
        <w:t>го управления, то подразумеваем «список физических лиц, которые отвечают предъявленным им критериям по интеллектуальному, профессиональному и практическому уровню, позволяющему э</w:t>
      </w:r>
      <w:r w:rsidRPr="00787EA7">
        <w:rPr>
          <w:sz w:val="22"/>
          <w:szCs w:val="22"/>
        </w:rPr>
        <w:t>ф</w:t>
      </w:r>
      <w:r w:rsidRPr="00787EA7">
        <w:rPr>
          <w:sz w:val="22"/>
          <w:szCs w:val="22"/>
        </w:rPr>
        <w:t>фективно выполнять в будущем возложенные на них обязанн</w:t>
      </w:r>
      <w:r w:rsidRPr="00787EA7">
        <w:rPr>
          <w:sz w:val="22"/>
          <w:szCs w:val="22"/>
        </w:rPr>
        <w:t>о</w:t>
      </w:r>
      <w:r w:rsidRPr="00787EA7">
        <w:rPr>
          <w:sz w:val="22"/>
          <w:szCs w:val="22"/>
        </w:rPr>
        <w:t xml:space="preserve">сти»[3]. </w:t>
      </w:r>
    </w:p>
    <w:p w:rsidR="00787EA7" w:rsidRPr="00787EA7" w:rsidRDefault="00787EA7" w:rsidP="001755C3">
      <w:pPr>
        <w:widowControl w:val="0"/>
        <w:autoSpaceDE w:val="0"/>
        <w:autoSpaceDN w:val="0"/>
        <w:adjustRightInd w:val="0"/>
        <w:ind w:firstLine="426"/>
        <w:jc w:val="both"/>
        <w:rPr>
          <w:sz w:val="22"/>
          <w:szCs w:val="22"/>
        </w:rPr>
      </w:pPr>
      <w:r w:rsidRPr="00787EA7">
        <w:rPr>
          <w:sz w:val="22"/>
          <w:szCs w:val="22"/>
        </w:rPr>
        <w:t>Принципы работы с кадровым резервом прописаны в норм</w:t>
      </w:r>
      <w:r w:rsidRPr="00787EA7">
        <w:rPr>
          <w:sz w:val="22"/>
          <w:szCs w:val="22"/>
        </w:rPr>
        <w:t>а</w:t>
      </w:r>
      <w:r w:rsidRPr="00787EA7">
        <w:rPr>
          <w:sz w:val="22"/>
          <w:szCs w:val="22"/>
        </w:rPr>
        <w:t>тивно-правовых актов каждого уровня власти. На федеральном уровне отражены общие принципы и направления работы с кадр</w:t>
      </w:r>
      <w:r w:rsidRPr="00787EA7">
        <w:rPr>
          <w:sz w:val="22"/>
          <w:szCs w:val="22"/>
        </w:rPr>
        <w:t>о</w:t>
      </w:r>
      <w:r w:rsidRPr="00787EA7">
        <w:rPr>
          <w:sz w:val="22"/>
          <w:szCs w:val="22"/>
        </w:rPr>
        <w:t xml:space="preserve">вым резервом. На уровне региона – Краснодарского края, выделены </w:t>
      </w:r>
      <w:r w:rsidRPr="00787EA7">
        <w:rPr>
          <w:sz w:val="22"/>
          <w:szCs w:val="22"/>
        </w:rPr>
        <w:lastRenderedPageBreak/>
        <w:t>более конкретные принципы в Законе Краснодарского края от 8 июня 2007 года № 1244-КЗ «О муниципальной службе в Красн</w:t>
      </w:r>
      <w:r w:rsidRPr="00787EA7">
        <w:rPr>
          <w:sz w:val="22"/>
          <w:szCs w:val="22"/>
        </w:rPr>
        <w:t>о</w:t>
      </w:r>
      <w:r w:rsidRPr="00787EA7">
        <w:rPr>
          <w:sz w:val="22"/>
          <w:szCs w:val="22"/>
        </w:rPr>
        <w:t>дарском крае»[1]:</w:t>
      </w:r>
    </w:p>
    <w:p w:rsidR="00787EA7" w:rsidRPr="00787EA7" w:rsidRDefault="00787EA7" w:rsidP="002D7DA5">
      <w:pPr>
        <w:widowControl w:val="0"/>
        <w:numPr>
          <w:ilvl w:val="0"/>
          <w:numId w:val="59"/>
        </w:numPr>
        <w:autoSpaceDE w:val="0"/>
        <w:autoSpaceDN w:val="0"/>
        <w:adjustRightInd w:val="0"/>
        <w:ind w:left="0" w:firstLine="426"/>
        <w:contextualSpacing/>
        <w:jc w:val="both"/>
        <w:rPr>
          <w:sz w:val="22"/>
          <w:szCs w:val="22"/>
        </w:rPr>
      </w:pPr>
      <w:r w:rsidRPr="00787EA7">
        <w:rPr>
          <w:sz w:val="22"/>
          <w:szCs w:val="22"/>
        </w:rPr>
        <w:t>Гласности и доступности информации о резерве;</w:t>
      </w:r>
    </w:p>
    <w:p w:rsidR="00787EA7" w:rsidRPr="00787EA7" w:rsidRDefault="00787EA7" w:rsidP="002D7DA5">
      <w:pPr>
        <w:widowControl w:val="0"/>
        <w:numPr>
          <w:ilvl w:val="0"/>
          <w:numId w:val="59"/>
        </w:numPr>
        <w:autoSpaceDE w:val="0"/>
        <w:autoSpaceDN w:val="0"/>
        <w:adjustRightInd w:val="0"/>
        <w:ind w:left="0" w:firstLine="426"/>
        <w:contextualSpacing/>
        <w:jc w:val="both"/>
        <w:rPr>
          <w:sz w:val="22"/>
          <w:szCs w:val="22"/>
        </w:rPr>
      </w:pPr>
      <w:r w:rsidRPr="00787EA7">
        <w:rPr>
          <w:sz w:val="22"/>
          <w:szCs w:val="22"/>
        </w:rPr>
        <w:t>Равного доступа граждан Российской Федерации в резерв;</w:t>
      </w:r>
    </w:p>
    <w:p w:rsidR="00787EA7" w:rsidRPr="00787EA7" w:rsidRDefault="00787EA7" w:rsidP="002D7DA5">
      <w:pPr>
        <w:widowControl w:val="0"/>
        <w:numPr>
          <w:ilvl w:val="0"/>
          <w:numId w:val="59"/>
        </w:numPr>
        <w:autoSpaceDE w:val="0"/>
        <w:autoSpaceDN w:val="0"/>
        <w:adjustRightInd w:val="0"/>
        <w:ind w:left="0" w:firstLine="426"/>
        <w:contextualSpacing/>
        <w:jc w:val="both"/>
        <w:rPr>
          <w:sz w:val="22"/>
          <w:szCs w:val="22"/>
        </w:rPr>
      </w:pPr>
      <w:r w:rsidRPr="00787EA7">
        <w:rPr>
          <w:sz w:val="22"/>
          <w:szCs w:val="22"/>
        </w:rPr>
        <w:t>Добровольности включения в резерв;</w:t>
      </w:r>
    </w:p>
    <w:p w:rsidR="00787EA7" w:rsidRPr="00787EA7" w:rsidRDefault="00787EA7" w:rsidP="002D7DA5">
      <w:pPr>
        <w:widowControl w:val="0"/>
        <w:numPr>
          <w:ilvl w:val="0"/>
          <w:numId w:val="59"/>
        </w:numPr>
        <w:autoSpaceDE w:val="0"/>
        <w:autoSpaceDN w:val="0"/>
        <w:adjustRightInd w:val="0"/>
        <w:ind w:left="0" w:firstLine="426"/>
        <w:contextualSpacing/>
        <w:jc w:val="both"/>
        <w:rPr>
          <w:sz w:val="22"/>
          <w:szCs w:val="22"/>
        </w:rPr>
      </w:pPr>
      <w:r w:rsidRPr="00787EA7">
        <w:rPr>
          <w:sz w:val="22"/>
          <w:szCs w:val="22"/>
        </w:rPr>
        <w:t>Непрерывности работы с резервом;</w:t>
      </w:r>
    </w:p>
    <w:p w:rsidR="00787EA7" w:rsidRPr="00787EA7" w:rsidRDefault="00787EA7" w:rsidP="002D7DA5">
      <w:pPr>
        <w:widowControl w:val="0"/>
        <w:numPr>
          <w:ilvl w:val="0"/>
          <w:numId w:val="59"/>
        </w:numPr>
        <w:autoSpaceDE w:val="0"/>
        <w:autoSpaceDN w:val="0"/>
        <w:adjustRightInd w:val="0"/>
        <w:ind w:left="0" w:firstLine="426"/>
        <w:contextualSpacing/>
        <w:jc w:val="both"/>
        <w:rPr>
          <w:sz w:val="22"/>
          <w:szCs w:val="22"/>
        </w:rPr>
      </w:pPr>
      <w:r w:rsidRPr="00787EA7">
        <w:rPr>
          <w:sz w:val="22"/>
          <w:szCs w:val="22"/>
        </w:rPr>
        <w:t>Использования мер по предупреждению коррупции.</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В муниципальном образовании Усть-Лабинский район тоже есть нормативный акт, регламентирующий работу с кадровым р</w:t>
      </w:r>
      <w:r w:rsidRPr="00787EA7">
        <w:rPr>
          <w:sz w:val="22"/>
          <w:szCs w:val="22"/>
        </w:rPr>
        <w:t>е</w:t>
      </w:r>
      <w:r w:rsidRPr="00787EA7">
        <w:rPr>
          <w:sz w:val="22"/>
          <w:szCs w:val="22"/>
        </w:rPr>
        <w:t>зервом. Это Постановлении администрации муниципального обр</w:t>
      </w:r>
      <w:r w:rsidRPr="00787EA7">
        <w:rPr>
          <w:sz w:val="22"/>
          <w:szCs w:val="22"/>
        </w:rPr>
        <w:t>а</w:t>
      </w:r>
      <w:r w:rsidRPr="00787EA7">
        <w:rPr>
          <w:sz w:val="22"/>
          <w:szCs w:val="22"/>
        </w:rPr>
        <w:t>зования Усть-Лабинский район от 7 октября 2011 года № 1533 «Об утверждении положения о резерве кадров для замещения вакантных должностей муниципальной службы в администрации муниципал</w:t>
      </w:r>
      <w:r w:rsidRPr="00787EA7">
        <w:rPr>
          <w:sz w:val="22"/>
          <w:szCs w:val="22"/>
        </w:rPr>
        <w:t>ь</w:t>
      </w:r>
      <w:r w:rsidRPr="00787EA7">
        <w:rPr>
          <w:sz w:val="22"/>
          <w:szCs w:val="22"/>
        </w:rPr>
        <w:t>ного образования Усть-Лабинский район». Принципы работы с ка</w:t>
      </w:r>
      <w:r w:rsidRPr="00787EA7">
        <w:rPr>
          <w:sz w:val="22"/>
          <w:szCs w:val="22"/>
        </w:rPr>
        <w:t>д</w:t>
      </w:r>
      <w:r w:rsidRPr="00787EA7">
        <w:rPr>
          <w:sz w:val="22"/>
          <w:szCs w:val="22"/>
        </w:rPr>
        <w:t>ровым резервом в этом документе отличаются от региональных[2]:</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 Объективность;</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 Зачисление в кадровый резерв осуществляется в соответствии с личными способностями, уровнем профессиональной подготовки;</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 Добровольность включения и нахождения в кадровом резерве;</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 Гласность в формировании и работе с кадровым резервом.</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В муниципальном акте полностью опущен принцип непреры</w:t>
      </w:r>
      <w:r w:rsidRPr="00787EA7">
        <w:rPr>
          <w:sz w:val="22"/>
          <w:szCs w:val="22"/>
        </w:rPr>
        <w:t>в</w:t>
      </w:r>
      <w:r w:rsidRPr="00787EA7">
        <w:rPr>
          <w:sz w:val="22"/>
          <w:szCs w:val="22"/>
        </w:rPr>
        <w:t xml:space="preserve">ности работы с резервом, а также упоминание об использовании мер противодействия коррупции. Эти принципы и не реализуются на практике. Работа с кадровым резервом в администрации Усть-Лабинского района носит хаотичный характер. </w:t>
      </w:r>
    </w:p>
    <w:p w:rsidR="00787EA7" w:rsidRPr="00787EA7" w:rsidRDefault="00787EA7" w:rsidP="00787EA7">
      <w:pPr>
        <w:widowControl w:val="0"/>
        <w:tabs>
          <w:tab w:val="left" w:pos="0"/>
        </w:tabs>
        <w:autoSpaceDE w:val="0"/>
        <w:autoSpaceDN w:val="0"/>
        <w:adjustRightInd w:val="0"/>
        <w:ind w:firstLine="426"/>
        <w:jc w:val="both"/>
        <w:rPr>
          <w:sz w:val="22"/>
          <w:szCs w:val="22"/>
        </w:rPr>
      </w:pPr>
      <w:r w:rsidRPr="00787EA7">
        <w:rPr>
          <w:sz w:val="22"/>
          <w:szCs w:val="22"/>
        </w:rPr>
        <w:t>В 2016 году в штатном расписании администрации Усть-Лабинского района имелась 31 вакантная должность, а замещено было только 25. При этом за весь 2016 год, согласно отчету сектора по кадровым вопросам, не было проведено ни одного конкурса на замещение муниципальных должностей. Все 25 человек поступили на муниципальную службу без конкурса. В 2017 году тенденция сохраняется. Из 36 вакантных должностей замещено 20, все из них также поступили на должность без конкурса.</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Чтобы избежать подобных ошибок в дальнейшем, необходимо принять меры по формированию и использованию кадрового резе</w:t>
      </w:r>
      <w:r w:rsidRPr="00787EA7">
        <w:rPr>
          <w:sz w:val="22"/>
          <w:szCs w:val="22"/>
        </w:rPr>
        <w:t>р</w:t>
      </w:r>
      <w:r w:rsidRPr="00787EA7">
        <w:rPr>
          <w:sz w:val="22"/>
          <w:szCs w:val="22"/>
        </w:rPr>
        <w:t xml:space="preserve">ва в администрации Усть-Лабинского района. </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lastRenderedPageBreak/>
        <w:t>Во-первых, необходимо сформировать рабочую группу по формированию кадрового резерва. Это необходимо, так как на о</w:t>
      </w:r>
      <w:r w:rsidRPr="00787EA7">
        <w:rPr>
          <w:sz w:val="22"/>
          <w:szCs w:val="22"/>
        </w:rPr>
        <w:t>т</w:t>
      </w:r>
      <w:r w:rsidRPr="00787EA7">
        <w:rPr>
          <w:sz w:val="22"/>
          <w:szCs w:val="22"/>
        </w:rPr>
        <w:t>дел кадров возложено много других обязанностей, среди которых антикоррупционная, текущая кадровая и нормотворческая работа, с которой не всегда вовремя справляются два специалиста. В такую рабочую группу должны входить 5 членов: специалисты юридич</w:t>
      </w:r>
      <w:r w:rsidRPr="00787EA7">
        <w:rPr>
          <w:sz w:val="22"/>
          <w:szCs w:val="22"/>
        </w:rPr>
        <w:t>е</w:t>
      </w:r>
      <w:r w:rsidRPr="00787EA7">
        <w:rPr>
          <w:sz w:val="22"/>
          <w:szCs w:val="22"/>
        </w:rPr>
        <w:t>ского сектора, общего отдела, сектора по кадровым вопросам; пре</w:t>
      </w:r>
      <w:r w:rsidRPr="00787EA7">
        <w:rPr>
          <w:sz w:val="22"/>
          <w:szCs w:val="22"/>
        </w:rPr>
        <w:t>д</w:t>
      </w:r>
      <w:r w:rsidRPr="00787EA7">
        <w:rPr>
          <w:sz w:val="22"/>
          <w:szCs w:val="22"/>
        </w:rPr>
        <w:t>ставители общественности и СМИ.</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Во-вторых, присутствует необходимость изменения механи</w:t>
      </w:r>
      <w:r w:rsidRPr="00787EA7">
        <w:rPr>
          <w:sz w:val="22"/>
          <w:szCs w:val="22"/>
        </w:rPr>
        <w:t>з</w:t>
      </w:r>
      <w:r w:rsidRPr="00787EA7">
        <w:rPr>
          <w:sz w:val="22"/>
          <w:szCs w:val="22"/>
        </w:rPr>
        <w:t>мов использования кадрового резерва. Возможно введение практ</w:t>
      </w:r>
      <w:r w:rsidRPr="00787EA7">
        <w:rPr>
          <w:sz w:val="22"/>
          <w:szCs w:val="22"/>
        </w:rPr>
        <w:t>и</w:t>
      </w:r>
      <w:r w:rsidRPr="00787EA7">
        <w:rPr>
          <w:sz w:val="22"/>
          <w:szCs w:val="22"/>
        </w:rPr>
        <w:t>ки стажировок резервистов на претендуемой должности во время отсутствия специалиста, если тот находится в отпуске, больничном или длительной командировке. Применение такой практики позв</w:t>
      </w:r>
      <w:r w:rsidRPr="00787EA7">
        <w:rPr>
          <w:sz w:val="22"/>
          <w:szCs w:val="22"/>
        </w:rPr>
        <w:t>о</w:t>
      </w:r>
      <w:r w:rsidRPr="00787EA7">
        <w:rPr>
          <w:sz w:val="22"/>
          <w:szCs w:val="22"/>
        </w:rPr>
        <w:t>лит сократить издержки по оплате труда, обязанности будут выпо</w:t>
      </w:r>
      <w:r w:rsidRPr="00787EA7">
        <w:rPr>
          <w:sz w:val="22"/>
          <w:szCs w:val="22"/>
        </w:rPr>
        <w:t>л</w:t>
      </w:r>
      <w:r w:rsidRPr="00787EA7">
        <w:rPr>
          <w:sz w:val="22"/>
          <w:szCs w:val="22"/>
        </w:rPr>
        <w:t>няться более полно, резервист параллельно будет знакомиться с коллективом, а сотрудник, занимающий должность, будет более ответственно относиться к исполняемым обязанностям.</w:t>
      </w:r>
    </w:p>
    <w:p w:rsidR="00787EA7" w:rsidRPr="00787EA7" w:rsidRDefault="00787EA7" w:rsidP="00787EA7">
      <w:pPr>
        <w:shd w:val="clear" w:color="auto" w:fill="FFFFFF"/>
        <w:autoSpaceDN w:val="0"/>
        <w:ind w:firstLine="426"/>
        <w:jc w:val="both"/>
        <w:rPr>
          <w:sz w:val="22"/>
          <w:szCs w:val="22"/>
        </w:rPr>
      </w:pPr>
      <w:r w:rsidRPr="00787EA7">
        <w:rPr>
          <w:sz w:val="22"/>
          <w:szCs w:val="22"/>
        </w:rPr>
        <w:t>С целью расширения практики назначений на вакантные дол</w:t>
      </w:r>
      <w:r w:rsidRPr="00787EA7">
        <w:rPr>
          <w:sz w:val="22"/>
          <w:szCs w:val="22"/>
        </w:rPr>
        <w:t>ж</w:t>
      </w:r>
      <w:r w:rsidRPr="00787EA7">
        <w:rPr>
          <w:sz w:val="22"/>
          <w:szCs w:val="22"/>
        </w:rPr>
        <w:t>ности из кадрового резерва, который сегодня используется крайне слабо, необходимо осуществлять  планомерную работу по обуч</w:t>
      </w:r>
      <w:r w:rsidRPr="00787EA7">
        <w:rPr>
          <w:sz w:val="22"/>
          <w:szCs w:val="22"/>
        </w:rPr>
        <w:t>е</w:t>
      </w:r>
      <w:r w:rsidRPr="00787EA7">
        <w:rPr>
          <w:sz w:val="22"/>
          <w:szCs w:val="22"/>
        </w:rPr>
        <w:t>нию и развитию лиц, состоящих в резерве, повысить  ответстве</w:t>
      </w:r>
      <w:r w:rsidRPr="00787EA7">
        <w:rPr>
          <w:sz w:val="22"/>
          <w:szCs w:val="22"/>
        </w:rPr>
        <w:t>н</w:t>
      </w:r>
      <w:r w:rsidRPr="00787EA7">
        <w:rPr>
          <w:sz w:val="22"/>
          <w:szCs w:val="22"/>
        </w:rPr>
        <w:t xml:space="preserve">ность руководителей за работу с резервом кадров.  </w:t>
      </w:r>
    </w:p>
    <w:p w:rsidR="00787EA7" w:rsidRPr="00787EA7" w:rsidRDefault="00787EA7" w:rsidP="00787EA7">
      <w:pPr>
        <w:widowControl w:val="0"/>
        <w:autoSpaceDE w:val="0"/>
        <w:autoSpaceDN w:val="0"/>
        <w:adjustRightInd w:val="0"/>
        <w:ind w:firstLine="426"/>
        <w:jc w:val="center"/>
        <w:rPr>
          <w:sz w:val="22"/>
          <w:szCs w:val="22"/>
        </w:rPr>
      </w:pPr>
    </w:p>
    <w:p w:rsidR="00787EA7" w:rsidRPr="00787EA7" w:rsidRDefault="00787EA7" w:rsidP="00787EA7">
      <w:pPr>
        <w:widowControl w:val="0"/>
        <w:autoSpaceDE w:val="0"/>
        <w:autoSpaceDN w:val="0"/>
        <w:adjustRightInd w:val="0"/>
        <w:ind w:firstLine="426"/>
        <w:jc w:val="center"/>
        <w:rPr>
          <w:sz w:val="22"/>
          <w:szCs w:val="22"/>
        </w:rPr>
      </w:pPr>
      <w:r w:rsidRPr="00787EA7">
        <w:rPr>
          <w:sz w:val="22"/>
          <w:szCs w:val="22"/>
        </w:rPr>
        <w:t>Список литературы</w:t>
      </w:r>
    </w:p>
    <w:p w:rsidR="00787EA7" w:rsidRPr="00787EA7" w:rsidRDefault="00787EA7" w:rsidP="00787EA7">
      <w:pPr>
        <w:widowControl w:val="0"/>
        <w:autoSpaceDE w:val="0"/>
        <w:autoSpaceDN w:val="0"/>
        <w:adjustRightInd w:val="0"/>
        <w:ind w:firstLine="426"/>
        <w:contextualSpacing/>
        <w:jc w:val="both"/>
        <w:rPr>
          <w:sz w:val="22"/>
          <w:szCs w:val="22"/>
        </w:rPr>
      </w:pPr>
      <w:r w:rsidRPr="00787EA7">
        <w:rPr>
          <w:sz w:val="22"/>
          <w:szCs w:val="22"/>
        </w:rPr>
        <w:t>1. Закон Краснодарского края от 8 июня 2007 года № 1244-КЗ «О муниципальной службе в Краснодарском крае»</w:t>
      </w:r>
    </w:p>
    <w:p w:rsidR="00787EA7" w:rsidRPr="00787EA7" w:rsidRDefault="00787EA7" w:rsidP="00787EA7">
      <w:pPr>
        <w:widowControl w:val="0"/>
        <w:autoSpaceDE w:val="0"/>
        <w:autoSpaceDN w:val="0"/>
        <w:adjustRightInd w:val="0"/>
        <w:ind w:firstLine="426"/>
        <w:jc w:val="both"/>
        <w:rPr>
          <w:sz w:val="22"/>
          <w:szCs w:val="22"/>
        </w:rPr>
      </w:pPr>
      <w:r w:rsidRPr="00787EA7">
        <w:rPr>
          <w:sz w:val="22"/>
          <w:szCs w:val="22"/>
        </w:rPr>
        <w:t>2. Постановление администрации муниципального образования Усть-Лабинский район от 7 октября 2011 года № 1533 «Об утве</w:t>
      </w:r>
      <w:r w:rsidRPr="00787EA7">
        <w:rPr>
          <w:sz w:val="22"/>
          <w:szCs w:val="22"/>
        </w:rPr>
        <w:t>р</w:t>
      </w:r>
      <w:r w:rsidRPr="00787EA7">
        <w:rPr>
          <w:sz w:val="22"/>
          <w:szCs w:val="22"/>
        </w:rPr>
        <w:t>ждении положения о резерве кадров для замещения вакантных должностей муниципальной службы в администрации муниципал</w:t>
      </w:r>
      <w:r w:rsidRPr="00787EA7">
        <w:rPr>
          <w:sz w:val="22"/>
          <w:szCs w:val="22"/>
        </w:rPr>
        <w:t>ь</w:t>
      </w:r>
      <w:r w:rsidRPr="00787EA7">
        <w:rPr>
          <w:sz w:val="22"/>
          <w:szCs w:val="22"/>
        </w:rPr>
        <w:t>ного образования Усть-Лабинский район»</w:t>
      </w:r>
    </w:p>
    <w:p w:rsidR="00787EA7" w:rsidRPr="00787EA7" w:rsidRDefault="00787EA7" w:rsidP="00787EA7">
      <w:pPr>
        <w:widowControl w:val="0"/>
        <w:autoSpaceDE w:val="0"/>
        <w:autoSpaceDN w:val="0"/>
        <w:adjustRightInd w:val="0"/>
        <w:ind w:firstLine="426"/>
        <w:contextualSpacing/>
        <w:jc w:val="both"/>
        <w:rPr>
          <w:color w:val="0000FF" w:themeColor="hyperlink"/>
          <w:sz w:val="22"/>
          <w:szCs w:val="22"/>
          <w:u w:val="single"/>
        </w:rPr>
      </w:pPr>
      <w:r w:rsidRPr="00787EA7">
        <w:rPr>
          <w:sz w:val="22"/>
          <w:szCs w:val="22"/>
        </w:rPr>
        <w:t xml:space="preserve">3. Петрова Е.В., </w:t>
      </w:r>
      <w:r w:rsidRPr="00787EA7">
        <w:rPr>
          <w:sz w:val="22"/>
          <w:szCs w:val="22"/>
          <w:shd w:val="clear" w:color="auto" w:fill="FFFFFF"/>
        </w:rPr>
        <w:t>Кадровые резервы - это... Формирование ка</w:t>
      </w:r>
      <w:r w:rsidRPr="00787EA7">
        <w:rPr>
          <w:sz w:val="22"/>
          <w:szCs w:val="22"/>
          <w:shd w:val="clear" w:color="auto" w:fill="FFFFFF"/>
        </w:rPr>
        <w:t>д</w:t>
      </w:r>
      <w:r w:rsidRPr="00787EA7">
        <w:rPr>
          <w:sz w:val="22"/>
          <w:szCs w:val="22"/>
          <w:shd w:val="clear" w:color="auto" w:fill="FFFFFF"/>
        </w:rPr>
        <w:t>рового резерва. Работа с кадровым резервом [Электронный ресурс]/ Е.В. Петрова – Режим доступа: http://fb.ru/article/143038/kadrovyie-rezervyi-eto-formirovanie-kadrovogo-rezerva-rabota-s-kadrovyim-rezervom</w:t>
      </w:r>
    </w:p>
    <w:p w:rsidR="00787EA7" w:rsidRDefault="00787EA7">
      <w:pPr>
        <w:rPr>
          <w:sz w:val="22"/>
          <w:szCs w:val="22"/>
        </w:rPr>
      </w:pPr>
    </w:p>
    <w:p w:rsidR="002200F0" w:rsidRDefault="002200F0">
      <w:pPr>
        <w:rPr>
          <w:sz w:val="22"/>
          <w:szCs w:val="22"/>
        </w:rPr>
      </w:pPr>
    </w:p>
    <w:p w:rsidR="00787EA7" w:rsidRPr="001755C3" w:rsidRDefault="00787EA7" w:rsidP="00787EA7">
      <w:pPr>
        <w:rPr>
          <w:rFonts w:eastAsia="Calibri"/>
          <w:sz w:val="22"/>
          <w:szCs w:val="22"/>
          <w:lang w:eastAsia="en-US"/>
        </w:rPr>
      </w:pPr>
      <w:r w:rsidRPr="001755C3">
        <w:rPr>
          <w:rFonts w:eastAsia="Calibri"/>
          <w:sz w:val="22"/>
          <w:szCs w:val="22"/>
          <w:lang w:eastAsia="en-US"/>
        </w:rPr>
        <w:lastRenderedPageBreak/>
        <w:t>УДК 334</w:t>
      </w:r>
    </w:p>
    <w:p w:rsidR="00787EA7" w:rsidRPr="00787EA7" w:rsidRDefault="00787EA7" w:rsidP="00787EA7">
      <w:pPr>
        <w:rPr>
          <w:rFonts w:eastAsia="Calibri"/>
          <w:sz w:val="24"/>
          <w:szCs w:val="24"/>
          <w:lang w:eastAsia="en-US"/>
        </w:rPr>
      </w:pPr>
    </w:p>
    <w:p w:rsidR="00787EA7" w:rsidRPr="00787EA7" w:rsidRDefault="00787EA7" w:rsidP="00787EA7">
      <w:pPr>
        <w:jc w:val="center"/>
        <w:rPr>
          <w:rFonts w:eastAsia="Calibri"/>
          <w:b/>
          <w:sz w:val="24"/>
          <w:szCs w:val="24"/>
          <w:lang w:eastAsia="en-US"/>
        </w:rPr>
      </w:pPr>
      <w:r w:rsidRPr="00787EA7">
        <w:rPr>
          <w:rFonts w:eastAsia="Calibri"/>
          <w:b/>
          <w:sz w:val="24"/>
          <w:szCs w:val="24"/>
          <w:lang w:eastAsia="en-US"/>
        </w:rPr>
        <w:t>Становление ГЧП в России и перспективы его развития</w:t>
      </w:r>
    </w:p>
    <w:p w:rsidR="00787EA7" w:rsidRPr="00787EA7" w:rsidRDefault="00787EA7" w:rsidP="00787EA7">
      <w:pPr>
        <w:jc w:val="center"/>
        <w:rPr>
          <w:rFonts w:eastAsia="Calibri"/>
          <w:b/>
          <w:sz w:val="24"/>
          <w:szCs w:val="24"/>
          <w:lang w:val="en-US" w:eastAsia="en-US"/>
        </w:rPr>
      </w:pPr>
      <w:r w:rsidRPr="00787EA7">
        <w:rPr>
          <w:rFonts w:eastAsia="Calibri"/>
          <w:b/>
          <w:sz w:val="24"/>
          <w:szCs w:val="24"/>
          <w:lang w:val="en-US" w:eastAsia="en-US"/>
        </w:rPr>
        <w:t xml:space="preserve">Formation of public-private partnership in Russia </w:t>
      </w:r>
      <w:r w:rsidR="001755C3" w:rsidRPr="001755C3">
        <w:rPr>
          <w:rFonts w:eastAsia="Calibri"/>
          <w:b/>
          <w:sz w:val="24"/>
          <w:szCs w:val="24"/>
          <w:lang w:val="en-US" w:eastAsia="en-US"/>
        </w:rPr>
        <w:br/>
      </w:r>
      <w:r w:rsidRPr="00787EA7">
        <w:rPr>
          <w:rFonts w:eastAsia="Calibri"/>
          <w:b/>
          <w:sz w:val="24"/>
          <w:szCs w:val="24"/>
          <w:lang w:val="en-US" w:eastAsia="en-US"/>
        </w:rPr>
        <w:t>and prospects of its development</w:t>
      </w:r>
    </w:p>
    <w:p w:rsidR="00787EA7" w:rsidRPr="00787EA7" w:rsidRDefault="00787EA7" w:rsidP="00787EA7">
      <w:pPr>
        <w:jc w:val="center"/>
        <w:rPr>
          <w:rFonts w:eastAsia="Calibri"/>
          <w:b/>
          <w:sz w:val="24"/>
          <w:szCs w:val="24"/>
          <w:lang w:val="en-US" w:eastAsia="en-US"/>
        </w:rPr>
      </w:pPr>
    </w:p>
    <w:p w:rsidR="00787EA7" w:rsidRPr="001755C3" w:rsidRDefault="00787EA7" w:rsidP="00787EA7">
      <w:pPr>
        <w:ind w:firstLine="284"/>
        <w:contextualSpacing/>
        <w:jc w:val="right"/>
        <w:rPr>
          <w:sz w:val="22"/>
          <w:szCs w:val="22"/>
        </w:rPr>
      </w:pPr>
      <w:r w:rsidRPr="001755C3">
        <w:rPr>
          <w:sz w:val="22"/>
          <w:szCs w:val="22"/>
        </w:rPr>
        <w:t>Куршубадзе Р.</w:t>
      </w:r>
      <w:r w:rsidR="001755C3">
        <w:rPr>
          <w:sz w:val="22"/>
          <w:szCs w:val="22"/>
        </w:rPr>
        <w:t xml:space="preserve"> </w:t>
      </w:r>
      <w:r w:rsidRPr="001755C3">
        <w:rPr>
          <w:sz w:val="22"/>
          <w:szCs w:val="22"/>
        </w:rPr>
        <w:t>З.,</w:t>
      </w:r>
    </w:p>
    <w:p w:rsidR="00787EA7" w:rsidRPr="001755C3" w:rsidRDefault="00787EA7" w:rsidP="00787EA7">
      <w:pPr>
        <w:ind w:firstLine="284"/>
        <w:contextualSpacing/>
        <w:jc w:val="right"/>
        <w:rPr>
          <w:sz w:val="22"/>
          <w:szCs w:val="22"/>
        </w:rPr>
      </w:pPr>
      <w:r w:rsidRPr="001755C3">
        <w:rPr>
          <w:sz w:val="22"/>
          <w:szCs w:val="22"/>
        </w:rPr>
        <w:t>магистрант 1-го курса факультета управления</w:t>
      </w:r>
    </w:p>
    <w:p w:rsidR="00787EA7" w:rsidRPr="001755C3" w:rsidRDefault="00787EA7" w:rsidP="00787EA7">
      <w:pPr>
        <w:ind w:firstLine="284"/>
        <w:contextualSpacing/>
        <w:jc w:val="right"/>
        <w:rPr>
          <w:sz w:val="22"/>
          <w:szCs w:val="22"/>
        </w:rPr>
      </w:pPr>
      <w:r w:rsidRPr="001755C3">
        <w:rPr>
          <w:sz w:val="22"/>
          <w:szCs w:val="22"/>
        </w:rPr>
        <w:t>Ломакина О.</w:t>
      </w:r>
      <w:r w:rsidR="005879CD">
        <w:rPr>
          <w:sz w:val="22"/>
          <w:szCs w:val="22"/>
        </w:rPr>
        <w:t xml:space="preserve"> </w:t>
      </w:r>
      <w:r w:rsidRPr="001755C3">
        <w:rPr>
          <w:sz w:val="22"/>
          <w:szCs w:val="22"/>
        </w:rPr>
        <w:t>В.,</w:t>
      </w:r>
    </w:p>
    <w:p w:rsidR="00787EA7" w:rsidRPr="001755C3" w:rsidRDefault="00787EA7" w:rsidP="00787EA7">
      <w:pPr>
        <w:ind w:firstLine="284"/>
        <w:contextualSpacing/>
        <w:jc w:val="right"/>
        <w:rPr>
          <w:sz w:val="22"/>
          <w:szCs w:val="22"/>
        </w:rPr>
      </w:pPr>
      <w:r w:rsidRPr="001755C3">
        <w:rPr>
          <w:sz w:val="22"/>
          <w:szCs w:val="22"/>
        </w:rPr>
        <w:t>канд.экон.наук., доцент кафедры менеджмента</w:t>
      </w:r>
    </w:p>
    <w:p w:rsidR="005879CD" w:rsidRDefault="00787EA7" w:rsidP="00787EA7">
      <w:pPr>
        <w:ind w:firstLine="284"/>
        <w:contextualSpacing/>
        <w:jc w:val="right"/>
        <w:rPr>
          <w:sz w:val="22"/>
          <w:szCs w:val="22"/>
        </w:rPr>
      </w:pPr>
      <w:r w:rsidRPr="001755C3">
        <w:rPr>
          <w:sz w:val="22"/>
          <w:szCs w:val="22"/>
        </w:rPr>
        <w:t>Кубанский государственный аграрный</w:t>
      </w:r>
    </w:p>
    <w:p w:rsidR="00787EA7" w:rsidRDefault="00787EA7" w:rsidP="00787EA7">
      <w:pPr>
        <w:ind w:firstLine="284"/>
        <w:contextualSpacing/>
        <w:jc w:val="right"/>
        <w:rPr>
          <w:sz w:val="22"/>
          <w:szCs w:val="22"/>
        </w:rPr>
      </w:pPr>
      <w:r w:rsidRPr="001755C3">
        <w:rPr>
          <w:sz w:val="22"/>
          <w:szCs w:val="22"/>
        </w:rPr>
        <w:t xml:space="preserve"> университет имени И.</w:t>
      </w:r>
      <w:r w:rsidR="005879CD">
        <w:rPr>
          <w:sz w:val="22"/>
          <w:szCs w:val="22"/>
        </w:rPr>
        <w:t xml:space="preserve"> </w:t>
      </w:r>
      <w:r w:rsidRPr="001755C3">
        <w:rPr>
          <w:sz w:val="22"/>
          <w:szCs w:val="22"/>
        </w:rPr>
        <w:t>Т. Трубилина</w:t>
      </w:r>
    </w:p>
    <w:p w:rsidR="005879CD" w:rsidRPr="001755C3" w:rsidRDefault="005879CD" w:rsidP="00787EA7">
      <w:pPr>
        <w:ind w:firstLine="284"/>
        <w:contextualSpacing/>
        <w:jc w:val="right"/>
        <w:rPr>
          <w:sz w:val="22"/>
          <w:szCs w:val="22"/>
        </w:rPr>
      </w:pPr>
    </w:p>
    <w:p w:rsidR="00787EA7" w:rsidRPr="001755C3" w:rsidRDefault="00787EA7" w:rsidP="00787EA7">
      <w:pPr>
        <w:ind w:firstLine="426"/>
        <w:jc w:val="both"/>
        <w:rPr>
          <w:rFonts w:eastAsia="Calibri"/>
          <w:sz w:val="22"/>
          <w:szCs w:val="22"/>
          <w:lang w:eastAsia="en-US"/>
        </w:rPr>
      </w:pPr>
      <w:r w:rsidRPr="001755C3">
        <w:rPr>
          <w:rFonts w:eastAsia="Calibri"/>
          <w:sz w:val="22"/>
          <w:szCs w:val="22"/>
          <w:lang w:eastAsia="en-US"/>
        </w:rPr>
        <w:t>АННОТАЦИЯ: Изучен опыт развития государственно-частного партнерства в России. Выделены периоды и их ключевые особенн</w:t>
      </w:r>
      <w:r w:rsidRPr="001755C3">
        <w:rPr>
          <w:rFonts w:eastAsia="Calibri"/>
          <w:sz w:val="22"/>
          <w:szCs w:val="22"/>
          <w:lang w:eastAsia="en-US"/>
        </w:rPr>
        <w:t>о</w:t>
      </w:r>
      <w:r w:rsidRPr="001755C3">
        <w:rPr>
          <w:rFonts w:eastAsia="Calibri"/>
          <w:sz w:val="22"/>
          <w:szCs w:val="22"/>
          <w:lang w:eastAsia="en-US"/>
        </w:rPr>
        <w:t>сти. Сделан вывод о современных перспективах развития ГЧП в целях преодоления выявленных проблем.</w:t>
      </w:r>
    </w:p>
    <w:p w:rsidR="00787EA7" w:rsidRPr="001755C3" w:rsidRDefault="00787EA7" w:rsidP="00787EA7">
      <w:pPr>
        <w:ind w:firstLine="426"/>
        <w:jc w:val="both"/>
        <w:rPr>
          <w:rFonts w:eastAsia="Calibri"/>
          <w:sz w:val="22"/>
          <w:szCs w:val="22"/>
          <w:lang w:val="en-US" w:eastAsia="en-US"/>
        </w:rPr>
      </w:pPr>
      <w:r w:rsidRPr="001755C3">
        <w:rPr>
          <w:rFonts w:eastAsia="Calibri"/>
          <w:sz w:val="22"/>
          <w:szCs w:val="22"/>
          <w:lang w:val="en-US" w:eastAsia="en-US"/>
        </w:rPr>
        <w:t>ABSTRACT: the experience of public-private partnership develo</w:t>
      </w:r>
      <w:r w:rsidRPr="001755C3">
        <w:rPr>
          <w:rFonts w:eastAsia="Calibri"/>
          <w:sz w:val="22"/>
          <w:szCs w:val="22"/>
          <w:lang w:val="en-US" w:eastAsia="en-US"/>
        </w:rPr>
        <w:t>p</w:t>
      </w:r>
      <w:r w:rsidRPr="001755C3">
        <w:rPr>
          <w:rFonts w:eastAsia="Calibri"/>
          <w:sz w:val="22"/>
          <w:szCs w:val="22"/>
          <w:lang w:val="en-US" w:eastAsia="en-US"/>
        </w:rPr>
        <w:t>ment in Russia has been Studied. Periods and their key features are hig</w:t>
      </w:r>
      <w:r w:rsidRPr="001755C3">
        <w:rPr>
          <w:rFonts w:eastAsia="Calibri"/>
          <w:sz w:val="22"/>
          <w:szCs w:val="22"/>
          <w:lang w:val="en-US" w:eastAsia="en-US"/>
        </w:rPr>
        <w:t>h</w:t>
      </w:r>
      <w:r w:rsidRPr="001755C3">
        <w:rPr>
          <w:rFonts w:eastAsia="Calibri"/>
          <w:sz w:val="22"/>
          <w:szCs w:val="22"/>
          <w:lang w:val="en-US" w:eastAsia="en-US"/>
        </w:rPr>
        <w:t>lighted. The conclusion about the current prospects of PPP development in order to overcome the identified problems.</w:t>
      </w:r>
    </w:p>
    <w:p w:rsidR="00787EA7" w:rsidRPr="001755C3" w:rsidRDefault="00787EA7" w:rsidP="00787EA7">
      <w:pPr>
        <w:ind w:firstLine="426"/>
        <w:jc w:val="both"/>
        <w:rPr>
          <w:rFonts w:eastAsia="Calibri"/>
          <w:sz w:val="22"/>
          <w:szCs w:val="22"/>
          <w:lang w:eastAsia="en-US"/>
        </w:rPr>
      </w:pPr>
      <w:r w:rsidRPr="001755C3">
        <w:rPr>
          <w:rFonts w:eastAsia="Calibri"/>
          <w:sz w:val="22"/>
          <w:szCs w:val="22"/>
          <w:lang w:eastAsia="en-US"/>
        </w:rPr>
        <w:t>КЛЮЧЕВЫЕ СЛОВА: государственно-частное партнерство, инвестиции, концессии.</w:t>
      </w:r>
    </w:p>
    <w:p w:rsidR="00787EA7" w:rsidRPr="001755C3" w:rsidRDefault="00787EA7" w:rsidP="00787EA7">
      <w:pPr>
        <w:ind w:firstLine="426"/>
        <w:jc w:val="both"/>
        <w:rPr>
          <w:rFonts w:eastAsia="Calibri"/>
          <w:sz w:val="22"/>
          <w:szCs w:val="22"/>
          <w:lang w:val="en-US" w:eastAsia="en-US"/>
        </w:rPr>
      </w:pPr>
      <w:r w:rsidRPr="001755C3">
        <w:rPr>
          <w:rFonts w:eastAsia="Calibri"/>
          <w:sz w:val="22"/>
          <w:szCs w:val="22"/>
          <w:lang w:val="en-US" w:eastAsia="en-US"/>
        </w:rPr>
        <w:t>KEY WORDS: public-private partnership, investments, conce</w:t>
      </w:r>
      <w:r w:rsidRPr="001755C3">
        <w:rPr>
          <w:rFonts w:eastAsia="Calibri"/>
          <w:sz w:val="22"/>
          <w:szCs w:val="22"/>
          <w:lang w:val="en-US" w:eastAsia="en-US"/>
        </w:rPr>
        <w:t>s</w:t>
      </w:r>
      <w:r w:rsidRPr="001755C3">
        <w:rPr>
          <w:rFonts w:eastAsia="Calibri"/>
          <w:sz w:val="22"/>
          <w:szCs w:val="22"/>
          <w:lang w:val="en-US" w:eastAsia="en-US"/>
        </w:rPr>
        <w:t>sions.</w:t>
      </w:r>
    </w:p>
    <w:p w:rsidR="00787EA7" w:rsidRPr="001755C3" w:rsidRDefault="00787EA7" w:rsidP="00787EA7">
      <w:pPr>
        <w:jc w:val="both"/>
        <w:rPr>
          <w:rFonts w:eastAsia="Calibri"/>
          <w:sz w:val="22"/>
          <w:szCs w:val="22"/>
          <w:lang w:val="en-US" w:eastAsia="en-US"/>
        </w:rPr>
      </w:pP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Институт ГЧП в России прошел значительный путь историч</w:t>
      </w:r>
      <w:r w:rsidRPr="00787EA7">
        <w:rPr>
          <w:rFonts w:eastAsia="Calibri"/>
          <w:sz w:val="22"/>
          <w:szCs w:val="22"/>
          <w:lang w:eastAsia="en-US"/>
        </w:rPr>
        <w:t>е</w:t>
      </w:r>
      <w:r w:rsidRPr="00787EA7">
        <w:rPr>
          <w:rFonts w:eastAsia="Calibri"/>
          <w:sz w:val="22"/>
          <w:szCs w:val="22"/>
          <w:lang w:eastAsia="en-US"/>
        </w:rPr>
        <w:t>ского развития.</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Известно, что еще с древних времен органы государственного управления нашей страны активно сотрудничали с купцами, реме</w:t>
      </w:r>
      <w:r w:rsidRPr="00787EA7">
        <w:rPr>
          <w:rFonts w:eastAsia="Calibri"/>
          <w:sz w:val="22"/>
          <w:szCs w:val="22"/>
          <w:lang w:eastAsia="en-US"/>
        </w:rPr>
        <w:t>с</w:t>
      </w:r>
      <w:r w:rsidRPr="00787EA7">
        <w:rPr>
          <w:rFonts w:eastAsia="Calibri"/>
          <w:sz w:val="22"/>
          <w:szCs w:val="22"/>
          <w:lang w:eastAsia="en-US"/>
        </w:rPr>
        <w:t>ленниками, выстраивая с ними экономические отношения. Переход от традиционного к индустриальному обществу привел к развитию новой системы отношений власти и бизнеса.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Первые шаги к созданию института ГЧП в Российской империи были предприняты в начале XIX века[1]. Это время бурного пр</w:t>
      </w:r>
      <w:r w:rsidRPr="00787EA7">
        <w:rPr>
          <w:rFonts w:eastAsia="Calibri"/>
          <w:sz w:val="22"/>
          <w:szCs w:val="22"/>
          <w:lang w:eastAsia="en-US"/>
        </w:rPr>
        <w:t>о</w:t>
      </w:r>
      <w:r w:rsidRPr="00787EA7">
        <w:rPr>
          <w:rFonts w:eastAsia="Calibri"/>
          <w:sz w:val="22"/>
          <w:szCs w:val="22"/>
          <w:lang w:eastAsia="en-US"/>
        </w:rPr>
        <w:t>гресса промышленности и масштабного строительства объектов инфраструктуры, заводов, железных дорог.</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lastRenderedPageBreak/>
        <w:t>Применение концессий привело к ускорению экономического роста страны, данная форма сотрудничества государства и частного инвестора оказалась успешной.</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Однако институциональная среда, равно как и правовая не п</w:t>
      </w:r>
      <w:r w:rsidRPr="00787EA7">
        <w:rPr>
          <w:rFonts w:eastAsia="Calibri"/>
          <w:sz w:val="22"/>
          <w:szCs w:val="22"/>
          <w:lang w:eastAsia="en-US"/>
        </w:rPr>
        <w:t>о</w:t>
      </w:r>
      <w:r w:rsidRPr="00787EA7">
        <w:rPr>
          <w:rFonts w:eastAsia="Calibri"/>
          <w:sz w:val="22"/>
          <w:szCs w:val="22"/>
          <w:lang w:eastAsia="en-US"/>
        </w:rPr>
        <w:t>лучили своего развития, в связи с чем к концу XIX века концессии прекращают свое существование, а все проекты государственного значения финансируются за счет средств страны. Строительство железных дорог продолжилось, но за счет средств казны. Среди о</w:t>
      </w:r>
      <w:r w:rsidRPr="00787EA7">
        <w:rPr>
          <w:rFonts w:eastAsia="Calibri"/>
          <w:sz w:val="22"/>
          <w:szCs w:val="22"/>
          <w:lang w:eastAsia="en-US"/>
        </w:rPr>
        <w:t>с</w:t>
      </w:r>
      <w:r w:rsidRPr="00787EA7">
        <w:rPr>
          <w:rFonts w:eastAsia="Calibri"/>
          <w:sz w:val="22"/>
          <w:szCs w:val="22"/>
          <w:lang w:eastAsia="en-US"/>
        </w:rPr>
        <w:t>новных причин отказа от концессий можно выделить:</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1)Отсутствие мотивации у частных партнеров к модернизации инфраструктуры;</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2)Отсутствие крупных капиталовложений.</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Россия вернулась к концессиям лишь в 1920 г. Этот период х</w:t>
      </w:r>
      <w:r w:rsidRPr="00787EA7">
        <w:rPr>
          <w:rFonts w:eastAsia="Calibri"/>
          <w:sz w:val="22"/>
          <w:szCs w:val="22"/>
          <w:lang w:eastAsia="en-US"/>
        </w:rPr>
        <w:t>а</w:t>
      </w:r>
      <w:r w:rsidRPr="00787EA7">
        <w:rPr>
          <w:rFonts w:eastAsia="Calibri"/>
          <w:sz w:val="22"/>
          <w:szCs w:val="22"/>
          <w:lang w:eastAsia="en-US"/>
        </w:rPr>
        <w:t>рактеризуется сильнейшим экономическим кризисом.</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Специальным директом в 1923г. создается Главный концесс</w:t>
      </w:r>
      <w:r w:rsidRPr="00787EA7">
        <w:rPr>
          <w:rFonts w:eastAsia="Calibri"/>
          <w:sz w:val="22"/>
          <w:szCs w:val="22"/>
          <w:lang w:eastAsia="en-US"/>
        </w:rPr>
        <w:t>и</w:t>
      </w:r>
      <w:r w:rsidRPr="00787EA7">
        <w:rPr>
          <w:rFonts w:eastAsia="Calibri"/>
          <w:sz w:val="22"/>
          <w:szCs w:val="22"/>
          <w:lang w:eastAsia="en-US"/>
        </w:rPr>
        <w:t>онный комитет при Совете Народных Комиссаров СССР. Конце</w:t>
      </w:r>
      <w:r w:rsidRPr="00787EA7">
        <w:rPr>
          <w:rFonts w:eastAsia="Calibri"/>
          <w:sz w:val="22"/>
          <w:szCs w:val="22"/>
          <w:lang w:eastAsia="en-US"/>
        </w:rPr>
        <w:t>с</w:t>
      </w:r>
      <w:r w:rsidRPr="00787EA7">
        <w:rPr>
          <w:rFonts w:eastAsia="Calibri"/>
          <w:sz w:val="22"/>
          <w:szCs w:val="22"/>
          <w:lang w:eastAsia="en-US"/>
        </w:rPr>
        <w:t>сионные комитеты создаются и в союзных республиках. Немного позже, при Верховном экономическом совете, наркоматах по отра</w:t>
      </w:r>
      <w:r w:rsidRPr="00787EA7">
        <w:rPr>
          <w:rFonts w:eastAsia="Calibri"/>
          <w:sz w:val="22"/>
          <w:szCs w:val="22"/>
          <w:lang w:eastAsia="en-US"/>
        </w:rPr>
        <w:t>с</w:t>
      </w:r>
      <w:r w:rsidRPr="00787EA7">
        <w:rPr>
          <w:rFonts w:eastAsia="Calibri"/>
          <w:sz w:val="22"/>
          <w:szCs w:val="22"/>
          <w:lang w:eastAsia="en-US"/>
        </w:rPr>
        <w:t>лям [1].</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На конец 1927 г. в Советском Союзе реализовывалось 92 ко</w:t>
      </w:r>
      <w:r w:rsidRPr="00787EA7">
        <w:rPr>
          <w:rFonts w:eastAsia="Calibri"/>
          <w:sz w:val="22"/>
          <w:szCs w:val="22"/>
          <w:lang w:eastAsia="en-US"/>
        </w:rPr>
        <w:t>н</w:t>
      </w:r>
      <w:r w:rsidRPr="00787EA7">
        <w:rPr>
          <w:rFonts w:eastAsia="Calibri"/>
          <w:sz w:val="22"/>
          <w:szCs w:val="22"/>
          <w:lang w:eastAsia="en-US"/>
        </w:rPr>
        <w:t>цессии в разных отраслях. В СССР до конца 1920х годов существ</w:t>
      </w:r>
      <w:r w:rsidRPr="00787EA7">
        <w:rPr>
          <w:rFonts w:eastAsia="Calibri"/>
          <w:sz w:val="22"/>
          <w:szCs w:val="22"/>
          <w:lang w:eastAsia="en-US"/>
        </w:rPr>
        <w:t>о</w:t>
      </w:r>
      <w:r w:rsidRPr="00787EA7">
        <w:rPr>
          <w:rFonts w:eastAsia="Calibri"/>
          <w:sz w:val="22"/>
          <w:szCs w:val="22"/>
          <w:lang w:eastAsia="en-US"/>
        </w:rPr>
        <w:t>вало три вида концессий.</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В конце 1920-х годов произошли большие изменения в экон</w:t>
      </w:r>
      <w:r w:rsidRPr="00787EA7">
        <w:rPr>
          <w:rFonts w:eastAsia="Calibri"/>
          <w:sz w:val="22"/>
          <w:szCs w:val="22"/>
          <w:lang w:eastAsia="en-US"/>
        </w:rPr>
        <w:t>о</w:t>
      </w:r>
      <w:r w:rsidRPr="00787EA7">
        <w:rPr>
          <w:rFonts w:eastAsia="Calibri"/>
          <w:sz w:val="22"/>
          <w:szCs w:val="22"/>
          <w:lang w:eastAsia="en-US"/>
        </w:rPr>
        <w:t>мической политике страны. Происходит переход от рыночных м</w:t>
      </w:r>
      <w:r w:rsidRPr="00787EA7">
        <w:rPr>
          <w:rFonts w:eastAsia="Calibri"/>
          <w:sz w:val="22"/>
          <w:szCs w:val="22"/>
          <w:lang w:eastAsia="en-US"/>
        </w:rPr>
        <w:t>е</w:t>
      </w:r>
      <w:r w:rsidRPr="00787EA7">
        <w:rPr>
          <w:rFonts w:eastAsia="Calibri"/>
          <w:sz w:val="22"/>
          <w:szCs w:val="22"/>
          <w:lang w:eastAsia="en-US"/>
        </w:rPr>
        <w:t>тодов регулирования экономики к административно-командному управлению.</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Более эффективный с точки зрения советского правительства способ развития был найден в 1928 году, - заключение индивид</w:t>
      </w:r>
      <w:r w:rsidRPr="00787EA7">
        <w:rPr>
          <w:rFonts w:eastAsia="Calibri"/>
          <w:sz w:val="22"/>
          <w:szCs w:val="22"/>
          <w:lang w:eastAsia="en-US"/>
        </w:rPr>
        <w:t>у</w:t>
      </w:r>
      <w:r w:rsidRPr="00787EA7">
        <w:rPr>
          <w:rFonts w:eastAsia="Calibri"/>
          <w:sz w:val="22"/>
          <w:szCs w:val="22"/>
          <w:lang w:eastAsia="en-US"/>
        </w:rPr>
        <w:t>альных договоров с зарубежными компаниями и отдельными сп</w:t>
      </w:r>
      <w:r w:rsidRPr="00787EA7">
        <w:rPr>
          <w:rFonts w:eastAsia="Calibri"/>
          <w:sz w:val="22"/>
          <w:szCs w:val="22"/>
          <w:lang w:eastAsia="en-US"/>
        </w:rPr>
        <w:t>е</w:t>
      </w:r>
      <w:r w:rsidRPr="00787EA7">
        <w:rPr>
          <w:rFonts w:eastAsia="Calibri"/>
          <w:sz w:val="22"/>
          <w:szCs w:val="22"/>
          <w:lang w:eastAsia="en-US"/>
        </w:rPr>
        <w:t>циалистами.</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Тем не менее, дальнейшее развитие концессий ввиду измен</w:t>
      </w:r>
      <w:r w:rsidRPr="00787EA7">
        <w:rPr>
          <w:rFonts w:eastAsia="Calibri"/>
          <w:sz w:val="22"/>
          <w:szCs w:val="22"/>
          <w:lang w:eastAsia="en-US"/>
        </w:rPr>
        <w:t>е</w:t>
      </w:r>
      <w:r w:rsidRPr="00787EA7">
        <w:rPr>
          <w:rFonts w:eastAsia="Calibri"/>
          <w:sz w:val="22"/>
          <w:szCs w:val="22"/>
          <w:lang w:eastAsia="en-US"/>
        </w:rPr>
        <w:t>ния политического курса страны стало невозможным. К тому же качественная правовая база так и не была сформирована.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С началом 1990х годов наша страна возобновляет рыночные экономические отношения. Этот период можно назвать новым ра</w:t>
      </w:r>
      <w:r w:rsidRPr="00787EA7">
        <w:rPr>
          <w:rFonts w:eastAsia="Calibri"/>
          <w:sz w:val="22"/>
          <w:szCs w:val="22"/>
          <w:lang w:eastAsia="en-US"/>
        </w:rPr>
        <w:t>с</w:t>
      </w:r>
      <w:r w:rsidRPr="00787EA7">
        <w:rPr>
          <w:rFonts w:eastAsia="Calibri"/>
          <w:sz w:val="22"/>
          <w:szCs w:val="22"/>
          <w:lang w:eastAsia="en-US"/>
        </w:rPr>
        <w:t>цветом ГЧП. Возрастает роль частного сектора экономики, конце</w:t>
      </w:r>
      <w:r w:rsidRPr="00787EA7">
        <w:rPr>
          <w:rFonts w:eastAsia="Calibri"/>
          <w:sz w:val="22"/>
          <w:szCs w:val="22"/>
          <w:lang w:eastAsia="en-US"/>
        </w:rPr>
        <w:t>с</w:t>
      </w:r>
      <w:r w:rsidRPr="00787EA7">
        <w:rPr>
          <w:rFonts w:eastAsia="Calibri"/>
          <w:sz w:val="22"/>
          <w:szCs w:val="22"/>
          <w:lang w:eastAsia="en-US"/>
        </w:rPr>
        <w:t>сии начинают реализовываться в самых разных сферах: от стро</w:t>
      </w:r>
      <w:r w:rsidRPr="00787EA7">
        <w:rPr>
          <w:rFonts w:eastAsia="Calibri"/>
          <w:sz w:val="22"/>
          <w:szCs w:val="22"/>
          <w:lang w:eastAsia="en-US"/>
        </w:rPr>
        <w:t>и</w:t>
      </w:r>
      <w:r w:rsidRPr="00787EA7">
        <w:rPr>
          <w:rFonts w:eastAsia="Calibri"/>
          <w:sz w:val="22"/>
          <w:szCs w:val="22"/>
          <w:lang w:eastAsia="en-US"/>
        </w:rPr>
        <w:t xml:space="preserve">тельства и нефтедобычи, до энергетики, ЖКХ. </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lastRenderedPageBreak/>
        <w:t>Историю развития ГЧП в современной России можно предст</w:t>
      </w:r>
      <w:r w:rsidRPr="00787EA7">
        <w:rPr>
          <w:rFonts w:eastAsia="Calibri"/>
          <w:sz w:val="22"/>
          <w:szCs w:val="22"/>
          <w:lang w:eastAsia="en-US"/>
        </w:rPr>
        <w:t>а</w:t>
      </w:r>
      <w:r w:rsidRPr="00787EA7">
        <w:rPr>
          <w:rFonts w:eastAsia="Calibri"/>
          <w:sz w:val="22"/>
          <w:szCs w:val="22"/>
          <w:lang w:eastAsia="en-US"/>
        </w:rPr>
        <w:t>вить пятью этапами. Сегодня: В России реализуется: порядка 1700 проектов Из них Федерального уровня 12, Около 120 проектов пр</w:t>
      </w:r>
      <w:r w:rsidRPr="00787EA7">
        <w:rPr>
          <w:rFonts w:eastAsia="Calibri"/>
          <w:sz w:val="22"/>
          <w:szCs w:val="22"/>
          <w:lang w:eastAsia="en-US"/>
        </w:rPr>
        <w:t>и</w:t>
      </w:r>
      <w:r w:rsidRPr="00787EA7">
        <w:rPr>
          <w:rFonts w:eastAsia="Calibri"/>
          <w:sz w:val="22"/>
          <w:szCs w:val="22"/>
          <w:lang w:eastAsia="en-US"/>
        </w:rPr>
        <w:t>ходится на региональный уровень и более 1000 муниципальных проектов.</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В качестве примера успешного проекта можно привести «С</w:t>
      </w:r>
      <w:r w:rsidRPr="00787EA7">
        <w:rPr>
          <w:rFonts w:eastAsia="Calibri"/>
          <w:sz w:val="22"/>
          <w:szCs w:val="22"/>
          <w:lang w:eastAsia="en-US"/>
        </w:rPr>
        <w:t>о</w:t>
      </w:r>
      <w:r w:rsidRPr="00787EA7">
        <w:rPr>
          <w:rFonts w:eastAsia="Calibri"/>
          <w:sz w:val="22"/>
          <w:szCs w:val="22"/>
          <w:lang w:eastAsia="en-US"/>
        </w:rPr>
        <w:t>здание и эксплуатация межмуниципальной системы коммунальной инфраструктуры на территориях Крымского, Славянского, Красн</w:t>
      </w:r>
      <w:r w:rsidRPr="00787EA7">
        <w:rPr>
          <w:rFonts w:eastAsia="Calibri"/>
          <w:sz w:val="22"/>
          <w:szCs w:val="22"/>
          <w:lang w:eastAsia="en-US"/>
        </w:rPr>
        <w:t>о</w:t>
      </w:r>
      <w:r w:rsidRPr="00787EA7">
        <w:rPr>
          <w:rFonts w:eastAsia="Calibri"/>
          <w:sz w:val="22"/>
          <w:szCs w:val="22"/>
          <w:lang w:eastAsia="en-US"/>
        </w:rPr>
        <w:t>армейского, Темрюкского районов»</w:t>
      </w:r>
      <w:r w:rsidR="005879CD">
        <w:rPr>
          <w:rFonts w:eastAsia="Calibri"/>
          <w:sz w:val="22"/>
          <w:szCs w:val="22"/>
          <w:lang w:eastAsia="en-US"/>
        </w:rPr>
        <w:t>.</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Наряду с большими успехами в сфере ГЧП, имеется ряд пр</w:t>
      </w:r>
      <w:r w:rsidRPr="00787EA7">
        <w:rPr>
          <w:rFonts w:eastAsia="Calibri"/>
          <w:sz w:val="22"/>
          <w:szCs w:val="22"/>
          <w:lang w:eastAsia="en-US"/>
        </w:rPr>
        <w:t>о</w:t>
      </w:r>
      <w:r w:rsidRPr="00787EA7">
        <w:rPr>
          <w:rFonts w:eastAsia="Calibri"/>
          <w:sz w:val="22"/>
          <w:szCs w:val="22"/>
          <w:lang w:eastAsia="en-US"/>
        </w:rPr>
        <w:t>блемных проектов. Ошибки возникают чаще всего при определение расходной/доходной частей ГЧП-проекта, технические ошибки проектирования, несправедливое распределение рисков по проекту</w:t>
      </w:r>
      <w:r w:rsidR="005879CD">
        <w:rPr>
          <w:rFonts w:eastAsia="Calibri"/>
          <w:sz w:val="22"/>
          <w:szCs w:val="22"/>
          <w:lang w:eastAsia="en-US"/>
        </w:rPr>
        <w:t>.</w:t>
      </w:r>
    </w:p>
    <w:p w:rsidR="00787EA7" w:rsidRPr="00787EA7" w:rsidRDefault="00787EA7" w:rsidP="005879CD">
      <w:pPr>
        <w:ind w:firstLine="426"/>
        <w:jc w:val="both"/>
        <w:rPr>
          <w:rFonts w:eastAsia="Calibri"/>
          <w:sz w:val="22"/>
          <w:szCs w:val="22"/>
          <w:lang w:eastAsia="en-US"/>
        </w:rPr>
      </w:pPr>
      <w:r w:rsidRPr="00787EA7">
        <w:rPr>
          <w:rFonts w:eastAsia="Calibri"/>
          <w:sz w:val="22"/>
          <w:szCs w:val="22"/>
          <w:lang w:eastAsia="en-US"/>
        </w:rPr>
        <w:t>Пример, Строительство станции московского метро «Мякин</w:t>
      </w:r>
      <w:r w:rsidRPr="00787EA7">
        <w:rPr>
          <w:rFonts w:eastAsia="Calibri"/>
          <w:sz w:val="22"/>
          <w:szCs w:val="22"/>
          <w:lang w:eastAsia="en-US"/>
        </w:rPr>
        <w:t>и</w:t>
      </w:r>
      <w:r w:rsidRPr="00787EA7">
        <w:rPr>
          <w:rFonts w:eastAsia="Calibri"/>
          <w:sz w:val="22"/>
          <w:szCs w:val="22"/>
          <w:lang w:eastAsia="en-US"/>
        </w:rPr>
        <w:t>но»</w:t>
      </w:r>
      <w:r w:rsidR="005879CD">
        <w:rPr>
          <w:rFonts w:eastAsia="Calibri"/>
          <w:sz w:val="22"/>
          <w:szCs w:val="22"/>
          <w:lang w:eastAsia="en-US"/>
        </w:rPr>
        <w:t xml:space="preserve">. </w:t>
      </w:r>
      <w:r w:rsidRPr="00787EA7">
        <w:rPr>
          <w:rFonts w:eastAsia="Calibri"/>
          <w:sz w:val="22"/>
          <w:szCs w:val="22"/>
          <w:lang w:eastAsia="en-US"/>
        </w:rPr>
        <w:t>Частный партнер – не мог получить разрешения на ввод объе</w:t>
      </w:r>
      <w:r w:rsidRPr="00787EA7">
        <w:rPr>
          <w:rFonts w:eastAsia="Calibri"/>
          <w:sz w:val="22"/>
          <w:szCs w:val="22"/>
          <w:lang w:eastAsia="en-US"/>
        </w:rPr>
        <w:t>к</w:t>
      </w:r>
      <w:r w:rsidRPr="00787EA7">
        <w:rPr>
          <w:rFonts w:eastAsia="Calibri"/>
          <w:sz w:val="22"/>
          <w:szCs w:val="22"/>
          <w:lang w:eastAsia="en-US"/>
        </w:rPr>
        <w:t>та в эксплуатацию, что чуть не привело к полному провалу проекта.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Другой пример, строительство частных парковок на муниц</w:t>
      </w:r>
      <w:r w:rsidRPr="00787EA7">
        <w:rPr>
          <w:rFonts w:eastAsia="Calibri"/>
          <w:sz w:val="22"/>
          <w:szCs w:val="22"/>
          <w:lang w:eastAsia="en-US"/>
        </w:rPr>
        <w:t>и</w:t>
      </w:r>
      <w:r w:rsidRPr="00787EA7">
        <w:rPr>
          <w:rFonts w:eastAsia="Calibri"/>
          <w:sz w:val="22"/>
          <w:szCs w:val="22"/>
          <w:lang w:eastAsia="en-US"/>
        </w:rPr>
        <w:t>пальных участках в разных городах страны. В результате таких концессий бюджеты городов недополучили миллионы рублей, из-за занижения своей доли от прибыли. Как следствие судебные разб</w:t>
      </w:r>
      <w:r w:rsidRPr="00787EA7">
        <w:rPr>
          <w:rFonts w:eastAsia="Calibri"/>
          <w:sz w:val="22"/>
          <w:szCs w:val="22"/>
          <w:lang w:eastAsia="en-US"/>
        </w:rPr>
        <w:t>и</w:t>
      </w:r>
      <w:r w:rsidRPr="00787EA7">
        <w:rPr>
          <w:rFonts w:eastAsia="Calibri"/>
          <w:sz w:val="22"/>
          <w:szCs w:val="22"/>
          <w:lang w:eastAsia="en-US"/>
        </w:rPr>
        <w:t>рательства и уголовные дела.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Накопленный опыт необходимо учитывать, чтобы не повторять прошлых ошибок и принимать оптимальные управленческие реш</w:t>
      </w:r>
      <w:r w:rsidRPr="00787EA7">
        <w:rPr>
          <w:rFonts w:eastAsia="Calibri"/>
          <w:sz w:val="22"/>
          <w:szCs w:val="22"/>
          <w:lang w:eastAsia="en-US"/>
        </w:rPr>
        <w:t>е</w:t>
      </w:r>
      <w:r w:rsidRPr="00787EA7">
        <w:rPr>
          <w:rFonts w:eastAsia="Calibri"/>
          <w:sz w:val="22"/>
          <w:szCs w:val="22"/>
          <w:lang w:eastAsia="en-US"/>
        </w:rPr>
        <w:t>ния при совершенствовании механизмов государственно-частного партнерства, и реализации конкретных проектов.</w:t>
      </w:r>
    </w:p>
    <w:p w:rsidR="005879CD" w:rsidRDefault="005879CD" w:rsidP="00787EA7">
      <w:pPr>
        <w:ind w:firstLine="426"/>
        <w:jc w:val="center"/>
        <w:rPr>
          <w:rFonts w:eastAsia="Calibri"/>
          <w:sz w:val="22"/>
          <w:szCs w:val="22"/>
          <w:lang w:eastAsia="en-US"/>
        </w:rPr>
      </w:pPr>
    </w:p>
    <w:p w:rsidR="00787EA7" w:rsidRPr="00787EA7" w:rsidRDefault="00787EA7" w:rsidP="00787EA7">
      <w:pPr>
        <w:ind w:firstLine="426"/>
        <w:jc w:val="center"/>
        <w:rPr>
          <w:rFonts w:eastAsia="Calibri"/>
          <w:sz w:val="22"/>
          <w:szCs w:val="22"/>
          <w:lang w:eastAsia="en-US"/>
        </w:rPr>
      </w:pPr>
      <w:r w:rsidRPr="00787EA7">
        <w:rPr>
          <w:rFonts w:eastAsia="Calibri"/>
          <w:sz w:val="22"/>
          <w:szCs w:val="22"/>
          <w:lang w:eastAsia="en-US"/>
        </w:rPr>
        <w:t>Список литературы</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1. Варнавский В.Г., Клименко А.В., Королев В.А. Госуда</w:t>
      </w:r>
      <w:r w:rsidRPr="00787EA7">
        <w:rPr>
          <w:rFonts w:eastAsia="Calibri"/>
          <w:sz w:val="22"/>
          <w:szCs w:val="22"/>
          <w:lang w:eastAsia="en-US"/>
        </w:rPr>
        <w:t>р</w:t>
      </w:r>
      <w:r w:rsidRPr="00787EA7">
        <w:rPr>
          <w:rFonts w:eastAsia="Calibri"/>
          <w:sz w:val="22"/>
          <w:szCs w:val="22"/>
          <w:lang w:eastAsia="en-US"/>
        </w:rPr>
        <w:t>ственно-частное партнерство: теория и практика: учебное пособие / Гос. ун-т - Высшая школа экономики. - М.: Изд. дом Гос. ун-та -Высшей школы экономики, 2010. - 287 с.</w:t>
      </w:r>
    </w:p>
    <w:p w:rsidR="00787EA7" w:rsidRDefault="00787EA7">
      <w:pPr>
        <w:rPr>
          <w:sz w:val="22"/>
          <w:szCs w:val="22"/>
        </w:rPr>
      </w:pPr>
    </w:p>
    <w:p w:rsidR="00787EA7" w:rsidRDefault="00787EA7">
      <w:pPr>
        <w:rPr>
          <w:sz w:val="22"/>
          <w:szCs w:val="22"/>
        </w:rPr>
      </w:pPr>
    </w:p>
    <w:p w:rsidR="005879CD" w:rsidRDefault="005879CD">
      <w:pPr>
        <w:rPr>
          <w:sz w:val="22"/>
          <w:szCs w:val="22"/>
        </w:rPr>
      </w:pPr>
    </w:p>
    <w:p w:rsidR="002200F0" w:rsidRDefault="002200F0">
      <w:pPr>
        <w:rPr>
          <w:sz w:val="22"/>
          <w:szCs w:val="22"/>
        </w:rPr>
      </w:pPr>
    </w:p>
    <w:p w:rsidR="002200F0" w:rsidRDefault="002200F0">
      <w:pPr>
        <w:rPr>
          <w:sz w:val="22"/>
          <w:szCs w:val="22"/>
        </w:rPr>
      </w:pPr>
    </w:p>
    <w:p w:rsidR="002200F0" w:rsidRDefault="002200F0">
      <w:pPr>
        <w:rPr>
          <w:sz w:val="22"/>
          <w:szCs w:val="22"/>
        </w:rPr>
      </w:pPr>
    </w:p>
    <w:p w:rsidR="002200F0" w:rsidRDefault="002200F0">
      <w:pPr>
        <w:rPr>
          <w:sz w:val="22"/>
          <w:szCs w:val="22"/>
        </w:rPr>
      </w:pPr>
    </w:p>
    <w:p w:rsidR="00787EA7" w:rsidRPr="00787EA7" w:rsidRDefault="00787EA7" w:rsidP="00787EA7">
      <w:pPr>
        <w:spacing w:after="200"/>
        <w:jc w:val="both"/>
        <w:rPr>
          <w:sz w:val="22"/>
          <w:szCs w:val="18"/>
          <w:lang w:eastAsia="ja-JP"/>
        </w:rPr>
      </w:pPr>
      <w:r w:rsidRPr="00787EA7">
        <w:rPr>
          <w:sz w:val="22"/>
          <w:szCs w:val="18"/>
          <w:lang w:eastAsia="ja-JP"/>
        </w:rPr>
        <w:lastRenderedPageBreak/>
        <w:t>УДК 633.854.78:631.559 (470.620)</w:t>
      </w:r>
    </w:p>
    <w:p w:rsidR="00787EA7" w:rsidRPr="00CC1F5C" w:rsidRDefault="00787EA7" w:rsidP="00787EA7">
      <w:pPr>
        <w:jc w:val="center"/>
        <w:rPr>
          <w:b/>
          <w:sz w:val="24"/>
          <w:szCs w:val="24"/>
          <w:lang w:eastAsia="ja-JP"/>
        </w:rPr>
      </w:pPr>
      <w:r w:rsidRPr="00CC1F5C">
        <w:rPr>
          <w:b/>
          <w:sz w:val="24"/>
          <w:szCs w:val="24"/>
          <w:lang w:eastAsia="ja-JP"/>
        </w:rPr>
        <w:t>Проблемы монетарной полити</w:t>
      </w:r>
      <w:r w:rsidR="005879CD" w:rsidRPr="00CC1F5C">
        <w:rPr>
          <w:b/>
          <w:sz w:val="24"/>
          <w:szCs w:val="24"/>
          <w:lang w:eastAsia="ja-JP"/>
        </w:rPr>
        <w:t xml:space="preserve">ки Правительства </w:t>
      </w:r>
      <w:r w:rsidR="005879CD" w:rsidRPr="00CC1F5C">
        <w:rPr>
          <w:b/>
          <w:sz w:val="24"/>
          <w:szCs w:val="24"/>
          <w:lang w:eastAsia="ja-JP"/>
        </w:rPr>
        <w:br/>
        <w:t>России и ЦБ РФ</w:t>
      </w:r>
    </w:p>
    <w:p w:rsidR="00787EA7" w:rsidRPr="00CC1F5C" w:rsidRDefault="00787EA7" w:rsidP="00787EA7">
      <w:pPr>
        <w:jc w:val="center"/>
        <w:rPr>
          <w:b/>
          <w:sz w:val="24"/>
          <w:szCs w:val="24"/>
          <w:lang w:val="en-US" w:eastAsia="ja-JP"/>
        </w:rPr>
      </w:pPr>
      <w:r w:rsidRPr="00CC1F5C">
        <w:rPr>
          <w:b/>
          <w:sz w:val="24"/>
          <w:szCs w:val="24"/>
          <w:lang w:val="en-US" w:eastAsia="ja-JP"/>
        </w:rPr>
        <w:t xml:space="preserve">Problems of Monetary Policy of the Government of Russia </w:t>
      </w:r>
      <w:r w:rsidR="005879CD" w:rsidRPr="00CC1F5C">
        <w:rPr>
          <w:b/>
          <w:sz w:val="24"/>
          <w:szCs w:val="24"/>
          <w:lang w:val="en-US" w:eastAsia="ja-JP"/>
        </w:rPr>
        <w:br/>
      </w:r>
      <w:r w:rsidRPr="00CC1F5C">
        <w:rPr>
          <w:b/>
          <w:sz w:val="24"/>
          <w:szCs w:val="24"/>
          <w:lang w:val="en-US" w:eastAsia="ja-JP"/>
        </w:rPr>
        <w:t>and the Central</w:t>
      </w:r>
      <w:r w:rsidR="005879CD" w:rsidRPr="00CC1F5C">
        <w:rPr>
          <w:b/>
          <w:sz w:val="24"/>
          <w:szCs w:val="24"/>
          <w:lang w:val="en-US" w:eastAsia="ja-JP"/>
        </w:rPr>
        <w:t xml:space="preserve"> Bank of the Russian Federation</w:t>
      </w:r>
    </w:p>
    <w:p w:rsidR="005879CD" w:rsidRPr="00C56F2E" w:rsidRDefault="005879CD" w:rsidP="00787EA7">
      <w:pPr>
        <w:jc w:val="center"/>
        <w:rPr>
          <w:b/>
          <w:sz w:val="22"/>
          <w:szCs w:val="18"/>
          <w:lang w:val="en-US" w:eastAsia="ja-JP"/>
        </w:rPr>
      </w:pPr>
    </w:p>
    <w:p w:rsidR="00787EA7" w:rsidRPr="00787EA7" w:rsidRDefault="00787EA7" w:rsidP="00787EA7">
      <w:pPr>
        <w:jc w:val="right"/>
        <w:rPr>
          <w:sz w:val="22"/>
          <w:szCs w:val="18"/>
          <w:lang w:eastAsia="ja-JP"/>
        </w:rPr>
      </w:pPr>
      <w:r w:rsidRPr="00787EA7">
        <w:rPr>
          <w:sz w:val="22"/>
          <w:szCs w:val="18"/>
          <w:lang w:eastAsia="ja-JP"/>
        </w:rPr>
        <w:t>Минькова Н.</w:t>
      </w:r>
      <w:r w:rsidR="005879CD">
        <w:rPr>
          <w:sz w:val="22"/>
          <w:szCs w:val="18"/>
          <w:lang w:eastAsia="ja-JP"/>
        </w:rPr>
        <w:t xml:space="preserve"> </w:t>
      </w:r>
      <w:r w:rsidRPr="00787EA7">
        <w:rPr>
          <w:sz w:val="22"/>
          <w:szCs w:val="18"/>
          <w:lang w:eastAsia="ja-JP"/>
        </w:rPr>
        <w:t>А.</w:t>
      </w:r>
      <w:r w:rsidR="005879CD">
        <w:rPr>
          <w:sz w:val="22"/>
          <w:szCs w:val="18"/>
          <w:lang w:eastAsia="ja-JP"/>
        </w:rPr>
        <w:t>,</w:t>
      </w:r>
    </w:p>
    <w:p w:rsidR="00787EA7" w:rsidRPr="00787EA7" w:rsidRDefault="00787EA7" w:rsidP="00787EA7">
      <w:pPr>
        <w:jc w:val="right"/>
        <w:rPr>
          <w:sz w:val="22"/>
          <w:szCs w:val="18"/>
          <w:lang w:eastAsia="ja-JP"/>
        </w:rPr>
      </w:pPr>
      <w:r w:rsidRPr="00787EA7">
        <w:rPr>
          <w:sz w:val="22"/>
          <w:szCs w:val="18"/>
          <w:lang w:eastAsia="ja-JP"/>
        </w:rPr>
        <w:t>студентка 2-го курса факультета управления</w:t>
      </w:r>
    </w:p>
    <w:p w:rsidR="005879CD" w:rsidRDefault="005879CD" w:rsidP="005879CD">
      <w:pPr>
        <w:jc w:val="right"/>
        <w:rPr>
          <w:sz w:val="22"/>
          <w:szCs w:val="18"/>
          <w:lang w:eastAsia="ja-JP"/>
        </w:rPr>
      </w:pPr>
      <w:r>
        <w:rPr>
          <w:sz w:val="22"/>
          <w:szCs w:val="18"/>
          <w:lang w:eastAsia="ja-JP"/>
        </w:rPr>
        <w:t>Сафронов А. М.,</w:t>
      </w:r>
    </w:p>
    <w:p w:rsidR="00787EA7" w:rsidRPr="00787EA7" w:rsidRDefault="005879CD" w:rsidP="00787EA7">
      <w:pPr>
        <w:jc w:val="right"/>
        <w:rPr>
          <w:sz w:val="22"/>
          <w:szCs w:val="18"/>
          <w:lang w:eastAsia="ja-JP"/>
        </w:rPr>
      </w:pPr>
      <w:r>
        <w:rPr>
          <w:sz w:val="22"/>
          <w:szCs w:val="18"/>
          <w:lang w:eastAsia="ja-JP"/>
        </w:rPr>
        <w:t>с</w:t>
      </w:r>
      <w:r w:rsidR="00787EA7" w:rsidRPr="00787EA7">
        <w:rPr>
          <w:sz w:val="22"/>
          <w:szCs w:val="18"/>
          <w:lang w:eastAsia="ja-JP"/>
        </w:rPr>
        <w:t>тарший преподаватель</w:t>
      </w:r>
    </w:p>
    <w:p w:rsidR="00787EA7" w:rsidRPr="00787EA7" w:rsidRDefault="00787EA7" w:rsidP="00787EA7">
      <w:pPr>
        <w:jc w:val="right"/>
        <w:rPr>
          <w:sz w:val="22"/>
          <w:szCs w:val="18"/>
          <w:lang w:eastAsia="ja-JP"/>
        </w:rPr>
      </w:pPr>
      <w:r w:rsidRPr="00787EA7">
        <w:rPr>
          <w:sz w:val="22"/>
          <w:szCs w:val="18"/>
          <w:lang w:eastAsia="ja-JP"/>
        </w:rPr>
        <w:t>Кубанский государственный аграрный</w:t>
      </w:r>
    </w:p>
    <w:p w:rsidR="00787EA7" w:rsidRPr="00787EA7" w:rsidRDefault="005879CD" w:rsidP="00787EA7">
      <w:pPr>
        <w:jc w:val="right"/>
        <w:rPr>
          <w:sz w:val="22"/>
          <w:szCs w:val="18"/>
          <w:lang w:eastAsia="ja-JP"/>
        </w:rPr>
      </w:pPr>
      <w:r>
        <w:rPr>
          <w:sz w:val="22"/>
          <w:szCs w:val="18"/>
          <w:lang w:eastAsia="ja-JP"/>
        </w:rPr>
        <w:t>у</w:t>
      </w:r>
      <w:r w:rsidR="00787EA7" w:rsidRPr="00787EA7">
        <w:rPr>
          <w:sz w:val="22"/>
          <w:szCs w:val="18"/>
          <w:lang w:eastAsia="ja-JP"/>
        </w:rPr>
        <w:t>ниверситет имени И.</w:t>
      </w:r>
      <w:r>
        <w:rPr>
          <w:sz w:val="22"/>
          <w:szCs w:val="18"/>
          <w:lang w:eastAsia="ja-JP"/>
        </w:rPr>
        <w:t xml:space="preserve"> </w:t>
      </w:r>
      <w:r w:rsidR="00787EA7" w:rsidRPr="00787EA7">
        <w:rPr>
          <w:sz w:val="22"/>
          <w:szCs w:val="18"/>
          <w:lang w:eastAsia="ja-JP"/>
        </w:rPr>
        <w:t>Т. Трубилина</w:t>
      </w:r>
    </w:p>
    <w:p w:rsidR="00787EA7" w:rsidRPr="00787EA7" w:rsidRDefault="00787EA7" w:rsidP="00787EA7">
      <w:pPr>
        <w:jc w:val="both"/>
        <w:rPr>
          <w:rFonts w:eastAsia="Calibri"/>
          <w:color w:val="000000" w:themeColor="text1"/>
          <w:sz w:val="22"/>
          <w:szCs w:val="22"/>
          <w:lang w:eastAsia="en-US"/>
        </w:rPr>
      </w:pPr>
    </w:p>
    <w:p w:rsidR="00787EA7" w:rsidRPr="005879CD" w:rsidRDefault="005879CD" w:rsidP="00787EA7">
      <w:pPr>
        <w:ind w:firstLine="425"/>
        <w:jc w:val="both"/>
        <w:rPr>
          <w:rFonts w:eastAsia="Calibri"/>
          <w:color w:val="000000" w:themeColor="text1"/>
          <w:sz w:val="22"/>
          <w:szCs w:val="22"/>
          <w:lang w:eastAsia="en-US"/>
        </w:rPr>
      </w:pPr>
      <w:r w:rsidRPr="005879CD">
        <w:rPr>
          <w:rFonts w:eastAsia="Calibri"/>
          <w:color w:val="000000" w:themeColor="text1"/>
          <w:sz w:val="22"/>
          <w:szCs w:val="22"/>
          <w:lang w:eastAsia="en-US"/>
        </w:rPr>
        <w:t>АННОТАЦИЯ:</w:t>
      </w:r>
      <w:r w:rsidR="00787EA7" w:rsidRPr="005879CD">
        <w:rPr>
          <w:rFonts w:eastAsia="Calibri"/>
          <w:color w:val="000000" w:themeColor="text1"/>
          <w:sz w:val="22"/>
          <w:szCs w:val="22"/>
          <w:lang w:eastAsia="en-US"/>
        </w:rPr>
        <w:t xml:space="preserve"> </w:t>
      </w:r>
      <w:r>
        <w:rPr>
          <w:rFonts w:eastAsia="Calibri"/>
          <w:color w:val="000000" w:themeColor="text1"/>
          <w:sz w:val="22"/>
          <w:szCs w:val="22"/>
          <w:lang w:eastAsia="en-US"/>
        </w:rPr>
        <w:t xml:space="preserve">Изучение </w:t>
      </w:r>
      <w:r w:rsidR="00787EA7" w:rsidRPr="005879CD">
        <w:rPr>
          <w:rFonts w:eastAsia="Calibri"/>
          <w:color w:val="000000" w:themeColor="text1"/>
          <w:sz w:val="22"/>
          <w:szCs w:val="22"/>
          <w:lang w:eastAsia="en-US"/>
        </w:rPr>
        <w:t>проблем монетарной политики Пр</w:t>
      </w:r>
      <w:r w:rsidR="00787EA7" w:rsidRPr="005879CD">
        <w:rPr>
          <w:rFonts w:eastAsia="Calibri"/>
          <w:color w:val="000000" w:themeColor="text1"/>
          <w:sz w:val="22"/>
          <w:szCs w:val="22"/>
          <w:lang w:eastAsia="en-US"/>
        </w:rPr>
        <w:t>а</w:t>
      </w:r>
      <w:r w:rsidR="00787EA7" w:rsidRPr="005879CD">
        <w:rPr>
          <w:rFonts w:eastAsia="Calibri"/>
          <w:color w:val="000000" w:themeColor="text1"/>
          <w:sz w:val="22"/>
          <w:szCs w:val="22"/>
          <w:lang w:eastAsia="en-US"/>
        </w:rPr>
        <w:t>вительства России и ЦБ РФ и пути решения представленных пр</w:t>
      </w:r>
      <w:r w:rsidR="00787EA7" w:rsidRPr="005879CD">
        <w:rPr>
          <w:rFonts w:eastAsia="Calibri"/>
          <w:color w:val="000000" w:themeColor="text1"/>
          <w:sz w:val="22"/>
          <w:szCs w:val="22"/>
          <w:lang w:eastAsia="en-US"/>
        </w:rPr>
        <w:t>о</w:t>
      </w:r>
      <w:r w:rsidR="00787EA7" w:rsidRPr="005879CD">
        <w:rPr>
          <w:rFonts w:eastAsia="Calibri"/>
          <w:color w:val="000000" w:themeColor="text1"/>
          <w:sz w:val="22"/>
          <w:szCs w:val="22"/>
          <w:lang w:eastAsia="en-US"/>
        </w:rPr>
        <w:t xml:space="preserve">блем. </w:t>
      </w:r>
    </w:p>
    <w:p w:rsidR="00787EA7" w:rsidRPr="005879CD" w:rsidRDefault="005879CD" w:rsidP="00787EA7">
      <w:pPr>
        <w:ind w:firstLine="425"/>
        <w:jc w:val="both"/>
        <w:rPr>
          <w:rFonts w:eastAsia="Calibri"/>
          <w:color w:val="000000" w:themeColor="text1"/>
          <w:sz w:val="22"/>
          <w:szCs w:val="22"/>
          <w:lang w:val="en-US" w:eastAsia="en-US"/>
        </w:rPr>
      </w:pPr>
      <w:r w:rsidRPr="005879CD">
        <w:rPr>
          <w:rFonts w:eastAsia="Calibri"/>
          <w:color w:val="000000" w:themeColor="text1"/>
          <w:sz w:val="22"/>
          <w:szCs w:val="22"/>
          <w:lang w:val="en-US" w:eastAsia="en-US"/>
        </w:rPr>
        <w:t xml:space="preserve">ANNOTATION: </w:t>
      </w:r>
      <w:r w:rsidR="00787EA7" w:rsidRPr="005879CD">
        <w:rPr>
          <w:rFonts w:eastAsia="Calibri"/>
          <w:color w:val="000000" w:themeColor="text1"/>
          <w:sz w:val="22"/>
          <w:szCs w:val="22"/>
          <w:lang w:val="en-US" w:eastAsia="en-US"/>
        </w:rPr>
        <w:t>Studying of specific problems of monetary policy of the Government of Russia and the Central Bank of the Russian Fede</w:t>
      </w:r>
      <w:r w:rsidR="00787EA7" w:rsidRPr="005879CD">
        <w:rPr>
          <w:rFonts w:eastAsia="Calibri"/>
          <w:color w:val="000000" w:themeColor="text1"/>
          <w:sz w:val="22"/>
          <w:szCs w:val="22"/>
          <w:lang w:val="en-US" w:eastAsia="en-US"/>
        </w:rPr>
        <w:t>r</w:t>
      </w:r>
      <w:r w:rsidR="00787EA7" w:rsidRPr="005879CD">
        <w:rPr>
          <w:rFonts w:eastAsia="Calibri"/>
          <w:color w:val="000000" w:themeColor="text1"/>
          <w:sz w:val="22"/>
          <w:szCs w:val="22"/>
          <w:lang w:val="en-US" w:eastAsia="en-US"/>
        </w:rPr>
        <w:t>ation and ways of solving the presented problems.</w:t>
      </w:r>
    </w:p>
    <w:p w:rsidR="00787EA7" w:rsidRPr="005879CD" w:rsidRDefault="005879CD" w:rsidP="00787EA7">
      <w:pPr>
        <w:ind w:firstLine="425"/>
        <w:jc w:val="both"/>
        <w:rPr>
          <w:rFonts w:eastAsia="Calibri"/>
          <w:color w:val="000000" w:themeColor="text1"/>
          <w:sz w:val="22"/>
          <w:szCs w:val="22"/>
          <w:lang w:eastAsia="en-US"/>
        </w:rPr>
      </w:pPr>
      <w:r w:rsidRPr="005879CD">
        <w:rPr>
          <w:rFonts w:eastAsia="Calibri"/>
          <w:color w:val="000000" w:themeColor="text1"/>
          <w:sz w:val="22"/>
          <w:szCs w:val="22"/>
          <w:lang w:eastAsia="en-US"/>
        </w:rPr>
        <w:t xml:space="preserve">КЛЮЧЕВЫЕ СЛОВА: </w:t>
      </w:r>
      <w:r w:rsidR="00787EA7" w:rsidRPr="005879CD">
        <w:rPr>
          <w:rFonts w:eastAsia="Calibri"/>
          <w:color w:val="000000" w:themeColor="text1"/>
          <w:sz w:val="22"/>
          <w:szCs w:val="22"/>
          <w:lang w:eastAsia="en-US"/>
        </w:rPr>
        <w:t>Центральный Банк, Правительство, м</w:t>
      </w:r>
      <w:r w:rsidR="00787EA7" w:rsidRPr="005879CD">
        <w:rPr>
          <w:rFonts w:eastAsia="Calibri"/>
          <w:color w:val="000000" w:themeColor="text1"/>
          <w:sz w:val="22"/>
          <w:szCs w:val="22"/>
          <w:lang w:eastAsia="en-US"/>
        </w:rPr>
        <w:t>о</w:t>
      </w:r>
      <w:r w:rsidR="00787EA7" w:rsidRPr="005879CD">
        <w:rPr>
          <w:rFonts w:eastAsia="Calibri"/>
          <w:color w:val="000000" w:themeColor="text1"/>
          <w:sz w:val="22"/>
          <w:szCs w:val="22"/>
          <w:lang w:eastAsia="en-US"/>
        </w:rPr>
        <w:t xml:space="preserve">нетарная политика, государство, проблемы. </w:t>
      </w:r>
    </w:p>
    <w:p w:rsidR="00787EA7" w:rsidRPr="005879CD" w:rsidRDefault="005879CD" w:rsidP="00787EA7">
      <w:pPr>
        <w:ind w:firstLine="425"/>
        <w:jc w:val="both"/>
        <w:rPr>
          <w:rFonts w:eastAsia="Calibri"/>
          <w:color w:val="000000" w:themeColor="text1"/>
          <w:sz w:val="22"/>
          <w:szCs w:val="22"/>
          <w:lang w:val="en-US" w:eastAsia="en-US"/>
        </w:rPr>
      </w:pPr>
      <w:r w:rsidRPr="005879CD">
        <w:rPr>
          <w:rFonts w:eastAsia="Calibri"/>
          <w:color w:val="000000" w:themeColor="text1"/>
          <w:sz w:val="22"/>
          <w:szCs w:val="22"/>
          <w:lang w:val="en-US" w:eastAsia="en-US"/>
        </w:rPr>
        <w:t xml:space="preserve">KEY WORDS: </w:t>
      </w:r>
      <w:r w:rsidR="00787EA7" w:rsidRPr="005879CD">
        <w:rPr>
          <w:rFonts w:eastAsia="Calibri"/>
          <w:color w:val="000000" w:themeColor="text1"/>
          <w:sz w:val="22"/>
          <w:szCs w:val="22"/>
          <w:lang w:val="en-US" w:eastAsia="en-US"/>
        </w:rPr>
        <w:t>Central Bank, Government, Monetary policy, state, problems.</w:t>
      </w:r>
    </w:p>
    <w:p w:rsidR="00787EA7" w:rsidRPr="005879CD" w:rsidRDefault="00787EA7" w:rsidP="00787EA7">
      <w:pPr>
        <w:ind w:firstLine="425"/>
        <w:jc w:val="both"/>
        <w:rPr>
          <w:rFonts w:eastAsia="Calibri"/>
          <w:color w:val="000000" w:themeColor="text1"/>
          <w:sz w:val="22"/>
          <w:szCs w:val="22"/>
          <w:lang w:val="en-US" w:eastAsia="en-US"/>
        </w:rPr>
      </w:pP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Последние годы в России изменяются основные параметры м</w:t>
      </w:r>
      <w:r w:rsidRPr="00787EA7">
        <w:rPr>
          <w:rFonts w:eastAsia="Calibri"/>
          <w:sz w:val="22"/>
          <w:szCs w:val="22"/>
          <w:lang w:eastAsia="en-US"/>
        </w:rPr>
        <w:t>о</w:t>
      </w:r>
      <w:r w:rsidRPr="00787EA7">
        <w:rPr>
          <w:rFonts w:eastAsia="Calibri"/>
          <w:sz w:val="22"/>
          <w:szCs w:val="22"/>
          <w:lang w:eastAsia="en-US"/>
        </w:rPr>
        <w:t>нетарной политики. Так как экономика страны вынуждена сущ</w:t>
      </w:r>
      <w:r w:rsidRPr="00787EA7">
        <w:rPr>
          <w:rFonts w:eastAsia="Calibri"/>
          <w:sz w:val="22"/>
          <w:szCs w:val="22"/>
          <w:lang w:eastAsia="en-US"/>
        </w:rPr>
        <w:t>е</w:t>
      </w:r>
      <w:r w:rsidRPr="00787EA7">
        <w:rPr>
          <w:rFonts w:eastAsia="Calibri"/>
          <w:sz w:val="22"/>
          <w:szCs w:val="22"/>
          <w:lang w:eastAsia="en-US"/>
        </w:rPr>
        <w:t>ствовать в условиях международных санкций и от</w:t>
      </w:r>
      <w:r w:rsidR="005879CD">
        <w:rPr>
          <w:rFonts w:eastAsia="Calibri"/>
          <w:sz w:val="22"/>
          <w:szCs w:val="22"/>
          <w:lang w:eastAsia="en-US"/>
        </w:rPr>
        <w:t xml:space="preserve">ветных контр санкций, а так же </w:t>
      </w:r>
      <w:r w:rsidRPr="00787EA7">
        <w:rPr>
          <w:rFonts w:eastAsia="Calibri"/>
          <w:sz w:val="22"/>
          <w:szCs w:val="22"/>
          <w:lang w:eastAsia="en-US"/>
        </w:rPr>
        <w:t>в посткризисном периоде, то государственное р</w:t>
      </w:r>
      <w:r w:rsidRPr="00787EA7">
        <w:rPr>
          <w:rFonts w:eastAsia="Calibri"/>
          <w:sz w:val="22"/>
          <w:szCs w:val="22"/>
          <w:lang w:eastAsia="en-US"/>
        </w:rPr>
        <w:t>е</w:t>
      </w:r>
      <w:r w:rsidRPr="00787EA7">
        <w:rPr>
          <w:rFonts w:eastAsia="Calibri"/>
          <w:sz w:val="22"/>
          <w:szCs w:val="22"/>
          <w:lang w:eastAsia="en-US"/>
        </w:rPr>
        <w:t>гулирование в данной политике приобретает особую актуальность. Не нужно забывать, что хорошая монетарная политика может пр</w:t>
      </w:r>
      <w:r w:rsidRPr="00787EA7">
        <w:rPr>
          <w:rFonts w:eastAsia="Calibri"/>
          <w:sz w:val="22"/>
          <w:szCs w:val="22"/>
          <w:lang w:eastAsia="en-US"/>
        </w:rPr>
        <w:t>и</w:t>
      </w:r>
      <w:r w:rsidRPr="00787EA7">
        <w:rPr>
          <w:rFonts w:eastAsia="Calibri"/>
          <w:sz w:val="22"/>
          <w:szCs w:val="22"/>
          <w:lang w:eastAsia="en-US"/>
        </w:rPr>
        <w:t>ве</w:t>
      </w:r>
      <w:r w:rsidR="005879CD">
        <w:rPr>
          <w:rFonts w:eastAsia="Calibri"/>
          <w:sz w:val="22"/>
          <w:szCs w:val="22"/>
          <w:lang w:eastAsia="en-US"/>
        </w:rPr>
        <w:t xml:space="preserve">сти к </w:t>
      </w:r>
      <w:r w:rsidRPr="00787EA7">
        <w:rPr>
          <w:rFonts w:eastAsia="Calibri"/>
          <w:sz w:val="22"/>
          <w:szCs w:val="22"/>
          <w:lang w:eastAsia="en-US"/>
        </w:rPr>
        <w:t>экономическому росту, стабилизации экономики, повыш</w:t>
      </w:r>
      <w:r w:rsidRPr="00787EA7">
        <w:rPr>
          <w:rFonts w:eastAsia="Calibri"/>
          <w:sz w:val="22"/>
          <w:szCs w:val="22"/>
          <w:lang w:eastAsia="en-US"/>
        </w:rPr>
        <w:t>е</w:t>
      </w:r>
      <w:r w:rsidRPr="00787EA7">
        <w:rPr>
          <w:rFonts w:eastAsia="Calibri"/>
          <w:sz w:val="22"/>
          <w:szCs w:val="22"/>
          <w:lang w:eastAsia="en-US"/>
        </w:rPr>
        <w:t xml:space="preserve">нию уровня жизни населения, снижению безработицы.  </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Дефицит внимания федеральных властей к особенностям ра</w:t>
      </w:r>
      <w:r w:rsidRPr="00787EA7">
        <w:rPr>
          <w:rFonts w:eastAsia="Calibri"/>
          <w:sz w:val="22"/>
          <w:szCs w:val="22"/>
          <w:lang w:eastAsia="en-US"/>
        </w:rPr>
        <w:t>з</w:t>
      </w:r>
      <w:r w:rsidRPr="00787EA7">
        <w:rPr>
          <w:rFonts w:eastAsia="Calibri"/>
          <w:sz w:val="22"/>
          <w:szCs w:val="22"/>
          <w:lang w:eastAsia="en-US"/>
        </w:rPr>
        <w:t>ви</w:t>
      </w:r>
      <w:r w:rsidR="005879CD">
        <w:rPr>
          <w:rFonts w:eastAsia="Calibri"/>
          <w:sz w:val="22"/>
          <w:szCs w:val="22"/>
          <w:lang w:eastAsia="en-US"/>
        </w:rPr>
        <w:t xml:space="preserve">тия монетарной </w:t>
      </w:r>
      <w:r w:rsidRPr="00787EA7">
        <w:rPr>
          <w:rFonts w:eastAsia="Calibri"/>
          <w:sz w:val="22"/>
          <w:szCs w:val="22"/>
          <w:lang w:eastAsia="en-US"/>
        </w:rPr>
        <w:t>политики и вызывает постепенное саморазвитие проблем на российском рынке.  На данный момент существует ш</w:t>
      </w:r>
      <w:r w:rsidRPr="00787EA7">
        <w:rPr>
          <w:rFonts w:eastAsia="Calibri"/>
          <w:sz w:val="22"/>
          <w:szCs w:val="22"/>
          <w:lang w:eastAsia="en-US"/>
        </w:rPr>
        <w:t>и</w:t>
      </w:r>
      <w:r w:rsidRPr="00787EA7">
        <w:rPr>
          <w:rFonts w:eastAsia="Calibri"/>
          <w:sz w:val="22"/>
          <w:szCs w:val="22"/>
          <w:lang w:eastAsia="en-US"/>
        </w:rPr>
        <w:t>рокое многообразие разнопланового характера проблем российской монетарной политики. Из них можно выделить три основные:</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lastRenderedPageBreak/>
        <w:t>1.</w:t>
      </w:r>
      <w:r w:rsidRPr="00787EA7">
        <w:rPr>
          <w:rFonts w:eastAsia="Calibri"/>
          <w:b/>
          <w:sz w:val="22"/>
          <w:szCs w:val="22"/>
          <w:lang w:eastAsia="en-US"/>
        </w:rPr>
        <w:t xml:space="preserve"> </w:t>
      </w:r>
      <w:r w:rsidRPr="00787EA7">
        <w:rPr>
          <w:rFonts w:eastAsia="Calibri"/>
          <w:sz w:val="22"/>
          <w:szCs w:val="22"/>
          <w:lang w:eastAsia="en-US"/>
        </w:rPr>
        <w:t xml:space="preserve">Проблема  конвертируемости рубля. </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2. Проб</w:t>
      </w:r>
      <w:r w:rsidR="005879CD">
        <w:rPr>
          <w:rFonts w:eastAsia="Calibri"/>
          <w:sz w:val="22"/>
          <w:szCs w:val="22"/>
          <w:lang w:eastAsia="en-US"/>
        </w:rPr>
        <w:t xml:space="preserve">лема увеличения внешних долгов </w:t>
      </w:r>
      <w:r w:rsidRPr="00787EA7">
        <w:rPr>
          <w:rFonts w:eastAsia="Calibri"/>
          <w:sz w:val="22"/>
          <w:szCs w:val="22"/>
          <w:lang w:eastAsia="en-US"/>
        </w:rPr>
        <w:t>Российских корпор</w:t>
      </w:r>
      <w:r w:rsidRPr="00787EA7">
        <w:rPr>
          <w:rFonts w:eastAsia="Calibri"/>
          <w:sz w:val="22"/>
          <w:szCs w:val="22"/>
          <w:lang w:eastAsia="en-US"/>
        </w:rPr>
        <w:t>а</w:t>
      </w:r>
      <w:r w:rsidRPr="00787EA7">
        <w:rPr>
          <w:rFonts w:eastAsia="Calibri"/>
          <w:sz w:val="22"/>
          <w:szCs w:val="22"/>
          <w:lang w:eastAsia="en-US"/>
        </w:rPr>
        <w:t>ций.</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3. Социально-национальная экономическая проблема.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Для инновационных проектов инвестиционные кредиты явл</w:t>
      </w:r>
      <w:r w:rsidRPr="00787EA7">
        <w:rPr>
          <w:rFonts w:eastAsia="Calibri"/>
          <w:sz w:val="22"/>
          <w:szCs w:val="22"/>
          <w:lang w:eastAsia="en-US"/>
        </w:rPr>
        <w:t>я</w:t>
      </w:r>
      <w:r w:rsidRPr="00787EA7">
        <w:rPr>
          <w:rFonts w:eastAsia="Calibri"/>
          <w:sz w:val="22"/>
          <w:szCs w:val="22"/>
          <w:lang w:eastAsia="en-US"/>
        </w:rPr>
        <w:t>ются наиболее доступным источником финансирования. Но доля таких кредитов в общем портфеле банковских кредитов не прев</w:t>
      </w:r>
      <w:r w:rsidRPr="00787EA7">
        <w:rPr>
          <w:rFonts w:eastAsia="Calibri"/>
          <w:sz w:val="22"/>
          <w:szCs w:val="22"/>
          <w:lang w:eastAsia="en-US"/>
        </w:rPr>
        <w:t>ы</w:t>
      </w:r>
      <w:r w:rsidRPr="00787EA7">
        <w:rPr>
          <w:rFonts w:eastAsia="Calibri"/>
          <w:sz w:val="22"/>
          <w:szCs w:val="22"/>
          <w:lang w:eastAsia="en-US"/>
        </w:rPr>
        <w:t>шает 5%. Банки не торопятся выдавать инвестиционные кредиты, больше доверяясь проверенным сферам деятельности. Это предпр</w:t>
      </w:r>
      <w:r w:rsidRPr="00787EA7">
        <w:rPr>
          <w:rFonts w:eastAsia="Calibri"/>
          <w:sz w:val="22"/>
          <w:szCs w:val="22"/>
          <w:lang w:eastAsia="en-US"/>
        </w:rPr>
        <w:t>и</w:t>
      </w:r>
      <w:r w:rsidRPr="00787EA7">
        <w:rPr>
          <w:rFonts w:eastAsia="Calibri"/>
          <w:sz w:val="22"/>
          <w:szCs w:val="22"/>
          <w:lang w:eastAsia="en-US"/>
        </w:rPr>
        <w:t>ятия торговые 57,9% , промышленные предприятия 10% , сфера услуг 8,7% , жилищно-строительная 7%, организации коммерческ</w:t>
      </w:r>
      <w:r w:rsidRPr="00787EA7">
        <w:rPr>
          <w:rFonts w:eastAsia="Calibri"/>
          <w:sz w:val="22"/>
          <w:szCs w:val="22"/>
          <w:lang w:eastAsia="en-US"/>
        </w:rPr>
        <w:t>о</w:t>
      </w:r>
      <w:r w:rsidRPr="00787EA7">
        <w:rPr>
          <w:rFonts w:eastAsia="Calibri"/>
          <w:sz w:val="22"/>
          <w:szCs w:val="22"/>
          <w:lang w:eastAsia="en-US"/>
        </w:rPr>
        <w:t>го строительства 5%, сфера науки и инновации 1,5% прочие сферы 9,9%. Одной из причин этого является низкая рентабельность большинства отраслей экономики, что не позволяет использовать доступные кредиты. В свою очередь развитию предприятия необх</w:t>
      </w:r>
      <w:r w:rsidRPr="00787EA7">
        <w:rPr>
          <w:rFonts w:eastAsia="Calibri"/>
          <w:sz w:val="22"/>
          <w:szCs w:val="22"/>
          <w:lang w:eastAsia="en-US"/>
        </w:rPr>
        <w:t>о</w:t>
      </w:r>
      <w:r w:rsidRPr="00787EA7">
        <w:rPr>
          <w:rFonts w:eastAsia="Calibri"/>
          <w:sz w:val="22"/>
          <w:szCs w:val="22"/>
          <w:lang w:eastAsia="en-US"/>
        </w:rPr>
        <w:t>дим инвестиционный кредит, который способствует достижению наивысшей рентабельностью производство и прибыльности капит</w:t>
      </w:r>
      <w:r w:rsidRPr="00787EA7">
        <w:rPr>
          <w:rFonts w:eastAsia="Calibri"/>
          <w:sz w:val="22"/>
          <w:szCs w:val="22"/>
          <w:lang w:eastAsia="en-US"/>
        </w:rPr>
        <w:t>а</w:t>
      </w:r>
      <w:r w:rsidRPr="00787EA7">
        <w:rPr>
          <w:rFonts w:eastAsia="Calibri"/>
          <w:sz w:val="22"/>
          <w:szCs w:val="22"/>
          <w:lang w:eastAsia="en-US"/>
        </w:rPr>
        <w:t>ла.</w:t>
      </w:r>
    </w:p>
    <w:p w:rsidR="00787EA7" w:rsidRPr="00787EA7" w:rsidRDefault="00787EA7" w:rsidP="00787EA7">
      <w:pPr>
        <w:ind w:firstLine="426"/>
        <w:jc w:val="both"/>
        <w:rPr>
          <w:rFonts w:eastAsia="Calibri"/>
          <w:sz w:val="22"/>
          <w:szCs w:val="22"/>
          <w:lang w:eastAsia="en-US"/>
        </w:rPr>
      </w:pPr>
      <w:r w:rsidRPr="00787EA7">
        <w:rPr>
          <w:rFonts w:eastAsia="Calibri"/>
          <w:sz w:val="22"/>
          <w:szCs w:val="22"/>
          <w:lang w:eastAsia="en-US"/>
        </w:rPr>
        <w:t>Предлагаемый Ассоциацией российских банков инструмент в виде программы массовых эмиссий субординированных облигац</w:t>
      </w:r>
      <w:r w:rsidRPr="00787EA7">
        <w:rPr>
          <w:rFonts w:eastAsia="Calibri"/>
          <w:sz w:val="22"/>
          <w:szCs w:val="22"/>
          <w:lang w:eastAsia="en-US"/>
        </w:rPr>
        <w:t>и</w:t>
      </w:r>
      <w:r w:rsidRPr="00787EA7">
        <w:rPr>
          <w:rFonts w:eastAsia="Calibri"/>
          <w:sz w:val="22"/>
          <w:szCs w:val="22"/>
          <w:lang w:eastAsia="en-US"/>
        </w:rPr>
        <w:t>онных займов коммерческих банков на срок 7-10 лет. Это позволяет решить не только проблему инвестиционных ресурсов для экон</w:t>
      </w:r>
      <w:r w:rsidRPr="00787EA7">
        <w:rPr>
          <w:rFonts w:eastAsia="Calibri"/>
          <w:sz w:val="22"/>
          <w:szCs w:val="22"/>
          <w:lang w:eastAsia="en-US"/>
        </w:rPr>
        <w:t>о</w:t>
      </w:r>
      <w:r w:rsidRPr="00787EA7">
        <w:rPr>
          <w:rFonts w:eastAsia="Calibri"/>
          <w:sz w:val="22"/>
          <w:szCs w:val="22"/>
          <w:lang w:eastAsia="en-US"/>
        </w:rPr>
        <w:t>мики, но и задачу увеличения капитала банков, в том числе и за счет увеличения прибыли кредитных организаций в связи с расш</w:t>
      </w:r>
      <w:r w:rsidRPr="00787EA7">
        <w:rPr>
          <w:rFonts w:eastAsia="Calibri"/>
          <w:sz w:val="22"/>
          <w:szCs w:val="22"/>
          <w:lang w:eastAsia="en-US"/>
        </w:rPr>
        <w:t>и</w:t>
      </w:r>
      <w:r w:rsidRPr="00787EA7">
        <w:rPr>
          <w:rFonts w:eastAsia="Calibri"/>
          <w:sz w:val="22"/>
          <w:szCs w:val="22"/>
          <w:lang w:eastAsia="en-US"/>
        </w:rPr>
        <w:t>рением и  ростом   объемов  долгосрочного   кредитования.</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Что же следует поменять в монетарной политике для решения представленных проблем? Во-первых, необходимо снизить ключ</w:t>
      </w:r>
      <w:r w:rsidRPr="00787EA7">
        <w:rPr>
          <w:rFonts w:eastAsia="Calibri"/>
          <w:sz w:val="22"/>
          <w:szCs w:val="22"/>
          <w:lang w:eastAsia="en-US"/>
        </w:rPr>
        <w:t>е</w:t>
      </w:r>
      <w:r w:rsidRPr="00787EA7">
        <w:rPr>
          <w:rFonts w:eastAsia="Calibri"/>
          <w:sz w:val="22"/>
          <w:szCs w:val="22"/>
          <w:lang w:eastAsia="en-US"/>
        </w:rPr>
        <w:t>вую ставку. У 55%-60% стран в мире процентная ставка ниже, чем в России. В тех странах, которые продолжают сейчас расти, есть п</w:t>
      </w:r>
      <w:r w:rsidRPr="00787EA7">
        <w:rPr>
          <w:rFonts w:eastAsia="Calibri"/>
          <w:sz w:val="22"/>
          <w:szCs w:val="22"/>
          <w:lang w:eastAsia="en-US"/>
        </w:rPr>
        <w:t>о</w:t>
      </w:r>
      <w:r w:rsidRPr="00787EA7">
        <w:rPr>
          <w:rFonts w:eastAsia="Calibri"/>
          <w:sz w:val="22"/>
          <w:szCs w:val="22"/>
          <w:lang w:eastAsia="en-US"/>
        </w:rPr>
        <w:t>нимание того, что  низкое кредитование вызывает  экономический рост. Именно поэтому в Индии и в Сингапуре отношение заемных средств к ВВП находится на уровне 80%, в Гонконге  выше 200%. В нашей стране рекомендуется снизить ключевую ставку до уровня 4%-7%, нарастить объем кредита с 43% до 70%-80% к ВВП.</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Банк России должен активнее развивать специальные инстр</w:t>
      </w:r>
      <w:r w:rsidRPr="00787EA7">
        <w:rPr>
          <w:rFonts w:eastAsia="Calibri"/>
          <w:sz w:val="22"/>
          <w:szCs w:val="22"/>
          <w:lang w:eastAsia="en-US"/>
        </w:rPr>
        <w:t>у</w:t>
      </w:r>
      <w:r w:rsidRPr="00787EA7">
        <w:rPr>
          <w:rFonts w:eastAsia="Calibri"/>
          <w:sz w:val="22"/>
          <w:szCs w:val="22"/>
          <w:lang w:eastAsia="en-US"/>
        </w:rPr>
        <w:t>менты рефинансирования, которые призваны обеспечить креди</w:t>
      </w:r>
      <w:r w:rsidRPr="00787EA7">
        <w:rPr>
          <w:rFonts w:eastAsia="Calibri"/>
          <w:sz w:val="22"/>
          <w:szCs w:val="22"/>
          <w:lang w:eastAsia="en-US"/>
        </w:rPr>
        <w:t>т</w:t>
      </w:r>
      <w:r w:rsidRPr="00787EA7">
        <w:rPr>
          <w:rFonts w:eastAsia="Calibri"/>
          <w:sz w:val="22"/>
          <w:szCs w:val="22"/>
          <w:lang w:eastAsia="en-US"/>
        </w:rPr>
        <w:t xml:space="preserve">ными ресурсами проблемные отрасли национальной экономики. В настоящее время суммарный объем лимитов по этим операциям не </w:t>
      </w:r>
      <w:r w:rsidRPr="00787EA7">
        <w:rPr>
          <w:rFonts w:eastAsia="Calibri"/>
          <w:sz w:val="22"/>
          <w:szCs w:val="22"/>
          <w:lang w:eastAsia="en-US"/>
        </w:rPr>
        <w:lastRenderedPageBreak/>
        <w:t>превышает даже 1 трлн. рублей, что очень мало для нашей экон</w:t>
      </w:r>
      <w:r w:rsidRPr="00787EA7">
        <w:rPr>
          <w:rFonts w:eastAsia="Calibri"/>
          <w:sz w:val="22"/>
          <w:szCs w:val="22"/>
          <w:lang w:eastAsia="en-US"/>
        </w:rPr>
        <w:t>о</w:t>
      </w:r>
      <w:r w:rsidRPr="00787EA7">
        <w:rPr>
          <w:rFonts w:eastAsia="Calibri"/>
          <w:sz w:val="22"/>
          <w:szCs w:val="22"/>
          <w:lang w:eastAsia="en-US"/>
        </w:rPr>
        <w:t xml:space="preserve">мики. Банк России считает, что это может разогнать инфляцию. </w:t>
      </w:r>
    </w:p>
    <w:p w:rsidR="00787EA7" w:rsidRPr="00787EA7" w:rsidRDefault="005879CD" w:rsidP="00787EA7">
      <w:pPr>
        <w:ind w:firstLine="425"/>
        <w:jc w:val="both"/>
        <w:rPr>
          <w:rFonts w:eastAsia="Calibri"/>
          <w:sz w:val="22"/>
          <w:szCs w:val="22"/>
          <w:lang w:eastAsia="en-US"/>
        </w:rPr>
      </w:pPr>
      <w:r>
        <w:rPr>
          <w:rFonts w:eastAsia="Calibri"/>
          <w:sz w:val="22"/>
          <w:szCs w:val="22"/>
          <w:lang w:eastAsia="en-US"/>
        </w:rPr>
        <w:t>Самая главная проблема</w:t>
      </w:r>
      <w:r w:rsidR="00787EA7" w:rsidRPr="00787EA7">
        <w:rPr>
          <w:rFonts w:eastAsia="Calibri"/>
          <w:sz w:val="22"/>
          <w:szCs w:val="22"/>
          <w:lang w:eastAsia="en-US"/>
        </w:rPr>
        <w:t xml:space="preserve"> состоит в том, что у ЦБ и Правител</w:t>
      </w:r>
      <w:r w:rsidR="00787EA7" w:rsidRPr="00787EA7">
        <w:rPr>
          <w:rFonts w:eastAsia="Calibri"/>
          <w:sz w:val="22"/>
          <w:szCs w:val="22"/>
          <w:lang w:eastAsia="en-US"/>
        </w:rPr>
        <w:t>ь</w:t>
      </w:r>
      <w:r w:rsidR="00787EA7" w:rsidRPr="00787EA7">
        <w:rPr>
          <w:rFonts w:eastAsia="Calibri"/>
          <w:sz w:val="22"/>
          <w:szCs w:val="22"/>
          <w:lang w:eastAsia="en-US"/>
        </w:rPr>
        <w:t>ства РФ не существует плана или официального документа, кот</w:t>
      </w:r>
      <w:r w:rsidR="00787EA7" w:rsidRPr="00787EA7">
        <w:rPr>
          <w:rFonts w:eastAsia="Calibri"/>
          <w:sz w:val="22"/>
          <w:szCs w:val="22"/>
          <w:lang w:eastAsia="en-US"/>
        </w:rPr>
        <w:t>о</w:t>
      </w:r>
      <w:r w:rsidR="00787EA7" w:rsidRPr="00787EA7">
        <w:rPr>
          <w:rFonts w:eastAsia="Calibri"/>
          <w:sz w:val="22"/>
          <w:szCs w:val="22"/>
          <w:lang w:eastAsia="en-US"/>
        </w:rPr>
        <w:t>рый будет являться бизнес-планом для всей страны. Это говорит о недостатке нормативн</w:t>
      </w:r>
      <w:r>
        <w:rPr>
          <w:rFonts w:eastAsia="Calibri"/>
          <w:sz w:val="22"/>
          <w:szCs w:val="22"/>
          <w:lang w:eastAsia="en-US"/>
        </w:rPr>
        <w:t xml:space="preserve">ой базы, которая свяжет работу </w:t>
      </w:r>
      <w:r w:rsidR="00787EA7" w:rsidRPr="00787EA7">
        <w:rPr>
          <w:rFonts w:eastAsia="Calibri"/>
          <w:sz w:val="22"/>
          <w:szCs w:val="22"/>
          <w:lang w:eastAsia="en-US"/>
        </w:rPr>
        <w:t>Центрального бан</w:t>
      </w:r>
      <w:r>
        <w:rPr>
          <w:rFonts w:eastAsia="Calibri"/>
          <w:sz w:val="22"/>
          <w:szCs w:val="22"/>
          <w:lang w:eastAsia="en-US"/>
        </w:rPr>
        <w:t xml:space="preserve">ка и Правительства РФ. </w:t>
      </w:r>
      <w:r w:rsidR="00787EA7" w:rsidRPr="00787EA7">
        <w:rPr>
          <w:rFonts w:eastAsia="Calibri"/>
          <w:sz w:val="22"/>
          <w:szCs w:val="22"/>
          <w:lang w:eastAsia="en-US"/>
        </w:rPr>
        <w:t>Пока этого документа нет, Правител</w:t>
      </w:r>
      <w:r w:rsidR="00787EA7" w:rsidRPr="00787EA7">
        <w:rPr>
          <w:rFonts w:eastAsia="Calibri"/>
          <w:sz w:val="22"/>
          <w:szCs w:val="22"/>
          <w:lang w:eastAsia="en-US"/>
        </w:rPr>
        <w:t>ь</w:t>
      </w:r>
      <w:r w:rsidR="00787EA7" w:rsidRPr="00787EA7">
        <w:rPr>
          <w:rFonts w:eastAsia="Calibri"/>
          <w:sz w:val="22"/>
          <w:szCs w:val="22"/>
          <w:lang w:eastAsia="en-US"/>
        </w:rPr>
        <w:t>ство работает над тем, что оно считает нужным, а ЦБ над своим. Таким образом, нет е</w:t>
      </w:r>
      <w:r>
        <w:rPr>
          <w:rFonts w:eastAsia="Calibri"/>
          <w:sz w:val="22"/>
          <w:szCs w:val="22"/>
          <w:lang w:eastAsia="en-US"/>
        </w:rPr>
        <w:t xml:space="preserve">диной цели между двумя </w:t>
      </w:r>
      <w:r w:rsidR="00787EA7" w:rsidRPr="00787EA7">
        <w:rPr>
          <w:rFonts w:eastAsia="Calibri"/>
          <w:sz w:val="22"/>
          <w:szCs w:val="22"/>
          <w:lang w:eastAsia="en-US"/>
        </w:rPr>
        <w:t>этими органами. Инициато</w:t>
      </w:r>
      <w:r>
        <w:rPr>
          <w:rFonts w:eastAsia="Calibri"/>
          <w:sz w:val="22"/>
          <w:szCs w:val="22"/>
          <w:lang w:eastAsia="en-US"/>
        </w:rPr>
        <w:t>ром</w:t>
      </w:r>
      <w:r w:rsidR="00787EA7" w:rsidRPr="00787EA7">
        <w:rPr>
          <w:rFonts w:eastAsia="Calibri"/>
          <w:sz w:val="22"/>
          <w:szCs w:val="22"/>
          <w:lang w:eastAsia="en-US"/>
        </w:rPr>
        <w:t xml:space="preserve"> разработки данного документа должно являться Пр</w:t>
      </w:r>
      <w:r w:rsidR="00787EA7" w:rsidRPr="00787EA7">
        <w:rPr>
          <w:rFonts w:eastAsia="Calibri"/>
          <w:sz w:val="22"/>
          <w:szCs w:val="22"/>
          <w:lang w:eastAsia="en-US"/>
        </w:rPr>
        <w:t>а</w:t>
      </w:r>
      <w:r w:rsidR="00787EA7" w:rsidRPr="00787EA7">
        <w:rPr>
          <w:rFonts w:eastAsia="Calibri"/>
          <w:sz w:val="22"/>
          <w:szCs w:val="22"/>
          <w:lang w:eastAsia="en-US"/>
        </w:rPr>
        <w:t>вительство РФ, так как это его прерогатива, а Банк России должен направлять потоки кредитных ресурсов, придерживаясь этого док</w:t>
      </w:r>
      <w:r w:rsidR="00787EA7" w:rsidRPr="00787EA7">
        <w:rPr>
          <w:rFonts w:eastAsia="Calibri"/>
          <w:sz w:val="22"/>
          <w:szCs w:val="22"/>
          <w:lang w:eastAsia="en-US"/>
        </w:rPr>
        <w:t>у</w:t>
      </w:r>
      <w:r w:rsidR="00787EA7" w:rsidRPr="00787EA7">
        <w:rPr>
          <w:rFonts w:eastAsia="Calibri"/>
          <w:sz w:val="22"/>
          <w:szCs w:val="22"/>
          <w:lang w:eastAsia="en-US"/>
        </w:rPr>
        <w:t>мента.</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На сегодняшний день единственной утвержденной Правител</w:t>
      </w:r>
      <w:r w:rsidRPr="00787EA7">
        <w:rPr>
          <w:rFonts w:eastAsia="Calibri"/>
          <w:sz w:val="22"/>
          <w:szCs w:val="22"/>
          <w:lang w:eastAsia="en-US"/>
        </w:rPr>
        <w:t>ь</w:t>
      </w:r>
      <w:r w:rsidRPr="00787EA7">
        <w:rPr>
          <w:rFonts w:eastAsia="Calibri"/>
          <w:sz w:val="22"/>
          <w:szCs w:val="22"/>
          <w:lang w:eastAsia="en-US"/>
        </w:rPr>
        <w:t>ством РФ стратегией является “Концепция долгосрочного социал</w:t>
      </w:r>
      <w:r w:rsidRPr="00787EA7">
        <w:rPr>
          <w:rFonts w:eastAsia="Calibri"/>
          <w:sz w:val="22"/>
          <w:szCs w:val="22"/>
          <w:lang w:eastAsia="en-US"/>
        </w:rPr>
        <w:t>ь</w:t>
      </w:r>
      <w:r w:rsidRPr="00787EA7">
        <w:rPr>
          <w:rFonts w:eastAsia="Calibri"/>
          <w:sz w:val="22"/>
          <w:szCs w:val="22"/>
          <w:lang w:eastAsia="en-US"/>
        </w:rPr>
        <w:t>но-экономического развития РФ на период до 2020 года”, которая принималась в 2008 году. Позднее эксперты подготовили новую “Стратегию 2020”, однако она так и не стала официальным док</w:t>
      </w:r>
      <w:r w:rsidRPr="00787EA7">
        <w:rPr>
          <w:rFonts w:eastAsia="Calibri"/>
          <w:sz w:val="22"/>
          <w:szCs w:val="22"/>
          <w:lang w:eastAsia="en-US"/>
        </w:rPr>
        <w:t>у</w:t>
      </w:r>
      <w:r w:rsidRPr="00787EA7">
        <w:rPr>
          <w:rFonts w:eastAsia="Calibri"/>
          <w:sz w:val="22"/>
          <w:szCs w:val="22"/>
          <w:lang w:eastAsia="en-US"/>
        </w:rPr>
        <w:t>ментом. Сейчас рабочая группа Правительства разрабатывает “Стратегию 2030”, однако, ЦБ не принимает активного участия в разработке. Но на самом деле ни один из этих документов не опр</w:t>
      </w:r>
      <w:r w:rsidRPr="00787EA7">
        <w:rPr>
          <w:rFonts w:eastAsia="Calibri"/>
          <w:sz w:val="22"/>
          <w:szCs w:val="22"/>
          <w:lang w:eastAsia="en-US"/>
        </w:rPr>
        <w:t>е</w:t>
      </w:r>
      <w:r w:rsidRPr="00787EA7">
        <w:rPr>
          <w:rFonts w:eastAsia="Calibri"/>
          <w:sz w:val="22"/>
          <w:szCs w:val="22"/>
          <w:lang w:eastAsia="en-US"/>
        </w:rPr>
        <w:t>деляет, в каких объемах, какие отрасли финансировать, что предп</w:t>
      </w:r>
      <w:r w:rsidRPr="00787EA7">
        <w:rPr>
          <w:rFonts w:eastAsia="Calibri"/>
          <w:sz w:val="22"/>
          <w:szCs w:val="22"/>
          <w:lang w:eastAsia="en-US"/>
        </w:rPr>
        <w:t>о</w:t>
      </w:r>
      <w:r w:rsidRPr="00787EA7">
        <w:rPr>
          <w:rFonts w:eastAsia="Calibri"/>
          <w:sz w:val="22"/>
          <w:szCs w:val="22"/>
          <w:lang w:eastAsia="en-US"/>
        </w:rPr>
        <w:t>лагается достичь и кто отвечает за конечные результаты.</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Кроме того, необходимо, чтобы стимулирующая политика Правительства РФ и политика Банка России не оказали негативное влияние на инфляцию, курс валюты и устойчивость финансового сектора, так как предлагаемые меры сформируют огромные потоки денежных средств, и они должны быть направлены в нужное русло. </w:t>
      </w:r>
    </w:p>
    <w:p w:rsidR="00787EA7" w:rsidRPr="00787EA7" w:rsidRDefault="00787EA7" w:rsidP="00787EA7">
      <w:pPr>
        <w:ind w:firstLine="425"/>
        <w:jc w:val="both"/>
        <w:rPr>
          <w:rFonts w:eastAsia="Calibri"/>
          <w:sz w:val="22"/>
          <w:szCs w:val="22"/>
          <w:lang w:eastAsia="en-US"/>
        </w:rPr>
      </w:pPr>
    </w:p>
    <w:p w:rsidR="00787EA7" w:rsidRPr="00787EA7" w:rsidRDefault="005879CD" w:rsidP="00787EA7">
      <w:pPr>
        <w:jc w:val="center"/>
        <w:rPr>
          <w:rFonts w:eastAsia="Calibri"/>
          <w:sz w:val="22"/>
          <w:szCs w:val="22"/>
          <w:lang w:eastAsia="en-US"/>
        </w:rPr>
      </w:pPr>
      <w:r>
        <w:rPr>
          <w:rFonts w:eastAsia="Calibri"/>
          <w:sz w:val="22"/>
          <w:szCs w:val="22"/>
          <w:lang w:eastAsia="en-US"/>
        </w:rPr>
        <w:t>Список литературы</w:t>
      </w:r>
    </w:p>
    <w:p w:rsidR="00787EA7" w:rsidRPr="002200F0" w:rsidRDefault="002200F0" w:rsidP="00787EA7">
      <w:pPr>
        <w:ind w:firstLine="425"/>
        <w:jc w:val="both"/>
        <w:rPr>
          <w:rFonts w:eastAsia="Calibri"/>
          <w:sz w:val="22"/>
          <w:szCs w:val="22"/>
          <w:lang w:eastAsia="en-US"/>
        </w:rPr>
      </w:pPr>
      <w:r>
        <w:rPr>
          <w:rFonts w:eastAsia="Calibri"/>
          <w:sz w:val="22"/>
          <w:szCs w:val="22"/>
          <w:lang w:eastAsia="en-US"/>
        </w:rPr>
        <w:t>1.Электронный ресурс. Режим доступа:</w:t>
      </w:r>
      <w:r w:rsidR="00787EA7" w:rsidRPr="00787EA7">
        <w:rPr>
          <w:rFonts w:eastAsia="Calibri"/>
          <w:sz w:val="22"/>
          <w:szCs w:val="22"/>
          <w:lang w:eastAsia="en-US"/>
        </w:rPr>
        <w:t xml:space="preserve"> </w:t>
      </w:r>
      <w:hyperlink r:id="rId182" w:history="1">
        <w:r w:rsidR="00787EA7" w:rsidRPr="002200F0">
          <w:rPr>
            <w:rFonts w:eastAsia="Calibri"/>
            <w:sz w:val="22"/>
            <w:szCs w:val="22"/>
            <w:lang w:eastAsia="en-US"/>
          </w:rPr>
          <w:t>http://government.ru/rugovclassifier/section/2178/</w:t>
        </w:r>
      </w:hyperlink>
    </w:p>
    <w:p w:rsidR="00787EA7" w:rsidRPr="002200F0" w:rsidRDefault="00787EA7" w:rsidP="00787EA7">
      <w:pPr>
        <w:ind w:firstLine="425"/>
        <w:jc w:val="both"/>
        <w:rPr>
          <w:rFonts w:eastAsia="Calibri"/>
          <w:sz w:val="22"/>
          <w:szCs w:val="22"/>
          <w:lang w:eastAsia="en-US"/>
        </w:rPr>
      </w:pPr>
      <w:r w:rsidRPr="002200F0">
        <w:rPr>
          <w:rFonts w:eastAsia="Calibri"/>
          <w:sz w:val="22"/>
          <w:szCs w:val="22"/>
          <w:lang w:eastAsia="en-US"/>
        </w:rPr>
        <w:t xml:space="preserve">2. Электронный ресурс: </w:t>
      </w:r>
      <w:hyperlink r:id="rId183" w:history="1">
        <w:r w:rsidRPr="002200F0">
          <w:rPr>
            <w:rFonts w:eastAsia="Calibri"/>
            <w:sz w:val="22"/>
            <w:szCs w:val="22"/>
            <w:lang w:eastAsia="en-US"/>
          </w:rPr>
          <w:t>https://www.cbr.ru/DKP/</w:t>
        </w:r>
      </w:hyperlink>
      <w:r w:rsidRPr="002200F0">
        <w:rPr>
          <w:rFonts w:eastAsia="Calibri"/>
          <w:sz w:val="22"/>
          <w:szCs w:val="22"/>
          <w:lang w:eastAsia="en-US"/>
        </w:rPr>
        <w:t xml:space="preserve"> </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3. Дробышевский С.М., Горюнов Е.Л., Трунин П.В. Денежно- кредитная политика Банка России: стратегия и тактика/Вопросы экономики. – 2015.– № 10. – C.53-85.</w:t>
      </w:r>
    </w:p>
    <w:p w:rsidR="00787EA7" w:rsidRDefault="00787EA7" w:rsidP="00787EA7">
      <w:pPr>
        <w:ind w:firstLine="425"/>
        <w:jc w:val="both"/>
        <w:rPr>
          <w:rFonts w:eastAsia="Calibri"/>
          <w:sz w:val="22"/>
          <w:szCs w:val="22"/>
          <w:lang w:eastAsia="en-US"/>
        </w:rPr>
      </w:pPr>
    </w:p>
    <w:p w:rsidR="005879CD" w:rsidRPr="00787EA7" w:rsidRDefault="005879CD" w:rsidP="00CC1F5C">
      <w:pPr>
        <w:jc w:val="both"/>
        <w:rPr>
          <w:rFonts w:eastAsia="Calibri"/>
          <w:sz w:val="22"/>
          <w:szCs w:val="22"/>
          <w:lang w:eastAsia="en-US"/>
        </w:rPr>
      </w:pPr>
    </w:p>
    <w:p w:rsidR="00787EA7" w:rsidRDefault="00787EA7" w:rsidP="00787EA7">
      <w:pPr>
        <w:rPr>
          <w:bCs/>
          <w:sz w:val="22"/>
          <w:szCs w:val="22"/>
          <w:lang w:eastAsia="en-US"/>
        </w:rPr>
      </w:pPr>
      <w:r w:rsidRPr="00787EA7">
        <w:rPr>
          <w:bCs/>
          <w:sz w:val="22"/>
          <w:szCs w:val="22"/>
          <w:lang w:eastAsia="en-US"/>
        </w:rPr>
        <w:lastRenderedPageBreak/>
        <w:t>УДК 378</w:t>
      </w:r>
    </w:p>
    <w:p w:rsidR="005879CD" w:rsidRPr="00787EA7" w:rsidRDefault="005879CD" w:rsidP="00787EA7">
      <w:pPr>
        <w:rPr>
          <w:bCs/>
          <w:sz w:val="22"/>
          <w:szCs w:val="22"/>
          <w:lang w:eastAsia="en-US"/>
        </w:rPr>
      </w:pPr>
    </w:p>
    <w:p w:rsidR="00787EA7" w:rsidRPr="00787EA7" w:rsidRDefault="00787EA7" w:rsidP="00787EA7">
      <w:pPr>
        <w:ind w:firstLine="708"/>
        <w:jc w:val="center"/>
        <w:rPr>
          <w:b/>
          <w:bCs/>
          <w:sz w:val="24"/>
          <w:szCs w:val="24"/>
          <w:lang w:eastAsia="en-US"/>
        </w:rPr>
      </w:pPr>
      <w:r w:rsidRPr="00787EA7">
        <w:rPr>
          <w:b/>
          <w:bCs/>
          <w:sz w:val="24"/>
          <w:szCs w:val="24"/>
          <w:lang w:eastAsia="en-US"/>
        </w:rPr>
        <w:t>Проблемы развития отечественного образования и возможные пути их решения</w:t>
      </w:r>
    </w:p>
    <w:p w:rsidR="00787EA7" w:rsidRPr="005879CD" w:rsidRDefault="005879CD" w:rsidP="00787EA7">
      <w:pPr>
        <w:ind w:firstLine="708"/>
        <w:jc w:val="center"/>
        <w:rPr>
          <w:b/>
          <w:bCs/>
          <w:sz w:val="24"/>
          <w:szCs w:val="24"/>
          <w:lang w:val="en-US" w:eastAsia="en-US"/>
        </w:rPr>
      </w:pPr>
      <w:r w:rsidRPr="005879CD">
        <w:rPr>
          <w:b/>
          <w:bCs/>
          <w:sz w:val="24"/>
          <w:szCs w:val="24"/>
          <w:lang w:val="en-US" w:eastAsia="en-US"/>
        </w:rPr>
        <w:t>Problems of the development of the national education and possible ways to solve them</w:t>
      </w:r>
    </w:p>
    <w:p w:rsidR="00787EA7" w:rsidRPr="005879CD" w:rsidRDefault="00787EA7" w:rsidP="00787EA7">
      <w:pPr>
        <w:ind w:firstLine="708"/>
        <w:jc w:val="right"/>
        <w:rPr>
          <w:b/>
          <w:bCs/>
          <w:sz w:val="24"/>
          <w:szCs w:val="24"/>
          <w:lang w:val="en-US" w:eastAsia="en-US"/>
        </w:rPr>
      </w:pPr>
    </w:p>
    <w:p w:rsidR="00787EA7" w:rsidRPr="00787EA7" w:rsidRDefault="00787EA7" w:rsidP="00787EA7">
      <w:pPr>
        <w:ind w:firstLine="708"/>
        <w:jc w:val="right"/>
        <w:rPr>
          <w:bCs/>
          <w:sz w:val="22"/>
          <w:szCs w:val="22"/>
          <w:lang w:eastAsia="en-US"/>
        </w:rPr>
      </w:pPr>
      <w:r w:rsidRPr="00787EA7">
        <w:rPr>
          <w:bCs/>
          <w:sz w:val="22"/>
          <w:szCs w:val="22"/>
          <w:lang w:eastAsia="en-US"/>
        </w:rPr>
        <w:t>Морозов О.,</w:t>
      </w:r>
    </w:p>
    <w:p w:rsidR="00787EA7" w:rsidRPr="00787EA7" w:rsidRDefault="00787EA7" w:rsidP="00787EA7">
      <w:pPr>
        <w:ind w:firstLine="708"/>
        <w:jc w:val="right"/>
        <w:rPr>
          <w:bCs/>
          <w:sz w:val="22"/>
          <w:szCs w:val="22"/>
          <w:lang w:eastAsia="en-US"/>
        </w:rPr>
      </w:pPr>
      <w:r w:rsidRPr="00787EA7">
        <w:rPr>
          <w:bCs/>
          <w:sz w:val="22"/>
          <w:szCs w:val="22"/>
          <w:lang w:eastAsia="en-US"/>
        </w:rPr>
        <w:t>студент 3 курса факультета управления</w:t>
      </w:r>
    </w:p>
    <w:p w:rsidR="00787EA7" w:rsidRPr="00787EA7" w:rsidRDefault="00787EA7" w:rsidP="00787EA7">
      <w:pPr>
        <w:ind w:firstLine="708"/>
        <w:jc w:val="right"/>
        <w:rPr>
          <w:bCs/>
          <w:sz w:val="22"/>
          <w:szCs w:val="22"/>
          <w:lang w:eastAsia="en-US"/>
        </w:rPr>
      </w:pPr>
      <w:r w:rsidRPr="00787EA7">
        <w:rPr>
          <w:bCs/>
          <w:sz w:val="22"/>
          <w:szCs w:val="22"/>
          <w:lang w:eastAsia="en-US"/>
        </w:rPr>
        <w:t>Сычанина С.</w:t>
      </w:r>
      <w:r w:rsidR="005879CD">
        <w:rPr>
          <w:bCs/>
          <w:sz w:val="22"/>
          <w:szCs w:val="22"/>
          <w:lang w:eastAsia="en-US"/>
        </w:rPr>
        <w:t xml:space="preserve"> </w:t>
      </w:r>
      <w:r w:rsidRPr="00787EA7">
        <w:rPr>
          <w:bCs/>
          <w:sz w:val="22"/>
          <w:szCs w:val="22"/>
          <w:lang w:eastAsia="en-US"/>
        </w:rPr>
        <w:t>Н.,</w:t>
      </w:r>
    </w:p>
    <w:p w:rsidR="00787EA7" w:rsidRPr="00787EA7" w:rsidRDefault="00787EA7" w:rsidP="00787EA7">
      <w:pPr>
        <w:ind w:firstLine="708"/>
        <w:jc w:val="right"/>
        <w:rPr>
          <w:bCs/>
          <w:sz w:val="22"/>
          <w:szCs w:val="22"/>
          <w:lang w:eastAsia="en-US"/>
        </w:rPr>
      </w:pPr>
      <w:r w:rsidRPr="00787EA7">
        <w:rPr>
          <w:bCs/>
          <w:sz w:val="22"/>
          <w:szCs w:val="22"/>
          <w:lang w:eastAsia="en-US"/>
        </w:rPr>
        <w:t>доцент кафедры менеджмента</w:t>
      </w:r>
    </w:p>
    <w:p w:rsidR="00787EA7" w:rsidRPr="00787EA7" w:rsidRDefault="00787EA7" w:rsidP="00787EA7">
      <w:pPr>
        <w:ind w:firstLine="708"/>
        <w:jc w:val="right"/>
        <w:rPr>
          <w:bCs/>
          <w:sz w:val="22"/>
          <w:szCs w:val="22"/>
          <w:lang w:eastAsia="en-US"/>
        </w:rPr>
      </w:pPr>
      <w:r w:rsidRPr="00787EA7">
        <w:rPr>
          <w:bCs/>
          <w:sz w:val="22"/>
          <w:szCs w:val="22"/>
          <w:lang w:eastAsia="en-US"/>
        </w:rPr>
        <w:t>Кубанский государственный аграрный</w:t>
      </w:r>
    </w:p>
    <w:p w:rsidR="00787EA7" w:rsidRPr="00787EA7" w:rsidRDefault="00787EA7" w:rsidP="00787EA7">
      <w:pPr>
        <w:ind w:firstLine="708"/>
        <w:jc w:val="right"/>
        <w:rPr>
          <w:bCs/>
          <w:sz w:val="22"/>
          <w:szCs w:val="22"/>
          <w:lang w:eastAsia="en-US"/>
        </w:rPr>
      </w:pPr>
      <w:r w:rsidRPr="00787EA7">
        <w:rPr>
          <w:bCs/>
          <w:sz w:val="22"/>
          <w:szCs w:val="22"/>
          <w:lang w:eastAsia="en-US"/>
        </w:rPr>
        <w:t>университет им. И.</w:t>
      </w:r>
      <w:r w:rsidR="005879CD">
        <w:rPr>
          <w:bCs/>
          <w:sz w:val="22"/>
          <w:szCs w:val="22"/>
          <w:lang w:eastAsia="en-US"/>
        </w:rPr>
        <w:t xml:space="preserve"> </w:t>
      </w:r>
      <w:r w:rsidRPr="00787EA7">
        <w:rPr>
          <w:bCs/>
          <w:sz w:val="22"/>
          <w:szCs w:val="22"/>
          <w:lang w:eastAsia="en-US"/>
        </w:rPr>
        <w:t>Т.</w:t>
      </w:r>
      <w:r w:rsidR="005879CD">
        <w:rPr>
          <w:bCs/>
          <w:sz w:val="22"/>
          <w:szCs w:val="22"/>
          <w:lang w:eastAsia="en-US"/>
        </w:rPr>
        <w:t xml:space="preserve"> </w:t>
      </w:r>
      <w:r w:rsidRPr="00787EA7">
        <w:rPr>
          <w:bCs/>
          <w:sz w:val="22"/>
          <w:szCs w:val="22"/>
          <w:lang w:eastAsia="en-US"/>
        </w:rPr>
        <w:t>Трубилина</w:t>
      </w:r>
    </w:p>
    <w:p w:rsidR="00787EA7" w:rsidRPr="00787EA7" w:rsidRDefault="00787EA7" w:rsidP="00787EA7">
      <w:pPr>
        <w:ind w:firstLine="708"/>
        <w:jc w:val="both"/>
        <w:rPr>
          <w:b/>
          <w:bCs/>
          <w:sz w:val="22"/>
          <w:szCs w:val="22"/>
          <w:lang w:eastAsia="en-US"/>
        </w:rPr>
      </w:pPr>
    </w:p>
    <w:p w:rsidR="00787EA7" w:rsidRPr="00787EA7" w:rsidRDefault="00787EA7" w:rsidP="00787EA7">
      <w:pPr>
        <w:ind w:firstLine="425"/>
        <w:jc w:val="both"/>
        <w:rPr>
          <w:sz w:val="22"/>
          <w:szCs w:val="22"/>
          <w:lang w:eastAsia="en-US"/>
        </w:rPr>
      </w:pPr>
      <w:r w:rsidRPr="00787EA7">
        <w:rPr>
          <w:bCs/>
          <w:sz w:val="22"/>
          <w:szCs w:val="22"/>
          <w:lang w:eastAsia="en-US"/>
        </w:rPr>
        <w:t>АННОТАЦИЯ</w:t>
      </w:r>
      <w:r w:rsidRPr="00787EA7">
        <w:rPr>
          <w:b/>
          <w:bCs/>
          <w:sz w:val="22"/>
          <w:szCs w:val="22"/>
          <w:lang w:eastAsia="en-US"/>
        </w:rPr>
        <w:t>:</w:t>
      </w:r>
      <w:r w:rsidR="005879CD">
        <w:rPr>
          <w:sz w:val="22"/>
          <w:szCs w:val="22"/>
          <w:lang w:eastAsia="en-US"/>
        </w:rPr>
        <w:t xml:space="preserve"> В данной</w:t>
      </w:r>
      <w:r w:rsidRPr="00787EA7">
        <w:rPr>
          <w:sz w:val="22"/>
          <w:szCs w:val="22"/>
          <w:lang w:eastAsia="en-US"/>
        </w:rPr>
        <w:t xml:space="preserve"> статье рассматривается роль совр</w:t>
      </w:r>
      <w:r w:rsidRPr="00787EA7">
        <w:rPr>
          <w:sz w:val="22"/>
          <w:szCs w:val="22"/>
          <w:lang w:eastAsia="en-US"/>
        </w:rPr>
        <w:t>е</w:t>
      </w:r>
      <w:r w:rsidRPr="00787EA7">
        <w:rPr>
          <w:sz w:val="22"/>
          <w:szCs w:val="22"/>
          <w:lang w:eastAsia="en-US"/>
        </w:rPr>
        <w:t>менного образования в определении социального статуса индивида. Приводятся острые проблемы образовательной системы Российской Федерации, а также возможные пути ее совершенствования.</w:t>
      </w:r>
    </w:p>
    <w:p w:rsidR="00787EA7" w:rsidRPr="00787EA7" w:rsidRDefault="00787EA7" w:rsidP="00787EA7">
      <w:pPr>
        <w:ind w:firstLine="425"/>
        <w:jc w:val="both"/>
        <w:rPr>
          <w:sz w:val="22"/>
          <w:szCs w:val="22"/>
          <w:lang w:val="en-US" w:eastAsia="en-US"/>
        </w:rPr>
      </w:pPr>
      <w:r w:rsidRPr="00787EA7">
        <w:rPr>
          <w:sz w:val="22"/>
          <w:szCs w:val="22"/>
          <w:lang w:val="en-US" w:eastAsia="en-US"/>
        </w:rPr>
        <w:t>ABSTRACT: In this article discusses the role of modern education in determining the social status of an individual. The acute problems of the educational system of the Russian Federation are in the article, as well as possible ways to improve it.</w:t>
      </w:r>
      <w:r w:rsidRPr="00787EA7">
        <w:rPr>
          <w:sz w:val="22"/>
          <w:szCs w:val="22"/>
          <w:lang w:val="en-US" w:eastAsia="en-US"/>
        </w:rPr>
        <w:tab/>
      </w:r>
    </w:p>
    <w:p w:rsidR="00787EA7" w:rsidRPr="00787EA7" w:rsidRDefault="00787EA7" w:rsidP="00787EA7">
      <w:pPr>
        <w:ind w:firstLine="425"/>
        <w:jc w:val="both"/>
        <w:rPr>
          <w:sz w:val="22"/>
          <w:szCs w:val="22"/>
          <w:lang w:eastAsia="en-US"/>
        </w:rPr>
      </w:pPr>
      <w:r w:rsidRPr="00787EA7">
        <w:rPr>
          <w:bCs/>
          <w:sz w:val="22"/>
          <w:szCs w:val="22"/>
          <w:lang w:eastAsia="en-US"/>
        </w:rPr>
        <w:t xml:space="preserve">КЛЮЧЕВЫЕ СЛОВА: </w:t>
      </w:r>
      <w:r w:rsidRPr="00787EA7">
        <w:rPr>
          <w:sz w:val="22"/>
          <w:szCs w:val="22"/>
          <w:lang w:eastAsia="en-US"/>
        </w:rPr>
        <w:t>система образования, совершенствов</w:t>
      </w:r>
      <w:r w:rsidRPr="00787EA7">
        <w:rPr>
          <w:sz w:val="22"/>
          <w:szCs w:val="22"/>
          <w:lang w:eastAsia="en-US"/>
        </w:rPr>
        <w:t>а</w:t>
      </w:r>
      <w:r w:rsidRPr="00787EA7">
        <w:rPr>
          <w:sz w:val="22"/>
          <w:szCs w:val="22"/>
          <w:lang w:eastAsia="en-US"/>
        </w:rPr>
        <w:t>ние, проблемы, инновации, самоорганизация образовательного пр</w:t>
      </w:r>
      <w:r w:rsidRPr="00787EA7">
        <w:rPr>
          <w:sz w:val="22"/>
          <w:szCs w:val="22"/>
          <w:lang w:eastAsia="en-US"/>
        </w:rPr>
        <w:t>о</w:t>
      </w:r>
      <w:r w:rsidRPr="00787EA7">
        <w:rPr>
          <w:sz w:val="22"/>
          <w:szCs w:val="22"/>
          <w:lang w:eastAsia="en-US"/>
        </w:rPr>
        <w:t>цесса.</w:t>
      </w:r>
    </w:p>
    <w:p w:rsidR="00787EA7" w:rsidRPr="00787EA7" w:rsidRDefault="00787EA7" w:rsidP="00787EA7">
      <w:pPr>
        <w:ind w:firstLine="425"/>
        <w:jc w:val="both"/>
        <w:rPr>
          <w:sz w:val="22"/>
          <w:szCs w:val="22"/>
          <w:lang w:val="en-US" w:eastAsia="en-US"/>
        </w:rPr>
      </w:pPr>
      <w:r w:rsidRPr="00787EA7">
        <w:rPr>
          <w:sz w:val="22"/>
          <w:szCs w:val="22"/>
          <w:lang w:val="en-US" w:eastAsia="en-US"/>
        </w:rPr>
        <w:t>KEYWORDS: education system, improvement, problems, innov</w:t>
      </w:r>
      <w:r w:rsidRPr="00787EA7">
        <w:rPr>
          <w:sz w:val="22"/>
          <w:szCs w:val="22"/>
          <w:lang w:val="en-US" w:eastAsia="en-US"/>
        </w:rPr>
        <w:t>a</w:t>
      </w:r>
      <w:r w:rsidRPr="00787EA7">
        <w:rPr>
          <w:sz w:val="22"/>
          <w:szCs w:val="22"/>
          <w:lang w:val="en-US" w:eastAsia="en-US"/>
        </w:rPr>
        <w:t>tions, self-organization of the educational process.</w:t>
      </w:r>
    </w:p>
    <w:p w:rsidR="00787EA7" w:rsidRPr="00C56F2E" w:rsidRDefault="00787EA7" w:rsidP="005879CD">
      <w:pPr>
        <w:jc w:val="both"/>
        <w:rPr>
          <w:sz w:val="22"/>
          <w:szCs w:val="22"/>
          <w:lang w:val="en-US" w:eastAsia="en-US"/>
        </w:rPr>
      </w:pPr>
    </w:p>
    <w:p w:rsidR="00787EA7" w:rsidRPr="00787EA7" w:rsidRDefault="00787EA7" w:rsidP="00787EA7">
      <w:pPr>
        <w:ind w:firstLine="425"/>
        <w:jc w:val="both"/>
        <w:rPr>
          <w:sz w:val="22"/>
          <w:szCs w:val="22"/>
          <w:lang w:eastAsia="en-US"/>
        </w:rPr>
      </w:pPr>
      <w:r w:rsidRPr="00787EA7">
        <w:rPr>
          <w:sz w:val="22"/>
          <w:szCs w:val="22"/>
          <w:lang w:eastAsia="en-US"/>
        </w:rPr>
        <w:t>В настоящее время образование играет одну из важнейших р</w:t>
      </w:r>
      <w:r w:rsidRPr="00787EA7">
        <w:rPr>
          <w:sz w:val="22"/>
          <w:szCs w:val="22"/>
          <w:lang w:eastAsia="en-US"/>
        </w:rPr>
        <w:t>о</w:t>
      </w:r>
      <w:r w:rsidRPr="00787EA7">
        <w:rPr>
          <w:sz w:val="22"/>
          <w:szCs w:val="22"/>
          <w:lang w:eastAsia="en-US"/>
        </w:rPr>
        <w:t>лей в определении социального статуса личности и его поддерж</w:t>
      </w:r>
      <w:r w:rsidRPr="00787EA7">
        <w:rPr>
          <w:sz w:val="22"/>
          <w:szCs w:val="22"/>
          <w:lang w:eastAsia="en-US"/>
        </w:rPr>
        <w:t>а</w:t>
      </w:r>
      <w:r w:rsidRPr="00787EA7">
        <w:rPr>
          <w:sz w:val="22"/>
          <w:szCs w:val="22"/>
          <w:lang w:eastAsia="en-US"/>
        </w:rPr>
        <w:t>нии, в процессе развития и воспроизводства социальной структуры общества, обеспечения стабильности и порядка, осуществления с</w:t>
      </w:r>
      <w:r w:rsidRPr="00787EA7">
        <w:rPr>
          <w:sz w:val="22"/>
          <w:szCs w:val="22"/>
          <w:lang w:eastAsia="en-US"/>
        </w:rPr>
        <w:t>о</w:t>
      </w:r>
      <w:r w:rsidRPr="00787EA7">
        <w:rPr>
          <w:sz w:val="22"/>
          <w:szCs w:val="22"/>
          <w:lang w:eastAsia="en-US"/>
        </w:rPr>
        <w:t>циального контроля. В связи с тем, что образование выступает в качестве фактора воспроизводства социально-профессиональной структуры общества, оно является одним из основных и наиболее эффективных каналов социальной мобильности человека.</w:t>
      </w:r>
    </w:p>
    <w:p w:rsidR="00787EA7" w:rsidRPr="00787EA7" w:rsidRDefault="00787EA7" w:rsidP="00787EA7">
      <w:pPr>
        <w:ind w:firstLine="425"/>
        <w:jc w:val="both"/>
        <w:rPr>
          <w:sz w:val="22"/>
          <w:szCs w:val="22"/>
          <w:lang w:eastAsia="en-US"/>
        </w:rPr>
      </w:pPr>
      <w:r w:rsidRPr="00787EA7">
        <w:rPr>
          <w:sz w:val="22"/>
          <w:szCs w:val="22"/>
          <w:lang w:eastAsia="en-US"/>
        </w:rPr>
        <w:lastRenderedPageBreak/>
        <w:t>В сложившихся условиях образовательной системы в опред</w:t>
      </w:r>
      <w:r w:rsidRPr="00787EA7">
        <w:rPr>
          <w:sz w:val="22"/>
          <w:szCs w:val="22"/>
          <w:lang w:eastAsia="en-US"/>
        </w:rPr>
        <w:t>е</w:t>
      </w:r>
      <w:r w:rsidRPr="00787EA7">
        <w:rPr>
          <w:sz w:val="22"/>
          <w:szCs w:val="22"/>
          <w:lang w:eastAsia="en-US"/>
        </w:rPr>
        <w:t>ленных дошкольных учреждениях отмечается повышенный интерес к проблеме обучения и развития детей младшего дошкольного во</w:t>
      </w:r>
      <w:r w:rsidRPr="00787EA7">
        <w:rPr>
          <w:sz w:val="22"/>
          <w:szCs w:val="22"/>
          <w:lang w:eastAsia="en-US"/>
        </w:rPr>
        <w:t>з</w:t>
      </w:r>
      <w:r w:rsidRPr="00787EA7">
        <w:rPr>
          <w:sz w:val="22"/>
          <w:szCs w:val="22"/>
          <w:lang w:eastAsia="en-US"/>
        </w:rPr>
        <w:t>раста, как «сензитивного» периода дошкольного детства. На осн</w:t>
      </w:r>
      <w:r w:rsidRPr="00787EA7">
        <w:rPr>
          <w:sz w:val="22"/>
          <w:szCs w:val="22"/>
          <w:lang w:eastAsia="en-US"/>
        </w:rPr>
        <w:t>о</w:t>
      </w:r>
      <w:r w:rsidRPr="00787EA7">
        <w:rPr>
          <w:sz w:val="22"/>
          <w:szCs w:val="22"/>
          <w:lang w:eastAsia="en-US"/>
        </w:rPr>
        <w:t>вании этого осуществляется обновления образовательных ресурсов относительно данной сферы. В качестве одного из важнейших м</w:t>
      </w:r>
      <w:r w:rsidRPr="00787EA7">
        <w:rPr>
          <w:sz w:val="22"/>
          <w:szCs w:val="22"/>
          <w:lang w:eastAsia="en-US"/>
        </w:rPr>
        <w:t>о</w:t>
      </w:r>
      <w:r w:rsidRPr="00787EA7">
        <w:rPr>
          <w:sz w:val="22"/>
          <w:szCs w:val="22"/>
          <w:lang w:eastAsia="en-US"/>
        </w:rPr>
        <w:t>ментов обучения младших дошкольных детей выступает хореогр</w:t>
      </w:r>
      <w:r w:rsidRPr="00787EA7">
        <w:rPr>
          <w:sz w:val="22"/>
          <w:szCs w:val="22"/>
          <w:lang w:eastAsia="en-US"/>
        </w:rPr>
        <w:t>а</w:t>
      </w:r>
      <w:r w:rsidRPr="00787EA7">
        <w:rPr>
          <w:sz w:val="22"/>
          <w:szCs w:val="22"/>
          <w:lang w:eastAsia="en-US"/>
        </w:rPr>
        <w:t>фия, иными словами, она является эффективным направлением ф</w:t>
      </w:r>
      <w:r w:rsidRPr="00787EA7">
        <w:rPr>
          <w:sz w:val="22"/>
          <w:szCs w:val="22"/>
          <w:lang w:eastAsia="en-US"/>
        </w:rPr>
        <w:t>и</w:t>
      </w:r>
      <w:r w:rsidRPr="00787EA7">
        <w:rPr>
          <w:sz w:val="22"/>
          <w:szCs w:val="22"/>
          <w:lang w:eastAsia="en-US"/>
        </w:rPr>
        <w:t>зического, эстетического и нравственного развития детей в данном возрасте [1].</w:t>
      </w:r>
    </w:p>
    <w:p w:rsidR="00787EA7" w:rsidRPr="00787EA7" w:rsidRDefault="00787EA7" w:rsidP="00787EA7">
      <w:pPr>
        <w:ind w:firstLine="425"/>
        <w:jc w:val="both"/>
        <w:rPr>
          <w:sz w:val="22"/>
          <w:szCs w:val="22"/>
          <w:lang w:eastAsia="en-US"/>
        </w:rPr>
      </w:pPr>
      <w:r w:rsidRPr="00787EA7">
        <w:rPr>
          <w:sz w:val="22"/>
          <w:szCs w:val="22"/>
          <w:lang w:eastAsia="en-US"/>
        </w:rPr>
        <w:t>Однако на процесс развития и модернизации образовательной системы отрицательно влияет сложившаяся ситуация. Основными факторами, оказывающими дестабилизирующее воздействие на д</w:t>
      </w:r>
      <w:r w:rsidRPr="00787EA7">
        <w:rPr>
          <w:sz w:val="22"/>
          <w:szCs w:val="22"/>
          <w:lang w:eastAsia="en-US"/>
        </w:rPr>
        <w:t>е</w:t>
      </w:r>
      <w:r w:rsidRPr="00787EA7">
        <w:rPr>
          <w:sz w:val="22"/>
          <w:szCs w:val="22"/>
          <w:lang w:eastAsia="en-US"/>
        </w:rPr>
        <w:t>ятельность образовательных учреждений, являются следующие:</w:t>
      </w:r>
    </w:p>
    <w:p w:rsidR="00787EA7" w:rsidRPr="00787EA7" w:rsidRDefault="00787EA7" w:rsidP="00787EA7">
      <w:pPr>
        <w:ind w:firstLine="425"/>
        <w:jc w:val="both"/>
        <w:rPr>
          <w:sz w:val="22"/>
          <w:szCs w:val="22"/>
          <w:lang w:eastAsia="en-US"/>
        </w:rPr>
      </w:pPr>
      <w:r w:rsidRPr="00787EA7">
        <w:rPr>
          <w:sz w:val="22"/>
          <w:szCs w:val="22"/>
          <w:lang w:eastAsia="en-US"/>
        </w:rPr>
        <w:t>1 Неполнота нормативно-правовой базы в сфере образования;</w:t>
      </w:r>
    </w:p>
    <w:p w:rsidR="00787EA7" w:rsidRPr="00787EA7" w:rsidRDefault="00787EA7" w:rsidP="00787EA7">
      <w:pPr>
        <w:ind w:firstLine="425"/>
        <w:jc w:val="both"/>
        <w:rPr>
          <w:sz w:val="22"/>
          <w:szCs w:val="22"/>
          <w:lang w:eastAsia="en-US"/>
        </w:rPr>
      </w:pPr>
      <w:r w:rsidRPr="00787EA7">
        <w:rPr>
          <w:sz w:val="22"/>
          <w:szCs w:val="22"/>
          <w:lang w:eastAsia="en-US"/>
        </w:rPr>
        <w:t>2 Систематическое неисполнение норм законодательства в о</w:t>
      </w:r>
      <w:r w:rsidRPr="00787EA7">
        <w:rPr>
          <w:sz w:val="22"/>
          <w:szCs w:val="22"/>
          <w:lang w:eastAsia="en-US"/>
        </w:rPr>
        <w:t>б</w:t>
      </w:r>
      <w:r w:rsidRPr="00787EA7">
        <w:rPr>
          <w:sz w:val="22"/>
          <w:szCs w:val="22"/>
          <w:lang w:eastAsia="en-US"/>
        </w:rPr>
        <w:t>ласти образования;</w:t>
      </w:r>
    </w:p>
    <w:p w:rsidR="00787EA7" w:rsidRPr="00787EA7" w:rsidRDefault="00787EA7" w:rsidP="00787EA7">
      <w:pPr>
        <w:ind w:firstLine="425"/>
        <w:jc w:val="both"/>
        <w:rPr>
          <w:sz w:val="22"/>
          <w:szCs w:val="22"/>
          <w:lang w:eastAsia="en-US"/>
        </w:rPr>
      </w:pPr>
      <w:r w:rsidRPr="00787EA7">
        <w:rPr>
          <w:sz w:val="22"/>
          <w:szCs w:val="22"/>
          <w:lang w:eastAsia="en-US"/>
        </w:rPr>
        <w:t>3 Отсутствие социальной и экономической стабильности в о</w:t>
      </w:r>
      <w:r w:rsidRPr="00787EA7">
        <w:rPr>
          <w:sz w:val="22"/>
          <w:szCs w:val="22"/>
          <w:lang w:eastAsia="en-US"/>
        </w:rPr>
        <w:t>б</w:t>
      </w:r>
      <w:r w:rsidRPr="00787EA7">
        <w:rPr>
          <w:sz w:val="22"/>
          <w:szCs w:val="22"/>
          <w:lang w:eastAsia="en-US"/>
        </w:rPr>
        <w:t>ществе;</w:t>
      </w:r>
    </w:p>
    <w:p w:rsidR="00787EA7" w:rsidRPr="00787EA7" w:rsidRDefault="00787EA7" w:rsidP="00787EA7">
      <w:pPr>
        <w:ind w:firstLine="425"/>
        <w:jc w:val="both"/>
        <w:rPr>
          <w:sz w:val="22"/>
          <w:szCs w:val="22"/>
          <w:lang w:eastAsia="en-US"/>
        </w:rPr>
      </w:pPr>
      <w:r w:rsidRPr="00787EA7">
        <w:rPr>
          <w:sz w:val="22"/>
          <w:szCs w:val="22"/>
          <w:lang w:eastAsia="en-US"/>
        </w:rPr>
        <w:t>4 Острый дефицит финансовых средств по причине кризисного положения в экономике страны [2].</w:t>
      </w:r>
    </w:p>
    <w:p w:rsidR="00787EA7" w:rsidRPr="00787EA7" w:rsidRDefault="00787EA7" w:rsidP="00787EA7">
      <w:pPr>
        <w:ind w:firstLine="425"/>
        <w:jc w:val="both"/>
        <w:rPr>
          <w:sz w:val="22"/>
          <w:szCs w:val="22"/>
          <w:lang w:eastAsia="en-US"/>
        </w:rPr>
      </w:pPr>
      <w:r w:rsidRPr="00787EA7">
        <w:rPr>
          <w:sz w:val="22"/>
          <w:szCs w:val="22"/>
          <w:lang w:eastAsia="en-US"/>
        </w:rPr>
        <w:t>Одной из главных причин появления кризисной обстановки в системе образования является неудовлетворительное финансиров</w:t>
      </w:r>
      <w:r w:rsidRPr="00787EA7">
        <w:rPr>
          <w:sz w:val="22"/>
          <w:szCs w:val="22"/>
          <w:lang w:eastAsia="en-US"/>
        </w:rPr>
        <w:t>а</w:t>
      </w:r>
      <w:r w:rsidRPr="00787EA7">
        <w:rPr>
          <w:sz w:val="22"/>
          <w:szCs w:val="22"/>
          <w:lang w:eastAsia="en-US"/>
        </w:rPr>
        <w:t>ния со стороны государства. Обеспечение образовательных учр</w:t>
      </w:r>
      <w:r w:rsidRPr="00787EA7">
        <w:rPr>
          <w:sz w:val="22"/>
          <w:szCs w:val="22"/>
          <w:lang w:eastAsia="en-US"/>
        </w:rPr>
        <w:t>е</w:t>
      </w:r>
      <w:r w:rsidRPr="00787EA7">
        <w:rPr>
          <w:sz w:val="22"/>
          <w:szCs w:val="22"/>
          <w:lang w:eastAsia="en-US"/>
        </w:rPr>
        <w:t>ждений финансовыми средствами происходит за счет средств бю</w:t>
      </w:r>
      <w:r w:rsidRPr="00787EA7">
        <w:rPr>
          <w:sz w:val="22"/>
          <w:szCs w:val="22"/>
          <w:lang w:eastAsia="en-US"/>
        </w:rPr>
        <w:t>д</w:t>
      </w:r>
      <w:r w:rsidRPr="00787EA7">
        <w:rPr>
          <w:sz w:val="22"/>
          <w:szCs w:val="22"/>
          <w:lang w:eastAsia="en-US"/>
        </w:rPr>
        <w:t>жетов всех уровней менее чем на 25%. По-прежнему отмечается тенденция к сокращению реального объема ассигнований на нужны образования. В расчете на нынешние цены они подверглись сокр</w:t>
      </w:r>
      <w:r w:rsidRPr="00787EA7">
        <w:rPr>
          <w:sz w:val="22"/>
          <w:szCs w:val="22"/>
          <w:lang w:eastAsia="en-US"/>
        </w:rPr>
        <w:t>а</w:t>
      </w:r>
      <w:r w:rsidRPr="00787EA7">
        <w:rPr>
          <w:sz w:val="22"/>
          <w:szCs w:val="22"/>
          <w:lang w:eastAsia="en-US"/>
        </w:rPr>
        <w:t>щению приблизительно в 5 раз, что в сопоставимых ценах соста</w:t>
      </w:r>
      <w:r w:rsidRPr="00787EA7">
        <w:rPr>
          <w:sz w:val="22"/>
          <w:szCs w:val="22"/>
          <w:lang w:eastAsia="en-US"/>
        </w:rPr>
        <w:t>в</w:t>
      </w:r>
      <w:r w:rsidRPr="00787EA7">
        <w:rPr>
          <w:sz w:val="22"/>
          <w:szCs w:val="22"/>
          <w:lang w:eastAsia="en-US"/>
        </w:rPr>
        <w:t>ляет более чем двадцатикратное уменьшение [3].</w:t>
      </w:r>
    </w:p>
    <w:p w:rsidR="00787EA7" w:rsidRPr="00787EA7" w:rsidRDefault="00787EA7" w:rsidP="00787EA7">
      <w:pPr>
        <w:ind w:firstLine="425"/>
        <w:jc w:val="both"/>
        <w:rPr>
          <w:sz w:val="22"/>
          <w:szCs w:val="22"/>
          <w:lang w:eastAsia="en-US"/>
        </w:rPr>
      </w:pPr>
      <w:r w:rsidRPr="00787EA7">
        <w:rPr>
          <w:sz w:val="22"/>
          <w:szCs w:val="22"/>
          <w:lang w:eastAsia="en-US"/>
        </w:rPr>
        <w:t>Подобная обстановка, связанная с финансированием системы образования Российской Федерации, породила опасность утратить все самое лучшее из того, что имелось и еще имеется в данной с</w:t>
      </w:r>
      <w:r w:rsidRPr="00787EA7">
        <w:rPr>
          <w:sz w:val="22"/>
          <w:szCs w:val="22"/>
          <w:lang w:eastAsia="en-US"/>
        </w:rPr>
        <w:t>и</w:t>
      </w:r>
      <w:r w:rsidRPr="00787EA7">
        <w:rPr>
          <w:sz w:val="22"/>
          <w:szCs w:val="22"/>
          <w:lang w:eastAsia="en-US"/>
        </w:rPr>
        <w:t>стеме. В общих масштабах данная проблема может нанести серье</w:t>
      </w:r>
      <w:r w:rsidRPr="00787EA7">
        <w:rPr>
          <w:sz w:val="22"/>
          <w:szCs w:val="22"/>
          <w:lang w:eastAsia="en-US"/>
        </w:rPr>
        <w:t>з</w:t>
      </w:r>
      <w:r w:rsidRPr="00787EA7">
        <w:rPr>
          <w:sz w:val="22"/>
          <w:szCs w:val="22"/>
          <w:lang w:eastAsia="en-US"/>
        </w:rPr>
        <w:t>ный ущерб безопасности страны.</w:t>
      </w:r>
    </w:p>
    <w:p w:rsidR="00787EA7" w:rsidRPr="00787EA7" w:rsidRDefault="00787EA7" w:rsidP="00787EA7">
      <w:pPr>
        <w:ind w:firstLine="425"/>
        <w:jc w:val="both"/>
        <w:rPr>
          <w:sz w:val="22"/>
          <w:szCs w:val="22"/>
          <w:lang w:eastAsia="en-US"/>
        </w:rPr>
      </w:pPr>
      <w:r w:rsidRPr="00787EA7">
        <w:rPr>
          <w:sz w:val="22"/>
          <w:szCs w:val="22"/>
          <w:lang w:eastAsia="en-US"/>
        </w:rPr>
        <w:t>Также следует отметить, что не все положения, определенных законодательством в сфере образования, находят свое отражение в соответствующих нормативно-правовых актах органов исполн</w:t>
      </w:r>
      <w:r w:rsidRPr="00787EA7">
        <w:rPr>
          <w:sz w:val="22"/>
          <w:szCs w:val="22"/>
          <w:lang w:eastAsia="en-US"/>
        </w:rPr>
        <w:t>и</w:t>
      </w:r>
      <w:r w:rsidRPr="00787EA7">
        <w:rPr>
          <w:sz w:val="22"/>
          <w:szCs w:val="22"/>
          <w:lang w:eastAsia="en-US"/>
        </w:rPr>
        <w:lastRenderedPageBreak/>
        <w:t>тельной власти. Вследствие этого, возникают определенных сло</w:t>
      </w:r>
      <w:r w:rsidRPr="00787EA7">
        <w:rPr>
          <w:sz w:val="22"/>
          <w:szCs w:val="22"/>
          <w:lang w:eastAsia="en-US"/>
        </w:rPr>
        <w:t>ж</w:t>
      </w:r>
      <w:r w:rsidRPr="00787EA7">
        <w:rPr>
          <w:sz w:val="22"/>
          <w:szCs w:val="22"/>
          <w:lang w:eastAsia="en-US"/>
        </w:rPr>
        <w:t>ности в ходе исполнения указанных положений. Примером является проблема создания действенных механизмов по осуществлению контроля за исполнением норм законодательства, соблюдения г</w:t>
      </w:r>
      <w:r w:rsidRPr="00787EA7">
        <w:rPr>
          <w:sz w:val="22"/>
          <w:szCs w:val="22"/>
          <w:lang w:eastAsia="en-US"/>
        </w:rPr>
        <w:t>а</w:t>
      </w:r>
      <w:r w:rsidRPr="00787EA7">
        <w:rPr>
          <w:sz w:val="22"/>
          <w:szCs w:val="22"/>
          <w:lang w:eastAsia="en-US"/>
        </w:rPr>
        <w:t>рантий государства в сфере образования, защиты прав субъектов образовательного процесса[4].</w:t>
      </w:r>
    </w:p>
    <w:p w:rsidR="00787EA7" w:rsidRPr="00787EA7" w:rsidRDefault="00787EA7" w:rsidP="00787EA7">
      <w:pPr>
        <w:ind w:firstLine="425"/>
        <w:jc w:val="both"/>
        <w:rPr>
          <w:sz w:val="22"/>
          <w:szCs w:val="22"/>
          <w:lang w:eastAsia="en-US"/>
        </w:rPr>
      </w:pPr>
      <w:r w:rsidRPr="00787EA7">
        <w:rPr>
          <w:sz w:val="22"/>
          <w:szCs w:val="22"/>
          <w:lang w:eastAsia="en-US"/>
        </w:rPr>
        <w:t>Также положительным образом на степень самоорганизации студентами учебной деятельности влияют задания для подготовки к семинарам, традиционные рефераты, курсовые работы, проекты, участие в научных студенческих обществах, подготовка аттестац</w:t>
      </w:r>
      <w:r w:rsidRPr="00787EA7">
        <w:rPr>
          <w:sz w:val="22"/>
          <w:szCs w:val="22"/>
          <w:lang w:eastAsia="en-US"/>
        </w:rPr>
        <w:t>и</w:t>
      </w:r>
      <w:r w:rsidRPr="00787EA7">
        <w:rPr>
          <w:sz w:val="22"/>
          <w:szCs w:val="22"/>
          <w:lang w:eastAsia="en-US"/>
        </w:rPr>
        <w:t xml:space="preserve">онных работ бакалавриата, магистратуры и специалитета. </w:t>
      </w:r>
    </w:p>
    <w:p w:rsidR="00787EA7" w:rsidRPr="00787EA7" w:rsidRDefault="00787EA7" w:rsidP="00787EA7">
      <w:pPr>
        <w:ind w:firstLine="425"/>
        <w:jc w:val="both"/>
        <w:rPr>
          <w:sz w:val="22"/>
          <w:szCs w:val="22"/>
          <w:lang w:eastAsia="en-US"/>
        </w:rPr>
      </w:pPr>
      <w:r w:rsidRPr="00787EA7">
        <w:rPr>
          <w:sz w:val="22"/>
          <w:szCs w:val="22"/>
          <w:lang w:eastAsia="en-US"/>
        </w:rPr>
        <w:t>Таким образом, можно подвести итог, что системе образования Российской Федерации необходим активный поиск современных педагогических и социальных технологий развития данной сферы. Основной проблемой, требующей оперативного и эффективного решения, является изучение потребностей субъектов образовател</w:t>
      </w:r>
      <w:r w:rsidRPr="00787EA7">
        <w:rPr>
          <w:sz w:val="22"/>
          <w:szCs w:val="22"/>
          <w:lang w:eastAsia="en-US"/>
        </w:rPr>
        <w:t>ь</w:t>
      </w:r>
      <w:r w:rsidRPr="00787EA7">
        <w:rPr>
          <w:sz w:val="22"/>
          <w:szCs w:val="22"/>
          <w:lang w:eastAsia="en-US"/>
        </w:rPr>
        <w:t>ного процесса и формирование благоприятных условий для их уд</w:t>
      </w:r>
      <w:r w:rsidRPr="00787EA7">
        <w:rPr>
          <w:sz w:val="22"/>
          <w:szCs w:val="22"/>
          <w:lang w:eastAsia="en-US"/>
        </w:rPr>
        <w:t>о</w:t>
      </w:r>
      <w:r w:rsidRPr="00787EA7">
        <w:rPr>
          <w:sz w:val="22"/>
          <w:szCs w:val="22"/>
          <w:lang w:eastAsia="en-US"/>
        </w:rPr>
        <w:t xml:space="preserve">влетворения. </w:t>
      </w:r>
    </w:p>
    <w:p w:rsidR="00787EA7" w:rsidRPr="00787EA7" w:rsidRDefault="00787EA7" w:rsidP="00787EA7">
      <w:pPr>
        <w:ind w:firstLine="425"/>
        <w:jc w:val="both"/>
        <w:rPr>
          <w:sz w:val="22"/>
          <w:szCs w:val="22"/>
          <w:lang w:eastAsia="en-US"/>
        </w:rPr>
      </w:pPr>
    </w:p>
    <w:p w:rsidR="00787EA7" w:rsidRPr="00787EA7" w:rsidRDefault="00787EA7" w:rsidP="00787EA7">
      <w:pPr>
        <w:ind w:firstLine="425"/>
        <w:jc w:val="center"/>
        <w:rPr>
          <w:sz w:val="22"/>
          <w:szCs w:val="22"/>
          <w:lang w:eastAsia="en-US"/>
        </w:rPr>
      </w:pPr>
      <w:r w:rsidRPr="00787EA7">
        <w:rPr>
          <w:sz w:val="22"/>
          <w:szCs w:val="22"/>
          <w:lang w:eastAsia="en-US"/>
        </w:rPr>
        <w:t>Список литературы</w:t>
      </w:r>
    </w:p>
    <w:p w:rsidR="00787EA7" w:rsidRPr="00787EA7" w:rsidRDefault="00787EA7" w:rsidP="00787EA7">
      <w:pPr>
        <w:ind w:firstLine="425"/>
        <w:jc w:val="both"/>
        <w:rPr>
          <w:sz w:val="22"/>
          <w:szCs w:val="22"/>
          <w:lang w:eastAsia="en-US"/>
        </w:rPr>
      </w:pPr>
      <w:r w:rsidRPr="00787EA7">
        <w:rPr>
          <w:sz w:val="22"/>
          <w:szCs w:val="22"/>
          <w:lang w:eastAsia="en-US"/>
        </w:rPr>
        <w:t>1 Кучеренко В.В., Кудряков В.Г. Проблемы управления разв</w:t>
      </w:r>
      <w:r w:rsidRPr="00787EA7">
        <w:rPr>
          <w:sz w:val="22"/>
          <w:szCs w:val="22"/>
          <w:lang w:eastAsia="en-US"/>
        </w:rPr>
        <w:t>и</w:t>
      </w:r>
      <w:r w:rsidRPr="00787EA7">
        <w:rPr>
          <w:sz w:val="22"/>
          <w:szCs w:val="22"/>
          <w:lang w:eastAsia="en-US"/>
        </w:rPr>
        <w:t>тием дошкольных образовательных учреждений и его соверше</w:t>
      </w:r>
      <w:r w:rsidRPr="00787EA7">
        <w:rPr>
          <w:sz w:val="22"/>
          <w:szCs w:val="22"/>
          <w:lang w:eastAsia="en-US"/>
        </w:rPr>
        <w:t>н</w:t>
      </w:r>
      <w:r w:rsidRPr="00787EA7">
        <w:rPr>
          <w:sz w:val="22"/>
          <w:szCs w:val="22"/>
          <w:lang w:eastAsia="en-US"/>
        </w:rPr>
        <w:t>ствование / В сборнике: </w:t>
      </w:r>
      <w:hyperlink r:id="rId184" w:history="1">
        <w:r w:rsidRPr="00787EA7">
          <w:rPr>
            <w:sz w:val="22"/>
            <w:szCs w:val="22"/>
            <w:lang w:eastAsia="en-US"/>
          </w:rPr>
          <w:t>Экономика и управление: актуальные в</w:t>
        </w:r>
        <w:r w:rsidRPr="00787EA7">
          <w:rPr>
            <w:sz w:val="22"/>
            <w:szCs w:val="22"/>
            <w:lang w:eastAsia="en-US"/>
          </w:rPr>
          <w:t>о</w:t>
        </w:r>
        <w:r w:rsidRPr="00787EA7">
          <w:rPr>
            <w:sz w:val="22"/>
            <w:szCs w:val="22"/>
            <w:lang w:eastAsia="en-US"/>
          </w:rPr>
          <w:t>просы теории и практики</w:t>
        </w:r>
      </w:hyperlink>
      <w:r w:rsidRPr="00787EA7">
        <w:rPr>
          <w:sz w:val="22"/>
          <w:szCs w:val="22"/>
          <w:lang w:eastAsia="en-US"/>
        </w:rPr>
        <w:t> Материалы III международной научно-практической конференции . 2016. С. 185-189.</w:t>
      </w:r>
    </w:p>
    <w:p w:rsidR="00787EA7" w:rsidRPr="00787EA7" w:rsidRDefault="00787EA7" w:rsidP="00787EA7">
      <w:pPr>
        <w:ind w:firstLine="425"/>
        <w:jc w:val="both"/>
        <w:rPr>
          <w:sz w:val="22"/>
          <w:szCs w:val="22"/>
          <w:lang w:eastAsia="en-US"/>
        </w:rPr>
      </w:pPr>
      <w:r w:rsidRPr="00787EA7">
        <w:rPr>
          <w:sz w:val="22"/>
          <w:szCs w:val="22"/>
          <w:lang w:eastAsia="en-US"/>
        </w:rPr>
        <w:t>2. Барзаева М. А., Абдулазизова Э. А. Актуальные проблемы развития современного образования в России // Молодой ученый. - 2015. - №8. - С. 463-465.</w:t>
      </w:r>
    </w:p>
    <w:p w:rsidR="00787EA7" w:rsidRPr="00787EA7" w:rsidRDefault="00787EA7" w:rsidP="00787EA7">
      <w:pPr>
        <w:ind w:firstLine="425"/>
        <w:jc w:val="both"/>
        <w:rPr>
          <w:sz w:val="22"/>
          <w:szCs w:val="22"/>
          <w:lang w:eastAsia="en-US"/>
        </w:rPr>
      </w:pPr>
      <w:r w:rsidRPr="00787EA7">
        <w:rPr>
          <w:sz w:val="22"/>
          <w:szCs w:val="22"/>
          <w:lang w:eastAsia="en-US"/>
        </w:rPr>
        <w:t xml:space="preserve">3. Информационный портал FB.ru. Режим доступа - </w:t>
      </w:r>
      <w:hyperlink r:id="rId185" w:history="1">
        <w:r w:rsidRPr="00787EA7">
          <w:rPr>
            <w:rFonts w:eastAsia="Calibri"/>
            <w:sz w:val="22"/>
            <w:szCs w:val="22"/>
            <w:lang w:eastAsia="en-US"/>
          </w:rPr>
          <w:t>http://fb.ru/article/236778/problemyi-sovremennogo-obrazovaniya-i-nauki-puti-resheniya-problem-na-gosudarstvennom-urovne</w:t>
        </w:r>
      </w:hyperlink>
    </w:p>
    <w:p w:rsidR="00787EA7" w:rsidRPr="00787EA7" w:rsidRDefault="00787EA7" w:rsidP="00787EA7">
      <w:pPr>
        <w:ind w:firstLine="425"/>
        <w:jc w:val="both"/>
        <w:rPr>
          <w:sz w:val="22"/>
          <w:szCs w:val="22"/>
          <w:lang w:eastAsia="en-US"/>
        </w:rPr>
      </w:pPr>
      <w:r w:rsidRPr="00787EA7">
        <w:rPr>
          <w:sz w:val="22"/>
          <w:szCs w:val="22"/>
          <w:lang w:eastAsia="en-US"/>
        </w:rPr>
        <w:t>4. Сычанина С.Н., Худая А.О. К вопросу повышения эффе</w:t>
      </w:r>
      <w:r w:rsidRPr="00787EA7">
        <w:rPr>
          <w:sz w:val="22"/>
          <w:szCs w:val="22"/>
          <w:lang w:eastAsia="en-US"/>
        </w:rPr>
        <w:t>к</w:t>
      </w:r>
      <w:r w:rsidRPr="00787EA7">
        <w:rPr>
          <w:sz w:val="22"/>
          <w:szCs w:val="22"/>
          <w:lang w:eastAsia="en-US"/>
        </w:rPr>
        <w:t>тивности профессионального образования / В сборнике: </w:t>
      </w:r>
      <w:hyperlink r:id="rId186" w:history="1">
        <w:r w:rsidRPr="00787EA7">
          <w:rPr>
            <w:sz w:val="22"/>
            <w:szCs w:val="22"/>
            <w:lang w:eastAsia="en-US"/>
          </w:rPr>
          <w:t>Инновации в науке, образовании и бизнесе-2014</w:t>
        </w:r>
      </w:hyperlink>
      <w:r w:rsidRPr="00787EA7">
        <w:rPr>
          <w:sz w:val="22"/>
          <w:szCs w:val="22"/>
          <w:lang w:eastAsia="en-US"/>
        </w:rPr>
        <w:t> Труды XII Международной научной конференции. Под редакцией В.А. Волкогона. 2014. С. 219-222.</w:t>
      </w:r>
    </w:p>
    <w:p w:rsidR="00787EA7" w:rsidRDefault="00787EA7">
      <w:pPr>
        <w:rPr>
          <w:sz w:val="22"/>
          <w:szCs w:val="22"/>
        </w:rPr>
      </w:pPr>
    </w:p>
    <w:p w:rsidR="002200F0" w:rsidRDefault="002200F0">
      <w:pPr>
        <w:rPr>
          <w:sz w:val="22"/>
          <w:szCs w:val="22"/>
        </w:rPr>
      </w:pPr>
    </w:p>
    <w:p w:rsidR="00EC1A78" w:rsidRPr="001E2244" w:rsidRDefault="00EC1A78" w:rsidP="00EC1A78">
      <w:pPr>
        <w:rPr>
          <w:rFonts w:eastAsiaTheme="minorHAnsi"/>
          <w:sz w:val="22"/>
          <w:szCs w:val="22"/>
          <w:lang w:eastAsia="en-US"/>
        </w:rPr>
      </w:pPr>
      <w:r w:rsidRPr="00EC1A78">
        <w:rPr>
          <w:rFonts w:eastAsiaTheme="minorHAnsi"/>
          <w:sz w:val="22"/>
          <w:szCs w:val="22"/>
          <w:lang w:eastAsia="en-US"/>
        </w:rPr>
        <w:lastRenderedPageBreak/>
        <w:t>УДК 364.07</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Нормативно-правовые основы социальной </w:t>
      </w:r>
      <w:r w:rsidR="005879CD">
        <w:rPr>
          <w:rFonts w:eastAsiaTheme="minorHAnsi"/>
          <w:b/>
          <w:sz w:val="24"/>
          <w:szCs w:val="24"/>
          <w:lang w:eastAsia="en-US"/>
        </w:rPr>
        <w:br/>
      </w:r>
      <w:r w:rsidRPr="00EC1A78">
        <w:rPr>
          <w:rFonts w:eastAsiaTheme="minorHAnsi"/>
          <w:b/>
          <w:sz w:val="24"/>
          <w:szCs w:val="24"/>
          <w:lang w:eastAsia="en-US"/>
        </w:rPr>
        <w:t>защиты населения</w:t>
      </w:r>
    </w:p>
    <w:p w:rsidR="005879CD" w:rsidRPr="001E2244" w:rsidRDefault="00EC1A78" w:rsidP="001E2244">
      <w:pPr>
        <w:jc w:val="center"/>
        <w:rPr>
          <w:rFonts w:eastAsiaTheme="minorHAnsi"/>
          <w:b/>
          <w:sz w:val="24"/>
          <w:szCs w:val="24"/>
          <w:lang w:val="en-US" w:eastAsia="en-US"/>
        </w:rPr>
      </w:pPr>
      <w:r w:rsidRPr="00EC1A78">
        <w:rPr>
          <w:rFonts w:eastAsiaTheme="minorHAnsi"/>
          <w:b/>
          <w:sz w:val="24"/>
          <w:szCs w:val="24"/>
          <w:lang w:val="en-US" w:eastAsia="en-US"/>
        </w:rPr>
        <w:t xml:space="preserve">Normative and legal bases of social protection of the </w:t>
      </w:r>
      <w:r w:rsidR="001E2244" w:rsidRPr="001E2244">
        <w:rPr>
          <w:rFonts w:eastAsiaTheme="minorHAnsi"/>
          <w:b/>
          <w:sz w:val="24"/>
          <w:szCs w:val="24"/>
          <w:lang w:val="en-US" w:eastAsia="en-US"/>
        </w:rPr>
        <w:br/>
      </w:r>
      <w:r w:rsidRPr="00EC1A78">
        <w:rPr>
          <w:rFonts w:eastAsiaTheme="minorHAnsi"/>
          <w:b/>
          <w:sz w:val="24"/>
          <w:szCs w:val="24"/>
          <w:lang w:val="en-US" w:eastAsia="en-US"/>
        </w:rPr>
        <w:t>population</w:t>
      </w:r>
    </w:p>
    <w:p w:rsidR="00EC1A78" w:rsidRPr="005879CD" w:rsidRDefault="00EC1A78" w:rsidP="00EC1A78">
      <w:pPr>
        <w:jc w:val="right"/>
        <w:rPr>
          <w:rFonts w:eastAsiaTheme="minorHAnsi"/>
          <w:sz w:val="22"/>
          <w:szCs w:val="22"/>
          <w:lang w:eastAsia="en-US"/>
        </w:rPr>
      </w:pPr>
      <w:r w:rsidRPr="005879CD">
        <w:rPr>
          <w:rFonts w:eastAsiaTheme="minorHAnsi"/>
          <w:sz w:val="22"/>
          <w:szCs w:val="22"/>
          <w:lang w:eastAsia="en-US"/>
        </w:rPr>
        <w:t>Пальчиков Н.</w:t>
      </w:r>
      <w:r w:rsidR="005879CD" w:rsidRPr="005879CD">
        <w:rPr>
          <w:rFonts w:eastAsiaTheme="minorHAnsi"/>
          <w:sz w:val="22"/>
          <w:szCs w:val="22"/>
          <w:lang w:eastAsia="en-US"/>
        </w:rPr>
        <w:t xml:space="preserve"> </w:t>
      </w:r>
      <w:r w:rsidRPr="005879CD">
        <w:rPr>
          <w:rFonts w:eastAsiaTheme="minorHAnsi"/>
          <w:sz w:val="22"/>
          <w:szCs w:val="22"/>
          <w:lang w:eastAsia="en-US"/>
        </w:rPr>
        <w:t>В.</w:t>
      </w:r>
      <w:r w:rsidR="005879CD" w:rsidRPr="005879CD">
        <w:rPr>
          <w:rFonts w:eastAsiaTheme="minorHAnsi"/>
          <w:sz w:val="22"/>
          <w:szCs w:val="22"/>
          <w:lang w:eastAsia="en-US"/>
        </w:rPr>
        <w:t>,</w:t>
      </w:r>
    </w:p>
    <w:p w:rsidR="00EC1A78" w:rsidRPr="005879CD" w:rsidRDefault="00EC1A78" w:rsidP="00EC1A78">
      <w:pPr>
        <w:jc w:val="right"/>
        <w:rPr>
          <w:rFonts w:eastAsiaTheme="minorHAnsi"/>
          <w:sz w:val="22"/>
          <w:szCs w:val="22"/>
          <w:lang w:eastAsia="en-US"/>
        </w:rPr>
      </w:pPr>
      <w:r w:rsidRPr="005879CD">
        <w:rPr>
          <w:rFonts w:eastAsiaTheme="minorHAnsi"/>
          <w:sz w:val="22"/>
          <w:szCs w:val="22"/>
          <w:lang w:eastAsia="en-US"/>
        </w:rPr>
        <w:t>студент 4-го курса факультета управления</w:t>
      </w:r>
    </w:p>
    <w:p w:rsidR="005879CD" w:rsidRPr="00787EA7" w:rsidRDefault="005879CD" w:rsidP="005879CD">
      <w:pPr>
        <w:ind w:firstLine="708"/>
        <w:jc w:val="right"/>
        <w:rPr>
          <w:bCs/>
          <w:sz w:val="22"/>
          <w:szCs w:val="22"/>
          <w:lang w:eastAsia="en-US"/>
        </w:rPr>
      </w:pPr>
      <w:r w:rsidRPr="00787EA7">
        <w:rPr>
          <w:bCs/>
          <w:sz w:val="22"/>
          <w:szCs w:val="22"/>
          <w:lang w:eastAsia="en-US"/>
        </w:rPr>
        <w:t>Кубанский государственный аграрный</w:t>
      </w:r>
    </w:p>
    <w:p w:rsidR="005879CD" w:rsidRPr="00787EA7" w:rsidRDefault="005879CD" w:rsidP="005879CD">
      <w:pPr>
        <w:ind w:firstLine="708"/>
        <w:jc w:val="right"/>
        <w:rPr>
          <w:bCs/>
          <w:sz w:val="22"/>
          <w:szCs w:val="22"/>
          <w:lang w:eastAsia="en-US"/>
        </w:rPr>
      </w:pPr>
      <w:r w:rsidRPr="00787EA7">
        <w:rPr>
          <w:bCs/>
          <w:sz w:val="22"/>
          <w:szCs w:val="22"/>
          <w:lang w:eastAsia="en-US"/>
        </w:rPr>
        <w:t>университет им. И.</w:t>
      </w:r>
      <w:r>
        <w:rPr>
          <w:bCs/>
          <w:sz w:val="22"/>
          <w:szCs w:val="22"/>
          <w:lang w:eastAsia="en-US"/>
        </w:rPr>
        <w:t xml:space="preserve"> </w:t>
      </w:r>
      <w:r w:rsidRPr="00787EA7">
        <w:rPr>
          <w:bCs/>
          <w:sz w:val="22"/>
          <w:szCs w:val="22"/>
          <w:lang w:eastAsia="en-US"/>
        </w:rPr>
        <w:t>Т.</w:t>
      </w:r>
      <w:r>
        <w:rPr>
          <w:bCs/>
          <w:sz w:val="22"/>
          <w:szCs w:val="22"/>
          <w:lang w:eastAsia="en-US"/>
        </w:rPr>
        <w:t xml:space="preserve"> </w:t>
      </w:r>
      <w:r w:rsidRPr="00787EA7">
        <w:rPr>
          <w:bCs/>
          <w:sz w:val="22"/>
          <w:szCs w:val="22"/>
          <w:lang w:eastAsia="en-US"/>
        </w:rPr>
        <w:t>Трубилина</w:t>
      </w:r>
    </w:p>
    <w:p w:rsidR="00EC1A78" w:rsidRPr="00EC1A78" w:rsidRDefault="00EC1A78" w:rsidP="007130E4">
      <w:pPr>
        <w:rPr>
          <w:rFonts w:eastAsiaTheme="minorHAnsi"/>
          <w:sz w:val="24"/>
          <w:szCs w:val="24"/>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Изучены нормативно-правовые основы упра</w:t>
      </w:r>
      <w:r w:rsidRPr="00EC1A78">
        <w:rPr>
          <w:rFonts w:eastAsiaTheme="minorHAnsi"/>
          <w:sz w:val="22"/>
          <w:szCs w:val="22"/>
          <w:lang w:eastAsia="en-US"/>
        </w:rPr>
        <w:t>в</w:t>
      </w:r>
      <w:r w:rsidRPr="00EC1A78">
        <w:rPr>
          <w:rFonts w:eastAsiaTheme="minorHAnsi"/>
          <w:sz w:val="22"/>
          <w:szCs w:val="22"/>
          <w:lang w:eastAsia="en-US"/>
        </w:rPr>
        <w:t>ления социальной защиты населения. Доказана необходимость нормативно-правовых основ в управлении социальной защитой населения.</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The regulatory and legal foundations of the manag</w:t>
      </w:r>
      <w:r w:rsidRPr="00EC1A78">
        <w:rPr>
          <w:rFonts w:eastAsiaTheme="minorHAnsi"/>
          <w:sz w:val="22"/>
          <w:szCs w:val="22"/>
          <w:lang w:val="en-US" w:eastAsia="en-US"/>
        </w:rPr>
        <w:t>e</w:t>
      </w:r>
      <w:r w:rsidRPr="00EC1A78">
        <w:rPr>
          <w:rFonts w:eastAsiaTheme="minorHAnsi"/>
          <w:sz w:val="22"/>
          <w:szCs w:val="22"/>
          <w:lang w:val="en-US" w:eastAsia="en-US"/>
        </w:rPr>
        <w:t>ment of social protection of the population have been studied. The n</w:t>
      </w:r>
      <w:r w:rsidRPr="00EC1A78">
        <w:rPr>
          <w:rFonts w:eastAsiaTheme="minorHAnsi"/>
          <w:sz w:val="22"/>
          <w:szCs w:val="22"/>
          <w:lang w:val="en-US" w:eastAsia="en-US"/>
        </w:rPr>
        <w:t>e</w:t>
      </w:r>
      <w:r w:rsidRPr="00EC1A78">
        <w:rPr>
          <w:rFonts w:eastAsiaTheme="minorHAnsi"/>
          <w:sz w:val="22"/>
          <w:szCs w:val="22"/>
          <w:lang w:val="en-US" w:eastAsia="en-US"/>
        </w:rPr>
        <w:t>cessity of normative and legal bases in the management of social prote</w:t>
      </w:r>
      <w:r w:rsidRPr="00EC1A78">
        <w:rPr>
          <w:rFonts w:eastAsiaTheme="minorHAnsi"/>
          <w:sz w:val="22"/>
          <w:szCs w:val="22"/>
          <w:lang w:val="en-US" w:eastAsia="en-US"/>
        </w:rPr>
        <w:t>c</w:t>
      </w:r>
      <w:r w:rsidRPr="00EC1A78">
        <w:rPr>
          <w:rFonts w:eastAsiaTheme="minorHAnsi"/>
          <w:sz w:val="22"/>
          <w:szCs w:val="22"/>
          <w:lang w:val="en-US" w:eastAsia="en-US"/>
        </w:rPr>
        <w:t>tion of the population is proved.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нормативно-правовые основы, социал</w:t>
      </w:r>
      <w:r w:rsidRPr="00EC1A78">
        <w:rPr>
          <w:rFonts w:eastAsiaTheme="minorHAnsi"/>
          <w:sz w:val="22"/>
          <w:szCs w:val="22"/>
          <w:lang w:eastAsia="en-US"/>
        </w:rPr>
        <w:t>ь</w:t>
      </w:r>
      <w:r w:rsidRPr="00EC1A78">
        <w:rPr>
          <w:rFonts w:eastAsiaTheme="minorHAnsi"/>
          <w:sz w:val="22"/>
          <w:szCs w:val="22"/>
          <w:lang w:eastAsia="en-US"/>
        </w:rPr>
        <w:t>ная защита, население, федеральный закон, социальное обеспеч</w:t>
      </w:r>
      <w:r w:rsidRPr="00EC1A78">
        <w:rPr>
          <w:rFonts w:eastAsiaTheme="minorHAnsi"/>
          <w:sz w:val="22"/>
          <w:szCs w:val="22"/>
          <w:lang w:eastAsia="en-US"/>
        </w:rPr>
        <w:t>е</w:t>
      </w:r>
      <w:r w:rsidRPr="00EC1A78">
        <w:rPr>
          <w:rFonts w:eastAsiaTheme="minorHAnsi"/>
          <w:sz w:val="22"/>
          <w:szCs w:val="22"/>
          <w:lang w:eastAsia="en-US"/>
        </w:rPr>
        <w:t>ние, граждане.</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normative-legal bases, social protection, population, federal law, social security, citizens.</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Одной из важнейших функций государства является социал</w:t>
      </w:r>
      <w:r w:rsidRPr="00EC1A78">
        <w:rPr>
          <w:rFonts w:eastAsiaTheme="minorHAnsi"/>
          <w:sz w:val="22"/>
          <w:szCs w:val="22"/>
          <w:lang w:eastAsia="en-US"/>
        </w:rPr>
        <w:t>ь</w:t>
      </w:r>
      <w:r w:rsidRPr="00EC1A78">
        <w:rPr>
          <w:rFonts w:eastAsiaTheme="minorHAnsi"/>
          <w:sz w:val="22"/>
          <w:szCs w:val="22"/>
          <w:lang w:eastAsia="en-US"/>
        </w:rPr>
        <w:t>ная защита населения. Существует комплексная конституционно-правовая база и различные международные акты о правах и своб</w:t>
      </w:r>
      <w:r w:rsidRPr="00EC1A78">
        <w:rPr>
          <w:rFonts w:eastAsiaTheme="minorHAnsi"/>
          <w:sz w:val="22"/>
          <w:szCs w:val="22"/>
          <w:lang w:eastAsia="en-US"/>
        </w:rPr>
        <w:t>о</w:t>
      </w:r>
      <w:r w:rsidRPr="00EC1A78">
        <w:rPr>
          <w:rFonts w:eastAsiaTheme="minorHAnsi"/>
          <w:sz w:val="22"/>
          <w:szCs w:val="22"/>
          <w:lang w:eastAsia="en-US"/>
        </w:rPr>
        <w:t>дах человека, на которых и основывается социальная защита нас</w:t>
      </w:r>
      <w:r w:rsidRPr="00EC1A78">
        <w:rPr>
          <w:rFonts w:eastAsiaTheme="minorHAnsi"/>
          <w:sz w:val="22"/>
          <w:szCs w:val="22"/>
          <w:lang w:eastAsia="en-US"/>
        </w:rPr>
        <w:t>е</w:t>
      </w:r>
      <w:r w:rsidRPr="00EC1A78">
        <w:rPr>
          <w:rFonts w:eastAsiaTheme="minorHAnsi"/>
          <w:sz w:val="22"/>
          <w:szCs w:val="22"/>
          <w:lang w:eastAsia="en-US"/>
        </w:rPr>
        <w:t>ления.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Основные права и обязанности граждан гарантируются гос</w:t>
      </w:r>
      <w:r w:rsidRPr="00EC1A78">
        <w:rPr>
          <w:rFonts w:eastAsiaTheme="minorHAnsi"/>
          <w:sz w:val="22"/>
          <w:szCs w:val="22"/>
          <w:lang w:eastAsia="en-US"/>
        </w:rPr>
        <w:t>у</w:t>
      </w:r>
      <w:r w:rsidRPr="00EC1A78">
        <w:rPr>
          <w:rFonts w:eastAsiaTheme="minorHAnsi"/>
          <w:sz w:val="22"/>
          <w:szCs w:val="22"/>
          <w:lang w:eastAsia="en-US"/>
        </w:rPr>
        <w:t>дарством в Конституции [1]. Помимо того, что Конституция пр</w:t>
      </w:r>
      <w:r w:rsidRPr="00EC1A78">
        <w:rPr>
          <w:rFonts w:eastAsiaTheme="minorHAnsi"/>
          <w:sz w:val="22"/>
          <w:szCs w:val="22"/>
          <w:lang w:eastAsia="en-US"/>
        </w:rPr>
        <w:t>о</w:t>
      </w:r>
      <w:r w:rsidRPr="00EC1A78">
        <w:rPr>
          <w:rFonts w:eastAsiaTheme="minorHAnsi"/>
          <w:sz w:val="22"/>
          <w:szCs w:val="22"/>
          <w:lang w:eastAsia="en-US"/>
        </w:rPr>
        <w:t>возглашает право граждан на социальную защиту, она также опр</w:t>
      </w:r>
      <w:r w:rsidRPr="00EC1A78">
        <w:rPr>
          <w:rFonts w:eastAsiaTheme="minorHAnsi"/>
          <w:sz w:val="22"/>
          <w:szCs w:val="22"/>
          <w:lang w:eastAsia="en-US"/>
        </w:rPr>
        <w:t>е</w:t>
      </w:r>
      <w:r w:rsidRPr="00EC1A78">
        <w:rPr>
          <w:rFonts w:eastAsiaTheme="minorHAnsi"/>
          <w:sz w:val="22"/>
          <w:szCs w:val="22"/>
          <w:lang w:eastAsia="en-US"/>
        </w:rPr>
        <w:t>деляет пути его реализации и исполнения.</w:t>
      </w:r>
    </w:p>
    <w:p w:rsidR="00EC1A78" w:rsidRPr="00EC1A78" w:rsidRDefault="00EC1A78" w:rsidP="001E2244">
      <w:pPr>
        <w:ind w:firstLine="426"/>
        <w:jc w:val="both"/>
        <w:rPr>
          <w:rFonts w:eastAsiaTheme="minorHAnsi"/>
          <w:sz w:val="22"/>
          <w:szCs w:val="22"/>
          <w:lang w:eastAsia="en-US"/>
        </w:rPr>
      </w:pPr>
      <w:r w:rsidRPr="00EC1A78">
        <w:rPr>
          <w:rFonts w:eastAsiaTheme="minorHAnsi"/>
          <w:sz w:val="22"/>
          <w:szCs w:val="22"/>
          <w:lang w:eastAsia="en-US"/>
        </w:rPr>
        <w:t>Вместе с этим под охраной государства находятся трудовые права граждан. Установлен гарантированный минимальный размер оплаты трудовой деятельности, также существует государственная опека семьи, материнства, пожилых граждан и инвалидов, сове</w:t>
      </w:r>
      <w:r w:rsidRPr="00EC1A78">
        <w:rPr>
          <w:rFonts w:eastAsiaTheme="minorHAnsi"/>
          <w:sz w:val="22"/>
          <w:szCs w:val="22"/>
          <w:lang w:eastAsia="en-US"/>
        </w:rPr>
        <w:t>р</w:t>
      </w:r>
      <w:r w:rsidRPr="00EC1A78">
        <w:rPr>
          <w:rFonts w:eastAsiaTheme="minorHAnsi"/>
          <w:sz w:val="22"/>
          <w:szCs w:val="22"/>
          <w:lang w:eastAsia="en-US"/>
        </w:rPr>
        <w:lastRenderedPageBreak/>
        <w:t>шенствуется система социальных служб, утверждаются госуда</w:t>
      </w:r>
      <w:r w:rsidRPr="00EC1A78">
        <w:rPr>
          <w:rFonts w:eastAsiaTheme="minorHAnsi"/>
          <w:sz w:val="22"/>
          <w:szCs w:val="22"/>
          <w:lang w:eastAsia="en-US"/>
        </w:rPr>
        <w:t>р</w:t>
      </w:r>
      <w:r w:rsidRPr="00EC1A78">
        <w:rPr>
          <w:rFonts w:eastAsiaTheme="minorHAnsi"/>
          <w:sz w:val="22"/>
          <w:szCs w:val="22"/>
          <w:lang w:eastAsia="en-US"/>
        </w:rPr>
        <w:t>ственные пенсии, пособия и иные гарантии необходимой социал</w:t>
      </w:r>
      <w:r w:rsidRPr="00EC1A78">
        <w:rPr>
          <w:rFonts w:eastAsiaTheme="minorHAnsi"/>
          <w:sz w:val="22"/>
          <w:szCs w:val="22"/>
          <w:lang w:eastAsia="en-US"/>
        </w:rPr>
        <w:t>ь</w:t>
      </w:r>
      <w:r w:rsidRPr="00EC1A78">
        <w:rPr>
          <w:rFonts w:eastAsiaTheme="minorHAnsi"/>
          <w:sz w:val="22"/>
          <w:szCs w:val="22"/>
          <w:lang w:eastAsia="en-US"/>
        </w:rPr>
        <w:t>ной защиты.</w:t>
      </w:r>
      <w:r w:rsidR="001E2244">
        <w:rPr>
          <w:rFonts w:eastAsiaTheme="minorHAnsi"/>
          <w:sz w:val="22"/>
          <w:szCs w:val="22"/>
          <w:lang w:eastAsia="en-US"/>
        </w:rPr>
        <w:t xml:space="preserve"> </w:t>
      </w:r>
      <w:r w:rsidRPr="00EC1A78">
        <w:rPr>
          <w:rFonts w:eastAsiaTheme="minorHAnsi"/>
          <w:sz w:val="22"/>
          <w:szCs w:val="22"/>
          <w:lang w:eastAsia="en-US"/>
        </w:rPr>
        <w:t>Каждый гражданин имеет право на социальную защ</w:t>
      </w:r>
      <w:r w:rsidRPr="00EC1A78">
        <w:rPr>
          <w:rFonts w:eastAsiaTheme="minorHAnsi"/>
          <w:sz w:val="22"/>
          <w:szCs w:val="22"/>
          <w:lang w:eastAsia="en-US"/>
        </w:rPr>
        <w:t>и</w:t>
      </w:r>
      <w:r w:rsidRPr="00EC1A78">
        <w:rPr>
          <w:rFonts w:eastAsiaTheme="minorHAnsi"/>
          <w:sz w:val="22"/>
          <w:szCs w:val="22"/>
          <w:lang w:eastAsia="en-US"/>
        </w:rPr>
        <w:t xml:space="preserve">ту независимо от своего положения и статуса.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Гарантировать права и свободы недостаточно, нужен также и контроль над их исполнением. Для этого принимаются федерал</w:t>
      </w:r>
      <w:r w:rsidRPr="00EC1A78">
        <w:rPr>
          <w:rFonts w:eastAsiaTheme="minorHAnsi"/>
          <w:sz w:val="22"/>
          <w:szCs w:val="22"/>
          <w:lang w:eastAsia="en-US"/>
        </w:rPr>
        <w:t>ь</w:t>
      </w:r>
      <w:r w:rsidRPr="00EC1A78">
        <w:rPr>
          <w:rFonts w:eastAsiaTheme="minorHAnsi"/>
          <w:sz w:val="22"/>
          <w:szCs w:val="22"/>
          <w:lang w:eastAsia="en-US"/>
        </w:rPr>
        <w:t>ные законы, обеспечивающие более точное регулирование нюан</w:t>
      </w:r>
      <w:r w:rsidRPr="00EC1A78">
        <w:rPr>
          <w:rFonts w:eastAsiaTheme="minorHAnsi"/>
          <w:sz w:val="22"/>
          <w:szCs w:val="22"/>
          <w:lang w:eastAsia="en-US"/>
        </w:rPr>
        <w:t>с</w:t>
      </w:r>
      <w:r w:rsidRPr="00EC1A78">
        <w:rPr>
          <w:rFonts w:eastAsiaTheme="minorHAnsi"/>
          <w:sz w:val="22"/>
          <w:szCs w:val="22"/>
          <w:lang w:eastAsia="en-US"/>
        </w:rPr>
        <w:t>ных и узкоспециализированных вопросов в сфере социальной защ</w:t>
      </w:r>
      <w:r w:rsidRPr="00EC1A78">
        <w:rPr>
          <w:rFonts w:eastAsiaTheme="minorHAnsi"/>
          <w:sz w:val="22"/>
          <w:szCs w:val="22"/>
          <w:lang w:eastAsia="en-US"/>
        </w:rPr>
        <w:t>и</w:t>
      </w:r>
      <w:r w:rsidRPr="00EC1A78">
        <w:rPr>
          <w:rFonts w:eastAsiaTheme="minorHAnsi"/>
          <w:sz w:val="22"/>
          <w:szCs w:val="22"/>
          <w:lang w:eastAsia="en-US"/>
        </w:rPr>
        <w:t>ты населения. Так, 23 декабря 2013 года был принят Федеральный закон "Об основах социального обслуживания граждан в Росси</w:t>
      </w:r>
      <w:r w:rsidRPr="00EC1A78">
        <w:rPr>
          <w:rFonts w:eastAsiaTheme="minorHAnsi"/>
          <w:sz w:val="22"/>
          <w:szCs w:val="22"/>
          <w:lang w:eastAsia="en-US"/>
        </w:rPr>
        <w:t>й</w:t>
      </w:r>
      <w:r w:rsidRPr="00EC1A78">
        <w:rPr>
          <w:rFonts w:eastAsiaTheme="minorHAnsi"/>
          <w:sz w:val="22"/>
          <w:szCs w:val="22"/>
          <w:lang w:eastAsia="en-US"/>
        </w:rPr>
        <w:t>ской Федерации" [2]. Можно смело сказать, что этот закон является основным для института социального обслуживания. Этот закон закрепляет основы правового регулирования в области социального обеспечения граждан, в нем выделяются основополагающие при</w:t>
      </w:r>
      <w:r w:rsidRPr="00EC1A78">
        <w:rPr>
          <w:rFonts w:eastAsiaTheme="minorHAnsi"/>
          <w:sz w:val="22"/>
          <w:szCs w:val="22"/>
          <w:lang w:eastAsia="en-US"/>
        </w:rPr>
        <w:t>н</w:t>
      </w:r>
      <w:r w:rsidRPr="00EC1A78">
        <w:rPr>
          <w:rFonts w:eastAsiaTheme="minorHAnsi"/>
          <w:sz w:val="22"/>
          <w:szCs w:val="22"/>
          <w:lang w:eastAsia="en-US"/>
        </w:rPr>
        <w:t>ципы социального обслуживания населения: адресность,  досту</w:t>
      </w:r>
      <w:r w:rsidRPr="00EC1A78">
        <w:rPr>
          <w:rFonts w:eastAsiaTheme="minorHAnsi"/>
          <w:sz w:val="22"/>
          <w:szCs w:val="22"/>
          <w:lang w:eastAsia="en-US"/>
        </w:rPr>
        <w:t>п</w:t>
      </w:r>
      <w:r w:rsidRPr="00EC1A78">
        <w:rPr>
          <w:rFonts w:eastAsiaTheme="minorHAnsi"/>
          <w:sz w:val="22"/>
          <w:szCs w:val="22"/>
          <w:lang w:eastAsia="en-US"/>
        </w:rPr>
        <w:t>ность, добровольность, гуманность, приоритетность, конфиденц</w:t>
      </w:r>
      <w:r w:rsidRPr="00EC1A78">
        <w:rPr>
          <w:rFonts w:eastAsiaTheme="minorHAnsi"/>
          <w:sz w:val="22"/>
          <w:szCs w:val="22"/>
          <w:lang w:eastAsia="en-US"/>
        </w:rPr>
        <w:t>и</w:t>
      </w:r>
      <w:r w:rsidRPr="00EC1A78">
        <w:rPr>
          <w:rFonts w:eastAsiaTheme="minorHAnsi"/>
          <w:sz w:val="22"/>
          <w:szCs w:val="22"/>
          <w:lang w:eastAsia="en-US"/>
        </w:rPr>
        <w:t xml:space="preserve">альность.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Другим важным законом является Федеральный закон от 16 июля 1999 г. «Об основах обязательного социального страхования» [3]. Он заложил основные принципы осуществления обязательного социального страхования, регламентировал виды социальных ри</w:t>
      </w:r>
      <w:r w:rsidRPr="00EC1A78">
        <w:rPr>
          <w:rFonts w:eastAsiaTheme="minorHAnsi"/>
          <w:sz w:val="22"/>
          <w:szCs w:val="22"/>
          <w:lang w:eastAsia="en-US"/>
        </w:rPr>
        <w:t>с</w:t>
      </w:r>
      <w:r w:rsidRPr="00EC1A78">
        <w:rPr>
          <w:rFonts w:eastAsiaTheme="minorHAnsi"/>
          <w:sz w:val="22"/>
          <w:szCs w:val="22"/>
          <w:lang w:eastAsia="en-US"/>
        </w:rPr>
        <w:t>ков, установил страховые случаи, виды страхового обеспечения по обязательному социальному страхованию, определил права и об</w:t>
      </w:r>
      <w:r w:rsidRPr="00EC1A78">
        <w:rPr>
          <w:rFonts w:eastAsiaTheme="minorHAnsi"/>
          <w:sz w:val="22"/>
          <w:szCs w:val="22"/>
          <w:lang w:eastAsia="en-US"/>
        </w:rPr>
        <w:t>я</w:t>
      </w:r>
      <w:r w:rsidRPr="00EC1A78">
        <w:rPr>
          <w:rFonts w:eastAsiaTheme="minorHAnsi"/>
          <w:sz w:val="22"/>
          <w:szCs w:val="22"/>
          <w:lang w:eastAsia="en-US"/>
        </w:rPr>
        <w:t>занности субъектов обязательного социального страхования.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Несколько действующих законов регулируют пенсионное обеспечение различных категорий граждан, например, Федерал</w:t>
      </w:r>
      <w:r w:rsidRPr="00EC1A78">
        <w:rPr>
          <w:rFonts w:eastAsiaTheme="minorHAnsi"/>
          <w:sz w:val="22"/>
          <w:szCs w:val="22"/>
          <w:lang w:eastAsia="en-US"/>
        </w:rPr>
        <w:t>ь</w:t>
      </w:r>
      <w:r w:rsidRPr="00EC1A78">
        <w:rPr>
          <w:rFonts w:eastAsiaTheme="minorHAnsi"/>
          <w:sz w:val="22"/>
          <w:szCs w:val="22"/>
          <w:lang w:eastAsia="en-US"/>
        </w:rPr>
        <w:t>ный закон от 28.12.2013 N 400-ФЗ "О страховых пенсиях"[4] и Ф</w:t>
      </w:r>
      <w:r w:rsidRPr="00EC1A78">
        <w:rPr>
          <w:rFonts w:eastAsiaTheme="minorHAnsi"/>
          <w:sz w:val="22"/>
          <w:szCs w:val="22"/>
          <w:lang w:eastAsia="en-US"/>
        </w:rPr>
        <w:t>е</w:t>
      </w:r>
      <w:r w:rsidRPr="00EC1A78">
        <w:rPr>
          <w:rFonts w:eastAsiaTheme="minorHAnsi"/>
          <w:sz w:val="22"/>
          <w:szCs w:val="22"/>
          <w:lang w:eastAsia="en-US"/>
        </w:rPr>
        <w:t>деральный закон от 15.12.2001 г. № 166-ФЗ «О государственном пенсионном обеспечении в Российской Федерации [5].</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Огромное значение в осуществлении социальной защиты ра</w:t>
      </w:r>
      <w:r w:rsidRPr="00EC1A78">
        <w:rPr>
          <w:rFonts w:eastAsiaTheme="minorHAnsi"/>
          <w:sz w:val="22"/>
          <w:szCs w:val="22"/>
          <w:lang w:eastAsia="en-US"/>
        </w:rPr>
        <w:t>з</w:t>
      </w:r>
      <w:r w:rsidRPr="00EC1A78">
        <w:rPr>
          <w:rFonts w:eastAsiaTheme="minorHAnsi"/>
          <w:sz w:val="22"/>
          <w:szCs w:val="22"/>
          <w:lang w:eastAsia="en-US"/>
        </w:rPr>
        <w:t>личных категорий граждан имеет целый ряд принятых социальных программ. Целевые программы призваны наиболее эффективно направлять ограниченные ресурсы государства на социальную по</w:t>
      </w:r>
      <w:r w:rsidRPr="00EC1A78">
        <w:rPr>
          <w:rFonts w:eastAsiaTheme="minorHAnsi"/>
          <w:sz w:val="22"/>
          <w:szCs w:val="22"/>
          <w:lang w:eastAsia="en-US"/>
        </w:rPr>
        <w:t>д</w:t>
      </w:r>
      <w:r w:rsidRPr="00EC1A78">
        <w:rPr>
          <w:rFonts w:eastAsiaTheme="minorHAnsi"/>
          <w:sz w:val="22"/>
          <w:szCs w:val="22"/>
          <w:lang w:eastAsia="en-US"/>
        </w:rPr>
        <w:t>держку граждан, обеспечивать всестороннее и качественное обсл</w:t>
      </w:r>
      <w:r w:rsidRPr="00EC1A78">
        <w:rPr>
          <w:rFonts w:eastAsiaTheme="minorHAnsi"/>
          <w:sz w:val="22"/>
          <w:szCs w:val="22"/>
          <w:lang w:eastAsia="en-US"/>
        </w:rPr>
        <w:t>у</w:t>
      </w:r>
      <w:r w:rsidRPr="00EC1A78">
        <w:rPr>
          <w:rFonts w:eastAsiaTheme="minorHAnsi"/>
          <w:sz w:val="22"/>
          <w:szCs w:val="22"/>
          <w:lang w:eastAsia="en-US"/>
        </w:rPr>
        <w:t>живание нуждающихся групп населения.</w:t>
      </w:r>
    </w:p>
    <w:p w:rsidR="00EC1A78" w:rsidRPr="00EC1A78" w:rsidRDefault="00EC1A78" w:rsidP="007130E4">
      <w:pPr>
        <w:ind w:firstLine="426"/>
        <w:jc w:val="both"/>
        <w:rPr>
          <w:rFonts w:eastAsiaTheme="minorHAnsi"/>
          <w:sz w:val="22"/>
          <w:szCs w:val="22"/>
          <w:lang w:eastAsia="en-US"/>
        </w:rPr>
      </w:pPr>
      <w:r w:rsidRPr="00EC1A78">
        <w:rPr>
          <w:rFonts w:eastAsiaTheme="minorHAnsi"/>
          <w:sz w:val="22"/>
          <w:szCs w:val="22"/>
          <w:lang w:eastAsia="en-US"/>
        </w:rPr>
        <w:t>Как и в любой сфере, немаловажную роль в организации соц</w:t>
      </w:r>
      <w:r w:rsidRPr="00EC1A78">
        <w:rPr>
          <w:rFonts w:eastAsiaTheme="minorHAnsi"/>
          <w:sz w:val="22"/>
          <w:szCs w:val="22"/>
          <w:lang w:eastAsia="en-US"/>
        </w:rPr>
        <w:t>и</w:t>
      </w:r>
      <w:r w:rsidRPr="00EC1A78">
        <w:rPr>
          <w:rFonts w:eastAsiaTheme="minorHAnsi"/>
          <w:sz w:val="22"/>
          <w:szCs w:val="22"/>
          <w:lang w:eastAsia="en-US"/>
        </w:rPr>
        <w:t>ального обеспечения играет человеческий фактор, который проя</w:t>
      </w:r>
      <w:r w:rsidRPr="00EC1A78">
        <w:rPr>
          <w:rFonts w:eastAsiaTheme="minorHAnsi"/>
          <w:sz w:val="22"/>
          <w:szCs w:val="22"/>
          <w:lang w:eastAsia="en-US"/>
        </w:rPr>
        <w:t>в</w:t>
      </w:r>
      <w:r w:rsidRPr="00EC1A78">
        <w:rPr>
          <w:rFonts w:eastAsiaTheme="minorHAnsi"/>
          <w:sz w:val="22"/>
          <w:szCs w:val="22"/>
          <w:lang w:eastAsia="en-US"/>
        </w:rPr>
        <w:t xml:space="preserve">ляет себя на всех уровнях политики социального обеспечения: как </w:t>
      </w:r>
      <w:r w:rsidRPr="00EC1A78">
        <w:rPr>
          <w:rFonts w:eastAsiaTheme="minorHAnsi"/>
          <w:sz w:val="22"/>
          <w:szCs w:val="22"/>
          <w:lang w:eastAsia="en-US"/>
        </w:rPr>
        <w:lastRenderedPageBreak/>
        <w:t>законодательного, так и исполнительного. Равнодушное и отстр</w:t>
      </w:r>
      <w:r w:rsidRPr="00EC1A78">
        <w:rPr>
          <w:rFonts w:eastAsiaTheme="minorHAnsi"/>
          <w:sz w:val="22"/>
          <w:szCs w:val="22"/>
          <w:lang w:eastAsia="en-US"/>
        </w:rPr>
        <w:t>а</w:t>
      </w:r>
      <w:r w:rsidRPr="00EC1A78">
        <w:rPr>
          <w:rFonts w:eastAsiaTheme="minorHAnsi"/>
          <w:sz w:val="22"/>
          <w:szCs w:val="22"/>
          <w:lang w:eastAsia="en-US"/>
        </w:rPr>
        <w:t>ненное отношение должностных лиц к своей работе и обязанн</w:t>
      </w:r>
      <w:r w:rsidRPr="00EC1A78">
        <w:rPr>
          <w:rFonts w:eastAsiaTheme="minorHAnsi"/>
          <w:sz w:val="22"/>
          <w:szCs w:val="22"/>
          <w:lang w:eastAsia="en-US"/>
        </w:rPr>
        <w:t>о</w:t>
      </w:r>
      <w:r w:rsidRPr="00EC1A78">
        <w:rPr>
          <w:rFonts w:eastAsiaTheme="minorHAnsi"/>
          <w:sz w:val="22"/>
          <w:szCs w:val="22"/>
          <w:lang w:eastAsia="en-US"/>
        </w:rPr>
        <w:t>стям, недостаточная юридическая подкованность граждан приводят к тому, что правовые нормы защиты населения не срабатывают в должной мере. Поэтому дальнейшее развитие и совершенствование системы социальной защиты населения требует серьезного подхода к урегулированию правовых вопросов и проблем социального обе</w:t>
      </w:r>
      <w:r w:rsidRPr="00EC1A78">
        <w:rPr>
          <w:rFonts w:eastAsiaTheme="minorHAnsi"/>
          <w:sz w:val="22"/>
          <w:szCs w:val="22"/>
          <w:lang w:eastAsia="en-US"/>
        </w:rPr>
        <w:t>с</w:t>
      </w:r>
      <w:r w:rsidRPr="00EC1A78">
        <w:rPr>
          <w:rFonts w:eastAsiaTheme="minorHAnsi"/>
          <w:sz w:val="22"/>
          <w:szCs w:val="22"/>
          <w:lang w:eastAsia="en-US"/>
        </w:rPr>
        <w:t>печения.</w:t>
      </w:r>
    </w:p>
    <w:p w:rsidR="00EC1A78" w:rsidRPr="00EC1A78" w:rsidRDefault="00EC1A78" w:rsidP="005879CD">
      <w:pPr>
        <w:ind w:firstLine="426"/>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Конституция РФ от 12.12 1993 г.</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Федеральный закон от 28.12.2013 г. N 442-ФЗ "Об основах социального обслуживания граждан в Российской Федерации".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Федеральный закон от 16 июля 1999 г. N 165-ФЗ «Об осн</w:t>
      </w:r>
      <w:r w:rsidRPr="00EC1A78">
        <w:rPr>
          <w:rFonts w:eastAsiaTheme="minorHAnsi"/>
          <w:sz w:val="22"/>
          <w:szCs w:val="22"/>
          <w:lang w:eastAsia="en-US"/>
        </w:rPr>
        <w:t>о</w:t>
      </w:r>
      <w:r w:rsidRPr="00EC1A78">
        <w:rPr>
          <w:rFonts w:eastAsiaTheme="minorHAnsi"/>
          <w:sz w:val="22"/>
          <w:szCs w:val="22"/>
          <w:lang w:eastAsia="en-US"/>
        </w:rPr>
        <w:t>вах обязательного социального страхования».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Федеральный закон от 28.12.2013г. N 400-ФЗ "О страховых пенсиях".</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Федеральный закон от 15.12.2001 г. № 166-ФЗ «О госуда</w:t>
      </w:r>
      <w:r w:rsidRPr="00EC1A78">
        <w:rPr>
          <w:rFonts w:eastAsiaTheme="minorHAnsi"/>
          <w:sz w:val="22"/>
          <w:szCs w:val="22"/>
          <w:lang w:eastAsia="en-US"/>
        </w:rPr>
        <w:t>р</w:t>
      </w:r>
      <w:r w:rsidRPr="00EC1A78">
        <w:rPr>
          <w:rFonts w:eastAsiaTheme="minorHAnsi"/>
          <w:sz w:val="22"/>
          <w:szCs w:val="22"/>
          <w:lang w:eastAsia="en-US"/>
        </w:rPr>
        <w:t>ственном пенсионном обеспечении в Российской Федерации».</w:t>
      </w:r>
    </w:p>
    <w:p w:rsidR="00EC1A78" w:rsidRPr="00EC1A78" w:rsidRDefault="00EC1A78" w:rsidP="00EC1A78">
      <w:pPr>
        <w:ind w:firstLine="426"/>
        <w:jc w:val="center"/>
        <w:rPr>
          <w:rFonts w:eastAsiaTheme="minorHAnsi"/>
          <w:sz w:val="22"/>
          <w:szCs w:val="22"/>
          <w:lang w:eastAsia="en-US"/>
        </w:rPr>
      </w:pPr>
    </w:p>
    <w:p w:rsidR="00787EA7" w:rsidRDefault="00787EA7">
      <w:pPr>
        <w:rPr>
          <w:sz w:val="22"/>
          <w:szCs w:val="22"/>
        </w:rPr>
      </w:pPr>
    </w:p>
    <w:p w:rsidR="005879CD" w:rsidRPr="005879CD" w:rsidRDefault="00787EA7" w:rsidP="001E2244">
      <w:pPr>
        <w:ind w:left="425" w:hanging="425"/>
        <w:jc w:val="both"/>
        <w:rPr>
          <w:sz w:val="22"/>
          <w:szCs w:val="22"/>
        </w:rPr>
      </w:pPr>
      <w:r w:rsidRPr="005879CD">
        <w:rPr>
          <w:sz w:val="22"/>
          <w:szCs w:val="22"/>
        </w:rPr>
        <w:t>УДК 631.1</w:t>
      </w:r>
    </w:p>
    <w:p w:rsidR="00787EA7" w:rsidRPr="00787EA7" w:rsidRDefault="00787EA7" w:rsidP="001E2244">
      <w:pPr>
        <w:ind w:firstLine="1"/>
        <w:jc w:val="center"/>
        <w:rPr>
          <w:b/>
          <w:sz w:val="24"/>
          <w:szCs w:val="24"/>
        </w:rPr>
      </w:pPr>
      <w:r w:rsidRPr="00787EA7">
        <w:rPr>
          <w:b/>
          <w:sz w:val="24"/>
          <w:szCs w:val="24"/>
        </w:rPr>
        <w:t>Интеграционные направления развития сельского</w:t>
      </w:r>
      <w:r w:rsidR="001E2244">
        <w:rPr>
          <w:b/>
          <w:sz w:val="24"/>
          <w:szCs w:val="24"/>
        </w:rPr>
        <w:t xml:space="preserve"> </w:t>
      </w:r>
      <w:r w:rsidR="001E2244">
        <w:rPr>
          <w:b/>
          <w:sz w:val="24"/>
          <w:szCs w:val="24"/>
        </w:rPr>
        <w:br/>
      </w:r>
      <w:r w:rsidRPr="00787EA7">
        <w:rPr>
          <w:b/>
          <w:sz w:val="24"/>
          <w:szCs w:val="24"/>
        </w:rPr>
        <w:t>хозяйства в условиях импортозамещения</w:t>
      </w:r>
    </w:p>
    <w:p w:rsidR="005879CD" w:rsidRPr="008D33CB" w:rsidRDefault="00787EA7" w:rsidP="001E2244">
      <w:pPr>
        <w:jc w:val="center"/>
        <w:rPr>
          <w:b/>
          <w:sz w:val="24"/>
          <w:szCs w:val="24"/>
          <w:lang w:val="en-US"/>
        </w:rPr>
      </w:pPr>
      <w:r w:rsidRPr="00787EA7">
        <w:rPr>
          <w:b/>
          <w:sz w:val="24"/>
          <w:szCs w:val="24"/>
          <w:lang w:val="en-US"/>
        </w:rPr>
        <w:t>Integration directions of agricultural development</w:t>
      </w:r>
      <w:r w:rsidR="001E2244" w:rsidRPr="001E2244">
        <w:rPr>
          <w:b/>
          <w:sz w:val="24"/>
          <w:szCs w:val="24"/>
          <w:lang w:val="en-US"/>
        </w:rPr>
        <w:br/>
      </w:r>
      <w:r w:rsidRPr="00787EA7">
        <w:rPr>
          <w:b/>
          <w:sz w:val="24"/>
          <w:szCs w:val="24"/>
          <w:lang w:val="en-US"/>
        </w:rPr>
        <w:t xml:space="preserve"> under conditions of import substitution</w:t>
      </w:r>
    </w:p>
    <w:p w:rsidR="001E2244" w:rsidRPr="008D33CB" w:rsidRDefault="001E2244" w:rsidP="001E2244">
      <w:pPr>
        <w:jc w:val="center"/>
        <w:rPr>
          <w:b/>
          <w:sz w:val="24"/>
          <w:szCs w:val="24"/>
          <w:lang w:val="en-US"/>
        </w:rPr>
      </w:pPr>
    </w:p>
    <w:p w:rsidR="00787EA7" w:rsidRPr="001E2244" w:rsidRDefault="00787EA7" w:rsidP="001E2244">
      <w:pPr>
        <w:ind w:firstLine="709"/>
        <w:jc w:val="right"/>
        <w:rPr>
          <w:sz w:val="22"/>
          <w:szCs w:val="22"/>
        </w:rPr>
      </w:pPr>
      <w:r w:rsidRPr="001E2244">
        <w:rPr>
          <w:sz w:val="22"/>
          <w:szCs w:val="22"/>
        </w:rPr>
        <w:t>Челебий Р.</w:t>
      </w:r>
      <w:r w:rsidR="005879CD" w:rsidRPr="001E2244">
        <w:rPr>
          <w:sz w:val="22"/>
          <w:szCs w:val="22"/>
        </w:rPr>
        <w:t xml:space="preserve"> </w:t>
      </w:r>
      <w:r w:rsidRPr="001E2244">
        <w:rPr>
          <w:sz w:val="22"/>
          <w:szCs w:val="22"/>
        </w:rPr>
        <w:t>А.,</w:t>
      </w:r>
    </w:p>
    <w:p w:rsidR="00787EA7" w:rsidRPr="001E2244" w:rsidRDefault="00787EA7" w:rsidP="001E2244">
      <w:pPr>
        <w:ind w:firstLine="709"/>
        <w:jc w:val="right"/>
        <w:rPr>
          <w:sz w:val="22"/>
          <w:szCs w:val="22"/>
        </w:rPr>
      </w:pPr>
      <w:r w:rsidRPr="001E2244">
        <w:rPr>
          <w:sz w:val="22"/>
          <w:szCs w:val="22"/>
        </w:rPr>
        <w:t>студент 3-го курса факультета управления</w:t>
      </w:r>
    </w:p>
    <w:p w:rsidR="00787EA7" w:rsidRPr="001E2244" w:rsidRDefault="00787EA7" w:rsidP="001E2244">
      <w:pPr>
        <w:ind w:firstLine="709"/>
        <w:jc w:val="right"/>
        <w:rPr>
          <w:sz w:val="22"/>
          <w:szCs w:val="22"/>
        </w:rPr>
      </w:pPr>
      <w:r w:rsidRPr="001E2244">
        <w:rPr>
          <w:sz w:val="22"/>
          <w:szCs w:val="22"/>
        </w:rPr>
        <w:t>Зайцева М.</w:t>
      </w:r>
      <w:r w:rsidR="005879CD" w:rsidRPr="001E2244">
        <w:rPr>
          <w:sz w:val="22"/>
          <w:szCs w:val="22"/>
        </w:rPr>
        <w:t xml:space="preserve"> </w:t>
      </w:r>
      <w:r w:rsidRPr="001E2244">
        <w:rPr>
          <w:sz w:val="22"/>
          <w:szCs w:val="22"/>
        </w:rPr>
        <w:t>В.,</w:t>
      </w:r>
    </w:p>
    <w:p w:rsidR="005879CD" w:rsidRPr="001E2244" w:rsidRDefault="00787EA7" w:rsidP="001E2244">
      <w:pPr>
        <w:ind w:firstLine="709"/>
        <w:jc w:val="right"/>
        <w:rPr>
          <w:sz w:val="22"/>
          <w:szCs w:val="22"/>
        </w:rPr>
      </w:pPr>
      <w:r w:rsidRPr="001E2244">
        <w:rPr>
          <w:sz w:val="22"/>
          <w:szCs w:val="22"/>
        </w:rPr>
        <w:t xml:space="preserve">старший преподаватель кафедры </w:t>
      </w:r>
      <w:proofErr w:type="gramStart"/>
      <w:r w:rsidRPr="001E2244">
        <w:rPr>
          <w:sz w:val="22"/>
          <w:szCs w:val="22"/>
        </w:rPr>
        <w:t>государственного</w:t>
      </w:r>
      <w:proofErr w:type="gramEnd"/>
    </w:p>
    <w:p w:rsidR="00787EA7" w:rsidRPr="001E2244" w:rsidRDefault="00787EA7" w:rsidP="001E2244">
      <w:pPr>
        <w:ind w:firstLine="709"/>
        <w:jc w:val="right"/>
        <w:rPr>
          <w:sz w:val="22"/>
          <w:szCs w:val="22"/>
        </w:rPr>
      </w:pPr>
      <w:r w:rsidRPr="001E2244">
        <w:rPr>
          <w:sz w:val="22"/>
          <w:szCs w:val="22"/>
        </w:rPr>
        <w:t xml:space="preserve"> и муниципального управления</w:t>
      </w:r>
    </w:p>
    <w:p w:rsidR="005879CD" w:rsidRPr="001E2244" w:rsidRDefault="00787EA7" w:rsidP="001E2244">
      <w:pPr>
        <w:ind w:firstLine="709"/>
        <w:jc w:val="right"/>
        <w:rPr>
          <w:sz w:val="22"/>
          <w:szCs w:val="22"/>
        </w:rPr>
      </w:pPr>
      <w:r w:rsidRPr="001E2244">
        <w:rPr>
          <w:sz w:val="22"/>
          <w:szCs w:val="22"/>
        </w:rPr>
        <w:t>Кубанский госуд</w:t>
      </w:r>
      <w:r w:rsidR="005879CD" w:rsidRPr="001E2244">
        <w:rPr>
          <w:sz w:val="22"/>
          <w:szCs w:val="22"/>
        </w:rPr>
        <w:t>арственный аграрный</w:t>
      </w:r>
    </w:p>
    <w:p w:rsidR="00787EA7" w:rsidRPr="00787EA7" w:rsidRDefault="005879CD" w:rsidP="001E2244">
      <w:pPr>
        <w:ind w:firstLine="709"/>
        <w:jc w:val="right"/>
        <w:rPr>
          <w:sz w:val="22"/>
          <w:szCs w:val="22"/>
        </w:rPr>
      </w:pPr>
      <w:r w:rsidRPr="001E2244">
        <w:rPr>
          <w:sz w:val="22"/>
          <w:szCs w:val="22"/>
        </w:rPr>
        <w:t xml:space="preserve"> университет </w:t>
      </w:r>
      <w:r w:rsidR="00787EA7" w:rsidRPr="001E2244">
        <w:rPr>
          <w:sz w:val="22"/>
          <w:szCs w:val="22"/>
        </w:rPr>
        <w:t>имени И.Т. Трубилина</w:t>
      </w:r>
    </w:p>
    <w:p w:rsidR="00787EA7" w:rsidRPr="00787EA7" w:rsidRDefault="00787EA7" w:rsidP="00787EA7">
      <w:pPr>
        <w:ind w:firstLine="709"/>
        <w:jc w:val="right"/>
        <w:rPr>
          <w:sz w:val="22"/>
          <w:szCs w:val="22"/>
        </w:rPr>
      </w:pPr>
    </w:p>
    <w:p w:rsidR="00787EA7" w:rsidRPr="00787EA7" w:rsidRDefault="00787EA7" w:rsidP="00787EA7">
      <w:pPr>
        <w:ind w:firstLine="426"/>
        <w:jc w:val="both"/>
        <w:rPr>
          <w:sz w:val="22"/>
          <w:szCs w:val="22"/>
        </w:rPr>
      </w:pPr>
      <w:r w:rsidRPr="00787EA7">
        <w:rPr>
          <w:sz w:val="22"/>
          <w:szCs w:val="22"/>
        </w:rPr>
        <w:t>АННОТАЦИЯ: Предложена модель создания научно-агропродовольственного кластера, являющегося действенным и</w:t>
      </w:r>
      <w:r w:rsidRPr="00787EA7">
        <w:rPr>
          <w:sz w:val="22"/>
          <w:szCs w:val="22"/>
        </w:rPr>
        <w:t>н</w:t>
      </w:r>
      <w:r w:rsidRPr="00787EA7">
        <w:rPr>
          <w:sz w:val="22"/>
          <w:szCs w:val="22"/>
        </w:rPr>
        <w:t>струментом в решении проблем импортозамещения.</w:t>
      </w:r>
    </w:p>
    <w:p w:rsidR="00787EA7" w:rsidRPr="00787EA7" w:rsidRDefault="00787EA7" w:rsidP="00787EA7">
      <w:pPr>
        <w:ind w:firstLine="426"/>
        <w:jc w:val="both"/>
        <w:rPr>
          <w:sz w:val="22"/>
          <w:szCs w:val="22"/>
          <w:lang w:val="en-US"/>
        </w:rPr>
      </w:pPr>
      <w:r w:rsidRPr="00787EA7">
        <w:rPr>
          <w:sz w:val="22"/>
          <w:szCs w:val="22"/>
          <w:lang w:val="en"/>
        </w:rPr>
        <w:lastRenderedPageBreak/>
        <w:t>ABSTRACT: A model for the creation of a scientific agro-food cluster is proposed, which is an effective tool in solving the problems of import substitution.</w:t>
      </w:r>
    </w:p>
    <w:p w:rsidR="00787EA7" w:rsidRPr="00787EA7" w:rsidRDefault="00787EA7" w:rsidP="00787EA7">
      <w:pPr>
        <w:ind w:firstLine="426"/>
        <w:jc w:val="both"/>
        <w:rPr>
          <w:sz w:val="22"/>
          <w:szCs w:val="22"/>
        </w:rPr>
      </w:pPr>
      <w:r w:rsidRPr="00787EA7">
        <w:rPr>
          <w:sz w:val="22"/>
          <w:szCs w:val="22"/>
        </w:rPr>
        <w:t>КЛЮЧЕВЫЕ СЛОВА: семена, научно-агропродовольственный кластер, сортообновление, импортозамещение.</w:t>
      </w:r>
    </w:p>
    <w:p w:rsidR="00787EA7" w:rsidRPr="00787EA7" w:rsidRDefault="00787EA7" w:rsidP="00787EA7">
      <w:pPr>
        <w:ind w:firstLine="426"/>
        <w:jc w:val="both"/>
        <w:rPr>
          <w:sz w:val="22"/>
          <w:szCs w:val="22"/>
          <w:lang w:val="en-US"/>
        </w:rPr>
      </w:pPr>
      <w:r w:rsidRPr="00787EA7">
        <w:rPr>
          <w:sz w:val="22"/>
          <w:szCs w:val="22"/>
          <w:lang w:val="en"/>
        </w:rPr>
        <w:t>KEYWORDS: seeds, scientific agro-food cluster, varietal renewal, import substitution.</w:t>
      </w:r>
    </w:p>
    <w:p w:rsidR="00787EA7" w:rsidRPr="00787EA7" w:rsidRDefault="00787EA7" w:rsidP="00787EA7">
      <w:pPr>
        <w:ind w:firstLine="426"/>
        <w:jc w:val="both"/>
        <w:rPr>
          <w:sz w:val="22"/>
          <w:szCs w:val="22"/>
          <w:lang w:val="en-US"/>
        </w:rPr>
      </w:pPr>
    </w:p>
    <w:p w:rsidR="00787EA7" w:rsidRPr="00787EA7" w:rsidRDefault="00787EA7" w:rsidP="00787EA7">
      <w:pPr>
        <w:ind w:firstLine="425"/>
        <w:jc w:val="both"/>
        <w:rPr>
          <w:sz w:val="22"/>
          <w:szCs w:val="22"/>
        </w:rPr>
      </w:pPr>
      <w:r w:rsidRPr="00787EA7">
        <w:rPr>
          <w:sz w:val="22"/>
          <w:szCs w:val="22"/>
        </w:rPr>
        <w:t>В 2014-2016 гг. годы увеличились объемы производства ов</w:t>
      </w:r>
      <w:r w:rsidRPr="00787EA7">
        <w:rPr>
          <w:sz w:val="22"/>
          <w:szCs w:val="22"/>
        </w:rPr>
        <w:t>о</w:t>
      </w:r>
      <w:r w:rsidRPr="00787EA7">
        <w:rPr>
          <w:sz w:val="22"/>
          <w:szCs w:val="22"/>
        </w:rPr>
        <w:t>щей и бахчевых, сахарной свеклы, однако доля семян отечестве</w:t>
      </w:r>
      <w:r w:rsidRPr="00787EA7">
        <w:rPr>
          <w:sz w:val="22"/>
          <w:szCs w:val="22"/>
        </w:rPr>
        <w:t>н</w:t>
      </w:r>
      <w:r w:rsidRPr="00787EA7">
        <w:rPr>
          <w:sz w:val="22"/>
          <w:szCs w:val="22"/>
        </w:rPr>
        <w:t>ной селекции в посевах данных культур сократилась. К 2016 г. ур</w:t>
      </w:r>
      <w:r w:rsidRPr="00787EA7">
        <w:rPr>
          <w:sz w:val="22"/>
          <w:szCs w:val="22"/>
        </w:rPr>
        <w:t>о</w:t>
      </w:r>
      <w:r w:rsidRPr="00787EA7">
        <w:rPr>
          <w:sz w:val="22"/>
          <w:szCs w:val="22"/>
        </w:rPr>
        <w:t>вень импортозависимости по семенам сахарной свеклы достиг 99%, кукурузе 68%, подсолнечнику 70% и овощам свыше 93%. Таким образом, семена отечественной селекции по основным возделыва</w:t>
      </w:r>
      <w:r w:rsidRPr="00787EA7">
        <w:rPr>
          <w:sz w:val="22"/>
          <w:szCs w:val="22"/>
        </w:rPr>
        <w:t>е</w:t>
      </w:r>
      <w:r w:rsidRPr="00787EA7">
        <w:rPr>
          <w:sz w:val="22"/>
          <w:szCs w:val="22"/>
        </w:rPr>
        <w:t>мым сельскохозяйственным культурам практически отсутствуют на рынке Краснодарского края.</w:t>
      </w:r>
    </w:p>
    <w:p w:rsidR="00787EA7" w:rsidRPr="00787EA7" w:rsidRDefault="00787EA7" w:rsidP="00787EA7">
      <w:pPr>
        <w:ind w:firstLine="425"/>
        <w:jc w:val="both"/>
        <w:rPr>
          <w:sz w:val="22"/>
          <w:szCs w:val="22"/>
        </w:rPr>
      </w:pPr>
      <w:r w:rsidRPr="00787EA7">
        <w:rPr>
          <w:sz w:val="22"/>
          <w:szCs w:val="22"/>
        </w:rPr>
        <w:t>Основными причинами являются: недостаточное финансиров</w:t>
      </w:r>
      <w:r w:rsidRPr="00787EA7">
        <w:rPr>
          <w:sz w:val="22"/>
          <w:szCs w:val="22"/>
        </w:rPr>
        <w:t>а</w:t>
      </w:r>
      <w:r w:rsidRPr="00787EA7">
        <w:rPr>
          <w:sz w:val="22"/>
          <w:szCs w:val="22"/>
        </w:rPr>
        <w:t>ние научно-исследовательских институтов; ликвидация отечестве</w:t>
      </w:r>
      <w:r w:rsidRPr="00787EA7">
        <w:rPr>
          <w:sz w:val="22"/>
          <w:szCs w:val="22"/>
        </w:rPr>
        <w:t>н</w:t>
      </w:r>
      <w:r w:rsidRPr="00787EA7">
        <w:rPr>
          <w:sz w:val="22"/>
          <w:szCs w:val="22"/>
        </w:rPr>
        <w:t xml:space="preserve">ных научных и опытных станций [1]. </w:t>
      </w:r>
    </w:p>
    <w:p w:rsidR="00787EA7" w:rsidRPr="00787EA7" w:rsidRDefault="00787EA7" w:rsidP="00787EA7">
      <w:pPr>
        <w:ind w:firstLine="425"/>
        <w:jc w:val="both"/>
        <w:rPr>
          <w:sz w:val="22"/>
          <w:szCs w:val="22"/>
        </w:rPr>
      </w:pPr>
      <w:r w:rsidRPr="00787EA7">
        <w:rPr>
          <w:sz w:val="22"/>
          <w:szCs w:val="22"/>
        </w:rPr>
        <w:t>Сортообновление отечественных сортов овощных и бахчевых культур практически не ведется из-за отсутствия элитных семян. Семеноводческие организации не приобретают их из-за высокой цены, ограничиваясь элементарным пересевом, что приводит к п</w:t>
      </w:r>
      <w:r w:rsidRPr="00787EA7">
        <w:rPr>
          <w:sz w:val="22"/>
          <w:szCs w:val="22"/>
        </w:rPr>
        <w:t>о</w:t>
      </w:r>
      <w:r w:rsidRPr="00787EA7">
        <w:rPr>
          <w:sz w:val="22"/>
          <w:szCs w:val="22"/>
        </w:rPr>
        <w:t xml:space="preserve">тере сортовых качеств. </w:t>
      </w:r>
    </w:p>
    <w:p w:rsidR="00787EA7" w:rsidRPr="00787EA7" w:rsidRDefault="00787EA7" w:rsidP="00787EA7">
      <w:pPr>
        <w:ind w:firstLine="425"/>
        <w:jc w:val="both"/>
        <w:rPr>
          <w:rFonts w:eastAsia="Calibri"/>
          <w:sz w:val="22"/>
          <w:szCs w:val="22"/>
        </w:rPr>
      </w:pPr>
      <w:r w:rsidRPr="00787EA7">
        <w:rPr>
          <w:sz w:val="22"/>
          <w:szCs w:val="22"/>
        </w:rPr>
        <w:t>Решить проблему импортозависимости можно повысив отеч</w:t>
      </w:r>
      <w:r w:rsidRPr="00787EA7">
        <w:rPr>
          <w:sz w:val="22"/>
          <w:szCs w:val="22"/>
        </w:rPr>
        <w:t>е</w:t>
      </w:r>
      <w:r w:rsidRPr="00787EA7">
        <w:rPr>
          <w:sz w:val="22"/>
          <w:szCs w:val="22"/>
        </w:rPr>
        <w:t xml:space="preserve">ственные научные продукты в виде семян, саженцев и т.п. </w:t>
      </w:r>
      <w:r w:rsidRPr="00787EA7">
        <w:rPr>
          <w:color w:val="000000"/>
          <w:sz w:val="22"/>
          <w:szCs w:val="22"/>
        </w:rPr>
        <w:t xml:space="preserve">В связи с чем предлагаем создание </w:t>
      </w:r>
      <w:r w:rsidRPr="00787EA7">
        <w:rPr>
          <w:rFonts w:eastAsia="Calibri"/>
          <w:sz w:val="22"/>
          <w:szCs w:val="22"/>
        </w:rPr>
        <w:t>научно-агропродовольственного кластера Краснодарского края.</w:t>
      </w:r>
    </w:p>
    <w:p w:rsidR="00787EA7" w:rsidRPr="00787EA7" w:rsidRDefault="00787EA7" w:rsidP="00787EA7">
      <w:pPr>
        <w:ind w:firstLine="425"/>
        <w:jc w:val="both"/>
        <w:rPr>
          <w:sz w:val="22"/>
          <w:szCs w:val="22"/>
        </w:rPr>
      </w:pPr>
      <w:r w:rsidRPr="00787EA7">
        <w:rPr>
          <w:sz w:val="22"/>
          <w:szCs w:val="22"/>
        </w:rPr>
        <w:t xml:space="preserve">Проектируемый </w:t>
      </w:r>
      <w:r w:rsidRPr="00787EA7">
        <w:rPr>
          <w:rFonts w:eastAsia="Calibri"/>
          <w:sz w:val="22"/>
          <w:szCs w:val="22"/>
        </w:rPr>
        <w:t>научно-агропродовольственный кластер Кра</w:t>
      </w:r>
      <w:r w:rsidRPr="00787EA7">
        <w:rPr>
          <w:rFonts w:eastAsia="Calibri"/>
          <w:sz w:val="22"/>
          <w:szCs w:val="22"/>
        </w:rPr>
        <w:t>с</w:t>
      </w:r>
      <w:r w:rsidRPr="00787EA7">
        <w:rPr>
          <w:rFonts w:eastAsia="Calibri"/>
          <w:sz w:val="22"/>
          <w:szCs w:val="22"/>
        </w:rPr>
        <w:t>нодарского края</w:t>
      </w:r>
      <w:r w:rsidRPr="00787EA7">
        <w:rPr>
          <w:sz w:val="22"/>
          <w:szCs w:val="22"/>
        </w:rPr>
        <w:t xml:space="preserve"> содержит четыре взаимосвязанных сегмента: наука и научные технологии; сельское хозяйство; переработка и промы</w:t>
      </w:r>
      <w:r w:rsidRPr="00787EA7">
        <w:rPr>
          <w:sz w:val="22"/>
          <w:szCs w:val="22"/>
        </w:rPr>
        <w:t>ш</w:t>
      </w:r>
      <w:r w:rsidRPr="00787EA7">
        <w:rPr>
          <w:sz w:val="22"/>
          <w:szCs w:val="22"/>
        </w:rPr>
        <w:t>ленные технологии; логистика и обслуживание. Основной целью нау</w:t>
      </w:r>
      <w:r w:rsidRPr="00787EA7">
        <w:rPr>
          <w:rFonts w:eastAsia="Calibri"/>
          <w:sz w:val="22"/>
          <w:szCs w:val="22"/>
        </w:rPr>
        <w:t>чно-агропродовольственного кластера Краснодарского края</w:t>
      </w:r>
      <w:r w:rsidRPr="00787EA7">
        <w:rPr>
          <w:sz w:val="22"/>
          <w:szCs w:val="22"/>
        </w:rPr>
        <w:t xml:space="preserve"> я</w:t>
      </w:r>
      <w:r w:rsidRPr="00787EA7">
        <w:rPr>
          <w:sz w:val="22"/>
          <w:szCs w:val="22"/>
        </w:rPr>
        <w:t>в</w:t>
      </w:r>
      <w:r w:rsidRPr="00787EA7">
        <w:rPr>
          <w:sz w:val="22"/>
          <w:szCs w:val="22"/>
        </w:rPr>
        <w:t>ляется снижение зависимости сельского хозяйства от импорта баз</w:t>
      </w:r>
      <w:r w:rsidRPr="00787EA7">
        <w:rPr>
          <w:sz w:val="22"/>
          <w:szCs w:val="22"/>
        </w:rPr>
        <w:t>о</w:t>
      </w:r>
      <w:r w:rsidRPr="00787EA7">
        <w:rPr>
          <w:sz w:val="22"/>
          <w:szCs w:val="22"/>
        </w:rPr>
        <w:t>вых компонентов (семян, кормов, средств защиты растений и т.д.) на основе проведения научных исследований и внедрения в сел</w:t>
      </w:r>
      <w:r w:rsidRPr="00787EA7">
        <w:rPr>
          <w:sz w:val="22"/>
          <w:szCs w:val="22"/>
        </w:rPr>
        <w:t>ь</w:t>
      </w:r>
      <w:r w:rsidRPr="00787EA7">
        <w:rPr>
          <w:sz w:val="22"/>
          <w:szCs w:val="22"/>
        </w:rPr>
        <w:t>скохозяйственное производство научных продуктов.</w:t>
      </w:r>
    </w:p>
    <w:p w:rsidR="00787EA7" w:rsidRPr="00787EA7" w:rsidRDefault="00787EA7" w:rsidP="00787EA7">
      <w:pPr>
        <w:ind w:firstLine="425"/>
        <w:jc w:val="both"/>
        <w:rPr>
          <w:sz w:val="22"/>
          <w:szCs w:val="22"/>
        </w:rPr>
      </w:pPr>
      <w:r w:rsidRPr="00787EA7">
        <w:rPr>
          <w:sz w:val="22"/>
          <w:szCs w:val="22"/>
        </w:rPr>
        <w:lastRenderedPageBreak/>
        <w:t>Деятельность сегмента науки и научных технологий ведется в двух направлениях:</w:t>
      </w:r>
    </w:p>
    <w:p w:rsidR="00787EA7" w:rsidRPr="00787EA7" w:rsidRDefault="00787EA7" w:rsidP="00787EA7">
      <w:pPr>
        <w:ind w:firstLine="425"/>
        <w:jc w:val="both"/>
        <w:rPr>
          <w:sz w:val="22"/>
          <w:szCs w:val="22"/>
        </w:rPr>
      </w:pPr>
      <w:r w:rsidRPr="00787EA7">
        <w:rPr>
          <w:sz w:val="22"/>
          <w:szCs w:val="22"/>
        </w:rPr>
        <w:t>– создание новых культур, пород животных, биоматериалов, а также информационных технологий. Данное направление предста</w:t>
      </w:r>
      <w:r w:rsidRPr="00787EA7">
        <w:rPr>
          <w:sz w:val="22"/>
          <w:szCs w:val="22"/>
        </w:rPr>
        <w:t>в</w:t>
      </w:r>
      <w:r w:rsidRPr="00787EA7">
        <w:rPr>
          <w:sz w:val="22"/>
          <w:szCs w:val="22"/>
        </w:rPr>
        <w:t>ляют научные и научно-исследовательские институты, лаборат</w:t>
      </w:r>
      <w:r w:rsidRPr="00787EA7">
        <w:rPr>
          <w:sz w:val="22"/>
          <w:szCs w:val="22"/>
        </w:rPr>
        <w:t>о</w:t>
      </w:r>
      <w:r w:rsidRPr="00787EA7">
        <w:rPr>
          <w:sz w:val="22"/>
          <w:szCs w:val="22"/>
        </w:rPr>
        <w:t>рии, которые занимаются созданием нового продукта: новых видов сельскохозяйственных культур, новых сортов, адаптированных к условиям Краснодарского края, но при этом обладающих также и более высокими урожайностью и качеством продукции, а также с</w:t>
      </w:r>
      <w:r w:rsidRPr="00787EA7">
        <w:rPr>
          <w:sz w:val="22"/>
          <w:szCs w:val="22"/>
        </w:rPr>
        <w:t>о</w:t>
      </w:r>
      <w:r w:rsidRPr="00787EA7">
        <w:rPr>
          <w:sz w:val="22"/>
          <w:szCs w:val="22"/>
        </w:rPr>
        <w:t xml:space="preserve">здании новых средств защиты растений, содержащих более низкие нагрузки на экологию, но при этом более эффективные в борьбе с вредителями и способствующими сохранности урожаев. </w:t>
      </w:r>
    </w:p>
    <w:p w:rsidR="00787EA7" w:rsidRPr="00787EA7" w:rsidRDefault="00787EA7" w:rsidP="00787EA7">
      <w:pPr>
        <w:ind w:firstLine="425"/>
        <w:jc w:val="both"/>
        <w:rPr>
          <w:sz w:val="22"/>
          <w:szCs w:val="22"/>
        </w:rPr>
      </w:pPr>
      <w:r w:rsidRPr="00787EA7">
        <w:rPr>
          <w:sz w:val="22"/>
          <w:szCs w:val="22"/>
        </w:rPr>
        <w:t>– исследование конъюнктуры рынка, проектирование технол</w:t>
      </w:r>
      <w:r w:rsidRPr="00787EA7">
        <w:rPr>
          <w:sz w:val="22"/>
          <w:szCs w:val="22"/>
        </w:rPr>
        <w:t>о</w:t>
      </w:r>
      <w:r w:rsidRPr="00787EA7">
        <w:rPr>
          <w:sz w:val="22"/>
          <w:szCs w:val="22"/>
        </w:rPr>
        <w:t>гий, формирование нормативно-правовой базы. Данное направл</w:t>
      </w:r>
      <w:r w:rsidRPr="00787EA7">
        <w:rPr>
          <w:sz w:val="22"/>
          <w:szCs w:val="22"/>
        </w:rPr>
        <w:t>е</w:t>
      </w:r>
      <w:r w:rsidRPr="00787EA7">
        <w:rPr>
          <w:sz w:val="22"/>
          <w:szCs w:val="22"/>
        </w:rPr>
        <w:t>ние представляют образовательные и научные учреждения (вузы, техникумы, училища, опытные станции).</w:t>
      </w:r>
    </w:p>
    <w:p w:rsidR="00787EA7" w:rsidRPr="00787EA7" w:rsidRDefault="00787EA7" w:rsidP="00787EA7">
      <w:pPr>
        <w:ind w:firstLine="425"/>
        <w:jc w:val="both"/>
        <w:rPr>
          <w:sz w:val="22"/>
          <w:szCs w:val="22"/>
        </w:rPr>
      </w:pPr>
      <w:r w:rsidRPr="00787EA7">
        <w:rPr>
          <w:sz w:val="22"/>
          <w:szCs w:val="22"/>
        </w:rPr>
        <w:t>В предлагаемой модели наука является центральным элеме</w:t>
      </w:r>
      <w:r w:rsidRPr="00787EA7">
        <w:rPr>
          <w:sz w:val="22"/>
          <w:szCs w:val="22"/>
        </w:rPr>
        <w:t>н</w:t>
      </w:r>
      <w:r w:rsidRPr="00787EA7">
        <w:rPr>
          <w:sz w:val="22"/>
          <w:szCs w:val="22"/>
        </w:rPr>
        <w:t>том, с помощью которого формируется и развивается сам кластер, т.к. она осуществляет формирование и координацию взаимосвязей и взаимодействий как внутри данной структуры, так и за ее предел</w:t>
      </w:r>
      <w:r w:rsidRPr="00787EA7">
        <w:rPr>
          <w:sz w:val="22"/>
          <w:szCs w:val="22"/>
        </w:rPr>
        <w:t>а</w:t>
      </w:r>
      <w:r w:rsidRPr="00787EA7">
        <w:rPr>
          <w:sz w:val="22"/>
          <w:szCs w:val="22"/>
        </w:rPr>
        <w:t xml:space="preserve">ми. </w:t>
      </w:r>
      <w:r w:rsidRPr="00787EA7">
        <w:rPr>
          <w:rFonts w:eastAsia="Calibri"/>
          <w:sz w:val="22"/>
          <w:szCs w:val="22"/>
        </w:rPr>
        <w:t>Научные и образовательные организации являются</w:t>
      </w:r>
      <w:r w:rsidRPr="00787EA7">
        <w:rPr>
          <w:sz w:val="22"/>
          <w:szCs w:val="22"/>
        </w:rPr>
        <w:t xml:space="preserve"> равнопра</w:t>
      </w:r>
      <w:r w:rsidRPr="00787EA7">
        <w:rPr>
          <w:sz w:val="22"/>
          <w:szCs w:val="22"/>
        </w:rPr>
        <w:t>в</w:t>
      </w:r>
      <w:r w:rsidRPr="00787EA7">
        <w:rPr>
          <w:sz w:val="22"/>
          <w:szCs w:val="22"/>
        </w:rPr>
        <w:t>ными субъектами. Базовые отношения, которые определяют их ст</w:t>
      </w:r>
      <w:r w:rsidRPr="00787EA7">
        <w:rPr>
          <w:sz w:val="22"/>
          <w:szCs w:val="22"/>
        </w:rPr>
        <w:t>а</w:t>
      </w:r>
      <w:r w:rsidRPr="00787EA7">
        <w:rPr>
          <w:sz w:val="22"/>
          <w:szCs w:val="22"/>
        </w:rPr>
        <w:t>тус, связаны с научным продуктом в виде новых технологий, пр</w:t>
      </w:r>
      <w:r w:rsidRPr="00787EA7">
        <w:rPr>
          <w:sz w:val="22"/>
          <w:szCs w:val="22"/>
        </w:rPr>
        <w:t>о</w:t>
      </w:r>
      <w:r w:rsidRPr="00787EA7">
        <w:rPr>
          <w:sz w:val="22"/>
          <w:szCs w:val="22"/>
        </w:rPr>
        <w:t>дуктов и услуг.</w:t>
      </w:r>
    </w:p>
    <w:p w:rsidR="00787EA7" w:rsidRPr="00787EA7" w:rsidRDefault="00787EA7" w:rsidP="00787EA7">
      <w:pPr>
        <w:ind w:firstLine="425"/>
        <w:jc w:val="both"/>
        <w:rPr>
          <w:sz w:val="22"/>
          <w:szCs w:val="22"/>
        </w:rPr>
      </w:pPr>
      <w:r w:rsidRPr="00787EA7">
        <w:rPr>
          <w:sz w:val="22"/>
          <w:szCs w:val="22"/>
        </w:rPr>
        <w:t>Новые технологии представляют собой совокупность многоо</w:t>
      </w:r>
      <w:r w:rsidRPr="00787EA7">
        <w:rPr>
          <w:sz w:val="22"/>
          <w:szCs w:val="22"/>
        </w:rPr>
        <w:t>б</w:t>
      </w:r>
      <w:r w:rsidRPr="00787EA7">
        <w:rPr>
          <w:sz w:val="22"/>
          <w:szCs w:val="22"/>
        </w:rPr>
        <w:t>разных приемов и способов организации производства, а также сп</w:t>
      </w:r>
      <w:r w:rsidRPr="00787EA7">
        <w:rPr>
          <w:sz w:val="22"/>
          <w:szCs w:val="22"/>
        </w:rPr>
        <w:t>о</w:t>
      </w:r>
      <w:r w:rsidRPr="00787EA7">
        <w:rPr>
          <w:sz w:val="22"/>
          <w:szCs w:val="22"/>
        </w:rPr>
        <w:t>собы реализации производимых продуктов.</w:t>
      </w:r>
    </w:p>
    <w:p w:rsidR="00787EA7" w:rsidRPr="00787EA7" w:rsidRDefault="00787EA7" w:rsidP="00787EA7">
      <w:pPr>
        <w:ind w:firstLine="425"/>
        <w:jc w:val="both"/>
        <w:rPr>
          <w:sz w:val="22"/>
          <w:szCs w:val="22"/>
        </w:rPr>
      </w:pPr>
      <w:r w:rsidRPr="00787EA7">
        <w:rPr>
          <w:sz w:val="22"/>
          <w:szCs w:val="22"/>
        </w:rPr>
        <w:t>Новые продукты включают в себя как традиционные продукты сельского хозяйства, так и нетрадиционные и технологические пр</w:t>
      </w:r>
      <w:r w:rsidRPr="00787EA7">
        <w:rPr>
          <w:sz w:val="22"/>
          <w:szCs w:val="22"/>
        </w:rPr>
        <w:t>о</w:t>
      </w:r>
      <w:r w:rsidRPr="00787EA7">
        <w:rPr>
          <w:sz w:val="22"/>
          <w:szCs w:val="22"/>
        </w:rPr>
        <w:t>дукты, которые используют новые наукоемкие технологии и прои</w:t>
      </w:r>
      <w:r w:rsidRPr="00787EA7">
        <w:rPr>
          <w:sz w:val="22"/>
          <w:szCs w:val="22"/>
        </w:rPr>
        <w:t>з</w:t>
      </w:r>
      <w:r w:rsidRPr="00787EA7">
        <w:rPr>
          <w:sz w:val="22"/>
          <w:szCs w:val="22"/>
        </w:rPr>
        <w:t xml:space="preserve">водства. </w:t>
      </w:r>
    </w:p>
    <w:p w:rsidR="00787EA7" w:rsidRPr="00787EA7" w:rsidRDefault="00787EA7" w:rsidP="00787EA7">
      <w:pPr>
        <w:ind w:firstLine="425"/>
        <w:jc w:val="both"/>
        <w:rPr>
          <w:sz w:val="22"/>
          <w:szCs w:val="22"/>
        </w:rPr>
      </w:pPr>
      <w:r w:rsidRPr="00787EA7">
        <w:rPr>
          <w:sz w:val="22"/>
          <w:szCs w:val="22"/>
        </w:rPr>
        <w:t>Новые услуги включают в себя как традиционные услуги, и н</w:t>
      </w:r>
      <w:r w:rsidRPr="00787EA7">
        <w:rPr>
          <w:sz w:val="22"/>
          <w:szCs w:val="22"/>
        </w:rPr>
        <w:t>о</w:t>
      </w:r>
      <w:r w:rsidRPr="00787EA7">
        <w:rPr>
          <w:sz w:val="22"/>
          <w:szCs w:val="22"/>
        </w:rPr>
        <w:t>вые, связанные с научными открытиями в области биотехнологий и информатики.</w:t>
      </w:r>
    </w:p>
    <w:p w:rsidR="00787EA7" w:rsidRPr="00787EA7" w:rsidRDefault="00787EA7" w:rsidP="00787EA7">
      <w:pPr>
        <w:ind w:firstLine="425"/>
        <w:jc w:val="both"/>
        <w:rPr>
          <w:sz w:val="22"/>
          <w:szCs w:val="22"/>
        </w:rPr>
      </w:pPr>
      <w:r w:rsidRPr="00787EA7">
        <w:rPr>
          <w:sz w:val="22"/>
          <w:szCs w:val="22"/>
        </w:rPr>
        <w:t>Доведение инновационной информации непосредственного до сельхозтоваропроизводителей можно обеспечить с помощью и</w:t>
      </w:r>
      <w:r w:rsidRPr="00787EA7">
        <w:rPr>
          <w:sz w:val="22"/>
          <w:szCs w:val="22"/>
        </w:rPr>
        <w:t>н</w:t>
      </w:r>
      <w:r w:rsidRPr="00787EA7">
        <w:rPr>
          <w:sz w:val="22"/>
          <w:szCs w:val="22"/>
        </w:rPr>
        <w:t>формационно-консультационных центров (ИКЦ). Сельхозтовар</w:t>
      </w:r>
      <w:r w:rsidRPr="00787EA7">
        <w:rPr>
          <w:sz w:val="22"/>
          <w:szCs w:val="22"/>
        </w:rPr>
        <w:t>о</w:t>
      </w:r>
      <w:r w:rsidRPr="00787EA7">
        <w:rPr>
          <w:sz w:val="22"/>
          <w:szCs w:val="22"/>
        </w:rPr>
        <w:t>производители подают заявки на оказание консультационно-</w:t>
      </w:r>
      <w:r w:rsidRPr="00787EA7">
        <w:rPr>
          <w:sz w:val="22"/>
          <w:szCs w:val="22"/>
        </w:rPr>
        <w:lastRenderedPageBreak/>
        <w:t>внедренческих услуг в ИКЦ. Сгруппированные заявки ИКЦ опер</w:t>
      </w:r>
      <w:r w:rsidRPr="00787EA7">
        <w:rPr>
          <w:sz w:val="22"/>
          <w:szCs w:val="22"/>
        </w:rPr>
        <w:t>а</w:t>
      </w:r>
      <w:r w:rsidRPr="00787EA7">
        <w:rPr>
          <w:sz w:val="22"/>
          <w:szCs w:val="22"/>
        </w:rPr>
        <w:t>тивно передает в научно-продовольственный кластер. Выполне</w:t>
      </w:r>
      <w:r w:rsidRPr="00787EA7">
        <w:rPr>
          <w:sz w:val="22"/>
          <w:szCs w:val="22"/>
        </w:rPr>
        <w:t>н</w:t>
      </w:r>
      <w:r w:rsidRPr="00787EA7">
        <w:rPr>
          <w:sz w:val="22"/>
          <w:szCs w:val="22"/>
        </w:rPr>
        <w:t>ные разработки кластер передает в ИКЦ для непосредственного внедрения.</w:t>
      </w:r>
    </w:p>
    <w:p w:rsidR="00787EA7" w:rsidRPr="00787EA7" w:rsidRDefault="00787EA7" w:rsidP="00787EA7">
      <w:pPr>
        <w:ind w:firstLine="425"/>
        <w:jc w:val="both"/>
        <w:rPr>
          <w:sz w:val="22"/>
          <w:szCs w:val="22"/>
        </w:rPr>
      </w:pPr>
      <w:r w:rsidRPr="00787EA7">
        <w:rPr>
          <w:sz w:val="22"/>
          <w:szCs w:val="22"/>
        </w:rPr>
        <w:t>Реализация предложенной модели позволит создать эффекти</w:t>
      </w:r>
      <w:r w:rsidRPr="00787EA7">
        <w:rPr>
          <w:sz w:val="22"/>
          <w:szCs w:val="22"/>
        </w:rPr>
        <w:t>в</w:t>
      </w:r>
      <w:r w:rsidRPr="00787EA7">
        <w:rPr>
          <w:sz w:val="22"/>
          <w:szCs w:val="22"/>
        </w:rPr>
        <w:t>ную систему управления инновационной деятельностью в Красн</w:t>
      </w:r>
      <w:r w:rsidRPr="00787EA7">
        <w:rPr>
          <w:sz w:val="22"/>
          <w:szCs w:val="22"/>
        </w:rPr>
        <w:t>о</w:t>
      </w:r>
      <w:r w:rsidRPr="00787EA7">
        <w:rPr>
          <w:sz w:val="22"/>
          <w:szCs w:val="22"/>
        </w:rPr>
        <w:t>дарском крае, и как следствие, увеличит число инновационно-активных субъектов сельского хозяйства.</w:t>
      </w:r>
    </w:p>
    <w:p w:rsidR="00787EA7" w:rsidRPr="00787EA7" w:rsidRDefault="00787EA7" w:rsidP="00787EA7">
      <w:pPr>
        <w:ind w:firstLine="425"/>
        <w:jc w:val="both"/>
        <w:rPr>
          <w:sz w:val="22"/>
          <w:szCs w:val="22"/>
        </w:rPr>
      </w:pPr>
      <w:r w:rsidRPr="00787EA7">
        <w:rPr>
          <w:sz w:val="22"/>
          <w:szCs w:val="22"/>
        </w:rPr>
        <w:t>Полагаем, что научно-агропродовольственный кластер Красн</w:t>
      </w:r>
      <w:r w:rsidRPr="00787EA7">
        <w:rPr>
          <w:sz w:val="22"/>
          <w:szCs w:val="22"/>
        </w:rPr>
        <w:t>о</w:t>
      </w:r>
      <w:r w:rsidRPr="00787EA7">
        <w:rPr>
          <w:sz w:val="22"/>
          <w:szCs w:val="22"/>
        </w:rPr>
        <w:t>дарского края является важным и действенным инструментом и направлением выхода национального сельского хозяйства из криз</w:t>
      </w:r>
      <w:r w:rsidRPr="00787EA7">
        <w:rPr>
          <w:sz w:val="22"/>
          <w:szCs w:val="22"/>
        </w:rPr>
        <w:t>и</w:t>
      </w:r>
      <w:r w:rsidRPr="00787EA7">
        <w:rPr>
          <w:sz w:val="22"/>
          <w:szCs w:val="22"/>
        </w:rPr>
        <w:t>са и решения проблем импортозамещения, имеющих длительную перспективу.</w:t>
      </w:r>
    </w:p>
    <w:p w:rsidR="00787EA7" w:rsidRPr="00787EA7" w:rsidRDefault="00787EA7" w:rsidP="00787EA7">
      <w:pPr>
        <w:ind w:firstLine="425"/>
        <w:jc w:val="both"/>
        <w:rPr>
          <w:sz w:val="22"/>
          <w:szCs w:val="22"/>
        </w:rPr>
      </w:pPr>
    </w:p>
    <w:p w:rsidR="00787EA7" w:rsidRPr="00787EA7" w:rsidRDefault="00787EA7" w:rsidP="00787EA7">
      <w:pPr>
        <w:ind w:firstLine="425"/>
        <w:jc w:val="center"/>
        <w:rPr>
          <w:sz w:val="22"/>
          <w:szCs w:val="22"/>
        </w:rPr>
      </w:pPr>
      <w:r w:rsidRPr="00787EA7">
        <w:rPr>
          <w:sz w:val="22"/>
          <w:szCs w:val="22"/>
        </w:rPr>
        <w:t>Список литературы</w:t>
      </w:r>
    </w:p>
    <w:p w:rsidR="00787EA7" w:rsidRPr="00787EA7" w:rsidRDefault="00787EA7" w:rsidP="00787EA7">
      <w:pPr>
        <w:ind w:firstLine="425"/>
        <w:jc w:val="both"/>
        <w:rPr>
          <w:sz w:val="22"/>
          <w:szCs w:val="22"/>
        </w:rPr>
      </w:pPr>
      <w:r w:rsidRPr="00787EA7">
        <w:rPr>
          <w:sz w:val="22"/>
          <w:szCs w:val="22"/>
        </w:rPr>
        <w:t xml:space="preserve">1. </w:t>
      </w:r>
      <w:r w:rsidRPr="00787EA7">
        <w:rPr>
          <w:iCs/>
          <w:sz w:val="22"/>
          <w:szCs w:val="22"/>
        </w:rPr>
        <w:t>Хуажева З.Б., Зайцева М.В.</w:t>
      </w:r>
      <w:r w:rsidRPr="00787EA7">
        <w:rPr>
          <w:sz w:val="22"/>
          <w:szCs w:val="22"/>
        </w:rPr>
        <w:t xml:space="preserve"> Государственная поддержка м</w:t>
      </w:r>
      <w:r w:rsidRPr="00787EA7">
        <w:rPr>
          <w:sz w:val="22"/>
          <w:szCs w:val="22"/>
        </w:rPr>
        <w:t>а</w:t>
      </w:r>
      <w:r w:rsidRPr="00787EA7">
        <w:rPr>
          <w:sz w:val="22"/>
          <w:szCs w:val="22"/>
        </w:rPr>
        <w:t xml:space="preserve">лого бизнеса/З.Б. Хуажева, М.В. Зайцева. В сборнике: </w:t>
      </w:r>
      <w:hyperlink r:id="rId187" w:history="1">
        <w:r w:rsidRPr="005879CD">
          <w:rPr>
            <w:color w:val="000000" w:themeColor="text1"/>
            <w:sz w:val="22"/>
            <w:szCs w:val="22"/>
          </w:rPr>
          <w:t>Экономика и управление: актуальные вопросы теории и практики</w:t>
        </w:r>
      </w:hyperlink>
      <w:r w:rsidRPr="00787EA7">
        <w:rPr>
          <w:color w:val="000000" w:themeColor="text1"/>
          <w:sz w:val="22"/>
          <w:szCs w:val="22"/>
        </w:rPr>
        <w:t xml:space="preserve">. </w:t>
      </w:r>
      <w:r w:rsidRPr="00787EA7">
        <w:rPr>
          <w:sz w:val="22"/>
          <w:szCs w:val="22"/>
        </w:rPr>
        <w:t>Материалы VII международной научно-практической конференции. 2017. С. 439-444.</w:t>
      </w:r>
    </w:p>
    <w:p w:rsidR="00787EA7" w:rsidRDefault="00787EA7">
      <w:pPr>
        <w:rPr>
          <w:sz w:val="22"/>
          <w:szCs w:val="22"/>
        </w:rPr>
      </w:pPr>
    </w:p>
    <w:p w:rsidR="005879CD" w:rsidRDefault="005879CD">
      <w:pPr>
        <w:rPr>
          <w:sz w:val="22"/>
          <w:szCs w:val="22"/>
        </w:rPr>
      </w:pPr>
    </w:p>
    <w:p w:rsidR="00787EA7" w:rsidRDefault="00787EA7" w:rsidP="00787EA7">
      <w:pPr>
        <w:rPr>
          <w:rFonts w:eastAsia="Calibri"/>
          <w:sz w:val="22"/>
          <w:szCs w:val="22"/>
          <w:lang w:eastAsia="en-US"/>
        </w:rPr>
      </w:pPr>
      <w:r w:rsidRPr="005879CD">
        <w:rPr>
          <w:rFonts w:eastAsia="Calibri"/>
          <w:sz w:val="22"/>
          <w:szCs w:val="22"/>
          <w:lang w:eastAsia="en-US"/>
        </w:rPr>
        <w:t>УДК 351.35.08</w:t>
      </w:r>
    </w:p>
    <w:p w:rsidR="005879CD" w:rsidRPr="005879CD" w:rsidRDefault="005879CD" w:rsidP="00787EA7">
      <w:pPr>
        <w:rPr>
          <w:rFonts w:eastAsia="Calibri"/>
          <w:sz w:val="22"/>
          <w:szCs w:val="22"/>
          <w:lang w:eastAsia="en-US"/>
        </w:rPr>
      </w:pPr>
    </w:p>
    <w:p w:rsidR="00787EA7" w:rsidRPr="00787EA7" w:rsidRDefault="00787EA7" w:rsidP="00787EA7">
      <w:pPr>
        <w:ind w:firstLine="425"/>
        <w:jc w:val="center"/>
        <w:rPr>
          <w:rFonts w:eastAsia="Calibri"/>
          <w:b/>
          <w:sz w:val="24"/>
          <w:szCs w:val="24"/>
          <w:lang w:eastAsia="en-US"/>
        </w:rPr>
      </w:pPr>
      <w:r w:rsidRPr="00787EA7">
        <w:rPr>
          <w:rFonts w:eastAsia="Calibri"/>
          <w:b/>
          <w:sz w:val="24"/>
          <w:szCs w:val="24"/>
          <w:lang w:eastAsia="en-US"/>
        </w:rPr>
        <w:t>Повышение квалификации в системе дополнительн</w:t>
      </w:r>
      <w:r w:rsidRPr="00787EA7">
        <w:rPr>
          <w:rFonts w:eastAsia="Calibri"/>
          <w:b/>
          <w:sz w:val="24"/>
          <w:szCs w:val="24"/>
          <w:lang w:eastAsia="en-US"/>
        </w:rPr>
        <w:t>о</w:t>
      </w:r>
      <w:r w:rsidRPr="00787EA7">
        <w:rPr>
          <w:rFonts w:eastAsia="Calibri"/>
          <w:b/>
          <w:sz w:val="24"/>
          <w:szCs w:val="24"/>
          <w:lang w:eastAsia="en-US"/>
        </w:rPr>
        <w:t>го образования государственных служащих</w:t>
      </w:r>
    </w:p>
    <w:p w:rsidR="00787EA7" w:rsidRPr="00787EA7" w:rsidRDefault="00787EA7" w:rsidP="00787EA7">
      <w:pPr>
        <w:ind w:firstLine="425"/>
        <w:jc w:val="center"/>
        <w:rPr>
          <w:rFonts w:eastAsia="Calibri"/>
          <w:b/>
          <w:sz w:val="24"/>
          <w:szCs w:val="24"/>
          <w:lang w:val="en-US" w:eastAsia="en-US"/>
        </w:rPr>
      </w:pPr>
      <w:r w:rsidRPr="00787EA7">
        <w:rPr>
          <w:rFonts w:eastAsia="Calibri"/>
          <w:b/>
          <w:sz w:val="24"/>
          <w:szCs w:val="24"/>
          <w:lang w:val="en-US" w:eastAsia="en-US"/>
        </w:rPr>
        <w:t>Advanced training in the system of additional education for civil servants</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Чернега А.</w:t>
      </w:r>
      <w:r w:rsidR="005879CD" w:rsidRPr="005879CD">
        <w:rPr>
          <w:rFonts w:eastAsia="Calibri"/>
          <w:sz w:val="22"/>
          <w:szCs w:val="22"/>
          <w:lang w:eastAsia="en-US"/>
        </w:rPr>
        <w:t xml:space="preserve"> </w:t>
      </w:r>
      <w:r w:rsidRPr="005879CD">
        <w:rPr>
          <w:rFonts w:eastAsia="Calibri"/>
          <w:sz w:val="22"/>
          <w:szCs w:val="22"/>
          <w:lang w:eastAsia="en-US"/>
        </w:rPr>
        <w:t>А.</w:t>
      </w:r>
      <w:r w:rsidR="005879CD" w:rsidRPr="005879CD">
        <w:rPr>
          <w:rFonts w:eastAsia="Calibri"/>
          <w:sz w:val="22"/>
          <w:szCs w:val="22"/>
          <w:lang w:eastAsia="en-US"/>
        </w:rPr>
        <w:t>,</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студентка 2-го курса факультета управления</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Кох М.</w:t>
      </w:r>
      <w:r w:rsidR="005879CD" w:rsidRPr="005879CD">
        <w:rPr>
          <w:rFonts w:eastAsia="Calibri"/>
          <w:sz w:val="22"/>
          <w:szCs w:val="22"/>
          <w:lang w:eastAsia="en-US"/>
        </w:rPr>
        <w:t xml:space="preserve"> </w:t>
      </w:r>
      <w:r w:rsidRPr="005879CD">
        <w:rPr>
          <w:rFonts w:eastAsia="Calibri"/>
          <w:sz w:val="22"/>
          <w:szCs w:val="22"/>
          <w:lang w:eastAsia="en-US"/>
        </w:rPr>
        <w:t>Н.</w:t>
      </w:r>
      <w:r w:rsidR="005879CD" w:rsidRPr="005879CD">
        <w:rPr>
          <w:rFonts w:eastAsia="Calibri"/>
          <w:sz w:val="22"/>
          <w:szCs w:val="22"/>
          <w:lang w:eastAsia="en-US"/>
        </w:rPr>
        <w:t>,</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 xml:space="preserve">доцент </w:t>
      </w:r>
      <w:r w:rsidR="005879CD">
        <w:rPr>
          <w:rFonts w:eastAsia="Calibri"/>
          <w:sz w:val="22"/>
          <w:szCs w:val="22"/>
          <w:lang w:eastAsia="en-US"/>
        </w:rPr>
        <w:t>кафедры педагогики и психологии</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Куб</w:t>
      </w:r>
      <w:r w:rsidR="005879CD">
        <w:rPr>
          <w:rFonts w:eastAsia="Calibri"/>
          <w:sz w:val="22"/>
          <w:szCs w:val="22"/>
          <w:lang w:eastAsia="en-US"/>
        </w:rPr>
        <w:t>анский государственный аграрный</w:t>
      </w:r>
    </w:p>
    <w:p w:rsidR="00787EA7" w:rsidRPr="005879CD" w:rsidRDefault="00787EA7" w:rsidP="00787EA7">
      <w:pPr>
        <w:ind w:firstLine="425"/>
        <w:jc w:val="right"/>
        <w:rPr>
          <w:rFonts w:eastAsia="Calibri"/>
          <w:sz w:val="22"/>
          <w:szCs w:val="22"/>
          <w:lang w:eastAsia="en-US"/>
        </w:rPr>
      </w:pPr>
      <w:r w:rsidRPr="005879CD">
        <w:rPr>
          <w:rFonts w:eastAsia="Calibri"/>
          <w:sz w:val="22"/>
          <w:szCs w:val="22"/>
          <w:lang w:eastAsia="en-US"/>
        </w:rPr>
        <w:t>университет им. И.Т. Трубилина</w:t>
      </w:r>
    </w:p>
    <w:p w:rsidR="00787EA7" w:rsidRPr="00787EA7" w:rsidRDefault="00787EA7" w:rsidP="00787EA7">
      <w:pPr>
        <w:ind w:firstLine="425"/>
        <w:jc w:val="right"/>
        <w:rPr>
          <w:rFonts w:eastAsia="Calibri"/>
          <w:sz w:val="22"/>
          <w:szCs w:val="22"/>
          <w:lang w:eastAsia="en-US"/>
        </w:rPr>
      </w:pP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АННОТАЦИЯ: Изучена проблема повышения квалификации государственных служащих. Рассмотрены причины обуславлива</w:t>
      </w:r>
      <w:r w:rsidRPr="00787EA7">
        <w:rPr>
          <w:rFonts w:eastAsia="Calibri"/>
          <w:sz w:val="22"/>
          <w:szCs w:val="22"/>
          <w:lang w:eastAsia="en-US"/>
        </w:rPr>
        <w:t>ю</w:t>
      </w:r>
      <w:r w:rsidRPr="00787EA7">
        <w:rPr>
          <w:rFonts w:eastAsia="Calibri"/>
          <w:sz w:val="22"/>
          <w:szCs w:val="22"/>
          <w:lang w:eastAsia="en-US"/>
        </w:rPr>
        <w:lastRenderedPageBreak/>
        <w:t>щие необходимость получения государственными служащими д</w:t>
      </w:r>
      <w:r w:rsidRPr="00787EA7">
        <w:rPr>
          <w:rFonts w:eastAsia="Calibri"/>
          <w:sz w:val="22"/>
          <w:szCs w:val="22"/>
          <w:lang w:eastAsia="en-US"/>
        </w:rPr>
        <w:t>о</w:t>
      </w:r>
      <w:r w:rsidRPr="00787EA7">
        <w:rPr>
          <w:rFonts w:eastAsia="Calibri"/>
          <w:sz w:val="22"/>
          <w:szCs w:val="22"/>
          <w:lang w:eastAsia="en-US"/>
        </w:rPr>
        <w:t>полнительного образования.</w:t>
      </w:r>
    </w:p>
    <w:p w:rsidR="00787EA7" w:rsidRPr="00787EA7" w:rsidRDefault="00787EA7" w:rsidP="00787EA7">
      <w:pPr>
        <w:ind w:firstLine="425"/>
        <w:jc w:val="both"/>
        <w:rPr>
          <w:rFonts w:eastAsia="Calibri"/>
          <w:sz w:val="22"/>
          <w:szCs w:val="22"/>
          <w:lang w:val="en-US" w:eastAsia="en-US"/>
        </w:rPr>
      </w:pPr>
      <w:r w:rsidRPr="00787EA7">
        <w:rPr>
          <w:rFonts w:eastAsia="Calibri"/>
          <w:sz w:val="22"/>
          <w:szCs w:val="22"/>
          <w:lang w:val="en-US" w:eastAsia="en-US"/>
        </w:rPr>
        <w:t>SUMMARY</w:t>
      </w:r>
      <w:r w:rsidRPr="00787EA7">
        <w:rPr>
          <w:rFonts w:eastAsia="Calibri"/>
          <w:sz w:val="22"/>
          <w:szCs w:val="22"/>
          <w:lang w:eastAsia="en-US"/>
        </w:rPr>
        <w:t xml:space="preserve">: </w:t>
      </w:r>
      <w:r w:rsidRPr="00787EA7">
        <w:rPr>
          <w:rFonts w:eastAsia="Calibri"/>
          <w:sz w:val="22"/>
          <w:szCs w:val="22"/>
          <w:lang w:val="en-US" w:eastAsia="en-US"/>
        </w:rPr>
        <w:t>The</w:t>
      </w:r>
      <w:r w:rsidRPr="00787EA7">
        <w:rPr>
          <w:rFonts w:eastAsia="Calibri"/>
          <w:sz w:val="22"/>
          <w:szCs w:val="22"/>
          <w:lang w:eastAsia="en-US"/>
        </w:rPr>
        <w:t xml:space="preserve"> </w:t>
      </w:r>
      <w:r w:rsidRPr="00787EA7">
        <w:rPr>
          <w:rFonts w:eastAsia="Calibri"/>
          <w:sz w:val="22"/>
          <w:szCs w:val="22"/>
          <w:lang w:val="en-US" w:eastAsia="en-US"/>
        </w:rPr>
        <w:t>problem</w:t>
      </w:r>
      <w:r w:rsidRPr="00787EA7">
        <w:rPr>
          <w:rFonts w:eastAsia="Calibri"/>
          <w:sz w:val="22"/>
          <w:szCs w:val="22"/>
          <w:lang w:eastAsia="en-US"/>
        </w:rPr>
        <w:t xml:space="preserve"> </w:t>
      </w:r>
      <w:r w:rsidRPr="00787EA7">
        <w:rPr>
          <w:rFonts w:eastAsia="Calibri"/>
          <w:sz w:val="22"/>
          <w:szCs w:val="22"/>
          <w:lang w:val="en-US" w:eastAsia="en-US"/>
        </w:rPr>
        <w:t>of</w:t>
      </w:r>
      <w:r w:rsidRPr="00787EA7">
        <w:rPr>
          <w:rFonts w:eastAsia="Calibri"/>
          <w:sz w:val="22"/>
          <w:szCs w:val="22"/>
          <w:lang w:eastAsia="en-US"/>
        </w:rPr>
        <w:t xml:space="preserve"> </w:t>
      </w:r>
      <w:r w:rsidRPr="00787EA7">
        <w:rPr>
          <w:rFonts w:eastAsia="Calibri"/>
          <w:sz w:val="22"/>
          <w:szCs w:val="22"/>
          <w:lang w:val="en-US" w:eastAsia="en-US"/>
        </w:rPr>
        <w:t>upgrading</w:t>
      </w:r>
      <w:r w:rsidRPr="00787EA7">
        <w:rPr>
          <w:rFonts w:eastAsia="Calibri"/>
          <w:sz w:val="22"/>
          <w:szCs w:val="22"/>
          <w:lang w:eastAsia="en-US"/>
        </w:rPr>
        <w:t xml:space="preserve"> </w:t>
      </w:r>
      <w:r w:rsidRPr="00787EA7">
        <w:rPr>
          <w:rFonts w:eastAsia="Calibri"/>
          <w:sz w:val="22"/>
          <w:szCs w:val="22"/>
          <w:lang w:val="en-US" w:eastAsia="en-US"/>
        </w:rPr>
        <w:t>the</w:t>
      </w:r>
      <w:r w:rsidRPr="00787EA7">
        <w:rPr>
          <w:rFonts w:eastAsia="Calibri"/>
          <w:sz w:val="22"/>
          <w:szCs w:val="22"/>
          <w:lang w:eastAsia="en-US"/>
        </w:rPr>
        <w:t xml:space="preserve"> </w:t>
      </w:r>
      <w:r w:rsidRPr="00787EA7">
        <w:rPr>
          <w:rFonts w:eastAsia="Calibri"/>
          <w:sz w:val="22"/>
          <w:szCs w:val="22"/>
          <w:lang w:val="en-US" w:eastAsia="en-US"/>
        </w:rPr>
        <w:t>skills</w:t>
      </w:r>
      <w:r w:rsidRPr="00787EA7">
        <w:rPr>
          <w:rFonts w:eastAsia="Calibri"/>
          <w:sz w:val="22"/>
          <w:szCs w:val="22"/>
          <w:lang w:eastAsia="en-US"/>
        </w:rPr>
        <w:t xml:space="preserve"> </w:t>
      </w:r>
      <w:r w:rsidRPr="00787EA7">
        <w:rPr>
          <w:rFonts w:eastAsia="Calibri"/>
          <w:sz w:val="22"/>
          <w:szCs w:val="22"/>
          <w:lang w:val="en-US" w:eastAsia="en-US"/>
        </w:rPr>
        <w:t>of</w:t>
      </w:r>
      <w:r w:rsidRPr="00787EA7">
        <w:rPr>
          <w:rFonts w:eastAsia="Calibri"/>
          <w:sz w:val="22"/>
          <w:szCs w:val="22"/>
          <w:lang w:eastAsia="en-US"/>
        </w:rPr>
        <w:t xml:space="preserve"> </w:t>
      </w:r>
      <w:r w:rsidRPr="00787EA7">
        <w:rPr>
          <w:rFonts w:eastAsia="Calibri"/>
          <w:sz w:val="22"/>
          <w:szCs w:val="22"/>
          <w:lang w:val="en-US" w:eastAsia="en-US"/>
        </w:rPr>
        <w:t>civil</w:t>
      </w:r>
      <w:r w:rsidRPr="00787EA7">
        <w:rPr>
          <w:rFonts w:eastAsia="Calibri"/>
          <w:sz w:val="22"/>
          <w:szCs w:val="22"/>
          <w:lang w:eastAsia="en-US"/>
        </w:rPr>
        <w:t xml:space="preserve"> </w:t>
      </w:r>
      <w:r w:rsidRPr="00787EA7">
        <w:rPr>
          <w:rFonts w:eastAsia="Calibri"/>
          <w:sz w:val="22"/>
          <w:szCs w:val="22"/>
          <w:lang w:val="en-US" w:eastAsia="en-US"/>
        </w:rPr>
        <w:t>servants</w:t>
      </w:r>
      <w:r w:rsidRPr="00787EA7">
        <w:rPr>
          <w:rFonts w:eastAsia="Calibri"/>
          <w:sz w:val="22"/>
          <w:szCs w:val="22"/>
          <w:lang w:eastAsia="en-US"/>
        </w:rPr>
        <w:t xml:space="preserve"> </w:t>
      </w:r>
      <w:r w:rsidRPr="00787EA7">
        <w:rPr>
          <w:rFonts w:eastAsia="Calibri"/>
          <w:sz w:val="22"/>
          <w:szCs w:val="22"/>
          <w:lang w:val="en-US" w:eastAsia="en-US"/>
        </w:rPr>
        <w:t>has</w:t>
      </w:r>
      <w:r w:rsidRPr="00787EA7">
        <w:rPr>
          <w:rFonts w:eastAsia="Calibri"/>
          <w:sz w:val="22"/>
          <w:szCs w:val="22"/>
          <w:lang w:eastAsia="en-US"/>
        </w:rPr>
        <w:t xml:space="preserve"> </w:t>
      </w:r>
      <w:r w:rsidRPr="00787EA7">
        <w:rPr>
          <w:rFonts w:eastAsia="Calibri"/>
          <w:sz w:val="22"/>
          <w:szCs w:val="22"/>
          <w:lang w:val="en-US" w:eastAsia="en-US"/>
        </w:rPr>
        <w:t>been</w:t>
      </w:r>
      <w:r w:rsidRPr="00787EA7">
        <w:rPr>
          <w:rFonts w:eastAsia="Calibri"/>
          <w:sz w:val="22"/>
          <w:szCs w:val="22"/>
          <w:lang w:eastAsia="en-US"/>
        </w:rPr>
        <w:t xml:space="preserve"> </w:t>
      </w:r>
      <w:r w:rsidRPr="00787EA7">
        <w:rPr>
          <w:rFonts w:eastAsia="Calibri"/>
          <w:sz w:val="22"/>
          <w:szCs w:val="22"/>
          <w:lang w:val="en-US" w:eastAsia="en-US"/>
        </w:rPr>
        <w:t>studied</w:t>
      </w:r>
      <w:r w:rsidRPr="00787EA7">
        <w:rPr>
          <w:rFonts w:eastAsia="Calibri"/>
          <w:sz w:val="22"/>
          <w:szCs w:val="22"/>
          <w:lang w:eastAsia="en-US"/>
        </w:rPr>
        <w:t xml:space="preserve">. </w:t>
      </w:r>
      <w:r w:rsidRPr="00787EA7">
        <w:rPr>
          <w:rFonts w:eastAsia="Calibri"/>
          <w:sz w:val="22"/>
          <w:szCs w:val="22"/>
          <w:lang w:val="en-US" w:eastAsia="en-US"/>
        </w:rPr>
        <w:t>The reasons stipulating necessity of reception of add</w:t>
      </w:r>
      <w:r w:rsidRPr="00787EA7">
        <w:rPr>
          <w:rFonts w:eastAsia="Calibri"/>
          <w:sz w:val="22"/>
          <w:szCs w:val="22"/>
          <w:lang w:val="en-US" w:eastAsia="en-US"/>
        </w:rPr>
        <w:t>i</w:t>
      </w:r>
      <w:r w:rsidRPr="00787EA7">
        <w:rPr>
          <w:rFonts w:eastAsia="Calibri"/>
          <w:sz w:val="22"/>
          <w:szCs w:val="22"/>
          <w:lang w:val="en-US" w:eastAsia="en-US"/>
        </w:rPr>
        <w:t>tional education by state employees are considered.</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КЛЮЧЕВЫЕ СЛОВА: повышение квалификации, знания, ум</w:t>
      </w:r>
      <w:r w:rsidRPr="00787EA7">
        <w:rPr>
          <w:rFonts w:eastAsia="Calibri"/>
          <w:sz w:val="22"/>
          <w:szCs w:val="22"/>
          <w:lang w:eastAsia="en-US"/>
        </w:rPr>
        <w:t>е</w:t>
      </w:r>
      <w:r w:rsidRPr="00787EA7">
        <w:rPr>
          <w:rFonts w:eastAsia="Calibri"/>
          <w:sz w:val="22"/>
          <w:szCs w:val="22"/>
          <w:lang w:eastAsia="en-US"/>
        </w:rPr>
        <w:t>ния и навыки государственного служащего, развитие личности го</w:t>
      </w:r>
      <w:r w:rsidRPr="00787EA7">
        <w:rPr>
          <w:rFonts w:eastAsia="Calibri"/>
          <w:sz w:val="22"/>
          <w:szCs w:val="22"/>
          <w:lang w:eastAsia="en-US"/>
        </w:rPr>
        <w:t>с</w:t>
      </w:r>
      <w:r w:rsidRPr="00787EA7">
        <w:rPr>
          <w:rFonts w:eastAsia="Calibri"/>
          <w:sz w:val="22"/>
          <w:szCs w:val="22"/>
          <w:lang w:eastAsia="en-US"/>
        </w:rPr>
        <w:t>ударственного служащего.</w:t>
      </w:r>
    </w:p>
    <w:p w:rsidR="00787EA7" w:rsidRPr="00787EA7" w:rsidRDefault="00787EA7" w:rsidP="00787EA7">
      <w:pPr>
        <w:ind w:firstLine="425"/>
        <w:jc w:val="both"/>
        <w:rPr>
          <w:rFonts w:eastAsia="Calibri"/>
          <w:sz w:val="22"/>
          <w:szCs w:val="22"/>
          <w:lang w:val="en-US" w:eastAsia="en-US"/>
        </w:rPr>
      </w:pPr>
      <w:r w:rsidRPr="00787EA7">
        <w:rPr>
          <w:rFonts w:eastAsia="Calibri"/>
          <w:sz w:val="22"/>
          <w:szCs w:val="22"/>
          <w:lang w:val="en-US" w:eastAsia="en-US"/>
        </w:rPr>
        <w:t>KEYWORDS: improving the skills, knowledge, skills and skills of a civil servant, developing the personality of a civil servant.</w:t>
      </w:r>
    </w:p>
    <w:p w:rsidR="00787EA7" w:rsidRPr="00787EA7" w:rsidRDefault="00787EA7" w:rsidP="00787EA7">
      <w:pPr>
        <w:ind w:firstLine="425"/>
        <w:jc w:val="both"/>
        <w:rPr>
          <w:rFonts w:eastAsia="Calibri"/>
          <w:sz w:val="22"/>
          <w:szCs w:val="22"/>
          <w:lang w:val="en-US" w:eastAsia="en-US"/>
        </w:rPr>
      </w:pPr>
    </w:p>
    <w:p w:rsidR="00787EA7" w:rsidRPr="00787EA7" w:rsidRDefault="00787EA7" w:rsidP="00787EA7">
      <w:pPr>
        <w:ind w:firstLine="425"/>
        <w:jc w:val="both"/>
        <w:rPr>
          <w:bCs/>
          <w:sz w:val="22"/>
          <w:szCs w:val="22"/>
        </w:rPr>
      </w:pPr>
      <w:r w:rsidRPr="00787EA7">
        <w:rPr>
          <w:rFonts w:eastAsia="Calibri"/>
          <w:sz w:val="22"/>
          <w:szCs w:val="22"/>
          <w:lang w:eastAsia="en-US"/>
        </w:rPr>
        <w:t>Современное постидустриальное общество отличается стрем</w:t>
      </w:r>
      <w:r w:rsidRPr="00787EA7">
        <w:rPr>
          <w:rFonts w:eastAsia="Calibri"/>
          <w:sz w:val="22"/>
          <w:szCs w:val="22"/>
          <w:lang w:eastAsia="en-US"/>
        </w:rPr>
        <w:t>и</w:t>
      </w:r>
      <w:r w:rsidRPr="00787EA7">
        <w:rPr>
          <w:rFonts w:eastAsia="Calibri"/>
          <w:sz w:val="22"/>
          <w:szCs w:val="22"/>
          <w:lang w:eastAsia="en-US"/>
        </w:rPr>
        <w:t>тельным развитием научно-технического прогресса, инновационное развитие порождает   качественные преобразования в промышле</w:t>
      </w:r>
      <w:r w:rsidRPr="00787EA7">
        <w:rPr>
          <w:rFonts w:eastAsia="Calibri"/>
          <w:sz w:val="22"/>
          <w:szCs w:val="22"/>
          <w:lang w:eastAsia="en-US"/>
        </w:rPr>
        <w:t>н</w:t>
      </w:r>
      <w:r w:rsidRPr="00787EA7">
        <w:rPr>
          <w:rFonts w:eastAsia="Calibri"/>
          <w:sz w:val="22"/>
          <w:szCs w:val="22"/>
          <w:lang w:eastAsia="en-US"/>
        </w:rPr>
        <w:t>ности, коммуникации, управлении. Соответственно, происходит быстрое устаревание знаний, навыков специалистов в современном мире. Согласно оценкам специалистов, ежегодно обновляется 5 % теоретических знаний и 20% практических умений и навыков, кот</w:t>
      </w:r>
      <w:r w:rsidRPr="00787EA7">
        <w:rPr>
          <w:rFonts w:eastAsia="Calibri"/>
          <w:sz w:val="22"/>
          <w:szCs w:val="22"/>
          <w:lang w:eastAsia="en-US"/>
        </w:rPr>
        <w:t>о</w:t>
      </w:r>
      <w:r w:rsidRPr="00787EA7">
        <w:rPr>
          <w:rFonts w:eastAsia="Calibri"/>
          <w:sz w:val="22"/>
          <w:szCs w:val="22"/>
          <w:lang w:eastAsia="en-US"/>
        </w:rPr>
        <w:t>рыми должен владеть профессионал. Для сегодняшних выпускн</w:t>
      </w:r>
      <w:r w:rsidRPr="00787EA7">
        <w:rPr>
          <w:rFonts w:eastAsia="Calibri"/>
          <w:sz w:val="22"/>
          <w:szCs w:val="22"/>
          <w:lang w:eastAsia="en-US"/>
        </w:rPr>
        <w:t>и</w:t>
      </w:r>
      <w:r w:rsidRPr="00787EA7">
        <w:rPr>
          <w:rFonts w:eastAsia="Calibri"/>
          <w:sz w:val="22"/>
          <w:szCs w:val="22"/>
          <w:lang w:eastAsia="en-US"/>
        </w:rPr>
        <w:t>ков вуза 50% устаревания знаний наступает через три года. В связи с чем, постоянное обновление знаний становится важным фактором сохранения квалификации специалиста и обеспечения его конк</w:t>
      </w:r>
      <w:r w:rsidRPr="00787EA7">
        <w:rPr>
          <w:rFonts w:eastAsia="Calibri"/>
          <w:sz w:val="22"/>
          <w:szCs w:val="22"/>
          <w:lang w:eastAsia="en-US"/>
        </w:rPr>
        <w:t>у</w:t>
      </w:r>
      <w:r w:rsidRPr="00787EA7">
        <w:rPr>
          <w:rFonts w:eastAsia="Calibri"/>
          <w:sz w:val="22"/>
          <w:szCs w:val="22"/>
          <w:lang w:eastAsia="en-US"/>
        </w:rPr>
        <w:t>рентоспособности [2].</w:t>
      </w:r>
      <w:r w:rsidRPr="00787EA7">
        <w:rPr>
          <w:bCs/>
          <w:sz w:val="22"/>
          <w:szCs w:val="22"/>
        </w:rPr>
        <w:t xml:space="preserve"> Квалификация приобретается в ходе фо</w:t>
      </w:r>
      <w:r w:rsidRPr="00787EA7">
        <w:rPr>
          <w:bCs/>
          <w:sz w:val="22"/>
          <w:szCs w:val="22"/>
        </w:rPr>
        <w:t>р</w:t>
      </w:r>
      <w:r w:rsidRPr="00787EA7">
        <w:rPr>
          <w:bCs/>
          <w:sz w:val="22"/>
          <w:szCs w:val="22"/>
        </w:rPr>
        <w:t>мального образования и обучения, а также путем опыта работы и неформального обучения.</w:t>
      </w:r>
    </w:p>
    <w:p w:rsidR="00787EA7" w:rsidRPr="00787EA7" w:rsidRDefault="00787EA7" w:rsidP="00787EA7">
      <w:pPr>
        <w:ind w:firstLine="425"/>
        <w:jc w:val="both"/>
        <w:rPr>
          <w:rFonts w:ascii="Roboto-Regular" w:eastAsia="Calibri" w:hAnsi="Roboto-Regular"/>
          <w:color w:val="000000"/>
          <w:lang w:eastAsia="en-US"/>
        </w:rPr>
      </w:pPr>
      <w:r w:rsidRPr="00787EA7">
        <w:rPr>
          <w:rFonts w:eastAsia="Calibri"/>
          <w:sz w:val="22"/>
          <w:szCs w:val="22"/>
          <w:lang w:eastAsia="en-US"/>
        </w:rPr>
        <w:t xml:space="preserve"> Актуальна вышеуказанная проблема и для государственных служащих.</w:t>
      </w:r>
      <w:r w:rsidRPr="00787EA7">
        <w:rPr>
          <w:rFonts w:ascii="Roboto-Regular" w:eastAsia="Calibri" w:hAnsi="Roboto-Regular"/>
          <w:color w:val="000000"/>
          <w:lang w:eastAsia="en-US"/>
        </w:rPr>
        <w:t xml:space="preserve"> </w:t>
      </w:r>
    </w:p>
    <w:p w:rsidR="00787EA7" w:rsidRPr="00787EA7" w:rsidRDefault="00787EA7" w:rsidP="00787EA7">
      <w:pPr>
        <w:ind w:firstLine="425"/>
        <w:jc w:val="both"/>
        <w:rPr>
          <w:bCs/>
          <w:sz w:val="22"/>
          <w:szCs w:val="22"/>
        </w:rPr>
      </w:pPr>
      <w:r w:rsidRPr="00787EA7">
        <w:rPr>
          <w:bCs/>
          <w:sz w:val="22"/>
          <w:szCs w:val="22"/>
        </w:rPr>
        <w:t xml:space="preserve">В словаре профориентации под квалификацией понимается способность работника выполнить задачи и обязанности данной работы. Уровень квалификации определяется степенью сложности выполняемой работы [3]. </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Соответственно повышение квалификации специалиста подр</w:t>
      </w:r>
      <w:r w:rsidRPr="00787EA7">
        <w:rPr>
          <w:rFonts w:eastAsia="Calibri"/>
          <w:sz w:val="22"/>
          <w:szCs w:val="22"/>
          <w:lang w:eastAsia="en-US"/>
        </w:rPr>
        <w:t>а</w:t>
      </w:r>
      <w:r w:rsidRPr="00787EA7">
        <w:rPr>
          <w:rFonts w:eastAsia="Calibri"/>
          <w:sz w:val="22"/>
          <w:szCs w:val="22"/>
          <w:lang w:eastAsia="en-US"/>
        </w:rPr>
        <w:t>зумевает обретение им способности решать задачи иного рода или уровня сложности.</w:t>
      </w:r>
      <w:r w:rsidRPr="00787EA7">
        <w:rPr>
          <w:rFonts w:ascii="Calibri" w:eastAsia="Calibri" w:hAnsi="Calibri"/>
          <w:sz w:val="22"/>
          <w:szCs w:val="22"/>
          <w:lang w:eastAsia="en-US"/>
        </w:rPr>
        <w:t xml:space="preserve"> </w:t>
      </w:r>
      <w:r w:rsidRPr="00787EA7">
        <w:rPr>
          <w:rFonts w:eastAsia="Calibri"/>
          <w:sz w:val="22"/>
          <w:szCs w:val="22"/>
          <w:lang w:eastAsia="en-US"/>
        </w:rPr>
        <w:t>Способность государственного служащего р</w:t>
      </w:r>
      <w:r w:rsidRPr="00787EA7">
        <w:rPr>
          <w:rFonts w:eastAsia="Calibri"/>
          <w:sz w:val="22"/>
          <w:szCs w:val="22"/>
          <w:lang w:eastAsia="en-US"/>
        </w:rPr>
        <w:t>е</w:t>
      </w:r>
      <w:r w:rsidRPr="00787EA7">
        <w:rPr>
          <w:rFonts w:eastAsia="Calibri"/>
          <w:sz w:val="22"/>
          <w:szCs w:val="22"/>
          <w:lang w:eastAsia="en-US"/>
        </w:rPr>
        <w:t>шать разного рода задачи</w:t>
      </w:r>
      <w:r w:rsidRPr="00787EA7">
        <w:rPr>
          <w:rFonts w:ascii="Calibri" w:eastAsia="Calibri" w:hAnsi="Calibri"/>
          <w:sz w:val="22"/>
          <w:szCs w:val="22"/>
          <w:lang w:eastAsia="en-US"/>
        </w:rPr>
        <w:t xml:space="preserve"> </w:t>
      </w:r>
      <w:r w:rsidRPr="00787EA7">
        <w:rPr>
          <w:rFonts w:eastAsia="Calibri"/>
          <w:sz w:val="22"/>
          <w:szCs w:val="22"/>
          <w:lang w:eastAsia="en-US"/>
        </w:rPr>
        <w:t>определяют</w:t>
      </w:r>
      <w:r w:rsidRPr="00787EA7">
        <w:rPr>
          <w:rFonts w:ascii="Calibri" w:eastAsia="Calibri" w:hAnsi="Calibri"/>
          <w:sz w:val="22"/>
          <w:szCs w:val="22"/>
          <w:lang w:eastAsia="en-US"/>
        </w:rPr>
        <w:t xml:space="preserve"> </w:t>
      </w:r>
      <w:r w:rsidRPr="00787EA7">
        <w:rPr>
          <w:rFonts w:eastAsia="Calibri"/>
          <w:sz w:val="22"/>
          <w:szCs w:val="22"/>
          <w:lang w:eastAsia="en-US"/>
        </w:rPr>
        <w:t>умения, навыки и професси</w:t>
      </w:r>
      <w:r w:rsidRPr="00787EA7">
        <w:rPr>
          <w:rFonts w:eastAsia="Calibri"/>
          <w:sz w:val="22"/>
          <w:szCs w:val="22"/>
          <w:lang w:eastAsia="en-US"/>
        </w:rPr>
        <w:t>о</w:t>
      </w:r>
      <w:r w:rsidRPr="00787EA7">
        <w:rPr>
          <w:rFonts w:eastAsia="Calibri"/>
          <w:sz w:val="22"/>
          <w:szCs w:val="22"/>
          <w:lang w:eastAsia="en-US"/>
        </w:rPr>
        <w:t>нальные знания. Их наличие, а также их качество определяет ко</w:t>
      </w:r>
      <w:r w:rsidRPr="00787EA7">
        <w:rPr>
          <w:rFonts w:eastAsia="Calibri"/>
          <w:sz w:val="22"/>
          <w:szCs w:val="22"/>
          <w:lang w:eastAsia="en-US"/>
        </w:rPr>
        <w:t>м</w:t>
      </w:r>
      <w:r w:rsidRPr="00787EA7">
        <w:rPr>
          <w:rFonts w:eastAsia="Calibri"/>
          <w:sz w:val="22"/>
          <w:szCs w:val="22"/>
          <w:lang w:eastAsia="en-US"/>
        </w:rPr>
        <w:t>петентность государственного гражданского служащего и его пр</w:t>
      </w:r>
      <w:r w:rsidRPr="00787EA7">
        <w:rPr>
          <w:rFonts w:eastAsia="Calibri"/>
          <w:sz w:val="22"/>
          <w:szCs w:val="22"/>
          <w:lang w:eastAsia="en-US"/>
        </w:rPr>
        <w:t>о</w:t>
      </w:r>
      <w:r w:rsidRPr="00787EA7">
        <w:rPr>
          <w:rFonts w:eastAsia="Calibri"/>
          <w:sz w:val="22"/>
          <w:szCs w:val="22"/>
          <w:lang w:eastAsia="en-US"/>
        </w:rPr>
        <w:t>фессиональная пригодность.</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lastRenderedPageBreak/>
        <w:t>В перечень задач государственного гражданского служащего входит правовое регулирование определенных социальных и эк</w:t>
      </w:r>
      <w:r w:rsidRPr="00787EA7">
        <w:rPr>
          <w:rFonts w:eastAsia="Calibri"/>
          <w:sz w:val="22"/>
          <w:szCs w:val="22"/>
          <w:lang w:eastAsia="en-US"/>
        </w:rPr>
        <w:t>о</w:t>
      </w:r>
      <w:r w:rsidRPr="00787EA7">
        <w:rPr>
          <w:rFonts w:eastAsia="Calibri"/>
          <w:sz w:val="22"/>
          <w:szCs w:val="22"/>
          <w:lang w:eastAsia="en-US"/>
        </w:rPr>
        <w:t>номических процессов в сферах и отраслях государственной де</w:t>
      </w:r>
      <w:r w:rsidRPr="00787EA7">
        <w:rPr>
          <w:rFonts w:eastAsia="Calibri"/>
          <w:sz w:val="22"/>
          <w:szCs w:val="22"/>
          <w:lang w:eastAsia="en-US"/>
        </w:rPr>
        <w:t>я</w:t>
      </w:r>
      <w:r w:rsidRPr="00787EA7">
        <w:rPr>
          <w:rFonts w:eastAsia="Calibri"/>
          <w:sz w:val="22"/>
          <w:szCs w:val="22"/>
          <w:lang w:eastAsia="en-US"/>
        </w:rPr>
        <w:t xml:space="preserve">тельности; </w:t>
      </w:r>
      <w:r w:rsidRPr="00787EA7">
        <w:rPr>
          <w:rFonts w:eastAsia="Calibri"/>
          <w:sz w:val="22"/>
          <w:szCs w:val="22"/>
          <w:lang w:eastAsia="en-US"/>
        </w:rPr>
        <w:tab/>
        <w:t>реализация основных направлений государственной и социальной политики; оценка реальных ситуаций, которые скл</w:t>
      </w:r>
      <w:r w:rsidRPr="00787EA7">
        <w:rPr>
          <w:rFonts w:eastAsia="Calibri"/>
          <w:sz w:val="22"/>
          <w:szCs w:val="22"/>
          <w:lang w:eastAsia="en-US"/>
        </w:rPr>
        <w:t>а</w:t>
      </w:r>
      <w:r w:rsidRPr="00787EA7">
        <w:rPr>
          <w:rFonts w:eastAsia="Calibri"/>
          <w:sz w:val="22"/>
          <w:szCs w:val="22"/>
          <w:lang w:eastAsia="en-US"/>
        </w:rPr>
        <w:t>дываются в государственных органах; участие в процессе соглас</w:t>
      </w:r>
      <w:r w:rsidRPr="00787EA7">
        <w:rPr>
          <w:rFonts w:eastAsia="Calibri"/>
          <w:sz w:val="22"/>
          <w:szCs w:val="22"/>
          <w:lang w:eastAsia="en-US"/>
        </w:rPr>
        <w:t>о</w:t>
      </w:r>
      <w:r w:rsidRPr="00787EA7">
        <w:rPr>
          <w:rFonts w:eastAsia="Calibri"/>
          <w:sz w:val="22"/>
          <w:szCs w:val="22"/>
          <w:lang w:eastAsia="en-US"/>
        </w:rPr>
        <w:t>вания интересов сторон, разрешение социальных конфликтов; орг</w:t>
      </w:r>
      <w:r w:rsidRPr="00787EA7">
        <w:rPr>
          <w:rFonts w:eastAsia="Calibri"/>
          <w:sz w:val="22"/>
          <w:szCs w:val="22"/>
          <w:lang w:eastAsia="en-US"/>
        </w:rPr>
        <w:t>а</w:t>
      </w:r>
      <w:r w:rsidRPr="00787EA7">
        <w:rPr>
          <w:rFonts w:eastAsia="Calibri"/>
          <w:sz w:val="22"/>
          <w:szCs w:val="22"/>
          <w:lang w:eastAsia="en-US"/>
        </w:rPr>
        <w:t>низация выполнения решений и проверка их исполнения федерал</w:t>
      </w:r>
      <w:r w:rsidRPr="00787EA7">
        <w:rPr>
          <w:rFonts w:eastAsia="Calibri"/>
          <w:sz w:val="22"/>
          <w:szCs w:val="22"/>
          <w:lang w:eastAsia="en-US"/>
        </w:rPr>
        <w:t>ь</w:t>
      </w:r>
      <w:r w:rsidRPr="00787EA7">
        <w:rPr>
          <w:rFonts w:eastAsia="Calibri"/>
          <w:sz w:val="22"/>
          <w:szCs w:val="22"/>
          <w:lang w:eastAsia="en-US"/>
        </w:rPr>
        <w:t>ными государственными органами; выработка стратегической пр</w:t>
      </w:r>
      <w:r w:rsidRPr="00787EA7">
        <w:rPr>
          <w:rFonts w:eastAsia="Calibri"/>
          <w:sz w:val="22"/>
          <w:szCs w:val="22"/>
          <w:lang w:eastAsia="en-US"/>
        </w:rPr>
        <w:t>о</w:t>
      </w:r>
      <w:r w:rsidRPr="00787EA7">
        <w:rPr>
          <w:rFonts w:eastAsia="Calibri"/>
          <w:sz w:val="22"/>
          <w:szCs w:val="22"/>
          <w:lang w:eastAsia="en-US"/>
        </w:rPr>
        <w:t>граммы по исполнению своих должностных обязанностей.</w:t>
      </w:r>
    </w:p>
    <w:p w:rsidR="00787EA7" w:rsidRPr="00787EA7" w:rsidRDefault="00787EA7" w:rsidP="00787EA7">
      <w:pPr>
        <w:ind w:firstLine="425"/>
        <w:jc w:val="both"/>
        <w:rPr>
          <w:rFonts w:eastAsia="Calibri"/>
          <w:sz w:val="22"/>
          <w:szCs w:val="22"/>
          <w:lang w:eastAsia="en-US"/>
        </w:rPr>
      </w:pPr>
      <w:bookmarkStart w:id="10" w:name="OLE_LINK669"/>
      <w:bookmarkStart w:id="11" w:name="OLE_LINK668"/>
      <w:bookmarkStart w:id="12" w:name="OLE_LINK667"/>
      <w:r w:rsidRPr="00787EA7">
        <w:rPr>
          <w:rFonts w:eastAsia="Calibri"/>
          <w:sz w:val="22"/>
          <w:szCs w:val="22"/>
          <w:lang w:eastAsia="en-US"/>
        </w:rPr>
        <w:t>Повышение квалификации – это обновление теоретических и практических знаний государственных служащих в соответствии с требованиями профессиональных стандартов, ориентированное на поддержание того уровня их квалификации, который будет дост</w:t>
      </w:r>
      <w:r w:rsidRPr="00787EA7">
        <w:rPr>
          <w:rFonts w:eastAsia="Calibri"/>
          <w:sz w:val="22"/>
          <w:szCs w:val="22"/>
          <w:lang w:eastAsia="en-US"/>
        </w:rPr>
        <w:t>а</w:t>
      </w:r>
      <w:r w:rsidRPr="00787EA7">
        <w:rPr>
          <w:rFonts w:eastAsia="Calibri"/>
          <w:sz w:val="22"/>
          <w:szCs w:val="22"/>
          <w:lang w:eastAsia="en-US"/>
        </w:rPr>
        <w:t>точным для эффективного исполнения должностных полномочий.</w:t>
      </w:r>
    </w:p>
    <w:bookmarkEnd w:id="10"/>
    <w:bookmarkEnd w:id="11"/>
    <w:bookmarkEnd w:id="12"/>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Согласно последним поправкам к закону «О системе госуда</w:t>
      </w:r>
      <w:r w:rsidRPr="00787EA7">
        <w:rPr>
          <w:rFonts w:eastAsia="Calibri"/>
          <w:sz w:val="22"/>
          <w:szCs w:val="22"/>
          <w:lang w:eastAsia="en-US"/>
        </w:rPr>
        <w:t>р</w:t>
      </w:r>
      <w:r w:rsidRPr="00787EA7">
        <w:rPr>
          <w:rFonts w:eastAsia="Calibri"/>
          <w:sz w:val="22"/>
          <w:szCs w:val="22"/>
          <w:lang w:eastAsia="en-US"/>
        </w:rPr>
        <w:t>ственной службы Российской Федерации» от 27.05.2003 г. № 58-ФЗ (изменения были внесены Федеральным законом от 29.07.2017 № 275-ФЗ) основаниями для направления гражданского служащего для участия в мероприятиях по профессиональному развитию я</w:t>
      </w:r>
      <w:r w:rsidRPr="00787EA7">
        <w:rPr>
          <w:rFonts w:eastAsia="Calibri"/>
          <w:sz w:val="22"/>
          <w:szCs w:val="22"/>
          <w:lang w:eastAsia="en-US"/>
        </w:rPr>
        <w:t>в</w:t>
      </w:r>
      <w:r w:rsidRPr="00787EA7">
        <w:rPr>
          <w:rFonts w:eastAsia="Calibri"/>
          <w:sz w:val="22"/>
          <w:szCs w:val="22"/>
          <w:lang w:eastAsia="en-US"/>
        </w:rPr>
        <w:t>ляются: решение представителя нанимателя; результаты аттестации гражданского служащего; назначение гражданского служащего на иную должность гражданской службы; назначение гражданского служащего в порядке должностного роста на должность гражда</w:t>
      </w:r>
      <w:r w:rsidRPr="00787EA7">
        <w:rPr>
          <w:rFonts w:eastAsia="Calibri"/>
          <w:sz w:val="22"/>
          <w:szCs w:val="22"/>
          <w:lang w:eastAsia="en-US"/>
        </w:rPr>
        <w:t>н</w:t>
      </w:r>
      <w:r w:rsidRPr="00787EA7">
        <w:rPr>
          <w:rFonts w:eastAsia="Calibri"/>
          <w:sz w:val="22"/>
          <w:szCs w:val="22"/>
          <w:lang w:eastAsia="en-US"/>
        </w:rPr>
        <w:t>ской службы категории «руководители» высшей или главной гру</w:t>
      </w:r>
      <w:r w:rsidRPr="00787EA7">
        <w:rPr>
          <w:rFonts w:eastAsia="Calibri"/>
          <w:sz w:val="22"/>
          <w:szCs w:val="22"/>
          <w:lang w:eastAsia="en-US"/>
        </w:rPr>
        <w:t>п</w:t>
      </w:r>
      <w:r w:rsidRPr="00787EA7">
        <w:rPr>
          <w:rFonts w:eastAsia="Calibri"/>
          <w:sz w:val="22"/>
          <w:szCs w:val="22"/>
          <w:lang w:eastAsia="en-US"/>
        </w:rPr>
        <w:t>пы должностей гражданской службы либо на должность гражда</w:t>
      </w:r>
      <w:r w:rsidRPr="00787EA7">
        <w:rPr>
          <w:rFonts w:eastAsia="Calibri"/>
          <w:sz w:val="22"/>
          <w:szCs w:val="22"/>
          <w:lang w:eastAsia="en-US"/>
        </w:rPr>
        <w:t>н</w:t>
      </w:r>
      <w:r w:rsidRPr="00787EA7">
        <w:rPr>
          <w:rFonts w:eastAsia="Calibri"/>
          <w:sz w:val="22"/>
          <w:szCs w:val="22"/>
          <w:lang w:eastAsia="en-US"/>
        </w:rPr>
        <w:t>ской службы категории «специалисты» высшей группы должностей гражданской службы впервые; поступление гражданина на гра</w:t>
      </w:r>
      <w:r w:rsidRPr="00787EA7">
        <w:rPr>
          <w:rFonts w:eastAsia="Calibri"/>
          <w:sz w:val="22"/>
          <w:szCs w:val="22"/>
          <w:lang w:eastAsia="en-US"/>
        </w:rPr>
        <w:t>ж</w:t>
      </w:r>
      <w:r w:rsidRPr="00787EA7">
        <w:rPr>
          <w:rFonts w:eastAsia="Calibri"/>
          <w:sz w:val="22"/>
          <w:szCs w:val="22"/>
          <w:lang w:eastAsia="en-US"/>
        </w:rPr>
        <w:t>данскую службу впервые.</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Таким образом необходимость повышения квалификации гос</w:t>
      </w:r>
      <w:r w:rsidRPr="00787EA7">
        <w:rPr>
          <w:rFonts w:eastAsia="Calibri"/>
          <w:sz w:val="22"/>
          <w:szCs w:val="22"/>
          <w:lang w:eastAsia="en-US"/>
        </w:rPr>
        <w:t>у</w:t>
      </w:r>
      <w:r w:rsidRPr="00787EA7">
        <w:rPr>
          <w:rFonts w:eastAsia="Calibri"/>
          <w:sz w:val="22"/>
          <w:szCs w:val="22"/>
          <w:lang w:eastAsia="en-US"/>
        </w:rPr>
        <w:t xml:space="preserve">дарственного служащего обусловлена в целом двумя причинами: </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1) необходимость обновления знаний, умений, навыков, пр</w:t>
      </w:r>
      <w:r w:rsidRPr="00787EA7">
        <w:rPr>
          <w:rFonts w:eastAsia="Calibri"/>
          <w:sz w:val="22"/>
          <w:szCs w:val="22"/>
          <w:lang w:eastAsia="en-US"/>
        </w:rPr>
        <w:t>о</w:t>
      </w:r>
      <w:r w:rsidRPr="00787EA7">
        <w:rPr>
          <w:rFonts w:eastAsia="Calibri"/>
          <w:sz w:val="22"/>
          <w:szCs w:val="22"/>
          <w:lang w:eastAsia="en-US"/>
        </w:rPr>
        <w:t>фессионального опыта, получения новых знаний.</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2) удовлетворение потребности личности в самореализации и саморазвитии [1].</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Повышение квалификации как элемент дополнительного обр</w:t>
      </w:r>
      <w:r w:rsidRPr="00787EA7">
        <w:rPr>
          <w:rFonts w:eastAsia="Calibri"/>
          <w:sz w:val="22"/>
          <w:szCs w:val="22"/>
          <w:lang w:eastAsia="en-US"/>
        </w:rPr>
        <w:t>а</w:t>
      </w:r>
      <w:r w:rsidRPr="00787EA7">
        <w:rPr>
          <w:rFonts w:eastAsia="Calibri"/>
          <w:sz w:val="22"/>
          <w:szCs w:val="22"/>
          <w:lang w:eastAsia="en-US"/>
        </w:rPr>
        <w:t>зования государственного служащего не только решает задачу к</w:t>
      </w:r>
      <w:r w:rsidRPr="00787EA7">
        <w:rPr>
          <w:rFonts w:eastAsia="Calibri"/>
          <w:sz w:val="22"/>
          <w:szCs w:val="22"/>
          <w:lang w:eastAsia="en-US"/>
        </w:rPr>
        <w:t>а</w:t>
      </w:r>
      <w:r w:rsidRPr="00787EA7">
        <w:rPr>
          <w:rFonts w:eastAsia="Calibri"/>
          <w:sz w:val="22"/>
          <w:szCs w:val="22"/>
          <w:lang w:eastAsia="en-US"/>
        </w:rPr>
        <w:t xml:space="preserve">чественное улучшение кадрового потенциала гражданской службы, </w:t>
      </w:r>
      <w:r w:rsidRPr="00787EA7">
        <w:rPr>
          <w:rFonts w:eastAsia="Calibri"/>
          <w:sz w:val="22"/>
          <w:szCs w:val="22"/>
          <w:lang w:eastAsia="en-US"/>
        </w:rPr>
        <w:lastRenderedPageBreak/>
        <w:t>но и обеспечивает фундаментальную потребность человека в н</w:t>
      </w:r>
      <w:r w:rsidRPr="00787EA7">
        <w:rPr>
          <w:rFonts w:eastAsia="Calibri"/>
          <w:sz w:val="22"/>
          <w:szCs w:val="22"/>
          <w:lang w:eastAsia="en-US"/>
        </w:rPr>
        <w:t>е</w:t>
      </w:r>
      <w:r w:rsidRPr="00787EA7">
        <w:rPr>
          <w:rFonts w:eastAsia="Calibri"/>
          <w:sz w:val="22"/>
          <w:szCs w:val="22"/>
          <w:lang w:eastAsia="en-US"/>
        </w:rPr>
        <w:t>прерывном образовании и развитии личности.</w:t>
      </w:r>
    </w:p>
    <w:p w:rsidR="00787EA7" w:rsidRPr="00787EA7" w:rsidRDefault="00787EA7" w:rsidP="00787EA7">
      <w:pPr>
        <w:ind w:firstLine="425"/>
        <w:jc w:val="both"/>
        <w:rPr>
          <w:rFonts w:eastAsia="Calibri"/>
          <w:sz w:val="22"/>
          <w:szCs w:val="22"/>
          <w:lang w:eastAsia="en-US"/>
        </w:rPr>
      </w:pPr>
    </w:p>
    <w:p w:rsidR="00787EA7" w:rsidRPr="00787EA7" w:rsidRDefault="00787EA7" w:rsidP="00787EA7">
      <w:pPr>
        <w:ind w:firstLine="425"/>
        <w:jc w:val="center"/>
        <w:rPr>
          <w:rFonts w:eastAsia="Calibri"/>
          <w:sz w:val="22"/>
          <w:szCs w:val="22"/>
          <w:lang w:eastAsia="en-US"/>
        </w:rPr>
      </w:pPr>
      <w:r w:rsidRPr="00787EA7">
        <w:rPr>
          <w:rFonts w:eastAsia="Calibri"/>
          <w:sz w:val="22"/>
          <w:szCs w:val="22"/>
          <w:lang w:eastAsia="en-US"/>
        </w:rPr>
        <w:t>Список литературы</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1.</w:t>
      </w:r>
      <w:r w:rsidRPr="00787EA7">
        <w:rPr>
          <w:rFonts w:eastAsia="Calibri"/>
          <w:sz w:val="22"/>
          <w:szCs w:val="22"/>
          <w:lang w:eastAsia="en-US"/>
        </w:rPr>
        <w:tab/>
        <w:t>Кох, М.Н. Психологические закономерности професси</w:t>
      </w:r>
      <w:r w:rsidRPr="00787EA7">
        <w:rPr>
          <w:rFonts w:eastAsia="Calibri"/>
          <w:sz w:val="22"/>
          <w:szCs w:val="22"/>
          <w:lang w:eastAsia="en-US"/>
        </w:rPr>
        <w:t>о</w:t>
      </w:r>
      <w:r w:rsidRPr="00787EA7">
        <w:rPr>
          <w:rFonts w:eastAsia="Calibri"/>
          <w:sz w:val="22"/>
          <w:szCs w:val="22"/>
          <w:lang w:eastAsia="en-US"/>
        </w:rPr>
        <w:t>нального обучения персонала в организации / М.Н. Кох // Научное обеспечение агропромышленного комплекса.  Сборник статей по материалам 71-й научно-практической конференции преподават</w:t>
      </w:r>
      <w:r w:rsidRPr="00787EA7">
        <w:rPr>
          <w:rFonts w:eastAsia="Calibri"/>
          <w:sz w:val="22"/>
          <w:szCs w:val="22"/>
          <w:lang w:eastAsia="en-US"/>
        </w:rPr>
        <w:t>е</w:t>
      </w:r>
      <w:r w:rsidRPr="00787EA7">
        <w:rPr>
          <w:rFonts w:eastAsia="Calibri"/>
          <w:sz w:val="22"/>
          <w:szCs w:val="22"/>
          <w:lang w:eastAsia="en-US"/>
        </w:rPr>
        <w:t>лей по итогам НИР за 2015 год. Ответственный за выпуск А. Г. К</w:t>
      </w:r>
      <w:r w:rsidRPr="00787EA7">
        <w:rPr>
          <w:rFonts w:eastAsia="Calibri"/>
          <w:sz w:val="22"/>
          <w:szCs w:val="22"/>
          <w:lang w:eastAsia="en-US"/>
        </w:rPr>
        <w:t>о</w:t>
      </w:r>
      <w:r w:rsidRPr="00787EA7">
        <w:rPr>
          <w:rFonts w:eastAsia="Calibri"/>
          <w:sz w:val="22"/>
          <w:szCs w:val="22"/>
          <w:lang w:eastAsia="en-US"/>
        </w:rPr>
        <w:t>щаев. 2016. С. 533-535.</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2. Луговский, В.А. К вопросу о конкурентоспособности в</w:t>
      </w:r>
      <w:r w:rsidRPr="00787EA7">
        <w:rPr>
          <w:rFonts w:eastAsia="Calibri"/>
          <w:sz w:val="22"/>
          <w:szCs w:val="22"/>
          <w:lang w:eastAsia="en-US"/>
        </w:rPr>
        <w:t>ы</w:t>
      </w:r>
      <w:r w:rsidRPr="00787EA7">
        <w:rPr>
          <w:rFonts w:eastAsia="Calibri"/>
          <w:sz w:val="22"/>
          <w:szCs w:val="22"/>
          <w:lang w:eastAsia="en-US"/>
        </w:rPr>
        <w:t>пускников вуза – будущих работников в сфере государственного муниципального управления / В.А. Луговский, М.Н. Кох // Образ</w:t>
      </w:r>
      <w:r w:rsidRPr="00787EA7">
        <w:rPr>
          <w:rFonts w:eastAsia="Calibri"/>
          <w:sz w:val="22"/>
          <w:szCs w:val="22"/>
          <w:lang w:eastAsia="en-US"/>
        </w:rPr>
        <w:t>о</w:t>
      </w:r>
      <w:r w:rsidRPr="00787EA7">
        <w:rPr>
          <w:rFonts w:eastAsia="Calibri"/>
          <w:sz w:val="22"/>
          <w:szCs w:val="22"/>
          <w:lang w:eastAsia="en-US"/>
        </w:rPr>
        <w:t>вание через всю жизнь: Непрерывное образование в интересах устойчивого развития: материалы 13-й международной конф: в 2 ч. / сост. Н. А. Лобанов; под научн. ред. Н. А. Лобанова и В. Н. Скво</w:t>
      </w:r>
      <w:r w:rsidRPr="00787EA7">
        <w:rPr>
          <w:rFonts w:eastAsia="Calibri"/>
          <w:sz w:val="22"/>
          <w:szCs w:val="22"/>
          <w:lang w:eastAsia="en-US"/>
        </w:rPr>
        <w:t>р</w:t>
      </w:r>
      <w:r w:rsidRPr="00787EA7">
        <w:rPr>
          <w:rFonts w:eastAsia="Calibri"/>
          <w:sz w:val="22"/>
          <w:szCs w:val="22"/>
          <w:lang w:eastAsia="en-US"/>
        </w:rPr>
        <w:t>цова; ЛГУ им. А. С. Пушкина, - Вып. 13. – СПб: ЛГУ им. А. С. Пушкина, 2015. – Ч. I. – 582 с. С.370-374, РИНЦ</w:t>
      </w:r>
    </w:p>
    <w:p w:rsidR="00787EA7" w:rsidRPr="00787EA7" w:rsidRDefault="00787EA7" w:rsidP="00787EA7">
      <w:pPr>
        <w:ind w:firstLine="425"/>
        <w:jc w:val="both"/>
        <w:rPr>
          <w:rFonts w:eastAsia="Calibri"/>
          <w:sz w:val="22"/>
          <w:szCs w:val="22"/>
          <w:lang w:eastAsia="en-US"/>
        </w:rPr>
      </w:pPr>
      <w:r w:rsidRPr="00787EA7">
        <w:rPr>
          <w:rFonts w:eastAsia="Calibri"/>
          <w:sz w:val="22"/>
          <w:szCs w:val="22"/>
          <w:lang w:eastAsia="en-US"/>
        </w:rPr>
        <w:t>3. Словарь профориентации [электронный ресурс] / Режим д</w:t>
      </w:r>
      <w:r w:rsidRPr="00787EA7">
        <w:rPr>
          <w:rFonts w:eastAsia="Calibri"/>
          <w:sz w:val="22"/>
          <w:szCs w:val="22"/>
          <w:lang w:eastAsia="en-US"/>
        </w:rPr>
        <w:t>о</w:t>
      </w:r>
      <w:r w:rsidRPr="00787EA7">
        <w:rPr>
          <w:rFonts w:eastAsia="Calibri"/>
          <w:sz w:val="22"/>
          <w:szCs w:val="22"/>
          <w:lang w:eastAsia="en-US"/>
        </w:rPr>
        <w:t>ступа: https://vocabulary.ru/slovari/</w:t>
      </w:r>
    </w:p>
    <w:p w:rsidR="00787EA7" w:rsidRDefault="00787EA7">
      <w:pPr>
        <w:rPr>
          <w:sz w:val="22"/>
          <w:szCs w:val="22"/>
        </w:rPr>
      </w:pPr>
    </w:p>
    <w:p w:rsidR="00787EA7" w:rsidRDefault="00787EA7">
      <w:pPr>
        <w:rPr>
          <w:sz w:val="22"/>
          <w:szCs w:val="22"/>
        </w:rPr>
      </w:pPr>
    </w:p>
    <w:p w:rsidR="00D06207" w:rsidRPr="00D774BC" w:rsidRDefault="00D06207">
      <w:pPr>
        <w:rPr>
          <w:sz w:val="22"/>
          <w:szCs w:val="22"/>
        </w:rPr>
      </w:pPr>
      <w:r w:rsidRPr="00D774BC">
        <w:rPr>
          <w:sz w:val="22"/>
          <w:szCs w:val="22"/>
        </w:rPr>
        <w:br w:type="page"/>
      </w:r>
    </w:p>
    <w:p w:rsidR="00451253" w:rsidRPr="000E0BAF" w:rsidRDefault="00C443BA" w:rsidP="00451253">
      <w:pPr>
        <w:jc w:val="center"/>
        <w:rPr>
          <w:b/>
          <w:bCs/>
        </w:rPr>
      </w:pPr>
      <w:r w:rsidRPr="000E0BAF">
        <w:rPr>
          <w:b/>
          <w:bCs/>
        </w:rPr>
        <w:lastRenderedPageBreak/>
        <w:t>Учетно-финансовый факультет</w:t>
      </w:r>
    </w:p>
    <w:p w:rsidR="00451253" w:rsidRPr="000E0BAF" w:rsidRDefault="00451253" w:rsidP="0041052D">
      <w:pPr>
        <w:rPr>
          <w:bCs/>
          <w:sz w:val="22"/>
          <w:szCs w:val="22"/>
        </w:rPr>
      </w:pPr>
    </w:p>
    <w:p w:rsidR="00787EA7" w:rsidRPr="001E2244" w:rsidRDefault="00787EA7" w:rsidP="001E2244">
      <w:pPr>
        <w:widowControl w:val="0"/>
        <w:suppressAutoHyphens/>
        <w:spacing w:before="36"/>
        <w:rPr>
          <w:rFonts w:eastAsia="Andale Sans UI"/>
          <w:kern w:val="1"/>
          <w:sz w:val="22"/>
          <w:szCs w:val="22"/>
          <w:lang w:eastAsia="ar-SA"/>
        </w:rPr>
      </w:pPr>
      <w:r w:rsidRPr="005879CD">
        <w:rPr>
          <w:rFonts w:eastAsia="Andale Sans UI"/>
          <w:kern w:val="1"/>
          <w:sz w:val="22"/>
          <w:szCs w:val="22"/>
          <w:lang w:eastAsia="ar-SA"/>
        </w:rPr>
        <w:t xml:space="preserve">УДК </w:t>
      </w:r>
      <w:r w:rsidRPr="005879CD">
        <w:rPr>
          <w:rFonts w:eastAsia="Andale Sans UI"/>
          <w:color w:val="000000"/>
          <w:kern w:val="1"/>
          <w:sz w:val="22"/>
          <w:szCs w:val="22"/>
          <w:shd w:val="clear" w:color="auto" w:fill="FFFFFF" w:themeFill="background1"/>
          <w:lang w:eastAsia="ar-SA"/>
        </w:rPr>
        <w:t>657.1.011.56</w:t>
      </w:r>
    </w:p>
    <w:p w:rsidR="00787EA7" w:rsidRPr="00787EA7" w:rsidRDefault="00787EA7" w:rsidP="00787EA7">
      <w:pPr>
        <w:widowControl w:val="0"/>
        <w:suppressAutoHyphens/>
        <w:ind w:firstLine="425"/>
        <w:jc w:val="center"/>
        <w:rPr>
          <w:rFonts w:eastAsia="Andale Sans UI"/>
          <w:b/>
          <w:kern w:val="1"/>
          <w:sz w:val="24"/>
          <w:szCs w:val="24"/>
          <w:lang w:eastAsia="ar-SA"/>
        </w:rPr>
      </w:pPr>
      <w:r w:rsidRPr="00787EA7">
        <w:rPr>
          <w:rFonts w:eastAsia="Andale Sans UI"/>
          <w:b/>
          <w:kern w:val="1"/>
          <w:sz w:val="24"/>
          <w:szCs w:val="24"/>
          <w:lang w:eastAsia="ar-SA"/>
        </w:rPr>
        <w:t xml:space="preserve">Современные информационные системы </w:t>
      </w:r>
    </w:p>
    <w:p w:rsidR="00787EA7" w:rsidRPr="001E2F2C" w:rsidRDefault="00787EA7" w:rsidP="00787EA7">
      <w:pPr>
        <w:widowControl w:val="0"/>
        <w:suppressAutoHyphens/>
        <w:ind w:firstLine="425"/>
        <w:jc w:val="center"/>
        <w:rPr>
          <w:rFonts w:eastAsia="Andale Sans UI"/>
          <w:b/>
          <w:kern w:val="1"/>
          <w:sz w:val="24"/>
          <w:szCs w:val="24"/>
          <w:lang w:val="en-US" w:eastAsia="ar-SA"/>
        </w:rPr>
      </w:pPr>
      <w:r w:rsidRPr="00787EA7">
        <w:rPr>
          <w:rFonts w:eastAsia="Andale Sans UI"/>
          <w:b/>
          <w:kern w:val="1"/>
          <w:sz w:val="24"/>
          <w:szCs w:val="24"/>
          <w:lang w:eastAsia="ar-SA"/>
        </w:rPr>
        <w:t>в</w:t>
      </w:r>
      <w:r w:rsidRPr="001E2F2C">
        <w:rPr>
          <w:rFonts w:eastAsia="Andale Sans UI"/>
          <w:b/>
          <w:kern w:val="1"/>
          <w:sz w:val="24"/>
          <w:szCs w:val="24"/>
          <w:lang w:val="en-US" w:eastAsia="ar-SA"/>
        </w:rPr>
        <w:t xml:space="preserve"> </w:t>
      </w:r>
      <w:r w:rsidRPr="00787EA7">
        <w:rPr>
          <w:rFonts w:eastAsia="Andale Sans UI"/>
          <w:b/>
          <w:kern w:val="1"/>
          <w:sz w:val="24"/>
          <w:szCs w:val="24"/>
          <w:lang w:eastAsia="ar-SA"/>
        </w:rPr>
        <w:t>бухгалтерском</w:t>
      </w:r>
      <w:r w:rsidRPr="001E2F2C">
        <w:rPr>
          <w:rFonts w:eastAsia="Andale Sans UI"/>
          <w:b/>
          <w:kern w:val="1"/>
          <w:sz w:val="24"/>
          <w:szCs w:val="24"/>
          <w:lang w:val="en-US" w:eastAsia="ar-SA"/>
        </w:rPr>
        <w:t xml:space="preserve"> </w:t>
      </w:r>
      <w:r w:rsidRPr="00787EA7">
        <w:rPr>
          <w:rFonts w:eastAsia="Andale Sans UI"/>
          <w:b/>
          <w:kern w:val="1"/>
          <w:sz w:val="24"/>
          <w:szCs w:val="24"/>
          <w:lang w:eastAsia="ar-SA"/>
        </w:rPr>
        <w:t>учете</w:t>
      </w:r>
    </w:p>
    <w:p w:rsidR="00787EA7" w:rsidRPr="00787EA7" w:rsidRDefault="00787EA7" w:rsidP="00787EA7">
      <w:pPr>
        <w:widowControl w:val="0"/>
        <w:suppressAutoHyphens/>
        <w:ind w:firstLine="425"/>
        <w:jc w:val="center"/>
        <w:rPr>
          <w:rFonts w:eastAsia="Andale Sans UI"/>
          <w:b/>
          <w:kern w:val="1"/>
          <w:sz w:val="24"/>
          <w:szCs w:val="24"/>
          <w:lang w:val="en-US" w:eastAsia="ar-SA"/>
        </w:rPr>
      </w:pPr>
      <w:r w:rsidRPr="00787EA7">
        <w:rPr>
          <w:rFonts w:eastAsia="Andale Sans UI"/>
          <w:b/>
          <w:kern w:val="1"/>
          <w:sz w:val="24"/>
          <w:szCs w:val="24"/>
          <w:lang w:val="en-US" w:eastAsia="ar-SA"/>
        </w:rPr>
        <w:t>Modern information systems in accounting</w:t>
      </w:r>
    </w:p>
    <w:p w:rsidR="00787EA7" w:rsidRPr="00787EA7" w:rsidRDefault="00787EA7" w:rsidP="00787EA7">
      <w:pPr>
        <w:widowControl w:val="0"/>
        <w:suppressAutoHyphens/>
        <w:ind w:firstLine="425"/>
        <w:jc w:val="both"/>
        <w:rPr>
          <w:rFonts w:eastAsia="Andale Sans UI"/>
          <w:b/>
          <w:kern w:val="1"/>
          <w:lang w:val="en-US" w:eastAsia="ar-SA"/>
        </w:rPr>
      </w:pPr>
    </w:p>
    <w:p w:rsidR="00787EA7" w:rsidRPr="005879CD" w:rsidRDefault="00787EA7" w:rsidP="00787EA7">
      <w:pPr>
        <w:widowControl w:val="0"/>
        <w:suppressAutoHyphens/>
        <w:jc w:val="right"/>
        <w:rPr>
          <w:rFonts w:eastAsia="Andale Sans UI"/>
          <w:kern w:val="1"/>
          <w:sz w:val="22"/>
          <w:szCs w:val="22"/>
          <w:lang w:eastAsia="ar-SA"/>
        </w:rPr>
      </w:pPr>
      <w:r w:rsidRPr="005879CD">
        <w:rPr>
          <w:rFonts w:eastAsia="Andale Sans UI"/>
          <w:kern w:val="1"/>
          <w:sz w:val="22"/>
          <w:szCs w:val="22"/>
          <w:lang w:eastAsia="ar-SA"/>
        </w:rPr>
        <w:t>Бакуменко С. В,</w:t>
      </w:r>
    </w:p>
    <w:p w:rsidR="00787EA7" w:rsidRPr="005879CD" w:rsidRDefault="00787EA7" w:rsidP="00787EA7">
      <w:pPr>
        <w:widowControl w:val="0"/>
        <w:suppressAutoHyphens/>
        <w:jc w:val="right"/>
        <w:rPr>
          <w:rFonts w:eastAsia="Andale Sans UI"/>
          <w:kern w:val="1"/>
          <w:sz w:val="22"/>
          <w:szCs w:val="22"/>
          <w:lang w:eastAsia="ar-SA"/>
        </w:rPr>
      </w:pPr>
      <w:r w:rsidRPr="005879CD">
        <w:rPr>
          <w:rFonts w:eastAsia="Andale Sans UI"/>
          <w:kern w:val="1"/>
          <w:sz w:val="22"/>
          <w:szCs w:val="22"/>
          <w:lang w:eastAsia="ar-SA"/>
        </w:rPr>
        <w:t>студентка 3-го курса учетно-финансового факультета,</w:t>
      </w:r>
    </w:p>
    <w:p w:rsidR="00787EA7" w:rsidRPr="005879CD" w:rsidRDefault="00787EA7" w:rsidP="00787EA7">
      <w:pPr>
        <w:widowControl w:val="0"/>
        <w:suppressAutoHyphens/>
        <w:ind w:firstLine="425"/>
        <w:jc w:val="right"/>
        <w:rPr>
          <w:rFonts w:eastAsia="Andale Sans UI"/>
          <w:kern w:val="1"/>
          <w:sz w:val="22"/>
          <w:szCs w:val="22"/>
          <w:lang w:eastAsia="ar-SA"/>
        </w:rPr>
      </w:pPr>
      <w:r w:rsidRPr="005879CD">
        <w:rPr>
          <w:rFonts w:eastAsia="Andale Sans UI"/>
          <w:kern w:val="1"/>
          <w:sz w:val="22"/>
          <w:szCs w:val="22"/>
          <w:lang w:eastAsia="ar-SA"/>
        </w:rPr>
        <w:t>Коровина М.</w:t>
      </w:r>
      <w:r w:rsidR="005879CD">
        <w:rPr>
          <w:rFonts w:eastAsia="Andale Sans UI"/>
          <w:kern w:val="1"/>
          <w:sz w:val="22"/>
          <w:szCs w:val="22"/>
          <w:lang w:eastAsia="ar-SA"/>
        </w:rPr>
        <w:t xml:space="preserve"> </w:t>
      </w:r>
      <w:r w:rsidRPr="005879CD">
        <w:rPr>
          <w:rFonts w:eastAsia="Andale Sans UI"/>
          <w:kern w:val="1"/>
          <w:sz w:val="22"/>
          <w:szCs w:val="22"/>
          <w:lang w:eastAsia="ar-SA"/>
        </w:rPr>
        <w:t>А.</w:t>
      </w:r>
      <w:r w:rsidR="005879CD">
        <w:rPr>
          <w:rFonts w:eastAsia="Andale Sans UI"/>
          <w:kern w:val="1"/>
          <w:sz w:val="22"/>
          <w:szCs w:val="22"/>
          <w:lang w:eastAsia="ar-SA"/>
        </w:rPr>
        <w:t>,</w:t>
      </w:r>
    </w:p>
    <w:p w:rsidR="00787EA7" w:rsidRPr="005879CD" w:rsidRDefault="00787EA7" w:rsidP="00787EA7">
      <w:pPr>
        <w:widowControl w:val="0"/>
        <w:suppressAutoHyphens/>
        <w:ind w:firstLine="425"/>
        <w:jc w:val="right"/>
        <w:rPr>
          <w:rFonts w:eastAsia="Andale Sans UI"/>
          <w:b/>
          <w:kern w:val="1"/>
          <w:sz w:val="22"/>
          <w:szCs w:val="22"/>
          <w:lang w:eastAsia="ar-SA"/>
        </w:rPr>
      </w:pPr>
      <w:r w:rsidRPr="005879CD">
        <w:rPr>
          <w:rFonts w:eastAsia="Andale Sans UI"/>
          <w:kern w:val="1"/>
          <w:sz w:val="22"/>
          <w:szCs w:val="22"/>
          <w:lang w:eastAsia="ar-SA"/>
        </w:rPr>
        <w:t>канд. экон. наук, доцент</w:t>
      </w:r>
    </w:p>
    <w:p w:rsidR="00787EA7" w:rsidRPr="005879CD" w:rsidRDefault="00787EA7" w:rsidP="00787EA7">
      <w:pPr>
        <w:widowControl w:val="0"/>
        <w:suppressAutoHyphens/>
        <w:jc w:val="right"/>
        <w:rPr>
          <w:rFonts w:eastAsia="Andale Sans UI"/>
          <w:kern w:val="1"/>
          <w:sz w:val="22"/>
          <w:szCs w:val="22"/>
          <w:lang w:eastAsia="ar-SA"/>
        </w:rPr>
      </w:pPr>
      <w:r w:rsidRPr="005879CD">
        <w:rPr>
          <w:rFonts w:eastAsia="Andale Sans UI"/>
          <w:kern w:val="1"/>
          <w:sz w:val="22"/>
          <w:szCs w:val="22"/>
          <w:lang w:eastAsia="ar-SA"/>
        </w:rPr>
        <w:t>Куб</w:t>
      </w:r>
      <w:r w:rsidR="005879CD">
        <w:rPr>
          <w:rFonts w:eastAsia="Andale Sans UI"/>
          <w:kern w:val="1"/>
          <w:sz w:val="22"/>
          <w:szCs w:val="22"/>
          <w:lang w:eastAsia="ar-SA"/>
        </w:rPr>
        <w:t>анский государственный аграрный</w:t>
      </w:r>
    </w:p>
    <w:p w:rsidR="00787EA7" w:rsidRPr="005879CD" w:rsidRDefault="00787EA7" w:rsidP="00787EA7">
      <w:pPr>
        <w:widowControl w:val="0"/>
        <w:suppressAutoHyphens/>
        <w:jc w:val="right"/>
        <w:rPr>
          <w:rFonts w:eastAsia="Andale Sans UI"/>
          <w:kern w:val="1"/>
          <w:sz w:val="22"/>
          <w:szCs w:val="22"/>
          <w:lang w:eastAsia="ar-SA"/>
        </w:rPr>
      </w:pPr>
      <w:r w:rsidRPr="005879CD">
        <w:rPr>
          <w:rFonts w:eastAsia="Andale Sans UI"/>
          <w:kern w:val="1"/>
          <w:sz w:val="22"/>
          <w:szCs w:val="22"/>
          <w:lang w:eastAsia="ar-SA"/>
        </w:rPr>
        <w:t>университет имени И. Т. Трубилина</w:t>
      </w:r>
    </w:p>
    <w:p w:rsidR="00787EA7" w:rsidRPr="00787EA7" w:rsidRDefault="00787EA7" w:rsidP="00787EA7">
      <w:pPr>
        <w:widowControl w:val="0"/>
        <w:suppressAutoHyphens/>
        <w:ind w:firstLine="425"/>
        <w:jc w:val="both"/>
        <w:rPr>
          <w:rFonts w:eastAsia="Andale Sans UI"/>
          <w:b/>
          <w:kern w:val="1"/>
          <w:sz w:val="24"/>
          <w:szCs w:val="24"/>
          <w:lang w:eastAsia="ar-SA"/>
        </w:rPr>
      </w:pP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АННОТАЦИЯ:</w:t>
      </w:r>
      <w:r w:rsidRPr="00787EA7">
        <w:rPr>
          <w:rFonts w:eastAsia="Andale Sans UI"/>
          <w:b/>
          <w:kern w:val="1"/>
          <w:sz w:val="22"/>
          <w:szCs w:val="22"/>
          <w:lang w:eastAsia="ar-SA"/>
        </w:rPr>
        <w:t xml:space="preserve"> </w:t>
      </w:r>
      <w:r w:rsidRPr="00787EA7">
        <w:rPr>
          <w:rFonts w:eastAsia="Andale Sans UI"/>
          <w:kern w:val="1"/>
          <w:sz w:val="22"/>
          <w:szCs w:val="22"/>
          <w:lang w:eastAsia="ar-SA"/>
        </w:rPr>
        <w:t>Рассмотрены наиболее популярные информационные системы бухгалтерского учета, используемые экономическими субъектами в РФ. Они упрощают ведение учета и позволяют более быстро и эффективно принимать нужные решения.</w:t>
      </w:r>
    </w:p>
    <w:p w:rsidR="00787EA7" w:rsidRPr="00787EA7" w:rsidRDefault="00787EA7" w:rsidP="00787EA7">
      <w:pPr>
        <w:widowControl w:val="0"/>
        <w:suppressAutoHyphens/>
        <w:ind w:firstLine="397"/>
        <w:jc w:val="both"/>
        <w:rPr>
          <w:rFonts w:eastAsia="Andale Sans UI"/>
          <w:kern w:val="1"/>
          <w:sz w:val="22"/>
          <w:szCs w:val="22"/>
          <w:lang w:val="en-US" w:eastAsia="ar-SA"/>
        </w:rPr>
      </w:pPr>
      <w:r w:rsidRPr="00787EA7">
        <w:rPr>
          <w:rFonts w:eastAsia="Andale Sans UI"/>
          <w:kern w:val="1"/>
          <w:sz w:val="22"/>
          <w:szCs w:val="22"/>
          <w:lang w:val="en-US" w:eastAsia="ar-SA"/>
        </w:rPr>
        <w:t>ABSTRACT: The most popular information systems of financial accounting used by economic actors in the Russian Federation are considered. They simplify accounting and allow to make more quickly and effectively the necessary decisions.</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КЛЮЧЕВЫЕ СЛОВА: информационные системы, бухгалтерский учет, расчеты, критерии программ.</w:t>
      </w:r>
    </w:p>
    <w:p w:rsidR="00787EA7" w:rsidRPr="00787EA7" w:rsidRDefault="00787EA7" w:rsidP="00787EA7">
      <w:pPr>
        <w:widowControl w:val="0"/>
        <w:suppressAutoHyphens/>
        <w:ind w:firstLine="397"/>
        <w:jc w:val="both"/>
        <w:rPr>
          <w:rFonts w:eastAsia="Andale Sans UI"/>
          <w:kern w:val="1"/>
          <w:sz w:val="22"/>
          <w:szCs w:val="22"/>
          <w:lang w:val="en-US" w:eastAsia="ar-SA"/>
        </w:rPr>
      </w:pPr>
      <w:r w:rsidRPr="00787EA7">
        <w:rPr>
          <w:rFonts w:eastAsia="Andale Sans UI"/>
          <w:kern w:val="1"/>
          <w:sz w:val="22"/>
          <w:szCs w:val="22"/>
          <w:lang w:val="en-US" w:eastAsia="ar-SA"/>
        </w:rPr>
        <w:t>KEYWORDS: information systems, accounting, calculations, program criteria.</w:t>
      </w:r>
    </w:p>
    <w:p w:rsidR="00787EA7" w:rsidRPr="00787EA7" w:rsidRDefault="00787EA7" w:rsidP="00787EA7">
      <w:pPr>
        <w:widowControl w:val="0"/>
        <w:suppressAutoHyphens/>
        <w:ind w:firstLine="397"/>
        <w:jc w:val="both"/>
        <w:rPr>
          <w:rFonts w:eastAsia="Andale Sans UI"/>
          <w:kern w:val="1"/>
          <w:sz w:val="22"/>
          <w:szCs w:val="22"/>
          <w:lang w:val="en-US" w:eastAsia="ar-SA"/>
        </w:rPr>
      </w:pP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В современном мире важной задачей, стоящей перед любым предприятием, является автоматизация бухгалтерского учета. На рынке предлагаются разнообразные методические информационные системы для бухгалтеров, которые дают возможность стремительно и удаленно актуализировать знания бухгалтера.</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Автоматизированная система бухгалтерского учета (АСБУ) - это комплекс данных и программных средств, взаимозависимых между собой, а также взаимосвязь персонала, стандартов и процедур, которые предусмотрены для сбора, обработки, хранения данных в соответствии с требованиями, вытекающими из целей компании [2].</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lastRenderedPageBreak/>
        <w:t>Существует ряд определенных критериев, которым должна соответствовать методическая информационная система:</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1. Универсальность - информационная система должна быть направлена на широкий круг пользователей, а не специализирована под определенную отрасль;</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2. Доступность изложения материала - данные информационной системы должны быть представлены доступным языком и понятны пользователям, обладающим профильным образованием и знающим основы бухгалтерского учета и налогообложения;</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3. Достоверность - статьи в тексте могут быть подкреплены ссылками на законодательство, арбитражную практику, письмами министерств и ведомств.</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4. Высокий профессиональный уровень - материалы системы должны быть направлены на профессионального бухгалтера, который пользуется соответствующими данными в процессе своей деятельности;</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5. Практическая ценность - практические примеры по бухгалтерскому учету и налогообложению должны быть применимы на практике;</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6. Обратная связь - возможность пользователей связаться с разработчиками программы;</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7. Удобство в использовании - информационная система должна иметь понятную структуру и расширенный поиск, чтобы пользователь без усилий находил необходимый материал [1].</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Одним из важных критериев также можно назвать стоимость информационной системы. Каждая организация выбирает максимально удобный и выгодный для себя вариант при приобретении АИСБУ.</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Существует ряд популярных российских информационных систем. Рассмотрим некоторые из них:</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  Система «1С: Бухгалтерия» -  на сегодняшний день это самая известная и продаваемая система в России. Является одной из самых универсальных бухгалтерских программ, которая может использоваться в абсолютно разных организациях. Она основана на платформе «1С: Предприятие», которую предприятие самостоятельно может модифицировать. Данная гибкость позволяет решать множество различных задач. </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lastRenderedPageBreak/>
        <w:t>- Система «БЭСТ» - российская система денежных переводов и платежей. Интерфейс системы ориентирован на пользователя, благодаря чему, большая часть опций может быть выполнена без помощи других пользователей, без привлечения специалистов фирмы - разработчика. Нужно отметить, что «БЭСТ» считается закрытой системой и не может быть изменена пользователем.</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Программа «Парус» - обладает обширной библиотекой интегрированных функций с целью выполнения расчетов, в том числе специальные функции статистического и финансового анализа. Разработка предназначена для малых и средних хозрасчетных предприятий различного профиля деятельности.</w:t>
      </w:r>
    </w:p>
    <w:p w:rsidR="00787EA7" w:rsidRPr="00787EA7" w:rsidRDefault="00787EA7" w:rsidP="00787EA7">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 Программа «Атлант - информ» (серия Аккорд) -  система Аккорд является комплексной автоматизированной системой учета и управления предприятием. Принципы построения Аккорд позволяют использовать ее на предприятиях с различными формами собственности и разнообразными видами деятельности [3]. </w:t>
      </w:r>
    </w:p>
    <w:p w:rsidR="00787EA7" w:rsidRPr="00787EA7" w:rsidRDefault="00787EA7" w:rsidP="001E2244">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В заключении можно сказать, что перед тем, как приобретать руководством компании одну из имеющихся систем, необходимо учитывать все критерии, а также выгоды от покупки и внедрения для ведения бухгалтерского учета. Приобретение информационных систем позволяет упорядочить бухучет, повысит его оперативность, увеличить количество получаемой информации, уменьшить число арифметических ошибок, оценить текущее финансовое положение предприятия и его перспективы.</w:t>
      </w:r>
    </w:p>
    <w:p w:rsidR="00787EA7" w:rsidRPr="00787EA7" w:rsidRDefault="00787EA7" w:rsidP="00787EA7">
      <w:pPr>
        <w:widowControl w:val="0"/>
        <w:suppressAutoHyphens/>
        <w:ind w:firstLine="397"/>
        <w:jc w:val="center"/>
        <w:rPr>
          <w:rFonts w:eastAsia="Andale Sans UI"/>
          <w:kern w:val="1"/>
          <w:sz w:val="22"/>
          <w:szCs w:val="22"/>
          <w:lang w:eastAsia="ar-SA"/>
        </w:rPr>
      </w:pPr>
      <w:r w:rsidRPr="00787EA7">
        <w:rPr>
          <w:rFonts w:eastAsia="Andale Sans UI"/>
          <w:kern w:val="1"/>
          <w:sz w:val="22"/>
          <w:szCs w:val="22"/>
          <w:lang w:eastAsia="ar-SA"/>
        </w:rPr>
        <w:t>Список литературы</w:t>
      </w:r>
    </w:p>
    <w:p w:rsidR="00787EA7" w:rsidRPr="00787EA7" w:rsidRDefault="00787EA7" w:rsidP="00787EA7">
      <w:pPr>
        <w:widowControl w:val="0"/>
        <w:shd w:val="clear" w:color="auto" w:fill="FFFFFF" w:themeFill="background1"/>
        <w:suppressAutoHyphens/>
        <w:ind w:firstLine="397"/>
        <w:jc w:val="both"/>
        <w:rPr>
          <w:rFonts w:eastAsia="Andale Sans UI"/>
          <w:spacing w:val="-6"/>
          <w:kern w:val="1"/>
          <w:sz w:val="22"/>
          <w:szCs w:val="22"/>
          <w:lang w:eastAsia="ar-SA"/>
        </w:rPr>
      </w:pPr>
      <w:r w:rsidRPr="00787EA7">
        <w:rPr>
          <w:rFonts w:eastAsia="Andale Sans UI"/>
          <w:spacing w:val="-6"/>
          <w:kern w:val="1"/>
          <w:sz w:val="22"/>
          <w:szCs w:val="22"/>
          <w:lang w:eastAsia="ar-SA"/>
        </w:rPr>
        <w:t xml:space="preserve">1. Коровина, М. А. Автоматизация бухгалтерского учета / М. А. Коровина, В. В. Брижак // Современная экономика: проблемы, перспективы, информационное обеспечение: материалы </w:t>
      </w:r>
      <w:r w:rsidRPr="00787EA7">
        <w:rPr>
          <w:rFonts w:eastAsia="Andale Sans UI"/>
          <w:spacing w:val="-6"/>
          <w:kern w:val="1"/>
          <w:sz w:val="22"/>
          <w:szCs w:val="22"/>
          <w:lang w:val="en-US" w:eastAsia="ar-SA"/>
        </w:rPr>
        <w:t>VI</w:t>
      </w:r>
      <w:r w:rsidRPr="00787EA7">
        <w:rPr>
          <w:rFonts w:eastAsia="Andale Sans UI"/>
          <w:spacing w:val="-6"/>
          <w:kern w:val="1"/>
          <w:sz w:val="22"/>
          <w:szCs w:val="22"/>
          <w:lang w:eastAsia="ar-SA"/>
        </w:rPr>
        <w:t xml:space="preserve"> МНК. - Краснодар: КубГАУ, 2017. С. 67-70.</w:t>
      </w:r>
    </w:p>
    <w:p w:rsidR="00787EA7" w:rsidRPr="00787EA7" w:rsidRDefault="00787EA7" w:rsidP="00787EA7">
      <w:pPr>
        <w:widowControl w:val="0"/>
        <w:shd w:val="clear" w:color="auto" w:fill="FFFFFF" w:themeFill="background1"/>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2. Папова, Л. В. Автоматизация и информатизация бухгалтерского учета / Л. В. Папова, Д. В. Фарафонова // Формирование экономического потенциала субъектов хозяйственной деятельности: проблемы, перспективы, учетно-аналитическое обеспечение: материалы </w:t>
      </w:r>
      <w:r w:rsidRPr="00787EA7">
        <w:rPr>
          <w:rFonts w:eastAsia="Andale Sans UI"/>
          <w:kern w:val="1"/>
          <w:sz w:val="22"/>
          <w:szCs w:val="22"/>
          <w:lang w:val="en-US" w:eastAsia="ar-SA"/>
        </w:rPr>
        <w:t>VI</w:t>
      </w:r>
      <w:r w:rsidRPr="00787EA7">
        <w:rPr>
          <w:rFonts w:eastAsia="Andale Sans UI"/>
          <w:kern w:val="1"/>
          <w:sz w:val="22"/>
          <w:szCs w:val="22"/>
          <w:lang w:eastAsia="ar-SA"/>
        </w:rPr>
        <w:t xml:space="preserve"> международной научной конференции. - Майкоп: Магарин О. Г., 2016. -  С. 225-228.</w:t>
      </w:r>
    </w:p>
    <w:p w:rsidR="00787EA7" w:rsidRPr="007130E4" w:rsidRDefault="00787EA7" w:rsidP="007130E4">
      <w:pPr>
        <w:widowControl w:val="0"/>
        <w:suppressAutoHyphens/>
        <w:ind w:firstLine="397"/>
        <w:rPr>
          <w:rFonts w:eastAsia="Calibri"/>
          <w:b/>
          <w:kern w:val="1"/>
          <w:sz w:val="22"/>
          <w:szCs w:val="22"/>
          <w:lang w:eastAsia="ar-SA"/>
        </w:rPr>
      </w:pPr>
      <w:r w:rsidRPr="00787EA7">
        <w:rPr>
          <w:rFonts w:eastAsia="Andale Sans UI"/>
          <w:kern w:val="1"/>
          <w:sz w:val="22"/>
          <w:szCs w:val="22"/>
          <w:lang w:eastAsia="ar-SA"/>
        </w:rPr>
        <w:t>3. Бухгалтерские программы [Электронный ресурс]. - Режим доступа: https://www.ib.ru/</w:t>
      </w:r>
      <w:r w:rsidRPr="00787EA7">
        <w:rPr>
          <w:rFonts w:eastAsia="Calibri"/>
          <w:b/>
          <w:kern w:val="1"/>
          <w:sz w:val="22"/>
          <w:szCs w:val="22"/>
          <w:lang w:eastAsia="ar-SA"/>
        </w:rPr>
        <w:t xml:space="preserve"> </w:t>
      </w:r>
    </w:p>
    <w:p w:rsidR="001E2244" w:rsidRDefault="001E2244" w:rsidP="00787EA7">
      <w:pPr>
        <w:widowControl w:val="0"/>
        <w:suppressAutoHyphens/>
        <w:rPr>
          <w:rFonts w:eastAsia="Calibri"/>
          <w:kern w:val="1"/>
          <w:sz w:val="22"/>
          <w:szCs w:val="22"/>
          <w:lang w:eastAsia="ar-SA"/>
        </w:rPr>
      </w:pPr>
    </w:p>
    <w:p w:rsidR="00787EA7" w:rsidRPr="005879CD" w:rsidRDefault="00787EA7" w:rsidP="00787EA7">
      <w:pPr>
        <w:widowControl w:val="0"/>
        <w:suppressAutoHyphens/>
        <w:rPr>
          <w:rFonts w:eastAsia="Calibri"/>
          <w:kern w:val="1"/>
          <w:sz w:val="22"/>
          <w:szCs w:val="22"/>
          <w:lang w:eastAsia="ar-SA"/>
        </w:rPr>
      </w:pPr>
      <w:r w:rsidRPr="005879CD">
        <w:rPr>
          <w:rFonts w:eastAsia="Calibri"/>
          <w:kern w:val="1"/>
          <w:sz w:val="22"/>
          <w:szCs w:val="22"/>
          <w:lang w:eastAsia="ar-SA"/>
        </w:rPr>
        <w:lastRenderedPageBreak/>
        <w:t>УДК 657.1</w:t>
      </w:r>
    </w:p>
    <w:p w:rsidR="00787EA7" w:rsidRPr="00787EA7" w:rsidRDefault="00787EA7" w:rsidP="00787EA7">
      <w:pPr>
        <w:widowControl w:val="0"/>
        <w:suppressAutoHyphens/>
        <w:rPr>
          <w:rFonts w:eastAsia="Calibri"/>
          <w:b/>
          <w:kern w:val="1"/>
          <w:sz w:val="24"/>
          <w:szCs w:val="24"/>
          <w:lang w:eastAsia="ar-SA"/>
        </w:rPr>
      </w:pPr>
    </w:p>
    <w:p w:rsidR="00787EA7" w:rsidRPr="00787EA7" w:rsidRDefault="00787EA7" w:rsidP="00787EA7">
      <w:pPr>
        <w:widowControl w:val="0"/>
        <w:suppressAutoHyphens/>
        <w:jc w:val="center"/>
        <w:rPr>
          <w:rFonts w:eastAsia="Calibri"/>
          <w:b/>
          <w:kern w:val="1"/>
          <w:sz w:val="24"/>
          <w:szCs w:val="24"/>
          <w:lang w:eastAsia="ar-SA"/>
        </w:rPr>
      </w:pPr>
      <w:r w:rsidRPr="00787EA7">
        <w:rPr>
          <w:rFonts w:eastAsia="Calibri"/>
          <w:b/>
          <w:kern w:val="1"/>
          <w:sz w:val="24"/>
          <w:szCs w:val="24"/>
          <w:lang w:eastAsia="ar-SA"/>
        </w:rPr>
        <w:t>Аутсорсинг в современных экономических условиях</w:t>
      </w:r>
    </w:p>
    <w:p w:rsidR="00787EA7" w:rsidRPr="00787EA7" w:rsidRDefault="00787EA7" w:rsidP="00787EA7">
      <w:pPr>
        <w:shd w:val="clear" w:color="auto" w:fill="FFFFFF"/>
        <w:jc w:val="center"/>
        <w:rPr>
          <w:rFonts w:ascii="inherit" w:hAnsi="inherit" w:cs="Courier New"/>
          <w:color w:val="212121"/>
          <w:sz w:val="20"/>
          <w:szCs w:val="20"/>
          <w:lang w:val="en-US"/>
        </w:rPr>
      </w:pPr>
      <w:r w:rsidRPr="00787EA7">
        <w:rPr>
          <w:rFonts w:eastAsia="Calibri"/>
          <w:b/>
          <w:sz w:val="24"/>
          <w:szCs w:val="24"/>
          <w:lang w:eastAsia="en-US"/>
        </w:rPr>
        <w:t>О</w:t>
      </w:r>
      <w:r w:rsidRPr="00787EA7">
        <w:rPr>
          <w:rFonts w:eastAsia="Calibri"/>
          <w:b/>
          <w:sz w:val="24"/>
          <w:szCs w:val="24"/>
          <w:lang w:val="en-US" w:eastAsia="en-US"/>
        </w:rPr>
        <w:t>utsourcing in modern economic conditions</w:t>
      </w:r>
    </w:p>
    <w:p w:rsidR="00787EA7" w:rsidRPr="00787EA7" w:rsidRDefault="00787EA7" w:rsidP="00787EA7">
      <w:pPr>
        <w:widowControl w:val="0"/>
        <w:suppressAutoHyphens/>
        <w:ind w:firstLine="425"/>
        <w:jc w:val="center"/>
        <w:rPr>
          <w:rFonts w:eastAsia="Calibri"/>
          <w:b/>
          <w:kern w:val="1"/>
          <w:sz w:val="24"/>
          <w:szCs w:val="24"/>
          <w:lang w:val="en-US" w:eastAsia="ar-SA"/>
        </w:rPr>
      </w:pPr>
    </w:p>
    <w:p w:rsidR="00787EA7" w:rsidRPr="00C56F2E" w:rsidRDefault="00787EA7" w:rsidP="00787EA7">
      <w:pPr>
        <w:widowControl w:val="0"/>
        <w:suppressAutoHyphens/>
        <w:ind w:firstLine="425"/>
        <w:jc w:val="right"/>
        <w:rPr>
          <w:rFonts w:eastAsia="Calibri"/>
          <w:kern w:val="1"/>
          <w:sz w:val="22"/>
          <w:szCs w:val="22"/>
          <w:lang w:val="en-US" w:eastAsia="ar-SA"/>
        </w:rPr>
      </w:pPr>
      <w:r w:rsidRPr="005879CD">
        <w:rPr>
          <w:rFonts w:eastAsia="Calibri"/>
          <w:kern w:val="1"/>
          <w:sz w:val="22"/>
          <w:szCs w:val="22"/>
          <w:lang w:eastAsia="ar-SA"/>
        </w:rPr>
        <w:t>Бурова</w:t>
      </w:r>
      <w:r w:rsidRPr="005879CD">
        <w:rPr>
          <w:rFonts w:eastAsia="Calibri"/>
          <w:kern w:val="1"/>
          <w:sz w:val="22"/>
          <w:szCs w:val="22"/>
          <w:lang w:val="en-US" w:eastAsia="ar-SA"/>
        </w:rPr>
        <w:t xml:space="preserve"> </w:t>
      </w:r>
      <w:r w:rsidRPr="005879CD">
        <w:rPr>
          <w:rFonts w:eastAsia="Calibri"/>
          <w:kern w:val="1"/>
          <w:sz w:val="22"/>
          <w:szCs w:val="22"/>
          <w:lang w:eastAsia="ar-SA"/>
        </w:rPr>
        <w:t>В</w:t>
      </w:r>
      <w:r w:rsidRPr="005879CD">
        <w:rPr>
          <w:rFonts w:eastAsia="Calibri"/>
          <w:kern w:val="1"/>
          <w:sz w:val="22"/>
          <w:szCs w:val="22"/>
          <w:lang w:val="en-US" w:eastAsia="ar-SA"/>
        </w:rPr>
        <w:t xml:space="preserve">. </w:t>
      </w:r>
      <w:r w:rsidRPr="005879CD">
        <w:rPr>
          <w:rFonts w:eastAsia="Calibri"/>
          <w:kern w:val="1"/>
          <w:sz w:val="22"/>
          <w:szCs w:val="22"/>
          <w:lang w:eastAsia="ar-SA"/>
        </w:rPr>
        <w:t>А</w:t>
      </w:r>
      <w:r w:rsidR="005879CD">
        <w:rPr>
          <w:rFonts w:eastAsia="Calibri"/>
          <w:kern w:val="1"/>
          <w:sz w:val="22"/>
          <w:szCs w:val="22"/>
          <w:lang w:val="en-US" w:eastAsia="ar-SA"/>
        </w:rPr>
        <w:t>.,</w:t>
      </w:r>
    </w:p>
    <w:p w:rsidR="00787EA7" w:rsidRPr="005879CD" w:rsidRDefault="00787EA7" w:rsidP="00787EA7">
      <w:pPr>
        <w:widowControl w:val="0"/>
        <w:suppressAutoHyphens/>
        <w:ind w:firstLine="425"/>
        <w:jc w:val="right"/>
        <w:rPr>
          <w:rFonts w:eastAsia="Calibri"/>
          <w:kern w:val="1"/>
          <w:sz w:val="22"/>
          <w:szCs w:val="22"/>
          <w:lang w:eastAsia="ar-SA"/>
        </w:rPr>
      </w:pPr>
      <w:r w:rsidRPr="005879CD">
        <w:rPr>
          <w:rFonts w:eastAsia="Calibri"/>
          <w:kern w:val="1"/>
          <w:sz w:val="22"/>
          <w:szCs w:val="22"/>
          <w:lang w:eastAsia="ar-SA"/>
        </w:rPr>
        <w:t>студентка 3-го курса учетно-финансового факультета</w:t>
      </w:r>
    </w:p>
    <w:p w:rsidR="00787EA7" w:rsidRPr="005879CD" w:rsidRDefault="00787EA7" w:rsidP="00787EA7">
      <w:pPr>
        <w:widowControl w:val="0"/>
        <w:suppressAutoHyphens/>
        <w:ind w:firstLine="425"/>
        <w:jc w:val="right"/>
        <w:rPr>
          <w:rFonts w:eastAsia="Calibri"/>
          <w:kern w:val="1"/>
          <w:sz w:val="22"/>
          <w:szCs w:val="22"/>
          <w:lang w:eastAsia="ar-SA"/>
        </w:rPr>
      </w:pPr>
      <w:r w:rsidRPr="005879CD">
        <w:rPr>
          <w:rFonts w:eastAsia="Calibri"/>
          <w:kern w:val="1"/>
          <w:sz w:val="22"/>
          <w:szCs w:val="22"/>
          <w:lang w:eastAsia="ar-SA"/>
        </w:rPr>
        <w:t>Коровина М. А.,</w:t>
      </w:r>
    </w:p>
    <w:p w:rsidR="00787EA7" w:rsidRPr="005879CD" w:rsidRDefault="00787EA7" w:rsidP="00787EA7">
      <w:pPr>
        <w:widowControl w:val="0"/>
        <w:suppressAutoHyphens/>
        <w:ind w:firstLine="425"/>
        <w:jc w:val="right"/>
        <w:rPr>
          <w:rFonts w:eastAsia="Calibri"/>
          <w:b/>
          <w:kern w:val="1"/>
          <w:sz w:val="22"/>
          <w:szCs w:val="22"/>
          <w:lang w:eastAsia="ar-SA"/>
        </w:rPr>
      </w:pPr>
      <w:r w:rsidRPr="005879CD">
        <w:rPr>
          <w:rFonts w:eastAsia="Calibri"/>
          <w:kern w:val="1"/>
          <w:sz w:val="22"/>
          <w:szCs w:val="22"/>
          <w:lang w:eastAsia="ar-SA"/>
        </w:rPr>
        <w:t>канд. экон. наук, доцент</w:t>
      </w:r>
    </w:p>
    <w:p w:rsidR="00787EA7" w:rsidRPr="005879CD" w:rsidRDefault="00787EA7" w:rsidP="00787EA7">
      <w:pPr>
        <w:widowControl w:val="0"/>
        <w:suppressAutoHyphens/>
        <w:ind w:firstLine="425"/>
        <w:jc w:val="right"/>
        <w:rPr>
          <w:rFonts w:eastAsia="Calibri"/>
          <w:kern w:val="1"/>
          <w:sz w:val="22"/>
          <w:szCs w:val="22"/>
          <w:lang w:eastAsia="ar-SA"/>
        </w:rPr>
      </w:pPr>
      <w:r w:rsidRPr="005879CD">
        <w:rPr>
          <w:rFonts w:eastAsia="Calibri"/>
          <w:kern w:val="1"/>
          <w:sz w:val="22"/>
          <w:szCs w:val="22"/>
          <w:lang w:eastAsia="ar-SA"/>
        </w:rPr>
        <w:t>Кубанский государственный аграрный</w:t>
      </w:r>
    </w:p>
    <w:p w:rsidR="00787EA7" w:rsidRPr="005879CD" w:rsidRDefault="00787EA7" w:rsidP="00787EA7">
      <w:pPr>
        <w:widowControl w:val="0"/>
        <w:suppressAutoHyphens/>
        <w:ind w:firstLine="425"/>
        <w:jc w:val="right"/>
        <w:rPr>
          <w:rFonts w:eastAsia="Calibri"/>
          <w:kern w:val="1"/>
          <w:sz w:val="22"/>
          <w:szCs w:val="22"/>
          <w:lang w:eastAsia="ar-SA"/>
        </w:rPr>
      </w:pPr>
      <w:r w:rsidRPr="005879CD">
        <w:rPr>
          <w:rFonts w:eastAsia="Calibri"/>
          <w:kern w:val="1"/>
          <w:sz w:val="22"/>
          <w:szCs w:val="22"/>
          <w:lang w:eastAsia="ar-SA"/>
        </w:rPr>
        <w:t xml:space="preserve"> университет имени И. Т. Трубилина</w:t>
      </w:r>
    </w:p>
    <w:p w:rsidR="00787EA7" w:rsidRPr="00787EA7" w:rsidRDefault="00787EA7" w:rsidP="00787EA7">
      <w:pPr>
        <w:widowControl w:val="0"/>
        <w:suppressAutoHyphens/>
        <w:ind w:firstLine="425"/>
        <w:jc w:val="right"/>
        <w:rPr>
          <w:rFonts w:eastAsia="Calibri"/>
          <w:i/>
          <w:kern w:val="1"/>
          <w:sz w:val="24"/>
          <w:szCs w:val="24"/>
          <w:lang w:eastAsia="ar-SA"/>
        </w:rPr>
      </w:pPr>
    </w:p>
    <w:p w:rsidR="00787EA7" w:rsidRPr="00787EA7" w:rsidRDefault="00787EA7" w:rsidP="00787EA7">
      <w:pPr>
        <w:widowControl w:val="0"/>
        <w:tabs>
          <w:tab w:val="left" w:pos="0"/>
        </w:tabs>
        <w:suppressAutoHyphens/>
        <w:ind w:firstLine="397"/>
        <w:jc w:val="both"/>
        <w:rPr>
          <w:rFonts w:eastAsia="Calibri"/>
          <w:kern w:val="1"/>
          <w:sz w:val="22"/>
          <w:szCs w:val="22"/>
          <w:lang w:eastAsia="ar-SA"/>
        </w:rPr>
      </w:pPr>
      <w:r w:rsidRPr="00787EA7">
        <w:rPr>
          <w:rFonts w:eastAsia="Calibri"/>
          <w:kern w:val="1"/>
          <w:sz w:val="22"/>
          <w:szCs w:val="22"/>
          <w:lang w:eastAsia="ar-SA"/>
        </w:rPr>
        <w:t xml:space="preserve">АННОТАЦИЯ: Рассмотрены основные направления организации бухгалтерской службы при помощи услуг компании по аутсорсингу. </w:t>
      </w:r>
    </w:p>
    <w:p w:rsidR="00787EA7" w:rsidRPr="00787EA7" w:rsidRDefault="00787EA7" w:rsidP="00787EA7">
      <w:pPr>
        <w:widowControl w:val="0"/>
        <w:tabs>
          <w:tab w:val="left" w:pos="0"/>
        </w:tabs>
        <w:suppressAutoHyphens/>
        <w:ind w:firstLine="397"/>
        <w:jc w:val="both"/>
        <w:rPr>
          <w:rFonts w:eastAsia="Calibri"/>
          <w:kern w:val="1"/>
          <w:sz w:val="22"/>
          <w:szCs w:val="22"/>
          <w:lang w:val="en-US" w:eastAsia="ar-SA"/>
        </w:rPr>
      </w:pPr>
      <w:r w:rsidRPr="00787EA7">
        <w:rPr>
          <w:rFonts w:eastAsia="Calibri"/>
          <w:kern w:val="1"/>
          <w:sz w:val="22"/>
          <w:szCs w:val="22"/>
          <w:lang w:val="en-US" w:eastAsia="ar-SA"/>
        </w:rPr>
        <w:t>ABSTRACT: The main directions of the organization of accounting service by means of company services on outsourcing are considered.</w:t>
      </w:r>
    </w:p>
    <w:p w:rsidR="00787EA7" w:rsidRPr="00787EA7" w:rsidRDefault="00787EA7" w:rsidP="00787EA7">
      <w:pPr>
        <w:widowControl w:val="0"/>
        <w:suppressAutoHyphens/>
        <w:ind w:firstLine="397"/>
        <w:jc w:val="both"/>
        <w:rPr>
          <w:rFonts w:eastAsia="Calibri"/>
          <w:kern w:val="1"/>
          <w:sz w:val="22"/>
          <w:szCs w:val="22"/>
          <w:lang w:eastAsia="ar-SA"/>
        </w:rPr>
      </w:pPr>
      <w:r w:rsidRPr="00787EA7">
        <w:rPr>
          <w:rFonts w:eastAsia="Calibri"/>
          <w:kern w:val="1"/>
          <w:sz w:val="22"/>
          <w:szCs w:val="22"/>
          <w:lang w:eastAsia="ar-SA"/>
        </w:rPr>
        <w:t>КЛЮЧЕВЫЕ СЛОВА: бухгалтерская служба, аутсорсинг, виды аутсорсинга, преимущества и недостатки.</w:t>
      </w:r>
    </w:p>
    <w:p w:rsidR="00787EA7" w:rsidRPr="00787EA7" w:rsidRDefault="00787EA7" w:rsidP="00787EA7">
      <w:pPr>
        <w:widowControl w:val="0"/>
        <w:suppressAutoHyphens/>
        <w:ind w:firstLine="397"/>
        <w:jc w:val="both"/>
        <w:rPr>
          <w:rFonts w:eastAsia="Calibri"/>
          <w:kern w:val="1"/>
          <w:sz w:val="22"/>
          <w:szCs w:val="22"/>
          <w:lang w:val="en-US" w:eastAsia="ar-SA"/>
        </w:rPr>
      </w:pPr>
      <w:r w:rsidRPr="00787EA7">
        <w:rPr>
          <w:rFonts w:eastAsia="Calibri"/>
          <w:kern w:val="1"/>
          <w:sz w:val="22"/>
          <w:szCs w:val="22"/>
          <w:lang w:val="en-US" w:eastAsia="ar-SA"/>
        </w:rPr>
        <w:t>KEYWORDS: accounting service, outsourcing, types of outsourcing, advantages and disadvantages.</w:t>
      </w:r>
    </w:p>
    <w:p w:rsidR="00787EA7" w:rsidRPr="00787EA7" w:rsidRDefault="00787EA7" w:rsidP="00787EA7">
      <w:pPr>
        <w:widowControl w:val="0"/>
        <w:suppressAutoHyphens/>
        <w:ind w:firstLine="397"/>
        <w:jc w:val="both"/>
        <w:rPr>
          <w:rFonts w:eastAsia="Calibri"/>
          <w:kern w:val="1"/>
          <w:sz w:val="22"/>
          <w:szCs w:val="22"/>
          <w:lang w:val="en-US" w:eastAsia="ar-SA"/>
        </w:rPr>
      </w:pP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В условиях сложившейся национальной экономики каждый руководитель организации заинтересован в снижении затрат, основанных на оптимизации своей деятельности. В связи с присутствующим в нашей стране экономическим кризисом стал актуален процесс передачи дел бухгалтерии сторонним компаниям. Составление бухгалтерской отчетности является основным видом деятельности аутсорсинговых компаний.</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Понятие «аутсорсинг» произошло от английского </w:t>
      </w:r>
      <w:r w:rsidRPr="00787EA7">
        <w:rPr>
          <w:rFonts w:eastAsia="Calibri"/>
          <w:color w:val="000000"/>
          <w:kern w:val="1"/>
          <w:sz w:val="22"/>
          <w:szCs w:val="22"/>
          <w:shd w:val="clear" w:color="auto" w:fill="FFFFFF"/>
          <w:lang w:val="en-US" w:eastAsia="ar-SA"/>
        </w:rPr>
        <w:t>outsourcing</w:t>
      </w:r>
      <w:r w:rsidRPr="00787EA7">
        <w:rPr>
          <w:rFonts w:eastAsia="Calibri"/>
          <w:color w:val="000000"/>
          <w:kern w:val="1"/>
          <w:sz w:val="22"/>
          <w:szCs w:val="22"/>
          <w:shd w:val="clear" w:color="auto" w:fill="FFFFFF"/>
          <w:lang w:eastAsia="ar-SA"/>
        </w:rPr>
        <w:t xml:space="preserve"> (</w:t>
      </w:r>
      <w:r w:rsidRPr="00787EA7">
        <w:rPr>
          <w:rFonts w:eastAsia="Calibri"/>
          <w:color w:val="000000"/>
          <w:kern w:val="1"/>
          <w:sz w:val="22"/>
          <w:szCs w:val="22"/>
          <w:shd w:val="clear" w:color="auto" w:fill="FFFFFF"/>
          <w:lang w:val="en-US" w:eastAsia="ar-SA"/>
        </w:rPr>
        <w:t>outer</w:t>
      </w:r>
      <w:r w:rsidRPr="00787EA7">
        <w:rPr>
          <w:rFonts w:eastAsia="Calibri"/>
          <w:color w:val="000000"/>
          <w:kern w:val="1"/>
          <w:sz w:val="22"/>
          <w:szCs w:val="22"/>
          <w:shd w:val="clear" w:color="auto" w:fill="FFFFFF"/>
          <w:lang w:eastAsia="ar-SA"/>
        </w:rPr>
        <w:t>-</w:t>
      </w:r>
      <w:r w:rsidRPr="00787EA7">
        <w:rPr>
          <w:rFonts w:eastAsia="Calibri"/>
          <w:color w:val="000000"/>
          <w:kern w:val="1"/>
          <w:sz w:val="22"/>
          <w:szCs w:val="22"/>
          <w:shd w:val="clear" w:color="auto" w:fill="FFFFFF"/>
          <w:lang w:val="en-US" w:eastAsia="ar-SA"/>
        </w:rPr>
        <w:t>source</w:t>
      </w:r>
      <w:r w:rsidRPr="00787EA7">
        <w:rPr>
          <w:rFonts w:eastAsia="Calibri"/>
          <w:color w:val="000000"/>
          <w:kern w:val="1"/>
          <w:sz w:val="22"/>
          <w:szCs w:val="22"/>
          <w:shd w:val="clear" w:color="auto" w:fill="FFFFFF"/>
          <w:lang w:eastAsia="ar-SA"/>
        </w:rPr>
        <w:t>-</w:t>
      </w:r>
      <w:r w:rsidRPr="00787EA7">
        <w:rPr>
          <w:rFonts w:eastAsia="Calibri"/>
          <w:color w:val="000000"/>
          <w:kern w:val="1"/>
          <w:sz w:val="22"/>
          <w:szCs w:val="22"/>
          <w:shd w:val="clear" w:color="auto" w:fill="FFFFFF"/>
          <w:lang w:val="en-US" w:eastAsia="ar-SA"/>
        </w:rPr>
        <w:t>using</w:t>
      </w:r>
      <w:r w:rsidRPr="00787EA7">
        <w:rPr>
          <w:rFonts w:eastAsia="Calibri"/>
          <w:color w:val="000000"/>
          <w:kern w:val="1"/>
          <w:sz w:val="22"/>
          <w:szCs w:val="22"/>
          <w:shd w:val="clear" w:color="auto" w:fill="FFFFFF"/>
          <w:lang w:eastAsia="ar-SA"/>
        </w:rPr>
        <w:t>), что дословно означает использование внешнего источника [1]. По последним данным бухгалтерским аутсорсингом в США пользуются 92 % компаний малого и среднего бизнеса, в странах Западной Европы - 86 %. Различают несколько видов бухгалтерского аутсорсинга:</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1. Бухгалтерское консультирование - использование внешнего консультанта по различным вопросам, возникающих в результате </w:t>
      </w:r>
      <w:r w:rsidRPr="00787EA7">
        <w:rPr>
          <w:rFonts w:eastAsia="Calibri"/>
          <w:color w:val="000000"/>
          <w:kern w:val="1"/>
          <w:sz w:val="22"/>
          <w:szCs w:val="22"/>
          <w:shd w:val="clear" w:color="auto" w:fill="FFFFFF"/>
          <w:lang w:eastAsia="ar-SA"/>
        </w:rPr>
        <w:lastRenderedPageBreak/>
        <w:t xml:space="preserve">повседневной деятельности штатных бухгалтеров. Такая периодическая консультация важна в связи с постоянно изменяющимся налоговым законодательством. </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2. Выборочный аутсорсинг - используется организациями в случаях частичного контроля бухгалтерии или в целях освобождения их от большого количества однотипных операций. Это может быть как расчет заработной платы, так и подача налоговой декларации, подготовка статистической отчетности. </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3. Полный аутсорсинг - позволяет полностью отказаться от штатной бухгалтерии, используя все возможные услуги компании по аутсорсингу.</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4. Ведение учета от лица главного бухгалтера - предоставляется право подписи документах по налоговому и бухгалтерскому учету. При этом существует вариант полной передачи права подписи на данных документа, однако этот вид аутсорсинга является довольно рискованным для деятельности организации, т.к. прекращается контроль над аутсорсером [2]. </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Аутсорсинг является экономичным видом организации бухгалтерского дела. Он позволяет руководителю организации не обустраивать рабочие места, не покупать различную оргтехнику, а также программные обеспечения, т.к. это все уже имеется у специалистов аутсорсинговой компании [3]. Специалисты всегда вовремя оформляют бухгалтерскую отчетность и сдают в соответствующие контролирующие органы, руководствуясь самой актуальной информацией и последними изменениями.</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Любые возникающие вопросы решаются в короткий срок, что обеспечивается наличием специалистов по консультациям разного уровня: юристы, специалисты по налоговому и трудовому законодательству. Они могут разработать успешную финансовую стратегию, подобрать налоговый режим, который будет наиболее выгоден для организации, а также способны полностью восстановить первичную учетную документацию. Открываются совершенно новые возможности использования потенциала и скрытых ресурсов.</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Еще одним преимуществом данного вида услуг является то, что аутсорсеры несут ответственность за свой результат. Их действия четко прописываются в договоре с организацией, который не позволяет допускать преднамеренных ошибок в части </w:t>
      </w:r>
      <w:r w:rsidRPr="00787EA7">
        <w:rPr>
          <w:rFonts w:eastAsia="Calibri"/>
          <w:color w:val="000000"/>
          <w:kern w:val="1"/>
          <w:sz w:val="22"/>
          <w:szCs w:val="22"/>
          <w:shd w:val="clear" w:color="auto" w:fill="FFFFFF"/>
          <w:lang w:eastAsia="ar-SA"/>
        </w:rPr>
        <w:lastRenderedPageBreak/>
        <w:t>законодательства, и другие ошибки, приводящие к уменьшению экономических выгод. Соблюдение конфиденциальности, как часть обязательств, прописываемых в договоре, обязывает держать в тайне любую информацию, связанную с исполнениями обязанностей компании. Эта проблема имеет важную ценность, т.к. приходящий бухгалтер не заинтересован в успешной деятельности организации и свободно может передать информацию конкурентам.</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Основные недостатки передачи бухгалтерии на аутсоргинг:</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1. Возможная утечка данных.</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2. Снижение оперативности.</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3. Формальное исполнение обязанностей.</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4. Низкое качество подготовки первичной учетной документации.</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Тем не менее, аутсорсинг способен оптимизировать работу бухгалтерской службы в организации, что значительно снижает издержки на ведение процессов и увеличивает их скорость. </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p>
    <w:p w:rsidR="00787EA7" w:rsidRPr="00787EA7" w:rsidRDefault="00787EA7" w:rsidP="00787EA7">
      <w:pPr>
        <w:widowControl w:val="0"/>
        <w:suppressAutoHyphens/>
        <w:ind w:firstLine="397"/>
        <w:jc w:val="center"/>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Список литературы</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1. Зайцева, Г. В. Аутсорсинг финансового обслуживания организаций. Правовая природа и правовое обеспечение: монография / Г. В. Зайцева, Е. А. Окунева. - Саратов: Вузовское образование, 2016. - 141 c.</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2. Коровина, М. А. Портрет современного бухгалтера / М. А. Коровина, А. Г. Лихобабина // Формирование экономического потенциала субъектов хозяйственной деятельности: проблемы, перспективы, учетно-аналитическое обеспечение: материалы </w:t>
      </w:r>
      <w:r w:rsidRPr="00787EA7">
        <w:rPr>
          <w:rFonts w:eastAsia="Calibri"/>
          <w:color w:val="000000"/>
          <w:kern w:val="1"/>
          <w:sz w:val="22"/>
          <w:szCs w:val="22"/>
          <w:shd w:val="clear" w:color="auto" w:fill="FFFFFF"/>
          <w:lang w:val="en-US" w:eastAsia="ar-SA"/>
        </w:rPr>
        <w:t>VI</w:t>
      </w:r>
      <w:r w:rsidRPr="00787EA7">
        <w:rPr>
          <w:rFonts w:eastAsia="Calibri"/>
          <w:color w:val="000000"/>
          <w:kern w:val="1"/>
          <w:sz w:val="22"/>
          <w:szCs w:val="22"/>
          <w:shd w:val="clear" w:color="auto" w:fill="FFFFFF"/>
          <w:lang w:eastAsia="ar-SA"/>
        </w:rPr>
        <w:t xml:space="preserve"> МНК. - Майкоп: Магарин О. Г., 2016. - С.61-65.</w:t>
      </w:r>
    </w:p>
    <w:p w:rsidR="00787EA7" w:rsidRPr="00787EA7" w:rsidRDefault="00787EA7" w:rsidP="00787EA7">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3. Грекул, В. И. Организация ИТ-аутсорсинга / В. И. Грекул, Н. Л. Коровкина.- М. : Интернет-Университет Информационных Технологий (ИНТУИТ), 2016. - 199 c.</w:t>
      </w:r>
    </w:p>
    <w:p w:rsidR="00787EA7" w:rsidRPr="00787EA7" w:rsidRDefault="00787EA7" w:rsidP="00787EA7">
      <w:pPr>
        <w:widowControl w:val="0"/>
        <w:suppressAutoHyphens/>
        <w:ind w:firstLine="397"/>
        <w:jc w:val="both"/>
        <w:rPr>
          <w:rFonts w:eastAsia="Calibri"/>
          <w:color w:val="000000" w:themeColor="text1"/>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4. Федорцова,  Р. П. Бухгалтерское дело: учебное пособие / Р. П. Федорцова. - Саратов: Вузовское образование, 2015. - 158 c. </w:t>
      </w:r>
    </w:p>
    <w:p w:rsidR="003953A0" w:rsidRDefault="00787EA7" w:rsidP="001E2244">
      <w:pPr>
        <w:widowControl w:val="0"/>
        <w:suppressAutoHyphens/>
        <w:ind w:firstLine="397"/>
        <w:jc w:val="both"/>
        <w:rPr>
          <w:rFonts w:eastAsia="Calibri"/>
          <w:color w:val="000000"/>
          <w:kern w:val="1"/>
          <w:sz w:val="22"/>
          <w:szCs w:val="22"/>
          <w:shd w:val="clear" w:color="auto" w:fill="FFFFFF"/>
          <w:lang w:eastAsia="ar-SA"/>
        </w:rPr>
      </w:pPr>
      <w:r w:rsidRPr="00787EA7">
        <w:rPr>
          <w:rFonts w:eastAsia="Calibri"/>
          <w:color w:val="000000"/>
          <w:kern w:val="1"/>
          <w:sz w:val="22"/>
          <w:szCs w:val="22"/>
          <w:shd w:val="clear" w:color="auto" w:fill="FFFFFF"/>
          <w:lang w:eastAsia="ar-SA"/>
        </w:rPr>
        <w:t xml:space="preserve">5. Ясменко Г. Н. Эффективность использования услуг сторонних организаций в ведении бухгалтерского учета / Г. Н. Ясменко, К. А. Герасименко, Э. Р. Ташу // Формирование экономического потенциала субъектов хозяйственной деятельности: проблемы, перспективы, учетно-аналитическое обеспечение: материалы </w:t>
      </w:r>
      <w:r w:rsidRPr="00787EA7">
        <w:rPr>
          <w:rFonts w:eastAsia="Calibri"/>
          <w:color w:val="000000"/>
          <w:kern w:val="1"/>
          <w:sz w:val="22"/>
          <w:szCs w:val="22"/>
          <w:shd w:val="clear" w:color="auto" w:fill="FFFFFF"/>
          <w:lang w:val="en-US" w:eastAsia="ar-SA"/>
        </w:rPr>
        <w:t>VI</w:t>
      </w:r>
      <w:r w:rsidRPr="00787EA7">
        <w:rPr>
          <w:rFonts w:eastAsia="Calibri"/>
          <w:color w:val="000000"/>
          <w:kern w:val="1"/>
          <w:sz w:val="22"/>
          <w:szCs w:val="22"/>
          <w:shd w:val="clear" w:color="auto" w:fill="FFFFFF"/>
          <w:lang w:eastAsia="ar-SA"/>
        </w:rPr>
        <w:t xml:space="preserve"> МНК. - Майкоп: Магарин О. Г., 2016. - С.81-65.</w:t>
      </w:r>
    </w:p>
    <w:p w:rsidR="00787EA7" w:rsidRPr="005879CD" w:rsidRDefault="00787EA7" w:rsidP="005879CD">
      <w:pPr>
        <w:widowControl w:val="0"/>
        <w:suppressAutoHyphens/>
        <w:jc w:val="both"/>
        <w:rPr>
          <w:rFonts w:eastAsia="Andale Sans UI"/>
          <w:kern w:val="1"/>
          <w:sz w:val="22"/>
          <w:szCs w:val="22"/>
          <w:lang w:eastAsia="ar-SA"/>
        </w:rPr>
      </w:pPr>
      <w:r w:rsidRPr="005879CD">
        <w:rPr>
          <w:rFonts w:eastAsia="Andale Sans UI"/>
          <w:kern w:val="1"/>
          <w:sz w:val="22"/>
          <w:szCs w:val="22"/>
          <w:lang w:eastAsia="ar-SA"/>
        </w:rPr>
        <w:lastRenderedPageBreak/>
        <w:t>УДК 657.6</w:t>
      </w:r>
    </w:p>
    <w:p w:rsidR="00787EA7" w:rsidRPr="00787EA7" w:rsidRDefault="00787EA7" w:rsidP="00787EA7">
      <w:pPr>
        <w:widowControl w:val="0"/>
        <w:suppressAutoHyphens/>
        <w:jc w:val="center"/>
        <w:rPr>
          <w:rFonts w:eastAsia="Andale Sans UI"/>
          <w:b/>
          <w:kern w:val="1"/>
          <w:sz w:val="24"/>
          <w:szCs w:val="24"/>
          <w:lang w:eastAsia="ar-SA"/>
        </w:rPr>
      </w:pPr>
    </w:p>
    <w:p w:rsidR="00787EA7" w:rsidRPr="00787EA7" w:rsidRDefault="00787EA7" w:rsidP="00787EA7">
      <w:pPr>
        <w:widowControl w:val="0"/>
        <w:suppressAutoHyphens/>
        <w:jc w:val="center"/>
        <w:rPr>
          <w:rFonts w:eastAsia="Andale Sans UI"/>
          <w:b/>
          <w:kern w:val="1"/>
          <w:sz w:val="24"/>
          <w:szCs w:val="24"/>
          <w:lang w:eastAsia="ar-SA"/>
        </w:rPr>
      </w:pPr>
      <w:r w:rsidRPr="00787EA7">
        <w:rPr>
          <w:rFonts w:eastAsia="Andale Sans UI"/>
          <w:b/>
          <w:kern w:val="1"/>
          <w:sz w:val="24"/>
          <w:szCs w:val="24"/>
          <w:lang w:eastAsia="ar-SA"/>
        </w:rPr>
        <w:t>Корпоративное мошенничество:</w:t>
      </w:r>
    </w:p>
    <w:p w:rsidR="00787EA7" w:rsidRPr="00787EA7" w:rsidRDefault="00787EA7" w:rsidP="00787EA7">
      <w:pPr>
        <w:widowControl w:val="0"/>
        <w:suppressAutoHyphens/>
        <w:jc w:val="center"/>
        <w:rPr>
          <w:rFonts w:eastAsia="Andale Sans UI"/>
          <w:b/>
          <w:kern w:val="1"/>
          <w:sz w:val="24"/>
          <w:szCs w:val="24"/>
          <w:lang w:eastAsia="ar-SA"/>
        </w:rPr>
      </w:pPr>
      <w:r w:rsidRPr="00787EA7">
        <w:rPr>
          <w:rFonts w:eastAsia="Andale Sans UI"/>
          <w:b/>
          <w:kern w:val="1"/>
          <w:sz w:val="24"/>
          <w:szCs w:val="24"/>
          <w:lang w:eastAsia="ar-SA"/>
        </w:rPr>
        <w:t>способы совершения и ключевые меры противодействия</w:t>
      </w:r>
    </w:p>
    <w:p w:rsidR="00787EA7" w:rsidRPr="00787EA7" w:rsidRDefault="00787EA7" w:rsidP="00787EA7">
      <w:pPr>
        <w:widowControl w:val="0"/>
        <w:suppressAutoHyphens/>
        <w:jc w:val="center"/>
        <w:rPr>
          <w:rFonts w:eastAsia="Andale Sans UI"/>
          <w:b/>
          <w:kern w:val="1"/>
          <w:sz w:val="24"/>
          <w:szCs w:val="24"/>
          <w:lang w:val="en-US" w:eastAsia="ar-SA"/>
        </w:rPr>
      </w:pPr>
      <w:r w:rsidRPr="00787EA7">
        <w:rPr>
          <w:rFonts w:eastAsia="Andale Sans UI"/>
          <w:b/>
          <w:kern w:val="1"/>
          <w:sz w:val="24"/>
          <w:szCs w:val="24"/>
          <w:lang w:val="en-US" w:eastAsia="ar-SA"/>
        </w:rPr>
        <w:t>Corporate fraud: ways to commit and key countermeasures</w:t>
      </w:r>
    </w:p>
    <w:p w:rsidR="00787EA7" w:rsidRPr="00787EA7" w:rsidRDefault="00787EA7" w:rsidP="00787EA7">
      <w:pPr>
        <w:widowControl w:val="0"/>
        <w:suppressAutoHyphens/>
        <w:jc w:val="center"/>
        <w:rPr>
          <w:rFonts w:eastAsia="Andale Sans UI"/>
          <w:b/>
          <w:kern w:val="1"/>
          <w:sz w:val="24"/>
          <w:szCs w:val="24"/>
          <w:lang w:val="en-US" w:eastAsia="ar-SA"/>
        </w:rPr>
      </w:pPr>
    </w:p>
    <w:p w:rsidR="00787EA7" w:rsidRPr="00AE3C28"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Ващинкина В. Д.,</w:t>
      </w:r>
    </w:p>
    <w:p w:rsidR="00787EA7" w:rsidRPr="00AE3C28"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студентка 4-го курса учетно-финансового факультета</w:t>
      </w:r>
    </w:p>
    <w:p w:rsidR="00787EA7" w:rsidRPr="00AE3C28"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Швырева О. И.,</w:t>
      </w:r>
    </w:p>
    <w:p w:rsidR="00787EA7" w:rsidRPr="00AE3C28"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профессор кафедры аудита</w:t>
      </w:r>
    </w:p>
    <w:p w:rsidR="00787EA7" w:rsidRPr="00AE3C28"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 xml:space="preserve">Кубанский государственный аграрный </w:t>
      </w:r>
    </w:p>
    <w:p w:rsidR="00787EA7" w:rsidRDefault="00787EA7" w:rsidP="00787EA7">
      <w:pPr>
        <w:widowControl w:val="0"/>
        <w:tabs>
          <w:tab w:val="left" w:pos="8223"/>
        </w:tabs>
        <w:suppressAutoHyphens/>
        <w:jc w:val="right"/>
        <w:rPr>
          <w:rFonts w:eastAsia="Courier New"/>
          <w:color w:val="000000"/>
          <w:kern w:val="1"/>
          <w:sz w:val="22"/>
          <w:szCs w:val="22"/>
          <w:lang w:eastAsia="ar-SA"/>
        </w:rPr>
      </w:pPr>
      <w:r w:rsidRPr="00AE3C28">
        <w:rPr>
          <w:rFonts w:eastAsia="Courier New"/>
          <w:color w:val="000000"/>
          <w:kern w:val="1"/>
          <w:sz w:val="22"/>
          <w:szCs w:val="22"/>
          <w:lang w:eastAsia="ar-SA"/>
        </w:rPr>
        <w:t>университет имени И.Т. Трубилина</w:t>
      </w:r>
    </w:p>
    <w:p w:rsidR="00AE3C28" w:rsidRPr="00787EA7" w:rsidRDefault="00AE3C28" w:rsidP="00787EA7">
      <w:pPr>
        <w:widowControl w:val="0"/>
        <w:tabs>
          <w:tab w:val="left" w:pos="8223"/>
        </w:tabs>
        <w:suppressAutoHyphens/>
        <w:jc w:val="right"/>
        <w:rPr>
          <w:rFonts w:eastAsia="Courier New"/>
          <w:color w:val="000000"/>
          <w:kern w:val="1"/>
          <w:sz w:val="24"/>
          <w:szCs w:val="24"/>
          <w:lang w:eastAsia="ar-SA"/>
        </w:rPr>
      </w:pPr>
    </w:p>
    <w:p w:rsidR="00787EA7" w:rsidRPr="00787EA7" w:rsidRDefault="00787EA7" w:rsidP="00787EA7">
      <w:pPr>
        <w:widowControl w:val="0"/>
        <w:tabs>
          <w:tab w:val="left" w:pos="8223"/>
        </w:tabs>
        <w:suppressAutoHyphens/>
        <w:ind w:firstLine="397"/>
        <w:jc w:val="both"/>
        <w:rPr>
          <w:rFonts w:eastAsia="Courier New"/>
          <w:color w:val="000000"/>
          <w:kern w:val="1"/>
          <w:sz w:val="22"/>
          <w:szCs w:val="22"/>
          <w:lang w:val="en-US" w:eastAsia="ar-SA"/>
        </w:rPr>
      </w:pPr>
      <w:r w:rsidRPr="00787EA7">
        <w:rPr>
          <w:rFonts w:eastAsia="Courier New"/>
          <w:color w:val="000000"/>
          <w:kern w:val="1"/>
          <w:sz w:val="22"/>
          <w:szCs w:val="22"/>
          <w:lang w:eastAsia="ar-SA"/>
        </w:rPr>
        <w:t>АННОТАЦИЯ: Изучены ключевые области риска злоупотребления со стороны учетного персонала. Выявлены</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направления</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внутреннего</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контроля</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для</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их</w:t>
      </w:r>
      <w:r w:rsidRPr="00787EA7">
        <w:rPr>
          <w:rFonts w:eastAsia="Courier New"/>
          <w:color w:val="000000"/>
          <w:kern w:val="1"/>
          <w:sz w:val="22"/>
          <w:szCs w:val="22"/>
          <w:lang w:val="en-US" w:eastAsia="ar-SA"/>
        </w:rPr>
        <w:t xml:space="preserve"> </w:t>
      </w:r>
      <w:r w:rsidRPr="00787EA7">
        <w:rPr>
          <w:rFonts w:eastAsia="Courier New"/>
          <w:color w:val="000000"/>
          <w:kern w:val="1"/>
          <w:sz w:val="22"/>
          <w:szCs w:val="22"/>
          <w:lang w:eastAsia="ar-SA"/>
        </w:rPr>
        <w:t>нейтрализации</w:t>
      </w:r>
      <w:r w:rsidRPr="00787EA7">
        <w:rPr>
          <w:rFonts w:eastAsia="Courier New"/>
          <w:color w:val="000000"/>
          <w:kern w:val="1"/>
          <w:sz w:val="22"/>
          <w:szCs w:val="22"/>
          <w:lang w:val="en-US" w:eastAsia="ar-SA"/>
        </w:rPr>
        <w:t>.</w:t>
      </w:r>
    </w:p>
    <w:p w:rsidR="00787EA7" w:rsidRPr="00787EA7" w:rsidRDefault="00787EA7" w:rsidP="00787EA7">
      <w:pPr>
        <w:widowControl w:val="0"/>
        <w:tabs>
          <w:tab w:val="left" w:pos="8223"/>
        </w:tabs>
        <w:suppressAutoHyphens/>
        <w:ind w:firstLine="397"/>
        <w:jc w:val="both"/>
        <w:rPr>
          <w:rFonts w:ascii="Tahoma" w:eastAsia="Courier New" w:hAnsi="Tahoma" w:cs="Tahoma"/>
          <w:color w:val="000000"/>
          <w:kern w:val="1"/>
          <w:sz w:val="22"/>
          <w:szCs w:val="22"/>
          <w:shd w:val="clear" w:color="auto" w:fill="FFFFFF"/>
          <w:lang w:val="en-US" w:eastAsia="ar-SA"/>
        </w:rPr>
      </w:pPr>
      <w:r w:rsidRPr="00787EA7">
        <w:rPr>
          <w:rFonts w:eastAsia="Courier New"/>
          <w:color w:val="000000"/>
          <w:kern w:val="1"/>
          <w:sz w:val="22"/>
          <w:szCs w:val="22"/>
          <w:lang w:val="en-US" w:eastAsia="ar-SA"/>
        </w:rPr>
        <w:t>ABSTRACT:</w:t>
      </w:r>
      <w:r w:rsidRPr="00787EA7">
        <w:rPr>
          <w:rFonts w:eastAsia="Courier New"/>
          <w:color w:val="000000"/>
          <w:kern w:val="1"/>
          <w:sz w:val="22"/>
          <w:szCs w:val="22"/>
          <w:shd w:val="clear" w:color="auto" w:fill="FFFFFF"/>
          <w:lang w:val="en-US" w:eastAsia="ar-SA"/>
        </w:rPr>
        <w:t xml:space="preserve"> Key areas of risk of abuse by accounting staff have been studied. The directions of internal control have been identified for their neutralization.</w:t>
      </w:r>
    </w:p>
    <w:p w:rsidR="00787EA7" w:rsidRPr="00787EA7" w:rsidRDefault="00787EA7" w:rsidP="00787EA7">
      <w:pPr>
        <w:widowControl w:val="0"/>
        <w:tabs>
          <w:tab w:val="left" w:pos="8223"/>
        </w:tabs>
        <w:suppressAutoHyphens/>
        <w:ind w:firstLine="397"/>
        <w:jc w:val="both"/>
        <w:rPr>
          <w:rFonts w:eastAsia="Courier New"/>
          <w:color w:val="000000"/>
          <w:kern w:val="1"/>
          <w:sz w:val="22"/>
          <w:szCs w:val="22"/>
          <w:lang w:eastAsia="ar-SA"/>
        </w:rPr>
      </w:pPr>
      <w:r w:rsidRPr="00787EA7">
        <w:rPr>
          <w:rFonts w:eastAsia="Courier New"/>
          <w:color w:val="000000"/>
          <w:kern w:val="1"/>
          <w:sz w:val="22"/>
          <w:szCs w:val="22"/>
          <w:lang w:eastAsia="ar-SA"/>
        </w:rPr>
        <w:t>КЛЮЧЕВЫЕ СЛОВА: мошенничество, контроль, финансовая отчетность, хищение, систем внутреннего контроля.</w:t>
      </w:r>
    </w:p>
    <w:p w:rsidR="00787EA7" w:rsidRPr="00787EA7" w:rsidRDefault="00787EA7" w:rsidP="00787EA7">
      <w:pPr>
        <w:widowControl w:val="0"/>
        <w:tabs>
          <w:tab w:val="left" w:pos="8223"/>
        </w:tabs>
        <w:suppressAutoHyphens/>
        <w:ind w:firstLine="397"/>
        <w:jc w:val="both"/>
        <w:rPr>
          <w:rFonts w:eastAsia="Courier New"/>
          <w:color w:val="000000"/>
          <w:kern w:val="1"/>
          <w:sz w:val="22"/>
          <w:szCs w:val="22"/>
          <w:lang w:val="en-US" w:eastAsia="ar-SA"/>
        </w:rPr>
      </w:pPr>
      <w:r w:rsidRPr="00787EA7">
        <w:rPr>
          <w:rFonts w:eastAsia="Courier New"/>
          <w:color w:val="000000"/>
          <w:kern w:val="1"/>
          <w:sz w:val="22"/>
          <w:szCs w:val="22"/>
          <w:lang w:val="en-US" w:eastAsia="ar-SA"/>
        </w:rPr>
        <w:t>KEYWORDS:</w:t>
      </w:r>
      <w:r w:rsidRPr="00787EA7">
        <w:rPr>
          <w:rFonts w:eastAsia="Andale Sans UI"/>
          <w:kern w:val="1"/>
          <w:sz w:val="22"/>
          <w:szCs w:val="22"/>
          <w:lang w:val="en-US" w:eastAsia="ar-SA"/>
        </w:rPr>
        <w:t xml:space="preserve"> </w:t>
      </w:r>
      <w:r w:rsidRPr="00787EA7">
        <w:rPr>
          <w:rFonts w:eastAsia="Courier New"/>
          <w:color w:val="000000"/>
          <w:kern w:val="1"/>
          <w:sz w:val="22"/>
          <w:szCs w:val="22"/>
          <w:lang w:val="en-US" w:eastAsia="ar-SA"/>
        </w:rPr>
        <w:t>fraud, control, financial statements, theft, systems of internal control.</w:t>
      </w:r>
    </w:p>
    <w:p w:rsidR="00787EA7" w:rsidRPr="00787EA7" w:rsidRDefault="00787EA7" w:rsidP="00787EA7">
      <w:pPr>
        <w:widowControl w:val="0"/>
        <w:suppressAutoHyphens/>
        <w:ind w:firstLine="397"/>
        <w:jc w:val="both"/>
        <w:rPr>
          <w:rFonts w:eastAsia="Andale Sans UI"/>
          <w:b/>
          <w:kern w:val="1"/>
          <w:sz w:val="22"/>
          <w:szCs w:val="22"/>
          <w:lang w:val="en-US" w:eastAsia="ar-SA"/>
        </w:rPr>
      </w:pPr>
    </w:p>
    <w:p w:rsidR="00787EA7" w:rsidRPr="00787EA7" w:rsidRDefault="00787EA7" w:rsidP="00787EA7">
      <w:pPr>
        <w:widowControl w:val="0"/>
        <w:suppressAutoHyphens/>
        <w:ind w:firstLine="397"/>
        <w:jc w:val="both"/>
        <w:textAlignment w:val="top"/>
        <w:rPr>
          <w:color w:val="000000"/>
          <w:kern w:val="1"/>
          <w:sz w:val="22"/>
          <w:szCs w:val="22"/>
        </w:rPr>
      </w:pPr>
      <w:r w:rsidRPr="00787EA7">
        <w:rPr>
          <w:color w:val="000000"/>
          <w:kern w:val="1"/>
          <w:sz w:val="22"/>
          <w:szCs w:val="22"/>
        </w:rPr>
        <w:t xml:space="preserve">Проблемам борьбы с корпоративным мошенничеством сегодня уделяется повышенное внимание не только крупными организациями, но и на правительственном уровне. Минфином России отмечается необходимость оценки рисков злоупотреблений, в частности, злоупотреблений, связанных с приобретением и использованием активов, совершением действий, являющихся коррупциогенными (включая коммерческий подкуп) [3]. Как показали наши исследования, наиболее актуальными для российского бизнеса являются две «схемы» мошенничества: с использованием служебного положения в личных целях и фальсификация отчетности «на благо предприятия». Исследуемые категории корпоративного мошенничества рассматриваются с точки зрения применения их высшим управленческим персоналом, что </w:t>
      </w:r>
      <w:r w:rsidRPr="00787EA7">
        <w:rPr>
          <w:color w:val="000000"/>
          <w:kern w:val="1"/>
          <w:sz w:val="22"/>
          <w:szCs w:val="22"/>
        </w:rPr>
        <w:lastRenderedPageBreak/>
        <w:t xml:space="preserve">приводит к существенным потерям российских компаний [1]. </w:t>
      </w:r>
    </w:p>
    <w:p w:rsidR="00787EA7" w:rsidRPr="00787EA7" w:rsidRDefault="00787EA7" w:rsidP="00787EA7">
      <w:pPr>
        <w:widowControl w:val="0"/>
        <w:shd w:val="clear" w:color="auto" w:fill="FFFFFF"/>
        <w:suppressAutoHyphens/>
        <w:ind w:firstLine="397"/>
        <w:jc w:val="both"/>
        <w:textAlignment w:val="baseline"/>
        <w:rPr>
          <w:color w:val="000000"/>
          <w:kern w:val="1"/>
          <w:sz w:val="22"/>
          <w:szCs w:val="22"/>
        </w:rPr>
      </w:pPr>
      <w:r w:rsidRPr="00787EA7">
        <w:rPr>
          <w:color w:val="000000"/>
          <w:kern w:val="1"/>
          <w:sz w:val="22"/>
          <w:szCs w:val="22"/>
        </w:rPr>
        <w:t xml:space="preserve">Нами определены три основных вида корпоративного мошенничества с участием глав финансово-бухгалтерских служб: вывод денег через «зарплатные схемы», фирмы-«однодневки» и преднамеренная фальсификация отчетности для повышения мнимой платежеспособности и кредитоспособности фирмы. </w:t>
      </w:r>
      <w:r w:rsidRPr="00787EA7">
        <w:rPr>
          <w:rFonts w:eastAsia="Andale Sans UI"/>
          <w:kern w:val="1"/>
          <w:sz w:val="22"/>
          <w:szCs w:val="22"/>
          <w:lang w:eastAsia="ar-SA"/>
        </w:rPr>
        <w:t xml:space="preserve">Любое преступление имеет психологические первопричины. Существует понятие «треугольник мошенничества», которое ввел американский социолог Дональд Кресси: «…Первопричины в корпоративном мошенничестве определяются мотивацией, возможность для его совершения и самооправданием» [5]. Единственным фактором, на который достаточно сложно влиять, - это самооправдание. </w:t>
      </w:r>
      <w:r w:rsidRPr="00787EA7">
        <w:rPr>
          <w:color w:val="000000"/>
          <w:kern w:val="1"/>
          <w:sz w:val="22"/>
          <w:szCs w:val="22"/>
        </w:rPr>
        <w:t>На два других (возможности и мотивы) - можно и нужно воздействовать средствами внутреннего и внешнего контроля [2].</w:t>
      </w:r>
    </w:p>
    <w:p w:rsidR="00787EA7" w:rsidRPr="00787EA7" w:rsidRDefault="00787EA7" w:rsidP="00787EA7">
      <w:pPr>
        <w:widowControl w:val="0"/>
        <w:suppressAutoHyphens/>
        <w:ind w:firstLine="397"/>
        <w:jc w:val="both"/>
        <w:rPr>
          <w:rFonts w:eastAsia="Andale Sans UI"/>
          <w:kern w:val="1"/>
          <w:sz w:val="22"/>
          <w:szCs w:val="22"/>
          <w:shd w:val="clear" w:color="auto" w:fill="FFFFFF"/>
          <w:lang w:eastAsia="ar-SA"/>
        </w:rPr>
      </w:pPr>
      <w:r w:rsidRPr="00787EA7">
        <w:rPr>
          <w:color w:val="000000"/>
          <w:kern w:val="1"/>
          <w:sz w:val="22"/>
          <w:szCs w:val="22"/>
        </w:rPr>
        <w:t xml:space="preserve">Основная цель системы внутреннего контроля (СВК), которая бы препятствовала корпоративным хищениям - прямое воздействие на факторы «треугольника мошенничества». </w:t>
      </w:r>
      <w:r w:rsidRPr="00787EA7">
        <w:rPr>
          <w:rFonts w:eastAsia="Andale Sans UI"/>
          <w:kern w:val="1"/>
          <w:sz w:val="22"/>
          <w:szCs w:val="22"/>
          <w:shd w:val="clear" w:color="auto" w:fill="FFFFFF"/>
          <w:lang w:eastAsia="ar-SA"/>
        </w:rPr>
        <w:t>Основными средствами внутреннего контроля, предотвращающими возможности совершения корпоративных мошенничеств, являются «три кита»:</w:t>
      </w:r>
    </w:p>
    <w:p w:rsidR="00787EA7" w:rsidRPr="00787EA7" w:rsidRDefault="00787EA7" w:rsidP="00787EA7">
      <w:pPr>
        <w:widowControl w:val="0"/>
        <w:shd w:val="clear" w:color="auto" w:fill="FFFFFF"/>
        <w:suppressAutoHyphens/>
        <w:ind w:firstLine="397"/>
        <w:jc w:val="both"/>
        <w:textAlignment w:val="baseline"/>
        <w:rPr>
          <w:rFonts w:eastAsia="Andale Sans UI"/>
          <w:kern w:val="1"/>
          <w:sz w:val="22"/>
          <w:szCs w:val="22"/>
          <w:shd w:val="clear" w:color="auto" w:fill="FFFFFF"/>
          <w:lang w:eastAsia="ar-SA"/>
        </w:rPr>
      </w:pPr>
      <w:r w:rsidRPr="00787EA7">
        <w:rPr>
          <w:rFonts w:eastAsia="Andale Sans UI"/>
          <w:kern w:val="1"/>
          <w:sz w:val="22"/>
          <w:szCs w:val="22"/>
          <w:shd w:val="clear" w:color="auto" w:fill="FFFFFF"/>
          <w:lang w:eastAsia="ar-SA"/>
        </w:rPr>
        <w:t xml:space="preserve">А - надлежащая организация СВК и систематический надзор за формированием финансовой отчетности. </w:t>
      </w:r>
    </w:p>
    <w:p w:rsidR="00787EA7" w:rsidRPr="00787EA7" w:rsidRDefault="00787EA7" w:rsidP="00787EA7">
      <w:pPr>
        <w:widowControl w:val="0"/>
        <w:suppressAutoHyphens/>
        <w:ind w:firstLine="397"/>
        <w:jc w:val="both"/>
        <w:rPr>
          <w:color w:val="000000"/>
          <w:kern w:val="1"/>
          <w:sz w:val="22"/>
          <w:szCs w:val="22"/>
        </w:rPr>
      </w:pPr>
      <w:r w:rsidRPr="00787EA7">
        <w:rPr>
          <w:color w:val="000000"/>
          <w:kern w:val="1"/>
          <w:sz w:val="22"/>
          <w:szCs w:val="22"/>
        </w:rPr>
        <w:t>Б - санкционирование крупных сделок.</w:t>
      </w:r>
    </w:p>
    <w:p w:rsidR="00787EA7" w:rsidRPr="00787EA7" w:rsidRDefault="00787EA7" w:rsidP="00787EA7">
      <w:pPr>
        <w:widowControl w:val="0"/>
        <w:suppressAutoHyphens/>
        <w:ind w:firstLine="397"/>
        <w:jc w:val="both"/>
        <w:textAlignment w:val="top"/>
        <w:rPr>
          <w:color w:val="000000"/>
          <w:kern w:val="1"/>
          <w:sz w:val="22"/>
          <w:szCs w:val="22"/>
        </w:rPr>
      </w:pPr>
      <w:r w:rsidRPr="00787EA7">
        <w:rPr>
          <w:color w:val="000000"/>
          <w:kern w:val="1"/>
          <w:sz w:val="22"/>
          <w:szCs w:val="22"/>
        </w:rPr>
        <w:t>В - систематический мониторинг эффективности использования ресурсов [4].</w:t>
      </w:r>
    </w:p>
    <w:p w:rsidR="00787EA7" w:rsidRPr="00787EA7" w:rsidRDefault="00787EA7" w:rsidP="00787EA7">
      <w:pPr>
        <w:widowControl w:val="0"/>
        <w:suppressAutoHyphens/>
        <w:ind w:firstLine="397"/>
        <w:jc w:val="both"/>
        <w:textAlignment w:val="top"/>
        <w:rPr>
          <w:rFonts w:eastAsia="Andale Sans UI"/>
          <w:color w:val="000000"/>
          <w:kern w:val="1"/>
          <w:sz w:val="22"/>
          <w:szCs w:val="22"/>
          <w:lang w:eastAsia="ar-SA"/>
        </w:rPr>
      </w:pPr>
      <w:r w:rsidRPr="00787EA7">
        <w:rPr>
          <w:color w:val="000000"/>
          <w:kern w:val="1"/>
          <w:sz w:val="22"/>
          <w:szCs w:val="22"/>
        </w:rPr>
        <w:t xml:space="preserve">Необходимо понимать, что воздействие только на возможности является недостаточным, ведь «отсекается» только один угол треугольника мошенничества. Еще одним фактором нейтрализации риска является «мотивация/давление обстоятельств»: путем повышения корпоративной культуры, чуткого отношения руководства и лиц, отвечающих за корпоративной управление, к личным проблемам персонала. </w:t>
      </w:r>
      <w:r w:rsidRPr="00787EA7">
        <w:rPr>
          <w:rFonts w:eastAsia="Andale Sans UI"/>
          <w:color w:val="000000"/>
          <w:kern w:val="1"/>
          <w:sz w:val="22"/>
          <w:szCs w:val="22"/>
          <w:lang w:eastAsia="ar-SA"/>
        </w:rPr>
        <w:t>Исследование способов и инструментов корпоративного мошенничества позволяет сформулировать следующие выводы.</w:t>
      </w:r>
    </w:p>
    <w:p w:rsidR="00787EA7" w:rsidRPr="00787EA7" w:rsidRDefault="00787EA7" w:rsidP="002D7DA5">
      <w:pPr>
        <w:widowControl w:val="0"/>
        <w:numPr>
          <w:ilvl w:val="0"/>
          <w:numId w:val="62"/>
        </w:numPr>
        <w:tabs>
          <w:tab w:val="left" w:pos="426"/>
        </w:tabs>
        <w:suppressAutoHyphens/>
        <w:ind w:left="0" w:firstLine="397"/>
        <w:contextualSpacing/>
        <w:jc w:val="both"/>
        <w:rPr>
          <w:color w:val="000000"/>
          <w:kern w:val="1"/>
          <w:sz w:val="22"/>
          <w:szCs w:val="22"/>
          <w:lang w:eastAsia="ar-SA"/>
        </w:rPr>
      </w:pPr>
      <w:r w:rsidRPr="00787EA7">
        <w:rPr>
          <w:color w:val="000000"/>
          <w:kern w:val="1"/>
          <w:sz w:val="22"/>
          <w:szCs w:val="22"/>
          <w:lang w:eastAsia="ar-SA"/>
        </w:rPr>
        <w:t xml:space="preserve">Корпоративное мошенничество, осуществляемое главами финансово-экономических служб болезненно отражается на финансово-хозяйственной деятельности организации, так как это инструментарий хищений тщательно завуалирован и такие хищения </w:t>
      </w:r>
      <w:r w:rsidRPr="00787EA7">
        <w:rPr>
          <w:color w:val="000000"/>
          <w:kern w:val="1"/>
          <w:sz w:val="22"/>
          <w:szCs w:val="22"/>
          <w:lang w:eastAsia="ar-SA"/>
        </w:rPr>
        <w:lastRenderedPageBreak/>
        <w:t>приводят к убыткам в крупном и особо крупном размере.</w:t>
      </w:r>
    </w:p>
    <w:p w:rsidR="00787EA7" w:rsidRPr="00787EA7" w:rsidRDefault="00787EA7" w:rsidP="002D7DA5">
      <w:pPr>
        <w:widowControl w:val="0"/>
        <w:numPr>
          <w:ilvl w:val="0"/>
          <w:numId w:val="62"/>
        </w:numPr>
        <w:tabs>
          <w:tab w:val="left" w:pos="426"/>
        </w:tabs>
        <w:suppressAutoHyphens/>
        <w:ind w:left="0" w:firstLine="397"/>
        <w:contextualSpacing/>
        <w:jc w:val="both"/>
        <w:rPr>
          <w:color w:val="000000"/>
          <w:kern w:val="1"/>
          <w:sz w:val="22"/>
          <w:szCs w:val="22"/>
          <w:lang w:eastAsia="ar-SA"/>
        </w:rPr>
      </w:pPr>
      <w:r w:rsidRPr="00787EA7">
        <w:rPr>
          <w:color w:val="000000"/>
          <w:kern w:val="1"/>
          <w:sz w:val="22"/>
          <w:szCs w:val="22"/>
          <w:lang w:eastAsia="ar-SA"/>
        </w:rPr>
        <w:t xml:space="preserve">«Популярными» схемами хищений в личных целях являются «зарплатное» мошенничество и отражение мнимых и притворных сделок через подставные фирмы. Преднамеренное искажение бухгалтерской отчетности осуществляется в целях снижения налогового бремени или, наоборот, повышения мнимой инвестиционной привлекательности организации. </w:t>
      </w:r>
    </w:p>
    <w:p w:rsidR="00787EA7" w:rsidRPr="00787EA7" w:rsidRDefault="00787EA7" w:rsidP="002D7DA5">
      <w:pPr>
        <w:widowControl w:val="0"/>
        <w:numPr>
          <w:ilvl w:val="0"/>
          <w:numId w:val="62"/>
        </w:numPr>
        <w:tabs>
          <w:tab w:val="left" w:pos="426"/>
        </w:tabs>
        <w:suppressAutoHyphens/>
        <w:ind w:left="0" w:firstLine="397"/>
        <w:contextualSpacing/>
        <w:jc w:val="both"/>
        <w:rPr>
          <w:color w:val="000000"/>
          <w:kern w:val="1"/>
          <w:sz w:val="22"/>
          <w:szCs w:val="22"/>
          <w:lang w:eastAsia="ar-SA"/>
        </w:rPr>
      </w:pPr>
      <w:r w:rsidRPr="00787EA7">
        <w:rPr>
          <w:color w:val="000000"/>
          <w:kern w:val="1"/>
          <w:sz w:val="22"/>
          <w:szCs w:val="22"/>
          <w:lang w:eastAsia="ar-SA"/>
        </w:rPr>
        <w:t xml:space="preserve">Все недобросовестные действия в сфере корпоративных финансов становятся возможными вследствие сочетания трех факторов: мотивации (давления обстоятельств), возможностей и самооправдания мошенников. </w:t>
      </w:r>
    </w:p>
    <w:p w:rsidR="00787EA7" w:rsidRPr="00787EA7" w:rsidRDefault="00787EA7" w:rsidP="00787EA7">
      <w:pPr>
        <w:widowControl w:val="0"/>
        <w:tabs>
          <w:tab w:val="left" w:pos="142"/>
        </w:tabs>
        <w:suppressAutoHyphens/>
        <w:ind w:firstLine="397"/>
        <w:contextualSpacing/>
        <w:jc w:val="both"/>
        <w:rPr>
          <w:color w:val="000000"/>
          <w:kern w:val="1"/>
          <w:sz w:val="22"/>
          <w:szCs w:val="22"/>
          <w:lang w:eastAsia="ar-SA"/>
        </w:rPr>
      </w:pPr>
      <w:r w:rsidRPr="00787EA7">
        <w:rPr>
          <w:color w:val="000000"/>
          <w:kern w:val="1"/>
          <w:sz w:val="22"/>
          <w:szCs w:val="22"/>
          <w:lang w:eastAsia="ar-SA"/>
        </w:rPr>
        <w:t>Таким образом, можно сформулировать предложения руководству и собственникам организаций:</w:t>
      </w:r>
    </w:p>
    <w:p w:rsidR="00787EA7" w:rsidRPr="00787EA7" w:rsidRDefault="00787EA7" w:rsidP="002D7DA5">
      <w:pPr>
        <w:widowControl w:val="0"/>
        <w:numPr>
          <w:ilvl w:val="0"/>
          <w:numId w:val="63"/>
        </w:numPr>
        <w:tabs>
          <w:tab w:val="left" w:pos="0"/>
          <w:tab w:val="left" w:pos="426"/>
        </w:tabs>
        <w:suppressAutoHyphens/>
        <w:ind w:left="0" w:firstLine="397"/>
        <w:contextualSpacing/>
        <w:jc w:val="both"/>
        <w:rPr>
          <w:kern w:val="1"/>
          <w:sz w:val="22"/>
          <w:szCs w:val="22"/>
          <w:shd w:val="clear" w:color="auto" w:fill="FFFFFF"/>
          <w:lang w:eastAsia="ar-SA"/>
        </w:rPr>
      </w:pPr>
      <w:r w:rsidRPr="00787EA7">
        <w:rPr>
          <w:color w:val="000000"/>
          <w:kern w:val="1"/>
          <w:sz w:val="22"/>
          <w:szCs w:val="22"/>
          <w:lang w:eastAsia="ar-SA"/>
        </w:rPr>
        <w:t xml:space="preserve">Организация корпоративного управления должна позволять осуществлять мониторинг и управление факторами мотивации сотрудников на реальный успех компании, а не на присвоение ее средств. </w:t>
      </w:r>
    </w:p>
    <w:p w:rsidR="00787EA7" w:rsidRPr="00787EA7" w:rsidRDefault="00787EA7" w:rsidP="002D7DA5">
      <w:pPr>
        <w:widowControl w:val="0"/>
        <w:numPr>
          <w:ilvl w:val="0"/>
          <w:numId w:val="63"/>
        </w:numPr>
        <w:tabs>
          <w:tab w:val="left" w:pos="0"/>
          <w:tab w:val="left" w:pos="426"/>
        </w:tabs>
        <w:suppressAutoHyphens/>
        <w:ind w:left="0" w:firstLine="397"/>
        <w:contextualSpacing/>
        <w:jc w:val="both"/>
        <w:rPr>
          <w:kern w:val="1"/>
          <w:sz w:val="22"/>
          <w:szCs w:val="22"/>
          <w:shd w:val="clear" w:color="auto" w:fill="FFFFFF"/>
          <w:lang w:eastAsia="ar-SA"/>
        </w:rPr>
      </w:pPr>
      <w:r w:rsidRPr="00787EA7">
        <w:rPr>
          <w:kern w:val="1"/>
          <w:sz w:val="22"/>
          <w:szCs w:val="22"/>
          <w:shd w:val="clear" w:color="auto" w:fill="FFFFFF"/>
          <w:lang w:eastAsia="ar-SA"/>
        </w:rPr>
        <w:t>Профилактика возможностей хищений активов должна обеспечиваться собственной системой внутреннего контроля.</w:t>
      </w:r>
    </w:p>
    <w:p w:rsidR="00787EA7" w:rsidRPr="00787EA7" w:rsidRDefault="00787EA7" w:rsidP="002D7DA5">
      <w:pPr>
        <w:widowControl w:val="0"/>
        <w:numPr>
          <w:ilvl w:val="0"/>
          <w:numId w:val="63"/>
        </w:numPr>
        <w:tabs>
          <w:tab w:val="left" w:pos="0"/>
          <w:tab w:val="left" w:pos="426"/>
        </w:tabs>
        <w:suppressAutoHyphens/>
        <w:ind w:left="0" w:firstLine="397"/>
        <w:contextualSpacing/>
        <w:jc w:val="both"/>
        <w:rPr>
          <w:kern w:val="1"/>
          <w:sz w:val="22"/>
          <w:szCs w:val="22"/>
          <w:shd w:val="clear" w:color="auto" w:fill="FFFFFF"/>
          <w:lang w:eastAsia="ar-SA"/>
        </w:rPr>
      </w:pPr>
      <w:r w:rsidRPr="00787EA7">
        <w:rPr>
          <w:kern w:val="1"/>
          <w:sz w:val="22"/>
          <w:szCs w:val="22"/>
          <w:shd w:val="clear" w:color="auto" w:fill="FFFFFF"/>
          <w:lang w:eastAsia="ar-SA"/>
        </w:rPr>
        <w:t>Единственным инструментом противодействия таким корпоративным мошенничествам становится аудит или согласованная аудиторская процедура «форензик».</w:t>
      </w:r>
    </w:p>
    <w:p w:rsidR="00787EA7" w:rsidRPr="00787EA7" w:rsidRDefault="00787EA7" w:rsidP="00787EA7">
      <w:pPr>
        <w:widowControl w:val="0"/>
        <w:suppressAutoHyphens/>
        <w:ind w:firstLine="397"/>
        <w:jc w:val="both"/>
        <w:rPr>
          <w:color w:val="000000"/>
          <w:kern w:val="1"/>
          <w:sz w:val="22"/>
          <w:szCs w:val="22"/>
        </w:rPr>
      </w:pPr>
    </w:p>
    <w:p w:rsidR="00787EA7" w:rsidRPr="00787EA7" w:rsidRDefault="00787EA7" w:rsidP="00787EA7">
      <w:pPr>
        <w:widowControl w:val="0"/>
        <w:suppressAutoHyphens/>
        <w:ind w:firstLine="397"/>
        <w:jc w:val="center"/>
        <w:rPr>
          <w:rFonts w:eastAsia="Andale Sans UI"/>
          <w:kern w:val="1"/>
          <w:sz w:val="22"/>
          <w:szCs w:val="22"/>
          <w:shd w:val="clear" w:color="auto" w:fill="FFFFFF"/>
          <w:lang w:eastAsia="ar-SA"/>
        </w:rPr>
      </w:pPr>
      <w:r w:rsidRPr="00787EA7">
        <w:rPr>
          <w:rFonts w:eastAsia="Andale Sans UI"/>
          <w:kern w:val="1"/>
          <w:sz w:val="22"/>
          <w:szCs w:val="22"/>
          <w:shd w:val="clear" w:color="auto" w:fill="FFFFFF"/>
          <w:lang w:eastAsia="ar-SA"/>
        </w:rPr>
        <w:t>Список литературы</w:t>
      </w:r>
    </w:p>
    <w:p w:rsidR="00787EA7" w:rsidRPr="00787EA7" w:rsidRDefault="00787EA7" w:rsidP="002D7DA5">
      <w:pPr>
        <w:widowControl w:val="0"/>
        <w:numPr>
          <w:ilvl w:val="0"/>
          <w:numId w:val="61"/>
        </w:numPr>
        <w:suppressAutoHyphens/>
        <w:ind w:left="0" w:firstLine="397"/>
        <w:contextualSpacing/>
        <w:jc w:val="both"/>
        <w:rPr>
          <w:kern w:val="1"/>
          <w:sz w:val="22"/>
          <w:szCs w:val="22"/>
        </w:rPr>
      </w:pPr>
      <w:r w:rsidRPr="00787EA7">
        <w:rPr>
          <w:kern w:val="1"/>
          <w:sz w:val="22"/>
          <w:szCs w:val="22"/>
        </w:rPr>
        <w:t>Бодяко П.М. Совершенствование организации бухгалтерского учета и контроля обязательств непубличных производственных компаний по кредитам и займам: монография / П. М. Бодяко, Т. М. Рогуленко, А. В. Бодяко. – М.: Русайнс, 2015. – 256 с.</w:t>
      </w:r>
    </w:p>
    <w:p w:rsidR="00787EA7" w:rsidRPr="00787EA7" w:rsidRDefault="00787EA7" w:rsidP="002D7DA5">
      <w:pPr>
        <w:widowControl w:val="0"/>
        <w:numPr>
          <w:ilvl w:val="0"/>
          <w:numId w:val="61"/>
        </w:numPr>
        <w:shd w:val="clear" w:color="auto" w:fill="FFFFFF"/>
        <w:suppressAutoHyphens/>
        <w:ind w:left="0" w:firstLine="397"/>
        <w:jc w:val="both"/>
        <w:outlineLvl w:val="0"/>
        <w:rPr>
          <w:rFonts w:eastAsiaTheme="majorEastAsia"/>
          <w:kern w:val="1"/>
          <w:sz w:val="22"/>
          <w:szCs w:val="22"/>
          <w:lang w:eastAsia="ar-SA"/>
        </w:rPr>
      </w:pPr>
      <w:r w:rsidRPr="00787EA7">
        <w:rPr>
          <w:rFonts w:eastAsiaTheme="majorEastAsia"/>
          <w:kern w:val="1"/>
          <w:sz w:val="22"/>
          <w:szCs w:val="22"/>
          <w:lang w:eastAsia="ar-SA"/>
        </w:rPr>
        <w:t xml:space="preserve">Дубовик А. Корпоративное управление как средство противодействия мошенничеству /А. Дубовик // </w:t>
      </w:r>
      <w:hyperlink r:id="rId188" w:tgtFrame="_blank" w:history="1">
        <w:r w:rsidRPr="00787EA7">
          <w:rPr>
            <w:rFonts w:eastAsiaTheme="majorEastAsia"/>
            <w:kern w:val="1"/>
            <w:sz w:val="22"/>
            <w:szCs w:val="22"/>
            <w:shd w:val="clear" w:color="auto" w:fill="FFFFFF"/>
            <w:lang w:eastAsia="ar-SA"/>
          </w:rPr>
          <w:t>Финансовый директор</w:t>
        </w:r>
      </w:hyperlink>
      <w:r w:rsidRPr="00787EA7">
        <w:rPr>
          <w:rFonts w:eastAsiaTheme="majorEastAsia"/>
          <w:kern w:val="1"/>
          <w:sz w:val="22"/>
          <w:szCs w:val="22"/>
          <w:shd w:val="clear" w:color="auto" w:fill="FFFFFF"/>
          <w:lang w:eastAsia="ar-SA"/>
        </w:rPr>
        <w:t>. – 2010. - №9-10.</w:t>
      </w:r>
    </w:p>
    <w:p w:rsidR="00787EA7" w:rsidRPr="00787EA7" w:rsidRDefault="00787EA7" w:rsidP="002D7DA5">
      <w:pPr>
        <w:widowControl w:val="0"/>
        <w:numPr>
          <w:ilvl w:val="0"/>
          <w:numId w:val="61"/>
        </w:numPr>
        <w:shd w:val="clear" w:color="auto" w:fill="FFFFFF"/>
        <w:suppressAutoHyphens/>
        <w:ind w:left="0" w:firstLine="397"/>
        <w:jc w:val="both"/>
        <w:rPr>
          <w:sz w:val="22"/>
          <w:szCs w:val="22"/>
        </w:rPr>
      </w:pPr>
      <w:r w:rsidRPr="00787EA7">
        <w:rPr>
          <w:sz w:val="22"/>
          <w:szCs w:val="22"/>
          <w:shd w:val="clear" w:color="auto" w:fill="FFFFFF"/>
        </w:rPr>
        <w:t xml:space="preserve">Савин Д. Мошенничество бухгалтеров: как выявить и предотвратить </w:t>
      </w:r>
      <w:r w:rsidRPr="00787EA7">
        <w:rPr>
          <w:sz w:val="22"/>
          <w:szCs w:val="22"/>
        </w:rPr>
        <w:t xml:space="preserve">// </w:t>
      </w:r>
      <w:r w:rsidRPr="00787EA7">
        <w:rPr>
          <w:sz w:val="22"/>
          <w:szCs w:val="22"/>
          <w:shd w:val="clear" w:color="auto" w:fill="FFFFFF"/>
        </w:rPr>
        <w:t>Бухгалтерия.ру</w:t>
      </w:r>
      <w:r w:rsidRPr="00787EA7">
        <w:rPr>
          <w:sz w:val="22"/>
          <w:szCs w:val="22"/>
        </w:rPr>
        <w:t xml:space="preserve">– </w:t>
      </w:r>
      <w:r w:rsidRPr="00787EA7">
        <w:rPr>
          <w:sz w:val="22"/>
          <w:szCs w:val="22"/>
          <w:shd w:val="clear" w:color="auto" w:fill="FFFFFF"/>
        </w:rPr>
        <w:t>17.10.2012.</w:t>
      </w:r>
    </w:p>
    <w:p w:rsidR="00787EA7" w:rsidRPr="00787EA7" w:rsidRDefault="00787EA7" w:rsidP="002D7DA5">
      <w:pPr>
        <w:widowControl w:val="0"/>
        <w:numPr>
          <w:ilvl w:val="0"/>
          <w:numId w:val="61"/>
        </w:numPr>
        <w:shd w:val="clear" w:color="auto" w:fill="FFFFFF"/>
        <w:suppressAutoHyphens/>
        <w:ind w:left="0" w:firstLine="397"/>
        <w:jc w:val="both"/>
        <w:rPr>
          <w:sz w:val="22"/>
          <w:szCs w:val="22"/>
        </w:rPr>
      </w:pPr>
      <w:r w:rsidRPr="00787EA7">
        <w:rPr>
          <w:sz w:val="22"/>
          <w:szCs w:val="22"/>
          <w:shd w:val="clear" w:color="auto" w:fill="FFFFFF"/>
        </w:rPr>
        <w:t>Швырева О. И. Внутренний контроль расчетов с контрагентами / О. И. Швырева, З. И. Кругляк // Бухучет в сельском хозяйстве. - 2013. - № 11. - С. 48-58.</w:t>
      </w:r>
    </w:p>
    <w:p w:rsidR="00787EA7" w:rsidRPr="00787EA7" w:rsidRDefault="00787EA7" w:rsidP="002D7DA5">
      <w:pPr>
        <w:widowControl w:val="0"/>
        <w:numPr>
          <w:ilvl w:val="0"/>
          <w:numId w:val="61"/>
        </w:numPr>
        <w:shd w:val="clear" w:color="auto" w:fill="FFFFFF"/>
        <w:suppressAutoHyphens/>
        <w:ind w:left="0" w:firstLine="397"/>
        <w:jc w:val="both"/>
        <w:rPr>
          <w:sz w:val="22"/>
          <w:szCs w:val="22"/>
        </w:rPr>
      </w:pPr>
      <w:r w:rsidRPr="00787EA7">
        <w:rPr>
          <w:sz w:val="22"/>
          <w:szCs w:val="22"/>
        </w:rPr>
        <w:t xml:space="preserve">Якубова А.А. Профилактика корпоративного </w:t>
      </w:r>
      <w:r w:rsidRPr="00787EA7">
        <w:rPr>
          <w:sz w:val="22"/>
          <w:szCs w:val="22"/>
        </w:rPr>
        <w:lastRenderedPageBreak/>
        <w:t xml:space="preserve">мошенничества // Научный взгляд философия, социология, политология, история – 23.12.2016 </w:t>
      </w:r>
    </w:p>
    <w:p w:rsidR="00AB2A07" w:rsidRDefault="00AB2A07" w:rsidP="00AE3C28">
      <w:pPr>
        <w:widowControl w:val="0"/>
        <w:suppressAutoHyphens/>
        <w:contextualSpacing/>
        <w:rPr>
          <w:rFonts w:eastAsia="Andale Sans UI"/>
          <w:kern w:val="1"/>
          <w:sz w:val="22"/>
          <w:szCs w:val="22"/>
          <w:lang w:eastAsia="ar-SA"/>
        </w:rPr>
      </w:pPr>
    </w:p>
    <w:p w:rsidR="001E2244" w:rsidRDefault="001E2244" w:rsidP="00AE3C28">
      <w:pPr>
        <w:widowControl w:val="0"/>
        <w:suppressAutoHyphens/>
        <w:contextualSpacing/>
        <w:rPr>
          <w:rFonts w:eastAsia="Andale Sans UI"/>
          <w:kern w:val="1"/>
          <w:sz w:val="22"/>
          <w:szCs w:val="22"/>
          <w:lang w:eastAsia="ar-SA"/>
        </w:rPr>
      </w:pPr>
    </w:p>
    <w:p w:rsidR="001E2244" w:rsidRDefault="001E2244" w:rsidP="00AE3C28">
      <w:pPr>
        <w:widowControl w:val="0"/>
        <w:suppressAutoHyphens/>
        <w:contextualSpacing/>
        <w:rPr>
          <w:rFonts w:eastAsia="Andale Sans UI"/>
          <w:kern w:val="1"/>
          <w:sz w:val="22"/>
          <w:szCs w:val="22"/>
          <w:lang w:eastAsia="ar-SA"/>
        </w:rPr>
      </w:pPr>
    </w:p>
    <w:p w:rsidR="00787EA7" w:rsidRPr="00AE3C28" w:rsidRDefault="00787EA7" w:rsidP="00AE3C28">
      <w:pPr>
        <w:widowControl w:val="0"/>
        <w:suppressAutoHyphens/>
        <w:contextualSpacing/>
        <w:rPr>
          <w:rFonts w:eastAsia="Andale Sans UI"/>
          <w:kern w:val="1"/>
          <w:sz w:val="22"/>
          <w:szCs w:val="22"/>
          <w:lang w:val="en-US" w:eastAsia="ar-SA"/>
        </w:rPr>
      </w:pPr>
      <w:r w:rsidRPr="00AE3C28">
        <w:rPr>
          <w:rFonts w:eastAsia="Andale Sans UI"/>
          <w:kern w:val="1"/>
          <w:sz w:val="22"/>
          <w:szCs w:val="22"/>
          <w:lang w:eastAsia="ar-SA"/>
        </w:rPr>
        <w:t>УДК</w:t>
      </w:r>
      <w:r w:rsidRPr="00AE3C28">
        <w:rPr>
          <w:rFonts w:eastAsia="Andale Sans UI"/>
          <w:kern w:val="1"/>
          <w:sz w:val="22"/>
          <w:szCs w:val="22"/>
          <w:lang w:val="en-US" w:eastAsia="ar-SA"/>
        </w:rPr>
        <w:t xml:space="preserve"> 657.1</w:t>
      </w:r>
    </w:p>
    <w:p w:rsidR="00787EA7" w:rsidRPr="00787EA7" w:rsidRDefault="00787EA7" w:rsidP="00787EA7">
      <w:pPr>
        <w:widowControl w:val="0"/>
        <w:suppressAutoHyphens/>
        <w:contextualSpacing/>
        <w:jc w:val="both"/>
        <w:rPr>
          <w:rFonts w:eastAsia="Andale Sans UI"/>
          <w:b/>
          <w:kern w:val="1"/>
          <w:sz w:val="24"/>
          <w:szCs w:val="24"/>
          <w:lang w:val="en-US" w:eastAsia="ar-SA"/>
        </w:rPr>
      </w:pPr>
    </w:p>
    <w:p w:rsidR="00AE3C28" w:rsidRPr="00C56F2E" w:rsidRDefault="00787EA7" w:rsidP="00AE3C28">
      <w:pPr>
        <w:widowControl w:val="0"/>
        <w:suppressAutoHyphens/>
        <w:contextualSpacing/>
        <w:jc w:val="center"/>
        <w:rPr>
          <w:rFonts w:eastAsia="Andale Sans UI"/>
          <w:b/>
          <w:kern w:val="1"/>
          <w:sz w:val="24"/>
          <w:szCs w:val="24"/>
          <w:lang w:val="en-US" w:eastAsia="ar-SA"/>
        </w:rPr>
      </w:pPr>
      <w:r w:rsidRPr="00787EA7">
        <w:rPr>
          <w:rFonts w:eastAsia="Andale Sans UI"/>
          <w:b/>
          <w:kern w:val="1"/>
          <w:sz w:val="24"/>
          <w:szCs w:val="24"/>
          <w:lang w:eastAsia="ar-SA"/>
        </w:rPr>
        <w:t>Повышение</w:t>
      </w:r>
      <w:r w:rsidRPr="00787EA7">
        <w:rPr>
          <w:rFonts w:eastAsia="Andale Sans UI"/>
          <w:b/>
          <w:kern w:val="1"/>
          <w:sz w:val="24"/>
          <w:szCs w:val="24"/>
          <w:lang w:val="en-US" w:eastAsia="ar-SA"/>
        </w:rPr>
        <w:t xml:space="preserve"> </w:t>
      </w:r>
      <w:r w:rsidRPr="00787EA7">
        <w:rPr>
          <w:rFonts w:eastAsia="Andale Sans UI"/>
          <w:b/>
          <w:kern w:val="1"/>
          <w:sz w:val="24"/>
          <w:szCs w:val="24"/>
          <w:lang w:eastAsia="ar-SA"/>
        </w:rPr>
        <w:t>квалификации</w:t>
      </w:r>
      <w:r w:rsidRPr="00787EA7">
        <w:rPr>
          <w:rFonts w:eastAsia="Andale Sans UI"/>
          <w:b/>
          <w:kern w:val="1"/>
          <w:sz w:val="24"/>
          <w:szCs w:val="24"/>
          <w:lang w:val="en-US" w:eastAsia="ar-SA"/>
        </w:rPr>
        <w:t xml:space="preserve"> </w:t>
      </w:r>
      <w:r w:rsidRPr="00787EA7">
        <w:rPr>
          <w:rFonts w:eastAsia="Andale Sans UI"/>
          <w:b/>
          <w:kern w:val="1"/>
          <w:sz w:val="24"/>
          <w:szCs w:val="24"/>
          <w:lang w:eastAsia="ar-SA"/>
        </w:rPr>
        <w:t>бухгалтера</w:t>
      </w:r>
    </w:p>
    <w:p w:rsidR="00787EA7" w:rsidRPr="00787EA7" w:rsidRDefault="00787EA7" w:rsidP="00AE3C28">
      <w:pPr>
        <w:widowControl w:val="0"/>
        <w:suppressAutoHyphens/>
        <w:contextualSpacing/>
        <w:jc w:val="center"/>
        <w:rPr>
          <w:rFonts w:eastAsia="Andale Sans UI"/>
          <w:b/>
          <w:kern w:val="1"/>
          <w:sz w:val="24"/>
          <w:szCs w:val="24"/>
          <w:lang w:val="en-US" w:eastAsia="ar-SA"/>
        </w:rPr>
      </w:pPr>
      <w:r w:rsidRPr="00787EA7">
        <w:rPr>
          <w:rFonts w:eastAsia="Andale Sans UI"/>
          <w:b/>
          <w:kern w:val="1"/>
          <w:sz w:val="24"/>
          <w:szCs w:val="24"/>
          <w:lang w:val="en-US" w:eastAsia="ar-SA"/>
        </w:rPr>
        <w:t>Professional development of the accountant</w:t>
      </w:r>
    </w:p>
    <w:p w:rsidR="00787EA7" w:rsidRPr="00787EA7" w:rsidRDefault="00787EA7" w:rsidP="00787EA7">
      <w:pPr>
        <w:widowControl w:val="0"/>
        <w:suppressAutoHyphens/>
        <w:contextualSpacing/>
        <w:jc w:val="right"/>
        <w:rPr>
          <w:rFonts w:eastAsia="Andale Sans UI"/>
          <w:kern w:val="1"/>
          <w:sz w:val="24"/>
          <w:szCs w:val="24"/>
          <w:lang w:val="en-US" w:eastAsia="ar-SA"/>
        </w:rPr>
      </w:pPr>
    </w:p>
    <w:p w:rsidR="00787EA7" w:rsidRPr="00AE3C28" w:rsidRDefault="00787EA7" w:rsidP="00787EA7">
      <w:pPr>
        <w:widowControl w:val="0"/>
        <w:suppressAutoHyphens/>
        <w:contextualSpacing/>
        <w:jc w:val="right"/>
        <w:rPr>
          <w:rFonts w:eastAsia="Andale Sans UI"/>
          <w:kern w:val="1"/>
          <w:sz w:val="22"/>
          <w:szCs w:val="22"/>
          <w:lang w:eastAsia="ar-SA"/>
        </w:rPr>
      </w:pPr>
      <w:r w:rsidRPr="00AE3C28">
        <w:rPr>
          <w:rFonts w:eastAsia="Andale Sans UI"/>
          <w:kern w:val="1"/>
          <w:sz w:val="22"/>
          <w:szCs w:val="22"/>
          <w:lang w:eastAsia="ar-SA"/>
        </w:rPr>
        <w:t>Голуб М. Р.,</w:t>
      </w:r>
    </w:p>
    <w:p w:rsidR="00787EA7" w:rsidRPr="00AE3C28" w:rsidRDefault="00787EA7" w:rsidP="00787EA7">
      <w:pPr>
        <w:widowControl w:val="0"/>
        <w:suppressAutoHyphens/>
        <w:contextualSpacing/>
        <w:jc w:val="right"/>
        <w:rPr>
          <w:rFonts w:eastAsia="Andale Sans UI"/>
          <w:kern w:val="1"/>
          <w:sz w:val="22"/>
          <w:szCs w:val="22"/>
          <w:lang w:eastAsia="ar-SA"/>
        </w:rPr>
      </w:pPr>
      <w:r w:rsidRPr="00AE3C28">
        <w:rPr>
          <w:rFonts w:eastAsia="Andale Sans UI"/>
          <w:kern w:val="1"/>
          <w:sz w:val="22"/>
          <w:szCs w:val="22"/>
          <w:lang w:eastAsia="ar-SA"/>
        </w:rPr>
        <w:t>студенка 3-го курса учетно-финансового факультета</w:t>
      </w:r>
    </w:p>
    <w:p w:rsidR="00787EA7" w:rsidRPr="00AE3C28" w:rsidRDefault="00787EA7" w:rsidP="00787EA7">
      <w:pPr>
        <w:widowControl w:val="0"/>
        <w:suppressAutoHyphens/>
        <w:contextualSpacing/>
        <w:jc w:val="right"/>
        <w:rPr>
          <w:rFonts w:eastAsia="Andale Sans UI"/>
          <w:kern w:val="1"/>
          <w:sz w:val="22"/>
          <w:szCs w:val="22"/>
          <w:lang w:eastAsia="ar-SA"/>
        </w:rPr>
      </w:pPr>
      <w:r w:rsidRPr="00AE3C28">
        <w:rPr>
          <w:rFonts w:eastAsia="Andale Sans UI"/>
          <w:kern w:val="1"/>
          <w:sz w:val="22"/>
          <w:szCs w:val="22"/>
          <w:lang w:eastAsia="ar-SA"/>
        </w:rPr>
        <w:t>Коровина М. А.,</w:t>
      </w:r>
    </w:p>
    <w:p w:rsidR="00787EA7" w:rsidRPr="00AE3C28" w:rsidRDefault="00787EA7" w:rsidP="00787EA7">
      <w:pPr>
        <w:widowControl w:val="0"/>
        <w:suppressAutoHyphens/>
        <w:contextualSpacing/>
        <w:jc w:val="right"/>
        <w:rPr>
          <w:rFonts w:eastAsia="Andale Sans UI"/>
          <w:kern w:val="1"/>
          <w:sz w:val="22"/>
          <w:szCs w:val="22"/>
          <w:lang w:eastAsia="ar-SA"/>
        </w:rPr>
      </w:pPr>
      <w:r w:rsidRPr="00AE3C28">
        <w:rPr>
          <w:rFonts w:eastAsia="Andale Sans UI"/>
          <w:kern w:val="1"/>
          <w:sz w:val="22"/>
          <w:szCs w:val="22"/>
          <w:lang w:eastAsia="ar-SA"/>
        </w:rPr>
        <w:t>канд. экон. наук, доцент</w:t>
      </w:r>
    </w:p>
    <w:p w:rsidR="00787EA7" w:rsidRPr="00AE3C28" w:rsidRDefault="00787EA7" w:rsidP="00787EA7">
      <w:pPr>
        <w:widowControl w:val="0"/>
        <w:suppressAutoHyphens/>
        <w:contextualSpacing/>
        <w:jc w:val="right"/>
        <w:rPr>
          <w:rFonts w:eastAsia="Andale Sans UI"/>
          <w:kern w:val="1"/>
          <w:sz w:val="22"/>
          <w:szCs w:val="22"/>
          <w:lang w:eastAsia="ar-SA"/>
        </w:rPr>
      </w:pPr>
      <w:r w:rsidRPr="00AE3C28">
        <w:rPr>
          <w:rFonts w:eastAsia="Andale Sans UI"/>
          <w:kern w:val="1"/>
          <w:sz w:val="22"/>
          <w:szCs w:val="22"/>
          <w:lang w:eastAsia="ar-SA"/>
        </w:rPr>
        <w:t xml:space="preserve">Кубанский государственный аграрный </w:t>
      </w:r>
    </w:p>
    <w:p w:rsidR="00787EA7" w:rsidRPr="00787EA7" w:rsidRDefault="00787EA7" w:rsidP="00787EA7">
      <w:pPr>
        <w:widowControl w:val="0"/>
        <w:suppressAutoHyphens/>
        <w:contextualSpacing/>
        <w:jc w:val="right"/>
        <w:rPr>
          <w:rFonts w:eastAsia="Andale Sans UI"/>
          <w:kern w:val="1"/>
          <w:sz w:val="24"/>
          <w:szCs w:val="24"/>
          <w:lang w:eastAsia="ar-SA"/>
        </w:rPr>
      </w:pPr>
      <w:r w:rsidRPr="00AE3C28">
        <w:rPr>
          <w:rFonts w:eastAsia="Andale Sans UI"/>
          <w:kern w:val="1"/>
          <w:sz w:val="22"/>
          <w:szCs w:val="22"/>
          <w:lang w:eastAsia="ar-SA"/>
        </w:rPr>
        <w:t>университет имени И. Т. Трубилина</w:t>
      </w:r>
    </w:p>
    <w:p w:rsidR="00787EA7" w:rsidRPr="00787EA7" w:rsidRDefault="00787EA7" w:rsidP="00787EA7">
      <w:pPr>
        <w:widowControl w:val="0"/>
        <w:suppressAutoHyphens/>
        <w:ind w:firstLine="425"/>
        <w:contextualSpacing/>
        <w:jc w:val="both"/>
        <w:rPr>
          <w:rFonts w:eastAsia="Andale Sans UI"/>
          <w:kern w:val="1"/>
          <w:sz w:val="24"/>
          <w:szCs w:val="24"/>
          <w:lang w:eastAsia="ar-SA"/>
        </w:rPr>
      </w:pP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АННОТАЦИЯ: Показана необходимость обновления бухгалтерами различных уровней подготовки своих знаний и навыков. Рассмотрены возможные варианты обучения. Приведен список документов, необходимый для предоставления в организацию.</w:t>
      </w:r>
    </w:p>
    <w:p w:rsidR="00787EA7" w:rsidRPr="00787EA7" w:rsidRDefault="00787EA7" w:rsidP="00787EA7">
      <w:pPr>
        <w:widowControl w:val="0"/>
        <w:suppressAutoHyphens/>
        <w:ind w:firstLine="425"/>
        <w:contextualSpacing/>
        <w:jc w:val="both"/>
        <w:rPr>
          <w:rFonts w:eastAsia="Andale Sans UI"/>
          <w:kern w:val="1"/>
          <w:sz w:val="22"/>
          <w:szCs w:val="22"/>
          <w:lang w:val="en-US" w:eastAsia="ar-SA"/>
        </w:rPr>
      </w:pPr>
      <w:r w:rsidRPr="00787EA7">
        <w:rPr>
          <w:rFonts w:eastAsia="Andale Sans UI"/>
          <w:kern w:val="1"/>
          <w:sz w:val="22"/>
          <w:szCs w:val="22"/>
          <w:lang w:val="en-US" w:eastAsia="ar-SA"/>
        </w:rPr>
        <w:t>ABSTRACT: Need of updating by accountants of various levels of training of the knowledge and skills is shown. Possible options of training are considered. The list of documents necessary for granting is provided to the organization.</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КЛЮЧЕВЫЕ СЛОВА: квалификация, специалист, обучение, документы.</w:t>
      </w:r>
    </w:p>
    <w:p w:rsidR="00787EA7" w:rsidRPr="00787EA7" w:rsidRDefault="00787EA7" w:rsidP="00787EA7">
      <w:pPr>
        <w:widowControl w:val="0"/>
        <w:suppressAutoHyphens/>
        <w:ind w:firstLine="425"/>
        <w:contextualSpacing/>
        <w:jc w:val="both"/>
        <w:rPr>
          <w:rFonts w:eastAsia="Andale Sans UI"/>
          <w:kern w:val="1"/>
          <w:sz w:val="22"/>
          <w:szCs w:val="22"/>
          <w:lang w:val="en-US" w:eastAsia="ar-SA"/>
        </w:rPr>
      </w:pPr>
      <w:r w:rsidRPr="00787EA7">
        <w:rPr>
          <w:rFonts w:eastAsia="Andale Sans UI"/>
          <w:kern w:val="1"/>
          <w:sz w:val="22"/>
          <w:szCs w:val="22"/>
          <w:lang w:val="en-US" w:eastAsia="ar-SA"/>
        </w:rPr>
        <w:t>KEYWORDS: qualification, specialist, training, documents.</w:t>
      </w:r>
    </w:p>
    <w:p w:rsidR="00787EA7" w:rsidRPr="00787EA7" w:rsidRDefault="00787EA7" w:rsidP="00787EA7">
      <w:pPr>
        <w:widowControl w:val="0"/>
        <w:suppressAutoHyphens/>
        <w:ind w:firstLine="425"/>
        <w:contextualSpacing/>
        <w:jc w:val="both"/>
        <w:rPr>
          <w:rFonts w:eastAsia="Andale Sans UI"/>
          <w:kern w:val="1"/>
          <w:sz w:val="22"/>
          <w:szCs w:val="22"/>
          <w:lang w:val="en-US" w:eastAsia="ar-SA"/>
        </w:rPr>
      </w:pP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 xml:space="preserve">В любой профессии установлены определенные стандарты и требования, которым должны соответствовать те или иные специалисты. Одним из таких требований, которое предъявляется ко всем специалистам, задействованным в сфере финансов является улучшение профессиональных навыков. </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 xml:space="preserve">Бухгалтеры обязаны периодически повышать квалификацию. Также для трудоустройства в большинстве предприятий </w:t>
      </w:r>
      <w:r w:rsidRPr="00787EA7">
        <w:rPr>
          <w:rFonts w:eastAsia="Andale Sans UI"/>
          <w:kern w:val="1"/>
          <w:sz w:val="22"/>
          <w:szCs w:val="22"/>
          <w:lang w:eastAsia="ar-SA"/>
        </w:rPr>
        <w:lastRenderedPageBreak/>
        <w:t>обязательной является аттестация главных бухгалтеров, не пройдя которую можно лишиться желаемой должности или не получить ее, даже имея соответствующий диплом [3].</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Выбирая курсы для начинающих специалистов, лучше довериться долгосрочному обучению, в ходе которого сотрудник получает полный объем знаний, необходимых для выполнения должностных обязанностей. Такие курсы подходят для специалистов, недавно отучившихся и устроившихся на работу. Что же касается опытных сотрудников, которые имеют навыки работы, то для них лучше подойдет краткосрочное повышение квалификации. С его помощью можно узнать об изменениях в законодательстве, правилах оформления документации. Это позволит систематизировать работу и избежать ошибок. Преимуществом является возможность посещения вечерних курсов, не отрываясь от работы днем. Профессиональная переподготовка бухгалтеров должна проводиться в аккредитованных заведениях. Если предусмотрено повышение квалификации без отрыва от работы, нужно внимательно подходить к выбору тренера. Он должен иметь не только большой опыт, но и располагать новыми технологиями, знаниями законодательной базы со всеми поправками к ней [2].</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 xml:space="preserve"> В общем способы обучения можно разделить на четыре вида. Первым являются семинары. Они являются традиционным способом обучения. В ходе занятий разбираются сложные вопросы, рассматриваются произошедшие изменения в законодательстве. Если выбирать практический семинар, повышение квалификации бухгалтеров пройдет с максимальной пользой. Вторым можно выделить спецкурсы. Многие организации ежегодно отправляют работников на бухгалтерские курсы длительностью от 10 до 40 часов. На них рассматриваются актуальные вопросы, обсуждаются изменения в финансово-экономической сфере. Далее выделяют спецпрограммы. Повышение квалификации бухгалтеров с помощью них предусматривает последующую аттестацию и выдачу сертификатов. Они наиболее удобны благодаря вечернему или выходному времени. Длительность спецкурсов варьируется от одного и до трех месяцев. И наконец заочное обучение. Профессиональная переподготовка главных бухгалтеров может осуществляться заочно с помощью семинаров, проходящих в </w:t>
      </w:r>
      <w:r w:rsidRPr="00787EA7">
        <w:rPr>
          <w:rFonts w:eastAsia="Andale Sans UI"/>
          <w:kern w:val="1"/>
          <w:sz w:val="22"/>
          <w:szCs w:val="22"/>
          <w:lang w:eastAsia="ar-SA"/>
        </w:rPr>
        <w:lastRenderedPageBreak/>
        <w:t>онлайн режиме. Данная форма обучения имеет максимум преимуществ, к которым можно отнести существенную экономию времени, возможность выбора часов прохождения семинаров. При этом нет необходимости ездить на занятия [1]. После прохождения различных видов обучения бухгалтеру выдается соответствующий документ, который позволяет ему дальше заниматься своей трудовой деятельностью. Бухгалтеры-экономисты должны перед обучением подать заявление в организацию, которая его осуществляет. Также необходимо оплатить членский взнос в Институте профессиональных бухгалтеров (ИПБ). </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В бухгалтерском учете расходы на обучение, подготовку и переподготовку кадров, вызванные производственной необходимостью, признаются расходами по обычным видам деятельности и отражаются по дебету счетов учета затрат. Документами, подтверждающими расходы на обучение, являются: - приказ (распоряжение) руководителя о направлении работника на обучение или на курсы по подготовке, переподготовке или повышению квалификации; - договор с образовательным учреждением; - итоговый документ об окончании обучения; - копия лицензии образовательного учреждения; - учебная программа образовательного учреждения с указанием количества часов посещения; - платежные документы об оплате обязательств по договору; - справка из образовательного учреждения об успешном прохождении программы учащимся; - акт о предоставлении образовательных услуг.</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p>
    <w:p w:rsidR="00787EA7" w:rsidRPr="00787EA7" w:rsidRDefault="00787EA7" w:rsidP="00787EA7">
      <w:pPr>
        <w:widowControl w:val="0"/>
        <w:suppressAutoHyphens/>
        <w:ind w:firstLine="425"/>
        <w:contextualSpacing/>
        <w:jc w:val="center"/>
        <w:rPr>
          <w:rFonts w:eastAsia="Andale Sans UI"/>
          <w:kern w:val="1"/>
          <w:sz w:val="22"/>
          <w:szCs w:val="22"/>
          <w:lang w:eastAsia="ar-SA"/>
        </w:rPr>
      </w:pPr>
      <w:r w:rsidRPr="00787EA7">
        <w:rPr>
          <w:rFonts w:eastAsia="Andale Sans UI"/>
          <w:kern w:val="1"/>
          <w:sz w:val="22"/>
          <w:szCs w:val="22"/>
          <w:lang w:eastAsia="ar-SA"/>
        </w:rPr>
        <w:t>Список литературы</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1. </w:t>
      </w:r>
      <w:hyperlink r:id="rId189" w:history="1">
        <w:r w:rsidRPr="00787EA7">
          <w:rPr>
            <w:rFonts w:eastAsia="Andale Sans UI"/>
            <w:kern w:val="1"/>
            <w:sz w:val="22"/>
            <w:szCs w:val="22"/>
            <w:lang w:eastAsia="ar-SA"/>
          </w:rPr>
          <w:t>Бекирова, Э. В.</w:t>
        </w:r>
      </w:hyperlink>
      <w:r w:rsidRPr="00787EA7">
        <w:rPr>
          <w:rFonts w:eastAsia="Andale Sans UI"/>
          <w:kern w:val="1"/>
          <w:sz w:val="22"/>
          <w:szCs w:val="22"/>
          <w:lang w:eastAsia="ar-SA"/>
        </w:rPr>
        <w:t> Перспективы развития профессии «бухгалтер»/ Э. В. Бекирова, Е. В. Мартыненко // Формирование экономического потенциала субъектов хозяйственной деятельности: проблемы, перспективы, учетно-аналитическое обеспечение: МНПК студентов. – Майкоп: Магарин О. Г., 2014. – С. 63-66.</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 xml:space="preserve">2. </w:t>
      </w:r>
      <w:hyperlink r:id="rId190" w:history="1">
        <w:r w:rsidRPr="00787EA7">
          <w:rPr>
            <w:rFonts w:eastAsia="Andale Sans UI"/>
            <w:kern w:val="1"/>
            <w:sz w:val="22"/>
            <w:szCs w:val="22"/>
            <w:lang w:eastAsia="ar-SA"/>
          </w:rPr>
          <w:t>Мартыненко, Е. В.</w:t>
        </w:r>
      </w:hyperlink>
      <w:r w:rsidRPr="00787EA7">
        <w:rPr>
          <w:rFonts w:eastAsia="Andale Sans UI"/>
          <w:kern w:val="1"/>
          <w:sz w:val="22"/>
          <w:szCs w:val="22"/>
          <w:lang w:eastAsia="ar-SA"/>
        </w:rPr>
        <w:t> Бухгалтерская профессия, бухгалтерская этика / Е. В. Мартыненко, В. В. Бердник // Информационное обеспечение эффективного управления деятельностью экономических субъектов: материалы VI МНК. – Майкоп: Магарин О. Г., 2016. – С. 174-179. </w:t>
      </w:r>
    </w:p>
    <w:p w:rsidR="00787EA7" w:rsidRPr="00787EA7" w:rsidRDefault="00787EA7" w:rsidP="00787EA7">
      <w:pPr>
        <w:widowControl w:val="0"/>
        <w:suppressAutoHyphens/>
        <w:ind w:firstLine="425"/>
        <w:contextualSpacing/>
        <w:jc w:val="both"/>
        <w:rPr>
          <w:rFonts w:eastAsia="Andale Sans UI"/>
          <w:kern w:val="1"/>
          <w:sz w:val="22"/>
          <w:szCs w:val="22"/>
          <w:lang w:eastAsia="ar-SA"/>
        </w:rPr>
      </w:pPr>
      <w:r w:rsidRPr="00787EA7">
        <w:rPr>
          <w:rFonts w:eastAsia="Andale Sans UI"/>
          <w:kern w:val="1"/>
          <w:sz w:val="22"/>
          <w:szCs w:val="22"/>
          <w:lang w:eastAsia="ar-SA"/>
        </w:rPr>
        <w:t xml:space="preserve">3. Коровина, М. А. Важность принятия профессионального </w:t>
      </w:r>
      <w:r w:rsidRPr="00787EA7">
        <w:rPr>
          <w:rFonts w:eastAsia="Andale Sans UI"/>
          <w:kern w:val="1"/>
          <w:sz w:val="22"/>
          <w:szCs w:val="22"/>
          <w:lang w:eastAsia="ar-SA"/>
        </w:rPr>
        <w:lastRenderedPageBreak/>
        <w:t>стандарта «Бухгалтер» и возникающие спорные вопросы / М. А. Коровина, Н. Ю. Хачатрян // Формирование экономического потенциала субъектов хозяйственной деятельности: проблемы, перспективы, учетно-аналитическое обеспечение: материалы VI МНК. – Майкоп: Магарин О. Г., 2016. – С.148-152.</w:t>
      </w:r>
    </w:p>
    <w:p w:rsidR="000F594F" w:rsidRDefault="000F594F" w:rsidP="00787EA7">
      <w:pPr>
        <w:widowControl w:val="0"/>
        <w:suppressAutoHyphens/>
        <w:rPr>
          <w:rFonts w:eastAsia="Andale Sans UI"/>
          <w:color w:val="1A1A1A" w:themeColor="background1" w:themeShade="1A"/>
          <w:kern w:val="1"/>
          <w:sz w:val="24"/>
          <w:szCs w:val="24"/>
          <w:lang w:eastAsia="ar-SA"/>
        </w:rPr>
      </w:pPr>
    </w:p>
    <w:p w:rsidR="00AE3C28" w:rsidRDefault="00AE3C28" w:rsidP="00787EA7">
      <w:pPr>
        <w:widowControl w:val="0"/>
        <w:suppressAutoHyphens/>
        <w:rPr>
          <w:rFonts w:eastAsia="Andale Sans UI"/>
          <w:color w:val="1A1A1A" w:themeColor="background1" w:themeShade="1A"/>
          <w:kern w:val="1"/>
          <w:sz w:val="24"/>
          <w:szCs w:val="24"/>
          <w:lang w:eastAsia="ar-SA"/>
        </w:rPr>
      </w:pPr>
    </w:p>
    <w:p w:rsidR="00787EA7" w:rsidRDefault="00787EA7" w:rsidP="00787EA7">
      <w:pPr>
        <w:widowControl w:val="0"/>
        <w:suppressAutoHyphens/>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УДК: 657.47:664</w:t>
      </w:r>
    </w:p>
    <w:p w:rsidR="00AE3C28" w:rsidRPr="00AE3C28" w:rsidRDefault="00AE3C28" w:rsidP="00787EA7">
      <w:pPr>
        <w:widowControl w:val="0"/>
        <w:suppressAutoHyphens/>
        <w:rPr>
          <w:rFonts w:eastAsia="Andale Sans UI"/>
          <w:color w:val="1A1A1A" w:themeColor="background1" w:themeShade="1A"/>
          <w:kern w:val="1"/>
          <w:sz w:val="22"/>
          <w:szCs w:val="22"/>
          <w:lang w:eastAsia="ar-SA"/>
        </w:rPr>
      </w:pPr>
    </w:p>
    <w:p w:rsidR="00787EA7" w:rsidRPr="00787EA7" w:rsidRDefault="00787EA7" w:rsidP="00787EA7">
      <w:pPr>
        <w:widowControl w:val="0"/>
        <w:suppressAutoHyphens/>
        <w:jc w:val="center"/>
        <w:rPr>
          <w:rFonts w:eastAsia="Andale Sans UI"/>
          <w:b/>
          <w:color w:val="1A1A1A" w:themeColor="background1" w:themeShade="1A"/>
          <w:kern w:val="1"/>
          <w:sz w:val="24"/>
          <w:szCs w:val="24"/>
          <w:lang w:eastAsia="ar-SA"/>
        </w:rPr>
      </w:pPr>
      <w:r w:rsidRPr="00787EA7">
        <w:rPr>
          <w:rFonts w:eastAsia="Andale Sans UI"/>
          <w:b/>
          <w:color w:val="1A1A1A" w:themeColor="background1" w:themeShade="1A"/>
          <w:kern w:val="1"/>
          <w:sz w:val="24"/>
          <w:szCs w:val="24"/>
          <w:lang w:eastAsia="ar-SA"/>
        </w:rPr>
        <w:t>Особенности использования системы «</w:t>
      </w:r>
      <w:r w:rsidRPr="00787EA7">
        <w:rPr>
          <w:rFonts w:eastAsia="Andale Sans UI"/>
          <w:b/>
          <w:color w:val="1A1A1A" w:themeColor="background1" w:themeShade="1A"/>
          <w:kern w:val="1"/>
          <w:sz w:val="24"/>
          <w:szCs w:val="24"/>
          <w:lang w:val="en-US" w:eastAsia="ar-SA"/>
        </w:rPr>
        <w:t>standard</w:t>
      </w:r>
      <w:r w:rsidRPr="00787EA7">
        <w:rPr>
          <w:rFonts w:eastAsia="Andale Sans UI"/>
          <w:b/>
          <w:color w:val="1A1A1A" w:themeColor="background1" w:themeShade="1A"/>
          <w:kern w:val="1"/>
          <w:sz w:val="24"/>
          <w:szCs w:val="24"/>
          <w:lang w:eastAsia="ar-SA"/>
        </w:rPr>
        <w:t>–</w:t>
      </w:r>
      <w:r w:rsidRPr="00787EA7">
        <w:rPr>
          <w:rFonts w:eastAsia="Andale Sans UI"/>
          <w:b/>
          <w:color w:val="1A1A1A" w:themeColor="background1" w:themeShade="1A"/>
          <w:kern w:val="1"/>
          <w:sz w:val="24"/>
          <w:szCs w:val="24"/>
          <w:lang w:val="en-US" w:eastAsia="ar-SA"/>
        </w:rPr>
        <w:t>cost</w:t>
      </w:r>
      <w:r w:rsidRPr="00787EA7">
        <w:rPr>
          <w:rFonts w:eastAsia="Andale Sans UI"/>
          <w:b/>
          <w:color w:val="1A1A1A" w:themeColor="background1" w:themeShade="1A"/>
          <w:kern w:val="1"/>
          <w:sz w:val="24"/>
          <w:szCs w:val="24"/>
          <w:lang w:eastAsia="ar-SA"/>
        </w:rPr>
        <w:t xml:space="preserve">» </w:t>
      </w:r>
      <w:r w:rsidRPr="00787EA7">
        <w:rPr>
          <w:rFonts w:eastAsia="Andale Sans UI"/>
          <w:b/>
          <w:color w:val="1A1A1A" w:themeColor="background1" w:themeShade="1A"/>
          <w:kern w:val="1"/>
          <w:sz w:val="24"/>
          <w:szCs w:val="24"/>
          <w:lang w:eastAsia="ar-SA"/>
        </w:rPr>
        <w:br/>
        <w:t>на предприятиях пищевой промышленности</w:t>
      </w:r>
    </w:p>
    <w:p w:rsidR="00AE3C28" w:rsidRPr="008D33CB" w:rsidRDefault="00787EA7" w:rsidP="00AB2A07">
      <w:pPr>
        <w:widowControl w:val="0"/>
        <w:suppressAutoHyphens/>
        <w:jc w:val="center"/>
        <w:rPr>
          <w:rFonts w:eastAsia="Andale Sans UI"/>
          <w:b/>
          <w:color w:val="1A1A1A" w:themeColor="background1" w:themeShade="1A"/>
          <w:kern w:val="1"/>
          <w:sz w:val="24"/>
          <w:szCs w:val="24"/>
          <w:lang w:val="en-US" w:eastAsia="ar-SA"/>
        </w:rPr>
      </w:pPr>
      <w:r w:rsidRPr="00787EA7">
        <w:rPr>
          <w:rFonts w:eastAsia="Andale Sans UI"/>
          <w:b/>
          <w:color w:val="1A1A1A" w:themeColor="background1" w:themeShade="1A"/>
          <w:kern w:val="1"/>
          <w:sz w:val="24"/>
          <w:szCs w:val="24"/>
          <w:lang w:val="en-US" w:eastAsia="ar-SA"/>
        </w:rPr>
        <w:t>Features of using the standard-cost system</w:t>
      </w:r>
      <w:r w:rsidRPr="00787EA7">
        <w:rPr>
          <w:rFonts w:eastAsia="Andale Sans UI"/>
          <w:b/>
          <w:color w:val="1A1A1A" w:themeColor="background1" w:themeShade="1A"/>
          <w:kern w:val="1"/>
          <w:sz w:val="24"/>
          <w:szCs w:val="24"/>
          <w:lang w:val="en-US" w:eastAsia="ar-SA"/>
        </w:rPr>
        <w:br/>
        <w:t>at the enterprises of the food industry</w:t>
      </w:r>
    </w:p>
    <w:p w:rsidR="001E2244" w:rsidRPr="008D33CB" w:rsidRDefault="001E2244" w:rsidP="00AB2A07">
      <w:pPr>
        <w:widowControl w:val="0"/>
        <w:suppressAutoHyphens/>
        <w:jc w:val="center"/>
        <w:rPr>
          <w:rFonts w:eastAsia="Andale Sans UI"/>
          <w:b/>
          <w:color w:val="1A1A1A" w:themeColor="background1" w:themeShade="1A"/>
          <w:kern w:val="1"/>
          <w:sz w:val="24"/>
          <w:szCs w:val="24"/>
          <w:lang w:val="en-US" w:eastAsia="ar-SA"/>
        </w:rPr>
      </w:pPr>
    </w:p>
    <w:p w:rsidR="00787EA7" w:rsidRPr="00AE3C28" w:rsidRDefault="00787EA7" w:rsidP="00787EA7">
      <w:pPr>
        <w:widowControl w:val="0"/>
        <w:suppressAutoHyphens/>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Грунский И.</w:t>
      </w:r>
      <w:r w:rsidR="00AE3C28">
        <w:rPr>
          <w:rFonts w:eastAsia="Andale Sans UI"/>
          <w:color w:val="1A1A1A" w:themeColor="background1" w:themeShade="1A"/>
          <w:kern w:val="1"/>
          <w:sz w:val="22"/>
          <w:szCs w:val="22"/>
          <w:lang w:eastAsia="ar-SA"/>
        </w:rPr>
        <w:t xml:space="preserve"> </w:t>
      </w:r>
      <w:r w:rsidRPr="00AE3C28">
        <w:rPr>
          <w:rFonts w:eastAsia="Andale Sans UI"/>
          <w:color w:val="1A1A1A" w:themeColor="background1" w:themeShade="1A"/>
          <w:kern w:val="1"/>
          <w:sz w:val="22"/>
          <w:szCs w:val="22"/>
          <w:lang w:eastAsia="ar-SA"/>
        </w:rPr>
        <w:t xml:space="preserve">Н., </w:t>
      </w:r>
    </w:p>
    <w:p w:rsidR="00787EA7" w:rsidRPr="00AE3C28" w:rsidRDefault="00787EA7" w:rsidP="00787EA7">
      <w:pPr>
        <w:widowControl w:val="0"/>
        <w:suppressAutoHyphens/>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студент 4 курс</w:t>
      </w:r>
      <w:r w:rsidR="00AB2A07">
        <w:rPr>
          <w:rFonts w:eastAsia="Andale Sans UI"/>
          <w:color w:val="1A1A1A" w:themeColor="background1" w:themeShade="1A"/>
          <w:kern w:val="1"/>
          <w:sz w:val="22"/>
          <w:szCs w:val="22"/>
          <w:lang w:eastAsia="ar-SA"/>
        </w:rPr>
        <w:t>а учетно-финансового факультета</w:t>
      </w:r>
      <w:r w:rsidRPr="00AE3C28">
        <w:rPr>
          <w:rFonts w:eastAsia="Andale Sans UI"/>
          <w:color w:val="1A1A1A" w:themeColor="background1" w:themeShade="1A"/>
          <w:kern w:val="1"/>
          <w:sz w:val="22"/>
          <w:szCs w:val="22"/>
          <w:lang w:eastAsia="ar-SA"/>
        </w:rPr>
        <w:t xml:space="preserve"> </w:t>
      </w:r>
    </w:p>
    <w:p w:rsidR="00787EA7" w:rsidRPr="00AE3C28" w:rsidRDefault="00787EA7" w:rsidP="00787EA7">
      <w:pPr>
        <w:widowControl w:val="0"/>
        <w:suppressAutoHyphens/>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Кузнецова Н.</w:t>
      </w:r>
      <w:r w:rsidR="00AE3C28">
        <w:rPr>
          <w:rFonts w:eastAsia="Andale Sans UI"/>
          <w:color w:val="1A1A1A" w:themeColor="background1" w:themeShade="1A"/>
          <w:kern w:val="1"/>
          <w:sz w:val="22"/>
          <w:szCs w:val="22"/>
          <w:lang w:eastAsia="ar-SA"/>
        </w:rPr>
        <w:t xml:space="preserve"> </w:t>
      </w:r>
      <w:r w:rsidRPr="00AE3C28">
        <w:rPr>
          <w:rFonts w:eastAsia="Andale Sans UI"/>
          <w:color w:val="1A1A1A" w:themeColor="background1" w:themeShade="1A"/>
          <w:kern w:val="1"/>
          <w:sz w:val="22"/>
          <w:szCs w:val="22"/>
          <w:lang w:eastAsia="ar-SA"/>
        </w:rPr>
        <w:t>В.,</w:t>
      </w:r>
    </w:p>
    <w:p w:rsidR="00787EA7" w:rsidRPr="00AE3C28" w:rsidRDefault="00787EA7" w:rsidP="00787EA7">
      <w:pPr>
        <w:widowControl w:val="0"/>
        <w:suppressAutoHyphens/>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доцент кафедры бухгалтерского учета</w:t>
      </w:r>
    </w:p>
    <w:p w:rsidR="00787EA7" w:rsidRDefault="00787EA7" w:rsidP="00787EA7">
      <w:pPr>
        <w:widowControl w:val="0"/>
        <w:suppressAutoHyphens/>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 xml:space="preserve">Кубанский государственный аграрный </w:t>
      </w:r>
      <w:r w:rsidRPr="00AE3C28">
        <w:rPr>
          <w:rFonts w:eastAsia="Andale Sans UI"/>
          <w:color w:val="1A1A1A" w:themeColor="background1" w:themeShade="1A"/>
          <w:kern w:val="1"/>
          <w:sz w:val="22"/>
          <w:szCs w:val="22"/>
          <w:lang w:eastAsia="ar-SA"/>
        </w:rPr>
        <w:br/>
        <w:t>университет имени И. Т. Трубилина</w:t>
      </w:r>
    </w:p>
    <w:p w:rsidR="00AE3C28" w:rsidRPr="00AE3C28" w:rsidRDefault="00AE3C28" w:rsidP="00787EA7">
      <w:pPr>
        <w:widowControl w:val="0"/>
        <w:suppressAutoHyphens/>
        <w:jc w:val="right"/>
        <w:rPr>
          <w:rFonts w:eastAsia="Andale Sans UI"/>
          <w:color w:val="1A1A1A" w:themeColor="background1" w:themeShade="1A"/>
          <w:kern w:val="1"/>
          <w:sz w:val="22"/>
          <w:szCs w:val="22"/>
          <w:lang w:eastAsia="ar-SA"/>
        </w:rPr>
      </w:pP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АННОТАЦИЯ</w:t>
      </w:r>
      <w:r w:rsidRPr="00787EA7">
        <w:rPr>
          <w:rFonts w:eastAsia="Andale Sans UI"/>
          <w:b/>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eastAsia="ar-SA"/>
        </w:rPr>
        <w:t xml:space="preserve"> В статье рассматриваются особенности учета затрат в системе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на предприятии пищевой промышленности.</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val="en-US" w:eastAsia="ar-SA"/>
        </w:rPr>
      </w:pPr>
      <w:r w:rsidRPr="00787EA7">
        <w:rPr>
          <w:rFonts w:eastAsia="Andale Sans UI"/>
          <w:color w:val="1A1A1A" w:themeColor="background1" w:themeShade="1A"/>
          <w:kern w:val="1"/>
          <w:sz w:val="22"/>
          <w:szCs w:val="22"/>
          <w:lang w:val="en-US" w:eastAsia="ar-SA"/>
        </w:rPr>
        <w:t>ABSTRACT: The article is devoted to problems of cost calculation by using «Standard-cost» at the enterprise of the food industry.</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КЛЮЧЕВЫЕ СЛОВА</w:t>
      </w:r>
      <w:r w:rsidRPr="00787EA7">
        <w:rPr>
          <w:rFonts w:eastAsia="Andale Sans UI"/>
          <w:b/>
          <w:color w:val="1A1A1A" w:themeColor="background1" w:themeShade="1A"/>
          <w:kern w:val="1"/>
          <w:sz w:val="22"/>
          <w:szCs w:val="22"/>
          <w:lang w:eastAsia="ar-SA"/>
        </w:rPr>
        <w:t xml:space="preserve">: </w:t>
      </w:r>
      <w:r w:rsidRPr="00787EA7">
        <w:rPr>
          <w:rFonts w:eastAsia="Andale Sans UI"/>
          <w:color w:val="1A1A1A" w:themeColor="background1" w:themeShade="1A"/>
          <w:kern w:val="1"/>
          <w:sz w:val="22"/>
          <w:szCs w:val="22"/>
          <w:lang w:eastAsia="ar-SA"/>
        </w:rPr>
        <w:t>учет затрат, система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калькулирование себестоимости.</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val="en-US" w:eastAsia="ar-SA"/>
        </w:rPr>
      </w:pPr>
      <w:r w:rsidRPr="00787EA7">
        <w:rPr>
          <w:rFonts w:eastAsia="Andale Sans UI"/>
          <w:color w:val="1A1A1A" w:themeColor="background1" w:themeShade="1A"/>
          <w:kern w:val="1"/>
          <w:sz w:val="22"/>
          <w:szCs w:val="22"/>
          <w:lang w:val="en-US" w:eastAsia="ar-SA"/>
        </w:rPr>
        <w:t>KEYWORDS: accounting of expenses, standard-cost system, calculation of prime cost.</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val="en-US" w:eastAsia="ar-SA"/>
        </w:rPr>
      </w:pP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В условиях жесткой конкурентной борьбы производитель вынужден вести постоянный поиск способов контроля затрат и снижения расходов, поэтому все большую значимость приобретает система управленческого учета, используемая на предприятии.</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Система учета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xml:space="preserve">» является одной из разновидностей нормативного метода учета затрат и заключается в </w:t>
      </w:r>
      <w:r w:rsidRPr="00787EA7">
        <w:rPr>
          <w:rFonts w:eastAsia="Andale Sans UI"/>
          <w:color w:val="1A1A1A" w:themeColor="background1" w:themeShade="1A"/>
          <w:kern w:val="1"/>
          <w:sz w:val="22"/>
          <w:szCs w:val="22"/>
          <w:lang w:eastAsia="ar-SA"/>
        </w:rPr>
        <w:lastRenderedPageBreak/>
        <w:t xml:space="preserve">планировании и нормировании затрат, т. е. первоначально планируются затраты, которые будут понесены в процессе производства определенного вида продукции, а затем анализируются отклонения [3].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xml:space="preserve">В основе данного анализа лежит четкое, твердое установление норм затрат материалов, энергии, добавочного времени, труда и всех других расходов, связанных с изготовлением продукции. Нормированию подлежат все виды затрат, а также некоторых производственные показатели [2].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Нормативные показатели, разрабатываемые при использовании системы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xml:space="preserve">», является плановыми на прогнозируемый период и поэтому должны быть ниже фактических.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Система учета затрат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имеет следующие характерные черты:</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основой системы является выявление отклонений на основе бухгалтерских записей с целью недопущения таких отклонений;</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отклонения от стандартов отражаются на специально сформированных синтетических счетах;</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отклонения в бухгалтерском учете отражают лишь те предприятия, которые используют текущие стандарты.</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В целом система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направлена на регулирование прямых затрат производства методом составления до начала производства стандартных калькуляций и учета фактических затрат с выделением отклонений от стандартов.</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Изучим особенности учета затрат на примере ООО «Парус-Эко», являющегося производителем безалкогольных газированных и негазированных напитков. Ассортимент производимой продукции можно разбить на три группы: сладкая вода 1,5 л; минеральная вода 1,5 л; минеральная вода 5 л.</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Порядок исчисления себестоимости сладкой воды отличается от исчисления себестоимости минеральной тем, что для производства сладкой воды необходимы определенные вещества, наделяющие ее определенным вкусом и цветом.</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xml:space="preserve">На первой стадии расчета себестоимости готовой продукции технолог предоставляет данные о раскладке необходимых веществ для производства 6 тонн воды определенного сорта (из 6 тонн воды получается 3996 шт. 1,5-литровых бутылок). Затем рассчитывается количество материалов для производства 1 бутылки одного из видов </w:t>
      </w:r>
      <w:r w:rsidRPr="00787EA7">
        <w:rPr>
          <w:rFonts w:eastAsia="Andale Sans UI"/>
          <w:color w:val="1A1A1A" w:themeColor="background1" w:themeShade="1A"/>
          <w:kern w:val="1"/>
          <w:sz w:val="22"/>
          <w:szCs w:val="22"/>
          <w:lang w:eastAsia="ar-SA"/>
        </w:rPr>
        <w:lastRenderedPageBreak/>
        <w:t>сладкой воды. Умножением полученной раскладки количества материалов на объем фактического выпуска и цену приобретения получаем фактические материальные затраты.</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xml:space="preserve">После отражения материальных расходов специфика данного производства предполагает распределение накладных расходов при помощи специальной таблицы.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К накладным расходам относят сумму расходов, отраженную по счету 20 «Основное производство» за минусом стоимости тары и концентратов (это прямые расходы). Базой распределения накладных расходов является объем произведенных напитков по видам.</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Внедрение системы «standard-cost» для учета затрат в ООО «Парус-Эко» позволит более четко отслеживать структуру расходов и затрат по отдельным видам продукции и принимать управленческие решения по стабилизации затрат на производстве.</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Применение системы «</w:t>
      </w:r>
      <w:r w:rsidRPr="00787EA7">
        <w:rPr>
          <w:rFonts w:eastAsia="Andale Sans UI"/>
          <w:color w:val="1A1A1A" w:themeColor="background1" w:themeShade="1A"/>
          <w:kern w:val="1"/>
          <w:sz w:val="22"/>
          <w:szCs w:val="22"/>
          <w:lang w:val="en-US" w:eastAsia="ar-SA"/>
        </w:rPr>
        <w:t>standard</w:t>
      </w:r>
      <w:r w:rsidRPr="00787EA7">
        <w:rPr>
          <w:rFonts w:eastAsia="Andale Sans UI"/>
          <w:color w:val="1A1A1A" w:themeColor="background1" w:themeShade="1A"/>
          <w:kern w:val="1"/>
          <w:sz w:val="22"/>
          <w:szCs w:val="22"/>
          <w:lang w:eastAsia="ar-SA"/>
        </w:rPr>
        <w:t>-</w:t>
      </w:r>
      <w:r w:rsidRPr="00787EA7">
        <w:rPr>
          <w:rFonts w:eastAsia="Andale Sans UI"/>
          <w:color w:val="1A1A1A" w:themeColor="background1" w:themeShade="1A"/>
          <w:kern w:val="1"/>
          <w:sz w:val="22"/>
          <w:szCs w:val="22"/>
          <w:lang w:val="en-US" w:eastAsia="ar-SA"/>
        </w:rPr>
        <w:t>cost</w:t>
      </w:r>
      <w:r w:rsidRPr="00787EA7">
        <w:rPr>
          <w:rFonts w:eastAsia="Andale Sans UI"/>
          <w:color w:val="1A1A1A" w:themeColor="background1" w:themeShade="1A"/>
          <w:kern w:val="1"/>
          <w:sz w:val="22"/>
          <w:szCs w:val="22"/>
          <w:lang w:eastAsia="ar-SA"/>
        </w:rPr>
        <w:t>» является достаточно трудоемким учетным процессом, однако позволяет получить достоверную информацию о затратах производства и на этой основе проводить анализ производимых затрат и контроль за их уровнем. Нормативный метод можно классифицировать как полный и неполный учет нормативных затрат. При этом при применении неполного нормативного метода нормированию подлежат только прямые затраты, следовательно, и нормативная калькуляция будет составляться только по ним.</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Многочисленные исследования подтверждают эффективность применения системы «стандарт-кост», т. к. это позволяет повысить доходность промышленного предприятия [1, 5, 6].</w:t>
      </w:r>
    </w:p>
    <w:p w:rsidR="00AE3C28" w:rsidRDefault="00AE3C28" w:rsidP="00787EA7">
      <w:pPr>
        <w:widowControl w:val="0"/>
        <w:suppressAutoHyphens/>
        <w:ind w:firstLine="397"/>
        <w:jc w:val="center"/>
        <w:rPr>
          <w:rFonts w:eastAsia="Andale Sans UI"/>
          <w:color w:val="1A1A1A" w:themeColor="background1" w:themeShade="1A"/>
          <w:kern w:val="1"/>
          <w:sz w:val="22"/>
          <w:szCs w:val="22"/>
          <w:lang w:eastAsia="ar-SA"/>
        </w:rPr>
      </w:pPr>
    </w:p>
    <w:p w:rsidR="00787EA7" w:rsidRPr="00787EA7" w:rsidRDefault="00787EA7" w:rsidP="00787EA7">
      <w:pPr>
        <w:widowControl w:val="0"/>
        <w:suppressAutoHyphens/>
        <w:ind w:firstLine="397"/>
        <w:jc w:val="center"/>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Список литературы</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1. Виткалова А.П. Возможности использования учета затрат в системе «стандарт-кост» в организациях потребительской кооперации // Вестник Саратовского государственного технического университета. 2008. Т. 3. № 1 (34). С. 146-150.</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xml:space="preserve">2. Говдя, В. В. Учет затрат, калькулирование и бюджетирование в отраслях АПК: Учебник / Говдя В.В., Дегальцева Ж.В. – Краснодар: Изд-во ООО «Просвещение-Юг», 2017. – 313 с. </w:t>
      </w:r>
    </w:p>
    <w:p w:rsidR="00787EA7" w:rsidRPr="00787EA7" w:rsidRDefault="00AB2A07" w:rsidP="00787EA7">
      <w:pPr>
        <w:widowControl w:val="0"/>
        <w:suppressAutoHyphens/>
        <w:ind w:firstLine="397"/>
        <w:jc w:val="both"/>
        <w:rPr>
          <w:rFonts w:eastAsia="Andale Sans UI"/>
          <w:color w:val="1A1A1A" w:themeColor="background1" w:themeShade="1A"/>
          <w:kern w:val="1"/>
          <w:sz w:val="22"/>
          <w:szCs w:val="22"/>
          <w:lang w:eastAsia="ar-SA"/>
        </w:rPr>
      </w:pPr>
      <w:r>
        <w:rPr>
          <w:rFonts w:eastAsia="Andale Sans UI"/>
          <w:color w:val="1A1A1A" w:themeColor="background1" w:themeShade="1A"/>
          <w:kern w:val="1"/>
          <w:sz w:val="22"/>
          <w:szCs w:val="22"/>
          <w:lang w:eastAsia="ar-SA"/>
        </w:rPr>
        <w:t>3. Каверина, О.</w:t>
      </w:r>
      <w:r w:rsidR="00787EA7" w:rsidRPr="00787EA7">
        <w:rPr>
          <w:rFonts w:eastAsia="Andale Sans UI"/>
          <w:color w:val="1A1A1A" w:themeColor="background1" w:themeShade="1A"/>
          <w:kern w:val="1"/>
          <w:sz w:val="22"/>
          <w:szCs w:val="22"/>
          <w:lang w:eastAsia="ar-SA"/>
        </w:rPr>
        <w:t xml:space="preserve">Д. Управленческий учет: </w:t>
      </w:r>
      <w:r>
        <w:rPr>
          <w:rFonts w:eastAsia="Andale Sans UI"/>
          <w:color w:val="1A1A1A" w:themeColor="background1" w:themeShade="1A"/>
          <w:kern w:val="1"/>
          <w:sz w:val="22"/>
          <w:szCs w:val="22"/>
          <w:lang w:eastAsia="ar-SA"/>
        </w:rPr>
        <w:t>системы, методы, процедуры / О.</w:t>
      </w:r>
      <w:r w:rsidR="00787EA7" w:rsidRPr="00787EA7">
        <w:rPr>
          <w:rFonts w:eastAsia="Andale Sans UI"/>
          <w:color w:val="1A1A1A" w:themeColor="background1" w:themeShade="1A"/>
          <w:kern w:val="1"/>
          <w:sz w:val="22"/>
          <w:szCs w:val="22"/>
          <w:lang w:eastAsia="ar-SA"/>
        </w:rPr>
        <w:t xml:space="preserve">Д. Каверина. – М.: Финансы и статистика, 2003. – </w:t>
      </w:r>
      <w:r w:rsidR="00787EA7" w:rsidRPr="00787EA7">
        <w:rPr>
          <w:rFonts w:eastAsia="Andale Sans UI"/>
          <w:color w:val="1A1A1A" w:themeColor="background1" w:themeShade="1A"/>
          <w:kern w:val="1"/>
          <w:sz w:val="22"/>
          <w:szCs w:val="22"/>
          <w:lang w:eastAsia="ar-SA"/>
        </w:rPr>
        <w:lastRenderedPageBreak/>
        <w:t xml:space="preserve">352 с.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 xml:space="preserve">4. Рыбакова, О. В. Бухгалтерский управленческий учет и управленческое планирование/ О. В. Рыбакова. – М.: Финансы и статистика, 2005. – 464 с. </w:t>
      </w:r>
    </w:p>
    <w:p w:rsidR="00787EA7" w:rsidRPr="00787EA7" w:rsidRDefault="00787EA7" w:rsidP="00787EA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5. Цыгина, О.А. Подходы к калькулированию себестоимости продукции промышленного предприятия: действующая практика и перспективы / О.А. Цыгина, М.Д. Хлыбова // Аллея науки. 2017. Т. 3. № 10. С. 127-131.</w:t>
      </w:r>
    </w:p>
    <w:p w:rsidR="00AE3C28" w:rsidRPr="00AB2A07" w:rsidRDefault="00787EA7" w:rsidP="00AB2A07">
      <w:pPr>
        <w:widowControl w:val="0"/>
        <w:suppressAutoHyphens/>
        <w:ind w:firstLine="397"/>
        <w:jc w:val="both"/>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6. Щуплова М.А. Система «стандарт-кост» и нормативный метод учета затрат на производство / М.А. Щуплова // Вестник Университета (ГУУ). 2012. № 3. С. 316.</w:t>
      </w:r>
    </w:p>
    <w:p w:rsidR="001E2244" w:rsidRDefault="001E2244" w:rsidP="00724342">
      <w:pPr>
        <w:widowControl w:val="0"/>
        <w:suppressAutoHyphens/>
        <w:rPr>
          <w:rFonts w:eastAsia="Andale Sans UI"/>
          <w:kern w:val="1"/>
          <w:sz w:val="22"/>
          <w:szCs w:val="22"/>
          <w:lang w:eastAsia="ar-SA"/>
        </w:rPr>
      </w:pPr>
    </w:p>
    <w:p w:rsidR="001E2244" w:rsidRDefault="001E2244" w:rsidP="00724342">
      <w:pPr>
        <w:widowControl w:val="0"/>
        <w:suppressAutoHyphens/>
        <w:rPr>
          <w:rFonts w:eastAsia="Andale Sans UI"/>
          <w:kern w:val="1"/>
          <w:sz w:val="22"/>
          <w:szCs w:val="22"/>
          <w:lang w:eastAsia="ar-SA"/>
        </w:rPr>
      </w:pPr>
    </w:p>
    <w:p w:rsidR="00724342" w:rsidRPr="00AE3C28" w:rsidRDefault="00724342" w:rsidP="00724342">
      <w:pPr>
        <w:widowControl w:val="0"/>
        <w:suppressAutoHyphens/>
        <w:rPr>
          <w:rFonts w:eastAsia="Andale Sans UI"/>
          <w:kern w:val="1"/>
          <w:sz w:val="22"/>
          <w:szCs w:val="22"/>
          <w:lang w:eastAsia="ar-SA"/>
        </w:rPr>
      </w:pPr>
      <w:r w:rsidRPr="00AE3C28">
        <w:rPr>
          <w:rFonts w:eastAsia="Andale Sans UI"/>
          <w:kern w:val="1"/>
          <w:sz w:val="22"/>
          <w:szCs w:val="22"/>
          <w:lang w:eastAsia="ar-SA"/>
        </w:rPr>
        <w:t>УДК 336.221</w:t>
      </w:r>
    </w:p>
    <w:p w:rsidR="00724342" w:rsidRPr="00787EA7" w:rsidRDefault="00724342" w:rsidP="00724342">
      <w:pPr>
        <w:widowControl w:val="0"/>
        <w:suppressAutoHyphens/>
        <w:rPr>
          <w:rFonts w:eastAsia="Andale Sans UI"/>
          <w:b/>
          <w:kern w:val="1"/>
          <w:sz w:val="20"/>
          <w:szCs w:val="20"/>
          <w:lang w:eastAsia="ar-SA"/>
        </w:rPr>
      </w:pPr>
    </w:p>
    <w:p w:rsidR="00724342" w:rsidRDefault="00AE3C28" w:rsidP="00724342">
      <w:pPr>
        <w:widowControl w:val="0"/>
        <w:suppressAutoHyphens/>
        <w:ind w:firstLine="709"/>
        <w:jc w:val="center"/>
        <w:rPr>
          <w:rFonts w:eastAsia="Andale Sans UI"/>
          <w:b/>
          <w:kern w:val="1"/>
          <w:sz w:val="24"/>
          <w:szCs w:val="24"/>
          <w:lang w:eastAsia="ar-SA"/>
        </w:rPr>
      </w:pPr>
      <w:r w:rsidRPr="00787EA7">
        <w:rPr>
          <w:rFonts w:eastAsia="Andale Sans UI"/>
          <w:b/>
          <w:kern w:val="1"/>
          <w:sz w:val="24"/>
          <w:szCs w:val="24"/>
          <w:lang w:eastAsia="ar-SA"/>
        </w:rPr>
        <w:t>О введении системы «</w:t>
      </w:r>
      <w:r w:rsidRPr="00787EA7">
        <w:rPr>
          <w:rFonts w:eastAsia="Andale Sans UI"/>
          <w:b/>
          <w:kern w:val="1"/>
          <w:sz w:val="24"/>
          <w:szCs w:val="24"/>
          <w:lang w:val="en-US" w:eastAsia="ar-SA"/>
        </w:rPr>
        <w:t>tax</w:t>
      </w:r>
      <w:r>
        <w:rPr>
          <w:rFonts w:eastAsia="Andale Sans UI"/>
          <w:b/>
          <w:kern w:val="1"/>
          <w:sz w:val="24"/>
          <w:szCs w:val="24"/>
          <w:lang w:eastAsia="ar-SA"/>
        </w:rPr>
        <w:t xml:space="preserve"> </w:t>
      </w:r>
      <w:r w:rsidRPr="00787EA7">
        <w:rPr>
          <w:rFonts w:eastAsia="Andale Sans UI"/>
          <w:b/>
          <w:kern w:val="1"/>
          <w:sz w:val="24"/>
          <w:szCs w:val="24"/>
          <w:lang w:val="en-US" w:eastAsia="ar-SA"/>
        </w:rPr>
        <w:t>free</w:t>
      </w:r>
      <w:r>
        <w:rPr>
          <w:rFonts w:eastAsia="Andale Sans UI"/>
          <w:b/>
          <w:kern w:val="1"/>
          <w:sz w:val="24"/>
          <w:szCs w:val="24"/>
          <w:lang w:eastAsia="ar-SA"/>
        </w:rPr>
        <w:t>» в Р</w:t>
      </w:r>
      <w:r w:rsidRPr="00787EA7">
        <w:rPr>
          <w:rFonts w:eastAsia="Andale Sans UI"/>
          <w:b/>
          <w:kern w:val="1"/>
          <w:sz w:val="24"/>
          <w:szCs w:val="24"/>
          <w:lang w:eastAsia="ar-SA"/>
        </w:rPr>
        <w:t>оссии в 2018 году</w:t>
      </w:r>
    </w:p>
    <w:p w:rsidR="00AE3C28" w:rsidRPr="00C56F2E" w:rsidRDefault="00AE3C28" w:rsidP="00724342">
      <w:pPr>
        <w:widowControl w:val="0"/>
        <w:suppressAutoHyphens/>
        <w:ind w:firstLine="709"/>
        <w:jc w:val="center"/>
        <w:rPr>
          <w:rFonts w:eastAsia="Andale Sans UI"/>
          <w:b/>
          <w:kern w:val="1"/>
          <w:sz w:val="24"/>
          <w:szCs w:val="24"/>
          <w:lang w:val="en-US" w:eastAsia="ar-SA"/>
        </w:rPr>
      </w:pPr>
      <w:r w:rsidRPr="00AE3C28">
        <w:rPr>
          <w:rFonts w:eastAsia="Andale Sans UI"/>
          <w:b/>
          <w:kern w:val="1"/>
          <w:sz w:val="24"/>
          <w:szCs w:val="24"/>
          <w:lang w:val="en-US" w:eastAsia="ar-SA"/>
        </w:rPr>
        <w:t>On the introducti</w:t>
      </w:r>
      <w:r>
        <w:rPr>
          <w:rFonts w:eastAsia="Andale Sans UI"/>
          <w:b/>
          <w:kern w:val="1"/>
          <w:sz w:val="24"/>
          <w:szCs w:val="24"/>
          <w:lang w:val="en-US" w:eastAsia="ar-SA"/>
        </w:rPr>
        <w:t xml:space="preserve">on of the "tax free" system in </w:t>
      </w:r>
      <w:r w:rsidRPr="00AE3C28">
        <w:rPr>
          <w:rFonts w:eastAsia="Andale Sans UI"/>
          <w:b/>
          <w:kern w:val="1"/>
          <w:sz w:val="24"/>
          <w:szCs w:val="24"/>
          <w:lang w:val="en-US" w:eastAsia="ar-SA"/>
        </w:rPr>
        <w:br/>
      </w:r>
      <w:r>
        <w:rPr>
          <w:rFonts w:eastAsia="Andale Sans UI"/>
          <w:b/>
          <w:kern w:val="1"/>
          <w:sz w:val="24"/>
          <w:szCs w:val="24"/>
          <w:lang w:val="en-US" w:eastAsia="ar-SA"/>
        </w:rPr>
        <w:t>R</w:t>
      </w:r>
      <w:r w:rsidRPr="00AE3C28">
        <w:rPr>
          <w:rFonts w:eastAsia="Andale Sans UI"/>
          <w:b/>
          <w:kern w:val="1"/>
          <w:sz w:val="24"/>
          <w:szCs w:val="24"/>
          <w:lang w:val="en-US" w:eastAsia="ar-SA"/>
        </w:rPr>
        <w:t>ussia in 2018</w:t>
      </w:r>
    </w:p>
    <w:p w:rsidR="00AE3C28" w:rsidRPr="00C56F2E" w:rsidRDefault="00AE3C28" w:rsidP="00724342">
      <w:pPr>
        <w:widowControl w:val="0"/>
        <w:suppressAutoHyphens/>
        <w:ind w:firstLine="709"/>
        <w:jc w:val="center"/>
        <w:rPr>
          <w:rFonts w:eastAsia="Andale Sans UI"/>
          <w:b/>
          <w:kern w:val="1"/>
          <w:sz w:val="24"/>
          <w:szCs w:val="24"/>
          <w:lang w:val="en-US" w:eastAsia="ar-SA"/>
        </w:rPr>
      </w:pPr>
    </w:p>
    <w:p w:rsidR="00AE3C28" w:rsidRPr="00AE3C28" w:rsidRDefault="00724342" w:rsidP="00AB2A07">
      <w:pPr>
        <w:widowControl w:val="0"/>
        <w:suppressAutoHyphens/>
        <w:ind w:firstLine="709"/>
        <w:jc w:val="right"/>
        <w:rPr>
          <w:rFonts w:eastAsia="Andale Sans UI"/>
          <w:kern w:val="1"/>
          <w:sz w:val="22"/>
          <w:szCs w:val="22"/>
          <w:lang w:eastAsia="ar-SA"/>
        </w:rPr>
      </w:pPr>
      <w:r w:rsidRPr="00AE3C28">
        <w:rPr>
          <w:rFonts w:eastAsia="Andale Sans UI"/>
          <w:kern w:val="1"/>
          <w:sz w:val="22"/>
          <w:szCs w:val="22"/>
          <w:lang w:eastAsia="ar-SA"/>
        </w:rPr>
        <w:t>Ким</w:t>
      </w:r>
      <w:r w:rsidR="00AE3C28" w:rsidRPr="00AE3C28">
        <w:rPr>
          <w:rFonts w:eastAsia="Andale Sans UI"/>
          <w:kern w:val="1"/>
          <w:sz w:val="22"/>
          <w:szCs w:val="22"/>
          <w:lang w:eastAsia="ar-SA"/>
        </w:rPr>
        <w:t xml:space="preserve"> А. Э.</w:t>
      </w:r>
      <w:r w:rsidR="00AE3C28">
        <w:rPr>
          <w:rFonts w:eastAsia="Andale Sans UI"/>
          <w:kern w:val="1"/>
          <w:sz w:val="22"/>
          <w:szCs w:val="22"/>
          <w:lang w:eastAsia="ar-SA"/>
        </w:rPr>
        <w:t>,</w:t>
      </w:r>
      <w:r w:rsidR="00AB2A07">
        <w:rPr>
          <w:rFonts w:eastAsia="Andale Sans UI"/>
          <w:kern w:val="1"/>
          <w:sz w:val="22"/>
          <w:szCs w:val="22"/>
          <w:lang w:eastAsia="ar-SA"/>
        </w:rPr>
        <w:t xml:space="preserve"> </w:t>
      </w:r>
      <w:r w:rsidRPr="00AE3C28">
        <w:rPr>
          <w:rFonts w:eastAsia="Andale Sans UI"/>
          <w:kern w:val="1"/>
          <w:sz w:val="22"/>
          <w:szCs w:val="22"/>
          <w:lang w:eastAsia="ar-SA"/>
        </w:rPr>
        <w:t>Сюбаева</w:t>
      </w:r>
      <w:r w:rsidR="00AE3C28" w:rsidRPr="00AE3C28">
        <w:rPr>
          <w:rFonts w:eastAsia="Andale Sans UI"/>
          <w:kern w:val="1"/>
          <w:sz w:val="22"/>
          <w:szCs w:val="22"/>
          <w:lang w:eastAsia="ar-SA"/>
        </w:rPr>
        <w:t xml:space="preserve"> А. И.</w:t>
      </w:r>
      <w:r w:rsidR="00AE3C28">
        <w:rPr>
          <w:rFonts w:eastAsia="Andale Sans UI"/>
          <w:kern w:val="1"/>
          <w:sz w:val="22"/>
          <w:szCs w:val="22"/>
          <w:lang w:eastAsia="ar-SA"/>
        </w:rPr>
        <w:t>,</w:t>
      </w:r>
    </w:p>
    <w:p w:rsidR="00724342" w:rsidRPr="00AE3C28" w:rsidRDefault="00AB2A07" w:rsidP="00724342">
      <w:pPr>
        <w:widowControl w:val="0"/>
        <w:suppressAutoHyphens/>
        <w:ind w:firstLine="709"/>
        <w:jc w:val="right"/>
        <w:rPr>
          <w:rFonts w:eastAsia="Andale Sans UI"/>
          <w:kern w:val="1"/>
          <w:sz w:val="22"/>
          <w:szCs w:val="22"/>
          <w:lang w:eastAsia="ar-SA"/>
        </w:rPr>
      </w:pPr>
      <w:r>
        <w:rPr>
          <w:rFonts w:eastAsia="Andale Sans UI"/>
          <w:kern w:val="1"/>
          <w:sz w:val="22"/>
          <w:szCs w:val="22"/>
          <w:lang w:eastAsia="ar-SA"/>
        </w:rPr>
        <w:t>студентки</w:t>
      </w:r>
      <w:r w:rsidR="00724342" w:rsidRPr="00AE3C28">
        <w:rPr>
          <w:rFonts w:eastAsia="Andale Sans UI"/>
          <w:kern w:val="1"/>
          <w:sz w:val="22"/>
          <w:szCs w:val="22"/>
          <w:lang w:eastAsia="ar-SA"/>
        </w:rPr>
        <w:t xml:space="preserve"> учетно-финансового факультета</w:t>
      </w:r>
    </w:p>
    <w:p w:rsidR="00AE3C28" w:rsidRPr="00AE3C28" w:rsidRDefault="00724342" w:rsidP="00724342">
      <w:pPr>
        <w:widowControl w:val="0"/>
        <w:suppressAutoHyphens/>
        <w:jc w:val="right"/>
        <w:rPr>
          <w:rFonts w:eastAsia="Andale Sans UI"/>
          <w:kern w:val="1"/>
          <w:sz w:val="22"/>
          <w:szCs w:val="22"/>
          <w:lang w:eastAsia="ar-SA"/>
        </w:rPr>
      </w:pPr>
      <w:r w:rsidRPr="00AE3C28">
        <w:rPr>
          <w:rFonts w:eastAsia="Andale Sans UI"/>
          <w:kern w:val="1"/>
          <w:sz w:val="22"/>
          <w:szCs w:val="22"/>
          <w:lang w:eastAsia="ar-SA"/>
        </w:rPr>
        <w:t>Полинская</w:t>
      </w:r>
      <w:r w:rsidR="00AE3C28" w:rsidRPr="00AE3C28">
        <w:rPr>
          <w:rFonts w:eastAsia="Andale Sans UI"/>
          <w:kern w:val="1"/>
          <w:sz w:val="22"/>
          <w:szCs w:val="22"/>
          <w:lang w:eastAsia="ar-SA"/>
        </w:rPr>
        <w:t xml:space="preserve"> М. В.</w:t>
      </w:r>
      <w:r w:rsidR="00AE3C28">
        <w:rPr>
          <w:rFonts w:eastAsia="Andale Sans UI"/>
          <w:kern w:val="1"/>
          <w:sz w:val="22"/>
          <w:szCs w:val="22"/>
          <w:lang w:eastAsia="ar-SA"/>
        </w:rPr>
        <w:t>,</w:t>
      </w:r>
    </w:p>
    <w:p w:rsidR="00724342" w:rsidRPr="00AE3C28" w:rsidRDefault="00724342" w:rsidP="00724342">
      <w:pPr>
        <w:widowControl w:val="0"/>
        <w:suppressAutoHyphens/>
        <w:jc w:val="right"/>
        <w:rPr>
          <w:rFonts w:eastAsia="Andale Sans UI"/>
          <w:color w:val="1A1A1A" w:themeColor="background1" w:themeShade="1A"/>
          <w:kern w:val="1"/>
          <w:sz w:val="22"/>
          <w:szCs w:val="22"/>
          <w:lang w:eastAsia="ar-SA"/>
        </w:rPr>
      </w:pPr>
      <w:r w:rsidRPr="00AE3C28">
        <w:rPr>
          <w:rFonts w:eastAsia="Andale Sans UI"/>
          <w:kern w:val="1"/>
          <w:sz w:val="22"/>
          <w:szCs w:val="22"/>
          <w:lang w:eastAsia="ar-SA"/>
        </w:rPr>
        <w:t xml:space="preserve">профессор, кандидат экономических наук, </w:t>
      </w:r>
      <w:r w:rsidRPr="00AE3C28">
        <w:rPr>
          <w:rFonts w:eastAsia="Andale Sans UI"/>
          <w:color w:val="1A1A1A" w:themeColor="background1" w:themeShade="1A"/>
          <w:kern w:val="1"/>
          <w:sz w:val="22"/>
          <w:szCs w:val="22"/>
          <w:lang w:eastAsia="ar-SA"/>
        </w:rPr>
        <w:t xml:space="preserve">Кубанский государственный аграрный </w:t>
      </w:r>
      <w:r w:rsidRPr="00AE3C28">
        <w:rPr>
          <w:rFonts w:eastAsia="Andale Sans UI"/>
          <w:color w:val="1A1A1A" w:themeColor="background1" w:themeShade="1A"/>
          <w:kern w:val="1"/>
          <w:sz w:val="22"/>
          <w:szCs w:val="22"/>
          <w:lang w:eastAsia="ar-SA"/>
        </w:rPr>
        <w:br/>
        <w:t>университет имени И. Т. Трубилина</w:t>
      </w:r>
    </w:p>
    <w:p w:rsidR="00724342" w:rsidRPr="00AE3C28" w:rsidRDefault="00724342" w:rsidP="00724342">
      <w:pPr>
        <w:widowControl w:val="0"/>
        <w:suppressAutoHyphens/>
        <w:ind w:firstLine="709"/>
        <w:jc w:val="center"/>
        <w:rPr>
          <w:rFonts w:eastAsia="Andale Sans UI"/>
          <w:kern w:val="1"/>
          <w:sz w:val="22"/>
          <w:szCs w:val="22"/>
          <w:lang w:eastAsia="ar-SA"/>
        </w:rPr>
      </w:pPr>
    </w:p>
    <w:p w:rsidR="00724342" w:rsidRPr="00787EA7" w:rsidRDefault="00AE3C28"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АННОТАЦИЯ: </w:t>
      </w:r>
      <w:r w:rsidR="00724342" w:rsidRPr="00787EA7">
        <w:rPr>
          <w:rFonts w:eastAsia="Andale Sans UI"/>
          <w:kern w:val="1"/>
          <w:sz w:val="22"/>
          <w:szCs w:val="22"/>
          <w:lang w:eastAsia="ar-SA"/>
        </w:rPr>
        <w:t>В статье рассмотрен алгоритм действия системы «</w:t>
      </w:r>
      <w:r w:rsidR="00724342" w:rsidRPr="00787EA7">
        <w:rPr>
          <w:rFonts w:eastAsia="Andale Sans UI"/>
          <w:kern w:val="1"/>
          <w:sz w:val="22"/>
          <w:szCs w:val="22"/>
          <w:lang w:val="en-US" w:eastAsia="ar-SA"/>
        </w:rPr>
        <w:t>Tax</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free</w:t>
      </w:r>
      <w:r w:rsidR="00724342" w:rsidRPr="00787EA7">
        <w:rPr>
          <w:rFonts w:eastAsia="Andale Sans UI"/>
          <w:kern w:val="1"/>
          <w:sz w:val="22"/>
          <w:szCs w:val="22"/>
          <w:lang w:eastAsia="ar-SA"/>
        </w:rPr>
        <w:t>» в России. Затронуты положительные стороны проекта и некоторые недостатки. Отражены последствия ввода проекта.</w:t>
      </w:r>
    </w:p>
    <w:p w:rsidR="00724342" w:rsidRPr="00787EA7" w:rsidRDefault="00AE3C28"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val="en-US" w:eastAsia="ar-SA"/>
        </w:rPr>
        <w:t>ABSTRACT:</w:t>
      </w:r>
      <w:r w:rsidR="00724342" w:rsidRPr="00787EA7">
        <w:rPr>
          <w:rFonts w:eastAsia="Andale Sans UI"/>
          <w:kern w:val="1"/>
          <w:sz w:val="22"/>
          <w:szCs w:val="22"/>
          <w:lang w:val="en-US" w:eastAsia="ar-SA"/>
        </w:rPr>
        <w:t xml:space="preserve"> The article discusses the algorithm of the system "tax-Free" in Russia. The positive aspects of the project as well as some drawbacks were touched upon. The</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consequences</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of</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entering</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the</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project</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are</w:t>
      </w:r>
      <w:r w:rsidR="00724342" w:rsidRPr="00787EA7">
        <w:rPr>
          <w:rFonts w:eastAsia="Andale Sans UI"/>
          <w:kern w:val="1"/>
          <w:sz w:val="22"/>
          <w:szCs w:val="22"/>
          <w:lang w:eastAsia="ar-SA"/>
        </w:rPr>
        <w:t xml:space="preserve"> </w:t>
      </w:r>
      <w:r w:rsidR="00724342" w:rsidRPr="00787EA7">
        <w:rPr>
          <w:rFonts w:eastAsia="Andale Sans UI"/>
          <w:kern w:val="1"/>
          <w:sz w:val="22"/>
          <w:szCs w:val="22"/>
          <w:lang w:val="en-US" w:eastAsia="ar-SA"/>
        </w:rPr>
        <w:t>reflected</w:t>
      </w:r>
      <w:r w:rsidR="00724342" w:rsidRPr="00787EA7">
        <w:rPr>
          <w:rFonts w:eastAsia="Andale Sans UI"/>
          <w:kern w:val="1"/>
          <w:sz w:val="22"/>
          <w:szCs w:val="22"/>
          <w:lang w:eastAsia="ar-SA"/>
        </w:rPr>
        <w:t>.</w:t>
      </w:r>
    </w:p>
    <w:p w:rsidR="00724342" w:rsidRPr="00787EA7" w:rsidRDefault="00AE3C28"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КЛЮЧЕВЫЕ СЛОВА:</w:t>
      </w:r>
      <w:r w:rsidR="00724342" w:rsidRPr="00787EA7">
        <w:rPr>
          <w:rFonts w:eastAsia="Andale Sans UI"/>
          <w:kern w:val="1"/>
          <w:sz w:val="22"/>
          <w:szCs w:val="22"/>
          <w:lang w:eastAsia="ar-SA"/>
        </w:rPr>
        <w:t xml:space="preserve"> налог на добавленную стоимость, иностранные граждане, туристы, возврат налога</w:t>
      </w:r>
    </w:p>
    <w:p w:rsidR="00724342" w:rsidRPr="001E2244" w:rsidRDefault="00AE3C28" w:rsidP="001E2244">
      <w:pPr>
        <w:widowControl w:val="0"/>
        <w:suppressAutoHyphens/>
        <w:ind w:firstLine="397"/>
        <w:jc w:val="both"/>
        <w:rPr>
          <w:rFonts w:eastAsia="Andale Sans UI"/>
          <w:kern w:val="1"/>
          <w:sz w:val="22"/>
          <w:szCs w:val="22"/>
          <w:lang w:val="en-US" w:eastAsia="ar-SA"/>
        </w:rPr>
      </w:pPr>
      <w:r w:rsidRPr="00787EA7">
        <w:rPr>
          <w:rFonts w:eastAsia="Andale Sans UI"/>
          <w:kern w:val="1"/>
          <w:sz w:val="22"/>
          <w:szCs w:val="22"/>
          <w:lang w:val="en-US" w:eastAsia="ar-SA"/>
        </w:rPr>
        <w:t xml:space="preserve">KEY WORDS: </w:t>
      </w:r>
      <w:r w:rsidR="00724342" w:rsidRPr="00787EA7">
        <w:rPr>
          <w:rFonts w:eastAsia="Andale Sans UI"/>
          <w:kern w:val="1"/>
          <w:sz w:val="22"/>
          <w:szCs w:val="22"/>
          <w:lang w:val="en-US" w:eastAsia="ar-SA"/>
        </w:rPr>
        <w:t>value added tax, foreigners, tourists, tax refund</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lastRenderedPageBreak/>
        <w:t>С 1 января 2018 г. внесены поправки в ст. 88 НК РФ и главу 21 НК РФ, вводится так называемая система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которую российские туристы знают и используют в зарубежных поездках. Суть этой системы проста: налог на добавленную стоимость, включенный в сумму покупки товара, может быть возвращен иностранному гражданину при соблюдении определенных условий.</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Алгоритм возврата налога прост, во-первых, в момент оплаты покупки продавец выдает специальную квитанцию, подтверждающую право на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xml:space="preserve">». Далее возврат налога берет начало до возвращения в родное государство, по месту отправления, т.е. прибыв на место (аэропорт или вокзал), необходимо пройти пункт таможни, там таможенник проверяет покупку, ее целостность, просматривает выданный покупателю чек, сравнивает данные в чеке с информацией в загранпаспорте и ставит печать на квитанции «Tax </w:t>
      </w:r>
      <w:r w:rsidRPr="00787EA7">
        <w:rPr>
          <w:rFonts w:eastAsia="Andale Sans UI"/>
          <w:kern w:val="1"/>
          <w:sz w:val="22"/>
          <w:szCs w:val="22"/>
          <w:lang w:val="en-US" w:eastAsia="ar-SA"/>
        </w:rPr>
        <w:t>f</w:t>
      </w:r>
      <w:r w:rsidRPr="00787EA7">
        <w:rPr>
          <w:rFonts w:eastAsia="Andale Sans UI"/>
          <w:kern w:val="1"/>
          <w:sz w:val="22"/>
          <w:szCs w:val="22"/>
          <w:lang w:eastAsia="ar-SA"/>
        </w:rPr>
        <w:t>ree». Затем иностранный гражданин получает причитающиеся денежные средства одним из следующих способов: сразу в аэропорту или на вокзале, где покупатель проходил проверку на таможенном пункте; в банке РФ, являющимся участником системы Tax Free Shopping; на карту, оставив для этого все документы в специальном ящике с наименованием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Документ для компенсации налога можно будет оформить на основании одного или нескольких кассовых чеков, если иностранный гражданин приобрел товары не менее чем на 10 000 руб. в течение одного календарного дня [1]. Вернуть налог смогут в течение одного года, если вывоз приобретенного товара состоялся в течение трех месяцев. Первыми городами, в которых заработал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в России - Москва, Санкт-Петербург и Сочи. Согласно данным Всемирной туристской организации, в 2016 году доля России по количеству прибытий иностранных граждан</w:t>
      </w:r>
      <w:r w:rsidRPr="00787EA7">
        <w:rPr>
          <w:rFonts w:eastAsia="Andale Sans UI"/>
          <w:color w:val="FF0000"/>
          <w:kern w:val="1"/>
          <w:sz w:val="22"/>
          <w:szCs w:val="22"/>
          <w:lang w:eastAsia="ar-SA"/>
        </w:rPr>
        <w:t xml:space="preserve"> </w:t>
      </w:r>
      <w:r w:rsidRPr="00787EA7">
        <w:rPr>
          <w:rFonts w:eastAsia="Andale Sans UI"/>
          <w:kern w:val="1"/>
          <w:sz w:val="22"/>
          <w:szCs w:val="22"/>
          <w:lang w:eastAsia="ar-SA"/>
        </w:rPr>
        <w:t>в общем количестве поездок в Европе составила 4%. При этом доля России по сумме расходов иностранных туристов в Европе находилась на уровне всего 1,7%. Для сравнения: доля расходов иностранных туристов в Греции составила 3,3%, в Великобритании - 8,9%, Франции - 9,5%, Испании - 13,5%, Италии - 9% [2]. Получается, что иностранные гости</w:t>
      </w:r>
      <w:r w:rsidRPr="00787EA7">
        <w:rPr>
          <w:rFonts w:eastAsia="Andale Sans UI"/>
          <w:color w:val="FF0000"/>
          <w:kern w:val="1"/>
          <w:sz w:val="22"/>
          <w:szCs w:val="22"/>
          <w:lang w:eastAsia="ar-SA"/>
        </w:rPr>
        <w:t xml:space="preserve"> </w:t>
      </w:r>
      <w:r w:rsidRPr="00787EA7">
        <w:rPr>
          <w:rFonts w:eastAsia="Andale Sans UI"/>
          <w:kern w:val="1"/>
          <w:sz w:val="22"/>
          <w:szCs w:val="22"/>
          <w:lang w:eastAsia="ar-SA"/>
        </w:rPr>
        <w:t xml:space="preserve">тратят во время поездок в Россию существенно меньше, чем в среднем во время поездок в Европу и другие регионы. Эта проблема требовала внедрения механизмов, способствующих увеличению расходов иностранных гостей в нашей стране, что явилось </w:t>
      </w:r>
      <w:r w:rsidRPr="00787EA7">
        <w:rPr>
          <w:rFonts w:eastAsia="Andale Sans UI"/>
          <w:kern w:val="1"/>
          <w:sz w:val="22"/>
          <w:szCs w:val="22"/>
          <w:lang w:eastAsia="ar-SA"/>
        </w:rPr>
        <w:lastRenderedPageBreak/>
        <w:t>следствием ввода системы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Нововведение должно привлечь больше туристов, у которых при этом появится хорошая мотивация тратить деньги в российских магазинах, ведь скидка в размере 18% может существенно повлиять на решение о покупке товара. Однако, как показывает опыт других стран, ввод системы возмещения НДС нигде не повлиял на увеличение турпотока, но положительно повлиял на стоимость покупок, сделанных туристами. Система «</w:t>
      </w:r>
      <w:r w:rsidRPr="00787EA7">
        <w:rPr>
          <w:rFonts w:eastAsia="Andale Sans UI"/>
          <w:kern w:val="1"/>
          <w:sz w:val="22"/>
          <w:szCs w:val="22"/>
          <w:lang w:val="en-US" w:eastAsia="ar-SA"/>
        </w:rPr>
        <w:t>T</w:t>
      </w:r>
      <w:r w:rsidRPr="00787EA7">
        <w:rPr>
          <w:rFonts w:eastAsia="Andale Sans UI"/>
          <w:kern w:val="1"/>
          <w:sz w:val="22"/>
          <w:szCs w:val="22"/>
          <w:lang w:eastAsia="ar-SA"/>
        </w:rPr>
        <w:t>ax frее», в первую очередь, коснется туристов из стран Азии и Южной Америки. Шопинг в России сам по себе является привлекательным в основном для китайских туристов - они тратят во время турпоездки очень много средств, покупая янтарь, украшения, брендовые часы, кожгалантерею и одежду. Туристов из Ирана и Индии российский «</w:t>
      </w:r>
      <w:r w:rsidRPr="00787EA7">
        <w:rPr>
          <w:rFonts w:eastAsia="Andale Sans UI"/>
          <w:kern w:val="1"/>
          <w:sz w:val="22"/>
          <w:szCs w:val="22"/>
          <w:lang w:val="en-US" w:eastAsia="ar-SA"/>
        </w:rPr>
        <w:t>Ta</w:t>
      </w:r>
      <w:r w:rsidRPr="00787EA7">
        <w:rPr>
          <w:rFonts w:eastAsia="Andale Sans UI"/>
          <w:kern w:val="1"/>
          <w:sz w:val="22"/>
          <w:szCs w:val="22"/>
          <w:lang w:eastAsia="ar-SA"/>
        </w:rPr>
        <w:t xml:space="preserve">x free» тоже заинтересует, поскольку в наших столицах товарный ассортимент больше, чем у них. </w:t>
      </w:r>
    </w:p>
    <w:p w:rsidR="00724342" w:rsidRPr="00787EA7" w:rsidRDefault="00724342" w:rsidP="00724342">
      <w:pPr>
        <w:shd w:val="clear" w:color="auto" w:fill="FFFFFF"/>
        <w:ind w:firstLine="397"/>
        <w:jc w:val="both"/>
        <w:rPr>
          <w:sz w:val="22"/>
          <w:szCs w:val="22"/>
        </w:rPr>
      </w:pPr>
      <w:r w:rsidRPr="00787EA7">
        <w:rPr>
          <w:sz w:val="22"/>
          <w:szCs w:val="22"/>
        </w:rPr>
        <w:t>Но системой заложено ограничение - чек покупки должен быть не менее 10000 рублей и необходимо оплатить все свои покупки в одном месте. В итоге в выигрыше от новой системы, в основном, окажутся большие торговые центры. К тому же, Минфин оценил дополнительные расходы федерального бюджета по возмещению НДС иностранцам в размере 150 - 200 млн. руб. в год. Расходы ФТС на введение «</w:t>
      </w:r>
      <w:r w:rsidRPr="00787EA7">
        <w:rPr>
          <w:sz w:val="22"/>
          <w:szCs w:val="22"/>
          <w:lang w:val="en-US"/>
        </w:rPr>
        <w:t>T</w:t>
      </w:r>
      <w:r w:rsidRPr="00787EA7">
        <w:rPr>
          <w:sz w:val="22"/>
          <w:szCs w:val="22"/>
        </w:rPr>
        <w:t>ax free» составят около 50 млн. руб., ФНС - 213,15 млн. руб. единовременно и 94,22 млн. руб. ежегодно [3]. Удастся ли компенсировать такие расходы бюджета за счет увеличения тур</w:t>
      </w:r>
      <w:r w:rsidRPr="00787EA7">
        <w:rPr>
          <w:sz w:val="22"/>
          <w:szCs w:val="22"/>
        </w:rPr>
        <w:t>и</w:t>
      </w:r>
      <w:r w:rsidRPr="00787EA7">
        <w:rPr>
          <w:sz w:val="22"/>
          <w:szCs w:val="22"/>
        </w:rPr>
        <w:t>стического потока и объема розничного товарооборота? Недоста</w:t>
      </w:r>
      <w:r w:rsidRPr="00787EA7">
        <w:rPr>
          <w:sz w:val="22"/>
          <w:szCs w:val="22"/>
        </w:rPr>
        <w:t>т</w:t>
      </w:r>
      <w:r w:rsidRPr="00787EA7">
        <w:rPr>
          <w:sz w:val="22"/>
          <w:szCs w:val="22"/>
        </w:rPr>
        <w:t>ком является и то, что значительное число предпринимателей, зан</w:t>
      </w:r>
      <w:r w:rsidRPr="00787EA7">
        <w:rPr>
          <w:sz w:val="22"/>
          <w:szCs w:val="22"/>
        </w:rPr>
        <w:t>я</w:t>
      </w:r>
      <w:r w:rsidRPr="00787EA7">
        <w:rPr>
          <w:sz w:val="22"/>
          <w:szCs w:val="22"/>
        </w:rPr>
        <w:t>тых в сфере туризма и розничных продаж товаров, применяют сп</w:t>
      </w:r>
      <w:r w:rsidRPr="00787EA7">
        <w:rPr>
          <w:sz w:val="22"/>
          <w:szCs w:val="22"/>
        </w:rPr>
        <w:t>е</w:t>
      </w:r>
      <w:r w:rsidRPr="00787EA7">
        <w:rPr>
          <w:sz w:val="22"/>
          <w:szCs w:val="22"/>
        </w:rPr>
        <w:t>циальные режимы налогообложения (УСН, ЕНВД) и не являются плательщиками НДС, и, следовательно, не могут получить допо</w:t>
      </w:r>
      <w:r w:rsidRPr="00787EA7">
        <w:rPr>
          <w:sz w:val="22"/>
          <w:szCs w:val="22"/>
        </w:rPr>
        <w:t>л</w:t>
      </w:r>
      <w:r w:rsidRPr="00787EA7">
        <w:rPr>
          <w:sz w:val="22"/>
          <w:szCs w:val="22"/>
        </w:rPr>
        <w:t>нительной выгоды от введения этой системы. Несмотря на это, по-нашему мнению, ввод системы «</w:t>
      </w:r>
      <w:r w:rsidRPr="00787EA7">
        <w:rPr>
          <w:sz w:val="22"/>
          <w:szCs w:val="22"/>
          <w:lang w:val="en-US"/>
        </w:rPr>
        <w:t>Tax</w:t>
      </w:r>
      <w:r w:rsidRPr="00787EA7">
        <w:rPr>
          <w:sz w:val="22"/>
          <w:szCs w:val="22"/>
        </w:rPr>
        <w:t xml:space="preserve"> </w:t>
      </w:r>
      <w:r w:rsidRPr="00787EA7">
        <w:rPr>
          <w:sz w:val="22"/>
          <w:szCs w:val="22"/>
          <w:lang w:val="en-US"/>
        </w:rPr>
        <w:t>free</w:t>
      </w:r>
      <w:r w:rsidRPr="00787EA7">
        <w:rPr>
          <w:sz w:val="22"/>
          <w:szCs w:val="22"/>
        </w:rPr>
        <w:t>» целесообразен и посп</w:t>
      </w:r>
      <w:r w:rsidRPr="00787EA7">
        <w:rPr>
          <w:sz w:val="22"/>
          <w:szCs w:val="22"/>
        </w:rPr>
        <w:t>о</w:t>
      </w:r>
      <w:r w:rsidRPr="00787EA7">
        <w:rPr>
          <w:sz w:val="22"/>
          <w:szCs w:val="22"/>
        </w:rPr>
        <w:t>собствует достижению следующих целей: поддержание развития отрасли розничной торговли в условиях сокращения внутреннего потребления;  получение существенной доли в мировом распред</w:t>
      </w:r>
      <w:r w:rsidRPr="00787EA7">
        <w:rPr>
          <w:sz w:val="22"/>
          <w:szCs w:val="22"/>
        </w:rPr>
        <w:t>е</w:t>
      </w:r>
      <w:r w:rsidRPr="00787EA7">
        <w:rPr>
          <w:sz w:val="22"/>
          <w:szCs w:val="22"/>
        </w:rPr>
        <w:t>лении туристического потока и стимулированию развития турист</w:t>
      </w:r>
      <w:r w:rsidRPr="00787EA7">
        <w:rPr>
          <w:sz w:val="22"/>
          <w:szCs w:val="22"/>
        </w:rPr>
        <w:t>и</w:t>
      </w:r>
      <w:r w:rsidRPr="00787EA7">
        <w:rPr>
          <w:sz w:val="22"/>
          <w:szCs w:val="22"/>
        </w:rPr>
        <w:t xml:space="preserve">ческой отрасли;  увеличение занятости населения путем создания новых рабочих мест в розничной торговле и смежных отраслях;  </w:t>
      </w:r>
      <w:r w:rsidRPr="00787EA7">
        <w:rPr>
          <w:sz w:val="22"/>
          <w:szCs w:val="22"/>
        </w:rPr>
        <w:lastRenderedPageBreak/>
        <w:t>увеличение торгового оборота, и, следовательно,  повышение нал</w:t>
      </w:r>
      <w:r w:rsidRPr="00787EA7">
        <w:rPr>
          <w:sz w:val="22"/>
          <w:szCs w:val="22"/>
        </w:rPr>
        <w:t>о</w:t>
      </w:r>
      <w:r w:rsidRPr="00787EA7">
        <w:rPr>
          <w:sz w:val="22"/>
          <w:szCs w:val="22"/>
        </w:rPr>
        <w:t>гооблагаемой базы и налоговых поступлений в бюджет.</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Таким образом, пилотный проект ввода системы «</w:t>
      </w:r>
      <w:r w:rsidRPr="00787EA7">
        <w:rPr>
          <w:rFonts w:eastAsia="Andale Sans UI"/>
          <w:kern w:val="1"/>
          <w:sz w:val="22"/>
          <w:szCs w:val="22"/>
          <w:lang w:val="en-US" w:eastAsia="ar-SA"/>
        </w:rPr>
        <w:t>Tax</w:t>
      </w:r>
      <w:r w:rsidRPr="00787EA7">
        <w:rPr>
          <w:rFonts w:eastAsia="Andale Sans UI"/>
          <w:kern w:val="1"/>
          <w:sz w:val="22"/>
          <w:szCs w:val="22"/>
          <w:lang w:eastAsia="ar-SA"/>
        </w:rPr>
        <w:t xml:space="preserve"> </w:t>
      </w:r>
      <w:r w:rsidRPr="00787EA7">
        <w:rPr>
          <w:rFonts w:eastAsia="Andale Sans UI"/>
          <w:kern w:val="1"/>
          <w:sz w:val="22"/>
          <w:szCs w:val="22"/>
          <w:lang w:val="en-US" w:eastAsia="ar-SA"/>
        </w:rPr>
        <w:t>free</w:t>
      </w:r>
      <w:r w:rsidRPr="00787EA7">
        <w:rPr>
          <w:rFonts w:eastAsia="Andale Sans UI"/>
          <w:kern w:val="1"/>
          <w:sz w:val="22"/>
          <w:szCs w:val="22"/>
          <w:lang w:eastAsia="ar-SA"/>
        </w:rPr>
        <w:t xml:space="preserve">»  подписан и стартует в наиболее популярных у иностранных туристов регионов, а оправдает ли он свой экономический эффект, покажет  лишь время. </w:t>
      </w:r>
    </w:p>
    <w:p w:rsidR="00724342" w:rsidRPr="00787EA7" w:rsidRDefault="00724342" w:rsidP="00724342">
      <w:pPr>
        <w:widowControl w:val="0"/>
        <w:suppressAutoHyphens/>
        <w:ind w:firstLine="397"/>
        <w:jc w:val="center"/>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Список литературы</w:t>
      </w:r>
    </w:p>
    <w:p w:rsidR="00724342" w:rsidRPr="00787EA7" w:rsidRDefault="00724342" w:rsidP="002D7DA5">
      <w:pPr>
        <w:widowControl w:val="0"/>
        <w:numPr>
          <w:ilvl w:val="0"/>
          <w:numId w:val="60"/>
        </w:numPr>
        <w:suppressAutoHyphens/>
        <w:ind w:left="0" w:firstLine="397"/>
        <w:contextualSpacing/>
        <w:jc w:val="both"/>
        <w:rPr>
          <w:kern w:val="1"/>
          <w:sz w:val="22"/>
          <w:szCs w:val="22"/>
          <w:lang w:eastAsia="ar-SA"/>
        </w:rPr>
      </w:pPr>
      <w:r w:rsidRPr="00787EA7">
        <w:rPr>
          <w:kern w:val="1"/>
          <w:sz w:val="22"/>
          <w:szCs w:val="22"/>
          <w:lang w:eastAsia="ar-SA"/>
        </w:rPr>
        <w:t>Налоговый кодекс Российской Федерации (Части 1 и 2): Официальный текст. – М.: Издательство ЭЛИТ, 2018. – 792 с.</w:t>
      </w:r>
    </w:p>
    <w:p w:rsidR="00724342" w:rsidRPr="00787EA7" w:rsidRDefault="00724342" w:rsidP="002D7DA5">
      <w:pPr>
        <w:widowControl w:val="0"/>
        <w:numPr>
          <w:ilvl w:val="0"/>
          <w:numId w:val="60"/>
        </w:numPr>
        <w:suppressAutoHyphens/>
        <w:ind w:left="0" w:firstLine="397"/>
        <w:contextualSpacing/>
        <w:jc w:val="both"/>
        <w:rPr>
          <w:kern w:val="1"/>
          <w:sz w:val="22"/>
          <w:szCs w:val="22"/>
          <w:lang w:eastAsia="ar-SA"/>
        </w:rPr>
      </w:pPr>
      <w:r w:rsidRPr="00787EA7">
        <w:rPr>
          <w:kern w:val="1"/>
          <w:sz w:val="22"/>
          <w:szCs w:val="22"/>
          <w:lang w:eastAsia="ar-SA"/>
        </w:rPr>
        <w:t>Ежегодный отчет ЮНВТО [Электронный ресурс] – Режим доступа:</w:t>
      </w:r>
      <w:r w:rsidRPr="00787EA7">
        <w:rPr>
          <w:kern w:val="1"/>
          <w:sz w:val="22"/>
          <w:szCs w:val="22"/>
          <w:lang w:val="en-US" w:eastAsia="ar-SA"/>
        </w:rPr>
        <w:t>URL</w:t>
      </w:r>
      <w:r w:rsidRPr="00787EA7">
        <w:rPr>
          <w:kern w:val="1"/>
          <w:sz w:val="22"/>
          <w:szCs w:val="22"/>
          <w:lang w:eastAsia="ar-SA"/>
        </w:rPr>
        <w:t xml:space="preserve">: </w:t>
      </w:r>
      <w:hyperlink r:id="rId191" w:history="1">
        <w:r w:rsidRPr="00787EA7">
          <w:rPr>
            <w:kern w:val="1"/>
            <w:sz w:val="22"/>
            <w:szCs w:val="22"/>
            <w:lang w:eastAsia="ar-SA"/>
          </w:rPr>
          <w:t>http://media.unwto.org/ru/annual-reports</w:t>
        </w:r>
      </w:hyperlink>
      <w:r w:rsidRPr="00787EA7">
        <w:rPr>
          <w:kern w:val="1"/>
          <w:sz w:val="22"/>
          <w:szCs w:val="22"/>
          <w:lang w:eastAsia="ar-SA"/>
        </w:rPr>
        <w:t xml:space="preserve"> (дата обращения 05.03.2018 г.)</w:t>
      </w:r>
    </w:p>
    <w:p w:rsidR="00AE3C28" w:rsidRPr="00AB2A07" w:rsidRDefault="00724342" w:rsidP="00724342">
      <w:pPr>
        <w:widowControl w:val="0"/>
        <w:numPr>
          <w:ilvl w:val="0"/>
          <w:numId w:val="60"/>
        </w:numPr>
        <w:suppressAutoHyphens/>
        <w:ind w:left="0" w:firstLine="397"/>
        <w:contextualSpacing/>
        <w:jc w:val="both"/>
        <w:rPr>
          <w:kern w:val="1"/>
          <w:sz w:val="22"/>
          <w:szCs w:val="22"/>
          <w:lang w:eastAsia="ar-SA"/>
        </w:rPr>
      </w:pPr>
      <w:r w:rsidRPr="00787EA7">
        <w:rPr>
          <w:kern w:val="1"/>
          <w:sz w:val="22"/>
          <w:szCs w:val="22"/>
          <w:lang w:eastAsia="ar-SA"/>
        </w:rPr>
        <w:t>Информация официального сайта Министерства финансов РФ [Электронный ресурс]- Режим доступа:</w:t>
      </w:r>
      <w:r w:rsidRPr="00787EA7">
        <w:rPr>
          <w:kern w:val="1"/>
          <w:sz w:val="22"/>
          <w:szCs w:val="22"/>
          <w:lang w:val="en-US" w:eastAsia="ar-SA"/>
        </w:rPr>
        <w:t>URL</w:t>
      </w:r>
      <w:r w:rsidRPr="00787EA7">
        <w:rPr>
          <w:kern w:val="1"/>
          <w:sz w:val="22"/>
          <w:szCs w:val="22"/>
          <w:lang w:eastAsia="ar-SA"/>
        </w:rPr>
        <w:t>: https://www.minfin.ru/ru/search/?q_4=tax+free&amp;source_id_4=6 (дата обращения 06.03.2018 г.)</w:t>
      </w:r>
    </w:p>
    <w:p w:rsidR="001E2244" w:rsidRDefault="001E2244" w:rsidP="00724342">
      <w:pPr>
        <w:widowControl w:val="0"/>
        <w:suppressAutoHyphens/>
        <w:rPr>
          <w:rFonts w:eastAsia="Andale Sans UI"/>
          <w:kern w:val="1"/>
          <w:sz w:val="22"/>
          <w:szCs w:val="22"/>
          <w:lang w:eastAsia="ar-SA"/>
        </w:rPr>
      </w:pPr>
    </w:p>
    <w:p w:rsidR="001E2244" w:rsidRDefault="001E2244" w:rsidP="00724342">
      <w:pPr>
        <w:widowControl w:val="0"/>
        <w:suppressAutoHyphens/>
        <w:rPr>
          <w:rFonts w:eastAsia="Andale Sans UI"/>
          <w:kern w:val="1"/>
          <w:sz w:val="22"/>
          <w:szCs w:val="22"/>
          <w:lang w:eastAsia="ar-SA"/>
        </w:rPr>
      </w:pPr>
    </w:p>
    <w:p w:rsidR="00724342" w:rsidRDefault="00724342" w:rsidP="00724342">
      <w:pPr>
        <w:widowControl w:val="0"/>
        <w:suppressAutoHyphens/>
        <w:rPr>
          <w:rFonts w:eastAsia="Andale Sans UI"/>
          <w:kern w:val="1"/>
          <w:sz w:val="22"/>
          <w:szCs w:val="22"/>
          <w:lang w:eastAsia="ar-SA"/>
        </w:rPr>
      </w:pPr>
      <w:r w:rsidRPr="00AE3C28">
        <w:rPr>
          <w:rFonts w:eastAsia="Andale Sans UI"/>
          <w:kern w:val="1"/>
          <w:sz w:val="22"/>
          <w:szCs w:val="22"/>
          <w:lang w:eastAsia="ar-SA"/>
        </w:rPr>
        <w:t>УДК 336.221</w:t>
      </w:r>
    </w:p>
    <w:p w:rsidR="00AE3C28" w:rsidRPr="00AE3C28" w:rsidRDefault="00AE3C28" w:rsidP="00724342">
      <w:pPr>
        <w:widowControl w:val="0"/>
        <w:suppressAutoHyphens/>
        <w:rPr>
          <w:rFonts w:eastAsia="Andale Sans UI"/>
          <w:kern w:val="1"/>
          <w:sz w:val="22"/>
          <w:szCs w:val="22"/>
          <w:lang w:eastAsia="ar-SA"/>
        </w:rPr>
      </w:pPr>
    </w:p>
    <w:p w:rsidR="00724342" w:rsidRDefault="00AE3C28" w:rsidP="00724342">
      <w:pPr>
        <w:widowControl w:val="0"/>
        <w:suppressAutoHyphens/>
        <w:ind w:left="708" w:hanging="708"/>
        <w:jc w:val="center"/>
        <w:rPr>
          <w:rFonts w:eastAsia="Andale Sans UI"/>
          <w:b/>
          <w:kern w:val="1"/>
          <w:sz w:val="24"/>
          <w:szCs w:val="24"/>
          <w:lang w:eastAsia="ar-SA"/>
        </w:rPr>
      </w:pPr>
      <w:r w:rsidRPr="00787EA7">
        <w:rPr>
          <w:rFonts w:eastAsia="Andale Sans UI"/>
          <w:b/>
          <w:kern w:val="1"/>
          <w:sz w:val="24"/>
          <w:szCs w:val="24"/>
          <w:lang w:eastAsia="ar-SA"/>
        </w:rPr>
        <w:t>Причины и способы уклонения от уплаты налогов</w:t>
      </w:r>
    </w:p>
    <w:p w:rsidR="00AE3C28" w:rsidRPr="00C56F2E" w:rsidRDefault="00AE3C28" w:rsidP="00724342">
      <w:pPr>
        <w:widowControl w:val="0"/>
        <w:suppressAutoHyphens/>
        <w:ind w:left="708" w:hanging="708"/>
        <w:jc w:val="center"/>
        <w:rPr>
          <w:rFonts w:eastAsia="Andale Sans UI"/>
          <w:b/>
          <w:kern w:val="1"/>
          <w:sz w:val="24"/>
          <w:szCs w:val="24"/>
          <w:lang w:val="en-US" w:eastAsia="ar-SA"/>
        </w:rPr>
      </w:pPr>
      <w:r w:rsidRPr="00AE3C28">
        <w:rPr>
          <w:rFonts w:eastAsia="Andale Sans UI"/>
          <w:b/>
          <w:kern w:val="1"/>
          <w:sz w:val="24"/>
          <w:szCs w:val="24"/>
          <w:lang w:val="en-US" w:eastAsia="ar-SA"/>
        </w:rPr>
        <w:t>The reasons and methods of tax evasion</w:t>
      </w:r>
    </w:p>
    <w:p w:rsidR="00AE3C28" w:rsidRPr="00C56F2E" w:rsidRDefault="00AE3C28" w:rsidP="00724342">
      <w:pPr>
        <w:widowControl w:val="0"/>
        <w:suppressAutoHyphens/>
        <w:ind w:left="708" w:hanging="708"/>
        <w:jc w:val="center"/>
        <w:rPr>
          <w:rFonts w:eastAsia="Andale Sans UI"/>
          <w:b/>
          <w:kern w:val="1"/>
          <w:sz w:val="24"/>
          <w:szCs w:val="24"/>
          <w:lang w:val="en-US" w:eastAsia="ar-SA"/>
        </w:rPr>
      </w:pPr>
    </w:p>
    <w:p w:rsidR="00AE3C28" w:rsidRPr="00AE3C28" w:rsidRDefault="009B6465" w:rsidP="00724342">
      <w:pPr>
        <w:widowControl w:val="0"/>
        <w:suppressAutoHyphens/>
        <w:ind w:left="708" w:hanging="708"/>
        <w:jc w:val="right"/>
        <w:rPr>
          <w:rFonts w:eastAsia="Andale Sans UI"/>
          <w:kern w:val="1"/>
          <w:sz w:val="22"/>
          <w:szCs w:val="22"/>
          <w:lang w:eastAsia="ar-SA"/>
        </w:rPr>
      </w:pPr>
      <w:r>
        <w:rPr>
          <w:rFonts w:eastAsia="Andale Sans UI"/>
          <w:kern w:val="1"/>
          <w:sz w:val="22"/>
          <w:szCs w:val="22"/>
          <w:lang w:eastAsia="ar-SA"/>
        </w:rPr>
        <w:t>Михалюк Е</w:t>
      </w:r>
      <w:r w:rsidR="00AE3C28" w:rsidRPr="00AE3C28">
        <w:rPr>
          <w:rFonts w:eastAsia="Andale Sans UI"/>
          <w:kern w:val="1"/>
          <w:sz w:val="22"/>
          <w:szCs w:val="22"/>
          <w:lang w:eastAsia="ar-SA"/>
        </w:rPr>
        <w:t>.</w:t>
      </w:r>
      <w:r>
        <w:rPr>
          <w:rFonts w:eastAsia="Andale Sans UI"/>
          <w:kern w:val="1"/>
          <w:sz w:val="22"/>
          <w:szCs w:val="22"/>
          <w:lang w:eastAsia="ar-SA"/>
        </w:rPr>
        <w:t xml:space="preserve"> </w:t>
      </w:r>
      <w:r w:rsidR="00AE3C28" w:rsidRPr="00AE3C28">
        <w:rPr>
          <w:rFonts w:eastAsia="Andale Sans UI"/>
          <w:kern w:val="1"/>
          <w:sz w:val="22"/>
          <w:szCs w:val="22"/>
          <w:lang w:eastAsia="ar-SA"/>
        </w:rPr>
        <w:t>С.,</w:t>
      </w:r>
    </w:p>
    <w:p w:rsidR="00724342" w:rsidRPr="00AE3C28" w:rsidRDefault="00724342" w:rsidP="00724342">
      <w:pPr>
        <w:widowControl w:val="0"/>
        <w:suppressAutoHyphens/>
        <w:ind w:left="708" w:hanging="708"/>
        <w:jc w:val="right"/>
        <w:rPr>
          <w:rFonts w:eastAsia="Andale Sans UI"/>
          <w:kern w:val="1"/>
          <w:sz w:val="22"/>
          <w:szCs w:val="22"/>
          <w:lang w:eastAsia="ar-SA"/>
        </w:rPr>
      </w:pPr>
      <w:r w:rsidRPr="00AE3C28">
        <w:rPr>
          <w:rFonts w:eastAsia="Andale Sans UI"/>
          <w:kern w:val="1"/>
          <w:sz w:val="22"/>
          <w:szCs w:val="22"/>
          <w:lang w:eastAsia="ar-SA"/>
        </w:rPr>
        <w:t>студентка учетно-финансового факультета</w:t>
      </w:r>
    </w:p>
    <w:p w:rsidR="00AE3C28" w:rsidRPr="00AE3C28" w:rsidRDefault="00724342" w:rsidP="00724342">
      <w:pPr>
        <w:widowControl w:val="0"/>
        <w:suppressAutoHyphens/>
        <w:ind w:left="708" w:hanging="708"/>
        <w:jc w:val="right"/>
        <w:rPr>
          <w:rFonts w:eastAsia="Andale Sans UI"/>
          <w:kern w:val="1"/>
          <w:sz w:val="22"/>
          <w:szCs w:val="22"/>
          <w:lang w:eastAsia="ar-SA"/>
        </w:rPr>
      </w:pPr>
      <w:r w:rsidRPr="00AE3C28">
        <w:rPr>
          <w:rFonts w:eastAsia="Andale Sans UI"/>
          <w:kern w:val="1"/>
          <w:sz w:val="22"/>
          <w:szCs w:val="22"/>
          <w:lang w:eastAsia="ar-SA"/>
        </w:rPr>
        <w:t>Полинская</w:t>
      </w:r>
      <w:r w:rsidR="00AE3C28" w:rsidRPr="00AE3C28">
        <w:rPr>
          <w:rFonts w:eastAsia="Andale Sans UI"/>
          <w:kern w:val="1"/>
          <w:sz w:val="22"/>
          <w:szCs w:val="22"/>
          <w:lang w:eastAsia="ar-SA"/>
        </w:rPr>
        <w:t xml:space="preserve"> М. В.,</w:t>
      </w:r>
    </w:p>
    <w:p w:rsidR="00724342" w:rsidRPr="00AE3C28" w:rsidRDefault="00724342" w:rsidP="00724342">
      <w:pPr>
        <w:widowControl w:val="0"/>
        <w:suppressAutoHyphens/>
        <w:ind w:left="708" w:hanging="708"/>
        <w:jc w:val="right"/>
        <w:rPr>
          <w:rFonts w:eastAsia="Andale Sans UI"/>
          <w:kern w:val="1"/>
          <w:sz w:val="22"/>
          <w:szCs w:val="22"/>
          <w:lang w:eastAsia="ar-SA"/>
        </w:rPr>
      </w:pPr>
      <w:r w:rsidRPr="00AE3C28">
        <w:rPr>
          <w:rFonts w:eastAsia="Andale Sans UI"/>
          <w:kern w:val="1"/>
          <w:sz w:val="22"/>
          <w:szCs w:val="22"/>
          <w:lang w:eastAsia="ar-SA"/>
        </w:rPr>
        <w:t xml:space="preserve">к.э.н., профессор кафедры </w:t>
      </w:r>
    </w:p>
    <w:p w:rsidR="00724342" w:rsidRPr="00AE3C28" w:rsidRDefault="00724342" w:rsidP="00724342">
      <w:pPr>
        <w:widowControl w:val="0"/>
        <w:suppressAutoHyphens/>
        <w:ind w:left="708" w:hanging="708"/>
        <w:jc w:val="right"/>
        <w:rPr>
          <w:rFonts w:eastAsia="Andale Sans UI"/>
          <w:kern w:val="1"/>
          <w:sz w:val="22"/>
          <w:szCs w:val="22"/>
          <w:lang w:eastAsia="ar-SA"/>
        </w:rPr>
      </w:pPr>
      <w:r w:rsidRPr="00AE3C28">
        <w:rPr>
          <w:rFonts w:eastAsia="Andale Sans UI"/>
          <w:kern w:val="1"/>
          <w:sz w:val="22"/>
          <w:szCs w:val="22"/>
          <w:lang w:eastAsia="ar-SA"/>
        </w:rPr>
        <w:t>налогов и налогообложения</w:t>
      </w:r>
    </w:p>
    <w:p w:rsidR="00724342" w:rsidRPr="00AE3C28" w:rsidRDefault="00724342" w:rsidP="00724342">
      <w:pPr>
        <w:widowControl w:val="0"/>
        <w:suppressAutoHyphens/>
        <w:ind w:left="708" w:hanging="708"/>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 xml:space="preserve">Кубанский государственный аграрный </w:t>
      </w:r>
      <w:r w:rsidRPr="00AE3C28">
        <w:rPr>
          <w:rFonts w:eastAsia="Andale Sans UI"/>
          <w:color w:val="1A1A1A" w:themeColor="background1" w:themeShade="1A"/>
          <w:kern w:val="1"/>
          <w:sz w:val="22"/>
          <w:szCs w:val="22"/>
          <w:lang w:eastAsia="ar-SA"/>
        </w:rPr>
        <w:br/>
        <w:t>университет имени И. Т. Трубилина</w:t>
      </w:r>
    </w:p>
    <w:p w:rsidR="00AE3C28" w:rsidRPr="00787EA7" w:rsidRDefault="00AE3C28" w:rsidP="00724342">
      <w:pPr>
        <w:widowControl w:val="0"/>
        <w:suppressAutoHyphens/>
        <w:ind w:left="708" w:hanging="708"/>
        <w:jc w:val="right"/>
        <w:rPr>
          <w:rFonts w:eastAsia="Andale Sans UI"/>
          <w:kern w:val="24"/>
          <w:sz w:val="24"/>
          <w:szCs w:val="24"/>
          <w:lang w:eastAsia="ar-SA"/>
        </w:rPr>
      </w:pPr>
    </w:p>
    <w:p w:rsidR="00724342" w:rsidRPr="00AE3C28" w:rsidRDefault="00AE3C28" w:rsidP="00724342">
      <w:pPr>
        <w:widowControl w:val="0"/>
        <w:suppressAutoHyphens/>
        <w:ind w:firstLine="397"/>
        <w:jc w:val="both"/>
        <w:rPr>
          <w:rFonts w:eastAsia="Andale Sans UI"/>
          <w:kern w:val="1"/>
          <w:sz w:val="22"/>
          <w:szCs w:val="22"/>
          <w:lang w:eastAsia="ar-SA"/>
        </w:rPr>
      </w:pPr>
      <w:r w:rsidRPr="00AE3C28">
        <w:rPr>
          <w:rFonts w:eastAsia="Andale Sans UI"/>
          <w:kern w:val="1"/>
          <w:sz w:val="22"/>
          <w:szCs w:val="22"/>
          <w:lang w:eastAsia="ar-SA"/>
        </w:rPr>
        <w:t>АННОТАЦИЯ:</w:t>
      </w:r>
      <w:r w:rsidR="00724342" w:rsidRPr="00AE3C28">
        <w:rPr>
          <w:rFonts w:eastAsia="Andale Sans UI"/>
          <w:kern w:val="1"/>
          <w:sz w:val="22"/>
          <w:szCs w:val="22"/>
          <w:lang w:eastAsia="ar-SA"/>
        </w:rPr>
        <w:t xml:space="preserve"> В статье рассматривается проблема уклонения от уплаты налогов, проанализирована задолженность по налоговым платежам в бюджетную систему РФ по данным ИФНС №1 по г. Краснодару за 2014-2016 гг., а также выявлены причины неуплаты и направления противодействия данному процессу.</w:t>
      </w:r>
    </w:p>
    <w:p w:rsidR="00724342" w:rsidRPr="00AE3C28" w:rsidRDefault="00AE3C28" w:rsidP="00724342">
      <w:pPr>
        <w:widowControl w:val="0"/>
        <w:suppressAutoHyphens/>
        <w:ind w:firstLine="397"/>
        <w:jc w:val="both"/>
        <w:rPr>
          <w:rFonts w:eastAsia="Andale Sans UI"/>
          <w:kern w:val="1"/>
          <w:sz w:val="22"/>
          <w:szCs w:val="22"/>
          <w:lang w:val="en-US" w:eastAsia="ar-SA"/>
        </w:rPr>
      </w:pPr>
      <w:r w:rsidRPr="00AE3C28">
        <w:rPr>
          <w:rFonts w:eastAsia="Andale Sans UI"/>
          <w:kern w:val="1"/>
          <w:sz w:val="22"/>
          <w:szCs w:val="22"/>
          <w:lang w:val="en-US" w:eastAsia="ar-SA"/>
        </w:rPr>
        <w:t>ABSTRACT:</w:t>
      </w:r>
      <w:r w:rsidR="00724342" w:rsidRPr="00AE3C28">
        <w:rPr>
          <w:rFonts w:eastAsia="Andale Sans UI"/>
          <w:kern w:val="1"/>
          <w:sz w:val="22"/>
          <w:szCs w:val="22"/>
          <w:lang w:val="en-US" w:eastAsia="ar-SA"/>
        </w:rPr>
        <w:t xml:space="preserve"> </w:t>
      </w:r>
      <w:r w:rsidR="00724342" w:rsidRPr="00AE3C28">
        <w:rPr>
          <w:rFonts w:eastAsia="Andale Sans UI"/>
          <w:color w:val="000000" w:themeColor="text1"/>
          <w:kern w:val="1"/>
          <w:sz w:val="22"/>
          <w:szCs w:val="22"/>
          <w:shd w:val="clear" w:color="auto" w:fill="FFFFFF"/>
          <w:lang w:val="en-US" w:eastAsia="ar-SA"/>
        </w:rPr>
        <w:t xml:space="preserve">The article deals with the problem of tax evasion, </w:t>
      </w:r>
      <w:r w:rsidR="00724342" w:rsidRPr="00AE3C28">
        <w:rPr>
          <w:rFonts w:eastAsia="Andale Sans UI"/>
          <w:color w:val="000000" w:themeColor="text1"/>
          <w:kern w:val="1"/>
          <w:sz w:val="22"/>
          <w:szCs w:val="22"/>
          <w:shd w:val="clear" w:color="auto" w:fill="FFFFFF"/>
          <w:lang w:val="en-US" w:eastAsia="ar-SA"/>
        </w:rPr>
        <w:lastRenderedPageBreak/>
        <w:t>analyzes the debt on tax payments to the budget system of the Russian Federation according to IFNS №1 in Krasnodar for 2014-2016, as well as the reasons for non-payment and directions of counteraction to this process.</w:t>
      </w:r>
    </w:p>
    <w:p w:rsidR="00724342" w:rsidRPr="00AE3C28" w:rsidRDefault="00AE3C28" w:rsidP="00724342">
      <w:pPr>
        <w:widowControl w:val="0"/>
        <w:suppressAutoHyphens/>
        <w:ind w:firstLine="397"/>
        <w:jc w:val="both"/>
        <w:rPr>
          <w:rFonts w:eastAsia="Andale Sans UI"/>
          <w:kern w:val="1"/>
          <w:sz w:val="22"/>
          <w:szCs w:val="22"/>
          <w:lang w:eastAsia="ar-SA"/>
        </w:rPr>
      </w:pPr>
      <w:r w:rsidRPr="00AE3C28">
        <w:rPr>
          <w:rFonts w:eastAsia="Andale Sans UI"/>
          <w:kern w:val="1"/>
          <w:sz w:val="22"/>
          <w:szCs w:val="22"/>
          <w:lang w:eastAsia="ar-SA"/>
        </w:rPr>
        <w:t xml:space="preserve">КЛЮЧЕВЫЕ СЛОВА: </w:t>
      </w:r>
      <w:r w:rsidR="00724342" w:rsidRPr="00AE3C28">
        <w:rPr>
          <w:rFonts w:eastAsia="Andale Sans UI"/>
          <w:kern w:val="1"/>
          <w:sz w:val="22"/>
          <w:szCs w:val="22"/>
          <w:lang w:eastAsia="ar-SA"/>
        </w:rPr>
        <w:t>уплата налогов, уклонение от уплаты, бюджет, задолженность, классификация, противодействие</w:t>
      </w:r>
    </w:p>
    <w:p w:rsidR="00724342" w:rsidRPr="00C56F2E" w:rsidRDefault="00AE3C28" w:rsidP="00724342">
      <w:pPr>
        <w:widowControl w:val="0"/>
        <w:suppressAutoHyphens/>
        <w:ind w:firstLine="397"/>
        <w:jc w:val="both"/>
        <w:rPr>
          <w:rFonts w:eastAsia="Andale Sans UI"/>
          <w:kern w:val="1"/>
          <w:sz w:val="22"/>
          <w:szCs w:val="22"/>
          <w:lang w:val="en-US" w:eastAsia="ar-SA"/>
        </w:rPr>
      </w:pPr>
      <w:r w:rsidRPr="00AE3C28">
        <w:rPr>
          <w:rFonts w:eastAsia="Andale Sans UI"/>
          <w:kern w:val="1"/>
          <w:sz w:val="22"/>
          <w:szCs w:val="22"/>
          <w:lang w:val="en-US" w:eastAsia="ar-SA"/>
        </w:rPr>
        <w:t>KEYWORDS:</w:t>
      </w:r>
      <w:r w:rsidR="00724342" w:rsidRPr="00AE3C28">
        <w:rPr>
          <w:rFonts w:eastAsia="Andale Sans UI"/>
          <w:kern w:val="1"/>
          <w:sz w:val="22"/>
          <w:szCs w:val="22"/>
          <w:lang w:val="en-US" w:eastAsia="ar-SA"/>
        </w:rPr>
        <w:t xml:space="preserve"> payment of taxes, evasion of payment, budget, debt, classification, counteraction</w:t>
      </w:r>
    </w:p>
    <w:p w:rsidR="00AE3C28" w:rsidRPr="00C56F2E" w:rsidRDefault="00AE3C28" w:rsidP="00724342">
      <w:pPr>
        <w:widowControl w:val="0"/>
        <w:suppressAutoHyphens/>
        <w:ind w:firstLine="397"/>
        <w:jc w:val="both"/>
        <w:rPr>
          <w:rFonts w:eastAsia="Andale Sans UI"/>
          <w:kern w:val="1"/>
          <w:sz w:val="22"/>
          <w:szCs w:val="22"/>
          <w:lang w:val="en-US" w:eastAsia="ar-SA"/>
        </w:rPr>
      </w:pPr>
    </w:p>
    <w:p w:rsidR="00AE3C28" w:rsidRPr="001E2244" w:rsidRDefault="00724342" w:rsidP="001E2244">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Одной из основных проблем, с которой сталкиваются налоговые органы РФ, является неуплата налогов. С разрушением командно-административной экономической системы и формированием рыночной экономики в РФ произошло существенное увеличение налоговой нагрузки на организации, физических лиц, а также ИП, в результате чего активировалась деятельность российских налогоплательщиков по уменьшению налоговых платежей. Уклонение от уплаты налогов представляет собой снижение налоговых платежей путем умышленного избежания уплаты налогов, сокращения их выплат, как правило, методами, противоречащими законодательству [2]. Умышленным же считают избежание, при котором лицо сознательно совершило деяние, повлекшее за собой негативные последствия на основании Налогового кодекса РФ. Уклонение от уплаты налогов является серьезной проблемой для любого государства, последствия которой отражаются на социальном и экономическом положении в стране. На макроуровне явление приводит к недостаточному поступлению денежных средств в бюджеты разных уровней и, как следствие, недостаточному финансированию затрат, направленных на развитие социальной и бюджетной сфер, к примеру, образования, медицины, культуры и многих других отраслей [3]. Уклонение от налогов чаще всего совершается в виде сокрытия или занижения дохода, неучета других объектов налогообложения, искажение бухгалтерского учета, несвоевременной уплаты налогов, непредставления или несвоевременное представление документов, необходимых для исчисления и уплаты налогов. Говоря о неуплате налогов и сборов, рассмотрим задолженность по налоговым платежам и сборам в бюджетную систему РФ на примере ИФНС №1 по г. Краснодару. Можно сделать вывод о том, что общая сумма задолженности в 2016 </w:t>
      </w:r>
      <w:r w:rsidRPr="00787EA7">
        <w:rPr>
          <w:rFonts w:eastAsia="Andale Sans UI"/>
          <w:kern w:val="1"/>
          <w:sz w:val="22"/>
          <w:szCs w:val="22"/>
          <w:lang w:eastAsia="ar-SA"/>
        </w:rPr>
        <w:lastRenderedPageBreak/>
        <w:t xml:space="preserve">г. увеличилась на 31,3% по сравнению с 2014 г. и на 39,3% по сравнению с 2015 г. Данное изменение произошло в связи с ростом задолженности по всем группам налогов. Так, задолженность по федеральным налогам за последние три года увеличилась более чем на четверть, в то время как по региональным и местным налогам задолженность за тот же период возросла на 71,56% и 84,11% соответственно. Лишь благодаря снижению задолженности по специальным налоговым режимам на 33,79% по сравнению с 2014 г. и на 18,6% по сравнению с 2015 г., общая тенденция роста задолженности сокращается. Причины уклонения от уплаты налога могут быть разными. Сюда могут входить экономическая, политическая, правовая, организационная и другие причины [3]. Особенно часто уклонение от уплаты налогов связано с: ухудшением финансового положения бизнеса; общим снижением доходов населения; наличием спорных моментов и недоработок в налоговом законодательстве и налоговой политике; отсутствием стимулирующих условий для обеспечения конкурентоспособности. Можно выделить способы теневизации экономической деятельности: скрываемые экономическую деятельность полностью или частично. Теневая экономика напрямую связана с уклонением от уплаты налогов, которое стало характерным для многих российских предпринимателей. Стараясь обойти дополнительное налоговое бремя, растущее в связи с увеличением потребности государства в денежных средствах, хозяйствующие субъекты используют всевозможные методы и схемы уклонения от налогообложения. Уклонение от уплаты налогов наиболее распространенное и опасное из налоговых правонарушений. В качестве последствий уклонения налогоплательщиков от неуплаты следует выделить: снижение налоговых поступлений в бюджет государства; дестабилизация ценовых пропорций и рыночной борьбы; несоблюдение принципа социальной справедливости. Поскольку недопоступление в госбюджет налогов отрицательно влияет на развитие всей страны, правительство принимает ряд мер по борьбе с нарушителями налогового законодательства [1]. Можно отметить три направления противодействия: Законодательные ограничения. Сюда относятся обязательства налогоплательщика, а также санкции за их неисполнение (статьи НК, КоАП и УК); Административное влияние. В случае, если субъект или </w:t>
      </w:r>
      <w:r w:rsidRPr="00787EA7">
        <w:rPr>
          <w:rFonts w:eastAsia="Andale Sans UI"/>
          <w:kern w:val="1"/>
          <w:sz w:val="22"/>
          <w:szCs w:val="22"/>
          <w:lang w:eastAsia="ar-SA"/>
        </w:rPr>
        <w:lastRenderedPageBreak/>
        <w:t>организация не выполняет норм законодательства, налоговые органы вправе применить определенные санкции (например, арестовать счета); Судебные доктрины. Используются в случаях, если следует признать недействительной сделку, позволившую лицу или организации уклониться от налогообложения. Помимо выделенных направлений государство имеет право вносить поправки в законодательство, тем самым ужесточая наказания недобросовестным организациям. Таким образом, уплата налогов - конституционная обязанность каждого в нашей стране. Уклонение от их уплаты - актуальная проблема государства, негативно отражающаяся на ее бюджете и экономике в целом. Важно распространить в обществе определенную налоговую дисциплину и шире - налоговую культуру, которая будет препятствовать желанию к уклонению от уплаты налогов.</w:t>
      </w:r>
    </w:p>
    <w:p w:rsidR="00724342" w:rsidRPr="00787EA7" w:rsidRDefault="00724342" w:rsidP="00724342">
      <w:pPr>
        <w:widowControl w:val="0"/>
        <w:suppressAutoHyphens/>
        <w:ind w:firstLine="397"/>
        <w:jc w:val="center"/>
        <w:rPr>
          <w:rFonts w:eastAsia="Andale Sans UI"/>
          <w:color w:val="1A1A1A" w:themeColor="background1" w:themeShade="1A"/>
          <w:kern w:val="1"/>
          <w:sz w:val="22"/>
          <w:szCs w:val="22"/>
          <w:lang w:eastAsia="ar-SA"/>
        </w:rPr>
      </w:pPr>
      <w:r w:rsidRPr="00787EA7">
        <w:rPr>
          <w:rFonts w:eastAsia="Andale Sans UI"/>
          <w:color w:val="1A1A1A" w:themeColor="background1" w:themeShade="1A"/>
          <w:kern w:val="1"/>
          <w:sz w:val="22"/>
          <w:szCs w:val="22"/>
          <w:lang w:eastAsia="ar-SA"/>
        </w:rPr>
        <w:t>Список литературы</w:t>
      </w:r>
    </w:p>
    <w:p w:rsidR="00724342" w:rsidRPr="00787EA7" w:rsidRDefault="00724342" w:rsidP="002D7DA5">
      <w:pPr>
        <w:widowControl w:val="0"/>
        <w:numPr>
          <w:ilvl w:val="0"/>
          <w:numId w:val="64"/>
        </w:numPr>
        <w:suppressAutoHyphens/>
        <w:ind w:left="0" w:firstLine="397"/>
        <w:contextualSpacing/>
        <w:jc w:val="both"/>
        <w:rPr>
          <w:kern w:val="1"/>
          <w:sz w:val="22"/>
          <w:szCs w:val="22"/>
          <w:lang w:eastAsia="ar-SA"/>
        </w:rPr>
      </w:pPr>
      <w:r w:rsidRPr="00787EA7">
        <w:rPr>
          <w:kern w:val="1"/>
          <w:sz w:val="22"/>
          <w:szCs w:val="22"/>
          <w:lang w:eastAsia="ar-SA"/>
        </w:rPr>
        <w:t>Расулова З. Д. Основные пути решения проблемы уклонения от уплаты налогов / З. Д. Расулова // Евразийский юридический журнал. - № 8 (87). - 2015.</w:t>
      </w:r>
    </w:p>
    <w:p w:rsidR="00724342" w:rsidRPr="00787EA7" w:rsidRDefault="00724342" w:rsidP="002D7DA5">
      <w:pPr>
        <w:widowControl w:val="0"/>
        <w:numPr>
          <w:ilvl w:val="0"/>
          <w:numId w:val="64"/>
        </w:numPr>
        <w:suppressAutoHyphens/>
        <w:ind w:left="0" w:firstLine="397"/>
        <w:contextualSpacing/>
        <w:jc w:val="both"/>
        <w:rPr>
          <w:kern w:val="1"/>
          <w:sz w:val="22"/>
          <w:szCs w:val="22"/>
          <w:lang w:eastAsia="ar-SA"/>
        </w:rPr>
      </w:pPr>
      <w:r w:rsidRPr="00787EA7">
        <w:rPr>
          <w:kern w:val="1"/>
          <w:sz w:val="22"/>
          <w:szCs w:val="22"/>
          <w:lang w:eastAsia="ar-SA"/>
        </w:rPr>
        <w:t>Соболев В.И. Финансовая политика РФ в 2015-2017 гг. // Экономика и предпринимательство. 2014. № 12 (53).</w:t>
      </w:r>
    </w:p>
    <w:p w:rsidR="00724342" w:rsidRPr="00787EA7" w:rsidRDefault="00724342" w:rsidP="002D7DA5">
      <w:pPr>
        <w:widowControl w:val="0"/>
        <w:numPr>
          <w:ilvl w:val="0"/>
          <w:numId w:val="64"/>
        </w:numPr>
        <w:suppressAutoHyphens/>
        <w:ind w:left="0" w:firstLine="397"/>
        <w:contextualSpacing/>
        <w:jc w:val="both"/>
        <w:rPr>
          <w:kern w:val="1"/>
          <w:sz w:val="22"/>
          <w:szCs w:val="22"/>
          <w:lang w:eastAsia="ar-SA"/>
        </w:rPr>
      </w:pPr>
      <w:r w:rsidRPr="00787EA7">
        <w:rPr>
          <w:kern w:val="1"/>
          <w:sz w:val="22"/>
          <w:szCs w:val="22"/>
          <w:lang w:eastAsia="ar-SA"/>
        </w:rPr>
        <w:t>Сулейманова Н. Х. Причины и способы уклонения от уплаты налогов // Молодой ученый. - 2017.</w:t>
      </w:r>
    </w:p>
    <w:p w:rsidR="00AE3C28" w:rsidRDefault="00AE3C28" w:rsidP="00724342">
      <w:pPr>
        <w:widowControl w:val="0"/>
        <w:suppressAutoHyphens/>
        <w:rPr>
          <w:rFonts w:eastAsia="Andale Sans UI"/>
          <w:kern w:val="24"/>
          <w:sz w:val="22"/>
          <w:szCs w:val="24"/>
          <w:lang w:eastAsia="ar-SA"/>
        </w:rPr>
      </w:pPr>
    </w:p>
    <w:p w:rsidR="00AE3C28" w:rsidRDefault="00AE3C28" w:rsidP="00724342">
      <w:pPr>
        <w:widowControl w:val="0"/>
        <w:suppressAutoHyphens/>
        <w:rPr>
          <w:rFonts w:eastAsia="Andale Sans UI"/>
          <w:kern w:val="24"/>
          <w:sz w:val="22"/>
          <w:szCs w:val="24"/>
          <w:lang w:eastAsia="ar-SA"/>
        </w:rPr>
      </w:pPr>
    </w:p>
    <w:p w:rsidR="00724342" w:rsidRDefault="00724342" w:rsidP="00724342">
      <w:pPr>
        <w:widowControl w:val="0"/>
        <w:suppressAutoHyphens/>
        <w:rPr>
          <w:rFonts w:eastAsia="Andale Sans UI"/>
          <w:kern w:val="24"/>
          <w:sz w:val="22"/>
          <w:szCs w:val="24"/>
          <w:lang w:eastAsia="ar-SA"/>
        </w:rPr>
      </w:pPr>
      <w:r w:rsidRPr="00787EA7">
        <w:rPr>
          <w:rFonts w:eastAsia="Andale Sans UI"/>
          <w:kern w:val="24"/>
          <w:sz w:val="22"/>
          <w:szCs w:val="24"/>
          <w:lang w:eastAsia="ar-SA"/>
        </w:rPr>
        <w:t>УДК: 338.439</w:t>
      </w:r>
    </w:p>
    <w:p w:rsidR="00AE3C28" w:rsidRPr="00787EA7" w:rsidRDefault="00AE3C28" w:rsidP="00724342">
      <w:pPr>
        <w:widowControl w:val="0"/>
        <w:suppressAutoHyphens/>
        <w:rPr>
          <w:rFonts w:eastAsia="Andale Sans UI"/>
          <w:kern w:val="24"/>
          <w:sz w:val="22"/>
          <w:szCs w:val="24"/>
          <w:lang w:eastAsia="ar-SA"/>
        </w:rPr>
      </w:pPr>
    </w:p>
    <w:p w:rsidR="00724342" w:rsidRPr="003F3918" w:rsidRDefault="00724342" w:rsidP="00724342">
      <w:pPr>
        <w:widowControl w:val="0"/>
        <w:suppressAutoHyphens/>
        <w:jc w:val="center"/>
        <w:rPr>
          <w:rFonts w:eastAsia="Andale Sans UI"/>
          <w:b/>
          <w:kern w:val="24"/>
          <w:sz w:val="24"/>
          <w:szCs w:val="24"/>
          <w:lang w:eastAsia="ar-SA"/>
        </w:rPr>
      </w:pPr>
      <w:r w:rsidRPr="003F3918">
        <w:rPr>
          <w:rFonts w:eastAsia="Andale Sans UI"/>
          <w:b/>
          <w:kern w:val="24"/>
          <w:sz w:val="24"/>
          <w:szCs w:val="24"/>
          <w:lang w:eastAsia="ar-SA"/>
        </w:rPr>
        <w:t xml:space="preserve">Анализ коммерческо-сбытовой деятельности </w:t>
      </w:r>
      <w:r w:rsidRPr="003F3918">
        <w:rPr>
          <w:rFonts w:eastAsia="Andale Sans UI"/>
          <w:b/>
          <w:kern w:val="24"/>
          <w:sz w:val="24"/>
          <w:szCs w:val="24"/>
          <w:lang w:eastAsia="ar-SA"/>
        </w:rPr>
        <w:br/>
        <w:t>организации в условиях конкуренции</w:t>
      </w:r>
    </w:p>
    <w:p w:rsidR="00724342" w:rsidRPr="003F3918" w:rsidRDefault="00724342" w:rsidP="00724342">
      <w:pPr>
        <w:widowControl w:val="0"/>
        <w:suppressAutoHyphens/>
        <w:jc w:val="center"/>
        <w:rPr>
          <w:rFonts w:eastAsia="Andale Sans UI"/>
          <w:b/>
          <w:kern w:val="24"/>
          <w:sz w:val="24"/>
          <w:szCs w:val="24"/>
          <w:lang w:val="en-US" w:eastAsia="ar-SA"/>
        </w:rPr>
      </w:pPr>
      <w:r w:rsidRPr="003F3918">
        <w:rPr>
          <w:rFonts w:eastAsia="Andale Sans UI"/>
          <w:b/>
          <w:kern w:val="24"/>
          <w:sz w:val="24"/>
          <w:szCs w:val="24"/>
          <w:lang w:val="en-US" w:eastAsia="ar-SA"/>
        </w:rPr>
        <w:t xml:space="preserve">Analysis of commercial and marketing activities </w:t>
      </w:r>
    </w:p>
    <w:p w:rsidR="00724342" w:rsidRPr="00C56F2E" w:rsidRDefault="00724342" w:rsidP="00724342">
      <w:pPr>
        <w:widowControl w:val="0"/>
        <w:suppressAutoHyphens/>
        <w:jc w:val="center"/>
        <w:rPr>
          <w:rFonts w:eastAsia="Andale Sans UI"/>
          <w:b/>
          <w:kern w:val="24"/>
          <w:sz w:val="24"/>
          <w:szCs w:val="24"/>
          <w:lang w:val="en-US" w:eastAsia="ar-SA"/>
        </w:rPr>
      </w:pPr>
      <w:r w:rsidRPr="003F3918">
        <w:rPr>
          <w:rFonts w:eastAsia="Andale Sans UI"/>
          <w:b/>
          <w:kern w:val="24"/>
          <w:sz w:val="24"/>
          <w:szCs w:val="24"/>
          <w:lang w:val="en-US" w:eastAsia="ar-SA"/>
        </w:rPr>
        <w:t xml:space="preserve">organizations in a competitive environment </w:t>
      </w:r>
    </w:p>
    <w:p w:rsidR="00AE3C28" w:rsidRPr="00C56F2E" w:rsidRDefault="00AE3C28" w:rsidP="00724342">
      <w:pPr>
        <w:widowControl w:val="0"/>
        <w:suppressAutoHyphens/>
        <w:jc w:val="center"/>
        <w:rPr>
          <w:rFonts w:eastAsia="Andale Sans UI"/>
          <w:b/>
          <w:kern w:val="24"/>
          <w:sz w:val="22"/>
          <w:szCs w:val="24"/>
          <w:lang w:val="en-US" w:eastAsia="ar-SA"/>
        </w:rPr>
      </w:pPr>
    </w:p>
    <w:p w:rsidR="00724342" w:rsidRPr="00C56F2E" w:rsidRDefault="00724342" w:rsidP="00724342">
      <w:pPr>
        <w:widowControl w:val="0"/>
        <w:suppressAutoHyphens/>
        <w:ind w:firstLine="709"/>
        <w:jc w:val="right"/>
        <w:rPr>
          <w:rFonts w:eastAsia="Andale Sans UI"/>
          <w:kern w:val="24"/>
          <w:sz w:val="22"/>
          <w:szCs w:val="24"/>
          <w:lang w:val="en-US" w:eastAsia="ar-SA"/>
        </w:rPr>
      </w:pPr>
      <w:r w:rsidRPr="00787EA7">
        <w:rPr>
          <w:rFonts w:eastAsia="Andale Sans UI"/>
          <w:kern w:val="24"/>
          <w:sz w:val="22"/>
          <w:szCs w:val="24"/>
          <w:lang w:eastAsia="ar-SA"/>
        </w:rPr>
        <w:t>Озова</w:t>
      </w:r>
      <w:r w:rsidRPr="00C56F2E">
        <w:rPr>
          <w:rFonts w:eastAsia="Andale Sans UI"/>
          <w:kern w:val="24"/>
          <w:sz w:val="22"/>
          <w:szCs w:val="24"/>
          <w:lang w:val="en-US" w:eastAsia="ar-SA"/>
        </w:rPr>
        <w:t xml:space="preserve"> </w:t>
      </w:r>
      <w:r w:rsidRPr="00787EA7">
        <w:rPr>
          <w:rFonts w:eastAsia="Andale Sans UI"/>
          <w:kern w:val="24"/>
          <w:sz w:val="22"/>
          <w:szCs w:val="24"/>
          <w:lang w:eastAsia="ar-SA"/>
        </w:rPr>
        <w:t>Б</w:t>
      </w:r>
      <w:r w:rsidRPr="00C56F2E">
        <w:rPr>
          <w:rFonts w:eastAsia="Andale Sans UI"/>
          <w:kern w:val="24"/>
          <w:sz w:val="22"/>
          <w:szCs w:val="24"/>
          <w:lang w:val="en-US" w:eastAsia="ar-SA"/>
        </w:rPr>
        <w:t xml:space="preserve">. </w:t>
      </w:r>
      <w:r w:rsidRPr="00787EA7">
        <w:rPr>
          <w:rFonts w:eastAsia="Andale Sans UI"/>
          <w:kern w:val="24"/>
          <w:sz w:val="22"/>
          <w:szCs w:val="24"/>
          <w:lang w:eastAsia="ar-SA"/>
        </w:rPr>
        <w:t>Х</w:t>
      </w:r>
      <w:r w:rsidRPr="00C56F2E">
        <w:rPr>
          <w:rFonts w:eastAsia="Andale Sans UI"/>
          <w:kern w:val="24"/>
          <w:sz w:val="22"/>
          <w:szCs w:val="24"/>
          <w:lang w:val="en-US" w:eastAsia="ar-SA"/>
        </w:rPr>
        <w:t>.</w:t>
      </w:r>
      <w:r w:rsidR="00AE3C28" w:rsidRPr="00C56F2E">
        <w:rPr>
          <w:rFonts w:eastAsia="Andale Sans UI"/>
          <w:kern w:val="24"/>
          <w:sz w:val="22"/>
          <w:szCs w:val="24"/>
          <w:lang w:val="en-US" w:eastAsia="ar-SA"/>
        </w:rPr>
        <w:t>,</w:t>
      </w:r>
    </w:p>
    <w:p w:rsidR="00724342" w:rsidRPr="00787EA7" w:rsidRDefault="00724342" w:rsidP="00724342">
      <w:pPr>
        <w:widowControl w:val="0"/>
        <w:suppressAutoHyphens/>
        <w:ind w:firstLine="709"/>
        <w:jc w:val="right"/>
        <w:rPr>
          <w:rFonts w:eastAsia="Andale Sans UI"/>
          <w:kern w:val="24"/>
          <w:sz w:val="22"/>
          <w:szCs w:val="24"/>
          <w:lang w:eastAsia="ar-SA"/>
        </w:rPr>
      </w:pPr>
      <w:r w:rsidRPr="00787EA7">
        <w:rPr>
          <w:rFonts w:eastAsia="Andale Sans UI"/>
          <w:kern w:val="24"/>
          <w:sz w:val="22"/>
          <w:szCs w:val="24"/>
          <w:lang w:eastAsia="ar-SA"/>
        </w:rPr>
        <w:t>студентка 4 курса учетно-финансового факульт</w:t>
      </w:r>
      <w:r w:rsidR="003F3918">
        <w:rPr>
          <w:rFonts w:eastAsia="Andale Sans UI"/>
          <w:kern w:val="24"/>
          <w:sz w:val="22"/>
          <w:szCs w:val="24"/>
          <w:lang w:eastAsia="ar-SA"/>
        </w:rPr>
        <w:t>ета</w:t>
      </w:r>
    </w:p>
    <w:p w:rsidR="003F3918" w:rsidRPr="00AE3C28" w:rsidRDefault="003F3918" w:rsidP="003F3918">
      <w:pPr>
        <w:widowControl w:val="0"/>
        <w:suppressAutoHyphens/>
        <w:ind w:left="708" w:hanging="708"/>
        <w:jc w:val="right"/>
        <w:rPr>
          <w:rFonts w:eastAsia="Andale Sans UI"/>
          <w:color w:val="1A1A1A" w:themeColor="background1" w:themeShade="1A"/>
          <w:kern w:val="1"/>
          <w:sz w:val="22"/>
          <w:szCs w:val="22"/>
          <w:lang w:eastAsia="ar-SA"/>
        </w:rPr>
      </w:pPr>
      <w:r w:rsidRPr="00AE3C28">
        <w:rPr>
          <w:rFonts w:eastAsia="Andale Sans UI"/>
          <w:color w:val="1A1A1A" w:themeColor="background1" w:themeShade="1A"/>
          <w:kern w:val="1"/>
          <w:sz w:val="22"/>
          <w:szCs w:val="22"/>
          <w:lang w:eastAsia="ar-SA"/>
        </w:rPr>
        <w:t xml:space="preserve">Кубанский государственный аграрный </w:t>
      </w:r>
      <w:r w:rsidRPr="00AE3C28">
        <w:rPr>
          <w:rFonts w:eastAsia="Andale Sans UI"/>
          <w:color w:val="1A1A1A" w:themeColor="background1" w:themeShade="1A"/>
          <w:kern w:val="1"/>
          <w:sz w:val="22"/>
          <w:szCs w:val="22"/>
          <w:lang w:eastAsia="ar-SA"/>
        </w:rPr>
        <w:br/>
        <w:t>университет имени И. Т. Трубилина</w:t>
      </w:r>
    </w:p>
    <w:p w:rsidR="003F3918" w:rsidRPr="00787EA7" w:rsidRDefault="003F3918" w:rsidP="00724342">
      <w:pPr>
        <w:widowControl w:val="0"/>
        <w:suppressAutoHyphens/>
        <w:jc w:val="right"/>
        <w:rPr>
          <w:rFonts w:eastAsia="Andale Sans UI"/>
          <w:kern w:val="24"/>
          <w:sz w:val="22"/>
          <w:szCs w:val="24"/>
          <w:lang w:eastAsia="ar-SA"/>
        </w:rPr>
      </w:pPr>
    </w:p>
    <w:p w:rsidR="00724342" w:rsidRPr="00787EA7" w:rsidRDefault="00724342" w:rsidP="00724342">
      <w:pPr>
        <w:widowControl w:val="0"/>
        <w:suppressAutoHyphens/>
        <w:ind w:firstLine="397"/>
        <w:jc w:val="both"/>
        <w:rPr>
          <w:rFonts w:eastAsia="Andale Sans UI"/>
          <w:kern w:val="24"/>
          <w:sz w:val="22"/>
          <w:szCs w:val="24"/>
          <w:lang w:eastAsia="ar-SA"/>
        </w:rPr>
      </w:pPr>
      <w:r w:rsidRPr="00787EA7">
        <w:rPr>
          <w:rFonts w:eastAsia="Andale Sans UI"/>
          <w:kern w:val="24"/>
          <w:sz w:val="22"/>
          <w:szCs w:val="24"/>
          <w:lang w:eastAsia="ar-SA"/>
        </w:rPr>
        <w:t>АННОТАЦИЯ</w:t>
      </w:r>
      <w:r w:rsidRPr="00787EA7">
        <w:rPr>
          <w:rFonts w:eastAsia="Andale Sans UI"/>
          <w:b/>
          <w:kern w:val="24"/>
          <w:sz w:val="22"/>
          <w:szCs w:val="24"/>
          <w:lang w:eastAsia="ar-SA"/>
        </w:rPr>
        <w:t>:</w:t>
      </w:r>
      <w:r w:rsidRPr="00787EA7">
        <w:rPr>
          <w:rFonts w:eastAsia="Andale Sans UI"/>
          <w:kern w:val="24"/>
          <w:sz w:val="22"/>
          <w:szCs w:val="24"/>
          <w:lang w:eastAsia="ar-SA"/>
        </w:rPr>
        <w:t xml:space="preserve"> Планирование коммерческо-сбытовой </w:t>
      </w:r>
      <w:r w:rsidRPr="00787EA7">
        <w:rPr>
          <w:rFonts w:eastAsia="Andale Sans UI"/>
          <w:kern w:val="24"/>
          <w:sz w:val="22"/>
          <w:szCs w:val="24"/>
          <w:lang w:eastAsia="ar-SA"/>
        </w:rPr>
        <w:lastRenderedPageBreak/>
        <w:t xml:space="preserve">деятельности организации позволяет управлять прибыльностью организации. На примере конкретных данных изучено влияние изменения структуры продаж основных видов продукции на прибыль от ее реализации. </w:t>
      </w:r>
    </w:p>
    <w:p w:rsidR="00724342" w:rsidRPr="00787EA7" w:rsidRDefault="00724342" w:rsidP="00724342">
      <w:pPr>
        <w:widowControl w:val="0"/>
        <w:suppressAutoHyphens/>
        <w:ind w:firstLine="397"/>
        <w:jc w:val="both"/>
        <w:rPr>
          <w:rFonts w:eastAsia="Andale Sans UI"/>
          <w:kern w:val="24"/>
          <w:sz w:val="22"/>
          <w:szCs w:val="24"/>
          <w:lang w:val="en-US" w:eastAsia="ar-SA"/>
        </w:rPr>
      </w:pPr>
      <w:r w:rsidRPr="00787EA7">
        <w:rPr>
          <w:rFonts w:eastAsia="Andale Sans UI"/>
          <w:kern w:val="24"/>
          <w:sz w:val="22"/>
          <w:szCs w:val="24"/>
          <w:lang w:val="en-US" w:eastAsia="ar-SA"/>
        </w:rPr>
        <w:t>ABSTRACT: This article discusses planning of commercial and marketing activity at the company «Nalchik Cannery». The influence of changes in the sales structure on the profit from the sale of products on the example of specific data is studied.</w:t>
      </w:r>
    </w:p>
    <w:p w:rsidR="00724342" w:rsidRPr="00787EA7" w:rsidRDefault="00724342" w:rsidP="00724342">
      <w:pPr>
        <w:widowControl w:val="0"/>
        <w:suppressAutoHyphens/>
        <w:ind w:firstLine="397"/>
        <w:jc w:val="both"/>
        <w:rPr>
          <w:rFonts w:eastAsia="Andale Sans UI"/>
          <w:kern w:val="24"/>
          <w:sz w:val="22"/>
          <w:szCs w:val="24"/>
          <w:lang w:eastAsia="ar-SA"/>
        </w:rPr>
      </w:pPr>
      <w:r w:rsidRPr="00787EA7">
        <w:rPr>
          <w:rFonts w:eastAsia="Andale Sans UI"/>
          <w:kern w:val="24"/>
          <w:sz w:val="22"/>
          <w:szCs w:val="24"/>
          <w:lang w:eastAsia="ar-SA"/>
        </w:rPr>
        <w:t>КЛЮЧЕВЫЕ СЛОВА</w:t>
      </w:r>
      <w:r w:rsidRPr="00787EA7">
        <w:rPr>
          <w:rFonts w:eastAsia="Andale Sans UI"/>
          <w:b/>
          <w:kern w:val="24"/>
          <w:sz w:val="22"/>
          <w:szCs w:val="24"/>
          <w:lang w:eastAsia="ar-SA"/>
        </w:rPr>
        <w:t>:</w:t>
      </w:r>
      <w:r w:rsidRPr="00787EA7">
        <w:rPr>
          <w:rFonts w:eastAsia="Andale Sans UI"/>
          <w:kern w:val="24"/>
          <w:sz w:val="22"/>
          <w:szCs w:val="24"/>
          <w:lang w:eastAsia="ar-SA"/>
        </w:rPr>
        <w:t xml:space="preserve"> коммерческо-сбытовая деятельность, затраты, производство, рентабельность, безубыточность производства.</w:t>
      </w:r>
    </w:p>
    <w:p w:rsidR="00724342" w:rsidRPr="00C56F2E" w:rsidRDefault="00724342" w:rsidP="00724342">
      <w:pPr>
        <w:widowControl w:val="0"/>
        <w:suppressAutoHyphens/>
        <w:ind w:firstLine="397"/>
        <w:jc w:val="both"/>
        <w:rPr>
          <w:rFonts w:eastAsia="Andale Sans UI"/>
          <w:kern w:val="24"/>
          <w:sz w:val="22"/>
          <w:szCs w:val="24"/>
          <w:lang w:val="en-US" w:eastAsia="ar-SA"/>
        </w:rPr>
      </w:pPr>
      <w:r w:rsidRPr="00787EA7">
        <w:rPr>
          <w:rFonts w:eastAsia="Andale Sans UI"/>
          <w:kern w:val="24"/>
          <w:sz w:val="22"/>
          <w:szCs w:val="24"/>
          <w:lang w:val="en-US" w:eastAsia="ar-SA"/>
        </w:rPr>
        <w:t>KEYWORDS: commercial and sales activity, costs, production, profitability, break-even production.</w:t>
      </w:r>
    </w:p>
    <w:p w:rsidR="003F3918" w:rsidRPr="00C56F2E" w:rsidRDefault="003F3918" w:rsidP="00724342">
      <w:pPr>
        <w:widowControl w:val="0"/>
        <w:suppressAutoHyphens/>
        <w:ind w:firstLine="397"/>
        <w:jc w:val="both"/>
        <w:rPr>
          <w:rFonts w:eastAsia="Andale Sans UI"/>
          <w:kern w:val="24"/>
          <w:sz w:val="22"/>
          <w:szCs w:val="24"/>
          <w:lang w:val="en-US" w:eastAsia="ar-SA"/>
        </w:rPr>
      </w:pP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 xml:space="preserve">Цель деятельности любой коммерческой организации - стремление к получению максимальной прибыли, что становится возможным в результате осуществления продажи продукции, товаров, работ или услуг. Планирование деятельности организации, по нашему мнению, должно начинаться с планирования продаж, так как производить что-либо нужно только с учетом покупательского спроса. Рынок продукции (товаров, работ, услуг) в настоящее время настолько насыщен, что любое производство целесообразно начинать с планирования коммерческо-сбытовой деятельности [1, 2, 6]. Коммерческо-сбытовая деятельность производственной организации предусматривает выполнение организационно-коммерческих и технологических взаимосвязанных функций. Организационно-коммерческие функции связаны с установлением коммерческих взаимоотношений с участниками рынка, таким образом, она выступает как посредник между производителем и покупателем готовой продукции [3, 4, 5]. Изучим целесообразность планирования коммерческо-сбытовой деятельности организации на примере ООО «Нальчикский консервный завод». Консервный завод занимается переработкой и консервированием овощей, фруктов и др., производством фруктовых и овощных соков, выращиванием сельскохозяйственного сырья и оказанием прочих услуг. При осуществлении коммерческо-сбытовой деятельности в организации ООО «Нальчикский консервный завод» несет следующие затраты: расходы по сбыту продукции; комиссионные сборы, отчисления </w:t>
      </w:r>
      <w:r w:rsidRPr="00787EA7">
        <w:rPr>
          <w:rFonts w:eastAsia="Andale Sans UI"/>
          <w:kern w:val="1"/>
          <w:sz w:val="22"/>
          <w:szCs w:val="22"/>
          <w:lang w:eastAsia="ar-SA"/>
        </w:rPr>
        <w:lastRenderedPageBreak/>
        <w:t>посредникам, проведение маркетинговых исследований, расходы на рекламу и прочие. ООО «Нальчикский консервный завод» производит и реализует овощные консервы в стеклянных банках, основными из которых являются четыре вида консервов. Анализ конъюнктуры рынка показал, что доля продаж по видам продукции составляет: «горошек зеленый консервированный» - 12 %, «огурцы маринованные» - 31 %, «томаты маринованные» - 27 %, «консервированная капуста» - 30 %. В 2017 г. организация планирует получить прибыль 610250 руб. Составим структуру реализации продукции по видам консервов с целью достижения данной величины прибыли. Расчеты показали, что для получения запланированной прибыли организации необходимо реализовать консервированной продукции в следующем количестве: «горошек зеленый консервированный» - 25305 ед. (банок), «огурцы маринованные» - 65372 ед., «томаты маринованные» - 56937 ед., «консервированная капуста» - 63263 ед</w:t>
      </w:r>
      <w:r w:rsidRPr="00787EA7">
        <w:rPr>
          <w:rFonts w:eastAsia="Andale Sans UI"/>
          <w:i/>
          <w:kern w:val="1"/>
          <w:sz w:val="22"/>
          <w:szCs w:val="22"/>
          <w:lang w:eastAsia="ar-SA"/>
        </w:rPr>
        <w:t xml:space="preserve">. </w:t>
      </w:r>
      <w:r w:rsidRPr="00787EA7">
        <w:rPr>
          <w:rFonts w:eastAsia="Andale Sans UI"/>
          <w:kern w:val="1"/>
          <w:sz w:val="22"/>
          <w:szCs w:val="22"/>
          <w:lang w:eastAsia="ar-SA"/>
        </w:rPr>
        <w:t xml:space="preserve">Анализ рентабельности производимой продукции показал, что наиболее высока рентабельность консервов «Огурцы маринованные» (8,9 %), а консервов «Консервированная капуста» - наименьшая (2 %). Величина ожидаемой совокупной прибыли от продажи консервов составит 610,25 тыс. руб., по видам: «горошек зеленый консервированный» - 24,04 тыс. руб. прибыли, «огурцы маринованные» - 374,98 тыс. руб., «томаты маринованные» - 129,29 тыс. руб., «консервированная капуста» - 81,61 тыс. руб. Если из плана продаж исключим наименее рентабельный вид продукции - «Консервированная капуста», то сумма прибыли снизится с 610,25 до 400,14 тыс. руб. Кроме того, производственные мощности консервного комбината будут простаивать. Если вместо зеленого горошка будем выпускать консервированную капусту», то ООО «Нальчикский консервный завод» получит 677,33 тыс. руб. прибыли, т. е. изменение плана коммерческо-сбытовой деятельности оказывает положительное влияние на результат от продаж. На основании произведенных исследований рекомендуем ООО «Нальчикский консервный завод» проводить следующие мероприятия: сбор и систематизацию информации по каждому виду консервов относительно спроса на данный вид продукции на рынке; анализ экономической эффективности продукта и разработки новой программы маркетинга; принятие решения о запуске продукта в </w:t>
      </w:r>
      <w:r w:rsidRPr="00787EA7">
        <w:rPr>
          <w:rFonts w:eastAsia="Andale Sans UI"/>
          <w:kern w:val="1"/>
          <w:sz w:val="22"/>
          <w:szCs w:val="22"/>
          <w:lang w:eastAsia="ar-SA"/>
        </w:rPr>
        <w:lastRenderedPageBreak/>
        <w:t>производство на основе расчетов объема продаж, рентабельности продукции, степени удовлетворения спроса и предложения, стабильности связей с покупателями; производственных мощностей, квалификационного состава персонала; предполагаемых результатов по прибыли на расчетный период.</w:t>
      </w:r>
    </w:p>
    <w:p w:rsidR="003F3918" w:rsidRDefault="003F3918" w:rsidP="00724342">
      <w:pPr>
        <w:widowControl w:val="0"/>
        <w:suppressAutoHyphens/>
        <w:ind w:firstLine="397"/>
        <w:jc w:val="center"/>
        <w:rPr>
          <w:rFonts w:eastAsia="Andale Sans UI"/>
          <w:kern w:val="1"/>
          <w:sz w:val="22"/>
          <w:szCs w:val="22"/>
          <w:lang w:eastAsia="ar-SA"/>
        </w:rPr>
      </w:pPr>
    </w:p>
    <w:p w:rsidR="00724342" w:rsidRPr="00787EA7" w:rsidRDefault="00724342" w:rsidP="00724342">
      <w:pPr>
        <w:widowControl w:val="0"/>
        <w:suppressAutoHyphens/>
        <w:ind w:firstLine="397"/>
        <w:jc w:val="center"/>
        <w:rPr>
          <w:rFonts w:eastAsia="Andale Sans UI"/>
          <w:kern w:val="1"/>
          <w:sz w:val="22"/>
          <w:szCs w:val="22"/>
          <w:lang w:eastAsia="ar-SA"/>
        </w:rPr>
      </w:pPr>
      <w:r w:rsidRPr="00787EA7">
        <w:rPr>
          <w:rFonts w:eastAsia="Andale Sans UI"/>
          <w:kern w:val="1"/>
          <w:sz w:val="22"/>
          <w:szCs w:val="22"/>
          <w:lang w:eastAsia="ar-SA"/>
        </w:rPr>
        <w:t>Список литературы</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1. Бухгалтерский финансовый учет денежных средств, финансовых вложений, текущих обязательств и расчетов: Учеб. пособие / Кругляк З.И., Кузнецова Н.В. – Краснодар, 2017.</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2. Дурицина, И.В. Влияние базы распределения общехозяйственных расходов на себестоимость продукции / И.В. Дурицина, Н.В. Кузнецова // Актуальные проблемы развития хозяйствующих субъектов, территорий и систем регионального и муниципального управления. Курск, 2016. С. 96.</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3. Кузина, А.Ф. Управленческий учет снабженческо-заготовительной деятельности / Кузина А.Ф., Харсеева А.В. – Краснодар, 2016.</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4. Кузнецова, Н.В. Особенности применения методов таргет-костинг и кайзен-костинг в российской экономике / Н.В. Кузнецова, М.В.Олех // Стратегия социально-экономического развития общества: управленческие, правовые, хозяйственные аспекты. Курск, 2015. С. 170-173.</w:t>
      </w:r>
    </w:p>
    <w:p w:rsidR="00724342" w:rsidRPr="00787EA7" w:rsidRDefault="00724342" w:rsidP="00724342">
      <w:pPr>
        <w:widowControl w:val="0"/>
        <w:suppressAutoHyphens/>
        <w:ind w:firstLine="397"/>
        <w:jc w:val="both"/>
        <w:rPr>
          <w:rFonts w:eastAsia="Andale Sans UI"/>
          <w:kern w:val="1"/>
          <w:sz w:val="22"/>
          <w:szCs w:val="22"/>
          <w:lang w:eastAsia="ar-SA"/>
        </w:rPr>
      </w:pPr>
      <w:r w:rsidRPr="00787EA7">
        <w:rPr>
          <w:rFonts w:eastAsia="Andale Sans UI"/>
          <w:kern w:val="1"/>
          <w:sz w:val="22"/>
          <w:szCs w:val="22"/>
          <w:lang w:eastAsia="ar-SA"/>
        </w:rPr>
        <w:t>5. Сорокина, А.Е. Особенности оценки готовой продукции сельскохозяйственной организации в соотв. с межд. стандартами / А.Е. Сорокина, Н.В. Кузнецова // Соврем. экономическая наука: теория и практика: Сб. науч. ст. – Краснодар, 2016. С. 239-242.</w:t>
      </w:r>
    </w:p>
    <w:p w:rsidR="00724342" w:rsidRPr="00787EA7" w:rsidRDefault="00724342" w:rsidP="00724342">
      <w:pPr>
        <w:widowControl w:val="0"/>
        <w:suppressAutoHyphens/>
        <w:ind w:firstLine="397"/>
        <w:jc w:val="both"/>
        <w:rPr>
          <w:rFonts w:eastAsia="Andale Sans UI"/>
          <w:spacing w:val="-2"/>
          <w:kern w:val="1"/>
          <w:sz w:val="22"/>
          <w:szCs w:val="22"/>
          <w:lang w:val="en-US" w:eastAsia="ar-SA"/>
        </w:rPr>
      </w:pPr>
      <w:r w:rsidRPr="00787EA7">
        <w:rPr>
          <w:rFonts w:eastAsia="Andale Sans UI"/>
          <w:spacing w:val="-2"/>
          <w:kern w:val="1"/>
          <w:sz w:val="22"/>
          <w:szCs w:val="22"/>
          <w:lang w:eastAsia="ar-SA"/>
        </w:rPr>
        <w:t>6. Федосеев, А.А. Актуальные проблемы стратегического управленческого учета и стратегического анализа затрат / А.А. Федосеев, О.И.Федосеева // Новые реалии в инновационном развитии экономической мысли. Краснодар</w:t>
      </w:r>
      <w:r w:rsidRPr="00787EA7">
        <w:rPr>
          <w:rFonts w:eastAsia="Andale Sans UI"/>
          <w:spacing w:val="-2"/>
          <w:kern w:val="1"/>
          <w:sz w:val="22"/>
          <w:szCs w:val="22"/>
          <w:lang w:val="en-US" w:eastAsia="ar-SA"/>
        </w:rPr>
        <w:t xml:space="preserve">, 2017. </w:t>
      </w:r>
      <w:r w:rsidRPr="00787EA7">
        <w:rPr>
          <w:rFonts w:eastAsia="Andale Sans UI"/>
          <w:spacing w:val="-2"/>
          <w:kern w:val="1"/>
          <w:sz w:val="22"/>
          <w:szCs w:val="22"/>
          <w:lang w:eastAsia="ar-SA"/>
        </w:rPr>
        <w:t>С</w:t>
      </w:r>
      <w:r w:rsidRPr="00787EA7">
        <w:rPr>
          <w:rFonts w:eastAsia="Andale Sans UI"/>
          <w:spacing w:val="-2"/>
          <w:kern w:val="1"/>
          <w:sz w:val="22"/>
          <w:szCs w:val="22"/>
          <w:lang w:val="en-US" w:eastAsia="ar-SA"/>
        </w:rPr>
        <w:t>. 188.</w:t>
      </w:r>
    </w:p>
    <w:p w:rsidR="003953A0" w:rsidRPr="00C56F2E" w:rsidRDefault="003953A0" w:rsidP="00724342">
      <w:pPr>
        <w:widowControl w:val="0"/>
        <w:suppressAutoHyphens/>
        <w:rPr>
          <w:rFonts w:eastAsia="Andale Sans UI"/>
          <w:kern w:val="1"/>
          <w:sz w:val="24"/>
          <w:szCs w:val="24"/>
          <w:lang w:val="en-US" w:eastAsia="ar-SA"/>
        </w:rPr>
      </w:pPr>
    </w:p>
    <w:p w:rsidR="003F3918" w:rsidRPr="00C56F2E" w:rsidRDefault="003F3918" w:rsidP="00724342">
      <w:pPr>
        <w:widowControl w:val="0"/>
        <w:suppressAutoHyphens/>
        <w:rPr>
          <w:rFonts w:eastAsia="Andale Sans UI"/>
          <w:kern w:val="1"/>
          <w:sz w:val="24"/>
          <w:szCs w:val="24"/>
          <w:lang w:val="en-US" w:eastAsia="ar-SA"/>
        </w:rPr>
      </w:pPr>
    </w:p>
    <w:p w:rsidR="003F3918" w:rsidRPr="008D33CB" w:rsidRDefault="003F3918" w:rsidP="00724342">
      <w:pPr>
        <w:widowControl w:val="0"/>
        <w:suppressAutoHyphens/>
        <w:rPr>
          <w:rFonts w:eastAsia="Andale Sans UI"/>
          <w:kern w:val="1"/>
          <w:sz w:val="24"/>
          <w:szCs w:val="24"/>
          <w:lang w:val="en-US" w:eastAsia="ar-SA"/>
        </w:rPr>
      </w:pPr>
    </w:p>
    <w:p w:rsidR="001E2244" w:rsidRPr="008D33CB" w:rsidRDefault="001E2244" w:rsidP="00724342">
      <w:pPr>
        <w:widowControl w:val="0"/>
        <w:suppressAutoHyphens/>
        <w:rPr>
          <w:rFonts w:eastAsia="Andale Sans UI"/>
          <w:kern w:val="1"/>
          <w:sz w:val="24"/>
          <w:szCs w:val="24"/>
          <w:lang w:val="en-US" w:eastAsia="ar-SA"/>
        </w:rPr>
      </w:pPr>
    </w:p>
    <w:p w:rsidR="001E2244" w:rsidRPr="008D33CB" w:rsidRDefault="001E2244" w:rsidP="00724342">
      <w:pPr>
        <w:widowControl w:val="0"/>
        <w:suppressAutoHyphens/>
        <w:rPr>
          <w:rFonts w:eastAsia="Andale Sans UI"/>
          <w:kern w:val="1"/>
          <w:sz w:val="24"/>
          <w:szCs w:val="24"/>
          <w:lang w:val="en-US" w:eastAsia="ar-SA"/>
        </w:rPr>
      </w:pPr>
    </w:p>
    <w:p w:rsidR="001E2244" w:rsidRPr="008D33CB" w:rsidRDefault="001E2244" w:rsidP="00724342">
      <w:pPr>
        <w:widowControl w:val="0"/>
        <w:suppressAutoHyphens/>
        <w:rPr>
          <w:rFonts w:eastAsia="Andale Sans UI"/>
          <w:kern w:val="1"/>
          <w:sz w:val="24"/>
          <w:szCs w:val="24"/>
          <w:lang w:val="en-US" w:eastAsia="ar-SA"/>
        </w:rPr>
      </w:pPr>
    </w:p>
    <w:p w:rsidR="00724342" w:rsidRPr="00C56F2E" w:rsidRDefault="00724342" w:rsidP="00724342">
      <w:pPr>
        <w:widowControl w:val="0"/>
        <w:suppressAutoHyphens/>
        <w:rPr>
          <w:rFonts w:eastAsia="Andale Sans UI"/>
          <w:kern w:val="1"/>
          <w:sz w:val="22"/>
          <w:szCs w:val="22"/>
          <w:lang w:val="en-US" w:eastAsia="ar-SA"/>
        </w:rPr>
      </w:pPr>
      <w:r w:rsidRPr="003F3918">
        <w:rPr>
          <w:rFonts w:eastAsia="Andale Sans UI"/>
          <w:kern w:val="1"/>
          <w:sz w:val="22"/>
          <w:szCs w:val="22"/>
          <w:lang w:eastAsia="ar-SA"/>
        </w:rPr>
        <w:lastRenderedPageBreak/>
        <w:t>УДК</w:t>
      </w:r>
      <w:r w:rsidRPr="003F3918">
        <w:rPr>
          <w:rFonts w:eastAsia="Andale Sans UI"/>
          <w:kern w:val="1"/>
          <w:sz w:val="22"/>
          <w:szCs w:val="22"/>
          <w:lang w:val="en-US" w:eastAsia="ar-SA"/>
        </w:rPr>
        <w:t xml:space="preserve"> 657.1</w:t>
      </w:r>
    </w:p>
    <w:p w:rsidR="003F3918" w:rsidRPr="00C56F2E" w:rsidRDefault="003F3918" w:rsidP="00724342">
      <w:pPr>
        <w:widowControl w:val="0"/>
        <w:suppressAutoHyphens/>
        <w:rPr>
          <w:rFonts w:eastAsia="Andale Sans UI"/>
          <w:kern w:val="1"/>
          <w:sz w:val="22"/>
          <w:szCs w:val="22"/>
          <w:lang w:val="en-US" w:eastAsia="ar-SA"/>
        </w:rPr>
      </w:pPr>
    </w:p>
    <w:p w:rsidR="00724342" w:rsidRPr="00787EA7" w:rsidRDefault="00724342" w:rsidP="003F3918">
      <w:pPr>
        <w:widowControl w:val="0"/>
        <w:suppressAutoHyphens/>
        <w:jc w:val="center"/>
        <w:rPr>
          <w:rFonts w:eastAsia="Andale Sans UI"/>
          <w:b/>
          <w:kern w:val="1"/>
          <w:sz w:val="24"/>
          <w:szCs w:val="24"/>
          <w:lang w:val="en-US" w:eastAsia="ar-SA"/>
        </w:rPr>
      </w:pPr>
      <w:r w:rsidRPr="00787EA7">
        <w:rPr>
          <w:rFonts w:eastAsia="Andale Sans UI"/>
          <w:b/>
          <w:kern w:val="1"/>
          <w:sz w:val="24"/>
          <w:szCs w:val="24"/>
          <w:lang w:eastAsia="ar-SA"/>
        </w:rPr>
        <w:t>Специфика</w:t>
      </w:r>
      <w:r w:rsidRPr="00787EA7">
        <w:rPr>
          <w:rFonts w:eastAsia="Andale Sans UI"/>
          <w:b/>
          <w:kern w:val="1"/>
          <w:sz w:val="24"/>
          <w:szCs w:val="24"/>
          <w:lang w:val="en-US" w:eastAsia="ar-SA"/>
        </w:rPr>
        <w:t xml:space="preserve"> </w:t>
      </w:r>
      <w:r w:rsidRPr="00787EA7">
        <w:rPr>
          <w:rFonts w:eastAsia="Andale Sans UI"/>
          <w:b/>
          <w:kern w:val="1"/>
          <w:sz w:val="24"/>
          <w:szCs w:val="24"/>
          <w:lang w:eastAsia="ar-SA"/>
        </w:rPr>
        <w:t>формирования</w:t>
      </w:r>
      <w:r w:rsidRPr="00787EA7">
        <w:rPr>
          <w:rFonts w:eastAsia="Andale Sans UI"/>
          <w:b/>
          <w:kern w:val="1"/>
          <w:sz w:val="24"/>
          <w:szCs w:val="24"/>
          <w:lang w:val="en-US" w:eastAsia="ar-SA"/>
        </w:rPr>
        <w:t xml:space="preserve"> </w:t>
      </w:r>
      <w:r w:rsidRPr="00787EA7">
        <w:rPr>
          <w:rFonts w:eastAsia="Andale Sans UI"/>
          <w:b/>
          <w:kern w:val="1"/>
          <w:sz w:val="24"/>
          <w:szCs w:val="24"/>
          <w:lang w:eastAsia="ar-SA"/>
        </w:rPr>
        <w:t>бухгалтерской</w:t>
      </w:r>
      <w:r w:rsidRPr="00787EA7">
        <w:rPr>
          <w:rFonts w:eastAsia="Andale Sans UI"/>
          <w:b/>
          <w:kern w:val="1"/>
          <w:sz w:val="24"/>
          <w:szCs w:val="24"/>
          <w:lang w:val="en-US" w:eastAsia="ar-SA"/>
        </w:rPr>
        <w:t xml:space="preserve"> </w:t>
      </w:r>
      <w:r w:rsidRPr="00787EA7">
        <w:rPr>
          <w:rFonts w:eastAsia="Andale Sans UI"/>
          <w:b/>
          <w:kern w:val="1"/>
          <w:sz w:val="24"/>
          <w:szCs w:val="24"/>
          <w:lang w:eastAsia="ar-SA"/>
        </w:rPr>
        <w:t>службы</w:t>
      </w:r>
    </w:p>
    <w:p w:rsidR="00724342" w:rsidRPr="00787EA7" w:rsidRDefault="00724342" w:rsidP="003F3918">
      <w:pPr>
        <w:widowControl w:val="0"/>
        <w:suppressAutoHyphens/>
        <w:jc w:val="center"/>
        <w:rPr>
          <w:rFonts w:eastAsia="Andale Sans UI"/>
          <w:b/>
          <w:kern w:val="1"/>
          <w:sz w:val="24"/>
          <w:szCs w:val="24"/>
          <w:lang w:val="en-US" w:eastAsia="ar-SA"/>
        </w:rPr>
      </w:pPr>
      <w:r w:rsidRPr="00787EA7">
        <w:rPr>
          <w:rFonts w:eastAsia="Andale Sans UI"/>
          <w:b/>
          <w:kern w:val="1"/>
          <w:sz w:val="24"/>
          <w:szCs w:val="24"/>
          <w:lang w:val="en-US" w:eastAsia="ar-SA"/>
        </w:rPr>
        <w:t>Specificity of formation of the accounting department</w:t>
      </w:r>
    </w:p>
    <w:p w:rsidR="00724342" w:rsidRPr="00787EA7" w:rsidRDefault="00724342" w:rsidP="00724342">
      <w:pPr>
        <w:widowControl w:val="0"/>
        <w:suppressAutoHyphens/>
        <w:ind w:firstLine="425"/>
        <w:jc w:val="right"/>
        <w:rPr>
          <w:rFonts w:eastAsia="Andale Sans UI"/>
          <w:kern w:val="1"/>
          <w:sz w:val="24"/>
          <w:szCs w:val="24"/>
          <w:lang w:val="en-US" w:eastAsia="ar-SA"/>
        </w:rPr>
      </w:pPr>
    </w:p>
    <w:p w:rsidR="00724342" w:rsidRPr="003F3918" w:rsidRDefault="00724342" w:rsidP="00724342">
      <w:pPr>
        <w:widowControl w:val="0"/>
        <w:suppressAutoHyphens/>
        <w:ind w:firstLine="425"/>
        <w:jc w:val="right"/>
        <w:rPr>
          <w:rFonts w:eastAsia="Andale Sans UI"/>
          <w:kern w:val="1"/>
          <w:sz w:val="22"/>
          <w:szCs w:val="22"/>
          <w:lang w:eastAsia="ar-SA"/>
        </w:rPr>
      </w:pPr>
      <w:r w:rsidRPr="003F3918">
        <w:rPr>
          <w:rFonts w:eastAsia="Andale Sans UI"/>
          <w:kern w:val="1"/>
          <w:sz w:val="22"/>
          <w:szCs w:val="22"/>
          <w:lang w:eastAsia="ar-SA"/>
        </w:rPr>
        <w:t>Шуг</w:t>
      </w:r>
      <w:r w:rsidR="003F3918">
        <w:rPr>
          <w:rFonts w:eastAsia="Andale Sans UI"/>
          <w:kern w:val="1"/>
          <w:sz w:val="22"/>
          <w:szCs w:val="22"/>
          <w:lang w:eastAsia="ar-SA"/>
        </w:rPr>
        <w:t>ай Е. В.,</w:t>
      </w:r>
    </w:p>
    <w:p w:rsidR="00724342" w:rsidRPr="003F3918" w:rsidRDefault="00724342" w:rsidP="00724342">
      <w:pPr>
        <w:widowControl w:val="0"/>
        <w:suppressAutoHyphens/>
        <w:ind w:firstLine="425"/>
        <w:jc w:val="right"/>
        <w:rPr>
          <w:rFonts w:eastAsia="Andale Sans UI"/>
          <w:kern w:val="1"/>
          <w:sz w:val="22"/>
          <w:szCs w:val="22"/>
          <w:lang w:eastAsia="ar-SA"/>
        </w:rPr>
      </w:pPr>
      <w:r w:rsidRPr="003F3918">
        <w:rPr>
          <w:rFonts w:eastAsia="Andale Sans UI"/>
          <w:kern w:val="1"/>
          <w:sz w:val="22"/>
          <w:szCs w:val="22"/>
          <w:lang w:eastAsia="ar-SA"/>
        </w:rPr>
        <w:t>студентка 3-го курса учётно-финансового факультета</w:t>
      </w:r>
    </w:p>
    <w:p w:rsidR="00724342" w:rsidRPr="003F3918" w:rsidRDefault="00724342" w:rsidP="00724342">
      <w:pPr>
        <w:widowControl w:val="0"/>
        <w:suppressAutoHyphens/>
        <w:ind w:firstLine="425"/>
        <w:jc w:val="right"/>
        <w:rPr>
          <w:rFonts w:eastAsia="Andale Sans UI"/>
          <w:kern w:val="1"/>
          <w:sz w:val="22"/>
          <w:szCs w:val="22"/>
          <w:lang w:eastAsia="ar-SA"/>
        </w:rPr>
      </w:pPr>
      <w:r w:rsidRPr="003F3918">
        <w:rPr>
          <w:rFonts w:eastAsia="Andale Sans UI"/>
          <w:kern w:val="1"/>
          <w:sz w:val="22"/>
          <w:szCs w:val="22"/>
          <w:lang w:eastAsia="ar-SA"/>
        </w:rPr>
        <w:t>Коровина М. А.,</w:t>
      </w:r>
    </w:p>
    <w:p w:rsidR="00724342" w:rsidRPr="003F3918" w:rsidRDefault="00724342" w:rsidP="00724342">
      <w:pPr>
        <w:widowControl w:val="0"/>
        <w:suppressAutoHyphens/>
        <w:ind w:firstLine="425"/>
        <w:jc w:val="right"/>
        <w:rPr>
          <w:rFonts w:eastAsia="Andale Sans UI"/>
          <w:b/>
          <w:kern w:val="1"/>
          <w:sz w:val="22"/>
          <w:szCs w:val="22"/>
          <w:lang w:eastAsia="ar-SA"/>
        </w:rPr>
      </w:pPr>
      <w:r w:rsidRPr="003F3918">
        <w:rPr>
          <w:rFonts w:eastAsia="Andale Sans UI"/>
          <w:kern w:val="1"/>
          <w:sz w:val="22"/>
          <w:szCs w:val="22"/>
          <w:lang w:eastAsia="ar-SA"/>
        </w:rPr>
        <w:t>канд. экон. наук, доцент</w:t>
      </w:r>
    </w:p>
    <w:p w:rsidR="00724342" w:rsidRPr="003F3918" w:rsidRDefault="00724342" w:rsidP="00724342">
      <w:pPr>
        <w:widowControl w:val="0"/>
        <w:suppressAutoHyphens/>
        <w:ind w:firstLine="425"/>
        <w:jc w:val="right"/>
        <w:rPr>
          <w:rFonts w:eastAsia="Andale Sans UI"/>
          <w:kern w:val="1"/>
          <w:sz w:val="22"/>
          <w:szCs w:val="22"/>
          <w:lang w:eastAsia="ar-SA"/>
        </w:rPr>
      </w:pPr>
      <w:r w:rsidRPr="003F3918">
        <w:rPr>
          <w:rFonts w:eastAsia="Andale Sans UI"/>
          <w:kern w:val="1"/>
          <w:sz w:val="22"/>
          <w:szCs w:val="22"/>
          <w:lang w:eastAsia="ar-SA"/>
        </w:rPr>
        <w:t>Кубанский государственный аграрный</w:t>
      </w:r>
    </w:p>
    <w:p w:rsidR="00724342" w:rsidRPr="003F3918" w:rsidRDefault="00724342" w:rsidP="00724342">
      <w:pPr>
        <w:widowControl w:val="0"/>
        <w:suppressAutoHyphens/>
        <w:ind w:firstLine="425"/>
        <w:jc w:val="right"/>
        <w:rPr>
          <w:rFonts w:eastAsia="Andale Sans UI"/>
          <w:kern w:val="1"/>
          <w:sz w:val="22"/>
          <w:szCs w:val="22"/>
          <w:lang w:eastAsia="ar-SA"/>
        </w:rPr>
      </w:pPr>
      <w:r w:rsidRPr="003F3918">
        <w:rPr>
          <w:rFonts w:eastAsia="Andale Sans UI"/>
          <w:kern w:val="1"/>
          <w:sz w:val="22"/>
          <w:szCs w:val="22"/>
          <w:lang w:eastAsia="ar-SA"/>
        </w:rPr>
        <w:t xml:space="preserve"> университет имени И.</w:t>
      </w:r>
      <w:r w:rsidR="003F3918">
        <w:rPr>
          <w:rFonts w:eastAsia="Andale Sans UI"/>
          <w:kern w:val="1"/>
          <w:sz w:val="22"/>
          <w:szCs w:val="22"/>
          <w:lang w:eastAsia="ar-SA"/>
        </w:rPr>
        <w:t xml:space="preserve"> </w:t>
      </w:r>
      <w:r w:rsidRPr="003F3918">
        <w:rPr>
          <w:rFonts w:eastAsia="Andale Sans UI"/>
          <w:kern w:val="1"/>
          <w:sz w:val="22"/>
          <w:szCs w:val="22"/>
          <w:lang w:eastAsia="ar-SA"/>
        </w:rPr>
        <w:t>Т Трубилина</w:t>
      </w:r>
    </w:p>
    <w:p w:rsidR="00724342" w:rsidRPr="00787EA7" w:rsidRDefault="00724342" w:rsidP="00724342">
      <w:pPr>
        <w:widowControl w:val="0"/>
        <w:suppressAutoHyphens/>
        <w:ind w:firstLine="425"/>
        <w:jc w:val="right"/>
        <w:rPr>
          <w:rFonts w:eastAsia="Andale Sans UI"/>
          <w:i/>
          <w:kern w:val="1"/>
          <w:sz w:val="24"/>
          <w:szCs w:val="24"/>
          <w:lang w:eastAsia="ar-SA"/>
        </w:rPr>
      </w:pPr>
    </w:p>
    <w:p w:rsidR="00724342" w:rsidRPr="00AB2A07" w:rsidRDefault="00724342" w:rsidP="00724342">
      <w:pPr>
        <w:widowControl w:val="0"/>
        <w:tabs>
          <w:tab w:val="left" w:pos="0"/>
        </w:tabs>
        <w:suppressAutoHyphens/>
        <w:ind w:firstLine="425"/>
        <w:jc w:val="both"/>
        <w:rPr>
          <w:rFonts w:eastAsia="Andale Sans UI"/>
          <w:kern w:val="1"/>
          <w:sz w:val="22"/>
          <w:szCs w:val="22"/>
          <w:lang w:val="en-US" w:eastAsia="ar-SA"/>
        </w:rPr>
      </w:pPr>
      <w:r w:rsidRPr="00787EA7">
        <w:rPr>
          <w:rFonts w:eastAsia="Andale Sans UI"/>
          <w:kern w:val="1"/>
          <w:sz w:val="22"/>
          <w:szCs w:val="22"/>
          <w:lang w:eastAsia="ar-SA"/>
        </w:rPr>
        <w:t>АННОТАЦИЯ: В статье раскрыты особенности организации бухгалтерской службы. Описаны</w:t>
      </w:r>
      <w:r w:rsidRPr="00787EA7">
        <w:rPr>
          <w:rFonts w:eastAsia="Andale Sans UI"/>
          <w:kern w:val="1"/>
          <w:sz w:val="22"/>
          <w:szCs w:val="22"/>
          <w:lang w:val="en-US" w:eastAsia="ar-SA"/>
        </w:rPr>
        <w:t xml:space="preserve"> </w:t>
      </w:r>
      <w:r w:rsidRPr="00787EA7">
        <w:rPr>
          <w:rFonts w:eastAsia="Andale Sans UI"/>
          <w:kern w:val="1"/>
          <w:sz w:val="22"/>
          <w:szCs w:val="22"/>
          <w:lang w:eastAsia="ar-SA"/>
        </w:rPr>
        <w:t>требования</w:t>
      </w:r>
      <w:r w:rsidRPr="00787EA7">
        <w:rPr>
          <w:rFonts w:eastAsia="Andale Sans UI"/>
          <w:kern w:val="1"/>
          <w:sz w:val="22"/>
          <w:szCs w:val="22"/>
          <w:lang w:val="en-US" w:eastAsia="ar-SA"/>
        </w:rPr>
        <w:t xml:space="preserve">, </w:t>
      </w:r>
      <w:r w:rsidRPr="00787EA7">
        <w:rPr>
          <w:rFonts w:eastAsia="Andale Sans UI"/>
          <w:kern w:val="1"/>
          <w:sz w:val="22"/>
          <w:szCs w:val="22"/>
          <w:lang w:eastAsia="ar-SA"/>
        </w:rPr>
        <w:t>предъявляемые</w:t>
      </w:r>
      <w:r w:rsidRPr="00787EA7">
        <w:rPr>
          <w:rFonts w:eastAsia="Andale Sans UI"/>
          <w:kern w:val="1"/>
          <w:sz w:val="22"/>
          <w:szCs w:val="22"/>
          <w:lang w:val="en-US" w:eastAsia="ar-SA"/>
        </w:rPr>
        <w:t xml:space="preserve"> </w:t>
      </w:r>
      <w:r w:rsidRPr="00787EA7">
        <w:rPr>
          <w:rFonts w:eastAsia="Andale Sans UI"/>
          <w:kern w:val="1"/>
          <w:sz w:val="22"/>
          <w:szCs w:val="22"/>
          <w:lang w:eastAsia="ar-SA"/>
        </w:rPr>
        <w:t>к</w:t>
      </w:r>
      <w:r w:rsidRPr="00787EA7">
        <w:rPr>
          <w:rFonts w:eastAsia="Andale Sans UI"/>
          <w:kern w:val="1"/>
          <w:sz w:val="22"/>
          <w:szCs w:val="22"/>
          <w:lang w:val="en-US" w:eastAsia="ar-SA"/>
        </w:rPr>
        <w:t xml:space="preserve"> </w:t>
      </w:r>
      <w:r w:rsidRPr="00787EA7">
        <w:rPr>
          <w:rFonts w:eastAsia="Andale Sans UI"/>
          <w:kern w:val="1"/>
          <w:sz w:val="22"/>
          <w:szCs w:val="22"/>
          <w:lang w:eastAsia="ar-SA"/>
        </w:rPr>
        <w:t>её</w:t>
      </w:r>
      <w:r w:rsidRPr="00787EA7">
        <w:rPr>
          <w:rFonts w:eastAsia="Andale Sans UI"/>
          <w:kern w:val="1"/>
          <w:sz w:val="22"/>
          <w:szCs w:val="22"/>
          <w:lang w:val="en-US" w:eastAsia="ar-SA"/>
        </w:rPr>
        <w:t xml:space="preserve"> </w:t>
      </w:r>
      <w:r w:rsidRPr="00787EA7">
        <w:rPr>
          <w:rFonts w:eastAsia="Andale Sans UI"/>
          <w:kern w:val="1"/>
          <w:sz w:val="22"/>
          <w:szCs w:val="22"/>
          <w:lang w:eastAsia="ar-SA"/>
        </w:rPr>
        <w:t>работе</w:t>
      </w:r>
      <w:r w:rsidRPr="00787EA7">
        <w:rPr>
          <w:rFonts w:eastAsia="Andale Sans UI"/>
          <w:kern w:val="1"/>
          <w:sz w:val="22"/>
          <w:szCs w:val="22"/>
          <w:lang w:val="en-US" w:eastAsia="ar-SA"/>
        </w:rPr>
        <w:t xml:space="preserve">. </w:t>
      </w:r>
    </w:p>
    <w:p w:rsidR="00724342" w:rsidRPr="00AB2A07" w:rsidRDefault="00724342" w:rsidP="00724342">
      <w:pPr>
        <w:widowControl w:val="0"/>
        <w:tabs>
          <w:tab w:val="left" w:pos="0"/>
        </w:tabs>
        <w:suppressAutoHyphens/>
        <w:ind w:firstLine="425"/>
        <w:jc w:val="both"/>
        <w:rPr>
          <w:rFonts w:eastAsia="Andale Sans UI"/>
          <w:kern w:val="1"/>
          <w:sz w:val="22"/>
          <w:szCs w:val="22"/>
          <w:lang w:val="en-US" w:eastAsia="ar-SA"/>
        </w:rPr>
      </w:pPr>
      <w:r w:rsidRPr="00AB2A07">
        <w:rPr>
          <w:rFonts w:eastAsia="Andale Sans UI"/>
          <w:kern w:val="1"/>
          <w:sz w:val="22"/>
          <w:szCs w:val="22"/>
          <w:lang w:val="en-US" w:eastAsia="ar-SA"/>
        </w:rPr>
        <w:t xml:space="preserve">ABSTRACT: </w:t>
      </w:r>
      <w:r w:rsidRPr="00AB2A07">
        <w:rPr>
          <w:rFonts w:eastAsia="Andale Sans UI"/>
          <w:kern w:val="1"/>
          <w:sz w:val="22"/>
          <w:szCs w:val="22"/>
          <w:shd w:val="clear" w:color="auto" w:fill="FFFFFF"/>
          <w:lang w:val="en-US" w:eastAsia="ar-SA"/>
        </w:rPr>
        <w:t>In article features of the organization of accounting service are revealed. Requirements imposed to its work are described.</w:t>
      </w:r>
    </w:p>
    <w:p w:rsidR="00724342" w:rsidRPr="00787EA7" w:rsidRDefault="00724342" w:rsidP="00724342">
      <w:pPr>
        <w:widowControl w:val="0"/>
        <w:suppressAutoHyphens/>
        <w:ind w:firstLine="425"/>
        <w:jc w:val="both"/>
        <w:rPr>
          <w:rFonts w:eastAsia="Andale Sans UI"/>
          <w:kern w:val="1"/>
          <w:sz w:val="22"/>
          <w:szCs w:val="22"/>
          <w:lang w:val="en-US" w:eastAsia="ar-SA"/>
        </w:rPr>
      </w:pPr>
      <w:r w:rsidRPr="00787EA7">
        <w:rPr>
          <w:rFonts w:eastAsia="Andale Sans UI"/>
          <w:kern w:val="1"/>
          <w:sz w:val="22"/>
          <w:szCs w:val="22"/>
          <w:lang w:eastAsia="ar-SA"/>
        </w:rPr>
        <w:t>КЛЮЧЕВЫЕ</w:t>
      </w:r>
      <w:r w:rsidRPr="00787EA7">
        <w:rPr>
          <w:rFonts w:eastAsia="Andale Sans UI"/>
          <w:kern w:val="1"/>
          <w:sz w:val="22"/>
          <w:szCs w:val="22"/>
          <w:lang w:val="en-US" w:eastAsia="ar-SA"/>
        </w:rPr>
        <w:t xml:space="preserve"> </w:t>
      </w:r>
      <w:r w:rsidRPr="00787EA7">
        <w:rPr>
          <w:rFonts w:eastAsia="Andale Sans UI"/>
          <w:kern w:val="1"/>
          <w:sz w:val="22"/>
          <w:szCs w:val="22"/>
          <w:lang w:eastAsia="ar-SA"/>
        </w:rPr>
        <w:t>СЛОВА</w:t>
      </w:r>
      <w:r w:rsidRPr="00787EA7">
        <w:rPr>
          <w:rFonts w:eastAsia="Andale Sans UI"/>
          <w:kern w:val="1"/>
          <w:sz w:val="22"/>
          <w:szCs w:val="22"/>
          <w:lang w:val="en-US" w:eastAsia="ar-SA"/>
        </w:rPr>
        <w:t xml:space="preserve">: </w:t>
      </w:r>
      <w:r w:rsidRPr="00787EA7">
        <w:rPr>
          <w:rFonts w:eastAsia="Andale Sans UI"/>
          <w:kern w:val="1"/>
          <w:sz w:val="22"/>
          <w:szCs w:val="22"/>
          <w:lang w:eastAsia="ar-SA"/>
        </w:rPr>
        <w:t>бухгалтерская</w:t>
      </w:r>
      <w:r w:rsidRPr="00787EA7">
        <w:rPr>
          <w:rFonts w:eastAsia="Andale Sans UI"/>
          <w:kern w:val="1"/>
          <w:sz w:val="22"/>
          <w:szCs w:val="22"/>
          <w:lang w:val="en-US" w:eastAsia="ar-SA"/>
        </w:rPr>
        <w:t xml:space="preserve"> </w:t>
      </w:r>
      <w:r w:rsidRPr="00787EA7">
        <w:rPr>
          <w:rFonts w:eastAsia="Andale Sans UI"/>
          <w:kern w:val="1"/>
          <w:sz w:val="22"/>
          <w:szCs w:val="22"/>
          <w:lang w:eastAsia="ar-SA"/>
        </w:rPr>
        <w:t>служба</w:t>
      </w:r>
      <w:r w:rsidRPr="00787EA7">
        <w:rPr>
          <w:rFonts w:eastAsia="Andale Sans UI"/>
          <w:kern w:val="1"/>
          <w:sz w:val="22"/>
          <w:szCs w:val="22"/>
          <w:lang w:val="en-US" w:eastAsia="ar-SA"/>
        </w:rPr>
        <w:t xml:space="preserve">, </w:t>
      </w:r>
      <w:r w:rsidRPr="00787EA7">
        <w:rPr>
          <w:rFonts w:eastAsia="Andale Sans UI"/>
          <w:kern w:val="1"/>
          <w:sz w:val="22"/>
          <w:szCs w:val="22"/>
          <w:lang w:eastAsia="ar-SA"/>
        </w:rPr>
        <w:t>обязанности</w:t>
      </w:r>
      <w:r w:rsidRPr="00787EA7">
        <w:rPr>
          <w:rFonts w:eastAsia="Andale Sans UI"/>
          <w:kern w:val="1"/>
          <w:sz w:val="22"/>
          <w:szCs w:val="22"/>
          <w:lang w:val="en-US" w:eastAsia="ar-SA"/>
        </w:rPr>
        <w:t xml:space="preserve">, </w:t>
      </w:r>
      <w:r w:rsidRPr="00787EA7">
        <w:rPr>
          <w:rFonts w:eastAsia="Andale Sans UI"/>
          <w:kern w:val="1"/>
          <w:sz w:val="22"/>
          <w:szCs w:val="22"/>
          <w:lang w:eastAsia="ar-SA"/>
        </w:rPr>
        <w:t>требования</w:t>
      </w:r>
      <w:r w:rsidRPr="00787EA7">
        <w:rPr>
          <w:rFonts w:eastAsia="Andale Sans UI"/>
          <w:kern w:val="1"/>
          <w:sz w:val="22"/>
          <w:szCs w:val="22"/>
          <w:lang w:val="en-US" w:eastAsia="ar-SA"/>
        </w:rPr>
        <w:t>.</w:t>
      </w:r>
    </w:p>
    <w:p w:rsidR="00724342" w:rsidRPr="00787EA7" w:rsidRDefault="00724342" w:rsidP="00724342">
      <w:pPr>
        <w:widowControl w:val="0"/>
        <w:suppressAutoHyphens/>
        <w:ind w:firstLine="425"/>
        <w:jc w:val="both"/>
        <w:rPr>
          <w:rFonts w:eastAsia="Andale Sans UI"/>
          <w:kern w:val="1"/>
          <w:sz w:val="22"/>
          <w:szCs w:val="22"/>
          <w:lang w:val="en-US" w:eastAsia="ar-SA"/>
        </w:rPr>
      </w:pPr>
      <w:r w:rsidRPr="00787EA7">
        <w:rPr>
          <w:rFonts w:eastAsia="Andale Sans UI"/>
          <w:kern w:val="1"/>
          <w:sz w:val="22"/>
          <w:szCs w:val="22"/>
          <w:lang w:val="en-US" w:eastAsia="ar-SA"/>
        </w:rPr>
        <w:t>KEYWORDS: accounting service, duties, requirements, goals.</w:t>
      </w:r>
    </w:p>
    <w:p w:rsidR="00724342" w:rsidRPr="00787EA7" w:rsidRDefault="00724342" w:rsidP="00724342">
      <w:pPr>
        <w:widowControl w:val="0"/>
        <w:suppressAutoHyphens/>
        <w:ind w:firstLine="425"/>
        <w:jc w:val="both"/>
        <w:rPr>
          <w:rFonts w:eastAsia="Andale Sans UI"/>
          <w:kern w:val="1"/>
          <w:sz w:val="22"/>
          <w:szCs w:val="22"/>
          <w:lang w:val="en-US" w:eastAsia="ar-SA"/>
        </w:rPr>
      </w:pP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shd w:val="clear" w:color="auto" w:fill="FFFFFF"/>
          <w:lang w:eastAsia="ar-SA"/>
        </w:rPr>
        <w:t xml:space="preserve">В рыночных условиях хозяйствования </w:t>
      </w:r>
      <w:r w:rsidRPr="00787EA7">
        <w:rPr>
          <w:rFonts w:eastAsia="Andale Sans UI"/>
          <w:color w:val="000000" w:themeColor="text1"/>
          <w:kern w:val="1"/>
          <w:sz w:val="22"/>
          <w:szCs w:val="22"/>
          <w:lang w:eastAsia="ar-SA"/>
        </w:rPr>
        <w:t>значение грамотного создания бухгалтерской службы является актуальной темой для большинства организаций и предприятий, стремящихся к рациональному использованию рабочего времени и получению максимальной экономической выгоды. Это объясняется тем, что основным</w:t>
      </w:r>
      <w:r w:rsidRPr="00787EA7">
        <w:rPr>
          <w:rFonts w:eastAsia="Andale Sans UI"/>
          <w:color w:val="000000" w:themeColor="text1"/>
          <w:kern w:val="1"/>
          <w:sz w:val="22"/>
          <w:szCs w:val="22"/>
          <w:shd w:val="clear" w:color="auto" w:fill="FFFFFF"/>
          <w:lang w:eastAsia="ar-SA"/>
        </w:rPr>
        <w:t xml:space="preserve"> условием результативного управления производственным предприятием признается полнота, достоверность и оперативность информации. Следовательно, </w:t>
      </w:r>
      <w:r w:rsidRPr="00787EA7">
        <w:rPr>
          <w:rFonts w:eastAsia="Andale Sans UI"/>
          <w:color w:val="000000" w:themeColor="text1"/>
          <w:kern w:val="1"/>
          <w:sz w:val="22"/>
          <w:szCs w:val="22"/>
          <w:lang w:eastAsia="ar-SA"/>
        </w:rPr>
        <w:t>правильность ведения бухгалтерского учета находится в прямой зависимости от обоснованности определения структуры бухгалтерии.</w:t>
      </w:r>
    </w:p>
    <w:p w:rsidR="00724342" w:rsidRPr="00787EA7" w:rsidRDefault="00724342" w:rsidP="00724342">
      <w:pPr>
        <w:widowControl w:val="0"/>
        <w:suppressAutoHyphens/>
        <w:ind w:firstLine="425"/>
        <w:jc w:val="both"/>
        <w:rPr>
          <w:rFonts w:eastAsia="Andale Sans UI"/>
          <w:color w:val="000000" w:themeColor="text1"/>
          <w:kern w:val="1"/>
          <w:sz w:val="22"/>
          <w:szCs w:val="22"/>
          <w:shd w:val="clear" w:color="auto" w:fill="FFFFFF"/>
          <w:lang w:eastAsia="ar-SA"/>
        </w:rPr>
      </w:pPr>
      <w:r w:rsidRPr="00787EA7">
        <w:rPr>
          <w:rFonts w:eastAsia="Andale Sans UI"/>
          <w:color w:val="000000" w:themeColor="text1"/>
          <w:kern w:val="1"/>
          <w:sz w:val="22"/>
          <w:szCs w:val="22"/>
          <w:lang w:eastAsia="ar-SA"/>
        </w:rPr>
        <w:t xml:space="preserve"> </w:t>
      </w:r>
      <w:r w:rsidRPr="00787EA7">
        <w:rPr>
          <w:rFonts w:eastAsia="Andale Sans UI"/>
          <w:color w:val="000000" w:themeColor="text1"/>
          <w:kern w:val="1"/>
          <w:sz w:val="22"/>
          <w:szCs w:val="22"/>
          <w:shd w:val="clear" w:color="auto" w:fill="FFFFFF"/>
          <w:lang w:eastAsia="ar-SA"/>
        </w:rPr>
        <w:t xml:space="preserve">Назначением бухгалтерского дела признается функционирование бухгалтерской службы по сбору, регистрации, анализу информации обо всех хозяйственных операциях на предприятии в специально предназначенных для этого бухгалтерских документах, а также организация их движения, учета и хранения. Финансово-бухгалтерский отдел представляется </w:t>
      </w:r>
      <w:r w:rsidRPr="00787EA7">
        <w:rPr>
          <w:rFonts w:eastAsia="Andale Sans UI"/>
          <w:color w:val="000000" w:themeColor="text1"/>
          <w:kern w:val="1"/>
          <w:sz w:val="22"/>
          <w:szCs w:val="22"/>
          <w:shd w:val="clear" w:color="auto" w:fill="FFFFFF"/>
          <w:lang w:eastAsia="ar-SA"/>
        </w:rPr>
        <w:lastRenderedPageBreak/>
        <w:t>составной частью сплоченного механизма управления текущей, финансовой и инвестиционной деятельностью.</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Правовой статус бухгалтерской службы регулируется действующим законодательством, нормативными документами, организационно-правовой формой и общей структурой управления организацией [2].</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bCs/>
          <w:iCs/>
          <w:color w:val="000000" w:themeColor="text1"/>
          <w:kern w:val="1"/>
          <w:sz w:val="22"/>
          <w:szCs w:val="22"/>
          <w:lang w:eastAsia="ar-SA"/>
        </w:rPr>
        <w:t>В соответствии с Федеральным законом № 402-ФЗ ответственность за организацию бухгалтерского учета в организациях, а также за соблюдение действующего законодательства при выполнении фактов хозяйственной жизни несет ее руководитель. Если директор не осуществляет самостоятельно бухгалтерский учет, то в этом случае он обязан возложить ведение учетной деятельности на главного бухгалтера и создать необходимые условия для отдела [1].</w:t>
      </w:r>
    </w:p>
    <w:p w:rsidR="00724342" w:rsidRPr="00787EA7" w:rsidRDefault="00724342" w:rsidP="00724342">
      <w:pPr>
        <w:shd w:val="clear" w:color="auto" w:fill="FFFFFF"/>
        <w:ind w:firstLine="425"/>
        <w:jc w:val="both"/>
        <w:rPr>
          <w:color w:val="000000" w:themeColor="text1"/>
          <w:sz w:val="22"/>
          <w:szCs w:val="22"/>
        </w:rPr>
      </w:pPr>
      <w:r w:rsidRPr="00787EA7">
        <w:rPr>
          <w:color w:val="000000" w:themeColor="text1"/>
          <w:sz w:val="22"/>
          <w:szCs w:val="22"/>
        </w:rPr>
        <w:t>В обязанности бухгалтерского отдела включают:</w:t>
      </w:r>
    </w:p>
    <w:p w:rsidR="00724342" w:rsidRPr="00787EA7" w:rsidRDefault="00724342" w:rsidP="00724342">
      <w:pPr>
        <w:shd w:val="clear" w:color="auto" w:fill="FFFFFF"/>
        <w:ind w:firstLine="425"/>
        <w:jc w:val="both"/>
        <w:rPr>
          <w:color w:val="000000" w:themeColor="text1"/>
          <w:sz w:val="22"/>
          <w:szCs w:val="22"/>
        </w:rPr>
      </w:pPr>
      <w:r w:rsidRPr="00787EA7">
        <w:rPr>
          <w:color w:val="000000" w:themeColor="text1"/>
          <w:sz w:val="22"/>
          <w:szCs w:val="22"/>
        </w:rPr>
        <w:t>- соблюдение сохранности денежных средств в момент их п</w:t>
      </w:r>
      <w:r w:rsidRPr="00787EA7">
        <w:rPr>
          <w:color w:val="000000" w:themeColor="text1"/>
          <w:sz w:val="22"/>
          <w:szCs w:val="22"/>
        </w:rPr>
        <w:t>о</w:t>
      </w:r>
      <w:r w:rsidRPr="00787EA7">
        <w:rPr>
          <w:color w:val="000000" w:themeColor="text1"/>
          <w:sz w:val="22"/>
          <w:szCs w:val="22"/>
        </w:rPr>
        <w:t>лучения, хранения и использования;</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обеспечение сохранности материальных ценностей в местах хранения и эксплуатации;</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проведение расчетов с работниками по выплате заработной платы;</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своевременное проведение расчетов с налоговыми органами;</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принятие непосредственного участия в инвентаризации имущества и финансовых обязательств, а также правильное отражение результатов ее проведения;</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проведение инструктажа материально ответственных лиц;</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составление и представление в установленном порядке и в предусмотренные сроки бухгалтерской и налоговой отчетности;</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ведение большого объема нормативных и других документов по вопросам учета и отчетности, относящимся к полномочиям бухгалтерского отдела;</w:t>
      </w:r>
    </w:p>
    <w:p w:rsidR="00724342" w:rsidRPr="00787EA7" w:rsidRDefault="00724342" w:rsidP="00724342">
      <w:pPr>
        <w:widowControl w:val="0"/>
        <w:shd w:val="clear" w:color="auto" w:fill="FFFFFF"/>
        <w:suppressAutoHyphens/>
        <w:ind w:firstLine="425"/>
        <w:jc w:val="both"/>
        <w:rPr>
          <w:color w:val="000000" w:themeColor="text1"/>
          <w:kern w:val="1"/>
          <w:sz w:val="22"/>
          <w:szCs w:val="22"/>
        </w:rPr>
      </w:pPr>
      <w:r w:rsidRPr="00787EA7">
        <w:rPr>
          <w:color w:val="000000" w:themeColor="text1"/>
          <w:kern w:val="1"/>
          <w:sz w:val="22"/>
          <w:szCs w:val="22"/>
        </w:rPr>
        <w:t>- хранение документов в соответствии с правилами организации государственного архивного дела.</w:t>
      </w:r>
    </w:p>
    <w:p w:rsidR="00724342" w:rsidRPr="00787EA7" w:rsidRDefault="00724342" w:rsidP="00724342">
      <w:pPr>
        <w:widowControl w:val="0"/>
        <w:suppressAutoHyphens/>
        <w:ind w:firstLine="425"/>
        <w:jc w:val="both"/>
        <w:rPr>
          <w:rFonts w:eastAsia="Andale Sans UI"/>
          <w:color w:val="000000" w:themeColor="text1"/>
          <w:kern w:val="1"/>
          <w:sz w:val="22"/>
          <w:szCs w:val="22"/>
          <w:shd w:val="clear" w:color="auto" w:fill="FFFFFF"/>
          <w:lang w:eastAsia="ar-SA"/>
        </w:rPr>
      </w:pPr>
      <w:r w:rsidRPr="00787EA7">
        <w:rPr>
          <w:rFonts w:eastAsia="Andale Sans UI"/>
          <w:color w:val="000000" w:themeColor="text1"/>
          <w:kern w:val="1"/>
          <w:sz w:val="22"/>
          <w:szCs w:val="22"/>
          <w:shd w:val="clear" w:color="auto" w:fill="FFFFFF"/>
          <w:lang w:eastAsia="ar-SA"/>
        </w:rPr>
        <w:t>Деятельность учетной службы организации основывается на</w:t>
      </w:r>
      <w:r w:rsidRPr="00787EA7">
        <w:rPr>
          <w:rFonts w:eastAsia="Andale Sans UI"/>
          <w:b/>
          <w:bCs/>
          <w:color w:val="000000" w:themeColor="text1"/>
          <w:kern w:val="1"/>
          <w:sz w:val="22"/>
          <w:szCs w:val="22"/>
          <w:shd w:val="clear" w:color="auto" w:fill="FFFFFF"/>
          <w:lang w:eastAsia="ar-SA"/>
        </w:rPr>
        <w:t> </w:t>
      </w:r>
      <w:r w:rsidRPr="00787EA7">
        <w:rPr>
          <w:rFonts w:eastAsia="Andale Sans UI"/>
          <w:bCs/>
          <w:color w:val="000000" w:themeColor="text1"/>
          <w:kern w:val="1"/>
          <w:sz w:val="22"/>
          <w:szCs w:val="22"/>
          <w:shd w:val="clear" w:color="auto" w:fill="FFFFFF"/>
          <w:lang w:eastAsia="ar-SA"/>
        </w:rPr>
        <w:t>Положении о бухгалтерии</w:t>
      </w:r>
      <w:r w:rsidRPr="00787EA7">
        <w:rPr>
          <w:rFonts w:eastAsia="Andale Sans UI"/>
          <w:color w:val="000000" w:themeColor="text1"/>
          <w:kern w:val="1"/>
          <w:sz w:val="22"/>
          <w:szCs w:val="22"/>
          <w:shd w:val="clear" w:color="auto" w:fill="FFFFFF"/>
          <w:lang w:eastAsia="ar-SA"/>
        </w:rPr>
        <w:t xml:space="preserve">, разрабатываемом главным бухгалтером и утверждаемым приказом руководителя. </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 xml:space="preserve">Вышеуказанный локальный нормативный акт относится к унифицированной системе документации, то есть его форма имеет </w:t>
      </w:r>
      <w:r w:rsidRPr="00787EA7">
        <w:rPr>
          <w:rFonts w:eastAsia="Andale Sans UI"/>
          <w:color w:val="000000" w:themeColor="text1"/>
          <w:kern w:val="1"/>
          <w:sz w:val="22"/>
          <w:szCs w:val="22"/>
          <w:lang w:eastAsia="ar-SA"/>
        </w:rPr>
        <w:lastRenderedPageBreak/>
        <w:t>определенно установленную структуру: общие положения, цели и задачи, функции, права и обязанности главного бухгалтера, служебные связи, организация работ.</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Также следует отметить, что в состав распорядительных документов принимают должностные инструкции, в которых отражаются процесс учетной работы, комплектуется организационно-правовое положение сотрудника бухгалтерии.</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Организация структурно состоит из взаимосвязанных элементов, одни из которых осуществляют коммерческую деятельность, другие – управление ею. Все они находятся в неразрывной связи и представляют в общем систему управления [3, 4].</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Переход на международные стандарты учета предполагает расширение прав и обязанностей бухгалтерской службы, трансформацию от учетной регистрации к всестороннему управлению производством.</w:t>
      </w:r>
    </w:p>
    <w:p w:rsidR="00724342" w:rsidRPr="00787EA7" w:rsidRDefault="00724342" w:rsidP="00724342">
      <w:pPr>
        <w:widowControl w:val="0"/>
        <w:suppressAutoHyphens/>
        <w:ind w:firstLine="425"/>
        <w:jc w:val="both"/>
        <w:rPr>
          <w:rFonts w:eastAsia="Andale Sans UI"/>
          <w:color w:val="000000" w:themeColor="text1"/>
          <w:kern w:val="1"/>
          <w:sz w:val="22"/>
          <w:szCs w:val="22"/>
          <w:lang w:eastAsia="ar-SA"/>
        </w:rPr>
      </w:pPr>
      <w:r w:rsidRPr="00787EA7">
        <w:rPr>
          <w:rFonts w:eastAsia="Andale Sans UI"/>
          <w:color w:val="000000" w:themeColor="text1"/>
          <w:kern w:val="1"/>
          <w:sz w:val="22"/>
          <w:szCs w:val="22"/>
          <w:lang w:eastAsia="ar-SA"/>
        </w:rPr>
        <w:t xml:space="preserve">Резюмируя, можно заметить, что бухгалтерская служба осуществляет важные и необходимые функции для деятельности руководителей и менеджеров, обеспечивая их достоверными и полными сведениями о предприятии. </w:t>
      </w:r>
    </w:p>
    <w:p w:rsidR="003F3918" w:rsidRDefault="003F3918" w:rsidP="00724342">
      <w:pPr>
        <w:widowControl w:val="0"/>
        <w:suppressAutoHyphens/>
        <w:spacing w:before="24" w:after="24"/>
        <w:ind w:firstLine="425"/>
        <w:jc w:val="center"/>
        <w:rPr>
          <w:rFonts w:eastAsia="Andale Sans UI"/>
          <w:kern w:val="1"/>
          <w:sz w:val="22"/>
          <w:szCs w:val="22"/>
          <w:lang w:eastAsia="ar-SA"/>
        </w:rPr>
      </w:pPr>
    </w:p>
    <w:p w:rsidR="00724342" w:rsidRPr="00787EA7" w:rsidRDefault="00724342" w:rsidP="00724342">
      <w:pPr>
        <w:widowControl w:val="0"/>
        <w:suppressAutoHyphens/>
        <w:spacing w:before="24" w:after="24"/>
        <w:ind w:firstLine="425"/>
        <w:jc w:val="center"/>
        <w:rPr>
          <w:rFonts w:eastAsia="Andale Sans UI"/>
          <w:kern w:val="1"/>
          <w:sz w:val="22"/>
          <w:szCs w:val="22"/>
          <w:lang w:eastAsia="ar-SA"/>
        </w:rPr>
      </w:pPr>
      <w:r w:rsidRPr="00787EA7">
        <w:rPr>
          <w:rFonts w:eastAsia="Andale Sans UI"/>
          <w:kern w:val="1"/>
          <w:sz w:val="22"/>
          <w:szCs w:val="22"/>
          <w:lang w:eastAsia="ar-SA"/>
        </w:rPr>
        <w:t>Список литературы</w:t>
      </w:r>
    </w:p>
    <w:p w:rsidR="00724342" w:rsidRPr="00787EA7" w:rsidRDefault="00724342" w:rsidP="00724342">
      <w:pPr>
        <w:widowControl w:val="0"/>
        <w:suppressAutoHyphens/>
        <w:ind w:firstLine="425"/>
        <w:contextualSpacing/>
        <w:jc w:val="both"/>
        <w:rPr>
          <w:rFonts w:eastAsia="Calibri"/>
          <w:kern w:val="1"/>
          <w:sz w:val="22"/>
          <w:szCs w:val="22"/>
          <w:lang w:eastAsia="ar-SA"/>
        </w:rPr>
      </w:pPr>
      <w:r w:rsidRPr="00787EA7">
        <w:rPr>
          <w:kern w:val="1"/>
          <w:sz w:val="22"/>
          <w:szCs w:val="22"/>
          <w:lang w:eastAsia="ar-SA"/>
        </w:rPr>
        <w:t xml:space="preserve">1. О бухгалтерском учете [Электронный ресурс]: федер. закон от 06 декабря 2011 г. № 402-ФЗ [принят Гос. Думой 22 ноября 2011 г, одобрен Советом Федерации 29 ноября 2011 года]. </w:t>
      </w:r>
      <w:r w:rsidRPr="00787EA7">
        <w:rPr>
          <w:rFonts w:eastAsia="Calibri"/>
          <w:kern w:val="1"/>
          <w:sz w:val="22"/>
          <w:szCs w:val="22"/>
          <w:lang w:eastAsia="ar-SA"/>
        </w:rPr>
        <w:t xml:space="preserve">– Режим доступа: </w:t>
      </w:r>
      <w:hyperlink r:id="rId192" w:history="1">
        <w:r w:rsidRPr="00787EA7">
          <w:rPr>
            <w:rFonts w:eastAsia="Calibri"/>
            <w:kern w:val="1"/>
            <w:sz w:val="22"/>
            <w:szCs w:val="22"/>
            <w:lang w:eastAsia="ar-SA"/>
          </w:rPr>
          <w:t>http://base.garant.ru</w:t>
        </w:r>
      </w:hyperlink>
      <w:r w:rsidRPr="00787EA7">
        <w:rPr>
          <w:rFonts w:eastAsia="Calibri"/>
          <w:kern w:val="1"/>
          <w:sz w:val="22"/>
          <w:szCs w:val="22"/>
          <w:lang w:eastAsia="ar-SA"/>
        </w:rPr>
        <w:t>.</w:t>
      </w:r>
    </w:p>
    <w:p w:rsidR="00724342" w:rsidRPr="00787EA7" w:rsidRDefault="00724342" w:rsidP="00724342">
      <w:pPr>
        <w:widowControl w:val="0"/>
        <w:suppressAutoHyphens/>
        <w:ind w:firstLine="425"/>
        <w:contextualSpacing/>
        <w:jc w:val="both"/>
        <w:rPr>
          <w:kern w:val="1"/>
          <w:sz w:val="22"/>
          <w:szCs w:val="22"/>
          <w:shd w:val="clear" w:color="auto" w:fill="FFFFFF" w:themeFill="background1"/>
          <w:lang w:eastAsia="ar-SA"/>
        </w:rPr>
      </w:pPr>
      <w:r w:rsidRPr="00787EA7">
        <w:rPr>
          <w:kern w:val="1"/>
          <w:sz w:val="22"/>
          <w:szCs w:val="22"/>
          <w:lang w:eastAsia="ar-SA"/>
        </w:rPr>
        <w:t xml:space="preserve">2. Курина, Т. А. </w:t>
      </w:r>
      <w:hyperlink r:id="rId193" w:history="1">
        <w:r w:rsidRPr="00787EA7">
          <w:rPr>
            <w:rFonts w:eastAsia="Andale Sans UI"/>
            <w:bCs/>
            <w:kern w:val="1"/>
            <w:sz w:val="22"/>
            <w:szCs w:val="22"/>
            <w:shd w:val="clear" w:color="auto" w:fill="FFFFFF" w:themeFill="background1"/>
            <w:lang w:eastAsia="ar-SA"/>
          </w:rPr>
          <w:t>Организационная структура бухгалтерской службы в организации</w:t>
        </w:r>
      </w:hyperlink>
      <w:r w:rsidRPr="00787EA7">
        <w:rPr>
          <w:kern w:val="1"/>
          <w:sz w:val="22"/>
          <w:szCs w:val="22"/>
          <w:shd w:val="clear" w:color="auto" w:fill="FFFFFF" w:themeFill="background1"/>
          <w:lang w:eastAsia="ar-SA"/>
        </w:rPr>
        <w:t xml:space="preserve"> / </w:t>
      </w:r>
      <w:r w:rsidRPr="00787EA7">
        <w:rPr>
          <w:iCs/>
          <w:kern w:val="1"/>
          <w:sz w:val="22"/>
          <w:szCs w:val="22"/>
          <w:shd w:val="clear" w:color="auto" w:fill="FFFFFF" w:themeFill="background1"/>
          <w:lang w:eastAsia="ar-SA"/>
        </w:rPr>
        <w:t xml:space="preserve">Курина Т. А., Коровина М. А // </w:t>
      </w:r>
      <w:hyperlink r:id="rId194" w:history="1">
        <w:r w:rsidRPr="00787EA7">
          <w:rPr>
            <w:rFonts w:eastAsia="Andale Sans UI"/>
            <w:kern w:val="1"/>
            <w:sz w:val="22"/>
            <w:szCs w:val="22"/>
            <w:shd w:val="clear" w:color="auto" w:fill="FFFFFF" w:themeFill="background1"/>
            <w:lang w:eastAsia="ar-SA"/>
          </w:rPr>
          <w:t>Формирование экономического потенциала субъектов хозяйственной деятельности: проблемы, перспективы, учетно-аналитическое обеспечение</w:t>
        </w:r>
      </w:hyperlink>
      <w:r w:rsidRPr="00787EA7">
        <w:rPr>
          <w:kern w:val="1"/>
          <w:sz w:val="22"/>
          <w:szCs w:val="22"/>
          <w:shd w:val="clear" w:color="auto" w:fill="FFFFFF" w:themeFill="background1"/>
          <w:lang w:eastAsia="ar-SA"/>
        </w:rPr>
        <w:t>. – Майкоп: Магарин О. Г., 2014. – С. 184-187.</w:t>
      </w:r>
    </w:p>
    <w:p w:rsidR="00724342" w:rsidRPr="00787EA7" w:rsidRDefault="00724342" w:rsidP="00724342">
      <w:pPr>
        <w:widowControl w:val="0"/>
        <w:suppressAutoHyphens/>
        <w:ind w:firstLine="425"/>
        <w:jc w:val="both"/>
        <w:rPr>
          <w:rFonts w:eastAsia="Andale Sans UI"/>
          <w:kern w:val="1"/>
          <w:sz w:val="22"/>
          <w:szCs w:val="22"/>
          <w:lang w:eastAsia="ar-SA"/>
        </w:rPr>
      </w:pPr>
      <w:r w:rsidRPr="00787EA7">
        <w:rPr>
          <w:rFonts w:eastAsia="Andale Sans UI"/>
          <w:kern w:val="1"/>
          <w:sz w:val="22"/>
          <w:szCs w:val="22"/>
          <w:lang w:eastAsia="ar-SA"/>
        </w:rPr>
        <w:t xml:space="preserve">3. Левченко, Е. В. </w:t>
      </w:r>
      <w:hyperlink r:id="rId195" w:history="1">
        <w:r w:rsidRPr="00787EA7">
          <w:rPr>
            <w:rFonts w:eastAsia="Andale Sans UI"/>
            <w:bCs/>
            <w:kern w:val="1"/>
            <w:sz w:val="22"/>
            <w:szCs w:val="22"/>
            <w:lang w:eastAsia="ar-SA"/>
          </w:rPr>
          <w:t>Необходимость повышения квалификации работников бухгалтерской службы</w:t>
        </w:r>
      </w:hyperlink>
      <w:r w:rsidRPr="00787EA7">
        <w:rPr>
          <w:rFonts w:eastAsia="Andale Sans UI"/>
          <w:kern w:val="1"/>
          <w:sz w:val="22"/>
          <w:szCs w:val="22"/>
          <w:lang w:eastAsia="ar-SA"/>
        </w:rPr>
        <w:t xml:space="preserve"> // </w:t>
      </w:r>
      <w:r w:rsidRPr="00787EA7">
        <w:rPr>
          <w:rFonts w:eastAsia="Andale Sans UI"/>
          <w:iCs/>
          <w:kern w:val="1"/>
          <w:sz w:val="22"/>
          <w:szCs w:val="22"/>
          <w:lang w:eastAsia="ar-SA"/>
        </w:rPr>
        <w:t xml:space="preserve">Левченко Е. В., Левченко В. Г. // </w:t>
      </w:r>
      <w:hyperlink r:id="rId196" w:history="1">
        <w:r w:rsidRPr="00787EA7">
          <w:rPr>
            <w:rFonts w:eastAsia="Andale Sans UI"/>
            <w:kern w:val="1"/>
            <w:sz w:val="22"/>
            <w:szCs w:val="22"/>
            <w:lang w:eastAsia="ar-SA"/>
          </w:rPr>
          <w:t>Формирование экономического потенциала субъектов хозяйственной деятельности: проблемы, перспективы, учетно-аналитическое обеспечение</w:t>
        </w:r>
      </w:hyperlink>
      <w:r w:rsidRPr="00787EA7">
        <w:rPr>
          <w:rFonts w:eastAsia="Andale Sans UI"/>
          <w:kern w:val="1"/>
          <w:sz w:val="22"/>
          <w:szCs w:val="22"/>
          <w:lang w:eastAsia="ar-SA"/>
        </w:rPr>
        <w:t xml:space="preserve">: материалы VI Международной </w:t>
      </w:r>
      <w:r w:rsidRPr="00787EA7">
        <w:rPr>
          <w:rFonts w:eastAsia="Andale Sans UI"/>
          <w:kern w:val="1"/>
          <w:sz w:val="22"/>
          <w:szCs w:val="22"/>
          <w:lang w:eastAsia="ar-SA"/>
        </w:rPr>
        <w:lastRenderedPageBreak/>
        <w:t>научной конференции. – Майкоп: Магарин О. Г.,2016. – С. 134-137.</w:t>
      </w:r>
    </w:p>
    <w:p w:rsidR="00724342" w:rsidRDefault="00724342" w:rsidP="00724342">
      <w:pPr>
        <w:widowControl w:val="0"/>
        <w:suppressAutoHyphens/>
        <w:ind w:firstLine="425"/>
        <w:contextualSpacing/>
        <w:jc w:val="both"/>
        <w:rPr>
          <w:kern w:val="1"/>
          <w:sz w:val="22"/>
          <w:szCs w:val="22"/>
          <w:lang w:eastAsia="ar-SA"/>
        </w:rPr>
      </w:pPr>
      <w:r w:rsidRPr="00787EA7">
        <w:rPr>
          <w:kern w:val="1"/>
          <w:sz w:val="22"/>
          <w:szCs w:val="22"/>
          <w:lang w:eastAsia="ar-SA"/>
        </w:rPr>
        <w:t>4. Соколова, Е. С., Соколов О.В. Бухгалтерское. – М.: Высшее образование, 2014. – 336 с.</w:t>
      </w:r>
    </w:p>
    <w:p w:rsidR="00724342" w:rsidRDefault="00724342" w:rsidP="00724342">
      <w:pPr>
        <w:widowControl w:val="0"/>
        <w:suppressAutoHyphens/>
        <w:ind w:firstLine="425"/>
        <w:contextualSpacing/>
        <w:jc w:val="both"/>
        <w:rPr>
          <w:kern w:val="1"/>
          <w:sz w:val="22"/>
          <w:szCs w:val="22"/>
          <w:lang w:eastAsia="ar-SA"/>
        </w:rPr>
      </w:pPr>
    </w:p>
    <w:p w:rsidR="00724342" w:rsidRDefault="003F3918" w:rsidP="003F3918">
      <w:pPr>
        <w:rPr>
          <w:kern w:val="1"/>
          <w:sz w:val="22"/>
          <w:szCs w:val="22"/>
          <w:lang w:eastAsia="ar-SA"/>
        </w:rPr>
      </w:pPr>
      <w:r>
        <w:rPr>
          <w:kern w:val="1"/>
          <w:sz w:val="22"/>
          <w:szCs w:val="22"/>
          <w:lang w:eastAsia="ar-SA"/>
        </w:rPr>
        <w:br w:type="page"/>
      </w:r>
    </w:p>
    <w:p w:rsidR="00724342" w:rsidRPr="00724342" w:rsidRDefault="00724342" w:rsidP="00724342">
      <w:pPr>
        <w:widowControl w:val="0"/>
        <w:suppressAutoHyphens/>
        <w:jc w:val="center"/>
        <w:rPr>
          <w:b/>
          <w:kern w:val="1"/>
          <w:lang w:eastAsia="ar-SA"/>
        </w:rPr>
      </w:pPr>
      <w:r w:rsidRPr="00724342">
        <w:rPr>
          <w:b/>
          <w:bCs/>
        </w:rPr>
        <w:lastRenderedPageBreak/>
        <w:t>Факультет финансы и кредит</w:t>
      </w:r>
    </w:p>
    <w:p w:rsidR="00724342" w:rsidRDefault="00724342" w:rsidP="00724342">
      <w:pPr>
        <w:ind w:firstLine="426"/>
        <w:rPr>
          <w:bCs/>
          <w:sz w:val="22"/>
          <w:szCs w:val="22"/>
        </w:rPr>
      </w:pPr>
    </w:p>
    <w:p w:rsidR="00724342" w:rsidRPr="00787EA7" w:rsidRDefault="00724342" w:rsidP="00724342">
      <w:pPr>
        <w:outlineLvl w:val="0"/>
        <w:rPr>
          <w:rFonts w:eastAsia="Calibri"/>
          <w:sz w:val="22"/>
          <w:szCs w:val="22"/>
          <w:lang w:eastAsia="en-US"/>
        </w:rPr>
      </w:pPr>
      <w:r w:rsidRPr="00787EA7">
        <w:rPr>
          <w:rFonts w:eastAsia="Calibri"/>
          <w:sz w:val="22"/>
          <w:szCs w:val="22"/>
          <w:lang w:eastAsia="en-US"/>
        </w:rPr>
        <w:t>УДК 336</w:t>
      </w:r>
    </w:p>
    <w:p w:rsidR="00724342" w:rsidRPr="00787EA7" w:rsidRDefault="00724342" w:rsidP="00724342">
      <w:pPr>
        <w:jc w:val="center"/>
        <w:rPr>
          <w:rFonts w:eastAsia="Calibri"/>
          <w:sz w:val="22"/>
          <w:szCs w:val="22"/>
          <w:lang w:eastAsia="en-US"/>
        </w:rPr>
      </w:pPr>
    </w:p>
    <w:p w:rsidR="00724342" w:rsidRPr="00787EA7" w:rsidRDefault="00724342" w:rsidP="00724342">
      <w:pPr>
        <w:jc w:val="center"/>
        <w:outlineLvl w:val="0"/>
        <w:rPr>
          <w:rFonts w:eastAsia="Calibri"/>
          <w:b/>
          <w:sz w:val="24"/>
          <w:szCs w:val="24"/>
          <w:lang w:eastAsia="en-US"/>
        </w:rPr>
      </w:pPr>
      <w:r w:rsidRPr="00787EA7">
        <w:rPr>
          <w:rFonts w:eastAsia="Calibri"/>
          <w:b/>
          <w:sz w:val="24"/>
          <w:szCs w:val="24"/>
          <w:lang w:eastAsia="en-US"/>
        </w:rPr>
        <w:t xml:space="preserve">Оценка качества сбалансированности бюджета </w:t>
      </w:r>
    </w:p>
    <w:p w:rsidR="00724342" w:rsidRPr="00787EA7" w:rsidRDefault="00724342" w:rsidP="00724342">
      <w:pPr>
        <w:jc w:val="center"/>
        <w:rPr>
          <w:rFonts w:eastAsia="Calibri"/>
          <w:b/>
          <w:sz w:val="24"/>
          <w:szCs w:val="24"/>
          <w:lang w:eastAsia="en-US"/>
        </w:rPr>
      </w:pPr>
      <w:r w:rsidRPr="00787EA7">
        <w:rPr>
          <w:rFonts w:eastAsia="Calibri"/>
          <w:b/>
          <w:sz w:val="24"/>
          <w:szCs w:val="24"/>
          <w:lang w:eastAsia="en-US"/>
        </w:rPr>
        <w:t>МО «Славянский район»</w:t>
      </w:r>
    </w:p>
    <w:p w:rsidR="00724342" w:rsidRPr="00724342" w:rsidRDefault="00724342" w:rsidP="00724342">
      <w:pPr>
        <w:jc w:val="center"/>
        <w:rPr>
          <w:rFonts w:eastAsia="Calibri"/>
          <w:b/>
          <w:sz w:val="24"/>
          <w:szCs w:val="24"/>
          <w:lang w:val="en-US" w:eastAsia="en-US"/>
        </w:rPr>
      </w:pPr>
      <w:r w:rsidRPr="00787EA7">
        <w:rPr>
          <w:rFonts w:eastAsia="Calibri"/>
          <w:b/>
          <w:sz w:val="24"/>
          <w:szCs w:val="24"/>
          <w:lang w:val="en-US" w:eastAsia="en-US"/>
        </w:rPr>
        <w:t>Assessment</w:t>
      </w:r>
      <w:r w:rsidRPr="00724342">
        <w:rPr>
          <w:rFonts w:eastAsia="Calibri"/>
          <w:b/>
          <w:sz w:val="24"/>
          <w:szCs w:val="24"/>
          <w:lang w:val="en-US" w:eastAsia="en-US"/>
        </w:rPr>
        <w:t xml:space="preserve"> </w:t>
      </w:r>
      <w:r w:rsidRPr="00787EA7">
        <w:rPr>
          <w:rFonts w:eastAsia="Calibri"/>
          <w:b/>
          <w:sz w:val="24"/>
          <w:szCs w:val="24"/>
          <w:lang w:val="en-US" w:eastAsia="en-US"/>
        </w:rPr>
        <w:t>of</w:t>
      </w:r>
      <w:r w:rsidRPr="00724342">
        <w:rPr>
          <w:rFonts w:eastAsia="Calibri"/>
          <w:b/>
          <w:sz w:val="24"/>
          <w:szCs w:val="24"/>
          <w:lang w:val="en-US" w:eastAsia="en-US"/>
        </w:rPr>
        <w:t xml:space="preserve"> </w:t>
      </w:r>
      <w:r w:rsidRPr="00787EA7">
        <w:rPr>
          <w:rFonts w:eastAsia="Calibri"/>
          <w:b/>
          <w:sz w:val="24"/>
          <w:szCs w:val="24"/>
          <w:lang w:val="en-US" w:eastAsia="en-US"/>
        </w:rPr>
        <w:t>the</w:t>
      </w:r>
      <w:r w:rsidRPr="00724342">
        <w:rPr>
          <w:rFonts w:eastAsia="Calibri"/>
          <w:b/>
          <w:sz w:val="24"/>
          <w:szCs w:val="24"/>
          <w:lang w:val="en-US" w:eastAsia="en-US"/>
        </w:rPr>
        <w:t xml:space="preserve"> </w:t>
      </w:r>
      <w:r w:rsidRPr="00787EA7">
        <w:rPr>
          <w:rFonts w:eastAsia="Calibri"/>
          <w:b/>
          <w:sz w:val="24"/>
          <w:szCs w:val="24"/>
          <w:lang w:val="en-US" w:eastAsia="en-US"/>
        </w:rPr>
        <w:t>quality</w:t>
      </w:r>
      <w:r w:rsidRPr="00724342">
        <w:rPr>
          <w:rFonts w:eastAsia="Calibri"/>
          <w:b/>
          <w:sz w:val="24"/>
          <w:szCs w:val="24"/>
          <w:lang w:val="en-US" w:eastAsia="en-US"/>
        </w:rPr>
        <w:t xml:space="preserve"> </w:t>
      </w:r>
      <w:r w:rsidRPr="00787EA7">
        <w:rPr>
          <w:rFonts w:eastAsia="Calibri"/>
          <w:b/>
          <w:sz w:val="24"/>
          <w:szCs w:val="24"/>
          <w:lang w:val="en-US" w:eastAsia="en-US"/>
        </w:rPr>
        <w:t>of</w:t>
      </w:r>
      <w:r w:rsidRPr="00724342">
        <w:rPr>
          <w:rFonts w:eastAsia="Calibri"/>
          <w:b/>
          <w:sz w:val="24"/>
          <w:szCs w:val="24"/>
          <w:lang w:val="en-US" w:eastAsia="en-US"/>
        </w:rPr>
        <w:t xml:space="preserve"> </w:t>
      </w:r>
      <w:r w:rsidRPr="00787EA7">
        <w:rPr>
          <w:rFonts w:eastAsia="Calibri"/>
          <w:b/>
          <w:sz w:val="24"/>
          <w:szCs w:val="24"/>
          <w:lang w:val="en-US" w:eastAsia="en-US"/>
        </w:rPr>
        <w:t>the</w:t>
      </w:r>
      <w:r w:rsidRPr="00724342">
        <w:rPr>
          <w:rFonts w:eastAsia="Calibri"/>
          <w:b/>
          <w:sz w:val="24"/>
          <w:szCs w:val="24"/>
          <w:lang w:val="en-US" w:eastAsia="en-US"/>
        </w:rPr>
        <w:t xml:space="preserve"> </w:t>
      </w:r>
      <w:r w:rsidRPr="00787EA7">
        <w:rPr>
          <w:rFonts w:eastAsia="Calibri"/>
          <w:b/>
          <w:sz w:val="24"/>
          <w:szCs w:val="24"/>
          <w:lang w:val="en-US" w:eastAsia="en-US"/>
        </w:rPr>
        <w:t>budget</w:t>
      </w:r>
      <w:r w:rsidRPr="00724342">
        <w:rPr>
          <w:rFonts w:eastAsia="Calibri"/>
          <w:b/>
          <w:sz w:val="24"/>
          <w:szCs w:val="24"/>
          <w:lang w:val="en-US" w:eastAsia="en-US"/>
        </w:rPr>
        <w:t xml:space="preserve"> </w:t>
      </w:r>
      <w:r w:rsidRPr="00787EA7">
        <w:rPr>
          <w:rFonts w:eastAsia="Calibri"/>
          <w:b/>
          <w:sz w:val="24"/>
          <w:szCs w:val="24"/>
          <w:lang w:val="en-US" w:eastAsia="en-US"/>
        </w:rPr>
        <w:t>balance</w:t>
      </w:r>
      <w:r w:rsidRPr="00724342">
        <w:rPr>
          <w:rFonts w:eastAsia="Calibri"/>
          <w:b/>
          <w:sz w:val="24"/>
          <w:szCs w:val="24"/>
          <w:lang w:val="en-US" w:eastAsia="en-US"/>
        </w:rPr>
        <w:t xml:space="preserve"> </w:t>
      </w:r>
    </w:p>
    <w:p w:rsidR="00724342" w:rsidRPr="00787EA7" w:rsidRDefault="00724342" w:rsidP="00724342">
      <w:pPr>
        <w:jc w:val="center"/>
        <w:rPr>
          <w:rFonts w:eastAsia="Calibri"/>
          <w:b/>
          <w:sz w:val="24"/>
          <w:szCs w:val="24"/>
          <w:lang w:val="en-US" w:eastAsia="en-US"/>
        </w:rPr>
      </w:pPr>
      <w:r w:rsidRPr="00787EA7">
        <w:rPr>
          <w:rFonts w:eastAsia="Calibri"/>
          <w:b/>
          <w:sz w:val="24"/>
          <w:szCs w:val="24"/>
          <w:lang w:val="en-US" w:eastAsia="en-US"/>
        </w:rPr>
        <w:t>MO</w:t>
      </w:r>
      <w:r w:rsidRPr="00724342">
        <w:rPr>
          <w:rFonts w:eastAsia="Calibri"/>
          <w:b/>
          <w:sz w:val="24"/>
          <w:szCs w:val="24"/>
          <w:lang w:val="en-US" w:eastAsia="en-US"/>
        </w:rPr>
        <w:t xml:space="preserve"> «</w:t>
      </w:r>
      <w:r w:rsidRPr="00787EA7">
        <w:rPr>
          <w:rFonts w:eastAsia="Calibri"/>
          <w:b/>
          <w:sz w:val="24"/>
          <w:szCs w:val="24"/>
          <w:lang w:val="en-US" w:eastAsia="en-US"/>
        </w:rPr>
        <w:t>Slavyanskiyrayon»</w:t>
      </w:r>
    </w:p>
    <w:p w:rsidR="00724342" w:rsidRPr="00787EA7" w:rsidRDefault="00724342" w:rsidP="00724342">
      <w:pPr>
        <w:jc w:val="center"/>
        <w:rPr>
          <w:rFonts w:eastAsia="Calibri"/>
          <w:b/>
          <w:sz w:val="24"/>
          <w:szCs w:val="24"/>
          <w:lang w:val="en-US" w:eastAsia="en-US"/>
        </w:rPr>
      </w:pPr>
    </w:p>
    <w:p w:rsidR="00724342" w:rsidRPr="00C56F2E" w:rsidRDefault="00724342" w:rsidP="00724342">
      <w:pPr>
        <w:jc w:val="right"/>
        <w:rPr>
          <w:rFonts w:eastAsia="Calibri"/>
          <w:sz w:val="22"/>
          <w:szCs w:val="22"/>
          <w:lang w:val="en-US" w:eastAsia="en-US"/>
        </w:rPr>
      </w:pPr>
      <w:r w:rsidRPr="00787EA7">
        <w:rPr>
          <w:rFonts w:eastAsia="Calibri"/>
          <w:sz w:val="22"/>
          <w:szCs w:val="22"/>
          <w:lang w:eastAsia="en-US"/>
        </w:rPr>
        <w:t>Алексеева</w:t>
      </w:r>
      <w:r w:rsidRPr="00787EA7">
        <w:rPr>
          <w:rFonts w:eastAsia="Calibri"/>
          <w:sz w:val="22"/>
          <w:szCs w:val="22"/>
          <w:lang w:val="en-US" w:eastAsia="en-US"/>
        </w:rPr>
        <w:t xml:space="preserve"> </w:t>
      </w:r>
      <w:r w:rsidRPr="00787EA7">
        <w:rPr>
          <w:rFonts w:eastAsia="Calibri"/>
          <w:sz w:val="22"/>
          <w:szCs w:val="22"/>
          <w:lang w:eastAsia="en-US"/>
        </w:rPr>
        <w:t>О</w:t>
      </w:r>
      <w:r w:rsidRPr="00787EA7">
        <w:rPr>
          <w:rFonts w:eastAsia="Calibri"/>
          <w:sz w:val="22"/>
          <w:szCs w:val="22"/>
          <w:lang w:val="en-US" w:eastAsia="en-US"/>
        </w:rPr>
        <w:t xml:space="preserve">. </w:t>
      </w:r>
      <w:r w:rsidRPr="00787EA7">
        <w:rPr>
          <w:rFonts w:eastAsia="Calibri"/>
          <w:sz w:val="22"/>
          <w:szCs w:val="22"/>
          <w:lang w:eastAsia="en-US"/>
        </w:rPr>
        <w:t>Г</w:t>
      </w:r>
      <w:r w:rsidRPr="00787EA7">
        <w:rPr>
          <w:rFonts w:eastAsia="Calibri"/>
          <w:sz w:val="22"/>
          <w:szCs w:val="22"/>
          <w:lang w:val="en-US" w:eastAsia="en-US"/>
        </w:rPr>
        <w:t>.</w:t>
      </w:r>
      <w:r w:rsidR="003F3918" w:rsidRPr="00C56F2E">
        <w:rPr>
          <w:rFonts w:eastAsia="Calibri"/>
          <w:sz w:val="22"/>
          <w:szCs w:val="22"/>
          <w:lang w:val="en-US" w:eastAsia="en-US"/>
        </w:rPr>
        <w:t>,</w:t>
      </w: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студентка 4-го курса факультета «Финансы и кредит»</w:t>
      </w:r>
    </w:p>
    <w:p w:rsidR="003F3918" w:rsidRDefault="00724342" w:rsidP="00724342">
      <w:pPr>
        <w:jc w:val="right"/>
        <w:outlineLvl w:val="0"/>
        <w:rPr>
          <w:rFonts w:eastAsia="Calibri"/>
          <w:sz w:val="22"/>
          <w:szCs w:val="22"/>
          <w:lang w:eastAsia="en-US"/>
        </w:rPr>
      </w:pPr>
      <w:r w:rsidRPr="00787EA7">
        <w:rPr>
          <w:rFonts w:eastAsia="Calibri"/>
          <w:sz w:val="22"/>
          <w:szCs w:val="22"/>
          <w:lang w:eastAsia="en-US"/>
        </w:rPr>
        <w:t>Кубанский государственный аграрный</w:t>
      </w:r>
    </w:p>
    <w:p w:rsidR="00724342" w:rsidRPr="00787EA7" w:rsidRDefault="00724342" w:rsidP="003F3918">
      <w:pPr>
        <w:jc w:val="right"/>
        <w:outlineLvl w:val="0"/>
        <w:rPr>
          <w:rFonts w:eastAsia="Calibri"/>
          <w:sz w:val="22"/>
          <w:szCs w:val="22"/>
          <w:lang w:eastAsia="en-US"/>
        </w:rPr>
      </w:pPr>
      <w:r w:rsidRPr="00787EA7">
        <w:rPr>
          <w:rFonts w:eastAsia="Calibri"/>
          <w:sz w:val="22"/>
          <w:szCs w:val="22"/>
          <w:lang w:eastAsia="en-US"/>
        </w:rPr>
        <w:t xml:space="preserve"> </w:t>
      </w:r>
      <w:r w:rsidR="003F3918" w:rsidRPr="00787EA7">
        <w:rPr>
          <w:rFonts w:eastAsia="Calibri"/>
          <w:sz w:val="22"/>
          <w:szCs w:val="22"/>
          <w:lang w:eastAsia="en-US"/>
        </w:rPr>
        <w:t>У</w:t>
      </w:r>
      <w:r w:rsidRPr="00787EA7">
        <w:rPr>
          <w:rFonts w:eastAsia="Calibri"/>
          <w:sz w:val="22"/>
          <w:szCs w:val="22"/>
          <w:lang w:eastAsia="en-US"/>
        </w:rPr>
        <w:t>ниверситет</w:t>
      </w:r>
      <w:r w:rsidR="003F3918">
        <w:rPr>
          <w:rFonts w:eastAsia="Calibri"/>
          <w:sz w:val="22"/>
          <w:szCs w:val="22"/>
          <w:lang w:eastAsia="en-US"/>
        </w:rPr>
        <w:t xml:space="preserve"> </w:t>
      </w:r>
      <w:r w:rsidRPr="00787EA7">
        <w:rPr>
          <w:rFonts w:eastAsia="Calibri"/>
          <w:sz w:val="22"/>
          <w:szCs w:val="22"/>
          <w:lang w:eastAsia="en-US"/>
        </w:rPr>
        <w:t>имени И. Т. Трубилина</w:t>
      </w:r>
    </w:p>
    <w:p w:rsidR="00724342" w:rsidRPr="00787EA7" w:rsidRDefault="00724342" w:rsidP="00724342">
      <w:pPr>
        <w:jc w:val="right"/>
        <w:rPr>
          <w:rFonts w:eastAsia="Calibri"/>
          <w:sz w:val="22"/>
          <w:szCs w:val="22"/>
          <w:lang w:eastAsia="en-US"/>
        </w:rPr>
      </w:pPr>
    </w:p>
    <w:p w:rsidR="00724342" w:rsidRPr="00787EA7" w:rsidRDefault="00724342" w:rsidP="003F3918">
      <w:pPr>
        <w:ind w:firstLine="426"/>
        <w:jc w:val="both"/>
        <w:rPr>
          <w:rFonts w:eastAsia="Calibri"/>
          <w:sz w:val="22"/>
          <w:szCs w:val="22"/>
          <w:lang w:eastAsia="en-US"/>
        </w:rPr>
      </w:pPr>
      <w:r w:rsidRPr="00787EA7">
        <w:rPr>
          <w:rFonts w:eastAsia="Calibri"/>
          <w:sz w:val="22"/>
          <w:szCs w:val="22"/>
          <w:lang w:eastAsia="en-US"/>
        </w:rPr>
        <w:t>АННОТАЦИЯ: Рассмотрен бюджет муниципального образов</w:t>
      </w:r>
      <w:r w:rsidRPr="00787EA7">
        <w:rPr>
          <w:rFonts w:eastAsia="Calibri"/>
          <w:sz w:val="22"/>
          <w:szCs w:val="22"/>
          <w:lang w:eastAsia="en-US"/>
        </w:rPr>
        <w:t>а</w:t>
      </w:r>
      <w:r w:rsidRPr="00787EA7">
        <w:rPr>
          <w:rFonts w:eastAsia="Calibri"/>
          <w:sz w:val="22"/>
          <w:szCs w:val="22"/>
          <w:lang w:eastAsia="en-US"/>
        </w:rPr>
        <w:t>ния Славянский район, проведена оценка его сбалансированности.</w:t>
      </w:r>
    </w:p>
    <w:p w:rsidR="00724342" w:rsidRPr="00787EA7" w:rsidRDefault="00724342" w:rsidP="003F3918">
      <w:pPr>
        <w:ind w:firstLine="426"/>
        <w:jc w:val="both"/>
        <w:rPr>
          <w:rFonts w:eastAsia="Calibri"/>
          <w:sz w:val="22"/>
          <w:szCs w:val="22"/>
          <w:lang w:val="en-US" w:eastAsia="en-US"/>
        </w:rPr>
      </w:pPr>
      <w:r w:rsidRPr="00787EA7">
        <w:rPr>
          <w:rFonts w:eastAsia="Calibri"/>
          <w:sz w:val="22"/>
          <w:szCs w:val="22"/>
          <w:lang w:val="en-US" w:eastAsia="en-US"/>
        </w:rPr>
        <w:t>ABSTRACT:The budget of the municipal formation Slavyansky district is considered, the estimation of its balance is carried out.</w:t>
      </w:r>
    </w:p>
    <w:p w:rsidR="00724342" w:rsidRPr="00787EA7" w:rsidRDefault="00724342" w:rsidP="003F3918">
      <w:pPr>
        <w:ind w:firstLine="426"/>
        <w:jc w:val="both"/>
        <w:rPr>
          <w:rFonts w:eastAsia="Calibri"/>
          <w:sz w:val="22"/>
          <w:szCs w:val="22"/>
          <w:lang w:eastAsia="en-US"/>
        </w:rPr>
      </w:pPr>
      <w:r w:rsidRPr="00787EA7">
        <w:rPr>
          <w:rFonts w:eastAsia="Calibri"/>
          <w:sz w:val="22"/>
          <w:szCs w:val="22"/>
          <w:lang w:eastAsia="en-US"/>
        </w:rPr>
        <w:t>КЛЮЧЕВЫЕ СЛОВА: бюджет, доходы, расходы, дефицит.</w:t>
      </w:r>
    </w:p>
    <w:p w:rsidR="00724342" w:rsidRPr="00787EA7" w:rsidRDefault="00724342" w:rsidP="003F3918">
      <w:pPr>
        <w:ind w:firstLine="426"/>
        <w:jc w:val="both"/>
        <w:rPr>
          <w:rFonts w:eastAsia="Calibri"/>
          <w:sz w:val="22"/>
          <w:szCs w:val="22"/>
          <w:lang w:val="en-US" w:eastAsia="en-US"/>
        </w:rPr>
      </w:pPr>
      <w:r w:rsidRPr="00787EA7">
        <w:rPr>
          <w:rFonts w:eastAsia="Calibri"/>
          <w:sz w:val="22"/>
          <w:szCs w:val="22"/>
          <w:lang w:val="en-US" w:eastAsia="en-US"/>
        </w:rPr>
        <w:t>KEYWORDS:budget, income, expenses, deficit.</w:t>
      </w:r>
    </w:p>
    <w:p w:rsidR="00724342" w:rsidRPr="00787EA7" w:rsidRDefault="00724342" w:rsidP="00724342">
      <w:pPr>
        <w:ind w:firstLine="709"/>
        <w:jc w:val="both"/>
        <w:rPr>
          <w:rFonts w:eastAsia="Calibri"/>
          <w:sz w:val="22"/>
          <w:szCs w:val="22"/>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Главным средством мобилизации и расходования ресурсов в государстве является бюджет, он предоставляет реальную возмо</w:t>
      </w:r>
      <w:r w:rsidRPr="00787EA7">
        <w:rPr>
          <w:rFonts w:eastAsia="Calibri"/>
          <w:sz w:val="22"/>
          <w:szCs w:val="22"/>
          <w:lang w:eastAsia="en-US"/>
        </w:rPr>
        <w:t>ж</w:t>
      </w:r>
      <w:r w:rsidRPr="00787EA7">
        <w:rPr>
          <w:rFonts w:eastAsia="Calibri"/>
          <w:sz w:val="22"/>
          <w:szCs w:val="22"/>
          <w:lang w:eastAsia="en-US"/>
        </w:rPr>
        <w:t>ность воздействовать на экономику, финансировать ее структурную перестройку, стимулировать развитие приоритетных секторов эк</w:t>
      </w:r>
      <w:r w:rsidRPr="00787EA7">
        <w:rPr>
          <w:rFonts w:eastAsia="Calibri"/>
          <w:sz w:val="22"/>
          <w:szCs w:val="22"/>
          <w:lang w:eastAsia="en-US"/>
        </w:rPr>
        <w:t>о</w:t>
      </w:r>
      <w:r w:rsidRPr="00787EA7">
        <w:rPr>
          <w:rFonts w:eastAsia="Calibri"/>
          <w:sz w:val="22"/>
          <w:szCs w:val="22"/>
          <w:lang w:eastAsia="en-US"/>
        </w:rPr>
        <w:t>номики тем самым обеспечивая социальную поддержку наименее защищенным слоям населения.В последние десятилетия функции регулирования экономических и социальных процессов в знач</w:t>
      </w:r>
      <w:r w:rsidRPr="00787EA7">
        <w:rPr>
          <w:rFonts w:eastAsia="Calibri"/>
          <w:sz w:val="22"/>
          <w:szCs w:val="22"/>
          <w:lang w:eastAsia="en-US"/>
        </w:rPr>
        <w:t>и</w:t>
      </w:r>
      <w:r w:rsidRPr="00787EA7">
        <w:rPr>
          <w:rFonts w:eastAsia="Calibri"/>
          <w:sz w:val="22"/>
          <w:szCs w:val="22"/>
          <w:lang w:eastAsia="en-US"/>
        </w:rPr>
        <w:t>тельной мере перешли от центральных органов государственной власти к региональным и местным. Поэтому роль региональных и местных бюджетов усилилась, а сфера их использования расшир</w:t>
      </w:r>
      <w:r w:rsidRPr="00787EA7">
        <w:rPr>
          <w:rFonts w:eastAsia="Calibri"/>
          <w:sz w:val="22"/>
          <w:szCs w:val="22"/>
          <w:lang w:eastAsia="en-US"/>
        </w:rPr>
        <w:t>и</w:t>
      </w:r>
      <w:r w:rsidRPr="00787EA7">
        <w:rPr>
          <w:rFonts w:eastAsia="Calibri"/>
          <w:sz w:val="22"/>
          <w:szCs w:val="22"/>
          <w:lang w:eastAsia="en-US"/>
        </w:rPr>
        <w:t>лась. Через эти бюджеты государство проводит выравнивание эк</w:t>
      </w:r>
      <w:r w:rsidRPr="00787EA7">
        <w:rPr>
          <w:rFonts w:eastAsia="Calibri"/>
          <w:sz w:val="22"/>
          <w:szCs w:val="22"/>
          <w:lang w:eastAsia="en-US"/>
        </w:rPr>
        <w:t>о</w:t>
      </w:r>
      <w:r w:rsidRPr="00787EA7">
        <w:rPr>
          <w:rFonts w:eastAsia="Calibri"/>
          <w:sz w:val="22"/>
          <w:szCs w:val="22"/>
          <w:lang w:eastAsia="en-US"/>
        </w:rPr>
        <w:t>номического и социального развития территорий, которые в резул</w:t>
      </w:r>
      <w:r w:rsidRPr="00787EA7">
        <w:rPr>
          <w:rFonts w:eastAsia="Calibri"/>
          <w:sz w:val="22"/>
          <w:szCs w:val="22"/>
          <w:lang w:eastAsia="en-US"/>
        </w:rPr>
        <w:t>ь</w:t>
      </w:r>
      <w:r w:rsidRPr="00787EA7">
        <w:rPr>
          <w:rFonts w:eastAsia="Calibri"/>
          <w:sz w:val="22"/>
          <w:szCs w:val="22"/>
          <w:lang w:eastAsia="en-US"/>
        </w:rPr>
        <w:t>тате исторических, географических и других условий отстали в ра</w:t>
      </w:r>
      <w:r w:rsidRPr="00787EA7">
        <w:rPr>
          <w:rFonts w:eastAsia="Calibri"/>
          <w:sz w:val="22"/>
          <w:szCs w:val="22"/>
          <w:lang w:eastAsia="en-US"/>
        </w:rPr>
        <w:t>з</w:t>
      </w:r>
      <w:r w:rsidRPr="00787EA7">
        <w:rPr>
          <w:rFonts w:eastAsia="Calibri"/>
          <w:sz w:val="22"/>
          <w:szCs w:val="22"/>
          <w:lang w:eastAsia="en-US"/>
        </w:rPr>
        <w:t>витии от других районов страны. Для преодоления такой отсталости разрабатываются региональные и муниципальные программы, средства на осуществление которых формируются за счет бюдже</w:t>
      </w:r>
      <w:r w:rsidRPr="00787EA7">
        <w:rPr>
          <w:rFonts w:eastAsia="Calibri"/>
          <w:sz w:val="22"/>
          <w:szCs w:val="22"/>
          <w:lang w:eastAsia="en-US"/>
        </w:rPr>
        <w:t>т</w:t>
      </w:r>
      <w:r w:rsidRPr="00787EA7">
        <w:rPr>
          <w:rFonts w:eastAsia="Calibri"/>
          <w:sz w:val="22"/>
          <w:szCs w:val="22"/>
          <w:lang w:eastAsia="en-US"/>
        </w:rPr>
        <w:lastRenderedPageBreak/>
        <w:t>ных доходов соответствующих административно-территориальных единиц, а также налоговых отчислений из вышестоящих бюджетов.</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Краснодарский край – один из наиболее значимых экономич</w:t>
      </w:r>
      <w:r w:rsidRPr="00787EA7">
        <w:rPr>
          <w:rFonts w:eastAsia="Calibri"/>
          <w:sz w:val="22"/>
          <w:szCs w:val="22"/>
          <w:lang w:eastAsia="en-US"/>
        </w:rPr>
        <w:t>е</w:t>
      </w:r>
      <w:r w:rsidRPr="00787EA7">
        <w:rPr>
          <w:rFonts w:eastAsia="Calibri"/>
          <w:sz w:val="22"/>
          <w:szCs w:val="22"/>
          <w:lang w:eastAsia="en-US"/>
        </w:rPr>
        <w:t>ских регионов Российской Федерации. По уровню социально-экономического развития Кубань занимает место в первой дв</w:t>
      </w:r>
      <w:r w:rsidRPr="00787EA7">
        <w:rPr>
          <w:rFonts w:eastAsia="Calibri"/>
          <w:sz w:val="22"/>
          <w:szCs w:val="22"/>
          <w:lang w:eastAsia="en-US"/>
        </w:rPr>
        <w:t>а</w:t>
      </w:r>
      <w:r w:rsidRPr="00787EA7">
        <w:rPr>
          <w:rFonts w:eastAsia="Calibri"/>
          <w:sz w:val="22"/>
          <w:szCs w:val="22"/>
          <w:lang w:eastAsia="en-US"/>
        </w:rPr>
        <w:t>дцатке среди 85 регионов страны. Краснодарский край является крупнейшим аграрным регионом России. На его долю приходится около 8% сельскохозяйственной продукции страны.В крае выращ</w:t>
      </w:r>
      <w:r w:rsidRPr="00787EA7">
        <w:rPr>
          <w:rFonts w:eastAsia="Calibri"/>
          <w:sz w:val="22"/>
          <w:szCs w:val="22"/>
          <w:lang w:eastAsia="en-US"/>
        </w:rPr>
        <w:t>и</w:t>
      </w:r>
      <w:r w:rsidRPr="00787EA7">
        <w:rPr>
          <w:rFonts w:eastAsia="Calibri"/>
          <w:sz w:val="22"/>
          <w:szCs w:val="22"/>
          <w:lang w:eastAsia="en-US"/>
        </w:rPr>
        <w:t>вается самый северный на земле чай. Хорошо развито животново</w:t>
      </w:r>
      <w:r w:rsidRPr="00787EA7">
        <w:rPr>
          <w:rFonts w:eastAsia="Calibri"/>
          <w:sz w:val="22"/>
          <w:szCs w:val="22"/>
          <w:lang w:eastAsia="en-US"/>
        </w:rPr>
        <w:t>д</w:t>
      </w:r>
      <w:r w:rsidRPr="00787EA7">
        <w:rPr>
          <w:rFonts w:eastAsia="Calibri"/>
          <w:sz w:val="22"/>
          <w:szCs w:val="22"/>
          <w:lang w:eastAsia="en-US"/>
        </w:rPr>
        <w:t>ство, птицеводство, рыболовство и рыбная перерабатывающая, п</w:t>
      </w:r>
      <w:r w:rsidRPr="00787EA7">
        <w:rPr>
          <w:rFonts w:eastAsia="Calibri"/>
          <w:sz w:val="22"/>
          <w:szCs w:val="22"/>
          <w:lang w:eastAsia="en-US"/>
        </w:rPr>
        <w:t>и</w:t>
      </w:r>
      <w:r w:rsidRPr="00787EA7">
        <w:rPr>
          <w:rFonts w:eastAsia="Calibri"/>
          <w:sz w:val="22"/>
          <w:szCs w:val="22"/>
          <w:lang w:eastAsia="en-US"/>
        </w:rPr>
        <w:t>щевая  промышленность. Много эффективны топливный, энергет</w:t>
      </w:r>
      <w:r w:rsidRPr="00787EA7">
        <w:rPr>
          <w:rFonts w:eastAsia="Calibri"/>
          <w:sz w:val="22"/>
          <w:szCs w:val="22"/>
          <w:lang w:eastAsia="en-US"/>
        </w:rPr>
        <w:t>и</w:t>
      </w:r>
      <w:r w:rsidRPr="00787EA7">
        <w:rPr>
          <w:rFonts w:eastAsia="Calibri"/>
          <w:sz w:val="22"/>
          <w:szCs w:val="22"/>
          <w:lang w:eastAsia="en-US"/>
        </w:rPr>
        <w:t>ческий комплексы. Интенсивно ведется промышленное строител</w:t>
      </w:r>
      <w:r w:rsidRPr="00787EA7">
        <w:rPr>
          <w:rFonts w:eastAsia="Calibri"/>
          <w:sz w:val="22"/>
          <w:szCs w:val="22"/>
          <w:lang w:eastAsia="en-US"/>
        </w:rPr>
        <w:t>ь</w:t>
      </w:r>
      <w:r w:rsidRPr="00787EA7">
        <w:rPr>
          <w:rFonts w:eastAsia="Calibri"/>
          <w:sz w:val="22"/>
          <w:szCs w:val="22"/>
          <w:lang w:eastAsia="en-US"/>
        </w:rPr>
        <w:t>ство. На Кубани добывается и перерабатывается больше шести д</w:t>
      </w:r>
      <w:r w:rsidRPr="00787EA7">
        <w:rPr>
          <w:rFonts w:eastAsia="Calibri"/>
          <w:sz w:val="22"/>
          <w:szCs w:val="22"/>
          <w:lang w:eastAsia="en-US"/>
        </w:rPr>
        <w:t>е</w:t>
      </w:r>
      <w:r w:rsidRPr="00787EA7">
        <w:rPr>
          <w:rFonts w:eastAsia="Calibri"/>
          <w:sz w:val="22"/>
          <w:szCs w:val="22"/>
          <w:lang w:eastAsia="en-US"/>
        </w:rPr>
        <w:t>сятков видов  полезных ископаемых, в том числе нефть, золото, с</w:t>
      </w:r>
      <w:r w:rsidRPr="00787EA7">
        <w:rPr>
          <w:rFonts w:eastAsia="Calibri"/>
          <w:sz w:val="22"/>
          <w:szCs w:val="22"/>
          <w:lang w:eastAsia="en-US"/>
        </w:rPr>
        <w:t>е</w:t>
      </w:r>
      <w:r w:rsidRPr="00787EA7">
        <w:rPr>
          <w:rFonts w:eastAsia="Calibri"/>
          <w:sz w:val="22"/>
          <w:szCs w:val="22"/>
          <w:lang w:eastAsia="en-US"/>
        </w:rPr>
        <w:t>ребро и т.д.Одним из главных направлений на Кубани является ра</w:t>
      </w:r>
      <w:r w:rsidRPr="00787EA7">
        <w:rPr>
          <w:rFonts w:eastAsia="Calibri"/>
          <w:sz w:val="22"/>
          <w:szCs w:val="22"/>
          <w:lang w:eastAsia="en-US"/>
        </w:rPr>
        <w:t>з</w:t>
      </w:r>
      <w:r w:rsidRPr="00787EA7">
        <w:rPr>
          <w:rFonts w:eastAsia="Calibri"/>
          <w:sz w:val="22"/>
          <w:szCs w:val="22"/>
          <w:lang w:eastAsia="en-US"/>
        </w:rPr>
        <w:t xml:space="preserve">витие туризма.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Местные бюджеты играют важную роль в финансовой системе Российской Федерации. С помощью средств этих бюджетов реал</w:t>
      </w:r>
      <w:r w:rsidRPr="00787EA7">
        <w:rPr>
          <w:rFonts w:eastAsia="Calibri"/>
          <w:sz w:val="22"/>
          <w:szCs w:val="22"/>
          <w:lang w:eastAsia="en-US"/>
        </w:rPr>
        <w:t>и</w:t>
      </w:r>
      <w:r w:rsidRPr="00787EA7">
        <w:rPr>
          <w:rFonts w:eastAsia="Calibri"/>
          <w:sz w:val="22"/>
          <w:szCs w:val="22"/>
          <w:lang w:eastAsia="en-US"/>
        </w:rPr>
        <w:t>зуются программы по благоустройству сел и городов, их газифик</w:t>
      </w:r>
      <w:r w:rsidRPr="00787EA7">
        <w:rPr>
          <w:rFonts w:eastAsia="Calibri"/>
          <w:sz w:val="22"/>
          <w:szCs w:val="22"/>
          <w:lang w:eastAsia="en-US"/>
        </w:rPr>
        <w:t>а</w:t>
      </w:r>
      <w:r w:rsidRPr="00787EA7">
        <w:rPr>
          <w:rFonts w:eastAsia="Calibri"/>
          <w:sz w:val="22"/>
          <w:szCs w:val="22"/>
          <w:lang w:eastAsia="en-US"/>
        </w:rPr>
        <w:t>ции,развитию сети дорог, возрождению и сохранению памятников, используя по необходимости межбюджетные отношения.</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Рассмотрим один из местных бюджетов Краснодарского края  – бюджет муниципального образования «Славянский район». У рай</w:t>
      </w:r>
      <w:r w:rsidRPr="00787EA7">
        <w:rPr>
          <w:rFonts w:eastAsia="Calibri"/>
          <w:sz w:val="22"/>
          <w:szCs w:val="22"/>
          <w:lang w:eastAsia="en-US"/>
        </w:rPr>
        <w:t>о</w:t>
      </w:r>
      <w:r w:rsidRPr="00787EA7">
        <w:rPr>
          <w:rFonts w:eastAsia="Calibri"/>
          <w:sz w:val="22"/>
          <w:szCs w:val="22"/>
          <w:lang w:eastAsia="en-US"/>
        </w:rPr>
        <w:t>на крепкий экономический потенциал. За последние 10 лет объем налоговых поступлений с территории Славянского района увел</w:t>
      </w:r>
      <w:r w:rsidRPr="00787EA7">
        <w:rPr>
          <w:rFonts w:eastAsia="Calibri"/>
          <w:sz w:val="22"/>
          <w:szCs w:val="22"/>
          <w:lang w:eastAsia="en-US"/>
        </w:rPr>
        <w:t>и</w:t>
      </w:r>
      <w:r w:rsidRPr="00787EA7">
        <w:rPr>
          <w:rFonts w:eastAsia="Calibri"/>
          <w:sz w:val="22"/>
          <w:szCs w:val="22"/>
          <w:lang w:eastAsia="en-US"/>
        </w:rPr>
        <w:t>чился в 4 раза. Предприятия хозяйственного комплекса нарастили объем производства продукции в 3 раза.Ежегодно собираются х</w:t>
      </w:r>
      <w:r w:rsidRPr="00787EA7">
        <w:rPr>
          <w:rFonts w:eastAsia="Calibri"/>
          <w:sz w:val="22"/>
          <w:szCs w:val="22"/>
          <w:lang w:eastAsia="en-US"/>
        </w:rPr>
        <w:t>о</w:t>
      </w:r>
      <w:r w:rsidRPr="00787EA7">
        <w:rPr>
          <w:rFonts w:eastAsia="Calibri"/>
          <w:sz w:val="22"/>
          <w:szCs w:val="22"/>
          <w:lang w:eastAsia="en-US"/>
        </w:rPr>
        <w:t>рошие урожаи риса и пшеницы, ведется добыча полезных ископа</w:t>
      </w:r>
      <w:r w:rsidRPr="00787EA7">
        <w:rPr>
          <w:rFonts w:eastAsia="Calibri"/>
          <w:sz w:val="22"/>
          <w:szCs w:val="22"/>
          <w:lang w:eastAsia="en-US"/>
        </w:rPr>
        <w:t>е</w:t>
      </w:r>
      <w:r w:rsidRPr="00787EA7">
        <w:rPr>
          <w:rFonts w:eastAsia="Calibri"/>
          <w:sz w:val="22"/>
          <w:szCs w:val="22"/>
          <w:lang w:eastAsia="en-US"/>
        </w:rPr>
        <w:t>мых, строятся социальные объекты, возводятся новые жилые дома, развивается малый и средний бизнес.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Проанализировав данные бюджета муниципального образов</w:t>
      </w:r>
      <w:r w:rsidRPr="00787EA7">
        <w:rPr>
          <w:rFonts w:eastAsia="Calibri"/>
          <w:sz w:val="22"/>
          <w:szCs w:val="22"/>
          <w:lang w:eastAsia="en-US"/>
        </w:rPr>
        <w:t>а</w:t>
      </w:r>
      <w:r w:rsidRPr="00787EA7">
        <w:rPr>
          <w:rFonts w:eastAsia="Calibri"/>
          <w:sz w:val="22"/>
          <w:szCs w:val="22"/>
          <w:lang w:eastAsia="en-US"/>
        </w:rPr>
        <w:t>ния«Славянский район», можно сделать вывод, что доходы в 2017 году по сравнению с 2016 годом увеличились на 11 %. В 2018 г. планируется собрать доходов меньше на 3,6 % в сравнении с уровнем 2017 г. – 2 329 460,4 тыс. руб. Однако, расходы бюджета превышают доходы в 2017 г., что привело к дефициту бюджета. В 2016 г. и 2018 г. в бюджете муниципалитета наблюдается проф</w:t>
      </w:r>
      <w:r w:rsidRPr="00787EA7">
        <w:rPr>
          <w:rFonts w:eastAsia="Calibri"/>
          <w:sz w:val="22"/>
          <w:szCs w:val="22"/>
          <w:lang w:eastAsia="en-US"/>
        </w:rPr>
        <w:t>и</w:t>
      </w:r>
      <w:r w:rsidRPr="00787EA7">
        <w:rPr>
          <w:rFonts w:eastAsia="Calibri"/>
          <w:sz w:val="22"/>
          <w:szCs w:val="22"/>
          <w:lang w:eastAsia="en-US"/>
        </w:rPr>
        <w:t xml:space="preserve">цит.Местные бюджеты в своем большинстве не покрывают расходы </w:t>
      </w:r>
      <w:r w:rsidRPr="00787EA7">
        <w:rPr>
          <w:rFonts w:eastAsia="Calibri"/>
          <w:sz w:val="22"/>
          <w:szCs w:val="22"/>
          <w:lang w:eastAsia="en-US"/>
        </w:rPr>
        <w:lastRenderedPageBreak/>
        <w:t>собственными доходами. Поэтому и в доходах МО «Славянский район» значительная доля – финансовая безвозмездная помощь из вышестоящего бюджета. Так в 2016 г. из 2185 млн руб. доходов бюджета 1354 млн руб. – безвозмездные поступления, то есть более 60 %. В 2017 г. доля безвозмездных поступлений составила 67,3 % всех доходов, в 2018 г. – 62,4 %. Этот вид финансовой помощи я</w:t>
      </w:r>
      <w:r w:rsidRPr="00787EA7">
        <w:rPr>
          <w:rFonts w:eastAsia="Calibri"/>
          <w:sz w:val="22"/>
          <w:szCs w:val="22"/>
          <w:lang w:eastAsia="en-US"/>
        </w:rPr>
        <w:t>в</w:t>
      </w:r>
      <w:r w:rsidRPr="00787EA7">
        <w:rPr>
          <w:rFonts w:eastAsia="Calibri"/>
          <w:sz w:val="22"/>
          <w:szCs w:val="22"/>
          <w:lang w:eastAsia="en-US"/>
        </w:rPr>
        <w:t>ляется целевым и направлен: на обеспечение общеобразовательных расходов, на предоставление субсидии молодым семьям для прио</w:t>
      </w:r>
      <w:r w:rsidRPr="00787EA7">
        <w:rPr>
          <w:rFonts w:eastAsia="Calibri"/>
          <w:sz w:val="22"/>
          <w:szCs w:val="22"/>
          <w:lang w:eastAsia="en-US"/>
        </w:rPr>
        <w:t>б</w:t>
      </w:r>
      <w:r w:rsidRPr="00787EA7">
        <w:rPr>
          <w:rFonts w:eastAsia="Calibri"/>
          <w:sz w:val="22"/>
          <w:szCs w:val="22"/>
          <w:lang w:eastAsia="en-US"/>
        </w:rPr>
        <w:t>ретения жилья, на внедрение инновационных программ в школах, для поддержки фондов муниципального развития. [1]</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Основными собственными доходными источниками бюджета являются: налог на доходы физических лиц, ЕНВД и аренда землю –более 80 % всех доходов. Самый большой удельный вес в структ</w:t>
      </w:r>
      <w:r w:rsidRPr="00787EA7">
        <w:rPr>
          <w:rFonts w:eastAsia="Calibri"/>
          <w:sz w:val="22"/>
          <w:szCs w:val="22"/>
          <w:lang w:eastAsia="en-US"/>
        </w:rPr>
        <w:t>у</w:t>
      </w:r>
      <w:r w:rsidRPr="00787EA7">
        <w:rPr>
          <w:rFonts w:eastAsia="Calibri"/>
          <w:sz w:val="22"/>
          <w:szCs w:val="22"/>
          <w:lang w:eastAsia="en-US"/>
        </w:rPr>
        <w:t>ре доходов бюджета МО «Славянский район» в 2018 г. занимают сборы от НДФЛ – 55,1 % или составляет 483 млн. руб.Стоит отм</w:t>
      </w:r>
      <w:r w:rsidRPr="00787EA7">
        <w:rPr>
          <w:rFonts w:eastAsia="Calibri"/>
          <w:sz w:val="22"/>
          <w:szCs w:val="22"/>
          <w:lang w:eastAsia="en-US"/>
        </w:rPr>
        <w:t>е</w:t>
      </w:r>
      <w:r w:rsidRPr="00787EA7">
        <w:rPr>
          <w:rFonts w:eastAsia="Calibri"/>
          <w:sz w:val="22"/>
          <w:szCs w:val="22"/>
          <w:lang w:eastAsia="en-US"/>
        </w:rPr>
        <w:t>тить, что НДФЛ –  это федеральный налог. Однако в соответствии с БК РФ 85% этого налога перечисляется в бюджеты субъектов РФ.</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 xml:space="preserve">В расходах бюджета МО «Славянский район» наибольший удельный вес имеют расходы на образование – почти 70 % всех расходов в 2018 г. </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Финансовыми органами Славянского района особое внимание уделяется повышению эффективности расходов и оказанию мун</w:t>
      </w:r>
      <w:r w:rsidRPr="00787EA7">
        <w:rPr>
          <w:rFonts w:eastAsia="Calibri"/>
          <w:sz w:val="22"/>
          <w:szCs w:val="22"/>
          <w:lang w:eastAsia="en-US"/>
        </w:rPr>
        <w:t>и</w:t>
      </w:r>
      <w:r w:rsidRPr="00787EA7">
        <w:rPr>
          <w:rFonts w:eastAsia="Calibri"/>
          <w:sz w:val="22"/>
          <w:szCs w:val="22"/>
          <w:lang w:eastAsia="en-US"/>
        </w:rPr>
        <w:t>ципальных услуг, а также ведется работа по развитию программно-целевых методов управления иоптимизации бюджетной сети.</w:t>
      </w:r>
    </w:p>
    <w:p w:rsidR="00724342" w:rsidRPr="00787EA7" w:rsidRDefault="00724342" w:rsidP="00724342">
      <w:pPr>
        <w:ind w:firstLine="426"/>
        <w:contextualSpacing/>
        <w:jc w:val="both"/>
        <w:rPr>
          <w:rFonts w:eastAsia="Calibri"/>
          <w:sz w:val="22"/>
          <w:szCs w:val="22"/>
          <w:lang w:eastAsia="en-US"/>
        </w:rPr>
      </w:pPr>
    </w:p>
    <w:p w:rsidR="00724342" w:rsidRPr="00787EA7" w:rsidRDefault="00724342" w:rsidP="00724342">
      <w:pPr>
        <w:ind w:firstLine="426"/>
        <w:contextualSpacing/>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1. Блохина И. М. Основные направления бюджетной политики российской федерации // И. М. Блохина В сборнике: Научное обе</w:t>
      </w:r>
      <w:r w:rsidRPr="00787EA7">
        <w:rPr>
          <w:rFonts w:eastAsia="Calibri"/>
          <w:sz w:val="22"/>
          <w:szCs w:val="22"/>
          <w:lang w:eastAsia="en-US"/>
        </w:rPr>
        <w:t>с</w:t>
      </w:r>
      <w:r w:rsidRPr="00787EA7">
        <w:rPr>
          <w:rFonts w:eastAsia="Calibri"/>
          <w:sz w:val="22"/>
          <w:szCs w:val="22"/>
          <w:lang w:eastAsia="en-US"/>
        </w:rPr>
        <w:t>печение агропромышленного комплекса Сборник статей по матер</w:t>
      </w:r>
      <w:r w:rsidRPr="00787EA7">
        <w:rPr>
          <w:rFonts w:eastAsia="Calibri"/>
          <w:sz w:val="22"/>
          <w:szCs w:val="22"/>
          <w:lang w:eastAsia="en-US"/>
        </w:rPr>
        <w:t>и</w:t>
      </w:r>
      <w:r w:rsidRPr="00787EA7">
        <w:rPr>
          <w:rFonts w:eastAsia="Calibri"/>
          <w:sz w:val="22"/>
          <w:szCs w:val="22"/>
          <w:lang w:eastAsia="en-US"/>
        </w:rPr>
        <w:t>алам 71-й научно-практической конференции преподавателей по итогам НИР за 2015 год. Ответственный за выпуск А. Г. Кощаев. 2016. С. 660-661.</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2. Никритина М.А.Особенности структуры доходов и расходов местного бюджета МО Усть-Лабинский район / М.А. Никритина, И.М. Блохина // Современные научные исследования и разработки. 2017. № 6 (14). С. 184-186.</w:t>
      </w:r>
    </w:p>
    <w:p w:rsidR="00724342" w:rsidRPr="00787EA7" w:rsidRDefault="007543A3" w:rsidP="00724342">
      <w:pPr>
        <w:ind w:firstLine="426"/>
        <w:contextualSpacing/>
        <w:jc w:val="both"/>
        <w:rPr>
          <w:rFonts w:eastAsia="Calibri"/>
          <w:sz w:val="22"/>
          <w:szCs w:val="22"/>
          <w:lang w:eastAsia="en-US"/>
        </w:rPr>
      </w:pPr>
      <w:r>
        <w:rPr>
          <w:rFonts w:eastAsia="Calibri"/>
          <w:sz w:val="22"/>
          <w:szCs w:val="22"/>
          <w:lang w:eastAsia="en-US"/>
        </w:rPr>
        <w:lastRenderedPageBreak/>
        <w:t>3</w:t>
      </w:r>
      <w:r w:rsidR="00724342" w:rsidRPr="00787EA7">
        <w:rPr>
          <w:rFonts w:eastAsia="Calibri"/>
          <w:sz w:val="22"/>
          <w:szCs w:val="22"/>
          <w:lang w:eastAsia="en-US"/>
        </w:rPr>
        <w:t>. Блохина И.М.Основные факторы развития глобальных ф</w:t>
      </w:r>
      <w:r w:rsidR="00724342" w:rsidRPr="00787EA7">
        <w:rPr>
          <w:rFonts w:eastAsia="Calibri"/>
          <w:sz w:val="22"/>
          <w:szCs w:val="22"/>
          <w:lang w:eastAsia="en-US"/>
        </w:rPr>
        <w:t>и</w:t>
      </w:r>
      <w:r w:rsidR="00724342" w:rsidRPr="00787EA7">
        <w:rPr>
          <w:rFonts w:eastAsia="Calibri"/>
          <w:sz w:val="22"/>
          <w:szCs w:val="22"/>
          <w:lang w:eastAsia="en-US"/>
        </w:rPr>
        <w:t>нансовых центров / И.М. Блохина, И.А.Неводова, А.Р. Газизов // Экономика и бизнес: теория и практика. 2017. № 5. С. 48-50.</w:t>
      </w:r>
    </w:p>
    <w:p w:rsidR="003F3918" w:rsidRDefault="003F3918" w:rsidP="003F3918">
      <w:pPr>
        <w:spacing w:line="276" w:lineRule="auto"/>
        <w:outlineLvl w:val="0"/>
        <w:rPr>
          <w:rFonts w:eastAsia="Calibri"/>
          <w:sz w:val="22"/>
          <w:szCs w:val="22"/>
          <w:lang w:eastAsia="en-US"/>
        </w:rPr>
      </w:pPr>
    </w:p>
    <w:p w:rsidR="003F3918" w:rsidRDefault="003F3918" w:rsidP="003F3918">
      <w:pPr>
        <w:spacing w:line="276" w:lineRule="auto"/>
        <w:outlineLvl w:val="0"/>
        <w:rPr>
          <w:rFonts w:eastAsia="Calibri"/>
          <w:sz w:val="22"/>
          <w:szCs w:val="22"/>
          <w:lang w:eastAsia="en-US"/>
        </w:rPr>
      </w:pPr>
    </w:p>
    <w:p w:rsidR="003F3918" w:rsidRPr="003F3918" w:rsidRDefault="003F3918" w:rsidP="003F3918">
      <w:pPr>
        <w:spacing w:line="276" w:lineRule="auto"/>
        <w:outlineLvl w:val="0"/>
        <w:rPr>
          <w:rFonts w:eastAsia="Calibri"/>
          <w:sz w:val="22"/>
          <w:szCs w:val="22"/>
          <w:lang w:eastAsia="en-US"/>
        </w:rPr>
      </w:pPr>
    </w:p>
    <w:p w:rsidR="00724342" w:rsidRPr="003F3918" w:rsidRDefault="00724342" w:rsidP="003F3918">
      <w:pPr>
        <w:spacing w:line="276" w:lineRule="auto"/>
        <w:outlineLvl w:val="0"/>
        <w:rPr>
          <w:rFonts w:eastAsia="Calibri"/>
          <w:sz w:val="22"/>
          <w:szCs w:val="22"/>
          <w:lang w:eastAsia="en-US"/>
        </w:rPr>
      </w:pPr>
      <w:r w:rsidRPr="003F3918">
        <w:rPr>
          <w:rFonts w:eastAsia="Calibri"/>
          <w:sz w:val="22"/>
          <w:szCs w:val="22"/>
          <w:lang w:eastAsia="en-US"/>
        </w:rPr>
        <w:t xml:space="preserve">УДК 658  </w:t>
      </w:r>
    </w:p>
    <w:p w:rsidR="00724342" w:rsidRPr="00787EA7" w:rsidRDefault="00724342" w:rsidP="00724342">
      <w:pPr>
        <w:ind w:firstLine="425"/>
        <w:jc w:val="center"/>
        <w:outlineLvl w:val="0"/>
        <w:rPr>
          <w:rFonts w:eastAsia="Calibri"/>
          <w:b/>
          <w:sz w:val="24"/>
          <w:szCs w:val="24"/>
          <w:lang w:eastAsia="en-US"/>
        </w:rPr>
      </w:pPr>
      <w:r w:rsidRPr="00787EA7">
        <w:rPr>
          <w:rFonts w:eastAsia="Calibri"/>
          <w:b/>
          <w:sz w:val="24"/>
          <w:szCs w:val="24"/>
          <w:lang w:eastAsia="en-US"/>
        </w:rPr>
        <w:t>Автострахование в России</w:t>
      </w:r>
    </w:p>
    <w:p w:rsidR="00724342" w:rsidRDefault="00724342" w:rsidP="00724342">
      <w:pPr>
        <w:ind w:firstLine="425"/>
        <w:jc w:val="center"/>
        <w:rPr>
          <w:rFonts w:eastAsia="Calibri"/>
          <w:b/>
          <w:sz w:val="24"/>
          <w:szCs w:val="24"/>
          <w:lang w:eastAsia="en-US"/>
        </w:rPr>
      </w:pPr>
      <w:r w:rsidRPr="00787EA7">
        <w:rPr>
          <w:rFonts w:eastAsia="Calibri"/>
          <w:b/>
          <w:sz w:val="24"/>
          <w:szCs w:val="24"/>
          <w:lang w:val="en-US" w:eastAsia="en-US"/>
        </w:rPr>
        <w:t>Carinsurance</w:t>
      </w:r>
      <w:r w:rsidRPr="00787EA7">
        <w:rPr>
          <w:rFonts w:eastAsia="Calibri"/>
          <w:b/>
          <w:sz w:val="24"/>
          <w:szCs w:val="24"/>
          <w:lang w:eastAsia="en-US"/>
        </w:rPr>
        <w:t xml:space="preserve"> </w:t>
      </w:r>
      <w:r w:rsidRPr="00787EA7">
        <w:rPr>
          <w:rFonts w:eastAsia="Calibri"/>
          <w:b/>
          <w:sz w:val="24"/>
          <w:szCs w:val="24"/>
          <w:lang w:val="en-US" w:eastAsia="en-US"/>
        </w:rPr>
        <w:t>in</w:t>
      </w:r>
      <w:r w:rsidRPr="00787EA7">
        <w:rPr>
          <w:rFonts w:eastAsia="Calibri"/>
          <w:b/>
          <w:sz w:val="24"/>
          <w:szCs w:val="24"/>
          <w:lang w:eastAsia="en-US"/>
        </w:rPr>
        <w:t xml:space="preserve"> </w:t>
      </w:r>
      <w:r w:rsidRPr="00787EA7">
        <w:rPr>
          <w:rFonts w:eastAsia="Calibri"/>
          <w:b/>
          <w:sz w:val="24"/>
          <w:szCs w:val="24"/>
          <w:lang w:val="en-US" w:eastAsia="en-US"/>
        </w:rPr>
        <w:t>Russia</w:t>
      </w:r>
    </w:p>
    <w:p w:rsidR="003F3918" w:rsidRPr="003F3918" w:rsidRDefault="003F3918" w:rsidP="00724342">
      <w:pPr>
        <w:ind w:firstLine="425"/>
        <w:jc w:val="center"/>
        <w:rPr>
          <w:rFonts w:eastAsia="Calibri"/>
          <w:b/>
          <w:sz w:val="24"/>
          <w:szCs w:val="24"/>
          <w:lang w:eastAsia="en-US"/>
        </w:rPr>
      </w:pP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Бешкок Е.</w:t>
      </w:r>
      <w:r w:rsidR="003F3918">
        <w:rPr>
          <w:rFonts w:eastAsia="Calibri"/>
          <w:sz w:val="22"/>
          <w:szCs w:val="22"/>
          <w:lang w:eastAsia="en-US"/>
        </w:rPr>
        <w:t xml:space="preserve"> </w:t>
      </w:r>
      <w:r w:rsidRPr="00787EA7">
        <w:rPr>
          <w:rFonts w:eastAsia="Calibri"/>
          <w:sz w:val="22"/>
          <w:szCs w:val="22"/>
          <w:lang w:eastAsia="en-US"/>
        </w:rPr>
        <w:t>А.,</w:t>
      </w:r>
    </w:p>
    <w:p w:rsidR="00724342" w:rsidRPr="00787EA7" w:rsidRDefault="00724342" w:rsidP="00724342">
      <w:pPr>
        <w:spacing w:line="276" w:lineRule="auto"/>
        <w:ind w:firstLine="425"/>
        <w:jc w:val="right"/>
        <w:rPr>
          <w:rFonts w:eastAsia="Calibri"/>
          <w:sz w:val="22"/>
          <w:szCs w:val="22"/>
          <w:lang w:eastAsia="en-US"/>
        </w:rPr>
      </w:pPr>
      <w:r w:rsidRPr="00787EA7">
        <w:rPr>
          <w:rFonts w:eastAsia="Calibri"/>
          <w:sz w:val="22"/>
          <w:szCs w:val="22"/>
          <w:lang w:eastAsia="en-US"/>
        </w:rPr>
        <w:t>студентка 4 ку</w:t>
      </w:r>
      <w:r w:rsidR="007543A3">
        <w:rPr>
          <w:rFonts w:eastAsia="Calibri"/>
          <w:sz w:val="22"/>
          <w:szCs w:val="22"/>
          <w:lang w:eastAsia="en-US"/>
        </w:rPr>
        <w:t>рса</w:t>
      </w:r>
      <w:r w:rsidRPr="00787EA7">
        <w:rPr>
          <w:rFonts w:eastAsia="Calibri"/>
          <w:sz w:val="22"/>
          <w:szCs w:val="22"/>
          <w:lang w:eastAsia="en-US"/>
        </w:rPr>
        <w:t xml:space="preserve"> факультета «Финансы и кредит»</w:t>
      </w:r>
    </w:p>
    <w:p w:rsidR="00724342" w:rsidRPr="00787EA7" w:rsidRDefault="00724342" w:rsidP="00724342">
      <w:pPr>
        <w:spacing w:line="276" w:lineRule="auto"/>
        <w:ind w:firstLine="425"/>
        <w:jc w:val="right"/>
        <w:rPr>
          <w:rFonts w:eastAsia="Calibri"/>
          <w:sz w:val="22"/>
          <w:szCs w:val="22"/>
          <w:lang w:eastAsia="en-US"/>
        </w:rPr>
      </w:pPr>
      <w:r w:rsidRPr="00787EA7">
        <w:rPr>
          <w:rFonts w:eastAsia="Calibri"/>
          <w:sz w:val="22"/>
          <w:szCs w:val="22"/>
          <w:lang w:eastAsia="en-US"/>
        </w:rPr>
        <w:t>Васильченко Е.</w:t>
      </w:r>
      <w:r w:rsidR="003F3918">
        <w:rPr>
          <w:rFonts w:eastAsia="Calibri"/>
          <w:sz w:val="22"/>
          <w:szCs w:val="22"/>
          <w:lang w:eastAsia="en-US"/>
        </w:rPr>
        <w:t xml:space="preserve"> </w:t>
      </w:r>
      <w:r w:rsidRPr="00787EA7">
        <w:rPr>
          <w:rFonts w:eastAsia="Calibri"/>
          <w:sz w:val="22"/>
          <w:szCs w:val="22"/>
          <w:lang w:eastAsia="en-US"/>
        </w:rPr>
        <w:t>И.,</w:t>
      </w:r>
    </w:p>
    <w:p w:rsidR="00724342" w:rsidRPr="00787EA7" w:rsidRDefault="003F3918" w:rsidP="00724342">
      <w:pPr>
        <w:spacing w:line="276" w:lineRule="auto"/>
        <w:ind w:firstLine="425"/>
        <w:jc w:val="right"/>
        <w:rPr>
          <w:rFonts w:eastAsia="Calibri"/>
          <w:sz w:val="22"/>
          <w:szCs w:val="22"/>
          <w:lang w:eastAsia="en-US"/>
        </w:rPr>
      </w:pPr>
      <w:r>
        <w:rPr>
          <w:rFonts w:eastAsia="Calibri"/>
          <w:sz w:val="22"/>
          <w:szCs w:val="22"/>
          <w:lang w:eastAsia="en-US"/>
        </w:rPr>
        <w:t>доцент кафедры финансов</w:t>
      </w:r>
    </w:p>
    <w:p w:rsidR="00724342" w:rsidRPr="00787EA7" w:rsidRDefault="00724342" w:rsidP="00724342">
      <w:pPr>
        <w:spacing w:line="276" w:lineRule="auto"/>
        <w:ind w:firstLine="425"/>
        <w:jc w:val="right"/>
        <w:rPr>
          <w:rFonts w:eastAsia="Calibri"/>
          <w:sz w:val="22"/>
          <w:szCs w:val="22"/>
          <w:lang w:eastAsia="en-US"/>
        </w:rPr>
      </w:pPr>
      <w:r w:rsidRPr="00787EA7">
        <w:rPr>
          <w:rFonts w:eastAsia="Calibri"/>
          <w:sz w:val="22"/>
          <w:szCs w:val="22"/>
          <w:lang w:eastAsia="en-US"/>
        </w:rPr>
        <w:t xml:space="preserve">Кубанский государственный аграрный </w:t>
      </w:r>
    </w:p>
    <w:p w:rsidR="00724342" w:rsidRPr="00787EA7" w:rsidRDefault="003F3918" w:rsidP="00724342">
      <w:pPr>
        <w:spacing w:line="276" w:lineRule="auto"/>
        <w:ind w:firstLine="425"/>
        <w:jc w:val="right"/>
        <w:rPr>
          <w:rFonts w:eastAsia="Calibri"/>
          <w:b/>
          <w:i/>
          <w:lang w:eastAsia="en-US"/>
        </w:rPr>
      </w:pPr>
      <w:r>
        <w:rPr>
          <w:rFonts w:eastAsia="Calibri"/>
          <w:sz w:val="22"/>
          <w:szCs w:val="22"/>
          <w:lang w:eastAsia="en-US"/>
        </w:rPr>
        <w:t xml:space="preserve">университет </w:t>
      </w:r>
      <w:r w:rsidR="00724342" w:rsidRPr="00787EA7">
        <w:rPr>
          <w:rFonts w:eastAsia="Calibri"/>
          <w:sz w:val="22"/>
          <w:szCs w:val="22"/>
          <w:lang w:eastAsia="en-US"/>
        </w:rPr>
        <w:t>имени И. Т. Трубилина</w:t>
      </w:r>
    </w:p>
    <w:p w:rsidR="00724342" w:rsidRPr="00787EA7" w:rsidRDefault="00724342" w:rsidP="00724342">
      <w:pPr>
        <w:ind w:firstLine="425"/>
        <w:jc w:val="both"/>
        <w:rPr>
          <w:rFonts w:eastAsia="Calibri"/>
          <w:sz w:val="22"/>
          <w:szCs w:val="22"/>
          <w:lang w:eastAsia="en-US"/>
        </w:rPr>
      </w:pPr>
    </w:p>
    <w:p w:rsidR="00724342" w:rsidRPr="00787EA7" w:rsidRDefault="00724342" w:rsidP="00724342">
      <w:pPr>
        <w:ind w:firstLine="425"/>
        <w:jc w:val="both"/>
        <w:rPr>
          <w:rFonts w:ascii="Calibri" w:eastAsia="Calibri" w:hAnsi="Calibri"/>
          <w:b/>
          <w:sz w:val="22"/>
          <w:szCs w:val="22"/>
          <w:lang w:eastAsia="en-US"/>
        </w:rPr>
      </w:pPr>
      <w:r w:rsidRPr="00787EA7">
        <w:rPr>
          <w:rFonts w:eastAsia="Calibri"/>
          <w:sz w:val="22"/>
          <w:szCs w:val="22"/>
          <w:lang w:eastAsia="en-US"/>
        </w:rPr>
        <w:t>АННОТАЦИЯ: Страхование автомобиля – основная часть страхования. При автостраховании затрагивается две сферы: им</w:t>
      </w:r>
      <w:r w:rsidRPr="00787EA7">
        <w:rPr>
          <w:rFonts w:eastAsia="Calibri"/>
          <w:sz w:val="22"/>
          <w:szCs w:val="22"/>
          <w:lang w:eastAsia="en-US"/>
        </w:rPr>
        <w:t>у</w:t>
      </w:r>
      <w:r w:rsidRPr="00787EA7">
        <w:rPr>
          <w:rFonts w:eastAsia="Calibri"/>
          <w:sz w:val="22"/>
          <w:szCs w:val="22"/>
          <w:lang w:eastAsia="en-US"/>
        </w:rPr>
        <w:t>щественная и личная. В нашей стране автострахование стало масс</w:t>
      </w:r>
      <w:r w:rsidRPr="00787EA7">
        <w:rPr>
          <w:rFonts w:eastAsia="Calibri"/>
          <w:sz w:val="22"/>
          <w:szCs w:val="22"/>
          <w:lang w:eastAsia="en-US"/>
        </w:rPr>
        <w:t>о</w:t>
      </w:r>
      <w:r w:rsidRPr="00787EA7">
        <w:rPr>
          <w:rFonts w:eastAsia="Calibri"/>
          <w:sz w:val="22"/>
          <w:szCs w:val="22"/>
          <w:lang w:eastAsia="en-US"/>
        </w:rPr>
        <w:t xml:space="preserve">вым явлением лишь в последние десять лет – после принятия закона об </w:t>
      </w:r>
      <w:r w:rsidRPr="00787EA7">
        <w:rPr>
          <w:rFonts w:eastAsia="Calibri"/>
          <w:bCs/>
          <w:sz w:val="22"/>
          <w:szCs w:val="22"/>
          <w:lang w:eastAsia="en-US"/>
        </w:rPr>
        <w:t>ОСАГО</w:t>
      </w:r>
      <w:r w:rsidRPr="00787EA7">
        <w:rPr>
          <w:rFonts w:ascii="Calibri" w:eastAsia="Calibri" w:hAnsi="Calibri"/>
          <w:b/>
          <w:sz w:val="22"/>
          <w:szCs w:val="22"/>
          <w:lang w:eastAsia="en-US"/>
        </w:rPr>
        <w:t>.</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Car insurance is the main part of insurance. If autorun addressed two areas: the lie and property. In our country, the author b</w:t>
      </w:r>
      <w:r w:rsidRPr="00787EA7">
        <w:rPr>
          <w:rFonts w:eastAsia="Calibri"/>
          <w:sz w:val="22"/>
          <w:szCs w:val="22"/>
          <w:lang w:val="en-US" w:eastAsia="en-US"/>
        </w:rPr>
        <w:t>e</w:t>
      </w:r>
      <w:r w:rsidRPr="00787EA7">
        <w:rPr>
          <w:rFonts w:eastAsia="Calibri"/>
          <w:sz w:val="22"/>
          <w:szCs w:val="22"/>
          <w:lang w:val="en-US" w:eastAsia="en-US"/>
        </w:rPr>
        <w:t xml:space="preserve">came a mass phenomenon only in the last ten years – after the adoption of the law on CTP.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Автострахование, страхование, ОСАГО, КАСКО, страховщики, автоюристы, франшиза.</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KEYWORDS: Author, insurance, CTP, CA, street, car tourists, franchise.</w:t>
      </w:r>
    </w:p>
    <w:p w:rsidR="00724342" w:rsidRPr="00787EA7" w:rsidRDefault="00724342" w:rsidP="00724342">
      <w:pPr>
        <w:ind w:firstLine="425"/>
        <w:jc w:val="both"/>
        <w:rPr>
          <w:rFonts w:eastAsia="Calibri"/>
          <w:i/>
          <w:sz w:val="22"/>
          <w:szCs w:val="22"/>
          <w:lang w:val="en-US" w:eastAsia="en-US"/>
        </w:rPr>
      </w:pPr>
    </w:p>
    <w:p w:rsidR="00724342" w:rsidRPr="00787EA7" w:rsidRDefault="00724342" w:rsidP="00724342">
      <w:pPr>
        <w:ind w:firstLine="425"/>
        <w:jc w:val="both"/>
        <w:rPr>
          <w:sz w:val="22"/>
          <w:szCs w:val="22"/>
        </w:rPr>
      </w:pPr>
      <w:r w:rsidRPr="00787EA7">
        <w:rPr>
          <w:sz w:val="22"/>
          <w:szCs w:val="22"/>
        </w:rPr>
        <w:t>Ключевой проблемой страховой отрасли в 2017 году остается ситуация на рынке ОСАГО. Уже сейчас в 26 регионах РФ набл</w:t>
      </w:r>
      <w:r w:rsidRPr="00787EA7">
        <w:rPr>
          <w:sz w:val="22"/>
          <w:szCs w:val="22"/>
        </w:rPr>
        <w:t>ю</w:t>
      </w:r>
      <w:r w:rsidRPr="00787EA7">
        <w:rPr>
          <w:sz w:val="22"/>
          <w:szCs w:val="22"/>
        </w:rPr>
        <w:t>даются проблемы с доступностью полисов обязательной "автогра</w:t>
      </w:r>
      <w:r w:rsidRPr="00787EA7">
        <w:rPr>
          <w:sz w:val="22"/>
          <w:szCs w:val="22"/>
        </w:rPr>
        <w:t>ж</w:t>
      </w:r>
      <w:r w:rsidRPr="00787EA7">
        <w:rPr>
          <w:sz w:val="22"/>
          <w:szCs w:val="22"/>
        </w:rPr>
        <w:t xml:space="preserve">данки"  [2]. </w:t>
      </w:r>
    </w:p>
    <w:p w:rsidR="00724342" w:rsidRPr="00787EA7" w:rsidRDefault="00724342" w:rsidP="00724342">
      <w:pPr>
        <w:ind w:firstLine="425"/>
        <w:jc w:val="both"/>
        <w:rPr>
          <w:sz w:val="22"/>
          <w:szCs w:val="22"/>
        </w:rPr>
      </w:pPr>
      <w:r w:rsidRPr="00787EA7">
        <w:rPr>
          <w:sz w:val="22"/>
          <w:szCs w:val="22"/>
        </w:rPr>
        <w:lastRenderedPageBreak/>
        <w:t>При ККУ более 100% страховщик работает в убыток и стр</w:t>
      </w:r>
      <w:r w:rsidRPr="00787EA7">
        <w:rPr>
          <w:sz w:val="22"/>
          <w:szCs w:val="22"/>
        </w:rPr>
        <w:t>е</w:t>
      </w:r>
      <w:r w:rsidRPr="00787EA7">
        <w:rPr>
          <w:sz w:val="22"/>
          <w:szCs w:val="22"/>
        </w:rPr>
        <w:t>мится уклониться от ОСАГО. В результате покупка полиса стан</w:t>
      </w:r>
      <w:r w:rsidRPr="00787EA7">
        <w:rPr>
          <w:sz w:val="22"/>
          <w:szCs w:val="22"/>
        </w:rPr>
        <w:t>о</w:t>
      </w:r>
      <w:r w:rsidRPr="00787EA7">
        <w:rPr>
          <w:sz w:val="22"/>
          <w:szCs w:val="22"/>
        </w:rPr>
        <w:t>вится затруднительной. При стабильно низком коэффициенте, с з</w:t>
      </w:r>
      <w:r w:rsidRPr="00787EA7">
        <w:rPr>
          <w:sz w:val="22"/>
          <w:szCs w:val="22"/>
        </w:rPr>
        <w:t>а</w:t>
      </w:r>
      <w:r w:rsidRPr="00787EA7">
        <w:rPr>
          <w:sz w:val="22"/>
          <w:szCs w:val="22"/>
        </w:rPr>
        <w:t>пасом в 30 процентных пунктов и более, есть возможность для снижения территориального коэффициента.</w:t>
      </w:r>
    </w:p>
    <w:p w:rsidR="00724342" w:rsidRPr="00787EA7" w:rsidRDefault="00724342" w:rsidP="00724342">
      <w:pPr>
        <w:ind w:firstLine="425"/>
        <w:jc w:val="both"/>
        <w:rPr>
          <w:sz w:val="22"/>
          <w:szCs w:val="22"/>
        </w:rPr>
      </w:pPr>
      <w:r w:rsidRPr="00787EA7">
        <w:rPr>
          <w:sz w:val="22"/>
          <w:szCs w:val="22"/>
        </w:rPr>
        <w:t>Максимальное – на 25% – повышение территориальных коэ</w:t>
      </w:r>
      <w:r w:rsidRPr="00787EA7">
        <w:rPr>
          <w:sz w:val="22"/>
          <w:szCs w:val="22"/>
        </w:rPr>
        <w:t>ф</w:t>
      </w:r>
      <w:r w:rsidRPr="00787EA7">
        <w:rPr>
          <w:sz w:val="22"/>
          <w:szCs w:val="22"/>
        </w:rPr>
        <w:t>фициентов произойдет в Камчатском крае и Мордовии. Самое зн</w:t>
      </w:r>
      <w:r w:rsidRPr="00787EA7">
        <w:rPr>
          <w:sz w:val="22"/>
          <w:szCs w:val="22"/>
        </w:rPr>
        <w:t>а</w:t>
      </w:r>
      <w:r w:rsidRPr="00787EA7">
        <w:rPr>
          <w:sz w:val="22"/>
          <w:szCs w:val="22"/>
        </w:rPr>
        <w:t>чительное понижение – на 41% – в Магаданской области.</w:t>
      </w:r>
    </w:p>
    <w:p w:rsidR="00724342" w:rsidRPr="00787EA7" w:rsidRDefault="00724342" w:rsidP="00724342">
      <w:pPr>
        <w:ind w:firstLine="425"/>
        <w:jc w:val="both"/>
        <w:rPr>
          <w:sz w:val="22"/>
          <w:szCs w:val="22"/>
        </w:rPr>
      </w:pPr>
      <w:r w:rsidRPr="00787EA7">
        <w:rPr>
          <w:sz w:val="22"/>
          <w:szCs w:val="22"/>
        </w:rPr>
        <w:t>По состоянию на 8 января фактические продажи ОСАГО ос</w:t>
      </w:r>
      <w:r w:rsidRPr="00787EA7">
        <w:rPr>
          <w:sz w:val="22"/>
          <w:szCs w:val="22"/>
        </w:rPr>
        <w:t>у</w:t>
      </w:r>
      <w:r w:rsidRPr="00787EA7">
        <w:rPr>
          <w:sz w:val="22"/>
          <w:szCs w:val="22"/>
        </w:rPr>
        <w:t>ществляли 54 страховые компании. По количеству проданных эле</w:t>
      </w:r>
      <w:r w:rsidRPr="00787EA7">
        <w:rPr>
          <w:sz w:val="22"/>
          <w:szCs w:val="22"/>
        </w:rPr>
        <w:t>к</w:t>
      </w:r>
      <w:r w:rsidRPr="00787EA7">
        <w:rPr>
          <w:sz w:val="22"/>
          <w:szCs w:val="22"/>
        </w:rPr>
        <w:t>тронных полисов – 2221 е-полис  Краснодарский край лидирует в рейтинге российских регионов. На втором месте – Волгоградская область (1145), на третьем – Ростовская область, где продано 1066 электронных полисов.</w:t>
      </w:r>
    </w:p>
    <w:p w:rsidR="00724342" w:rsidRPr="00787EA7" w:rsidRDefault="00724342" w:rsidP="00724342">
      <w:pPr>
        <w:ind w:firstLine="425"/>
        <w:jc w:val="both"/>
        <w:rPr>
          <w:sz w:val="22"/>
          <w:szCs w:val="22"/>
        </w:rPr>
      </w:pPr>
      <w:r w:rsidRPr="00787EA7">
        <w:rPr>
          <w:sz w:val="22"/>
          <w:szCs w:val="22"/>
        </w:rPr>
        <w:t>Процедура покупки е-полиса ОСАГО предполагает регистр</w:t>
      </w:r>
      <w:r w:rsidRPr="00787EA7">
        <w:rPr>
          <w:sz w:val="22"/>
          <w:szCs w:val="22"/>
        </w:rPr>
        <w:t>а</w:t>
      </w:r>
      <w:r w:rsidRPr="00787EA7">
        <w:rPr>
          <w:sz w:val="22"/>
          <w:szCs w:val="22"/>
        </w:rPr>
        <w:t>цию клиентом на сайте компании личного кабинета, заполнения заявления о заключении договора. После этих процедур будет ра</w:t>
      </w:r>
      <w:r w:rsidRPr="00787EA7">
        <w:rPr>
          <w:sz w:val="22"/>
          <w:szCs w:val="22"/>
        </w:rPr>
        <w:t>с</w:t>
      </w:r>
      <w:r w:rsidRPr="00787EA7">
        <w:rPr>
          <w:sz w:val="22"/>
          <w:szCs w:val="22"/>
        </w:rPr>
        <w:t>считан размер страховой премии (стоимость не отличается при п</w:t>
      </w:r>
      <w:r w:rsidRPr="00787EA7">
        <w:rPr>
          <w:sz w:val="22"/>
          <w:szCs w:val="22"/>
        </w:rPr>
        <w:t>о</w:t>
      </w:r>
      <w:r w:rsidRPr="00787EA7">
        <w:rPr>
          <w:sz w:val="22"/>
          <w:szCs w:val="22"/>
        </w:rPr>
        <w:t>купке полиса в офисе страховой компании), и страхователь сможет оплатить заключение договора на сайте с помощью банковской ка</w:t>
      </w:r>
      <w:r w:rsidRPr="00787EA7">
        <w:rPr>
          <w:sz w:val="22"/>
          <w:szCs w:val="22"/>
        </w:rPr>
        <w:t>р</w:t>
      </w:r>
      <w:r w:rsidRPr="00787EA7">
        <w:rPr>
          <w:sz w:val="22"/>
          <w:szCs w:val="22"/>
        </w:rPr>
        <w:t xml:space="preserve">ты. </w:t>
      </w:r>
    </w:p>
    <w:p w:rsidR="00724342" w:rsidRPr="00787EA7" w:rsidRDefault="00724342" w:rsidP="00724342">
      <w:pPr>
        <w:ind w:firstLine="425"/>
        <w:jc w:val="both"/>
        <w:rPr>
          <w:sz w:val="22"/>
          <w:szCs w:val="22"/>
        </w:rPr>
      </w:pPr>
      <w:r w:rsidRPr="00787EA7">
        <w:rPr>
          <w:sz w:val="22"/>
          <w:szCs w:val="22"/>
        </w:rPr>
        <w:t>Проверка данных, указанных в заявлении, осуществляется ч</w:t>
      </w:r>
      <w:r w:rsidRPr="00787EA7">
        <w:rPr>
          <w:sz w:val="22"/>
          <w:szCs w:val="22"/>
        </w:rPr>
        <w:t>е</w:t>
      </w:r>
      <w:r w:rsidRPr="00787EA7">
        <w:rPr>
          <w:sz w:val="22"/>
          <w:szCs w:val="22"/>
        </w:rPr>
        <w:t>рез автоматизированную информационную систему (АИС) РСА. Полис будет направлен страхователю по электронной почте, его следует распечатать и иметь при себе при управлении автомобилем.</w:t>
      </w:r>
    </w:p>
    <w:p w:rsidR="00724342" w:rsidRPr="00787EA7" w:rsidRDefault="00724342" w:rsidP="00724342">
      <w:pPr>
        <w:ind w:firstLine="425"/>
        <w:jc w:val="both"/>
        <w:rPr>
          <w:sz w:val="22"/>
          <w:szCs w:val="22"/>
        </w:rPr>
      </w:pPr>
      <w:r w:rsidRPr="00787EA7">
        <w:rPr>
          <w:sz w:val="22"/>
          <w:szCs w:val="22"/>
        </w:rPr>
        <w:t>Однако страховщики, не желая продавать полисы в регионах с высокой убыточностью, сокращают количество договоров в продаже. Причиной высокой убыточности и, как следствие, пр</w:t>
      </w:r>
      <w:r w:rsidRPr="00787EA7">
        <w:rPr>
          <w:sz w:val="22"/>
          <w:szCs w:val="22"/>
        </w:rPr>
        <w:t>о</w:t>
      </w:r>
      <w:r w:rsidRPr="00787EA7">
        <w:rPr>
          <w:sz w:val="22"/>
          <w:szCs w:val="22"/>
        </w:rPr>
        <w:t>блем с доступностью является чрезмерная активность недоброс</w:t>
      </w:r>
      <w:r w:rsidRPr="00787EA7">
        <w:rPr>
          <w:sz w:val="22"/>
          <w:szCs w:val="22"/>
        </w:rPr>
        <w:t>о</w:t>
      </w:r>
      <w:r w:rsidRPr="00787EA7">
        <w:rPr>
          <w:sz w:val="22"/>
          <w:szCs w:val="22"/>
        </w:rPr>
        <w:t>вестных автоюристов. Они отслеживают и выезжают на места ДТП, скупают у их участников требования, выплачивая им небольшие деньги прямо на месте, а затем через суд взыскивают со страховщиков значительные суммы [3].</w:t>
      </w:r>
    </w:p>
    <w:p w:rsidR="00724342" w:rsidRPr="00787EA7" w:rsidRDefault="00724342" w:rsidP="00724342">
      <w:pPr>
        <w:ind w:firstLine="425"/>
        <w:jc w:val="both"/>
        <w:rPr>
          <w:rFonts w:eastAsia="Calibri"/>
          <w:sz w:val="22"/>
          <w:szCs w:val="22"/>
          <w:lang w:eastAsia="en-US"/>
        </w:rPr>
      </w:pPr>
      <w:r w:rsidRPr="00787EA7">
        <w:rPr>
          <w:sz w:val="22"/>
          <w:szCs w:val="22"/>
        </w:rPr>
        <w:t>Продолжающийся рост убыточности ОСАГО является резул</w:t>
      </w:r>
      <w:r w:rsidRPr="00787EA7">
        <w:rPr>
          <w:sz w:val="22"/>
          <w:szCs w:val="22"/>
        </w:rPr>
        <w:t>ь</w:t>
      </w:r>
      <w:r w:rsidRPr="00787EA7">
        <w:rPr>
          <w:sz w:val="22"/>
          <w:szCs w:val="22"/>
        </w:rPr>
        <w:t>татом страхового мошенничества и недостаточности тарифов, з</w:t>
      </w:r>
      <w:r w:rsidRPr="00787EA7">
        <w:rPr>
          <w:sz w:val="22"/>
          <w:szCs w:val="22"/>
        </w:rPr>
        <w:t>а</w:t>
      </w:r>
      <w:r w:rsidRPr="00787EA7">
        <w:rPr>
          <w:sz w:val="22"/>
          <w:szCs w:val="22"/>
        </w:rPr>
        <w:t xml:space="preserve">ставляет страховщиков принимать активные меры по снижению убыточности Каско. </w:t>
      </w:r>
      <w:r w:rsidRPr="00787EA7">
        <w:rPr>
          <w:rFonts w:eastAsia="Calibri"/>
          <w:sz w:val="22"/>
          <w:szCs w:val="22"/>
          <w:lang w:eastAsia="en-US"/>
        </w:rPr>
        <w:t xml:space="preserve">Положение дел в ОСАГО напрямую зависит от того, насколько эффективно будут решаться те вопросы, которые </w:t>
      </w:r>
      <w:r w:rsidRPr="00787EA7">
        <w:rPr>
          <w:rFonts w:eastAsia="Calibri"/>
          <w:sz w:val="22"/>
          <w:szCs w:val="22"/>
          <w:lang w:eastAsia="en-US"/>
        </w:rPr>
        <w:lastRenderedPageBreak/>
        <w:t>сегодня являются наиболее острыми. Это мошенничество, деятел</w:t>
      </w:r>
      <w:r w:rsidRPr="00787EA7">
        <w:rPr>
          <w:rFonts w:eastAsia="Calibri"/>
          <w:sz w:val="22"/>
          <w:szCs w:val="22"/>
          <w:lang w:eastAsia="en-US"/>
        </w:rPr>
        <w:t>ь</w:t>
      </w:r>
      <w:r w:rsidRPr="00787EA7">
        <w:rPr>
          <w:rFonts w:eastAsia="Calibri"/>
          <w:sz w:val="22"/>
          <w:szCs w:val="22"/>
          <w:lang w:eastAsia="en-US"/>
        </w:rPr>
        <w:t xml:space="preserve">ность автоюристов, проблемы введения обязательного е-ОСАГО (обязательная продажа электронных полисов ОСАГО с 1 января 2017 года – ред.). </w:t>
      </w:r>
    </w:p>
    <w:p w:rsidR="00724342" w:rsidRPr="00787EA7" w:rsidRDefault="00724342" w:rsidP="00724342">
      <w:pPr>
        <w:ind w:firstLine="425"/>
        <w:jc w:val="both"/>
        <w:rPr>
          <w:sz w:val="22"/>
          <w:szCs w:val="22"/>
        </w:rPr>
      </w:pPr>
      <w:r w:rsidRPr="00787EA7">
        <w:rPr>
          <w:rFonts w:eastAsia="Calibri"/>
          <w:sz w:val="22"/>
          <w:szCs w:val="22"/>
          <w:lang w:eastAsia="en-US"/>
        </w:rPr>
        <w:t>Отсутствие эффективных мер в данных направлениях может спровоцировать новую волну роста убыточности в этом виде стр</w:t>
      </w:r>
      <w:r w:rsidRPr="00787EA7">
        <w:rPr>
          <w:rFonts w:eastAsia="Calibri"/>
          <w:sz w:val="22"/>
          <w:szCs w:val="22"/>
          <w:lang w:eastAsia="en-US"/>
        </w:rPr>
        <w:t>а</w:t>
      </w:r>
      <w:r w:rsidRPr="00787EA7">
        <w:rPr>
          <w:rFonts w:eastAsia="Calibri"/>
          <w:sz w:val="22"/>
          <w:szCs w:val="22"/>
          <w:lang w:eastAsia="en-US"/>
        </w:rPr>
        <w:t>хования. Почти три четверти российских страховщиков пессим</w:t>
      </w:r>
      <w:r w:rsidRPr="00787EA7">
        <w:rPr>
          <w:rFonts w:eastAsia="Calibri"/>
          <w:sz w:val="22"/>
          <w:szCs w:val="22"/>
          <w:lang w:eastAsia="en-US"/>
        </w:rPr>
        <w:t>и</w:t>
      </w:r>
      <w:r w:rsidRPr="00787EA7">
        <w:rPr>
          <w:rFonts w:eastAsia="Calibri"/>
          <w:sz w:val="22"/>
          <w:szCs w:val="22"/>
          <w:lang w:eastAsia="en-US"/>
        </w:rPr>
        <w:t>стично оценивают перспективы развития ситуации на рынке ОС</w:t>
      </w:r>
      <w:r w:rsidRPr="00787EA7">
        <w:rPr>
          <w:rFonts w:eastAsia="Calibri"/>
          <w:sz w:val="22"/>
          <w:szCs w:val="22"/>
          <w:lang w:eastAsia="en-US"/>
        </w:rPr>
        <w:t>А</w:t>
      </w:r>
      <w:r w:rsidRPr="00787EA7">
        <w:rPr>
          <w:rFonts w:eastAsia="Calibri"/>
          <w:sz w:val="22"/>
          <w:szCs w:val="22"/>
          <w:lang w:eastAsia="en-US"/>
        </w:rPr>
        <w:t xml:space="preserve">ГО в 2018 году, следует из результатов исследования, проведенного рейтинговым агентством "Эксперт РА". </w:t>
      </w:r>
      <w:r w:rsidRPr="00787EA7">
        <w:rPr>
          <w:sz w:val="22"/>
          <w:szCs w:val="22"/>
        </w:rPr>
        <w:t>Большая часть участников голосования высказала пессимистичные ожидания относительно перспектив развития ситуации на рынке ОСАГО в 2018 году.</w:t>
      </w:r>
    </w:p>
    <w:p w:rsidR="00724342" w:rsidRPr="00787EA7" w:rsidRDefault="00724342" w:rsidP="00724342">
      <w:pPr>
        <w:ind w:firstLine="425"/>
        <w:jc w:val="both"/>
        <w:rPr>
          <w:sz w:val="22"/>
          <w:szCs w:val="22"/>
        </w:rPr>
      </w:pPr>
      <w:r w:rsidRPr="00787EA7">
        <w:rPr>
          <w:sz w:val="22"/>
          <w:szCs w:val="22"/>
        </w:rPr>
        <w:t>68% считают, что меры по стабилизации ситуации в ОСАГО – натуральное возмещение, единый агент РСА, электронные полисы – не дадут ожидаемых результатов, убыточность продолжит расти и игроки начнут покидать рынок.</w:t>
      </w:r>
    </w:p>
    <w:p w:rsidR="00724342" w:rsidRPr="00787EA7" w:rsidRDefault="00724342" w:rsidP="00724342">
      <w:pPr>
        <w:ind w:firstLine="425"/>
        <w:jc w:val="both"/>
        <w:rPr>
          <w:sz w:val="22"/>
          <w:szCs w:val="22"/>
        </w:rPr>
      </w:pPr>
      <w:r w:rsidRPr="00787EA7">
        <w:rPr>
          <w:sz w:val="22"/>
          <w:szCs w:val="22"/>
        </w:rPr>
        <w:t>Кроме того, 7% участников исследования оценивают ситуацию на рынке ОСАГО как катастрофическую и не исключают сценарий, при реализации которого в 2018 году может произойти огос</w:t>
      </w:r>
      <w:r w:rsidRPr="00787EA7">
        <w:rPr>
          <w:sz w:val="22"/>
          <w:szCs w:val="22"/>
        </w:rPr>
        <w:t>у</w:t>
      </w:r>
      <w:r w:rsidRPr="00787EA7">
        <w:rPr>
          <w:sz w:val="22"/>
          <w:szCs w:val="22"/>
        </w:rPr>
        <w:t>дарствление этого вида страхования.</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Планируется изменить коэффициенты возраста и стажа водит</w:t>
      </w:r>
      <w:r w:rsidRPr="00787EA7">
        <w:rPr>
          <w:rFonts w:eastAsia="Calibri"/>
          <w:sz w:val="22"/>
          <w:szCs w:val="22"/>
          <w:lang w:eastAsia="en-US"/>
        </w:rPr>
        <w:t>е</w:t>
      </w:r>
      <w:r w:rsidRPr="00787EA7">
        <w:rPr>
          <w:rFonts w:eastAsia="Calibri"/>
          <w:sz w:val="22"/>
          <w:szCs w:val="22"/>
          <w:lang w:eastAsia="en-US"/>
        </w:rPr>
        <w:t>лей. Согласно разработанному проекту, водителей ожидают такие изменения цен: Для водителей возрастом 22-24 года, которые им</w:t>
      </w:r>
      <w:r w:rsidRPr="00787EA7">
        <w:rPr>
          <w:rFonts w:eastAsia="Calibri"/>
          <w:sz w:val="22"/>
          <w:szCs w:val="22"/>
          <w:lang w:eastAsia="en-US"/>
        </w:rPr>
        <w:t>е</w:t>
      </w:r>
      <w:r w:rsidRPr="00787EA7">
        <w:rPr>
          <w:rFonts w:eastAsia="Calibri"/>
          <w:sz w:val="22"/>
          <w:szCs w:val="22"/>
          <w:lang w:eastAsia="en-US"/>
        </w:rPr>
        <w:t>ют стаж вождения 5-6 лет, полис подорожает на 55%. Для водит</w:t>
      </w:r>
      <w:r w:rsidRPr="00787EA7">
        <w:rPr>
          <w:rFonts w:eastAsia="Calibri"/>
          <w:sz w:val="22"/>
          <w:szCs w:val="22"/>
          <w:lang w:eastAsia="en-US"/>
        </w:rPr>
        <w:t>е</w:t>
      </w:r>
      <w:r w:rsidRPr="00787EA7">
        <w:rPr>
          <w:rFonts w:eastAsia="Calibri"/>
          <w:sz w:val="22"/>
          <w:szCs w:val="22"/>
          <w:lang w:eastAsia="en-US"/>
        </w:rPr>
        <w:t>лей возрастом от 25 до 29 лет с таким же стажем вождения, стр</w:t>
      </w:r>
      <w:r w:rsidRPr="00787EA7">
        <w:rPr>
          <w:rFonts w:eastAsia="Calibri"/>
          <w:sz w:val="22"/>
          <w:szCs w:val="22"/>
          <w:lang w:eastAsia="en-US"/>
        </w:rPr>
        <w:t>а</w:t>
      </w:r>
      <w:r w:rsidRPr="00787EA7">
        <w:rPr>
          <w:rFonts w:eastAsia="Calibri"/>
          <w:sz w:val="22"/>
          <w:szCs w:val="22"/>
          <w:lang w:eastAsia="en-US"/>
        </w:rPr>
        <w:t>ховка станет дороже на 31%, а если стаж вождения 7-9 лет, тогда подорожание составит 22%. Для водителей старшего возраста (от 49 лет) с большим стажем вождения (от 14 лет) будет предусмотрена скидка до 34% (сейчас подобного нет).</w:t>
      </w:r>
    </w:p>
    <w:p w:rsidR="00724342" w:rsidRPr="00787EA7" w:rsidRDefault="00724342" w:rsidP="00724342">
      <w:pPr>
        <w:ind w:firstLine="425"/>
        <w:jc w:val="both"/>
        <w:rPr>
          <w:sz w:val="22"/>
          <w:szCs w:val="22"/>
        </w:rPr>
      </w:pPr>
      <w:r w:rsidRPr="00787EA7">
        <w:rPr>
          <w:sz w:val="22"/>
          <w:szCs w:val="22"/>
        </w:rPr>
        <w:t>Сложно спрогнозировать развитие рынка страхования на да</w:t>
      </w:r>
      <w:r w:rsidRPr="00787EA7">
        <w:rPr>
          <w:sz w:val="22"/>
          <w:szCs w:val="22"/>
        </w:rPr>
        <w:t>н</w:t>
      </w:r>
      <w:r w:rsidRPr="00787EA7">
        <w:rPr>
          <w:sz w:val="22"/>
          <w:szCs w:val="22"/>
        </w:rPr>
        <w:t xml:space="preserve">ном этапе. Важно то, что ЦБ РФ –обратил внимание на проблемы в данном секторе и решает их максимально эффективно. </w:t>
      </w:r>
    </w:p>
    <w:p w:rsidR="00724342" w:rsidRPr="00787EA7" w:rsidRDefault="00724342" w:rsidP="00724342">
      <w:pPr>
        <w:ind w:firstLine="425"/>
        <w:jc w:val="center"/>
        <w:rPr>
          <w:rFonts w:eastAsia="Calibri"/>
          <w:sz w:val="22"/>
          <w:szCs w:val="22"/>
          <w:lang w:eastAsia="en-US"/>
        </w:rPr>
      </w:pPr>
    </w:p>
    <w:p w:rsidR="00724342" w:rsidRPr="00787EA7" w:rsidRDefault="00724342" w:rsidP="00724342">
      <w:pPr>
        <w:ind w:firstLine="425"/>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360"/>
        <w:contextualSpacing/>
        <w:jc w:val="both"/>
        <w:rPr>
          <w:sz w:val="22"/>
          <w:szCs w:val="22"/>
        </w:rPr>
      </w:pPr>
      <w:r w:rsidRPr="00787EA7">
        <w:rPr>
          <w:sz w:val="22"/>
          <w:szCs w:val="22"/>
        </w:rPr>
        <w:t>1. Федеральный закон «Об обязательном страховании гражда</w:t>
      </w:r>
      <w:r w:rsidRPr="00787EA7">
        <w:rPr>
          <w:sz w:val="22"/>
          <w:szCs w:val="22"/>
        </w:rPr>
        <w:t>н</w:t>
      </w:r>
      <w:r w:rsidRPr="00787EA7">
        <w:rPr>
          <w:sz w:val="22"/>
          <w:szCs w:val="22"/>
        </w:rPr>
        <w:t>ской ответственности владельцев транспортных средств» от 25 а</w:t>
      </w:r>
      <w:r w:rsidRPr="00787EA7">
        <w:rPr>
          <w:sz w:val="22"/>
          <w:szCs w:val="22"/>
        </w:rPr>
        <w:t>п</w:t>
      </w:r>
      <w:r w:rsidRPr="00787EA7">
        <w:rPr>
          <w:sz w:val="22"/>
          <w:szCs w:val="22"/>
        </w:rPr>
        <w:t>реля 2002 г. № 40-ФЗ.</w:t>
      </w:r>
    </w:p>
    <w:p w:rsidR="00724342" w:rsidRPr="00787EA7" w:rsidRDefault="00724342" w:rsidP="00724342">
      <w:pPr>
        <w:ind w:firstLine="360"/>
        <w:contextualSpacing/>
        <w:jc w:val="both"/>
        <w:rPr>
          <w:color w:val="000000"/>
          <w:sz w:val="22"/>
          <w:szCs w:val="22"/>
        </w:rPr>
      </w:pPr>
      <w:r w:rsidRPr="00787EA7">
        <w:rPr>
          <w:color w:val="000000"/>
          <w:sz w:val="22"/>
          <w:szCs w:val="22"/>
        </w:rPr>
        <w:lastRenderedPageBreak/>
        <w:t xml:space="preserve">2. Темкина Ю. А. Обзор рынка страхования в России / Ю. А. Темкина –  </w:t>
      </w:r>
      <w:r w:rsidRPr="00787EA7">
        <w:rPr>
          <w:color w:val="000000"/>
          <w:sz w:val="22"/>
          <w:szCs w:val="22"/>
          <w:lang w:val="en-US"/>
        </w:rPr>
        <w:t>KPMG</w:t>
      </w:r>
      <w:r w:rsidRPr="00787EA7">
        <w:rPr>
          <w:color w:val="000000"/>
          <w:sz w:val="22"/>
          <w:szCs w:val="22"/>
        </w:rPr>
        <w:t>/ – 2017 г. – 43 с.</w:t>
      </w:r>
    </w:p>
    <w:p w:rsidR="00724342" w:rsidRPr="00787EA7" w:rsidRDefault="00724342" w:rsidP="00724342">
      <w:pPr>
        <w:ind w:firstLine="360"/>
        <w:contextualSpacing/>
        <w:jc w:val="both"/>
        <w:rPr>
          <w:color w:val="000000"/>
          <w:sz w:val="22"/>
          <w:szCs w:val="22"/>
        </w:rPr>
      </w:pPr>
      <w:r w:rsidRPr="00787EA7">
        <w:rPr>
          <w:color w:val="000000"/>
          <w:sz w:val="22"/>
          <w:szCs w:val="22"/>
        </w:rPr>
        <w:t>3. Васильченко Е. И., Илиджева Э.А. Анализ Российского рынка страхования / Е. И. Васильченко, Э.А. Илиджева. – Х</w:t>
      </w:r>
      <w:r w:rsidRPr="00787EA7">
        <w:rPr>
          <w:color w:val="000000"/>
          <w:sz w:val="22"/>
          <w:szCs w:val="22"/>
          <w:lang w:val="en-US"/>
        </w:rPr>
        <w:t>I</w:t>
      </w:r>
      <w:r w:rsidRPr="00787EA7">
        <w:rPr>
          <w:color w:val="000000"/>
          <w:sz w:val="22"/>
          <w:szCs w:val="22"/>
        </w:rPr>
        <w:t>Х Всеросси</w:t>
      </w:r>
      <w:r w:rsidRPr="00787EA7">
        <w:rPr>
          <w:color w:val="000000"/>
          <w:sz w:val="22"/>
          <w:szCs w:val="22"/>
        </w:rPr>
        <w:t>й</w:t>
      </w:r>
      <w:r w:rsidRPr="00787EA7">
        <w:rPr>
          <w:color w:val="000000"/>
          <w:sz w:val="22"/>
          <w:szCs w:val="22"/>
        </w:rPr>
        <w:t>ская студенческая научно-практическая конференция Нижневарто</w:t>
      </w:r>
      <w:r w:rsidRPr="00787EA7">
        <w:rPr>
          <w:color w:val="000000"/>
          <w:sz w:val="22"/>
          <w:szCs w:val="22"/>
        </w:rPr>
        <w:t>в</w:t>
      </w:r>
      <w:r w:rsidRPr="00787EA7">
        <w:rPr>
          <w:color w:val="000000"/>
          <w:sz w:val="22"/>
          <w:szCs w:val="22"/>
        </w:rPr>
        <w:t>ского государственного университета. Сборник статей. 2017. – С. 210-212.</w:t>
      </w:r>
    </w:p>
    <w:p w:rsidR="00724342" w:rsidRDefault="00724342" w:rsidP="003F3918">
      <w:pPr>
        <w:spacing w:line="276" w:lineRule="auto"/>
        <w:rPr>
          <w:rFonts w:ascii="Calibri" w:eastAsia="Calibri" w:hAnsi="Calibri"/>
          <w:sz w:val="22"/>
          <w:szCs w:val="22"/>
          <w:lang w:eastAsia="en-US"/>
        </w:rPr>
      </w:pPr>
    </w:p>
    <w:p w:rsidR="003F3918" w:rsidRDefault="003F3918" w:rsidP="003F3918">
      <w:pPr>
        <w:spacing w:line="276" w:lineRule="auto"/>
        <w:rPr>
          <w:rFonts w:ascii="Calibri" w:eastAsia="Calibri" w:hAnsi="Calibri"/>
          <w:sz w:val="22"/>
          <w:szCs w:val="22"/>
          <w:lang w:eastAsia="en-US"/>
        </w:rPr>
      </w:pPr>
    </w:p>
    <w:p w:rsidR="007543A3" w:rsidRPr="00787EA7" w:rsidRDefault="007543A3" w:rsidP="003F3918">
      <w:pPr>
        <w:spacing w:line="276" w:lineRule="auto"/>
        <w:rPr>
          <w:rFonts w:ascii="Calibri" w:eastAsia="Calibri" w:hAnsi="Calibri"/>
          <w:sz w:val="22"/>
          <w:szCs w:val="22"/>
          <w:lang w:eastAsia="en-US"/>
        </w:rPr>
      </w:pPr>
    </w:p>
    <w:p w:rsidR="00724342" w:rsidRPr="003F3918" w:rsidRDefault="00724342" w:rsidP="003F3918">
      <w:pPr>
        <w:widowControl w:val="0"/>
        <w:outlineLvl w:val="0"/>
        <w:rPr>
          <w:i/>
          <w:color w:val="000000"/>
          <w:sz w:val="22"/>
          <w:szCs w:val="22"/>
          <w:lang w:bidi="ru-RU"/>
        </w:rPr>
      </w:pPr>
      <w:r w:rsidRPr="003F3918">
        <w:rPr>
          <w:rFonts w:eastAsia="Arial Unicode MS"/>
          <w:color w:val="000000"/>
          <w:sz w:val="22"/>
          <w:szCs w:val="22"/>
          <w:lang w:bidi="ru-RU"/>
        </w:rPr>
        <w:t xml:space="preserve">УДК 338.07                                                                              </w:t>
      </w:r>
    </w:p>
    <w:p w:rsidR="00724342" w:rsidRPr="00787EA7" w:rsidRDefault="00724342" w:rsidP="003F3918">
      <w:pPr>
        <w:widowControl w:val="0"/>
        <w:jc w:val="center"/>
        <w:rPr>
          <w:rFonts w:eastAsia="Arial Unicode MS"/>
          <w:b/>
          <w:color w:val="000000"/>
          <w:sz w:val="24"/>
          <w:szCs w:val="24"/>
          <w:lang w:bidi="ru-RU"/>
        </w:rPr>
      </w:pPr>
      <w:r w:rsidRPr="00787EA7">
        <w:rPr>
          <w:rFonts w:eastAsia="Arial Unicode MS"/>
          <w:b/>
          <w:color w:val="000000"/>
          <w:sz w:val="24"/>
          <w:szCs w:val="24"/>
          <w:lang w:bidi="ru-RU"/>
        </w:rPr>
        <w:t>Страхование в отрасли туризма</w:t>
      </w:r>
      <w:r w:rsidRPr="00787EA7">
        <w:rPr>
          <w:rFonts w:eastAsia="Arial Unicode MS"/>
          <w:b/>
          <w:color w:val="000000"/>
          <w:sz w:val="24"/>
          <w:szCs w:val="24"/>
          <w:lang w:bidi="ru-RU"/>
        </w:rPr>
        <w:br/>
      </w:r>
      <w:r w:rsidRPr="00787EA7">
        <w:rPr>
          <w:rFonts w:eastAsia="Arial Unicode MS"/>
          <w:b/>
          <w:color w:val="000000"/>
          <w:sz w:val="24"/>
          <w:szCs w:val="24"/>
          <w:lang w:val="en-US" w:bidi="ru-RU"/>
        </w:rPr>
        <w:t>Insurance</w:t>
      </w:r>
      <w:r w:rsidRPr="00787EA7">
        <w:rPr>
          <w:rFonts w:eastAsia="Arial Unicode MS"/>
          <w:b/>
          <w:color w:val="000000"/>
          <w:sz w:val="24"/>
          <w:szCs w:val="24"/>
          <w:lang w:bidi="ru-RU"/>
        </w:rPr>
        <w:t xml:space="preserve"> </w:t>
      </w:r>
      <w:r w:rsidRPr="00787EA7">
        <w:rPr>
          <w:rFonts w:eastAsia="Arial Unicode MS"/>
          <w:b/>
          <w:color w:val="000000"/>
          <w:sz w:val="24"/>
          <w:szCs w:val="24"/>
          <w:lang w:val="en-US" w:bidi="ru-RU"/>
        </w:rPr>
        <w:t>in</w:t>
      </w:r>
      <w:r w:rsidRPr="00787EA7">
        <w:rPr>
          <w:rFonts w:eastAsia="Arial Unicode MS"/>
          <w:b/>
          <w:color w:val="000000"/>
          <w:sz w:val="24"/>
          <w:szCs w:val="24"/>
          <w:lang w:bidi="ru-RU"/>
        </w:rPr>
        <w:t xml:space="preserve"> </w:t>
      </w:r>
      <w:r w:rsidRPr="00787EA7">
        <w:rPr>
          <w:rFonts w:eastAsia="Arial Unicode MS"/>
          <w:b/>
          <w:color w:val="000000"/>
          <w:sz w:val="24"/>
          <w:szCs w:val="24"/>
          <w:lang w:val="en-US" w:bidi="ru-RU"/>
        </w:rPr>
        <w:t>the</w:t>
      </w:r>
      <w:r w:rsidRPr="00787EA7">
        <w:rPr>
          <w:rFonts w:eastAsia="Arial Unicode MS"/>
          <w:b/>
          <w:color w:val="000000"/>
          <w:sz w:val="24"/>
          <w:szCs w:val="24"/>
          <w:lang w:bidi="ru-RU"/>
        </w:rPr>
        <w:t xml:space="preserve"> </w:t>
      </w:r>
      <w:r w:rsidRPr="00787EA7">
        <w:rPr>
          <w:rFonts w:eastAsia="Arial Unicode MS"/>
          <w:b/>
          <w:color w:val="000000"/>
          <w:sz w:val="24"/>
          <w:szCs w:val="24"/>
          <w:lang w:val="en-US" w:bidi="ru-RU"/>
        </w:rPr>
        <w:t>tourism</w:t>
      </w:r>
      <w:r w:rsidRPr="00787EA7">
        <w:rPr>
          <w:rFonts w:eastAsia="Arial Unicode MS"/>
          <w:b/>
          <w:color w:val="000000"/>
          <w:sz w:val="24"/>
          <w:szCs w:val="24"/>
          <w:lang w:bidi="ru-RU"/>
        </w:rPr>
        <w:t xml:space="preserve"> </w:t>
      </w:r>
      <w:r w:rsidRPr="00787EA7">
        <w:rPr>
          <w:rFonts w:eastAsia="Arial Unicode MS"/>
          <w:b/>
          <w:color w:val="000000"/>
          <w:sz w:val="24"/>
          <w:szCs w:val="24"/>
          <w:lang w:val="en-US" w:bidi="ru-RU"/>
        </w:rPr>
        <w:t>industry</w:t>
      </w:r>
    </w:p>
    <w:p w:rsidR="00724342" w:rsidRPr="00787EA7" w:rsidRDefault="00724342" w:rsidP="003F3918">
      <w:pPr>
        <w:widowControl w:val="0"/>
        <w:jc w:val="center"/>
        <w:rPr>
          <w:rFonts w:eastAsia="Arial Unicode MS"/>
          <w:b/>
          <w:color w:val="000000"/>
          <w:sz w:val="24"/>
          <w:szCs w:val="24"/>
          <w:lang w:bidi="ru-RU"/>
        </w:rPr>
      </w:pPr>
    </w:p>
    <w:p w:rsidR="00724342" w:rsidRPr="003F3918" w:rsidRDefault="00724342" w:rsidP="003F3918">
      <w:pPr>
        <w:widowControl w:val="0"/>
        <w:jc w:val="right"/>
        <w:rPr>
          <w:rFonts w:eastAsia="Arial Unicode MS"/>
          <w:color w:val="000000"/>
          <w:sz w:val="22"/>
          <w:szCs w:val="22"/>
          <w:lang w:bidi="ru-RU"/>
        </w:rPr>
      </w:pPr>
      <w:r w:rsidRPr="003F3918">
        <w:rPr>
          <w:rFonts w:eastAsia="Arial Unicode MS"/>
          <w:color w:val="000000"/>
          <w:sz w:val="22"/>
          <w:szCs w:val="22"/>
          <w:lang w:bidi="ru-RU"/>
        </w:rPr>
        <w:t>Бобрышева Е.</w:t>
      </w:r>
      <w:r w:rsidR="003F3918" w:rsidRPr="003F3918">
        <w:rPr>
          <w:rFonts w:eastAsia="Arial Unicode MS"/>
          <w:color w:val="000000"/>
          <w:sz w:val="22"/>
          <w:szCs w:val="22"/>
          <w:lang w:bidi="ru-RU"/>
        </w:rPr>
        <w:t xml:space="preserve"> </w:t>
      </w:r>
      <w:r w:rsidRPr="003F3918">
        <w:rPr>
          <w:rFonts w:eastAsia="Arial Unicode MS"/>
          <w:color w:val="000000"/>
          <w:sz w:val="22"/>
          <w:szCs w:val="22"/>
          <w:lang w:bidi="ru-RU"/>
        </w:rPr>
        <w:t>С.</w:t>
      </w:r>
      <w:r w:rsidR="003F3918" w:rsidRPr="003F3918">
        <w:rPr>
          <w:rFonts w:eastAsia="Arial Unicode MS"/>
          <w:color w:val="000000"/>
          <w:sz w:val="22"/>
          <w:szCs w:val="22"/>
          <w:lang w:bidi="ru-RU"/>
        </w:rPr>
        <w:t>,</w:t>
      </w:r>
    </w:p>
    <w:p w:rsidR="00724342" w:rsidRPr="003F3918" w:rsidRDefault="003F3918" w:rsidP="00724342">
      <w:pPr>
        <w:widowControl w:val="0"/>
        <w:jc w:val="right"/>
        <w:rPr>
          <w:rFonts w:eastAsia="Arial Unicode MS"/>
          <w:color w:val="000000"/>
          <w:sz w:val="22"/>
          <w:szCs w:val="22"/>
          <w:lang w:bidi="ru-RU"/>
        </w:rPr>
      </w:pPr>
      <w:r>
        <w:rPr>
          <w:rFonts w:eastAsia="Arial Unicode MS"/>
          <w:color w:val="000000"/>
          <w:sz w:val="22"/>
          <w:szCs w:val="22"/>
          <w:lang w:bidi="ru-RU"/>
        </w:rPr>
        <w:t>студентка 4-го курса факультета</w:t>
      </w:r>
      <w:r w:rsidR="00724342" w:rsidRPr="003F3918">
        <w:rPr>
          <w:rFonts w:eastAsia="Arial Unicode MS"/>
          <w:color w:val="000000"/>
          <w:sz w:val="22"/>
          <w:szCs w:val="22"/>
          <w:lang w:bidi="ru-RU"/>
        </w:rPr>
        <w:t xml:space="preserve"> финансы и кредит</w:t>
      </w:r>
    </w:p>
    <w:p w:rsidR="00724342" w:rsidRPr="003F3918" w:rsidRDefault="00724342" w:rsidP="00724342">
      <w:pPr>
        <w:widowControl w:val="0"/>
        <w:jc w:val="right"/>
        <w:rPr>
          <w:rFonts w:eastAsia="Arial Unicode MS"/>
          <w:color w:val="000000"/>
          <w:sz w:val="22"/>
          <w:szCs w:val="22"/>
          <w:lang w:bidi="ru-RU"/>
        </w:rPr>
      </w:pPr>
      <w:r w:rsidRPr="003F3918">
        <w:rPr>
          <w:rFonts w:eastAsia="Arial Unicode MS"/>
          <w:color w:val="000000"/>
          <w:sz w:val="22"/>
          <w:szCs w:val="22"/>
          <w:lang w:bidi="ru-RU"/>
        </w:rPr>
        <w:t>Васильченко Е. И.</w:t>
      </w:r>
      <w:r w:rsidR="003F3918" w:rsidRPr="003F3918">
        <w:rPr>
          <w:rFonts w:eastAsia="Arial Unicode MS"/>
          <w:color w:val="000000"/>
          <w:sz w:val="22"/>
          <w:szCs w:val="22"/>
          <w:lang w:bidi="ru-RU"/>
        </w:rPr>
        <w:t>,</w:t>
      </w:r>
    </w:p>
    <w:p w:rsidR="00724342" w:rsidRPr="003F3918" w:rsidRDefault="00724342" w:rsidP="00724342">
      <w:pPr>
        <w:widowControl w:val="0"/>
        <w:jc w:val="right"/>
        <w:rPr>
          <w:rFonts w:eastAsia="Arial Unicode MS"/>
          <w:color w:val="000000"/>
          <w:sz w:val="22"/>
          <w:szCs w:val="22"/>
          <w:lang w:bidi="ru-RU"/>
        </w:rPr>
      </w:pPr>
      <w:r w:rsidRPr="003F3918">
        <w:rPr>
          <w:rFonts w:eastAsia="Arial Unicode MS"/>
          <w:color w:val="000000"/>
          <w:sz w:val="22"/>
          <w:szCs w:val="22"/>
          <w:lang w:bidi="ru-RU"/>
        </w:rPr>
        <w:t>доцент кафедры финансов</w:t>
      </w:r>
    </w:p>
    <w:p w:rsidR="00724342" w:rsidRPr="003F3918" w:rsidRDefault="00724342" w:rsidP="00724342">
      <w:pPr>
        <w:widowControl w:val="0"/>
        <w:jc w:val="right"/>
        <w:rPr>
          <w:rFonts w:eastAsia="Arial Unicode MS"/>
          <w:color w:val="000000"/>
          <w:sz w:val="22"/>
          <w:szCs w:val="22"/>
          <w:lang w:bidi="ru-RU"/>
        </w:rPr>
      </w:pPr>
      <w:r w:rsidRPr="003F3918">
        <w:rPr>
          <w:rFonts w:eastAsia="Arial Unicode MS"/>
          <w:color w:val="000000"/>
          <w:sz w:val="22"/>
          <w:szCs w:val="22"/>
          <w:lang w:bidi="ru-RU"/>
        </w:rPr>
        <w:t>Кубанский государственный аграрный</w:t>
      </w:r>
    </w:p>
    <w:p w:rsidR="00724342" w:rsidRPr="003F3918" w:rsidRDefault="00724342" w:rsidP="00724342">
      <w:pPr>
        <w:widowControl w:val="0"/>
        <w:jc w:val="right"/>
        <w:rPr>
          <w:rFonts w:eastAsia="Arial Unicode MS"/>
          <w:color w:val="000000"/>
          <w:sz w:val="22"/>
          <w:szCs w:val="22"/>
          <w:lang w:bidi="ru-RU"/>
        </w:rPr>
      </w:pPr>
      <w:r w:rsidRPr="003F3918">
        <w:rPr>
          <w:rFonts w:eastAsia="Arial Unicode MS"/>
          <w:color w:val="000000"/>
          <w:sz w:val="22"/>
          <w:szCs w:val="22"/>
          <w:lang w:bidi="ru-RU"/>
        </w:rPr>
        <w:t>университет имени И.</w:t>
      </w:r>
      <w:r w:rsidR="003F3918">
        <w:rPr>
          <w:rFonts w:eastAsia="Arial Unicode MS"/>
          <w:color w:val="000000"/>
          <w:sz w:val="22"/>
          <w:szCs w:val="22"/>
          <w:lang w:bidi="ru-RU"/>
        </w:rPr>
        <w:t xml:space="preserve"> </w:t>
      </w:r>
      <w:r w:rsidRPr="003F3918">
        <w:rPr>
          <w:rFonts w:eastAsia="Arial Unicode MS"/>
          <w:color w:val="000000"/>
          <w:sz w:val="22"/>
          <w:szCs w:val="22"/>
          <w:lang w:bidi="ru-RU"/>
        </w:rPr>
        <w:t>Т. Трубилина</w:t>
      </w:r>
    </w:p>
    <w:p w:rsidR="00724342" w:rsidRPr="00787EA7" w:rsidRDefault="00724342" w:rsidP="00724342">
      <w:pPr>
        <w:widowControl w:val="0"/>
        <w:jc w:val="right"/>
        <w:rPr>
          <w:rFonts w:eastAsia="Arial Unicode MS"/>
          <w:color w:val="000000"/>
          <w:sz w:val="24"/>
          <w:szCs w:val="24"/>
          <w:lang w:bidi="ru-RU"/>
        </w:rPr>
      </w:pP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АННОТАЦИЯ</w:t>
      </w:r>
      <w:r w:rsidRPr="003F3918">
        <w:rPr>
          <w:rFonts w:eastAsia="Arial Unicode MS"/>
          <w:color w:val="000000"/>
          <w:sz w:val="22"/>
          <w:szCs w:val="22"/>
          <w:lang w:bidi="ru-RU"/>
        </w:rPr>
        <w:t>:</w:t>
      </w:r>
      <w:r w:rsidRPr="00787EA7">
        <w:rPr>
          <w:rFonts w:eastAsia="Arial Unicode MS"/>
          <w:color w:val="000000"/>
          <w:sz w:val="22"/>
          <w:szCs w:val="22"/>
          <w:lang w:bidi="ru-RU"/>
        </w:rPr>
        <w:t xml:space="preserve"> в данной статье рассматриваются вопросы страхования в отрасли туризма как универсальный способ обесп</w:t>
      </w:r>
      <w:r w:rsidRPr="00787EA7">
        <w:rPr>
          <w:rFonts w:eastAsia="Arial Unicode MS"/>
          <w:color w:val="000000"/>
          <w:sz w:val="22"/>
          <w:szCs w:val="22"/>
          <w:lang w:bidi="ru-RU"/>
        </w:rPr>
        <w:t>е</w:t>
      </w:r>
      <w:r w:rsidRPr="00787EA7">
        <w:rPr>
          <w:rFonts w:eastAsia="Arial Unicode MS"/>
          <w:color w:val="000000"/>
          <w:sz w:val="22"/>
          <w:szCs w:val="22"/>
          <w:lang w:bidi="ru-RU"/>
        </w:rPr>
        <w:t>чения безопасности и защиты туристов и туристических организ</w:t>
      </w:r>
      <w:r w:rsidRPr="00787EA7">
        <w:rPr>
          <w:rFonts w:eastAsia="Arial Unicode MS"/>
          <w:color w:val="000000"/>
          <w:sz w:val="22"/>
          <w:szCs w:val="22"/>
          <w:lang w:bidi="ru-RU"/>
        </w:rPr>
        <w:t>а</w:t>
      </w:r>
      <w:r w:rsidRPr="00787EA7">
        <w:rPr>
          <w:rFonts w:eastAsia="Arial Unicode MS"/>
          <w:color w:val="000000"/>
          <w:sz w:val="22"/>
          <w:szCs w:val="22"/>
          <w:lang w:bidi="ru-RU"/>
        </w:rPr>
        <w:t>ций. Освещаются последние изменения в российском страховании туристов. Приводятся последние данные по суммам страховых взносов.</w:t>
      </w: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КЛЮЧЕВЫЕ СЛОВА</w:t>
      </w:r>
      <w:r w:rsidRPr="003F3918">
        <w:rPr>
          <w:rFonts w:eastAsia="Arial Unicode MS"/>
          <w:color w:val="000000"/>
          <w:sz w:val="22"/>
          <w:szCs w:val="22"/>
          <w:lang w:bidi="ru-RU"/>
        </w:rPr>
        <w:t>:</w:t>
      </w:r>
      <w:r w:rsidRPr="00787EA7">
        <w:rPr>
          <w:rFonts w:eastAsia="Arial Unicode MS"/>
          <w:color w:val="000000"/>
          <w:sz w:val="22"/>
          <w:szCs w:val="22"/>
          <w:lang w:bidi="ru-RU"/>
        </w:rPr>
        <w:t xml:space="preserve"> страхование, туризм, страховой взнос, страховой случай, ущерб.</w:t>
      </w:r>
    </w:p>
    <w:p w:rsidR="00724342" w:rsidRPr="00787EA7" w:rsidRDefault="00724342" w:rsidP="00724342">
      <w:pPr>
        <w:widowControl w:val="0"/>
        <w:ind w:firstLine="426"/>
        <w:jc w:val="both"/>
        <w:rPr>
          <w:color w:val="000000"/>
          <w:sz w:val="22"/>
          <w:szCs w:val="22"/>
          <w:lang w:val="en-US" w:bidi="ru-RU"/>
        </w:rPr>
      </w:pPr>
      <w:r w:rsidRPr="00787EA7">
        <w:rPr>
          <w:color w:val="000000"/>
          <w:sz w:val="22"/>
          <w:szCs w:val="22"/>
          <w:lang w:val="en-US" w:bidi="ru-RU"/>
        </w:rPr>
        <w:t>ABSTRACT</w:t>
      </w:r>
      <w:r w:rsidRPr="003F3918">
        <w:rPr>
          <w:color w:val="000000"/>
          <w:sz w:val="22"/>
          <w:szCs w:val="22"/>
          <w:lang w:val="en-US" w:bidi="ru-RU"/>
        </w:rPr>
        <w:t>:</w:t>
      </w:r>
      <w:r w:rsidRPr="00787EA7">
        <w:rPr>
          <w:b/>
          <w:color w:val="000000"/>
          <w:sz w:val="22"/>
          <w:szCs w:val="22"/>
          <w:lang w:val="en-US" w:bidi="ru-RU"/>
        </w:rPr>
        <w:t xml:space="preserve"> </w:t>
      </w:r>
      <w:r w:rsidRPr="00787EA7">
        <w:rPr>
          <w:color w:val="000000"/>
          <w:sz w:val="22"/>
          <w:szCs w:val="22"/>
          <w:lang w:val="en-US" w:bidi="ru-RU"/>
        </w:rPr>
        <w:t>in this article, insurance issues in the tourism industry are considered as a universal way of providing security and protection to both tourists and tourist organizations. The latest changes in the Russian insurance of tourists. The latest data on the amount of insurance prem</w:t>
      </w:r>
      <w:r w:rsidRPr="00787EA7">
        <w:rPr>
          <w:color w:val="000000"/>
          <w:sz w:val="22"/>
          <w:szCs w:val="22"/>
          <w:lang w:val="en-US" w:bidi="ru-RU"/>
        </w:rPr>
        <w:t>i</w:t>
      </w:r>
      <w:r w:rsidRPr="00787EA7">
        <w:rPr>
          <w:color w:val="000000"/>
          <w:sz w:val="22"/>
          <w:szCs w:val="22"/>
          <w:lang w:val="en-US" w:bidi="ru-RU"/>
        </w:rPr>
        <w:t>ums are given.</w:t>
      </w:r>
    </w:p>
    <w:p w:rsidR="00724342" w:rsidRPr="00787EA7" w:rsidRDefault="00724342" w:rsidP="00724342">
      <w:pPr>
        <w:widowControl w:val="0"/>
        <w:ind w:firstLine="426"/>
        <w:jc w:val="both"/>
        <w:rPr>
          <w:color w:val="000000"/>
          <w:sz w:val="22"/>
          <w:szCs w:val="22"/>
          <w:lang w:val="en-US" w:bidi="ru-RU"/>
        </w:rPr>
      </w:pPr>
      <w:r w:rsidRPr="00787EA7">
        <w:rPr>
          <w:color w:val="000000"/>
          <w:sz w:val="22"/>
          <w:szCs w:val="22"/>
          <w:lang w:val="en-US" w:bidi="ru-RU"/>
        </w:rPr>
        <w:t>KEYWORDS</w:t>
      </w:r>
      <w:r w:rsidRPr="003F3918">
        <w:rPr>
          <w:color w:val="000000"/>
          <w:sz w:val="22"/>
          <w:szCs w:val="22"/>
          <w:lang w:val="en-US" w:bidi="ru-RU"/>
        </w:rPr>
        <w:t>:</w:t>
      </w:r>
      <w:r w:rsidRPr="00787EA7">
        <w:rPr>
          <w:color w:val="000000"/>
          <w:sz w:val="22"/>
          <w:szCs w:val="22"/>
          <w:lang w:val="en-US" w:bidi="ru-RU"/>
        </w:rPr>
        <w:t xml:space="preserve"> insurance, tourism, insurance fee, insurance event, damage.</w:t>
      </w:r>
    </w:p>
    <w:p w:rsidR="00724342" w:rsidRPr="00787EA7" w:rsidRDefault="00724342" w:rsidP="00724342">
      <w:pPr>
        <w:widowControl w:val="0"/>
        <w:ind w:firstLine="426"/>
        <w:rPr>
          <w:color w:val="000000"/>
          <w:sz w:val="22"/>
          <w:szCs w:val="22"/>
          <w:lang w:val="en-US" w:bidi="ru-RU"/>
        </w:rPr>
      </w:pPr>
    </w:p>
    <w:p w:rsidR="00724342" w:rsidRPr="00787EA7" w:rsidRDefault="00724342" w:rsidP="00724342">
      <w:pPr>
        <w:widowControl w:val="0"/>
        <w:ind w:firstLine="426"/>
        <w:jc w:val="both"/>
        <w:rPr>
          <w:sz w:val="22"/>
          <w:szCs w:val="22"/>
        </w:rPr>
      </w:pPr>
      <w:r w:rsidRPr="00787EA7">
        <w:rPr>
          <w:sz w:val="22"/>
          <w:szCs w:val="22"/>
        </w:rPr>
        <w:lastRenderedPageBreak/>
        <w:t>На сегодняшний день страхование является одной из важне</w:t>
      </w:r>
      <w:r w:rsidRPr="00787EA7">
        <w:rPr>
          <w:sz w:val="22"/>
          <w:szCs w:val="22"/>
        </w:rPr>
        <w:t>й</w:t>
      </w:r>
      <w:r w:rsidRPr="00787EA7">
        <w:rPr>
          <w:sz w:val="22"/>
          <w:szCs w:val="22"/>
        </w:rPr>
        <w:t>ших отраслей в национальной экономике. Страхование и сфера т</w:t>
      </w:r>
      <w:r w:rsidRPr="00787EA7">
        <w:rPr>
          <w:sz w:val="22"/>
          <w:szCs w:val="22"/>
        </w:rPr>
        <w:t>у</w:t>
      </w:r>
      <w:r w:rsidRPr="00787EA7">
        <w:rPr>
          <w:sz w:val="22"/>
          <w:szCs w:val="22"/>
        </w:rPr>
        <w:t>ризма отлично развиваются вместе. Туристическая деятельность сама по себе осуществляет огромнейший вклад в экономическое состояние страны, способствует созданию новых рабочих мест и обеспечивает занятость экономически активного населения, пр</w:t>
      </w:r>
      <w:r w:rsidRPr="00787EA7">
        <w:rPr>
          <w:sz w:val="22"/>
          <w:szCs w:val="22"/>
        </w:rPr>
        <w:t>и</w:t>
      </w:r>
      <w:r w:rsidRPr="00787EA7">
        <w:rPr>
          <w:sz w:val="22"/>
          <w:szCs w:val="22"/>
        </w:rPr>
        <w:t xml:space="preserve">влекая дополнительные средства в бюджет государства. </w:t>
      </w:r>
    </w:p>
    <w:p w:rsidR="00724342" w:rsidRPr="00787EA7" w:rsidRDefault="00724342" w:rsidP="00724342">
      <w:pPr>
        <w:widowControl w:val="0"/>
        <w:ind w:firstLine="426"/>
        <w:jc w:val="both"/>
        <w:rPr>
          <w:sz w:val="22"/>
          <w:szCs w:val="22"/>
        </w:rPr>
      </w:pPr>
      <w:r w:rsidRPr="00787EA7">
        <w:rPr>
          <w:sz w:val="22"/>
          <w:szCs w:val="22"/>
        </w:rPr>
        <w:t>С точки зрения российского законодательства, страхование в туризме –это универсальный способ обеспечения безопасности и защиты имущественных интересов туристов при совершении пут</w:t>
      </w:r>
      <w:r w:rsidRPr="00787EA7">
        <w:rPr>
          <w:sz w:val="22"/>
          <w:szCs w:val="22"/>
        </w:rPr>
        <w:t>е</w:t>
      </w:r>
      <w:r w:rsidRPr="00787EA7">
        <w:rPr>
          <w:sz w:val="22"/>
          <w:szCs w:val="22"/>
        </w:rPr>
        <w:t>шествия[2].</w:t>
      </w: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Часто, туристы, ради экономии собственных средств, прен</w:t>
      </w:r>
      <w:r w:rsidRPr="00787EA7">
        <w:rPr>
          <w:rFonts w:eastAsia="Arial Unicode MS"/>
          <w:color w:val="000000"/>
          <w:sz w:val="22"/>
          <w:szCs w:val="22"/>
          <w:lang w:bidi="ru-RU"/>
        </w:rPr>
        <w:t>е</w:t>
      </w:r>
      <w:r w:rsidRPr="00787EA7">
        <w:rPr>
          <w:rFonts w:eastAsia="Arial Unicode MS"/>
          <w:color w:val="000000"/>
          <w:sz w:val="22"/>
          <w:szCs w:val="22"/>
          <w:lang w:bidi="ru-RU"/>
        </w:rPr>
        <w:t>брегают страхованием в поездках, будь то путешествие за границу или обычный проезд на междугороднем автобусе. Оно и понятно, ведь суммы страховых выплат немалые, а в настоящей экономич</w:t>
      </w:r>
      <w:r w:rsidRPr="00787EA7">
        <w:rPr>
          <w:rFonts w:eastAsia="Arial Unicode MS"/>
          <w:color w:val="000000"/>
          <w:sz w:val="22"/>
          <w:szCs w:val="22"/>
          <w:lang w:bidi="ru-RU"/>
        </w:rPr>
        <w:t>е</w:t>
      </w:r>
      <w:r w:rsidRPr="00787EA7">
        <w:rPr>
          <w:rFonts w:eastAsia="Arial Unicode MS"/>
          <w:color w:val="000000"/>
          <w:sz w:val="22"/>
          <w:szCs w:val="22"/>
          <w:lang w:bidi="ru-RU"/>
        </w:rPr>
        <w:t>ской ситуации каждая семья стремится потратить на отдых наименьшее количество денежных средств. Именно поэтому прав</w:t>
      </w:r>
      <w:r w:rsidRPr="00787EA7">
        <w:rPr>
          <w:rFonts w:eastAsia="Arial Unicode MS"/>
          <w:color w:val="000000"/>
          <w:sz w:val="22"/>
          <w:szCs w:val="22"/>
          <w:lang w:bidi="ru-RU"/>
        </w:rPr>
        <w:t>и</w:t>
      </w:r>
      <w:r w:rsidRPr="00787EA7">
        <w:rPr>
          <w:rFonts w:eastAsia="Arial Unicode MS"/>
          <w:color w:val="000000"/>
          <w:sz w:val="22"/>
          <w:szCs w:val="22"/>
          <w:lang w:bidi="ru-RU"/>
        </w:rPr>
        <w:t>тельством РФ было принято решение о проведении страхования туристов в обязательной форме. Оно обосновывается, прежде всего тем, что в различных странах, к примеру Тайланд или Африка, в</w:t>
      </w:r>
      <w:r w:rsidRPr="00787EA7">
        <w:rPr>
          <w:rFonts w:eastAsia="Arial Unicode MS"/>
          <w:color w:val="000000"/>
          <w:sz w:val="22"/>
          <w:szCs w:val="22"/>
          <w:lang w:bidi="ru-RU"/>
        </w:rPr>
        <w:t>ы</w:t>
      </w:r>
      <w:r w:rsidRPr="00787EA7">
        <w:rPr>
          <w:rFonts w:eastAsia="Arial Unicode MS"/>
          <w:color w:val="000000"/>
          <w:sz w:val="22"/>
          <w:szCs w:val="22"/>
          <w:lang w:bidi="ru-RU"/>
        </w:rPr>
        <w:t>соки статистические показатели заболеваемости. В сейсмически небезопасных странах страхование туристов еще важнее.А про эк</w:t>
      </w:r>
      <w:r w:rsidRPr="00787EA7">
        <w:rPr>
          <w:rFonts w:eastAsia="Arial Unicode MS"/>
          <w:color w:val="000000"/>
          <w:sz w:val="22"/>
          <w:szCs w:val="22"/>
          <w:lang w:bidi="ru-RU"/>
        </w:rPr>
        <w:t>с</w:t>
      </w:r>
      <w:r w:rsidRPr="00787EA7">
        <w:rPr>
          <w:rFonts w:eastAsia="Arial Unicode MS"/>
          <w:color w:val="000000"/>
          <w:sz w:val="22"/>
          <w:szCs w:val="22"/>
          <w:lang w:bidi="ru-RU"/>
        </w:rPr>
        <w:t>тремальный отдых и горнолыжные курорты и говорить не стоит.</w:t>
      </w: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С 28 декабря 2015 года в РФ принят закон, согласно которому минимальная сумма по страховому полису для туристов, выезжа</w:t>
      </w:r>
      <w:r w:rsidRPr="00787EA7">
        <w:rPr>
          <w:rFonts w:eastAsia="Arial Unicode MS"/>
          <w:color w:val="000000"/>
          <w:sz w:val="22"/>
          <w:szCs w:val="22"/>
          <w:lang w:bidi="ru-RU"/>
        </w:rPr>
        <w:t>ю</w:t>
      </w:r>
      <w:r w:rsidRPr="00787EA7">
        <w:rPr>
          <w:rFonts w:eastAsia="Arial Unicode MS"/>
          <w:color w:val="000000"/>
          <w:sz w:val="22"/>
          <w:szCs w:val="22"/>
          <w:lang w:bidi="ru-RU"/>
        </w:rPr>
        <w:t>щих за рубеж, составляет 2 миллиона рублей. Ранее размер страх</w:t>
      </w:r>
      <w:r w:rsidRPr="00787EA7">
        <w:rPr>
          <w:rFonts w:eastAsia="Arial Unicode MS"/>
          <w:color w:val="000000"/>
          <w:sz w:val="22"/>
          <w:szCs w:val="22"/>
          <w:lang w:bidi="ru-RU"/>
        </w:rPr>
        <w:t>о</w:t>
      </w:r>
      <w:r w:rsidRPr="00787EA7">
        <w:rPr>
          <w:rFonts w:eastAsia="Arial Unicode MS"/>
          <w:color w:val="000000"/>
          <w:sz w:val="22"/>
          <w:szCs w:val="22"/>
          <w:lang w:bidi="ru-RU"/>
        </w:rPr>
        <w:t>вой выплаты не превышал 1 миллиона рублей. Даже если поездка организована самостоятельно, страховой полис все равно необх</w:t>
      </w:r>
      <w:r w:rsidRPr="00787EA7">
        <w:rPr>
          <w:rFonts w:eastAsia="Arial Unicode MS"/>
          <w:color w:val="000000"/>
          <w:sz w:val="22"/>
          <w:szCs w:val="22"/>
          <w:lang w:bidi="ru-RU"/>
        </w:rPr>
        <w:t>о</w:t>
      </w:r>
      <w:r w:rsidRPr="00787EA7">
        <w:rPr>
          <w:rFonts w:eastAsia="Arial Unicode MS"/>
          <w:color w:val="000000"/>
          <w:sz w:val="22"/>
          <w:szCs w:val="22"/>
          <w:lang w:bidi="ru-RU"/>
        </w:rPr>
        <w:t>дим, потому как без него, в случае болезни, путешественнику пр</w:t>
      </w:r>
      <w:r w:rsidRPr="00787EA7">
        <w:rPr>
          <w:rFonts w:eastAsia="Arial Unicode MS"/>
          <w:color w:val="000000"/>
          <w:sz w:val="22"/>
          <w:szCs w:val="22"/>
          <w:lang w:bidi="ru-RU"/>
        </w:rPr>
        <w:t>и</w:t>
      </w:r>
      <w:r w:rsidRPr="00787EA7">
        <w:rPr>
          <w:rFonts w:eastAsia="Arial Unicode MS"/>
          <w:color w:val="000000"/>
          <w:sz w:val="22"/>
          <w:szCs w:val="22"/>
          <w:lang w:bidi="ru-RU"/>
        </w:rPr>
        <w:t>дется самому оплачивать лечение. Государство снимает с себя о</w:t>
      </w:r>
      <w:r w:rsidRPr="00787EA7">
        <w:rPr>
          <w:rFonts w:eastAsia="Arial Unicode MS"/>
          <w:color w:val="000000"/>
          <w:sz w:val="22"/>
          <w:szCs w:val="22"/>
          <w:lang w:bidi="ru-RU"/>
        </w:rPr>
        <w:t>т</w:t>
      </w:r>
      <w:r w:rsidRPr="00787EA7">
        <w:rPr>
          <w:rFonts w:eastAsia="Arial Unicode MS"/>
          <w:color w:val="000000"/>
          <w:sz w:val="22"/>
          <w:szCs w:val="22"/>
          <w:lang w:bidi="ru-RU"/>
        </w:rPr>
        <w:t>ветственность за расходы на оказание медицинской помощи, на м</w:t>
      </w:r>
      <w:r w:rsidRPr="00787EA7">
        <w:rPr>
          <w:rFonts w:eastAsia="Arial Unicode MS"/>
          <w:color w:val="000000"/>
          <w:sz w:val="22"/>
          <w:szCs w:val="22"/>
          <w:lang w:bidi="ru-RU"/>
        </w:rPr>
        <w:t>е</w:t>
      </w:r>
      <w:r w:rsidRPr="00787EA7">
        <w:rPr>
          <w:rFonts w:eastAsia="Arial Unicode MS"/>
          <w:color w:val="000000"/>
          <w:sz w:val="22"/>
          <w:szCs w:val="22"/>
          <w:lang w:bidi="ru-RU"/>
        </w:rPr>
        <w:t>дицинскую эвакуацию, а также расходы на возвращение тела (останков) в Российскую Федерацию граждан, оказавшихся за гр</w:t>
      </w:r>
      <w:r w:rsidRPr="00787EA7">
        <w:rPr>
          <w:rFonts w:eastAsia="Arial Unicode MS"/>
          <w:color w:val="000000"/>
          <w:sz w:val="22"/>
          <w:szCs w:val="22"/>
          <w:lang w:bidi="ru-RU"/>
        </w:rPr>
        <w:t>а</w:t>
      </w:r>
      <w:r w:rsidRPr="00787EA7">
        <w:rPr>
          <w:rFonts w:eastAsia="Arial Unicode MS"/>
          <w:color w:val="000000"/>
          <w:sz w:val="22"/>
          <w:szCs w:val="22"/>
          <w:lang w:bidi="ru-RU"/>
        </w:rPr>
        <w:t>ницей[1].Страховой полис способен покрыть расходы на медици</w:t>
      </w:r>
      <w:r w:rsidRPr="00787EA7">
        <w:rPr>
          <w:rFonts w:eastAsia="Arial Unicode MS"/>
          <w:color w:val="000000"/>
          <w:sz w:val="22"/>
          <w:szCs w:val="22"/>
          <w:lang w:bidi="ru-RU"/>
        </w:rPr>
        <w:t>н</w:t>
      </w:r>
      <w:r w:rsidRPr="00787EA7">
        <w:rPr>
          <w:rFonts w:eastAsia="Arial Unicode MS"/>
          <w:color w:val="000000"/>
          <w:sz w:val="22"/>
          <w:szCs w:val="22"/>
          <w:lang w:bidi="ru-RU"/>
        </w:rPr>
        <w:t>скую, транспортную помощь, а также посмертную репатриацию в случае травмы или внезапного заболевания, даже если это обостр</w:t>
      </w:r>
      <w:r w:rsidRPr="00787EA7">
        <w:rPr>
          <w:rFonts w:eastAsia="Arial Unicode MS"/>
          <w:color w:val="000000"/>
          <w:sz w:val="22"/>
          <w:szCs w:val="22"/>
          <w:lang w:bidi="ru-RU"/>
        </w:rPr>
        <w:t>е</w:t>
      </w:r>
      <w:r w:rsidRPr="00787EA7">
        <w:rPr>
          <w:rFonts w:eastAsia="Arial Unicode MS"/>
          <w:color w:val="000000"/>
          <w:sz w:val="22"/>
          <w:szCs w:val="22"/>
          <w:lang w:bidi="ru-RU"/>
        </w:rPr>
        <w:t>ние хронического. Закон предусматривает, что если страховой сл</w:t>
      </w:r>
      <w:r w:rsidRPr="00787EA7">
        <w:rPr>
          <w:rFonts w:eastAsia="Arial Unicode MS"/>
          <w:color w:val="000000"/>
          <w:sz w:val="22"/>
          <w:szCs w:val="22"/>
          <w:lang w:bidi="ru-RU"/>
        </w:rPr>
        <w:t>у</w:t>
      </w:r>
      <w:r w:rsidRPr="00787EA7">
        <w:rPr>
          <w:rFonts w:eastAsia="Arial Unicode MS"/>
          <w:color w:val="000000"/>
          <w:sz w:val="22"/>
          <w:szCs w:val="22"/>
          <w:lang w:bidi="ru-RU"/>
        </w:rPr>
        <w:t xml:space="preserve">чай произошел в период действия полиса и на момент окончания </w:t>
      </w:r>
      <w:r w:rsidRPr="00787EA7">
        <w:rPr>
          <w:rFonts w:eastAsia="Arial Unicode MS"/>
          <w:color w:val="000000"/>
          <w:sz w:val="22"/>
          <w:szCs w:val="22"/>
          <w:lang w:bidi="ru-RU"/>
        </w:rPr>
        <w:lastRenderedPageBreak/>
        <w:t>срока страхования турист еще нуждается в лечении, страховая ко</w:t>
      </w:r>
      <w:r w:rsidRPr="00787EA7">
        <w:rPr>
          <w:rFonts w:eastAsia="Arial Unicode MS"/>
          <w:color w:val="000000"/>
          <w:sz w:val="22"/>
          <w:szCs w:val="22"/>
          <w:lang w:bidi="ru-RU"/>
        </w:rPr>
        <w:t>м</w:t>
      </w:r>
      <w:r w:rsidRPr="00787EA7">
        <w:rPr>
          <w:rFonts w:eastAsia="Arial Unicode MS"/>
          <w:color w:val="000000"/>
          <w:sz w:val="22"/>
          <w:szCs w:val="22"/>
          <w:lang w:bidi="ru-RU"/>
        </w:rPr>
        <w:t>пания не имеет права его бросить.</w:t>
      </w: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Если турист все-таки отказывается от страхования, при насту</w:t>
      </w:r>
      <w:r w:rsidRPr="00787EA7">
        <w:rPr>
          <w:rFonts w:eastAsia="Arial Unicode MS"/>
          <w:color w:val="000000"/>
          <w:sz w:val="22"/>
          <w:szCs w:val="22"/>
          <w:lang w:bidi="ru-RU"/>
        </w:rPr>
        <w:t>п</w:t>
      </w:r>
      <w:r w:rsidRPr="00787EA7">
        <w:rPr>
          <w:rFonts w:eastAsia="Arial Unicode MS"/>
          <w:color w:val="000000"/>
          <w:sz w:val="22"/>
          <w:szCs w:val="22"/>
          <w:lang w:bidi="ru-RU"/>
        </w:rPr>
        <w:t xml:space="preserve">лении чрезвычайной ситуации он будет самостоятельно оплачивать свое лечение и транспортировку домой, т.е. примет все риски. </w:t>
      </w:r>
    </w:p>
    <w:p w:rsidR="00724342" w:rsidRPr="00787EA7" w:rsidRDefault="00724342" w:rsidP="00724342">
      <w:pPr>
        <w:widowControl w:val="0"/>
        <w:ind w:firstLine="426"/>
        <w:jc w:val="both"/>
        <w:rPr>
          <w:rFonts w:eastAsia="Arial Unicode MS"/>
          <w:color w:val="000000"/>
          <w:sz w:val="22"/>
          <w:szCs w:val="22"/>
          <w:lang w:bidi="ru-RU"/>
        </w:rPr>
      </w:pPr>
      <w:r w:rsidRPr="00787EA7">
        <w:rPr>
          <w:rFonts w:eastAsia="Arial Unicode MS"/>
          <w:color w:val="000000"/>
          <w:sz w:val="22"/>
          <w:szCs w:val="22"/>
          <w:lang w:bidi="ru-RU"/>
        </w:rPr>
        <w:t>Естественно, что увеличение минимального размера страховки туристов влечет за собой увеличение суммы страхового взноса, и, как следствие, удорожание всей путевки. Как считают эксперты, это может повлиять на спрос населения на путешествия.</w:t>
      </w:r>
    </w:p>
    <w:p w:rsidR="00724342" w:rsidRPr="00787EA7" w:rsidRDefault="00724342" w:rsidP="00724342">
      <w:pPr>
        <w:widowControl w:val="0"/>
        <w:ind w:firstLine="426"/>
        <w:jc w:val="both"/>
        <w:rPr>
          <w:sz w:val="22"/>
          <w:szCs w:val="22"/>
        </w:rPr>
      </w:pPr>
      <w:r w:rsidRPr="00787EA7">
        <w:rPr>
          <w:sz w:val="22"/>
          <w:szCs w:val="22"/>
        </w:rPr>
        <w:t>В настоящее время страховые компании находятся в условиях жесткой конкуренции, поэтому каждая стремится представить т</w:t>
      </w:r>
      <w:r w:rsidRPr="00787EA7">
        <w:rPr>
          <w:sz w:val="22"/>
          <w:szCs w:val="22"/>
        </w:rPr>
        <w:t>у</w:t>
      </w:r>
      <w:r w:rsidRPr="00787EA7">
        <w:rPr>
          <w:sz w:val="22"/>
          <w:szCs w:val="22"/>
        </w:rPr>
        <w:t>ристу наиболее выгодные условия страхования. Из существующих компаний наиболее широкий спектр услуг представляют «РЕСО-Гарантия», «Ренессанс Страхование» и «Росгосстрах». Страховые взносы в данных агентствах немного различны. Например, взнос на медицинское страхование граждан, выезжающих из страны в США, колеблется от 231 рубля в день до 265. Страны, доступные облад</w:t>
      </w:r>
      <w:r w:rsidRPr="00787EA7">
        <w:rPr>
          <w:sz w:val="22"/>
          <w:szCs w:val="22"/>
        </w:rPr>
        <w:t>а</w:t>
      </w:r>
      <w:r w:rsidRPr="00787EA7">
        <w:rPr>
          <w:sz w:val="22"/>
          <w:szCs w:val="22"/>
        </w:rPr>
        <w:t xml:space="preserve">телям Шенгенской визы, предполагают взнос от 117 до 128 рублей за сутки. </w:t>
      </w:r>
    </w:p>
    <w:p w:rsidR="00724342" w:rsidRPr="00787EA7" w:rsidRDefault="00724342" w:rsidP="00724342">
      <w:pPr>
        <w:widowControl w:val="0"/>
        <w:tabs>
          <w:tab w:val="left" w:pos="915"/>
        </w:tabs>
        <w:ind w:firstLine="426"/>
        <w:jc w:val="both"/>
        <w:rPr>
          <w:sz w:val="22"/>
          <w:szCs w:val="22"/>
        </w:rPr>
      </w:pPr>
      <w:r w:rsidRPr="00787EA7">
        <w:rPr>
          <w:sz w:val="22"/>
          <w:szCs w:val="22"/>
        </w:rPr>
        <w:t>Оговоренные в договоре страховые выплаты предоставляются туристам в случае наступления страхового случая. Поэтому так важно при составлении договора страхования рассмотреть все во</w:t>
      </w:r>
      <w:r w:rsidRPr="00787EA7">
        <w:rPr>
          <w:sz w:val="22"/>
          <w:szCs w:val="22"/>
        </w:rPr>
        <w:t>з</w:t>
      </w:r>
      <w:r w:rsidRPr="00787EA7">
        <w:rPr>
          <w:sz w:val="22"/>
          <w:szCs w:val="22"/>
        </w:rPr>
        <w:t>можные происшествия с туристом. Некоторые страховые компании пренебрегают данным и нередко отлично зарабатывают благодаря этому. Именно поэтому основные проблемы страховых компаний при проведении туристского страхования возникают на стадии з</w:t>
      </w:r>
      <w:r w:rsidRPr="00787EA7">
        <w:rPr>
          <w:sz w:val="22"/>
          <w:szCs w:val="22"/>
        </w:rPr>
        <w:t>а</w:t>
      </w:r>
      <w:r w:rsidRPr="00787EA7">
        <w:rPr>
          <w:sz w:val="22"/>
          <w:szCs w:val="22"/>
        </w:rPr>
        <w:t>ключения договора страхования. [3]</w:t>
      </w:r>
    </w:p>
    <w:p w:rsidR="003F3918" w:rsidRDefault="00724342" w:rsidP="00CE4C84">
      <w:pPr>
        <w:widowControl w:val="0"/>
        <w:ind w:firstLine="426"/>
        <w:jc w:val="both"/>
        <w:rPr>
          <w:sz w:val="22"/>
          <w:szCs w:val="22"/>
        </w:rPr>
      </w:pPr>
      <w:r w:rsidRPr="00787EA7">
        <w:rPr>
          <w:sz w:val="22"/>
          <w:szCs w:val="22"/>
        </w:rPr>
        <w:t>В настоящее время у туристических компаний России сущ</w:t>
      </w:r>
      <w:r w:rsidRPr="00787EA7">
        <w:rPr>
          <w:sz w:val="22"/>
          <w:szCs w:val="22"/>
        </w:rPr>
        <w:t>е</w:t>
      </w:r>
      <w:r w:rsidRPr="00787EA7">
        <w:rPr>
          <w:sz w:val="22"/>
          <w:szCs w:val="22"/>
        </w:rPr>
        <w:t>ствует ряд проблем, из-за наличия которых подвергается опасности здоровье туристов. Взять даже проблему демпинга, которая закл</w:t>
      </w:r>
      <w:r w:rsidRPr="00787EA7">
        <w:rPr>
          <w:sz w:val="22"/>
          <w:szCs w:val="22"/>
        </w:rPr>
        <w:t>ю</w:t>
      </w:r>
      <w:r w:rsidRPr="00787EA7">
        <w:rPr>
          <w:sz w:val="22"/>
          <w:szCs w:val="22"/>
        </w:rPr>
        <w:t>чается в стремлении страховых компаний привлечь клиентов ни</w:t>
      </w:r>
      <w:r w:rsidRPr="00787EA7">
        <w:rPr>
          <w:sz w:val="22"/>
          <w:szCs w:val="22"/>
        </w:rPr>
        <w:t>з</w:t>
      </w:r>
      <w:r w:rsidRPr="00787EA7">
        <w:rPr>
          <w:sz w:val="22"/>
          <w:szCs w:val="22"/>
        </w:rPr>
        <w:t>кими тарифами. Естественно, что при удешевлении туристского продукта уменьшаются и гарантии туристам, их защищенность и безопасность. Государственным органам власти необходимо уд</w:t>
      </w:r>
      <w:r w:rsidRPr="00787EA7">
        <w:rPr>
          <w:sz w:val="22"/>
          <w:szCs w:val="22"/>
        </w:rPr>
        <w:t>е</w:t>
      </w:r>
      <w:r w:rsidRPr="00787EA7">
        <w:rPr>
          <w:sz w:val="22"/>
          <w:szCs w:val="22"/>
        </w:rPr>
        <w:t>лить внимание этому вопросу, потому как страховая компания и турагенство должны быть достойными партнерами, которые пон</w:t>
      </w:r>
      <w:r w:rsidRPr="00787EA7">
        <w:rPr>
          <w:sz w:val="22"/>
          <w:szCs w:val="22"/>
        </w:rPr>
        <w:t>и</w:t>
      </w:r>
      <w:r w:rsidRPr="00787EA7">
        <w:rPr>
          <w:sz w:val="22"/>
          <w:szCs w:val="22"/>
        </w:rPr>
        <w:t>мают и уважают бизнес друг друга, а, значит, уважают и своих кл</w:t>
      </w:r>
      <w:r w:rsidRPr="00787EA7">
        <w:rPr>
          <w:sz w:val="22"/>
          <w:szCs w:val="22"/>
        </w:rPr>
        <w:t>и</w:t>
      </w:r>
      <w:r w:rsidRPr="00787EA7">
        <w:rPr>
          <w:sz w:val="22"/>
          <w:szCs w:val="22"/>
        </w:rPr>
        <w:t>ентов.</w:t>
      </w:r>
    </w:p>
    <w:p w:rsidR="00724342" w:rsidRPr="00787EA7" w:rsidRDefault="00724342" w:rsidP="00724342">
      <w:pPr>
        <w:widowControl w:val="0"/>
        <w:ind w:firstLine="426"/>
        <w:jc w:val="center"/>
        <w:outlineLvl w:val="0"/>
        <w:rPr>
          <w:sz w:val="22"/>
          <w:szCs w:val="22"/>
        </w:rPr>
      </w:pPr>
      <w:r w:rsidRPr="00787EA7">
        <w:rPr>
          <w:sz w:val="22"/>
          <w:szCs w:val="22"/>
        </w:rPr>
        <w:lastRenderedPageBreak/>
        <w:t>Список литературы</w:t>
      </w:r>
    </w:p>
    <w:p w:rsidR="00724342" w:rsidRPr="00787EA7" w:rsidRDefault="00724342" w:rsidP="00724342">
      <w:pPr>
        <w:widowControl w:val="0"/>
        <w:tabs>
          <w:tab w:val="left" w:pos="851"/>
        </w:tabs>
        <w:ind w:firstLine="426"/>
        <w:jc w:val="both"/>
        <w:rPr>
          <w:i/>
          <w:sz w:val="22"/>
          <w:szCs w:val="22"/>
        </w:rPr>
      </w:pPr>
      <w:r w:rsidRPr="00787EA7">
        <w:rPr>
          <w:sz w:val="19"/>
          <w:szCs w:val="19"/>
        </w:rPr>
        <w:t xml:space="preserve">1. </w:t>
      </w:r>
      <w:hyperlink r:id="rId197" w:history="1">
        <w:r w:rsidRPr="00787EA7">
          <w:rPr>
            <w:bCs/>
            <w:iCs/>
            <w:sz w:val="22"/>
            <w:szCs w:val="22"/>
          </w:rPr>
          <w:t>Федеральный закон от 29.06.2015 N 155-ФЗ "О внесении и</w:t>
        </w:r>
        <w:r w:rsidRPr="00787EA7">
          <w:rPr>
            <w:bCs/>
            <w:iCs/>
            <w:sz w:val="22"/>
            <w:szCs w:val="22"/>
          </w:rPr>
          <w:t>з</w:t>
        </w:r>
        <w:r w:rsidRPr="00787EA7">
          <w:rPr>
            <w:bCs/>
            <w:iCs/>
            <w:sz w:val="22"/>
            <w:szCs w:val="22"/>
          </w:rPr>
          <w:t>менений в отдельные законодательные акты Российской Федер</w:t>
        </w:r>
        <w:r w:rsidRPr="00787EA7">
          <w:rPr>
            <w:bCs/>
            <w:iCs/>
            <w:sz w:val="22"/>
            <w:szCs w:val="22"/>
          </w:rPr>
          <w:t>а</w:t>
        </w:r>
        <w:r w:rsidRPr="00787EA7">
          <w:rPr>
            <w:bCs/>
            <w:iCs/>
            <w:sz w:val="22"/>
            <w:szCs w:val="22"/>
          </w:rPr>
          <w:t>ции"</w:t>
        </w:r>
      </w:hyperlink>
      <w:r w:rsidRPr="00787EA7">
        <w:rPr>
          <w:iCs/>
          <w:sz w:val="22"/>
          <w:szCs w:val="22"/>
        </w:rPr>
        <w:t>. Режим доступа: http://www.consultant.ru</w:t>
      </w:r>
    </w:p>
    <w:p w:rsidR="00724342" w:rsidRPr="00787EA7" w:rsidRDefault="00724342" w:rsidP="00724342">
      <w:pPr>
        <w:widowControl w:val="0"/>
        <w:tabs>
          <w:tab w:val="left" w:pos="851"/>
        </w:tabs>
        <w:ind w:firstLine="426"/>
        <w:jc w:val="both"/>
        <w:rPr>
          <w:i/>
          <w:sz w:val="22"/>
          <w:szCs w:val="22"/>
        </w:rPr>
      </w:pPr>
      <w:r w:rsidRPr="00787EA7">
        <w:rPr>
          <w:iCs/>
          <w:color w:val="000000"/>
          <w:sz w:val="22"/>
          <w:szCs w:val="22"/>
          <w:shd w:val="clear" w:color="auto" w:fill="FFFFFF"/>
          <w:lang w:bidi="ru-RU"/>
        </w:rPr>
        <w:t>2. Гвозденко, Л.Л.</w:t>
      </w:r>
      <w:r w:rsidRPr="00787EA7">
        <w:rPr>
          <w:sz w:val="22"/>
          <w:szCs w:val="22"/>
        </w:rPr>
        <w:t>Страхование в туризме: учебное пособие. / Л.Л. Гвозденко. — М.: Аспект Пресс, 2015. – С. 39-41.</w:t>
      </w:r>
    </w:p>
    <w:p w:rsidR="00724342" w:rsidRPr="00787EA7" w:rsidRDefault="00724342" w:rsidP="00724342">
      <w:pPr>
        <w:widowControl w:val="0"/>
        <w:tabs>
          <w:tab w:val="left" w:pos="851"/>
        </w:tabs>
        <w:ind w:firstLine="426"/>
        <w:jc w:val="both"/>
        <w:rPr>
          <w:sz w:val="22"/>
          <w:szCs w:val="22"/>
        </w:rPr>
      </w:pPr>
      <w:r w:rsidRPr="00787EA7">
        <w:rPr>
          <w:iCs/>
          <w:color w:val="000000"/>
          <w:sz w:val="22"/>
          <w:szCs w:val="22"/>
          <w:shd w:val="clear" w:color="auto" w:fill="FFFFFF"/>
          <w:lang w:bidi="ru-RU"/>
        </w:rPr>
        <w:t>3. Капустянская, Н.П.</w:t>
      </w:r>
      <w:r w:rsidRPr="00787EA7">
        <w:rPr>
          <w:sz w:val="22"/>
          <w:szCs w:val="22"/>
        </w:rPr>
        <w:t xml:space="preserve"> Страхование в устойчивом развитии т</w:t>
      </w:r>
      <w:r w:rsidRPr="00787EA7">
        <w:rPr>
          <w:sz w:val="22"/>
          <w:szCs w:val="22"/>
        </w:rPr>
        <w:t>у</w:t>
      </w:r>
      <w:r w:rsidRPr="00787EA7">
        <w:rPr>
          <w:sz w:val="22"/>
          <w:szCs w:val="22"/>
        </w:rPr>
        <w:t>ризма: монография. / Н.П. Капустянская. — СПб.: Изд-во СПбГ</w:t>
      </w:r>
      <w:r w:rsidRPr="00787EA7">
        <w:rPr>
          <w:sz w:val="22"/>
          <w:szCs w:val="22"/>
        </w:rPr>
        <w:t>У</w:t>
      </w:r>
      <w:r w:rsidRPr="00787EA7">
        <w:rPr>
          <w:sz w:val="22"/>
          <w:szCs w:val="22"/>
        </w:rPr>
        <w:t>ЭФ, 2015. – С. 56-59.</w:t>
      </w:r>
    </w:p>
    <w:p w:rsidR="003F3918" w:rsidRDefault="003F3918" w:rsidP="003F3918">
      <w:pPr>
        <w:outlineLvl w:val="0"/>
        <w:rPr>
          <w:rFonts w:ascii="Calibri" w:eastAsia="Calibri" w:hAnsi="Calibri"/>
          <w:sz w:val="22"/>
          <w:szCs w:val="22"/>
          <w:lang w:eastAsia="en-US"/>
        </w:rPr>
      </w:pPr>
    </w:p>
    <w:p w:rsidR="003F3918" w:rsidRDefault="003F3918" w:rsidP="003F3918">
      <w:pPr>
        <w:outlineLvl w:val="0"/>
        <w:rPr>
          <w:rFonts w:ascii="Calibri" w:eastAsia="Calibri" w:hAnsi="Calibri"/>
          <w:sz w:val="22"/>
          <w:szCs w:val="22"/>
          <w:lang w:eastAsia="en-US"/>
        </w:rPr>
      </w:pPr>
    </w:p>
    <w:p w:rsidR="00724342" w:rsidRPr="00787EA7" w:rsidRDefault="00724342" w:rsidP="003F3918">
      <w:pPr>
        <w:outlineLvl w:val="0"/>
        <w:rPr>
          <w:rFonts w:eastAsia="Calibri"/>
          <w:sz w:val="22"/>
          <w:szCs w:val="22"/>
          <w:lang w:eastAsia="en-US"/>
        </w:rPr>
      </w:pPr>
      <w:r w:rsidRPr="00787EA7">
        <w:rPr>
          <w:rFonts w:eastAsia="Calibri"/>
          <w:sz w:val="22"/>
          <w:szCs w:val="22"/>
          <w:lang w:eastAsia="en-US"/>
        </w:rPr>
        <w:t>УДК 368.01</w:t>
      </w:r>
    </w:p>
    <w:p w:rsidR="00724342" w:rsidRPr="00787EA7" w:rsidRDefault="00724342" w:rsidP="00724342">
      <w:pPr>
        <w:ind w:firstLine="425"/>
        <w:rPr>
          <w:rFonts w:eastAsia="Calibri"/>
          <w:sz w:val="22"/>
          <w:szCs w:val="22"/>
          <w:lang w:eastAsia="en-US"/>
        </w:rPr>
      </w:pPr>
    </w:p>
    <w:p w:rsidR="00724342" w:rsidRPr="00787EA7" w:rsidRDefault="00724342" w:rsidP="00724342">
      <w:pPr>
        <w:ind w:firstLine="425"/>
        <w:jc w:val="center"/>
        <w:outlineLvl w:val="0"/>
        <w:rPr>
          <w:rFonts w:eastAsia="Calibri"/>
          <w:b/>
          <w:sz w:val="24"/>
          <w:szCs w:val="24"/>
          <w:lang w:eastAsia="en-US"/>
        </w:rPr>
      </w:pPr>
      <w:r w:rsidRPr="00787EA7">
        <w:rPr>
          <w:rFonts w:eastAsia="Calibri"/>
          <w:b/>
          <w:sz w:val="24"/>
          <w:szCs w:val="24"/>
          <w:lang w:eastAsia="en-US"/>
        </w:rPr>
        <w:t>Анализ страхового рынка Краснодарского края</w:t>
      </w:r>
    </w:p>
    <w:p w:rsidR="00724342" w:rsidRPr="00787EA7" w:rsidRDefault="00724342" w:rsidP="00724342">
      <w:pPr>
        <w:ind w:firstLine="425"/>
        <w:jc w:val="center"/>
        <w:rPr>
          <w:rFonts w:eastAsia="Calibri"/>
          <w:b/>
          <w:sz w:val="24"/>
          <w:szCs w:val="24"/>
          <w:lang w:val="en-US" w:eastAsia="en-US"/>
        </w:rPr>
      </w:pPr>
      <w:r w:rsidRPr="00787EA7">
        <w:rPr>
          <w:rFonts w:eastAsia="Calibri"/>
          <w:b/>
          <w:sz w:val="24"/>
          <w:szCs w:val="24"/>
          <w:lang w:val="en-US" w:eastAsia="en-US"/>
        </w:rPr>
        <w:t>Analysis of the insurance market in the Krasnodar region</w:t>
      </w:r>
    </w:p>
    <w:p w:rsidR="00724342" w:rsidRPr="00787EA7" w:rsidRDefault="00724342" w:rsidP="00724342">
      <w:pPr>
        <w:ind w:firstLine="425"/>
        <w:jc w:val="center"/>
        <w:rPr>
          <w:rFonts w:eastAsia="Calibri"/>
          <w:b/>
          <w:sz w:val="24"/>
          <w:szCs w:val="24"/>
          <w:lang w:val="en-US" w:eastAsia="en-US"/>
        </w:rPr>
      </w:pPr>
    </w:p>
    <w:p w:rsidR="00724342" w:rsidRPr="003F3918" w:rsidRDefault="00724342" w:rsidP="00724342">
      <w:pPr>
        <w:ind w:firstLine="425"/>
        <w:jc w:val="right"/>
        <w:rPr>
          <w:rFonts w:eastAsia="Calibri"/>
          <w:sz w:val="22"/>
          <w:szCs w:val="22"/>
          <w:lang w:eastAsia="en-US"/>
        </w:rPr>
      </w:pPr>
      <w:r w:rsidRPr="003F3918">
        <w:rPr>
          <w:rFonts w:eastAsia="Calibri"/>
          <w:sz w:val="22"/>
          <w:szCs w:val="22"/>
          <w:lang w:eastAsia="en-US"/>
        </w:rPr>
        <w:t>Бондаренко К.</w:t>
      </w:r>
      <w:r w:rsidR="003F3918" w:rsidRPr="003F3918">
        <w:rPr>
          <w:rFonts w:eastAsia="Calibri"/>
          <w:sz w:val="22"/>
          <w:szCs w:val="22"/>
          <w:lang w:eastAsia="en-US"/>
        </w:rPr>
        <w:t xml:space="preserve"> </w:t>
      </w:r>
      <w:r w:rsidRPr="003F3918">
        <w:rPr>
          <w:rFonts w:eastAsia="Calibri"/>
          <w:sz w:val="22"/>
          <w:szCs w:val="22"/>
          <w:lang w:eastAsia="en-US"/>
        </w:rPr>
        <w:t>В.</w:t>
      </w:r>
      <w:r w:rsidR="003F3918" w:rsidRPr="003F3918">
        <w:rPr>
          <w:rFonts w:eastAsia="Calibri"/>
          <w:sz w:val="22"/>
          <w:szCs w:val="22"/>
          <w:lang w:eastAsia="en-US"/>
        </w:rPr>
        <w:t>,</w:t>
      </w:r>
    </w:p>
    <w:p w:rsidR="00724342" w:rsidRPr="003F3918" w:rsidRDefault="00724342" w:rsidP="00724342">
      <w:pPr>
        <w:ind w:firstLine="425"/>
        <w:jc w:val="right"/>
        <w:rPr>
          <w:rFonts w:eastAsia="Calibri"/>
          <w:sz w:val="22"/>
          <w:szCs w:val="22"/>
          <w:lang w:eastAsia="en-US"/>
        </w:rPr>
      </w:pPr>
      <w:r w:rsidRPr="003F3918">
        <w:rPr>
          <w:rFonts w:eastAsia="Calibri"/>
          <w:sz w:val="22"/>
          <w:szCs w:val="22"/>
          <w:lang w:eastAsia="en-US"/>
        </w:rPr>
        <w:t>студентка 4-го курса факультета «Финансы и кредит»</w:t>
      </w:r>
    </w:p>
    <w:p w:rsidR="00724342" w:rsidRPr="003F3918" w:rsidRDefault="00724342" w:rsidP="00724342">
      <w:pPr>
        <w:ind w:firstLine="425"/>
        <w:jc w:val="right"/>
        <w:rPr>
          <w:rFonts w:eastAsia="Calibri"/>
          <w:sz w:val="22"/>
          <w:szCs w:val="22"/>
          <w:lang w:eastAsia="en-US"/>
        </w:rPr>
      </w:pPr>
      <w:r w:rsidRPr="003F3918">
        <w:rPr>
          <w:rFonts w:eastAsia="Calibri"/>
          <w:sz w:val="22"/>
          <w:szCs w:val="22"/>
          <w:lang w:eastAsia="en-US"/>
        </w:rPr>
        <w:t>Васильченко Е.</w:t>
      </w:r>
      <w:r w:rsidR="003F3918" w:rsidRPr="003F3918">
        <w:rPr>
          <w:rFonts w:eastAsia="Calibri"/>
          <w:sz w:val="22"/>
          <w:szCs w:val="22"/>
          <w:lang w:eastAsia="en-US"/>
        </w:rPr>
        <w:t xml:space="preserve"> </w:t>
      </w:r>
      <w:r w:rsidRPr="003F3918">
        <w:rPr>
          <w:rFonts w:eastAsia="Calibri"/>
          <w:sz w:val="22"/>
          <w:szCs w:val="22"/>
          <w:lang w:eastAsia="en-US"/>
        </w:rPr>
        <w:t>И.</w:t>
      </w:r>
      <w:r w:rsidR="003F3918" w:rsidRPr="003F3918">
        <w:rPr>
          <w:rFonts w:eastAsia="Calibri"/>
          <w:sz w:val="22"/>
          <w:szCs w:val="22"/>
          <w:lang w:eastAsia="en-US"/>
        </w:rPr>
        <w:t>,</w:t>
      </w:r>
    </w:p>
    <w:p w:rsidR="00724342" w:rsidRPr="003F3918" w:rsidRDefault="00724342" w:rsidP="00724342">
      <w:pPr>
        <w:ind w:firstLine="425"/>
        <w:jc w:val="right"/>
        <w:rPr>
          <w:rFonts w:eastAsia="Calibri"/>
          <w:sz w:val="22"/>
          <w:szCs w:val="22"/>
          <w:lang w:eastAsia="en-US"/>
        </w:rPr>
      </w:pPr>
      <w:r w:rsidRPr="003F3918">
        <w:rPr>
          <w:rFonts w:eastAsia="Calibri"/>
          <w:sz w:val="22"/>
          <w:szCs w:val="22"/>
          <w:lang w:eastAsia="en-US"/>
        </w:rPr>
        <w:t>доцент кафедры финансов</w:t>
      </w:r>
    </w:p>
    <w:p w:rsidR="00724342" w:rsidRPr="003F3918" w:rsidRDefault="00724342" w:rsidP="00724342">
      <w:pPr>
        <w:ind w:firstLine="425"/>
        <w:jc w:val="right"/>
        <w:rPr>
          <w:rFonts w:eastAsia="Calibri"/>
          <w:sz w:val="22"/>
          <w:szCs w:val="22"/>
          <w:lang w:eastAsia="en-US"/>
        </w:rPr>
      </w:pPr>
      <w:r w:rsidRPr="003F3918">
        <w:rPr>
          <w:rFonts w:eastAsia="Calibri"/>
          <w:sz w:val="22"/>
          <w:szCs w:val="22"/>
          <w:lang w:eastAsia="en-US"/>
        </w:rPr>
        <w:t>Кубанский государственный аграрный</w:t>
      </w:r>
    </w:p>
    <w:p w:rsidR="00724342" w:rsidRPr="00787EA7" w:rsidRDefault="00724342" w:rsidP="00724342">
      <w:pPr>
        <w:ind w:firstLine="425"/>
        <w:jc w:val="right"/>
        <w:rPr>
          <w:rFonts w:eastAsia="Calibri"/>
          <w:sz w:val="24"/>
          <w:szCs w:val="24"/>
          <w:lang w:eastAsia="en-US"/>
        </w:rPr>
      </w:pPr>
      <w:r w:rsidRPr="003F3918">
        <w:rPr>
          <w:rFonts w:eastAsia="Calibri"/>
          <w:sz w:val="22"/>
          <w:szCs w:val="22"/>
          <w:lang w:eastAsia="en-US"/>
        </w:rPr>
        <w:t xml:space="preserve"> университет имени И.Т. Трубилина</w:t>
      </w:r>
    </w:p>
    <w:p w:rsidR="00724342" w:rsidRPr="00787EA7" w:rsidRDefault="00724342" w:rsidP="00724342">
      <w:pPr>
        <w:ind w:firstLine="425"/>
        <w:jc w:val="right"/>
        <w:rPr>
          <w:rFonts w:eastAsia="Calibri"/>
          <w:sz w:val="24"/>
          <w:szCs w:val="24"/>
          <w:lang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АННОТАЦИЯ: Проведен анализ страхового рынка Краснода</w:t>
      </w:r>
      <w:r w:rsidRPr="00787EA7">
        <w:rPr>
          <w:rFonts w:eastAsia="Calibri"/>
          <w:sz w:val="22"/>
          <w:szCs w:val="22"/>
          <w:lang w:eastAsia="en-US"/>
        </w:rPr>
        <w:t>р</w:t>
      </w:r>
      <w:r w:rsidRPr="00787EA7">
        <w:rPr>
          <w:rFonts w:eastAsia="Calibri"/>
          <w:sz w:val="22"/>
          <w:szCs w:val="22"/>
          <w:lang w:eastAsia="en-US"/>
        </w:rPr>
        <w:t>ского края на примере автострахования КАСКО и ОСАГО. Пре</w:t>
      </w:r>
      <w:r w:rsidRPr="00787EA7">
        <w:rPr>
          <w:rFonts w:eastAsia="Calibri"/>
          <w:sz w:val="22"/>
          <w:szCs w:val="22"/>
          <w:lang w:eastAsia="en-US"/>
        </w:rPr>
        <w:t>д</w:t>
      </w:r>
      <w:r w:rsidRPr="00787EA7">
        <w:rPr>
          <w:rFonts w:eastAsia="Calibri"/>
          <w:sz w:val="22"/>
          <w:szCs w:val="22"/>
          <w:lang w:eastAsia="en-US"/>
        </w:rPr>
        <w:t>ставлены показатели, по которым рассчитывается цена страховых услуг ОСАГО. Для повышения эффективности страховой деятел</w:t>
      </w:r>
      <w:r w:rsidRPr="00787EA7">
        <w:rPr>
          <w:rFonts w:eastAsia="Calibri"/>
          <w:sz w:val="22"/>
          <w:szCs w:val="22"/>
          <w:lang w:eastAsia="en-US"/>
        </w:rPr>
        <w:t>ь</w:t>
      </w:r>
      <w:r w:rsidRPr="00787EA7">
        <w:rPr>
          <w:rFonts w:eastAsia="Calibri"/>
          <w:sz w:val="22"/>
          <w:szCs w:val="22"/>
          <w:lang w:eastAsia="en-US"/>
        </w:rPr>
        <w:t>ности организаций предложены рекомендации.</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The analysis of the insurance market of the Krasnodar Territory on the example of auto insurance KASKO and OSAGO. The advantages and disadvantages of CASCO are determined. The indicators are presented, according to which the price of insurance services of co</w:t>
      </w:r>
      <w:r w:rsidRPr="00787EA7">
        <w:rPr>
          <w:rFonts w:eastAsia="Calibri"/>
          <w:sz w:val="22"/>
          <w:szCs w:val="22"/>
          <w:lang w:val="en-US" w:eastAsia="en-US"/>
        </w:rPr>
        <w:t>m</w:t>
      </w:r>
      <w:r w:rsidRPr="00787EA7">
        <w:rPr>
          <w:rFonts w:eastAsia="Calibri"/>
          <w:sz w:val="22"/>
          <w:szCs w:val="22"/>
          <w:lang w:val="en-US" w:eastAsia="en-US"/>
        </w:rPr>
        <w:t>pulsory motor third party liability insurance is calculated. To improve the effectiveness of insurance organizations offered recommendations.</w:t>
      </w:r>
    </w:p>
    <w:p w:rsidR="00724342" w:rsidRPr="00787EA7" w:rsidRDefault="00724342" w:rsidP="00724342">
      <w:pPr>
        <w:ind w:firstLine="425"/>
        <w:rPr>
          <w:rFonts w:eastAsia="Calibri"/>
          <w:sz w:val="22"/>
          <w:szCs w:val="22"/>
          <w:lang w:val="en-US" w:eastAsia="en-US"/>
        </w:rPr>
      </w:pPr>
      <w:r w:rsidRPr="00787EA7">
        <w:rPr>
          <w:rFonts w:eastAsia="Calibri"/>
          <w:sz w:val="22"/>
          <w:szCs w:val="22"/>
          <w:lang w:eastAsia="en-US"/>
        </w:rPr>
        <w:t>КЛЮЧЕВЫЕСЛОВА</w:t>
      </w:r>
      <w:r w:rsidRPr="00787EA7">
        <w:rPr>
          <w:rFonts w:eastAsia="Calibri"/>
          <w:sz w:val="22"/>
          <w:szCs w:val="22"/>
          <w:lang w:val="en-US" w:eastAsia="en-US"/>
        </w:rPr>
        <w:t xml:space="preserve">: </w:t>
      </w:r>
      <w:r w:rsidRPr="00787EA7">
        <w:rPr>
          <w:rFonts w:eastAsia="Calibri"/>
          <w:sz w:val="22"/>
          <w:szCs w:val="22"/>
          <w:lang w:eastAsia="en-US"/>
        </w:rPr>
        <w:t>Страховая</w:t>
      </w:r>
      <w:r w:rsidRPr="00787EA7">
        <w:rPr>
          <w:rFonts w:eastAsia="Calibri"/>
          <w:sz w:val="22"/>
          <w:szCs w:val="22"/>
          <w:lang w:val="en-US" w:eastAsia="en-US"/>
        </w:rPr>
        <w:t xml:space="preserve"> </w:t>
      </w:r>
      <w:r w:rsidRPr="00787EA7">
        <w:rPr>
          <w:rFonts w:eastAsia="Calibri"/>
          <w:sz w:val="22"/>
          <w:szCs w:val="22"/>
          <w:lang w:eastAsia="en-US"/>
        </w:rPr>
        <w:t>защита</w:t>
      </w:r>
      <w:r w:rsidRPr="00787EA7">
        <w:rPr>
          <w:rFonts w:eastAsia="Calibri"/>
          <w:sz w:val="22"/>
          <w:szCs w:val="22"/>
          <w:lang w:val="en-US" w:eastAsia="en-US"/>
        </w:rPr>
        <w:t xml:space="preserve">, </w:t>
      </w:r>
      <w:r w:rsidRPr="00787EA7">
        <w:rPr>
          <w:rFonts w:eastAsia="Calibri"/>
          <w:sz w:val="22"/>
          <w:szCs w:val="22"/>
          <w:lang w:eastAsia="en-US"/>
        </w:rPr>
        <w:t>КАСКО</w:t>
      </w:r>
      <w:r w:rsidRPr="00787EA7">
        <w:rPr>
          <w:rFonts w:eastAsia="Calibri"/>
          <w:sz w:val="22"/>
          <w:szCs w:val="22"/>
          <w:lang w:val="en-US" w:eastAsia="en-US"/>
        </w:rPr>
        <w:t xml:space="preserve">, </w:t>
      </w:r>
      <w:r w:rsidRPr="00787EA7">
        <w:rPr>
          <w:rFonts w:eastAsia="Calibri"/>
          <w:sz w:val="22"/>
          <w:szCs w:val="22"/>
          <w:lang w:eastAsia="en-US"/>
        </w:rPr>
        <w:t>ОСАГО</w:t>
      </w:r>
      <w:r w:rsidRPr="00787EA7">
        <w:rPr>
          <w:rFonts w:eastAsia="Calibri"/>
          <w:sz w:val="22"/>
          <w:szCs w:val="22"/>
          <w:lang w:val="en-US" w:eastAsia="en-US"/>
        </w:rPr>
        <w:t>.</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KEYWORDS: Insurance protection, CASCO, OSAGO.</w:t>
      </w:r>
    </w:p>
    <w:p w:rsidR="00724342" w:rsidRPr="00787EA7" w:rsidRDefault="00724342" w:rsidP="00724342">
      <w:pPr>
        <w:jc w:val="both"/>
        <w:rPr>
          <w:rFonts w:eastAsia="Calibri"/>
          <w:sz w:val="24"/>
          <w:szCs w:val="24"/>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В современном экономическом обществе большая часть нас</w:t>
      </w:r>
      <w:r w:rsidRPr="00787EA7">
        <w:rPr>
          <w:rFonts w:eastAsia="Calibri"/>
          <w:sz w:val="22"/>
          <w:szCs w:val="22"/>
          <w:lang w:eastAsia="en-US"/>
        </w:rPr>
        <w:t>е</w:t>
      </w:r>
      <w:r w:rsidRPr="00787EA7">
        <w:rPr>
          <w:rFonts w:eastAsia="Calibri"/>
          <w:sz w:val="22"/>
          <w:szCs w:val="22"/>
          <w:lang w:eastAsia="en-US"/>
        </w:rPr>
        <w:t>ления обеспокоена проблемами страхования. Ее актуальность св</w:t>
      </w:r>
      <w:r w:rsidRPr="00787EA7">
        <w:rPr>
          <w:rFonts w:eastAsia="Calibri"/>
          <w:sz w:val="22"/>
          <w:szCs w:val="22"/>
          <w:lang w:eastAsia="en-US"/>
        </w:rPr>
        <w:t>я</w:t>
      </w:r>
      <w:r w:rsidRPr="00787EA7">
        <w:rPr>
          <w:rFonts w:eastAsia="Calibri"/>
          <w:sz w:val="22"/>
          <w:szCs w:val="22"/>
          <w:lang w:eastAsia="en-US"/>
        </w:rPr>
        <w:t>зана с ростом собственников, которые стремятся защитить свои и</w:t>
      </w:r>
      <w:r w:rsidRPr="00787EA7">
        <w:rPr>
          <w:rFonts w:eastAsia="Calibri"/>
          <w:sz w:val="22"/>
          <w:szCs w:val="22"/>
          <w:lang w:eastAsia="en-US"/>
        </w:rPr>
        <w:t>н</w:t>
      </w:r>
      <w:r w:rsidRPr="00787EA7">
        <w:rPr>
          <w:rFonts w:eastAsia="Calibri"/>
          <w:sz w:val="22"/>
          <w:szCs w:val="22"/>
          <w:lang w:eastAsia="en-US"/>
        </w:rPr>
        <w:t>тересы. Предпосылками страховой защиты могут быть:</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профессиональная деятельность, гарантирующая защиту от ошибок перед другими лицами;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защита от рисков предпринимательской деятельности;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социальная защищенность населения на случай заболевания, дожития до определенного возраста;</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увеличение техногенных катастроф, связанных с научно-техническим прогрессом.</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Страховая услуга, как защита от неблагоприятных событий, предоставляется в денежной форме в зависимости от системы в</w:t>
      </w:r>
      <w:r w:rsidRPr="00787EA7">
        <w:rPr>
          <w:rFonts w:eastAsia="Calibri"/>
          <w:sz w:val="22"/>
          <w:szCs w:val="22"/>
          <w:lang w:eastAsia="en-US"/>
        </w:rPr>
        <w:t>ы</w:t>
      </w:r>
      <w:r w:rsidRPr="00787EA7">
        <w:rPr>
          <w:rFonts w:eastAsia="Calibri"/>
          <w:sz w:val="22"/>
          <w:szCs w:val="22"/>
          <w:lang w:eastAsia="en-US"/>
        </w:rPr>
        <w:t>платы страховых возмещений. Для покрытия возникающего ущерба используется страховой фонд, который формируется на страховом рынке.  Цена страховой услуги получает свое выражение в страх</w:t>
      </w:r>
      <w:r w:rsidRPr="00787EA7">
        <w:rPr>
          <w:rFonts w:eastAsia="Calibri"/>
          <w:sz w:val="22"/>
          <w:szCs w:val="22"/>
          <w:lang w:eastAsia="en-US"/>
        </w:rPr>
        <w:t>о</w:t>
      </w:r>
      <w:r w:rsidRPr="00787EA7">
        <w:rPr>
          <w:rFonts w:eastAsia="Calibri"/>
          <w:sz w:val="22"/>
          <w:szCs w:val="22"/>
          <w:lang w:eastAsia="en-US"/>
        </w:rPr>
        <w:t>вом тарифе и складывается на конкурентной основе при сопоста</w:t>
      </w:r>
      <w:r w:rsidRPr="00787EA7">
        <w:rPr>
          <w:rFonts w:eastAsia="Calibri"/>
          <w:sz w:val="22"/>
          <w:szCs w:val="22"/>
          <w:lang w:eastAsia="en-US"/>
        </w:rPr>
        <w:t>в</w:t>
      </w:r>
      <w:r w:rsidRPr="00787EA7">
        <w:rPr>
          <w:rFonts w:eastAsia="Calibri"/>
          <w:sz w:val="22"/>
          <w:szCs w:val="22"/>
          <w:lang w:eastAsia="en-US"/>
        </w:rPr>
        <w:t>лении спроса и предложения, но в ее основе лежит размер страхов</w:t>
      </w:r>
      <w:r w:rsidRPr="00787EA7">
        <w:rPr>
          <w:rFonts w:eastAsia="Calibri"/>
          <w:sz w:val="22"/>
          <w:szCs w:val="22"/>
          <w:lang w:eastAsia="en-US"/>
        </w:rPr>
        <w:t>о</w:t>
      </w:r>
      <w:r w:rsidRPr="00787EA7">
        <w:rPr>
          <w:rFonts w:eastAsia="Calibri"/>
          <w:sz w:val="22"/>
          <w:szCs w:val="22"/>
          <w:lang w:eastAsia="en-US"/>
        </w:rPr>
        <w:t>го возмещения и расходов на ведение дела [1].</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Успех деятельности страховых компаний зависит от колич</w:t>
      </w:r>
      <w:r w:rsidRPr="00787EA7">
        <w:rPr>
          <w:rFonts w:eastAsia="Calibri"/>
          <w:sz w:val="22"/>
          <w:szCs w:val="22"/>
          <w:lang w:eastAsia="en-US"/>
        </w:rPr>
        <w:t>е</w:t>
      </w:r>
      <w:r w:rsidRPr="00787EA7">
        <w:rPr>
          <w:rFonts w:eastAsia="Calibri"/>
          <w:sz w:val="22"/>
          <w:szCs w:val="22"/>
          <w:lang w:eastAsia="en-US"/>
        </w:rPr>
        <w:t>ства полученных страховых премий. По итогам 1-го полугодия 2017 года Краснодарский край занимает 6-е место в рейтинге, среди 83 регионов Российской Федерации, по собранным страховым прем</w:t>
      </w:r>
      <w:r w:rsidRPr="00787EA7">
        <w:rPr>
          <w:rFonts w:eastAsia="Calibri"/>
          <w:sz w:val="22"/>
          <w:szCs w:val="22"/>
          <w:lang w:eastAsia="en-US"/>
        </w:rPr>
        <w:t>и</w:t>
      </w:r>
      <w:r w:rsidRPr="00787EA7">
        <w:rPr>
          <w:rFonts w:eastAsia="Calibri"/>
          <w:sz w:val="22"/>
          <w:szCs w:val="22"/>
          <w:lang w:eastAsia="en-US"/>
        </w:rPr>
        <w:t>ям – 11,5 млрд. рублей.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Страховая деятельность осуществляется на добровольной или обязательной основе.</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Примером добровольного страхования в Краснодарском крае является КАСКО, т. е страхование автомобиля от любых неприя</w:t>
      </w:r>
      <w:r w:rsidRPr="00787EA7">
        <w:rPr>
          <w:rFonts w:eastAsia="Calibri"/>
          <w:sz w:val="22"/>
          <w:szCs w:val="22"/>
          <w:lang w:eastAsia="en-US"/>
        </w:rPr>
        <w:t>т</w:t>
      </w:r>
      <w:r w:rsidRPr="00787EA7">
        <w:rPr>
          <w:rFonts w:eastAsia="Calibri"/>
          <w:sz w:val="22"/>
          <w:szCs w:val="22"/>
          <w:lang w:eastAsia="en-US"/>
        </w:rPr>
        <w:t>ностей, возникших на дороге и на стоянке. Например, страховая выплата в возмещении ущерба в случае аварии автомобиля, его угона.</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Преимуществами КАСКО является, что выплата страховщику проводится всего раз за оказание страховой услуги, и страховая о</w:t>
      </w:r>
      <w:r w:rsidRPr="00787EA7">
        <w:rPr>
          <w:rFonts w:eastAsia="Calibri"/>
          <w:sz w:val="22"/>
          <w:szCs w:val="22"/>
          <w:lang w:eastAsia="en-US"/>
        </w:rPr>
        <w:t>р</w:t>
      </w:r>
      <w:r w:rsidRPr="00787EA7">
        <w:rPr>
          <w:rFonts w:eastAsia="Calibri"/>
          <w:sz w:val="22"/>
          <w:szCs w:val="22"/>
          <w:lang w:eastAsia="en-US"/>
        </w:rPr>
        <w:t xml:space="preserve">ганизация в течение года возмещает нанесенный ущерб.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Несмотря на дороговизну договора КАСКО можно уменьшить стоимость указания услуг КАСКО, используя франшизу.</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По обязательному страхованию гражданской ответственности владельцев транспортных средств (ОСАГО) Краснодарский край занимает 4-е место среди субъектов РФ - 4 млрд. рублей.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По ОСАГО лидерами по сборам остаются Ресо-Гарантия, Росгосстрах и ВСК на которых приходится порядка 50% от общих сборов в крае.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Цена страховых услуг ОСАГО определяется в соответствии с тарифами, разработанными Правительством РФ. Цена страховки ОСАГО складывается из нескольких показателей: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 Тип транспортного средства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 Территориальная привязка.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Опыт страхователя</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Мощность машины, срок страхования ответственности, нал</w:t>
      </w:r>
      <w:r w:rsidRPr="00787EA7">
        <w:rPr>
          <w:rFonts w:eastAsia="Calibri"/>
          <w:sz w:val="22"/>
          <w:szCs w:val="22"/>
          <w:lang w:eastAsia="en-US"/>
        </w:rPr>
        <w:t>и</w:t>
      </w:r>
      <w:r w:rsidRPr="00787EA7">
        <w:rPr>
          <w:rFonts w:eastAsia="Calibri"/>
          <w:sz w:val="22"/>
          <w:szCs w:val="22"/>
          <w:lang w:eastAsia="en-US"/>
        </w:rPr>
        <w:t xml:space="preserve">чие или отсутствие аварии, определение виновника в случае аварии.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По данным Российского союза страховщиков, Краснодарский край и Ростовская область вошли в список из пяти «проблемных» регионов по ОСАГО. При этом Краснодарский край в I полугодии 2016г. оказался в числе регионов с рекордными выплатами по ОСАГО [2].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Конкурентная борьба за наибольший удельный вес премиал</w:t>
      </w:r>
      <w:r w:rsidRPr="00787EA7">
        <w:rPr>
          <w:rFonts w:eastAsia="Calibri"/>
          <w:sz w:val="22"/>
          <w:szCs w:val="22"/>
          <w:lang w:eastAsia="en-US"/>
        </w:rPr>
        <w:t>ь</w:t>
      </w:r>
      <w:r w:rsidRPr="00787EA7">
        <w:rPr>
          <w:rFonts w:eastAsia="Calibri"/>
          <w:sz w:val="22"/>
          <w:szCs w:val="22"/>
          <w:lang w:eastAsia="en-US"/>
        </w:rPr>
        <w:t>ных страховых взносов связана с повышением эффективности и рентабельности страховой деятельности компаний на территории Краснодарского края. Для улучшения качества предоставления страховых услуг и повышения показателей рентабельности страх</w:t>
      </w:r>
      <w:r w:rsidRPr="00787EA7">
        <w:rPr>
          <w:rFonts w:eastAsia="Calibri"/>
          <w:sz w:val="22"/>
          <w:szCs w:val="22"/>
          <w:lang w:eastAsia="en-US"/>
        </w:rPr>
        <w:t>о</w:t>
      </w:r>
      <w:r w:rsidRPr="00787EA7">
        <w:rPr>
          <w:rFonts w:eastAsia="Calibri"/>
          <w:sz w:val="22"/>
          <w:szCs w:val="22"/>
          <w:lang w:eastAsia="en-US"/>
        </w:rPr>
        <w:t>вых организаций предлагаются рекомендации: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1.Разработка и реализация комплекса экономических, социал</w:t>
      </w:r>
      <w:r w:rsidRPr="00787EA7">
        <w:rPr>
          <w:rFonts w:eastAsia="Calibri"/>
          <w:sz w:val="22"/>
          <w:szCs w:val="22"/>
          <w:lang w:eastAsia="en-US"/>
        </w:rPr>
        <w:t>ь</w:t>
      </w:r>
      <w:r w:rsidRPr="00787EA7">
        <w:rPr>
          <w:rFonts w:eastAsia="Calibri"/>
          <w:sz w:val="22"/>
          <w:szCs w:val="22"/>
          <w:lang w:eastAsia="en-US"/>
        </w:rPr>
        <w:t>ных и законодательных мероприятий в целях обеспечения финанс</w:t>
      </w:r>
      <w:r w:rsidRPr="00787EA7">
        <w:rPr>
          <w:rFonts w:eastAsia="Calibri"/>
          <w:sz w:val="22"/>
          <w:szCs w:val="22"/>
          <w:lang w:eastAsia="en-US"/>
        </w:rPr>
        <w:t>о</w:t>
      </w:r>
      <w:r w:rsidRPr="00787EA7">
        <w:rPr>
          <w:rFonts w:eastAsia="Calibri"/>
          <w:sz w:val="22"/>
          <w:szCs w:val="22"/>
          <w:lang w:eastAsia="en-US"/>
        </w:rPr>
        <w:t>вой устойчивости страховых операций.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2. Общее улучшение экономической ситуации в стране.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3. Для нормальной, бескризисной работы страховой компании необходимо контролировать и поддерживать больший объем вх</w:t>
      </w:r>
      <w:r w:rsidRPr="00787EA7">
        <w:rPr>
          <w:rFonts w:eastAsia="Calibri"/>
          <w:sz w:val="22"/>
          <w:szCs w:val="22"/>
          <w:lang w:eastAsia="en-US"/>
        </w:rPr>
        <w:t>о</w:t>
      </w:r>
      <w:r w:rsidRPr="00787EA7">
        <w:rPr>
          <w:rFonts w:eastAsia="Calibri"/>
          <w:sz w:val="22"/>
          <w:szCs w:val="22"/>
          <w:lang w:eastAsia="en-US"/>
        </w:rPr>
        <w:t>дящих финансовых потоков, обеспечивая прирост показателя пр</w:t>
      </w:r>
      <w:r w:rsidRPr="00787EA7">
        <w:rPr>
          <w:rFonts w:eastAsia="Calibri"/>
          <w:sz w:val="22"/>
          <w:szCs w:val="22"/>
          <w:lang w:eastAsia="en-US"/>
        </w:rPr>
        <w:t>и</w:t>
      </w:r>
      <w:r w:rsidRPr="00787EA7">
        <w:rPr>
          <w:rFonts w:eastAsia="Calibri"/>
          <w:sz w:val="22"/>
          <w:szCs w:val="22"/>
          <w:lang w:eastAsia="en-US"/>
        </w:rPr>
        <w:t>были и сокращать использование заемных средств.</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4. Система мониторинга в сочетании со своевременным прим</w:t>
      </w:r>
      <w:r w:rsidRPr="00787EA7">
        <w:rPr>
          <w:rFonts w:eastAsia="Calibri"/>
          <w:sz w:val="22"/>
          <w:szCs w:val="22"/>
          <w:lang w:eastAsia="en-US"/>
        </w:rPr>
        <w:t>е</w:t>
      </w:r>
      <w:r w:rsidRPr="00787EA7">
        <w:rPr>
          <w:rFonts w:eastAsia="Calibri"/>
          <w:sz w:val="22"/>
          <w:szCs w:val="22"/>
          <w:lang w:eastAsia="en-US"/>
        </w:rPr>
        <w:t>нением мер по недопущению или предотвращению кризисных я</w:t>
      </w:r>
      <w:r w:rsidRPr="00787EA7">
        <w:rPr>
          <w:rFonts w:eastAsia="Calibri"/>
          <w:sz w:val="22"/>
          <w:szCs w:val="22"/>
          <w:lang w:eastAsia="en-US"/>
        </w:rPr>
        <w:t>в</w:t>
      </w:r>
      <w:r w:rsidRPr="00787EA7">
        <w:rPr>
          <w:rFonts w:eastAsia="Calibri"/>
          <w:sz w:val="22"/>
          <w:szCs w:val="22"/>
          <w:lang w:eastAsia="en-US"/>
        </w:rPr>
        <w:t>лений в известной степени способна обеспечить нормальную жи</w:t>
      </w:r>
      <w:r w:rsidRPr="00787EA7">
        <w:rPr>
          <w:rFonts w:eastAsia="Calibri"/>
          <w:sz w:val="22"/>
          <w:szCs w:val="22"/>
          <w:lang w:eastAsia="en-US"/>
        </w:rPr>
        <w:t>з</w:t>
      </w:r>
      <w:r w:rsidRPr="00787EA7">
        <w:rPr>
          <w:rFonts w:eastAsia="Calibri"/>
          <w:sz w:val="22"/>
          <w:szCs w:val="22"/>
          <w:lang w:eastAsia="en-US"/>
        </w:rPr>
        <w:t>недеятельность компании.</w:t>
      </w:r>
    </w:p>
    <w:p w:rsidR="00724342" w:rsidRPr="00787EA7" w:rsidRDefault="00724342" w:rsidP="00724342">
      <w:pPr>
        <w:ind w:firstLine="425"/>
        <w:jc w:val="both"/>
        <w:rPr>
          <w:rFonts w:eastAsia="Calibri"/>
          <w:sz w:val="22"/>
          <w:szCs w:val="22"/>
          <w:lang w:eastAsia="en-US"/>
        </w:rPr>
      </w:pPr>
    </w:p>
    <w:p w:rsidR="00724342" w:rsidRPr="00787EA7" w:rsidRDefault="003F3918" w:rsidP="00724342">
      <w:pPr>
        <w:ind w:firstLine="425"/>
        <w:jc w:val="center"/>
        <w:outlineLvl w:val="0"/>
        <w:rPr>
          <w:rFonts w:eastAsia="Calibri"/>
          <w:sz w:val="22"/>
          <w:szCs w:val="22"/>
          <w:lang w:eastAsia="en-US"/>
        </w:rPr>
      </w:pPr>
      <w:r>
        <w:rPr>
          <w:rFonts w:eastAsia="Calibri"/>
          <w:sz w:val="22"/>
          <w:szCs w:val="22"/>
          <w:lang w:eastAsia="en-US"/>
        </w:rPr>
        <w:lastRenderedPageBreak/>
        <w:t>Список литературы</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1. Трегубенко З.С., Васильченко Е.И. Страхование и его гос</w:t>
      </w:r>
      <w:r w:rsidRPr="00787EA7">
        <w:rPr>
          <w:rFonts w:eastAsia="Calibri"/>
          <w:sz w:val="22"/>
          <w:szCs w:val="22"/>
          <w:lang w:eastAsia="en-US"/>
        </w:rPr>
        <w:t>у</w:t>
      </w:r>
      <w:r w:rsidRPr="00787EA7">
        <w:rPr>
          <w:rFonts w:eastAsia="Calibri"/>
          <w:sz w:val="22"/>
          <w:szCs w:val="22"/>
          <w:lang w:eastAsia="en-US"/>
        </w:rPr>
        <w:t>дарственное регулирование [Текст] / З.С. Трегубенко, Е.И. Васил</w:t>
      </w:r>
      <w:r w:rsidRPr="00787EA7">
        <w:rPr>
          <w:rFonts w:eastAsia="Calibri"/>
          <w:sz w:val="22"/>
          <w:szCs w:val="22"/>
          <w:lang w:eastAsia="en-US"/>
        </w:rPr>
        <w:t>ь</w:t>
      </w:r>
      <w:r w:rsidRPr="00787EA7">
        <w:rPr>
          <w:rFonts w:eastAsia="Calibri"/>
          <w:sz w:val="22"/>
          <w:szCs w:val="22"/>
          <w:lang w:eastAsia="en-US"/>
        </w:rPr>
        <w:t>ченко//Новая наука: Теоретический и практический взгляд. – 2016. – №117-1.с.165-167.</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2. Департамент инвестиций и развития малого и среднего пре</w:t>
      </w:r>
      <w:r w:rsidRPr="00787EA7">
        <w:rPr>
          <w:rFonts w:eastAsia="Calibri"/>
          <w:sz w:val="22"/>
          <w:szCs w:val="22"/>
          <w:lang w:eastAsia="en-US"/>
        </w:rPr>
        <w:t>д</w:t>
      </w:r>
      <w:r w:rsidRPr="00787EA7">
        <w:rPr>
          <w:rFonts w:eastAsia="Calibri"/>
          <w:sz w:val="22"/>
          <w:szCs w:val="22"/>
          <w:lang w:eastAsia="en-US"/>
        </w:rPr>
        <w:t>принимательства Краснодарского края [электронный ресурс]. –Режим доступа: http://www.kubaninvest.ru/page364.html– 20.02.2018 г.</w:t>
      </w:r>
    </w:p>
    <w:p w:rsidR="003F3918" w:rsidRDefault="003F3918" w:rsidP="00724342">
      <w:pPr>
        <w:jc w:val="both"/>
        <w:outlineLvl w:val="0"/>
        <w:rPr>
          <w:rFonts w:ascii="Calibri" w:eastAsia="Calibri" w:hAnsi="Calibri"/>
          <w:i/>
          <w:sz w:val="22"/>
          <w:szCs w:val="22"/>
          <w:lang w:eastAsia="en-US"/>
        </w:rPr>
      </w:pPr>
    </w:p>
    <w:p w:rsidR="003F3918" w:rsidRDefault="003F3918" w:rsidP="00724342">
      <w:pPr>
        <w:jc w:val="both"/>
        <w:outlineLvl w:val="0"/>
        <w:rPr>
          <w:rFonts w:eastAsia="Calibri"/>
          <w:sz w:val="22"/>
          <w:szCs w:val="22"/>
          <w:lang w:eastAsia="en-US"/>
        </w:rPr>
      </w:pPr>
    </w:p>
    <w:p w:rsidR="00724342" w:rsidRPr="00787EA7" w:rsidRDefault="00724342" w:rsidP="00724342">
      <w:pPr>
        <w:jc w:val="both"/>
        <w:outlineLvl w:val="0"/>
        <w:rPr>
          <w:rFonts w:eastAsia="Calibri"/>
          <w:sz w:val="22"/>
          <w:szCs w:val="22"/>
          <w:lang w:eastAsia="en-US"/>
        </w:rPr>
      </w:pPr>
      <w:r w:rsidRPr="00787EA7">
        <w:rPr>
          <w:rFonts w:eastAsia="Calibri"/>
          <w:sz w:val="22"/>
          <w:szCs w:val="22"/>
          <w:lang w:eastAsia="en-US"/>
        </w:rPr>
        <w:t>УДК 005.336.6</w:t>
      </w:r>
    </w:p>
    <w:p w:rsidR="00724342" w:rsidRPr="00787EA7" w:rsidRDefault="00724342" w:rsidP="00724342">
      <w:pPr>
        <w:jc w:val="both"/>
        <w:rPr>
          <w:rFonts w:eastAsia="Calibri"/>
          <w:sz w:val="22"/>
          <w:szCs w:val="22"/>
          <w:lang w:eastAsia="en-US"/>
        </w:rPr>
      </w:pPr>
    </w:p>
    <w:p w:rsidR="00724342" w:rsidRPr="00787EA7" w:rsidRDefault="00724342" w:rsidP="00724342">
      <w:pPr>
        <w:jc w:val="center"/>
        <w:outlineLvl w:val="0"/>
        <w:rPr>
          <w:rFonts w:eastAsia="Calibri"/>
          <w:b/>
          <w:sz w:val="24"/>
          <w:szCs w:val="24"/>
          <w:lang w:eastAsia="en-US"/>
        </w:rPr>
      </w:pPr>
      <w:r w:rsidRPr="00787EA7">
        <w:rPr>
          <w:rFonts w:eastAsia="Calibri"/>
          <w:b/>
          <w:sz w:val="24"/>
          <w:szCs w:val="24"/>
          <w:lang w:eastAsia="en-US"/>
        </w:rPr>
        <w:t>Деловая активность как составляющая имиджа</w:t>
      </w:r>
      <w:r w:rsidR="003F3918">
        <w:rPr>
          <w:rFonts w:eastAsia="Calibri"/>
          <w:b/>
          <w:sz w:val="24"/>
          <w:szCs w:val="24"/>
          <w:lang w:eastAsia="en-US"/>
        </w:rPr>
        <w:br/>
      </w:r>
      <w:r w:rsidRPr="00787EA7">
        <w:rPr>
          <w:rFonts w:eastAsia="Calibri"/>
          <w:b/>
          <w:sz w:val="24"/>
          <w:szCs w:val="24"/>
          <w:lang w:eastAsia="en-US"/>
        </w:rPr>
        <w:t xml:space="preserve"> организации</w:t>
      </w:r>
    </w:p>
    <w:p w:rsidR="00724342" w:rsidRPr="00C56F2E" w:rsidRDefault="00724342" w:rsidP="00724342">
      <w:pPr>
        <w:jc w:val="center"/>
        <w:rPr>
          <w:rFonts w:eastAsia="Calibri"/>
          <w:b/>
          <w:sz w:val="24"/>
          <w:szCs w:val="24"/>
          <w:lang w:val="en-US" w:eastAsia="en-US"/>
        </w:rPr>
      </w:pPr>
      <w:r w:rsidRPr="00787EA7">
        <w:rPr>
          <w:rFonts w:eastAsia="Calibri"/>
          <w:b/>
          <w:sz w:val="24"/>
          <w:szCs w:val="24"/>
          <w:lang w:eastAsia="en-US"/>
        </w:rPr>
        <w:t>В</w:t>
      </w:r>
      <w:r w:rsidRPr="00787EA7">
        <w:rPr>
          <w:rFonts w:eastAsia="Calibri"/>
          <w:b/>
          <w:sz w:val="24"/>
          <w:szCs w:val="24"/>
          <w:lang w:val="en-US" w:eastAsia="en-US"/>
        </w:rPr>
        <w:t>usiness</w:t>
      </w:r>
      <w:r w:rsidRPr="00C56F2E">
        <w:rPr>
          <w:rFonts w:eastAsia="Calibri"/>
          <w:b/>
          <w:sz w:val="24"/>
          <w:szCs w:val="24"/>
          <w:lang w:val="en-US" w:eastAsia="en-US"/>
        </w:rPr>
        <w:t xml:space="preserve"> </w:t>
      </w:r>
      <w:r w:rsidRPr="00787EA7">
        <w:rPr>
          <w:rFonts w:eastAsia="Calibri"/>
          <w:b/>
          <w:sz w:val="24"/>
          <w:szCs w:val="24"/>
          <w:lang w:val="en-US" w:eastAsia="en-US"/>
        </w:rPr>
        <w:t>activity</w:t>
      </w:r>
      <w:r w:rsidRPr="00C56F2E">
        <w:rPr>
          <w:rFonts w:eastAsia="Calibri"/>
          <w:b/>
          <w:sz w:val="24"/>
          <w:szCs w:val="24"/>
          <w:lang w:val="en-US" w:eastAsia="en-US"/>
        </w:rPr>
        <w:t xml:space="preserve"> </w:t>
      </w:r>
      <w:r w:rsidRPr="00787EA7">
        <w:rPr>
          <w:rFonts w:eastAsia="Calibri"/>
          <w:b/>
          <w:sz w:val="24"/>
          <w:szCs w:val="24"/>
          <w:lang w:val="en-US" w:eastAsia="en-US"/>
        </w:rPr>
        <w:t>as</w:t>
      </w:r>
      <w:r w:rsidRPr="00C56F2E">
        <w:rPr>
          <w:rFonts w:eastAsia="Calibri"/>
          <w:b/>
          <w:sz w:val="24"/>
          <w:szCs w:val="24"/>
          <w:lang w:val="en-US" w:eastAsia="en-US"/>
        </w:rPr>
        <w:t xml:space="preserve"> </w:t>
      </w:r>
      <w:r w:rsidRPr="00787EA7">
        <w:rPr>
          <w:rFonts w:eastAsia="Calibri"/>
          <w:b/>
          <w:sz w:val="24"/>
          <w:szCs w:val="24"/>
          <w:lang w:val="en-US" w:eastAsia="en-US"/>
        </w:rPr>
        <w:t>a</w:t>
      </w:r>
      <w:r w:rsidRPr="00C56F2E">
        <w:rPr>
          <w:rFonts w:eastAsia="Calibri"/>
          <w:b/>
          <w:sz w:val="24"/>
          <w:szCs w:val="24"/>
          <w:lang w:val="en-US" w:eastAsia="en-US"/>
        </w:rPr>
        <w:t xml:space="preserve"> </w:t>
      </w:r>
      <w:r w:rsidRPr="00787EA7">
        <w:rPr>
          <w:rFonts w:eastAsia="Calibri"/>
          <w:b/>
          <w:sz w:val="24"/>
          <w:szCs w:val="24"/>
          <w:lang w:val="en-US" w:eastAsia="en-US"/>
        </w:rPr>
        <w:t>component</w:t>
      </w:r>
      <w:r w:rsidRPr="00C56F2E">
        <w:rPr>
          <w:rFonts w:eastAsia="Calibri"/>
          <w:b/>
          <w:sz w:val="24"/>
          <w:szCs w:val="24"/>
          <w:lang w:val="en-US" w:eastAsia="en-US"/>
        </w:rPr>
        <w:t xml:space="preserve"> </w:t>
      </w:r>
      <w:r w:rsidRPr="00787EA7">
        <w:rPr>
          <w:rFonts w:eastAsia="Calibri"/>
          <w:b/>
          <w:sz w:val="24"/>
          <w:szCs w:val="24"/>
          <w:lang w:val="en-US" w:eastAsia="en-US"/>
        </w:rPr>
        <w:t>of</w:t>
      </w:r>
      <w:r w:rsidRPr="00C56F2E">
        <w:rPr>
          <w:rFonts w:eastAsia="Calibri"/>
          <w:b/>
          <w:sz w:val="24"/>
          <w:szCs w:val="24"/>
          <w:lang w:val="en-US" w:eastAsia="en-US"/>
        </w:rPr>
        <w:t xml:space="preserve"> </w:t>
      </w:r>
      <w:r w:rsidRPr="00787EA7">
        <w:rPr>
          <w:rFonts w:eastAsia="Calibri"/>
          <w:b/>
          <w:sz w:val="24"/>
          <w:szCs w:val="24"/>
          <w:lang w:val="en-US" w:eastAsia="en-US"/>
        </w:rPr>
        <w:t>the</w:t>
      </w:r>
      <w:r w:rsidRPr="00C56F2E">
        <w:rPr>
          <w:rFonts w:eastAsia="Calibri"/>
          <w:b/>
          <w:sz w:val="24"/>
          <w:szCs w:val="24"/>
          <w:lang w:val="en-US" w:eastAsia="en-US"/>
        </w:rPr>
        <w:t xml:space="preserve"> </w:t>
      </w:r>
      <w:r w:rsidRPr="00787EA7">
        <w:rPr>
          <w:rFonts w:eastAsia="Calibri"/>
          <w:b/>
          <w:sz w:val="24"/>
          <w:szCs w:val="24"/>
          <w:lang w:val="en-US" w:eastAsia="en-US"/>
        </w:rPr>
        <w:t>organization</w:t>
      </w:r>
      <w:r w:rsidRPr="00C56F2E">
        <w:rPr>
          <w:rFonts w:eastAsia="Calibri"/>
          <w:b/>
          <w:sz w:val="24"/>
          <w:szCs w:val="24"/>
          <w:lang w:val="en-US" w:eastAsia="en-US"/>
        </w:rPr>
        <w:t>'</w:t>
      </w:r>
      <w:r w:rsidRPr="00787EA7">
        <w:rPr>
          <w:rFonts w:eastAsia="Calibri"/>
          <w:b/>
          <w:sz w:val="24"/>
          <w:szCs w:val="24"/>
          <w:lang w:val="en-US" w:eastAsia="en-US"/>
        </w:rPr>
        <w:t>s</w:t>
      </w:r>
      <w:r w:rsidRPr="00C56F2E">
        <w:rPr>
          <w:rFonts w:eastAsia="Calibri"/>
          <w:b/>
          <w:sz w:val="24"/>
          <w:szCs w:val="24"/>
          <w:lang w:val="en-US" w:eastAsia="en-US"/>
        </w:rPr>
        <w:t xml:space="preserve"> </w:t>
      </w:r>
      <w:r w:rsidRPr="00787EA7">
        <w:rPr>
          <w:rFonts w:eastAsia="Calibri"/>
          <w:b/>
          <w:sz w:val="24"/>
          <w:szCs w:val="24"/>
          <w:lang w:val="en-US" w:eastAsia="en-US"/>
        </w:rPr>
        <w:t>image</w:t>
      </w:r>
    </w:p>
    <w:p w:rsidR="00724342" w:rsidRPr="00C56F2E" w:rsidRDefault="00724342" w:rsidP="00724342">
      <w:pPr>
        <w:ind w:firstLine="425"/>
        <w:jc w:val="right"/>
        <w:rPr>
          <w:rFonts w:eastAsia="Calibri"/>
          <w:sz w:val="22"/>
          <w:szCs w:val="22"/>
          <w:shd w:val="clear" w:color="auto" w:fill="FFFFFF"/>
          <w:lang w:val="en-US" w:eastAsia="en-US"/>
        </w:rPr>
      </w:pP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Вермичева В.</w:t>
      </w:r>
      <w:r w:rsidR="003F3918">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О.,</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студентка 2-го курса факультета финансы и кредит</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Илюшко С.</w:t>
      </w:r>
      <w:r w:rsidR="003F3918">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В.,</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старший преподаватель кафедры экономики предприятий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Кубанский государственный аграрный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университет имени И. Т. Трубилина</w:t>
      </w:r>
    </w:p>
    <w:p w:rsidR="00724342" w:rsidRPr="00787EA7" w:rsidRDefault="00724342" w:rsidP="00724342">
      <w:pPr>
        <w:ind w:firstLine="425"/>
        <w:jc w:val="right"/>
        <w:rPr>
          <w:rFonts w:eastAsia="Calibri"/>
          <w:color w:val="333333"/>
          <w:sz w:val="22"/>
          <w:szCs w:val="22"/>
          <w:shd w:val="clear" w:color="auto" w:fill="FFFFFF"/>
          <w:lang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АННОТАЦИЯ: Рассмотрены понятия деловой активности и имиджа организации. Изучены точки зрения по необходимости с</w:t>
      </w:r>
      <w:r w:rsidRPr="00787EA7">
        <w:rPr>
          <w:rFonts w:eastAsia="Calibri"/>
          <w:sz w:val="22"/>
          <w:szCs w:val="22"/>
          <w:lang w:eastAsia="en-US"/>
        </w:rPr>
        <w:t>о</w:t>
      </w:r>
      <w:r w:rsidRPr="00787EA7">
        <w:rPr>
          <w:rFonts w:eastAsia="Calibri"/>
          <w:sz w:val="22"/>
          <w:szCs w:val="22"/>
          <w:lang w:eastAsia="en-US"/>
        </w:rPr>
        <w:t>хранения деловой активности и ее сопоставления с имиджем орг</w:t>
      </w:r>
      <w:r w:rsidRPr="00787EA7">
        <w:rPr>
          <w:rFonts w:eastAsia="Calibri"/>
          <w:sz w:val="22"/>
          <w:szCs w:val="22"/>
          <w:lang w:eastAsia="en-US"/>
        </w:rPr>
        <w:t>а</w:t>
      </w:r>
      <w:r w:rsidRPr="00787EA7">
        <w:rPr>
          <w:rFonts w:eastAsia="Calibri"/>
          <w:sz w:val="22"/>
          <w:szCs w:val="22"/>
          <w:lang w:eastAsia="en-US"/>
        </w:rPr>
        <w:t>низации. Показана необходимость повышения деловой активности организации, а также поддержание высокого имиджа.</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Concepts of business activity and image of the orga</w:t>
      </w:r>
      <w:r w:rsidRPr="00787EA7">
        <w:rPr>
          <w:rFonts w:eastAsia="Calibri"/>
          <w:sz w:val="22"/>
          <w:szCs w:val="22"/>
          <w:lang w:val="en-US" w:eastAsia="en-US"/>
        </w:rPr>
        <w:t>n</w:t>
      </w:r>
      <w:r w:rsidRPr="00787EA7">
        <w:rPr>
          <w:rFonts w:eastAsia="Calibri"/>
          <w:sz w:val="22"/>
          <w:szCs w:val="22"/>
          <w:lang w:val="en-US" w:eastAsia="en-US"/>
        </w:rPr>
        <w:t>ization are considered. The views on the need to maintain business acti</w:t>
      </w:r>
      <w:r w:rsidRPr="00787EA7">
        <w:rPr>
          <w:rFonts w:eastAsia="Calibri"/>
          <w:sz w:val="22"/>
          <w:szCs w:val="22"/>
          <w:lang w:val="en-US" w:eastAsia="en-US"/>
        </w:rPr>
        <w:t>v</w:t>
      </w:r>
      <w:r w:rsidRPr="00787EA7">
        <w:rPr>
          <w:rFonts w:eastAsia="Calibri"/>
          <w:sz w:val="22"/>
          <w:szCs w:val="22"/>
          <w:lang w:val="en-US" w:eastAsia="en-US"/>
        </w:rPr>
        <w:t>ity and its comparison with the image of the organization are studied. The necessity of increasing the business activity of the organization, as well as maintaining a high image is shown.</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деловая активность, имидж, доверие, формирование, восприятие.</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lastRenderedPageBreak/>
        <w:t>KEYWORDS: business activity, image, trust, formation, perce</w:t>
      </w:r>
      <w:r w:rsidRPr="00787EA7">
        <w:rPr>
          <w:rFonts w:eastAsia="Calibri"/>
          <w:sz w:val="22"/>
          <w:szCs w:val="22"/>
          <w:lang w:val="en-US" w:eastAsia="en-US"/>
        </w:rPr>
        <w:t>p</w:t>
      </w:r>
      <w:r w:rsidRPr="00787EA7">
        <w:rPr>
          <w:rFonts w:eastAsia="Calibri"/>
          <w:sz w:val="22"/>
          <w:szCs w:val="22"/>
          <w:lang w:val="en-US" w:eastAsia="en-US"/>
        </w:rPr>
        <w:t>tion.</w:t>
      </w:r>
    </w:p>
    <w:p w:rsidR="00724342" w:rsidRPr="00787EA7" w:rsidRDefault="00724342" w:rsidP="00724342">
      <w:pPr>
        <w:ind w:firstLine="425"/>
        <w:jc w:val="both"/>
        <w:rPr>
          <w:rFonts w:eastAsia="Calibri"/>
          <w:sz w:val="22"/>
          <w:szCs w:val="22"/>
          <w:lang w:val="en-US" w:eastAsia="en-US"/>
        </w:rPr>
      </w:pPr>
    </w:p>
    <w:p w:rsidR="00724342" w:rsidRPr="00787EA7" w:rsidRDefault="00724342" w:rsidP="00724342">
      <w:pPr>
        <w:ind w:firstLine="425"/>
        <w:jc w:val="both"/>
        <w:rPr>
          <w:color w:val="000000"/>
          <w:sz w:val="22"/>
          <w:szCs w:val="22"/>
          <w:shd w:val="clear" w:color="auto" w:fill="FFFFFF"/>
        </w:rPr>
      </w:pPr>
      <w:r w:rsidRPr="00787EA7">
        <w:rPr>
          <w:color w:val="000000"/>
          <w:sz w:val="22"/>
          <w:szCs w:val="22"/>
          <w:shd w:val="clear" w:color="auto" w:fill="FFFFFF"/>
        </w:rPr>
        <w:t>Деловая активность и имидж компании – это части нематер</w:t>
      </w:r>
      <w:r w:rsidRPr="00787EA7">
        <w:rPr>
          <w:color w:val="000000"/>
          <w:sz w:val="22"/>
          <w:szCs w:val="22"/>
          <w:shd w:val="clear" w:color="auto" w:fill="FFFFFF"/>
        </w:rPr>
        <w:t>и</w:t>
      </w:r>
      <w:r w:rsidRPr="00787EA7">
        <w:rPr>
          <w:color w:val="000000"/>
          <w:sz w:val="22"/>
          <w:szCs w:val="22"/>
          <w:shd w:val="clear" w:color="auto" w:fill="FFFFFF"/>
        </w:rPr>
        <w:t xml:space="preserve">альных активов организации. </w:t>
      </w:r>
      <w:r w:rsidRPr="00787EA7">
        <w:rPr>
          <w:rFonts w:eastAsia="Calibri"/>
          <w:color w:val="000000"/>
          <w:sz w:val="22"/>
          <w:szCs w:val="22"/>
          <w:lang w:eastAsia="en-US"/>
        </w:rPr>
        <w:t>Имидж – это привлекатель</w:t>
      </w:r>
      <w:r w:rsidRPr="00787EA7">
        <w:rPr>
          <w:rFonts w:eastAsia="Calibri"/>
          <w:color w:val="000000"/>
          <w:sz w:val="22"/>
          <w:szCs w:val="22"/>
          <w:lang w:eastAsia="en-US"/>
        </w:rPr>
        <w:softHyphen/>
        <w:t>ный образ организации, воздействующий на эмоциональную сферу человека.</w:t>
      </w:r>
    </w:p>
    <w:p w:rsidR="00724342" w:rsidRPr="00787EA7" w:rsidRDefault="00724342" w:rsidP="00724342">
      <w:pPr>
        <w:ind w:firstLine="425"/>
        <w:jc w:val="both"/>
        <w:rPr>
          <w:color w:val="000000"/>
          <w:sz w:val="22"/>
          <w:szCs w:val="22"/>
        </w:rPr>
      </w:pPr>
      <w:r w:rsidRPr="00787EA7">
        <w:rPr>
          <w:color w:val="000000"/>
          <w:sz w:val="22"/>
          <w:szCs w:val="22"/>
        </w:rPr>
        <w:t>Характеристиками имиджа являются: не подверженность пр</w:t>
      </w:r>
      <w:r w:rsidRPr="00787EA7">
        <w:rPr>
          <w:color w:val="000000"/>
          <w:sz w:val="22"/>
          <w:szCs w:val="22"/>
        </w:rPr>
        <w:t>я</w:t>
      </w:r>
      <w:r w:rsidRPr="00787EA7">
        <w:rPr>
          <w:color w:val="000000"/>
          <w:sz w:val="22"/>
          <w:szCs w:val="22"/>
        </w:rPr>
        <w:t>мому измерению, сильный эмоциональный отклик, целостность и непротиворечивость, неустойчивость.</w:t>
      </w:r>
    </w:p>
    <w:p w:rsidR="00724342" w:rsidRPr="00787EA7" w:rsidRDefault="00724342" w:rsidP="00724342">
      <w:pPr>
        <w:ind w:firstLine="425"/>
        <w:jc w:val="both"/>
        <w:rPr>
          <w:color w:val="000000"/>
          <w:sz w:val="22"/>
          <w:szCs w:val="22"/>
        </w:rPr>
      </w:pPr>
      <w:r w:rsidRPr="00787EA7">
        <w:rPr>
          <w:color w:val="000000"/>
          <w:sz w:val="22"/>
          <w:szCs w:val="22"/>
        </w:rPr>
        <w:t>Одной из главных функций имиджа является формирование положительного отношения к какой-либо организации. Сформиро</w:t>
      </w:r>
      <w:r w:rsidRPr="00787EA7">
        <w:rPr>
          <w:color w:val="000000"/>
          <w:sz w:val="22"/>
          <w:szCs w:val="22"/>
        </w:rPr>
        <w:softHyphen/>
        <w:t>ванием положительного отношения возникает доверие к компании, что приводит к высоким оценкам ее деятельности и делает привл</w:t>
      </w:r>
      <w:r w:rsidRPr="00787EA7">
        <w:rPr>
          <w:color w:val="000000"/>
          <w:sz w:val="22"/>
          <w:szCs w:val="22"/>
        </w:rPr>
        <w:t>е</w:t>
      </w:r>
      <w:r w:rsidRPr="00787EA7">
        <w:rPr>
          <w:color w:val="000000"/>
          <w:sz w:val="22"/>
          <w:szCs w:val="22"/>
        </w:rPr>
        <w:t>кательной для сотрудничества, способствует повышению престижа, ее влияния и авторитета.</w:t>
      </w:r>
    </w:p>
    <w:p w:rsidR="00724342" w:rsidRPr="00787EA7" w:rsidRDefault="00724342" w:rsidP="00724342">
      <w:pPr>
        <w:tabs>
          <w:tab w:val="left" w:pos="6464"/>
        </w:tabs>
        <w:ind w:firstLine="425"/>
        <w:jc w:val="both"/>
        <w:rPr>
          <w:color w:val="000000"/>
          <w:sz w:val="22"/>
          <w:szCs w:val="22"/>
        </w:rPr>
      </w:pPr>
      <w:r w:rsidRPr="00787EA7">
        <w:rPr>
          <w:color w:val="000000"/>
          <w:sz w:val="22"/>
          <w:szCs w:val="22"/>
        </w:rPr>
        <w:t>Для возникновения доверия к организации и формирования ее позитивного имиджа наиболее важным являются представления людей о ее финансовом положении, истории, о социальной отве</w:t>
      </w:r>
      <w:r w:rsidRPr="00787EA7">
        <w:rPr>
          <w:color w:val="000000"/>
          <w:sz w:val="22"/>
          <w:szCs w:val="22"/>
        </w:rPr>
        <w:t>т</w:t>
      </w:r>
      <w:r w:rsidRPr="00787EA7">
        <w:rPr>
          <w:color w:val="000000"/>
          <w:sz w:val="22"/>
          <w:szCs w:val="22"/>
        </w:rPr>
        <w:t xml:space="preserve">ственности перед обществом и т.д. [4]. </w:t>
      </w:r>
    </w:p>
    <w:p w:rsidR="00724342" w:rsidRPr="00787EA7" w:rsidRDefault="00724342" w:rsidP="00724342">
      <w:pPr>
        <w:tabs>
          <w:tab w:val="left" w:pos="6464"/>
        </w:tabs>
        <w:ind w:firstLine="425"/>
        <w:jc w:val="both"/>
        <w:rPr>
          <w:color w:val="000000"/>
          <w:sz w:val="22"/>
          <w:szCs w:val="22"/>
        </w:rPr>
      </w:pPr>
      <w:r w:rsidRPr="00787EA7">
        <w:rPr>
          <w:sz w:val="22"/>
          <w:szCs w:val="22"/>
          <w:shd w:val="clear" w:color="auto" w:fill="FFFFFF"/>
        </w:rPr>
        <w:t>Имидж потребителя(например, социальный статус, стиль жи</w:t>
      </w:r>
      <w:r w:rsidRPr="00787EA7">
        <w:rPr>
          <w:sz w:val="22"/>
          <w:szCs w:val="22"/>
          <w:shd w:val="clear" w:color="auto" w:fill="FFFFFF"/>
        </w:rPr>
        <w:t>з</w:t>
      </w:r>
      <w:r w:rsidRPr="00787EA7">
        <w:rPr>
          <w:sz w:val="22"/>
          <w:szCs w:val="22"/>
          <w:shd w:val="clear" w:color="auto" w:fill="FFFFFF"/>
        </w:rPr>
        <w:t>ни) зависит от внутреннего имиджа (например, имиджа товара), с</w:t>
      </w:r>
      <w:r w:rsidRPr="00787EA7">
        <w:rPr>
          <w:sz w:val="22"/>
          <w:szCs w:val="22"/>
          <w:shd w:val="clear" w:color="auto" w:fill="FFFFFF"/>
        </w:rPr>
        <w:t>о</w:t>
      </w:r>
      <w:r w:rsidRPr="00787EA7">
        <w:rPr>
          <w:sz w:val="22"/>
          <w:szCs w:val="22"/>
          <w:shd w:val="clear" w:color="auto" w:fill="FFFFFF"/>
        </w:rPr>
        <w:t>циального имиджа (например, имиджа персонала, руководителя), визуального имиджа и бизнес-имиджа. Именно в бизнес-имидж и входит деловая активность организации.</w:t>
      </w:r>
    </w:p>
    <w:p w:rsidR="00724342" w:rsidRPr="00787EA7" w:rsidRDefault="00724342" w:rsidP="00724342">
      <w:pPr>
        <w:tabs>
          <w:tab w:val="left" w:pos="6464"/>
        </w:tabs>
        <w:ind w:firstLine="425"/>
        <w:jc w:val="both"/>
        <w:rPr>
          <w:color w:val="000000"/>
          <w:sz w:val="22"/>
          <w:szCs w:val="22"/>
        </w:rPr>
      </w:pPr>
      <w:r w:rsidRPr="00787EA7">
        <w:rPr>
          <w:color w:val="000000"/>
          <w:sz w:val="22"/>
          <w:szCs w:val="22"/>
        </w:rPr>
        <w:t>Формирование хорошей репутации организации (достаточно устойчивое мнение о ее деятельности) происходит, если ее имидж соответствует представлениям человека о корпоративном повед</w:t>
      </w:r>
      <w:r w:rsidRPr="00787EA7">
        <w:rPr>
          <w:color w:val="000000"/>
          <w:sz w:val="22"/>
          <w:szCs w:val="22"/>
        </w:rPr>
        <w:t>е</w:t>
      </w:r>
      <w:r w:rsidRPr="00787EA7">
        <w:rPr>
          <w:color w:val="000000"/>
          <w:sz w:val="22"/>
          <w:szCs w:val="22"/>
        </w:rPr>
        <w:t>нии. Хорошая репутация отражает тесное соответствие между со</w:t>
      </w:r>
      <w:r w:rsidRPr="00787EA7">
        <w:rPr>
          <w:color w:val="000000"/>
          <w:sz w:val="22"/>
          <w:szCs w:val="22"/>
        </w:rPr>
        <w:t>б</w:t>
      </w:r>
      <w:r w:rsidRPr="00787EA7">
        <w:rPr>
          <w:color w:val="000000"/>
          <w:sz w:val="22"/>
          <w:szCs w:val="22"/>
        </w:rPr>
        <w:t>ственной системой ценностей индивидуума и имиджем организ</w:t>
      </w:r>
      <w:r w:rsidRPr="00787EA7">
        <w:rPr>
          <w:color w:val="000000"/>
          <w:sz w:val="22"/>
          <w:szCs w:val="22"/>
        </w:rPr>
        <w:t>а</w:t>
      </w:r>
      <w:r w:rsidRPr="00787EA7">
        <w:rPr>
          <w:color w:val="000000"/>
          <w:sz w:val="22"/>
          <w:szCs w:val="22"/>
        </w:rPr>
        <w:t>ции.</w:t>
      </w:r>
    </w:p>
    <w:p w:rsidR="00724342" w:rsidRPr="00787EA7" w:rsidRDefault="00724342" w:rsidP="00724342">
      <w:pPr>
        <w:tabs>
          <w:tab w:val="left" w:pos="6464"/>
        </w:tabs>
        <w:ind w:firstLine="425"/>
        <w:jc w:val="both"/>
        <w:rPr>
          <w:color w:val="000000"/>
          <w:sz w:val="22"/>
          <w:szCs w:val="22"/>
        </w:rPr>
      </w:pPr>
      <w:r w:rsidRPr="00787EA7">
        <w:rPr>
          <w:color w:val="000000"/>
          <w:sz w:val="22"/>
          <w:szCs w:val="22"/>
        </w:rPr>
        <w:t>Путь от неосведомленности об организации до ее узнаваемости представляет собой восхождение по ступенькам пирамиды снизу вверх. При этом демонстрируется позитивное восприятие и форм</w:t>
      </w:r>
      <w:r w:rsidRPr="00787EA7">
        <w:rPr>
          <w:color w:val="000000"/>
          <w:sz w:val="22"/>
          <w:szCs w:val="22"/>
        </w:rPr>
        <w:t>и</w:t>
      </w:r>
      <w:r w:rsidRPr="00787EA7">
        <w:rPr>
          <w:color w:val="000000"/>
          <w:sz w:val="22"/>
          <w:szCs w:val="22"/>
        </w:rPr>
        <w:t>рование репутации ее как твердой убежденности в преимуществах организации, а также желание использовать товары только этой о</w:t>
      </w:r>
      <w:r w:rsidRPr="00787EA7">
        <w:rPr>
          <w:color w:val="000000"/>
          <w:sz w:val="22"/>
          <w:szCs w:val="22"/>
        </w:rPr>
        <w:t>р</w:t>
      </w:r>
      <w:r w:rsidRPr="00787EA7">
        <w:rPr>
          <w:color w:val="000000"/>
          <w:sz w:val="22"/>
          <w:szCs w:val="22"/>
        </w:rPr>
        <w:t>ганизации и рекомендовать ее своим друзьям и знакомым [1].</w:t>
      </w:r>
    </w:p>
    <w:p w:rsidR="00724342" w:rsidRPr="00787EA7" w:rsidRDefault="00724342" w:rsidP="003F3918">
      <w:pPr>
        <w:tabs>
          <w:tab w:val="left" w:pos="6464"/>
        </w:tabs>
        <w:ind w:firstLine="425"/>
        <w:jc w:val="both"/>
        <w:rPr>
          <w:color w:val="000000"/>
          <w:sz w:val="22"/>
          <w:szCs w:val="22"/>
        </w:rPr>
      </w:pPr>
      <w:r w:rsidRPr="00787EA7">
        <w:rPr>
          <w:color w:val="000000"/>
          <w:sz w:val="22"/>
          <w:szCs w:val="22"/>
        </w:rPr>
        <w:t>Составляющими положительной репутации являются:</w:t>
      </w:r>
    </w:p>
    <w:p w:rsidR="00724342" w:rsidRPr="00787EA7" w:rsidRDefault="00724342" w:rsidP="003F3918">
      <w:pPr>
        <w:numPr>
          <w:ilvl w:val="0"/>
          <w:numId w:val="65"/>
        </w:numPr>
        <w:tabs>
          <w:tab w:val="left" w:pos="567"/>
          <w:tab w:val="left" w:pos="6464"/>
        </w:tabs>
        <w:ind w:left="0" w:firstLine="425"/>
        <w:jc w:val="both"/>
        <w:rPr>
          <w:color w:val="000000"/>
          <w:sz w:val="22"/>
          <w:szCs w:val="22"/>
        </w:rPr>
      </w:pPr>
      <w:r w:rsidRPr="00787EA7">
        <w:rPr>
          <w:color w:val="000000"/>
          <w:sz w:val="22"/>
          <w:szCs w:val="22"/>
        </w:rPr>
        <w:lastRenderedPageBreak/>
        <w:t>топ-менеджмент компании и высокий авторитет руководит</w:t>
      </w:r>
      <w:r w:rsidRPr="00787EA7">
        <w:rPr>
          <w:color w:val="000000"/>
          <w:sz w:val="22"/>
          <w:szCs w:val="22"/>
        </w:rPr>
        <w:t>е</w:t>
      </w:r>
      <w:r w:rsidRPr="00787EA7">
        <w:rPr>
          <w:color w:val="000000"/>
          <w:sz w:val="22"/>
          <w:szCs w:val="22"/>
        </w:rPr>
        <w:t>ля;</w:t>
      </w:r>
    </w:p>
    <w:p w:rsidR="00724342" w:rsidRPr="00787EA7" w:rsidRDefault="00724342" w:rsidP="003F3918">
      <w:pPr>
        <w:numPr>
          <w:ilvl w:val="0"/>
          <w:numId w:val="65"/>
        </w:numPr>
        <w:tabs>
          <w:tab w:val="left" w:pos="567"/>
          <w:tab w:val="left" w:pos="6464"/>
        </w:tabs>
        <w:ind w:left="0" w:firstLine="425"/>
        <w:jc w:val="both"/>
        <w:rPr>
          <w:color w:val="000000"/>
          <w:sz w:val="22"/>
          <w:szCs w:val="22"/>
        </w:rPr>
      </w:pPr>
      <w:r w:rsidRPr="00787EA7">
        <w:rPr>
          <w:color w:val="000000"/>
          <w:sz w:val="22"/>
          <w:szCs w:val="22"/>
        </w:rPr>
        <w:t>наличие сильной организационной культуры;</w:t>
      </w:r>
    </w:p>
    <w:p w:rsidR="00724342" w:rsidRPr="00787EA7" w:rsidRDefault="00724342" w:rsidP="003F3918">
      <w:pPr>
        <w:numPr>
          <w:ilvl w:val="0"/>
          <w:numId w:val="65"/>
        </w:numPr>
        <w:tabs>
          <w:tab w:val="left" w:pos="567"/>
          <w:tab w:val="left" w:pos="6464"/>
        </w:tabs>
        <w:ind w:left="0" w:firstLine="425"/>
        <w:jc w:val="both"/>
        <w:rPr>
          <w:color w:val="000000"/>
          <w:sz w:val="22"/>
          <w:szCs w:val="22"/>
        </w:rPr>
      </w:pPr>
      <w:r w:rsidRPr="00787EA7">
        <w:rPr>
          <w:color w:val="000000"/>
          <w:sz w:val="22"/>
          <w:szCs w:val="22"/>
        </w:rPr>
        <w:t>возможность длительного лидерства в области качества в</w:t>
      </w:r>
      <w:r w:rsidRPr="00787EA7">
        <w:rPr>
          <w:color w:val="000000"/>
          <w:sz w:val="22"/>
          <w:szCs w:val="22"/>
        </w:rPr>
        <w:t>ы</w:t>
      </w:r>
      <w:r w:rsidRPr="00787EA7">
        <w:rPr>
          <w:color w:val="000000"/>
          <w:sz w:val="22"/>
          <w:szCs w:val="22"/>
        </w:rPr>
        <w:t>пускаемой продукции;</w:t>
      </w:r>
    </w:p>
    <w:p w:rsidR="00724342" w:rsidRPr="00787EA7" w:rsidRDefault="00724342" w:rsidP="003F3918">
      <w:pPr>
        <w:numPr>
          <w:ilvl w:val="0"/>
          <w:numId w:val="65"/>
        </w:numPr>
        <w:tabs>
          <w:tab w:val="left" w:pos="567"/>
          <w:tab w:val="left" w:pos="6464"/>
        </w:tabs>
        <w:ind w:left="0" w:firstLine="425"/>
        <w:jc w:val="both"/>
        <w:rPr>
          <w:color w:val="000000"/>
          <w:sz w:val="22"/>
          <w:szCs w:val="22"/>
        </w:rPr>
      </w:pPr>
      <w:r w:rsidRPr="00787EA7">
        <w:rPr>
          <w:color w:val="000000"/>
          <w:sz w:val="22"/>
          <w:szCs w:val="22"/>
        </w:rPr>
        <w:t>инновационность стратегии [2].</w:t>
      </w:r>
    </w:p>
    <w:p w:rsidR="00724342" w:rsidRPr="00787EA7" w:rsidRDefault="00724342" w:rsidP="003F3918">
      <w:pPr>
        <w:tabs>
          <w:tab w:val="left" w:pos="6464"/>
        </w:tabs>
        <w:ind w:firstLine="425"/>
        <w:jc w:val="both"/>
        <w:rPr>
          <w:color w:val="000000"/>
          <w:sz w:val="22"/>
          <w:szCs w:val="22"/>
        </w:rPr>
      </w:pPr>
      <w:r w:rsidRPr="00787EA7">
        <w:rPr>
          <w:color w:val="000000"/>
          <w:sz w:val="22"/>
          <w:szCs w:val="22"/>
        </w:rPr>
        <w:t>Правильное сочетание нравственных, профессионально-деловых и эстетических качеств сотрудников обеспечивает доверие к организации со стороны клиентов и партнеров, создает у них ув</w:t>
      </w:r>
      <w:r w:rsidRPr="00787EA7">
        <w:rPr>
          <w:color w:val="000000"/>
          <w:sz w:val="22"/>
          <w:szCs w:val="22"/>
        </w:rPr>
        <w:t>е</w:t>
      </w:r>
      <w:r w:rsidRPr="00787EA7">
        <w:rPr>
          <w:color w:val="000000"/>
          <w:sz w:val="22"/>
          <w:szCs w:val="22"/>
        </w:rPr>
        <w:t>ренность в ее стабильности, а также гарантирует ей длительную успешную деятельность. Репутация и деловая активность организ</w:t>
      </w:r>
      <w:r w:rsidRPr="00787EA7">
        <w:rPr>
          <w:color w:val="000000"/>
          <w:sz w:val="22"/>
          <w:szCs w:val="22"/>
        </w:rPr>
        <w:t>а</w:t>
      </w:r>
      <w:r w:rsidRPr="00787EA7">
        <w:rPr>
          <w:color w:val="000000"/>
          <w:sz w:val="22"/>
          <w:szCs w:val="22"/>
        </w:rPr>
        <w:t>ции зависят от итогов ее работы, находящих выражение как в кач</w:t>
      </w:r>
      <w:r w:rsidRPr="00787EA7">
        <w:rPr>
          <w:color w:val="000000"/>
          <w:sz w:val="22"/>
          <w:szCs w:val="22"/>
        </w:rPr>
        <w:t>е</w:t>
      </w:r>
      <w:r w:rsidRPr="00787EA7">
        <w:rPr>
          <w:color w:val="000000"/>
          <w:sz w:val="22"/>
          <w:szCs w:val="22"/>
        </w:rPr>
        <w:t>ственных характеристиках, так и в статистической отчетности ее деятельности.</w:t>
      </w:r>
    </w:p>
    <w:p w:rsidR="00724342" w:rsidRPr="00787EA7" w:rsidRDefault="00724342" w:rsidP="003F3918">
      <w:pPr>
        <w:tabs>
          <w:tab w:val="left" w:pos="6464"/>
        </w:tabs>
        <w:ind w:firstLine="425"/>
        <w:jc w:val="both"/>
        <w:rPr>
          <w:sz w:val="22"/>
          <w:szCs w:val="22"/>
        </w:rPr>
      </w:pPr>
      <w:r w:rsidRPr="00787EA7">
        <w:rPr>
          <w:sz w:val="22"/>
          <w:szCs w:val="22"/>
          <w:shd w:val="clear" w:color="auto" w:fill="FFFFFF"/>
        </w:rPr>
        <w:t>Однако, имидж создается и изменяется быстрее относительно репутации, так как главным инструментом его корректировки и формирования выступают связи с общественностью (рекламные и PR-компании в СМИ) [5].</w:t>
      </w:r>
    </w:p>
    <w:p w:rsidR="00724342" w:rsidRPr="00787EA7" w:rsidRDefault="00724342" w:rsidP="003F3918">
      <w:pPr>
        <w:tabs>
          <w:tab w:val="left" w:pos="6464"/>
        </w:tabs>
        <w:ind w:firstLine="425"/>
        <w:jc w:val="both"/>
        <w:rPr>
          <w:color w:val="000000"/>
          <w:sz w:val="22"/>
          <w:szCs w:val="22"/>
        </w:rPr>
      </w:pPr>
      <w:r w:rsidRPr="00787EA7">
        <w:rPr>
          <w:sz w:val="22"/>
          <w:szCs w:val="22"/>
        </w:rPr>
        <w:t>Исходя их вышесказанного можно сделать вывод, что имидж организации и ее активность играют большую роль в признании у потребителей и персонала, а, следовательно, в успешных продажах товаров и услуг. Отсюда следует, что одной из основных задач о</w:t>
      </w:r>
      <w:r w:rsidRPr="00787EA7">
        <w:rPr>
          <w:sz w:val="22"/>
          <w:szCs w:val="22"/>
        </w:rPr>
        <w:t>р</w:t>
      </w:r>
      <w:r w:rsidRPr="00787EA7">
        <w:rPr>
          <w:sz w:val="22"/>
          <w:szCs w:val="22"/>
        </w:rPr>
        <w:t>ганизации является совершенствование деятельности по обеспеч</w:t>
      </w:r>
      <w:r w:rsidRPr="00787EA7">
        <w:rPr>
          <w:sz w:val="22"/>
          <w:szCs w:val="22"/>
        </w:rPr>
        <w:t>е</w:t>
      </w:r>
      <w:r w:rsidRPr="00787EA7">
        <w:rPr>
          <w:sz w:val="22"/>
          <w:szCs w:val="22"/>
        </w:rPr>
        <w:t>нию совпадения хорошего имиджа, положительной репутации и деловой активности.</w:t>
      </w:r>
    </w:p>
    <w:p w:rsidR="00724342" w:rsidRPr="00787EA7" w:rsidRDefault="00724342" w:rsidP="003F3918">
      <w:pPr>
        <w:ind w:firstLine="425"/>
        <w:jc w:val="both"/>
        <w:rPr>
          <w:rFonts w:eastAsia="Calibri"/>
          <w:sz w:val="22"/>
          <w:szCs w:val="22"/>
          <w:lang w:eastAsia="en-US"/>
        </w:rPr>
      </w:pPr>
    </w:p>
    <w:p w:rsidR="00724342" w:rsidRPr="00787EA7" w:rsidRDefault="00724342" w:rsidP="003F3918">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3F3918">
      <w:pPr>
        <w:ind w:firstLine="425"/>
        <w:jc w:val="both"/>
        <w:rPr>
          <w:rFonts w:eastAsia="Calibri"/>
          <w:sz w:val="22"/>
          <w:szCs w:val="22"/>
          <w:lang w:eastAsia="en-US"/>
        </w:rPr>
      </w:pPr>
      <w:r w:rsidRPr="00787EA7">
        <w:rPr>
          <w:rFonts w:eastAsia="Calibri"/>
          <w:sz w:val="22"/>
          <w:szCs w:val="22"/>
          <w:lang w:eastAsia="en-US"/>
        </w:rPr>
        <w:t>1.</w:t>
      </w:r>
      <w:r w:rsidR="003F3918">
        <w:rPr>
          <w:rFonts w:eastAsia="Calibri"/>
          <w:sz w:val="22"/>
          <w:szCs w:val="22"/>
          <w:lang w:eastAsia="en-US"/>
        </w:rPr>
        <w:t xml:space="preserve"> </w:t>
      </w:r>
      <w:r w:rsidRPr="00787EA7">
        <w:rPr>
          <w:rFonts w:eastAsia="Calibri"/>
          <w:color w:val="000000"/>
          <w:sz w:val="22"/>
          <w:szCs w:val="22"/>
          <w:shd w:val="clear" w:color="auto" w:fill="FFFFFF"/>
          <w:lang w:eastAsia="en-US"/>
        </w:rPr>
        <w:t>Акатьева М.Д. Учетная и внеучетная составляющие деловой репутации / // Бухгалтерский учёт в издательстве и полиграфии. 2016. №3.– С. 23-30</w:t>
      </w:r>
    </w:p>
    <w:p w:rsidR="00724342" w:rsidRPr="00787EA7" w:rsidRDefault="00724342" w:rsidP="003F3918">
      <w:pPr>
        <w:ind w:firstLine="425"/>
        <w:jc w:val="both"/>
        <w:rPr>
          <w:rFonts w:eastAsia="Calibri"/>
          <w:color w:val="000000"/>
          <w:sz w:val="22"/>
          <w:szCs w:val="22"/>
          <w:shd w:val="clear" w:color="auto" w:fill="FFFFFF"/>
          <w:lang w:eastAsia="en-US"/>
        </w:rPr>
      </w:pPr>
      <w:r w:rsidRPr="00787EA7">
        <w:rPr>
          <w:rFonts w:eastAsia="Calibri"/>
          <w:sz w:val="22"/>
          <w:szCs w:val="22"/>
          <w:lang w:eastAsia="en-US"/>
        </w:rPr>
        <w:t>2.</w:t>
      </w:r>
      <w:r w:rsidR="003F3918">
        <w:rPr>
          <w:rFonts w:eastAsia="Calibri"/>
          <w:sz w:val="22"/>
          <w:szCs w:val="22"/>
          <w:lang w:eastAsia="en-US"/>
        </w:rPr>
        <w:t xml:space="preserve"> </w:t>
      </w:r>
      <w:r w:rsidRPr="00787EA7">
        <w:rPr>
          <w:rFonts w:eastAsia="Calibri"/>
          <w:color w:val="000000"/>
          <w:sz w:val="22"/>
          <w:szCs w:val="22"/>
          <w:shd w:val="clear" w:color="auto" w:fill="FFFFFF"/>
          <w:lang w:eastAsia="en-US"/>
        </w:rPr>
        <w:t>Коробченко О.В. Организационно-экономические механи</w:t>
      </w:r>
      <w:r w:rsidRPr="00787EA7">
        <w:rPr>
          <w:rFonts w:eastAsia="Calibri"/>
          <w:color w:val="000000"/>
          <w:sz w:val="22"/>
          <w:szCs w:val="22"/>
          <w:shd w:val="clear" w:color="auto" w:fill="FFFFFF"/>
          <w:lang w:eastAsia="en-US"/>
        </w:rPr>
        <w:t>з</w:t>
      </w:r>
      <w:r w:rsidRPr="00787EA7">
        <w:rPr>
          <w:rFonts w:eastAsia="Calibri"/>
          <w:color w:val="000000"/>
          <w:sz w:val="22"/>
          <w:szCs w:val="22"/>
          <w:shd w:val="clear" w:color="auto" w:fill="FFFFFF"/>
          <w:lang w:eastAsia="en-US"/>
        </w:rPr>
        <w:t>мы управления деловой репутацией предпринимательской структ</w:t>
      </w:r>
      <w:r w:rsidRPr="00787EA7">
        <w:rPr>
          <w:rFonts w:eastAsia="Calibri"/>
          <w:color w:val="000000"/>
          <w:sz w:val="22"/>
          <w:szCs w:val="22"/>
          <w:shd w:val="clear" w:color="auto" w:fill="FFFFFF"/>
          <w:lang w:eastAsia="en-US"/>
        </w:rPr>
        <w:t>у</w:t>
      </w:r>
      <w:r w:rsidRPr="00787EA7">
        <w:rPr>
          <w:rFonts w:eastAsia="Calibri"/>
          <w:color w:val="000000"/>
          <w:sz w:val="22"/>
          <w:szCs w:val="22"/>
          <w:shd w:val="clear" w:color="auto" w:fill="FFFFFF"/>
          <w:lang w:eastAsia="en-US"/>
        </w:rPr>
        <w:t>ры / О.В. Коробченко // Имущественные отношения в РФ. 2017. №6.– С. 19-26</w:t>
      </w:r>
    </w:p>
    <w:p w:rsidR="00724342" w:rsidRPr="00787EA7" w:rsidRDefault="00724342" w:rsidP="003F3918">
      <w:pPr>
        <w:ind w:firstLine="425"/>
        <w:jc w:val="both"/>
        <w:rPr>
          <w:rFonts w:eastAsia="Calibri"/>
          <w:sz w:val="22"/>
          <w:szCs w:val="22"/>
          <w:lang w:eastAsia="en-US"/>
        </w:rPr>
      </w:pPr>
      <w:r w:rsidRPr="00787EA7">
        <w:rPr>
          <w:rFonts w:eastAsia="Calibri"/>
          <w:sz w:val="22"/>
          <w:szCs w:val="22"/>
          <w:lang w:eastAsia="en-US"/>
        </w:rPr>
        <w:t>3.</w:t>
      </w:r>
      <w:r w:rsidR="003F3918">
        <w:rPr>
          <w:rFonts w:eastAsia="Calibri"/>
          <w:sz w:val="22"/>
          <w:szCs w:val="22"/>
          <w:lang w:eastAsia="en-US"/>
        </w:rPr>
        <w:t xml:space="preserve"> </w:t>
      </w:r>
      <w:r w:rsidRPr="00787EA7">
        <w:rPr>
          <w:rFonts w:eastAsia="Calibri"/>
          <w:color w:val="000000"/>
          <w:sz w:val="22"/>
          <w:szCs w:val="22"/>
          <w:shd w:val="clear" w:color="auto" w:fill="FFFFFF"/>
          <w:lang w:eastAsia="en-US"/>
        </w:rPr>
        <w:t>Новиков А. Гарантия деловой репутации / А. Новиков // Мир безопасности. 2016. №4 (257). – С. 72-75</w:t>
      </w:r>
    </w:p>
    <w:p w:rsidR="00724342" w:rsidRPr="00787EA7" w:rsidRDefault="00724342" w:rsidP="003F3918">
      <w:pPr>
        <w:ind w:firstLine="425"/>
        <w:jc w:val="both"/>
        <w:rPr>
          <w:rFonts w:eastAsia="Calibri"/>
          <w:sz w:val="22"/>
          <w:szCs w:val="22"/>
          <w:lang w:eastAsia="en-US"/>
        </w:rPr>
      </w:pPr>
      <w:r w:rsidRPr="00787EA7">
        <w:rPr>
          <w:rFonts w:eastAsia="Calibri"/>
          <w:sz w:val="22"/>
          <w:szCs w:val="22"/>
          <w:lang w:eastAsia="en-US"/>
        </w:rPr>
        <w:lastRenderedPageBreak/>
        <w:t>4.</w:t>
      </w:r>
      <w:r w:rsidR="003F3918">
        <w:rPr>
          <w:rFonts w:eastAsia="Calibri"/>
          <w:sz w:val="22"/>
          <w:szCs w:val="22"/>
          <w:lang w:eastAsia="en-US"/>
        </w:rPr>
        <w:t xml:space="preserve"> </w:t>
      </w:r>
      <w:r w:rsidRPr="00787EA7">
        <w:rPr>
          <w:rFonts w:eastAsia="Calibri"/>
          <w:color w:val="000000"/>
          <w:sz w:val="22"/>
          <w:szCs w:val="22"/>
          <w:shd w:val="clear" w:color="auto" w:fill="FFFFFF"/>
          <w:lang w:eastAsia="en-US"/>
        </w:rPr>
        <w:t>Поздняков К.К. Роль нематериальных активов в формиров</w:t>
      </w:r>
      <w:r w:rsidRPr="00787EA7">
        <w:rPr>
          <w:rFonts w:eastAsia="Calibri"/>
          <w:color w:val="000000"/>
          <w:sz w:val="22"/>
          <w:szCs w:val="22"/>
          <w:shd w:val="clear" w:color="auto" w:fill="FFFFFF"/>
          <w:lang w:eastAsia="en-US"/>
        </w:rPr>
        <w:t>а</w:t>
      </w:r>
      <w:r w:rsidRPr="00787EA7">
        <w:rPr>
          <w:rFonts w:eastAsia="Calibri"/>
          <w:color w:val="000000"/>
          <w:sz w:val="22"/>
          <w:szCs w:val="22"/>
          <w:shd w:val="clear" w:color="auto" w:fill="FFFFFF"/>
          <w:lang w:eastAsia="en-US"/>
        </w:rPr>
        <w:t>нии положительного имиджа компании / К.К. Поздняков // Вопросы экономических наук. 2016. №3(79). –С. 13-16</w:t>
      </w:r>
    </w:p>
    <w:p w:rsidR="00724342" w:rsidRPr="00787EA7" w:rsidRDefault="00724342" w:rsidP="003F3918">
      <w:pPr>
        <w:ind w:firstLine="425"/>
        <w:jc w:val="both"/>
        <w:rPr>
          <w:rFonts w:eastAsia="Calibri"/>
          <w:sz w:val="22"/>
          <w:szCs w:val="22"/>
          <w:lang w:eastAsia="en-US"/>
        </w:rPr>
      </w:pPr>
      <w:r w:rsidRPr="00787EA7">
        <w:rPr>
          <w:rFonts w:eastAsia="Calibri"/>
          <w:sz w:val="22"/>
          <w:szCs w:val="22"/>
          <w:lang w:eastAsia="en-US"/>
        </w:rPr>
        <w:t>5.</w:t>
      </w:r>
      <w:r w:rsidR="003F3918">
        <w:rPr>
          <w:rFonts w:eastAsia="Calibri"/>
          <w:sz w:val="22"/>
          <w:szCs w:val="22"/>
          <w:lang w:eastAsia="en-US"/>
        </w:rPr>
        <w:t xml:space="preserve"> </w:t>
      </w:r>
      <w:r w:rsidRPr="00787EA7">
        <w:rPr>
          <w:rFonts w:eastAsia="Calibri"/>
          <w:color w:val="000000"/>
          <w:sz w:val="22"/>
          <w:szCs w:val="22"/>
          <w:shd w:val="clear" w:color="auto" w:fill="FCFCFC"/>
          <w:lang w:eastAsia="en-US"/>
        </w:rPr>
        <w:t>Парамонов П. Ф. Менеджмент: учебное пособие / П. Ф. П</w:t>
      </w:r>
      <w:r w:rsidRPr="00787EA7">
        <w:rPr>
          <w:rFonts w:eastAsia="Calibri"/>
          <w:color w:val="000000"/>
          <w:sz w:val="22"/>
          <w:szCs w:val="22"/>
          <w:shd w:val="clear" w:color="auto" w:fill="FCFCFC"/>
          <w:lang w:eastAsia="en-US"/>
        </w:rPr>
        <w:t>а</w:t>
      </w:r>
      <w:r w:rsidRPr="00787EA7">
        <w:rPr>
          <w:rFonts w:eastAsia="Calibri"/>
          <w:color w:val="000000"/>
          <w:sz w:val="22"/>
          <w:szCs w:val="22"/>
          <w:shd w:val="clear" w:color="auto" w:fill="FCFCFC"/>
          <w:lang w:eastAsia="en-US"/>
        </w:rPr>
        <w:t xml:space="preserve">рамонов, И. Е. Халявка, Ю. Е. Стукова. </w:t>
      </w:r>
      <w:r w:rsidRPr="00787EA7">
        <w:rPr>
          <w:rFonts w:eastAsia="Calibri"/>
          <w:color w:val="000000"/>
          <w:sz w:val="22"/>
          <w:szCs w:val="22"/>
          <w:shd w:val="clear" w:color="auto" w:fill="FFFFFF"/>
          <w:lang w:eastAsia="en-US"/>
        </w:rPr>
        <w:t>–Краснодар: КубГАУ, 2015. – 173 с.</w:t>
      </w:r>
    </w:p>
    <w:p w:rsidR="00724342" w:rsidRPr="00787EA7" w:rsidRDefault="00724342" w:rsidP="00724342">
      <w:pPr>
        <w:ind w:firstLine="425"/>
        <w:jc w:val="both"/>
        <w:rPr>
          <w:rFonts w:eastAsia="Calibri"/>
          <w:sz w:val="22"/>
          <w:szCs w:val="22"/>
          <w:lang w:eastAsia="en-US"/>
        </w:rPr>
      </w:pPr>
    </w:p>
    <w:p w:rsidR="00724342" w:rsidRPr="00787EA7" w:rsidRDefault="00724342" w:rsidP="00724342">
      <w:pPr>
        <w:widowControl w:val="0"/>
        <w:tabs>
          <w:tab w:val="left" w:pos="851"/>
        </w:tabs>
        <w:ind w:firstLine="426"/>
        <w:jc w:val="both"/>
        <w:rPr>
          <w:i/>
          <w:sz w:val="22"/>
          <w:szCs w:val="22"/>
        </w:rPr>
      </w:pPr>
    </w:p>
    <w:p w:rsidR="00724342" w:rsidRPr="00787EA7" w:rsidRDefault="00724342" w:rsidP="00724342">
      <w:pPr>
        <w:widowControl w:val="0"/>
        <w:tabs>
          <w:tab w:val="left" w:pos="8223"/>
        </w:tabs>
        <w:jc w:val="both"/>
        <w:outlineLvl w:val="0"/>
        <w:rPr>
          <w:rFonts w:eastAsia="Courier New"/>
          <w:color w:val="000000"/>
          <w:sz w:val="22"/>
          <w:szCs w:val="22"/>
          <w:lang w:val="en-US" w:eastAsia="en-US"/>
        </w:rPr>
      </w:pPr>
      <w:r w:rsidRPr="00787EA7">
        <w:rPr>
          <w:rFonts w:eastAsia="Courier New"/>
          <w:color w:val="000000"/>
          <w:sz w:val="22"/>
          <w:szCs w:val="22"/>
          <w:lang w:eastAsia="en-US"/>
        </w:rPr>
        <w:t>УДК</w:t>
      </w:r>
      <w:r w:rsidRPr="00787EA7">
        <w:rPr>
          <w:rFonts w:eastAsia="Courier New"/>
          <w:color w:val="000000"/>
          <w:sz w:val="22"/>
          <w:szCs w:val="22"/>
          <w:lang w:val="en-US" w:eastAsia="en-US"/>
        </w:rPr>
        <w:t xml:space="preserve"> 005.334+005.934</w:t>
      </w:r>
    </w:p>
    <w:p w:rsidR="00724342" w:rsidRPr="00787EA7" w:rsidRDefault="00724342" w:rsidP="00724342">
      <w:pPr>
        <w:widowControl w:val="0"/>
        <w:rPr>
          <w:rFonts w:eastAsia="Courier New"/>
          <w:color w:val="000000"/>
          <w:sz w:val="18"/>
          <w:szCs w:val="18"/>
          <w:lang w:val="en-US" w:eastAsia="en-US"/>
        </w:rPr>
      </w:pPr>
    </w:p>
    <w:p w:rsidR="00724342" w:rsidRPr="00787EA7" w:rsidRDefault="00724342" w:rsidP="00724342">
      <w:pPr>
        <w:shd w:val="clear" w:color="auto" w:fill="FFFFFF"/>
        <w:spacing w:line="301" w:lineRule="atLeast"/>
        <w:jc w:val="center"/>
        <w:outlineLvl w:val="0"/>
        <w:rPr>
          <w:b/>
          <w:color w:val="000000"/>
          <w:sz w:val="24"/>
          <w:szCs w:val="24"/>
          <w:lang w:val="en-US"/>
        </w:rPr>
      </w:pPr>
      <w:r w:rsidRPr="00787EA7">
        <w:rPr>
          <w:b/>
          <w:color w:val="000000"/>
          <w:sz w:val="24"/>
          <w:szCs w:val="24"/>
        </w:rPr>
        <w:t>Концепция</w:t>
      </w:r>
      <w:r w:rsidRPr="00787EA7">
        <w:rPr>
          <w:b/>
          <w:color w:val="000000"/>
          <w:sz w:val="24"/>
          <w:szCs w:val="24"/>
          <w:lang w:val="en-US"/>
        </w:rPr>
        <w:t xml:space="preserve"> </w:t>
      </w:r>
      <w:r w:rsidRPr="00787EA7">
        <w:rPr>
          <w:b/>
          <w:color w:val="000000"/>
          <w:sz w:val="24"/>
          <w:szCs w:val="24"/>
        </w:rPr>
        <w:t>экономической</w:t>
      </w:r>
      <w:r w:rsidRPr="00787EA7">
        <w:rPr>
          <w:b/>
          <w:color w:val="000000"/>
          <w:sz w:val="24"/>
          <w:szCs w:val="24"/>
          <w:lang w:val="en-US"/>
        </w:rPr>
        <w:t xml:space="preserve"> </w:t>
      </w:r>
      <w:r w:rsidRPr="00787EA7">
        <w:rPr>
          <w:b/>
          <w:color w:val="000000"/>
          <w:sz w:val="24"/>
          <w:szCs w:val="24"/>
        </w:rPr>
        <w:t>безопасности</w:t>
      </w:r>
      <w:r w:rsidRPr="00787EA7">
        <w:rPr>
          <w:b/>
          <w:color w:val="000000"/>
          <w:sz w:val="24"/>
          <w:szCs w:val="24"/>
          <w:lang w:val="en-US"/>
        </w:rPr>
        <w:t xml:space="preserve"> </w:t>
      </w:r>
      <w:r w:rsidRPr="00787EA7">
        <w:rPr>
          <w:b/>
          <w:color w:val="000000"/>
          <w:sz w:val="24"/>
          <w:szCs w:val="24"/>
        </w:rPr>
        <w:t>предприятия</w:t>
      </w:r>
    </w:p>
    <w:p w:rsidR="00724342" w:rsidRPr="00787EA7" w:rsidRDefault="00724342" w:rsidP="00724342">
      <w:pPr>
        <w:shd w:val="clear" w:color="auto" w:fill="FFFFFF"/>
        <w:spacing w:line="301" w:lineRule="atLeast"/>
        <w:jc w:val="center"/>
        <w:rPr>
          <w:b/>
          <w:color w:val="000000"/>
          <w:sz w:val="24"/>
          <w:szCs w:val="24"/>
          <w:lang w:val="en-US"/>
        </w:rPr>
      </w:pPr>
      <w:r w:rsidRPr="00787EA7">
        <w:rPr>
          <w:b/>
          <w:color w:val="000000"/>
          <w:sz w:val="24"/>
          <w:szCs w:val="24"/>
          <w:lang w:val="en-US"/>
        </w:rPr>
        <w:t>The concept of economic security of the enterprise</w:t>
      </w:r>
    </w:p>
    <w:p w:rsidR="00724342" w:rsidRPr="00787EA7" w:rsidRDefault="00724342" w:rsidP="00724342">
      <w:pPr>
        <w:widowControl w:val="0"/>
        <w:jc w:val="center"/>
        <w:rPr>
          <w:rFonts w:eastAsia="Courier New"/>
          <w:b/>
          <w:color w:val="000000"/>
          <w:sz w:val="18"/>
          <w:szCs w:val="18"/>
          <w:lang w:val="en-US" w:eastAsia="en-US"/>
        </w:rPr>
      </w:pP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Воробьева А. В.,</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студентка2-го курса факультета финансы и кредит</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Стукова Ю. Е.,</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доцент кафедры экономики предприятий</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 xml:space="preserve">Кубанский государственный аграрный </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университет имени И.</w:t>
      </w:r>
      <w:r w:rsidR="003F3918">
        <w:rPr>
          <w:rFonts w:eastAsia="Courier New"/>
          <w:color w:val="000000"/>
          <w:sz w:val="22"/>
          <w:szCs w:val="22"/>
          <w:lang w:eastAsia="en-US"/>
        </w:rPr>
        <w:t xml:space="preserve"> </w:t>
      </w:r>
      <w:r w:rsidRPr="00787EA7">
        <w:rPr>
          <w:rFonts w:eastAsia="Courier New"/>
          <w:color w:val="000000"/>
          <w:sz w:val="22"/>
          <w:szCs w:val="22"/>
          <w:lang w:eastAsia="en-US"/>
        </w:rPr>
        <w:t>Т. Трубилина</w:t>
      </w:r>
    </w:p>
    <w:p w:rsidR="00724342" w:rsidRPr="00787EA7" w:rsidRDefault="00724342" w:rsidP="00724342">
      <w:pPr>
        <w:widowControl w:val="0"/>
        <w:tabs>
          <w:tab w:val="left" w:pos="8223"/>
        </w:tabs>
        <w:jc w:val="right"/>
        <w:rPr>
          <w:rFonts w:eastAsia="Courier New"/>
          <w:color w:val="000000"/>
          <w:sz w:val="18"/>
          <w:szCs w:val="18"/>
          <w:lang w:eastAsia="en-US"/>
        </w:rPr>
      </w:pPr>
    </w:p>
    <w:p w:rsidR="00724342" w:rsidRPr="00787EA7" w:rsidRDefault="00724342" w:rsidP="00724342">
      <w:pPr>
        <w:widowControl w:val="0"/>
        <w:tabs>
          <w:tab w:val="left" w:pos="8223"/>
        </w:tabs>
        <w:ind w:firstLine="425"/>
        <w:jc w:val="both"/>
        <w:rPr>
          <w:rFonts w:eastAsia="Courier New"/>
          <w:color w:val="000000"/>
          <w:sz w:val="22"/>
          <w:szCs w:val="22"/>
          <w:lang w:eastAsia="en-US"/>
        </w:rPr>
      </w:pPr>
      <w:r w:rsidRPr="00787EA7">
        <w:rPr>
          <w:rFonts w:eastAsia="Courier New"/>
          <w:color w:val="000000"/>
          <w:sz w:val="22"/>
          <w:szCs w:val="22"/>
          <w:lang w:eastAsia="en-US"/>
        </w:rPr>
        <w:t>АННОТАЦИЯ: Изучен вопрос возможности внутренних и внешних угроз экономической безопасности предприятий. Раскрыт комплексный подход к предотвращению и охране предприятий от этих угроз.</w:t>
      </w:r>
    </w:p>
    <w:p w:rsidR="00724342" w:rsidRPr="00787EA7" w:rsidRDefault="00724342" w:rsidP="00724342">
      <w:pPr>
        <w:widowControl w:val="0"/>
        <w:tabs>
          <w:tab w:val="left" w:pos="8223"/>
        </w:tabs>
        <w:ind w:firstLine="425"/>
        <w:jc w:val="both"/>
        <w:rPr>
          <w:rFonts w:eastAsia="Courier New"/>
          <w:color w:val="000000"/>
          <w:sz w:val="22"/>
          <w:szCs w:val="22"/>
          <w:shd w:val="clear" w:color="auto" w:fill="FFFFFF"/>
          <w:lang w:val="en-US" w:eastAsia="en-US"/>
        </w:rPr>
      </w:pPr>
      <w:r w:rsidRPr="00787EA7">
        <w:rPr>
          <w:rFonts w:eastAsia="Courier New"/>
          <w:color w:val="000000"/>
          <w:sz w:val="22"/>
          <w:szCs w:val="22"/>
          <w:lang w:val="en-US" w:eastAsia="en-US"/>
        </w:rPr>
        <w:t xml:space="preserve">ABSTRACT: </w:t>
      </w:r>
      <w:r w:rsidRPr="00787EA7">
        <w:rPr>
          <w:rFonts w:eastAsia="Courier New"/>
          <w:color w:val="000000"/>
          <w:sz w:val="22"/>
          <w:szCs w:val="22"/>
          <w:shd w:val="clear" w:color="auto" w:fill="FFFFFF"/>
          <w:lang w:val="en-US" w:eastAsia="en-US"/>
        </w:rPr>
        <w:t>The possibility of internal and external threats to the economic security of enterprises has been studied. The complex a</w:t>
      </w:r>
      <w:r w:rsidRPr="00787EA7">
        <w:rPr>
          <w:rFonts w:eastAsia="Courier New"/>
          <w:color w:val="000000"/>
          <w:sz w:val="22"/>
          <w:szCs w:val="22"/>
          <w:shd w:val="clear" w:color="auto" w:fill="FFFFFF"/>
          <w:lang w:val="en-US" w:eastAsia="en-US"/>
        </w:rPr>
        <w:t>p</w:t>
      </w:r>
      <w:r w:rsidRPr="00787EA7">
        <w:rPr>
          <w:rFonts w:eastAsia="Courier New"/>
          <w:color w:val="000000"/>
          <w:sz w:val="22"/>
          <w:szCs w:val="22"/>
          <w:shd w:val="clear" w:color="auto" w:fill="FFFFFF"/>
          <w:lang w:val="en-US" w:eastAsia="en-US"/>
        </w:rPr>
        <w:t>proach to prevention and protection of enterprises from these threats is revealed.</w:t>
      </w:r>
    </w:p>
    <w:p w:rsidR="00724342" w:rsidRPr="00787EA7" w:rsidRDefault="00724342" w:rsidP="00724342">
      <w:pPr>
        <w:widowControl w:val="0"/>
        <w:tabs>
          <w:tab w:val="left" w:pos="8223"/>
        </w:tabs>
        <w:ind w:firstLine="425"/>
        <w:jc w:val="both"/>
        <w:rPr>
          <w:rFonts w:eastAsia="Courier New"/>
          <w:color w:val="000000"/>
          <w:sz w:val="22"/>
          <w:szCs w:val="22"/>
          <w:lang w:eastAsia="en-US"/>
        </w:rPr>
      </w:pPr>
      <w:r w:rsidRPr="00787EA7">
        <w:rPr>
          <w:rFonts w:eastAsia="Courier New"/>
          <w:color w:val="000000"/>
          <w:sz w:val="22"/>
          <w:szCs w:val="22"/>
          <w:lang w:eastAsia="en-US"/>
        </w:rPr>
        <w:t>КЛЮЧЕВЫЕ СЛОВА: экономическая безопасность, внутре</w:t>
      </w:r>
      <w:r w:rsidRPr="00787EA7">
        <w:rPr>
          <w:rFonts w:eastAsia="Courier New"/>
          <w:color w:val="000000"/>
          <w:sz w:val="22"/>
          <w:szCs w:val="22"/>
          <w:lang w:eastAsia="en-US"/>
        </w:rPr>
        <w:t>н</w:t>
      </w:r>
      <w:r w:rsidRPr="00787EA7">
        <w:rPr>
          <w:rFonts w:eastAsia="Courier New"/>
          <w:color w:val="000000"/>
          <w:sz w:val="22"/>
          <w:szCs w:val="22"/>
          <w:lang w:eastAsia="en-US"/>
        </w:rPr>
        <w:t>ние и внешние угрозы, комплексный подход.</w:t>
      </w:r>
    </w:p>
    <w:p w:rsidR="00724342" w:rsidRPr="00787EA7" w:rsidRDefault="00724342" w:rsidP="00724342">
      <w:pPr>
        <w:widowControl w:val="0"/>
        <w:tabs>
          <w:tab w:val="left" w:pos="8223"/>
        </w:tabs>
        <w:ind w:firstLine="425"/>
        <w:jc w:val="both"/>
        <w:rPr>
          <w:rFonts w:eastAsia="Courier New"/>
          <w:color w:val="000000"/>
          <w:sz w:val="22"/>
          <w:szCs w:val="22"/>
          <w:lang w:val="en-US" w:eastAsia="en-US"/>
        </w:rPr>
      </w:pPr>
      <w:r w:rsidRPr="00787EA7">
        <w:rPr>
          <w:rFonts w:eastAsia="Courier New"/>
          <w:color w:val="000000"/>
          <w:sz w:val="22"/>
          <w:szCs w:val="22"/>
          <w:lang w:val="en-US" w:eastAsia="en-US"/>
        </w:rPr>
        <w:t>KEYWORDS: economic security, internal and external threats, i</w:t>
      </w:r>
      <w:r w:rsidRPr="00787EA7">
        <w:rPr>
          <w:rFonts w:eastAsia="Courier New"/>
          <w:color w:val="000000"/>
          <w:sz w:val="22"/>
          <w:szCs w:val="22"/>
          <w:lang w:val="en-US" w:eastAsia="en-US"/>
        </w:rPr>
        <w:t>n</w:t>
      </w:r>
      <w:r w:rsidRPr="00787EA7">
        <w:rPr>
          <w:rFonts w:eastAsia="Courier New"/>
          <w:color w:val="000000"/>
          <w:sz w:val="22"/>
          <w:szCs w:val="22"/>
          <w:lang w:val="en-US" w:eastAsia="en-US"/>
        </w:rPr>
        <w:t>tegrated approach.</w:t>
      </w:r>
    </w:p>
    <w:p w:rsidR="00724342" w:rsidRPr="00787EA7" w:rsidRDefault="00724342" w:rsidP="00724342">
      <w:pPr>
        <w:widowControl w:val="0"/>
        <w:tabs>
          <w:tab w:val="left" w:pos="8223"/>
        </w:tabs>
        <w:ind w:firstLine="425"/>
        <w:jc w:val="both"/>
        <w:rPr>
          <w:rFonts w:eastAsia="Courier New"/>
          <w:color w:val="000000"/>
          <w:sz w:val="18"/>
          <w:szCs w:val="18"/>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Обеспечение собственной экономический безопасности – одна из важнейших задач организаций, получивших полную хозяйстве</w:t>
      </w:r>
      <w:r w:rsidRPr="00787EA7">
        <w:rPr>
          <w:rFonts w:eastAsia="Calibri"/>
          <w:sz w:val="22"/>
          <w:szCs w:val="22"/>
          <w:lang w:eastAsia="en-US"/>
        </w:rPr>
        <w:t>н</w:t>
      </w:r>
      <w:r w:rsidRPr="00787EA7">
        <w:rPr>
          <w:rFonts w:eastAsia="Calibri"/>
          <w:sz w:val="22"/>
          <w:szCs w:val="22"/>
          <w:lang w:eastAsia="en-US"/>
        </w:rPr>
        <w:t>ную самостоятельность и столкнувшихся с принципиально новыми подходами к коренному преобразованию всей системы защиты эк</w:t>
      </w:r>
      <w:r w:rsidRPr="00787EA7">
        <w:rPr>
          <w:rFonts w:eastAsia="Calibri"/>
          <w:sz w:val="22"/>
          <w:szCs w:val="22"/>
          <w:lang w:eastAsia="en-US"/>
        </w:rPr>
        <w:t>о</w:t>
      </w:r>
      <w:r w:rsidRPr="00787EA7">
        <w:rPr>
          <w:rFonts w:eastAsia="Calibri"/>
          <w:sz w:val="22"/>
          <w:szCs w:val="22"/>
          <w:lang w:eastAsia="en-US"/>
        </w:rPr>
        <w:t>номических интересов.</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Большинство организаций оказались не подготовленными к возникшим рыночным отношениям, новым основам цивилизова</w:t>
      </w:r>
      <w:r w:rsidRPr="00787EA7">
        <w:rPr>
          <w:rFonts w:eastAsia="Calibri"/>
          <w:sz w:val="22"/>
          <w:szCs w:val="22"/>
          <w:lang w:eastAsia="en-US"/>
        </w:rPr>
        <w:t>н</w:t>
      </w:r>
      <w:r w:rsidRPr="00787EA7">
        <w:rPr>
          <w:rFonts w:eastAsia="Calibri"/>
          <w:sz w:val="22"/>
          <w:szCs w:val="22"/>
          <w:lang w:eastAsia="en-US"/>
        </w:rPr>
        <w:t>ного предпринимательства. Кроме того, усилилась недобросовес</w:t>
      </w:r>
      <w:r w:rsidRPr="00787EA7">
        <w:rPr>
          <w:rFonts w:eastAsia="Calibri"/>
          <w:sz w:val="22"/>
          <w:szCs w:val="22"/>
          <w:lang w:eastAsia="en-US"/>
        </w:rPr>
        <w:t>т</w:t>
      </w:r>
      <w:r w:rsidRPr="00787EA7">
        <w:rPr>
          <w:rFonts w:eastAsia="Calibri"/>
          <w:sz w:val="22"/>
          <w:szCs w:val="22"/>
          <w:lang w:eastAsia="en-US"/>
        </w:rPr>
        <w:t>ная конкуренция и криминализация различных сегментов эконом</w:t>
      </w:r>
      <w:r w:rsidRPr="00787EA7">
        <w:rPr>
          <w:rFonts w:eastAsia="Calibri"/>
          <w:sz w:val="22"/>
          <w:szCs w:val="22"/>
          <w:lang w:eastAsia="en-US"/>
        </w:rPr>
        <w:t>и</w:t>
      </w:r>
      <w:r w:rsidRPr="00787EA7">
        <w:rPr>
          <w:rFonts w:eastAsia="Calibri"/>
          <w:sz w:val="22"/>
          <w:szCs w:val="22"/>
          <w:lang w:eastAsia="en-US"/>
        </w:rPr>
        <w:t>ки. Эти проблемы требовали новых решений и подходов.</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Экономическая безопасность предприятия – это защищенность его от негативного влияния как внешних, так и внутренних угроз, которые дестабилизируют устойчивую реализацию основных ко</w:t>
      </w:r>
      <w:r w:rsidRPr="00787EA7">
        <w:rPr>
          <w:rFonts w:eastAsia="Calibri"/>
          <w:sz w:val="22"/>
          <w:szCs w:val="22"/>
          <w:lang w:eastAsia="en-US"/>
        </w:rPr>
        <w:t>м</w:t>
      </w:r>
      <w:r w:rsidRPr="00787EA7">
        <w:rPr>
          <w:rFonts w:eastAsia="Calibri"/>
          <w:sz w:val="22"/>
          <w:szCs w:val="22"/>
          <w:lang w:eastAsia="en-US"/>
        </w:rPr>
        <w:t>мерческих интересов и целей уставной деятельности [1].</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Для экономической безопасности необходимы следующие условия: постоянное развитие и конкурентоспособность технолог</w:t>
      </w:r>
      <w:r w:rsidRPr="00787EA7">
        <w:rPr>
          <w:rFonts w:eastAsia="Calibri"/>
          <w:sz w:val="22"/>
          <w:szCs w:val="22"/>
          <w:lang w:eastAsia="en-US"/>
        </w:rPr>
        <w:t>и</w:t>
      </w:r>
      <w:r w:rsidRPr="00787EA7">
        <w:rPr>
          <w:rFonts w:eastAsia="Calibri"/>
          <w:sz w:val="22"/>
          <w:szCs w:val="22"/>
          <w:lang w:eastAsia="en-US"/>
        </w:rPr>
        <w:t>ческой базы предприятия; независимость и устойчивость деятел</w:t>
      </w:r>
      <w:r w:rsidRPr="00787EA7">
        <w:rPr>
          <w:rFonts w:eastAsia="Calibri"/>
          <w:sz w:val="22"/>
          <w:szCs w:val="22"/>
          <w:lang w:eastAsia="en-US"/>
        </w:rPr>
        <w:t>ь</w:t>
      </w:r>
      <w:r w:rsidRPr="00787EA7">
        <w:rPr>
          <w:rFonts w:eastAsia="Calibri"/>
          <w:sz w:val="22"/>
          <w:szCs w:val="22"/>
          <w:lang w:eastAsia="en-US"/>
        </w:rPr>
        <w:t>ности предприятия, высокий уровень финансовой эффективности; профессиональная организация управления предприятием; подбор высокопрофессионального кадрового состава; соблюдение эколог</w:t>
      </w:r>
      <w:r w:rsidRPr="00787EA7">
        <w:rPr>
          <w:rFonts w:eastAsia="Calibri"/>
          <w:sz w:val="22"/>
          <w:szCs w:val="22"/>
          <w:lang w:eastAsia="en-US"/>
        </w:rPr>
        <w:t>и</w:t>
      </w:r>
      <w:r w:rsidRPr="00787EA7">
        <w:rPr>
          <w:rFonts w:eastAsia="Calibri"/>
          <w:sz w:val="22"/>
          <w:szCs w:val="22"/>
          <w:lang w:eastAsia="en-US"/>
        </w:rPr>
        <w:t>ческих стандартов; высокий уровень эффективности правового р</w:t>
      </w:r>
      <w:r w:rsidRPr="00787EA7">
        <w:rPr>
          <w:rFonts w:eastAsia="Calibri"/>
          <w:sz w:val="22"/>
          <w:szCs w:val="22"/>
          <w:lang w:eastAsia="en-US"/>
        </w:rPr>
        <w:t>е</w:t>
      </w:r>
      <w:r w:rsidRPr="00787EA7">
        <w:rPr>
          <w:rFonts w:eastAsia="Calibri"/>
          <w:sz w:val="22"/>
          <w:szCs w:val="22"/>
          <w:lang w:eastAsia="en-US"/>
        </w:rPr>
        <w:t>гулирования деятельности предприятия во всех направлениях; обеспечение информационной безопасности работы предприятия; обеспечение безопасности работников предприятия, сохранности их профессиональных интересов, а также имущества [2].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Уже на стадии создания предприятия (составление бизнес-плана и проекта устава) следует решить проблему защиты своих интересов от противоправных действий конкурентов. Причиной тому служат не всегда цивилизованные конкурентные отношения, несовершенство действующего законодательства, произвол фи</w:t>
      </w:r>
      <w:r w:rsidRPr="00787EA7">
        <w:rPr>
          <w:rFonts w:eastAsia="Calibri"/>
          <w:sz w:val="22"/>
          <w:szCs w:val="22"/>
          <w:lang w:eastAsia="en-US"/>
        </w:rPr>
        <w:t>с</w:t>
      </w:r>
      <w:r w:rsidRPr="00787EA7">
        <w:rPr>
          <w:rFonts w:eastAsia="Calibri"/>
          <w:sz w:val="22"/>
          <w:szCs w:val="22"/>
          <w:lang w:eastAsia="en-US"/>
        </w:rPr>
        <w:t>кальных органов и т.п. Обеспечение экономической безопасности позволит предотвратить либо уменьшить негативное влияние внешних и внутренних угроз. Что можно отнести к внутренним угрозам и дестабилизирующим факторам?</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Это действия сотрудников предприятия, противоречащие о</w:t>
      </w:r>
      <w:r w:rsidRPr="00787EA7">
        <w:rPr>
          <w:rFonts w:eastAsia="Calibri"/>
          <w:sz w:val="22"/>
          <w:szCs w:val="22"/>
          <w:lang w:eastAsia="en-US"/>
        </w:rPr>
        <w:t>б</w:t>
      </w:r>
      <w:r w:rsidRPr="00787EA7">
        <w:rPr>
          <w:rFonts w:eastAsia="Calibri"/>
          <w:sz w:val="22"/>
          <w:szCs w:val="22"/>
          <w:lang w:eastAsia="en-US"/>
        </w:rPr>
        <w:t>щим интересам предприятия, что может нанести экономический ущерб компании. Еще это может быть утечка важных информац</w:t>
      </w:r>
      <w:r w:rsidRPr="00787EA7">
        <w:rPr>
          <w:rFonts w:eastAsia="Calibri"/>
          <w:sz w:val="22"/>
          <w:szCs w:val="22"/>
          <w:lang w:eastAsia="en-US"/>
        </w:rPr>
        <w:t>и</w:t>
      </w:r>
      <w:r w:rsidRPr="00787EA7">
        <w:rPr>
          <w:rFonts w:eastAsia="Calibri"/>
          <w:sz w:val="22"/>
          <w:szCs w:val="22"/>
          <w:lang w:eastAsia="en-US"/>
        </w:rPr>
        <w:t>онных сведений, являющихся коммерческой тайной; произво</w:t>
      </w:r>
      <w:r w:rsidRPr="00787EA7">
        <w:rPr>
          <w:rFonts w:eastAsia="Calibri"/>
          <w:sz w:val="22"/>
          <w:szCs w:val="22"/>
          <w:lang w:eastAsia="en-US"/>
        </w:rPr>
        <w:t>д</w:t>
      </w:r>
      <w:r w:rsidRPr="00787EA7">
        <w:rPr>
          <w:rFonts w:eastAsia="Calibri"/>
          <w:sz w:val="22"/>
          <w:szCs w:val="22"/>
          <w:lang w:eastAsia="en-US"/>
        </w:rPr>
        <w:t>ственный травматизм, а также возможный летальный исход при п</w:t>
      </w:r>
      <w:r w:rsidRPr="00787EA7">
        <w:rPr>
          <w:rFonts w:eastAsia="Calibri"/>
          <w:sz w:val="22"/>
          <w:szCs w:val="22"/>
          <w:lang w:eastAsia="en-US"/>
        </w:rPr>
        <w:t>о</w:t>
      </w:r>
      <w:r w:rsidRPr="00787EA7">
        <w:rPr>
          <w:rFonts w:eastAsia="Calibri"/>
          <w:sz w:val="22"/>
          <w:szCs w:val="22"/>
          <w:lang w:eastAsia="en-US"/>
        </w:rPr>
        <w:t>лучении травмы[3].</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 внешним угрозам экономической безопасности предприятия относятся такие факторы, как: противоправная деятельность конк</w:t>
      </w:r>
      <w:r w:rsidRPr="00787EA7">
        <w:rPr>
          <w:rFonts w:eastAsia="Calibri"/>
          <w:sz w:val="22"/>
          <w:szCs w:val="22"/>
          <w:lang w:eastAsia="en-US"/>
        </w:rPr>
        <w:t>у</w:t>
      </w:r>
      <w:r w:rsidRPr="00787EA7">
        <w:rPr>
          <w:rFonts w:eastAsia="Calibri"/>
          <w:sz w:val="22"/>
          <w:szCs w:val="22"/>
          <w:lang w:eastAsia="en-US"/>
        </w:rPr>
        <w:t>рентов, вмешательство криминальных структур и частных лиц (р</w:t>
      </w:r>
      <w:r w:rsidRPr="00787EA7">
        <w:rPr>
          <w:rFonts w:eastAsia="Calibri"/>
          <w:sz w:val="22"/>
          <w:szCs w:val="22"/>
          <w:lang w:eastAsia="en-US"/>
        </w:rPr>
        <w:t>э</w:t>
      </w:r>
      <w:r w:rsidRPr="00787EA7">
        <w:rPr>
          <w:rFonts w:eastAsia="Calibri"/>
          <w:sz w:val="22"/>
          <w:szCs w:val="22"/>
          <w:lang w:eastAsia="en-US"/>
        </w:rPr>
        <w:lastRenderedPageBreak/>
        <w:t>кет, шантаж, экспроприация)[3]. Предприятия часто сталкиваются с мошенничеством, шпионажем, несостоятельностью и безотве</w:t>
      </w:r>
      <w:r w:rsidRPr="00787EA7">
        <w:rPr>
          <w:rFonts w:eastAsia="Calibri"/>
          <w:sz w:val="22"/>
          <w:szCs w:val="22"/>
          <w:lang w:eastAsia="en-US"/>
        </w:rPr>
        <w:t>т</w:t>
      </w:r>
      <w:r w:rsidRPr="00787EA7">
        <w:rPr>
          <w:rFonts w:eastAsia="Calibri"/>
          <w:sz w:val="22"/>
          <w:szCs w:val="22"/>
          <w:lang w:eastAsia="en-US"/>
        </w:rPr>
        <w:t xml:space="preserve">ственностью деловых партнеров, противоправными действиями коррумпированных элементов со стороны правоохранительных и контролирующих органов.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Экономическая безопасность особенно важна для промышле</w:t>
      </w:r>
      <w:r w:rsidRPr="00787EA7">
        <w:rPr>
          <w:rFonts w:eastAsia="Calibri"/>
          <w:sz w:val="22"/>
          <w:szCs w:val="22"/>
          <w:lang w:eastAsia="en-US"/>
        </w:rPr>
        <w:t>н</w:t>
      </w:r>
      <w:r w:rsidRPr="00787EA7">
        <w:rPr>
          <w:rFonts w:eastAsia="Calibri"/>
          <w:sz w:val="22"/>
          <w:szCs w:val="22"/>
          <w:lang w:eastAsia="en-US"/>
        </w:rPr>
        <w:t>ных предприятий, так как они являются определяющим стабилиз</w:t>
      </w:r>
      <w:r w:rsidRPr="00787EA7">
        <w:rPr>
          <w:rFonts w:eastAsia="Calibri"/>
          <w:sz w:val="22"/>
          <w:szCs w:val="22"/>
          <w:lang w:eastAsia="en-US"/>
        </w:rPr>
        <w:t>и</w:t>
      </w:r>
      <w:r w:rsidRPr="00787EA7">
        <w:rPr>
          <w:rFonts w:eastAsia="Calibri"/>
          <w:sz w:val="22"/>
          <w:szCs w:val="22"/>
          <w:lang w:eastAsia="en-US"/>
        </w:rPr>
        <w:t>рующим фактором антикризисного развития, гарантируют экон</w:t>
      </w:r>
      <w:r w:rsidRPr="00787EA7">
        <w:rPr>
          <w:rFonts w:eastAsia="Calibri"/>
          <w:sz w:val="22"/>
          <w:szCs w:val="22"/>
          <w:lang w:eastAsia="en-US"/>
        </w:rPr>
        <w:t>о</w:t>
      </w:r>
      <w:r w:rsidRPr="00787EA7">
        <w:rPr>
          <w:rFonts w:eastAsia="Calibri"/>
          <w:sz w:val="22"/>
          <w:szCs w:val="22"/>
          <w:lang w:eastAsia="en-US"/>
        </w:rPr>
        <w:t>мический рост и независимость страны, а также ее безопасность.</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Для эффективности политики безопасности важным предста</w:t>
      </w:r>
      <w:r w:rsidRPr="00787EA7">
        <w:rPr>
          <w:rFonts w:eastAsia="Calibri"/>
          <w:sz w:val="22"/>
          <w:szCs w:val="22"/>
          <w:lang w:eastAsia="en-US"/>
        </w:rPr>
        <w:t>в</w:t>
      </w:r>
      <w:r w:rsidRPr="00787EA7">
        <w:rPr>
          <w:rFonts w:eastAsia="Calibri"/>
          <w:sz w:val="22"/>
          <w:szCs w:val="22"/>
          <w:lang w:eastAsia="en-US"/>
        </w:rPr>
        <w:t>ляется результат совместной деятельности сотрудников организ</w:t>
      </w:r>
      <w:r w:rsidRPr="00787EA7">
        <w:rPr>
          <w:rFonts w:eastAsia="Calibri"/>
          <w:sz w:val="22"/>
          <w:szCs w:val="22"/>
          <w:lang w:eastAsia="en-US"/>
        </w:rPr>
        <w:t>а</w:t>
      </w:r>
      <w:r w:rsidRPr="00787EA7">
        <w:rPr>
          <w:rFonts w:eastAsia="Calibri"/>
          <w:sz w:val="22"/>
          <w:szCs w:val="22"/>
          <w:lang w:eastAsia="en-US"/>
        </w:rPr>
        <w:t>ции, способных понять все ее аспекты. Особенно важна роль рук</w:t>
      </w:r>
      <w:r w:rsidRPr="00787EA7">
        <w:rPr>
          <w:rFonts w:eastAsia="Calibri"/>
          <w:sz w:val="22"/>
          <w:szCs w:val="22"/>
          <w:lang w:eastAsia="en-US"/>
        </w:rPr>
        <w:t>о</w:t>
      </w:r>
      <w:r w:rsidRPr="00787EA7">
        <w:rPr>
          <w:rFonts w:eastAsia="Calibri"/>
          <w:sz w:val="22"/>
          <w:szCs w:val="22"/>
          <w:lang w:eastAsia="en-US"/>
        </w:rPr>
        <w:t>водителей, способных влиять на политику безопасности предпри</w:t>
      </w:r>
      <w:r w:rsidRPr="00787EA7">
        <w:rPr>
          <w:rFonts w:eastAsia="Calibri"/>
          <w:sz w:val="22"/>
          <w:szCs w:val="22"/>
          <w:lang w:eastAsia="en-US"/>
        </w:rPr>
        <w:t>я</w:t>
      </w:r>
      <w:r w:rsidRPr="00787EA7">
        <w:rPr>
          <w:rFonts w:eastAsia="Calibri"/>
          <w:sz w:val="22"/>
          <w:szCs w:val="22"/>
          <w:lang w:eastAsia="en-US"/>
        </w:rPr>
        <w:t>тия, которые ограничиваются лишь созданием на предприятии охранных структур и практически исключают из арсенала орган</w:t>
      </w:r>
      <w:r w:rsidRPr="00787EA7">
        <w:rPr>
          <w:rFonts w:eastAsia="Calibri"/>
          <w:sz w:val="22"/>
          <w:szCs w:val="22"/>
          <w:lang w:eastAsia="en-US"/>
        </w:rPr>
        <w:t>и</w:t>
      </w:r>
      <w:r w:rsidRPr="00787EA7">
        <w:rPr>
          <w:rFonts w:eastAsia="Calibri"/>
          <w:sz w:val="22"/>
          <w:szCs w:val="22"/>
          <w:lang w:eastAsia="en-US"/>
        </w:rPr>
        <w:t>зационно-технические и правовые методы, средства и способы з</w:t>
      </w:r>
      <w:r w:rsidRPr="00787EA7">
        <w:rPr>
          <w:rFonts w:eastAsia="Calibri"/>
          <w:sz w:val="22"/>
          <w:szCs w:val="22"/>
          <w:lang w:eastAsia="en-US"/>
        </w:rPr>
        <w:t>а</w:t>
      </w:r>
      <w:r w:rsidRPr="00787EA7">
        <w:rPr>
          <w:rFonts w:eastAsia="Calibri"/>
          <w:sz w:val="22"/>
          <w:szCs w:val="22"/>
          <w:lang w:eastAsia="en-US"/>
        </w:rPr>
        <w:t>щиты информации, что не до конца способствует защите эконом</w:t>
      </w:r>
      <w:r w:rsidRPr="00787EA7">
        <w:rPr>
          <w:rFonts w:eastAsia="Calibri"/>
          <w:sz w:val="22"/>
          <w:szCs w:val="22"/>
          <w:lang w:eastAsia="en-US"/>
        </w:rPr>
        <w:t>и</w:t>
      </w:r>
      <w:r w:rsidRPr="00787EA7">
        <w:rPr>
          <w:rFonts w:eastAsia="Calibri"/>
          <w:sz w:val="22"/>
          <w:szCs w:val="22"/>
          <w:lang w:eastAsia="en-US"/>
        </w:rPr>
        <w:t>ческой безопасности предприятия[4].</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Обеспечение экономической безопасности предприятий треб</w:t>
      </w:r>
      <w:r w:rsidRPr="00787EA7">
        <w:rPr>
          <w:rFonts w:eastAsia="Calibri"/>
          <w:sz w:val="22"/>
          <w:szCs w:val="22"/>
          <w:lang w:eastAsia="en-US"/>
        </w:rPr>
        <w:t>у</w:t>
      </w:r>
      <w:r w:rsidRPr="00787EA7">
        <w:rPr>
          <w:rFonts w:eastAsia="Calibri"/>
          <w:sz w:val="22"/>
          <w:szCs w:val="22"/>
          <w:lang w:eastAsia="en-US"/>
        </w:rPr>
        <w:t>ет участия в ней специалистов, имеющих высокую профессионал</w:t>
      </w:r>
      <w:r w:rsidRPr="00787EA7">
        <w:rPr>
          <w:rFonts w:eastAsia="Calibri"/>
          <w:sz w:val="22"/>
          <w:szCs w:val="22"/>
          <w:lang w:eastAsia="en-US"/>
        </w:rPr>
        <w:t>ь</w:t>
      </w:r>
      <w:r w:rsidRPr="00787EA7">
        <w:rPr>
          <w:rFonts w:eastAsia="Calibri"/>
          <w:sz w:val="22"/>
          <w:szCs w:val="22"/>
          <w:lang w:eastAsia="en-US"/>
        </w:rPr>
        <w:t>ную подготовку и большой практический опыт.</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Рыночные отношения требуют стратегии безопасности, вкл</w:t>
      </w:r>
      <w:r w:rsidRPr="00787EA7">
        <w:rPr>
          <w:rFonts w:eastAsia="Calibri"/>
          <w:sz w:val="22"/>
          <w:szCs w:val="22"/>
          <w:lang w:eastAsia="en-US"/>
        </w:rPr>
        <w:t>ю</w:t>
      </w:r>
      <w:r w:rsidRPr="00787EA7">
        <w:rPr>
          <w:rFonts w:eastAsia="Calibri"/>
          <w:sz w:val="22"/>
          <w:szCs w:val="22"/>
          <w:lang w:eastAsia="en-US"/>
        </w:rPr>
        <w:t>чающей специальные программы. На первый план выходят подра</w:t>
      </w:r>
      <w:r w:rsidRPr="00787EA7">
        <w:rPr>
          <w:rFonts w:eastAsia="Calibri"/>
          <w:sz w:val="22"/>
          <w:szCs w:val="22"/>
          <w:lang w:eastAsia="en-US"/>
        </w:rPr>
        <w:t>з</w:t>
      </w:r>
      <w:r w:rsidRPr="00787EA7">
        <w:rPr>
          <w:rFonts w:eastAsia="Calibri"/>
          <w:sz w:val="22"/>
          <w:szCs w:val="22"/>
          <w:lang w:eastAsia="en-US"/>
        </w:rPr>
        <w:t>деления, ответственные за проведение политики экономической безопасности, обеспечение плана защиты и управления средствами защиты, контролем над правильностью их эксплуатации, выявление попыток и фактов нарушений и принятие мер по их нейтрализации. Ослабление комплекса этой деятельности может отразиться на эк</w:t>
      </w:r>
      <w:r w:rsidRPr="00787EA7">
        <w:rPr>
          <w:rFonts w:eastAsia="Calibri"/>
          <w:sz w:val="22"/>
          <w:szCs w:val="22"/>
          <w:lang w:eastAsia="en-US"/>
        </w:rPr>
        <w:t>о</w:t>
      </w:r>
      <w:r w:rsidRPr="00787EA7">
        <w:rPr>
          <w:rFonts w:eastAsia="Calibri"/>
          <w:sz w:val="22"/>
          <w:szCs w:val="22"/>
          <w:lang w:eastAsia="en-US"/>
        </w:rPr>
        <w:t>номической безопасности предприятия, поэтому процесс управл</w:t>
      </w:r>
      <w:r w:rsidRPr="00787EA7">
        <w:rPr>
          <w:rFonts w:eastAsia="Calibri"/>
          <w:sz w:val="22"/>
          <w:szCs w:val="22"/>
          <w:lang w:eastAsia="en-US"/>
        </w:rPr>
        <w:t>е</w:t>
      </w:r>
      <w:r w:rsidRPr="00787EA7">
        <w:rPr>
          <w:rFonts w:eastAsia="Calibri"/>
          <w:sz w:val="22"/>
          <w:szCs w:val="22"/>
          <w:lang w:eastAsia="en-US"/>
        </w:rPr>
        <w:t xml:space="preserve">ния и вопросы безопасности находятся в тесной взаимосвязи. </w:t>
      </w:r>
    </w:p>
    <w:p w:rsidR="00724342" w:rsidRPr="00787EA7" w:rsidRDefault="00724342" w:rsidP="00724342">
      <w:pPr>
        <w:ind w:firstLine="425"/>
        <w:jc w:val="both"/>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1.Абрютин Д. А. Анализ финансово-экономической деятельн</w:t>
      </w:r>
      <w:r w:rsidRPr="00787EA7">
        <w:rPr>
          <w:rFonts w:eastAsia="Calibri"/>
          <w:sz w:val="22"/>
          <w:szCs w:val="22"/>
          <w:lang w:eastAsia="en-US"/>
        </w:rPr>
        <w:t>о</w:t>
      </w:r>
      <w:r w:rsidRPr="00787EA7">
        <w:rPr>
          <w:rFonts w:eastAsia="Calibri"/>
          <w:sz w:val="22"/>
          <w:szCs w:val="22"/>
          <w:lang w:eastAsia="en-US"/>
        </w:rPr>
        <w:t>сти предприятия / Д.А. Абрютин, М.С. Абрютина, А.В. Грачев. – М.: Дело и сервис, 2016. – 256 c.</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 Войтоловский Н. В. Комплексный экономический анализ предприятия / Н.В. Войтоловский. – М.: Книга по Требованию, 2015. – 576 c.</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3. Гапоненко В.Ф. Экономическая безопасность предприятий. Подходы и принципы / В.Ф.Гапоненко, А.Л.Беспалько, А.С.Власков.–М.: Издательство «Ось-89», 2015. – 152 с.</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4.Комплексный экономический анализ предприятия. – М.: П</w:t>
      </w:r>
      <w:r w:rsidRPr="00787EA7">
        <w:rPr>
          <w:rFonts w:eastAsia="Calibri"/>
          <w:sz w:val="22"/>
          <w:szCs w:val="22"/>
          <w:lang w:eastAsia="en-US"/>
        </w:rPr>
        <w:t>и</w:t>
      </w:r>
      <w:r w:rsidRPr="00787EA7">
        <w:rPr>
          <w:rFonts w:eastAsia="Calibri"/>
          <w:sz w:val="22"/>
          <w:szCs w:val="22"/>
          <w:lang w:eastAsia="en-US"/>
        </w:rPr>
        <w:t>тер, 2015. – 576 c.</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5. Парамонов П. Ф. Менеджмент: учеб. пособие/</w:t>
      </w:r>
      <w:hyperlink r:id="rId198"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199" w:history="1">
        <w:r w:rsidRPr="00787EA7">
          <w:rPr>
            <w:rFonts w:eastAsia="Calibri"/>
            <w:sz w:val="22"/>
            <w:szCs w:val="22"/>
            <w:lang w:eastAsia="en-US"/>
          </w:rPr>
          <w:t>И. Е. Халявка</w:t>
        </w:r>
      </w:hyperlink>
      <w:r w:rsidRPr="00787EA7">
        <w:rPr>
          <w:rFonts w:eastAsia="Calibri"/>
          <w:sz w:val="22"/>
          <w:szCs w:val="22"/>
          <w:lang w:eastAsia="en-US"/>
        </w:rPr>
        <w:t>, </w:t>
      </w:r>
      <w:hyperlink r:id="rId200"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 – 173 с.</w:t>
      </w:r>
    </w:p>
    <w:p w:rsidR="00CE4C84" w:rsidRDefault="00CE4C84" w:rsidP="00724342">
      <w:pPr>
        <w:outlineLvl w:val="0"/>
        <w:rPr>
          <w:rFonts w:eastAsia="Calibri"/>
          <w:bCs/>
          <w:sz w:val="22"/>
          <w:szCs w:val="22"/>
          <w:lang w:eastAsia="en-US"/>
        </w:rPr>
      </w:pPr>
    </w:p>
    <w:p w:rsidR="00CE4C84" w:rsidRDefault="00CE4C84" w:rsidP="00724342">
      <w:pPr>
        <w:outlineLvl w:val="0"/>
        <w:rPr>
          <w:rFonts w:eastAsia="Calibri"/>
          <w:bCs/>
          <w:sz w:val="22"/>
          <w:szCs w:val="22"/>
          <w:lang w:eastAsia="en-US"/>
        </w:rPr>
      </w:pPr>
    </w:p>
    <w:p w:rsidR="00724342" w:rsidRDefault="00724342" w:rsidP="00724342">
      <w:pPr>
        <w:outlineLvl w:val="0"/>
        <w:rPr>
          <w:rFonts w:eastAsia="Calibri"/>
          <w:bCs/>
          <w:sz w:val="22"/>
          <w:szCs w:val="22"/>
          <w:lang w:eastAsia="en-US"/>
        </w:rPr>
      </w:pPr>
      <w:r w:rsidRPr="00787EA7">
        <w:rPr>
          <w:rFonts w:eastAsia="Calibri"/>
          <w:bCs/>
          <w:sz w:val="22"/>
          <w:szCs w:val="22"/>
          <w:lang w:eastAsia="en-US"/>
        </w:rPr>
        <w:t>УДК 368</w:t>
      </w:r>
    </w:p>
    <w:p w:rsidR="003F3918" w:rsidRPr="00787EA7" w:rsidRDefault="003F3918" w:rsidP="00724342">
      <w:pPr>
        <w:outlineLvl w:val="0"/>
        <w:rPr>
          <w:rFonts w:eastAsia="Calibri"/>
          <w:bCs/>
          <w:sz w:val="22"/>
          <w:szCs w:val="22"/>
          <w:lang w:eastAsia="en-US"/>
        </w:rPr>
      </w:pPr>
    </w:p>
    <w:p w:rsidR="00724342" w:rsidRPr="003F3918" w:rsidRDefault="00724342" w:rsidP="00724342">
      <w:pPr>
        <w:jc w:val="center"/>
        <w:rPr>
          <w:rFonts w:eastAsia="Calibri"/>
          <w:b/>
          <w:bCs/>
          <w:sz w:val="24"/>
          <w:szCs w:val="24"/>
          <w:lang w:eastAsia="en-US"/>
        </w:rPr>
      </w:pPr>
      <w:r w:rsidRPr="003F3918">
        <w:rPr>
          <w:rFonts w:eastAsia="Calibri"/>
          <w:b/>
          <w:bCs/>
          <w:sz w:val="24"/>
          <w:szCs w:val="24"/>
          <w:lang w:eastAsia="en-US"/>
        </w:rPr>
        <w:t xml:space="preserve">«Токсичные» и обычные регионы </w:t>
      </w:r>
      <w:r w:rsidR="003F3918">
        <w:rPr>
          <w:rFonts w:eastAsia="Calibri"/>
          <w:b/>
          <w:bCs/>
          <w:sz w:val="24"/>
          <w:szCs w:val="24"/>
          <w:lang w:eastAsia="en-US"/>
        </w:rPr>
        <w:br/>
      </w:r>
      <w:r w:rsidRPr="003F3918">
        <w:rPr>
          <w:rFonts w:eastAsia="Calibri"/>
          <w:b/>
          <w:bCs/>
          <w:sz w:val="24"/>
          <w:szCs w:val="24"/>
          <w:lang w:eastAsia="en-US"/>
        </w:rPr>
        <w:t>по ОСАГО - сравнительный анализ</w:t>
      </w:r>
    </w:p>
    <w:p w:rsidR="00724342" w:rsidRPr="00787EA7" w:rsidRDefault="003F3918" w:rsidP="00724342">
      <w:pPr>
        <w:jc w:val="center"/>
        <w:rPr>
          <w:rFonts w:eastAsia="Calibri"/>
          <w:b/>
          <w:bCs/>
          <w:sz w:val="22"/>
          <w:szCs w:val="22"/>
          <w:lang w:val="en-US" w:eastAsia="en-US"/>
        </w:rPr>
      </w:pPr>
      <w:r>
        <w:rPr>
          <w:rFonts w:eastAsia="Calibri"/>
          <w:b/>
          <w:bCs/>
          <w:sz w:val="24"/>
          <w:szCs w:val="24"/>
          <w:lang w:val="en-US" w:eastAsia="en-US"/>
        </w:rPr>
        <w:t>«Toxic</w:t>
      </w:r>
      <w:r w:rsidR="00724342" w:rsidRPr="003F3918">
        <w:rPr>
          <w:rFonts w:eastAsia="Calibri"/>
          <w:b/>
          <w:bCs/>
          <w:sz w:val="24"/>
          <w:szCs w:val="24"/>
          <w:lang w:val="en-US" w:eastAsia="en-US"/>
        </w:rPr>
        <w:t xml:space="preserve">»and usual regions </w:t>
      </w:r>
      <w:r w:rsidRPr="003F3918">
        <w:rPr>
          <w:rFonts w:eastAsia="Calibri"/>
          <w:b/>
          <w:bCs/>
          <w:sz w:val="24"/>
          <w:szCs w:val="24"/>
          <w:lang w:val="en-US" w:eastAsia="en-US"/>
        </w:rPr>
        <w:br/>
      </w:r>
      <w:r w:rsidR="00724342" w:rsidRPr="003F3918">
        <w:rPr>
          <w:rFonts w:eastAsia="Calibri"/>
          <w:b/>
          <w:bCs/>
          <w:sz w:val="24"/>
          <w:szCs w:val="24"/>
          <w:lang w:val="en-US" w:eastAsia="en-US"/>
        </w:rPr>
        <w:t>on OSAGO - the comparative analysis</w:t>
      </w:r>
    </w:p>
    <w:p w:rsidR="003F3918" w:rsidRPr="00C56F2E" w:rsidRDefault="003F3918" w:rsidP="00724342">
      <w:pPr>
        <w:jc w:val="right"/>
        <w:rPr>
          <w:rFonts w:eastAsia="Calibri"/>
          <w:sz w:val="22"/>
          <w:szCs w:val="22"/>
          <w:lang w:val="en-US" w:eastAsia="en-US"/>
        </w:rPr>
      </w:pP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Гончарова В.</w:t>
      </w:r>
      <w:r w:rsidR="003F3918">
        <w:rPr>
          <w:rFonts w:eastAsia="Calibri"/>
          <w:sz w:val="22"/>
          <w:szCs w:val="22"/>
          <w:lang w:eastAsia="en-US"/>
        </w:rPr>
        <w:t xml:space="preserve"> </w:t>
      </w:r>
      <w:r w:rsidRPr="00787EA7">
        <w:rPr>
          <w:rFonts w:eastAsia="Calibri"/>
          <w:sz w:val="22"/>
          <w:szCs w:val="22"/>
          <w:lang w:eastAsia="en-US"/>
        </w:rPr>
        <w:t>В.</w:t>
      </w:r>
      <w:r w:rsidR="003F3918">
        <w:rPr>
          <w:rFonts w:eastAsia="Calibri"/>
          <w:sz w:val="22"/>
          <w:szCs w:val="22"/>
          <w:lang w:eastAsia="en-US"/>
        </w:rPr>
        <w:t>,</w:t>
      </w:r>
    </w:p>
    <w:p w:rsidR="00724342" w:rsidRPr="00787EA7" w:rsidRDefault="00724342" w:rsidP="00724342">
      <w:pPr>
        <w:jc w:val="right"/>
        <w:rPr>
          <w:rFonts w:eastAsia="Courier New"/>
          <w:color w:val="000000"/>
          <w:sz w:val="22"/>
          <w:szCs w:val="22"/>
          <w:lang w:eastAsia="en-US"/>
        </w:rPr>
      </w:pPr>
      <w:r w:rsidRPr="00787EA7">
        <w:rPr>
          <w:rFonts w:eastAsia="Courier New"/>
          <w:color w:val="000000"/>
          <w:sz w:val="22"/>
          <w:szCs w:val="22"/>
          <w:lang w:eastAsia="en-US"/>
        </w:rPr>
        <w:t>студентка 4-го курса факультета «Финансы и кредит»</w:t>
      </w:r>
    </w:p>
    <w:p w:rsidR="00724342" w:rsidRPr="00787EA7" w:rsidRDefault="00724342" w:rsidP="00724342">
      <w:pPr>
        <w:jc w:val="right"/>
        <w:rPr>
          <w:rFonts w:eastAsia="Courier New"/>
          <w:color w:val="000000"/>
          <w:sz w:val="22"/>
          <w:szCs w:val="22"/>
          <w:lang w:eastAsia="en-US"/>
        </w:rPr>
      </w:pPr>
      <w:r w:rsidRPr="00787EA7">
        <w:rPr>
          <w:rFonts w:eastAsia="Courier New"/>
          <w:color w:val="000000"/>
          <w:sz w:val="22"/>
          <w:szCs w:val="22"/>
          <w:lang w:eastAsia="en-US"/>
        </w:rPr>
        <w:t>Улыбина Л.</w:t>
      </w:r>
      <w:r w:rsidR="003F3918">
        <w:rPr>
          <w:rFonts w:eastAsia="Courier New"/>
          <w:color w:val="000000"/>
          <w:sz w:val="22"/>
          <w:szCs w:val="22"/>
          <w:lang w:eastAsia="en-US"/>
        </w:rPr>
        <w:t xml:space="preserve"> </w:t>
      </w:r>
      <w:r w:rsidRPr="00787EA7">
        <w:rPr>
          <w:rFonts w:eastAsia="Courier New"/>
          <w:color w:val="000000"/>
          <w:sz w:val="22"/>
          <w:szCs w:val="22"/>
          <w:lang w:eastAsia="en-US"/>
        </w:rPr>
        <w:t>К.,</w:t>
      </w:r>
    </w:p>
    <w:p w:rsidR="00724342" w:rsidRPr="00787EA7" w:rsidRDefault="00724342" w:rsidP="00724342">
      <w:pPr>
        <w:jc w:val="right"/>
        <w:rPr>
          <w:rFonts w:eastAsia="Courier New"/>
          <w:color w:val="000000"/>
          <w:sz w:val="22"/>
          <w:szCs w:val="22"/>
          <w:lang w:eastAsia="en-US"/>
        </w:rPr>
      </w:pPr>
      <w:r w:rsidRPr="00787EA7">
        <w:rPr>
          <w:rFonts w:eastAsia="Courier New"/>
          <w:color w:val="000000"/>
          <w:sz w:val="22"/>
          <w:szCs w:val="22"/>
          <w:lang w:eastAsia="en-US"/>
        </w:rPr>
        <w:t>профессор кафедры финансов</w:t>
      </w:r>
    </w:p>
    <w:p w:rsidR="00724342" w:rsidRPr="00787EA7" w:rsidRDefault="00724342" w:rsidP="00724342">
      <w:pPr>
        <w:jc w:val="right"/>
        <w:rPr>
          <w:rFonts w:eastAsia="Courier New"/>
          <w:color w:val="000000"/>
          <w:sz w:val="22"/>
          <w:szCs w:val="22"/>
          <w:lang w:eastAsia="en-US"/>
        </w:rPr>
      </w:pPr>
      <w:r w:rsidRPr="00787EA7">
        <w:rPr>
          <w:rFonts w:eastAsia="Courier New"/>
          <w:color w:val="000000"/>
          <w:sz w:val="22"/>
          <w:szCs w:val="22"/>
          <w:lang w:eastAsia="en-US"/>
        </w:rPr>
        <w:t xml:space="preserve">Кубанский государственный аграрный </w:t>
      </w:r>
    </w:p>
    <w:p w:rsidR="00724342" w:rsidRPr="00787EA7" w:rsidRDefault="00724342" w:rsidP="00724342">
      <w:pPr>
        <w:jc w:val="right"/>
        <w:rPr>
          <w:rFonts w:eastAsia="Calibri"/>
          <w:sz w:val="22"/>
          <w:szCs w:val="22"/>
          <w:lang w:eastAsia="en-US"/>
        </w:rPr>
      </w:pPr>
      <w:r w:rsidRPr="00787EA7">
        <w:rPr>
          <w:rFonts w:eastAsia="Courier New"/>
          <w:color w:val="000000"/>
          <w:sz w:val="22"/>
          <w:szCs w:val="22"/>
          <w:lang w:eastAsia="en-US"/>
        </w:rPr>
        <w:t>университет имени И.</w:t>
      </w:r>
      <w:r w:rsidR="003F3918">
        <w:rPr>
          <w:rFonts w:eastAsia="Courier New"/>
          <w:color w:val="000000"/>
          <w:sz w:val="22"/>
          <w:szCs w:val="22"/>
          <w:lang w:eastAsia="en-US"/>
        </w:rPr>
        <w:t xml:space="preserve"> </w:t>
      </w:r>
      <w:r w:rsidRPr="00787EA7">
        <w:rPr>
          <w:rFonts w:eastAsia="Courier New"/>
          <w:color w:val="000000"/>
          <w:sz w:val="22"/>
          <w:szCs w:val="22"/>
          <w:lang w:eastAsia="en-US"/>
        </w:rPr>
        <w:t>Т. Трубилина</w:t>
      </w:r>
    </w:p>
    <w:p w:rsidR="00724342" w:rsidRPr="00787EA7" w:rsidRDefault="00724342" w:rsidP="00724342">
      <w:pPr>
        <w:jc w:val="right"/>
        <w:rPr>
          <w:rFonts w:eastAsia="Calibri"/>
          <w:sz w:val="22"/>
          <w:szCs w:val="22"/>
          <w:lang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АННОТАЦИЯ: рассмотрены основные причины кризиса в сф</w:t>
      </w:r>
      <w:r w:rsidRPr="00787EA7">
        <w:rPr>
          <w:rFonts w:eastAsia="Calibri"/>
          <w:sz w:val="22"/>
          <w:szCs w:val="22"/>
          <w:lang w:eastAsia="en-US"/>
        </w:rPr>
        <w:t>е</w:t>
      </w:r>
      <w:r w:rsidRPr="00787EA7">
        <w:rPr>
          <w:rFonts w:eastAsia="Calibri"/>
          <w:sz w:val="22"/>
          <w:szCs w:val="22"/>
          <w:lang w:eastAsia="en-US"/>
        </w:rPr>
        <w:t>ре ОСАГО, проведен сравнительный анализ регионов</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ABSTRACT: The main causes of the crisis in the sphere of compu</w:t>
      </w:r>
      <w:r w:rsidRPr="00787EA7">
        <w:rPr>
          <w:rFonts w:eastAsia="Calibri"/>
          <w:sz w:val="22"/>
          <w:szCs w:val="22"/>
          <w:lang w:val="en-US" w:eastAsia="en-US"/>
        </w:rPr>
        <w:t>l</w:t>
      </w:r>
      <w:r w:rsidRPr="00787EA7">
        <w:rPr>
          <w:rFonts w:eastAsia="Calibri"/>
          <w:sz w:val="22"/>
          <w:szCs w:val="22"/>
          <w:lang w:val="en-US" w:eastAsia="en-US"/>
        </w:rPr>
        <w:t>sory motor TPL insurance are considered, comparative analysis of r</w:t>
      </w:r>
      <w:r w:rsidRPr="00787EA7">
        <w:rPr>
          <w:rFonts w:eastAsia="Calibri"/>
          <w:sz w:val="22"/>
          <w:szCs w:val="22"/>
          <w:lang w:val="en-US" w:eastAsia="en-US"/>
        </w:rPr>
        <w:t>e</w:t>
      </w:r>
      <w:r w:rsidRPr="00787EA7">
        <w:rPr>
          <w:rFonts w:eastAsia="Calibri"/>
          <w:sz w:val="22"/>
          <w:szCs w:val="22"/>
          <w:lang w:val="en-US" w:eastAsia="en-US"/>
        </w:rPr>
        <w:t>gions</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КЛЮЧЕВЫЕ СЛОВА: ОСАГО, страховой случай, РСА, ДТП</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KEY WORDS: OSAGO, insurance case, SAR, road accident</w:t>
      </w:r>
    </w:p>
    <w:p w:rsidR="00724342" w:rsidRPr="00787EA7" w:rsidRDefault="00724342" w:rsidP="00724342">
      <w:pPr>
        <w:ind w:firstLine="708"/>
        <w:jc w:val="both"/>
        <w:rPr>
          <w:rFonts w:eastAsia="Calibri"/>
          <w:sz w:val="22"/>
          <w:szCs w:val="22"/>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Положение на рынке ОСАГО близко к критическому, расходы на возмещение по ОСАГО безостановочно растут. Средняя выплата ОСАГО растет на фоне снижения количества ДТП, однако идет резкое снижение числа заключенных договоров ОСАГО при увел</w:t>
      </w:r>
      <w:r w:rsidRPr="00787EA7">
        <w:rPr>
          <w:rFonts w:eastAsia="Calibri"/>
          <w:sz w:val="22"/>
          <w:szCs w:val="22"/>
          <w:lang w:eastAsia="en-US"/>
        </w:rPr>
        <w:t>и</w:t>
      </w:r>
      <w:r w:rsidRPr="00787EA7">
        <w:rPr>
          <w:rFonts w:eastAsia="Calibri"/>
          <w:sz w:val="22"/>
          <w:szCs w:val="22"/>
          <w:lang w:eastAsia="en-US"/>
        </w:rPr>
        <w:t>чении автопарка. [6,8] Из этого следует, что в данной ситуации з</w:t>
      </w:r>
      <w:r w:rsidRPr="00787EA7">
        <w:rPr>
          <w:rFonts w:eastAsia="Calibri"/>
          <w:sz w:val="22"/>
          <w:szCs w:val="22"/>
          <w:lang w:eastAsia="en-US"/>
        </w:rPr>
        <w:t>а</w:t>
      </w:r>
      <w:r w:rsidRPr="00787EA7">
        <w:rPr>
          <w:rFonts w:eastAsia="Calibri"/>
          <w:sz w:val="22"/>
          <w:szCs w:val="22"/>
          <w:lang w:eastAsia="en-US"/>
        </w:rPr>
        <w:lastRenderedPageBreak/>
        <w:t>мешаны недобросовестные автоюристы, а также имеет место фал</w:t>
      </w:r>
      <w:r w:rsidRPr="00787EA7">
        <w:rPr>
          <w:rFonts w:eastAsia="Calibri"/>
          <w:sz w:val="22"/>
          <w:szCs w:val="22"/>
          <w:lang w:eastAsia="en-US"/>
        </w:rPr>
        <w:t>ь</w:t>
      </w:r>
      <w:r w:rsidRPr="00787EA7">
        <w:rPr>
          <w:rFonts w:eastAsia="Calibri"/>
          <w:sz w:val="22"/>
          <w:szCs w:val="22"/>
          <w:lang w:eastAsia="en-US"/>
        </w:rPr>
        <w:t xml:space="preserve">сификация </w:t>
      </w:r>
      <w:r w:rsidR="003F3918">
        <w:rPr>
          <w:rFonts w:eastAsia="Calibri"/>
          <w:sz w:val="22"/>
          <w:szCs w:val="22"/>
          <w:lang w:eastAsia="en-US"/>
        </w:rPr>
        <w:t xml:space="preserve">договоров ОСАГО и фиксирования </w:t>
      </w:r>
      <w:r w:rsidRPr="00787EA7">
        <w:rPr>
          <w:rFonts w:eastAsia="Calibri"/>
          <w:sz w:val="22"/>
          <w:szCs w:val="22"/>
          <w:lang w:eastAsia="en-US"/>
        </w:rPr>
        <w:t xml:space="preserve">ДТП (дорожно-транспортное происшествие). Из-за деятельности мошенников страдают не только страховые компании, но и сами автомобилисты, так как многие страховые компании разоряются и прекращают свою деятельность в заключении ОСАГО [3, 4, 5, 9].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Проанализировав положение рынка ОСАГО, были выявлены основные причины ухудшения положения  страхования гражда</w:t>
      </w:r>
      <w:r w:rsidRPr="00787EA7">
        <w:rPr>
          <w:rFonts w:eastAsia="Calibri"/>
          <w:sz w:val="22"/>
          <w:szCs w:val="22"/>
          <w:lang w:eastAsia="en-US"/>
        </w:rPr>
        <w:t>н</w:t>
      </w:r>
      <w:r w:rsidRPr="00787EA7">
        <w:rPr>
          <w:rFonts w:eastAsia="Calibri"/>
          <w:sz w:val="22"/>
          <w:szCs w:val="22"/>
          <w:lang w:eastAsia="en-US"/>
        </w:rPr>
        <w:t>ских автомобилей и проведен сравнительный анализ «токсичных» и обычных регионов страны. С 2016 года некоторые регионы смогли справиться с данной проблемой, однако некоторые только ухудш</w:t>
      </w:r>
      <w:r w:rsidRPr="00787EA7">
        <w:rPr>
          <w:rFonts w:eastAsia="Calibri"/>
          <w:sz w:val="22"/>
          <w:szCs w:val="22"/>
          <w:lang w:eastAsia="en-US"/>
        </w:rPr>
        <w:t>и</w:t>
      </w:r>
      <w:r w:rsidRPr="00787EA7">
        <w:rPr>
          <w:rFonts w:eastAsia="Calibri"/>
          <w:sz w:val="22"/>
          <w:szCs w:val="22"/>
          <w:lang w:eastAsia="en-US"/>
        </w:rPr>
        <w:t>ли свое положение. На первом месте как «токсичный» регион нах</w:t>
      </w:r>
      <w:r w:rsidRPr="00787EA7">
        <w:rPr>
          <w:rFonts w:eastAsia="Calibri"/>
          <w:sz w:val="22"/>
          <w:szCs w:val="22"/>
          <w:lang w:eastAsia="en-US"/>
        </w:rPr>
        <w:t>о</w:t>
      </w:r>
      <w:r w:rsidRPr="00787EA7">
        <w:rPr>
          <w:rFonts w:eastAsia="Calibri"/>
          <w:sz w:val="22"/>
          <w:szCs w:val="22"/>
          <w:lang w:eastAsia="en-US"/>
        </w:rPr>
        <w:t>дится Северная Осетия, ее показатели на 2017 год не изменились в лучшую сторону, что позволяет лидировать в «красной зоне», вт</w:t>
      </w:r>
      <w:r w:rsidRPr="00787EA7">
        <w:rPr>
          <w:rFonts w:eastAsia="Calibri"/>
          <w:sz w:val="22"/>
          <w:szCs w:val="22"/>
          <w:lang w:eastAsia="en-US"/>
        </w:rPr>
        <w:t>о</w:t>
      </w:r>
      <w:r w:rsidRPr="00787EA7">
        <w:rPr>
          <w:rFonts w:eastAsia="Calibri"/>
          <w:sz w:val="22"/>
          <w:szCs w:val="22"/>
          <w:lang w:eastAsia="en-US"/>
        </w:rPr>
        <w:t>рое место занимает Вологодская область, а третье Карачаево-Черксесская республика, они так же не улучшили свое положение и в 2017 году.</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Однако, Архангельская область, Камчатский край, Ивановская область, Челябинская область и Башкортостан вовсе вышли из «красной» зоны, и на 2017 год находятся в пограничной «желтой» зоне. Но не все регионы смогли улучшить ситуацию по ОСАГО. Ростовская область перешла с шестого места на пятое, а Краснода</w:t>
      </w:r>
      <w:r w:rsidRPr="00787EA7">
        <w:rPr>
          <w:rFonts w:eastAsia="Calibri"/>
          <w:sz w:val="22"/>
          <w:szCs w:val="22"/>
          <w:lang w:eastAsia="en-US"/>
        </w:rPr>
        <w:t>р</w:t>
      </w:r>
      <w:r w:rsidRPr="00787EA7">
        <w:rPr>
          <w:rFonts w:eastAsia="Calibri"/>
          <w:sz w:val="22"/>
          <w:szCs w:val="22"/>
          <w:lang w:eastAsia="en-US"/>
        </w:rPr>
        <w:t>ский край поднялся на два пункта вверх и занимает 7 место. К с</w:t>
      </w:r>
      <w:r w:rsidRPr="00787EA7">
        <w:rPr>
          <w:rFonts w:eastAsia="Calibri"/>
          <w:sz w:val="22"/>
          <w:szCs w:val="22"/>
          <w:lang w:eastAsia="en-US"/>
        </w:rPr>
        <w:t>о</w:t>
      </w:r>
      <w:r w:rsidRPr="00787EA7">
        <w:rPr>
          <w:rFonts w:eastAsia="Calibri"/>
          <w:sz w:val="22"/>
          <w:szCs w:val="22"/>
          <w:lang w:eastAsia="en-US"/>
        </w:rPr>
        <w:t>жалению, в 2017 году  к «токсичным» регионам присоединились такие регионы, как Адыгея, Ингушетия, Липецкая область, Оре</w:t>
      </w:r>
      <w:r w:rsidRPr="00787EA7">
        <w:rPr>
          <w:rFonts w:eastAsia="Calibri"/>
          <w:sz w:val="22"/>
          <w:szCs w:val="22"/>
          <w:lang w:eastAsia="en-US"/>
        </w:rPr>
        <w:t>н</w:t>
      </w:r>
      <w:r w:rsidRPr="00787EA7">
        <w:rPr>
          <w:rFonts w:eastAsia="Calibri"/>
          <w:sz w:val="22"/>
          <w:szCs w:val="22"/>
          <w:lang w:eastAsia="en-US"/>
        </w:rPr>
        <w:t xml:space="preserve">бургская область и Амурская область. </w:t>
      </w:r>
    </w:p>
    <w:p w:rsidR="00724342" w:rsidRPr="00787EA7" w:rsidRDefault="00724342" w:rsidP="00724342">
      <w:pPr>
        <w:jc w:val="both"/>
        <w:rPr>
          <w:rFonts w:eastAsia="Calibri"/>
          <w:sz w:val="22"/>
          <w:szCs w:val="22"/>
          <w:lang w:eastAsia="en-US"/>
        </w:rPr>
      </w:pPr>
      <w:r w:rsidRPr="00787EA7">
        <w:rPr>
          <w:rFonts w:eastAsia="Calibri"/>
          <w:sz w:val="22"/>
          <w:szCs w:val="22"/>
          <w:lang w:eastAsia="en-US"/>
        </w:rPr>
        <w:t>Помимо «красной» зоны, выделяют «желтую и зеленую» зоны.В «желтой» зоне находятся регионы в пограничном состоянии, их п</w:t>
      </w:r>
      <w:r w:rsidRPr="00787EA7">
        <w:rPr>
          <w:rFonts w:eastAsia="Calibri"/>
          <w:sz w:val="22"/>
          <w:szCs w:val="22"/>
          <w:lang w:eastAsia="en-US"/>
        </w:rPr>
        <w:t>о</w:t>
      </w:r>
      <w:r w:rsidRPr="00787EA7">
        <w:rPr>
          <w:rFonts w:eastAsia="Calibri"/>
          <w:sz w:val="22"/>
          <w:szCs w:val="22"/>
          <w:lang w:eastAsia="en-US"/>
        </w:rPr>
        <w:t>казатели не критичны, но присутствуют нарушения. В эту зону вх</w:t>
      </w:r>
      <w:r w:rsidRPr="00787EA7">
        <w:rPr>
          <w:rFonts w:eastAsia="Calibri"/>
          <w:sz w:val="22"/>
          <w:szCs w:val="22"/>
          <w:lang w:eastAsia="en-US"/>
        </w:rPr>
        <w:t>о</w:t>
      </w:r>
      <w:r w:rsidRPr="00787EA7">
        <w:rPr>
          <w:rFonts w:eastAsia="Calibri"/>
          <w:sz w:val="22"/>
          <w:szCs w:val="22"/>
          <w:lang w:eastAsia="en-US"/>
        </w:rPr>
        <w:t>дят:1.Нижегородская область;2.Республика Хакасия; 3.Красноярский край; 4.Ярославская область; с 2017 года 5.Республика Башкортостан [10].</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«Зеленая» зона – это наиболее благополучные регионы по ОСАГО, в них зафиксировано наименьшее количество нарушений в отношении полисов ОСАГО. Лидирующее место занимает Респу</w:t>
      </w:r>
      <w:r w:rsidRPr="00787EA7">
        <w:rPr>
          <w:rFonts w:eastAsia="Calibri"/>
          <w:sz w:val="22"/>
          <w:szCs w:val="22"/>
          <w:lang w:eastAsia="en-US"/>
        </w:rPr>
        <w:t>б</w:t>
      </w:r>
      <w:r w:rsidRPr="00787EA7">
        <w:rPr>
          <w:rFonts w:eastAsia="Calibri"/>
          <w:sz w:val="22"/>
          <w:szCs w:val="22"/>
          <w:lang w:eastAsia="en-US"/>
        </w:rPr>
        <w:t>лика Саха, второе место Псковская область, тройку лидеров зам</w:t>
      </w:r>
      <w:r w:rsidRPr="00787EA7">
        <w:rPr>
          <w:rFonts w:eastAsia="Calibri"/>
          <w:sz w:val="22"/>
          <w:szCs w:val="22"/>
          <w:lang w:eastAsia="en-US"/>
        </w:rPr>
        <w:t>ы</w:t>
      </w:r>
      <w:r w:rsidRPr="00787EA7">
        <w:rPr>
          <w:rFonts w:eastAsia="Calibri"/>
          <w:sz w:val="22"/>
          <w:szCs w:val="22"/>
          <w:lang w:eastAsia="en-US"/>
        </w:rPr>
        <w:t>кает Сахалинская область, за которой следуют Карелия и Алтай. Чтобы решить решить данную проблему, нужно затронуть всех в</w:t>
      </w:r>
      <w:r w:rsidRPr="00787EA7">
        <w:rPr>
          <w:rFonts w:eastAsia="Calibri"/>
          <w:sz w:val="22"/>
          <w:szCs w:val="22"/>
          <w:lang w:eastAsia="en-US"/>
        </w:rPr>
        <w:t>и</w:t>
      </w:r>
      <w:r w:rsidRPr="00787EA7">
        <w:rPr>
          <w:rFonts w:eastAsia="Calibri"/>
          <w:sz w:val="22"/>
          <w:szCs w:val="22"/>
          <w:lang w:eastAsia="en-US"/>
        </w:rPr>
        <w:lastRenderedPageBreak/>
        <w:t>новников. Пресечь выкуп автоюристами прав на судебное разбир</w:t>
      </w:r>
      <w:r w:rsidRPr="00787EA7">
        <w:rPr>
          <w:rFonts w:eastAsia="Calibri"/>
          <w:sz w:val="22"/>
          <w:szCs w:val="22"/>
          <w:lang w:eastAsia="en-US"/>
        </w:rPr>
        <w:t>а</w:t>
      </w:r>
      <w:r w:rsidRPr="00787EA7">
        <w:rPr>
          <w:rFonts w:eastAsia="Calibri"/>
          <w:sz w:val="22"/>
          <w:szCs w:val="22"/>
          <w:lang w:eastAsia="en-US"/>
        </w:rPr>
        <w:t>тельство при ДТП, ужесточить контроль над корруп-ционной и х</w:t>
      </w:r>
      <w:r w:rsidRPr="00787EA7">
        <w:rPr>
          <w:rFonts w:eastAsia="Calibri"/>
          <w:sz w:val="22"/>
          <w:szCs w:val="22"/>
          <w:lang w:eastAsia="en-US"/>
        </w:rPr>
        <w:t>а</w:t>
      </w:r>
      <w:r w:rsidRPr="00787EA7">
        <w:rPr>
          <w:rFonts w:eastAsia="Calibri"/>
          <w:sz w:val="22"/>
          <w:szCs w:val="22"/>
          <w:lang w:eastAsia="en-US"/>
        </w:rPr>
        <w:t>латной деятельности сотрудников внутренних органов, а также вв</w:t>
      </w:r>
      <w:r w:rsidRPr="00787EA7">
        <w:rPr>
          <w:rFonts w:eastAsia="Calibri"/>
          <w:sz w:val="22"/>
          <w:szCs w:val="22"/>
          <w:lang w:eastAsia="en-US"/>
        </w:rPr>
        <w:t>е</w:t>
      </w:r>
      <w:r w:rsidRPr="00787EA7">
        <w:rPr>
          <w:rFonts w:eastAsia="Calibri"/>
          <w:sz w:val="22"/>
          <w:szCs w:val="22"/>
          <w:lang w:eastAsia="en-US"/>
        </w:rPr>
        <w:t>сти страховым компаниям только натуральное возмещение (ремонт автотранспортного средства) при наличии полиса ОСАГО, и введ</w:t>
      </w:r>
      <w:r w:rsidRPr="00787EA7">
        <w:rPr>
          <w:rFonts w:eastAsia="Calibri"/>
          <w:sz w:val="22"/>
          <w:szCs w:val="22"/>
          <w:lang w:eastAsia="en-US"/>
        </w:rPr>
        <w:t>е</w:t>
      </w:r>
      <w:r w:rsidRPr="00787EA7">
        <w:rPr>
          <w:rFonts w:eastAsia="Calibri"/>
          <w:sz w:val="22"/>
          <w:szCs w:val="22"/>
          <w:lang w:eastAsia="en-US"/>
        </w:rPr>
        <w:t>ние вводных знаков и QR-кода на полисах ОСАГО.</w:t>
      </w:r>
    </w:p>
    <w:p w:rsidR="00724342" w:rsidRPr="00787EA7" w:rsidRDefault="00724342" w:rsidP="00724342">
      <w:pPr>
        <w:jc w:val="center"/>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widowControl w:val="0"/>
        <w:suppressAutoHyphens/>
        <w:ind w:firstLine="426"/>
        <w:contextualSpacing/>
        <w:jc w:val="both"/>
        <w:rPr>
          <w:rFonts w:eastAsia="Calibri"/>
          <w:sz w:val="22"/>
          <w:szCs w:val="22"/>
          <w:lang w:eastAsia="en-US"/>
        </w:rPr>
      </w:pPr>
      <w:r w:rsidRPr="00787EA7">
        <w:rPr>
          <w:rFonts w:eastAsia="Calibri"/>
          <w:sz w:val="22"/>
          <w:szCs w:val="22"/>
          <w:lang w:eastAsia="en-US"/>
        </w:rPr>
        <w:t>1. Бойко Е. А. Развитие страхового рынка Краснодарского края / Е.А.Бойко, Л.К.Улыбина  // В сборнике: НАУЧНОЕ ОБЕСПЕЧЕНИЕ АГРОПРОМЫШЛЕННОГО КОМПЛЕКСА сборник статей по материалам 71-й научно-практической конференции студентов по итогам НИР за 2015 год. Министерство сельского хозяйства РФ; ФГБОУ ВО «Кубанский государственный аграрный университет имени И.Т. Трубилина». 2016. – С. 504-506.</w:t>
      </w:r>
    </w:p>
    <w:p w:rsidR="00724342" w:rsidRPr="00787EA7" w:rsidRDefault="00724342" w:rsidP="00724342">
      <w:pPr>
        <w:widowControl w:val="0"/>
        <w:suppressAutoHyphens/>
        <w:ind w:firstLine="426"/>
        <w:contextualSpacing/>
        <w:jc w:val="both"/>
        <w:rPr>
          <w:rFonts w:eastAsia="Calibri"/>
          <w:sz w:val="22"/>
          <w:szCs w:val="22"/>
          <w:lang w:eastAsia="en-US"/>
        </w:rPr>
      </w:pPr>
      <w:r w:rsidRPr="00787EA7">
        <w:rPr>
          <w:rFonts w:eastAsia="Calibri"/>
          <w:sz w:val="22"/>
          <w:szCs w:val="22"/>
          <w:lang w:eastAsia="en-US"/>
        </w:rPr>
        <w:t xml:space="preserve">2. Окорокова О. А. Институциональное развитие и финансовая устойчивость институтов страхового рынка России / О.А.Окорокова, Л.К.Улыбина // В сборнике: </w:t>
      </w:r>
      <w:r w:rsidRPr="00787EA7">
        <w:rPr>
          <w:rFonts w:eastAsia="Calibri"/>
          <w:sz w:val="22"/>
          <w:szCs w:val="22"/>
          <w:lang w:val="en-US" w:eastAsia="en-US"/>
        </w:rPr>
        <w:t>SCIENCE</w:t>
      </w:r>
      <w:r w:rsidRPr="00787EA7">
        <w:rPr>
          <w:rFonts w:eastAsia="Calibri"/>
          <w:sz w:val="22"/>
          <w:szCs w:val="22"/>
          <w:lang w:eastAsia="en-US"/>
        </w:rPr>
        <w:t xml:space="preserve">, </w:t>
      </w:r>
      <w:r w:rsidRPr="00787EA7">
        <w:rPr>
          <w:rFonts w:eastAsia="Calibri"/>
          <w:sz w:val="22"/>
          <w:szCs w:val="22"/>
          <w:lang w:val="en-US" w:eastAsia="en-US"/>
        </w:rPr>
        <w:t>TECHNOLOGYANDLIFE</w:t>
      </w:r>
      <w:r w:rsidRPr="00787EA7">
        <w:rPr>
          <w:rFonts w:eastAsia="Calibri"/>
          <w:sz w:val="22"/>
          <w:szCs w:val="22"/>
          <w:lang w:eastAsia="en-US"/>
        </w:rPr>
        <w:t xml:space="preserve"> - 2014 </w:t>
      </w:r>
      <w:r w:rsidRPr="00787EA7">
        <w:rPr>
          <w:rFonts w:eastAsia="Calibri"/>
          <w:sz w:val="22"/>
          <w:szCs w:val="22"/>
          <w:lang w:val="en-US" w:eastAsia="en-US"/>
        </w:rPr>
        <w:t>Proceedingsoftheinternationalscientificconference</w:t>
      </w:r>
      <w:r w:rsidRPr="00787EA7">
        <w:rPr>
          <w:rFonts w:eastAsia="Calibri"/>
          <w:sz w:val="22"/>
          <w:szCs w:val="22"/>
          <w:lang w:eastAsia="en-US"/>
        </w:rPr>
        <w:t xml:space="preserve">. </w:t>
      </w:r>
      <w:r w:rsidRPr="00787EA7">
        <w:rPr>
          <w:rFonts w:eastAsia="Calibri"/>
          <w:sz w:val="22"/>
          <w:szCs w:val="22"/>
          <w:lang w:val="en-US" w:eastAsia="en-US"/>
        </w:rPr>
        <w:t>Editors</w:t>
      </w:r>
      <w:r w:rsidRPr="00787EA7">
        <w:rPr>
          <w:rFonts w:eastAsia="Calibri"/>
          <w:sz w:val="22"/>
          <w:szCs w:val="22"/>
          <w:lang w:eastAsia="en-US"/>
        </w:rPr>
        <w:t xml:space="preserve"> </w:t>
      </w:r>
      <w:r w:rsidRPr="00787EA7">
        <w:rPr>
          <w:rFonts w:eastAsia="Calibri"/>
          <w:sz w:val="22"/>
          <w:szCs w:val="22"/>
          <w:lang w:val="en-US" w:eastAsia="en-US"/>
        </w:rPr>
        <w:t>V</w:t>
      </w:r>
      <w:r w:rsidRPr="00787EA7">
        <w:rPr>
          <w:rFonts w:eastAsia="Calibri"/>
          <w:sz w:val="22"/>
          <w:szCs w:val="22"/>
          <w:lang w:eastAsia="en-US"/>
        </w:rPr>
        <w:t>.</w:t>
      </w:r>
      <w:r w:rsidRPr="00787EA7">
        <w:rPr>
          <w:rFonts w:eastAsia="Calibri"/>
          <w:sz w:val="22"/>
          <w:szCs w:val="22"/>
          <w:lang w:val="en-US" w:eastAsia="en-US"/>
        </w:rPr>
        <w:t>A</w:t>
      </w:r>
      <w:r w:rsidRPr="00787EA7">
        <w:rPr>
          <w:rFonts w:eastAsia="Calibri"/>
          <w:sz w:val="22"/>
          <w:szCs w:val="22"/>
          <w:lang w:eastAsia="en-US"/>
        </w:rPr>
        <w:t xml:space="preserve">. </w:t>
      </w:r>
      <w:r w:rsidRPr="00787EA7">
        <w:rPr>
          <w:rFonts w:eastAsia="Calibri"/>
          <w:sz w:val="22"/>
          <w:szCs w:val="22"/>
          <w:lang w:val="en-US" w:eastAsia="en-US"/>
        </w:rPr>
        <w:t>Iljuhina</w:t>
      </w:r>
      <w:r w:rsidRPr="00787EA7">
        <w:rPr>
          <w:rFonts w:eastAsia="Calibri"/>
          <w:sz w:val="22"/>
          <w:szCs w:val="22"/>
          <w:lang w:eastAsia="en-US"/>
        </w:rPr>
        <w:t>,</w:t>
      </w:r>
      <w:r w:rsidRPr="00787EA7">
        <w:rPr>
          <w:rFonts w:eastAsia="Calibri"/>
          <w:sz w:val="22"/>
          <w:szCs w:val="22"/>
          <w:lang w:val="en-US" w:eastAsia="en-US"/>
        </w:rPr>
        <w:t>V</w:t>
      </w:r>
      <w:r w:rsidRPr="00787EA7">
        <w:rPr>
          <w:rFonts w:eastAsia="Calibri"/>
          <w:sz w:val="22"/>
          <w:szCs w:val="22"/>
          <w:lang w:eastAsia="en-US"/>
        </w:rPr>
        <w:t>.</w:t>
      </w:r>
      <w:r w:rsidRPr="00787EA7">
        <w:rPr>
          <w:rFonts w:eastAsia="Calibri"/>
          <w:sz w:val="22"/>
          <w:szCs w:val="22"/>
          <w:lang w:val="en-US" w:eastAsia="en-US"/>
        </w:rPr>
        <w:t>I</w:t>
      </w:r>
      <w:r w:rsidRPr="00787EA7">
        <w:rPr>
          <w:rFonts w:eastAsia="Calibri"/>
          <w:sz w:val="22"/>
          <w:szCs w:val="22"/>
          <w:lang w:eastAsia="en-US"/>
        </w:rPr>
        <w:t xml:space="preserve">. </w:t>
      </w:r>
      <w:r w:rsidRPr="00787EA7">
        <w:rPr>
          <w:rFonts w:eastAsia="Calibri"/>
          <w:sz w:val="22"/>
          <w:szCs w:val="22"/>
          <w:lang w:val="en-US" w:eastAsia="en-US"/>
        </w:rPr>
        <w:t>Zhukovskij</w:t>
      </w:r>
      <w:r w:rsidRPr="00787EA7">
        <w:rPr>
          <w:rFonts w:eastAsia="Calibri"/>
          <w:sz w:val="22"/>
          <w:szCs w:val="22"/>
          <w:lang w:eastAsia="en-US"/>
        </w:rPr>
        <w:t xml:space="preserve">, </w:t>
      </w:r>
      <w:r w:rsidRPr="00787EA7">
        <w:rPr>
          <w:rFonts w:eastAsia="Calibri"/>
          <w:sz w:val="22"/>
          <w:szCs w:val="22"/>
          <w:lang w:val="en-US" w:eastAsia="en-US"/>
        </w:rPr>
        <w:t>N</w:t>
      </w:r>
      <w:r w:rsidRPr="00787EA7">
        <w:rPr>
          <w:rFonts w:eastAsia="Calibri"/>
          <w:sz w:val="22"/>
          <w:szCs w:val="22"/>
          <w:lang w:eastAsia="en-US"/>
        </w:rPr>
        <w:t>.</w:t>
      </w:r>
      <w:r w:rsidRPr="00787EA7">
        <w:rPr>
          <w:rFonts w:eastAsia="Calibri"/>
          <w:sz w:val="22"/>
          <w:szCs w:val="22"/>
          <w:lang w:val="en-US" w:eastAsia="en-US"/>
        </w:rPr>
        <w:t>P</w:t>
      </w:r>
      <w:r w:rsidRPr="00787EA7">
        <w:rPr>
          <w:rFonts w:eastAsia="Calibri"/>
          <w:sz w:val="22"/>
          <w:szCs w:val="22"/>
          <w:lang w:eastAsia="en-US"/>
        </w:rPr>
        <w:t xml:space="preserve">. </w:t>
      </w:r>
      <w:r w:rsidRPr="00787EA7">
        <w:rPr>
          <w:rFonts w:eastAsia="Calibri"/>
          <w:sz w:val="22"/>
          <w:szCs w:val="22"/>
          <w:lang w:val="en-US" w:eastAsia="en-US"/>
        </w:rPr>
        <w:t>Ketova</w:t>
      </w:r>
      <w:r w:rsidRPr="00787EA7">
        <w:rPr>
          <w:rFonts w:eastAsia="Calibri"/>
          <w:sz w:val="22"/>
          <w:szCs w:val="22"/>
          <w:lang w:eastAsia="en-US"/>
        </w:rPr>
        <w:t xml:space="preserve">, </w:t>
      </w:r>
      <w:r w:rsidRPr="00787EA7">
        <w:rPr>
          <w:rFonts w:eastAsia="Calibri"/>
          <w:sz w:val="22"/>
          <w:szCs w:val="22"/>
          <w:lang w:val="en-US" w:eastAsia="en-US"/>
        </w:rPr>
        <w:t>A</w:t>
      </w:r>
      <w:r w:rsidRPr="00787EA7">
        <w:rPr>
          <w:rFonts w:eastAsia="Calibri"/>
          <w:sz w:val="22"/>
          <w:szCs w:val="22"/>
          <w:lang w:eastAsia="en-US"/>
        </w:rPr>
        <w:t>.</w:t>
      </w:r>
      <w:r w:rsidRPr="00787EA7">
        <w:rPr>
          <w:rFonts w:eastAsia="Calibri"/>
          <w:sz w:val="22"/>
          <w:szCs w:val="22"/>
          <w:lang w:val="en-US" w:eastAsia="en-US"/>
        </w:rPr>
        <w:t>M</w:t>
      </w:r>
      <w:r w:rsidRPr="00787EA7">
        <w:rPr>
          <w:rFonts w:eastAsia="Calibri"/>
          <w:sz w:val="22"/>
          <w:szCs w:val="22"/>
          <w:lang w:eastAsia="en-US"/>
        </w:rPr>
        <w:t xml:space="preserve">. </w:t>
      </w:r>
      <w:r w:rsidRPr="00787EA7">
        <w:rPr>
          <w:rFonts w:eastAsia="Calibri"/>
          <w:sz w:val="22"/>
          <w:szCs w:val="22"/>
          <w:lang w:val="en-US" w:eastAsia="en-US"/>
        </w:rPr>
        <w:t>Gazaliev</w:t>
      </w:r>
      <w:r w:rsidRPr="00787EA7">
        <w:rPr>
          <w:rFonts w:eastAsia="Calibri"/>
          <w:sz w:val="22"/>
          <w:szCs w:val="22"/>
          <w:lang w:eastAsia="en-US"/>
        </w:rPr>
        <w:t xml:space="preserve">, </w:t>
      </w:r>
      <w:r w:rsidRPr="00787EA7">
        <w:rPr>
          <w:rFonts w:eastAsia="Calibri"/>
          <w:sz w:val="22"/>
          <w:szCs w:val="22"/>
          <w:lang w:val="en-US" w:eastAsia="en-US"/>
        </w:rPr>
        <w:t>G</w:t>
      </w:r>
      <w:r w:rsidRPr="00787EA7">
        <w:rPr>
          <w:rFonts w:eastAsia="Calibri"/>
          <w:sz w:val="22"/>
          <w:szCs w:val="22"/>
          <w:lang w:eastAsia="en-US"/>
        </w:rPr>
        <w:t>.</w:t>
      </w:r>
      <w:r w:rsidRPr="00787EA7">
        <w:rPr>
          <w:rFonts w:eastAsia="Calibri"/>
          <w:sz w:val="22"/>
          <w:szCs w:val="22"/>
          <w:lang w:val="en-US" w:eastAsia="en-US"/>
        </w:rPr>
        <w:t>S</w:t>
      </w:r>
      <w:r w:rsidRPr="00787EA7">
        <w:rPr>
          <w:rFonts w:eastAsia="Calibri"/>
          <w:sz w:val="22"/>
          <w:szCs w:val="22"/>
          <w:lang w:eastAsia="en-US"/>
        </w:rPr>
        <w:t>.</w:t>
      </w:r>
      <w:r w:rsidRPr="00787EA7">
        <w:rPr>
          <w:rFonts w:eastAsia="Calibri"/>
          <w:sz w:val="22"/>
          <w:szCs w:val="22"/>
          <w:lang w:val="en-US" w:eastAsia="en-US"/>
        </w:rPr>
        <w:t>Mal</w:t>
      </w:r>
      <w:r w:rsidRPr="00787EA7">
        <w:rPr>
          <w:rFonts w:eastAsia="Calibri"/>
          <w:sz w:val="22"/>
          <w:szCs w:val="22"/>
          <w:lang w:eastAsia="en-US"/>
        </w:rPr>
        <w:t>'. 2015. – С. 549-557.</w:t>
      </w:r>
    </w:p>
    <w:p w:rsidR="00724342" w:rsidRPr="00787EA7" w:rsidRDefault="00724342" w:rsidP="00724342">
      <w:pPr>
        <w:widowControl w:val="0"/>
        <w:suppressAutoHyphens/>
        <w:ind w:firstLine="426"/>
        <w:contextualSpacing/>
        <w:jc w:val="both"/>
        <w:rPr>
          <w:rFonts w:eastAsia="Calibri"/>
          <w:sz w:val="22"/>
          <w:szCs w:val="22"/>
          <w:lang w:eastAsia="en-US"/>
        </w:rPr>
      </w:pPr>
      <w:r w:rsidRPr="00787EA7">
        <w:rPr>
          <w:rFonts w:eastAsia="Calibri"/>
          <w:sz w:val="22"/>
          <w:szCs w:val="22"/>
          <w:lang w:eastAsia="en-US"/>
        </w:rPr>
        <w:t>3. Улыбина Л. К. Анализ современного состояния и тенденции развития страхового рынка Краснодарского края / Л.К.Улыбина, П.А.Максименко // Экономика и предпринимательство. 2015. – № 12-1 (65-1). – С. 393-398.</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4. Улыбина Л. К. Роль институтов страхового рынка в экон</w:t>
      </w:r>
      <w:r w:rsidRPr="00787EA7">
        <w:rPr>
          <w:rFonts w:eastAsia="Calibri"/>
          <w:sz w:val="22"/>
          <w:szCs w:val="22"/>
          <w:lang w:eastAsia="en-US"/>
        </w:rPr>
        <w:t>о</w:t>
      </w:r>
      <w:r w:rsidRPr="00787EA7">
        <w:rPr>
          <w:rFonts w:eastAsia="Calibri"/>
          <w:sz w:val="22"/>
          <w:szCs w:val="22"/>
          <w:lang w:eastAsia="en-US"/>
        </w:rPr>
        <w:t>мике / Л.К.Улыбина, О.А.Окорокова // В мире научных открытий. 2014. – № 11.4 (59). – С. 1464-1483.</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5. Улыбина Л. К. Страховой рынок России: оценка индикаторов и перспектив развития / Л.К.Улыбина, О.А.Окорокова, Г.А.Ваньян// Экономика и предпринимательство. 2013. – № 7 (36). – С. 64-68.</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6. Улыбина Л. К. Трансформация страхового рынка: проблемы, тенденции, перспективы / Л.К.Улыбина // Экономические науки. 2012. № 86. С. 227-235.</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7. Улыбина Л. К. Инвестиционный потенциал страхового се</w:t>
      </w:r>
      <w:r w:rsidRPr="00787EA7">
        <w:rPr>
          <w:rFonts w:eastAsia="Calibri"/>
          <w:sz w:val="22"/>
          <w:szCs w:val="22"/>
          <w:lang w:eastAsia="en-US"/>
        </w:rPr>
        <w:t>к</w:t>
      </w:r>
      <w:r w:rsidRPr="00787EA7">
        <w:rPr>
          <w:rFonts w:eastAsia="Calibri"/>
          <w:sz w:val="22"/>
          <w:szCs w:val="22"/>
          <w:lang w:eastAsia="en-US"/>
        </w:rPr>
        <w:t xml:space="preserve">тора финансового рынка / Л.К.Улыбина // </w:t>
      </w:r>
      <w:r w:rsidRPr="00787EA7">
        <w:rPr>
          <w:rFonts w:eastAsia="Calibri"/>
          <w:sz w:val="22"/>
          <w:szCs w:val="22"/>
          <w:lang w:val="en-US" w:eastAsia="en-US"/>
        </w:rPr>
        <w:t>TerraEconomicus</w:t>
      </w:r>
      <w:r w:rsidRPr="00787EA7">
        <w:rPr>
          <w:rFonts w:eastAsia="Calibri"/>
          <w:sz w:val="22"/>
          <w:szCs w:val="22"/>
          <w:lang w:eastAsia="en-US"/>
        </w:rPr>
        <w:t>. 2012. – Т. 10. № 1-3. – С. 80–83.</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lastRenderedPageBreak/>
        <w:t xml:space="preserve">8. </w:t>
      </w:r>
      <w:r w:rsidRPr="00787EA7">
        <w:rPr>
          <w:rFonts w:eastAsia="Calibri"/>
          <w:sz w:val="22"/>
          <w:szCs w:val="22"/>
          <w:lang w:val="en-US" w:eastAsia="en-US"/>
        </w:rPr>
        <w:t>http</w:t>
      </w:r>
      <w:r w:rsidRPr="00787EA7">
        <w:rPr>
          <w:rFonts w:eastAsia="Calibri"/>
          <w:sz w:val="22"/>
          <w:szCs w:val="22"/>
          <w:lang w:eastAsia="en-US"/>
        </w:rPr>
        <w:t>://</w:t>
      </w:r>
      <w:r w:rsidRPr="00787EA7">
        <w:rPr>
          <w:rFonts w:eastAsia="Calibri"/>
          <w:sz w:val="22"/>
          <w:szCs w:val="22"/>
          <w:lang w:val="en-US" w:eastAsia="en-US"/>
        </w:rPr>
        <w:t>www</w:t>
      </w:r>
      <w:r w:rsidRPr="00787EA7">
        <w:rPr>
          <w:rFonts w:eastAsia="Calibri"/>
          <w:sz w:val="22"/>
          <w:szCs w:val="22"/>
          <w:lang w:eastAsia="en-US"/>
        </w:rPr>
        <w:t>.</w:t>
      </w:r>
      <w:r w:rsidRPr="00787EA7">
        <w:rPr>
          <w:rFonts w:eastAsia="Calibri"/>
          <w:sz w:val="22"/>
          <w:szCs w:val="22"/>
          <w:lang w:val="en-US" w:eastAsia="en-US"/>
        </w:rPr>
        <w:t>rustrahovka</w:t>
      </w:r>
      <w:r w:rsidRPr="00787EA7">
        <w:rPr>
          <w:rFonts w:eastAsia="Calibri"/>
          <w:sz w:val="22"/>
          <w:szCs w:val="22"/>
          <w:lang w:eastAsia="en-US"/>
        </w:rPr>
        <w:t>.</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news</w:t>
      </w:r>
      <w:r w:rsidRPr="00787EA7">
        <w:rPr>
          <w:rFonts w:eastAsia="Calibri"/>
          <w:sz w:val="22"/>
          <w:szCs w:val="22"/>
          <w:lang w:eastAsia="en-US"/>
        </w:rPr>
        <w:t>/</w:t>
      </w:r>
      <w:r w:rsidRPr="00787EA7">
        <w:rPr>
          <w:rFonts w:eastAsia="Calibri"/>
          <w:sz w:val="22"/>
          <w:szCs w:val="22"/>
          <w:lang w:val="en-US" w:eastAsia="en-US"/>
        </w:rPr>
        <w:t>insurance</w:t>
      </w:r>
      <w:r w:rsidRPr="00787EA7">
        <w:rPr>
          <w:rFonts w:eastAsia="Calibri"/>
          <w:sz w:val="22"/>
          <w:szCs w:val="22"/>
          <w:lang w:eastAsia="en-US"/>
        </w:rPr>
        <w:t>/</w:t>
      </w:r>
      <w:r w:rsidRPr="00787EA7">
        <w:rPr>
          <w:rFonts w:eastAsia="Calibri"/>
          <w:sz w:val="22"/>
          <w:szCs w:val="22"/>
          <w:lang w:val="en-US" w:eastAsia="en-US"/>
        </w:rPr>
        <w:t>detail</w:t>
      </w:r>
      <w:r w:rsidRPr="00787EA7">
        <w:rPr>
          <w:rFonts w:eastAsia="Calibri"/>
          <w:sz w:val="22"/>
          <w:szCs w:val="22"/>
          <w:lang w:eastAsia="en-US"/>
        </w:rPr>
        <w:t>.</w:t>
      </w:r>
      <w:r w:rsidRPr="00787EA7">
        <w:rPr>
          <w:rFonts w:eastAsia="Calibri"/>
          <w:sz w:val="22"/>
          <w:szCs w:val="22"/>
          <w:lang w:val="en-US" w:eastAsia="en-US"/>
        </w:rPr>
        <w:t>php</w:t>
      </w:r>
      <w:r w:rsidRPr="00787EA7">
        <w:rPr>
          <w:rFonts w:eastAsia="Calibri"/>
          <w:sz w:val="22"/>
          <w:szCs w:val="22"/>
          <w:lang w:eastAsia="en-US"/>
        </w:rPr>
        <w:t>?</w:t>
      </w:r>
      <w:r w:rsidRPr="00787EA7">
        <w:rPr>
          <w:rFonts w:eastAsia="Calibri"/>
          <w:sz w:val="22"/>
          <w:szCs w:val="22"/>
          <w:lang w:val="en-US" w:eastAsia="en-US"/>
        </w:rPr>
        <w:t>ID</w:t>
      </w:r>
      <w:r w:rsidRPr="00787EA7">
        <w:rPr>
          <w:rFonts w:eastAsia="Calibri"/>
          <w:sz w:val="22"/>
          <w:szCs w:val="22"/>
          <w:lang w:eastAsia="en-US"/>
        </w:rPr>
        <w:t>=55065</w:t>
      </w:r>
    </w:p>
    <w:p w:rsidR="00724342" w:rsidRPr="00787EA7" w:rsidRDefault="00724342" w:rsidP="00724342">
      <w:pPr>
        <w:ind w:firstLine="426"/>
        <w:jc w:val="both"/>
        <w:outlineLvl w:val="0"/>
        <w:rPr>
          <w:rFonts w:eastAsia="Calibri"/>
          <w:sz w:val="22"/>
          <w:szCs w:val="22"/>
          <w:lang w:eastAsia="en-US"/>
        </w:rPr>
      </w:pPr>
      <w:r w:rsidRPr="00787EA7">
        <w:rPr>
          <w:rFonts w:eastAsia="Calibri"/>
          <w:sz w:val="22"/>
          <w:szCs w:val="22"/>
          <w:lang w:eastAsia="en-US"/>
        </w:rPr>
        <w:t>9. https://regnum.ru/news/2383476.html</w:t>
      </w:r>
    </w:p>
    <w:p w:rsidR="003F3918" w:rsidRPr="007543A3" w:rsidRDefault="00724342" w:rsidP="003F3918">
      <w:pPr>
        <w:ind w:firstLine="426"/>
        <w:jc w:val="both"/>
        <w:rPr>
          <w:rFonts w:eastAsia="Calibri"/>
          <w:sz w:val="22"/>
          <w:szCs w:val="22"/>
          <w:lang w:eastAsia="en-US"/>
        </w:rPr>
      </w:pPr>
      <w:r w:rsidRPr="00787EA7">
        <w:rPr>
          <w:rFonts w:eastAsia="Calibri"/>
          <w:sz w:val="22"/>
          <w:szCs w:val="22"/>
          <w:lang w:eastAsia="en-US"/>
        </w:rPr>
        <w:t xml:space="preserve">10. </w:t>
      </w:r>
      <w:hyperlink r:id="rId201" w:history="1">
        <w:r w:rsidRPr="007543A3">
          <w:rPr>
            <w:rFonts w:eastAsia="Calibri"/>
            <w:sz w:val="22"/>
            <w:szCs w:val="22"/>
            <w:lang w:eastAsia="en-US"/>
          </w:rPr>
          <w:t>https://www.zr.ru/content/news/910945-rejting-regionov/</w:t>
        </w:r>
      </w:hyperlink>
    </w:p>
    <w:p w:rsidR="003F3918" w:rsidRDefault="003F3918" w:rsidP="003F3918">
      <w:pPr>
        <w:jc w:val="both"/>
        <w:rPr>
          <w:rFonts w:eastAsia="Calibri"/>
          <w:sz w:val="22"/>
          <w:szCs w:val="22"/>
          <w:lang w:eastAsia="en-US"/>
        </w:rPr>
      </w:pPr>
    </w:p>
    <w:p w:rsidR="007543A3" w:rsidRDefault="007543A3" w:rsidP="007543A3">
      <w:pPr>
        <w:rPr>
          <w:rFonts w:eastAsia="Calibri"/>
          <w:sz w:val="22"/>
          <w:szCs w:val="22"/>
          <w:lang w:eastAsia="en-US"/>
        </w:rPr>
      </w:pPr>
    </w:p>
    <w:p w:rsidR="00CE4C84" w:rsidRDefault="00CE4C84" w:rsidP="007543A3">
      <w:pPr>
        <w:rPr>
          <w:rFonts w:eastAsia="Calibri"/>
          <w:sz w:val="22"/>
          <w:szCs w:val="22"/>
          <w:lang w:eastAsia="en-US"/>
        </w:rPr>
      </w:pPr>
    </w:p>
    <w:p w:rsidR="00724342" w:rsidRPr="003F3918" w:rsidRDefault="00724342" w:rsidP="003F3918">
      <w:pPr>
        <w:jc w:val="both"/>
        <w:rPr>
          <w:rFonts w:eastAsia="Calibri"/>
          <w:sz w:val="22"/>
          <w:szCs w:val="22"/>
          <w:lang w:eastAsia="en-US"/>
        </w:rPr>
      </w:pPr>
      <w:r w:rsidRPr="003F3918">
        <w:rPr>
          <w:rFonts w:eastAsia="Calibri"/>
          <w:sz w:val="22"/>
          <w:szCs w:val="22"/>
          <w:lang w:eastAsia="en-US"/>
        </w:rPr>
        <w:t>УДК 368.97</w:t>
      </w:r>
    </w:p>
    <w:p w:rsidR="00724342" w:rsidRPr="00787EA7" w:rsidRDefault="00724342" w:rsidP="00724342">
      <w:pPr>
        <w:ind w:firstLine="425"/>
        <w:contextualSpacing/>
        <w:rPr>
          <w:rFonts w:eastAsia="Calibri"/>
          <w:sz w:val="24"/>
          <w:szCs w:val="24"/>
          <w:lang w:eastAsia="en-US"/>
        </w:rPr>
      </w:pPr>
    </w:p>
    <w:p w:rsidR="00724342" w:rsidRPr="00787EA7" w:rsidRDefault="00724342" w:rsidP="00724342">
      <w:pPr>
        <w:ind w:firstLine="425"/>
        <w:contextualSpacing/>
        <w:jc w:val="center"/>
        <w:outlineLvl w:val="0"/>
        <w:rPr>
          <w:rFonts w:eastAsia="Calibri"/>
          <w:b/>
          <w:bCs/>
          <w:sz w:val="24"/>
          <w:szCs w:val="24"/>
          <w:lang w:eastAsia="en-US"/>
        </w:rPr>
      </w:pPr>
      <w:r w:rsidRPr="00787EA7">
        <w:rPr>
          <w:rFonts w:eastAsia="Calibri"/>
          <w:b/>
          <w:bCs/>
          <w:sz w:val="24"/>
          <w:szCs w:val="24"/>
          <w:lang w:eastAsia="en-US"/>
        </w:rPr>
        <w:t>Страхование как важнейший элемент сферы туризма</w:t>
      </w:r>
    </w:p>
    <w:p w:rsidR="00724342" w:rsidRPr="00787EA7" w:rsidRDefault="00724342" w:rsidP="00724342">
      <w:pPr>
        <w:ind w:firstLine="425"/>
        <w:contextualSpacing/>
        <w:jc w:val="center"/>
        <w:rPr>
          <w:rFonts w:eastAsia="Calibri"/>
          <w:b/>
          <w:bCs/>
          <w:sz w:val="24"/>
          <w:szCs w:val="24"/>
          <w:lang w:val="en-US" w:eastAsia="en-US"/>
        </w:rPr>
      </w:pPr>
      <w:r w:rsidRPr="00787EA7">
        <w:rPr>
          <w:rFonts w:eastAsia="Calibri"/>
          <w:b/>
          <w:bCs/>
          <w:sz w:val="24"/>
          <w:szCs w:val="24"/>
          <w:lang w:val="en-US" w:eastAsia="en-US"/>
        </w:rPr>
        <w:t>Insurance as an essential element of tourism</w:t>
      </w:r>
    </w:p>
    <w:p w:rsidR="00724342" w:rsidRPr="00787EA7" w:rsidRDefault="00724342" w:rsidP="00724342">
      <w:pPr>
        <w:ind w:firstLine="425"/>
        <w:contextualSpacing/>
        <w:jc w:val="center"/>
        <w:rPr>
          <w:rFonts w:eastAsia="Calibri"/>
          <w:sz w:val="24"/>
          <w:szCs w:val="24"/>
          <w:lang w:val="en-US" w:eastAsia="en-US"/>
        </w:rPr>
      </w:pPr>
    </w:p>
    <w:p w:rsidR="00724342" w:rsidRPr="003F3918" w:rsidRDefault="00724342" w:rsidP="00724342">
      <w:pPr>
        <w:ind w:firstLine="425"/>
        <w:contextualSpacing/>
        <w:jc w:val="right"/>
        <w:rPr>
          <w:rFonts w:eastAsia="Calibri"/>
          <w:sz w:val="22"/>
          <w:szCs w:val="22"/>
          <w:lang w:eastAsia="en-US"/>
        </w:rPr>
      </w:pPr>
      <w:r w:rsidRPr="003F3918">
        <w:rPr>
          <w:rFonts w:eastAsia="Calibri"/>
          <w:sz w:val="22"/>
          <w:szCs w:val="22"/>
          <w:lang w:eastAsia="en-US"/>
        </w:rPr>
        <w:t>Гончарова Е.</w:t>
      </w:r>
      <w:r w:rsidR="003F3918" w:rsidRPr="003F3918">
        <w:rPr>
          <w:rFonts w:eastAsia="Calibri"/>
          <w:sz w:val="22"/>
          <w:szCs w:val="22"/>
          <w:lang w:eastAsia="en-US"/>
        </w:rPr>
        <w:t xml:space="preserve"> </w:t>
      </w:r>
      <w:r w:rsidRPr="003F3918">
        <w:rPr>
          <w:rFonts w:eastAsia="Calibri"/>
          <w:sz w:val="22"/>
          <w:szCs w:val="22"/>
          <w:lang w:eastAsia="en-US"/>
        </w:rPr>
        <w:t>С.</w:t>
      </w:r>
      <w:r w:rsidR="003F3918" w:rsidRPr="003F3918">
        <w:rPr>
          <w:rFonts w:eastAsia="Calibri"/>
          <w:sz w:val="22"/>
          <w:szCs w:val="22"/>
          <w:lang w:eastAsia="en-US"/>
        </w:rPr>
        <w:t>,</w:t>
      </w:r>
    </w:p>
    <w:p w:rsidR="00724342" w:rsidRPr="003F3918" w:rsidRDefault="00724342" w:rsidP="00724342">
      <w:pPr>
        <w:ind w:firstLine="425"/>
        <w:contextualSpacing/>
        <w:jc w:val="right"/>
        <w:rPr>
          <w:rFonts w:eastAsia="Calibri"/>
          <w:sz w:val="22"/>
          <w:szCs w:val="22"/>
          <w:lang w:eastAsia="en-US"/>
        </w:rPr>
      </w:pPr>
      <w:r w:rsidRPr="003F3918">
        <w:rPr>
          <w:rFonts w:eastAsia="Calibri"/>
          <w:sz w:val="22"/>
          <w:szCs w:val="22"/>
          <w:lang w:eastAsia="en-US"/>
        </w:rPr>
        <w:t>студент 4-го курсы факультета «Финансы и кредит»</w:t>
      </w:r>
    </w:p>
    <w:p w:rsidR="00724342" w:rsidRPr="003F3918" w:rsidRDefault="00724342" w:rsidP="00724342">
      <w:pPr>
        <w:autoSpaceDE w:val="0"/>
        <w:autoSpaceDN w:val="0"/>
        <w:adjustRightInd w:val="0"/>
        <w:ind w:firstLine="425"/>
        <w:contextualSpacing/>
        <w:jc w:val="right"/>
        <w:outlineLvl w:val="0"/>
        <w:rPr>
          <w:rFonts w:eastAsia="Calibri"/>
          <w:sz w:val="22"/>
          <w:szCs w:val="22"/>
          <w:lang w:eastAsia="en-US"/>
        </w:rPr>
      </w:pPr>
      <w:r w:rsidRPr="003F3918">
        <w:rPr>
          <w:rFonts w:eastAsia="Calibri"/>
          <w:sz w:val="22"/>
          <w:szCs w:val="22"/>
          <w:lang w:eastAsia="en-US"/>
        </w:rPr>
        <w:t>Васильченко Е.</w:t>
      </w:r>
      <w:r w:rsidR="003F3918" w:rsidRPr="003F3918">
        <w:rPr>
          <w:rFonts w:eastAsia="Calibri"/>
          <w:sz w:val="22"/>
          <w:szCs w:val="22"/>
          <w:lang w:eastAsia="en-US"/>
        </w:rPr>
        <w:t xml:space="preserve"> </w:t>
      </w:r>
      <w:r w:rsidRPr="003F3918">
        <w:rPr>
          <w:rFonts w:eastAsia="Calibri"/>
          <w:sz w:val="22"/>
          <w:szCs w:val="22"/>
          <w:lang w:eastAsia="en-US"/>
        </w:rPr>
        <w:t>И</w:t>
      </w:r>
      <w:r w:rsidR="003F3918" w:rsidRPr="003F3918">
        <w:rPr>
          <w:rFonts w:eastAsia="Calibri"/>
          <w:sz w:val="22"/>
          <w:szCs w:val="22"/>
          <w:lang w:eastAsia="en-US"/>
        </w:rPr>
        <w:t>.,</w:t>
      </w:r>
    </w:p>
    <w:p w:rsidR="00724342" w:rsidRPr="003F3918" w:rsidRDefault="00724342" w:rsidP="00724342">
      <w:pPr>
        <w:autoSpaceDE w:val="0"/>
        <w:autoSpaceDN w:val="0"/>
        <w:adjustRightInd w:val="0"/>
        <w:ind w:firstLine="425"/>
        <w:contextualSpacing/>
        <w:jc w:val="right"/>
        <w:rPr>
          <w:rFonts w:eastAsia="Calibri"/>
          <w:sz w:val="22"/>
          <w:szCs w:val="22"/>
          <w:lang w:eastAsia="en-US"/>
        </w:rPr>
      </w:pPr>
      <w:r w:rsidRPr="003F3918">
        <w:rPr>
          <w:rFonts w:eastAsia="Calibri"/>
          <w:sz w:val="22"/>
          <w:szCs w:val="22"/>
          <w:lang w:eastAsia="en-US"/>
        </w:rPr>
        <w:t xml:space="preserve">доцент кафедры финансов </w:t>
      </w:r>
      <w:r w:rsidRPr="003F3918">
        <w:rPr>
          <w:rFonts w:eastAsia="Calibri"/>
          <w:sz w:val="22"/>
          <w:szCs w:val="22"/>
          <w:lang w:eastAsia="en-US"/>
        </w:rPr>
        <w:br/>
        <w:t>Кубанский государственный аграрный</w:t>
      </w:r>
    </w:p>
    <w:p w:rsidR="00724342" w:rsidRPr="003F3918" w:rsidRDefault="00724342" w:rsidP="003F3918">
      <w:pPr>
        <w:autoSpaceDE w:val="0"/>
        <w:autoSpaceDN w:val="0"/>
        <w:adjustRightInd w:val="0"/>
        <w:ind w:firstLine="425"/>
        <w:contextualSpacing/>
        <w:jc w:val="right"/>
        <w:rPr>
          <w:rFonts w:eastAsia="Calibri"/>
          <w:sz w:val="22"/>
          <w:szCs w:val="22"/>
          <w:lang w:eastAsia="en-US"/>
        </w:rPr>
      </w:pPr>
      <w:r w:rsidRPr="003F3918">
        <w:rPr>
          <w:rFonts w:eastAsia="Calibri"/>
          <w:sz w:val="22"/>
          <w:szCs w:val="22"/>
          <w:lang w:eastAsia="en-US"/>
        </w:rPr>
        <w:t>университет им. И.</w:t>
      </w:r>
      <w:r w:rsidR="003F3918" w:rsidRPr="003F3918">
        <w:rPr>
          <w:rFonts w:eastAsia="Calibri"/>
          <w:sz w:val="22"/>
          <w:szCs w:val="22"/>
          <w:lang w:eastAsia="en-US"/>
        </w:rPr>
        <w:t xml:space="preserve"> </w:t>
      </w:r>
      <w:r w:rsidRPr="003F3918">
        <w:rPr>
          <w:rFonts w:eastAsia="Calibri"/>
          <w:sz w:val="22"/>
          <w:szCs w:val="22"/>
          <w:lang w:eastAsia="en-US"/>
        </w:rPr>
        <w:t>Т. Трубилина</w:t>
      </w:r>
    </w:p>
    <w:p w:rsidR="00724342" w:rsidRPr="00787EA7" w:rsidRDefault="00724342" w:rsidP="003F3918">
      <w:pPr>
        <w:spacing w:line="360" w:lineRule="auto"/>
        <w:rPr>
          <w:rFonts w:eastAsia="Calibri"/>
          <w:b/>
          <w:bCs/>
          <w:sz w:val="22"/>
          <w:lang w:eastAsia="en-US"/>
        </w:rPr>
      </w:pPr>
    </w:p>
    <w:p w:rsidR="00724342" w:rsidRPr="00C56F2E" w:rsidRDefault="00724342" w:rsidP="003F3918">
      <w:pPr>
        <w:ind w:firstLine="425"/>
        <w:contextualSpacing/>
        <w:jc w:val="both"/>
        <w:rPr>
          <w:rFonts w:eastAsia="Calibri"/>
          <w:bCs/>
          <w:sz w:val="22"/>
          <w:szCs w:val="22"/>
          <w:lang w:val="en-US" w:eastAsia="en-US"/>
        </w:rPr>
      </w:pPr>
      <w:r w:rsidRPr="00787EA7">
        <w:rPr>
          <w:rFonts w:eastAsia="Calibri"/>
          <w:bCs/>
          <w:sz w:val="22"/>
          <w:szCs w:val="22"/>
          <w:lang w:eastAsia="en-US"/>
        </w:rPr>
        <w:t>АННОТАЦИЯ: Обосновывается необходимость страхования в связи с повышенными рисками в сфере туризма. Рассмотрены о</w:t>
      </w:r>
      <w:r w:rsidRPr="00787EA7">
        <w:rPr>
          <w:rFonts w:eastAsia="Calibri"/>
          <w:bCs/>
          <w:sz w:val="22"/>
          <w:szCs w:val="22"/>
          <w:lang w:eastAsia="en-US"/>
        </w:rPr>
        <w:t>с</w:t>
      </w:r>
      <w:r w:rsidRPr="00787EA7">
        <w:rPr>
          <w:rFonts w:eastAsia="Calibri"/>
          <w:bCs/>
          <w:sz w:val="22"/>
          <w:szCs w:val="22"/>
          <w:lang w:eastAsia="en-US"/>
        </w:rPr>
        <w:t>новные виды страхования граждан выезжающих за рубеж и пут</w:t>
      </w:r>
      <w:r w:rsidRPr="00787EA7">
        <w:rPr>
          <w:rFonts w:eastAsia="Calibri"/>
          <w:bCs/>
          <w:sz w:val="22"/>
          <w:szCs w:val="22"/>
          <w:lang w:eastAsia="en-US"/>
        </w:rPr>
        <w:t>е</w:t>
      </w:r>
      <w:r w:rsidRPr="00787EA7">
        <w:rPr>
          <w:rFonts w:eastAsia="Calibri"/>
          <w:bCs/>
          <w:sz w:val="22"/>
          <w:szCs w:val="22"/>
          <w:lang w:eastAsia="en-US"/>
        </w:rPr>
        <w:t>шествующих по России. А</w:t>
      </w:r>
      <w:r w:rsidRPr="00C56F2E">
        <w:rPr>
          <w:rFonts w:eastAsia="Calibri"/>
          <w:bCs/>
          <w:sz w:val="22"/>
          <w:szCs w:val="22"/>
          <w:lang w:val="en-US" w:eastAsia="en-US"/>
        </w:rPr>
        <w:t xml:space="preserve"> </w:t>
      </w:r>
      <w:r w:rsidRPr="00787EA7">
        <w:rPr>
          <w:rFonts w:eastAsia="Calibri"/>
          <w:bCs/>
          <w:sz w:val="22"/>
          <w:szCs w:val="22"/>
          <w:lang w:eastAsia="en-US"/>
        </w:rPr>
        <w:t>также</w:t>
      </w:r>
      <w:r w:rsidRPr="00C56F2E">
        <w:rPr>
          <w:rFonts w:eastAsia="Calibri"/>
          <w:bCs/>
          <w:sz w:val="22"/>
          <w:szCs w:val="22"/>
          <w:lang w:val="en-US" w:eastAsia="en-US"/>
        </w:rPr>
        <w:t xml:space="preserve"> </w:t>
      </w:r>
      <w:r w:rsidRPr="00787EA7">
        <w:rPr>
          <w:rFonts w:eastAsia="Calibri"/>
          <w:bCs/>
          <w:sz w:val="22"/>
          <w:szCs w:val="22"/>
          <w:lang w:eastAsia="en-US"/>
        </w:rPr>
        <w:t>представлены</w:t>
      </w:r>
      <w:r w:rsidRPr="00C56F2E">
        <w:rPr>
          <w:rFonts w:eastAsia="Calibri"/>
          <w:bCs/>
          <w:sz w:val="22"/>
          <w:szCs w:val="22"/>
          <w:lang w:val="en-US" w:eastAsia="en-US"/>
        </w:rPr>
        <w:t xml:space="preserve"> </w:t>
      </w:r>
      <w:r w:rsidRPr="00787EA7">
        <w:rPr>
          <w:rFonts w:eastAsia="Calibri"/>
          <w:bCs/>
          <w:sz w:val="22"/>
          <w:szCs w:val="22"/>
          <w:lang w:eastAsia="en-US"/>
        </w:rPr>
        <w:t>используемые</w:t>
      </w:r>
      <w:r w:rsidRPr="00C56F2E">
        <w:rPr>
          <w:rFonts w:eastAsia="Calibri"/>
          <w:bCs/>
          <w:sz w:val="22"/>
          <w:szCs w:val="22"/>
          <w:lang w:val="en-US" w:eastAsia="en-US"/>
        </w:rPr>
        <w:t xml:space="preserve"> </w:t>
      </w:r>
      <w:r w:rsidRPr="00787EA7">
        <w:rPr>
          <w:rFonts w:eastAsia="Calibri"/>
          <w:bCs/>
          <w:sz w:val="22"/>
          <w:szCs w:val="22"/>
          <w:lang w:eastAsia="en-US"/>
        </w:rPr>
        <w:t>сх</w:t>
      </w:r>
      <w:r w:rsidRPr="00787EA7">
        <w:rPr>
          <w:rFonts w:eastAsia="Calibri"/>
          <w:bCs/>
          <w:sz w:val="22"/>
          <w:szCs w:val="22"/>
          <w:lang w:eastAsia="en-US"/>
        </w:rPr>
        <w:t>е</w:t>
      </w:r>
      <w:r w:rsidRPr="00787EA7">
        <w:rPr>
          <w:rFonts w:eastAsia="Calibri"/>
          <w:bCs/>
          <w:sz w:val="22"/>
          <w:szCs w:val="22"/>
          <w:lang w:eastAsia="en-US"/>
        </w:rPr>
        <w:t>мы</w:t>
      </w:r>
      <w:r w:rsidRPr="00C56F2E">
        <w:rPr>
          <w:rFonts w:eastAsia="Calibri"/>
          <w:bCs/>
          <w:sz w:val="22"/>
          <w:szCs w:val="22"/>
          <w:lang w:val="en-US" w:eastAsia="en-US"/>
        </w:rPr>
        <w:t xml:space="preserve"> </w:t>
      </w:r>
      <w:r w:rsidRPr="00787EA7">
        <w:rPr>
          <w:rFonts w:eastAsia="Calibri"/>
          <w:bCs/>
          <w:sz w:val="22"/>
          <w:szCs w:val="22"/>
          <w:lang w:eastAsia="en-US"/>
        </w:rPr>
        <w:t>страхования</w:t>
      </w:r>
      <w:r w:rsidRPr="00C56F2E">
        <w:rPr>
          <w:rFonts w:eastAsia="Calibri"/>
          <w:bCs/>
          <w:sz w:val="22"/>
          <w:szCs w:val="22"/>
          <w:lang w:val="en-US" w:eastAsia="en-US"/>
        </w:rPr>
        <w:t xml:space="preserve"> </w:t>
      </w:r>
      <w:r w:rsidRPr="00787EA7">
        <w:rPr>
          <w:rFonts w:eastAsia="Calibri"/>
          <w:bCs/>
          <w:sz w:val="22"/>
          <w:szCs w:val="22"/>
          <w:lang w:eastAsia="en-US"/>
        </w:rPr>
        <w:t>туристов</w:t>
      </w:r>
      <w:r w:rsidRPr="00C56F2E">
        <w:rPr>
          <w:rFonts w:eastAsia="Calibri"/>
          <w:bCs/>
          <w:sz w:val="22"/>
          <w:szCs w:val="22"/>
          <w:lang w:val="en-US" w:eastAsia="en-US"/>
        </w:rPr>
        <w:t>.</w:t>
      </w:r>
    </w:p>
    <w:p w:rsidR="00724342" w:rsidRPr="00C56F2E" w:rsidRDefault="00724342" w:rsidP="00724342">
      <w:pPr>
        <w:spacing w:after="200"/>
        <w:ind w:firstLine="425"/>
        <w:contextualSpacing/>
        <w:jc w:val="both"/>
        <w:rPr>
          <w:rFonts w:eastAsia="Calibri"/>
          <w:sz w:val="22"/>
          <w:szCs w:val="22"/>
          <w:lang w:val="en-US" w:eastAsia="en-US"/>
        </w:rPr>
      </w:pPr>
      <w:r w:rsidRPr="00787EA7">
        <w:rPr>
          <w:rFonts w:eastAsia="Calibri"/>
          <w:sz w:val="22"/>
          <w:szCs w:val="22"/>
          <w:lang w:val="en-US" w:eastAsia="en-US"/>
        </w:rPr>
        <w:t>ABSTRACT: The need for insurance in connection with increased risks in the field of tourism. The main types of insurance of citizens tra</w:t>
      </w:r>
      <w:r w:rsidRPr="00787EA7">
        <w:rPr>
          <w:rFonts w:eastAsia="Calibri"/>
          <w:sz w:val="22"/>
          <w:szCs w:val="22"/>
          <w:lang w:val="en-US" w:eastAsia="en-US"/>
        </w:rPr>
        <w:t>v</w:t>
      </w:r>
      <w:r w:rsidRPr="00787EA7">
        <w:rPr>
          <w:rFonts w:eastAsia="Calibri"/>
          <w:sz w:val="22"/>
          <w:szCs w:val="22"/>
          <w:lang w:val="en-US" w:eastAsia="en-US"/>
        </w:rPr>
        <w:t>eling abroad, and travelers in Russia. And also the used schemes of i</w:t>
      </w:r>
      <w:r w:rsidRPr="00787EA7">
        <w:rPr>
          <w:rFonts w:eastAsia="Calibri"/>
          <w:sz w:val="22"/>
          <w:szCs w:val="22"/>
          <w:lang w:val="en-US" w:eastAsia="en-US"/>
        </w:rPr>
        <w:t>n</w:t>
      </w:r>
      <w:r w:rsidRPr="00787EA7">
        <w:rPr>
          <w:rFonts w:eastAsia="Calibri"/>
          <w:sz w:val="22"/>
          <w:szCs w:val="22"/>
          <w:lang w:val="en-US" w:eastAsia="en-US"/>
        </w:rPr>
        <w:t>surance of tourists are presented.</w:t>
      </w:r>
    </w:p>
    <w:p w:rsidR="003F3918" w:rsidRPr="003F3918" w:rsidRDefault="003F3918" w:rsidP="003F3918">
      <w:pPr>
        <w:spacing w:after="200"/>
        <w:ind w:firstLine="425"/>
        <w:contextualSpacing/>
        <w:jc w:val="both"/>
        <w:rPr>
          <w:rFonts w:eastAsia="Calibri"/>
          <w:bCs/>
          <w:sz w:val="22"/>
          <w:szCs w:val="22"/>
          <w:lang w:eastAsia="en-US"/>
        </w:rPr>
      </w:pPr>
      <w:r w:rsidRPr="00787EA7">
        <w:rPr>
          <w:rFonts w:eastAsia="Calibri"/>
          <w:bCs/>
          <w:sz w:val="22"/>
          <w:szCs w:val="22"/>
          <w:lang w:eastAsia="en-US"/>
        </w:rPr>
        <w:t>КЛЮЧЕВЫЕ СЛОВА: Страхование, полис страхования, стр</w:t>
      </w:r>
      <w:r w:rsidRPr="00787EA7">
        <w:rPr>
          <w:rFonts w:eastAsia="Calibri"/>
          <w:bCs/>
          <w:sz w:val="22"/>
          <w:szCs w:val="22"/>
          <w:lang w:eastAsia="en-US"/>
        </w:rPr>
        <w:t>а</w:t>
      </w:r>
      <w:r w:rsidRPr="00787EA7">
        <w:rPr>
          <w:rFonts w:eastAsia="Calibri"/>
          <w:bCs/>
          <w:sz w:val="22"/>
          <w:szCs w:val="22"/>
          <w:lang w:eastAsia="en-US"/>
        </w:rPr>
        <w:t>хов</w:t>
      </w:r>
      <w:r>
        <w:rPr>
          <w:rFonts w:eastAsia="Calibri"/>
          <w:bCs/>
          <w:sz w:val="22"/>
          <w:szCs w:val="22"/>
          <w:lang w:eastAsia="en-US"/>
        </w:rPr>
        <w:t>ая компания, страховые выплаты.</w:t>
      </w:r>
    </w:p>
    <w:p w:rsidR="00724342" w:rsidRPr="00787EA7" w:rsidRDefault="00724342" w:rsidP="00724342">
      <w:pPr>
        <w:spacing w:after="200"/>
        <w:ind w:firstLine="425"/>
        <w:contextualSpacing/>
        <w:jc w:val="both"/>
        <w:rPr>
          <w:rFonts w:eastAsia="Calibri"/>
          <w:sz w:val="22"/>
          <w:szCs w:val="22"/>
          <w:lang w:val="en-US" w:eastAsia="en-US"/>
        </w:rPr>
      </w:pPr>
      <w:r w:rsidRPr="00787EA7">
        <w:rPr>
          <w:rFonts w:eastAsia="Calibri"/>
          <w:sz w:val="22"/>
          <w:szCs w:val="22"/>
          <w:lang w:val="en-US" w:eastAsia="en-US"/>
        </w:rPr>
        <w:t>KEY WORDS: Insurance, insurance policy, insurance company, i</w:t>
      </w:r>
      <w:r w:rsidRPr="00787EA7">
        <w:rPr>
          <w:rFonts w:eastAsia="Calibri"/>
          <w:sz w:val="22"/>
          <w:szCs w:val="22"/>
          <w:lang w:val="en-US" w:eastAsia="en-US"/>
        </w:rPr>
        <w:t>n</w:t>
      </w:r>
      <w:r w:rsidRPr="00787EA7">
        <w:rPr>
          <w:rFonts w:eastAsia="Calibri"/>
          <w:sz w:val="22"/>
          <w:szCs w:val="22"/>
          <w:lang w:val="en-US" w:eastAsia="en-US"/>
        </w:rPr>
        <w:t>surance benefits.</w:t>
      </w:r>
    </w:p>
    <w:p w:rsidR="00724342" w:rsidRPr="00787EA7" w:rsidRDefault="00724342" w:rsidP="00724342">
      <w:pPr>
        <w:spacing w:after="200"/>
        <w:ind w:firstLine="425"/>
        <w:contextualSpacing/>
        <w:jc w:val="both"/>
        <w:rPr>
          <w:rFonts w:eastAsia="Calibri"/>
          <w:sz w:val="22"/>
          <w:szCs w:val="22"/>
          <w:lang w:val="en-US" w:eastAsia="en-US"/>
        </w:rPr>
      </w:pP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Крупнейшим сектором экономики является туризм, поэтому все развитые страны с давних времен  заинтересованы в его разв</w:t>
      </w:r>
      <w:r w:rsidRPr="00787EA7">
        <w:rPr>
          <w:rFonts w:eastAsia="Calibri"/>
          <w:sz w:val="22"/>
          <w:szCs w:val="22"/>
          <w:lang w:eastAsia="en-US"/>
        </w:rPr>
        <w:t>и</w:t>
      </w:r>
      <w:r w:rsidRPr="00787EA7">
        <w:rPr>
          <w:rFonts w:eastAsia="Calibri"/>
          <w:sz w:val="22"/>
          <w:szCs w:val="22"/>
          <w:lang w:eastAsia="en-US"/>
        </w:rPr>
        <w:t xml:space="preserve">тии. В мировой экономике туризм занимает лидирующие позиции, конкурируя лишь с добычей нефти. В сфере туризма занято около </w:t>
      </w:r>
      <w:r w:rsidRPr="00787EA7">
        <w:rPr>
          <w:rFonts w:eastAsia="Calibri"/>
          <w:sz w:val="22"/>
          <w:szCs w:val="22"/>
          <w:lang w:eastAsia="en-US"/>
        </w:rPr>
        <w:lastRenderedPageBreak/>
        <w:t>7% экономически активного населения. Доля туризма в мировой структуре ВВП составляет почти 10%.</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Особенностью туризма, в отличие от других сфер деятельн</w:t>
      </w:r>
      <w:r w:rsidRPr="00787EA7">
        <w:rPr>
          <w:rFonts w:eastAsia="Calibri"/>
          <w:sz w:val="22"/>
          <w:szCs w:val="22"/>
          <w:lang w:eastAsia="en-US"/>
        </w:rPr>
        <w:t>о</w:t>
      </w:r>
      <w:r w:rsidRPr="00787EA7">
        <w:rPr>
          <w:rFonts w:eastAsia="Calibri"/>
          <w:sz w:val="22"/>
          <w:szCs w:val="22"/>
          <w:lang w:eastAsia="en-US"/>
        </w:rPr>
        <w:t>сти, является перемещение людей из постоянных мест проживания в другие части стран или мира, поэтому, согласно официальной ст</w:t>
      </w:r>
      <w:r w:rsidRPr="00787EA7">
        <w:rPr>
          <w:rFonts w:eastAsia="Calibri"/>
          <w:sz w:val="22"/>
          <w:szCs w:val="22"/>
          <w:lang w:eastAsia="en-US"/>
        </w:rPr>
        <w:t>а</w:t>
      </w:r>
      <w:r w:rsidRPr="00787EA7">
        <w:rPr>
          <w:rFonts w:eastAsia="Calibri"/>
          <w:sz w:val="22"/>
          <w:szCs w:val="22"/>
          <w:lang w:eastAsia="en-US"/>
        </w:rPr>
        <w:t>тистике и практике, путешествиям сопутствуют определенные ри</w:t>
      </w:r>
      <w:r w:rsidRPr="00787EA7">
        <w:rPr>
          <w:rFonts w:eastAsia="Calibri"/>
          <w:sz w:val="22"/>
          <w:szCs w:val="22"/>
          <w:lang w:eastAsia="en-US"/>
        </w:rPr>
        <w:t>с</w:t>
      </w:r>
      <w:r w:rsidRPr="00787EA7">
        <w:rPr>
          <w:rFonts w:eastAsia="Calibri"/>
          <w:sz w:val="22"/>
          <w:szCs w:val="22"/>
          <w:lang w:eastAsia="en-US"/>
        </w:rPr>
        <w:t>ки. В соответствии с Федеральным законом «Об основах турис</w:t>
      </w:r>
      <w:r w:rsidRPr="00787EA7">
        <w:rPr>
          <w:rFonts w:eastAsia="Calibri"/>
          <w:sz w:val="22"/>
          <w:szCs w:val="22"/>
          <w:lang w:eastAsia="en-US"/>
        </w:rPr>
        <w:t>т</w:t>
      </w:r>
      <w:r w:rsidRPr="00787EA7">
        <w:rPr>
          <w:rFonts w:eastAsia="Calibri"/>
          <w:sz w:val="22"/>
          <w:szCs w:val="22"/>
          <w:lang w:eastAsia="en-US"/>
        </w:rPr>
        <w:t xml:space="preserve">ской деятельности в Российской Федерации» именно страхование является основной формой обеспечения безопасности туристов в стране или месте временного пребывания. </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Независимо от места направления, далеко не каждый турист задумывается о негативных неожиданностях, которые могут встр</w:t>
      </w:r>
      <w:r w:rsidRPr="00787EA7">
        <w:rPr>
          <w:rFonts w:eastAsia="Calibri"/>
          <w:sz w:val="22"/>
          <w:szCs w:val="22"/>
          <w:lang w:eastAsia="en-US"/>
        </w:rPr>
        <w:t>е</w:t>
      </w:r>
      <w:r w:rsidRPr="00787EA7">
        <w:rPr>
          <w:rFonts w:eastAsia="Calibri"/>
          <w:sz w:val="22"/>
          <w:szCs w:val="22"/>
          <w:lang w:eastAsia="en-US"/>
        </w:rPr>
        <w:t>титься на его пути, например внезапное заболевание, потеря док</w:t>
      </w:r>
      <w:r w:rsidRPr="00787EA7">
        <w:rPr>
          <w:rFonts w:eastAsia="Calibri"/>
          <w:sz w:val="22"/>
          <w:szCs w:val="22"/>
          <w:lang w:eastAsia="en-US"/>
        </w:rPr>
        <w:t>у</w:t>
      </w:r>
      <w:r w:rsidRPr="00787EA7">
        <w:rPr>
          <w:rFonts w:eastAsia="Calibri"/>
          <w:sz w:val="22"/>
          <w:szCs w:val="22"/>
          <w:lang w:eastAsia="en-US"/>
        </w:rPr>
        <w:t>ментов, кража имущества, необходимость срочного возвращения к месту жительства и т.д. Решению этих и других проблем спосо</w:t>
      </w:r>
      <w:r w:rsidRPr="00787EA7">
        <w:rPr>
          <w:rFonts w:eastAsia="Calibri"/>
          <w:sz w:val="22"/>
          <w:szCs w:val="22"/>
          <w:lang w:eastAsia="en-US"/>
        </w:rPr>
        <w:t>б</w:t>
      </w:r>
      <w:r w:rsidRPr="00787EA7">
        <w:rPr>
          <w:rFonts w:eastAsia="Calibri"/>
          <w:sz w:val="22"/>
          <w:szCs w:val="22"/>
          <w:lang w:eastAsia="en-US"/>
        </w:rPr>
        <w:t>ствуют страховщики. Но, несмотря на это, с каждым годом, вел</w:t>
      </w:r>
      <w:r w:rsidRPr="00787EA7">
        <w:rPr>
          <w:rFonts w:eastAsia="Calibri"/>
          <w:sz w:val="22"/>
          <w:szCs w:val="22"/>
          <w:lang w:eastAsia="en-US"/>
        </w:rPr>
        <w:t>и</w:t>
      </w:r>
      <w:r w:rsidRPr="00787EA7">
        <w:rPr>
          <w:rFonts w:eastAsia="Calibri"/>
          <w:sz w:val="22"/>
          <w:szCs w:val="22"/>
          <w:lang w:eastAsia="en-US"/>
        </w:rPr>
        <w:t>чина страхования выезжающих за рубеж уменьшается.</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Число застрахованных,  в 2015 году по сравнению с 2014-м снизилось на 30%, а в 2016-м сокращение доходит до 50%.</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Данные страховых компаний показали, что 35% от общей в</w:t>
      </w:r>
      <w:r w:rsidRPr="00787EA7">
        <w:rPr>
          <w:rFonts w:eastAsia="Calibri"/>
          <w:sz w:val="22"/>
          <w:szCs w:val="22"/>
          <w:lang w:eastAsia="en-US"/>
        </w:rPr>
        <w:t>е</w:t>
      </w:r>
      <w:r w:rsidRPr="00787EA7">
        <w:rPr>
          <w:rFonts w:eastAsia="Calibri"/>
          <w:sz w:val="22"/>
          <w:szCs w:val="22"/>
          <w:lang w:eastAsia="en-US"/>
        </w:rPr>
        <w:t>личины страховых случаев с российскими туристами связаны с б</w:t>
      </w:r>
      <w:r w:rsidRPr="00787EA7">
        <w:rPr>
          <w:rFonts w:eastAsia="Calibri"/>
          <w:sz w:val="22"/>
          <w:szCs w:val="22"/>
          <w:lang w:eastAsia="en-US"/>
        </w:rPr>
        <w:t>о</w:t>
      </w:r>
      <w:r w:rsidRPr="00787EA7">
        <w:rPr>
          <w:rFonts w:eastAsia="Calibri"/>
          <w:sz w:val="22"/>
          <w:szCs w:val="22"/>
          <w:lang w:eastAsia="en-US"/>
        </w:rPr>
        <w:t>лезнями органов дыхания, 23% - разнообразные травмы, 15% - о</w:t>
      </w:r>
      <w:r w:rsidRPr="00787EA7">
        <w:rPr>
          <w:rFonts w:eastAsia="Calibri"/>
          <w:sz w:val="22"/>
          <w:szCs w:val="22"/>
          <w:lang w:eastAsia="en-US"/>
        </w:rPr>
        <w:t>р</w:t>
      </w:r>
      <w:r w:rsidRPr="00787EA7">
        <w:rPr>
          <w:rFonts w:eastAsia="Calibri"/>
          <w:sz w:val="22"/>
          <w:szCs w:val="22"/>
          <w:lang w:eastAsia="en-US"/>
        </w:rPr>
        <w:t>ганы пищеварения. К оставшимся 27% относятся стоматологич</w:t>
      </w:r>
      <w:r w:rsidRPr="00787EA7">
        <w:rPr>
          <w:rFonts w:eastAsia="Calibri"/>
          <w:sz w:val="22"/>
          <w:szCs w:val="22"/>
          <w:lang w:eastAsia="en-US"/>
        </w:rPr>
        <w:t>е</w:t>
      </w:r>
      <w:r w:rsidRPr="00787EA7">
        <w:rPr>
          <w:rFonts w:eastAsia="Calibri"/>
          <w:sz w:val="22"/>
          <w:szCs w:val="22"/>
          <w:lang w:eastAsia="en-US"/>
        </w:rPr>
        <w:t>ские проблемы, кожные заболевания, и т.д.</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Наиболее важным является страхование, связанное с непредв</w:t>
      </w:r>
      <w:r w:rsidRPr="00787EA7">
        <w:rPr>
          <w:rFonts w:eastAsia="Calibri"/>
          <w:sz w:val="22"/>
          <w:szCs w:val="22"/>
          <w:lang w:eastAsia="en-US"/>
        </w:rPr>
        <w:t>и</w:t>
      </w:r>
      <w:r w:rsidRPr="00787EA7">
        <w:rPr>
          <w:rFonts w:eastAsia="Calibri"/>
          <w:sz w:val="22"/>
          <w:szCs w:val="22"/>
          <w:lang w:eastAsia="en-US"/>
        </w:rPr>
        <w:t>денными расходами на  экстренную медицинскую помощь (амбул</w:t>
      </w:r>
      <w:r w:rsidRPr="00787EA7">
        <w:rPr>
          <w:rFonts w:eastAsia="Calibri"/>
          <w:sz w:val="22"/>
          <w:szCs w:val="22"/>
          <w:lang w:eastAsia="en-US"/>
        </w:rPr>
        <w:t>а</w:t>
      </w:r>
      <w:r w:rsidRPr="00787EA7">
        <w:rPr>
          <w:rFonts w:eastAsia="Calibri"/>
          <w:sz w:val="22"/>
          <w:szCs w:val="22"/>
          <w:lang w:eastAsia="en-US"/>
        </w:rPr>
        <w:t>торные услуги, репатриация больного и т.д.). К другим рискам о</w:t>
      </w:r>
      <w:r w:rsidRPr="00787EA7">
        <w:rPr>
          <w:rFonts w:eastAsia="Calibri"/>
          <w:sz w:val="22"/>
          <w:szCs w:val="22"/>
          <w:lang w:eastAsia="en-US"/>
        </w:rPr>
        <w:t>т</w:t>
      </w:r>
      <w:r w:rsidRPr="00787EA7">
        <w:rPr>
          <w:rFonts w:eastAsia="Calibri"/>
          <w:sz w:val="22"/>
          <w:szCs w:val="22"/>
          <w:lang w:eastAsia="en-US"/>
        </w:rPr>
        <w:t>носят расходы, которые связаны с пропажей, гибелью, задержкой багажа. Также, выделяют группу расходов, связанных с неожида</w:t>
      </w:r>
      <w:r w:rsidRPr="00787EA7">
        <w:rPr>
          <w:rFonts w:eastAsia="Calibri"/>
          <w:sz w:val="22"/>
          <w:szCs w:val="22"/>
          <w:lang w:eastAsia="en-US"/>
        </w:rPr>
        <w:t>н</w:t>
      </w:r>
      <w:r w:rsidRPr="00787EA7">
        <w:rPr>
          <w:rFonts w:eastAsia="Calibri"/>
          <w:sz w:val="22"/>
          <w:szCs w:val="22"/>
          <w:lang w:eastAsia="en-US"/>
        </w:rPr>
        <w:t>ным возвращением в страну проживания.</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Особую группу составляют риски, связанные с гражданской ответственностью, т.е расходы, связанные с нарушением туристом норм гражданского права и обычаев страны временного прожив</w:t>
      </w:r>
      <w:r w:rsidRPr="00787EA7">
        <w:rPr>
          <w:rFonts w:eastAsia="Calibri"/>
          <w:sz w:val="22"/>
          <w:szCs w:val="22"/>
          <w:lang w:eastAsia="en-US"/>
        </w:rPr>
        <w:t>а</w:t>
      </w:r>
      <w:r w:rsidRPr="00787EA7">
        <w:rPr>
          <w:rFonts w:eastAsia="Calibri"/>
          <w:sz w:val="22"/>
          <w:szCs w:val="22"/>
          <w:lang w:eastAsia="en-US"/>
        </w:rPr>
        <w:t>ния. Наиболее известным является страхование автогражданской ответственности.</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Страхование выезжающих за рубеж туристов подразумевает добровольное медицинское страхование, от внезапного заболевания или телесных повреждений, полученных в стране временного пр</w:t>
      </w:r>
      <w:r w:rsidRPr="00787EA7">
        <w:rPr>
          <w:rFonts w:eastAsia="Calibri"/>
          <w:sz w:val="22"/>
          <w:szCs w:val="22"/>
          <w:lang w:eastAsia="en-US"/>
        </w:rPr>
        <w:t>е</w:t>
      </w:r>
      <w:r w:rsidRPr="00787EA7">
        <w:rPr>
          <w:rFonts w:eastAsia="Calibri"/>
          <w:sz w:val="22"/>
          <w:szCs w:val="22"/>
          <w:lang w:eastAsia="en-US"/>
        </w:rPr>
        <w:lastRenderedPageBreak/>
        <w:t>бывания. Договор страхования подтверждается подписью, и подр</w:t>
      </w:r>
      <w:r w:rsidRPr="00787EA7">
        <w:rPr>
          <w:rFonts w:eastAsia="Calibri"/>
          <w:sz w:val="22"/>
          <w:szCs w:val="22"/>
          <w:lang w:eastAsia="en-US"/>
        </w:rPr>
        <w:t>а</w:t>
      </w:r>
      <w:r w:rsidRPr="00787EA7">
        <w:rPr>
          <w:rFonts w:eastAsia="Calibri"/>
          <w:sz w:val="22"/>
          <w:szCs w:val="22"/>
          <w:lang w:eastAsia="en-US"/>
        </w:rPr>
        <w:t>зумевает  то, что турист, отправляющийся в путешествие, находи</w:t>
      </w:r>
      <w:r w:rsidRPr="00787EA7">
        <w:rPr>
          <w:rFonts w:eastAsia="Calibri"/>
          <w:sz w:val="22"/>
          <w:szCs w:val="22"/>
          <w:lang w:eastAsia="en-US"/>
        </w:rPr>
        <w:t>т</w:t>
      </w:r>
      <w:r w:rsidRPr="00787EA7">
        <w:rPr>
          <w:rFonts w:eastAsia="Calibri"/>
          <w:sz w:val="22"/>
          <w:szCs w:val="22"/>
          <w:lang w:eastAsia="en-US"/>
        </w:rPr>
        <w:t xml:space="preserve">ся в здравии, не имеет физических недостатков и не подвержен хроническим и рецидивным заболеваниям. </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В случае потери здоровья в результате несчастного случая з</w:t>
      </w:r>
      <w:r w:rsidRPr="00787EA7">
        <w:rPr>
          <w:rFonts w:eastAsia="Calibri"/>
          <w:sz w:val="22"/>
          <w:szCs w:val="22"/>
          <w:lang w:eastAsia="en-US"/>
        </w:rPr>
        <w:t>а</w:t>
      </w:r>
      <w:r w:rsidRPr="00787EA7">
        <w:rPr>
          <w:rFonts w:eastAsia="Calibri"/>
          <w:sz w:val="22"/>
          <w:szCs w:val="22"/>
          <w:lang w:eastAsia="en-US"/>
        </w:rPr>
        <w:t>страхованному лицу выплачивается часть страховой суммы, нез</w:t>
      </w:r>
      <w:r w:rsidRPr="00787EA7">
        <w:rPr>
          <w:rFonts w:eastAsia="Calibri"/>
          <w:sz w:val="22"/>
          <w:szCs w:val="22"/>
          <w:lang w:eastAsia="en-US"/>
        </w:rPr>
        <w:t>а</w:t>
      </w:r>
      <w:r w:rsidRPr="00787EA7">
        <w:rPr>
          <w:rFonts w:eastAsia="Calibri"/>
          <w:sz w:val="22"/>
          <w:szCs w:val="22"/>
          <w:lang w:eastAsia="en-US"/>
        </w:rPr>
        <w:t>висимо от социальных выплат, за счет виновной стороны, которая причинила вред здоровью. Размеры данных выплат могут изменят</w:t>
      </w:r>
      <w:r w:rsidRPr="00787EA7">
        <w:rPr>
          <w:rFonts w:eastAsia="Calibri"/>
          <w:sz w:val="22"/>
          <w:szCs w:val="22"/>
          <w:lang w:eastAsia="en-US"/>
        </w:rPr>
        <w:t>ь</w:t>
      </w:r>
      <w:r w:rsidRPr="00787EA7">
        <w:rPr>
          <w:rFonts w:eastAsia="Calibri"/>
          <w:sz w:val="22"/>
          <w:szCs w:val="22"/>
          <w:lang w:eastAsia="en-US"/>
        </w:rPr>
        <w:t>ся в зависимости от тяжести повреждений, количества дней нетр</w:t>
      </w:r>
      <w:r w:rsidRPr="00787EA7">
        <w:rPr>
          <w:rFonts w:eastAsia="Calibri"/>
          <w:sz w:val="22"/>
          <w:szCs w:val="22"/>
          <w:lang w:eastAsia="en-US"/>
        </w:rPr>
        <w:t>у</w:t>
      </w:r>
      <w:r w:rsidRPr="00787EA7">
        <w:rPr>
          <w:rFonts w:eastAsia="Calibri"/>
          <w:sz w:val="22"/>
          <w:szCs w:val="22"/>
          <w:lang w:eastAsia="en-US"/>
        </w:rPr>
        <w:t>доспособности и т.д. Существует случай, при котором страховая сумма выплачивается в полном размере - гибель туриста.</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В современное время при страховании туристов используют две схемы: компенсационная и схема содействия. Компенсационная схема подразумевает, что при наступлении страхового случая т</w:t>
      </w:r>
      <w:r w:rsidRPr="00787EA7">
        <w:rPr>
          <w:rFonts w:eastAsia="Calibri"/>
          <w:sz w:val="22"/>
          <w:szCs w:val="22"/>
          <w:lang w:eastAsia="en-US"/>
        </w:rPr>
        <w:t>у</w:t>
      </w:r>
      <w:r w:rsidRPr="00787EA7">
        <w:rPr>
          <w:rFonts w:eastAsia="Calibri"/>
          <w:sz w:val="22"/>
          <w:szCs w:val="22"/>
          <w:lang w:eastAsia="en-US"/>
        </w:rPr>
        <w:t>рист сам расплачивается за оказанную медицинскую, юридическую, административную или иную услугу, а по возвращении на родину предъявляет необходимые документы (страховой акт, счета, чеки и т. п.) страховой компании, с которой был заключен договор страх</w:t>
      </w:r>
      <w:r w:rsidRPr="00787EA7">
        <w:rPr>
          <w:rFonts w:eastAsia="Calibri"/>
          <w:sz w:val="22"/>
          <w:szCs w:val="22"/>
          <w:lang w:eastAsia="en-US"/>
        </w:rPr>
        <w:t>о</w:t>
      </w:r>
      <w:r w:rsidRPr="00787EA7">
        <w:rPr>
          <w:rFonts w:eastAsia="Calibri"/>
          <w:sz w:val="22"/>
          <w:szCs w:val="22"/>
          <w:lang w:eastAsia="en-US"/>
        </w:rPr>
        <w:t>вания.</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Страховые компании, как правило, подробно описывают сл</w:t>
      </w:r>
      <w:r w:rsidRPr="00787EA7">
        <w:rPr>
          <w:rFonts w:eastAsia="Calibri"/>
          <w:sz w:val="22"/>
          <w:szCs w:val="22"/>
          <w:lang w:eastAsia="en-US"/>
        </w:rPr>
        <w:t>у</w:t>
      </w:r>
      <w:r w:rsidRPr="00787EA7">
        <w:rPr>
          <w:rFonts w:eastAsia="Calibri"/>
          <w:sz w:val="22"/>
          <w:szCs w:val="22"/>
          <w:lang w:eastAsia="en-US"/>
        </w:rPr>
        <w:t>чаи, при которых в выплате страховых сумм будет отказано. Например, в правилах компании «Росгосстрах» есть пункт, в кот</w:t>
      </w:r>
      <w:r w:rsidRPr="00787EA7">
        <w:rPr>
          <w:rFonts w:eastAsia="Calibri"/>
          <w:sz w:val="22"/>
          <w:szCs w:val="22"/>
          <w:lang w:eastAsia="en-US"/>
        </w:rPr>
        <w:t>о</w:t>
      </w:r>
      <w:r w:rsidRPr="00787EA7">
        <w:rPr>
          <w:rFonts w:eastAsia="Calibri"/>
          <w:sz w:val="22"/>
          <w:szCs w:val="22"/>
          <w:lang w:eastAsia="en-US"/>
        </w:rPr>
        <w:t>ром указано об отказе страховщика в выплате, в случае, если при заключении договора турист не сообщил страховщику обо  всех известных ему обстоятельствах, которые имеют значение для оце</w:t>
      </w:r>
      <w:r w:rsidRPr="00787EA7">
        <w:rPr>
          <w:rFonts w:eastAsia="Calibri"/>
          <w:sz w:val="22"/>
          <w:szCs w:val="22"/>
          <w:lang w:eastAsia="en-US"/>
        </w:rPr>
        <w:t>н</w:t>
      </w:r>
      <w:r w:rsidRPr="00787EA7">
        <w:rPr>
          <w:rFonts w:eastAsia="Calibri"/>
          <w:sz w:val="22"/>
          <w:szCs w:val="22"/>
          <w:lang w:eastAsia="en-US"/>
        </w:rPr>
        <w:t xml:space="preserve">ки страхового риска. </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На сегодняшний день налажено цивилизованное обеспечение страхового сопровождения как лиц, путешествующих по террит</w:t>
      </w:r>
      <w:r w:rsidRPr="00787EA7">
        <w:rPr>
          <w:rFonts w:eastAsia="Calibri"/>
          <w:sz w:val="22"/>
          <w:szCs w:val="22"/>
          <w:lang w:eastAsia="en-US"/>
        </w:rPr>
        <w:t>о</w:t>
      </w:r>
      <w:r w:rsidRPr="00787EA7">
        <w:rPr>
          <w:rFonts w:eastAsia="Calibri"/>
          <w:sz w:val="22"/>
          <w:szCs w:val="22"/>
          <w:lang w:eastAsia="en-US"/>
        </w:rPr>
        <w:t>рии России, так и лиц, отбывающих за рубеж, поэтому не стоит считать страховой полис бессмысленным приложением к путевке, особенно отправляясь в путешествие с повышенным риском.</w:t>
      </w:r>
    </w:p>
    <w:p w:rsidR="00724342" w:rsidRPr="00787EA7" w:rsidRDefault="00724342" w:rsidP="00724342">
      <w:pPr>
        <w:tabs>
          <w:tab w:val="left" w:pos="569"/>
          <w:tab w:val="left" w:pos="3315"/>
        </w:tabs>
        <w:spacing w:after="200"/>
        <w:ind w:firstLine="425"/>
        <w:contextualSpacing/>
        <w:jc w:val="both"/>
        <w:rPr>
          <w:rFonts w:eastAsia="Calibri"/>
          <w:b/>
          <w:sz w:val="22"/>
          <w:szCs w:val="22"/>
          <w:lang w:eastAsia="en-US"/>
        </w:rPr>
      </w:pPr>
    </w:p>
    <w:p w:rsidR="00724342" w:rsidRPr="00787EA7" w:rsidRDefault="00724342" w:rsidP="00724342">
      <w:pPr>
        <w:tabs>
          <w:tab w:val="left" w:pos="569"/>
          <w:tab w:val="left" w:pos="3315"/>
        </w:tabs>
        <w:spacing w:after="200"/>
        <w:ind w:firstLine="425"/>
        <w:contextualSpacing/>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1. Петрова Е. И. Схемы страхования туристов, выезжающих за рубеж [Текст] // Экономика, управление, финансы: материалы III Междунар. науч. конф. (г. Пермь, февраль 2014 г.). — Пермь: Ме</w:t>
      </w:r>
      <w:r w:rsidRPr="00787EA7">
        <w:rPr>
          <w:rFonts w:eastAsia="Calibri"/>
          <w:sz w:val="22"/>
          <w:szCs w:val="22"/>
          <w:lang w:eastAsia="en-US"/>
        </w:rPr>
        <w:t>р</w:t>
      </w:r>
      <w:r w:rsidRPr="00787EA7">
        <w:rPr>
          <w:rFonts w:eastAsia="Calibri"/>
          <w:sz w:val="22"/>
          <w:szCs w:val="22"/>
          <w:lang w:eastAsia="en-US"/>
        </w:rPr>
        <w:t>курий, 2014. — С. 191-193.</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lastRenderedPageBreak/>
        <w:t>2. Федеральный закон «Об основах туристской деятельности в Российской Федерации» от 24.11.1996 N 132-ФЗ.</w:t>
      </w:r>
    </w:p>
    <w:p w:rsidR="00724342" w:rsidRPr="00787EA7" w:rsidRDefault="00724342" w:rsidP="00724342">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3. Закон РФ от 27.11.1992 N 4015-1 (ред. от 03.07.2016) «Об о</w:t>
      </w:r>
      <w:r w:rsidRPr="00787EA7">
        <w:rPr>
          <w:rFonts w:eastAsia="Calibri"/>
          <w:sz w:val="22"/>
          <w:szCs w:val="22"/>
          <w:lang w:eastAsia="en-US"/>
        </w:rPr>
        <w:t>р</w:t>
      </w:r>
      <w:r w:rsidRPr="00787EA7">
        <w:rPr>
          <w:rFonts w:eastAsia="Calibri"/>
          <w:sz w:val="22"/>
          <w:szCs w:val="22"/>
          <w:lang w:eastAsia="en-US"/>
        </w:rPr>
        <w:t>ганизации страхового дела в Российской Федерации»</w:t>
      </w:r>
    </w:p>
    <w:p w:rsidR="003F3918" w:rsidRDefault="00724342" w:rsidP="007543A3">
      <w:pPr>
        <w:tabs>
          <w:tab w:val="left" w:pos="569"/>
          <w:tab w:val="left" w:pos="3315"/>
        </w:tabs>
        <w:spacing w:after="200"/>
        <w:ind w:firstLine="425"/>
        <w:contextualSpacing/>
        <w:jc w:val="both"/>
        <w:rPr>
          <w:rFonts w:eastAsia="Calibri"/>
          <w:sz w:val="22"/>
          <w:szCs w:val="22"/>
          <w:lang w:eastAsia="en-US"/>
        </w:rPr>
      </w:pPr>
      <w:r w:rsidRPr="00787EA7">
        <w:rPr>
          <w:rFonts w:eastAsia="Calibri"/>
          <w:sz w:val="22"/>
          <w:szCs w:val="22"/>
          <w:lang w:eastAsia="en-US"/>
        </w:rPr>
        <w:t xml:space="preserve">4. Сероштанова Ю. В. Страхование туризма. В сборнике: </w:t>
      </w:r>
      <w:r w:rsidRPr="00787EA7">
        <w:rPr>
          <w:rFonts w:eastAsia="Calibri"/>
          <w:sz w:val="22"/>
          <w:szCs w:val="22"/>
          <w:lang w:val="en-US" w:eastAsia="en-US"/>
        </w:rPr>
        <w:t>XIX</w:t>
      </w:r>
      <w:r w:rsidRPr="00787EA7">
        <w:rPr>
          <w:rFonts w:eastAsia="Calibri"/>
          <w:sz w:val="22"/>
          <w:szCs w:val="22"/>
          <w:lang w:eastAsia="en-US"/>
        </w:rPr>
        <w:t xml:space="preserve"> Всероссийская студенческая научно-практическая конференция Нижневартовского государственного университета. Сборник статей. 2017. С. 542-544.</w:t>
      </w:r>
    </w:p>
    <w:p w:rsidR="007543A3" w:rsidRDefault="007543A3" w:rsidP="007543A3">
      <w:pPr>
        <w:tabs>
          <w:tab w:val="left" w:pos="569"/>
          <w:tab w:val="left" w:pos="3315"/>
        </w:tabs>
        <w:spacing w:after="200"/>
        <w:ind w:firstLine="425"/>
        <w:contextualSpacing/>
        <w:jc w:val="both"/>
        <w:rPr>
          <w:rFonts w:eastAsia="Calibri"/>
          <w:sz w:val="22"/>
          <w:szCs w:val="22"/>
          <w:lang w:eastAsia="en-US"/>
        </w:rPr>
      </w:pPr>
    </w:p>
    <w:p w:rsidR="00CE4C84" w:rsidRDefault="00CE4C84" w:rsidP="007543A3">
      <w:pPr>
        <w:tabs>
          <w:tab w:val="left" w:pos="569"/>
          <w:tab w:val="left" w:pos="3315"/>
        </w:tabs>
        <w:spacing w:after="200"/>
        <w:ind w:firstLine="425"/>
        <w:contextualSpacing/>
        <w:jc w:val="both"/>
        <w:rPr>
          <w:rFonts w:eastAsia="Calibri"/>
          <w:sz w:val="22"/>
          <w:szCs w:val="22"/>
          <w:lang w:eastAsia="en-US"/>
        </w:rPr>
      </w:pPr>
    </w:p>
    <w:p w:rsidR="00CE4C84" w:rsidRPr="007543A3" w:rsidRDefault="00CE4C84" w:rsidP="007543A3">
      <w:pPr>
        <w:tabs>
          <w:tab w:val="left" w:pos="569"/>
          <w:tab w:val="left" w:pos="3315"/>
        </w:tabs>
        <w:spacing w:after="200"/>
        <w:ind w:firstLine="425"/>
        <w:contextualSpacing/>
        <w:jc w:val="both"/>
        <w:rPr>
          <w:rFonts w:eastAsia="Calibri"/>
          <w:sz w:val="22"/>
          <w:szCs w:val="22"/>
          <w:lang w:eastAsia="en-US"/>
        </w:rPr>
      </w:pPr>
    </w:p>
    <w:p w:rsidR="00724342" w:rsidRPr="003F3918" w:rsidRDefault="00724342" w:rsidP="00724342">
      <w:pPr>
        <w:rPr>
          <w:rFonts w:eastAsia="Calibri"/>
          <w:sz w:val="22"/>
          <w:szCs w:val="22"/>
          <w:lang w:eastAsia="en-US"/>
        </w:rPr>
      </w:pPr>
      <w:r w:rsidRPr="003F3918">
        <w:rPr>
          <w:rFonts w:eastAsia="Calibri"/>
          <w:sz w:val="22"/>
          <w:szCs w:val="22"/>
          <w:lang w:eastAsia="en-US"/>
        </w:rPr>
        <w:t>УДК 658.155 : 330.322</w:t>
      </w:r>
    </w:p>
    <w:p w:rsidR="00724342" w:rsidRPr="00787EA7" w:rsidRDefault="00724342" w:rsidP="00724342">
      <w:pPr>
        <w:rPr>
          <w:rFonts w:eastAsia="Calibri"/>
          <w:sz w:val="24"/>
          <w:szCs w:val="24"/>
          <w:lang w:eastAsia="en-US"/>
        </w:rPr>
      </w:pPr>
    </w:p>
    <w:p w:rsidR="00724342" w:rsidRPr="00787EA7" w:rsidRDefault="00724342" w:rsidP="00724342">
      <w:pPr>
        <w:jc w:val="center"/>
        <w:rPr>
          <w:rFonts w:eastAsia="Calibri"/>
          <w:b/>
          <w:sz w:val="24"/>
          <w:szCs w:val="24"/>
          <w:lang w:eastAsia="en-US"/>
        </w:rPr>
      </w:pPr>
      <w:r w:rsidRPr="00787EA7">
        <w:rPr>
          <w:rFonts w:eastAsia="Calibri"/>
          <w:b/>
          <w:sz w:val="24"/>
          <w:szCs w:val="24"/>
          <w:lang w:eastAsia="en-US"/>
        </w:rPr>
        <w:t>Высокая финансовая устойчивость залог инвестиционной активности организации</w:t>
      </w:r>
    </w:p>
    <w:p w:rsidR="00724342" w:rsidRPr="003F3918" w:rsidRDefault="00724342" w:rsidP="00724342">
      <w:pPr>
        <w:jc w:val="center"/>
        <w:rPr>
          <w:rFonts w:eastAsia="Calibri"/>
          <w:b/>
          <w:sz w:val="24"/>
          <w:szCs w:val="24"/>
          <w:lang w:val="en-US" w:eastAsia="en-US"/>
        </w:rPr>
      </w:pPr>
      <w:r w:rsidRPr="003F3918">
        <w:rPr>
          <w:rFonts w:eastAsia="Calibri"/>
          <w:b/>
          <w:sz w:val="24"/>
          <w:szCs w:val="24"/>
          <w:shd w:val="clear" w:color="auto" w:fill="FFFFFF"/>
          <w:lang w:val="en-US" w:eastAsia="en-US"/>
        </w:rPr>
        <w:t xml:space="preserve">High financial stability pledge of investment activity </w:t>
      </w:r>
      <w:r w:rsidR="00CE4C84" w:rsidRPr="00CE4C84">
        <w:rPr>
          <w:rFonts w:eastAsia="Calibri"/>
          <w:b/>
          <w:sz w:val="24"/>
          <w:szCs w:val="24"/>
          <w:shd w:val="clear" w:color="auto" w:fill="FFFFFF"/>
          <w:lang w:val="en-US" w:eastAsia="en-US"/>
        </w:rPr>
        <w:br/>
      </w:r>
      <w:r w:rsidRPr="003F3918">
        <w:rPr>
          <w:rFonts w:eastAsia="Calibri"/>
          <w:b/>
          <w:sz w:val="24"/>
          <w:szCs w:val="24"/>
          <w:shd w:val="clear" w:color="auto" w:fill="FFFFFF"/>
          <w:lang w:val="en-US" w:eastAsia="en-US"/>
        </w:rPr>
        <w:t>of the organization</w:t>
      </w:r>
    </w:p>
    <w:p w:rsidR="00724342" w:rsidRPr="00787EA7" w:rsidRDefault="00724342" w:rsidP="00724342">
      <w:pPr>
        <w:jc w:val="right"/>
        <w:rPr>
          <w:rFonts w:eastAsia="Calibri"/>
          <w:sz w:val="22"/>
          <w:szCs w:val="22"/>
          <w:lang w:val="en-US" w:eastAsia="en-US"/>
        </w:rPr>
      </w:pP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Дубинина Д. А.,</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студентка 4-го курса факультета «Финансы и кредит»</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Шевченко Ю. С.,</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доцент кафедры финансов</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 xml:space="preserve">Кубанский государственный аграрный </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университет имени И.</w:t>
      </w:r>
      <w:r w:rsidR="003F3918">
        <w:rPr>
          <w:rFonts w:eastAsia="Courier New"/>
          <w:color w:val="000000"/>
          <w:sz w:val="22"/>
          <w:szCs w:val="22"/>
          <w:lang w:eastAsia="en-US"/>
        </w:rPr>
        <w:t xml:space="preserve"> </w:t>
      </w:r>
      <w:r w:rsidRPr="00787EA7">
        <w:rPr>
          <w:rFonts w:eastAsia="Courier New"/>
          <w:color w:val="000000"/>
          <w:sz w:val="22"/>
          <w:szCs w:val="22"/>
          <w:lang w:eastAsia="en-US"/>
        </w:rPr>
        <w:t>Т. Трубилина</w:t>
      </w:r>
    </w:p>
    <w:p w:rsidR="00724342" w:rsidRPr="00787EA7" w:rsidRDefault="00724342" w:rsidP="00724342">
      <w:pPr>
        <w:widowControl w:val="0"/>
        <w:tabs>
          <w:tab w:val="left" w:pos="8223"/>
        </w:tabs>
        <w:jc w:val="right"/>
        <w:rPr>
          <w:rFonts w:eastAsia="Courier New"/>
          <w:color w:val="000000"/>
          <w:sz w:val="22"/>
          <w:szCs w:val="22"/>
          <w:lang w:eastAsia="en-US"/>
        </w:rPr>
      </w:pPr>
    </w:p>
    <w:p w:rsidR="00724342" w:rsidRPr="00787EA7" w:rsidRDefault="00724342" w:rsidP="00724342">
      <w:pPr>
        <w:widowControl w:val="0"/>
        <w:tabs>
          <w:tab w:val="left" w:pos="8223"/>
        </w:tabs>
        <w:ind w:firstLine="426"/>
        <w:jc w:val="both"/>
        <w:rPr>
          <w:rFonts w:eastAsia="Courier New"/>
          <w:color w:val="000000"/>
          <w:sz w:val="22"/>
          <w:szCs w:val="22"/>
          <w:lang w:eastAsia="en-US"/>
        </w:rPr>
      </w:pPr>
      <w:r w:rsidRPr="00787EA7">
        <w:rPr>
          <w:rFonts w:eastAsia="Courier New"/>
          <w:color w:val="000000"/>
          <w:sz w:val="22"/>
          <w:szCs w:val="22"/>
          <w:lang w:eastAsia="en-US"/>
        </w:rPr>
        <w:t>АННОТАЦИЯ: Изучено финансовое состояние ПАО «Агр</w:t>
      </w:r>
      <w:r w:rsidRPr="00787EA7">
        <w:rPr>
          <w:rFonts w:eastAsia="Courier New"/>
          <w:color w:val="000000"/>
          <w:sz w:val="22"/>
          <w:szCs w:val="22"/>
          <w:lang w:eastAsia="en-US"/>
        </w:rPr>
        <w:t>о</w:t>
      </w:r>
      <w:r w:rsidRPr="00787EA7">
        <w:rPr>
          <w:rFonts w:eastAsia="Courier New"/>
          <w:color w:val="000000"/>
          <w:sz w:val="22"/>
          <w:szCs w:val="22"/>
          <w:lang w:eastAsia="en-US"/>
        </w:rPr>
        <w:t>комбинат «Тепличный». Предложено использовать свободные д</w:t>
      </w:r>
      <w:r w:rsidRPr="00787EA7">
        <w:rPr>
          <w:rFonts w:eastAsia="Courier New"/>
          <w:color w:val="000000"/>
          <w:sz w:val="22"/>
          <w:szCs w:val="22"/>
          <w:lang w:eastAsia="en-US"/>
        </w:rPr>
        <w:t>е</w:t>
      </w:r>
      <w:r w:rsidRPr="00787EA7">
        <w:rPr>
          <w:rFonts w:eastAsia="Courier New"/>
          <w:color w:val="000000"/>
          <w:sz w:val="22"/>
          <w:szCs w:val="22"/>
          <w:lang w:eastAsia="en-US"/>
        </w:rPr>
        <w:t xml:space="preserve">нежные средства на строительство овощехранилища – как наиболее востребованный вид дополнительных услуг. </w:t>
      </w:r>
    </w:p>
    <w:p w:rsidR="00724342" w:rsidRPr="00787EA7" w:rsidRDefault="00724342" w:rsidP="00724342">
      <w:pPr>
        <w:widowControl w:val="0"/>
        <w:tabs>
          <w:tab w:val="left" w:pos="8223"/>
        </w:tabs>
        <w:ind w:firstLine="426"/>
        <w:jc w:val="both"/>
        <w:rPr>
          <w:rFonts w:eastAsia="Courier New"/>
          <w:color w:val="000000"/>
          <w:sz w:val="22"/>
          <w:szCs w:val="22"/>
          <w:lang w:val="en-US" w:eastAsia="en-US"/>
        </w:rPr>
      </w:pPr>
      <w:r w:rsidRPr="00787EA7">
        <w:rPr>
          <w:rFonts w:eastAsia="Courier New"/>
          <w:color w:val="000000"/>
          <w:sz w:val="22"/>
          <w:szCs w:val="22"/>
          <w:lang w:val="en-US" w:eastAsia="en-US"/>
        </w:rPr>
        <w:t xml:space="preserve">ABSTRACT: </w:t>
      </w:r>
      <w:r w:rsidRPr="00787EA7">
        <w:rPr>
          <w:rFonts w:eastAsia="Calibri"/>
          <w:sz w:val="22"/>
          <w:szCs w:val="22"/>
          <w:shd w:val="clear" w:color="auto" w:fill="FFFFFF"/>
          <w:lang w:val="en-US" w:eastAsia="en-US"/>
        </w:rPr>
        <w:t>Studied the financial condition of JSC "Agrokomb</w:t>
      </w:r>
      <w:r w:rsidRPr="00787EA7">
        <w:rPr>
          <w:rFonts w:eastAsia="Calibri"/>
          <w:sz w:val="22"/>
          <w:szCs w:val="22"/>
          <w:shd w:val="clear" w:color="auto" w:fill="FFFFFF"/>
          <w:lang w:val="en-US" w:eastAsia="en-US"/>
        </w:rPr>
        <w:t>i</w:t>
      </w:r>
      <w:r w:rsidRPr="00787EA7">
        <w:rPr>
          <w:rFonts w:eastAsia="Calibri"/>
          <w:sz w:val="22"/>
          <w:szCs w:val="22"/>
          <w:shd w:val="clear" w:color="auto" w:fill="FFFFFF"/>
          <w:lang w:val="en-US" w:eastAsia="en-US"/>
        </w:rPr>
        <w:t>nat "Greenhouse". It is offered to use free money for construction of vegetable storehouse – as the most demanded type of additional services.</w:t>
      </w:r>
    </w:p>
    <w:p w:rsidR="00724342" w:rsidRPr="00787EA7" w:rsidRDefault="00724342" w:rsidP="00724342">
      <w:pPr>
        <w:widowControl w:val="0"/>
        <w:tabs>
          <w:tab w:val="left" w:pos="8223"/>
        </w:tabs>
        <w:ind w:firstLine="426"/>
        <w:jc w:val="both"/>
        <w:rPr>
          <w:rFonts w:eastAsia="Courier New"/>
          <w:color w:val="000000"/>
          <w:sz w:val="22"/>
          <w:szCs w:val="22"/>
          <w:lang w:eastAsia="en-US"/>
        </w:rPr>
      </w:pPr>
      <w:r w:rsidRPr="00787EA7">
        <w:rPr>
          <w:rFonts w:eastAsia="Courier New"/>
          <w:color w:val="000000"/>
          <w:sz w:val="22"/>
          <w:szCs w:val="22"/>
          <w:lang w:eastAsia="en-US"/>
        </w:rPr>
        <w:t>КЛЮЧЕВЫЕ СЛОВА: финансовая устойчивость, овощехран</w:t>
      </w:r>
      <w:r w:rsidRPr="00787EA7">
        <w:rPr>
          <w:rFonts w:eastAsia="Courier New"/>
          <w:color w:val="000000"/>
          <w:sz w:val="22"/>
          <w:szCs w:val="22"/>
          <w:lang w:eastAsia="en-US"/>
        </w:rPr>
        <w:t>и</w:t>
      </w:r>
      <w:r w:rsidRPr="00787EA7">
        <w:rPr>
          <w:rFonts w:eastAsia="Courier New"/>
          <w:color w:val="000000"/>
          <w:sz w:val="22"/>
          <w:szCs w:val="22"/>
          <w:lang w:eastAsia="en-US"/>
        </w:rPr>
        <w:t>лище, рентабельность, свободные денежные средства.</w:t>
      </w:r>
    </w:p>
    <w:p w:rsidR="00724342" w:rsidRPr="00787EA7" w:rsidRDefault="00724342" w:rsidP="00724342">
      <w:pPr>
        <w:widowControl w:val="0"/>
        <w:tabs>
          <w:tab w:val="left" w:pos="8223"/>
        </w:tabs>
        <w:ind w:firstLine="426"/>
        <w:jc w:val="both"/>
        <w:rPr>
          <w:rFonts w:eastAsia="Courier New"/>
          <w:sz w:val="22"/>
          <w:szCs w:val="22"/>
          <w:lang w:val="en-US" w:eastAsia="en-US"/>
        </w:rPr>
      </w:pPr>
      <w:r w:rsidRPr="00787EA7">
        <w:rPr>
          <w:rFonts w:eastAsia="Courier New"/>
          <w:color w:val="000000"/>
          <w:sz w:val="22"/>
          <w:szCs w:val="22"/>
          <w:lang w:val="en-US" w:eastAsia="en-US"/>
        </w:rPr>
        <w:t xml:space="preserve">KEYWORDS: </w:t>
      </w:r>
      <w:r w:rsidRPr="00787EA7">
        <w:rPr>
          <w:rFonts w:eastAsia="Calibri"/>
          <w:sz w:val="22"/>
          <w:szCs w:val="22"/>
          <w:shd w:val="clear" w:color="auto" w:fill="FFFFFF"/>
          <w:lang w:val="en-US" w:eastAsia="en-US"/>
        </w:rPr>
        <w:t>financial stability, vegetable storage, profitability, free cash.</w:t>
      </w:r>
    </w:p>
    <w:p w:rsidR="00724342" w:rsidRPr="00787EA7" w:rsidRDefault="00724342" w:rsidP="00724342">
      <w:pPr>
        <w:widowControl w:val="0"/>
        <w:tabs>
          <w:tab w:val="left" w:pos="8223"/>
        </w:tabs>
        <w:ind w:firstLine="426"/>
        <w:jc w:val="both"/>
        <w:rPr>
          <w:rFonts w:eastAsia="Courier New"/>
          <w:color w:val="000000"/>
          <w:sz w:val="22"/>
          <w:szCs w:val="22"/>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color w:val="000000"/>
          <w:sz w:val="22"/>
          <w:szCs w:val="22"/>
          <w:lang w:eastAsia="en-US"/>
        </w:rPr>
        <w:lastRenderedPageBreak/>
        <w:t>В условиях развивающегося сельского хозяйства бизнес в о</w:t>
      </w:r>
      <w:r w:rsidRPr="00787EA7">
        <w:rPr>
          <w:rFonts w:eastAsia="Calibri"/>
          <w:color w:val="000000"/>
          <w:sz w:val="22"/>
          <w:szCs w:val="22"/>
          <w:lang w:eastAsia="en-US"/>
        </w:rPr>
        <w:t>б</w:t>
      </w:r>
      <w:r w:rsidRPr="00787EA7">
        <w:rPr>
          <w:rFonts w:eastAsia="Calibri"/>
          <w:color w:val="000000"/>
          <w:sz w:val="22"/>
          <w:szCs w:val="22"/>
          <w:lang w:eastAsia="en-US"/>
        </w:rPr>
        <w:t>ласти хранения овощей весьма рентабелен и востребован. Многие производители овощей сталкиваются с проблемой, как сохранить как можно дольше своего урожай. Содержать свой, собственный склад под силу не каждому хозяйству, а только рентабельному и финансово устойчивому. Ведь для него требуется место, помещ</w:t>
      </w:r>
      <w:r w:rsidRPr="00787EA7">
        <w:rPr>
          <w:rFonts w:eastAsia="Calibri"/>
          <w:color w:val="000000"/>
          <w:sz w:val="22"/>
          <w:szCs w:val="22"/>
          <w:lang w:eastAsia="en-US"/>
        </w:rPr>
        <w:t>е</w:t>
      </w:r>
      <w:r w:rsidRPr="00787EA7">
        <w:rPr>
          <w:rFonts w:eastAsia="Calibri"/>
          <w:color w:val="000000"/>
          <w:sz w:val="22"/>
          <w:szCs w:val="22"/>
          <w:lang w:eastAsia="en-US"/>
        </w:rPr>
        <w:t>ние, оборудование и персонал. Многие производители отмечают, что пользоваться услугами овощехранилищ выгодней, чем соде</w:t>
      </w:r>
      <w:r w:rsidRPr="00787EA7">
        <w:rPr>
          <w:rFonts w:eastAsia="Calibri"/>
          <w:color w:val="000000"/>
          <w:sz w:val="22"/>
          <w:szCs w:val="22"/>
          <w:lang w:eastAsia="en-US"/>
        </w:rPr>
        <w:t>р</w:t>
      </w:r>
      <w:r w:rsidRPr="00787EA7">
        <w:rPr>
          <w:rFonts w:eastAsia="Calibri"/>
          <w:color w:val="000000"/>
          <w:sz w:val="22"/>
          <w:szCs w:val="22"/>
          <w:lang w:eastAsia="en-US"/>
        </w:rPr>
        <w:t>жать собственное [1].</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Исследования проводились на примере деятельности ПАО «Агрокомбинат «Тепличный». По результатам проведенного анал</w:t>
      </w:r>
      <w:r w:rsidRPr="00787EA7">
        <w:rPr>
          <w:rFonts w:eastAsia="Calibri"/>
          <w:sz w:val="22"/>
          <w:szCs w:val="22"/>
          <w:lang w:eastAsia="en-US"/>
        </w:rPr>
        <w:t>и</w:t>
      </w:r>
      <w:r w:rsidRPr="00787EA7">
        <w:rPr>
          <w:rFonts w:eastAsia="Calibri"/>
          <w:sz w:val="22"/>
          <w:szCs w:val="22"/>
          <w:lang w:eastAsia="en-US"/>
        </w:rPr>
        <w:t>за, выявлено, что финансовое состояние организации абсолютно устойчивое, хозяйство имеет большое количество финансовых вл</w:t>
      </w:r>
      <w:r w:rsidRPr="00787EA7">
        <w:rPr>
          <w:rFonts w:eastAsia="Calibri"/>
          <w:sz w:val="22"/>
          <w:szCs w:val="22"/>
          <w:lang w:eastAsia="en-US"/>
        </w:rPr>
        <w:t>о</w:t>
      </w:r>
      <w:r w:rsidRPr="00787EA7">
        <w:rPr>
          <w:rFonts w:eastAsia="Calibri"/>
          <w:sz w:val="22"/>
          <w:szCs w:val="22"/>
          <w:lang w:eastAsia="en-US"/>
        </w:rPr>
        <w:t xml:space="preserve">жений, которые по своей сути приносят небольшие доходы. Доходы по финансовым вложениям составляют примерно 0,5 %. Одним из вариантов использования сводных денежных средств предлагается – направить средства которые находятся в финансовых вложениях в инвестиционный проект по строительству овощехранилища. </w:t>
      </w:r>
    </w:p>
    <w:p w:rsidR="00724342" w:rsidRPr="00787EA7" w:rsidRDefault="00724342" w:rsidP="00724342">
      <w:pPr>
        <w:ind w:firstLine="426"/>
        <w:jc w:val="both"/>
        <w:rPr>
          <w:rFonts w:eastAsia="Calibri"/>
          <w:sz w:val="22"/>
          <w:szCs w:val="22"/>
          <w:lang w:eastAsia="en-US"/>
        </w:rPr>
      </w:pPr>
      <w:r w:rsidRPr="00787EA7">
        <w:rPr>
          <w:rFonts w:eastAsia="Calibri"/>
          <w:color w:val="000000"/>
          <w:sz w:val="22"/>
          <w:szCs w:val="22"/>
          <w:lang w:eastAsia="en-US"/>
        </w:rPr>
        <w:t xml:space="preserve">Проведенные исследования показали, что на первоначальном этапе строительство и приобретение </w:t>
      </w:r>
      <w:r w:rsidRPr="00787EA7">
        <w:rPr>
          <w:rFonts w:eastAsia="Calibri"/>
          <w:bCs/>
          <w:sz w:val="22"/>
          <w:szCs w:val="22"/>
          <w:bdr w:val="none" w:sz="0" w:space="0" w:color="auto" w:frame="1"/>
          <w:shd w:val="clear" w:color="auto" w:fill="FFFFFF"/>
          <w:lang w:eastAsia="en-US"/>
        </w:rPr>
        <w:t xml:space="preserve">системы автоматического управления температурой и влажностью </w:t>
      </w:r>
      <w:r w:rsidRPr="00787EA7">
        <w:rPr>
          <w:rFonts w:eastAsia="Calibri"/>
          <w:sz w:val="22"/>
          <w:szCs w:val="22"/>
          <w:lang w:eastAsia="en-US"/>
        </w:rPr>
        <w:t>обойдется примерно в 10 млн. руб. в дальнейшем регулярные расходы составят 1100 тыс. руб. Регулярные расходы включают оплату труда, хранение пр</w:t>
      </w:r>
      <w:r w:rsidRPr="00787EA7">
        <w:rPr>
          <w:rFonts w:eastAsia="Calibri"/>
          <w:sz w:val="22"/>
          <w:szCs w:val="22"/>
          <w:lang w:eastAsia="en-US"/>
        </w:rPr>
        <w:t>о</w:t>
      </w:r>
      <w:r w:rsidRPr="00787EA7">
        <w:rPr>
          <w:rFonts w:eastAsia="Calibri"/>
          <w:sz w:val="22"/>
          <w:szCs w:val="22"/>
          <w:lang w:eastAsia="en-US"/>
        </w:rPr>
        <w:t>дукции, налоги и рекламу. Прогнозируемы ежемесячные доходы от хранения овощей в деревянных поддонах, при загрузке площадей в 50 % хранилища на 10 000 тонн и при сдаче остальных площадей в аренду по 50 руб./м</w:t>
      </w:r>
      <w:r w:rsidRPr="00787EA7">
        <w:rPr>
          <w:rFonts w:eastAsia="Calibri"/>
          <w:sz w:val="22"/>
          <w:szCs w:val="22"/>
          <w:vertAlign w:val="superscript"/>
          <w:lang w:eastAsia="en-US"/>
        </w:rPr>
        <w:t>2</w:t>
      </w:r>
      <w:r w:rsidRPr="00787EA7">
        <w:rPr>
          <w:rFonts w:eastAsia="Calibri"/>
          <w:sz w:val="22"/>
          <w:szCs w:val="22"/>
          <w:lang w:eastAsia="en-US"/>
        </w:rPr>
        <w:t xml:space="preserve">составят 400 тыс. руб. </w:t>
      </w:r>
    </w:p>
    <w:p w:rsidR="00724342" w:rsidRPr="00CE4C84" w:rsidRDefault="00724342" w:rsidP="00CE4C84">
      <w:pPr>
        <w:ind w:firstLine="426"/>
        <w:jc w:val="both"/>
        <w:rPr>
          <w:rFonts w:eastAsia="Calibri"/>
          <w:sz w:val="22"/>
          <w:szCs w:val="22"/>
          <w:lang w:eastAsia="en-US"/>
        </w:rPr>
      </w:pPr>
      <w:r w:rsidRPr="00787EA7">
        <w:rPr>
          <w:rFonts w:eastAsia="Calibri"/>
          <w:sz w:val="22"/>
          <w:szCs w:val="22"/>
          <w:shd w:val="clear" w:color="auto" w:fill="FFFFFF"/>
          <w:lang w:eastAsia="en-US"/>
        </w:rPr>
        <w:t>При грамотно построенной финансовой модели и правильно организованной работе проект окупит вложенные в него средства в течение 2-3 лет. После чего будет приносить высокую ежемесячную прибыль владельцу[2]. На первых этапах работы, при наличии пр</w:t>
      </w:r>
      <w:r w:rsidRPr="00787EA7">
        <w:rPr>
          <w:rFonts w:eastAsia="Calibri"/>
          <w:sz w:val="22"/>
          <w:szCs w:val="22"/>
          <w:shd w:val="clear" w:color="auto" w:fill="FFFFFF"/>
          <w:lang w:eastAsia="en-US"/>
        </w:rPr>
        <w:t>о</w:t>
      </w:r>
      <w:r w:rsidRPr="00787EA7">
        <w:rPr>
          <w:rFonts w:eastAsia="Calibri"/>
          <w:sz w:val="22"/>
          <w:szCs w:val="22"/>
          <w:shd w:val="clear" w:color="auto" w:fill="FFFFFF"/>
          <w:lang w:eastAsia="en-US"/>
        </w:rPr>
        <w:t>стаивающей пустой площади, для привлечения клиентов населению или организациям в качестве рекламной акции можно предложить заниженные тарифы на хранение продукции в течение 1-3 месяцев. Минимальные прибыли и хорошие отзывы лучше, чем простаив</w:t>
      </w:r>
      <w:r w:rsidRPr="00787EA7">
        <w:rPr>
          <w:rFonts w:eastAsia="Calibri"/>
          <w:sz w:val="22"/>
          <w:szCs w:val="22"/>
          <w:shd w:val="clear" w:color="auto" w:fill="FFFFFF"/>
          <w:lang w:eastAsia="en-US"/>
        </w:rPr>
        <w:t>а</w:t>
      </w:r>
      <w:r w:rsidRPr="00787EA7">
        <w:rPr>
          <w:rFonts w:eastAsia="Calibri"/>
          <w:sz w:val="22"/>
          <w:szCs w:val="22"/>
          <w:shd w:val="clear" w:color="auto" w:fill="FFFFFF"/>
          <w:lang w:eastAsia="en-US"/>
        </w:rPr>
        <w:t xml:space="preserve">ющие площади. </w:t>
      </w:r>
      <w:r w:rsidRPr="00787EA7">
        <w:rPr>
          <w:rFonts w:eastAsia="Calibri"/>
          <w:bCs/>
          <w:sz w:val="22"/>
          <w:szCs w:val="22"/>
          <w:bdr w:val="none" w:sz="0" w:space="0" w:color="auto" w:frame="1"/>
          <w:shd w:val="clear" w:color="auto" w:fill="FFFFFF"/>
          <w:lang w:eastAsia="en-US"/>
        </w:rPr>
        <w:t>Найти постоянных клиентов помогут приемлемые цены, удачное месторасположение, организованная система погру</w:t>
      </w:r>
      <w:r w:rsidRPr="00787EA7">
        <w:rPr>
          <w:rFonts w:eastAsia="Calibri"/>
          <w:bCs/>
          <w:sz w:val="22"/>
          <w:szCs w:val="22"/>
          <w:bdr w:val="none" w:sz="0" w:space="0" w:color="auto" w:frame="1"/>
          <w:shd w:val="clear" w:color="auto" w:fill="FFFFFF"/>
          <w:lang w:eastAsia="en-US"/>
        </w:rPr>
        <w:t>з</w:t>
      </w:r>
      <w:r w:rsidRPr="00787EA7">
        <w:rPr>
          <w:rFonts w:eastAsia="Calibri"/>
          <w:bCs/>
          <w:sz w:val="22"/>
          <w:szCs w:val="22"/>
          <w:bdr w:val="none" w:sz="0" w:space="0" w:color="auto" w:frame="1"/>
          <w:shd w:val="clear" w:color="auto" w:fill="FFFFFF"/>
          <w:lang w:eastAsia="en-US"/>
        </w:rPr>
        <w:t>ки-доставки, низкий уровень конкуренции.</w:t>
      </w:r>
    </w:p>
    <w:p w:rsidR="00724342" w:rsidRPr="00787EA7" w:rsidRDefault="00724342" w:rsidP="00724342">
      <w:pPr>
        <w:ind w:left="360"/>
        <w:jc w:val="center"/>
        <w:rPr>
          <w:rFonts w:eastAsia="Calibri"/>
          <w:color w:val="000000"/>
          <w:sz w:val="22"/>
          <w:szCs w:val="22"/>
          <w:lang w:eastAsia="en-US"/>
        </w:rPr>
      </w:pPr>
      <w:r w:rsidRPr="00787EA7">
        <w:rPr>
          <w:rFonts w:eastAsia="Calibri"/>
          <w:color w:val="000000"/>
          <w:sz w:val="22"/>
          <w:szCs w:val="22"/>
          <w:lang w:eastAsia="en-US"/>
        </w:rPr>
        <w:lastRenderedPageBreak/>
        <w:t>Список литературы</w:t>
      </w:r>
    </w:p>
    <w:p w:rsidR="00724342" w:rsidRPr="003F3918" w:rsidRDefault="00724342" w:rsidP="00724342">
      <w:pPr>
        <w:ind w:firstLine="426"/>
        <w:contextualSpacing/>
        <w:jc w:val="both"/>
        <w:rPr>
          <w:rFonts w:eastAsia="Calibri"/>
          <w:sz w:val="22"/>
          <w:szCs w:val="22"/>
          <w:lang w:eastAsia="en-US"/>
        </w:rPr>
      </w:pPr>
      <w:r w:rsidRPr="00787EA7">
        <w:rPr>
          <w:rFonts w:eastAsia="Calibri"/>
          <w:color w:val="000000"/>
          <w:sz w:val="22"/>
          <w:szCs w:val="22"/>
          <w:lang w:eastAsia="en-US"/>
        </w:rPr>
        <w:t xml:space="preserve">1. Сайт Бизнес идеи © </w:t>
      </w:r>
      <w:r w:rsidRPr="00787EA7">
        <w:rPr>
          <w:rFonts w:eastAsia="Calibri"/>
          <w:color w:val="000000"/>
          <w:sz w:val="22"/>
          <w:szCs w:val="22"/>
          <w:lang w:val="en-US" w:eastAsia="en-US"/>
        </w:rPr>
        <w:t>oplata</w:t>
      </w:r>
      <w:r w:rsidRPr="00787EA7">
        <w:rPr>
          <w:rFonts w:eastAsia="Calibri"/>
          <w:color w:val="000000"/>
          <w:sz w:val="22"/>
          <w:szCs w:val="22"/>
          <w:lang w:eastAsia="en-US"/>
        </w:rPr>
        <w:t>.</w:t>
      </w:r>
      <w:r w:rsidRPr="00787EA7">
        <w:rPr>
          <w:rFonts w:eastAsia="Calibri"/>
          <w:color w:val="000000"/>
          <w:sz w:val="22"/>
          <w:szCs w:val="22"/>
          <w:lang w:val="en-US" w:eastAsia="en-US"/>
        </w:rPr>
        <w:t>me</w:t>
      </w:r>
      <w:r w:rsidRPr="00787EA7">
        <w:rPr>
          <w:rFonts w:eastAsia="Calibri"/>
          <w:color w:val="000000"/>
          <w:sz w:val="22"/>
          <w:szCs w:val="22"/>
          <w:lang w:eastAsia="en-US"/>
        </w:rPr>
        <w:t xml:space="preserve"> Режим доступа: </w:t>
      </w:r>
      <w:hyperlink r:id="rId202" w:history="1">
        <w:r w:rsidRPr="003F3918">
          <w:rPr>
            <w:rFonts w:eastAsia="Calibri"/>
            <w:sz w:val="22"/>
            <w:szCs w:val="22"/>
            <w:lang w:val="en-US" w:eastAsia="en-US"/>
          </w:rPr>
          <w:t>http</w:t>
        </w:r>
        <w:r w:rsidRPr="003F3918">
          <w:rPr>
            <w:rFonts w:eastAsia="Calibri"/>
            <w:sz w:val="22"/>
            <w:szCs w:val="22"/>
            <w:lang w:eastAsia="en-US"/>
          </w:rPr>
          <w:t>://</w:t>
        </w:r>
        <w:r w:rsidRPr="003F3918">
          <w:rPr>
            <w:rFonts w:eastAsia="Calibri"/>
            <w:sz w:val="22"/>
            <w:szCs w:val="22"/>
            <w:lang w:val="en-US" w:eastAsia="en-US"/>
          </w:rPr>
          <w:t>oplata</w:t>
        </w:r>
        <w:r w:rsidRPr="003F3918">
          <w:rPr>
            <w:rFonts w:eastAsia="Calibri"/>
            <w:sz w:val="22"/>
            <w:szCs w:val="22"/>
            <w:lang w:eastAsia="en-US"/>
          </w:rPr>
          <w:t>.</w:t>
        </w:r>
        <w:r w:rsidRPr="003F3918">
          <w:rPr>
            <w:rFonts w:eastAsia="Calibri"/>
            <w:sz w:val="22"/>
            <w:szCs w:val="22"/>
            <w:lang w:val="en-US" w:eastAsia="en-US"/>
          </w:rPr>
          <w:t>me</w:t>
        </w:r>
        <w:r w:rsidRPr="003F3918">
          <w:rPr>
            <w:rFonts w:eastAsia="Calibri"/>
            <w:sz w:val="22"/>
            <w:szCs w:val="22"/>
            <w:lang w:eastAsia="en-US"/>
          </w:rPr>
          <w:t>/</w:t>
        </w:r>
        <w:r w:rsidRPr="003F3918">
          <w:rPr>
            <w:rFonts w:eastAsia="Calibri"/>
            <w:sz w:val="22"/>
            <w:szCs w:val="22"/>
            <w:lang w:val="en-US" w:eastAsia="en-US"/>
          </w:rPr>
          <w:t>selskoe</w:t>
        </w:r>
        <w:r w:rsidRPr="003F3918">
          <w:rPr>
            <w:rFonts w:eastAsia="Calibri"/>
            <w:sz w:val="22"/>
            <w:szCs w:val="22"/>
            <w:lang w:eastAsia="en-US"/>
          </w:rPr>
          <w:t>-</w:t>
        </w:r>
        <w:r w:rsidRPr="003F3918">
          <w:rPr>
            <w:rFonts w:eastAsia="Calibri"/>
            <w:sz w:val="22"/>
            <w:szCs w:val="22"/>
            <w:lang w:val="en-US" w:eastAsia="en-US"/>
          </w:rPr>
          <w:t>xozyajstvo</w:t>
        </w:r>
        <w:r w:rsidRPr="003F3918">
          <w:rPr>
            <w:rFonts w:eastAsia="Calibri"/>
            <w:sz w:val="22"/>
            <w:szCs w:val="22"/>
            <w:lang w:eastAsia="en-US"/>
          </w:rPr>
          <w:t>/</w:t>
        </w:r>
        <w:r w:rsidRPr="003F3918">
          <w:rPr>
            <w:rFonts w:eastAsia="Calibri"/>
            <w:sz w:val="22"/>
            <w:szCs w:val="22"/>
            <w:lang w:val="en-US" w:eastAsia="en-US"/>
          </w:rPr>
          <w:t>ovoshhehranilishhe</w:t>
        </w:r>
        <w:r w:rsidRPr="003F3918">
          <w:rPr>
            <w:rFonts w:eastAsia="Calibri"/>
            <w:sz w:val="22"/>
            <w:szCs w:val="22"/>
            <w:lang w:eastAsia="en-US"/>
          </w:rPr>
          <w:t>-</w:t>
        </w:r>
        <w:r w:rsidRPr="003F3918">
          <w:rPr>
            <w:rFonts w:eastAsia="Calibri"/>
            <w:sz w:val="22"/>
            <w:szCs w:val="22"/>
            <w:lang w:val="en-US" w:eastAsia="en-US"/>
          </w:rPr>
          <w:t>kak</w:t>
        </w:r>
        <w:r w:rsidRPr="003F3918">
          <w:rPr>
            <w:rFonts w:eastAsia="Calibri"/>
            <w:sz w:val="22"/>
            <w:szCs w:val="22"/>
            <w:lang w:eastAsia="en-US"/>
          </w:rPr>
          <w:t>-</w:t>
        </w:r>
        <w:r w:rsidRPr="003F3918">
          <w:rPr>
            <w:rFonts w:eastAsia="Calibri"/>
            <w:sz w:val="22"/>
            <w:szCs w:val="22"/>
            <w:lang w:val="en-US" w:eastAsia="en-US"/>
          </w:rPr>
          <w:t>biznes</w:t>
        </w:r>
        <w:r w:rsidRPr="003F3918">
          <w:rPr>
            <w:rFonts w:eastAsia="Calibri"/>
            <w:sz w:val="22"/>
            <w:szCs w:val="22"/>
            <w:lang w:eastAsia="en-US"/>
          </w:rPr>
          <w:t>.</w:t>
        </w:r>
        <w:r w:rsidRPr="003F3918">
          <w:rPr>
            <w:rFonts w:eastAsia="Calibri"/>
            <w:sz w:val="22"/>
            <w:szCs w:val="22"/>
            <w:lang w:val="en-US" w:eastAsia="en-US"/>
          </w:rPr>
          <w:t>html</w:t>
        </w:r>
      </w:hyperlink>
    </w:p>
    <w:p w:rsidR="00724342" w:rsidRPr="00787EA7" w:rsidRDefault="00724342" w:rsidP="00724342">
      <w:pPr>
        <w:shd w:val="clear" w:color="auto" w:fill="FFFFFF"/>
        <w:ind w:firstLine="426"/>
        <w:outlineLvl w:val="0"/>
        <w:rPr>
          <w:kern w:val="36"/>
          <w:sz w:val="22"/>
          <w:szCs w:val="22"/>
        </w:rPr>
      </w:pPr>
      <w:r w:rsidRPr="00787EA7">
        <w:rPr>
          <w:bCs/>
          <w:kern w:val="36"/>
          <w:sz w:val="22"/>
          <w:szCs w:val="22"/>
        </w:rPr>
        <w:t xml:space="preserve">2. Бизнес портал </w:t>
      </w:r>
      <w:r w:rsidRPr="00787EA7">
        <w:rPr>
          <w:kern w:val="36"/>
          <w:sz w:val="22"/>
          <w:szCs w:val="22"/>
          <w:bdr w:val="none" w:sz="0" w:space="0" w:color="auto" w:frame="1"/>
        </w:rPr>
        <w:t>dela.biz Режим доступа: http://dela.biz/biznes-idei/3766-ovoshhehranilishhe-kak-dohodnyiy-biznes.html</w:t>
      </w:r>
    </w:p>
    <w:p w:rsidR="00724342" w:rsidRPr="00787EA7" w:rsidRDefault="00724342" w:rsidP="00724342">
      <w:pPr>
        <w:spacing w:line="276" w:lineRule="auto"/>
        <w:ind w:firstLine="426"/>
        <w:jc w:val="both"/>
        <w:rPr>
          <w:rFonts w:eastAsia="Calibri"/>
          <w:sz w:val="22"/>
          <w:szCs w:val="22"/>
          <w:lang w:eastAsia="en-US"/>
        </w:rPr>
      </w:pPr>
    </w:p>
    <w:p w:rsidR="003F3918" w:rsidRDefault="003F3918" w:rsidP="00724342">
      <w:pPr>
        <w:jc w:val="both"/>
        <w:outlineLvl w:val="0"/>
        <w:rPr>
          <w:rFonts w:eastAsia="Calibri"/>
          <w:color w:val="000000"/>
          <w:sz w:val="22"/>
          <w:szCs w:val="22"/>
          <w:lang w:eastAsia="en-US"/>
        </w:rPr>
      </w:pPr>
    </w:p>
    <w:p w:rsidR="007543A3" w:rsidRDefault="007543A3" w:rsidP="00724342">
      <w:pPr>
        <w:jc w:val="both"/>
        <w:outlineLvl w:val="0"/>
        <w:rPr>
          <w:rFonts w:eastAsia="Calibri"/>
          <w:color w:val="000000"/>
          <w:sz w:val="22"/>
          <w:szCs w:val="22"/>
          <w:lang w:eastAsia="en-US"/>
        </w:rPr>
      </w:pPr>
    </w:p>
    <w:p w:rsidR="00724342" w:rsidRPr="00787EA7" w:rsidRDefault="00724342" w:rsidP="00724342">
      <w:pPr>
        <w:jc w:val="both"/>
        <w:outlineLvl w:val="0"/>
        <w:rPr>
          <w:rFonts w:eastAsia="Calibri"/>
          <w:color w:val="000000"/>
          <w:sz w:val="22"/>
          <w:szCs w:val="22"/>
          <w:lang w:eastAsia="en-US"/>
        </w:rPr>
      </w:pPr>
      <w:r w:rsidRPr="00787EA7">
        <w:rPr>
          <w:rFonts w:eastAsia="Calibri"/>
          <w:color w:val="000000"/>
          <w:sz w:val="22"/>
          <w:szCs w:val="22"/>
          <w:lang w:eastAsia="en-US"/>
        </w:rPr>
        <w:t xml:space="preserve">УДК </w:t>
      </w:r>
      <w:r w:rsidRPr="00787EA7">
        <w:rPr>
          <w:rFonts w:eastAsia="Calibri"/>
          <w:sz w:val="22"/>
          <w:szCs w:val="22"/>
          <w:lang w:eastAsia="en-US"/>
        </w:rPr>
        <w:t>658.152.5</w:t>
      </w:r>
    </w:p>
    <w:p w:rsidR="00724342" w:rsidRPr="00787EA7" w:rsidRDefault="00724342" w:rsidP="00724342">
      <w:pPr>
        <w:jc w:val="both"/>
        <w:rPr>
          <w:rFonts w:eastAsia="Calibri"/>
          <w:color w:val="000000"/>
          <w:sz w:val="20"/>
          <w:szCs w:val="20"/>
          <w:lang w:eastAsia="en-US"/>
        </w:rPr>
      </w:pPr>
    </w:p>
    <w:p w:rsidR="00724342" w:rsidRPr="00787EA7" w:rsidRDefault="00724342" w:rsidP="00724342">
      <w:pPr>
        <w:ind w:right="-114"/>
        <w:jc w:val="center"/>
        <w:outlineLvl w:val="0"/>
        <w:rPr>
          <w:rFonts w:eastAsia="Calibri"/>
          <w:b/>
          <w:sz w:val="24"/>
          <w:szCs w:val="24"/>
          <w:lang w:eastAsia="en-US"/>
        </w:rPr>
      </w:pPr>
      <w:r w:rsidRPr="00787EA7">
        <w:rPr>
          <w:rFonts w:eastAsia="Calibri"/>
          <w:b/>
          <w:sz w:val="24"/>
          <w:szCs w:val="24"/>
          <w:lang w:eastAsia="en-US"/>
        </w:rPr>
        <w:t>Амортизация как инструмент инвестиционного</w:t>
      </w:r>
    </w:p>
    <w:p w:rsidR="00724342" w:rsidRPr="00787EA7" w:rsidRDefault="00724342" w:rsidP="00724342">
      <w:pPr>
        <w:ind w:right="-114"/>
        <w:jc w:val="center"/>
        <w:rPr>
          <w:rFonts w:eastAsia="Calibri"/>
          <w:b/>
          <w:sz w:val="24"/>
          <w:szCs w:val="24"/>
          <w:lang w:eastAsia="en-US"/>
        </w:rPr>
      </w:pPr>
      <w:r w:rsidRPr="00787EA7">
        <w:rPr>
          <w:rFonts w:eastAsia="Calibri"/>
          <w:b/>
          <w:sz w:val="24"/>
          <w:szCs w:val="24"/>
          <w:lang w:eastAsia="en-US"/>
        </w:rPr>
        <w:t>развития организации</w:t>
      </w:r>
    </w:p>
    <w:p w:rsidR="00724342" w:rsidRPr="00787EA7" w:rsidRDefault="00724342" w:rsidP="00724342">
      <w:pPr>
        <w:ind w:right="-114"/>
        <w:jc w:val="center"/>
        <w:rPr>
          <w:rFonts w:eastAsia="Calibri"/>
          <w:b/>
          <w:sz w:val="24"/>
          <w:szCs w:val="24"/>
          <w:lang w:val="en-US" w:eastAsia="en-US"/>
        </w:rPr>
      </w:pPr>
      <w:r w:rsidRPr="00787EA7">
        <w:rPr>
          <w:rFonts w:eastAsia="Calibri"/>
          <w:b/>
          <w:sz w:val="24"/>
          <w:szCs w:val="24"/>
          <w:lang w:val="en-US" w:eastAsia="en-US"/>
        </w:rPr>
        <w:t>Depreciation as an instrument of investment development</w:t>
      </w:r>
    </w:p>
    <w:p w:rsidR="00724342" w:rsidRPr="00787EA7" w:rsidRDefault="00724342" w:rsidP="00724342">
      <w:pPr>
        <w:ind w:right="-114"/>
        <w:jc w:val="center"/>
        <w:rPr>
          <w:rFonts w:eastAsia="Calibri"/>
          <w:b/>
          <w:sz w:val="24"/>
          <w:szCs w:val="24"/>
          <w:lang w:val="en-US" w:eastAsia="en-US"/>
        </w:rPr>
      </w:pPr>
      <w:r w:rsidRPr="00787EA7">
        <w:rPr>
          <w:rFonts w:eastAsia="Calibri"/>
          <w:b/>
          <w:sz w:val="24"/>
          <w:szCs w:val="24"/>
          <w:lang w:val="en-US" w:eastAsia="en-US"/>
        </w:rPr>
        <w:t>for the organization</w:t>
      </w:r>
    </w:p>
    <w:p w:rsidR="00724342" w:rsidRPr="00787EA7" w:rsidRDefault="00724342" w:rsidP="00724342">
      <w:pPr>
        <w:ind w:left="-142" w:right="-114" w:firstLine="425"/>
        <w:jc w:val="both"/>
        <w:rPr>
          <w:rFonts w:eastAsia="Calibri"/>
          <w:b/>
          <w:sz w:val="22"/>
          <w:szCs w:val="22"/>
          <w:lang w:val="en-US" w:eastAsia="en-US"/>
        </w:rPr>
      </w:pPr>
    </w:p>
    <w:p w:rsidR="00724342" w:rsidRPr="00787EA7" w:rsidRDefault="00724342" w:rsidP="00724342">
      <w:pPr>
        <w:widowControl w:val="0"/>
        <w:tabs>
          <w:tab w:val="left" w:pos="8223"/>
        </w:tabs>
        <w:jc w:val="right"/>
        <w:rPr>
          <w:rFonts w:eastAsia="Courier New"/>
          <w:color w:val="000000"/>
          <w:sz w:val="22"/>
          <w:szCs w:val="22"/>
          <w:lang w:val="en-US" w:eastAsia="en-US"/>
        </w:rPr>
      </w:pPr>
      <w:r w:rsidRPr="00787EA7">
        <w:rPr>
          <w:rFonts w:eastAsia="Courier New"/>
          <w:color w:val="000000"/>
          <w:sz w:val="22"/>
          <w:szCs w:val="22"/>
          <w:lang w:eastAsia="en-US"/>
        </w:rPr>
        <w:t>Ионина</w:t>
      </w:r>
      <w:r w:rsidRPr="00176F7A">
        <w:rPr>
          <w:rFonts w:eastAsia="Courier New"/>
          <w:color w:val="000000"/>
          <w:sz w:val="22"/>
          <w:szCs w:val="22"/>
          <w:lang w:val="en-US" w:eastAsia="en-US"/>
        </w:rPr>
        <w:t xml:space="preserve"> </w:t>
      </w:r>
      <w:r w:rsidRPr="00787EA7">
        <w:rPr>
          <w:rFonts w:eastAsia="Courier New"/>
          <w:color w:val="000000"/>
          <w:sz w:val="22"/>
          <w:szCs w:val="22"/>
          <w:lang w:eastAsia="en-US"/>
        </w:rPr>
        <w:t>О</w:t>
      </w:r>
      <w:r w:rsidRPr="00787EA7">
        <w:rPr>
          <w:rFonts w:eastAsia="Courier New"/>
          <w:color w:val="000000"/>
          <w:sz w:val="22"/>
          <w:szCs w:val="22"/>
          <w:lang w:val="en-US" w:eastAsia="en-US"/>
        </w:rPr>
        <w:t xml:space="preserve">. </w:t>
      </w:r>
      <w:r w:rsidRPr="00787EA7">
        <w:rPr>
          <w:rFonts w:eastAsia="Courier New"/>
          <w:color w:val="000000"/>
          <w:sz w:val="22"/>
          <w:szCs w:val="22"/>
          <w:lang w:eastAsia="en-US"/>
        </w:rPr>
        <w:t>А</w:t>
      </w:r>
      <w:r w:rsidRPr="00787EA7">
        <w:rPr>
          <w:rFonts w:eastAsia="Courier New"/>
          <w:color w:val="000000"/>
          <w:sz w:val="22"/>
          <w:szCs w:val="22"/>
          <w:lang w:val="en-US" w:eastAsia="en-US"/>
        </w:rPr>
        <w:t>.,</w:t>
      </w:r>
    </w:p>
    <w:p w:rsidR="00724342" w:rsidRPr="00787EA7" w:rsidRDefault="003F3918" w:rsidP="00724342">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м</w:t>
      </w:r>
      <w:r w:rsidR="00724342" w:rsidRPr="00787EA7">
        <w:rPr>
          <w:rFonts w:eastAsia="Courier New"/>
          <w:color w:val="000000"/>
          <w:sz w:val="22"/>
          <w:szCs w:val="22"/>
          <w:lang w:eastAsia="en-US"/>
        </w:rPr>
        <w:t>агистрант</w:t>
      </w:r>
      <w:r>
        <w:rPr>
          <w:rFonts w:eastAsia="Courier New"/>
          <w:color w:val="000000"/>
          <w:sz w:val="22"/>
          <w:szCs w:val="22"/>
          <w:lang w:eastAsia="en-US"/>
        </w:rPr>
        <w:t xml:space="preserve"> </w:t>
      </w:r>
      <w:r w:rsidR="00724342" w:rsidRPr="00787EA7">
        <w:rPr>
          <w:rFonts w:eastAsia="Courier New"/>
          <w:color w:val="000000"/>
          <w:sz w:val="22"/>
          <w:szCs w:val="22"/>
          <w:lang w:eastAsia="en-US"/>
        </w:rPr>
        <w:t>2-го курса факультета «Финансы и кредит»</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Халявка И. Е.,</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доцент кафедры экономики предприятий</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 xml:space="preserve">Кубанский государственный аграрный </w:t>
      </w:r>
    </w:p>
    <w:p w:rsidR="00724342" w:rsidRPr="00787EA7" w:rsidRDefault="00724342" w:rsidP="00724342">
      <w:pPr>
        <w:widowControl w:val="0"/>
        <w:tabs>
          <w:tab w:val="left" w:pos="8223"/>
        </w:tabs>
        <w:jc w:val="right"/>
        <w:rPr>
          <w:rFonts w:eastAsia="Courier New"/>
          <w:color w:val="000000"/>
          <w:sz w:val="22"/>
          <w:szCs w:val="22"/>
          <w:lang w:eastAsia="en-US"/>
        </w:rPr>
      </w:pPr>
      <w:r w:rsidRPr="00787EA7">
        <w:rPr>
          <w:rFonts w:eastAsia="Courier New"/>
          <w:color w:val="000000"/>
          <w:sz w:val="22"/>
          <w:szCs w:val="22"/>
          <w:lang w:eastAsia="en-US"/>
        </w:rPr>
        <w:t>университет имени И.</w:t>
      </w:r>
      <w:r w:rsidR="003F3918">
        <w:rPr>
          <w:rFonts w:eastAsia="Courier New"/>
          <w:color w:val="000000"/>
          <w:sz w:val="22"/>
          <w:szCs w:val="22"/>
          <w:lang w:eastAsia="en-US"/>
        </w:rPr>
        <w:t xml:space="preserve"> </w:t>
      </w:r>
      <w:r w:rsidRPr="00787EA7">
        <w:rPr>
          <w:rFonts w:eastAsia="Courier New"/>
          <w:color w:val="000000"/>
          <w:sz w:val="22"/>
          <w:szCs w:val="22"/>
          <w:lang w:eastAsia="en-US"/>
        </w:rPr>
        <w:t>Т. Трубилина</w:t>
      </w:r>
    </w:p>
    <w:p w:rsidR="00724342" w:rsidRPr="00787EA7" w:rsidRDefault="00724342" w:rsidP="00724342">
      <w:pPr>
        <w:jc w:val="right"/>
        <w:rPr>
          <w:rFonts w:eastAsia="Calibri"/>
          <w:i/>
          <w:color w:val="000000"/>
          <w:sz w:val="20"/>
          <w:szCs w:val="20"/>
          <w:lang w:eastAsia="en-US"/>
        </w:rPr>
      </w:pPr>
    </w:p>
    <w:p w:rsidR="00724342" w:rsidRPr="00787EA7" w:rsidRDefault="00724342" w:rsidP="00724342">
      <w:pPr>
        <w:jc w:val="both"/>
        <w:rPr>
          <w:rFonts w:eastAsia="Calibri"/>
          <w:sz w:val="22"/>
          <w:szCs w:val="22"/>
          <w:lang w:eastAsia="en-US"/>
        </w:rPr>
      </w:pPr>
    </w:p>
    <w:p w:rsidR="00724342" w:rsidRPr="00787EA7" w:rsidRDefault="00724342" w:rsidP="00724342">
      <w:pPr>
        <w:ind w:firstLine="426"/>
        <w:jc w:val="both"/>
        <w:rPr>
          <w:rFonts w:eastAsia="Calibri"/>
          <w:color w:val="000000"/>
          <w:sz w:val="22"/>
          <w:szCs w:val="22"/>
          <w:lang w:eastAsia="en-US"/>
        </w:rPr>
      </w:pPr>
      <w:r w:rsidRPr="00787EA7">
        <w:rPr>
          <w:rFonts w:eastAsia="Calibri"/>
          <w:sz w:val="22"/>
          <w:szCs w:val="22"/>
          <w:lang w:eastAsia="en-US"/>
        </w:rPr>
        <w:t xml:space="preserve">АННОТАЦИЯ: </w:t>
      </w:r>
      <w:r w:rsidRPr="00787EA7">
        <w:rPr>
          <w:rFonts w:eastAsia="Calibri"/>
          <w:color w:val="000000"/>
          <w:sz w:val="22"/>
          <w:szCs w:val="22"/>
          <w:lang w:eastAsia="en-US"/>
        </w:rPr>
        <w:t>Возрастает роль учета амортизации основных средств хозяйствующих субъектов как финансового источника р</w:t>
      </w:r>
      <w:r w:rsidRPr="00787EA7">
        <w:rPr>
          <w:rFonts w:eastAsia="Calibri"/>
          <w:color w:val="000000"/>
          <w:sz w:val="22"/>
          <w:szCs w:val="22"/>
          <w:lang w:eastAsia="en-US"/>
        </w:rPr>
        <w:t>е</w:t>
      </w:r>
      <w:r w:rsidRPr="00787EA7">
        <w:rPr>
          <w:rFonts w:eastAsia="Calibri"/>
          <w:color w:val="000000"/>
          <w:sz w:val="22"/>
          <w:szCs w:val="22"/>
          <w:lang w:eastAsia="en-US"/>
        </w:rPr>
        <w:t xml:space="preserve">шения проблемы их замены. </w:t>
      </w:r>
      <w:r w:rsidRPr="00787EA7">
        <w:rPr>
          <w:rFonts w:eastAsia="Calibri"/>
          <w:sz w:val="22"/>
          <w:szCs w:val="22"/>
          <w:lang w:eastAsia="en-US"/>
        </w:rPr>
        <w:t>П</w:t>
      </w:r>
      <w:r w:rsidRPr="00787EA7">
        <w:rPr>
          <w:rFonts w:eastAsia="Calibri"/>
          <w:color w:val="000000"/>
          <w:sz w:val="22"/>
          <w:szCs w:val="22"/>
          <w:lang w:eastAsia="en-US"/>
        </w:rPr>
        <w:t>равильно подобранная политика в области амортизации позволяет организации обеспечить эконом</w:t>
      </w:r>
      <w:r w:rsidRPr="00787EA7">
        <w:rPr>
          <w:rFonts w:eastAsia="Calibri"/>
          <w:color w:val="000000"/>
          <w:sz w:val="22"/>
          <w:szCs w:val="22"/>
          <w:lang w:eastAsia="en-US"/>
        </w:rPr>
        <w:t>и</w:t>
      </w:r>
      <w:r w:rsidRPr="00787EA7">
        <w:rPr>
          <w:rFonts w:eastAsia="Calibri"/>
          <w:color w:val="000000"/>
          <w:sz w:val="22"/>
          <w:szCs w:val="22"/>
          <w:lang w:eastAsia="en-US"/>
        </w:rPr>
        <w:t>ческий рост.</w:t>
      </w:r>
    </w:p>
    <w:p w:rsidR="00724342" w:rsidRPr="00787EA7" w:rsidRDefault="00724342" w:rsidP="00724342">
      <w:pPr>
        <w:ind w:firstLine="426"/>
        <w:jc w:val="both"/>
        <w:rPr>
          <w:rFonts w:eastAsia="Calibri"/>
          <w:sz w:val="22"/>
          <w:szCs w:val="22"/>
          <w:lang w:val="en-US" w:eastAsia="en-US"/>
        </w:rPr>
      </w:pPr>
      <w:r w:rsidRPr="00787EA7">
        <w:rPr>
          <w:rFonts w:eastAsia="Courier New"/>
          <w:color w:val="000000"/>
          <w:sz w:val="22"/>
          <w:szCs w:val="22"/>
          <w:lang w:val="en-US" w:eastAsia="en-US"/>
        </w:rPr>
        <w:t>ABSTRACT</w:t>
      </w:r>
      <w:r w:rsidRPr="00787EA7">
        <w:rPr>
          <w:rFonts w:eastAsia="Calibri"/>
          <w:sz w:val="22"/>
          <w:szCs w:val="22"/>
          <w:lang w:val="en-US" w:eastAsia="en-US"/>
        </w:rPr>
        <w:t xml:space="preserve">: The role of accounting for depreciation of fixed assets of economic entities as a financial source for solving the problem of their replacement increases. </w:t>
      </w:r>
      <w:r w:rsidRPr="00787EA7">
        <w:rPr>
          <w:rFonts w:eastAsia="Calibri"/>
          <w:sz w:val="22"/>
          <w:szCs w:val="22"/>
          <w:shd w:val="clear" w:color="auto" w:fill="FFFFFF"/>
          <w:lang w:val="en-US" w:eastAsia="en-US"/>
        </w:rPr>
        <w:t>Competent policy in the field of depreciation a</w:t>
      </w:r>
      <w:r w:rsidRPr="00787EA7">
        <w:rPr>
          <w:rFonts w:eastAsia="Calibri"/>
          <w:sz w:val="22"/>
          <w:szCs w:val="22"/>
          <w:shd w:val="clear" w:color="auto" w:fill="FFFFFF"/>
          <w:lang w:val="en-US" w:eastAsia="en-US"/>
        </w:rPr>
        <w:t>l</w:t>
      </w:r>
      <w:r w:rsidRPr="00787EA7">
        <w:rPr>
          <w:rFonts w:eastAsia="Calibri"/>
          <w:sz w:val="22"/>
          <w:szCs w:val="22"/>
          <w:shd w:val="clear" w:color="auto" w:fill="FFFFFF"/>
          <w:lang w:val="en-US" w:eastAsia="en-US"/>
        </w:rPr>
        <w:t>lows the organization to ensure economic growth</w:t>
      </w:r>
      <w:r w:rsidRPr="00787EA7">
        <w:rPr>
          <w:rFonts w:eastAsia="Calibri"/>
          <w:sz w:val="22"/>
          <w:szCs w:val="22"/>
          <w:lang w:val="en-US" w:eastAsia="en-US"/>
        </w:rPr>
        <w:t>.</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КЛЮЧЕВЫЕ СЛОВА: амортизационные отчисления, износ, инвестиции, основные средства.</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KEYWORDS: depreciation deductions, wear and tear, investments, fixed assets.</w:t>
      </w:r>
    </w:p>
    <w:p w:rsidR="00724342" w:rsidRPr="00787EA7" w:rsidRDefault="00724342" w:rsidP="00724342">
      <w:pPr>
        <w:jc w:val="both"/>
        <w:rPr>
          <w:rFonts w:eastAsia="Calibri"/>
          <w:color w:val="000000"/>
          <w:sz w:val="22"/>
          <w:szCs w:val="22"/>
          <w:lang w:val="en-US" w:eastAsia="en-US"/>
        </w:rPr>
      </w:pPr>
    </w:p>
    <w:p w:rsidR="00724342" w:rsidRPr="00787EA7" w:rsidRDefault="00724342" w:rsidP="00724342">
      <w:pPr>
        <w:shd w:val="clear" w:color="auto" w:fill="FFFFFF"/>
        <w:ind w:firstLine="425"/>
        <w:jc w:val="both"/>
        <w:rPr>
          <w:rFonts w:eastAsia="Calibri"/>
          <w:sz w:val="22"/>
          <w:szCs w:val="22"/>
          <w:lang w:eastAsia="en-US"/>
        </w:rPr>
      </w:pPr>
      <w:r w:rsidRPr="00787EA7">
        <w:rPr>
          <w:rFonts w:eastAsia="Calibri"/>
          <w:color w:val="000000"/>
          <w:sz w:val="22"/>
          <w:szCs w:val="22"/>
          <w:lang w:eastAsia="en-US"/>
        </w:rPr>
        <w:lastRenderedPageBreak/>
        <w:t>Амортизационные отчисления – это денежное выражение су</w:t>
      </w:r>
      <w:r w:rsidRPr="00787EA7">
        <w:rPr>
          <w:rFonts w:eastAsia="Calibri"/>
          <w:color w:val="000000"/>
          <w:sz w:val="22"/>
          <w:szCs w:val="22"/>
          <w:lang w:eastAsia="en-US"/>
        </w:rPr>
        <w:t>м</w:t>
      </w:r>
      <w:r w:rsidRPr="00787EA7">
        <w:rPr>
          <w:rFonts w:eastAsia="Calibri"/>
          <w:color w:val="000000"/>
          <w:sz w:val="22"/>
          <w:szCs w:val="22"/>
          <w:lang w:eastAsia="en-US"/>
        </w:rPr>
        <w:t xml:space="preserve">мы износа, перенесённой на продукт стоимости основного </w:t>
      </w:r>
      <w:r w:rsidRPr="00787EA7">
        <w:rPr>
          <w:rFonts w:eastAsia="Calibri"/>
          <w:sz w:val="22"/>
          <w:szCs w:val="22"/>
          <w:lang w:eastAsia="en-US"/>
        </w:rPr>
        <w:t>капитала [1]. Изучение роли и предназначении амортизационных отчислений необходимо для всех организаций, перед которыми стоит проблема ведения учетной политики по отношению к основным средствам, так как от выбора правильной и оптимальной политики начисления амортизации во многом зависит степень минимизации предприят</w:t>
      </w:r>
      <w:r w:rsidRPr="00787EA7">
        <w:rPr>
          <w:rFonts w:eastAsia="Calibri"/>
          <w:sz w:val="22"/>
          <w:szCs w:val="22"/>
          <w:lang w:eastAsia="en-US"/>
        </w:rPr>
        <w:t>и</w:t>
      </w:r>
      <w:r w:rsidRPr="00787EA7">
        <w:rPr>
          <w:rFonts w:eastAsia="Calibri"/>
          <w:sz w:val="22"/>
          <w:szCs w:val="22"/>
          <w:lang w:eastAsia="en-US"/>
        </w:rPr>
        <w:t>ем налогов и ускорение процесса обновления оборудования[4].</w:t>
      </w:r>
    </w:p>
    <w:p w:rsidR="00724342" w:rsidRPr="00787EA7" w:rsidRDefault="00724342" w:rsidP="00724342">
      <w:pPr>
        <w:shd w:val="clear" w:color="auto" w:fill="FFFFFF"/>
        <w:ind w:firstLine="425"/>
        <w:jc w:val="both"/>
        <w:rPr>
          <w:rFonts w:eastAsia="Calibri"/>
          <w:sz w:val="22"/>
          <w:szCs w:val="22"/>
          <w:lang w:eastAsia="en-US"/>
        </w:rPr>
      </w:pPr>
      <w:r w:rsidRPr="00787EA7">
        <w:rPr>
          <w:rFonts w:eastAsia="Calibri"/>
          <w:sz w:val="22"/>
          <w:szCs w:val="22"/>
          <w:lang w:eastAsia="en-US"/>
        </w:rPr>
        <w:t>Амортизационная политика является частью финансово-экономической политики организации. Ее составными элементами традиционно считаются выбор метода начисления амортизацио</w:t>
      </w:r>
      <w:r w:rsidRPr="00787EA7">
        <w:rPr>
          <w:rFonts w:eastAsia="Calibri"/>
          <w:sz w:val="22"/>
          <w:szCs w:val="22"/>
          <w:lang w:eastAsia="en-US"/>
        </w:rPr>
        <w:t>н</w:t>
      </w:r>
      <w:r w:rsidRPr="00787EA7">
        <w:rPr>
          <w:rFonts w:eastAsia="Calibri"/>
          <w:sz w:val="22"/>
          <w:szCs w:val="22"/>
          <w:lang w:eastAsia="en-US"/>
        </w:rPr>
        <w:t>ных отчислений (организации выбирают такой метод, который наиболее полно отражает способ получения экономических выгод от объекта основных средств), целевое использование накопленной суммы амортизационных отчислений, уровень эффективности амортизационной политики [5]. Амортизационная политики орг</w:t>
      </w:r>
      <w:r w:rsidRPr="00787EA7">
        <w:rPr>
          <w:rFonts w:eastAsia="Calibri"/>
          <w:sz w:val="22"/>
          <w:szCs w:val="22"/>
          <w:lang w:eastAsia="en-US"/>
        </w:rPr>
        <w:t>а</w:t>
      </w:r>
      <w:r w:rsidRPr="00787EA7">
        <w:rPr>
          <w:rFonts w:eastAsia="Calibri"/>
          <w:sz w:val="22"/>
          <w:szCs w:val="22"/>
          <w:lang w:eastAsia="en-US"/>
        </w:rPr>
        <w:t>низация – сфера достаточно динамичная. На нее влияют такие фа</w:t>
      </w:r>
      <w:r w:rsidRPr="00787EA7">
        <w:rPr>
          <w:rFonts w:eastAsia="Calibri"/>
          <w:sz w:val="22"/>
          <w:szCs w:val="22"/>
          <w:lang w:eastAsia="en-US"/>
        </w:rPr>
        <w:t>к</w:t>
      </w:r>
      <w:r w:rsidRPr="00787EA7">
        <w:rPr>
          <w:rFonts w:eastAsia="Calibri"/>
          <w:sz w:val="22"/>
          <w:szCs w:val="22"/>
          <w:lang w:eastAsia="en-US"/>
        </w:rPr>
        <w:t>торы, как: разрешенные законодательством способы начисления амортизации (так, с 2018 г. для организаций госсектора к примен</w:t>
      </w:r>
      <w:r w:rsidRPr="00787EA7">
        <w:rPr>
          <w:rFonts w:eastAsia="Calibri"/>
          <w:sz w:val="22"/>
          <w:szCs w:val="22"/>
          <w:lang w:eastAsia="en-US"/>
        </w:rPr>
        <w:t>е</w:t>
      </w:r>
      <w:r w:rsidRPr="00787EA7">
        <w:rPr>
          <w:rFonts w:eastAsia="Calibri"/>
          <w:sz w:val="22"/>
          <w:szCs w:val="22"/>
          <w:lang w:eastAsia="en-US"/>
        </w:rPr>
        <w:t>нию разрешены линейный метод, метод уменьшаемого остатка и метод списания стоимости пропорционально объему продукции (работ)), темпы инфляции, состав используемых основных средств, методы оценки их стоимости, фактический и полезный сроки и</w:t>
      </w:r>
      <w:r w:rsidRPr="00787EA7">
        <w:rPr>
          <w:rFonts w:eastAsia="Calibri"/>
          <w:sz w:val="22"/>
          <w:szCs w:val="22"/>
          <w:lang w:eastAsia="en-US"/>
        </w:rPr>
        <w:t>с</w:t>
      </w:r>
      <w:r w:rsidRPr="00787EA7">
        <w:rPr>
          <w:rFonts w:eastAsia="Calibri"/>
          <w:sz w:val="22"/>
          <w:szCs w:val="22"/>
          <w:lang w:eastAsia="en-US"/>
        </w:rPr>
        <w:t>пользования объектов основных средств в организации.</w:t>
      </w:r>
    </w:p>
    <w:p w:rsidR="00724342" w:rsidRPr="00787EA7" w:rsidRDefault="00724342" w:rsidP="00724342">
      <w:pPr>
        <w:shd w:val="clear" w:color="auto" w:fill="FFFFFF"/>
        <w:ind w:firstLine="425"/>
        <w:jc w:val="both"/>
        <w:rPr>
          <w:rFonts w:eastAsia="Calibri"/>
          <w:sz w:val="22"/>
          <w:szCs w:val="22"/>
          <w:lang w:eastAsia="en-US"/>
        </w:rPr>
      </w:pPr>
      <w:r w:rsidRPr="00787EA7">
        <w:rPr>
          <w:rFonts w:eastAsia="Calibri"/>
          <w:sz w:val="22"/>
          <w:szCs w:val="22"/>
          <w:lang w:eastAsia="en-US"/>
        </w:rPr>
        <w:t>Экономика многих развитых стран выделяется высокой инн</w:t>
      </w:r>
      <w:r w:rsidRPr="00787EA7">
        <w:rPr>
          <w:rFonts w:eastAsia="Calibri"/>
          <w:sz w:val="22"/>
          <w:szCs w:val="22"/>
          <w:lang w:eastAsia="en-US"/>
        </w:rPr>
        <w:t>о</w:t>
      </w:r>
      <w:r w:rsidRPr="00787EA7">
        <w:rPr>
          <w:rFonts w:eastAsia="Calibri"/>
          <w:sz w:val="22"/>
          <w:szCs w:val="22"/>
          <w:lang w:eastAsia="en-US"/>
        </w:rPr>
        <w:t>вационной активностью, и в них амортизационная политика являе</w:t>
      </w:r>
      <w:r w:rsidRPr="00787EA7">
        <w:rPr>
          <w:rFonts w:eastAsia="Calibri"/>
          <w:sz w:val="22"/>
          <w:szCs w:val="22"/>
          <w:lang w:eastAsia="en-US"/>
        </w:rPr>
        <w:t>т</w:t>
      </w:r>
      <w:r w:rsidRPr="00787EA7">
        <w:rPr>
          <w:rFonts w:eastAsia="Calibri"/>
          <w:sz w:val="22"/>
          <w:szCs w:val="22"/>
          <w:lang w:eastAsia="en-US"/>
        </w:rPr>
        <w:t>ся ключевым фактором активизации инвестиций в обновление о</w:t>
      </w:r>
      <w:r w:rsidRPr="00787EA7">
        <w:rPr>
          <w:rFonts w:eastAsia="Calibri"/>
          <w:sz w:val="22"/>
          <w:szCs w:val="22"/>
          <w:lang w:eastAsia="en-US"/>
        </w:rPr>
        <w:t>с</w:t>
      </w:r>
      <w:r w:rsidRPr="00787EA7">
        <w:rPr>
          <w:rFonts w:eastAsia="Calibri"/>
          <w:sz w:val="22"/>
          <w:szCs w:val="22"/>
          <w:lang w:eastAsia="en-US"/>
        </w:rPr>
        <w:t>новных средств производства, наукоемкие технологии, научные исследования и опытно-конструкторские работы. В России аморт</w:t>
      </w:r>
      <w:r w:rsidRPr="00787EA7">
        <w:rPr>
          <w:rFonts w:eastAsia="Calibri"/>
          <w:sz w:val="22"/>
          <w:szCs w:val="22"/>
          <w:lang w:eastAsia="en-US"/>
        </w:rPr>
        <w:t>и</w:t>
      </w:r>
      <w:r w:rsidRPr="00787EA7">
        <w:rPr>
          <w:rFonts w:eastAsia="Calibri"/>
          <w:sz w:val="22"/>
          <w:szCs w:val="22"/>
          <w:lang w:eastAsia="en-US"/>
        </w:rPr>
        <w:t>зационная политика в этом смысле пока играет пассивную роль, так как в настоящее время немногие организации рассматривают инв</w:t>
      </w:r>
      <w:r w:rsidRPr="00787EA7">
        <w:rPr>
          <w:rFonts w:eastAsia="Calibri"/>
          <w:sz w:val="22"/>
          <w:szCs w:val="22"/>
          <w:lang w:eastAsia="en-US"/>
        </w:rPr>
        <w:t>е</w:t>
      </w:r>
      <w:r w:rsidRPr="00787EA7">
        <w:rPr>
          <w:rFonts w:eastAsia="Calibri"/>
          <w:sz w:val="22"/>
          <w:szCs w:val="22"/>
          <w:lang w:eastAsia="en-US"/>
        </w:rPr>
        <w:t>стиции в инновации в качестве приоритета корпоративного разв</w:t>
      </w:r>
      <w:r w:rsidRPr="00787EA7">
        <w:rPr>
          <w:rFonts w:eastAsia="Calibri"/>
          <w:sz w:val="22"/>
          <w:szCs w:val="22"/>
          <w:lang w:eastAsia="en-US"/>
        </w:rPr>
        <w:t>и</w:t>
      </w:r>
      <w:r w:rsidRPr="00787EA7">
        <w:rPr>
          <w:rFonts w:eastAsia="Calibri"/>
          <w:sz w:val="22"/>
          <w:szCs w:val="22"/>
          <w:lang w:eastAsia="en-US"/>
        </w:rPr>
        <w:t>тия, теряя при этомвозможности по интенсификации инновацио</w:t>
      </w:r>
      <w:r w:rsidRPr="00787EA7">
        <w:rPr>
          <w:rFonts w:eastAsia="Calibri"/>
          <w:sz w:val="22"/>
          <w:szCs w:val="22"/>
          <w:lang w:eastAsia="en-US"/>
        </w:rPr>
        <w:t>н</w:t>
      </w:r>
      <w:r w:rsidRPr="00787EA7">
        <w:rPr>
          <w:rFonts w:eastAsia="Calibri"/>
          <w:sz w:val="22"/>
          <w:szCs w:val="22"/>
          <w:lang w:eastAsia="en-US"/>
        </w:rPr>
        <w:t xml:space="preserve">ной деятельности [2]. </w:t>
      </w:r>
    </w:p>
    <w:p w:rsidR="00724342" w:rsidRPr="00787EA7" w:rsidRDefault="00724342" w:rsidP="00724342">
      <w:pPr>
        <w:shd w:val="clear" w:color="auto" w:fill="FFFFFF"/>
        <w:ind w:firstLine="425"/>
        <w:jc w:val="both"/>
        <w:rPr>
          <w:sz w:val="22"/>
          <w:szCs w:val="22"/>
        </w:rPr>
      </w:pPr>
      <w:r w:rsidRPr="00787EA7">
        <w:rPr>
          <w:sz w:val="22"/>
          <w:szCs w:val="22"/>
        </w:rPr>
        <w:t>При том, что меры по расширению инвестиций в экономику руководством нашей страны постоянно объявляются приоритетн</w:t>
      </w:r>
      <w:r w:rsidRPr="00787EA7">
        <w:rPr>
          <w:sz w:val="22"/>
          <w:szCs w:val="22"/>
        </w:rPr>
        <w:t>ы</w:t>
      </w:r>
      <w:r w:rsidRPr="00787EA7">
        <w:rPr>
          <w:sz w:val="22"/>
          <w:szCs w:val="22"/>
        </w:rPr>
        <w:t>ми, технологическое отставание российской экономики не только от передовых, но уже и от ведущих развивающихся стран станови</w:t>
      </w:r>
      <w:r w:rsidRPr="00787EA7">
        <w:rPr>
          <w:sz w:val="22"/>
          <w:szCs w:val="22"/>
        </w:rPr>
        <w:t>т</w:t>
      </w:r>
      <w:r w:rsidRPr="00787EA7">
        <w:rPr>
          <w:sz w:val="22"/>
          <w:szCs w:val="22"/>
        </w:rPr>
        <w:lastRenderedPageBreak/>
        <w:t>ся все более очевидным. По данным Росстата, степень износа о</w:t>
      </w:r>
      <w:r w:rsidRPr="00787EA7">
        <w:rPr>
          <w:sz w:val="22"/>
          <w:szCs w:val="22"/>
        </w:rPr>
        <w:t>с</w:t>
      </w:r>
      <w:r w:rsidRPr="00787EA7">
        <w:rPr>
          <w:sz w:val="22"/>
          <w:szCs w:val="22"/>
        </w:rPr>
        <w:t>новных фондов корпораций нашей страны за последние четверть века имела постоянную отрицательную динамику. Если в 1990 г. она составляла 35,6 %, на рубеже веков – 39,3, то на конец 2016 г. и на сегодняшний день – более 50 %. Стоит заметить, что наиболее изношенной стала активная часть основных фондов – машины, об</w:t>
      </w:r>
      <w:r w:rsidRPr="00787EA7">
        <w:rPr>
          <w:sz w:val="22"/>
          <w:szCs w:val="22"/>
        </w:rPr>
        <w:t>о</w:t>
      </w:r>
      <w:r w:rsidRPr="00787EA7">
        <w:rPr>
          <w:sz w:val="22"/>
          <w:szCs w:val="22"/>
        </w:rPr>
        <w:t>рудование, а также транспорт.</w:t>
      </w:r>
    </w:p>
    <w:p w:rsidR="00724342" w:rsidRPr="00787EA7" w:rsidRDefault="00724342" w:rsidP="00724342">
      <w:pPr>
        <w:shd w:val="clear" w:color="auto" w:fill="FFFFFF"/>
        <w:ind w:firstLine="425"/>
        <w:jc w:val="both"/>
        <w:rPr>
          <w:sz w:val="22"/>
          <w:szCs w:val="22"/>
        </w:rPr>
      </w:pPr>
      <w:r w:rsidRPr="00787EA7">
        <w:rPr>
          <w:sz w:val="22"/>
          <w:szCs w:val="22"/>
        </w:rPr>
        <w:t>По оценке Минэкономразвития РФ, инвестиции в основной к</w:t>
      </w:r>
      <w:r w:rsidRPr="00787EA7">
        <w:rPr>
          <w:sz w:val="22"/>
          <w:szCs w:val="22"/>
        </w:rPr>
        <w:t>а</w:t>
      </w:r>
      <w:r w:rsidRPr="00787EA7">
        <w:rPr>
          <w:sz w:val="22"/>
          <w:szCs w:val="22"/>
        </w:rPr>
        <w:t xml:space="preserve">питал в </w:t>
      </w:r>
      <w:r w:rsidRPr="00787EA7">
        <w:rPr>
          <w:sz w:val="22"/>
          <w:szCs w:val="22"/>
          <w:lang w:val="en-US"/>
        </w:rPr>
        <w:t>III</w:t>
      </w:r>
      <w:r w:rsidRPr="00787EA7">
        <w:rPr>
          <w:sz w:val="22"/>
          <w:szCs w:val="22"/>
        </w:rPr>
        <w:t>кв. 2017 г. выросли на 3,6-4,0 %. Сохраняется полож</w:t>
      </w:r>
      <w:r w:rsidRPr="00787EA7">
        <w:rPr>
          <w:sz w:val="22"/>
          <w:szCs w:val="22"/>
        </w:rPr>
        <w:t>и</w:t>
      </w:r>
      <w:r w:rsidRPr="00787EA7">
        <w:rPr>
          <w:sz w:val="22"/>
          <w:szCs w:val="22"/>
        </w:rPr>
        <w:t>тельная динамика инвестиций, но при этом снижение годовых те</w:t>
      </w:r>
      <w:r w:rsidRPr="00787EA7">
        <w:rPr>
          <w:sz w:val="22"/>
          <w:szCs w:val="22"/>
        </w:rPr>
        <w:t>м</w:t>
      </w:r>
      <w:r w:rsidRPr="00787EA7">
        <w:rPr>
          <w:sz w:val="22"/>
          <w:szCs w:val="22"/>
        </w:rPr>
        <w:t>пов роста обусловлено исчерпанием эффекта низкой базы первого полугодия 2016 г. По итогам текущего года рост инвестиций в о</w:t>
      </w:r>
      <w:r w:rsidRPr="00787EA7">
        <w:rPr>
          <w:sz w:val="22"/>
          <w:szCs w:val="22"/>
        </w:rPr>
        <w:t>с</w:t>
      </w:r>
      <w:r w:rsidRPr="00787EA7">
        <w:rPr>
          <w:sz w:val="22"/>
          <w:szCs w:val="22"/>
        </w:rPr>
        <w:t>новной капитал прогнозируется на уровне 4,1 %. Однако доля пр</w:t>
      </w:r>
      <w:r w:rsidRPr="00787EA7">
        <w:rPr>
          <w:sz w:val="22"/>
          <w:szCs w:val="22"/>
        </w:rPr>
        <w:t>и</w:t>
      </w:r>
      <w:r w:rsidRPr="00787EA7">
        <w:rPr>
          <w:sz w:val="22"/>
          <w:szCs w:val="22"/>
        </w:rPr>
        <w:t>были в общих инвестициях уменьшилась с 50 % до 5-10 %, а зае</w:t>
      </w:r>
      <w:r w:rsidRPr="00787EA7">
        <w:rPr>
          <w:sz w:val="22"/>
          <w:szCs w:val="22"/>
        </w:rPr>
        <w:t>м</w:t>
      </w:r>
      <w:r w:rsidRPr="00787EA7">
        <w:rPr>
          <w:sz w:val="22"/>
          <w:szCs w:val="22"/>
        </w:rPr>
        <w:t>ных средств – с 25-30 % до 12-15 % [3].</w:t>
      </w:r>
    </w:p>
    <w:p w:rsidR="00724342" w:rsidRPr="00787EA7" w:rsidRDefault="00724342" w:rsidP="00724342">
      <w:pPr>
        <w:shd w:val="clear" w:color="auto" w:fill="FFFFFF"/>
        <w:ind w:firstLine="425"/>
        <w:jc w:val="both"/>
        <w:rPr>
          <w:sz w:val="22"/>
          <w:szCs w:val="22"/>
        </w:rPr>
      </w:pPr>
      <w:r w:rsidRPr="00787EA7">
        <w:rPr>
          <w:sz w:val="22"/>
          <w:szCs w:val="22"/>
        </w:rPr>
        <w:t>Рассматривая государственное регулирование инвестиционн</w:t>
      </w:r>
      <w:r w:rsidRPr="00787EA7">
        <w:rPr>
          <w:sz w:val="22"/>
          <w:szCs w:val="22"/>
        </w:rPr>
        <w:t>о</w:t>
      </w:r>
      <w:r w:rsidRPr="00787EA7">
        <w:rPr>
          <w:sz w:val="22"/>
          <w:szCs w:val="22"/>
        </w:rPr>
        <w:t>го процесса в развитых странах в условиях реализации стратегии инновационно-инвестиционного развития организаций, можно о</w:t>
      </w:r>
      <w:r w:rsidRPr="00787EA7">
        <w:rPr>
          <w:sz w:val="22"/>
          <w:szCs w:val="22"/>
        </w:rPr>
        <w:t>т</w:t>
      </w:r>
      <w:r w:rsidRPr="00787EA7">
        <w:rPr>
          <w:sz w:val="22"/>
          <w:szCs w:val="22"/>
        </w:rPr>
        <w:t>метить эффективность такого инструмента как амортизация осно</w:t>
      </w:r>
      <w:r w:rsidRPr="00787EA7">
        <w:rPr>
          <w:sz w:val="22"/>
          <w:szCs w:val="22"/>
        </w:rPr>
        <w:t>в</w:t>
      </w:r>
      <w:r w:rsidRPr="00787EA7">
        <w:rPr>
          <w:sz w:val="22"/>
          <w:szCs w:val="22"/>
        </w:rPr>
        <w:t>ного капитала. Амортизационные отчисления за рубежом покрыв</w:t>
      </w:r>
      <w:r w:rsidRPr="00787EA7">
        <w:rPr>
          <w:sz w:val="22"/>
          <w:szCs w:val="22"/>
        </w:rPr>
        <w:t>а</w:t>
      </w:r>
      <w:r w:rsidRPr="00787EA7">
        <w:rPr>
          <w:sz w:val="22"/>
          <w:szCs w:val="22"/>
        </w:rPr>
        <w:t>ют потребности компаний в инвестиционных ресурсах в пределах 65 %, а в России этот показатель лишь немногим превышает 20 %, что существенно сдерживает темпы модернизации экономики.</w:t>
      </w:r>
    </w:p>
    <w:p w:rsidR="00724342" w:rsidRPr="00787EA7" w:rsidRDefault="00724342" w:rsidP="00724342">
      <w:pPr>
        <w:ind w:right="384" w:firstLine="425"/>
        <w:jc w:val="center"/>
        <w:textAlignment w:val="baseline"/>
        <w:rPr>
          <w:rFonts w:eastAsia="Calibri"/>
          <w:sz w:val="22"/>
          <w:szCs w:val="22"/>
          <w:lang w:eastAsia="en-US"/>
        </w:rPr>
      </w:pPr>
    </w:p>
    <w:p w:rsidR="00724342" w:rsidRPr="00787EA7" w:rsidRDefault="00724342" w:rsidP="00724342">
      <w:pPr>
        <w:ind w:right="384" w:firstLine="425"/>
        <w:jc w:val="center"/>
        <w:textAlignment w:val="baseline"/>
        <w:outlineLvl w:val="0"/>
        <w:rPr>
          <w:rFonts w:eastAsia="Calibri"/>
          <w:sz w:val="22"/>
          <w:szCs w:val="22"/>
          <w:lang w:eastAsia="en-US"/>
        </w:rPr>
      </w:pPr>
      <w:r w:rsidRPr="00787EA7">
        <w:rPr>
          <w:rFonts w:eastAsia="Calibri"/>
          <w:sz w:val="22"/>
          <w:szCs w:val="22"/>
          <w:lang w:eastAsia="en-US"/>
        </w:rPr>
        <w:t>Список литературы</w:t>
      </w:r>
    </w:p>
    <w:p w:rsidR="00724342" w:rsidRPr="006167FC" w:rsidRDefault="00724342" w:rsidP="00724342">
      <w:pPr>
        <w:ind w:firstLine="425"/>
        <w:jc w:val="both"/>
        <w:rPr>
          <w:rFonts w:eastAsia="Calibri"/>
          <w:sz w:val="22"/>
          <w:szCs w:val="22"/>
          <w:lang w:eastAsia="en-US"/>
        </w:rPr>
      </w:pPr>
      <w:r w:rsidRPr="00787EA7">
        <w:rPr>
          <w:rFonts w:eastAsia="Calibri"/>
          <w:sz w:val="22"/>
          <w:szCs w:val="22"/>
          <w:lang w:eastAsia="en-US"/>
        </w:rPr>
        <w:t>1. Афанасьев В.Н. Основы бизнес-статистики [Электронный ресурс] : учебное пособие / В.Н. Афанасьев, Н.С. Еремеева, Т.</w:t>
      </w:r>
      <w:r w:rsidRPr="00787EA7">
        <w:rPr>
          <w:rFonts w:eastAsia="Calibri"/>
          <w:sz w:val="22"/>
          <w:szCs w:val="22"/>
          <w:lang w:val="en-US" w:eastAsia="en-US"/>
        </w:rPr>
        <w:t> </w:t>
      </w:r>
      <w:r w:rsidRPr="00787EA7">
        <w:rPr>
          <w:rFonts w:eastAsia="Calibri"/>
          <w:sz w:val="22"/>
          <w:szCs w:val="22"/>
          <w:lang w:eastAsia="en-US"/>
        </w:rPr>
        <w:t>В.</w:t>
      </w:r>
      <w:r w:rsidRPr="00787EA7">
        <w:rPr>
          <w:rFonts w:eastAsia="Calibri"/>
          <w:sz w:val="22"/>
          <w:szCs w:val="22"/>
          <w:lang w:val="en-US" w:eastAsia="en-US"/>
        </w:rPr>
        <w:t> </w:t>
      </w:r>
      <w:r w:rsidRPr="00787EA7">
        <w:rPr>
          <w:rFonts w:eastAsia="Calibri"/>
          <w:sz w:val="22"/>
          <w:szCs w:val="22"/>
          <w:lang w:eastAsia="en-US"/>
        </w:rPr>
        <w:t>Лебедева. – Электрон.текстовые данные. – Оренбург: Оре</w:t>
      </w:r>
      <w:r w:rsidRPr="00787EA7">
        <w:rPr>
          <w:rFonts w:eastAsia="Calibri"/>
          <w:sz w:val="22"/>
          <w:szCs w:val="22"/>
          <w:lang w:eastAsia="en-US"/>
        </w:rPr>
        <w:t>н</w:t>
      </w:r>
      <w:r w:rsidRPr="00787EA7">
        <w:rPr>
          <w:rFonts w:eastAsia="Calibri"/>
          <w:sz w:val="22"/>
          <w:szCs w:val="22"/>
          <w:lang w:eastAsia="en-US"/>
        </w:rPr>
        <w:t>бургский государственный университет, 2017. – 245 c. – Режим д</w:t>
      </w:r>
      <w:r w:rsidRPr="00787EA7">
        <w:rPr>
          <w:rFonts w:eastAsia="Calibri"/>
          <w:sz w:val="22"/>
          <w:szCs w:val="22"/>
          <w:lang w:eastAsia="en-US"/>
        </w:rPr>
        <w:t>о</w:t>
      </w:r>
      <w:r w:rsidRPr="00787EA7">
        <w:rPr>
          <w:rFonts w:eastAsia="Calibri"/>
          <w:sz w:val="22"/>
          <w:szCs w:val="22"/>
          <w:lang w:eastAsia="en-US"/>
        </w:rPr>
        <w:t>ступа</w:t>
      </w:r>
      <w:r w:rsidRPr="006167FC">
        <w:rPr>
          <w:rFonts w:eastAsia="Calibri"/>
          <w:sz w:val="22"/>
          <w:szCs w:val="22"/>
          <w:lang w:eastAsia="en-US"/>
        </w:rPr>
        <w:t>:</w:t>
      </w:r>
      <w:r w:rsidRPr="006167FC">
        <w:rPr>
          <w:rFonts w:eastAsia="Calibri"/>
          <w:sz w:val="22"/>
          <w:szCs w:val="22"/>
          <w:lang w:val="en-US" w:eastAsia="en-US"/>
        </w:rPr>
        <w:t> </w:t>
      </w:r>
      <w:hyperlink r:id="rId203" w:history="1">
        <w:r w:rsidRPr="006167FC">
          <w:rPr>
            <w:rFonts w:eastAsia="Calibri"/>
            <w:sz w:val="22"/>
            <w:szCs w:val="22"/>
            <w:lang w:eastAsia="en-US"/>
          </w:rPr>
          <w:t>http://www.iprbookshop.ru/71302.html</w:t>
        </w:r>
      </w:hyperlink>
    </w:p>
    <w:p w:rsidR="00724342" w:rsidRPr="006167FC" w:rsidRDefault="00724342" w:rsidP="00724342">
      <w:pPr>
        <w:ind w:firstLine="425"/>
        <w:jc w:val="both"/>
        <w:rPr>
          <w:rFonts w:eastAsia="Calibri"/>
          <w:sz w:val="22"/>
          <w:szCs w:val="22"/>
          <w:lang w:eastAsia="en-US"/>
        </w:rPr>
      </w:pPr>
      <w:r w:rsidRPr="006167FC">
        <w:rPr>
          <w:rFonts w:eastAsia="Calibri"/>
          <w:sz w:val="22"/>
          <w:szCs w:val="22"/>
          <w:lang w:eastAsia="en-US"/>
        </w:rPr>
        <w:t>2. Глаголев С.Н. Актуальные проблемы инвестиций и иннов</w:t>
      </w:r>
      <w:r w:rsidRPr="006167FC">
        <w:rPr>
          <w:rFonts w:eastAsia="Calibri"/>
          <w:sz w:val="22"/>
          <w:szCs w:val="22"/>
          <w:lang w:eastAsia="en-US"/>
        </w:rPr>
        <w:t>а</w:t>
      </w:r>
      <w:r w:rsidRPr="006167FC">
        <w:rPr>
          <w:rFonts w:eastAsia="Calibri"/>
          <w:sz w:val="22"/>
          <w:szCs w:val="22"/>
          <w:lang w:eastAsia="en-US"/>
        </w:rPr>
        <w:t>ций в современной России / С. Н. Глаголев. – М.: Директ-Медиа, 2014. – 426 с.</w:t>
      </w:r>
    </w:p>
    <w:p w:rsidR="00724342" w:rsidRPr="006167FC" w:rsidRDefault="00724342" w:rsidP="00724342">
      <w:pPr>
        <w:ind w:firstLine="425"/>
        <w:jc w:val="both"/>
        <w:rPr>
          <w:rFonts w:eastAsia="Calibri"/>
          <w:sz w:val="22"/>
          <w:szCs w:val="22"/>
          <w:shd w:val="clear" w:color="auto" w:fill="FFFFFF"/>
          <w:lang w:eastAsia="en-US"/>
        </w:rPr>
      </w:pPr>
      <w:r w:rsidRPr="006167FC">
        <w:rPr>
          <w:rFonts w:eastAsia="Calibri"/>
          <w:sz w:val="22"/>
          <w:szCs w:val="22"/>
          <w:lang w:eastAsia="en-US"/>
        </w:rPr>
        <w:t>3. Инвестиции в нефинансовые активы:</w:t>
      </w:r>
      <w:r w:rsidRPr="006167FC">
        <w:rPr>
          <w:rFonts w:eastAsia="Calibri"/>
          <w:sz w:val="22"/>
          <w:szCs w:val="22"/>
          <w:shd w:val="clear" w:color="auto" w:fill="FFFFFF"/>
          <w:lang w:eastAsia="en-US"/>
        </w:rPr>
        <w:t xml:space="preserve"> Федеральная служба государственной статистики [Электронный ресурс]. – Режим дост</w:t>
      </w:r>
      <w:r w:rsidRPr="006167FC">
        <w:rPr>
          <w:rFonts w:eastAsia="Calibri"/>
          <w:sz w:val="22"/>
          <w:szCs w:val="22"/>
          <w:shd w:val="clear" w:color="auto" w:fill="FFFFFF"/>
          <w:lang w:eastAsia="en-US"/>
        </w:rPr>
        <w:t>у</w:t>
      </w:r>
      <w:r w:rsidRPr="006167FC">
        <w:rPr>
          <w:rFonts w:eastAsia="Calibri"/>
          <w:sz w:val="22"/>
          <w:szCs w:val="22"/>
          <w:shd w:val="clear" w:color="auto" w:fill="FFFFFF"/>
          <w:lang w:eastAsia="en-US"/>
        </w:rPr>
        <w:t>па:</w:t>
      </w:r>
      <w:r w:rsidRPr="006167FC">
        <w:rPr>
          <w:rFonts w:eastAsia="Calibri"/>
          <w:sz w:val="22"/>
          <w:szCs w:val="22"/>
          <w:lang w:val="en-US" w:eastAsia="en-US"/>
        </w:rPr>
        <w:t> </w:t>
      </w:r>
      <w:hyperlink r:id="rId204" w:history="1">
        <w:r w:rsidRPr="006167FC">
          <w:rPr>
            <w:rFonts w:eastAsia="Calibri"/>
            <w:sz w:val="22"/>
            <w:szCs w:val="22"/>
            <w:shd w:val="clear" w:color="auto" w:fill="FFFFFF"/>
            <w:lang w:eastAsia="en-US"/>
          </w:rPr>
          <w:t>http://www.gks.ru/wps/wcm/connect/rosstat_main/rosstat/ru/statistics/enterprise/investment/nonfinancial/</w:t>
        </w:r>
      </w:hyperlink>
    </w:p>
    <w:p w:rsidR="00724342" w:rsidRPr="006167FC" w:rsidRDefault="00724342" w:rsidP="00724342">
      <w:pPr>
        <w:ind w:firstLine="425"/>
        <w:jc w:val="both"/>
        <w:rPr>
          <w:rFonts w:eastAsia="Calibri"/>
          <w:sz w:val="22"/>
          <w:szCs w:val="22"/>
          <w:lang w:eastAsia="en-US"/>
        </w:rPr>
      </w:pPr>
      <w:r w:rsidRPr="006167FC">
        <w:rPr>
          <w:rFonts w:eastAsia="Calibri"/>
          <w:sz w:val="22"/>
          <w:szCs w:val="22"/>
          <w:lang w:eastAsia="en-US"/>
        </w:rPr>
        <w:lastRenderedPageBreak/>
        <w:t>4. Смекалов П. В. Анализ финансовой отчетности предприятия [Электронный ресурс] : учебное пособие / П. В. Смекалов. – СПб. : Проспект Науки, 2016. – 472 c. – Режим дост</w:t>
      </w:r>
      <w:r w:rsidRPr="006167FC">
        <w:rPr>
          <w:rFonts w:eastAsia="Calibri"/>
          <w:sz w:val="22"/>
          <w:szCs w:val="22"/>
          <w:lang w:eastAsia="en-US"/>
        </w:rPr>
        <w:t>у</w:t>
      </w:r>
      <w:r w:rsidRPr="006167FC">
        <w:rPr>
          <w:rFonts w:eastAsia="Calibri"/>
          <w:sz w:val="22"/>
          <w:szCs w:val="22"/>
          <w:lang w:eastAsia="en-US"/>
        </w:rPr>
        <w:t>па:</w:t>
      </w:r>
      <w:r w:rsidRPr="006167FC">
        <w:rPr>
          <w:rFonts w:eastAsia="Calibri"/>
          <w:sz w:val="22"/>
          <w:szCs w:val="22"/>
          <w:lang w:val="en-US" w:eastAsia="en-US"/>
        </w:rPr>
        <w:t> </w:t>
      </w:r>
      <w:hyperlink r:id="rId205" w:history="1">
        <w:r w:rsidRPr="006167FC">
          <w:rPr>
            <w:rFonts w:eastAsia="Calibri"/>
            <w:sz w:val="22"/>
            <w:szCs w:val="22"/>
            <w:lang w:eastAsia="en-US"/>
          </w:rPr>
          <w:t>http://www.iprbookshop.ru/35840.html</w:t>
        </w:r>
      </w:hyperlink>
    </w:p>
    <w:p w:rsidR="00724342" w:rsidRDefault="00724342" w:rsidP="00724342">
      <w:pPr>
        <w:ind w:firstLine="425"/>
        <w:jc w:val="both"/>
        <w:rPr>
          <w:rFonts w:eastAsia="Calibri"/>
          <w:sz w:val="22"/>
          <w:szCs w:val="22"/>
          <w:lang w:eastAsia="en-US"/>
        </w:rPr>
      </w:pPr>
      <w:r w:rsidRPr="006167FC">
        <w:rPr>
          <w:rFonts w:eastAsia="Calibri"/>
          <w:sz w:val="22"/>
          <w:szCs w:val="22"/>
          <w:lang w:eastAsia="en-US"/>
        </w:rPr>
        <w:t>5. Эффективность использования производственных ресурсов в сельском хозяйстве: коллектив.моногр. / Под общ.ред. проф. Пар</w:t>
      </w:r>
      <w:r w:rsidRPr="006167FC">
        <w:rPr>
          <w:rFonts w:eastAsia="Calibri"/>
          <w:sz w:val="22"/>
          <w:szCs w:val="22"/>
          <w:lang w:eastAsia="en-US"/>
        </w:rPr>
        <w:t>а</w:t>
      </w:r>
      <w:r w:rsidRPr="006167FC">
        <w:rPr>
          <w:rFonts w:eastAsia="Calibri"/>
          <w:sz w:val="22"/>
          <w:szCs w:val="22"/>
          <w:lang w:eastAsia="en-US"/>
        </w:rPr>
        <w:t>монова П. Ф. – Краснодар: КубГАУ, 2014. – 244 с</w:t>
      </w:r>
      <w:r w:rsidRPr="00787EA7">
        <w:rPr>
          <w:rFonts w:eastAsia="Calibri"/>
          <w:sz w:val="22"/>
          <w:szCs w:val="22"/>
          <w:lang w:eastAsia="en-US"/>
        </w:rPr>
        <w:t>.</w:t>
      </w:r>
    </w:p>
    <w:p w:rsidR="006167FC" w:rsidRDefault="006167FC" w:rsidP="00724342">
      <w:pPr>
        <w:jc w:val="both"/>
        <w:outlineLvl w:val="0"/>
        <w:rPr>
          <w:rFonts w:eastAsia="Calibri"/>
          <w:sz w:val="22"/>
          <w:szCs w:val="22"/>
          <w:lang w:eastAsia="en-US"/>
        </w:rPr>
      </w:pPr>
    </w:p>
    <w:p w:rsidR="00CE4C84" w:rsidRDefault="00CE4C84" w:rsidP="00724342">
      <w:pPr>
        <w:jc w:val="both"/>
        <w:outlineLvl w:val="0"/>
        <w:rPr>
          <w:rFonts w:eastAsia="Calibri"/>
          <w:sz w:val="22"/>
          <w:szCs w:val="22"/>
          <w:lang w:eastAsia="en-US"/>
        </w:rPr>
      </w:pPr>
    </w:p>
    <w:p w:rsidR="00CE4C84" w:rsidRDefault="00CE4C84" w:rsidP="00724342">
      <w:pPr>
        <w:jc w:val="both"/>
        <w:outlineLvl w:val="0"/>
        <w:rPr>
          <w:rFonts w:eastAsia="Calibri"/>
          <w:sz w:val="22"/>
          <w:szCs w:val="22"/>
          <w:lang w:eastAsia="en-US"/>
        </w:rPr>
      </w:pPr>
    </w:p>
    <w:p w:rsidR="00724342" w:rsidRPr="00787EA7" w:rsidRDefault="00724342" w:rsidP="00724342">
      <w:pPr>
        <w:jc w:val="both"/>
        <w:outlineLvl w:val="0"/>
        <w:rPr>
          <w:rFonts w:eastAsia="Calibri"/>
          <w:sz w:val="22"/>
          <w:szCs w:val="22"/>
          <w:lang w:eastAsia="en-US"/>
        </w:rPr>
      </w:pPr>
      <w:r w:rsidRPr="00787EA7">
        <w:rPr>
          <w:rFonts w:eastAsia="Calibri"/>
          <w:sz w:val="22"/>
          <w:szCs w:val="22"/>
          <w:lang w:eastAsia="en-US"/>
        </w:rPr>
        <w:t>УДК 005.322:316.46</w:t>
      </w:r>
    </w:p>
    <w:p w:rsidR="00724342" w:rsidRPr="00787EA7" w:rsidRDefault="00724342" w:rsidP="00724342">
      <w:pPr>
        <w:ind w:firstLine="425"/>
        <w:jc w:val="both"/>
        <w:rPr>
          <w:rFonts w:eastAsia="Calibri"/>
          <w:sz w:val="18"/>
          <w:szCs w:val="18"/>
          <w:lang w:eastAsia="en-US"/>
        </w:rPr>
      </w:pPr>
    </w:p>
    <w:p w:rsidR="00724342" w:rsidRPr="00787EA7" w:rsidRDefault="00724342" w:rsidP="00724342">
      <w:pPr>
        <w:jc w:val="center"/>
        <w:outlineLvl w:val="0"/>
        <w:rPr>
          <w:rFonts w:eastAsia="Calibri"/>
          <w:b/>
          <w:sz w:val="24"/>
          <w:szCs w:val="22"/>
          <w:lang w:eastAsia="en-US"/>
        </w:rPr>
      </w:pPr>
      <w:r w:rsidRPr="00787EA7">
        <w:rPr>
          <w:rFonts w:eastAsia="Calibri"/>
          <w:b/>
          <w:sz w:val="24"/>
          <w:szCs w:val="22"/>
          <w:lang w:eastAsia="en-US"/>
        </w:rPr>
        <w:t>Лидерство в современном менеджменте</w:t>
      </w:r>
    </w:p>
    <w:p w:rsidR="00724342" w:rsidRPr="00787EA7" w:rsidRDefault="00724342" w:rsidP="00724342">
      <w:pPr>
        <w:jc w:val="center"/>
        <w:rPr>
          <w:rFonts w:eastAsia="Calibri"/>
          <w:b/>
          <w:sz w:val="24"/>
          <w:szCs w:val="22"/>
          <w:lang w:val="en-US" w:eastAsia="en-US"/>
        </w:rPr>
      </w:pPr>
      <w:r w:rsidRPr="00787EA7">
        <w:rPr>
          <w:rFonts w:eastAsia="Calibri"/>
          <w:b/>
          <w:sz w:val="24"/>
          <w:szCs w:val="22"/>
          <w:lang w:val="en-US" w:eastAsia="en-US"/>
        </w:rPr>
        <w:t>Leadership in modern management</w:t>
      </w:r>
    </w:p>
    <w:p w:rsidR="00724342" w:rsidRPr="00787EA7" w:rsidRDefault="00724342" w:rsidP="00724342">
      <w:pPr>
        <w:ind w:firstLine="425"/>
        <w:jc w:val="center"/>
        <w:rPr>
          <w:rFonts w:eastAsia="Calibri"/>
          <w:b/>
          <w:sz w:val="18"/>
          <w:szCs w:val="18"/>
          <w:lang w:val="en-US" w:eastAsia="en-US"/>
        </w:rPr>
      </w:pPr>
    </w:p>
    <w:p w:rsidR="00724342" w:rsidRPr="00787EA7" w:rsidRDefault="00724342" w:rsidP="00724342">
      <w:pPr>
        <w:ind w:firstLine="425"/>
        <w:jc w:val="right"/>
        <w:rPr>
          <w:rFonts w:eastAsia="Calibri"/>
          <w:sz w:val="22"/>
          <w:szCs w:val="22"/>
          <w:lang w:val="en-US" w:eastAsia="en-US"/>
        </w:rPr>
      </w:pPr>
      <w:r w:rsidRPr="00787EA7">
        <w:rPr>
          <w:rFonts w:eastAsia="Calibri"/>
          <w:sz w:val="22"/>
          <w:szCs w:val="22"/>
          <w:lang w:eastAsia="en-US"/>
        </w:rPr>
        <w:t>Калита</w:t>
      </w:r>
      <w:r w:rsidRPr="00787EA7">
        <w:rPr>
          <w:rFonts w:eastAsia="Calibri"/>
          <w:sz w:val="22"/>
          <w:szCs w:val="22"/>
          <w:lang w:val="en-US" w:eastAsia="en-US"/>
        </w:rPr>
        <w:t xml:space="preserve"> </w:t>
      </w:r>
      <w:r w:rsidRPr="00787EA7">
        <w:rPr>
          <w:rFonts w:eastAsia="Calibri"/>
          <w:sz w:val="22"/>
          <w:szCs w:val="22"/>
          <w:lang w:eastAsia="en-US"/>
        </w:rPr>
        <w:t>П</w:t>
      </w:r>
      <w:r w:rsidRPr="00787EA7">
        <w:rPr>
          <w:rFonts w:eastAsia="Calibri"/>
          <w:sz w:val="22"/>
          <w:szCs w:val="22"/>
          <w:lang w:val="en-US" w:eastAsia="en-US"/>
        </w:rPr>
        <w:t>.</w:t>
      </w:r>
      <w:r w:rsidR="006167FC" w:rsidRPr="00C56F2E">
        <w:rPr>
          <w:rFonts w:eastAsia="Calibri"/>
          <w:sz w:val="22"/>
          <w:szCs w:val="22"/>
          <w:lang w:val="en-US" w:eastAsia="en-US"/>
        </w:rPr>
        <w:t xml:space="preserve"> </w:t>
      </w:r>
      <w:r w:rsidRPr="00787EA7">
        <w:rPr>
          <w:rFonts w:eastAsia="Calibri"/>
          <w:sz w:val="22"/>
          <w:szCs w:val="22"/>
          <w:lang w:eastAsia="en-US"/>
        </w:rPr>
        <w:t>В</w:t>
      </w:r>
      <w:r w:rsidRPr="00787EA7">
        <w:rPr>
          <w:rFonts w:eastAsia="Calibri"/>
          <w:sz w:val="22"/>
          <w:szCs w:val="22"/>
          <w:lang w:val="en-US" w:eastAsia="en-US"/>
        </w:rPr>
        <w:t>.,</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студентка 2-го курса факультета финансы и кредит</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Стукова Ю.</w:t>
      </w:r>
      <w:r w:rsidR="006167FC">
        <w:rPr>
          <w:rFonts w:eastAsia="Calibri"/>
          <w:sz w:val="22"/>
          <w:szCs w:val="22"/>
          <w:lang w:eastAsia="en-US"/>
        </w:rPr>
        <w:t xml:space="preserve"> </w:t>
      </w:r>
      <w:r w:rsidRPr="00787EA7">
        <w:rPr>
          <w:rFonts w:eastAsia="Calibri"/>
          <w:sz w:val="22"/>
          <w:szCs w:val="22"/>
          <w:lang w:eastAsia="en-US"/>
        </w:rPr>
        <w:t>Е.,</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доцент кафедры экономики предприятий</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Кубанский государственный аграрный</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университет имени И. Т. Трубилина</w:t>
      </w:r>
    </w:p>
    <w:p w:rsidR="00724342" w:rsidRPr="00787EA7" w:rsidRDefault="00724342" w:rsidP="00724342">
      <w:pPr>
        <w:ind w:firstLine="425"/>
        <w:jc w:val="right"/>
        <w:rPr>
          <w:rFonts w:eastAsia="Calibri"/>
          <w:sz w:val="18"/>
          <w:szCs w:val="18"/>
          <w:lang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АННОТАЦИЯ: Рассмотрено понятие лидерства в экономике. Изучены аспекты, модели и концепции современного лидерства.</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The concept of leadership in economics is considered. The aspects, models and concepts of modern leadership are studied.</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лидерство, менеджер, управление, орг</w:t>
      </w:r>
      <w:r w:rsidRPr="00787EA7">
        <w:rPr>
          <w:rFonts w:eastAsia="Calibri"/>
          <w:sz w:val="22"/>
          <w:szCs w:val="22"/>
          <w:lang w:eastAsia="en-US"/>
        </w:rPr>
        <w:t>а</w:t>
      </w:r>
      <w:r w:rsidRPr="00787EA7">
        <w:rPr>
          <w:rFonts w:eastAsia="Calibri"/>
          <w:sz w:val="22"/>
          <w:szCs w:val="22"/>
          <w:lang w:eastAsia="en-US"/>
        </w:rPr>
        <w:t>низация, подчиненный, последователь.</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KEYWORDS: leadership, manager, management, organization, subordinate, follower.</w:t>
      </w:r>
    </w:p>
    <w:p w:rsidR="00724342" w:rsidRPr="00787EA7" w:rsidRDefault="00724342" w:rsidP="00724342">
      <w:pPr>
        <w:ind w:firstLine="425"/>
        <w:jc w:val="both"/>
        <w:rPr>
          <w:rFonts w:eastAsia="Calibri"/>
          <w:sz w:val="18"/>
          <w:szCs w:val="18"/>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Проблема лидерства в современном менеджменте имеет ос</w:t>
      </w:r>
      <w:r w:rsidRPr="00787EA7">
        <w:rPr>
          <w:rFonts w:eastAsia="Calibri"/>
          <w:sz w:val="22"/>
          <w:szCs w:val="22"/>
          <w:lang w:eastAsia="en-US"/>
        </w:rPr>
        <w:t>о</w:t>
      </w:r>
      <w:r w:rsidRPr="00787EA7">
        <w:rPr>
          <w:rFonts w:eastAsia="Calibri"/>
          <w:sz w:val="22"/>
          <w:szCs w:val="22"/>
          <w:lang w:eastAsia="en-US"/>
        </w:rPr>
        <w:t>бую роль в связи с возрастанием значимости человеческого фактора и социализации целой экономической системы. Везде, где собир</w:t>
      </w:r>
      <w:r w:rsidRPr="00787EA7">
        <w:rPr>
          <w:rFonts w:eastAsia="Calibri"/>
          <w:sz w:val="22"/>
          <w:szCs w:val="22"/>
          <w:lang w:eastAsia="en-US"/>
        </w:rPr>
        <w:t>а</w:t>
      </w:r>
      <w:r w:rsidRPr="00787EA7">
        <w:rPr>
          <w:rFonts w:eastAsia="Calibri"/>
          <w:sz w:val="22"/>
          <w:szCs w:val="22"/>
          <w:lang w:eastAsia="en-US"/>
        </w:rPr>
        <w:t>ется группа, состоящая более чем из двух человек, может возни</w:t>
      </w:r>
      <w:r w:rsidRPr="00787EA7">
        <w:rPr>
          <w:rFonts w:eastAsia="Calibri"/>
          <w:sz w:val="22"/>
          <w:szCs w:val="22"/>
          <w:lang w:eastAsia="en-US"/>
        </w:rPr>
        <w:t>к</w:t>
      </w:r>
      <w:r w:rsidRPr="00787EA7">
        <w:rPr>
          <w:rFonts w:eastAsia="Calibri"/>
          <w:sz w:val="22"/>
          <w:szCs w:val="22"/>
          <w:lang w:eastAsia="en-US"/>
        </w:rPr>
        <w:t>нуть ситуация лидирования одного и следования за ним других [1].</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 xml:space="preserve">Актуальность исследования лидерства обуславливается силой его воздействия на формирование личности. Развитие активной </w:t>
      </w:r>
      <w:r w:rsidRPr="00787EA7">
        <w:rPr>
          <w:rFonts w:eastAsia="Calibri"/>
          <w:sz w:val="22"/>
          <w:szCs w:val="22"/>
          <w:lang w:eastAsia="en-US"/>
        </w:rPr>
        <w:lastRenderedPageBreak/>
        <w:t>жизненной позиции личности подразумевает ее оптимальную включенность в трудовой коллектив и исполнение лидерских фун</w:t>
      </w:r>
      <w:r w:rsidRPr="00787EA7">
        <w:rPr>
          <w:rFonts w:eastAsia="Calibri"/>
          <w:sz w:val="22"/>
          <w:szCs w:val="22"/>
          <w:lang w:eastAsia="en-US"/>
        </w:rPr>
        <w:t>к</w:t>
      </w:r>
      <w:r w:rsidRPr="00787EA7">
        <w:rPr>
          <w:rFonts w:eastAsia="Calibri"/>
          <w:sz w:val="22"/>
          <w:szCs w:val="22"/>
          <w:lang w:eastAsia="en-US"/>
        </w:rPr>
        <w:t>ций.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Сущность лидерства может быть лучше понята, если его сра</w:t>
      </w:r>
      <w:r w:rsidRPr="00787EA7">
        <w:rPr>
          <w:rFonts w:eastAsia="Calibri"/>
          <w:sz w:val="22"/>
          <w:szCs w:val="22"/>
          <w:lang w:eastAsia="en-US"/>
        </w:rPr>
        <w:t>в</w:t>
      </w:r>
      <w:r w:rsidRPr="00787EA7">
        <w:rPr>
          <w:rFonts w:eastAsia="Calibri"/>
          <w:sz w:val="22"/>
          <w:szCs w:val="22"/>
          <w:lang w:eastAsia="en-US"/>
        </w:rPr>
        <w:t>нивать с управлением. Быть менеджером и быть лидером в орган</w:t>
      </w:r>
      <w:r w:rsidRPr="00787EA7">
        <w:rPr>
          <w:rFonts w:eastAsia="Calibri"/>
          <w:sz w:val="22"/>
          <w:szCs w:val="22"/>
          <w:lang w:eastAsia="en-US"/>
        </w:rPr>
        <w:t>и</w:t>
      </w:r>
      <w:r w:rsidRPr="00787EA7">
        <w:rPr>
          <w:rFonts w:eastAsia="Calibri"/>
          <w:sz w:val="22"/>
          <w:szCs w:val="22"/>
          <w:lang w:eastAsia="en-US"/>
        </w:rPr>
        <w:t>зации – это значит не одно и тоже. Менеджер в своем влиянии на работу подчиненных и построении взаимоотношений с ними в первую очередь использует и полагается на должностную основу власти и ряд источников, ее питающих. Менеджер контролируют работу подчиненных, он профессионален. Лидерство же базируется больше на процессе социального воздействия, а точнее взаимоде</w:t>
      </w:r>
      <w:r w:rsidRPr="00787EA7">
        <w:rPr>
          <w:rFonts w:eastAsia="Calibri"/>
          <w:sz w:val="22"/>
          <w:szCs w:val="22"/>
          <w:lang w:eastAsia="en-US"/>
        </w:rPr>
        <w:t>й</w:t>
      </w:r>
      <w:r w:rsidRPr="00787EA7">
        <w:rPr>
          <w:rFonts w:eastAsia="Calibri"/>
          <w:sz w:val="22"/>
          <w:szCs w:val="22"/>
          <w:lang w:eastAsia="en-US"/>
        </w:rPr>
        <w:t>ствия в организации. Лидер вдохновляет последователей, полагае</w:t>
      </w:r>
      <w:r w:rsidRPr="00787EA7">
        <w:rPr>
          <w:rFonts w:eastAsia="Calibri"/>
          <w:sz w:val="22"/>
          <w:szCs w:val="22"/>
          <w:lang w:eastAsia="en-US"/>
        </w:rPr>
        <w:t>т</w:t>
      </w:r>
      <w:r w:rsidRPr="00787EA7">
        <w:rPr>
          <w:rFonts w:eastAsia="Calibri"/>
          <w:sz w:val="22"/>
          <w:szCs w:val="22"/>
          <w:lang w:eastAsia="en-US"/>
        </w:rPr>
        <w:t>ся на них, является новатором и энтузиастом. Лидерство является значительно более сложным процессом, требующим высокого уровня взаимозависимости его участников. В отличии от управл</w:t>
      </w:r>
      <w:r w:rsidRPr="00787EA7">
        <w:rPr>
          <w:rFonts w:eastAsia="Calibri"/>
          <w:sz w:val="22"/>
          <w:szCs w:val="22"/>
          <w:lang w:eastAsia="en-US"/>
        </w:rPr>
        <w:t>е</w:t>
      </w:r>
      <w:r w:rsidRPr="00787EA7">
        <w:rPr>
          <w:rFonts w:eastAsia="Calibri"/>
          <w:sz w:val="22"/>
          <w:szCs w:val="22"/>
          <w:lang w:eastAsia="en-US"/>
        </w:rPr>
        <w:t xml:space="preserve">ния, оно подразумевает наличие в организации последователей, а не подчиненных.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Итак, лидерство – это способность руководителя оказывать влияние на отдельных индивидов или группы людей, направленное на эффективное достижение целей организации [1].</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Лидерство рассматривается с двух позиций: </w:t>
      </w:r>
    </w:p>
    <w:p w:rsidR="00724342" w:rsidRPr="00787EA7" w:rsidRDefault="00724342" w:rsidP="002D7DA5">
      <w:pPr>
        <w:numPr>
          <w:ilvl w:val="0"/>
          <w:numId w:val="66"/>
        </w:numPr>
        <w:spacing w:after="200" w:line="276" w:lineRule="auto"/>
        <w:ind w:left="0" w:firstLine="425"/>
        <w:contextualSpacing/>
        <w:jc w:val="both"/>
        <w:rPr>
          <w:rFonts w:eastAsia="Calibri"/>
          <w:sz w:val="22"/>
          <w:szCs w:val="22"/>
          <w:lang w:eastAsia="en-US"/>
        </w:rPr>
      </w:pPr>
      <w:r w:rsidRPr="00787EA7">
        <w:rPr>
          <w:rFonts w:eastAsia="Calibri"/>
          <w:sz w:val="22"/>
          <w:szCs w:val="22"/>
          <w:lang w:eastAsia="en-US"/>
        </w:rPr>
        <w:t>отношения доминирования и подчинения, влияния следов</w:t>
      </w:r>
      <w:r w:rsidRPr="00787EA7">
        <w:rPr>
          <w:rFonts w:eastAsia="Calibri"/>
          <w:sz w:val="22"/>
          <w:szCs w:val="22"/>
          <w:lang w:eastAsia="en-US"/>
        </w:rPr>
        <w:t>а</w:t>
      </w:r>
      <w:r w:rsidRPr="00787EA7">
        <w:rPr>
          <w:rFonts w:eastAsia="Calibri"/>
          <w:sz w:val="22"/>
          <w:szCs w:val="22"/>
          <w:lang w:eastAsia="en-US"/>
        </w:rPr>
        <w:t xml:space="preserve">ния в системе межличностных отношений в группе; </w:t>
      </w:r>
    </w:p>
    <w:p w:rsidR="00724342" w:rsidRPr="00787EA7" w:rsidRDefault="00724342" w:rsidP="002D7DA5">
      <w:pPr>
        <w:numPr>
          <w:ilvl w:val="0"/>
          <w:numId w:val="66"/>
        </w:numPr>
        <w:spacing w:after="200" w:line="276" w:lineRule="auto"/>
        <w:ind w:left="0" w:firstLine="425"/>
        <w:contextualSpacing/>
        <w:jc w:val="both"/>
        <w:rPr>
          <w:rFonts w:eastAsia="Calibri"/>
          <w:sz w:val="22"/>
          <w:szCs w:val="22"/>
          <w:lang w:eastAsia="en-US"/>
        </w:rPr>
      </w:pPr>
      <w:r w:rsidRPr="00787EA7">
        <w:rPr>
          <w:rFonts w:eastAsia="Calibri"/>
          <w:sz w:val="22"/>
          <w:szCs w:val="22"/>
          <w:lang w:eastAsia="en-US"/>
        </w:rPr>
        <w:t>процесс, в ходе которого определенные члены группы ведут за собой всех остальных.</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теории менеджмента имеется ряд моделей и позиций лиде</w:t>
      </w:r>
      <w:r w:rsidRPr="00787EA7">
        <w:rPr>
          <w:rFonts w:eastAsia="Calibri"/>
          <w:sz w:val="22"/>
          <w:szCs w:val="22"/>
          <w:lang w:eastAsia="en-US"/>
        </w:rPr>
        <w:t>р</w:t>
      </w:r>
      <w:r w:rsidRPr="00787EA7">
        <w:rPr>
          <w:rFonts w:eastAsia="Calibri"/>
          <w:sz w:val="22"/>
          <w:szCs w:val="22"/>
          <w:lang w:eastAsia="en-US"/>
        </w:rPr>
        <w:t>ства. К моделям лидерства относят: личностную, поведенческую и ситуационную.</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 Модель личностного лидерства формирует соотношение между персональными качествами и эффективностью постановки задач. Для руководителя группы свойственно формирование образа героя, который выражает заботу об окружающих и самом себе.</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 Поведенческий подход сосредоточил свое внимание на пов</w:t>
      </w:r>
      <w:r w:rsidRPr="00787EA7">
        <w:rPr>
          <w:rFonts w:eastAsia="Calibri"/>
          <w:sz w:val="22"/>
          <w:szCs w:val="22"/>
          <w:lang w:eastAsia="en-US"/>
        </w:rPr>
        <w:t>е</w:t>
      </w:r>
      <w:r w:rsidRPr="00787EA7">
        <w:rPr>
          <w:rFonts w:eastAsia="Calibri"/>
          <w:sz w:val="22"/>
          <w:szCs w:val="22"/>
          <w:lang w:eastAsia="en-US"/>
        </w:rPr>
        <w:t>дении управляющего. В соответствии сданным подходом, эффе</w:t>
      </w:r>
      <w:r w:rsidRPr="00787EA7">
        <w:rPr>
          <w:rFonts w:eastAsia="Calibri"/>
          <w:sz w:val="22"/>
          <w:szCs w:val="22"/>
          <w:lang w:eastAsia="en-US"/>
        </w:rPr>
        <w:t>к</w:t>
      </w:r>
      <w:r w:rsidRPr="00787EA7">
        <w:rPr>
          <w:rFonts w:eastAsia="Calibri"/>
          <w:sz w:val="22"/>
          <w:szCs w:val="22"/>
          <w:lang w:eastAsia="en-US"/>
        </w:rPr>
        <w:t>тивность обуславливается не личными качествами руководителя, а его манерой поведения по отношению к подчиненным.</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3.Ситуационная модель управления рассматривает планиров</w:t>
      </w:r>
      <w:r w:rsidRPr="00787EA7">
        <w:rPr>
          <w:rFonts w:eastAsia="Calibri"/>
          <w:sz w:val="22"/>
          <w:szCs w:val="22"/>
          <w:lang w:eastAsia="en-US"/>
        </w:rPr>
        <w:t>а</w:t>
      </w:r>
      <w:r w:rsidRPr="00787EA7">
        <w:rPr>
          <w:rFonts w:eastAsia="Calibri"/>
          <w:sz w:val="22"/>
          <w:szCs w:val="22"/>
          <w:lang w:eastAsia="en-US"/>
        </w:rPr>
        <w:t>ние поведения подчиненных с учетом их индивидуальных характ</w:t>
      </w:r>
      <w:r w:rsidRPr="00787EA7">
        <w:rPr>
          <w:rFonts w:eastAsia="Calibri"/>
          <w:sz w:val="22"/>
          <w:szCs w:val="22"/>
          <w:lang w:eastAsia="en-US"/>
        </w:rPr>
        <w:t>е</w:t>
      </w:r>
      <w:r w:rsidRPr="00787EA7">
        <w:rPr>
          <w:rFonts w:eastAsia="Calibri"/>
          <w:sz w:val="22"/>
          <w:szCs w:val="22"/>
          <w:lang w:eastAsia="en-US"/>
        </w:rPr>
        <w:t>ров, трудности задач и данных, доступных для управленца. В крайне благоприятной или неблагоприятной ситуации лидер, ор</w:t>
      </w:r>
      <w:r w:rsidRPr="00787EA7">
        <w:rPr>
          <w:rFonts w:eastAsia="Calibri"/>
          <w:sz w:val="22"/>
          <w:szCs w:val="22"/>
          <w:lang w:eastAsia="en-US"/>
        </w:rPr>
        <w:t>и</w:t>
      </w:r>
      <w:r w:rsidRPr="00787EA7">
        <w:rPr>
          <w:rFonts w:eastAsia="Calibri"/>
          <w:sz w:val="22"/>
          <w:szCs w:val="22"/>
          <w:lang w:eastAsia="en-US"/>
        </w:rPr>
        <w:t>ентированный на задачу, добивается большего результата [2].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Современные концепции лидерства включают в себя харизм</w:t>
      </w:r>
      <w:r w:rsidRPr="00787EA7">
        <w:rPr>
          <w:rFonts w:eastAsia="Calibri"/>
          <w:sz w:val="22"/>
          <w:szCs w:val="22"/>
          <w:lang w:eastAsia="en-US"/>
        </w:rPr>
        <w:t>а</w:t>
      </w:r>
      <w:r w:rsidRPr="00787EA7">
        <w:rPr>
          <w:rFonts w:eastAsia="Calibri"/>
          <w:sz w:val="22"/>
          <w:szCs w:val="22"/>
          <w:lang w:eastAsia="en-US"/>
        </w:rPr>
        <w:t>тическую, преобразующую и атрибутивную.</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1.Харизма является формой влияния на других с помощью личностной привлекательности, вызывающей поддержку и призн</w:t>
      </w:r>
      <w:r w:rsidRPr="00787EA7">
        <w:rPr>
          <w:rFonts w:eastAsia="Calibri"/>
          <w:sz w:val="22"/>
          <w:szCs w:val="22"/>
          <w:lang w:eastAsia="en-US"/>
        </w:rPr>
        <w:t>а</w:t>
      </w:r>
      <w:r w:rsidRPr="00787EA7">
        <w:rPr>
          <w:rFonts w:eastAsia="Calibri"/>
          <w:sz w:val="22"/>
          <w:szCs w:val="22"/>
          <w:lang w:eastAsia="en-US"/>
        </w:rPr>
        <w:t>ние лидерства, что дает обладателю харизмы власть над последов</w:t>
      </w:r>
      <w:r w:rsidRPr="00787EA7">
        <w:rPr>
          <w:rFonts w:eastAsia="Calibri"/>
          <w:sz w:val="22"/>
          <w:szCs w:val="22"/>
          <w:lang w:eastAsia="en-US"/>
        </w:rPr>
        <w:t>а</w:t>
      </w:r>
      <w:r w:rsidRPr="00787EA7">
        <w:rPr>
          <w:rFonts w:eastAsia="Calibri"/>
          <w:sz w:val="22"/>
          <w:szCs w:val="22"/>
          <w:lang w:eastAsia="en-US"/>
        </w:rPr>
        <w:t xml:space="preserve">телями. Многие считают, что приобретение харизмы связано со способностью лидера находить своих почитателей и обожателей, в том числе и менять их состав в зависимости от ситуации. Другие определяют харизму как набор особых лидерских качеств.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2.Модель преобразующего лидерства подразумевает наличие у руководителя и подчиненных определенного поведения, подход</w:t>
      </w:r>
      <w:r w:rsidRPr="00787EA7">
        <w:rPr>
          <w:rFonts w:eastAsia="Calibri"/>
          <w:sz w:val="22"/>
          <w:szCs w:val="22"/>
          <w:lang w:eastAsia="en-US"/>
        </w:rPr>
        <w:t>я</w:t>
      </w:r>
      <w:r w:rsidRPr="00787EA7">
        <w:rPr>
          <w:rFonts w:eastAsia="Calibri"/>
          <w:sz w:val="22"/>
          <w:szCs w:val="22"/>
          <w:lang w:eastAsia="en-US"/>
        </w:rPr>
        <w:t>щего для творческого решения задач в кризисной ситуации. В этой модели признается необходимым для лидера воздействовать на подчиненных с помощью привлечения их к участию в управлении, являться самому частью группы организации и с энтузиазмом по</w:t>
      </w:r>
      <w:r w:rsidRPr="00787EA7">
        <w:rPr>
          <w:rFonts w:eastAsia="Calibri"/>
          <w:sz w:val="22"/>
          <w:szCs w:val="22"/>
          <w:lang w:eastAsia="en-US"/>
        </w:rPr>
        <w:t>д</w:t>
      </w:r>
      <w:r w:rsidRPr="00787EA7">
        <w:rPr>
          <w:rFonts w:eastAsia="Calibri"/>
          <w:sz w:val="22"/>
          <w:szCs w:val="22"/>
          <w:lang w:eastAsia="en-US"/>
        </w:rPr>
        <w:t xml:space="preserve">держивать совместные усилия.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3.Атрибутивный подход к лидерству отталкивается от того, что выводы лидера обусловлены его реакцией на поведение подчине</w:t>
      </w:r>
      <w:r w:rsidRPr="00787EA7">
        <w:rPr>
          <w:rFonts w:eastAsia="Calibri"/>
          <w:sz w:val="22"/>
          <w:szCs w:val="22"/>
          <w:lang w:eastAsia="en-US"/>
        </w:rPr>
        <w:t>н</w:t>
      </w:r>
      <w:r w:rsidRPr="00787EA7">
        <w:rPr>
          <w:rFonts w:eastAsia="Calibri"/>
          <w:sz w:val="22"/>
          <w:szCs w:val="22"/>
          <w:lang w:eastAsia="en-US"/>
        </w:rPr>
        <w:t>ных. Наблюдая за их работой, руководитель получает информацию о том, как она выполняется. Затем он делает собственные заключ</w:t>
      </w:r>
      <w:r w:rsidRPr="00787EA7">
        <w:rPr>
          <w:rFonts w:eastAsia="Calibri"/>
          <w:sz w:val="22"/>
          <w:szCs w:val="22"/>
          <w:lang w:eastAsia="en-US"/>
        </w:rPr>
        <w:t>е</w:t>
      </w:r>
      <w:r w:rsidRPr="00787EA7">
        <w:rPr>
          <w:rFonts w:eastAsia="Calibri"/>
          <w:sz w:val="22"/>
          <w:szCs w:val="22"/>
          <w:lang w:eastAsia="en-US"/>
        </w:rPr>
        <w:t>ния о поведении каждого из работников и подбирает стиль своего поведения так, чтобы адекватно реагировать на их поведение.</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Таким образом, проблемы лидерства являются основными для достижения организационной эффективности. Лидерство рассма</w:t>
      </w:r>
      <w:r w:rsidRPr="00787EA7">
        <w:rPr>
          <w:rFonts w:eastAsia="Calibri"/>
          <w:sz w:val="22"/>
          <w:szCs w:val="22"/>
          <w:lang w:eastAsia="en-US"/>
        </w:rPr>
        <w:t>т</w:t>
      </w:r>
      <w:r w:rsidRPr="00787EA7">
        <w:rPr>
          <w:rFonts w:eastAsia="Calibri"/>
          <w:sz w:val="22"/>
          <w:szCs w:val="22"/>
          <w:lang w:eastAsia="en-US"/>
        </w:rPr>
        <w:t>ривается как наличие конкретного набора качеств, приписываемых тем, кто успешно оказывает воздействие или влияет на других. В то же время, лидерство – это процесс не силового воздействия в направлении достижения группой или организацией собственных целей.</w:t>
      </w:r>
    </w:p>
    <w:p w:rsidR="00724342" w:rsidRPr="00787EA7" w:rsidRDefault="00724342" w:rsidP="00724342">
      <w:pPr>
        <w:ind w:firstLine="425"/>
        <w:jc w:val="both"/>
        <w:rPr>
          <w:rFonts w:eastAsia="Calibri"/>
          <w:sz w:val="18"/>
          <w:szCs w:val="18"/>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 xml:space="preserve">Список литературы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1. Ерастова А. В. Лидерство:Учебное пособие / А. В.Ерастова, О. В.Черкасова. – Саранск, 2015. – 340 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lastRenderedPageBreak/>
        <w:t>2. Комарова Е. В. Лидерство: Учебное пособие / Е. В. Комар</w:t>
      </w:r>
      <w:r w:rsidRPr="00787EA7">
        <w:rPr>
          <w:rFonts w:eastAsia="Calibri"/>
          <w:sz w:val="22"/>
          <w:szCs w:val="22"/>
          <w:lang w:eastAsia="en-US"/>
        </w:rPr>
        <w:t>о</w:t>
      </w:r>
      <w:r w:rsidRPr="00787EA7">
        <w:rPr>
          <w:rFonts w:eastAsia="Calibri"/>
          <w:sz w:val="22"/>
          <w:szCs w:val="22"/>
          <w:lang w:eastAsia="en-US"/>
        </w:rPr>
        <w:t>ва, Н. И.Редина, С. А.Шмелева. – ДГФА, 2008. – 251 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3. Муратова Е.Н., Стукова Ю.Е.</w:t>
      </w:r>
      <w:hyperlink r:id="rId206" w:history="1">
        <w:r w:rsidRPr="00787EA7">
          <w:rPr>
            <w:rFonts w:eastAsia="Calibri"/>
            <w:sz w:val="22"/>
            <w:szCs w:val="22"/>
            <w:lang w:eastAsia="en-US"/>
          </w:rPr>
          <w:t>Эффективное лидерство и управление командой</w:t>
        </w:r>
      </w:hyperlink>
      <w:r w:rsidRPr="00787EA7">
        <w:rPr>
          <w:rFonts w:eastAsia="Calibri"/>
          <w:sz w:val="22"/>
          <w:szCs w:val="22"/>
          <w:lang w:eastAsia="en-US"/>
        </w:rPr>
        <w:t xml:space="preserve"> / Муратова Е.Н., Стукова Ю.Е. // В сборн</w:t>
      </w:r>
      <w:r w:rsidRPr="00787EA7">
        <w:rPr>
          <w:rFonts w:eastAsia="Calibri"/>
          <w:sz w:val="22"/>
          <w:szCs w:val="22"/>
          <w:lang w:eastAsia="en-US"/>
        </w:rPr>
        <w:t>и</w:t>
      </w:r>
      <w:r w:rsidRPr="00787EA7">
        <w:rPr>
          <w:rFonts w:eastAsia="Calibri"/>
          <w:sz w:val="22"/>
          <w:szCs w:val="22"/>
          <w:lang w:eastAsia="en-US"/>
        </w:rPr>
        <w:t>ке: </w:t>
      </w:r>
      <w:hyperlink r:id="rId207" w:history="1">
        <w:r w:rsidRPr="00787EA7">
          <w:rPr>
            <w:rFonts w:eastAsia="Calibri"/>
            <w:sz w:val="22"/>
            <w:szCs w:val="22"/>
            <w:lang w:eastAsia="en-US"/>
          </w:rPr>
          <w:t>Актуальные вопросы экономики и менеджмента: теория и пра</w:t>
        </w:r>
        <w:r w:rsidRPr="00787EA7">
          <w:rPr>
            <w:rFonts w:eastAsia="Calibri"/>
            <w:sz w:val="22"/>
            <w:szCs w:val="22"/>
            <w:lang w:eastAsia="en-US"/>
          </w:rPr>
          <w:t>к</w:t>
        </w:r>
        <w:r w:rsidRPr="00787EA7">
          <w:rPr>
            <w:rFonts w:eastAsia="Calibri"/>
            <w:sz w:val="22"/>
            <w:szCs w:val="22"/>
            <w:lang w:eastAsia="en-US"/>
          </w:rPr>
          <w:t>тика</w:t>
        </w:r>
      </w:hyperlink>
      <w:r w:rsidRPr="00787EA7">
        <w:rPr>
          <w:rFonts w:eastAsia="Calibri"/>
          <w:sz w:val="22"/>
          <w:szCs w:val="22"/>
          <w:lang w:eastAsia="en-US"/>
        </w:rPr>
        <w:t> материалы I Международной научно-практической конфере</w:t>
      </w:r>
      <w:r w:rsidRPr="00787EA7">
        <w:rPr>
          <w:rFonts w:eastAsia="Calibri"/>
          <w:sz w:val="22"/>
          <w:szCs w:val="22"/>
          <w:lang w:eastAsia="en-US"/>
        </w:rPr>
        <w:t>н</w:t>
      </w:r>
      <w:r w:rsidRPr="00787EA7">
        <w:rPr>
          <w:rFonts w:eastAsia="Calibri"/>
          <w:sz w:val="22"/>
          <w:szCs w:val="22"/>
          <w:lang w:eastAsia="en-US"/>
        </w:rPr>
        <w:t>ции. 2015. С. 38-41.</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4. Парамонов П. Ф. Менеджмент: учеб. пособие/</w:t>
      </w:r>
      <w:hyperlink r:id="rId208"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209" w:history="1">
        <w:r w:rsidRPr="00787EA7">
          <w:rPr>
            <w:rFonts w:eastAsia="Calibri"/>
            <w:sz w:val="22"/>
            <w:szCs w:val="22"/>
            <w:lang w:eastAsia="en-US"/>
          </w:rPr>
          <w:t>И. Е. Халявка</w:t>
        </w:r>
      </w:hyperlink>
      <w:r w:rsidRPr="00787EA7">
        <w:rPr>
          <w:rFonts w:eastAsia="Calibri"/>
          <w:sz w:val="22"/>
          <w:szCs w:val="22"/>
          <w:lang w:eastAsia="en-US"/>
        </w:rPr>
        <w:t>, </w:t>
      </w:r>
      <w:hyperlink r:id="rId210"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2015.–173 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5. Радина Н. К. Психология лидерства. Социально-культурные аспекты лидерства: учебно-методическое пособие / Н. К. Радина. – Нижний Новгород, 2008. – 186 с.</w:t>
      </w:r>
    </w:p>
    <w:p w:rsidR="006167FC" w:rsidRDefault="006167FC" w:rsidP="006167FC">
      <w:pPr>
        <w:spacing w:line="100" w:lineRule="atLeast"/>
        <w:jc w:val="both"/>
        <w:outlineLvl w:val="0"/>
        <w:rPr>
          <w:rFonts w:eastAsia="Calibri"/>
          <w:sz w:val="22"/>
          <w:szCs w:val="22"/>
          <w:lang w:eastAsia="en-US"/>
        </w:rPr>
      </w:pPr>
    </w:p>
    <w:p w:rsidR="006167FC" w:rsidRDefault="006167FC" w:rsidP="006167FC">
      <w:pPr>
        <w:spacing w:line="100" w:lineRule="atLeast"/>
        <w:jc w:val="both"/>
        <w:outlineLvl w:val="0"/>
        <w:rPr>
          <w:rFonts w:eastAsia="Calibri"/>
          <w:sz w:val="22"/>
          <w:szCs w:val="22"/>
          <w:lang w:eastAsia="en-US"/>
        </w:rPr>
      </w:pPr>
    </w:p>
    <w:p w:rsidR="00724342" w:rsidRPr="00787EA7" w:rsidRDefault="00724342" w:rsidP="006167FC">
      <w:pPr>
        <w:spacing w:line="100" w:lineRule="atLeast"/>
        <w:jc w:val="both"/>
        <w:outlineLvl w:val="0"/>
        <w:rPr>
          <w:rFonts w:eastAsia="Calibri"/>
          <w:sz w:val="22"/>
          <w:szCs w:val="22"/>
          <w:lang w:eastAsia="en-US"/>
        </w:rPr>
      </w:pPr>
      <w:r w:rsidRPr="00787EA7">
        <w:rPr>
          <w:rFonts w:eastAsia="Calibri"/>
          <w:sz w:val="22"/>
          <w:szCs w:val="22"/>
          <w:lang w:eastAsia="en-US"/>
        </w:rPr>
        <w:t xml:space="preserve">УДК </w:t>
      </w:r>
      <w:r w:rsidRPr="00787EA7">
        <w:rPr>
          <w:rFonts w:eastAsia="Calibri"/>
          <w:color w:val="333333"/>
          <w:sz w:val="22"/>
          <w:szCs w:val="22"/>
          <w:lang w:eastAsia="en-US"/>
        </w:rPr>
        <w:t>336.74</w:t>
      </w:r>
    </w:p>
    <w:p w:rsidR="00724342" w:rsidRPr="00787EA7" w:rsidRDefault="00724342" w:rsidP="00724342">
      <w:pPr>
        <w:spacing w:line="100" w:lineRule="atLeast"/>
        <w:ind w:firstLine="284"/>
        <w:jc w:val="both"/>
        <w:rPr>
          <w:rFonts w:eastAsia="Calibri"/>
          <w:sz w:val="20"/>
          <w:szCs w:val="20"/>
          <w:lang w:eastAsia="en-US"/>
        </w:rPr>
      </w:pPr>
    </w:p>
    <w:p w:rsidR="00724342" w:rsidRPr="00787EA7" w:rsidRDefault="00724342" w:rsidP="00724342">
      <w:pPr>
        <w:spacing w:line="100" w:lineRule="atLeast"/>
        <w:ind w:firstLine="284"/>
        <w:jc w:val="center"/>
        <w:outlineLvl w:val="0"/>
        <w:rPr>
          <w:rFonts w:eastAsia="Calibri"/>
          <w:b/>
          <w:sz w:val="24"/>
          <w:szCs w:val="24"/>
          <w:lang w:eastAsia="en-US"/>
        </w:rPr>
      </w:pPr>
      <w:r w:rsidRPr="00787EA7">
        <w:rPr>
          <w:rFonts w:eastAsia="Calibri"/>
          <w:b/>
          <w:sz w:val="24"/>
          <w:szCs w:val="24"/>
          <w:lang w:eastAsia="en-US"/>
        </w:rPr>
        <w:t xml:space="preserve">Национальная система платежных карт: </w:t>
      </w:r>
    </w:p>
    <w:p w:rsidR="00724342" w:rsidRPr="00787EA7" w:rsidRDefault="00724342" w:rsidP="00724342">
      <w:pPr>
        <w:spacing w:line="100" w:lineRule="atLeast"/>
        <w:ind w:firstLine="284"/>
        <w:jc w:val="center"/>
        <w:rPr>
          <w:rFonts w:eastAsia="Calibri"/>
          <w:b/>
          <w:sz w:val="20"/>
          <w:szCs w:val="20"/>
          <w:lang w:val="en-US" w:eastAsia="en-US"/>
        </w:rPr>
      </w:pPr>
      <w:r w:rsidRPr="00787EA7">
        <w:rPr>
          <w:rFonts w:eastAsia="Calibri"/>
          <w:b/>
          <w:sz w:val="24"/>
          <w:szCs w:val="24"/>
          <w:lang w:eastAsia="en-US"/>
        </w:rPr>
        <w:t>перспективы</w:t>
      </w:r>
      <w:r w:rsidRPr="00787EA7">
        <w:rPr>
          <w:rFonts w:eastAsia="Calibri"/>
          <w:b/>
          <w:sz w:val="24"/>
          <w:szCs w:val="24"/>
          <w:lang w:val="en-US" w:eastAsia="en-US"/>
        </w:rPr>
        <w:t xml:space="preserve"> </w:t>
      </w:r>
      <w:r w:rsidRPr="00787EA7">
        <w:rPr>
          <w:rFonts w:eastAsia="Calibri"/>
          <w:b/>
          <w:sz w:val="24"/>
          <w:szCs w:val="24"/>
          <w:lang w:eastAsia="en-US"/>
        </w:rPr>
        <w:t>развития</w:t>
      </w:r>
    </w:p>
    <w:p w:rsidR="00724342" w:rsidRPr="00787EA7" w:rsidRDefault="00724342" w:rsidP="00724342">
      <w:pPr>
        <w:spacing w:line="100" w:lineRule="atLeast"/>
        <w:ind w:firstLine="284"/>
        <w:jc w:val="center"/>
        <w:rPr>
          <w:rFonts w:eastAsia="Calibri"/>
          <w:b/>
          <w:sz w:val="20"/>
          <w:szCs w:val="20"/>
          <w:lang w:val="en-US" w:eastAsia="en-US"/>
        </w:rPr>
      </w:pPr>
      <w:r w:rsidRPr="00787EA7">
        <w:rPr>
          <w:rFonts w:eastAsia="Calibri"/>
          <w:b/>
          <w:sz w:val="24"/>
          <w:szCs w:val="24"/>
          <w:lang w:val="en-US" w:eastAsia="en-US"/>
        </w:rPr>
        <w:t xml:space="preserve">The national payment card system: prospects </w:t>
      </w:r>
      <w:r w:rsidR="006167FC" w:rsidRPr="006167FC">
        <w:rPr>
          <w:rFonts w:eastAsia="Calibri"/>
          <w:b/>
          <w:sz w:val="24"/>
          <w:szCs w:val="24"/>
          <w:lang w:val="en-US" w:eastAsia="en-US"/>
        </w:rPr>
        <w:br/>
      </w:r>
      <w:r w:rsidRPr="00787EA7">
        <w:rPr>
          <w:rFonts w:eastAsia="Calibri"/>
          <w:b/>
          <w:sz w:val="24"/>
          <w:szCs w:val="24"/>
          <w:lang w:val="en-US" w:eastAsia="en-US"/>
        </w:rPr>
        <w:t>of development</w:t>
      </w:r>
    </w:p>
    <w:p w:rsidR="00724342" w:rsidRPr="00787EA7" w:rsidRDefault="00724342" w:rsidP="00724342">
      <w:pPr>
        <w:spacing w:line="100" w:lineRule="atLeast"/>
        <w:ind w:firstLine="284"/>
        <w:jc w:val="center"/>
        <w:rPr>
          <w:rFonts w:eastAsia="Calibri"/>
          <w:sz w:val="20"/>
          <w:szCs w:val="20"/>
          <w:lang w:val="en-US" w:eastAsia="en-US"/>
        </w:rPr>
      </w:pPr>
    </w:p>
    <w:p w:rsidR="00724342" w:rsidRPr="00787EA7" w:rsidRDefault="00724342" w:rsidP="006167FC">
      <w:pPr>
        <w:jc w:val="right"/>
        <w:rPr>
          <w:rFonts w:eastAsia="Calibri"/>
          <w:sz w:val="22"/>
          <w:szCs w:val="22"/>
          <w:lang w:eastAsia="en-US"/>
        </w:rPr>
      </w:pPr>
      <w:r w:rsidRPr="00787EA7">
        <w:rPr>
          <w:rFonts w:eastAsia="Calibri"/>
          <w:sz w:val="22"/>
          <w:szCs w:val="22"/>
          <w:lang w:eastAsia="en-US"/>
        </w:rPr>
        <w:t>Карапетян М.</w:t>
      </w:r>
      <w:r w:rsidR="006167FC">
        <w:rPr>
          <w:rFonts w:eastAsia="Calibri"/>
          <w:sz w:val="22"/>
          <w:szCs w:val="22"/>
          <w:lang w:eastAsia="en-US"/>
        </w:rPr>
        <w:t xml:space="preserve"> </w:t>
      </w:r>
      <w:r w:rsidRPr="00787EA7">
        <w:rPr>
          <w:rFonts w:eastAsia="Calibri"/>
          <w:sz w:val="22"/>
          <w:szCs w:val="22"/>
          <w:lang w:eastAsia="en-US"/>
        </w:rPr>
        <w:t>О.</w:t>
      </w:r>
      <w:r w:rsidR="006167FC">
        <w:rPr>
          <w:rFonts w:eastAsia="Calibri"/>
          <w:sz w:val="22"/>
          <w:szCs w:val="22"/>
          <w:lang w:eastAsia="en-US"/>
        </w:rPr>
        <w:t xml:space="preserve">, </w:t>
      </w:r>
      <w:r w:rsidRPr="00787EA7">
        <w:rPr>
          <w:rFonts w:eastAsia="Calibri"/>
          <w:sz w:val="22"/>
          <w:szCs w:val="22"/>
        </w:rPr>
        <w:t>Веселуха К.</w:t>
      </w:r>
      <w:r w:rsidR="006167FC">
        <w:rPr>
          <w:rFonts w:eastAsia="Calibri"/>
          <w:sz w:val="22"/>
          <w:szCs w:val="22"/>
        </w:rPr>
        <w:t xml:space="preserve"> </w:t>
      </w:r>
      <w:r w:rsidRPr="00787EA7">
        <w:rPr>
          <w:rFonts w:eastAsia="Calibri"/>
          <w:sz w:val="22"/>
          <w:szCs w:val="22"/>
        </w:rPr>
        <w:t>В.</w:t>
      </w:r>
      <w:r w:rsidR="006167FC">
        <w:rPr>
          <w:rFonts w:eastAsia="Calibri"/>
          <w:sz w:val="22"/>
          <w:szCs w:val="22"/>
        </w:rPr>
        <w:t>,</w:t>
      </w:r>
    </w:p>
    <w:p w:rsidR="00724342" w:rsidRPr="00787EA7" w:rsidRDefault="006167FC" w:rsidP="00724342">
      <w:pPr>
        <w:jc w:val="right"/>
        <w:rPr>
          <w:rFonts w:eastAsia="Calibri"/>
          <w:sz w:val="22"/>
          <w:szCs w:val="22"/>
          <w:lang w:eastAsia="en-US"/>
        </w:rPr>
      </w:pPr>
      <w:r>
        <w:rPr>
          <w:rFonts w:eastAsia="Calibri"/>
          <w:sz w:val="22"/>
          <w:szCs w:val="22"/>
          <w:lang w:eastAsia="en-US"/>
        </w:rPr>
        <w:t>студентки</w:t>
      </w:r>
      <w:r w:rsidR="00724342" w:rsidRPr="00787EA7">
        <w:rPr>
          <w:rFonts w:eastAsia="Calibri"/>
          <w:sz w:val="22"/>
          <w:szCs w:val="22"/>
          <w:lang w:eastAsia="en-US"/>
        </w:rPr>
        <w:t xml:space="preserve"> 4-го курса факультета «Финансы и кредит»</w:t>
      </w:r>
    </w:p>
    <w:p w:rsidR="00724342" w:rsidRPr="00787EA7" w:rsidRDefault="00724342" w:rsidP="00724342">
      <w:pPr>
        <w:jc w:val="right"/>
        <w:rPr>
          <w:rFonts w:eastAsia="Calibri"/>
          <w:sz w:val="22"/>
          <w:szCs w:val="22"/>
        </w:rPr>
      </w:pPr>
      <w:r w:rsidRPr="00787EA7">
        <w:rPr>
          <w:rFonts w:eastAsia="Calibri"/>
          <w:sz w:val="22"/>
          <w:szCs w:val="22"/>
        </w:rPr>
        <w:t xml:space="preserve">Кубанский государственный аграрный </w:t>
      </w:r>
    </w:p>
    <w:p w:rsidR="00724342" w:rsidRPr="00787EA7" w:rsidRDefault="00724342" w:rsidP="00724342">
      <w:pPr>
        <w:jc w:val="right"/>
        <w:rPr>
          <w:rFonts w:eastAsia="Calibri"/>
          <w:i/>
          <w:sz w:val="22"/>
          <w:szCs w:val="22"/>
        </w:rPr>
      </w:pPr>
      <w:r w:rsidRPr="00787EA7">
        <w:rPr>
          <w:rFonts w:eastAsia="Calibri"/>
          <w:sz w:val="22"/>
          <w:szCs w:val="22"/>
        </w:rPr>
        <w:t>университет имени И.Т. Трубилина</w:t>
      </w:r>
    </w:p>
    <w:p w:rsidR="00724342" w:rsidRPr="00787EA7" w:rsidRDefault="00724342" w:rsidP="00724342">
      <w:pPr>
        <w:spacing w:line="100" w:lineRule="atLeast"/>
        <w:jc w:val="right"/>
        <w:rPr>
          <w:rFonts w:eastAsia="Calibri"/>
          <w:sz w:val="20"/>
          <w:szCs w:val="20"/>
          <w:lang w:eastAsia="en-US"/>
        </w:rPr>
      </w:pPr>
      <w:r w:rsidRPr="00787EA7">
        <w:rPr>
          <w:rFonts w:eastAsia="Calibri"/>
          <w:i/>
          <w:sz w:val="20"/>
          <w:szCs w:val="20"/>
          <w:lang w:eastAsia="en-US"/>
        </w:rPr>
        <w:t>.</w:t>
      </w:r>
    </w:p>
    <w:p w:rsidR="00724342" w:rsidRPr="00787EA7" w:rsidRDefault="00724342" w:rsidP="00724342">
      <w:pPr>
        <w:spacing w:line="100" w:lineRule="atLeast"/>
        <w:jc w:val="right"/>
        <w:rPr>
          <w:rFonts w:eastAsia="Calibri"/>
          <w:sz w:val="20"/>
          <w:szCs w:val="20"/>
          <w:lang w:eastAsia="en-US"/>
        </w:rPr>
      </w:pPr>
    </w:p>
    <w:p w:rsidR="00724342" w:rsidRPr="00787EA7" w:rsidRDefault="00724342" w:rsidP="00724342">
      <w:pPr>
        <w:suppressAutoHyphens/>
        <w:spacing w:line="100" w:lineRule="atLeast"/>
        <w:ind w:firstLine="426"/>
        <w:jc w:val="both"/>
        <w:rPr>
          <w:color w:val="000000"/>
          <w:sz w:val="22"/>
          <w:szCs w:val="22"/>
          <w:lang w:eastAsia="ar-SA"/>
        </w:rPr>
      </w:pPr>
      <w:r w:rsidRPr="00787EA7">
        <w:rPr>
          <w:sz w:val="22"/>
          <w:szCs w:val="22"/>
          <w:lang w:eastAsia="ar-SA"/>
        </w:rPr>
        <w:t xml:space="preserve">АННОТАЦИЯ: </w:t>
      </w:r>
      <w:r w:rsidRPr="00787EA7">
        <w:rPr>
          <w:color w:val="000000"/>
          <w:sz w:val="22"/>
          <w:szCs w:val="22"/>
          <w:lang w:eastAsia="ar-SA"/>
        </w:rPr>
        <w:t>приведены основные характеристики  национальной системы платежных карт, изучена динамика и перспективы её развития.</w:t>
      </w:r>
    </w:p>
    <w:p w:rsidR="00724342" w:rsidRPr="00787EA7" w:rsidRDefault="00724342" w:rsidP="00724342">
      <w:pPr>
        <w:suppressAutoHyphens/>
        <w:spacing w:line="100" w:lineRule="atLeast"/>
        <w:ind w:firstLine="426"/>
        <w:jc w:val="both"/>
        <w:rPr>
          <w:color w:val="000000"/>
          <w:sz w:val="22"/>
          <w:szCs w:val="22"/>
          <w:lang w:val="en-US" w:eastAsia="ar-SA"/>
        </w:rPr>
      </w:pPr>
      <w:r w:rsidRPr="00787EA7">
        <w:rPr>
          <w:color w:val="000000"/>
          <w:sz w:val="22"/>
          <w:szCs w:val="22"/>
          <w:lang w:val="en-US" w:eastAsia="ar-SA"/>
        </w:rPr>
        <w:t>ABSTRACT: this article examines the definition of the national payment system, as well as the dynamics and prospects for its development.</w:t>
      </w:r>
    </w:p>
    <w:p w:rsidR="00724342" w:rsidRPr="00787EA7" w:rsidRDefault="00724342" w:rsidP="00724342">
      <w:pPr>
        <w:suppressAutoHyphens/>
        <w:spacing w:line="100" w:lineRule="atLeast"/>
        <w:ind w:firstLine="426"/>
        <w:jc w:val="both"/>
        <w:rPr>
          <w:color w:val="000000"/>
          <w:sz w:val="22"/>
          <w:szCs w:val="22"/>
          <w:lang w:eastAsia="ar-SA"/>
        </w:rPr>
      </w:pPr>
      <w:r w:rsidRPr="00787EA7">
        <w:rPr>
          <w:color w:val="000000"/>
          <w:sz w:val="22"/>
          <w:szCs w:val="22"/>
          <w:lang w:eastAsia="ar-SA"/>
        </w:rPr>
        <w:t xml:space="preserve">КЛЮЧЕВЫЕ СЛОВА: национальная платежная система, карта «Мир», Банк России, </w:t>
      </w:r>
      <w:r w:rsidRPr="00787EA7">
        <w:rPr>
          <w:sz w:val="22"/>
          <w:szCs w:val="22"/>
          <w:lang w:eastAsia="ar-SA"/>
        </w:rPr>
        <w:t>санкции.</w:t>
      </w:r>
    </w:p>
    <w:p w:rsidR="00724342" w:rsidRPr="00CE4C84" w:rsidRDefault="00724342" w:rsidP="00CE4C84">
      <w:pPr>
        <w:suppressAutoHyphens/>
        <w:spacing w:line="100" w:lineRule="atLeast"/>
        <w:ind w:firstLine="426"/>
        <w:jc w:val="both"/>
        <w:rPr>
          <w:color w:val="000000"/>
          <w:sz w:val="22"/>
          <w:szCs w:val="22"/>
          <w:lang w:val="en-US" w:eastAsia="ar-SA"/>
        </w:rPr>
      </w:pPr>
      <w:r w:rsidRPr="00787EA7">
        <w:rPr>
          <w:color w:val="000000"/>
          <w:sz w:val="22"/>
          <w:szCs w:val="22"/>
          <w:lang w:val="en-US" w:eastAsia="ar-SA"/>
        </w:rPr>
        <w:t>KEYWORDS: national payment system, map "Mir", Bank of Russia, sanctions.</w:t>
      </w:r>
    </w:p>
    <w:p w:rsidR="00724342" w:rsidRPr="00787EA7" w:rsidRDefault="00724342" w:rsidP="00724342">
      <w:pPr>
        <w:suppressAutoHyphens/>
        <w:spacing w:line="100" w:lineRule="atLeast"/>
        <w:ind w:firstLine="426"/>
        <w:jc w:val="both"/>
        <w:rPr>
          <w:rFonts w:eastAsia="SimSun"/>
          <w:color w:val="1D1D1D"/>
          <w:sz w:val="22"/>
          <w:szCs w:val="22"/>
          <w:lang w:eastAsia="ar-SA"/>
        </w:rPr>
      </w:pPr>
      <w:r w:rsidRPr="00787EA7">
        <w:rPr>
          <w:rFonts w:eastAsia="SimSun"/>
          <w:sz w:val="22"/>
          <w:szCs w:val="22"/>
          <w:lang w:eastAsia="ar-SA"/>
        </w:rPr>
        <w:lastRenderedPageBreak/>
        <w:t xml:space="preserve">Национальная платёжная система – это организационно-техническая структура, обеспечивающая процессинг (обработку операций) по банковским картам внутри России, без выхода на зарубежные процессинговые центры. </w:t>
      </w:r>
      <w:r w:rsidRPr="00787EA7">
        <w:rPr>
          <w:rFonts w:eastAsia="SimSun"/>
          <w:color w:val="1D1D1D"/>
          <w:sz w:val="22"/>
          <w:szCs w:val="22"/>
          <w:lang w:eastAsia="ar-SA"/>
        </w:rPr>
        <w:t xml:space="preserve">На законодательном уровне определение НСПК закреплено в гл.4.1 Федерального закона «О национальной платежной системе» от 27.06.2011 №161-ФЗ.Стратегия развития данного института определяется Банком России и реализуется в следующих направлениях: </w:t>
      </w:r>
      <w:r w:rsidRPr="00787EA7">
        <w:rPr>
          <w:rFonts w:eastAsia="SimSun"/>
          <w:color w:val="2C2C2C"/>
          <w:sz w:val="22"/>
          <w:szCs w:val="22"/>
          <w:lang w:eastAsia="ar-SA"/>
        </w:rPr>
        <w:t>совершенствование применения НСПК, а также систем, услуг и инфраструктуры в данной сфере; повышение консультационной и контролирующей роли регулятора; развитие общероссийской и международной интеграции.</w:t>
      </w:r>
    </w:p>
    <w:p w:rsidR="00724342" w:rsidRPr="00787EA7" w:rsidRDefault="00724342" w:rsidP="00724342">
      <w:pPr>
        <w:suppressAutoHyphens/>
        <w:spacing w:line="100" w:lineRule="atLeast"/>
        <w:ind w:firstLine="426"/>
        <w:jc w:val="both"/>
        <w:rPr>
          <w:rFonts w:eastAsia="SimSun"/>
          <w:sz w:val="22"/>
          <w:szCs w:val="22"/>
          <w:lang w:eastAsia="ar-SA"/>
        </w:rPr>
      </w:pPr>
      <w:r w:rsidRPr="00787EA7">
        <w:rPr>
          <w:rFonts w:eastAsia="SimSun"/>
          <w:sz w:val="22"/>
          <w:szCs w:val="22"/>
          <w:lang w:eastAsia="ar-SA"/>
        </w:rPr>
        <w:t>На фоне введения санкций, блокировки операций по пластиковым картам международных платежных систем Visa и Mastercard, выпущенных, некоторыми российскими банками, руководство страны активизировало работу по введению национальной платежной системы в действие.</w:t>
      </w:r>
    </w:p>
    <w:p w:rsidR="00724342" w:rsidRPr="00787EA7" w:rsidRDefault="00724342" w:rsidP="00724342">
      <w:pPr>
        <w:suppressAutoHyphens/>
        <w:spacing w:line="100" w:lineRule="atLeast"/>
        <w:ind w:firstLine="426"/>
        <w:jc w:val="both"/>
        <w:rPr>
          <w:rFonts w:eastAsia="SimSun"/>
          <w:sz w:val="22"/>
          <w:szCs w:val="22"/>
          <w:lang w:eastAsia="ar-SA"/>
        </w:rPr>
      </w:pPr>
      <w:r w:rsidRPr="00787EA7">
        <w:rPr>
          <w:rFonts w:eastAsia="SimSun"/>
          <w:sz w:val="22"/>
          <w:szCs w:val="22"/>
          <w:lang w:eastAsia="ar-SA"/>
        </w:rPr>
        <w:t>Главной целью создания национальной платежной системы является обеспечение независимости обработки операций по банковским картам от западных процессинговых центров. Полноценная работа НСПК началась в 2015 году. Через неё начали совершаться все транзакции по картам МИР, к выпуску которых приступили крупнейшие российские банки.</w:t>
      </w:r>
    </w:p>
    <w:p w:rsidR="00724342" w:rsidRPr="00787EA7" w:rsidRDefault="00724342" w:rsidP="00724342">
      <w:pPr>
        <w:suppressAutoHyphens/>
        <w:spacing w:line="100" w:lineRule="atLeast"/>
        <w:ind w:firstLine="426"/>
        <w:jc w:val="both"/>
        <w:rPr>
          <w:rFonts w:eastAsia="SimSun"/>
          <w:sz w:val="22"/>
          <w:szCs w:val="22"/>
          <w:lang w:eastAsia="ar-SA"/>
        </w:rPr>
      </w:pPr>
      <w:r w:rsidRPr="00787EA7">
        <w:rPr>
          <w:rFonts w:eastAsia="SimSun"/>
          <w:sz w:val="22"/>
          <w:szCs w:val="22"/>
          <w:lang w:eastAsia="ar-SA"/>
        </w:rPr>
        <w:t>Первые карты платежной карты «Мир» выпустили в декабре 2015 года. Что же получилось у НСПК и ПС Мир сделать за два года? Оказался ли проект успешным или с треском провалился? По статистике на декабрь 2017 года всеми банками участниками было выпущено 31,2 млн. карт, то есть это более 10% от всего объема платежных карт, эмитированных в Российской Федерации. По данным ЦБ РФ на 01.10.2017 общее количество карт составляло 267,2 млн. шт. На данный момент к системе ПС Мир присоединились 370 банков, 366 из них обслуживают карты в своей сети, а 156 банков выпускают для своих клиентов карты Мир [3].</w:t>
      </w:r>
    </w:p>
    <w:p w:rsidR="00724342" w:rsidRPr="00787EA7" w:rsidRDefault="00724342" w:rsidP="00724342">
      <w:pPr>
        <w:suppressAutoHyphens/>
        <w:spacing w:line="100" w:lineRule="atLeast"/>
        <w:ind w:firstLine="426"/>
        <w:jc w:val="both"/>
        <w:rPr>
          <w:rFonts w:eastAsia="SimSun"/>
          <w:color w:val="000000"/>
          <w:sz w:val="22"/>
          <w:szCs w:val="22"/>
          <w:lang w:eastAsia="ar-SA"/>
        </w:rPr>
      </w:pPr>
      <w:r w:rsidRPr="00787EA7">
        <w:rPr>
          <w:rFonts w:eastAsia="SimSun"/>
          <w:sz w:val="22"/>
          <w:szCs w:val="22"/>
          <w:lang w:eastAsia="ar-SA"/>
        </w:rPr>
        <w:t xml:space="preserve">Государство ведет активную политику по поддержке и развитию национальной платежной системы, но некоторые эксперты считают такой подход «навязчивым» и ограничением свободы потребителей. Предполагается, что на обслуживание через </w:t>
      </w:r>
      <w:r w:rsidRPr="00787EA7">
        <w:rPr>
          <w:rFonts w:eastAsia="SimSun"/>
          <w:sz w:val="22"/>
          <w:szCs w:val="22"/>
          <w:lang w:eastAsia="ar-SA"/>
        </w:rPr>
        <w:lastRenderedPageBreak/>
        <w:t>НПС будут переведены работники бюджетной сферы до 1 июня 2018 года, а пенсионеры – до 1 июля 2020 года.</w:t>
      </w:r>
    </w:p>
    <w:p w:rsidR="00724342" w:rsidRPr="00787EA7" w:rsidRDefault="00724342" w:rsidP="00724342">
      <w:pPr>
        <w:suppressAutoHyphens/>
        <w:spacing w:line="100" w:lineRule="atLeast"/>
        <w:ind w:firstLine="426"/>
        <w:jc w:val="both"/>
        <w:rPr>
          <w:rFonts w:eastAsia="SimSun"/>
          <w:color w:val="000000"/>
          <w:sz w:val="22"/>
          <w:szCs w:val="22"/>
          <w:lang w:eastAsia="ar-SA"/>
        </w:rPr>
      </w:pPr>
      <w:r w:rsidRPr="00787EA7">
        <w:rPr>
          <w:rFonts w:eastAsia="SimSun"/>
          <w:color w:val="000000"/>
          <w:sz w:val="22"/>
          <w:szCs w:val="22"/>
          <w:lang w:eastAsia="ar-SA"/>
        </w:rPr>
        <w:t>В декабре 2017 года для всех участников системы стала доступна технология бесконтактной оплаты. А так же, теперь всем держателям карт ПС Мир доступна оплата через сервисы Samsung Pay и Google Pay с помощью мобильных устройств(не для всех карт, зависит от выпустившего банка и типа карты).</w:t>
      </w:r>
    </w:p>
    <w:p w:rsidR="00724342" w:rsidRPr="00787EA7" w:rsidRDefault="00724342" w:rsidP="00724342">
      <w:pPr>
        <w:suppressAutoHyphens/>
        <w:spacing w:line="100" w:lineRule="atLeast"/>
        <w:ind w:firstLine="426"/>
        <w:jc w:val="both"/>
        <w:rPr>
          <w:rFonts w:eastAsia="SimSun"/>
          <w:sz w:val="22"/>
          <w:szCs w:val="22"/>
          <w:lang w:eastAsia="ar-SA"/>
        </w:rPr>
      </w:pPr>
      <w:r w:rsidRPr="00787EA7">
        <w:rPr>
          <w:rFonts w:eastAsia="SimSun"/>
          <w:color w:val="000000"/>
          <w:sz w:val="22"/>
          <w:szCs w:val="22"/>
          <w:lang w:eastAsia="ar-SA"/>
        </w:rPr>
        <w:t>На данный момент с точки зрения возможностей НСПК проигрывает системам Visa и Mastercard, потому что пластиковой картой «Мир» невозможно расплатиться вне границ Российской Федерации. Все это приводит к заключению, что «Национальная Система Платёжных Карт» может получить свое развитие только за счет использования административных ресурсов и преференций со стороны государства, как раз одним из таких решений является обсуждаемая возможность перехода всех получателей государственных средств на пластиковые карты «Мир» [2].</w:t>
      </w:r>
    </w:p>
    <w:p w:rsidR="00724342" w:rsidRPr="00787EA7" w:rsidRDefault="00724342" w:rsidP="00724342">
      <w:pPr>
        <w:suppressAutoHyphens/>
        <w:spacing w:line="100" w:lineRule="atLeast"/>
        <w:ind w:firstLine="426"/>
        <w:jc w:val="both"/>
        <w:rPr>
          <w:rFonts w:eastAsia="SimSun"/>
          <w:sz w:val="22"/>
          <w:szCs w:val="22"/>
          <w:lang w:eastAsia="ar-SA"/>
        </w:rPr>
      </w:pPr>
      <w:r w:rsidRPr="00787EA7">
        <w:rPr>
          <w:rFonts w:eastAsia="SimSun"/>
          <w:sz w:val="22"/>
          <w:szCs w:val="22"/>
          <w:lang w:eastAsia="ar-SA"/>
        </w:rPr>
        <w:t>Проблема прием карт  «Мир» в других странах предположительно разрешится к концу 2019 года - планируется завершить объединение платежного пространства стран ЕАЭС, запустить прием карт в Белоруссии, Казахстане, Киргизии. Что касается эмиссии, то по словам Сергея Бочкарева,</w:t>
      </w:r>
      <w:r w:rsidRPr="00787EA7">
        <w:rPr>
          <w:rFonts w:eastAsia="SimSun"/>
          <w:color w:val="000000"/>
          <w:sz w:val="22"/>
          <w:szCs w:val="22"/>
          <w:lang w:eastAsia="ar-SA"/>
        </w:rPr>
        <w:t xml:space="preserve"> заместителя генерального директора АО «НСПК», цифра должна достигнуть 54 млн. шт. к концу текущего года [1]. </w:t>
      </w:r>
    </w:p>
    <w:p w:rsidR="00724342" w:rsidRPr="00787EA7" w:rsidRDefault="00724342" w:rsidP="006167FC">
      <w:pPr>
        <w:spacing w:line="100" w:lineRule="atLeast"/>
        <w:jc w:val="both"/>
        <w:rPr>
          <w:rFonts w:eastAsia="Calibri"/>
          <w:sz w:val="22"/>
          <w:szCs w:val="22"/>
          <w:lang w:eastAsia="en-US"/>
        </w:rPr>
      </w:pPr>
    </w:p>
    <w:p w:rsidR="00724342" w:rsidRPr="00787EA7" w:rsidRDefault="00724342" w:rsidP="00724342">
      <w:pPr>
        <w:spacing w:line="100" w:lineRule="atLeast"/>
        <w:ind w:firstLine="426"/>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tabs>
          <w:tab w:val="left" w:pos="993"/>
        </w:tabs>
        <w:spacing w:line="100" w:lineRule="atLeast"/>
        <w:ind w:firstLine="426"/>
        <w:jc w:val="both"/>
        <w:rPr>
          <w:rFonts w:eastAsia="Calibri"/>
          <w:color w:val="000000"/>
          <w:sz w:val="22"/>
          <w:szCs w:val="22"/>
          <w:lang w:eastAsia="en-US"/>
        </w:rPr>
      </w:pPr>
      <w:r w:rsidRPr="00787EA7">
        <w:rPr>
          <w:rFonts w:eastAsia="Calibri"/>
          <w:color w:val="000000"/>
          <w:sz w:val="22"/>
          <w:szCs w:val="22"/>
          <w:lang w:eastAsia="en-US"/>
        </w:rPr>
        <w:t>1. Батаев А. В. Перспективы развития АО «Национальная с</w:t>
      </w:r>
      <w:r w:rsidRPr="00787EA7">
        <w:rPr>
          <w:rFonts w:eastAsia="Calibri"/>
          <w:color w:val="000000"/>
          <w:sz w:val="22"/>
          <w:szCs w:val="22"/>
          <w:lang w:eastAsia="en-US"/>
        </w:rPr>
        <w:t>и</w:t>
      </w:r>
      <w:r w:rsidRPr="00787EA7">
        <w:rPr>
          <w:rFonts w:eastAsia="Calibri"/>
          <w:color w:val="000000"/>
          <w:sz w:val="22"/>
          <w:szCs w:val="22"/>
          <w:lang w:eastAsia="en-US"/>
        </w:rPr>
        <w:t>стема платёжных карт» в России/ А. В. Батаев // Молодой ученый. – 2017. – №14. –  С. 450-453.</w:t>
      </w:r>
    </w:p>
    <w:p w:rsidR="00724342" w:rsidRPr="00787EA7" w:rsidRDefault="00724342" w:rsidP="00724342">
      <w:pPr>
        <w:tabs>
          <w:tab w:val="left" w:pos="993"/>
        </w:tabs>
        <w:spacing w:line="100" w:lineRule="atLeast"/>
        <w:ind w:firstLine="426"/>
        <w:jc w:val="both"/>
        <w:rPr>
          <w:rFonts w:eastAsia="Calibri"/>
          <w:color w:val="000000"/>
          <w:sz w:val="22"/>
          <w:szCs w:val="22"/>
          <w:lang w:val="en-US" w:eastAsia="en-US"/>
        </w:rPr>
      </w:pPr>
      <w:r w:rsidRPr="00787EA7">
        <w:rPr>
          <w:rFonts w:eastAsia="Calibri"/>
          <w:color w:val="000000"/>
          <w:sz w:val="22"/>
          <w:szCs w:val="22"/>
          <w:lang w:eastAsia="en-US"/>
        </w:rPr>
        <w:t>2. Зиниша О.С. Предпосылки создания, проблемы и перспект</w:t>
      </w:r>
      <w:r w:rsidRPr="00787EA7">
        <w:rPr>
          <w:rFonts w:eastAsia="Calibri"/>
          <w:color w:val="000000"/>
          <w:sz w:val="22"/>
          <w:szCs w:val="22"/>
          <w:lang w:eastAsia="en-US"/>
        </w:rPr>
        <w:t>и</w:t>
      </w:r>
      <w:r w:rsidRPr="00787EA7">
        <w:rPr>
          <w:rFonts w:eastAsia="Calibri"/>
          <w:color w:val="000000"/>
          <w:sz w:val="22"/>
          <w:szCs w:val="22"/>
          <w:lang w:eastAsia="en-US"/>
        </w:rPr>
        <w:t>вы развития национальной системы платежных «Мир»[электронный ресурс] / О.С. Зиниша  О. А. Матусева //  «Экономика и социум». – 2016. - №4(23). Режим</w:t>
      </w:r>
      <w:r w:rsidRPr="00787EA7">
        <w:rPr>
          <w:rFonts w:eastAsia="Calibri"/>
          <w:color w:val="000000"/>
          <w:sz w:val="22"/>
          <w:szCs w:val="22"/>
          <w:lang w:val="en-US" w:eastAsia="en-US"/>
        </w:rPr>
        <w:t xml:space="preserve"> </w:t>
      </w:r>
      <w:r w:rsidRPr="00787EA7">
        <w:rPr>
          <w:rFonts w:eastAsia="Calibri"/>
          <w:color w:val="000000"/>
          <w:sz w:val="22"/>
          <w:szCs w:val="22"/>
          <w:lang w:eastAsia="en-US"/>
        </w:rPr>
        <w:t>доступа</w:t>
      </w:r>
      <w:r w:rsidRPr="00787EA7">
        <w:rPr>
          <w:rFonts w:eastAsia="Calibri"/>
          <w:color w:val="000000"/>
          <w:sz w:val="22"/>
          <w:szCs w:val="22"/>
          <w:lang w:val="en-US" w:eastAsia="en-US"/>
        </w:rPr>
        <w:t xml:space="preserve">: </w:t>
      </w:r>
      <w:r w:rsidR="009D0151">
        <w:fldChar w:fldCharType="begin"/>
      </w:r>
      <w:r w:rsidR="009D0151" w:rsidRPr="009D0151">
        <w:rPr>
          <w:lang w:val="en-US"/>
        </w:rPr>
        <w:instrText xml:space="preserve"> HYPERLINK "http://www.iupr.ru/" </w:instrText>
      </w:r>
      <w:r w:rsidR="009D0151">
        <w:fldChar w:fldCharType="separate"/>
      </w:r>
      <w:r w:rsidRPr="00787EA7">
        <w:rPr>
          <w:rFonts w:eastAsia="Calibri"/>
          <w:color w:val="000000"/>
          <w:sz w:val="22"/>
          <w:szCs w:val="22"/>
          <w:lang w:val="en-US" w:eastAsia="en-US"/>
        </w:rPr>
        <w:t>www.iupr.ru</w:t>
      </w:r>
      <w:r w:rsidR="009D0151">
        <w:rPr>
          <w:rFonts w:eastAsia="Calibri"/>
          <w:color w:val="000000"/>
          <w:sz w:val="22"/>
          <w:szCs w:val="22"/>
          <w:lang w:val="en-US" w:eastAsia="en-US"/>
        </w:rPr>
        <w:fldChar w:fldCharType="end"/>
      </w:r>
      <w:r w:rsidRPr="00787EA7">
        <w:rPr>
          <w:rFonts w:eastAsia="Calibri"/>
          <w:color w:val="000000"/>
          <w:sz w:val="22"/>
          <w:szCs w:val="22"/>
          <w:lang w:val="en-US" w:eastAsia="en-US"/>
        </w:rPr>
        <w:t xml:space="preserve"> / domains_data / files / zurnal_23/Zinisha%20O.S.%20  - </w:t>
      </w:r>
      <w:r w:rsidRPr="00787EA7">
        <w:rPr>
          <w:rFonts w:eastAsia="Calibri"/>
          <w:color w:val="000000"/>
          <w:sz w:val="22"/>
          <w:szCs w:val="22"/>
          <w:lang w:eastAsia="en-US"/>
        </w:rPr>
        <w:t>С</w:t>
      </w:r>
      <w:r w:rsidRPr="00787EA7">
        <w:rPr>
          <w:rFonts w:eastAsia="Calibri"/>
          <w:color w:val="000000"/>
          <w:sz w:val="22"/>
          <w:szCs w:val="22"/>
          <w:lang w:val="en-US" w:eastAsia="en-US"/>
        </w:rPr>
        <w:t>. 710-714.</w:t>
      </w:r>
    </w:p>
    <w:p w:rsidR="00724342" w:rsidRPr="00787EA7" w:rsidRDefault="00724342" w:rsidP="00724342">
      <w:pPr>
        <w:tabs>
          <w:tab w:val="left" w:pos="993"/>
        </w:tabs>
        <w:spacing w:line="100" w:lineRule="atLeast"/>
        <w:ind w:firstLine="426"/>
        <w:jc w:val="both"/>
        <w:rPr>
          <w:rFonts w:eastAsia="Calibri"/>
          <w:color w:val="000000"/>
          <w:sz w:val="22"/>
          <w:szCs w:val="22"/>
          <w:lang w:eastAsia="en-US"/>
        </w:rPr>
      </w:pPr>
      <w:r w:rsidRPr="00787EA7">
        <w:rPr>
          <w:rFonts w:eastAsia="Calibri"/>
          <w:color w:val="000000"/>
          <w:sz w:val="22"/>
          <w:szCs w:val="22"/>
          <w:lang w:eastAsia="en-US"/>
        </w:rPr>
        <w:t xml:space="preserve">3. Официальный сайт НСПК [Электронный ресурс]. - Режим доступа: </w:t>
      </w:r>
      <w:hyperlink r:id="rId211" w:history="1">
        <w:r w:rsidRPr="00787EA7">
          <w:rPr>
            <w:rFonts w:eastAsia="Calibri"/>
            <w:color w:val="000000"/>
            <w:sz w:val="22"/>
            <w:szCs w:val="22"/>
            <w:lang w:eastAsia="en-US"/>
          </w:rPr>
          <w:t>http://www.nspk.ru/</w:t>
        </w:r>
      </w:hyperlink>
    </w:p>
    <w:p w:rsidR="00724342" w:rsidRPr="00787EA7" w:rsidRDefault="00724342" w:rsidP="00724342">
      <w:pPr>
        <w:tabs>
          <w:tab w:val="left" w:pos="993"/>
        </w:tabs>
        <w:spacing w:line="100" w:lineRule="atLeast"/>
        <w:ind w:firstLine="426"/>
        <w:jc w:val="both"/>
        <w:rPr>
          <w:rFonts w:eastAsia="Calibri"/>
          <w:color w:val="000000"/>
          <w:sz w:val="22"/>
          <w:szCs w:val="22"/>
          <w:lang w:eastAsia="en-US"/>
        </w:rPr>
      </w:pPr>
    </w:p>
    <w:p w:rsidR="006167FC" w:rsidRDefault="006167FC" w:rsidP="00724342">
      <w:pPr>
        <w:outlineLvl w:val="0"/>
        <w:rPr>
          <w:rFonts w:eastAsia="Calibri"/>
          <w:sz w:val="22"/>
          <w:szCs w:val="22"/>
          <w:lang w:eastAsia="en-US"/>
        </w:rPr>
      </w:pPr>
    </w:p>
    <w:p w:rsidR="00724342" w:rsidRPr="00787EA7" w:rsidRDefault="00724342" w:rsidP="00724342">
      <w:pPr>
        <w:outlineLvl w:val="0"/>
        <w:rPr>
          <w:rFonts w:eastAsia="Calibri"/>
          <w:sz w:val="22"/>
          <w:szCs w:val="22"/>
          <w:lang w:val="en-US" w:eastAsia="en-US"/>
        </w:rPr>
      </w:pPr>
      <w:r w:rsidRPr="00787EA7">
        <w:rPr>
          <w:rFonts w:eastAsia="Calibri"/>
          <w:sz w:val="22"/>
          <w:szCs w:val="22"/>
          <w:lang w:eastAsia="en-US"/>
        </w:rPr>
        <w:lastRenderedPageBreak/>
        <w:t>УДК</w:t>
      </w:r>
      <w:r w:rsidRPr="00787EA7">
        <w:rPr>
          <w:rFonts w:eastAsia="Calibri"/>
          <w:sz w:val="22"/>
          <w:szCs w:val="22"/>
          <w:lang w:val="en-US" w:eastAsia="en-US"/>
        </w:rPr>
        <w:t xml:space="preserve"> 005.322</w:t>
      </w:r>
    </w:p>
    <w:p w:rsidR="00724342" w:rsidRPr="00787EA7" w:rsidRDefault="00724342" w:rsidP="00724342">
      <w:pPr>
        <w:rPr>
          <w:rFonts w:eastAsia="Calibri"/>
          <w:sz w:val="22"/>
          <w:szCs w:val="22"/>
          <w:lang w:val="en-US" w:eastAsia="en-US"/>
        </w:rPr>
      </w:pPr>
    </w:p>
    <w:p w:rsidR="00724342" w:rsidRPr="00787EA7" w:rsidRDefault="00724342" w:rsidP="00724342">
      <w:pPr>
        <w:jc w:val="center"/>
        <w:outlineLvl w:val="0"/>
        <w:rPr>
          <w:rFonts w:eastAsia="Calibri"/>
          <w:b/>
          <w:sz w:val="24"/>
          <w:szCs w:val="24"/>
          <w:lang w:val="en-US" w:eastAsia="en-US"/>
        </w:rPr>
      </w:pPr>
      <w:r w:rsidRPr="00787EA7">
        <w:rPr>
          <w:rFonts w:eastAsia="Calibri"/>
          <w:b/>
          <w:sz w:val="24"/>
          <w:szCs w:val="24"/>
          <w:lang w:eastAsia="en-US"/>
        </w:rPr>
        <w:t>Портрет</w:t>
      </w:r>
      <w:r w:rsidRPr="00787EA7">
        <w:rPr>
          <w:rFonts w:eastAsia="Calibri"/>
          <w:b/>
          <w:sz w:val="24"/>
          <w:szCs w:val="24"/>
          <w:lang w:val="en-US" w:eastAsia="en-US"/>
        </w:rPr>
        <w:t xml:space="preserve"> </w:t>
      </w:r>
      <w:r w:rsidRPr="00787EA7">
        <w:rPr>
          <w:rFonts w:eastAsia="Calibri"/>
          <w:b/>
          <w:sz w:val="24"/>
          <w:szCs w:val="24"/>
          <w:lang w:eastAsia="en-US"/>
        </w:rPr>
        <w:t>эффективного</w:t>
      </w:r>
      <w:r w:rsidRPr="00787EA7">
        <w:rPr>
          <w:rFonts w:eastAsia="Calibri"/>
          <w:b/>
          <w:sz w:val="24"/>
          <w:szCs w:val="24"/>
          <w:lang w:val="en-US" w:eastAsia="en-US"/>
        </w:rPr>
        <w:t xml:space="preserve"> </w:t>
      </w:r>
      <w:r w:rsidRPr="00787EA7">
        <w:rPr>
          <w:rFonts w:eastAsia="Calibri"/>
          <w:b/>
          <w:sz w:val="24"/>
          <w:szCs w:val="24"/>
          <w:lang w:eastAsia="en-US"/>
        </w:rPr>
        <w:t>менеджера</w:t>
      </w:r>
    </w:p>
    <w:p w:rsidR="00724342" w:rsidRPr="00787EA7" w:rsidRDefault="00724342" w:rsidP="00724342">
      <w:pPr>
        <w:jc w:val="center"/>
        <w:rPr>
          <w:rFonts w:eastAsia="Calibri"/>
          <w:b/>
          <w:sz w:val="24"/>
          <w:szCs w:val="24"/>
          <w:lang w:val="en-US" w:eastAsia="en-US"/>
        </w:rPr>
      </w:pPr>
      <w:r w:rsidRPr="00787EA7">
        <w:rPr>
          <w:rFonts w:eastAsia="Calibri"/>
          <w:b/>
          <w:sz w:val="24"/>
          <w:szCs w:val="24"/>
          <w:lang w:val="en-US" w:eastAsia="en-US"/>
        </w:rPr>
        <w:t>Portrait of an effective manager</w:t>
      </w:r>
    </w:p>
    <w:p w:rsidR="00724342" w:rsidRPr="00787EA7" w:rsidRDefault="00724342" w:rsidP="00724342">
      <w:pPr>
        <w:jc w:val="center"/>
        <w:rPr>
          <w:rFonts w:eastAsia="Calibri"/>
          <w:b/>
          <w:sz w:val="24"/>
          <w:szCs w:val="24"/>
          <w:lang w:val="en-US" w:eastAsia="en-US"/>
        </w:rPr>
      </w:pPr>
    </w:p>
    <w:p w:rsidR="00724342" w:rsidRPr="006167FC" w:rsidRDefault="00724342" w:rsidP="00724342">
      <w:pPr>
        <w:jc w:val="right"/>
        <w:rPr>
          <w:rFonts w:eastAsia="Calibri"/>
          <w:sz w:val="22"/>
          <w:szCs w:val="22"/>
          <w:lang w:eastAsia="en-US"/>
        </w:rPr>
      </w:pPr>
      <w:r w:rsidRPr="006167FC">
        <w:rPr>
          <w:rFonts w:eastAsia="Calibri"/>
          <w:sz w:val="22"/>
          <w:szCs w:val="22"/>
          <w:lang w:eastAsia="en-US"/>
        </w:rPr>
        <w:t>Кизогло А.</w:t>
      </w:r>
      <w:r w:rsidR="006167FC" w:rsidRPr="006167FC">
        <w:rPr>
          <w:rFonts w:eastAsia="Calibri"/>
          <w:sz w:val="22"/>
          <w:szCs w:val="22"/>
          <w:lang w:eastAsia="en-US"/>
        </w:rPr>
        <w:t xml:space="preserve"> </w:t>
      </w:r>
      <w:r w:rsidRPr="006167FC">
        <w:rPr>
          <w:rFonts w:eastAsia="Calibri"/>
          <w:sz w:val="22"/>
          <w:szCs w:val="22"/>
          <w:lang w:eastAsia="en-US"/>
        </w:rPr>
        <w:t>С.,</w:t>
      </w:r>
    </w:p>
    <w:p w:rsidR="00724342" w:rsidRPr="006167FC" w:rsidRDefault="00724342" w:rsidP="00724342">
      <w:pPr>
        <w:jc w:val="right"/>
        <w:rPr>
          <w:rFonts w:eastAsia="Calibri"/>
          <w:sz w:val="22"/>
          <w:szCs w:val="22"/>
          <w:lang w:eastAsia="en-US"/>
        </w:rPr>
      </w:pPr>
      <w:r w:rsidRPr="006167FC">
        <w:rPr>
          <w:rFonts w:eastAsia="Calibri"/>
          <w:sz w:val="22"/>
          <w:szCs w:val="22"/>
          <w:lang w:eastAsia="en-US"/>
        </w:rPr>
        <w:t>студент 2-го курса факультета финансы и кредит</w:t>
      </w:r>
    </w:p>
    <w:p w:rsidR="00724342" w:rsidRPr="006167FC" w:rsidRDefault="00724342" w:rsidP="00724342">
      <w:pPr>
        <w:jc w:val="right"/>
        <w:rPr>
          <w:rFonts w:eastAsia="Calibri"/>
          <w:sz w:val="22"/>
          <w:szCs w:val="22"/>
          <w:lang w:eastAsia="en-US"/>
        </w:rPr>
      </w:pPr>
      <w:r w:rsidRPr="006167FC">
        <w:rPr>
          <w:rFonts w:eastAsia="Calibri"/>
          <w:sz w:val="22"/>
          <w:szCs w:val="22"/>
          <w:lang w:eastAsia="en-US"/>
        </w:rPr>
        <w:t>Стукова Ю.</w:t>
      </w:r>
      <w:r w:rsidR="006167FC" w:rsidRPr="006167FC">
        <w:rPr>
          <w:rFonts w:eastAsia="Calibri"/>
          <w:sz w:val="22"/>
          <w:szCs w:val="22"/>
          <w:lang w:eastAsia="en-US"/>
        </w:rPr>
        <w:t xml:space="preserve"> </w:t>
      </w:r>
      <w:r w:rsidRPr="006167FC">
        <w:rPr>
          <w:rFonts w:eastAsia="Calibri"/>
          <w:sz w:val="22"/>
          <w:szCs w:val="22"/>
          <w:lang w:eastAsia="en-US"/>
        </w:rPr>
        <w:t>Е.,</w:t>
      </w:r>
    </w:p>
    <w:p w:rsidR="00724342" w:rsidRPr="006167FC" w:rsidRDefault="00724342" w:rsidP="00724342">
      <w:pPr>
        <w:jc w:val="right"/>
        <w:rPr>
          <w:rFonts w:eastAsia="Calibri"/>
          <w:sz w:val="22"/>
          <w:szCs w:val="22"/>
          <w:lang w:eastAsia="en-US"/>
        </w:rPr>
      </w:pPr>
      <w:r w:rsidRPr="006167FC">
        <w:rPr>
          <w:rFonts w:eastAsia="Calibri"/>
          <w:sz w:val="22"/>
          <w:szCs w:val="22"/>
          <w:lang w:eastAsia="en-US"/>
        </w:rPr>
        <w:t>доцент кафедры экономики предприятий</w:t>
      </w:r>
    </w:p>
    <w:p w:rsidR="00724342" w:rsidRPr="006167FC" w:rsidRDefault="00724342" w:rsidP="00724342">
      <w:pPr>
        <w:jc w:val="right"/>
        <w:rPr>
          <w:rFonts w:eastAsia="Calibri"/>
          <w:sz w:val="22"/>
          <w:szCs w:val="22"/>
          <w:lang w:eastAsia="en-US"/>
        </w:rPr>
      </w:pPr>
      <w:r w:rsidRPr="006167FC">
        <w:rPr>
          <w:rFonts w:eastAsia="Calibri"/>
          <w:sz w:val="22"/>
          <w:szCs w:val="22"/>
          <w:lang w:eastAsia="en-US"/>
        </w:rPr>
        <w:t>Кубанский государственный аграрный</w:t>
      </w:r>
    </w:p>
    <w:p w:rsidR="00724342" w:rsidRPr="00787EA7" w:rsidRDefault="00724342" w:rsidP="00724342">
      <w:pPr>
        <w:jc w:val="right"/>
        <w:rPr>
          <w:rFonts w:eastAsia="Calibri"/>
          <w:sz w:val="22"/>
          <w:szCs w:val="22"/>
          <w:lang w:eastAsia="en-US"/>
        </w:rPr>
      </w:pPr>
      <w:r w:rsidRPr="006167FC">
        <w:rPr>
          <w:rFonts w:eastAsia="Calibri"/>
          <w:sz w:val="22"/>
          <w:szCs w:val="22"/>
          <w:lang w:eastAsia="en-US"/>
        </w:rPr>
        <w:t>университет имени И.</w:t>
      </w:r>
      <w:r w:rsidR="006167FC" w:rsidRPr="006167FC">
        <w:rPr>
          <w:rFonts w:eastAsia="Calibri"/>
          <w:sz w:val="22"/>
          <w:szCs w:val="22"/>
          <w:lang w:eastAsia="en-US"/>
        </w:rPr>
        <w:t xml:space="preserve"> </w:t>
      </w:r>
      <w:r w:rsidRPr="006167FC">
        <w:rPr>
          <w:rFonts w:eastAsia="Calibri"/>
          <w:sz w:val="22"/>
          <w:szCs w:val="22"/>
          <w:lang w:eastAsia="en-US"/>
        </w:rPr>
        <w:t>Т. Трубилина</w:t>
      </w:r>
    </w:p>
    <w:p w:rsidR="00724342" w:rsidRPr="00787EA7" w:rsidRDefault="00724342" w:rsidP="00724342">
      <w:pPr>
        <w:jc w:val="right"/>
        <w:rPr>
          <w:rFonts w:eastAsia="Calibri"/>
          <w:sz w:val="22"/>
          <w:szCs w:val="22"/>
          <w:lang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АННОТАЦИЯ: В статье изучены основные проблемы, возн</w:t>
      </w:r>
      <w:r w:rsidRPr="00787EA7">
        <w:rPr>
          <w:rFonts w:eastAsia="Calibri"/>
          <w:sz w:val="22"/>
          <w:szCs w:val="22"/>
          <w:lang w:eastAsia="en-US"/>
        </w:rPr>
        <w:t>и</w:t>
      </w:r>
      <w:r w:rsidRPr="00787EA7">
        <w:rPr>
          <w:rFonts w:eastAsia="Calibri"/>
          <w:sz w:val="22"/>
          <w:szCs w:val="22"/>
          <w:lang w:eastAsia="en-US"/>
        </w:rPr>
        <w:t>кающие в процессе менеджмента и представлены характеристики эффективного менеджера.</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ABSTRACT: This article explores the main problems that arise in the management process and presents the characteristics of an effective manager.</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eastAsia="en-US"/>
        </w:rPr>
        <w:t>КЛЮЧЕВЫЕСЛОВА</w:t>
      </w:r>
      <w:r w:rsidRPr="00787EA7">
        <w:rPr>
          <w:rFonts w:eastAsia="Calibri"/>
          <w:sz w:val="22"/>
          <w:szCs w:val="22"/>
          <w:lang w:val="en-US" w:eastAsia="en-US"/>
        </w:rPr>
        <w:t xml:space="preserve">: </w:t>
      </w:r>
      <w:r w:rsidRPr="00787EA7">
        <w:rPr>
          <w:rFonts w:eastAsia="Calibri"/>
          <w:sz w:val="22"/>
          <w:szCs w:val="22"/>
          <w:lang w:eastAsia="en-US"/>
        </w:rPr>
        <w:t>Менеджмент</w:t>
      </w:r>
      <w:r w:rsidRPr="00787EA7">
        <w:rPr>
          <w:rFonts w:eastAsia="Calibri"/>
          <w:sz w:val="22"/>
          <w:szCs w:val="22"/>
          <w:lang w:val="en-US" w:eastAsia="en-US"/>
        </w:rPr>
        <w:t xml:space="preserve">, </w:t>
      </w:r>
      <w:r w:rsidRPr="00787EA7">
        <w:rPr>
          <w:rFonts w:eastAsia="Calibri"/>
          <w:sz w:val="22"/>
          <w:szCs w:val="22"/>
          <w:lang w:eastAsia="en-US"/>
        </w:rPr>
        <w:t>менеджер</w:t>
      </w:r>
      <w:r w:rsidRPr="00787EA7">
        <w:rPr>
          <w:rFonts w:eastAsia="Calibri"/>
          <w:sz w:val="22"/>
          <w:szCs w:val="22"/>
          <w:lang w:val="en-US" w:eastAsia="en-US"/>
        </w:rPr>
        <w:t xml:space="preserve">, </w:t>
      </w:r>
      <w:r w:rsidRPr="00787EA7">
        <w:rPr>
          <w:rFonts w:eastAsia="Calibri"/>
          <w:sz w:val="22"/>
          <w:szCs w:val="22"/>
          <w:lang w:eastAsia="en-US"/>
        </w:rPr>
        <w:t>подчиненный</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KEYWORDS: Management, manager, subordinate</w:t>
      </w:r>
    </w:p>
    <w:p w:rsidR="00724342" w:rsidRPr="00787EA7" w:rsidRDefault="00724342" w:rsidP="00724342">
      <w:pPr>
        <w:ind w:firstLine="426"/>
        <w:jc w:val="both"/>
        <w:rPr>
          <w:rFonts w:eastAsia="Calibri"/>
          <w:color w:val="000000"/>
          <w:sz w:val="22"/>
          <w:szCs w:val="22"/>
          <w:lang w:val="en-US" w:eastAsia="en-US"/>
        </w:rPr>
      </w:pPr>
    </w:p>
    <w:p w:rsidR="00724342" w:rsidRPr="00787EA7" w:rsidRDefault="00724342" w:rsidP="006167FC">
      <w:pPr>
        <w:ind w:firstLine="425"/>
        <w:jc w:val="both"/>
        <w:rPr>
          <w:rFonts w:eastAsia="Calibri"/>
          <w:color w:val="000000"/>
          <w:sz w:val="22"/>
          <w:szCs w:val="22"/>
          <w:lang w:eastAsia="en-US"/>
        </w:rPr>
      </w:pPr>
      <w:r w:rsidRPr="00787EA7">
        <w:rPr>
          <w:rFonts w:eastAsia="Calibri"/>
          <w:color w:val="000000"/>
          <w:sz w:val="22"/>
          <w:szCs w:val="22"/>
          <w:lang w:eastAsia="en-US"/>
        </w:rPr>
        <w:t>Роль менеджера, как работника умственного труда, имеет огромное значение в постиндустриальном обществе, где высшей ценностью является информация. Для любого менеджера, даже с</w:t>
      </w:r>
      <w:r w:rsidRPr="00787EA7">
        <w:rPr>
          <w:rFonts w:eastAsia="Calibri"/>
          <w:color w:val="000000"/>
          <w:sz w:val="22"/>
          <w:szCs w:val="22"/>
          <w:lang w:eastAsia="en-US"/>
        </w:rPr>
        <w:t>а</w:t>
      </w:r>
      <w:r w:rsidRPr="00787EA7">
        <w:rPr>
          <w:rFonts w:eastAsia="Calibri"/>
          <w:color w:val="000000"/>
          <w:sz w:val="22"/>
          <w:szCs w:val="22"/>
          <w:lang w:eastAsia="en-US"/>
        </w:rPr>
        <w:t>мого эффективного, существует ряд препятствий, которые будут ограничивать развитие его навыков результативного управляющ</w:t>
      </w:r>
      <w:r w:rsidRPr="00787EA7">
        <w:rPr>
          <w:rFonts w:eastAsia="Calibri"/>
          <w:color w:val="000000"/>
          <w:sz w:val="22"/>
          <w:szCs w:val="22"/>
          <w:lang w:eastAsia="en-US"/>
        </w:rPr>
        <w:t>е</w:t>
      </w:r>
      <w:r w:rsidRPr="00787EA7">
        <w:rPr>
          <w:rFonts w:eastAsia="Calibri"/>
          <w:color w:val="000000"/>
          <w:sz w:val="22"/>
          <w:szCs w:val="22"/>
          <w:lang w:eastAsia="en-US"/>
        </w:rPr>
        <w:t>го.Известный американский экономист Питер Друкер выделил ч</w:t>
      </w:r>
      <w:r w:rsidRPr="00787EA7">
        <w:rPr>
          <w:rFonts w:eastAsia="Calibri"/>
          <w:color w:val="000000"/>
          <w:sz w:val="22"/>
          <w:szCs w:val="22"/>
          <w:lang w:eastAsia="en-US"/>
        </w:rPr>
        <w:t>е</w:t>
      </w:r>
      <w:r w:rsidRPr="00787EA7">
        <w:rPr>
          <w:rFonts w:eastAsia="Calibri"/>
          <w:color w:val="000000"/>
          <w:sz w:val="22"/>
          <w:szCs w:val="22"/>
          <w:lang w:eastAsia="en-US"/>
        </w:rPr>
        <w:t>тыре основных препятствия:</w:t>
      </w:r>
    </w:p>
    <w:p w:rsidR="00724342" w:rsidRPr="00787EA7" w:rsidRDefault="00724342" w:rsidP="006167FC">
      <w:pPr>
        <w:numPr>
          <w:ilvl w:val="0"/>
          <w:numId w:val="67"/>
        </w:numPr>
        <w:ind w:left="0" w:firstLine="425"/>
        <w:contextualSpacing/>
        <w:jc w:val="both"/>
        <w:rPr>
          <w:rFonts w:eastAsia="Calibri"/>
          <w:color w:val="000000"/>
          <w:sz w:val="22"/>
          <w:szCs w:val="22"/>
          <w:lang w:eastAsia="en-US"/>
        </w:rPr>
      </w:pPr>
      <w:r w:rsidRPr="00787EA7">
        <w:rPr>
          <w:rFonts w:eastAsia="Calibri"/>
          <w:color w:val="000000"/>
          <w:sz w:val="22"/>
          <w:szCs w:val="22"/>
          <w:lang w:eastAsia="en-US"/>
        </w:rPr>
        <w:t>время;</w:t>
      </w:r>
    </w:p>
    <w:p w:rsidR="00724342" w:rsidRPr="00787EA7" w:rsidRDefault="00724342" w:rsidP="006167FC">
      <w:pPr>
        <w:numPr>
          <w:ilvl w:val="0"/>
          <w:numId w:val="67"/>
        </w:numPr>
        <w:ind w:left="0" w:firstLine="425"/>
        <w:contextualSpacing/>
        <w:jc w:val="both"/>
        <w:rPr>
          <w:rFonts w:eastAsia="Calibri"/>
          <w:color w:val="000000"/>
          <w:sz w:val="22"/>
          <w:szCs w:val="22"/>
          <w:lang w:eastAsia="en-US"/>
        </w:rPr>
      </w:pPr>
      <w:r w:rsidRPr="00787EA7">
        <w:rPr>
          <w:rFonts w:eastAsia="Calibri"/>
          <w:color w:val="000000"/>
          <w:sz w:val="22"/>
          <w:szCs w:val="22"/>
          <w:lang w:eastAsia="en-US"/>
        </w:rPr>
        <w:t>поток событий;</w:t>
      </w:r>
    </w:p>
    <w:p w:rsidR="00724342" w:rsidRPr="00787EA7" w:rsidRDefault="00724342" w:rsidP="006167FC">
      <w:pPr>
        <w:numPr>
          <w:ilvl w:val="0"/>
          <w:numId w:val="67"/>
        </w:numPr>
        <w:ind w:left="0" w:firstLine="425"/>
        <w:contextualSpacing/>
        <w:jc w:val="both"/>
        <w:rPr>
          <w:rFonts w:eastAsia="Calibri"/>
          <w:color w:val="000000"/>
          <w:sz w:val="22"/>
          <w:szCs w:val="22"/>
          <w:lang w:eastAsia="en-US"/>
        </w:rPr>
      </w:pPr>
      <w:r w:rsidRPr="00787EA7">
        <w:rPr>
          <w:rFonts w:eastAsia="Calibri"/>
          <w:color w:val="000000"/>
          <w:sz w:val="22"/>
          <w:szCs w:val="22"/>
          <w:lang w:eastAsia="en-US"/>
        </w:rPr>
        <w:t>сложности взаимодействия с сотрудниками в рамках орг</w:t>
      </w:r>
      <w:r w:rsidRPr="00787EA7">
        <w:rPr>
          <w:rFonts w:eastAsia="Calibri"/>
          <w:color w:val="000000"/>
          <w:sz w:val="22"/>
          <w:szCs w:val="22"/>
          <w:lang w:eastAsia="en-US"/>
        </w:rPr>
        <w:t>а</w:t>
      </w:r>
      <w:r w:rsidRPr="00787EA7">
        <w:rPr>
          <w:rFonts w:eastAsia="Calibri"/>
          <w:color w:val="000000"/>
          <w:sz w:val="22"/>
          <w:szCs w:val="22"/>
          <w:lang w:eastAsia="en-US"/>
        </w:rPr>
        <w:t>низации;</w:t>
      </w:r>
    </w:p>
    <w:p w:rsidR="00724342" w:rsidRPr="00787EA7" w:rsidRDefault="00724342" w:rsidP="006167FC">
      <w:pPr>
        <w:numPr>
          <w:ilvl w:val="0"/>
          <w:numId w:val="67"/>
        </w:numPr>
        <w:ind w:left="0" w:firstLine="425"/>
        <w:contextualSpacing/>
        <w:jc w:val="both"/>
        <w:rPr>
          <w:rFonts w:eastAsia="Calibri"/>
          <w:color w:val="000000"/>
          <w:sz w:val="22"/>
          <w:szCs w:val="22"/>
          <w:lang w:eastAsia="en-US"/>
        </w:rPr>
      </w:pPr>
      <w:r w:rsidRPr="00787EA7">
        <w:rPr>
          <w:rFonts w:eastAsia="Calibri"/>
          <w:color w:val="000000"/>
          <w:sz w:val="22"/>
          <w:szCs w:val="22"/>
          <w:lang w:eastAsia="en-US"/>
        </w:rPr>
        <w:t>концентрация на внутренних процессах организации в ущерб внешним целям[5].</w:t>
      </w:r>
    </w:p>
    <w:p w:rsidR="00724342" w:rsidRPr="00787EA7" w:rsidRDefault="00724342" w:rsidP="006167FC">
      <w:pPr>
        <w:ind w:firstLine="425"/>
        <w:jc w:val="both"/>
        <w:rPr>
          <w:rFonts w:eastAsia="Calibri"/>
          <w:color w:val="000000"/>
          <w:sz w:val="22"/>
          <w:szCs w:val="22"/>
          <w:lang w:eastAsia="en-US"/>
        </w:rPr>
      </w:pPr>
      <w:r w:rsidRPr="00787EA7">
        <w:rPr>
          <w:rFonts w:eastAsia="Calibri"/>
          <w:color w:val="000000"/>
          <w:sz w:val="22"/>
          <w:szCs w:val="22"/>
          <w:lang w:eastAsia="en-US"/>
        </w:rPr>
        <w:t>Но каким же является этот «портрет эффективного менедж</w:t>
      </w:r>
      <w:r w:rsidRPr="00787EA7">
        <w:rPr>
          <w:rFonts w:eastAsia="Calibri"/>
          <w:color w:val="000000"/>
          <w:sz w:val="22"/>
          <w:szCs w:val="22"/>
          <w:lang w:eastAsia="en-US"/>
        </w:rPr>
        <w:t>е</w:t>
      </w:r>
      <w:r w:rsidRPr="00787EA7">
        <w:rPr>
          <w:rFonts w:eastAsia="Calibri"/>
          <w:color w:val="000000"/>
          <w:sz w:val="22"/>
          <w:szCs w:val="22"/>
          <w:lang w:eastAsia="en-US"/>
        </w:rPr>
        <w:t>ра», который должен успешно противостоять всем этим препя</w:t>
      </w:r>
      <w:r w:rsidRPr="00787EA7">
        <w:rPr>
          <w:rFonts w:eastAsia="Calibri"/>
          <w:color w:val="000000"/>
          <w:sz w:val="22"/>
          <w:szCs w:val="22"/>
          <w:lang w:eastAsia="en-US"/>
        </w:rPr>
        <w:t>т</w:t>
      </w:r>
      <w:r w:rsidRPr="00787EA7">
        <w:rPr>
          <w:rFonts w:eastAsia="Calibri"/>
          <w:color w:val="000000"/>
          <w:sz w:val="22"/>
          <w:szCs w:val="22"/>
          <w:lang w:eastAsia="en-US"/>
        </w:rPr>
        <w:lastRenderedPageBreak/>
        <w:t>ствиям? В своих трудах Питер Друкер разработал пять методик в</w:t>
      </w:r>
      <w:r w:rsidRPr="00787EA7">
        <w:rPr>
          <w:rFonts w:eastAsia="Calibri"/>
          <w:color w:val="000000"/>
          <w:sz w:val="22"/>
          <w:szCs w:val="22"/>
          <w:lang w:eastAsia="en-US"/>
        </w:rPr>
        <w:t>ы</w:t>
      </w:r>
      <w:r w:rsidRPr="00787EA7">
        <w:rPr>
          <w:rFonts w:eastAsia="Calibri"/>
          <w:color w:val="000000"/>
          <w:sz w:val="22"/>
          <w:szCs w:val="22"/>
          <w:lang w:eastAsia="en-US"/>
        </w:rPr>
        <w:t>работки эффективного поведения.</w:t>
      </w:r>
    </w:p>
    <w:p w:rsidR="00724342" w:rsidRPr="00787EA7" w:rsidRDefault="00724342" w:rsidP="006167FC">
      <w:pPr>
        <w:numPr>
          <w:ilvl w:val="0"/>
          <w:numId w:val="68"/>
        </w:numPr>
        <w:ind w:left="0" w:firstLine="425"/>
        <w:contextualSpacing/>
        <w:jc w:val="both"/>
        <w:rPr>
          <w:rFonts w:eastAsia="Calibri"/>
          <w:color w:val="000000"/>
          <w:sz w:val="22"/>
          <w:szCs w:val="22"/>
          <w:lang w:eastAsia="en-US"/>
        </w:rPr>
      </w:pPr>
      <w:r w:rsidRPr="00787EA7">
        <w:rPr>
          <w:rFonts w:eastAsia="Calibri"/>
          <w:color w:val="000000"/>
          <w:sz w:val="22"/>
          <w:szCs w:val="22"/>
          <w:lang w:eastAsia="en-US"/>
        </w:rPr>
        <w:t>Правила эффективного управления временем.</w:t>
      </w:r>
    </w:p>
    <w:p w:rsidR="00724342" w:rsidRPr="00787EA7" w:rsidRDefault="00724342" w:rsidP="006167FC">
      <w:pPr>
        <w:ind w:firstLine="425"/>
        <w:jc w:val="both"/>
        <w:rPr>
          <w:color w:val="000000"/>
          <w:sz w:val="22"/>
          <w:szCs w:val="22"/>
          <w:shd w:val="clear" w:color="auto" w:fill="FFFFFF"/>
        </w:rPr>
      </w:pPr>
      <w:r w:rsidRPr="00787EA7">
        <w:rPr>
          <w:rFonts w:eastAsia="Calibri"/>
          <w:color w:val="000000"/>
          <w:sz w:val="22"/>
          <w:szCs w:val="22"/>
          <w:lang w:eastAsia="en-US"/>
        </w:rPr>
        <w:t>Друкер говорил о времени, как об уникальном ресурсе, кот</w:t>
      </w:r>
      <w:r w:rsidRPr="00787EA7">
        <w:rPr>
          <w:rFonts w:eastAsia="Calibri"/>
          <w:color w:val="000000"/>
          <w:sz w:val="22"/>
          <w:szCs w:val="22"/>
          <w:lang w:eastAsia="en-US"/>
        </w:rPr>
        <w:t>о</w:t>
      </w:r>
      <w:r w:rsidRPr="00787EA7">
        <w:rPr>
          <w:rFonts w:eastAsia="Calibri"/>
          <w:color w:val="000000"/>
          <w:sz w:val="22"/>
          <w:szCs w:val="22"/>
          <w:lang w:eastAsia="en-US"/>
        </w:rPr>
        <w:t>рый всегда находится в состоянии дефицита, однако и</w:t>
      </w:r>
      <w:r w:rsidRPr="00787EA7">
        <w:rPr>
          <w:color w:val="000000"/>
          <w:sz w:val="22"/>
          <w:szCs w:val="22"/>
          <w:shd w:val="clear" w:color="auto" w:fill="FFFFFF"/>
        </w:rPr>
        <w:t xml:space="preserve"> стремление к строгому планированию времени редко бывает полезным. Систем</w:t>
      </w:r>
      <w:r w:rsidRPr="00787EA7">
        <w:rPr>
          <w:color w:val="000000"/>
          <w:sz w:val="22"/>
          <w:szCs w:val="22"/>
          <w:shd w:val="clear" w:color="auto" w:fill="FFFFFF"/>
        </w:rPr>
        <w:t>а</w:t>
      </w:r>
      <w:r w:rsidRPr="00787EA7">
        <w:rPr>
          <w:color w:val="000000"/>
          <w:sz w:val="22"/>
          <w:szCs w:val="22"/>
          <w:shd w:val="clear" w:color="auto" w:fill="FFFFFF"/>
        </w:rPr>
        <w:t>тизированное управление временем помогает менеджерам закре</w:t>
      </w:r>
      <w:r w:rsidRPr="00787EA7">
        <w:rPr>
          <w:color w:val="000000"/>
          <w:sz w:val="22"/>
          <w:szCs w:val="22"/>
          <w:shd w:val="clear" w:color="auto" w:fill="FFFFFF"/>
        </w:rPr>
        <w:t>п</w:t>
      </w:r>
      <w:r w:rsidRPr="00787EA7">
        <w:rPr>
          <w:color w:val="000000"/>
          <w:sz w:val="22"/>
          <w:szCs w:val="22"/>
          <w:shd w:val="clear" w:color="auto" w:fill="FFFFFF"/>
        </w:rPr>
        <w:t>лять фактические временные затраты и регулярно заниматься пер</w:t>
      </w:r>
      <w:r w:rsidRPr="00787EA7">
        <w:rPr>
          <w:color w:val="000000"/>
          <w:sz w:val="22"/>
          <w:szCs w:val="22"/>
          <w:shd w:val="clear" w:color="auto" w:fill="FFFFFF"/>
        </w:rPr>
        <w:t>е</w:t>
      </w:r>
      <w:r w:rsidRPr="00787EA7">
        <w:rPr>
          <w:color w:val="000000"/>
          <w:sz w:val="22"/>
          <w:szCs w:val="22"/>
          <w:shd w:val="clear" w:color="auto" w:fill="FFFFFF"/>
        </w:rPr>
        <w:t xml:space="preserve">смотром своего графика. </w:t>
      </w:r>
    </w:p>
    <w:p w:rsidR="00724342" w:rsidRPr="00787EA7" w:rsidRDefault="00724342" w:rsidP="006167FC">
      <w:pPr>
        <w:numPr>
          <w:ilvl w:val="0"/>
          <w:numId w:val="68"/>
        </w:numPr>
        <w:ind w:left="0" w:firstLine="425"/>
        <w:contextualSpacing/>
        <w:jc w:val="both"/>
        <w:rPr>
          <w:sz w:val="22"/>
          <w:szCs w:val="22"/>
        </w:rPr>
      </w:pPr>
      <w:r w:rsidRPr="00787EA7">
        <w:rPr>
          <w:sz w:val="22"/>
          <w:szCs w:val="22"/>
        </w:rPr>
        <w:t>Установка на конечный результат и глобальные цели.</w:t>
      </w:r>
    </w:p>
    <w:p w:rsidR="00724342" w:rsidRPr="00787EA7" w:rsidRDefault="00724342" w:rsidP="006167FC">
      <w:pPr>
        <w:ind w:firstLine="425"/>
        <w:contextualSpacing/>
        <w:jc w:val="both"/>
        <w:rPr>
          <w:sz w:val="22"/>
          <w:szCs w:val="22"/>
        </w:rPr>
      </w:pPr>
      <w:r w:rsidRPr="00787EA7">
        <w:rPr>
          <w:sz w:val="22"/>
          <w:szCs w:val="22"/>
        </w:rPr>
        <w:t>Друкер считал, что каждый менеджер должен ставить вопрос о том, что лично он может сделать для организации. В процессе ра</w:t>
      </w:r>
      <w:r w:rsidRPr="00787EA7">
        <w:rPr>
          <w:sz w:val="22"/>
          <w:szCs w:val="22"/>
        </w:rPr>
        <w:t>з</w:t>
      </w:r>
      <w:r w:rsidRPr="00787EA7">
        <w:rPr>
          <w:sz w:val="22"/>
          <w:szCs w:val="22"/>
        </w:rPr>
        <w:t xml:space="preserve">мышления менеджер переходит от мыслей о собственных частных интересах к разработке стратегии развития организации, он обучает себя обдумывать о том, за что ему платят и какого его личного вклада ожидают взамен. </w:t>
      </w:r>
    </w:p>
    <w:p w:rsidR="00724342" w:rsidRPr="00787EA7" w:rsidRDefault="00724342" w:rsidP="006167FC">
      <w:pPr>
        <w:numPr>
          <w:ilvl w:val="0"/>
          <w:numId w:val="68"/>
        </w:numPr>
        <w:ind w:left="0" w:firstLine="425"/>
        <w:contextualSpacing/>
        <w:jc w:val="both"/>
        <w:rPr>
          <w:sz w:val="24"/>
          <w:szCs w:val="24"/>
        </w:rPr>
      </w:pPr>
      <w:r w:rsidRPr="00787EA7">
        <w:rPr>
          <w:sz w:val="22"/>
          <w:szCs w:val="22"/>
        </w:rPr>
        <w:t>Развитие сильных сторон</w:t>
      </w:r>
      <w:r w:rsidRPr="00787EA7">
        <w:rPr>
          <w:sz w:val="24"/>
          <w:szCs w:val="24"/>
        </w:rPr>
        <w:t>.</w:t>
      </w:r>
    </w:p>
    <w:p w:rsidR="00724342" w:rsidRPr="00787EA7" w:rsidRDefault="00724342" w:rsidP="006167FC">
      <w:pPr>
        <w:ind w:firstLine="425"/>
        <w:contextualSpacing/>
        <w:jc w:val="both"/>
        <w:rPr>
          <w:sz w:val="24"/>
          <w:szCs w:val="24"/>
        </w:rPr>
      </w:pPr>
      <w:r w:rsidRPr="00787EA7">
        <w:rPr>
          <w:sz w:val="22"/>
          <w:szCs w:val="22"/>
        </w:rPr>
        <w:t>Друкер призывал их избегать излишней критики в адрес ка</w:t>
      </w:r>
      <w:r w:rsidRPr="00787EA7">
        <w:rPr>
          <w:sz w:val="22"/>
          <w:szCs w:val="22"/>
        </w:rPr>
        <w:t>д</w:t>
      </w:r>
      <w:r w:rsidRPr="00787EA7">
        <w:rPr>
          <w:sz w:val="22"/>
          <w:szCs w:val="22"/>
        </w:rPr>
        <w:t>ров, а концентрироваться на сильных сторонах людей и спосо</w:t>
      </w:r>
      <w:r w:rsidRPr="00787EA7">
        <w:rPr>
          <w:sz w:val="22"/>
          <w:szCs w:val="22"/>
        </w:rPr>
        <w:t>б</w:t>
      </w:r>
      <w:r w:rsidRPr="00787EA7">
        <w:rPr>
          <w:sz w:val="22"/>
          <w:szCs w:val="22"/>
        </w:rPr>
        <w:t>ствовать их развитию. Также он призывал менеджеров в процессе своей деятельности отбросить собственные симпатии или антип</w:t>
      </w:r>
      <w:r w:rsidRPr="00787EA7">
        <w:rPr>
          <w:sz w:val="22"/>
          <w:szCs w:val="22"/>
        </w:rPr>
        <w:t>а</w:t>
      </w:r>
      <w:r w:rsidRPr="00787EA7">
        <w:rPr>
          <w:sz w:val="22"/>
          <w:szCs w:val="22"/>
        </w:rPr>
        <w:t>тии к подчиненным, как к людям, и оценивать их только как хор</w:t>
      </w:r>
      <w:r w:rsidRPr="00787EA7">
        <w:rPr>
          <w:sz w:val="22"/>
          <w:szCs w:val="22"/>
        </w:rPr>
        <w:t>о</w:t>
      </w:r>
      <w:r w:rsidRPr="00787EA7">
        <w:rPr>
          <w:sz w:val="22"/>
          <w:szCs w:val="22"/>
        </w:rPr>
        <w:t>ших или плохих специалистов.</w:t>
      </w:r>
    </w:p>
    <w:p w:rsidR="00724342" w:rsidRPr="00787EA7" w:rsidRDefault="00724342" w:rsidP="006167FC">
      <w:pPr>
        <w:numPr>
          <w:ilvl w:val="0"/>
          <w:numId w:val="68"/>
        </w:numPr>
        <w:ind w:left="0" w:firstLine="425"/>
        <w:contextualSpacing/>
        <w:jc w:val="both"/>
        <w:rPr>
          <w:sz w:val="22"/>
          <w:szCs w:val="22"/>
        </w:rPr>
      </w:pPr>
      <w:r w:rsidRPr="00787EA7">
        <w:rPr>
          <w:sz w:val="22"/>
          <w:szCs w:val="22"/>
        </w:rPr>
        <w:t xml:space="preserve">Правила расстановки приоритетов. </w:t>
      </w:r>
    </w:p>
    <w:p w:rsidR="00724342" w:rsidRPr="00787EA7" w:rsidRDefault="00724342" w:rsidP="006167FC">
      <w:pPr>
        <w:ind w:firstLine="425"/>
        <w:contextualSpacing/>
        <w:jc w:val="both"/>
        <w:rPr>
          <w:sz w:val="22"/>
          <w:szCs w:val="22"/>
        </w:rPr>
      </w:pPr>
      <w:r w:rsidRPr="00787EA7">
        <w:rPr>
          <w:sz w:val="22"/>
          <w:szCs w:val="22"/>
        </w:rPr>
        <w:t>Друкер дает менеджерам четыре рекомендации по расстановке приоритетов:</w:t>
      </w:r>
    </w:p>
    <w:p w:rsidR="00724342" w:rsidRPr="00787EA7" w:rsidRDefault="00724342" w:rsidP="006167FC">
      <w:pPr>
        <w:ind w:firstLine="425"/>
        <w:jc w:val="both"/>
        <w:rPr>
          <w:sz w:val="22"/>
          <w:szCs w:val="22"/>
        </w:rPr>
      </w:pPr>
      <w:r w:rsidRPr="00787EA7">
        <w:rPr>
          <w:sz w:val="22"/>
          <w:szCs w:val="22"/>
        </w:rPr>
        <w:t>-главное это не анализ прошлого, а смелый взгляд на будущее, именно это позволяет выявить нестандартное решение любой пр</w:t>
      </w:r>
      <w:r w:rsidRPr="00787EA7">
        <w:rPr>
          <w:sz w:val="22"/>
          <w:szCs w:val="22"/>
        </w:rPr>
        <w:t>о</w:t>
      </w:r>
      <w:r w:rsidRPr="00787EA7">
        <w:rPr>
          <w:sz w:val="22"/>
          <w:szCs w:val="22"/>
        </w:rPr>
        <w:t>блемы;</w:t>
      </w:r>
    </w:p>
    <w:p w:rsidR="00724342" w:rsidRPr="00787EA7" w:rsidRDefault="00724342" w:rsidP="006167FC">
      <w:pPr>
        <w:ind w:firstLine="425"/>
        <w:jc w:val="both"/>
        <w:rPr>
          <w:sz w:val="22"/>
          <w:szCs w:val="22"/>
        </w:rPr>
      </w:pPr>
      <w:r w:rsidRPr="00787EA7">
        <w:rPr>
          <w:sz w:val="22"/>
          <w:szCs w:val="22"/>
        </w:rPr>
        <w:t>-концентрироваться на благоприятных возможностях, а не на проблеме;</w:t>
      </w:r>
    </w:p>
    <w:p w:rsidR="00724342" w:rsidRPr="00787EA7" w:rsidRDefault="00724342" w:rsidP="006167FC">
      <w:pPr>
        <w:ind w:firstLine="425"/>
        <w:jc w:val="both"/>
        <w:rPr>
          <w:sz w:val="22"/>
          <w:szCs w:val="22"/>
        </w:rPr>
      </w:pPr>
      <w:r w:rsidRPr="00787EA7">
        <w:rPr>
          <w:sz w:val="22"/>
          <w:szCs w:val="22"/>
        </w:rPr>
        <w:t>-крайне важно сохранять собственную индивидуальность в процессе достижения целей организации, не завидуя конкурентам-победителям;</w:t>
      </w:r>
    </w:p>
    <w:p w:rsidR="00724342" w:rsidRPr="00787EA7" w:rsidRDefault="00724342" w:rsidP="006167FC">
      <w:pPr>
        <w:ind w:firstLine="425"/>
        <w:jc w:val="both"/>
        <w:rPr>
          <w:sz w:val="22"/>
          <w:szCs w:val="22"/>
        </w:rPr>
      </w:pPr>
      <w:r w:rsidRPr="00787EA7">
        <w:rPr>
          <w:sz w:val="22"/>
          <w:szCs w:val="22"/>
        </w:rPr>
        <w:t>-надо ставить масштабные цели, а не прятаться за простыми решениями и небольшими успехами [1].</w:t>
      </w:r>
    </w:p>
    <w:p w:rsidR="00724342" w:rsidRPr="00787EA7" w:rsidRDefault="00724342" w:rsidP="006167FC">
      <w:pPr>
        <w:ind w:firstLine="425"/>
        <w:jc w:val="both"/>
        <w:rPr>
          <w:sz w:val="22"/>
          <w:szCs w:val="22"/>
        </w:rPr>
      </w:pPr>
      <w:r w:rsidRPr="00787EA7">
        <w:rPr>
          <w:sz w:val="22"/>
          <w:szCs w:val="22"/>
        </w:rPr>
        <w:t>5) Принятие правильных решений.</w:t>
      </w:r>
    </w:p>
    <w:p w:rsidR="00724342" w:rsidRPr="00787EA7" w:rsidRDefault="00724342" w:rsidP="006167FC">
      <w:pPr>
        <w:ind w:firstLine="425"/>
        <w:jc w:val="both"/>
        <w:rPr>
          <w:sz w:val="22"/>
          <w:szCs w:val="22"/>
        </w:rPr>
      </w:pPr>
      <w:r w:rsidRPr="00787EA7">
        <w:rPr>
          <w:sz w:val="22"/>
          <w:szCs w:val="22"/>
        </w:rPr>
        <w:lastRenderedPageBreak/>
        <w:t>В своей последней методике Питер Друкер выделил следу</w:t>
      </w:r>
      <w:r w:rsidRPr="00787EA7">
        <w:rPr>
          <w:sz w:val="22"/>
          <w:szCs w:val="22"/>
        </w:rPr>
        <w:t>ю</w:t>
      </w:r>
      <w:r w:rsidRPr="00787EA7">
        <w:rPr>
          <w:sz w:val="22"/>
          <w:szCs w:val="22"/>
        </w:rPr>
        <w:t>щие пять этапов в принятии правильных решений:</w:t>
      </w:r>
    </w:p>
    <w:p w:rsidR="00724342" w:rsidRPr="00787EA7" w:rsidRDefault="00724342" w:rsidP="006167FC">
      <w:pPr>
        <w:ind w:firstLine="425"/>
        <w:jc w:val="both"/>
        <w:rPr>
          <w:color w:val="000000"/>
          <w:sz w:val="22"/>
          <w:szCs w:val="22"/>
          <w:shd w:val="clear" w:color="auto" w:fill="FFFFFF"/>
        </w:rPr>
      </w:pPr>
      <w:r w:rsidRPr="00787EA7">
        <w:rPr>
          <w:color w:val="000000"/>
          <w:sz w:val="22"/>
          <w:szCs w:val="22"/>
          <w:shd w:val="clear" w:color="auto" w:fill="FFFFFF"/>
        </w:rPr>
        <w:t>-осознание руководителем, что проблема носит общий хара</w:t>
      </w:r>
      <w:r w:rsidRPr="00787EA7">
        <w:rPr>
          <w:color w:val="000000"/>
          <w:sz w:val="22"/>
          <w:szCs w:val="22"/>
          <w:shd w:val="clear" w:color="auto" w:fill="FFFFFF"/>
        </w:rPr>
        <w:t>к</w:t>
      </w:r>
      <w:r w:rsidRPr="00787EA7">
        <w:rPr>
          <w:color w:val="000000"/>
          <w:sz w:val="22"/>
          <w:szCs w:val="22"/>
          <w:shd w:val="clear" w:color="auto" w:fill="FFFFFF"/>
        </w:rPr>
        <w:t>тер;</w:t>
      </w:r>
    </w:p>
    <w:p w:rsidR="00724342" w:rsidRPr="00787EA7" w:rsidRDefault="00724342" w:rsidP="006167FC">
      <w:pPr>
        <w:ind w:firstLine="425"/>
        <w:jc w:val="both"/>
        <w:rPr>
          <w:color w:val="000000"/>
          <w:sz w:val="22"/>
          <w:szCs w:val="22"/>
          <w:shd w:val="clear" w:color="auto" w:fill="FFFFFF"/>
        </w:rPr>
      </w:pPr>
      <w:r w:rsidRPr="00787EA7">
        <w:rPr>
          <w:color w:val="000000"/>
          <w:sz w:val="22"/>
          <w:szCs w:val="22"/>
          <w:shd w:val="clear" w:color="auto" w:fill="FFFFFF"/>
        </w:rPr>
        <w:t>-поиск того решения, которое полностью удовлетворит все тр</w:t>
      </w:r>
      <w:r w:rsidRPr="00787EA7">
        <w:rPr>
          <w:color w:val="000000"/>
          <w:sz w:val="22"/>
          <w:szCs w:val="22"/>
          <w:shd w:val="clear" w:color="auto" w:fill="FFFFFF"/>
        </w:rPr>
        <w:t>е</w:t>
      </w:r>
      <w:r w:rsidRPr="00787EA7">
        <w:rPr>
          <w:color w:val="000000"/>
          <w:sz w:val="22"/>
          <w:szCs w:val="22"/>
          <w:shd w:val="clear" w:color="auto" w:fill="FFFFFF"/>
        </w:rPr>
        <w:t>бования;</w:t>
      </w:r>
    </w:p>
    <w:p w:rsidR="00724342" w:rsidRPr="00787EA7" w:rsidRDefault="00724342" w:rsidP="006167FC">
      <w:pPr>
        <w:ind w:firstLine="425"/>
        <w:jc w:val="both"/>
        <w:rPr>
          <w:color w:val="000000"/>
          <w:sz w:val="22"/>
          <w:szCs w:val="22"/>
          <w:shd w:val="clear" w:color="auto" w:fill="FFFFFF"/>
        </w:rPr>
      </w:pPr>
      <w:r w:rsidRPr="00787EA7">
        <w:rPr>
          <w:color w:val="000000"/>
          <w:sz w:val="22"/>
          <w:szCs w:val="22"/>
          <w:shd w:val="clear" w:color="auto" w:fill="FFFFFF"/>
        </w:rPr>
        <w:t>-переключение на «подгонку» компромиссов и уступок, чтобы окончательное решение было приемлемо для всех сторон;</w:t>
      </w:r>
    </w:p>
    <w:p w:rsidR="00724342" w:rsidRPr="00787EA7" w:rsidRDefault="00724342" w:rsidP="006167FC">
      <w:pPr>
        <w:ind w:firstLine="425"/>
        <w:jc w:val="both"/>
        <w:rPr>
          <w:color w:val="000000"/>
          <w:sz w:val="22"/>
          <w:szCs w:val="22"/>
          <w:shd w:val="clear" w:color="auto" w:fill="FFFFFF"/>
        </w:rPr>
      </w:pPr>
      <w:r w:rsidRPr="00787EA7">
        <w:rPr>
          <w:color w:val="000000"/>
          <w:sz w:val="22"/>
          <w:szCs w:val="22"/>
          <w:shd w:val="clear" w:color="auto" w:fill="FFFFFF"/>
        </w:rPr>
        <w:t>-поиск механизма реализации решения;</w:t>
      </w:r>
    </w:p>
    <w:p w:rsidR="00724342" w:rsidRPr="00787EA7" w:rsidRDefault="00724342" w:rsidP="006167FC">
      <w:pPr>
        <w:ind w:firstLine="425"/>
        <w:jc w:val="both"/>
        <w:rPr>
          <w:rFonts w:eastAsia="Calibri"/>
          <w:b/>
          <w:bCs/>
          <w:color w:val="222222"/>
          <w:sz w:val="22"/>
          <w:szCs w:val="22"/>
          <w:shd w:val="clear" w:color="auto" w:fill="FFFFFF"/>
          <w:lang w:eastAsia="en-US"/>
        </w:rPr>
      </w:pPr>
      <w:r w:rsidRPr="00787EA7">
        <w:rPr>
          <w:color w:val="000000"/>
          <w:sz w:val="22"/>
          <w:szCs w:val="22"/>
          <w:shd w:val="clear" w:color="auto" w:fill="FFFFFF"/>
        </w:rPr>
        <w:t>-обеспечение «обратной связи» – канала, который позволит о</w:t>
      </w:r>
      <w:r w:rsidRPr="00787EA7">
        <w:rPr>
          <w:color w:val="000000"/>
          <w:sz w:val="22"/>
          <w:szCs w:val="22"/>
          <w:shd w:val="clear" w:color="auto" w:fill="FFFFFF"/>
        </w:rPr>
        <w:t>т</w:t>
      </w:r>
      <w:r w:rsidRPr="00787EA7">
        <w:rPr>
          <w:color w:val="000000"/>
          <w:sz w:val="22"/>
          <w:szCs w:val="22"/>
          <w:shd w:val="clear" w:color="auto" w:fill="FFFFFF"/>
        </w:rPr>
        <w:t>слеживать процесс реализации решения и его результат [2].</w:t>
      </w:r>
    </w:p>
    <w:p w:rsidR="00724342" w:rsidRPr="00787EA7" w:rsidRDefault="00724342" w:rsidP="006167FC">
      <w:pPr>
        <w:ind w:firstLine="425"/>
        <w:jc w:val="both"/>
        <w:rPr>
          <w:color w:val="000000"/>
          <w:sz w:val="22"/>
          <w:szCs w:val="22"/>
          <w:shd w:val="clear" w:color="auto" w:fill="FFFFFF"/>
        </w:rPr>
      </w:pPr>
      <w:r w:rsidRPr="00787EA7">
        <w:rPr>
          <w:color w:val="000000"/>
          <w:sz w:val="22"/>
          <w:szCs w:val="22"/>
        </w:rPr>
        <w:t>Подводя итоги, можно сказать, что пусть далеко не все мен</w:t>
      </w:r>
      <w:r w:rsidRPr="00787EA7">
        <w:rPr>
          <w:color w:val="000000"/>
          <w:sz w:val="22"/>
          <w:szCs w:val="22"/>
        </w:rPr>
        <w:t>е</w:t>
      </w:r>
      <w:r w:rsidRPr="00787EA7">
        <w:rPr>
          <w:color w:val="000000"/>
          <w:sz w:val="22"/>
          <w:szCs w:val="22"/>
        </w:rPr>
        <w:t>джеры смогут приблизиться к тому «портрету», что им оставил в</w:t>
      </w:r>
      <w:r w:rsidRPr="00787EA7">
        <w:rPr>
          <w:color w:val="000000"/>
          <w:sz w:val="22"/>
          <w:szCs w:val="22"/>
        </w:rPr>
        <w:t>е</w:t>
      </w:r>
      <w:r w:rsidRPr="00787EA7">
        <w:rPr>
          <w:color w:val="000000"/>
          <w:sz w:val="22"/>
          <w:szCs w:val="22"/>
        </w:rPr>
        <w:t>ликий американский экономист Питер Друкер, но, тем не менее, каждый их них должен прикладывать максимум усилий, чтобы с</w:t>
      </w:r>
      <w:r w:rsidRPr="00787EA7">
        <w:rPr>
          <w:color w:val="000000"/>
          <w:sz w:val="22"/>
          <w:szCs w:val="22"/>
        </w:rPr>
        <w:t>о</w:t>
      </w:r>
      <w:r w:rsidRPr="00787EA7">
        <w:rPr>
          <w:color w:val="000000"/>
          <w:sz w:val="22"/>
          <w:szCs w:val="22"/>
        </w:rPr>
        <w:t>ответствовать современным требованиям к своей профессии.</w:t>
      </w:r>
    </w:p>
    <w:p w:rsidR="00724342" w:rsidRPr="00787EA7" w:rsidRDefault="00724342" w:rsidP="006167FC">
      <w:pPr>
        <w:ind w:firstLine="425"/>
        <w:jc w:val="both"/>
        <w:rPr>
          <w:color w:val="000000"/>
          <w:sz w:val="22"/>
          <w:szCs w:val="22"/>
        </w:rPr>
      </w:pPr>
      <w:r w:rsidRPr="00787EA7">
        <w:rPr>
          <w:color w:val="000000"/>
          <w:sz w:val="22"/>
          <w:szCs w:val="22"/>
        </w:rPr>
        <w:t>Также, при попытке следованию портрету эффективного мен</w:t>
      </w:r>
      <w:r w:rsidRPr="00787EA7">
        <w:rPr>
          <w:color w:val="000000"/>
          <w:sz w:val="22"/>
          <w:szCs w:val="22"/>
        </w:rPr>
        <w:t>е</w:t>
      </w:r>
      <w:r w:rsidRPr="00787EA7">
        <w:rPr>
          <w:color w:val="000000"/>
          <w:sz w:val="22"/>
          <w:szCs w:val="22"/>
        </w:rPr>
        <w:t>джера, необходимо учитывать особенности национальных культур. Например, современный российский менеджмент сформировался в условиях перехода от чрезмерно централизованной, плановой эк</w:t>
      </w:r>
      <w:r w:rsidRPr="00787EA7">
        <w:rPr>
          <w:color w:val="000000"/>
          <w:sz w:val="22"/>
          <w:szCs w:val="22"/>
        </w:rPr>
        <w:t>о</w:t>
      </w:r>
      <w:r w:rsidRPr="00787EA7">
        <w:rPr>
          <w:color w:val="000000"/>
          <w:sz w:val="22"/>
          <w:szCs w:val="22"/>
        </w:rPr>
        <w:t>номики к рыночной в сжатые сроки [4].</w:t>
      </w:r>
    </w:p>
    <w:p w:rsidR="00724342" w:rsidRPr="00787EA7" w:rsidRDefault="00724342" w:rsidP="006167FC">
      <w:pPr>
        <w:shd w:val="clear" w:color="auto" w:fill="FFFFFF"/>
        <w:ind w:firstLine="425"/>
        <w:jc w:val="both"/>
        <w:rPr>
          <w:rFonts w:eastAsia="Calibri"/>
          <w:sz w:val="22"/>
          <w:szCs w:val="22"/>
          <w:lang w:eastAsia="en-US"/>
        </w:rPr>
      </w:pPr>
    </w:p>
    <w:p w:rsidR="00724342" w:rsidRPr="00787EA7" w:rsidRDefault="00724342" w:rsidP="00724342">
      <w:pPr>
        <w:shd w:val="clear" w:color="auto" w:fill="FFFFFF"/>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shd w:val="clear" w:color="auto" w:fill="FFFFFF"/>
        <w:ind w:firstLine="426"/>
        <w:jc w:val="both"/>
        <w:rPr>
          <w:rFonts w:eastAsia="Calibri"/>
          <w:sz w:val="22"/>
          <w:szCs w:val="22"/>
          <w:shd w:val="clear" w:color="auto" w:fill="FFFFFF"/>
          <w:lang w:eastAsia="en-US"/>
        </w:rPr>
      </w:pPr>
      <w:r w:rsidRPr="00787EA7">
        <w:rPr>
          <w:rFonts w:eastAsia="Calibri"/>
          <w:sz w:val="22"/>
          <w:szCs w:val="22"/>
          <w:shd w:val="clear" w:color="auto" w:fill="FFFFFF"/>
          <w:lang w:eastAsia="en-US"/>
        </w:rPr>
        <w:t>1.</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Алавердов, А.Р. Управление персоналом: Учебное пособие / А.Р. Алавердов, Е.О. Куроедова, О.В. Нестерова. – М.: МФПУ С</w:t>
      </w:r>
      <w:r w:rsidRPr="00787EA7">
        <w:rPr>
          <w:rFonts w:eastAsia="Calibri"/>
          <w:sz w:val="22"/>
          <w:szCs w:val="22"/>
          <w:shd w:val="clear" w:color="auto" w:fill="FFFFFF"/>
          <w:lang w:eastAsia="en-US"/>
        </w:rPr>
        <w:t>и</w:t>
      </w:r>
      <w:r w:rsidRPr="00787EA7">
        <w:rPr>
          <w:rFonts w:eastAsia="Calibri"/>
          <w:sz w:val="22"/>
          <w:szCs w:val="22"/>
          <w:shd w:val="clear" w:color="auto" w:fill="FFFFFF"/>
          <w:lang w:eastAsia="en-US"/>
        </w:rPr>
        <w:t>нергия, 2013. – 192 c.</w:t>
      </w:r>
    </w:p>
    <w:p w:rsidR="00724342" w:rsidRPr="00787EA7" w:rsidRDefault="00724342" w:rsidP="00724342">
      <w:pPr>
        <w:shd w:val="clear" w:color="auto" w:fill="FFFFFF"/>
        <w:ind w:firstLine="426"/>
        <w:jc w:val="both"/>
        <w:rPr>
          <w:rFonts w:eastAsia="Calibri"/>
          <w:sz w:val="22"/>
          <w:szCs w:val="22"/>
          <w:shd w:val="clear" w:color="auto" w:fill="FFFFFF"/>
          <w:lang w:eastAsia="en-US"/>
        </w:rPr>
      </w:pPr>
      <w:r w:rsidRPr="00787EA7">
        <w:rPr>
          <w:rFonts w:eastAsia="Calibri"/>
          <w:sz w:val="22"/>
          <w:szCs w:val="22"/>
          <w:shd w:val="clear" w:color="auto" w:fill="FFFFFF"/>
          <w:lang w:eastAsia="en-US"/>
        </w:rPr>
        <w:t>2.</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Кибанов, А.Я. Управление персоналом: учебное пособие / А.Я. Кибанов. – М.: ИНФРА-М, 2013. – 238 c.</w:t>
      </w:r>
    </w:p>
    <w:p w:rsidR="00724342" w:rsidRPr="00787EA7" w:rsidRDefault="00724342" w:rsidP="00724342">
      <w:pPr>
        <w:shd w:val="clear" w:color="auto" w:fill="FFFFFF"/>
        <w:ind w:firstLine="426"/>
        <w:jc w:val="both"/>
        <w:rPr>
          <w:rFonts w:eastAsia="Calibri"/>
          <w:sz w:val="22"/>
          <w:szCs w:val="22"/>
          <w:shd w:val="clear" w:color="auto" w:fill="FFFFFF"/>
          <w:lang w:eastAsia="en-US"/>
        </w:rPr>
      </w:pPr>
      <w:r w:rsidRPr="00787EA7">
        <w:rPr>
          <w:rFonts w:eastAsia="Calibri"/>
          <w:sz w:val="22"/>
          <w:szCs w:val="22"/>
          <w:shd w:val="clear" w:color="auto" w:fill="FFFFFF"/>
          <w:lang w:eastAsia="en-US"/>
        </w:rPr>
        <w:t>3.</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Клейменова Д.В., Стукова Ю.Е.</w:t>
      </w:r>
      <w:hyperlink r:id="rId212" w:history="1">
        <w:r w:rsidRPr="00787EA7">
          <w:rPr>
            <w:rFonts w:eastAsia="Calibri"/>
            <w:sz w:val="22"/>
            <w:szCs w:val="22"/>
            <w:shd w:val="clear" w:color="auto" w:fill="FFFFFF"/>
            <w:lang w:eastAsia="en-US"/>
          </w:rPr>
          <w:t>Стимулирование деятельн</w:t>
        </w:r>
        <w:r w:rsidRPr="00787EA7">
          <w:rPr>
            <w:rFonts w:eastAsia="Calibri"/>
            <w:sz w:val="22"/>
            <w:szCs w:val="22"/>
            <w:shd w:val="clear" w:color="auto" w:fill="FFFFFF"/>
            <w:lang w:eastAsia="en-US"/>
          </w:rPr>
          <w:t>о</w:t>
        </w:r>
        <w:r w:rsidRPr="00787EA7">
          <w:rPr>
            <w:rFonts w:eastAsia="Calibri"/>
            <w:sz w:val="22"/>
            <w:szCs w:val="22"/>
            <w:shd w:val="clear" w:color="auto" w:fill="FFFFFF"/>
            <w:lang w:eastAsia="en-US"/>
          </w:rPr>
          <w:t>сти работников</w:t>
        </w:r>
      </w:hyperlink>
      <w:r w:rsidRPr="00787EA7">
        <w:rPr>
          <w:rFonts w:eastAsia="Calibri"/>
          <w:sz w:val="22"/>
          <w:szCs w:val="22"/>
          <w:shd w:val="clear" w:color="auto" w:fill="FFFFFF"/>
          <w:lang w:eastAsia="en-US"/>
        </w:rPr>
        <w:t xml:space="preserve"> /Клейменова Д.В., Стукова Ю.Е. // </w:t>
      </w:r>
      <w:hyperlink r:id="rId213" w:history="1">
        <w:r w:rsidRPr="00787EA7">
          <w:rPr>
            <w:rFonts w:eastAsia="Calibri"/>
            <w:sz w:val="22"/>
            <w:szCs w:val="22"/>
            <w:shd w:val="clear" w:color="auto" w:fill="FFFFFF"/>
            <w:lang w:eastAsia="en-US"/>
          </w:rPr>
          <w:t>Современные научные исследования и разработки</w:t>
        </w:r>
      </w:hyperlink>
      <w:r w:rsidRPr="00787EA7">
        <w:rPr>
          <w:rFonts w:eastAsia="Calibri"/>
          <w:sz w:val="22"/>
          <w:szCs w:val="22"/>
          <w:shd w:val="clear" w:color="auto" w:fill="FFFFFF"/>
          <w:lang w:eastAsia="en-US"/>
        </w:rPr>
        <w:t>. 2017. </w:t>
      </w:r>
      <w:hyperlink r:id="rId214" w:history="1">
        <w:r w:rsidRPr="00787EA7">
          <w:rPr>
            <w:rFonts w:eastAsia="Calibri"/>
            <w:sz w:val="22"/>
            <w:szCs w:val="22"/>
            <w:shd w:val="clear" w:color="auto" w:fill="FFFFFF"/>
            <w:lang w:eastAsia="en-US"/>
          </w:rPr>
          <w:t>№ 5 (13)</w:t>
        </w:r>
      </w:hyperlink>
      <w:r w:rsidRPr="00787EA7">
        <w:rPr>
          <w:rFonts w:eastAsia="Calibri"/>
          <w:sz w:val="22"/>
          <w:szCs w:val="22"/>
          <w:shd w:val="clear" w:color="auto" w:fill="FFFFFF"/>
          <w:lang w:eastAsia="en-US"/>
        </w:rPr>
        <w:t>. С. 479-480</w:t>
      </w:r>
    </w:p>
    <w:p w:rsidR="00724342" w:rsidRPr="00787EA7" w:rsidRDefault="00724342" w:rsidP="00724342">
      <w:pPr>
        <w:shd w:val="clear" w:color="auto" w:fill="FFFFFF"/>
        <w:ind w:firstLine="426"/>
        <w:jc w:val="both"/>
        <w:rPr>
          <w:rFonts w:eastAsia="Calibri"/>
          <w:sz w:val="22"/>
          <w:szCs w:val="22"/>
          <w:lang w:eastAsia="en-US"/>
        </w:rPr>
      </w:pPr>
      <w:r w:rsidRPr="00787EA7">
        <w:rPr>
          <w:rFonts w:eastAsia="Calibri"/>
          <w:sz w:val="22"/>
          <w:szCs w:val="22"/>
          <w:lang w:eastAsia="en-US"/>
        </w:rPr>
        <w:t>4.</w:t>
      </w:r>
      <w:r w:rsidR="006167FC">
        <w:rPr>
          <w:rFonts w:eastAsia="Calibri"/>
          <w:sz w:val="22"/>
          <w:szCs w:val="22"/>
          <w:lang w:eastAsia="en-US"/>
        </w:rPr>
        <w:t xml:space="preserve"> </w:t>
      </w:r>
      <w:r w:rsidRPr="00787EA7">
        <w:rPr>
          <w:rFonts w:eastAsia="Calibri"/>
          <w:sz w:val="22"/>
          <w:szCs w:val="22"/>
          <w:lang w:eastAsia="en-US"/>
        </w:rPr>
        <w:t>Парамонов П. Ф. Менеджмент: учеб. пособие/</w:t>
      </w:r>
      <w:hyperlink r:id="rId215"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216" w:history="1">
        <w:r w:rsidRPr="00787EA7">
          <w:rPr>
            <w:rFonts w:eastAsia="Calibri"/>
            <w:sz w:val="22"/>
            <w:szCs w:val="22"/>
            <w:lang w:eastAsia="en-US"/>
          </w:rPr>
          <w:t>И. Е. Халявка</w:t>
        </w:r>
      </w:hyperlink>
      <w:r w:rsidRPr="00787EA7">
        <w:rPr>
          <w:rFonts w:eastAsia="Calibri"/>
          <w:sz w:val="22"/>
          <w:szCs w:val="22"/>
          <w:lang w:eastAsia="en-US"/>
        </w:rPr>
        <w:t>, </w:t>
      </w:r>
      <w:hyperlink r:id="rId217"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 – 173 с.</w:t>
      </w:r>
    </w:p>
    <w:p w:rsidR="00724342" w:rsidRPr="00787EA7" w:rsidRDefault="00724342" w:rsidP="00724342">
      <w:pPr>
        <w:shd w:val="clear" w:color="auto" w:fill="FFFFFF"/>
        <w:ind w:firstLine="426"/>
        <w:jc w:val="both"/>
        <w:rPr>
          <w:rFonts w:eastAsia="Calibri"/>
          <w:sz w:val="22"/>
          <w:szCs w:val="22"/>
          <w:shd w:val="clear" w:color="auto" w:fill="FFFFFF"/>
          <w:lang w:eastAsia="en-US"/>
        </w:rPr>
      </w:pPr>
      <w:r w:rsidRPr="00787EA7">
        <w:rPr>
          <w:rFonts w:eastAsia="Calibri"/>
          <w:sz w:val="22"/>
          <w:szCs w:val="22"/>
          <w:shd w:val="clear" w:color="auto" w:fill="FFFFFF"/>
          <w:lang w:eastAsia="en-US"/>
        </w:rPr>
        <w:t>5.</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Репина, Е.А. Основы менеджмента: Учебное пособие / Е.А. Репина. – М.: Академцентр, 2013. – 240 c.</w:t>
      </w:r>
    </w:p>
    <w:p w:rsidR="006167FC" w:rsidRDefault="006167FC" w:rsidP="00724342">
      <w:pPr>
        <w:tabs>
          <w:tab w:val="left" w:pos="1560"/>
        </w:tabs>
        <w:ind w:firstLine="425"/>
        <w:outlineLvl w:val="0"/>
        <w:rPr>
          <w:rFonts w:eastAsia="Calibri"/>
          <w:sz w:val="22"/>
          <w:szCs w:val="22"/>
          <w:lang w:eastAsia="en-US"/>
        </w:rPr>
      </w:pPr>
    </w:p>
    <w:p w:rsidR="006167FC" w:rsidRDefault="006167FC" w:rsidP="006167FC">
      <w:pPr>
        <w:tabs>
          <w:tab w:val="left" w:pos="1560"/>
        </w:tabs>
        <w:outlineLvl w:val="0"/>
        <w:rPr>
          <w:rFonts w:eastAsia="Calibri"/>
          <w:sz w:val="22"/>
          <w:szCs w:val="22"/>
          <w:lang w:eastAsia="en-US"/>
        </w:rPr>
      </w:pPr>
    </w:p>
    <w:p w:rsidR="006167FC" w:rsidRPr="00787EA7" w:rsidRDefault="00724342" w:rsidP="006167FC">
      <w:pPr>
        <w:tabs>
          <w:tab w:val="left" w:pos="1560"/>
        </w:tabs>
        <w:outlineLvl w:val="0"/>
        <w:rPr>
          <w:rFonts w:eastAsia="Calibri"/>
          <w:sz w:val="22"/>
          <w:szCs w:val="22"/>
          <w:lang w:eastAsia="en-US"/>
        </w:rPr>
      </w:pPr>
      <w:r w:rsidRPr="00787EA7">
        <w:rPr>
          <w:rFonts w:eastAsia="Calibri"/>
          <w:sz w:val="22"/>
          <w:szCs w:val="22"/>
          <w:lang w:eastAsia="en-US"/>
        </w:rPr>
        <w:lastRenderedPageBreak/>
        <w:t>УДК 336.22</w:t>
      </w:r>
    </w:p>
    <w:p w:rsidR="00724342" w:rsidRPr="00787EA7" w:rsidRDefault="00724342" w:rsidP="00724342">
      <w:pPr>
        <w:tabs>
          <w:tab w:val="left" w:pos="1560"/>
        </w:tabs>
        <w:ind w:firstLine="425"/>
        <w:jc w:val="center"/>
        <w:outlineLvl w:val="0"/>
        <w:rPr>
          <w:rFonts w:eastAsia="Calibri"/>
          <w:b/>
          <w:sz w:val="24"/>
          <w:szCs w:val="24"/>
          <w:lang w:eastAsia="en-US"/>
        </w:rPr>
      </w:pPr>
      <w:r w:rsidRPr="00787EA7">
        <w:rPr>
          <w:rFonts w:eastAsia="Calibri"/>
          <w:b/>
          <w:sz w:val="24"/>
          <w:szCs w:val="24"/>
          <w:lang w:eastAsia="en-US"/>
        </w:rPr>
        <w:t xml:space="preserve">Совершенствование системы налогообложения </w:t>
      </w:r>
    </w:p>
    <w:p w:rsidR="00724342" w:rsidRPr="00787EA7" w:rsidRDefault="00724342" w:rsidP="00724342">
      <w:pPr>
        <w:tabs>
          <w:tab w:val="left" w:pos="1560"/>
        </w:tabs>
        <w:ind w:firstLine="425"/>
        <w:jc w:val="center"/>
        <w:rPr>
          <w:rFonts w:eastAsia="Calibri"/>
          <w:b/>
          <w:sz w:val="24"/>
          <w:szCs w:val="24"/>
          <w:lang w:eastAsia="en-US"/>
        </w:rPr>
      </w:pPr>
      <w:r w:rsidRPr="00787EA7">
        <w:rPr>
          <w:rFonts w:eastAsia="Calibri"/>
          <w:b/>
          <w:sz w:val="24"/>
          <w:szCs w:val="24"/>
          <w:lang w:eastAsia="en-US"/>
        </w:rPr>
        <w:t xml:space="preserve">имущества физических лиц </w:t>
      </w:r>
    </w:p>
    <w:p w:rsidR="00724342" w:rsidRPr="00787EA7" w:rsidRDefault="00724342" w:rsidP="00724342">
      <w:pPr>
        <w:tabs>
          <w:tab w:val="left" w:pos="1560"/>
        </w:tabs>
        <w:ind w:firstLine="425"/>
        <w:jc w:val="center"/>
        <w:rPr>
          <w:rFonts w:eastAsia="Calibri"/>
          <w:b/>
          <w:sz w:val="24"/>
          <w:szCs w:val="24"/>
          <w:lang w:val="en-US" w:eastAsia="en-US"/>
        </w:rPr>
      </w:pPr>
      <w:r w:rsidRPr="00787EA7">
        <w:rPr>
          <w:rFonts w:eastAsia="Calibri"/>
          <w:b/>
          <w:sz w:val="24"/>
          <w:szCs w:val="24"/>
          <w:lang w:val="en-US" w:eastAsia="en-US"/>
        </w:rPr>
        <w:t>Improvement of the taxation system</w:t>
      </w:r>
    </w:p>
    <w:p w:rsidR="00724342" w:rsidRPr="00787EA7" w:rsidRDefault="00724342" w:rsidP="00724342">
      <w:pPr>
        <w:tabs>
          <w:tab w:val="left" w:pos="1560"/>
        </w:tabs>
        <w:ind w:firstLine="425"/>
        <w:jc w:val="center"/>
        <w:rPr>
          <w:rFonts w:eastAsia="Calibri"/>
          <w:b/>
          <w:sz w:val="24"/>
          <w:szCs w:val="24"/>
          <w:lang w:val="en-US" w:eastAsia="en-US"/>
        </w:rPr>
      </w:pPr>
      <w:r w:rsidRPr="00787EA7">
        <w:rPr>
          <w:rFonts w:eastAsia="Calibri"/>
          <w:b/>
          <w:sz w:val="24"/>
          <w:szCs w:val="24"/>
          <w:lang w:val="en-US" w:eastAsia="en-US"/>
        </w:rPr>
        <w:t>property of individuals</w:t>
      </w:r>
    </w:p>
    <w:p w:rsidR="00724342" w:rsidRPr="00787EA7" w:rsidRDefault="00724342" w:rsidP="00724342">
      <w:pPr>
        <w:tabs>
          <w:tab w:val="left" w:pos="1560"/>
        </w:tabs>
        <w:ind w:firstLine="425"/>
        <w:jc w:val="center"/>
        <w:rPr>
          <w:i/>
          <w:sz w:val="22"/>
          <w:szCs w:val="22"/>
          <w:lang w:val="en-US"/>
        </w:rPr>
      </w:pPr>
    </w:p>
    <w:p w:rsidR="00724342" w:rsidRPr="00787EA7" w:rsidRDefault="00724342" w:rsidP="00724342">
      <w:pPr>
        <w:tabs>
          <w:tab w:val="left" w:pos="1560"/>
        </w:tabs>
        <w:ind w:firstLine="425"/>
        <w:jc w:val="right"/>
        <w:rPr>
          <w:sz w:val="22"/>
          <w:szCs w:val="22"/>
        </w:rPr>
      </w:pPr>
      <w:r w:rsidRPr="00787EA7">
        <w:rPr>
          <w:sz w:val="22"/>
          <w:szCs w:val="22"/>
        </w:rPr>
        <w:t>Коновалов Н. А.,</w:t>
      </w:r>
    </w:p>
    <w:p w:rsidR="00724342" w:rsidRPr="00787EA7" w:rsidRDefault="00724342" w:rsidP="00724342">
      <w:pPr>
        <w:tabs>
          <w:tab w:val="left" w:pos="1560"/>
        </w:tabs>
        <w:ind w:firstLine="425"/>
        <w:jc w:val="right"/>
        <w:rPr>
          <w:sz w:val="22"/>
          <w:szCs w:val="22"/>
        </w:rPr>
      </w:pPr>
      <w:r w:rsidRPr="00787EA7">
        <w:rPr>
          <w:sz w:val="22"/>
          <w:szCs w:val="22"/>
        </w:rPr>
        <w:t>студент 2-го курса факультета «Финансы и кредит»</w:t>
      </w:r>
    </w:p>
    <w:p w:rsidR="00724342" w:rsidRPr="00787EA7" w:rsidRDefault="00724342" w:rsidP="00724342">
      <w:pPr>
        <w:tabs>
          <w:tab w:val="left" w:pos="1560"/>
        </w:tabs>
        <w:ind w:firstLine="425"/>
        <w:jc w:val="right"/>
        <w:rPr>
          <w:sz w:val="22"/>
          <w:szCs w:val="22"/>
        </w:rPr>
      </w:pPr>
      <w:r w:rsidRPr="00787EA7">
        <w:rPr>
          <w:sz w:val="22"/>
          <w:szCs w:val="22"/>
        </w:rPr>
        <w:t>Гагай И. В.,</w:t>
      </w:r>
    </w:p>
    <w:p w:rsidR="00724342" w:rsidRPr="00787EA7" w:rsidRDefault="00724342" w:rsidP="00724342">
      <w:pPr>
        <w:tabs>
          <w:tab w:val="left" w:pos="1560"/>
        </w:tabs>
        <w:ind w:firstLine="425"/>
        <w:jc w:val="right"/>
        <w:rPr>
          <w:sz w:val="22"/>
          <w:szCs w:val="22"/>
        </w:rPr>
      </w:pPr>
      <w:r w:rsidRPr="00787EA7">
        <w:rPr>
          <w:sz w:val="22"/>
          <w:szCs w:val="22"/>
        </w:rPr>
        <w:t>старший преподаватель кафедры финансов</w:t>
      </w:r>
    </w:p>
    <w:p w:rsidR="00724342" w:rsidRPr="00787EA7" w:rsidRDefault="00724342" w:rsidP="00724342">
      <w:pPr>
        <w:tabs>
          <w:tab w:val="left" w:pos="1560"/>
        </w:tabs>
        <w:ind w:firstLine="425"/>
        <w:jc w:val="right"/>
        <w:rPr>
          <w:sz w:val="22"/>
          <w:szCs w:val="22"/>
        </w:rPr>
      </w:pPr>
      <w:r w:rsidRPr="00787EA7">
        <w:rPr>
          <w:sz w:val="22"/>
          <w:szCs w:val="22"/>
        </w:rPr>
        <w:t xml:space="preserve">Кубанский государственный аграрный </w:t>
      </w:r>
    </w:p>
    <w:p w:rsidR="00724342" w:rsidRPr="00787EA7" w:rsidRDefault="00724342" w:rsidP="00724342">
      <w:pPr>
        <w:tabs>
          <w:tab w:val="left" w:pos="1560"/>
        </w:tabs>
        <w:ind w:firstLine="425"/>
        <w:jc w:val="right"/>
        <w:rPr>
          <w:sz w:val="22"/>
          <w:szCs w:val="22"/>
        </w:rPr>
      </w:pPr>
      <w:r w:rsidRPr="00787EA7">
        <w:rPr>
          <w:sz w:val="22"/>
          <w:szCs w:val="22"/>
        </w:rPr>
        <w:t>университет имени И. Т. Трубилина</w:t>
      </w:r>
    </w:p>
    <w:p w:rsidR="00724342" w:rsidRPr="00787EA7" w:rsidRDefault="00724342" w:rsidP="00724342">
      <w:pPr>
        <w:tabs>
          <w:tab w:val="left" w:pos="1560"/>
        </w:tabs>
        <w:ind w:firstLine="425"/>
        <w:jc w:val="right"/>
        <w:rPr>
          <w:i/>
          <w:sz w:val="22"/>
          <w:szCs w:val="22"/>
        </w:rPr>
      </w:pPr>
    </w:p>
    <w:p w:rsidR="00724342" w:rsidRPr="00787EA7" w:rsidRDefault="006167FC" w:rsidP="00724342">
      <w:pPr>
        <w:tabs>
          <w:tab w:val="left" w:pos="1560"/>
        </w:tabs>
        <w:ind w:firstLine="425"/>
        <w:jc w:val="both"/>
        <w:rPr>
          <w:rFonts w:eastAsia="Calibri"/>
          <w:sz w:val="22"/>
          <w:szCs w:val="22"/>
        </w:rPr>
      </w:pPr>
      <w:r>
        <w:rPr>
          <w:sz w:val="22"/>
          <w:szCs w:val="22"/>
        </w:rPr>
        <w:t>АННОТАЦИЯ:</w:t>
      </w:r>
      <w:r w:rsidR="00724342" w:rsidRPr="00787EA7">
        <w:rPr>
          <w:sz w:val="22"/>
          <w:szCs w:val="22"/>
        </w:rPr>
        <w:t xml:space="preserve"> Рассматриваются </w:t>
      </w:r>
      <w:r w:rsidR="00724342" w:rsidRPr="00787EA7">
        <w:rPr>
          <w:rFonts w:eastAsia="Calibri"/>
          <w:sz w:val="22"/>
          <w:szCs w:val="22"/>
        </w:rPr>
        <w:t>актуальные вопросы измен</w:t>
      </w:r>
      <w:r w:rsidR="00724342" w:rsidRPr="00787EA7">
        <w:rPr>
          <w:rFonts w:eastAsia="Calibri"/>
          <w:sz w:val="22"/>
          <w:szCs w:val="22"/>
        </w:rPr>
        <w:t>е</w:t>
      </w:r>
      <w:r w:rsidR="00724342" w:rsidRPr="00787EA7">
        <w:rPr>
          <w:rFonts w:eastAsia="Calibri"/>
          <w:sz w:val="22"/>
          <w:szCs w:val="22"/>
        </w:rPr>
        <w:t>ния исчисления имущественного налога. Приводится сравнител</w:t>
      </w:r>
      <w:r w:rsidR="00724342" w:rsidRPr="00787EA7">
        <w:rPr>
          <w:rFonts w:eastAsia="Calibri"/>
          <w:sz w:val="22"/>
          <w:szCs w:val="22"/>
        </w:rPr>
        <w:t>ь</w:t>
      </w:r>
      <w:r w:rsidR="00724342" w:rsidRPr="00787EA7">
        <w:rPr>
          <w:rFonts w:eastAsia="Calibri"/>
          <w:sz w:val="22"/>
          <w:szCs w:val="22"/>
        </w:rPr>
        <w:t>ный анализ налога на имущество физических лиц, рассчитанный в процентах от инвентаризационной и от кадастровой стоимостей.</w:t>
      </w:r>
    </w:p>
    <w:p w:rsidR="00724342" w:rsidRPr="00787EA7" w:rsidRDefault="006167FC" w:rsidP="00724342">
      <w:pPr>
        <w:tabs>
          <w:tab w:val="left" w:pos="1560"/>
        </w:tabs>
        <w:ind w:firstLine="425"/>
        <w:jc w:val="both"/>
        <w:rPr>
          <w:sz w:val="22"/>
          <w:szCs w:val="22"/>
          <w:lang w:val="en-US"/>
        </w:rPr>
      </w:pPr>
      <w:r>
        <w:rPr>
          <w:sz w:val="22"/>
          <w:szCs w:val="22"/>
          <w:lang w:val="en-US"/>
        </w:rPr>
        <w:t>ANNOTATION</w:t>
      </w:r>
      <w:r w:rsidRPr="006167FC">
        <w:rPr>
          <w:sz w:val="22"/>
          <w:szCs w:val="22"/>
          <w:lang w:val="en-US"/>
        </w:rPr>
        <w:t>:</w:t>
      </w:r>
      <w:r w:rsidR="00724342" w:rsidRPr="00787EA7">
        <w:rPr>
          <w:sz w:val="22"/>
          <w:szCs w:val="22"/>
          <w:lang w:val="en-US"/>
        </w:rPr>
        <w:t xml:space="preserve"> Topical issues of changes in the calculation of property tax are considered.</w:t>
      </w:r>
      <w:r w:rsidR="00724342" w:rsidRPr="00787EA7">
        <w:rPr>
          <w:rFonts w:ascii="Calibri" w:eastAsia="Calibri" w:hAnsi="Calibri"/>
          <w:sz w:val="22"/>
          <w:szCs w:val="22"/>
          <w:lang w:val="en-US" w:eastAsia="en-US"/>
        </w:rPr>
        <w:t xml:space="preserve"> </w:t>
      </w:r>
      <w:r w:rsidR="00724342" w:rsidRPr="00787EA7">
        <w:rPr>
          <w:sz w:val="22"/>
          <w:szCs w:val="22"/>
          <w:lang w:val="en-US"/>
        </w:rPr>
        <w:t>A comparative analysis of the personal property tax calculated as a percentage of inventory and cadastral values is presented.</w:t>
      </w:r>
    </w:p>
    <w:p w:rsidR="00724342" w:rsidRPr="00787EA7" w:rsidRDefault="00724342" w:rsidP="00724342">
      <w:pPr>
        <w:tabs>
          <w:tab w:val="left" w:pos="1560"/>
        </w:tabs>
        <w:ind w:firstLine="425"/>
        <w:jc w:val="both"/>
        <w:rPr>
          <w:sz w:val="22"/>
          <w:szCs w:val="22"/>
        </w:rPr>
      </w:pPr>
      <w:r w:rsidRPr="00787EA7">
        <w:rPr>
          <w:sz w:val="22"/>
          <w:szCs w:val="22"/>
        </w:rPr>
        <w:t>КЛЮЧЕВЫЕ СЛОВА: имущественный налог, инвентаризац</w:t>
      </w:r>
      <w:r w:rsidRPr="00787EA7">
        <w:rPr>
          <w:sz w:val="22"/>
          <w:szCs w:val="22"/>
        </w:rPr>
        <w:t>и</w:t>
      </w:r>
      <w:r w:rsidRPr="00787EA7">
        <w:rPr>
          <w:sz w:val="22"/>
          <w:szCs w:val="22"/>
        </w:rPr>
        <w:t>онная стоимость, кадастровая стоимость.</w:t>
      </w:r>
    </w:p>
    <w:p w:rsidR="00724342" w:rsidRPr="00787EA7" w:rsidRDefault="00724342" w:rsidP="00724342">
      <w:pPr>
        <w:tabs>
          <w:tab w:val="left" w:pos="1560"/>
        </w:tabs>
        <w:ind w:firstLine="425"/>
        <w:jc w:val="both"/>
        <w:rPr>
          <w:sz w:val="22"/>
          <w:szCs w:val="22"/>
          <w:lang w:val="en-US"/>
        </w:rPr>
      </w:pPr>
      <w:r w:rsidRPr="00787EA7">
        <w:rPr>
          <w:sz w:val="22"/>
          <w:szCs w:val="22"/>
          <w:lang w:val="en-US"/>
        </w:rPr>
        <w:t>KEYWORDS: property taxes,</w:t>
      </w:r>
      <w:r w:rsidRPr="00787EA7">
        <w:rPr>
          <w:rFonts w:ascii="Calibri" w:eastAsia="Calibri" w:hAnsi="Calibri"/>
          <w:sz w:val="22"/>
          <w:szCs w:val="22"/>
          <w:lang w:val="en-US" w:eastAsia="en-US"/>
        </w:rPr>
        <w:t xml:space="preserve"> </w:t>
      </w:r>
      <w:r w:rsidRPr="00787EA7">
        <w:rPr>
          <w:sz w:val="22"/>
          <w:szCs w:val="22"/>
          <w:lang w:val="en-US"/>
        </w:rPr>
        <w:t>inventory cost,</w:t>
      </w:r>
      <w:r w:rsidRPr="00787EA7">
        <w:rPr>
          <w:rFonts w:ascii="Calibri" w:eastAsia="Calibri" w:hAnsi="Calibri"/>
          <w:sz w:val="22"/>
          <w:szCs w:val="22"/>
          <w:lang w:val="en-US" w:eastAsia="en-US"/>
        </w:rPr>
        <w:t xml:space="preserve"> </w:t>
      </w:r>
      <w:r w:rsidRPr="00787EA7">
        <w:rPr>
          <w:sz w:val="22"/>
          <w:szCs w:val="22"/>
          <w:lang w:val="en-US"/>
        </w:rPr>
        <w:t>cadastral value.</w:t>
      </w:r>
    </w:p>
    <w:p w:rsidR="00724342" w:rsidRPr="00787EA7" w:rsidRDefault="00724342" w:rsidP="00724342">
      <w:pPr>
        <w:tabs>
          <w:tab w:val="left" w:pos="1560"/>
        </w:tabs>
        <w:ind w:firstLine="425"/>
        <w:jc w:val="both"/>
        <w:rPr>
          <w:sz w:val="22"/>
          <w:szCs w:val="22"/>
          <w:lang w:val="en-US"/>
        </w:rPr>
      </w:pPr>
    </w:p>
    <w:p w:rsidR="00724342" w:rsidRPr="00787EA7" w:rsidRDefault="00724342" w:rsidP="00724342">
      <w:pPr>
        <w:shd w:val="clear" w:color="auto" w:fill="FFFFFF"/>
        <w:ind w:firstLine="425"/>
        <w:jc w:val="both"/>
        <w:rPr>
          <w:sz w:val="22"/>
          <w:szCs w:val="22"/>
        </w:rPr>
      </w:pPr>
      <w:r w:rsidRPr="00787EA7">
        <w:rPr>
          <w:sz w:val="22"/>
          <w:szCs w:val="22"/>
        </w:rPr>
        <w:t>В настоящее время кадастровая оценка недвижимости является важным элементом системы налогообложения недвижимого им</w:t>
      </w:r>
      <w:r w:rsidRPr="00787EA7">
        <w:rPr>
          <w:sz w:val="22"/>
          <w:szCs w:val="22"/>
        </w:rPr>
        <w:t>у</w:t>
      </w:r>
      <w:r w:rsidRPr="00787EA7">
        <w:rPr>
          <w:sz w:val="22"/>
          <w:szCs w:val="22"/>
        </w:rPr>
        <w:t xml:space="preserve">щества. В целях повышения эффективности налоговой политики в России проводится реформирование системы налогообложения в части введения налога на недвижимость и установления в качестве базы налога кадастровой стоимости недвижимости. </w:t>
      </w:r>
      <w:r w:rsidRPr="00787EA7">
        <w:rPr>
          <w:bCs/>
          <w:sz w:val="22"/>
          <w:szCs w:val="22"/>
        </w:rPr>
        <w:t>Принятые зак</w:t>
      </w:r>
      <w:r w:rsidRPr="00787EA7">
        <w:rPr>
          <w:bCs/>
          <w:sz w:val="22"/>
          <w:szCs w:val="22"/>
        </w:rPr>
        <w:t>о</w:t>
      </w:r>
      <w:r w:rsidRPr="00787EA7">
        <w:rPr>
          <w:bCs/>
          <w:sz w:val="22"/>
          <w:szCs w:val="22"/>
        </w:rPr>
        <w:t>ном № 52-ФЗ поправки в Налоговый кодекс, вступившие в силу 1 января 2015 года, исключили инвентаризационную стоимость из объекта налогообложения, основой налогообложения стала выст</w:t>
      </w:r>
      <w:r w:rsidRPr="00787EA7">
        <w:rPr>
          <w:bCs/>
          <w:sz w:val="22"/>
          <w:szCs w:val="22"/>
        </w:rPr>
        <w:t>у</w:t>
      </w:r>
      <w:r w:rsidRPr="00787EA7">
        <w:rPr>
          <w:bCs/>
          <w:sz w:val="22"/>
          <w:szCs w:val="22"/>
        </w:rPr>
        <w:t xml:space="preserve">пать кадастровая стоимость, а </w:t>
      </w:r>
      <w:r w:rsidRPr="00787EA7">
        <w:rPr>
          <w:sz w:val="22"/>
          <w:szCs w:val="22"/>
        </w:rPr>
        <w:t>объектами налогообложения по налогу на имущество физических лиц стали: жилой дом, жилое помещение (квартира, комната), гараж, машиноместо, единый н</w:t>
      </w:r>
      <w:r w:rsidRPr="00787EA7">
        <w:rPr>
          <w:sz w:val="22"/>
          <w:szCs w:val="22"/>
        </w:rPr>
        <w:t>е</w:t>
      </w:r>
      <w:r w:rsidRPr="00787EA7">
        <w:rPr>
          <w:sz w:val="22"/>
          <w:szCs w:val="22"/>
        </w:rPr>
        <w:lastRenderedPageBreak/>
        <w:t>движимый комплекс, объект незавершенного строительства, иные здание, строения, сооружения, помещения.</w:t>
      </w:r>
      <w:r w:rsidRPr="00787EA7">
        <w:rPr>
          <w:vanish/>
          <w:sz w:val="22"/>
          <w:szCs w:val="22"/>
        </w:rPr>
        <w:t>+</w:t>
      </w:r>
      <w:r w:rsidRPr="00787EA7">
        <w:rPr>
          <w:sz w:val="22"/>
          <w:szCs w:val="22"/>
        </w:rPr>
        <w:t xml:space="preserve"> Ставки налога на им</w:t>
      </w:r>
      <w:r w:rsidRPr="00787EA7">
        <w:rPr>
          <w:sz w:val="22"/>
          <w:szCs w:val="22"/>
        </w:rPr>
        <w:t>у</w:t>
      </w:r>
      <w:r w:rsidRPr="00787EA7">
        <w:rPr>
          <w:sz w:val="22"/>
          <w:szCs w:val="22"/>
        </w:rPr>
        <w:t>щество физических лиц устанавливаются представительными орг</w:t>
      </w:r>
      <w:r w:rsidRPr="00787EA7">
        <w:rPr>
          <w:sz w:val="22"/>
          <w:szCs w:val="22"/>
        </w:rPr>
        <w:t>а</w:t>
      </w:r>
      <w:r w:rsidRPr="00787EA7">
        <w:rPr>
          <w:sz w:val="22"/>
          <w:szCs w:val="22"/>
        </w:rPr>
        <w:t>нами муниципального образования в размере, не превыша</w:t>
      </w:r>
      <w:r w:rsidRPr="00787EA7">
        <w:rPr>
          <w:sz w:val="22"/>
          <w:szCs w:val="22"/>
        </w:rPr>
        <w:t>ю</w:t>
      </w:r>
      <w:r w:rsidRPr="00787EA7">
        <w:rPr>
          <w:sz w:val="22"/>
          <w:szCs w:val="22"/>
        </w:rPr>
        <w:t>щем 0,1 % от кадастровой стоимости [1].</w:t>
      </w:r>
    </w:p>
    <w:p w:rsidR="00724342" w:rsidRPr="00787EA7" w:rsidRDefault="00724342" w:rsidP="00724342">
      <w:pPr>
        <w:tabs>
          <w:tab w:val="left" w:pos="6795"/>
        </w:tabs>
        <w:ind w:firstLine="425"/>
        <w:jc w:val="both"/>
        <w:rPr>
          <w:rFonts w:eastAsia="Calibri"/>
          <w:sz w:val="22"/>
          <w:szCs w:val="22"/>
          <w:lang w:eastAsia="en-US"/>
        </w:rPr>
      </w:pPr>
      <w:r w:rsidRPr="00787EA7">
        <w:rPr>
          <w:rFonts w:eastAsia="Calibri"/>
          <w:sz w:val="22"/>
          <w:szCs w:val="22"/>
          <w:lang w:eastAsia="en-US"/>
        </w:rPr>
        <w:t>Рассмотрим пример расчета имущественного налога за жилой дом в г. Краснодаре в кадастровом квартале 23:43:0208006 в пр</w:t>
      </w:r>
      <w:r w:rsidRPr="00787EA7">
        <w:rPr>
          <w:rFonts w:eastAsia="Calibri"/>
          <w:sz w:val="22"/>
          <w:szCs w:val="22"/>
          <w:lang w:eastAsia="en-US"/>
        </w:rPr>
        <w:t>о</w:t>
      </w:r>
      <w:r w:rsidRPr="00787EA7">
        <w:rPr>
          <w:rFonts w:eastAsia="Calibri"/>
          <w:sz w:val="22"/>
          <w:szCs w:val="22"/>
          <w:lang w:eastAsia="en-US"/>
        </w:rPr>
        <w:t>центах от инвентаризационной и от кадастровой стоимости. С</w:t>
      </w:r>
      <w:r w:rsidRPr="00787EA7">
        <w:rPr>
          <w:rFonts w:eastAsia="Calibri"/>
          <w:sz w:val="22"/>
          <w:szCs w:val="22"/>
          <w:lang w:eastAsia="en-US"/>
        </w:rPr>
        <w:t>о</w:t>
      </w:r>
      <w:r w:rsidRPr="00787EA7">
        <w:rPr>
          <w:rFonts w:eastAsia="Calibri"/>
          <w:sz w:val="22"/>
          <w:szCs w:val="22"/>
          <w:lang w:eastAsia="en-US"/>
        </w:rPr>
        <w:t>гласно данным филиала ГУП КК «Крайтехинвентаризации» инве</w:t>
      </w:r>
      <w:r w:rsidRPr="00787EA7">
        <w:rPr>
          <w:rFonts w:eastAsia="Calibri"/>
          <w:sz w:val="22"/>
          <w:szCs w:val="22"/>
          <w:lang w:eastAsia="en-US"/>
        </w:rPr>
        <w:t>н</w:t>
      </w:r>
      <w:r w:rsidRPr="00787EA7">
        <w:rPr>
          <w:rFonts w:eastAsia="Calibri"/>
          <w:sz w:val="22"/>
          <w:szCs w:val="22"/>
          <w:lang w:eastAsia="en-US"/>
        </w:rPr>
        <w:t>таризационная стоимость жилого дома составляет 480 тыс. 150 руб.</w:t>
      </w:r>
    </w:p>
    <w:p w:rsidR="00724342" w:rsidRPr="00787EA7" w:rsidRDefault="00724342" w:rsidP="00724342">
      <w:pPr>
        <w:tabs>
          <w:tab w:val="left" w:pos="6795"/>
        </w:tabs>
        <w:jc w:val="both"/>
        <w:rPr>
          <w:rFonts w:eastAsia="Calibri"/>
          <w:sz w:val="22"/>
          <w:szCs w:val="22"/>
          <w:lang w:eastAsia="en-US"/>
        </w:rPr>
      </w:pPr>
      <w:r w:rsidRPr="00787EA7">
        <w:rPr>
          <w:rFonts w:eastAsia="Calibri"/>
          <w:sz w:val="22"/>
          <w:szCs w:val="22"/>
          <w:lang w:eastAsia="en-US"/>
        </w:rPr>
        <w:t>Ставки налога на имущество физических лиц в процентах от инве</w:t>
      </w:r>
      <w:r w:rsidRPr="00787EA7">
        <w:rPr>
          <w:rFonts w:eastAsia="Calibri"/>
          <w:sz w:val="22"/>
          <w:szCs w:val="22"/>
          <w:lang w:eastAsia="en-US"/>
        </w:rPr>
        <w:t>н</w:t>
      </w:r>
      <w:r w:rsidRPr="00787EA7">
        <w:rPr>
          <w:rFonts w:eastAsia="Calibri"/>
          <w:sz w:val="22"/>
          <w:szCs w:val="22"/>
          <w:lang w:eastAsia="en-US"/>
        </w:rPr>
        <w:t>таризационной стоимости в городе Краснодаре были установлены решением городской Думы Краснодара «О налоге на имущество физических лиц » от 11.11.2010 г. № 3 п. 2, для объектов недвиж</w:t>
      </w:r>
      <w:r w:rsidRPr="00787EA7">
        <w:rPr>
          <w:rFonts w:eastAsia="Calibri"/>
          <w:sz w:val="22"/>
          <w:szCs w:val="22"/>
          <w:lang w:eastAsia="en-US"/>
        </w:rPr>
        <w:t>и</w:t>
      </w:r>
      <w:r w:rsidRPr="00787EA7">
        <w:rPr>
          <w:rFonts w:eastAsia="Calibri"/>
          <w:sz w:val="22"/>
          <w:szCs w:val="22"/>
          <w:lang w:eastAsia="en-US"/>
        </w:rPr>
        <w:t>мости, инвентаризационная стоимость которых не превышает 500 тыс. руб. в размере 0,1 %. Таким образом, имущественный налог составлял 480 руб. Кадастровая стоимость данного домовладения, согласно сведениям Единого государственного реестра недвижим</w:t>
      </w:r>
      <w:r w:rsidRPr="00787EA7">
        <w:rPr>
          <w:rFonts w:eastAsia="Calibri"/>
          <w:sz w:val="22"/>
          <w:szCs w:val="22"/>
          <w:lang w:eastAsia="en-US"/>
        </w:rPr>
        <w:t>о</w:t>
      </w:r>
      <w:r w:rsidRPr="00787EA7">
        <w:rPr>
          <w:rFonts w:eastAsia="Calibri"/>
          <w:sz w:val="22"/>
          <w:szCs w:val="22"/>
          <w:lang w:eastAsia="en-US"/>
        </w:rPr>
        <w:t>сти составляет 2 млн. 681 тыс. 210 руб. Соответственно размер имущественного налога в процентах от кадастровой стоимости с</w:t>
      </w:r>
      <w:r w:rsidRPr="00787EA7">
        <w:rPr>
          <w:rFonts w:eastAsia="Calibri"/>
          <w:sz w:val="22"/>
          <w:szCs w:val="22"/>
          <w:lang w:eastAsia="en-US"/>
        </w:rPr>
        <w:t>о</w:t>
      </w:r>
      <w:r w:rsidRPr="00787EA7">
        <w:rPr>
          <w:rFonts w:eastAsia="Calibri"/>
          <w:sz w:val="22"/>
          <w:szCs w:val="22"/>
          <w:lang w:eastAsia="en-US"/>
        </w:rPr>
        <w:t>ставит 2 тыс. 681 руб.</w:t>
      </w:r>
    </w:p>
    <w:p w:rsidR="00724342" w:rsidRPr="00787EA7" w:rsidRDefault="00724342" w:rsidP="00724342">
      <w:pPr>
        <w:tabs>
          <w:tab w:val="left" w:pos="6795"/>
        </w:tabs>
        <w:ind w:firstLine="425"/>
        <w:jc w:val="both"/>
        <w:rPr>
          <w:rFonts w:eastAsia="Calibri"/>
          <w:sz w:val="22"/>
          <w:szCs w:val="22"/>
          <w:lang w:eastAsia="en-US"/>
        </w:rPr>
      </w:pPr>
      <w:r w:rsidRPr="00787EA7">
        <w:rPr>
          <w:rFonts w:eastAsia="Calibri"/>
          <w:sz w:val="22"/>
          <w:szCs w:val="22"/>
          <w:lang w:eastAsia="en-US"/>
        </w:rPr>
        <w:t>Рассматривая приведенный выше пример можно сказать о том, что налог на имущество возрастет в 5 раз. На наш взгляд увелич</w:t>
      </w:r>
      <w:r w:rsidRPr="00787EA7">
        <w:rPr>
          <w:rFonts w:eastAsia="Calibri"/>
          <w:sz w:val="22"/>
          <w:szCs w:val="22"/>
          <w:lang w:eastAsia="en-US"/>
        </w:rPr>
        <w:t>е</w:t>
      </w:r>
      <w:r w:rsidRPr="00787EA7">
        <w:rPr>
          <w:rFonts w:eastAsia="Calibri"/>
          <w:sz w:val="22"/>
          <w:szCs w:val="22"/>
          <w:lang w:eastAsia="en-US"/>
        </w:rPr>
        <w:t>ние налогового бремени должно сопровождаться оценкой его тяж</w:t>
      </w:r>
      <w:r w:rsidRPr="00787EA7">
        <w:rPr>
          <w:rFonts w:eastAsia="Calibri"/>
          <w:sz w:val="22"/>
          <w:szCs w:val="22"/>
          <w:lang w:eastAsia="en-US"/>
        </w:rPr>
        <w:t>е</w:t>
      </w:r>
      <w:r w:rsidRPr="00787EA7">
        <w:rPr>
          <w:rFonts w:eastAsia="Calibri"/>
          <w:sz w:val="22"/>
          <w:szCs w:val="22"/>
          <w:lang w:eastAsia="en-US"/>
        </w:rPr>
        <w:t>сти для налогоплательщиков и анализом справедливости распред</w:t>
      </w:r>
      <w:r w:rsidRPr="00787EA7">
        <w:rPr>
          <w:rFonts w:eastAsia="Calibri"/>
          <w:sz w:val="22"/>
          <w:szCs w:val="22"/>
          <w:lang w:eastAsia="en-US"/>
        </w:rPr>
        <w:t>е</w:t>
      </w:r>
      <w:r w:rsidRPr="00787EA7">
        <w:rPr>
          <w:rFonts w:eastAsia="Calibri"/>
          <w:sz w:val="22"/>
          <w:szCs w:val="22"/>
          <w:lang w:eastAsia="en-US"/>
        </w:rPr>
        <w:t>ления налогового бремени между социальными слоями и группами населения страны.</w:t>
      </w:r>
    </w:p>
    <w:p w:rsidR="00CE4C84" w:rsidRPr="007543A3" w:rsidRDefault="00724342" w:rsidP="00CE4C84">
      <w:pPr>
        <w:tabs>
          <w:tab w:val="left" w:pos="6795"/>
        </w:tabs>
        <w:ind w:firstLine="425"/>
        <w:jc w:val="both"/>
        <w:rPr>
          <w:rFonts w:eastAsia="Calibri"/>
          <w:sz w:val="22"/>
          <w:szCs w:val="22"/>
          <w:lang w:eastAsia="en-US"/>
        </w:rPr>
      </w:pPr>
      <w:r w:rsidRPr="00787EA7">
        <w:rPr>
          <w:rFonts w:eastAsia="Calibri"/>
          <w:sz w:val="22"/>
          <w:szCs w:val="22"/>
          <w:lang w:eastAsia="en-US"/>
        </w:rPr>
        <w:t>Из полученных расчетов можно сделать вывод, что для перех</w:t>
      </w:r>
      <w:r w:rsidRPr="00787EA7">
        <w:rPr>
          <w:rFonts w:eastAsia="Calibri"/>
          <w:sz w:val="22"/>
          <w:szCs w:val="22"/>
          <w:lang w:eastAsia="en-US"/>
        </w:rPr>
        <w:t>о</w:t>
      </w:r>
      <w:r w:rsidRPr="00787EA7">
        <w:rPr>
          <w:rFonts w:eastAsia="Calibri"/>
          <w:sz w:val="22"/>
          <w:szCs w:val="22"/>
          <w:lang w:eastAsia="en-US"/>
        </w:rPr>
        <w:t>да к налогообложению недвижимости необходим будет некий пер</w:t>
      </w:r>
      <w:r w:rsidRPr="00787EA7">
        <w:rPr>
          <w:rFonts w:eastAsia="Calibri"/>
          <w:sz w:val="22"/>
          <w:szCs w:val="22"/>
          <w:lang w:eastAsia="en-US"/>
        </w:rPr>
        <w:t>е</w:t>
      </w:r>
      <w:r w:rsidRPr="00787EA7">
        <w:rPr>
          <w:rFonts w:eastAsia="Calibri"/>
          <w:sz w:val="22"/>
          <w:szCs w:val="22"/>
          <w:lang w:eastAsia="en-US"/>
        </w:rPr>
        <w:t>ходный период, в течение которого прежние положения НК РФ останутся действующими. Этот период может длиться от 3 до 5 лет. За это время должна быть подготовлена качественная исходная и</w:t>
      </w:r>
      <w:r w:rsidRPr="00787EA7">
        <w:rPr>
          <w:rFonts w:eastAsia="Calibri"/>
          <w:sz w:val="22"/>
          <w:szCs w:val="22"/>
          <w:lang w:eastAsia="en-US"/>
        </w:rPr>
        <w:t>н</w:t>
      </w:r>
      <w:r w:rsidRPr="00787EA7">
        <w:rPr>
          <w:rFonts w:eastAsia="Calibri"/>
          <w:sz w:val="22"/>
          <w:szCs w:val="22"/>
          <w:lang w:eastAsia="en-US"/>
        </w:rPr>
        <w:t>формация и на ее основе выполнена  кадастровая оценка всей нал</w:t>
      </w:r>
      <w:r w:rsidRPr="00787EA7">
        <w:rPr>
          <w:rFonts w:eastAsia="Calibri"/>
          <w:sz w:val="22"/>
          <w:szCs w:val="22"/>
          <w:lang w:eastAsia="en-US"/>
        </w:rPr>
        <w:t>о</w:t>
      </w:r>
      <w:r w:rsidRPr="00787EA7">
        <w:rPr>
          <w:rFonts w:eastAsia="Calibri"/>
          <w:sz w:val="22"/>
          <w:szCs w:val="22"/>
          <w:lang w:eastAsia="en-US"/>
        </w:rPr>
        <w:t>гооблагаемой недвижимости.</w:t>
      </w:r>
    </w:p>
    <w:p w:rsidR="00724342" w:rsidRPr="007543A3" w:rsidRDefault="00724342" w:rsidP="00724342">
      <w:pPr>
        <w:autoSpaceDE w:val="0"/>
        <w:autoSpaceDN w:val="0"/>
        <w:adjustRightInd w:val="0"/>
        <w:jc w:val="center"/>
        <w:outlineLvl w:val="0"/>
        <w:rPr>
          <w:rFonts w:eastAsia="Calibri"/>
          <w:sz w:val="22"/>
          <w:szCs w:val="22"/>
          <w:lang w:eastAsia="en-US"/>
        </w:rPr>
      </w:pPr>
      <w:r w:rsidRPr="007543A3">
        <w:rPr>
          <w:rFonts w:eastAsia="Calibri"/>
          <w:sz w:val="22"/>
          <w:szCs w:val="22"/>
          <w:lang w:eastAsia="en-US"/>
        </w:rPr>
        <w:t>Список литературы</w:t>
      </w:r>
    </w:p>
    <w:p w:rsidR="006167FC" w:rsidRPr="00CE4C84" w:rsidRDefault="00724342" w:rsidP="00CE4C84">
      <w:pPr>
        <w:autoSpaceDE w:val="0"/>
        <w:autoSpaceDN w:val="0"/>
        <w:adjustRightInd w:val="0"/>
        <w:ind w:firstLine="425"/>
        <w:jc w:val="both"/>
        <w:rPr>
          <w:color w:val="000000"/>
          <w:sz w:val="22"/>
          <w:szCs w:val="22"/>
        </w:rPr>
      </w:pPr>
      <w:r w:rsidRPr="00787EA7">
        <w:rPr>
          <w:color w:val="000000"/>
          <w:sz w:val="22"/>
          <w:szCs w:val="22"/>
        </w:rPr>
        <w:t xml:space="preserve">1. Налоговый кодекс Российской Федерации : ФЗ РФ от 31.07.1998 г. № 146-ФЗ : [в ред. от 19.02.2018 г.] // СПС </w:t>
      </w:r>
      <w:r w:rsidRPr="00787EA7">
        <w:rPr>
          <w:rFonts w:eastAsia="Calibri"/>
          <w:bCs/>
          <w:color w:val="000000"/>
          <w:sz w:val="22"/>
          <w:szCs w:val="22"/>
          <w:shd w:val="clear" w:color="auto" w:fill="FFFFFF"/>
        </w:rPr>
        <w:t>Консул</w:t>
      </w:r>
      <w:r w:rsidRPr="00787EA7">
        <w:rPr>
          <w:rFonts w:eastAsia="Calibri"/>
          <w:bCs/>
          <w:color w:val="000000"/>
          <w:sz w:val="22"/>
          <w:szCs w:val="22"/>
          <w:shd w:val="clear" w:color="auto" w:fill="FFFFFF"/>
        </w:rPr>
        <w:t>ь</w:t>
      </w:r>
      <w:r w:rsidRPr="00787EA7">
        <w:rPr>
          <w:rFonts w:eastAsia="Calibri"/>
          <w:bCs/>
          <w:color w:val="000000"/>
          <w:sz w:val="22"/>
          <w:szCs w:val="22"/>
          <w:shd w:val="clear" w:color="auto" w:fill="FFFFFF"/>
        </w:rPr>
        <w:t>тантПлюс. – М., 2018. – Загл. с экрана.</w:t>
      </w:r>
    </w:p>
    <w:p w:rsidR="00724342" w:rsidRPr="006167FC" w:rsidRDefault="00724342" w:rsidP="00724342">
      <w:pPr>
        <w:outlineLvl w:val="0"/>
        <w:rPr>
          <w:rFonts w:eastAsia="Calibri"/>
          <w:sz w:val="22"/>
          <w:szCs w:val="22"/>
          <w:lang w:eastAsia="en-US"/>
        </w:rPr>
      </w:pPr>
      <w:r w:rsidRPr="006167FC">
        <w:rPr>
          <w:rFonts w:eastAsia="Calibri"/>
          <w:sz w:val="22"/>
          <w:szCs w:val="22"/>
          <w:lang w:eastAsia="en-US"/>
        </w:rPr>
        <w:lastRenderedPageBreak/>
        <w:t>УДК 005.95</w:t>
      </w:r>
    </w:p>
    <w:p w:rsidR="00724342" w:rsidRPr="00787EA7" w:rsidRDefault="00724342" w:rsidP="00724342">
      <w:pPr>
        <w:jc w:val="center"/>
        <w:rPr>
          <w:rFonts w:eastAsia="Calibri"/>
          <w:b/>
          <w:sz w:val="20"/>
          <w:szCs w:val="20"/>
          <w:lang w:eastAsia="en-US"/>
        </w:rPr>
      </w:pPr>
    </w:p>
    <w:p w:rsidR="00724342" w:rsidRPr="00787EA7" w:rsidRDefault="00724342" w:rsidP="00724342">
      <w:pPr>
        <w:jc w:val="center"/>
        <w:rPr>
          <w:rFonts w:eastAsia="Calibri"/>
          <w:b/>
          <w:sz w:val="24"/>
          <w:szCs w:val="24"/>
          <w:lang w:eastAsia="en-US"/>
        </w:rPr>
      </w:pPr>
      <w:r w:rsidRPr="00787EA7">
        <w:rPr>
          <w:rFonts w:eastAsia="Calibri"/>
          <w:b/>
          <w:sz w:val="24"/>
          <w:szCs w:val="24"/>
          <w:lang w:eastAsia="en-US"/>
        </w:rPr>
        <w:t xml:space="preserve">Выбор и реализация стратегии управления персоналом </w:t>
      </w:r>
      <w:r w:rsidR="006167FC">
        <w:rPr>
          <w:rFonts w:eastAsia="Calibri"/>
          <w:b/>
          <w:sz w:val="24"/>
          <w:szCs w:val="24"/>
          <w:lang w:eastAsia="en-US"/>
        </w:rPr>
        <w:br/>
      </w:r>
      <w:r w:rsidRPr="00787EA7">
        <w:rPr>
          <w:rFonts w:eastAsia="Calibri"/>
          <w:b/>
          <w:sz w:val="24"/>
          <w:szCs w:val="24"/>
          <w:lang w:eastAsia="en-US"/>
        </w:rPr>
        <w:t>организации</w:t>
      </w:r>
    </w:p>
    <w:p w:rsidR="00724342" w:rsidRPr="008D33CB" w:rsidRDefault="00724342" w:rsidP="007543A3">
      <w:pPr>
        <w:jc w:val="center"/>
        <w:rPr>
          <w:rFonts w:eastAsia="Calibri"/>
          <w:b/>
          <w:sz w:val="24"/>
          <w:szCs w:val="24"/>
          <w:lang w:val="en-US" w:eastAsia="en-US"/>
        </w:rPr>
      </w:pPr>
      <w:r w:rsidRPr="00787EA7">
        <w:rPr>
          <w:rFonts w:eastAsia="Calibri"/>
          <w:b/>
          <w:sz w:val="24"/>
          <w:szCs w:val="24"/>
          <w:lang w:val="en-US" w:eastAsia="en-US"/>
        </w:rPr>
        <w:t>The</w:t>
      </w:r>
      <w:r w:rsidRPr="00C56F2E">
        <w:rPr>
          <w:rFonts w:eastAsia="Calibri"/>
          <w:b/>
          <w:sz w:val="24"/>
          <w:szCs w:val="24"/>
          <w:lang w:val="en-US" w:eastAsia="en-US"/>
        </w:rPr>
        <w:t xml:space="preserve"> </w:t>
      </w:r>
      <w:r w:rsidRPr="00787EA7">
        <w:rPr>
          <w:rFonts w:eastAsia="Calibri"/>
          <w:b/>
          <w:sz w:val="24"/>
          <w:szCs w:val="24"/>
          <w:lang w:val="en-US" w:eastAsia="en-US"/>
        </w:rPr>
        <w:t>selection</w:t>
      </w:r>
      <w:r w:rsidRPr="00C56F2E">
        <w:rPr>
          <w:rFonts w:eastAsia="Calibri"/>
          <w:b/>
          <w:sz w:val="24"/>
          <w:szCs w:val="24"/>
          <w:lang w:val="en-US" w:eastAsia="en-US"/>
        </w:rPr>
        <w:t xml:space="preserve"> </w:t>
      </w:r>
      <w:r w:rsidRPr="00787EA7">
        <w:rPr>
          <w:rFonts w:eastAsia="Calibri"/>
          <w:b/>
          <w:sz w:val="24"/>
          <w:szCs w:val="24"/>
          <w:lang w:val="en-US" w:eastAsia="en-US"/>
        </w:rPr>
        <w:t>and</w:t>
      </w:r>
      <w:r w:rsidRPr="00C56F2E">
        <w:rPr>
          <w:rFonts w:eastAsia="Calibri"/>
          <w:b/>
          <w:sz w:val="24"/>
          <w:szCs w:val="24"/>
          <w:lang w:val="en-US" w:eastAsia="en-US"/>
        </w:rPr>
        <w:t xml:space="preserve"> </w:t>
      </w:r>
      <w:r w:rsidRPr="00787EA7">
        <w:rPr>
          <w:rFonts w:eastAsia="Calibri"/>
          <w:b/>
          <w:sz w:val="24"/>
          <w:szCs w:val="24"/>
          <w:lang w:val="en-US" w:eastAsia="en-US"/>
        </w:rPr>
        <w:t>implementation</w:t>
      </w:r>
      <w:r w:rsidRPr="00C56F2E">
        <w:rPr>
          <w:rFonts w:eastAsia="Calibri"/>
          <w:b/>
          <w:sz w:val="24"/>
          <w:szCs w:val="24"/>
          <w:lang w:val="en-US" w:eastAsia="en-US"/>
        </w:rPr>
        <w:t xml:space="preserve"> </w:t>
      </w:r>
      <w:r w:rsidRPr="00787EA7">
        <w:rPr>
          <w:rFonts w:eastAsia="Calibri"/>
          <w:b/>
          <w:sz w:val="24"/>
          <w:szCs w:val="24"/>
          <w:lang w:val="en-US" w:eastAsia="en-US"/>
        </w:rPr>
        <w:t>of</w:t>
      </w:r>
      <w:r w:rsidRPr="00C56F2E">
        <w:rPr>
          <w:rFonts w:eastAsia="Calibri"/>
          <w:b/>
          <w:sz w:val="24"/>
          <w:szCs w:val="24"/>
          <w:lang w:val="en-US" w:eastAsia="en-US"/>
        </w:rPr>
        <w:t xml:space="preserve"> </w:t>
      </w:r>
      <w:r w:rsidRPr="00787EA7">
        <w:rPr>
          <w:rFonts w:eastAsia="Calibri"/>
          <w:b/>
          <w:sz w:val="24"/>
          <w:szCs w:val="24"/>
          <w:lang w:val="en-US" w:eastAsia="en-US"/>
        </w:rPr>
        <w:t>enterprise</w:t>
      </w:r>
      <w:r w:rsidRPr="00C56F2E">
        <w:rPr>
          <w:rFonts w:eastAsia="Calibri"/>
          <w:b/>
          <w:sz w:val="24"/>
          <w:szCs w:val="24"/>
          <w:lang w:val="en-US" w:eastAsia="en-US"/>
        </w:rPr>
        <w:t xml:space="preserve"> </w:t>
      </w:r>
      <w:r w:rsidRPr="00787EA7">
        <w:rPr>
          <w:rFonts w:eastAsia="Calibri"/>
          <w:b/>
          <w:sz w:val="24"/>
          <w:szCs w:val="24"/>
          <w:lang w:val="en-US" w:eastAsia="en-US"/>
        </w:rPr>
        <w:t>human</w:t>
      </w:r>
      <w:r w:rsidRPr="00C56F2E">
        <w:rPr>
          <w:rFonts w:eastAsia="Calibri"/>
          <w:b/>
          <w:sz w:val="24"/>
          <w:szCs w:val="24"/>
          <w:lang w:val="en-US" w:eastAsia="en-US"/>
        </w:rPr>
        <w:t xml:space="preserve"> </w:t>
      </w:r>
      <w:r w:rsidR="00CE4C84" w:rsidRPr="00CE4C84">
        <w:rPr>
          <w:rFonts w:eastAsia="Calibri"/>
          <w:b/>
          <w:sz w:val="24"/>
          <w:szCs w:val="24"/>
          <w:lang w:val="en-US" w:eastAsia="en-US"/>
        </w:rPr>
        <w:br/>
      </w:r>
      <w:r w:rsidRPr="00787EA7">
        <w:rPr>
          <w:rFonts w:eastAsia="Calibri"/>
          <w:b/>
          <w:sz w:val="24"/>
          <w:szCs w:val="24"/>
          <w:lang w:val="en-US" w:eastAsia="en-US"/>
        </w:rPr>
        <w:t>resource</w:t>
      </w:r>
      <w:r w:rsidRPr="00C56F2E">
        <w:rPr>
          <w:rFonts w:eastAsia="Calibri"/>
          <w:b/>
          <w:sz w:val="24"/>
          <w:szCs w:val="24"/>
          <w:lang w:val="en-US" w:eastAsia="en-US"/>
        </w:rPr>
        <w:t xml:space="preserve"> </w:t>
      </w:r>
      <w:r w:rsidRPr="00787EA7">
        <w:rPr>
          <w:rFonts w:eastAsia="Calibri"/>
          <w:b/>
          <w:sz w:val="24"/>
          <w:szCs w:val="24"/>
          <w:lang w:val="en-US" w:eastAsia="en-US"/>
        </w:rPr>
        <w:t>management</w:t>
      </w:r>
      <w:r w:rsidRPr="00C56F2E">
        <w:rPr>
          <w:rFonts w:eastAsia="Calibri"/>
          <w:b/>
          <w:sz w:val="24"/>
          <w:szCs w:val="24"/>
          <w:lang w:val="en-US" w:eastAsia="en-US"/>
        </w:rPr>
        <w:t xml:space="preserve"> </w:t>
      </w:r>
      <w:r w:rsidRPr="00787EA7">
        <w:rPr>
          <w:rFonts w:eastAsia="Calibri"/>
          <w:b/>
          <w:sz w:val="24"/>
          <w:szCs w:val="24"/>
          <w:lang w:val="en-US" w:eastAsia="en-US"/>
        </w:rPr>
        <w:t>strategy</w:t>
      </w:r>
    </w:p>
    <w:p w:rsidR="00CE4C84" w:rsidRPr="008D33CB" w:rsidRDefault="00CE4C84" w:rsidP="007543A3">
      <w:pPr>
        <w:jc w:val="center"/>
        <w:rPr>
          <w:rFonts w:eastAsia="Calibri"/>
          <w:b/>
          <w:sz w:val="24"/>
          <w:szCs w:val="24"/>
          <w:lang w:val="en-US" w:eastAsia="en-US"/>
        </w:rPr>
      </w:pPr>
    </w:p>
    <w:p w:rsidR="00724342" w:rsidRPr="00787EA7" w:rsidRDefault="00724342" w:rsidP="00724342">
      <w:pPr>
        <w:ind w:firstLine="426"/>
        <w:jc w:val="right"/>
        <w:rPr>
          <w:rFonts w:eastAsia="Calibri"/>
          <w:sz w:val="22"/>
          <w:szCs w:val="22"/>
          <w:lang w:eastAsia="en-US"/>
        </w:rPr>
      </w:pPr>
      <w:proofErr w:type="gramStart"/>
      <w:r w:rsidRPr="00787EA7">
        <w:rPr>
          <w:rFonts w:eastAsia="Calibri"/>
          <w:sz w:val="22"/>
          <w:szCs w:val="22"/>
          <w:lang w:eastAsia="en-US"/>
        </w:rPr>
        <w:t>Коновалов</w:t>
      </w:r>
      <w:proofErr w:type="gramEnd"/>
      <w:r w:rsidRPr="00787EA7">
        <w:rPr>
          <w:rFonts w:eastAsia="Calibri"/>
          <w:sz w:val="22"/>
          <w:szCs w:val="22"/>
          <w:lang w:eastAsia="en-US"/>
        </w:rPr>
        <w:t xml:space="preserve"> Н. А.,</w:t>
      </w:r>
    </w:p>
    <w:p w:rsidR="00724342" w:rsidRPr="00787EA7" w:rsidRDefault="00724342" w:rsidP="00724342">
      <w:pPr>
        <w:ind w:firstLine="426"/>
        <w:jc w:val="right"/>
        <w:rPr>
          <w:rFonts w:eastAsia="Calibri"/>
          <w:sz w:val="22"/>
          <w:szCs w:val="22"/>
          <w:lang w:eastAsia="en-US"/>
        </w:rPr>
      </w:pPr>
      <w:r w:rsidRPr="00787EA7">
        <w:rPr>
          <w:rFonts w:eastAsia="Calibri"/>
          <w:sz w:val="22"/>
          <w:szCs w:val="22"/>
          <w:lang w:eastAsia="en-US"/>
        </w:rPr>
        <w:t>студент 2-го курса факультета финансы и кредит</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Стукова Ю. Е.,</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доцент кафедры экономики предприятий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Кубанский государственный аграрный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университет имени И. Т. Трубилина</w:t>
      </w:r>
    </w:p>
    <w:p w:rsidR="00724342" w:rsidRPr="00787EA7" w:rsidRDefault="00724342" w:rsidP="00724342">
      <w:pPr>
        <w:ind w:firstLine="426"/>
        <w:jc w:val="right"/>
        <w:rPr>
          <w:rFonts w:eastAsia="Calibri"/>
          <w:sz w:val="22"/>
          <w:szCs w:val="22"/>
          <w:lang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АННОТАЦИЯ: В статье представлены основные цели и задачи выбора и реализации успешной стратегии управления персоналом организации.</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ABSTRACT: The article presents the main objectives and tasks of selecting and implementing a successful enterprise human resource ma</w:t>
      </w:r>
      <w:r w:rsidRPr="00787EA7">
        <w:rPr>
          <w:rFonts w:eastAsia="Calibri"/>
          <w:sz w:val="22"/>
          <w:szCs w:val="22"/>
          <w:lang w:val="en-US" w:eastAsia="en-US"/>
        </w:rPr>
        <w:t>n</w:t>
      </w:r>
      <w:r w:rsidRPr="00787EA7">
        <w:rPr>
          <w:rFonts w:eastAsia="Calibri"/>
          <w:sz w:val="22"/>
          <w:szCs w:val="22"/>
          <w:lang w:val="en-US" w:eastAsia="en-US"/>
        </w:rPr>
        <w:t>agement strategy.</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КЛЮЧЕВЫЕ СЛОВА: управление персоналом, стратегия управления, кадровая политика, стратегия организации.</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KEYWORDS: personnel management, management strategy, pe</w:t>
      </w:r>
      <w:r w:rsidRPr="00787EA7">
        <w:rPr>
          <w:rFonts w:eastAsia="Calibri"/>
          <w:sz w:val="22"/>
          <w:szCs w:val="22"/>
          <w:lang w:val="en-US" w:eastAsia="en-US"/>
        </w:rPr>
        <w:t>r</w:t>
      </w:r>
      <w:r w:rsidRPr="00787EA7">
        <w:rPr>
          <w:rFonts w:eastAsia="Calibri"/>
          <w:sz w:val="22"/>
          <w:szCs w:val="22"/>
          <w:lang w:val="en-US" w:eastAsia="en-US"/>
        </w:rPr>
        <w:t>sonnel policy, enterprise strategy.</w:t>
      </w:r>
    </w:p>
    <w:p w:rsidR="00724342" w:rsidRPr="00787EA7" w:rsidRDefault="00724342" w:rsidP="00724342">
      <w:pPr>
        <w:ind w:firstLine="426"/>
        <w:jc w:val="both"/>
        <w:rPr>
          <w:rFonts w:eastAsia="Calibri"/>
          <w:sz w:val="22"/>
          <w:szCs w:val="22"/>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 90-е годы ХХ века теория управления организациями пом</w:t>
      </w:r>
      <w:r w:rsidRPr="00787EA7">
        <w:rPr>
          <w:rFonts w:eastAsia="Calibri"/>
          <w:sz w:val="22"/>
          <w:szCs w:val="22"/>
          <w:lang w:eastAsia="en-US"/>
        </w:rPr>
        <w:t>е</w:t>
      </w:r>
      <w:r w:rsidRPr="00787EA7">
        <w:rPr>
          <w:rFonts w:eastAsia="Calibri"/>
          <w:sz w:val="22"/>
          <w:szCs w:val="22"/>
          <w:lang w:eastAsia="en-US"/>
        </w:rPr>
        <w:t>няла общую систему управления. Персонал начал считаться осно</w:t>
      </w:r>
      <w:r w:rsidRPr="00787EA7">
        <w:rPr>
          <w:rFonts w:eastAsia="Calibri"/>
          <w:sz w:val="22"/>
          <w:szCs w:val="22"/>
          <w:lang w:eastAsia="en-US"/>
        </w:rPr>
        <w:t>в</w:t>
      </w:r>
      <w:r w:rsidRPr="00787EA7">
        <w:rPr>
          <w:rFonts w:eastAsia="Calibri"/>
          <w:sz w:val="22"/>
          <w:szCs w:val="22"/>
          <w:lang w:eastAsia="en-US"/>
        </w:rPr>
        <w:t>ным ресурсом организации, что определило ее успешную деятел</w:t>
      </w:r>
      <w:r w:rsidRPr="00787EA7">
        <w:rPr>
          <w:rFonts w:eastAsia="Calibri"/>
          <w:sz w:val="22"/>
          <w:szCs w:val="22"/>
          <w:lang w:eastAsia="en-US"/>
        </w:rPr>
        <w:t>ь</w:t>
      </w:r>
      <w:r w:rsidRPr="00787EA7">
        <w:rPr>
          <w:rFonts w:eastAsia="Calibri"/>
          <w:sz w:val="22"/>
          <w:szCs w:val="22"/>
          <w:lang w:eastAsia="en-US"/>
        </w:rPr>
        <w:t>ность. Из-за перехода к рыночной экономике для менеджеров во</w:t>
      </w:r>
      <w:r w:rsidRPr="00787EA7">
        <w:rPr>
          <w:rFonts w:eastAsia="Calibri"/>
          <w:sz w:val="22"/>
          <w:szCs w:val="22"/>
          <w:lang w:eastAsia="en-US"/>
        </w:rPr>
        <w:t>з</w:t>
      </w:r>
      <w:r w:rsidRPr="00787EA7">
        <w:rPr>
          <w:rFonts w:eastAsia="Calibri"/>
          <w:sz w:val="22"/>
          <w:szCs w:val="22"/>
          <w:lang w:eastAsia="en-US"/>
        </w:rPr>
        <w:t>ник ряд принципиально новых задач, наиболее важной из которых явилось максимально возможное использование кадрового поте</w:t>
      </w:r>
      <w:r w:rsidRPr="00787EA7">
        <w:rPr>
          <w:rFonts w:eastAsia="Calibri"/>
          <w:sz w:val="22"/>
          <w:szCs w:val="22"/>
          <w:lang w:eastAsia="en-US"/>
        </w:rPr>
        <w:t>н</w:t>
      </w:r>
      <w:r w:rsidRPr="00787EA7">
        <w:rPr>
          <w:rFonts w:eastAsia="Calibri"/>
          <w:sz w:val="22"/>
          <w:szCs w:val="22"/>
          <w:lang w:eastAsia="en-US"/>
        </w:rPr>
        <w:t>циала любой организации.</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 xml:space="preserve">Изменению подхода к управлению персоналом способствовало возникновение новых условий на рынке труда, изменение трудовых отношений к производственной этике и социальным ценностям, увеличение сложности выполняемой работы и установление более высоких требований к квалификации работника, разработка более </w:t>
      </w:r>
      <w:r w:rsidRPr="00787EA7">
        <w:rPr>
          <w:rFonts w:eastAsia="Calibri"/>
          <w:sz w:val="22"/>
          <w:szCs w:val="22"/>
          <w:lang w:eastAsia="en-US"/>
        </w:rPr>
        <w:lastRenderedPageBreak/>
        <w:t>четкого трудового законодательства. Изменения на рынке труда определили необходимость определять стратегию по формиров</w:t>
      </w:r>
      <w:r w:rsidRPr="00787EA7">
        <w:rPr>
          <w:rFonts w:eastAsia="Calibri"/>
          <w:sz w:val="22"/>
          <w:szCs w:val="22"/>
          <w:lang w:eastAsia="en-US"/>
        </w:rPr>
        <w:t>а</w:t>
      </w:r>
      <w:r w:rsidRPr="00787EA7">
        <w:rPr>
          <w:rFonts w:eastAsia="Calibri"/>
          <w:sz w:val="22"/>
          <w:szCs w:val="22"/>
          <w:lang w:eastAsia="en-US"/>
        </w:rPr>
        <w:t>нию процесса управления персоналом как единой системы. Система управления персоналом – это совокупность методов, приемов, те</w:t>
      </w:r>
      <w:r w:rsidRPr="00787EA7">
        <w:rPr>
          <w:rFonts w:eastAsia="Calibri"/>
          <w:sz w:val="22"/>
          <w:szCs w:val="22"/>
          <w:lang w:eastAsia="en-US"/>
        </w:rPr>
        <w:t>х</w:t>
      </w:r>
      <w:r w:rsidRPr="00787EA7">
        <w:rPr>
          <w:rFonts w:eastAsia="Calibri"/>
          <w:sz w:val="22"/>
          <w:szCs w:val="22"/>
          <w:lang w:eastAsia="en-US"/>
        </w:rPr>
        <w:t>нологий организации работы с персоналом на предприятиях ра</w:t>
      </w:r>
      <w:r w:rsidRPr="00787EA7">
        <w:rPr>
          <w:rFonts w:eastAsia="Calibri"/>
          <w:sz w:val="22"/>
          <w:szCs w:val="22"/>
          <w:lang w:eastAsia="en-US"/>
        </w:rPr>
        <w:t>з</w:t>
      </w:r>
      <w:r w:rsidRPr="00787EA7">
        <w:rPr>
          <w:rFonts w:eastAsia="Calibri"/>
          <w:sz w:val="22"/>
          <w:szCs w:val="22"/>
          <w:lang w:eastAsia="en-US"/>
        </w:rPr>
        <w:t>личных организационно-правовых форм. Она должна обеспечивать непрерывное совершенствование методов работы с кадрами [3].</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Для этого желательно оптимизировать влияние аспектов управления на сотрудников с помощью выполнения следующих правил:</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руководители организацией и службы управления персон</w:t>
      </w:r>
      <w:r w:rsidRPr="00787EA7">
        <w:rPr>
          <w:rFonts w:eastAsia="Calibri"/>
          <w:sz w:val="22"/>
          <w:szCs w:val="22"/>
          <w:lang w:eastAsia="en-US"/>
        </w:rPr>
        <w:t>а</w:t>
      </w:r>
      <w:r w:rsidRPr="00787EA7">
        <w:rPr>
          <w:rFonts w:eastAsia="Calibri"/>
          <w:sz w:val="22"/>
          <w:szCs w:val="22"/>
          <w:lang w:eastAsia="en-US"/>
        </w:rPr>
        <w:t>лом должны не только обеспечивать своевременное получение всех ресурсов, необходимых для реализации проекта, но также иметь план реализации стратегии в виде целевых показателей для состо</w:t>
      </w:r>
      <w:r w:rsidRPr="00787EA7">
        <w:rPr>
          <w:rFonts w:eastAsia="Calibri"/>
          <w:sz w:val="22"/>
          <w:szCs w:val="22"/>
          <w:lang w:eastAsia="en-US"/>
        </w:rPr>
        <w:t>я</w:t>
      </w:r>
      <w:r w:rsidRPr="00787EA7">
        <w:rPr>
          <w:rFonts w:eastAsia="Calibri"/>
          <w:sz w:val="22"/>
          <w:szCs w:val="22"/>
          <w:lang w:eastAsia="en-US"/>
        </w:rPr>
        <w:t>ния и развития трудового потенциала;</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всех сотрудников организации следует своевременно и тщ</w:t>
      </w:r>
      <w:r w:rsidRPr="00787EA7">
        <w:rPr>
          <w:rFonts w:eastAsia="Calibri"/>
          <w:sz w:val="22"/>
          <w:szCs w:val="22"/>
          <w:lang w:eastAsia="en-US"/>
        </w:rPr>
        <w:t>а</w:t>
      </w:r>
      <w:r w:rsidRPr="00787EA7">
        <w:rPr>
          <w:rFonts w:eastAsia="Calibri"/>
          <w:sz w:val="22"/>
          <w:szCs w:val="22"/>
          <w:lang w:eastAsia="en-US"/>
        </w:rPr>
        <w:t>тельно информировать о целях, задачах и стратегиях для достиж</w:t>
      </w:r>
      <w:r w:rsidRPr="00787EA7">
        <w:rPr>
          <w:rFonts w:eastAsia="Calibri"/>
          <w:sz w:val="22"/>
          <w:szCs w:val="22"/>
          <w:lang w:eastAsia="en-US"/>
        </w:rPr>
        <w:t>е</w:t>
      </w:r>
      <w:r w:rsidRPr="00787EA7">
        <w:rPr>
          <w:rFonts w:eastAsia="Calibri"/>
          <w:sz w:val="22"/>
          <w:szCs w:val="22"/>
          <w:lang w:eastAsia="en-US"/>
        </w:rPr>
        <w:t>ния с их стороны не только понимания того, что делает организ</w:t>
      </w:r>
      <w:r w:rsidRPr="00787EA7">
        <w:rPr>
          <w:rFonts w:eastAsia="Calibri"/>
          <w:sz w:val="22"/>
          <w:szCs w:val="22"/>
          <w:lang w:eastAsia="en-US"/>
        </w:rPr>
        <w:t>а</w:t>
      </w:r>
      <w:r w:rsidRPr="00787EA7">
        <w:rPr>
          <w:rFonts w:eastAsia="Calibri"/>
          <w:sz w:val="22"/>
          <w:szCs w:val="22"/>
          <w:lang w:eastAsia="en-US"/>
        </w:rPr>
        <w:t>ция, но и привлечения их к процессу реализации стратегий, в час</w:t>
      </w:r>
      <w:r w:rsidRPr="00787EA7">
        <w:rPr>
          <w:rFonts w:eastAsia="Calibri"/>
          <w:sz w:val="22"/>
          <w:szCs w:val="22"/>
          <w:lang w:eastAsia="en-US"/>
        </w:rPr>
        <w:t>т</w:t>
      </w:r>
      <w:r w:rsidRPr="00787EA7">
        <w:rPr>
          <w:rFonts w:eastAsia="Calibri"/>
          <w:sz w:val="22"/>
          <w:szCs w:val="22"/>
          <w:lang w:eastAsia="en-US"/>
        </w:rPr>
        <w:t>ности, выработки обязательств у сотрудников перед организацией по реализации стратегии.</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Целью процесса реализации стратегии является обеспечение скоординированной разработки и реализации стратегических пл</w:t>
      </w:r>
      <w:r w:rsidRPr="00787EA7">
        <w:rPr>
          <w:rFonts w:eastAsia="Calibri"/>
          <w:sz w:val="22"/>
          <w:szCs w:val="22"/>
          <w:lang w:eastAsia="en-US"/>
        </w:rPr>
        <w:t>а</w:t>
      </w:r>
      <w:r w:rsidRPr="00787EA7">
        <w:rPr>
          <w:rFonts w:eastAsia="Calibri"/>
          <w:sz w:val="22"/>
          <w:szCs w:val="22"/>
          <w:lang w:eastAsia="en-US"/>
        </w:rPr>
        <w:t>нов структурных подразделений организации.</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При выполнении стратегии решаются 3 задачи:</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Во-первых, обозначается приоритетность среди администр</w:t>
      </w:r>
      <w:r w:rsidRPr="00787EA7">
        <w:rPr>
          <w:rFonts w:eastAsia="Calibri"/>
          <w:sz w:val="22"/>
          <w:szCs w:val="22"/>
          <w:lang w:eastAsia="en-US"/>
        </w:rPr>
        <w:t>а</w:t>
      </w:r>
      <w:r w:rsidRPr="00787EA7">
        <w:rPr>
          <w:rFonts w:eastAsia="Calibri"/>
          <w:sz w:val="22"/>
          <w:szCs w:val="22"/>
          <w:lang w:eastAsia="en-US"/>
        </w:rPr>
        <w:t>тивных задач (задач общего руководства) с тем, чтобы их относ</w:t>
      </w:r>
      <w:r w:rsidRPr="00787EA7">
        <w:rPr>
          <w:rFonts w:eastAsia="Calibri"/>
          <w:sz w:val="22"/>
          <w:szCs w:val="22"/>
          <w:lang w:eastAsia="en-US"/>
        </w:rPr>
        <w:t>и</w:t>
      </w:r>
      <w:r w:rsidRPr="00787EA7">
        <w:rPr>
          <w:rFonts w:eastAsia="Calibri"/>
          <w:sz w:val="22"/>
          <w:szCs w:val="22"/>
          <w:lang w:eastAsia="en-US"/>
        </w:rPr>
        <w:t>тельная значимость соответствовала той стратегии управления пе</w:t>
      </w:r>
      <w:r w:rsidRPr="00787EA7">
        <w:rPr>
          <w:rFonts w:eastAsia="Calibri"/>
          <w:sz w:val="22"/>
          <w:szCs w:val="22"/>
          <w:lang w:eastAsia="en-US"/>
        </w:rPr>
        <w:t>р</w:t>
      </w:r>
      <w:r w:rsidRPr="00787EA7">
        <w:rPr>
          <w:rFonts w:eastAsia="Calibri"/>
          <w:sz w:val="22"/>
          <w:szCs w:val="22"/>
          <w:lang w:eastAsia="en-US"/>
        </w:rPr>
        <w:t>соналом, которую будет реализовывать система стратегического управления персоналом и организация.</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Во-вторых, устанавливается соответствие между выбранной стратегией управления персоналом и внутриорганизационными процессами с тем, чтобы деятельность организации была сосред</w:t>
      </w:r>
      <w:r w:rsidRPr="00787EA7">
        <w:rPr>
          <w:rFonts w:eastAsia="Calibri"/>
          <w:sz w:val="22"/>
          <w:szCs w:val="22"/>
          <w:lang w:eastAsia="en-US"/>
        </w:rPr>
        <w:t>о</w:t>
      </w:r>
      <w:r w:rsidRPr="00787EA7">
        <w:rPr>
          <w:rFonts w:eastAsia="Calibri"/>
          <w:sz w:val="22"/>
          <w:szCs w:val="22"/>
          <w:lang w:eastAsia="en-US"/>
        </w:rPr>
        <w:t>точена на реализации выбранной стратегии.</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В-третьих, это выбор необходимого и соответствующего стр</w:t>
      </w:r>
      <w:r w:rsidRPr="00787EA7">
        <w:rPr>
          <w:rFonts w:eastAsia="Calibri"/>
          <w:sz w:val="22"/>
          <w:szCs w:val="22"/>
          <w:lang w:eastAsia="en-US"/>
        </w:rPr>
        <w:t>а</w:t>
      </w:r>
      <w:r w:rsidRPr="00787EA7">
        <w:rPr>
          <w:rFonts w:eastAsia="Calibri"/>
          <w:sz w:val="22"/>
          <w:szCs w:val="22"/>
          <w:lang w:eastAsia="en-US"/>
        </w:rPr>
        <w:t>тегии управления персоналом стиля руководства организацией в целом и в отдельных подразделениях.</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Подводя итоги, сделаем следующие основные выводы:</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lastRenderedPageBreak/>
        <w:t>– стратегия управления персоналом – это определенный набор основных правил, принципов и целей работы с персоналом, опред</w:t>
      </w:r>
      <w:r w:rsidRPr="00787EA7">
        <w:rPr>
          <w:rFonts w:eastAsia="Calibri"/>
          <w:sz w:val="22"/>
          <w:szCs w:val="22"/>
          <w:lang w:eastAsia="en-US"/>
        </w:rPr>
        <w:t>е</w:t>
      </w:r>
      <w:r w:rsidRPr="00787EA7">
        <w:rPr>
          <w:rFonts w:eastAsia="Calibri"/>
          <w:sz w:val="22"/>
          <w:szCs w:val="22"/>
          <w:lang w:eastAsia="en-US"/>
        </w:rPr>
        <w:t>ленных с точки зрения организационных и кадровых ресурсов, т</w:t>
      </w:r>
      <w:r w:rsidRPr="00787EA7">
        <w:rPr>
          <w:rFonts w:eastAsia="Calibri"/>
          <w:sz w:val="22"/>
          <w:szCs w:val="22"/>
          <w:lang w:eastAsia="en-US"/>
        </w:rPr>
        <w:t>а</w:t>
      </w:r>
      <w:r w:rsidRPr="00787EA7">
        <w:rPr>
          <w:rFonts w:eastAsia="Calibri"/>
          <w:sz w:val="22"/>
          <w:szCs w:val="22"/>
          <w:lang w:eastAsia="en-US"/>
        </w:rPr>
        <w:t>ких как организационная стратегия и кадровая политика;</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существует большое количество классификаций стратегий управления персоналом, выделенных на основе различных критер</w:t>
      </w:r>
      <w:r w:rsidRPr="00787EA7">
        <w:rPr>
          <w:rFonts w:eastAsia="Calibri"/>
          <w:sz w:val="22"/>
          <w:szCs w:val="22"/>
          <w:lang w:eastAsia="en-US"/>
        </w:rPr>
        <w:t>и</w:t>
      </w:r>
      <w:r w:rsidRPr="00787EA7">
        <w:rPr>
          <w:rFonts w:eastAsia="Calibri"/>
          <w:sz w:val="22"/>
          <w:szCs w:val="22"/>
          <w:lang w:eastAsia="en-US"/>
        </w:rPr>
        <w:t>ев. Определяют следующие типы стратегий управления персон</w:t>
      </w:r>
      <w:r w:rsidRPr="00787EA7">
        <w:rPr>
          <w:rFonts w:eastAsia="Calibri"/>
          <w:sz w:val="22"/>
          <w:szCs w:val="22"/>
          <w:lang w:eastAsia="en-US"/>
        </w:rPr>
        <w:t>а</w:t>
      </w:r>
      <w:r w:rsidRPr="00787EA7">
        <w:rPr>
          <w:rFonts w:eastAsia="Calibri"/>
          <w:sz w:val="22"/>
          <w:szCs w:val="22"/>
          <w:lang w:eastAsia="en-US"/>
        </w:rPr>
        <w:t>лом: предпринимательская стратегия; стратегия ликвидации (с</w:t>
      </w:r>
      <w:r w:rsidRPr="00787EA7">
        <w:rPr>
          <w:rFonts w:eastAsia="Calibri"/>
          <w:sz w:val="22"/>
          <w:szCs w:val="22"/>
          <w:lang w:eastAsia="en-US"/>
        </w:rPr>
        <w:t>о</w:t>
      </w:r>
      <w:r w:rsidRPr="00787EA7">
        <w:rPr>
          <w:rFonts w:eastAsia="Calibri"/>
          <w:sz w:val="22"/>
          <w:szCs w:val="22"/>
          <w:lang w:eastAsia="en-US"/>
        </w:rPr>
        <w:t>кращение инвестиций в определенные направления); стратегия д</w:t>
      </w:r>
      <w:r w:rsidRPr="00787EA7">
        <w:rPr>
          <w:rFonts w:eastAsia="Calibri"/>
          <w:sz w:val="22"/>
          <w:szCs w:val="22"/>
          <w:lang w:eastAsia="en-US"/>
        </w:rPr>
        <w:t>и</w:t>
      </w:r>
      <w:r w:rsidRPr="00787EA7">
        <w:rPr>
          <w:rFonts w:eastAsia="Calibri"/>
          <w:sz w:val="22"/>
          <w:szCs w:val="22"/>
          <w:lang w:eastAsia="en-US"/>
        </w:rPr>
        <w:t>намичного роста, стратегия прибыли (рациональность);</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разработка стратегии управления персоналом необходима для организации любого размера и сферы деятельности, поскольку она позволяет оптимально построить систему управления персоналом и оптимизировать объем расходов на персонал;</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кадровая политика является основой для формирования стр</w:t>
      </w:r>
      <w:r w:rsidRPr="00787EA7">
        <w:rPr>
          <w:rFonts w:eastAsia="Calibri"/>
          <w:sz w:val="22"/>
          <w:szCs w:val="22"/>
          <w:lang w:eastAsia="en-US"/>
        </w:rPr>
        <w:t>а</w:t>
      </w:r>
      <w:r w:rsidRPr="00787EA7">
        <w:rPr>
          <w:rFonts w:eastAsia="Calibri"/>
          <w:sz w:val="22"/>
          <w:szCs w:val="22"/>
          <w:lang w:eastAsia="en-US"/>
        </w:rPr>
        <w:t>тегии управления персоналом;</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w:t>
      </w:r>
      <w:r w:rsidR="006167FC">
        <w:rPr>
          <w:rFonts w:eastAsia="Calibri"/>
          <w:sz w:val="22"/>
          <w:szCs w:val="22"/>
          <w:lang w:eastAsia="en-US"/>
        </w:rPr>
        <w:t xml:space="preserve"> </w:t>
      </w:r>
      <w:r w:rsidRPr="00787EA7">
        <w:rPr>
          <w:rFonts w:eastAsia="Calibri"/>
          <w:sz w:val="22"/>
          <w:szCs w:val="22"/>
          <w:lang w:eastAsia="en-US"/>
        </w:rPr>
        <w:t>факторы, которые определяют выбор стратегии управления персоналом: стратегия управления организацией, существующая организационная структура, количество работников, статус орган</w:t>
      </w:r>
      <w:r w:rsidRPr="00787EA7">
        <w:rPr>
          <w:rFonts w:eastAsia="Calibri"/>
          <w:sz w:val="22"/>
          <w:szCs w:val="22"/>
          <w:lang w:eastAsia="en-US"/>
        </w:rPr>
        <w:t>и</w:t>
      </w:r>
      <w:r w:rsidRPr="00787EA7">
        <w:rPr>
          <w:rFonts w:eastAsia="Calibri"/>
          <w:sz w:val="22"/>
          <w:szCs w:val="22"/>
          <w:lang w:eastAsia="en-US"/>
        </w:rPr>
        <w:t>зации, период времени, для которого производится прогноз, ур</w:t>
      </w:r>
      <w:r w:rsidRPr="00787EA7">
        <w:rPr>
          <w:rFonts w:eastAsia="Calibri"/>
          <w:sz w:val="22"/>
          <w:szCs w:val="22"/>
          <w:lang w:eastAsia="en-US"/>
        </w:rPr>
        <w:t>о</w:t>
      </w:r>
      <w:r w:rsidRPr="00787EA7">
        <w:rPr>
          <w:rFonts w:eastAsia="Calibri"/>
          <w:sz w:val="22"/>
          <w:szCs w:val="22"/>
          <w:lang w:eastAsia="en-US"/>
        </w:rPr>
        <w:t>вень квалификации менеджеров организации в целом и служб по управлению персоналом.</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Таким образом, любая деятельность по управлению персон</w:t>
      </w:r>
      <w:r w:rsidRPr="00787EA7">
        <w:rPr>
          <w:rFonts w:eastAsia="Calibri"/>
          <w:sz w:val="22"/>
          <w:szCs w:val="22"/>
          <w:lang w:eastAsia="en-US"/>
        </w:rPr>
        <w:t>а</w:t>
      </w:r>
      <w:r w:rsidRPr="00787EA7">
        <w:rPr>
          <w:rFonts w:eastAsia="Calibri"/>
          <w:sz w:val="22"/>
          <w:szCs w:val="22"/>
          <w:lang w:eastAsia="en-US"/>
        </w:rPr>
        <w:t>лом должна быть направлена на достижение стратегических целей предприятия, являясь элементами стратегии управления персон</w:t>
      </w:r>
      <w:r w:rsidRPr="00787EA7">
        <w:rPr>
          <w:rFonts w:eastAsia="Calibri"/>
          <w:sz w:val="22"/>
          <w:szCs w:val="22"/>
          <w:lang w:eastAsia="en-US"/>
        </w:rPr>
        <w:t>а</w:t>
      </w:r>
      <w:r w:rsidRPr="00787EA7">
        <w:rPr>
          <w:rFonts w:eastAsia="Calibri"/>
          <w:sz w:val="22"/>
          <w:szCs w:val="22"/>
          <w:lang w:eastAsia="en-US"/>
        </w:rPr>
        <w:t>лом.</w:t>
      </w:r>
    </w:p>
    <w:p w:rsidR="006167FC" w:rsidRDefault="006167FC" w:rsidP="00724342">
      <w:pPr>
        <w:ind w:firstLine="426"/>
        <w:jc w:val="center"/>
        <w:outlineLvl w:val="0"/>
        <w:rPr>
          <w:rFonts w:eastAsia="Calibri"/>
          <w:sz w:val="22"/>
          <w:szCs w:val="22"/>
          <w:lang w:eastAsia="en-US"/>
        </w:rPr>
      </w:pPr>
    </w:p>
    <w:p w:rsidR="00724342" w:rsidRPr="00787EA7" w:rsidRDefault="00724342" w:rsidP="00724342">
      <w:pPr>
        <w:ind w:firstLine="426"/>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1.</w:t>
      </w:r>
      <w:r w:rsidR="006167FC">
        <w:rPr>
          <w:rFonts w:eastAsia="Calibri"/>
          <w:sz w:val="22"/>
          <w:szCs w:val="22"/>
          <w:lang w:eastAsia="en-US"/>
        </w:rPr>
        <w:t xml:space="preserve"> </w:t>
      </w:r>
      <w:r w:rsidRPr="00787EA7">
        <w:rPr>
          <w:rFonts w:eastAsia="Calibri"/>
          <w:sz w:val="22"/>
          <w:szCs w:val="22"/>
          <w:lang w:eastAsia="en-US"/>
        </w:rPr>
        <w:t>Банникова Л.Н. Управление персоналом / Л.Н. Банникова: учеб. пособие. – Екатеринбург: УГТУ-УПИ, 2009. –151 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2.</w:t>
      </w:r>
      <w:r w:rsidR="006167FC">
        <w:rPr>
          <w:rFonts w:eastAsia="Calibri"/>
          <w:sz w:val="22"/>
          <w:szCs w:val="22"/>
          <w:lang w:eastAsia="en-US"/>
        </w:rPr>
        <w:t xml:space="preserve"> </w:t>
      </w:r>
      <w:r w:rsidRPr="00787EA7">
        <w:rPr>
          <w:rFonts w:eastAsia="Calibri"/>
          <w:sz w:val="22"/>
          <w:szCs w:val="22"/>
          <w:lang w:eastAsia="en-US"/>
        </w:rPr>
        <w:t>Кибанов А.Я. Управление персоналом организации / А.Я. Кибанов. – М.: ИНФРА-М, 2005. – 638 с.</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3.</w:t>
      </w:r>
      <w:r w:rsidR="006167FC">
        <w:rPr>
          <w:rFonts w:eastAsia="Calibri"/>
          <w:sz w:val="22"/>
          <w:szCs w:val="22"/>
          <w:lang w:eastAsia="en-US"/>
        </w:rPr>
        <w:t xml:space="preserve"> </w:t>
      </w:r>
      <w:r w:rsidRPr="00787EA7">
        <w:rPr>
          <w:rFonts w:eastAsia="Calibri"/>
          <w:sz w:val="22"/>
          <w:szCs w:val="22"/>
          <w:lang w:eastAsia="en-US"/>
        </w:rPr>
        <w:t>Парамонов П. Ф. Менеджмент: учеб. пособие/</w:t>
      </w:r>
      <w:hyperlink r:id="rId218"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219" w:history="1">
        <w:r w:rsidRPr="00787EA7">
          <w:rPr>
            <w:rFonts w:eastAsia="Calibri"/>
            <w:sz w:val="22"/>
            <w:szCs w:val="22"/>
            <w:lang w:eastAsia="en-US"/>
          </w:rPr>
          <w:t>И. Е. Халявка</w:t>
        </w:r>
      </w:hyperlink>
      <w:r w:rsidRPr="00787EA7">
        <w:rPr>
          <w:rFonts w:eastAsia="Calibri"/>
          <w:sz w:val="22"/>
          <w:szCs w:val="22"/>
          <w:lang w:eastAsia="en-US"/>
        </w:rPr>
        <w:t>, </w:t>
      </w:r>
      <w:hyperlink r:id="rId220"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 – 173 с.</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eastAsia="en-US"/>
        </w:rPr>
        <w:t>4.</w:t>
      </w:r>
      <w:r w:rsidR="006167FC">
        <w:rPr>
          <w:rFonts w:eastAsia="Calibri"/>
          <w:sz w:val="22"/>
          <w:szCs w:val="22"/>
          <w:lang w:eastAsia="en-US"/>
        </w:rPr>
        <w:t xml:space="preserve"> </w:t>
      </w:r>
      <w:r w:rsidRPr="00787EA7">
        <w:rPr>
          <w:rFonts w:eastAsia="Calibri"/>
          <w:sz w:val="22"/>
          <w:szCs w:val="22"/>
          <w:lang w:eastAsia="en-US"/>
        </w:rPr>
        <w:t>Стукова Ю.Е., Букарева Е.О.</w:t>
      </w:r>
      <w:hyperlink r:id="rId221" w:history="1">
        <w:r w:rsidRPr="00787EA7">
          <w:rPr>
            <w:rFonts w:eastAsia="Calibri"/>
            <w:sz w:val="22"/>
            <w:szCs w:val="22"/>
            <w:lang w:eastAsia="en-US"/>
          </w:rPr>
          <w:t>Поощрение и стимулирование как методы эффективного управления персоналом организации</w:t>
        </w:r>
      </w:hyperlink>
      <w:r w:rsidRPr="00787EA7">
        <w:rPr>
          <w:rFonts w:eastAsia="Calibri"/>
          <w:sz w:val="22"/>
          <w:szCs w:val="22"/>
          <w:lang w:eastAsia="en-US"/>
        </w:rPr>
        <w:t xml:space="preserve"> / </w:t>
      </w:r>
      <w:r w:rsidRPr="00787EA7">
        <w:rPr>
          <w:rFonts w:eastAsia="Calibri"/>
          <w:sz w:val="22"/>
          <w:szCs w:val="22"/>
          <w:lang w:eastAsia="en-US"/>
        </w:rPr>
        <w:lastRenderedPageBreak/>
        <w:t xml:space="preserve">Стукова Ю.Е., Букарева Е.О. // </w:t>
      </w:r>
      <w:hyperlink r:id="rId222" w:history="1">
        <w:r w:rsidRPr="00787EA7">
          <w:rPr>
            <w:rFonts w:eastAsia="Calibri"/>
            <w:sz w:val="22"/>
            <w:szCs w:val="22"/>
            <w:lang w:eastAsia="en-US"/>
          </w:rPr>
          <w:t>Молодой ученый</w:t>
        </w:r>
      </w:hyperlink>
      <w:r w:rsidRPr="00787EA7">
        <w:rPr>
          <w:rFonts w:eastAsia="Calibri"/>
          <w:sz w:val="22"/>
          <w:szCs w:val="22"/>
          <w:lang w:eastAsia="en-US"/>
        </w:rPr>
        <w:t xml:space="preserve">. </w:t>
      </w:r>
      <w:r w:rsidRPr="00787EA7">
        <w:rPr>
          <w:rFonts w:eastAsia="Calibri"/>
          <w:sz w:val="22"/>
          <w:szCs w:val="22"/>
          <w:lang w:val="en-US" w:eastAsia="en-US"/>
        </w:rPr>
        <w:t>2017. </w:t>
      </w:r>
      <w:r w:rsidR="009D0151">
        <w:fldChar w:fldCharType="begin"/>
      </w:r>
      <w:r w:rsidR="009D0151" w:rsidRPr="009D0151">
        <w:rPr>
          <w:lang w:val="en-US"/>
        </w:rPr>
        <w:instrText xml:space="preserve"> HYPERLINK "https://elibrary.ru/contents.asp?issueid=1825792&amp;selid=29042096" </w:instrText>
      </w:r>
      <w:r w:rsidR="009D0151">
        <w:fldChar w:fldCharType="separate"/>
      </w:r>
      <w:r w:rsidRPr="00787EA7">
        <w:rPr>
          <w:rFonts w:eastAsia="Calibri"/>
          <w:sz w:val="22"/>
          <w:szCs w:val="22"/>
          <w:lang w:val="en-US" w:eastAsia="en-US"/>
        </w:rPr>
        <w:t>№ 15 (149)</w:t>
      </w:r>
      <w:r w:rsidR="009D0151">
        <w:rPr>
          <w:rFonts w:eastAsia="Calibri"/>
          <w:sz w:val="22"/>
          <w:szCs w:val="22"/>
          <w:lang w:val="en-US" w:eastAsia="en-US"/>
        </w:rPr>
        <w:fldChar w:fldCharType="end"/>
      </w:r>
      <w:r w:rsidRPr="00787EA7">
        <w:rPr>
          <w:rFonts w:eastAsia="Calibri"/>
          <w:sz w:val="22"/>
          <w:szCs w:val="22"/>
          <w:lang w:val="en-US" w:eastAsia="en-US"/>
        </w:rPr>
        <w:t xml:space="preserve">. </w:t>
      </w:r>
      <w:r w:rsidRPr="00787EA7">
        <w:rPr>
          <w:rFonts w:eastAsia="Calibri"/>
          <w:sz w:val="22"/>
          <w:szCs w:val="22"/>
          <w:lang w:eastAsia="en-US"/>
        </w:rPr>
        <w:t>С</w:t>
      </w:r>
      <w:r w:rsidRPr="00787EA7">
        <w:rPr>
          <w:rFonts w:eastAsia="Calibri"/>
          <w:sz w:val="22"/>
          <w:szCs w:val="22"/>
          <w:lang w:val="en-US" w:eastAsia="en-US"/>
        </w:rPr>
        <w:t>. 476-478.</w:t>
      </w:r>
    </w:p>
    <w:p w:rsidR="006167FC" w:rsidRPr="00C56F2E" w:rsidRDefault="006167FC" w:rsidP="00724342">
      <w:pPr>
        <w:outlineLvl w:val="0"/>
        <w:rPr>
          <w:rFonts w:eastAsia="Calibri"/>
          <w:sz w:val="22"/>
          <w:szCs w:val="22"/>
          <w:lang w:val="en-US" w:eastAsia="en-US"/>
        </w:rPr>
      </w:pPr>
    </w:p>
    <w:p w:rsidR="006167FC" w:rsidRPr="00C56F2E" w:rsidRDefault="006167FC" w:rsidP="00724342">
      <w:pPr>
        <w:outlineLvl w:val="0"/>
        <w:rPr>
          <w:rFonts w:eastAsia="Calibri"/>
          <w:sz w:val="22"/>
          <w:szCs w:val="22"/>
          <w:lang w:val="en-US" w:eastAsia="en-US"/>
        </w:rPr>
      </w:pPr>
    </w:p>
    <w:p w:rsidR="006167FC" w:rsidRPr="00C56F2E" w:rsidRDefault="006167FC" w:rsidP="00724342">
      <w:pPr>
        <w:outlineLvl w:val="0"/>
        <w:rPr>
          <w:rFonts w:eastAsia="Calibri"/>
          <w:sz w:val="22"/>
          <w:szCs w:val="22"/>
          <w:lang w:val="en-US" w:eastAsia="en-US"/>
        </w:rPr>
      </w:pPr>
    </w:p>
    <w:p w:rsidR="00724342" w:rsidRPr="00787EA7" w:rsidRDefault="00724342" w:rsidP="00724342">
      <w:pPr>
        <w:outlineLvl w:val="0"/>
        <w:rPr>
          <w:rFonts w:eastAsia="Calibri"/>
          <w:sz w:val="22"/>
          <w:szCs w:val="22"/>
          <w:lang w:val="en-US" w:eastAsia="en-US"/>
        </w:rPr>
      </w:pPr>
      <w:r w:rsidRPr="00787EA7">
        <w:rPr>
          <w:rFonts w:eastAsia="Calibri"/>
          <w:sz w:val="22"/>
          <w:szCs w:val="22"/>
          <w:lang w:eastAsia="en-US"/>
        </w:rPr>
        <w:t>УДК</w:t>
      </w:r>
      <w:r w:rsidRPr="00787EA7">
        <w:rPr>
          <w:rFonts w:eastAsia="Calibri"/>
          <w:sz w:val="22"/>
          <w:szCs w:val="22"/>
          <w:lang w:val="en-US" w:eastAsia="en-US"/>
        </w:rPr>
        <w:t xml:space="preserve">  368</w:t>
      </w:r>
    </w:p>
    <w:p w:rsidR="00724342" w:rsidRPr="00787EA7" w:rsidRDefault="00724342" w:rsidP="00724342">
      <w:pPr>
        <w:rPr>
          <w:rFonts w:eastAsia="Calibri"/>
          <w:sz w:val="24"/>
          <w:szCs w:val="24"/>
          <w:lang w:val="en-US" w:eastAsia="en-US"/>
        </w:rPr>
      </w:pPr>
    </w:p>
    <w:p w:rsidR="00724342" w:rsidRPr="00787EA7" w:rsidRDefault="00724342" w:rsidP="00724342">
      <w:pPr>
        <w:jc w:val="center"/>
        <w:outlineLvl w:val="0"/>
        <w:rPr>
          <w:rFonts w:eastAsia="Calibri"/>
          <w:b/>
          <w:sz w:val="24"/>
          <w:szCs w:val="24"/>
          <w:lang w:val="en-US" w:eastAsia="en-US"/>
        </w:rPr>
      </w:pPr>
      <w:r w:rsidRPr="00787EA7">
        <w:rPr>
          <w:rFonts w:eastAsia="Calibri"/>
          <w:b/>
          <w:sz w:val="24"/>
          <w:szCs w:val="24"/>
          <w:lang w:eastAsia="en-US"/>
        </w:rPr>
        <w:t>Страхование</w:t>
      </w:r>
      <w:r w:rsidRPr="00787EA7">
        <w:rPr>
          <w:rFonts w:eastAsia="Calibri"/>
          <w:b/>
          <w:sz w:val="24"/>
          <w:szCs w:val="24"/>
          <w:lang w:val="en-US" w:eastAsia="en-US"/>
        </w:rPr>
        <w:t xml:space="preserve"> </w:t>
      </w:r>
      <w:r w:rsidRPr="00787EA7">
        <w:rPr>
          <w:rFonts w:eastAsia="Calibri"/>
          <w:b/>
          <w:sz w:val="24"/>
          <w:szCs w:val="24"/>
          <w:lang w:eastAsia="en-US"/>
        </w:rPr>
        <w:t>строений</w:t>
      </w:r>
      <w:r w:rsidRPr="00787EA7">
        <w:rPr>
          <w:rFonts w:eastAsia="Calibri"/>
          <w:b/>
          <w:sz w:val="24"/>
          <w:szCs w:val="24"/>
          <w:lang w:val="en-US" w:eastAsia="en-US"/>
        </w:rPr>
        <w:t xml:space="preserve"> </w:t>
      </w:r>
      <w:r w:rsidRPr="00787EA7">
        <w:rPr>
          <w:rFonts w:eastAsia="Calibri"/>
          <w:b/>
          <w:sz w:val="24"/>
          <w:szCs w:val="24"/>
          <w:lang w:eastAsia="en-US"/>
        </w:rPr>
        <w:t>в</w:t>
      </w:r>
      <w:r w:rsidRPr="00787EA7">
        <w:rPr>
          <w:rFonts w:eastAsia="Calibri"/>
          <w:b/>
          <w:sz w:val="24"/>
          <w:szCs w:val="24"/>
          <w:lang w:val="en-US" w:eastAsia="en-US"/>
        </w:rPr>
        <w:t xml:space="preserve"> </w:t>
      </w:r>
      <w:r w:rsidRPr="00787EA7">
        <w:rPr>
          <w:rFonts w:eastAsia="Calibri"/>
          <w:b/>
          <w:sz w:val="24"/>
          <w:szCs w:val="24"/>
          <w:lang w:eastAsia="en-US"/>
        </w:rPr>
        <w:t>Российской</w:t>
      </w:r>
      <w:r w:rsidRPr="00787EA7">
        <w:rPr>
          <w:rFonts w:eastAsia="Calibri"/>
          <w:b/>
          <w:sz w:val="24"/>
          <w:szCs w:val="24"/>
          <w:lang w:val="en-US" w:eastAsia="en-US"/>
        </w:rPr>
        <w:t xml:space="preserve"> </w:t>
      </w:r>
      <w:r w:rsidRPr="00787EA7">
        <w:rPr>
          <w:rFonts w:eastAsia="Calibri"/>
          <w:b/>
          <w:sz w:val="24"/>
          <w:szCs w:val="24"/>
          <w:lang w:eastAsia="en-US"/>
        </w:rPr>
        <w:t>Федерации</w:t>
      </w:r>
    </w:p>
    <w:p w:rsidR="00724342" w:rsidRPr="00787EA7" w:rsidRDefault="00724342" w:rsidP="00724342">
      <w:pPr>
        <w:jc w:val="center"/>
        <w:rPr>
          <w:rFonts w:eastAsia="Calibri"/>
          <w:b/>
          <w:sz w:val="24"/>
          <w:szCs w:val="24"/>
          <w:lang w:val="en-US" w:eastAsia="en-US"/>
        </w:rPr>
      </w:pPr>
      <w:r w:rsidRPr="00787EA7">
        <w:rPr>
          <w:rFonts w:eastAsia="Calibri"/>
          <w:b/>
          <w:sz w:val="24"/>
          <w:szCs w:val="24"/>
          <w:lang w:val="en-US" w:eastAsia="en-US"/>
        </w:rPr>
        <w:t>Insurance of buildings in the Russian Federation</w:t>
      </w:r>
    </w:p>
    <w:p w:rsidR="00724342" w:rsidRPr="00787EA7" w:rsidRDefault="00724342" w:rsidP="00724342">
      <w:pPr>
        <w:jc w:val="center"/>
        <w:rPr>
          <w:rFonts w:eastAsia="Calibri"/>
          <w:b/>
          <w:sz w:val="24"/>
          <w:szCs w:val="24"/>
          <w:lang w:val="en-US" w:eastAsia="en-US"/>
        </w:rPr>
      </w:pPr>
    </w:p>
    <w:p w:rsidR="00724342" w:rsidRPr="006167FC" w:rsidRDefault="00724342" w:rsidP="00724342">
      <w:pPr>
        <w:ind w:firstLine="425"/>
        <w:contextualSpacing/>
        <w:jc w:val="right"/>
        <w:rPr>
          <w:rFonts w:eastAsia="Calibri"/>
          <w:sz w:val="22"/>
          <w:szCs w:val="22"/>
          <w:lang w:eastAsia="en-US"/>
        </w:rPr>
      </w:pPr>
      <w:r w:rsidRPr="006167FC">
        <w:rPr>
          <w:rFonts w:eastAsia="Calibri"/>
          <w:sz w:val="22"/>
          <w:szCs w:val="22"/>
          <w:lang w:eastAsia="en-US"/>
        </w:rPr>
        <w:t>Кулик А.</w:t>
      </w:r>
      <w:r w:rsidR="006167FC" w:rsidRPr="006167FC">
        <w:rPr>
          <w:rFonts w:eastAsia="Calibri"/>
          <w:sz w:val="22"/>
          <w:szCs w:val="22"/>
          <w:lang w:eastAsia="en-US"/>
        </w:rPr>
        <w:t xml:space="preserve"> </w:t>
      </w:r>
      <w:r w:rsidRPr="006167FC">
        <w:rPr>
          <w:rFonts w:eastAsia="Calibri"/>
          <w:sz w:val="22"/>
          <w:szCs w:val="22"/>
          <w:lang w:eastAsia="en-US"/>
        </w:rPr>
        <w:t>О.</w:t>
      </w:r>
      <w:r w:rsidR="006167FC" w:rsidRPr="006167FC">
        <w:rPr>
          <w:rFonts w:eastAsia="Calibri"/>
          <w:sz w:val="22"/>
          <w:szCs w:val="22"/>
          <w:lang w:eastAsia="en-US"/>
        </w:rPr>
        <w:t>,</w:t>
      </w:r>
    </w:p>
    <w:p w:rsidR="00724342" w:rsidRPr="006167FC" w:rsidRDefault="00724342" w:rsidP="00724342">
      <w:pPr>
        <w:ind w:firstLine="425"/>
        <w:contextualSpacing/>
        <w:jc w:val="right"/>
        <w:rPr>
          <w:rFonts w:eastAsia="Calibri"/>
          <w:sz w:val="22"/>
          <w:szCs w:val="22"/>
          <w:lang w:eastAsia="en-US"/>
        </w:rPr>
      </w:pPr>
      <w:r w:rsidRPr="006167FC">
        <w:rPr>
          <w:rFonts w:eastAsia="Calibri"/>
          <w:sz w:val="22"/>
          <w:szCs w:val="22"/>
          <w:lang w:eastAsia="en-US"/>
        </w:rPr>
        <w:t xml:space="preserve">          студент 4-го курса факультета «Финансы и кредит»</w:t>
      </w:r>
    </w:p>
    <w:p w:rsidR="00724342" w:rsidRPr="006167FC" w:rsidRDefault="00724342" w:rsidP="00724342">
      <w:pPr>
        <w:autoSpaceDE w:val="0"/>
        <w:autoSpaceDN w:val="0"/>
        <w:adjustRightInd w:val="0"/>
        <w:ind w:firstLine="425"/>
        <w:contextualSpacing/>
        <w:jc w:val="right"/>
        <w:outlineLvl w:val="0"/>
        <w:rPr>
          <w:rFonts w:eastAsia="Calibri"/>
          <w:sz w:val="22"/>
          <w:szCs w:val="22"/>
          <w:lang w:eastAsia="en-US"/>
        </w:rPr>
      </w:pPr>
      <w:r w:rsidRPr="006167FC">
        <w:rPr>
          <w:rFonts w:eastAsia="Calibri"/>
          <w:sz w:val="22"/>
          <w:szCs w:val="22"/>
          <w:lang w:eastAsia="en-US"/>
        </w:rPr>
        <w:t>Васильченко Е.</w:t>
      </w:r>
      <w:r w:rsidR="006167FC">
        <w:rPr>
          <w:rFonts w:eastAsia="Calibri"/>
          <w:sz w:val="22"/>
          <w:szCs w:val="22"/>
          <w:lang w:eastAsia="en-US"/>
        </w:rPr>
        <w:t xml:space="preserve"> </w:t>
      </w:r>
      <w:r w:rsidRPr="006167FC">
        <w:rPr>
          <w:rFonts w:eastAsia="Calibri"/>
          <w:sz w:val="22"/>
          <w:szCs w:val="22"/>
          <w:lang w:eastAsia="en-US"/>
        </w:rPr>
        <w:t>И</w:t>
      </w:r>
      <w:r w:rsidR="006167FC">
        <w:rPr>
          <w:rFonts w:eastAsia="Calibri"/>
          <w:sz w:val="22"/>
          <w:szCs w:val="22"/>
          <w:lang w:eastAsia="en-US"/>
        </w:rPr>
        <w:t>.,</w:t>
      </w:r>
    </w:p>
    <w:p w:rsidR="00724342" w:rsidRPr="006167FC" w:rsidRDefault="00724342" w:rsidP="00724342">
      <w:pPr>
        <w:autoSpaceDE w:val="0"/>
        <w:autoSpaceDN w:val="0"/>
        <w:adjustRightInd w:val="0"/>
        <w:ind w:firstLine="425"/>
        <w:contextualSpacing/>
        <w:jc w:val="right"/>
        <w:rPr>
          <w:rFonts w:eastAsia="Calibri"/>
          <w:sz w:val="22"/>
          <w:szCs w:val="22"/>
          <w:lang w:eastAsia="en-US"/>
        </w:rPr>
      </w:pPr>
      <w:r w:rsidRPr="006167FC">
        <w:rPr>
          <w:rFonts w:eastAsia="Calibri"/>
          <w:sz w:val="22"/>
          <w:szCs w:val="22"/>
          <w:lang w:eastAsia="en-US"/>
        </w:rPr>
        <w:t xml:space="preserve">доцент кафедры финансов </w:t>
      </w:r>
      <w:r w:rsidRPr="006167FC">
        <w:rPr>
          <w:rFonts w:eastAsia="Calibri"/>
          <w:sz w:val="22"/>
          <w:szCs w:val="22"/>
          <w:lang w:eastAsia="en-US"/>
        </w:rPr>
        <w:br/>
        <w:t xml:space="preserve">Кубанский государственный аграрный </w:t>
      </w:r>
    </w:p>
    <w:p w:rsidR="00724342" w:rsidRPr="006167FC" w:rsidRDefault="00724342" w:rsidP="00724342">
      <w:pPr>
        <w:autoSpaceDE w:val="0"/>
        <w:autoSpaceDN w:val="0"/>
        <w:adjustRightInd w:val="0"/>
        <w:ind w:firstLine="425"/>
        <w:contextualSpacing/>
        <w:jc w:val="right"/>
        <w:rPr>
          <w:rFonts w:eastAsia="Calibri"/>
          <w:sz w:val="22"/>
          <w:szCs w:val="22"/>
          <w:lang w:eastAsia="en-US"/>
        </w:rPr>
      </w:pPr>
      <w:r w:rsidRPr="006167FC">
        <w:rPr>
          <w:rFonts w:eastAsia="Calibri"/>
          <w:sz w:val="22"/>
          <w:szCs w:val="22"/>
          <w:lang w:eastAsia="en-US"/>
        </w:rPr>
        <w:t>университет им. И.Т. Трубилина</w:t>
      </w:r>
    </w:p>
    <w:p w:rsidR="00724342" w:rsidRPr="006167FC" w:rsidRDefault="00724342" w:rsidP="006167FC">
      <w:pPr>
        <w:rPr>
          <w:rFonts w:eastAsia="Calibri"/>
          <w:sz w:val="22"/>
          <w:szCs w:val="22"/>
          <w:lang w:eastAsia="en-US"/>
        </w:rPr>
      </w:pP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АННОТАЦИЯ: Выявлена необходимость повышения уровня страховой защиты строений, а также рассмотрены трудности пр</w:t>
      </w:r>
      <w:r w:rsidRPr="00787EA7">
        <w:rPr>
          <w:rFonts w:eastAsia="Calibri"/>
          <w:sz w:val="22"/>
          <w:szCs w:val="22"/>
          <w:lang w:eastAsia="en-US"/>
        </w:rPr>
        <w:t>и</w:t>
      </w:r>
      <w:r w:rsidRPr="00787EA7">
        <w:rPr>
          <w:rFonts w:eastAsia="Calibri"/>
          <w:sz w:val="22"/>
          <w:szCs w:val="22"/>
          <w:lang w:eastAsia="en-US"/>
        </w:rPr>
        <w:t xml:space="preserve">нятия закона об обязательном страховании недвижимости. </w:t>
      </w:r>
    </w:p>
    <w:p w:rsidR="00724342" w:rsidRPr="00787EA7" w:rsidRDefault="00724342" w:rsidP="00724342">
      <w:pPr>
        <w:spacing w:after="200"/>
        <w:ind w:firstLine="425"/>
        <w:contextualSpacing/>
        <w:jc w:val="both"/>
        <w:rPr>
          <w:rFonts w:eastAsia="Calibri"/>
          <w:sz w:val="22"/>
          <w:szCs w:val="22"/>
          <w:lang w:val="en-US" w:eastAsia="en-US"/>
        </w:rPr>
      </w:pPr>
      <w:r w:rsidRPr="00787EA7">
        <w:rPr>
          <w:rFonts w:eastAsia="Calibri"/>
          <w:sz w:val="22"/>
          <w:szCs w:val="22"/>
          <w:lang w:val="en-US" w:eastAsia="en-US"/>
        </w:rPr>
        <w:t xml:space="preserve">ABSTRACT: Identified the need to increase the level of insurance protection of buildings, and describes the difficulties of the adoption of the law on compulsory insurance of real estate. </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КЛЮЧЕВЫЕ СЛОВА:Обязательное страхование, программы страхования, страховая защита, страховой случай, строение</w:t>
      </w:r>
    </w:p>
    <w:p w:rsidR="00724342" w:rsidRPr="00787EA7" w:rsidRDefault="00724342" w:rsidP="00724342">
      <w:pPr>
        <w:spacing w:after="200"/>
        <w:ind w:firstLine="425"/>
        <w:contextualSpacing/>
        <w:jc w:val="both"/>
        <w:rPr>
          <w:rFonts w:eastAsia="Calibri"/>
          <w:sz w:val="22"/>
          <w:szCs w:val="22"/>
          <w:lang w:val="en-US" w:eastAsia="en-US"/>
        </w:rPr>
      </w:pPr>
      <w:r w:rsidRPr="00787EA7">
        <w:rPr>
          <w:rFonts w:eastAsia="Calibri"/>
          <w:sz w:val="22"/>
          <w:szCs w:val="22"/>
          <w:lang w:val="en-US" w:eastAsia="en-US"/>
        </w:rPr>
        <w:t>KEYWORDS: Compulsory insurance, insurance programs, insu</w:t>
      </w:r>
      <w:r w:rsidRPr="00787EA7">
        <w:rPr>
          <w:rFonts w:eastAsia="Calibri"/>
          <w:sz w:val="22"/>
          <w:szCs w:val="22"/>
          <w:lang w:val="en-US" w:eastAsia="en-US"/>
        </w:rPr>
        <w:t>r</w:t>
      </w:r>
      <w:r w:rsidRPr="00787EA7">
        <w:rPr>
          <w:rFonts w:eastAsia="Calibri"/>
          <w:sz w:val="22"/>
          <w:szCs w:val="22"/>
          <w:lang w:val="en-US" w:eastAsia="en-US"/>
        </w:rPr>
        <w:t>ance coverage, insured event, structure</w:t>
      </w:r>
    </w:p>
    <w:p w:rsidR="00724342" w:rsidRPr="00787EA7" w:rsidRDefault="00724342" w:rsidP="00724342">
      <w:pPr>
        <w:spacing w:after="200"/>
        <w:ind w:firstLine="425"/>
        <w:contextualSpacing/>
        <w:jc w:val="both"/>
        <w:rPr>
          <w:rFonts w:eastAsia="Calibri"/>
          <w:sz w:val="22"/>
          <w:szCs w:val="22"/>
          <w:lang w:val="en-US" w:eastAsia="en-US"/>
        </w:rPr>
      </w:pP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На сегодняшний день вопрос о страховании строений является актуальным и наиболее волнующим граждан, поскольку в кризи</w:t>
      </w:r>
      <w:r w:rsidRPr="00787EA7">
        <w:rPr>
          <w:rFonts w:eastAsia="Calibri"/>
          <w:sz w:val="22"/>
          <w:szCs w:val="22"/>
          <w:lang w:eastAsia="en-US"/>
        </w:rPr>
        <w:t>с</w:t>
      </w:r>
      <w:r w:rsidRPr="00787EA7">
        <w:rPr>
          <w:rFonts w:eastAsia="Calibri"/>
          <w:sz w:val="22"/>
          <w:szCs w:val="22"/>
          <w:lang w:eastAsia="en-US"/>
        </w:rPr>
        <w:t>ные времена риск потерять дом, пусть даже не самый дорогой, а просто летнюю дачу, особенно угнетает. Страхование загородных строений, частных домов, пожалуй, даже более необходимо, чем страхование городской квартиры. Связано это с тем, что дома по</w:t>
      </w:r>
      <w:r w:rsidRPr="00787EA7">
        <w:rPr>
          <w:rFonts w:eastAsia="Calibri"/>
          <w:sz w:val="22"/>
          <w:szCs w:val="22"/>
          <w:lang w:eastAsia="en-US"/>
        </w:rPr>
        <w:t>д</w:t>
      </w:r>
      <w:r w:rsidRPr="00787EA7">
        <w:rPr>
          <w:rFonts w:eastAsia="Calibri"/>
          <w:sz w:val="22"/>
          <w:szCs w:val="22"/>
          <w:lang w:eastAsia="en-US"/>
        </w:rPr>
        <w:t>вержены большему числу рисков: например, чаще случаются пож</w:t>
      </w:r>
      <w:r w:rsidRPr="00787EA7">
        <w:rPr>
          <w:rFonts w:eastAsia="Calibri"/>
          <w:sz w:val="22"/>
          <w:szCs w:val="22"/>
          <w:lang w:eastAsia="en-US"/>
        </w:rPr>
        <w:t>а</w:t>
      </w:r>
      <w:r w:rsidRPr="00787EA7">
        <w:rPr>
          <w:rFonts w:eastAsia="Calibri"/>
          <w:sz w:val="22"/>
          <w:szCs w:val="22"/>
          <w:lang w:eastAsia="en-US"/>
        </w:rPr>
        <w:t>ры. В конце концов на дом просто может упасть стоящее рядом ст</w:t>
      </w:r>
      <w:r w:rsidRPr="00787EA7">
        <w:rPr>
          <w:rFonts w:eastAsia="Calibri"/>
          <w:sz w:val="22"/>
          <w:szCs w:val="22"/>
          <w:lang w:eastAsia="en-US"/>
        </w:rPr>
        <w:t>а</w:t>
      </w:r>
      <w:r w:rsidRPr="00787EA7">
        <w:rPr>
          <w:rFonts w:eastAsia="Calibri"/>
          <w:sz w:val="22"/>
          <w:szCs w:val="22"/>
          <w:lang w:eastAsia="en-US"/>
        </w:rPr>
        <w:t>рое дерево - от этого не застрахован никто. А застраховаться стоит.</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lastRenderedPageBreak/>
        <w:t>Страховая защита граждан является основным звеном любого рыночного общества. С помощью механизма страхования обесп</w:t>
      </w:r>
      <w:r w:rsidRPr="00787EA7">
        <w:rPr>
          <w:rFonts w:eastAsia="Calibri"/>
          <w:sz w:val="22"/>
          <w:szCs w:val="22"/>
          <w:lang w:eastAsia="en-US"/>
        </w:rPr>
        <w:t>е</w:t>
      </w:r>
      <w:r w:rsidRPr="00787EA7">
        <w:rPr>
          <w:rFonts w:eastAsia="Calibri"/>
          <w:sz w:val="22"/>
          <w:szCs w:val="22"/>
          <w:lang w:eastAsia="en-US"/>
        </w:rPr>
        <w:t>чивается охрана населения и хозяйствующих субъектов от разноо</w:t>
      </w:r>
      <w:r w:rsidRPr="00787EA7">
        <w:rPr>
          <w:rFonts w:eastAsia="Calibri"/>
          <w:sz w:val="22"/>
          <w:szCs w:val="22"/>
          <w:lang w:eastAsia="en-US"/>
        </w:rPr>
        <w:t>б</w:t>
      </w:r>
      <w:r w:rsidRPr="00787EA7">
        <w:rPr>
          <w:rFonts w:eastAsia="Calibri"/>
          <w:sz w:val="22"/>
          <w:szCs w:val="22"/>
          <w:lang w:eastAsia="en-US"/>
        </w:rPr>
        <w:t>разных неблагоприятных факторов, стабильность деятельности экономических субъектов и непрерывность общественного воспр</w:t>
      </w:r>
      <w:r w:rsidRPr="00787EA7">
        <w:rPr>
          <w:rFonts w:eastAsia="Calibri"/>
          <w:sz w:val="22"/>
          <w:szCs w:val="22"/>
          <w:lang w:eastAsia="en-US"/>
        </w:rPr>
        <w:t>о</w:t>
      </w:r>
      <w:r w:rsidRPr="00787EA7">
        <w:rPr>
          <w:rFonts w:eastAsia="Calibri"/>
          <w:sz w:val="22"/>
          <w:szCs w:val="22"/>
          <w:lang w:eastAsia="en-US"/>
        </w:rPr>
        <w:t>изводства. В связи с этим, страхование, можно определить, как средство материального возмещения ущерба, и покрытие эконом</w:t>
      </w:r>
      <w:r w:rsidRPr="00787EA7">
        <w:rPr>
          <w:rFonts w:eastAsia="Calibri"/>
          <w:sz w:val="22"/>
          <w:szCs w:val="22"/>
          <w:lang w:eastAsia="en-US"/>
        </w:rPr>
        <w:t>и</w:t>
      </w:r>
      <w:r w:rsidRPr="00787EA7">
        <w:rPr>
          <w:rFonts w:eastAsia="Calibri"/>
          <w:sz w:val="22"/>
          <w:szCs w:val="22"/>
          <w:lang w:eastAsia="en-US"/>
        </w:rPr>
        <w:t>ческих интересов, как отдельного индивидуума, хозяйствующего субъекта, так и всего общества. В соответствии с Законом РФ «Об организации страхового дела в Российской Федерации» от 27.11.1992. № 4015-1, страхование – это взаимодействие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w:t>
      </w:r>
      <w:r w:rsidRPr="00787EA7">
        <w:rPr>
          <w:rFonts w:eastAsia="Calibri"/>
          <w:sz w:val="22"/>
          <w:szCs w:val="22"/>
          <w:lang w:eastAsia="en-US"/>
        </w:rPr>
        <w:t>ж</w:t>
      </w:r>
      <w:r w:rsidRPr="00787EA7">
        <w:rPr>
          <w:rFonts w:eastAsia="Calibri"/>
          <w:sz w:val="22"/>
          <w:szCs w:val="22"/>
          <w:lang w:eastAsia="en-US"/>
        </w:rPr>
        <w:t>ных фондов, формируемых страховщиками из уплаченных страх</w:t>
      </w:r>
      <w:r w:rsidRPr="00787EA7">
        <w:rPr>
          <w:rFonts w:eastAsia="Calibri"/>
          <w:sz w:val="22"/>
          <w:szCs w:val="22"/>
          <w:lang w:eastAsia="en-US"/>
        </w:rPr>
        <w:t>о</w:t>
      </w:r>
      <w:r w:rsidRPr="00787EA7">
        <w:rPr>
          <w:rFonts w:eastAsia="Calibri"/>
          <w:sz w:val="22"/>
          <w:szCs w:val="22"/>
          <w:lang w:eastAsia="en-US"/>
        </w:rPr>
        <w:t>вых премий (страховых взносов), а также за счет иных средств страховщиков [1].</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Риски, связанные с эксплуатацией строений довольно разноо</w:t>
      </w:r>
      <w:r w:rsidRPr="00787EA7">
        <w:rPr>
          <w:rFonts w:eastAsia="Calibri"/>
          <w:sz w:val="22"/>
          <w:szCs w:val="22"/>
          <w:lang w:eastAsia="en-US"/>
        </w:rPr>
        <w:t>б</w:t>
      </w:r>
      <w:r w:rsidRPr="00787EA7">
        <w:rPr>
          <w:rFonts w:eastAsia="Calibri"/>
          <w:sz w:val="22"/>
          <w:szCs w:val="22"/>
          <w:lang w:eastAsia="en-US"/>
        </w:rPr>
        <w:t>разны, это и пожары, и затопления, и кражи со взломом и грабежи, взрывы различного характера, коммунальные аварии, удары мо</w:t>
      </w:r>
      <w:r w:rsidRPr="00787EA7">
        <w:rPr>
          <w:rFonts w:eastAsia="Calibri"/>
          <w:sz w:val="22"/>
          <w:szCs w:val="22"/>
          <w:lang w:eastAsia="en-US"/>
        </w:rPr>
        <w:t>л</w:t>
      </w:r>
      <w:r w:rsidRPr="00787EA7">
        <w:rPr>
          <w:rFonts w:eastAsia="Calibri"/>
          <w:sz w:val="22"/>
          <w:szCs w:val="22"/>
          <w:lang w:eastAsia="en-US"/>
        </w:rPr>
        <w:t>нии, стихийные бедствия. Снизить денежные потери от вышепер</w:t>
      </w:r>
      <w:r w:rsidRPr="00787EA7">
        <w:rPr>
          <w:rFonts w:eastAsia="Calibri"/>
          <w:sz w:val="22"/>
          <w:szCs w:val="22"/>
          <w:lang w:eastAsia="en-US"/>
        </w:rPr>
        <w:t>е</w:t>
      </w:r>
      <w:r w:rsidRPr="00787EA7">
        <w:rPr>
          <w:rFonts w:eastAsia="Calibri"/>
          <w:sz w:val="22"/>
          <w:szCs w:val="22"/>
          <w:lang w:eastAsia="en-US"/>
        </w:rPr>
        <w:t>численных случаев может страхование, которое рассматривается как форма защиты интересов людей и организаций от воздействия внешних неблагоприятных факторов путем выплаты им денежной компенсации. При уничтожении или повреждении застрахованного имущества в результате наступления страхового события страхо</w:t>
      </w:r>
      <w:r w:rsidRPr="00787EA7">
        <w:rPr>
          <w:rFonts w:eastAsia="Calibri"/>
          <w:sz w:val="22"/>
          <w:szCs w:val="22"/>
          <w:lang w:eastAsia="en-US"/>
        </w:rPr>
        <w:t>в</w:t>
      </w:r>
      <w:r w:rsidRPr="00787EA7">
        <w:rPr>
          <w:rFonts w:eastAsia="Calibri"/>
          <w:sz w:val="22"/>
          <w:szCs w:val="22"/>
          <w:lang w:eastAsia="en-US"/>
        </w:rPr>
        <w:t>щик выплачивает гражданам страховое возмещение. Страховое возмещение выплачивается только тем гражданам, которые закл</w:t>
      </w:r>
      <w:r w:rsidRPr="00787EA7">
        <w:rPr>
          <w:rFonts w:eastAsia="Calibri"/>
          <w:sz w:val="22"/>
          <w:szCs w:val="22"/>
          <w:lang w:eastAsia="en-US"/>
        </w:rPr>
        <w:t>ю</w:t>
      </w:r>
      <w:r w:rsidRPr="00787EA7">
        <w:rPr>
          <w:rFonts w:eastAsia="Calibri"/>
          <w:sz w:val="22"/>
          <w:szCs w:val="22"/>
          <w:lang w:eastAsia="en-US"/>
        </w:rPr>
        <w:t>чили договор добровольного страхования, принадлежащего ему строения. Сегмент страхования имущества физических лиц пре</w:t>
      </w:r>
      <w:r w:rsidRPr="00787EA7">
        <w:rPr>
          <w:rFonts w:eastAsia="Calibri"/>
          <w:sz w:val="22"/>
          <w:szCs w:val="22"/>
          <w:lang w:eastAsia="en-US"/>
        </w:rPr>
        <w:t>д</w:t>
      </w:r>
      <w:r w:rsidRPr="00787EA7">
        <w:rPr>
          <w:rFonts w:eastAsia="Calibri"/>
          <w:sz w:val="22"/>
          <w:szCs w:val="22"/>
          <w:lang w:eastAsia="en-US"/>
        </w:rPr>
        <w:t>ставляет сегодня большой потенциал с точки зрения роста страх</w:t>
      </w:r>
      <w:r w:rsidRPr="00787EA7">
        <w:rPr>
          <w:rFonts w:eastAsia="Calibri"/>
          <w:sz w:val="22"/>
          <w:szCs w:val="22"/>
          <w:lang w:eastAsia="en-US"/>
        </w:rPr>
        <w:t>о</w:t>
      </w:r>
      <w:r w:rsidRPr="00787EA7">
        <w:rPr>
          <w:rFonts w:eastAsia="Calibri"/>
          <w:sz w:val="22"/>
          <w:szCs w:val="22"/>
          <w:lang w:eastAsia="en-US"/>
        </w:rPr>
        <w:t>вого рынка, который сегодня не используется. По оценкам RAEX (Эксперт РА), в России застраховано лишь 10-20% имущества ф</w:t>
      </w:r>
      <w:r w:rsidRPr="00787EA7">
        <w:rPr>
          <w:rFonts w:eastAsia="Calibri"/>
          <w:sz w:val="22"/>
          <w:szCs w:val="22"/>
          <w:lang w:eastAsia="en-US"/>
        </w:rPr>
        <w:t>и</w:t>
      </w:r>
      <w:r w:rsidRPr="00787EA7">
        <w:rPr>
          <w:rFonts w:eastAsia="Calibri"/>
          <w:sz w:val="22"/>
          <w:szCs w:val="22"/>
          <w:lang w:eastAsia="en-US"/>
        </w:rPr>
        <w:t xml:space="preserve">зических и юридических лиц [2]. Этот показатель в странах США и Западной Европы достигает 80-90%. </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Согласно информации НАФИ (Национальное агентство фина</w:t>
      </w:r>
      <w:r w:rsidRPr="00787EA7">
        <w:rPr>
          <w:rFonts w:eastAsia="Calibri"/>
          <w:sz w:val="22"/>
          <w:szCs w:val="22"/>
          <w:lang w:eastAsia="en-US"/>
        </w:rPr>
        <w:t>н</w:t>
      </w:r>
      <w:r w:rsidRPr="00787EA7">
        <w:rPr>
          <w:rFonts w:eastAsia="Calibri"/>
          <w:sz w:val="22"/>
          <w:szCs w:val="22"/>
          <w:lang w:eastAsia="en-US"/>
        </w:rPr>
        <w:t>совых исследований) 62% российских граждан в целом позитивно относятся к страхованию имущества [3]. По данным социологич</w:t>
      </w:r>
      <w:r w:rsidRPr="00787EA7">
        <w:rPr>
          <w:rFonts w:eastAsia="Calibri"/>
          <w:sz w:val="22"/>
          <w:szCs w:val="22"/>
          <w:lang w:eastAsia="en-US"/>
        </w:rPr>
        <w:t>е</w:t>
      </w:r>
      <w:r w:rsidRPr="00787EA7">
        <w:rPr>
          <w:rFonts w:eastAsia="Calibri"/>
          <w:sz w:val="22"/>
          <w:szCs w:val="22"/>
          <w:lang w:eastAsia="en-US"/>
        </w:rPr>
        <w:lastRenderedPageBreak/>
        <w:t>ских опросов, ежегодно проводимых Центром стратегических и</w:t>
      </w:r>
      <w:r w:rsidRPr="00787EA7">
        <w:rPr>
          <w:rFonts w:eastAsia="Calibri"/>
          <w:sz w:val="22"/>
          <w:szCs w:val="22"/>
          <w:lang w:eastAsia="en-US"/>
        </w:rPr>
        <w:t>с</w:t>
      </w:r>
      <w:r w:rsidRPr="00787EA7">
        <w:rPr>
          <w:rFonts w:eastAsia="Calibri"/>
          <w:sz w:val="22"/>
          <w:szCs w:val="22"/>
          <w:lang w:eastAsia="en-US"/>
        </w:rPr>
        <w:t>следований «Росгосстраха», в 2017году застраховали свою недв</w:t>
      </w:r>
      <w:r w:rsidRPr="00787EA7">
        <w:rPr>
          <w:rFonts w:eastAsia="Calibri"/>
          <w:sz w:val="22"/>
          <w:szCs w:val="22"/>
          <w:lang w:eastAsia="en-US"/>
        </w:rPr>
        <w:t>и</w:t>
      </w:r>
      <w:r w:rsidRPr="00787EA7">
        <w:rPr>
          <w:rFonts w:eastAsia="Calibri"/>
          <w:sz w:val="22"/>
          <w:szCs w:val="22"/>
          <w:lang w:eastAsia="en-US"/>
        </w:rPr>
        <w:t>жимость в самостоятельно выбранной страховой компании 15% собственников. Еще 2% семей застраховали свое имущество по м</w:t>
      </w:r>
      <w:r w:rsidRPr="00787EA7">
        <w:rPr>
          <w:rFonts w:eastAsia="Calibri"/>
          <w:sz w:val="22"/>
          <w:szCs w:val="22"/>
          <w:lang w:eastAsia="en-US"/>
        </w:rPr>
        <w:t>у</w:t>
      </w:r>
      <w:r w:rsidRPr="00787EA7">
        <w:rPr>
          <w:rFonts w:eastAsia="Calibri"/>
          <w:sz w:val="22"/>
          <w:szCs w:val="22"/>
          <w:lang w:eastAsia="en-US"/>
        </w:rPr>
        <w:t>ниципальной программе, где страховые взносы входят в квартпл</w:t>
      </w:r>
      <w:r w:rsidRPr="00787EA7">
        <w:rPr>
          <w:rFonts w:eastAsia="Calibri"/>
          <w:sz w:val="22"/>
          <w:szCs w:val="22"/>
          <w:lang w:eastAsia="en-US"/>
        </w:rPr>
        <w:t>а</w:t>
      </w:r>
      <w:r w:rsidRPr="00787EA7">
        <w:rPr>
          <w:rFonts w:eastAsia="Calibri"/>
          <w:sz w:val="22"/>
          <w:szCs w:val="22"/>
          <w:lang w:eastAsia="en-US"/>
        </w:rPr>
        <w:t xml:space="preserve">ту. </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Так, в Краснодарском крае действует муниципальная програ</w:t>
      </w:r>
      <w:r w:rsidRPr="00787EA7">
        <w:rPr>
          <w:rFonts w:eastAsia="Calibri"/>
          <w:sz w:val="22"/>
          <w:szCs w:val="22"/>
          <w:lang w:eastAsia="en-US"/>
        </w:rPr>
        <w:t>м</w:t>
      </w:r>
      <w:r w:rsidRPr="00787EA7">
        <w:rPr>
          <w:rFonts w:eastAsia="Calibri"/>
          <w:sz w:val="22"/>
          <w:szCs w:val="22"/>
          <w:lang w:eastAsia="en-US"/>
        </w:rPr>
        <w:t>ма страхования жилья. Суть программы страхования состоит в ст</w:t>
      </w:r>
      <w:r w:rsidRPr="00787EA7">
        <w:rPr>
          <w:rFonts w:eastAsia="Calibri"/>
          <w:sz w:val="22"/>
          <w:szCs w:val="22"/>
          <w:lang w:eastAsia="en-US"/>
        </w:rPr>
        <w:t>и</w:t>
      </w:r>
      <w:r w:rsidRPr="00787EA7">
        <w:rPr>
          <w:rFonts w:eastAsia="Calibri"/>
          <w:sz w:val="22"/>
          <w:szCs w:val="22"/>
          <w:lang w:eastAsia="en-US"/>
        </w:rPr>
        <w:t>мулировании населения к обязательному страхованию недвижим</w:t>
      </w:r>
      <w:r w:rsidRPr="00787EA7">
        <w:rPr>
          <w:rFonts w:eastAsia="Calibri"/>
          <w:sz w:val="22"/>
          <w:szCs w:val="22"/>
          <w:lang w:eastAsia="en-US"/>
        </w:rPr>
        <w:t>о</w:t>
      </w:r>
      <w:r w:rsidRPr="00787EA7">
        <w:rPr>
          <w:rFonts w:eastAsia="Calibri"/>
          <w:sz w:val="22"/>
          <w:szCs w:val="22"/>
          <w:lang w:eastAsia="en-US"/>
        </w:rPr>
        <w:t>сти за счет софинансирования выплаты потерь при наступлении страхового случая из бюджета города. Строения, подлежащие об</w:t>
      </w:r>
      <w:r w:rsidRPr="00787EA7">
        <w:rPr>
          <w:rFonts w:eastAsia="Calibri"/>
          <w:sz w:val="22"/>
          <w:szCs w:val="22"/>
          <w:lang w:eastAsia="en-US"/>
        </w:rPr>
        <w:t>я</w:t>
      </w:r>
      <w:r w:rsidRPr="00787EA7">
        <w:rPr>
          <w:rFonts w:eastAsia="Calibri"/>
          <w:sz w:val="22"/>
          <w:szCs w:val="22"/>
          <w:lang w:eastAsia="en-US"/>
        </w:rPr>
        <w:t>зательному страхованию, считаются застрахованными со дня их возведения в размере 40% из стоимости (оценки) с учетом износа. Строения в сельской местности оценивают страховые органы в г</w:t>
      </w:r>
      <w:r w:rsidRPr="00787EA7">
        <w:rPr>
          <w:rFonts w:eastAsia="Calibri"/>
          <w:sz w:val="22"/>
          <w:szCs w:val="22"/>
          <w:lang w:eastAsia="en-US"/>
        </w:rPr>
        <w:t>о</w:t>
      </w:r>
      <w:r w:rsidRPr="00787EA7">
        <w:rPr>
          <w:rFonts w:eastAsia="Calibri"/>
          <w:sz w:val="22"/>
          <w:szCs w:val="22"/>
          <w:lang w:eastAsia="en-US"/>
        </w:rPr>
        <w:t>родской - органы коммунального хозяйства. Исходя из оценки, вл</w:t>
      </w:r>
      <w:r w:rsidRPr="00787EA7">
        <w:rPr>
          <w:rFonts w:eastAsia="Calibri"/>
          <w:sz w:val="22"/>
          <w:szCs w:val="22"/>
          <w:lang w:eastAsia="en-US"/>
        </w:rPr>
        <w:t>а</w:t>
      </w:r>
      <w:r w:rsidRPr="00787EA7">
        <w:rPr>
          <w:rFonts w:eastAsia="Calibri"/>
          <w:sz w:val="22"/>
          <w:szCs w:val="22"/>
          <w:lang w:eastAsia="en-US"/>
        </w:rPr>
        <w:t>дельцы строений уплачивают страховые платежи. До исчисления и взимания платежей работники инспекции Госстраха ежегодно по состоянию на 1 января производят учет строений, подлежащих об</w:t>
      </w:r>
      <w:r w:rsidRPr="00787EA7">
        <w:rPr>
          <w:rFonts w:eastAsia="Calibri"/>
          <w:sz w:val="22"/>
          <w:szCs w:val="22"/>
          <w:lang w:eastAsia="en-US"/>
        </w:rPr>
        <w:t>я</w:t>
      </w:r>
      <w:r w:rsidRPr="00787EA7">
        <w:rPr>
          <w:rFonts w:eastAsia="Calibri"/>
          <w:sz w:val="22"/>
          <w:szCs w:val="22"/>
          <w:lang w:eastAsia="en-US"/>
        </w:rPr>
        <w:t>зательному страхованию. Платежи вносятся страхователем в сроки, утвержденные Советами Министров союзных республик, в сел</w:t>
      </w:r>
      <w:r w:rsidRPr="00787EA7">
        <w:rPr>
          <w:rFonts w:eastAsia="Calibri"/>
          <w:sz w:val="22"/>
          <w:szCs w:val="22"/>
          <w:lang w:eastAsia="en-US"/>
        </w:rPr>
        <w:t>ь</w:t>
      </w:r>
      <w:r w:rsidRPr="00787EA7">
        <w:rPr>
          <w:rFonts w:eastAsia="Calibri"/>
          <w:sz w:val="22"/>
          <w:szCs w:val="22"/>
          <w:lang w:eastAsia="en-US"/>
        </w:rPr>
        <w:t>ской местности - в поселковый или сельский Совет народных деп</w:t>
      </w:r>
      <w:r w:rsidRPr="00787EA7">
        <w:rPr>
          <w:rFonts w:eastAsia="Calibri"/>
          <w:sz w:val="22"/>
          <w:szCs w:val="22"/>
          <w:lang w:eastAsia="en-US"/>
        </w:rPr>
        <w:t>у</w:t>
      </w:r>
      <w:r w:rsidRPr="00787EA7">
        <w:rPr>
          <w:rFonts w:eastAsia="Calibri"/>
          <w:sz w:val="22"/>
          <w:szCs w:val="22"/>
          <w:lang w:eastAsia="en-US"/>
        </w:rPr>
        <w:t>татов, в городской - в отделения банка, инспекторам и агентам и</w:t>
      </w:r>
      <w:r w:rsidRPr="00787EA7">
        <w:rPr>
          <w:rFonts w:eastAsia="Calibri"/>
          <w:sz w:val="22"/>
          <w:szCs w:val="22"/>
          <w:lang w:eastAsia="en-US"/>
        </w:rPr>
        <w:t>н</w:t>
      </w:r>
      <w:r w:rsidRPr="00787EA7">
        <w:rPr>
          <w:rFonts w:eastAsia="Calibri"/>
          <w:sz w:val="22"/>
          <w:szCs w:val="22"/>
          <w:lang w:eastAsia="en-US"/>
        </w:rPr>
        <w:t>спекции Госстраха. Кроме того, страхователи могут перевести пл</w:t>
      </w:r>
      <w:r w:rsidRPr="00787EA7">
        <w:rPr>
          <w:rFonts w:eastAsia="Calibri"/>
          <w:sz w:val="22"/>
          <w:szCs w:val="22"/>
          <w:lang w:eastAsia="en-US"/>
        </w:rPr>
        <w:t>а</w:t>
      </w:r>
      <w:r w:rsidRPr="00787EA7">
        <w:rPr>
          <w:rFonts w:eastAsia="Calibri"/>
          <w:sz w:val="22"/>
          <w:szCs w:val="22"/>
          <w:lang w:eastAsia="en-US"/>
        </w:rPr>
        <w:t>тежи по почте на счет соответствующей инспекции Госстраха.</w:t>
      </w:r>
    </w:p>
    <w:p w:rsidR="00724342" w:rsidRPr="00787EA7" w:rsidRDefault="00724342" w:rsidP="00724342">
      <w:pPr>
        <w:spacing w:after="200"/>
        <w:ind w:firstLine="425"/>
        <w:contextualSpacing/>
        <w:jc w:val="both"/>
        <w:rPr>
          <w:rFonts w:eastAsia="Calibri"/>
          <w:sz w:val="22"/>
          <w:szCs w:val="22"/>
          <w:lang w:eastAsia="en-US"/>
        </w:rPr>
      </w:pPr>
      <w:r w:rsidRPr="00787EA7">
        <w:rPr>
          <w:rFonts w:eastAsia="Calibri"/>
          <w:sz w:val="22"/>
          <w:szCs w:val="22"/>
          <w:lang w:eastAsia="en-US"/>
        </w:rPr>
        <w:t>Способствовать развитию рынка будут расширение практики страхования имущества физических лиц при финансовом участии органов государственной власти, популяризация страхования среди населения, продвижение программных продуктов страхования имущества граждан, в том числе через Интернет.</w:t>
      </w:r>
    </w:p>
    <w:p w:rsidR="00724342" w:rsidRPr="00787EA7" w:rsidRDefault="00724342" w:rsidP="00724342">
      <w:pPr>
        <w:spacing w:after="200"/>
        <w:ind w:firstLine="709"/>
        <w:contextualSpacing/>
        <w:jc w:val="center"/>
        <w:rPr>
          <w:rFonts w:eastAsia="Calibri"/>
          <w:b/>
          <w:lang w:eastAsia="en-US"/>
        </w:rPr>
      </w:pPr>
    </w:p>
    <w:p w:rsidR="00724342" w:rsidRPr="00787EA7" w:rsidRDefault="00724342" w:rsidP="00724342">
      <w:pPr>
        <w:spacing w:after="200"/>
        <w:ind w:firstLine="709"/>
        <w:contextualSpacing/>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spacing w:after="200"/>
        <w:ind w:firstLine="426"/>
        <w:contextualSpacing/>
        <w:jc w:val="both"/>
        <w:rPr>
          <w:rFonts w:eastAsia="Calibri"/>
          <w:sz w:val="22"/>
          <w:szCs w:val="22"/>
          <w:lang w:eastAsia="en-US"/>
        </w:rPr>
      </w:pPr>
      <w:r w:rsidRPr="00787EA7">
        <w:rPr>
          <w:rFonts w:eastAsia="Calibri"/>
          <w:sz w:val="22"/>
          <w:szCs w:val="22"/>
          <w:lang w:eastAsia="en-US"/>
        </w:rPr>
        <w:t>1.Закон РФ «Об организации страхового дела в Российской Федерации» от 27.11.1992 N 4015-1 (ред. от 28.11.2015) // Росси</w:t>
      </w:r>
      <w:r w:rsidRPr="00787EA7">
        <w:rPr>
          <w:rFonts w:eastAsia="Calibri"/>
          <w:sz w:val="22"/>
          <w:szCs w:val="22"/>
          <w:lang w:eastAsia="en-US"/>
        </w:rPr>
        <w:t>й</w:t>
      </w:r>
      <w:r w:rsidRPr="00787EA7">
        <w:rPr>
          <w:rFonts w:eastAsia="Calibri"/>
          <w:sz w:val="22"/>
          <w:szCs w:val="22"/>
          <w:lang w:eastAsia="en-US"/>
        </w:rPr>
        <w:t>ская газета, N 6, 12.01.1993; Официальный интернет-портал прав</w:t>
      </w:r>
      <w:r w:rsidRPr="00787EA7">
        <w:rPr>
          <w:rFonts w:eastAsia="Calibri"/>
          <w:sz w:val="22"/>
          <w:szCs w:val="22"/>
          <w:lang w:eastAsia="en-US"/>
        </w:rPr>
        <w:t>о</w:t>
      </w:r>
      <w:r w:rsidRPr="00787EA7">
        <w:rPr>
          <w:rFonts w:eastAsia="Calibri"/>
          <w:sz w:val="22"/>
          <w:szCs w:val="22"/>
          <w:lang w:eastAsia="en-US"/>
        </w:rPr>
        <w:t>вой информации http://www.pravo.gov.ru (дата обращения 01.02.2016)</w:t>
      </w:r>
    </w:p>
    <w:p w:rsidR="00724342" w:rsidRPr="00787EA7" w:rsidRDefault="00724342" w:rsidP="00724342">
      <w:pPr>
        <w:spacing w:after="200"/>
        <w:ind w:firstLine="426"/>
        <w:contextualSpacing/>
        <w:jc w:val="both"/>
        <w:rPr>
          <w:rFonts w:eastAsia="Calibri"/>
          <w:sz w:val="22"/>
          <w:szCs w:val="22"/>
          <w:lang w:eastAsia="en-US"/>
        </w:rPr>
      </w:pPr>
      <w:r w:rsidRPr="00787EA7">
        <w:rPr>
          <w:rFonts w:eastAsia="Calibri"/>
          <w:sz w:val="22"/>
          <w:szCs w:val="22"/>
          <w:lang w:eastAsia="en-US"/>
        </w:rPr>
        <w:lastRenderedPageBreak/>
        <w:t>2. Петрова Е. И. Схемы страхования строений [Текст] // Экон</w:t>
      </w:r>
      <w:r w:rsidRPr="00787EA7">
        <w:rPr>
          <w:rFonts w:eastAsia="Calibri"/>
          <w:sz w:val="22"/>
          <w:szCs w:val="22"/>
          <w:lang w:eastAsia="en-US"/>
        </w:rPr>
        <w:t>о</w:t>
      </w:r>
      <w:r w:rsidRPr="00787EA7">
        <w:rPr>
          <w:rFonts w:eastAsia="Calibri"/>
          <w:sz w:val="22"/>
          <w:szCs w:val="22"/>
          <w:lang w:eastAsia="en-US"/>
        </w:rPr>
        <w:t>мика, управление, финансы: материалы III Междунар. науч. конф. (г. Пермь, февраль 2014 г.). — Пермь: Меркурий, 2014. — С. 191-193.</w:t>
      </w:r>
    </w:p>
    <w:p w:rsidR="00724342" w:rsidRPr="00787EA7" w:rsidRDefault="00724342" w:rsidP="00724342">
      <w:pPr>
        <w:spacing w:after="200"/>
        <w:ind w:firstLine="426"/>
        <w:contextualSpacing/>
        <w:jc w:val="both"/>
        <w:rPr>
          <w:rFonts w:eastAsia="Calibri"/>
          <w:sz w:val="22"/>
          <w:szCs w:val="22"/>
          <w:lang w:eastAsia="en-US"/>
        </w:rPr>
      </w:pPr>
      <w:r w:rsidRPr="00787EA7">
        <w:rPr>
          <w:rFonts w:eastAsia="Calibri"/>
          <w:sz w:val="22"/>
          <w:szCs w:val="22"/>
          <w:lang w:eastAsia="en-US"/>
        </w:rPr>
        <w:t>3. Страховой рынок: «зима спросит строго». </w:t>
      </w:r>
      <w:r w:rsidRPr="00787EA7">
        <w:rPr>
          <w:rFonts w:eastAsia="Calibri"/>
          <w:sz w:val="22"/>
          <w:szCs w:val="22"/>
          <w:lang w:val="en-US" w:eastAsia="en-US"/>
        </w:rPr>
        <w:t>URL</w:t>
      </w:r>
      <w:r w:rsidRPr="00787EA7">
        <w:rPr>
          <w:rFonts w:eastAsia="Calibri"/>
          <w:sz w:val="22"/>
          <w:szCs w:val="22"/>
          <w:lang w:eastAsia="en-US"/>
        </w:rPr>
        <w:t>: </w:t>
      </w:r>
      <w:r w:rsidRPr="00787EA7">
        <w:rPr>
          <w:rFonts w:eastAsia="Calibri"/>
          <w:sz w:val="22"/>
          <w:szCs w:val="22"/>
          <w:lang w:val="en-US" w:eastAsia="en-US"/>
        </w:rPr>
        <w:t>http</w:t>
      </w:r>
      <w:r w:rsidRPr="00787EA7">
        <w:rPr>
          <w:rFonts w:eastAsia="Calibri"/>
          <w:sz w:val="22"/>
          <w:szCs w:val="22"/>
          <w:lang w:eastAsia="en-US"/>
        </w:rPr>
        <w:t>://</w:t>
      </w:r>
      <w:r w:rsidRPr="00787EA7">
        <w:rPr>
          <w:rFonts w:eastAsia="Calibri"/>
          <w:sz w:val="22"/>
          <w:szCs w:val="22"/>
          <w:lang w:val="en-US" w:eastAsia="en-US"/>
        </w:rPr>
        <w:t>nacfin</w:t>
      </w:r>
      <w:r w:rsidRPr="00787EA7">
        <w:rPr>
          <w:rFonts w:eastAsia="Calibri"/>
          <w:sz w:val="22"/>
          <w:szCs w:val="22"/>
          <w:lang w:eastAsia="en-US"/>
        </w:rPr>
        <w:t>.</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straxovoj</w:t>
      </w:r>
      <w:r w:rsidRPr="00787EA7">
        <w:rPr>
          <w:rFonts w:eastAsia="Calibri"/>
          <w:sz w:val="22"/>
          <w:szCs w:val="22"/>
          <w:lang w:eastAsia="en-US"/>
        </w:rPr>
        <w:t>-</w:t>
      </w:r>
      <w:r w:rsidRPr="00787EA7">
        <w:rPr>
          <w:rFonts w:eastAsia="Calibri"/>
          <w:sz w:val="22"/>
          <w:szCs w:val="22"/>
          <w:lang w:val="en-US" w:eastAsia="en-US"/>
        </w:rPr>
        <w:t>rynok</w:t>
      </w:r>
      <w:r w:rsidRPr="00787EA7">
        <w:rPr>
          <w:rFonts w:eastAsia="Calibri"/>
          <w:sz w:val="22"/>
          <w:szCs w:val="22"/>
          <w:lang w:eastAsia="en-US"/>
        </w:rPr>
        <w:t>-</w:t>
      </w:r>
      <w:r w:rsidRPr="00787EA7">
        <w:rPr>
          <w:rFonts w:eastAsia="Calibri"/>
          <w:sz w:val="22"/>
          <w:szCs w:val="22"/>
          <w:lang w:val="en-US" w:eastAsia="en-US"/>
        </w:rPr>
        <w:t>zima</w:t>
      </w:r>
      <w:r w:rsidRPr="00787EA7">
        <w:rPr>
          <w:rFonts w:eastAsia="Calibri"/>
          <w:sz w:val="22"/>
          <w:szCs w:val="22"/>
          <w:lang w:eastAsia="en-US"/>
        </w:rPr>
        <w:t>-</w:t>
      </w:r>
      <w:r w:rsidRPr="00787EA7">
        <w:rPr>
          <w:rFonts w:eastAsia="Calibri"/>
          <w:sz w:val="22"/>
          <w:szCs w:val="22"/>
          <w:lang w:val="en-US" w:eastAsia="en-US"/>
        </w:rPr>
        <w:t>sprosit</w:t>
      </w:r>
      <w:r w:rsidRPr="00787EA7">
        <w:rPr>
          <w:rFonts w:eastAsia="Calibri"/>
          <w:sz w:val="22"/>
          <w:szCs w:val="22"/>
          <w:lang w:eastAsia="en-US"/>
        </w:rPr>
        <w:t>-</w:t>
      </w:r>
      <w:r w:rsidRPr="00787EA7">
        <w:rPr>
          <w:rFonts w:eastAsia="Calibri"/>
          <w:sz w:val="22"/>
          <w:szCs w:val="22"/>
          <w:lang w:val="en-US" w:eastAsia="en-US"/>
        </w:rPr>
        <w:t>strogo</w:t>
      </w:r>
      <w:r w:rsidRPr="00787EA7">
        <w:rPr>
          <w:rFonts w:eastAsia="Calibri"/>
          <w:sz w:val="22"/>
          <w:szCs w:val="22"/>
          <w:lang w:eastAsia="en-US"/>
        </w:rPr>
        <w:t>/</w:t>
      </w:r>
    </w:p>
    <w:p w:rsidR="006167FC" w:rsidRDefault="006167FC" w:rsidP="00724342">
      <w:pPr>
        <w:outlineLvl w:val="0"/>
        <w:rPr>
          <w:rFonts w:eastAsia="Calibri"/>
          <w:sz w:val="22"/>
          <w:szCs w:val="22"/>
          <w:lang w:eastAsia="en-US"/>
        </w:rPr>
      </w:pPr>
    </w:p>
    <w:p w:rsidR="006167FC" w:rsidRDefault="006167FC" w:rsidP="00724342">
      <w:pPr>
        <w:outlineLvl w:val="0"/>
        <w:rPr>
          <w:rFonts w:eastAsia="Calibri"/>
          <w:sz w:val="22"/>
          <w:szCs w:val="22"/>
          <w:lang w:eastAsia="en-US"/>
        </w:rPr>
      </w:pPr>
    </w:p>
    <w:p w:rsidR="00724342" w:rsidRPr="00787EA7" w:rsidRDefault="00724342" w:rsidP="00724342">
      <w:pPr>
        <w:outlineLvl w:val="0"/>
        <w:rPr>
          <w:rFonts w:eastAsia="Calibri"/>
          <w:sz w:val="22"/>
          <w:szCs w:val="22"/>
          <w:lang w:eastAsia="en-US"/>
        </w:rPr>
      </w:pPr>
      <w:r w:rsidRPr="00787EA7">
        <w:rPr>
          <w:rFonts w:eastAsia="Calibri"/>
          <w:sz w:val="22"/>
          <w:szCs w:val="22"/>
          <w:lang w:eastAsia="en-US"/>
        </w:rPr>
        <w:t>УДК 005.21</w:t>
      </w:r>
    </w:p>
    <w:p w:rsidR="00724342" w:rsidRPr="00787EA7" w:rsidRDefault="00724342" w:rsidP="00724342">
      <w:pPr>
        <w:rPr>
          <w:rFonts w:eastAsia="Calibri"/>
          <w:sz w:val="22"/>
          <w:szCs w:val="22"/>
          <w:lang w:eastAsia="en-US"/>
        </w:rPr>
      </w:pPr>
    </w:p>
    <w:p w:rsidR="00724342" w:rsidRPr="00787EA7" w:rsidRDefault="00724342" w:rsidP="00724342">
      <w:pPr>
        <w:jc w:val="center"/>
        <w:outlineLvl w:val="0"/>
        <w:rPr>
          <w:rFonts w:eastAsia="Calibri"/>
          <w:b/>
          <w:sz w:val="24"/>
          <w:szCs w:val="24"/>
          <w:lang w:eastAsia="en-US"/>
        </w:rPr>
      </w:pPr>
      <w:r w:rsidRPr="00787EA7">
        <w:rPr>
          <w:rFonts w:eastAsia="Calibri"/>
          <w:b/>
          <w:sz w:val="24"/>
          <w:szCs w:val="24"/>
          <w:lang w:eastAsia="en-US"/>
        </w:rPr>
        <w:t>Значение стратегии в предпринимательской деятельности</w:t>
      </w:r>
    </w:p>
    <w:p w:rsidR="00724342" w:rsidRPr="00787EA7" w:rsidRDefault="00724342" w:rsidP="00724342">
      <w:pPr>
        <w:jc w:val="center"/>
        <w:rPr>
          <w:rFonts w:eastAsia="Calibri"/>
          <w:b/>
          <w:sz w:val="24"/>
          <w:szCs w:val="24"/>
          <w:lang w:val="en-US" w:eastAsia="en-US"/>
        </w:rPr>
      </w:pPr>
      <w:r w:rsidRPr="00787EA7">
        <w:rPr>
          <w:rFonts w:eastAsia="Calibri"/>
          <w:b/>
          <w:sz w:val="24"/>
          <w:szCs w:val="24"/>
          <w:lang w:val="en-US" w:eastAsia="en-US"/>
        </w:rPr>
        <w:t>The value of strategy in business</w:t>
      </w:r>
    </w:p>
    <w:p w:rsidR="00724342" w:rsidRPr="00787EA7" w:rsidRDefault="00724342" w:rsidP="00724342">
      <w:pPr>
        <w:ind w:firstLine="708"/>
        <w:jc w:val="right"/>
        <w:rPr>
          <w:rFonts w:eastAsia="Calibri"/>
          <w:sz w:val="22"/>
          <w:szCs w:val="22"/>
          <w:lang w:val="en-US" w:eastAsia="en-US"/>
        </w:rPr>
      </w:pP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Окинча Т. А.,</w:t>
      </w: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студентка 2-го курса факультета финансы и кредит</w:t>
      </w: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Илюшко С.</w:t>
      </w:r>
      <w:r w:rsidR="006167FC">
        <w:rPr>
          <w:rFonts w:eastAsia="Calibri"/>
          <w:sz w:val="22"/>
          <w:szCs w:val="22"/>
          <w:lang w:eastAsia="en-US"/>
        </w:rPr>
        <w:t xml:space="preserve"> </w:t>
      </w:r>
      <w:r w:rsidRPr="00787EA7">
        <w:rPr>
          <w:rFonts w:eastAsia="Calibri"/>
          <w:sz w:val="22"/>
          <w:szCs w:val="22"/>
          <w:lang w:eastAsia="en-US"/>
        </w:rPr>
        <w:t>В.,</w:t>
      </w: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старший преподаватель кафедры экономики предприятий</w:t>
      </w: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Кубанский государственный аграрный</w:t>
      </w:r>
    </w:p>
    <w:p w:rsidR="00724342" w:rsidRPr="00787EA7" w:rsidRDefault="00724342" w:rsidP="00724342">
      <w:pPr>
        <w:ind w:firstLine="708"/>
        <w:jc w:val="right"/>
        <w:rPr>
          <w:rFonts w:eastAsia="Calibri"/>
          <w:sz w:val="22"/>
          <w:szCs w:val="22"/>
          <w:lang w:eastAsia="en-US"/>
        </w:rPr>
      </w:pPr>
      <w:r w:rsidRPr="00787EA7">
        <w:rPr>
          <w:rFonts w:eastAsia="Calibri"/>
          <w:sz w:val="22"/>
          <w:szCs w:val="22"/>
          <w:lang w:eastAsia="en-US"/>
        </w:rPr>
        <w:t>университет имени И. Т. Трубилина</w:t>
      </w:r>
    </w:p>
    <w:p w:rsidR="00724342" w:rsidRPr="00787EA7" w:rsidRDefault="00724342" w:rsidP="00724342">
      <w:pPr>
        <w:ind w:firstLine="708"/>
        <w:jc w:val="right"/>
        <w:rPr>
          <w:rFonts w:eastAsia="Calibri"/>
          <w:sz w:val="22"/>
          <w:szCs w:val="22"/>
          <w:lang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АННОТАЦИЯ: Рассмотрено понятие стратегии в предприн</w:t>
      </w:r>
      <w:r w:rsidRPr="00787EA7">
        <w:rPr>
          <w:rFonts w:eastAsia="Calibri"/>
          <w:sz w:val="22"/>
          <w:szCs w:val="22"/>
          <w:lang w:eastAsia="en-US"/>
        </w:rPr>
        <w:t>и</w:t>
      </w:r>
      <w:r w:rsidRPr="00787EA7">
        <w:rPr>
          <w:rFonts w:eastAsia="Calibri"/>
          <w:sz w:val="22"/>
          <w:szCs w:val="22"/>
          <w:lang w:eastAsia="en-US"/>
        </w:rPr>
        <w:t>мательской деятельности. Изучены факторы, влияющие на выбор стратегии для развития предпринимательства в условиях рыночной экономики.</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ABSTRACT: The concept of strategy in business activity is consi</w:t>
      </w:r>
      <w:r w:rsidRPr="00787EA7">
        <w:rPr>
          <w:rFonts w:eastAsia="Calibri"/>
          <w:sz w:val="22"/>
          <w:szCs w:val="22"/>
          <w:lang w:val="en-US" w:eastAsia="en-US"/>
        </w:rPr>
        <w:t>d</w:t>
      </w:r>
      <w:r w:rsidRPr="00787EA7">
        <w:rPr>
          <w:rFonts w:eastAsia="Calibri"/>
          <w:sz w:val="22"/>
          <w:szCs w:val="22"/>
          <w:lang w:val="en-US" w:eastAsia="en-US"/>
        </w:rPr>
        <w:t>ered. Factors influencing the choice of strategy for the development of entrepreneurship in a market economy were studied.</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КЛЮЧЕВЫЕ СЛОВА: стратегия, инновации, конкуренция, предпринимательство, государство.</w:t>
      </w:r>
    </w:p>
    <w:p w:rsidR="00724342" w:rsidRPr="00787EA7" w:rsidRDefault="00724342" w:rsidP="00724342">
      <w:pPr>
        <w:ind w:firstLine="426"/>
        <w:jc w:val="both"/>
        <w:rPr>
          <w:rFonts w:eastAsia="Calibri"/>
          <w:sz w:val="22"/>
          <w:szCs w:val="22"/>
          <w:lang w:val="en-US" w:eastAsia="en-US"/>
        </w:rPr>
      </w:pPr>
      <w:r w:rsidRPr="00787EA7">
        <w:rPr>
          <w:rFonts w:eastAsia="Calibri"/>
          <w:sz w:val="22"/>
          <w:szCs w:val="22"/>
          <w:lang w:val="en-US" w:eastAsia="en-US"/>
        </w:rPr>
        <w:t>KEYWORDS: strategy, innovation, competition, enterprise, go</w:t>
      </w:r>
      <w:r w:rsidRPr="00787EA7">
        <w:rPr>
          <w:rFonts w:eastAsia="Calibri"/>
          <w:sz w:val="22"/>
          <w:szCs w:val="22"/>
          <w:lang w:val="en-US" w:eastAsia="en-US"/>
        </w:rPr>
        <w:t>v</w:t>
      </w:r>
      <w:r w:rsidRPr="00787EA7">
        <w:rPr>
          <w:rFonts w:eastAsia="Calibri"/>
          <w:sz w:val="22"/>
          <w:szCs w:val="22"/>
          <w:lang w:val="en-US" w:eastAsia="en-US"/>
        </w:rPr>
        <w:t>ernment.</w:t>
      </w:r>
    </w:p>
    <w:p w:rsidR="00724342" w:rsidRPr="00787EA7" w:rsidRDefault="00724342" w:rsidP="00724342">
      <w:pPr>
        <w:ind w:firstLine="426"/>
        <w:jc w:val="both"/>
        <w:rPr>
          <w:rFonts w:eastAsia="Calibri"/>
          <w:sz w:val="22"/>
          <w:szCs w:val="22"/>
          <w:lang w:val="en-US" w:eastAsia="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Стратегия – это определение основных долгосрочных целей и задач предприятия и утверждение курса действий и распределения ресурсов, необходимых для достижения этих целей. Формирование стратегии определяется путем сопоставления возможностей и р</w:t>
      </w:r>
      <w:r w:rsidRPr="00787EA7">
        <w:rPr>
          <w:rFonts w:eastAsia="Calibri"/>
          <w:sz w:val="22"/>
          <w:szCs w:val="22"/>
          <w:lang w:eastAsia="en-US"/>
        </w:rPr>
        <w:t>е</w:t>
      </w:r>
      <w:r w:rsidRPr="00787EA7">
        <w:rPr>
          <w:rFonts w:eastAsia="Calibri"/>
          <w:sz w:val="22"/>
          <w:szCs w:val="22"/>
          <w:lang w:eastAsia="en-US"/>
        </w:rPr>
        <w:t>сурсов предприятии с учетом приемлемого уровня риска[4].</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lastRenderedPageBreak/>
        <w:t>На сегодняшний день, в современных условиях рыночные о</w:t>
      </w:r>
      <w:r w:rsidRPr="00787EA7">
        <w:rPr>
          <w:rFonts w:eastAsia="Calibri"/>
          <w:sz w:val="22"/>
          <w:szCs w:val="22"/>
          <w:lang w:eastAsia="en-US"/>
        </w:rPr>
        <w:t>т</w:t>
      </w:r>
      <w:r w:rsidRPr="00787EA7">
        <w:rPr>
          <w:rFonts w:eastAsia="Calibri"/>
          <w:sz w:val="22"/>
          <w:szCs w:val="22"/>
          <w:lang w:eastAsia="en-US"/>
        </w:rPr>
        <w:t>ношения направляют людей на открытие и организацию собстве</w:t>
      </w:r>
      <w:r w:rsidRPr="00787EA7">
        <w:rPr>
          <w:rFonts w:eastAsia="Calibri"/>
          <w:sz w:val="22"/>
          <w:szCs w:val="22"/>
          <w:lang w:eastAsia="en-US"/>
        </w:rPr>
        <w:t>н</w:t>
      </w:r>
      <w:r w:rsidRPr="00787EA7">
        <w:rPr>
          <w:rFonts w:eastAsia="Calibri"/>
          <w:sz w:val="22"/>
          <w:szCs w:val="22"/>
          <w:lang w:eastAsia="en-US"/>
        </w:rPr>
        <w:t>ных компаний. Этим они надеются улучшить свое финансовое п</w:t>
      </w:r>
      <w:r w:rsidRPr="00787EA7">
        <w:rPr>
          <w:rFonts w:eastAsia="Calibri"/>
          <w:sz w:val="22"/>
          <w:szCs w:val="22"/>
          <w:lang w:eastAsia="en-US"/>
        </w:rPr>
        <w:t>о</w:t>
      </w:r>
      <w:r w:rsidRPr="00787EA7">
        <w:rPr>
          <w:rFonts w:eastAsia="Calibri"/>
          <w:sz w:val="22"/>
          <w:szCs w:val="22"/>
          <w:lang w:eastAsia="en-US"/>
        </w:rPr>
        <w:t>ложение и приумножить свое благосостояние. Однако перед тем как начать заниматься предпринимательской деятельностью, возникает главный вопрос: «чем же заниматься и как реализовать свою идею?». Именно предприниматель определяет цели, идеи, миссию и задачи разработки предпринимательского проекта, который бы о</w:t>
      </w:r>
      <w:r w:rsidRPr="00787EA7">
        <w:rPr>
          <w:rFonts w:eastAsia="Calibri"/>
          <w:sz w:val="22"/>
          <w:szCs w:val="22"/>
          <w:lang w:eastAsia="en-US"/>
        </w:rPr>
        <w:t>т</w:t>
      </w:r>
      <w:r w:rsidRPr="00787EA7">
        <w:rPr>
          <w:rFonts w:eastAsia="Calibri"/>
          <w:sz w:val="22"/>
          <w:szCs w:val="22"/>
          <w:lang w:eastAsia="en-US"/>
        </w:rPr>
        <w:t>ражал его видение в создании собственного дела.</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Чтобы выбрать наиболее правильную для ведения бизнеса стратегию или же разработать собственную, предприниматель до</w:t>
      </w:r>
      <w:r w:rsidRPr="00787EA7">
        <w:rPr>
          <w:rFonts w:eastAsia="Calibri"/>
          <w:sz w:val="22"/>
          <w:szCs w:val="22"/>
          <w:lang w:eastAsia="en-US"/>
        </w:rPr>
        <w:t>л</w:t>
      </w:r>
      <w:r w:rsidRPr="00787EA7">
        <w:rPr>
          <w:rFonts w:eastAsia="Calibri"/>
          <w:sz w:val="22"/>
          <w:szCs w:val="22"/>
          <w:lang w:eastAsia="en-US"/>
        </w:rPr>
        <w:t>жен четко знать, каких целей ему необходимо достигнуть.</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Существует несколько видов стратегий:</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1) стратегия развития (происходит определение новых целей и задач, которых необходимо достичь как на уровне управления пе</w:t>
      </w:r>
      <w:r w:rsidRPr="00787EA7">
        <w:rPr>
          <w:rFonts w:eastAsia="Calibri"/>
          <w:sz w:val="22"/>
          <w:szCs w:val="22"/>
          <w:lang w:eastAsia="en-US"/>
        </w:rPr>
        <w:t>р</w:t>
      </w:r>
      <w:r w:rsidRPr="00787EA7">
        <w:rPr>
          <w:rFonts w:eastAsia="Calibri"/>
          <w:sz w:val="22"/>
          <w:szCs w:val="22"/>
          <w:lang w:eastAsia="en-US"/>
        </w:rPr>
        <w:t>соналом, так и в процессе производства продукции. Стратегия ра</w:t>
      </w:r>
      <w:r w:rsidRPr="00787EA7">
        <w:rPr>
          <w:rFonts w:eastAsia="Calibri"/>
          <w:sz w:val="22"/>
          <w:szCs w:val="22"/>
          <w:lang w:eastAsia="en-US"/>
        </w:rPr>
        <w:t>з</w:t>
      </w:r>
      <w:r w:rsidRPr="00787EA7">
        <w:rPr>
          <w:rFonts w:eastAsia="Calibri"/>
          <w:sz w:val="22"/>
          <w:szCs w:val="22"/>
          <w:lang w:eastAsia="en-US"/>
        </w:rPr>
        <w:t>вития помогает организовать деятельность таким образом, чтобы предприятие стабильно работало и достигло высоких показателей рентабельности в условиях рыночных отношений).</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2) конкурентная стратегия (производится изучение конкуре</w:t>
      </w:r>
      <w:r w:rsidRPr="00787EA7">
        <w:rPr>
          <w:rFonts w:eastAsia="Calibri"/>
          <w:sz w:val="22"/>
          <w:szCs w:val="22"/>
          <w:lang w:eastAsia="en-US"/>
        </w:rPr>
        <w:t>н</w:t>
      </w:r>
      <w:r w:rsidRPr="00787EA7">
        <w:rPr>
          <w:rFonts w:eastAsia="Calibri"/>
          <w:sz w:val="22"/>
          <w:szCs w:val="22"/>
          <w:lang w:eastAsia="en-US"/>
        </w:rPr>
        <w:t xml:space="preserve">тов и внешней среды, т.е. это долгосрочные меры наступательного или оборонительного характера, призванные укреплять положение фирмы с учетом факторов интенсивной конкуренции).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3) инновационная стратегия (осуществляется изменение в к</w:t>
      </w:r>
      <w:r w:rsidRPr="00787EA7">
        <w:rPr>
          <w:rFonts w:eastAsia="Calibri"/>
          <w:sz w:val="22"/>
          <w:szCs w:val="22"/>
          <w:lang w:eastAsia="en-US"/>
        </w:rPr>
        <w:t>а</w:t>
      </w:r>
      <w:r w:rsidRPr="00787EA7">
        <w:rPr>
          <w:rFonts w:eastAsia="Calibri"/>
          <w:sz w:val="22"/>
          <w:szCs w:val="22"/>
          <w:lang w:eastAsia="en-US"/>
        </w:rPr>
        <w:t>кой-либо отрасли деятельности предприятия, направленное на его перевод из текущего положения в модернизированное состояние, с помощью внедрения инновационных технологий). Предпринимат</w:t>
      </w:r>
      <w:r w:rsidRPr="00787EA7">
        <w:rPr>
          <w:rFonts w:eastAsia="Calibri"/>
          <w:sz w:val="22"/>
          <w:szCs w:val="22"/>
          <w:lang w:eastAsia="en-US"/>
        </w:rPr>
        <w:t>е</w:t>
      </w:r>
      <w:r w:rsidRPr="00787EA7">
        <w:rPr>
          <w:rFonts w:eastAsia="Calibri"/>
          <w:sz w:val="22"/>
          <w:szCs w:val="22"/>
          <w:lang w:eastAsia="en-US"/>
        </w:rPr>
        <w:t>лем осуществляются действия, направленные на изменение страт</w:t>
      </w:r>
      <w:r w:rsidRPr="00787EA7">
        <w:rPr>
          <w:rFonts w:eastAsia="Calibri"/>
          <w:sz w:val="22"/>
          <w:szCs w:val="22"/>
          <w:lang w:eastAsia="en-US"/>
        </w:rPr>
        <w:t>е</w:t>
      </w:r>
      <w:r w:rsidRPr="00787EA7">
        <w:rPr>
          <w:rFonts w:eastAsia="Calibri"/>
          <w:sz w:val="22"/>
          <w:szCs w:val="22"/>
          <w:lang w:eastAsia="en-US"/>
        </w:rPr>
        <w:t>гии поведения предприятия с целью создания конкурентного рынка товаров и услуг. Данная стратегия предпочтительна для любого предпринимателя на современном этапе [3].</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Современные предприятия существуют в условиях рыночной конкуренции, и каждый предприниматель стремится быть более востребованным и успешным по сравнению с другими руководит</w:t>
      </w:r>
      <w:r w:rsidRPr="00787EA7">
        <w:rPr>
          <w:rFonts w:eastAsia="Calibri"/>
          <w:sz w:val="22"/>
          <w:szCs w:val="22"/>
          <w:lang w:eastAsia="en-US"/>
        </w:rPr>
        <w:t>е</w:t>
      </w:r>
      <w:r w:rsidRPr="00787EA7">
        <w:rPr>
          <w:rFonts w:eastAsia="Calibri"/>
          <w:sz w:val="22"/>
          <w:szCs w:val="22"/>
          <w:lang w:eastAsia="en-US"/>
        </w:rPr>
        <w:t>лями. При этом, он старается использовать инновационную страт</w:t>
      </w:r>
      <w:r w:rsidRPr="00787EA7">
        <w:rPr>
          <w:rFonts w:eastAsia="Calibri"/>
          <w:sz w:val="22"/>
          <w:szCs w:val="22"/>
          <w:lang w:eastAsia="en-US"/>
        </w:rPr>
        <w:t>е</w:t>
      </w:r>
      <w:r w:rsidRPr="00787EA7">
        <w:rPr>
          <w:rFonts w:eastAsia="Calibri"/>
          <w:sz w:val="22"/>
          <w:szCs w:val="22"/>
          <w:lang w:eastAsia="en-US"/>
        </w:rPr>
        <w:t xml:space="preserve">гию развития, которая ориентируется на запросы и удовлетворение потребностей человека. Таким образом, эффективное управление позволяет быстро реагировать на изменение конкурентной среды, </w:t>
      </w:r>
      <w:r w:rsidRPr="00787EA7">
        <w:rPr>
          <w:rFonts w:eastAsia="Calibri"/>
          <w:sz w:val="22"/>
          <w:szCs w:val="22"/>
          <w:lang w:eastAsia="en-US"/>
        </w:rPr>
        <w:lastRenderedPageBreak/>
        <w:t>что дает определенные преимущества в развитии деятельности предприятия на долгосрочную перспективу [5].</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Инновация – это внедренное новшество, которое обеспечивает качественный рост эффективности процессов или продукции пре</w:t>
      </w:r>
      <w:r w:rsidRPr="00787EA7">
        <w:rPr>
          <w:rFonts w:eastAsia="Calibri"/>
          <w:sz w:val="22"/>
          <w:szCs w:val="22"/>
          <w:lang w:eastAsia="en-US"/>
        </w:rPr>
        <w:t>д</w:t>
      </w:r>
      <w:r w:rsidRPr="00787EA7">
        <w:rPr>
          <w:rFonts w:eastAsia="Calibri"/>
          <w:sz w:val="22"/>
          <w:szCs w:val="22"/>
          <w:lang w:eastAsia="en-US"/>
        </w:rPr>
        <w:t>приятия. Инновационное развитие в рыночной экономике ос</w:t>
      </w:r>
      <w:r w:rsidRPr="00787EA7">
        <w:rPr>
          <w:rFonts w:eastAsia="Calibri"/>
          <w:sz w:val="22"/>
          <w:szCs w:val="22"/>
          <w:lang w:eastAsia="en-US"/>
        </w:rPr>
        <w:t>у</w:t>
      </w:r>
      <w:r w:rsidRPr="00787EA7">
        <w:rPr>
          <w:rFonts w:eastAsia="Calibri"/>
          <w:sz w:val="22"/>
          <w:szCs w:val="22"/>
          <w:lang w:eastAsia="en-US"/>
        </w:rPr>
        <w:t>ществляется на основе партнерства государства, предпринимателей, творческих личностей и общества, где каждый из партнеров выпо</w:t>
      </w:r>
      <w:r w:rsidRPr="00787EA7">
        <w:rPr>
          <w:rFonts w:eastAsia="Calibri"/>
          <w:sz w:val="22"/>
          <w:szCs w:val="22"/>
          <w:lang w:eastAsia="en-US"/>
        </w:rPr>
        <w:t>л</w:t>
      </w:r>
      <w:r w:rsidRPr="00787EA7">
        <w:rPr>
          <w:rFonts w:eastAsia="Calibri"/>
          <w:sz w:val="22"/>
          <w:szCs w:val="22"/>
          <w:lang w:eastAsia="en-US"/>
        </w:rPr>
        <w:t>няет свои функции [1].</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Государство играет значительную роль в развитии предприн</w:t>
      </w:r>
      <w:r w:rsidRPr="00787EA7">
        <w:rPr>
          <w:rFonts w:eastAsia="Calibri"/>
          <w:sz w:val="22"/>
          <w:szCs w:val="22"/>
          <w:lang w:eastAsia="en-US"/>
        </w:rPr>
        <w:t>и</w:t>
      </w:r>
      <w:r w:rsidRPr="00787EA7">
        <w:rPr>
          <w:rFonts w:eastAsia="Calibri"/>
          <w:sz w:val="22"/>
          <w:szCs w:val="22"/>
          <w:lang w:eastAsia="en-US"/>
        </w:rPr>
        <w:t>мательской деятельности. Именно оно определяет стратегию инн</w:t>
      </w:r>
      <w:r w:rsidRPr="00787EA7">
        <w:rPr>
          <w:rFonts w:eastAsia="Calibri"/>
          <w:sz w:val="22"/>
          <w:szCs w:val="22"/>
          <w:lang w:eastAsia="en-US"/>
        </w:rPr>
        <w:t>о</w:t>
      </w:r>
      <w:r w:rsidRPr="00787EA7">
        <w:rPr>
          <w:rFonts w:eastAsia="Calibri"/>
          <w:sz w:val="22"/>
          <w:szCs w:val="22"/>
          <w:lang w:eastAsia="en-US"/>
        </w:rPr>
        <w:t>вационно-технологического прорыва, способствуя формированию рыночного сектора в вопросах финансирования инноваций, создает благоприятный инновационный климат, разрабатывает программы поддержки малого и среднего предпринимательства, а также разв</w:t>
      </w:r>
      <w:r w:rsidRPr="00787EA7">
        <w:rPr>
          <w:rFonts w:eastAsia="Calibri"/>
          <w:sz w:val="22"/>
          <w:szCs w:val="22"/>
          <w:lang w:eastAsia="en-US"/>
        </w:rPr>
        <w:t>и</w:t>
      </w:r>
      <w:r w:rsidRPr="00787EA7">
        <w:rPr>
          <w:rFonts w:eastAsia="Calibri"/>
          <w:sz w:val="22"/>
          <w:szCs w:val="22"/>
          <w:lang w:eastAsia="en-US"/>
        </w:rPr>
        <w:t>вает научно-техническую и инновационную инфраструктуру [2].</w:t>
      </w:r>
    </w:p>
    <w:p w:rsidR="00724342" w:rsidRPr="00787EA7" w:rsidRDefault="00724342" w:rsidP="007543A3">
      <w:pPr>
        <w:ind w:firstLine="426"/>
        <w:jc w:val="both"/>
        <w:rPr>
          <w:rFonts w:eastAsia="Calibri"/>
          <w:sz w:val="22"/>
          <w:szCs w:val="22"/>
          <w:lang w:eastAsia="en-US"/>
        </w:rPr>
      </w:pPr>
      <w:r w:rsidRPr="00787EA7">
        <w:rPr>
          <w:rFonts w:eastAsia="Calibri"/>
          <w:sz w:val="22"/>
          <w:szCs w:val="22"/>
          <w:lang w:eastAsia="en-US"/>
        </w:rPr>
        <w:t>Таким образом, приоритетная роль в разработке стратегии предпринимательской деятельности должна опираться, прежде вс</w:t>
      </w:r>
      <w:r w:rsidRPr="00787EA7">
        <w:rPr>
          <w:rFonts w:eastAsia="Calibri"/>
          <w:sz w:val="22"/>
          <w:szCs w:val="22"/>
          <w:lang w:eastAsia="en-US"/>
        </w:rPr>
        <w:t>е</w:t>
      </w:r>
      <w:r w:rsidRPr="00787EA7">
        <w:rPr>
          <w:rFonts w:eastAsia="Calibri"/>
          <w:sz w:val="22"/>
          <w:szCs w:val="22"/>
          <w:lang w:eastAsia="en-US"/>
        </w:rPr>
        <w:t>го, на научные знания и инновации. Формирование эффективного механизма реализации стратегии инновационного прорыва позв</w:t>
      </w:r>
      <w:r w:rsidRPr="00787EA7">
        <w:rPr>
          <w:rFonts w:eastAsia="Calibri"/>
          <w:sz w:val="22"/>
          <w:szCs w:val="22"/>
          <w:lang w:eastAsia="en-US"/>
        </w:rPr>
        <w:t>о</w:t>
      </w:r>
      <w:r w:rsidRPr="00787EA7">
        <w:rPr>
          <w:rFonts w:eastAsia="Calibri"/>
          <w:sz w:val="22"/>
          <w:szCs w:val="22"/>
          <w:lang w:eastAsia="en-US"/>
        </w:rPr>
        <w:t>лит на деле осуществлять стратегически-инновационную функцию государства в условиях новой экономики.</w:t>
      </w:r>
    </w:p>
    <w:p w:rsidR="00CE4C84" w:rsidRDefault="00CE4C84" w:rsidP="00724342">
      <w:pPr>
        <w:jc w:val="center"/>
        <w:outlineLvl w:val="0"/>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 xml:space="preserve">1. Грибов В.Д. Малое инновационное предпринимательство и его роль в реализации стратегии инновационного развития России. / М.: Русайнс, 2015. – 187 </w:t>
      </w:r>
      <w:r w:rsidRPr="00787EA7">
        <w:rPr>
          <w:rFonts w:eastAsia="Calibri"/>
          <w:sz w:val="22"/>
          <w:szCs w:val="22"/>
          <w:lang w:val="en-US" w:eastAsia="en-US"/>
        </w:rPr>
        <w:t>c</w:t>
      </w:r>
      <w:r w:rsidRPr="00787EA7">
        <w:rPr>
          <w:rFonts w:eastAsia="Calibri"/>
          <w:sz w:val="22"/>
          <w:szCs w:val="22"/>
          <w:lang w:eastAsia="en-US"/>
        </w:rPr>
        <w:t xml:space="preserve">. </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2. Вартанян И.О., Стукова Ю.Е. Проблемы и трудности страт</w:t>
      </w:r>
      <w:r w:rsidRPr="00787EA7">
        <w:rPr>
          <w:rFonts w:eastAsia="Calibri"/>
          <w:sz w:val="22"/>
          <w:szCs w:val="22"/>
          <w:lang w:eastAsia="en-US"/>
        </w:rPr>
        <w:t>е</w:t>
      </w:r>
      <w:r w:rsidRPr="00787EA7">
        <w:rPr>
          <w:rFonts w:eastAsia="Calibri"/>
          <w:sz w:val="22"/>
          <w:szCs w:val="22"/>
          <w:lang w:eastAsia="en-US"/>
        </w:rPr>
        <w:t>гического управления / И.О. Вартанян, Ю.Е. Стукова // В сборнике: Проблемы эффективного использования научного потенциала о</w:t>
      </w:r>
      <w:r w:rsidRPr="00787EA7">
        <w:rPr>
          <w:rFonts w:eastAsia="Calibri"/>
          <w:sz w:val="22"/>
          <w:szCs w:val="22"/>
          <w:lang w:eastAsia="en-US"/>
        </w:rPr>
        <w:t>б</w:t>
      </w:r>
      <w:r w:rsidRPr="00787EA7">
        <w:rPr>
          <w:rFonts w:eastAsia="Calibri"/>
          <w:sz w:val="22"/>
          <w:szCs w:val="22"/>
          <w:lang w:eastAsia="en-US"/>
        </w:rPr>
        <w:t>щества: сборник статей Международной научно-практической ко</w:t>
      </w:r>
      <w:r w:rsidRPr="00787EA7">
        <w:rPr>
          <w:rFonts w:eastAsia="Calibri"/>
          <w:sz w:val="22"/>
          <w:szCs w:val="22"/>
          <w:lang w:eastAsia="en-US"/>
        </w:rPr>
        <w:t>н</w:t>
      </w:r>
      <w:r w:rsidRPr="00787EA7">
        <w:rPr>
          <w:rFonts w:eastAsia="Calibri"/>
          <w:sz w:val="22"/>
          <w:szCs w:val="22"/>
          <w:lang w:eastAsia="en-US"/>
        </w:rPr>
        <w:t>ференции: в 2 частях. 2017. С. 28-31.</w:t>
      </w:r>
    </w:p>
    <w:p w:rsidR="00724342" w:rsidRPr="00787EA7" w:rsidRDefault="00724342" w:rsidP="00724342">
      <w:pPr>
        <w:ind w:firstLine="426"/>
        <w:contextualSpacing/>
        <w:jc w:val="both"/>
        <w:rPr>
          <w:rFonts w:eastAsia="Calibri"/>
          <w:sz w:val="22"/>
          <w:szCs w:val="22"/>
          <w:lang w:eastAsia="en-US"/>
        </w:rPr>
      </w:pPr>
      <w:r w:rsidRPr="00787EA7">
        <w:rPr>
          <w:rFonts w:eastAsia="Calibri"/>
          <w:sz w:val="22"/>
          <w:szCs w:val="22"/>
          <w:lang w:eastAsia="en-US"/>
        </w:rPr>
        <w:t>3. Веснин, В.Р. Основы менеджмента: Учебник / В.Р. Веснин. – М.: Проспект, 2016. – С. 62-63.</w:t>
      </w:r>
    </w:p>
    <w:p w:rsidR="00724342" w:rsidRPr="00787EA7" w:rsidRDefault="00724342" w:rsidP="00724342">
      <w:pPr>
        <w:spacing w:after="200"/>
        <w:ind w:firstLine="426"/>
        <w:contextualSpacing/>
        <w:jc w:val="both"/>
        <w:rPr>
          <w:rFonts w:eastAsia="Calibri"/>
          <w:sz w:val="22"/>
          <w:szCs w:val="22"/>
          <w:lang w:eastAsia="en-US"/>
        </w:rPr>
      </w:pPr>
      <w:r w:rsidRPr="00787EA7">
        <w:rPr>
          <w:rFonts w:eastAsia="Calibri"/>
          <w:sz w:val="22"/>
          <w:szCs w:val="22"/>
          <w:lang w:eastAsia="en-US"/>
        </w:rPr>
        <w:t>4. Портных В.В. Стратегия бизнеса/ В.В. Портных. – М.: Да</w:t>
      </w:r>
      <w:r w:rsidRPr="00787EA7">
        <w:rPr>
          <w:rFonts w:eastAsia="Calibri"/>
          <w:sz w:val="22"/>
          <w:szCs w:val="22"/>
          <w:lang w:eastAsia="en-US"/>
        </w:rPr>
        <w:t>ш</w:t>
      </w:r>
      <w:r w:rsidRPr="00787EA7">
        <w:rPr>
          <w:rFonts w:eastAsia="Calibri"/>
          <w:sz w:val="22"/>
          <w:szCs w:val="22"/>
          <w:lang w:eastAsia="en-US"/>
        </w:rPr>
        <w:t xml:space="preserve">ков и К, 2015. – 275 c. </w:t>
      </w:r>
    </w:p>
    <w:p w:rsidR="00724342" w:rsidRDefault="00724342" w:rsidP="00724342">
      <w:pPr>
        <w:ind w:firstLine="426"/>
        <w:contextualSpacing/>
        <w:jc w:val="both"/>
        <w:rPr>
          <w:rFonts w:eastAsia="Calibri"/>
          <w:sz w:val="22"/>
          <w:szCs w:val="22"/>
          <w:lang w:eastAsia="en-US"/>
        </w:rPr>
      </w:pPr>
      <w:r w:rsidRPr="00787EA7">
        <w:rPr>
          <w:rFonts w:eastAsia="Calibri"/>
          <w:sz w:val="22"/>
          <w:szCs w:val="22"/>
          <w:lang w:eastAsia="en-US"/>
        </w:rPr>
        <w:t xml:space="preserve">5. Стукова Ю.Е., Лишута Е.А. Особенности отечественного и зарубежного подходов к оценке платежеспособности организаций / Ю.Е. Стукова, Е.А. Лишута // В сборнике: Научное обеспечение </w:t>
      </w:r>
      <w:r w:rsidRPr="00787EA7">
        <w:rPr>
          <w:rFonts w:eastAsia="Calibri"/>
          <w:sz w:val="22"/>
          <w:szCs w:val="22"/>
          <w:lang w:eastAsia="en-US"/>
        </w:rPr>
        <w:lastRenderedPageBreak/>
        <w:t>агропромышленного комплекса: сборник статей по материалам 72-й научно-практической конференции преподавателей по итогам НИР за 2016 г., 2017. С. 523-524.</w:t>
      </w:r>
    </w:p>
    <w:p w:rsidR="006167FC" w:rsidRPr="00787EA7" w:rsidRDefault="006167FC" w:rsidP="00724342">
      <w:pPr>
        <w:ind w:firstLine="426"/>
        <w:contextualSpacing/>
        <w:jc w:val="both"/>
        <w:rPr>
          <w:rFonts w:eastAsia="Calibri"/>
          <w:sz w:val="22"/>
          <w:szCs w:val="22"/>
          <w:lang w:eastAsia="en-US"/>
        </w:rPr>
      </w:pPr>
    </w:p>
    <w:p w:rsidR="006167FC" w:rsidRDefault="006167FC" w:rsidP="006167FC">
      <w:pPr>
        <w:jc w:val="both"/>
        <w:outlineLvl w:val="0"/>
        <w:rPr>
          <w:rFonts w:eastAsia="Calibri"/>
          <w:sz w:val="22"/>
          <w:szCs w:val="22"/>
          <w:lang w:eastAsia="en-US"/>
        </w:rPr>
      </w:pPr>
    </w:p>
    <w:p w:rsidR="006167FC" w:rsidRDefault="006167FC" w:rsidP="006167FC">
      <w:pPr>
        <w:jc w:val="both"/>
        <w:outlineLvl w:val="0"/>
        <w:rPr>
          <w:rFonts w:eastAsia="Calibri"/>
          <w:sz w:val="22"/>
          <w:szCs w:val="22"/>
          <w:lang w:eastAsia="en-US"/>
        </w:rPr>
      </w:pPr>
    </w:p>
    <w:p w:rsidR="00724342" w:rsidRPr="00787EA7" w:rsidRDefault="00724342" w:rsidP="006167FC">
      <w:pPr>
        <w:jc w:val="both"/>
        <w:outlineLvl w:val="0"/>
        <w:rPr>
          <w:rFonts w:eastAsia="Calibri"/>
          <w:sz w:val="22"/>
          <w:szCs w:val="22"/>
          <w:lang w:eastAsia="en-US"/>
        </w:rPr>
      </w:pPr>
      <w:r w:rsidRPr="00787EA7">
        <w:rPr>
          <w:rFonts w:eastAsia="Calibri"/>
          <w:sz w:val="22"/>
          <w:szCs w:val="22"/>
          <w:lang w:eastAsia="en-US"/>
        </w:rPr>
        <w:t>УДК 336.711</w:t>
      </w:r>
    </w:p>
    <w:p w:rsidR="00724342" w:rsidRPr="00787EA7" w:rsidRDefault="00724342" w:rsidP="00724342">
      <w:pPr>
        <w:ind w:firstLine="284"/>
        <w:jc w:val="both"/>
        <w:rPr>
          <w:rFonts w:eastAsia="Calibri"/>
          <w:sz w:val="20"/>
          <w:szCs w:val="20"/>
          <w:lang w:eastAsia="en-US"/>
        </w:rPr>
      </w:pPr>
    </w:p>
    <w:p w:rsidR="00724342" w:rsidRPr="00787EA7" w:rsidRDefault="00724342" w:rsidP="00724342">
      <w:pPr>
        <w:ind w:firstLine="284"/>
        <w:jc w:val="center"/>
        <w:rPr>
          <w:rFonts w:eastAsia="Calibri"/>
          <w:b/>
          <w:sz w:val="24"/>
          <w:szCs w:val="20"/>
          <w:lang w:eastAsia="en-US"/>
        </w:rPr>
      </w:pPr>
      <w:r w:rsidRPr="00787EA7">
        <w:rPr>
          <w:rFonts w:eastAsia="Calibri"/>
          <w:b/>
          <w:sz w:val="24"/>
          <w:szCs w:val="20"/>
          <w:lang w:eastAsia="en-US"/>
        </w:rPr>
        <w:t>Деятельность Банка России по выявлению проблемных банков и предотвращению их банкротств</w:t>
      </w:r>
    </w:p>
    <w:p w:rsidR="00724342" w:rsidRPr="00787EA7" w:rsidRDefault="00724342" w:rsidP="00724342">
      <w:pPr>
        <w:ind w:firstLine="284"/>
        <w:jc w:val="center"/>
        <w:rPr>
          <w:rFonts w:eastAsia="Calibri"/>
          <w:b/>
          <w:sz w:val="22"/>
          <w:szCs w:val="22"/>
          <w:lang w:val="en-US" w:eastAsia="en-US"/>
        </w:rPr>
      </w:pPr>
      <w:r w:rsidRPr="00787EA7">
        <w:rPr>
          <w:rFonts w:eastAsia="Calibri"/>
          <w:b/>
          <w:sz w:val="24"/>
          <w:szCs w:val="24"/>
          <w:lang w:val="en-US" w:eastAsia="en-US"/>
        </w:rPr>
        <w:t>Activities of the Bank of Russia to identify problem banks and prevent their bankruptc</w:t>
      </w:r>
      <w:r w:rsidRPr="00787EA7">
        <w:rPr>
          <w:rFonts w:eastAsia="Calibri"/>
          <w:b/>
          <w:sz w:val="22"/>
          <w:szCs w:val="22"/>
          <w:lang w:val="en-US" w:eastAsia="en-US"/>
        </w:rPr>
        <w:t>y</w:t>
      </w:r>
    </w:p>
    <w:p w:rsidR="00724342" w:rsidRPr="00787EA7" w:rsidRDefault="00724342" w:rsidP="00724342">
      <w:pPr>
        <w:ind w:firstLine="284"/>
        <w:jc w:val="center"/>
        <w:rPr>
          <w:rFonts w:eastAsia="Calibri"/>
          <w:sz w:val="22"/>
          <w:szCs w:val="22"/>
          <w:lang w:val="en-US" w:eastAsia="en-US"/>
        </w:rPr>
      </w:pP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Романькова А. С.</w:t>
      </w:r>
      <w:r w:rsidR="006167FC">
        <w:rPr>
          <w:rFonts w:eastAsia="Calibri"/>
          <w:sz w:val="22"/>
          <w:szCs w:val="22"/>
          <w:lang w:eastAsia="en-US"/>
        </w:rPr>
        <w:t>,</w:t>
      </w: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студентка 4-го курса факультета «Финансы и кредит»</w:t>
      </w:r>
    </w:p>
    <w:p w:rsidR="00724342" w:rsidRPr="00787EA7" w:rsidRDefault="00724342" w:rsidP="00724342">
      <w:pPr>
        <w:jc w:val="right"/>
        <w:rPr>
          <w:rFonts w:eastAsia="Calibri"/>
          <w:sz w:val="22"/>
          <w:szCs w:val="22"/>
        </w:rPr>
      </w:pPr>
      <w:r w:rsidRPr="00787EA7">
        <w:rPr>
          <w:rFonts w:eastAsia="Calibri"/>
          <w:sz w:val="22"/>
          <w:szCs w:val="22"/>
        </w:rPr>
        <w:t>Зубков А.</w:t>
      </w:r>
      <w:r w:rsidR="006167FC">
        <w:rPr>
          <w:rFonts w:eastAsia="Calibri"/>
          <w:sz w:val="22"/>
          <w:szCs w:val="22"/>
        </w:rPr>
        <w:t xml:space="preserve"> </w:t>
      </w:r>
      <w:r w:rsidRPr="00787EA7">
        <w:rPr>
          <w:rFonts w:eastAsia="Calibri"/>
          <w:sz w:val="22"/>
          <w:szCs w:val="22"/>
        </w:rPr>
        <w:t>А.</w:t>
      </w:r>
      <w:r w:rsidR="006167FC">
        <w:rPr>
          <w:rFonts w:eastAsia="Calibri"/>
          <w:sz w:val="22"/>
          <w:szCs w:val="22"/>
        </w:rPr>
        <w:t>,</w:t>
      </w:r>
    </w:p>
    <w:p w:rsidR="00724342" w:rsidRPr="00787EA7" w:rsidRDefault="00724342" w:rsidP="00724342">
      <w:pPr>
        <w:jc w:val="right"/>
        <w:rPr>
          <w:rFonts w:eastAsia="Calibri"/>
          <w:sz w:val="22"/>
          <w:szCs w:val="22"/>
          <w:lang w:eastAsia="en-US"/>
        </w:rPr>
      </w:pPr>
      <w:r w:rsidRPr="00787EA7">
        <w:rPr>
          <w:rFonts w:eastAsia="Calibri"/>
          <w:sz w:val="22"/>
          <w:szCs w:val="22"/>
          <w:lang w:eastAsia="en-US"/>
        </w:rPr>
        <w:t>студент 4-го курса факультета «Финансы и кредит»</w:t>
      </w:r>
    </w:p>
    <w:p w:rsidR="00724342" w:rsidRPr="00787EA7" w:rsidRDefault="00724342" w:rsidP="00724342">
      <w:pPr>
        <w:jc w:val="right"/>
        <w:rPr>
          <w:rFonts w:eastAsia="Calibri"/>
          <w:sz w:val="22"/>
          <w:szCs w:val="22"/>
        </w:rPr>
      </w:pPr>
      <w:r w:rsidRPr="00787EA7">
        <w:rPr>
          <w:rFonts w:eastAsia="Calibri"/>
          <w:sz w:val="22"/>
          <w:szCs w:val="22"/>
        </w:rPr>
        <w:t xml:space="preserve">Кубанский государственный аграрный </w:t>
      </w:r>
    </w:p>
    <w:p w:rsidR="00724342" w:rsidRPr="00787EA7" w:rsidRDefault="00724342" w:rsidP="00724342">
      <w:pPr>
        <w:jc w:val="right"/>
        <w:rPr>
          <w:rFonts w:eastAsia="Calibri"/>
          <w:i/>
          <w:sz w:val="22"/>
          <w:szCs w:val="22"/>
        </w:rPr>
      </w:pPr>
      <w:r w:rsidRPr="00787EA7">
        <w:rPr>
          <w:rFonts w:eastAsia="Calibri"/>
          <w:sz w:val="22"/>
          <w:szCs w:val="22"/>
        </w:rPr>
        <w:t>университет имени И.</w:t>
      </w:r>
      <w:r w:rsidR="006167FC">
        <w:rPr>
          <w:rFonts w:eastAsia="Calibri"/>
          <w:sz w:val="22"/>
          <w:szCs w:val="22"/>
        </w:rPr>
        <w:t xml:space="preserve"> </w:t>
      </w:r>
      <w:r w:rsidRPr="00787EA7">
        <w:rPr>
          <w:rFonts w:eastAsia="Calibri"/>
          <w:sz w:val="22"/>
          <w:szCs w:val="22"/>
        </w:rPr>
        <w:t>Т. Трубилина</w:t>
      </w:r>
    </w:p>
    <w:p w:rsidR="00724342" w:rsidRPr="00787EA7" w:rsidRDefault="00724342" w:rsidP="006167FC">
      <w:pPr>
        <w:rPr>
          <w:rFonts w:eastAsia="Calibri"/>
          <w:sz w:val="22"/>
          <w:szCs w:val="22"/>
        </w:rPr>
      </w:pPr>
    </w:p>
    <w:p w:rsidR="00724342" w:rsidRPr="00787EA7" w:rsidRDefault="00724342" w:rsidP="00724342">
      <w:pPr>
        <w:ind w:firstLine="426"/>
        <w:jc w:val="both"/>
        <w:rPr>
          <w:color w:val="000000"/>
          <w:sz w:val="22"/>
          <w:szCs w:val="22"/>
        </w:rPr>
      </w:pPr>
      <w:r w:rsidRPr="00787EA7">
        <w:rPr>
          <w:caps/>
          <w:sz w:val="22"/>
          <w:szCs w:val="22"/>
        </w:rPr>
        <w:t>Аннотация</w:t>
      </w:r>
      <w:r w:rsidRPr="00787EA7">
        <w:rPr>
          <w:sz w:val="22"/>
          <w:szCs w:val="22"/>
        </w:rPr>
        <w:t xml:space="preserve">: </w:t>
      </w:r>
      <w:r w:rsidRPr="00787EA7">
        <w:rPr>
          <w:color w:val="000000"/>
          <w:sz w:val="22"/>
          <w:szCs w:val="22"/>
        </w:rPr>
        <w:t>Изучены действующие механизмы по предо</w:t>
      </w:r>
      <w:r w:rsidRPr="00787EA7">
        <w:rPr>
          <w:color w:val="000000"/>
          <w:sz w:val="22"/>
          <w:szCs w:val="22"/>
        </w:rPr>
        <w:t>т</w:t>
      </w:r>
      <w:r w:rsidRPr="00787EA7">
        <w:rPr>
          <w:color w:val="000000"/>
          <w:sz w:val="22"/>
          <w:szCs w:val="22"/>
        </w:rPr>
        <w:t xml:space="preserve">вращению банкротства кредитных организаций, </w:t>
      </w:r>
      <w:r w:rsidRPr="00787EA7">
        <w:rPr>
          <w:color w:val="000000"/>
          <w:sz w:val="24"/>
          <w:szCs w:val="24"/>
        </w:rPr>
        <w:t xml:space="preserve">дана оценка  </w:t>
      </w:r>
      <w:r w:rsidRPr="00787EA7">
        <w:rPr>
          <w:color w:val="000000"/>
          <w:sz w:val="22"/>
          <w:szCs w:val="22"/>
        </w:rPr>
        <w:t>ал</w:t>
      </w:r>
      <w:r w:rsidRPr="00787EA7">
        <w:rPr>
          <w:color w:val="000000"/>
          <w:sz w:val="22"/>
          <w:szCs w:val="22"/>
        </w:rPr>
        <w:t>ь</w:t>
      </w:r>
      <w:r w:rsidRPr="00787EA7">
        <w:rPr>
          <w:color w:val="000000"/>
          <w:sz w:val="22"/>
          <w:szCs w:val="22"/>
        </w:rPr>
        <w:t>тернативным методам Банка России по выявлению проблемных банков и предотвращению их банкротств.</w:t>
      </w:r>
    </w:p>
    <w:p w:rsidR="00724342" w:rsidRPr="00787EA7" w:rsidRDefault="00724342" w:rsidP="00724342">
      <w:pPr>
        <w:ind w:firstLine="426"/>
        <w:jc w:val="both"/>
        <w:rPr>
          <w:color w:val="000000"/>
          <w:sz w:val="22"/>
          <w:szCs w:val="22"/>
          <w:lang w:val="en-US"/>
        </w:rPr>
      </w:pPr>
      <w:r w:rsidRPr="00787EA7">
        <w:rPr>
          <w:caps/>
          <w:color w:val="000000"/>
          <w:sz w:val="22"/>
          <w:szCs w:val="22"/>
          <w:lang w:val="en-US"/>
        </w:rPr>
        <w:t>Abstract:</w:t>
      </w:r>
      <w:r w:rsidRPr="00787EA7">
        <w:rPr>
          <w:color w:val="000000"/>
          <w:sz w:val="22"/>
          <w:szCs w:val="22"/>
          <w:lang w:val="en-US"/>
        </w:rPr>
        <w:t xml:space="preserve"> this article discusses the process of the Bank of Ru</w:t>
      </w:r>
      <w:r w:rsidRPr="00787EA7">
        <w:rPr>
          <w:color w:val="000000"/>
          <w:sz w:val="22"/>
          <w:szCs w:val="22"/>
          <w:lang w:val="en-US"/>
        </w:rPr>
        <w:t>s</w:t>
      </w:r>
      <w:r w:rsidRPr="00787EA7">
        <w:rPr>
          <w:color w:val="000000"/>
          <w:sz w:val="22"/>
          <w:szCs w:val="22"/>
          <w:lang w:val="en-US"/>
        </w:rPr>
        <w:t>sia to identify problem banks and prevent their bankruptcy.</w:t>
      </w:r>
    </w:p>
    <w:p w:rsidR="00724342" w:rsidRPr="00787EA7" w:rsidRDefault="00724342" w:rsidP="00724342">
      <w:pPr>
        <w:ind w:firstLine="426"/>
        <w:jc w:val="both"/>
        <w:rPr>
          <w:color w:val="000000"/>
          <w:sz w:val="22"/>
          <w:szCs w:val="22"/>
        </w:rPr>
      </w:pPr>
      <w:r w:rsidRPr="00787EA7">
        <w:rPr>
          <w:caps/>
          <w:color w:val="000000"/>
          <w:sz w:val="22"/>
          <w:szCs w:val="22"/>
        </w:rPr>
        <w:t>Ключевые слова:</w:t>
      </w:r>
      <w:r w:rsidRPr="00787EA7">
        <w:rPr>
          <w:color w:val="000000"/>
          <w:sz w:val="22"/>
          <w:szCs w:val="22"/>
        </w:rPr>
        <w:t xml:space="preserve"> банк, банкротство, Банк России, сан</w:t>
      </w:r>
      <w:r w:rsidRPr="00787EA7">
        <w:rPr>
          <w:color w:val="000000"/>
          <w:sz w:val="22"/>
          <w:szCs w:val="22"/>
        </w:rPr>
        <w:t>а</w:t>
      </w:r>
      <w:r w:rsidRPr="00787EA7">
        <w:rPr>
          <w:color w:val="000000"/>
          <w:sz w:val="22"/>
          <w:szCs w:val="22"/>
        </w:rPr>
        <w:t>ция, финансовое оздоровление.</w:t>
      </w:r>
    </w:p>
    <w:p w:rsidR="00724342" w:rsidRPr="00787EA7" w:rsidRDefault="00724342" w:rsidP="00724342">
      <w:pPr>
        <w:ind w:firstLine="426"/>
        <w:jc w:val="both"/>
        <w:rPr>
          <w:color w:val="000000"/>
          <w:sz w:val="22"/>
          <w:szCs w:val="22"/>
          <w:lang w:val="en-US"/>
        </w:rPr>
      </w:pPr>
      <w:r w:rsidRPr="00787EA7">
        <w:rPr>
          <w:caps/>
          <w:color w:val="000000"/>
          <w:sz w:val="22"/>
          <w:szCs w:val="22"/>
          <w:lang w:val="en-US"/>
        </w:rPr>
        <w:t>Keywords:</w:t>
      </w:r>
      <w:r w:rsidRPr="00787EA7">
        <w:rPr>
          <w:color w:val="000000"/>
          <w:sz w:val="22"/>
          <w:szCs w:val="22"/>
          <w:lang w:val="en-US"/>
        </w:rPr>
        <w:t xml:space="preserve"> Bank, bankruptcy, Central Bank of Russia, rehabil</w:t>
      </w:r>
      <w:r w:rsidRPr="00787EA7">
        <w:rPr>
          <w:color w:val="000000"/>
          <w:sz w:val="22"/>
          <w:szCs w:val="22"/>
          <w:lang w:val="en-US"/>
        </w:rPr>
        <w:t>i</w:t>
      </w:r>
      <w:r w:rsidRPr="00787EA7">
        <w:rPr>
          <w:color w:val="000000"/>
          <w:sz w:val="22"/>
          <w:szCs w:val="22"/>
          <w:lang w:val="en-US"/>
        </w:rPr>
        <w:t>tation, financial recovery.</w:t>
      </w:r>
    </w:p>
    <w:p w:rsidR="00724342" w:rsidRPr="00787EA7" w:rsidRDefault="00724342" w:rsidP="00724342">
      <w:pPr>
        <w:ind w:firstLine="426"/>
        <w:rPr>
          <w:color w:val="000000"/>
          <w:sz w:val="22"/>
          <w:szCs w:val="22"/>
          <w:lang w:val="en-US"/>
        </w:rPr>
      </w:pP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Банкротство кредитной организации, если оно стартовало, н</w:t>
      </w:r>
      <w:r w:rsidRPr="00787EA7">
        <w:rPr>
          <w:rFonts w:eastAsia="Calibri"/>
          <w:sz w:val="22"/>
          <w:szCs w:val="22"/>
          <w:lang w:eastAsia="en-US"/>
        </w:rPr>
        <w:t>о</w:t>
      </w:r>
      <w:r w:rsidRPr="00787EA7">
        <w:rPr>
          <w:rFonts w:eastAsia="Calibri"/>
          <w:sz w:val="22"/>
          <w:szCs w:val="22"/>
          <w:lang w:eastAsia="en-US"/>
        </w:rPr>
        <w:t>сит, как правило, обвальный и необратимый характер, а отзыв л</w:t>
      </w:r>
      <w:r w:rsidRPr="00787EA7">
        <w:rPr>
          <w:rFonts w:eastAsia="Calibri"/>
          <w:sz w:val="22"/>
          <w:szCs w:val="22"/>
          <w:lang w:eastAsia="en-US"/>
        </w:rPr>
        <w:t>и</w:t>
      </w:r>
      <w:r w:rsidRPr="00787EA7">
        <w:rPr>
          <w:rFonts w:eastAsia="Calibri"/>
          <w:sz w:val="22"/>
          <w:szCs w:val="22"/>
          <w:lang w:eastAsia="en-US"/>
        </w:rPr>
        <w:t>цензии лишает возможности получать прибыль, с помощью которой можно погасить задолженность перед кредиторами и другими контрагентами. Вследствие этого меры по предупреждению разор</w:t>
      </w:r>
      <w:r w:rsidRPr="00787EA7">
        <w:rPr>
          <w:rFonts w:eastAsia="Calibri"/>
          <w:sz w:val="22"/>
          <w:szCs w:val="22"/>
          <w:lang w:eastAsia="en-US"/>
        </w:rPr>
        <w:t>е</w:t>
      </w:r>
      <w:r w:rsidRPr="00787EA7">
        <w:rPr>
          <w:rFonts w:eastAsia="Calibri"/>
          <w:sz w:val="22"/>
          <w:szCs w:val="22"/>
          <w:lang w:eastAsia="en-US"/>
        </w:rPr>
        <w:lastRenderedPageBreak/>
        <w:t>ния в кредитных организациях осуществляются исключительно на досудебных стадиях, когда остается возможность оздоровить банк.</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К числу мер по предупреждению банкротства кредитных орг</w:t>
      </w:r>
      <w:r w:rsidRPr="00787EA7">
        <w:rPr>
          <w:rFonts w:eastAsia="Calibri"/>
          <w:sz w:val="22"/>
          <w:szCs w:val="22"/>
          <w:lang w:eastAsia="en-US"/>
        </w:rPr>
        <w:t>а</w:t>
      </w:r>
      <w:r w:rsidRPr="00787EA7">
        <w:rPr>
          <w:rFonts w:eastAsia="Calibri"/>
          <w:sz w:val="22"/>
          <w:szCs w:val="22"/>
          <w:lang w:eastAsia="en-US"/>
        </w:rPr>
        <w:t>низаций относят: финансовое оздоровление, назначение временной администрации по управлению кредитной организацией в лице го</w:t>
      </w:r>
      <w:r w:rsidRPr="00787EA7">
        <w:rPr>
          <w:rFonts w:eastAsia="Calibri"/>
          <w:sz w:val="22"/>
          <w:szCs w:val="22"/>
          <w:lang w:eastAsia="en-US"/>
        </w:rPr>
        <w:t>с</w:t>
      </w:r>
      <w:r w:rsidRPr="00787EA7">
        <w:rPr>
          <w:rFonts w:eastAsia="Calibri"/>
          <w:sz w:val="22"/>
          <w:szCs w:val="22"/>
          <w:lang w:eastAsia="en-US"/>
        </w:rPr>
        <w:t>ударственной корпорации «Агентство по страхованию вкладов». Воплощение мер по экономическому оздоровлению может ос</w:t>
      </w:r>
      <w:r w:rsidRPr="00787EA7">
        <w:rPr>
          <w:rFonts w:eastAsia="Calibri"/>
          <w:sz w:val="22"/>
          <w:szCs w:val="22"/>
          <w:lang w:eastAsia="en-US"/>
        </w:rPr>
        <w:t>у</w:t>
      </w:r>
      <w:r w:rsidRPr="00787EA7">
        <w:rPr>
          <w:rFonts w:eastAsia="Calibri"/>
          <w:sz w:val="22"/>
          <w:szCs w:val="22"/>
          <w:lang w:eastAsia="en-US"/>
        </w:rPr>
        <w:t>ществляться как по инициативе самой кредитной организации, так и по просьбе Центрального банка РФ.</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 основу мер по предупреждению банкротства банков при н</w:t>
      </w:r>
      <w:r w:rsidRPr="00787EA7">
        <w:rPr>
          <w:rFonts w:eastAsia="Calibri"/>
          <w:sz w:val="22"/>
          <w:szCs w:val="22"/>
          <w:lang w:eastAsia="en-US"/>
        </w:rPr>
        <w:t>е</w:t>
      </w:r>
      <w:r w:rsidRPr="00787EA7">
        <w:rPr>
          <w:rFonts w:eastAsia="Calibri"/>
          <w:sz w:val="22"/>
          <w:szCs w:val="22"/>
          <w:lang w:eastAsia="en-US"/>
        </w:rPr>
        <w:t>имении системных опасностей положен принцип самооздоровл</w:t>
      </w:r>
      <w:r w:rsidRPr="00787EA7">
        <w:rPr>
          <w:rFonts w:eastAsia="Calibri"/>
          <w:sz w:val="22"/>
          <w:szCs w:val="22"/>
          <w:lang w:eastAsia="en-US"/>
        </w:rPr>
        <w:t>е</w:t>
      </w:r>
      <w:r w:rsidRPr="00787EA7">
        <w:rPr>
          <w:rFonts w:eastAsia="Calibri"/>
          <w:sz w:val="22"/>
          <w:szCs w:val="22"/>
          <w:lang w:eastAsia="en-US"/>
        </w:rPr>
        <w:t>ния, по которому бремя оздоровления ложится на акционеров ба</w:t>
      </w:r>
      <w:r w:rsidRPr="00787EA7">
        <w:rPr>
          <w:rFonts w:eastAsia="Calibri"/>
          <w:sz w:val="22"/>
          <w:szCs w:val="22"/>
          <w:lang w:eastAsia="en-US"/>
        </w:rPr>
        <w:t>н</w:t>
      </w:r>
      <w:r w:rsidRPr="00787EA7">
        <w:rPr>
          <w:rFonts w:eastAsia="Calibri"/>
          <w:sz w:val="22"/>
          <w:szCs w:val="22"/>
          <w:lang w:eastAsia="en-US"/>
        </w:rPr>
        <w:t>ка. Правительство в лице надзорного органа обеспечивает только условия для претворения в жизнь оздоровительных мер, а неп</w:t>
      </w:r>
      <w:r w:rsidRPr="00787EA7">
        <w:rPr>
          <w:rFonts w:eastAsia="Calibri"/>
          <w:sz w:val="22"/>
          <w:szCs w:val="22"/>
          <w:lang w:eastAsia="en-US"/>
        </w:rPr>
        <w:t>о</w:t>
      </w:r>
      <w:r w:rsidRPr="00787EA7">
        <w:rPr>
          <w:rFonts w:eastAsia="Calibri"/>
          <w:sz w:val="22"/>
          <w:szCs w:val="22"/>
          <w:lang w:eastAsia="en-US"/>
        </w:rPr>
        <w:t>средственно своевременное выявление проблем ложится на  м</w:t>
      </w:r>
      <w:r w:rsidRPr="00787EA7">
        <w:rPr>
          <w:rFonts w:eastAsia="Calibri"/>
          <w:sz w:val="22"/>
          <w:szCs w:val="22"/>
          <w:lang w:eastAsia="en-US"/>
        </w:rPr>
        <w:t>е</w:t>
      </w:r>
      <w:r w:rsidRPr="00787EA7">
        <w:rPr>
          <w:rFonts w:eastAsia="Calibri"/>
          <w:sz w:val="22"/>
          <w:szCs w:val="22"/>
          <w:lang w:eastAsia="en-US"/>
        </w:rPr>
        <w:t>неджмент и собственника банка.</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В том случае если восстановить проблемный банк акционерам не удается, правительство удаляет его с рынка через функцию бан</w:t>
      </w:r>
      <w:r w:rsidRPr="00787EA7">
        <w:rPr>
          <w:rFonts w:eastAsia="Calibri"/>
          <w:sz w:val="22"/>
          <w:szCs w:val="22"/>
          <w:lang w:eastAsia="en-US"/>
        </w:rPr>
        <w:t>к</w:t>
      </w:r>
      <w:r w:rsidRPr="00787EA7">
        <w:rPr>
          <w:rFonts w:eastAsia="Calibri"/>
          <w:sz w:val="22"/>
          <w:szCs w:val="22"/>
          <w:lang w:eastAsia="en-US"/>
        </w:rPr>
        <w:t>ротства. В то же время через систему страхования вкладов вкладч</w:t>
      </w:r>
      <w:r w:rsidRPr="00787EA7">
        <w:rPr>
          <w:rFonts w:eastAsia="Calibri"/>
          <w:sz w:val="22"/>
          <w:szCs w:val="22"/>
          <w:lang w:eastAsia="en-US"/>
        </w:rPr>
        <w:t>и</w:t>
      </w:r>
      <w:r w:rsidRPr="00787EA7">
        <w:rPr>
          <w:rFonts w:eastAsia="Calibri"/>
          <w:sz w:val="22"/>
          <w:szCs w:val="22"/>
          <w:lang w:eastAsia="en-US"/>
        </w:rPr>
        <w:t>кам выплачиваются компенсации. Данный процесс напрямую св</w:t>
      </w:r>
      <w:r w:rsidRPr="00787EA7">
        <w:rPr>
          <w:rFonts w:eastAsia="Calibri"/>
          <w:sz w:val="22"/>
          <w:szCs w:val="22"/>
          <w:lang w:eastAsia="en-US"/>
        </w:rPr>
        <w:t>и</w:t>
      </w:r>
      <w:r w:rsidRPr="00787EA7">
        <w:rPr>
          <w:rFonts w:eastAsia="Calibri"/>
          <w:sz w:val="22"/>
          <w:szCs w:val="22"/>
          <w:lang w:eastAsia="en-US"/>
        </w:rPr>
        <w:t>детельствует о поддержании рыночной дисциплины в банковском секторе в устойчивых финансовых условиях.</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 xml:space="preserve">Три главных механизма по предупреждению разорения банка, применяемых Агентством по страхованию вкладов: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 xml:space="preserve">1) инициирование реализации банка новым собственникам с целью увеличения его капитализации;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 xml:space="preserve">2) предоставление активов и обязанностей проблемного банка в финансово стойкий банк (P&amp;A);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3) временное приобретение АСВ-акций (долей в уставном к</w:t>
      </w:r>
      <w:r w:rsidRPr="00787EA7">
        <w:rPr>
          <w:rFonts w:eastAsia="Calibri"/>
          <w:sz w:val="22"/>
          <w:szCs w:val="22"/>
          <w:lang w:eastAsia="en-US"/>
        </w:rPr>
        <w:t>а</w:t>
      </w:r>
      <w:r w:rsidRPr="00787EA7">
        <w:rPr>
          <w:rFonts w:eastAsia="Calibri"/>
          <w:sz w:val="22"/>
          <w:szCs w:val="22"/>
          <w:lang w:eastAsia="en-US"/>
        </w:rPr>
        <w:t>питале) банка при их недоступности для частных потребителей.</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По состоянию на конец 2016 года Агентство по страхованию вкладов исполняло функции ликвидатора в 114 кредитных орган</w:t>
      </w:r>
      <w:r w:rsidRPr="00787EA7">
        <w:rPr>
          <w:rFonts w:eastAsia="Calibri"/>
          <w:sz w:val="22"/>
          <w:szCs w:val="22"/>
          <w:lang w:eastAsia="en-US"/>
        </w:rPr>
        <w:t>и</w:t>
      </w:r>
      <w:r w:rsidRPr="00787EA7">
        <w:rPr>
          <w:rFonts w:eastAsia="Calibri"/>
          <w:sz w:val="22"/>
          <w:szCs w:val="22"/>
          <w:lang w:eastAsia="en-US"/>
        </w:rPr>
        <w:t>зациях. Общее число ликвидационных процедур банков, осущест</w:t>
      </w:r>
      <w:r w:rsidRPr="00787EA7">
        <w:rPr>
          <w:rFonts w:eastAsia="Calibri"/>
          <w:sz w:val="22"/>
          <w:szCs w:val="22"/>
          <w:lang w:eastAsia="en-US"/>
        </w:rPr>
        <w:t>в</w:t>
      </w:r>
      <w:r w:rsidRPr="00787EA7">
        <w:rPr>
          <w:rFonts w:eastAsia="Calibri"/>
          <w:sz w:val="22"/>
          <w:szCs w:val="22"/>
          <w:lang w:eastAsia="en-US"/>
        </w:rPr>
        <w:t>ленных АСВ с начала собственной работы в начале ноября 2017 года, составляет 308. Число законченных ликвидационных проц</w:t>
      </w:r>
      <w:r w:rsidRPr="00787EA7">
        <w:rPr>
          <w:rFonts w:eastAsia="Calibri"/>
          <w:sz w:val="22"/>
          <w:szCs w:val="22"/>
          <w:lang w:eastAsia="en-US"/>
        </w:rPr>
        <w:t>е</w:t>
      </w:r>
      <w:r w:rsidRPr="00787EA7">
        <w:rPr>
          <w:rFonts w:eastAsia="Calibri"/>
          <w:sz w:val="22"/>
          <w:szCs w:val="22"/>
          <w:lang w:eastAsia="en-US"/>
        </w:rPr>
        <w:t xml:space="preserve">дур – 194 [1]. </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Альтернативным методом реагирования на ухудшение фина</w:t>
      </w:r>
      <w:r w:rsidRPr="00787EA7">
        <w:rPr>
          <w:rFonts w:eastAsia="Calibri"/>
          <w:sz w:val="22"/>
          <w:szCs w:val="22"/>
          <w:lang w:eastAsia="en-US"/>
        </w:rPr>
        <w:t>н</w:t>
      </w:r>
      <w:r w:rsidRPr="00787EA7">
        <w:rPr>
          <w:rFonts w:eastAsia="Calibri"/>
          <w:sz w:val="22"/>
          <w:szCs w:val="22"/>
          <w:lang w:eastAsia="en-US"/>
        </w:rPr>
        <w:t xml:space="preserve">сового положения банков, по мнению Банка России, может стать </w:t>
      </w:r>
      <w:r w:rsidRPr="00787EA7">
        <w:rPr>
          <w:rFonts w:eastAsia="Calibri"/>
          <w:sz w:val="22"/>
          <w:szCs w:val="22"/>
          <w:lang w:eastAsia="en-US"/>
        </w:rPr>
        <w:lastRenderedPageBreak/>
        <w:t>заключение соглашений о реструктуризации с кредиторами банков в сочетании с процедурой bail-in.</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Bail-in - инструмент урегулирования несостоятельности, кот</w:t>
      </w:r>
      <w:r w:rsidRPr="00787EA7">
        <w:rPr>
          <w:rFonts w:eastAsia="Calibri"/>
          <w:sz w:val="22"/>
          <w:szCs w:val="22"/>
          <w:lang w:eastAsia="en-US"/>
        </w:rPr>
        <w:t>о</w:t>
      </w:r>
      <w:r w:rsidRPr="00787EA7">
        <w:rPr>
          <w:rFonts w:eastAsia="Calibri"/>
          <w:sz w:val="22"/>
          <w:szCs w:val="22"/>
          <w:lang w:eastAsia="en-US"/>
        </w:rPr>
        <w:t>рый позволяет производить списание необеспеченных и незастр</w:t>
      </w:r>
      <w:r w:rsidRPr="00787EA7">
        <w:rPr>
          <w:rFonts w:eastAsia="Calibri"/>
          <w:sz w:val="22"/>
          <w:szCs w:val="22"/>
          <w:lang w:eastAsia="en-US"/>
        </w:rPr>
        <w:t>а</w:t>
      </w:r>
      <w:r w:rsidRPr="00787EA7">
        <w:rPr>
          <w:rFonts w:eastAsia="Calibri"/>
          <w:sz w:val="22"/>
          <w:szCs w:val="22"/>
          <w:lang w:eastAsia="en-US"/>
        </w:rPr>
        <w:t>хованных требований кредиторов или конвертировать их в участие в капитале с соблюдением очередности требований при ликвид</w:t>
      </w:r>
      <w:r w:rsidRPr="00787EA7">
        <w:rPr>
          <w:rFonts w:eastAsia="Calibri"/>
          <w:sz w:val="22"/>
          <w:szCs w:val="22"/>
          <w:lang w:eastAsia="en-US"/>
        </w:rPr>
        <w:t>а</w:t>
      </w:r>
      <w:r w:rsidRPr="00787EA7">
        <w:rPr>
          <w:rFonts w:eastAsia="Calibri"/>
          <w:sz w:val="22"/>
          <w:szCs w:val="22"/>
          <w:lang w:eastAsia="en-US"/>
        </w:rPr>
        <w:t>ции. Для обеспечения платежеспособности и продолжения работы коммерческого банка Центробанк из собственных фондов пополнит его капитал требуемой суммой. После чего она будет компенсир</w:t>
      </w:r>
      <w:r w:rsidRPr="00787EA7">
        <w:rPr>
          <w:rFonts w:eastAsia="Calibri"/>
          <w:sz w:val="22"/>
          <w:szCs w:val="22"/>
          <w:lang w:eastAsia="en-US"/>
        </w:rPr>
        <w:t>о</w:t>
      </w:r>
      <w:r w:rsidRPr="00787EA7">
        <w:rPr>
          <w:rFonts w:eastAsia="Calibri"/>
          <w:sz w:val="22"/>
          <w:szCs w:val="22"/>
          <w:lang w:eastAsia="en-US"/>
        </w:rPr>
        <w:t xml:space="preserve">вана с помощью возврата выданных ранее банком кредитов [2]. </w:t>
      </w:r>
    </w:p>
    <w:p w:rsidR="00724342" w:rsidRPr="00787EA7" w:rsidRDefault="00724342" w:rsidP="00724342">
      <w:pPr>
        <w:spacing w:after="200"/>
        <w:ind w:firstLine="426"/>
        <w:jc w:val="both"/>
        <w:rPr>
          <w:rFonts w:eastAsia="Calibri"/>
          <w:sz w:val="22"/>
          <w:szCs w:val="22"/>
          <w:lang w:eastAsia="en-US"/>
        </w:rPr>
      </w:pPr>
      <w:r w:rsidRPr="00787EA7">
        <w:rPr>
          <w:rFonts w:eastAsia="Calibri"/>
          <w:sz w:val="22"/>
          <w:szCs w:val="22"/>
          <w:lang w:eastAsia="en-US"/>
        </w:rPr>
        <w:t>Новый механизм урегулирования несостоятельности кредитной организации, позволит снизить риск, связанный с приобретением санируемых банков слабыми инвесторами с намерением перевести в них свои плохие активы для улучшения собственного финансов</w:t>
      </w:r>
      <w:r w:rsidRPr="00787EA7">
        <w:rPr>
          <w:rFonts w:eastAsia="Calibri"/>
          <w:sz w:val="22"/>
          <w:szCs w:val="22"/>
          <w:lang w:eastAsia="en-US"/>
        </w:rPr>
        <w:t>о</w:t>
      </w:r>
      <w:r w:rsidRPr="00787EA7">
        <w:rPr>
          <w:rFonts w:eastAsia="Calibri"/>
          <w:sz w:val="22"/>
          <w:szCs w:val="22"/>
          <w:lang w:eastAsia="en-US"/>
        </w:rPr>
        <w:t>го положения, что часто влечет за собой дополнительные затраты на санацию для государства. Подводя итог, можно констатировать, что в целом российская система регулирования банкротства ко</w:t>
      </w:r>
      <w:r w:rsidRPr="00787EA7">
        <w:rPr>
          <w:rFonts w:eastAsia="Calibri"/>
          <w:sz w:val="22"/>
          <w:szCs w:val="22"/>
          <w:lang w:eastAsia="en-US"/>
        </w:rPr>
        <w:t>м</w:t>
      </w:r>
      <w:r w:rsidRPr="00787EA7">
        <w:rPr>
          <w:rFonts w:eastAsia="Calibri"/>
          <w:sz w:val="22"/>
          <w:szCs w:val="22"/>
          <w:lang w:eastAsia="en-US"/>
        </w:rPr>
        <w:t>мерческих банков соответствует мировой практике решения вопр</w:t>
      </w:r>
      <w:r w:rsidRPr="00787EA7">
        <w:rPr>
          <w:rFonts w:eastAsia="Calibri"/>
          <w:sz w:val="22"/>
          <w:szCs w:val="22"/>
          <w:lang w:eastAsia="en-US"/>
        </w:rPr>
        <w:t>о</w:t>
      </w:r>
      <w:r w:rsidRPr="00787EA7">
        <w:rPr>
          <w:rFonts w:eastAsia="Calibri"/>
          <w:sz w:val="22"/>
          <w:szCs w:val="22"/>
          <w:lang w:eastAsia="en-US"/>
        </w:rPr>
        <w:t xml:space="preserve">сов с несостоятельными банками. </w:t>
      </w:r>
    </w:p>
    <w:p w:rsidR="00724342" w:rsidRPr="00787EA7" w:rsidRDefault="00724342" w:rsidP="00724342">
      <w:pPr>
        <w:ind w:firstLine="426"/>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6167FC" w:rsidRDefault="00724342" w:rsidP="00724342">
      <w:pPr>
        <w:tabs>
          <w:tab w:val="left" w:pos="993"/>
        </w:tabs>
        <w:ind w:firstLine="426"/>
        <w:jc w:val="both"/>
        <w:rPr>
          <w:rFonts w:eastAsia="Calibri"/>
          <w:sz w:val="22"/>
          <w:szCs w:val="22"/>
          <w:lang w:val="en-US" w:eastAsia="en-US"/>
        </w:rPr>
      </w:pPr>
      <w:r w:rsidRPr="006167FC">
        <w:rPr>
          <w:rFonts w:eastAsia="Calibri"/>
          <w:sz w:val="22"/>
          <w:szCs w:val="22"/>
          <w:lang w:eastAsia="en-US"/>
        </w:rPr>
        <w:t xml:space="preserve">1. Официальный сайт Агентства по страхованию вкладов. </w:t>
      </w:r>
      <w:r w:rsidRPr="006167FC">
        <w:rPr>
          <w:rFonts w:eastAsia="Calibri"/>
          <w:sz w:val="22"/>
          <w:szCs w:val="22"/>
          <w:lang w:val="en-US" w:eastAsia="en-US"/>
        </w:rPr>
        <w:t xml:space="preserve">URL: </w:t>
      </w:r>
      <w:r w:rsidR="009D0151">
        <w:fldChar w:fldCharType="begin"/>
      </w:r>
      <w:r w:rsidR="009D0151" w:rsidRPr="009D0151">
        <w:rPr>
          <w:lang w:val="en-US"/>
        </w:rPr>
        <w:instrText xml:space="preserve"> HYPERLINK "http://www.asv.org.ru/sanation/" </w:instrText>
      </w:r>
      <w:r w:rsidR="009D0151">
        <w:fldChar w:fldCharType="separate"/>
      </w:r>
      <w:r w:rsidRPr="006167FC">
        <w:rPr>
          <w:rFonts w:eastAsia="Calibri"/>
          <w:sz w:val="22"/>
          <w:szCs w:val="22"/>
          <w:lang w:val="en-US" w:eastAsia="en-US"/>
        </w:rPr>
        <w:t>http://www.asv.org.ru/sanation/</w:t>
      </w:r>
      <w:r w:rsidR="009D0151">
        <w:rPr>
          <w:rFonts w:eastAsia="Calibri"/>
          <w:sz w:val="22"/>
          <w:szCs w:val="22"/>
          <w:lang w:val="en-US" w:eastAsia="en-US"/>
        </w:rPr>
        <w:fldChar w:fldCharType="end"/>
      </w:r>
      <w:r w:rsidRPr="006167FC">
        <w:rPr>
          <w:rFonts w:eastAsia="Calibri"/>
          <w:sz w:val="22"/>
          <w:szCs w:val="22"/>
          <w:lang w:val="en-US" w:eastAsia="en-US"/>
        </w:rPr>
        <w:t>.</w:t>
      </w:r>
    </w:p>
    <w:p w:rsidR="00724342" w:rsidRDefault="00724342" w:rsidP="00724342">
      <w:pPr>
        <w:tabs>
          <w:tab w:val="left" w:pos="993"/>
        </w:tabs>
        <w:ind w:firstLine="426"/>
        <w:jc w:val="both"/>
        <w:rPr>
          <w:rFonts w:eastAsia="Calibri"/>
          <w:sz w:val="22"/>
          <w:szCs w:val="22"/>
          <w:lang w:eastAsia="en-US"/>
        </w:rPr>
      </w:pPr>
      <w:r w:rsidRPr="00787EA7">
        <w:rPr>
          <w:rFonts w:eastAsia="Calibri"/>
          <w:sz w:val="22"/>
          <w:szCs w:val="22"/>
          <w:lang w:eastAsia="en-US"/>
        </w:rPr>
        <w:t>2. Верзлюк Н.Н., Симонянц Н.Н.: Регулирование несостоятел</w:t>
      </w:r>
      <w:r w:rsidRPr="00787EA7">
        <w:rPr>
          <w:rFonts w:eastAsia="Calibri"/>
          <w:sz w:val="22"/>
          <w:szCs w:val="22"/>
          <w:lang w:eastAsia="en-US"/>
        </w:rPr>
        <w:t>ь</w:t>
      </w:r>
      <w:r w:rsidRPr="00787EA7">
        <w:rPr>
          <w:rFonts w:eastAsia="Calibri"/>
          <w:sz w:val="22"/>
          <w:szCs w:val="22"/>
          <w:lang w:eastAsia="en-US"/>
        </w:rPr>
        <w:t>ности кредитных организаций и механизм предупреждения их банкротства -  ООО «Аэтерна» (Уфа), 2017г.</w:t>
      </w:r>
    </w:p>
    <w:p w:rsidR="006167FC" w:rsidRPr="00787EA7" w:rsidRDefault="006167FC" w:rsidP="00724342">
      <w:pPr>
        <w:tabs>
          <w:tab w:val="left" w:pos="993"/>
        </w:tabs>
        <w:ind w:firstLine="426"/>
        <w:jc w:val="both"/>
        <w:rPr>
          <w:rFonts w:eastAsia="Calibri"/>
          <w:sz w:val="22"/>
          <w:szCs w:val="22"/>
          <w:lang w:eastAsia="en-US"/>
        </w:rPr>
      </w:pPr>
    </w:p>
    <w:p w:rsidR="006167FC" w:rsidRDefault="006167FC" w:rsidP="00724342">
      <w:pPr>
        <w:jc w:val="both"/>
        <w:outlineLvl w:val="0"/>
        <w:rPr>
          <w:rFonts w:eastAsia="Calibri"/>
          <w:sz w:val="22"/>
          <w:szCs w:val="22"/>
          <w:lang w:eastAsia="en-US"/>
        </w:rPr>
      </w:pPr>
    </w:p>
    <w:p w:rsidR="006167FC" w:rsidRDefault="00CE4C84" w:rsidP="00CE4C84">
      <w:pPr>
        <w:rPr>
          <w:rFonts w:eastAsia="Calibri"/>
          <w:sz w:val="22"/>
          <w:szCs w:val="22"/>
          <w:lang w:eastAsia="en-US"/>
        </w:rPr>
      </w:pPr>
      <w:r>
        <w:rPr>
          <w:rFonts w:eastAsia="Calibri"/>
          <w:sz w:val="22"/>
          <w:szCs w:val="22"/>
          <w:lang w:eastAsia="en-US"/>
        </w:rPr>
        <w:br w:type="page"/>
      </w:r>
    </w:p>
    <w:p w:rsidR="00724342" w:rsidRPr="00787EA7" w:rsidRDefault="00724342" w:rsidP="00724342">
      <w:pPr>
        <w:jc w:val="both"/>
        <w:outlineLvl w:val="0"/>
        <w:rPr>
          <w:rFonts w:eastAsia="Calibri"/>
          <w:sz w:val="22"/>
          <w:szCs w:val="22"/>
          <w:lang w:eastAsia="en-US"/>
        </w:rPr>
      </w:pPr>
      <w:r w:rsidRPr="00787EA7">
        <w:rPr>
          <w:rFonts w:eastAsia="Calibri"/>
          <w:sz w:val="22"/>
          <w:szCs w:val="22"/>
          <w:lang w:eastAsia="en-US"/>
        </w:rPr>
        <w:lastRenderedPageBreak/>
        <w:t>УДК 005.19</w:t>
      </w:r>
    </w:p>
    <w:p w:rsidR="00724342" w:rsidRPr="00787EA7" w:rsidRDefault="00724342" w:rsidP="00724342">
      <w:pPr>
        <w:jc w:val="both"/>
        <w:rPr>
          <w:rFonts w:eastAsia="Calibri"/>
          <w:sz w:val="18"/>
          <w:szCs w:val="18"/>
          <w:lang w:eastAsia="en-US"/>
        </w:rPr>
      </w:pPr>
    </w:p>
    <w:p w:rsidR="00724342" w:rsidRPr="00787EA7" w:rsidRDefault="00724342" w:rsidP="00724342">
      <w:pPr>
        <w:jc w:val="center"/>
        <w:outlineLvl w:val="0"/>
        <w:rPr>
          <w:rFonts w:eastAsia="Calibri"/>
          <w:b/>
          <w:sz w:val="24"/>
          <w:szCs w:val="24"/>
          <w:lang w:eastAsia="en-US"/>
        </w:rPr>
      </w:pPr>
      <w:r w:rsidRPr="00787EA7">
        <w:rPr>
          <w:rFonts w:eastAsia="Calibri"/>
          <w:b/>
          <w:sz w:val="24"/>
          <w:szCs w:val="24"/>
          <w:lang w:eastAsia="en-US"/>
        </w:rPr>
        <w:t>Закономерности развития финансового менеджмента</w:t>
      </w:r>
    </w:p>
    <w:p w:rsidR="00724342" w:rsidRPr="00787EA7" w:rsidRDefault="00724342" w:rsidP="00724342">
      <w:pPr>
        <w:jc w:val="center"/>
        <w:rPr>
          <w:rFonts w:eastAsia="Calibri"/>
          <w:b/>
          <w:sz w:val="24"/>
          <w:szCs w:val="24"/>
          <w:lang w:eastAsia="en-US"/>
        </w:rPr>
      </w:pPr>
      <w:r w:rsidRPr="00787EA7">
        <w:rPr>
          <w:rFonts w:eastAsia="Calibri"/>
          <w:b/>
          <w:sz w:val="24"/>
          <w:szCs w:val="24"/>
          <w:lang w:val="en-US" w:eastAsia="en-US"/>
        </w:rPr>
        <w:t>Development</w:t>
      </w:r>
      <w:r w:rsidRPr="00787EA7">
        <w:rPr>
          <w:rFonts w:eastAsia="Calibri"/>
          <w:b/>
          <w:sz w:val="24"/>
          <w:szCs w:val="24"/>
          <w:lang w:eastAsia="en-US"/>
        </w:rPr>
        <w:t xml:space="preserve"> </w:t>
      </w:r>
      <w:r w:rsidRPr="00787EA7">
        <w:rPr>
          <w:rFonts w:eastAsia="Calibri"/>
          <w:b/>
          <w:sz w:val="24"/>
          <w:szCs w:val="24"/>
          <w:lang w:val="en-US" w:eastAsia="en-US"/>
        </w:rPr>
        <w:t>of</w:t>
      </w:r>
      <w:r w:rsidRPr="00787EA7">
        <w:rPr>
          <w:rFonts w:eastAsia="Calibri"/>
          <w:b/>
          <w:sz w:val="24"/>
          <w:szCs w:val="24"/>
          <w:lang w:eastAsia="en-US"/>
        </w:rPr>
        <w:t xml:space="preserve"> </w:t>
      </w:r>
      <w:r w:rsidRPr="00787EA7">
        <w:rPr>
          <w:rFonts w:eastAsia="Calibri"/>
          <w:b/>
          <w:sz w:val="24"/>
          <w:szCs w:val="24"/>
          <w:lang w:val="en-US" w:eastAsia="en-US"/>
        </w:rPr>
        <w:t>financial</w:t>
      </w:r>
      <w:r w:rsidRPr="00787EA7">
        <w:rPr>
          <w:rFonts w:eastAsia="Calibri"/>
          <w:b/>
          <w:sz w:val="24"/>
          <w:szCs w:val="24"/>
          <w:lang w:eastAsia="en-US"/>
        </w:rPr>
        <w:t xml:space="preserve"> </w:t>
      </w:r>
      <w:r w:rsidRPr="00787EA7">
        <w:rPr>
          <w:rFonts w:eastAsia="Calibri"/>
          <w:b/>
          <w:sz w:val="24"/>
          <w:szCs w:val="24"/>
          <w:lang w:val="en-US" w:eastAsia="en-US"/>
        </w:rPr>
        <w:t>management</w:t>
      </w:r>
    </w:p>
    <w:p w:rsidR="00724342" w:rsidRPr="00787EA7" w:rsidRDefault="00724342" w:rsidP="00724342">
      <w:pPr>
        <w:jc w:val="center"/>
        <w:rPr>
          <w:rFonts w:eastAsia="Calibri"/>
          <w:b/>
          <w:sz w:val="18"/>
          <w:szCs w:val="18"/>
          <w:lang w:eastAsia="en-US"/>
        </w:rPr>
      </w:pP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Сафарова</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С.</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Н.,</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студентка 2-го курса факультета финансы и кредит</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Илюшко С.</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В.,</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старший преподаватель кафедры экономики предприятий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Кубанский государственный аграрный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университет имени И. Т. Трубилина</w:t>
      </w:r>
    </w:p>
    <w:p w:rsidR="00724342" w:rsidRPr="00787EA7" w:rsidRDefault="00724342" w:rsidP="00724342">
      <w:pPr>
        <w:ind w:firstLine="425"/>
        <w:jc w:val="center"/>
        <w:rPr>
          <w:rFonts w:eastAsia="Calibri"/>
          <w:sz w:val="22"/>
          <w:szCs w:val="22"/>
          <w:shd w:val="clear" w:color="auto" w:fill="FFFFFF"/>
          <w:lang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АННОТАЦИЯ: Рассмотрены этапы становления финансового менеджмента, а также выделены главные методы, присущие ка</w:t>
      </w:r>
      <w:r w:rsidRPr="00787EA7">
        <w:rPr>
          <w:rFonts w:eastAsia="Calibri"/>
          <w:sz w:val="22"/>
          <w:szCs w:val="22"/>
          <w:lang w:eastAsia="en-US"/>
        </w:rPr>
        <w:t>ж</w:t>
      </w:r>
      <w:r w:rsidRPr="00787EA7">
        <w:rPr>
          <w:rFonts w:eastAsia="Calibri"/>
          <w:sz w:val="22"/>
          <w:szCs w:val="22"/>
          <w:lang w:eastAsia="en-US"/>
        </w:rPr>
        <w:t>дому этапу. Определенасовокупностьметодовдлянаиболееэффе</w:t>
      </w:r>
      <w:r w:rsidRPr="00787EA7">
        <w:rPr>
          <w:rFonts w:eastAsia="Calibri"/>
          <w:sz w:val="22"/>
          <w:szCs w:val="22"/>
          <w:lang w:eastAsia="en-US"/>
        </w:rPr>
        <w:t>к</w:t>
      </w:r>
      <w:r w:rsidRPr="00787EA7">
        <w:rPr>
          <w:rFonts w:eastAsia="Calibri"/>
          <w:sz w:val="22"/>
          <w:szCs w:val="22"/>
          <w:lang w:eastAsia="en-US"/>
        </w:rPr>
        <w:t>тивнойработыорганизации. Выявлены методы и концепции, кот</w:t>
      </w:r>
      <w:r w:rsidRPr="00787EA7">
        <w:rPr>
          <w:rFonts w:eastAsia="Calibri"/>
          <w:sz w:val="22"/>
          <w:szCs w:val="22"/>
          <w:lang w:eastAsia="en-US"/>
        </w:rPr>
        <w:t>о</w:t>
      </w:r>
      <w:r w:rsidRPr="00787EA7">
        <w:rPr>
          <w:rFonts w:eastAsia="Calibri"/>
          <w:sz w:val="22"/>
          <w:szCs w:val="22"/>
          <w:lang w:eastAsia="en-US"/>
        </w:rPr>
        <w:t>рые используются на современном этапе финансового менеджме</w:t>
      </w:r>
      <w:r w:rsidRPr="00787EA7">
        <w:rPr>
          <w:rFonts w:eastAsia="Calibri"/>
          <w:sz w:val="22"/>
          <w:szCs w:val="22"/>
          <w:lang w:eastAsia="en-US"/>
        </w:rPr>
        <w:t>н</w:t>
      </w:r>
      <w:r w:rsidRPr="00787EA7">
        <w:rPr>
          <w:rFonts w:eastAsia="Calibri"/>
          <w:sz w:val="22"/>
          <w:szCs w:val="22"/>
          <w:lang w:eastAsia="en-US"/>
        </w:rPr>
        <w:t>та.</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The stages of the formation of financial management are considered, as well as the main methods inherent in each stage. The set of methods for the most effective work of the organization is dete</w:t>
      </w:r>
      <w:r w:rsidRPr="00787EA7">
        <w:rPr>
          <w:rFonts w:eastAsia="Calibri"/>
          <w:sz w:val="22"/>
          <w:szCs w:val="22"/>
          <w:lang w:val="en-US" w:eastAsia="en-US"/>
        </w:rPr>
        <w:t>r</w:t>
      </w:r>
      <w:r w:rsidRPr="00787EA7">
        <w:rPr>
          <w:rFonts w:eastAsia="Calibri"/>
          <w:sz w:val="22"/>
          <w:szCs w:val="22"/>
          <w:lang w:val="en-US" w:eastAsia="en-US"/>
        </w:rPr>
        <w:t>mined. The methods and concepts used at the present stage of financial management are revealed.</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финансовый менеджмент,  эффективное производство, финансовые ресурсы.</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KEYWORDS: financial management, efficient production, fina</w:t>
      </w:r>
      <w:r w:rsidRPr="00787EA7">
        <w:rPr>
          <w:rFonts w:eastAsia="Calibri"/>
          <w:sz w:val="22"/>
          <w:szCs w:val="22"/>
          <w:lang w:val="en-US" w:eastAsia="en-US"/>
        </w:rPr>
        <w:t>n</w:t>
      </w:r>
      <w:r w:rsidRPr="00787EA7">
        <w:rPr>
          <w:rFonts w:eastAsia="Calibri"/>
          <w:sz w:val="22"/>
          <w:szCs w:val="22"/>
          <w:lang w:val="en-US" w:eastAsia="en-US"/>
        </w:rPr>
        <w:t>cial resources.</w:t>
      </w:r>
    </w:p>
    <w:p w:rsidR="00724342" w:rsidRPr="00787EA7" w:rsidRDefault="00724342" w:rsidP="00724342">
      <w:pPr>
        <w:ind w:firstLine="425"/>
        <w:jc w:val="center"/>
        <w:rPr>
          <w:rFonts w:eastAsia="Calibri"/>
          <w:b/>
          <w:sz w:val="24"/>
          <w:szCs w:val="24"/>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Каждой исторической эпохе свойственны свои закономерности и методы развития экономики. Финансовый менеджмент –ключевой раздел менеджмента, который влияет на все сферы общества. Ка</w:t>
      </w:r>
      <w:r w:rsidRPr="00787EA7">
        <w:rPr>
          <w:rFonts w:eastAsia="Calibri"/>
          <w:sz w:val="22"/>
          <w:szCs w:val="22"/>
          <w:lang w:eastAsia="en-US"/>
        </w:rPr>
        <w:t>ж</w:t>
      </w:r>
      <w:r w:rsidRPr="00787EA7">
        <w:rPr>
          <w:rFonts w:eastAsia="Calibri"/>
          <w:sz w:val="22"/>
          <w:szCs w:val="22"/>
          <w:lang w:eastAsia="en-US"/>
        </w:rPr>
        <w:t>дому периоду времени были присущи свои эффективные методы и варианты решения социально-экономических проблем, которые б</w:t>
      </w:r>
      <w:r w:rsidRPr="00787EA7">
        <w:rPr>
          <w:rFonts w:eastAsia="Calibri"/>
          <w:sz w:val="22"/>
          <w:szCs w:val="22"/>
          <w:lang w:eastAsia="en-US"/>
        </w:rPr>
        <w:t>ы</w:t>
      </w:r>
      <w:r w:rsidRPr="00787EA7">
        <w:rPr>
          <w:rFonts w:eastAsia="Calibri"/>
          <w:sz w:val="22"/>
          <w:szCs w:val="22"/>
          <w:lang w:eastAsia="en-US"/>
        </w:rPr>
        <w:t>ли тесно связаны с финансовым менеджментом. Благодаря интегр</w:t>
      </w:r>
      <w:r w:rsidRPr="00787EA7">
        <w:rPr>
          <w:rFonts w:eastAsia="Calibri"/>
          <w:sz w:val="22"/>
          <w:szCs w:val="22"/>
          <w:lang w:eastAsia="en-US"/>
        </w:rPr>
        <w:t>а</w:t>
      </w:r>
      <w:r w:rsidRPr="00787EA7">
        <w:rPr>
          <w:rFonts w:eastAsia="Calibri"/>
          <w:sz w:val="22"/>
          <w:szCs w:val="22"/>
          <w:lang w:eastAsia="en-US"/>
        </w:rPr>
        <w:t>ции России с современными мировыми экономико-социальными процессами произошло развитие экономической и финансовой те</w:t>
      </w:r>
      <w:r w:rsidRPr="00787EA7">
        <w:rPr>
          <w:rFonts w:eastAsia="Calibri"/>
          <w:sz w:val="22"/>
          <w:szCs w:val="22"/>
          <w:lang w:eastAsia="en-US"/>
        </w:rPr>
        <w:t>о</w:t>
      </w:r>
      <w:r w:rsidRPr="00787EA7">
        <w:rPr>
          <w:rFonts w:eastAsia="Calibri"/>
          <w:sz w:val="22"/>
          <w:szCs w:val="22"/>
          <w:lang w:eastAsia="en-US"/>
        </w:rPr>
        <w:t>рии. Многие концепции и методы ведения финансового менед</w:t>
      </w:r>
      <w:r w:rsidRPr="00787EA7">
        <w:rPr>
          <w:rFonts w:eastAsia="Calibri"/>
          <w:sz w:val="22"/>
          <w:szCs w:val="22"/>
          <w:lang w:eastAsia="en-US"/>
        </w:rPr>
        <w:t>ж</w:t>
      </w:r>
      <w:r w:rsidRPr="00787EA7">
        <w:rPr>
          <w:rFonts w:eastAsia="Calibri"/>
          <w:sz w:val="22"/>
          <w:szCs w:val="22"/>
          <w:lang w:eastAsia="en-US"/>
        </w:rPr>
        <w:t>мента прошли сквозь эпохи и до сих пор актуальны.</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lastRenderedPageBreak/>
        <w:t>Как отдельное течение финансовый менеджмент сформирова</w:t>
      </w:r>
      <w:r w:rsidRPr="00787EA7">
        <w:rPr>
          <w:rFonts w:eastAsia="Calibri"/>
          <w:sz w:val="22"/>
          <w:szCs w:val="22"/>
          <w:lang w:eastAsia="en-US"/>
        </w:rPr>
        <w:t>л</w:t>
      </w:r>
      <w:r w:rsidRPr="00787EA7">
        <w:rPr>
          <w:rFonts w:eastAsia="Calibri"/>
          <w:sz w:val="22"/>
          <w:szCs w:val="22"/>
          <w:lang w:eastAsia="en-US"/>
        </w:rPr>
        <w:t>ся более ста лет назад в странах с развитой рыночной экономикой. Очагами появления нового направления стали западная Европа и Северная Америка.</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Развитие финансового менеджмента как отдельной науки в России началось с 1990-х гг. Российские ученые и экономисты п</w:t>
      </w:r>
      <w:r w:rsidRPr="00787EA7">
        <w:rPr>
          <w:rFonts w:eastAsia="Calibri"/>
          <w:sz w:val="22"/>
          <w:szCs w:val="22"/>
          <w:lang w:eastAsia="en-US"/>
        </w:rPr>
        <w:t>ы</w:t>
      </w:r>
      <w:r w:rsidRPr="00787EA7">
        <w:rPr>
          <w:rFonts w:eastAsia="Calibri"/>
          <w:sz w:val="22"/>
          <w:szCs w:val="22"/>
          <w:lang w:eastAsia="en-US"/>
        </w:rPr>
        <w:t>тались адаптировать зарубежные методы управления финансами, чтобы в дальнейшем применить их в условиях экономики перехо</w:t>
      </w:r>
      <w:r w:rsidRPr="00787EA7">
        <w:rPr>
          <w:rFonts w:eastAsia="Calibri"/>
          <w:sz w:val="22"/>
          <w:szCs w:val="22"/>
          <w:lang w:eastAsia="en-US"/>
        </w:rPr>
        <w:t>д</w:t>
      </w:r>
      <w:r w:rsidRPr="00787EA7">
        <w:rPr>
          <w:rFonts w:eastAsia="Calibri"/>
          <w:sz w:val="22"/>
          <w:szCs w:val="22"/>
          <w:lang w:eastAsia="en-US"/>
        </w:rPr>
        <w:t>ного периода.</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Развитие финансового менеджмента на Западе было связано с завершением индустриализации. Темпы роста предприятий и орг</w:t>
      </w:r>
      <w:r w:rsidRPr="00787EA7">
        <w:rPr>
          <w:rFonts w:eastAsia="Calibri"/>
          <w:sz w:val="22"/>
          <w:szCs w:val="22"/>
          <w:lang w:eastAsia="en-US"/>
        </w:rPr>
        <w:t>а</w:t>
      </w:r>
      <w:r w:rsidRPr="00787EA7">
        <w:rPr>
          <w:rFonts w:eastAsia="Calibri"/>
          <w:sz w:val="22"/>
          <w:szCs w:val="22"/>
          <w:lang w:eastAsia="en-US"/>
        </w:rPr>
        <w:t>низаций значительно ускорялись. Из-за этого в обязательном п</w:t>
      </w:r>
      <w:r w:rsidRPr="00787EA7">
        <w:rPr>
          <w:rFonts w:eastAsia="Calibri"/>
          <w:sz w:val="22"/>
          <w:szCs w:val="22"/>
          <w:lang w:eastAsia="en-US"/>
        </w:rPr>
        <w:t>о</w:t>
      </w:r>
      <w:r w:rsidRPr="00787EA7">
        <w:rPr>
          <w:rFonts w:eastAsia="Calibri"/>
          <w:sz w:val="22"/>
          <w:szCs w:val="22"/>
          <w:lang w:eastAsia="en-US"/>
        </w:rPr>
        <w:t>рядке нужно было провести систематические изменения в сфере использования ресурсов. Разрабатывались новые методы управл</w:t>
      </w:r>
      <w:r w:rsidRPr="00787EA7">
        <w:rPr>
          <w:rFonts w:eastAsia="Calibri"/>
          <w:sz w:val="22"/>
          <w:szCs w:val="22"/>
          <w:lang w:eastAsia="en-US"/>
        </w:rPr>
        <w:t>е</w:t>
      </w:r>
      <w:r w:rsidRPr="00787EA7">
        <w:rPr>
          <w:rFonts w:eastAsia="Calibri"/>
          <w:sz w:val="22"/>
          <w:szCs w:val="22"/>
          <w:lang w:eastAsia="en-US"/>
        </w:rPr>
        <w:t>ния финансами.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На рубеже XIX–XX вв. ученые пытались четко сформулир</w:t>
      </w:r>
      <w:r w:rsidRPr="00787EA7">
        <w:rPr>
          <w:rFonts w:eastAsia="Calibri"/>
          <w:sz w:val="22"/>
          <w:szCs w:val="22"/>
          <w:lang w:eastAsia="en-US"/>
        </w:rPr>
        <w:t>о</w:t>
      </w:r>
      <w:r w:rsidRPr="00787EA7">
        <w:rPr>
          <w:rFonts w:eastAsia="Calibri"/>
          <w:sz w:val="22"/>
          <w:szCs w:val="22"/>
          <w:lang w:eastAsia="en-US"/>
        </w:rPr>
        <w:t>вать и обобщить научный материал в области финансового м</w:t>
      </w:r>
      <w:r w:rsidRPr="00787EA7">
        <w:rPr>
          <w:rFonts w:eastAsia="Calibri"/>
          <w:sz w:val="22"/>
          <w:szCs w:val="22"/>
          <w:lang w:eastAsia="en-US"/>
        </w:rPr>
        <w:t>е</w:t>
      </w:r>
      <w:r w:rsidRPr="00787EA7">
        <w:rPr>
          <w:rFonts w:eastAsia="Calibri"/>
          <w:sz w:val="22"/>
          <w:szCs w:val="22"/>
          <w:lang w:eastAsia="en-US"/>
        </w:rPr>
        <w:t>неджмента. В этот период начиналось формирование основ упра</w:t>
      </w:r>
      <w:r w:rsidRPr="00787EA7">
        <w:rPr>
          <w:rFonts w:eastAsia="Calibri"/>
          <w:sz w:val="22"/>
          <w:szCs w:val="22"/>
          <w:lang w:eastAsia="en-US"/>
        </w:rPr>
        <w:t>в</w:t>
      </w:r>
      <w:r w:rsidRPr="00787EA7">
        <w:rPr>
          <w:rFonts w:eastAsia="Calibri"/>
          <w:sz w:val="22"/>
          <w:szCs w:val="22"/>
          <w:lang w:eastAsia="en-US"/>
        </w:rPr>
        <w:t>ления компаниями. Их труды были ориентированы на создание научных подходов к эффективной мотивации персонала и их прои</w:t>
      </w:r>
      <w:r w:rsidRPr="00787EA7">
        <w:rPr>
          <w:rFonts w:eastAsia="Calibri"/>
          <w:sz w:val="22"/>
          <w:szCs w:val="22"/>
          <w:lang w:eastAsia="en-US"/>
        </w:rPr>
        <w:t>з</w:t>
      </w:r>
      <w:r w:rsidRPr="00787EA7">
        <w:rPr>
          <w:rFonts w:eastAsia="Calibri"/>
          <w:sz w:val="22"/>
          <w:szCs w:val="22"/>
          <w:lang w:eastAsia="en-US"/>
        </w:rPr>
        <w:t>водительной работы. В это время возникли два направления нау</w:t>
      </w:r>
      <w:r w:rsidRPr="00787EA7">
        <w:rPr>
          <w:rFonts w:eastAsia="Calibri"/>
          <w:sz w:val="22"/>
          <w:szCs w:val="22"/>
          <w:lang w:eastAsia="en-US"/>
        </w:rPr>
        <w:t>ч</w:t>
      </w:r>
      <w:r w:rsidRPr="00787EA7">
        <w:rPr>
          <w:rFonts w:eastAsia="Calibri"/>
          <w:sz w:val="22"/>
          <w:szCs w:val="22"/>
          <w:lang w:eastAsia="en-US"/>
        </w:rPr>
        <w:t>ных школ. Представители школы статистического финансового анализа считали, что аналитические коэффициенты, рассчитанные по данным бухгалтерской отчетности, полезны лишь в том случае, если существует пороговые значения, с которыми эти коэффицие</w:t>
      </w:r>
      <w:r w:rsidRPr="00787EA7">
        <w:rPr>
          <w:rFonts w:eastAsia="Calibri"/>
          <w:sz w:val="22"/>
          <w:szCs w:val="22"/>
          <w:lang w:eastAsia="en-US"/>
        </w:rPr>
        <w:t>н</w:t>
      </w:r>
      <w:r w:rsidRPr="00787EA7">
        <w:rPr>
          <w:rFonts w:eastAsia="Calibri"/>
          <w:sz w:val="22"/>
          <w:szCs w:val="22"/>
          <w:lang w:eastAsia="en-US"/>
        </w:rPr>
        <w:t>ты можно сравнивать. Сторонники же школы мультивариантных аналитиков считают, что идея создания концептуальных основ оп</w:t>
      </w:r>
      <w:r w:rsidRPr="00787EA7">
        <w:rPr>
          <w:rFonts w:eastAsia="Calibri"/>
          <w:sz w:val="22"/>
          <w:szCs w:val="22"/>
          <w:lang w:eastAsia="en-US"/>
        </w:rPr>
        <w:t>и</w:t>
      </w:r>
      <w:r w:rsidRPr="00787EA7">
        <w:rPr>
          <w:rFonts w:eastAsia="Calibri"/>
          <w:sz w:val="22"/>
          <w:szCs w:val="22"/>
          <w:lang w:eastAsia="en-US"/>
        </w:rPr>
        <w:t>рается на существование связи частных коэффициентов. Обычно они характеризуют финансовое состояние и результативность т</w:t>
      </w:r>
      <w:r w:rsidRPr="00787EA7">
        <w:rPr>
          <w:rFonts w:eastAsia="Calibri"/>
          <w:sz w:val="22"/>
          <w:szCs w:val="22"/>
          <w:lang w:eastAsia="en-US"/>
        </w:rPr>
        <w:t>е</w:t>
      </w:r>
      <w:r w:rsidRPr="00787EA7">
        <w:rPr>
          <w:rFonts w:eastAsia="Calibri"/>
          <w:sz w:val="22"/>
          <w:szCs w:val="22"/>
          <w:lang w:eastAsia="en-US"/>
        </w:rPr>
        <w:t>кущей деятельности организации.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начале 30-х гг. ХХ века на Западе финансовый менеджмент постепенно переходил к третьему этапу своего развития. В 1930-х гг. произошел мировой кризис и из-за этого пострадал экономич</w:t>
      </w:r>
      <w:r w:rsidRPr="00787EA7">
        <w:rPr>
          <w:rFonts w:eastAsia="Calibri"/>
          <w:sz w:val="22"/>
          <w:szCs w:val="22"/>
          <w:lang w:eastAsia="en-US"/>
        </w:rPr>
        <w:t>е</w:t>
      </w:r>
      <w:r w:rsidRPr="00787EA7">
        <w:rPr>
          <w:rFonts w:eastAsia="Calibri"/>
          <w:sz w:val="22"/>
          <w:szCs w:val="22"/>
          <w:lang w:eastAsia="en-US"/>
        </w:rPr>
        <w:t>ский сектор всех стран. В результате возникли проблемы не только у мелких предпринимателей и среднего бизнеса, но и у крупных предприятий и организаций. Он повлиял на все сферы общества, затронув большую часть населения. На данном этапе развития ф</w:t>
      </w:r>
      <w:r w:rsidRPr="00787EA7">
        <w:rPr>
          <w:rFonts w:eastAsia="Calibri"/>
          <w:sz w:val="22"/>
          <w:szCs w:val="22"/>
          <w:lang w:eastAsia="en-US"/>
        </w:rPr>
        <w:t>и</w:t>
      </w:r>
      <w:r w:rsidRPr="00787EA7">
        <w:rPr>
          <w:rFonts w:eastAsia="Calibri"/>
          <w:sz w:val="22"/>
          <w:szCs w:val="22"/>
          <w:lang w:eastAsia="en-US"/>
        </w:rPr>
        <w:t>нансового менеджмента были определены коэффициенты, с пом</w:t>
      </w:r>
      <w:r w:rsidRPr="00787EA7">
        <w:rPr>
          <w:rFonts w:eastAsia="Calibri"/>
          <w:sz w:val="22"/>
          <w:szCs w:val="22"/>
          <w:lang w:eastAsia="en-US"/>
        </w:rPr>
        <w:t>о</w:t>
      </w:r>
      <w:r w:rsidRPr="00787EA7">
        <w:rPr>
          <w:rFonts w:eastAsia="Calibri"/>
          <w:sz w:val="22"/>
          <w:szCs w:val="22"/>
          <w:lang w:eastAsia="en-US"/>
        </w:rPr>
        <w:lastRenderedPageBreak/>
        <w:t>щью которых можно было оптимизировать соотношения между о</w:t>
      </w:r>
      <w:r w:rsidRPr="00787EA7">
        <w:rPr>
          <w:rFonts w:eastAsia="Calibri"/>
          <w:sz w:val="22"/>
          <w:szCs w:val="22"/>
          <w:lang w:eastAsia="en-US"/>
        </w:rPr>
        <w:t>т</w:t>
      </w:r>
      <w:r w:rsidRPr="00787EA7">
        <w:rPr>
          <w:rFonts w:eastAsia="Calibri"/>
          <w:sz w:val="22"/>
          <w:szCs w:val="22"/>
          <w:lang w:eastAsia="en-US"/>
        </w:rPr>
        <w:t>дельными видами ресурсов. Однако эти соотношения были изн</w:t>
      </w:r>
      <w:r w:rsidRPr="00787EA7">
        <w:rPr>
          <w:rFonts w:eastAsia="Calibri"/>
          <w:sz w:val="22"/>
          <w:szCs w:val="22"/>
          <w:lang w:eastAsia="en-US"/>
        </w:rPr>
        <w:t>а</w:t>
      </w:r>
      <w:r w:rsidRPr="00787EA7">
        <w:rPr>
          <w:rFonts w:eastAsia="Calibri"/>
          <w:sz w:val="22"/>
          <w:szCs w:val="22"/>
          <w:lang w:eastAsia="en-US"/>
        </w:rPr>
        <w:t>чально определены для периодов относительно стабильного, не кризисного развития.</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Поэтому, главной задачей развития финансового менеджмента стала разработка методов и концепций прогнозирования рисков в разных отраслях промышленности. Она была особенно животреп</w:t>
      </w:r>
      <w:r w:rsidRPr="00787EA7">
        <w:rPr>
          <w:rFonts w:eastAsia="Calibri"/>
          <w:sz w:val="22"/>
          <w:szCs w:val="22"/>
          <w:lang w:eastAsia="en-US"/>
        </w:rPr>
        <w:t>е</w:t>
      </w:r>
      <w:r w:rsidRPr="00787EA7">
        <w:rPr>
          <w:rFonts w:eastAsia="Calibri"/>
          <w:sz w:val="22"/>
          <w:szCs w:val="22"/>
          <w:lang w:eastAsia="en-US"/>
        </w:rPr>
        <w:t>щуща для тех предприятий, которые к этому времени уже освоили теории и методы управления финансами, использовавшиеся на пе</w:t>
      </w:r>
      <w:r w:rsidRPr="00787EA7">
        <w:rPr>
          <w:rFonts w:eastAsia="Calibri"/>
          <w:sz w:val="22"/>
          <w:szCs w:val="22"/>
          <w:lang w:eastAsia="en-US"/>
        </w:rPr>
        <w:t>р</w:t>
      </w:r>
      <w:r w:rsidRPr="00787EA7">
        <w:rPr>
          <w:rFonts w:eastAsia="Calibri"/>
          <w:sz w:val="22"/>
          <w:szCs w:val="22"/>
          <w:lang w:eastAsia="en-US"/>
        </w:rPr>
        <w:t>вом и втором этапах развития финансового менеджмента на Западе. Как и во многих странах, кризис не проходит не заметно, поэтому были актуальны новые идеи и методы для ведения финансового м</w:t>
      </w:r>
      <w:r w:rsidRPr="00787EA7">
        <w:rPr>
          <w:rFonts w:eastAsia="Calibri"/>
          <w:sz w:val="22"/>
          <w:szCs w:val="22"/>
          <w:lang w:eastAsia="en-US"/>
        </w:rPr>
        <w:t>е</w:t>
      </w:r>
      <w:r w:rsidRPr="00787EA7">
        <w:rPr>
          <w:rFonts w:eastAsia="Calibri"/>
          <w:sz w:val="22"/>
          <w:szCs w:val="22"/>
          <w:lang w:eastAsia="en-US"/>
        </w:rPr>
        <w:t>неджмента, особенно на современном этапе.</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Современный этап ознаменован поступательным неспешным экономическим развитием большинства стран, а также активной интеграцией отдельных национальных экономик в систему миров</w:t>
      </w:r>
      <w:r w:rsidRPr="00787EA7">
        <w:rPr>
          <w:rFonts w:eastAsia="Calibri"/>
          <w:sz w:val="22"/>
          <w:szCs w:val="22"/>
          <w:lang w:eastAsia="en-US"/>
        </w:rPr>
        <w:t>о</w:t>
      </w:r>
      <w:r w:rsidRPr="00787EA7">
        <w:rPr>
          <w:rFonts w:eastAsia="Calibri"/>
          <w:sz w:val="22"/>
          <w:szCs w:val="22"/>
          <w:lang w:eastAsia="en-US"/>
        </w:rPr>
        <w:t>го экономического хозяйства. В этот период начался процесс глоб</w:t>
      </w:r>
      <w:r w:rsidRPr="00787EA7">
        <w:rPr>
          <w:rFonts w:eastAsia="Calibri"/>
          <w:sz w:val="22"/>
          <w:szCs w:val="22"/>
          <w:lang w:eastAsia="en-US"/>
        </w:rPr>
        <w:t>а</w:t>
      </w:r>
      <w:r w:rsidRPr="00787EA7">
        <w:rPr>
          <w:rFonts w:eastAsia="Calibri"/>
          <w:sz w:val="22"/>
          <w:szCs w:val="22"/>
          <w:lang w:eastAsia="en-US"/>
        </w:rPr>
        <w:t xml:space="preserve">лизации экономики.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Таким образом, для проведения результативной финансовой политики, использования методов, стратегии и тактики государства и отдельных хозяйствующих субъектов, успешного осуществления концепции устойчивого социально-экономического развития реги</w:t>
      </w:r>
      <w:r w:rsidRPr="00787EA7">
        <w:rPr>
          <w:rFonts w:eastAsia="Calibri"/>
          <w:sz w:val="22"/>
          <w:szCs w:val="22"/>
          <w:lang w:eastAsia="en-US"/>
        </w:rPr>
        <w:t>о</w:t>
      </w:r>
      <w:r w:rsidRPr="00787EA7">
        <w:rPr>
          <w:rFonts w:eastAsia="Calibri"/>
          <w:sz w:val="22"/>
          <w:szCs w:val="22"/>
          <w:lang w:eastAsia="en-US"/>
        </w:rPr>
        <w:t>нов, необходимо интегральное и комплексное использование в эк</w:t>
      </w:r>
      <w:r w:rsidRPr="00787EA7">
        <w:rPr>
          <w:rFonts w:eastAsia="Calibri"/>
          <w:sz w:val="22"/>
          <w:szCs w:val="22"/>
          <w:lang w:eastAsia="en-US"/>
        </w:rPr>
        <w:t>о</w:t>
      </w:r>
      <w:r w:rsidRPr="00787EA7">
        <w:rPr>
          <w:rFonts w:eastAsia="Calibri"/>
          <w:sz w:val="22"/>
          <w:szCs w:val="22"/>
          <w:lang w:eastAsia="en-US"/>
        </w:rPr>
        <w:t>номике и финансах всех функций управления, а не отдельных их элементов. Правильный синтез методов и концепций различных школ даст наилучший результат. Для этого необходимо активное развитие теории функционального финансового менеджмента.</w:t>
      </w:r>
    </w:p>
    <w:p w:rsidR="00724342" w:rsidRPr="00787EA7" w:rsidRDefault="00724342" w:rsidP="00724342">
      <w:pPr>
        <w:ind w:firstLine="425"/>
        <w:jc w:val="both"/>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 Гутамов Г.Д. Стратегический менеджмент: практикум / Г.Д. Гутамов, – М.: Вузовский учебник, 2015. – 197 c.</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2.Медовский Г.Н. Инновационный менеджмент: Учебник / Г.Н. Медовский. – М.: НИЦ ИНФРА-М, 2017. – 384 c.</w:t>
      </w:r>
    </w:p>
    <w:p w:rsidR="00724342" w:rsidRDefault="00724342" w:rsidP="00724342">
      <w:pPr>
        <w:ind w:firstLine="425"/>
        <w:jc w:val="both"/>
        <w:rPr>
          <w:rFonts w:eastAsia="Calibri"/>
          <w:sz w:val="22"/>
          <w:szCs w:val="22"/>
          <w:lang w:eastAsia="en-US"/>
        </w:rPr>
      </w:pPr>
      <w:r w:rsidRPr="00787EA7">
        <w:rPr>
          <w:rFonts w:eastAsia="Calibri"/>
          <w:sz w:val="22"/>
          <w:szCs w:val="22"/>
          <w:lang w:eastAsia="en-US"/>
        </w:rPr>
        <w:t>3. Парамонов П. Ф. Менеджмент: учеб. пособие/</w:t>
      </w:r>
      <w:hyperlink r:id="rId223"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224" w:history="1">
        <w:r w:rsidRPr="00787EA7">
          <w:rPr>
            <w:rFonts w:eastAsia="Calibri"/>
            <w:sz w:val="22"/>
            <w:szCs w:val="22"/>
            <w:lang w:eastAsia="en-US"/>
          </w:rPr>
          <w:t>И. Е. Халявка</w:t>
        </w:r>
      </w:hyperlink>
      <w:r w:rsidRPr="00787EA7">
        <w:rPr>
          <w:rFonts w:eastAsia="Calibri"/>
          <w:sz w:val="22"/>
          <w:szCs w:val="22"/>
          <w:lang w:eastAsia="en-US"/>
        </w:rPr>
        <w:t>, </w:t>
      </w:r>
      <w:hyperlink r:id="rId225"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2015.–173 с.</w:t>
      </w:r>
    </w:p>
    <w:p w:rsidR="006167FC" w:rsidRPr="00787EA7" w:rsidRDefault="006167FC" w:rsidP="00724342">
      <w:pPr>
        <w:ind w:firstLine="425"/>
        <w:jc w:val="both"/>
        <w:rPr>
          <w:rFonts w:eastAsia="Calibri"/>
          <w:sz w:val="22"/>
          <w:szCs w:val="22"/>
          <w:lang w:eastAsia="en-US"/>
        </w:rPr>
      </w:pPr>
    </w:p>
    <w:p w:rsidR="00881B23" w:rsidRDefault="00881B23" w:rsidP="00724342">
      <w:pPr>
        <w:outlineLvl w:val="0"/>
        <w:rPr>
          <w:rFonts w:eastAsia="Calibri"/>
          <w:sz w:val="24"/>
          <w:szCs w:val="24"/>
          <w:lang w:eastAsia="en-US"/>
        </w:rPr>
      </w:pPr>
    </w:p>
    <w:p w:rsidR="00724342" w:rsidRDefault="00724342" w:rsidP="00724342">
      <w:pPr>
        <w:outlineLvl w:val="0"/>
        <w:rPr>
          <w:rFonts w:eastAsia="Calibri"/>
          <w:sz w:val="22"/>
          <w:szCs w:val="22"/>
          <w:lang w:eastAsia="en-US"/>
        </w:rPr>
      </w:pPr>
      <w:r w:rsidRPr="006167FC">
        <w:rPr>
          <w:rFonts w:eastAsia="Calibri"/>
          <w:sz w:val="22"/>
          <w:szCs w:val="22"/>
          <w:lang w:eastAsia="en-US"/>
        </w:rPr>
        <w:lastRenderedPageBreak/>
        <w:t>УДК 368</w:t>
      </w:r>
    </w:p>
    <w:p w:rsidR="006167FC" w:rsidRPr="006167FC" w:rsidRDefault="006167FC" w:rsidP="00724342">
      <w:pPr>
        <w:outlineLvl w:val="0"/>
        <w:rPr>
          <w:rFonts w:eastAsia="Calibri"/>
          <w:sz w:val="22"/>
          <w:szCs w:val="22"/>
          <w:lang w:eastAsia="en-US"/>
        </w:rPr>
      </w:pPr>
    </w:p>
    <w:p w:rsidR="00724342" w:rsidRPr="00787EA7" w:rsidRDefault="00724342" w:rsidP="00724342">
      <w:pPr>
        <w:jc w:val="center"/>
        <w:rPr>
          <w:rFonts w:eastAsia="Calibri"/>
          <w:b/>
          <w:sz w:val="24"/>
          <w:szCs w:val="24"/>
          <w:lang w:eastAsia="en-US"/>
        </w:rPr>
      </w:pPr>
      <w:r w:rsidRPr="00787EA7">
        <w:rPr>
          <w:rFonts w:eastAsia="Calibri"/>
          <w:b/>
          <w:sz w:val="24"/>
          <w:szCs w:val="24"/>
          <w:lang w:eastAsia="en-US"/>
        </w:rPr>
        <w:t xml:space="preserve">Современные тенденции развития страхового рынка </w:t>
      </w:r>
      <w:r w:rsidR="006167FC">
        <w:rPr>
          <w:rFonts w:eastAsia="Calibri"/>
          <w:b/>
          <w:sz w:val="24"/>
          <w:szCs w:val="24"/>
          <w:lang w:eastAsia="en-US"/>
        </w:rPr>
        <w:br/>
      </w:r>
      <w:r w:rsidRPr="00787EA7">
        <w:rPr>
          <w:rFonts w:eastAsia="Calibri"/>
          <w:b/>
          <w:sz w:val="24"/>
          <w:szCs w:val="24"/>
          <w:lang w:eastAsia="en-US"/>
        </w:rPr>
        <w:t>России и драйверы его роста</w:t>
      </w:r>
    </w:p>
    <w:p w:rsidR="00724342" w:rsidRPr="00787EA7" w:rsidRDefault="00724342" w:rsidP="00724342">
      <w:pPr>
        <w:jc w:val="center"/>
        <w:rPr>
          <w:rFonts w:eastAsia="Calibri"/>
          <w:b/>
          <w:sz w:val="24"/>
          <w:szCs w:val="24"/>
          <w:lang w:val="en-US" w:eastAsia="en-US"/>
        </w:rPr>
      </w:pPr>
      <w:r w:rsidRPr="00787EA7">
        <w:rPr>
          <w:rFonts w:eastAsia="Calibri"/>
          <w:b/>
          <w:smallCaps/>
          <w:sz w:val="24"/>
          <w:szCs w:val="24"/>
          <w:lang w:val="en-US" w:eastAsia="en-US"/>
        </w:rPr>
        <w:t>M</w:t>
      </w:r>
      <w:r w:rsidRPr="00787EA7">
        <w:rPr>
          <w:rFonts w:eastAsia="Calibri"/>
          <w:b/>
          <w:sz w:val="24"/>
          <w:szCs w:val="24"/>
          <w:lang w:val="en-US" w:eastAsia="en-US"/>
        </w:rPr>
        <w:t>odern trends of Russia`s insurance market and drivers of its growth</w:t>
      </w:r>
    </w:p>
    <w:p w:rsidR="00724342" w:rsidRPr="00787EA7" w:rsidRDefault="00724342" w:rsidP="00724342">
      <w:pPr>
        <w:jc w:val="center"/>
        <w:rPr>
          <w:rFonts w:eastAsia="Calibri"/>
          <w:b/>
          <w:sz w:val="22"/>
          <w:szCs w:val="22"/>
          <w:lang w:val="en-US" w:eastAsia="en-US"/>
        </w:rPr>
      </w:pP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Слюсаренко А. А.,</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студентка 4-го курса факультета «Финансы и кредит»</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Васильченко Е. И.,</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доцент кафедры финансов</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Кубанский государственный аграрный</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университет имени И.Т. Трубилина</w:t>
      </w:r>
    </w:p>
    <w:p w:rsidR="00724342" w:rsidRPr="00787EA7" w:rsidRDefault="00724342" w:rsidP="00724342">
      <w:pPr>
        <w:ind w:firstLine="425"/>
        <w:jc w:val="right"/>
        <w:rPr>
          <w:rFonts w:eastAsia="Calibri"/>
          <w:sz w:val="22"/>
          <w:szCs w:val="22"/>
          <w:lang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АННОТАЦИЯ: в статье рассмотрены особенности современн</w:t>
      </w:r>
      <w:r w:rsidRPr="00787EA7">
        <w:rPr>
          <w:rFonts w:eastAsia="Calibri"/>
          <w:sz w:val="22"/>
          <w:szCs w:val="22"/>
          <w:lang w:eastAsia="en-US"/>
        </w:rPr>
        <w:t>о</w:t>
      </w:r>
      <w:r w:rsidRPr="00787EA7">
        <w:rPr>
          <w:rFonts w:eastAsia="Calibri"/>
          <w:sz w:val="22"/>
          <w:szCs w:val="22"/>
          <w:lang w:eastAsia="en-US"/>
        </w:rPr>
        <w:t>го рынка страхования в Российской Федерации (РФ). Проанализ</w:t>
      </w:r>
      <w:r w:rsidRPr="00787EA7">
        <w:rPr>
          <w:rFonts w:eastAsia="Calibri"/>
          <w:sz w:val="22"/>
          <w:szCs w:val="22"/>
          <w:lang w:eastAsia="en-US"/>
        </w:rPr>
        <w:t>и</w:t>
      </w:r>
      <w:r w:rsidRPr="00787EA7">
        <w:rPr>
          <w:rFonts w:eastAsia="Calibri"/>
          <w:sz w:val="22"/>
          <w:szCs w:val="22"/>
          <w:lang w:eastAsia="en-US"/>
        </w:rPr>
        <w:t>рована финансовая статистика страхового рынка и тенденции ра</w:t>
      </w:r>
      <w:r w:rsidRPr="00787EA7">
        <w:rPr>
          <w:rFonts w:eastAsia="Calibri"/>
          <w:sz w:val="22"/>
          <w:szCs w:val="22"/>
          <w:lang w:eastAsia="en-US"/>
        </w:rPr>
        <w:t>з</w:t>
      </w:r>
      <w:r w:rsidRPr="00787EA7">
        <w:rPr>
          <w:rFonts w:eastAsia="Calibri"/>
          <w:sz w:val="22"/>
          <w:szCs w:val="22"/>
          <w:lang w:eastAsia="en-US"/>
        </w:rPr>
        <w:t>вития данной отрасли. Выделены ключевые фундаментальные фа</w:t>
      </w:r>
      <w:r w:rsidRPr="00787EA7">
        <w:rPr>
          <w:rFonts w:eastAsia="Calibri"/>
          <w:sz w:val="22"/>
          <w:szCs w:val="22"/>
          <w:lang w:eastAsia="en-US"/>
        </w:rPr>
        <w:t>к</w:t>
      </w:r>
      <w:r w:rsidRPr="00787EA7">
        <w:rPr>
          <w:rFonts w:eastAsia="Calibri"/>
          <w:sz w:val="22"/>
          <w:szCs w:val="22"/>
          <w:lang w:eastAsia="en-US"/>
        </w:rPr>
        <w:t>торы и причины, становящиеся драйверами роста страхового рынка России.</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 In the article features of the modern insurance market in the Russian Federation (RF) are considered. The financial statistics of the insurance market and the development trends of this industry are an</w:t>
      </w:r>
      <w:r w:rsidRPr="00787EA7">
        <w:rPr>
          <w:rFonts w:eastAsia="Calibri"/>
          <w:sz w:val="22"/>
          <w:szCs w:val="22"/>
          <w:lang w:val="en-US" w:eastAsia="en-US"/>
        </w:rPr>
        <w:t>a</w:t>
      </w:r>
      <w:r w:rsidRPr="00787EA7">
        <w:rPr>
          <w:rFonts w:eastAsia="Calibri"/>
          <w:sz w:val="22"/>
          <w:szCs w:val="22"/>
          <w:lang w:val="en-US" w:eastAsia="en-US"/>
        </w:rPr>
        <w:t>lyzed. The key fundamental factors and reasons that are driving the growth of the Russian insurance market are highlighted.</w:t>
      </w:r>
    </w:p>
    <w:p w:rsidR="00724342" w:rsidRPr="00787EA7" w:rsidRDefault="00724342" w:rsidP="00724342">
      <w:pPr>
        <w:ind w:firstLine="425"/>
        <w:jc w:val="both"/>
        <w:rPr>
          <w:rFonts w:eastAsia="Calibri"/>
          <w:i/>
          <w:sz w:val="22"/>
          <w:szCs w:val="22"/>
          <w:lang w:eastAsia="en-US"/>
        </w:rPr>
      </w:pPr>
      <w:r w:rsidRPr="00787EA7">
        <w:rPr>
          <w:rFonts w:eastAsia="Calibri"/>
          <w:sz w:val="22"/>
          <w:szCs w:val="22"/>
          <w:lang w:eastAsia="en-US"/>
        </w:rPr>
        <w:t>КЛЮЧЕВЫЕ СЛОВА: страховой рынок; страховой бизнес; страхование; страховые организации</w:t>
      </w:r>
      <w:r w:rsidRPr="00787EA7">
        <w:rPr>
          <w:rFonts w:eastAsia="Calibri"/>
          <w:i/>
          <w:sz w:val="22"/>
          <w:szCs w:val="22"/>
          <w:lang w:eastAsia="en-US"/>
        </w:rPr>
        <w:t>.</w:t>
      </w:r>
    </w:p>
    <w:p w:rsidR="00724342" w:rsidRPr="00787EA7" w:rsidRDefault="00724342" w:rsidP="00724342">
      <w:pPr>
        <w:ind w:firstLine="425"/>
        <w:jc w:val="both"/>
        <w:rPr>
          <w:rFonts w:eastAsia="Calibri"/>
          <w:i/>
          <w:sz w:val="22"/>
          <w:szCs w:val="22"/>
          <w:lang w:val="en-US" w:eastAsia="en-US"/>
        </w:rPr>
      </w:pPr>
      <w:r w:rsidRPr="00787EA7">
        <w:rPr>
          <w:rFonts w:eastAsia="Calibri"/>
          <w:sz w:val="22"/>
          <w:szCs w:val="22"/>
          <w:lang w:val="en-US" w:eastAsia="en-US"/>
        </w:rPr>
        <w:t>KEYWORDS: insurance market; insurance business; insurance; i</w:t>
      </w:r>
      <w:r w:rsidRPr="00787EA7">
        <w:rPr>
          <w:rFonts w:eastAsia="Calibri"/>
          <w:sz w:val="22"/>
          <w:szCs w:val="22"/>
          <w:lang w:val="en-US" w:eastAsia="en-US"/>
        </w:rPr>
        <w:t>n</w:t>
      </w:r>
      <w:r w:rsidRPr="00787EA7">
        <w:rPr>
          <w:rFonts w:eastAsia="Calibri"/>
          <w:sz w:val="22"/>
          <w:szCs w:val="22"/>
          <w:lang w:val="en-US" w:eastAsia="en-US"/>
        </w:rPr>
        <w:t>surance organizations</w:t>
      </w:r>
      <w:r w:rsidRPr="00787EA7">
        <w:rPr>
          <w:rFonts w:eastAsia="Calibri"/>
          <w:i/>
          <w:sz w:val="22"/>
          <w:szCs w:val="22"/>
          <w:lang w:val="en-US" w:eastAsia="en-US"/>
        </w:rPr>
        <w:t>.</w:t>
      </w:r>
    </w:p>
    <w:p w:rsidR="00724342" w:rsidRPr="00787EA7" w:rsidRDefault="00724342" w:rsidP="00724342">
      <w:pPr>
        <w:ind w:firstLine="425"/>
        <w:jc w:val="both"/>
        <w:rPr>
          <w:rFonts w:eastAsia="Calibri"/>
          <w:sz w:val="22"/>
          <w:szCs w:val="22"/>
          <w:lang w:val="en-US" w:eastAsia="en-US"/>
        </w:rPr>
      </w:pP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Одним из наиболее важных сегментов современной рыночной экономики Российской Федерации является рынок страховых услуг, степень влияния которого на социально-экономическое развитие государства трудно переоценить. Страховой рынок является мо</w:t>
      </w:r>
      <w:r w:rsidRPr="00787EA7">
        <w:rPr>
          <w:rFonts w:eastAsia="Calibri"/>
          <w:sz w:val="22"/>
          <w:szCs w:val="22"/>
          <w:shd w:val="clear" w:color="auto" w:fill="FFFFFF"/>
          <w:lang w:eastAsia="en-US"/>
        </w:rPr>
        <w:t>щ</w:t>
      </w:r>
      <w:r w:rsidRPr="00787EA7">
        <w:rPr>
          <w:rFonts w:eastAsia="Calibri"/>
          <w:sz w:val="22"/>
          <w:szCs w:val="22"/>
          <w:shd w:val="clear" w:color="auto" w:fill="FFFFFF"/>
          <w:lang w:eastAsia="en-US"/>
        </w:rPr>
        <w:t>ным инструментом, способствующим консолидации инвестицио</w:t>
      </w:r>
      <w:r w:rsidRPr="00787EA7">
        <w:rPr>
          <w:rFonts w:eastAsia="Calibri"/>
          <w:sz w:val="22"/>
          <w:szCs w:val="22"/>
          <w:shd w:val="clear" w:color="auto" w:fill="FFFFFF"/>
          <w:lang w:eastAsia="en-US"/>
        </w:rPr>
        <w:t>н</w:t>
      </w:r>
      <w:r w:rsidRPr="00787EA7">
        <w:rPr>
          <w:rFonts w:eastAsia="Calibri"/>
          <w:sz w:val="22"/>
          <w:szCs w:val="22"/>
          <w:shd w:val="clear" w:color="auto" w:fill="FFFFFF"/>
          <w:lang w:eastAsia="en-US"/>
        </w:rPr>
        <w:t xml:space="preserve">ных ресурсов, которые обеспечивают потенциал общественного развития. Прозрачность и устойчивость страхового рынка являются </w:t>
      </w:r>
      <w:r w:rsidRPr="00787EA7">
        <w:rPr>
          <w:rFonts w:eastAsia="Calibri"/>
          <w:sz w:val="22"/>
          <w:szCs w:val="22"/>
          <w:shd w:val="clear" w:color="auto" w:fill="FFFFFF"/>
          <w:lang w:eastAsia="en-US"/>
        </w:rPr>
        <w:lastRenderedPageBreak/>
        <w:t>гарантом непрерывного развития экономики, как государства, так и общества в целом [1, с.204].</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современных условиях российский рынок страховых услуг, как и экономика страны в целом, находится в процессе преобраз</w:t>
      </w:r>
      <w:r w:rsidRPr="00787EA7">
        <w:rPr>
          <w:rFonts w:eastAsia="Calibri"/>
          <w:sz w:val="22"/>
          <w:szCs w:val="22"/>
          <w:lang w:eastAsia="en-US"/>
        </w:rPr>
        <w:t>о</w:t>
      </w:r>
      <w:r w:rsidRPr="00787EA7">
        <w:rPr>
          <w:rFonts w:eastAsia="Calibri"/>
          <w:sz w:val="22"/>
          <w:szCs w:val="22"/>
          <w:lang w:eastAsia="en-US"/>
        </w:rPr>
        <w:t>ваний. Это касается всех его структурных элементов, формиру</w:t>
      </w:r>
      <w:r w:rsidRPr="00787EA7">
        <w:rPr>
          <w:rFonts w:eastAsia="Calibri"/>
          <w:sz w:val="22"/>
          <w:szCs w:val="22"/>
          <w:lang w:eastAsia="en-US"/>
        </w:rPr>
        <w:t>ю</w:t>
      </w:r>
      <w:r w:rsidRPr="00787EA7">
        <w:rPr>
          <w:rFonts w:eastAsia="Calibri"/>
          <w:sz w:val="22"/>
          <w:szCs w:val="22"/>
          <w:lang w:eastAsia="en-US"/>
        </w:rPr>
        <w:t>щихся и развивающихся в условиях множественности страховщ</w:t>
      </w:r>
      <w:r w:rsidRPr="00787EA7">
        <w:rPr>
          <w:rFonts w:eastAsia="Calibri"/>
          <w:sz w:val="22"/>
          <w:szCs w:val="22"/>
          <w:lang w:eastAsia="en-US"/>
        </w:rPr>
        <w:t>и</w:t>
      </w:r>
      <w:r w:rsidRPr="00787EA7">
        <w:rPr>
          <w:rFonts w:eastAsia="Calibri"/>
          <w:sz w:val="22"/>
          <w:szCs w:val="22"/>
          <w:lang w:eastAsia="en-US"/>
        </w:rPr>
        <w:t>ков и независимости страхователей. Особенности его функцион</w:t>
      </w:r>
      <w:r w:rsidRPr="00787EA7">
        <w:rPr>
          <w:rFonts w:eastAsia="Calibri"/>
          <w:sz w:val="22"/>
          <w:szCs w:val="22"/>
          <w:lang w:eastAsia="en-US"/>
        </w:rPr>
        <w:t>и</w:t>
      </w:r>
      <w:r w:rsidRPr="00787EA7">
        <w:rPr>
          <w:rFonts w:eastAsia="Calibri"/>
          <w:sz w:val="22"/>
          <w:szCs w:val="22"/>
          <w:lang w:eastAsia="en-US"/>
        </w:rPr>
        <w:t>рования и возможного интенсивного развития обусловлены тем, что спрос, предъявляемый потенциальными потребителями страховых услуг, не всегда должным образом соответствует заявленному предложению со стороны ведущих страховщиков на заявленных сегментах страхового рынка [2]. Помимо этого, немаловажную роль в развитии рынка страховых услуг отыгрывает и его зависимость отв целом финансового, денежно-кредитного и банковского рынка страны, которые являются от части «донорами финансовых ресу</w:t>
      </w:r>
      <w:r w:rsidRPr="00787EA7">
        <w:rPr>
          <w:rFonts w:eastAsia="Calibri"/>
          <w:sz w:val="22"/>
          <w:szCs w:val="22"/>
          <w:lang w:eastAsia="en-US"/>
        </w:rPr>
        <w:t>р</w:t>
      </w:r>
      <w:r w:rsidRPr="00787EA7">
        <w:rPr>
          <w:rFonts w:eastAsia="Calibri"/>
          <w:sz w:val="22"/>
          <w:szCs w:val="22"/>
          <w:lang w:eastAsia="en-US"/>
        </w:rPr>
        <w:t>сов» самих страховых компаний.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Анализируя основные показатели рынка страхования в России, необходимо выделять большое число негативных процессов, среди которых то же снижение страховых организаций. Так, в 2014 году было зарегистрировано 391 компаний, в 2015 году – 326 компаний, а в 2016 году – лишь 251 компаний. При этом, консолидация акт</w:t>
      </w:r>
      <w:r w:rsidRPr="00787EA7">
        <w:rPr>
          <w:rFonts w:eastAsia="Calibri"/>
          <w:sz w:val="22"/>
          <w:szCs w:val="22"/>
          <w:lang w:eastAsia="en-US"/>
        </w:rPr>
        <w:t>и</w:t>
      </w:r>
      <w:r w:rsidRPr="00787EA7">
        <w:rPr>
          <w:rFonts w:eastAsia="Calibri"/>
          <w:sz w:val="22"/>
          <w:szCs w:val="22"/>
          <w:lang w:eastAsia="en-US"/>
        </w:rPr>
        <w:t>вов страхового рынка в числе крупнейших десяти компаний увел</w:t>
      </w:r>
      <w:r w:rsidRPr="00787EA7">
        <w:rPr>
          <w:rFonts w:eastAsia="Calibri"/>
          <w:sz w:val="22"/>
          <w:szCs w:val="22"/>
          <w:lang w:eastAsia="en-US"/>
        </w:rPr>
        <w:t>и</w:t>
      </w:r>
      <w:r w:rsidRPr="00787EA7">
        <w:rPr>
          <w:rFonts w:eastAsia="Calibri"/>
          <w:sz w:val="22"/>
          <w:szCs w:val="22"/>
          <w:lang w:eastAsia="en-US"/>
        </w:rPr>
        <w:t>чивалось с 2014 по 2016 года – с 64% до 74% [3].</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Кроме того, в аналитическом отчете консалтинговой компании </w:t>
      </w:r>
      <w:r w:rsidRPr="00787EA7">
        <w:rPr>
          <w:rFonts w:eastAsia="Calibri"/>
          <w:sz w:val="22"/>
          <w:szCs w:val="22"/>
          <w:lang w:val="en-US" w:eastAsia="en-US"/>
        </w:rPr>
        <w:t>KMPG</w:t>
      </w:r>
      <w:r w:rsidRPr="00787EA7">
        <w:rPr>
          <w:rFonts w:eastAsia="Calibri"/>
          <w:sz w:val="22"/>
          <w:szCs w:val="22"/>
          <w:lang w:eastAsia="en-US"/>
        </w:rPr>
        <w:t xml:space="preserve"> отмечается, что на текущий момент в 2017 году основными факторами, которые тормозили развитие рынка страховых услуг являлись [3]:</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объем кредитования населения и бизнеса (80%);</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покупательная способность населения страны (70%);</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волатильность курса национальной валюты российского ру</w:t>
      </w:r>
      <w:r w:rsidRPr="00787EA7">
        <w:rPr>
          <w:rFonts w:eastAsia="Calibri"/>
          <w:sz w:val="22"/>
          <w:szCs w:val="22"/>
          <w:lang w:eastAsia="en-US"/>
        </w:rPr>
        <w:t>б</w:t>
      </w:r>
      <w:r w:rsidRPr="00787EA7">
        <w:rPr>
          <w:rFonts w:eastAsia="Calibri"/>
          <w:sz w:val="22"/>
          <w:szCs w:val="22"/>
          <w:lang w:eastAsia="en-US"/>
        </w:rPr>
        <w:t>ля (60%).</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Такие факторы, как экономические санкции и законодательные реформы страхового рынка России имели минимальное значение влияния – около 10%.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Несмотря на столь отрицательные, на первое мнение, обсто</w:t>
      </w:r>
      <w:r w:rsidRPr="00787EA7">
        <w:rPr>
          <w:rFonts w:eastAsia="Calibri"/>
          <w:sz w:val="22"/>
          <w:szCs w:val="22"/>
          <w:lang w:eastAsia="en-US"/>
        </w:rPr>
        <w:t>я</w:t>
      </w:r>
      <w:r w:rsidRPr="00787EA7">
        <w:rPr>
          <w:rFonts w:eastAsia="Calibri"/>
          <w:sz w:val="22"/>
          <w:szCs w:val="22"/>
          <w:lang w:eastAsia="en-US"/>
        </w:rPr>
        <w:t>тельства вокруг рынка страхования, существуют отдельные прич</w:t>
      </w:r>
      <w:r w:rsidRPr="00787EA7">
        <w:rPr>
          <w:rFonts w:eastAsia="Calibri"/>
          <w:sz w:val="22"/>
          <w:szCs w:val="22"/>
          <w:lang w:eastAsia="en-US"/>
        </w:rPr>
        <w:t>и</w:t>
      </w:r>
      <w:r w:rsidRPr="00787EA7">
        <w:rPr>
          <w:rFonts w:eastAsia="Calibri"/>
          <w:sz w:val="22"/>
          <w:szCs w:val="22"/>
          <w:lang w:eastAsia="en-US"/>
        </w:rPr>
        <w:t xml:space="preserve">ны, по которым можно отмечать его развитие. Так, по мнению опрошенных РИА Новости экспертов стало известно, что по итогам </w:t>
      </w:r>
      <w:r w:rsidRPr="00787EA7">
        <w:rPr>
          <w:rFonts w:eastAsia="Calibri"/>
          <w:sz w:val="22"/>
          <w:szCs w:val="22"/>
          <w:lang w:eastAsia="en-US"/>
        </w:rPr>
        <w:lastRenderedPageBreak/>
        <w:t xml:space="preserve">2017 года, объемы рынка страховых премий в России вырастет примерно на 10% (за счет страхования жизни). Также, </w:t>
      </w:r>
      <w:r w:rsidRPr="00787EA7">
        <w:rPr>
          <w:rFonts w:eastAsia="Calibri"/>
          <w:sz w:val="22"/>
          <w:szCs w:val="22"/>
          <w:shd w:val="clear" w:color="auto" w:fill="FFFFFF"/>
          <w:lang w:eastAsia="en-US"/>
        </w:rPr>
        <w:t>по данным Банка России, страховой рынок РФ в январе-сентябре текущего г</w:t>
      </w:r>
      <w:r w:rsidRPr="00787EA7">
        <w:rPr>
          <w:rFonts w:eastAsia="Calibri"/>
          <w:sz w:val="22"/>
          <w:szCs w:val="22"/>
          <w:shd w:val="clear" w:color="auto" w:fill="FFFFFF"/>
          <w:lang w:eastAsia="en-US"/>
        </w:rPr>
        <w:t>о</w:t>
      </w:r>
      <w:r w:rsidRPr="00787EA7">
        <w:rPr>
          <w:rFonts w:eastAsia="Calibri"/>
          <w:sz w:val="22"/>
          <w:szCs w:val="22"/>
          <w:shd w:val="clear" w:color="auto" w:fill="FFFFFF"/>
          <w:lang w:eastAsia="en-US"/>
        </w:rPr>
        <w:t>да вырос на 8,7%, до 962,4 миллиарда рублей [4].</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При анализе развития страхового рынка России необходимо выделять следующий ряд факторов, которые стали драйверами р</w:t>
      </w:r>
      <w:r w:rsidRPr="00787EA7">
        <w:rPr>
          <w:rFonts w:eastAsia="Calibri"/>
          <w:sz w:val="22"/>
          <w:szCs w:val="22"/>
          <w:shd w:val="clear" w:color="auto" w:fill="FFFFFF"/>
          <w:lang w:eastAsia="en-US"/>
        </w:rPr>
        <w:t>о</w:t>
      </w:r>
      <w:r w:rsidRPr="00787EA7">
        <w:rPr>
          <w:rFonts w:eastAsia="Calibri"/>
          <w:sz w:val="22"/>
          <w:szCs w:val="22"/>
          <w:shd w:val="clear" w:color="auto" w:fill="FFFFFF"/>
          <w:lang w:eastAsia="en-US"/>
        </w:rPr>
        <w:t>ста и в 2017 году:</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 увеличение объема рыночного спроса на продукты страхов</w:t>
      </w:r>
      <w:r w:rsidRPr="00787EA7">
        <w:rPr>
          <w:rFonts w:eastAsia="Calibri"/>
          <w:sz w:val="22"/>
          <w:szCs w:val="22"/>
          <w:shd w:val="clear" w:color="auto" w:fill="FFFFFF"/>
          <w:lang w:eastAsia="en-US"/>
        </w:rPr>
        <w:t>а</w:t>
      </w:r>
      <w:r w:rsidRPr="00787EA7">
        <w:rPr>
          <w:rFonts w:eastAsia="Calibri"/>
          <w:sz w:val="22"/>
          <w:szCs w:val="22"/>
          <w:shd w:val="clear" w:color="auto" w:fill="FFFFFF"/>
          <w:lang w:eastAsia="en-US"/>
        </w:rPr>
        <w:t>ния жизни среди населения страны;</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 появление новых продуктов медицинского страхования, в том числе программ онкострахования и телемедицины;</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 технологическое развитие рынка страховых услуг за счет т</w:t>
      </w:r>
      <w:r w:rsidRPr="00787EA7">
        <w:rPr>
          <w:rFonts w:eastAsia="Calibri"/>
          <w:sz w:val="22"/>
          <w:szCs w:val="22"/>
          <w:shd w:val="clear" w:color="auto" w:fill="FFFFFF"/>
          <w:lang w:eastAsia="en-US"/>
        </w:rPr>
        <w:t>а</w:t>
      </w:r>
      <w:r w:rsidRPr="00787EA7">
        <w:rPr>
          <w:rFonts w:eastAsia="Calibri"/>
          <w:sz w:val="22"/>
          <w:szCs w:val="22"/>
          <w:shd w:val="clear" w:color="auto" w:fill="FFFFFF"/>
          <w:lang w:eastAsia="en-US"/>
        </w:rPr>
        <w:t>ких инструментов, как телематика, онлайн-продажи, цифровые эк</w:t>
      </w:r>
      <w:r w:rsidRPr="00787EA7">
        <w:rPr>
          <w:rFonts w:eastAsia="Calibri"/>
          <w:sz w:val="22"/>
          <w:szCs w:val="22"/>
          <w:shd w:val="clear" w:color="auto" w:fill="FFFFFF"/>
          <w:lang w:eastAsia="en-US"/>
        </w:rPr>
        <w:t>о</w:t>
      </w:r>
      <w:r w:rsidRPr="00787EA7">
        <w:rPr>
          <w:rFonts w:eastAsia="Calibri"/>
          <w:sz w:val="22"/>
          <w:szCs w:val="22"/>
          <w:shd w:val="clear" w:color="auto" w:fill="FFFFFF"/>
          <w:lang w:eastAsia="en-US"/>
        </w:rPr>
        <w:t xml:space="preserve">системы для потребителей, нейросети и анализ </w:t>
      </w:r>
      <w:r w:rsidRPr="00787EA7">
        <w:rPr>
          <w:rFonts w:eastAsia="Calibri"/>
          <w:sz w:val="22"/>
          <w:szCs w:val="22"/>
          <w:shd w:val="clear" w:color="auto" w:fill="FFFFFF"/>
          <w:lang w:val="en-US" w:eastAsia="en-US"/>
        </w:rPr>
        <w:t>BigData</w:t>
      </w:r>
      <w:r w:rsidRPr="00787EA7">
        <w:rPr>
          <w:rFonts w:eastAsia="Calibri"/>
          <w:sz w:val="22"/>
          <w:szCs w:val="22"/>
          <w:shd w:val="clear" w:color="auto" w:fill="FFFFFF"/>
          <w:lang w:eastAsia="en-US"/>
        </w:rPr>
        <w:t>;</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 развитие новых каналов продаж с помощью тех же онлайн-продаж и увеличения числа открытых партнерских программ по франшизе;</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 оптимизация ценовой политики на страховые продукты.</w:t>
      </w:r>
    </w:p>
    <w:p w:rsidR="00724342" w:rsidRPr="00787EA7" w:rsidRDefault="00724342" w:rsidP="00724342">
      <w:pPr>
        <w:ind w:firstLine="425"/>
        <w:jc w:val="both"/>
        <w:rPr>
          <w:rFonts w:eastAsia="Calibri"/>
          <w:sz w:val="22"/>
          <w:szCs w:val="22"/>
          <w:shd w:val="clear" w:color="auto" w:fill="FFFFFF"/>
          <w:lang w:eastAsia="en-US"/>
        </w:rPr>
      </w:pPr>
      <w:r w:rsidRPr="00787EA7">
        <w:rPr>
          <w:rFonts w:eastAsia="Calibri"/>
          <w:sz w:val="22"/>
          <w:szCs w:val="22"/>
          <w:shd w:val="clear" w:color="auto" w:fill="FFFFFF"/>
          <w:lang w:eastAsia="en-US"/>
        </w:rPr>
        <w:t>Таким образом, с помощью реализации вышеперечисленных инструментов, рынок страховых услуг в 2017 году продемонстр</w:t>
      </w:r>
      <w:r w:rsidRPr="00787EA7">
        <w:rPr>
          <w:rFonts w:eastAsia="Calibri"/>
          <w:sz w:val="22"/>
          <w:szCs w:val="22"/>
          <w:shd w:val="clear" w:color="auto" w:fill="FFFFFF"/>
          <w:lang w:eastAsia="en-US"/>
        </w:rPr>
        <w:t>и</w:t>
      </w:r>
      <w:r w:rsidRPr="00787EA7">
        <w:rPr>
          <w:rFonts w:eastAsia="Calibri"/>
          <w:sz w:val="22"/>
          <w:szCs w:val="22"/>
          <w:shd w:val="clear" w:color="auto" w:fill="FFFFFF"/>
          <w:lang w:eastAsia="en-US"/>
        </w:rPr>
        <w:t>ровал сигналы не только своего восстановления до прежних уро</w:t>
      </w:r>
      <w:r w:rsidRPr="00787EA7">
        <w:rPr>
          <w:rFonts w:eastAsia="Calibri"/>
          <w:sz w:val="22"/>
          <w:szCs w:val="22"/>
          <w:shd w:val="clear" w:color="auto" w:fill="FFFFFF"/>
          <w:lang w:eastAsia="en-US"/>
        </w:rPr>
        <w:t>в</w:t>
      </w:r>
      <w:r w:rsidRPr="00787EA7">
        <w:rPr>
          <w:rFonts w:eastAsia="Calibri"/>
          <w:sz w:val="22"/>
          <w:szCs w:val="22"/>
          <w:shd w:val="clear" w:color="auto" w:fill="FFFFFF"/>
          <w:lang w:eastAsia="en-US"/>
        </w:rPr>
        <w:t>ней периода 2013 – 2014 годов, но и импульсы своего развития, драйверами роста чего являются, в первую очередь, усоверше</w:t>
      </w:r>
      <w:r w:rsidRPr="00787EA7">
        <w:rPr>
          <w:rFonts w:eastAsia="Calibri"/>
          <w:sz w:val="22"/>
          <w:szCs w:val="22"/>
          <w:shd w:val="clear" w:color="auto" w:fill="FFFFFF"/>
          <w:lang w:eastAsia="en-US"/>
        </w:rPr>
        <w:t>н</w:t>
      </w:r>
      <w:r w:rsidRPr="00787EA7">
        <w:rPr>
          <w:rFonts w:eastAsia="Calibri"/>
          <w:sz w:val="22"/>
          <w:szCs w:val="22"/>
          <w:shd w:val="clear" w:color="auto" w:fill="FFFFFF"/>
          <w:lang w:eastAsia="en-US"/>
        </w:rPr>
        <w:t>ствование системы управления и организации страхового бизнеса самими предприятиями данной отрасли.</w:t>
      </w:r>
    </w:p>
    <w:p w:rsidR="006167FC" w:rsidRDefault="006167FC" w:rsidP="00724342">
      <w:pPr>
        <w:jc w:val="center"/>
        <w:outlineLvl w:val="0"/>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5"/>
        <w:jc w:val="both"/>
        <w:rPr>
          <w:rFonts w:eastAsia="Calibri"/>
          <w:sz w:val="22"/>
          <w:szCs w:val="22"/>
          <w:lang w:eastAsia="en-US"/>
        </w:rPr>
      </w:pPr>
      <w:r w:rsidRPr="00787EA7">
        <w:rPr>
          <w:rFonts w:eastAsia="Calibri"/>
          <w:sz w:val="22"/>
          <w:szCs w:val="22"/>
          <w:shd w:val="clear" w:color="auto" w:fill="FFFFFF"/>
          <w:lang w:eastAsia="en-US"/>
        </w:rPr>
        <w:t>1.</w:t>
      </w:r>
      <w:r w:rsidR="006167FC">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Быканова Н. И., Черкашина А. С. Страховой рынок России: проблемы и направления развития // Молодой ученый. – 2017. – №10. – С.204-207.</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2.</w:t>
      </w:r>
      <w:r w:rsidR="006167FC">
        <w:rPr>
          <w:rFonts w:eastAsia="Calibri"/>
          <w:sz w:val="22"/>
          <w:szCs w:val="22"/>
          <w:lang w:eastAsia="en-US"/>
        </w:rPr>
        <w:t xml:space="preserve"> </w:t>
      </w:r>
      <w:r w:rsidRPr="00787EA7">
        <w:rPr>
          <w:rFonts w:eastAsia="Calibri"/>
          <w:sz w:val="22"/>
          <w:szCs w:val="22"/>
          <w:lang w:eastAsia="en-US"/>
        </w:rPr>
        <w:t>Ованесян Н.М., Атоян К.Ю. Современные особенности ра</w:t>
      </w:r>
      <w:r w:rsidRPr="00787EA7">
        <w:rPr>
          <w:rFonts w:eastAsia="Calibri"/>
          <w:sz w:val="22"/>
          <w:szCs w:val="22"/>
          <w:lang w:eastAsia="en-US"/>
        </w:rPr>
        <w:t>з</w:t>
      </w:r>
      <w:r w:rsidRPr="00787EA7">
        <w:rPr>
          <w:rFonts w:eastAsia="Calibri"/>
          <w:sz w:val="22"/>
          <w:szCs w:val="22"/>
          <w:lang w:eastAsia="en-US"/>
        </w:rPr>
        <w:t>вития российского рынка страховых услуг в кризисной экономике // Концепт. – 2017. – №5.</w:t>
      </w:r>
    </w:p>
    <w:p w:rsidR="00724342" w:rsidRPr="00787EA7" w:rsidRDefault="00724342" w:rsidP="00724342">
      <w:pPr>
        <w:ind w:firstLine="426"/>
        <w:jc w:val="both"/>
        <w:rPr>
          <w:rFonts w:eastAsia="Calibri"/>
          <w:sz w:val="22"/>
          <w:szCs w:val="22"/>
          <w:lang w:eastAsia="en-US"/>
        </w:rPr>
      </w:pPr>
      <w:r w:rsidRPr="00787EA7">
        <w:rPr>
          <w:rFonts w:eastAsia="Calibri"/>
          <w:sz w:val="22"/>
          <w:szCs w:val="22"/>
          <w:lang w:eastAsia="en-US"/>
        </w:rPr>
        <w:t>3.</w:t>
      </w:r>
      <w:r w:rsidR="006167FC">
        <w:rPr>
          <w:rFonts w:eastAsia="Calibri"/>
          <w:sz w:val="22"/>
          <w:szCs w:val="22"/>
          <w:lang w:eastAsia="en-US"/>
        </w:rPr>
        <w:t xml:space="preserve"> </w:t>
      </w:r>
      <w:r w:rsidRPr="00787EA7">
        <w:rPr>
          <w:rFonts w:eastAsia="Calibri"/>
          <w:sz w:val="22"/>
          <w:szCs w:val="22"/>
          <w:lang w:eastAsia="en-US"/>
        </w:rPr>
        <w:t xml:space="preserve">Обзор рынка страхования в России от </w:t>
      </w:r>
      <w:r w:rsidRPr="00787EA7">
        <w:rPr>
          <w:rFonts w:eastAsia="Calibri"/>
          <w:sz w:val="22"/>
          <w:szCs w:val="22"/>
          <w:lang w:val="en-US" w:eastAsia="en-US"/>
        </w:rPr>
        <w:t>KMPG</w:t>
      </w:r>
      <w:r w:rsidRPr="00787EA7">
        <w:rPr>
          <w:rFonts w:eastAsia="Calibri"/>
          <w:sz w:val="22"/>
          <w:szCs w:val="22"/>
          <w:lang w:eastAsia="en-US"/>
        </w:rPr>
        <w:t xml:space="preserve">. </w:t>
      </w:r>
      <w:r w:rsidRPr="00787EA7">
        <w:rPr>
          <w:rFonts w:eastAsia="Calibri"/>
          <w:sz w:val="22"/>
          <w:szCs w:val="22"/>
          <w:lang w:val="en-US" w:eastAsia="en-US"/>
        </w:rPr>
        <w:t>URL</w:t>
      </w:r>
      <w:r w:rsidRPr="00787EA7">
        <w:rPr>
          <w:rFonts w:eastAsia="Calibri"/>
          <w:sz w:val="22"/>
          <w:szCs w:val="22"/>
          <w:lang w:eastAsia="en-US"/>
        </w:rPr>
        <w:t xml:space="preserve">: </w:t>
      </w:r>
      <w:r w:rsidRPr="00787EA7">
        <w:rPr>
          <w:rFonts w:eastAsia="Calibri"/>
          <w:sz w:val="22"/>
          <w:szCs w:val="22"/>
          <w:lang w:val="en-US" w:eastAsia="en-US"/>
        </w:rPr>
        <w:t>https</w:t>
      </w:r>
      <w:r w:rsidRPr="00787EA7">
        <w:rPr>
          <w:rFonts w:eastAsia="Calibri"/>
          <w:sz w:val="22"/>
          <w:szCs w:val="22"/>
          <w:lang w:eastAsia="en-US"/>
        </w:rPr>
        <w:t>://</w:t>
      </w:r>
      <w:r w:rsidRPr="00787EA7">
        <w:rPr>
          <w:rFonts w:eastAsia="Calibri"/>
          <w:sz w:val="22"/>
          <w:szCs w:val="22"/>
          <w:lang w:val="en-US" w:eastAsia="en-US"/>
        </w:rPr>
        <w:t>assets</w:t>
      </w:r>
      <w:r w:rsidRPr="00787EA7">
        <w:rPr>
          <w:rFonts w:eastAsia="Calibri"/>
          <w:sz w:val="22"/>
          <w:szCs w:val="22"/>
          <w:lang w:eastAsia="en-US"/>
        </w:rPr>
        <w:t>.</w:t>
      </w:r>
      <w:r w:rsidRPr="00787EA7">
        <w:rPr>
          <w:rFonts w:eastAsia="Calibri"/>
          <w:sz w:val="22"/>
          <w:szCs w:val="22"/>
          <w:lang w:val="en-US" w:eastAsia="en-US"/>
        </w:rPr>
        <w:t>kpmg</w:t>
      </w:r>
      <w:r w:rsidRPr="00787EA7">
        <w:rPr>
          <w:rFonts w:eastAsia="Calibri"/>
          <w:sz w:val="22"/>
          <w:szCs w:val="22"/>
          <w:lang w:eastAsia="en-US"/>
        </w:rPr>
        <w:t>.</w:t>
      </w:r>
      <w:r w:rsidRPr="00787EA7">
        <w:rPr>
          <w:rFonts w:eastAsia="Calibri"/>
          <w:sz w:val="22"/>
          <w:szCs w:val="22"/>
          <w:lang w:val="en-US" w:eastAsia="en-US"/>
        </w:rPr>
        <w:t>com</w:t>
      </w:r>
      <w:r w:rsidRPr="00787EA7">
        <w:rPr>
          <w:rFonts w:eastAsia="Calibri"/>
          <w:sz w:val="22"/>
          <w:szCs w:val="22"/>
          <w:lang w:eastAsia="en-US"/>
        </w:rPr>
        <w:t>/</w:t>
      </w:r>
      <w:r w:rsidRPr="00787EA7">
        <w:rPr>
          <w:rFonts w:eastAsia="Calibri"/>
          <w:sz w:val="22"/>
          <w:szCs w:val="22"/>
          <w:lang w:val="en-US" w:eastAsia="en-US"/>
        </w:rPr>
        <w:t>content</w:t>
      </w:r>
      <w:r w:rsidRPr="00787EA7">
        <w:rPr>
          <w:rFonts w:eastAsia="Calibri"/>
          <w:sz w:val="22"/>
          <w:szCs w:val="22"/>
          <w:lang w:eastAsia="en-US"/>
        </w:rPr>
        <w:t>/</w:t>
      </w:r>
      <w:r w:rsidRPr="00787EA7">
        <w:rPr>
          <w:rFonts w:eastAsia="Calibri"/>
          <w:sz w:val="22"/>
          <w:szCs w:val="22"/>
          <w:lang w:val="en-US" w:eastAsia="en-US"/>
        </w:rPr>
        <w:t>dam</w:t>
      </w:r>
      <w:r w:rsidRPr="00787EA7">
        <w:rPr>
          <w:rFonts w:eastAsia="Calibri"/>
          <w:sz w:val="22"/>
          <w:szCs w:val="22"/>
          <w:lang w:eastAsia="en-US"/>
        </w:rPr>
        <w:t>/</w:t>
      </w:r>
      <w:r w:rsidRPr="00787EA7">
        <w:rPr>
          <w:rFonts w:eastAsia="Calibri"/>
          <w:sz w:val="22"/>
          <w:szCs w:val="22"/>
          <w:lang w:val="en-US" w:eastAsia="en-US"/>
        </w:rPr>
        <w:t>kpmg</w:t>
      </w:r>
      <w:r w:rsidRPr="00787EA7">
        <w:rPr>
          <w:rFonts w:eastAsia="Calibri"/>
          <w:sz w:val="22"/>
          <w:szCs w:val="22"/>
          <w:lang w:eastAsia="en-US"/>
        </w:rPr>
        <w:t>/</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pdf</w:t>
      </w:r>
      <w:r w:rsidRPr="00787EA7">
        <w:rPr>
          <w:rFonts w:eastAsia="Calibri"/>
          <w:sz w:val="22"/>
          <w:szCs w:val="22"/>
          <w:lang w:eastAsia="en-US"/>
        </w:rPr>
        <w:t>/2017/07/</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russian</w:t>
      </w:r>
      <w:r w:rsidRPr="00787EA7">
        <w:rPr>
          <w:rFonts w:eastAsia="Calibri"/>
          <w:sz w:val="22"/>
          <w:szCs w:val="22"/>
          <w:lang w:eastAsia="en-US"/>
        </w:rPr>
        <w:t>-</w:t>
      </w:r>
      <w:r w:rsidRPr="00787EA7">
        <w:rPr>
          <w:rFonts w:eastAsia="Calibri"/>
          <w:sz w:val="22"/>
          <w:szCs w:val="22"/>
          <w:lang w:val="en-US" w:eastAsia="en-US"/>
        </w:rPr>
        <w:t>insurance</w:t>
      </w:r>
      <w:r w:rsidRPr="00787EA7">
        <w:rPr>
          <w:rFonts w:eastAsia="Calibri"/>
          <w:sz w:val="22"/>
          <w:szCs w:val="22"/>
          <w:lang w:eastAsia="en-US"/>
        </w:rPr>
        <w:t>-</w:t>
      </w:r>
      <w:r w:rsidRPr="00787EA7">
        <w:rPr>
          <w:rFonts w:eastAsia="Calibri"/>
          <w:sz w:val="22"/>
          <w:szCs w:val="22"/>
          <w:lang w:val="en-US" w:eastAsia="en-US"/>
        </w:rPr>
        <w:t>market</w:t>
      </w:r>
      <w:r w:rsidRPr="00787EA7">
        <w:rPr>
          <w:rFonts w:eastAsia="Calibri"/>
          <w:sz w:val="22"/>
          <w:szCs w:val="22"/>
          <w:lang w:eastAsia="en-US"/>
        </w:rPr>
        <w:t>-</w:t>
      </w:r>
      <w:r w:rsidRPr="00787EA7">
        <w:rPr>
          <w:rFonts w:eastAsia="Calibri"/>
          <w:sz w:val="22"/>
          <w:szCs w:val="22"/>
          <w:lang w:val="en-US" w:eastAsia="en-US"/>
        </w:rPr>
        <w:t>survey</w:t>
      </w:r>
      <w:r w:rsidRPr="00787EA7">
        <w:rPr>
          <w:rFonts w:eastAsia="Calibri"/>
          <w:sz w:val="22"/>
          <w:szCs w:val="22"/>
          <w:lang w:eastAsia="en-US"/>
        </w:rPr>
        <w:t>-2017.</w:t>
      </w:r>
      <w:r w:rsidRPr="00787EA7">
        <w:rPr>
          <w:rFonts w:eastAsia="Calibri"/>
          <w:sz w:val="22"/>
          <w:szCs w:val="22"/>
          <w:lang w:val="en-US" w:eastAsia="en-US"/>
        </w:rPr>
        <w:t>pdf</w:t>
      </w:r>
      <w:r w:rsidRPr="00787EA7">
        <w:rPr>
          <w:rFonts w:eastAsia="Calibri"/>
          <w:sz w:val="22"/>
          <w:szCs w:val="22"/>
          <w:lang w:eastAsia="en-US"/>
        </w:rPr>
        <w:t xml:space="preserve"> (дата обращения 04.03.2018).</w:t>
      </w:r>
    </w:p>
    <w:p w:rsidR="006167FC" w:rsidRDefault="00724342" w:rsidP="00881B23">
      <w:pPr>
        <w:ind w:firstLine="426"/>
        <w:jc w:val="both"/>
        <w:rPr>
          <w:rFonts w:eastAsia="Calibri"/>
          <w:sz w:val="22"/>
          <w:szCs w:val="22"/>
          <w:lang w:eastAsia="en-US"/>
        </w:rPr>
      </w:pPr>
      <w:r w:rsidRPr="00787EA7">
        <w:rPr>
          <w:rFonts w:eastAsia="Calibri"/>
          <w:sz w:val="22"/>
          <w:szCs w:val="22"/>
          <w:lang w:eastAsia="en-US"/>
        </w:rPr>
        <w:lastRenderedPageBreak/>
        <w:t>4.</w:t>
      </w:r>
      <w:r w:rsidR="006167FC">
        <w:rPr>
          <w:rFonts w:eastAsia="Calibri"/>
          <w:sz w:val="22"/>
          <w:szCs w:val="22"/>
          <w:lang w:eastAsia="en-US"/>
        </w:rPr>
        <w:t xml:space="preserve"> </w:t>
      </w:r>
      <w:r w:rsidRPr="00787EA7">
        <w:rPr>
          <w:rFonts w:eastAsia="Calibri"/>
          <w:sz w:val="22"/>
          <w:szCs w:val="22"/>
          <w:lang w:eastAsia="en-US"/>
        </w:rPr>
        <w:t xml:space="preserve">Российский страховой рынок в 2017 году эксперты назвали драйверов роста // РИА Новости. </w:t>
      </w:r>
      <w:r w:rsidRPr="00787EA7">
        <w:rPr>
          <w:rFonts w:eastAsia="Calibri"/>
          <w:sz w:val="22"/>
          <w:szCs w:val="22"/>
          <w:lang w:val="en-US" w:eastAsia="en-US"/>
        </w:rPr>
        <w:t>URL</w:t>
      </w:r>
      <w:r w:rsidRPr="00787EA7">
        <w:rPr>
          <w:rFonts w:eastAsia="Calibri"/>
          <w:sz w:val="22"/>
          <w:szCs w:val="22"/>
          <w:lang w:eastAsia="en-US"/>
        </w:rPr>
        <w:t xml:space="preserve">: </w:t>
      </w:r>
      <w:r w:rsidRPr="00787EA7">
        <w:rPr>
          <w:rFonts w:eastAsia="Calibri"/>
          <w:sz w:val="22"/>
          <w:szCs w:val="22"/>
          <w:lang w:val="en-US" w:eastAsia="en-US"/>
        </w:rPr>
        <w:t>https</w:t>
      </w:r>
      <w:r w:rsidRPr="00787EA7">
        <w:rPr>
          <w:rFonts w:eastAsia="Calibri"/>
          <w:sz w:val="22"/>
          <w:szCs w:val="22"/>
          <w:lang w:eastAsia="en-US"/>
        </w:rPr>
        <w:t>://</w:t>
      </w:r>
      <w:r w:rsidRPr="00787EA7">
        <w:rPr>
          <w:rFonts w:eastAsia="Calibri"/>
          <w:sz w:val="22"/>
          <w:szCs w:val="22"/>
          <w:lang w:val="en-US" w:eastAsia="en-US"/>
        </w:rPr>
        <w:t>ria</w:t>
      </w:r>
      <w:r w:rsidRPr="00787EA7">
        <w:rPr>
          <w:rFonts w:eastAsia="Calibri"/>
          <w:sz w:val="22"/>
          <w:szCs w:val="22"/>
          <w:lang w:eastAsia="en-US"/>
        </w:rPr>
        <w:t>.</w:t>
      </w:r>
      <w:r w:rsidRPr="00787EA7">
        <w:rPr>
          <w:rFonts w:eastAsia="Calibri"/>
          <w:sz w:val="22"/>
          <w:szCs w:val="22"/>
          <w:lang w:val="en-US" w:eastAsia="en-US"/>
        </w:rPr>
        <w:t>ru</w:t>
      </w:r>
      <w:r w:rsidRPr="00787EA7">
        <w:rPr>
          <w:rFonts w:eastAsia="Calibri"/>
          <w:sz w:val="22"/>
          <w:szCs w:val="22"/>
          <w:lang w:eastAsia="en-US"/>
        </w:rPr>
        <w:t>/</w:t>
      </w:r>
      <w:r w:rsidRPr="00787EA7">
        <w:rPr>
          <w:rFonts w:eastAsia="Calibri"/>
          <w:sz w:val="22"/>
          <w:szCs w:val="22"/>
          <w:lang w:val="en-US" w:eastAsia="en-US"/>
        </w:rPr>
        <w:t>ny</w:t>
      </w:r>
      <w:r w:rsidRPr="00787EA7">
        <w:rPr>
          <w:rFonts w:eastAsia="Calibri"/>
          <w:sz w:val="22"/>
          <w:szCs w:val="22"/>
          <w:lang w:eastAsia="en-US"/>
        </w:rPr>
        <w:t>2018_</w:t>
      </w:r>
      <w:r w:rsidRPr="00787EA7">
        <w:rPr>
          <w:rFonts w:eastAsia="Calibri"/>
          <w:sz w:val="22"/>
          <w:szCs w:val="22"/>
          <w:lang w:val="en-US" w:eastAsia="en-US"/>
        </w:rPr>
        <w:t>resume</w:t>
      </w:r>
      <w:r w:rsidRPr="00787EA7">
        <w:rPr>
          <w:rFonts w:eastAsia="Calibri"/>
          <w:sz w:val="22"/>
          <w:szCs w:val="22"/>
          <w:lang w:eastAsia="en-US"/>
        </w:rPr>
        <w:t>/20171218/1511188991.</w:t>
      </w:r>
      <w:r w:rsidRPr="00787EA7">
        <w:rPr>
          <w:rFonts w:eastAsia="Calibri"/>
          <w:sz w:val="22"/>
          <w:szCs w:val="22"/>
          <w:lang w:val="en-US" w:eastAsia="en-US"/>
        </w:rPr>
        <w:t>html</w:t>
      </w:r>
      <w:r w:rsidRPr="00787EA7">
        <w:rPr>
          <w:rFonts w:eastAsia="Calibri"/>
          <w:sz w:val="22"/>
          <w:szCs w:val="22"/>
          <w:lang w:eastAsia="en-US"/>
        </w:rPr>
        <w:t xml:space="preserve"> (дата обр</w:t>
      </w:r>
      <w:r w:rsidRPr="00787EA7">
        <w:rPr>
          <w:rFonts w:eastAsia="Calibri"/>
          <w:sz w:val="22"/>
          <w:szCs w:val="22"/>
          <w:lang w:eastAsia="en-US"/>
        </w:rPr>
        <w:t>а</w:t>
      </w:r>
      <w:r w:rsidRPr="00787EA7">
        <w:rPr>
          <w:rFonts w:eastAsia="Calibri"/>
          <w:sz w:val="22"/>
          <w:szCs w:val="22"/>
          <w:lang w:eastAsia="en-US"/>
        </w:rPr>
        <w:t>щения 04.03.2018).</w:t>
      </w:r>
    </w:p>
    <w:p w:rsidR="00CE4C84" w:rsidRDefault="00CE4C84" w:rsidP="006167FC">
      <w:pPr>
        <w:outlineLvl w:val="0"/>
        <w:rPr>
          <w:rFonts w:eastAsia="Calibri"/>
          <w:sz w:val="22"/>
          <w:szCs w:val="22"/>
          <w:lang w:eastAsia="en-US"/>
        </w:rPr>
      </w:pPr>
    </w:p>
    <w:p w:rsidR="00CE4C84" w:rsidRDefault="00CE4C84" w:rsidP="006167FC">
      <w:pPr>
        <w:outlineLvl w:val="0"/>
        <w:rPr>
          <w:rFonts w:eastAsia="Calibri"/>
          <w:sz w:val="22"/>
          <w:szCs w:val="22"/>
          <w:lang w:eastAsia="en-US"/>
        </w:rPr>
      </w:pPr>
    </w:p>
    <w:p w:rsidR="00CE4C84" w:rsidRDefault="00CE4C84" w:rsidP="006167FC">
      <w:pPr>
        <w:outlineLvl w:val="0"/>
        <w:rPr>
          <w:rFonts w:eastAsia="Calibri"/>
          <w:sz w:val="22"/>
          <w:szCs w:val="22"/>
          <w:lang w:eastAsia="en-US"/>
        </w:rPr>
      </w:pPr>
    </w:p>
    <w:p w:rsidR="00724342" w:rsidRDefault="00724342" w:rsidP="006167FC">
      <w:pPr>
        <w:outlineLvl w:val="0"/>
        <w:rPr>
          <w:rFonts w:eastAsia="Calibri"/>
          <w:sz w:val="22"/>
          <w:szCs w:val="22"/>
          <w:lang w:eastAsia="en-US"/>
        </w:rPr>
      </w:pPr>
      <w:r w:rsidRPr="00787EA7">
        <w:rPr>
          <w:rFonts w:eastAsia="Calibri"/>
          <w:sz w:val="22"/>
          <w:szCs w:val="22"/>
          <w:lang w:eastAsia="en-US"/>
        </w:rPr>
        <w:t>УДК 368</w:t>
      </w:r>
    </w:p>
    <w:p w:rsidR="006167FC" w:rsidRPr="00787EA7" w:rsidRDefault="006167FC" w:rsidP="006167FC">
      <w:pPr>
        <w:outlineLvl w:val="0"/>
        <w:rPr>
          <w:rFonts w:eastAsia="Calibri"/>
          <w:sz w:val="22"/>
          <w:szCs w:val="22"/>
          <w:lang w:eastAsia="en-US"/>
        </w:rPr>
      </w:pPr>
    </w:p>
    <w:p w:rsidR="00724342" w:rsidRPr="00787EA7" w:rsidRDefault="00724342" w:rsidP="00724342">
      <w:pPr>
        <w:ind w:firstLine="425"/>
        <w:jc w:val="center"/>
        <w:outlineLvl w:val="0"/>
        <w:rPr>
          <w:rFonts w:eastAsia="Calibri"/>
          <w:b/>
          <w:sz w:val="24"/>
          <w:szCs w:val="22"/>
          <w:lang w:eastAsia="en-US"/>
        </w:rPr>
      </w:pPr>
      <w:r w:rsidRPr="00787EA7">
        <w:rPr>
          <w:rFonts w:eastAsia="Calibri"/>
          <w:b/>
          <w:sz w:val="24"/>
          <w:szCs w:val="22"/>
          <w:lang w:eastAsia="en-US"/>
        </w:rPr>
        <w:t>Российский страховой рынок в 2018 году</w:t>
      </w:r>
    </w:p>
    <w:p w:rsidR="00724342" w:rsidRPr="00787EA7" w:rsidRDefault="00724342" w:rsidP="00724342">
      <w:pPr>
        <w:ind w:firstLine="425"/>
        <w:jc w:val="center"/>
        <w:rPr>
          <w:rFonts w:eastAsia="Calibri"/>
          <w:b/>
          <w:sz w:val="24"/>
          <w:szCs w:val="22"/>
          <w:lang w:eastAsia="en-US"/>
        </w:rPr>
      </w:pPr>
      <w:r w:rsidRPr="00787EA7">
        <w:rPr>
          <w:rFonts w:eastAsia="Calibri"/>
          <w:b/>
          <w:sz w:val="24"/>
          <w:szCs w:val="22"/>
          <w:lang w:val="en-US" w:eastAsia="en-US"/>
        </w:rPr>
        <w:t>Russian</w:t>
      </w:r>
      <w:r w:rsidRPr="00787EA7">
        <w:rPr>
          <w:rFonts w:eastAsia="Calibri"/>
          <w:b/>
          <w:sz w:val="24"/>
          <w:szCs w:val="22"/>
          <w:lang w:eastAsia="en-US"/>
        </w:rPr>
        <w:t xml:space="preserve"> </w:t>
      </w:r>
      <w:r w:rsidRPr="00787EA7">
        <w:rPr>
          <w:rFonts w:eastAsia="Calibri"/>
          <w:b/>
          <w:sz w:val="24"/>
          <w:szCs w:val="22"/>
          <w:lang w:val="en-US" w:eastAsia="en-US"/>
        </w:rPr>
        <w:t>insurance</w:t>
      </w:r>
      <w:r w:rsidRPr="00787EA7">
        <w:rPr>
          <w:rFonts w:eastAsia="Calibri"/>
          <w:b/>
          <w:sz w:val="24"/>
          <w:szCs w:val="22"/>
          <w:lang w:eastAsia="en-US"/>
        </w:rPr>
        <w:t xml:space="preserve"> </w:t>
      </w:r>
      <w:r w:rsidRPr="00787EA7">
        <w:rPr>
          <w:rFonts w:eastAsia="Calibri"/>
          <w:b/>
          <w:sz w:val="24"/>
          <w:szCs w:val="22"/>
          <w:lang w:val="en-US" w:eastAsia="en-US"/>
        </w:rPr>
        <w:t>industry</w:t>
      </w:r>
      <w:r w:rsidRPr="00787EA7">
        <w:rPr>
          <w:rFonts w:eastAsia="Calibri"/>
          <w:b/>
          <w:sz w:val="24"/>
          <w:szCs w:val="22"/>
          <w:lang w:eastAsia="en-US"/>
        </w:rPr>
        <w:t xml:space="preserve"> </w:t>
      </w:r>
      <w:r w:rsidRPr="00787EA7">
        <w:rPr>
          <w:rFonts w:eastAsia="Calibri"/>
          <w:b/>
          <w:sz w:val="24"/>
          <w:szCs w:val="22"/>
          <w:lang w:val="en-US" w:eastAsia="en-US"/>
        </w:rPr>
        <w:t>in</w:t>
      </w:r>
      <w:r w:rsidRPr="00787EA7">
        <w:rPr>
          <w:rFonts w:eastAsia="Calibri"/>
          <w:b/>
          <w:sz w:val="24"/>
          <w:szCs w:val="22"/>
          <w:lang w:eastAsia="en-US"/>
        </w:rPr>
        <w:t xml:space="preserve"> 2018</w:t>
      </w:r>
    </w:p>
    <w:p w:rsidR="00724342" w:rsidRPr="00787EA7" w:rsidRDefault="00724342" w:rsidP="00724342">
      <w:pPr>
        <w:ind w:firstLine="425"/>
        <w:jc w:val="right"/>
        <w:rPr>
          <w:rFonts w:eastAsia="Calibri"/>
          <w:sz w:val="22"/>
          <w:szCs w:val="22"/>
          <w:lang w:eastAsia="en-US"/>
        </w:rPr>
      </w:pP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Стариков Л.</w:t>
      </w:r>
      <w:r w:rsidR="006167FC">
        <w:rPr>
          <w:rFonts w:eastAsia="Calibri"/>
          <w:sz w:val="22"/>
          <w:szCs w:val="22"/>
          <w:lang w:eastAsia="en-US"/>
        </w:rPr>
        <w:t xml:space="preserve"> </w:t>
      </w:r>
      <w:r w:rsidRPr="00787EA7">
        <w:rPr>
          <w:rFonts w:eastAsia="Calibri"/>
          <w:sz w:val="22"/>
          <w:szCs w:val="22"/>
          <w:lang w:eastAsia="en-US"/>
        </w:rPr>
        <w:t>Ю.,</w:t>
      </w:r>
    </w:p>
    <w:p w:rsidR="00724342" w:rsidRPr="00787EA7" w:rsidRDefault="006167FC" w:rsidP="00724342">
      <w:pPr>
        <w:ind w:firstLine="425"/>
        <w:jc w:val="right"/>
        <w:rPr>
          <w:rFonts w:eastAsia="Calibri"/>
          <w:sz w:val="22"/>
          <w:szCs w:val="22"/>
          <w:lang w:eastAsia="en-US"/>
        </w:rPr>
      </w:pPr>
      <w:r>
        <w:rPr>
          <w:rFonts w:eastAsia="Calibri"/>
          <w:sz w:val="22"/>
          <w:szCs w:val="22"/>
          <w:lang w:eastAsia="en-US"/>
        </w:rPr>
        <w:t>студент 3-</w:t>
      </w:r>
      <w:r w:rsidR="00724342" w:rsidRPr="00787EA7">
        <w:rPr>
          <w:rFonts w:eastAsia="Calibri"/>
          <w:sz w:val="22"/>
          <w:szCs w:val="22"/>
          <w:lang w:eastAsia="en-US"/>
        </w:rPr>
        <w:t>го курса факультета Финансы и кредит</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Окорокова О. А.</w:t>
      </w:r>
      <w:r w:rsidR="006167FC">
        <w:rPr>
          <w:rFonts w:eastAsia="Calibri"/>
          <w:sz w:val="22"/>
          <w:szCs w:val="22"/>
          <w:lang w:eastAsia="en-US"/>
        </w:rPr>
        <w:t>,</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доцент кафедры финансов</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 xml:space="preserve">Кубанский государственный аграрный </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университет имени И. Т. Трубилина</w:t>
      </w:r>
    </w:p>
    <w:p w:rsidR="00724342" w:rsidRPr="00787EA7" w:rsidRDefault="00724342" w:rsidP="00724342">
      <w:pPr>
        <w:ind w:firstLine="425"/>
        <w:jc w:val="right"/>
        <w:rPr>
          <w:rFonts w:eastAsia="Calibri"/>
          <w:sz w:val="22"/>
          <w:szCs w:val="22"/>
          <w:lang w:eastAsia="en-US"/>
        </w:rPr>
      </w:pP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eastAsia="en-US"/>
        </w:rPr>
        <w:t>АННОТАЦИЯ: Был произведен анализ страхового рынка Ро</w:t>
      </w:r>
      <w:r w:rsidRPr="00787EA7">
        <w:rPr>
          <w:rFonts w:eastAsia="Calibri"/>
          <w:sz w:val="22"/>
          <w:szCs w:val="22"/>
          <w:lang w:eastAsia="en-US"/>
        </w:rPr>
        <w:t>с</w:t>
      </w:r>
      <w:r w:rsidRPr="00787EA7">
        <w:rPr>
          <w:rFonts w:eastAsia="Calibri"/>
          <w:sz w:val="22"/>
          <w:szCs w:val="22"/>
          <w:lang w:eastAsia="en-US"/>
        </w:rPr>
        <w:t>сии на предстоящий год. Выявлены</w:t>
      </w:r>
      <w:r w:rsidRPr="00787EA7">
        <w:rPr>
          <w:rFonts w:eastAsia="Calibri"/>
          <w:sz w:val="22"/>
          <w:szCs w:val="22"/>
          <w:lang w:val="en-US" w:eastAsia="en-US"/>
        </w:rPr>
        <w:t xml:space="preserve"> </w:t>
      </w:r>
      <w:r w:rsidRPr="00787EA7">
        <w:rPr>
          <w:rFonts w:eastAsia="Calibri"/>
          <w:sz w:val="22"/>
          <w:szCs w:val="22"/>
          <w:lang w:eastAsia="en-US"/>
        </w:rPr>
        <w:t>основные</w:t>
      </w:r>
      <w:r w:rsidRPr="00787EA7">
        <w:rPr>
          <w:rFonts w:eastAsia="Calibri"/>
          <w:sz w:val="22"/>
          <w:szCs w:val="22"/>
          <w:lang w:val="en-US" w:eastAsia="en-US"/>
        </w:rPr>
        <w:t xml:space="preserve"> </w:t>
      </w:r>
      <w:r w:rsidRPr="00787EA7">
        <w:rPr>
          <w:rFonts w:eastAsia="Calibri"/>
          <w:sz w:val="22"/>
          <w:szCs w:val="22"/>
          <w:lang w:eastAsia="en-US"/>
        </w:rPr>
        <w:t>драйверы</w:t>
      </w:r>
      <w:r w:rsidRPr="00787EA7">
        <w:rPr>
          <w:rFonts w:eastAsia="Calibri"/>
          <w:sz w:val="22"/>
          <w:szCs w:val="22"/>
          <w:lang w:val="en-US" w:eastAsia="en-US"/>
        </w:rPr>
        <w:t xml:space="preserve"> </w:t>
      </w:r>
      <w:r w:rsidRPr="00787EA7">
        <w:rPr>
          <w:rFonts w:eastAsia="Calibri"/>
          <w:sz w:val="22"/>
          <w:szCs w:val="22"/>
          <w:lang w:eastAsia="en-US"/>
        </w:rPr>
        <w:t>развития</w:t>
      </w:r>
      <w:r w:rsidRPr="00787EA7">
        <w:rPr>
          <w:rFonts w:eastAsia="Calibri"/>
          <w:sz w:val="22"/>
          <w:szCs w:val="22"/>
          <w:lang w:val="en-US" w:eastAsia="en-US"/>
        </w:rPr>
        <w:t xml:space="preserve">. </w:t>
      </w:r>
      <w:r w:rsidRPr="00787EA7">
        <w:rPr>
          <w:rFonts w:eastAsia="Calibri"/>
          <w:sz w:val="22"/>
          <w:szCs w:val="22"/>
          <w:lang w:eastAsia="en-US"/>
        </w:rPr>
        <w:t>Спрогнозирован</w:t>
      </w:r>
      <w:r w:rsidRPr="00787EA7">
        <w:rPr>
          <w:rFonts w:eastAsia="Calibri"/>
          <w:sz w:val="22"/>
          <w:szCs w:val="22"/>
          <w:lang w:val="en-US" w:eastAsia="en-US"/>
        </w:rPr>
        <w:t xml:space="preserve"> </w:t>
      </w:r>
      <w:r w:rsidRPr="00787EA7">
        <w:rPr>
          <w:rFonts w:eastAsia="Calibri"/>
          <w:sz w:val="22"/>
          <w:szCs w:val="22"/>
          <w:lang w:eastAsia="en-US"/>
        </w:rPr>
        <w:t>рост</w:t>
      </w:r>
      <w:r w:rsidRPr="00787EA7">
        <w:rPr>
          <w:rFonts w:eastAsia="Calibri"/>
          <w:sz w:val="22"/>
          <w:szCs w:val="22"/>
          <w:lang w:val="en-US" w:eastAsia="en-US"/>
        </w:rPr>
        <w:t xml:space="preserve"> </w:t>
      </w:r>
      <w:r w:rsidRPr="00787EA7">
        <w:rPr>
          <w:rFonts w:eastAsia="Calibri"/>
          <w:sz w:val="22"/>
          <w:szCs w:val="22"/>
          <w:lang w:eastAsia="en-US"/>
        </w:rPr>
        <w:t>на</w:t>
      </w:r>
      <w:r w:rsidRPr="00787EA7">
        <w:rPr>
          <w:rFonts w:eastAsia="Calibri"/>
          <w:sz w:val="22"/>
          <w:szCs w:val="22"/>
          <w:lang w:val="en-US" w:eastAsia="en-US"/>
        </w:rPr>
        <w:t xml:space="preserve"> 10- 15% </w:t>
      </w:r>
      <w:r w:rsidRPr="00787EA7">
        <w:rPr>
          <w:rFonts w:eastAsia="Calibri"/>
          <w:sz w:val="22"/>
          <w:szCs w:val="22"/>
          <w:lang w:eastAsia="en-US"/>
        </w:rPr>
        <w:t>в</w:t>
      </w:r>
      <w:r w:rsidRPr="00787EA7">
        <w:rPr>
          <w:rFonts w:eastAsia="Calibri"/>
          <w:sz w:val="22"/>
          <w:szCs w:val="22"/>
          <w:lang w:val="en-US" w:eastAsia="en-US"/>
        </w:rPr>
        <w:t xml:space="preserve"> 2018 </w:t>
      </w:r>
      <w:r w:rsidRPr="00787EA7">
        <w:rPr>
          <w:rFonts w:eastAsia="Calibri"/>
          <w:sz w:val="22"/>
          <w:szCs w:val="22"/>
          <w:lang w:eastAsia="en-US"/>
        </w:rPr>
        <w:t>году</w:t>
      </w:r>
      <w:r w:rsidRPr="00787EA7">
        <w:rPr>
          <w:rFonts w:eastAsia="Calibri"/>
          <w:sz w:val="22"/>
          <w:szCs w:val="22"/>
          <w:lang w:val="en-US" w:eastAsia="en-US"/>
        </w:rPr>
        <w:t>.</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t>ABSTRACT:</w:t>
      </w:r>
      <w:r w:rsidRPr="00787EA7">
        <w:rPr>
          <w:rFonts w:eastAsia="Calibri"/>
          <w:sz w:val="22"/>
          <w:szCs w:val="22"/>
          <w:lang w:val="en" w:eastAsia="en-US"/>
        </w:rPr>
        <w:t xml:space="preserve">The analysis of the Russian insurance industry for the coming year was made. The main drivers of development </w:t>
      </w:r>
      <w:r w:rsidRPr="00787EA7">
        <w:rPr>
          <w:rFonts w:eastAsia="Calibri"/>
          <w:sz w:val="22"/>
          <w:szCs w:val="22"/>
          <w:lang w:val="en-US" w:eastAsia="en-US"/>
        </w:rPr>
        <w:t>were</w:t>
      </w:r>
      <w:r w:rsidRPr="00787EA7">
        <w:rPr>
          <w:rFonts w:eastAsia="Calibri"/>
          <w:sz w:val="22"/>
          <w:szCs w:val="22"/>
          <w:lang w:val="en" w:eastAsia="en-US"/>
        </w:rPr>
        <w:t xml:space="preserve"> revealed.</w:t>
      </w:r>
      <w:r w:rsidRPr="00787EA7">
        <w:rPr>
          <w:rFonts w:eastAsia="Calibri"/>
          <w:sz w:val="22"/>
          <w:szCs w:val="22"/>
          <w:lang w:val="en-US" w:eastAsia="en-US"/>
        </w:rPr>
        <w:t xml:space="preserve"> </w:t>
      </w:r>
      <w:r w:rsidRPr="00787EA7">
        <w:rPr>
          <w:rFonts w:eastAsia="Calibri"/>
          <w:sz w:val="22"/>
          <w:szCs w:val="22"/>
          <w:lang w:val="en" w:eastAsia="en-US"/>
        </w:rPr>
        <w:t>The future growth is forecasted at around 10-15% in 2018.</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страхование, стабилизация экономики, инвестиционное страхование жизни, ипотечное страхование, кибе</w:t>
      </w:r>
      <w:r w:rsidRPr="00787EA7">
        <w:rPr>
          <w:rFonts w:eastAsia="Calibri"/>
          <w:sz w:val="22"/>
          <w:szCs w:val="22"/>
          <w:lang w:eastAsia="en-US"/>
        </w:rPr>
        <w:t>р</w:t>
      </w:r>
      <w:r w:rsidRPr="00787EA7">
        <w:rPr>
          <w:rFonts w:eastAsia="Calibri"/>
          <w:sz w:val="22"/>
          <w:szCs w:val="22"/>
          <w:lang w:eastAsia="en-US"/>
        </w:rPr>
        <w:t>риски, ОСАГО</w:t>
      </w:r>
    </w:p>
    <w:p w:rsidR="00724342" w:rsidRPr="00787EA7" w:rsidRDefault="00724342" w:rsidP="00724342">
      <w:pPr>
        <w:ind w:firstLine="425"/>
        <w:jc w:val="both"/>
        <w:rPr>
          <w:rFonts w:eastAsia="Calibri"/>
          <w:sz w:val="22"/>
          <w:szCs w:val="22"/>
          <w:lang w:val="en" w:eastAsia="en-US"/>
        </w:rPr>
      </w:pPr>
      <w:r w:rsidRPr="00787EA7">
        <w:rPr>
          <w:rFonts w:eastAsia="Calibri"/>
          <w:sz w:val="22"/>
          <w:szCs w:val="22"/>
          <w:lang w:val="en-US" w:eastAsia="en-US"/>
        </w:rPr>
        <w:t>KEYWORDS:</w:t>
      </w:r>
      <w:r w:rsidRPr="00787EA7">
        <w:rPr>
          <w:rFonts w:eastAsia="Calibri"/>
          <w:sz w:val="22"/>
          <w:szCs w:val="22"/>
          <w:lang w:val="en" w:eastAsia="en-US"/>
        </w:rPr>
        <w:t>insurance, stabilization of the economy, investment life insurance, mortgage insurance, cyber risks,OSAGO</w:t>
      </w:r>
    </w:p>
    <w:p w:rsidR="00724342" w:rsidRPr="00787EA7" w:rsidRDefault="00724342" w:rsidP="00724342">
      <w:pPr>
        <w:ind w:firstLine="425"/>
        <w:jc w:val="center"/>
        <w:rPr>
          <w:rFonts w:eastAsia="Calibri"/>
          <w:sz w:val="22"/>
          <w:szCs w:val="22"/>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2017 году, несмотря на неблагоприятную общеэкономич</w:t>
      </w:r>
      <w:r w:rsidRPr="00787EA7">
        <w:rPr>
          <w:rFonts w:eastAsia="Calibri"/>
          <w:sz w:val="22"/>
          <w:szCs w:val="22"/>
          <w:lang w:eastAsia="en-US"/>
        </w:rPr>
        <w:t>е</w:t>
      </w:r>
      <w:r w:rsidRPr="00787EA7">
        <w:rPr>
          <w:rFonts w:eastAsia="Calibri"/>
          <w:sz w:val="22"/>
          <w:szCs w:val="22"/>
          <w:lang w:eastAsia="en-US"/>
        </w:rPr>
        <w:t>скую обстановку страховой рынок показал рост в 9,5%, заметно превзойдя прирост российского ВВП. В 2018 году можно ожидать дальнейшего роста страхового сектора на 10-15%, и достижения объема рынка в 1,4 трлн руб. Основным драйвером, и как и в п</w:t>
      </w:r>
      <w:r w:rsidRPr="00787EA7">
        <w:rPr>
          <w:rFonts w:eastAsia="Calibri"/>
          <w:sz w:val="22"/>
          <w:szCs w:val="22"/>
          <w:lang w:eastAsia="en-US"/>
        </w:rPr>
        <w:t>о</w:t>
      </w:r>
      <w:r w:rsidRPr="00787EA7">
        <w:rPr>
          <w:rFonts w:eastAsia="Calibri"/>
          <w:sz w:val="22"/>
          <w:szCs w:val="22"/>
          <w:lang w:eastAsia="en-US"/>
        </w:rPr>
        <w:t>следние пять лет, будет являться инвестиционное страхование жи</w:t>
      </w:r>
      <w:r w:rsidRPr="00787EA7">
        <w:rPr>
          <w:rFonts w:eastAsia="Calibri"/>
          <w:sz w:val="22"/>
          <w:szCs w:val="22"/>
          <w:lang w:eastAsia="en-US"/>
        </w:rPr>
        <w:t>з</w:t>
      </w:r>
      <w:r w:rsidRPr="00787EA7">
        <w:rPr>
          <w:rFonts w:eastAsia="Calibri"/>
          <w:sz w:val="22"/>
          <w:szCs w:val="22"/>
          <w:lang w:eastAsia="en-US"/>
        </w:rPr>
        <w:t xml:space="preserve">ни, это связанно с наличием у населения свободных денежных </w:t>
      </w:r>
      <w:r w:rsidRPr="00787EA7">
        <w:rPr>
          <w:rFonts w:eastAsia="Calibri"/>
          <w:sz w:val="22"/>
          <w:szCs w:val="22"/>
          <w:lang w:eastAsia="en-US"/>
        </w:rPr>
        <w:lastRenderedPageBreak/>
        <w:t>средств и желанием их инвестировать, и довольно низкой доходн</w:t>
      </w:r>
      <w:r w:rsidRPr="00787EA7">
        <w:rPr>
          <w:rFonts w:eastAsia="Calibri"/>
          <w:sz w:val="22"/>
          <w:szCs w:val="22"/>
          <w:lang w:eastAsia="en-US"/>
        </w:rPr>
        <w:t>о</w:t>
      </w:r>
      <w:r w:rsidRPr="00787EA7">
        <w:rPr>
          <w:rFonts w:eastAsia="Calibri"/>
          <w:sz w:val="22"/>
          <w:szCs w:val="22"/>
          <w:lang w:eastAsia="en-US"/>
        </w:rPr>
        <w:t xml:space="preserve">стью без рисковых инструментов. Также на ИСЖ влияет активность банков агентов в связи с излишней ликвидностью.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Можно ожидать значительный рост сектора личного страхов</w:t>
      </w:r>
      <w:r w:rsidRPr="00787EA7">
        <w:rPr>
          <w:rFonts w:eastAsia="Calibri"/>
          <w:sz w:val="22"/>
          <w:szCs w:val="22"/>
          <w:lang w:eastAsia="en-US"/>
        </w:rPr>
        <w:t>а</w:t>
      </w:r>
      <w:r w:rsidRPr="00787EA7">
        <w:rPr>
          <w:rFonts w:eastAsia="Calibri"/>
          <w:sz w:val="22"/>
          <w:szCs w:val="22"/>
          <w:lang w:eastAsia="en-US"/>
        </w:rPr>
        <w:t>ния примерно на 10-12%, в связи с все более растущими рисками. Увеличится и страхование ответственности примерно на 6 процен</w:t>
      </w:r>
      <w:r w:rsidRPr="00787EA7">
        <w:rPr>
          <w:rFonts w:eastAsia="Calibri"/>
          <w:sz w:val="22"/>
          <w:szCs w:val="22"/>
          <w:lang w:eastAsia="en-US"/>
        </w:rPr>
        <w:t>т</w:t>
      </w:r>
      <w:r w:rsidRPr="00787EA7">
        <w:rPr>
          <w:rFonts w:eastAsia="Calibri"/>
          <w:sz w:val="22"/>
          <w:szCs w:val="22"/>
          <w:lang w:eastAsia="en-US"/>
        </w:rPr>
        <w:t>ных пунктов. Также на фоне роста ипотечного кредитования в стране, соответственно вырастет и ипотечное страхование, однако по оценкам экспертов оно будет довольно незначительное, не более 3%.Будет происходит дальнейшее увеличение доли онлайн страх</w:t>
      </w:r>
      <w:r w:rsidRPr="00787EA7">
        <w:rPr>
          <w:rFonts w:eastAsia="Calibri"/>
          <w:sz w:val="22"/>
          <w:szCs w:val="22"/>
          <w:lang w:eastAsia="en-US"/>
        </w:rPr>
        <w:t>о</w:t>
      </w:r>
      <w:r w:rsidRPr="00787EA7">
        <w:rPr>
          <w:rFonts w:eastAsia="Calibri"/>
          <w:sz w:val="22"/>
          <w:szCs w:val="22"/>
          <w:lang w:eastAsia="en-US"/>
        </w:rPr>
        <w:t>вания, и соответствующей модификации страховых продуктов для продаж через интернет ресурсы и мобильные приложения. В долг</w:t>
      </w:r>
      <w:r w:rsidRPr="00787EA7">
        <w:rPr>
          <w:rFonts w:eastAsia="Calibri"/>
          <w:sz w:val="22"/>
          <w:szCs w:val="22"/>
          <w:lang w:eastAsia="en-US"/>
        </w:rPr>
        <w:t>о</w:t>
      </w:r>
      <w:r w:rsidRPr="00787EA7">
        <w:rPr>
          <w:rFonts w:eastAsia="Calibri"/>
          <w:sz w:val="22"/>
          <w:szCs w:val="22"/>
          <w:lang w:eastAsia="en-US"/>
        </w:rPr>
        <w:t>срочной перспективе направлением к направлениям развития мо</w:t>
      </w:r>
      <w:r w:rsidRPr="00787EA7">
        <w:rPr>
          <w:rFonts w:eastAsia="Calibri"/>
          <w:sz w:val="22"/>
          <w:szCs w:val="22"/>
          <w:lang w:eastAsia="en-US"/>
        </w:rPr>
        <w:t>ж</w:t>
      </w:r>
      <w:r w:rsidRPr="00787EA7">
        <w:rPr>
          <w:rFonts w:eastAsia="Calibri"/>
          <w:sz w:val="22"/>
          <w:szCs w:val="22"/>
          <w:lang w:eastAsia="en-US"/>
        </w:rPr>
        <w:t>но отнести сектор страхования от киберрисков, в связи с все бол</w:t>
      </w:r>
      <w:r w:rsidRPr="00787EA7">
        <w:rPr>
          <w:rFonts w:eastAsia="Calibri"/>
          <w:sz w:val="22"/>
          <w:szCs w:val="22"/>
          <w:lang w:eastAsia="en-US"/>
        </w:rPr>
        <w:t>ь</w:t>
      </w:r>
      <w:r w:rsidRPr="00787EA7">
        <w:rPr>
          <w:rFonts w:eastAsia="Calibri"/>
          <w:sz w:val="22"/>
          <w:szCs w:val="22"/>
          <w:lang w:eastAsia="en-US"/>
        </w:rPr>
        <w:t>шим переходом к цифровой экономике.</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Основным убыточным сегментом, тормозящим развитие так и останется ОСАГО или «автогражданка». Большое влияние на уб</w:t>
      </w:r>
      <w:r w:rsidRPr="00787EA7">
        <w:rPr>
          <w:rFonts w:eastAsia="Calibri"/>
          <w:sz w:val="22"/>
          <w:szCs w:val="22"/>
          <w:lang w:eastAsia="en-US"/>
        </w:rPr>
        <w:t>ы</w:t>
      </w:r>
      <w:r w:rsidRPr="00787EA7">
        <w:rPr>
          <w:rFonts w:eastAsia="Calibri"/>
          <w:sz w:val="22"/>
          <w:szCs w:val="22"/>
          <w:lang w:eastAsia="en-US"/>
        </w:rPr>
        <w:t>точность этого сектора оказывает все больший рост активности а</w:t>
      </w:r>
      <w:r w:rsidRPr="00787EA7">
        <w:rPr>
          <w:rFonts w:eastAsia="Calibri"/>
          <w:sz w:val="22"/>
          <w:szCs w:val="22"/>
          <w:lang w:eastAsia="en-US"/>
        </w:rPr>
        <w:t>в</w:t>
      </w:r>
      <w:r w:rsidRPr="00787EA7">
        <w:rPr>
          <w:rFonts w:eastAsia="Calibri"/>
          <w:sz w:val="22"/>
          <w:szCs w:val="22"/>
          <w:lang w:eastAsia="en-US"/>
        </w:rPr>
        <w:t>тоюристов, естественная инфляция стоимости ремонта и неизме</w:t>
      </w:r>
      <w:r w:rsidRPr="00787EA7">
        <w:rPr>
          <w:rFonts w:eastAsia="Calibri"/>
          <w:sz w:val="22"/>
          <w:szCs w:val="22"/>
          <w:lang w:eastAsia="en-US"/>
        </w:rPr>
        <w:t>н</w:t>
      </w:r>
      <w:r w:rsidRPr="00787EA7">
        <w:rPr>
          <w:rFonts w:eastAsia="Calibri"/>
          <w:sz w:val="22"/>
          <w:szCs w:val="22"/>
          <w:lang w:eastAsia="en-US"/>
        </w:rPr>
        <w:t>ность тарифов. Изменения в этот сектор, по мнению страховщиков, может принести лишь либерализация тарифов.</w:t>
      </w:r>
    </w:p>
    <w:p w:rsidR="006167FC" w:rsidRDefault="006167FC" w:rsidP="00724342">
      <w:pPr>
        <w:ind w:firstLine="425"/>
        <w:jc w:val="center"/>
        <w:outlineLvl w:val="0"/>
        <w:rPr>
          <w:rFonts w:eastAsia="Calibri"/>
          <w:sz w:val="22"/>
          <w:szCs w:val="22"/>
          <w:lang w:eastAsia="en-US"/>
        </w:rPr>
      </w:pPr>
    </w:p>
    <w:p w:rsidR="00724342" w:rsidRPr="00787EA7" w:rsidRDefault="00724342" w:rsidP="00724342">
      <w:pPr>
        <w:ind w:firstLine="425"/>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6167FC">
      <w:pPr>
        <w:numPr>
          <w:ilvl w:val="0"/>
          <w:numId w:val="69"/>
        </w:numPr>
        <w:ind w:left="0" w:firstLine="426"/>
        <w:contextualSpacing/>
        <w:jc w:val="both"/>
        <w:rPr>
          <w:rFonts w:eastAsia="Calibri"/>
          <w:sz w:val="22"/>
          <w:szCs w:val="22"/>
          <w:lang w:eastAsia="en-US"/>
        </w:rPr>
      </w:pPr>
      <w:r w:rsidRPr="00787EA7">
        <w:rPr>
          <w:rFonts w:eastAsia="Calibri"/>
          <w:sz w:val="22"/>
          <w:szCs w:val="22"/>
          <w:lang w:eastAsia="en-US"/>
        </w:rPr>
        <w:t>Окорокова О. А. Финансовая стратегия страховой компании / О.А. Окорокова // Вестник Адыгейского государственного униве</w:t>
      </w:r>
      <w:r w:rsidRPr="00787EA7">
        <w:rPr>
          <w:rFonts w:eastAsia="Calibri"/>
          <w:sz w:val="22"/>
          <w:szCs w:val="22"/>
          <w:lang w:eastAsia="en-US"/>
        </w:rPr>
        <w:t>р</w:t>
      </w:r>
      <w:r w:rsidRPr="00787EA7">
        <w:rPr>
          <w:rFonts w:eastAsia="Calibri"/>
          <w:sz w:val="22"/>
          <w:szCs w:val="22"/>
          <w:lang w:eastAsia="en-US"/>
        </w:rPr>
        <w:t>ситета. Серия 5: Экономика. 2011. – № 3. – С. 29-36.</w:t>
      </w:r>
    </w:p>
    <w:p w:rsidR="00724342" w:rsidRPr="00787EA7" w:rsidRDefault="00724342" w:rsidP="006167FC">
      <w:pPr>
        <w:numPr>
          <w:ilvl w:val="0"/>
          <w:numId w:val="69"/>
        </w:numPr>
        <w:ind w:left="0" w:firstLine="426"/>
        <w:contextualSpacing/>
        <w:jc w:val="both"/>
        <w:rPr>
          <w:rFonts w:eastAsia="Calibri"/>
          <w:sz w:val="22"/>
          <w:szCs w:val="22"/>
          <w:lang w:eastAsia="en-US"/>
        </w:rPr>
      </w:pPr>
      <w:r w:rsidRPr="00787EA7">
        <w:rPr>
          <w:rFonts w:eastAsia="Calibri"/>
          <w:sz w:val="22"/>
          <w:szCs w:val="22"/>
          <w:lang w:eastAsia="en-US"/>
        </w:rPr>
        <w:t>Окорокова О. А. Оценка эффективности управления риск</w:t>
      </w:r>
      <w:r w:rsidRPr="00787EA7">
        <w:rPr>
          <w:rFonts w:eastAsia="Calibri"/>
          <w:sz w:val="22"/>
          <w:szCs w:val="22"/>
          <w:lang w:eastAsia="en-US"/>
        </w:rPr>
        <w:t>а</w:t>
      </w:r>
      <w:r w:rsidRPr="00787EA7">
        <w:rPr>
          <w:rFonts w:eastAsia="Calibri"/>
          <w:sz w:val="22"/>
          <w:szCs w:val="22"/>
          <w:lang w:eastAsia="en-US"/>
        </w:rPr>
        <w:t>ми страховыми организациями России в условиях инноваций их регламентирования / О.А. Окорокова, Ю.Б. Тураев, Л.К. Улыбина // Вопросы экономики и права, 2016. –  № 98. – С. 61-67.</w:t>
      </w:r>
    </w:p>
    <w:p w:rsidR="00724342" w:rsidRPr="00787EA7" w:rsidRDefault="00724342" w:rsidP="006167FC">
      <w:pPr>
        <w:numPr>
          <w:ilvl w:val="0"/>
          <w:numId w:val="69"/>
        </w:numPr>
        <w:ind w:left="0" w:firstLine="426"/>
        <w:contextualSpacing/>
        <w:jc w:val="both"/>
        <w:rPr>
          <w:rFonts w:eastAsia="Calibri"/>
          <w:sz w:val="22"/>
          <w:szCs w:val="22"/>
          <w:lang w:eastAsia="en-US"/>
        </w:rPr>
      </w:pPr>
      <w:r w:rsidRPr="00787EA7">
        <w:rPr>
          <w:rFonts w:eastAsia="Calibri"/>
          <w:sz w:val="22"/>
          <w:szCs w:val="22"/>
          <w:lang w:eastAsia="en-US"/>
        </w:rPr>
        <w:t>Улыбина Л. К. Страховой рынок России: оценка индикат</w:t>
      </w:r>
      <w:r w:rsidRPr="00787EA7">
        <w:rPr>
          <w:rFonts w:eastAsia="Calibri"/>
          <w:sz w:val="22"/>
          <w:szCs w:val="22"/>
          <w:lang w:eastAsia="en-US"/>
        </w:rPr>
        <w:t>о</w:t>
      </w:r>
      <w:r w:rsidRPr="00787EA7">
        <w:rPr>
          <w:rFonts w:eastAsia="Calibri"/>
          <w:sz w:val="22"/>
          <w:szCs w:val="22"/>
          <w:lang w:eastAsia="en-US"/>
        </w:rPr>
        <w:t>ров и перспектив развития / Л.К. Улыбина, О.А. Окорокова, Г.А. Ваньян // Экономика и предпринимательство, 2013. – № 7 (36). – С. 64-68.</w:t>
      </w:r>
    </w:p>
    <w:p w:rsidR="00724342" w:rsidRPr="00787EA7" w:rsidRDefault="00724342" w:rsidP="006167FC">
      <w:pPr>
        <w:numPr>
          <w:ilvl w:val="0"/>
          <w:numId w:val="69"/>
        </w:numPr>
        <w:ind w:left="0" w:firstLine="426"/>
        <w:contextualSpacing/>
        <w:jc w:val="both"/>
        <w:rPr>
          <w:rFonts w:eastAsia="Calibri"/>
          <w:sz w:val="22"/>
          <w:szCs w:val="22"/>
          <w:lang w:eastAsia="en-US"/>
        </w:rPr>
      </w:pPr>
      <w:r w:rsidRPr="00787EA7">
        <w:rPr>
          <w:rFonts w:eastAsia="Calibri"/>
          <w:sz w:val="22"/>
          <w:szCs w:val="22"/>
          <w:lang w:eastAsia="en-US"/>
        </w:rPr>
        <w:t>Окорокова О. А. Оценка эффективности управления риск</w:t>
      </w:r>
      <w:r w:rsidRPr="00787EA7">
        <w:rPr>
          <w:rFonts w:eastAsia="Calibri"/>
          <w:sz w:val="22"/>
          <w:szCs w:val="22"/>
          <w:lang w:eastAsia="en-US"/>
        </w:rPr>
        <w:t>а</w:t>
      </w:r>
      <w:r w:rsidRPr="00787EA7">
        <w:rPr>
          <w:rFonts w:eastAsia="Calibri"/>
          <w:sz w:val="22"/>
          <w:szCs w:val="22"/>
          <w:lang w:eastAsia="en-US"/>
        </w:rPr>
        <w:t>ми страховыми организациями России в условиях инноваций их регламентирования / О.А. Окорокова, Ю.Б. Тураев, Л.К. Улыбина //</w:t>
      </w:r>
    </w:p>
    <w:p w:rsidR="00724342" w:rsidRPr="00787EA7" w:rsidRDefault="00724342" w:rsidP="006167FC">
      <w:pPr>
        <w:jc w:val="both"/>
        <w:rPr>
          <w:rFonts w:eastAsia="Calibri"/>
          <w:sz w:val="22"/>
          <w:szCs w:val="22"/>
          <w:lang w:eastAsia="en-US"/>
        </w:rPr>
      </w:pPr>
      <w:r w:rsidRPr="00787EA7">
        <w:rPr>
          <w:rFonts w:eastAsia="Calibri"/>
          <w:sz w:val="22"/>
          <w:szCs w:val="22"/>
          <w:lang w:eastAsia="en-US"/>
        </w:rPr>
        <w:t>Вопросы экономики и права, 2016. –  № 98. – С. 61-67.</w:t>
      </w:r>
    </w:p>
    <w:p w:rsidR="00724342" w:rsidRPr="00787EA7" w:rsidRDefault="00724342" w:rsidP="006167FC">
      <w:pPr>
        <w:ind w:firstLine="426"/>
        <w:jc w:val="both"/>
        <w:rPr>
          <w:rFonts w:eastAsia="Calibri"/>
          <w:sz w:val="22"/>
          <w:szCs w:val="22"/>
          <w:lang w:eastAsia="en-US"/>
        </w:rPr>
      </w:pPr>
      <w:r w:rsidRPr="00787EA7">
        <w:rPr>
          <w:rFonts w:eastAsia="Calibri"/>
          <w:sz w:val="22"/>
          <w:szCs w:val="22"/>
          <w:lang w:eastAsia="en-US"/>
        </w:rPr>
        <w:lastRenderedPageBreak/>
        <w:t>5. Улыбина Л. К. Роль институтов страхового рынка в экон</w:t>
      </w:r>
      <w:r w:rsidRPr="00787EA7">
        <w:rPr>
          <w:rFonts w:eastAsia="Calibri"/>
          <w:sz w:val="22"/>
          <w:szCs w:val="22"/>
          <w:lang w:eastAsia="en-US"/>
        </w:rPr>
        <w:t>о</w:t>
      </w:r>
      <w:r w:rsidRPr="00787EA7">
        <w:rPr>
          <w:rFonts w:eastAsia="Calibri"/>
          <w:sz w:val="22"/>
          <w:szCs w:val="22"/>
          <w:lang w:eastAsia="en-US"/>
        </w:rPr>
        <w:t>мике / Л.К. Улыбина, О.А. Окорокова / В мире научных открытий, 2014. – № 11.4 (59). – С. 1464-1483.</w:t>
      </w:r>
    </w:p>
    <w:p w:rsidR="00724342" w:rsidRPr="00787EA7" w:rsidRDefault="00724342" w:rsidP="006167FC">
      <w:pPr>
        <w:ind w:firstLine="426"/>
        <w:jc w:val="both"/>
        <w:rPr>
          <w:rFonts w:eastAsia="Calibri"/>
          <w:sz w:val="22"/>
          <w:szCs w:val="22"/>
          <w:lang w:eastAsia="en-US"/>
        </w:rPr>
      </w:pPr>
      <w:r w:rsidRPr="00787EA7">
        <w:rPr>
          <w:rFonts w:eastAsia="Calibri"/>
          <w:sz w:val="22"/>
          <w:szCs w:val="22"/>
          <w:lang w:eastAsia="en-US"/>
        </w:rPr>
        <w:t>6.</w:t>
      </w:r>
      <w:r w:rsidRPr="00787EA7">
        <w:rPr>
          <w:rFonts w:eastAsia="Calibri"/>
          <w:sz w:val="22"/>
          <w:szCs w:val="22"/>
          <w:lang w:eastAsia="en-US"/>
        </w:rPr>
        <w:tab/>
        <w:t>Прайм. Агенство аналитической информации [Электронный ресурс]. – Режим доступа: https://1prime.ru/</w:t>
      </w:r>
    </w:p>
    <w:p w:rsidR="00724342" w:rsidRPr="00787EA7" w:rsidRDefault="00724342" w:rsidP="006167FC">
      <w:pPr>
        <w:ind w:firstLine="426"/>
        <w:jc w:val="both"/>
        <w:rPr>
          <w:rFonts w:eastAsia="Calibri"/>
          <w:sz w:val="22"/>
          <w:szCs w:val="22"/>
          <w:lang w:eastAsia="en-US"/>
        </w:rPr>
      </w:pPr>
      <w:r w:rsidRPr="00787EA7">
        <w:rPr>
          <w:rFonts w:eastAsia="Calibri"/>
          <w:sz w:val="22"/>
          <w:szCs w:val="22"/>
          <w:lang w:eastAsia="en-US"/>
        </w:rPr>
        <w:t>7.</w:t>
      </w:r>
      <w:r w:rsidRPr="00787EA7">
        <w:rPr>
          <w:rFonts w:eastAsia="Calibri"/>
          <w:sz w:val="22"/>
          <w:szCs w:val="22"/>
          <w:lang w:eastAsia="en-US"/>
        </w:rPr>
        <w:tab/>
        <w:t>Прайм. Агенство аналитической информации [Электронный ресурс]. – Режим доступа: https://1prime.ru/</w:t>
      </w:r>
    </w:p>
    <w:p w:rsidR="00724342" w:rsidRPr="00787EA7" w:rsidRDefault="00724342" w:rsidP="006167FC">
      <w:pPr>
        <w:ind w:firstLine="426"/>
        <w:jc w:val="both"/>
        <w:rPr>
          <w:rFonts w:eastAsia="Calibri"/>
          <w:sz w:val="22"/>
          <w:szCs w:val="22"/>
          <w:lang w:eastAsia="en-US"/>
        </w:rPr>
      </w:pPr>
      <w:r w:rsidRPr="00787EA7">
        <w:rPr>
          <w:rFonts w:eastAsia="Calibri"/>
          <w:sz w:val="22"/>
          <w:szCs w:val="22"/>
          <w:lang w:eastAsia="en-US"/>
        </w:rPr>
        <w:t>8.</w:t>
      </w:r>
      <w:r w:rsidRPr="00787EA7">
        <w:rPr>
          <w:rFonts w:eastAsia="Calibri"/>
          <w:sz w:val="22"/>
          <w:szCs w:val="22"/>
          <w:lang w:eastAsia="en-US"/>
        </w:rPr>
        <w:tab/>
        <w:t>Банки.ру [Электронный ресурс]. – Режим доступа: http://www.banki.ru/</w:t>
      </w:r>
    </w:p>
    <w:p w:rsidR="006167FC" w:rsidRDefault="006167FC" w:rsidP="00724342">
      <w:pPr>
        <w:widowControl w:val="0"/>
        <w:ind w:right="-256"/>
        <w:outlineLvl w:val="0"/>
        <w:rPr>
          <w:rFonts w:eastAsia="Courier New"/>
          <w:color w:val="000000"/>
          <w:sz w:val="22"/>
          <w:szCs w:val="22"/>
          <w:lang w:eastAsia="en-US"/>
        </w:rPr>
      </w:pPr>
    </w:p>
    <w:p w:rsidR="006167FC" w:rsidRDefault="006167FC" w:rsidP="00724342">
      <w:pPr>
        <w:widowControl w:val="0"/>
        <w:ind w:right="-256"/>
        <w:outlineLvl w:val="0"/>
        <w:rPr>
          <w:rFonts w:eastAsia="Courier New"/>
          <w:color w:val="000000"/>
          <w:sz w:val="22"/>
          <w:szCs w:val="22"/>
          <w:lang w:eastAsia="en-US"/>
        </w:rPr>
      </w:pPr>
    </w:p>
    <w:p w:rsidR="006167FC" w:rsidRDefault="006167FC" w:rsidP="00724342">
      <w:pPr>
        <w:widowControl w:val="0"/>
        <w:ind w:right="-256"/>
        <w:outlineLvl w:val="0"/>
        <w:rPr>
          <w:rFonts w:eastAsia="Courier New"/>
          <w:color w:val="000000"/>
          <w:sz w:val="22"/>
          <w:szCs w:val="22"/>
          <w:lang w:eastAsia="en-US"/>
        </w:rPr>
      </w:pPr>
    </w:p>
    <w:p w:rsidR="00724342" w:rsidRPr="00787EA7" w:rsidRDefault="00724342" w:rsidP="00724342">
      <w:pPr>
        <w:widowControl w:val="0"/>
        <w:ind w:right="-256"/>
        <w:outlineLvl w:val="0"/>
        <w:rPr>
          <w:rFonts w:eastAsia="Courier New"/>
          <w:color w:val="000000"/>
          <w:sz w:val="22"/>
          <w:szCs w:val="22"/>
          <w:lang w:eastAsia="en-US"/>
        </w:rPr>
      </w:pPr>
      <w:r w:rsidRPr="00787EA7">
        <w:rPr>
          <w:rFonts w:eastAsia="Courier New"/>
          <w:color w:val="000000"/>
          <w:sz w:val="22"/>
          <w:szCs w:val="22"/>
          <w:lang w:eastAsia="en-US"/>
        </w:rPr>
        <w:t>УДК 368</w:t>
      </w:r>
    </w:p>
    <w:p w:rsidR="00724342" w:rsidRPr="00787EA7" w:rsidRDefault="00724342" w:rsidP="00724342">
      <w:pPr>
        <w:widowControl w:val="0"/>
        <w:ind w:right="-397"/>
        <w:rPr>
          <w:rFonts w:eastAsia="Courier New"/>
          <w:color w:val="000000"/>
          <w:sz w:val="22"/>
          <w:szCs w:val="22"/>
          <w:lang w:eastAsia="en-US"/>
        </w:rPr>
      </w:pPr>
    </w:p>
    <w:p w:rsidR="00724342" w:rsidRPr="00787EA7" w:rsidRDefault="00724342" w:rsidP="00724342">
      <w:pPr>
        <w:widowControl w:val="0"/>
        <w:ind w:right="-397"/>
        <w:jc w:val="center"/>
        <w:outlineLvl w:val="0"/>
        <w:rPr>
          <w:rFonts w:eastAsia="Courier New"/>
          <w:b/>
          <w:color w:val="000000"/>
          <w:sz w:val="24"/>
          <w:szCs w:val="24"/>
          <w:lang w:eastAsia="en-US"/>
        </w:rPr>
      </w:pPr>
      <w:r w:rsidRPr="00787EA7">
        <w:rPr>
          <w:rFonts w:eastAsia="Courier New"/>
          <w:b/>
          <w:color w:val="000000"/>
          <w:sz w:val="24"/>
          <w:szCs w:val="24"/>
          <w:lang w:eastAsia="en-US"/>
        </w:rPr>
        <w:t>Имущественное страхование</w:t>
      </w:r>
    </w:p>
    <w:p w:rsidR="00724342" w:rsidRPr="00CE4C84" w:rsidRDefault="00724342" w:rsidP="007243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rPr>
      </w:pPr>
      <w:r w:rsidRPr="00CE4C84">
        <w:rPr>
          <w:b/>
          <w:color w:val="212121"/>
          <w:sz w:val="24"/>
          <w:szCs w:val="24"/>
          <w:lang w:val="en"/>
        </w:rPr>
        <w:t>Property</w:t>
      </w:r>
      <w:r w:rsidRPr="00CE4C84">
        <w:rPr>
          <w:b/>
          <w:color w:val="212121"/>
          <w:sz w:val="24"/>
          <w:szCs w:val="24"/>
        </w:rPr>
        <w:t xml:space="preserve"> </w:t>
      </w:r>
      <w:r w:rsidRPr="00CE4C84">
        <w:rPr>
          <w:b/>
          <w:color w:val="212121"/>
          <w:sz w:val="24"/>
          <w:szCs w:val="24"/>
          <w:lang w:val="en"/>
        </w:rPr>
        <w:t>insurance</w:t>
      </w:r>
    </w:p>
    <w:p w:rsidR="00CE4C84" w:rsidRPr="00CE4C84" w:rsidRDefault="00CE4C84" w:rsidP="007243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2"/>
          <w:szCs w:val="22"/>
        </w:rPr>
      </w:pP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Трегубенко З.</w:t>
      </w:r>
      <w:r w:rsidR="006167FC">
        <w:rPr>
          <w:rFonts w:eastAsia="Courier New"/>
          <w:color w:val="000000"/>
          <w:sz w:val="22"/>
          <w:szCs w:val="22"/>
          <w:lang w:eastAsia="en-US"/>
        </w:rPr>
        <w:t xml:space="preserve"> </w:t>
      </w:r>
      <w:r w:rsidRPr="00787EA7">
        <w:rPr>
          <w:rFonts w:eastAsia="Courier New"/>
          <w:color w:val="000000"/>
          <w:sz w:val="22"/>
          <w:szCs w:val="22"/>
          <w:lang w:eastAsia="en-US"/>
        </w:rPr>
        <w:t>С.</w:t>
      </w:r>
      <w:r w:rsidR="006167FC">
        <w:rPr>
          <w:rFonts w:eastAsia="Courier New"/>
          <w:color w:val="000000"/>
          <w:sz w:val="22"/>
          <w:szCs w:val="22"/>
          <w:lang w:eastAsia="en-US"/>
        </w:rPr>
        <w:t>,</w:t>
      </w: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студентка 4-го курса факультета Финансы и кредит</w:t>
      </w: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Улыбина Л.</w:t>
      </w:r>
      <w:r w:rsidR="006167FC">
        <w:rPr>
          <w:rFonts w:eastAsia="Courier New"/>
          <w:color w:val="000000"/>
          <w:sz w:val="22"/>
          <w:szCs w:val="22"/>
          <w:lang w:eastAsia="en-US"/>
        </w:rPr>
        <w:t xml:space="preserve"> </w:t>
      </w:r>
      <w:r w:rsidRPr="00787EA7">
        <w:rPr>
          <w:rFonts w:eastAsia="Courier New"/>
          <w:color w:val="000000"/>
          <w:sz w:val="22"/>
          <w:szCs w:val="22"/>
          <w:lang w:eastAsia="en-US"/>
        </w:rPr>
        <w:t>К.,</w:t>
      </w: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профессор кафедры финансов</w:t>
      </w: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 xml:space="preserve">Кубанский государственный аграрный </w:t>
      </w:r>
    </w:p>
    <w:p w:rsidR="00724342" w:rsidRPr="00787EA7" w:rsidRDefault="00724342" w:rsidP="00724342">
      <w:pPr>
        <w:widowControl w:val="0"/>
        <w:tabs>
          <w:tab w:val="left" w:pos="8223"/>
        </w:tabs>
        <w:ind w:right="-114"/>
        <w:jc w:val="right"/>
        <w:rPr>
          <w:rFonts w:eastAsia="Courier New"/>
          <w:color w:val="000000"/>
          <w:sz w:val="22"/>
          <w:szCs w:val="22"/>
          <w:lang w:eastAsia="en-US"/>
        </w:rPr>
      </w:pPr>
      <w:r w:rsidRPr="00787EA7">
        <w:rPr>
          <w:rFonts w:eastAsia="Courier New"/>
          <w:color w:val="000000"/>
          <w:sz w:val="22"/>
          <w:szCs w:val="22"/>
          <w:lang w:eastAsia="en-US"/>
        </w:rPr>
        <w:t>университет имени И.</w:t>
      </w:r>
      <w:r w:rsidR="006167FC">
        <w:rPr>
          <w:rFonts w:eastAsia="Courier New"/>
          <w:color w:val="000000"/>
          <w:sz w:val="22"/>
          <w:szCs w:val="22"/>
          <w:lang w:eastAsia="en-US"/>
        </w:rPr>
        <w:t xml:space="preserve"> </w:t>
      </w:r>
      <w:r w:rsidRPr="00787EA7">
        <w:rPr>
          <w:rFonts w:eastAsia="Courier New"/>
          <w:color w:val="000000"/>
          <w:sz w:val="22"/>
          <w:szCs w:val="22"/>
          <w:lang w:eastAsia="en-US"/>
        </w:rPr>
        <w:t>Т. Трубилина</w:t>
      </w:r>
    </w:p>
    <w:p w:rsidR="00724342" w:rsidRPr="00787EA7" w:rsidRDefault="00724342" w:rsidP="00724342">
      <w:pPr>
        <w:widowControl w:val="0"/>
        <w:tabs>
          <w:tab w:val="left" w:pos="8223"/>
        </w:tabs>
        <w:ind w:right="-397"/>
        <w:jc w:val="right"/>
        <w:rPr>
          <w:rFonts w:eastAsia="Courier New"/>
          <w:color w:val="000000"/>
          <w:sz w:val="22"/>
          <w:szCs w:val="22"/>
          <w:lang w:eastAsia="en-US"/>
        </w:rPr>
      </w:pPr>
    </w:p>
    <w:p w:rsidR="00724342" w:rsidRPr="006167FC" w:rsidRDefault="00724342" w:rsidP="006167FC">
      <w:pPr>
        <w:ind w:right="-142" w:firstLine="425"/>
        <w:jc w:val="both"/>
        <w:rPr>
          <w:rFonts w:eastAsia="Calibri"/>
          <w:sz w:val="22"/>
          <w:szCs w:val="22"/>
          <w:lang w:eastAsia="en-US"/>
        </w:rPr>
      </w:pPr>
      <w:r w:rsidRPr="006167FC">
        <w:rPr>
          <w:rFonts w:eastAsia="Courier New"/>
          <w:color w:val="000000"/>
          <w:sz w:val="22"/>
          <w:szCs w:val="22"/>
          <w:lang w:eastAsia="en-US"/>
        </w:rPr>
        <w:t>АННОТАЦИЯ:</w:t>
      </w:r>
      <w:r w:rsidRPr="006167FC">
        <w:rPr>
          <w:rFonts w:eastAsia="Calibri"/>
          <w:sz w:val="22"/>
          <w:szCs w:val="22"/>
          <w:lang w:eastAsia="en-US"/>
        </w:rPr>
        <w:t xml:space="preserve"> В данной статье будет рассмотрена тенденции имущественного страхования, где объектом страховых отношений выступают имущественные интересы по различных видам страхов</w:t>
      </w:r>
      <w:r w:rsidRPr="006167FC">
        <w:rPr>
          <w:rFonts w:eastAsia="Calibri"/>
          <w:sz w:val="22"/>
          <w:szCs w:val="22"/>
          <w:lang w:eastAsia="en-US"/>
        </w:rPr>
        <w:t>а</w:t>
      </w:r>
      <w:r w:rsidRPr="006167FC">
        <w:rPr>
          <w:rFonts w:eastAsia="Calibri"/>
          <w:sz w:val="22"/>
          <w:szCs w:val="22"/>
          <w:lang w:eastAsia="en-US"/>
        </w:rPr>
        <w:t>ния.</w:t>
      </w:r>
    </w:p>
    <w:p w:rsidR="00724342" w:rsidRPr="006167FC" w:rsidRDefault="00724342" w:rsidP="006167FC">
      <w:pPr>
        <w:shd w:val="clear" w:color="auto" w:fill="FFFFFF"/>
        <w:ind w:firstLine="425"/>
        <w:jc w:val="both"/>
        <w:rPr>
          <w:color w:val="212121"/>
          <w:sz w:val="22"/>
          <w:szCs w:val="22"/>
          <w:lang w:val="en-US"/>
        </w:rPr>
      </w:pPr>
      <w:r w:rsidRPr="006167FC">
        <w:rPr>
          <w:rFonts w:eastAsia="Courier New"/>
          <w:sz w:val="22"/>
          <w:szCs w:val="22"/>
          <w:lang w:val="en-US" w:eastAsia="en-US"/>
        </w:rPr>
        <w:t xml:space="preserve">ABSTRACT: </w:t>
      </w:r>
      <w:r w:rsidRPr="006167FC">
        <w:rPr>
          <w:color w:val="212121"/>
          <w:sz w:val="22"/>
          <w:szCs w:val="22"/>
          <w:lang w:val="en"/>
        </w:rPr>
        <w:t>In this article, we will consider the trends of property insurance, where the object of insurance relations are property interests for various types of insurance.</w:t>
      </w:r>
    </w:p>
    <w:p w:rsidR="00724342" w:rsidRPr="006167FC" w:rsidRDefault="00724342" w:rsidP="006167FC">
      <w:pPr>
        <w:widowControl w:val="0"/>
        <w:tabs>
          <w:tab w:val="left" w:pos="8223"/>
        </w:tabs>
        <w:ind w:firstLine="425"/>
        <w:jc w:val="both"/>
        <w:rPr>
          <w:rFonts w:eastAsia="Calibri"/>
          <w:sz w:val="22"/>
          <w:szCs w:val="22"/>
          <w:lang w:eastAsia="en-US"/>
        </w:rPr>
      </w:pPr>
      <w:r w:rsidRPr="006167FC">
        <w:rPr>
          <w:rFonts w:eastAsia="Courier New"/>
          <w:sz w:val="22"/>
          <w:szCs w:val="22"/>
          <w:lang w:eastAsia="en-US"/>
        </w:rPr>
        <w:t xml:space="preserve">КЛЮЧЕВЫЕ СЛОВА: </w:t>
      </w:r>
      <w:r w:rsidRPr="006167FC">
        <w:rPr>
          <w:rFonts w:eastAsia="Calibri"/>
          <w:sz w:val="22"/>
          <w:szCs w:val="22"/>
          <w:lang w:eastAsia="en-US"/>
        </w:rPr>
        <w:t>страхование, страховая деятельность, страхование имущества, страховая сумма, страховые возмещения, ущерб, рынок страхования и его институты.</w:t>
      </w:r>
    </w:p>
    <w:p w:rsidR="00724342" w:rsidRPr="006167FC" w:rsidRDefault="00724342" w:rsidP="006167FC">
      <w:pPr>
        <w:shd w:val="clear" w:color="auto" w:fill="FFFFFF"/>
        <w:ind w:firstLine="425"/>
        <w:jc w:val="both"/>
        <w:rPr>
          <w:color w:val="212121"/>
          <w:sz w:val="22"/>
          <w:szCs w:val="22"/>
          <w:lang w:val="en-US"/>
        </w:rPr>
      </w:pPr>
      <w:r w:rsidRPr="006167FC">
        <w:rPr>
          <w:rFonts w:eastAsia="Courier New"/>
          <w:sz w:val="22"/>
          <w:szCs w:val="22"/>
          <w:lang w:val="en-US" w:eastAsia="en-US"/>
        </w:rPr>
        <w:t xml:space="preserve">KEYWORDS: </w:t>
      </w:r>
      <w:r w:rsidRPr="006167FC">
        <w:rPr>
          <w:color w:val="212121"/>
          <w:sz w:val="22"/>
          <w:szCs w:val="22"/>
          <w:lang w:val="en"/>
        </w:rPr>
        <w:t>insurance, property insurance, insurance amount, i</w:t>
      </w:r>
      <w:r w:rsidRPr="006167FC">
        <w:rPr>
          <w:color w:val="212121"/>
          <w:sz w:val="22"/>
          <w:szCs w:val="22"/>
          <w:lang w:val="en"/>
        </w:rPr>
        <w:t>n</w:t>
      </w:r>
      <w:r w:rsidRPr="006167FC">
        <w:rPr>
          <w:color w:val="212121"/>
          <w:sz w:val="22"/>
          <w:szCs w:val="22"/>
          <w:lang w:val="en"/>
        </w:rPr>
        <w:t>surance compensation, damage, insurance market and its institutions.</w:t>
      </w:r>
    </w:p>
    <w:p w:rsidR="00724342" w:rsidRPr="00787EA7" w:rsidRDefault="00724342" w:rsidP="00724342">
      <w:pPr>
        <w:shd w:val="clear" w:color="auto" w:fill="FFFFFF"/>
        <w:ind w:firstLine="426"/>
        <w:jc w:val="both"/>
        <w:rPr>
          <w:rFonts w:eastAsia="Calibri"/>
          <w:sz w:val="20"/>
          <w:szCs w:val="20"/>
          <w:lang w:val="en-US" w:eastAsia="en-US"/>
        </w:rPr>
      </w:pPr>
    </w:p>
    <w:p w:rsidR="00724342" w:rsidRPr="00787EA7" w:rsidRDefault="00724342" w:rsidP="00724342">
      <w:pPr>
        <w:shd w:val="clear" w:color="auto" w:fill="FFFFFF"/>
        <w:ind w:firstLine="426"/>
        <w:jc w:val="both"/>
        <w:rPr>
          <w:rFonts w:eastAsia="Calibri"/>
          <w:sz w:val="22"/>
          <w:szCs w:val="22"/>
          <w:lang w:eastAsia="en-US"/>
        </w:rPr>
      </w:pPr>
      <w:r w:rsidRPr="00787EA7">
        <w:rPr>
          <w:rFonts w:eastAsia="Calibri"/>
          <w:sz w:val="22"/>
          <w:szCs w:val="22"/>
          <w:lang w:eastAsia="en-US"/>
        </w:rPr>
        <w:lastRenderedPageBreak/>
        <w:t>В современной экономике страхование представляет роль и</w:t>
      </w:r>
      <w:r w:rsidRPr="00787EA7">
        <w:rPr>
          <w:rFonts w:eastAsia="Calibri"/>
          <w:sz w:val="22"/>
          <w:szCs w:val="22"/>
          <w:lang w:eastAsia="en-US"/>
        </w:rPr>
        <w:t>н</w:t>
      </w:r>
      <w:r w:rsidRPr="00787EA7">
        <w:rPr>
          <w:rFonts w:eastAsia="Calibri"/>
          <w:sz w:val="22"/>
          <w:szCs w:val="22"/>
          <w:lang w:eastAsia="en-US"/>
        </w:rPr>
        <w:t>ститута финансового стабилизатора, который позволяет госуда</w:t>
      </w:r>
      <w:r w:rsidRPr="00787EA7">
        <w:rPr>
          <w:rFonts w:eastAsia="Calibri"/>
          <w:sz w:val="22"/>
          <w:szCs w:val="22"/>
          <w:lang w:eastAsia="en-US"/>
        </w:rPr>
        <w:t>р</w:t>
      </w:r>
      <w:r w:rsidRPr="00787EA7">
        <w:rPr>
          <w:rFonts w:eastAsia="Calibri"/>
          <w:sz w:val="22"/>
          <w:szCs w:val="22"/>
          <w:lang w:eastAsia="en-US"/>
        </w:rPr>
        <w:t>ству, компенсировать ущербы, наступающие вследствие непредв</w:t>
      </w:r>
      <w:r w:rsidRPr="00787EA7">
        <w:rPr>
          <w:rFonts w:eastAsia="Calibri"/>
          <w:sz w:val="22"/>
          <w:szCs w:val="22"/>
          <w:lang w:eastAsia="en-US"/>
        </w:rPr>
        <w:t>и</w:t>
      </w:r>
      <w:r w:rsidRPr="00787EA7">
        <w:rPr>
          <w:rFonts w:eastAsia="Calibri"/>
          <w:sz w:val="22"/>
          <w:szCs w:val="22"/>
          <w:lang w:eastAsia="en-US"/>
        </w:rPr>
        <w:t>денных, случайных событий [1]. Рынок страхования и его инстит</w:t>
      </w:r>
      <w:r w:rsidRPr="00787EA7">
        <w:rPr>
          <w:rFonts w:eastAsia="Calibri"/>
          <w:sz w:val="22"/>
          <w:szCs w:val="22"/>
          <w:lang w:eastAsia="en-US"/>
        </w:rPr>
        <w:t>у</w:t>
      </w:r>
      <w:r w:rsidRPr="00787EA7">
        <w:rPr>
          <w:rFonts w:eastAsia="Calibri"/>
          <w:sz w:val="22"/>
          <w:szCs w:val="22"/>
          <w:lang w:eastAsia="en-US"/>
        </w:rPr>
        <w:t xml:space="preserve">ты в нашей стране развиваются достаточно динамично и способны опережать показатели роста в большинстве ведущих стран. </w:t>
      </w:r>
    </w:p>
    <w:p w:rsidR="00724342" w:rsidRPr="00787EA7" w:rsidRDefault="00724342" w:rsidP="00724342">
      <w:pPr>
        <w:shd w:val="clear" w:color="auto" w:fill="FFFFFF"/>
        <w:ind w:firstLine="426"/>
        <w:jc w:val="both"/>
        <w:rPr>
          <w:rFonts w:eastAsia="Calibri"/>
          <w:sz w:val="22"/>
          <w:szCs w:val="22"/>
          <w:lang w:eastAsia="en-US"/>
        </w:rPr>
      </w:pPr>
      <w:r w:rsidRPr="00787EA7">
        <w:rPr>
          <w:rFonts w:eastAsia="Calibri"/>
          <w:sz w:val="22"/>
          <w:szCs w:val="22"/>
          <w:lang w:eastAsia="en-US"/>
        </w:rPr>
        <w:t>С применением цивилизованных форм развития, российское страхование использует страховые инструменты, которые не только не уступают зарубежным аналогам, но и выглядят предпочтител</w:t>
      </w:r>
      <w:r w:rsidRPr="00787EA7">
        <w:rPr>
          <w:rFonts w:eastAsia="Calibri"/>
          <w:sz w:val="22"/>
          <w:szCs w:val="22"/>
          <w:lang w:eastAsia="en-US"/>
        </w:rPr>
        <w:t>ь</w:t>
      </w:r>
      <w:r w:rsidRPr="00787EA7">
        <w:rPr>
          <w:rFonts w:eastAsia="Calibri"/>
          <w:sz w:val="22"/>
          <w:szCs w:val="22"/>
          <w:lang w:eastAsia="en-US"/>
        </w:rPr>
        <w:t>нее по многим критериям. Классификация играет большую метод</w:t>
      </w:r>
      <w:r w:rsidRPr="00787EA7">
        <w:rPr>
          <w:rFonts w:eastAsia="Calibri"/>
          <w:sz w:val="22"/>
          <w:szCs w:val="22"/>
          <w:lang w:eastAsia="en-US"/>
        </w:rPr>
        <w:t>о</w:t>
      </w:r>
      <w:r w:rsidRPr="00787EA7">
        <w:rPr>
          <w:rFonts w:eastAsia="Calibri"/>
          <w:sz w:val="22"/>
          <w:szCs w:val="22"/>
          <w:lang w:eastAsia="en-US"/>
        </w:rPr>
        <w:t>логическую и практическую направленность в страховой деятел</w:t>
      </w:r>
      <w:r w:rsidRPr="00787EA7">
        <w:rPr>
          <w:rFonts w:eastAsia="Calibri"/>
          <w:sz w:val="22"/>
          <w:szCs w:val="22"/>
          <w:lang w:eastAsia="en-US"/>
        </w:rPr>
        <w:t>ь</w:t>
      </w:r>
      <w:r w:rsidRPr="00787EA7">
        <w:rPr>
          <w:rFonts w:eastAsia="Calibri"/>
          <w:sz w:val="22"/>
          <w:szCs w:val="22"/>
          <w:lang w:eastAsia="en-US"/>
        </w:rPr>
        <w:t>ности, так как оказывает влияние на осуществление пруденциал</w:t>
      </w:r>
      <w:r w:rsidRPr="00787EA7">
        <w:rPr>
          <w:rFonts w:eastAsia="Calibri"/>
          <w:sz w:val="22"/>
          <w:szCs w:val="22"/>
          <w:lang w:eastAsia="en-US"/>
        </w:rPr>
        <w:t>ь</w:t>
      </w:r>
      <w:r w:rsidRPr="00787EA7">
        <w:rPr>
          <w:rFonts w:eastAsia="Calibri"/>
          <w:sz w:val="22"/>
          <w:szCs w:val="22"/>
          <w:lang w:eastAsia="en-US"/>
        </w:rPr>
        <w:t>ного надзора и мониторинга над деятельностью страховых инстит</w:t>
      </w:r>
      <w:r w:rsidRPr="00787EA7">
        <w:rPr>
          <w:rFonts w:eastAsia="Calibri"/>
          <w:sz w:val="22"/>
          <w:szCs w:val="22"/>
          <w:lang w:eastAsia="en-US"/>
        </w:rPr>
        <w:t>у</w:t>
      </w:r>
      <w:r w:rsidRPr="00787EA7">
        <w:rPr>
          <w:rFonts w:eastAsia="Calibri"/>
          <w:sz w:val="22"/>
          <w:szCs w:val="22"/>
          <w:lang w:eastAsia="en-US"/>
        </w:rPr>
        <w:t>тов, формирование страховых резервов, лицензирование страховой деятельности, организацию сбора статистических данных для пр</w:t>
      </w:r>
      <w:r w:rsidRPr="00787EA7">
        <w:rPr>
          <w:rFonts w:eastAsia="Calibri"/>
          <w:sz w:val="22"/>
          <w:szCs w:val="22"/>
          <w:lang w:eastAsia="en-US"/>
        </w:rPr>
        <w:t>о</w:t>
      </w:r>
      <w:r w:rsidRPr="00787EA7">
        <w:rPr>
          <w:rFonts w:eastAsia="Calibri"/>
          <w:sz w:val="22"/>
          <w:szCs w:val="22"/>
          <w:lang w:eastAsia="en-US"/>
        </w:rPr>
        <w:t>ведения актуарных расчетов, стратегических индикаторов в фина</w:t>
      </w:r>
      <w:r w:rsidRPr="00787EA7">
        <w:rPr>
          <w:rFonts w:eastAsia="Calibri"/>
          <w:sz w:val="22"/>
          <w:szCs w:val="22"/>
          <w:lang w:eastAsia="en-US"/>
        </w:rPr>
        <w:t>н</w:t>
      </w:r>
      <w:r w:rsidRPr="00787EA7">
        <w:rPr>
          <w:rFonts w:eastAsia="Calibri"/>
          <w:sz w:val="22"/>
          <w:szCs w:val="22"/>
          <w:lang w:eastAsia="en-US"/>
        </w:rPr>
        <w:t>совой политике страхования и маркетинговой деятельности, в др</w:t>
      </w:r>
      <w:r w:rsidRPr="00787EA7">
        <w:rPr>
          <w:rFonts w:eastAsia="Calibri"/>
          <w:sz w:val="22"/>
          <w:szCs w:val="22"/>
          <w:lang w:eastAsia="en-US"/>
        </w:rPr>
        <w:t>у</w:t>
      </w:r>
      <w:r w:rsidRPr="00787EA7">
        <w:rPr>
          <w:rFonts w:eastAsia="Calibri"/>
          <w:sz w:val="22"/>
          <w:szCs w:val="22"/>
          <w:lang w:eastAsia="en-US"/>
        </w:rPr>
        <w:t>гих немаловажных аспектах.</w:t>
      </w:r>
    </w:p>
    <w:p w:rsidR="00724342" w:rsidRPr="00787EA7" w:rsidRDefault="00724342" w:rsidP="006167FC">
      <w:pPr>
        <w:ind w:right="-283" w:firstLine="426"/>
        <w:jc w:val="both"/>
        <w:rPr>
          <w:rFonts w:eastAsia="Calibri"/>
          <w:sz w:val="22"/>
          <w:szCs w:val="22"/>
          <w:lang w:eastAsia="en-US"/>
        </w:rPr>
      </w:pPr>
      <w:r w:rsidRPr="00787EA7">
        <w:rPr>
          <w:rFonts w:eastAsia="Calibri"/>
          <w:sz w:val="22"/>
          <w:szCs w:val="22"/>
          <w:lang w:eastAsia="en-US"/>
        </w:rPr>
        <w:t>Идентификацию рисков потерь застрахованными лицами, связа</w:t>
      </w:r>
      <w:r w:rsidRPr="00787EA7">
        <w:rPr>
          <w:rFonts w:eastAsia="Calibri"/>
          <w:sz w:val="22"/>
          <w:szCs w:val="22"/>
          <w:lang w:eastAsia="en-US"/>
        </w:rPr>
        <w:t>н</w:t>
      </w:r>
      <w:r w:rsidRPr="00787EA7">
        <w:rPr>
          <w:rFonts w:eastAsia="Calibri"/>
          <w:sz w:val="22"/>
          <w:szCs w:val="22"/>
          <w:lang w:eastAsia="en-US"/>
        </w:rPr>
        <w:t>ные с возникновением вероятностных затрат. Распознают имущество промышленных, сельскохозяйственных организаций и имущество д</w:t>
      </w:r>
      <w:r w:rsidRPr="00787EA7">
        <w:rPr>
          <w:rFonts w:eastAsia="Calibri"/>
          <w:sz w:val="22"/>
          <w:szCs w:val="22"/>
          <w:lang w:eastAsia="en-US"/>
        </w:rPr>
        <w:t>о</w:t>
      </w:r>
      <w:r w:rsidRPr="00787EA7">
        <w:rPr>
          <w:rFonts w:eastAsia="Calibri"/>
          <w:sz w:val="22"/>
          <w:szCs w:val="22"/>
          <w:lang w:eastAsia="en-US"/>
        </w:rPr>
        <w:t>мохозяйств. При утрате имущества ущерб определяется исходя из их полной балансовой стоимости, а при повреждении – исходя из стоим</w:t>
      </w:r>
      <w:r w:rsidRPr="00787EA7">
        <w:rPr>
          <w:rFonts w:eastAsia="Calibri"/>
          <w:sz w:val="22"/>
          <w:szCs w:val="22"/>
          <w:lang w:eastAsia="en-US"/>
        </w:rPr>
        <w:t>о</w:t>
      </w:r>
      <w:r w:rsidRPr="00787EA7">
        <w:rPr>
          <w:rFonts w:eastAsia="Calibri"/>
          <w:sz w:val="22"/>
          <w:szCs w:val="22"/>
          <w:lang w:eastAsia="en-US"/>
        </w:rPr>
        <w:t xml:space="preserve">сти ремонта. </w:t>
      </w:r>
    </w:p>
    <w:p w:rsidR="00724342" w:rsidRPr="00787EA7" w:rsidRDefault="00724342" w:rsidP="006167FC">
      <w:pPr>
        <w:ind w:right="-283" w:firstLine="426"/>
        <w:jc w:val="both"/>
        <w:rPr>
          <w:rFonts w:eastAsia="Calibri"/>
          <w:sz w:val="22"/>
          <w:szCs w:val="22"/>
          <w:lang w:eastAsia="en-US"/>
        </w:rPr>
      </w:pPr>
      <w:r w:rsidRPr="00787EA7">
        <w:rPr>
          <w:rFonts w:eastAsia="Calibri"/>
          <w:sz w:val="22"/>
          <w:szCs w:val="22"/>
          <w:lang w:eastAsia="en-US"/>
        </w:rPr>
        <w:t xml:space="preserve">Основную долю страховой премии институтов страхового рынка (47,7%) занимает имущественное страхование. На личное страхование приходится 19,7% от общей суммы страховой премии, на страхование ответственности – 21,7%, на обязательное страхование гражданской ответственности – 10,7%, а на страхование жизни – всего лишь0,1 % [2,3]. </w:t>
      </w:r>
    </w:p>
    <w:p w:rsidR="00724342" w:rsidRPr="00787EA7" w:rsidRDefault="00724342" w:rsidP="006167FC">
      <w:pPr>
        <w:ind w:right="-397" w:firstLine="426"/>
        <w:jc w:val="both"/>
        <w:rPr>
          <w:rFonts w:eastAsia="Calibri"/>
          <w:sz w:val="22"/>
          <w:szCs w:val="22"/>
          <w:lang w:eastAsia="en-US"/>
        </w:rPr>
      </w:pPr>
      <w:r w:rsidRPr="00787EA7">
        <w:rPr>
          <w:rFonts w:eastAsia="Calibri"/>
          <w:sz w:val="22"/>
          <w:szCs w:val="22"/>
          <w:lang w:eastAsia="en-US"/>
        </w:rPr>
        <w:t>В настоящее время в России функционируют 226 страховых орг</w:t>
      </w:r>
      <w:r w:rsidRPr="00787EA7">
        <w:rPr>
          <w:rFonts w:eastAsia="Calibri"/>
          <w:sz w:val="22"/>
          <w:szCs w:val="22"/>
          <w:lang w:eastAsia="en-US"/>
        </w:rPr>
        <w:t>а</w:t>
      </w:r>
      <w:r w:rsidRPr="00787EA7">
        <w:rPr>
          <w:rFonts w:eastAsia="Calibri"/>
          <w:sz w:val="22"/>
          <w:szCs w:val="22"/>
          <w:lang w:eastAsia="en-US"/>
        </w:rPr>
        <w:t>низаций. Страховой рынок России является динамично развивающимся. Для страховых премий составляет 1,4 % в ВВП страны. По этому направлению имеется ряд причин, имеющих специфику в зависимости от видов страхования: первая – недостаточные финансовые возможн</w:t>
      </w:r>
      <w:r w:rsidRPr="00787EA7">
        <w:rPr>
          <w:rFonts w:eastAsia="Calibri"/>
          <w:sz w:val="22"/>
          <w:szCs w:val="22"/>
          <w:lang w:eastAsia="en-US"/>
        </w:rPr>
        <w:t>о</w:t>
      </w:r>
      <w:r w:rsidRPr="00787EA7">
        <w:rPr>
          <w:rFonts w:eastAsia="Calibri"/>
          <w:sz w:val="22"/>
          <w:szCs w:val="22"/>
          <w:lang w:eastAsia="en-US"/>
        </w:rPr>
        <w:t>сти потенциальных клиентов; вторая – отсутствие мотивов для закл</w:t>
      </w:r>
      <w:r w:rsidRPr="00787EA7">
        <w:rPr>
          <w:rFonts w:eastAsia="Calibri"/>
          <w:sz w:val="22"/>
          <w:szCs w:val="22"/>
          <w:lang w:eastAsia="en-US"/>
        </w:rPr>
        <w:t>ю</w:t>
      </w:r>
      <w:r w:rsidRPr="00787EA7">
        <w:rPr>
          <w:rFonts w:eastAsia="Calibri"/>
          <w:sz w:val="22"/>
          <w:szCs w:val="22"/>
          <w:lang w:eastAsia="en-US"/>
        </w:rPr>
        <w:t xml:space="preserve">чения договоров страхования. </w:t>
      </w:r>
    </w:p>
    <w:p w:rsidR="00724342" w:rsidRPr="00787EA7" w:rsidRDefault="00724342" w:rsidP="006167FC">
      <w:pPr>
        <w:ind w:right="-397" w:firstLine="426"/>
        <w:jc w:val="both"/>
        <w:rPr>
          <w:rFonts w:eastAsia="Calibri"/>
          <w:sz w:val="22"/>
          <w:szCs w:val="22"/>
          <w:lang w:eastAsia="en-US"/>
        </w:rPr>
      </w:pPr>
      <w:r w:rsidRPr="00787EA7">
        <w:rPr>
          <w:rFonts w:eastAsia="Calibri"/>
          <w:sz w:val="22"/>
          <w:szCs w:val="22"/>
          <w:lang w:eastAsia="en-US"/>
        </w:rPr>
        <w:lastRenderedPageBreak/>
        <w:t>Крупные промышленные корпорации, пройдя этап приватизации, только начинают проявлять интерес к страхованию своего имущества. Основная же масса предпринимателей не имеет достаточных стимулов и финансовых ресурсов для обеспечения своих имущественных интер</w:t>
      </w:r>
      <w:r w:rsidRPr="00787EA7">
        <w:rPr>
          <w:rFonts w:eastAsia="Calibri"/>
          <w:sz w:val="22"/>
          <w:szCs w:val="22"/>
          <w:lang w:eastAsia="en-US"/>
        </w:rPr>
        <w:t>е</w:t>
      </w:r>
      <w:r w:rsidRPr="00787EA7">
        <w:rPr>
          <w:rFonts w:eastAsia="Calibri"/>
          <w:sz w:val="22"/>
          <w:szCs w:val="22"/>
          <w:lang w:eastAsia="en-US"/>
        </w:rPr>
        <w:t xml:space="preserve">сов по страховой защите. </w:t>
      </w:r>
    </w:p>
    <w:p w:rsidR="00724342" w:rsidRPr="00787EA7" w:rsidRDefault="00724342" w:rsidP="006167FC">
      <w:pPr>
        <w:ind w:right="-397" w:firstLine="426"/>
        <w:jc w:val="both"/>
        <w:rPr>
          <w:rFonts w:eastAsia="Calibri"/>
          <w:sz w:val="22"/>
          <w:szCs w:val="22"/>
          <w:lang w:eastAsia="en-US"/>
        </w:rPr>
      </w:pPr>
      <w:r w:rsidRPr="00787EA7">
        <w:rPr>
          <w:rFonts w:eastAsia="Calibri"/>
          <w:sz w:val="22"/>
          <w:szCs w:val="22"/>
          <w:lang w:eastAsia="en-US"/>
        </w:rPr>
        <w:t>В условиях реальных потенциалов формирующего рынка инстр</w:t>
      </w:r>
      <w:r w:rsidRPr="00787EA7">
        <w:rPr>
          <w:rFonts w:eastAsia="Calibri"/>
          <w:sz w:val="22"/>
          <w:szCs w:val="22"/>
          <w:lang w:eastAsia="en-US"/>
        </w:rPr>
        <w:t>у</w:t>
      </w:r>
      <w:r w:rsidRPr="00787EA7">
        <w:rPr>
          <w:rFonts w:eastAsia="Calibri"/>
          <w:sz w:val="22"/>
          <w:szCs w:val="22"/>
          <w:lang w:eastAsia="en-US"/>
        </w:rPr>
        <w:t>ментов страхования, потребностей институтов национальной экономики и населения в качественных страховых услугах недостаточно удовл</w:t>
      </w:r>
      <w:r w:rsidRPr="00787EA7">
        <w:rPr>
          <w:rFonts w:eastAsia="Calibri"/>
          <w:sz w:val="22"/>
          <w:szCs w:val="22"/>
          <w:lang w:eastAsia="en-US"/>
        </w:rPr>
        <w:t>е</w:t>
      </w:r>
      <w:r w:rsidRPr="00787EA7">
        <w:rPr>
          <w:rFonts w:eastAsia="Calibri"/>
          <w:sz w:val="22"/>
          <w:szCs w:val="22"/>
          <w:lang w:eastAsia="en-US"/>
        </w:rPr>
        <w:t>творяются. Основное бремя расходов по ликвидации последствий пр</w:t>
      </w:r>
      <w:r w:rsidRPr="00787EA7">
        <w:rPr>
          <w:rFonts w:eastAsia="Calibri"/>
          <w:sz w:val="22"/>
          <w:szCs w:val="22"/>
          <w:lang w:eastAsia="en-US"/>
        </w:rPr>
        <w:t>и</w:t>
      </w:r>
      <w:r w:rsidRPr="00787EA7">
        <w:rPr>
          <w:rFonts w:eastAsia="Calibri"/>
          <w:sz w:val="22"/>
          <w:szCs w:val="22"/>
          <w:lang w:eastAsia="en-US"/>
        </w:rPr>
        <w:t>родных и техногенных катастроф пока ложится на федеральный и рег</w:t>
      </w:r>
      <w:r w:rsidRPr="00787EA7">
        <w:rPr>
          <w:rFonts w:eastAsia="Calibri"/>
          <w:sz w:val="22"/>
          <w:szCs w:val="22"/>
          <w:lang w:eastAsia="en-US"/>
        </w:rPr>
        <w:t>и</w:t>
      </w:r>
      <w:r w:rsidRPr="00787EA7">
        <w:rPr>
          <w:rFonts w:eastAsia="Calibri"/>
          <w:sz w:val="22"/>
          <w:szCs w:val="22"/>
          <w:lang w:eastAsia="en-US"/>
        </w:rPr>
        <w:t xml:space="preserve">ональный бюджеты. </w:t>
      </w:r>
    </w:p>
    <w:p w:rsidR="00724342" w:rsidRPr="00787EA7" w:rsidRDefault="00724342" w:rsidP="006167FC">
      <w:pPr>
        <w:ind w:right="-397" w:firstLine="426"/>
        <w:jc w:val="both"/>
        <w:rPr>
          <w:rFonts w:eastAsia="Calibri"/>
          <w:sz w:val="22"/>
          <w:szCs w:val="22"/>
          <w:lang w:eastAsia="en-US"/>
        </w:rPr>
      </w:pPr>
      <w:r w:rsidRPr="00787EA7">
        <w:rPr>
          <w:rFonts w:eastAsia="Calibri"/>
          <w:sz w:val="22"/>
          <w:szCs w:val="22"/>
          <w:lang w:eastAsia="en-US"/>
        </w:rPr>
        <w:t>Существенным препятствием для повышения финансовой грамо</w:t>
      </w:r>
      <w:r w:rsidRPr="00787EA7">
        <w:rPr>
          <w:rFonts w:eastAsia="Calibri"/>
          <w:sz w:val="22"/>
          <w:szCs w:val="22"/>
          <w:lang w:eastAsia="en-US"/>
        </w:rPr>
        <w:t>т</w:t>
      </w:r>
      <w:r w:rsidRPr="00787EA7">
        <w:rPr>
          <w:rFonts w:eastAsia="Calibri"/>
          <w:sz w:val="22"/>
          <w:szCs w:val="22"/>
          <w:lang w:eastAsia="en-US"/>
        </w:rPr>
        <w:t>ности и культуры страхования корпоративного корпуса и домохозяйств является дефицит компетентных профессионалов в области страхов</w:t>
      </w:r>
      <w:r w:rsidRPr="00787EA7">
        <w:rPr>
          <w:rFonts w:eastAsia="Calibri"/>
          <w:sz w:val="22"/>
          <w:szCs w:val="22"/>
          <w:lang w:eastAsia="en-US"/>
        </w:rPr>
        <w:t>а</w:t>
      </w:r>
      <w:r w:rsidRPr="00787EA7">
        <w:rPr>
          <w:rFonts w:eastAsia="Calibri"/>
          <w:sz w:val="22"/>
          <w:szCs w:val="22"/>
          <w:lang w:eastAsia="en-US"/>
        </w:rPr>
        <w:t>ния, страхового права, актуарных расчетов, риск менеджмента, марк</w:t>
      </w:r>
      <w:r w:rsidRPr="00787EA7">
        <w:rPr>
          <w:rFonts w:eastAsia="Calibri"/>
          <w:sz w:val="22"/>
          <w:szCs w:val="22"/>
          <w:lang w:eastAsia="en-US"/>
        </w:rPr>
        <w:t>е</w:t>
      </w:r>
      <w:r w:rsidRPr="00787EA7">
        <w:rPr>
          <w:rFonts w:eastAsia="Calibri"/>
          <w:sz w:val="22"/>
          <w:szCs w:val="22"/>
          <w:lang w:eastAsia="en-US"/>
        </w:rPr>
        <w:t>тинга и аудита. Инструменты государственного регулирования для страховой деятельности должны обеспечивать выполнение критериев по развитию национальной системы страхования и радикального ко</w:t>
      </w:r>
      <w:r w:rsidRPr="00787EA7">
        <w:rPr>
          <w:rFonts w:eastAsia="Calibri"/>
          <w:sz w:val="22"/>
          <w:szCs w:val="22"/>
          <w:lang w:eastAsia="en-US"/>
        </w:rPr>
        <w:t>н</w:t>
      </w:r>
      <w:r w:rsidRPr="00787EA7">
        <w:rPr>
          <w:rFonts w:eastAsia="Calibri"/>
          <w:sz w:val="22"/>
          <w:szCs w:val="22"/>
          <w:lang w:eastAsia="en-US"/>
        </w:rPr>
        <w:t>троля страхового сектора финансового рынка.</w:t>
      </w:r>
    </w:p>
    <w:p w:rsidR="00724342" w:rsidRPr="00787EA7" w:rsidRDefault="00724342" w:rsidP="00724342">
      <w:pPr>
        <w:ind w:right="-397" w:firstLine="426"/>
        <w:jc w:val="both"/>
        <w:rPr>
          <w:rFonts w:eastAsia="Calibri"/>
          <w:sz w:val="22"/>
          <w:szCs w:val="22"/>
          <w:lang w:eastAsia="en-US"/>
        </w:rPr>
      </w:pPr>
      <w:r w:rsidRPr="00787EA7">
        <w:rPr>
          <w:rFonts w:eastAsia="Calibri"/>
          <w:sz w:val="22"/>
          <w:szCs w:val="22"/>
          <w:lang w:eastAsia="en-US"/>
        </w:rPr>
        <w:t xml:space="preserve"> Для решения этих задач и направлений по развитию страхового рынка необходимо провести структурные изменения в Департаменте по страховому надзору, в частности, путем создания подразделений по обязательным видам страхования и актуарным расчетам. Мегарегулир</w:t>
      </w:r>
      <w:r w:rsidRPr="00787EA7">
        <w:rPr>
          <w:rFonts w:eastAsia="Calibri"/>
          <w:sz w:val="22"/>
          <w:szCs w:val="22"/>
          <w:lang w:eastAsia="en-US"/>
        </w:rPr>
        <w:t>о</w:t>
      </w:r>
      <w:r w:rsidRPr="00787EA7">
        <w:rPr>
          <w:rFonts w:eastAsia="Calibri"/>
          <w:sz w:val="22"/>
          <w:szCs w:val="22"/>
          <w:lang w:eastAsia="en-US"/>
        </w:rPr>
        <w:t>вание должно осуществляться в постоянном взаимодействии с госуда</w:t>
      </w:r>
      <w:r w:rsidRPr="00787EA7">
        <w:rPr>
          <w:rFonts w:eastAsia="Calibri"/>
          <w:sz w:val="22"/>
          <w:szCs w:val="22"/>
          <w:lang w:eastAsia="en-US"/>
        </w:rPr>
        <w:t>р</w:t>
      </w:r>
      <w:r w:rsidRPr="00787EA7">
        <w:rPr>
          <w:rFonts w:eastAsia="Calibri"/>
          <w:sz w:val="22"/>
          <w:szCs w:val="22"/>
          <w:lang w:eastAsia="en-US"/>
        </w:rPr>
        <w:t>ственными институтами, профессиональными объединениями страхо</w:t>
      </w:r>
      <w:r w:rsidRPr="00787EA7">
        <w:rPr>
          <w:rFonts w:eastAsia="Calibri"/>
          <w:sz w:val="22"/>
          <w:szCs w:val="22"/>
          <w:lang w:eastAsia="en-US"/>
        </w:rPr>
        <w:t>в</w:t>
      </w:r>
      <w:r w:rsidRPr="00787EA7">
        <w:rPr>
          <w:rFonts w:eastAsia="Calibri"/>
          <w:sz w:val="22"/>
          <w:szCs w:val="22"/>
          <w:lang w:eastAsia="en-US"/>
        </w:rPr>
        <w:t>щиков, в целях выработки единых методологических принципов в орг</w:t>
      </w:r>
      <w:r w:rsidRPr="00787EA7">
        <w:rPr>
          <w:rFonts w:eastAsia="Calibri"/>
          <w:sz w:val="22"/>
          <w:szCs w:val="22"/>
          <w:lang w:eastAsia="en-US"/>
        </w:rPr>
        <w:t>а</w:t>
      </w:r>
      <w:r w:rsidRPr="00787EA7">
        <w:rPr>
          <w:rFonts w:eastAsia="Calibri"/>
          <w:sz w:val="22"/>
          <w:szCs w:val="22"/>
          <w:lang w:eastAsia="en-US"/>
        </w:rPr>
        <w:t>низации и осуществлении страховых программ в регионах, в рамках интеграции государств-членов ЕврАзЭС [4, 5].</w:t>
      </w:r>
    </w:p>
    <w:p w:rsidR="00724342" w:rsidRPr="00787EA7" w:rsidRDefault="00724342" w:rsidP="00724342">
      <w:pPr>
        <w:ind w:right="-283" w:firstLine="426"/>
        <w:jc w:val="both"/>
        <w:rPr>
          <w:rFonts w:eastAsia="Calibri"/>
          <w:sz w:val="22"/>
          <w:szCs w:val="22"/>
          <w:lang w:eastAsia="en-US"/>
        </w:rPr>
      </w:pPr>
    </w:p>
    <w:p w:rsidR="00724342" w:rsidRPr="00787EA7" w:rsidRDefault="00724342" w:rsidP="006167FC">
      <w:pPr>
        <w:widowControl w:val="0"/>
        <w:autoSpaceDE w:val="0"/>
        <w:autoSpaceDN w:val="0"/>
        <w:adjustRightInd w:val="0"/>
        <w:ind w:right="-397" w:firstLine="426"/>
        <w:jc w:val="center"/>
        <w:outlineLvl w:val="0"/>
        <w:rPr>
          <w:rFonts w:eastAsia="Calibri"/>
          <w:color w:val="000000"/>
          <w:sz w:val="22"/>
          <w:szCs w:val="22"/>
          <w:lang w:eastAsia="en-US"/>
        </w:rPr>
      </w:pPr>
      <w:r w:rsidRPr="00787EA7">
        <w:rPr>
          <w:rFonts w:eastAsia="Calibri"/>
          <w:color w:val="000000"/>
          <w:sz w:val="22"/>
          <w:szCs w:val="22"/>
          <w:lang w:eastAsia="en-US"/>
        </w:rPr>
        <w:t>Список литературы</w:t>
      </w:r>
    </w:p>
    <w:p w:rsidR="00724342" w:rsidRPr="00787EA7" w:rsidRDefault="00724342" w:rsidP="006167FC">
      <w:pPr>
        <w:tabs>
          <w:tab w:val="left" w:pos="0"/>
        </w:tabs>
        <w:ind w:firstLine="426"/>
        <w:jc w:val="both"/>
        <w:rPr>
          <w:rFonts w:eastAsia="Calibri"/>
          <w:color w:val="000000"/>
          <w:sz w:val="22"/>
          <w:szCs w:val="22"/>
          <w:lang w:eastAsia="en-US"/>
        </w:rPr>
      </w:pPr>
      <w:r w:rsidRPr="00787EA7">
        <w:rPr>
          <w:rFonts w:eastAsia="Calibri"/>
          <w:color w:val="000000"/>
          <w:sz w:val="22"/>
          <w:szCs w:val="22"/>
          <w:lang w:eastAsia="en-US"/>
        </w:rPr>
        <w:t>1.Окорокова О. А. Оценка эффективности управления рисками страховыми организациями России в условиях инноваций их регл</w:t>
      </w:r>
      <w:r w:rsidRPr="00787EA7">
        <w:rPr>
          <w:rFonts w:eastAsia="Calibri"/>
          <w:color w:val="000000"/>
          <w:sz w:val="22"/>
          <w:szCs w:val="22"/>
          <w:lang w:eastAsia="en-US"/>
        </w:rPr>
        <w:t>а</w:t>
      </w:r>
      <w:r w:rsidRPr="00787EA7">
        <w:rPr>
          <w:rFonts w:eastAsia="Calibri"/>
          <w:color w:val="000000"/>
          <w:sz w:val="22"/>
          <w:szCs w:val="22"/>
          <w:lang w:eastAsia="en-US"/>
        </w:rPr>
        <w:t>ментирования / О.А.Окорокова, Ю.Б. Тураев, Л.К. Улыбина // В</w:t>
      </w:r>
      <w:r w:rsidRPr="00787EA7">
        <w:rPr>
          <w:rFonts w:eastAsia="Calibri"/>
          <w:color w:val="000000"/>
          <w:sz w:val="22"/>
          <w:szCs w:val="22"/>
          <w:lang w:eastAsia="en-US"/>
        </w:rPr>
        <w:t>о</w:t>
      </w:r>
      <w:r w:rsidRPr="00787EA7">
        <w:rPr>
          <w:rFonts w:eastAsia="Calibri"/>
          <w:color w:val="000000"/>
          <w:sz w:val="22"/>
          <w:szCs w:val="22"/>
          <w:lang w:eastAsia="en-US"/>
        </w:rPr>
        <w:t>просы экономики и права. 2016. – № 98. – С. 61-67.</w:t>
      </w:r>
    </w:p>
    <w:p w:rsidR="00724342" w:rsidRPr="00787EA7" w:rsidRDefault="00724342" w:rsidP="006167FC">
      <w:pPr>
        <w:tabs>
          <w:tab w:val="left" w:pos="0"/>
        </w:tabs>
        <w:ind w:firstLine="426"/>
        <w:jc w:val="both"/>
        <w:rPr>
          <w:rFonts w:eastAsia="Calibri"/>
          <w:color w:val="000000"/>
          <w:sz w:val="22"/>
          <w:szCs w:val="22"/>
          <w:lang w:eastAsia="en-US"/>
        </w:rPr>
      </w:pPr>
      <w:r w:rsidRPr="00787EA7">
        <w:rPr>
          <w:rFonts w:eastAsia="Calibri"/>
          <w:color w:val="000000"/>
          <w:sz w:val="22"/>
          <w:szCs w:val="22"/>
          <w:lang w:eastAsia="en-US"/>
        </w:rPr>
        <w:t xml:space="preserve"> 2.Риск-ориентированный подход в регулировании страхового сектора/ О.А.Окорокова // В сб.: Научное обеспечение агропр</w:t>
      </w:r>
      <w:r w:rsidRPr="00787EA7">
        <w:rPr>
          <w:rFonts w:eastAsia="Calibri"/>
          <w:color w:val="000000"/>
          <w:sz w:val="22"/>
          <w:szCs w:val="22"/>
          <w:lang w:eastAsia="en-US"/>
        </w:rPr>
        <w:t>о</w:t>
      </w:r>
      <w:r w:rsidRPr="00787EA7">
        <w:rPr>
          <w:rFonts w:eastAsia="Calibri"/>
          <w:color w:val="000000"/>
          <w:sz w:val="22"/>
          <w:szCs w:val="22"/>
          <w:lang w:eastAsia="en-US"/>
        </w:rPr>
        <w:t xml:space="preserve">мышленного комплекса Сб. ст. по матер. ХI Всерос.конф. молодых ученых, посвященной 95-летию Кубанского ГАУ и 80-летию со дня </w:t>
      </w:r>
      <w:r w:rsidRPr="00787EA7">
        <w:rPr>
          <w:rFonts w:eastAsia="Calibri"/>
          <w:color w:val="000000"/>
          <w:sz w:val="22"/>
          <w:szCs w:val="22"/>
          <w:lang w:eastAsia="en-US"/>
        </w:rPr>
        <w:lastRenderedPageBreak/>
        <w:t>образования Краснодарского края. Ответств. за выпуск А. Г. Кощ</w:t>
      </w:r>
      <w:r w:rsidRPr="00787EA7">
        <w:rPr>
          <w:rFonts w:eastAsia="Calibri"/>
          <w:color w:val="000000"/>
          <w:sz w:val="22"/>
          <w:szCs w:val="22"/>
          <w:lang w:eastAsia="en-US"/>
        </w:rPr>
        <w:t>а</w:t>
      </w:r>
      <w:r w:rsidRPr="00787EA7">
        <w:rPr>
          <w:rFonts w:eastAsia="Calibri"/>
          <w:color w:val="000000"/>
          <w:sz w:val="22"/>
          <w:szCs w:val="22"/>
          <w:lang w:eastAsia="en-US"/>
        </w:rPr>
        <w:t>ев. 2017.– С. 1115-1116.</w:t>
      </w:r>
    </w:p>
    <w:p w:rsidR="00724342" w:rsidRPr="00787EA7" w:rsidRDefault="00724342" w:rsidP="006167FC">
      <w:pPr>
        <w:tabs>
          <w:tab w:val="left" w:pos="0"/>
        </w:tabs>
        <w:ind w:firstLine="426"/>
        <w:jc w:val="both"/>
        <w:rPr>
          <w:rFonts w:eastAsia="Calibri"/>
          <w:color w:val="000000"/>
          <w:sz w:val="22"/>
          <w:szCs w:val="22"/>
          <w:lang w:eastAsia="en-US"/>
        </w:rPr>
      </w:pPr>
      <w:r w:rsidRPr="00787EA7">
        <w:rPr>
          <w:rFonts w:eastAsia="Calibri"/>
          <w:color w:val="000000"/>
          <w:sz w:val="22"/>
          <w:szCs w:val="22"/>
          <w:lang w:eastAsia="en-US"/>
        </w:rPr>
        <w:t>3.Улыбина Л.К.Экономический потенциал сельскохозяйстве</w:t>
      </w:r>
      <w:r w:rsidRPr="00787EA7">
        <w:rPr>
          <w:rFonts w:eastAsia="Calibri"/>
          <w:color w:val="000000"/>
          <w:sz w:val="22"/>
          <w:szCs w:val="22"/>
          <w:lang w:eastAsia="en-US"/>
        </w:rPr>
        <w:t>н</w:t>
      </w:r>
      <w:r w:rsidRPr="00787EA7">
        <w:rPr>
          <w:rFonts w:eastAsia="Calibri"/>
          <w:color w:val="000000"/>
          <w:sz w:val="22"/>
          <w:szCs w:val="22"/>
          <w:lang w:eastAsia="en-US"/>
        </w:rPr>
        <w:t>ных формирований по производству риса в условиях инноваций /Л.К. Улыбина, О.А. Окорокова, В.А. Суминская //Экономика и предпринимательство. 2017. – № 9–4 (86-4). – С. 1052–1055.</w:t>
      </w:r>
    </w:p>
    <w:p w:rsidR="00724342" w:rsidRPr="00787EA7" w:rsidRDefault="00724342" w:rsidP="006167FC">
      <w:pPr>
        <w:ind w:firstLine="426"/>
        <w:jc w:val="both"/>
        <w:rPr>
          <w:rFonts w:eastAsia="Calibri"/>
          <w:color w:val="000000"/>
          <w:sz w:val="22"/>
          <w:szCs w:val="22"/>
          <w:lang w:eastAsia="en-US"/>
        </w:rPr>
      </w:pPr>
      <w:r w:rsidRPr="00787EA7">
        <w:rPr>
          <w:rFonts w:eastAsia="Calibri"/>
          <w:color w:val="000000"/>
          <w:sz w:val="22"/>
          <w:szCs w:val="22"/>
          <w:lang w:eastAsia="en-US"/>
        </w:rPr>
        <w:t>4.Улыбина Л. К. Исследование проблем управления агрориск</w:t>
      </w:r>
      <w:r w:rsidRPr="00787EA7">
        <w:rPr>
          <w:rFonts w:eastAsia="Calibri"/>
          <w:color w:val="000000"/>
          <w:sz w:val="22"/>
          <w:szCs w:val="22"/>
          <w:lang w:eastAsia="en-US"/>
        </w:rPr>
        <w:t>а</w:t>
      </w:r>
      <w:r w:rsidRPr="00787EA7">
        <w:rPr>
          <w:rFonts w:eastAsia="Calibri"/>
          <w:color w:val="000000"/>
          <w:sz w:val="22"/>
          <w:szCs w:val="22"/>
          <w:lang w:eastAsia="en-US"/>
        </w:rPr>
        <w:t>ми в регионе / Л.К. Улыбина, Ю. Б. Тураев // Экономические науки. 2016. – № 140. – С. 61–65.</w:t>
      </w:r>
    </w:p>
    <w:p w:rsidR="00724342" w:rsidRPr="00787EA7" w:rsidRDefault="00724342" w:rsidP="006167FC">
      <w:pPr>
        <w:ind w:firstLine="426"/>
        <w:jc w:val="both"/>
        <w:rPr>
          <w:rFonts w:eastAsia="Calibri"/>
          <w:color w:val="000000"/>
          <w:sz w:val="22"/>
          <w:szCs w:val="22"/>
          <w:lang w:eastAsia="en-US"/>
        </w:rPr>
      </w:pPr>
      <w:r w:rsidRPr="00787EA7">
        <w:rPr>
          <w:rFonts w:eastAsia="Calibri"/>
          <w:color w:val="000000"/>
          <w:sz w:val="22"/>
          <w:szCs w:val="22"/>
          <w:lang w:eastAsia="en-US"/>
        </w:rPr>
        <w:t>5. Улыбина Л. К. Роль институтов страхового рынка в экон</w:t>
      </w:r>
      <w:r w:rsidRPr="00787EA7">
        <w:rPr>
          <w:rFonts w:eastAsia="Calibri"/>
          <w:color w:val="000000"/>
          <w:sz w:val="22"/>
          <w:szCs w:val="22"/>
          <w:lang w:eastAsia="en-US"/>
        </w:rPr>
        <w:t>о</w:t>
      </w:r>
      <w:r w:rsidRPr="00787EA7">
        <w:rPr>
          <w:rFonts w:eastAsia="Calibri"/>
          <w:color w:val="000000"/>
          <w:sz w:val="22"/>
          <w:szCs w:val="22"/>
          <w:lang w:eastAsia="en-US"/>
        </w:rPr>
        <w:t>мике / Л.К. Улыбина, О.А. Окорокова // В мире научных открытий. 2014. – № 11.4 (59). – С. 1464–1483.</w:t>
      </w:r>
    </w:p>
    <w:p w:rsidR="00724342" w:rsidRPr="00787EA7" w:rsidRDefault="00724342" w:rsidP="00724342">
      <w:pPr>
        <w:ind w:hanging="284"/>
        <w:jc w:val="both"/>
        <w:rPr>
          <w:rFonts w:eastAsia="Calibri"/>
          <w:sz w:val="22"/>
          <w:szCs w:val="22"/>
          <w:lang w:eastAsia="en-US"/>
        </w:rPr>
      </w:pPr>
    </w:p>
    <w:p w:rsidR="006167FC" w:rsidRDefault="006167FC" w:rsidP="00724342">
      <w:pPr>
        <w:outlineLvl w:val="0"/>
        <w:rPr>
          <w:rFonts w:eastAsia="Calibri"/>
          <w:sz w:val="22"/>
          <w:szCs w:val="22"/>
          <w:lang w:eastAsia="en-US"/>
        </w:rPr>
      </w:pPr>
    </w:p>
    <w:p w:rsidR="006167FC" w:rsidRDefault="006167FC" w:rsidP="00724342">
      <w:pPr>
        <w:outlineLvl w:val="0"/>
        <w:rPr>
          <w:rFonts w:eastAsia="Calibri"/>
          <w:sz w:val="22"/>
          <w:szCs w:val="22"/>
          <w:lang w:eastAsia="en-US"/>
        </w:rPr>
      </w:pPr>
    </w:p>
    <w:p w:rsidR="00724342" w:rsidRPr="00787EA7" w:rsidRDefault="00724342" w:rsidP="00724342">
      <w:pPr>
        <w:outlineLvl w:val="0"/>
        <w:rPr>
          <w:rFonts w:eastAsia="Calibri"/>
          <w:sz w:val="22"/>
          <w:szCs w:val="22"/>
          <w:lang w:eastAsia="en-US"/>
        </w:rPr>
      </w:pPr>
      <w:r w:rsidRPr="00787EA7">
        <w:rPr>
          <w:rFonts w:eastAsia="Calibri"/>
          <w:sz w:val="22"/>
          <w:szCs w:val="22"/>
          <w:lang w:eastAsia="en-US"/>
        </w:rPr>
        <w:t>УДК 005.5</w:t>
      </w:r>
    </w:p>
    <w:p w:rsidR="00724342" w:rsidRPr="00787EA7" w:rsidRDefault="00724342" w:rsidP="00724342">
      <w:pPr>
        <w:ind w:firstLine="425"/>
        <w:rPr>
          <w:rFonts w:eastAsia="Calibri"/>
          <w:sz w:val="22"/>
          <w:szCs w:val="22"/>
          <w:lang w:eastAsia="en-US"/>
        </w:rPr>
      </w:pPr>
    </w:p>
    <w:p w:rsidR="00724342" w:rsidRPr="006167FC" w:rsidRDefault="00724342" w:rsidP="00724342">
      <w:pPr>
        <w:jc w:val="center"/>
        <w:rPr>
          <w:rFonts w:eastAsia="Calibri"/>
          <w:b/>
          <w:sz w:val="24"/>
          <w:szCs w:val="24"/>
          <w:lang w:eastAsia="en-US"/>
        </w:rPr>
      </w:pPr>
      <w:r w:rsidRPr="006167FC">
        <w:rPr>
          <w:rFonts w:eastAsia="Calibri"/>
          <w:b/>
          <w:sz w:val="24"/>
          <w:szCs w:val="24"/>
          <w:lang w:eastAsia="en-US"/>
        </w:rPr>
        <w:t>Технология принятия управленческих решений</w:t>
      </w:r>
      <w:r w:rsidRPr="006167FC">
        <w:rPr>
          <w:rFonts w:eastAsia="Calibri"/>
          <w:b/>
          <w:sz w:val="24"/>
          <w:szCs w:val="24"/>
          <w:lang w:eastAsia="en-US"/>
        </w:rPr>
        <w:br/>
        <w:t>в предпринимательской деятельности</w:t>
      </w:r>
    </w:p>
    <w:p w:rsidR="00724342" w:rsidRPr="006167FC" w:rsidRDefault="00724342" w:rsidP="00724342">
      <w:pPr>
        <w:jc w:val="center"/>
        <w:outlineLvl w:val="0"/>
        <w:rPr>
          <w:rFonts w:eastAsia="Calibri"/>
          <w:b/>
          <w:sz w:val="24"/>
          <w:szCs w:val="24"/>
          <w:lang w:eastAsia="en-US"/>
        </w:rPr>
      </w:pPr>
      <w:r w:rsidRPr="006167FC">
        <w:rPr>
          <w:rFonts w:eastAsia="Calibri"/>
          <w:b/>
          <w:sz w:val="24"/>
          <w:szCs w:val="24"/>
          <w:lang w:val="en-US" w:eastAsia="en-US"/>
        </w:rPr>
        <w:t>Managerial</w:t>
      </w:r>
      <w:r w:rsidRPr="006167FC">
        <w:rPr>
          <w:rFonts w:eastAsia="Calibri"/>
          <w:b/>
          <w:sz w:val="24"/>
          <w:szCs w:val="24"/>
          <w:lang w:eastAsia="en-US"/>
        </w:rPr>
        <w:t xml:space="preserve"> </w:t>
      </w:r>
      <w:r w:rsidRPr="006167FC">
        <w:rPr>
          <w:rFonts w:eastAsia="Calibri"/>
          <w:b/>
          <w:sz w:val="24"/>
          <w:szCs w:val="24"/>
          <w:lang w:val="en-US" w:eastAsia="en-US"/>
        </w:rPr>
        <w:t>Decision</w:t>
      </w:r>
      <w:r w:rsidRPr="006167FC">
        <w:rPr>
          <w:rFonts w:eastAsia="Calibri"/>
          <w:b/>
          <w:sz w:val="24"/>
          <w:szCs w:val="24"/>
          <w:lang w:eastAsia="en-US"/>
        </w:rPr>
        <w:t>-</w:t>
      </w:r>
      <w:r w:rsidRPr="006167FC">
        <w:rPr>
          <w:rFonts w:eastAsia="Calibri"/>
          <w:b/>
          <w:sz w:val="24"/>
          <w:szCs w:val="24"/>
          <w:lang w:val="en-US" w:eastAsia="en-US"/>
        </w:rPr>
        <w:t>making</w:t>
      </w:r>
      <w:r w:rsidRPr="006167FC">
        <w:rPr>
          <w:rFonts w:eastAsia="Calibri"/>
          <w:b/>
          <w:sz w:val="24"/>
          <w:szCs w:val="24"/>
          <w:lang w:eastAsia="en-US"/>
        </w:rPr>
        <w:t xml:space="preserve"> </w:t>
      </w:r>
      <w:r w:rsidRPr="006167FC">
        <w:rPr>
          <w:rFonts w:eastAsia="Calibri"/>
          <w:b/>
          <w:sz w:val="24"/>
          <w:szCs w:val="24"/>
          <w:lang w:val="en-US" w:eastAsia="en-US"/>
        </w:rPr>
        <w:t>Technology</w:t>
      </w:r>
      <w:r w:rsidRPr="006167FC">
        <w:rPr>
          <w:rFonts w:eastAsia="Calibri"/>
          <w:b/>
          <w:sz w:val="24"/>
          <w:szCs w:val="24"/>
          <w:lang w:eastAsia="en-US"/>
        </w:rPr>
        <w:t xml:space="preserve"> </w:t>
      </w:r>
      <w:r w:rsidRPr="006167FC">
        <w:rPr>
          <w:rFonts w:eastAsia="Calibri"/>
          <w:b/>
          <w:sz w:val="24"/>
          <w:szCs w:val="24"/>
          <w:lang w:val="en-US" w:eastAsia="en-US"/>
        </w:rPr>
        <w:t>in</w:t>
      </w:r>
      <w:r w:rsidRPr="006167FC">
        <w:rPr>
          <w:rFonts w:eastAsia="Calibri"/>
          <w:b/>
          <w:sz w:val="24"/>
          <w:szCs w:val="24"/>
          <w:lang w:eastAsia="en-US"/>
        </w:rPr>
        <w:t xml:space="preserve"> </w:t>
      </w:r>
      <w:r w:rsidRPr="006167FC">
        <w:rPr>
          <w:rFonts w:eastAsia="Calibri"/>
          <w:b/>
          <w:sz w:val="24"/>
          <w:szCs w:val="24"/>
          <w:lang w:val="en-US" w:eastAsia="en-US"/>
        </w:rPr>
        <w:t>business</w:t>
      </w:r>
      <w:r w:rsidRPr="006167FC">
        <w:rPr>
          <w:rFonts w:eastAsia="Calibri"/>
          <w:b/>
          <w:sz w:val="24"/>
          <w:szCs w:val="24"/>
          <w:lang w:eastAsia="en-US"/>
        </w:rPr>
        <w:t xml:space="preserve"> </w:t>
      </w:r>
      <w:r w:rsidRPr="006167FC">
        <w:rPr>
          <w:rFonts w:eastAsia="Calibri"/>
          <w:b/>
          <w:sz w:val="24"/>
          <w:szCs w:val="24"/>
          <w:lang w:val="en-US" w:eastAsia="en-US"/>
        </w:rPr>
        <w:t>activities</w:t>
      </w:r>
    </w:p>
    <w:p w:rsidR="00724342" w:rsidRPr="00787EA7" w:rsidRDefault="00724342" w:rsidP="00724342">
      <w:pPr>
        <w:ind w:firstLine="425"/>
        <w:jc w:val="right"/>
        <w:rPr>
          <w:rFonts w:eastAsia="Calibri"/>
          <w:sz w:val="22"/>
          <w:szCs w:val="22"/>
          <w:lang w:eastAsia="en-US"/>
        </w:rPr>
      </w:pP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Чижикова Н. Е.,</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студентка 2-го курса факультета финансы и кредит</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Илюшко С. В.,</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старший преподаватель кафедры экономики предприятий</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Кубанский государственный аграрный</w:t>
      </w:r>
    </w:p>
    <w:p w:rsidR="00724342" w:rsidRPr="00787EA7" w:rsidRDefault="00724342" w:rsidP="00724342">
      <w:pPr>
        <w:ind w:firstLine="425"/>
        <w:jc w:val="right"/>
        <w:rPr>
          <w:rFonts w:eastAsia="Calibri"/>
          <w:sz w:val="22"/>
          <w:szCs w:val="22"/>
          <w:lang w:eastAsia="en-US"/>
        </w:rPr>
      </w:pPr>
      <w:r w:rsidRPr="00787EA7">
        <w:rPr>
          <w:rFonts w:eastAsia="Calibri"/>
          <w:sz w:val="22"/>
          <w:szCs w:val="22"/>
          <w:lang w:eastAsia="en-US"/>
        </w:rPr>
        <w:t>университет имени И.</w:t>
      </w:r>
      <w:r w:rsidR="00850015">
        <w:rPr>
          <w:rFonts w:eastAsia="Calibri"/>
          <w:sz w:val="22"/>
          <w:szCs w:val="22"/>
          <w:lang w:eastAsia="en-US"/>
        </w:rPr>
        <w:t xml:space="preserve"> </w:t>
      </w:r>
      <w:r w:rsidRPr="00787EA7">
        <w:rPr>
          <w:rFonts w:eastAsia="Calibri"/>
          <w:sz w:val="22"/>
          <w:szCs w:val="22"/>
          <w:lang w:eastAsia="en-US"/>
        </w:rPr>
        <w:t>Т. Трубилина</w:t>
      </w:r>
    </w:p>
    <w:p w:rsidR="00724342" w:rsidRPr="00787EA7" w:rsidRDefault="00724342" w:rsidP="00724342">
      <w:pPr>
        <w:ind w:firstLine="425"/>
        <w:jc w:val="right"/>
        <w:rPr>
          <w:rFonts w:eastAsia="Calibri"/>
          <w:sz w:val="22"/>
          <w:szCs w:val="22"/>
          <w:lang w:eastAsia="en-US"/>
        </w:rPr>
      </w:pPr>
    </w:p>
    <w:p w:rsidR="00724342" w:rsidRPr="00787EA7" w:rsidRDefault="00724342" w:rsidP="00850015">
      <w:pPr>
        <w:ind w:firstLine="425"/>
        <w:jc w:val="both"/>
        <w:rPr>
          <w:rFonts w:eastAsia="Calibri"/>
          <w:sz w:val="22"/>
          <w:szCs w:val="22"/>
          <w:lang w:eastAsia="en-US"/>
        </w:rPr>
      </w:pPr>
      <w:r w:rsidRPr="00787EA7">
        <w:rPr>
          <w:rFonts w:eastAsia="Calibri"/>
          <w:sz w:val="22"/>
          <w:szCs w:val="22"/>
          <w:lang w:eastAsia="en-US"/>
        </w:rPr>
        <w:t>АННОТАЦИЯ:</w:t>
      </w:r>
      <w:r w:rsidR="00850015">
        <w:rPr>
          <w:rFonts w:eastAsia="Calibri"/>
          <w:sz w:val="22"/>
          <w:szCs w:val="22"/>
          <w:lang w:eastAsia="en-US"/>
        </w:rPr>
        <w:t xml:space="preserve"> </w:t>
      </w:r>
      <w:r w:rsidRPr="00787EA7">
        <w:rPr>
          <w:rFonts w:eastAsia="Calibri"/>
          <w:sz w:val="22"/>
          <w:szCs w:val="22"/>
          <w:lang w:eastAsia="en-US"/>
        </w:rPr>
        <w:t>В настоящее время нет единой концепции пр</w:t>
      </w:r>
      <w:r w:rsidRPr="00787EA7">
        <w:rPr>
          <w:rFonts w:eastAsia="Calibri"/>
          <w:sz w:val="22"/>
          <w:szCs w:val="22"/>
          <w:lang w:eastAsia="en-US"/>
        </w:rPr>
        <w:t>о</w:t>
      </w:r>
      <w:r w:rsidRPr="00787EA7">
        <w:rPr>
          <w:rFonts w:eastAsia="Calibri"/>
          <w:sz w:val="22"/>
          <w:szCs w:val="22"/>
          <w:lang w:eastAsia="en-US"/>
        </w:rPr>
        <w:t>цесса принятия решений. В зависимости от уровня их сложности изменяется число этапов и длительность процесса его разработки. Технология принятия управленческих решений является важне</w:t>
      </w:r>
      <w:r w:rsidRPr="00787EA7">
        <w:rPr>
          <w:rFonts w:eastAsia="Calibri"/>
          <w:sz w:val="22"/>
          <w:szCs w:val="22"/>
          <w:lang w:eastAsia="en-US"/>
        </w:rPr>
        <w:t>й</w:t>
      </w:r>
      <w:r w:rsidRPr="00787EA7">
        <w:rPr>
          <w:rFonts w:eastAsia="Calibri"/>
          <w:sz w:val="22"/>
          <w:szCs w:val="22"/>
          <w:lang w:eastAsia="en-US"/>
        </w:rPr>
        <w:t>шим инструментом предпринимательской деятельности, раскрыв</w:t>
      </w:r>
      <w:r w:rsidRPr="00787EA7">
        <w:rPr>
          <w:rFonts w:eastAsia="Calibri"/>
          <w:sz w:val="22"/>
          <w:szCs w:val="22"/>
          <w:lang w:eastAsia="en-US"/>
        </w:rPr>
        <w:t>а</w:t>
      </w:r>
      <w:r w:rsidRPr="00787EA7">
        <w:rPr>
          <w:rFonts w:eastAsia="Calibri"/>
          <w:sz w:val="22"/>
          <w:szCs w:val="22"/>
          <w:lang w:eastAsia="en-US"/>
        </w:rPr>
        <w:t>ющим способности руководителя.</w:t>
      </w:r>
    </w:p>
    <w:p w:rsidR="00724342" w:rsidRPr="00787EA7" w:rsidRDefault="00724342" w:rsidP="00850015">
      <w:pPr>
        <w:ind w:firstLine="425"/>
        <w:jc w:val="both"/>
        <w:rPr>
          <w:rFonts w:eastAsia="Calibri"/>
          <w:sz w:val="22"/>
          <w:szCs w:val="22"/>
          <w:lang w:val="en-US" w:eastAsia="en-US"/>
        </w:rPr>
      </w:pPr>
      <w:r w:rsidRPr="00787EA7">
        <w:rPr>
          <w:rFonts w:eastAsia="Calibri"/>
          <w:sz w:val="22"/>
          <w:szCs w:val="22"/>
          <w:lang w:val="en-US" w:eastAsia="en-US"/>
        </w:rPr>
        <w:t>ABSTRACT: Actually, there is not single conception of process of making decision. The number of the stages and duration of his develo</w:t>
      </w:r>
      <w:r w:rsidRPr="00787EA7">
        <w:rPr>
          <w:rFonts w:eastAsia="Calibri"/>
          <w:sz w:val="22"/>
          <w:szCs w:val="22"/>
          <w:lang w:val="en-US" w:eastAsia="en-US"/>
        </w:rPr>
        <w:t>p</w:t>
      </w:r>
      <w:r w:rsidRPr="00787EA7">
        <w:rPr>
          <w:rFonts w:eastAsia="Calibri"/>
          <w:sz w:val="22"/>
          <w:szCs w:val="22"/>
          <w:lang w:val="en-US" w:eastAsia="en-US"/>
        </w:rPr>
        <w:t>ment process change depending on the level of their complication. Tec</w:t>
      </w:r>
      <w:r w:rsidRPr="00787EA7">
        <w:rPr>
          <w:rFonts w:eastAsia="Calibri"/>
          <w:sz w:val="22"/>
          <w:szCs w:val="22"/>
          <w:lang w:val="en-US" w:eastAsia="en-US"/>
        </w:rPr>
        <w:t>h</w:t>
      </w:r>
      <w:r w:rsidRPr="00787EA7">
        <w:rPr>
          <w:rFonts w:eastAsia="Calibri"/>
          <w:sz w:val="22"/>
          <w:szCs w:val="22"/>
          <w:lang w:val="en-US" w:eastAsia="en-US"/>
        </w:rPr>
        <w:lastRenderedPageBreak/>
        <w:t>nology of acceptance of administrative decisions is the major instrument of entrepreneurial activity, exposing the capabilities of leader.</w:t>
      </w:r>
    </w:p>
    <w:p w:rsidR="00724342" w:rsidRPr="00787EA7" w:rsidRDefault="00724342" w:rsidP="00850015">
      <w:pPr>
        <w:ind w:firstLine="425"/>
        <w:jc w:val="both"/>
        <w:rPr>
          <w:rFonts w:eastAsia="Calibri"/>
          <w:sz w:val="22"/>
          <w:szCs w:val="22"/>
          <w:lang w:eastAsia="en-US"/>
        </w:rPr>
      </w:pPr>
      <w:r w:rsidRPr="00787EA7">
        <w:rPr>
          <w:rFonts w:eastAsia="Calibri"/>
          <w:sz w:val="22"/>
          <w:szCs w:val="22"/>
          <w:lang w:eastAsia="en-US"/>
        </w:rPr>
        <w:t>КЛЮЧЕВЫЕ СЛОВА: управленческое решение, менеджмент, методы менеджмента, предпринимательская деятельность.</w:t>
      </w:r>
    </w:p>
    <w:p w:rsidR="00724342" w:rsidRPr="00787EA7" w:rsidRDefault="00724342" w:rsidP="00850015">
      <w:pPr>
        <w:ind w:firstLine="425"/>
        <w:jc w:val="both"/>
        <w:rPr>
          <w:rFonts w:eastAsia="Calibri"/>
          <w:sz w:val="22"/>
          <w:szCs w:val="22"/>
          <w:lang w:val="en-US" w:eastAsia="en-US"/>
        </w:rPr>
      </w:pPr>
      <w:r w:rsidRPr="00787EA7">
        <w:rPr>
          <w:rFonts w:eastAsia="Calibri"/>
          <w:sz w:val="22"/>
          <w:szCs w:val="22"/>
          <w:lang w:val="en-US" w:eastAsia="en-US"/>
        </w:rPr>
        <w:t>KEYWORDS: business activity, management, management met</w:t>
      </w:r>
      <w:r w:rsidRPr="00787EA7">
        <w:rPr>
          <w:rFonts w:eastAsia="Calibri"/>
          <w:sz w:val="22"/>
          <w:szCs w:val="22"/>
          <w:lang w:val="en-US" w:eastAsia="en-US"/>
        </w:rPr>
        <w:t>h</w:t>
      </w:r>
      <w:r w:rsidRPr="00787EA7">
        <w:rPr>
          <w:rFonts w:eastAsia="Calibri"/>
          <w:sz w:val="22"/>
          <w:szCs w:val="22"/>
          <w:lang w:val="en-US" w:eastAsia="en-US"/>
        </w:rPr>
        <w:t>ods, managerial decision.</w:t>
      </w:r>
    </w:p>
    <w:p w:rsidR="00724342" w:rsidRPr="00787EA7" w:rsidRDefault="00724342" w:rsidP="00850015">
      <w:pPr>
        <w:ind w:firstLine="425"/>
        <w:jc w:val="both"/>
        <w:rPr>
          <w:rFonts w:eastAsia="Calibri"/>
          <w:sz w:val="22"/>
          <w:szCs w:val="22"/>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Предпринимательская деятельность имеет свои особенности ведения хозяйственной деятельности, сопровождающиеся пов</w:t>
      </w:r>
      <w:r w:rsidRPr="00787EA7">
        <w:rPr>
          <w:rFonts w:eastAsia="Calibri"/>
          <w:sz w:val="22"/>
          <w:szCs w:val="22"/>
          <w:lang w:eastAsia="en-US"/>
        </w:rPr>
        <w:t>ы</w:t>
      </w:r>
      <w:r w:rsidRPr="00787EA7">
        <w:rPr>
          <w:rFonts w:eastAsia="Calibri"/>
          <w:sz w:val="22"/>
          <w:szCs w:val="22"/>
          <w:lang w:eastAsia="en-US"/>
        </w:rPr>
        <w:t>шенными рисками, которые определяют особенности технологии принятия управленческих решений [3].</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Выделяют некоторые особенности менеджмента в предприн</w:t>
      </w:r>
      <w:r w:rsidRPr="00787EA7">
        <w:rPr>
          <w:rFonts w:eastAsia="Calibri"/>
          <w:sz w:val="22"/>
          <w:szCs w:val="22"/>
          <w:lang w:eastAsia="en-US"/>
        </w:rPr>
        <w:t>и</w:t>
      </w:r>
      <w:r w:rsidRPr="00787EA7">
        <w:rPr>
          <w:rFonts w:eastAsia="Calibri"/>
          <w:sz w:val="22"/>
          <w:szCs w:val="22"/>
          <w:lang w:eastAsia="en-US"/>
        </w:rPr>
        <w:t>мательской деятельности: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-сам процесс разработки, принятия и реализации управленч</w:t>
      </w:r>
      <w:r w:rsidRPr="00787EA7">
        <w:rPr>
          <w:rFonts w:eastAsia="Calibri"/>
          <w:sz w:val="22"/>
          <w:szCs w:val="22"/>
          <w:lang w:eastAsia="en-US"/>
        </w:rPr>
        <w:t>е</w:t>
      </w:r>
      <w:r w:rsidRPr="00787EA7">
        <w:rPr>
          <w:rFonts w:eastAsia="Calibri"/>
          <w:sz w:val="22"/>
          <w:szCs w:val="22"/>
          <w:lang w:eastAsia="en-US"/>
        </w:rPr>
        <w:t>ского решения занимает очень незначительный отрезок времени;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-руководители предпринимательской деятельности чаще всего не пользуются услугами консалтинговых компаний, вырабатывая решения самостоятельно и возлагая на себя все риски и последствия принятия ошибочных и непродуманных решений;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малом бизнесе предприниматель является единственным р</w:t>
      </w:r>
      <w:r w:rsidRPr="00787EA7">
        <w:rPr>
          <w:rFonts w:eastAsia="Calibri"/>
          <w:sz w:val="22"/>
          <w:szCs w:val="22"/>
          <w:lang w:eastAsia="en-US"/>
        </w:rPr>
        <w:t>у</w:t>
      </w:r>
      <w:r w:rsidRPr="00787EA7">
        <w:rPr>
          <w:rFonts w:eastAsia="Calibri"/>
          <w:sz w:val="22"/>
          <w:szCs w:val="22"/>
          <w:lang w:eastAsia="en-US"/>
        </w:rPr>
        <w:t>ководителем деятельности, не имея дополнительного аппарата управления.</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Процесс управления предпринимательской деятельностью вс</w:t>
      </w:r>
      <w:r w:rsidRPr="00787EA7">
        <w:rPr>
          <w:rFonts w:eastAsia="Calibri"/>
          <w:sz w:val="22"/>
          <w:szCs w:val="22"/>
          <w:lang w:eastAsia="en-US"/>
        </w:rPr>
        <w:t>е</w:t>
      </w:r>
      <w:r w:rsidRPr="00787EA7">
        <w:rPr>
          <w:rFonts w:eastAsia="Calibri"/>
          <w:sz w:val="22"/>
          <w:szCs w:val="22"/>
          <w:lang w:eastAsia="en-US"/>
        </w:rPr>
        <w:t>гда реализуется с помощью принятия и воплощения управленч</w:t>
      </w:r>
      <w:r w:rsidRPr="00787EA7">
        <w:rPr>
          <w:rFonts w:eastAsia="Calibri"/>
          <w:sz w:val="22"/>
          <w:szCs w:val="22"/>
          <w:lang w:eastAsia="en-US"/>
        </w:rPr>
        <w:t>е</w:t>
      </w:r>
      <w:r w:rsidRPr="00787EA7">
        <w:rPr>
          <w:rFonts w:eastAsia="Calibri"/>
          <w:sz w:val="22"/>
          <w:szCs w:val="22"/>
          <w:lang w:eastAsia="en-US"/>
        </w:rPr>
        <w:t>ских решений, выработку и исполнение которых называют технол</w:t>
      </w:r>
      <w:r w:rsidRPr="00787EA7">
        <w:rPr>
          <w:rFonts w:eastAsia="Calibri"/>
          <w:sz w:val="22"/>
          <w:szCs w:val="22"/>
          <w:lang w:eastAsia="en-US"/>
        </w:rPr>
        <w:t>о</w:t>
      </w:r>
      <w:r w:rsidRPr="00787EA7">
        <w:rPr>
          <w:rFonts w:eastAsia="Calibri"/>
          <w:sz w:val="22"/>
          <w:szCs w:val="22"/>
          <w:lang w:eastAsia="en-US"/>
        </w:rPr>
        <w:t>гией разработки (принятия) управленческих решений [2].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Определенная логическая последовательность стадий, с наб</w:t>
      </w:r>
      <w:r w:rsidRPr="00787EA7">
        <w:rPr>
          <w:rFonts w:eastAsia="Calibri"/>
          <w:sz w:val="22"/>
          <w:szCs w:val="22"/>
          <w:lang w:eastAsia="en-US"/>
        </w:rPr>
        <w:t>о</w:t>
      </w:r>
      <w:r w:rsidRPr="00787EA7">
        <w:rPr>
          <w:rFonts w:eastAsia="Calibri"/>
          <w:sz w:val="22"/>
          <w:szCs w:val="22"/>
          <w:lang w:eastAsia="en-US"/>
        </w:rPr>
        <w:t>ром особых действий, выполнение которых дает возможность в</w:t>
      </w:r>
      <w:r w:rsidRPr="00787EA7">
        <w:rPr>
          <w:rFonts w:eastAsia="Calibri"/>
          <w:sz w:val="22"/>
          <w:szCs w:val="22"/>
          <w:lang w:eastAsia="en-US"/>
        </w:rPr>
        <w:t>ы</w:t>
      </w:r>
      <w:r w:rsidRPr="00787EA7">
        <w:rPr>
          <w:rFonts w:eastAsia="Calibri"/>
          <w:sz w:val="22"/>
          <w:szCs w:val="22"/>
          <w:lang w:eastAsia="en-US"/>
        </w:rPr>
        <w:t>бора наилучшего варианта решения проблемы, с помощью изучения внешней и внутренней среды, анализа потенциалов и целей пре</w:t>
      </w:r>
      <w:r w:rsidRPr="00787EA7">
        <w:rPr>
          <w:rFonts w:eastAsia="Calibri"/>
          <w:sz w:val="22"/>
          <w:szCs w:val="22"/>
          <w:lang w:eastAsia="en-US"/>
        </w:rPr>
        <w:t>д</w:t>
      </w:r>
      <w:r w:rsidRPr="00787EA7">
        <w:rPr>
          <w:rFonts w:eastAsia="Calibri"/>
          <w:sz w:val="22"/>
          <w:szCs w:val="22"/>
          <w:lang w:eastAsia="en-US"/>
        </w:rPr>
        <w:t>приятия называется технологией принятия решений [1].</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Управленческое решение – это нахождение определенного в</w:t>
      </w:r>
      <w:r w:rsidRPr="00787EA7">
        <w:rPr>
          <w:rFonts w:eastAsia="Calibri"/>
          <w:sz w:val="22"/>
          <w:szCs w:val="22"/>
          <w:lang w:eastAsia="en-US"/>
        </w:rPr>
        <w:t>а</w:t>
      </w:r>
      <w:r w:rsidRPr="00787EA7">
        <w:rPr>
          <w:rFonts w:eastAsia="Calibri"/>
          <w:sz w:val="22"/>
          <w:szCs w:val="22"/>
          <w:lang w:eastAsia="en-US"/>
        </w:rPr>
        <w:t>рианта действий, посредством выявления и оценки альтернатив, осуществление хозяйственной деятельности и ее конечный резул</w:t>
      </w:r>
      <w:r w:rsidRPr="00787EA7">
        <w:rPr>
          <w:rFonts w:eastAsia="Calibri"/>
          <w:sz w:val="22"/>
          <w:szCs w:val="22"/>
          <w:lang w:eastAsia="en-US"/>
        </w:rPr>
        <w:t>ь</w:t>
      </w:r>
      <w:r w:rsidRPr="00787EA7">
        <w:rPr>
          <w:rFonts w:eastAsia="Calibri"/>
          <w:sz w:val="22"/>
          <w:szCs w:val="22"/>
          <w:lang w:eastAsia="en-US"/>
        </w:rPr>
        <w:t xml:space="preserve">тат [5].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Изучая различные варианты этапов технологии разработки управленческих решений, можно заметить в них ощутимые разл</w:t>
      </w:r>
      <w:r w:rsidRPr="00787EA7">
        <w:rPr>
          <w:rFonts w:eastAsia="Calibri"/>
          <w:sz w:val="22"/>
          <w:szCs w:val="22"/>
          <w:lang w:eastAsia="en-US"/>
        </w:rPr>
        <w:t>и</w:t>
      </w:r>
      <w:r w:rsidRPr="00787EA7">
        <w:rPr>
          <w:rFonts w:eastAsia="Calibri"/>
          <w:sz w:val="22"/>
          <w:szCs w:val="22"/>
          <w:lang w:eastAsia="en-US"/>
        </w:rPr>
        <w:t xml:space="preserve">чия. В такой ситуации необходимо создание усредненного варианта </w:t>
      </w:r>
      <w:r w:rsidRPr="00787EA7">
        <w:rPr>
          <w:rFonts w:eastAsia="Calibri"/>
          <w:sz w:val="22"/>
          <w:szCs w:val="22"/>
          <w:lang w:eastAsia="en-US"/>
        </w:rPr>
        <w:lastRenderedPageBreak/>
        <w:t>разработки и принятия управленческого решения для лица, прин</w:t>
      </w:r>
      <w:r w:rsidRPr="00787EA7">
        <w:rPr>
          <w:rFonts w:eastAsia="Calibri"/>
          <w:sz w:val="22"/>
          <w:szCs w:val="22"/>
          <w:lang w:eastAsia="en-US"/>
        </w:rPr>
        <w:t>и</w:t>
      </w:r>
      <w:r w:rsidRPr="00787EA7">
        <w:rPr>
          <w:rFonts w:eastAsia="Calibri"/>
          <w:sz w:val="22"/>
          <w:szCs w:val="22"/>
          <w:lang w:eastAsia="en-US"/>
        </w:rPr>
        <w:t>мающего решения в ходе осуществления предпринимательской д</w:t>
      </w:r>
      <w:r w:rsidRPr="00787EA7">
        <w:rPr>
          <w:rFonts w:eastAsia="Calibri"/>
          <w:sz w:val="22"/>
          <w:szCs w:val="22"/>
          <w:lang w:eastAsia="en-US"/>
        </w:rPr>
        <w:t>е</w:t>
      </w:r>
      <w:r w:rsidRPr="00787EA7">
        <w:rPr>
          <w:rFonts w:eastAsia="Calibri"/>
          <w:sz w:val="22"/>
          <w:szCs w:val="22"/>
          <w:lang w:eastAsia="en-US"/>
        </w:rPr>
        <w:t>ятельности, которое бы удовлетворяло требованиям оперативности анализа возникшей ситуации в бизнесе, а также выбору варианта решения проблемы и его реализации.</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Обобщенная технология разработки и реализации управленч</w:t>
      </w:r>
      <w:r w:rsidRPr="00787EA7">
        <w:rPr>
          <w:rFonts w:eastAsia="Calibri"/>
          <w:sz w:val="22"/>
          <w:szCs w:val="22"/>
          <w:lang w:eastAsia="en-US"/>
        </w:rPr>
        <w:t>е</w:t>
      </w:r>
      <w:r w:rsidRPr="00787EA7">
        <w:rPr>
          <w:rFonts w:eastAsia="Calibri"/>
          <w:sz w:val="22"/>
          <w:szCs w:val="22"/>
          <w:lang w:eastAsia="en-US"/>
        </w:rPr>
        <w:t>ского решения в предпринимательской деятельности должна вкл</w:t>
      </w:r>
      <w:r w:rsidRPr="00787EA7">
        <w:rPr>
          <w:rFonts w:eastAsia="Calibri"/>
          <w:sz w:val="22"/>
          <w:szCs w:val="22"/>
          <w:lang w:eastAsia="en-US"/>
        </w:rPr>
        <w:t>ю</w:t>
      </w:r>
      <w:r w:rsidRPr="00787EA7">
        <w:rPr>
          <w:rFonts w:eastAsia="Calibri"/>
          <w:sz w:val="22"/>
          <w:szCs w:val="22"/>
          <w:lang w:eastAsia="en-US"/>
        </w:rPr>
        <w:t>чать следующие этапы и процедуры [4]:</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1.Анализ проблемной ситуации, предполагающий плановую диагностику организации с выявлением существующих проблем.</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2.Разработка нескольких альтернативных вариантов управле</w:t>
      </w:r>
      <w:r w:rsidRPr="00787EA7">
        <w:rPr>
          <w:rFonts w:eastAsia="Calibri"/>
          <w:sz w:val="22"/>
          <w:szCs w:val="22"/>
          <w:lang w:eastAsia="en-US"/>
        </w:rPr>
        <w:t>н</w:t>
      </w:r>
      <w:r w:rsidRPr="00787EA7">
        <w:rPr>
          <w:rFonts w:eastAsia="Calibri"/>
          <w:sz w:val="22"/>
          <w:szCs w:val="22"/>
          <w:lang w:eastAsia="en-US"/>
        </w:rPr>
        <w:t>ческого решения и выбор наиболее оптимального.</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3.Реализация управленческого решения. Предполагает выпо</w:t>
      </w:r>
      <w:r w:rsidRPr="00787EA7">
        <w:rPr>
          <w:rFonts w:eastAsia="Calibri"/>
          <w:sz w:val="22"/>
          <w:szCs w:val="22"/>
          <w:lang w:eastAsia="en-US"/>
        </w:rPr>
        <w:t>л</w:t>
      </w:r>
      <w:r w:rsidRPr="00787EA7">
        <w:rPr>
          <w:rFonts w:eastAsia="Calibri"/>
          <w:sz w:val="22"/>
          <w:szCs w:val="22"/>
          <w:lang w:eastAsia="en-US"/>
        </w:rPr>
        <w:t xml:space="preserve">нение комплекса мероприятий по детализации решения и доведения его до конкретных исполнителей, осуществляется путем изменения параметров управляемой системы.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4.Контроль реализации управленческого решения. Заключается в проверке соответствия фактических параметров управляемой с</w:t>
      </w:r>
      <w:r w:rsidRPr="00787EA7">
        <w:rPr>
          <w:rFonts w:eastAsia="Calibri"/>
          <w:sz w:val="22"/>
          <w:szCs w:val="22"/>
          <w:lang w:eastAsia="en-US"/>
        </w:rPr>
        <w:t>и</w:t>
      </w:r>
      <w:r w:rsidRPr="00787EA7">
        <w:rPr>
          <w:rFonts w:eastAsia="Calibri"/>
          <w:sz w:val="22"/>
          <w:szCs w:val="22"/>
          <w:lang w:eastAsia="en-US"/>
        </w:rPr>
        <w:t>стемы предписанным.</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5.Оценка эффективности принятого решения с помощью и</w:t>
      </w:r>
      <w:r w:rsidRPr="00787EA7">
        <w:rPr>
          <w:rFonts w:eastAsia="Calibri"/>
          <w:sz w:val="22"/>
          <w:szCs w:val="22"/>
          <w:lang w:eastAsia="en-US"/>
        </w:rPr>
        <w:t>с</w:t>
      </w:r>
      <w:r w:rsidRPr="00787EA7">
        <w:rPr>
          <w:rFonts w:eastAsia="Calibri"/>
          <w:sz w:val="22"/>
          <w:szCs w:val="22"/>
          <w:lang w:eastAsia="en-US"/>
        </w:rPr>
        <w:t>числения величины дополнительной прибыли, полученной на ед</w:t>
      </w:r>
      <w:r w:rsidRPr="00787EA7">
        <w:rPr>
          <w:rFonts w:eastAsia="Calibri"/>
          <w:sz w:val="22"/>
          <w:szCs w:val="22"/>
          <w:lang w:eastAsia="en-US"/>
        </w:rPr>
        <w:t>и</w:t>
      </w:r>
      <w:r w:rsidRPr="00787EA7">
        <w:rPr>
          <w:rFonts w:eastAsia="Calibri"/>
          <w:sz w:val="22"/>
          <w:szCs w:val="22"/>
          <w:lang w:eastAsia="en-US"/>
        </w:rPr>
        <w:t>ницу вложений, затраченных на выполнение предыдущих действий.</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6.Совершенствование процесса разработки и реализации управленческих решений с желательным расширением информац</w:t>
      </w:r>
      <w:r w:rsidRPr="00787EA7">
        <w:rPr>
          <w:rFonts w:eastAsia="Calibri"/>
          <w:sz w:val="22"/>
          <w:szCs w:val="22"/>
          <w:lang w:eastAsia="en-US"/>
        </w:rPr>
        <w:t>и</w:t>
      </w:r>
      <w:r w:rsidRPr="00787EA7">
        <w:rPr>
          <w:rFonts w:eastAsia="Calibri"/>
          <w:sz w:val="22"/>
          <w:szCs w:val="22"/>
          <w:lang w:eastAsia="en-US"/>
        </w:rPr>
        <w:t>онно-аналитической базы менеджмента.</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Все описанные стадии руководству нужно выполнять послед</w:t>
      </w:r>
      <w:r w:rsidRPr="00787EA7">
        <w:rPr>
          <w:rFonts w:eastAsia="Calibri"/>
          <w:sz w:val="22"/>
          <w:szCs w:val="22"/>
          <w:lang w:eastAsia="en-US"/>
        </w:rPr>
        <w:t>о</w:t>
      </w:r>
      <w:r w:rsidRPr="00787EA7">
        <w:rPr>
          <w:rFonts w:eastAsia="Calibri"/>
          <w:sz w:val="22"/>
          <w:szCs w:val="22"/>
          <w:lang w:eastAsia="en-US"/>
        </w:rPr>
        <w:t>вательно, тщательно продумывая каждый шаг и его возможные п</w:t>
      </w:r>
      <w:r w:rsidRPr="00787EA7">
        <w:rPr>
          <w:rFonts w:eastAsia="Calibri"/>
          <w:sz w:val="22"/>
          <w:szCs w:val="22"/>
          <w:lang w:eastAsia="en-US"/>
        </w:rPr>
        <w:t>о</w:t>
      </w:r>
      <w:r w:rsidRPr="00787EA7">
        <w:rPr>
          <w:rFonts w:eastAsia="Calibri"/>
          <w:sz w:val="22"/>
          <w:szCs w:val="22"/>
          <w:lang w:eastAsia="en-US"/>
        </w:rPr>
        <w:t>следствия, чтобы гарантировать качество управленческого решения.</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Таким образом, принятие грамотных управленческих решений с анализом существующих проблем и учетом перспектив организ</w:t>
      </w:r>
      <w:r w:rsidRPr="00787EA7">
        <w:rPr>
          <w:rFonts w:eastAsia="Calibri"/>
          <w:sz w:val="22"/>
          <w:szCs w:val="22"/>
          <w:lang w:eastAsia="en-US"/>
        </w:rPr>
        <w:t>а</w:t>
      </w:r>
      <w:r w:rsidRPr="00787EA7">
        <w:rPr>
          <w:rFonts w:eastAsia="Calibri"/>
          <w:sz w:val="22"/>
          <w:szCs w:val="22"/>
          <w:lang w:eastAsia="en-US"/>
        </w:rPr>
        <w:t>ции является залогом прибыльности и конкурентоспособности л</w:t>
      </w:r>
      <w:r w:rsidRPr="00787EA7">
        <w:rPr>
          <w:rFonts w:eastAsia="Calibri"/>
          <w:sz w:val="22"/>
          <w:szCs w:val="22"/>
          <w:lang w:eastAsia="en-US"/>
        </w:rPr>
        <w:t>ю</w:t>
      </w:r>
      <w:r w:rsidRPr="00787EA7">
        <w:rPr>
          <w:rFonts w:eastAsia="Calibri"/>
          <w:sz w:val="22"/>
          <w:szCs w:val="22"/>
          <w:lang w:eastAsia="en-US"/>
        </w:rPr>
        <w:t>бого предприятия в современных условиях.</w:t>
      </w:r>
    </w:p>
    <w:p w:rsidR="00724342" w:rsidRPr="00787EA7" w:rsidRDefault="00724342" w:rsidP="00724342">
      <w:pPr>
        <w:ind w:firstLine="425"/>
        <w:jc w:val="both"/>
        <w:rPr>
          <w:rFonts w:eastAsia="Calibri"/>
          <w:sz w:val="22"/>
          <w:szCs w:val="22"/>
          <w:lang w:eastAsia="en-US"/>
        </w:rPr>
      </w:pPr>
    </w:p>
    <w:p w:rsidR="00724342" w:rsidRPr="00787EA7" w:rsidRDefault="00724342" w:rsidP="00724342">
      <w:pPr>
        <w:jc w:val="center"/>
        <w:outlineLvl w:val="0"/>
        <w:rPr>
          <w:rFonts w:eastAsia="Calibri"/>
          <w:sz w:val="22"/>
          <w:szCs w:val="22"/>
          <w:lang w:eastAsia="en-US"/>
        </w:rPr>
      </w:pPr>
      <w:r w:rsidRPr="00787EA7">
        <w:rPr>
          <w:rFonts w:eastAsia="Calibri"/>
          <w:sz w:val="22"/>
          <w:szCs w:val="22"/>
          <w:lang w:eastAsia="en-US"/>
        </w:rPr>
        <w:t>Список литературы</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1. Вешнякова Т. С. Принятие предпринимательского решения / </w:t>
      </w:r>
    </w:p>
    <w:p w:rsidR="00724342" w:rsidRPr="00787EA7" w:rsidRDefault="00724342" w:rsidP="00724342">
      <w:pPr>
        <w:jc w:val="both"/>
        <w:rPr>
          <w:rFonts w:eastAsia="Calibri"/>
          <w:sz w:val="22"/>
          <w:szCs w:val="22"/>
          <w:lang w:eastAsia="en-US"/>
        </w:rPr>
      </w:pPr>
      <w:r w:rsidRPr="00787EA7">
        <w:rPr>
          <w:rFonts w:eastAsia="Calibri"/>
          <w:sz w:val="22"/>
          <w:szCs w:val="22"/>
          <w:lang w:eastAsia="en-US"/>
        </w:rPr>
        <w:t>Т. С. Вешнякова // Вестник Поволжского государственного униве</w:t>
      </w:r>
      <w:r w:rsidRPr="00787EA7">
        <w:rPr>
          <w:rFonts w:eastAsia="Calibri"/>
          <w:sz w:val="22"/>
          <w:szCs w:val="22"/>
          <w:lang w:eastAsia="en-US"/>
        </w:rPr>
        <w:t>р</w:t>
      </w:r>
      <w:r w:rsidRPr="00787EA7">
        <w:rPr>
          <w:rFonts w:eastAsia="Calibri"/>
          <w:sz w:val="22"/>
          <w:szCs w:val="22"/>
          <w:lang w:eastAsia="en-US"/>
        </w:rPr>
        <w:t>ситета. –2016. – №1. – С. 129-134.</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2. Горшкова Е.А. Концепция предпринимательского решения / </w:t>
      </w:r>
    </w:p>
    <w:p w:rsidR="00724342" w:rsidRPr="00787EA7" w:rsidRDefault="00724342" w:rsidP="00724342">
      <w:pPr>
        <w:jc w:val="both"/>
        <w:rPr>
          <w:rFonts w:eastAsia="Calibri"/>
          <w:sz w:val="22"/>
          <w:szCs w:val="22"/>
          <w:lang w:eastAsia="en-US"/>
        </w:rPr>
      </w:pPr>
      <w:r w:rsidRPr="00787EA7">
        <w:rPr>
          <w:rFonts w:eastAsia="Calibri"/>
          <w:sz w:val="22"/>
          <w:szCs w:val="22"/>
          <w:lang w:eastAsia="en-US"/>
        </w:rPr>
        <w:lastRenderedPageBreak/>
        <w:t>Е. А. Горшкова // Российский экономический интернет-журнал. – 2016. – № 4. – С. 143-152.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3. Грибанов  Ю. И. Информационное обеспечение системы контроллинга на промышленном предприятии / Ю. И. Грибанов, К. О. Ершов // Российское предпринимательство. – 2017. – №2. – С. –66-72.</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4. Коваль О.С. Классификация и анализ факторов, определя</w:t>
      </w:r>
      <w:r w:rsidRPr="00787EA7">
        <w:rPr>
          <w:rFonts w:eastAsia="Calibri"/>
          <w:sz w:val="22"/>
          <w:szCs w:val="22"/>
          <w:lang w:eastAsia="en-US"/>
        </w:rPr>
        <w:t>ю</w:t>
      </w:r>
      <w:r w:rsidRPr="00787EA7">
        <w:rPr>
          <w:rFonts w:eastAsia="Calibri"/>
          <w:sz w:val="22"/>
          <w:szCs w:val="22"/>
          <w:lang w:eastAsia="en-US"/>
        </w:rPr>
        <w:t>щих эффективность управленческих решений в предпринимател</w:t>
      </w:r>
      <w:r w:rsidRPr="00787EA7">
        <w:rPr>
          <w:rFonts w:eastAsia="Calibri"/>
          <w:sz w:val="22"/>
          <w:szCs w:val="22"/>
          <w:lang w:eastAsia="en-US"/>
        </w:rPr>
        <w:t>ь</w:t>
      </w:r>
      <w:r w:rsidRPr="00787EA7">
        <w:rPr>
          <w:rFonts w:eastAsia="Calibri"/>
          <w:sz w:val="22"/>
          <w:szCs w:val="22"/>
          <w:lang w:eastAsia="en-US"/>
        </w:rPr>
        <w:t>ских структурах / О. С. Коваль // Экономическое возрождение Ро</w:t>
      </w:r>
      <w:r w:rsidRPr="00787EA7">
        <w:rPr>
          <w:rFonts w:eastAsia="Calibri"/>
          <w:sz w:val="22"/>
          <w:szCs w:val="22"/>
          <w:lang w:eastAsia="en-US"/>
        </w:rPr>
        <w:t>с</w:t>
      </w:r>
      <w:r w:rsidRPr="00787EA7">
        <w:rPr>
          <w:rFonts w:eastAsia="Calibri"/>
          <w:sz w:val="22"/>
          <w:szCs w:val="22"/>
          <w:lang w:eastAsia="en-US"/>
        </w:rPr>
        <w:t>сии. – 2017. – № 3. – С. 124-130.</w:t>
      </w:r>
    </w:p>
    <w:p w:rsidR="00724342" w:rsidRDefault="00724342" w:rsidP="00724342">
      <w:pPr>
        <w:ind w:firstLine="425"/>
        <w:jc w:val="both"/>
        <w:rPr>
          <w:rFonts w:eastAsia="Calibri"/>
          <w:sz w:val="22"/>
          <w:szCs w:val="22"/>
          <w:lang w:eastAsia="en-US"/>
        </w:rPr>
      </w:pPr>
      <w:r w:rsidRPr="00787EA7">
        <w:rPr>
          <w:rFonts w:eastAsia="Calibri"/>
          <w:sz w:val="22"/>
          <w:szCs w:val="22"/>
          <w:lang w:eastAsia="en-US"/>
        </w:rPr>
        <w:t>5. Парамонов П. Ф. Менеджмент: учеб. пособие / П. Ф. Пар</w:t>
      </w:r>
      <w:r w:rsidRPr="00787EA7">
        <w:rPr>
          <w:rFonts w:eastAsia="Calibri"/>
          <w:sz w:val="22"/>
          <w:szCs w:val="22"/>
          <w:lang w:eastAsia="en-US"/>
        </w:rPr>
        <w:t>а</w:t>
      </w:r>
      <w:r w:rsidRPr="00787EA7">
        <w:rPr>
          <w:rFonts w:eastAsia="Calibri"/>
          <w:sz w:val="22"/>
          <w:szCs w:val="22"/>
          <w:lang w:eastAsia="en-US"/>
        </w:rPr>
        <w:t>монов, Н. Е. Халявка, Ю. Е. Стукова. – Краснодар: КубГАУ, 2015 – 106 с.</w:t>
      </w:r>
    </w:p>
    <w:p w:rsidR="00850015" w:rsidRPr="00787EA7" w:rsidRDefault="00850015" w:rsidP="00724342">
      <w:pPr>
        <w:ind w:firstLine="425"/>
        <w:jc w:val="both"/>
        <w:rPr>
          <w:rFonts w:eastAsia="Calibri"/>
          <w:sz w:val="22"/>
          <w:szCs w:val="22"/>
          <w:lang w:eastAsia="en-US"/>
        </w:rPr>
      </w:pPr>
    </w:p>
    <w:p w:rsidR="00850015" w:rsidRDefault="00850015" w:rsidP="00724342">
      <w:pPr>
        <w:jc w:val="both"/>
        <w:outlineLvl w:val="0"/>
        <w:rPr>
          <w:rFonts w:eastAsia="Calibri"/>
          <w:sz w:val="22"/>
          <w:szCs w:val="22"/>
          <w:lang w:eastAsia="en-US"/>
        </w:rPr>
      </w:pPr>
    </w:p>
    <w:p w:rsidR="00724342" w:rsidRPr="00787EA7" w:rsidRDefault="00724342" w:rsidP="00724342">
      <w:pPr>
        <w:jc w:val="both"/>
        <w:outlineLvl w:val="0"/>
        <w:rPr>
          <w:rFonts w:eastAsia="Calibri"/>
          <w:sz w:val="22"/>
          <w:szCs w:val="22"/>
          <w:lang w:eastAsia="en-US"/>
        </w:rPr>
      </w:pPr>
      <w:r w:rsidRPr="00787EA7">
        <w:rPr>
          <w:rFonts w:eastAsia="Calibri"/>
          <w:sz w:val="22"/>
          <w:szCs w:val="22"/>
          <w:lang w:eastAsia="en-US"/>
        </w:rPr>
        <w:t>УДК 005.56:3.1</w:t>
      </w:r>
    </w:p>
    <w:p w:rsidR="00724342" w:rsidRPr="00787EA7" w:rsidRDefault="00724342" w:rsidP="00724342">
      <w:pPr>
        <w:jc w:val="both"/>
        <w:rPr>
          <w:rFonts w:eastAsia="Calibri"/>
          <w:sz w:val="18"/>
          <w:szCs w:val="18"/>
          <w:lang w:eastAsia="en-US"/>
        </w:rPr>
      </w:pPr>
    </w:p>
    <w:p w:rsidR="00724342" w:rsidRPr="00787EA7" w:rsidRDefault="00724342" w:rsidP="00724342">
      <w:pPr>
        <w:jc w:val="center"/>
        <w:rPr>
          <w:rFonts w:eastAsia="Calibri"/>
          <w:b/>
          <w:sz w:val="24"/>
          <w:szCs w:val="24"/>
          <w:lang w:eastAsia="en-US"/>
        </w:rPr>
      </w:pPr>
      <w:r w:rsidRPr="00787EA7">
        <w:rPr>
          <w:rFonts w:eastAsia="Calibri"/>
          <w:b/>
          <w:sz w:val="24"/>
          <w:szCs w:val="24"/>
          <w:lang w:eastAsia="en-US"/>
        </w:rPr>
        <w:t xml:space="preserve">Оценка надежности деловых партнеров торгового </w:t>
      </w:r>
      <w:r w:rsidRPr="00787EA7">
        <w:rPr>
          <w:rFonts w:eastAsia="Calibri"/>
          <w:b/>
          <w:sz w:val="24"/>
          <w:szCs w:val="24"/>
          <w:lang w:eastAsia="en-US"/>
        </w:rPr>
        <w:br/>
        <w:t>предприятия</w:t>
      </w:r>
    </w:p>
    <w:p w:rsidR="00724342" w:rsidRPr="00787EA7" w:rsidRDefault="00724342" w:rsidP="00724342">
      <w:pPr>
        <w:jc w:val="center"/>
        <w:rPr>
          <w:rFonts w:eastAsia="Calibri"/>
          <w:b/>
          <w:sz w:val="24"/>
          <w:szCs w:val="24"/>
          <w:shd w:val="clear" w:color="auto" w:fill="FFFFFF"/>
          <w:lang w:val="en-US" w:eastAsia="en-US"/>
        </w:rPr>
      </w:pPr>
      <w:r w:rsidRPr="00787EA7">
        <w:rPr>
          <w:rFonts w:eastAsia="Calibri"/>
          <w:b/>
          <w:sz w:val="24"/>
          <w:szCs w:val="24"/>
          <w:shd w:val="clear" w:color="auto" w:fill="FFFFFF"/>
          <w:lang w:val="en-US" w:eastAsia="en-US"/>
        </w:rPr>
        <w:t>Assessment of reliability of business partners of a trading</w:t>
      </w:r>
      <w:r w:rsidRPr="00787EA7">
        <w:rPr>
          <w:rFonts w:eastAsia="Calibri"/>
          <w:b/>
          <w:sz w:val="24"/>
          <w:szCs w:val="24"/>
          <w:shd w:val="clear" w:color="auto" w:fill="FFFFFF"/>
          <w:lang w:val="en-US" w:eastAsia="en-US"/>
        </w:rPr>
        <w:br/>
        <w:t>enterprise</w:t>
      </w:r>
    </w:p>
    <w:p w:rsidR="00724342" w:rsidRPr="00787EA7" w:rsidRDefault="00724342" w:rsidP="00724342">
      <w:pPr>
        <w:jc w:val="center"/>
        <w:rPr>
          <w:rFonts w:eastAsia="Calibri"/>
          <w:b/>
          <w:sz w:val="18"/>
          <w:szCs w:val="18"/>
          <w:shd w:val="clear" w:color="auto" w:fill="FFFFFF"/>
          <w:lang w:val="en-US" w:eastAsia="en-US"/>
        </w:rPr>
      </w:pP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Юдина Л.</w:t>
      </w:r>
      <w:r w:rsidR="00850015">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В.,</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студентка 2-го курса факультета финансы и кредит</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Илюшко С.</w:t>
      </w:r>
      <w:r w:rsidR="00850015">
        <w:rPr>
          <w:rFonts w:eastAsia="Calibri"/>
          <w:sz w:val="22"/>
          <w:szCs w:val="22"/>
          <w:shd w:val="clear" w:color="auto" w:fill="FFFFFF"/>
          <w:lang w:eastAsia="en-US"/>
        </w:rPr>
        <w:t xml:space="preserve"> </w:t>
      </w:r>
      <w:r w:rsidRPr="00787EA7">
        <w:rPr>
          <w:rFonts w:eastAsia="Calibri"/>
          <w:sz w:val="22"/>
          <w:szCs w:val="22"/>
          <w:shd w:val="clear" w:color="auto" w:fill="FFFFFF"/>
          <w:lang w:eastAsia="en-US"/>
        </w:rPr>
        <w:t>В.,</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старший преподаватель кафедры экономики предприятий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Кубанский государственный аграрный</w:t>
      </w:r>
    </w:p>
    <w:p w:rsidR="00724342" w:rsidRPr="00787EA7" w:rsidRDefault="00724342" w:rsidP="00724342">
      <w:pPr>
        <w:ind w:firstLine="425"/>
        <w:jc w:val="right"/>
        <w:rPr>
          <w:rFonts w:eastAsia="Calibri"/>
          <w:sz w:val="22"/>
          <w:szCs w:val="22"/>
          <w:shd w:val="clear" w:color="auto" w:fill="FFFFFF"/>
          <w:lang w:eastAsia="en-US"/>
        </w:rPr>
      </w:pPr>
      <w:r w:rsidRPr="00787EA7">
        <w:rPr>
          <w:rFonts w:eastAsia="Calibri"/>
          <w:sz w:val="22"/>
          <w:szCs w:val="22"/>
          <w:shd w:val="clear" w:color="auto" w:fill="FFFFFF"/>
          <w:lang w:eastAsia="en-US"/>
        </w:rPr>
        <w:t>университет имени И. Т. Трубилина</w:t>
      </w:r>
    </w:p>
    <w:p w:rsidR="00724342" w:rsidRPr="00787EA7" w:rsidRDefault="00724342" w:rsidP="00724342">
      <w:pPr>
        <w:ind w:firstLine="425"/>
        <w:jc w:val="right"/>
        <w:rPr>
          <w:rFonts w:eastAsia="Calibri"/>
          <w:color w:val="333333"/>
          <w:sz w:val="18"/>
          <w:szCs w:val="18"/>
          <w:shd w:val="clear" w:color="auto" w:fill="FFFFFF"/>
          <w:lang w:eastAsia="en-US"/>
        </w:rPr>
      </w:pP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eastAsia="en-US"/>
        </w:rPr>
        <w:t>АННОТАЦИЯ: Рассмотрено понятие надежности партнера. Изучены точки зрения по подбору партнера, отвечающего всем н</w:t>
      </w:r>
      <w:r w:rsidRPr="00787EA7">
        <w:rPr>
          <w:rFonts w:eastAsia="Calibri"/>
          <w:sz w:val="22"/>
          <w:szCs w:val="22"/>
          <w:lang w:eastAsia="en-US"/>
        </w:rPr>
        <w:t>е</w:t>
      </w:r>
      <w:r w:rsidRPr="00787EA7">
        <w:rPr>
          <w:rFonts w:eastAsia="Calibri"/>
          <w:sz w:val="22"/>
          <w:szCs w:val="22"/>
          <w:lang w:eastAsia="en-US"/>
        </w:rPr>
        <w:t>обходимым требованиям. Показана</w:t>
      </w:r>
      <w:r w:rsidRPr="00787EA7">
        <w:rPr>
          <w:rFonts w:eastAsia="Calibri"/>
          <w:sz w:val="22"/>
          <w:szCs w:val="22"/>
          <w:lang w:val="en-US" w:eastAsia="en-US"/>
        </w:rPr>
        <w:t xml:space="preserve"> </w:t>
      </w:r>
      <w:r w:rsidRPr="00787EA7">
        <w:rPr>
          <w:rFonts w:eastAsia="Calibri"/>
          <w:sz w:val="22"/>
          <w:szCs w:val="22"/>
          <w:lang w:eastAsia="en-US"/>
        </w:rPr>
        <w:t>необходимость</w:t>
      </w:r>
      <w:r w:rsidRPr="00787EA7">
        <w:rPr>
          <w:rFonts w:eastAsia="Calibri"/>
          <w:sz w:val="22"/>
          <w:szCs w:val="22"/>
          <w:lang w:val="en-US" w:eastAsia="en-US"/>
        </w:rPr>
        <w:t xml:space="preserve"> </w:t>
      </w:r>
      <w:r w:rsidRPr="00787EA7">
        <w:rPr>
          <w:rFonts w:eastAsia="Calibri"/>
          <w:sz w:val="22"/>
          <w:szCs w:val="22"/>
          <w:lang w:eastAsia="en-US"/>
        </w:rPr>
        <w:t>использования</w:t>
      </w:r>
      <w:r w:rsidRPr="00787EA7">
        <w:rPr>
          <w:rFonts w:eastAsia="Calibri"/>
          <w:sz w:val="22"/>
          <w:szCs w:val="22"/>
          <w:lang w:val="en-US" w:eastAsia="en-US"/>
        </w:rPr>
        <w:t xml:space="preserve"> SWOT-</w:t>
      </w:r>
      <w:r w:rsidRPr="00787EA7">
        <w:rPr>
          <w:rFonts w:eastAsia="Calibri"/>
          <w:sz w:val="22"/>
          <w:szCs w:val="22"/>
          <w:lang w:eastAsia="en-US"/>
        </w:rPr>
        <w:t>анализа</w:t>
      </w:r>
      <w:r w:rsidRPr="00787EA7">
        <w:rPr>
          <w:rFonts w:eastAsia="Calibri"/>
          <w:sz w:val="22"/>
          <w:szCs w:val="22"/>
          <w:lang w:val="en-US" w:eastAsia="en-US"/>
        </w:rPr>
        <w:t>.</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val="en-US" w:eastAsia="en-US"/>
        </w:rPr>
        <w:t>ABSTRACT: the concept of partner reliability is considered. The points of view on selection of the partner meeting all necessary requir</w:t>
      </w:r>
      <w:r w:rsidRPr="00787EA7">
        <w:rPr>
          <w:rFonts w:eastAsia="Calibri"/>
          <w:sz w:val="22"/>
          <w:szCs w:val="22"/>
          <w:lang w:val="en-US" w:eastAsia="en-US"/>
        </w:rPr>
        <w:t>e</w:t>
      </w:r>
      <w:r w:rsidRPr="00787EA7">
        <w:rPr>
          <w:rFonts w:eastAsia="Calibri"/>
          <w:sz w:val="22"/>
          <w:szCs w:val="22"/>
          <w:lang w:val="en-US" w:eastAsia="en-US"/>
        </w:rPr>
        <w:t>ments are studied. The</w:t>
      </w:r>
      <w:r w:rsidRPr="00787EA7">
        <w:rPr>
          <w:rFonts w:eastAsia="Calibri"/>
          <w:sz w:val="22"/>
          <w:szCs w:val="22"/>
          <w:lang w:eastAsia="en-US"/>
        </w:rPr>
        <w:t xml:space="preserve"> </w:t>
      </w:r>
      <w:r w:rsidRPr="00787EA7">
        <w:rPr>
          <w:rFonts w:eastAsia="Calibri"/>
          <w:sz w:val="22"/>
          <w:szCs w:val="22"/>
          <w:lang w:val="en-US" w:eastAsia="en-US"/>
        </w:rPr>
        <w:t>necessity</w:t>
      </w:r>
      <w:r w:rsidRPr="00787EA7">
        <w:rPr>
          <w:rFonts w:eastAsia="Calibri"/>
          <w:sz w:val="22"/>
          <w:szCs w:val="22"/>
          <w:lang w:eastAsia="en-US"/>
        </w:rPr>
        <w:t xml:space="preserve"> </w:t>
      </w:r>
      <w:r w:rsidRPr="00787EA7">
        <w:rPr>
          <w:rFonts w:eastAsia="Calibri"/>
          <w:sz w:val="22"/>
          <w:szCs w:val="22"/>
          <w:lang w:val="en-US" w:eastAsia="en-US"/>
        </w:rPr>
        <w:t>of</w:t>
      </w:r>
      <w:r w:rsidRPr="00787EA7">
        <w:rPr>
          <w:rFonts w:eastAsia="Calibri"/>
          <w:sz w:val="22"/>
          <w:szCs w:val="22"/>
          <w:lang w:eastAsia="en-US"/>
        </w:rPr>
        <w:t xml:space="preserve"> </w:t>
      </w:r>
      <w:r w:rsidRPr="00787EA7">
        <w:rPr>
          <w:rFonts w:eastAsia="Calibri"/>
          <w:sz w:val="22"/>
          <w:szCs w:val="22"/>
          <w:lang w:val="en-US" w:eastAsia="en-US"/>
        </w:rPr>
        <w:t>the</w:t>
      </w:r>
      <w:r w:rsidRPr="00787EA7">
        <w:rPr>
          <w:rFonts w:eastAsia="Calibri"/>
          <w:sz w:val="22"/>
          <w:szCs w:val="22"/>
          <w:lang w:eastAsia="en-US"/>
        </w:rPr>
        <w:t xml:space="preserve"> </w:t>
      </w:r>
      <w:r w:rsidRPr="00787EA7">
        <w:rPr>
          <w:rFonts w:eastAsia="Calibri"/>
          <w:sz w:val="22"/>
          <w:szCs w:val="22"/>
          <w:lang w:val="en-US" w:eastAsia="en-US"/>
        </w:rPr>
        <w:t>use</w:t>
      </w:r>
      <w:r w:rsidRPr="00787EA7">
        <w:rPr>
          <w:rFonts w:eastAsia="Calibri"/>
          <w:sz w:val="22"/>
          <w:szCs w:val="22"/>
          <w:lang w:eastAsia="en-US"/>
        </w:rPr>
        <w:t xml:space="preserve"> </w:t>
      </w:r>
      <w:r w:rsidRPr="00787EA7">
        <w:rPr>
          <w:rFonts w:eastAsia="Calibri"/>
          <w:sz w:val="22"/>
          <w:szCs w:val="22"/>
          <w:lang w:val="en-US" w:eastAsia="en-US"/>
        </w:rPr>
        <w:t>of</w:t>
      </w:r>
      <w:r w:rsidRPr="00787EA7">
        <w:rPr>
          <w:rFonts w:eastAsia="Calibri"/>
          <w:sz w:val="22"/>
          <w:szCs w:val="22"/>
          <w:lang w:eastAsia="en-US"/>
        </w:rPr>
        <w:t xml:space="preserve"> </w:t>
      </w:r>
      <w:r w:rsidRPr="00787EA7">
        <w:rPr>
          <w:rFonts w:eastAsia="Calibri"/>
          <w:sz w:val="22"/>
          <w:szCs w:val="22"/>
          <w:lang w:val="en-US" w:eastAsia="en-US"/>
        </w:rPr>
        <w:t>the</w:t>
      </w:r>
      <w:r w:rsidRPr="00787EA7">
        <w:rPr>
          <w:rFonts w:eastAsia="Calibri"/>
          <w:sz w:val="22"/>
          <w:szCs w:val="22"/>
          <w:lang w:eastAsia="en-US"/>
        </w:rPr>
        <w:t xml:space="preserve"> </w:t>
      </w:r>
      <w:r w:rsidRPr="00787EA7">
        <w:rPr>
          <w:rFonts w:eastAsia="Calibri"/>
          <w:sz w:val="22"/>
          <w:szCs w:val="22"/>
          <w:lang w:val="en-US" w:eastAsia="en-US"/>
        </w:rPr>
        <w:t>SWOT</w:t>
      </w:r>
      <w:r w:rsidRPr="00787EA7">
        <w:rPr>
          <w:rFonts w:eastAsia="Calibri"/>
          <w:sz w:val="22"/>
          <w:szCs w:val="22"/>
          <w:lang w:eastAsia="en-US"/>
        </w:rPr>
        <w:t xml:space="preserve"> </w:t>
      </w:r>
      <w:r w:rsidRPr="00787EA7">
        <w:rPr>
          <w:rFonts w:eastAsia="Calibri"/>
          <w:sz w:val="22"/>
          <w:szCs w:val="22"/>
          <w:lang w:val="en-US" w:eastAsia="en-US"/>
        </w:rPr>
        <w:t>analysis</w:t>
      </w:r>
      <w:r w:rsidRPr="00787EA7">
        <w:rPr>
          <w:rFonts w:eastAsia="Calibri"/>
          <w:sz w:val="22"/>
          <w:szCs w:val="22"/>
          <w:lang w:eastAsia="en-US"/>
        </w:rPr>
        <w:t>.</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КЛЮЧЕВЫЕ СЛОВА: партнерские отношения, надежность, конкурентная борьба, внешняя среда, SWOT-анализ.</w:t>
      </w:r>
    </w:p>
    <w:p w:rsidR="00724342" w:rsidRPr="00787EA7" w:rsidRDefault="00724342" w:rsidP="00724342">
      <w:pPr>
        <w:ind w:firstLine="425"/>
        <w:jc w:val="both"/>
        <w:rPr>
          <w:rFonts w:eastAsia="Calibri"/>
          <w:sz w:val="22"/>
          <w:szCs w:val="22"/>
          <w:lang w:val="en-US" w:eastAsia="en-US"/>
        </w:rPr>
      </w:pPr>
      <w:r w:rsidRPr="00787EA7">
        <w:rPr>
          <w:rFonts w:eastAsia="Calibri"/>
          <w:sz w:val="22"/>
          <w:szCs w:val="22"/>
          <w:lang w:val="en-US" w:eastAsia="en-US"/>
        </w:rPr>
        <w:lastRenderedPageBreak/>
        <w:t>KEYWORDS: partnership, reliability, competition, external env</w:t>
      </w:r>
      <w:r w:rsidRPr="00787EA7">
        <w:rPr>
          <w:rFonts w:eastAsia="Calibri"/>
          <w:sz w:val="22"/>
          <w:szCs w:val="22"/>
          <w:lang w:val="en-US" w:eastAsia="en-US"/>
        </w:rPr>
        <w:t>i</w:t>
      </w:r>
      <w:r w:rsidRPr="00787EA7">
        <w:rPr>
          <w:rFonts w:eastAsia="Calibri"/>
          <w:sz w:val="22"/>
          <w:szCs w:val="22"/>
          <w:lang w:val="en-US" w:eastAsia="en-US"/>
        </w:rPr>
        <w:t>ronment, SWOT-analysis.</w:t>
      </w:r>
    </w:p>
    <w:p w:rsidR="00724342" w:rsidRPr="00787EA7" w:rsidRDefault="00724342" w:rsidP="00724342">
      <w:pPr>
        <w:ind w:firstLine="425"/>
        <w:jc w:val="both"/>
        <w:rPr>
          <w:rFonts w:eastAsia="Calibri"/>
          <w:sz w:val="18"/>
          <w:szCs w:val="18"/>
          <w:lang w:val="en-US" w:eastAsia="en-US"/>
        </w:rPr>
      </w:pP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 xml:space="preserve">Каждая организация функционирует в рамках внутренней и внешней среды. Внешняя среда служит источником притока новых ресурсов, а так как ресурсы не безграничны и на них претендуют многие компании, существует возможность, что предприятие не получит достаточного количества необходимых ресурсов и это его ослабит. Чтобы этого избежать, необходимо оценивать надежность деловых партнеров предприятия с помощью применения </w:t>
      </w:r>
      <w:r w:rsidRPr="00787EA7">
        <w:rPr>
          <w:rFonts w:eastAsia="Calibri"/>
          <w:sz w:val="22"/>
          <w:szCs w:val="22"/>
          <w:lang w:val="en-US" w:eastAsia="en-US"/>
        </w:rPr>
        <w:t>SWOT</w:t>
      </w:r>
      <w:r w:rsidRPr="00787EA7">
        <w:rPr>
          <w:rFonts w:eastAsia="Calibri"/>
          <w:sz w:val="22"/>
          <w:szCs w:val="22"/>
          <w:lang w:eastAsia="en-US"/>
        </w:rPr>
        <w:t>-анализа. На сегодняшний день отсутствует обоснованный подход к выбору предприятием партнеров для формирования партнерских отношений. В частности, для установления долговременных и р</w:t>
      </w:r>
      <w:r w:rsidRPr="00787EA7">
        <w:rPr>
          <w:rFonts w:eastAsia="Calibri"/>
          <w:sz w:val="22"/>
          <w:szCs w:val="22"/>
          <w:lang w:eastAsia="en-US"/>
        </w:rPr>
        <w:t>е</w:t>
      </w:r>
      <w:r w:rsidRPr="00787EA7">
        <w:rPr>
          <w:rFonts w:eastAsia="Calibri"/>
          <w:sz w:val="22"/>
          <w:szCs w:val="22"/>
          <w:lang w:eastAsia="en-US"/>
        </w:rPr>
        <w:t>зультативных партнерских отношений Р. Уоллес рекомендует пр</w:t>
      </w:r>
      <w:r w:rsidRPr="00787EA7">
        <w:rPr>
          <w:rFonts w:eastAsia="Calibri"/>
          <w:sz w:val="22"/>
          <w:szCs w:val="22"/>
          <w:lang w:eastAsia="en-US"/>
        </w:rPr>
        <w:t>о</w:t>
      </w:r>
      <w:r w:rsidRPr="00787EA7">
        <w:rPr>
          <w:rFonts w:eastAsia="Calibri"/>
          <w:sz w:val="22"/>
          <w:szCs w:val="22"/>
          <w:lang w:eastAsia="en-US"/>
        </w:rPr>
        <w:t>водить тщательную самооценку и оценку предприятия-партнера. Эти исследования направлены на разработку мероприятий по нал</w:t>
      </w:r>
      <w:r w:rsidRPr="00787EA7">
        <w:rPr>
          <w:rFonts w:eastAsia="Calibri"/>
          <w:sz w:val="22"/>
          <w:szCs w:val="22"/>
          <w:lang w:eastAsia="en-US"/>
        </w:rPr>
        <w:t>а</w:t>
      </w:r>
      <w:r w:rsidRPr="00787EA7">
        <w:rPr>
          <w:rFonts w:eastAsia="Calibri"/>
          <w:sz w:val="22"/>
          <w:szCs w:val="22"/>
          <w:lang w:eastAsia="en-US"/>
        </w:rPr>
        <w:t>живанию доверительных отношений как на этапе формирования, так и в фазе функционирования партнерства[4].</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Надежность партнера трактуется как его способность выпо</w:t>
      </w:r>
      <w:r w:rsidRPr="00787EA7">
        <w:rPr>
          <w:rFonts w:eastAsia="Calibri"/>
          <w:sz w:val="22"/>
          <w:szCs w:val="22"/>
          <w:lang w:eastAsia="en-US"/>
        </w:rPr>
        <w:t>л</w:t>
      </w:r>
      <w:r w:rsidRPr="00787EA7">
        <w:rPr>
          <w:rFonts w:eastAsia="Calibri"/>
          <w:sz w:val="22"/>
          <w:szCs w:val="22"/>
          <w:lang w:eastAsia="en-US"/>
        </w:rPr>
        <w:t>нять обязательства в полном объеме в соответствии с условиями договора и в установленные сроки, что обеспечит оперативное вз</w:t>
      </w:r>
      <w:r w:rsidRPr="00787EA7">
        <w:rPr>
          <w:rFonts w:eastAsia="Calibri"/>
          <w:sz w:val="22"/>
          <w:szCs w:val="22"/>
          <w:lang w:eastAsia="en-US"/>
        </w:rPr>
        <w:t>а</w:t>
      </w:r>
      <w:r w:rsidRPr="00787EA7">
        <w:rPr>
          <w:rFonts w:eastAsia="Calibri"/>
          <w:sz w:val="22"/>
          <w:szCs w:val="22"/>
          <w:lang w:eastAsia="en-US"/>
        </w:rPr>
        <w:t>имодействие с другими участниками конкурентной среды на пути формирования результативной системы делового партнерства. Надежность делового партнера целесообразно рассматривать с п</w:t>
      </w:r>
      <w:r w:rsidRPr="00787EA7">
        <w:rPr>
          <w:rFonts w:eastAsia="Calibri"/>
          <w:sz w:val="22"/>
          <w:szCs w:val="22"/>
          <w:lang w:eastAsia="en-US"/>
        </w:rPr>
        <w:t>о</w:t>
      </w:r>
      <w:r w:rsidRPr="00787EA7">
        <w:rPr>
          <w:rFonts w:eastAsia="Calibri"/>
          <w:sz w:val="22"/>
          <w:szCs w:val="22"/>
          <w:lang w:eastAsia="en-US"/>
        </w:rPr>
        <w:t>мощью двух групп показателей: показатели оценки надежности партнера и оценки надежности делового партнерства [1].</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 первую группу входят показатели, которые являются крит</w:t>
      </w:r>
      <w:r w:rsidRPr="00787EA7">
        <w:rPr>
          <w:rFonts w:eastAsia="Calibri"/>
          <w:sz w:val="22"/>
          <w:szCs w:val="22"/>
          <w:lang w:eastAsia="en-US"/>
        </w:rPr>
        <w:t>е</w:t>
      </w:r>
      <w:r w:rsidRPr="00787EA7">
        <w:rPr>
          <w:rFonts w:eastAsia="Calibri"/>
          <w:sz w:val="22"/>
          <w:szCs w:val="22"/>
          <w:lang w:eastAsia="en-US"/>
        </w:rPr>
        <w:t>риями финансово-хозяйственного потенциала партнера, а именно: показатели финансовой устойчивости и деловой активности. Так, например, на основе показателей финансовой устойчивости можно получить данные об уровне платежеспособности делового партнера, а оценка деловой активности дает возможность исследовать эффе</w:t>
      </w:r>
      <w:r w:rsidRPr="00787EA7">
        <w:rPr>
          <w:rFonts w:eastAsia="Calibri"/>
          <w:sz w:val="22"/>
          <w:szCs w:val="22"/>
          <w:lang w:eastAsia="en-US"/>
        </w:rPr>
        <w:t>к</w:t>
      </w:r>
      <w:r w:rsidRPr="00787EA7">
        <w:rPr>
          <w:rFonts w:eastAsia="Calibri"/>
          <w:sz w:val="22"/>
          <w:szCs w:val="22"/>
          <w:lang w:eastAsia="en-US"/>
        </w:rPr>
        <w:t>тивность использования ресурсов предприятия, устойчивость эк</w:t>
      </w:r>
      <w:r w:rsidRPr="00787EA7">
        <w:rPr>
          <w:rFonts w:eastAsia="Calibri"/>
          <w:sz w:val="22"/>
          <w:szCs w:val="22"/>
          <w:lang w:eastAsia="en-US"/>
        </w:rPr>
        <w:t>о</w:t>
      </w:r>
      <w:r w:rsidRPr="00787EA7">
        <w:rPr>
          <w:rFonts w:eastAsia="Calibri"/>
          <w:sz w:val="22"/>
          <w:szCs w:val="22"/>
          <w:lang w:eastAsia="en-US"/>
        </w:rPr>
        <w:t>номического роста, достижения заданных критериев.</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Вторая группа показателей отражает надежность партнерских отношений. Именно эта группа показателей раскрывает сущность и действенность системы делового партнерства с помощью следу</w:t>
      </w:r>
      <w:r w:rsidRPr="00787EA7">
        <w:rPr>
          <w:rFonts w:eastAsia="Calibri"/>
          <w:sz w:val="22"/>
          <w:szCs w:val="22"/>
          <w:lang w:eastAsia="en-US"/>
        </w:rPr>
        <w:t>ю</w:t>
      </w:r>
      <w:r w:rsidRPr="00787EA7">
        <w:rPr>
          <w:rFonts w:eastAsia="Calibri"/>
          <w:sz w:val="22"/>
          <w:szCs w:val="22"/>
          <w:lang w:eastAsia="en-US"/>
        </w:rPr>
        <w:lastRenderedPageBreak/>
        <w:t>щих критериев: продолжительность делового сотрудничества, по</w:t>
      </w:r>
      <w:r w:rsidRPr="00787EA7">
        <w:rPr>
          <w:rFonts w:eastAsia="Calibri"/>
          <w:sz w:val="22"/>
          <w:szCs w:val="22"/>
          <w:lang w:eastAsia="en-US"/>
        </w:rPr>
        <w:t>л</w:t>
      </w:r>
      <w:r w:rsidRPr="00787EA7">
        <w:rPr>
          <w:rFonts w:eastAsia="Calibri"/>
          <w:sz w:val="22"/>
          <w:szCs w:val="22"/>
          <w:lang w:eastAsia="en-US"/>
        </w:rPr>
        <w:t xml:space="preserve">нота и своевременность выполнения обязательств [6].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Многие субъекты хозяйствования не уделяют должного вним</w:t>
      </w:r>
      <w:r w:rsidRPr="00787EA7">
        <w:rPr>
          <w:rFonts w:eastAsia="Calibri"/>
          <w:sz w:val="22"/>
          <w:szCs w:val="22"/>
          <w:lang w:eastAsia="en-US"/>
        </w:rPr>
        <w:t>а</w:t>
      </w:r>
      <w:r w:rsidRPr="00787EA7">
        <w:rPr>
          <w:rFonts w:eastAsia="Calibri"/>
          <w:sz w:val="22"/>
          <w:szCs w:val="22"/>
          <w:lang w:eastAsia="en-US"/>
        </w:rPr>
        <w:t>ния новым участникам рынка, а потому несут потери в условиях конкурентной борьбы. Анализ конкурентов торгового предприятия сводится главным образом к выявлению их сильных и слабых ст</w:t>
      </w:r>
      <w:r w:rsidRPr="00787EA7">
        <w:rPr>
          <w:rFonts w:eastAsia="Calibri"/>
          <w:sz w:val="22"/>
          <w:szCs w:val="22"/>
          <w:lang w:eastAsia="en-US"/>
        </w:rPr>
        <w:t>о</w:t>
      </w:r>
      <w:r w:rsidRPr="00787EA7">
        <w:rPr>
          <w:rFonts w:eastAsia="Calibri"/>
          <w:sz w:val="22"/>
          <w:szCs w:val="22"/>
          <w:lang w:eastAsia="en-US"/>
        </w:rPr>
        <w:t>рон, а затем, на этой основе, прогнозирование собственной страт</w:t>
      </w:r>
      <w:r w:rsidRPr="00787EA7">
        <w:rPr>
          <w:rFonts w:eastAsia="Calibri"/>
          <w:sz w:val="22"/>
          <w:szCs w:val="22"/>
          <w:lang w:eastAsia="en-US"/>
        </w:rPr>
        <w:t>е</w:t>
      </w:r>
      <w:r w:rsidRPr="00787EA7">
        <w:rPr>
          <w:rFonts w:eastAsia="Calibri"/>
          <w:sz w:val="22"/>
          <w:szCs w:val="22"/>
          <w:lang w:eastAsia="en-US"/>
        </w:rPr>
        <w:t>гии конкурентной борьбы [5].</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Чтобы рассмотреть методику оценки конкурентных преим</w:t>
      </w:r>
      <w:r w:rsidRPr="00787EA7">
        <w:rPr>
          <w:rFonts w:eastAsia="Calibri"/>
          <w:sz w:val="22"/>
          <w:szCs w:val="22"/>
          <w:lang w:eastAsia="en-US"/>
        </w:rPr>
        <w:t>у</w:t>
      </w:r>
      <w:r w:rsidRPr="00787EA7">
        <w:rPr>
          <w:rFonts w:eastAsia="Calibri"/>
          <w:sz w:val="22"/>
          <w:szCs w:val="22"/>
          <w:lang w:eastAsia="en-US"/>
        </w:rPr>
        <w:t>ществ торгового предприятия, прежде всего, необходимо выделить небольшое количество конкурентов, которые наиболее существенно влияют на рыночную среду. Далее проводится финансовый анализ, который позволяет получить дополнительную информацию о ры</w:t>
      </w:r>
      <w:r w:rsidRPr="00787EA7">
        <w:rPr>
          <w:rFonts w:eastAsia="Calibri"/>
          <w:sz w:val="22"/>
          <w:szCs w:val="22"/>
          <w:lang w:eastAsia="en-US"/>
        </w:rPr>
        <w:t>н</w:t>
      </w:r>
      <w:r w:rsidRPr="00787EA7">
        <w:rPr>
          <w:rFonts w:eastAsia="Calibri"/>
          <w:sz w:val="22"/>
          <w:szCs w:val="22"/>
          <w:lang w:eastAsia="en-US"/>
        </w:rPr>
        <w:t>ке, динамике рыночной ситуации и позиционировании конкурентов.</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На следующих этапах сравнивают факторы внутренней среды, которые влияют на успех рыночной деятельности предприятия. К типовому перечню факторов относят: имидж предприятия, возмо</w:t>
      </w:r>
      <w:r w:rsidRPr="00787EA7">
        <w:rPr>
          <w:rFonts w:eastAsia="Calibri"/>
          <w:sz w:val="22"/>
          <w:szCs w:val="22"/>
          <w:lang w:eastAsia="en-US"/>
        </w:rPr>
        <w:t>ж</w:t>
      </w:r>
      <w:r w:rsidRPr="00787EA7">
        <w:rPr>
          <w:rFonts w:eastAsia="Calibri"/>
          <w:sz w:val="22"/>
          <w:szCs w:val="22"/>
          <w:lang w:eastAsia="en-US"/>
        </w:rPr>
        <w:t>ности менеджмента, финансовое положение, недвижимость, мест</w:t>
      </w:r>
      <w:r w:rsidRPr="00787EA7">
        <w:rPr>
          <w:rFonts w:eastAsia="Calibri"/>
          <w:sz w:val="22"/>
          <w:szCs w:val="22"/>
          <w:lang w:eastAsia="en-US"/>
        </w:rPr>
        <w:t>о</w:t>
      </w:r>
      <w:r w:rsidRPr="00787EA7">
        <w:rPr>
          <w:rFonts w:eastAsia="Calibri"/>
          <w:sz w:val="22"/>
          <w:szCs w:val="22"/>
          <w:lang w:eastAsia="en-US"/>
        </w:rPr>
        <w:t xml:space="preserve">нахождение, ценообразование, сервис [2]. </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Поскольку рыночная информация довольно часто меняется, то для ее формирования большое значение имеют экспертные оценки, сделанные на основании имеющихся данных управленческого уч</w:t>
      </w:r>
      <w:r w:rsidRPr="00787EA7">
        <w:rPr>
          <w:rFonts w:eastAsia="Calibri"/>
          <w:sz w:val="22"/>
          <w:szCs w:val="22"/>
          <w:lang w:eastAsia="en-US"/>
        </w:rPr>
        <w:t>е</w:t>
      </w:r>
      <w:r w:rsidRPr="00787EA7">
        <w:rPr>
          <w:rFonts w:eastAsia="Calibri"/>
          <w:sz w:val="22"/>
          <w:szCs w:val="22"/>
          <w:lang w:eastAsia="en-US"/>
        </w:rPr>
        <w:t>та, следствие этого – разработка методов анализа, ориентированных на активное использование полученной информации. Одним из т</w:t>
      </w:r>
      <w:r w:rsidRPr="00787EA7">
        <w:rPr>
          <w:rFonts w:eastAsia="Calibri"/>
          <w:sz w:val="22"/>
          <w:szCs w:val="22"/>
          <w:lang w:eastAsia="en-US"/>
        </w:rPr>
        <w:t>а</w:t>
      </w:r>
      <w:r w:rsidRPr="00787EA7">
        <w:rPr>
          <w:rFonts w:eastAsia="Calibri"/>
          <w:sz w:val="22"/>
          <w:szCs w:val="22"/>
          <w:lang w:eastAsia="en-US"/>
        </w:rPr>
        <w:t>ких методов является SWOT-анализ. Он не только является дост</w:t>
      </w:r>
      <w:r w:rsidRPr="00787EA7">
        <w:rPr>
          <w:rFonts w:eastAsia="Calibri"/>
          <w:sz w:val="22"/>
          <w:szCs w:val="22"/>
          <w:lang w:eastAsia="en-US"/>
        </w:rPr>
        <w:t>а</w:t>
      </w:r>
      <w:r w:rsidRPr="00787EA7">
        <w:rPr>
          <w:rFonts w:eastAsia="Calibri"/>
          <w:sz w:val="22"/>
          <w:szCs w:val="22"/>
          <w:lang w:eastAsia="en-US"/>
        </w:rPr>
        <w:t>точно удобной формой структуризации факторов внешней и вну</w:t>
      </w:r>
      <w:r w:rsidRPr="00787EA7">
        <w:rPr>
          <w:rFonts w:eastAsia="Calibri"/>
          <w:sz w:val="22"/>
          <w:szCs w:val="22"/>
          <w:lang w:eastAsia="en-US"/>
        </w:rPr>
        <w:t>т</w:t>
      </w:r>
      <w:r w:rsidRPr="00787EA7">
        <w:rPr>
          <w:rFonts w:eastAsia="Calibri"/>
          <w:sz w:val="22"/>
          <w:szCs w:val="22"/>
          <w:lang w:eastAsia="en-US"/>
        </w:rPr>
        <w:t xml:space="preserve">ренней среды компании, но может рассматриваться как инструмент формирования стратегических альтернатив, которые направлены на достижение поставленных целей. </w:t>
      </w:r>
    </w:p>
    <w:p w:rsidR="00724342" w:rsidRDefault="00724342" w:rsidP="00CE4C84">
      <w:pPr>
        <w:ind w:firstLine="425"/>
        <w:jc w:val="both"/>
        <w:rPr>
          <w:rFonts w:eastAsia="Calibri"/>
          <w:sz w:val="22"/>
          <w:szCs w:val="22"/>
          <w:lang w:eastAsia="en-US"/>
        </w:rPr>
      </w:pPr>
      <w:r w:rsidRPr="00787EA7">
        <w:rPr>
          <w:rFonts w:eastAsia="Calibri"/>
          <w:sz w:val="22"/>
          <w:szCs w:val="22"/>
          <w:lang w:eastAsia="en-US"/>
        </w:rPr>
        <w:t>Влияние внешней среды на деятельность торговых предпри</w:t>
      </w:r>
      <w:r w:rsidRPr="00787EA7">
        <w:rPr>
          <w:rFonts w:eastAsia="Calibri"/>
          <w:sz w:val="22"/>
          <w:szCs w:val="22"/>
          <w:lang w:eastAsia="en-US"/>
        </w:rPr>
        <w:t>я</w:t>
      </w:r>
      <w:r w:rsidRPr="00787EA7">
        <w:rPr>
          <w:rFonts w:eastAsia="Calibri"/>
          <w:sz w:val="22"/>
          <w:szCs w:val="22"/>
          <w:lang w:eastAsia="en-US"/>
        </w:rPr>
        <w:t>тий очень велико, что объясняется постоянными изменениями р</w:t>
      </w:r>
      <w:r w:rsidRPr="00787EA7">
        <w:rPr>
          <w:rFonts w:eastAsia="Calibri"/>
          <w:sz w:val="22"/>
          <w:szCs w:val="22"/>
          <w:lang w:eastAsia="en-US"/>
        </w:rPr>
        <w:t>ы</w:t>
      </w:r>
      <w:r w:rsidRPr="00787EA7">
        <w:rPr>
          <w:rFonts w:eastAsia="Calibri"/>
          <w:sz w:val="22"/>
          <w:szCs w:val="22"/>
          <w:lang w:eastAsia="en-US"/>
        </w:rPr>
        <w:t>ночных условий, ростом конкурентной среды, увеличением това</w:t>
      </w:r>
      <w:r w:rsidRPr="00787EA7">
        <w:rPr>
          <w:rFonts w:eastAsia="Calibri"/>
          <w:sz w:val="22"/>
          <w:szCs w:val="22"/>
          <w:lang w:eastAsia="en-US"/>
        </w:rPr>
        <w:t>р</w:t>
      </w:r>
      <w:r w:rsidRPr="00787EA7">
        <w:rPr>
          <w:rFonts w:eastAsia="Calibri"/>
          <w:sz w:val="22"/>
          <w:szCs w:val="22"/>
          <w:lang w:eastAsia="en-US"/>
        </w:rPr>
        <w:t>ной массы. В этих условиях анализ надежности существующих д</w:t>
      </w:r>
      <w:r w:rsidRPr="00787EA7">
        <w:rPr>
          <w:rFonts w:eastAsia="Calibri"/>
          <w:sz w:val="22"/>
          <w:szCs w:val="22"/>
          <w:lang w:eastAsia="en-US"/>
        </w:rPr>
        <w:t>е</w:t>
      </w:r>
      <w:r w:rsidRPr="00787EA7">
        <w:rPr>
          <w:rFonts w:eastAsia="Calibri"/>
          <w:sz w:val="22"/>
          <w:szCs w:val="22"/>
          <w:lang w:eastAsia="en-US"/>
        </w:rPr>
        <w:t>ловых партнеров является неотъемлемым элементом его оценки. Надежность делового партнера – это залог стабильности и своевр</w:t>
      </w:r>
      <w:r w:rsidRPr="00787EA7">
        <w:rPr>
          <w:rFonts w:eastAsia="Calibri"/>
          <w:sz w:val="22"/>
          <w:szCs w:val="22"/>
          <w:lang w:eastAsia="en-US"/>
        </w:rPr>
        <w:t>е</w:t>
      </w:r>
      <w:r w:rsidRPr="00787EA7">
        <w:rPr>
          <w:rFonts w:eastAsia="Calibri"/>
          <w:sz w:val="22"/>
          <w:szCs w:val="22"/>
          <w:lang w:eastAsia="en-US"/>
        </w:rPr>
        <w:t>менности выполнения всех обязательств.</w:t>
      </w:r>
    </w:p>
    <w:p w:rsidR="00CE4C84" w:rsidRDefault="00CE4C84" w:rsidP="00CE4C84">
      <w:pPr>
        <w:ind w:firstLine="425"/>
        <w:jc w:val="both"/>
        <w:rPr>
          <w:rFonts w:eastAsia="Calibri"/>
          <w:sz w:val="22"/>
          <w:szCs w:val="22"/>
          <w:lang w:eastAsia="en-US"/>
        </w:rPr>
      </w:pPr>
    </w:p>
    <w:p w:rsidR="00CE4C84" w:rsidRPr="00787EA7" w:rsidRDefault="00CE4C84" w:rsidP="00CE4C84">
      <w:pPr>
        <w:ind w:firstLine="425"/>
        <w:jc w:val="both"/>
        <w:rPr>
          <w:rFonts w:eastAsia="Calibri"/>
          <w:sz w:val="22"/>
          <w:szCs w:val="22"/>
          <w:lang w:eastAsia="en-US"/>
        </w:rPr>
      </w:pPr>
    </w:p>
    <w:p w:rsidR="00724342" w:rsidRPr="00787EA7" w:rsidRDefault="00724342" w:rsidP="00724342">
      <w:pPr>
        <w:ind w:firstLine="425"/>
        <w:jc w:val="center"/>
        <w:outlineLvl w:val="0"/>
        <w:rPr>
          <w:rFonts w:eastAsia="Calibri"/>
          <w:sz w:val="22"/>
          <w:szCs w:val="22"/>
          <w:lang w:eastAsia="en-US"/>
        </w:rPr>
      </w:pPr>
      <w:r w:rsidRPr="00787EA7">
        <w:rPr>
          <w:rFonts w:eastAsia="Calibri"/>
          <w:sz w:val="22"/>
          <w:szCs w:val="22"/>
          <w:lang w:eastAsia="en-US"/>
        </w:rPr>
        <w:lastRenderedPageBreak/>
        <w:t>Список литературы</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1.</w:t>
      </w:r>
      <w:r w:rsidR="00850015">
        <w:rPr>
          <w:rFonts w:eastAsia="Calibri"/>
          <w:sz w:val="22"/>
          <w:szCs w:val="22"/>
          <w:lang w:eastAsia="en-US"/>
        </w:rPr>
        <w:t xml:space="preserve"> </w:t>
      </w:r>
      <w:r w:rsidRPr="00787EA7">
        <w:rPr>
          <w:rFonts w:eastAsia="Calibri"/>
          <w:sz w:val="22"/>
          <w:szCs w:val="22"/>
          <w:lang w:eastAsia="en-US"/>
        </w:rPr>
        <w:t>Веснин В.Р. Основы менеджмента: Учебник / В.Р. Веснин. – М.: Проспект, 2016. – С. 62-63.</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2.</w:t>
      </w:r>
      <w:r w:rsidR="00850015">
        <w:rPr>
          <w:rFonts w:eastAsia="Calibri"/>
          <w:sz w:val="22"/>
          <w:szCs w:val="22"/>
          <w:lang w:eastAsia="en-US"/>
        </w:rPr>
        <w:t xml:space="preserve"> </w:t>
      </w:r>
      <w:r w:rsidRPr="00787EA7">
        <w:rPr>
          <w:rFonts w:eastAsia="Calibri"/>
          <w:sz w:val="22"/>
          <w:szCs w:val="22"/>
          <w:lang w:eastAsia="en-US"/>
        </w:rPr>
        <w:t>Менеджмент организации: учебное пособие / Под ред. З.М. Румянцевой. – М.: ИНФРА-М, 2015. – С. 145-147.</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3.</w:t>
      </w:r>
      <w:r w:rsidR="00850015">
        <w:rPr>
          <w:rFonts w:eastAsia="Calibri"/>
          <w:sz w:val="22"/>
          <w:szCs w:val="22"/>
          <w:lang w:eastAsia="en-US"/>
        </w:rPr>
        <w:t xml:space="preserve"> </w:t>
      </w:r>
      <w:r w:rsidRPr="00787EA7">
        <w:rPr>
          <w:rFonts w:eastAsia="Calibri"/>
          <w:sz w:val="22"/>
          <w:szCs w:val="22"/>
          <w:lang w:eastAsia="en-US"/>
        </w:rPr>
        <w:t>Парамонов П. Ф. Менеджмент: учеб. пособие/</w:t>
      </w:r>
      <w:hyperlink r:id="rId226" w:history="1">
        <w:r w:rsidRPr="00787EA7">
          <w:rPr>
            <w:rFonts w:eastAsia="Calibri"/>
            <w:sz w:val="22"/>
            <w:szCs w:val="22"/>
            <w:lang w:eastAsia="en-US"/>
          </w:rPr>
          <w:t>П. Ф. Парам</w:t>
        </w:r>
        <w:r w:rsidRPr="00787EA7">
          <w:rPr>
            <w:rFonts w:eastAsia="Calibri"/>
            <w:sz w:val="22"/>
            <w:szCs w:val="22"/>
            <w:lang w:eastAsia="en-US"/>
          </w:rPr>
          <w:t>о</w:t>
        </w:r>
        <w:r w:rsidRPr="00787EA7">
          <w:rPr>
            <w:rFonts w:eastAsia="Calibri"/>
            <w:sz w:val="22"/>
            <w:szCs w:val="22"/>
            <w:lang w:eastAsia="en-US"/>
          </w:rPr>
          <w:t>нов</w:t>
        </w:r>
      </w:hyperlink>
      <w:r w:rsidRPr="00787EA7">
        <w:rPr>
          <w:rFonts w:eastAsia="Calibri"/>
          <w:sz w:val="22"/>
          <w:szCs w:val="22"/>
          <w:lang w:eastAsia="en-US"/>
        </w:rPr>
        <w:t>, </w:t>
      </w:r>
      <w:hyperlink r:id="rId227" w:history="1">
        <w:r w:rsidRPr="00787EA7">
          <w:rPr>
            <w:rFonts w:eastAsia="Calibri"/>
            <w:sz w:val="22"/>
            <w:szCs w:val="22"/>
            <w:lang w:eastAsia="en-US"/>
          </w:rPr>
          <w:t>И. Е. Халявка</w:t>
        </w:r>
      </w:hyperlink>
      <w:r w:rsidRPr="00787EA7">
        <w:rPr>
          <w:rFonts w:eastAsia="Calibri"/>
          <w:sz w:val="22"/>
          <w:szCs w:val="22"/>
          <w:lang w:eastAsia="en-US"/>
        </w:rPr>
        <w:t>, </w:t>
      </w:r>
      <w:hyperlink r:id="rId228" w:history="1">
        <w:r w:rsidRPr="00787EA7">
          <w:rPr>
            <w:rFonts w:eastAsia="Calibri"/>
            <w:sz w:val="22"/>
            <w:szCs w:val="22"/>
            <w:lang w:eastAsia="en-US"/>
          </w:rPr>
          <w:t>Ю. Е. Стукова</w:t>
        </w:r>
      </w:hyperlink>
      <w:r w:rsidRPr="00787EA7">
        <w:rPr>
          <w:rFonts w:eastAsia="Calibri"/>
          <w:sz w:val="22"/>
          <w:szCs w:val="22"/>
          <w:lang w:eastAsia="en-US"/>
        </w:rPr>
        <w:t>. – Краснодар: КубГАУ, 2015.–173 с.</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4.</w:t>
      </w:r>
      <w:r w:rsidR="00850015">
        <w:rPr>
          <w:rFonts w:eastAsia="Calibri"/>
          <w:sz w:val="22"/>
          <w:szCs w:val="22"/>
          <w:lang w:eastAsia="en-US"/>
        </w:rPr>
        <w:t xml:space="preserve"> </w:t>
      </w:r>
      <w:r w:rsidRPr="00787EA7">
        <w:rPr>
          <w:rFonts w:eastAsia="Calibri"/>
          <w:sz w:val="22"/>
          <w:szCs w:val="22"/>
          <w:lang w:eastAsia="en-US"/>
        </w:rPr>
        <w:t>Проблемы эффективного использования научного потенци</w:t>
      </w:r>
      <w:r w:rsidRPr="00787EA7">
        <w:rPr>
          <w:rFonts w:eastAsia="Calibri"/>
          <w:sz w:val="22"/>
          <w:szCs w:val="22"/>
          <w:lang w:eastAsia="en-US"/>
        </w:rPr>
        <w:t>а</w:t>
      </w:r>
      <w:r w:rsidRPr="00787EA7">
        <w:rPr>
          <w:rFonts w:eastAsia="Calibri"/>
          <w:sz w:val="22"/>
          <w:szCs w:val="22"/>
          <w:lang w:eastAsia="en-US"/>
        </w:rPr>
        <w:t>ла общества: сборник статей Международной научно-практической конференции (18 июня 2017 г., г. Уфа). В 2 ч. Ч.1 / Уфа: МЦИИ ОМЕГА САЙНС, 2017. 285 с.</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5.</w:t>
      </w:r>
      <w:r w:rsidR="00850015">
        <w:rPr>
          <w:rFonts w:eastAsia="Calibri"/>
          <w:sz w:val="22"/>
          <w:szCs w:val="22"/>
          <w:lang w:eastAsia="en-US"/>
        </w:rPr>
        <w:t xml:space="preserve"> </w:t>
      </w:r>
      <w:r w:rsidRPr="00787EA7">
        <w:rPr>
          <w:rFonts w:eastAsia="Calibri"/>
          <w:sz w:val="22"/>
          <w:szCs w:val="22"/>
          <w:lang w:eastAsia="en-US"/>
        </w:rPr>
        <w:t>Стукова Ю.Е., Рябухина А.В. Пути повышения финансовой устойчивости предприятий розничной торговли / Стукова Ю.Е., Р</w:t>
      </w:r>
      <w:r w:rsidRPr="00787EA7">
        <w:rPr>
          <w:rFonts w:eastAsia="Calibri"/>
          <w:sz w:val="22"/>
          <w:szCs w:val="22"/>
          <w:lang w:eastAsia="en-US"/>
        </w:rPr>
        <w:t>я</w:t>
      </w:r>
      <w:r w:rsidRPr="00787EA7">
        <w:rPr>
          <w:rFonts w:eastAsia="Calibri"/>
          <w:sz w:val="22"/>
          <w:szCs w:val="22"/>
          <w:lang w:eastAsia="en-US"/>
        </w:rPr>
        <w:t>бухина А.В.//Экономика. Право. Печать. Вестник КСЭИ. 2013. №3. С. 359-365.</w:t>
      </w:r>
    </w:p>
    <w:p w:rsidR="00724342" w:rsidRPr="00787EA7" w:rsidRDefault="00724342" w:rsidP="00724342">
      <w:pPr>
        <w:ind w:firstLine="425"/>
        <w:jc w:val="both"/>
        <w:rPr>
          <w:rFonts w:eastAsia="Calibri"/>
          <w:sz w:val="22"/>
          <w:szCs w:val="22"/>
          <w:lang w:eastAsia="en-US"/>
        </w:rPr>
      </w:pPr>
      <w:r w:rsidRPr="00787EA7">
        <w:rPr>
          <w:rFonts w:eastAsia="Calibri"/>
          <w:sz w:val="22"/>
          <w:szCs w:val="22"/>
          <w:lang w:eastAsia="en-US"/>
        </w:rPr>
        <w:t>6.</w:t>
      </w:r>
      <w:r w:rsidR="00850015">
        <w:rPr>
          <w:rFonts w:eastAsia="Calibri"/>
          <w:sz w:val="22"/>
          <w:szCs w:val="22"/>
          <w:lang w:eastAsia="en-US"/>
        </w:rPr>
        <w:t xml:space="preserve"> </w:t>
      </w:r>
      <w:r w:rsidRPr="00787EA7">
        <w:rPr>
          <w:rFonts w:eastAsia="Calibri"/>
          <w:sz w:val="22"/>
          <w:szCs w:val="22"/>
          <w:lang w:eastAsia="en-US"/>
        </w:rPr>
        <w:t>ТебекинА.В. Менеджмент организации: Учебник / А.В. Т</w:t>
      </w:r>
      <w:r w:rsidRPr="00787EA7">
        <w:rPr>
          <w:rFonts w:eastAsia="Calibri"/>
          <w:sz w:val="22"/>
          <w:szCs w:val="22"/>
          <w:lang w:eastAsia="en-US"/>
        </w:rPr>
        <w:t>е</w:t>
      </w:r>
      <w:r w:rsidRPr="00787EA7">
        <w:rPr>
          <w:rFonts w:eastAsia="Calibri"/>
          <w:sz w:val="22"/>
          <w:szCs w:val="22"/>
          <w:lang w:eastAsia="en-US"/>
        </w:rPr>
        <w:t>бекин, Б.С. Касаев. – М.: КноРус, 2014. – С. 58-61.</w:t>
      </w:r>
    </w:p>
    <w:p w:rsidR="00724342" w:rsidRPr="00787EA7" w:rsidRDefault="00724342" w:rsidP="00724342">
      <w:pPr>
        <w:ind w:firstLine="426"/>
        <w:contextualSpacing/>
        <w:jc w:val="both"/>
        <w:rPr>
          <w:rFonts w:eastAsia="Calibri"/>
          <w:sz w:val="22"/>
          <w:szCs w:val="22"/>
          <w:lang w:eastAsia="en-US"/>
        </w:rPr>
      </w:pPr>
    </w:p>
    <w:p w:rsidR="00724342" w:rsidRPr="00787EA7" w:rsidRDefault="00724342" w:rsidP="00724342">
      <w:pPr>
        <w:widowControl w:val="0"/>
        <w:suppressAutoHyphens/>
        <w:ind w:firstLine="425"/>
        <w:contextualSpacing/>
        <w:jc w:val="both"/>
        <w:rPr>
          <w:kern w:val="1"/>
          <w:sz w:val="22"/>
          <w:szCs w:val="22"/>
          <w:lang w:eastAsia="ar-SA"/>
        </w:rPr>
      </w:pPr>
    </w:p>
    <w:p w:rsidR="00724342" w:rsidRPr="00850015" w:rsidRDefault="00850015" w:rsidP="00850015">
      <w:pPr>
        <w:rPr>
          <w:kern w:val="1"/>
          <w:sz w:val="24"/>
          <w:szCs w:val="24"/>
          <w:lang w:eastAsia="ar-SA"/>
        </w:rPr>
      </w:pPr>
      <w:r>
        <w:rPr>
          <w:kern w:val="1"/>
          <w:sz w:val="24"/>
          <w:szCs w:val="24"/>
          <w:lang w:eastAsia="ar-SA"/>
        </w:rPr>
        <w:br w:type="page"/>
      </w:r>
    </w:p>
    <w:p w:rsidR="00724342" w:rsidRPr="00724342" w:rsidRDefault="00724342" w:rsidP="00724342">
      <w:pPr>
        <w:ind w:firstLine="426"/>
        <w:contextualSpacing/>
        <w:jc w:val="center"/>
        <w:rPr>
          <w:b/>
          <w:bCs/>
          <w:spacing w:val="2"/>
        </w:rPr>
      </w:pPr>
      <w:r w:rsidRPr="00724342">
        <w:rPr>
          <w:b/>
          <w:bCs/>
          <w:spacing w:val="2"/>
        </w:rPr>
        <w:lastRenderedPageBreak/>
        <w:t>Экономический факультет</w:t>
      </w:r>
    </w:p>
    <w:p w:rsidR="00724342" w:rsidRPr="00724342" w:rsidRDefault="00724342" w:rsidP="00724342">
      <w:pPr>
        <w:ind w:firstLine="426"/>
        <w:contextualSpacing/>
        <w:jc w:val="center"/>
        <w:rPr>
          <w:bCs/>
          <w:spacing w:val="2"/>
          <w:sz w:val="22"/>
          <w:szCs w:val="22"/>
        </w:rPr>
      </w:pPr>
    </w:p>
    <w:p w:rsidR="00724342" w:rsidRPr="00724342" w:rsidRDefault="00724342" w:rsidP="00724342">
      <w:pPr>
        <w:jc w:val="both"/>
        <w:rPr>
          <w:rFonts w:eastAsiaTheme="minorHAnsi"/>
          <w:sz w:val="22"/>
          <w:szCs w:val="22"/>
          <w:lang w:eastAsia="en-US"/>
        </w:rPr>
      </w:pPr>
      <w:r w:rsidRPr="00724342">
        <w:rPr>
          <w:rFonts w:eastAsiaTheme="minorHAnsi"/>
          <w:sz w:val="22"/>
          <w:szCs w:val="22"/>
          <w:lang w:eastAsia="en-US"/>
        </w:rPr>
        <w:t xml:space="preserve">УДК </w:t>
      </w:r>
      <w:hyperlink r:id="rId229" w:history="1">
        <w:r w:rsidRPr="00724342">
          <w:rPr>
            <w:rFonts w:eastAsiaTheme="minorHAnsi"/>
            <w:sz w:val="22"/>
            <w:szCs w:val="22"/>
            <w:lang w:eastAsia="en-US"/>
          </w:rPr>
          <w:t>338.433</w:t>
        </w:r>
      </w:hyperlink>
      <w:r w:rsidRPr="00724342">
        <w:rPr>
          <w:rFonts w:eastAsiaTheme="minorHAnsi"/>
          <w:sz w:val="22"/>
          <w:szCs w:val="22"/>
          <w:lang w:eastAsia="en-US"/>
        </w:rPr>
        <w:t xml:space="preserve">:633.1 </w:t>
      </w:r>
    </w:p>
    <w:p w:rsidR="00724342" w:rsidRPr="00724342" w:rsidRDefault="00724342" w:rsidP="00724342">
      <w:pPr>
        <w:jc w:val="both"/>
        <w:rPr>
          <w:rFonts w:eastAsia="Calibri"/>
          <w:sz w:val="22"/>
          <w:szCs w:val="22"/>
          <w:lang w:eastAsia="en-US"/>
        </w:rPr>
      </w:pPr>
    </w:p>
    <w:p w:rsidR="00724342" w:rsidRPr="00724342" w:rsidRDefault="00724342" w:rsidP="00724342">
      <w:pPr>
        <w:jc w:val="center"/>
        <w:rPr>
          <w:rFonts w:eastAsia="Calibri"/>
          <w:b/>
          <w:sz w:val="24"/>
          <w:szCs w:val="22"/>
          <w:lang w:eastAsia="en-US"/>
        </w:rPr>
      </w:pPr>
      <w:r w:rsidRPr="00724342">
        <w:rPr>
          <w:rFonts w:eastAsia="Calibri"/>
          <w:b/>
          <w:sz w:val="24"/>
          <w:szCs w:val="22"/>
          <w:lang w:eastAsia="en-US"/>
        </w:rPr>
        <w:t xml:space="preserve">Проблемы транспортно-логистической системы </w:t>
      </w:r>
    </w:p>
    <w:p w:rsidR="00724342" w:rsidRPr="00724342" w:rsidRDefault="00724342" w:rsidP="00724342">
      <w:pPr>
        <w:jc w:val="center"/>
        <w:rPr>
          <w:rFonts w:eastAsia="Calibri"/>
          <w:b/>
          <w:sz w:val="24"/>
          <w:szCs w:val="22"/>
          <w:lang w:eastAsia="en-US"/>
        </w:rPr>
      </w:pPr>
      <w:r w:rsidRPr="00724342">
        <w:rPr>
          <w:rFonts w:eastAsia="Calibri"/>
          <w:b/>
          <w:sz w:val="24"/>
          <w:szCs w:val="22"/>
          <w:lang w:eastAsia="en-US"/>
        </w:rPr>
        <w:t>экспорта зерна в России и пути их решения</w:t>
      </w:r>
    </w:p>
    <w:p w:rsidR="00724342" w:rsidRPr="00724342" w:rsidRDefault="00724342" w:rsidP="00724342">
      <w:pPr>
        <w:jc w:val="center"/>
        <w:rPr>
          <w:rFonts w:eastAsia="Calibri"/>
          <w:b/>
          <w:sz w:val="24"/>
          <w:szCs w:val="22"/>
          <w:lang w:val="en-US" w:eastAsia="en-US"/>
        </w:rPr>
      </w:pPr>
      <w:r w:rsidRPr="00724342">
        <w:rPr>
          <w:rFonts w:eastAsia="Calibri"/>
          <w:b/>
          <w:sz w:val="24"/>
          <w:szCs w:val="22"/>
          <w:lang w:val="en-US" w:eastAsia="en-US"/>
        </w:rPr>
        <w:t xml:space="preserve">Problems of the transport-logistical system of grain export </w:t>
      </w:r>
    </w:p>
    <w:p w:rsidR="00724342" w:rsidRPr="00724342" w:rsidRDefault="00724342" w:rsidP="00724342">
      <w:pPr>
        <w:jc w:val="center"/>
        <w:rPr>
          <w:rFonts w:eastAsia="Calibri"/>
          <w:b/>
          <w:sz w:val="24"/>
          <w:szCs w:val="22"/>
          <w:lang w:val="en-US" w:eastAsia="en-US"/>
        </w:rPr>
      </w:pPr>
      <w:r w:rsidRPr="00724342">
        <w:rPr>
          <w:rFonts w:eastAsia="Calibri"/>
          <w:b/>
          <w:sz w:val="24"/>
          <w:szCs w:val="22"/>
          <w:lang w:val="en-US" w:eastAsia="en-US"/>
        </w:rPr>
        <w:t>in Russia and ways of their solution</w:t>
      </w:r>
    </w:p>
    <w:p w:rsidR="00724342" w:rsidRPr="00724342" w:rsidRDefault="00724342" w:rsidP="00724342">
      <w:pPr>
        <w:jc w:val="right"/>
        <w:rPr>
          <w:rFonts w:eastAsia="Calibri"/>
          <w:b/>
          <w:sz w:val="10"/>
          <w:szCs w:val="10"/>
          <w:lang w:val="en-US"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Аврамец Е.</w:t>
      </w:r>
      <w:r w:rsidRPr="00724342">
        <w:rPr>
          <w:rFonts w:eastAsia="Calibri"/>
          <w:sz w:val="22"/>
          <w:szCs w:val="22"/>
          <w:lang w:val="en-US" w:eastAsia="en-US"/>
        </w:rPr>
        <w:t> </w:t>
      </w:r>
      <w:r w:rsidRPr="00724342">
        <w:rPr>
          <w:rFonts w:eastAsia="Calibri"/>
          <w:sz w:val="22"/>
          <w:szCs w:val="22"/>
          <w:lang w:eastAsia="en-US"/>
        </w:rPr>
        <w:t>С.,</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студентка 4-го курса экономического факультета</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Куб</w:t>
      </w:r>
      <w:r w:rsidR="00850015">
        <w:rPr>
          <w:rFonts w:eastAsia="Calibri"/>
          <w:sz w:val="22"/>
          <w:szCs w:val="22"/>
          <w:lang w:eastAsia="en-US"/>
        </w:rPr>
        <w:t>анский государственный аграрный</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университет имени И.</w:t>
      </w:r>
      <w:r w:rsidR="00850015">
        <w:rPr>
          <w:rFonts w:eastAsia="Calibri"/>
          <w:sz w:val="22"/>
          <w:szCs w:val="22"/>
          <w:lang w:eastAsia="en-US"/>
        </w:rPr>
        <w:t xml:space="preserve"> </w:t>
      </w:r>
      <w:r w:rsidRPr="00724342">
        <w:rPr>
          <w:rFonts w:eastAsia="Calibri"/>
          <w:sz w:val="22"/>
          <w:szCs w:val="22"/>
          <w:lang w:eastAsia="en-US"/>
        </w:rPr>
        <w:t>Т. Трубилина</w:t>
      </w:r>
    </w:p>
    <w:p w:rsidR="00724342" w:rsidRPr="00724342" w:rsidRDefault="00724342" w:rsidP="00724342">
      <w:pPr>
        <w:jc w:val="center"/>
        <w:rPr>
          <w:rFonts w:eastAsia="Calibri"/>
          <w:sz w:val="22"/>
          <w:szCs w:val="22"/>
          <w:lang w:eastAsia="en-US"/>
        </w:rPr>
      </w:pPr>
    </w:p>
    <w:p w:rsidR="00724342" w:rsidRPr="00724342" w:rsidRDefault="00724342" w:rsidP="00850015">
      <w:pPr>
        <w:ind w:firstLine="426"/>
        <w:jc w:val="both"/>
        <w:rPr>
          <w:rFonts w:eastAsia="Calibri"/>
          <w:spacing w:val="-4"/>
          <w:sz w:val="22"/>
          <w:szCs w:val="22"/>
          <w:lang w:eastAsia="en-US"/>
        </w:rPr>
      </w:pPr>
      <w:r w:rsidRPr="00724342">
        <w:rPr>
          <w:rFonts w:eastAsia="Calibri"/>
          <w:spacing w:val="-4"/>
          <w:sz w:val="22"/>
          <w:szCs w:val="22"/>
          <w:lang w:eastAsia="en-US"/>
        </w:rPr>
        <w:t>АННОТАЦИЯ: выявлены проблемы экспорта зерна в России, раскрыты причины и представлены эффективные пути их решения.</w:t>
      </w:r>
    </w:p>
    <w:p w:rsidR="00724342" w:rsidRPr="00724342" w:rsidRDefault="00724342" w:rsidP="00850015">
      <w:pPr>
        <w:ind w:firstLine="426"/>
        <w:jc w:val="both"/>
        <w:rPr>
          <w:rFonts w:eastAsia="Calibri"/>
          <w:spacing w:val="-4"/>
          <w:sz w:val="22"/>
          <w:szCs w:val="22"/>
          <w:lang w:val="en-US" w:eastAsia="en-US"/>
        </w:rPr>
      </w:pPr>
      <w:r w:rsidRPr="00724342">
        <w:rPr>
          <w:rFonts w:eastAsia="Calibri"/>
          <w:spacing w:val="-4"/>
          <w:sz w:val="22"/>
          <w:szCs w:val="22"/>
          <w:lang w:val="en-US" w:eastAsia="en-US"/>
        </w:rPr>
        <w:t>ABSTRACT: The problems of grain export at elevators, the disclosure of reasons and proposals for effective ways to solve them were studied.</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КЛЮЧЕВЫЕ СЛОВА: зерновые культуры, экспорт зерна, транспортная логистика, элеваторы.</w:t>
      </w:r>
    </w:p>
    <w:p w:rsidR="00724342" w:rsidRPr="00724342" w:rsidRDefault="00724342" w:rsidP="00850015">
      <w:pPr>
        <w:ind w:firstLine="426"/>
        <w:jc w:val="both"/>
        <w:rPr>
          <w:rFonts w:eastAsia="Calibri"/>
          <w:sz w:val="22"/>
          <w:szCs w:val="22"/>
          <w:lang w:val="en-US" w:eastAsia="en-US"/>
        </w:rPr>
      </w:pPr>
      <w:r w:rsidRPr="00724342">
        <w:rPr>
          <w:rFonts w:eastAsia="Calibri"/>
          <w:sz w:val="22"/>
          <w:szCs w:val="22"/>
          <w:lang w:val="en-US" w:eastAsia="en-US"/>
        </w:rPr>
        <w:t>KEYWORDS: cereals, grain export, transport logistics, elevators.</w:t>
      </w:r>
    </w:p>
    <w:p w:rsidR="00724342" w:rsidRPr="00724342" w:rsidRDefault="00724342" w:rsidP="00850015">
      <w:pPr>
        <w:ind w:firstLine="426"/>
        <w:jc w:val="both"/>
        <w:rPr>
          <w:rFonts w:eastAsia="Calibri"/>
          <w:sz w:val="22"/>
          <w:szCs w:val="22"/>
          <w:lang w:val="en-US" w:eastAsia="en-US"/>
        </w:rPr>
      </w:pPr>
    </w:p>
    <w:p w:rsidR="00724342" w:rsidRPr="00724342" w:rsidRDefault="00724342" w:rsidP="00850015">
      <w:pPr>
        <w:ind w:firstLine="426"/>
        <w:jc w:val="both"/>
        <w:rPr>
          <w:rFonts w:eastAsia="Calibri"/>
          <w:color w:val="000000"/>
          <w:sz w:val="22"/>
          <w:szCs w:val="22"/>
          <w:shd w:val="clear" w:color="auto" w:fill="FFFFFF"/>
          <w:lang w:eastAsia="en-US"/>
        </w:rPr>
      </w:pPr>
      <w:r w:rsidRPr="00724342">
        <w:rPr>
          <w:rFonts w:eastAsia="Calibri"/>
          <w:sz w:val="22"/>
          <w:szCs w:val="22"/>
          <w:lang w:eastAsia="en-US"/>
        </w:rPr>
        <w:t>В последние годы зерно является одним из основных экспор</w:t>
      </w:r>
      <w:r w:rsidRPr="00724342">
        <w:rPr>
          <w:rFonts w:eastAsia="Calibri"/>
          <w:sz w:val="22"/>
          <w:szCs w:val="22"/>
          <w:lang w:eastAsia="en-US"/>
        </w:rPr>
        <w:t>т</w:t>
      </w:r>
      <w:r w:rsidRPr="00724342">
        <w:rPr>
          <w:rFonts w:eastAsia="Calibri"/>
          <w:sz w:val="22"/>
          <w:szCs w:val="22"/>
          <w:lang w:eastAsia="en-US"/>
        </w:rPr>
        <w:t xml:space="preserve">ных товаров России. В </w:t>
      </w:r>
      <w:r w:rsidRPr="00724342">
        <w:rPr>
          <w:rFonts w:eastAsia="Calibri"/>
          <w:color w:val="000000"/>
          <w:sz w:val="22"/>
          <w:szCs w:val="22"/>
          <w:shd w:val="clear" w:color="auto" w:fill="FFFFFF"/>
          <w:lang w:eastAsia="en-US"/>
        </w:rPr>
        <w:t xml:space="preserve">2017 г. производство зерна достигло 130 млн т., что является рекордным показателем за всю историю страны. </w:t>
      </w:r>
      <w:r w:rsidRPr="00724342">
        <w:rPr>
          <w:rFonts w:eastAsia="Calibri"/>
          <w:sz w:val="22"/>
          <w:szCs w:val="22"/>
          <w:lang w:eastAsia="en-US"/>
        </w:rPr>
        <w:t xml:space="preserve">Аналитики прогнозируют рост </w:t>
      </w:r>
      <w:r w:rsidRPr="00724342">
        <w:rPr>
          <w:rFonts w:eastAsia="Calibri"/>
          <w:color w:val="000000"/>
          <w:sz w:val="22"/>
          <w:szCs w:val="22"/>
          <w:shd w:val="clear" w:color="auto" w:fill="FFFFFF"/>
          <w:lang w:eastAsia="en-US"/>
        </w:rPr>
        <w:t>экспорта зерна в 2018 г. до уровня 45-47 млн т., в первую очередь, за счет развития торговли с регионами Южной Америки, Юго-Восточной Азии и Западной А</w:t>
      </w:r>
      <w:r w:rsidRPr="00724342">
        <w:rPr>
          <w:rFonts w:eastAsia="Calibri"/>
          <w:color w:val="000000"/>
          <w:sz w:val="22"/>
          <w:szCs w:val="22"/>
          <w:shd w:val="clear" w:color="auto" w:fill="FFFFFF"/>
          <w:lang w:eastAsia="en-US"/>
        </w:rPr>
        <w:t>ф</w:t>
      </w:r>
      <w:r w:rsidRPr="00724342">
        <w:rPr>
          <w:rFonts w:eastAsia="Calibri"/>
          <w:color w:val="000000"/>
          <w:sz w:val="22"/>
          <w:szCs w:val="22"/>
          <w:shd w:val="clear" w:color="auto" w:fill="FFFFFF"/>
          <w:lang w:eastAsia="en-US"/>
        </w:rPr>
        <w:t>рики [1, 6].</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Однако по-прежнему существуют нерешенные проблемы орг</w:t>
      </w:r>
      <w:r w:rsidRPr="00724342">
        <w:rPr>
          <w:rFonts w:eastAsia="Calibri"/>
          <w:sz w:val="22"/>
          <w:szCs w:val="22"/>
          <w:lang w:eastAsia="en-US"/>
        </w:rPr>
        <w:t>а</w:t>
      </w:r>
      <w:r w:rsidRPr="00724342">
        <w:rPr>
          <w:rFonts w:eastAsia="Calibri"/>
          <w:sz w:val="22"/>
          <w:szCs w:val="22"/>
          <w:lang w:eastAsia="en-US"/>
        </w:rPr>
        <w:t>низации и функционирования транспортно-логистической системы рынка зерна.</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Значительный дисбаланс между экспортным потенциалом зе</w:t>
      </w:r>
      <w:r w:rsidRPr="00724342">
        <w:rPr>
          <w:rFonts w:eastAsia="Calibri"/>
          <w:sz w:val="22"/>
          <w:szCs w:val="22"/>
          <w:lang w:eastAsia="en-US"/>
        </w:rPr>
        <w:t>р</w:t>
      </w:r>
      <w:r w:rsidRPr="00724342">
        <w:rPr>
          <w:rFonts w:eastAsia="Calibri"/>
          <w:sz w:val="22"/>
          <w:szCs w:val="22"/>
          <w:lang w:eastAsia="en-US"/>
        </w:rPr>
        <w:t>нового подкомплекса и наличием специальных перевалочных те</w:t>
      </w:r>
      <w:r w:rsidRPr="00724342">
        <w:rPr>
          <w:rFonts w:eastAsia="Calibri"/>
          <w:sz w:val="22"/>
          <w:szCs w:val="22"/>
          <w:lang w:eastAsia="en-US"/>
        </w:rPr>
        <w:t>р</w:t>
      </w:r>
      <w:r w:rsidRPr="00724342">
        <w:rPr>
          <w:rFonts w:eastAsia="Calibri"/>
          <w:sz w:val="22"/>
          <w:szCs w:val="22"/>
          <w:lang w:eastAsia="en-US"/>
        </w:rPr>
        <w:t>миналов и развитостью транспортной системы значительно огран</w:t>
      </w:r>
      <w:r w:rsidRPr="00724342">
        <w:rPr>
          <w:rFonts w:eastAsia="Calibri"/>
          <w:sz w:val="22"/>
          <w:szCs w:val="22"/>
          <w:lang w:eastAsia="en-US"/>
        </w:rPr>
        <w:t>и</w:t>
      </w:r>
      <w:r w:rsidRPr="00724342">
        <w:rPr>
          <w:rFonts w:eastAsia="Calibri"/>
          <w:sz w:val="22"/>
          <w:szCs w:val="22"/>
          <w:lang w:eastAsia="en-US"/>
        </w:rPr>
        <w:t>чивает возможности российского экспорта этого вида сельскох</w:t>
      </w:r>
      <w:r w:rsidRPr="00724342">
        <w:rPr>
          <w:rFonts w:eastAsia="Calibri"/>
          <w:sz w:val="22"/>
          <w:szCs w:val="22"/>
          <w:lang w:eastAsia="en-US"/>
        </w:rPr>
        <w:t>о</w:t>
      </w:r>
      <w:r w:rsidRPr="00724342">
        <w:rPr>
          <w:rFonts w:eastAsia="Calibri"/>
          <w:sz w:val="22"/>
          <w:szCs w:val="22"/>
          <w:lang w:eastAsia="en-US"/>
        </w:rPr>
        <w:t>зяйственного сырья [2].</w:t>
      </w:r>
    </w:p>
    <w:p w:rsidR="00724342" w:rsidRPr="00724342" w:rsidRDefault="00724342" w:rsidP="00850015">
      <w:pPr>
        <w:ind w:firstLine="426"/>
        <w:jc w:val="both"/>
        <w:rPr>
          <w:rFonts w:eastAsia="Calibri"/>
          <w:spacing w:val="-2"/>
          <w:sz w:val="22"/>
          <w:szCs w:val="22"/>
          <w:lang w:eastAsia="en-US"/>
        </w:rPr>
      </w:pPr>
      <w:r w:rsidRPr="00724342">
        <w:rPr>
          <w:rFonts w:eastAsia="Calibri"/>
          <w:spacing w:val="-2"/>
          <w:sz w:val="22"/>
          <w:szCs w:val="22"/>
          <w:lang w:eastAsia="en-US"/>
        </w:rPr>
        <w:lastRenderedPageBreak/>
        <w:t>Выполненный анализ показал, что развитие специализированной инфраструктуры рынка зерна, включающей линейные, соединител</w:t>
      </w:r>
      <w:r w:rsidRPr="00724342">
        <w:rPr>
          <w:rFonts w:eastAsia="Calibri"/>
          <w:spacing w:val="-2"/>
          <w:sz w:val="22"/>
          <w:szCs w:val="22"/>
          <w:lang w:eastAsia="en-US"/>
        </w:rPr>
        <w:t>ь</w:t>
      </w:r>
      <w:r w:rsidRPr="00724342">
        <w:rPr>
          <w:rFonts w:eastAsia="Calibri"/>
          <w:spacing w:val="-2"/>
          <w:sz w:val="22"/>
          <w:szCs w:val="22"/>
          <w:lang w:eastAsia="en-US"/>
        </w:rPr>
        <w:t>ные и портовые элеваторы-терминалы, расположенные в местах о</w:t>
      </w:r>
      <w:r w:rsidRPr="00724342">
        <w:rPr>
          <w:rFonts w:eastAsia="Calibri"/>
          <w:spacing w:val="-2"/>
          <w:sz w:val="22"/>
          <w:szCs w:val="22"/>
          <w:lang w:eastAsia="en-US"/>
        </w:rPr>
        <w:t>с</w:t>
      </w:r>
      <w:r w:rsidRPr="00724342">
        <w:rPr>
          <w:rFonts w:eastAsia="Calibri"/>
          <w:spacing w:val="-2"/>
          <w:sz w:val="22"/>
          <w:szCs w:val="22"/>
          <w:lang w:eastAsia="en-US"/>
        </w:rPr>
        <w:t>новных пунктов приема продукции, становится определяющим усл</w:t>
      </w:r>
      <w:r w:rsidRPr="00724342">
        <w:rPr>
          <w:rFonts w:eastAsia="Calibri"/>
          <w:spacing w:val="-2"/>
          <w:sz w:val="22"/>
          <w:szCs w:val="22"/>
          <w:lang w:eastAsia="en-US"/>
        </w:rPr>
        <w:t>о</w:t>
      </w:r>
      <w:r w:rsidRPr="00724342">
        <w:rPr>
          <w:rFonts w:eastAsia="Calibri"/>
          <w:spacing w:val="-2"/>
          <w:sz w:val="22"/>
          <w:szCs w:val="22"/>
          <w:lang w:eastAsia="en-US"/>
        </w:rPr>
        <w:t>вием повышения эффективности всей логистики рынка [3].</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Опыт экономически развитых стран доказывает эффективность транспортных инновационных технологий, основанных на испол</w:t>
      </w:r>
      <w:r w:rsidRPr="00724342">
        <w:rPr>
          <w:rFonts w:eastAsia="Calibri"/>
          <w:sz w:val="22"/>
          <w:szCs w:val="22"/>
          <w:lang w:eastAsia="en-US"/>
        </w:rPr>
        <w:t>ь</w:t>
      </w:r>
      <w:r w:rsidRPr="00724342">
        <w:rPr>
          <w:rFonts w:eastAsia="Calibri"/>
          <w:sz w:val="22"/>
          <w:szCs w:val="22"/>
          <w:lang w:eastAsia="en-US"/>
        </w:rPr>
        <w:t>зовании маршрутной доставки [4]. Внедрение эффективной сист</w:t>
      </w:r>
      <w:r w:rsidRPr="00724342">
        <w:rPr>
          <w:rFonts w:eastAsia="Calibri"/>
          <w:sz w:val="22"/>
          <w:szCs w:val="22"/>
          <w:lang w:eastAsia="en-US"/>
        </w:rPr>
        <w:t>е</w:t>
      </w:r>
      <w:r w:rsidRPr="00724342">
        <w:rPr>
          <w:rFonts w:eastAsia="Calibri"/>
          <w:sz w:val="22"/>
          <w:szCs w:val="22"/>
          <w:lang w:eastAsia="en-US"/>
        </w:rPr>
        <w:t>мы транспортировки зерна железнодорожным транспортом позв</w:t>
      </w:r>
      <w:r w:rsidRPr="00724342">
        <w:rPr>
          <w:rFonts w:eastAsia="Calibri"/>
          <w:sz w:val="22"/>
          <w:szCs w:val="22"/>
          <w:lang w:eastAsia="en-US"/>
        </w:rPr>
        <w:t>о</w:t>
      </w:r>
      <w:r w:rsidRPr="00724342">
        <w:rPr>
          <w:rFonts w:eastAsia="Calibri"/>
          <w:sz w:val="22"/>
          <w:szCs w:val="22"/>
          <w:lang w:eastAsia="en-US"/>
        </w:rPr>
        <w:t>лит управлять всем транспортным циклом, сгладить пиковую нагрузку в напряженные периоды сезона, решить проблему нехва</w:t>
      </w:r>
      <w:r w:rsidRPr="00724342">
        <w:rPr>
          <w:rFonts w:eastAsia="Calibri"/>
          <w:sz w:val="22"/>
          <w:szCs w:val="22"/>
          <w:lang w:eastAsia="en-US"/>
        </w:rPr>
        <w:t>т</w:t>
      </w:r>
      <w:r w:rsidRPr="00724342">
        <w:rPr>
          <w:rFonts w:eastAsia="Calibri"/>
          <w:sz w:val="22"/>
          <w:szCs w:val="22"/>
          <w:lang w:eastAsia="en-US"/>
        </w:rPr>
        <w:t>ки подвижного состава и избежать пробок на подъездных дорогах к местам отгрузки продукции.</w:t>
      </w:r>
    </w:p>
    <w:p w:rsidR="00724342" w:rsidRPr="00724342" w:rsidRDefault="00724342" w:rsidP="00850015">
      <w:pPr>
        <w:ind w:firstLine="426"/>
        <w:jc w:val="both"/>
        <w:rPr>
          <w:rFonts w:eastAsia="Calibri"/>
          <w:spacing w:val="-4"/>
          <w:sz w:val="22"/>
          <w:szCs w:val="22"/>
          <w:lang w:eastAsia="en-US"/>
        </w:rPr>
      </w:pPr>
      <w:r w:rsidRPr="00724342">
        <w:rPr>
          <w:rFonts w:eastAsia="Calibri"/>
          <w:spacing w:val="-4"/>
          <w:sz w:val="22"/>
          <w:szCs w:val="22"/>
          <w:lang w:eastAsia="en-US"/>
        </w:rPr>
        <w:t>Вопросы тарифной политики на железнодорожном транспорте вызывают особую тревогу. Высокие тарифы на железнодорожные п</w:t>
      </w:r>
      <w:r w:rsidRPr="00724342">
        <w:rPr>
          <w:rFonts w:eastAsia="Calibri"/>
          <w:spacing w:val="-4"/>
          <w:sz w:val="22"/>
          <w:szCs w:val="22"/>
          <w:lang w:eastAsia="en-US"/>
        </w:rPr>
        <w:t>е</w:t>
      </w:r>
      <w:r w:rsidRPr="00724342">
        <w:rPr>
          <w:rFonts w:eastAsia="Calibri"/>
          <w:spacing w:val="-4"/>
          <w:sz w:val="22"/>
          <w:szCs w:val="22"/>
          <w:lang w:eastAsia="en-US"/>
        </w:rPr>
        <w:t>ревозки зерна разрушают единство внутреннего рынка и ограничив</w:t>
      </w:r>
      <w:r w:rsidRPr="00724342">
        <w:rPr>
          <w:rFonts w:eastAsia="Calibri"/>
          <w:spacing w:val="-4"/>
          <w:sz w:val="22"/>
          <w:szCs w:val="22"/>
          <w:lang w:eastAsia="en-US"/>
        </w:rPr>
        <w:t>а</w:t>
      </w:r>
      <w:r w:rsidRPr="00724342">
        <w:rPr>
          <w:rFonts w:eastAsia="Calibri"/>
          <w:spacing w:val="-4"/>
          <w:sz w:val="22"/>
          <w:szCs w:val="22"/>
          <w:lang w:eastAsia="en-US"/>
        </w:rPr>
        <w:t>ют рыночные возможности. Поэтому важно развивать компании транспортной инфраструктуры с собственным железнодорожным па</w:t>
      </w:r>
      <w:r w:rsidRPr="00724342">
        <w:rPr>
          <w:rFonts w:eastAsia="Calibri"/>
          <w:spacing w:val="-4"/>
          <w:sz w:val="22"/>
          <w:szCs w:val="22"/>
          <w:lang w:eastAsia="en-US"/>
        </w:rPr>
        <w:t>р</w:t>
      </w:r>
      <w:r w:rsidRPr="00724342">
        <w:rPr>
          <w:rFonts w:eastAsia="Calibri"/>
          <w:spacing w:val="-4"/>
          <w:sz w:val="22"/>
          <w:szCs w:val="22"/>
          <w:lang w:eastAsia="en-US"/>
        </w:rPr>
        <w:t>ком. Организация эффективной логистики предполагает консолид</w:t>
      </w:r>
      <w:r w:rsidRPr="00724342">
        <w:rPr>
          <w:rFonts w:eastAsia="Calibri"/>
          <w:spacing w:val="-4"/>
          <w:sz w:val="22"/>
          <w:szCs w:val="22"/>
          <w:lang w:eastAsia="en-US"/>
        </w:rPr>
        <w:t>а</w:t>
      </w:r>
      <w:r w:rsidRPr="00724342">
        <w:rPr>
          <w:rFonts w:eastAsia="Calibri"/>
          <w:spacing w:val="-4"/>
          <w:sz w:val="22"/>
          <w:szCs w:val="22"/>
          <w:lang w:eastAsia="en-US"/>
        </w:rPr>
        <w:t>цию потоков зерна и контроль за их движением, начиная от организ</w:t>
      </w:r>
      <w:r w:rsidRPr="00724342">
        <w:rPr>
          <w:rFonts w:eastAsia="Calibri"/>
          <w:spacing w:val="-4"/>
          <w:sz w:val="22"/>
          <w:szCs w:val="22"/>
          <w:lang w:eastAsia="en-US"/>
        </w:rPr>
        <w:t>а</w:t>
      </w:r>
      <w:r w:rsidRPr="00724342">
        <w:rPr>
          <w:rFonts w:eastAsia="Calibri"/>
          <w:spacing w:val="-4"/>
          <w:sz w:val="22"/>
          <w:szCs w:val="22"/>
          <w:lang w:eastAsia="en-US"/>
        </w:rPr>
        <w:t>ции хранения в хозяйствах до передачи зерна конечному получателю.</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К основным факторам, ограничивающим развитие экспортно-ориентированной транспортной логистики в России, относят:</w:t>
      </w:r>
    </w:p>
    <w:p w:rsidR="00724342" w:rsidRPr="00724342" w:rsidRDefault="00724342" w:rsidP="00850015">
      <w:pPr>
        <w:ind w:firstLine="426"/>
        <w:jc w:val="both"/>
        <w:rPr>
          <w:rFonts w:eastAsia="Calibri"/>
          <w:spacing w:val="-2"/>
          <w:sz w:val="22"/>
          <w:szCs w:val="22"/>
          <w:lang w:eastAsia="en-US"/>
        </w:rPr>
      </w:pPr>
      <w:r w:rsidRPr="00724342">
        <w:rPr>
          <w:rFonts w:eastAsia="Calibri"/>
          <w:spacing w:val="-2"/>
          <w:sz w:val="22"/>
          <w:szCs w:val="22"/>
          <w:lang w:eastAsia="en-US"/>
        </w:rPr>
        <w:t>1) для автомобильных перевозок – это относительно высокие транспортные издержки, простои техники в «пробках» в напряже</w:t>
      </w:r>
      <w:r w:rsidRPr="00724342">
        <w:rPr>
          <w:rFonts w:eastAsia="Calibri"/>
          <w:spacing w:val="-2"/>
          <w:sz w:val="22"/>
          <w:szCs w:val="22"/>
          <w:lang w:eastAsia="en-US"/>
        </w:rPr>
        <w:t>н</w:t>
      </w:r>
      <w:r w:rsidRPr="00724342">
        <w:rPr>
          <w:rFonts w:eastAsia="Calibri"/>
          <w:spacing w:val="-2"/>
          <w:sz w:val="22"/>
          <w:szCs w:val="22"/>
          <w:lang w:eastAsia="en-US"/>
        </w:rPr>
        <w:t>ные периоды сезона, плохое состояние дорог и др.;</w:t>
      </w:r>
    </w:p>
    <w:p w:rsidR="00724342" w:rsidRPr="00724342" w:rsidRDefault="00724342" w:rsidP="00850015">
      <w:pPr>
        <w:ind w:firstLine="426"/>
        <w:jc w:val="both"/>
        <w:rPr>
          <w:rFonts w:eastAsia="Calibri"/>
          <w:spacing w:val="-2"/>
          <w:sz w:val="22"/>
          <w:szCs w:val="22"/>
          <w:lang w:eastAsia="en-US"/>
        </w:rPr>
      </w:pPr>
      <w:r w:rsidRPr="00724342">
        <w:rPr>
          <w:rFonts w:eastAsia="Calibri"/>
          <w:spacing w:val="-2"/>
          <w:sz w:val="22"/>
          <w:szCs w:val="22"/>
          <w:lang w:eastAsia="en-US"/>
        </w:rPr>
        <w:t>2) для железнодорожного транспорта – государственная мон</w:t>
      </w:r>
      <w:r w:rsidRPr="00724342">
        <w:rPr>
          <w:rFonts w:eastAsia="Calibri"/>
          <w:spacing w:val="-2"/>
          <w:sz w:val="22"/>
          <w:szCs w:val="22"/>
          <w:lang w:eastAsia="en-US"/>
        </w:rPr>
        <w:t>о</w:t>
      </w:r>
      <w:r w:rsidRPr="00724342">
        <w:rPr>
          <w:rFonts w:eastAsia="Calibri"/>
          <w:spacing w:val="-2"/>
          <w:sz w:val="22"/>
          <w:szCs w:val="22"/>
          <w:lang w:eastAsia="en-US"/>
        </w:rPr>
        <w:t>полия на транспортные услуги и вагоны подвижного состава, крит</w:t>
      </w:r>
      <w:r w:rsidRPr="00724342">
        <w:rPr>
          <w:rFonts w:eastAsia="Calibri"/>
          <w:spacing w:val="-2"/>
          <w:sz w:val="22"/>
          <w:szCs w:val="22"/>
          <w:lang w:eastAsia="en-US"/>
        </w:rPr>
        <w:t>и</w:t>
      </w:r>
      <w:r w:rsidRPr="00724342">
        <w:rPr>
          <w:rFonts w:eastAsia="Calibri"/>
          <w:spacing w:val="-2"/>
          <w:sz w:val="22"/>
          <w:szCs w:val="22"/>
          <w:lang w:eastAsia="en-US"/>
        </w:rPr>
        <w:t>чески большой физический износ технической базы, низкая пропус</w:t>
      </w:r>
      <w:r w:rsidRPr="00724342">
        <w:rPr>
          <w:rFonts w:eastAsia="Calibri"/>
          <w:spacing w:val="-2"/>
          <w:sz w:val="22"/>
          <w:szCs w:val="22"/>
          <w:lang w:eastAsia="en-US"/>
        </w:rPr>
        <w:t>к</w:t>
      </w:r>
      <w:r w:rsidRPr="00724342">
        <w:rPr>
          <w:rFonts w:eastAsia="Calibri"/>
          <w:spacing w:val="-2"/>
          <w:sz w:val="22"/>
          <w:szCs w:val="22"/>
          <w:lang w:eastAsia="en-US"/>
        </w:rPr>
        <w:t>ная способность железнодорожных станций в «пиковые периоды», отсутствие инвестиционных программ по обновлению вагонов;</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3) для морского и речного транспорта – низкая мобильность плавучих средств, имитируемые транспортные зоны, риски незн</w:t>
      </w:r>
      <w:r w:rsidRPr="00724342">
        <w:rPr>
          <w:rFonts w:eastAsia="Calibri"/>
          <w:sz w:val="22"/>
          <w:szCs w:val="22"/>
          <w:lang w:eastAsia="en-US"/>
        </w:rPr>
        <w:t>а</w:t>
      </w:r>
      <w:r w:rsidRPr="00724342">
        <w:rPr>
          <w:rFonts w:eastAsia="Calibri"/>
          <w:sz w:val="22"/>
          <w:szCs w:val="22"/>
          <w:lang w:eastAsia="en-US"/>
        </w:rPr>
        <w:t>чительной загрузки портовых и терминальных логистических мо</w:t>
      </w:r>
      <w:r w:rsidRPr="00724342">
        <w:rPr>
          <w:rFonts w:eastAsia="Calibri"/>
          <w:sz w:val="22"/>
          <w:szCs w:val="22"/>
          <w:lang w:eastAsia="en-US"/>
        </w:rPr>
        <w:t>щ</w:t>
      </w:r>
      <w:r w:rsidRPr="00724342">
        <w:rPr>
          <w:rFonts w:eastAsia="Calibri"/>
          <w:sz w:val="22"/>
          <w:szCs w:val="22"/>
          <w:lang w:eastAsia="en-US"/>
        </w:rPr>
        <w:t xml:space="preserve">ностей и др. [5]. </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Значительные резервы повышения эффективности работы транспортной системы кроятся во взаимодействии звеньев логист</w:t>
      </w:r>
      <w:r w:rsidRPr="00724342">
        <w:rPr>
          <w:rFonts w:eastAsia="Calibri"/>
          <w:sz w:val="22"/>
          <w:szCs w:val="22"/>
          <w:lang w:eastAsia="en-US"/>
        </w:rPr>
        <w:t>и</w:t>
      </w:r>
      <w:r w:rsidRPr="00724342">
        <w:rPr>
          <w:rFonts w:eastAsia="Calibri"/>
          <w:sz w:val="22"/>
          <w:szCs w:val="22"/>
          <w:lang w:eastAsia="en-US"/>
        </w:rPr>
        <w:t xml:space="preserve">ческой цепочки поставок: линейных и подъемных элеваторов, </w:t>
      </w:r>
      <w:r w:rsidRPr="00724342">
        <w:rPr>
          <w:rFonts w:eastAsia="Calibri"/>
          <w:sz w:val="22"/>
          <w:szCs w:val="22"/>
          <w:lang w:eastAsia="en-US"/>
        </w:rPr>
        <w:lastRenderedPageBreak/>
        <w:t>транспортной инфраструктуры, портовых зерновых терминалов. Мощность и пропускная способность объектов логистической с</w:t>
      </w:r>
      <w:r w:rsidRPr="00724342">
        <w:rPr>
          <w:rFonts w:eastAsia="Calibri"/>
          <w:sz w:val="22"/>
          <w:szCs w:val="22"/>
          <w:lang w:eastAsia="en-US"/>
        </w:rPr>
        <w:t>и</w:t>
      </w:r>
      <w:r w:rsidRPr="00724342">
        <w:rPr>
          <w:rFonts w:eastAsia="Calibri"/>
          <w:sz w:val="22"/>
          <w:szCs w:val="22"/>
          <w:lang w:eastAsia="en-US"/>
        </w:rPr>
        <w:t>стемы рынка зерна должны быть сбалансированы по прогнозиру</w:t>
      </w:r>
      <w:r w:rsidRPr="00724342">
        <w:rPr>
          <w:rFonts w:eastAsia="Calibri"/>
          <w:sz w:val="22"/>
          <w:szCs w:val="22"/>
          <w:lang w:eastAsia="en-US"/>
        </w:rPr>
        <w:t>е</w:t>
      </w:r>
      <w:r w:rsidRPr="00724342">
        <w:rPr>
          <w:rFonts w:eastAsia="Calibri"/>
          <w:sz w:val="22"/>
          <w:szCs w:val="22"/>
          <w:lang w:eastAsia="en-US"/>
        </w:rPr>
        <w:t>мому объему перевозок продукции. Оптимизация существующей терминальной и транспортной инфраструктуры должна осущест</w:t>
      </w:r>
      <w:r w:rsidRPr="00724342">
        <w:rPr>
          <w:rFonts w:eastAsia="Calibri"/>
          <w:sz w:val="22"/>
          <w:szCs w:val="22"/>
          <w:lang w:eastAsia="en-US"/>
        </w:rPr>
        <w:t>в</w:t>
      </w:r>
      <w:r w:rsidRPr="00724342">
        <w:rPr>
          <w:rFonts w:eastAsia="Calibri"/>
          <w:sz w:val="22"/>
          <w:szCs w:val="22"/>
          <w:lang w:eastAsia="en-US"/>
        </w:rPr>
        <w:t>ляться путем создания кластеров предприятий в районах наибол</w:t>
      </w:r>
      <w:r w:rsidRPr="00724342">
        <w:rPr>
          <w:rFonts w:eastAsia="Calibri"/>
          <w:sz w:val="22"/>
          <w:szCs w:val="22"/>
          <w:lang w:eastAsia="en-US"/>
        </w:rPr>
        <w:t>ь</w:t>
      </w:r>
      <w:r w:rsidRPr="00724342">
        <w:rPr>
          <w:rFonts w:eastAsia="Calibri"/>
          <w:sz w:val="22"/>
          <w:szCs w:val="22"/>
          <w:lang w:eastAsia="en-US"/>
        </w:rPr>
        <w:t>шей концентрации зерновых грузов с учетом межрайонных и рег</w:t>
      </w:r>
      <w:r w:rsidRPr="00724342">
        <w:rPr>
          <w:rFonts w:eastAsia="Calibri"/>
          <w:sz w:val="22"/>
          <w:szCs w:val="22"/>
          <w:lang w:eastAsia="en-US"/>
        </w:rPr>
        <w:t>и</w:t>
      </w:r>
      <w:r w:rsidRPr="00724342">
        <w:rPr>
          <w:rFonts w:eastAsia="Calibri"/>
          <w:sz w:val="22"/>
          <w:szCs w:val="22"/>
          <w:lang w:eastAsia="en-US"/>
        </w:rPr>
        <w:t>ональных грузопотоков.</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Учитывая проведенные исследования, следующие предметные области нами выделены как наиболее важные:</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1) определение приоритетов развития материально-технической базы региональной системы транспортировки зерна;</w:t>
      </w:r>
    </w:p>
    <w:p w:rsidR="00724342" w:rsidRPr="00724342" w:rsidRDefault="00724342" w:rsidP="00850015">
      <w:pPr>
        <w:ind w:firstLine="426"/>
        <w:jc w:val="both"/>
        <w:rPr>
          <w:rFonts w:eastAsia="Calibri"/>
          <w:spacing w:val="-2"/>
          <w:sz w:val="22"/>
          <w:szCs w:val="22"/>
          <w:lang w:eastAsia="en-US"/>
        </w:rPr>
      </w:pPr>
      <w:r w:rsidRPr="00724342">
        <w:rPr>
          <w:rFonts w:eastAsia="Calibri"/>
          <w:spacing w:val="-2"/>
          <w:sz w:val="22"/>
          <w:szCs w:val="22"/>
          <w:lang w:eastAsia="en-US"/>
        </w:rPr>
        <w:t>2) разработка методики прогнозирования спроса на зерно с уч</w:t>
      </w:r>
      <w:r w:rsidRPr="00724342">
        <w:rPr>
          <w:rFonts w:eastAsia="Calibri"/>
          <w:spacing w:val="-2"/>
          <w:sz w:val="22"/>
          <w:szCs w:val="22"/>
          <w:lang w:eastAsia="en-US"/>
        </w:rPr>
        <w:t>е</w:t>
      </w:r>
      <w:r w:rsidRPr="00724342">
        <w:rPr>
          <w:rFonts w:eastAsia="Calibri"/>
          <w:spacing w:val="-2"/>
          <w:sz w:val="22"/>
          <w:szCs w:val="22"/>
          <w:lang w:eastAsia="en-US"/>
        </w:rPr>
        <w:t>том сезонных факторов, прогнозов пропускной способности, оценки внутренних и внешних рыночных условий и др.;</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3) подготовка и экономическое обоснование решений по ра</w:t>
      </w:r>
      <w:r w:rsidRPr="00724342">
        <w:rPr>
          <w:rFonts w:eastAsia="Calibri"/>
          <w:sz w:val="22"/>
          <w:szCs w:val="22"/>
          <w:lang w:eastAsia="en-US"/>
        </w:rPr>
        <w:t>з</w:t>
      </w:r>
      <w:r w:rsidRPr="00724342">
        <w:rPr>
          <w:rFonts w:eastAsia="Calibri"/>
          <w:sz w:val="22"/>
          <w:szCs w:val="22"/>
          <w:lang w:eastAsia="en-US"/>
        </w:rPr>
        <w:t>мещению инфраструктурных объектов в регионе.</w:t>
      </w:r>
    </w:p>
    <w:p w:rsidR="00724342" w:rsidRPr="00724342" w:rsidRDefault="00724342" w:rsidP="00850015">
      <w:pPr>
        <w:ind w:firstLine="426"/>
        <w:jc w:val="center"/>
        <w:rPr>
          <w:rFonts w:eastAsia="Calibri"/>
          <w:sz w:val="22"/>
          <w:szCs w:val="22"/>
          <w:lang w:eastAsia="en-US"/>
        </w:rPr>
      </w:pPr>
    </w:p>
    <w:p w:rsidR="00724342" w:rsidRPr="00724342" w:rsidRDefault="00724342" w:rsidP="00850015">
      <w:pPr>
        <w:ind w:firstLine="426"/>
        <w:jc w:val="center"/>
        <w:rPr>
          <w:rFonts w:eastAsia="Calibri"/>
          <w:sz w:val="22"/>
          <w:szCs w:val="22"/>
          <w:lang w:eastAsia="en-US"/>
        </w:rPr>
      </w:pPr>
      <w:r w:rsidRPr="00724342">
        <w:rPr>
          <w:rFonts w:eastAsia="Calibri"/>
          <w:sz w:val="22"/>
          <w:szCs w:val="22"/>
          <w:lang w:eastAsia="en-US"/>
        </w:rPr>
        <w:t>Список литературы</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t>1. Агропромышленный портал АГРОХХI [Электронный р</w:t>
      </w:r>
      <w:r w:rsidRPr="00724342">
        <w:rPr>
          <w:rFonts w:eastAsia="Calibri"/>
          <w:sz w:val="22"/>
          <w:szCs w:val="22"/>
          <w:lang w:eastAsia="en-US"/>
        </w:rPr>
        <w:t>е</w:t>
      </w:r>
      <w:r w:rsidRPr="00724342">
        <w:rPr>
          <w:rFonts w:eastAsia="Calibri"/>
          <w:sz w:val="22"/>
          <w:szCs w:val="22"/>
          <w:lang w:eastAsia="en-US"/>
        </w:rPr>
        <w:t>сурс]. Режим доступа: www.agroxxi.ru.</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t>2. Бершицкий Ю. И. Теоретико-методические аспекты иннов</w:t>
      </w:r>
      <w:r w:rsidRPr="00724342">
        <w:rPr>
          <w:rFonts w:eastAsia="Calibri"/>
          <w:sz w:val="22"/>
          <w:szCs w:val="22"/>
          <w:lang w:eastAsia="en-US"/>
        </w:rPr>
        <w:t>а</w:t>
      </w:r>
      <w:r w:rsidRPr="00724342">
        <w:rPr>
          <w:rFonts w:eastAsia="Calibri"/>
          <w:sz w:val="22"/>
          <w:szCs w:val="22"/>
          <w:lang w:eastAsia="en-US"/>
        </w:rPr>
        <w:t>ционного развития агроэкономики / Ю. И. Бершицкий, Н. Р. Сайфетдинова, А. Р. Сайфетдинов // сборник «Российская эк</w:t>
      </w:r>
      <w:r w:rsidRPr="00724342">
        <w:rPr>
          <w:rFonts w:eastAsia="Calibri"/>
          <w:sz w:val="22"/>
          <w:szCs w:val="22"/>
          <w:lang w:eastAsia="en-US"/>
        </w:rPr>
        <w:t>о</w:t>
      </w:r>
      <w:r w:rsidRPr="00724342">
        <w:rPr>
          <w:rFonts w:eastAsia="Calibri"/>
          <w:sz w:val="22"/>
          <w:szCs w:val="22"/>
          <w:lang w:eastAsia="en-US"/>
        </w:rPr>
        <w:t>номическая модель – 7: от стагнации к развитию. – Краснодар, 2017, с. 288–304.</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t>3. Делз, С. В. Развитие транспортно-логистической системы экспортных зерновых перевозок : Автореферат дис. канд. техн. наук. – Москва, 2012. – 24 с.</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t>4. Интегрированная логистика накопительно-распределительных комплексов (склады, транспортные узлы, те</w:t>
      </w:r>
      <w:r w:rsidRPr="00724342">
        <w:rPr>
          <w:rFonts w:eastAsia="Calibri"/>
          <w:sz w:val="22"/>
          <w:szCs w:val="22"/>
          <w:lang w:eastAsia="en-US"/>
        </w:rPr>
        <w:t>р</w:t>
      </w:r>
      <w:r w:rsidRPr="00724342">
        <w:rPr>
          <w:rFonts w:eastAsia="Calibri"/>
          <w:sz w:val="22"/>
          <w:szCs w:val="22"/>
          <w:lang w:eastAsia="en-US"/>
        </w:rPr>
        <w:t>миналы): Учебник для транспортных вузов. / Под общ. ред. Л.Б. Миротина. - М.: Издательство «Экзамен», 2003. - 448 с.</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t>5. Проблемы и перспективы развития АПК и сельских террит</w:t>
      </w:r>
      <w:r w:rsidRPr="00724342">
        <w:rPr>
          <w:rFonts w:eastAsia="Calibri"/>
          <w:sz w:val="22"/>
          <w:szCs w:val="22"/>
          <w:lang w:eastAsia="en-US"/>
        </w:rPr>
        <w:t>о</w:t>
      </w:r>
      <w:r w:rsidRPr="00724342">
        <w:rPr>
          <w:rFonts w:eastAsia="Calibri"/>
          <w:sz w:val="22"/>
          <w:szCs w:val="22"/>
          <w:lang w:eastAsia="en-US"/>
        </w:rPr>
        <w:t>рий. Книга 3 : монография [Текст] / О. А. Аничкина, Ю. И. Бершицкий, Л. В. Гайдаренко и др. / под общ. ред. С. С. Че</w:t>
      </w:r>
      <w:r w:rsidRPr="00724342">
        <w:rPr>
          <w:rFonts w:eastAsia="Calibri"/>
          <w:sz w:val="22"/>
          <w:szCs w:val="22"/>
          <w:lang w:eastAsia="en-US"/>
        </w:rPr>
        <w:t>р</w:t>
      </w:r>
      <w:r w:rsidRPr="00724342">
        <w:rPr>
          <w:rFonts w:eastAsia="Calibri"/>
          <w:sz w:val="22"/>
          <w:szCs w:val="22"/>
          <w:lang w:eastAsia="en-US"/>
        </w:rPr>
        <w:t>нова. – Новосибирск : Издательство ЦРНС, 2017. – 258 с.</w:t>
      </w:r>
    </w:p>
    <w:p w:rsidR="00724342" w:rsidRPr="00724342" w:rsidRDefault="00724342" w:rsidP="00850015">
      <w:pPr>
        <w:tabs>
          <w:tab w:val="left" w:pos="993"/>
        </w:tabs>
        <w:ind w:firstLine="426"/>
        <w:jc w:val="both"/>
        <w:rPr>
          <w:rFonts w:eastAsia="Calibri"/>
          <w:sz w:val="22"/>
          <w:szCs w:val="22"/>
          <w:lang w:eastAsia="en-US"/>
        </w:rPr>
      </w:pPr>
      <w:r w:rsidRPr="00724342">
        <w:rPr>
          <w:rFonts w:eastAsia="Calibri"/>
          <w:sz w:val="22"/>
          <w:szCs w:val="22"/>
          <w:lang w:eastAsia="en-US"/>
        </w:rPr>
        <w:lastRenderedPageBreak/>
        <w:t>6. Тюпаков, К. Э. Факторы стоимости производства озимой пшеницы в сельскохозяйственных организациях Краснодарского края [Текст] / К. Э. Тюпаков, Н. Р. Сайфетдинова, А. Р. Сайфетдинов // Международный научно-исследовательский журнал. – 2014. – № 4–3(23). – С. 73–76.</w:t>
      </w:r>
    </w:p>
    <w:p w:rsidR="00724342" w:rsidRPr="00724342" w:rsidRDefault="00724342" w:rsidP="00850015">
      <w:pPr>
        <w:widowControl w:val="0"/>
        <w:ind w:firstLine="426"/>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t>УДК 331.56</w:t>
      </w:r>
    </w:p>
    <w:p w:rsidR="00724342" w:rsidRPr="00724342" w:rsidRDefault="00724342" w:rsidP="00724342">
      <w:pPr>
        <w:jc w:val="both"/>
        <w:rPr>
          <w:rFonts w:eastAsia="Calibri"/>
          <w:color w:val="000000"/>
          <w:sz w:val="22"/>
          <w:szCs w:val="22"/>
          <w:shd w:val="clear" w:color="auto" w:fill="FFFFFF"/>
          <w:lang w:eastAsia="en-US"/>
        </w:rPr>
      </w:pPr>
    </w:p>
    <w:p w:rsidR="00724342" w:rsidRPr="00724342" w:rsidRDefault="00724342" w:rsidP="00724342">
      <w:pPr>
        <w:jc w:val="center"/>
        <w:rPr>
          <w:rFonts w:eastAsia="Calibri"/>
          <w:b/>
          <w:color w:val="000000"/>
          <w:sz w:val="24"/>
          <w:szCs w:val="24"/>
          <w:shd w:val="clear" w:color="auto" w:fill="FFFFFF"/>
          <w:lang w:eastAsia="en-US"/>
        </w:rPr>
      </w:pPr>
      <w:r w:rsidRPr="00724342">
        <w:rPr>
          <w:rFonts w:eastAsia="Calibri"/>
          <w:b/>
          <w:color w:val="000000"/>
          <w:sz w:val="24"/>
          <w:szCs w:val="24"/>
          <w:shd w:val="clear" w:color="auto" w:fill="FFFFFF"/>
          <w:lang w:eastAsia="en-US"/>
        </w:rPr>
        <w:t xml:space="preserve">Роль безработицы в экономическом механизме </w:t>
      </w:r>
    </w:p>
    <w:p w:rsidR="00724342" w:rsidRPr="00724342" w:rsidRDefault="00724342" w:rsidP="00724342">
      <w:pPr>
        <w:jc w:val="center"/>
        <w:rPr>
          <w:rFonts w:eastAsia="Calibri"/>
          <w:b/>
          <w:color w:val="000000"/>
          <w:sz w:val="24"/>
          <w:szCs w:val="24"/>
          <w:shd w:val="clear" w:color="auto" w:fill="FFFFFF"/>
          <w:lang w:val="en-US" w:eastAsia="en-US"/>
        </w:rPr>
      </w:pPr>
      <w:r w:rsidRPr="00724342">
        <w:rPr>
          <w:rFonts w:eastAsia="Calibri"/>
          <w:b/>
          <w:color w:val="000000"/>
          <w:sz w:val="24"/>
          <w:szCs w:val="24"/>
          <w:shd w:val="clear" w:color="auto" w:fill="FFFFFF"/>
          <w:lang w:eastAsia="en-US"/>
        </w:rPr>
        <w:t>рынка</w:t>
      </w:r>
      <w:r w:rsidRPr="00724342">
        <w:rPr>
          <w:rFonts w:eastAsia="Calibri"/>
          <w:b/>
          <w:color w:val="000000"/>
          <w:sz w:val="24"/>
          <w:szCs w:val="24"/>
          <w:shd w:val="clear" w:color="auto" w:fill="FFFFFF"/>
          <w:lang w:val="en-US" w:eastAsia="en-US"/>
        </w:rPr>
        <w:t xml:space="preserve"> </w:t>
      </w:r>
      <w:r w:rsidRPr="00724342">
        <w:rPr>
          <w:rFonts w:eastAsia="Calibri"/>
          <w:b/>
          <w:color w:val="000000"/>
          <w:sz w:val="24"/>
          <w:szCs w:val="24"/>
          <w:shd w:val="clear" w:color="auto" w:fill="FFFFFF"/>
          <w:lang w:eastAsia="en-US"/>
        </w:rPr>
        <w:t>труда</w:t>
      </w:r>
    </w:p>
    <w:p w:rsidR="00724342" w:rsidRPr="00724342" w:rsidRDefault="00724342" w:rsidP="00724342">
      <w:pPr>
        <w:jc w:val="center"/>
        <w:rPr>
          <w:rFonts w:eastAsia="Calibri"/>
          <w:b/>
          <w:color w:val="000000"/>
          <w:sz w:val="24"/>
          <w:szCs w:val="24"/>
          <w:shd w:val="clear" w:color="auto" w:fill="FFFFFF"/>
          <w:lang w:val="en-US" w:eastAsia="en-US"/>
        </w:rPr>
      </w:pPr>
      <w:r w:rsidRPr="00724342">
        <w:rPr>
          <w:rFonts w:eastAsia="Calibri"/>
          <w:b/>
          <w:color w:val="000000"/>
          <w:sz w:val="24"/>
          <w:szCs w:val="24"/>
          <w:shd w:val="clear" w:color="auto" w:fill="FFFFFF"/>
          <w:lang w:val="en-US" w:eastAsia="en-US"/>
        </w:rPr>
        <w:t xml:space="preserve">The role of unemployment in the economic mechanism </w:t>
      </w:r>
    </w:p>
    <w:p w:rsidR="00724342" w:rsidRPr="00C609D1" w:rsidRDefault="00724342" w:rsidP="00724342">
      <w:pPr>
        <w:jc w:val="center"/>
        <w:rPr>
          <w:rFonts w:eastAsia="Calibri"/>
          <w:b/>
          <w:color w:val="000000"/>
          <w:sz w:val="24"/>
          <w:szCs w:val="24"/>
          <w:shd w:val="clear" w:color="auto" w:fill="FFFFFF"/>
          <w:lang w:val="en-US" w:eastAsia="en-US"/>
        </w:rPr>
      </w:pPr>
      <w:r w:rsidRPr="00724342">
        <w:rPr>
          <w:rFonts w:eastAsia="Calibri"/>
          <w:b/>
          <w:color w:val="000000"/>
          <w:sz w:val="24"/>
          <w:szCs w:val="24"/>
          <w:shd w:val="clear" w:color="auto" w:fill="FFFFFF"/>
          <w:lang w:val="en-US" w:eastAsia="en-US"/>
        </w:rPr>
        <w:t>of the labor market</w:t>
      </w:r>
    </w:p>
    <w:p w:rsidR="001074AB" w:rsidRPr="00C609D1" w:rsidRDefault="001074AB" w:rsidP="00724342">
      <w:pPr>
        <w:jc w:val="center"/>
        <w:rPr>
          <w:rFonts w:eastAsia="Calibri"/>
          <w:b/>
          <w:color w:val="000000"/>
          <w:sz w:val="24"/>
          <w:szCs w:val="24"/>
          <w:shd w:val="clear" w:color="auto" w:fill="FFFFFF"/>
          <w:lang w:val="en-US" w:eastAsia="en-US"/>
        </w:rPr>
      </w:pPr>
    </w:p>
    <w:p w:rsidR="00724342" w:rsidRPr="00C609D1" w:rsidRDefault="00724342" w:rsidP="001074AB">
      <w:pPr>
        <w:jc w:val="right"/>
        <w:rPr>
          <w:rFonts w:eastAsia="Calibri"/>
          <w:color w:val="000000"/>
          <w:sz w:val="22"/>
          <w:szCs w:val="22"/>
          <w:shd w:val="clear" w:color="auto" w:fill="FFFFFF"/>
          <w:lang w:val="en-US" w:eastAsia="en-US"/>
        </w:rPr>
      </w:pPr>
      <w:r w:rsidRPr="00724342">
        <w:rPr>
          <w:rFonts w:eastAsia="Calibri"/>
          <w:color w:val="000000"/>
          <w:sz w:val="22"/>
          <w:szCs w:val="22"/>
          <w:shd w:val="clear" w:color="auto" w:fill="FFFFFF"/>
          <w:lang w:eastAsia="en-US"/>
        </w:rPr>
        <w:t>Алмазова</w:t>
      </w:r>
      <w:r w:rsidRPr="00C609D1">
        <w:rPr>
          <w:rFonts w:eastAsia="Calibri"/>
          <w:color w:val="000000"/>
          <w:sz w:val="22"/>
          <w:szCs w:val="22"/>
          <w:shd w:val="clear" w:color="auto" w:fill="FFFFFF"/>
          <w:lang w:val="en-US" w:eastAsia="en-US"/>
        </w:rPr>
        <w:t xml:space="preserve"> </w:t>
      </w:r>
      <w:r w:rsidRPr="00724342">
        <w:rPr>
          <w:rFonts w:eastAsia="Calibri"/>
          <w:color w:val="000000"/>
          <w:sz w:val="22"/>
          <w:szCs w:val="22"/>
          <w:shd w:val="clear" w:color="auto" w:fill="FFFFFF"/>
          <w:lang w:eastAsia="en-US"/>
        </w:rPr>
        <w:t>В</w:t>
      </w:r>
      <w:r w:rsidRPr="00C609D1">
        <w:rPr>
          <w:rFonts w:eastAsia="Calibri"/>
          <w:color w:val="000000"/>
          <w:sz w:val="22"/>
          <w:szCs w:val="22"/>
          <w:shd w:val="clear" w:color="auto" w:fill="FFFFFF"/>
          <w:lang w:val="en-US" w:eastAsia="en-US"/>
        </w:rPr>
        <w:t xml:space="preserve">. </w:t>
      </w:r>
      <w:r w:rsidRPr="00724342">
        <w:rPr>
          <w:rFonts w:eastAsia="Calibri"/>
          <w:color w:val="000000"/>
          <w:sz w:val="22"/>
          <w:szCs w:val="22"/>
          <w:shd w:val="clear" w:color="auto" w:fill="FFFFFF"/>
          <w:lang w:eastAsia="en-US"/>
        </w:rPr>
        <w:t>В</w:t>
      </w:r>
      <w:r w:rsidRPr="00C609D1">
        <w:rPr>
          <w:rFonts w:eastAsia="Calibri"/>
          <w:color w:val="000000"/>
          <w:sz w:val="22"/>
          <w:szCs w:val="22"/>
          <w:shd w:val="clear" w:color="auto" w:fill="FFFFFF"/>
          <w:lang w:val="en-US" w:eastAsia="en-US"/>
        </w:rPr>
        <w:t xml:space="preserve">., </w:t>
      </w:r>
      <w:r w:rsidRPr="00724342">
        <w:rPr>
          <w:rFonts w:eastAsia="Calibri"/>
          <w:color w:val="000000"/>
          <w:sz w:val="22"/>
          <w:szCs w:val="22"/>
          <w:shd w:val="clear" w:color="auto" w:fill="FFFFFF"/>
          <w:lang w:eastAsia="en-US"/>
        </w:rPr>
        <w:t>Лесняк</w:t>
      </w:r>
      <w:r w:rsidRPr="00C609D1">
        <w:rPr>
          <w:rFonts w:eastAsia="Calibri"/>
          <w:color w:val="000000"/>
          <w:sz w:val="22"/>
          <w:szCs w:val="22"/>
          <w:shd w:val="clear" w:color="auto" w:fill="FFFFFF"/>
          <w:lang w:val="en-US" w:eastAsia="en-US"/>
        </w:rPr>
        <w:t xml:space="preserve"> </w:t>
      </w:r>
      <w:r w:rsidRPr="00724342">
        <w:rPr>
          <w:rFonts w:eastAsia="Calibri"/>
          <w:color w:val="000000"/>
          <w:sz w:val="22"/>
          <w:szCs w:val="22"/>
          <w:shd w:val="clear" w:color="auto" w:fill="FFFFFF"/>
          <w:lang w:eastAsia="en-US"/>
        </w:rPr>
        <w:t>А</w:t>
      </w:r>
      <w:r w:rsidRPr="00C609D1">
        <w:rPr>
          <w:rFonts w:eastAsia="Calibri"/>
          <w:color w:val="000000"/>
          <w:sz w:val="22"/>
          <w:szCs w:val="22"/>
          <w:shd w:val="clear" w:color="auto" w:fill="FFFFFF"/>
          <w:lang w:val="en-US" w:eastAsia="en-US"/>
        </w:rPr>
        <w:t xml:space="preserve">. </w:t>
      </w:r>
      <w:r w:rsidRPr="00724342">
        <w:rPr>
          <w:rFonts w:eastAsia="Calibri"/>
          <w:color w:val="000000"/>
          <w:sz w:val="22"/>
          <w:szCs w:val="22"/>
          <w:shd w:val="clear" w:color="auto" w:fill="FFFFFF"/>
          <w:lang w:eastAsia="en-US"/>
        </w:rPr>
        <w:t>С</w:t>
      </w:r>
      <w:r w:rsidRPr="00C609D1">
        <w:rPr>
          <w:rFonts w:eastAsia="Calibri"/>
          <w:color w:val="000000"/>
          <w:sz w:val="22"/>
          <w:szCs w:val="22"/>
          <w:shd w:val="clear" w:color="auto" w:fill="FFFFFF"/>
          <w:lang w:val="en-US" w:eastAsia="en-US"/>
        </w:rPr>
        <w:t xml:space="preserve">., </w:t>
      </w:r>
    </w:p>
    <w:p w:rsidR="00724342" w:rsidRPr="00724342" w:rsidRDefault="001074AB" w:rsidP="00724342">
      <w:pPr>
        <w:jc w:val="right"/>
        <w:rPr>
          <w:rFonts w:eastAsia="Calibri"/>
          <w:sz w:val="22"/>
          <w:szCs w:val="22"/>
        </w:rPr>
      </w:pPr>
      <w:r>
        <w:rPr>
          <w:rFonts w:eastAsia="Calibri"/>
          <w:sz w:val="22"/>
          <w:szCs w:val="22"/>
        </w:rPr>
        <w:t>студентки</w:t>
      </w:r>
      <w:r w:rsidR="00724342" w:rsidRPr="00724342">
        <w:rPr>
          <w:rFonts w:eastAsia="Calibri"/>
          <w:sz w:val="22"/>
          <w:szCs w:val="22"/>
        </w:rPr>
        <w:t xml:space="preserve"> 2-го курса экономического факультета</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 xml:space="preserve">Кубанский государственный аграрный </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университет имени И.Т. Трубилина</w:t>
      </w:r>
    </w:p>
    <w:p w:rsidR="00724342" w:rsidRPr="00724342" w:rsidRDefault="00724342" w:rsidP="00724342">
      <w:pPr>
        <w:jc w:val="right"/>
        <w:rPr>
          <w:rFonts w:eastAsia="Calibri"/>
          <w:color w:val="000000"/>
          <w:sz w:val="22"/>
          <w:szCs w:val="22"/>
          <w:shd w:val="clear" w:color="auto" w:fill="FFFFFF"/>
          <w:lang w:eastAsia="en-US"/>
        </w:rPr>
      </w:pPr>
    </w:p>
    <w:p w:rsidR="00724342" w:rsidRPr="00724342" w:rsidRDefault="00724342" w:rsidP="00850015">
      <w:pPr>
        <w:ind w:firstLine="426"/>
        <w:jc w:val="both"/>
        <w:rPr>
          <w:rFonts w:eastAsia="Calibri"/>
          <w:sz w:val="22"/>
          <w:szCs w:val="22"/>
          <w:lang w:eastAsia="en-US"/>
        </w:rPr>
      </w:pPr>
      <w:r w:rsidRPr="00724342">
        <w:rPr>
          <w:rFonts w:eastAsia="Courier New"/>
          <w:color w:val="000000"/>
          <w:sz w:val="22"/>
          <w:szCs w:val="22"/>
        </w:rPr>
        <w:t xml:space="preserve">АННОТАЦИЯ: </w:t>
      </w:r>
      <w:r w:rsidRPr="00724342">
        <w:rPr>
          <w:rFonts w:eastAsia="Calibri"/>
          <w:sz w:val="22"/>
          <w:szCs w:val="22"/>
          <w:lang w:eastAsia="en-US"/>
        </w:rPr>
        <w:t>Проанализированы тенденции безработицы в РФ в настоящее время, рассматриваются эффективные методы обеспечения работой трудоспособного населения, проанализиров</w:t>
      </w:r>
      <w:r w:rsidRPr="00724342">
        <w:rPr>
          <w:rFonts w:eastAsia="Calibri"/>
          <w:sz w:val="22"/>
          <w:szCs w:val="22"/>
          <w:lang w:eastAsia="en-US"/>
        </w:rPr>
        <w:t>а</w:t>
      </w:r>
      <w:r w:rsidRPr="00724342">
        <w:rPr>
          <w:rFonts w:eastAsia="Calibri"/>
          <w:sz w:val="22"/>
          <w:szCs w:val="22"/>
          <w:lang w:eastAsia="en-US"/>
        </w:rPr>
        <w:t>ны возможности преодоления безработицы и обеспечения занятости в России.</w:t>
      </w:r>
    </w:p>
    <w:p w:rsidR="00724342" w:rsidRPr="00724342" w:rsidRDefault="00724342" w:rsidP="00850015">
      <w:pPr>
        <w:ind w:firstLine="426"/>
        <w:jc w:val="both"/>
        <w:rPr>
          <w:rFonts w:eastAsia="Courier New"/>
          <w:color w:val="000000"/>
          <w:sz w:val="22"/>
          <w:szCs w:val="22"/>
          <w:lang w:val="en-US"/>
        </w:rPr>
      </w:pPr>
      <w:r w:rsidRPr="00724342">
        <w:rPr>
          <w:rFonts w:eastAsia="Courier New"/>
          <w:color w:val="000000"/>
          <w:sz w:val="22"/>
          <w:szCs w:val="22"/>
          <w:lang w:val="en-US"/>
        </w:rPr>
        <w:t>ABSTRACT: The trends of unemployment in the Russian Feder</w:t>
      </w:r>
      <w:r w:rsidRPr="00724342">
        <w:rPr>
          <w:rFonts w:eastAsia="Courier New"/>
          <w:color w:val="000000"/>
          <w:sz w:val="22"/>
          <w:szCs w:val="22"/>
          <w:lang w:val="en-US"/>
        </w:rPr>
        <w:t>a</w:t>
      </w:r>
      <w:r w:rsidRPr="00724342">
        <w:rPr>
          <w:rFonts w:eastAsia="Courier New"/>
          <w:color w:val="000000"/>
          <w:sz w:val="22"/>
          <w:szCs w:val="22"/>
          <w:lang w:val="en-US"/>
        </w:rPr>
        <w:t>tion are analyzed at the present time, effective methods of providing work for the able-bodied population are considered, the possibilities of overcoming unemployment and providing employment in Russia are analyzed.</w:t>
      </w:r>
    </w:p>
    <w:p w:rsidR="00724342" w:rsidRPr="00724342" w:rsidRDefault="00724342" w:rsidP="00850015">
      <w:pPr>
        <w:ind w:firstLine="426"/>
        <w:jc w:val="both"/>
        <w:rPr>
          <w:rFonts w:eastAsia="Calibri"/>
          <w:sz w:val="22"/>
          <w:szCs w:val="22"/>
          <w:lang w:eastAsia="en-US"/>
        </w:rPr>
      </w:pPr>
      <w:r w:rsidRPr="00724342">
        <w:rPr>
          <w:rFonts w:eastAsia="Courier New"/>
          <w:color w:val="000000"/>
          <w:sz w:val="22"/>
          <w:szCs w:val="22"/>
        </w:rPr>
        <w:t xml:space="preserve">КЛЮЧЕВЫЕ СЛОВА: </w:t>
      </w:r>
      <w:r w:rsidRPr="00724342">
        <w:rPr>
          <w:rFonts w:eastAsia="Calibri"/>
          <w:sz w:val="22"/>
          <w:szCs w:val="22"/>
          <w:lang w:eastAsia="en-US"/>
        </w:rPr>
        <w:t>безработица, рынок труда, экономика, рыночный механизм.</w:t>
      </w:r>
    </w:p>
    <w:p w:rsidR="00724342" w:rsidRPr="00724342" w:rsidRDefault="00724342" w:rsidP="00850015">
      <w:pPr>
        <w:ind w:firstLine="426"/>
        <w:jc w:val="both"/>
        <w:rPr>
          <w:rFonts w:eastAsia="Courier New"/>
          <w:color w:val="000000"/>
          <w:sz w:val="22"/>
          <w:szCs w:val="22"/>
          <w:lang w:val="en-US"/>
        </w:rPr>
      </w:pPr>
      <w:r w:rsidRPr="00724342">
        <w:rPr>
          <w:rFonts w:eastAsia="Courier New"/>
          <w:color w:val="000000"/>
          <w:sz w:val="22"/>
          <w:szCs w:val="22"/>
          <w:lang w:val="en-US"/>
        </w:rPr>
        <w:t>KEYWORDS: unemployment, labor market, economy, market mechanism.</w:t>
      </w:r>
    </w:p>
    <w:p w:rsidR="00724342" w:rsidRPr="00724342" w:rsidRDefault="00724342" w:rsidP="00850015">
      <w:pPr>
        <w:ind w:firstLine="426"/>
        <w:jc w:val="both"/>
        <w:rPr>
          <w:rFonts w:eastAsia="Courier New"/>
          <w:color w:val="000000"/>
          <w:sz w:val="22"/>
          <w:szCs w:val="22"/>
          <w:lang w:val="en-US"/>
        </w:rPr>
      </w:pPr>
    </w:p>
    <w:p w:rsidR="00724342" w:rsidRPr="00724342" w:rsidRDefault="00724342" w:rsidP="00850015">
      <w:pPr>
        <w:ind w:firstLine="426"/>
        <w:jc w:val="both"/>
        <w:rPr>
          <w:rFonts w:eastAsia="Calibri"/>
          <w:sz w:val="22"/>
          <w:szCs w:val="22"/>
          <w:lang w:eastAsia="en-US"/>
        </w:rPr>
      </w:pPr>
      <w:r w:rsidRPr="00724342">
        <w:rPr>
          <w:rFonts w:eastAsia="Courier New"/>
          <w:color w:val="000000"/>
          <w:sz w:val="22"/>
          <w:szCs w:val="22"/>
        </w:rPr>
        <w:t>Проблема безработицы является основным вопросом в</w:t>
      </w:r>
      <w:r w:rsidRPr="00724342">
        <w:rPr>
          <w:rFonts w:eastAsia="Calibri"/>
          <w:sz w:val="22"/>
          <w:szCs w:val="22"/>
          <w:lang w:eastAsia="en-US"/>
        </w:rPr>
        <w:t xml:space="preserve"> рыно</w:t>
      </w:r>
      <w:r w:rsidRPr="00724342">
        <w:rPr>
          <w:rFonts w:eastAsia="Calibri"/>
          <w:sz w:val="22"/>
          <w:szCs w:val="22"/>
          <w:lang w:eastAsia="en-US"/>
        </w:rPr>
        <w:t>ч</w:t>
      </w:r>
      <w:r w:rsidRPr="00724342">
        <w:rPr>
          <w:rFonts w:eastAsia="Calibri"/>
          <w:sz w:val="22"/>
          <w:szCs w:val="22"/>
          <w:lang w:eastAsia="en-US"/>
        </w:rPr>
        <w:t>ной экономике, и, не разрешив его нельзя нормализовать эффекти</w:t>
      </w:r>
      <w:r w:rsidRPr="00724342">
        <w:rPr>
          <w:rFonts w:eastAsia="Calibri"/>
          <w:sz w:val="22"/>
          <w:szCs w:val="22"/>
          <w:lang w:eastAsia="en-US"/>
        </w:rPr>
        <w:t>в</w:t>
      </w:r>
      <w:r w:rsidRPr="00724342">
        <w:rPr>
          <w:rFonts w:eastAsia="Calibri"/>
          <w:sz w:val="22"/>
          <w:szCs w:val="22"/>
          <w:lang w:eastAsia="en-US"/>
        </w:rPr>
        <w:t>ную деятельность экономики. Экономический спад в России, разв</w:t>
      </w:r>
      <w:r w:rsidRPr="00724342">
        <w:rPr>
          <w:rFonts w:eastAsia="Calibri"/>
          <w:sz w:val="22"/>
          <w:szCs w:val="22"/>
          <w:lang w:eastAsia="en-US"/>
        </w:rPr>
        <w:t>а</w:t>
      </w:r>
      <w:r w:rsidRPr="00724342">
        <w:rPr>
          <w:rFonts w:eastAsia="Calibri"/>
          <w:sz w:val="22"/>
          <w:szCs w:val="22"/>
          <w:lang w:eastAsia="en-US"/>
        </w:rPr>
        <w:lastRenderedPageBreak/>
        <w:t>лив индустрию, не мог не затронуть рынок труда. По этой причине изучение проблемы безработицы и поиск путей её решения являе</w:t>
      </w:r>
      <w:r w:rsidRPr="00724342">
        <w:rPr>
          <w:rFonts w:eastAsia="Calibri"/>
          <w:sz w:val="22"/>
          <w:szCs w:val="22"/>
          <w:lang w:eastAsia="en-US"/>
        </w:rPr>
        <w:t>т</w:t>
      </w:r>
      <w:r w:rsidRPr="00724342">
        <w:rPr>
          <w:rFonts w:eastAsia="Calibri"/>
          <w:sz w:val="22"/>
          <w:szCs w:val="22"/>
          <w:lang w:eastAsia="en-US"/>
        </w:rPr>
        <w:t>ся не просто значимым, но и весьма важным в настоящее время в</w:t>
      </w:r>
      <w:r w:rsidRPr="00724342">
        <w:rPr>
          <w:rFonts w:eastAsia="Calibri"/>
          <w:sz w:val="22"/>
          <w:szCs w:val="22"/>
          <w:lang w:eastAsia="en-US"/>
        </w:rPr>
        <w:t>о</w:t>
      </w:r>
      <w:r w:rsidRPr="00724342">
        <w:rPr>
          <w:rFonts w:eastAsia="Calibri"/>
          <w:sz w:val="22"/>
          <w:szCs w:val="22"/>
          <w:lang w:eastAsia="en-US"/>
        </w:rPr>
        <w:t>просом.</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Потеря работы для многих людей означает сокращение жи</w:t>
      </w:r>
      <w:r w:rsidRPr="00724342">
        <w:rPr>
          <w:color w:val="000000"/>
          <w:sz w:val="22"/>
          <w:szCs w:val="22"/>
        </w:rPr>
        <w:t>з</w:t>
      </w:r>
      <w:r w:rsidRPr="00724342">
        <w:rPr>
          <w:color w:val="000000"/>
          <w:sz w:val="22"/>
          <w:szCs w:val="22"/>
        </w:rPr>
        <w:t>ненного уровня и наносит значительную психологическую травму [1]. Проблема безработицы зачастую является предметом политич</w:t>
      </w:r>
      <w:r w:rsidRPr="00724342">
        <w:rPr>
          <w:color w:val="000000"/>
          <w:sz w:val="22"/>
          <w:szCs w:val="22"/>
        </w:rPr>
        <w:t>е</w:t>
      </w:r>
      <w:r w:rsidRPr="00724342">
        <w:rPr>
          <w:color w:val="000000"/>
          <w:sz w:val="22"/>
          <w:szCs w:val="22"/>
        </w:rPr>
        <w:t>ских дискуссий. Безработица как экономическая категория является отражением сложности процесса и согласования предложения р</w:t>
      </w:r>
      <w:r w:rsidRPr="00724342">
        <w:rPr>
          <w:color w:val="000000"/>
          <w:sz w:val="22"/>
          <w:szCs w:val="22"/>
        </w:rPr>
        <w:t>а</w:t>
      </w:r>
      <w:r w:rsidRPr="00724342">
        <w:rPr>
          <w:color w:val="000000"/>
          <w:sz w:val="22"/>
          <w:szCs w:val="22"/>
        </w:rPr>
        <w:t>бочей силы со спросом на нее. Если ее расценивать в масштабах государства, она напрямую находится в зависимости от того, в к</w:t>
      </w:r>
      <w:r w:rsidRPr="00724342">
        <w:rPr>
          <w:color w:val="000000"/>
          <w:sz w:val="22"/>
          <w:szCs w:val="22"/>
        </w:rPr>
        <w:t>а</w:t>
      </w:r>
      <w:r w:rsidRPr="00724342">
        <w:rPr>
          <w:color w:val="000000"/>
          <w:sz w:val="22"/>
          <w:szCs w:val="22"/>
        </w:rPr>
        <w:t>кой степени обширна территория и как различаются в ней приро</w:t>
      </w:r>
      <w:r w:rsidRPr="00724342">
        <w:rPr>
          <w:color w:val="000000"/>
          <w:sz w:val="22"/>
          <w:szCs w:val="22"/>
        </w:rPr>
        <w:t>д</w:t>
      </w:r>
      <w:r w:rsidRPr="00724342">
        <w:rPr>
          <w:color w:val="000000"/>
          <w:sz w:val="22"/>
          <w:szCs w:val="22"/>
        </w:rPr>
        <w:t>но-климатические условия, какова структура экономики и какое место занимает в данной структуре промышленность, какими о</w:t>
      </w:r>
      <w:r w:rsidRPr="00724342">
        <w:rPr>
          <w:color w:val="000000"/>
          <w:sz w:val="22"/>
          <w:szCs w:val="22"/>
        </w:rPr>
        <w:t>т</w:t>
      </w:r>
      <w:r w:rsidRPr="00724342">
        <w:rPr>
          <w:color w:val="000000"/>
          <w:sz w:val="22"/>
          <w:szCs w:val="22"/>
        </w:rPr>
        <w:t>раслями и видами предприятий (по численности персонала) она в большей степени представлена. Среди прочих условий в той или иной степени постоянно фигурируют национальные традиции, о</w:t>
      </w:r>
      <w:r w:rsidRPr="00724342">
        <w:rPr>
          <w:color w:val="000000"/>
          <w:sz w:val="22"/>
          <w:szCs w:val="22"/>
        </w:rPr>
        <w:t>д</w:t>
      </w:r>
      <w:r w:rsidRPr="00724342">
        <w:rPr>
          <w:color w:val="000000"/>
          <w:sz w:val="22"/>
          <w:szCs w:val="22"/>
        </w:rPr>
        <w:t>нако главную роль играет политическое устройство общества. Именно от последнего зависит, в какой степени при согласовании предложения и спроса учитывается особенность наемного труда. Ведь он не только, как правило, главный или существенный исто</w:t>
      </w:r>
      <w:r w:rsidRPr="00724342">
        <w:rPr>
          <w:color w:val="000000"/>
          <w:sz w:val="22"/>
          <w:szCs w:val="22"/>
        </w:rPr>
        <w:t>ч</w:t>
      </w:r>
      <w:r w:rsidRPr="00724342">
        <w:rPr>
          <w:color w:val="000000"/>
          <w:sz w:val="22"/>
          <w:szCs w:val="22"/>
        </w:rPr>
        <w:t>ник дохода, но и способ реализации определенных актуальных установок и интересов человека в сфере профессиональной карь</w:t>
      </w:r>
      <w:r w:rsidRPr="00724342">
        <w:rPr>
          <w:color w:val="000000"/>
          <w:sz w:val="22"/>
          <w:szCs w:val="22"/>
        </w:rPr>
        <w:t>е</w:t>
      </w:r>
      <w:r w:rsidRPr="00724342">
        <w:rPr>
          <w:color w:val="000000"/>
          <w:sz w:val="22"/>
          <w:szCs w:val="22"/>
        </w:rPr>
        <w:t>ры.</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Таким образом, безработица - это объективно существующий спутник наемного труда независимо от того, признается экономика рыночной или нет и, в соответствии с этим, производятся либо нет официальная оценка численности и регистрация безработных.</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Непропорционально высокий уровень средней заработной пл</w:t>
      </w:r>
      <w:r w:rsidRPr="00724342">
        <w:rPr>
          <w:color w:val="000000"/>
          <w:sz w:val="22"/>
          <w:szCs w:val="22"/>
        </w:rPr>
        <w:t>а</w:t>
      </w:r>
      <w:r w:rsidRPr="00724342">
        <w:rPr>
          <w:color w:val="000000"/>
          <w:sz w:val="22"/>
          <w:szCs w:val="22"/>
        </w:rPr>
        <w:t>ты по отношению к производительности труда является только о</w:t>
      </w:r>
      <w:r w:rsidRPr="00724342">
        <w:rPr>
          <w:color w:val="000000"/>
          <w:sz w:val="22"/>
          <w:szCs w:val="22"/>
        </w:rPr>
        <w:t>д</w:t>
      </w:r>
      <w:r w:rsidRPr="00724342">
        <w:rPr>
          <w:color w:val="000000"/>
          <w:sz w:val="22"/>
          <w:szCs w:val="22"/>
        </w:rPr>
        <w:t>ной из факторов появления безработицы. Существуют и другие предпосылки, некоторые из которых имеют прямое отношение к России. Прежде всего, необходимо выделить, что в условиях р</w:t>
      </w:r>
      <w:r w:rsidRPr="00724342">
        <w:rPr>
          <w:color w:val="000000"/>
          <w:sz w:val="22"/>
          <w:szCs w:val="22"/>
        </w:rPr>
        <w:t>ы</w:t>
      </w:r>
      <w:r w:rsidRPr="00724342">
        <w:rPr>
          <w:color w:val="000000"/>
          <w:sz w:val="22"/>
          <w:szCs w:val="22"/>
        </w:rPr>
        <w:t xml:space="preserve">ночной экономики рынок труда прибывает в постоянном движении. Одни предприятия сокращают кадры, другие - увеличивают. Люди уходят на пенсию либо покидают работу по иным обстоятельствам. На их место приходят новые сотрудники, допустим, выпускники </w:t>
      </w:r>
      <w:r w:rsidRPr="00724342">
        <w:rPr>
          <w:color w:val="000000"/>
          <w:sz w:val="22"/>
          <w:szCs w:val="22"/>
        </w:rPr>
        <w:lastRenderedPageBreak/>
        <w:t>учебных учреждений. Движение рынка труда по-разному влияет на степень безработицы [2].</w:t>
      </w:r>
    </w:p>
    <w:p w:rsidR="00724342" w:rsidRPr="00724342" w:rsidRDefault="00724342" w:rsidP="00850015">
      <w:pPr>
        <w:ind w:firstLine="426"/>
        <w:contextualSpacing/>
        <w:jc w:val="both"/>
        <w:rPr>
          <w:rFonts w:eastAsia="Calibri"/>
          <w:sz w:val="22"/>
          <w:szCs w:val="22"/>
          <w:lang w:eastAsia="en-US"/>
        </w:rPr>
      </w:pPr>
      <w:r w:rsidRPr="00724342">
        <w:rPr>
          <w:rFonts w:eastAsia="Calibri"/>
          <w:sz w:val="22"/>
          <w:szCs w:val="22"/>
          <w:lang w:eastAsia="en-US"/>
        </w:rPr>
        <w:t>Снижение занятости трудоспособного населения в РФ об</w:t>
      </w:r>
      <w:r w:rsidRPr="00724342">
        <w:rPr>
          <w:rFonts w:eastAsia="Calibri"/>
          <w:sz w:val="22"/>
          <w:szCs w:val="22"/>
          <w:lang w:eastAsia="en-US"/>
        </w:rPr>
        <w:t>у</w:t>
      </w:r>
      <w:r w:rsidRPr="00724342">
        <w:rPr>
          <w:rFonts w:eastAsia="Calibri"/>
          <w:sz w:val="22"/>
          <w:szCs w:val="22"/>
          <w:lang w:eastAsia="en-US"/>
        </w:rPr>
        <w:t>словлено рядом причин. Первая - коренится в том, что отличител</w:t>
      </w:r>
      <w:r w:rsidRPr="00724342">
        <w:rPr>
          <w:rFonts w:eastAsia="Calibri"/>
          <w:sz w:val="22"/>
          <w:szCs w:val="22"/>
          <w:lang w:eastAsia="en-US"/>
        </w:rPr>
        <w:t>ь</w:t>
      </w:r>
      <w:r w:rsidRPr="00724342">
        <w:rPr>
          <w:rFonts w:eastAsia="Calibri"/>
          <w:sz w:val="22"/>
          <w:szCs w:val="22"/>
          <w:lang w:eastAsia="en-US"/>
        </w:rPr>
        <w:t>ной особенностью русской экономики считалась излишняя числе</w:t>
      </w:r>
      <w:r w:rsidRPr="00724342">
        <w:rPr>
          <w:rFonts w:eastAsia="Calibri"/>
          <w:sz w:val="22"/>
          <w:szCs w:val="22"/>
          <w:lang w:eastAsia="en-US"/>
        </w:rPr>
        <w:t>н</w:t>
      </w:r>
      <w:r w:rsidRPr="00724342">
        <w:rPr>
          <w:rFonts w:eastAsia="Calibri"/>
          <w:sz w:val="22"/>
          <w:szCs w:val="22"/>
          <w:lang w:eastAsia="en-US"/>
        </w:rPr>
        <w:t>ность производственного персонала компаний. Присутствие и</w:t>
      </w:r>
      <w:r w:rsidRPr="00724342">
        <w:rPr>
          <w:rFonts w:eastAsia="Calibri"/>
          <w:sz w:val="22"/>
          <w:szCs w:val="22"/>
          <w:lang w:eastAsia="en-US"/>
        </w:rPr>
        <w:t>з</w:t>
      </w:r>
      <w:r w:rsidRPr="00724342">
        <w:rPr>
          <w:rFonts w:eastAsia="Calibri"/>
          <w:sz w:val="22"/>
          <w:szCs w:val="22"/>
          <w:lang w:eastAsia="en-US"/>
        </w:rPr>
        <w:t>лишнего персонала задерживало введение новой техники и труд</w:t>
      </w:r>
      <w:r w:rsidRPr="00724342">
        <w:rPr>
          <w:rFonts w:eastAsia="Calibri"/>
          <w:sz w:val="22"/>
          <w:szCs w:val="22"/>
          <w:lang w:eastAsia="en-US"/>
        </w:rPr>
        <w:t>о</w:t>
      </w:r>
      <w:r w:rsidRPr="00724342">
        <w:rPr>
          <w:rFonts w:eastAsia="Calibri"/>
          <w:sz w:val="22"/>
          <w:szCs w:val="22"/>
          <w:lang w:eastAsia="en-US"/>
        </w:rPr>
        <w:t>сберегающих технологий, мешало увеличению производительности труда. С другой стороны, потребность оплачивать избыточных с</w:t>
      </w:r>
      <w:r w:rsidRPr="00724342">
        <w:rPr>
          <w:rFonts w:eastAsia="Calibri"/>
          <w:sz w:val="22"/>
          <w:szCs w:val="22"/>
          <w:lang w:eastAsia="en-US"/>
        </w:rPr>
        <w:t>о</w:t>
      </w:r>
      <w:r w:rsidRPr="00724342">
        <w:rPr>
          <w:rFonts w:eastAsia="Calibri"/>
          <w:sz w:val="22"/>
          <w:szCs w:val="22"/>
          <w:lang w:eastAsia="en-US"/>
        </w:rPr>
        <w:t>трудников необоснованно увеличивала расходы изготовления с в</w:t>
      </w:r>
      <w:r w:rsidRPr="00724342">
        <w:rPr>
          <w:rFonts w:eastAsia="Calibri"/>
          <w:sz w:val="22"/>
          <w:szCs w:val="22"/>
          <w:lang w:eastAsia="en-US"/>
        </w:rPr>
        <w:t>ы</w:t>
      </w:r>
      <w:r w:rsidRPr="00724342">
        <w:rPr>
          <w:rFonts w:eastAsia="Calibri"/>
          <w:sz w:val="22"/>
          <w:szCs w:val="22"/>
          <w:lang w:eastAsia="en-US"/>
        </w:rPr>
        <w:t>текающим отсюда ослаблением конкурентоспособности изготавл</w:t>
      </w:r>
      <w:r w:rsidRPr="00724342">
        <w:rPr>
          <w:rFonts w:eastAsia="Calibri"/>
          <w:sz w:val="22"/>
          <w:szCs w:val="22"/>
          <w:lang w:eastAsia="en-US"/>
        </w:rPr>
        <w:t>и</w:t>
      </w:r>
      <w:r w:rsidRPr="00724342">
        <w:rPr>
          <w:rFonts w:eastAsia="Calibri"/>
          <w:sz w:val="22"/>
          <w:szCs w:val="22"/>
          <w:lang w:eastAsia="en-US"/>
        </w:rPr>
        <w:t>ваемых товаров. Присутствие излишнего числа рабочих мест знач</w:t>
      </w:r>
      <w:r w:rsidRPr="00724342">
        <w:rPr>
          <w:rFonts w:eastAsia="Calibri"/>
          <w:sz w:val="22"/>
          <w:szCs w:val="22"/>
          <w:lang w:eastAsia="en-US"/>
        </w:rPr>
        <w:t>и</w:t>
      </w:r>
      <w:r w:rsidRPr="00724342">
        <w:rPr>
          <w:rFonts w:eastAsia="Calibri"/>
          <w:sz w:val="22"/>
          <w:szCs w:val="22"/>
          <w:lang w:eastAsia="en-US"/>
        </w:rPr>
        <w:t>ло искусственный недостаток рабочей мощи, а он подрывал дисц</w:t>
      </w:r>
      <w:r w:rsidRPr="00724342">
        <w:rPr>
          <w:rFonts w:eastAsia="Calibri"/>
          <w:sz w:val="22"/>
          <w:szCs w:val="22"/>
          <w:lang w:eastAsia="en-US"/>
        </w:rPr>
        <w:t>и</w:t>
      </w:r>
      <w:r w:rsidRPr="00724342">
        <w:rPr>
          <w:rFonts w:eastAsia="Calibri"/>
          <w:sz w:val="22"/>
          <w:szCs w:val="22"/>
          <w:lang w:eastAsia="en-US"/>
        </w:rPr>
        <w:t>плину труда, содействовал широкому распространению «вывод</w:t>
      </w:r>
      <w:r w:rsidRPr="00724342">
        <w:rPr>
          <w:rFonts w:eastAsia="Calibri"/>
          <w:sz w:val="22"/>
          <w:szCs w:val="22"/>
          <w:lang w:eastAsia="en-US"/>
        </w:rPr>
        <w:t>и</w:t>
      </w:r>
      <w:r w:rsidRPr="00724342">
        <w:rPr>
          <w:rFonts w:eastAsia="Calibri"/>
          <w:sz w:val="22"/>
          <w:szCs w:val="22"/>
          <w:lang w:eastAsia="en-US"/>
        </w:rPr>
        <w:t>ловки» в оплате сотрудников, сдерживанию у них стимула к наилучшей работе. Долгие годы была стабильная и крайне мног</w:t>
      </w:r>
      <w:r w:rsidRPr="00724342">
        <w:rPr>
          <w:rFonts w:eastAsia="Calibri"/>
          <w:sz w:val="22"/>
          <w:szCs w:val="22"/>
          <w:lang w:eastAsia="en-US"/>
        </w:rPr>
        <w:t>о</w:t>
      </w:r>
      <w:r w:rsidRPr="00724342">
        <w:rPr>
          <w:rFonts w:eastAsia="Calibri"/>
          <w:sz w:val="22"/>
          <w:szCs w:val="22"/>
          <w:lang w:eastAsia="en-US"/>
        </w:rPr>
        <w:t>численная скрытая безработица.</w:t>
      </w:r>
    </w:p>
    <w:p w:rsidR="00724342" w:rsidRPr="00724342" w:rsidRDefault="00724342" w:rsidP="00850015">
      <w:pPr>
        <w:ind w:firstLine="426"/>
        <w:contextualSpacing/>
        <w:jc w:val="both"/>
        <w:rPr>
          <w:rFonts w:eastAsia="Calibri"/>
          <w:sz w:val="22"/>
          <w:szCs w:val="22"/>
          <w:lang w:eastAsia="en-US"/>
        </w:rPr>
      </w:pPr>
      <w:r w:rsidRPr="00724342">
        <w:rPr>
          <w:rFonts w:eastAsia="Calibri"/>
          <w:sz w:val="22"/>
          <w:szCs w:val="22"/>
          <w:lang w:eastAsia="en-US"/>
        </w:rPr>
        <w:t>Вторая - переход к рыночным критериям оценки хозяйствов</w:t>
      </w:r>
      <w:r w:rsidRPr="00724342">
        <w:rPr>
          <w:rFonts w:eastAsia="Calibri"/>
          <w:sz w:val="22"/>
          <w:szCs w:val="22"/>
          <w:lang w:eastAsia="en-US"/>
        </w:rPr>
        <w:t>а</w:t>
      </w:r>
      <w:r w:rsidRPr="00724342">
        <w:rPr>
          <w:rFonts w:eastAsia="Calibri"/>
          <w:sz w:val="22"/>
          <w:szCs w:val="22"/>
          <w:lang w:eastAsia="en-US"/>
        </w:rPr>
        <w:t>ния компаний обнаруживает неплатежеспособность множества из них, так как они никак не могут адаптироваться к реальному спросу по типам продукции, её перечню, качеству, стоимости.</w:t>
      </w:r>
    </w:p>
    <w:p w:rsidR="00724342" w:rsidRPr="00724342" w:rsidRDefault="00724342" w:rsidP="00850015">
      <w:pPr>
        <w:ind w:firstLine="426"/>
        <w:contextualSpacing/>
        <w:jc w:val="both"/>
        <w:rPr>
          <w:rFonts w:eastAsia="Calibri"/>
          <w:sz w:val="22"/>
          <w:szCs w:val="22"/>
          <w:lang w:eastAsia="en-US"/>
        </w:rPr>
      </w:pPr>
      <w:r w:rsidRPr="00724342">
        <w:rPr>
          <w:rFonts w:eastAsia="Calibri"/>
          <w:sz w:val="22"/>
          <w:szCs w:val="22"/>
          <w:lang w:eastAsia="en-US"/>
        </w:rPr>
        <w:t>Третья - функционируют и репродуцирующие безработицу специфические причины - разрывы сформировавшихся хозяйстве</w:t>
      </w:r>
      <w:r w:rsidRPr="00724342">
        <w:rPr>
          <w:rFonts w:eastAsia="Calibri"/>
          <w:sz w:val="22"/>
          <w:szCs w:val="22"/>
          <w:lang w:eastAsia="en-US"/>
        </w:rPr>
        <w:t>н</w:t>
      </w:r>
      <w:r w:rsidRPr="00724342">
        <w:rPr>
          <w:rFonts w:eastAsia="Calibri"/>
          <w:sz w:val="22"/>
          <w:szCs w:val="22"/>
          <w:lang w:eastAsia="en-US"/>
        </w:rPr>
        <w:t>ных отношений между прежними союзными республиками СССР, а кроме того, между РФ и странами Восточной Европы. Данные ра</w:t>
      </w:r>
      <w:r w:rsidRPr="00724342">
        <w:rPr>
          <w:rFonts w:eastAsia="Calibri"/>
          <w:sz w:val="22"/>
          <w:szCs w:val="22"/>
          <w:lang w:eastAsia="en-US"/>
        </w:rPr>
        <w:t>з</w:t>
      </w:r>
      <w:r w:rsidRPr="00724342">
        <w:rPr>
          <w:rFonts w:eastAsia="Calibri"/>
          <w:sz w:val="22"/>
          <w:szCs w:val="22"/>
          <w:lang w:eastAsia="en-US"/>
        </w:rPr>
        <w:t>рывы резко усугубили состояние предприятий и по вещественно-промышленному обеспечению, и по сбыту продукции, что опять-таки никак не может не насыщать безработицу.</w:t>
      </w:r>
    </w:p>
    <w:p w:rsidR="00724342" w:rsidRPr="00724342" w:rsidRDefault="00724342" w:rsidP="00850015">
      <w:pPr>
        <w:ind w:firstLine="426"/>
        <w:contextualSpacing/>
        <w:jc w:val="both"/>
        <w:rPr>
          <w:rFonts w:eastAsia="Calibri"/>
          <w:sz w:val="22"/>
          <w:szCs w:val="22"/>
          <w:lang w:eastAsia="en-US"/>
        </w:rPr>
      </w:pPr>
      <w:r w:rsidRPr="00724342">
        <w:rPr>
          <w:rFonts w:eastAsia="Calibri"/>
          <w:sz w:val="22"/>
          <w:szCs w:val="22"/>
          <w:lang w:eastAsia="en-US"/>
        </w:rPr>
        <w:t>Развитие рынка труда в РФ, его моделирование, считается неотъемлемой составляющей развития рыночного механизма. Гла</w:t>
      </w:r>
      <w:r w:rsidRPr="00724342">
        <w:rPr>
          <w:rFonts w:eastAsia="Calibri"/>
          <w:sz w:val="22"/>
          <w:szCs w:val="22"/>
          <w:lang w:eastAsia="en-US"/>
        </w:rPr>
        <w:t>в</w:t>
      </w:r>
      <w:r w:rsidRPr="00724342">
        <w:rPr>
          <w:rFonts w:eastAsia="Calibri"/>
          <w:sz w:val="22"/>
          <w:szCs w:val="22"/>
          <w:lang w:eastAsia="en-US"/>
        </w:rPr>
        <w:t>ными направлениями его регулирования должны быть: борьба пр</w:t>
      </w:r>
      <w:r w:rsidRPr="00724342">
        <w:rPr>
          <w:rFonts w:eastAsia="Calibri"/>
          <w:sz w:val="22"/>
          <w:szCs w:val="22"/>
          <w:lang w:eastAsia="en-US"/>
        </w:rPr>
        <w:t>о</w:t>
      </w:r>
      <w:r w:rsidRPr="00724342">
        <w:rPr>
          <w:rFonts w:eastAsia="Calibri"/>
          <w:sz w:val="22"/>
          <w:szCs w:val="22"/>
          <w:lang w:eastAsia="en-US"/>
        </w:rPr>
        <w:t>тив последующего регресса производства; недопущение массовой безработицы; утверждение мер согласно увеличению уровня жизни населения и иные, немало значимые, условия.</w:t>
      </w:r>
    </w:p>
    <w:p w:rsidR="00724342" w:rsidRPr="00724342" w:rsidRDefault="00724342" w:rsidP="00850015">
      <w:pPr>
        <w:ind w:firstLine="426"/>
        <w:jc w:val="both"/>
        <w:rPr>
          <w:rFonts w:eastAsia="Calibri"/>
          <w:b/>
          <w:sz w:val="22"/>
          <w:szCs w:val="22"/>
          <w:lang w:eastAsia="en-US"/>
        </w:rPr>
      </w:pPr>
      <w:r w:rsidRPr="00724342">
        <w:rPr>
          <w:rFonts w:eastAsia="Calibri"/>
          <w:sz w:val="22"/>
          <w:szCs w:val="22"/>
          <w:lang w:eastAsia="en-US"/>
        </w:rPr>
        <w:t>Проблемы безработицы не находят решение в один этап, а н</w:t>
      </w:r>
      <w:r w:rsidRPr="00724342">
        <w:rPr>
          <w:rFonts w:eastAsia="Calibri"/>
          <w:sz w:val="22"/>
          <w:szCs w:val="22"/>
          <w:lang w:eastAsia="en-US"/>
        </w:rPr>
        <w:t>о</w:t>
      </w:r>
      <w:r w:rsidRPr="00724342">
        <w:rPr>
          <w:rFonts w:eastAsia="Calibri"/>
          <w:sz w:val="22"/>
          <w:szCs w:val="22"/>
          <w:lang w:eastAsia="en-US"/>
        </w:rPr>
        <w:t>сят характер многосторонних проектов, которые и следует ос</w:t>
      </w:r>
      <w:r w:rsidRPr="00724342">
        <w:rPr>
          <w:rFonts w:eastAsia="Calibri"/>
          <w:sz w:val="22"/>
          <w:szCs w:val="22"/>
          <w:lang w:eastAsia="en-US"/>
        </w:rPr>
        <w:t>у</w:t>
      </w:r>
      <w:r w:rsidRPr="00724342">
        <w:rPr>
          <w:rFonts w:eastAsia="Calibri"/>
          <w:sz w:val="22"/>
          <w:szCs w:val="22"/>
          <w:lang w:eastAsia="en-US"/>
        </w:rPr>
        <w:t>ществлять с целью снижения безработицы в РФ.</w:t>
      </w:r>
      <w:r w:rsidRPr="00724342">
        <w:rPr>
          <w:rFonts w:eastAsia="Calibri"/>
          <w:b/>
          <w:sz w:val="22"/>
          <w:szCs w:val="22"/>
          <w:lang w:eastAsia="en-US"/>
        </w:rPr>
        <w:t xml:space="preserve"> </w:t>
      </w:r>
    </w:p>
    <w:p w:rsidR="00724342" w:rsidRPr="00724342" w:rsidRDefault="00724342" w:rsidP="00850015">
      <w:pPr>
        <w:ind w:firstLine="426"/>
        <w:jc w:val="both"/>
        <w:rPr>
          <w:rFonts w:eastAsia="Calibri"/>
          <w:b/>
          <w:sz w:val="22"/>
          <w:szCs w:val="22"/>
          <w:lang w:eastAsia="en-US"/>
        </w:rPr>
      </w:pPr>
    </w:p>
    <w:p w:rsidR="00724342" w:rsidRPr="00724342" w:rsidRDefault="00724342" w:rsidP="00850015">
      <w:pPr>
        <w:ind w:firstLine="426"/>
        <w:contextualSpacing/>
        <w:jc w:val="center"/>
        <w:rPr>
          <w:rFonts w:eastAsia="Calibri"/>
          <w:sz w:val="22"/>
          <w:szCs w:val="22"/>
          <w:lang w:eastAsia="en-US"/>
        </w:rPr>
      </w:pPr>
      <w:r w:rsidRPr="00724342">
        <w:rPr>
          <w:rFonts w:eastAsia="Calibri"/>
          <w:sz w:val="22"/>
          <w:szCs w:val="22"/>
          <w:lang w:eastAsia="en-US"/>
        </w:rPr>
        <w:lastRenderedPageBreak/>
        <w:t>Список литературы</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1. Дмитриева А.Я. Проблема повышения пенсионного возраста в России. Ближайшее будущее/</w:t>
      </w:r>
      <w:hyperlink r:id="rId230" w:history="1">
        <w:r w:rsidRPr="00724342">
          <w:rPr>
            <w:rFonts w:eastAsia="Calibri"/>
            <w:sz w:val="22"/>
            <w:szCs w:val="22"/>
            <w:lang w:eastAsia="en-US"/>
          </w:rPr>
          <w:t>А.Я. Дмитриева</w:t>
        </w:r>
      </w:hyperlink>
      <w:r w:rsidRPr="00724342">
        <w:rPr>
          <w:rFonts w:eastAsia="Calibri"/>
          <w:sz w:val="22"/>
          <w:szCs w:val="22"/>
          <w:lang w:eastAsia="en-US"/>
        </w:rPr>
        <w:t>, </w:t>
      </w:r>
      <w:hyperlink r:id="rId231" w:history="1">
        <w:r w:rsidRPr="00724342">
          <w:rPr>
            <w:rFonts w:eastAsia="Calibri"/>
            <w:sz w:val="22"/>
            <w:szCs w:val="22"/>
            <w:lang w:eastAsia="en-US"/>
          </w:rPr>
          <w:t>В.С. Дубовик</w:t>
        </w:r>
      </w:hyperlink>
      <w:r w:rsidRPr="00724342">
        <w:rPr>
          <w:rFonts w:eastAsia="Calibri"/>
          <w:sz w:val="22"/>
          <w:szCs w:val="22"/>
          <w:lang w:eastAsia="en-US"/>
        </w:rPr>
        <w:t>, </w:t>
      </w:r>
      <w:hyperlink r:id="rId232" w:history="1">
        <w:r w:rsidRPr="00724342">
          <w:rPr>
            <w:rFonts w:eastAsia="Calibri"/>
            <w:sz w:val="22"/>
            <w:szCs w:val="22"/>
            <w:lang w:eastAsia="en-US"/>
          </w:rPr>
          <w:t>Г.Н. Литвиненко</w:t>
        </w:r>
      </w:hyperlink>
      <w:r w:rsidRPr="00724342">
        <w:rPr>
          <w:rFonts w:eastAsia="Calibri"/>
          <w:sz w:val="22"/>
          <w:szCs w:val="22"/>
          <w:lang w:eastAsia="en-US"/>
        </w:rPr>
        <w:t>//Сборник по материалам междунар. (заочной) науч.-практич. конф. «Современные научные исследования и разрабо</w:t>
      </w:r>
      <w:r w:rsidRPr="00724342">
        <w:rPr>
          <w:rFonts w:eastAsia="Calibri"/>
          <w:sz w:val="22"/>
          <w:szCs w:val="22"/>
          <w:lang w:eastAsia="en-US"/>
        </w:rPr>
        <w:t>т</w:t>
      </w:r>
      <w:r w:rsidRPr="00724342">
        <w:rPr>
          <w:rFonts w:eastAsia="Calibri"/>
          <w:sz w:val="22"/>
          <w:szCs w:val="22"/>
          <w:lang w:eastAsia="en-US"/>
        </w:rPr>
        <w:t>ки». Под общей редакцией А.И. Вострецова. 2017. С. 259-263.</w:t>
      </w:r>
    </w:p>
    <w:p w:rsidR="00724342" w:rsidRPr="00724342" w:rsidRDefault="00724342" w:rsidP="00850015">
      <w:pPr>
        <w:ind w:firstLine="426"/>
        <w:jc w:val="both"/>
        <w:rPr>
          <w:rFonts w:eastAsia="Calibri"/>
          <w:sz w:val="22"/>
          <w:szCs w:val="22"/>
          <w:lang w:eastAsia="en-US"/>
        </w:rPr>
      </w:pPr>
      <w:r w:rsidRPr="00724342">
        <w:rPr>
          <w:rFonts w:eastAsia="Calibri"/>
          <w:sz w:val="22"/>
          <w:szCs w:val="22"/>
          <w:lang w:eastAsia="en-US"/>
        </w:rPr>
        <w:t xml:space="preserve">2. Литвиненко Г.Н. </w:t>
      </w:r>
      <w:hyperlink r:id="rId233" w:history="1">
        <w:r w:rsidRPr="00724342">
          <w:rPr>
            <w:rFonts w:eastAsia="Calibri"/>
            <w:sz w:val="22"/>
            <w:szCs w:val="22"/>
            <w:lang w:eastAsia="en-US"/>
          </w:rPr>
          <w:t>Негативные последствия глобализации эк</w:t>
        </w:r>
        <w:r w:rsidRPr="00724342">
          <w:rPr>
            <w:rFonts w:eastAsia="Calibri"/>
            <w:sz w:val="22"/>
            <w:szCs w:val="22"/>
            <w:lang w:eastAsia="en-US"/>
          </w:rPr>
          <w:t>о</w:t>
        </w:r>
        <w:r w:rsidRPr="00724342">
          <w:rPr>
            <w:rFonts w:eastAsia="Calibri"/>
            <w:sz w:val="22"/>
            <w:szCs w:val="22"/>
            <w:lang w:eastAsia="en-US"/>
          </w:rPr>
          <w:t>номики</w:t>
        </w:r>
      </w:hyperlink>
      <w:r w:rsidRPr="00724342">
        <w:rPr>
          <w:rFonts w:eastAsia="Calibri"/>
          <w:sz w:val="22"/>
          <w:szCs w:val="22"/>
          <w:lang w:eastAsia="en-US"/>
        </w:rPr>
        <w:t xml:space="preserve"> / Г.Н. Литвиненко//Сб. ст. по материалам 72-й научно-практической конференции преподавателей по итогам НИР за 2016 г. «</w:t>
      </w:r>
      <w:hyperlink r:id="rId234" w:history="1">
        <w:r w:rsidRPr="00724342">
          <w:rPr>
            <w:rFonts w:eastAsia="Calibri"/>
            <w:sz w:val="22"/>
            <w:szCs w:val="22"/>
            <w:lang w:eastAsia="en-US"/>
          </w:rPr>
          <w:t>Научное обеспечение агропромышленного комплекса</w:t>
        </w:r>
      </w:hyperlink>
      <w:r w:rsidRPr="00724342">
        <w:rPr>
          <w:rFonts w:eastAsia="Calibri"/>
          <w:sz w:val="22"/>
          <w:szCs w:val="22"/>
          <w:lang w:eastAsia="en-US"/>
        </w:rPr>
        <w:t>», Красн</w:t>
      </w:r>
      <w:r w:rsidRPr="00724342">
        <w:rPr>
          <w:rFonts w:eastAsia="Calibri"/>
          <w:sz w:val="22"/>
          <w:szCs w:val="22"/>
          <w:lang w:eastAsia="en-US"/>
        </w:rPr>
        <w:t>о</w:t>
      </w:r>
      <w:r w:rsidRPr="00724342">
        <w:rPr>
          <w:rFonts w:eastAsia="Calibri"/>
          <w:sz w:val="22"/>
          <w:szCs w:val="22"/>
          <w:lang w:eastAsia="en-US"/>
        </w:rPr>
        <w:t>дар: КубГАУ.- 2017. -С. 591-592.</w:t>
      </w: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rPr>
          <w:rFonts w:eastAsiaTheme="minorHAnsi"/>
          <w:sz w:val="22"/>
          <w:szCs w:val="20"/>
          <w:lang w:eastAsia="en-US"/>
        </w:rPr>
      </w:pPr>
    </w:p>
    <w:p w:rsidR="00724342" w:rsidRPr="00724342" w:rsidRDefault="00724342" w:rsidP="00724342">
      <w:pPr>
        <w:rPr>
          <w:rFonts w:eastAsiaTheme="minorHAnsi"/>
          <w:sz w:val="22"/>
          <w:szCs w:val="20"/>
          <w:lang w:eastAsia="en-US"/>
        </w:rPr>
      </w:pPr>
      <w:r w:rsidRPr="00724342">
        <w:rPr>
          <w:rFonts w:eastAsiaTheme="minorHAnsi"/>
          <w:sz w:val="22"/>
          <w:szCs w:val="20"/>
          <w:lang w:eastAsia="en-US"/>
        </w:rPr>
        <w:t>УДК 004.896:336.719(004+336)</w:t>
      </w:r>
    </w:p>
    <w:p w:rsidR="00724342" w:rsidRPr="00724342" w:rsidRDefault="00724342" w:rsidP="00724342">
      <w:pPr>
        <w:rPr>
          <w:rFonts w:eastAsiaTheme="minorHAnsi"/>
          <w:sz w:val="20"/>
          <w:szCs w:val="20"/>
          <w:lang w:eastAsia="en-US"/>
        </w:rPr>
      </w:pPr>
    </w:p>
    <w:p w:rsidR="00724342" w:rsidRPr="00724342" w:rsidRDefault="00724342" w:rsidP="00724342">
      <w:pPr>
        <w:jc w:val="center"/>
        <w:rPr>
          <w:rFonts w:eastAsia="Calibri"/>
          <w:b/>
          <w:sz w:val="24"/>
          <w:szCs w:val="20"/>
          <w:lang w:eastAsia="en-US"/>
        </w:rPr>
      </w:pPr>
      <w:r w:rsidRPr="00724342">
        <w:rPr>
          <w:rFonts w:eastAsia="Calibri"/>
          <w:b/>
          <w:sz w:val="24"/>
          <w:szCs w:val="20"/>
          <w:lang w:eastAsia="en-US"/>
        </w:rPr>
        <w:t>Искусственный интеллект в финансовом секторе</w:t>
      </w:r>
    </w:p>
    <w:p w:rsidR="00724342" w:rsidRPr="00724342" w:rsidRDefault="00724342" w:rsidP="00724342">
      <w:pPr>
        <w:jc w:val="center"/>
        <w:rPr>
          <w:rFonts w:eastAsia="Calibri"/>
          <w:b/>
          <w:sz w:val="24"/>
          <w:szCs w:val="20"/>
          <w:lang w:eastAsia="en-US"/>
        </w:rPr>
      </w:pPr>
      <w:r w:rsidRPr="00724342">
        <w:rPr>
          <w:rFonts w:eastAsia="Calibri"/>
          <w:b/>
          <w:sz w:val="24"/>
          <w:szCs w:val="20"/>
          <w:lang w:val="en-US" w:eastAsia="en-US"/>
        </w:rPr>
        <w:t>Artificial</w:t>
      </w:r>
      <w:r w:rsidRPr="00724342">
        <w:rPr>
          <w:rFonts w:eastAsia="Calibri"/>
          <w:b/>
          <w:sz w:val="24"/>
          <w:szCs w:val="20"/>
          <w:lang w:eastAsia="en-US"/>
        </w:rPr>
        <w:t xml:space="preserve"> </w:t>
      </w:r>
      <w:r w:rsidRPr="00724342">
        <w:rPr>
          <w:rFonts w:eastAsia="Calibri"/>
          <w:b/>
          <w:sz w:val="24"/>
          <w:szCs w:val="20"/>
          <w:lang w:val="en-US" w:eastAsia="en-US"/>
        </w:rPr>
        <w:t>Intelligence</w:t>
      </w:r>
      <w:r w:rsidRPr="00724342">
        <w:rPr>
          <w:rFonts w:eastAsia="Calibri"/>
          <w:b/>
          <w:sz w:val="24"/>
          <w:szCs w:val="20"/>
          <w:lang w:eastAsia="en-US"/>
        </w:rPr>
        <w:t xml:space="preserve"> </w:t>
      </w:r>
      <w:r w:rsidRPr="00724342">
        <w:rPr>
          <w:rFonts w:eastAsia="Calibri"/>
          <w:b/>
          <w:sz w:val="24"/>
          <w:szCs w:val="20"/>
          <w:lang w:val="en-US" w:eastAsia="en-US"/>
        </w:rPr>
        <w:t>in</w:t>
      </w:r>
      <w:r w:rsidRPr="00724342">
        <w:rPr>
          <w:rFonts w:eastAsia="Calibri"/>
          <w:b/>
          <w:sz w:val="24"/>
          <w:szCs w:val="20"/>
          <w:lang w:eastAsia="en-US"/>
        </w:rPr>
        <w:t xml:space="preserve"> </w:t>
      </w:r>
      <w:r w:rsidRPr="00724342">
        <w:rPr>
          <w:rFonts w:eastAsia="Calibri"/>
          <w:b/>
          <w:sz w:val="24"/>
          <w:szCs w:val="20"/>
          <w:lang w:val="en-US" w:eastAsia="en-US"/>
        </w:rPr>
        <w:t>the</w:t>
      </w:r>
      <w:r w:rsidRPr="00724342">
        <w:rPr>
          <w:rFonts w:eastAsia="Calibri"/>
          <w:b/>
          <w:sz w:val="24"/>
          <w:szCs w:val="20"/>
          <w:lang w:eastAsia="en-US"/>
        </w:rPr>
        <w:t xml:space="preserve"> </w:t>
      </w:r>
      <w:r w:rsidRPr="00724342">
        <w:rPr>
          <w:rFonts w:eastAsia="Calibri"/>
          <w:b/>
          <w:sz w:val="24"/>
          <w:szCs w:val="20"/>
          <w:lang w:val="en-US" w:eastAsia="en-US"/>
        </w:rPr>
        <w:t>Financial</w:t>
      </w:r>
      <w:r w:rsidRPr="00724342">
        <w:rPr>
          <w:rFonts w:eastAsia="Calibri"/>
          <w:b/>
          <w:sz w:val="24"/>
          <w:szCs w:val="20"/>
          <w:lang w:eastAsia="en-US"/>
        </w:rPr>
        <w:t xml:space="preserve"> </w:t>
      </w:r>
      <w:r w:rsidRPr="00724342">
        <w:rPr>
          <w:rFonts w:eastAsia="Calibri"/>
          <w:b/>
          <w:sz w:val="24"/>
          <w:szCs w:val="20"/>
          <w:lang w:val="en-US" w:eastAsia="en-US"/>
        </w:rPr>
        <w:t>Sector</w:t>
      </w:r>
    </w:p>
    <w:p w:rsidR="00724342" w:rsidRPr="00724342" w:rsidRDefault="00724342" w:rsidP="00724342">
      <w:pPr>
        <w:jc w:val="center"/>
        <w:rPr>
          <w:rFonts w:eastAsia="Calibri"/>
          <w:sz w:val="22"/>
          <w:szCs w:val="22"/>
          <w:lang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Афанасьев В.</w:t>
      </w:r>
      <w:r w:rsidR="00850015">
        <w:rPr>
          <w:rFonts w:eastAsia="Calibri"/>
          <w:sz w:val="22"/>
          <w:szCs w:val="22"/>
          <w:lang w:eastAsia="en-US"/>
        </w:rPr>
        <w:t xml:space="preserve"> </w:t>
      </w:r>
      <w:r w:rsidRPr="00724342">
        <w:rPr>
          <w:rFonts w:eastAsia="Calibri"/>
          <w:sz w:val="22"/>
          <w:szCs w:val="22"/>
          <w:lang w:eastAsia="en-US"/>
        </w:rPr>
        <w:t>В.,</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магистрант 2-го курса экономического факультета</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Гайдук В.</w:t>
      </w:r>
      <w:r w:rsidR="00850015">
        <w:rPr>
          <w:rFonts w:eastAsia="Calibri"/>
          <w:sz w:val="22"/>
          <w:szCs w:val="22"/>
          <w:lang w:eastAsia="en-US"/>
        </w:rPr>
        <w:t xml:space="preserve"> </w:t>
      </w:r>
      <w:r w:rsidRPr="00724342">
        <w:rPr>
          <w:rFonts w:eastAsia="Calibri"/>
          <w:sz w:val="22"/>
          <w:szCs w:val="22"/>
          <w:lang w:eastAsia="en-US"/>
        </w:rPr>
        <w:t>И.,</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заведующий кафедрой ИЭиИМ, д.э.н., профессор</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 xml:space="preserve">Кубанский государственный аграрный </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университет имени И.Т. Трубилина</w:t>
      </w:r>
    </w:p>
    <w:p w:rsidR="00724342" w:rsidRPr="00724342" w:rsidRDefault="00724342" w:rsidP="00724342">
      <w:pPr>
        <w:jc w:val="right"/>
        <w:rPr>
          <w:rFonts w:eastAsiaTheme="minorHAnsi"/>
          <w:i/>
          <w:sz w:val="22"/>
          <w:szCs w:val="22"/>
          <w:lang w:eastAsia="en-US"/>
        </w:rPr>
      </w:pP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АННОТАЦИЯ: искусственный интеллект в финансовом сект</w:t>
      </w:r>
      <w:r w:rsidRPr="00850015">
        <w:rPr>
          <w:rFonts w:eastAsiaTheme="minorHAnsi"/>
          <w:sz w:val="22"/>
          <w:szCs w:val="22"/>
          <w:lang w:eastAsia="en-US"/>
        </w:rPr>
        <w:t>о</w:t>
      </w:r>
      <w:r w:rsidRPr="00850015">
        <w:rPr>
          <w:rFonts w:eastAsiaTheme="minorHAnsi"/>
          <w:sz w:val="22"/>
          <w:szCs w:val="22"/>
          <w:lang w:eastAsia="en-US"/>
        </w:rPr>
        <w:t xml:space="preserve">ре – это будущее развития банков, он позволяет автоматизировать многие процессы. </w:t>
      </w:r>
    </w:p>
    <w:p w:rsidR="00724342" w:rsidRPr="00850015" w:rsidRDefault="00724342" w:rsidP="00850015">
      <w:pPr>
        <w:ind w:firstLine="426"/>
        <w:jc w:val="both"/>
        <w:rPr>
          <w:rFonts w:eastAsiaTheme="minorHAnsi"/>
          <w:sz w:val="22"/>
          <w:szCs w:val="22"/>
          <w:lang w:val="en-US" w:eastAsia="en-US"/>
        </w:rPr>
      </w:pPr>
      <w:r w:rsidRPr="00850015">
        <w:rPr>
          <w:rFonts w:eastAsiaTheme="minorHAnsi"/>
          <w:sz w:val="22"/>
          <w:szCs w:val="22"/>
          <w:lang w:val="en-US" w:eastAsia="en-US"/>
        </w:rPr>
        <w:t>ABSTRACT: artificial intelligence in the financial sector is the f</w:t>
      </w:r>
      <w:r w:rsidRPr="00850015">
        <w:rPr>
          <w:rFonts w:eastAsiaTheme="minorHAnsi"/>
          <w:sz w:val="22"/>
          <w:szCs w:val="22"/>
          <w:lang w:val="en-US" w:eastAsia="en-US"/>
        </w:rPr>
        <w:t>u</w:t>
      </w:r>
      <w:r w:rsidRPr="00850015">
        <w:rPr>
          <w:rFonts w:eastAsiaTheme="minorHAnsi"/>
          <w:sz w:val="22"/>
          <w:szCs w:val="22"/>
          <w:lang w:val="en-US" w:eastAsia="en-US"/>
        </w:rPr>
        <w:t>ture development of banks, it allows to automate many processes.</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КЛЮЧЕВЫЕ СЛОВА: финансовые технологии, интеллект, и</w:t>
      </w:r>
      <w:r w:rsidRPr="00850015">
        <w:rPr>
          <w:rFonts w:eastAsiaTheme="minorHAnsi"/>
          <w:sz w:val="22"/>
          <w:szCs w:val="22"/>
          <w:lang w:eastAsia="en-US"/>
        </w:rPr>
        <w:t>с</w:t>
      </w:r>
      <w:r w:rsidRPr="00850015">
        <w:rPr>
          <w:rFonts w:eastAsiaTheme="minorHAnsi"/>
          <w:sz w:val="22"/>
          <w:szCs w:val="22"/>
          <w:lang w:eastAsia="en-US"/>
        </w:rPr>
        <w:t xml:space="preserve">кусственный интеллект, банк </w:t>
      </w:r>
    </w:p>
    <w:p w:rsidR="00724342" w:rsidRPr="00850015" w:rsidRDefault="00724342" w:rsidP="00850015">
      <w:pPr>
        <w:ind w:firstLine="426"/>
        <w:jc w:val="both"/>
        <w:rPr>
          <w:rFonts w:eastAsiaTheme="minorHAnsi"/>
          <w:sz w:val="22"/>
          <w:szCs w:val="22"/>
          <w:lang w:val="en-US" w:eastAsia="en-US"/>
        </w:rPr>
      </w:pPr>
      <w:r w:rsidRPr="00850015">
        <w:rPr>
          <w:rFonts w:eastAsiaTheme="minorHAnsi"/>
          <w:sz w:val="22"/>
          <w:szCs w:val="22"/>
          <w:lang w:val="en-US" w:eastAsia="en-US"/>
        </w:rPr>
        <w:t>KEYWORDS: financial technologies, intellect, artificial intell</w:t>
      </w:r>
      <w:r w:rsidRPr="00850015">
        <w:rPr>
          <w:rFonts w:eastAsiaTheme="minorHAnsi"/>
          <w:sz w:val="22"/>
          <w:szCs w:val="22"/>
          <w:lang w:val="en-US" w:eastAsia="en-US"/>
        </w:rPr>
        <w:t>i</w:t>
      </w:r>
      <w:r w:rsidRPr="00850015">
        <w:rPr>
          <w:rFonts w:eastAsiaTheme="minorHAnsi"/>
          <w:sz w:val="22"/>
          <w:szCs w:val="22"/>
          <w:lang w:val="en-US" w:eastAsia="en-US"/>
        </w:rPr>
        <w:t>gence, bank</w:t>
      </w:r>
    </w:p>
    <w:p w:rsidR="00724342" w:rsidRPr="00850015" w:rsidRDefault="00724342" w:rsidP="00850015">
      <w:pPr>
        <w:ind w:firstLine="426"/>
        <w:jc w:val="both"/>
        <w:rPr>
          <w:rFonts w:eastAsiaTheme="minorHAnsi"/>
          <w:sz w:val="22"/>
          <w:szCs w:val="22"/>
          <w:lang w:val="en-US" w:eastAsia="en-US"/>
        </w:rPr>
      </w:pP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Искусственный интеллект (ИИ) появился в 60-х годах прошл</w:t>
      </w:r>
      <w:r w:rsidRPr="00850015">
        <w:rPr>
          <w:rFonts w:eastAsiaTheme="minorHAnsi"/>
          <w:sz w:val="22"/>
          <w:szCs w:val="22"/>
          <w:lang w:eastAsia="en-US"/>
        </w:rPr>
        <w:t>о</w:t>
      </w:r>
      <w:r w:rsidRPr="00850015">
        <w:rPr>
          <w:rFonts w:eastAsiaTheme="minorHAnsi"/>
          <w:sz w:val="22"/>
          <w:szCs w:val="22"/>
          <w:lang w:eastAsia="en-US"/>
        </w:rPr>
        <w:t>го века. ИИ связан с задачей использования компьютеров для п</w:t>
      </w:r>
      <w:r w:rsidRPr="00850015">
        <w:rPr>
          <w:rFonts w:eastAsiaTheme="minorHAnsi"/>
          <w:sz w:val="22"/>
          <w:szCs w:val="22"/>
          <w:lang w:eastAsia="en-US"/>
        </w:rPr>
        <w:t>о</w:t>
      </w:r>
      <w:r w:rsidRPr="00850015">
        <w:rPr>
          <w:rFonts w:eastAsiaTheme="minorHAnsi"/>
          <w:sz w:val="22"/>
          <w:szCs w:val="22"/>
          <w:lang w:eastAsia="en-US"/>
        </w:rPr>
        <w:lastRenderedPageBreak/>
        <w:t>нимания человеческого интеллекта, но не обязательно ограничив</w:t>
      </w:r>
      <w:r w:rsidRPr="00850015">
        <w:rPr>
          <w:rFonts w:eastAsiaTheme="minorHAnsi"/>
          <w:sz w:val="22"/>
          <w:szCs w:val="22"/>
          <w:lang w:eastAsia="en-US"/>
        </w:rPr>
        <w:t>а</w:t>
      </w:r>
      <w:r w:rsidRPr="00850015">
        <w:rPr>
          <w:rFonts w:eastAsiaTheme="minorHAnsi"/>
          <w:sz w:val="22"/>
          <w:szCs w:val="22"/>
          <w:lang w:eastAsia="en-US"/>
        </w:rPr>
        <w:t>ется биологически правдоподобными методами [1].</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После небольшого промежутка времени многие ученые ост</w:t>
      </w:r>
      <w:r w:rsidRPr="00850015">
        <w:rPr>
          <w:rFonts w:eastAsiaTheme="minorHAnsi"/>
          <w:sz w:val="22"/>
          <w:szCs w:val="22"/>
          <w:lang w:eastAsia="en-US"/>
        </w:rPr>
        <w:t>а</w:t>
      </w:r>
      <w:r w:rsidRPr="00850015">
        <w:rPr>
          <w:rFonts w:eastAsiaTheme="minorHAnsi"/>
          <w:sz w:val="22"/>
          <w:szCs w:val="22"/>
          <w:lang w:eastAsia="en-US"/>
        </w:rPr>
        <w:t>вили исследование ИИ, так как не хватало мощностей вычисл</w:t>
      </w:r>
      <w:r w:rsidRPr="00850015">
        <w:rPr>
          <w:rFonts w:eastAsiaTheme="minorHAnsi"/>
          <w:sz w:val="22"/>
          <w:szCs w:val="22"/>
          <w:lang w:eastAsia="en-US"/>
        </w:rPr>
        <w:t>и</w:t>
      </w:r>
      <w:r w:rsidRPr="00850015">
        <w:rPr>
          <w:rFonts w:eastAsiaTheme="minorHAnsi"/>
          <w:sz w:val="22"/>
          <w:szCs w:val="22"/>
          <w:lang w:eastAsia="en-US"/>
        </w:rPr>
        <w:t>тельных машин, но теперь, ИИ вновь имеет огромную популя</w:t>
      </w:r>
      <w:r w:rsidRPr="00850015">
        <w:rPr>
          <w:rFonts w:eastAsiaTheme="minorHAnsi"/>
          <w:sz w:val="22"/>
          <w:szCs w:val="22"/>
          <w:lang w:eastAsia="en-US"/>
        </w:rPr>
        <w:t>р</w:t>
      </w:r>
      <w:r w:rsidRPr="00850015">
        <w:rPr>
          <w:rFonts w:eastAsiaTheme="minorHAnsi"/>
          <w:sz w:val="22"/>
          <w:szCs w:val="22"/>
          <w:lang w:eastAsia="en-US"/>
        </w:rPr>
        <w:t>ность. Будет ли на Искусственный интеллект соперником субъектов финансового сектора? Каким образом, банки уже используют, так называемые финансовые технологии? И как ИИ в конечном счете может изменить картину финансового рынка?</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Финансовый сектор, в целом, движется к технологической р</w:t>
      </w:r>
      <w:r w:rsidRPr="00850015">
        <w:rPr>
          <w:rFonts w:eastAsiaTheme="minorHAnsi"/>
          <w:sz w:val="22"/>
          <w:szCs w:val="22"/>
          <w:lang w:eastAsia="en-US"/>
        </w:rPr>
        <w:t>е</w:t>
      </w:r>
      <w:r w:rsidRPr="00850015">
        <w:rPr>
          <w:rFonts w:eastAsiaTheme="minorHAnsi"/>
          <w:sz w:val="22"/>
          <w:szCs w:val="22"/>
          <w:lang w:eastAsia="en-US"/>
        </w:rPr>
        <w:t>волюции.</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Банки используют системы ИИ для автоматизации своих оп</w:t>
      </w:r>
      <w:r w:rsidRPr="00850015">
        <w:rPr>
          <w:rFonts w:eastAsiaTheme="minorHAnsi"/>
          <w:sz w:val="22"/>
          <w:szCs w:val="22"/>
          <w:lang w:eastAsia="en-US"/>
        </w:rPr>
        <w:t>е</w:t>
      </w:r>
      <w:r w:rsidRPr="00850015">
        <w:rPr>
          <w:rFonts w:eastAsiaTheme="minorHAnsi"/>
          <w:sz w:val="22"/>
          <w:szCs w:val="22"/>
          <w:lang w:eastAsia="en-US"/>
        </w:rPr>
        <w:t>раций, инвестирования средств в ценные бумаги и управление ра</w:t>
      </w:r>
      <w:r w:rsidRPr="00850015">
        <w:rPr>
          <w:rFonts w:eastAsiaTheme="minorHAnsi"/>
          <w:sz w:val="22"/>
          <w:szCs w:val="22"/>
          <w:lang w:eastAsia="en-US"/>
        </w:rPr>
        <w:t>з</w:t>
      </w:r>
      <w:r w:rsidRPr="00850015">
        <w:rPr>
          <w:rFonts w:eastAsiaTheme="minorHAnsi"/>
          <w:sz w:val="22"/>
          <w:szCs w:val="22"/>
          <w:lang w:eastAsia="en-US"/>
        </w:rPr>
        <w:t>личными процессами, например, как средство для управления ри</w:t>
      </w:r>
      <w:r w:rsidRPr="00850015">
        <w:rPr>
          <w:rFonts w:eastAsiaTheme="minorHAnsi"/>
          <w:sz w:val="22"/>
          <w:szCs w:val="22"/>
          <w:lang w:eastAsia="en-US"/>
        </w:rPr>
        <w:t>с</w:t>
      </w:r>
      <w:r w:rsidRPr="00850015">
        <w:rPr>
          <w:rFonts w:eastAsiaTheme="minorHAnsi"/>
          <w:sz w:val="22"/>
          <w:szCs w:val="22"/>
          <w:lang w:eastAsia="en-US"/>
        </w:rPr>
        <w:t>ками, связанными с незаконными действиями инсайдеров. Есть д</w:t>
      </w:r>
      <w:r w:rsidRPr="00850015">
        <w:rPr>
          <w:rFonts w:eastAsiaTheme="minorHAnsi"/>
          <w:sz w:val="22"/>
          <w:szCs w:val="22"/>
          <w:lang w:eastAsia="en-US"/>
        </w:rPr>
        <w:t>а</w:t>
      </w:r>
      <w:r w:rsidRPr="00850015">
        <w:rPr>
          <w:rFonts w:eastAsiaTheme="minorHAnsi"/>
          <w:sz w:val="22"/>
          <w:szCs w:val="22"/>
          <w:lang w:eastAsia="en-US"/>
        </w:rPr>
        <w:t>же фонды, которые проводят инвестирование с помощью роботов консультантов, такие «консультанты» в зависимости от располага</w:t>
      </w:r>
      <w:r w:rsidRPr="00850015">
        <w:rPr>
          <w:rFonts w:eastAsiaTheme="minorHAnsi"/>
          <w:sz w:val="22"/>
          <w:szCs w:val="22"/>
          <w:lang w:eastAsia="en-US"/>
        </w:rPr>
        <w:t>е</w:t>
      </w:r>
      <w:r w:rsidRPr="00850015">
        <w:rPr>
          <w:rFonts w:eastAsiaTheme="minorHAnsi"/>
          <w:sz w:val="22"/>
          <w:szCs w:val="22"/>
          <w:lang w:eastAsia="en-US"/>
        </w:rPr>
        <w:t>мой, автоматически решают, какие инвестиции в настоящий момент являются лучшими.</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Финансовые технологии сектора кредитования, в основном, используют как средства анализа, прогнозирования и автоматиз</w:t>
      </w:r>
      <w:r w:rsidRPr="00850015">
        <w:rPr>
          <w:rFonts w:eastAsiaTheme="minorHAnsi"/>
          <w:sz w:val="22"/>
          <w:szCs w:val="22"/>
          <w:lang w:eastAsia="en-US"/>
        </w:rPr>
        <w:t>и</w:t>
      </w:r>
      <w:r w:rsidRPr="00850015">
        <w:rPr>
          <w:rFonts w:eastAsiaTheme="minorHAnsi"/>
          <w:sz w:val="22"/>
          <w:szCs w:val="22"/>
          <w:lang w:eastAsia="en-US"/>
        </w:rPr>
        <w:t>рованной системы принятия решений, для построения моделей кр</w:t>
      </w:r>
      <w:r w:rsidRPr="00850015">
        <w:rPr>
          <w:rFonts w:eastAsiaTheme="minorHAnsi"/>
          <w:sz w:val="22"/>
          <w:szCs w:val="22"/>
          <w:lang w:eastAsia="en-US"/>
        </w:rPr>
        <w:t>е</w:t>
      </w:r>
      <w:r w:rsidRPr="00850015">
        <w:rPr>
          <w:rFonts w:eastAsiaTheme="minorHAnsi"/>
          <w:sz w:val="22"/>
          <w:szCs w:val="22"/>
          <w:lang w:eastAsia="en-US"/>
        </w:rPr>
        <w:t>дитного риска и предсказание займов (без выплаты) [2, 3, 4].</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Несколько новых технологий которые уже используются ба</w:t>
      </w:r>
      <w:r w:rsidRPr="00850015">
        <w:rPr>
          <w:rFonts w:eastAsiaTheme="minorHAnsi"/>
          <w:sz w:val="22"/>
          <w:szCs w:val="22"/>
          <w:lang w:eastAsia="en-US"/>
        </w:rPr>
        <w:t>н</w:t>
      </w:r>
      <w:r w:rsidRPr="00850015">
        <w:rPr>
          <w:rFonts w:eastAsiaTheme="minorHAnsi"/>
          <w:sz w:val="22"/>
          <w:szCs w:val="22"/>
          <w:lang w:eastAsia="en-US"/>
        </w:rPr>
        <w:t xml:space="preserve">ками это: </w:t>
      </w:r>
    </w:p>
    <w:p w:rsidR="00724342" w:rsidRPr="00850015" w:rsidRDefault="00724342" w:rsidP="00850015">
      <w:pPr>
        <w:numPr>
          <w:ilvl w:val="0"/>
          <w:numId w:val="86"/>
        </w:numPr>
        <w:ind w:left="0" w:firstLine="426"/>
        <w:contextualSpacing/>
        <w:jc w:val="both"/>
        <w:rPr>
          <w:rFonts w:eastAsiaTheme="minorHAnsi"/>
          <w:sz w:val="22"/>
          <w:szCs w:val="22"/>
          <w:lang w:eastAsia="en-US"/>
        </w:rPr>
      </w:pPr>
      <w:r w:rsidRPr="00850015">
        <w:rPr>
          <w:rFonts w:eastAsiaTheme="minorHAnsi"/>
          <w:color w:val="000000"/>
          <w:sz w:val="22"/>
          <w:szCs w:val="22"/>
          <w:shd w:val="clear" w:color="auto" w:fill="FFFFFF"/>
          <w:lang w:eastAsia="en-US"/>
        </w:rPr>
        <w:t>Кэбейдж (Kabbage</w:t>
      </w:r>
      <w:r w:rsidRPr="00850015">
        <w:rPr>
          <w:rFonts w:eastAsiaTheme="minorHAnsi"/>
          <w:b/>
          <w:bCs/>
          <w:color w:val="000000"/>
          <w:sz w:val="22"/>
          <w:szCs w:val="22"/>
          <w:shd w:val="clear" w:color="auto" w:fill="FFFFFF"/>
          <w:lang w:eastAsia="en-US"/>
        </w:rPr>
        <w:t>);</w:t>
      </w:r>
    </w:p>
    <w:p w:rsidR="00724342" w:rsidRPr="00850015" w:rsidRDefault="00724342" w:rsidP="00850015">
      <w:pPr>
        <w:numPr>
          <w:ilvl w:val="0"/>
          <w:numId w:val="86"/>
        </w:numPr>
        <w:ind w:left="0" w:firstLine="426"/>
        <w:contextualSpacing/>
        <w:jc w:val="both"/>
        <w:rPr>
          <w:rFonts w:eastAsiaTheme="minorHAnsi"/>
          <w:sz w:val="22"/>
          <w:szCs w:val="22"/>
          <w:lang w:eastAsia="en-US"/>
        </w:rPr>
      </w:pPr>
      <w:r w:rsidRPr="00850015">
        <w:rPr>
          <w:rFonts w:eastAsiaTheme="minorHAnsi"/>
          <w:color w:val="000000"/>
          <w:sz w:val="22"/>
          <w:szCs w:val="22"/>
          <w:shd w:val="clear" w:color="auto" w:fill="FFFFFF"/>
          <w:lang w:eastAsia="en-US"/>
        </w:rPr>
        <w:t>ЛендАп (LendUp);</w:t>
      </w:r>
    </w:p>
    <w:p w:rsidR="00724342" w:rsidRPr="00850015" w:rsidRDefault="00724342" w:rsidP="00850015">
      <w:pPr>
        <w:numPr>
          <w:ilvl w:val="0"/>
          <w:numId w:val="86"/>
        </w:numPr>
        <w:ind w:left="0" w:firstLine="426"/>
        <w:contextualSpacing/>
        <w:jc w:val="both"/>
        <w:rPr>
          <w:rFonts w:eastAsiaTheme="minorHAnsi"/>
          <w:sz w:val="22"/>
          <w:szCs w:val="22"/>
          <w:lang w:eastAsia="en-US"/>
        </w:rPr>
      </w:pPr>
      <w:r w:rsidRPr="00850015">
        <w:rPr>
          <w:rFonts w:eastAsiaTheme="minorHAnsi"/>
          <w:color w:val="000000"/>
          <w:sz w:val="22"/>
          <w:szCs w:val="22"/>
          <w:shd w:val="clear" w:color="auto" w:fill="FFFFFF"/>
          <w:lang w:eastAsia="en-US"/>
        </w:rPr>
        <w:t>Афирм (Affirm</w:t>
      </w:r>
      <w:r w:rsidRPr="00850015">
        <w:rPr>
          <w:rFonts w:eastAsiaTheme="minorHAnsi"/>
          <w:b/>
          <w:bCs/>
          <w:color w:val="000000"/>
          <w:sz w:val="22"/>
          <w:szCs w:val="22"/>
          <w:shd w:val="clear" w:color="auto" w:fill="FFFFFF"/>
          <w:lang w:eastAsia="en-US"/>
        </w:rPr>
        <w:t>).</w:t>
      </w:r>
    </w:p>
    <w:p w:rsidR="00724342" w:rsidRPr="00850015" w:rsidRDefault="00724342" w:rsidP="00850015">
      <w:pPr>
        <w:ind w:firstLine="426"/>
        <w:jc w:val="both"/>
        <w:rPr>
          <w:rFonts w:eastAsiaTheme="minorHAnsi"/>
          <w:sz w:val="22"/>
          <w:szCs w:val="22"/>
          <w:lang w:eastAsia="en-US"/>
        </w:rPr>
      </w:pPr>
      <w:r w:rsidRPr="00850015">
        <w:rPr>
          <w:rFonts w:eastAsiaTheme="minorHAnsi"/>
          <w:sz w:val="22"/>
          <w:szCs w:val="22"/>
          <w:lang w:eastAsia="en-US"/>
        </w:rPr>
        <w:t>Новые технологии помогут банкам увеличить свой доход за счёт снижения издержек, повышения производительности и более точного выполнения требований регулятора. Однако для этого крайне важно понимать сущность и мощь искусственного инте</w:t>
      </w:r>
      <w:r w:rsidRPr="00850015">
        <w:rPr>
          <w:rFonts w:eastAsiaTheme="minorHAnsi"/>
          <w:sz w:val="22"/>
          <w:szCs w:val="22"/>
          <w:lang w:eastAsia="en-US"/>
        </w:rPr>
        <w:t>л</w:t>
      </w:r>
      <w:r w:rsidRPr="00850015">
        <w:rPr>
          <w:rFonts w:eastAsiaTheme="minorHAnsi"/>
          <w:sz w:val="22"/>
          <w:szCs w:val="22"/>
          <w:lang w:eastAsia="en-US"/>
        </w:rPr>
        <w:t>лекта, разработать стратегию их внедрения, предоставить досту</w:t>
      </w:r>
      <w:r w:rsidRPr="00850015">
        <w:rPr>
          <w:rFonts w:eastAsiaTheme="minorHAnsi"/>
          <w:sz w:val="22"/>
          <w:szCs w:val="22"/>
          <w:lang w:eastAsia="en-US"/>
        </w:rPr>
        <w:t>п</w:t>
      </w:r>
      <w:r w:rsidRPr="00850015">
        <w:rPr>
          <w:rFonts w:eastAsiaTheme="minorHAnsi"/>
          <w:sz w:val="22"/>
          <w:szCs w:val="22"/>
          <w:lang w:eastAsia="en-US"/>
        </w:rPr>
        <w:t>ность информации и организовать управление и контроль за изм</w:t>
      </w:r>
      <w:r w:rsidRPr="00850015">
        <w:rPr>
          <w:rFonts w:eastAsiaTheme="minorHAnsi"/>
          <w:sz w:val="22"/>
          <w:szCs w:val="22"/>
          <w:lang w:eastAsia="en-US"/>
        </w:rPr>
        <w:t>е</w:t>
      </w:r>
      <w:r w:rsidRPr="00850015">
        <w:rPr>
          <w:rFonts w:eastAsiaTheme="minorHAnsi"/>
          <w:sz w:val="22"/>
          <w:szCs w:val="22"/>
          <w:lang w:eastAsia="en-US"/>
        </w:rPr>
        <w:t>нениями, которые привнесёт искусственный интеллект.</w:t>
      </w:r>
    </w:p>
    <w:p w:rsidR="00724342" w:rsidRPr="00850015" w:rsidRDefault="00724342" w:rsidP="00850015">
      <w:pPr>
        <w:ind w:firstLine="426"/>
        <w:jc w:val="both"/>
        <w:rPr>
          <w:rFonts w:eastAsiaTheme="minorHAnsi"/>
          <w:sz w:val="22"/>
          <w:szCs w:val="22"/>
          <w:lang w:eastAsia="en-US"/>
        </w:rPr>
      </w:pPr>
    </w:p>
    <w:p w:rsidR="00724342" w:rsidRPr="00850015" w:rsidRDefault="00724342" w:rsidP="00850015">
      <w:pPr>
        <w:ind w:firstLine="426"/>
        <w:jc w:val="center"/>
        <w:rPr>
          <w:rFonts w:eastAsiaTheme="minorHAnsi"/>
          <w:sz w:val="22"/>
          <w:szCs w:val="22"/>
          <w:lang w:eastAsia="en-US"/>
        </w:rPr>
      </w:pPr>
      <w:r w:rsidRPr="00850015">
        <w:rPr>
          <w:rFonts w:eastAsiaTheme="minorHAnsi"/>
          <w:sz w:val="22"/>
          <w:szCs w:val="22"/>
          <w:lang w:eastAsia="en-US"/>
        </w:rPr>
        <w:t>Список литературы</w:t>
      </w:r>
    </w:p>
    <w:p w:rsidR="00724342" w:rsidRPr="00850015" w:rsidRDefault="00724342" w:rsidP="00850015">
      <w:pPr>
        <w:numPr>
          <w:ilvl w:val="0"/>
          <w:numId w:val="87"/>
        </w:numPr>
        <w:ind w:left="0" w:firstLine="426"/>
        <w:contextualSpacing/>
        <w:jc w:val="both"/>
        <w:rPr>
          <w:sz w:val="22"/>
          <w:szCs w:val="22"/>
        </w:rPr>
      </w:pPr>
      <w:r w:rsidRPr="00850015">
        <w:rPr>
          <w:rFonts w:eastAsiaTheme="minorHAnsi"/>
          <w:sz w:val="22"/>
          <w:szCs w:val="22"/>
          <w:lang w:eastAsia="en-US"/>
        </w:rPr>
        <w:lastRenderedPageBreak/>
        <w:t xml:space="preserve">Информатика: учебное пособие / </w:t>
      </w:r>
      <w:r w:rsidRPr="00850015">
        <w:rPr>
          <w:iCs/>
          <w:sz w:val="22"/>
          <w:szCs w:val="22"/>
        </w:rPr>
        <w:t>Тимченко С.В., Сметанин С. В., Артемов И. Л. и др. Томск : ТУСУР, 2011 – 160 с.</w:t>
      </w:r>
    </w:p>
    <w:p w:rsidR="00724342" w:rsidRPr="00850015" w:rsidRDefault="00724342" w:rsidP="00850015">
      <w:pPr>
        <w:numPr>
          <w:ilvl w:val="0"/>
          <w:numId w:val="87"/>
        </w:numPr>
        <w:ind w:left="0" w:firstLine="426"/>
        <w:contextualSpacing/>
        <w:jc w:val="both"/>
        <w:rPr>
          <w:sz w:val="22"/>
          <w:szCs w:val="22"/>
        </w:rPr>
      </w:pPr>
      <w:r w:rsidRPr="00850015">
        <w:rPr>
          <w:rFonts w:eastAsiaTheme="minorHAnsi"/>
          <w:bCs/>
          <w:sz w:val="22"/>
          <w:szCs w:val="22"/>
          <w:lang w:eastAsia="en-US"/>
        </w:rPr>
        <w:t>Духовенко В.С. Основные параметрические характеристики бюджетной системы Краснодарского края</w:t>
      </w:r>
      <w:r w:rsidRPr="00850015">
        <w:rPr>
          <w:rFonts w:eastAsiaTheme="minorHAnsi"/>
          <w:sz w:val="22"/>
          <w:szCs w:val="22"/>
          <w:lang w:eastAsia="en-US"/>
        </w:rPr>
        <w:t xml:space="preserve"> /</w:t>
      </w:r>
      <w:r w:rsidRPr="00850015">
        <w:rPr>
          <w:rFonts w:eastAsiaTheme="minorHAnsi"/>
          <w:iCs/>
          <w:sz w:val="22"/>
          <w:szCs w:val="22"/>
          <w:lang w:eastAsia="en-US"/>
        </w:rPr>
        <w:t>Гайдук В.И., Духовенко В.С.</w:t>
      </w:r>
      <w:r w:rsidRPr="00850015">
        <w:rPr>
          <w:rFonts w:eastAsiaTheme="minorHAnsi"/>
          <w:sz w:val="22"/>
          <w:szCs w:val="22"/>
          <w:lang w:eastAsia="en-US"/>
        </w:rPr>
        <w:t xml:space="preserve"> // в сборнике: Научное обеспечение агропромышленного ко</w:t>
      </w:r>
      <w:r w:rsidRPr="00850015">
        <w:rPr>
          <w:rFonts w:eastAsiaTheme="minorHAnsi"/>
          <w:sz w:val="22"/>
          <w:szCs w:val="22"/>
          <w:lang w:eastAsia="en-US"/>
        </w:rPr>
        <w:t>м</w:t>
      </w:r>
      <w:r w:rsidRPr="00850015">
        <w:rPr>
          <w:rFonts w:eastAsiaTheme="minorHAnsi"/>
          <w:sz w:val="22"/>
          <w:szCs w:val="22"/>
          <w:lang w:eastAsia="en-US"/>
        </w:rPr>
        <w:t>плекса. Сборник статей по материалам 71-й научно-практической конференции преподавателей по итогам НИР за 2015 год. Красн</w:t>
      </w:r>
      <w:r w:rsidRPr="00850015">
        <w:rPr>
          <w:rFonts w:eastAsiaTheme="minorHAnsi"/>
          <w:sz w:val="22"/>
          <w:szCs w:val="22"/>
          <w:lang w:eastAsia="en-US"/>
        </w:rPr>
        <w:t>о</w:t>
      </w:r>
      <w:r w:rsidRPr="00850015">
        <w:rPr>
          <w:rFonts w:eastAsiaTheme="minorHAnsi"/>
          <w:sz w:val="22"/>
          <w:szCs w:val="22"/>
          <w:lang w:eastAsia="en-US"/>
        </w:rPr>
        <w:t xml:space="preserve">дар, 2016. </w:t>
      </w:r>
      <w:r w:rsidRPr="00850015">
        <w:rPr>
          <w:iCs/>
          <w:sz w:val="22"/>
          <w:szCs w:val="22"/>
        </w:rPr>
        <w:t xml:space="preserve">– </w:t>
      </w:r>
      <w:r w:rsidRPr="00850015">
        <w:rPr>
          <w:rFonts w:eastAsiaTheme="minorHAnsi"/>
          <w:sz w:val="22"/>
          <w:szCs w:val="22"/>
          <w:lang w:eastAsia="en-US"/>
        </w:rPr>
        <w:t>С. 561-562.</w:t>
      </w:r>
    </w:p>
    <w:p w:rsidR="00724342" w:rsidRPr="00850015" w:rsidRDefault="00724342" w:rsidP="00850015">
      <w:pPr>
        <w:numPr>
          <w:ilvl w:val="0"/>
          <w:numId w:val="87"/>
        </w:numPr>
        <w:ind w:left="0" w:firstLine="426"/>
        <w:contextualSpacing/>
        <w:jc w:val="both"/>
        <w:rPr>
          <w:sz w:val="22"/>
          <w:szCs w:val="22"/>
        </w:rPr>
      </w:pPr>
      <w:r w:rsidRPr="00850015">
        <w:rPr>
          <w:rFonts w:eastAsiaTheme="minorHAnsi"/>
          <w:sz w:val="22"/>
          <w:szCs w:val="22"/>
          <w:lang w:eastAsia="en-US"/>
        </w:rPr>
        <w:t xml:space="preserve">Калитко С.А. </w:t>
      </w:r>
      <w:r w:rsidRPr="00850015">
        <w:rPr>
          <w:rFonts w:eastAsiaTheme="minorHAnsi"/>
          <w:bCs/>
          <w:sz w:val="22"/>
          <w:szCs w:val="22"/>
          <w:lang w:eastAsia="en-US"/>
        </w:rPr>
        <w:t>Использование информационных технологий для оценки рисков</w:t>
      </w:r>
      <w:r w:rsidRPr="00850015">
        <w:rPr>
          <w:rFonts w:eastAsiaTheme="minorHAnsi"/>
          <w:sz w:val="22"/>
          <w:szCs w:val="22"/>
          <w:lang w:eastAsia="en-US"/>
        </w:rPr>
        <w:t xml:space="preserve"> /</w:t>
      </w:r>
      <w:r w:rsidRPr="00850015">
        <w:rPr>
          <w:rFonts w:eastAsiaTheme="minorHAnsi"/>
          <w:iCs/>
          <w:sz w:val="22"/>
          <w:szCs w:val="22"/>
          <w:lang w:eastAsia="en-US"/>
        </w:rPr>
        <w:t>Гайдук В.И., Калитко С.А., Гребеников А.Е.</w:t>
      </w:r>
      <w:r w:rsidRPr="00850015">
        <w:rPr>
          <w:rFonts w:eastAsiaTheme="minorHAnsi"/>
          <w:sz w:val="22"/>
          <w:szCs w:val="22"/>
          <w:lang w:eastAsia="en-US"/>
        </w:rPr>
        <w:t xml:space="preserve"> // Политематический сетевой электронный научный журнал Куба</w:t>
      </w:r>
      <w:r w:rsidRPr="00850015">
        <w:rPr>
          <w:rFonts w:eastAsiaTheme="minorHAnsi"/>
          <w:sz w:val="22"/>
          <w:szCs w:val="22"/>
          <w:lang w:eastAsia="en-US"/>
        </w:rPr>
        <w:t>н</w:t>
      </w:r>
      <w:r w:rsidRPr="00850015">
        <w:rPr>
          <w:rFonts w:eastAsiaTheme="minorHAnsi"/>
          <w:sz w:val="22"/>
          <w:szCs w:val="22"/>
          <w:lang w:eastAsia="en-US"/>
        </w:rPr>
        <w:t xml:space="preserve">ского государственного аграрного университета. </w:t>
      </w:r>
      <w:r w:rsidRPr="00850015">
        <w:rPr>
          <w:iCs/>
          <w:sz w:val="22"/>
          <w:szCs w:val="22"/>
        </w:rPr>
        <w:t xml:space="preserve">– </w:t>
      </w:r>
      <w:r w:rsidRPr="00850015">
        <w:rPr>
          <w:rFonts w:eastAsiaTheme="minorHAnsi"/>
          <w:sz w:val="22"/>
          <w:szCs w:val="22"/>
          <w:lang w:eastAsia="en-US"/>
        </w:rPr>
        <w:t xml:space="preserve">2014. </w:t>
      </w:r>
      <w:r w:rsidRPr="00850015">
        <w:rPr>
          <w:iCs/>
          <w:sz w:val="22"/>
          <w:szCs w:val="22"/>
        </w:rPr>
        <w:t xml:space="preserve">– </w:t>
      </w:r>
      <w:r w:rsidRPr="00850015">
        <w:rPr>
          <w:rFonts w:eastAsiaTheme="minorHAnsi"/>
          <w:sz w:val="22"/>
          <w:szCs w:val="22"/>
          <w:lang w:eastAsia="en-US"/>
        </w:rPr>
        <w:t xml:space="preserve">№ 98. </w:t>
      </w:r>
      <w:r w:rsidRPr="00850015">
        <w:rPr>
          <w:iCs/>
          <w:sz w:val="22"/>
          <w:szCs w:val="22"/>
        </w:rPr>
        <w:t xml:space="preserve">– </w:t>
      </w:r>
      <w:r w:rsidRPr="00850015">
        <w:rPr>
          <w:rFonts w:eastAsiaTheme="minorHAnsi"/>
          <w:sz w:val="22"/>
          <w:szCs w:val="22"/>
          <w:lang w:eastAsia="en-US"/>
        </w:rPr>
        <w:t>С. 953-963.</w:t>
      </w:r>
    </w:p>
    <w:p w:rsidR="00724342" w:rsidRPr="00850015" w:rsidRDefault="00724342" w:rsidP="00850015">
      <w:pPr>
        <w:numPr>
          <w:ilvl w:val="0"/>
          <w:numId w:val="87"/>
        </w:numPr>
        <w:ind w:left="0" w:firstLine="426"/>
        <w:contextualSpacing/>
        <w:jc w:val="both"/>
        <w:rPr>
          <w:sz w:val="22"/>
          <w:szCs w:val="22"/>
        </w:rPr>
      </w:pPr>
      <w:r w:rsidRPr="00850015">
        <w:rPr>
          <w:rFonts w:eastAsiaTheme="minorHAnsi"/>
          <w:sz w:val="22"/>
          <w:szCs w:val="22"/>
          <w:lang w:eastAsia="en-US"/>
        </w:rPr>
        <w:t xml:space="preserve">Калитко С.А. </w:t>
      </w:r>
      <w:r w:rsidRPr="00850015">
        <w:rPr>
          <w:rFonts w:eastAsiaTheme="minorHAnsi"/>
          <w:bCs/>
          <w:sz w:val="22"/>
          <w:szCs w:val="22"/>
          <w:lang w:eastAsia="en-US"/>
        </w:rPr>
        <w:t>Диверсификация как прием снижения степени риска в предпринимательской деятельности</w:t>
      </w:r>
      <w:r w:rsidRPr="00850015">
        <w:rPr>
          <w:rFonts w:eastAsiaTheme="minorHAnsi"/>
          <w:sz w:val="22"/>
          <w:szCs w:val="22"/>
          <w:lang w:eastAsia="en-US"/>
        </w:rPr>
        <w:t xml:space="preserve"> /</w:t>
      </w:r>
      <w:r w:rsidRPr="00850015">
        <w:rPr>
          <w:rFonts w:eastAsiaTheme="minorHAnsi"/>
          <w:iCs/>
          <w:sz w:val="22"/>
          <w:szCs w:val="22"/>
          <w:lang w:eastAsia="en-US"/>
        </w:rPr>
        <w:t>Гайдук В.И., Калитко С.А., Москалевич А.А.</w:t>
      </w:r>
      <w:r w:rsidRPr="00850015">
        <w:rPr>
          <w:rFonts w:eastAsiaTheme="minorHAnsi"/>
          <w:sz w:val="22"/>
          <w:szCs w:val="22"/>
          <w:lang w:eastAsia="en-US"/>
        </w:rPr>
        <w:t xml:space="preserve"> // Экономика сельскохозяйственных и пер</w:t>
      </w:r>
      <w:r w:rsidRPr="00850015">
        <w:rPr>
          <w:rFonts w:eastAsiaTheme="minorHAnsi"/>
          <w:sz w:val="22"/>
          <w:szCs w:val="22"/>
          <w:lang w:eastAsia="en-US"/>
        </w:rPr>
        <w:t>е</w:t>
      </w:r>
      <w:r w:rsidRPr="00850015">
        <w:rPr>
          <w:rFonts w:eastAsiaTheme="minorHAnsi"/>
          <w:sz w:val="22"/>
          <w:szCs w:val="22"/>
          <w:lang w:eastAsia="en-US"/>
        </w:rPr>
        <w:t xml:space="preserve">рабатывающих предприятий. </w:t>
      </w:r>
      <w:r w:rsidRPr="00850015">
        <w:rPr>
          <w:iCs/>
          <w:sz w:val="22"/>
          <w:szCs w:val="22"/>
        </w:rPr>
        <w:t xml:space="preserve">– </w:t>
      </w:r>
      <w:r w:rsidRPr="00850015">
        <w:rPr>
          <w:rFonts w:eastAsiaTheme="minorHAnsi"/>
          <w:sz w:val="22"/>
          <w:szCs w:val="22"/>
          <w:lang w:eastAsia="en-US"/>
        </w:rPr>
        <w:t xml:space="preserve">2012. </w:t>
      </w:r>
      <w:r w:rsidRPr="00850015">
        <w:rPr>
          <w:iCs/>
          <w:sz w:val="22"/>
          <w:szCs w:val="22"/>
        </w:rPr>
        <w:t xml:space="preserve">– </w:t>
      </w:r>
      <w:r w:rsidRPr="00850015">
        <w:rPr>
          <w:rFonts w:eastAsiaTheme="minorHAnsi"/>
          <w:sz w:val="22"/>
          <w:szCs w:val="22"/>
          <w:lang w:eastAsia="en-US"/>
        </w:rPr>
        <w:t xml:space="preserve">№ 2. </w:t>
      </w:r>
      <w:r w:rsidRPr="00850015">
        <w:rPr>
          <w:iCs/>
          <w:sz w:val="22"/>
          <w:szCs w:val="22"/>
        </w:rPr>
        <w:t xml:space="preserve">– </w:t>
      </w:r>
      <w:r w:rsidRPr="00850015">
        <w:rPr>
          <w:rFonts w:eastAsiaTheme="minorHAnsi"/>
          <w:sz w:val="22"/>
          <w:szCs w:val="22"/>
          <w:lang w:eastAsia="en-US"/>
        </w:rPr>
        <w:t>С. 24-26.</w:t>
      </w:r>
    </w:p>
    <w:p w:rsidR="00724342" w:rsidRPr="00724342" w:rsidRDefault="00724342" w:rsidP="00724342">
      <w:pPr>
        <w:spacing w:after="200"/>
        <w:rPr>
          <w:rFonts w:asciiTheme="minorHAnsi" w:eastAsiaTheme="minorHAnsi" w:hAnsiTheme="minorHAnsi" w:cstheme="minorBidi"/>
          <w:sz w:val="22"/>
          <w:szCs w:val="22"/>
          <w:lang w:eastAsia="en-US"/>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textAlignment w:val="top"/>
        <w:rPr>
          <w:rFonts w:eastAsiaTheme="minorHAnsi"/>
          <w:sz w:val="22"/>
          <w:szCs w:val="22"/>
          <w:lang w:eastAsia="en-US"/>
        </w:rPr>
      </w:pPr>
      <w:r w:rsidRPr="00724342">
        <w:rPr>
          <w:rFonts w:eastAsiaTheme="minorHAnsi"/>
          <w:sz w:val="22"/>
          <w:szCs w:val="22"/>
          <w:lang w:eastAsia="en-US"/>
        </w:rPr>
        <w:t>УДК 332.135</w:t>
      </w:r>
    </w:p>
    <w:p w:rsidR="00724342" w:rsidRPr="00724342" w:rsidRDefault="00724342" w:rsidP="00724342">
      <w:pPr>
        <w:textAlignment w:val="top"/>
        <w:rPr>
          <w:b/>
          <w:color w:val="000000"/>
          <w:sz w:val="22"/>
          <w:szCs w:val="22"/>
        </w:rPr>
      </w:pPr>
    </w:p>
    <w:p w:rsidR="00724342" w:rsidRPr="00724342" w:rsidRDefault="00724342" w:rsidP="00724342">
      <w:pPr>
        <w:jc w:val="center"/>
        <w:textAlignment w:val="top"/>
        <w:rPr>
          <w:b/>
          <w:color w:val="000000"/>
          <w:sz w:val="24"/>
          <w:szCs w:val="24"/>
        </w:rPr>
      </w:pPr>
      <w:r w:rsidRPr="00724342">
        <w:rPr>
          <w:b/>
          <w:color w:val="000000"/>
          <w:sz w:val="24"/>
          <w:szCs w:val="24"/>
        </w:rPr>
        <w:t xml:space="preserve">Проблемы развития малого бизнеса </w:t>
      </w:r>
    </w:p>
    <w:p w:rsidR="00724342" w:rsidRPr="00724342" w:rsidRDefault="00724342" w:rsidP="00724342">
      <w:pPr>
        <w:jc w:val="center"/>
        <w:textAlignment w:val="top"/>
        <w:rPr>
          <w:b/>
          <w:color w:val="000000"/>
          <w:sz w:val="24"/>
          <w:szCs w:val="24"/>
        </w:rPr>
      </w:pPr>
      <w:r w:rsidRPr="00724342">
        <w:rPr>
          <w:b/>
          <w:color w:val="000000"/>
          <w:sz w:val="24"/>
          <w:szCs w:val="24"/>
        </w:rPr>
        <w:t>Краснодарского края и пути их решения</w:t>
      </w:r>
    </w:p>
    <w:p w:rsidR="00724342" w:rsidRPr="00724342" w:rsidRDefault="00724342" w:rsidP="00724342">
      <w:pPr>
        <w:jc w:val="center"/>
        <w:textAlignment w:val="top"/>
        <w:rPr>
          <w:b/>
          <w:color w:val="000000"/>
          <w:sz w:val="24"/>
          <w:szCs w:val="24"/>
          <w:lang w:val="en-US"/>
        </w:rPr>
      </w:pPr>
      <w:r w:rsidRPr="00724342">
        <w:rPr>
          <w:b/>
          <w:color w:val="000000"/>
          <w:sz w:val="24"/>
          <w:szCs w:val="24"/>
          <w:lang w:val="en-US"/>
        </w:rPr>
        <w:t xml:space="preserve">Problems of small business development in </w:t>
      </w:r>
    </w:p>
    <w:p w:rsidR="00724342" w:rsidRPr="00724342" w:rsidRDefault="00724342" w:rsidP="00724342">
      <w:pPr>
        <w:jc w:val="center"/>
        <w:textAlignment w:val="top"/>
        <w:rPr>
          <w:b/>
          <w:color w:val="000000"/>
          <w:sz w:val="24"/>
          <w:szCs w:val="24"/>
          <w:lang w:val="en-US"/>
        </w:rPr>
      </w:pPr>
      <w:r w:rsidRPr="00724342">
        <w:rPr>
          <w:b/>
          <w:color w:val="000000"/>
          <w:sz w:val="24"/>
          <w:szCs w:val="24"/>
          <w:lang w:val="en-US"/>
        </w:rPr>
        <w:t>Krasnodar Region and ways to solve them</w:t>
      </w:r>
    </w:p>
    <w:p w:rsidR="00724342" w:rsidRPr="00724342" w:rsidRDefault="00724342" w:rsidP="00724342">
      <w:pPr>
        <w:textAlignment w:val="top"/>
        <w:rPr>
          <w:color w:val="000000"/>
          <w:sz w:val="22"/>
          <w:szCs w:val="22"/>
          <w:lang w:val="en-US"/>
        </w:rPr>
      </w:pPr>
    </w:p>
    <w:p w:rsidR="00724342" w:rsidRPr="00724342" w:rsidRDefault="00724342" w:rsidP="00724342">
      <w:pPr>
        <w:jc w:val="right"/>
        <w:textAlignment w:val="top"/>
        <w:rPr>
          <w:color w:val="000000"/>
          <w:sz w:val="22"/>
          <w:szCs w:val="22"/>
        </w:rPr>
      </w:pPr>
      <w:r w:rsidRPr="00724342">
        <w:rPr>
          <w:color w:val="000000"/>
          <w:sz w:val="22"/>
          <w:szCs w:val="22"/>
        </w:rPr>
        <w:t>Байрамуков Р.</w:t>
      </w:r>
      <w:r w:rsidR="00850015">
        <w:rPr>
          <w:color w:val="000000"/>
          <w:sz w:val="22"/>
          <w:szCs w:val="22"/>
        </w:rPr>
        <w:t xml:space="preserve"> </w:t>
      </w:r>
      <w:r w:rsidRPr="00724342">
        <w:rPr>
          <w:color w:val="000000"/>
          <w:sz w:val="22"/>
          <w:szCs w:val="22"/>
        </w:rPr>
        <w:t>У.,</w:t>
      </w:r>
    </w:p>
    <w:p w:rsidR="00724342" w:rsidRPr="00724342" w:rsidRDefault="00724342" w:rsidP="00724342">
      <w:pPr>
        <w:jc w:val="right"/>
        <w:textAlignment w:val="top"/>
        <w:rPr>
          <w:color w:val="000000"/>
          <w:sz w:val="22"/>
          <w:szCs w:val="22"/>
        </w:rPr>
      </w:pPr>
      <w:r w:rsidRPr="00724342">
        <w:rPr>
          <w:color w:val="000000"/>
          <w:sz w:val="22"/>
          <w:szCs w:val="22"/>
        </w:rPr>
        <w:tab/>
        <w:t>студент 4-го курса экономического факультета</w:t>
      </w:r>
    </w:p>
    <w:p w:rsidR="00724342" w:rsidRPr="00724342" w:rsidRDefault="00724342" w:rsidP="00724342">
      <w:pPr>
        <w:jc w:val="right"/>
        <w:textAlignment w:val="top"/>
        <w:rPr>
          <w:color w:val="000000"/>
          <w:sz w:val="22"/>
          <w:szCs w:val="22"/>
        </w:rPr>
      </w:pPr>
      <w:r w:rsidRPr="00724342">
        <w:rPr>
          <w:color w:val="000000"/>
          <w:sz w:val="22"/>
          <w:szCs w:val="22"/>
        </w:rPr>
        <w:t>Черепухин Т.</w:t>
      </w:r>
      <w:r w:rsidR="00850015">
        <w:rPr>
          <w:color w:val="000000"/>
          <w:sz w:val="22"/>
          <w:szCs w:val="22"/>
        </w:rPr>
        <w:t xml:space="preserve"> </w:t>
      </w:r>
      <w:r w:rsidRPr="00724342">
        <w:rPr>
          <w:color w:val="000000"/>
          <w:sz w:val="22"/>
          <w:szCs w:val="22"/>
        </w:rPr>
        <w:t xml:space="preserve">Ю., </w:t>
      </w:r>
    </w:p>
    <w:p w:rsidR="00724342" w:rsidRPr="00724342" w:rsidRDefault="00724342" w:rsidP="00724342">
      <w:pPr>
        <w:jc w:val="right"/>
        <w:textAlignment w:val="top"/>
        <w:rPr>
          <w:color w:val="000000"/>
          <w:sz w:val="22"/>
          <w:szCs w:val="22"/>
        </w:rPr>
      </w:pPr>
      <w:r w:rsidRPr="00724342">
        <w:rPr>
          <w:color w:val="000000"/>
          <w:sz w:val="22"/>
          <w:szCs w:val="22"/>
        </w:rPr>
        <w:t>доцент кафедры управления и маркетинга</w:t>
      </w:r>
    </w:p>
    <w:p w:rsidR="00724342" w:rsidRPr="00724342" w:rsidRDefault="00724342" w:rsidP="00724342">
      <w:pPr>
        <w:jc w:val="right"/>
        <w:textAlignment w:val="top"/>
        <w:rPr>
          <w:color w:val="000000"/>
          <w:sz w:val="22"/>
          <w:szCs w:val="22"/>
        </w:rPr>
      </w:pPr>
      <w:r w:rsidRPr="00724342">
        <w:rPr>
          <w:color w:val="000000"/>
          <w:sz w:val="22"/>
          <w:szCs w:val="22"/>
        </w:rPr>
        <w:t xml:space="preserve">Кубанский государственный аграрный </w:t>
      </w:r>
    </w:p>
    <w:p w:rsidR="00724342" w:rsidRPr="00724342" w:rsidRDefault="00724342" w:rsidP="00724342">
      <w:pPr>
        <w:jc w:val="right"/>
        <w:textAlignment w:val="top"/>
        <w:rPr>
          <w:color w:val="000000"/>
          <w:sz w:val="22"/>
          <w:szCs w:val="22"/>
        </w:rPr>
      </w:pPr>
      <w:r w:rsidRPr="00724342">
        <w:rPr>
          <w:color w:val="000000"/>
          <w:sz w:val="22"/>
          <w:szCs w:val="22"/>
        </w:rPr>
        <w:t>университет имени И.Т. Трубилина</w:t>
      </w:r>
    </w:p>
    <w:p w:rsidR="00724342" w:rsidRPr="00724342" w:rsidRDefault="00724342" w:rsidP="00724342">
      <w:pPr>
        <w:jc w:val="right"/>
        <w:textAlignment w:val="top"/>
        <w:rPr>
          <w:color w:val="000000"/>
          <w:sz w:val="22"/>
          <w:szCs w:val="22"/>
        </w:rPr>
      </w:pPr>
    </w:p>
    <w:p w:rsidR="00724342" w:rsidRPr="00724342" w:rsidRDefault="00724342" w:rsidP="00850015">
      <w:pPr>
        <w:ind w:firstLine="426"/>
        <w:jc w:val="both"/>
        <w:textAlignment w:val="top"/>
        <w:rPr>
          <w:color w:val="000000"/>
          <w:sz w:val="22"/>
          <w:szCs w:val="22"/>
        </w:rPr>
      </w:pPr>
      <w:r w:rsidRPr="00724342">
        <w:rPr>
          <w:color w:val="000000"/>
          <w:sz w:val="22"/>
          <w:szCs w:val="22"/>
        </w:rPr>
        <w:t>АННОТАЦИЯ: в данной статье поднимаются проблемы разв</w:t>
      </w:r>
      <w:r w:rsidRPr="00724342">
        <w:rPr>
          <w:color w:val="000000"/>
          <w:sz w:val="22"/>
          <w:szCs w:val="22"/>
        </w:rPr>
        <w:t>и</w:t>
      </w:r>
      <w:r w:rsidRPr="00724342">
        <w:rPr>
          <w:color w:val="000000"/>
          <w:sz w:val="22"/>
          <w:szCs w:val="22"/>
        </w:rPr>
        <w:t>тия малого бизнеса в Краснодарском крае. Подробно описаны о</w:t>
      </w:r>
      <w:r w:rsidRPr="00724342">
        <w:rPr>
          <w:color w:val="000000"/>
          <w:sz w:val="22"/>
          <w:szCs w:val="22"/>
        </w:rPr>
        <w:t>с</w:t>
      </w:r>
      <w:r w:rsidRPr="00724342">
        <w:rPr>
          <w:color w:val="000000"/>
          <w:sz w:val="22"/>
          <w:szCs w:val="22"/>
        </w:rPr>
        <w:t>новные сложности, возникающие в предпринимательской деятел</w:t>
      </w:r>
      <w:r w:rsidRPr="00724342">
        <w:rPr>
          <w:color w:val="000000"/>
          <w:sz w:val="22"/>
          <w:szCs w:val="22"/>
        </w:rPr>
        <w:t>ь</w:t>
      </w:r>
      <w:r w:rsidRPr="00724342">
        <w:rPr>
          <w:color w:val="000000"/>
          <w:sz w:val="22"/>
          <w:szCs w:val="22"/>
        </w:rPr>
        <w:t>ности, а также предложены решения этих проблем.</w:t>
      </w:r>
    </w:p>
    <w:p w:rsidR="00724342" w:rsidRPr="00724342" w:rsidRDefault="00724342" w:rsidP="00850015">
      <w:pPr>
        <w:ind w:firstLine="426"/>
        <w:jc w:val="both"/>
        <w:textAlignment w:val="top"/>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val="en-US" w:eastAsia="en-US"/>
        </w:rPr>
        <w:lastRenderedPageBreak/>
        <w:t>ABSTRACT: this article raises the problem of small business d</w:t>
      </w:r>
      <w:r w:rsidRPr="00724342">
        <w:rPr>
          <w:rFonts w:eastAsiaTheme="minorHAnsi"/>
          <w:color w:val="000000" w:themeColor="text1"/>
          <w:sz w:val="22"/>
          <w:szCs w:val="22"/>
          <w:shd w:val="clear" w:color="auto" w:fill="FFFFFF"/>
          <w:lang w:val="en-US" w:eastAsia="en-US"/>
        </w:rPr>
        <w:t>e</w:t>
      </w:r>
      <w:r w:rsidRPr="00724342">
        <w:rPr>
          <w:rFonts w:eastAsiaTheme="minorHAnsi"/>
          <w:color w:val="000000" w:themeColor="text1"/>
          <w:sz w:val="22"/>
          <w:szCs w:val="22"/>
          <w:shd w:val="clear" w:color="auto" w:fill="FFFFFF"/>
          <w:lang w:val="en-US" w:eastAsia="en-US"/>
        </w:rPr>
        <w:t>velopment in the Krasnodar region. The main difficulties arising in e</w:t>
      </w:r>
      <w:r w:rsidRPr="00724342">
        <w:rPr>
          <w:rFonts w:eastAsiaTheme="minorHAnsi"/>
          <w:color w:val="000000" w:themeColor="text1"/>
          <w:sz w:val="22"/>
          <w:szCs w:val="22"/>
          <w:shd w:val="clear" w:color="auto" w:fill="FFFFFF"/>
          <w:lang w:val="en-US" w:eastAsia="en-US"/>
        </w:rPr>
        <w:t>n</w:t>
      </w:r>
      <w:r w:rsidRPr="00724342">
        <w:rPr>
          <w:rFonts w:eastAsiaTheme="minorHAnsi"/>
          <w:color w:val="000000" w:themeColor="text1"/>
          <w:sz w:val="22"/>
          <w:szCs w:val="22"/>
          <w:shd w:val="clear" w:color="auto" w:fill="FFFFFF"/>
          <w:lang w:val="en-US" w:eastAsia="en-US"/>
        </w:rPr>
        <w:t xml:space="preserve">trepreneurial activity are described in detail, as well as solutions to these problems are proposed. </w:t>
      </w:r>
    </w:p>
    <w:p w:rsidR="00724342" w:rsidRPr="00724342" w:rsidRDefault="00724342" w:rsidP="00850015">
      <w:pPr>
        <w:ind w:firstLine="426"/>
        <w:jc w:val="both"/>
        <w:textAlignment w:val="top"/>
        <w:rPr>
          <w:color w:val="000000"/>
          <w:sz w:val="22"/>
          <w:szCs w:val="22"/>
        </w:rPr>
      </w:pPr>
      <w:r w:rsidRPr="00724342">
        <w:rPr>
          <w:color w:val="000000"/>
          <w:sz w:val="22"/>
          <w:szCs w:val="22"/>
        </w:rPr>
        <w:t>КЛЮЧЕВЫЕ СЛОВА: малый бизнес, проблемы развития, предприниматель</w:t>
      </w:r>
    </w:p>
    <w:p w:rsidR="00724342" w:rsidRPr="00724342" w:rsidRDefault="00724342" w:rsidP="00850015">
      <w:pPr>
        <w:ind w:firstLine="426"/>
        <w:jc w:val="both"/>
        <w:textAlignment w:val="top"/>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val="en-US" w:eastAsia="en-US"/>
        </w:rPr>
        <w:t>KEYWORDS: small business, development problems, entrepreneur</w:t>
      </w:r>
    </w:p>
    <w:p w:rsidR="00724342" w:rsidRPr="00724342" w:rsidRDefault="00724342" w:rsidP="00850015">
      <w:pPr>
        <w:ind w:firstLine="426"/>
        <w:jc w:val="both"/>
        <w:textAlignment w:val="top"/>
        <w:rPr>
          <w:color w:val="000000"/>
          <w:sz w:val="22"/>
          <w:szCs w:val="22"/>
          <w:lang w:val="en-US"/>
        </w:rPr>
      </w:pPr>
    </w:p>
    <w:p w:rsidR="00724342" w:rsidRPr="00724342" w:rsidRDefault="00724342" w:rsidP="00850015">
      <w:pPr>
        <w:ind w:firstLine="426"/>
        <w:jc w:val="both"/>
        <w:textAlignment w:val="top"/>
        <w:rPr>
          <w:color w:val="000000"/>
          <w:sz w:val="22"/>
          <w:szCs w:val="22"/>
        </w:rPr>
      </w:pPr>
      <w:r w:rsidRPr="00724342">
        <w:rPr>
          <w:color w:val="000000"/>
          <w:sz w:val="22"/>
          <w:szCs w:val="22"/>
        </w:rPr>
        <w:t>Активизация бизнеса, создание конкурентной среды, насыщ</w:t>
      </w:r>
      <w:r w:rsidRPr="00724342">
        <w:rPr>
          <w:color w:val="000000"/>
          <w:sz w:val="22"/>
          <w:szCs w:val="22"/>
        </w:rPr>
        <w:t>е</w:t>
      </w:r>
      <w:r w:rsidRPr="00724342">
        <w:rPr>
          <w:color w:val="000000"/>
          <w:sz w:val="22"/>
          <w:szCs w:val="22"/>
        </w:rPr>
        <w:t>ние рынка товарами и услугами, повышение производительности в деятельности напрямую зависят от решения проблем малого пре</w:t>
      </w:r>
      <w:r w:rsidRPr="00724342">
        <w:rPr>
          <w:color w:val="000000"/>
          <w:sz w:val="22"/>
          <w:szCs w:val="22"/>
        </w:rPr>
        <w:t>д</w:t>
      </w:r>
      <w:r w:rsidRPr="00724342">
        <w:rPr>
          <w:color w:val="000000"/>
          <w:sz w:val="22"/>
          <w:szCs w:val="22"/>
        </w:rPr>
        <w:t>принимательства. Прежде, чем начать предпринимательскую де</w:t>
      </w:r>
      <w:r w:rsidRPr="00724342">
        <w:rPr>
          <w:color w:val="000000"/>
          <w:sz w:val="22"/>
          <w:szCs w:val="22"/>
        </w:rPr>
        <w:t>я</w:t>
      </w:r>
      <w:r w:rsidRPr="00724342">
        <w:rPr>
          <w:color w:val="000000"/>
          <w:sz w:val="22"/>
          <w:szCs w:val="22"/>
        </w:rPr>
        <w:t>тельность, необходимо изучить всевозможные проблемы, возмо</w:t>
      </w:r>
      <w:r w:rsidRPr="00724342">
        <w:rPr>
          <w:color w:val="000000"/>
          <w:sz w:val="22"/>
          <w:szCs w:val="22"/>
        </w:rPr>
        <w:t>ж</w:t>
      </w:r>
      <w:r w:rsidRPr="00724342">
        <w:rPr>
          <w:color w:val="000000"/>
          <w:sz w:val="22"/>
          <w:szCs w:val="22"/>
        </w:rPr>
        <w:t>ные при создании предприятия и ведении дальнейшей деятельн</w:t>
      </w:r>
      <w:r w:rsidRPr="00724342">
        <w:rPr>
          <w:color w:val="000000"/>
          <w:sz w:val="22"/>
          <w:szCs w:val="22"/>
        </w:rPr>
        <w:t>о</w:t>
      </w:r>
      <w:r w:rsidRPr="00724342">
        <w:rPr>
          <w:color w:val="000000"/>
          <w:sz w:val="22"/>
          <w:szCs w:val="22"/>
        </w:rPr>
        <w:t xml:space="preserve">сти. </w:t>
      </w:r>
    </w:p>
    <w:p w:rsidR="00724342" w:rsidRPr="00724342" w:rsidRDefault="00724342" w:rsidP="00850015">
      <w:pPr>
        <w:ind w:firstLine="426"/>
        <w:jc w:val="both"/>
        <w:textAlignment w:val="top"/>
        <w:rPr>
          <w:color w:val="000000"/>
          <w:sz w:val="22"/>
          <w:szCs w:val="22"/>
        </w:rPr>
      </w:pPr>
      <w:r w:rsidRPr="00724342">
        <w:rPr>
          <w:color w:val="000000"/>
          <w:sz w:val="22"/>
          <w:szCs w:val="22"/>
        </w:rPr>
        <w:t>Успешное развитие малого бизнеса в Краснодарском крае зав</w:t>
      </w:r>
      <w:r w:rsidRPr="00724342">
        <w:rPr>
          <w:color w:val="000000"/>
          <w:sz w:val="22"/>
          <w:szCs w:val="22"/>
        </w:rPr>
        <w:t>и</w:t>
      </w:r>
      <w:r w:rsidRPr="00724342">
        <w:rPr>
          <w:color w:val="000000"/>
          <w:sz w:val="22"/>
          <w:szCs w:val="22"/>
        </w:rPr>
        <w:t>сит от формирования соответствующей благоприятной среды, в к</w:t>
      </w:r>
      <w:r w:rsidRPr="00724342">
        <w:rPr>
          <w:color w:val="000000"/>
          <w:sz w:val="22"/>
          <w:szCs w:val="22"/>
        </w:rPr>
        <w:t>о</w:t>
      </w:r>
      <w:r w:rsidRPr="00724342">
        <w:rPr>
          <w:color w:val="000000"/>
          <w:sz w:val="22"/>
          <w:szCs w:val="22"/>
        </w:rPr>
        <w:t>торой предприниматели смогут самостоятельно организовывать деятельность, без возникновения серьезных проблем. Рассмотрим основные проблемы развития малого бизнеса в Краснодарском крае.</w:t>
      </w:r>
    </w:p>
    <w:p w:rsidR="00724342" w:rsidRPr="00724342" w:rsidRDefault="00724342" w:rsidP="00850015">
      <w:pPr>
        <w:ind w:firstLine="426"/>
        <w:jc w:val="both"/>
        <w:textAlignment w:val="top"/>
        <w:rPr>
          <w:color w:val="000000"/>
          <w:sz w:val="22"/>
          <w:szCs w:val="22"/>
        </w:rPr>
      </w:pPr>
      <w:r w:rsidRPr="00724342">
        <w:rPr>
          <w:color w:val="000000"/>
          <w:sz w:val="22"/>
          <w:szCs w:val="22"/>
        </w:rPr>
        <w:t>Пожалуй, стоит начать с проблемы существования админ</w:t>
      </w:r>
      <w:r w:rsidRPr="00724342">
        <w:rPr>
          <w:color w:val="000000"/>
          <w:sz w:val="22"/>
          <w:szCs w:val="22"/>
        </w:rPr>
        <w:t>и</w:t>
      </w:r>
      <w:r w:rsidRPr="00724342">
        <w:rPr>
          <w:color w:val="000000"/>
          <w:sz w:val="22"/>
          <w:szCs w:val="22"/>
        </w:rPr>
        <w:t>стративного барьера в развитии бизнеса. Данное препятствие сл</w:t>
      </w:r>
      <w:r w:rsidRPr="00724342">
        <w:rPr>
          <w:color w:val="000000"/>
          <w:sz w:val="22"/>
          <w:szCs w:val="22"/>
        </w:rPr>
        <w:t>у</w:t>
      </w:r>
      <w:r w:rsidRPr="00724342">
        <w:rPr>
          <w:color w:val="000000"/>
          <w:sz w:val="22"/>
          <w:szCs w:val="22"/>
        </w:rPr>
        <w:t>жит причиной незаконной деятельности предпринимателей. Адм</w:t>
      </w:r>
      <w:r w:rsidRPr="00724342">
        <w:rPr>
          <w:color w:val="000000"/>
          <w:sz w:val="22"/>
          <w:szCs w:val="22"/>
        </w:rPr>
        <w:t>и</w:t>
      </w:r>
      <w:r w:rsidRPr="00724342">
        <w:rPr>
          <w:color w:val="000000"/>
          <w:sz w:val="22"/>
          <w:szCs w:val="22"/>
        </w:rPr>
        <w:t>нистрацией Краснодарского края разработаны и  доведены до соо</w:t>
      </w:r>
      <w:r w:rsidRPr="00724342">
        <w:rPr>
          <w:color w:val="000000"/>
          <w:sz w:val="22"/>
          <w:szCs w:val="22"/>
        </w:rPr>
        <w:t>т</w:t>
      </w:r>
      <w:r w:rsidRPr="00724342">
        <w:rPr>
          <w:color w:val="000000"/>
          <w:sz w:val="22"/>
          <w:szCs w:val="22"/>
        </w:rPr>
        <w:t xml:space="preserve">ветствующих органов специальные инструкции по осуществлению контроля за субъектами предпринимательской деятельности.  </w:t>
      </w:r>
    </w:p>
    <w:p w:rsidR="00724342" w:rsidRPr="00724342" w:rsidRDefault="00724342" w:rsidP="00850015">
      <w:pPr>
        <w:ind w:firstLine="426"/>
        <w:jc w:val="both"/>
        <w:textAlignment w:val="top"/>
        <w:rPr>
          <w:color w:val="000000"/>
          <w:sz w:val="22"/>
          <w:szCs w:val="22"/>
        </w:rPr>
      </w:pPr>
      <w:r w:rsidRPr="00724342">
        <w:rPr>
          <w:color w:val="000000"/>
          <w:sz w:val="22"/>
          <w:szCs w:val="22"/>
        </w:rPr>
        <w:t>Второй по важности проблемой является информированность предпринимателей. К информации относятся знания о всевозмо</w:t>
      </w:r>
      <w:r w:rsidRPr="00724342">
        <w:rPr>
          <w:color w:val="000000"/>
          <w:sz w:val="22"/>
          <w:szCs w:val="22"/>
        </w:rPr>
        <w:t>ж</w:t>
      </w:r>
      <w:r w:rsidRPr="00724342">
        <w:rPr>
          <w:color w:val="000000"/>
          <w:sz w:val="22"/>
          <w:szCs w:val="22"/>
        </w:rPr>
        <w:t>ных фондах поддержки малого бизнеса, о выпускаемой продукции, поставщиках, ситуации на рынке в целом. Важно точно знать, какой именно товар будет пользоваться спросом и для какого контингента населения его производить. Информирование также имеет значение при определении месторасположения бизнеса, как фактора, влия</w:t>
      </w:r>
      <w:r w:rsidRPr="00724342">
        <w:rPr>
          <w:color w:val="000000"/>
          <w:sz w:val="22"/>
          <w:szCs w:val="22"/>
        </w:rPr>
        <w:t>ю</w:t>
      </w:r>
      <w:r w:rsidRPr="00724342">
        <w:rPr>
          <w:color w:val="000000"/>
          <w:sz w:val="22"/>
          <w:szCs w:val="22"/>
        </w:rPr>
        <w:t>щего на эффективность дальнейшей деятельности. В Краснода</w:t>
      </w:r>
      <w:r w:rsidRPr="00724342">
        <w:rPr>
          <w:color w:val="000000"/>
          <w:sz w:val="22"/>
          <w:szCs w:val="22"/>
        </w:rPr>
        <w:t>р</w:t>
      </w:r>
      <w:r w:rsidRPr="00724342">
        <w:rPr>
          <w:color w:val="000000"/>
          <w:sz w:val="22"/>
          <w:szCs w:val="22"/>
        </w:rPr>
        <w:t>ском крае существуют территории, не дающие никаких сведений о возможных размещениях предприятий малого бизнеса. Для реш</w:t>
      </w:r>
      <w:r w:rsidRPr="00724342">
        <w:rPr>
          <w:color w:val="000000"/>
          <w:sz w:val="22"/>
          <w:szCs w:val="22"/>
        </w:rPr>
        <w:t>е</w:t>
      </w:r>
      <w:r w:rsidRPr="00724342">
        <w:rPr>
          <w:color w:val="000000"/>
          <w:sz w:val="22"/>
          <w:szCs w:val="22"/>
        </w:rPr>
        <w:t>ния данной проблемы необходимо проводить работу по информ</w:t>
      </w:r>
      <w:r w:rsidRPr="00724342">
        <w:rPr>
          <w:color w:val="000000"/>
          <w:sz w:val="22"/>
          <w:szCs w:val="22"/>
        </w:rPr>
        <w:t>и</w:t>
      </w:r>
      <w:r w:rsidRPr="00724342">
        <w:rPr>
          <w:color w:val="000000"/>
          <w:sz w:val="22"/>
          <w:szCs w:val="22"/>
        </w:rPr>
        <w:lastRenderedPageBreak/>
        <w:t>рованности предпринимателей края. Возможно, стоит создать сп</w:t>
      </w:r>
      <w:r w:rsidRPr="00724342">
        <w:rPr>
          <w:color w:val="000000"/>
          <w:sz w:val="22"/>
          <w:szCs w:val="22"/>
        </w:rPr>
        <w:t>е</w:t>
      </w:r>
      <w:r w:rsidRPr="00724342">
        <w:rPr>
          <w:color w:val="000000"/>
          <w:sz w:val="22"/>
          <w:szCs w:val="22"/>
        </w:rPr>
        <w:t>циальные клубы предпринимателей, в которых они будут иметь возможность поделиться своим опытом ведения бизнеса, решить волнующие вопросы и проблемы.</w:t>
      </w:r>
    </w:p>
    <w:p w:rsidR="00724342" w:rsidRPr="00724342" w:rsidRDefault="00724342" w:rsidP="00850015">
      <w:pPr>
        <w:ind w:firstLine="426"/>
        <w:jc w:val="both"/>
        <w:textAlignment w:val="top"/>
        <w:rPr>
          <w:color w:val="000000"/>
          <w:sz w:val="22"/>
          <w:szCs w:val="22"/>
        </w:rPr>
      </w:pPr>
      <w:r w:rsidRPr="00724342">
        <w:rPr>
          <w:color w:val="000000"/>
          <w:sz w:val="22"/>
          <w:szCs w:val="22"/>
        </w:rPr>
        <w:t>Следующая проблема – привлечение инвестиций. На данный момент общий объем инвестиций в основной капитал является д</w:t>
      </w:r>
      <w:r w:rsidRPr="00724342">
        <w:rPr>
          <w:color w:val="000000"/>
          <w:sz w:val="22"/>
          <w:szCs w:val="22"/>
        </w:rPr>
        <w:t>о</w:t>
      </w:r>
      <w:r w:rsidRPr="00724342">
        <w:rPr>
          <w:color w:val="000000"/>
          <w:sz w:val="22"/>
          <w:szCs w:val="22"/>
        </w:rPr>
        <w:t>вольно-таки низким. Проблему рабочих мест, повышения объемов выпуска продукции, роста производительности труда и заработной платы можно решить, привлекая не менее 15 млрд. руб. каждый год. Рассмотрев ставку рефинансирования Центрального Банка, как о</w:t>
      </w:r>
      <w:r w:rsidRPr="00724342">
        <w:rPr>
          <w:color w:val="000000"/>
          <w:sz w:val="22"/>
          <w:szCs w:val="22"/>
        </w:rPr>
        <w:t>д</w:t>
      </w:r>
      <w:r w:rsidRPr="00724342">
        <w:rPr>
          <w:color w:val="000000"/>
          <w:sz w:val="22"/>
          <w:szCs w:val="22"/>
        </w:rPr>
        <w:t>ну из проблем малого бизнеса, возникающую в случае выдачи до</w:t>
      </w:r>
      <w:r w:rsidRPr="00724342">
        <w:rPr>
          <w:color w:val="000000"/>
          <w:sz w:val="22"/>
          <w:szCs w:val="22"/>
        </w:rPr>
        <w:t>л</w:t>
      </w:r>
      <w:r w:rsidRPr="00724342">
        <w:rPr>
          <w:color w:val="000000"/>
          <w:sz w:val="22"/>
          <w:szCs w:val="22"/>
        </w:rPr>
        <w:t>госрочных кредитов, выяснилось, что существует необходимость использования мирового опыта: разделение рисков между заемщ</w:t>
      </w:r>
      <w:r w:rsidRPr="00724342">
        <w:rPr>
          <w:color w:val="000000"/>
          <w:sz w:val="22"/>
          <w:szCs w:val="22"/>
        </w:rPr>
        <w:t>и</w:t>
      </w:r>
      <w:r w:rsidRPr="00724342">
        <w:rPr>
          <w:color w:val="000000"/>
          <w:sz w:val="22"/>
          <w:szCs w:val="22"/>
        </w:rPr>
        <w:t>ком, коммерческим банком и государством. Поддержание и фина</w:t>
      </w:r>
      <w:r w:rsidRPr="00724342">
        <w:rPr>
          <w:color w:val="000000"/>
          <w:sz w:val="22"/>
          <w:szCs w:val="22"/>
        </w:rPr>
        <w:t>н</w:t>
      </w:r>
      <w:r w:rsidRPr="00724342">
        <w:rPr>
          <w:color w:val="000000"/>
          <w:sz w:val="22"/>
          <w:szCs w:val="22"/>
        </w:rPr>
        <w:t>сирование малого бизнеса приведет к увеличению государственного бюджета.</w:t>
      </w:r>
    </w:p>
    <w:p w:rsidR="00724342" w:rsidRPr="00724342" w:rsidRDefault="00724342" w:rsidP="00850015">
      <w:pPr>
        <w:ind w:firstLine="426"/>
        <w:jc w:val="both"/>
        <w:textAlignment w:val="top"/>
        <w:rPr>
          <w:color w:val="000000"/>
          <w:sz w:val="22"/>
          <w:szCs w:val="22"/>
        </w:rPr>
      </w:pPr>
      <w:r w:rsidRPr="00724342">
        <w:rPr>
          <w:color w:val="000000"/>
          <w:sz w:val="22"/>
          <w:szCs w:val="22"/>
        </w:rPr>
        <w:t>Трудности с регистрацией бизнеса  также можно отнести к проблемам малого предпринимательства. Открытие собственного дела требует времени и денег. Необходимо получить как минимум 20 согласований по различным вопросам. Подобные возникающие трудности приводят к нарушению законов (уклонение от уплаты налогов, отсутствие лицензирования и сертификации продукции и т. д.), что порождает нечестную конкуренцию.</w:t>
      </w:r>
    </w:p>
    <w:p w:rsidR="00724342" w:rsidRPr="00724342" w:rsidRDefault="00724342" w:rsidP="00850015">
      <w:pPr>
        <w:ind w:firstLine="426"/>
        <w:jc w:val="both"/>
        <w:textAlignment w:val="top"/>
        <w:rPr>
          <w:color w:val="000000"/>
          <w:sz w:val="22"/>
          <w:szCs w:val="22"/>
        </w:rPr>
      </w:pPr>
      <w:r w:rsidRPr="00724342">
        <w:rPr>
          <w:color w:val="000000"/>
          <w:sz w:val="22"/>
          <w:szCs w:val="22"/>
        </w:rPr>
        <w:t>Последней проблемой малого бизнеса Краснодарского края, которую мы выделим, является отсутствие узнаваемости товарного знака производимой продукции и оказываемых услуг. Менталитет Краснодарского края значительно отличается от иностранного, т. к. мы долгое время стоим на месте, в то время как наши конкуренты превращают малый бизнес в крупные прибыльные компании.</w:t>
      </w:r>
    </w:p>
    <w:p w:rsidR="00724342" w:rsidRPr="00724342" w:rsidRDefault="00724342" w:rsidP="00850015">
      <w:pPr>
        <w:ind w:firstLine="426"/>
        <w:jc w:val="both"/>
        <w:textAlignment w:val="top"/>
        <w:rPr>
          <w:color w:val="000000"/>
          <w:sz w:val="22"/>
          <w:szCs w:val="22"/>
        </w:rPr>
      </w:pPr>
      <w:r w:rsidRPr="00724342">
        <w:rPr>
          <w:color w:val="000000"/>
          <w:sz w:val="22"/>
          <w:szCs w:val="22"/>
        </w:rPr>
        <w:t>Рассмотрев наиболее важные проблемы, можно сказать, что все они препятствуют полноценному развитию малого бизнеса в Кра</w:t>
      </w:r>
      <w:r w:rsidRPr="00724342">
        <w:rPr>
          <w:color w:val="000000"/>
          <w:sz w:val="22"/>
          <w:szCs w:val="22"/>
        </w:rPr>
        <w:t>с</w:t>
      </w:r>
      <w:r w:rsidRPr="00724342">
        <w:rPr>
          <w:color w:val="000000"/>
          <w:sz w:val="22"/>
          <w:szCs w:val="22"/>
        </w:rPr>
        <w:t>нодарском крае. Как мы уже отметили, каждая проблема имеет свое решение. В регионе необходимо повысить правовую грамотность предпринимателей во избежание коррупционных действий. Число желающих заниматься малым бизнесом значительно увеличиться, а сам регион станет еще более перспективным, если все эти пробл</w:t>
      </w:r>
      <w:r w:rsidRPr="00724342">
        <w:rPr>
          <w:color w:val="000000"/>
          <w:sz w:val="22"/>
          <w:szCs w:val="22"/>
        </w:rPr>
        <w:t>е</w:t>
      </w:r>
      <w:r w:rsidRPr="00724342">
        <w:rPr>
          <w:color w:val="000000"/>
          <w:sz w:val="22"/>
          <w:szCs w:val="22"/>
        </w:rPr>
        <w:t>мы и сложности будут решаться на краевом уровне</w:t>
      </w:r>
    </w:p>
    <w:p w:rsidR="00724342" w:rsidRPr="00724342" w:rsidRDefault="00724342" w:rsidP="00850015">
      <w:pPr>
        <w:ind w:firstLine="426"/>
        <w:jc w:val="both"/>
        <w:textAlignment w:val="top"/>
        <w:rPr>
          <w:color w:val="000000"/>
          <w:sz w:val="22"/>
          <w:szCs w:val="22"/>
        </w:rPr>
      </w:pPr>
    </w:p>
    <w:p w:rsidR="00724342" w:rsidRPr="00724342" w:rsidRDefault="00850015" w:rsidP="00850015">
      <w:pPr>
        <w:ind w:firstLine="426"/>
        <w:jc w:val="center"/>
        <w:textAlignment w:val="top"/>
        <w:rPr>
          <w:color w:val="000000"/>
          <w:sz w:val="22"/>
          <w:szCs w:val="22"/>
        </w:rPr>
      </w:pPr>
      <w:r>
        <w:rPr>
          <w:color w:val="000000"/>
          <w:sz w:val="22"/>
          <w:szCs w:val="22"/>
        </w:rPr>
        <w:lastRenderedPageBreak/>
        <w:t>Список литературы</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1. Агеев А.И. Предпринимательство; проблемы собственности и культуры: Учеб. пособие. / Под общ. ред. проф. Бродская Т.Г., Агеев А.И. -М.: ЮНИТИ, 1991. - 515 с.</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2. Виленский А.Р. Этапы развития малого бизнеса: Вопросы экономики. / Под ред. проф. Виленского А.Р. - М.: Эксмо, .1996.- 423 с.</w:t>
      </w:r>
    </w:p>
    <w:p w:rsidR="00724342" w:rsidRPr="00724342" w:rsidRDefault="00724342" w:rsidP="00850015">
      <w:pPr>
        <w:shd w:val="clear" w:color="auto" w:fill="FFFFFF"/>
        <w:ind w:firstLine="426"/>
        <w:jc w:val="both"/>
        <w:rPr>
          <w:color w:val="000000"/>
          <w:sz w:val="22"/>
          <w:szCs w:val="22"/>
        </w:rPr>
      </w:pPr>
      <w:r w:rsidRPr="00724342">
        <w:rPr>
          <w:color w:val="000000"/>
          <w:sz w:val="22"/>
          <w:szCs w:val="22"/>
        </w:rPr>
        <w:t>3. Камаев В.Д. Экономика и бизнес: Учеб. пособие. / Под общ. ред. проф. Добрынина А.И., проф. Дятлова С.А., акад. Камаева В.Д. - М.: ЮНИТИ, 1995. - 432 с.</w:t>
      </w:r>
    </w:p>
    <w:p w:rsidR="00724342" w:rsidRPr="00724342" w:rsidRDefault="00724342" w:rsidP="00850015">
      <w:pPr>
        <w:widowControl w:val="0"/>
        <w:ind w:firstLine="426"/>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jc w:val="both"/>
        <w:rPr>
          <w:rFonts w:eastAsiaTheme="minorHAnsi" w:cstheme="minorBidi"/>
          <w:sz w:val="22"/>
          <w:szCs w:val="22"/>
          <w:lang w:eastAsia="en-US"/>
        </w:rPr>
      </w:pPr>
      <w:r w:rsidRPr="00724342">
        <w:rPr>
          <w:rFonts w:eastAsiaTheme="minorHAnsi" w:cstheme="minorBidi"/>
          <w:sz w:val="22"/>
          <w:szCs w:val="22"/>
          <w:lang w:eastAsia="en-US"/>
        </w:rPr>
        <w:t>УДК 338.48</w:t>
      </w:r>
    </w:p>
    <w:p w:rsidR="00724342" w:rsidRPr="00724342" w:rsidRDefault="00724342" w:rsidP="00724342">
      <w:pPr>
        <w:jc w:val="center"/>
        <w:rPr>
          <w:rFonts w:eastAsiaTheme="minorHAnsi" w:cstheme="minorBidi"/>
          <w:b/>
          <w:sz w:val="22"/>
          <w:szCs w:val="22"/>
          <w:lang w:eastAsia="en-US"/>
        </w:rPr>
      </w:pPr>
    </w:p>
    <w:p w:rsidR="00724342" w:rsidRPr="00724342" w:rsidRDefault="001074AB" w:rsidP="00724342">
      <w:pPr>
        <w:jc w:val="center"/>
        <w:rPr>
          <w:rFonts w:eastAsiaTheme="minorHAnsi" w:cstheme="minorBidi"/>
          <w:b/>
          <w:sz w:val="24"/>
          <w:szCs w:val="24"/>
          <w:lang w:eastAsia="en-US"/>
        </w:rPr>
      </w:pPr>
      <w:r>
        <w:rPr>
          <w:rFonts w:eastAsiaTheme="minorHAnsi" w:cstheme="minorBidi"/>
          <w:b/>
          <w:sz w:val="24"/>
          <w:szCs w:val="24"/>
          <w:lang w:eastAsia="en-US"/>
        </w:rPr>
        <w:t>Направления</w:t>
      </w:r>
      <w:r w:rsidR="00724342" w:rsidRPr="00724342">
        <w:rPr>
          <w:rFonts w:eastAsiaTheme="minorHAnsi" w:cstheme="minorBidi"/>
          <w:b/>
          <w:sz w:val="24"/>
          <w:szCs w:val="24"/>
          <w:lang w:eastAsia="en-US"/>
        </w:rPr>
        <w:t xml:space="preserve"> повышения эффективности туристического бизнеса (на примере ООО «Сочинские сезоны»)</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val="en-US" w:eastAsia="en-US"/>
        </w:rPr>
        <w:t xml:space="preserve">Directions of improving effectiveness of tourist business </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val="en-US" w:eastAsia="en-US"/>
        </w:rPr>
        <w:t>(on the example of LLC Sochi Seazons)</w:t>
      </w:r>
    </w:p>
    <w:p w:rsidR="00724342" w:rsidRPr="00724342" w:rsidRDefault="00724342" w:rsidP="00724342">
      <w:pPr>
        <w:jc w:val="both"/>
        <w:rPr>
          <w:rFonts w:eastAsiaTheme="minorHAnsi" w:cstheme="minorBidi"/>
          <w:sz w:val="22"/>
          <w:szCs w:val="22"/>
          <w:lang w:val="en-US" w:eastAsia="en-US"/>
        </w:rPr>
      </w:pP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 xml:space="preserve">Бахтырева Д. В., </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 xml:space="preserve">магистрант </w:t>
      </w:r>
      <w:r w:rsidRPr="00724342">
        <w:rPr>
          <w:rFonts w:eastAsiaTheme="minorHAnsi"/>
          <w:sz w:val="22"/>
          <w:szCs w:val="22"/>
          <w:lang w:eastAsia="en-US"/>
        </w:rPr>
        <w:t>экономического факультета</w:t>
      </w:r>
      <w:r w:rsidRPr="00724342">
        <w:rPr>
          <w:rFonts w:eastAsiaTheme="minorHAnsi" w:cstheme="minorBidi"/>
          <w:sz w:val="22"/>
          <w:szCs w:val="22"/>
          <w:lang w:eastAsia="en-US"/>
        </w:rPr>
        <w:t xml:space="preserve">, </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 xml:space="preserve">Кондрашова А. В., </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 xml:space="preserve">к.э.н., доцент  кафедры институциональной экономики </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и инвестиционного менеджмента</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 xml:space="preserve">Кубанский государственный аграрный </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sz w:val="22"/>
          <w:szCs w:val="22"/>
          <w:lang w:eastAsia="en-US"/>
        </w:rPr>
        <w:t>университет имени И. Т. Трубилина</w:t>
      </w:r>
    </w:p>
    <w:p w:rsidR="00724342" w:rsidRPr="00724342" w:rsidRDefault="00724342" w:rsidP="00724342">
      <w:pPr>
        <w:jc w:val="both"/>
        <w:rPr>
          <w:rFonts w:eastAsiaTheme="minorHAnsi" w:cstheme="minorBidi"/>
          <w:sz w:val="22"/>
          <w:szCs w:val="22"/>
          <w:lang w:eastAsia="en-US"/>
        </w:rPr>
      </w:pPr>
    </w:p>
    <w:p w:rsidR="00724342" w:rsidRPr="00724342" w:rsidRDefault="00724342" w:rsidP="00850015">
      <w:pPr>
        <w:ind w:firstLine="426"/>
        <w:jc w:val="both"/>
        <w:rPr>
          <w:rFonts w:eastAsiaTheme="minorHAnsi" w:cstheme="minorBidi"/>
          <w:sz w:val="22"/>
          <w:szCs w:val="22"/>
          <w:lang w:eastAsia="en-US"/>
        </w:rPr>
      </w:pPr>
      <w:r w:rsidRPr="00724342">
        <w:rPr>
          <w:rFonts w:eastAsiaTheme="minorHAnsi" w:cstheme="minorBidi"/>
          <w:sz w:val="22"/>
          <w:szCs w:val="22"/>
          <w:lang w:eastAsia="en-US"/>
        </w:rPr>
        <w:t>АННОТАЦИЯ:</w:t>
      </w:r>
      <w:r w:rsidRPr="00724342">
        <w:rPr>
          <w:rFonts w:asciiTheme="minorHAnsi" w:eastAsiaTheme="minorHAnsi" w:hAnsiTheme="minorHAnsi" w:cstheme="minorBidi"/>
          <w:sz w:val="22"/>
          <w:szCs w:val="22"/>
          <w:lang w:eastAsia="en-US"/>
        </w:rPr>
        <w:t xml:space="preserve"> </w:t>
      </w:r>
      <w:r w:rsidRPr="00724342">
        <w:rPr>
          <w:rFonts w:eastAsiaTheme="minorHAnsi" w:cstheme="minorBidi"/>
          <w:sz w:val="22"/>
          <w:szCs w:val="22"/>
          <w:lang w:eastAsia="en-US"/>
        </w:rPr>
        <w:t>В целях повышения эффективности деятельн</w:t>
      </w:r>
      <w:r w:rsidRPr="00724342">
        <w:rPr>
          <w:rFonts w:eastAsiaTheme="minorHAnsi" w:cstheme="minorBidi"/>
          <w:sz w:val="22"/>
          <w:szCs w:val="22"/>
          <w:lang w:eastAsia="en-US"/>
        </w:rPr>
        <w:t>о</w:t>
      </w:r>
      <w:r w:rsidRPr="00724342">
        <w:rPr>
          <w:rFonts w:eastAsiaTheme="minorHAnsi" w:cstheme="minorBidi"/>
          <w:sz w:val="22"/>
          <w:szCs w:val="22"/>
          <w:lang w:eastAsia="en-US"/>
        </w:rPr>
        <w:t>сти в ООО «Сочинские сезоны» предлагается совершенствование коммерческой деятельности, диверсификация бизнеса. Представл</w:t>
      </w:r>
      <w:r w:rsidRPr="00724342">
        <w:rPr>
          <w:rFonts w:eastAsiaTheme="minorHAnsi" w:cstheme="minorBidi"/>
          <w:sz w:val="22"/>
          <w:szCs w:val="22"/>
          <w:lang w:eastAsia="en-US"/>
        </w:rPr>
        <w:t>е</w:t>
      </w:r>
      <w:r w:rsidRPr="00724342">
        <w:rPr>
          <w:rFonts w:eastAsiaTheme="minorHAnsi" w:cstheme="minorBidi"/>
          <w:sz w:val="22"/>
          <w:szCs w:val="22"/>
          <w:lang w:eastAsia="en-US"/>
        </w:rPr>
        <w:t>ны меры по развитию коммерческой деятельности: комплексное изучение состояния туристического рынка и перспектив его разв</w:t>
      </w:r>
      <w:r w:rsidRPr="00724342">
        <w:rPr>
          <w:rFonts w:eastAsiaTheme="minorHAnsi" w:cstheme="minorBidi"/>
          <w:sz w:val="22"/>
          <w:szCs w:val="22"/>
          <w:lang w:eastAsia="en-US"/>
        </w:rPr>
        <w:t>и</w:t>
      </w:r>
      <w:r w:rsidRPr="00724342">
        <w:rPr>
          <w:rFonts w:eastAsiaTheme="minorHAnsi" w:cstheme="minorBidi"/>
          <w:sz w:val="22"/>
          <w:szCs w:val="22"/>
          <w:lang w:eastAsia="en-US"/>
        </w:rPr>
        <w:t>тия; совершенствование форм, методов реализации услуг; сове</w:t>
      </w:r>
      <w:r w:rsidRPr="00724342">
        <w:rPr>
          <w:rFonts w:eastAsiaTheme="minorHAnsi" w:cstheme="minorBidi"/>
          <w:sz w:val="22"/>
          <w:szCs w:val="22"/>
          <w:lang w:eastAsia="en-US"/>
        </w:rPr>
        <w:t>р</w:t>
      </w:r>
      <w:r w:rsidRPr="00724342">
        <w:rPr>
          <w:rFonts w:eastAsiaTheme="minorHAnsi" w:cstheme="minorBidi"/>
          <w:sz w:val="22"/>
          <w:szCs w:val="22"/>
          <w:lang w:eastAsia="en-US"/>
        </w:rPr>
        <w:t>шенствование ценовой политики; организацию рекламной деятел</w:t>
      </w:r>
      <w:r w:rsidRPr="00724342">
        <w:rPr>
          <w:rFonts w:eastAsiaTheme="minorHAnsi" w:cstheme="minorBidi"/>
          <w:sz w:val="22"/>
          <w:szCs w:val="22"/>
          <w:lang w:eastAsia="en-US"/>
        </w:rPr>
        <w:t>ь</w:t>
      </w:r>
      <w:r w:rsidRPr="00724342">
        <w:rPr>
          <w:rFonts w:eastAsiaTheme="minorHAnsi" w:cstheme="minorBidi"/>
          <w:sz w:val="22"/>
          <w:szCs w:val="22"/>
          <w:lang w:eastAsia="en-US"/>
        </w:rPr>
        <w:t>ности; формирование стратегического плана маркетинга.</w:t>
      </w:r>
    </w:p>
    <w:p w:rsidR="00724342" w:rsidRPr="00724342" w:rsidRDefault="00724342" w:rsidP="00850015">
      <w:pPr>
        <w:ind w:firstLine="426"/>
        <w:jc w:val="both"/>
        <w:rPr>
          <w:rFonts w:eastAsiaTheme="minorHAnsi" w:cstheme="minorBidi"/>
          <w:sz w:val="22"/>
          <w:szCs w:val="22"/>
          <w:lang w:val="en-US" w:eastAsia="en-US"/>
        </w:rPr>
      </w:pPr>
      <w:r w:rsidRPr="00724342">
        <w:rPr>
          <w:rFonts w:eastAsiaTheme="minorHAnsi" w:cstheme="minorBidi"/>
          <w:sz w:val="22"/>
          <w:szCs w:val="22"/>
          <w:lang w:val="en-US" w:eastAsia="en-US"/>
        </w:rPr>
        <w:lastRenderedPageBreak/>
        <w:t>ABSTRACT: In order to increase the efficiency of activities in S</w:t>
      </w:r>
      <w:r w:rsidRPr="00724342">
        <w:rPr>
          <w:rFonts w:eastAsiaTheme="minorHAnsi" w:cstheme="minorBidi"/>
          <w:sz w:val="22"/>
          <w:szCs w:val="22"/>
          <w:lang w:val="en-US" w:eastAsia="en-US"/>
        </w:rPr>
        <w:t>o</w:t>
      </w:r>
      <w:r w:rsidRPr="00724342">
        <w:rPr>
          <w:rFonts w:eastAsiaTheme="minorHAnsi" w:cstheme="minorBidi"/>
          <w:sz w:val="22"/>
          <w:szCs w:val="22"/>
          <w:lang w:val="en-US" w:eastAsia="en-US"/>
        </w:rPr>
        <w:t>chi Seasons LLC are proposed improvement of commercial activities, business diversification. The development of commercial activities measures are presented: a comprehensive study of the state of the tou</w:t>
      </w:r>
      <w:r w:rsidRPr="00724342">
        <w:rPr>
          <w:rFonts w:eastAsiaTheme="minorHAnsi" w:cstheme="minorBidi"/>
          <w:sz w:val="22"/>
          <w:szCs w:val="22"/>
          <w:lang w:val="en-US" w:eastAsia="en-US"/>
        </w:rPr>
        <w:t>r</w:t>
      </w:r>
      <w:r w:rsidRPr="00724342">
        <w:rPr>
          <w:rFonts w:eastAsiaTheme="minorHAnsi" w:cstheme="minorBidi"/>
          <w:sz w:val="22"/>
          <w:szCs w:val="22"/>
          <w:lang w:val="en-US" w:eastAsia="en-US"/>
        </w:rPr>
        <w:t>ism market and the prospects for its development; perfection of forms, methods of realization of services; improvement of pricing policy; o</w:t>
      </w:r>
      <w:r w:rsidRPr="00724342">
        <w:rPr>
          <w:rFonts w:eastAsiaTheme="minorHAnsi" w:cstheme="minorBidi"/>
          <w:sz w:val="22"/>
          <w:szCs w:val="22"/>
          <w:lang w:val="en-US" w:eastAsia="en-US"/>
        </w:rPr>
        <w:t>r</w:t>
      </w:r>
      <w:r w:rsidRPr="00724342">
        <w:rPr>
          <w:rFonts w:eastAsiaTheme="minorHAnsi" w:cstheme="minorBidi"/>
          <w:sz w:val="22"/>
          <w:szCs w:val="22"/>
          <w:lang w:val="en-US" w:eastAsia="en-US"/>
        </w:rPr>
        <w:t>ganization of advertising activities; forming of a strategic marketing plan.</w:t>
      </w:r>
    </w:p>
    <w:p w:rsidR="00724342" w:rsidRPr="00724342" w:rsidRDefault="00724342" w:rsidP="00850015">
      <w:pPr>
        <w:ind w:firstLine="426"/>
        <w:jc w:val="both"/>
        <w:rPr>
          <w:rFonts w:eastAsiaTheme="minorHAnsi" w:cstheme="minorBidi"/>
          <w:sz w:val="22"/>
          <w:szCs w:val="22"/>
          <w:lang w:eastAsia="en-US"/>
        </w:rPr>
      </w:pPr>
      <w:r w:rsidRPr="00724342">
        <w:rPr>
          <w:rFonts w:eastAsiaTheme="minorHAnsi" w:cstheme="minorBidi"/>
          <w:sz w:val="22"/>
          <w:szCs w:val="22"/>
          <w:lang w:eastAsia="en-US"/>
        </w:rPr>
        <w:t>КЛЮЧЕВЫЕ СЛОВА:</w:t>
      </w:r>
      <w:r w:rsidRPr="00724342">
        <w:rPr>
          <w:rFonts w:asciiTheme="minorHAnsi" w:eastAsiaTheme="minorHAnsi" w:hAnsiTheme="minorHAnsi" w:cstheme="minorBidi"/>
          <w:sz w:val="22"/>
          <w:szCs w:val="22"/>
          <w:lang w:eastAsia="en-US"/>
        </w:rPr>
        <w:t xml:space="preserve"> </w:t>
      </w:r>
      <w:r w:rsidRPr="00724342">
        <w:rPr>
          <w:rFonts w:eastAsiaTheme="minorHAnsi" w:cstheme="minorBidi"/>
          <w:sz w:val="22"/>
          <w:szCs w:val="22"/>
          <w:lang w:eastAsia="en-US"/>
        </w:rPr>
        <w:t>коммерческая деятельность, туристич</w:t>
      </w:r>
      <w:r w:rsidRPr="00724342">
        <w:rPr>
          <w:rFonts w:eastAsiaTheme="minorHAnsi" w:cstheme="minorBidi"/>
          <w:sz w:val="22"/>
          <w:szCs w:val="22"/>
          <w:lang w:eastAsia="en-US"/>
        </w:rPr>
        <w:t>е</w:t>
      </w:r>
      <w:r w:rsidRPr="00724342">
        <w:rPr>
          <w:rFonts w:eastAsiaTheme="minorHAnsi" w:cstheme="minorBidi"/>
          <w:sz w:val="22"/>
          <w:szCs w:val="22"/>
          <w:lang w:eastAsia="en-US"/>
        </w:rPr>
        <w:t>ский бизнес, эффективность.</w:t>
      </w:r>
      <w:r w:rsidRPr="00724342">
        <w:rPr>
          <w:rFonts w:asciiTheme="minorHAnsi" w:eastAsiaTheme="minorHAnsi" w:hAnsiTheme="minorHAnsi" w:cstheme="minorBidi"/>
          <w:sz w:val="22"/>
          <w:szCs w:val="22"/>
          <w:lang w:eastAsia="en-US"/>
        </w:rPr>
        <w:t xml:space="preserve"> </w:t>
      </w:r>
    </w:p>
    <w:p w:rsidR="00724342" w:rsidRPr="00724342" w:rsidRDefault="00724342" w:rsidP="00850015">
      <w:pPr>
        <w:ind w:firstLine="426"/>
        <w:jc w:val="both"/>
        <w:rPr>
          <w:rFonts w:eastAsiaTheme="minorHAnsi" w:cstheme="minorBidi"/>
          <w:sz w:val="22"/>
          <w:szCs w:val="22"/>
          <w:lang w:val="en-US" w:eastAsia="en-US"/>
        </w:rPr>
      </w:pPr>
      <w:r w:rsidRPr="00724342">
        <w:rPr>
          <w:rFonts w:eastAsiaTheme="minorHAnsi" w:cstheme="minorBidi"/>
          <w:sz w:val="22"/>
          <w:szCs w:val="22"/>
          <w:lang w:val="en-US" w:eastAsia="en-US"/>
        </w:rPr>
        <w:t>KEYWORDS:</w:t>
      </w:r>
      <w:r w:rsidRPr="00724342">
        <w:rPr>
          <w:rFonts w:eastAsiaTheme="minorHAnsi" w:cstheme="minorBidi"/>
          <w:b/>
          <w:sz w:val="22"/>
          <w:szCs w:val="22"/>
          <w:lang w:val="en-US" w:eastAsia="en-US"/>
        </w:rPr>
        <w:t xml:space="preserve"> </w:t>
      </w:r>
      <w:r w:rsidRPr="00724342">
        <w:rPr>
          <w:rFonts w:eastAsiaTheme="minorHAnsi" w:cstheme="minorBidi"/>
          <w:sz w:val="22"/>
          <w:szCs w:val="22"/>
          <w:lang w:val="en-US" w:eastAsia="en-US"/>
        </w:rPr>
        <w:t>commercial activity, effectiveness of tourist business</w:t>
      </w:r>
    </w:p>
    <w:p w:rsidR="00724342" w:rsidRPr="00724342" w:rsidRDefault="00724342" w:rsidP="00850015">
      <w:pPr>
        <w:ind w:firstLine="426"/>
        <w:jc w:val="both"/>
        <w:rPr>
          <w:rFonts w:eastAsiaTheme="minorHAnsi" w:cstheme="minorBidi"/>
          <w:sz w:val="22"/>
          <w:szCs w:val="22"/>
          <w:lang w:val="en-US" w:eastAsia="en-US"/>
        </w:rPr>
      </w:pPr>
    </w:p>
    <w:p w:rsidR="00724342" w:rsidRPr="00724342" w:rsidRDefault="00724342" w:rsidP="00850015">
      <w:pPr>
        <w:ind w:firstLine="426"/>
        <w:jc w:val="both"/>
        <w:rPr>
          <w:rFonts w:eastAsiaTheme="minorHAnsi" w:cstheme="minorBidi"/>
          <w:b/>
          <w:bCs/>
          <w:i/>
          <w:sz w:val="22"/>
          <w:szCs w:val="22"/>
          <w:lang w:eastAsia="en-US"/>
        </w:rPr>
      </w:pPr>
      <w:r w:rsidRPr="00724342">
        <w:rPr>
          <w:rFonts w:eastAsiaTheme="minorHAnsi" w:cstheme="minorBidi"/>
          <w:sz w:val="22"/>
          <w:szCs w:val="22"/>
          <w:lang w:eastAsia="en-US"/>
        </w:rPr>
        <w:t>Обеспечение высоких темпов развития и роста конкурентосп</w:t>
      </w:r>
      <w:r w:rsidRPr="00724342">
        <w:rPr>
          <w:rFonts w:eastAsiaTheme="minorHAnsi" w:cstheme="minorBidi"/>
          <w:sz w:val="22"/>
          <w:szCs w:val="22"/>
          <w:lang w:eastAsia="en-US"/>
        </w:rPr>
        <w:t>о</w:t>
      </w:r>
      <w:r w:rsidRPr="00724342">
        <w:rPr>
          <w:rFonts w:eastAsiaTheme="minorHAnsi" w:cstheme="minorBidi"/>
          <w:sz w:val="22"/>
          <w:szCs w:val="22"/>
          <w:lang w:eastAsia="en-US"/>
        </w:rPr>
        <w:t>собности туристических организаций в долгосрочной перспективе, особенно в условиях экономических санкций предопределяются уровнем инвестиционной активности. В условиях конкурентной среды важнейшим фактором максимизации прибыли являются и</w:t>
      </w:r>
      <w:r w:rsidRPr="00724342">
        <w:rPr>
          <w:rFonts w:eastAsiaTheme="minorHAnsi" w:cstheme="minorBidi"/>
          <w:sz w:val="22"/>
          <w:szCs w:val="22"/>
          <w:lang w:eastAsia="en-US"/>
        </w:rPr>
        <w:t>н</w:t>
      </w:r>
      <w:r w:rsidRPr="00724342">
        <w:rPr>
          <w:rFonts w:eastAsiaTheme="minorHAnsi" w:cstheme="minorBidi"/>
          <w:sz w:val="22"/>
          <w:szCs w:val="22"/>
          <w:lang w:eastAsia="en-US"/>
        </w:rPr>
        <w:t xml:space="preserve">вестиции в диверсификацию бизнеса. </w:t>
      </w:r>
    </w:p>
    <w:p w:rsidR="00724342" w:rsidRPr="00724342" w:rsidRDefault="00724342" w:rsidP="00850015">
      <w:pPr>
        <w:ind w:firstLine="426"/>
        <w:jc w:val="both"/>
        <w:rPr>
          <w:rFonts w:eastAsiaTheme="minorHAnsi" w:cstheme="minorBidi"/>
          <w:sz w:val="22"/>
          <w:szCs w:val="22"/>
          <w:lang w:eastAsia="en-US"/>
        </w:rPr>
      </w:pPr>
      <w:r w:rsidRPr="00724342">
        <w:rPr>
          <w:rFonts w:eastAsiaTheme="minorHAnsi" w:cstheme="minorBidi"/>
          <w:sz w:val="22"/>
          <w:szCs w:val="22"/>
          <w:lang w:eastAsia="en-US"/>
        </w:rPr>
        <w:t>Цель работы заключается в разработке предложений по реал</w:t>
      </w:r>
      <w:r w:rsidRPr="00724342">
        <w:rPr>
          <w:rFonts w:eastAsiaTheme="minorHAnsi" w:cstheme="minorBidi"/>
          <w:sz w:val="22"/>
          <w:szCs w:val="22"/>
          <w:lang w:eastAsia="en-US"/>
        </w:rPr>
        <w:t>и</w:t>
      </w:r>
      <w:r w:rsidRPr="00724342">
        <w:rPr>
          <w:rFonts w:eastAsiaTheme="minorHAnsi" w:cstheme="minorBidi"/>
          <w:sz w:val="22"/>
          <w:szCs w:val="22"/>
          <w:lang w:eastAsia="en-US"/>
        </w:rPr>
        <w:t xml:space="preserve">зации резервов роста эффективности туристического бизнеса в ООО «Сочинские сезоны». </w:t>
      </w:r>
      <w:r w:rsidRPr="00724342">
        <w:rPr>
          <w:rFonts w:eastAsiaTheme="minorHAnsi"/>
          <w:sz w:val="22"/>
          <w:szCs w:val="22"/>
          <w:lang w:eastAsia="en-US"/>
        </w:rPr>
        <w:t>Основное направление деятельности организации - это оказание услуг по бронированию в сфере тури</w:t>
      </w:r>
      <w:r w:rsidRPr="00724342">
        <w:rPr>
          <w:rFonts w:eastAsiaTheme="minorHAnsi"/>
          <w:sz w:val="22"/>
          <w:szCs w:val="22"/>
          <w:lang w:eastAsia="en-US"/>
        </w:rPr>
        <w:t>з</w:t>
      </w:r>
      <w:r w:rsidRPr="00724342">
        <w:rPr>
          <w:rFonts w:eastAsiaTheme="minorHAnsi"/>
          <w:sz w:val="22"/>
          <w:szCs w:val="22"/>
          <w:lang w:eastAsia="en-US"/>
        </w:rPr>
        <w:t xml:space="preserve">ма, </w:t>
      </w:r>
      <w:r w:rsidRPr="00724342">
        <w:rPr>
          <w:rFonts w:eastAsiaTheme="minorHAnsi" w:cstheme="minorBidi"/>
          <w:sz w:val="22"/>
          <w:szCs w:val="22"/>
          <w:lang w:eastAsia="en-US"/>
        </w:rPr>
        <w:t>транспортные путешествия по Кубани и в Абхазии и разноо</w:t>
      </w:r>
      <w:r w:rsidRPr="00724342">
        <w:rPr>
          <w:rFonts w:eastAsiaTheme="minorHAnsi" w:cstheme="minorBidi"/>
          <w:sz w:val="22"/>
          <w:szCs w:val="22"/>
          <w:lang w:eastAsia="en-US"/>
        </w:rPr>
        <w:t>б</w:t>
      </w:r>
      <w:r w:rsidRPr="00724342">
        <w:rPr>
          <w:rFonts w:eastAsiaTheme="minorHAnsi" w:cstheme="minorBidi"/>
          <w:sz w:val="22"/>
          <w:szCs w:val="22"/>
          <w:lang w:eastAsia="en-US"/>
        </w:rPr>
        <w:t>разные экскурсионные программы. Анализ обеспеченности фина</w:t>
      </w:r>
      <w:r w:rsidRPr="00724342">
        <w:rPr>
          <w:rFonts w:eastAsiaTheme="minorHAnsi" w:cstheme="minorBidi"/>
          <w:sz w:val="22"/>
          <w:szCs w:val="22"/>
          <w:lang w:eastAsia="en-US"/>
        </w:rPr>
        <w:t>н</w:t>
      </w:r>
      <w:r w:rsidRPr="00724342">
        <w:rPr>
          <w:rFonts w:eastAsiaTheme="minorHAnsi" w:cstheme="minorBidi"/>
          <w:sz w:val="22"/>
          <w:szCs w:val="22"/>
          <w:lang w:eastAsia="en-US"/>
        </w:rPr>
        <w:t xml:space="preserve">сово-хозяйственной деятельности организации свидетельствует, что в </w:t>
      </w:r>
      <w:r w:rsidRPr="00724342">
        <w:rPr>
          <w:rFonts w:eastAsiaTheme="minorHAnsi" w:cstheme="minorBidi"/>
          <w:iCs/>
          <w:sz w:val="22"/>
          <w:szCs w:val="22"/>
          <w:lang w:eastAsia="en-US"/>
        </w:rPr>
        <w:t xml:space="preserve">2016 г. рентабельность основной деятельности достигла 14%, что на 2,7 п.п. выше уровня 2014 г. </w:t>
      </w:r>
      <w:r w:rsidRPr="00724342">
        <w:rPr>
          <w:rFonts w:eastAsiaTheme="minorHAnsi" w:cstheme="minorBidi"/>
          <w:sz w:val="22"/>
          <w:szCs w:val="22"/>
          <w:lang w:eastAsia="en-US"/>
        </w:rPr>
        <w:t>Неустойчивый рост показателей рентабельности не способствует обеспечению конкурентоспособн</w:t>
      </w:r>
      <w:r w:rsidRPr="00724342">
        <w:rPr>
          <w:rFonts w:eastAsiaTheme="minorHAnsi" w:cstheme="minorBidi"/>
          <w:sz w:val="22"/>
          <w:szCs w:val="22"/>
          <w:lang w:eastAsia="en-US"/>
        </w:rPr>
        <w:t>о</w:t>
      </w:r>
      <w:r w:rsidRPr="00724342">
        <w:rPr>
          <w:rFonts w:eastAsiaTheme="minorHAnsi" w:cstheme="minorBidi"/>
          <w:sz w:val="22"/>
          <w:szCs w:val="22"/>
          <w:lang w:eastAsia="en-US"/>
        </w:rPr>
        <w:t>сти и инвестиционной привлекательности. В 2016 году рентабел</w:t>
      </w:r>
      <w:r w:rsidRPr="00724342">
        <w:rPr>
          <w:rFonts w:eastAsiaTheme="minorHAnsi" w:cstheme="minorBidi"/>
          <w:sz w:val="22"/>
          <w:szCs w:val="22"/>
          <w:lang w:eastAsia="en-US"/>
        </w:rPr>
        <w:t>ь</w:t>
      </w:r>
      <w:r w:rsidRPr="00724342">
        <w:rPr>
          <w:rFonts w:eastAsiaTheme="minorHAnsi" w:cstheme="minorBidi"/>
          <w:sz w:val="22"/>
          <w:szCs w:val="22"/>
          <w:lang w:eastAsia="en-US"/>
        </w:rPr>
        <w:t xml:space="preserve">ность капитала составила 11,8%, и ввиду резкого снижения чистой прибыли в 2015 году зафиксирована на уровне 2,2%. </w:t>
      </w:r>
      <w:r w:rsidRPr="00724342">
        <w:rPr>
          <w:rFonts w:eastAsiaTheme="minorHAnsi" w:cstheme="minorBidi"/>
          <w:iCs/>
          <w:sz w:val="22"/>
          <w:szCs w:val="22"/>
          <w:lang w:eastAsia="en-US"/>
        </w:rPr>
        <w:t>Показатели</w:t>
      </w:r>
      <w:r w:rsidRPr="00724342">
        <w:rPr>
          <w:rFonts w:eastAsiaTheme="minorHAnsi" w:cstheme="minorBidi"/>
          <w:i/>
          <w:iCs/>
          <w:sz w:val="22"/>
          <w:szCs w:val="22"/>
          <w:lang w:eastAsia="en-US"/>
        </w:rPr>
        <w:t xml:space="preserve"> </w:t>
      </w:r>
      <w:r w:rsidRPr="00724342">
        <w:rPr>
          <w:rFonts w:eastAsiaTheme="minorHAnsi" w:cstheme="minorBidi"/>
          <w:sz w:val="22"/>
          <w:szCs w:val="22"/>
          <w:lang w:eastAsia="en-US"/>
        </w:rPr>
        <w:t xml:space="preserve">финансового состояния </w:t>
      </w:r>
      <w:r w:rsidRPr="00724342">
        <w:rPr>
          <w:rFonts w:eastAsiaTheme="minorHAnsi"/>
          <w:sz w:val="22"/>
          <w:szCs w:val="22"/>
          <w:lang w:eastAsia="en-US"/>
        </w:rPr>
        <w:t xml:space="preserve">ООО «Сочинские сезоны» </w:t>
      </w:r>
      <w:r w:rsidRPr="00724342">
        <w:rPr>
          <w:rFonts w:eastAsiaTheme="minorHAnsi" w:cstheme="minorBidi"/>
          <w:sz w:val="22"/>
          <w:szCs w:val="22"/>
          <w:lang w:eastAsia="en-US"/>
        </w:rPr>
        <w:t>за исследуемый период в целом улучшились, большая часть которых находятся в</w:t>
      </w:r>
      <w:r w:rsidRPr="00724342">
        <w:rPr>
          <w:rFonts w:eastAsiaTheme="minorHAnsi" w:cstheme="minorBidi"/>
          <w:sz w:val="22"/>
          <w:szCs w:val="22"/>
          <w:lang w:eastAsia="en-US"/>
        </w:rPr>
        <w:t>ы</w:t>
      </w:r>
      <w:r w:rsidRPr="00724342">
        <w:rPr>
          <w:rFonts w:eastAsiaTheme="minorHAnsi" w:cstheme="minorBidi"/>
          <w:sz w:val="22"/>
          <w:szCs w:val="22"/>
          <w:lang w:eastAsia="en-US"/>
        </w:rPr>
        <w:t>ше норматива. Чтобы усилить конкурентную позицию организации, разработка мероприятий должна быть нацелена на использование перспектив, соответствующих возможностям организации, и обе</w:t>
      </w:r>
      <w:r w:rsidRPr="00724342">
        <w:rPr>
          <w:rFonts w:eastAsiaTheme="minorHAnsi" w:cstheme="minorBidi"/>
          <w:sz w:val="22"/>
          <w:szCs w:val="22"/>
          <w:lang w:eastAsia="en-US"/>
        </w:rPr>
        <w:t>с</w:t>
      </w:r>
      <w:r w:rsidRPr="00724342">
        <w:rPr>
          <w:rFonts w:eastAsiaTheme="minorHAnsi" w:cstheme="minorBidi"/>
          <w:sz w:val="22"/>
          <w:szCs w:val="22"/>
          <w:lang w:eastAsia="en-US"/>
        </w:rPr>
        <w:t>печивать защиту от внешних угроз. В ООО «Сочинские сезоны»  в целях повышения эффективности деятельности предлагается реал</w:t>
      </w:r>
      <w:r w:rsidRPr="00724342">
        <w:rPr>
          <w:rFonts w:eastAsiaTheme="minorHAnsi" w:cstheme="minorBidi"/>
          <w:sz w:val="22"/>
          <w:szCs w:val="22"/>
          <w:lang w:eastAsia="en-US"/>
        </w:rPr>
        <w:t>и</w:t>
      </w:r>
      <w:r w:rsidRPr="00724342">
        <w:rPr>
          <w:rFonts w:eastAsiaTheme="minorHAnsi" w:cstheme="minorBidi"/>
          <w:sz w:val="22"/>
          <w:szCs w:val="22"/>
          <w:lang w:eastAsia="en-US"/>
        </w:rPr>
        <w:lastRenderedPageBreak/>
        <w:t>зация следующих мер. Во-первых, в качестве приоритетного направления повышения экономической эффективности туристич</w:t>
      </w:r>
      <w:r w:rsidRPr="00724342">
        <w:rPr>
          <w:rFonts w:eastAsiaTheme="minorHAnsi" w:cstheme="minorBidi"/>
          <w:sz w:val="22"/>
          <w:szCs w:val="22"/>
          <w:lang w:eastAsia="en-US"/>
        </w:rPr>
        <w:t>е</w:t>
      </w:r>
      <w:r w:rsidRPr="00724342">
        <w:rPr>
          <w:rFonts w:eastAsiaTheme="minorHAnsi" w:cstheme="minorBidi"/>
          <w:sz w:val="22"/>
          <w:szCs w:val="22"/>
          <w:lang w:eastAsia="en-US"/>
        </w:rPr>
        <w:t>ского бизнеса в организации предлагается диверсификация. Во-вторых, росту результативности деятельности организации будет способствовать совершенствование коммерческой деятельности.</w:t>
      </w:r>
    </w:p>
    <w:p w:rsidR="00724342" w:rsidRPr="00724342" w:rsidRDefault="00724342" w:rsidP="00850015">
      <w:pPr>
        <w:widowControl w:val="0"/>
        <w:autoSpaceDE w:val="0"/>
        <w:autoSpaceDN w:val="0"/>
        <w:adjustRightInd w:val="0"/>
        <w:ind w:firstLine="426"/>
        <w:jc w:val="both"/>
        <w:rPr>
          <w:rFonts w:eastAsiaTheme="minorHAnsi" w:cstheme="minorBidi"/>
          <w:sz w:val="22"/>
          <w:szCs w:val="22"/>
          <w:lang w:eastAsia="en-US"/>
        </w:rPr>
      </w:pPr>
      <w:r w:rsidRPr="00724342">
        <w:rPr>
          <w:rFonts w:eastAsiaTheme="minorHAnsi" w:cstheme="minorBidi"/>
          <w:sz w:val="22"/>
          <w:szCs w:val="22"/>
          <w:lang w:eastAsia="en-US"/>
        </w:rPr>
        <w:t>В условиях деятельности на рынке туристических услуг Кра</w:t>
      </w:r>
      <w:r w:rsidRPr="00724342">
        <w:rPr>
          <w:rFonts w:eastAsiaTheme="minorHAnsi" w:cstheme="minorBidi"/>
          <w:sz w:val="22"/>
          <w:szCs w:val="22"/>
          <w:lang w:eastAsia="en-US"/>
        </w:rPr>
        <w:t>с</w:t>
      </w:r>
      <w:r w:rsidRPr="00724342">
        <w:rPr>
          <w:rFonts w:eastAsiaTheme="minorHAnsi" w:cstheme="minorBidi"/>
          <w:sz w:val="22"/>
          <w:szCs w:val="22"/>
          <w:lang w:eastAsia="en-US"/>
        </w:rPr>
        <w:t>нодарского края совершенствование коммерческой деятельности в ООО «Сочинские сезоны» является объективной необходимостью. Система коммерческих, организационно-финансовых функций, направленных на наиболее полное и быстрое удовлетворение спр</w:t>
      </w:r>
      <w:r w:rsidRPr="00724342">
        <w:rPr>
          <w:rFonts w:eastAsiaTheme="minorHAnsi" w:cstheme="minorBidi"/>
          <w:sz w:val="22"/>
          <w:szCs w:val="22"/>
          <w:lang w:eastAsia="en-US"/>
        </w:rPr>
        <w:t>о</w:t>
      </w:r>
      <w:r w:rsidRPr="00724342">
        <w:rPr>
          <w:rFonts w:eastAsiaTheme="minorHAnsi" w:cstheme="minorBidi"/>
          <w:sz w:val="22"/>
          <w:szCs w:val="22"/>
          <w:lang w:eastAsia="en-US"/>
        </w:rPr>
        <w:t>са потребителей туристических услуг, должна предусматривать: комплексное изучение состояния туристического рынка и перспе</w:t>
      </w:r>
      <w:r w:rsidRPr="00724342">
        <w:rPr>
          <w:rFonts w:eastAsiaTheme="minorHAnsi" w:cstheme="minorBidi"/>
          <w:sz w:val="22"/>
          <w:szCs w:val="22"/>
          <w:lang w:eastAsia="en-US"/>
        </w:rPr>
        <w:t>к</w:t>
      </w:r>
      <w:r w:rsidRPr="00724342">
        <w:rPr>
          <w:rFonts w:eastAsiaTheme="minorHAnsi" w:cstheme="minorBidi"/>
          <w:sz w:val="22"/>
          <w:szCs w:val="22"/>
          <w:lang w:eastAsia="en-US"/>
        </w:rPr>
        <w:t>тив его развития; совершенствование форм, методов реализации продукции и услуг; разработку системы цен, совершенствование ценовой политики по мере возникновения необходимости; орган</w:t>
      </w:r>
      <w:r w:rsidRPr="00724342">
        <w:rPr>
          <w:rFonts w:eastAsiaTheme="minorHAnsi" w:cstheme="minorBidi"/>
          <w:sz w:val="22"/>
          <w:szCs w:val="22"/>
          <w:lang w:eastAsia="en-US"/>
        </w:rPr>
        <w:t>и</w:t>
      </w:r>
      <w:r w:rsidRPr="00724342">
        <w:rPr>
          <w:rFonts w:eastAsiaTheme="minorHAnsi" w:cstheme="minorBidi"/>
          <w:sz w:val="22"/>
          <w:szCs w:val="22"/>
          <w:lang w:eastAsia="en-US"/>
        </w:rPr>
        <w:t>зацию рекламной деятельности; формирование стратегического плана маркетинга.</w:t>
      </w:r>
    </w:p>
    <w:p w:rsidR="00724342" w:rsidRPr="00724342" w:rsidRDefault="00724342" w:rsidP="00850015">
      <w:pPr>
        <w:ind w:firstLine="426"/>
        <w:jc w:val="both"/>
        <w:rPr>
          <w:rFonts w:eastAsiaTheme="minorHAnsi" w:cstheme="minorBidi"/>
          <w:color w:val="000000"/>
          <w:sz w:val="22"/>
          <w:szCs w:val="22"/>
          <w:lang w:eastAsia="en-US"/>
        </w:rPr>
      </w:pPr>
      <w:r w:rsidRPr="00724342">
        <w:rPr>
          <w:rFonts w:eastAsiaTheme="minorHAnsi" w:cstheme="minorBidi"/>
          <w:color w:val="000000"/>
          <w:sz w:val="22"/>
          <w:szCs w:val="22"/>
          <w:lang w:eastAsia="en-US"/>
        </w:rPr>
        <w:t>Процесс организации маркетинговой деятельности в ООО «С</w:t>
      </w:r>
      <w:r w:rsidRPr="00724342">
        <w:rPr>
          <w:rFonts w:eastAsiaTheme="minorHAnsi" w:cstheme="minorBidi"/>
          <w:color w:val="000000"/>
          <w:sz w:val="22"/>
          <w:szCs w:val="22"/>
          <w:lang w:eastAsia="en-US"/>
        </w:rPr>
        <w:t>о</w:t>
      </w:r>
      <w:r w:rsidRPr="00724342">
        <w:rPr>
          <w:rFonts w:eastAsiaTheme="minorHAnsi" w:cstheme="minorBidi"/>
          <w:color w:val="000000"/>
          <w:sz w:val="22"/>
          <w:szCs w:val="22"/>
          <w:lang w:eastAsia="en-US"/>
        </w:rPr>
        <w:t>чинские сезоны» подразумевает активизацию плана реализации, проведение рекламной компании. Внедрение системы маркетинга предполагает исследование российского и регионального турист</w:t>
      </w:r>
      <w:r w:rsidRPr="00724342">
        <w:rPr>
          <w:rFonts w:eastAsiaTheme="minorHAnsi" w:cstheme="minorBidi"/>
          <w:color w:val="000000"/>
          <w:sz w:val="22"/>
          <w:szCs w:val="22"/>
          <w:lang w:eastAsia="en-US"/>
        </w:rPr>
        <w:t>и</w:t>
      </w:r>
      <w:r w:rsidRPr="00724342">
        <w:rPr>
          <w:rFonts w:eastAsiaTheme="minorHAnsi" w:cstheme="minorBidi"/>
          <w:color w:val="000000"/>
          <w:sz w:val="22"/>
          <w:szCs w:val="22"/>
          <w:lang w:eastAsia="en-US"/>
        </w:rPr>
        <w:t>ческого рынка. Для устойчивого функционирования  на туристич</w:t>
      </w:r>
      <w:r w:rsidRPr="00724342">
        <w:rPr>
          <w:rFonts w:eastAsiaTheme="minorHAnsi" w:cstheme="minorBidi"/>
          <w:color w:val="000000"/>
          <w:sz w:val="22"/>
          <w:szCs w:val="22"/>
          <w:lang w:eastAsia="en-US"/>
        </w:rPr>
        <w:t>е</w:t>
      </w:r>
      <w:r w:rsidRPr="00724342">
        <w:rPr>
          <w:rFonts w:eastAsiaTheme="minorHAnsi" w:cstheme="minorBidi"/>
          <w:color w:val="000000"/>
          <w:sz w:val="22"/>
          <w:szCs w:val="22"/>
          <w:lang w:eastAsia="en-US"/>
        </w:rPr>
        <w:t>ском рынке организация должна изучить возможности роста со</w:t>
      </w:r>
      <w:r w:rsidRPr="00724342">
        <w:rPr>
          <w:rFonts w:eastAsiaTheme="minorHAnsi" w:cstheme="minorBidi"/>
          <w:color w:val="000000"/>
          <w:sz w:val="22"/>
          <w:szCs w:val="22"/>
          <w:lang w:eastAsia="en-US"/>
        </w:rPr>
        <w:t>б</w:t>
      </w:r>
      <w:r w:rsidRPr="00724342">
        <w:rPr>
          <w:rFonts w:eastAsiaTheme="minorHAnsi" w:cstheme="minorBidi"/>
          <w:color w:val="000000"/>
          <w:sz w:val="22"/>
          <w:szCs w:val="22"/>
          <w:lang w:eastAsia="en-US"/>
        </w:rPr>
        <w:t xml:space="preserve">ственных объемов оказываемых услуг и у конкурентов. Поэтому требуется разработка стратегии, ориентированной на отдельные рыночные сегменты, а также определение преимуществ данной фирмы перед другими участниками рынка. </w:t>
      </w:r>
    </w:p>
    <w:p w:rsidR="00724342" w:rsidRPr="00724342" w:rsidRDefault="00724342" w:rsidP="00850015">
      <w:pPr>
        <w:widowControl w:val="0"/>
        <w:autoSpaceDE w:val="0"/>
        <w:autoSpaceDN w:val="0"/>
        <w:adjustRightInd w:val="0"/>
        <w:ind w:firstLine="426"/>
        <w:jc w:val="center"/>
        <w:rPr>
          <w:rFonts w:eastAsiaTheme="minorHAnsi" w:cstheme="minorBidi"/>
          <w:b/>
          <w:sz w:val="16"/>
          <w:szCs w:val="16"/>
          <w:lang w:eastAsia="en-US"/>
        </w:rPr>
      </w:pPr>
    </w:p>
    <w:p w:rsidR="00724342" w:rsidRPr="00724342" w:rsidRDefault="00724342" w:rsidP="00850015">
      <w:pPr>
        <w:widowControl w:val="0"/>
        <w:autoSpaceDE w:val="0"/>
        <w:autoSpaceDN w:val="0"/>
        <w:adjustRightInd w:val="0"/>
        <w:ind w:firstLine="426"/>
        <w:jc w:val="center"/>
        <w:rPr>
          <w:rFonts w:eastAsiaTheme="minorHAnsi" w:cstheme="minorBidi"/>
          <w:sz w:val="22"/>
          <w:szCs w:val="22"/>
          <w:lang w:eastAsia="en-US"/>
        </w:rPr>
      </w:pPr>
      <w:r w:rsidRPr="00724342">
        <w:rPr>
          <w:rFonts w:eastAsiaTheme="minorHAnsi" w:cstheme="minorBidi"/>
          <w:sz w:val="22"/>
          <w:szCs w:val="22"/>
          <w:lang w:eastAsia="en-US"/>
        </w:rPr>
        <w:t>Список литературы</w:t>
      </w:r>
    </w:p>
    <w:p w:rsidR="00724342" w:rsidRPr="00724342" w:rsidRDefault="00724342" w:rsidP="00850015">
      <w:pPr>
        <w:widowControl w:val="0"/>
        <w:numPr>
          <w:ilvl w:val="0"/>
          <w:numId w:val="88"/>
        </w:numPr>
        <w:tabs>
          <w:tab w:val="left" w:pos="540"/>
        </w:tabs>
        <w:autoSpaceDE w:val="0"/>
        <w:autoSpaceDN w:val="0"/>
        <w:adjustRightInd w:val="0"/>
        <w:ind w:left="0" w:firstLine="426"/>
        <w:jc w:val="both"/>
        <w:rPr>
          <w:rFonts w:eastAsiaTheme="minorHAnsi" w:cstheme="minorBidi"/>
          <w:sz w:val="22"/>
          <w:szCs w:val="22"/>
          <w:lang w:eastAsia="en-US"/>
        </w:rPr>
      </w:pPr>
      <w:r w:rsidRPr="00724342">
        <w:rPr>
          <w:rFonts w:eastAsiaTheme="minorHAnsi" w:cstheme="minorBidi"/>
          <w:sz w:val="22"/>
          <w:lang w:eastAsia="en-US"/>
        </w:rPr>
        <w:t>Гайдук В. И. Инновационные факторы повышения эффе</w:t>
      </w:r>
      <w:r w:rsidRPr="00724342">
        <w:rPr>
          <w:rFonts w:eastAsiaTheme="minorHAnsi" w:cstheme="minorBidi"/>
          <w:sz w:val="22"/>
          <w:lang w:eastAsia="en-US"/>
        </w:rPr>
        <w:t>к</w:t>
      </w:r>
      <w:r w:rsidRPr="00724342">
        <w:rPr>
          <w:rFonts w:eastAsiaTheme="minorHAnsi" w:cstheme="minorBidi"/>
          <w:sz w:val="22"/>
          <w:lang w:eastAsia="en-US"/>
        </w:rPr>
        <w:t xml:space="preserve">тивности туристического бизнеса / </w:t>
      </w:r>
      <w:r w:rsidRPr="00724342">
        <w:rPr>
          <w:rFonts w:eastAsiaTheme="minorHAnsi" w:cstheme="minorBidi"/>
          <w:spacing w:val="1"/>
          <w:sz w:val="22"/>
          <w:szCs w:val="22"/>
          <w:lang w:eastAsia="en-US"/>
        </w:rPr>
        <w:t>В. И. Гайдук, Д. В. Бахтырева</w:t>
      </w:r>
      <w:r w:rsidRPr="00724342">
        <w:rPr>
          <w:rFonts w:eastAsiaTheme="minorHAnsi" w:cstheme="minorBidi"/>
          <w:sz w:val="22"/>
          <w:lang w:eastAsia="en-US"/>
        </w:rPr>
        <w:t>. – Институциональная трансформация экономики России в условиях новой реальности: материалы межд. науч. конф. </w:t>
      </w:r>
      <w:r w:rsidRPr="00724342">
        <w:rPr>
          <w:rFonts w:eastAsiaTheme="minorHAnsi" w:cstheme="minorBidi"/>
          <w:sz w:val="22"/>
          <w:szCs w:val="22"/>
          <w:lang w:eastAsia="en-US"/>
        </w:rPr>
        <w:t>(22 ноября 2017 г., г. Краснодар).</w:t>
      </w:r>
      <w:r w:rsidRPr="00724342">
        <w:rPr>
          <w:rFonts w:eastAsiaTheme="minorHAnsi" w:cstheme="minorBidi"/>
          <w:sz w:val="22"/>
          <w:lang w:eastAsia="en-US"/>
        </w:rPr>
        <w:t> – [Электронный ресурс]. – Краснодар : Изд-во Кра</w:t>
      </w:r>
      <w:r w:rsidRPr="00724342">
        <w:rPr>
          <w:rFonts w:eastAsiaTheme="minorHAnsi" w:cstheme="minorBidi"/>
          <w:sz w:val="22"/>
          <w:lang w:eastAsia="en-US"/>
        </w:rPr>
        <w:t>с</w:t>
      </w:r>
      <w:r w:rsidRPr="00724342">
        <w:rPr>
          <w:rFonts w:eastAsiaTheme="minorHAnsi" w:cstheme="minorBidi"/>
          <w:sz w:val="22"/>
          <w:lang w:eastAsia="en-US"/>
        </w:rPr>
        <w:t>нодарский ЦНТИ – филиал ФГБУ «РЭА» Минэнерго РФ, 2017. – С. 78–83.</w:t>
      </w:r>
    </w:p>
    <w:p w:rsidR="00724342" w:rsidRPr="00724342" w:rsidRDefault="00724342" w:rsidP="00850015">
      <w:pPr>
        <w:widowControl w:val="0"/>
        <w:numPr>
          <w:ilvl w:val="0"/>
          <w:numId w:val="88"/>
        </w:numPr>
        <w:tabs>
          <w:tab w:val="left" w:pos="540"/>
        </w:tabs>
        <w:autoSpaceDE w:val="0"/>
        <w:autoSpaceDN w:val="0"/>
        <w:adjustRightInd w:val="0"/>
        <w:ind w:left="0" w:firstLine="426"/>
        <w:jc w:val="both"/>
        <w:rPr>
          <w:rFonts w:eastAsiaTheme="minorHAnsi" w:cstheme="minorBidi"/>
          <w:spacing w:val="1"/>
          <w:sz w:val="22"/>
          <w:szCs w:val="22"/>
          <w:lang w:eastAsia="en-US"/>
        </w:rPr>
      </w:pPr>
      <w:r w:rsidRPr="00724342">
        <w:rPr>
          <w:rFonts w:eastAsiaTheme="minorHAnsi" w:cstheme="minorBidi"/>
          <w:sz w:val="22"/>
          <w:szCs w:val="22"/>
          <w:lang w:eastAsia="en-US"/>
        </w:rPr>
        <w:t xml:space="preserve">Трубилин А. И. </w:t>
      </w:r>
      <w:r w:rsidRPr="00724342">
        <w:rPr>
          <w:rFonts w:eastAsiaTheme="minorHAnsi" w:cstheme="minorBidi"/>
          <w:spacing w:val="1"/>
          <w:sz w:val="22"/>
          <w:szCs w:val="22"/>
          <w:lang w:eastAsia="en-US"/>
        </w:rPr>
        <w:t xml:space="preserve">Управление проектами </w:t>
      </w:r>
      <w:r w:rsidRPr="00724342">
        <w:rPr>
          <w:rFonts w:eastAsiaTheme="minorHAnsi" w:cstheme="minorBidi"/>
          <w:sz w:val="22"/>
          <w:szCs w:val="22"/>
          <w:lang w:eastAsia="en-US"/>
        </w:rPr>
        <w:t xml:space="preserve">[Текст] </w:t>
      </w:r>
      <w:r w:rsidRPr="00724342">
        <w:rPr>
          <w:rFonts w:eastAsiaTheme="minorHAnsi" w:cstheme="minorBidi"/>
          <w:spacing w:val="1"/>
          <w:sz w:val="22"/>
          <w:szCs w:val="22"/>
          <w:lang w:eastAsia="en-US"/>
        </w:rPr>
        <w:t>: учеб. пос</w:t>
      </w:r>
      <w:r w:rsidRPr="00724342">
        <w:rPr>
          <w:rFonts w:eastAsiaTheme="minorHAnsi" w:cstheme="minorBidi"/>
          <w:spacing w:val="1"/>
          <w:sz w:val="22"/>
          <w:szCs w:val="22"/>
          <w:lang w:eastAsia="en-US"/>
        </w:rPr>
        <w:t>о</w:t>
      </w:r>
      <w:r w:rsidRPr="00724342">
        <w:rPr>
          <w:rFonts w:eastAsiaTheme="minorHAnsi" w:cstheme="minorBidi"/>
          <w:spacing w:val="1"/>
          <w:sz w:val="22"/>
          <w:szCs w:val="22"/>
          <w:lang w:eastAsia="en-US"/>
        </w:rPr>
        <w:t>бие / А. И. Трубилин, В. И. Гайдук, А. В. Кондрашова. – Красн</w:t>
      </w:r>
      <w:r w:rsidRPr="00724342">
        <w:rPr>
          <w:rFonts w:eastAsiaTheme="minorHAnsi" w:cstheme="minorBidi"/>
          <w:spacing w:val="1"/>
          <w:sz w:val="22"/>
          <w:szCs w:val="22"/>
          <w:lang w:eastAsia="en-US"/>
        </w:rPr>
        <w:t>о</w:t>
      </w:r>
      <w:r w:rsidRPr="00724342">
        <w:rPr>
          <w:rFonts w:eastAsiaTheme="minorHAnsi" w:cstheme="minorBidi"/>
          <w:spacing w:val="1"/>
          <w:sz w:val="22"/>
          <w:szCs w:val="22"/>
          <w:lang w:eastAsia="en-US"/>
        </w:rPr>
        <w:lastRenderedPageBreak/>
        <w:t>дар : Кубанский ГАУ, 2017. – 153 с.</w:t>
      </w:r>
    </w:p>
    <w:p w:rsidR="00724342" w:rsidRPr="00724342" w:rsidRDefault="00724342" w:rsidP="00850015">
      <w:pPr>
        <w:widowControl w:val="0"/>
        <w:numPr>
          <w:ilvl w:val="0"/>
          <w:numId w:val="88"/>
        </w:numPr>
        <w:tabs>
          <w:tab w:val="left" w:pos="540"/>
        </w:tabs>
        <w:autoSpaceDE w:val="0"/>
        <w:autoSpaceDN w:val="0"/>
        <w:adjustRightInd w:val="0"/>
        <w:ind w:left="0" w:firstLine="426"/>
        <w:jc w:val="both"/>
        <w:rPr>
          <w:rFonts w:eastAsiaTheme="minorHAnsi" w:cstheme="minorBidi"/>
          <w:sz w:val="22"/>
          <w:szCs w:val="22"/>
          <w:lang w:eastAsia="en-US"/>
        </w:rPr>
      </w:pPr>
      <w:r w:rsidRPr="00724342">
        <w:rPr>
          <w:rFonts w:eastAsiaTheme="minorHAnsi" w:cstheme="minorBidi"/>
          <w:iCs/>
          <w:sz w:val="22"/>
          <w:szCs w:val="22"/>
          <w:lang w:eastAsia="en-US"/>
        </w:rPr>
        <w:t>Иванова А. Г. Активизация инвестиционной деятельности как направление развития курортно-рекреационной деятельности Апшеронского района Краснодарского края [Текст] / А. Г. Иванова, А. В. Кондрашова //</w:t>
      </w:r>
      <w:r w:rsidRPr="00724342">
        <w:rPr>
          <w:rFonts w:eastAsiaTheme="minorHAnsi" w:cstheme="minorBidi"/>
          <w:sz w:val="22"/>
          <w:szCs w:val="22"/>
          <w:lang w:eastAsia="en-US"/>
        </w:rPr>
        <w:t xml:space="preserve"> Российская экономическая модель-2: динамика и контексты: сб. материалов Междунар. науч.-практ. конф. (15-19 мая 2013 г., г. Анапа). –  Краснодар : КубГАУ, 2013. –  С. 254–259.</w:t>
      </w:r>
    </w:p>
    <w:p w:rsidR="00724342" w:rsidRPr="00724342" w:rsidRDefault="00724342" w:rsidP="00850015">
      <w:pPr>
        <w:widowControl w:val="0"/>
        <w:numPr>
          <w:ilvl w:val="0"/>
          <w:numId w:val="88"/>
        </w:numPr>
        <w:tabs>
          <w:tab w:val="left" w:pos="540"/>
        </w:tabs>
        <w:autoSpaceDE w:val="0"/>
        <w:autoSpaceDN w:val="0"/>
        <w:adjustRightInd w:val="0"/>
        <w:ind w:left="0" w:firstLine="426"/>
        <w:jc w:val="both"/>
        <w:rPr>
          <w:rFonts w:eastAsiaTheme="minorHAnsi" w:cstheme="minorBidi"/>
          <w:sz w:val="22"/>
          <w:lang w:eastAsia="en-US"/>
        </w:rPr>
      </w:pPr>
      <w:r w:rsidRPr="00724342">
        <w:rPr>
          <w:rFonts w:eastAsiaTheme="minorHAnsi" w:cstheme="minorBidi"/>
          <w:sz w:val="22"/>
          <w:lang w:eastAsia="en-US"/>
        </w:rPr>
        <w:t>Кондрашова А. В. Институциональные преобразования в сфере малого и среднего бизнеса в России / А. В. Кондрашова, Е. А. Корч, Е. П. Свеженец. – Институциональная трансформация экономики России в условиях новой реальности: материалы межд. науч. конф. </w:t>
      </w:r>
      <w:r w:rsidRPr="00724342">
        <w:rPr>
          <w:rFonts w:eastAsiaTheme="minorHAnsi" w:cstheme="minorBidi"/>
          <w:sz w:val="22"/>
          <w:szCs w:val="22"/>
          <w:lang w:eastAsia="en-US"/>
        </w:rPr>
        <w:t>(22 ноября 2017 г., г. Краснодар).</w:t>
      </w:r>
      <w:r w:rsidRPr="00724342">
        <w:rPr>
          <w:rFonts w:eastAsiaTheme="minorHAnsi" w:cstheme="minorBidi"/>
          <w:sz w:val="22"/>
          <w:lang w:eastAsia="en-US"/>
        </w:rPr>
        <w:t> – [Электронный р</w:t>
      </w:r>
      <w:r w:rsidRPr="00724342">
        <w:rPr>
          <w:rFonts w:eastAsiaTheme="minorHAnsi" w:cstheme="minorBidi"/>
          <w:sz w:val="22"/>
          <w:lang w:eastAsia="en-US"/>
        </w:rPr>
        <w:t>е</w:t>
      </w:r>
      <w:r w:rsidRPr="00724342">
        <w:rPr>
          <w:rFonts w:eastAsiaTheme="minorHAnsi" w:cstheme="minorBidi"/>
          <w:sz w:val="22"/>
          <w:lang w:eastAsia="en-US"/>
        </w:rPr>
        <w:t>сурс]. – Краснодар : Изд-во Краснодарский ЦНТИ – филиал ФГБУ «РЭА» Минэнерго РФ, 2017. – С. 226–231.</w:t>
      </w: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widowControl w:val="0"/>
        <w:jc w:val="both"/>
        <w:rPr>
          <w:rFonts w:eastAsia="Courier New"/>
          <w:color w:val="000000"/>
          <w:sz w:val="22"/>
          <w:szCs w:val="22"/>
        </w:rPr>
      </w:pPr>
      <w:r w:rsidRPr="00724342">
        <w:rPr>
          <w:rFonts w:eastAsia="Courier New"/>
          <w:color w:val="000000"/>
          <w:sz w:val="22"/>
          <w:szCs w:val="22"/>
        </w:rPr>
        <w:t>УДК 636.32/38</w:t>
      </w:r>
    </w:p>
    <w:p w:rsidR="00724342" w:rsidRPr="00724342" w:rsidRDefault="00724342" w:rsidP="00724342">
      <w:pPr>
        <w:widowControl w:val="0"/>
        <w:jc w:val="both"/>
        <w:rPr>
          <w:rFonts w:eastAsia="Courier New"/>
          <w:color w:val="000000"/>
          <w:sz w:val="22"/>
          <w:szCs w:val="22"/>
        </w:rPr>
      </w:pPr>
    </w:p>
    <w:p w:rsidR="00724342" w:rsidRPr="00724342" w:rsidRDefault="00724342" w:rsidP="00724342">
      <w:pPr>
        <w:jc w:val="center"/>
        <w:rPr>
          <w:b/>
          <w:sz w:val="24"/>
          <w:szCs w:val="24"/>
        </w:rPr>
      </w:pPr>
      <w:r w:rsidRPr="00724342">
        <w:rPr>
          <w:b/>
          <w:sz w:val="24"/>
          <w:szCs w:val="24"/>
        </w:rPr>
        <w:t>Современные проблемы овцеводства в России</w:t>
      </w:r>
    </w:p>
    <w:p w:rsidR="00724342" w:rsidRPr="00724342" w:rsidRDefault="00724342" w:rsidP="00724342">
      <w:pPr>
        <w:jc w:val="center"/>
        <w:rPr>
          <w:b/>
          <w:sz w:val="24"/>
          <w:szCs w:val="24"/>
          <w:lang w:val="en-US"/>
        </w:rPr>
      </w:pPr>
      <w:r w:rsidRPr="00724342">
        <w:rPr>
          <w:b/>
          <w:sz w:val="24"/>
          <w:szCs w:val="24"/>
          <w:lang w:val="en-US"/>
        </w:rPr>
        <w:t>Modern problems of sheep breeding in Russia</w:t>
      </w:r>
    </w:p>
    <w:p w:rsidR="00724342" w:rsidRPr="00724342" w:rsidRDefault="00724342" w:rsidP="00724342">
      <w:pPr>
        <w:widowControl w:val="0"/>
        <w:jc w:val="both"/>
        <w:rPr>
          <w:rFonts w:eastAsia="Courier New"/>
          <w:b/>
          <w:color w:val="000000"/>
          <w:sz w:val="24"/>
          <w:szCs w:val="24"/>
          <w:lang w:val="en-US"/>
        </w:rPr>
      </w:pPr>
    </w:p>
    <w:p w:rsidR="00724342" w:rsidRPr="00724342" w:rsidRDefault="00724342" w:rsidP="00724342">
      <w:pPr>
        <w:widowControl w:val="0"/>
        <w:tabs>
          <w:tab w:val="left" w:pos="8223"/>
        </w:tabs>
        <w:jc w:val="right"/>
        <w:rPr>
          <w:rFonts w:eastAsia="Courier New"/>
          <w:color w:val="000000"/>
          <w:sz w:val="22"/>
          <w:szCs w:val="22"/>
        </w:rPr>
      </w:pPr>
      <w:r w:rsidRPr="00724342">
        <w:rPr>
          <w:rFonts w:eastAsia="Courier New"/>
          <w:color w:val="000000"/>
          <w:sz w:val="22"/>
          <w:szCs w:val="22"/>
        </w:rPr>
        <w:t>Баязова Е.</w:t>
      </w:r>
      <w:r w:rsidR="00850015">
        <w:rPr>
          <w:rFonts w:eastAsia="Courier New"/>
          <w:color w:val="000000"/>
          <w:sz w:val="22"/>
          <w:szCs w:val="22"/>
        </w:rPr>
        <w:t xml:space="preserve"> </w:t>
      </w:r>
      <w:r w:rsidRPr="00724342">
        <w:rPr>
          <w:rFonts w:eastAsia="Courier New"/>
          <w:color w:val="000000"/>
          <w:sz w:val="22"/>
          <w:szCs w:val="22"/>
        </w:rPr>
        <w:t>Н.,</w:t>
      </w:r>
    </w:p>
    <w:p w:rsidR="00724342" w:rsidRPr="00724342" w:rsidRDefault="00724342" w:rsidP="00724342">
      <w:pPr>
        <w:widowControl w:val="0"/>
        <w:tabs>
          <w:tab w:val="left" w:pos="8223"/>
        </w:tabs>
        <w:jc w:val="right"/>
        <w:rPr>
          <w:rFonts w:eastAsia="Courier New"/>
          <w:color w:val="000000"/>
          <w:sz w:val="22"/>
          <w:szCs w:val="22"/>
        </w:rPr>
      </w:pPr>
      <w:r w:rsidRPr="00724342">
        <w:rPr>
          <w:rFonts w:eastAsia="Courier New"/>
          <w:color w:val="000000"/>
          <w:sz w:val="22"/>
          <w:szCs w:val="22"/>
        </w:rPr>
        <w:t>студентка 4-го курса экономического факультета,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Литвиненко Г.</w:t>
      </w:r>
      <w:r w:rsidR="00850015">
        <w:rPr>
          <w:rFonts w:eastAsiaTheme="minorHAnsi"/>
          <w:spacing w:val="-2"/>
          <w:sz w:val="22"/>
          <w:szCs w:val="22"/>
          <w:lang w:eastAsia="en-US"/>
        </w:rPr>
        <w:t xml:space="preserve"> </w:t>
      </w:r>
      <w:r w:rsidRPr="00724342">
        <w:rPr>
          <w:rFonts w:eastAsiaTheme="minorHAnsi"/>
          <w:spacing w:val="-2"/>
          <w:sz w:val="22"/>
          <w:szCs w:val="22"/>
          <w:lang w:eastAsia="en-US"/>
        </w:rPr>
        <w:t xml:space="preserve">Н.,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к. э. н., доцент кафедры организации производства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и инновационной деятельности</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rFonts w:eastAsia="Courier New"/>
          <w:color w:val="000000"/>
          <w:sz w:val="22"/>
          <w:szCs w:val="22"/>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widowControl w:val="0"/>
        <w:tabs>
          <w:tab w:val="left" w:pos="8223"/>
        </w:tabs>
        <w:jc w:val="both"/>
        <w:rPr>
          <w:rFonts w:eastAsia="Courier New"/>
          <w:color w:val="000000"/>
          <w:sz w:val="22"/>
          <w:szCs w:val="22"/>
        </w:rPr>
      </w:pPr>
    </w:p>
    <w:p w:rsidR="00724342" w:rsidRPr="00724342" w:rsidRDefault="00724342" w:rsidP="00850015">
      <w:pPr>
        <w:widowControl w:val="0"/>
        <w:tabs>
          <w:tab w:val="left" w:pos="8223"/>
        </w:tabs>
        <w:ind w:firstLine="426"/>
        <w:jc w:val="both"/>
        <w:rPr>
          <w:rFonts w:eastAsia="Courier New"/>
          <w:color w:val="000000"/>
          <w:sz w:val="22"/>
          <w:szCs w:val="22"/>
        </w:rPr>
      </w:pPr>
      <w:r w:rsidRPr="00724342">
        <w:rPr>
          <w:rFonts w:eastAsia="Courier New"/>
          <w:color w:val="000000"/>
          <w:sz w:val="22"/>
          <w:szCs w:val="22"/>
        </w:rPr>
        <w:t>АННОТАЦИЯ: Изучена отрасль овцеводства в России. Выя</w:t>
      </w:r>
      <w:r w:rsidRPr="00724342">
        <w:rPr>
          <w:rFonts w:eastAsia="Courier New"/>
          <w:color w:val="000000"/>
          <w:sz w:val="22"/>
          <w:szCs w:val="22"/>
        </w:rPr>
        <w:t>в</w:t>
      </w:r>
      <w:r w:rsidRPr="00724342">
        <w:rPr>
          <w:rFonts w:eastAsia="Courier New"/>
          <w:color w:val="000000"/>
          <w:sz w:val="22"/>
          <w:szCs w:val="22"/>
        </w:rPr>
        <w:t>лены основные проблемы в развитии данной отрасли. Предложен проект по развитию овцеводства в ООО «Премьера» Тихорецкого района Краснодарского края.</w:t>
      </w:r>
    </w:p>
    <w:p w:rsidR="00724342" w:rsidRPr="00724342" w:rsidRDefault="00724342" w:rsidP="00850015">
      <w:pPr>
        <w:widowControl w:val="0"/>
        <w:tabs>
          <w:tab w:val="left" w:pos="8223"/>
        </w:tabs>
        <w:ind w:firstLine="426"/>
        <w:jc w:val="both"/>
        <w:rPr>
          <w:rFonts w:eastAsia="Courier New"/>
          <w:color w:val="000000"/>
          <w:sz w:val="22"/>
          <w:szCs w:val="22"/>
          <w:shd w:val="clear" w:color="auto" w:fill="FFFFFF"/>
          <w:lang w:val="en-US"/>
        </w:rPr>
      </w:pPr>
      <w:r w:rsidRPr="00724342">
        <w:rPr>
          <w:rFonts w:eastAsia="Courier New"/>
          <w:color w:val="000000"/>
          <w:sz w:val="22"/>
          <w:szCs w:val="22"/>
          <w:lang w:val="en-US"/>
        </w:rPr>
        <w:t>ABSTRACT:</w:t>
      </w:r>
      <w:r w:rsidRPr="00724342">
        <w:rPr>
          <w:rFonts w:eastAsia="Courier New"/>
          <w:color w:val="000000"/>
          <w:sz w:val="22"/>
          <w:szCs w:val="22"/>
          <w:shd w:val="clear" w:color="auto" w:fill="FFFFFF"/>
          <w:lang w:val="en-US"/>
        </w:rPr>
        <w:t xml:space="preserve"> The branch of sheep breeding in Russia has been studied. The main problems in the development of this industry are r</w:t>
      </w:r>
      <w:r w:rsidRPr="00724342">
        <w:rPr>
          <w:rFonts w:eastAsia="Courier New"/>
          <w:color w:val="000000"/>
          <w:sz w:val="22"/>
          <w:szCs w:val="22"/>
          <w:shd w:val="clear" w:color="auto" w:fill="FFFFFF"/>
          <w:lang w:val="en-US"/>
        </w:rPr>
        <w:t>e</w:t>
      </w:r>
      <w:r w:rsidRPr="00724342">
        <w:rPr>
          <w:rFonts w:eastAsia="Courier New"/>
          <w:color w:val="000000"/>
          <w:sz w:val="22"/>
          <w:szCs w:val="22"/>
          <w:shd w:val="clear" w:color="auto" w:fill="FFFFFF"/>
          <w:lang w:val="en-US"/>
        </w:rPr>
        <w:lastRenderedPageBreak/>
        <w:t>vealed. A project on the development of sheep breeding in OOO Prem</w:t>
      </w:r>
      <w:r w:rsidRPr="00724342">
        <w:rPr>
          <w:rFonts w:eastAsia="Courier New"/>
          <w:color w:val="000000"/>
          <w:sz w:val="22"/>
          <w:szCs w:val="22"/>
          <w:shd w:val="clear" w:color="auto" w:fill="FFFFFF"/>
          <w:lang w:val="en-US"/>
        </w:rPr>
        <w:t>i</w:t>
      </w:r>
      <w:r w:rsidRPr="00724342">
        <w:rPr>
          <w:rFonts w:eastAsia="Courier New"/>
          <w:color w:val="000000"/>
          <w:sz w:val="22"/>
          <w:szCs w:val="22"/>
          <w:shd w:val="clear" w:color="auto" w:fill="FFFFFF"/>
          <w:lang w:val="en-US"/>
        </w:rPr>
        <w:t>ere of the Tikhoretsky District of the Krasnodar Territory was proposed.</w:t>
      </w:r>
    </w:p>
    <w:p w:rsidR="00724342" w:rsidRPr="00724342" w:rsidRDefault="00724342" w:rsidP="00850015">
      <w:pPr>
        <w:widowControl w:val="0"/>
        <w:tabs>
          <w:tab w:val="left" w:pos="8223"/>
        </w:tabs>
        <w:ind w:firstLine="426"/>
        <w:jc w:val="both"/>
        <w:rPr>
          <w:rFonts w:eastAsia="Courier New"/>
          <w:color w:val="000000"/>
          <w:sz w:val="22"/>
          <w:szCs w:val="22"/>
        </w:rPr>
      </w:pPr>
      <w:r w:rsidRPr="00724342">
        <w:rPr>
          <w:rFonts w:eastAsia="Courier New"/>
          <w:color w:val="000000"/>
          <w:sz w:val="22"/>
          <w:szCs w:val="22"/>
        </w:rPr>
        <w:t>КЛЮЧЕВЫЕ СЛОВА: животноводство, овцеводство, шерсть, инвестиционный проект.</w:t>
      </w:r>
    </w:p>
    <w:p w:rsidR="00724342" w:rsidRPr="00724342" w:rsidRDefault="00724342" w:rsidP="00850015">
      <w:pPr>
        <w:widowControl w:val="0"/>
        <w:tabs>
          <w:tab w:val="left" w:pos="8223"/>
        </w:tabs>
        <w:ind w:firstLine="426"/>
        <w:jc w:val="both"/>
        <w:rPr>
          <w:rFonts w:eastAsia="Courier New"/>
          <w:color w:val="000000"/>
          <w:sz w:val="22"/>
          <w:szCs w:val="22"/>
          <w:lang w:val="en-US"/>
        </w:rPr>
      </w:pPr>
      <w:r w:rsidRPr="00724342">
        <w:rPr>
          <w:rFonts w:eastAsia="Courier New"/>
          <w:color w:val="000000"/>
          <w:sz w:val="22"/>
          <w:szCs w:val="22"/>
          <w:lang w:val="en-US"/>
        </w:rPr>
        <w:t>KEYWORDS:</w:t>
      </w:r>
      <w:r w:rsidRPr="00724342">
        <w:rPr>
          <w:sz w:val="22"/>
          <w:szCs w:val="22"/>
          <w:lang w:val="en-US"/>
        </w:rPr>
        <w:t xml:space="preserve"> </w:t>
      </w:r>
      <w:r w:rsidRPr="00724342">
        <w:rPr>
          <w:rFonts w:eastAsia="Courier New"/>
          <w:color w:val="000000"/>
          <w:sz w:val="22"/>
          <w:szCs w:val="22"/>
          <w:lang w:val="en-US"/>
        </w:rPr>
        <w:t>livestock, sheep, wool, investment project.</w:t>
      </w:r>
    </w:p>
    <w:p w:rsidR="00724342" w:rsidRPr="00724342" w:rsidRDefault="00724342" w:rsidP="00850015">
      <w:pPr>
        <w:widowControl w:val="0"/>
        <w:tabs>
          <w:tab w:val="left" w:pos="8223"/>
        </w:tabs>
        <w:ind w:firstLine="426"/>
        <w:jc w:val="both"/>
        <w:rPr>
          <w:rFonts w:eastAsia="Courier New"/>
          <w:color w:val="000000"/>
          <w:sz w:val="22"/>
          <w:szCs w:val="22"/>
          <w:lang w:val="en-US"/>
        </w:rPr>
      </w:pPr>
    </w:p>
    <w:p w:rsidR="00724342" w:rsidRPr="00724342" w:rsidRDefault="00724342" w:rsidP="00850015">
      <w:pPr>
        <w:ind w:firstLine="426"/>
        <w:jc w:val="both"/>
        <w:rPr>
          <w:sz w:val="22"/>
          <w:szCs w:val="22"/>
        </w:rPr>
      </w:pPr>
      <w:r w:rsidRPr="00724342">
        <w:rPr>
          <w:sz w:val="22"/>
          <w:szCs w:val="22"/>
        </w:rPr>
        <w:t>Овцеводство - это традиционный вид сельского хозяйства и о</w:t>
      </w:r>
      <w:r w:rsidRPr="00724342">
        <w:rPr>
          <w:sz w:val="22"/>
          <w:szCs w:val="22"/>
        </w:rPr>
        <w:t>т</w:t>
      </w:r>
      <w:r w:rsidRPr="00724342">
        <w:rPr>
          <w:sz w:val="22"/>
          <w:szCs w:val="22"/>
        </w:rPr>
        <w:t>расль животноводства. Роль этой отрасли очень значима в животн</w:t>
      </w:r>
      <w:r w:rsidRPr="00724342">
        <w:rPr>
          <w:sz w:val="22"/>
          <w:szCs w:val="22"/>
        </w:rPr>
        <w:t>о</w:t>
      </w:r>
      <w:r w:rsidRPr="00724342">
        <w:rPr>
          <w:sz w:val="22"/>
          <w:szCs w:val="22"/>
        </w:rPr>
        <w:t>водстве, так как занимает одну из первых ступеней по многообр</w:t>
      </w:r>
      <w:r w:rsidRPr="00724342">
        <w:rPr>
          <w:sz w:val="22"/>
          <w:szCs w:val="22"/>
        </w:rPr>
        <w:t>а</w:t>
      </w:r>
      <w:r w:rsidRPr="00724342">
        <w:rPr>
          <w:sz w:val="22"/>
          <w:szCs w:val="22"/>
        </w:rPr>
        <w:t>зию получаемой от нее продукции [3]. Сравнивая отрасль овцево</w:t>
      </w:r>
      <w:r w:rsidRPr="00724342">
        <w:rPr>
          <w:sz w:val="22"/>
          <w:szCs w:val="22"/>
        </w:rPr>
        <w:t>д</w:t>
      </w:r>
      <w:r w:rsidRPr="00724342">
        <w:rPr>
          <w:sz w:val="22"/>
          <w:szCs w:val="22"/>
        </w:rPr>
        <w:t xml:space="preserve">ства с другими отраслями животноводства, то оно характеризуется невысокой рентабельностью и низкой себестоимостью [1]. </w:t>
      </w:r>
    </w:p>
    <w:p w:rsidR="00724342" w:rsidRPr="00724342" w:rsidRDefault="00724342" w:rsidP="00850015">
      <w:pPr>
        <w:ind w:firstLine="426"/>
        <w:jc w:val="both"/>
        <w:rPr>
          <w:sz w:val="22"/>
          <w:szCs w:val="22"/>
        </w:rPr>
      </w:pPr>
      <w:r w:rsidRPr="00724342">
        <w:rPr>
          <w:sz w:val="22"/>
          <w:szCs w:val="22"/>
        </w:rPr>
        <w:t>В настоящий момент отрасль овцеводства в России является неразвитой и имеются проблемы в ее развитии.  Наиболее главными проблемами является сокращение поголовья, упадок продуктивн</w:t>
      </w:r>
      <w:r w:rsidRPr="00724342">
        <w:rPr>
          <w:sz w:val="22"/>
          <w:szCs w:val="22"/>
        </w:rPr>
        <w:t>о</w:t>
      </w:r>
      <w:r w:rsidRPr="00724342">
        <w:rPr>
          <w:sz w:val="22"/>
          <w:szCs w:val="22"/>
        </w:rPr>
        <w:t>сти животных, дефицит кадров и отсутствие перерабатывающих предприятий. Россия одна из самых северных стран, следовательно, население нуждается в отечественном хлопке, шерсти [4].</w:t>
      </w:r>
    </w:p>
    <w:p w:rsidR="00724342" w:rsidRPr="00724342" w:rsidRDefault="00724342" w:rsidP="00850015">
      <w:pPr>
        <w:ind w:firstLine="426"/>
        <w:jc w:val="both"/>
        <w:rPr>
          <w:sz w:val="22"/>
          <w:szCs w:val="22"/>
        </w:rPr>
      </w:pPr>
      <w:r w:rsidRPr="00724342">
        <w:rPr>
          <w:sz w:val="22"/>
          <w:szCs w:val="22"/>
        </w:rPr>
        <w:t>Для решения такой проблемы российский союз овцеводов предложил субсидировать производство наиболее тонкой шерсти. Однако на данный момент еще не разработана эта программа. К с</w:t>
      </w:r>
      <w:r w:rsidRPr="00724342">
        <w:rPr>
          <w:sz w:val="22"/>
          <w:szCs w:val="22"/>
        </w:rPr>
        <w:t>о</w:t>
      </w:r>
      <w:r w:rsidRPr="00724342">
        <w:rPr>
          <w:sz w:val="22"/>
          <w:szCs w:val="22"/>
        </w:rPr>
        <w:t>жалению, господдержка выделяется не из государственной казны хозяйствам, а из федерального бюджета в рамках софинансиров</w:t>
      </w:r>
      <w:r w:rsidRPr="00724342">
        <w:rPr>
          <w:sz w:val="22"/>
          <w:szCs w:val="22"/>
        </w:rPr>
        <w:t>а</w:t>
      </w:r>
      <w:r w:rsidRPr="00724342">
        <w:rPr>
          <w:sz w:val="22"/>
          <w:szCs w:val="22"/>
        </w:rPr>
        <w:t>ния совместно с региональными бюджетами субъектов РФ. Для р</w:t>
      </w:r>
      <w:r w:rsidRPr="00724342">
        <w:rPr>
          <w:sz w:val="22"/>
          <w:szCs w:val="22"/>
        </w:rPr>
        <w:t>е</w:t>
      </w:r>
      <w:r w:rsidRPr="00724342">
        <w:rPr>
          <w:sz w:val="22"/>
          <w:szCs w:val="22"/>
        </w:rPr>
        <w:t>шения этой проблемы необходимо совместно с правительством ра</w:t>
      </w:r>
      <w:r w:rsidRPr="00724342">
        <w:rPr>
          <w:sz w:val="22"/>
          <w:szCs w:val="22"/>
        </w:rPr>
        <w:t>з</w:t>
      </w:r>
      <w:r w:rsidRPr="00724342">
        <w:rPr>
          <w:sz w:val="22"/>
          <w:szCs w:val="22"/>
        </w:rPr>
        <w:t>работать долгосрочную целевую программу «Российская шерсть» на период до 2020 года. Эта программа помогла бы сельхозтовар</w:t>
      </w:r>
      <w:r w:rsidRPr="00724342">
        <w:rPr>
          <w:sz w:val="22"/>
          <w:szCs w:val="22"/>
        </w:rPr>
        <w:t>о</w:t>
      </w:r>
      <w:r w:rsidRPr="00724342">
        <w:rPr>
          <w:sz w:val="22"/>
          <w:szCs w:val="22"/>
        </w:rPr>
        <w:t>производителям и переработчикам российской шерсти наладить взаимовыгодное сотрудничество.</w:t>
      </w:r>
    </w:p>
    <w:p w:rsidR="00724342" w:rsidRPr="00724342" w:rsidRDefault="00724342" w:rsidP="00850015">
      <w:pPr>
        <w:ind w:firstLine="426"/>
        <w:jc w:val="both"/>
        <w:rPr>
          <w:sz w:val="22"/>
          <w:szCs w:val="22"/>
        </w:rPr>
      </w:pPr>
      <w:r w:rsidRPr="00724342">
        <w:rPr>
          <w:sz w:val="22"/>
          <w:szCs w:val="22"/>
        </w:rPr>
        <w:t>В настоящее время современные фермерские и животноводч</w:t>
      </w:r>
      <w:r w:rsidRPr="00724342">
        <w:rPr>
          <w:sz w:val="22"/>
          <w:szCs w:val="22"/>
        </w:rPr>
        <w:t>е</w:t>
      </w:r>
      <w:r w:rsidRPr="00724342">
        <w:rPr>
          <w:sz w:val="22"/>
          <w:szCs w:val="22"/>
        </w:rPr>
        <w:t>ские хозяйства применяют экстенсивную технологию разведения овец. Это приводит к тому, что у баранов и маток наблюдается в</w:t>
      </w:r>
      <w:r w:rsidRPr="00724342">
        <w:rPr>
          <w:sz w:val="22"/>
          <w:szCs w:val="22"/>
        </w:rPr>
        <w:t>ы</w:t>
      </w:r>
      <w:r w:rsidRPr="00724342">
        <w:rPr>
          <w:sz w:val="22"/>
          <w:szCs w:val="22"/>
        </w:rPr>
        <w:t>раженный сезон половой охоты, позднеспелости, а это в свою оч</w:t>
      </w:r>
      <w:r w:rsidRPr="00724342">
        <w:rPr>
          <w:sz w:val="22"/>
          <w:szCs w:val="22"/>
        </w:rPr>
        <w:t>е</w:t>
      </w:r>
      <w:r w:rsidRPr="00724342">
        <w:rPr>
          <w:sz w:val="22"/>
          <w:szCs w:val="22"/>
        </w:rPr>
        <w:t>редь приводит к тому, что физиологические параметры овец и</w:t>
      </w:r>
      <w:r w:rsidRPr="00724342">
        <w:rPr>
          <w:sz w:val="22"/>
          <w:szCs w:val="22"/>
        </w:rPr>
        <w:t>с</w:t>
      </w:r>
      <w:r w:rsidRPr="00724342">
        <w:rPr>
          <w:sz w:val="22"/>
          <w:szCs w:val="22"/>
        </w:rPr>
        <w:t>пользуются нерационально, вызывая большую убыточность отра</w:t>
      </w:r>
      <w:r w:rsidRPr="00724342">
        <w:rPr>
          <w:sz w:val="22"/>
          <w:szCs w:val="22"/>
        </w:rPr>
        <w:t>с</w:t>
      </w:r>
      <w:r w:rsidRPr="00724342">
        <w:rPr>
          <w:sz w:val="22"/>
          <w:szCs w:val="22"/>
        </w:rPr>
        <w:t xml:space="preserve">ли. Поэтому важно больше внимания уделять именно вопросам воспроизводства здорового потомства и направить все усилия на увеличение выхода ягнят [2]. Необходимо устранить сезонность в </w:t>
      </w:r>
      <w:r w:rsidRPr="00724342">
        <w:rPr>
          <w:sz w:val="22"/>
          <w:szCs w:val="22"/>
        </w:rPr>
        <w:lastRenderedPageBreak/>
        <w:t>овцеводстве, так как это может привести отрасль к финансовым п</w:t>
      </w:r>
      <w:r w:rsidRPr="00724342">
        <w:rPr>
          <w:sz w:val="22"/>
          <w:szCs w:val="22"/>
        </w:rPr>
        <w:t>о</w:t>
      </w:r>
      <w:r w:rsidRPr="00724342">
        <w:rPr>
          <w:sz w:val="22"/>
          <w:szCs w:val="22"/>
        </w:rPr>
        <w:t>терям.</w:t>
      </w:r>
    </w:p>
    <w:p w:rsidR="00724342" w:rsidRPr="00724342" w:rsidRDefault="00724342" w:rsidP="00850015">
      <w:pPr>
        <w:ind w:firstLine="426"/>
        <w:jc w:val="both"/>
        <w:rPr>
          <w:sz w:val="22"/>
          <w:szCs w:val="22"/>
        </w:rPr>
      </w:pPr>
      <w:r w:rsidRPr="00724342">
        <w:rPr>
          <w:sz w:val="22"/>
          <w:szCs w:val="22"/>
        </w:rPr>
        <w:t>По статистическим данным в коммерческом секторе (поголовье в сельхозорганизациях и крестьянско-фермерских хозяйствах, без учета хозяйств населения) поголовье овец составило 12 938,0 тыс. голов (52,7% от общей численности мелкого рогатого скота в Ро</w:t>
      </w:r>
      <w:r w:rsidRPr="00724342">
        <w:rPr>
          <w:sz w:val="22"/>
          <w:szCs w:val="22"/>
        </w:rPr>
        <w:t>с</w:t>
      </w:r>
      <w:r w:rsidRPr="00724342">
        <w:rPr>
          <w:sz w:val="22"/>
          <w:szCs w:val="22"/>
        </w:rPr>
        <w:t>сии) [6]. По сравнению с показателями 2010 года, поголовье овец и коз в коммерческом секторе увеличилось на 22,7% или на 2 395 тыс. голов, за 10 лет - на 46,5% или на 4 107 тыс. голов.</w:t>
      </w:r>
    </w:p>
    <w:p w:rsidR="00724342" w:rsidRPr="00724342" w:rsidRDefault="00724342" w:rsidP="00850015">
      <w:pPr>
        <w:ind w:firstLine="426"/>
        <w:jc w:val="both"/>
        <w:rPr>
          <w:sz w:val="22"/>
          <w:szCs w:val="22"/>
        </w:rPr>
      </w:pPr>
      <w:r w:rsidRPr="00724342">
        <w:rPr>
          <w:sz w:val="22"/>
          <w:szCs w:val="22"/>
        </w:rPr>
        <w:t>В хозяйствах населения численность овец составила 11 590 тыс. голов (47,3% от общего числа), по сравнению с 2010 годом п</w:t>
      </w:r>
      <w:r w:rsidRPr="00724342">
        <w:rPr>
          <w:sz w:val="22"/>
          <w:szCs w:val="22"/>
        </w:rPr>
        <w:t>о</w:t>
      </w:r>
      <w:r w:rsidRPr="00724342">
        <w:rPr>
          <w:sz w:val="22"/>
          <w:szCs w:val="22"/>
        </w:rPr>
        <w:t>головье в хозяйствах населения увеличилось на 2,8% или на 314 тыс. голов, за 10 лет - на 18,9% или на 1 840 тыс. голов.</w:t>
      </w:r>
    </w:p>
    <w:p w:rsidR="00724342" w:rsidRPr="00724342" w:rsidRDefault="00724342" w:rsidP="00850015">
      <w:pPr>
        <w:ind w:firstLine="426"/>
        <w:jc w:val="both"/>
        <w:rPr>
          <w:sz w:val="22"/>
          <w:szCs w:val="22"/>
        </w:rPr>
      </w:pPr>
      <w:r w:rsidRPr="00724342">
        <w:rPr>
          <w:sz w:val="22"/>
          <w:szCs w:val="22"/>
        </w:rPr>
        <w:t>На предприятии ООО «Премьера» предлагается проект по в</w:t>
      </w:r>
      <w:r w:rsidRPr="00724342">
        <w:rPr>
          <w:sz w:val="22"/>
          <w:szCs w:val="22"/>
        </w:rPr>
        <w:t>ы</w:t>
      </w:r>
      <w:r w:rsidRPr="00724342">
        <w:rPr>
          <w:sz w:val="22"/>
          <w:szCs w:val="22"/>
        </w:rPr>
        <w:t>ращиванию и разведению овец, с целью расширения деятельности предприятия и получения дополнительной прибыли [5] . Для реал</w:t>
      </w:r>
      <w:r w:rsidRPr="00724342">
        <w:rPr>
          <w:sz w:val="22"/>
          <w:szCs w:val="22"/>
        </w:rPr>
        <w:t>и</w:t>
      </w:r>
      <w:r w:rsidRPr="00724342">
        <w:rPr>
          <w:sz w:val="22"/>
          <w:szCs w:val="22"/>
        </w:rPr>
        <w:t>зации проекта необходимо строительство овчарни, покупка погол</w:t>
      </w:r>
      <w:r w:rsidRPr="00724342">
        <w:rPr>
          <w:sz w:val="22"/>
          <w:szCs w:val="22"/>
        </w:rPr>
        <w:t>о</w:t>
      </w:r>
      <w:r w:rsidRPr="00724342">
        <w:rPr>
          <w:sz w:val="22"/>
          <w:szCs w:val="22"/>
        </w:rPr>
        <w:t>вья, а также покупка необходимого оборудования. Общая сто</w:t>
      </w:r>
      <w:r w:rsidRPr="00724342">
        <w:rPr>
          <w:sz w:val="22"/>
          <w:szCs w:val="22"/>
        </w:rPr>
        <w:t>и</w:t>
      </w:r>
      <w:r w:rsidRPr="00724342">
        <w:rPr>
          <w:sz w:val="22"/>
          <w:szCs w:val="22"/>
        </w:rPr>
        <w:t>мость инвестиций составила 1667 тыс. рублей. Планируется выр</w:t>
      </w:r>
      <w:r w:rsidRPr="00724342">
        <w:rPr>
          <w:sz w:val="22"/>
          <w:szCs w:val="22"/>
        </w:rPr>
        <w:t>а</w:t>
      </w:r>
      <w:r w:rsidRPr="00724342">
        <w:rPr>
          <w:sz w:val="22"/>
          <w:szCs w:val="22"/>
        </w:rPr>
        <w:t>щивание овец на продажу в живом весе с последующим наращен</w:t>
      </w:r>
      <w:r w:rsidRPr="00724342">
        <w:rPr>
          <w:sz w:val="22"/>
          <w:szCs w:val="22"/>
        </w:rPr>
        <w:t>и</w:t>
      </w:r>
      <w:r w:rsidRPr="00724342">
        <w:rPr>
          <w:sz w:val="22"/>
          <w:szCs w:val="22"/>
        </w:rPr>
        <w:t>ем поголовья, а также продажа побочной продукции - шерсти.</w:t>
      </w:r>
    </w:p>
    <w:p w:rsidR="00724342" w:rsidRPr="00724342" w:rsidRDefault="00724342" w:rsidP="00850015">
      <w:pPr>
        <w:ind w:firstLine="426"/>
        <w:jc w:val="both"/>
        <w:rPr>
          <w:sz w:val="22"/>
          <w:szCs w:val="22"/>
        </w:rPr>
      </w:pPr>
      <w:r w:rsidRPr="00724342">
        <w:rPr>
          <w:sz w:val="22"/>
          <w:szCs w:val="22"/>
        </w:rPr>
        <w:t>По результатам оценки эффективности инвестиций в реализ</w:t>
      </w:r>
      <w:r w:rsidRPr="00724342">
        <w:rPr>
          <w:sz w:val="22"/>
          <w:szCs w:val="22"/>
        </w:rPr>
        <w:t>а</w:t>
      </w:r>
      <w:r w:rsidRPr="00724342">
        <w:rPr>
          <w:sz w:val="22"/>
          <w:szCs w:val="22"/>
        </w:rPr>
        <w:t>цию проекта период окупаемости проекта составил 4 года, рент</w:t>
      </w:r>
      <w:r w:rsidRPr="00724342">
        <w:rPr>
          <w:sz w:val="22"/>
          <w:szCs w:val="22"/>
        </w:rPr>
        <w:t>а</w:t>
      </w:r>
      <w:r w:rsidRPr="00724342">
        <w:rPr>
          <w:sz w:val="22"/>
          <w:szCs w:val="22"/>
        </w:rPr>
        <w:t>бельность 26,9%, что является нормативным значением для данной отрасли. Чистый приведенный доход составил 2217,11 тыс. руб.</w:t>
      </w:r>
    </w:p>
    <w:p w:rsidR="00724342" w:rsidRPr="00724342" w:rsidRDefault="00724342" w:rsidP="00850015">
      <w:pPr>
        <w:ind w:firstLine="426"/>
        <w:jc w:val="both"/>
        <w:rPr>
          <w:sz w:val="22"/>
          <w:szCs w:val="22"/>
        </w:rPr>
      </w:pPr>
    </w:p>
    <w:p w:rsidR="00724342" w:rsidRPr="00724342" w:rsidRDefault="00724342" w:rsidP="00850015">
      <w:pPr>
        <w:ind w:firstLine="426"/>
        <w:jc w:val="center"/>
        <w:rPr>
          <w:sz w:val="22"/>
          <w:szCs w:val="22"/>
        </w:rPr>
      </w:pPr>
      <w:r w:rsidRPr="00724342">
        <w:rPr>
          <w:sz w:val="22"/>
          <w:szCs w:val="22"/>
        </w:rPr>
        <w:t>Список литературы</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 xml:space="preserve">1. Волошина И.М. Резервы роста производительности труда -необходимое условие эффективности производства / </w:t>
      </w:r>
      <w:hyperlink r:id="rId235" w:history="1">
        <w:r w:rsidRPr="00724342">
          <w:rPr>
            <w:rFonts w:eastAsiaTheme="minorHAnsi"/>
            <w:sz w:val="22"/>
            <w:szCs w:val="22"/>
            <w:lang w:eastAsia="en-US"/>
          </w:rPr>
          <w:t>И.М. Волош</w:t>
        </w:r>
        <w:r w:rsidRPr="00724342">
          <w:rPr>
            <w:rFonts w:eastAsiaTheme="minorHAnsi"/>
            <w:sz w:val="22"/>
            <w:szCs w:val="22"/>
            <w:lang w:eastAsia="en-US"/>
          </w:rPr>
          <w:t>и</w:t>
        </w:r>
        <w:r w:rsidRPr="00724342">
          <w:rPr>
            <w:rFonts w:eastAsiaTheme="minorHAnsi"/>
            <w:sz w:val="22"/>
            <w:szCs w:val="22"/>
            <w:lang w:eastAsia="en-US"/>
          </w:rPr>
          <w:t>на</w:t>
        </w:r>
      </w:hyperlink>
      <w:r w:rsidRPr="00724342">
        <w:rPr>
          <w:rFonts w:eastAsiaTheme="minorHAnsi"/>
          <w:sz w:val="22"/>
          <w:szCs w:val="22"/>
          <w:lang w:eastAsia="en-US"/>
        </w:rPr>
        <w:t>, </w:t>
      </w:r>
      <w:hyperlink r:id="rId236" w:history="1">
        <w:r w:rsidRPr="00724342">
          <w:rPr>
            <w:rFonts w:eastAsiaTheme="minorHAnsi"/>
            <w:sz w:val="22"/>
            <w:szCs w:val="22"/>
            <w:lang w:eastAsia="en-US"/>
          </w:rPr>
          <w:t>Т.В. Метельская</w:t>
        </w:r>
      </w:hyperlink>
      <w:r w:rsidRPr="00724342">
        <w:rPr>
          <w:rFonts w:eastAsiaTheme="minorHAnsi"/>
          <w:sz w:val="22"/>
          <w:szCs w:val="22"/>
          <w:lang w:eastAsia="en-US"/>
        </w:rPr>
        <w:t>, </w:t>
      </w:r>
      <w:hyperlink r:id="rId237" w:history="1">
        <w:r w:rsidRPr="00724342">
          <w:rPr>
            <w:rFonts w:eastAsiaTheme="minorHAnsi"/>
            <w:sz w:val="22"/>
            <w:szCs w:val="22"/>
            <w:lang w:eastAsia="en-US"/>
          </w:rPr>
          <w:t>Г.Н. Литвиненко</w:t>
        </w:r>
      </w:hyperlink>
      <w:r w:rsidRPr="00724342">
        <w:rPr>
          <w:rFonts w:eastAsiaTheme="minorHAnsi"/>
          <w:sz w:val="22"/>
          <w:szCs w:val="22"/>
          <w:lang w:eastAsia="en-US"/>
        </w:rPr>
        <w:t xml:space="preserve"> // Материалы Междунар. (з</w:t>
      </w:r>
      <w:r w:rsidRPr="00724342">
        <w:rPr>
          <w:rFonts w:eastAsiaTheme="minorHAnsi"/>
          <w:sz w:val="22"/>
          <w:szCs w:val="22"/>
          <w:lang w:eastAsia="en-US"/>
        </w:rPr>
        <w:t>а</w:t>
      </w:r>
      <w:r w:rsidRPr="00724342">
        <w:rPr>
          <w:rFonts w:eastAsiaTheme="minorHAnsi"/>
          <w:sz w:val="22"/>
          <w:szCs w:val="22"/>
          <w:lang w:eastAsia="en-US"/>
        </w:rPr>
        <w:t>очной) науч.-практич. конф. «Наука и образование на современном этапе развития: опыт, проблемы и пути их решения» (Нефтекамск, 01.02.2017 г.). Научное (непериодическое) электронное издание. Под общей редакцией А.И. Вострецова. 2017. С. 128-132.</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2. Гоник Г.Г. Анализ влияния наличия и использования осно</w:t>
      </w:r>
      <w:r w:rsidRPr="00724342">
        <w:rPr>
          <w:rFonts w:eastAsiaTheme="minorHAnsi"/>
          <w:sz w:val="22"/>
          <w:szCs w:val="22"/>
          <w:lang w:eastAsia="en-US"/>
        </w:rPr>
        <w:t>в</w:t>
      </w:r>
      <w:r w:rsidRPr="00724342">
        <w:rPr>
          <w:rFonts w:eastAsiaTheme="minorHAnsi"/>
          <w:sz w:val="22"/>
          <w:szCs w:val="22"/>
          <w:lang w:eastAsia="en-US"/>
        </w:rPr>
        <w:t xml:space="preserve">ных производственных фондов на эффективность производства на примере сельскохозяйственных организаций Краснодарского края / </w:t>
      </w:r>
      <w:hyperlink r:id="rId238" w:history="1">
        <w:r w:rsidRPr="00724342">
          <w:rPr>
            <w:rFonts w:eastAsiaTheme="minorHAnsi"/>
            <w:sz w:val="22"/>
            <w:szCs w:val="22"/>
            <w:lang w:eastAsia="en-US"/>
          </w:rPr>
          <w:t>Г.Г. Гоник</w:t>
        </w:r>
      </w:hyperlink>
      <w:r w:rsidRPr="00724342">
        <w:rPr>
          <w:rFonts w:eastAsiaTheme="minorHAnsi"/>
          <w:sz w:val="22"/>
          <w:szCs w:val="22"/>
          <w:lang w:eastAsia="en-US"/>
        </w:rPr>
        <w:t>, </w:t>
      </w:r>
      <w:hyperlink r:id="rId239" w:history="1">
        <w:r w:rsidRPr="00724342">
          <w:rPr>
            <w:rFonts w:eastAsiaTheme="minorHAnsi"/>
            <w:sz w:val="22"/>
            <w:szCs w:val="22"/>
            <w:lang w:eastAsia="en-US"/>
          </w:rPr>
          <w:t>Г.С. Пащенко</w:t>
        </w:r>
      </w:hyperlink>
      <w:r w:rsidRPr="00724342">
        <w:rPr>
          <w:rFonts w:eastAsiaTheme="minorHAnsi"/>
          <w:sz w:val="22"/>
          <w:szCs w:val="22"/>
          <w:lang w:eastAsia="en-US"/>
        </w:rPr>
        <w:t xml:space="preserve">//В сборнике: Кластерные инициативы в </w:t>
      </w:r>
      <w:r w:rsidRPr="00724342">
        <w:rPr>
          <w:rFonts w:eastAsiaTheme="minorHAnsi"/>
          <w:sz w:val="22"/>
          <w:szCs w:val="22"/>
          <w:lang w:eastAsia="en-US"/>
        </w:rPr>
        <w:lastRenderedPageBreak/>
        <w:t>формировании прогрессивной структуры национальной экономики сборник научных трудов 3-й Междунар. науч.-практ. конф.. 2017. С.80-85.</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3. Литвиненко Г. Н. Перспективы применения инновационных технологий откорма крупного рогатого скота/</w:t>
      </w:r>
      <w:hyperlink r:id="rId240" w:history="1">
        <w:r w:rsidRPr="00724342">
          <w:rPr>
            <w:rFonts w:eastAsiaTheme="minorHAnsi"/>
            <w:sz w:val="22"/>
            <w:szCs w:val="22"/>
            <w:lang w:eastAsia="en-US"/>
          </w:rPr>
          <w:t>Г. Н. Литвиненко</w:t>
        </w:r>
      </w:hyperlink>
      <w:r w:rsidRPr="00724342">
        <w:rPr>
          <w:rFonts w:eastAsiaTheme="minorHAnsi"/>
          <w:sz w:val="22"/>
          <w:szCs w:val="22"/>
          <w:lang w:eastAsia="en-US"/>
        </w:rPr>
        <w:t>, </w:t>
      </w:r>
      <w:hyperlink r:id="rId241" w:history="1">
        <w:r w:rsidRPr="00724342">
          <w:rPr>
            <w:rFonts w:eastAsiaTheme="minorHAnsi"/>
            <w:sz w:val="22"/>
            <w:szCs w:val="22"/>
            <w:lang w:eastAsia="en-US"/>
          </w:rPr>
          <w:t>А. С. Арямова</w:t>
        </w:r>
      </w:hyperlink>
      <w:r w:rsidRPr="00724342">
        <w:rPr>
          <w:rFonts w:eastAsiaTheme="minorHAnsi"/>
          <w:sz w:val="22"/>
          <w:szCs w:val="22"/>
          <w:lang w:eastAsia="en-US"/>
        </w:rPr>
        <w:t xml:space="preserve"> // «В мире науки и инноваций» сб. ст.международной научно -практической конференции: в 5 частях. 2017. С. 25 -28. </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 xml:space="preserve">4. Литвиненко Г. Н. </w:t>
      </w:r>
      <w:hyperlink r:id="rId242" w:history="1">
        <w:r w:rsidRPr="00724342">
          <w:rPr>
            <w:rFonts w:eastAsiaTheme="minorHAnsi"/>
            <w:sz w:val="22"/>
            <w:szCs w:val="22"/>
            <w:lang w:eastAsia="en-US"/>
          </w:rPr>
          <w:t>Состояние и перспективы развития овц</w:t>
        </w:r>
        <w:r w:rsidRPr="00724342">
          <w:rPr>
            <w:rFonts w:eastAsiaTheme="minorHAnsi"/>
            <w:sz w:val="22"/>
            <w:szCs w:val="22"/>
            <w:lang w:eastAsia="en-US"/>
          </w:rPr>
          <w:t>е</w:t>
        </w:r>
        <w:r w:rsidRPr="00724342">
          <w:rPr>
            <w:rFonts w:eastAsiaTheme="minorHAnsi"/>
            <w:sz w:val="22"/>
            <w:szCs w:val="22"/>
            <w:lang w:eastAsia="en-US"/>
          </w:rPr>
          <w:t>водства в России</w:t>
        </w:r>
      </w:hyperlink>
      <w:r w:rsidRPr="00724342">
        <w:rPr>
          <w:rFonts w:eastAsiaTheme="minorHAnsi"/>
          <w:sz w:val="22"/>
          <w:szCs w:val="22"/>
          <w:lang w:eastAsia="en-US"/>
        </w:rPr>
        <w:t>/Г. Н. Литвиненко, Е. Н. Баязова //</w:t>
      </w:r>
      <w:hyperlink r:id="rId243" w:history="1">
        <w:r w:rsidRPr="00724342">
          <w:rPr>
            <w:rFonts w:eastAsiaTheme="minorHAnsi"/>
            <w:sz w:val="22"/>
            <w:szCs w:val="22"/>
            <w:lang w:eastAsia="en-US"/>
          </w:rPr>
          <w:t>Животноводство Юга России</w:t>
        </w:r>
      </w:hyperlink>
      <w:r w:rsidRPr="00724342">
        <w:rPr>
          <w:rFonts w:eastAsiaTheme="minorHAnsi"/>
          <w:sz w:val="22"/>
          <w:szCs w:val="22"/>
          <w:lang w:eastAsia="en-US"/>
        </w:rPr>
        <w:t>. 2017. </w:t>
      </w:r>
      <w:hyperlink r:id="rId244" w:history="1">
        <w:r w:rsidRPr="00724342">
          <w:rPr>
            <w:rFonts w:eastAsiaTheme="minorHAnsi"/>
            <w:sz w:val="22"/>
            <w:szCs w:val="22"/>
            <w:lang w:eastAsia="en-US"/>
          </w:rPr>
          <w:t>№ 4 (22)</w:t>
        </w:r>
      </w:hyperlink>
      <w:r w:rsidRPr="00724342">
        <w:rPr>
          <w:rFonts w:eastAsiaTheme="minorHAnsi"/>
          <w:sz w:val="22"/>
          <w:szCs w:val="22"/>
          <w:lang w:eastAsia="en-US"/>
        </w:rPr>
        <w:t>. С. 16-17.</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5. Рысьмятов А.З. Практикум по организации предприним</w:t>
      </w:r>
      <w:r w:rsidRPr="00724342">
        <w:rPr>
          <w:rFonts w:eastAsiaTheme="minorHAnsi"/>
          <w:sz w:val="22"/>
          <w:szCs w:val="22"/>
          <w:lang w:eastAsia="en-US"/>
        </w:rPr>
        <w:t>а</w:t>
      </w:r>
      <w:r w:rsidRPr="00724342">
        <w:rPr>
          <w:rFonts w:eastAsiaTheme="minorHAnsi"/>
          <w:sz w:val="22"/>
          <w:szCs w:val="22"/>
          <w:lang w:eastAsia="en-US"/>
        </w:rPr>
        <w:t>тельской деятельности в АПК/А.З. Рысьмятов, О.Н. Дидманидзе, В.И. Нечаев, А.П. Соколова, А.В. Кузьмин//Москва, 2006.</w:t>
      </w:r>
    </w:p>
    <w:p w:rsidR="00724342" w:rsidRPr="00724342" w:rsidRDefault="00724342" w:rsidP="00850015">
      <w:pPr>
        <w:ind w:firstLine="426"/>
        <w:contextualSpacing/>
        <w:jc w:val="both"/>
        <w:rPr>
          <w:rFonts w:eastAsiaTheme="minorHAnsi"/>
          <w:sz w:val="22"/>
          <w:szCs w:val="22"/>
          <w:lang w:eastAsia="en-US"/>
        </w:rPr>
      </w:pPr>
      <w:r w:rsidRPr="00724342">
        <w:rPr>
          <w:rFonts w:eastAsiaTheme="minorHAnsi"/>
          <w:sz w:val="22"/>
          <w:szCs w:val="22"/>
          <w:lang w:eastAsia="en-US"/>
        </w:rPr>
        <w:t>6. Свириденкова М.А. Современное состояние и перспективы развития овцеводства в Смоленской области / М.А. Свириденкова, Е.А. Александрова, В.В. Черненков // Экономика с.-х. и перераб. предпр. – 2013. – №10. – С. 47- 49.</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pBdr>
          <w:top w:val="nil"/>
          <w:left w:val="nil"/>
          <w:bottom w:val="nil"/>
          <w:right w:val="nil"/>
          <w:between w:val="nil"/>
        </w:pBdr>
        <w:tabs>
          <w:tab w:val="right" w:pos="1133"/>
          <w:tab w:val="center" w:pos="570"/>
          <w:tab w:val="left" w:pos="702"/>
          <w:tab w:val="left" w:pos="702"/>
        </w:tabs>
        <w:rPr>
          <w:color w:val="000000"/>
          <w:sz w:val="22"/>
          <w:szCs w:val="22"/>
        </w:rPr>
      </w:pPr>
    </w:p>
    <w:p w:rsidR="00724342" w:rsidRPr="00724342" w:rsidRDefault="00724342" w:rsidP="00724342">
      <w:pPr>
        <w:pBdr>
          <w:top w:val="nil"/>
          <w:left w:val="nil"/>
          <w:bottom w:val="nil"/>
          <w:right w:val="nil"/>
          <w:between w:val="nil"/>
        </w:pBdr>
        <w:tabs>
          <w:tab w:val="right" w:pos="1133"/>
          <w:tab w:val="center" w:pos="570"/>
          <w:tab w:val="left" w:pos="702"/>
          <w:tab w:val="left" w:pos="702"/>
        </w:tabs>
        <w:rPr>
          <w:color w:val="000000"/>
          <w:sz w:val="22"/>
          <w:szCs w:val="22"/>
        </w:rPr>
      </w:pPr>
      <w:r w:rsidRPr="00724342">
        <w:rPr>
          <w:color w:val="000000"/>
          <w:sz w:val="22"/>
          <w:szCs w:val="22"/>
        </w:rPr>
        <w:t>УДК 331.1</w:t>
      </w:r>
    </w:p>
    <w:p w:rsidR="00724342" w:rsidRPr="00724342" w:rsidRDefault="00724342" w:rsidP="00724342">
      <w:pPr>
        <w:pBdr>
          <w:top w:val="nil"/>
          <w:left w:val="nil"/>
          <w:bottom w:val="nil"/>
          <w:right w:val="nil"/>
          <w:between w:val="nil"/>
        </w:pBdr>
        <w:tabs>
          <w:tab w:val="right" w:pos="1133"/>
          <w:tab w:val="center" w:pos="570"/>
          <w:tab w:val="left" w:pos="702"/>
          <w:tab w:val="left" w:pos="702"/>
        </w:tabs>
        <w:jc w:val="center"/>
        <w:rPr>
          <w:b/>
          <w:color w:val="000000"/>
          <w:sz w:val="24"/>
          <w:szCs w:val="24"/>
        </w:rPr>
      </w:pPr>
      <w:r w:rsidRPr="00724342">
        <w:rPr>
          <w:b/>
          <w:color w:val="000000"/>
          <w:sz w:val="24"/>
          <w:szCs w:val="24"/>
        </w:rPr>
        <w:t>Важность мотивации персонала в современной экономике</w:t>
      </w:r>
    </w:p>
    <w:p w:rsidR="00724342" w:rsidRPr="00724342" w:rsidRDefault="00724342" w:rsidP="00724342">
      <w:pPr>
        <w:pBdr>
          <w:top w:val="nil"/>
          <w:left w:val="nil"/>
          <w:bottom w:val="nil"/>
          <w:right w:val="nil"/>
          <w:between w:val="nil"/>
        </w:pBdr>
        <w:tabs>
          <w:tab w:val="right" w:pos="1133"/>
          <w:tab w:val="center" w:pos="570"/>
          <w:tab w:val="left" w:pos="702"/>
          <w:tab w:val="left" w:pos="702"/>
        </w:tabs>
        <w:jc w:val="center"/>
        <w:rPr>
          <w:b/>
          <w:color w:val="000000"/>
          <w:sz w:val="24"/>
          <w:szCs w:val="24"/>
          <w:lang w:val="en-US"/>
        </w:rPr>
      </w:pPr>
      <w:r w:rsidRPr="00724342">
        <w:rPr>
          <w:b/>
          <w:color w:val="000000"/>
          <w:sz w:val="24"/>
          <w:szCs w:val="24"/>
          <w:lang w:val="en-US"/>
        </w:rPr>
        <w:t>Importance of staff motivation in the modern economy</w:t>
      </w:r>
    </w:p>
    <w:p w:rsidR="00724342" w:rsidRPr="00724342" w:rsidRDefault="00724342" w:rsidP="00724342">
      <w:pPr>
        <w:pBdr>
          <w:top w:val="nil"/>
          <w:left w:val="nil"/>
          <w:bottom w:val="nil"/>
          <w:right w:val="nil"/>
          <w:between w:val="nil"/>
        </w:pBdr>
        <w:tabs>
          <w:tab w:val="right" w:pos="1133"/>
          <w:tab w:val="center" w:pos="570"/>
          <w:tab w:val="left" w:pos="702"/>
          <w:tab w:val="left" w:pos="702"/>
        </w:tabs>
        <w:rPr>
          <w:b/>
          <w:color w:val="000000"/>
          <w:sz w:val="24"/>
          <w:szCs w:val="24"/>
          <w:lang w:val="en-US"/>
        </w:rPr>
      </w:pPr>
    </w:p>
    <w:p w:rsidR="00724342" w:rsidRPr="00724342" w:rsidRDefault="00724342" w:rsidP="00724342">
      <w:pPr>
        <w:pBdr>
          <w:top w:val="nil"/>
          <w:left w:val="nil"/>
          <w:bottom w:val="nil"/>
          <w:right w:val="nil"/>
          <w:between w:val="nil"/>
        </w:pBdr>
        <w:tabs>
          <w:tab w:val="right" w:pos="1133"/>
          <w:tab w:val="center" w:pos="570"/>
          <w:tab w:val="left" w:pos="702"/>
          <w:tab w:val="left" w:pos="702"/>
        </w:tabs>
        <w:jc w:val="right"/>
        <w:rPr>
          <w:color w:val="000000"/>
          <w:sz w:val="22"/>
          <w:szCs w:val="22"/>
        </w:rPr>
      </w:pPr>
      <w:r w:rsidRPr="00724342">
        <w:rPr>
          <w:color w:val="000000"/>
          <w:sz w:val="22"/>
          <w:szCs w:val="22"/>
        </w:rPr>
        <w:t>Беков А.</w:t>
      </w:r>
      <w:r w:rsidR="00850015">
        <w:rPr>
          <w:color w:val="000000"/>
          <w:sz w:val="22"/>
          <w:szCs w:val="22"/>
        </w:rPr>
        <w:t xml:space="preserve"> </w:t>
      </w:r>
      <w:r w:rsidRPr="00724342">
        <w:rPr>
          <w:color w:val="000000"/>
          <w:sz w:val="22"/>
          <w:szCs w:val="22"/>
        </w:rPr>
        <w:t>А.,</w:t>
      </w:r>
      <w:r w:rsidRPr="00724342">
        <w:rPr>
          <w:color w:val="000000"/>
          <w:sz w:val="22"/>
          <w:szCs w:val="22"/>
        </w:rPr>
        <w:br/>
        <w:t>студент 4-го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 Т. Трубилина</w:t>
      </w:r>
    </w:p>
    <w:p w:rsidR="00724342" w:rsidRPr="00724342" w:rsidRDefault="00724342" w:rsidP="00724342">
      <w:pPr>
        <w:pBdr>
          <w:top w:val="nil"/>
          <w:left w:val="nil"/>
          <w:bottom w:val="nil"/>
          <w:right w:val="nil"/>
          <w:between w:val="nil"/>
        </w:pBdr>
        <w:tabs>
          <w:tab w:val="right" w:pos="1133"/>
          <w:tab w:val="center" w:pos="570"/>
          <w:tab w:val="left" w:pos="702"/>
          <w:tab w:val="left" w:pos="702"/>
        </w:tabs>
        <w:jc w:val="right"/>
        <w:rPr>
          <w:color w:val="000000"/>
          <w:sz w:val="22"/>
          <w:szCs w:val="22"/>
        </w:rPr>
      </w:pPr>
    </w:p>
    <w:p w:rsidR="00724342" w:rsidRPr="00724342" w:rsidRDefault="00724342" w:rsidP="00850015">
      <w:pPr>
        <w:widowControl w:val="0"/>
        <w:pBdr>
          <w:top w:val="nil"/>
          <w:left w:val="nil"/>
          <w:bottom w:val="nil"/>
          <w:right w:val="nil"/>
          <w:between w:val="nil"/>
        </w:pBdr>
        <w:tabs>
          <w:tab w:val="left" w:pos="8223"/>
        </w:tabs>
        <w:ind w:firstLine="426"/>
        <w:jc w:val="both"/>
        <w:rPr>
          <w:color w:val="000000"/>
          <w:sz w:val="22"/>
          <w:szCs w:val="22"/>
        </w:rPr>
      </w:pPr>
      <w:r w:rsidRPr="00724342">
        <w:rPr>
          <w:color w:val="000000"/>
          <w:sz w:val="22"/>
          <w:szCs w:val="22"/>
        </w:rPr>
        <w:t>АННОТАЦИЯ: Изучение влияния различных факторов на м</w:t>
      </w:r>
      <w:r w:rsidRPr="00724342">
        <w:rPr>
          <w:color w:val="000000"/>
          <w:sz w:val="22"/>
          <w:szCs w:val="22"/>
        </w:rPr>
        <w:t>о</w:t>
      </w:r>
      <w:r w:rsidRPr="00724342">
        <w:rPr>
          <w:color w:val="000000"/>
          <w:sz w:val="22"/>
          <w:szCs w:val="22"/>
        </w:rPr>
        <w:t>тивацию персонала, в рамках рыночной экономики.</w:t>
      </w:r>
    </w:p>
    <w:p w:rsidR="00724342" w:rsidRPr="00724342" w:rsidRDefault="00724342" w:rsidP="00850015">
      <w:pPr>
        <w:widowControl w:val="0"/>
        <w:pBdr>
          <w:top w:val="nil"/>
          <w:left w:val="nil"/>
          <w:bottom w:val="nil"/>
          <w:right w:val="nil"/>
          <w:between w:val="nil"/>
        </w:pBdr>
        <w:tabs>
          <w:tab w:val="left" w:pos="8223"/>
        </w:tabs>
        <w:ind w:firstLine="426"/>
        <w:jc w:val="both"/>
        <w:rPr>
          <w:color w:val="000000"/>
          <w:sz w:val="22"/>
          <w:szCs w:val="22"/>
          <w:highlight w:val="white"/>
          <w:lang w:val="en-US"/>
        </w:rPr>
      </w:pPr>
      <w:r w:rsidRPr="00724342">
        <w:rPr>
          <w:color w:val="000000"/>
          <w:sz w:val="22"/>
          <w:szCs w:val="22"/>
          <w:lang w:val="en-US"/>
        </w:rPr>
        <w:t>ABSTRACT:</w:t>
      </w:r>
      <w:r w:rsidRPr="00724342">
        <w:rPr>
          <w:color w:val="000000"/>
          <w:sz w:val="22"/>
          <w:szCs w:val="22"/>
          <w:highlight w:val="white"/>
          <w:lang w:val="en-US"/>
        </w:rPr>
        <w:t xml:space="preserve"> The study of the influence of various factors on the motivation of staff within the market economy.</w:t>
      </w:r>
    </w:p>
    <w:p w:rsidR="00724342" w:rsidRPr="00724342" w:rsidRDefault="00724342" w:rsidP="00850015">
      <w:pPr>
        <w:widowControl w:val="0"/>
        <w:pBdr>
          <w:top w:val="nil"/>
          <w:left w:val="nil"/>
          <w:bottom w:val="nil"/>
          <w:right w:val="nil"/>
          <w:between w:val="nil"/>
        </w:pBdr>
        <w:tabs>
          <w:tab w:val="left" w:pos="8223"/>
        </w:tabs>
        <w:ind w:firstLine="426"/>
        <w:jc w:val="both"/>
        <w:rPr>
          <w:color w:val="000000"/>
          <w:sz w:val="22"/>
          <w:szCs w:val="22"/>
        </w:rPr>
      </w:pPr>
      <w:r w:rsidRPr="00724342">
        <w:rPr>
          <w:color w:val="000000"/>
          <w:sz w:val="22"/>
          <w:szCs w:val="22"/>
        </w:rPr>
        <w:t>КЛЮЧЕВЫЕ СЛОВА: персонал, мотивация, сотрудники</w:t>
      </w:r>
      <w:r w:rsidR="00E30511">
        <w:rPr>
          <w:color w:val="000000"/>
          <w:sz w:val="22"/>
          <w:szCs w:val="22"/>
        </w:rPr>
        <w:t>.</w:t>
      </w:r>
      <w:r w:rsidRPr="00724342">
        <w:rPr>
          <w:color w:val="000000"/>
          <w:sz w:val="22"/>
          <w:szCs w:val="22"/>
        </w:rPr>
        <w:t xml:space="preserve"> </w:t>
      </w:r>
    </w:p>
    <w:p w:rsidR="00724342" w:rsidRPr="00E30511" w:rsidRDefault="00724342" w:rsidP="00850015">
      <w:pPr>
        <w:widowControl w:val="0"/>
        <w:pBdr>
          <w:top w:val="nil"/>
          <w:left w:val="nil"/>
          <w:bottom w:val="nil"/>
          <w:right w:val="nil"/>
          <w:between w:val="nil"/>
        </w:pBdr>
        <w:tabs>
          <w:tab w:val="left" w:pos="8223"/>
        </w:tabs>
        <w:ind w:firstLine="426"/>
        <w:jc w:val="both"/>
        <w:rPr>
          <w:color w:val="000000"/>
          <w:sz w:val="22"/>
          <w:szCs w:val="22"/>
        </w:rPr>
      </w:pPr>
      <w:r w:rsidRPr="00724342">
        <w:rPr>
          <w:color w:val="000000"/>
          <w:sz w:val="22"/>
          <w:szCs w:val="22"/>
          <w:lang w:val="en-US"/>
        </w:rPr>
        <w:t>KEYWORDS</w:t>
      </w:r>
      <w:r w:rsidRPr="00724342">
        <w:rPr>
          <w:color w:val="000000"/>
          <w:sz w:val="22"/>
          <w:szCs w:val="22"/>
        </w:rPr>
        <w:t>:</w:t>
      </w:r>
      <w:r w:rsidRPr="00724342">
        <w:rPr>
          <w:color w:val="000000"/>
          <w:sz w:val="22"/>
          <w:szCs w:val="22"/>
          <w:highlight w:val="white"/>
        </w:rPr>
        <w:t xml:space="preserve"> </w:t>
      </w:r>
      <w:r w:rsidRPr="00724342">
        <w:rPr>
          <w:color w:val="000000"/>
          <w:sz w:val="22"/>
          <w:szCs w:val="22"/>
          <w:highlight w:val="white"/>
          <w:lang w:val="en-US"/>
        </w:rPr>
        <w:t>personnel</w:t>
      </w:r>
      <w:r w:rsidRPr="00724342">
        <w:rPr>
          <w:color w:val="000000"/>
          <w:sz w:val="22"/>
          <w:szCs w:val="22"/>
          <w:highlight w:val="white"/>
        </w:rPr>
        <w:t xml:space="preserve">, </w:t>
      </w:r>
      <w:r w:rsidRPr="00724342">
        <w:rPr>
          <w:color w:val="000000"/>
          <w:sz w:val="22"/>
          <w:szCs w:val="22"/>
          <w:highlight w:val="white"/>
          <w:lang w:val="en-US"/>
        </w:rPr>
        <w:t>motivation</w:t>
      </w:r>
      <w:r w:rsidRPr="00724342">
        <w:rPr>
          <w:color w:val="000000"/>
          <w:sz w:val="22"/>
          <w:szCs w:val="22"/>
          <w:highlight w:val="white"/>
        </w:rPr>
        <w:t xml:space="preserve">, </w:t>
      </w:r>
      <w:r w:rsidRPr="00724342">
        <w:rPr>
          <w:color w:val="000000"/>
          <w:sz w:val="22"/>
          <w:szCs w:val="22"/>
          <w:highlight w:val="white"/>
          <w:lang w:val="en-US"/>
        </w:rPr>
        <w:t>employees</w:t>
      </w:r>
      <w:r w:rsidR="00E30511">
        <w:rPr>
          <w:color w:val="000000"/>
          <w:sz w:val="22"/>
          <w:szCs w:val="22"/>
        </w:rPr>
        <w:t>.</w:t>
      </w:r>
    </w:p>
    <w:p w:rsidR="00724342" w:rsidRPr="00724342" w:rsidRDefault="00724342" w:rsidP="00850015">
      <w:pPr>
        <w:widowControl w:val="0"/>
        <w:pBdr>
          <w:top w:val="nil"/>
          <w:left w:val="nil"/>
          <w:bottom w:val="nil"/>
          <w:right w:val="nil"/>
          <w:between w:val="nil"/>
        </w:pBdr>
        <w:tabs>
          <w:tab w:val="left" w:pos="8223"/>
        </w:tabs>
        <w:ind w:firstLine="426"/>
        <w:jc w:val="both"/>
        <w:rPr>
          <w:color w:val="000000"/>
          <w:sz w:val="22"/>
          <w:szCs w:val="22"/>
        </w:rPr>
      </w:pPr>
    </w:p>
    <w:p w:rsidR="00724342" w:rsidRPr="00724342" w:rsidRDefault="00724342" w:rsidP="00850015">
      <w:pPr>
        <w:pBdr>
          <w:top w:val="nil"/>
          <w:left w:val="nil"/>
          <w:bottom w:val="nil"/>
          <w:right w:val="nil"/>
          <w:between w:val="nil"/>
        </w:pBdr>
        <w:ind w:firstLine="426"/>
        <w:jc w:val="both"/>
        <w:rPr>
          <w:color w:val="000000"/>
          <w:sz w:val="22"/>
          <w:szCs w:val="22"/>
        </w:rPr>
      </w:pPr>
      <w:r w:rsidRPr="00724342">
        <w:rPr>
          <w:color w:val="000000"/>
          <w:sz w:val="22"/>
          <w:szCs w:val="22"/>
        </w:rPr>
        <w:t>В эпоху рыночной экономики мотивация персонала занимает одно из ключевых мест в управлении сотрудниками, так как  выст</w:t>
      </w:r>
      <w:r w:rsidRPr="00724342">
        <w:rPr>
          <w:color w:val="000000"/>
          <w:sz w:val="22"/>
          <w:szCs w:val="22"/>
        </w:rPr>
        <w:t>у</w:t>
      </w:r>
      <w:r w:rsidRPr="00724342">
        <w:rPr>
          <w:color w:val="000000"/>
          <w:sz w:val="22"/>
          <w:szCs w:val="22"/>
        </w:rPr>
        <w:lastRenderedPageBreak/>
        <w:t>пает непосредственной причиной их приверженности идеям комп</w:t>
      </w:r>
      <w:r w:rsidRPr="00724342">
        <w:rPr>
          <w:color w:val="000000"/>
          <w:sz w:val="22"/>
          <w:szCs w:val="22"/>
        </w:rPr>
        <w:t>а</w:t>
      </w:r>
      <w:r w:rsidRPr="00724342">
        <w:rPr>
          <w:color w:val="000000"/>
          <w:sz w:val="22"/>
          <w:szCs w:val="22"/>
        </w:rPr>
        <w:t>нии и ее целям. Ориентация сотрудников на достижение глобал</w:t>
      </w:r>
      <w:r w:rsidRPr="00724342">
        <w:rPr>
          <w:color w:val="000000"/>
          <w:sz w:val="22"/>
          <w:szCs w:val="22"/>
        </w:rPr>
        <w:t>ь</w:t>
      </w:r>
      <w:r w:rsidR="00E30511">
        <w:rPr>
          <w:color w:val="000000"/>
          <w:sz w:val="22"/>
          <w:szCs w:val="22"/>
        </w:rPr>
        <w:t xml:space="preserve">ных </w:t>
      </w:r>
      <w:r w:rsidRPr="00724342">
        <w:rPr>
          <w:color w:val="000000"/>
          <w:sz w:val="22"/>
          <w:szCs w:val="22"/>
        </w:rPr>
        <w:t>целей организации по существу является основной  задачей руководства персоналом (в современных компаниях для этого и</w:t>
      </w:r>
      <w:r w:rsidRPr="00724342">
        <w:rPr>
          <w:color w:val="000000"/>
          <w:sz w:val="22"/>
          <w:szCs w:val="22"/>
        </w:rPr>
        <w:t>с</w:t>
      </w:r>
      <w:r w:rsidRPr="00724342">
        <w:rPr>
          <w:color w:val="000000"/>
          <w:sz w:val="22"/>
          <w:szCs w:val="22"/>
        </w:rPr>
        <w:t>пользуют ценности организации, миссию и т.п.). Сегодня для кач</w:t>
      </w:r>
      <w:r w:rsidRPr="00724342">
        <w:rPr>
          <w:color w:val="000000"/>
          <w:sz w:val="22"/>
          <w:szCs w:val="22"/>
        </w:rPr>
        <w:t>е</w:t>
      </w:r>
      <w:r w:rsidRPr="00724342">
        <w:rPr>
          <w:color w:val="000000"/>
          <w:sz w:val="22"/>
          <w:szCs w:val="22"/>
        </w:rPr>
        <w:t>ственной деятельности предприятия требуются ответственные, в</w:t>
      </w:r>
      <w:r w:rsidRPr="00724342">
        <w:rPr>
          <w:color w:val="000000"/>
          <w:sz w:val="22"/>
          <w:szCs w:val="22"/>
        </w:rPr>
        <w:t>ы</w:t>
      </w:r>
      <w:r w:rsidRPr="00724342">
        <w:rPr>
          <w:color w:val="000000"/>
          <w:sz w:val="22"/>
          <w:szCs w:val="22"/>
        </w:rPr>
        <w:t>сокоорганизованные и инициативные работники,  стремящиеся к трудовой самореализации личности, непрерывному росту,  а также  желающие вывести организацию на абсолютно новый вектор разв</w:t>
      </w:r>
      <w:r w:rsidRPr="00724342">
        <w:rPr>
          <w:color w:val="000000"/>
          <w:sz w:val="22"/>
          <w:szCs w:val="22"/>
        </w:rPr>
        <w:t>и</w:t>
      </w:r>
      <w:r w:rsidRPr="00724342">
        <w:rPr>
          <w:color w:val="000000"/>
          <w:sz w:val="22"/>
          <w:szCs w:val="22"/>
        </w:rPr>
        <w:t>тия на глобальном рынке</w:t>
      </w:r>
      <w:r w:rsidR="00E30511">
        <w:rPr>
          <w:color w:val="000000"/>
          <w:sz w:val="22"/>
          <w:szCs w:val="22"/>
        </w:rPr>
        <w:t>.</w:t>
      </w:r>
    </w:p>
    <w:p w:rsidR="00724342" w:rsidRPr="00724342" w:rsidRDefault="00724342" w:rsidP="00850015">
      <w:pPr>
        <w:pBdr>
          <w:top w:val="nil"/>
          <w:left w:val="nil"/>
          <w:bottom w:val="nil"/>
          <w:right w:val="nil"/>
          <w:between w:val="nil"/>
        </w:pBdr>
        <w:ind w:firstLine="426"/>
        <w:jc w:val="both"/>
        <w:rPr>
          <w:color w:val="000000"/>
          <w:sz w:val="22"/>
          <w:szCs w:val="22"/>
        </w:rPr>
      </w:pPr>
      <w:r w:rsidRPr="00724342">
        <w:rPr>
          <w:color w:val="000000"/>
          <w:sz w:val="22"/>
          <w:szCs w:val="22"/>
        </w:rPr>
        <w:t>Актуальность данной темы обусловлена тем, что в любой орг</w:t>
      </w:r>
      <w:r w:rsidRPr="00724342">
        <w:rPr>
          <w:color w:val="000000"/>
          <w:sz w:val="22"/>
          <w:szCs w:val="22"/>
        </w:rPr>
        <w:t>а</w:t>
      </w:r>
      <w:r w:rsidRPr="00724342">
        <w:rPr>
          <w:color w:val="000000"/>
          <w:sz w:val="22"/>
          <w:szCs w:val="22"/>
        </w:rPr>
        <w:t>низации мира, в любой точке мира всё большее значение приобр</w:t>
      </w:r>
      <w:r w:rsidRPr="00724342">
        <w:rPr>
          <w:color w:val="000000"/>
          <w:sz w:val="22"/>
          <w:szCs w:val="22"/>
        </w:rPr>
        <w:t>е</w:t>
      </w:r>
      <w:r w:rsidRPr="00724342">
        <w:rPr>
          <w:color w:val="000000"/>
          <w:sz w:val="22"/>
          <w:szCs w:val="22"/>
        </w:rPr>
        <w:t xml:space="preserve">тают мотивационные аспекты в управлении персоналом. Мотивация персонала является главным средством обеспечения оптимального использования человеческих ресурсов. </w:t>
      </w:r>
    </w:p>
    <w:p w:rsidR="00724342" w:rsidRPr="00724342" w:rsidRDefault="00724342" w:rsidP="00850015">
      <w:pPr>
        <w:pBdr>
          <w:top w:val="nil"/>
          <w:left w:val="nil"/>
          <w:bottom w:val="nil"/>
          <w:right w:val="nil"/>
          <w:between w:val="nil"/>
        </w:pBdr>
        <w:ind w:firstLine="426"/>
        <w:jc w:val="both"/>
        <w:rPr>
          <w:color w:val="000000"/>
          <w:sz w:val="22"/>
          <w:szCs w:val="22"/>
        </w:rPr>
      </w:pPr>
      <w:r w:rsidRPr="00724342">
        <w:rPr>
          <w:color w:val="000000"/>
          <w:sz w:val="22"/>
          <w:szCs w:val="22"/>
        </w:rPr>
        <w:t>Мы можем выделить два фундаментальных вопроса, на кот</w:t>
      </w:r>
      <w:r w:rsidRPr="00724342">
        <w:rPr>
          <w:color w:val="000000"/>
          <w:sz w:val="22"/>
          <w:szCs w:val="22"/>
        </w:rPr>
        <w:t>о</w:t>
      </w:r>
      <w:r w:rsidRPr="00724342">
        <w:rPr>
          <w:color w:val="000000"/>
          <w:sz w:val="22"/>
          <w:szCs w:val="22"/>
        </w:rPr>
        <w:t>рых строится мотивация сотрудников:</w:t>
      </w:r>
    </w:p>
    <w:p w:rsidR="00724342" w:rsidRPr="00724342" w:rsidRDefault="00E30511" w:rsidP="00850015">
      <w:pPr>
        <w:pBdr>
          <w:top w:val="nil"/>
          <w:left w:val="nil"/>
          <w:bottom w:val="nil"/>
          <w:right w:val="nil"/>
          <w:between w:val="nil"/>
        </w:pBdr>
        <w:ind w:firstLine="426"/>
        <w:jc w:val="both"/>
        <w:rPr>
          <w:color w:val="000000"/>
          <w:sz w:val="22"/>
          <w:szCs w:val="22"/>
        </w:rPr>
      </w:pPr>
      <w:r>
        <w:rPr>
          <w:color w:val="000000"/>
          <w:sz w:val="22"/>
          <w:szCs w:val="22"/>
        </w:rPr>
        <w:t xml:space="preserve">1. </w:t>
      </w:r>
      <w:r w:rsidR="00724342" w:rsidRPr="00724342">
        <w:rPr>
          <w:color w:val="000000"/>
          <w:sz w:val="22"/>
          <w:szCs w:val="22"/>
        </w:rPr>
        <w:t>Разбор основной мотивации сотрудника: его потребности, цели и ожидания.</w:t>
      </w:r>
    </w:p>
    <w:p w:rsidR="00724342" w:rsidRPr="00724342" w:rsidRDefault="00724342" w:rsidP="00850015">
      <w:pPr>
        <w:pBdr>
          <w:top w:val="nil"/>
          <w:left w:val="nil"/>
          <w:bottom w:val="nil"/>
          <w:right w:val="nil"/>
          <w:between w:val="nil"/>
        </w:pBdr>
        <w:ind w:firstLine="426"/>
        <w:jc w:val="both"/>
        <w:rPr>
          <w:color w:val="000000"/>
          <w:sz w:val="22"/>
          <w:szCs w:val="22"/>
        </w:rPr>
      </w:pPr>
      <w:r w:rsidRPr="00724342">
        <w:rPr>
          <w:color w:val="000000"/>
          <w:sz w:val="22"/>
          <w:szCs w:val="22"/>
        </w:rPr>
        <w:t>2. Знать факторы, влияющие на потребности сотрудника, кот</w:t>
      </w:r>
      <w:r w:rsidRPr="00724342">
        <w:rPr>
          <w:color w:val="000000"/>
          <w:sz w:val="22"/>
          <w:szCs w:val="22"/>
        </w:rPr>
        <w:t>о</w:t>
      </w:r>
      <w:r w:rsidRPr="00724342">
        <w:rPr>
          <w:color w:val="000000"/>
          <w:sz w:val="22"/>
          <w:szCs w:val="22"/>
        </w:rPr>
        <w:t>рые вызывают его движение к цели, а также  условия, при которых их потребности могут быть удовлетворены.</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Исходя из  этого,  мы можем отметить основные факторы, к</w:t>
      </w:r>
      <w:r w:rsidRPr="00724342">
        <w:rPr>
          <w:color w:val="000000"/>
          <w:sz w:val="22"/>
          <w:szCs w:val="22"/>
        </w:rPr>
        <w:t>о</w:t>
      </w:r>
      <w:r w:rsidRPr="00724342">
        <w:rPr>
          <w:color w:val="000000"/>
          <w:sz w:val="22"/>
          <w:szCs w:val="22"/>
        </w:rPr>
        <w:t>торые могут мотивировать  сотрудников:</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Во – первых, оплата труда. Ведь именно она и стимулирует с</w:t>
      </w:r>
      <w:r w:rsidRPr="00724342">
        <w:rPr>
          <w:color w:val="000000"/>
          <w:sz w:val="22"/>
          <w:szCs w:val="22"/>
        </w:rPr>
        <w:t>о</w:t>
      </w:r>
      <w:r w:rsidRPr="00724342">
        <w:rPr>
          <w:color w:val="000000"/>
          <w:sz w:val="22"/>
          <w:szCs w:val="22"/>
        </w:rPr>
        <w:t>трудников к трудовой деятельности.</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Во – вторых, важную роль играет корпоративная культура. Ее составляющие: стратегия компании, цели, уровень стандартов, но</w:t>
      </w:r>
      <w:r w:rsidRPr="00724342">
        <w:rPr>
          <w:color w:val="000000"/>
          <w:sz w:val="22"/>
          <w:szCs w:val="22"/>
        </w:rPr>
        <w:t>р</w:t>
      </w:r>
      <w:r w:rsidRPr="00724342">
        <w:rPr>
          <w:color w:val="000000"/>
          <w:sz w:val="22"/>
          <w:szCs w:val="22"/>
        </w:rPr>
        <w:t>мы и  правила поведения,  системность, согласованность и направленность   сотрудников. Чем выше уровень культуры ко</w:t>
      </w:r>
      <w:r w:rsidRPr="00724342">
        <w:rPr>
          <w:color w:val="000000"/>
          <w:sz w:val="22"/>
          <w:szCs w:val="22"/>
        </w:rPr>
        <w:t>м</w:t>
      </w:r>
      <w:r w:rsidRPr="00724342">
        <w:rPr>
          <w:color w:val="000000"/>
          <w:sz w:val="22"/>
          <w:szCs w:val="22"/>
        </w:rPr>
        <w:t>пании, тем более качественный персонал может позволить себе о</w:t>
      </w:r>
      <w:r w:rsidRPr="00724342">
        <w:rPr>
          <w:color w:val="000000"/>
          <w:sz w:val="22"/>
          <w:szCs w:val="22"/>
        </w:rPr>
        <w:t>р</w:t>
      </w:r>
      <w:r w:rsidRPr="00724342">
        <w:rPr>
          <w:color w:val="000000"/>
          <w:sz w:val="22"/>
          <w:szCs w:val="22"/>
        </w:rPr>
        <w:t>ганизация.</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 – третьих,  система активизации (мотивообразующие факт</w:t>
      </w:r>
      <w:r w:rsidRPr="00724342">
        <w:rPr>
          <w:color w:val="000000"/>
          <w:sz w:val="22"/>
          <w:szCs w:val="22"/>
        </w:rPr>
        <w:t>о</w:t>
      </w:r>
      <w:r w:rsidRPr="00724342">
        <w:rPr>
          <w:color w:val="000000"/>
          <w:sz w:val="22"/>
          <w:szCs w:val="22"/>
        </w:rPr>
        <w:t>ры). В  рыночных условиях активизация предприятия в полной мере определяется особенностью работника как личности, системой адаптации работников (защищенность, самоуважение, самоактуал</w:t>
      </w:r>
      <w:r w:rsidRPr="00724342">
        <w:rPr>
          <w:color w:val="000000"/>
          <w:sz w:val="22"/>
          <w:szCs w:val="22"/>
        </w:rPr>
        <w:t>и</w:t>
      </w:r>
      <w:r w:rsidRPr="00724342">
        <w:rPr>
          <w:color w:val="000000"/>
          <w:sz w:val="22"/>
          <w:szCs w:val="22"/>
        </w:rPr>
        <w:t>зация), удовлетворением его интересов, и т.д.</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lastRenderedPageBreak/>
        <w:t xml:space="preserve">В – четвертых, система обеспечения. решение социального обеспечения и социально-культурно-бытовых условий  работников является одним  из элементов мотивации. </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Основываясь на этих 4 элементах, мы решили провести в ма</w:t>
      </w:r>
      <w:r w:rsidRPr="00724342">
        <w:rPr>
          <w:color w:val="000000"/>
          <w:sz w:val="22"/>
          <w:szCs w:val="22"/>
        </w:rPr>
        <w:t>р</w:t>
      </w:r>
      <w:r w:rsidRPr="00724342">
        <w:rPr>
          <w:color w:val="000000"/>
          <w:sz w:val="22"/>
          <w:szCs w:val="22"/>
        </w:rPr>
        <w:t>кетинговом агентстве полного цикла  эксперимент. В самой комп</w:t>
      </w:r>
      <w:r w:rsidRPr="00724342">
        <w:rPr>
          <w:color w:val="000000"/>
          <w:sz w:val="22"/>
          <w:szCs w:val="22"/>
        </w:rPr>
        <w:t>а</w:t>
      </w:r>
      <w:r w:rsidRPr="00724342">
        <w:rPr>
          <w:color w:val="000000"/>
          <w:sz w:val="22"/>
          <w:szCs w:val="22"/>
        </w:rPr>
        <w:t>нии есть несколько отделов в разных частях города, именно поэт</w:t>
      </w:r>
      <w:r w:rsidRPr="00724342">
        <w:rPr>
          <w:color w:val="000000"/>
          <w:sz w:val="22"/>
          <w:szCs w:val="22"/>
        </w:rPr>
        <w:t>о</w:t>
      </w:r>
      <w:r w:rsidRPr="00724342">
        <w:rPr>
          <w:color w:val="000000"/>
          <w:sz w:val="22"/>
          <w:szCs w:val="22"/>
        </w:rPr>
        <w:t>му эта компания стала предметом исследования, чтобы сотрудники не заметили отличия своих условий от условий коллег (на момент исследования): в плане работы с командой, заработной платы, улучшения социального пакета и бонусов при достижении резул</w:t>
      </w:r>
      <w:r w:rsidRPr="00724342">
        <w:rPr>
          <w:color w:val="000000"/>
          <w:sz w:val="22"/>
          <w:szCs w:val="22"/>
        </w:rPr>
        <w:t>ь</w:t>
      </w:r>
      <w:r w:rsidRPr="00724342">
        <w:rPr>
          <w:color w:val="000000"/>
          <w:sz w:val="22"/>
          <w:szCs w:val="22"/>
        </w:rPr>
        <w:t>тата.</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На момент начала исследования перед двумя примерно один</w:t>
      </w:r>
      <w:r w:rsidRPr="00724342">
        <w:rPr>
          <w:color w:val="000000"/>
          <w:sz w:val="22"/>
          <w:szCs w:val="22"/>
        </w:rPr>
        <w:t>а</w:t>
      </w:r>
      <w:r w:rsidRPr="00724342">
        <w:rPr>
          <w:color w:val="000000"/>
          <w:sz w:val="22"/>
          <w:szCs w:val="22"/>
        </w:rPr>
        <w:t>ковыми командами была поставлена задача - увеличить количество клиентов и их  времяпровождения на сайте  в среднем в 1,5 раза.</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 первом случае заработная плата маркетологов команды с</w:t>
      </w:r>
      <w:r w:rsidRPr="00724342">
        <w:rPr>
          <w:color w:val="000000"/>
          <w:sz w:val="22"/>
          <w:szCs w:val="22"/>
        </w:rPr>
        <w:t>о</w:t>
      </w:r>
      <w:r w:rsidRPr="00724342">
        <w:rPr>
          <w:color w:val="000000"/>
          <w:sz w:val="22"/>
          <w:szCs w:val="22"/>
        </w:rPr>
        <w:t>ставляла примерно 24-27 тыс. руб., без привязки к KPI и без хор</w:t>
      </w:r>
      <w:r w:rsidRPr="00724342">
        <w:rPr>
          <w:color w:val="000000"/>
          <w:sz w:val="22"/>
          <w:szCs w:val="22"/>
        </w:rPr>
        <w:t>о</w:t>
      </w:r>
      <w:r w:rsidRPr="00724342">
        <w:rPr>
          <w:color w:val="000000"/>
          <w:sz w:val="22"/>
          <w:szCs w:val="22"/>
        </w:rPr>
        <w:t xml:space="preserve">шей бонусной части </w:t>
      </w:r>
      <w:r w:rsidRPr="00724342">
        <w:rPr>
          <w:rFonts w:eastAsia="Courier New"/>
          <w:color w:val="000000"/>
          <w:sz w:val="20"/>
          <w:szCs w:val="20"/>
        </w:rPr>
        <w:t>[1]</w:t>
      </w:r>
      <w:r w:rsidRPr="00724342">
        <w:rPr>
          <w:color w:val="000000"/>
          <w:sz w:val="22"/>
          <w:szCs w:val="22"/>
        </w:rPr>
        <w:t>.</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 xml:space="preserve">Со второй командой была проделана большая работа: </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Во-первых, команда  прописала цели и задачи маркетингового агентства.</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Во-вторых, команда четко определилась с целями на данный проект и проговорила их. При этом мы выяснили, что у разных участников команды абсолютно разное видение реализации прое</w:t>
      </w:r>
      <w:r w:rsidRPr="00724342">
        <w:rPr>
          <w:color w:val="000000"/>
          <w:sz w:val="22"/>
          <w:szCs w:val="22"/>
        </w:rPr>
        <w:t>к</w:t>
      </w:r>
      <w:r w:rsidRPr="00724342">
        <w:rPr>
          <w:color w:val="000000"/>
          <w:sz w:val="22"/>
          <w:szCs w:val="22"/>
        </w:rPr>
        <w:t xml:space="preserve">та. </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В-третьих, была переработана окладная часть при выполнении плана продаж для клиента. Сотрудники отдела могли заработать по 40-45тыс руб. в месяц, однако при невыполнении  плана заработная плата была на уровне 20 тыс. руб.. Данная инициатива была прин</w:t>
      </w:r>
      <w:r w:rsidRPr="00724342">
        <w:rPr>
          <w:color w:val="000000"/>
          <w:sz w:val="22"/>
          <w:szCs w:val="22"/>
        </w:rPr>
        <w:t>я</w:t>
      </w:r>
      <w:r w:rsidRPr="00724342">
        <w:rPr>
          <w:color w:val="000000"/>
          <w:sz w:val="22"/>
          <w:szCs w:val="22"/>
        </w:rPr>
        <w:t>та без особого энтузиазма, но сотрудники понимали, что данные показатели могут быть достигнуты.</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В-четвертых, при успешном завершении проекта всей команде были обещаны дополнительные выходные + поездка в ресторан за счет компании (данное маркетинговое агенство -  лидер рынка в Краснодаре и может позволить себе данную систему мотивации).</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В результате расчетов мы получили следующие данные:</w:t>
      </w:r>
    </w:p>
    <w:p w:rsidR="00724342" w:rsidRPr="00724342" w:rsidRDefault="00724342" w:rsidP="00850015">
      <w:pPr>
        <w:pBdr>
          <w:top w:val="nil"/>
          <w:left w:val="nil"/>
          <w:bottom w:val="nil"/>
          <w:right w:val="nil"/>
          <w:between w:val="nil"/>
        </w:pBdr>
        <w:shd w:val="clear" w:color="auto" w:fill="FFFFFF"/>
        <w:ind w:firstLine="426"/>
        <w:jc w:val="both"/>
        <w:rPr>
          <w:color w:val="000000"/>
          <w:sz w:val="22"/>
          <w:szCs w:val="22"/>
        </w:rPr>
      </w:pPr>
      <w:r w:rsidRPr="00724342">
        <w:rPr>
          <w:color w:val="000000"/>
          <w:sz w:val="22"/>
          <w:szCs w:val="22"/>
        </w:rPr>
        <w:t>Таким образом, мы видим, что командами был проделан абс</w:t>
      </w:r>
      <w:r w:rsidRPr="00724342">
        <w:rPr>
          <w:color w:val="000000"/>
          <w:sz w:val="22"/>
          <w:szCs w:val="22"/>
        </w:rPr>
        <w:t>о</w:t>
      </w:r>
      <w:r w:rsidRPr="00724342">
        <w:rPr>
          <w:color w:val="000000"/>
          <w:sz w:val="22"/>
          <w:szCs w:val="22"/>
        </w:rPr>
        <w:t>лютно разный путь по достижению цели. Вторая команда смогла привлечь трафика на 10000, но отметим, что было и много нецел</w:t>
      </w:r>
      <w:r w:rsidRPr="00724342">
        <w:rPr>
          <w:color w:val="000000"/>
          <w:sz w:val="22"/>
          <w:szCs w:val="22"/>
        </w:rPr>
        <w:t>е</w:t>
      </w:r>
      <w:r w:rsidRPr="00724342">
        <w:rPr>
          <w:color w:val="000000"/>
          <w:sz w:val="22"/>
          <w:szCs w:val="22"/>
        </w:rPr>
        <w:lastRenderedPageBreak/>
        <w:t>вого трафика. Этот показатель мы учитывали заранее. Во втором случае заработок для клиента составил на 150000 больше, чем у первой команды. Таким образом, можно сказать, что система мот</w:t>
      </w:r>
      <w:r w:rsidRPr="00724342">
        <w:rPr>
          <w:color w:val="000000"/>
          <w:sz w:val="22"/>
          <w:szCs w:val="22"/>
        </w:rPr>
        <w:t>и</w:t>
      </w:r>
      <w:r w:rsidRPr="00724342">
        <w:rPr>
          <w:color w:val="000000"/>
          <w:sz w:val="22"/>
          <w:szCs w:val="22"/>
        </w:rPr>
        <w:t>вации - один из важнейших элементов при создании организации, так как именно от нее зависит уровень ее развития.</w:t>
      </w:r>
    </w:p>
    <w:p w:rsidR="00724342" w:rsidRPr="00724342" w:rsidRDefault="00724342" w:rsidP="00E30511">
      <w:pPr>
        <w:pBdr>
          <w:top w:val="nil"/>
          <w:left w:val="nil"/>
          <w:bottom w:val="nil"/>
          <w:right w:val="nil"/>
          <w:between w:val="nil"/>
        </w:pBdr>
        <w:ind w:firstLine="426"/>
        <w:jc w:val="both"/>
        <w:rPr>
          <w:color w:val="000000"/>
          <w:sz w:val="22"/>
          <w:szCs w:val="22"/>
        </w:rPr>
      </w:pPr>
      <w:r w:rsidRPr="00724342">
        <w:rPr>
          <w:color w:val="000000"/>
          <w:sz w:val="22"/>
          <w:szCs w:val="22"/>
        </w:rPr>
        <w:t>Система мотивации сотрудников просто обязана  быть ко</w:t>
      </w:r>
      <w:r w:rsidRPr="00724342">
        <w:rPr>
          <w:color w:val="000000"/>
          <w:sz w:val="22"/>
          <w:szCs w:val="22"/>
        </w:rPr>
        <w:t>м</w:t>
      </w:r>
      <w:r w:rsidRPr="00724342">
        <w:rPr>
          <w:color w:val="000000"/>
          <w:sz w:val="22"/>
          <w:szCs w:val="22"/>
        </w:rPr>
        <w:t>плексной, включать как материальное, так и нематериальное возн</w:t>
      </w:r>
      <w:r w:rsidRPr="00724342">
        <w:rPr>
          <w:color w:val="000000"/>
          <w:sz w:val="22"/>
          <w:szCs w:val="22"/>
        </w:rPr>
        <w:t>а</w:t>
      </w:r>
      <w:r w:rsidRPr="00724342">
        <w:rPr>
          <w:color w:val="000000"/>
          <w:sz w:val="22"/>
          <w:szCs w:val="22"/>
        </w:rPr>
        <w:t>граждение. Важно понимать, что  не все мотивационные факторы связаны только с материальной составляющей. И чем качественнее будет проработан этот вопрос, тем более качественно будут продв</w:t>
      </w:r>
      <w:r w:rsidRPr="00724342">
        <w:rPr>
          <w:color w:val="000000"/>
          <w:sz w:val="22"/>
          <w:szCs w:val="22"/>
        </w:rPr>
        <w:t>и</w:t>
      </w:r>
      <w:r w:rsidRPr="00724342">
        <w:rPr>
          <w:color w:val="000000"/>
          <w:sz w:val="22"/>
          <w:szCs w:val="22"/>
        </w:rPr>
        <w:t>гаться дела  организации.</w:t>
      </w:r>
    </w:p>
    <w:p w:rsidR="00724342" w:rsidRPr="00724342" w:rsidRDefault="00850015" w:rsidP="00850015">
      <w:pPr>
        <w:pBdr>
          <w:top w:val="nil"/>
          <w:left w:val="nil"/>
          <w:bottom w:val="nil"/>
          <w:right w:val="nil"/>
          <w:between w:val="nil"/>
        </w:pBdr>
        <w:ind w:firstLine="426"/>
        <w:jc w:val="center"/>
        <w:rPr>
          <w:color w:val="000000"/>
          <w:sz w:val="22"/>
          <w:szCs w:val="22"/>
        </w:rPr>
      </w:pPr>
      <w:r>
        <w:rPr>
          <w:color w:val="000000"/>
          <w:sz w:val="22"/>
          <w:szCs w:val="22"/>
        </w:rPr>
        <w:t>Список литературы</w:t>
      </w:r>
    </w:p>
    <w:p w:rsidR="00724342" w:rsidRPr="00724342" w:rsidRDefault="00724342" w:rsidP="00850015">
      <w:pPr>
        <w:pBdr>
          <w:top w:val="nil"/>
          <w:left w:val="nil"/>
          <w:bottom w:val="nil"/>
          <w:right w:val="nil"/>
          <w:between w:val="nil"/>
        </w:pBdr>
        <w:ind w:firstLine="426"/>
        <w:jc w:val="both"/>
        <w:rPr>
          <w:color w:val="000000"/>
          <w:sz w:val="22"/>
          <w:szCs w:val="22"/>
        </w:rPr>
      </w:pPr>
      <w:r w:rsidRPr="00724342">
        <w:rPr>
          <w:color w:val="000000"/>
          <w:sz w:val="22"/>
          <w:szCs w:val="22"/>
        </w:rPr>
        <w:t>1. Котляр И.А. Влияние модальности на эффективность чел</w:t>
      </w:r>
      <w:r w:rsidRPr="00724342">
        <w:rPr>
          <w:color w:val="000000"/>
          <w:sz w:val="22"/>
          <w:szCs w:val="22"/>
        </w:rPr>
        <w:t>о</w:t>
      </w:r>
      <w:r w:rsidRPr="00724342">
        <w:rPr>
          <w:color w:val="000000"/>
          <w:sz w:val="22"/>
          <w:szCs w:val="22"/>
        </w:rPr>
        <w:t>веческого капитала / С.С. Купцов.- Российская экономическая м</w:t>
      </w:r>
      <w:r w:rsidRPr="00724342">
        <w:rPr>
          <w:color w:val="000000"/>
          <w:sz w:val="22"/>
          <w:szCs w:val="22"/>
        </w:rPr>
        <w:t>о</w:t>
      </w:r>
      <w:r w:rsidRPr="00724342">
        <w:rPr>
          <w:color w:val="000000"/>
          <w:sz w:val="22"/>
          <w:szCs w:val="22"/>
        </w:rPr>
        <w:t>дель-3: институты развития Сборник материалов Междунар. науч.-практ. конф.  2014 Издательство: Фонд «Образование. Наука. Инн</w:t>
      </w:r>
      <w:r w:rsidRPr="00724342">
        <w:rPr>
          <w:color w:val="000000"/>
          <w:sz w:val="22"/>
          <w:szCs w:val="22"/>
        </w:rPr>
        <w:t>о</w:t>
      </w:r>
      <w:r w:rsidRPr="00724342">
        <w:rPr>
          <w:color w:val="000000"/>
          <w:sz w:val="22"/>
          <w:szCs w:val="22"/>
        </w:rPr>
        <w:t>вации» (Краснодар)</w:t>
      </w:r>
    </w:p>
    <w:p w:rsidR="00724342" w:rsidRPr="00724342" w:rsidRDefault="00724342" w:rsidP="00850015">
      <w:pPr>
        <w:widowControl w:val="0"/>
        <w:autoSpaceDE w:val="0"/>
        <w:autoSpaceDN w:val="0"/>
        <w:adjustRightInd w:val="0"/>
        <w:ind w:firstLine="426"/>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E30511" w:rsidRDefault="00724342" w:rsidP="00E30511">
      <w:pPr>
        <w:jc w:val="both"/>
        <w:rPr>
          <w:rFonts w:eastAsia="Calibri"/>
          <w:sz w:val="22"/>
          <w:szCs w:val="22"/>
          <w:lang w:eastAsia="en-US"/>
        </w:rPr>
      </w:pPr>
      <w:r w:rsidRPr="00724342">
        <w:rPr>
          <w:rFonts w:eastAsia="Calibri"/>
          <w:sz w:val="22"/>
          <w:szCs w:val="22"/>
          <w:lang w:eastAsia="en-US"/>
        </w:rPr>
        <w:t>УДК 338.436.33</w:t>
      </w: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 xml:space="preserve">Диверсификация производства как направление </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eastAsia="en-US"/>
        </w:rPr>
        <w:t>повышения</w:t>
      </w:r>
      <w:r w:rsidRPr="00724342">
        <w:rPr>
          <w:rFonts w:eastAsia="Calibri"/>
          <w:b/>
          <w:sz w:val="24"/>
          <w:szCs w:val="24"/>
          <w:lang w:val="en-US" w:eastAsia="en-US"/>
        </w:rPr>
        <w:t xml:space="preserve"> </w:t>
      </w:r>
      <w:r w:rsidRPr="00724342">
        <w:rPr>
          <w:rFonts w:eastAsia="Calibri"/>
          <w:b/>
          <w:sz w:val="24"/>
          <w:szCs w:val="24"/>
          <w:lang w:eastAsia="en-US"/>
        </w:rPr>
        <w:t>эффективности</w:t>
      </w:r>
      <w:r w:rsidRPr="00724342">
        <w:rPr>
          <w:rFonts w:eastAsia="Calibri"/>
          <w:b/>
          <w:sz w:val="24"/>
          <w:szCs w:val="24"/>
          <w:lang w:val="en-US" w:eastAsia="en-US"/>
        </w:rPr>
        <w:t xml:space="preserve"> </w:t>
      </w:r>
      <w:r w:rsidRPr="00724342">
        <w:rPr>
          <w:rFonts w:eastAsia="Calibri"/>
          <w:b/>
          <w:sz w:val="24"/>
          <w:szCs w:val="24"/>
          <w:lang w:eastAsia="en-US"/>
        </w:rPr>
        <w:t>деятельности</w:t>
      </w:r>
      <w:r w:rsidRPr="00724342">
        <w:rPr>
          <w:rFonts w:eastAsia="Calibri"/>
          <w:b/>
          <w:sz w:val="24"/>
          <w:szCs w:val="24"/>
          <w:lang w:val="en-US" w:eastAsia="en-US"/>
        </w:rPr>
        <w:t xml:space="preserve"> </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eastAsia="en-US"/>
        </w:rPr>
        <w:t>сельскохозяйственного</w:t>
      </w:r>
      <w:r w:rsidRPr="00724342">
        <w:rPr>
          <w:rFonts w:eastAsia="Calibri"/>
          <w:b/>
          <w:sz w:val="24"/>
          <w:szCs w:val="24"/>
          <w:lang w:val="en-US" w:eastAsia="en-US"/>
        </w:rPr>
        <w:t xml:space="preserve"> </w:t>
      </w:r>
      <w:r w:rsidRPr="00724342">
        <w:rPr>
          <w:rFonts w:eastAsia="Calibri"/>
          <w:b/>
          <w:sz w:val="24"/>
          <w:szCs w:val="24"/>
          <w:lang w:eastAsia="en-US"/>
        </w:rPr>
        <w:t>предприятия</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val="en" w:eastAsia="en-US"/>
        </w:rPr>
        <w:t xml:space="preserve">Diversification of production as a direction to increase </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val="en" w:eastAsia="en-US"/>
        </w:rPr>
        <w:t>the efficiency of the agricultural enterprise</w:t>
      </w:r>
    </w:p>
    <w:p w:rsidR="00724342" w:rsidRPr="00724342" w:rsidRDefault="00724342" w:rsidP="00724342">
      <w:pPr>
        <w:jc w:val="center"/>
        <w:rPr>
          <w:rFonts w:eastAsia="Calibri"/>
          <w:b/>
          <w:sz w:val="24"/>
          <w:szCs w:val="24"/>
          <w:lang w:val="en-US"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Бибикова Р. В.</w:t>
      </w:r>
      <w:r w:rsidR="00850015">
        <w:rPr>
          <w:rFonts w:eastAsia="Calibri"/>
          <w:sz w:val="22"/>
          <w:szCs w:val="22"/>
          <w:lang w:eastAsia="en-US"/>
        </w:rPr>
        <w:t>,</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студентка 4-го курса экономического факультета</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Сухарева О. А.</w:t>
      </w:r>
      <w:r w:rsidR="00850015">
        <w:rPr>
          <w:rFonts w:eastAsia="Calibri"/>
          <w:sz w:val="22"/>
          <w:szCs w:val="22"/>
          <w:lang w:eastAsia="en-US"/>
        </w:rPr>
        <w:t>,</w:t>
      </w:r>
    </w:p>
    <w:p w:rsidR="00724342" w:rsidRPr="00724342" w:rsidRDefault="00724342" w:rsidP="00E30511">
      <w:pPr>
        <w:jc w:val="right"/>
        <w:rPr>
          <w:rFonts w:eastAsia="Calibri"/>
          <w:sz w:val="22"/>
          <w:szCs w:val="22"/>
          <w:lang w:eastAsia="en-US"/>
        </w:rPr>
      </w:pPr>
      <w:r w:rsidRPr="00724342">
        <w:rPr>
          <w:rFonts w:eastAsia="Calibri"/>
          <w:sz w:val="22"/>
          <w:szCs w:val="22"/>
          <w:lang w:eastAsia="en-US"/>
        </w:rPr>
        <w:t xml:space="preserve">доцент кафедры организации производства и </w:t>
      </w:r>
      <w:r w:rsidR="00E30511">
        <w:rPr>
          <w:rFonts w:eastAsia="Calibri"/>
          <w:sz w:val="22"/>
          <w:szCs w:val="22"/>
          <w:lang w:eastAsia="en-US"/>
        </w:rPr>
        <w:br/>
      </w:r>
      <w:r w:rsidRPr="00724342">
        <w:rPr>
          <w:rFonts w:eastAsia="Calibri"/>
          <w:sz w:val="22"/>
          <w:szCs w:val="22"/>
          <w:lang w:eastAsia="en-US"/>
        </w:rPr>
        <w:t>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w:t>
      </w:r>
      <w:r w:rsidR="00850015">
        <w:rPr>
          <w:rFonts w:eastAsia="Courier New"/>
          <w:color w:val="000000"/>
          <w:sz w:val="22"/>
          <w:szCs w:val="22"/>
          <w:lang w:eastAsia="en-US"/>
        </w:rPr>
        <w:t xml:space="preserve"> </w:t>
      </w:r>
      <w:r w:rsidRPr="00724342">
        <w:rPr>
          <w:rFonts w:eastAsia="Courier New"/>
          <w:color w:val="000000"/>
          <w:sz w:val="22"/>
          <w:szCs w:val="22"/>
          <w:lang w:eastAsia="en-US"/>
        </w:rPr>
        <w:t>Т. Трубилина</w:t>
      </w:r>
    </w:p>
    <w:p w:rsidR="00724342" w:rsidRPr="00724342" w:rsidRDefault="00724342" w:rsidP="00724342">
      <w:pPr>
        <w:jc w:val="right"/>
        <w:rPr>
          <w:rFonts w:eastAsia="Calibri"/>
          <w:sz w:val="22"/>
          <w:szCs w:val="22"/>
          <w:lang w:eastAsia="en-US"/>
        </w:rPr>
      </w:pPr>
    </w:p>
    <w:p w:rsidR="00724342" w:rsidRPr="00850015" w:rsidRDefault="00850015" w:rsidP="001074AB">
      <w:pPr>
        <w:ind w:firstLine="426"/>
        <w:jc w:val="both"/>
        <w:rPr>
          <w:rFonts w:eastAsia="Calibri"/>
          <w:sz w:val="22"/>
          <w:szCs w:val="22"/>
          <w:lang w:eastAsia="en-US"/>
        </w:rPr>
      </w:pPr>
      <w:r w:rsidRPr="00850015">
        <w:rPr>
          <w:rFonts w:eastAsia="Calibri"/>
          <w:sz w:val="22"/>
          <w:szCs w:val="22"/>
          <w:lang w:eastAsia="en-US"/>
        </w:rPr>
        <w:t>АННОТАЦИЯ:</w:t>
      </w:r>
      <w:r w:rsidR="00724342" w:rsidRPr="00850015">
        <w:rPr>
          <w:rFonts w:eastAsia="Calibri"/>
          <w:sz w:val="22"/>
          <w:szCs w:val="22"/>
          <w:lang w:eastAsia="en-US"/>
        </w:rPr>
        <w:t xml:space="preserve"> В исследовании дано определение категории «диверсификация сельскохозяйственного производства», систем</w:t>
      </w:r>
      <w:r w:rsidR="00724342" w:rsidRPr="00850015">
        <w:rPr>
          <w:rFonts w:eastAsia="Calibri"/>
          <w:sz w:val="22"/>
          <w:szCs w:val="22"/>
          <w:lang w:eastAsia="en-US"/>
        </w:rPr>
        <w:t>а</w:t>
      </w:r>
      <w:r w:rsidR="00724342" w:rsidRPr="00850015">
        <w:rPr>
          <w:rFonts w:eastAsia="Calibri"/>
          <w:sz w:val="22"/>
          <w:szCs w:val="22"/>
          <w:lang w:eastAsia="en-US"/>
        </w:rPr>
        <w:lastRenderedPageBreak/>
        <w:t>тизированы основные стратегии диверсификации производства в сельскохозяйственных организациях.</w:t>
      </w:r>
    </w:p>
    <w:p w:rsidR="00724342" w:rsidRPr="00850015" w:rsidRDefault="00724342" w:rsidP="001074AB">
      <w:pPr>
        <w:ind w:firstLine="426"/>
        <w:jc w:val="both"/>
        <w:rPr>
          <w:rFonts w:eastAsia="Calibri"/>
          <w:sz w:val="22"/>
          <w:szCs w:val="22"/>
          <w:lang w:val="en-US" w:eastAsia="en-US"/>
        </w:rPr>
      </w:pPr>
      <w:r w:rsidRPr="00850015">
        <w:rPr>
          <w:rFonts w:eastAsia="Courier New"/>
          <w:color w:val="000000"/>
          <w:sz w:val="22"/>
          <w:szCs w:val="22"/>
          <w:lang w:val="en-US" w:eastAsia="en-US"/>
        </w:rPr>
        <w:t>ABSTRACT</w:t>
      </w:r>
      <w:r w:rsidR="00850015" w:rsidRPr="00850015">
        <w:rPr>
          <w:rFonts w:eastAsia="Calibri"/>
          <w:sz w:val="22"/>
          <w:szCs w:val="22"/>
          <w:lang w:val="en-US" w:eastAsia="en-US"/>
        </w:rPr>
        <w:t>:</w:t>
      </w:r>
      <w:r w:rsidRPr="00850015">
        <w:rPr>
          <w:rFonts w:eastAsia="Calibri"/>
          <w:sz w:val="22"/>
          <w:szCs w:val="22"/>
          <w:lang w:val="en" w:eastAsia="en-US"/>
        </w:rPr>
        <w:t xml:space="preserve"> The study defines the category of "diversification of agricultural production," and systematizes the main strategies for divers</w:t>
      </w:r>
      <w:r w:rsidRPr="00850015">
        <w:rPr>
          <w:rFonts w:eastAsia="Calibri"/>
          <w:sz w:val="22"/>
          <w:szCs w:val="22"/>
          <w:lang w:val="en" w:eastAsia="en-US"/>
        </w:rPr>
        <w:t>i</w:t>
      </w:r>
      <w:r w:rsidRPr="00850015">
        <w:rPr>
          <w:rFonts w:eastAsia="Calibri"/>
          <w:sz w:val="22"/>
          <w:szCs w:val="22"/>
          <w:lang w:val="en" w:eastAsia="en-US"/>
        </w:rPr>
        <w:t>fying production in agricultural organizations.</w:t>
      </w:r>
    </w:p>
    <w:p w:rsidR="00724342" w:rsidRPr="00850015" w:rsidRDefault="00724342" w:rsidP="001074AB">
      <w:pPr>
        <w:ind w:firstLine="426"/>
        <w:jc w:val="both"/>
        <w:rPr>
          <w:rFonts w:eastAsia="Calibri"/>
          <w:sz w:val="22"/>
          <w:szCs w:val="22"/>
          <w:lang w:eastAsia="en-US"/>
        </w:rPr>
      </w:pPr>
      <w:r w:rsidRPr="00850015">
        <w:rPr>
          <w:rFonts w:eastAsia="Calibri"/>
          <w:sz w:val="22"/>
          <w:szCs w:val="22"/>
          <w:lang w:eastAsia="en-US"/>
        </w:rPr>
        <w:t>КЛЮЧЕВЫЕ СЛОВА: сельскохозяйственное производство, диверсификация, стратегия развития предприятия.</w:t>
      </w:r>
    </w:p>
    <w:p w:rsidR="00724342" w:rsidRPr="00E30511" w:rsidRDefault="00724342" w:rsidP="001074AB">
      <w:pPr>
        <w:ind w:firstLine="426"/>
        <w:jc w:val="both"/>
        <w:rPr>
          <w:rFonts w:eastAsia="Calibri"/>
          <w:sz w:val="22"/>
          <w:szCs w:val="22"/>
          <w:lang w:val="en-US" w:eastAsia="en-US"/>
        </w:rPr>
      </w:pPr>
      <w:r w:rsidRPr="00850015">
        <w:rPr>
          <w:rFonts w:eastAsia="Courier New"/>
          <w:color w:val="000000"/>
          <w:sz w:val="22"/>
          <w:szCs w:val="22"/>
          <w:lang w:val="en-US" w:eastAsia="en-US"/>
        </w:rPr>
        <w:t>KEYWORDS</w:t>
      </w:r>
      <w:r w:rsidRPr="00850015">
        <w:rPr>
          <w:rFonts w:eastAsia="Calibri"/>
          <w:sz w:val="22"/>
          <w:szCs w:val="22"/>
          <w:lang w:val="en-US" w:eastAsia="en-US"/>
        </w:rPr>
        <w:t xml:space="preserve">: </w:t>
      </w:r>
      <w:r w:rsidRPr="00850015">
        <w:rPr>
          <w:rFonts w:eastAsia="Calibri"/>
          <w:sz w:val="22"/>
          <w:szCs w:val="22"/>
          <w:lang w:val="en" w:eastAsia="en-US"/>
        </w:rPr>
        <w:t>agricultural production, diversification, enterprise development strategy</w:t>
      </w:r>
      <w:r w:rsidR="00E30511" w:rsidRPr="00E30511">
        <w:rPr>
          <w:rFonts w:eastAsia="Calibri"/>
          <w:sz w:val="22"/>
          <w:szCs w:val="22"/>
          <w:lang w:val="en-US" w:eastAsia="en-US"/>
        </w:rPr>
        <w:t>.</w:t>
      </w:r>
    </w:p>
    <w:p w:rsidR="00E30511" w:rsidRPr="00E30511" w:rsidRDefault="00E30511" w:rsidP="001074AB">
      <w:pPr>
        <w:ind w:firstLine="426"/>
        <w:jc w:val="both"/>
        <w:rPr>
          <w:rFonts w:eastAsia="Calibri"/>
          <w:sz w:val="22"/>
          <w:szCs w:val="22"/>
          <w:lang w:val="en-US" w:eastAsia="en-US"/>
        </w:rPr>
      </w:pP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В аграрной экономике под диверсификацией производства п</w:t>
      </w:r>
      <w:r w:rsidRPr="00850015">
        <w:rPr>
          <w:rFonts w:eastAsia="Calibri"/>
          <w:sz w:val="22"/>
          <w:szCs w:val="22"/>
          <w:lang w:eastAsia="en-US"/>
        </w:rPr>
        <w:t>о</w:t>
      </w:r>
      <w:r w:rsidRPr="00850015">
        <w:rPr>
          <w:rFonts w:eastAsia="Calibri"/>
          <w:sz w:val="22"/>
          <w:szCs w:val="22"/>
          <w:lang w:eastAsia="en-US"/>
        </w:rPr>
        <w:t>нимается управленческая деятельность, направленная на развитие нескольких обособленных друг от друга видов производств, а также расширение ассортимента производимых изделий с целью повыш</w:t>
      </w:r>
      <w:r w:rsidRPr="00850015">
        <w:rPr>
          <w:rFonts w:eastAsia="Calibri"/>
          <w:sz w:val="22"/>
          <w:szCs w:val="22"/>
          <w:lang w:eastAsia="en-US"/>
        </w:rPr>
        <w:t>е</w:t>
      </w:r>
      <w:r w:rsidRPr="00850015">
        <w:rPr>
          <w:rFonts w:eastAsia="Calibri"/>
          <w:sz w:val="22"/>
          <w:szCs w:val="22"/>
          <w:lang w:eastAsia="en-US"/>
        </w:rPr>
        <w:t>ния его эффективности, получения экономической выгоды, предо</w:t>
      </w:r>
      <w:r w:rsidRPr="00850015">
        <w:rPr>
          <w:rFonts w:eastAsia="Calibri"/>
          <w:sz w:val="22"/>
          <w:szCs w:val="22"/>
          <w:lang w:eastAsia="en-US"/>
        </w:rPr>
        <w:t>т</w:t>
      </w:r>
      <w:r w:rsidRPr="00850015">
        <w:rPr>
          <w:rFonts w:eastAsia="Calibri"/>
          <w:sz w:val="22"/>
          <w:szCs w:val="22"/>
          <w:lang w:eastAsia="en-US"/>
        </w:rPr>
        <w:t xml:space="preserve">вращения банкротства [1, 4]. </w:t>
      </w:r>
    </w:p>
    <w:p w:rsidR="00724342" w:rsidRPr="00850015" w:rsidRDefault="00724342" w:rsidP="001074AB">
      <w:pPr>
        <w:autoSpaceDE w:val="0"/>
        <w:autoSpaceDN w:val="0"/>
        <w:adjustRightInd w:val="0"/>
        <w:ind w:firstLine="426"/>
        <w:jc w:val="both"/>
        <w:rPr>
          <w:rFonts w:eastAsia="Calibri"/>
          <w:spacing w:val="-4"/>
          <w:sz w:val="22"/>
          <w:szCs w:val="22"/>
          <w:lang w:eastAsia="en-US"/>
        </w:rPr>
      </w:pPr>
      <w:r w:rsidRPr="00850015">
        <w:rPr>
          <w:rFonts w:eastAsia="Calibri"/>
          <w:sz w:val="22"/>
          <w:szCs w:val="22"/>
          <w:lang w:eastAsia="en-US"/>
        </w:rPr>
        <w:t>Мы определим диверсификацию как процесс повышения эк</w:t>
      </w:r>
      <w:r w:rsidRPr="00850015">
        <w:rPr>
          <w:rFonts w:eastAsia="Calibri"/>
          <w:sz w:val="22"/>
          <w:szCs w:val="22"/>
          <w:lang w:eastAsia="en-US"/>
        </w:rPr>
        <w:t>о</w:t>
      </w:r>
      <w:r w:rsidRPr="00850015">
        <w:rPr>
          <w:rFonts w:eastAsia="Calibri"/>
          <w:sz w:val="22"/>
          <w:szCs w:val="22"/>
          <w:lang w:eastAsia="en-US"/>
        </w:rPr>
        <w:t xml:space="preserve">номической эффективности деятельности предприятия, </w:t>
      </w:r>
      <w:r w:rsidRPr="00850015">
        <w:rPr>
          <w:rFonts w:eastAsia="Calibri"/>
          <w:spacing w:val="-4"/>
          <w:sz w:val="22"/>
          <w:szCs w:val="22"/>
          <w:lang w:eastAsia="en-US"/>
        </w:rPr>
        <w:t>в основе которого лежит процесс развития перспективных направлений прои</w:t>
      </w:r>
      <w:r w:rsidRPr="00850015">
        <w:rPr>
          <w:rFonts w:eastAsia="Calibri"/>
          <w:spacing w:val="-4"/>
          <w:sz w:val="22"/>
          <w:szCs w:val="22"/>
          <w:lang w:eastAsia="en-US"/>
        </w:rPr>
        <w:t>з</w:t>
      </w:r>
      <w:r w:rsidRPr="00850015">
        <w:rPr>
          <w:rFonts w:eastAsia="Calibri"/>
          <w:spacing w:val="-4"/>
          <w:sz w:val="22"/>
          <w:szCs w:val="22"/>
          <w:lang w:eastAsia="en-US"/>
        </w:rPr>
        <w:t>водства и освоение новой или увеличение занимаемой доли рынка.</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Диверсификация является элементом стратегического управл</w:t>
      </w:r>
      <w:r w:rsidRPr="00850015">
        <w:rPr>
          <w:rFonts w:eastAsia="Calibri"/>
          <w:sz w:val="22"/>
          <w:szCs w:val="22"/>
          <w:lang w:eastAsia="en-US"/>
        </w:rPr>
        <w:t>е</w:t>
      </w:r>
      <w:r w:rsidRPr="00850015">
        <w:rPr>
          <w:rFonts w:eastAsia="Calibri"/>
          <w:sz w:val="22"/>
          <w:szCs w:val="22"/>
          <w:lang w:eastAsia="en-US"/>
        </w:rPr>
        <w:t>ния, связанным с необходимостью производителей сохранить свое место на высококонкурентном рынке, что достигается за счет с</w:t>
      </w:r>
      <w:r w:rsidRPr="00850015">
        <w:rPr>
          <w:rFonts w:eastAsia="Calibri"/>
          <w:sz w:val="22"/>
          <w:szCs w:val="22"/>
          <w:lang w:eastAsia="en-US"/>
        </w:rPr>
        <w:t>о</w:t>
      </w:r>
      <w:r w:rsidRPr="00850015">
        <w:rPr>
          <w:rFonts w:eastAsia="Calibri"/>
          <w:sz w:val="22"/>
          <w:szCs w:val="22"/>
          <w:lang w:eastAsia="en-US"/>
        </w:rPr>
        <w:t xml:space="preserve">здания дополнительных конкурентных преимуществ. </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Главная цель диверсификации – увеличение прибыли произв</w:t>
      </w:r>
      <w:r w:rsidRPr="00850015">
        <w:rPr>
          <w:rFonts w:eastAsia="Calibri"/>
          <w:sz w:val="22"/>
          <w:szCs w:val="22"/>
          <w:lang w:eastAsia="en-US"/>
        </w:rPr>
        <w:t>о</w:t>
      </w:r>
      <w:r w:rsidRPr="00850015">
        <w:rPr>
          <w:rFonts w:eastAsia="Calibri"/>
          <w:sz w:val="22"/>
          <w:szCs w:val="22"/>
          <w:lang w:eastAsia="en-US"/>
        </w:rPr>
        <w:t>дителя и снижение характерных для его деятельности рисков за счет доли в различных отраслях производства. Производители с в</w:t>
      </w:r>
      <w:r w:rsidRPr="00850015">
        <w:rPr>
          <w:rFonts w:eastAsia="Calibri"/>
          <w:sz w:val="22"/>
          <w:szCs w:val="22"/>
          <w:lang w:eastAsia="en-US"/>
        </w:rPr>
        <w:t>ы</w:t>
      </w:r>
      <w:r w:rsidRPr="00850015">
        <w:rPr>
          <w:rFonts w:eastAsia="Calibri"/>
          <w:sz w:val="22"/>
          <w:szCs w:val="22"/>
          <w:lang w:eastAsia="en-US"/>
        </w:rPr>
        <w:t>соким уровнем диверсификации производства более устойчивы в конкурентной борьбе, у них уменьшен риск убытков от конъюн</w:t>
      </w:r>
      <w:r w:rsidRPr="00850015">
        <w:rPr>
          <w:rFonts w:eastAsia="Calibri"/>
          <w:sz w:val="22"/>
          <w:szCs w:val="22"/>
          <w:lang w:eastAsia="en-US"/>
        </w:rPr>
        <w:t>к</w:t>
      </w:r>
      <w:r w:rsidRPr="00850015">
        <w:rPr>
          <w:rFonts w:eastAsia="Calibri"/>
          <w:sz w:val="22"/>
          <w:szCs w:val="22"/>
          <w:lang w:eastAsia="en-US"/>
        </w:rPr>
        <w:t>турных, структурных и циклических колебаний [2, 3].</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Выбор диверсификации как стратегии развития сельскохозя</w:t>
      </w:r>
      <w:r w:rsidRPr="00850015">
        <w:rPr>
          <w:rFonts w:eastAsia="Calibri"/>
          <w:sz w:val="22"/>
          <w:szCs w:val="22"/>
          <w:lang w:eastAsia="en-US"/>
        </w:rPr>
        <w:t>й</w:t>
      </w:r>
      <w:r w:rsidRPr="00850015">
        <w:rPr>
          <w:rFonts w:eastAsia="Calibri"/>
          <w:sz w:val="22"/>
          <w:szCs w:val="22"/>
          <w:lang w:eastAsia="en-US"/>
        </w:rPr>
        <w:t>ственного предприятия должен опираться на системный подход, в основе которого лежит рассмотрение объекта как целостного мн</w:t>
      </w:r>
      <w:r w:rsidRPr="00850015">
        <w:rPr>
          <w:rFonts w:eastAsia="Calibri"/>
          <w:sz w:val="22"/>
          <w:szCs w:val="22"/>
          <w:lang w:eastAsia="en-US"/>
        </w:rPr>
        <w:t>о</w:t>
      </w:r>
      <w:r w:rsidRPr="00850015">
        <w:rPr>
          <w:rFonts w:eastAsia="Calibri"/>
          <w:sz w:val="22"/>
          <w:szCs w:val="22"/>
          <w:lang w:eastAsia="en-US"/>
        </w:rPr>
        <w:t>жества элементов совокупности отношений и связей между ними. Представление сельскохозяйственного предприятия как системы будет способствовать разработке принципов и методов роста и ра</w:t>
      </w:r>
      <w:r w:rsidRPr="00850015">
        <w:rPr>
          <w:rFonts w:eastAsia="Calibri"/>
          <w:sz w:val="22"/>
          <w:szCs w:val="22"/>
          <w:lang w:eastAsia="en-US"/>
        </w:rPr>
        <w:t>з</w:t>
      </w:r>
      <w:r w:rsidRPr="00850015">
        <w:rPr>
          <w:rFonts w:eastAsia="Calibri"/>
          <w:sz w:val="22"/>
          <w:szCs w:val="22"/>
          <w:lang w:eastAsia="en-US"/>
        </w:rPr>
        <w:t>вития экономики сельского хозяйства региона с учетом его спец</w:t>
      </w:r>
      <w:r w:rsidRPr="00850015">
        <w:rPr>
          <w:rFonts w:eastAsia="Calibri"/>
          <w:sz w:val="22"/>
          <w:szCs w:val="22"/>
          <w:lang w:eastAsia="en-US"/>
        </w:rPr>
        <w:t>и</w:t>
      </w:r>
      <w:r w:rsidRPr="00850015">
        <w:rPr>
          <w:rFonts w:eastAsia="Calibri"/>
          <w:sz w:val="22"/>
          <w:szCs w:val="22"/>
          <w:lang w:eastAsia="en-US"/>
        </w:rPr>
        <w:t>фики. Изучение научных трудов отечественных специалистов в а</w:t>
      </w:r>
      <w:r w:rsidRPr="00850015">
        <w:rPr>
          <w:rFonts w:eastAsia="Calibri"/>
          <w:sz w:val="22"/>
          <w:szCs w:val="22"/>
          <w:lang w:eastAsia="en-US"/>
        </w:rPr>
        <w:t>г</w:t>
      </w:r>
      <w:r w:rsidRPr="00850015">
        <w:rPr>
          <w:rFonts w:eastAsia="Calibri"/>
          <w:sz w:val="22"/>
          <w:szCs w:val="22"/>
          <w:lang w:eastAsia="en-US"/>
        </w:rPr>
        <w:lastRenderedPageBreak/>
        <w:t>рарной экономике позволили нам определить и систематизировать основные стратегии диверсификации производства в сельскохозя</w:t>
      </w:r>
      <w:r w:rsidRPr="00850015">
        <w:rPr>
          <w:rFonts w:eastAsia="Calibri"/>
          <w:sz w:val="22"/>
          <w:szCs w:val="22"/>
          <w:lang w:eastAsia="en-US"/>
        </w:rPr>
        <w:t>й</w:t>
      </w:r>
      <w:r w:rsidRPr="00850015">
        <w:rPr>
          <w:rFonts w:eastAsia="Calibri"/>
          <w:sz w:val="22"/>
          <w:szCs w:val="22"/>
          <w:lang w:eastAsia="en-US"/>
        </w:rPr>
        <w:t>ственных организациях.</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В агропромышленном комплексе получили распространение две основные стратегии диверсификации производства [3,5]: углу</w:t>
      </w:r>
      <w:r w:rsidRPr="00850015">
        <w:rPr>
          <w:rFonts w:eastAsia="Calibri"/>
          <w:sz w:val="22"/>
          <w:szCs w:val="22"/>
          <w:lang w:eastAsia="en-US"/>
        </w:rPr>
        <w:t>б</w:t>
      </w:r>
      <w:r w:rsidRPr="00850015">
        <w:rPr>
          <w:rFonts w:eastAsia="Calibri"/>
          <w:sz w:val="22"/>
          <w:szCs w:val="22"/>
          <w:lang w:eastAsia="en-US"/>
        </w:rPr>
        <w:t>ление переработки сельскохозяйственного сырья и доведение гот</w:t>
      </w:r>
      <w:r w:rsidRPr="00850015">
        <w:rPr>
          <w:rFonts w:eastAsia="Calibri"/>
          <w:sz w:val="22"/>
          <w:szCs w:val="22"/>
          <w:lang w:eastAsia="en-US"/>
        </w:rPr>
        <w:t>о</w:t>
      </w:r>
      <w:r w:rsidRPr="00850015">
        <w:rPr>
          <w:rFonts w:eastAsia="Calibri"/>
          <w:sz w:val="22"/>
          <w:szCs w:val="22"/>
          <w:lang w:eastAsia="en-US"/>
        </w:rPr>
        <w:t>вой продукции до конечного потребителя и развитие высоко пр</w:t>
      </w:r>
      <w:r w:rsidRPr="00850015">
        <w:rPr>
          <w:rFonts w:eastAsia="Calibri"/>
          <w:sz w:val="22"/>
          <w:szCs w:val="22"/>
          <w:lang w:eastAsia="en-US"/>
        </w:rPr>
        <w:t>и</w:t>
      </w:r>
      <w:r w:rsidRPr="00850015">
        <w:rPr>
          <w:rFonts w:eastAsia="Calibri"/>
          <w:sz w:val="22"/>
          <w:szCs w:val="22"/>
          <w:lang w:eastAsia="en-US"/>
        </w:rPr>
        <w:t>быльных производств между предприятиями, не связанных с сел</w:t>
      </w:r>
      <w:r w:rsidRPr="00850015">
        <w:rPr>
          <w:rFonts w:eastAsia="Calibri"/>
          <w:sz w:val="22"/>
          <w:szCs w:val="22"/>
          <w:lang w:eastAsia="en-US"/>
        </w:rPr>
        <w:t>ь</w:t>
      </w:r>
      <w:r w:rsidRPr="00850015">
        <w:rPr>
          <w:rFonts w:eastAsia="Calibri"/>
          <w:sz w:val="22"/>
          <w:szCs w:val="22"/>
          <w:lang w:eastAsia="en-US"/>
        </w:rPr>
        <w:t xml:space="preserve">ским хозяйством, что дает возможность покрывать убытки отраслей растениеводства и животноводства. </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Всестороннее познание экономической категории и механизма проявления диверсификации свидетельствует об объективной нео</w:t>
      </w:r>
      <w:r w:rsidRPr="00850015">
        <w:rPr>
          <w:rFonts w:eastAsia="Calibri"/>
          <w:sz w:val="22"/>
          <w:szCs w:val="22"/>
          <w:lang w:eastAsia="en-US"/>
        </w:rPr>
        <w:t>б</w:t>
      </w:r>
      <w:r w:rsidRPr="00850015">
        <w:rPr>
          <w:rFonts w:eastAsia="Calibri"/>
          <w:sz w:val="22"/>
          <w:szCs w:val="22"/>
          <w:lang w:eastAsia="en-US"/>
        </w:rPr>
        <w:t>ходимости и закономерности ее проявления и выступает предп</w:t>
      </w:r>
      <w:r w:rsidRPr="00850015">
        <w:rPr>
          <w:rFonts w:eastAsia="Calibri"/>
          <w:sz w:val="22"/>
          <w:szCs w:val="22"/>
          <w:lang w:eastAsia="en-US"/>
        </w:rPr>
        <w:t>о</w:t>
      </w:r>
      <w:r w:rsidRPr="00850015">
        <w:rPr>
          <w:rFonts w:eastAsia="Calibri"/>
          <w:sz w:val="22"/>
          <w:szCs w:val="22"/>
          <w:lang w:eastAsia="en-US"/>
        </w:rPr>
        <w:t>сылкой управления эффективностью производства. Ее конкурен</w:t>
      </w:r>
      <w:r w:rsidRPr="00850015">
        <w:rPr>
          <w:rFonts w:eastAsia="Calibri"/>
          <w:sz w:val="22"/>
          <w:szCs w:val="22"/>
          <w:lang w:eastAsia="en-US"/>
        </w:rPr>
        <w:t>т</w:t>
      </w:r>
      <w:r w:rsidRPr="00850015">
        <w:rPr>
          <w:rFonts w:eastAsia="Calibri"/>
          <w:sz w:val="22"/>
          <w:szCs w:val="22"/>
          <w:lang w:eastAsia="en-US"/>
        </w:rPr>
        <w:t>ные стратегии тесным образом связаны с диверсификацией (разн</w:t>
      </w:r>
      <w:r w:rsidRPr="00850015">
        <w:rPr>
          <w:rFonts w:eastAsia="Calibri"/>
          <w:sz w:val="22"/>
          <w:szCs w:val="22"/>
          <w:lang w:eastAsia="en-US"/>
        </w:rPr>
        <w:t>о</w:t>
      </w:r>
      <w:r w:rsidRPr="00850015">
        <w:rPr>
          <w:rFonts w:eastAsia="Calibri"/>
          <w:sz w:val="22"/>
          <w:szCs w:val="22"/>
          <w:lang w:eastAsia="en-US"/>
        </w:rPr>
        <w:t>образием, разнонаправленностью деятельности предприятия), что обеспечивает предприятию определенные преимущества по сравн</w:t>
      </w:r>
      <w:r w:rsidRPr="00850015">
        <w:rPr>
          <w:rFonts w:eastAsia="Calibri"/>
          <w:sz w:val="22"/>
          <w:szCs w:val="22"/>
          <w:lang w:eastAsia="en-US"/>
        </w:rPr>
        <w:t>е</w:t>
      </w:r>
      <w:r w:rsidRPr="00850015">
        <w:rPr>
          <w:rFonts w:eastAsia="Calibri"/>
          <w:sz w:val="22"/>
          <w:szCs w:val="22"/>
          <w:lang w:eastAsia="en-US"/>
        </w:rPr>
        <w:t xml:space="preserve">нию со специализированной деятельностью. </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Эффект от диверсификации проявляется в повышении общей результативности функционирования предприятия, в действии ряда факторов роста в условиях, созданных диверсификацией. Поэтому особое место при обосновании эффективности диверсификации производства сельхозтоваропроизводителей необходимо уделить процессу принятия и реализации управленческих решений в рамках планов стратегического развития предприятия.</w:t>
      </w:r>
    </w:p>
    <w:p w:rsidR="00724342" w:rsidRPr="00850015" w:rsidRDefault="00724342" w:rsidP="001074AB">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Реализация стратегии диверсификации не всегда приносит сельхозпредприятиям ожидаемые результаты, поэтому при прин</w:t>
      </w:r>
      <w:r w:rsidRPr="00850015">
        <w:rPr>
          <w:rFonts w:eastAsia="Calibri"/>
          <w:sz w:val="22"/>
          <w:szCs w:val="22"/>
          <w:lang w:eastAsia="en-US"/>
        </w:rPr>
        <w:t>я</w:t>
      </w:r>
      <w:r w:rsidRPr="00850015">
        <w:rPr>
          <w:rFonts w:eastAsia="Calibri"/>
          <w:sz w:val="22"/>
          <w:szCs w:val="22"/>
          <w:lang w:eastAsia="en-US"/>
        </w:rPr>
        <w:t>тии управленческого решения и в процессе его реализации необх</w:t>
      </w:r>
      <w:r w:rsidRPr="00850015">
        <w:rPr>
          <w:rFonts w:eastAsia="Calibri"/>
          <w:sz w:val="22"/>
          <w:szCs w:val="22"/>
          <w:lang w:eastAsia="en-US"/>
        </w:rPr>
        <w:t>о</w:t>
      </w:r>
      <w:r w:rsidRPr="00850015">
        <w:rPr>
          <w:rFonts w:eastAsia="Calibri"/>
          <w:sz w:val="22"/>
          <w:szCs w:val="22"/>
          <w:lang w:eastAsia="en-US"/>
        </w:rPr>
        <w:t>димо оценивать эффективность принимаемых мер, а также рассма</w:t>
      </w:r>
      <w:r w:rsidRPr="00850015">
        <w:rPr>
          <w:rFonts w:eastAsia="Calibri"/>
          <w:sz w:val="22"/>
          <w:szCs w:val="22"/>
          <w:lang w:eastAsia="en-US"/>
        </w:rPr>
        <w:t>т</w:t>
      </w:r>
      <w:r w:rsidRPr="00850015">
        <w:rPr>
          <w:rFonts w:eastAsia="Calibri"/>
          <w:sz w:val="22"/>
          <w:szCs w:val="22"/>
          <w:lang w:eastAsia="en-US"/>
        </w:rPr>
        <w:t xml:space="preserve">ривать возможные альтернативы принятому решению, корректируя свои действия или изменяя направления деятельности. </w:t>
      </w:r>
    </w:p>
    <w:p w:rsidR="00724342" w:rsidRPr="00850015" w:rsidRDefault="00724342" w:rsidP="00E30511">
      <w:pPr>
        <w:autoSpaceDE w:val="0"/>
        <w:autoSpaceDN w:val="0"/>
        <w:adjustRightInd w:val="0"/>
        <w:ind w:firstLine="426"/>
        <w:jc w:val="both"/>
        <w:rPr>
          <w:rFonts w:eastAsia="Calibri"/>
          <w:sz w:val="22"/>
          <w:szCs w:val="22"/>
          <w:lang w:eastAsia="en-US"/>
        </w:rPr>
      </w:pPr>
      <w:r w:rsidRPr="00850015">
        <w:rPr>
          <w:rFonts w:eastAsia="Calibri"/>
          <w:sz w:val="22"/>
          <w:szCs w:val="22"/>
          <w:lang w:eastAsia="en-US"/>
        </w:rPr>
        <w:t>Из вышесказанного следует, что выбор стратегии диверсиф</w:t>
      </w:r>
      <w:r w:rsidRPr="00850015">
        <w:rPr>
          <w:rFonts w:eastAsia="Calibri"/>
          <w:sz w:val="22"/>
          <w:szCs w:val="22"/>
          <w:lang w:eastAsia="en-US"/>
        </w:rPr>
        <w:t>и</w:t>
      </w:r>
      <w:r w:rsidRPr="00850015">
        <w:rPr>
          <w:rFonts w:eastAsia="Calibri"/>
          <w:sz w:val="22"/>
          <w:szCs w:val="22"/>
          <w:lang w:eastAsia="en-US"/>
        </w:rPr>
        <w:t>кации производственной деятельности сельскохозяйственного предприятия определяется его внутренним потенциалом и потенц</w:t>
      </w:r>
      <w:r w:rsidRPr="00850015">
        <w:rPr>
          <w:rFonts w:eastAsia="Calibri"/>
          <w:sz w:val="22"/>
          <w:szCs w:val="22"/>
          <w:lang w:eastAsia="en-US"/>
        </w:rPr>
        <w:t>и</w:t>
      </w:r>
      <w:r w:rsidRPr="00850015">
        <w:rPr>
          <w:rFonts w:eastAsia="Calibri"/>
          <w:sz w:val="22"/>
          <w:szCs w:val="22"/>
          <w:lang w:eastAsia="en-US"/>
        </w:rPr>
        <w:t>алом внешней экономической среды.</w:t>
      </w:r>
    </w:p>
    <w:p w:rsidR="00724342" w:rsidRPr="00850015" w:rsidRDefault="00724342" w:rsidP="00850015">
      <w:pPr>
        <w:jc w:val="center"/>
        <w:rPr>
          <w:rFonts w:eastAsia="Calibri"/>
          <w:sz w:val="22"/>
          <w:szCs w:val="22"/>
          <w:lang w:val="en-US" w:eastAsia="en-US"/>
        </w:rPr>
      </w:pPr>
      <w:r w:rsidRPr="00850015">
        <w:rPr>
          <w:rFonts w:eastAsia="Calibri"/>
          <w:sz w:val="22"/>
          <w:szCs w:val="22"/>
          <w:lang w:eastAsia="en-US"/>
        </w:rPr>
        <w:t>Список литературы</w:t>
      </w:r>
    </w:p>
    <w:p w:rsidR="00724342" w:rsidRPr="00850015" w:rsidRDefault="00724342" w:rsidP="00850015">
      <w:pPr>
        <w:numPr>
          <w:ilvl w:val="0"/>
          <w:numId w:val="75"/>
        </w:numPr>
        <w:ind w:left="0" w:firstLine="425"/>
        <w:jc w:val="both"/>
        <w:rPr>
          <w:rFonts w:eastAsia="Calibri"/>
          <w:sz w:val="22"/>
          <w:szCs w:val="22"/>
          <w:lang w:eastAsia="en-US"/>
        </w:rPr>
      </w:pPr>
      <w:r w:rsidRPr="00850015">
        <w:rPr>
          <w:rFonts w:eastAsia="Calibri"/>
          <w:sz w:val="22"/>
          <w:szCs w:val="22"/>
          <w:lang w:eastAsia="en-US"/>
        </w:rPr>
        <w:t>Бершицкий, Ю. И. Экономическое обоснование направл</w:t>
      </w:r>
      <w:r w:rsidRPr="00850015">
        <w:rPr>
          <w:rFonts w:eastAsia="Calibri"/>
          <w:sz w:val="22"/>
          <w:szCs w:val="22"/>
          <w:lang w:eastAsia="en-US"/>
        </w:rPr>
        <w:t>е</w:t>
      </w:r>
      <w:r w:rsidRPr="00850015">
        <w:rPr>
          <w:rFonts w:eastAsia="Calibri"/>
          <w:sz w:val="22"/>
          <w:szCs w:val="22"/>
          <w:lang w:eastAsia="en-US"/>
        </w:rPr>
        <w:t>ний развития виноградарства Краснодарского края / Ю. И. Берши</w:t>
      </w:r>
      <w:r w:rsidRPr="00850015">
        <w:rPr>
          <w:rFonts w:eastAsia="Calibri"/>
          <w:sz w:val="22"/>
          <w:szCs w:val="22"/>
          <w:lang w:eastAsia="en-US"/>
        </w:rPr>
        <w:t>ц</w:t>
      </w:r>
      <w:r w:rsidRPr="00850015">
        <w:rPr>
          <w:rFonts w:eastAsia="Calibri"/>
          <w:sz w:val="22"/>
          <w:szCs w:val="22"/>
          <w:lang w:eastAsia="en-US"/>
        </w:rPr>
        <w:lastRenderedPageBreak/>
        <w:t>кий, О. А. Сухарева, П. В. Михайлушкин. – Краснодар, 2015. – 166 с.</w:t>
      </w:r>
    </w:p>
    <w:p w:rsidR="00724342" w:rsidRPr="00850015" w:rsidRDefault="00724342" w:rsidP="00850015">
      <w:pPr>
        <w:numPr>
          <w:ilvl w:val="0"/>
          <w:numId w:val="75"/>
        </w:numPr>
        <w:ind w:left="0" w:firstLine="425"/>
        <w:jc w:val="both"/>
        <w:rPr>
          <w:sz w:val="22"/>
          <w:szCs w:val="22"/>
        </w:rPr>
      </w:pPr>
      <w:r w:rsidRPr="00850015">
        <w:rPr>
          <w:sz w:val="22"/>
          <w:szCs w:val="22"/>
        </w:rPr>
        <w:t>Соколова А. П. Риск в агробизнесе и определение мер по его снижению / А. П. Соколова, С. А. Устян, С. А. Мелкумов // Экон</w:t>
      </w:r>
      <w:r w:rsidRPr="00850015">
        <w:rPr>
          <w:sz w:val="22"/>
          <w:szCs w:val="22"/>
        </w:rPr>
        <w:t>о</w:t>
      </w:r>
      <w:r w:rsidRPr="00850015">
        <w:rPr>
          <w:sz w:val="22"/>
          <w:szCs w:val="22"/>
        </w:rPr>
        <w:t>мика и предпринимательство. – 2017. – №1 (78). – С. 951–956.</w:t>
      </w:r>
    </w:p>
    <w:p w:rsidR="00724342" w:rsidRPr="00850015" w:rsidRDefault="00724342" w:rsidP="00850015">
      <w:pPr>
        <w:numPr>
          <w:ilvl w:val="0"/>
          <w:numId w:val="75"/>
        </w:numPr>
        <w:ind w:left="0" w:firstLine="425"/>
        <w:jc w:val="both"/>
        <w:rPr>
          <w:sz w:val="22"/>
          <w:szCs w:val="22"/>
        </w:rPr>
      </w:pPr>
      <w:r w:rsidRPr="00850015">
        <w:rPr>
          <w:rFonts w:eastAsia="Calibri"/>
          <w:sz w:val="22"/>
          <w:szCs w:val="22"/>
          <w:lang w:eastAsia="en-US"/>
        </w:rPr>
        <w:t>Соколова, А. П. Экономическая эффективность диверсиф</w:t>
      </w:r>
      <w:r w:rsidRPr="00850015">
        <w:rPr>
          <w:rFonts w:eastAsia="Calibri"/>
          <w:sz w:val="22"/>
          <w:szCs w:val="22"/>
          <w:lang w:eastAsia="en-US"/>
        </w:rPr>
        <w:t>и</w:t>
      </w:r>
      <w:r w:rsidRPr="00850015">
        <w:rPr>
          <w:rFonts w:eastAsia="Calibri"/>
          <w:sz w:val="22"/>
          <w:szCs w:val="22"/>
          <w:lang w:eastAsia="en-US"/>
        </w:rPr>
        <w:t>кации производства в аграрном секторе экономики / А. П. Сокол</w:t>
      </w:r>
      <w:r w:rsidRPr="00850015">
        <w:rPr>
          <w:rFonts w:eastAsia="Calibri"/>
          <w:sz w:val="22"/>
          <w:szCs w:val="22"/>
          <w:lang w:eastAsia="en-US"/>
        </w:rPr>
        <w:t>о</w:t>
      </w:r>
      <w:r w:rsidRPr="00850015">
        <w:rPr>
          <w:rFonts w:eastAsia="Calibri"/>
          <w:sz w:val="22"/>
          <w:szCs w:val="22"/>
          <w:lang w:eastAsia="en-US"/>
        </w:rPr>
        <w:t xml:space="preserve">ва, Е. И. Гилек, И. Е. Горбунова // </w:t>
      </w:r>
      <w:r w:rsidRPr="00850015">
        <w:rPr>
          <w:sz w:val="22"/>
          <w:szCs w:val="22"/>
        </w:rPr>
        <w:t>Закономерности и тенденции формирования системы финансово - кредитных отношений. Сб. ст.по итогам Междунар. науч.-практ. конф.. 2017. – С. 234–241.</w:t>
      </w:r>
    </w:p>
    <w:p w:rsidR="00724342" w:rsidRPr="00850015" w:rsidRDefault="00724342" w:rsidP="00850015">
      <w:pPr>
        <w:numPr>
          <w:ilvl w:val="0"/>
          <w:numId w:val="75"/>
        </w:numPr>
        <w:ind w:left="0" w:firstLine="425"/>
        <w:jc w:val="both"/>
        <w:rPr>
          <w:sz w:val="22"/>
          <w:szCs w:val="22"/>
        </w:rPr>
      </w:pPr>
      <w:r w:rsidRPr="00850015">
        <w:rPr>
          <w:sz w:val="22"/>
          <w:szCs w:val="22"/>
        </w:rPr>
        <w:t>Стратегия развития аграрной сферы экономики: проблемы и пути решения / А. И. Алтухов, А. Н. Анищенко, Е. И. Артемова и др. – Краснодар: Просвещение-Юг, 2017. – 703 с.</w:t>
      </w:r>
    </w:p>
    <w:p w:rsidR="00724342" w:rsidRPr="00850015" w:rsidRDefault="00724342" w:rsidP="00850015">
      <w:pPr>
        <w:numPr>
          <w:ilvl w:val="0"/>
          <w:numId w:val="75"/>
        </w:numPr>
        <w:ind w:left="0" w:firstLine="425"/>
        <w:jc w:val="both"/>
        <w:rPr>
          <w:sz w:val="22"/>
          <w:szCs w:val="22"/>
          <w:lang w:val="en-US"/>
        </w:rPr>
      </w:pPr>
      <w:r w:rsidRPr="00850015">
        <w:rPr>
          <w:rFonts w:eastAsia="Calibri"/>
          <w:sz w:val="22"/>
          <w:szCs w:val="22"/>
          <w:lang w:val="en-US" w:eastAsia="en-US"/>
        </w:rPr>
        <w:t xml:space="preserve">Sukhareva, O. A. </w:t>
      </w:r>
      <w:r w:rsidRPr="00850015">
        <w:rPr>
          <w:rFonts w:eastAsia="Calibri"/>
          <w:bCs/>
          <w:color w:val="000000"/>
          <w:sz w:val="22"/>
          <w:szCs w:val="22"/>
          <w:lang w:val="en-US" w:eastAsia="en-US"/>
        </w:rPr>
        <w:t>Relevance and perspective directions for d</w:t>
      </w:r>
      <w:r w:rsidRPr="00850015">
        <w:rPr>
          <w:rFonts w:eastAsia="Calibri"/>
          <w:bCs/>
          <w:color w:val="000000"/>
          <w:sz w:val="22"/>
          <w:szCs w:val="22"/>
          <w:lang w:val="en-US" w:eastAsia="en-US"/>
        </w:rPr>
        <w:t>e</w:t>
      </w:r>
      <w:r w:rsidRPr="00850015">
        <w:rPr>
          <w:rFonts w:eastAsia="Calibri"/>
          <w:bCs/>
          <w:color w:val="000000"/>
          <w:sz w:val="22"/>
          <w:szCs w:val="22"/>
          <w:lang w:val="en-US" w:eastAsia="en-US"/>
        </w:rPr>
        <w:t>velopment infrastructure of plant growing branch in the conditions of the south of russia</w:t>
      </w:r>
      <w:r w:rsidRPr="00850015">
        <w:rPr>
          <w:rFonts w:eastAsia="Calibri"/>
          <w:b/>
          <w:bCs/>
          <w:color w:val="000000"/>
          <w:sz w:val="22"/>
          <w:szCs w:val="22"/>
          <w:lang w:val="en-US" w:eastAsia="en-US"/>
        </w:rPr>
        <w:t xml:space="preserve"> / </w:t>
      </w:r>
      <w:r w:rsidRPr="00850015">
        <w:rPr>
          <w:rFonts w:eastAsia="Calibri"/>
          <w:sz w:val="22"/>
          <w:szCs w:val="22"/>
          <w:lang w:val="en-US" w:eastAsia="en-US"/>
        </w:rPr>
        <w:t>Sukhareva, O. A., V. S. Novikova // Modern European researches. 2017 – № 2. – p. 137–144.</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850015" w:rsidRPr="00724342" w:rsidRDefault="00850015"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jc w:val="both"/>
        <w:rPr>
          <w:rFonts w:eastAsia="Calibri"/>
          <w:color w:val="000000"/>
          <w:sz w:val="22"/>
          <w:szCs w:val="22"/>
          <w:lang w:eastAsia="en-US"/>
        </w:rPr>
      </w:pPr>
      <w:r w:rsidRPr="00724342">
        <w:rPr>
          <w:rFonts w:eastAsia="Calibri"/>
          <w:color w:val="000000"/>
          <w:sz w:val="22"/>
          <w:szCs w:val="22"/>
          <w:lang w:eastAsia="en-US"/>
        </w:rPr>
        <w:t>УДК 330.322:005.13</w:t>
      </w:r>
    </w:p>
    <w:p w:rsidR="00724342" w:rsidRPr="00724342" w:rsidRDefault="00724342" w:rsidP="00724342">
      <w:pPr>
        <w:jc w:val="center"/>
        <w:rPr>
          <w:rFonts w:eastAsia="Calibri"/>
          <w:color w:val="000000"/>
          <w:sz w:val="22"/>
          <w:szCs w:val="22"/>
          <w:lang w:eastAsia="en-US"/>
        </w:rPr>
      </w:pPr>
    </w:p>
    <w:p w:rsidR="00724342" w:rsidRPr="00724342" w:rsidRDefault="00724342" w:rsidP="00724342">
      <w:pPr>
        <w:jc w:val="center"/>
        <w:rPr>
          <w:rFonts w:eastAsia="Calibri"/>
          <w:b/>
          <w:color w:val="000000"/>
          <w:sz w:val="24"/>
          <w:szCs w:val="24"/>
          <w:lang w:eastAsia="en-US"/>
        </w:rPr>
      </w:pPr>
      <w:r w:rsidRPr="00724342">
        <w:rPr>
          <w:rFonts w:eastAsia="Calibri"/>
          <w:b/>
          <w:color w:val="000000"/>
          <w:sz w:val="24"/>
          <w:szCs w:val="24"/>
          <w:lang w:eastAsia="en-US"/>
        </w:rPr>
        <w:t xml:space="preserve">Особенности управления инвестиционными проектами </w:t>
      </w:r>
    </w:p>
    <w:p w:rsidR="00724342" w:rsidRPr="00724342" w:rsidRDefault="00724342" w:rsidP="00724342">
      <w:pPr>
        <w:jc w:val="center"/>
        <w:rPr>
          <w:rFonts w:eastAsia="Calibri"/>
          <w:b/>
          <w:color w:val="000000"/>
          <w:sz w:val="24"/>
          <w:szCs w:val="24"/>
          <w:lang w:eastAsia="en-US"/>
        </w:rPr>
      </w:pPr>
      <w:r w:rsidRPr="00724342">
        <w:rPr>
          <w:rFonts w:eastAsia="Calibri"/>
          <w:b/>
          <w:color w:val="000000"/>
          <w:sz w:val="24"/>
          <w:szCs w:val="24"/>
          <w:lang w:eastAsia="en-US"/>
        </w:rPr>
        <w:t>в условиях современного рынка</w:t>
      </w:r>
    </w:p>
    <w:p w:rsidR="00724342" w:rsidRPr="00724342" w:rsidRDefault="00724342" w:rsidP="00724342">
      <w:pPr>
        <w:jc w:val="center"/>
        <w:rPr>
          <w:rFonts w:eastAsia="Calibri"/>
          <w:b/>
          <w:color w:val="000000"/>
          <w:sz w:val="24"/>
          <w:szCs w:val="24"/>
          <w:lang w:eastAsia="en-US"/>
        </w:rPr>
      </w:pPr>
      <w:r w:rsidRPr="00724342">
        <w:rPr>
          <w:rFonts w:eastAsia="Calibri"/>
          <w:b/>
          <w:color w:val="000000"/>
          <w:sz w:val="24"/>
          <w:szCs w:val="24"/>
          <w:lang w:val="en-US" w:eastAsia="en-US"/>
        </w:rPr>
        <w:t>Features</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of</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investment</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project</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management</w:t>
      </w:r>
    </w:p>
    <w:p w:rsidR="00724342" w:rsidRPr="00850015" w:rsidRDefault="00724342" w:rsidP="00724342">
      <w:pPr>
        <w:jc w:val="center"/>
        <w:rPr>
          <w:rFonts w:eastAsia="Calibri"/>
          <w:b/>
          <w:color w:val="000000"/>
          <w:sz w:val="24"/>
          <w:szCs w:val="24"/>
          <w:lang w:eastAsia="en-US"/>
        </w:rPr>
      </w:pPr>
      <w:r w:rsidRPr="00850015">
        <w:rPr>
          <w:rFonts w:eastAsia="Calibri"/>
          <w:b/>
          <w:color w:val="000000"/>
          <w:sz w:val="24"/>
          <w:szCs w:val="24"/>
          <w:lang w:eastAsia="en-US"/>
        </w:rPr>
        <w:t xml:space="preserve"> </w:t>
      </w:r>
      <w:r w:rsidRPr="00724342">
        <w:rPr>
          <w:rFonts w:eastAsia="Calibri"/>
          <w:b/>
          <w:color w:val="000000"/>
          <w:sz w:val="24"/>
          <w:szCs w:val="24"/>
          <w:lang w:val="en-US" w:eastAsia="en-US"/>
        </w:rPr>
        <w:t>in</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the</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modern</w:t>
      </w:r>
      <w:r w:rsidRPr="00850015">
        <w:rPr>
          <w:rFonts w:eastAsia="Calibri"/>
          <w:b/>
          <w:color w:val="000000"/>
          <w:sz w:val="24"/>
          <w:szCs w:val="24"/>
          <w:lang w:eastAsia="en-US"/>
        </w:rPr>
        <w:t xml:space="preserve"> </w:t>
      </w:r>
      <w:r w:rsidRPr="00724342">
        <w:rPr>
          <w:rFonts w:eastAsia="Calibri"/>
          <w:b/>
          <w:color w:val="000000"/>
          <w:sz w:val="24"/>
          <w:szCs w:val="24"/>
          <w:lang w:val="en-US" w:eastAsia="en-US"/>
        </w:rPr>
        <w:t>market</w:t>
      </w:r>
    </w:p>
    <w:p w:rsidR="00724342" w:rsidRPr="00850015" w:rsidRDefault="00724342" w:rsidP="00724342">
      <w:pPr>
        <w:jc w:val="center"/>
        <w:rPr>
          <w:rFonts w:eastAsia="Calibri"/>
          <w:b/>
          <w:color w:val="000000"/>
          <w:sz w:val="22"/>
          <w:szCs w:val="22"/>
          <w:lang w:eastAsia="en-US"/>
        </w:rPr>
      </w:pPr>
    </w:p>
    <w:p w:rsidR="00724342" w:rsidRPr="00724342" w:rsidRDefault="00724342" w:rsidP="00724342">
      <w:pPr>
        <w:jc w:val="right"/>
        <w:rPr>
          <w:rFonts w:eastAsia="Calibri"/>
          <w:color w:val="000000"/>
          <w:sz w:val="22"/>
          <w:szCs w:val="22"/>
          <w:lang w:eastAsia="en-US"/>
        </w:rPr>
      </w:pPr>
      <w:r w:rsidRPr="00724342">
        <w:rPr>
          <w:rFonts w:eastAsia="Calibri"/>
          <w:color w:val="000000"/>
          <w:sz w:val="22"/>
          <w:szCs w:val="22"/>
          <w:lang w:eastAsia="en-US"/>
        </w:rPr>
        <w:t>Бондарева Д. В.,</w:t>
      </w:r>
    </w:p>
    <w:p w:rsidR="00724342" w:rsidRPr="00724342" w:rsidRDefault="00724342" w:rsidP="00724342">
      <w:pPr>
        <w:jc w:val="right"/>
        <w:rPr>
          <w:rFonts w:eastAsia="Calibri"/>
          <w:color w:val="000000"/>
          <w:sz w:val="22"/>
          <w:szCs w:val="22"/>
          <w:lang w:eastAsia="en-US"/>
        </w:rPr>
      </w:pPr>
      <w:r w:rsidRPr="00724342">
        <w:rPr>
          <w:rFonts w:eastAsia="Calibri"/>
          <w:color w:val="000000"/>
          <w:sz w:val="22"/>
          <w:szCs w:val="22"/>
          <w:lang w:eastAsia="en-US"/>
        </w:rPr>
        <w:t>студентка 4-го курса экономического факультета</w:t>
      </w:r>
    </w:p>
    <w:p w:rsidR="00724342" w:rsidRPr="00724342" w:rsidRDefault="00724342" w:rsidP="00724342">
      <w:pPr>
        <w:jc w:val="right"/>
        <w:rPr>
          <w:rFonts w:eastAsia="Calibri"/>
          <w:color w:val="000000"/>
          <w:sz w:val="22"/>
          <w:szCs w:val="22"/>
          <w:lang w:eastAsia="en-US"/>
        </w:rPr>
      </w:pPr>
      <w:r w:rsidRPr="00724342">
        <w:rPr>
          <w:rFonts w:eastAsia="Calibri"/>
          <w:color w:val="000000"/>
          <w:sz w:val="22"/>
          <w:szCs w:val="22"/>
          <w:lang w:eastAsia="en-US"/>
        </w:rPr>
        <w:t xml:space="preserve">Соколова А. П., </w:t>
      </w:r>
    </w:p>
    <w:p w:rsidR="00850015" w:rsidRDefault="00724342" w:rsidP="00724342">
      <w:pPr>
        <w:jc w:val="right"/>
        <w:rPr>
          <w:rFonts w:eastAsia="Calibri"/>
          <w:color w:val="000000"/>
          <w:sz w:val="22"/>
          <w:szCs w:val="22"/>
          <w:lang w:eastAsia="en-US"/>
        </w:rPr>
      </w:pPr>
      <w:r w:rsidRPr="00724342">
        <w:rPr>
          <w:rFonts w:eastAsia="Calibri"/>
          <w:color w:val="000000"/>
          <w:sz w:val="22"/>
          <w:szCs w:val="22"/>
          <w:lang w:eastAsia="en-US"/>
        </w:rPr>
        <w:t>к.э.н., профессор кафедры организации производства</w:t>
      </w:r>
    </w:p>
    <w:p w:rsidR="00724342" w:rsidRPr="00724342" w:rsidRDefault="00724342" w:rsidP="00724342">
      <w:pPr>
        <w:jc w:val="right"/>
        <w:rPr>
          <w:rFonts w:eastAsia="Calibri"/>
          <w:color w:val="000000"/>
          <w:sz w:val="22"/>
          <w:szCs w:val="22"/>
          <w:lang w:eastAsia="en-US"/>
        </w:rPr>
      </w:pPr>
      <w:r w:rsidRPr="00724342">
        <w:rPr>
          <w:rFonts w:eastAsia="Calibri"/>
          <w:color w:val="000000"/>
          <w:sz w:val="22"/>
          <w:szCs w:val="22"/>
          <w:lang w:eastAsia="en-US"/>
        </w:rPr>
        <w:t xml:space="preserve">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w:t>
      </w:r>
      <w:r w:rsidR="00850015">
        <w:rPr>
          <w:rFonts w:eastAsia="Courier New"/>
          <w:color w:val="000000"/>
          <w:sz w:val="22"/>
          <w:szCs w:val="22"/>
          <w:lang w:eastAsia="en-US"/>
        </w:rPr>
        <w:t xml:space="preserve"> </w:t>
      </w:r>
      <w:r w:rsidRPr="00724342">
        <w:rPr>
          <w:rFonts w:eastAsia="Courier New"/>
          <w:color w:val="000000"/>
          <w:sz w:val="22"/>
          <w:szCs w:val="22"/>
          <w:lang w:eastAsia="en-US"/>
        </w:rPr>
        <w:t>Т. Трубилина</w:t>
      </w:r>
    </w:p>
    <w:p w:rsidR="00724342" w:rsidRPr="00724342" w:rsidRDefault="00724342" w:rsidP="00724342">
      <w:pPr>
        <w:jc w:val="right"/>
        <w:rPr>
          <w:rFonts w:eastAsia="Calibri"/>
          <w:color w:val="000000"/>
          <w:sz w:val="22"/>
          <w:szCs w:val="22"/>
          <w:lang w:eastAsia="en-US"/>
        </w:rPr>
      </w:pPr>
    </w:p>
    <w:p w:rsidR="00724342" w:rsidRPr="00724342" w:rsidRDefault="00724342" w:rsidP="00850015">
      <w:pPr>
        <w:ind w:firstLine="426"/>
        <w:jc w:val="both"/>
        <w:rPr>
          <w:rFonts w:eastAsia="Courier New"/>
          <w:color w:val="000000"/>
          <w:sz w:val="22"/>
          <w:szCs w:val="22"/>
          <w:lang w:eastAsia="en-US"/>
        </w:rPr>
      </w:pPr>
      <w:r w:rsidRPr="00724342">
        <w:rPr>
          <w:rFonts w:eastAsia="Calibri"/>
          <w:color w:val="000000"/>
          <w:sz w:val="22"/>
          <w:szCs w:val="22"/>
          <w:lang w:eastAsia="en-US"/>
        </w:rPr>
        <w:t>АННОТАЦИЯ</w:t>
      </w:r>
      <w:r w:rsidRPr="00724342">
        <w:rPr>
          <w:rFonts w:eastAsia="Courier New"/>
          <w:color w:val="000000"/>
          <w:sz w:val="22"/>
          <w:szCs w:val="22"/>
          <w:lang w:eastAsia="en-US"/>
        </w:rPr>
        <w:t>: Определена роль инвестиционных проектов в реализации стратегии развития компаний, выявлены причины ра</w:t>
      </w:r>
      <w:r w:rsidRPr="00724342">
        <w:rPr>
          <w:rFonts w:eastAsia="Courier New"/>
          <w:color w:val="000000"/>
          <w:sz w:val="22"/>
          <w:szCs w:val="22"/>
          <w:lang w:eastAsia="en-US"/>
        </w:rPr>
        <w:t>з</w:t>
      </w:r>
      <w:r w:rsidRPr="00724342">
        <w:rPr>
          <w:rFonts w:eastAsia="Courier New"/>
          <w:color w:val="000000"/>
          <w:sz w:val="22"/>
          <w:szCs w:val="22"/>
          <w:lang w:eastAsia="en-US"/>
        </w:rPr>
        <w:t xml:space="preserve">вития процессов управления проектами. </w:t>
      </w:r>
    </w:p>
    <w:p w:rsidR="00724342" w:rsidRPr="00724342" w:rsidRDefault="00724342" w:rsidP="00850015">
      <w:pPr>
        <w:ind w:firstLine="426"/>
        <w:jc w:val="both"/>
        <w:rPr>
          <w:rFonts w:eastAsia="Courier New"/>
          <w:color w:val="000000"/>
          <w:sz w:val="22"/>
          <w:szCs w:val="22"/>
          <w:lang w:val="en-US" w:eastAsia="en-US"/>
        </w:rPr>
      </w:pPr>
      <w:r w:rsidRPr="00724342">
        <w:rPr>
          <w:rFonts w:eastAsia="Courier New"/>
          <w:color w:val="000000"/>
          <w:sz w:val="22"/>
          <w:szCs w:val="22"/>
          <w:lang w:val="en-US" w:eastAsia="en-US"/>
        </w:rPr>
        <w:lastRenderedPageBreak/>
        <w:t>ABSTRACT: The role of investment projects in the implementation of the development strategy of companies, identified the causes of pr</w:t>
      </w:r>
      <w:r w:rsidRPr="00724342">
        <w:rPr>
          <w:rFonts w:eastAsia="Courier New"/>
          <w:color w:val="000000"/>
          <w:sz w:val="22"/>
          <w:szCs w:val="22"/>
          <w:lang w:val="en-US" w:eastAsia="en-US"/>
        </w:rPr>
        <w:t>o</w:t>
      </w:r>
      <w:r w:rsidRPr="00724342">
        <w:rPr>
          <w:rFonts w:eastAsia="Courier New"/>
          <w:color w:val="000000"/>
          <w:sz w:val="22"/>
          <w:szCs w:val="22"/>
          <w:lang w:val="en-US" w:eastAsia="en-US"/>
        </w:rPr>
        <w:t>ject management processes.</w:t>
      </w:r>
    </w:p>
    <w:p w:rsidR="00724342" w:rsidRPr="00724342" w:rsidRDefault="00724342" w:rsidP="00850015">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КЛЮЧЕВЫЕ СЛОВА: инвестиции, управление проектами, мультипроектная среда.</w:t>
      </w:r>
    </w:p>
    <w:p w:rsidR="00724342" w:rsidRPr="00724342" w:rsidRDefault="00724342" w:rsidP="00850015">
      <w:pPr>
        <w:widowControl w:val="0"/>
        <w:tabs>
          <w:tab w:val="left" w:pos="8223"/>
        </w:tabs>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KEYWORDS:</w:t>
      </w:r>
      <w:r w:rsidRPr="00724342">
        <w:rPr>
          <w:rFonts w:ascii="Courier New" w:eastAsia="Courier New" w:hAnsi="Courier New" w:cs="Courier New"/>
          <w:color w:val="000000"/>
          <w:sz w:val="22"/>
          <w:szCs w:val="22"/>
          <w:shd w:val="clear" w:color="auto" w:fill="FFFFFF"/>
          <w:lang w:val="en-US" w:eastAsia="en-US"/>
        </w:rPr>
        <w:t xml:space="preserve"> </w:t>
      </w:r>
      <w:r w:rsidRPr="00724342">
        <w:rPr>
          <w:rFonts w:eastAsia="Courier New"/>
          <w:color w:val="000000"/>
          <w:sz w:val="22"/>
          <w:szCs w:val="22"/>
          <w:lang w:val="en-US" w:eastAsia="en-US"/>
        </w:rPr>
        <w:t>investment, project management, multi-project e</w:t>
      </w:r>
      <w:r w:rsidRPr="00724342">
        <w:rPr>
          <w:rFonts w:eastAsia="Courier New"/>
          <w:color w:val="000000"/>
          <w:sz w:val="22"/>
          <w:szCs w:val="22"/>
          <w:lang w:val="en-US" w:eastAsia="en-US"/>
        </w:rPr>
        <w:t>n</w:t>
      </w:r>
      <w:r w:rsidRPr="00724342">
        <w:rPr>
          <w:rFonts w:eastAsia="Courier New"/>
          <w:color w:val="000000"/>
          <w:sz w:val="22"/>
          <w:szCs w:val="22"/>
          <w:lang w:val="en-US" w:eastAsia="en-US"/>
        </w:rPr>
        <w:t>vironment.</w:t>
      </w:r>
    </w:p>
    <w:p w:rsidR="00724342" w:rsidRPr="00724342" w:rsidRDefault="00724342" w:rsidP="00850015">
      <w:pPr>
        <w:ind w:firstLine="426"/>
        <w:jc w:val="both"/>
        <w:rPr>
          <w:rFonts w:eastAsia="Courier New"/>
          <w:color w:val="000000"/>
          <w:sz w:val="24"/>
          <w:szCs w:val="24"/>
          <w:lang w:val="en-US" w:eastAsia="en-US"/>
        </w:rPr>
      </w:pPr>
    </w:p>
    <w:p w:rsidR="00724342" w:rsidRPr="00724342" w:rsidRDefault="00724342" w:rsidP="00850015">
      <w:pPr>
        <w:ind w:firstLine="426"/>
        <w:jc w:val="both"/>
        <w:rPr>
          <w:rFonts w:eastAsia="Calibri"/>
          <w:color w:val="000000"/>
          <w:sz w:val="22"/>
          <w:szCs w:val="22"/>
          <w:lang w:eastAsia="en-US"/>
        </w:rPr>
      </w:pPr>
      <w:r w:rsidRPr="00724342">
        <w:rPr>
          <w:rFonts w:eastAsia="Calibri"/>
          <w:color w:val="000000"/>
          <w:sz w:val="22"/>
          <w:szCs w:val="22"/>
          <w:lang w:eastAsia="en-US"/>
        </w:rPr>
        <w:t>Сегодня управление инвестиционными проектами становится не просто сферой деятельности менеджеров компаний. Необход</w:t>
      </w:r>
      <w:r w:rsidRPr="00724342">
        <w:rPr>
          <w:rFonts w:eastAsia="Calibri"/>
          <w:color w:val="000000"/>
          <w:sz w:val="22"/>
          <w:szCs w:val="22"/>
          <w:lang w:eastAsia="en-US"/>
        </w:rPr>
        <w:t>и</w:t>
      </w:r>
      <w:r w:rsidRPr="00724342">
        <w:rPr>
          <w:rFonts w:eastAsia="Calibri"/>
          <w:color w:val="000000"/>
          <w:sz w:val="22"/>
          <w:szCs w:val="22"/>
          <w:lang w:eastAsia="en-US"/>
        </w:rPr>
        <w:t>мость обновления материально-технической базы, развитие новых направлений деятельности, реализация программ по переподготовке персонала позволяет считать управление проектами стратегической необходимостью. С развитием бизнеса, ростом уровня конкуре</w:t>
      </w:r>
      <w:r w:rsidRPr="00724342">
        <w:rPr>
          <w:rFonts w:eastAsia="Calibri"/>
          <w:color w:val="000000"/>
          <w:sz w:val="22"/>
          <w:szCs w:val="22"/>
          <w:lang w:eastAsia="en-US"/>
        </w:rPr>
        <w:t>н</w:t>
      </w:r>
      <w:r w:rsidRPr="00724342">
        <w:rPr>
          <w:rFonts w:eastAsia="Calibri"/>
          <w:color w:val="000000"/>
          <w:sz w:val="22"/>
          <w:szCs w:val="22"/>
          <w:lang w:eastAsia="en-US"/>
        </w:rPr>
        <w:t xml:space="preserve">ции, расширением инновационной деятельности компаний доля управленческих процессов, связанных с правлением проектами, растет </w:t>
      </w:r>
      <w:r w:rsidRPr="00724342">
        <w:rPr>
          <w:rFonts w:eastAsia="Calibri"/>
          <w:color w:val="000000"/>
          <w:sz w:val="22"/>
          <w:szCs w:val="22"/>
          <w:shd w:val="clear" w:color="auto" w:fill="FFFFFF"/>
          <w:lang w:eastAsia="en-US"/>
        </w:rPr>
        <w:t>[2].</w:t>
      </w:r>
      <w:r w:rsidRPr="00724342">
        <w:rPr>
          <w:rFonts w:eastAsia="Calibri"/>
          <w:sz w:val="22"/>
          <w:szCs w:val="22"/>
          <w:lang w:eastAsia="en-US"/>
        </w:rPr>
        <w:t xml:space="preserve"> </w:t>
      </w:r>
      <w:r w:rsidRPr="00724342">
        <w:rPr>
          <w:rFonts w:eastAsia="Calibri"/>
          <w:color w:val="000000"/>
          <w:sz w:val="22"/>
          <w:szCs w:val="22"/>
          <w:lang w:eastAsia="en-US"/>
        </w:rPr>
        <w:t>Роль проектов в решении стратегических задач предпр</w:t>
      </w:r>
      <w:r w:rsidRPr="00724342">
        <w:rPr>
          <w:rFonts w:eastAsia="Calibri"/>
          <w:color w:val="000000"/>
          <w:sz w:val="22"/>
          <w:szCs w:val="22"/>
          <w:lang w:eastAsia="en-US"/>
        </w:rPr>
        <w:t>и</w:t>
      </w:r>
      <w:r w:rsidRPr="00724342">
        <w:rPr>
          <w:rFonts w:eastAsia="Calibri"/>
          <w:color w:val="000000"/>
          <w:sz w:val="22"/>
          <w:szCs w:val="22"/>
          <w:lang w:eastAsia="en-US"/>
        </w:rPr>
        <w:t>ятия становится все более значимой по следующим причинам:</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Сокращение жизненного цикла продукта. Жизненный цикл продукта становится все короче. Если 30 лет назад в отраслях выс</w:t>
      </w:r>
      <w:r w:rsidRPr="00724342">
        <w:rPr>
          <w:rFonts w:eastAsia="Calibri"/>
          <w:color w:val="000000"/>
          <w:sz w:val="22"/>
          <w:szCs w:val="22"/>
          <w:lang w:eastAsia="en-US"/>
        </w:rPr>
        <w:t>о</w:t>
      </w:r>
      <w:r w:rsidRPr="00724342">
        <w:rPr>
          <w:rFonts w:eastAsia="Calibri"/>
          <w:color w:val="000000"/>
          <w:sz w:val="22"/>
          <w:szCs w:val="22"/>
          <w:lang w:eastAsia="en-US"/>
        </w:rPr>
        <w:t xml:space="preserve">ких технологий цикл длился 10-15 лет,  то сегодня он составляет от 1 до 3 лет. По расчетам, если реализация проекта задержалась на полгода, потеря прибыли составит около 33 % </w:t>
      </w:r>
      <w:r w:rsidRPr="00724342">
        <w:rPr>
          <w:rFonts w:eastAsia="Calibri"/>
          <w:color w:val="000000"/>
          <w:sz w:val="22"/>
          <w:szCs w:val="22"/>
          <w:shd w:val="clear" w:color="auto" w:fill="FFFFFF"/>
          <w:lang w:eastAsia="en-US"/>
        </w:rPr>
        <w:t>[1].</w:t>
      </w:r>
      <w:r w:rsidRPr="00724342">
        <w:rPr>
          <w:rFonts w:eastAsia="Calibri"/>
          <w:sz w:val="22"/>
          <w:szCs w:val="22"/>
          <w:lang w:eastAsia="en-US"/>
        </w:rPr>
        <w:t xml:space="preserve"> </w:t>
      </w:r>
      <w:r w:rsidRPr="00724342">
        <w:rPr>
          <w:rFonts w:eastAsia="Calibri"/>
          <w:color w:val="000000"/>
          <w:sz w:val="22"/>
          <w:szCs w:val="22"/>
          <w:lang w:eastAsia="en-US"/>
        </w:rPr>
        <w:t>Поэтому одним из факторов, обеспечивающих успех бизнеса, становится скорость выведения на рынок новых товаров. Для обеспечения высокой ск</w:t>
      </w:r>
      <w:r w:rsidRPr="00724342">
        <w:rPr>
          <w:rFonts w:eastAsia="Calibri"/>
          <w:color w:val="000000"/>
          <w:sz w:val="22"/>
          <w:szCs w:val="22"/>
          <w:lang w:eastAsia="en-US"/>
        </w:rPr>
        <w:t>о</w:t>
      </w:r>
      <w:r w:rsidRPr="00724342">
        <w:rPr>
          <w:rFonts w:eastAsia="Calibri"/>
          <w:color w:val="000000"/>
          <w:sz w:val="22"/>
          <w:szCs w:val="22"/>
          <w:lang w:eastAsia="en-US"/>
        </w:rPr>
        <w:t>рости разработки и реализации проекта создается многофункци</w:t>
      </w:r>
      <w:r w:rsidRPr="00724342">
        <w:rPr>
          <w:rFonts w:eastAsia="Calibri"/>
          <w:color w:val="000000"/>
          <w:sz w:val="22"/>
          <w:szCs w:val="22"/>
          <w:lang w:eastAsia="en-US"/>
        </w:rPr>
        <w:t>о</w:t>
      </w:r>
      <w:r w:rsidRPr="00724342">
        <w:rPr>
          <w:rFonts w:eastAsia="Calibri"/>
          <w:color w:val="000000"/>
          <w:sz w:val="22"/>
          <w:szCs w:val="22"/>
          <w:lang w:eastAsia="en-US"/>
        </w:rPr>
        <w:t>нальная рабочая команда.</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Быстрый рост объема знаний. Как правило, инвестиционные проекты основываются на последних достижениях науки и техники и, следовательно, становятся все более сложными. В процессе их реализации приходится интегрировать практически несовместимые технологии, искать нетрадиционные способы решения проблем. В этих условиях только согласованные управленческие решения по</w:t>
      </w:r>
      <w:r w:rsidRPr="00724342">
        <w:rPr>
          <w:rFonts w:eastAsia="Calibri"/>
          <w:color w:val="000000"/>
          <w:sz w:val="22"/>
          <w:szCs w:val="22"/>
          <w:lang w:eastAsia="en-US"/>
        </w:rPr>
        <w:t>з</w:t>
      </w:r>
      <w:r w:rsidRPr="00724342">
        <w:rPr>
          <w:rFonts w:eastAsia="Calibri"/>
          <w:color w:val="000000"/>
          <w:sz w:val="22"/>
          <w:szCs w:val="22"/>
          <w:lang w:eastAsia="en-US"/>
        </w:rPr>
        <w:t>воляют реализовать бизнес-идею в установленные сроки и без п</w:t>
      </w:r>
      <w:r w:rsidRPr="00724342">
        <w:rPr>
          <w:rFonts w:eastAsia="Calibri"/>
          <w:color w:val="000000"/>
          <w:sz w:val="22"/>
          <w:szCs w:val="22"/>
          <w:lang w:eastAsia="en-US"/>
        </w:rPr>
        <w:t>о</w:t>
      </w:r>
      <w:r w:rsidRPr="00724342">
        <w:rPr>
          <w:rFonts w:eastAsia="Calibri"/>
          <w:color w:val="000000"/>
          <w:sz w:val="22"/>
          <w:szCs w:val="22"/>
          <w:lang w:eastAsia="en-US"/>
        </w:rPr>
        <w:t>терь.</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Социальная ориентированность проектов. Сегодня получ</w:t>
      </w:r>
      <w:r w:rsidRPr="00724342">
        <w:rPr>
          <w:rFonts w:eastAsia="Calibri"/>
          <w:color w:val="000000"/>
          <w:sz w:val="22"/>
          <w:szCs w:val="22"/>
          <w:lang w:eastAsia="en-US"/>
        </w:rPr>
        <w:t>е</w:t>
      </w:r>
      <w:r w:rsidRPr="00724342">
        <w:rPr>
          <w:rFonts w:eastAsia="Calibri"/>
          <w:color w:val="000000"/>
          <w:sz w:val="22"/>
          <w:szCs w:val="22"/>
          <w:lang w:eastAsia="en-US"/>
        </w:rPr>
        <w:t>ние прибыли не может являться исключительной целью реализации инвестиционных проектов. Загрязнение окружающей среды, неко</w:t>
      </w:r>
      <w:r w:rsidRPr="00724342">
        <w:rPr>
          <w:rFonts w:eastAsia="Calibri"/>
          <w:color w:val="000000"/>
          <w:sz w:val="22"/>
          <w:szCs w:val="22"/>
          <w:lang w:eastAsia="en-US"/>
        </w:rPr>
        <w:t>н</w:t>
      </w:r>
      <w:r w:rsidRPr="00724342">
        <w:rPr>
          <w:rFonts w:eastAsia="Calibri"/>
          <w:color w:val="000000"/>
          <w:sz w:val="22"/>
          <w:szCs w:val="22"/>
          <w:lang w:eastAsia="en-US"/>
        </w:rPr>
        <w:lastRenderedPageBreak/>
        <w:t>тролируемая миграция, безработица и многие другие проблемы л</w:t>
      </w:r>
      <w:r w:rsidRPr="00724342">
        <w:rPr>
          <w:rFonts w:eastAsia="Calibri"/>
          <w:color w:val="000000"/>
          <w:sz w:val="22"/>
          <w:szCs w:val="22"/>
          <w:lang w:eastAsia="en-US"/>
        </w:rPr>
        <w:t>е</w:t>
      </w:r>
      <w:r w:rsidRPr="00724342">
        <w:rPr>
          <w:rFonts w:eastAsia="Calibri"/>
          <w:color w:val="000000"/>
          <w:sz w:val="22"/>
          <w:szCs w:val="22"/>
          <w:lang w:eastAsia="en-US"/>
        </w:rPr>
        <w:t>жат на ответственности не только государства, но и бизнеса.</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Уменьшение размера корпораций. Для выживания в услов</w:t>
      </w:r>
      <w:r w:rsidRPr="00724342">
        <w:rPr>
          <w:rFonts w:eastAsia="Calibri"/>
          <w:color w:val="000000"/>
          <w:sz w:val="22"/>
          <w:szCs w:val="22"/>
          <w:lang w:eastAsia="en-US"/>
        </w:rPr>
        <w:t>и</w:t>
      </w:r>
      <w:r w:rsidRPr="00724342">
        <w:rPr>
          <w:rFonts w:eastAsia="Calibri"/>
          <w:color w:val="000000"/>
          <w:sz w:val="22"/>
          <w:szCs w:val="22"/>
          <w:lang w:eastAsia="en-US"/>
        </w:rPr>
        <w:t>ях нарастающей конкуренции компании стремятся избавиться от лишних звеньев, оптимизировать организационную структуру. Р</w:t>
      </w:r>
      <w:r w:rsidRPr="00724342">
        <w:rPr>
          <w:rFonts w:eastAsia="Calibri"/>
          <w:color w:val="000000"/>
          <w:sz w:val="22"/>
          <w:szCs w:val="22"/>
          <w:lang w:eastAsia="en-US"/>
        </w:rPr>
        <w:t>у</w:t>
      </w:r>
      <w:r w:rsidRPr="00724342">
        <w:rPr>
          <w:rFonts w:eastAsia="Calibri"/>
          <w:color w:val="000000"/>
          <w:sz w:val="22"/>
          <w:szCs w:val="22"/>
          <w:lang w:eastAsia="en-US"/>
        </w:rPr>
        <w:t>ководство проектами осуществляют руководители среднего звена, совмещая ее со своими функциональными обязанностями. Бе</w:t>
      </w:r>
      <w:r w:rsidRPr="00724342">
        <w:rPr>
          <w:rFonts w:eastAsia="Calibri"/>
          <w:color w:val="000000"/>
          <w:sz w:val="22"/>
          <w:szCs w:val="22"/>
          <w:lang w:eastAsia="en-US"/>
        </w:rPr>
        <w:t>з</w:t>
      </w:r>
      <w:r w:rsidRPr="00724342">
        <w:rPr>
          <w:rFonts w:eastAsia="Calibri"/>
          <w:color w:val="000000"/>
          <w:sz w:val="22"/>
          <w:szCs w:val="22"/>
          <w:lang w:eastAsia="en-US"/>
        </w:rPr>
        <w:t>условно, это усложняет процесс управления, особенно если в ко</w:t>
      </w:r>
      <w:r w:rsidRPr="00724342">
        <w:rPr>
          <w:rFonts w:eastAsia="Calibri"/>
          <w:color w:val="000000"/>
          <w:sz w:val="22"/>
          <w:szCs w:val="22"/>
          <w:lang w:eastAsia="en-US"/>
        </w:rPr>
        <w:t>м</w:t>
      </w:r>
      <w:r w:rsidRPr="00724342">
        <w:rPr>
          <w:rFonts w:eastAsia="Calibri"/>
          <w:color w:val="000000"/>
          <w:sz w:val="22"/>
          <w:szCs w:val="22"/>
          <w:lang w:eastAsia="en-US"/>
        </w:rPr>
        <w:t xml:space="preserve">пании реализуется сразу несколько проектов </w:t>
      </w:r>
      <w:r w:rsidRPr="00724342">
        <w:rPr>
          <w:rFonts w:eastAsia="Calibri"/>
          <w:color w:val="000000"/>
          <w:sz w:val="22"/>
          <w:szCs w:val="22"/>
          <w:shd w:val="clear" w:color="auto" w:fill="FFFFFF"/>
          <w:lang w:eastAsia="en-US"/>
        </w:rPr>
        <w:t>[4]</w:t>
      </w:r>
      <w:r w:rsidRPr="00724342">
        <w:rPr>
          <w:rFonts w:eastAsia="Calibri"/>
          <w:color w:val="000000"/>
          <w:sz w:val="22"/>
          <w:szCs w:val="22"/>
          <w:lang w:eastAsia="en-US"/>
        </w:rPr>
        <w:t>.</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Максимальное внимание клиенту. Размер прибыли все больше зависит от степени удовлетворенности клиентов. Потреб</w:t>
      </w:r>
      <w:r w:rsidRPr="00724342">
        <w:rPr>
          <w:rFonts w:eastAsia="Calibri"/>
          <w:color w:val="000000"/>
          <w:sz w:val="22"/>
          <w:szCs w:val="22"/>
          <w:lang w:eastAsia="en-US"/>
        </w:rPr>
        <w:t>и</w:t>
      </w:r>
      <w:r w:rsidRPr="00724342">
        <w:rPr>
          <w:rFonts w:eastAsia="Calibri"/>
          <w:color w:val="000000"/>
          <w:sz w:val="22"/>
          <w:szCs w:val="22"/>
          <w:lang w:eastAsia="en-US"/>
        </w:rPr>
        <w:t>тели предъявляют к товарам все больше требований, уже не довол</w:t>
      </w:r>
      <w:r w:rsidRPr="00724342">
        <w:rPr>
          <w:rFonts w:eastAsia="Calibri"/>
          <w:color w:val="000000"/>
          <w:sz w:val="22"/>
          <w:szCs w:val="22"/>
          <w:lang w:eastAsia="en-US"/>
        </w:rPr>
        <w:t>ь</w:t>
      </w:r>
      <w:r w:rsidRPr="00724342">
        <w:rPr>
          <w:rFonts w:eastAsia="Calibri"/>
          <w:color w:val="000000"/>
          <w:sz w:val="22"/>
          <w:szCs w:val="22"/>
          <w:lang w:eastAsia="en-US"/>
        </w:rPr>
        <w:t>ствуясь товарами массового потребления. Это делает необходимым более тщательное изучение рынка, определение потребительских предпочтений отдельных групп покупателей, сокращение диста</w:t>
      </w:r>
      <w:r w:rsidRPr="00724342">
        <w:rPr>
          <w:rFonts w:eastAsia="Calibri"/>
          <w:color w:val="000000"/>
          <w:sz w:val="22"/>
          <w:szCs w:val="22"/>
          <w:lang w:eastAsia="en-US"/>
        </w:rPr>
        <w:t>н</w:t>
      </w:r>
      <w:r w:rsidRPr="00724342">
        <w:rPr>
          <w:rFonts w:eastAsia="Calibri"/>
          <w:color w:val="000000"/>
          <w:sz w:val="22"/>
          <w:szCs w:val="22"/>
          <w:lang w:eastAsia="en-US"/>
        </w:rPr>
        <w:t>ции между компанией и заказчиками. Поэтому процесс управления  инвестиционными портфелями становится все более клиентоорие</w:t>
      </w:r>
      <w:r w:rsidRPr="00724342">
        <w:rPr>
          <w:rFonts w:eastAsia="Calibri"/>
          <w:color w:val="000000"/>
          <w:sz w:val="22"/>
          <w:szCs w:val="22"/>
          <w:lang w:eastAsia="en-US"/>
        </w:rPr>
        <w:t>н</w:t>
      </w:r>
      <w:r w:rsidRPr="00724342">
        <w:rPr>
          <w:rFonts w:eastAsia="Calibri"/>
          <w:color w:val="000000"/>
          <w:sz w:val="22"/>
          <w:szCs w:val="22"/>
          <w:lang w:eastAsia="en-US"/>
        </w:rPr>
        <w:t>тированным.</w:t>
      </w:r>
    </w:p>
    <w:p w:rsidR="00724342" w:rsidRPr="00724342" w:rsidRDefault="00724342" w:rsidP="00850015">
      <w:pPr>
        <w:numPr>
          <w:ilvl w:val="0"/>
          <w:numId w:val="79"/>
        </w:numPr>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Мультипроектная среда. Стремление компаний завоевать более прочное положение на рынке приводит к необходимости о</w:t>
      </w:r>
      <w:r w:rsidRPr="00724342">
        <w:rPr>
          <w:rFonts w:eastAsia="Calibri"/>
          <w:color w:val="000000"/>
          <w:sz w:val="22"/>
          <w:szCs w:val="22"/>
          <w:lang w:eastAsia="en-US"/>
        </w:rPr>
        <w:t>д</w:t>
      </w:r>
      <w:r w:rsidRPr="00724342">
        <w:rPr>
          <w:rFonts w:eastAsia="Calibri"/>
          <w:color w:val="000000"/>
          <w:sz w:val="22"/>
          <w:szCs w:val="22"/>
          <w:lang w:eastAsia="en-US"/>
        </w:rPr>
        <w:t xml:space="preserve">новременно реализовать несколько, а иногда и достаточно большое количество, проектов. Это создает сложности, связанные, прежде всего, с распределением ограниченных ресурсов между различными проектами </w:t>
      </w:r>
      <w:r w:rsidRPr="00724342">
        <w:rPr>
          <w:rFonts w:eastAsia="Calibri"/>
          <w:color w:val="000000"/>
          <w:sz w:val="22"/>
          <w:szCs w:val="22"/>
          <w:shd w:val="clear" w:color="auto" w:fill="FFFFFF"/>
          <w:lang w:eastAsia="en-US"/>
        </w:rPr>
        <w:t>[3].</w:t>
      </w:r>
      <w:r w:rsidRPr="00724342">
        <w:rPr>
          <w:rFonts w:eastAsia="Calibri"/>
          <w:sz w:val="22"/>
          <w:szCs w:val="22"/>
          <w:lang w:eastAsia="en-US"/>
        </w:rPr>
        <w:t xml:space="preserve"> О</w:t>
      </w:r>
      <w:r w:rsidRPr="00724342">
        <w:rPr>
          <w:rFonts w:eastAsia="Calibri"/>
          <w:color w:val="000000"/>
          <w:sz w:val="22"/>
          <w:szCs w:val="22"/>
          <w:lang w:eastAsia="en-US"/>
        </w:rPr>
        <w:t>тдается предпочтение приоритетным крупным пр</w:t>
      </w:r>
      <w:r w:rsidRPr="00724342">
        <w:rPr>
          <w:rFonts w:eastAsia="Calibri"/>
          <w:color w:val="000000"/>
          <w:sz w:val="22"/>
          <w:szCs w:val="22"/>
          <w:lang w:eastAsia="en-US"/>
        </w:rPr>
        <w:t>о</w:t>
      </w:r>
      <w:r w:rsidRPr="00724342">
        <w:rPr>
          <w:rFonts w:eastAsia="Calibri"/>
          <w:color w:val="000000"/>
          <w:sz w:val="22"/>
          <w:szCs w:val="22"/>
          <w:lang w:eastAsia="en-US"/>
        </w:rPr>
        <w:t>ектам, связанным с получением высокой прибыли. Малым проектам из-за невысокого размера инвестиций не уделяется должного вн</w:t>
      </w:r>
      <w:r w:rsidRPr="00724342">
        <w:rPr>
          <w:rFonts w:eastAsia="Calibri"/>
          <w:color w:val="000000"/>
          <w:sz w:val="22"/>
          <w:szCs w:val="22"/>
          <w:lang w:eastAsia="en-US"/>
        </w:rPr>
        <w:t>и</w:t>
      </w:r>
      <w:r w:rsidRPr="00724342">
        <w:rPr>
          <w:rFonts w:eastAsia="Calibri"/>
          <w:color w:val="000000"/>
          <w:sz w:val="22"/>
          <w:szCs w:val="22"/>
          <w:lang w:eastAsia="en-US"/>
        </w:rPr>
        <w:t>мания. В результате именно малые проекты могут стать причиной финансовых проблем компании и, возможно, даже банкротства. П</w:t>
      </w:r>
      <w:r w:rsidRPr="00724342">
        <w:rPr>
          <w:rFonts w:eastAsia="Calibri"/>
          <w:color w:val="000000"/>
          <w:sz w:val="22"/>
          <w:szCs w:val="22"/>
          <w:lang w:eastAsia="en-US"/>
        </w:rPr>
        <w:t>о</w:t>
      </w:r>
      <w:r w:rsidRPr="00724342">
        <w:rPr>
          <w:rFonts w:eastAsia="Calibri"/>
          <w:color w:val="000000"/>
          <w:sz w:val="22"/>
          <w:szCs w:val="22"/>
          <w:lang w:eastAsia="en-US"/>
        </w:rPr>
        <w:t>этому создание в компании правильной инвестиционной среды, ориентированной на формирование портфельной системы управл</w:t>
      </w:r>
      <w:r w:rsidRPr="00724342">
        <w:rPr>
          <w:rFonts w:eastAsia="Calibri"/>
          <w:color w:val="000000"/>
          <w:sz w:val="22"/>
          <w:szCs w:val="22"/>
          <w:lang w:eastAsia="en-US"/>
        </w:rPr>
        <w:t>е</w:t>
      </w:r>
      <w:r w:rsidRPr="00724342">
        <w:rPr>
          <w:rFonts w:eastAsia="Calibri"/>
          <w:color w:val="000000"/>
          <w:sz w:val="22"/>
          <w:szCs w:val="22"/>
          <w:lang w:eastAsia="en-US"/>
        </w:rPr>
        <w:t>ния проектами, позволит избежать возможных проблем и ошибок.</w:t>
      </w:r>
    </w:p>
    <w:p w:rsidR="00724342" w:rsidRPr="00724342" w:rsidRDefault="00724342" w:rsidP="00850015">
      <w:pPr>
        <w:ind w:firstLine="426"/>
        <w:jc w:val="both"/>
        <w:rPr>
          <w:rFonts w:eastAsia="Calibri"/>
          <w:color w:val="000000"/>
          <w:sz w:val="22"/>
          <w:szCs w:val="22"/>
          <w:lang w:eastAsia="en-US"/>
        </w:rPr>
      </w:pPr>
      <w:r w:rsidRPr="00724342">
        <w:rPr>
          <w:rFonts w:eastAsia="Calibri"/>
          <w:color w:val="000000"/>
          <w:sz w:val="22"/>
          <w:szCs w:val="22"/>
          <w:lang w:eastAsia="en-US"/>
        </w:rPr>
        <w:t>Таким образом, управление инвестиционными проектами стало реальной необходимости для современных компаний, стремящихся к развитию инноваций и постоянному совершенствованию.</w:t>
      </w:r>
    </w:p>
    <w:p w:rsidR="00724342" w:rsidRPr="00724342" w:rsidRDefault="00724342" w:rsidP="00850015">
      <w:pPr>
        <w:ind w:firstLine="426"/>
        <w:jc w:val="both"/>
        <w:rPr>
          <w:rFonts w:eastAsia="Calibri"/>
          <w:color w:val="000000"/>
          <w:sz w:val="22"/>
          <w:szCs w:val="22"/>
          <w:lang w:eastAsia="en-US"/>
        </w:rPr>
      </w:pPr>
    </w:p>
    <w:p w:rsidR="00724342" w:rsidRPr="00724342" w:rsidRDefault="00724342" w:rsidP="00850015">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850015">
      <w:pPr>
        <w:numPr>
          <w:ilvl w:val="0"/>
          <w:numId w:val="72"/>
        </w:numPr>
        <w:shd w:val="clear" w:color="auto" w:fill="FFFFFF"/>
        <w:tabs>
          <w:tab w:val="left" w:pos="0"/>
          <w:tab w:val="left" w:pos="709"/>
        </w:tabs>
        <w:ind w:left="0" w:firstLine="426"/>
        <w:contextualSpacing/>
        <w:jc w:val="both"/>
        <w:rPr>
          <w:rFonts w:eastAsia="Calibri"/>
          <w:sz w:val="22"/>
          <w:szCs w:val="22"/>
          <w:lang w:eastAsia="en-US"/>
        </w:rPr>
      </w:pPr>
      <w:r w:rsidRPr="00724342">
        <w:rPr>
          <w:rFonts w:eastAsia="Calibri"/>
          <w:sz w:val="22"/>
          <w:szCs w:val="22"/>
          <w:lang w:eastAsia="en-US"/>
        </w:rPr>
        <w:t xml:space="preserve">Пелихов Я. В. </w:t>
      </w:r>
      <w:hyperlink r:id="rId245" w:history="1">
        <w:r w:rsidRPr="00724342">
          <w:rPr>
            <w:rFonts w:eastAsia="Calibri"/>
            <w:sz w:val="22"/>
            <w:szCs w:val="22"/>
            <w:lang w:eastAsia="en-US"/>
          </w:rPr>
          <w:t>Инвестиционная деятельность в аграрном секторе экономики</w:t>
        </w:r>
      </w:hyperlink>
      <w:r w:rsidRPr="00724342">
        <w:rPr>
          <w:rFonts w:eastAsia="Calibri"/>
          <w:sz w:val="22"/>
          <w:szCs w:val="22"/>
          <w:lang w:eastAsia="en-US"/>
        </w:rPr>
        <w:t> / Я. В. Пелихов, Г. Н. Литвиненко // </w:t>
      </w:r>
      <w:hyperlink r:id="rId246" w:history="1">
        <w:r w:rsidRPr="00724342">
          <w:rPr>
            <w:rFonts w:eastAsia="Calibri"/>
            <w:sz w:val="22"/>
            <w:szCs w:val="22"/>
            <w:lang w:eastAsia="en-US"/>
          </w:rPr>
          <w:t>Роль ба</w:t>
        </w:r>
        <w:r w:rsidRPr="00724342">
          <w:rPr>
            <w:rFonts w:eastAsia="Calibri"/>
            <w:sz w:val="22"/>
            <w:szCs w:val="22"/>
            <w:lang w:eastAsia="en-US"/>
          </w:rPr>
          <w:t>н</w:t>
        </w:r>
        <w:r w:rsidRPr="00724342">
          <w:rPr>
            <w:rFonts w:eastAsia="Calibri"/>
            <w:sz w:val="22"/>
            <w:szCs w:val="22"/>
            <w:lang w:eastAsia="en-US"/>
          </w:rPr>
          <w:lastRenderedPageBreak/>
          <w:t>ковского и реального сектора в решении проблем социально-экономического развития</w:t>
        </w:r>
      </w:hyperlink>
      <w:r w:rsidRPr="00724342">
        <w:rPr>
          <w:rFonts w:eastAsia="Calibri"/>
          <w:sz w:val="22"/>
          <w:szCs w:val="22"/>
          <w:lang w:eastAsia="en-US"/>
        </w:rPr>
        <w:t xml:space="preserve"> : сб. ст. междунар. науч.-практ. конф.  – Омск, 2017. – С. 40-43.</w:t>
      </w:r>
    </w:p>
    <w:p w:rsidR="00724342" w:rsidRPr="00724342" w:rsidRDefault="00724342" w:rsidP="00850015">
      <w:pPr>
        <w:numPr>
          <w:ilvl w:val="0"/>
          <w:numId w:val="72"/>
        </w:numPr>
        <w:shd w:val="clear" w:color="auto" w:fill="FFFFFF"/>
        <w:tabs>
          <w:tab w:val="left" w:pos="0"/>
          <w:tab w:val="left" w:pos="709"/>
          <w:tab w:val="left" w:pos="851"/>
          <w:tab w:val="left" w:pos="993"/>
        </w:tabs>
        <w:ind w:left="0" w:firstLine="426"/>
        <w:contextualSpacing/>
        <w:jc w:val="both"/>
        <w:rPr>
          <w:rFonts w:eastAsia="Calibri"/>
          <w:sz w:val="22"/>
          <w:szCs w:val="22"/>
          <w:lang w:eastAsia="en-US"/>
        </w:rPr>
      </w:pPr>
      <w:r w:rsidRPr="00724342">
        <w:rPr>
          <w:rFonts w:eastAsia="Calibri"/>
          <w:sz w:val="22"/>
          <w:szCs w:val="22"/>
          <w:lang w:eastAsia="en-US"/>
        </w:rPr>
        <w:t>Соколова А. П. Управление рисками производственной де</w:t>
      </w:r>
      <w:r w:rsidRPr="00724342">
        <w:rPr>
          <w:rFonts w:eastAsia="Calibri"/>
          <w:sz w:val="22"/>
          <w:szCs w:val="22"/>
          <w:lang w:eastAsia="en-US"/>
        </w:rPr>
        <w:t>я</w:t>
      </w:r>
      <w:r w:rsidRPr="00724342">
        <w:rPr>
          <w:rFonts w:eastAsia="Calibr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С. 241-250.</w:t>
      </w:r>
    </w:p>
    <w:p w:rsidR="00724342" w:rsidRPr="00724342" w:rsidRDefault="00724342" w:rsidP="00850015">
      <w:pPr>
        <w:numPr>
          <w:ilvl w:val="0"/>
          <w:numId w:val="72"/>
        </w:numPr>
        <w:shd w:val="clear" w:color="auto" w:fill="FFFFFF"/>
        <w:tabs>
          <w:tab w:val="left" w:pos="0"/>
          <w:tab w:val="left" w:pos="709"/>
          <w:tab w:val="left" w:pos="851"/>
          <w:tab w:val="left" w:pos="993"/>
        </w:tabs>
        <w:ind w:left="0" w:firstLine="426"/>
        <w:contextualSpacing/>
        <w:jc w:val="both"/>
        <w:rPr>
          <w:rFonts w:ascii="Helvetica Neue" w:hAnsi="Helvetica Neue"/>
          <w:color w:val="333333"/>
          <w:sz w:val="21"/>
          <w:szCs w:val="21"/>
        </w:rPr>
      </w:pPr>
      <w:r w:rsidRPr="00724342">
        <w:rPr>
          <w:rFonts w:eastAsia="Calibri"/>
          <w:sz w:val="22"/>
          <w:szCs w:val="22"/>
          <w:lang w:eastAsia="en-US"/>
        </w:rPr>
        <w:t xml:space="preserve"> 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w:t>
      </w:r>
      <w:r w:rsidRPr="00724342">
        <w:rPr>
          <w:rFonts w:eastAsia="Calibri"/>
          <w:sz w:val="22"/>
          <w:szCs w:val="22"/>
          <w:lang w:eastAsia="en-US"/>
        </w:rPr>
        <w:t>н</w:t>
      </w:r>
      <w:r w:rsidRPr="00724342">
        <w:rPr>
          <w:rFonts w:eastAsia="Calibri"/>
          <w:sz w:val="22"/>
          <w:szCs w:val="22"/>
          <w:lang w:eastAsia="en-US"/>
        </w:rPr>
        <w:t>ского государственного аграрного университета. – 2013. – № 42. – С. 38–41.</w:t>
      </w:r>
    </w:p>
    <w:p w:rsidR="00724342" w:rsidRPr="00724342" w:rsidRDefault="00724342" w:rsidP="00850015">
      <w:pPr>
        <w:numPr>
          <w:ilvl w:val="0"/>
          <w:numId w:val="72"/>
        </w:numPr>
        <w:shd w:val="clear" w:color="auto" w:fill="FFFFFF"/>
        <w:tabs>
          <w:tab w:val="left" w:pos="0"/>
          <w:tab w:val="left" w:pos="709"/>
          <w:tab w:val="left" w:pos="851"/>
          <w:tab w:val="left" w:pos="993"/>
        </w:tabs>
        <w:ind w:left="0" w:firstLine="426"/>
        <w:contextualSpacing/>
        <w:jc w:val="both"/>
        <w:rPr>
          <w:rFonts w:ascii="Helvetica Neue" w:hAnsi="Helvetica Neue"/>
          <w:color w:val="333333"/>
          <w:sz w:val="21"/>
          <w:szCs w:val="21"/>
        </w:rPr>
      </w:pPr>
      <w:r w:rsidRPr="00724342">
        <w:rPr>
          <w:rFonts w:eastAsia="Calibri"/>
          <w:sz w:val="22"/>
          <w:szCs w:val="22"/>
          <w:shd w:val="clear" w:color="auto" w:fill="FFFFFF"/>
          <w:lang w:eastAsia="en-US"/>
        </w:rPr>
        <w:t>Сухарева О. А. Подходы к управлению реализацией инв</w:t>
      </w:r>
      <w:r w:rsidRPr="00724342">
        <w:rPr>
          <w:rFonts w:eastAsia="Calibri"/>
          <w:sz w:val="22"/>
          <w:szCs w:val="22"/>
          <w:shd w:val="clear" w:color="auto" w:fill="FFFFFF"/>
          <w:lang w:eastAsia="en-US"/>
        </w:rPr>
        <w:t>е</w:t>
      </w:r>
      <w:r w:rsidRPr="00724342">
        <w:rPr>
          <w:rFonts w:eastAsia="Calibri"/>
          <w:sz w:val="22"/>
          <w:szCs w:val="22"/>
          <w:shd w:val="clear" w:color="auto" w:fill="FFFFFF"/>
          <w:lang w:eastAsia="en-US"/>
        </w:rPr>
        <w:t>стиционного проекта в условиях неопределенности внешней среды / О. А. Сухарева, К. М. Малинник // Проблемы и перспективы экон</w:t>
      </w:r>
      <w:r w:rsidRPr="00724342">
        <w:rPr>
          <w:rFonts w:eastAsia="Calibri"/>
          <w:sz w:val="22"/>
          <w:szCs w:val="22"/>
          <w:shd w:val="clear" w:color="auto" w:fill="FFFFFF"/>
          <w:lang w:eastAsia="en-US"/>
        </w:rPr>
        <w:t>о</w:t>
      </w:r>
      <w:r w:rsidRPr="00724342">
        <w:rPr>
          <w:rFonts w:eastAsia="Calibri"/>
          <w:sz w:val="22"/>
          <w:szCs w:val="22"/>
          <w:shd w:val="clear" w:color="auto" w:fill="FFFFFF"/>
          <w:lang w:eastAsia="en-US"/>
        </w:rPr>
        <w:t>мических отношений на пространстве ЕАЭС: сб. ст. Междунар. науч.-практ. конф.. – Уфа, 2017. – С. 136-141.</w:t>
      </w:r>
    </w:p>
    <w:p w:rsidR="00724342" w:rsidRPr="00724342" w:rsidRDefault="00724342" w:rsidP="00850015">
      <w:pPr>
        <w:ind w:firstLine="426"/>
        <w:jc w:val="both"/>
        <w:rPr>
          <w:sz w:val="22"/>
          <w:szCs w:val="24"/>
        </w:rPr>
      </w:pPr>
    </w:p>
    <w:p w:rsidR="00724342" w:rsidRPr="00724342" w:rsidRDefault="00724342" w:rsidP="00724342">
      <w:pPr>
        <w:jc w:val="both"/>
        <w:rPr>
          <w:sz w:val="22"/>
          <w:szCs w:val="24"/>
        </w:rPr>
      </w:pPr>
    </w:p>
    <w:p w:rsidR="00724342" w:rsidRPr="00724342" w:rsidRDefault="00724342" w:rsidP="00724342">
      <w:pPr>
        <w:jc w:val="both"/>
        <w:rPr>
          <w:sz w:val="22"/>
          <w:szCs w:val="24"/>
        </w:rPr>
      </w:pPr>
    </w:p>
    <w:p w:rsidR="00724342" w:rsidRPr="00724342" w:rsidRDefault="00724342" w:rsidP="00724342">
      <w:pPr>
        <w:tabs>
          <w:tab w:val="left" w:pos="709"/>
        </w:tabs>
        <w:rPr>
          <w:rFonts w:eastAsiaTheme="minorHAnsi"/>
          <w:sz w:val="22"/>
          <w:szCs w:val="22"/>
          <w:lang w:eastAsia="en-US"/>
        </w:rPr>
      </w:pPr>
      <w:r w:rsidRPr="00724342">
        <w:rPr>
          <w:rFonts w:eastAsiaTheme="minorHAnsi"/>
          <w:sz w:val="22"/>
          <w:szCs w:val="22"/>
          <w:lang w:eastAsia="en-US"/>
        </w:rPr>
        <w:t>УДК 338.1</w:t>
      </w:r>
    </w:p>
    <w:p w:rsidR="00724342" w:rsidRPr="00724342" w:rsidRDefault="00724342" w:rsidP="00724342">
      <w:pPr>
        <w:jc w:val="center"/>
        <w:rPr>
          <w:rFonts w:eastAsiaTheme="minorHAnsi"/>
          <w:b/>
          <w:sz w:val="22"/>
          <w:szCs w:val="22"/>
          <w:lang w:eastAsia="en-US"/>
        </w:rPr>
      </w:pPr>
    </w:p>
    <w:p w:rsidR="00724342" w:rsidRPr="00724342" w:rsidRDefault="00724342" w:rsidP="00724342">
      <w:pPr>
        <w:jc w:val="center"/>
        <w:rPr>
          <w:rFonts w:eastAsiaTheme="minorHAnsi"/>
          <w:b/>
          <w:sz w:val="24"/>
          <w:szCs w:val="22"/>
          <w:lang w:eastAsia="en-US"/>
        </w:rPr>
      </w:pPr>
      <w:r w:rsidRPr="00724342">
        <w:rPr>
          <w:rFonts w:eastAsiaTheme="minorHAnsi"/>
          <w:b/>
          <w:sz w:val="24"/>
          <w:szCs w:val="22"/>
          <w:lang w:eastAsia="en-US"/>
        </w:rPr>
        <w:t>Состояние рынка труда в Краснодарском крае</w:t>
      </w:r>
    </w:p>
    <w:p w:rsidR="00724342" w:rsidRPr="00724342" w:rsidRDefault="00724342" w:rsidP="00724342">
      <w:pPr>
        <w:jc w:val="center"/>
        <w:rPr>
          <w:rFonts w:eastAsiaTheme="minorHAnsi"/>
          <w:b/>
          <w:sz w:val="24"/>
          <w:szCs w:val="22"/>
          <w:lang w:val="en-US" w:eastAsia="en-US"/>
        </w:rPr>
      </w:pPr>
      <w:r w:rsidRPr="00724342">
        <w:rPr>
          <w:rFonts w:eastAsiaTheme="minorHAnsi"/>
          <w:b/>
          <w:sz w:val="24"/>
          <w:szCs w:val="22"/>
          <w:lang w:val="en-US" w:eastAsia="en-US"/>
        </w:rPr>
        <w:t>Condition of labor market in Krasnodar region</w:t>
      </w:r>
    </w:p>
    <w:p w:rsidR="00724342" w:rsidRPr="00724342" w:rsidRDefault="00724342" w:rsidP="00724342">
      <w:pPr>
        <w:jc w:val="right"/>
        <w:rPr>
          <w:rFonts w:eastAsiaTheme="minorHAnsi"/>
          <w:b/>
          <w:sz w:val="22"/>
          <w:szCs w:val="22"/>
          <w:lang w:val="en-US" w:eastAsia="en-US"/>
        </w:rPr>
      </w:pP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Бударная О. А.</w:t>
      </w:r>
      <w:r w:rsidR="00850015">
        <w:rPr>
          <w:rFonts w:eastAsiaTheme="minorHAnsi"/>
          <w:sz w:val="22"/>
          <w:szCs w:val="22"/>
          <w:lang w:eastAsia="en-US"/>
        </w:rPr>
        <w:t>,</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студентка 1-го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Куб</w:t>
      </w:r>
      <w:r w:rsidR="00850015">
        <w:rPr>
          <w:rFonts w:eastAsiaTheme="minorHAnsi"/>
          <w:sz w:val="22"/>
          <w:szCs w:val="22"/>
          <w:lang w:eastAsia="en-US"/>
        </w:rPr>
        <w:t>анский государственный аграрный</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 Т. Трубилина</w:t>
      </w:r>
    </w:p>
    <w:p w:rsidR="00724342" w:rsidRPr="00724342" w:rsidRDefault="00724342" w:rsidP="00724342">
      <w:pPr>
        <w:jc w:val="right"/>
        <w:rPr>
          <w:rFonts w:eastAsiaTheme="minorHAnsi"/>
          <w:sz w:val="22"/>
          <w:szCs w:val="22"/>
          <w:lang w:eastAsia="en-US"/>
        </w:rPr>
      </w:pPr>
    </w:p>
    <w:p w:rsidR="00724342" w:rsidRPr="00724342" w:rsidRDefault="00724342" w:rsidP="00850015">
      <w:pPr>
        <w:ind w:firstLine="425"/>
        <w:jc w:val="both"/>
        <w:rPr>
          <w:rFonts w:eastAsiaTheme="minorHAnsi"/>
          <w:sz w:val="22"/>
          <w:szCs w:val="22"/>
          <w:lang w:eastAsia="en-US"/>
        </w:rPr>
      </w:pPr>
      <w:r w:rsidRPr="00724342">
        <w:rPr>
          <w:rFonts w:eastAsiaTheme="minorHAnsi"/>
          <w:caps/>
          <w:sz w:val="22"/>
          <w:szCs w:val="22"/>
          <w:lang w:eastAsia="en-US"/>
        </w:rPr>
        <w:t>Аннотация</w:t>
      </w:r>
      <w:r w:rsidRPr="00724342">
        <w:rPr>
          <w:rFonts w:eastAsiaTheme="minorHAnsi"/>
          <w:sz w:val="22"/>
          <w:szCs w:val="22"/>
          <w:lang w:eastAsia="en-US"/>
        </w:rPr>
        <w:t>: В статье рассматривается состояние рынка тр</w:t>
      </w:r>
      <w:r w:rsidRPr="00724342">
        <w:rPr>
          <w:rFonts w:eastAsiaTheme="minorHAnsi"/>
          <w:sz w:val="22"/>
          <w:szCs w:val="22"/>
          <w:lang w:eastAsia="en-US"/>
        </w:rPr>
        <w:t>у</w:t>
      </w:r>
      <w:r w:rsidRPr="00724342">
        <w:rPr>
          <w:rFonts w:eastAsiaTheme="minorHAnsi"/>
          <w:sz w:val="22"/>
          <w:szCs w:val="22"/>
          <w:lang w:eastAsia="en-US"/>
        </w:rPr>
        <w:t>да в Краснодарском крае, уровень занятости населения и оплаты труда, а также признаки развитости рынка труда и его особенности в Краснодарском крае.</w:t>
      </w:r>
    </w:p>
    <w:p w:rsidR="00724342" w:rsidRPr="00724342" w:rsidRDefault="00724342" w:rsidP="00850015">
      <w:pPr>
        <w:tabs>
          <w:tab w:val="left" w:pos="709"/>
        </w:tabs>
        <w:ind w:firstLine="425"/>
        <w:jc w:val="both"/>
        <w:rPr>
          <w:rFonts w:eastAsiaTheme="minorHAnsi"/>
          <w:sz w:val="22"/>
          <w:szCs w:val="22"/>
          <w:lang w:val="en-US" w:eastAsia="en-US"/>
        </w:rPr>
      </w:pPr>
      <w:r w:rsidRPr="00724342">
        <w:rPr>
          <w:rFonts w:eastAsiaTheme="minorHAnsi"/>
          <w:caps/>
          <w:sz w:val="22"/>
          <w:szCs w:val="22"/>
          <w:lang w:val="en-US" w:eastAsia="en-US"/>
        </w:rPr>
        <w:t>Abstract</w:t>
      </w:r>
      <w:r w:rsidRPr="00724342">
        <w:rPr>
          <w:rFonts w:eastAsiaTheme="minorHAnsi"/>
          <w:sz w:val="22"/>
          <w:szCs w:val="22"/>
          <w:lang w:val="en-US" w:eastAsia="en-US"/>
        </w:rPr>
        <w:t xml:space="preserve">: The article examines the state of the labor market in the Krasnodar Territory, the level of employment of the population and </w:t>
      </w:r>
      <w:r w:rsidRPr="00724342">
        <w:rPr>
          <w:rFonts w:eastAsiaTheme="minorHAnsi"/>
          <w:sz w:val="22"/>
          <w:szCs w:val="22"/>
          <w:lang w:val="en-US" w:eastAsia="en-US"/>
        </w:rPr>
        <w:lastRenderedPageBreak/>
        <w:t>wages, as well as signs of the development of the labor market and its features in the Krasnodar Territory.</w:t>
      </w:r>
    </w:p>
    <w:p w:rsidR="00724342" w:rsidRPr="00724342" w:rsidRDefault="00724342" w:rsidP="00850015">
      <w:pPr>
        <w:tabs>
          <w:tab w:val="left" w:pos="709"/>
        </w:tabs>
        <w:ind w:firstLine="425"/>
        <w:jc w:val="both"/>
        <w:rPr>
          <w:rFonts w:eastAsiaTheme="minorHAnsi"/>
          <w:sz w:val="22"/>
          <w:szCs w:val="22"/>
          <w:lang w:eastAsia="en-US"/>
        </w:rPr>
      </w:pPr>
      <w:r w:rsidRPr="00724342">
        <w:rPr>
          <w:rFonts w:eastAsiaTheme="minorHAnsi"/>
          <w:caps/>
          <w:sz w:val="22"/>
          <w:szCs w:val="22"/>
          <w:lang w:eastAsia="en-US"/>
        </w:rPr>
        <w:t>Ключевые слова</w:t>
      </w:r>
      <w:r w:rsidRPr="00724342">
        <w:rPr>
          <w:rFonts w:eastAsiaTheme="minorHAnsi"/>
          <w:sz w:val="22"/>
          <w:szCs w:val="22"/>
          <w:lang w:eastAsia="en-US"/>
        </w:rPr>
        <w:t>: рынок труда, трудовые ресурсы, ос</w:t>
      </w:r>
      <w:r w:rsidRPr="00724342">
        <w:rPr>
          <w:rFonts w:eastAsiaTheme="minorHAnsi"/>
          <w:sz w:val="22"/>
          <w:szCs w:val="22"/>
          <w:lang w:eastAsia="en-US"/>
        </w:rPr>
        <w:t>о</w:t>
      </w:r>
      <w:r w:rsidRPr="00724342">
        <w:rPr>
          <w:rFonts w:eastAsiaTheme="minorHAnsi"/>
          <w:sz w:val="22"/>
          <w:szCs w:val="22"/>
          <w:lang w:eastAsia="en-US"/>
        </w:rPr>
        <w:t>бенности регулирования рынка, признаки развитости рынка труда.</w:t>
      </w:r>
    </w:p>
    <w:p w:rsidR="00724342" w:rsidRPr="00724342" w:rsidRDefault="00724342" w:rsidP="00850015">
      <w:pPr>
        <w:tabs>
          <w:tab w:val="left" w:pos="709"/>
        </w:tabs>
        <w:ind w:firstLine="425"/>
        <w:jc w:val="both"/>
        <w:rPr>
          <w:rFonts w:eastAsiaTheme="minorHAnsi"/>
          <w:sz w:val="22"/>
          <w:szCs w:val="22"/>
          <w:lang w:val="en-US" w:eastAsia="en-US"/>
        </w:rPr>
      </w:pPr>
      <w:r w:rsidRPr="00724342">
        <w:rPr>
          <w:rFonts w:eastAsiaTheme="minorHAnsi"/>
          <w:caps/>
          <w:sz w:val="22"/>
          <w:szCs w:val="22"/>
          <w:lang w:val="en-US" w:eastAsia="en-US"/>
        </w:rPr>
        <w:t>Keywords</w:t>
      </w:r>
      <w:r w:rsidRPr="00724342">
        <w:rPr>
          <w:rFonts w:eastAsiaTheme="minorHAnsi"/>
          <w:sz w:val="22"/>
          <w:szCs w:val="22"/>
          <w:lang w:val="en-US" w:eastAsia="en-US"/>
        </w:rPr>
        <w:t>: labor market, labor resources, features of market regulation, signs of labor market development.</w:t>
      </w:r>
    </w:p>
    <w:p w:rsidR="00724342" w:rsidRPr="00724342" w:rsidRDefault="00724342" w:rsidP="00850015">
      <w:pPr>
        <w:widowControl w:val="0"/>
        <w:tabs>
          <w:tab w:val="left" w:pos="709"/>
        </w:tabs>
        <w:autoSpaceDE w:val="0"/>
        <w:autoSpaceDN w:val="0"/>
        <w:adjustRightInd w:val="0"/>
        <w:ind w:firstLine="425"/>
        <w:jc w:val="both"/>
        <w:rPr>
          <w:rFonts w:eastAsiaTheme="minorHAnsi"/>
          <w:sz w:val="22"/>
          <w:szCs w:val="22"/>
          <w:lang w:val="en-US" w:eastAsia="en-US"/>
        </w:rPr>
      </w:pPr>
    </w:p>
    <w:p w:rsidR="00724342" w:rsidRPr="00724342" w:rsidRDefault="00724342" w:rsidP="00850015">
      <w:pPr>
        <w:widowControl w:val="0"/>
        <w:tabs>
          <w:tab w:val="left" w:pos="709"/>
        </w:tabs>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Рынок труда – это свободная продажа каждым трудоспособным человеком своих трудовых возможностей и свободный наем рабо</w:t>
      </w:r>
      <w:r w:rsidRPr="00724342">
        <w:rPr>
          <w:rFonts w:eastAsiaTheme="minorHAnsi"/>
          <w:sz w:val="22"/>
          <w:szCs w:val="22"/>
          <w:lang w:eastAsia="en-US"/>
        </w:rPr>
        <w:t>т</w:t>
      </w:r>
      <w:r w:rsidRPr="00724342">
        <w:rPr>
          <w:rFonts w:eastAsiaTheme="minorHAnsi"/>
          <w:sz w:val="22"/>
          <w:szCs w:val="22"/>
          <w:lang w:eastAsia="en-US"/>
        </w:rPr>
        <w:t>ников. В наиболее яркой форме рынок труда существует в виде биржи труда. По рынку труда можно судить о стабильности и э</w:t>
      </w:r>
      <w:r w:rsidRPr="00724342">
        <w:rPr>
          <w:rFonts w:eastAsiaTheme="minorHAnsi"/>
          <w:sz w:val="22"/>
          <w:szCs w:val="22"/>
          <w:lang w:eastAsia="en-US"/>
        </w:rPr>
        <w:t>ф</w:t>
      </w:r>
      <w:r w:rsidRPr="00724342">
        <w:rPr>
          <w:rFonts w:eastAsiaTheme="minorHAnsi"/>
          <w:sz w:val="22"/>
          <w:szCs w:val="22"/>
          <w:lang w:eastAsia="en-US"/>
        </w:rPr>
        <w:t>фективности социально-экономической страны, а также о наци</w:t>
      </w:r>
      <w:r w:rsidRPr="00724342">
        <w:rPr>
          <w:rFonts w:eastAsiaTheme="minorHAnsi"/>
          <w:sz w:val="22"/>
          <w:szCs w:val="22"/>
          <w:lang w:eastAsia="en-US"/>
        </w:rPr>
        <w:t>о</w:t>
      </w:r>
      <w:r w:rsidRPr="00724342">
        <w:rPr>
          <w:rFonts w:eastAsiaTheme="minorHAnsi"/>
          <w:sz w:val="22"/>
          <w:szCs w:val="22"/>
          <w:lang w:eastAsia="en-US"/>
        </w:rPr>
        <w:t>нальном благополучии. Тем самым актуализируются задачи выя</w:t>
      </w:r>
      <w:r w:rsidRPr="00724342">
        <w:rPr>
          <w:rFonts w:eastAsiaTheme="minorHAnsi"/>
          <w:sz w:val="22"/>
          <w:szCs w:val="22"/>
          <w:lang w:eastAsia="en-US"/>
        </w:rPr>
        <w:t>с</w:t>
      </w:r>
      <w:r w:rsidRPr="00724342">
        <w:rPr>
          <w:rFonts w:eastAsiaTheme="minorHAnsi"/>
          <w:sz w:val="22"/>
          <w:szCs w:val="22"/>
          <w:lang w:eastAsia="en-US"/>
        </w:rPr>
        <w:t>нения влияния факторов, которые формируют процессы на рынке труда, оценки закономерностей и перспектив его развития. Устан</w:t>
      </w:r>
      <w:r w:rsidRPr="00724342">
        <w:rPr>
          <w:rFonts w:eastAsiaTheme="minorHAnsi"/>
          <w:sz w:val="22"/>
          <w:szCs w:val="22"/>
          <w:lang w:eastAsia="en-US"/>
        </w:rPr>
        <w:t>о</w:t>
      </w:r>
      <w:r w:rsidRPr="00724342">
        <w:rPr>
          <w:rFonts w:eastAsiaTheme="minorHAnsi"/>
          <w:sz w:val="22"/>
          <w:szCs w:val="22"/>
          <w:lang w:eastAsia="en-US"/>
        </w:rPr>
        <w:t>вить уровень занятости населения и оплаты труда, можно через м</w:t>
      </w:r>
      <w:r w:rsidRPr="00724342">
        <w:rPr>
          <w:rFonts w:eastAsiaTheme="minorHAnsi"/>
          <w:sz w:val="22"/>
          <w:szCs w:val="22"/>
          <w:lang w:eastAsia="en-US"/>
        </w:rPr>
        <w:t>е</w:t>
      </w:r>
      <w:r w:rsidRPr="00724342">
        <w:rPr>
          <w:rFonts w:eastAsiaTheme="minorHAnsi"/>
          <w:sz w:val="22"/>
          <w:szCs w:val="22"/>
          <w:lang w:eastAsia="en-US"/>
        </w:rPr>
        <w:t>ханизм рынка труда. Неизбежное и негативное явление обществе</w:t>
      </w:r>
      <w:r w:rsidRPr="00724342">
        <w:rPr>
          <w:rFonts w:eastAsiaTheme="minorHAnsi"/>
          <w:sz w:val="22"/>
          <w:szCs w:val="22"/>
          <w:lang w:eastAsia="en-US"/>
        </w:rPr>
        <w:t>н</w:t>
      </w:r>
      <w:r w:rsidRPr="00724342">
        <w:rPr>
          <w:rFonts w:eastAsiaTheme="minorHAnsi"/>
          <w:sz w:val="22"/>
          <w:szCs w:val="22"/>
          <w:lang w:eastAsia="en-US"/>
        </w:rPr>
        <w:t>ной жизни является – безработица, так как она напрямую зависит от состояния экономики. Уровень безработицы в Краснодарском крае самый низкий в ЮФО. Сложнее всего устроиться людям, не име</w:t>
      </w:r>
      <w:r w:rsidRPr="00724342">
        <w:rPr>
          <w:rFonts w:eastAsiaTheme="minorHAnsi"/>
          <w:sz w:val="22"/>
          <w:szCs w:val="22"/>
          <w:lang w:eastAsia="en-US"/>
        </w:rPr>
        <w:t>ю</w:t>
      </w:r>
      <w:r w:rsidRPr="00724342">
        <w:rPr>
          <w:rFonts w:eastAsiaTheme="minorHAnsi"/>
          <w:sz w:val="22"/>
          <w:szCs w:val="22"/>
          <w:lang w:eastAsia="en-US"/>
        </w:rPr>
        <w:t>щим профессиональное образование. Гораздо реже остальных без работы остаются кубанцы, которые имеют начальное професси</w:t>
      </w:r>
      <w:r w:rsidRPr="00724342">
        <w:rPr>
          <w:rFonts w:eastAsiaTheme="minorHAnsi"/>
          <w:sz w:val="22"/>
          <w:szCs w:val="22"/>
          <w:lang w:eastAsia="en-US"/>
        </w:rPr>
        <w:t>о</w:t>
      </w:r>
      <w:r w:rsidRPr="00724342">
        <w:rPr>
          <w:rFonts w:eastAsiaTheme="minorHAnsi"/>
          <w:sz w:val="22"/>
          <w:szCs w:val="22"/>
          <w:lang w:eastAsia="en-US"/>
        </w:rPr>
        <w:t>нальное образование. Производство материальных благ и услуг предполагает два фактора: материальные и человеческие ресурсы. Если раньше основное внимание уделялось первому фактору, то сейчас все больше говорят о гуманизации экономики, а это обозн</w:t>
      </w:r>
      <w:r w:rsidRPr="00724342">
        <w:rPr>
          <w:rFonts w:eastAsiaTheme="minorHAnsi"/>
          <w:sz w:val="22"/>
          <w:szCs w:val="22"/>
          <w:lang w:eastAsia="en-US"/>
        </w:rPr>
        <w:t>а</w:t>
      </w:r>
      <w:r w:rsidRPr="00724342">
        <w:rPr>
          <w:rFonts w:eastAsiaTheme="minorHAnsi"/>
          <w:sz w:val="22"/>
          <w:szCs w:val="22"/>
          <w:lang w:eastAsia="en-US"/>
        </w:rPr>
        <w:t>чает перемещение акцента на человека. Признаки развитости рынка труда: сформированность спроса и предложения; определенность основных позиций; ясность акцентов. Так рынок диктует необх</w:t>
      </w:r>
      <w:r w:rsidRPr="00724342">
        <w:rPr>
          <w:rFonts w:eastAsiaTheme="minorHAnsi"/>
          <w:sz w:val="22"/>
          <w:szCs w:val="22"/>
          <w:lang w:eastAsia="en-US"/>
        </w:rPr>
        <w:t>о</w:t>
      </w:r>
      <w:r w:rsidRPr="00724342">
        <w:rPr>
          <w:rFonts w:eastAsiaTheme="minorHAnsi"/>
          <w:sz w:val="22"/>
          <w:szCs w:val="22"/>
          <w:lang w:eastAsia="en-US"/>
        </w:rPr>
        <w:t>димость цивилизованных отношений между Работодателем и Сои</w:t>
      </w:r>
      <w:r w:rsidRPr="00724342">
        <w:rPr>
          <w:rFonts w:eastAsiaTheme="minorHAnsi"/>
          <w:sz w:val="22"/>
          <w:szCs w:val="22"/>
          <w:lang w:eastAsia="en-US"/>
        </w:rPr>
        <w:t>с</w:t>
      </w:r>
      <w:r w:rsidRPr="00724342">
        <w:rPr>
          <w:rFonts w:eastAsiaTheme="minorHAnsi"/>
          <w:sz w:val="22"/>
          <w:szCs w:val="22"/>
          <w:lang w:eastAsia="en-US"/>
        </w:rPr>
        <w:t>кателем. Рассмотрим основные положения оплаты труда:</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 общекультурный и общеобразовательный уровень;</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 профессиональная подготовка;</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 степень использования трудового потенциала.</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Краснодарский край все больше и больше нуждаются в раб</w:t>
      </w:r>
      <w:r w:rsidRPr="00724342">
        <w:rPr>
          <w:rFonts w:eastAsiaTheme="minorHAnsi"/>
          <w:sz w:val="22"/>
          <w:szCs w:val="22"/>
          <w:lang w:eastAsia="en-US"/>
        </w:rPr>
        <w:t>о</w:t>
      </w:r>
      <w:r w:rsidRPr="00724342">
        <w:rPr>
          <w:rFonts w:eastAsiaTheme="minorHAnsi"/>
          <w:sz w:val="22"/>
          <w:szCs w:val="22"/>
          <w:lang w:eastAsia="en-US"/>
        </w:rPr>
        <w:t>чих, которые смогут легко переезжать и менять места жительства. Во многих населенных пунктах (станицы, поселки, хутора) не хв</w:t>
      </w:r>
      <w:r w:rsidRPr="00724342">
        <w:rPr>
          <w:rFonts w:eastAsiaTheme="minorHAnsi"/>
          <w:sz w:val="22"/>
          <w:szCs w:val="22"/>
          <w:lang w:eastAsia="en-US"/>
        </w:rPr>
        <w:t>а</w:t>
      </w:r>
      <w:r w:rsidRPr="00724342">
        <w:rPr>
          <w:rFonts w:eastAsiaTheme="minorHAnsi"/>
          <w:sz w:val="22"/>
          <w:szCs w:val="22"/>
          <w:lang w:eastAsia="en-US"/>
        </w:rPr>
        <w:t xml:space="preserve">тает рабочего персонала (врачи, учителя). Поэтому краю нужны </w:t>
      </w:r>
      <w:r w:rsidRPr="00724342">
        <w:rPr>
          <w:rFonts w:eastAsiaTheme="minorHAnsi"/>
          <w:sz w:val="22"/>
          <w:szCs w:val="22"/>
          <w:lang w:eastAsia="en-US"/>
        </w:rPr>
        <w:lastRenderedPageBreak/>
        <w:t>мобильные рабочие, так как от мобильности зависит экономический рост, производительность и эффективность [1].</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Безработица в крае низкая. Это связанно с тем, что прошедшая зимняя Олимпиада в Сочи оставила свой отпечаток на рынке труда. Благодаря тому, что инфраструктура в Сочи расширилась, появ</w:t>
      </w:r>
      <w:r w:rsidRPr="00724342">
        <w:rPr>
          <w:rFonts w:eastAsiaTheme="minorHAnsi"/>
          <w:sz w:val="22"/>
          <w:szCs w:val="22"/>
          <w:lang w:eastAsia="en-US"/>
        </w:rPr>
        <w:t>и</w:t>
      </w:r>
      <w:r w:rsidRPr="00724342">
        <w:rPr>
          <w:rFonts w:eastAsiaTheme="minorHAnsi"/>
          <w:sz w:val="22"/>
          <w:szCs w:val="22"/>
          <w:lang w:eastAsia="en-US"/>
        </w:rPr>
        <w:t xml:space="preserve">лись рабочие места. </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В Краснодаре уровень безработицы составляет на начало 2017 года составила 0,6%,что на 0,2% меньше, чем годом ранее. Сегодня на Кубани официально зарегистрировано 17,1 тыс. безработных граждан, что на 3,3 тыс. человек меньше, чем на тот же период 2016 года [5]. Это самый низкий показатель во всем крае, а также и по всей стране. Этому способствует то, что в столице региона особа развита тяжелая, легкая, пищевая и деревообрабатывающая пр</w:t>
      </w:r>
      <w:r w:rsidRPr="00724342">
        <w:rPr>
          <w:rFonts w:eastAsiaTheme="minorHAnsi"/>
          <w:sz w:val="22"/>
          <w:szCs w:val="22"/>
          <w:lang w:eastAsia="en-US"/>
        </w:rPr>
        <w:t>о</w:t>
      </w:r>
      <w:r w:rsidRPr="00724342">
        <w:rPr>
          <w:rFonts w:eastAsiaTheme="minorHAnsi"/>
          <w:sz w:val="22"/>
          <w:szCs w:val="22"/>
          <w:lang w:eastAsia="en-US"/>
        </w:rPr>
        <w:t>мышленность.</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Краснодарским край поддерживает начинающих предприним</w:t>
      </w:r>
      <w:r w:rsidRPr="00724342">
        <w:rPr>
          <w:rFonts w:eastAsiaTheme="minorHAnsi"/>
          <w:sz w:val="22"/>
          <w:szCs w:val="22"/>
          <w:lang w:eastAsia="en-US"/>
        </w:rPr>
        <w:t>а</w:t>
      </w:r>
      <w:r w:rsidRPr="00724342">
        <w:rPr>
          <w:rFonts w:eastAsiaTheme="minorHAnsi"/>
          <w:sz w:val="22"/>
          <w:szCs w:val="22"/>
          <w:lang w:eastAsia="en-US"/>
        </w:rPr>
        <w:t>телей [3]. Существуют целые программы по оказанию материал</w:t>
      </w:r>
      <w:r w:rsidRPr="00724342">
        <w:rPr>
          <w:rFonts w:eastAsiaTheme="minorHAnsi"/>
          <w:sz w:val="22"/>
          <w:szCs w:val="22"/>
          <w:lang w:eastAsia="en-US"/>
        </w:rPr>
        <w:t>ь</w:t>
      </w:r>
      <w:r w:rsidRPr="00724342">
        <w:rPr>
          <w:rFonts w:eastAsiaTheme="minorHAnsi"/>
          <w:sz w:val="22"/>
          <w:szCs w:val="22"/>
          <w:lang w:eastAsia="en-US"/>
        </w:rPr>
        <w:t>ной помощи, начинающим бизнесменам. Субъектами выступают банки, специальные государственные и частные учреждения, и ф</w:t>
      </w:r>
      <w:r w:rsidRPr="00724342">
        <w:rPr>
          <w:rFonts w:eastAsiaTheme="minorHAnsi"/>
          <w:sz w:val="22"/>
          <w:szCs w:val="22"/>
          <w:lang w:eastAsia="en-US"/>
        </w:rPr>
        <w:t>и</w:t>
      </w:r>
      <w:r w:rsidRPr="00724342">
        <w:rPr>
          <w:rFonts w:eastAsiaTheme="minorHAnsi"/>
          <w:sz w:val="22"/>
          <w:szCs w:val="22"/>
          <w:lang w:eastAsia="en-US"/>
        </w:rPr>
        <w:t>зические лица, которые уже имеют крупный бизнес.</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r w:rsidRPr="00724342">
        <w:rPr>
          <w:rFonts w:eastAsiaTheme="minorHAnsi"/>
          <w:sz w:val="22"/>
          <w:szCs w:val="22"/>
          <w:lang w:eastAsia="en-US"/>
        </w:rPr>
        <w:t>Особенности регулирования рынка труда государством закл</w:t>
      </w:r>
      <w:r w:rsidRPr="00724342">
        <w:rPr>
          <w:rFonts w:eastAsiaTheme="minorHAnsi"/>
          <w:sz w:val="22"/>
          <w:szCs w:val="22"/>
          <w:lang w:eastAsia="en-US"/>
        </w:rPr>
        <w:t>ю</w:t>
      </w:r>
      <w:r w:rsidRPr="00724342">
        <w:rPr>
          <w:rFonts w:eastAsiaTheme="minorHAnsi"/>
          <w:sz w:val="22"/>
          <w:szCs w:val="22"/>
          <w:lang w:eastAsia="en-US"/>
        </w:rPr>
        <w:t>чаются в помощи при открытии предприятий; в организации общ</w:t>
      </w:r>
      <w:r w:rsidRPr="00724342">
        <w:rPr>
          <w:rFonts w:eastAsiaTheme="minorHAnsi"/>
          <w:sz w:val="22"/>
          <w:szCs w:val="22"/>
          <w:lang w:eastAsia="en-US"/>
        </w:rPr>
        <w:t>е</w:t>
      </w:r>
      <w:r w:rsidRPr="00724342">
        <w:rPr>
          <w:rFonts w:eastAsiaTheme="minorHAnsi"/>
          <w:sz w:val="22"/>
          <w:szCs w:val="22"/>
          <w:lang w:eastAsia="en-US"/>
        </w:rPr>
        <w:t>ственных работ; в государственных субсидиях; в открытии новых государственных предприятий. Таким образом, состояние рынка труда в Краснодарском крае – довольно благоприятное. Здесь нет проблем с трудоустройством, развиваются начинающие предпр</w:t>
      </w:r>
      <w:r w:rsidRPr="00724342">
        <w:rPr>
          <w:rFonts w:eastAsiaTheme="minorHAnsi"/>
          <w:sz w:val="22"/>
          <w:szCs w:val="22"/>
          <w:lang w:eastAsia="en-US"/>
        </w:rPr>
        <w:t>и</w:t>
      </w:r>
      <w:r w:rsidRPr="00724342">
        <w:rPr>
          <w:rFonts w:eastAsiaTheme="minorHAnsi"/>
          <w:sz w:val="22"/>
          <w:szCs w:val="22"/>
          <w:lang w:eastAsia="en-US"/>
        </w:rPr>
        <w:t>ниматели, экономические показатели региона растут с каждым днем, население увеличивается [6].</w:t>
      </w:r>
    </w:p>
    <w:p w:rsidR="00724342" w:rsidRPr="00724342" w:rsidRDefault="00724342" w:rsidP="00850015">
      <w:pPr>
        <w:widowControl w:val="0"/>
        <w:autoSpaceDE w:val="0"/>
        <w:autoSpaceDN w:val="0"/>
        <w:adjustRightInd w:val="0"/>
        <w:ind w:firstLine="425"/>
        <w:jc w:val="both"/>
        <w:rPr>
          <w:rFonts w:eastAsiaTheme="minorHAnsi"/>
          <w:sz w:val="22"/>
          <w:szCs w:val="22"/>
          <w:lang w:eastAsia="en-US"/>
        </w:rPr>
      </w:pPr>
    </w:p>
    <w:p w:rsidR="00724342" w:rsidRPr="00724342" w:rsidRDefault="00724342" w:rsidP="00850015">
      <w:pPr>
        <w:ind w:firstLine="425"/>
        <w:contextualSpacing/>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t>1. Андреев С.Ю. К вопросу о повышении эффективности  гос</w:t>
      </w:r>
      <w:r w:rsidRPr="00724342">
        <w:rPr>
          <w:rFonts w:eastAsiaTheme="minorHAnsi"/>
          <w:sz w:val="22"/>
          <w:szCs w:val="22"/>
          <w:lang w:eastAsia="en-US"/>
        </w:rPr>
        <w:t>у</w:t>
      </w:r>
      <w:r w:rsidRPr="00724342">
        <w:rPr>
          <w:rFonts w:eastAsiaTheme="minorHAnsi"/>
          <w:sz w:val="22"/>
          <w:szCs w:val="22"/>
          <w:lang w:eastAsia="en-US"/>
        </w:rPr>
        <w:t>дарственного  управления  национальной  экономикой [Научный журнал] / С.Ю Андреев// Инновационное развитие современной науки. Материалы Международной научно-практической конф</w:t>
      </w:r>
      <w:r w:rsidRPr="00724342">
        <w:rPr>
          <w:rFonts w:eastAsiaTheme="minorHAnsi"/>
          <w:sz w:val="22"/>
          <w:szCs w:val="22"/>
          <w:lang w:eastAsia="en-US"/>
        </w:rPr>
        <w:t>е</w:t>
      </w:r>
      <w:r w:rsidRPr="00724342">
        <w:rPr>
          <w:rFonts w:eastAsiaTheme="minorHAnsi"/>
          <w:sz w:val="22"/>
          <w:szCs w:val="22"/>
          <w:lang w:eastAsia="en-US"/>
        </w:rPr>
        <w:t>ренции. Краснодар. - 2015. - С. 87-90.</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t>2. Бардак А.В., Бухкалова В.В., Погребная Н.В. Инвестицио</w:t>
      </w:r>
      <w:r w:rsidRPr="00724342">
        <w:rPr>
          <w:rFonts w:eastAsiaTheme="minorHAnsi"/>
          <w:sz w:val="22"/>
          <w:szCs w:val="22"/>
          <w:lang w:eastAsia="en-US"/>
        </w:rPr>
        <w:t>н</w:t>
      </w:r>
      <w:r w:rsidRPr="00724342">
        <w:rPr>
          <w:rFonts w:eastAsiaTheme="minorHAnsi"/>
          <w:sz w:val="22"/>
          <w:szCs w:val="22"/>
          <w:lang w:eastAsia="en-US"/>
        </w:rPr>
        <w:t>ная привлекательность отрасли сельского хозяйства Краснодарск</w:t>
      </w:r>
      <w:r w:rsidRPr="00724342">
        <w:rPr>
          <w:rFonts w:eastAsiaTheme="minorHAnsi"/>
          <w:sz w:val="22"/>
          <w:szCs w:val="22"/>
          <w:lang w:eastAsia="en-US"/>
        </w:rPr>
        <w:t>о</w:t>
      </w:r>
      <w:r w:rsidRPr="00724342">
        <w:rPr>
          <w:rFonts w:eastAsiaTheme="minorHAnsi"/>
          <w:sz w:val="22"/>
          <w:szCs w:val="22"/>
          <w:lang w:eastAsia="en-US"/>
        </w:rPr>
        <w:t>го края // Сolloquium-journal. 2017. Т. 1. № 7 (7). С. 95-100.</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lastRenderedPageBreak/>
        <w:t>3. Голубова Т.С., Погребная Н.В. Пути повышения эффекти</w:t>
      </w:r>
      <w:r w:rsidRPr="00724342">
        <w:rPr>
          <w:rFonts w:eastAsiaTheme="minorHAnsi"/>
          <w:sz w:val="22"/>
          <w:szCs w:val="22"/>
          <w:lang w:eastAsia="en-US"/>
        </w:rPr>
        <w:t>в</w:t>
      </w:r>
      <w:r w:rsidRPr="00724342">
        <w:rPr>
          <w:rFonts w:eastAsiaTheme="minorHAnsi"/>
          <w:sz w:val="22"/>
          <w:szCs w:val="22"/>
          <w:lang w:eastAsia="en-US"/>
        </w:rPr>
        <w:t>ности государственной поддержки крестьянских (фермерских) х</w:t>
      </w:r>
      <w:r w:rsidRPr="00724342">
        <w:rPr>
          <w:rFonts w:eastAsiaTheme="minorHAnsi"/>
          <w:sz w:val="22"/>
          <w:szCs w:val="22"/>
          <w:lang w:eastAsia="en-US"/>
        </w:rPr>
        <w:t>о</w:t>
      </w:r>
      <w:r w:rsidRPr="00724342">
        <w:rPr>
          <w:rFonts w:eastAsiaTheme="minorHAnsi"/>
          <w:sz w:val="22"/>
          <w:szCs w:val="22"/>
          <w:lang w:eastAsia="en-US"/>
        </w:rPr>
        <w:t>зяйств в региона  // Сolloquium-journal. 2017. № 2 (2). С. 58-62.</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t>4. Калайда А.Д., Арутюнян Ю.И. Обеспечение механизма устойчивого развития предприятия//Материалы 71-й научно-практической конференции студентов по итогам НИР за 2015 год «Научное обеспечение агропромышленного комплекса».-Краснодар: КубГАУ, 2016. -С. 567-570.</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t>5. Найденов А.А. Пути  повышения  конкурентоспособности  малых и средних предприятий [Научный журнал] / А.А.Найденов, М.И. Лукомец, Я.В. Петрова // Наука  третьего  тысячелетия.  Сбо</w:t>
      </w:r>
      <w:r w:rsidRPr="00724342">
        <w:rPr>
          <w:rFonts w:eastAsiaTheme="minorHAnsi"/>
          <w:sz w:val="22"/>
          <w:szCs w:val="22"/>
          <w:lang w:eastAsia="en-US"/>
        </w:rPr>
        <w:t>р</w:t>
      </w:r>
      <w:r w:rsidRPr="00724342">
        <w:rPr>
          <w:rFonts w:eastAsiaTheme="minorHAnsi"/>
          <w:sz w:val="22"/>
          <w:szCs w:val="22"/>
          <w:lang w:eastAsia="en-US"/>
        </w:rPr>
        <w:t>ник статей Международной научно-практической конференции. - 2015. - С. 98-100.</w:t>
      </w:r>
    </w:p>
    <w:p w:rsidR="00724342" w:rsidRPr="00724342" w:rsidRDefault="00724342" w:rsidP="00850015">
      <w:pPr>
        <w:ind w:firstLine="425"/>
        <w:contextualSpacing/>
        <w:jc w:val="both"/>
        <w:rPr>
          <w:rFonts w:eastAsiaTheme="minorHAnsi"/>
          <w:sz w:val="22"/>
          <w:szCs w:val="22"/>
          <w:lang w:eastAsia="en-US"/>
        </w:rPr>
      </w:pPr>
      <w:r w:rsidRPr="00724342">
        <w:rPr>
          <w:rFonts w:eastAsiaTheme="minorHAnsi"/>
          <w:sz w:val="22"/>
          <w:szCs w:val="22"/>
          <w:lang w:eastAsia="en-US"/>
        </w:rPr>
        <w:t>6. Погребная Н.В.  Повышение инвестиционной привлекател</w:t>
      </w:r>
      <w:r w:rsidRPr="00724342">
        <w:rPr>
          <w:rFonts w:eastAsiaTheme="minorHAnsi"/>
          <w:sz w:val="22"/>
          <w:szCs w:val="22"/>
          <w:lang w:eastAsia="en-US"/>
        </w:rPr>
        <w:t>ь</w:t>
      </w:r>
      <w:r w:rsidRPr="00724342">
        <w:rPr>
          <w:rFonts w:eastAsiaTheme="minorHAnsi"/>
          <w:sz w:val="22"/>
          <w:szCs w:val="22"/>
          <w:lang w:eastAsia="en-US"/>
        </w:rPr>
        <w:t>ности Краснодарского края: факторы, направления, прогнозы / П</w:t>
      </w:r>
      <w:r w:rsidRPr="00724342">
        <w:rPr>
          <w:rFonts w:eastAsiaTheme="minorHAnsi"/>
          <w:sz w:val="22"/>
          <w:szCs w:val="22"/>
          <w:lang w:eastAsia="en-US"/>
        </w:rPr>
        <w:t>о</w:t>
      </w:r>
      <w:r w:rsidRPr="00724342">
        <w:rPr>
          <w:rFonts w:eastAsiaTheme="minorHAnsi"/>
          <w:sz w:val="22"/>
          <w:szCs w:val="22"/>
          <w:lang w:eastAsia="en-US"/>
        </w:rPr>
        <w:t>гребная Н.В., Походина Е.С. // Политематический сетевой эле</w:t>
      </w:r>
      <w:r w:rsidRPr="00724342">
        <w:rPr>
          <w:rFonts w:eastAsiaTheme="minorHAnsi"/>
          <w:sz w:val="22"/>
          <w:szCs w:val="22"/>
          <w:lang w:eastAsia="en-US"/>
        </w:rPr>
        <w:t>к</w:t>
      </w:r>
      <w:r w:rsidRPr="00724342">
        <w:rPr>
          <w:rFonts w:eastAsiaTheme="minorHAnsi"/>
          <w:sz w:val="22"/>
          <w:szCs w:val="22"/>
          <w:lang w:eastAsia="en-US"/>
        </w:rPr>
        <w:t xml:space="preserve">тронный научный журнал Кубанского государственного аграрного университета (Научный журнал КубГАУ) [Электронный ресурс]. – Краснодар: КубГАУ, 2016. – №06(120). </w:t>
      </w:r>
    </w:p>
    <w:p w:rsidR="00724342" w:rsidRPr="00724342" w:rsidRDefault="00724342" w:rsidP="00724342">
      <w:pPr>
        <w:contextualSpacing/>
        <w:jc w:val="both"/>
        <w:rPr>
          <w:rFonts w:eastAsiaTheme="minorHAnsi"/>
          <w:sz w:val="22"/>
          <w:szCs w:val="22"/>
          <w:lang w:eastAsia="en-US"/>
        </w:rPr>
      </w:pPr>
    </w:p>
    <w:p w:rsidR="00724342" w:rsidRPr="00724342" w:rsidRDefault="00724342" w:rsidP="00724342">
      <w:pPr>
        <w:contextualSpacing/>
        <w:jc w:val="both"/>
        <w:rPr>
          <w:rFonts w:eastAsiaTheme="minorHAnsi"/>
          <w:sz w:val="22"/>
          <w:szCs w:val="22"/>
          <w:lang w:eastAsia="en-US"/>
        </w:rPr>
      </w:pPr>
    </w:p>
    <w:p w:rsidR="00724342" w:rsidRPr="00724342" w:rsidRDefault="00724342" w:rsidP="00724342">
      <w:pPr>
        <w:rPr>
          <w:rFonts w:eastAsia="Calibri"/>
          <w:sz w:val="22"/>
          <w:szCs w:val="22"/>
          <w:lang w:eastAsia="en-US"/>
        </w:rPr>
      </w:pPr>
    </w:p>
    <w:p w:rsidR="00724342" w:rsidRPr="00724342" w:rsidRDefault="00724342" w:rsidP="00724342">
      <w:pPr>
        <w:rPr>
          <w:rFonts w:eastAsia="Calibri"/>
          <w:sz w:val="22"/>
          <w:szCs w:val="22"/>
          <w:lang w:eastAsia="en-US"/>
        </w:rPr>
      </w:pPr>
      <w:r w:rsidRPr="00724342">
        <w:rPr>
          <w:rFonts w:eastAsia="Calibri"/>
          <w:sz w:val="22"/>
          <w:szCs w:val="22"/>
          <w:lang w:eastAsia="en-US"/>
        </w:rPr>
        <w:t>УДК</w:t>
      </w:r>
      <w:r w:rsidRPr="00724342">
        <w:rPr>
          <w:rFonts w:eastAsia="Calibri"/>
          <w:i/>
          <w:sz w:val="22"/>
          <w:szCs w:val="22"/>
          <w:lang w:eastAsia="en-US"/>
        </w:rPr>
        <w:t xml:space="preserve"> </w:t>
      </w:r>
      <w:r w:rsidRPr="00724342">
        <w:rPr>
          <w:rFonts w:eastAsia="Calibri"/>
          <w:sz w:val="22"/>
          <w:szCs w:val="22"/>
          <w:lang w:eastAsia="en-US"/>
        </w:rPr>
        <w:t>3338.332</w:t>
      </w:r>
    </w:p>
    <w:p w:rsidR="00724342" w:rsidRPr="00724342" w:rsidRDefault="00724342" w:rsidP="00724342">
      <w:pPr>
        <w:rPr>
          <w:rFonts w:eastAsia="Calibri"/>
          <w:sz w:val="22"/>
          <w:szCs w:val="22"/>
          <w:lang w:eastAsia="en-US"/>
        </w:rPr>
      </w:pPr>
    </w:p>
    <w:p w:rsidR="00724342" w:rsidRPr="00850015" w:rsidRDefault="00724342" w:rsidP="00724342">
      <w:pPr>
        <w:jc w:val="center"/>
        <w:rPr>
          <w:rFonts w:eastAsia="Calibri"/>
          <w:b/>
          <w:sz w:val="24"/>
          <w:szCs w:val="24"/>
          <w:lang w:eastAsia="en-US"/>
        </w:rPr>
      </w:pPr>
      <w:r w:rsidRPr="00850015">
        <w:rPr>
          <w:rFonts w:eastAsia="Calibri"/>
          <w:b/>
          <w:sz w:val="24"/>
          <w:szCs w:val="24"/>
          <w:lang w:eastAsia="en-US"/>
        </w:rPr>
        <w:t xml:space="preserve">Ограниченность экономических ресурсов </w:t>
      </w:r>
    </w:p>
    <w:p w:rsidR="00724342" w:rsidRPr="00850015" w:rsidRDefault="00724342" w:rsidP="00724342">
      <w:pPr>
        <w:jc w:val="center"/>
        <w:rPr>
          <w:rFonts w:eastAsia="Calibri"/>
          <w:b/>
          <w:sz w:val="24"/>
          <w:szCs w:val="24"/>
          <w:lang w:eastAsia="en-US"/>
        </w:rPr>
      </w:pPr>
      <w:r w:rsidRPr="00850015">
        <w:rPr>
          <w:rFonts w:eastAsia="Calibri"/>
          <w:b/>
          <w:sz w:val="24"/>
          <w:szCs w:val="24"/>
          <w:lang w:eastAsia="en-US"/>
        </w:rPr>
        <w:t>и порождаемые ею проблемы</w:t>
      </w:r>
    </w:p>
    <w:p w:rsidR="00724342" w:rsidRPr="00850015" w:rsidRDefault="00724342" w:rsidP="00724342">
      <w:pPr>
        <w:jc w:val="center"/>
        <w:rPr>
          <w:rFonts w:eastAsia="Calibri"/>
          <w:b/>
          <w:sz w:val="24"/>
          <w:szCs w:val="24"/>
          <w:lang w:val="en-US" w:eastAsia="en-US"/>
        </w:rPr>
      </w:pPr>
      <w:r w:rsidRPr="00850015">
        <w:rPr>
          <w:rFonts w:eastAsia="Calibri"/>
          <w:b/>
          <w:sz w:val="24"/>
          <w:szCs w:val="24"/>
          <w:lang w:val="en-US" w:eastAsia="en-US"/>
        </w:rPr>
        <w:t>Limitation of economic resources and problems created by it</w:t>
      </w:r>
    </w:p>
    <w:p w:rsidR="00724342" w:rsidRPr="00724342" w:rsidRDefault="00724342" w:rsidP="00724342">
      <w:pPr>
        <w:jc w:val="right"/>
        <w:rPr>
          <w:rFonts w:eastAsia="Calibri"/>
          <w:sz w:val="22"/>
          <w:szCs w:val="22"/>
          <w:lang w:val="en-US"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Бусыгина А. А.,</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 xml:space="preserve">студентка 1-го курса экономического факультета </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 xml:space="preserve">Кубанский государственный аграрный </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университет имени И. Т. Трубилина</w:t>
      </w:r>
    </w:p>
    <w:p w:rsidR="00724342" w:rsidRPr="00724342" w:rsidRDefault="00724342" w:rsidP="00724342">
      <w:pPr>
        <w:jc w:val="right"/>
        <w:rPr>
          <w:rFonts w:eastAsia="Calibri"/>
          <w:sz w:val="22"/>
          <w:szCs w:val="22"/>
          <w:lang w:eastAsia="en-US"/>
        </w:rPr>
      </w:pPr>
    </w:p>
    <w:p w:rsidR="00724342" w:rsidRPr="00724342" w:rsidRDefault="00724342" w:rsidP="00850015">
      <w:pPr>
        <w:shd w:val="clear" w:color="auto" w:fill="FFFFFF"/>
        <w:ind w:firstLine="426"/>
        <w:jc w:val="both"/>
        <w:rPr>
          <w:sz w:val="22"/>
          <w:szCs w:val="22"/>
          <w:lang w:val="en-US"/>
        </w:rPr>
      </w:pPr>
      <w:r w:rsidRPr="00724342">
        <w:rPr>
          <w:sz w:val="22"/>
          <w:szCs w:val="22"/>
        </w:rPr>
        <w:t>АННОТАЦИЯ: Изучена проблема современной экономики – ограниченность экономических ресурсов. Выявлены</w:t>
      </w:r>
      <w:r w:rsidRPr="00724342">
        <w:rPr>
          <w:sz w:val="22"/>
          <w:szCs w:val="22"/>
          <w:lang w:val="en-US"/>
        </w:rPr>
        <w:t xml:space="preserve"> </w:t>
      </w:r>
      <w:r w:rsidRPr="00724342">
        <w:rPr>
          <w:sz w:val="22"/>
          <w:szCs w:val="22"/>
        </w:rPr>
        <w:t>факторы</w:t>
      </w:r>
      <w:r w:rsidRPr="00724342">
        <w:rPr>
          <w:sz w:val="22"/>
          <w:szCs w:val="22"/>
          <w:lang w:val="en-US"/>
        </w:rPr>
        <w:t xml:space="preserve">, </w:t>
      </w:r>
      <w:r w:rsidRPr="00724342">
        <w:rPr>
          <w:sz w:val="22"/>
          <w:szCs w:val="22"/>
        </w:rPr>
        <w:t>пр</w:t>
      </w:r>
      <w:r w:rsidRPr="00724342">
        <w:rPr>
          <w:sz w:val="22"/>
          <w:szCs w:val="22"/>
        </w:rPr>
        <w:t>и</w:t>
      </w:r>
      <w:r w:rsidRPr="00724342">
        <w:rPr>
          <w:sz w:val="22"/>
          <w:szCs w:val="22"/>
        </w:rPr>
        <w:t>водящие</w:t>
      </w:r>
      <w:r w:rsidRPr="00724342">
        <w:rPr>
          <w:sz w:val="22"/>
          <w:szCs w:val="22"/>
          <w:lang w:val="en-US"/>
        </w:rPr>
        <w:t xml:space="preserve"> </w:t>
      </w:r>
      <w:r w:rsidRPr="00724342">
        <w:rPr>
          <w:sz w:val="22"/>
          <w:szCs w:val="22"/>
        </w:rPr>
        <w:t>к</w:t>
      </w:r>
      <w:r w:rsidRPr="00724342">
        <w:rPr>
          <w:sz w:val="22"/>
          <w:szCs w:val="22"/>
          <w:lang w:val="en-US"/>
        </w:rPr>
        <w:t xml:space="preserve"> </w:t>
      </w:r>
      <w:r w:rsidRPr="00724342">
        <w:rPr>
          <w:sz w:val="22"/>
          <w:szCs w:val="22"/>
        </w:rPr>
        <w:t>ограниченности</w:t>
      </w:r>
      <w:r w:rsidRPr="00724342">
        <w:rPr>
          <w:sz w:val="22"/>
          <w:szCs w:val="22"/>
          <w:lang w:val="en-US"/>
        </w:rPr>
        <w:t xml:space="preserve"> </w:t>
      </w:r>
      <w:r w:rsidRPr="00724342">
        <w:rPr>
          <w:sz w:val="22"/>
          <w:szCs w:val="22"/>
        </w:rPr>
        <w:t>ресурсов</w:t>
      </w:r>
      <w:r w:rsidRPr="00724342">
        <w:rPr>
          <w:sz w:val="22"/>
          <w:szCs w:val="22"/>
          <w:lang w:val="en-US"/>
        </w:rPr>
        <w:t>.</w:t>
      </w:r>
    </w:p>
    <w:p w:rsidR="00724342" w:rsidRPr="00724342" w:rsidRDefault="00724342" w:rsidP="00850015">
      <w:pPr>
        <w:shd w:val="clear" w:color="auto" w:fill="FFFFFF"/>
        <w:tabs>
          <w:tab w:val="left" w:pos="2955"/>
        </w:tabs>
        <w:ind w:firstLine="426"/>
        <w:jc w:val="both"/>
        <w:rPr>
          <w:sz w:val="22"/>
          <w:szCs w:val="22"/>
        </w:rPr>
      </w:pPr>
      <w:r w:rsidRPr="00724342">
        <w:rPr>
          <w:sz w:val="22"/>
          <w:szCs w:val="22"/>
          <w:lang w:val="en-US"/>
        </w:rPr>
        <w:lastRenderedPageBreak/>
        <w:t>ABSTRACT: The problem of modern economy – limitation of ec</w:t>
      </w:r>
      <w:r w:rsidRPr="00724342">
        <w:rPr>
          <w:sz w:val="22"/>
          <w:szCs w:val="22"/>
          <w:lang w:val="en-US"/>
        </w:rPr>
        <w:t>o</w:t>
      </w:r>
      <w:r w:rsidRPr="00724342">
        <w:rPr>
          <w:sz w:val="22"/>
          <w:szCs w:val="22"/>
          <w:lang w:val="en-US"/>
        </w:rPr>
        <w:t>nomic resources is studied. The</w:t>
      </w:r>
      <w:r w:rsidRPr="00724342">
        <w:rPr>
          <w:sz w:val="22"/>
          <w:szCs w:val="22"/>
        </w:rPr>
        <w:t xml:space="preserve"> </w:t>
      </w:r>
      <w:r w:rsidRPr="00724342">
        <w:rPr>
          <w:sz w:val="22"/>
          <w:szCs w:val="22"/>
          <w:lang w:val="en-US"/>
        </w:rPr>
        <w:t>factors</w:t>
      </w:r>
      <w:r w:rsidRPr="00724342">
        <w:rPr>
          <w:sz w:val="22"/>
          <w:szCs w:val="22"/>
        </w:rPr>
        <w:t xml:space="preserve"> </w:t>
      </w:r>
      <w:r w:rsidRPr="00724342">
        <w:rPr>
          <w:sz w:val="22"/>
          <w:szCs w:val="22"/>
          <w:lang w:val="en-US"/>
        </w:rPr>
        <w:t>resulting</w:t>
      </w:r>
      <w:r w:rsidRPr="00724342">
        <w:rPr>
          <w:sz w:val="22"/>
          <w:szCs w:val="22"/>
        </w:rPr>
        <w:t xml:space="preserve"> </w:t>
      </w:r>
      <w:r w:rsidRPr="00724342">
        <w:rPr>
          <w:sz w:val="22"/>
          <w:szCs w:val="22"/>
          <w:lang w:val="en-US"/>
        </w:rPr>
        <w:t>in</w:t>
      </w:r>
      <w:r w:rsidRPr="00724342">
        <w:rPr>
          <w:sz w:val="22"/>
          <w:szCs w:val="22"/>
        </w:rPr>
        <w:t xml:space="preserve"> </w:t>
      </w:r>
      <w:r w:rsidRPr="00724342">
        <w:rPr>
          <w:sz w:val="22"/>
          <w:szCs w:val="22"/>
          <w:lang w:val="en-US"/>
        </w:rPr>
        <w:t>limitation</w:t>
      </w:r>
      <w:r w:rsidRPr="00724342">
        <w:rPr>
          <w:sz w:val="22"/>
          <w:szCs w:val="22"/>
        </w:rPr>
        <w:t xml:space="preserve"> </w:t>
      </w:r>
      <w:r w:rsidRPr="00724342">
        <w:rPr>
          <w:sz w:val="22"/>
          <w:szCs w:val="22"/>
          <w:lang w:val="en-US"/>
        </w:rPr>
        <w:t>of</w:t>
      </w:r>
      <w:r w:rsidRPr="00724342">
        <w:rPr>
          <w:sz w:val="22"/>
          <w:szCs w:val="22"/>
        </w:rPr>
        <w:t xml:space="preserve"> </w:t>
      </w:r>
      <w:r w:rsidRPr="00724342">
        <w:rPr>
          <w:sz w:val="22"/>
          <w:szCs w:val="22"/>
          <w:lang w:val="en-US"/>
        </w:rPr>
        <w:t>r</w:t>
      </w:r>
      <w:r w:rsidRPr="00724342">
        <w:rPr>
          <w:sz w:val="22"/>
          <w:szCs w:val="22"/>
          <w:lang w:val="en-US"/>
        </w:rPr>
        <w:t>e</w:t>
      </w:r>
      <w:r w:rsidRPr="00724342">
        <w:rPr>
          <w:sz w:val="22"/>
          <w:szCs w:val="22"/>
          <w:lang w:val="en-US"/>
        </w:rPr>
        <w:t>sources</w:t>
      </w:r>
      <w:r w:rsidRPr="00724342">
        <w:rPr>
          <w:sz w:val="22"/>
          <w:szCs w:val="22"/>
        </w:rPr>
        <w:t xml:space="preserve"> </w:t>
      </w:r>
      <w:r w:rsidRPr="00724342">
        <w:rPr>
          <w:sz w:val="22"/>
          <w:szCs w:val="22"/>
          <w:lang w:val="en-US"/>
        </w:rPr>
        <w:t>are</w:t>
      </w:r>
      <w:r w:rsidRPr="00724342">
        <w:rPr>
          <w:sz w:val="22"/>
          <w:szCs w:val="22"/>
        </w:rPr>
        <w:t xml:space="preserve"> </w:t>
      </w:r>
      <w:r w:rsidRPr="00724342">
        <w:rPr>
          <w:sz w:val="22"/>
          <w:szCs w:val="22"/>
          <w:lang w:val="en-US"/>
        </w:rPr>
        <w:t>revealed</w:t>
      </w:r>
      <w:r w:rsidRPr="00724342">
        <w:rPr>
          <w:sz w:val="22"/>
          <w:szCs w:val="22"/>
        </w:rPr>
        <w:t>.</w:t>
      </w:r>
    </w:p>
    <w:p w:rsidR="00724342" w:rsidRPr="00724342" w:rsidRDefault="00724342" w:rsidP="00850015">
      <w:pPr>
        <w:shd w:val="clear" w:color="auto" w:fill="FFFFFF"/>
        <w:ind w:firstLine="426"/>
        <w:jc w:val="both"/>
        <w:rPr>
          <w:sz w:val="22"/>
          <w:szCs w:val="22"/>
        </w:rPr>
      </w:pPr>
      <w:r w:rsidRPr="00724342">
        <w:rPr>
          <w:sz w:val="22"/>
          <w:szCs w:val="22"/>
        </w:rPr>
        <w:t>КЛЮЧЕВЫЕ СЛОВА: экономические ресурсы, эффективное использование, ограниченность, потребности, экономический в</w:t>
      </w:r>
      <w:r w:rsidRPr="00724342">
        <w:rPr>
          <w:sz w:val="22"/>
          <w:szCs w:val="22"/>
        </w:rPr>
        <w:t>ы</w:t>
      </w:r>
      <w:r w:rsidRPr="00724342">
        <w:rPr>
          <w:sz w:val="22"/>
          <w:szCs w:val="22"/>
        </w:rPr>
        <w:t>бор, ресурсное обеспечение.</w:t>
      </w:r>
    </w:p>
    <w:p w:rsidR="00724342" w:rsidRPr="00724342" w:rsidRDefault="00724342" w:rsidP="00850015">
      <w:pPr>
        <w:shd w:val="clear" w:color="auto" w:fill="FFFFFF"/>
        <w:ind w:firstLine="426"/>
        <w:jc w:val="both"/>
        <w:rPr>
          <w:sz w:val="22"/>
          <w:szCs w:val="22"/>
          <w:lang w:val="en-US"/>
        </w:rPr>
      </w:pPr>
      <w:r w:rsidRPr="00724342">
        <w:rPr>
          <w:sz w:val="22"/>
          <w:szCs w:val="22"/>
          <w:lang w:val="en-US"/>
        </w:rPr>
        <w:t>KEYWORDS: economic resources, effective use, limitations, needs, economic choices, resource support.</w:t>
      </w:r>
    </w:p>
    <w:p w:rsidR="00724342" w:rsidRPr="00724342" w:rsidRDefault="00724342" w:rsidP="00850015">
      <w:pPr>
        <w:spacing w:before="100" w:beforeAutospacing="1" w:afterAutospacing="1"/>
        <w:ind w:firstLine="426"/>
        <w:contextualSpacing/>
        <w:jc w:val="both"/>
        <w:rPr>
          <w:color w:val="000000"/>
          <w:sz w:val="22"/>
          <w:szCs w:val="22"/>
          <w:lang w:val="en-US"/>
        </w:rPr>
      </w:pP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t>Человечество живет в условиях ограниченности возможностей. Вследствие этого возникает проблема оптимального распределения ресурсов. Проблемой, порождаемой ограниченностью ресурсов, выступает конкуренция, возникающая между альтернативными способами использования имеющихся ресурсов. Эта проблема р</w:t>
      </w:r>
      <w:r w:rsidRPr="00724342">
        <w:rPr>
          <w:color w:val="000000"/>
          <w:sz w:val="22"/>
          <w:szCs w:val="22"/>
        </w:rPr>
        <w:t>е</w:t>
      </w:r>
      <w:r w:rsidRPr="00724342">
        <w:rPr>
          <w:color w:val="000000"/>
          <w:sz w:val="22"/>
          <w:szCs w:val="22"/>
        </w:rPr>
        <w:t>шается в рамках конкуренции альтернативной стоимости. Отсюда следует, что за каждое решение, связанное с выбором, приходится платить – это называется концепцией затрат на выбор. Данная ко</w:t>
      </w:r>
      <w:r w:rsidRPr="00724342">
        <w:rPr>
          <w:color w:val="000000"/>
          <w:sz w:val="22"/>
          <w:szCs w:val="22"/>
        </w:rPr>
        <w:t>н</w:t>
      </w:r>
      <w:r w:rsidRPr="00724342">
        <w:rPr>
          <w:color w:val="000000"/>
          <w:sz w:val="22"/>
          <w:szCs w:val="22"/>
        </w:rPr>
        <w:t>цепция утверждает, что реальную оценку любому благу можно дать только путем сравнения с теми альтернативными возможностями, которые мы отвергли.</w:t>
      </w: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t>Все экономические ресурсы (факторы производства) обладают одним общим коренным свойством: они имеются в ограниченном количестве. В связи с редкостью производственных ресурсов объем производства по необходимости ограничен. Общество не способно произвести весь объем товаров и услуг, который оно хотело бы п</w:t>
      </w:r>
      <w:r w:rsidRPr="00724342">
        <w:rPr>
          <w:color w:val="000000"/>
          <w:sz w:val="22"/>
          <w:szCs w:val="22"/>
        </w:rPr>
        <w:t>о</w:t>
      </w:r>
      <w:r w:rsidRPr="00724342">
        <w:rPr>
          <w:color w:val="000000"/>
          <w:sz w:val="22"/>
          <w:szCs w:val="22"/>
        </w:rPr>
        <w:t>требить. Ограниченность экономических ресурсов имеет относ</w:t>
      </w:r>
      <w:r w:rsidRPr="00724342">
        <w:rPr>
          <w:color w:val="000000"/>
          <w:sz w:val="22"/>
          <w:szCs w:val="22"/>
        </w:rPr>
        <w:t>и</w:t>
      </w:r>
      <w:r w:rsidRPr="00724342">
        <w:rPr>
          <w:color w:val="000000"/>
          <w:sz w:val="22"/>
          <w:szCs w:val="22"/>
        </w:rPr>
        <w:t>тельный характер, так как виновником возникновения данной пр</w:t>
      </w:r>
      <w:r w:rsidRPr="00724342">
        <w:rPr>
          <w:color w:val="000000"/>
          <w:sz w:val="22"/>
          <w:szCs w:val="22"/>
        </w:rPr>
        <w:t>о</w:t>
      </w:r>
      <w:r w:rsidRPr="00724342">
        <w:rPr>
          <w:color w:val="000000"/>
          <w:sz w:val="22"/>
          <w:szCs w:val="22"/>
        </w:rPr>
        <w:t>блемы выступает сам человек, а именно его потребность в огран</w:t>
      </w:r>
      <w:r w:rsidRPr="00724342">
        <w:rPr>
          <w:color w:val="000000"/>
          <w:sz w:val="22"/>
          <w:szCs w:val="22"/>
        </w:rPr>
        <w:t>и</w:t>
      </w:r>
      <w:r w:rsidRPr="00724342">
        <w:rPr>
          <w:color w:val="000000"/>
          <w:sz w:val="22"/>
          <w:szCs w:val="22"/>
        </w:rPr>
        <w:t>ченных природных ресурсах.</w:t>
      </w: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t>Экономические ресурсы возникают с приходом природных р</w:t>
      </w:r>
      <w:r w:rsidRPr="00724342">
        <w:rPr>
          <w:color w:val="000000"/>
          <w:sz w:val="22"/>
          <w:szCs w:val="22"/>
        </w:rPr>
        <w:t>е</w:t>
      </w:r>
      <w:r w:rsidRPr="00724342">
        <w:rPr>
          <w:color w:val="000000"/>
          <w:sz w:val="22"/>
          <w:szCs w:val="22"/>
        </w:rPr>
        <w:t>сурсов в производство. Потребление обеспечивает производство сырьем и материалами, производство в свою очередь дает потре</w:t>
      </w:r>
      <w:r w:rsidRPr="00724342">
        <w:rPr>
          <w:color w:val="000000"/>
          <w:sz w:val="22"/>
          <w:szCs w:val="22"/>
        </w:rPr>
        <w:t>б</w:t>
      </w:r>
      <w:r w:rsidRPr="00724342">
        <w:rPr>
          <w:color w:val="000000"/>
          <w:sz w:val="22"/>
          <w:szCs w:val="22"/>
        </w:rPr>
        <w:t>лению возможность поддерживать ресурсы в необходимых объ</w:t>
      </w:r>
      <w:r w:rsidRPr="00724342">
        <w:rPr>
          <w:color w:val="000000"/>
          <w:sz w:val="22"/>
          <w:szCs w:val="22"/>
        </w:rPr>
        <w:t>е</w:t>
      </w:r>
      <w:r w:rsidRPr="00724342">
        <w:rPr>
          <w:color w:val="000000"/>
          <w:sz w:val="22"/>
          <w:szCs w:val="22"/>
        </w:rPr>
        <w:t>мах. В жизни данный баланс соблюдается крайне редко. С ростом технических возможностей общества растут и потребности на огр</w:t>
      </w:r>
      <w:r w:rsidRPr="00724342">
        <w:rPr>
          <w:color w:val="000000"/>
          <w:sz w:val="22"/>
          <w:szCs w:val="22"/>
        </w:rPr>
        <w:t>а</w:t>
      </w:r>
      <w:r w:rsidRPr="00724342">
        <w:rPr>
          <w:color w:val="000000"/>
          <w:sz w:val="22"/>
          <w:szCs w:val="22"/>
        </w:rPr>
        <w:t>ниченные ресурсы с ускоренным темпом, приводя в дисбаланс с</w:t>
      </w:r>
      <w:r w:rsidRPr="00724342">
        <w:rPr>
          <w:color w:val="000000"/>
          <w:sz w:val="22"/>
          <w:szCs w:val="22"/>
        </w:rPr>
        <w:t>о</w:t>
      </w:r>
      <w:r w:rsidRPr="00724342">
        <w:rPr>
          <w:color w:val="000000"/>
          <w:sz w:val="22"/>
          <w:szCs w:val="22"/>
        </w:rPr>
        <w:t>ответствие потребностей возможностям [1].</w:t>
      </w: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lastRenderedPageBreak/>
        <w:t>Рассматривая иные категории экономических ресурсов можно выявить основные причины их ограниченности. Ограничивающий фактор каждой категории отличный от всех остальных.</w:t>
      </w: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t>Рассматривая категорию финансовых ресурсов можно сказать, что образование данных ресурсов происходит в рамках финансовых отношений, а их основой выступает хозяйственная деятельность. Ограниченность масштабов хозяйственных процессов в данном случае выступает основным фактором, ограничивающим данный вид экономических ресурсов. В ситуации превосходства объема финансовых ресурсов над объемом производства отпала бы необх</w:t>
      </w:r>
      <w:r w:rsidRPr="00724342">
        <w:rPr>
          <w:color w:val="000000"/>
          <w:sz w:val="22"/>
          <w:szCs w:val="22"/>
        </w:rPr>
        <w:t>о</w:t>
      </w:r>
      <w:r w:rsidRPr="00724342">
        <w:rPr>
          <w:color w:val="000000"/>
          <w:sz w:val="22"/>
          <w:szCs w:val="22"/>
        </w:rPr>
        <w:t>димость и актуальность данного производства [2].</w:t>
      </w:r>
    </w:p>
    <w:p w:rsidR="00724342" w:rsidRPr="00724342" w:rsidRDefault="00724342" w:rsidP="00850015">
      <w:pPr>
        <w:spacing w:before="100" w:beforeAutospacing="1" w:afterAutospacing="1"/>
        <w:ind w:firstLine="426"/>
        <w:contextualSpacing/>
        <w:jc w:val="both"/>
        <w:rPr>
          <w:color w:val="000000"/>
          <w:sz w:val="22"/>
          <w:szCs w:val="22"/>
        </w:rPr>
      </w:pPr>
      <w:r w:rsidRPr="00724342">
        <w:rPr>
          <w:color w:val="000000"/>
          <w:sz w:val="22"/>
          <w:szCs w:val="22"/>
        </w:rPr>
        <w:t>Следующая рассматриваемая категория – трудовые ресурсы [4]. Ограниченность данных ресурсов определяется такими дем</w:t>
      </w:r>
      <w:r w:rsidRPr="00724342">
        <w:rPr>
          <w:color w:val="000000"/>
          <w:sz w:val="22"/>
          <w:szCs w:val="22"/>
        </w:rPr>
        <w:t>о</w:t>
      </w:r>
      <w:r w:rsidRPr="00724342">
        <w:rPr>
          <w:color w:val="000000"/>
          <w:sz w:val="22"/>
          <w:szCs w:val="22"/>
        </w:rPr>
        <w:t>графическими факторами, как рождаемость, смертность, границы трудоспособного возраста. Не всё население способно трудиться, поэтому человечество ограничено в использовании труда. Повысить рождаемость или снизить смертность невозможно. Данный баланс контролирует сама природа, регулируя таким образом баланс эк</w:t>
      </w:r>
      <w:r w:rsidRPr="00724342">
        <w:rPr>
          <w:color w:val="000000"/>
          <w:sz w:val="22"/>
          <w:szCs w:val="22"/>
        </w:rPr>
        <w:t>о</w:t>
      </w:r>
      <w:r w:rsidRPr="00724342">
        <w:rPr>
          <w:color w:val="000000"/>
          <w:sz w:val="22"/>
          <w:szCs w:val="22"/>
        </w:rPr>
        <w:t>номических ресурсов данного вида. Последствием ограниченности экономических ресурсов являются постоянные попытки человеч</w:t>
      </w:r>
      <w:r w:rsidRPr="00724342">
        <w:rPr>
          <w:color w:val="000000"/>
          <w:sz w:val="22"/>
          <w:szCs w:val="22"/>
        </w:rPr>
        <w:t>е</w:t>
      </w:r>
      <w:r w:rsidRPr="00724342">
        <w:rPr>
          <w:color w:val="000000"/>
          <w:sz w:val="22"/>
          <w:szCs w:val="22"/>
        </w:rPr>
        <w:t>ства преодолеть данное явление. Основным способом решения пр</w:t>
      </w:r>
      <w:r w:rsidRPr="00724342">
        <w:rPr>
          <w:color w:val="000000"/>
          <w:sz w:val="22"/>
          <w:szCs w:val="22"/>
        </w:rPr>
        <w:t>о</w:t>
      </w:r>
      <w:r w:rsidRPr="00724342">
        <w:rPr>
          <w:color w:val="000000"/>
          <w:sz w:val="22"/>
          <w:szCs w:val="22"/>
        </w:rPr>
        <w:t>блемы ограниченности экономических ресурсов является поиск п</w:t>
      </w:r>
      <w:r w:rsidRPr="00724342">
        <w:rPr>
          <w:color w:val="000000"/>
          <w:sz w:val="22"/>
          <w:szCs w:val="22"/>
        </w:rPr>
        <w:t>у</w:t>
      </w:r>
      <w:r w:rsidRPr="00724342">
        <w:rPr>
          <w:color w:val="000000"/>
          <w:sz w:val="22"/>
          <w:szCs w:val="22"/>
        </w:rPr>
        <w:t>тей их эффективного использования. Инструменты преодоления ограниченности экономических ресурсов совершенствовались вм</w:t>
      </w:r>
      <w:r w:rsidRPr="00724342">
        <w:rPr>
          <w:color w:val="000000"/>
          <w:sz w:val="22"/>
          <w:szCs w:val="22"/>
        </w:rPr>
        <w:t>е</w:t>
      </w:r>
      <w:r w:rsidRPr="00724342">
        <w:rPr>
          <w:color w:val="000000"/>
          <w:sz w:val="22"/>
          <w:szCs w:val="22"/>
        </w:rPr>
        <w:t>сте с обществом. А. Маршалл заявлял, что при достаточных усил</w:t>
      </w:r>
      <w:r w:rsidRPr="00724342">
        <w:rPr>
          <w:color w:val="000000"/>
          <w:sz w:val="22"/>
          <w:szCs w:val="22"/>
        </w:rPr>
        <w:t>и</w:t>
      </w:r>
      <w:r w:rsidRPr="00724342">
        <w:rPr>
          <w:color w:val="000000"/>
          <w:sz w:val="22"/>
          <w:szCs w:val="22"/>
        </w:rPr>
        <w:t>ях человек способен заставить любую землю давать крупные ур</w:t>
      </w:r>
      <w:r w:rsidRPr="00724342">
        <w:rPr>
          <w:color w:val="000000"/>
          <w:sz w:val="22"/>
          <w:szCs w:val="22"/>
        </w:rPr>
        <w:t>о</w:t>
      </w:r>
      <w:r w:rsidRPr="00724342">
        <w:rPr>
          <w:color w:val="000000"/>
          <w:sz w:val="22"/>
          <w:szCs w:val="22"/>
        </w:rPr>
        <w:t>жаи [3]. В результате эволюции орудия труда претерпели измен</w:t>
      </w:r>
      <w:r w:rsidRPr="00724342">
        <w:rPr>
          <w:color w:val="000000"/>
          <w:sz w:val="22"/>
          <w:szCs w:val="22"/>
        </w:rPr>
        <w:t>е</w:t>
      </w:r>
      <w:r w:rsidRPr="00724342">
        <w:rPr>
          <w:color w:val="000000"/>
          <w:sz w:val="22"/>
          <w:szCs w:val="22"/>
        </w:rPr>
        <w:t>ния, и человечество сделало огромный шаг вперед.</w:t>
      </w:r>
    </w:p>
    <w:p w:rsidR="00724342" w:rsidRPr="00724342" w:rsidRDefault="00724342" w:rsidP="00850015">
      <w:pPr>
        <w:spacing w:before="100" w:beforeAutospacing="1" w:afterAutospacing="1"/>
        <w:ind w:firstLine="426"/>
        <w:contextualSpacing/>
        <w:jc w:val="both"/>
        <w:rPr>
          <w:color w:val="000000"/>
          <w:sz w:val="22"/>
          <w:szCs w:val="22"/>
          <w:shd w:val="clear" w:color="auto" w:fill="FFFFFF"/>
        </w:rPr>
      </w:pPr>
      <w:r w:rsidRPr="00724342">
        <w:rPr>
          <w:color w:val="000000"/>
          <w:sz w:val="22"/>
          <w:szCs w:val="22"/>
        </w:rPr>
        <w:t>В совокупности ограниченных ресурсов просматриваются вз</w:t>
      </w:r>
      <w:r w:rsidRPr="00724342">
        <w:rPr>
          <w:color w:val="000000"/>
          <w:sz w:val="22"/>
          <w:szCs w:val="22"/>
        </w:rPr>
        <w:t>а</w:t>
      </w:r>
      <w:r w:rsidRPr="00724342">
        <w:rPr>
          <w:color w:val="000000"/>
          <w:sz w:val="22"/>
          <w:szCs w:val="22"/>
        </w:rPr>
        <w:t>имосвязи. Каждая категория экономических ресурсов имеет свою ценность. Труд порождает производство, производство удовлетв</w:t>
      </w:r>
      <w:r w:rsidRPr="00724342">
        <w:rPr>
          <w:color w:val="000000"/>
          <w:sz w:val="22"/>
          <w:szCs w:val="22"/>
        </w:rPr>
        <w:t>о</w:t>
      </w:r>
      <w:r w:rsidRPr="00724342">
        <w:rPr>
          <w:color w:val="000000"/>
          <w:sz w:val="22"/>
          <w:szCs w:val="22"/>
        </w:rPr>
        <w:t>ряет потребности, ресурсы обеспечивают производство, финансы и потребности стимулируют труд. Анализируя данную проблемы можно прийти к выводу, что экономические ресурсы являются о</w:t>
      </w:r>
      <w:r w:rsidRPr="00724342">
        <w:rPr>
          <w:color w:val="000000"/>
          <w:sz w:val="22"/>
          <w:szCs w:val="22"/>
        </w:rPr>
        <w:t>с</w:t>
      </w:r>
      <w:r w:rsidRPr="00724342">
        <w:rPr>
          <w:color w:val="000000"/>
          <w:sz w:val="22"/>
          <w:szCs w:val="22"/>
        </w:rPr>
        <w:t>новой совершенствования производства и общества в целом. Э</w:t>
      </w:r>
      <w:r w:rsidRPr="00724342">
        <w:rPr>
          <w:color w:val="000000"/>
          <w:sz w:val="22"/>
          <w:szCs w:val="22"/>
        </w:rPr>
        <w:t>ф</w:t>
      </w:r>
      <w:r w:rsidRPr="00724342">
        <w:rPr>
          <w:color w:val="000000"/>
          <w:sz w:val="22"/>
          <w:szCs w:val="22"/>
        </w:rPr>
        <w:t>фективное использование экономических ресурсов является зал</w:t>
      </w:r>
      <w:r w:rsidRPr="00724342">
        <w:rPr>
          <w:color w:val="000000"/>
          <w:sz w:val="22"/>
          <w:szCs w:val="22"/>
        </w:rPr>
        <w:t>о</w:t>
      </w:r>
      <w:r w:rsidRPr="00724342">
        <w:rPr>
          <w:color w:val="000000"/>
          <w:sz w:val="22"/>
          <w:szCs w:val="22"/>
        </w:rPr>
        <w:t xml:space="preserve">гом устойчивого экономического развития. Основные резервы снабжения ресурсов часто содержатся в отсталых технологиях, не </w:t>
      </w:r>
      <w:r w:rsidRPr="00724342">
        <w:rPr>
          <w:color w:val="000000"/>
          <w:sz w:val="22"/>
          <w:szCs w:val="22"/>
        </w:rPr>
        <w:lastRenderedPageBreak/>
        <w:t>позволяющих использовать значительную часть природных ресу</w:t>
      </w:r>
      <w:r w:rsidRPr="00724342">
        <w:rPr>
          <w:color w:val="000000"/>
          <w:sz w:val="22"/>
          <w:szCs w:val="22"/>
        </w:rPr>
        <w:t>р</w:t>
      </w:r>
      <w:r w:rsidRPr="00724342">
        <w:rPr>
          <w:color w:val="000000"/>
          <w:sz w:val="22"/>
          <w:szCs w:val="22"/>
        </w:rPr>
        <w:t>сов. Выходом из сложившейся ситуации является развитие НТП и как следствие освоение новых видов ресурсов.</w:t>
      </w:r>
      <w:r w:rsidRPr="00724342">
        <w:rPr>
          <w:color w:val="000000"/>
          <w:sz w:val="22"/>
          <w:szCs w:val="22"/>
          <w:shd w:val="clear" w:color="auto" w:fill="FFFFFF"/>
        </w:rPr>
        <w:t xml:space="preserve"> </w:t>
      </w:r>
    </w:p>
    <w:p w:rsidR="00724342" w:rsidRPr="00724342" w:rsidRDefault="00724342" w:rsidP="00850015">
      <w:pPr>
        <w:spacing w:before="100" w:beforeAutospacing="1" w:afterAutospacing="1"/>
        <w:ind w:firstLine="426"/>
        <w:contextualSpacing/>
        <w:jc w:val="both"/>
        <w:rPr>
          <w:color w:val="000000"/>
          <w:sz w:val="22"/>
          <w:szCs w:val="22"/>
          <w:shd w:val="clear" w:color="auto" w:fill="FFFFFF"/>
        </w:rPr>
      </w:pPr>
    </w:p>
    <w:p w:rsidR="00724342" w:rsidRPr="00724342" w:rsidRDefault="00724342" w:rsidP="00850015">
      <w:pPr>
        <w:shd w:val="clear" w:color="auto" w:fill="FFFFFF"/>
        <w:ind w:firstLine="426"/>
        <w:contextualSpacing/>
        <w:jc w:val="center"/>
        <w:rPr>
          <w:color w:val="000000"/>
          <w:sz w:val="22"/>
          <w:szCs w:val="22"/>
        </w:rPr>
      </w:pPr>
      <w:r w:rsidRPr="00724342">
        <w:rPr>
          <w:color w:val="000000"/>
          <w:sz w:val="22"/>
          <w:szCs w:val="22"/>
        </w:rPr>
        <w:t>Список литературы</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1. Андрианова Н.В., Шарифуллина Г.Л. Ограниченность эк</w:t>
      </w:r>
      <w:r w:rsidRPr="00724342">
        <w:rPr>
          <w:rFonts w:eastAsiaTheme="minorHAnsi"/>
          <w:sz w:val="22"/>
          <w:szCs w:val="22"/>
          <w:lang w:eastAsia="en-US"/>
        </w:rPr>
        <w:t>о</w:t>
      </w:r>
      <w:r w:rsidRPr="00724342">
        <w:rPr>
          <w:rFonts w:eastAsiaTheme="minorHAnsi"/>
          <w:sz w:val="22"/>
          <w:szCs w:val="22"/>
          <w:lang w:eastAsia="en-US"/>
        </w:rPr>
        <w:t>номических ресурсов [Текст]: пособие/ Н.В. Андрианова.-М.: М</w:t>
      </w:r>
      <w:r w:rsidRPr="00724342">
        <w:rPr>
          <w:rFonts w:eastAsiaTheme="minorHAnsi"/>
          <w:sz w:val="22"/>
          <w:szCs w:val="22"/>
          <w:lang w:eastAsia="en-US"/>
        </w:rPr>
        <w:t>о</w:t>
      </w:r>
      <w:r w:rsidRPr="00724342">
        <w:rPr>
          <w:rFonts w:eastAsiaTheme="minorHAnsi"/>
          <w:sz w:val="22"/>
          <w:szCs w:val="22"/>
          <w:lang w:eastAsia="en-US"/>
        </w:rPr>
        <w:t>лодой ученый, 2015.-383 с.</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2. Данилов-Данильян В.И. Век глобализации экономики [Эле</w:t>
      </w:r>
      <w:r w:rsidRPr="00724342">
        <w:rPr>
          <w:rFonts w:eastAsiaTheme="minorHAnsi"/>
          <w:sz w:val="22"/>
          <w:szCs w:val="22"/>
          <w:lang w:eastAsia="en-US"/>
        </w:rPr>
        <w:t>к</w:t>
      </w:r>
      <w:r w:rsidRPr="00724342">
        <w:rPr>
          <w:rFonts w:eastAsiaTheme="minorHAnsi"/>
          <w:sz w:val="22"/>
          <w:szCs w:val="22"/>
          <w:lang w:eastAsia="en-US"/>
        </w:rPr>
        <w:t>тронный ресурс]. Режим доступа: http://www.socionauki.ru/ journal/articles/129824/</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 xml:space="preserve">3. Маршалл А. Основы экономической науки [Текст]: учебное пособие/ А. Маршалл.-М.:Эксмо, 2007.-285 с. </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4. Молчан А.С., Погребная Н.В. Инвестиционная активность в российской экономике и структурные сдвиги в формировании инв</w:t>
      </w:r>
      <w:r w:rsidRPr="00724342">
        <w:rPr>
          <w:rFonts w:eastAsiaTheme="minorHAnsi"/>
          <w:sz w:val="22"/>
          <w:szCs w:val="22"/>
          <w:lang w:eastAsia="en-US"/>
        </w:rPr>
        <w:t>е</w:t>
      </w:r>
      <w:r w:rsidRPr="00724342">
        <w:rPr>
          <w:rFonts w:eastAsiaTheme="minorHAnsi"/>
          <w:sz w:val="22"/>
          <w:szCs w:val="22"/>
          <w:lang w:eastAsia="en-US"/>
        </w:rPr>
        <w:t>стиционных ресурсов страны//Политематический сетевой эле</w:t>
      </w:r>
      <w:r w:rsidRPr="00724342">
        <w:rPr>
          <w:rFonts w:eastAsiaTheme="minorHAnsi"/>
          <w:sz w:val="22"/>
          <w:szCs w:val="22"/>
          <w:lang w:eastAsia="en-US"/>
        </w:rPr>
        <w:t>к</w:t>
      </w:r>
      <w:r w:rsidRPr="00724342">
        <w:rPr>
          <w:rFonts w:eastAsiaTheme="minorHAnsi"/>
          <w:sz w:val="22"/>
          <w:szCs w:val="22"/>
          <w:lang w:eastAsia="en-US"/>
        </w:rPr>
        <w:t xml:space="preserve">тронный научный журнал Кубанского государственного аграрного университета. 2017. № 129. С. 116-129.   </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 xml:space="preserve">5. Погребная Н.В. Иностранные инвестиции : учебное пособие / Краснодар, 2016. - 127с.  </w:t>
      </w:r>
    </w:p>
    <w:p w:rsidR="00724342" w:rsidRPr="00724342" w:rsidRDefault="00724342" w:rsidP="00850015">
      <w:pPr>
        <w:ind w:firstLine="426"/>
        <w:jc w:val="both"/>
        <w:rPr>
          <w:rFonts w:eastAsiaTheme="minorHAnsi"/>
          <w:sz w:val="22"/>
          <w:szCs w:val="22"/>
          <w:lang w:eastAsia="en-US"/>
        </w:rPr>
      </w:pPr>
      <w:r w:rsidRPr="00724342">
        <w:rPr>
          <w:rFonts w:eastAsiaTheme="minorHAnsi"/>
          <w:sz w:val="22"/>
          <w:szCs w:val="22"/>
          <w:lang w:eastAsia="en-US"/>
        </w:rPr>
        <w:t>6. Шевцов В.В., Погребная Н.В. О некоторых аспектах м</w:t>
      </w:r>
      <w:r w:rsidRPr="00724342">
        <w:rPr>
          <w:rFonts w:eastAsiaTheme="minorHAnsi"/>
          <w:sz w:val="22"/>
          <w:szCs w:val="22"/>
          <w:lang w:eastAsia="en-US"/>
        </w:rPr>
        <w:t>е</w:t>
      </w:r>
      <w:r w:rsidRPr="00724342">
        <w:rPr>
          <w:rFonts w:eastAsiaTheme="minorHAnsi"/>
          <w:sz w:val="22"/>
          <w:szCs w:val="22"/>
          <w:lang w:eastAsia="en-US"/>
        </w:rPr>
        <w:t>неджмента в период кризиса // Научные механизмы решения пр</w:t>
      </w:r>
      <w:r w:rsidRPr="00724342">
        <w:rPr>
          <w:rFonts w:eastAsiaTheme="minorHAnsi"/>
          <w:sz w:val="22"/>
          <w:szCs w:val="22"/>
          <w:lang w:eastAsia="en-US"/>
        </w:rPr>
        <w:t>о</w:t>
      </w:r>
      <w:r w:rsidRPr="00724342">
        <w:rPr>
          <w:rFonts w:eastAsiaTheme="minorHAnsi"/>
          <w:sz w:val="22"/>
          <w:szCs w:val="22"/>
          <w:lang w:eastAsia="en-US"/>
        </w:rPr>
        <w:t>блем инновационного развития: сборник статей Международной научно-практической конференции (1 апреля 2017 г., г. Уфа). В 4 ч. Ч. 2. -Уфа: АЭТЕРНА, 2017.</w:t>
      </w:r>
    </w:p>
    <w:p w:rsidR="00724342" w:rsidRPr="00724342" w:rsidRDefault="00724342" w:rsidP="00724342">
      <w:pPr>
        <w:rPr>
          <w:rFonts w:asciiTheme="minorHAnsi" w:eastAsiaTheme="minorHAnsi" w:hAnsiTheme="minorHAnsi" w:cstheme="minorBidi"/>
          <w:sz w:val="22"/>
          <w:szCs w:val="22"/>
          <w:lang w:eastAsia="en-US"/>
        </w:rPr>
      </w:pPr>
    </w:p>
    <w:p w:rsidR="00724342" w:rsidRPr="00724342" w:rsidRDefault="00724342" w:rsidP="00724342">
      <w:pPr>
        <w:jc w:val="both"/>
        <w:rPr>
          <w:sz w:val="22"/>
          <w:szCs w:val="24"/>
        </w:rPr>
      </w:pPr>
    </w:p>
    <w:p w:rsidR="00724342" w:rsidRPr="00724342" w:rsidRDefault="00E30511" w:rsidP="00E30511">
      <w:pPr>
        <w:rPr>
          <w:sz w:val="22"/>
          <w:szCs w:val="24"/>
        </w:rPr>
      </w:pPr>
      <w:r>
        <w:rPr>
          <w:sz w:val="22"/>
          <w:szCs w:val="24"/>
        </w:rPr>
        <w:br w:type="page"/>
      </w:r>
    </w:p>
    <w:p w:rsidR="00724342" w:rsidRPr="00724342" w:rsidRDefault="00724342" w:rsidP="00724342">
      <w:pPr>
        <w:jc w:val="both"/>
        <w:rPr>
          <w:sz w:val="22"/>
          <w:szCs w:val="24"/>
        </w:rPr>
      </w:pPr>
      <w:r w:rsidRPr="00724342">
        <w:rPr>
          <w:sz w:val="22"/>
          <w:szCs w:val="24"/>
        </w:rPr>
        <w:lastRenderedPageBreak/>
        <w:t>УДК 330.35</w:t>
      </w:r>
    </w:p>
    <w:p w:rsidR="00724342" w:rsidRPr="00724342" w:rsidRDefault="00724342" w:rsidP="00724342">
      <w:pPr>
        <w:jc w:val="both"/>
        <w:rPr>
          <w:sz w:val="24"/>
          <w:szCs w:val="24"/>
        </w:rPr>
      </w:pPr>
    </w:p>
    <w:p w:rsidR="00724342" w:rsidRPr="00724342" w:rsidRDefault="00724342" w:rsidP="00724342">
      <w:pPr>
        <w:jc w:val="center"/>
        <w:rPr>
          <w:b/>
          <w:sz w:val="24"/>
          <w:szCs w:val="24"/>
        </w:rPr>
      </w:pPr>
      <w:r w:rsidRPr="00724342">
        <w:rPr>
          <w:b/>
          <w:sz w:val="24"/>
          <w:szCs w:val="24"/>
        </w:rPr>
        <w:t>Перспективы роста и развития экономики</w:t>
      </w:r>
    </w:p>
    <w:p w:rsidR="00724342" w:rsidRPr="00724342" w:rsidRDefault="00724342" w:rsidP="00724342">
      <w:pPr>
        <w:jc w:val="center"/>
        <w:rPr>
          <w:b/>
          <w:sz w:val="24"/>
          <w:szCs w:val="24"/>
          <w:lang w:val="en-US"/>
        </w:rPr>
      </w:pPr>
      <w:r w:rsidRPr="00724342">
        <w:rPr>
          <w:b/>
          <w:sz w:val="24"/>
          <w:szCs w:val="24"/>
        </w:rPr>
        <w:t>Краснодарского</w:t>
      </w:r>
      <w:r w:rsidRPr="00724342">
        <w:rPr>
          <w:b/>
          <w:sz w:val="24"/>
          <w:szCs w:val="24"/>
          <w:lang w:val="en-US"/>
        </w:rPr>
        <w:t xml:space="preserve"> </w:t>
      </w:r>
      <w:r w:rsidRPr="00724342">
        <w:rPr>
          <w:b/>
          <w:sz w:val="24"/>
          <w:szCs w:val="24"/>
        </w:rPr>
        <w:t>края</w:t>
      </w:r>
    </w:p>
    <w:p w:rsidR="00724342" w:rsidRPr="00724342" w:rsidRDefault="00724342" w:rsidP="00724342">
      <w:pPr>
        <w:jc w:val="center"/>
        <w:rPr>
          <w:b/>
          <w:sz w:val="24"/>
          <w:szCs w:val="24"/>
          <w:lang w:val="en"/>
        </w:rPr>
      </w:pPr>
      <w:r w:rsidRPr="00724342">
        <w:rPr>
          <w:b/>
          <w:sz w:val="24"/>
          <w:szCs w:val="24"/>
          <w:lang w:val="en"/>
        </w:rPr>
        <w:t>Prospects for growth and development of the economy</w:t>
      </w:r>
    </w:p>
    <w:p w:rsidR="00724342" w:rsidRPr="00724342" w:rsidRDefault="00724342" w:rsidP="00724342">
      <w:pPr>
        <w:jc w:val="center"/>
        <w:rPr>
          <w:b/>
          <w:sz w:val="24"/>
          <w:szCs w:val="24"/>
          <w:lang w:val="en-US"/>
        </w:rPr>
      </w:pPr>
      <w:r w:rsidRPr="00724342">
        <w:rPr>
          <w:b/>
          <w:sz w:val="24"/>
          <w:szCs w:val="24"/>
          <w:lang w:val="en-US"/>
        </w:rPr>
        <w:t>o</w:t>
      </w:r>
      <w:r w:rsidRPr="00724342">
        <w:rPr>
          <w:b/>
          <w:sz w:val="24"/>
          <w:szCs w:val="24"/>
          <w:lang w:val="en"/>
        </w:rPr>
        <w:t>f the Krasnodar region</w:t>
      </w:r>
    </w:p>
    <w:p w:rsidR="00724342" w:rsidRPr="00724342" w:rsidRDefault="00724342" w:rsidP="00724342">
      <w:pPr>
        <w:jc w:val="center"/>
        <w:rPr>
          <w:b/>
          <w:sz w:val="24"/>
          <w:szCs w:val="24"/>
          <w:lang w:val="en-US"/>
        </w:rPr>
      </w:pPr>
    </w:p>
    <w:p w:rsidR="00724342" w:rsidRPr="00C56F2E" w:rsidRDefault="00724342" w:rsidP="00724342">
      <w:pPr>
        <w:jc w:val="right"/>
        <w:rPr>
          <w:sz w:val="22"/>
          <w:szCs w:val="24"/>
          <w:lang w:val="en-US"/>
        </w:rPr>
      </w:pPr>
      <w:r w:rsidRPr="00724342">
        <w:rPr>
          <w:sz w:val="22"/>
          <w:szCs w:val="24"/>
        </w:rPr>
        <w:t>Бызова</w:t>
      </w:r>
      <w:r w:rsidRPr="00724342">
        <w:rPr>
          <w:sz w:val="22"/>
          <w:szCs w:val="24"/>
          <w:lang w:val="en-US"/>
        </w:rPr>
        <w:t xml:space="preserve"> </w:t>
      </w:r>
      <w:r w:rsidRPr="00724342">
        <w:rPr>
          <w:sz w:val="22"/>
          <w:szCs w:val="24"/>
        </w:rPr>
        <w:t>В</w:t>
      </w:r>
      <w:r w:rsidRPr="00724342">
        <w:rPr>
          <w:sz w:val="22"/>
          <w:szCs w:val="24"/>
          <w:lang w:val="en-US"/>
        </w:rPr>
        <w:t xml:space="preserve">. </w:t>
      </w:r>
      <w:r w:rsidRPr="00724342">
        <w:rPr>
          <w:sz w:val="22"/>
          <w:szCs w:val="24"/>
        </w:rPr>
        <w:t>Е</w:t>
      </w:r>
      <w:r w:rsidRPr="00724342">
        <w:rPr>
          <w:sz w:val="22"/>
          <w:szCs w:val="24"/>
          <w:lang w:val="en-US"/>
        </w:rPr>
        <w:t>.</w:t>
      </w:r>
      <w:r w:rsidR="00850015" w:rsidRPr="00C56F2E">
        <w:rPr>
          <w:sz w:val="22"/>
          <w:szCs w:val="24"/>
          <w:lang w:val="en-US"/>
        </w:rPr>
        <w:t>,</w:t>
      </w:r>
    </w:p>
    <w:p w:rsidR="00724342" w:rsidRPr="00724342" w:rsidRDefault="00724342" w:rsidP="00724342">
      <w:pPr>
        <w:jc w:val="right"/>
        <w:rPr>
          <w:sz w:val="22"/>
          <w:szCs w:val="24"/>
        </w:rPr>
      </w:pPr>
      <w:r w:rsidRPr="00724342">
        <w:rPr>
          <w:sz w:val="22"/>
          <w:szCs w:val="24"/>
        </w:rPr>
        <w:t xml:space="preserve">студентка 3-го курса экономического факультета </w:t>
      </w:r>
    </w:p>
    <w:p w:rsidR="00724342" w:rsidRPr="00724342" w:rsidRDefault="00724342" w:rsidP="00724342">
      <w:pPr>
        <w:jc w:val="right"/>
        <w:rPr>
          <w:sz w:val="22"/>
          <w:szCs w:val="24"/>
        </w:rPr>
      </w:pPr>
      <w:r w:rsidRPr="00724342">
        <w:rPr>
          <w:sz w:val="22"/>
          <w:szCs w:val="24"/>
        </w:rPr>
        <w:t>Кубанский государственный аграрный</w:t>
      </w:r>
    </w:p>
    <w:p w:rsidR="00724342" w:rsidRPr="00724342" w:rsidRDefault="00724342" w:rsidP="00724342">
      <w:pPr>
        <w:jc w:val="right"/>
        <w:rPr>
          <w:sz w:val="22"/>
          <w:szCs w:val="24"/>
        </w:rPr>
      </w:pPr>
      <w:r w:rsidRPr="00724342">
        <w:rPr>
          <w:sz w:val="22"/>
          <w:szCs w:val="24"/>
        </w:rPr>
        <w:t>университет имени И. Т. Трубилина</w:t>
      </w:r>
    </w:p>
    <w:p w:rsidR="00724342" w:rsidRPr="00724342" w:rsidRDefault="00724342" w:rsidP="00724342">
      <w:pPr>
        <w:jc w:val="right"/>
        <w:rPr>
          <w:sz w:val="22"/>
          <w:szCs w:val="24"/>
        </w:rPr>
      </w:pPr>
    </w:p>
    <w:p w:rsidR="00724342" w:rsidRPr="00724342" w:rsidRDefault="00724342" w:rsidP="0041627D">
      <w:pPr>
        <w:ind w:firstLine="426"/>
        <w:jc w:val="both"/>
        <w:rPr>
          <w:sz w:val="22"/>
          <w:szCs w:val="22"/>
        </w:rPr>
      </w:pPr>
      <w:r w:rsidRPr="00724342">
        <w:rPr>
          <w:sz w:val="22"/>
          <w:szCs w:val="24"/>
        </w:rPr>
        <w:t>АННОТАЦИЯ.</w:t>
      </w:r>
      <w:r w:rsidRPr="00724342">
        <w:t xml:space="preserve"> </w:t>
      </w:r>
      <w:r w:rsidRPr="00724342">
        <w:rPr>
          <w:sz w:val="22"/>
          <w:szCs w:val="22"/>
        </w:rPr>
        <w:t>Исследование посвящено состоянию и тенде</w:t>
      </w:r>
      <w:r w:rsidRPr="00724342">
        <w:rPr>
          <w:sz w:val="22"/>
          <w:szCs w:val="22"/>
        </w:rPr>
        <w:t>н</w:t>
      </w:r>
      <w:r w:rsidRPr="00724342">
        <w:rPr>
          <w:sz w:val="22"/>
          <w:szCs w:val="22"/>
        </w:rPr>
        <w:t>циям развития экономики Краснодарского края. Приводятся осно</w:t>
      </w:r>
      <w:r w:rsidRPr="00724342">
        <w:rPr>
          <w:sz w:val="22"/>
          <w:szCs w:val="22"/>
        </w:rPr>
        <w:t>в</w:t>
      </w:r>
      <w:r w:rsidRPr="00724342">
        <w:rPr>
          <w:sz w:val="22"/>
          <w:szCs w:val="22"/>
        </w:rPr>
        <w:t>ные эффективные направления, с помощью которых экономика р</w:t>
      </w:r>
      <w:r w:rsidRPr="00724342">
        <w:rPr>
          <w:sz w:val="22"/>
          <w:szCs w:val="22"/>
        </w:rPr>
        <w:t>е</w:t>
      </w:r>
      <w:r w:rsidRPr="00724342">
        <w:rPr>
          <w:sz w:val="22"/>
          <w:szCs w:val="22"/>
        </w:rPr>
        <w:t xml:space="preserve">гиона сможет выйти на новый качественный уровень развития. </w:t>
      </w:r>
    </w:p>
    <w:p w:rsidR="00724342" w:rsidRPr="00724342" w:rsidRDefault="00724342" w:rsidP="0041627D">
      <w:pPr>
        <w:ind w:firstLine="426"/>
        <w:jc w:val="both"/>
        <w:rPr>
          <w:sz w:val="22"/>
          <w:szCs w:val="24"/>
          <w:lang w:val="en-US"/>
        </w:rPr>
      </w:pPr>
      <w:r w:rsidRPr="00724342">
        <w:rPr>
          <w:sz w:val="22"/>
          <w:szCs w:val="24"/>
          <w:lang w:val="en-US"/>
        </w:rPr>
        <w:t>ABSTRACT.</w:t>
      </w:r>
      <w:r w:rsidRPr="00724342">
        <w:rPr>
          <w:sz w:val="20"/>
          <w:szCs w:val="22"/>
          <w:lang w:val="en-US"/>
        </w:rPr>
        <w:t xml:space="preserve"> </w:t>
      </w:r>
      <w:r w:rsidRPr="00724342">
        <w:rPr>
          <w:sz w:val="22"/>
          <w:szCs w:val="22"/>
          <w:lang w:val="en"/>
        </w:rPr>
        <w:t>The study is devoted to the state and development trends of the economy of the Krasnodar region. The main effective dire</w:t>
      </w:r>
      <w:r w:rsidRPr="00724342">
        <w:rPr>
          <w:sz w:val="22"/>
          <w:szCs w:val="22"/>
          <w:lang w:val="en"/>
        </w:rPr>
        <w:t>c</w:t>
      </w:r>
      <w:r w:rsidRPr="00724342">
        <w:rPr>
          <w:sz w:val="22"/>
          <w:szCs w:val="22"/>
          <w:lang w:val="en"/>
        </w:rPr>
        <w:t>tions are presented, with the help of which the economy of the region will be able to enter a new qualitative level of development.</w:t>
      </w:r>
    </w:p>
    <w:p w:rsidR="00724342" w:rsidRPr="00724342" w:rsidRDefault="00724342" w:rsidP="0041627D">
      <w:pPr>
        <w:ind w:firstLine="426"/>
        <w:jc w:val="both"/>
        <w:rPr>
          <w:sz w:val="22"/>
          <w:szCs w:val="24"/>
        </w:rPr>
      </w:pPr>
      <w:r w:rsidRPr="00724342">
        <w:rPr>
          <w:sz w:val="22"/>
          <w:szCs w:val="24"/>
        </w:rPr>
        <w:t>КЛЮЧЕЫЕ СЛОВА: рост и развитие, экстенсивный и инте</w:t>
      </w:r>
      <w:r w:rsidRPr="00724342">
        <w:rPr>
          <w:sz w:val="22"/>
          <w:szCs w:val="24"/>
        </w:rPr>
        <w:t>н</w:t>
      </w:r>
      <w:r w:rsidRPr="00724342">
        <w:rPr>
          <w:sz w:val="22"/>
          <w:szCs w:val="24"/>
        </w:rPr>
        <w:t>сивный путь развития, Краснодарский край.</w:t>
      </w:r>
    </w:p>
    <w:p w:rsidR="00724342" w:rsidRPr="00724342" w:rsidRDefault="00724342" w:rsidP="0041627D">
      <w:pPr>
        <w:ind w:firstLine="426"/>
        <w:jc w:val="both"/>
        <w:rPr>
          <w:sz w:val="22"/>
          <w:szCs w:val="24"/>
          <w:lang w:val="en-US"/>
        </w:rPr>
      </w:pPr>
      <w:r w:rsidRPr="00724342">
        <w:rPr>
          <w:sz w:val="22"/>
          <w:szCs w:val="24"/>
          <w:lang w:val="en-US"/>
        </w:rPr>
        <w:t>KEYWORDS:</w:t>
      </w:r>
      <w:r w:rsidRPr="00724342">
        <w:rPr>
          <w:sz w:val="20"/>
          <w:szCs w:val="22"/>
          <w:lang w:val="en-US"/>
        </w:rPr>
        <w:t xml:space="preserve"> </w:t>
      </w:r>
      <w:r w:rsidRPr="00724342">
        <w:rPr>
          <w:sz w:val="22"/>
          <w:szCs w:val="22"/>
          <w:lang w:val="en"/>
        </w:rPr>
        <w:t>growth and development, extensive and intensive development, Krasnodar region.</w:t>
      </w:r>
    </w:p>
    <w:p w:rsidR="00724342" w:rsidRPr="00724342" w:rsidRDefault="00724342" w:rsidP="0041627D">
      <w:pPr>
        <w:ind w:firstLine="426"/>
        <w:jc w:val="both"/>
        <w:rPr>
          <w:sz w:val="24"/>
          <w:szCs w:val="24"/>
          <w:lang w:val="en-US"/>
        </w:rPr>
      </w:pPr>
    </w:p>
    <w:p w:rsidR="00724342" w:rsidRPr="00724342" w:rsidRDefault="00724342" w:rsidP="0041627D">
      <w:pPr>
        <w:ind w:firstLine="426"/>
        <w:jc w:val="both"/>
        <w:rPr>
          <w:sz w:val="22"/>
          <w:szCs w:val="22"/>
        </w:rPr>
      </w:pPr>
      <w:r w:rsidRPr="00724342">
        <w:rPr>
          <w:sz w:val="22"/>
          <w:szCs w:val="22"/>
        </w:rPr>
        <w:t xml:space="preserve">Под </w:t>
      </w:r>
      <w:r w:rsidRPr="00724342">
        <w:rPr>
          <w:bCs/>
          <w:sz w:val="22"/>
          <w:szCs w:val="22"/>
        </w:rPr>
        <w:t>экономическим ростом</w:t>
      </w:r>
      <w:r w:rsidRPr="00724342">
        <w:rPr>
          <w:sz w:val="22"/>
          <w:szCs w:val="22"/>
        </w:rPr>
        <w:t xml:space="preserve"> понимается такое развитие наци</w:t>
      </w:r>
      <w:r w:rsidRPr="00724342">
        <w:rPr>
          <w:sz w:val="22"/>
          <w:szCs w:val="22"/>
        </w:rPr>
        <w:t>о</w:t>
      </w:r>
      <w:r w:rsidRPr="00724342">
        <w:rPr>
          <w:sz w:val="22"/>
          <w:szCs w:val="22"/>
        </w:rPr>
        <w:t>нального хозяйства, при котором увеличивается реальный объем производства – внутренний валовый продукт [4]. Экономический рост приводит к социальному прогрессу,  увеличивает прибавочный продукт, а следовательно, прибыль домохозяйств и хозяйствующих субъектов, которая в итоге расходуется на расширение произво</w:t>
      </w:r>
      <w:r w:rsidRPr="00724342">
        <w:rPr>
          <w:sz w:val="22"/>
          <w:szCs w:val="22"/>
        </w:rPr>
        <w:t>д</w:t>
      </w:r>
      <w:r w:rsidRPr="00724342">
        <w:rPr>
          <w:sz w:val="22"/>
          <w:szCs w:val="22"/>
        </w:rPr>
        <w:t xml:space="preserve">ства и повышение экономических показателей. </w:t>
      </w:r>
    </w:p>
    <w:p w:rsidR="00724342" w:rsidRPr="00724342" w:rsidRDefault="00724342" w:rsidP="0041627D">
      <w:pPr>
        <w:ind w:firstLine="426"/>
        <w:jc w:val="both"/>
        <w:rPr>
          <w:sz w:val="22"/>
          <w:szCs w:val="22"/>
        </w:rPr>
      </w:pPr>
      <w:r w:rsidRPr="00724342">
        <w:rPr>
          <w:sz w:val="22"/>
          <w:szCs w:val="22"/>
        </w:rPr>
        <w:t>Выделяют два пути роста экономики: экстенсивный и инте</w:t>
      </w:r>
      <w:r w:rsidRPr="00724342">
        <w:rPr>
          <w:sz w:val="22"/>
          <w:szCs w:val="22"/>
        </w:rPr>
        <w:t>н</w:t>
      </w:r>
      <w:r w:rsidRPr="00724342">
        <w:rPr>
          <w:sz w:val="22"/>
          <w:szCs w:val="22"/>
        </w:rPr>
        <w:t>сивный. Экстенсивный путь – рост происходит за счет увеличения объемов затрачиваемых ресурсов. Интенсивный – качественное улучшение: повышение  производственных мощностей, квалифик</w:t>
      </w:r>
      <w:r w:rsidRPr="00724342">
        <w:rPr>
          <w:sz w:val="22"/>
          <w:szCs w:val="22"/>
        </w:rPr>
        <w:t>а</w:t>
      </w:r>
      <w:r w:rsidRPr="00724342">
        <w:rPr>
          <w:sz w:val="22"/>
          <w:szCs w:val="22"/>
        </w:rPr>
        <w:t xml:space="preserve">ции персонала, применение новейших НИОКР  и т.д. Для более </w:t>
      </w:r>
      <w:r w:rsidRPr="00724342">
        <w:rPr>
          <w:sz w:val="22"/>
          <w:szCs w:val="22"/>
        </w:rPr>
        <w:lastRenderedPageBreak/>
        <w:t>успешного роста необходимы применения обоих методов, это об</w:t>
      </w:r>
      <w:r w:rsidRPr="00724342">
        <w:rPr>
          <w:sz w:val="22"/>
          <w:szCs w:val="22"/>
        </w:rPr>
        <w:t>у</w:t>
      </w:r>
      <w:r w:rsidRPr="00724342">
        <w:rPr>
          <w:sz w:val="22"/>
          <w:szCs w:val="22"/>
        </w:rPr>
        <w:t>славливается не только экономическими показателями, а также с</w:t>
      </w:r>
      <w:r w:rsidRPr="00724342">
        <w:rPr>
          <w:sz w:val="22"/>
          <w:szCs w:val="22"/>
        </w:rPr>
        <w:t>о</w:t>
      </w:r>
      <w:r w:rsidRPr="00724342">
        <w:rPr>
          <w:sz w:val="22"/>
          <w:szCs w:val="22"/>
        </w:rPr>
        <w:t xml:space="preserve">циальными и политическими. </w:t>
      </w:r>
    </w:p>
    <w:p w:rsidR="00724342" w:rsidRPr="00724342" w:rsidRDefault="00724342" w:rsidP="0041627D">
      <w:pPr>
        <w:ind w:firstLine="426"/>
        <w:jc w:val="both"/>
        <w:rPr>
          <w:sz w:val="22"/>
          <w:szCs w:val="22"/>
        </w:rPr>
      </w:pPr>
      <w:r w:rsidRPr="00724342">
        <w:rPr>
          <w:sz w:val="22"/>
          <w:szCs w:val="22"/>
        </w:rPr>
        <w:t>Экономическое развитие – расширенное воспроизводство и п</w:t>
      </w:r>
      <w:r w:rsidRPr="00724342">
        <w:rPr>
          <w:sz w:val="22"/>
          <w:szCs w:val="22"/>
        </w:rPr>
        <w:t>о</w:t>
      </w:r>
      <w:r w:rsidRPr="00724342">
        <w:rPr>
          <w:sz w:val="22"/>
          <w:szCs w:val="22"/>
        </w:rPr>
        <w:t xml:space="preserve">степенные качественные и структурные положительные изменения экономики, производительных сил, образования, науки, культуры, уровня и качества жизни населения, человеческого капитала [3]. </w:t>
      </w:r>
    </w:p>
    <w:p w:rsidR="00724342" w:rsidRPr="00724342" w:rsidRDefault="00724342" w:rsidP="0041627D">
      <w:pPr>
        <w:ind w:firstLine="426"/>
        <w:jc w:val="both"/>
        <w:rPr>
          <w:sz w:val="22"/>
          <w:szCs w:val="22"/>
        </w:rPr>
      </w:pPr>
      <w:r w:rsidRPr="00724342">
        <w:rPr>
          <w:sz w:val="22"/>
          <w:szCs w:val="22"/>
        </w:rPr>
        <w:t>Понятие «экономическое развитие» включает в себя эконом</w:t>
      </w:r>
      <w:r w:rsidRPr="00724342">
        <w:rPr>
          <w:sz w:val="22"/>
          <w:szCs w:val="22"/>
        </w:rPr>
        <w:t>и</w:t>
      </w:r>
      <w:r w:rsidRPr="00724342">
        <w:rPr>
          <w:sz w:val="22"/>
          <w:szCs w:val="22"/>
        </w:rPr>
        <w:t>ческий рост, также с его помощью анализируются и сравниваются экономики стран мира.</w:t>
      </w:r>
    </w:p>
    <w:p w:rsidR="00724342" w:rsidRPr="00724342" w:rsidRDefault="00724342" w:rsidP="0041627D">
      <w:pPr>
        <w:ind w:firstLine="426"/>
        <w:jc w:val="both"/>
        <w:rPr>
          <w:sz w:val="22"/>
          <w:szCs w:val="22"/>
        </w:rPr>
      </w:pPr>
      <w:r w:rsidRPr="00724342">
        <w:rPr>
          <w:sz w:val="22"/>
          <w:szCs w:val="22"/>
        </w:rPr>
        <w:t>При оценке экономического роста используют следующие п</w:t>
      </w:r>
      <w:r w:rsidRPr="00724342">
        <w:rPr>
          <w:sz w:val="22"/>
          <w:szCs w:val="22"/>
        </w:rPr>
        <w:t>о</w:t>
      </w:r>
      <w:r w:rsidRPr="00724342">
        <w:rPr>
          <w:sz w:val="22"/>
          <w:szCs w:val="22"/>
        </w:rPr>
        <w:t>казатели:</w:t>
      </w:r>
    </w:p>
    <w:p w:rsidR="00724342" w:rsidRPr="00724342" w:rsidRDefault="00724342" w:rsidP="0041627D">
      <w:pPr>
        <w:ind w:firstLine="426"/>
        <w:jc w:val="both"/>
        <w:rPr>
          <w:sz w:val="22"/>
          <w:szCs w:val="22"/>
        </w:rPr>
      </w:pPr>
      <w:r w:rsidRPr="00724342">
        <w:rPr>
          <w:sz w:val="22"/>
          <w:szCs w:val="22"/>
        </w:rPr>
        <w:t>1) увеличение доходов и расходов население;</w:t>
      </w:r>
    </w:p>
    <w:p w:rsidR="00724342" w:rsidRPr="00724342" w:rsidRDefault="00724342" w:rsidP="0041627D">
      <w:pPr>
        <w:ind w:firstLine="426"/>
        <w:jc w:val="both"/>
        <w:rPr>
          <w:sz w:val="22"/>
          <w:szCs w:val="22"/>
        </w:rPr>
      </w:pPr>
      <w:r w:rsidRPr="00724342">
        <w:rPr>
          <w:sz w:val="22"/>
          <w:szCs w:val="22"/>
        </w:rPr>
        <w:t>2) повышение темпов роста производства. Стоит отметить, что 55–70% роста дохода на душу населения происходит из-за повыш</w:t>
      </w:r>
      <w:r w:rsidRPr="00724342">
        <w:rPr>
          <w:sz w:val="22"/>
          <w:szCs w:val="22"/>
        </w:rPr>
        <w:t>е</w:t>
      </w:r>
      <w:r w:rsidRPr="00724342">
        <w:rPr>
          <w:sz w:val="22"/>
          <w:szCs w:val="22"/>
        </w:rPr>
        <w:t>ния производительности труда [1,2];</w:t>
      </w:r>
    </w:p>
    <w:p w:rsidR="00724342" w:rsidRPr="00724342" w:rsidRDefault="00724342" w:rsidP="0041627D">
      <w:pPr>
        <w:ind w:firstLine="426"/>
        <w:jc w:val="both"/>
        <w:rPr>
          <w:sz w:val="22"/>
          <w:szCs w:val="22"/>
        </w:rPr>
      </w:pPr>
      <w:r w:rsidRPr="00724342">
        <w:rPr>
          <w:sz w:val="22"/>
          <w:szCs w:val="22"/>
        </w:rPr>
        <w:t>3) изменение структуры экономики, связанное с увеличением числа городских жителей по отношению к жителям сельской мес</w:t>
      </w:r>
      <w:r w:rsidRPr="00724342">
        <w:rPr>
          <w:sz w:val="22"/>
          <w:szCs w:val="22"/>
        </w:rPr>
        <w:t>т</w:t>
      </w:r>
      <w:r w:rsidRPr="00724342">
        <w:rPr>
          <w:sz w:val="22"/>
          <w:szCs w:val="22"/>
        </w:rPr>
        <w:t>ности;</w:t>
      </w:r>
    </w:p>
    <w:p w:rsidR="00724342" w:rsidRPr="00724342" w:rsidRDefault="00724342" w:rsidP="0041627D">
      <w:pPr>
        <w:ind w:firstLine="426"/>
        <w:jc w:val="both"/>
        <w:rPr>
          <w:sz w:val="22"/>
          <w:szCs w:val="22"/>
        </w:rPr>
      </w:pPr>
      <w:r w:rsidRPr="00724342">
        <w:rPr>
          <w:sz w:val="22"/>
          <w:szCs w:val="22"/>
        </w:rPr>
        <w:t>4) общее международное развитие экономики.</w:t>
      </w:r>
    </w:p>
    <w:p w:rsidR="00724342" w:rsidRPr="00724342" w:rsidRDefault="00724342" w:rsidP="0041627D">
      <w:pPr>
        <w:ind w:firstLine="426"/>
        <w:jc w:val="both"/>
        <w:rPr>
          <w:sz w:val="22"/>
          <w:szCs w:val="22"/>
        </w:rPr>
      </w:pPr>
      <w:r w:rsidRPr="00724342">
        <w:rPr>
          <w:sz w:val="22"/>
          <w:szCs w:val="22"/>
        </w:rPr>
        <w:t>Экономический рост – приоритетная задача государства. Он обеспечивает повышение экономических, политических, социал</w:t>
      </w:r>
      <w:r w:rsidRPr="00724342">
        <w:rPr>
          <w:sz w:val="22"/>
          <w:szCs w:val="22"/>
        </w:rPr>
        <w:t>ь</w:t>
      </w:r>
      <w:r w:rsidRPr="00724342">
        <w:rPr>
          <w:sz w:val="22"/>
          <w:szCs w:val="22"/>
        </w:rPr>
        <w:t>ных и многих  других показателей, способствует прогрессу страны в целом и позволяет войти в конкурентную гонку с ключевыми странами мира.</w:t>
      </w:r>
    </w:p>
    <w:p w:rsidR="00724342" w:rsidRPr="00724342" w:rsidRDefault="00724342" w:rsidP="0041627D">
      <w:pPr>
        <w:ind w:firstLine="426"/>
        <w:jc w:val="both"/>
        <w:rPr>
          <w:sz w:val="22"/>
          <w:szCs w:val="22"/>
        </w:rPr>
      </w:pPr>
      <w:r w:rsidRPr="00724342">
        <w:rPr>
          <w:sz w:val="22"/>
          <w:szCs w:val="22"/>
        </w:rPr>
        <w:t>В условиях современного мира очень важно соблюдать экон</w:t>
      </w:r>
      <w:r w:rsidRPr="00724342">
        <w:rPr>
          <w:sz w:val="22"/>
          <w:szCs w:val="22"/>
        </w:rPr>
        <w:t>о</w:t>
      </w:r>
      <w:r w:rsidRPr="00724342">
        <w:rPr>
          <w:sz w:val="22"/>
          <w:szCs w:val="22"/>
        </w:rPr>
        <w:t>мическую безопасность. Экономическая безопасность представляет собой область научного знания, в рамках которой изучают состо</w:t>
      </w:r>
      <w:r w:rsidRPr="00724342">
        <w:rPr>
          <w:sz w:val="22"/>
          <w:szCs w:val="22"/>
        </w:rPr>
        <w:t>я</w:t>
      </w:r>
      <w:r w:rsidRPr="00724342">
        <w:rPr>
          <w:sz w:val="22"/>
          <w:szCs w:val="22"/>
        </w:rPr>
        <w:t>ние экономики, при котором обеспечивается достаточно высокий и устойчивый рост экономических показателей и защита экономич</w:t>
      </w:r>
      <w:r w:rsidRPr="00724342">
        <w:rPr>
          <w:sz w:val="22"/>
          <w:szCs w:val="22"/>
        </w:rPr>
        <w:t>е</w:t>
      </w:r>
      <w:r w:rsidRPr="00724342">
        <w:rPr>
          <w:sz w:val="22"/>
          <w:szCs w:val="22"/>
        </w:rPr>
        <w:t>ских интересов страны на национальном и международном уровнях. Она является одной из самых важных характеристик страны, осно</w:t>
      </w:r>
      <w:r w:rsidRPr="00724342">
        <w:rPr>
          <w:sz w:val="22"/>
          <w:szCs w:val="22"/>
        </w:rPr>
        <w:t>в</w:t>
      </w:r>
      <w:r w:rsidRPr="00724342">
        <w:rPr>
          <w:sz w:val="22"/>
          <w:szCs w:val="22"/>
        </w:rPr>
        <w:t xml:space="preserve">ная ее задача – обеспечение комфортной жизни населения. </w:t>
      </w:r>
    </w:p>
    <w:p w:rsidR="00724342" w:rsidRPr="00724342" w:rsidRDefault="00724342" w:rsidP="0041627D">
      <w:pPr>
        <w:ind w:firstLine="426"/>
        <w:jc w:val="both"/>
        <w:rPr>
          <w:sz w:val="22"/>
          <w:szCs w:val="22"/>
        </w:rPr>
      </w:pPr>
      <w:r w:rsidRPr="00724342">
        <w:rPr>
          <w:sz w:val="22"/>
          <w:szCs w:val="22"/>
        </w:rPr>
        <w:t>Невзирая на неблагоприятный характер обстановки в мире, экономика Краснодарского края за счет разнообразия рынка стр</w:t>
      </w:r>
      <w:r w:rsidRPr="00724342">
        <w:rPr>
          <w:sz w:val="22"/>
          <w:szCs w:val="22"/>
        </w:rPr>
        <w:t>е</w:t>
      </w:r>
      <w:r w:rsidRPr="00724342">
        <w:rPr>
          <w:sz w:val="22"/>
          <w:szCs w:val="22"/>
        </w:rPr>
        <w:t>мительно реагирует на изменяющуюся обстановку и поэтапно пр</w:t>
      </w:r>
      <w:r w:rsidRPr="00724342">
        <w:rPr>
          <w:sz w:val="22"/>
          <w:szCs w:val="22"/>
        </w:rPr>
        <w:t>е</w:t>
      </w:r>
      <w:r w:rsidRPr="00724342">
        <w:rPr>
          <w:sz w:val="22"/>
          <w:szCs w:val="22"/>
        </w:rPr>
        <w:t xml:space="preserve">одолевает тяжелый период. </w:t>
      </w:r>
    </w:p>
    <w:p w:rsidR="00724342" w:rsidRPr="00724342" w:rsidRDefault="00724342" w:rsidP="0041627D">
      <w:pPr>
        <w:ind w:firstLine="426"/>
        <w:jc w:val="both"/>
        <w:rPr>
          <w:sz w:val="22"/>
          <w:szCs w:val="22"/>
        </w:rPr>
      </w:pPr>
      <w:r w:rsidRPr="00724342">
        <w:rPr>
          <w:sz w:val="22"/>
          <w:szCs w:val="22"/>
        </w:rPr>
        <w:lastRenderedPageBreak/>
        <w:t>Анализ показателей итого деятельности за 2017 год, свидетел</w:t>
      </w:r>
      <w:r w:rsidRPr="00724342">
        <w:rPr>
          <w:sz w:val="22"/>
          <w:szCs w:val="22"/>
        </w:rPr>
        <w:t>ь</w:t>
      </w:r>
      <w:r w:rsidRPr="00724342">
        <w:rPr>
          <w:sz w:val="22"/>
          <w:szCs w:val="22"/>
        </w:rPr>
        <w:t>ствуют, что большая часть сегментов рынка экономики Краснода</w:t>
      </w:r>
      <w:r w:rsidRPr="00724342">
        <w:rPr>
          <w:sz w:val="22"/>
          <w:szCs w:val="22"/>
        </w:rPr>
        <w:t>р</w:t>
      </w:r>
      <w:r w:rsidRPr="00724342">
        <w:rPr>
          <w:sz w:val="22"/>
          <w:szCs w:val="22"/>
        </w:rPr>
        <w:t>ского края проявили позитивную динамику. На рынке, как и ран</w:t>
      </w:r>
      <w:r w:rsidRPr="00724342">
        <w:rPr>
          <w:sz w:val="22"/>
          <w:szCs w:val="22"/>
        </w:rPr>
        <w:t>ь</w:t>
      </w:r>
      <w:r w:rsidRPr="00724342">
        <w:rPr>
          <w:sz w:val="22"/>
          <w:szCs w:val="22"/>
        </w:rPr>
        <w:t>ше, предпочтение отдается услугам. Заметен рост в туристическом бизнесе (прирост более 10%), отдыхающих насчитывается более 13 млн человек в год.  В 2018 год прогнозируется увеличение темпа роста экономики Краснодарского края за счет туристов и гостей, а также повышения производительности предприятий и дохода нас</w:t>
      </w:r>
      <w:r w:rsidRPr="00724342">
        <w:rPr>
          <w:sz w:val="22"/>
          <w:szCs w:val="22"/>
        </w:rPr>
        <w:t>е</w:t>
      </w:r>
      <w:r w:rsidRPr="00724342">
        <w:rPr>
          <w:sz w:val="22"/>
          <w:szCs w:val="22"/>
        </w:rPr>
        <w:t>ления.</w:t>
      </w:r>
    </w:p>
    <w:p w:rsidR="00724342" w:rsidRPr="00724342" w:rsidRDefault="00724342" w:rsidP="0041627D">
      <w:pPr>
        <w:shd w:val="clear" w:color="auto" w:fill="FFFFFF"/>
        <w:ind w:firstLine="426"/>
        <w:jc w:val="both"/>
        <w:textAlignment w:val="baseline"/>
        <w:rPr>
          <w:sz w:val="22"/>
          <w:szCs w:val="22"/>
        </w:rPr>
      </w:pPr>
      <w:r w:rsidRPr="00724342">
        <w:rPr>
          <w:sz w:val="22"/>
          <w:szCs w:val="22"/>
        </w:rPr>
        <w:t>Агропромышленный комплекс Краснодарского края определ</w:t>
      </w:r>
      <w:r w:rsidRPr="00724342">
        <w:rPr>
          <w:sz w:val="22"/>
          <w:szCs w:val="22"/>
        </w:rPr>
        <w:t>я</w:t>
      </w:r>
      <w:r w:rsidRPr="00724342">
        <w:rPr>
          <w:sz w:val="22"/>
          <w:szCs w:val="22"/>
        </w:rPr>
        <w:t>ет уровень жизни более 45% населения региона, проживающего в сельской местности, из которых более 60% заняты на предприятиях АПК. Поскольку в 40% муниципальных образований Краснода</w:t>
      </w:r>
      <w:r w:rsidRPr="00724342">
        <w:rPr>
          <w:sz w:val="22"/>
          <w:szCs w:val="22"/>
        </w:rPr>
        <w:t>р</w:t>
      </w:r>
      <w:r w:rsidRPr="00724342">
        <w:rPr>
          <w:sz w:val="22"/>
          <w:szCs w:val="22"/>
        </w:rPr>
        <w:t>ского края базовым направлением в структуре экономики является сельское хозяйство, то от уровня и динамики развития АПК зависит экономика многих территорий региона, качество жизни и благос</w:t>
      </w:r>
      <w:r w:rsidRPr="00724342">
        <w:rPr>
          <w:sz w:val="22"/>
          <w:szCs w:val="22"/>
        </w:rPr>
        <w:t>о</w:t>
      </w:r>
      <w:r w:rsidRPr="00724342">
        <w:rPr>
          <w:sz w:val="22"/>
          <w:szCs w:val="22"/>
        </w:rPr>
        <w:t>стояние сельского населения. Край является лидером в России по общим и среднедушевым объемам сельхозпроизводства. Для сохр</w:t>
      </w:r>
      <w:r w:rsidRPr="00724342">
        <w:rPr>
          <w:sz w:val="22"/>
          <w:szCs w:val="22"/>
        </w:rPr>
        <w:t>а</w:t>
      </w:r>
      <w:r w:rsidRPr="00724342">
        <w:rPr>
          <w:sz w:val="22"/>
          <w:szCs w:val="22"/>
        </w:rPr>
        <w:t>нения положительной динамики, необходимо осуществлять мер</w:t>
      </w:r>
      <w:r w:rsidRPr="00724342">
        <w:rPr>
          <w:sz w:val="22"/>
          <w:szCs w:val="22"/>
        </w:rPr>
        <w:t>о</w:t>
      </w:r>
      <w:r w:rsidRPr="00724342">
        <w:rPr>
          <w:sz w:val="22"/>
          <w:szCs w:val="22"/>
        </w:rPr>
        <w:t>приятия по повышению интенсификации сельскохозяйственного производства.</w:t>
      </w:r>
    </w:p>
    <w:p w:rsidR="00724342" w:rsidRPr="00724342" w:rsidRDefault="00724342" w:rsidP="0041627D">
      <w:pPr>
        <w:ind w:firstLine="426"/>
        <w:rPr>
          <w:sz w:val="22"/>
          <w:szCs w:val="24"/>
        </w:rPr>
      </w:pPr>
    </w:p>
    <w:p w:rsidR="00724342" w:rsidRPr="00724342" w:rsidRDefault="00724342" w:rsidP="0041627D">
      <w:pPr>
        <w:ind w:firstLine="426"/>
        <w:jc w:val="center"/>
        <w:rPr>
          <w:sz w:val="22"/>
          <w:szCs w:val="22"/>
        </w:rPr>
      </w:pPr>
      <w:r w:rsidRPr="00724342">
        <w:rPr>
          <w:sz w:val="22"/>
          <w:szCs w:val="22"/>
        </w:rPr>
        <w:t>Список литературы</w:t>
      </w:r>
    </w:p>
    <w:p w:rsidR="00724342" w:rsidRPr="00724342" w:rsidRDefault="00724342" w:rsidP="0041627D">
      <w:pPr>
        <w:ind w:firstLine="426"/>
        <w:jc w:val="both"/>
        <w:textAlignment w:val="top"/>
        <w:rPr>
          <w:sz w:val="22"/>
          <w:szCs w:val="22"/>
        </w:rPr>
      </w:pPr>
      <w:r w:rsidRPr="00724342">
        <w:rPr>
          <w:sz w:val="22"/>
          <w:szCs w:val="22"/>
        </w:rPr>
        <w:t>1</w:t>
      </w:r>
      <w:r w:rsidRPr="00724342">
        <w:rPr>
          <w:bCs/>
          <w:sz w:val="22"/>
          <w:szCs w:val="22"/>
        </w:rPr>
        <w:t>. Волошина И.М. Резервы роста производительности труда – необходимое условие эффективности производства</w:t>
      </w:r>
      <w:r w:rsidRPr="00724342">
        <w:rPr>
          <w:b/>
          <w:bCs/>
          <w:sz w:val="22"/>
          <w:szCs w:val="22"/>
        </w:rPr>
        <w:t xml:space="preserve"> / </w:t>
      </w:r>
      <w:r w:rsidRPr="00724342">
        <w:rPr>
          <w:bCs/>
          <w:sz w:val="22"/>
          <w:szCs w:val="22"/>
        </w:rPr>
        <w:t>И. М. Вол</w:t>
      </w:r>
      <w:r w:rsidRPr="00724342">
        <w:rPr>
          <w:bCs/>
          <w:sz w:val="22"/>
          <w:szCs w:val="22"/>
        </w:rPr>
        <w:t>о</w:t>
      </w:r>
      <w:r w:rsidRPr="00724342">
        <w:rPr>
          <w:bCs/>
          <w:sz w:val="22"/>
          <w:szCs w:val="22"/>
        </w:rPr>
        <w:t xml:space="preserve">шина, Т. В. Метельская, Г. Н. Литвиненко // </w:t>
      </w:r>
      <w:r w:rsidRPr="00724342">
        <w:rPr>
          <w:sz w:val="22"/>
          <w:szCs w:val="22"/>
        </w:rPr>
        <w:t>Наука, образование, инновации: апробация результатов исследований. Материалы Ме</w:t>
      </w:r>
      <w:r w:rsidRPr="00724342">
        <w:rPr>
          <w:sz w:val="22"/>
          <w:szCs w:val="22"/>
        </w:rPr>
        <w:t>ж</w:t>
      </w:r>
      <w:r w:rsidRPr="00724342">
        <w:rPr>
          <w:sz w:val="22"/>
          <w:szCs w:val="22"/>
        </w:rPr>
        <w:t xml:space="preserve">дунар. (заочной) науч.-практич. конф., 2017. – С. 128–132. </w:t>
      </w:r>
    </w:p>
    <w:p w:rsidR="00724342" w:rsidRPr="00724342" w:rsidRDefault="00724342" w:rsidP="0041627D">
      <w:pPr>
        <w:ind w:firstLine="426"/>
        <w:jc w:val="both"/>
        <w:textAlignment w:val="top"/>
        <w:rPr>
          <w:sz w:val="22"/>
          <w:szCs w:val="22"/>
        </w:rPr>
      </w:pPr>
      <w:r w:rsidRPr="00724342">
        <w:rPr>
          <w:bCs/>
          <w:sz w:val="22"/>
          <w:szCs w:val="22"/>
        </w:rPr>
        <w:t xml:space="preserve">2. </w:t>
      </w:r>
      <w:r w:rsidRPr="00724342">
        <w:rPr>
          <w:sz w:val="22"/>
          <w:szCs w:val="22"/>
        </w:rPr>
        <w:t xml:space="preserve">Губа А.А. </w:t>
      </w:r>
      <w:r w:rsidRPr="00724342">
        <w:rPr>
          <w:bCs/>
          <w:sz w:val="22"/>
          <w:szCs w:val="22"/>
        </w:rPr>
        <w:t>Экономические показатели уровня жизни насел</w:t>
      </w:r>
      <w:r w:rsidRPr="00724342">
        <w:rPr>
          <w:bCs/>
          <w:sz w:val="22"/>
          <w:szCs w:val="22"/>
        </w:rPr>
        <w:t>е</w:t>
      </w:r>
      <w:r w:rsidRPr="00724342">
        <w:rPr>
          <w:bCs/>
          <w:sz w:val="22"/>
          <w:szCs w:val="22"/>
        </w:rPr>
        <w:t>ния как основные критерии оценки благосостояния общества / А. А. Губа,</w:t>
      </w:r>
      <w:r w:rsidRPr="00724342">
        <w:rPr>
          <w:b/>
          <w:bCs/>
          <w:sz w:val="22"/>
          <w:szCs w:val="22"/>
        </w:rPr>
        <w:t xml:space="preserve"> </w:t>
      </w:r>
      <w:r w:rsidRPr="00724342">
        <w:rPr>
          <w:bCs/>
          <w:sz w:val="22"/>
          <w:szCs w:val="22"/>
        </w:rPr>
        <w:t xml:space="preserve">Г. Н. Литвиненко </w:t>
      </w:r>
      <w:r w:rsidRPr="00724342">
        <w:rPr>
          <w:b/>
          <w:bCs/>
          <w:sz w:val="22"/>
          <w:szCs w:val="22"/>
        </w:rPr>
        <w:t xml:space="preserve">// </w:t>
      </w:r>
      <w:r w:rsidRPr="00724342">
        <w:rPr>
          <w:sz w:val="22"/>
          <w:szCs w:val="22"/>
        </w:rPr>
        <w:t>Наука, образование, инновации: апроб</w:t>
      </w:r>
      <w:r w:rsidRPr="00724342">
        <w:rPr>
          <w:sz w:val="22"/>
          <w:szCs w:val="22"/>
        </w:rPr>
        <w:t>а</w:t>
      </w:r>
      <w:r w:rsidRPr="00724342">
        <w:rPr>
          <w:sz w:val="22"/>
          <w:szCs w:val="22"/>
        </w:rPr>
        <w:t>ция результатов исследований. Материалы Междунар. (заочной) науч.-практич. конф., 2017. – С. 319–332.</w:t>
      </w:r>
    </w:p>
    <w:p w:rsidR="00724342" w:rsidRPr="00724342" w:rsidRDefault="00724342" w:rsidP="0041627D">
      <w:pPr>
        <w:ind w:firstLine="426"/>
        <w:jc w:val="both"/>
        <w:textAlignment w:val="top"/>
        <w:rPr>
          <w:sz w:val="22"/>
          <w:szCs w:val="22"/>
        </w:rPr>
      </w:pPr>
      <w:r w:rsidRPr="00724342">
        <w:rPr>
          <w:sz w:val="22"/>
          <w:szCs w:val="22"/>
        </w:rPr>
        <w:t>3. Нуреев, Р. М. Экономика развития: модели становления и модернизации рыночной экономики / Р. М. Нуреев, Издание 2 – е. – Москва: Норма, 2008. – 49 с.</w:t>
      </w:r>
    </w:p>
    <w:p w:rsidR="00724342" w:rsidRPr="00724342" w:rsidRDefault="00724342" w:rsidP="0041627D">
      <w:pPr>
        <w:ind w:firstLine="426"/>
        <w:jc w:val="both"/>
        <w:textAlignment w:val="top"/>
        <w:rPr>
          <w:sz w:val="22"/>
          <w:szCs w:val="22"/>
        </w:rPr>
      </w:pPr>
      <w:r w:rsidRPr="00724342">
        <w:rPr>
          <w:sz w:val="22"/>
          <w:szCs w:val="22"/>
        </w:rPr>
        <w:lastRenderedPageBreak/>
        <w:t>4. Экономический рост и вектор развития современной России. Под ред. К.А. Хубиева / А. А. Пороховский, К. А. Хубиев, В. Н. Черковец и др. – Москва: ТЕИС, 2004. – 74 с.</w:t>
      </w:r>
    </w:p>
    <w:p w:rsidR="00724342" w:rsidRPr="00724342" w:rsidRDefault="00724342" w:rsidP="0041627D">
      <w:pPr>
        <w:widowControl w:val="0"/>
        <w:autoSpaceDE w:val="0"/>
        <w:autoSpaceDN w:val="0"/>
        <w:adjustRightInd w:val="0"/>
        <w:ind w:firstLine="426"/>
        <w:jc w:val="both"/>
        <w:rPr>
          <w:rFonts w:ascii="Times New Roman CYR" w:hAnsi="Times New Roman CYR" w:cs="Times New Roman CYR"/>
          <w:sz w:val="22"/>
          <w:szCs w:val="22"/>
        </w:rPr>
      </w:pP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widowControl w:val="0"/>
        <w:jc w:val="both"/>
        <w:textAlignment w:val="top"/>
        <w:rPr>
          <w:color w:val="000000"/>
          <w:sz w:val="22"/>
          <w:szCs w:val="22"/>
          <w:bdr w:val="none" w:sz="0" w:space="0" w:color="auto" w:frame="1"/>
        </w:rPr>
      </w:pPr>
      <w:r w:rsidRPr="00724342">
        <w:rPr>
          <w:color w:val="000000"/>
          <w:sz w:val="22"/>
          <w:szCs w:val="22"/>
          <w:bdr w:val="none" w:sz="0" w:space="0" w:color="auto" w:frame="1"/>
        </w:rPr>
        <w:t>УДК 355</w:t>
      </w:r>
    </w:p>
    <w:p w:rsidR="00724342" w:rsidRPr="00724342" w:rsidRDefault="00724342" w:rsidP="00724342">
      <w:pPr>
        <w:widowControl w:val="0"/>
        <w:jc w:val="both"/>
        <w:textAlignment w:val="top"/>
        <w:rPr>
          <w:b/>
          <w:color w:val="000000"/>
          <w:sz w:val="24"/>
          <w:szCs w:val="24"/>
          <w:bdr w:val="none" w:sz="0" w:space="0" w:color="auto" w:frame="1"/>
        </w:rPr>
      </w:pPr>
    </w:p>
    <w:p w:rsidR="00724342" w:rsidRPr="00724342" w:rsidRDefault="00724342" w:rsidP="00724342">
      <w:pPr>
        <w:widowControl w:val="0"/>
        <w:jc w:val="center"/>
        <w:rPr>
          <w:rFonts w:eastAsiaTheme="minorHAnsi"/>
          <w:b/>
          <w:sz w:val="24"/>
          <w:szCs w:val="24"/>
          <w:lang w:eastAsia="en-US"/>
        </w:rPr>
      </w:pPr>
      <w:r w:rsidRPr="00724342">
        <w:rPr>
          <w:rFonts w:eastAsiaTheme="minorHAnsi"/>
          <w:b/>
          <w:sz w:val="24"/>
          <w:szCs w:val="24"/>
          <w:lang w:eastAsia="en-US"/>
        </w:rPr>
        <w:t xml:space="preserve">Государственно-правовая деятельность </w:t>
      </w:r>
    </w:p>
    <w:p w:rsidR="00724342" w:rsidRPr="00724342" w:rsidRDefault="00724342" w:rsidP="00724342">
      <w:pPr>
        <w:widowControl w:val="0"/>
        <w:jc w:val="center"/>
        <w:rPr>
          <w:rFonts w:eastAsiaTheme="minorHAnsi"/>
          <w:b/>
          <w:sz w:val="24"/>
          <w:szCs w:val="24"/>
          <w:lang w:eastAsia="en-US"/>
        </w:rPr>
      </w:pPr>
      <w:r w:rsidRPr="00724342">
        <w:rPr>
          <w:rFonts w:eastAsiaTheme="minorHAnsi"/>
          <w:b/>
          <w:sz w:val="24"/>
          <w:szCs w:val="24"/>
          <w:lang w:eastAsia="en-US"/>
        </w:rPr>
        <w:t>Ивана Грозного</w:t>
      </w:r>
    </w:p>
    <w:p w:rsidR="00724342" w:rsidRPr="0041627D" w:rsidRDefault="00724342" w:rsidP="00724342">
      <w:pPr>
        <w:widowControl w:val="0"/>
        <w:jc w:val="center"/>
        <w:rPr>
          <w:rFonts w:eastAsiaTheme="minorHAnsi"/>
          <w:b/>
          <w:sz w:val="24"/>
          <w:szCs w:val="24"/>
          <w:lang w:val="en-US" w:eastAsia="en-US"/>
        </w:rPr>
      </w:pPr>
      <w:r w:rsidRPr="0041627D">
        <w:rPr>
          <w:rFonts w:eastAsiaTheme="minorHAnsi"/>
          <w:b/>
          <w:sz w:val="24"/>
          <w:szCs w:val="24"/>
          <w:shd w:val="clear" w:color="auto" w:fill="FFFFFF"/>
          <w:lang w:val="en-US" w:eastAsia="en-US"/>
        </w:rPr>
        <w:t>State-legal activities of Ivan The Terrible</w:t>
      </w:r>
    </w:p>
    <w:p w:rsidR="00724342" w:rsidRPr="00724342" w:rsidRDefault="00724342" w:rsidP="00724342">
      <w:pPr>
        <w:jc w:val="right"/>
        <w:rPr>
          <w:rFonts w:eastAsiaTheme="minorHAnsi"/>
          <w:sz w:val="22"/>
          <w:szCs w:val="22"/>
          <w:bdr w:val="none" w:sz="0" w:space="0" w:color="auto" w:frame="1"/>
          <w:lang w:val="en-US"/>
        </w:rPr>
      </w:pP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rPr>
        <w:t>Велькина А.</w:t>
      </w:r>
      <w:r w:rsidR="0041627D">
        <w:rPr>
          <w:rFonts w:eastAsiaTheme="minorHAnsi"/>
          <w:sz w:val="22"/>
          <w:szCs w:val="22"/>
          <w:bdr w:val="none" w:sz="0" w:space="0" w:color="auto" w:frame="1"/>
        </w:rPr>
        <w:t xml:space="preserve"> </w:t>
      </w:r>
      <w:r w:rsidRPr="00724342">
        <w:rPr>
          <w:rFonts w:eastAsiaTheme="minorHAnsi"/>
          <w:sz w:val="22"/>
          <w:szCs w:val="22"/>
          <w:bdr w:val="none" w:sz="0" w:space="0" w:color="auto" w:frame="1"/>
        </w:rPr>
        <w:t>В.,</w:t>
      </w: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rPr>
        <w:t xml:space="preserve">студентка 1-го курса экономического факультета </w:t>
      </w: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rPr>
        <w:t>Кошокова С.</w:t>
      </w:r>
      <w:r w:rsidR="0041627D">
        <w:rPr>
          <w:rFonts w:eastAsiaTheme="minorHAnsi"/>
          <w:sz w:val="22"/>
          <w:szCs w:val="22"/>
          <w:bdr w:val="none" w:sz="0" w:space="0" w:color="auto" w:frame="1"/>
        </w:rPr>
        <w:t xml:space="preserve"> </w:t>
      </w:r>
      <w:r w:rsidRPr="00724342">
        <w:rPr>
          <w:rFonts w:eastAsiaTheme="minorHAnsi"/>
          <w:sz w:val="22"/>
          <w:szCs w:val="22"/>
          <w:bdr w:val="none" w:sz="0" w:space="0" w:color="auto" w:frame="1"/>
        </w:rPr>
        <w:t>Я.,</w:t>
      </w:r>
    </w:p>
    <w:p w:rsidR="00724342" w:rsidRPr="00724342" w:rsidRDefault="0041627D" w:rsidP="00724342">
      <w:pPr>
        <w:jc w:val="right"/>
        <w:rPr>
          <w:rFonts w:eastAsiaTheme="minorHAnsi"/>
          <w:sz w:val="22"/>
          <w:szCs w:val="22"/>
          <w:bdr w:val="none" w:sz="0" w:space="0" w:color="auto" w:frame="1"/>
          <w:lang w:eastAsia="en-US"/>
        </w:rPr>
      </w:pPr>
      <w:r>
        <w:rPr>
          <w:rFonts w:eastAsiaTheme="minorHAnsi"/>
          <w:sz w:val="22"/>
          <w:szCs w:val="22"/>
          <w:bdr w:val="none" w:sz="0" w:space="0" w:color="auto" w:frame="1"/>
          <w:lang w:eastAsia="en-US"/>
        </w:rPr>
        <w:t>кандидат исторических наук,</w:t>
      </w:r>
      <w:r w:rsidRPr="0041627D">
        <w:rPr>
          <w:rFonts w:eastAsiaTheme="minorHAnsi"/>
          <w:sz w:val="22"/>
          <w:szCs w:val="22"/>
          <w:bdr w:val="none" w:sz="0" w:space="0" w:color="auto" w:frame="1"/>
          <w:lang w:eastAsia="en-US"/>
        </w:rPr>
        <w:t xml:space="preserve"> </w:t>
      </w:r>
      <w:r w:rsidRPr="00724342">
        <w:rPr>
          <w:rFonts w:eastAsiaTheme="minorHAnsi"/>
          <w:sz w:val="22"/>
          <w:szCs w:val="22"/>
          <w:bdr w:val="none" w:sz="0" w:space="0" w:color="auto" w:frame="1"/>
          <w:lang w:eastAsia="en-US"/>
        </w:rPr>
        <w:t>доц</w:t>
      </w:r>
      <w:r>
        <w:rPr>
          <w:rFonts w:eastAsiaTheme="minorHAnsi"/>
          <w:sz w:val="22"/>
          <w:szCs w:val="22"/>
          <w:bdr w:val="none" w:sz="0" w:space="0" w:color="auto" w:frame="1"/>
          <w:lang w:eastAsia="en-US"/>
        </w:rPr>
        <w:t>ент</w:t>
      </w: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lang w:eastAsia="en-US"/>
        </w:rPr>
        <w:t>кафедры истории и полито</w:t>
      </w:r>
      <w:r w:rsidR="0041627D">
        <w:rPr>
          <w:rFonts w:eastAsiaTheme="minorHAnsi"/>
          <w:sz w:val="22"/>
          <w:szCs w:val="22"/>
          <w:bdr w:val="none" w:sz="0" w:space="0" w:color="auto" w:frame="1"/>
        </w:rPr>
        <w:t>логии</w:t>
      </w: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rPr>
        <w:t xml:space="preserve">Кубанский государственный аграрный </w:t>
      </w:r>
    </w:p>
    <w:p w:rsidR="00724342" w:rsidRPr="00724342" w:rsidRDefault="00724342" w:rsidP="00724342">
      <w:pPr>
        <w:jc w:val="right"/>
        <w:rPr>
          <w:rFonts w:eastAsiaTheme="minorHAnsi"/>
          <w:sz w:val="22"/>
          <w:szCs w:val="22"/>
          <w:bdr w:val="none" w:sz="0" w:space="0" w:color="auto" w:frame="1"/>
        </w:rPr>
      </w:pPr>
      <w:r w:rsidRPr="00724342">
        <w:rPr>
          <w:rFonts w:eastAsiaTheme="minorHAnsi"/>
          <w:sz w:val="22"/>
          <w:szCs w:val="22"/>
          <w:bdr w:val="none" w:sz="0" w:space="0" w:color="auto" w:frame="1"/>
        </w:rPr>
        <w:t>университет имени И.</w:t>
      </w:r>
      <w:r w:rsidR="0041627D">
        <w:rPr>
          <w:rFonts w:eastAsiaTheme="minorHAnsi"/>
          <w:sz w:val="22"/>
          <w:szCs w:val="22"/>
          <w:bdr w:val="none" w:sz="0" w:space="0" w:color="auto" w:frame="1"/>
        </w:rPr>
        <w:t xml:space="preserve"> </w:t>
      </w:r>
      <w:r w:rsidRPr="00724342">
        <w:rPr>
          <w:rFonts w:eastAsiaTheme="minorHAnsi"/>
          <w:sz w:val="22"/>
          <w:szCs w:val="22"/>
          <w:bdr w:val="none" w:sz="0" w:space="0" w:color="auto" w:frame="1"/>
        </w:rPr>
        <w:t>Т. Трубилина</w:t>
      </w:r>
    </w:p>
    <w:p w:rsidR="00724342" w:rsidRPr="00724342" w:rsidRDefault="00724342" w:rsidP="00724342">
      <w:pPr>
        <w:widowControl w:val="0"/>
        <w:jc w:val="right"/>
        <w:rPr>
          <w:rFonts w:eastAsiaTheme="minorHAnsi"/>
          <w:b/>
          <w:sz w:val="22"/>
          <w:szCs w:val="22"/>
          <w:lang w:eastAsia="en-US"/>
        </w:rPr>
      </w:pPr>
    </w:p>
    <w:p w:rsidR="00724342" w:rsidRPr="00724342" w:rsidRDefault="00724342" w:rsidP="0041627D">
      <w:pPr>
        <w:widowControl w:val="0"/>
        <w:ind w:firstLine="425"/>
        <w:jc w:val="both"/>
        <w:textAlignment w:val="top"/>
        <w:rPr>
          <w:color w:val="000000"/>
          <w:sz w:val="22"/>
          <w:szCs w:val="22"/>
          <w:bdr w:val="none" w:sz="0" w:space="0" w:color="auto" w:frame="1"/>
        </w:rPr>
      </w:pPr>
      <w:r w:rsidRPr="00724342">
        <w:rPr>
          <w:color w:val="000000"/>
          <w:sz w:val="22"/>
          <w:szCs w:val="22"/>
          <w:bdr w:val="none" w:sz="0" w:space="0" w:color="auto" w:frame="1"/>
        </w:rPr>
        <w:t>АННОТАЦИЯ</w:t>
      </w:r>
      <w:r w:rsidRPr="00724342">
        <w:rPr>
          <w:b/>
          <w:color w:val="000000"/>
          <w:sz w:val="22"/>
          <w:szCs w:val="22"/>
          <w:bdr w:val="none" w:sz="0" w:space="0" w:color="auto" w:frame="1"/>
        </w:rPr>
        <w:t>:</w:t>
      </w:r>
      <w:r w:rsidRPr="00724342">
        <w:rPr>
          <w:rFonts w:ascii="Arial" w:eastAsiaTheme="minorHAnsi" w:hAnsi="Arial" w:cs="Arial"/>
          <w:color w:val="333333"/>
          <w:sz w:val="22"/>
          <w:szCs w:val="22"/>
          <w:shd w:val="clear" w:color="auto" w:fill="FFFFFF"/>
          <w:lang w:eastAsia="en-US"/>
        </w:rPr>
        <w:t xml:space="preserve"> </w:t>
      </w:r>
      <w:r w:rsidRPr="00724342">
        <w:rPr>
          <w:rFonts w:eastAsiaTheme="minorHAnsi"/>
          <w:sz w:val="22"/>
          <w:szCs w:val="22"/>
          <w:lang w:eastAsia="en-US"/>
        </w:rPr>
        <w:t>В статье предпринята попытка оценить Ивана Грозного как государственного деятеля. Оценить его реформато</w:t>
      </w:r>
      <w:r w:rsidRPr="00724342">
        <w:rPr>
          <w:rFonts w:eastAsiaTheme="minorHAnsi"/>
          <w:sz w:val="22"/>
          <w:szCs w:val="22"/>
          <w:lang w:eastAsia="en-US"/>
        </w:rPr>
        <w:t>р</w:t>
      </w:r>
      <w:r w:rsidRPr="00724342">
        <w:rPr>
          <w:rFonts w:eastAsiaTheme="minorHAnsi"/>
          <w:sz w:val="22"/>
          <w:szCs w:val="22"/>
          <w:lang w:eastAsia="en-US"/>
        </w:rPr>
        <w:t>ские усилия, успехи России в области внутренней политики, д</w:t>
      </w:r>
      <w:r w:rsidRPr="00724342">
        <w:rPr>
          <w:rFonts w:eastAsiaTheme="minorHAnsi"/>
          <w:sz w:val="22"/>
          <w:szCs w:val="22"/>
          <w:lang w:eastAsia="en-US"/>
        </w:rPr>
        <w:t>о</w:t>
      </w:r>
      <w:r w:rsidRPr="00724342">
        <w:rPr>
          <w:rFonts w:eastAsiaTheme="minorHAnsi"/>
          <w:sz w:val="22"/>
          <w:szCs w:val="22"/>
          <w:lang w:eastAsia="en-US"/>
        </w:rPr>
        <w:t>стигнутые благодаря нему.</w:t>
      </w:r>
      <w:r w:rsidRPr="00724342">
        <w:rPr>
          <w:rFonts w:ascii="Arial" w:eastAsiaTheme="minorHAnsi" w:hAnsi="Arial" w:cs="Arial"/>
          <w:color w:val="333333"/>
          <w:sz w:val="20"/>
          <w:szCs w:val="20"/>
          <w:shd w:val="clear" w:color="auto" w:fill="FFFFFF"/>
          <w:lang w:eastAsia="en-US"/>
        </w:rPr>
        <w:t xml:space="preserve"> </w:t>
      </w:r>
    </w:p>
    <w:p w:rsidR="00724342" w:rsidRPr="00724342" w:rsidRDefault="00724342" w:rsidP="0041627D">
      <w:pPr>
        <w:ind w:firstLine="425"/>
        <w:jc w:val="both"/>
        <w:rPr>
          <w:rFonts w:eastAsiaTheme="minorHAnsi"/>
          <w:sz w:val="22"/>
          <w:szCs w:val="22"/>
          <w:shd w:val="clear" w:color="auto" w:fill="FFFFFF"/>
          <w:lang w:val="en-US" w:eastAsia="en-US"/>
        </w:rPr>
      </w:pPr>
      <w:r w:rsidRPr="00724342">
        <w:rPr>
          <w:rFonts w:eastAsiaTheme="minorHAnsi"/>
          <w:sz w:val="22"/>
          <w:szCs w:val="22"/>
          <w:shd w:val="clear" w:color="auto" w:fill="FFFFFF"/>
          <w:lang w:val="en-US" w:eastAsia="en-US"/>
        </w:rPr>
        <w:t>ABSTRACT:</w:t>
      </w:r>
      <w:r w:rsidRPr="00724342">
        <w:rPr>
          <w:rFonts w:ascii="Arial" w:eastAsiaTheme="minorHAnsi" w:hAnsi="Arial" w:cs="Arial"/>
          <w:color w:val="333333"/>
          <w:sz w:val="20"/>
          <w:szCs w:val="20"/>
          <w:shd w:val="clear" w:color="auto" w:fill="FFFFFF"/>
          <w:lang w:val="en-US" w:eastAsia="en-US"/>
        </w:rPr>
        <w:t xml:space="preserve"> </w:t>
      </w:r>
      <w:r w:rsidRPr="00724342">
        <w:rPr>
          <w:rFonts w:eastAsiaTheme="minorHAnsi"/>
          <w:sz w:val="22"/>
          <w:szCs w:val="22"/>
          <w:lang w:val="en-US" w:eastAsia="en-US"/>
        </w:rPr>
        <w:t>The article attempts to evaluate Ivan the terrible as a statesman. To assess its reform efforts, the success of Russia in the area of domestic policy that are achieved through it.</w:t>
      </w:r>
      <w:r w:rsidRPr="00724342">
        <w:rPr>
          <w:rFonts w:eastAsiaTheme="minorHAnsi"/>
          <w:sz w:val="22"/>
          <w:szCs w:val="22"/>
          <w:shd w:val="clear" w:color="auto" w:fill="FFFFFF"/>
          <w:lang w:val="en-US" w:eastAsia="en-US"/>
        </w:rPr>
        <w:t xml:space="preserve"> </w:t>
      </w:r>
    </w:p>
    <w:p w:rsidR="00724342" w:rsidRPr="00724342" w:rsidRDefault="00724342" w:rsidP="0041627D">
      <w:pPr>
        <w:widowControl w:val="0"/>
        <w:ind w:firstLine="425"/>
        <w:jc w:val="both"/>
        <w:textAlignment w:val="top"/>
        <w:rPr>
          <w:color w:val="000000"/>
          <w:sz w:val="22"/>
          <w:szCs w:val="22"/>
          <w:bdr w:val="none" w:sz="0" w:space="0" w:color="auto" w:frame="1"/>
        </w:rPr>
      </w:pPr>
      <w:r w:rsidRPr="00724342">
        <w:rPr>
          <w:color w:val="000000"/>
          <w:sz w:val="22"/>
          <w:szCs w:val="22"/>
          <w:bdr w:val="none" w:sz="0" w:space="0" w:color="auto" w:frame="1"/>
        </w:rPr>
        <w:t>КЛЮЧЕВЫЕ СЛОВА: Иван Грозный, Избранная рада, Стогл</w:t>
      </w:r>
      <w:r w:rsidRPr="00724342">
        <w:rPr>
          <w:color w:val="000000"/>
          <w:sz w:val="22"/>
          <w:szCs w:val="22"/>
          <w:bdr w:val="none" w:sz="0" w:space="0" w:color="auto" w:frame="1"/>
        </w:rPr>
        <w:t>а</w:t>
      </w:r>
      <w:r w:rsidRPr="00724342">
        <w:rPr>
          <w:color w:val="000000"/>
          <w:sz w:val="22"/>
          <w:szCs w:val="22"/>
          <w:bdr w:val="none" w:sz="0" w:space="0" w:color="auto" w:frame="1"/>
        </w:rPr>
        <w:t>вый собор, стрелецкое войско, Судебник.</w:t>
      </w:r>
    </w:p>
    <w:p w:rsidR="00724342" w:rsidRPr="00724342" w:rsidRDefault="00724342" w:rsidP="0041627D">
      <w:pPr>
        <w:ind w:firstLine="425"/>
        <w:jc w:val="both"/>
        <w:rPr>
          <w:color w:val="000000"/>
          <w:sz w:val="22"/>
          <w:szCs w:val="22"/>
          <w:bdr w:val="none" w:sz="0" w:space="0" w:color="auto" w:frame="1"/>
          <w:lang w:val="en-US"/>
        </w:rPr>
      </w:pPr>
      <w:r w:rsidRPr="00724342">
        <w:rPr>
          <w:rFonts w:eastAsiaTheme="minorHAnsi"/>
          <w:sz w:val="22"/>
          <w:szCs w:val="22"/>
          <w:shd w:val="clear" w:color="auto" w:fill="FFFFFF"/>
          <w:lang w:val="en-US" w:eastAsia="en-US"/>
        </w:rPr>
        <w:t>KEY WORDS: Ivan Gros, happy ran, stole, street, VA, of law.</w:t>
      </w:r>
    </w:p>
    <w:p w:rsidR="00724342" w:rsidRPr="00724342" w:rsidRDefault="00724342" w:rsidP="0041627D">
      <w:pPr>
        <w:ind w:firstLine="425"/>
        <w:jc w:val="both"/>
        <w:rPr>
          <w:rFonts w:eastAsiaTheme="minorHAnsi"/>
          <w:sz w:val="22"/>
          <w:szCs w:val="22"/>
          <w:shd w:val="clear" w:color="auto" w:fill="FFFFFF"/>
          <w:lang w:val="en-US" w:eastAsia="en-US"/>
        </w:rPr>
      </w:pPr>
    </w:p>
    <w:p w:rsidR="00724342" w:rsidRPr="00724342" w:rsidRDefault="00724342" w:rsidP="0041627D">
      <w:pPr>
        <w:ind w:firstLine="425"/>
        <w:jc w:val="both"/>
        <w:rPr>
          <w:rFonts w:eastAsiaTheme="minorHAnsi"/>
          <w:sz w:val="22"/>
          <w:szCs w:val="22"/>
          <w:shd w:val="clear" w:color="auto" w:fill="FFFFFF"/>
          <w:lang w:eastAsia="en-US"/>
        </w:rPr>
      </w:pPr>
      <w:r w:rsidRPr="00724342">
        <w:rPr>
          <w:rFonts w:eastAsiaTheme="minorHAnsi"/>
          <w:sz w:val="22"/>
          <w:szCs w:val="22"/>
          <w:shd w:val="clear" w:color="auto" w:fill="FFFFFF"/>
          <w:lang w:eastAsia="en-US"/>
        </w:rPr>
        <w:t>Одна из самых загадочных и противоречивых фигур в росси</w:t>
      </w:r>
      <w:r w:rsidRPr="00724342">
        <w:rPr>
          <w:rFonts w:eastAsiaTheme="minorHAnsi"/>
          <w:sz w:val="22"/>
          <w:szCs w:val="22"/>
          <w:shd w:val="clear" w:color="auto" w:fill="FFFFFF"/>
          <w:lang w:eastAsia="en-US"/>
        </w:rPr>
        <w:t>й</w:t>
      </w:r>
      <w:r w:rsidRPr="00724342">
        <w:rPr>
          <w:rFonts w:eastAsiaTheme="minorHAnsi"/>
          <w:sz w:val="22"/>
          <w:szCs w:val="22"/>
          <w:shd w:val="clear" w:color="auto" w:fill="FFFFFF"/>
          <w:lang w:eastAsia="en-US"/>
        </w:rPr>
        <w:t>ской истории называют личность Ивана Грозного, первого русского царя. Талантливый государственный деятель, мудрый реформатор, кровавый тиран, погружающий свой народ в хаос чудовищных р</w:t>
      </w:r>
      <w:r w:rsidRPr="00724342">
        <w:rPr>
          <w:rFonts w:eastAsiaTheme="minorHAnsi"/>
          <w:sz w:val="22"/>
          <w:szCs w:val="22"/>
          <w:shd w:val="clear" w:color="auto" w:fill="FFFFFF"/>
          <w:lang w:eastAsia="en-US"/>
        </w:rPr>
        <w:t>е</w:t>
      </w:r>
      <w:r w:rsidRPr="00724342">
        <w:rPr>
          <w:rFonts w:eastAsiaTheme="minorHAnsi"/>
          <w:sz w:val="22"/>
          <w:szCs w:val="22"/>
          <w:shd w:val="clear" w:color="auto" w:fill="FFFFFF"/>
          <w:lang w:eastAsia="en-US"/>
        </w:rPr>
        <w:t>прессий.</w:t>
      </w:r>
    </w:p>
    <w:p w:rsidR="00724342" w:rsidRPr="00724342" w:rsidRDefault="00724342" w:rsidP="0041627D">
      <w:pPr>
        <w:widowControl w:val="0"/>
        <w:ind w:firstLine="425"/>
        <w:jc w:val="both"/>
        <w:rPr>
          <w:rFonts w:eastAsiaTheme="minorHAnsi"/>
          <w:sz w:val="22"/>
          <w:szCs w:val="22"/>
          <w:bdr w:val="none" w:sz="0" w:space="0" w:color="auto" w:frame="1"/>
        </w:rPr>
      </w:pPr>
      <w:r w:rsidRPr="00724342">
        <w:rPr>
          <w:rFonts w:eastAsiaTheme="minorHAnsi"/>
          <w:sz w:val="22"/>
          <w:szCs w:val="22"/>
          <w:lang w:eastAsia="en-US"/>
        </w:rPr>
        <w:t xml:space="preserve">Будущий царь рано потерял родителей. Он воспитывался во </w:t>
      </w:r>
      <w:r w:rsidRPr="00724342">
        <w:rPr>
          <w:rFonts w:eastAsiaTheme="minorHAnsi"/>
          <w:sz w:val="22"/>
          <w:szCs w:val="22"/>
          <w:lang w:eastAsia="en-US"/>
        </w:rPr>
        <w:lastRenderedPageBreak/>
        <w:t>враждебной атмосфере осуждения и жестокости</w:t>
      </w:r>
      <w:r w:rsidRPr="00724342">
        <w:rPr>
          <w:rFonts w:eastAsiaTheme="minorHAnsi"/>
          <w:sz w:val="22"/>
          <w:szCs w:val="22"/>
          <w:bdr w:val="none" w:sz="0" w:space="0" w:color="auto" w:frame="1"/>
        </w:rPr>
        <w:t>. Боярское сам</w:t>
      </w:r>
      <w:r w:rsidRPr="00724342">
        <w:rPr>
          <w:rFonts w:eastAsiaTheme="minorHAnsi"/>
          <w:sz w:val="22"/>
          <w:szCs w:val="22"/>
          <w:bdr w:val="none" w:sz="0" w:space="0" w:color="auto" w:frame="1"/>
        </w:rPr>
        <w:t>о</w:t>
      </w:r>
      <w:r w:rsidRPr="00724342">
        <w:rPr>
          <w:rFonts w:eastAsiaTheme="minorHAnsi"/>
          <w:sz w:val="22"/>
          <w:szCs w:val="22"/>
          <w:bdr w:val="none" w:sz="0" w:space="0" w:color="auto" w:frame="1"/>
        </w:rPr>
        <w:t>управство, кровавые раздоры временщиков оказали влияние на формирование характера молодого князя - он вырос подозрител</w:t>
      </w:r>
      <w:r w:rsidRPr="00724342">
        <w:rPr>
          <w:rFonts w:eastAsiaTheme="minorHAnsi"/>
          <w:sz w:val="22"/>
          <w:szCs w:val="22"/>
          <w:bdr w:val="none" w:sz="0" w:space="0" w:color="auto" w:frame="1"/>
        </w:rPr>
        <w:t>ь</w:t>
      </w:r>
      <w:r w:rsidRPr="00724342">
        <w:rPr>
          <w:rFonts w:eastAsiaTheme="minorHAnsi"/>
          <w:sz w:val="22"/>
          <w:szCs w:val="22"/>
          <w:bdr w:val="none" w:sz="0" w:space="0" w:color="auto" w:frame="1"/>
        </w:rPr>
        <w:t>ным и жестоким [1].</w:t>
      </w:r>
    </w:p>
    <w:p w:rsidR="00724342" w:rsidRPr="00724342" w:rsidRDefault="00724342" w:rsidP="0041627D">
      <w:pPr>
        <w:ind w:firstLine="425"/>
        <w:jc w:val="both"/>
        <w:rPr>
          <w:rFonts w:eastAsiaTheme="minorHAnsi"/>
          <w:sz w:val="22"/>
          <w:szCs w:val="22"/>
          <w:shd w:val="clear" w:color="auto" w:fill="FFFFFF"/>
          <w:lang w:eastAsia="en-US"/>
        </w:rPr>
      </w:pPr>
      <w:r w:rsidRPr="00724342">
        <w:rPr>
          <w:rFonts w:eastAsiaTheme="minorHAnsi"/>
          <w:sz w:val="22"/>
          <w:szCs w:val="22"/>
          <w:shd w:val="clear" w:color="auto" w:fill="FFFFFF"/>
          <w:lang w:eastAsia="en-US"/>
        </w:rPr>
        <w:t>Достигнув совершеннолетия, Иван решил положить конец ол</w:t>
      </w:r>
      <w:r w:rsidRPr="00724342">
        <w:rPr>
          <w:rFonts w:eastAsiaTheme="minorHAnsi"/>
          <w:sz w:val="22"/>
          <w:szCs w:val="22"/>
          <w:shd w:val="clear" w:color="auto" w:fill="FFFFFF"/>
          <w:lang w:eastAsia="en-US"/>
        </w:rPr>
        <w:t>и</w:t>
      </w:r>
      <w:r w:rsidRPr="00724342">
        <w:rPr>
          <w:rFonts w:eastAsiaTheme="minorHAnsi"/>
          <w:sz w:val="22"/>
          <w:szCs w:val="22"/>
          <w:shd w:val="clear" w:color="auto" w:fill="FFFFFF"/>
          <w:lang w:eastAsia="en-US"/>
        </w:rPr>
        <w:t xml:space="preserve">гархической грызней, окружавшей его, политическому плюрализму, и одновременно повысить свой </w:t>
      </w:r>
      <w:proofErr w:type="gramStart"/>
      <w:r w:rsidRPr="00724342">
        <w:rPr>
          <w:rFonts w:eastAsiaTheme="minorHAnsi"/>
          <w:sz w:val="22"/>
          <w:szCs w:val="22"/>
          <w:shd w:val="clear" w:color="auto" w:fill="FFFFFF"/>
          <w:lang w:eastAsia="en-US"/>
        </w:rPr>
        <w:t>авторитет</w:t>
      </w:r>
      <w:proofErr w:type="gramEnd"/>
      <w:r w:rsidRPr="00724342">
        <w:rPr>
          <w:rFonts w:eastAsiaTheme="minorHAnsi"/>
          <w:sz w:val="22"/>
          <w:szCs w:val="22"/>
          <w:shd w:val="clear" w:color="auto" w:fill="FFFFFF"/>
          <w:lang w:eastAsia="en-US"/>
        </w:rPr>
        <w:t xml:space="preserve"> как на внутриполитич</w:t>
      </w:r>
      <w:r w:rsidRPr="00724342">
        <w:rPr>
          <w:rFonts w:eastAsiaTheme="minorHAnsi"/>
          <w:sz w:val="22"/>
          <w:szCs w:val="22"/>
          <w:shd w:val="clear" w:color="auto" w:fill="FFFFFF"/>
          <w:lang w:eastAsia="en-US"/>
        </w:rPr>
        <w:t>е</w:t>
      </w:r>
      <w:r w:rsidRPr="00724342">
        <w:rPr>
          <w:rFonts w:eastAsiaTheme="minorHAnsi"/>
          <w:sz w:val="22"/>
          <w:szCs w:val="22"/>
          <w:shd w:val="clear" w:color="auto" w:fill="FFFFFF"/>
          <w:lang w:eastAsia="en-US"/>
        </w:rPr>
        <w:t>ской, так и на внешнеполитической арене. Глава государства пр</w:t>
      </w:r>
      <w:r w:rsidRPr="00724342">
        <w:rPr>
          <w:rFonts w:eastAsiaTheme="minorHAnsi"/>
          <w:sz w:val="22"/>
          <w:szCs w:val="22"/>
          <w:shd w:val="clear" w:color="auto" w:fill="FFFFFF"/>
          <w:lang w:eastAsia="en-US"/>
        </w:rPr>
        <w:t>и</w:t>
      </w:r>
      <w:r w:rsidRPr="00724342">
        <w:rPr>
          <w:rFonts w:eastAsiaTheme="minorHAnsi"/>
          <w:sz w:val="22"/>
          <w:szCs w:val="22"/>
          <w:shd w:val="clear" w:color="auto" w:fill="FFFFFF"/>
          <w:lang w:eastAsia="en-US"/>
        </w:rPr>
        <w:t>нял титул царя 16 января 1547 года.</w:t>
      </w:r>
    </w:p>
    <w:p w:rsidR="00724342" w:rsidRPr="00724342" w:rsidRDefault="00724342" w:rsidP="0041627D">
      <w:pPr>
        <w:ind w:firstLine="425"/>
        <w:jc w:val="both"/>
        <w:rPr>
          <w:rFonts w:eastAsiaTheme="minorHAnsi"/>
          <w:sz w:val="22"/>
          <w:szCs w:val="22"/>
          <w:shd w:val="clear" w:color="auto" w:fill="FFFFFF"/>
          <w:lang w:eastAsia="en-US"/>
        </w:rPr>
      </w:pPr>
      <w:r w:rsidRPr="00724342">
        <w:rPr>
          <w:rFonts w:eastAsiaTheme="minorHAnsi"/>
          <w:sz w:val="22"/>
          <w:szCs w:val="22"/>
          <w:shd w:val="clear" w:color="auto" w:fill="FFFFFF"/>
          <w:lang w:eastAsia="en-US"/>
        </w:rPr>
        <w:t>Но в начале правления князь был настроен в целом либерально-реформистский. Вместе с ближайшими соратниками, так называ</w:t>
      </w:r>
      <w:r w:rsidRPr="00724342">
        <w:rPr>
          <w:rFonts w:eastAsiaTheme="minorHAnsi"/>
          <w:sz w:val="22"/>
          <w:szCs w:val="22"/>
          <w:shd w:val="clear" w:color="auto" w:fill="FFFFFF"/>
          <w:lang w:eastAsia="en-US"/>
        </w:rPr>
        <w:t>е</w:t>
      </w:r>
      <w:r w:rsidRPr="00724342">
        <w:rPr>
          <w:rFonts w:eastAsiaTheme="minorHAnsi"/>
          <w:sz w:val="22"/>
          <w:szCs w:val="22"/>
          <w:shd w:val="clear" w:color="auto" w:fill="FFFFFF"/>
          <w:lang w:eastAsia="en-US"/>
        </w:rPr>
        <w:t>мой Избранной радой, он провел ряд прогрессивных реформ, направленных на модернизацию и укрепление «вертикали власти». Не обошли стороной и правовые вопросы: в 1550 году был принят новый судебник, который дает право на свободный переход крест</w:t>
      </w:r>
      <w:r w:rsidRPr="00724342">
        <w:rPr>
          <w:rFonts w:eastAsiaTheme="minorHAnsi"/>
          <w:sz w:val="22"/>
          <w:szCs w:val="22"/>
          <w:shd w:val="clear" w:color="auto" w:fill="FFFFFF"/>
          <w:lang w:eastAsia="en-US"/>
        </w:rPr>
        <w:t>ь</w:t>
      </w:r>
      <w:r w:rsidRPr="00724342">
        <w:rPr>
          <w:rFonts w:eastAsiaTheme="minorHAnsi"/>
          <w:sz w:val="22"/>
          <w:szCs w:val="22"/>
          <w:shd w:val="clear" w:color="auto" w:fill="FFFFFF"/>
          <w:lang w:eastAsia="en-US"/>
        </w:rPr>
        <w:t>ян от одного помещика к другому, а также предоставляет крестья</w:t>
      </w:r>
      <w:r w:rsidRPr="00724342">
        <w:rPr>
          <w:rFonts w:eastAsiaTheme="minorHAnsi"/>
          <w:sz w:val="22"/>
          <w:szCs w:val="22"/>
          <w:shd w:val="clear" w:color="auto" w:fill="FFFFFF"/>
          <w:lang w:eastAsia="en-US"/>
        </w:rPr>
        <w:t>н</w:t>
      </w:r>
      <w:r w:rsidRPr="00724342">
        <w:rPr>
          <w:rFonts w:eastAsiaTheme="minorHAnsi"/>
          <w:sz w:val="22"/>
          <w:szCs w:val="22"/>
          <w:shd w:val="clear" w:color="auto" w:fill="FFFFFF"/>
          <w:lang w:eastAsia="en-US"/>
        </w:rPr>
        <w:t xml:space="preserve">ским общинам право на самоуправление, частичное распределение податей и надзора за порядком </w:t>
      </w:r>
      <w:r w:rsidRPr="00724342">
        <w:rPr>
          <w:rFonts w:eastAsiaTheme="minorHAnsi"/>
          <w:sz w:val="22"/>
          <w:szCs w:val="22"/>
          <w:bdr w:val="none" w:sz="0" w:space="0" w:color="auto" w:frame="1"/>
        </w:rPr>
        <w:t>[4]</w:t>
      </w:r>
      <w:r w:rsidRPr="00724342">
        <w:rPr>
          <w:rFonts w:eastAsiaTheme="minorHAnsi"/>
          <w:sz w:val="22"/>
          <w:szCs w:val="22"/>
          <w:shd w:val="clear" w:color="auto" w:fill="FFFFFF"/>
          <w:lang w:eastAsia="en-US"/>
        </w:rPr>
        <w:t xml:space="preserve">. </w:t>
      </w:r>
    </w:p>
    <w:p w:rsidR="00724342" w:rsidRPr="00724342" w:rsidRDefault="00724342" w:rsidP="0041627D">
      <w:pPr>
        <w:ind w:firstLine="425"/>
        <w:jc w:val="both"/>
        <w:rPr>
          <w:rFonts w:eastAsiaTheme="minorHAnsi"/>
          <w:sz w:val="22"/>
          <w:szCs w:val="22"/>
          <w:shd w:val="clear" w:color="auto" w:fill="FFFFFF"/>
          <w:lang w:eastAsia="en-US"/>
        </w:rPr>
      </w:pPr>
      <w:r w:rsidRPr="00724342">
        <w:rPr>
          <w:rFonts w:eastAsiaTheme="minorHAnsi"/>
          <w:sz w:val="22"/>
          <w:szCs w:val="22"/>
          <w:shd w:val="clear" w:color="auto" w:fill="FFFFFF"/>
          <w:lang w:eastAsia="en-US"/>
        </w:rPr>
        <w:t>Административная реформа. Во-первых, в 50-е годы XVI века была создана новая система центральных исполнительных органов – «приказов», каждый из которых отвечал за отдельную ветвь вл</w:t>
      </w:r>
      <w:r w:rsidRPr="00724342">
        <w:rPr>
          <w:rFonts w:eastAsiaTheme="minorHAnsi"/>
          <w:sz w:val="22"/>
          <w:szCs w:val="22"/>
          <w:shd w:val="clear" w:color="auto" w:fill="FFFFFF"/>
          <w:lang w:eastAsia="en-US"/>
        </w:rPr>
        <w:t>а</w:t>
      </w:r>
      <w:r w:rsidRPr="00724342">
        <w:rPr>
          <w:rFonts w:eastAsiaTheme="minorHAnsi"/>
          <w:sz w:val="22"/>
          <w:szCs w:val="22"/>
          <w:shd w:val="clear" w:color="auto" w:fill="FFFFFF"/>
          <w:lang w:eastAsia="en-US"/>
        </w:rPr>
        <w:t>сти или территорию.</w:t>
      </w:r>
    </w:p>
    <w:p w:rsidR="00724342" w:rsidRPr="00724342" w:rsidRDefault="00724342" w:rsidP="0041627D">
      <w:pPr>
        <w:ind w:firstLine="425"/>
        <w:jc w:val="both"/>
        <w:rPr>
          <w:rFonts w:eastAsiaTheme="minorHAnsi"/>
          <w:sz w:val="22"/>
          <w:szCs w:val="22"/>
          <w:shd w:val="clear" w:color="auto" w:fill="FFFFFF"/>
          <w:lang w:eastAsia="en-US"/>
        </w:rPr>
      </w:pPr>
      <w:r w:rsidRPr="00724342">
        <w:rPr>
          <w:rFonts w:eastAsiaTheme="minorHAnsi"/>
          <w:sz w:val="22"/>
          <w:szCs w:val="22"/>
          <w:shd w:val="clear" w:color="auto" w:fill="FFFFFF"/>
          <w:lang w:eastAsia="en-US"/>
        </w:rPr>
        <w:t>Во-вторых, существенно реструктурирована система местного самоуправления. Вместо губернаторов, ранее назначенных великим князем и имевших неограниченную власть, в каждом округе бояре и дворяне избирали старосту, обязанности которого возлагали на суд. Это нанесло серьезный удар по порочному циклу кормления, п</w:t>
      </w:r>
      <w:r w:rsidRPr="00724342">
        <w:rPr>
          <w:rFonts w:eastAsiaTheme="minorHAnsi"/>
          <w:sz w:val="22"/>
          <w:szCs w:val="22"/>
          <w:shd w:val="clear" w:color="auto" w:fill="FFFFFF"/>
          <w:lang w:eastAsia="en-US"/>
        </w:rPr>
        <w:t>о</w:t>
      </w:r>
      <w:r w:rsidRPr="00724342">
        <w:rPr>
          <w:rFonts w:eastAsiaTheme="minorHAnsi"/>
          <w:sz w:val="22"/>
          <w:szCs w:val="22"/>
          <w:shd w:val="clear" w:color="auto" w:fill="FFFFFF"/>
          <w:lang w:eastAsia="en-US"/>
        </w:rPr>
        <w:t>влекло за собой многочисленные незаконные поборы и другие зл</w:t>
      </w:r>
      <w:r w:rsidRPr="00724342">
        <w:rPr>
          <w:rFonts w:eastAsiaTheme="minorHAnsi"/>
          <w:sz w:val="22"/>
          <w:szCs w:val="22"/>
          <w:shd w:val="clear" w:color="auto" w:fill="FFFFFF"/>
          <w:lang w:eastAsia="en-US"/>
        </w:rPr>
        <w:t>о</w:t>
      </w:r>
      <w:r w:rsidRPr="00724342">
        <w:rPr>
          <w:rFonts w:eastAsiaTheme="minorHAnsi"/>
          <w:sz w:val="22"/>
          <w:szCs w:val="22"/>
          <w:shd w:val="clear" w:color="auto" w:fill="FFFFFF"/>
          <w:lang w:eastAsia="en-US"/>
        </w:rPr>
        <w:t>употребления. Наконец, система кормления прекратила свое сущ</w:t>
      </w:r>
      <w:r w:rsidRPr="00724342">
        <w:rPr>
          <w:rFonts w:eastAsiaTheme="minorHAnsi"/>
          <w:sz w:val="22"/>
          <w:szCs w:val="22"/>
          <w:shd w:val="clear" w:color="auto" w:fill="FFFFFF"/>
          <w:lang w:eastAsia="en-US"/>
        </w:rPr>
        <w:t>е</w:t>
      </w:r>
      <w:r w:rsidRPr="00724342">
        <w:rPr>
          <w:rFonts w:eastAsiaTheme="minorHAnsi"/>
          <w:sz w:val="22"/>
          <w:szCs w:val="22"/>
          <w:shd w:val="clear" w:color="auto" w:fill="FFFFFF"/>
          <w:lang w:eastAsia="en-US"/>
        </w:rPr>
        <w:t>ствование в 1556 году.</w:t>
      </w:r>
    </w:p>
    <w:p w:rsidR="00724342" w:rsidRPr="00724342" w:rsidRDefault="00724342" w:rsidP="0041627D">
      <w:pPr>
        <w:ind w:firstLine="425"/>
        <w:jc w:val="both"/>
        <w:rPr>
          <w:rFonts w:eastAsiaTheme="minorHAnsi"/>
          <w:sz w:val="22"/>
          <w:szCs w:val="22"/>
          <w:shd w:val="clear" w:color="auto" w:fill="FFFFFF"/>
          <w:lang w:eastAsia="en-US"/>
        </w:rPr>
      </w:pPr>
      <w:r w:rsidRPr="00724342">
        <w:rPr>
          <w:rFonts w:asciiTheme="minorHAnsi" w:eastAsiaTheme="minorHAnsi" w:hAnsiTheme="minorHAnsi" w:cstheme="minorBidi"/>
          <w:sz w:val="22"/>
          <w:szCs w:val="22"/>
          <w:shd w:val="clear" w:color="auto" w:fill="FFFFFF"/>
          <w:lang w:eastAsia="en-US"/>
        </w:rPr>
        <w:t xml:space="preserve"> </w:t>
      </w:r>
      <w:r w:rsidRPr="00724342">
        <w:rPr>
          <w:rFonts w:eastAsiaTheme="minorHAnsi"/>
          <w:sz w:val="22"/>
          <w:szCs w:val="22"/>
          <w:shd w:val="clear" w:color="auto" w:fill="FFFFFF"/>
          <w:lang w:eastAsia="en-US"/>
        </w:rPr>
        <w:t>В-третьих, для решения важнейших внутренних и внешних проблем стал систематически созываться Земский Совет, в котором приняли участие члены Боярской Думы, высшие духовенство, и</w:t>
      </w:r>
      <w:r w:rsidRPr="00724342">
        <w:rPr>
          <w:rFonts w:eastAsiaTheme="minorHAnsi"/>
          <w:sz w:val="22"/>
          <w:szCs w:val="22"/>
          <w:shd w:val="clear" w:color="auto" w:fill="FFFFFF"/>
          <w:lang w:eastAsia="en-US"/>
        </w:rPr>
        <w:t>з</w:t>
      </w:r>
      <w:r w:rsidRPr="00724342">
        <w:rPr>
          <w:rFonts w:eastAsiaTheme="minorHAnsi"/>
          <w:sz w:val="22"/>
          <w:szCs w:val="22"/>
          <w:shd w:val="clear" w:color="auto" w:fill="FFFFFF"/>
          <w:lang w:eastAsia="en-US"/>
        </w:rPr>
        <w:t>бранные из дворян и горожан. В XVI-XVII веках соборы играли важную роль во времена интенсивного изучения выхода из кризи</w:t>
      </w:r>
      <w:r w:rsidRPr="00724342">
        <w:rPr>
          <w:rFonts w:eastAsiaTheme="minorHAnsi"/>
          <w:sz w:val="22"/>
          <w:szCs w:val="22"/>
          <w:shd w:val="clear" w:color="auto" w:fill="FFFFFF"/>
          <w:lang w:eastAsia="en-US"/>
        </w:rPr>
        <w:t>с</w:t>
      </w:r>
      <w:r w:rsidRPr="00724342">
        <w:rPr>
          <w:rFonts w:eastAsiaTheme="minorHAnsi"/>
          <w:sz w:val="22"/>
          <w:szCs w:val="22"/>
          <w:shd w:val="clear" w:color="auto" w:fill="FFFFFF"/>
          <w:lang w:eastAsia="en-US"/>
        </w:rPr>
        <w:t xml:space="preserve">ных ситуаций </w:t>
      </w:r>
      <w:r w:rsidRPr="00724342">
        <w:rPr>
          <w:rFonts w:eastAsiaTheme="minorHAnsi"/>
          <w:sz w:val="22"/>
          <w:szCs w:val="22"/>
          <w:bdr w:val="none" w:sz="0" w:space="0" w:color="auto" w:frame="1"/>
        </w:rPr>
        <w:t>[3]</w:t>
      </w:r>
      <w:r w:rsidRPr="00724342">
        <w:rPr>
          <w:rFonts w:eastAsiaTheme="minorHAnsi"/>
          <w:sz w:val="22"/>
          <w:szCs w:val="22"/>
          <w:shd w:val="clear" w:color="auto" w:fill="FFFFFF"/>
          <w:lang w:eastAsia="en-US"/>
        </w:rPr>
        <w:t>.</w:t>
      </w:r>
    </w:p>
    <w:p w:rsidR="00724342" w:rsidRPr="00724342" w:rsidRDefault="00724342" w:rsidP="0041627D">
      <w:pPr>
        <w:ind w:firstLine="425"/>
        <w:jc w:val="both"/>
        <w:rPr>
          <w:rFonts w:ascii="Arial" w:eastAsiaTheme="minorHAnsi" w:hAnsi="Arial" w:cs="Arial"/>
          <w:color w:val="333333"/>
          <w:sz w:val="20"/>
          <w:szCs w:val="20"/>
          <w:shd w:val="clear" w:color="auto" w:fill="FFFFFF"/>
          <w:lang w:eastAsia="en-US"/>
        </w:rPr>
      </w:pPr>
      <w:r w:rsidRPr="00724342">
        <w:rPr>
          <w:rFonts w:eastAsiaTheme="minorHAnsi"/>
          <w:sz w:val="22"/>
          <w:szCs w:val="22"/>
          <w:shd w:val="clear" w:color="auto" w:fill="FFFFFF"/>
          <w:lang w:eastAsia="en-US"/>
        </w:rPr>
        <w:t xml:space="preserve">В основе военной реформы лежали три важных положения, объединенные идеей сильной вооруженной силы. Во-первых, было </w:t>
      </w:r>
      <w:r w:rsidRPr="00724342">
        <w:rPr>
          <w:rFonts w:eastAsiaTheme="minorHAnsi"/>
          <w:sz w:val="22"/>
          <w:szCs w:val="22"/>
          <w:shd w:val="clear" w:color="auto" w:fill="FFFFFF"/>
          <w:lang w:eastAsia="en-US"/>
        </w:rPr>
        <w:lastRenderedPageBreak/>
        <w:t>создано дворянское ополчение. Во-вторых, в 1550 году было созд</w:t>
      </w:r>
      <w:r w:rsidRPr="00724342">
        <w:rPr>
          <w:rFonts w:eastAsiaTheme="minorHAnsi"/>
          <w:sz w:val="22"/>
          <w:szCs w:val="22"/>
          <w:shd w:val="clear" w:color="auto" w:fill="FFFFFF"/>
          <w:lang w:eastAsia="en-US"/>
        </w:rPr>
        <w:t>а</w:t>
      </w:r>
      <w:r w:rsidRPr="00724342">
        <w:rPr>
          <w:rFonts w:eastAsiaTheme="minorHAnsi"/>
          <w:sz w:val="22"/>
          <w:szCs w:val="22"/>
          <w:shd w:val="clear" w:color="auto" w:fill="FFFFFF"/>
          <w:lang w:eastAsia="en-US"/>
        </w:rPr>
        <w:t>но постоянное стрелецкое войско. Стрельцы поселялись в спец</w:t>
      </w:r>
      <w:r w:rsidRPr="00724342">
        <w:rPr>
          <w:rFonts w:eastAsiaTheme="minorHAnsi"/>
          <w:sz w:val="22"/>
          <w:szCs w:val="22"/>
          <w:shd w:val="clear" w:color="auto" w:fill="FFFFFF"/>
          <w:lang w:eastAsia="en-US"/>
        </w:rPr>
        <w:t>и</w:t>
      </w:r>
      <w:r w:rsidRPr="00724342">
        <w:rPr>
          <w:rFonts w:eastAsiaTheme="minorHAnsi"/>
          <w:sz w:val="22"/>
          <w:szCs w:val="22"/>
          <w:shd w:val="clear" w:color="auto" w:fill="FFFFFF"/>
          <w:lang w:eastAsia="en-US"/>
        </w:rPr>
        <w:t>альных деревнях. Чтобы сэкономить на их жаловании, им разреш</w:t>
      </w:r>
      <w:r w:rsidRPr="00724342">
        <w:rPr>
          <w:rFonts w:eastAsiaTheme="minorHAnsi"/>
          <w:sz w:val="22"/>
          <w:szCs w:val="22"/>
          <w:shd w:val="clear" w:color="auto" w:fill="FFFFFF"/>
          <w:lang w:eastAsia="en-US"/>
        </w:rPr>
        <w:t>и</w:t>
      </w:r>
      <w:r w:rsidRPr="00724342">
        <w:rPr>
          <w:rFonts w:eastAsiaTheme="minorHAnsi"/>
          <w:sz w:val="22"/>
          <w:szCs w:val="22"/>
          <w:shd w:val="clear" w:color="auto" w:fill="FFFFFF"/>
          <w:lang w:eastAsia="en-US"/>
        </w:rPr>
        <w:t xml:space="preserve">ли жить с семьями, заниматься рыбалкой, торговлей, садоводством. </w:t>
      </w:r>
      <w:r w:rsidRPr="00724342">
        <w:rPr>
          <w:rFonts w:eastAsiaTheme="minorHAnsi"/>
          <w:sz w:val="22"/>
          <w:szCs w:val="22"/>
          <w:bdr w:val="none" w:sz="0" w:space="0" w:color="auto" w:frame="1"/>
        </w:rPr>
        <w:t>В-третьих, согласно «Уложению о службе», боярин и дворянин об</w:t>
      </w:r>
      <w:r w:rsidRPr="00724342">
        <w:rPr>
          <w:rFonts w:eastAsiaTheme="minorHAnsi"/>
          <w:sz w:val="22"/>
          <w:szCs w:val="22"/>
          <w:bdr w:val="none" w:sz="0" w:space="0" w:color="auto" w:frame="1"/>
        </w:rPr>
        <w:t>я</w:t>
      </w:r>
      <w:r w:rsidRPr="00724342">
        <w:rPr>
          <w:rFonts w:eastAsiaTheme="minorHAnsi"/>
          <w:sz w:val="22"/>
          <w:szCs w:val="22"/>
          <w:bdr w:val="none" w:sz="0" w:space="0" w:color="auto" w:frame="1"/>
        </w:rPr>
        <w:t>зывался по требованию царя явиться на военные смотры и мобил</w:t>
      </w:r>
      <w:r w:rsidRPr="00724342">
        <w:rPr>
          <w:rFonts w:eastAsiaTheme="minorHAnsi"/>
          <w:sz w:val="22"/>
          <w:szCs w:val="22"/>
          <w:bdr w:val="none" w:sz="0" w:space="0" w:color="auto" w:frame="1"/>
        </w:rPr>
        <w:t>и</w:t>
      </w:r>
      <w:r w:rsidRPr="00724342">
        <w:rPr>
          <w:rFonts w:eastAsiaTheme="minorHAnsi"/>
          <w:sz w:val="22"/>
          <w:szCs w:val="22"/>
          <w:bdr w:val="none" w:sz="0" w:space="0" w:color="auto" w:frame="1"/>
        </w:rPr>
        <w:t>зовать определенное количество своих слуг, исходя из расчета 1 воин от каждых принадлежавших ему 150 десятин.</w:t>
      </w:r>
      <w:r w:rsidRPr="00724342">
        <w:rPr>
          <w:rFonts w:ascii="Arial" w:eastAsiaTheme="minorHAnsi" w:hAnsi="Arial" w:cs="Arial"/>
          <w:color w:val="333333"/>
          <w:sz w:val="20"/>
          <w:szCs w:val="20"/>
          <w:shd w:val="clear" w:color="auto" w:fill="FFFFFF"/>
          <w:lang w:eastAsia="en-US"/>
        </w:rPr>
        <w:t xml:space="preserve"> </w:t>
      </w:r>
    </w:p>
    <w:p w:rsidR="00724342" w:rsidRPr="00724342" w:rsidRDefault="00724342" w:rsidP="0041627D">
      <w:pPr>
        <w:ind w:firstLine="425"/>
        <w:jc w:val="both"/>
        <w:rPr>
          <w:rFonts w:eastAsiaTheme="minorHAnsi"/>
          <w:sz w:val="22"/>
          <w:szCs w:val="22"/>
          <w:bdr w:val="none" w:sz="0" w:space="0" w:color="auto" w:frame="1"/>
        </w:rPr>
      </w:pPr>
      <w:r w:rsidRPr="00724342">
        <w:rPr>
          <w:rFonts w:eastAsiaTheme="minorHAnsi"/>
          <w:sz w:val="22"/>
          <w:szCs w:val="22"/>
          <w:shd w:val="clear" w:color="auto" w:fill="FFFFFF"/>
          <w:lang w:eastAsia="en-US"/>
        </w:rPr>
        <w:t>В 1551 году был созван церковный собор. А так как запись его постановлений была разделена на 100 глав, то он получил образное название «Стоглавый собор». «Стоглавый Собор» решил унифиц</w:t>
      </w:r>
      <w:r w:rsidRPr="00724342">
        <w:rPr>
          <w:rFonts w:eastAsiaTheme="minorHAnsi"/>
          <w:sz w:val="22"/>
          <w:szCs w:val="22"/>
          <w:shd w:val="clear" w:color="auto" w:fill="FFFFFF"/>
          <w:lang w:eastAsia="en-US"/>
        </w:rPr>
        <w:t>и</w:t>
      </w:r>
      <w:r w:rsidRPr="00724342">
        <w:rPr>
          <w:rFonts w:eastAsiaTheme="minorHAnsi"/>
          <w:sz w:val="22"/>
          <w:szCs w:val="22"/>
          <w:shd w:val="clear" w:color="auto" w:fill="FFFFFF"/>
          <w:lang w:eastAsia="en-US"/>
        </w:rPr>
        <w:t>ровать церковные обряды, утвердил общий список святых, икон</w:t>
      </w:r>
      <w:r w:rsidRPr="00724342">
        <w:rPr>
          <w:rFonts w:eastAsiaTheme="minorHAnsi"/>
          <w:sz w:val="22"/>
          <w:szCs w:val="22"/>
          <w:shd w:val="clear" w:color="auto" w:fill="FFFFFF"/>
          <w:lang w:eastAsia="en-US"/>
        </w:rPr>
        <w:t>о</w:t>
      </w:r>
      <w:r w:rsidRPr="00724342">
        <w:rPr>
          <w:rFonts w:eastAsiaTheme="minorHAnsi"/>
          <w:sz w:val="22"/>
          <w:szCs w:val="22"/>
          <w:shd w:val="clear" w:color="auto" w:fill="FFFFFF"/>
          <w:lang w:eastAsia="en-US"/>
        </w:rPr>
        <w:t>писцам предложил создавать новые произведения, следуя опред</w:t>
      </w:r>
      <w:r w:rsidRPr="00724342">
        <w:rPr>
          <w:rFonts w:eastAsiaTheme="minorHAnsi"/>
          <w:sz w:val="22"/>
          <w:szCs w:val="22"/>
          <w:shd w:val="clear" w:color="auto" w:fill="FFFFFF"/>
          <w:lang w:eastAsia="en-US"/>
        </w:rPr>
        <w:t>е</w:t>
      </w:r>
      <w:r w:rsidRPr="00724342">
        <w:rPr>
          <w:rFonts w:eastAsiaTheme="minorHAnsi"/>
          <w:sz w:val="22"/>
          <w:szCs w:val="22"/>
          <w:shd w:val="clear" w:color="auto" w:fill="FFFFFF"/>
          <w:lang w:eastAsia="en-US"/>
        </w:rPr>
        <w:t>ленным образцам.</w:t>
      </w:r>
    </w:p>
    <w:p w:rsidR="00724342" w:rsidRPr="00724342" w:rsidRDefault="00724342" w:rsidP="0041627D">
      <w:pPr>
        <w:widowControl w:val="0"/>
        <w:ind w:firstLine="425"/>
        <w:jc w:val="both"/>
        <w:rPr>
          <w:rFonts w:eastAsiaTheme="minorHAnsi"/>
          <w:sz w:val="22"/>
          <w:szCs w:val="22"/>
          <w:bdr w:val="none" w:sz="0" w:space="0" w:color="auto" w:frame="1"/>
        </w:rPr>
      </w:pPr>
      <w:r w:rsidRPr="00724342">
        <w:rPr>
          <w:rFonts w:eastAsiaTheme="minorHAnsi"/>
          <w:sz w:val="22"/>
          <w:szCs w:val="22"/>
          <w:lang w:eastAsia="en-US"/>
        </w:rPr>
        <w:t>Историки дают положительную оценку реформам Ивана IV, проведенного по рекомендации членов «Избранной рады». А. С. Орлов и Д.М. Володин считают, что реформы 50-х годов XVI в. способствовали укреплению российского централизованного мн</w:t>
      </w:r>
      <w:r w:rsidRPr="00724342">
        <w:rPr>
          <w:rFonts w:eastAsiaTheme="minorHAnsi"/>
          <w:sz w:val="22"/>
          <w:szCs w:val="22"/>
          <w:lang w:eastAsia="en-US"/>
        </w:rPr>
        <w:t>о</w:t>
      </w:r>
      <w:r w:rsidRPr="00724342">
        <w:rPr>
          <w:rFonts w:eastAsiaTheme="minorHAnsi"/>
          <w:sz w:val="22"/>
          <w:szCs w:val="22"/>
          <w:lang w:eastAsia="en-US"/>
        </w:rPr>
        <w:t xml:space="preserve">гонационального государства, они укрепили военную мощь страны. </w:t>
      </w:r>
      <w:r w:rsidRPr="00724342">
        <w:rPr>
          <w:rFonts w:eastAsiaTheme="minorHAnsi"/>
          <w:sz w:val="22"/>
          <w:szCs w:val="22"/>
          <w:bdr w:val="none" w:sz="0" w:space="0" w:color="auto" w:frame="1"/>
        </w:rPr>
        <w:t>Восторженно отзывается о них: «Всего десятилетие! Но за этот к</w:t>
      </w:r>
      <w:r w:rsidRPr="00724342">
        <w:rPr>
          <w:rFonts w:eastAsiaTheme="minorHAnsi"/>
          <w:sz w:val="22"/>
          <w:szCs w:val="22"/>
          <w:bdr w:val="none" w:sz="0" w:space="0" w:color="auto" w:frame="1"/>
        </w:rPr>
        <w:t>о</w:t>
      </w:r>
      <w:r w:rsidRPr="00724342">
        <w:rPr>
          <w:rFonts w:eastAsiaTheme="minorHAnsi"/>
          <w:sz w:val="22"/>
          <w:szCs w:val="22"/>
          <w:bdr w:val="none" w:sz="0" w:space="0" w:color="auto" w:frame="1"/>
        </w:rPr>
        <w:t>роткий период государственное и социальное устройство России претерпело столь сильные изменения, каких не происходило за ц</w:t>
      </w:r>
      <w:r w:rsidRPr="00724342">
        <w:rPr>
          <w:rFonts w:eastAsiaTheme="minorHAnsi"/>
          <w:sz w:val="22"/>
          <w:szCs w:val="22"/>
          <w:bdr w:val="none" w:sz="0" w:space="0" w:color="auto" w:frame="1"/>
        </w:rPr>
        <w:t>е</w:t>
      </w:r>
      <w:r w:rsidRPr="00724342">
        <w:rPr>
          <w:rFonts w:eastAsiaTheme="minorHAnsi"/>
          <w:sz w:val="22"/>
          <w:szCs w:val="22"/>
          <w:bdr w:val="none" w:sz="0" w:space="0" w:color="auto" w:frame="1"/>
        </w:rPr>
        <w:t>лые века спокойного развития» [2].</w:t>
      </w:r>
    </w:p>
    <w:p w:rsidR="00724342" w:rsidRPr="00724342" w:rsidRDefault="00724342" w:rsidP="0041627D">
      <w:pPr>
        <w:widowControl w:val="0"/>
        <w:ind w:firstLine="425"/>
        <w:jc w:val="both"/>
        <w:rPr>
          <w:rFonts w:eastAsiaTheme="minorHAnsi"/>
          <w:sz w:val="22"/>
          <w:szCs w:val="22"/>
          <w:lang w:eastAsia="en-US"/>
        </w:rPr>
      </w:pPr>
      <w:r w:rsidRPr="00724342">
        <w:rPr>
          <w:rFonts w:eastAsiaTheme="minorHAnsi"/>
          <w:sz w:val="22"/>
          <w:szCs w:val="22"/>
          <w:lang w:eastAsia="en-US"/>
        </w:rPr>
        <w:t>Огромный рост и укрепление русского государства в середине XVI века, несомненно, является заслугой выдающегося, но прот</w:t>
      </w:r>
      <w:r w:rsidRPr="00724342">
        <w:rPr>
          <w:rFonts w:eastAsiaTheme="minorHAnsi"/>
          <w:sz w:val="22"/>
          <w:szCs w:val="22"/>
          <w:lang w:eastAsia="en-US"/>
        </w:rPr>
        <w:t>и</w:t>
      </w:r>
      <w:r w:rsidRPr="00724342">
        <w:rPr>
          <w:rFonts w:eastAsiaTheme="minorHAnsi"/>
          <w:sz w:val="22"/>
          <w:szCs w:val="22"/>
          <w:lang w:eastAsia="en-US"/>
        </w:rPr>
        <w:t>воречивого первого русского царя. Его смерть была прологом к не самому лучшему периоду русской истории – Смутному времени [4].</w:t>
      </w:r>
    </w:p>
    <w:p w:rsidR="00724342" w:rsidRPr="00724342" w:rsidRDefault="00724342" w:rsidP="0041627D">
      <w:pPr>
        <w:ind w:firstLine="425"/>
        <w:jc w:val="center"/>
        <w:rPr>
          <w:rFonts w:eastAsiaTheme="minorHAnsi"/>
          <w:sz w:val="22"/>
          <w:szCs w:val="22"/>
          <w:bdr w:val="none" w:sz="0" w:space="0" w:color="auto" w:frame="1"/>
        </w:rPr>
      </w:pPr>
    </w:p>
    <w:p w:rsidR="00724342" w:rsidRPr="00724342" w:rsidRDefault="00724342" w:rsidP="0041627D">
      <w:pPr>
        <w:ind w:firstLine="425"/>
        <w:jc w:val="center"/>
        <w:rPr>
          <w:rFonts w:eastAsiaTheme="minorHAnsi"/>
          <w:sz w:val="22"/>
          <w:szCs w:val="22"/>
          <w:bdr w:val="none" w:sz="0" w:space="0" w:color="auto" w:frame="1"/>
        </w:rPr>
      </w:pPr>
      <w:r w:rsidRPr="00724342">
        <w:rPr>
          <w:rFonts w:eastAsiaTheme="minorHAnsi"/>
          <w:sz w:val="22"/>
          <w:szCs w:val="22"/>
          <w:bdr w:val="none" w:sz="0" w:space="0" w:color="auto" w:frame="1"/>
        </w:rPr>
        <w:t>Список литературы</w:t>
      </w:r>
    </w:p>
    <w:p w:rsidR="00724342" w:rsidRPr="00724342" w:rsidRDefault="00724342" w:rsidP="0041627D">
      <w:pPr>
        <w:numPr>
          <w:ilvl w:val="0"/>
          <w:numId w:val="89"/>
        </w:numPr>
        <w:ind w:left="0" w:firstLine="425"/>
        <w:contextualSpacing/>
        <w:jc w:val="both"/>
        <w:rPr>
          <w:rFonts w:eastAsiaTheme="minorHAnsi"/>
          <w:color w:val="111111"/>
          <w:sz w:val="22"/>
          <w:szCs w:val="22"/>
          <w:lang w:eastAsia="en-US"/>
        </w:rPr>
      </w:pPr>
      <w:r w:rsidRPr="00724342">
        <w:rPr>
          <w:rFonts w:eastAsiaTheme="minorHAnsi"/>
          <w:color w:val="111111"/>
          <w:sz w:val="22"/>
          <w:szCs w:val="22"/>
          <w:lang w:eastAsia="en-US"/>
        </w:rPr>
        <w:t>Лызлов  А.И. Скифская история [Текст] / А. И. Лызлов. – М.: Наука, 2015. – 328 с.</w:t>
      </w:r>
    </w:p>
    <w:p w:rsidR="00724342" w:rsidRPr="00724342" w:rsidRDefault="00724342" w:rsidP="0041627D">
      <w:pPr>
        <w:numPr>
          <w:ilvl w:val="0"/>
          <w:numId w:val="89"/>
        </w:numPr>
        <w:ind w:left="0" w:firstLine="425"/>
        <w:contextualSpacing/>
        <w:jc w:val="both"/>
        <w:rPr>
          <w:rFonts w:eastAsiaTheme="minorHAnsi"/>
          <w:color w:val="111111"/>
          <w:sz w:val="22"/>
          <w:szCs w:val="22"/>
          <w:lang w:eastAsia="en-US"/>
        </w:rPr>
      </w:pPr>
      <w:r w:rsidRPr="00724342">
        <w:rPr>
          <w:rFonts w:eastAsiaTheme="minorHAnsi"/>
          <w:color w:val="111111"/>
          <w:sz w:val="22"/>
          <w:szCs w:val="22"/>
          <w:lang w:eastAsia="en-US"/>
        </w:rPr>
        <w:t>Сайт «Либрусек». Василий Никитич Татищев. От Батыя до Ивана Грозного: история Российская во всей ее полноте. [Эле</w:t>
      </w:r>
      <w:r w:rsidRPr="00724342">
        <w:rPr>
          <w:rFonts w:eastAsiaTheme="minorHAnsi"/>
          <w:color w:val="111111"/>
          <w:sz w:val="22"/>
          <w:szCs w:val="22"/>
          <w:lang w:eastAsia="en-US"/>
        </w:rPr>
        <w:t>к</w:t>
      </w:r>
      <w:r w:rsidRPr="00724342">
        <w:rPr>
          <w:rFonts w:eastAsiaTheme="minorHAnsi"/>
          <w:color w:val="111111"/>
          <w:sz w:val="22"/>
          <w:szCs w:val="22"/>
          <w:lang w:eastAsia="en-US"/>
        </w:rPr>
        <w:t>тронный ресурс] – URL:</w:t>
      </w:r>
      <w:r w:rsidRPr="00724342">
        <w:rPr>
          <w:rFonts w:asciiTheme="minorHAnsi" w:eastAsiaTheme="minorHAnsi" w:hAnsiTheme="minorHAnsi" w:cstheme="minorBidi"/>
          <w:color w:val="111111"/>
          <w:sz w:val="22"/>
          <w:szCs w:val="22"/>
          <w:lang w:eastAsia="en-US"/>
        </w:rPr>
        <w:t> </w:t>
      </w:r>
      <w:r w:rsidRPr="00724342">
        <w:rPr>
          <w:rFonts w:eastAsiaTheme="minorHAnsi"/>
          <w:sz w:val="22"/>
          <w:szCs w:val="22"/>
          <w:lang w:eastAsia="en-US"/>
        </w:rPr>
        <w:t>https://lib.rus.ec/b/513744</w:t>
      </w:r>
    </w:p>
    <w:p w:rsidR="00724342" w:rsidRPr="00724342" w:rsidRDefault="00724342" w:rsidP="0041627D">
      <w:pPr>
        <w:numPr>
          <w:ilvl w:val="0"/>
          <w:numId w:val="89"/>
        </w:numPr>
        <w:ind w:left="0" w:firstLine="425"/>
        <w:contextualSpacing/>
        <w:jc w:val="both"/>
        <w:rPr>
          <w:rFonts w:eastAsiaTheme="minorHAnsi"/>
          <w:color w:val="111111"/>
          <w:sz w:val="22"/>
          <w:szCs w:val="22"/>
          <w:lang w:eastAsia="en-US"/>
        </w:rPr>
      </w:pPr>
      <w:r w:rsidRPr="00724342">
        <w:rPr>
          <w:rFonts w:eastAsiaTheme="minorHAnsi"/>
          <w:color w:val="111111"/>
          <w:sz w:val="22"/>
          <w:szCs w:val="22"/>
          <w:lang w:eastAsia="en-US"/>
        </w:rPr>
        <w:t>Щербатов  М.М. История Российская от древнейших вр</w:t>
      </w:r>
      <w:r w:rsidRPr="00724342">
        <w:rPr>
          <w:rFonts w:eastAsiaTheme="minorHAnsi"/>
          <w:color w:val="111111"/>
          <w:sz w:val="22"/>
          <w:szCs w:val="22"/>
          <w:lang w:eastAsia="en-US"/>
        </w:rPr>
        <w:t>е</w:t>
      </w:r>
      <w:r w:rsidRPr="00724342">
        <w:rPr>
          <w:rFonts w:eastAsiaTheme="minorHAnsi"/>
          <w:color w:val="111111"/>
          <w:sz w:val="22"/>
          <w:szCs w:val="22"/>
          <w:lang w:eastAsia="en-US"/>
        </w:rPr>
        <w:t>мен. Т V, часть 3. [Текст] / М.М. Щербатов – Спб.: Императорская Академия Наук, 2016. – 363 с.</w:t>
      </w:r>
    </w:p>
    <w:p w:rsidR="00724342" w:rsidRPr="00724342" w:rsidRDefault="00724342" w:rsidP="0041627D">
      <w:pPr>
        <w:numPr>
          <w:ilvl w:val="0"/>
          <w:numId w:val="89"/>
        </w:numPr>
        <w:ind w:left="0" w:firstLine="425"/>
        <w:contextualSpacing/>
        <w:jc w:val="both"/>
        <w:rPr>
          <w:rFonts w:eastAsiaTheme="minorHAnsi"/>
          <w:color w:val="111111"/>
          <w:sz w:val="22"/>
          <w:szCs w:val="22"/>
          <w:lang w:eastAsia="en-US"/>
        </w:rPr>
      </w:pPr>
      <w:r w:rsidRPr="00724342">
        <w:rPr>
          <w:rFonts w:eastAsiaTheme="minorHAnsi"/>
          <w:color w:val="111111"/>
          <w:sz w:val="22"/>
          <w:szCs w:val="22"/>
          <w:lang w:eastAsia="en-US"/>
        </w:rPr>
        <w:lastRenderedPageBreak/>
        <w:t>Карамзин  Н.М. История государства Российского [Текст] / Н.М. Карамзин. – М.: Эксмо, 2015. – 124 с.</w:t>
      </w:r>
    </w:p>
    <w:p w:rsidR="00724342" w:rsidRPr="00724342" w:rsidRDefault="00724342" w:rsidP="00724342">
      <w:pPr>
        <w:rPr>
          <w:rFonts w:asciiTheme="minorHAnsi" w:eastAsiaTheme="minorHAnsi" w:hAnsiTheme="minorHAnsi" w:cstheme="minorBidi"/>
          <w:sz w:val="22"/>
          <w:szCs w:val="22"/>
          <w:lang w:eastAsia="en-US"/>
        </w:rPr>
      </w:pPr>
    </w:p>
    <w:p w:rsidR="00724342" w:rsidRPr="00724342" w:rsidRDefault="00724342" w:rsidP="00724342">
      <w:pPr>
        <w:rPr>
          <w:rFonts w:asciiTheme="minorHAnsi" w:eastAsiaTheme="minorHAnsi" w:hAnsiTheme="minorHAnsi" w:cstheme="minorBidi"/>
          <w:sz w:val="22"/>
          <w:szCs w:val="22"/>
          <w:lang w:eastAsia="en-US"/>
        </w:rPr>
      </w:pPr>
    </w:p>
    <w:p w:rsidR="00724342" w:rsidRPr="00724342" w:rsidRDefault="00724342" w:rsidP="00724342">
      <w:pPr>
        <w:rPr>
          <w:rFonts w:asciiTheme="minorHAnsi" w:eastAsiaTheme="minorHAnsi" w:hAnsiTheme="minorHAnsi" w:cstheme="minorBidi"/>
          <w:sz w:val="22"/>
          <w:szCs w:val="22"/>
          <w:lang w:eastAsia="en-US"/>
        </w:rPr>
      </w:pPr>
    </w:p>
    <w:p w:rsidR="00724342" w:rsidRPr="00724342" w:rsidRDefault="00724342" w:rsidP="00724342">
      <w:pPr>
        <w:rPr>
          <w:rFonts w:eastAsiaTheme="minorHAnsi"/>
          <w:color w:val="000000" w:themeColor="text1"/>
          <w:sz w:val="22"/>
          <w:szCs w:val="22"/>
          <w:lang w:eastAsia="en-US"/>
        </w:rPr>
      </w:pPr>
      <w:r w:rsidRPr="00724342">
        <w:rPr>
          <w:rFonts w:eastAsiaTheme="minorHAnsi"/>
          <w:color w:val="000000" w:themeColor="text1"/>
          <w:sz w:val="22"/>
          <w:szCs w:val="22"/>
          <w:lang w:eastAsia="en-US"/>
        </w:rPr>
        <w:t>УДК 658</w:t>
      </w:r>
    </w:p>
    <w:p w:rsidR="00724342" w:rsidRPr="00724342" w:rsidRDefault="00724342" w:rsidP="00724342">
      <w:pPr>
        <w:suppressAutoHyphens/>
        <w:jc w:val="center"/>
        <w:rPr>
          <w:rFonts w:eastAsiaTheme="minorHAnsi"/>
          <w:b/>
          <w:color w:val="000000" w:themeColor="text1"/>
          <w:sz w:val="24"/>
          <w:szCs w:val="24"/>
          <w:lang w:eastAsia="en-US"/>
        </w:rPr>
      </w:pPr>
    </w:p>
    <w:p w:rsidR="00724342" w:rsidRPr="00724342" w:rsidRDefault="00724342" w:rsidP="00724342">
      <w:pPr>
        <w:suppressAutoHyphens/>
        <w:jc w:val="center"/>
        <w:rPr>
          <w:rFonts w:eastAsiaTheme="minorHAnsi"/>
          <w:b/>
          <w:color w:val="000000" w:themeColor="text1"/>
          <w:sz w:val="24"/>
          <w:szCs w:val="24"/>
          <w:lang w:eastAsia="en-US"/>
        </w:rPr>
      </w:pPr>
      <w:r w:rsidRPr="00724342">
        <w:rPr>
          <w:rFonts w:eastAsiaTheme="minorHAnsi"/>
          <w:b/>
          <w:color w:val="000000" w:themeColor="text1"/>
          <w:sz w:val="24"/>
          <w:szCs w:val="24"/>
          <w:lang w:eastAsia="en-US"/>
        </w:rPr>
        <w:t xml:space="preserve">Экономические показатели деятельности сельскохозяйственного предприятия </w:t>
      </w:r>
    </w:p>
    <w:p w:rsidR="00724342" w:rsidRPr="00724342" w:rsidRDefault="00724342" w:rsidP="00724342">
      <w:pPr>
        <w:suppressAutoHyphens/>
        <w:jc w:val="center"/>
        <w:rPr>
          <w:rFonts w:eastAsiaTheme="minorHAnsi"/>
          <w:b/>
          <w:color w:val="000000" w:themeColor="text1"/>
          <w:sz w:val="24"/>
          <w:szCs w:val="24"/>
          <w:lang w:val="en-US" w:eastAsia="en-US"/>
        </w:rPr>
      </w:pPr>
      <w:r w:rsidRPr="00724342">
        <w:rPr>
          <w:rFonts w:eastAsiaTheme="minorHAnsi"/>
          <w:b/>
          <w:color w:val="000000" w:themeColor="text1"/>
          <w:sz w:val="24"/>
          <w:szCs w:val="24"/>
          <w:lang w:val="en-US" w:eastAsia="en-US"/>
        </w:rPr>
        <w:t>Economic performance of the agricultural enterprise</w:t>
      </w:r>
    </w:p>
    <w:p w:rsidR="00724342" w:rsidRPr="00724342" w:rsidRDefault="00724342" w:rsidP="00724342">
      <w:pPr>
        <w:suppressAutoHyphens/>
        <w:rPr>
          <w:rFonts w:eastAsiaTheme="minorHAnsi"/>
          <w:color w:val="000000" w:themeColor="text1"/>
          <w:sz w:val="20"/>
          <w:szCs w:val="20"/>
          <w:lang w:val="en-US" w:eastAsia="en-US"/>
        </w:rPr>
      </w:pPr>
    </w:p>
    <w:p w:rsidR="00724342" w:rsidRPr="00724342" w:rsidRDefault="00724342" w:rsidP="00C609D1">
      <w:pPr>
        <w:suppressAutoHyphens/>
        <w:jc w:val="right"/>
        <w:rPr>
          <w:rFonts w:eastAsiaTheme="minorHAnsi"/>
          <w:sz w:val="22"/>
          <w:szCs w:val="22"/>
          <w:lang w:eastAsia="en-US"/>
        </w:rPr>
      </w:pPr>
      <w:r w:rsidRPr="00724342">
        <w:rPr>
          <w:rFonts w:eastAsiaTheme="minorHAnsi"/>
          <w:sz w:val="22"/>
          <w:szCs w:val="22"/>
          <w:lang w:eastAsia="en-US"/>
        </w:rPr>
        <w:t>Винокуров В. Д.,</w:t>
      </w:r>
      <w:r w:rsidR="00C609D1">
        <w:rPr>
          <w:rFonts w:eastAsiaTheme="minorHAnsi"/>
          <w:sz w:val="22"/>
          <w:szCs w:val="22"/>
          <w:lang w:eastAsia="en-US"/>
        </w:rPr>
        <w:t xml:space="preserve"> </w:t>
      </w:r>
      <w:r w:rsidRPr="00724342">
        <w:rPr>
          <w:rFonts w:eastAsiaTheme="minorHAnsi"/>
          <w:sz w:val="22"/>
          <w:szCs w:val="22"/>
          <w:lang w:eastAsia="en-US"/>
        </w:rPr>
        <w:t>Фирсов Р. Ю.,</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студент</w:t>
      </w:r>
      <w:r w:rsidR="00C609D1">
        <w:rPr>
          <w:rFonts w:eastAsiaTheme="minorHAnsi"/>
          <w:sz w:val="22"/>
          <w:szCs w:val="22"/>
          <w:lang w:eastAsia="en-US"/>
        </w:rPr>
        <w:t>ы</w:t>
      </w:r>
      <w:r w:rsidRPr="00724342">
        <w:rPr>
          <w:rFonts w:eastAsiaTheme="minorHAnsi"/>
          <w:sz w:val="22"/>
          <w:szCs w:val="22"/>
          <w:lang w:eastAsia="en-US"/>
        </w:rPr>
        <w:t xml:space="preserve"> 4-го курса экономического факультета</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Кубанский государственный аграрный</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университет имени И. Т. Трубилина</w:t>
      </w:r>
    </w:p>
    <w:p w:rsidR="00724342" w:rsidRPr="00724342" w:rsidRDefault="00724342" w:rsidP="00724342">
      <w:pPr>
        <w:suppressAutoHyphens/>
        <w:jc w:val="both"/>
        <w:rPr>
          <w:rFonts w:eastAsiaTheme="minorHAnsi"/>
          <w:sz w:val="22"/>
          <w:szCs w:val="22"/>
          <w:lang w:eastAsia="en-US"/>
        </w:rPr>
      </w:pPr>
    </w:p>
    <w:p w:rsidR="00724342" w:rsidRPr="00724342" w:rsidRDefault="00724342" w:rsidP="0041627D">
      <w:pPr>
        <w:suppressAutoHyphens/>
        <w:ind w:firstLine="426"/>
        <w:jc w:val="both"/>
        <w:rPr>
          <w:rFonts w:eastAsiaTheme="minorHAnsi"/>
          <w:sz w:val="22"/>
          <w:szCs w:val="22"/>
          <w:lang w:eastAsia="en-US"/>
        </w:rPr>
      </w:pPr>
      <w:r w:rsidRPr="00724342">
        <w:rPr>
          <w:rFonts w:eastAsiaTheme="minorHAnsi"/>
          <w:caps/>
          <w:sz w:val="22"/>
          <w:szCs w:val="22"/>
          <w:lang w:eastAsia="en-US"/>
        </w:rPr>
        <w:t>Аннотация</w:t>
      </w:r>
      <w:r w:rsidRPr="00724342">
        <w:rPr>
          <w:rFonts w:eastAsiaTheme="minorHAnsi"/>
          <w:sz w:val="22"/>
          <w:szCs w:val="22"/>
          <w:lang w:eastAsia="en-US"/>
        </w:rPr>
        <w:t>: в рамках нашего исследования проводился анализ экономических показателей деятельности сельскохозяйственных предприятий. Выявлено, что экономические показатели деятельности представляют собой количественно-качественные характеристики объекта.</w:t>
      </w:r>
      <w:r w:rsidRPr="00724342">
        <w:rPr>
          <w:rFonts w:asciiTheme="minorHAnsi" w:eastAsiaTheme="minorHAnsi" w:hAnsiTheme="minorHAnsi" w:cstheme="minorBidi"/>
          <w:sz w:val="22"/>
          <w:szCs w:val="22"/>
          <w:lang w:eastAsia="en-US"/>
        </w:rPr>
        <w:t xml:space="preserve"> </w:t>
      </w:r>
      <w:r w:rsidRPr="00724342">
        <w:rPr>
          <w:rFonts w:eastAsiaTheme="minorHAnsi"/>
          <w:sz w:val="22"/>
          <w:szCs w:val="22"/>
          <w:lang w:eastAsia="en-US"/>
        </w:rPr>
        <w:t>Качественная сторона показателя отражает сущность и принадлежность объекта по месту и времени, а количественная — придает объекту количественную определенность.</w:t>
      </w:r>
    </w:p>
    <w:p w:rsidR="00724342" w:rsidRPr="00724342" w:rsidRDefault="00724342" w:rsidP="0041627D">
      <w:pPr>
        <w:suppressAutoHyphens/>
        <w:ind w:firstLine="426"/>
        <w:jc w:val="both"/>
        <w:rPr>
          <w:rFonts w:eastAsiaTheme="minorHAnsi"/>
          <w:sz w:val="22"/>
          <w:szCs w:val="22"/>
          <w:lang w:val="en-US" w:eastAsia="en-US"/>
        </w:rPr>
      </w:pPr>
      <w:r w:rsidRPr="00724342">
        <w:rPr>
          <w:rFonts w:eastAsiaTheme="minorHAnsi"/>
          <w:color w:val="000000"/>
          <w:sz w:val="22"/>
          <w:szCs w:val="22"/>
          <w:shd w:val="clear" w:color="auto" w:fill="FFFFFF"/>
          <w:lang w:val="en-US" w:eastAsia="en-US"/>
        </w:rPr>
        <w:t>ABSTRACT:</w:t>
      </w:r>
      <w:r w:rsidRPr="00724342">
        <w:rPr>
          <w:rFonts w:asciiTheme="minorHAnsi" w:eastAsiaTheme="minorHAnsi" w:hAnsiTheme="minorHAnsi" w:cstheme="minorBidi"/>
          <w:sz w:val="22"/>
          <w:szCs w:val="22"/>
          <w:lang w:val="en-US" w:eastAsia="en-US"/>
        </w:rPr>
        <w:t xml:space="preserve"> </w:t>
      </w:r>
      <w:r w:rsidRPr="00724342">
        <w:rPr>
          <w:rFonts w:eastAsiaTheme="minorHAnsi"/>
          <w:color w:val="000000"/>
          <w:sz w:val="22"/>
          <w:szCs w:val="22"/>
          <w:shd w:val="clear" w:color="auto" w:fill="FFFFFF"/>
          <w:lang w:val="en-US" w:eastAsia="en-US"/>
        </w:rPr>
        <w:t>in the framework of our study, an analysis of the economic performance of agricultural enterprises was carried out. It was revealed that economic performance indicators are quantitative and qualitative characteristics of the object. The qualitative aspect of the indicator reflects the essence and belonging of the object in place and time, and quantitative - gives the object a quantitative certainty.</w:t>
      </w:r>
    </w:p>
    <w:p w:rsidR="00724342" w:rsidRPr="00724342" w:rsidRDefault="00724342" w:rsidP="0041627D">
      <w:pPr>
        <w:suppressAutoHyphens/>
        <w:ind w:firstLine="426"/>
        <w:jc w:val="both"/>
        <w:rPr>
          <w:rFonts w:eastAsiaTheme="minorHAnsi"/>
          <w:sz w:val="22"/>
          <w:szCs w:val="22"/>
          <w:lang w:eastAsia="en-US"/>
        </w:rPr>
      </w:pPr>
      <w:r w:rsidRPr="00724342">
        <w:rPr>
          <w:rFonts w:eastAsiaTheme="minorHAnsi"/>
          <w:caps/>
          <w:sz w:val="22"/>
          <w:szCs w:val="22"/>
          <w:lang w:eastAsia="en-US"/>
        </w:rPr>
        <w:t>Ключевые слова</w:t>
      </w:r>
      <w:r w:rsidRPr="00724342">
        <w:rPr>
          <w:rFonts w:eastAsiaTheme="minorHAnsi"/>
          <w:sz w:val="22"/>
          <w:szCs w:val="22"/>
          <w:lang w:eastAsia="en-US"/>
        </w:rPr>
        <w:t>: показатель, фондоемкость, землеобеспеченность, рентабельность, потенциал, эффективность.</w:t>
      </w:r>
    </w:p>
    <w:p w:rsidR="00724342" w:rsidRPr="00724342" w:rsidRDefault="00724342" w:rsidP="0041627D">
      <w:pPr>
        <w:suppressAutoHyphens/>
        <w:ind w:firstLine="426"/>
        <w:jc w:val="both"/>
        <w:rPr>
          <w:rFonts w:eastAsiaTheme="minorHAnsi"/>
          <w:sz w:val="22"/>
          <w:szCs w:val="22"/>
          <w:lang w:val="en-US" w:eastAsia="en-US"/>
        </w:rPr>
      </w:pPr>
      <w:r w:rsidRPr="00724342">
        <w:rPr>
          <w:rFonts w:eastAsiaTheme="minorHAnsi"/>
          <w:color w:val="000000"/>
          <w:sz w:val="22"/>
          <w:szCs w:val="22"/>
          <w:shd w:val="clear" w:color="auto" w:fill="FFFFFF"/>
          <w:lang w:val="en-US" w:eastAsia="en-US"/>
        </w:rPr>
        <w:t>KEYWORDS:</w:t>
      </w:r>
      <w:r w:rsidRPr="00724342">
        <w:rPr>
          <w:rFonts w:asciiTheme="minorHAnsi" w:eastAsiaTheme="minorHAnsi" w:hAnsiTheme="minorHAnsi" w:cstheme="minorBidi"/>
          <w:sz w:val="22"/>
          <w:szCs w:val="22"/>
          <w:lang w:val="en-US" w:eastAsia="en-US"/>
        </w:rPr>
        <w:t xml:space="preserve"> </w:t>
      </w:r>
      <w:r w:rsidRPr="00724342">
        <w:rPr>
          <w:rFonts w:eastAsiaTheme="minorHAnsi"/>
          <w:color w:val="000000"/>
          <w:sz w:val="22"/>
          <w:szCs w:val="22"/>
          <w:shd w:val="clear" w:color="auto" w:fill="FFFFFF"/>
          <w:lang w:val="en-US" w:eastAsia="en-US"/>
        </w:rPr>
        <w:t>index, capital intensity, land availability, profitability, potential, efficiency</w:t>
      </w:r>
    </w:p>
    <w:p w:rsidR="00724342" w:rsidRPr="00724342" w:rsidRDefault="00724342" w:rsidP="0041627D">
      <w:pPr>
        <w:suppressAutoHyphens/>
        <w:ind w:firstLine="426"/>
        <w:jc w:val="both"/>
        <w:rPr>
          <w:sz w:val="22"/>
          <w:szCs w:val="22"/>
          <w:lang w:val="en-US" w:eastAsia="en-US"/>
        </w:rPr>
      </w:pPr>
    </w:p>
    <w:p w:rsidR="00724342" w:rsidRPr="00724342" w:rsidRDefault="00724342" w:rsidP="0041627D">
      <w:pPr>
        <w:suppressAutoHyphens/>
        <w:ind w:firstLine="426"/>
        <w:jc w:val="both"/>
        <w:rPr>
          <w:sz w:val="22"/>
          <w:szCs w:val="22"/>
          <w:lang w:eastAsia="en-US"/>
        </w:rPr>
      </w:pPr>
      <w:r w:rsidRPr="00724342">
        <w:rPr>
          <w:sz w:val="22"/>
          <w:szCs w:val="22"/>
          <w:lang w:eastAsia="en-US"/>
        </w:rPr>
        <w:lastRenderedPageBreak/>
        <w:t xml:space="preserve">Экономические показатели деятельности в современных условиях выступают индикаторами общего состояния сельскохозяйственного предприятия. </w:t>
      </w:r>
    </w:p>
    <w:p w:rsidR="00724342" w:rsidRPr="00724342" w:rsidRDefault="00724342" w:rsidP="0041627D">
      <w:pPr>
        <w:suppressAutoHyphens/>
        <w:ind w:firstLine="426"/>
        <w:jc w:val="both"/>
        <w:rPr>
          <w:sz w:val="22"/>
          <w:szCs w:val="22"/>
          <w:lang w:eastAsia="en-US"/>
        </w:rPr>
      </w:pPr>
      <w:r w:rsidRPr="00724342">
        <w:rPr>
          <w:sz w:val="22"/>
          <w:szCs w:val="22"/>
          <w:lang w:eastAsia="en-US"/>
        </w:rPr>
        <w:t>Оценка экономических показателей предприятия позволяет выявить тенденции развития предприятий, вероятность выполнения плановых показателей, оценить возможность и найти способы наращивания собственных финансовых ресурсов и, как результат, повышения благосостояния предприятия и его финансовой устойчивости. При этом экономические показатели в о главе пирамиды ставят наличие и изучение причинно-следственной связи между показателями коммерческой, финансовой и  производственной деятельности [2].</w:t>
      </w:r>
    </w:p>
    <w:p w:rsidR="00724342" w:rsidRPr="00724342" w:rsidRDefault="00724342" w:rsidP="0041627D">
      <w:pPr>
        <w:suppressAutoHyphens/>
        <w:ind w:firstLine="426"/>
        <w:jc w:val="both"/>
        <w:rPr>
          <w:sz w:val="22"/>
          <w:szCs w:val="22"/>
          <w:lang w:eastAsia="en-US"/>
        </w:rPr>
      </w:pPr>
      <w:r w:rsidRPr="00724342">
        <w:rPr>
          <w:sz w:val="22"/>
          <w:szCs w:val="22"/>
          <w:lang w:eastAsia="en-US"/>
        </w:rPr>
        <w:t>Расчет экономических показателей деятельности сельскохозяйственного предприятия позволяет проводить прогноз финансовых результатов, рентабельности, разрабатывать модели управления финансовым состоянием, выявить оптимальное соотношение между собственными и заемными средствами.</w:t>
      </w:r>
    </w:p>
    <w:p w:rsidR="00724342" w:rsidRPr="00724342" w:rsidRDefault="00724342" w:rsidP="0041627D">
      <w:pPr>
        <w:suppressAutoHyphens/>
        <w:ind w:firstLine="426"/>
        <w:contextualSpacing/>
        <w:jc w:val="both"/>
        <w:rPr>
          <w:sz w:val="22"/>
          <w:szCs w:val="22"/>
          <w:lang w:eastAsia="en-US"/>
        </w:rPr>
      </w:pPr>
      <w:r w:rsidRPr="00724342">
        <w:rPr>
          <w:sz w:val="22"/>
          <w:szCs w:val="22"/>
          <w:lang w:eastAsia="en-US"/>
        </w:rPr>
        <w:t xml:space="preserve">На наш взгляд, при формировании системы экономических показателей следует опираться на связи и взаимосвязи последних с технологиями производства, техникой, перспективами развития бизнеса, его организацией. При этом важную роль отводят экологическим аспектам, социальным условиям деятельности трудового коллектива, с положением предприятия на внешних и внутренних  рынках. </w:t>
      </w:r>
    </w:p>
    <w:p w:rsidR="00724342" w:rsidRPr="00724342" w:rsidRDefault="00C609D1" w:rsidP="0041627D">
      <w:pPr>
        <w:suppressAutoHyphens/>
        <w:ind w:firstLine="426"/>
        <w:contextualSpacing/>
        <w:jc w:val="both"/>
        <w:rPr>
          <w:rFonts w:eastAsiaTheme="minorHAnsi"/>
          <w:sz w:val="22"/>
          <w:szCs w:val="22"/>
          <w:lang w:eastAsia="en-US"/>
        </w:rPr>
      </w:pPr>
      <w:r>
        <w:rPr>
          <w:sz w:val="22"/>
          <w:szCs w:val="22"/>
          <w:lang w:eastAsia="en-US"/>
        </w:rPr>
        <w:t xml:space="preserve">Все </w:t>
      </w:r>
      <w:r w:rsidR="00724342" w:rsidRPr="00724342">
        <w:rPr>
          <w:sz w:val="22"/>
          <w:szCs w:val="22"/>
          <w:lang w:eastAsia="en-US"/>
        </w:rPr>
        <w:t>показатели, отражающие степень использования всех материальных, трудовых и финансовых видов ресурсов зависят от комплекса исследуемых вопросов. Обобщающими показателями использования производственных ресурсов являются производительность труда, фондоотдача, материалоемкость продукции и т.д. Эффективность использования производственных ресурсов проявляется в объеме и качестве продукции, величине потребленных ресурсов (себестоимость), величине финансовых ресурсов, вложенных в бизнес [1].</w:t>
      </w:r>
    </w:p>
    <w:p w:rsidR="00724342" w:rsidRPr="00724342" w:rsidRDefault="00724342" w:rsidP="0041627D">
      <w:pPr>
        <w:suppressAutoHyphens/>
        <w:ind w:firstLine="426"/>
        <w:contextualSpacing/>
        <w:jc w:val="both"/>
        <w:rPr>
          <w:rFonts w:eastAsiaTheme="minorHAnsi"/>
          <w:sz w:val="22"/>
          <w:szCs w:val="22"/>
          <w:lang w:eastAsia="en-US"/>
        </w:rPr>
      </w:pPr>
      <w:r w:rsidRPr="00724342">
        <w:rPr>
          <w:rFonts w:eastAsiaTheme="minorHAnsi"/>
          <w:sz w:val="22"/>
          <w:szCs w:val="22"/>
          <w:lang w:eastAsia="en-US"/>
        </w:rPr>
        <w:t xml:space="preserve">Экономические показатели характеризуют конечные результаты производственной деятельности сельскохозяйственного предприятия, эффективность. К ним относятся: </w:t>
      </w:r>
      <w:r w:rsidRPr="00724342">
        <w:rPr>
          <w:rFonts w:eastAsiaTheme="minorHAnsi"/>
          <w:bCs/>
          <w:sz w:val="22"/>
          <w:szCs w:val="22"/>
          <w:lang w:eastAsia="en-US"/>
        </w:rPr>
        <w:t xml:space="preserve">стоимость валовой продукции, товарной продукции, уровень товарности, производительность труда, себестоимость продукции, валовой и </w:t>
      </w:r>
      <w:r w:rsidRPr="00724342">
        <w:rPr>
          <w:rFonts w:eastAsiaTheme="minorHAnsi"/>
          <w:bCs/>
          <w:sz w:val="22"/>
          <w:szCs w:val="22"/>
          <w:lang w:eastAsia="en-US"/>
        </w:rPr>
        <w:lastRenderedPageBreak/>
        <w:t xml:space="preserve">чистый доход, прибыль, рентабельность, землеобеспеченность, фондообеспеченность, фондовооруженность, обеспеченность трудовыми ресурсами, производительность сельскохозяйственных земель, фондоотдача и фондоемкость, </w:t>
      </w:r>
    </w:p>
    <w:p w:rsidR="00724342" w:rsidRPr="00724342" w:rsidRDefault="00724342" w:rsidP="0041627D">
      <w:pPr>
        <w:suppressAutoHyphens/>
        <w:ind w:firstLine="426"/>
        <w:jc w:val="both"/>
        <w:rPr>
          <w:rFonts w:eastAsiaTheme="minorHAnsi"/>
          <w:sz w:val="22"/>
          <w:szCs w:val="22"/>
          <w:lang w:eastAsia="en-US"/>
        </w:rPr>
      </w:pPr>
      <w:r w:rsidRPr="00724342">
        <w:rPr>
          <w:rFonts w:eastAsiaTheme="minorHAnsi"/>
          <w:sz w:val="22"/>
          <w:szCs w:val="22"/>
          <w:lang w:eastAsia="en-US"/>
        </w:rPr>
        <w:t>Таким образом, система экономических показателей деятельности сельскохозяйственных предприятий включает  большое их многообразие, при чем показатели дополняют друг друга. Особо отметим, что экономические показатели позволяют выявить многосторонние связи и зависимости, свойственные сельскохозяйственным предприятиям.</w:t>
      </w:r>
    </w:p>
    <w:p w:rsidR="00724342" w:rsidRPr="00724342" w:rsidRDefault="00724342" w:rsidP="0041627D">
      <w:pPr>
        <w:suppressAutoHyphens/>
        <w:ind w:firstLine="426"/>
        <w:jc w:val="both"/>
        <w:rPr>
          <w:rFonts w:eastAsiaTheme="minorHAnsi"/>
          <w:sz w:val="22"/>
          <w:szCs w:val="22"/>
          <w:lang w:eastAsia="en-US"/>
        </w:rPr>
      </w:pPr>
      <w:r w:rsidRPr="00724342">
        <w:rPr>
          <w:rFonts w:eastAsiaTheme="minorHAnsi"/>
          <w:sz w:val="22"/>
          <w:szCs w:val="22"/>
          <w:lang w:eastAsia="en-US"/>
        </w:rPr>
        <w:t>Следует отметить, что системный подход к выбору производственных и экономических показателей позволяет всесторонне характеризовать состояние экономики сельскохозяйственного предприятия и эффективность его хозяйственной деятельности.</w:t>
      </w:r>
    </w:p>
    <w:p w:rsidR="00724342" w:rsidRPr="00724342" w:rsidRDefault="00724342" w:rsidP="0041627D">
      <w:pPr>
        <w:suppressAutoHyphens/>
        <w:ind w:firstLine="426"/>
        <w:jc w:val="both"/>
        <w:rPr>
          <w:rFonts w:eastAsiaTheme="minorHAnsi"/>
          <w:color w:val="FF0000"/>
          <w:sz w:val="22"/>
          <w:szCs w:val="22"/>
          <w:lang w:eastAsia="en-US"/>
        </w:rPr>
      </w:pPr>
    </w:p>
    <w:p w:rsidR="00724342" w:rsidRPr="00724342" w:rsidRDefault="00724342" w:rsidP="0041627D">
      <w:pPr>
        <w:ind w:firstLine="426"/>
        <w:jc w:val="center"/>
        <w:rPr>
          <w:rFonts w:eastAsiaTheme="minorHAnsi"/>
          <w:color w:val="000000" w:themeColor="text1"/>
          <w:sz w:val="22"/>
          <w:szCs w:val="22"/>
          <w:lang w:eastAsia="en-US"/>
        </w:rPr>
      </w:pPr>
      <w:r w:rsidRPr="00724342">
        <w:rPr>
          <w:rFonts w:eastAsiaTheme="minorHAnsi"/>
          <w:color w:val="000000" w:themeColor="text1"/>
          <w:sz w:val="22"/>
          <w:szCs w:val="22"/>
          <w:lang w:eastAsia="en-US"/>
        </w:rPr>
        <w:t>Список литературы</w:t>
      </w:r>
    </w:p>
    <w:p w:rsidR="00724342" w:rsidRPr="00724342" w:rsidRDefault="00724342" w:rsidP="0041627D">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1. </w:t>
      </w:r>
      <w:hyperlink r:id="rId247" w:history="1">
        <w:r w:rsidRPr="00724342">
          <w:rPr>
            <w:rFonts w:eastAsiaTheme="minorHAnsi"/>
            <w:color w:val="000000" w:themeColor="text1"/>
            <w:sz w:val="22"/>
            <w:szCs w:val="22"/>
            <w:lang w:eastAsia="en-US"/>
          </w:rPr>
          <w:t>Арутюнян Ю.И.</w:t>
        </w:r>
      </w:hyperlink>
      <w:r w:rsidRPr="00724342">
        <w:rPr>
          <w:rFonts w:eastAsiaTheme="minorHAnsi"/>
          <w:color w:val="000000" w:themeColor="text1"/>
          <w:sz w:val="22"/>
          <w:szCs w:val="22"/>
          <w:lang w:eastAsia="en-US"/>
        </w:rPr>
        <w:t>, </w:t>
      </w:r>
      <w:hyperlink r:id="rId248" w:history="1">
        <w:r w:rsidRPr="00724342">
          <w:rPr>
            <w:rFonts w:eastAsiaTheme="minorHAnsi"/>
            <w:color w:val="000000" w:themeColor="text1"/>
            <w:sz w:val="22"/>
            <w:szCs w:val="22"/>
            <w:lang w:eastAsia="en-US"/>
          </w:rPr>
          <w:t>Коломоец А.С.</w:t>
        </w:r>
      </w:hyperlink>
      <w:r w:rsidRPr="00724342">
        <w:rPr>
          <w:rFonts w:eastAsiaTheme="minorHAnsi"/>
          <w:color w:val="000000" w:themeColor="text1"/>
          <w:sz w:val="22"/>
          <w:szCs w:val="22"/>
          <w:lang w:eastAsia="en-US"/>
        </w:rPr>
        <w:t> Совершенствование проце</w:t>
      </w:r>
      <w:r w:rsidRPr="00724342">
        <w:rPr>
          <w:rFonts w:eastAsiaTheme="minorHAnsi"/>
          <w:color w:val="000000" w:themeColor="text1"/>
          <w:sz w:val="22"/>
          <w:szCs w:val="22"/>
          <w:lang w:eastAsia="en-US"/>
        </w:rPr>
        <w:t>с</w:t>
      </w:r>
      <w:r w:rsidRPr="00724342">
        <w:rPr>
          <w:rFonts w:eastAsiaTheme="minorHAnsi"/>
          <w:color w:val="000000" w:themeColor="text1"/>
          <w:sz w:val="22"/>
          <w:szCs w:val="22"/>
          <w:lang w:eastAsia="en-US"/>
        </w:rPr>
        <w:t>са бюджетирования на предприятии // Материалы VI междунаро</w:t>
      </w:r>
      <w:r w:rsidRPr="00724342">
        <w:rPr>
          <w:rFonts w:eastAsiaTheme="minorHAnsi"/>
          <w:color w:val="000000" w:themeColor="text1"/>
          <w:sz w:val="22"/>
          <w:szCs w:val="22"/>
          <w:lang w:eastAsia="en-US"/>
        </w:rPr>
        <w:t>д</w:t>
      </w:r>
      <w:r w:rsidRPr="00724342">
        <w:rPr>
          <w:rFonts w:eastAsiaTheme="minorHAnsi"/>
          <w:color w:val="000000" w:themeColor="text1"/>
          <w:sz w:val="22"/>
          <w:szCs w:val="22"/>
          <w:lang w:eastAsia="en-US"/>
        </w:rPr>
        <w:t>ной научно-практической конференции «Фундаментальная наука и технологии -перспективные разработки». -North Charleston, SC, USA: н.-и. ц. «Академический», 2015. С. 300-303. </w:t>
      </w:r>
    </w:p>
    <w:p w:rsidR="00724342" w:rsidRPr="00724342" w:rsidRDefault="00724342" w:rsidP="0041627D">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2. </w:t>
      </w:r>
      <w:hyperlink r:id="rId249" w:history="1">
        <w:r w:rsidRPr="00724342">
          <w:rPr>
            <w:rFonts w:eastAsiaTheme="minorHAnsi"/>
            <w:color w:val="000000" w:themeColor="text1"/>
            <w:sz w:val="22"/>
            <w:szCs w:val="22"/>
            <w:lang w:eastAsia="en-US"/>
          </w:rPr>
          <w:t>Калайда А.Д.</w:t>
        </w:r>
      </w:hyperlink>
      <w:r w:rsidRPr="00724342">
        <w:rPr>
          <w:rFonts w:eastAsiaTheme="minorHAnsi"/>
          <w:color w:val="000000" w:themeColor="text1"/>
          <w:sz w:val="22"/>
          <w:szCs w:val="22"/>
          <w:lang w:eastAsia="en-US"/>
        </w:rPr>
        <w:t>, </w:t>
      </w:r>
      <w:hyperlink r:id="rId250" w:history="1">
        <w:r w:rsidRPr="00724342">
          <w:rPr>
            <w:rFonts w:eastAsiaTheme="minorHAnsi"/>
            <w:color w:val="000000" w:themeColor="text1"/>
            <w:sz w:val="22"/>
            <w:szCs w:val="22"/>
            <w:lang w:eastAsia="en-US"/>
          </w:rPr>
          <w:t>Арутюнян Ю.И.</w:t>
        </w:r>
      </w:hyperlink>
      <w:r w:rsidRPr="00724342">
        <w:rPr>
          <w:rFonts w:eastAsiaTheme="minorHAnsi"/>
          <w:color w:val="000000" w:themeColor="text1"/>
          <w:sz w:val="22"/>
          <w:szCs w:val="22"/>
          <w:lang w:eastAsia="en-US"/>
        </w:rPr>
        <w:t> Обеспечение механизма устойчивого развития предприятия//Материалы 71-й научно-практической конференции студентов по итогам НИР за 2015 год «Научное обеспечение агропромышленного комплекса».-Краснодар: КубГАУ, 2016. -С. 567-570.</w:t>
      </w:r>
    </w:p>
    <w:p w:rsidR="00724342" w:rsidRPr="00724342" w:rsidRDefault="00724342" w:rsidP="0041627D">
      <w:pPr>
        <w:ind w:firstLine="426"/>
        <w:jc w:val="both"/>
        <w:rPr>
          <w:rFonts w:eastAsiaTheme="minorHAnsi"/>
          <w:color w:val="000000" w:themeColor="text1"/>
          <w:sz w:val="22"/>
          <w:szCs w:val="22"/>
          <w:shd w:val="clear" w:color="auto" w:fill="F5F5F5"/>
          <w:lang w:eastAsia="en-US"/>
        </w:rPr>
      </w:pPr>
      <w:r w:rsidRPr="00724342">
        <w:rPr>
          <w:rFonts w:eastAsiaTheme="minorHAnsi"/>
          <w:color w:val="000000" w:themeColor="text1"/>
          <w:sz w:val="22"/>
          <w:szCs w:val="22"/>
          <w:lang w:eastAsia="en-US"/>
        </w:rPr>
        <w:t xml:space="preserve">3. </w:t>
      </w:r>
      <w:hyperlink r:id="rId251" w:history="1">
        <w:r w:rsidRPr="00724342">
          <w:rPr>
            <w:rFonts w:eastAsiaTheme="minorHAnsi"/>
            <w:color w:val="000000" w:themeColor="text1"/>
            <w:sz w:val="22"/>
            <w:szCs w:val="22"/>
            <w:lang w:eastAsia="en-US"/>
          </w:rPr>
          <w:t>Ноздрина А. К.</w:t>
        </w:r>
      </w:hyperlink>
      <w:r w:rsidRPr="00724342">
        <w:rPr>
          <w:rFonts w:eastAsiaTheme="minorHAnsi"/>
          <w:color w:val="000000" w:themeColor="text1"/>
          <w:sz w:val="22"/>
          <w:szCs w:val="22"/>
          <w:lang w:eastAsia="en-US"/>
        </w:rPr>
        <w:t>, </w:t>
      </w:r>
      <w:hyperlink r:id="rId252" w:history="1">
        <w:r w:rsidRPr="00724342">
          <w:rPr>
            <w:rFonts w:eastAsiaTheme="minorHAnsi"/>
            <w:color w:val="000000" w:themeColor="text1"/>
            <w:sz w:val="22"/>
            <w:szCs w:val="22"/>
            <w:lang w:eastAsia="en-US"/>
          </w:rPr>
          <w:t>Арутюнян Ю. И.</w:t>
        </w:r>
      </w:hyperlink>
      <w:r w:rsidRPr="00724342">
        <w:rPr>
          <w:rFonts w:eastAsiaTheme="minorHAnsi"/>
          <w:color w:val="000000" w:themeColor="text1"/>
          <w:sz w:val="22"/>
          <w:szCs w:val="22"/>
          <w:lang w:eastAsia="en-US"/>
        </w:rPr>
        <w:t> Управление финансовыми рисками как способ повышения эффективности использования р</w:t>
      </w:r>
      <w:r w:rsidRPr="00724342">
        <w:rPr>
          <w:rFonts w:eastAsiaTheme="minorHAnsi"/>
          <w:color w:val="000000" w:themeColor="text1"/>
          <w:sz w:val="22"/>
          <w:szCs w:val="22"/>
          <w:lang w:eastAsia="en-US"/>
        </w:rPr>
        <w:t>е</w:t>
      </w:r>
      <w:r w:rsidRPr="00724342">
        <w:rPr>
          <w:rFonts w:eastAsiaTheme="minorHAnsi"/>
          <w:color w:val="000000" w:themeColor="text1"/>
          <w:sz w:val="22"/>
          <w:szCs w:val="22"/>
          <w:lang w:eastAsia="en-US"/>
        </w:rPr>
        <w:t>сурсов предприятия // Сборник научных трудов по материалам I международной научно-практической конференции «Предприятия, отрасли и регионы: генезис, формирование, развитие и прогнозир</w:t>
      </w:r>
      <w:r w:rsidRPr="00724342">
        <w:rPr>
          <w:rFonts w:eastAsiaTheme="minorHAnsi"/>
          <w:color w:val="000000" w:themeColor="text1"/>
          <w:sz w:val="22"/>
          <w:szCs w:val="22"/>
          <w:lang w:eastAsia="en-US"/>
        </w:rPr>
        <w:t>о</w:t>
      </w:r>
      <w:r w:rsidRPr="00724342">
        <w:rPr>
          <w:rFonts w:eastAsiaTheme="minorHAnsi"/>
          <w:color w:val="000000" w:themeColor="text1"/>
          <w:sz w:val="22"/>
          <w:szCs w:val="22"/>
          <w:lang w:eastAsia="en-US"/>
        </w:rPr>
        <w:t>вание», 2016. С. 512-518.</w:t>
      </w:r>
      <w:r w:rsidRPr="00724342">
        <w:rPr>
          <w:rFonts w:eastAsiaTheme="minorHAnsi"/>
          <w:color w:val="000000" w:themeColor="text1"/>
          <w:sz w:val="22"/>
          <w:szCs w:val="22"/>
          <w:shd w:val="clear" w:color="auto" w:fill="F5F5F5"/>
          <w:lang w:eastAsia="en-US"/>
        </w:rPr>
        <w:t> </w:t>
      </w:r>
    </w:p>
    <w:p w:rsidR="00724342" w:rsidRPr="00724342" w:rsidRDefault="00724342" w:rsidP="0041627D">
      <w:pPr>
        <w:shd w:val="clear" w:color="auto" w:fill="FFFFFF"/>
        <w:ind w:firstLine="426"/>
        <w:jc w:val="both"/>
        <w:textAlignment w:val="baseline"/>
        <w:rPr>
          <w:sz w:val="22"/>
          <w:szCs w:val="22"/>
        </w:rPr>
      </w:pPr>
      <w:r w:rsidRPr="00724342">
        <w:rPr>
          <w:sz w:val="22"/>
          <w:szCs w:val="22"/>
        </w:rPr>
        <w:t>4. Погребная Н.В., Голубова Т.С. Пути повышения эффекти</w:t>
      </w:r>
      <w:r w:rsidRPr="00724342">
        <w:rPr>
          <w:sz w:val="22"/>
          <w:szCs w:val="22"/>
        </w:rPr>
        <w:t>в</w:t>
      </w:r>
      <w:r w:rsidRPr="00724342">
        <w:rPr>
          <w:sz w:val="22"/>
          <w:szCs w:val="22"/>
        </w:rPr>
        <w:t>ности государственной поддержки крестьянских (фермерских) х</w:t>
      </w:r>
      <w:r w:rsidRPr="00724342">
        <w:rPr>
          <w:sz w:val="22"/>
          <w:szCs w:val="22"/>
        </w:rPr>
        <w:t>о</w:t>
      </w:r>
      <w:r w:rsidRPr="00724342">
        <w:rPr>
          <w:sz w:val="22"/>
          <w:szCs w:val="22"/>
        </w:rPr>
        <w:t>зяйств в региона  // Сolloquium-journal. 2017. № 2 (2). С. 58-62.</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5. Погребная Н.В., Бирюкова А.Г. Проблемы становления и развития рыночных отношений в агробизнесе. В сборнике: Пре</w:t>
      </w:r>
      <w:r w:rsidRPr="00724342">
        <w:rPr>
          <w:rFonts w:eastAsiaTheme="minorHAnsi"/>
          <w:sz w:val="22"/>
          <w:szCs w:val="22"/>
          <w:lang w:eastAsia="en-US"/>
        </w:rPr>
        <w:t>д</w:t>
      </w:r>
      <w:r w:rsidRPr="00724342">
        <w:rPr>
          <w:rFonts w:eastAsiaTheme="minorHAnsi"/>
          <w:sz w:val="22"/>
          <w:szCs w:val="22"/>
          <w:lang w:eastAsia="en-US"/>
        </w:rPr>
        <w:lastRenderedPageBreak/>
        <w:t>приятия, отрасли и регионы: генезис, формирование, развитие и прогнозирование. Сборник научных трудов по материалам I межд</w:t>
      </w:r>
      <w:r w:rsidRPr="00724342">
        <w:rPr>
          <w:rFonts w:eastAsiaTheme="minorHAnsi"/>
          <w:sz w:val="22"/>
          <w:szCs w:val="22"/>
          <w:lang w:eastAsia="en-US"/>
        </w:rPr>
        <w:t>у</w:t>
      </w:r>
      <w:r w:rsidRPr="00724342">
        <w:rPr>
          <w:rFonts w:eastAsiaTheme="minorHAnsi"/>
          <w:sz w:val="22"/>
          <w:szCs w:val="22"/>
          <w:lang w:eastAsia="en-US"/>
        </w:rPr>
        <w:t>народной научно-практической конференции. Редакторы: Н.А. Краснова, Т.Н. Плесканюк. 2016. С. 124-134.</w:t>
      </w: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jc w:val="both"/>
        <w:rPr>
          <w:rFonts w:eastAsiaTheme="minorHAnsi" w:cstheme="minorBidi"/>
          <w:sz w:val="22"/>
          <w:szCs w:val="22"/>
          <w:lang w:eastAsia="en-US"/>
        </w:rPr>
      </w:pPr>
      <w:r w:rsidRPr="00724342">
        <w:rPr>
          <w:rFonts w:eastAsiaTheme="minorHAnsi" w:cstheme="minorBidi"/>
          <w:sz w:val="22"/>
          <w:szCs w:val="22"/>
          <w:lang w:eastAsia="en-US"/>
        </w:rPr>
        <w:t>УДК 658.7:631.21</w:t>
      </w:r>
    </w:p>
    <w:p w:rsidR="00724342" w:rsidRPr="00724342" w:rsidRDefault="00724342" w:rsidP="00724342">
      <w:pPr>
        <w:jc w:val="both"/>
        <w:rPr>
          <w:rFonts w:eastAsiaTheme="minorHAnsi" w:cstheme="minorBidi"/>
          <w:b/>
          <w:sz w:val="24"/>
          <w:szCs w:val="24"/>
          <w:lang w:eastAsia="en-US"/>
        </w:rPr>
      </w:pPr>
    </w:p>
    <w:p w:rsidR="00724342" w:rsidRPr="00724342" w:rsidRDefault="00724342" w:rsidP="00724342">
      <w:pPr>
        <w:jc w:val="center"/>
        <w:rPr>
          <w:rFonts w:eastAsiaTheme="minorHAnsi" w:cstheme="minorBidi"/>
          <w:b/>
          <w:sz w:val="24"/>
          <w:szCs w:val="24"/>
          <w:lang w:eastAsia="en-US"/>
        </w:rPr>
      </w:pPr>
      <w:r w:rsidRPr="00724342">
        <w:rPr>
          <w:rFonts w:eastAsiaTheme="minorHAnsi" w:cstheme="minorBidi"/>
          <w:b/>
          <w:sz w:val="24"/>
          <w:szCs w:val="24"/>
          <w:lang w:eastAsia="en-US"/>
        </w:rPr>
        <w:t xml:space="preserve">Перспективные инновационные технологии хранения </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eastAsia="en-US"/>
        </w:rPr>
        <w:t>риса</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в</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сельскохозяйственных</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организациях</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val="en" w:eastAsia="en-US"/>
        </w:rPr>
        <w:t xml:space="preserve">Perspective innovative technologies of rice storage </w:t>
      </w:r>
      <w:r w:rsidR="0041627D" w:rsidRPr="0041627D">
        <w:rPr>
          <w:rFonts w:eastAsiaTheme="minorHAnsi" w:cstheme="minorBidi"/>
          <w:b/>
          <w:sz w:val="24"/>
          <w:szCs w:val="24"/>
          <w:lang w:val="en-US" w:eastAsia="en-US"/>
        </w:rPr>
        <w:br/>
      </w:r>
      <w:r w:rsidRPr="00724342">
        <w:rPr>
          <w:rFonts w:eastAsiaTheme="minorHAnsi" w:cstheme="minorBidi"/>
          <w:b/>
          <w:sz w:val="24"/>
          <w:szCs w:val="24"/>
          <w:lang w:val="en" w:eastAsia="en-US"/>
        </w:rPr>
        <w:t>in agricultural organizations</w:t>
      </w:r>
    </w:p>
    <w:p w:rsidR="00724342" w:rsidRPr="00724342" w:rsidRDefault="00724342" w:rsidP="00724342">
      <w:pPr>
        <w:jc w:val="right"/>
        <w:rPr>
          <w:rFonts w:eastAsiaTheme="minorHAnsi" w:cstheme="minorBidi"/>
          <w:b/>
          <w:sz w:val="24"/>
          <w:szCs w:val="24"/>
          <w:lang w:val="en-US" w:eastAsia="en-US"/>
        </w:rPr>
      </w:pP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bCs/>
          <w:iCs/>
          <w:sz w:val="22"/>
          <w:szCs w:val="22"/>
          <w:lang w:eastAsia="en-US"/>
        </w:rPr>
        <w:t>Волошина И. М.</w:t>
      </w:r>
      <w:r w:rsidR="0041627D">
        <w:rPr>
          <w:rFonts w:eastAsiaTheme="minorHAnsi" w:cstheme="minorBidi"/>
          <w:bCs/>
          <w:iCs/>
          <w:sz w:val="22"/>
          <w:szCs w:val="22"/>
          <w:lang w:eastAsia="en-US"/>
        </w:rPr>
        <w:t>,</w:t>
      </w:r>
    </w:p>
    <w:p w:rsidR="00724342" w:rsidRPr="00724342" w:rsidRDefault="00724342" w:rsidP="00724342">
      <w:pPr>
        <w:jc w:val="right"/>
        <w:rPr>
          <w:rFonts w:eastAsiaTheme="minorHAnsi" w:cstheme="minorBidi"/>
          <w:sz w:val="22"/>
          <w:szCs w:val="22"/>
          <w:lang w:eastAsia="en-US"/>
        </w:rPr>
      </w:pPr>
      <w:r w:rsidRPr="00724342">
        <w:rPr>
          <w:rFonts w:eastAsiaTheme="minorHAnsi" w:cstheme="minorBidi"/>
          <w:iCs/>
          <w:sz w:val="22"/>
          <w:szCs w:val="22"/>
          <w:lang w:eastAsia="en-US"/>
        </w:rPr>
        <w:t>студентка 3-го курса  экономического факультета</w:t>
      </w:r>
    </w:p>
    <w:p w:rsidR="00724342" w:rsidRPr="00724342" w:rsidRDefault="00724342" w:rsidP="00724342">
      <w:pPr>
        <w:widowControl w:val="0"/>
        <w:tabs>
          <w:tab w:val="left" w:pos="8223"/>
        </w:tabs>
        <w:jc w:val="right"/>
        <w:rPr>
          <w:rFonts w:eastAsia="Courier New" w:cstheme="minorBidi"/>
          <w:color w:val="000000"/>
          <w:sz w:val="22"/>
          <w:szCs w:val="22"/>
          <w:lang w:eastAsia="en-US"/>
        </w:rPr>
      </w:pPr>
      <w:r w:rsidRPr="00724342">
        <w:rPr>
          <w:rFonts w:eastAsia="Courier New" w:cstheme="minorBidi"/>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stheme="minorBidi"/>
          <w:color w:val="000000"/>
          <w:sz w:val="22"/>
          <w:szCs w:val="22"/>
          <w:lang w:eastAsia="en-US"/>
        </w:rPr>
      </w:pPr>
      <w:r w:rsidRPr="00724342">
        <w:rPr>
          <w:rFonts w:eastAsia="Courier New" w:cstheme="minorBidi"/>
          <w:color w:val="000000"/>
          <w:sz w:val="22"/>
          <w:szCs w:val="22"/>
          <w:lang w:eastAsia="en-US"/>
        </w:rPr>
        <w:t>университет имени И.</w:t>
      </w:r>
      <w:r w:rsidR="0041627D">
        <w:rPr>
          <w:rFonts w:eastAsia="Courier New" w:cstheme="minorBidi"/>
          <w:color w:val="000000"/>
          <w:sz w:val="22"/>
          <w:szCs w:val="22"/>
          <w:lang w:eastAsia="en-US"/>
        </w:rPr>
        <w:t xml:space="preserve"> </w:t>
      </w:r>
      <w:r w:rsidRPr="00724342">
        <w:rPr>
          <w:rFonts w:eastAsia="Courier New" w:cstheme="minorBidi"/>
          <w:color w:val="000000"/>
          <w:sz w:val="22"/>
          <w:szCs w:val="22"/>
          <w:lang w:eastAsia="en-US"/>
        </w:rPr>
        <w:t>Т. Трубилина</w:t>
      </w:r>
    </w:p>
    <w:p w:rsidR="00724342" w:rsidRPr="00724342" w:rsidRDefault="00724342" w:rsidP="00724342">
      <w:pPr>
        <w:jc w:val="right"/>
        <w:rPr>
          <w:rFonts w:eastAsiaTheme="minorHAnsi" w:cstheme="minorBidi"/>
          <w:b/>
          <w:sz w:val="24"/>
          <w:szCs w:val="24"/>
          <w:lang w:eastAsia="en-US"/>
        </w:rPr>
      </w:pPr>
    </w:p>
    <w:p w:rsidR="00724342" w:rsidRPr="00724342" w:rsidRDefault="0041627D" w:rsidP="0041627D">
      <w:pPr>
        <w:ind w:firstLine="426"/>
        <w:jc w:val="both"/>
        <w:rPr>
          <w:rFonts w:eastAsiaTheme="minorHAnsi" w:cstheme="minorBidi"/>
          <w:sz w:val="22"/>
          <w:szCs w:val="22"/>
          <w:lang w:val="en-US" w:eastAsia="en-US"/>
        </w:rPr>
      </w:pPr>
      <w:r w:rsidRPr="00724342">
        <w:rPr>
          <w:rFonts w:eastAsiaTheme="minorHAnsi" w:cstheme="minorBidi"/>
          <w:sz w:val="22"/>
          <w:szCs w:val="22"/>
          <w:lang w:eastAsia="en-US"/>
        </w:rPr>
        <w:t>АННОТАЦИЯ:</w:t>
      </w:r>
      <w:r w:rsidR="00724342" w:rsidRPr="00724342">
        <w:rPr>
          <w:rFonts w:eastAsiaTheme="minorHAnsi" w:cstheme="minorBidi"/>
          <w:sz w:val="22"/>
          <w:szCs w:val="22"/>
          <w:lang w:eastAsia="en-US"/>
        </w:rPr>
        <w:t xml:space="preserve"> Представлены теоретические аспекты повыш</w:t>
      </w:r>
      <w:r w:rsidR="00724342" w:rsidRPr="00724342">
        <w:rPr>
          <w:rFonts w:eastAsiaTheme="minorHAnsi" w:cstheme="minorBidi"/>
          <w:sz w:val="22"/>
          <w:szCs w:val="22"/>
          <w:lang w:eastAsia="en-US"/>
        </w:rPr>
        <w:t>е</w:t>
      </w:r>
      <w:r w:rsidR="00724342" w:rsidRPr="00724342">
        <w:rPr>
          <w:rFonts w:eastAsiaTheme="minorHAnsi" w:cstheme="minorBidi"/>
          <w:sz w:val="22"/>
          <w:szCs w:val="22"/>
          <w:lang w:eastAsia="en-US"/>
        </w:rPr>
        <w:t>ния эффективности деятельности предприятий в отраслях прои</w:t>
      </w:r>
      <w:r w:rsidR="00724342" w:rsidRPr="00724342">
        <w:rPr>
          <w:rFonts w:eastAsiaTheme="minorHAnsi" w:cstheme="minorBidi"/>
          <w:sz w:val="22"/>
          <w:szCs w:val="22"/>
          <w:lang w:eastAsia="en-US"/>
        </w:rPr>
        <w:t>з</w:t>
      </w:r>
      <w:r w:rsidR="00724342" w:rsidRPr="00724342">
        <w:rPr>
          <w:rFonts w:eastAsiaTheme="minorHAnsi" w:cstheme="minorBidi"/>
          <w:sz w:val="22"/>
          <w:szCs w:val="22"/>
          <w:lang w:eastAsia="en-US"/>
        </w:rPr>
        <w:t>водства зерна. Предложены</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практические</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рекомендации</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по</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разв</w:t>
      </w:r>
      <w:r w:rsidR="00724342" w:rsidRPr="00724342">
        <w:rPr>
          <w:rFonts w:eastAsiaTheme="minorHAnsi" w:cstheme="minorBidi"/>
          <w:sz w:val="22"/>
          <w:szCs w:val="22"/>
          <w:lang w:eastAsia="en-US"/>
        </w:rPr>
        <w:t>и</w:t>
      </w:r>
      <w:r w:rsidR="00724342" w:rsidRPr="00724342">
        <w:rPr>
          <w:rFonts w:eastAsiaTheme="minorHAnsi" w:cstheme="minorBidi"/>
          <w:sz w:val="22"/>
          <w:szCs w:val="22"/>
          <w:lang w:eastAsia="en-US"/>
        </w:rPr>
        <w:t>тия</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инновационной</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деятельности</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в</w:t>
      </w:r>
      <w:r w:rsidR="00724342" w:rsidRPr="00724342">
        <w:rPr>
          <w:rFonts w:eastAsiaTheme="minorHAnsi" w:cstheme="minorBidi"/>
          <w:sz w:val="22"/>
          <w:szCs w:val="22"/>
          <w:lang w:val="en-US" w:eastAsia="en-US"/>
        </w:rPr>
        <w:t xml:space="preserve"> </w:t>
      </w:r>
      <w:r w:rsidR="00724342" w:rsidRPr="00724342">
        <w:rPr>
          <w:rFonts w:eastAsiaTheme="minorHAnsi" w:cstheme="minorBidi"/>
          <w:sz w:val="22"/>
          <w:szCs w:val="22"/>
          <w:lang w:eastAsia="en-US"/>
        </w:rPr>
        <w:t>рисоводстве</w:t>
      </w:r>
      <w:r w:rsidR="00724342" w:rsidRPr="00724342">
        <w:rPr>
          <w:rFonts w:eastAsiaTheme="minorHAnsi" w:cstheme="minorBidi"/>
          <w:sz w:val="22"/>
          <w:szCs w:val="22"/>
          <w:lang w:val="en-US" w:eastAsia="en-US"/>
        </w:rPr>
        <w:t xml:space="preserve">. </w:t>
      </w:r>
    </w:p>
    <w:p w:rsidR="00724342" w:rsidRPr="00724342" w:rsidRDefault="0041627D" w:rsidP="0041627D">
      <w:pPr>
        <w:ind w:firstLine="426"/>
        <w:jc w:val="both"/>
        <w:rPr>
          <w:rFonts w:eastAsiaTheme="minorHAnsi" w:cstheme="minorBidi"/>
          <w:sz w:val="22"/>
          <w:szCs w:val="22"/>
          <w:lang w:val="en-US" w:eastAsia="en-US"/>
        </w:rPr>
      </w:pPr>
      <w:r w:rsidRPr="00724342">
        <w:rPr>
          <w:rFonts w:eastAsiaTheme="minorHAnsi" w:cstheme="minorBidi"/>
          <w:sz w:val="22"/>
          <w:szCs w:val="22"/>
          <w:lang w:val="en-US" w:eastAsia="en-US"/>
        </w:rPr>
        <w:t>ABSTRACT:</w:t>
      </w:r>
      <w:r w:rsidRPr="00724342">
        <w:rPr>
          <w:rFonts w:asciiTheme="minorHAnsi" w:eastAsiaTheme="minorHAnsi" w:hAnsiTheme="minorHAnsi" w:cstheme="minorBidi"/>
          <w:sz w:val="22"/>
          <w:szCs w:val="22"/>
          <w:lang w:val="en-US" w:eastAsia="en-US"/>
        </w:rPr>
        <w:t xml:space="preserve"> </w:t>
      </w:r>
      <w:r w:rsidR="00724342" w:rsidRPr="00724342">
        <w:rPr>
          <w:rFonts w:eastAsiaTheme="minorHAnsi" w:cstheme="minorBidi"/>
          <w:sz w:val="22"/>
          <w:szCs w:val="22"/>
          <w:lang w:val="en-US" w:eastAsia="en-US"/>
        </w:rPr>
        <w:t>Theoretical aspects of increasing the efficiency of e</w:t>
      </w:r>
      <w:r w:rsidR="00724342" w:rsidRPr="00724342">
        <w:rPr>
          <w:rFonts w:eastAsiaTheme="minorHAnsi" w:cstheme="minorBidi"/>
          <w:sz w:val="22"/>
          <w:szCs w:val="22"/>
          <w:lang w:val="en-US" w:eastAsia="en-US"/>
        </w:rPr>
        <w:t>n</w:t>
      </w:r>
      <w:r w:rsidR="00724342" w:rsidRPr="00724342">
        <w:rPr>
          <w:rFonts w:eastAsiaTheme="minorHAnsi" w:cstheme="minorBidi"/>
          <w:sz w:val="22"/>
          <w:szCs w:val="22"/>
          <w:lang w:val="en-US" w:eastAsia="en-US"/>
        </w:rPr>
        <w:t>terprises in the grain production sectors presents in the researcher. Pra</w:t>
      </w:r>
      <w:r w:rsidR="00724342" w:rsidRPr="00724342">
        <w:rPr>
          <w:rFonts w:eastAsiaTheme="minorHAnsi" w:cstheme="minorBidi"/>
          <w:sz w:val="22"/>
          <w:szCs w:val="22"/>
          <w:lang w:val="en-US" w:eastAsia="en-US"/>
        </w:rPr>
        <w:t>c</w:t>
      </w:r>
      <w:r w:rsidR="00724342" w:rsidRPr="00724342">
        <w:rPr>
          <w:rFonts w:eastAsiaTheme="minorHAnsi" w:cstheme="minorBidi"/>
          <w:sz w:val="22"/>
          <w:szCs w:val="22"/>
          <w:lang w:val="en-US" w:eastAsia="en-US"/>
        </w:rPr>
        <w:t>tical recommendations for enterprises to increase the development of innovative activity in rice growing are offered.</w:t>
      </w:r>
    </w:p>
    <w:p w:rsidR="00724342" w:rsidRPr="00724342" w:rsidRDefault="0041627D"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КЛЮЧЕВЫЕ СЛОВА: </w:t>
      </w:r>
      <w:r w:rsidR="00724342" w:rsidRPr="00724342">
        <w:rPr>
          <w:rFonts w:eastAsiaTheme="minorHAnsi" w:cstheme="minorBidi"/>
          <w:sz w:val="22"/>
          <w:szCs w:val="22"/>
          <w:lang w:eastAsia="en-US"/>
        </w:rPr>
        <w:t>рис, рисоводство, инновации, иннов</w:t>
      </w:r>
      <w:r w:rsidR="00724342" w:rsidRPr="00724342">
        <w:rPr>
          <w:rFonts w:eastAsiaTheme="minorHAnsi" w:cstheme="minorBidi"/>
          <w:sz w:val="22"/>
          <w:szCs w:val="22"/>
          <w:lang w:eastAsia="en-US"/>
        </w:rPr>
        <w:t>а</w:t>
      </w:r>
      <w:r w:rsidR="00724342" w:rsidRPr="00724342">
        <w:rPr>
          <w:rFonts w:eastAsiaTheme="minorHAnsi" w:cstheme="minorBidi"/>
          <w:sz w:val="22"/>
          <w:szCs w:val="22"/>
          <w:lang w:eastAsia="en-US"/>
        </w:rPr>
        <w:t>ционные технологии, растениеводство.</w:t>
      </w:r>
    </w:p>
    <w:p w:rsidR="00724342" w:rsidRPr="00724342" w:rsidRDefault="0041627D" w:rsidP="0041627D">
      <w:pPr>
        <w:ind w:firstLine="426"/>
        <w:jc w:val="both"/>
        <w:rPr>
          <w:rFonts w:eastAsiaTheme="minorHAnsi" w:cstheme="minorBidi"/>
          <w:sz w:val="22"/>
          <w:szCs w:val="22"/>
          <w:lang w:val="en-US" w:eastAsia="en-US"/>
        </w:rPr>
      </w:pPr>
      <w:r w:rsidRPr="00724342">
        <w:rPr>
          <w:rFonts w:eastAsiaTheme="minorHAnsi" w:cstheme="minorBidi"/>
          <w:sz w:val="22"/>
          <w:szCs w:val="22"/>
          <w:lang w:val="en-US" w:eastAsia="en-US"/>
        </w:rPr>
        <w:t>KEY WORDS:</w:t>
      </w:r>
      <w:r w:rsidRPr="00724342">
        <w:rPr>
          <w:rFonts w:asciiTheme="minorHAnsi" w:eastAsiaTheme="minorHAnsi" w:hAnsiTheme="minorHAnsi" w:cstheme="minorBidi"/>
          <w:sz w:val="22"/>
          <w:szCs w:val="22"/>
          <w:lang w:val="en-US" w:eastAsia="en-US"/>
        </w:rPr>
        <w:t xml:space="preserve"> </w:t>
      </w:r>
      <w:r w:rsidR="00724342" w:rsidRPr="00724342">
        <w:rPr>
          <w:rFonts w:eastAsiaTheme="minorHAnsi" w:cstheme="minorBidi"/>
          <w:sz w:val="22"/>
          <w:szCs w:val="22"/>
          <w:lang w:val="en-US" w:eastAsia="en-US"/>
        </w:rPr>
        <w:t>rice, rice growing, innovation, innovative technol</w:t>
      </w:r>
      <w:r w:rsidR="00724342" w:rsidRPr="00724342">
        <w:rPr>
          <w:rFonts w:eastAsiaTheme="minorHAnsi" w:cstheme="minorBidi"/>
          <w:sz w:val="22"/>
          <w:szCs w:val="22"/>
          <w:lang w:val="en-US" w:eastAsia="en-US"/>
        </w:rPr>
        <w:t>o</w:t>
      </w:r>
      <w:r w:rsidR="00724342" w:rsidRPr="00724342">
        <w:rPr>
          <w:rFonts w:eastAsiaTheme="minorHAnsi" w:cstheme="minorBidi"/>
          <w:sz w:val="22"/>
          <w:szCs w:val="22"/>
          <w:lang w:val="en-US" w:eastAsia="en-US"/>
        </w:rPr>
        <w:t>gies, crop production</w:t>
      </w:r>
    </w:p>
    <w:p w:rsidR="00724342" w:rsidRPr="00724342" w:rsidRDefault="00724342" w:rsidP="0041627D">
      <w:pPr>
        <w:ind w:firstLine="426"/>
        <w:jc w:val="both"/>
        <w:rPr>
          <w:rFonts w:eastAsiaTheme="minorHAnsi" w:cstheme="minorBidi"/>
          <w:sz w:val="24"/>
          <w:szCs w:val="24"/>
          <w:lang w:val="en-US" w:eastAsia="en-US"/>
        </w:rPr>
      </w:pP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Основным направлением преодоления кризиса в сельском х</w:t>
      </w:r>
      <w:r w:rsidRPr="00724342">
        <w:rPr>
          <w:rFonts w:eastAsiaTheme="minorHAnsi" w:cstheme="minorBidi"/>
          <w:sz w:val="22"/>
          <w:szCs w:val="22"/>
          <w:lang w:eastAsia="en-US"/>
        </w:rPr>
        <w:t>о</w:t>
      </w:r>
      <w:r w:rsidRPr="00724342">
        <w:rPr>
          <w:rFonts w:eastAsiaTheme="minorHAnsi" w:cstheme="minorBidi"/>
          <w:sz w:val="22"/>
          <w:szCs w:val="22"/>
          <w:lang w:eastAsia="en-US"/>
        </w:rPr>
        <w:t>зяйстве является совершенствование организационно-производственных процессов в сельскохозяйственных организациях на основе использования инновационных разработок [1, 4]. Инн</w:t>
      </w:r>
      <w:r w:rsidRPr="00724342">
        <w:rPr>
          <w:rFonts w:eastAsiaTheme="minorHAnsi" w:cstheme="minorBidi"/>
          <w:sz w:val="22"/>
          <w:szCs w:val="22"/>
          <w:lang w:eastAsia="en-US"/>
        </w:rPr>
        <w:t>о</w:t>
      </w:r>
      <w:r w:rsidRPr="00724342">
        <w:rPr>
          <w:rFonts w:eastAsiaTheme="minorHAnsi" w:cstheme="minorBidi"/>
          <w:sz w:val="22"/>
          <w:szCs w:val="22"/>
          <w:lang w:eastAsia="en-US"/>
        </w:rPr>
        <w:t>вационная деятельность в отраслях производства возделывания р</w:t>
      </w:r>
      <w:r w:rsidRPr="00724342">
        <w:rPr>
          <w:rFonts w:eastAsiaTheme="minorHAnsi" w:cstheme="minorBidi"/>
          <w:sz w:val="22"/>
          <w:szCs w:val="22"/>
          <w:lang w:eastAsia="en-US"/>
        </w:rPr>
        <w:t>и</w:t>
      </w:r>
      <w:r w:rsidRPr="00724342">
        <w:rPr>
          <w:rFonts w:eastAsiaTheme="minorHAnsi" w:cstheme="minorBidi"/>
          <w:sz w:val="22"/>
          <w:szCs w:val="22"/>
          <w:lang w:eastAsia="en-US"/>
        </w:rPr>
        <w:lastRenderedPageBreak/>
        <w:t xml:space="preserve">са является актуальной, так как рисоводство – это одна из ведущей отрасли сельского хозяйства. </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В 2016 году объемы экспорта риса Россией впервые практич</w:t>
      </w:r>
      <w:r w:rsidRPr="00724342">
        <w:rPr>
          <w:rFonts w:eastAsiaTheme="minorHAnsi" w:cstheme="minorBidi"/>
          <w:sz w:val="22"/>
          <w:szCs w:val="22"/>
          <w:lang w:eastAsia="en-US"/>
        </w:rPr>
        <w:t>е</w:t>
      </w:r>
      <w:r w:rsidRPr="00724342">
        <w:rPr>
          <w:rFonts w:eastAsiaTheme="minorHAnsi" w:cstheme="minorBidi"/>
          <w:sz w:val="22"/>
          <w:szCs w:val="22"/>
          <w:lang w:eastAsia="en-US"/>
        </w:rPr>
        <w:t>ски сравнялось с количеством импортного продукта в страну, что позволяет сделать вывод о достижения уровня самообеспечения продукцией отрасли в стране [3].</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Особенно динамично отрасль развивается в последние годы: с 2005 г. урожайность культуры в среднем по стране стабильно пр</w:t>
      </w:r>
      <w:r w:rsidRPr="00724342">
        <w:rPr>
          <w:rFonts w:eastAsiaTheme="minorHAnsi" w:cstheme="minorBidi"/>
          <w:sz w:val="22"/>
          <w:szCs w:val="22"/>
          <w:lang w:eastAsia="en-US"/>
        </w:rPr>
        <w:t>е</w:t>
      </w:r>
      <w:r w:rsidRPr="00724342">
        <w:rPr>
          <w:rFonts w:eastAsiaTheme="minorHAnsi" w:cstheme="minorBidi"/>
          <w:sz w:val="22"/>
          <w:szCs w:val="22"/>
          <w:lang w:eastAsia="en-US"/>
        </w:rPr>
        <w:t>вышает 40 ц/га. В 2015 г. посевная площадь риса в стране составила 202 тыс. га, урожайность – 56 ц/га и валовой сбор риса-зерна – 1110 тыс. т.</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Рекордная доля в объеме производства риса в России прих</w:t>
      </w:r>
      <w:r w:rsidRPr="00724342">
        <w:rPr>
          <w:rFonts w:eastAsiaTheme="minorHAnsi" w:cstheme="minorBidi"/>
          <w:sz w:val="22"/>
          <w:szCs w:val="22"/>
          <w:lang w:eastAsia="en-US"/>
        </w:rPr>
        <w:t>о</w:t>
      </w:r>
      <w:r w:rsidRPr="00724342">
        <w:rPr>
          <w:rFonts w:eastAsiaTheme="minorHAnsi" w:cstheme="minorBidi"/>
          <w:sz w:val="22"/>
          <w:szCs w:val="22"/>
          <w:lang w:eastAsia="en-US"/>
        </w:rPr>
        <w:t>дится на Краснодарский край. Региональными производителями в 2016 году произведено более 80% всего валового сбора культуры.</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Современный этап развития рисоводства и перспективы инн</w:t>
      </w:r>
      <w:r w:rsidRPr="00724342">
        <w:rPr>
          <w:rFonts w:eastAsiaTheme="minorHAnsi" w:cstheme="minorBidi"/>
          <w:sz w:val="22"/>
          <w:szCs w:val="22"/>
          <w:lang w:eastAsia="en-US"/>
        </w:rPr>
        <w:t>о</w:t>
      </w:r>
      <w:r w:rsidRPr="00724342">
        <w:rPr>
          <w:rFonts w:eastAsiaTheme="minorHAnsi" w:cstheme="minorBidi"/>
          <w:sz w:val="22"/>
          <w:szCs w:val="22"/>
          <w:lang w:eastAsia="en-US"/>
        </w:rPr>
        <w:t>вационного развития отрасли связан с научными трудами и разр</w:t>
      </w:r>
      <w:r w:rsidRPr="00724342">
        <w:rPr>
          <w:rFonts w:eastAsiaTheme="minorHAnsi" w:cstheme="minorBidi"/>
          <w:sz w:val="22"/>
          <w:szCs w:val="22"/>
          <w:lang w:eastAsia="en-US"/>
        </w:rPr>
        <w:t>а</w:t>
      </w:r>
      <w:r w:rsidRPr="00724342">
        <w:rPr>
          <w:rFonts w:eastAsiaTheme="minorHAnsi" w:cstheme="minorBidi"/>
          <w:sz w:val="22"/>
          <w:szCs w:val="22"/>
          <w:lang w:eastAsia="en-US"/>
        </w:rPr>
        <w:t>ботками ведущих ученых: в области генетики и селекции риса - В.А. Дзюбы, А.П. Сметанина, В.Н. Шиловского, Г.Л. Зеленского, B.C. Ковалева, Н.В. Остапенко; физиологии и минерального пит</w:t>
      </w:r>
      <w:r w:rsidRPr="00724342">
        <w:rPr>
          <w:rFonts w:eastAsiaTheme="minorHAnsi" w:cstheme="minorBidi"/>
          <w:sz w:val="22"/>
          <w:szCs w:val="22"/>
          <w:lang w:eastAsia="en-US"/>
        </w:rPr>
        <w:t>а</w:t>
      </w:r>
      <w:r w:rsidRPr="00724342">
        <w:rPr>
          <w:rFonts w:eastAsiaTheme="minorHAnsi" w:cstheme="minorBidi"/>
          <w:sz w:val="22"/>
          <w:szCs w:val="22"/>
          <w:lang w:eastAsia="en-US"/>
        </w:rPr>
        <w:t>ния риса - Е.П. Алешина, Э.Р. Авакян, Н.С. Тура, Н.В. Воробьева, М.А. Скаженника; семеноводства и семеноведения - А.И. Апрода, А.Н. Зинника; агрохимии и удобрения риса - В.Т. Рымаря, А.Х. Шеуджена, А.Г. Ладатко, В.Н. Паращенко; защиты растений от сорняков, вредителей и болезней - В.Д. Агаркова, А.С. Мырзина, А.И. Касьянова; гидротехники и мелиорации - В.А. Попова; мех</w:t>
      </w:r>
      <w:r w:rsidRPr="00724342">
        <w:rPr>
          <w:rFonts w:eastAsiaTheme="minorHAnsi" w:cstheme="minorBidi"/>
          <w:sz w:val="22"/>
          <w:szCs w:val="22"/>
          <w:lang w:eastAsia="en-US"/>
        </w:rPr>
        <w:t>а</w:t>
      </w:r>
      <w:r w:rsidRPr="00724342">
        <w:rPr>
          <w:rFonts w:eastAsiaTheme="minorHAnsi" w:cstheme="minorBidi"/>
          <w:sz w:val="22"/>
          <w:szCs w:val="22"/>
          <w:lang w:eastAsia="en-US"/>
        </w:rPr>
        <w:t>низации - М.И. Чеботарева; в области экономики и организации о</w:t>
      </w:r>
      <w:r w:rsidRPr="00724342">
        <w:rPr>
          <w:rFonts w:eastAsiaTheme="minorHAnsi" w:cstheme="minorBidi"/>
          <w:sz w:val="22"/>
          <w:szCs w:val="22"/>
          <w:lang w:eastAsia="en-US"/>
        </w:rPr>
        <w:t>т</w:t>
      </w:r>
      <w:r w:rsidRPr="00724342">
        <w:rPr>
          <w:rFonts w:eastAsiaTheme="minorHAnsi" w:cstheme="minorBidi"/>
          <w:sz w:val="22"/>
          <w:szCs w:val="22"/>
          <w:lang w:eastAsia="en-US"/>
        </w:rPr>
        <w:t>расли - Г.А. Романенко, В.Н. Положия и Е.М. Харитонова.</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Перспективным направлением инновационного развития о</w:t>
      </w:r>
      <w:r w:rsidRPr="00724342">
        <w:rPr>
          <w:rFonts w:eastAsiaTheme="minorHAnsi" w:cstheme="minorBidi"/>
          <w:sz w:val="22"/>
          <w:szCs w:val="22"/>
          <w:lang w:eastAsia="en-US"/>
        </w:rPr>
        <w:t>т</w:t>
      </w:r>
      <w:r w:rsidRPr="00724342">
        <w:rPr>
          <w:rFonts w:eastAsiaTheme="minorHAnsi" w:cstheme="minorBidi"/>
          <w:sz w:val="22"/>
          <w:szCs w:val="22"/>
          <w:lang w:eastAsia="en-US"/>
        </w:rPr>
        <w:t>расли является организация внутрихозяйственного хранения, пре</w:t>
      </w:r>
      <w:r w:rsidRPr="00724342">
        <w:rPr>
          <w:rFonts w:eastAsiaTheme="minorHAnsi" w:cstheme="minorBidi"/>
          <w:sz w:val="22"/>
          <w:szCs w:val="22"/>
          <w:lang w:eastAsia="en-US"/>
        </w:rPr>
        <w:t>д</w:t>
      </w:r>
      <w:r w:rsidRPr="00724342">
        <w:rPr>
          <w:rFonts w:eastAsiaTheme="minorHAnsi" w:cstheme="minorBidi"/>
          <w:sz w:val="22"/>
          <w:szCs w:val="22"/>
          <w:lang w:eastAsia="en-US"/>
        </w:rPr>
        <w:t>продажной очистки и подготовки риса с использованием совреме</w:t>
      </w:r>
      <w:r w:rsidRPr="00724342">
        <w:rPr>
          <w:rFonts w:eastAsiaTheme="minorHAnsi" w:cstheme="minorBidi"/>
          <w:sz w:val="22"/>
          <w:szCs w:val="22"/>
          <w:lang w:eastAsia="en-US"/>
        </w:rPr>
        <w:t>н</w:t>
      </w:r>
      <w:r w:rsidRPr="00724342">
        <w:rPr>
          <w:rFonts w:eastAsiaTheme="minorHAnsi" w:cstheme="minorBidi"/>
          <w:sz w:val="22"/>
          <w:szCs w:val="22"/>
          <w:lang w:eastAsia="en-US"/>
        </w:rPr>
        <w:t>ных технологий [2]. В перспективе внедрение внутрихозяйственн</w:t>
      </w:r>
      <w:r w:rsidRPr="00724342">
        <w:rPr>
          <w:rFonts w:eastAsiaTheme="minorHAnsi" w:cstheme="minorBidi"/>
          <w:sz w:val="22"/>
          <w:szCs w:val="22"/>
          <w:lang w:eastAsia="en-US"/>
        </w:rPr>
        <w:t>о</w:t>
      </w:r>
      <w:r w:rsidRPr="00724342">
        <w:rPr>
          <w:rFonts w:eastAsiaTheme="minorHAnsi" w:cstheme="minorBidi"/>
          <w:sz w:val="22"/>
          <w:szCs w:val="22"/>
          <w:lang w:eastAsia="en-US"/>
        </w:rPr>
        <w:t>го хранения зерна позволит повысить конкурентоспособность пр</w:t>
      </w:r>
      <w:r w:rsidRPr="00724342">
        <w:rPr>
          <w:rFonts w:eastAsiaTheme="minorHAnsi" w:cstheme="minorBidi"/>
          <w:sz w:val="22"/>
          <w:szCs w:val="22"/>
          <w:lang w:eastAsia="en-US"/>
        </w:rPr>
        <w:t>о</w:t>
      </w:r>
      <w:r w:rsidRPr="00724342">
        <w:rPr>
          <w:rFonts w:eastAsiaTheme="minorHAnsi" w:cstheme="minorBidi"/>
          <w:sz w:val="22"/>
          <w:szCs w:val="22"/>
          <w:lang w:eastAsia="en-US"/>
        </w:rPr>
        <w:t xml:space="preserve">дукции региональных производителей на рынке. </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В практике организации хранения зерна в сельскохозяйстве</w:t>
      </w:r>
      <w:r w:rsidRPr="00724342">
        <w:rPr>
          <w:rFonts w:eastAsiaTheme="minorHAnsi" w:cstheme="minorBidi"/>
          <w:sz w:val="22"/>
          <w:szCs w:val="22"/>
          <w:lang w:eastAsia="en-US"/>
        </w:rPr>
        <w:t>н</w:t>
      </w:r>
      <w:r w:rsidRPr="00724342">
        <w:rPr>
          <w:rFonts w:eastAsiaTheme="minorHAnsi" w:cstheme="minorBidi"/>
          <w:sz w:val="22"/>
          <w:szCs w:val="22"/>
          <w:lang w:eastAsia="en-US"/>
        </w:rPr>
        <w:t>ных организациях применяются механизированные и немеханиз</w:t>
      </w:r>
      <w:r w:rsidRPr="00724342">
        <w:rPr>
          <w:rFonts w:eastAsiaTheme="minorHAnsi" w:cstheme="minorBidi"/>
          <w:sz w:val="22"/>
          <w:szCs w:val="22"/>
          <w:lang w:eastAsia="en-US"/>
        </w:rPr>
        <w:t>и</w:t>
      </w:r>
      <w:r w:rsidRPr="00724342">
        <w:rPr>
          <w:rFonts w:eastAsiaTheme="minorHAnsi" w:cstheme="minorBidi"/>
          <w:sz w:val="22"/>
          <w:szCs w:val="22"/>
          <w:lang w:eastAsia="en-US"/>
        </w:rPr>
        <w:t>рованные типовые складские помещения. Для хранения больших объемов зерна используют силосы, в которых одновременно можно хранить несколько разных партий зерна.</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lastRenderedPageBreak/>
        <w:t xml:space="preserve">Инновационные технологии хранения зерна основываются на применении цилиндрических силосов различной вместимостью от 25 т (Бункера) до 10000 т (Бины). При таких типах конструкции возможно проводить с зерном все необходимые процедуры по очистке, дезинфекции, травлению, регулированию влажности и температуры и сортировке продукции. </w:t>
      </w:r>
    </w:p>
    <w:p w:rsidR="00724342" w:rsidRPr="00724342" w:rsidRDefault="00724342" w:rsidP="0041627D">
      <w:pPr>
        <w:ind w:firstLine="426"/>
        <w:jc w:val="both"/>
        <w:rPr>
          <w:rFonts w:eastAsiaTheme="minorHAnsi" w:cstheme="minorBidi"/>
          <w:spacing w:val="-4"/>
          <w:sz w:val="22"/>
          <w:szCs w:val="22"/>
          <w:lang w:eastAsia="en-US"/>
        </w:rPr>
      </w:pPr>
      <w:r w:rsidRPr="00724342">
        <w:rPr>
          <w:rFonts w:eastAsiaTheme="minorHAnsi" w:cstheme="minorBidi"/>
          <w:spacing w:val="-4"/>
          <w:sz w:val="22"/>
          <w:szCs w:val="22"/>
          <w:lang w:eastAsia="en-US"/>
        </w:rPr>
        <w:t>Главным преимуществом установки в хозяйствах зерноочист</w:t>
      </w:r>
      <w:r w:rsidRPr="00724342">
        <w:rPr>
          <w:rFonts w:eastAsiaTheme="minorHAnsi" w:cstheme="minorBidi"/>
          <w:spacing w:val="-4"/>
          <w:sz w:val="22"/>
          <w:szCs w:val="22"/>
          <w:lang w:eastAsia="en-US"/>
        </w:rPr>
        <w:t>и</w:t>
      </w:r>
      <w:r w:rsidRPr="00724342">
        <w:rPr>
          <w:rFonts w:eastAsiaTheme="minorHAnsi" w:cstheme="minorBidi"/>
          <w:spacing w:val="-4"/>
          <w:sz w:val="22"/>
          <w:szCs w:val="22"/>
          <w:lang w:eastAsia="en-US"/>
        </w:rPr>
        <w:t>тельных агрегатов является повышения качества послеуборочной о</w:t>
      </w:r>
      <w:r w:rsidRPr="00724342">
        <w:rPr>
          <w:rFonts w:eastAsiaTheme="minorHAnsi" w:cstheme="minorBidi"/>
          <w:spacing w:val="-4"/>
          <w:sz w:val="22"/>
          <w:szCs w:val="22"/>
          <w:lang w:eastAsia="en-US"/>
        </w:rPr>
        <w:t>б</w:t>
      </w:r>
      <w:r w:rsidRPr="00724342">
        <w:rPr>
          <w:rFonts w:eastAsiaTheme="minorHAnsi" w:cstheme="minorBidi"/>
          <w:spacing w:val="-4"/>
          <w:sz w:val="22"/>
          <w:szCs w:val="22"/>
          <w:lang w:eastAsia="en-US"/>
        </w:rPr>
        <w:t>работки зерна и снижение затрат труда и средств производства при подготовке продукции к хранению и продаже, а, следовательно, сн</w:t>
      </w:r>
      <w:r w:rsidRPr="00724342">
        <w:rPr>
          <w:rFonts w:eastAsiaTheme="minorHAnsi" w:cstheme="minorBidi"/>
          <w:spacing w:val="-4"/>
          <w:sz w:val="22"/>
          <w:szCs w:val="22"/>
          <w:lang w:eastAsia="en-US"/>
        </w:rPr>
        <w:t>и</w:t>
      </w:r>
      <w:r w:rsidRPr="00724342">
        <w:rPr>
          <w:rFonts w:eastAsiaTheme="minorHAnsi" w:cstheme="minorBidi"/>
          <w:spacing w:val="-4"/>
          <w:sz w:val="22"/>
          <w:szCs w:val="22"/>
          <w:lang w:eastAsia="en-US"/>
        </w:rPr>
        <w:t>жении ее себестоимости.</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Таким образом, дальнейший рост производства в отрасли рис</w:t>
      </w:r>
      <w:r w:rsidRPr="00724342">
        <w:rPr>
          <w:rFonts w:eastAsiaTheme="minorHAnsi" w:cstheme="minorBidi"/>
          <w:sz w:val="22"/>
          <w:szCs w:val="22"/>
          <w:lang w:eastAsia="en-US"/>
        </w:rPr>
        <w:t>о</w:t>
      </w:r>
      <w:r w:rsidRPr="00724342">
        <w:rPr>
          <w:rFonts w:eastAsiaTheme="minorHAnsi" w:cstheme="minorBidi"/>
          <w:sz w:val="22"/>
          <w:szCs w:val="22"/>
          <w:lang w:eastAsia="en-US"/>
        </w:rPr>
        <w:t>водства и повышение его конкурентоспособности должен быть св</w:t>
      </w:r>
      <w:r w:rsidRPr="00724342">
        <w:rPr>
          <w:rFonts w:eastAsiaTheme="minorHAnsi" w:cstheme="minorBidi"/>
          <w:sz w:val="22"/>
          <w:szCs w:val="22"/>
          <w:lang w:eastAsia="en-US"/>
        </w:rPr>
        <w:t>я</w:t>
      </w:r>
      <w:r w:rsidRPr="00724342">
        <w:rPr>
          <w:rFonts w:eastAsiaTheme="minorHAnsi" w:cstheme="minorBidi"/>
          <w:sz w:val="22"/>
          <w:szCs w:val="22"/>
          <w:lang w:eastAsia="en-US"/>
        </w:rPr>
        <w:t>зан не с расширением посевных площадей, а качеством его хран</w:t>
      </w:r>
      <w:r w:rsidRPr="00724342">
        <w:rPr>
          <w:rFonts w:eastAsiaTheme="minorHAnsi" w:cstheme="minorBidi"/>
          <w:sz w:val="22"/>
          <w:szCs w:val="22"/>
          <w:lang w:eastAsia="en-US"/>
        </w:rPr>
        <w:t>е</w:t>
      </w:r>
      <w:r w:rsidRPr="00724342">
        <w:rPr>
          <w:rFonts w:eastAsiaTheme="minorHAnsi" w:cstheme="minorBidi"/>
          <w:sz w:val="22"/>
          <w:szCs w:val="22"/>
          <w:lang w:eastAsia="en-US"/>
        </w:rPr>
        <w:t>ния и переработки, а значит с внедрением новых инновационных технологий. Применение инновационных технологий в сельскох</w:t>
      </w:r>
      <w:r w:rsidRPr="00724342">
        <w:rPr>
          <w:rFonts w:eastAsiaTheme="minorHAnsi" w:cstheme="minorBidi"/>
          <w:sz w:val="22"/>
          <w:szCs w:val="22"/>
          <w:lang w:eastAsia="en-US"/>
        </w:rPr>
        <w:t>о</w:t>
      </w:r>
      <w:r w:rsidRPr="00724342">
        <w:rPr>
          <w:rFonts w:eastAsiaTheme="minorHAnsi" w:cstheme="minorBidi"/>
          <w:sz w:val="22"/>
          <w:szCs w:val="22"/>
          <w:lang w:eastAsia="en-US"/>
        </w:rPr>
        <w:t>зяйственных организациях помогут производителям повысить кач</w:t>
      </w:r>
      <w:r w:rsidRPr="00724342">
        <w:rPr>
          <w:rFonts w:eastAsiaTheme="minorHAnsi" w:cstheme="minorBidi"/>
          <w:sz w:val="22"/>
          <w:szCs w:val="22"/>
          <w:lang w:eastAsia="en-US"/>
        </w:rPr>
        <w:t>е</w:t>
      </w:r>
      <w:r w:rsidRPr="00724342">
        <w:rPr>
          <w:rFonts w:eastAsiaTheme="minorHAnsi" w:cstheme="minorBidi"/>
          <w:sz w:val="22"/>
          <w:szCs w:val="22"/>
          <w:lang w:eastAsia="en-US"/>
        </w:rPr>
        <w:t>ство зерна и его конкурентоспособность.</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Предложенные рекомендации подразумевают их практическую реализацию, которая в свою очередь позволит говорить о достигн</w:t>
      </w:r>
      <w:r w:rsidRPr="00724342">
        <w:rPr>
          <w:rFonts w:eastAsiaTheme="minorHAnsi" w:cstheme="minorBidi"/>
          <w:sz w:val="22"/>
          <w:szCs w:val="22"/>
          <w:lang w:eastAsia="en-US"/>
        </w:rPr>
        <w:t>у</w:t>
      </w:r>
      <w:r w:rsidRPr="00724342">
        <w:rPr>
          <w:rFonts w:eastAsiaTheme="minorHAnsi" w:cstheme="minorBidi"/>
          <w:sz w:val="22"/>
          <w:szCs w:val="22"/>
          <w:lang w:eastAsia="en-US"/>
        </w:rPr>
        <w:t>тых преимуществах в производстве риса.</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Выявленные перспективные направления инновационного ра</w:t>
      </w:r>
      <w:r w:rsidRPr="00724342">
        <w:rPr>
          <w:rFonts w:eastAsiaTheme="minorHAnsi" w:cstheme="minorBidi"/>
          <w:sz w:val="22"/>
          <w:szCs w:val="22"/>
          <w:lang w:eastAsia="en-US"/>
        </w:rPr>
        <w:t>з</w:t>
      </w:r>
      <w:r w:rsidRPr="00724342">
        <w:rPr>
          <w:rFonts w:eastAsiaTheme="minorHAnsi" w:cstheme="minorBidi"/>
          <w:sz w:val="22"/>
          <w:szCs w:val="22"/>
          <w:lang w:eastAsia="en-US"/>
        </w:rPr>
        <w:t>вития производства могут послужить основанием для дальнейших исследований эффективности вложения инвестиций в их реализ</w:t>
      </w:r>
      <w:r w:rsidRPr="00724342">
        <w:rPr>
          <w:rFonts w:eastAsiaTheme="minorHAnsi" w:cstheme="minorBidi"/>
          <w:sz w:val="22"/>
          <w:szCs w:val="22"/>
          <w:lang w:eastAsia="en-US"/>
        </w:rPr>
        <w:t>а</w:t>
      </w:r>
      <w:r w:rsidRPr="00724342">
        <w:rPr>
          <w:rFonts w:eastAsiaTheme="minorHAnsi" w:cstheme="minorBidi"/>
          <w:sz w:val="22"/>
          <w:szCs w:val="22"/>
          <w:lang w:eastAsia="en-US"/>
        </w:rPr>
        <w:t xml:space="preserve">цию в рисоводческих хозяйствах Краснодарского края. </w:t>
      </w:r>
    </w:p>
    <w:p w:rsidR="00724342" w:rsidRPr="00724342" w:rsidRDefault="00724342" w:rsidP="0041627D">
      <w:pPr>
        <w:ind w:firstLine="426"/>
        <w:jc w:val="both"/>
        <w:rPr>
          <w:rFonts w:eastAsiaTheme="minorHAnsi" w:cstheme="minorBidi"/>
          <w:sz w:val="22"/>
          <w:szCs w:val="22"/>
          <w:lang w:eastAsia="en-US"/>
        </w:rPr>
      </w:pPr>
    </w:p>
    <w:p w:rsidR="00724342" w:rsidRPr="00724342" w:rsidRDefault="00724342" w:rsidP="0041627D">
      <w:pPr>
        <w:ind w:firstLine="426"/>
        <w:jc w:val="center"/>
        <w:rPr>
          <w:rFonts w:eastAsiaTheme="minorHAnsi" w:cstheme="minorBidi"/>
          <w:sz w:val="22"/>
          <w:szCs w:val="22"/>
          <w:lang w:eastAsia="en-US"/>
        </w:rPr>
      </w:pPr>
      <w:r w:rsidRPr="00724342">
        <w:rPr>
          <w:rFonts w:eastAsiaTheme="minorHAnsi" w:cstheme="minorBidi"/>
          <w:sz w:val="22"/>
          <w:szCs w:val="22"/>
          <w:lang w:eastAsia="en-US"/>
        </w:rPr>
        <w:t>Список литературы</w:t>
      </w:r>
    </w:p>
    <w:p w:rsidR="00724342" w:rsidRPr="00724342" w:rsidRDefault="00724342" w:rsidP="0041627D">
      <w:pPr>
        <w:numPr>
          <w:ilvl w:val="0"/>
          <w:numId w:val="76"/>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Андреевна, Т. В. Перспективы развития производства пр</w:t>
      </w:r>
      <w:r w:rsidRPr="00724342">
        <w:rPr>
          <w:rFonts w:eastAsiaTheme="minorHAnsi" w:cstheme="minorBidi"/>
          <w:sz w:val="22"/>
          <w:szCs w:val="22"/>
          <w:lang w:eastAsia="en-US"/>
        </w:rPr>
        <w:t>о</w:t>
      </w:r>
      <w:r w:rsidRPr="00724342">
        <w:rPr>
          <w:rFonts w:eastAsiaTheme="minorHAnsi" w:cstheme="minorBidi"/>
          <w:sz w:val="22"/>
          <w:szCs w:val="22"/>
          <w:lang w:eastAsia="en-US"/>
        </w:rPr>
        <w:t>дукции растениеводства в ЗАО Племзверосовхоз «Северинский» / Т. В. Андреева, Г. Н. Литвиненко // Научное обеспечение агропр</w:t>
      </w:r>
      <w:r w:rsidRPr="00724342">
        <w:rPr>
          <w:rFonts w:eastAsiaTheme="minorHAnsi" w:cstheme="minorBidi"/>
          <w:sz w:val="22"/>
          <w:szCs w:val="22"/>
          <w:lang w:eastAsia="en-US"/>
        </w:rPr>
        <w:t>о</w:t>
      </w:r>
      <w:r w:rsidRPr="00724342">
        <w:rPr>
          <w:rFonts w:eastAsiaTheme="minorHAnsi" w:cstheme="minorBidi"/>
          <w:sz w:val="22"/>
          <w:szCs w:val="22"/>
          <w:lang w:eastAsia="en-US"/>
        </w:rPr>
        <w:t>мышленного комплекса/ Сб. ст.по материалам IX Всероссийской конференции молодых ученых. – 2016. – С. 1155–1156.</w:t>
      </w:r>
    </w:p>
    <w:p w:rsidR="00724342" w:rsidRPr="00724342" w:rsidRDefault="00724342" w:rsidP="0041627D">
      <w:pPr>
        <w:numPr>
          <w:ilvl w:val="0"/>
          <w:numId w:val="76"/>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Кастиди Ю. К. Приоритеты научно-технического прогресса в растениеводства / Ю. К. Кастиди, В. В. Ивко, М. Е. Трубилин // Сельский механизатор. – 2015. – № 2. – С. 2–3.</w:t>
      </w:r>
    </w:p>
    <w:p w:rsidR="00724342" w:rsidRPr="00724342" w:rsidRDefault="00724342" w:rsidP="0041627D">
      <w:pPr>
        <w:numPr>
          <w:ilvl w:val="0"/>
          <w:numId w:val="76"/>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Соколова А. П. Современные проблемы процесса импорт</w:t>
      </w:r>
      <w:r w:rsidRPr="00724342">
        <w:rPr>
          <w:rFonts w:eastAsiaTheme="minorHAnsi" w:cstheme="minorBidi"/>
          <w:sz w:val="22"/>
          <w:szCs w:val="22"/>
          <w:lang w:eastAsia="en-US"/>
        </w:rPr>
        <w:t>о</w:t>
      </w:r>
      <w:r w:rsidRPr="00724342">
        <w:rPr>
          <w:rFonts w:eastAsiaTheme="minorHAnsi" w:cstheme="minorBidi"/>
          <w:sz w:val="22"/>
          <w:szCs w:val="22"/>
          <w:lang w:eastAsia="en-US"/>
        </w:rPr>
        <w:t xml:space="preserve">замещения / А. П. Соколова, В. Е. Гориславская // Экономика и </w:t>
      </w:r>
      <w:r w:rsidRPr="00724342">
        <w:rPr>
          <w:rFonts w:eastAsiaTheme="minorHAnsi" w:cstheme="minorBidi"/>
          <w:sz w:val="22"/>
          <w:szCs w:val="22"/>
          <w:lang w:eastAsia="en-US"/>
        </w:rPr>
        <w:lastRenderedPageBreak/>
        <w:t>управление: актуальные вопросы теории и практики. Материалы VII междунар. науч.-практ. конф., Краснодар. – 2017. – С. 89–95.</w:t>
      </w:r>
    </w:p>
    <w:p w:rsidR="00724342" w:rsidRPr="00724342" w:rsidRDefault="00724342" w:rsidP="0041627D">
      <w:pPr>
        <w:numPr>
          <w:ilvl w:val="0"/>
          <w:numId w:val="76"/>
        </w:numPr>
        <w:ind w:left="0" w:firstLine="426"/>
        <w:jc w:val="both"/>
        <w:rPr>
          <w:rFonts w:eastAsiaTheme="minorHAnsi" w:cstheme="minorBidi"/>
          <w:sz w:val="22"/>
          <w:szCs w:val="22"/>
          <w:lang w:val="en-US" w:eastAsia="en-US"/>
        </w:rPr>
      </w:pPr>
      <w:r w:rsidRPr="00724342">
        <w:rPr>
          <w:rFonts w:eastAsiaTheme="minorHAnsi" w:cstheme="minorBidi"/>
          <w:sz w:val="22"/>
          <w:szCs w:val="22"/>
          <w:lang w:val="en-US" w:eastAsia="en-US"/>
        </w:rPr>
        <w:t xml:space="preserve">Sukhareva, O. A. </w:t>
      </w:r>
      <w:r w:rsidRPr="00724342">
        <w:rPr>
          <w:rFonts w:eastAsiaTheme="minorHAnsi" w:cstheme="minorBidi"/>
          <w:bCs/>
          <w:color w:val="000000"/>
          <w:sz w:val="22"/>
          <w:szCs w:val="22"/>
          <w:lang w:val="en-US" w:eastAsia="en-US"/>
        </w:rPr>
        <w:t>Relevance and perspective directions for d</w:t>
      </w:r>
      <w:r w:rsidRPr="00724342">
        <w:rPr>
          <w:rFonts w:eastAsiaTheme="minorHAnsi" w:cstheme="minorBidi"/>
          <w:bCs/>
          <w:color w:val="000000"/>
          <w:sz w:val="22"/>
          <w:szCs w:val="22"/>
          <w:lang w:val="en-US" w:eastAsia="en-US"/>
        </w:rPr>
        <w:t>e</w:t>
      </w:r>
      <w:r w:rsidRPr="00724342">
        <w:rPr>
          <w:rFonts w:eastAsiaTheme="minorHAnsi" w:cstheme="minorBidi"/>
          <w:bCs/>
          <w:color w:val="000000"/>
          <w:sz w:val="22"/>
          <w:szCs w:val="22"/>
          <w:lang w:val="en-US" w:eastAsia="en-US"/>
        </w:rPr>
        <w:t>velopment infrastructure of plant growing branch in the conditions of the south of russia</w:t>
      </w:r>
      <w:r w:rsidRPr="00724342">
        <w:rPr>
          <w:rFonts w:eastAsiaTheme="minorHAnsi" w:cstheme="minorBidi"/>
          <w:b/>
          <w:bCs/>
          <w:color w:val="000000"/>
          <w:sz w:val="22"/>
          <w:szCs w:val="22"/>
          <w:lang w:val="en-US" w:eastAsia="en-US"/>
        </w:rPr>
        <w:t xml:space="preserve"> / </w:t>
      </w:r>
      <w:r w:rsidRPr="00724342">
        <w:rPr>
          <w:rFonts w:eastAsiaTheme="minorHAnsi" w:cstheme="minorBidi"/>
          <w:sz w:val="22"/>
          <w:szCs w:val="22"/>
          <w:lang w:val="en-US" w:eastAsia="en-US"/>
        </w:rPr>
        <w:t xml:space="preserve">Sukhareva, O. A., V. S. Novikova // Modern European researches. 2017 – </w:t>
      </w:r>
      <w:r w:rsidRPr="00724342">
        <w:rPr>
          <w:rFonts w:eastAsiaTheme="minorHAnsi" w:cstheme="minorBidi"/>
          <w:sz w:val="22"/>
          <w:szCs w:val="22"/>
          <w:lang w:eastAsia="en-US"/>
        </w:rPr>
        <w:t xml:space="preserve">№ </w:t>
      </w:r>
      <w:r w:rsidRPr="00724342">
        <w:rPr>
          <w:rFonts w:eastAsiaTheme="minorHAnsi" w:cstheme="minorBidi"/>
          <w:sz w:val="22"/>
          <w:szCs w:val="22"/>
          <w:lang w:val="en-US" w:eastAsia="en-US"/>
        </w:rPr>
        <w:t xml:space="preserve">2. </w:t>
      </w:r>
      <w:r w:rsidRPr="00724342">
        <w:rPr>
          <w:rFonts w:eastAsiaTheme="minorHAnsi" w:cstheme="minorBidi"/>
          <w:sz w:val="22"/>
          <w:szCs w:val="22"/>
          <w:lang w:eastAsia="en-US"/>
        </w:rPr>
        <w:t xml:space="preserve">– </w:t>
      </w:r>
      <w:r w:rsidRPr="00724342">
        <w:rPr>
          <w:rFonts w:eastAsiaTheme="minorHAnsi" w:cstheme="minorBidi"/>
          <w:sz w:val="22"/>
          <w:szCs w:val="22"/>
          <w:lang w:val="en-US" w:eastAsia="en-US"/>
        </w:rPr>
        <w:t>p. 137–144.</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jc w:val="both"/>
        <w:rPr>
          <w:sz w:val="22"/>
          <w:szCs w:val="22"/>
        </w:rPr>
      </w:pPr>
    </w:p>
    <w:p w:rsidR="00724342" w:rsidRPr="00724342" w:rsidRDefault="00724342" w:rsidP="00724342">
      <w:pPr>
        <w:jc w:val="both"/>
        <w:rPr>
          <w:sz w:val="22"/>
          <w:szCs w:val="22"/>
        </w:rPr>
      </w:pPr>
    </w:p>
    <w:p w:rsidR="00724342" w:rsidRPr="00724342" w:rsidRDefault="00724342" w:rsidP="00724342">
      <w:pPr>
        <w:jc w:val="both"/>
        <w:rPr>
          <w:sz w:val="22"/>
          <w:szCs w:val="22"/>
        </w:rPr>
      </w:pPr>
      <w:r w:rsidRPr="00724342">
        <w:rPr>
          <w:sz w:val="22"/>
          <w:szCs w:val="22"/>
        </w:rPr>
        <w:t xml:space="preserve">УДК 331.56:331.57 </w:t>
      </w:r>
    </w:p>
    <w:p w:rsidR="00724342" w:rsidRPr="00724342" w:rsidRDefault="00724342" w:rsidP="00724342">
      <w:pPr>
        <w:jc w:val="both"/>
        <w:rPr>
          <w:sz w:val="22"/>
          <w:szCs w:val="22"/>
        </w:rPr>
      </w:pPr>
      <w:r w:rsidRPr="00724342">
        <w:rPr>
          <w:sz w:val="22"/>
          <w:szCs w:val="22"/>
        </w:rPr>
        <w:tab/>
      </w:r>
    </w:p>
    <w:p w:rsidR="00724342" w:rsidRPr="00724342" w:rsidRDefault="00724342" w:rsidP="00724342">
      <w:pPr>
        <w:jc w:val="center"/>
        <w:rPr>
          <w:b/>
          <w:sz w:val="24"/>
          <w:szCs w:val="24"/>
        </w:rPr>
      </w:pPr>
      <w:r w:rsidRPr="00724342">
        <w:rPr>
          <w:b/>
          <w:sz w:val="24"/>
          <w:szCs w:val="24"/>
        </w:rPr>
        <w:t>Методы борьбы со скрытой безработицей в России</w:t>
      </w:r>
    </w:p>
    <w:p w:rsidR="00724342" w:rsidRPr="00724342" w:rsidRDefault="00724342" w:rsidP="00724342">
      <w:pPr>
        <w:jc w:val="center"/>
        <w:rPr>
          <w:b/>
          <w:sz w:val="24"/>
          <w:szCs w:val="24"/>
          <w:lang w:val="en-US"/>
        </w:rPr>
      </w:pPr>
      <w:r w:rsidRPr="00724342">
        <w:rPr>
          <w:b/>
          <w:sz w:val="24"/>
          <w:szCs w:val="24"/>
          <w:lang w:val="en-US"/>
        </w:rPr>
        <w:t>Methods of combating hidden unemployment in Russia</w:t>
      </w:r>
    </w:p>
    <w:p w:rsidR="00724342" w:rsidRPr="00724342" w:rsidRDefault="00724342" w:rsidP="00724342">
      <w:pPr>
        <w:jc w:val="center"/>
        <w:rPr>
          <w:b/>
          <w:sz w:val="22"/>
          <w:szCs w:val="22"/>
          <w:lang w:val="en-US"/>
        </w:rPr>
      </w:pPr>
    </w:p>
    <w:p w:rsidR="00724342" w:rsidRPr="00724342" w:rsidRDefault="00724342" w:rsidP="0041627D">
      <w:pPr>
        <w:jc w:val="right"/>
        <w:rPr>
          <w:sz w:val="22"/>
          <w:szCs w:val="22"/>
        </w:rPr>
      </w:pPr>
      <w:r w:rsidRPr="00724342">
        <w:rPr>
          <w:sz w:val="22"/>
          <w:szCs w:val="22"/>
        </w:rPr>
        <w:t>Гайдуренко Ю.</w:t>
      </w:r>
      <w:r w:rsidR="0041627D">
        <w:rPr>
          <w:sz w:val="22"/>
          <w:szCs w:val="22"/>
        </w:rPr>
        <w:t xml:space="preserve"> </w:t>
      </w:r>
      <w:r w:rsidRPr="00724342">
        <w:rPr>
          <w:sz w:val="22"/>
          <w:szCs w:val="22"/>
        </w:rPr>
        <w:t>Д.,</w:t>
      </w:r>
      <w:r w:rsidR="0041627D">
        <w:rPr>
          <w:sz w:val="22"/>
          <w:szCs w:val="22"/>
        </w:rPr>
        <w:t xml:space="preserve"> </w:t>
      </w:r>
      <w:r w:rsidRPr="00724342">
        <w:rPr>
          <w:sz w:val="22"/>
          <w:szCs w:val="22"/>
        </w:rPr>
        <w:t>Куликова Е.</w:t>
      </w:r>
      <w:r w:rsidR="0041627D">
        <w:rPr>
          <w:sz w:val="22"/>
          <w:szCs w:val="22"/>
        </w:rPr>
        <w:t xml:space="preserve"> </w:t>
      </w:r>
      <w:r w:rsidRPr="00724342">
        <w:rPr>
          <w:sz w:val="22"/>
          <w:szCs w:val="22"/>
        </w:rPr>
        <w:t>П.,</w:t>
      </w:r>
    </w:p>
    <w:p w:rsidR="00724342" w:rsidRPr="00724342" w:rsidRDefault="0041627D" w:rsidP="00724342">
      <w:pPr>
        <w:jc w:val="right"/>
        <w:rPr>
          <w:rFonts w:eastAsia="Courier New"/>
          <w:color w:val="000000"/>
          <w:sz w:val="22"/>
          <w:szCs w:val="22"/>
        </w:rPr>
      </w:pPr>
      <w:r>
        <w:rPr>
          <w:rFonts w:eastAsia="Courier New"/>
          <w:color w:val="000000"/>
          <w:sz w:val="22"/>
          <w:szCs w:val="22"/>
        </w:rPr>
        <w:t>студентки</w:t>
      </w:r>
      <w:r w:rsidR="00724342" w:rsidRPr="00724342">
        <w:rPr>
          <w:rFonts w:eastAsia="Courier New"/>
          <w:color w:val="000000"/>
          <w:sz w:val="22"/>
          <w:szCs w:val="22"/>
        </w:rPr>
        <w:t xml:space="preserve">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41627D" w:rsidP="00724342">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университет имени</w:t>
      </w:r>
      <w:r w:rsidR="00724342" w:rsidRPr="00724342">
        <w:rPr>
          <w:rFonts w:eastAsia="Courier New"/>
          <w:color w:val="000000"/>
          <w:sz w:val="22"/>
          <w:szCs w:val="22"/>
          <w:lang w:eastAsia="en-US"/>
        </w:rPr>
        <w:t xml:space="preserve"> И.</w:t>
      </w:r>
      <w:r>
        <w:rPr>
          <w:rFonts w:eastAsia="Courier New"/>
          <w:color w:val="000000"/>
          <w:sz w:val="22"/>
          <w:szCs w:val="22"/>
          <w:lang w:eastAsia="en-US"/>
        </w:rPr>
        <w:t xml:space="preserve"> </w:t>
      </w:r>
      <w:r w:rsidR="00724342" w:rsidRPr="00724342">
        <w:rPr>
          <w:rFonts w:eastAsia="Courier New"/>
          <w:color w:val="000000"/>
          <w:sz w:val="22"/>
          <w:szCs w:val="22"/>
          <w:lang w:eastAsia="en-US"/>
        </w:rPr>
        <w:t>Т. Трубилина</w:t>
      </w:r>
    </w:p>
    <w:p w:rsidR="00724342" w:rsidRPr="00724342" w:rsidRDefault="00724342" w:rsidP="00724342">
      <w:pPr>
        <w:jc w:val="both"/>
        <w:rPr>
          <w:sz w:val="22"/>
          <w:szCs w:val="22"/>
        </w:rPr>
      </w:pPr>
    </w:p>
    <w:p w:rsidR="00724342" w:rsidRPr="00724342" w:rsidRDefault="00724342" w:rsidP="0041627D">
      <w:pPr>
        <w:widowControl w:val="0"/>
        <w:tabs>
          <w:tab w:val="left" w:pos="8223"/>
        </w:tabs>
        <w:ind w:firstLine="426"/>
        <w:jc w:val="both"/>
        <w:rPr>
          <w:rFonts w:eastAsia="Courier New"/>
          <w:color w:val="000000"/>
          <w:sz w:val="22"/>
          <w:szCs w:val="22"/>
          <w:lang w:val="en-US"/>
        </w:rPr>
      </w:pPr>
      <w:r w:rsidRPr="00724342">
        <w:rPr>
          <w:rFonts w:eastAsia="Courier New"/>
          <w:color w:val="000000"/>
          <w:sz w:val="22"/>
          <w:szCs w:val="22"/>
        </w:rPr>
        <w:t>АННОТАЦИЯ. В статье представлен анализ уровня скрытой и открытой безработицы в России. Определены</w:t>
      </w:r>
      <w:r w:rsidRPr="00724342">
        <w:rPr>
          <w:rFonts w:eastAsia="Courier New"/>
          <w:color w:val="000000"/>
          <w:sz w:val="22"/>
          <w:szCs w:val="22"/>
          <w:lang w:val="en-US"/>
        </w:rPr>
        <w:t xml:space="preserve"> </w:t>
      </w:r>
      <w:r w:rsidRPr="00724342">
        <w:rPr>
          <w:rFonts w:eastAsia="Courier New"/>
          <w:color w:val="000000"/>
          <w:sz w:val="22"/>
          <w:szCs w:val="22"/>
        </w:rPr>
        <w:t>причины</w:t>
      </w:r>
      <w:r w:rsidRPr="00724342">
        <w:rPr>
          <w:rFonts w:eastAsia="Courier New"/>
          <w:color w:val="000000"/>
          <w:sz w:val="22"/>
          <w:szCs w:val="22"/>
          <w:lang w:val="en-US"/>
        </w:rPr>
        <w:t xml:space="preserve">, </w:t>
      </w:r>
      <w:r w:rsidRPr="00724342">
        <w:rPr>
          <w:rFonts w:eastAsia="Courier New"/>
          <w:color w:val="000000"/>
          <w:sz w:val="22"/>
          <w:szCs w:val="22"/>
        </w:rPr>
        <w:t>проанал</w:t>
      </w:r>
      <w:r w:rsidRPr="00724342">
        <w:rPr>
          <w:rFonts w:eastAsia="Courier New"/>
          <w:color w:val="000000"/>
          <w:sz w:val="22"/>
          <w:szCs w:val="22"/>
        </w:rPr>
        <w:t>и</w:t>
      </w:r>
      <w:r w:rsidRPr="00724342">
        <w:rPr>
          <w:rFonts w:eastAsia="Courier New"/>
          <w:color w:val="000000"/>
          <w:sz w:val="22"/>
          <w:szCs w:val="22"/>
        </w:rPr>
        <w:t>зированы</w:t>
      </w:r>
      <w:r w:rsidRPr="00724342">
        <w:rPr>
          <w:rFonts w:eastAsia="Courier New"/>
          <w:color w:val="000000"/>
          <w:sz w:val="22"/>
          <w:szCs w:val="22"/>
          <w:lang w:val="en-US"/>
        </w:rPr>
        <w:t xml:space="preserve"> </w:t>
      </w:r>
      <w:r w:rsidRPr="00724342">
        <w:rPr>
          <w:rFonts w:eastAsia="Courier New"/>
          <w:color w:val="000000"/>
          <w:sz w:val="22"/>
          <w:szCs w:val="22"/>
        </w:rPr>
        <w:t>основные</w:t>
      </w:r>
      <w:r w:rsidRPr="00724342">
        <w:rPr>
          <w:rFonts w:eastAsia="Courier New"/>
          <w:color w:val="000000"/>
          <w:sz w:val="22"/>
          <w:szCs w:val="22"/>
          <w:lang w:val="en-US"/>
        </w:rPr>
        <w:t xml:space="preserve"> </w:t>
      </w:r>
      <w:r w:rsidRPr="00724342">
        <w:rPr>
          <w:rFonts w:eastAsia="Courier New"/>
          <w:color w:val="000000"/>
          <w:sz w:val="22"/>
          <w:szCs w:val="22"/>
        </w:rPr>
        <w:t>методы</w:t>
      </w:r>
      <w:r w:rsidRPr="00724342">
        <w:rPr>
          <w:rFonts w:eastAsia="Courier New"/>
          <w:color w:val="000000"/>
          <w:sz w:val="22"/>
          <w:szCs w:val="22"/>
          <w:lang w:val="en-US"/>
        </w:rPr>
        <w:t xml:space="preserve"> </w:t>
      </w:r>
      <w:r w:rsidRPr="00724342">
        <w:rPr>
          <w:rFonts w:eastAsia="Courier New"/>
          <w:color w:val="000000"/>
          <w:sz w:val="22"/>
          <w:szCs w:val="22"/>
        </w:rPr>
        <w:t>снижения</w:t>
      </w:r>
      <w:r w:rsidRPr="00724342">
        <w:rPr>
          <w:rFonts w:eastAsia="Courier New"/>
          <w:color w:val="000000"/>
          <w:sz w:val="22"/>
          <w:szCs w:val="22"/>
          <w:lang w:val="en-US"/>
        </w:rPr>
        <w:t xml:space="preserve"> </w:t>
      </w:r>
      <w:r w:rsidRPr="00724342">
        <w:rPr>
          <w:rFonts w:eastAsia="Courier New"/>
          <w:color w:val="000000"/>
          <w:sz w:val="22"/>
          <w:szCs w:val="22"/>
        </w:rPr>
        <w:t>безработицы</w:t>
      </w:r>
      <w:r w:rsidRPr="00724342">
        <w:rPr>
          <w:rFonts w:eastAsia="Courier New"/>
          <w:color w:val="000000"/>
          <w:sz w:val="22"/>
          <w:szCs w:val="22"/>
          <w:lang w:val="en-US"/>
        </w:rPr>
        <w:t>.</w:t>
      </w:r>
    </w:p>
    <w:p w:rsidR="00724342" w:rsidRPr="00724342" w:rsidRDefault="00724342" w:rsidP="0041627D">
      <w:pPr>
        <w:widowControl w:val="0"/>
        <w:tabs>
          <w:tab w:val="left" w:pos="8223"/>
        </w:tabs>
        <w:ind w:firstLine="426"/>
        <w:jc w:val="both"/>
        <w:rPr>
          <w:rFonts w:eastAsia="Courier New"/>
          <w:color w:val="000000"/>
          <w:sz w:val="22"/>
          <w:szCs w:val="22"/>
          <w:shd w:val="clear" w:color="auto" w:fill="FFFFFF"/>
          <w:lang w:val="en-US"/>
        </w:rPr>
      </w:pPr>
      <w:r w:rsidRPr="00724342">
        <w:rPr>
          <w:rFonts w:eastAsia="Courier New"/>
          <w:color w:val="000000"/>
          <w:sz w:val="22"/>
          <w:szCs w:val="22"/>
          <w:lang w:val="en-US"/>
        </w:rPr>
        <w:t>ABSTRACT.</w:t>
      </w:r>
      <w:r w:rsidRPr="00724342">
        <w:rPr>
          <w:rFonts w:eastAsia="Courier New"/>
          <w:color w:val="000000"/>
          <w:sz w:val="22"/>
          <w:szCs w:val="22"/>
          <w:shd w:val="clear" w:color="auto" w:fill="FFFFFF"/>
          <w:lang w:val="en-US"/>
        </w:rPr>
        <w:t xml:space="preserve"> The article presents an analysis of the level of hidden and open unemployment in Russia. The reasons are determined, the main methods of reducing unemployment are analyzed.</w:t>
      </w:r>
    </w:p>
    <w:p w:rsidR="00724342" w:rsidRPr="00724342" w:rsidRDefault="00724342" w:rsidP="0041627D">
      <w:pPr>
        <w:widowControl w:val="0"/>
        <w:tabs>
          <w:tab w:val="left" w:pos="8223"/>
        </w:tabs>
        <w:ind w:firstLine="426"/>
        <w:jc w:val="both"/>
        <w:rPr>
          <w:rFonts w:eastAsia="Courier New"/>
          <w:color w:val="000000"/>
          <w:sz w:val="22"/>
          <w:szCs w:val="22"/>
        </w:rPr>
      </w:pPr>
      <w:r w:rsidRPr="00724342">
        <w:rPr>
          <w:rFonts w:eastAsia="Courier New"/>
          <w:color w:val="000000"/>
          <w:sz w:val="22"/>
          <w:szCs w:val="22"/>
        </w:rPr>
        <w:t>КЛЮЧЕВЫЕ СЛОВА: занятость, безработица, скрытая безр</w:t>
      </w:r>
      <w:r w:rsidRPr="00724342">
        <w:rPr>
          <w:rFonts w:eastAsia="Courier New"/>
          <w:color w:val="000000"/>
          <w:sz w:val="22"/>
          <w:szCs w:val="22"/>
        </w:rPr>
        <w:t>а</w:t>
      </w:r>
      <w:r w:rsidRPr="00724342">
        <w:rPr>
          <w:rFonts w:eastAsia="Courier New"/>
          <w:color w:val="000000"/>
          <w:sz w:val="22"/>
          <w:szCs w:val="22"/>
        </w:rPr>
        <w:t>ботица, открытая безработица.</w:t>
      </w:r>
    </w:p>
    <w:p w:rsidR="00724342" w:rsidRPr="00724342" w:rsidRDefault="00724342" w:rsidP="0041627D">
      <w:pPr>
        <w:widowControl w:val="0"/>
        <w:tabs>
          <w:tab w:val="left" w:pos="8223"/>
        </w:tabs>
        <w:ind w:firstLine="426"/>
        <w:jc w:val="both"/>
        <w:rPr>
          <w:rFonts w:eastAsia="Courier New"/>
          <w:color w:val="000000"/>
          <w:sz w:val="22"/>
          <w:szCs w:val="22"/>
          <w:lang w:val="en-US"/>
        </w:rPr>
      </w:pPr>
      <w:r w:rsidRPr="00724342">
        <w:rPr>
          <w:rFonts w:eastAsia="Courier New"/>
          <w:color w:val="000000"/>
          <w:sz w:val="22"/>
          <w:szCs w:val="22"/>
          <w:lang w:val="en-US"/>
        </w:rPr>
        <w:t>KEYWORDS:</w:t>
      </w:r>
      <w:r w:rsidRPr="00724342">
        <w:rPr>
          <w:sz w:val="22"/>
          <w:szCs w:val="22"/>
          <w:lang w:val="en-US"/>
        </w:rPr>
        <w:t xml:space="preserve"> employment, unemployment, hidden unemployment, open unemployment.</w:t>
      </w:r>
    </w:p>
    <w:p w:rsidR="00724342" w:rsidRPr="00724342" w:rsidRDefault="00724342" w:rsidP="0041627D">
      <w:pPr>
        <w:ind w:firstLine="426"/>
        <w:jc w:val="both"/>
        <w:rPr>
          <w:sz w:val="22"/>
          <w:szCs w:val="22"/>
          <w:lang w:val="en-US"/>
        </w:rPr>
      </w:pPr>
    </w:p>
    <w:p w:rsidR="00724342" w:rsidRPr="00724342" w:rsidRDefault="00724342" w:rsidP="0041627D">
      <w:pPr>
        <w:ind w:firstLine="426"/>
        <w:jc w:val="both"/>
        <w:rPr>
          <w:sz w:val="22"/>
          <w:szCs w:val="22"/>
        </w:rPr>
      </w:pPr>
      <w:r w:rsidRPr="00724342">
        <w:rPr>
          <w:sz w:val="22"/>
          <w:szCs w:val="22"/>
        </w:rPr>
        <w:t>В настоящее время в России проблема скрытой безработицы является одной из самых глобальных проблем занятости. Под скр</w:t>
      </w:r>
      <w:r w:rsidRPr="00724342">
        <w:rPr>
          <w:sz w:val="22"/>
          <w:szCs w:val="22"/>
        </w:rPr>
        <w:t>ы</w:t>
      </w:r>
      <w:r w:rsidRPr="00724342">
        <w:rPr>
          <w:sz w:val="22"/>
          <w:szCs w:val="22"/>
        </w:rPr>
        <w:t>той безработицей понимают явление в экономике, при котором ч</w:t>
      </w:r>
      <w:r w:rsidRPr="00724342">
        <w:rPr>
          <w:sz w:val="22"/>
          <w:szCs w:val="22"/>
        </w:rPr>
        <w:t>е</w:t>
      </w:r>
      <w:r w:rsidRPr="00724342">
        <w:rPr>
          <w:sz w:val="22"/>
          <w:szCs w:val="22"/>
        </w:rPr>
        <w:t>ловек имеет место работы и формально сохраняет отношения с р</w:t>
      </w:r>
      <w:r w:rsidRPr="00724342">
        <w:rPr>
          <w:sz w:val="22"/>
          <w:szCs w:val="22"/>
        </w:rPr>
        <w:t>а</w:t>
      </w:r>
      <w:r w:rsidRPr="00724342">
        <w:rPr>
          <w:sz w:val="22"/>
          <w:szCs w:val="22"/>
        </w:rPr>
        <w:t>ботодателем, но фактически занятость отсутствует. Также к скр</w:t>
      </w:r>
      <w:r w:rsidRPr="00724342">
        <w:rPr>
          <w:sz w:val="22"/>
          <w:szCs w:val="22"/>
        </w:rPr>
        <w:t>ы</w:t>
      </w:r>
      <w:r w:rsidRPr="00724342">
        <w:rPr>
          <w:sz w:val="22"/>
          <w:szCs w:val="22"/>
        </w:rPr>
        <w:t>той безработице можно отнести категорию работников, которые оказались лишними в производственной деятельности в связи с с</w:t>
      </w:r>
      <w:r w:rsidRPr="00724342">
        <w:rPr>
          <w:sz w:val="22"/>
          <w:szCs w:val="22"/>
        </w:rPr>
        <w:t>о</w:t>
      </w:r>
      <w:r w:rsidRPr="00724342">
        <w:rPr>
          <w:sz w:val="22"/>
          <w:szCs w:val="22"/>
        </w:rPr>
        <w:t xml:space="preserve">кращением выработки изделий или структурными изменениями. </w:t>
      </w:r>
      <w:r w:rsidRPr="00724342">
        <w:rPr>
          <w:sz w:val="22"/>
          <w:szCs w:val="22"/>
        </w:rPr>
        <w:lastRenderedPageBreak/>
        <w:t>Иногда часть населения, которая стремится получить работу, но не может это осуществить по ряду причин, чаще всего зависящих не от человека, а от экономического положения страны, также считают скрытыми безработными.</w:t>
      </w:r>
    </w:p>
    <w:p w:rsidR="00724342" w:rsidRPr="00724342" w:rsidRDefault="00724342" w:rsidP="0041627D">
      <w:pPr>
        <w:ind w:firstLine="426"/>
        <w:jc w:val="both"/>
        <w:rPr>
          <w:sz w:val="22"/>
          <w:szCs w:val="22"/>
        </w:rPr>
      </w:pPr>
      <w:r w:rsidRPr="00724342">
        <w:rPr>
          <w:sz w:val="22"/>
          <w:szCs w:val="22"/>
        </w:rPr>
        <w:t>В РФ скрытая безработица проявляется наиболее заметно на территории Дальнего Востока, что происходит из-за высокой сто</w:t>
      </w:r>
      <w:r w:rsidRPr="00724342">
        <w:rPr>
          <w:sz w:val="22"/>
          <w:szCs w:val="22"/>
        </w:rPr>
        <w:t>и</w:t>
      </w:r>
      <w:r w:rsidRPr="00724342">
        <w:rPr>
          <w:sz w:val="22"/>
          <w:szCs w:val="22"/>
        </w:rPr>
        <w:t>мости выезда из региона, а также сложности поиска новых кадров. Минимальная скрытая безработица наблюдается в районах Сибири и Урала, а также в Москве и Санкт-Петербурге, так как для них наиболее характерна высокая миграционная мобильность насел</w:t>
      </w:r>
      <w:r w:rsidRPr="00724342">
        <w:rPr>
          <w:sz w:val="22"/>
          <w:szCs w:val="22"/>
        </w:rPr>
        <w:t>е</w:t>
      </w:r>
      <w:r w:rsidRPr="00724342">
        <w:rPr>
          <w:sz w:val="22"/>
          <w:szCs w:val="22"/>
        </w:rPr>
        <w:t>ния.</w:t>
      </w:r>
      <w:r w:rsidRPr="00724342">
        <w:rPr>
          <w:sz w:val="22"/>
          <w:szCs w:val="22"/>
        </w:rPr>
        <w:tab/>
      </w:r>
    </w:p>
    <w:p w:rsidR="00724342" w:rsidRPr="00724342" w:rsidRDefault="00724342" w:rsidP="0041627D">
      <w:pPr>
        <w:ind w:firstLine="426"/>
        <w:jc w:val="both"/>
        <w:rPr>
          <w:sz w:val="22"/>
          <w:szCs w:val="22"/>
        </w:rPr>
      </w:pPr>
      <w:r w:rsidRPr="00724342">
        <w:rPr>
          <w:sz w:val="22"/>
          <w:szCs w:val="22"/>
        </w:rPr>
        <w:t>На сегодня безработица имеет относительно низкое значение и составляет 5,4%. Но данный показатель не означает успех в борьбе с безработицей на рынке труда, а напротив объясняется расцветом скрытой. Статистика отмечает значительное, до 20% уменьшение заработных плат.</w:t>
      </w:r>
    </w:p>
    <w:p w:rsidR="00724342" w:rsidRPr="00724342" w:rsidRDefault="00724342" w:rsidP="0041627D">
      <w:pPr>
        <w:ind w:firstLine="426"/>
        <w:jc w:val="both"/>
        <w:rPr>
          <w:sz w:val="22"/>
          <w:szCs w:val="22"/>
        </w:rPr>
      </w:pPr>
      <w:r w:rsidRPr="00724342">
        <w:rPr>
          <w:sz w:val="22"/>
          <w:szCs w:val="22"/>
        </w:rPr>
        <w:t>В качестве причин скрытой безработицы можно рассматривать бедственную социально-экономическую ситуацию в стране и отсу</w:t>
      </w:r>
      <w:r w:rsidRPr="00724342">
        <w:rPr>
          <w:sz w:val="22"/>
          <w:szCs w:val="22"/>
        </w:rPr>
        <w:t>т</w:t>
      </w:r>
      <w:r w:rsidRPr="00724342">
        <w:rPr>
          <w:sz w:val="22"/>
          <w:szCs w:val="22"/>
        </w:rPr>
        <w:t>ствие мотивов у работодателей соблюдать правовые нормы при увольнении подчиненных, потому что расходы на сокращение шт</w:t>
      </w:r>
      <w:r w:rsidRPr="00724342">
        <w:rPr>
          <w:sz w:val="22"/>
          <w:szCs w:val="22"/>
        </w:rPr>
        <w:t>а</w:t>
      </w:r>
      <w:r w:rsidRPr="00724342">
        <w:rPr>
          <w:sz w:val="22"/>
          <w:szCs w:val="22"/>
        </w:rPr>
        <w:t xml:space="preserve">та работников могут уничтожить значительную часть доходов. </w:t>
      </w:r>
    </w:p>
    <w:p w:rsidR="00724342" w:rsidRPr="00724342" w:rsidRDefault="00724342" w:rsidP="0041627D">
      <w:pPr>
        <w:ind w:firstLine="426"/>
        <w:jc w:val="both"/>
        <w:rPr>
          <w:sz w:val="22"/>
          <w:szCs w:val="22"/>
        </w:rPr>
      </w:pPr>
      <w:r w:rsidRPr="00724342">
        <w:rPr>
          <w:sz w:val="22"/>
          <w:szCs w:val="22"/>
        </w:rPr>
        <w:t>Эффективным способом борьбы со «скрытой» безработицей является достижение полной занятости. Однако в современных о</w:t>
      </w:r>
      <w:r w:rsidRPr="00724342">
        <w:rPr>
          <w:sz w:val="22"/>
          <w:szCs w:val="22"/>
        </w:rPr>
        <w:t>б</w:t>
      </w:r>
      <w:r w:rsidRPr="00724342">
        <w:rPr>
          <w:sz w:val="22"/>
          <w:szCs w:val="22"/>
        </w:rPr>
        <w:t>стоятельствах это требует времени, поэтому данная задача остается стратегической целью. В краткосрочном периоде правительство и местные органы власти должны наметить план постепенного сн</w:t>
      </w:r>
      <w:r w:rsidRPr="00724342">
        <w:rPr>
          <w:sz w:val="22"/>
          <w:szCs w:val="22"/>
        </w:rPr>
        <w:t>и</w:t>
      </w:r>
      <w:r w:rsidRPr="00724342">
        <w:rPr>
          <w:sz w:val="22"/>
          <w:szCs w:val="22"/>
        </w:rPr>
        <w:t>жения уровня «скрытой» безработицы, исходя из взвешенной оце</w:t>
      </w:r>
      <w:r w:rsidRPr="00724342">
        <w:rPr>
          <w:sz w:val="22"/>
          <w:szCs w:val="22"/>
        </w:rPr>
        <w:t>н</w:t>
      </w:r>
      <w:r w:rsidRPr="00724342">
        <w:rPr>
          <w:sz w:val="22"/>
          <w:szCs w:val="22"/>
        </w:rPr>
        <w:t>ки ее отрицательных последствий.</w:t>
      </w:r>
    </w:p>
    <w:p w:rsidR="00724342" w:rsidRPr="00724342" w:rsidRDefault="00724342" w:rsidP="0041627D">
      <w:pPr>
        <w:ind w:firstLine="426"/>
        <w:jc w:val="both"/>
        <w:rPr>
          <w:sz w:val="22"/>
          <w:szCs w:val="22"/>
        </w:rPr>
      </w:pPr>
      <w:r w:rsidRPr="00724342">
        <w:rPr>
          <w:sz w:val="22"/>
          <w:szCs w:val="22"/>
        </w:rPr>
        <w:t>Только обеспечив полную занятость, можно справиться с пр</w:t>
      </w:r>
      <w:r w:rsidRPr="00724342">
        <w:rPr>
          <w:sz w:val="22"/>
          <w:szCs w:val="22"/>
        </w:rPr>
        <w:t>о</w:t>
      </w:r>
      <w:r w:rsidRPr="00724342">
        <w:rPr>
          <w:sz w:val="22"/>
          <w:szCs w:val="22"/>
        </w:rPr>
        <w:t>блемой «скрытой» безработицы. Однако в современных обсто</w:t>
      </w:r>
      <w:r w:rsidRPr="00724342">
        <w:rPr>
          <w:sz w:val="22"/>
          <w:szCs w:val="22"/>
        </w:rPr>
        <w:t>я</w:t>
      </w:r>
      <w:r w:rsidRPr="00724342">
        <w:rPr>
          <w:sz w:val="22"/>
          <w:szCs w:val="22"/>
        </w:rPr>
        <w:t xml:space="preserve">тельствах в короткие сроки этого достигнуть невозможно, поэтому данная задача остается стратегической целью. </w:t>
      </w:r>
    </w:p>
    <w:p w:rsidR="00724342" w:rsidRPr="00724342" w:rsidRDefault="00724342" w:rsidP="0041627D">
      <w:pPr>
        <w:ind w:firstLine="426"/>
        <w:jc w:val="both"/>
        <w:rPr>
          <w:sz w:val="22"/>
          <w:szCs w:val="22"/>
        </w:rPr>
      </w:pPr>
      <w:r w:rsidRPr="00724342">
        <w:rPr>
          <w:sz w:val="22"/>
          <w:szCs w:val="22"/>
        </w:rPr>
        <w:t>Действенным методом против скрытой безработицы считается её перевод в открытую, но он имеет несколько отрицательных ст</w:t>
      </w:r>
      <w:r w:rsidRPr="00724342">
        <w:rPr>
          <w:sz w:val="22"/>
          <w:szCs w:val="22"/>
        </w:rPr>
        <w:t>о</w:t>
      </w:r>
      <w:r w:rsidRPr="00724342">
        <w:rPr>
          <w:sz w:val="22"/>
          <w:szCs w:val="22"/>
        </w:rPr>
        <w:t xml:space="preserve">рон. В современной Росси этот тип безработицы обеспечивает, по крайней мере, минимальное удовлетворение потребностей скрытых безработных, и не требует от государства дополнительных расходов на их поддержку. В некоторых регионах, где существует только </w:t>
      </w:r>
      <w:r w:rsidRPr="00724342">
        <w:rPr>
          <w:sz w:val="22"/>
          <w:szCs w:val="22"/>
        </w:rPr>
        <w:lastRenderedPageBreak/>
        <w:t>один источник заработка, борьба со «скрытой» безработицей п</w:t>
      </w:r>
      <w:r w:rsidRPr="00724342">
        <w:rPr>
          <w:sz w:val="22"/>
          <w:szCs w:val="22"/>
        </w:rPr>
        <w:t>о</w:t>
      </w:r>
      <w:r w:rsidRPr="00724342">
        <w:rPr>
          <w:sz w:val="22"/>
          <w:szCs w:val="22"/>
        </w:rPr>
        <w:t>добным методом грозит серьезным социальным недовольством, вплоть до забастовок против существующей власти. Приток людей с целью поиска работы в крупные города, что приводит к обостр</w:t>
      </w:r>
      <w:r w:rsidRPr="00724342">
        <w:rPr>
          <w:sz w:val="22"/>
          <w:szCs w:val="22"/>
        </w:rPr>
        <w:t>е</w:t>
      </w:r>
      <w:r w:rsidRPr="00724342">
        <w:rPr>
          <w:sz w:val="22"/>
          <w:szCs w:val="22"/>
        </w:rPr>
        <w:t>нию в последних социально-экономических положениях.</w:t>
      </w:r>
    </w:p>
    <w:p w:rsidR="00724342" w:rsidRPr="00724342" w:rsidRDefault="00724342" w:rsidP="0041627D">
      <w:pPr>
        <w:ind w:firstLine="426"/>
        <w:jc w:val="both"/>
        <w:rPr>
          <w:sz w:val="22"/>
          <w:szCs w:val="22"/>
        </w:rPr>
      </w:pPr>
      <w:r w:rsidRPr="00724342">
        <w:rPr>
          <w:sz w:val="22"/>
          <w:szCs w:val="22"/>
        </w:rPr>
        <w:t>Другими методами по борьбе со скрытой безработицей явл</w:t>
      </w:r>
      <w:r w:rsidRPr="00724342">
        <w:rPr>
          <w:sz w:val="22"/>
          <w:szCs w:val="22"/>
        </w:rPr>
        <w:t>я</w:t>
      </w:r>
      <w:r w:rsidRPr="00724342">
        <w:rPr>
          <w:sz w:val="22"/>
          <w:szCs w:val="22"/>
        </w:rPr>
        <w:t>ются использование гибкой системы профессиональной подготовки и переподготовки; обеспечение на политическом уровне активного привлечения инвестиций для создания достаточного количества соответствующих экономическим потребностям рабочих мест и их дальнейшая поддержка; повышение пенсионных пособий; стимул</w:t>
      </w:r>
      <w:r w:rsidRPr="00724342">
        <w:rPr>
          <w:sz w:val="22"/>
          <w:szCs w:val="22"/>
        </w:rPr>
        <w:t>и</w:t>
      </w:r>
      <w:r w:rsidRPr="00724342">
        <w:rPr>
          <w:sz w:val="22"/>
          <w:szCs w:val="22"/>
        </w:rPr>
        <w:t>рование и поддержка малого бизнеса; применение разных форм вторичной занятости.</w:t>
      </w:r>
    </w:p>
    <w:p w:rsidR="00724342" w:rsidRPr="00724342" w:rsidRDefault="00724342" w:rsidP="0041627D">
      <w:pPr>
        <w:ind w:firstLine="426"/>
        <w:jc w:val="both"/>
        <w:rPr>
          <w:sz w:val="22"/>
          <w:szCs w:val="22"/>
        </w:rPr>
      </w:pPr>
      <w:r w:rsidRPr="00724342">
        <w:rPr>
          <w:sz w:val="22"/>
          <w:szCs w:val="22"/>
        </w:rPr>
        <w:t>В настоящее время основное бремя борьбы со скрытой безр</w:t>
      </w:r>
      <w:r w:rsidRPr="00724342">
        <w:rPr>
          <w:sz w:val="22"/>
          <w:szCs w:val="22"/>
        </w:rPr>
        <w:t>а</w:t>
      </w:r>
      <w:r w:rsidRPr="00724342">
        <w:rPr>
          <w:sz w:val="22"/>
          <w:szCs w:val="22"/>
        </w:rPr>
        <w:t>ботицей лежит на органах социального контроля, комиссиях по охране труда, профсоюзах и местных органах государственной вл</w:t>
      </w:r>
      <w:r w:rsidRPr="00724342">
        <w:rPr>
          <w:sz w:val="22"/>
          <w:szCs w:val="22"/>
        </w:rPr>
        <w:t>а</w:t>
      </w:r>
      <w:r w:rsidRPr="00724342">
        <w:rPr>
          <w:sz w:val="22"/>
          <w:szCs w:val="22"/>
        </w:rPr>
        <w:t>сти – именно эти институты вынуждают работодателей оставаться в правовом поле, соблюдать права работников. Следует отметить, что учет реального значения скрытой безработицы выполняется двумя способами: 1) неформального подсчета реального числа безрабо</w:t>
      </w:r>
      <w:r w:rsidRPr="00724342">
        <w:rPr>
          <w:sz w:val="22"/>
          <w:szCs w:val="22"/>
        </w:rPr>
        <w:t>т</w:t>
      </w:r>
      <w:r w:rsidRPr="00724342">
        <w:rPr>
          <w:sz w:val="22"/>
          <w:szCs w:val="22"/>
        </w:rPr>
        <w:t>ных с помощью опроса (опросный метод); 2) на основе оценки х</w:t>
      </w:r>
      <w:r w:rsidRPr="00724342">
        <w:rPr>
          <w:sz w:val="22"/>
          <w:szCs w:val="22"/>
        </w:rPr>
        <w:t>о</w:t>
      </w:r>
      <w:r w:rsidRPr="00724342">
        <w:rPr>
          <w:sz w:val="22"/>
          <w:szCs w:val="22"/>
        </w:rPr>
        <w:t>зяйственной деятельности предприятий (метод анализа).</w:t>
      </w:r>
    </w:p>
    <w:p w:rsidR="00724342" w:rsidRPr="00724342" w:rsidRDefault="00724342" w:rsidP="00C609D1">
      <w:pPr>
        <w:ind w:firstLine="426"/>
        <w:jc w:val="both"/>
        <w:rPr>
          <w:sz w:val="22"/>
          <w:szCs w:val="22"/>
        </w:rPr>
      </w:pPr>
      <w:r w:rsidRPr="00724342">
        <w:rPr>
          <w:sz w:val="22"/>
          <w:szCs w:val="22"/>
        </w:rPr>
        <w:t>Таким образом, в России безработица измеряется не с пом</w:t>
      </w:r>
      <w:r w:rsidRPr="00724342">
        <w:rPr>
          <w:sz w:val="22"/>
          <w:szCs w:val="22"/>
        </w:rPr>
        <w:t>о</w:t>
      </w:r>
      <w:r w:rsidRPr="00724342">
        <w:rPr>
          <w:sz w:val="22"/>
          <w:szCs w:val="22"/>
        </w:rPr>
        <w:t>щью обследования, а количеством безработных, зарегистрирова</w:t>
      </w:r>
      <w:r w:rsidRPr="00724342">
        <w:rPr>
          <w:sz w:val="22"/>
          <w:szCs w:val="22"/>
        </w:rPr>
        <w:t>н</w:t>
      </w:r>
      <w:r w:rsidRPr="00724342">
        <w:rPr>
          <w:sz w:val="22"/>
          <w:szCs w:val="22"/>
        </w:rPr>
        <w:t>ных государственной службой занятости. Например, западные страны взволнованы высокой стоимостью социальных пособий, так как это может подавить заинтересованность в поиске нового раб</w:t>
      </w:r>
      <w:r w:rsidRPr="00724342">
        <w:rPr>
          <w:sz w:val="22"/>
          <w:szCs w:val="22"/>
        </w:rPr>
        <w:t>о</w:t>
      </w:r>
      <w:r w:rsidRPr="00724342">
        <w:rPr>
          <w:sz w:val="22"/>
          <w:szCs w:val="22"/>
        </w:rPr>
        <w:t>чего места и обострить ситуацию отсутствия работы, однако в нашей стране вполне незначительные пособия содействуют в с</w:t>
      </w:r>
      <w:r w:rsidRPr="00724342">
        <w:rPr>
          <w:sz w:val="22"/>
          <w:szCs w:val="22"/>
        </w:rPr>
        <w:t>о</w:t>
      </w:r>
      <w:r w:rsidRPr="00724342">
        <w:rPr>
          <w:sz w:val="22"/>
          <w:szCs w:val="22"/>
        </w:rPr>
        <w:t>хранении низкого официального уровня безработицы.</w:t>
      </w:r>
    </w:p>
    <w:p w:rsidR="00E30511" w:rsidRDefault="00E30511" w:rsidP="0041627D">
      <w:pPr>
        <w:ind w:firstLine="426"/>
        <w:jc w:val="center"/>
        <w:rPr>
          <w:sz w:val="22"/>
          <w:szCs w:val="22"/>
        </w:rPr>
      </w:pPr>
    </w:p>
    <w:p w:rsidR="00724342" w:rsidRPr="00724342" w:rsidRDefault="00724342" w:rsidP="0041627D">
      <w:pPr>
        <w:ind w:firstLine="426"/>
        <w:jc w:val="center"/>
        <w:rPr>
          <w:sz w:val="22"/>
          <w:szCs w:val="22"/>
        </w:rPr>
      </w:pPr>
      <w:r w:rsidRPr="00724342">
        <w:rPr>
          <w:sz w:val="22"/>
          <w:szCs w:val="22"/>
        </w:rPr>
        <w:t>Список литературы</w:t>
      </w:r>
    </w:p>
    <w:p w:rsidR="00724342" w:rsidRPr="00724342" w:rsidRDefault="00724342" w:rsidP="0041627D">
      <w:pPr>
        <w:ind w:firstLine="426"/>
        <w:jc w:val="both"/>
        <w:rPr>
          <w:sz w:val="22"/>
          <w:szCs w:val="22"/>
        </w:rPr>
      </w:pPr>
      <w:r w:rsidRPr="00724342">
        <w:rPr>
          <w:sz w:val="22"/>
          <w:szCs w:val="22"/>
        </w:rPr>
        <w:t>1. Брагин В. «Безработица и экономическая активность» // «Ч</w:t>
      </w:r>
      <w:r w:rsidRPr="00724342">
        <w:rPr>
          <w:sz w:val="22"/>
          <w:szCs w:val="22"/>
        </w:rPr>
        <w:t>е</w:t>
      </w:r>
      <w:r w:rsidRPr="00724342">
        <w:rPr>
          <w:sz w:val="22"/>
          <w:szCs w:val="22"/>
        </w:rPr>
        <w:t>ловек и труд», №7 –2015г.</w:t>
      </w:r>
    </w:p>
    <w:p w:rsidR="00724342" w:rsidRPr="00724342" w:rsidRDefault="00724342" w:rsidP="0041627D">
      <w:pPr>
        <w:ind w:firstLine="426"/>
        <w:jc w:val="both"/>
        <w:rPr>
          <w:sz w:val="22"/>
          <w:szCs w:val="22"/>
        </w:rPr>
      </w:pPr>
      <w:r w:rsidRPr="00724342">
        <w:rPr>
          <w:sz w:val="22"/>
          <w:szCs w:val="22"/>
        </w:rPr>
        <w:t>2. Бреев Б. «Экономические последствия безработицы: оценка потерь» // «Общество и экономика», №5 – 2014г.</w:t>
      </w:r>
    </w:p>
    <w:p w:rsidR="00724342" w:rsidRPr="00724342" w:rsidRDefault="00724342" w:rsidP="0041627D">
      <w:pPr>
        <w:ind w:firstLine="426"/>
        <w:jc w:val="both"/>
        <w:textAlignment w:val="top"/>
        <w:rPr>
          <w:sz w:val="22"/>
          <w:szCs w:val="22"/>
        </w:rPr>
      </w:pPr>
      <w:r w:rsidRPr="00724342">
        <w:rPr>
          <w:sz w:val="22"/>
          <w:szCs w:val="22"/>
        </w:rPr>
        <w:t xml:space="preserve">3. </w:t>
      </w:r>
      <w:r w:rsidRPr="00724342">
        <w:rPr>
          <w:bCs/>
          <w:sz w:val="22"/>
          <w:szCs w:val="22"/>
        </w:rPr>
        <w:t>Волошина И.М. Резервы роста производительности труда – необходимое условие эффективности производства</w:t>
      </w:r>
      <w:r w:rsidRPr="00724342">
        <w:rPr>
          <w:b/>
          <w:bCs/>
          <w:sz w:val="22"/>
          <w:szCs w:val="22"/>
        </w:rPr>
        <w:t xml:space="preserve"> / </w:t>
      </w:r>
      <w:r w:rsidRPr="00724342">
        <w:rPr>
          <w:bCs/>
          <w:sz w:val="22"/>
          <w:szCs w:val="22"/>
        </w:rPr>
        <w:t>И. М. Вол</w:t>
      </w:r>
      <w:r w:rsidRPr="00724342">
        <w:rPr>
          <w:bCs/>
          <w:sz w:val="22"/>
          <w:szCs w:val="22"/>
        </w:rPr>
        <w:t>о</w:t>
      </w:r>
      <w:r w:rsidRPr="00724342">
        <w:rPr>
          <w:bCs/>
          <w:sz w:val="22"/>
          <w:szCs w:val="22"/>
        </w:rPr>
        <w:lastRenderedPageBreak/>
        <w:t xml:space="preserve">шина, Т. В. Метельская, Г. Н. Литвиненко // </w:t>
      </w:r>
      <w:r w:rsidRPr="00724342">
        <w:rPr>
          <w:sz w:val="22"/>
          <w:szCs w:val="22"/>
        </w:rPr>
        <w:t>Наука, образование, инновации: апробация результатов исследований. Материалы Ме</w:t>
      </w:r>
      <w:r w:rsidRPr="00724342">
        <w:rPr>
          <w:sz w:val="22"/>
          <w:szCs w:val="22"/>
        </w:rPr>
        <w:t>ж</w:t>
      </w:r>
      <w:r w:rsidRPr="00724342">
        <w:rPr>
          <w:sz w:val="22"/>
          <w:szCs w:val="22"/>
        </w:rPr>
        <w:t xml:space="preserve">дунар. (заочной) науч.-практич. конф., 2017. – С. 128–132. </w:t>
      </w:r>
    </w:p>
    <w:p w:rsidR="00724342" w:rsidRPr="00724342" w:rsidRDefault="00724342" w:rsidP="0041627D">
      <w:pPr>
        <w:ind w:firstLine="426"/>
        <w:jc w:val="both"/>
        <w:textAlignment w:val="top"/>
        <w:rPr>
          <w:sz w:val="22"/>
          <w:szCs w:val="22"/>
        </w:rPr>
      </w:pPr>
      <w:r w:rsidRPr="00724342">
        <w:rPr>
          <w:bCs/>
          <w:sz w:val="22"/>
          <w:szCs w:val="22"/>
        </w:rPr>
        <w:t xml:space="preserve">4. </w:t>
      </w:r>
      <w:r w:rsidRPr="00724342">
        <w:rPr>
          <w:sz w:val="22"/>
          <w:szCs w:val="22"/>
        </w:rPr>
        <w:t xml:space="preserve">Губа А.А. </w:t>
      </w:r>
      <w:r w:rsidRPr="00724342">
        <w:rPr>
          <w:bCs/>
          <w:sz w:val="22"/>
          <w:szCs w:val="22"/>
        </w:rPr>
        <w:t>Экономические показатели уровня жизни насел</w:t>
      </w:r>
      <w:r w:rsidRPr="00724342">
        <w:rPr>
          <w:bCs/>
          <w:sz w:val="22"/>
          <w:szCs w:val="22"/>
        </w:rPr>
        <w:t>е</w:t>
      </w:r>
      <w:r w:rsidRPr="00724342">
        <w:rPr>
          <w:bCs/>
          <w:sz w:val="22"/>
          <w:szCs w:val="22"/>
        </w:rPr>
        <w:t>ния как основные критерии оценки благосостояния общества / А. А. Губа,</w:t>
      </w:r>
      <w:r w:rsidRPr="00724342">
        <w:rPr>
          <w:b/>
          <w:bCs/>
          <w:sz w:val="22"/>
          <w:szCs w:val="22"/>
        </w:rPr>
        <w:t xml:space="preserve"> </w:t>
      </w:r>
      <w:r w:rsidRPr="00724342">
        <w:rPr>
          <w:bCs/>
          <w:sz w:val="22"/>
          <w:szCs w:val="22"/>
        </w:rPr>
        <w:t xml:space="preserve">Г. Н. Литвиненко </w:t>
      </w:r>
      <w:r w:rsidRPr="00724342">
        <w:rPr>
          <w:b/>
          <w:bCs/>
          <w:sz w:val="22"/>
          <w:szCs w:val="22"/>
        </w:rPr>
        <w:t xml:space="preserve">// </w:t>
      </w:r>
      <w:r w:rsidRPr="00724342">
        <w:rPr>
          <w:sz w:val="22"/>
          <w:szCs w:val="22"/>
        </w:rPr>
        <w:t>Наука, образование, инновации: апроб</w:t>
      </w:r>
      <w:r w:rsidRPr="00724342">
        <w:rPr>
          <w:sz w:val="22"/>
          <w:szCs w:val="22"/>
        </w:rPr>
        <w:t>а</w:t>
      </w:r>
      <w:r w:rsidRPr="00724342">
        <w:rPr>
          <w:sz w:val="22"/>
          <w:szCs w:val="22"/>
        </w:rPr>
        <w:t>ция результатов исследований. Материалы Междунар. (заочной) науч.-практич. конф., 2017. – С. 319–332.</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jc w:val="both"/>
        <w:rPr>
          <w:rFonts w:eastAsiaTheme="minorHAnsi"/>
          <w:sz w:val="24"/>
          <w:szCs w:val="24"/>
          <w:lang w:eastAsia="en-US"/>
        </w:rPr>
      </w:pPr>
    </w:p>
    <w:p w:rsidR="00724342" w:rsidRPr="00724342" w:rsidRDefault="00724342" w:rsidP="00724342">
      <w:pPr>
        <w:jc w:val="both"/>
        <w:rPr>
          <w:rFonts w:eastAsiaTheme="minorHAnsi"/>
          <w:sz w:val="24"/>
          <w:szCs w:val="24"/>
          <w:lang w:eastAsia="en-US"/>
        </w:rPr>
      </w:pPr>
    </w:p>
    <w:p w:rsidR="00724342" w:rsidRPr="0041627D" w:rsidRDefault="00724342" w:rsidP="00724342">
      <w:pPr>
        <w:jc w:val="both"/>
        <w:rPr>
          <w:rFonts w:eastAsiaTheme="minorHAnsi"/>
          <w:sz w:val="22"/>
          <w:szCs w:val="22"/>
          <w:lang w:eastAsia="en-US"/>
        </w:rPr>
      </w:pPr>
      <w:r w:rsidRPr="0041627D">
        <w:rPr>
          <w:rFonts w:eastAsiaTheme="minorHAnsi"/>
          <w:sz w:val="22"/>
          <w:szCs w:val="22"/>
          <w:lang w:eastAsia="en-US"/>
        </w:rPr>
        <w:t>УДК 330.322</w:t>
      </w:r>
    </w:p>
    <w:p w:rsidR="00724342" w:rsidRPr="00724342" w:rsidRDefault="00724342" w:rsidP="00724342">
      <w:pPr>
        <w:jc w:val="both"/>
        <w:rPr>
          <w:rFonts w:eastAsiaTheme="minorHAnsi"/>
          <w:sz w:val="22"/>
          <w:szCs w:val="22"/>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Инвестиционная политика субъектов экономической</w:t>
      </w:r>
      <w:r w:rsidR="0041627D">
        <w:rPr>
          <w:rFonts w:eastAsiaTheme="minorHAnsi"/>
          <w:b/>
          <w:sz w:val="24"/>
          <w:szCs w:val="24"/>
          <w:lang w:eastAsia="en-US"/>
        </w:rPr>
        <w:br/>
      </w:r>
      <w:r w:rsidRPr="00724342">
        <w:rPr>
          <w:rFonts w:eastAsiaTheme="minorHAnsi"/>
          <w:b/>
          <w:sz w:val="24"/>
          <w:szCs w:val="24"/>
          <w:lang w:eastAsia="en-US"/>
        </w:rPr>
        <w:t xml:space="preserve"> деятельности: проблемы и решения</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 xml:space="preserve">Investment Policy of Economic Activity Subjects: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Problems and Solutions</w:t>
      </w:r>
    </w:p>
    <w:p w:rsidR="00724342" w:rsidRPr="00724342" w:rsidRDefault="00724342" w:rsidP="00724342">
      <w:pPr>
        <w:jc w:val="both"/>
        <w:rPr>
          <w:rFonts w:eastAsiaTheme="minorHAnsi"/>
          <w:sz w:val="22"/>
          <w:szCs w:val="22"/>
          <w:lang w:val="en-US" w:eastAsia="en-US"/>
        </w:rPr>
      </w:pPr>
    </w:p>
    <w:p w:rsidR="00724342" w:rsidRPr="00724342" w:rsidRDefault="00724342" w:rsidP="00724342">
      <w:pPr>
        <w:widowControl w:val="0"/>
        <w:tabs>
          <w:tab w:val="left" w:pos="8223"/>
        </w:tabs>
        <w:jc w:val="right"/>
        <w:rPr>
          <w:rFonts w:eastAsia="Courier New"/>
          <w:color w:val="000000"/>
          <w:sz w:val="22"/>
          <w:szCs w:val="22"/>
          <w:lang w:val="en-US" w:eastAsia="en-US"/>
        </w:rPr>
      </w:pPr>
      <w:r w:rsidRPr="00724342">
        <w:rPr>
          <w:rFonts w:eastAsia="Courier New"/>
          <w:color w:val="000000"/>
          <w:sz w:val="22"/>
          <w:szCs w:val="22"/>
          <w:lang w:eastAsia="en-US"/>
        </w:rPr>
        <w:t>Гилек</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Е</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И</w:t>
      </w:r>
      <w:r w:rsidRPr="00724342">
        <w:rPr>
          <w:rFonts w:eastAsia="Courier New"/>
          <w:color w:val="000000"/>
          <w:sz w:val="22"/>
          <w:szCs w:val="22"/>
          <w:lang w:val="en-US"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магистрант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w:t>
      </w:r>
      <w:r w:rsidRPr="00724342">
        <w:t xml:space="preserve"> </w:t>
      </w:r>
      <w:r w:rsidRPr="00724342">
        <w:rPr>
          <w:rFonts w:eastAsia="Courier New"/>
          <w:color w:val="000000"/>
          <w:sz w:val="22"/>
          <w:szCs w:val="22"/>
          <w:lang w:eastAsia="en-US"/>
        </w:rPr>
        <w:t>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both"/>
        <w:rPr>
          <w:rFonts w:eastAsiaTheme="minorHAnsi"/>
          <w:sz w:val="22"/>
          <w:szCs w:val="22"/>
          <w:lang w:eastAsia="en-US"/>
        </w:rPr>
      </w:pPr>
    </w:p>
    <w:p w:rsidR="00724342" w:rsidRPr="00724342" w:rsidRDefault="00724342" w:rsidP="0041627D">
      <w:pPr>
        <w:widowControl w:val="0"/>
        <w:tabs>
          <w:tab w:val="left" w:pos="8223"/>
        </w:tabs>
        <w:ind w:firstLine="426"/>
        <w:jc w:val="both"/>
        <w:rPr>
          <w:rFonts w:eastAsia="Courier New"/>
          <w:sz w:val="22"/>
          <w:szCs w:val="22"/>
          <w:lang w:eastAsia="en-US"/>
        </w:rPr>
      </w:pPr>
      <w:r w:rsidRPr="00724342">
        <w:rPr>
          <w:rFonts w:eastAsia="Courier New"/>
          <w:sz w:val="22"/>
          <w:szCs w:val="22"/>
          <w:lang w:eastAsia="en-US"/>
        </w:rPr>
        <w:t xml:space="preserve">АННОТАЦИЯ: Проанализированы проблемы инвестиционной политики российских предприятий, возможности использования портфельной системы управления проектами. </w:t>
      </w:r>
    </w:p>
    <w:p w:rsidR="00724342" w:rsidRPr="00724342" w:rsidRDefault="00724342" w:rsidP="0041627D">
      <w:pPr>
        <w:widowControl w:val="0"/>
        <w:tabs>
          <w:tab w:val="left" w:pos="8223"/>
        </w:tabs>
        <w:ind w:firstLine="426"/>
        <w:jc w:val="both"/>
        <w:rPr>
          <w:rFonts w:eastAsiaTheme="minorHAnsi"/>
          <w:sz w:val="22"/>
          <w:szCs w:val="22"/>
          <w:shd w:val="clear" w:color="auto" w:fill="FFFFFF"/>
          <w:lang w:val="en-US" w:eastAsia="en-US"/>
        </w:rPr>
      </w:pPr>
      <w:r w:rsidRPr="00724342">
        <w:rPr>
          <w:rFonts w:eastAsia="Courier New"/>
          <w:sz w:val="22"/>
          <w:szCs w:val="22"/>
          <w:lang w:val="en-US" w:eastAsia="en-US"/>
        </w:rPr>
        <w:t>ABSTRACT:</w:t>
      </w:r>
      <w:r w:rsidRPr="00724342">
        <w:rPr>
          <w:rFonts w:eastAsia="Courier New"/>
          <w:sz w:val="22"/>
          <w:szCs w:val="22"/>
          <w:shd w:val="clear" w:color="auto" w:fill="FFFFFF"/>
          <w:lang w:val="en-US" w:eastAsia="en-US"/>
        </w:rPr>
        <w:t xml:space="preserve"> </w:t>
      </w:r>
      <w:r w:rsidRPr="00724342">
        <w:rPr>
          <w:rFonts w:eastAsiaTheme="minorHAnsi"/>
          <w:sz w:val="22"/>
          <w:szCs w:val="22"/>
          <w:shd w:val="clear" w:color="auto" w:fill="FFFFFF"/>
          <w:lang w:val="en-US" w:eastAsia="en-US"/>
        </w:rPr>
        <w:t>The problems of the investment policy of Russian e</w:t>
      </w:r>
      <w:r w:rsidRPr="00724342">
        <w:rPr>
          <w:rFonts w:eastAsiaTheme="minorHAnsi"/>
          <w:sz w:val="22"/>
          <w:szCs w:val="22"/>
          <w:shd w:val="clear" w:color="auto" w:fill="FFFFFF"/>
          <w:lang w:val="en-US" w:eastAsia="en-US"/>
        </w:rPr>
        <w:t>n</w:t>
      </w:r>
      <w:r w:rsidRPr="00724342">
        <w:rPr>
          <w:rFonts w:eastAsiaTheme="minorHAnsi"/>
          <w:sz w:val="22"/>
          <w:szCs w:val="22"/>
          <w:shd w:val="clear" w:color="auto" w:fill="FFFFFF"/>
          <w:lang w:val="en-US" w:eastAsia="en-US"/>
        </w:rPr>
        <w:t>terprises, the possibilities of using the project portfolio management sy</w:t>
      </w:r>
      <w:r w:rsidRPr="00724342">
        <w:rPr>
          <w:rFonts w:eastAsiaTheme="minorHAnsi"/>
          <w:sz w:val="22"/>
          <w:szCs w:val="22"/>
          <w:shd w:val="clear" w:color="auto" w:fill="FFFFFF"/>
          <w:lang w:val="en-US" w:eastAsia="en-US"/>
        </w:rPr>
        <w:t>s</w:t>
      </w:r>
      <w:r w:rsidRPr="00724342">
        <w:rPr>
          <w:rFonts w:eastAsiaTheme="minorHAnsi"/>
          <w:sz w:val="22"/>
          <w:szCs w:val="22"/>
          <w:shd w:val="clear" w:color="auto" w:fill="FFFFFF"/>
          <w:lang w:val="en-US" w:eastAsia="en-US"/>
        </w:rPr>
        <w:t>tem are analyzed.</w:t>
      </w:r>
    </w:p>
    <w:p w:rsidR="00724342" w:rsidRPr="00724342" w:rsidRDefault="00724342" w:rsidP="0041627D">
      <w:pPr>
        <w:widowControl w:val="0"/>
        <w:tabs>
          <w:tab w:val="left" w:pos="8223"/>
        </w:tabs>
        <w:ind w:firstLine="426"/>
        <w:jc w:val="both"/>
        <w:rPr>
          <w:rFonts w:eastAsia="Courier New"/>
          <w:sz w:val="22"/>
          <w:szCs w:val="22"/>
          <w:lang w:eastAsia="en-US"/>
        </w:rPr>
      </w:pPr>
      <w:r w:rsidRPr="00724342">
        <w:rPr>
          <w:rFonts w:eastAsia="Courier New"/>
          <w:sz w:val="22"/>
          <w:szCs w:val="22"/>
          <w:lang w:eastAsia="en-US"/>
        </w:rPr>
        <w:t>КЛЮЧЕВЫЕ СЛОВА: инвестиционная политика, аспекты ре</w:t>
      </w:r>
      <w:r w:rsidRPr="00724342">
        <w:rPr>
          <w:rFonts w:eastAsia="Courier New"/>
          <w:sz w:val="22"/>
          <w:szCs w:val="22"/>
          <w:lang w:eastAsia="en-US"/>
        </w:rPr>
        <w:t>а</w:t>
      </w:r>
      <w:r w:rsidRPr="00724342">
        <w:rPr>
          <w:rFonts w:eastAsia="Courier New"/>
          <w:sz w:val="22"/>
          <w:szCs w:val="22"/>
          <w:lang w:eastAsia="en-US"/>
        </w:rPr>
        <w:t xml:space="preserve">лизации инвестиционных проектов, портфельное управление. </w:t>
      </w:r>
    </w:p>
    <w:p w:rsidR="00724342" w:rsidRPr="00724342" w:rsidRDefault="00724342" w:rsidP="0041627D">
      <w:pPr>
        <w:widowControl w:val="0"/>
        <w:tabs>
          <w:tab w:val="left" w:pos="8223"/>
        </w:tabs>
        <w:ind w:firstLine="426"/>
        <w:jc w:val="both"/>
        <w:rPr>
          <w:rFonts w:eastAsia="Courier New"/>
          <w:sz w:val="22"/>
          <w:szCs w:val="22"/>
          <w:lang w:val="en-US" w:eastAsia="en-US"/>
        </w:rPr>
      </w:pPr>
      <w:r w:rsidRPr="00724342">
        <w:rPr>
          <w:rFonts w:eastAsia="Courier New"/>
          <w:sz w:val="22"/>
          <w:szCs w:val="22"/>
          <w:lang w:val="en-US" w:eastAsia="en-US"/>
        </w:rPr>
        <w:t>KEYWORDS:</w:t>
      </w:r>
      <w:r w:rsidRPr="00724342">
        <w:rPr>
          <w:rFonts w:ascii="Courier New" w:eastAsia="Courier New" w:hAnsi="Courier New" w:cs="Courier New"/>
          <w:sz w:val="22"/>
          <w:szCs w:val="22"/>
          <w:shd w:val="clear" w:color="auto" w:fill="FFFFFF"/>
          <w:lang w:val="en-US" w:eastAsia="en-US"/>
        </w:rPr>
        <w:t xml:space="preserve"> </w:t>
      </w:r>
      <w:r w:rsidRPr="00724342">
        <w:rPr>
          <w:rFonts w:eastAsiaTheme="minorHAnsi"/>
          <w:sz w:val="22"/>
          <w:szCs w:val="22"/>
          <w:shd w:val="clear" w:color="auto" w:fill="FFFFFF"/>
          <w:lang w:val="en-US" w:eastAsia="en-US"/>
        </w:rPr>
        <w:t>investment policy, aspects of implementation of i</w:t>
      </w:r>
      <w:r w:rsidRPr="00724342">
        <w:rPr>
          <w:rFonts w:eastAsiaTheme="minorHAnsi"/>
          <w:sz w:val="22"/>
          <w:szCs w:val="22"/>
          <w:shd w:val="clear" w:color="auto" w:fill="FFFFFF"/>
          <w:lang w:val="en-US" w:eastAsia="en-US"/>
        </w:rPr>
        <w:t>n</w:t>
      </w:r>
      <w:r w:rsidRPr="00724342">
        <w:rPr>
          <w:rFonts w:eastAsiaTheme="minorHAnsi"/>
          <w:sz w:val="22"/>
          <w:szCs w:val="22"/>
          <w:shd w:val="clear" w:color="auto" w:fill="FFFFFF"/>
          <w:lang w:val="en-US" w:eastAsia="en-US"/>
        </w:rPr>
        <w:t>vestment projects, portfolio management.</w:t>
      </w:r>
    </w:p>
    <w:p w:rsidR="00724342" w:rsidRPr="00724342" w:rsidRDefault="00724342" w:rsidP="0041627D">
      <w:pPr>
        <w:ind w:firstLine="426"/>
        <w:jc w:val="both"/>
        <w:rPr>
          <w:rFonts w:eastAsiaTheme="minorHAnsi"/>
          <w:sz w:val="22"/>
          <w:szCs w:val="22"/>
          <w:lang w:val="en-US" w:eastAsia="en-US"/>
        </w:rPr>
      </w:pP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lastRenderedPageBreak/>
        <w:t>Сегодня российский бизнес развивается в условиях жесткой конкуренции, высокого уровня неопределенности и быстрых техн</w:t>
      </w:r>
      <w:r w:rsidRPr="00724342">
        <w:rPr>
          <w:rFonts w:eastAsiaTheme="minorHAnsi"/>
          <w:sz w:val="22"/>
          <w:szCs w:val="22"/>
          <w:lang w:eastAsia="en-US"/>
        </w:rPr>
        <w:t>о</w:t>
      </w:r>
      <w:r w:rsidRPr="00724342">
        <w:rPr>
          <w:rFonts w:eastAsiaTheme="minorHAnsi"/>
          <w:sz w:val="22"/>
          <w:szCs w:val="22"/>
          <w:lang w:eastAsia="en-US"/>
        </w:rPr>
        <w:t>логических и технических инноваций. Это вызывает необходимость постоянного обновления и модернизации оборудования, развития новых направлений деятельности, укрепления товарной марки, п</w:t>
      </w:r>
      <w:r w:rsidRPr="00724342">
        <w:rPr>
          <w:rFonts w:eastAsiaTheme="minorHAnsi"/>
          <w:sz w:val="22"/>
          <w:szCs w:val="22"/>
          <w:lang w:eastAsia="en-US"/>
        </w:rPr>
        <w:t>о</w:t>
      </w:r>
      <w:r w:rsidRPr="00724342">
        <w:rPr>
          <w:rFonts w:eastAsiaTheme="minorHAnsi"/>
          <w:sz w:val="22"/>
          <w:szCs w:val="22"/>
          <w:lang w:eastAsia="en-US"/>
        </w:rPr>
        <w:t>вышения уровня компетентности сотрудников и прочее. Все это позволяет укрепить положение предприятия на рынке, но в то же время требует постоянной координации и регулирования инвест</w:t>
      </w:r>
      <w:r w:rsidRPr="00724342">
        <w:rPr>
          <w:rFonts w:eastAsiaTheme="minorHAnsi"/>
          <w:sz w:val="22"/>
          <w:szCs w:val="22"/>
          <w:lang w:eastAsia="en-US"/>
        </w:rPr>
        <w:t>и</w:t>
      </w:r>
      <w:r w:rsidRPr="00724342">
        <w:rPr>
          <w:rFonts w:eastAsiaTheme="minorHAnsi"/>
          <w:sz w:val="22"/>
          <w:szCs w:val="22"/>
          <w:lang w:eastAsia="en-US"/>
        </w:rPr>
        <w:t>ционных процессов. Эти процессы в совокупности приобретают черты проектного управления и позволяют оценивать деятельность предприятий как проектноориентированную</w:t>
      </w:r>
      <w:r w:rsidRPr="00724342">
        <w:rPr>
          <w:rFonts w:ascii="Swift Light Regular" w:eastAsiaTheme="minorHAnsi" w:hAnsi="Swift Light Regular" w:cstheme="minorBidi"/>
          <w:color w:val="000000"/>
          <w:sz w:val="32"/>
          <w:szCs w:val="32"/>
          <w:shd w:val="clear" w:color="auto" w:fill="FFFFFF"/>
          <w:lang w:eastAsia="en-US"/>
        </w:rPr>
        <w:t xml:space="preserve"> </w:t>
      </w:r>
      <w:r w:rsidRPr="00724342">
        <w:rPr>
          <w:rFonts w:eastAsiaTheme="minorHAnsi"/>
          <w:color w:val="000000"/>
          <w:sz w:val="22"/>
          <w:szCs w:val="22"/>
          <w:shd w:val="clear" w:color="auto" w:fill="FFFFFF"/>
          <w:lang w:eastAsia="en-US"/>
        </w:rPr>
        <w:t>[2].</w:t>
      </w:r>
      <w:r w:rsidRPr="00724342">
        <w:rPr>
          <w:rFonts w:eastAsiaTheme="minorHAnsi"/>
          <w:sz w:val="22"/>
          <w:szCs w:val="22"/>
          <w:lang w:eastAsia="en-US"/>
        </w:rPr>
        <w:t xml:space="preserve">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В этих условиях необходимо рационально распределить ф</w:t>
      </w:r>
      <w:r w:rsidRPr="00724342">
        <w:rPr>
          <w:rFonts w:eastAsiaTheme="minorHAnsi"/>
          <w:sz w:val="22"/>
          <w:szCs w:val="22"/>
          <w:lang w:eastAsia="en-US"/>
        </w:rPr>
        <w:t>и</w:t>
      </w:r>
      <w:r w:rsidRPr="00724342">
        <w:rPr>
          <w:rFonts w:eastAsiaTheme="minorHAnsi"/>
          <w:sz w:val="22"/>
          <w:szCs w:val="22"/>
          <w:lang w:eastAsia="en-US"/>
        </w:rPr>
        <w:t>нансовые ресурсы предприятия, выделить наиболее важные и зн</w:t>
      </w:r>
      <w:r w:rsidRPr="00724342">
        <w:rPr>
          <w:rFonts w:eastAsiaTheme="minorHAnsi"/>
          <w:sz w:val="22"/>
          <w:szCs w:val="22"/>
          <w:lang w:eastAsia="en-US"/>
        </w:rPr>
        <w:t>а</w:t>
      </w:r>
      <w:r w:rsidRPr="00724342">
        <w:rPr>
          <w:rFonts w:eastAsiaTheme="minorHAnsi"/>
          <w:sz w:val="22"/>
          <w:szCs w:val="22"/>
          <w:lang w:eastAsia="en-US"/>
        </w:rPr>
        <w:t>чимые направления инвестирования, позволяющие реализовать стратегические установки и повысить устойчивость развития пре</w:t>
      </w:r>
      <w:r w:rsidRPr="00724342">
        <w:rPr>
          <w:rFonts w:eastAsiaTheme="minorHAnsi"/>
          <w:sz w:val="22"/>
          <w:szCs w:val="22"/>
          <w:lang w:eastAsia="en-US"/>
        </w:rPr>
        <w:t>д</w:t>
      </w:r>
      <w:r w:rsidRPr="00724342">
        <w:rPr>
          <w:rFonts w:eastAsiaTheme="minorHAnsi"/>
          <w:sz w:val="22"/>
          <w:szCs w:val="22"/>
          <w:lang w:eastAsia="en-US"/>
        </w:rPr>
        <w:t>приятия. Огромная ответственность при решении этих задач возл</w:t>
      </w:r>
      <w:r w:rsidRPr="00724342">
        <w:rPr>
          <w:rFonts w:eastAsiaTheme="minorHAnsi"/>
          <w:sz w:val="22"/>
          <w:szCs w:val="22"/>
          <w:lang w:eastAsia="en-US"/>
        </w:rPr>
        <w:t>а</w:t>
      </w:r>
      <w:r w:rsidRPr="00724342">
        <w:rPr>
          <w:rFonts w:eastAsiaTheme="minorHAnsi"/>
          <w:sz w:val="22"/>
          <w:szCs w:val="22"/>
          <w:lang w:eastAsia="en-US"/>
        </w:rPr>
        <w:t>гается на руководителей предприятий, которые должны: понимать стратегию развития предприятия; оценивать значимость реализации проектов для поддержания стратегии; оценивать ресурсные во</w:t>
      </w:r>
      <w:r w:rsidRPr="00724342">
        <w:rPr>
          <w:rFonts w:eastAsiaTheme="minorHAnsi"/>
          <w:sz w:val="22"/>
          <w:szCs w:val="22"/>
          <w:lang w:eastAsia="en-US"/>
        </w:rPr>
        <w:t>з</w:t>
      </w:r>
      <w:r w:rsidRPr="00724342">
        <w:rPr>
          <w:rFonts w:eastAsiaTheme="minorHAnsi"/>
          <w:sz w:val="22"/>
          <w:szCs w:val="22"/>
          <w:lang w:eastAsia="en-US"/>
        </w:rPr>
        <w:t>можности предприятия; оценивать риск реализации каждого инв</w:t>
      </w:r>
      <w:r w:rsidRPr="00724342">
        <w:rPr>
          <w:rFonts w:eastAsiaTheme="minorHAnsi"/>
          <w:sz w:val="22"/>
          <w:szCs w:val="22"/>
          <w:lang w:eastAsia="en-US"/>
        </w:rPr>
        <w:t>е</w:t>
      </w:r>
      <w:r w:rsidRPr="00724342">
        <w:rPr>
          <w:rFonts w:eastAsiaTheme="minorHAnsi"/>
          <w:sz w:val="22"/>
          <w:szCs w:val="22"/>
          <w:lang w:eastAsia="en-US"/>
        </w:rPr>
        <w:t>стиционного проекта и инвестиционного портфеля в целом; обл</w:t>
      </w:r>
      <w:r w:rsidRPr="00724342">
        <w:rPr>
          <w:rFonts w:eastAsiaTheme="minorHAnsi"/>
          <w:sz w:val="22"/>
          <w:szCs w:val="22"/>
          <w:lang w:eastAsia="en-US"/>
        </w:rPr>
        <w:t>а</w:t>
      </w:r>
      <w:r w:rsidRPr="00724342">
        <w:rPr>
          <w:rFonts w:eastAsiaTheme="minorHAnsi"/>
          <w:sz w:val="22"/>
          <w:szCs w:val="22"/>
          <w:lang w:eastAsia="en-US"/>
        </w:rPr>
        <w:t>дать знаниями в области проектного управления и использовать их в своей деятельности; уметь организовать коммуникации в процессе реализации инвестиционных проектов</w:t>
      </w:r>
      <w:r w:rsidRPr="00724342">
        <w:rPr>
          <w:rFonts w:eastAsiaTheme="minorHAnsi"/>
          <w:color w:val="000000"/>
          <w:sz w:val="22"/>
          <w:szCs w:val="22"/>
          <w:shd w:val="clear" w:color="auto" w:fill="FFFFFF"/>
          <w:lang w:eastAsia="en-US"/>
        </w:rPr>
        <w:t xml:space="preserve"> [1].</w:t>
      </w:r>
      <w:r w:rsidRPr="00724342">
        <w:rPr>
          <w:rFonts w:eastAsiaTheme="minorHAnsi"/>
          <w:sz w:val="22"/>
          <w:szCs w:val="22"/>
          <w:lang w:eastAsia="en-US"/>
        </w:rPr>
        <w:t xml:space="preserve">  </w:t>
      </w:r>
    </w:p>
    <w:p w:rsidR="00724342" w:rsidRPr="00724342" w:rsidRDefault="00724342" w:rsidP="0041627D">
      <w:pPr>
        <w:tabs>
          <w:tab w:val="left" w:pos="851"/>
        </w:tabs>
        <w:ind w:firstLine="426"/>
        <w:jc w:val="both"/>
        <w:rPr>
          <w:rFonts w:eastAsiaTheme="minorHAnsi"/>
          <w:sz w:val="22"/>
          <w:szCs w:val="22"/>
          <w:lang w:eastAsia="en-US"/>
        </w:rPr>
      </w:pPr>
      <w:r w:rsidRPr="00724342">
        <w:rPr>
          <w:rFonts w:eastAsiaTheme="minorHAnsi"/>
          <w:sz w:val="22"/>
          <w:szCs w:val="22"/>
          <w:lang w:eastAsia="en-US"/>
        </w:rPr>
        <w:t>В процессе реализации инвестиционных проектов можно выд</w:t>
      </w:r>
      <w:r w:rsidRPr="00724342">
        <w:rPr>
          <w:rFonts w:eastAsiaTheme="minorHAnsi"/>
          <w:sz w:val="22"/>
          <w:szCs w:val="22"/>
          <w:lang w:eastAsia="en-US"/>
        </w:rPr>
        <w:t>е</w:t>
      </w:r>
      <w:r w:rsidRPr="00724342">
        <w:rPr>
          <w:rFonts w:eastAsiaTheme="minorHAnsi"/>
          <w:sz w:val="22"/>
          <w:szCs w:val="22"/>
          <w:lang w:eastAsia="en-US"/>
        </w:rPr>
        <w:t>лить два аспекта. Первый – это техническая сторона процесса, к</w:t>
      </w:r>
      <w:r w:rsidRPr="00724342">
        <w:rPr>
          <w:rFonts w:eastAsiaTheme="minorHAnsi"/>
          <w:sz w:val="22"/>
          <w:szCs w:val="22"/>
          <w:lang w:eastAsia="en-US"/>
        </w:rPr>
        <w:t>о</w:t>
      </w:r>
      <w:r w:rsidRPr="00724342">
        <w:rPr>
          <w:rFonts w:eastAsiaTheme="minorHAnsi"/>
          <w:sz w:val="22"/>
          <w:szCs w:val="22"/>
          <w:lang w:eastAsia="en-US"/>
        </w:rPr>
        <w:t>торая включает планирование деятельности по реализации проекта и контроль его осуществления. Рациональной организации этих процессов способствует формулирование конкретных задач и ра</w:t>
      </w:r>
      <w:r w:rsidRPr="00724342">
        <w:rPr>
          <w:rFonts w:eastAsiaTheme="minorHAnsi"/>
          <w:sz w:val="22"/>
          <w:szCs w:val="22"/>
          <w:lang w:eastAsia="en-US"/>
        </w:rPr>
        <w:t>з</w:t>
      </w:r>
      <w:r w:rsidRPr="00724342">
        <w:rPr>
          <w:rFonts w:eastAsiaTheme="minorHAnsi"/>
          <w:sz w:val="22"/>
          <w:szCs w:val="22"/>
          <w:lang w:eastAsia="en-US"/>
        </w:rPr>
        <w:t>бивка работ. Это позволяет с помощью интегрированных связей в системе проследить все изменения в процессе реализации проекта, своевременно устранить нежелательные отклонения.  Второй аспект реализации инвестиционных проектов является более сложным. Это социокультурный аспект, предполагающий создание внутри пре</w:t>
      </w:r>
      <w:r w:rsidRPr="00724342">
        <w:rPr>
          <w:rFonts w:eastAsiaTheme="minorHAnsi"/>
          <w:sz w:val="22"/>
          <w:szCs w:val="22"/>
          <w:lang w:eastAsia="en-US"/>
        </w:rPr>
        <w:t>д</w:t>
      </w:r>
      <w:r w:rsidRPr="00724342">
        <w:rPr>
          <w:rFonts w:eastAsiaTheme="minorHAnsi"/>
          <w:sz w:val="22"/>
          <w:szCs w:val="22"/>
          <w:lang w:eastAsia="en-US"/>
        </w:rPr>
        <w:t>приятия обособленной социальной среды, включающей специал</w:t>
      </w:r>
      <w:r w:rsidRPr="00724342">
        <w:rPr>
          <w:rFonts w:eastAsiaTheme="minorHAnsi"/>
          <w:sz w:val="22"/>
          <w:szCs w:val="22"/>
          <w:lang w:eastAsia="en-US"/>
        </w:rPr>
        <w:t>и</w:t>
      </w:r>
      <w:r w:rsidRPr="00724342">
        <w:rPr>
          <w:rFonts w:eastAsiaTheme="minorHAnsi"/>
          <w:sz w:val="22"/>
          <w:szCs w:val="22"/>
          <w:lang w:eastAsia="en-US"/>
        </w:rPr>
        <w:t>стов и менеджеров, работающих над реализацией проекта. От уро</w:t>
      </w:r>
      <w:r w:rsidRPr="00724342">
        <w:rPr>
          <w:rFonts w:eastAsiaTheme="minorHAnsi"/>
          <w:sz w:val="22"/>
          <w:szCs w:val="22"/>
          <w:lang w:eastAsia="en-US"/>
        </w:rPr>
        <w:t>в</w:t>
      </w:r>
      <w:r w:rsidRPr="00724342">
        <w:rPr>
          <w:rFonts w:eastAsiaTheme="minorHAnsi"/>
          <w:sz w:val="22"/>
          <w:szCs w:val="22"/>
          <w:lang w:eastAsia="en-US"/>
        </w:rPr>
        <w:t>ня культуры, сформированного внутри проекта, уровня личной м</w:t>
      </w:r>
      <w:r w:rsidRPr="00724342">
        <w:rPr>
          <w:rFonts w:eastAsiaTheme="minorHAnsi"/>
          <w:sz w:val="22"/>
          <w:szCs w:val="22"/>
          <w:lang w:eastAsia="en-US"/>
        </w:rPr>
        <w:t>о</w:t>
      </w:r>
      <w:r w:rsidRPr="00724342">
        <w:rPr>
          <w:rFonts w:eastAsiaTheme="minorHAnsi"/>
          <w:sz w:val="22"/>
          <w:szCs w:val="22"/>
          <w:lang w:eastAsia="en-US"/>
        </w:rPr>
        <w:lastRenderedPageBreak/>
        <w:t xml:space="preserve">тивации и качества структуры коммуникаций успех проекта зависит не в меньшей мере, чем от состояния технического аспекта. </w:t>
      </w:r>
    </w:p>
    <w:p w:rsidR="00724342" w:rsidRPr="00724342" w:rsidRDefault="00724342" w:rsidP="0041627D">
      <w:pPr>
        <w:tabs>
          <w:tab w:val="left" w:pos="851"/>
        </w:tabs>
        <w:ind w:firstLine="426"/>
        <w:jc w:val="both"/>
        <w:rPr>
          <w:rFonts w:eastAsiaTheme="minorHAnsi"/>
          <w:sz w:val="22"/>
          <w:szCs w:val="22"/>
          <w:lang w:eastAsia="en-US"/>
        </w:rPr>
      </w:pPr>
      <w:r w:rsidRPr="00724342">
        <w:rPr>
          <w:rFonts w:eastAsiaTheme="minorHAnsi"/>
          <w:sz w:val="22"/>
          <w:szCs w:val="22"/>
          <w:lang w:eastAsia="en-US"/>
        </w:rPr>
        <w:t>Решить многие проблемы, связанные с инвестированием, по</w:t>
      </w:r>
      <w:r w:rsidRPr="00724342">
        <w:rPr>
          <w:rFonts w:eastAsiaTheme="minorHAnsi"/>
          <w:sz w:val="22"/>
          <w:szCs w:val="22"/>
          <w:lang w:eastAsia="en-US"/>
        </w:rPr>
        <w:t>з</w:t>
      </w:r>
      <w:r w:rsidRPr="00724342">
        <w:rPr>
          <w:rFonts w:eastAsiaTheme="minorHAnsi"/>
          <w:sz w:val="22"/>
          <w:szCs w:val="22"/>
          <w:lang w:eastAsia="en-US"/>
        </w:rPr>
        <w:t>воляет портфельная система управления проектами. Она предпол</w:t>
      </w:r>
      <w:r w:rsidRPr="00724342">
        <w:rPr>
          <w:rFonts w:eastAsiaTheme="minorHAnsi"/>
          <w:sz w:val="22"/>
          <w:szCs w:val="22"/>
          <w:lang w:eastAsia="en-US"/>
        </w:rPr>
        <w:t>а</w:t>
      </w:r>
      <w:r w:rsidRPr="00724342">
        <w:rPr>
          <w:rFonts w:eastAsiaTheme="minorHAnsi"/>
          <w:sz w:val="22"/>
          <w:szCs w:val="22"/>
          <w:lang w:eastAsia="en-US"/>
        </w:rPr>
        <w:t>гает разработку системы приоритетов, непосредственно связанных со стратегией предприятия</w:t>
      </w:r>
      <w:r w:rsidRPr="00724342">
        <w:rPr>
          <w:rFonts w:eastAsiaTheme="minorHAnsi"/>
          <w:color w:val="000000"/>
          <w:sz w:val="22"/>
          <w:szCs w:val="22"/>
          <w:shd w:val="clear" w:color="auto" w:fill="FFFFFF"/>
          <w:lang w:eastAsia="en-US"/>
        </w:rPr>
        <w:t xml:space="preserve"> [3].</w:t>
      </w:r>
      <w:r w:rsidR="00C609D1">
        <w:rPr>
          <w:rFonts w:eastAsiaTheme="minorHAnsi"/>
          <w:sz w:val="22"/>
          <w:szCs w:val="22"/>
          <w:lang w:eastAsia="en-US"/>
        </w:rPr>
        <w:t xml:space="preserve"> </w:t>
      </w:r>
      <w:r w:rsidRPr="00724342">
        <w:rPr>
          <w:rFonts w:eastAsiaTheme="minorHAnsi"/>
          <w:sz w:val="22"/>
          <w:szCs w:val="22"/>
          <w:lang w:eastAsia="en-US"/>
        </w:rPr>
        <w:t>Прежде всего, портфельная система устраняет возможный разрыв в реализации стратегии, то есть отсу</w:t>
      </w:r>
      <w:r w:rsidRPr="00724342">
        <w:rPr>
          <w:rFonts w:eastAsiaTheme="minorHAnsi"/>
          <w:sz w:val="22"/>
          <w:szCs w:val="22"/>
          <w:lang w:eastAsia="en-US"/>
        </w:rPr>
        <w:t>т</w:t>
      </w:r>
      <w:r w:rsidRPr="00724342">
        <w:rPr>
          <w:rFonts w:eastAsiaTheme="minorHAnsi"/>
          <w:sz w:val="22"/>
          <w:szCs w:val="22"/>
          <w:lang w:eastAsia="en-US"/>
        </w:rPr>
        <w:t>ствие единого понимания стратегии высшими руководителями предприятия и ее непосредственными исполнителями. Во-вторых, она позволяет поддерживать политику предприятия путем выстра</w:t>
      </w:r>
      <w:r w:rsidRPr="00724342">
        <w:rPr>
          <w:rFonts w:eastAsiaTheme="minorHAnsi"/>
          <w:sz w:val="22"/>
          <w:szCs w:val="22"/>
          <w:lang w:eastAsia="en-US"/>
        </w:rPr>
        <w:t>и</w:t>
      </w:r>
      <w:r w:rsidRPr="00724342">
        <w:rPr>
          <w:rFonts w:eastAsiaTheme="minorHAnsi"/>
          <w:sz w:val="22"/>
          <w:szCs w:val="22"/>
          <w:lang w:eastAsia="en-US"/>
        </w:rPr>
        <w:t>вания критериев отбора проектов, соответствующих миссии пре</w:t>
      </w:r>
      <w:r w:rsidRPr="00724342">
        <w:rPr>
          <w:rFonts w:eastAsiaTheme="minorHAnsi"/>
          <w:sz w:val="22"/>
          <w:szCs w:val="22"/>
          <w:lang w:eastAsia="en-US"/>
        </w:rPr>
        <w:t>д</w:t>
      </w:r>
      <w:r w:rsidRPr="00724342">
        <w:rPr>
          <w:rFonts w:eastAsiaTheme="minorHAnsi"/>
          <w:sz w:val="22"/>
          <w:szCs w:val="22"/>
          <w:lang w:eastAsia="en-US"/>
        </w:rPr>
        <w:t>приятия. В противном случае неизбежна возможность выбора в к</w:t>
      </w:r>
      <w:r w:rsidRPr="00724342">
        <w:rPr>
          <w:rFonts w:eastAsiaTheme="minorHAnsi"/>
          <w:sz w:val="22"/>
          <w:szCs w:val="22"/>
          <w:lang w:eastAsia="en-US"/>
        </w:rPr>
        <w:t>а</w:t>
      </w:r>
      <w:r w:rsidRPr="00724342">
        <w:rPr>
          <w:rFonts w:eastAsiaTheme="minorHAnsi"/>
          <w:sz w:val="22"/>
          <w:szCs w:val="22"/>
          <w:lang w:eastAsia="en-US"/>
        </w:rPr>
        <w:t>честве приоритетных тех проектов, которые носят статус «свяще</w:t>
      </w:r>
      <w:r w:rsidRPr="00724342">
        <w:rPr>
          <w:rFonts w:eastAsiaTheme="minorHAnsi"/>
          <w:sz w:val="22"/>
          <w:szCs w:val="22"/>
          <w:lang w:eastAsia="en-US"/>
        </w:rPr>
        <w:t>н</w:t>
      </w:r>
      <w:r w:rsidRPr="00724342">
        <w:rPr>
          <w:rFonts w:eastAsiaTheme="minorHAnsi"/>
          <w:sz w:val="22"/>
          <w:szCs w:val="22"/>
          <w:lang w:eastAsia="en-US"/>
        </w:rPr>
        <w:t>ной коровы» и являются любимым детищем влиятельных лиц пре</w:t>
      </w:r>
      <w:r w:rsidRPr="00724342">
        <w:rPr>
          <w:rFonts w:eastAsiaTheme="minorHAnsi"/>
          <w:sz w:val="22"/>
          <w:szCs w:val="22"/>
          <w:lang w:eastAsia="en-US"/>
        </w:rPr>
        <w:t>д</w:t>
      </w:r>
      <w:r w:rsidRPr="00724342">
        <w:rPr>
          <w:rFonts w:eastAsiaTheme="minorHAnsi"/>
          <w:sz w:val="22"/>
          <w:szCs w:val="22"/>
          <w:lang w:eastAsia="en-US"/>
        </w:rPr>
        <w:t xml:space="preserve">приятия </w:t>
      </w:r>
      <w:r w:rsidRPr="00724342">
        <w:rPr>
          <w:rFonts w:eastAsiaTheme="minorHAnsi"/>
          <w:color w:val="000000"/>
          <w:sz w:val="22"/>
          <w:szCs w:val="22"/>
          <w:shd w:val="clear" w:color="auto" w:fill="FFFFFF"/>
          <w:lang w:eastAsia="en-US"/>
        </w:rPr>
        <w:t>[4].</w:t>
      </w:r>
    </w:p>
    <w:p w:rsidR="00724342" w:rsidRPr="00724342" w:rsidRDefault="00724342" w:rsidP="0041627D">
      <w:pPr>
        <w:tabs>
          <w:tab w:val="left" w:pos="851"/>
        </w:tabs>
        <w:ind w:firstLine="426"/>
        <w:jc w:val="both"/>
        <w:rPr>
          <w:rFonts w:eastAsiaTheme="minorHAnsi"/>
          <w:sz w:val="22"/>
          <w:szCs w:val="22"/>
          <w:lang w:eastAsia="en-US"/>
        </w:rPr>
      </w:pPr>
      <w:r w:rsidRPr="00724342">
        <w:rPr>
          <w:rFonts w:eastAsiaTheme="minorHAnsi"/>
          <w:sz w:val="22"/>
          <w:szCs w:val="22"/>
          <w:lang w:eastAsia="en-US"/>
        </w:rPr>
        <w:t>Наконец, портфельная система позволяет устранить конфликт ресурсов в мегапроектной среде. Как правило, проекты реализу</w:t>
      </w:r>
      <w:r w:rsidRPr="00724342">
        <w:rPr>
          <w:rFonts w:eastAsiaTheme="minorHAnsi"/>
          <w:sz w:val="22"/>
          <w:szCs w:val="22"/>
          <w:lang w:eastAsia="en-US"/>
        </w:rPr>
        <w:t>е</w:t>
      </w:r>
      <w:r w:rsidRPr="00724342">
        <w:rPr>
          <w:rFonts w:eastAsiaTheme="minorHAnsi"/>
          <w:sz w:val="22"/>
          <w:szCs w:val="22"/>
          <w:lang w:eastAsia="en-US"/>
        </w:rPr>
        <w:t>мые предприятием, являются взаимозависимыми, предполагающ</w:t>
      </w:r>
      <w:r w:rsidRPr="00724342">
        <w:rPr>
          <w:rFonts w:eastAsiaTheme="minorHAnsi"/>
          <w:sz w:val="22"/>
          <w:szCs w:val="22"/>
          <w:lang w:eastAsia="en-US"/>
        </w:rPr>
        <w:t>и</w:t>
      </w:r>
      <w:r w:rsidRPr="00724342">
        <w:rPr>
          <w:rFonts w:eastAsiaTheme="minorHAnsi"/>
          <w:sz w:val="22"/>
          <w:szCs w:val="22"/>
          <w:lang w:eastAsia="en-US"/>
        </w:rPr>
        <w:t>ми совместное использование ограниченных ресурсов предприятия. Это приводит к приостановке проектов, задержке реализации п</w:t>
      </w:r>
      <w:r w:rsidRPr="00724342">
        <w:rPr>
          <w:rFonts w:eastAsiaTheme="minorHAnsi"/>
          <w:sz w:val="22"/>
          <w:szCs w:val="22"/>
          <w:lang w:eastAsia="en-US"/>
        </w:rPr>
        <w:t>о</w:t>
      </w:r>
      <w:r w:rsidRPr="00724342">
        <w:rPr>
          <w:rFonts w:eastAsiaTheme="minorHAnsi"/>
          <w:sz w:val="22"/>
          <w:szCs w:val="22"/>
          <w:lang w:eastAsia="en-US"/>
        </w:rPr>
        <w:t>ставленных стратегических целей. Кроме того, подрывается дов</w:t>
      </w:r>
      <w:r w:rsidRPr="00724342">
        <w:rPr>
          <w:rFonts w:eastAsiaTheme="minorHAnsi"/>
          <w:sz w:val="22"/>
          <w:szCs w:val="22"/>
          <w:lang w:eastAsia="en-US"/>
        </w:rPr>
        <w:t>е</w:t>
      </w:r>
      <w:r w:rsidRPr="00724342">
        <w:rPr>
          <w:rFonts w:eastAsiaTheme="minorHAnsi"/>
          <w:sz w:val="22"/>
          <w:szCs w:val="22"/>
          <w:lang w:eastAsia="en-US"/>
        </w:rPr>
        <w:t>рие к проекту, страдает морально-психологический климат в орг</w:t>
      </w:r>
      <w:r w:rsidRPr="00724342">
        <w:rPr>
          <w:rFonts w:eastAsiaTheme="minorHAnsi"/>
          <w:sz w:val="22"/>
          <w:szCs w:val="22"/>
          <w:lang w:eastAsia="en-US"/>
        </w:rPr>
        <w:t>а</w:t>
      </w:r>
      <w:r w:rsidRPr="00724342">
        <w:rPr>
          <w:rFonts w:eastAsiaTheme="minorHAnsi"/>
          <w:sz w:val="22"/>
          <w:szCs w:val="22"/>
          <w:lang w:eastAsia="en-US"/>
        </w:rPr>
        <w:t>низации. Только четкая привязка приоритетов к стратегии позволит эффективно использовать ресурсный потенциал предприятия.</w:t>
      </w:r>
    </w:p>
    <w:p w:rsidR="00724342" w:rsidRPr="00724342" w:rsidRDefault="00724342" w:rsidP="0041627D">
      <w:pPr>
        <w:tabs>
          <w:tab w:val="left" w:pos="851"/>
        </w:tabs>
        <w:ind w:firstLine="426"/>
        <w:jc w:val="both"/>
        <w:rPr>
          <w:rFonts w:eastAsiaTheme="minorHAnsi"/>
          <w:sz w:val="22"/>
          <w:szCs w:val="22"/>
          <w:lang w:eastAsia="en-US"/>
        </w:rPr>
      </w:pPr>
      <w:r w:rsidRPr="00724342">
        <w:rPr>
          <w:rFonts w:eastAsiaTheme="minorHAnsi"/>
          <w:sz w:val="22"/>
          <w:szCs w:val="22"/>
          <w:lang w:eastAsia="en-US"/>
        </w:rPr>
        <w:t>Таким образом, сложная социально-экономическая среда функционирования предприятий требует использования совреме</w:t>
      </w:r>
      <w:r w:rsidRPr="00724342">
        <w:rPr>
          <w:rFonts w:eastAsiaTheme="minorHAnsi"/>
          <w:sz w:val="22"/>
          <w:szCs w:val="22"/>
          <w:lang w:eastAsia="en-US"/>
        </w:rPr>
        <w:t>н</w:t>
      </w:r>
      <w:r w:rsidRPr="00724342">
        <w:rPr>
          <w:rFonts w:eastAsiaTheme="minorHAnsi"/>
          <w:sz w:val="22"/>
          <w:szCs w:val="22"/>
          <w:lang w:eastAsia="en-US"/>
        </w:rPr>
        <w:t>ных методов обоснования инвестиций, что позволяет решить стр</w:t>
      </w:r>
      <w:r w:rsidRPr="00724342">
        <w:rPr>
          <w:rFonts w:eastAsiaTheme="minorHAnsi"/>
          <w:sz w:val="22"/>
          <w:szCs w:val="22"/>
          <w:lang w:eastAsia="en-US"/>
        </w:rPr>
        <w:t>а</w:t>
      </w:r>
      <w:r w:rsidRPr="00724342">
        <w:rPr>
          <w:rFonts w:eastAsiaTheme="minorHAnsi"/>
          <w:sz w:val="22"/>
          <w:szCs w:val="22"/>
          <w:lang w:eastAsia="en-US"/>
        </w:rPr>
        <w:t xml:space="preserve">тегические задачи предприятия. </w:t>
      </w:r>
    </w:p>
    <w:p w:rsidR="00724342" w:rsidRPr="00724342" w:rsidRDefault="00724342" w:rsidP="0041627D">
      <w:pPr>
        <w:tabs>
          <w:tab w:val="left" w:pos="851"/>
        </w:tabs>
        <w:ind w:firstLine="426"/>
        <w:jc w:val="both"/>
        <w:rPr>
          <w:rFonts w:eastAsiaTheme="minorHAnsi"/>
          <w:sz w:val="22"/>
          <w:szCs w:val="22"/>
          <w:lang w:eastAsia="en-US"/>
        </w:rPr>
      </w:pPr>
    </w:p>
    <w:p w:rsidR="00724342" w:rsidRPr="00724342" w:rsidRDefault="00724342" w:rsidP="0041627D">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41627D">
      <w:pPr>
        <w:tabs>
          <w:tab w:val="left" w:pos="0"/>
          <w:tab w:val="left" w:pos="709"/>
          <w:tab w:val="left" w:pos="851"/>
          <w:tab w:val="left" w:pos="993"/>
        </w:tabs>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1. Пелихов Я. В. </w:t>
      </w:r>
      <w:hyperlink r:id="rId253" w:history="1">
        <w:r w:rsidRPr="00724342">
          <w:rPr>
            <w:rFonts w:eastAsiaTheme="minorHAnsi"/>
            <w:sz w:val="22"/>
            <w:szCs w:val="22"/>
            <w:lang w:eastAsia="en-US"/>
          </w:rPr>
          <w:t>Инвестиционная деятельность в аграрном се</w:t>
        </w:r>
        <w:r w:rsidRPr="00724342">
          <w:rPr>
            <w:rFonts w:eastAsiaTheme="minorHAnsi"/>
            <w:sz w:val="22"/>
            <w:szCs w:val="22"/>
            <w:lang w:eastAsia="en-US"/>
          </w:rPr>
          <w:t>к</w:t>
        </w:r>
        <w:r w:rsidRPr="00724342">
          <w:rPr>
            <w:rFonts w:eastAsiaTheme="minorHAnsi"/>
            <w:sz w:val="22"/>
            <w:szCs w:val="22"/>
            <w:lang w:eastAsia="en-US"/>
          </w:rPr>
          <w:t>торе экономики</w:t>
        </w:r>
      </w:hyperlink>
      <w:r w:rsidRPr="00724342">
        <w:rPr>
          <w:rFonts w:eastAsiaTheme="minorHAnsi"/>
          <w:color w:val="000000" w:themeColor="text1"/>
          <w:sz w:val="22"/>
          <w:szCs w:val="22"/>
          <w:lang w:eastAsia="en-US"/>
        </w:rPr>
        <w:t> / Я. В. Пелихов, Г. Н. Литвиненко // </w:t>
      </w:r>
      <w:hyperlink r:id="rId254" w:history="1">
        <w:r w:rsidRPr="00724342">
          <w:rPr>
            <w:rFonts w:eastAsiaTheme="minorHAnsi"/>
            <w:sz w:val="22"/>
            <w:szCs w:val="22"/>
            <w:lang w:eastAsia="en-US"/>
          </w:rPr>
          <w:t>Роль банко</w:t>
        </w:r>
        <w:r w:rsidRPr="00724342">
          <w:rPr>
            <w:rFonts w:eastAsiaTheme="minorHAnsi"/>
            <w:sz w:val="22"/>
            <w:szCs w:val="22"/>
            <w:lang w:eastAsia="en-US"/>
          </w:rPr>
          <w:t>в</w:t>
        </w:r>
        <w:r w:rsidRPr="00724342">
          <w:rPr>
            <w:rFonts w:eastAsiaTheme="minorHAnsi"/>
            <w:sz w:val="22"/>
            <w:szCs w:val="22"/>
            <w:lang w:eastAsia="en-US"/>
          </w:rPr>
          <w:t>ского и реального сектора в решении проблем социально-экономического развития</w:t>
        </w:r>
      </w:hyperlink>
      <w:r w:rsidRPr="00724342">
        <w:rPr>
          <w:rFonts w:eastAsiaTheme="minorHAnsi"/>
          <w:color w:val="000000" w:themeColor="text1"/>
          <w:sz w:val="22"/>
          <w:szCs w:val="22"/>
          <w:lang w:eastAsia="en-US"/>
        </w:rPr>
        <w:t xml:space="preserve"> : сб. ст. междунар. науч.-практ. конф.  – Омск, 2017. – С. 40-43.</w:t>
      </w:r>
    </w:p>
    <w:p w:rsidR="00724342" w:rsidRPr="00724342" w:rsidRDefault="00724342" w:rsidP="0041627D">
      <w:pPr>
        <w:tabs>
          <w:tab w:val="left" w:pos="0"/>
          <w:tab w:val="left" w:pos="709"/>
          <w:tab w:val="left" w:pos="851"/>
          <w:tab w:val="left" w:pos="993"/>
        </w:tabs>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2. Соколова А. П. Управление рисками производственной де</w:t>
      </w:r>
      <w:r w:rsidRPr="00724342">
        <w:rPr>
          <w:rFonts w:eastAsiaTheme="minorHAnsi"/>
          <w:color w:val="000000" w:themeColor="text1"/>
          <w:sz w:val="22"/>
          <w:szCs w:val="22"/>
          <w:lang w:eastAsia="en-US"/>
        </w:rPr>
        <w:t>я</w:t>
      </w:r>
      <w:r w:rsidRPr="00724342">
        <w:rPr>
          <w:rFonts w:eastAsiaTheme="minorHAnsi"/>
          <w:color w:val="000000" w:themeColor="text1"/>
          <w:sz w:val="22"/>
          <w:szCs w:val="22"/>
          <w:lang w:eastAsia="en-US"/>
        </w:rPr>
        <w:t xml:space="preserve">тельности в аграрном секторе экономики / А. П. Соколова, В. Г. Ветер // Закономерности и тенденции формирования системы </w:t>
      </w:r>
      <w:r w:rsidRPr="00724342">
        <w:rPr>
          <w:rFonts w:eastAsiaTheme="minorHAnsi"/>
          <w:color w:val="000000" w:themeColor="text1"/>
          <w:sz w:val="22"/>
          <w:szCs w:val="22"/>
          <w:lang w:eastAsia="en-US"/>
        </w:rPr>
        <w:lastRenderedPageBreak/>
        <w:t>финансово-кредитных отношений: сб. ст. Междунар. науч.-практ. конф. –Уфа: АЭТЭРНА, 2017. С. 241-250.</w:t>
      </w:r>
    </w:p>
    <w:p w:rsidR="00724342" w:rsidRPr="00724342" w:rsidRDefault="00724342" w:rsidP="0041627D">
      <w:pPr>
        <w:tabs>
          <w:tab w:val="left" w:pos="0"/>
          <w:tab w:val="left" w:pos="709"/>
          <w:tab w:val="left" w:pos="851"/>
          <w:tab w:val="left" w:pos="993"/>
        </w:tabs>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 3. 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w:t>
      </w:r>
      <w:r w:rsidRPr="00724342">
        <w:rPr>
          <w:rFonts w:eastAsiaTheme="minorHAnsi"/>
          <w:color w:val="000000" w:themeColor="text1"/>
          <w:sz w:val="22"/>
          <w:szCs w:val="22"/>
          <w:lang w:eastAsia="en-US"/>
        </w:rPr>
        <w:t>н</w:t>
      </w:r>
      <w:r w:rsidRPr="00724342">
        <w:rPr>
          <w:rFonts w:eastAsiaTheme="minorHAnsi"/>
          <w:color w:val="000000" w:themeColor="text1"/>
          <w:sz w:val="22"/>
          <w:szCs w:val="22"/>
          <w:lang w:eastAsia="en-US"/>
        </w:rPr>
        <w:t>ского государственного аграрного университета. – 2013. – № 42. – С. 38–41.</w:t>
      </w:r>
    </w:p>
    <w:p w:rsidR="00724342" w:rsidRPr="00724342" w:rsidRDefault="00724342" w:rsidP="0041627D">
      <w:pPr>
        <w:shd w:val="clear" w:color="auto" w:fill="FFFFFF"/>
        <w:tabs>
          <w:tab w:val="left" w:pos="0"/>
          <w:tab w:val="left" w:pos="709"/>
          <w:tab w:val="left" w:pos="851"/>
        </w:tabs>
        <w:ind w:firstLine="426"/>
        <w:jc w:val="both"/>
        <w:rPr>
          <w:rFonts w:eastAsiaTheme="minorHAnsi"/>
          <w:color w:val="000000" w:themeColor="text1"/>
          <w:lang w:eastAsia="en-US"/>
        </w:rPr>
      </w:pPr>
      <w:r w:rsidRPr="00724342">
        <w:rPr>
          <w:rFonts w:eastAsiaTheme="minorHAnsi"/>
          <w:color w:val="000000" w:themeColor="text1"/>
          <w:sz w:val="22"/>
          <w:szCs w:val="22"/>
          <w:shd w:val="clear" w:color="auto" w:fill="FFFFFF"/>
          <w:lang w:eastAsia="en-US"/>
        </w:rPr>
        <w:t>4. Сухарева О. А. Подходы к управлению реализацией инв</w:t>
      </w:r>
      <w:r w:rsidRPr="00724342">
        <w:rPr>
          <w:rFonts w:eastAsiaTheme="minorHAnsi"/>
          <w:color w:val="000000" w:themeColor="text1"/>
          <w:sz w:val="22"/>
          <w:szCs w:val="22"/>
          <w:shd w:val="clear" w:color="auto" w:fill="FFFFFF"/>
          <w:lang w:eastAsia="en-US"/>
        </w:rPr>
        <w:t>е</w:t>
      </w:r>
      <w:r w:rsidRPr="00724342">
        <w:rPr>
          <w:rFonts w:eastAsiaTheme="minorHAnsi"/>
          <w:color w:val="000000" w:themeColor="text1"/>
          <w:sz w:val="22"/>
          <w:szCs w:val="22"/>
          <w:shd w:val="clear" w:color="auto" w:fill="FFFFFF"/>
          <w:lang w:eastAsia="en-US"/>
        </w:rPr>
        <w:t>стиционного проекта в условиях неопределенности внешней среды / О. А. Сухарева, К. М. Малинник // Проблемы и перспективы экон</w:t>
      </w:r>
      <w:r w:rsidRPr="00724342">
        <w:rPr>
          <w:rFonts w:eastAsiaTheme="minorHAnsi"/>
          <w:color w:val="000000" w:themeColor="text1"/>
          <w:sz w:val="22"/>
          <w:szCs w:val="22"/>
          <w:shd w:val="clear" w:color="auto" w:fill="FFFFFF"/>
          <w:lang w:eastAsia="en-US"/>
        </w:rPr>
        <w:t>о</w:t>
      </w:r>
      <w:r w:rsidRPr="00724342">
        <w:rPr>
          <w:rFonts w:eastAsiaTheme="minorHAnsi"/>
          <w:color w:val="000000" w:themeColor="text1"/>
          <w:sz w:val="22"/>
          <w:szCs w:val="22"/>
          <w:shd w:val="clear" w:color="auto" w:fill="FFFFFF"/>
          <w:lang w:eastAsia="en-US"/>
        </w:rPr>
        <w:t>мических отношений на пространстве ЕАЭС: сб. ст. Междунар. науч.-практ. конф.. – Уфа, 2017. – С. 136-141.</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rPr>
          <w:color w:val="000000"/>
          <w:sz w:val="22"/>
          <w:szCs w:val="22"/>
        </w:rPr>
      </w:pPr>
      <w:r w:rsidRPr="00724342">
        <w:rPr>
          <w:color w:val="000000"/>
          <w:sz w:val="22"/>
          <w:szCs w:val="22"/>
        </w:rPr>
        <w:t>УДК 338.984</w:t>
      </w:r>
    </w:p>
    <w:p w:rsidR="00724342" w:rsidRPr="00724342" w:rsidRDefault="00724342" w:rsidP="00724342">
      <w:pPr>
        <w:widowControl w:val="0"/>
        <w:jc w:val="center"/>
        <w:rPr>
          <w:color w:val="000000"/>
          <w:sz w:val="24"/>
          <w:szCs w:val="24"/>
        </w:rPr>
      </w:pPr>
    </w:p>
    <w:p w:rsidR="00724342" w:rsidRPr="00724342" w:rsidRDefault="00724342" w:rsidP="00724342">
      <w:pPr>
        <w:widowControl w:val="0"/>
        <w:jc w:val="center"/>
        <w:rPr>
          <w:b/>
          <w:sz w:val="24"/>
          <w:szCs w:val="24"/>
        </w:rPr>
      </w:pPr>
      <w:r w:rsidRPr="00724342">
        <w:rPr>
          <w:b/>
          <w:sz w:val="24"/>
          <w:szCs w:val="24"/>
        </w:rPr>
        <w:t xml:space="preserve">Принятие управленческих решений </w:t>
      </w:r>
    </w:p>
    <w:p w:rsidR="00724342" w:rsidRPr="00724342" w:rsidRDefault="00724342" w:rsidP="00724342">
      <w:pPr>
        <w:widowControl w:val="0"/>
        <w:jc w:val="center"/>
        <w:rPr>
          <w:b/>
          <w:sz w:val="24"/>
          <w:szCs w:val="24"/>
        </w:rPr>
      </w:pPr>
      <w:r w:rsidRPr="00724342">
        <w:rPr>
          <w:b/>
          <w:sz w:val="24"/>
          <w:szCs w:val="24"/>
        </w:rPr>
        <w:t>в наукоемких предприятиях</w:t>
      </w:r>
    </w:p>
    <w:p w:rsidR="00724342" w:rsidRPr="0041627D" w:rsidRDefault="00724342" w:rsidP="00724342">
      <w:pPr>
        <w:widowControl w:val="0"/>
        <w:jc w:val="center"/>
        <w:rPr>
          <w:b/>
          <w:sz w:val="24"/>
          <w:szCs w:val="24"/>
          <w:lang w:val="en-US"/>
        </w:rPr>
      </w:pPr>
      <w:r w:rsidRPr="0041627D">
        <w:rPr>
          <w:b/>
          <w:sz w:val="24"/>
          <w:szCs w:val="24"/>
          <w:lang w:val="en-US"/>
        </w:rPr>
        <w:t>Adoption of managerial decisions</w:t>
      </w:r>
    </w:p>
    <w:p w:rsidR="00724342" w:rsidRPr="0041627D" w:rsidRDefault="00724342" w:rsidP="00724342">
      <w:pPr>
        <w:widowControl w:val="0"/>
        <w:jc w:val="center"/>
        <w:rPr>
          <w:b/>
          <w:sz w:val="24"/>
          <w:szCs w:val="24"/>
          <w:lang w:val="en-US"/>
        </w:rPr>
      </w:pPr>
      <w:r w:rsidRPr="0041627D">
        <w:rPr>
          <w:b/>
          <w:sz w:val="24"/>
          <w:szCs w:val="24"/>
          <w:lang w:val="en-US"/>
        </w:rPr>
        <w:t>in high technology enterprises</w:t>
      </w:r>
    </w:p>
    <w:p w:rsidR="00724342" w:rsidRPr="0041627D" w:rsidRDefault="00724342" w:rsidP="00724342">
      <w:pPr>
        <w:widowControl w:val="0"/>
        <w:jc w:val="both"/>
        <w:rPr>
          <w:b/>
          <w:sz w:val="24"/>
          <w:szCs w:val="24"/>
          <w:lang w:val="en-US"/>
        </w:rPr>
      </w:pPr>
    </w:p>
    <w:p w:rsidR="00724342" w:rsidRPr="00497C98" w:rsidRDefault="00724342" w:rsidP="00724342">
      <w:pPr>
        <w:widowControl w:val="0"/>
        <w:jc w:val="right"/>
        <w:rPr>
          <w:color w:val="000000"/>
          <w:sz w:val="22"/>
          <w:szCs w:val="22"/>
        </w:rPr>
      </w:pPr>
      <w:r w:rsidRPr="00724342">
        <w:rPr>
          <w:color w:val="000000"/>
          <w:sz w:val="22"/>
          <w:szCs w:val="22"/>
        </w:rPr>
        <w:t>Гильштейн</w:t>
      </w:r>
      <w:r w:rsidRPr="00497C98">
        <w:rPr>
          <w:color w:val="000000"/>
          <w:sz w:val="22"/>
          <w:szCs w:val="22"/>
        </w:rPr>
        <w:t xml:space="preserve"> </w:t>
      </w:r>
      <w:r w:rsidRPr="00724342">
        <w:rPr>
          <w:color w:val="000000"/>
          <w:sz w:val="22"/>
          <w:szCs w:val="22"/>
        </w:rPr>
        <w:t>А</w:t>
      </w:r>
      <w:r w:rsidRPr="00497C98">
        <w:rPr>
          <w:color w:val="000000"/>
          <w:sz w:val="22"/>
          <w:szCs w:val="22"/>
        </w:rPr>
        <w:t>.</w:t>
      </w:r>
      <w:r w:rsidRPr="00724342">
        <w:rPr>
          <w:color w:val="000000"/>
          <w:sz w:val="22"/>
          <w:szCs w:val="22"/>
          <w:lang w:val="en-US"/>
        </w:rPr>
        <w:t> </w:t>
      </w:r>
      <w:r w:rsidRPr="00724342">
        <w:rPr>
          <w:color w:val="000000"/>
          <w:sz w:val="22"/>
          <w:szCs w:val="22"/>
        </w:rPr>
        <w:t>С</w:t>
      </w:r>
      <w:r w:rsidRPr="00497C98">
        <w:rPr>
          <w:color w:val="000000"/>
          <w:sz w:val="22"/>
          <w:szCs w:val="22"/>
        </w:rPr>
        <w:t>.,</w:t>
      </w:r>
    </w:p>
    <w:p w:rsidR="00724342" w:rsidRPr="00724342" w:rsidRDefault="00724342" w:rsidP="00724342">
      <w:pPr>
        <w:jc w:val="right"/>
        <w:rPr>
          <w:sz w:val="22"/>
          <w:szCs w:val="22"/>
        </w:rPr>
      </w:pPr>
      <w:r w:rsidRPr="00724342">
        <w:rPr>
          <w:sz w:val="22"/>
          <w:szCs w:val="22"/>
        </w:rPr>
        <w:t>студентка 3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right"/>
        <w:rPr>
          <w:sz w:val="22"/>
          <w:szCs w:val="22"/>
        </w:rPr>
      </w:pPr>
    </w:p>
    <w:p w:rsidR="00724342" w:rsidRPr="00724342" w:rsidRDefault="00724342" w:rsidP="0041627D">
      <w:pPr>
        <w:ind w:firstLine="426"/>
        <w:jc w:val="both"/>
        <w:rPr>
          <w:sz w:val="22"/>
          <w:szCs w:val="22"/>
        </w:rPr>
      </w:pPr>
      <w:r w:rsidRPr="00724342">
        <w:rPr>
          <w:caps/>
          <w:color w:val="000000"/>
          <w:sz w:val="22"/>
          <w:szCs w:val="22"/>
        </w:rPr>
        <w:t>Аннотация</w:t>
      </w:r>
      <w:r w:rsidRPr="00724342">
        <w:rPr>
          <w:color w:val="000000"/>
          <w:sz w:val="22"/>
          <w:szCs w:val="22"/>
        </w:rPr>
        <w:t>:</w:t>
      </w:r>
      <w:r w:rsidRPr="00724342">
        <w:rPr>
          <w:sz w:val="22"/>
          <w:szCs w:val="22"/>
        </w:rPr>
        <w:t xml:space="preserve"> представлены принципы формирования орг</w:t>
      </w:r>
      <w:r w:rsidRPr="00724342">
        <w:rPr>
          <w:sz w:val="22"/>
          <w:szCs w:val="22"/>
        </w:rPr>
        <w:t>а</w:t>
      </w:r>
      <w:r w:rsidRPr="00724342">
        <w:rPr>
          <w:sz w:val="22"/>
          <w:szCs w:val="22"/>
        </w:rPr>
        <w:t>низационно-экономического механизма принятия управленческих решений в высокотехнологичном наукоемком производстве.</w:t>
      </w:r>
    </w:p>
    <w:p w:rsidR="00724342" w:rsidRPr="00724342" w:rsidRDefault="00724342" w:rsidP="0041627D">
      <w:pPr>
        <w:ind w:firstLine="426"/>
        <w:jc w:val="both"/>
        <w:rPr>
          <w:sz w:val="22"/>
          <w:szCs w:val="22"/>
          <w:lang w:val="en-US"/>
        </w:rPr>
      </w:pPr>
      <w:r w:rsidRPr="00724342">
        <w:rPr>
          <w:caps/>
          <w:sz w:val="22"/>
          <w:szCs w:val="22"/>
          <w:lang w:val="en-US"/>
        </w:rPr>
        <w:t>Abstract:</w:t>
      </w:r>
      <w:r w:rsidRPr="00724342">
        <w:rPr>
          <w:sz w:val="22"/>
          <w:szCs w:val="22"/>
          <w:lang w:val="en-US"/>
        </w:rPr>
        <w:t xml:space="preserve"> The article contains the principles of forming the o</w:t>
      </w:r>
      <w:r w:rsidRPr="00724342">
        <w:rPr>
          <w:sz w:val="22"/>
          <w:szCs w:val="22"/>
          <w:lang w:val="en-US"/>
        </w:rPr>
        <w:t>r</w:t>
      </w:r>
      <w:r w:rsidRPr="00724342">
        <w:rPr>
          <w:sz w:val="22"/>
          <w:szCs w:val="22"/>
          <w:lang w:val="en-US"/>
        </w:rPr>
        <w:t>ganizational and economic mechanism for making managerial decisions in high-tech science-intensive production.</w:t>
      </w:r>
    </w:p>
    <w:p w:rsidR="00724342" w:rsidRPr="00724342" w:rsidRDefault="00724342" w:rsidP="0041627D">
      <w:pPr>
        <w:tabs>
          <w:tab w:val="left" w:pos="4536"/>
        </w:tabs>
        <w:ind w:firstLine="426"/>
        <w:jc w:val="both"/>
        <w:rPr>
          <w:sz w:val="22"/>
          <w:szCs w:val="22"/>
        </w:rPr>
      </w:pPr>
      <w:r w:rsidRPr="00724342">
        <w:rPr>
          <w:caps/>
          <w:sz w:val="22"/>
          <w:szCs w:val="22"/>
        </w:rPr>
        <w:t>Ключевые слова</w:t>
      </w:r>
      <w:r w:rsidRPr="00724342">
        <w:rPr>
          <w:sz w:val="22"/>
          <w:szCs w:val="22"/>
        </w:rPr>
        <w:t>: наукоемкое высокотехнологичное пре</w:t>
      </w:r>
      <w:r w:rsidRPr="00724342">
        <w:rPr>
          <w:sz w:val="22"/>
          <w:szCs w:val="22"/>
        </w:rPr>
        <w:t>д</w:t>
      </w:r>
      <w:r w:rsidRPr="00724342">
        <w:rPr>
          <w:sz w:val="22"/>
          <w:szCs w:val="22"/>
        </w:rPr>
        <w:t>приятие, организационно-экономический механизм, принятие управленческих решений.</w:t>
      </w:r>
    </w:p>
    <w:p w:rsidR="00724342" w:rsidRPr="00724342" w:rsidRDefault="00724342" w:rsidP="0041627D">
      <w:pPr>
        <w:spacing w:after="120"/>
        <w:ind w:firstLine="426"/>
        <w:jc w:val="both"/>
        <w:rPr>
          <w:sz w:val="22"/>
          <w:szCs w:val="22"/>
          <w:lang w:val="en-US"/>
        </w:rPr>
      </w:pPr>
      <w:r w:rsidRPr="00724342">
        <w:rPr>
          <w:caps/>
          <w:sz w:val="22"/>
          <w:szCs w:val="22"/>
          <w:lang w:val="en-US"/>
        </w:rPr>
        <w:lastRenderedPageBreak/>
        <w:t>Key words:</w:t>
      </w:r>
      <w:r w:rsidRPr="00724342">
        <w:rPr>
          <w:sz w:val="22"/>
          <w:szCs w:val="22"/>
          <w:lang w:val="en-US"/>
        </w:rPr>
        <w:t xml:space="preserve"> high technology enterprise, organizational and ec</w:t>
      </w:r>
      <w:r w:rsidRPr="00724342">
        <w:rPr>
          <w:sz w:val="22"/>
          <w:szCs w:val="22"/>
          <w:lang w:val="en-US"/>
        </w:rPr>
        <w:t>o</w:t>
      </w:r>
      <w:r w:rsidRPr="00724342">
        <w:rPr>
          <w:sz w:val="22"/>
          <w:szCs w:val="22"/>
          <w:lang w:val="en-US"/>
        </w:rPr>
        <w:t>nomic mechanism, the adoption of managerial decisions.</w:t>
      </w:r>
    </w:p>
    <w:p w:rsidR="00724342" w:rsidRPr="00724342" w:rsidRDefault="00724342" w:rsidP="0041627D">
      <w:pPr>
        <w:widowControl w:val="0"/>
        <w:ind w:firstLine="426"/>
        <w:jc w:val="both"/>
        <w:rPr>
          <w:color w:val="000000"/>
          <w:sz w:val="22"/>
          <w:szCs w:val="22"/>
        </w:rPr>
      </w:pPr>
      <w:r w:rsidRPr="00724342">
        <w:rPr>
          <w:color w:val="000000"/>
          <w:sz w:val="22"/>
          <w:szCs w:val="22"/>
        </w:rPr>
        <w:t>Эффективное управление высокотехнологичным предприятием заключается в разработке и реализации приемлемых управленч</w:t>
      </w:r>
      <w:r w:rsidRPr="00724342">
        <w:rPr>
          <w:color w:val="000000"/>
          <w:sz w:val="22"/>
          <w:szCs w:val="22"/>
        </w:rPr>
        <w:t>е</w:t>
      </w:r>
      <w:r w:rsidRPr="00724342">
        <w:rPr>
          <w:color w:val="000000"/>
          <w:sz w:val="22"/>
          <w:szCs w:val="22"/>
        </w:rPr>
        <w:t>ских решений для обеспечения устойчивого функционирования и конкурентоспособности продукции высокотехнологичного пре</w:t>
      </w:r>
      <w:r w:rsidRPr="00724342">
        <w:rPr>
          <w:color w:val="000000"/>
          <w:sz w:val="22"/>
          <w:szCs w:val="22"/>
        </w:rPr>
        <w:t>д</w:t>
      </w:r>
      <w:r w:rsidRPr="00724342">
        <w:rPr>
          <w:color w:val="000000"/>
          <w:sz w:val="22"/>
          <w:szCs w:val="22"/>
        </w:rPr>
        <w:t>приятия. Учитывая специфические особенности управления прои</w:t>
      </w:r>
      <w:r w:rsidRPr="00724342">
        <w:rPr>
          <w:color w:val="000000"/>
          <w:sz w:val="22"/>
          <w:szCs w:val="22"/>
        </w:rPr>
        <w:t>з</w:t>
      </w:r>
      <w:r w:rsidRPr="00724342">
        <w:rPr>
          <w:color w:val="000000"/>
          <w:sz w:val="22"/>
          <w:szCs w:val="22"/>
        </w:rPr>
        <w:t>водством с высоким уровнем инновационной деятельности, важной задачей становится разработка организационно-экономического механизма принятия решений, отвечающего современным тенде</w:t>
      </w:r>
      <w:r w:rsidRPr="00724342">
        <w:rPr>
          <w:color w:val="000000"/>
          <w:sz w:val="22"/>
          <w:szCs w:val="22"/>
        </w:rPr>
        <w:t>н</w:t>
      </w:r>
      <w:r w:rsidRPr="00724342">
        <w:rPr>
          <w:color w:val="000000"/>
          <w:sz w:val="22"/>
          <w:szCs w:val="22"/>
        </w:rPr>
        <w:t>циям управления таким производством, включая активное испол</w:t>
      </w:r>
      <w:r w:rsidRPr="00724342">
        <w:rPr>
          <w:color w:val="000000"/>
          <w:sz w:val="22"/>
          <w:szCs w:val="22"/>
        </w:rPr>
        <w:t>ь</w:t>
      </w:r>
      <w:r w:rsidRPr="00724342">
        <w:rPr>
          <w:color w:val="000000"/>
          <w:sz w:val="22"/>
          <w:szCs w:val="22"/>
        </w:rPr>
        <w:t>зование средств автоматизации и роботизации производственных процессов, использование программных продуктов, создание усл</w:t>
      </w:r>
      <w:r w:rsidRPr="00724342">
        <w:rPr>
          <w:color w:val="000000"/>
          <w:sz w:val="22"/>
          <w:szCs w:val="22"/>
        </w:rPr>
        <w:t>о</w:t>
      </w:r>
      <w:r w:rsidRPr="00724342">
        <w:rPr>
          <w:color w:val="000000"/>
          <w:sz w:val="22"/>
          <w:szCs w:val="22"/>
        </w:rPr>
        <w:t>вий для ускоренного роста человеческого капитала и др. [1, 2].</w:t>
      </w:r>
    </w:p>
    <w:p w:rsidR="00724342" w:rsidRPr="00724342" w:rsidRDefault="00724342" w:rsidP="0041627D">
      <w:pPr>
        <w:widowControl w:val="0"/>
        <w:ind w:firstLine="426"/>
        <w:jc w:val="both"/>
        <w:rPr>
          <w:color w:val="000000"/>
          <w:sz w:val="22"/>
          <w:szCs w:val="22"/>
        </w:rPr>
      </w:pPr>
      <w:r w:rsidRPr="00724342">
        <w:rPr>
          <w:color w:val="000000"/>
          <w:sz w:val="22"/>
          <w:szCs w:val="22"/>
        </w:rPr>
        <w:t>Принятие управленческих решений в высокотехнологичном производстве это сложный и многоуровневый процесс, который состоит из последовательных взаимосвязанных этапов, выполнение которых непосредственно зависит от полученных результатов на предшествующих этапах [3, 4].</w:t>
      </w:r>
    </w:p>
    <w:p w:rsidR="00724342" w:rsidRPr="00724342" w:rsidRDefault="00724342" w:rsidP="0041627D">
      <w:pPr>
        <w:widowControl w:val="0"/>
        <w:ind w:firstLine="426"/>
        <w:jc w:val="both"/>
        <w:rPr>
          <w:color w:val="000000"/>
          <w:sz w:val="22"/>
          <w:szCs w:val="22"/>
        </w:rPr>
      </w:pPr>
      <w:r w:rsidRPr="00724342">
        <w:rPr>
          <w:color w:val="000000"/>
          <w:sz w:val="22"/>
          <w:szCs w:val="22"/>
        </w:rPr>
        <w:t>В научной литературе, посвященной проблемам управления производством высокотехнологичной и наукоемкой продукции, термин «организационно-экономический механизм» встречается довольно часто и имеет различные трактовки. Стоит отметить, что в сферах производства с относительно невысоким технологическим укладом система организационно-экономического механизма более или менее налажена и его составляющие в значительной степени изучены. Так, большинство авторов выделяют организационную и экономическую подсистемы этого механизма, а другие – социально-экономическую и организационно-правовую. При этом в сфере наиболее передового инновационного производства по-прежнему нет опыта разработки и реализации такого механизма.</w:t>
      </w:r>
    </w:p>
    <w:p w:rsidR="00724342" w:rsidRPr="00724342" w:rsidRDefault="00724342" w:rsidP="0041627D">
      <w:pPr>
        <w:widowControl w:val="0"/>
        <w:ind w:firstLine="426"/>
        <w:jc w:val="both"/>
        <w:rPr>
          <w:color w:val="000000"/>
          <w:sz w:val="22"/>
          <w:szCs w:val="22"/>
        </w:rPr>
      </w:pPr>
      <w:r w:rsidRPr="00724342">
        <w:rPr>
          <w:color w:val="000000"/>
          <w:sz w:val="22"/>
          <w:szCs w:val="22"/>
        </w:rPr>
        <w:t>Основываясь на обобщении разработок ученых и анализе м</w:t>
      </w:r>
      <w:r w:rsidRPr="00724342">
        <w:rPr>
          <w:color w:val="000000"/>
          <w:sz w:val="22"/>
          <w:szCs w:val="22"/>
        </w:rPr>
        <w:t>е</w:t>
      </w:r>
      <w:r w:rsidRPr="00724342">
        <w:rPr>
          <w:color w:val="000000"/>
          <w:sz w:val="22"/>
          <w:szCs w:val="22"/>
        </w:rPr>
        <w:t>ханизма принятия решений, выделим следующие принципы упра</w:t>
      </w:r>
      <w:r w:rsidRPr="00724342">
        <w:rPr>
          <w:color w:val="000000"/>
          <w:sz w:val="22"/>
          <w:szCs w:val="22"/>
        </w:rPr>
        <w:t>в</w:t>
      </w:r>
      <w:r w:rsidRPr="00724342">
        <w:rPr>
          <w:color w:val="000000"/>
          <w:sz w:val="22"/>
          <w:szCs w:val="22"/>
        </w:rPr>
        <w:t xml:space="preserve">ления наукоемкими предприятиями [2, 3]. </w:t>
      </w:r>
    </w:p>
    <w:p w:rsidR="00724342" w:rsidRPr="00724342" w:rsidRDefault="00724342" w:rsidP="0041627D">
      <w:pPr>
        <w:widowControl w:val="0"/>
        <w:ind w:firstLine="426"/>
        <w:jc w:val="both"/>
        <w:rPr>
          <w:color w:val="000000"/>
          <w:sz w:val="22"/>
          <w:szCs w:val="22"/>
        </w:rPr>
      </w:pPr>
      <w:r w:rsidRPr="00724342">
        <w:rPr>
          <w:color w:val="000000"/>
          <w:sz w:val="22"/>
          <w:szCs w:val="22"/>
        </w:rPr>
        <w:t>1. Ориентация на инновационные процессы, связанные с разр</w:t>
      </w:r>
      <w:r w:rsidRPr="00724342">
        <w:rPr>
          <w:color w:val="000000"/>
          <w:sz w:val="22"/>
          <w:szCs w:val="22"/>
        </w:rPr>
        <w:t>а</w:t>
      </w:r>
      <w:r w:rsidRPr="00724342">
        <w:rPr>
          <w:color w:val="000000"/>
          <w:sz w:val="22"/>
          <w:szCs w:val="22"/>
        </w:rPr>
        <w:t>боткой и освоением технологических инноваций, а также с разр</w:t>
      </w:r>
      <w:r w:rsidRPr="00724342">
        <w:rPr>
          <w:color w:val="000000"/>
          <w:sz w:val="22"/>
          <w:szCs w:val="22"/>
        </w:rPr>
        <w:t>а</w:t>
      </w:r>
      <w:r w:rsidRPr="00724342">
        <w:rPr>
          <w:color w:val="000000"/>
          <w:sz w:val="22"/>
          <w:szCs w:val="22"/>
        </w:rPr>
        <w:t xml:space="preserve">боткой и коммерциализацией конечной наукоемкой продукции. С </w:t>
      </w:r>
      <w:r w:rsidRPr="00724342">
        <w:rPr>
          <w:color w:val="000000"/>
          <w:sz w:val="22"/>
          <w:szCs w:val="22"/>
        </w:rPr>
        <w:lastRenderedPageBreak/>
        <w:t>учетом имеющегося в настоящее время инновационного потенциала конкурентная стратегия отечественных наукоемких предприятий должна быть направлена на разработку и реализацию собственной инновационного продукции мирового уровня, в противном случае технико-технологическое отставание России от экономически ра</w:t>
      </w:r>
      <w:r w:rsidRPr="00724342">
        <w:rPr>
          <w:color w:val="000000"/>
          <w:sz w:val="22"/>
          <w:szCs w:val="22"/>
        </w:rPr>
        <w:t>з</w:t>
      </w:r>
      <w:r w:rsidRPr="00724342">
        <w:rPr>
          <w:color w:val="000000"/>
          <w:sz w:val="22"/>
          <w:szCs w:val="22"/>
        </w:rPr>
        <w:t>витых стран Запада будет только усиливаться.</w:t>
      </w:r>
    </w:p>
    <w:p w:rsidR="00724342" w:rsidRPr="00724342" w:rsidRDefault="00724342" w:rsidP="0041627D">
      <w:pPr>
        <w:widowControl w:val="0"/>
        <w:ind w:firstLine="426"/>
        <w:jc w:val="both"/>
        <w:rPr>
          <w:color w:val="000000"/>
          <w:sz w:val="22"/>
          <w:szCs w:val="22"/>
        </w:rPr>
      </w:pPr>
      <w:r w:rsidRPr="00724342">
        <w:rPr>
          <w:color w:val="000000"/>
          <w:sz w:val="22"/>
          <w:szCs w:val="22"/>
        </w:rPr>
        <w:t>2. Приоритетность разработки и внедрения инвестиционных проектов инновационной направленности. Такие проекты имеют наибольший потенциал прибыли, однако вместе с тем характериз</w:t>
      </w:r>
      <w:r w:rsidRPr="00724342">
        <w:rPr>
          <w:color w:val="000000"/>
          <w:sz w:val="22"/>
          <w:szCs w:val="22"/>
        </w:rPr>
        <w:t>у</w:t>
      </w:r>
      <w:r w:rsidRPr="00724342">
        <w:rPr>
          <w:color w:val="000000"/>
          <w:sz w:val="22"/>
          <w:szCs w:val="22"/>
        </w:rPr>
        <w:t>ются наибольшей степенью неопределенности и риска, что требует особенно тщательного экономического обоснования целесообра</w:t>
      </w:r>
      <w:r w:rsidRPr="00724342">
        <w:rPr>
          <w:color w:val="000000"/>
          <w:sz w:val="22"/>
          <w:szCs w:val="22"/>
        </w:rPr>
        <w:t>з</w:t>
      </w:r>
      <w:r w:rsidRPr="00724342">
        <w:rPr>
          <w:color w:val="000000"/>
          <w:sz w:val="22"/>
          <w:szCs w:val="22"/>
        </w:rPr>
        <w:t>ности их реализации.</w:t>
      </w:r>
    </w:p>
    <w:p w:rsidR="00724342" w:rsidRPr="00724342" w:rsidRDefault="00724342" w:rsidP="0041627D">
      <w:pPr>
        <w:widowControl w:val="0"/>
        <w:ind w:firstLine="426"/>
        <w:jc w:val="both"/>
        <w:rPr>
          <w:color w:val="000000"/>
          <w:sz w:val="22"/>
          <w:szCs w:val="22"/>
        </w:rPr>
      </w:pPr>
      <w:r w:rsidRPr="00724342">
        <w:rPr>
          <w:color w:val="000000"/>
          <w:sz w:val="22"/>
          <w:szCs w:val="22"/>
        </w:rPr>
        <w:t>3. Ориентация на создание «прорывных» технологических и</w:t>
      </w:r>
      <w:r w:rsidRPr="00724342">
        <w:rPr>
          <w:color w:val="000000"/>
          <w:sz w:val="22"/>
          <w:szCs w:val="22"/>
        </w:rPr>
        <w:t>н</w:t>
      </w:r>
      <w:r w:rsidRPr="00724342">
        <w:rPr>
          <w:color w:val="000000"/>
          <w:sz w:val="22"/>
          <w:szCs w:val="22"/>
        </w:rPr>
        <w:t>новаций, что позволит отечественным наукоемким предприятиям, сохранившим свой научный потенциал занять достойное место в мировой экономике.</w:t>
      </w:r>
    </w:p>
    <w:p w:rsidR="00724342" w:rsidRPr="00724342" w:rsidRDefault="00724342" w:rsidP="0041627D">
      <w:pPr>
        <w:widowControl w:val="0"/>
        <w:ind w:firstLine="426"/>
        <w:jc w:val="both"/>
        <w:rPr>
          <w:color w:val="000000"/>
          <w:sz w:val="22"/>
          <w:szCs w:val="22"/>
        </w:rPr>
      </w:pPr>
      <w:r w:rsidRPr="00724342">
        <w:rPr>
          <w:color w:val="000000"/>
          <w:sz w:val="22"/>
          <w:szCs w:val="22"/>
        </w:rPr>
        <w:t xml:space="preserve">4. Управление инновационными изменениями конкурентной стратегии. Под управлением изменениями подразумевается процесс прогнозирования будущих изменений и их планирования. </w:t>
      </w:r>
    </w:p>
    <w:p w:rsidR="00724342" w:rsidRPr="00724342" w:rsidRDefault="00724342" w:rsidP="0041627D">
      <w:pPr>
        <w:widowControl w:val="0"/>
        <w:ind w:firstLine="426"/>
        <w:jc w:val="both"/>
        <w:rPr>
          <w:color w:val="000000"/>
          <w:sz w:val="22"/>
          <w:szCs w:val="22"/>
        </w:rPr>
      </w:pPr>
      <w:r w:rsidRPr="00724342">
        <w:rPr>
          <w:color w:val="000000"/>
          <w:sz w:val="22"/>
          <w:szCs w:val="22"/>
        </w:rPr>
        <w:t>5. Формирование оптимальных размеров структуры материал</w:t>
      </w:r>
      <w:r w:rsidRPr="00724342">
        <w:rPr>
          <w:color w:val="000000"/>
          <w:sz w:val="22"/>
          <w:szCs w:val="22"/>
        </w:rPr>
        <w:t>ь</w:t>
      </w:r>
      <w:r w:rsidRPr="00724342">
        <w:rPr>
          <w:color w:val="000000"/>
          <w:sz w:val="22"/>
          <w:szCs w:val="22"/>
        </w:rPr>
        <w:t>ных, финансовых и интеллектуальных активов предприятия. При этом на ведущее место в системе ресурсной базы предприятия в</w:t>
      </w:r>
      <w:r w:rsidRPr="00724342">
        <w:rPr>
          <w:color w:val="000000"/>
          <w:sz w:val="22"/>
          <w:szCs w:val="22"/>
        </w:rPr>
        <w:t>ы</w:t>
      </w:r>
      <w:r w:rsidRPr="00724342">
        <w:rPr>
          <w:color w:val="000000"/>
          <w:sz w:val="22"/>
          <w:szCs w:val="22"/>
        </w:rPr>
        <w:t>ходит интеллектуальная собственность, так как именно она пр</w:t>
      </w:r>
      <w:r w:rsidRPr="00724342">
        <w:rPr>
          <w:color w:val="000000"/>
          <w:sz w:val="22"/>
          <w:szCs w:val="22"/>
        </w:rPr>
        <w:t>е</w:t>
      </w:r>
      <w:r w:rsidRPr="00724342">
        <w:rPr>
          <w:color w:val="000000"/>
          <w:sz w:val="22"/>
          <w:szCs w:val="22"/>
        </w:rPr>
        <w:t>имущественно и является основой инновационной деятельности предприятия. В связи с этим необходимо совершенствовать систему правовой охраны объектов интеллектуальной собственности, созд</w:t>
      </w:r>
      <w:r w:rsidRPr="00724342">
        <w:rPr>
          <w:color w:val="000000"/>
          <w:sz w:val="22"/>
          <w:szCs w:val="22"/>
        </w:rPr>
        <w:t>а</w:t>
      </w:r>
      <w:r w:rsidRPr="00724342">
        <w:rPr>
          <w:color w:val="000000"/>
          <w:sz w:val="22"/>
          <w:szCs w:val="22"/>
        </w:rPr>
        <w:t xml:space="preserve">вать прозрачные и понятные процедуры их регистрации. </w:t>
      </w:r>
    </w:p>
    <w:p w:rsidR="00724342" w:rsidRPr="00724342" w:rsidRDefault="00724342" w:rsidP="0041627D">
      <w:pPr>
        <w:widowControl w:val="0"/>
        <w:ind w:firstLine="426"/>
        <w:jc w:val="both"/>
        <w:rPr>
          <w:color w:val="000000"/>
          <w:sz w:val="22"/>
          <w:szCs w:val="22"/>
        </w:rPr>
      </w:pPr>
      <w:r w:rsidRPr="00724342">
        <w:rPr>
          <w:color w:val="000000"/>
          <w:sz w:val="22"/>
          <w:szCs w:val="22"/>
        </w:rPr>
        <w:t>6. Ориентация на современные средства автоматизации и роб</w:t>
      </w:r>
      <w:r w:rsidRPr="00724342">
        <w:rPr>
          <w:color w:val="000000"/>
          <w:sz w:val="22"/>
          <w:szCs w:val="22"/>
        </w:rPr>
        <w:t>о</w:t>
      </w:r>
      <w:r w:rsidRPr="00724342">
        <w:rPr>
          <w:color w:val="000000"/>
          <w:sz w:val="22"/>
          <w:szCs w:val="22"/>
        </w:rPr>
        <w:t>тизации производственных процессов и использование высокоте</w:t>
      </w:r>
      <w:r w:rsidRPr="00724342">
        <w:rPr>
          <w:color w:val="000000"/>
          <w:sz w:val="22"/>
          <w:szCs w:val="22"/>
        </w:rPr>
        <w:t>х</w:t>
      </w:r>
      <w:r w:rsidRPr="00724342">
        <w:rPr>
          <w:color w:val="000000"/>
          <w:sz w:val="22"/>
          <w:szCs w:val="22"/>
        </w:rPr>
        <w:t xml:space="preserve">нологичных организационно-производственных структур, включая гибкие производственные системы и роботехнические комплексы. </w:t>
      </w:r>
    </w:p>
    <w:p w:rsidR="00724342" w:rsidRPr="00724342" w:rsidRDefault="00724342" w:rsidP="0041627D">
      <w:pPr>
        <w:widowControl w:val="0"/>
        <w:ind w:firstLine="426"/>
        <w:jc w:val="both"/>
        <w:rPr>
          <w:color w:val="000000"/>
          <w:sz w:val="22"/>
          <w:szCs w:val="22"/>
        </w:rPr>
      </w:pPr>
      <w:r w:rsidRPr="00724342">
        <w:rPr>
          <w:color w:val="000000"/>
          <w:sz w:val="22"/>
          <w:szCs w:val="22"/>
        </w:rPr>
        <w:t>Подводя итог, следует отметить, что управление наукоемкими предприятиями, является сложной задачей, но ее реализация позв</w:t>
      </w:r>
      <w:r w:rsidRPr="00724342">
        <w:rPr>
          <w:color w:val="000000"/>
          <w:sz w:val="22"/>
          <w:szCs w:val="22"/>
        </w:rPr>
        <w:t>о</w:t>
      </w:r>
      <w:r w:rsidRPr="00724342">
        <w:rPr>
          <w:color w:val="000000"/>
          <w:sz w:val="22"/>
          <w:szCs w:val="22"/>
        </w:rPr>
        <w:t>лит отечественным компаниям высокотехнологичного бизнеса з</w:t>
      </w:r>
      <w:r w:rsidRPr="00724342">
        <w:rPr>
          <w:color w:val="000000"/>
          <w:sz w:val="22"/>
          <w:szCs w:val="22"/>
        </w:rPr>
        <w:t>а</w:t>
      </w:r>
      <w:r w:rsidRPr="00724342">
        <w:rPr>
          <w:color w:val="000000"/>
          <w:sz w:val="22"/>
          <w:szCs w:val="22"/>
        </w:rPr>
        <w:t>воевать устойчивое положение на российском и мировом рынках.</w:t>
      </w:r>
    </w:p>
    <w:p w:rsidR="00724342" w:rsidRPr="00724342" w:rsidRDefault="00724342" w:rsidP="0041627D">
      <w:pPr>
        <w:widowControl w:val="0"/>
        <w:ind w:firstLine="426"/>
        <w:jc w:val="both"/>
        <w:rPr>
          <w:color w:val="000000"/>
          <w:sz w:val="22"/>
          <w:szCs w:val="22"/>
        </w:rPr>
      </w:pPr>
    </w:p>
    <w:p w:rsidR="00724342" w:rsidRPr="00724342" w:rsidRDefault="00724342" w:rsidP="0041627D">
      <w:pPr>
        <w:widowControl w:val="0"/>
        <w:ind w:firstLine="426"/>
        <w:jc w:val="center"/>
        <w:rPr>
          <w:color w:val="000000"/>
          <w:sz w:val="22"/>
          <w:szCs w:val="22"/>
        </w:rPr>
      </w:pPr>
      <w:r w:rsidRPr="00724342">
        <w:rPr>
          <w:color w:val="000000"/>
          <w:sz w:val="22"/>
          <w:szCs w:val="22"/>
        </w:rPr>
        <w:t>Список литературы</w:t>
      </w:r>
    </w:p>
    <w:p w:rsidR="00724342" w:rsidRPr="00724342" w:rsidRDefault="00724342" w:rsidP="0041627D">
      <w:pPr>
        <w:widowControl w:val="0"/>
        <w:ind w:firstLine="426"/>
        <w:jc w:val="both"/>
        <w:rPr>
          <w:color w:val="000000"/>
          <w:sz w:val="22"/>
          <w:szCs w:val="22"/>
        </w:rPr>
      </w:pPr>
      <w:r w:rsidRPr="00724342">
        <w:rPr>
          <w:color w:val="000000"/>
          <w:sz w:val="22"/>
          <w:szCs w:val="22"/>
        </w:rPr>
        <w:t xml:space="preserve">1. Бершицкий, Ю. И. Методика прогнозирования рыночного </w:t>
      </w:r>
      <w:r w:rsidRPr="00724342">
        <w:rPr>
          <w:color w:val="000000"/>
          <w:sz w:val="22"/>
          <w:szCs w:val="22"/>
        </w:rPr>
        <w:lastRenderedPageBreak/>
        <w:t xml:space="preserve">спроса на продукцию с учетом платежеспособности потребителей и ценовой конъюнктуры / Ю. И. Бершицкий, С. М. Резниченко, А. Р. Сайфетдинов // Вестник АПК Ставрополья. – 2014. – № (16). – С. 229–233. </w:t>
      </w:r>
    </w:p>
    <w:p w:rsidR="00724342" w:rsidRPr="00724342" w:rsidRDefault="00724342" w:rsidP="0041627D">
      <w:pPr>
        <w:widowControl w:val="0"/>
        <w:ind w:firstLine="426"/>
        <w:jc w:val="both"/>
        <w:rPr>
          <w:color w:val="000000"/>
          <w:sz w:val="22"/>
          <w:szCs w:val="22"/>
        </w:rPr>
      </w:pPr>
      <w:r w:rsidRPr="00724342">
        <w:rPr>
          <w:color w:val="000000"/>
          <w:sz w:val="22"/>
          <w:szCs w:val="22"/>
        </w:rPr>
        <w:t>2. Дудкина, М. Н. Система управления интеллектуальной со</w:t>
      </w:r>
      <w:r w:rsidRPr="00724342">
        <w:rPr>
          <w:color w:val="000000"/>
          <w:sz w:val="22"/>
          <w:szCs w:val="22"/>
        </w:rPr>
        <w:t>б</w:t>
      </w:r>
      <w:r w:rsidRPr="00724342">
        <w:rPr>
          <w:color w:val="000000"/>
          <w:sz w:val="22"/>
          <w:szCs w:val="22"/>
        </w:rPr>
        <w:t>ственностью наукоемких предприятий : дисс. канд. экон. наук., В</w:t>
      </w:r>
      <w:r w:rsidRPr="00724342">
        <w:rPr>
          <w:color w:val="000000"/>
          <w:sz w:val="22"/>
          <w:szCs w:val="22"/>
        </w:rPr>
        <w:t>о</w:t>
      </w:r>
      <w:r w:rsidRPr="00724342">
        <w:rPr>
          <w:color w:val="000000"/>
          <w:sz w:val="22"/>
          <w:szCs w:val="22"/>
        </w:rPr>
        <w:t>ронеж, 2009.</w:t>
      </w:r>
    </w:p>
    <w:p w:rsidR="00724342" w:rsidRPr="00724342" w:rsidRDefault="00724342" w:rsidP="0041627D">
      <w:pPr>
        <w:ind w:firstLine="426"/>
        <w:jc w:val="both"/>
        <w:rPr>
          <w:color w:val="000000"/>
          <w:sz w:val="22"/>
          <w:szCs w:val="22"/>
        </w:rPr>
      </w:pPr>
      <w:r w:rsidRPr="00724342">
        <w:rPr>
          <w:spacing w:val="-2"/>
          <w:sz w:val="22"/>
          <w:szCs w:val="22"/>
        </w:rPr>
        <w:t>3. Тюпаков, К. Э. Экономическая оценка технологического ра</w:t>
      </w:r>
      <w:r w:rsidRPr="00724342">
        <w:rPr>
          <w:spacing w:val="-2"/>
          <w:sz w:val="22"/>
          <w:szCs w:val="22"/>
        </w:rPr>
        <w:t>з</w:t>
      </w:r>
      <w:r w:rsidRPr="00724342">
        <w:rPr>
          <w:spacing w:val="-2"/>
          <w:sz w:val="22"/>
          <w:szCs w:val="22"/>
        </w:rPr>
        <w:t>вития агропроизводства / К. Э. Тюпаков, Н. Р. Сайфетдинова // АПК: Экономика, управление. – 2011. – № 12. – С. 72–77.</w:t>
      </w:r>
    </w:p>
    <w:p w:rsidR="00724342" w:rsidRPr="00724342" w:rsidRDefault="00724342" w:rsidP="0041627D">
      <w:pPr>
        <w:widowControl w:val="0"/>
        <w:ind w:firstLine="426"/>
        <w:jc w:val="both"/>
        <w:rPr>
          <w:color w:val="000000"/>
          <w:sz w:val="22"/>
          <w:szCs w:val="22"/>
        </w:rPr>
      </w:pPr>
      <w:r w:rsidRPr="00724342">
        <w:rPr>
          <w:color w:val="000000"/>
          <w:sz w:val="22"/>
          <w:szCs w:val="22"/>
        </w:rPr>
        <w:t>4. Франциско, О. Ю. Региональная аграрная структура как одно из условий эффективности аграрного сектора / О.. Ю. Франциско, Л. А. Исаева // В сб. трудов Междунар. науч.-практ. конф. «Иннов</w:t>
      </w:r>
      <w:r w:rsidRPr="00724342">
        <w:rPr>
          <w:color w:val="000000"/>
          <w:sz w:val="22"/>
          <w:szCs w:val="22"/>
        </w:rPr>
        <w:t>а</w:t>
      </w:r>
      <w:r w:rsidRPr="00724342">
        <w:rPr>
          <w:color w:val="000000"/>
          <w:sz w:val="22"/>
          <w:szCs w:val="22"/>
        </w:rPr>
        <w:t>ционные исследования и разработки для научного обеспечения производства и хранения экологически безопасной сельскохозя</w:t>
      </w:r>
      <w:r w:rsidRPr="00724342">
        <w:rPr>
          <w:color w:val="000000"/>
          <w:sz w:val="22"/>
          <w:szCs w:val="22"/>
        </w:rPr>
        <w:t>й</w:t>
      </w:r>
      <w:r w:rsidRPr="00724342">
        <w:rPr>
          <w:color w:val="000000"/>
          <w:sz w:val="22"/>
          <w:szCs w:val="22"/>
        </w:rPr>
        <w:t>ственной и пищевой продукции», Краснодар, 06-26 апреля 2015 г., С. 454–456.</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rPr>
          <w:caps/>
          <w:sz w:val="22"/>
          <w:szCs w:val="22"/>
        </w:rPr>
      </w:pPr>
      <w:r w:rsidRPr="00724342">
        <w:rPr>
          <w:caps/>
          <w:sz w:val="22"/>
          <w:szCs w:val="22"/>
        </w:rPr>
        <w:t>УДК 338.43:631</w:t>
      </w:r>
    </w:p>
    <w:p w:rsidR="00724342" w:rsidRPr="00724342" w:rsidRDefault="00724342" w:rsidP="00724342">
      <w:pPr>
        <w:rPr>
          <w:caps/>
          <w:sz w:val="22"/>
          <w:szCs w:val="22"/>
        </w:rPr>
      </w:pPr>
    </w:p>
    <w:p w:rsidR="00724342" w:rsidRPr="00724342" w:rsidRDefault="00724342" w:rsidP="00724342">
      <w:pPr>
        <w:jc w:val="center"/>
        <w:rPr>
          <w:rFonts w:eastAsiaTheme="minorHAnsi"/>
          <w:b/>
          <w:color w:val="000000"/>
          <w:sz w:val="24"/>
          <w:szCs w:val="24"/>
          <w:shd w:val="clear" w:color="auto" w:fill="FFFFFF"/>
          <w:lang w:eastAsia="en-US"/>
        </w:rPr>
      </w:pPr>
      <w:r w:rsidRPr="00724342">
        <w:rPr>
          <w:rFonts w:eastAsiaTheme="minorHAnsi"/>
          <w:b/>
          <w:color w:val="000000"/>
          <w:sz w:val="24"/>
          <w:szCs w:val="24"/>
          <w:shd w:val="clear" w:color="auto" w:fill="FFFFFF"/>
          <w:lang w:eastAsia="en-US"/>
        </w:rPr>
        <w:t>Перспективы производства и переработки нута в России</w:t>
      </w:r>
    </w:p>
    <w:p w:rsidR="00724342" w:rsidRPr="0041627D" w:rsidRDefault="00724342" w:rsidP="00724342">
      <w:pPr>
        <w:jc w:val="center"/>
        <w:rPr>
          <w:rFonts w:eastAsiaTheme="minorHAnsi"/>
          <w:b/>
          <w:sz w:val="24"/>
          <w:szCs w:val="24"/>
          <w:shd w:val="clear" w:color="auto" w:fill="FFFFFF"/>
          <w:lang w:val="en-US" w:eastAsia="en-US"/>
        </w:rPr>
      </w:pPr>
      <w:r w:rsidRPr="0041627D">
        <w:rPr>
          <w:rFonts w:eastAsiaTheme="minorHAnsi"/>
          <w:b/>
          <w:sz w:val="24"/>
          <w:szCs w:val="24"/>
          <w:shd w:val="clear" w:color="auto" w:fill="FFFFFF"/>
          <w:lang w:val="en-US" w:eastAsia="en-US"/>
        </w:rPr>
        <w:t>Prospects for production and processing of chickpeas in Russia</w:t>
      </w:r>
    </w:p>
    <w:p w:rsidR="00724342" w:rsidRPr="00724342" w:rsidRDefault="00724342" w:rsidP="00724342">
      <w:pPr>
        <w:jc w:val="center"/>
        <w:rPr>
          <w:rFonts w:eastAsiaTheme="minorHAnsi"/>
          <w:b/>
          <w:sz w:val="24"/>
          <w:szCs w:val="24"/>
          <w:lang w:val="en-US" w:eastAsia="en-US"/>
        </w:rPr>
      </w:pPr>
    </w:p>
    <w:p w:rsidR="00724342" w:rsidRPr="00724342" w:rsidRDefault="00724342" w:rsidP="00724342">
      <w:pPr>
        <w:jc w:val="right"/>
        <w:rPr>
          <w:sz w:val="22"/>
          <w:szCs w:val="22"/>
        </w:rPr>
      </w:pPr>
      <w:r w:rsidRPr="00724342">
        <w:rPr>
          <w:sz w:val="22"/>
          <w:szCs w:val="22"/>
        </w:rPr>
        <w:t>Голованова А.</w:t>
      </w:r>
      <w:r w:rsidRPr="00724342">
        <w:rPr>
          <w:sz w:val="22"/>
          <w:szCs w:val="22"/>
          <w:lang w:val="en-US"/>
        </w:rPr>
        <w:t> </w:t>
      </w:r>
      <w:r w:rsidRPr="00724342">
        <w:rPr>
          <w:sz w:val="22"/>
          <w:szCs w:val="22"/>
        </w:rPr>
        <w:t xml:space="preserve">Д., </w:t>
      </w:r>
    </w:p>
    <w:p w:rsidR="00724342" w:rsidRPr="00724342" w:rsidRDefault="00724342" w:rsidP="00724342">
      <w:pPr>
        <w:jc w:val="right"/>
        <w:rPr>
          <w:sz w:val="22"/>
          <w:szCs w:val="22"/>
        </w:rPr>
      </w:pPr>
      <w:r w:rsidRPr="00724342">
        <w:rPr>
          <w:sz w:val="22"/>
          <w:szCs w:val="22"/>
        </w:rPr>
        <w:t>студентка 4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right"/>
        <w:rPr>
          <w:sz w:val="22"/>
          <w:szCs w:val="22"/>
        </w:rPr>
      </w:pPr>
    </w:p>
    <w:p w:rsidR="00724342" w:rsidRPr="00724342" w:rsidRDefault="00724342" w:rsidP="0041627D">
      <w:pPr>
        <w:ind w:firstLine="426"/>
        <w:jc w:val="both"/>
        <w:rPr>
          <w:rFonts w:asciiTheme="minorHAnsi" w:eastAsiaTheme="minorHAnsi" w:hAnsiTheme="minorHAnsi" w:cstheme="minorBidi"/>
          <w:sz w:val="22"/>
          <w:szCs w:val="22"/>
          <w:lang w:eastAsia="en-US"/>
        </w:rPr>
      </w:pPr>
      <w:r w:rsidRPr="00724342">
        <w:rPr>
          <w:rFonts w:eastAsiaTheme="minorHAnsi"/>
          <w:sz w:val="22"/>
          <w:szCs w:val="22"/>
          <w:lang w:eastAsia="en-US"/>
        </w:rPr>
        <w:t>АННОТАЦИЯ</w:t>
      </w:r>
      <w:r w:rsidRPr="00724342">
        <w:rPr>
          <w:rFonts w:eastAsiaTheme="minorHAnsi"/>
          <w:b/>
          <w:sz w:val="22"/>
          <w:szCs w:val="22"/>
          <w:lang w:eastAsia="en-US"/>
        </w:rPr>
        <w:t>.</w:t>
      </w:r>
      <w:r w:rsidRPr="00724342">
        <w:rPr>
          <w:rFonts w:eastAsiaTheme="minorHAnsi"/>
          <w:sz w:val="22"/>
          <w:szCs w:val="22"/>
          <w:lang w:eastAsia="en-US"/>
        </w:rPr>
        <w:t xml:space="preserve"> Переход населения России на потребление эк</w:t>
      </w:r>
      <w:r w:rsidRPr="00724342">
        <w:rPr>
          <w:rFonts w:eastAsiaTheme="minorHAnsi"/>
          <w:sz w:val="22"/>
          <w:szCs w:val="22"/>
          <w:lang w:eastAsia="en-US"/>
        </w:rPr>
        <w:t>о</w:t>
      </w:r>
      <w:r w:rsidRPr="00724342">
        <w:rPr>
          <w:rFonts w:eastAsiaTheme="minorHAnsi"/>
          <w:sz w:val="22"/>
          <w:szCs w:val="22"/>
          <w:lang w:eastAsia="en-US"/>
        </w:rPr>
        <w:t>логически чистых продуктов питания сдерживается неразвитостью этого сегмента продовольственного рынка с необоснованно выс</w:t>
      </w:r>
      <w:r w:rsidRPr="00724342">
        <w:rPr>
          <w:rFonts w:eastAsiaTheme="minorHAnsi"/>
          <w:sz w:val="22"/>
          <w:szCs w:val="22"/>
          <w:lang w:eastAsia="en-US"/>
        </w:rPr>
        <w:t>о</w:t>
      </w:r>
      <w:r w:rsidRPr="00724342">
        <w:rPr>
          <w:rFonts w:eastAsiaTheme="minorHAnsi"/>
          <w:sz w:val="22"/>
          <w:szCs w:val="22"/>
          <w:lang w:eastAsia="en-US"/>
        </w:rPr>
        <w:t>кими ценами реализации. В качестве направления повышения уро</w:t>
      </w:r>
      <w:r w:rsidRPr="00724342">
        <w:rPr>
          <w:rFonts w:eastAsiaTheme="minorHAnsi"/>
          <w:sz w:val="22"/>
          <w:szCs w:val="22"/>
          <w:lang w:eastAsia="en-US"/>
        </w:rPr>
        <w:t>в</w:t>
      </w:r>
      <w:r w:rsidRPr="00724342">
        <w:rPr>
          <w:rFonts w:eastAsiaTheme="minorHAnsi"/>
          <w:sz w:val="22"/>
          <w:szCs w:val="22"/>
          <w:lang w:eastAsia="en-US"/>
        </w:rPr>
        <w:t>ня обеспечения населения продукцией этого вида предложена орг</w:t>
      </w:r>
      <w:r w:rsidRPr="00724342">
        <w:rPr>
          <w:rFonts w:eastAsiaTheme="minorHAnsi"/>
          <w:sz w:val="22"/>
          <w:szCs w:val="22"/>
          <w:lang w:eastAsia="en-US"/>
        </w:rPr>
        <w:t>а</w:t>
      </w:r>
      <w:r w:rsidRPr="00724342">
        <w:rPr>
          <w:rFonts w:eastAsiaTheme="minorHAnsi"/>
          <w:sz w:val="22"/>
          <w:szCs w:val="22"/>
          <w:lang w:eastAsia="en-US"/>
        </w:rPr>
        <w:t>низация производства и переработки бобов нута.</w:t>
      </w:r>
    </w:p>
    <w:p w:rsidR="00724342" w:rsidRPr="00724342" w:rsidRDefault="00724342" w:rsidP="0041627D">
      <w:pPr>
        <w:ind w:firstLine="426"/>
        <w:jc w:val="both"/>
        <w:rPr>
          <w:rFonts w:eastAsiaTheme="minorHAnsi"/>
          <w:i/>
          <w:sz w:val="22"/>
          <w:szCs w:val="22"/>
          <w:lang w:val="en-US" w:eastAsia="en-US"/>
        </w:rPr>
      </w:pPr>
      <w:r w:rsidRPr="00724342">
        <w:rPr>
          <w:rFonts w:eastAsiaTheme="minorHAnsi"/>
          <w:color w:val="000000"/>
          <w:sz w:val="22"/>
          <w:szCs w:val="22"/>
          <w:lang w:val="en-US" w:eastAsia="en-US"/>
        </w:rPr>
        <w:lastRenderedPageBreak/>
        <w:t>ABSTRACT.</w:t>
      </w:r>
      <w:r w:rsidRPr="00724342">
        <w:rPr>
          <w:rFonts w:eastAsiaTheme="minorHAnsi"/>
          <w:i/>
          <w:sz w:val="22"/>
          <w:szCs w:val="22"/>
          <w:lang w:val="en-US" w:eastAsia="en-US"/>
        </w:rPr>
        <w:t xml:space="preserve"> </w:t>
      </w:r>
      <w:r w:rsidRPr="00724342">
        <w:rPr>
          <w:rFonts w:eastAsiaTheme="minorHAnsi"/>
          <w:sz w:val="22"/>
          <w:szCs w:val="22"/>
          <w:lang w:val="en-US" w:eastAsia="en-US"/>
        </w:rPr>
        <w:t>The transition of the Russian population to the co</w:t>
      </w:r>
      <w:r w:rsidRPr="00724342">
        <w:rPr>
          <w:rFonts w:eastAsiaTheme="minorHAnsi"/>
          <w:sz w:val="22"/>
          <w:szCs w:val="22"/>
          <w:lang w:val="en-US" w:eastAsia="en-US"/>
        </w:rPr>
        <w:t>n</w:t>
      </w:r>
      <w:r w:rsidRPr="00724342">
        <w:rPr>
          <w:rFonts w:eastAsiaTheme="minorHAnsi"/>
          <w:sz w:val="22"/>
          <w:szCs w:val="22"/>
          <w:lang w:val="en-US" w:eastAsia="en-US"/>
        </w:rPr>
        <w:t>sumption of environmentally friendly food is hampered by the underd</w:t>
      </w:r>
      <w:r w:rsidRPr="00724342">
        <w:rPr>
          <w:rFonts w:eastAsiaTheme="minorHAnsi"/>
          <w:sz w:val="22"/>
          <w:szCs w:val="22"/>
          <w:lang w:val="en-US" w:eastAsia="en-US"/>
        </w:rPr>
        <w:t>e</w:t>
      </w:r>
      <w:r w:rsidRPr="00724342">
        <w:rPr>
          <w:rFonts w:eastAsiaTheme="minorHAnsi"/>
          <w:sz w:val="22"/>
          <w:szCs w:val="22"/>
          <w:lang w:val="en-US" w:eastAsia="en-US"/>
        </w:rPr>
        <w:t>velopment of this segment of the food market with unreasonably high selling prices. As a direction to increase the level of provision of the population with this product, the organization of processing of chickpea beans is proposed.</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КЛЮЧЕВЫЕ СЛОВА</w:t>
      </w:r>
      <w:r w:rsidRPr="00724342">
        <w:rPr>
          <w:rFonts w:eastAsiaTheme="minorHAnsi"/>
          <w:b/>
          <w:sz w:val="22"/>
          <w:szCs w:val="22"/>
          <w:lang w:eastAsia="en-US"/>
        </w:rPr>
        <w:t>.</w:t>
      </w:r>
      <w:r w:rsidRPr="00724342">
        <w:rPr>
          <w:rFonts w:eastAsiaTheme="minorHAnsi"/>
          <w:sz w:val="22"/>
          <w:szCs w:val="22"/>
          <w:lang w:eastAsia="en-US"/>
        </w:rPr>
        <w:t xml:space="preserve"> Производство и переработка нута, пр</w:t>
      </w:r>
      <w:r w:rsidRPr="00724342">
        <w:rPr>
          <w:rFonts w:eastAsiaTheme="minorHAnsi"/>
          <w:sz w:val="22"/>
          <w:szCs w:val="22"/>
          <w:lang w:eastAsia="en-US"/>
        </w:rPr>
        <w:t>о</w:t>
      </w:r>
      <w:r w:rsidRPr="00724342">
        <w:rPr>
          <w:rFonts w:eastAsiaTheme="minorHAnsi"/>
          <w:sz w:val="22"/>
          <w:szCs w:val="22"/>
          <w:lang w:eastAsia="en-US"/>
        </w:rPr>
        <w:t>дукты здорового питания, экономическая эффективность.</w:t>
      </w:r>
    </w:p>
    <w:p w:rsidR="00724342" w:rsidRPr="00724342" w:rsidRDefault="00724342" w:rsidP="0041627D">
      <w:pPr>
        <w:ind w:firstLine="426"/>
        <w:jc w:val="both"/>
        <w:rPr>
          <w:rFonts w:eastAsiaTheme="minorHAnsi"/>
          <w:sz w:val="22"/>
          <w:szCs w:val="22"/>
          <w:lang w:val="en-US" w:eastAsia="en-US"/>
        </w:rPr>
      </w:pPr>
      <w:r w:rsidRPr="00724342">
        <w:rPr>
          <w:rFonts w:eastAsiaTheme="minorHAnsi"/>
          <w:sz w:val="22"/>
          <w:szCs w:val="22"/>
          <w:lang w:val="en-US" w:eastAsia="en-US"/>
        </w:rPr>
        <w:t>KEYWORDS. Production and processing of chickpeas, healthy foods, economic efficiency.</w:t>
      </w:r>
    </w:p>
    <w:p w:rsidR="00724342" w:rsidRPr="00724342" w:rsidRDefault="00724342" w:rsidP="0041627D">
      <w:pPr>
        <w:ind w:firstLine="426"/>
        <w:jc w:val="both"/>
        <w:rPr>
          <w:rFonts w:eastAsiaTheme="minorHAnsi"/>
          <w:i/>
          <w:sz w:val="22"/>
          <w:szCs w:val="22"/>
          <w:lang w:val="en-US" w:eastAsia="en-US"/>
        </w:rPr>
      </w:pPr>
    </w:p>
    <w:p w:rsidR="00724342" w:rsidRPr="00724342" w:rsidRDefault="00724342" w:rsidP="0041627D">
      <w:pPr>
        <w:ind w:firstLine="426"/>
        <w:jc w:val="both"/>
        <w:rPr>
          <w:rFonts w:eastAsiaTheme="minorHAnsi"/>
          <w:spacing w:val="-2"/>
          <w:sz w:val="22"/>
          <w:szCs w:val="22"/>
          <w:lang w:eastAsia="en-US"/>
        </w:rPr>
      </w:pPr>
      <w:r w:rsidRPr="00724342">
        <w:rPr>
          <w:rFonts w:eastAsiaTheme="minorHAnsi"/>
          <w:spacing w:val="-2"/>
          <w:sz w:val="22"/>
          <w:szCs w:val="22"/>
          <w:lang w:eastAsia="en-US"/>
        </w:rPr>
        <w:t>В настоящее время при выборе продуктов питания потребители обращают все большее внимание на состав товара, предпочитая эк</w:t>
      </w:r>
      <w:r w:rsidRPr="00724342">
        <w:rPr>
          <w:rFonts w:eastAsiaTheme="minorHAnsi"/>
          <w:spacing w:val="-2"/>
          <w:sz w:val="22"/>
          <w:szCs w:val="22"/>
          <w:lang w:eastAsia="en-US"/>
        </w:rPr>
        <w:t>о</w:t>
      </w:r>
      <w:r w:rsidRPr="00724342">
        <w:rPr>
          <w:rFonts w:eastAsiaTheme="minorHAnsi"/>
          <w:spacing w:val="-2"/>
          <w:sz w:val="22"/>
          <w:szCs w:val="22"/>
          <w:lang w:eastAsia="en-US"/>
        </w:rPr>
        <w:t>логически чистые полезные продукты как животного, так и раст</w:t>
      </w:r>
      <w:r w:rsidRPr="00724342">
        <w:rPr>
          <w:rFonts w:eastAsiaTheme="minorHAnsi"/>
          <w:spacing w:val="-2"/>
          <w:sz w:val="22"/>
          <w:szCs w:val="22"/>
          <w:lang w:eastAsia="en-US"/>
        </w:rPr>
        <w:t>и</w:t>
      </w:r>
      <w:r w:rsidRPr="00724342">
        <w:rPr>
          <w:rFonts w:eastAsiaTheme="minorHAnsi"/>
          <w:spacing w:val="-2"/>
          <w:sz w:val="22"/>
          <w:szCs w:val="22"/>
          <w:lang w:eastAsia="en-US"/>
        </w:rPr>
        <w:t xml:space="preserve">тельного происхождения </w:t>
      </w:r>
    </w:p>
    <w:p w:rsidR="00724342" w:rsidRPr="00724342" w:rsidRDefault="00724342" w:rsidP="0041627D">
      <w:pPr>
        <w:ind w:firstLine="426"/>
        <w:jc w:val="both"/>
        <w:rPr>
          <w:spacing w:val="-2"/>
          <w:sz w:val="22"/>
          <w:szCs w:val="22"/>
        </w:rPr>
      </w:pPr>
      <w:r w:rsidRPr="00724342">
        <w:rPr>
          <w:spacing w:val="-2"/>
          <w:sz w:val="22"/>
          <w:szCs w:val="22"/>
        </w:rPr>
        <w:t>Вместе с тем в России переход на потребление экологически ч</w:t>
      </w:r>
      <w:r w:rsidRPr="00724342">
        <w:rPr>
          <w:spacing w:val="-2"/>
          <w:sz w:val="22"/>
          <w:szCs w:val="22"/>
        </w:rPr>
        <w:t>и</w:t>
      </w:r>
      <w:r w:rsidRPr="00724342">
        <w:rPr>
          <w:spacing w:val="-2"/>
          <w:sz w:val="22"/>
          <w:szCs w:val="22"/>
        </w:rPr>
        <w:t>стых продуктов здорового питания сдерживается неразвитостью эт</w:t>
      </w:r>
      <w:r w:rsidRPr="00724342">
        <w:rPr>
          <w:spacing w:val="-2"/>
          <w:sz w:val="22"/>
          <w:szCs w:val="22"/>
        </w:rPr>
        <w:t>о</w:t>
      </w:r>
      <w:r w:rsidRPr="00724342">
        <w:rPr>
          <w:spacing w:val="-2"/>
          <w:sz w:val="22"/>
          <w:szCs w:val="22"/>
        </w:rPr>
        <w:t>го сегмента продовольственного рынка с необоснованно высокими ценами реализации. Поэтому для формирования достаточного по объему рыночного предложения этой продукции по приемлемым ц</w:t>
      </w:r>
      <w:r w:rsidRPr="00724342">
        <w:rPr>
          <w:spacing w:val="-2"/>
          <w:sz w:val="22"/>
          <w:szCs w:val="22"/>
        </w:rPr>
        <w:t>е</w:t>
      </w:r>
      <w:r w:rsidRPr="00724342">
        <w:rPr>
          <w:spacing w:val="-2"/>
          <w:sz w:val="22"/>
          <w:szCs w:val="22"/>
        </w:rPr>
        <w:t xml:space="preserve">нам необходимо развитие производства и переработки экологически чистого сельскохозяйственного сырья, к которому относится и нут – высокопротеиновая зернобобовая культура. </w:t>
      </w:r>
    </w:p>
    <w:p w:rsidR="00724342" w:rsidRPr="00724342" w:rsidRDefault="00724342" w:rsidP="0041627D">
      <w:pPr>
        <w:ind w:firstLine="426"/>
        <w:jc w:val="both"/>
        <w:rPr>
          <w:sz w:val="22"/>
          <w:szCs w:val="22"/>
        </w:rPr>
      </w:pPr>
      <w:r w:rsidRPr="00724342">
        <w:rPr>
          <w:sz w:val="22"/>
          <w:szCs w:val="22"/>
        </w:rPr>
        <w:t>Бобы нута превосходят многие традиционные зерновые и зе</w:t>
      </w:r>
      <w:r w:rsidRPr="00724342">
        <w:rPr>
          <w:sz w:val="22"/>
          <w:szCs w:val="22"/>
        </w:rPr>
        <w:t>р</w:t>
      </w:r>
      <w:r w:rsidRPr="00724342">
        <w:rPr>
          <w:sz w:val="22"/>
          <w:szCs w:val="22"/>
        </w:rPr>
        <w:t>нобобовые культуры по содержанию белка, незаменимых амин</w:t>
      </w:r>
      <w:r w:rsidRPr="00724342">
        <w:rPr>
          <w:sz w:val="22"/>
          <w:szCs w:val="22"/>
        </w:rPr>
        <w:t>о</w:t>
      </w:r>
      <w:r w:rsidRPr="00724342">
        <w:rPr>
          <w:sz w:val="22"/>
          <w:szCs w:val="22"/>
        </w:rPr>
        <w:t>кислот, витаминов, макро- и микроэлементов, в том числе селена. Нут относится к сельскохозяйственным культурам, не переносящим обработку гербицидами и другими средствами химической защиты растений, это обеспечивает высокую экологическую чистоту пр</w:t>
      </w:r>
      <w:r w:rsidRPr="00724342">
        <w:rPr>
          <w:sz w:val="22"/>
          <w:szCs w:val="22"/>
        </w:rPr>
        <w:t>о</w:t>
      </w:r>
      <w:r w:rsidRPr="00724342">
        <w:rPr>
          <w:sz w:val="22"/>
          <w:szCs w:val="22"/>
        </w:rPr>
        <w:t>дукции. Нут является хорошим предшественником для пшеницы, и увеличение площадей его посевов на юге России будет спосо</w:t>
      </w:r>
      <w:r w:rsidRPr="00724342">
        <w:rPr>
          <w:sz w:val="22"/>
          <w:szCs w:val="22"/>
        </w:rPr>
        <w:t>б</w:t>
      </w:r>
      <w:r w:rsidRPr="00724342">
        <w:rPr>
          <w:sz w:val="22"/>
          <w:szCs w:val="22"/>
        </w:rPr>
        <w:t xml:space="preserve">ствовать совершенствованию системы севооборотов [3, 5].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Производство нута в мире ежегодно увеличивается. В России производство нута в первую очередь ориентировано именно на внешние рынки. Наша страна уже долгое время является одним из основных экспортеров нута в мире, уступая первенство лишь А</w:t>
      </w:r>
      <w:r w:rsidRPr="00724342">
        <w:rPr>
          <w:rFonts w:eastAsiaTheme="minorHAnsi"/>
          <w:sz w:val="22"/>
          <w:szCs w:val="22"/>
          <w:lang w:eastAsia="en-US"/>
        </w:rPr>
        <w:t>в</w:t>
      </w:r>
      <w:r w:rsidRPr="00724342">
        <w:rPr>
          <w:rFonts w:eastAsiaTheme="minorHAnsi"/>
          <w:sz w:val="22"/>
          <w:szCs w:val="22"/>
          <w:lang w:eastAsia="en-US"/>
        </w:rPr>
        <w:t xml:space="preserve">стралии. Заметный рост удельного веса России в структуре мировой </w:t>
      </w:r>
      <w:r w:rsidRPr="00724342">
        <w:rPr>
          <w:rFonts w:eastAsiaTheme="minorHAnsi"/>
          <w:sz w:val="22"/>
          <w:szCs w:val="22"/>
          <w:lang w:eastAsia="en-US"/>
        </w:rPr>
        <w:lastRenderedPageBreak/>
        <w:t>торговли нутом доказывает высокую конкурентоспособность ро</w:t>
      </w:r>
      <w:r w:rsidRPr="00724342">
        <w:rPr>
          <w:rFonts w:eastAsiaTheme="minorHAnsi"/>
          <w:sz w:val="22"/>
          <w:szCs w:val="22"/>
          <w:lang w:eastAsia="en-US"/>
        </w:rPr>
        <w:t>с</w:t>
      </w:r>
      <w:r w:rsidRPr="00724342">
        <w:rPr>
          <w:rFonts w:eastAsiaTheme="minorHAnsi"/>
          <w:sz w:val="22"/>
          <w:szCs w:val="22"/>
          <w:lang w:eastAsia="en-US"/>
        </w:rPr>
        <w:t>сийской продукции на внешних рынках.[2].</w:t>
      </w:r>
    </w:p>
    <w:p w:rsidR="00724342" w:rsidRPr="00724342" w:rsidRDefault="00724342" w:rsidP="0041627D">
      <w:pPr>
        <w:ind w:firstLine="426"/>
        <w:jc w:val="both"/>
        <w:rPr>
          <w:color w:val="000000"/>
          <w:sz w:val="22"/>
          <w:szCs w:val="22"/>
        </w:rPr>
      </w:pPr>
      <w:r w:rsidRPr="00724342">
        <w:rPr>
          <w:color w:val="000000"/>
          <w:sz w:val="22"/>
          <w:szCs w:val="22"/>
        </w:rPr>
        <w:t>Одним из приоритетных направлений развития агропромы</w:t>
      </w:r>
      <w:r w:rsidRPr="00724342">
        <w:rPr>
          <w:color w:val="000000"/>
          <w:sz w:val="22"/>
          <w:szCs w:val="22"/>
        </w:rPr>
        <w:t>ш</w:t>
      </w:r>
      <w:r w:rsidRPr="00724342">
        <w:rPr>
          <w:color w:val="000000"/>
          <w:sz w:val="22"/>
          <w:szCs w:val="22"/>
        </w:rPr>
        <w:t>ленного комплекса России является совершенствование перерабо</w:t>
      </w:r>
      <w:r w:rsidRPr="00724342">
        <w:rPr>
          <w:color w:val="000000"/>
          <w:sz w:val="22"/>
          <w:szCs w:val="22"/>
        </w:rPr>
        <w:t>т</w:t>
      </w:r>
      <w:r w:rsidRPr="00724342">
        <w:rPr>
          <w:color w:val="000000"/>
          <w:sz w:val="22"/>
          <w:szCs w:val="22"/>
        </w:rPr>
        <w:t>ки сельскохозяйственного сырья. Поэтому в настоящее время осв</w:t>
      </w:r>
      <w:r w:rsidRPr="00724342">
        <w:rPr>
          <w:color w:val="000000"/>
          <w:sz w:val="22"/>
          <w:szCs w:val="22"/>
        </w:rPr>
        <w:t>о</w:t>
      </w:r>
      <w:r w:rsidRPr="00724342">
        <w:rPr>
          <w:color w:val="000000"/>
          <w:sz w:val="22"/>
          <w:szCs w:val="22"/>
        </w:rPr>
        <w:t>ение технологий глубокой переработки нута с получением новых видов продуктов здорового питания является актуальным.</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На внутреннем и внешних рынках зернобобовых культур наблюдается устойчивый рост цен. Поэтому инвестиции в орган</w:t>
      </w:r>
      <w:r w:rsidRPr="00724342">
        <w:rPr>
          <w:rFonts w:eastAsiaTheme="minorHAnsi"/>
          <w:sz w:val="22"/>
          <w:szCs w:val="22"/>
          <w:lang w:eastAsia="en-US"/>
        </w:rPr>
        <w:t>и</w:t>
      </w:r>
      <w:r w:rsidRPr="00724342">
        <w:rPr>
          <w:rFonts w:eastAsiaTheme="minorHAnsi"/>
          <w:sz w:val="22"/>
          <w:szCs w:val="22"/>
          <w:lang w:eastAsia="en-US"/>
        </w:rPr>
        <w:t xml:space="preserve">зацию производства переработки бобов нута потребуют глубокого экономического обоснования.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Важным фактором организации экономически эффективной переработки бобов нута в продукты здорового питания является использование инновационных технологий и современного высок</w:t>
      </w:r>
      <w:r w:rsidRPr="00724342">
        <w:rPr>
          <w:rFonts w:eastAsiaTheme="minorHAnsi"/>
          <w:sz w:val="22"/>
          <w:szCs w:val="22"/>
          <w:lang w:eastAsia="en-US"/>
        </w:rPr>
        <w:t>о</w:t>
      </w:r>
      <w:r w:rsidRPr="00724342">
        <w:rPr>
          <w:rFonts w:eastAsiaTheme="minorHAnsi"/>
          <w:sz w:val="22"/>
          <w:szCs w:val="22"/>
          <w:lang w:eastAsia="en-US"/>
        </w:rPr>
        <w:t>производительного оборудования. Вместе с тем организация выр</w:t>
      </w:r>
      <w:r w:rsidRPr="00724342">
        <w:rPr>
          <w:rFonts w:eastAsiaTheme="minorHAnsi"/>
          <w:sz w:val="22"/>
          <w:szCs w:val="22"/>
          <w:lang w:eastAsia="en-US"/>
        </w:rPr>
        <w:t>а</w:t>
      </w:r>
      <w:r w:rsidRPr="00724342">
        <w:rPr>
          <w:rFonts w:eastAsiaTheme="minorHAnsi"/>
          <w:sz w:val="22"/>
          <w:szCs w:val="22"/>
          <w:lang w:eastAsia="en-US"/>
        </w:rPr>
        <w:t>щивания нута на существующих сельскохозяйственных предпри</w:t>
      </w:r>
      <w:r w:rsidRPr="00724342">
        <w:rPr>
          <w:rFonts w:eastAsiaTheme="minorHAnsi"/>
          <w:sz w:val="22"/>
          <w:szCs w:val="22"/>
          <w:lang w:eastAsia="en-US"/>
        </w:rPr>
        <w:t>я</w:t>
      </w:r>
      <w:r w:rsidRPr="00724342">
        <w:rPr>
          <w:rFonts w:eastAsiaTheme="minorHAnsi"/>
          <w:sz w:val="22"/>
          <w:szCs w:val="22"/>
          <w:lang w:eastAsia="en-US"/>
        </w:rPr>
        <w:t>тиях не потребует крупных инвестиций, так как в производстве нута может быть использована имеющаяся сельскохозяйственная техн</w:t>
      </w:r>
      <w:r w:rsidRPr="00724342">
        <w:rPr>
          <w:rFonts w:eastAsiaTheme="minorHAnsi"/>
          <w:sz w:val="22"/>
          <w:szCs w:val="22"/>
          <w:lang w:eastAsia="en-US"/>
        </w:rPr>
        <w:t>и</w:t>
      </w:r>
      <w:r w:rsidRPr="00724342">
        <w:rPr>
          <w:rFonts w:eastAsiaTheme="minorHAnsi"/>
          <w:sz w:val="22"/>
          <w:szCs w:val="22"/>
          <w:lang w:eastAsia="en-US"/>
        </w:rPr>
        <w:t xml:space="preserve">ка. </w:t>
      </w:r>
    </w:p>
    <w:p w:rsidR="00724342" w:rsidRPr="00724342" w:rsidRDefault="00724342" w:rsidP="0041627D">
      <w:pPr>
        <w:ind w:firstLine="426"/>
        <w:jc w:val="center"/>
        <w:rPr>
          <w:sz w:val="22"/>
          <w:szCs w:val="22"/>
        </w:rPr>
      </w:pPr>
      <w:r w:rsidRPr="00724342">
        <w:rPr>
          <w:sz w:val="22"/>
          <w:szCs w:val="22"/>
        </w:rPr>
        <w:t xml:space="preserve">Список </w:t>
      </w:r>
      <w:r w:rsidR="0041627D">
        <w:rPr>
          <w:sz w:val="22"/>
          <w:szCs w:val="22"/>
        </w:rPr>
        <w:t>литературы</w:t>
      </w:r>
    </w:p>
    <w:p w:rsidR="00724342" w:rsidRPr="00724342" w:rsidRDefault="00724342" w:rsidP="0041627D">
      <w:pPr>
        <w:tabs>
          <w:tab w:val="left" w:pos="993"/>
        </w:tabs>
        <w:ind w:firstLine="426"/>
        <w:jc w:val="both"/>
        <w:rPr>
          <w:sz w:val="22"/>
          <w:szCs w:val="22"/>
        </w:rPr>
      </w:pPr>
      <w:r w:rsidRPr="00724342">
        <w:rPr>
          <w:sz w:val="22"/>
          <w:szCs w:val="22"/>
        </w:rPr>
        <w:t>1. Бершицкий Ю. И. Теоретико-методические аспекты иннов</w:t>
      </w:r>
      <w:r w:rsidRPr="00724342">
        <w:rPr>
          <w:sz w:val="22"/>
          <w:szCs w:val="22"/>
        </w:rPr>
        <w:t>а</w:t>
      </w:r>
      <w:r w:rsidRPr="00724342">
        <w:rPr>
          <w:sz w:val="22"/>
          <w:szCs w:val="22"/>
        </w:rPr>
        <w:t>ционного развития агроэкономики / Ю. И. Бершицкий, Н. Р. Сайфетдинова, А. Р. Сайфетдинов // сборник «Российская эк</w:t>
      </w:r>
      <w:r w:rsidRPr="00724342">
        <w:rPr>
          <w:sz w:val="22"/>
          <w:szCs w:val="22"/>
        </w:rPr>
        <w:t>о</w:t>
      </w:r>
      <w:r w:rsidRPr="00724342">
        <w:rPr>
          <w:sz w:val="22"/>
          <w:szCs w:val="22"/>
        </w:rPr>
        <w:t>номическая модель – 7: от стагнации к развитию. – Краснодар, 2017, с. 288–304.</w:t>
      </w:r>
    </w:p>
    <w:p w:rsidR="00724342" w:rsidRPr="00724342" w:rsidRDefault="00724342" w:rsidP="0041627D">
      <w:pPr>
        <w:tabs>
          <w:tab w:val="left" w:pos="993"/>
        </w:tabs>
        <w:ind w:firstLine="426"/>
        <w:jc w:val="both"/>
        <w:rPr>
          <w:sz w:val="22"/>
          <w:szCs w:val="22"/>
        </w:rPr>
      </w:pPr>
      <w:r w:rsidRPr="00724342">
        <w:rPr>
          <w:sz w:val="22"/>
          <w:szCs w:val="22"/>
        </w:rPr>
        <w:t xml:space="preserve">2. Сайфетдинов, А. Р. Организационно-экономические аспекты производства и переработки нута в продукты здорового питания / А. Р. Сайфетдинов, А. Д. Голованова // </w:t>
      </w:r>
      <w:r w:rsidRPr="00724342">
        <w:rPr>
          <w:rFonts w:eastAsiaTheme="minorHAnsi"/>
          <w:sz w:val="22"/>
          <w:szCs w:val="22"/>
          <w:lang w:eastAsia="en-US"/>
        </w:rPr>
        <w:t>Сб. ст.Междунар. науч.-практ. конф. «Инновационная экономика – основа устойчивого ра</w:t>
      </w:r>
      <w:r w:rsidRPr="00724342">
        <w:rPr>
          <w:rFonts w:eastAsiaTheme="minorHAnsi"/>
          <w:sz w:val="22"/>
          <w:szCs w:val="22"/>
          <w:lang w:eastAsia="en-US"/>
        </w:rPr>
        <w:t>з</w:t>
      </w:r>
      <w:r w:rsidRPr="00724342">
        <w:rPr>
          <w:rFonts w:eastAsiaTheme="minorHAnsi"/>
          <w:sz w:val="22"/>
          <w:szCs w:val="22"/>
          <w:lang w:eastAsia="en-US"/>
        </w:rPr>
        <w:t>вития государства», Челябинск, НИЦ АЭТЕРНА, 15 февраля 2018 г. – с. 80–84.</w:t>
      </w:r>
    </w:p>
    <w:p w:rsidR="00724342" w:rsidRPr="00724342" w:rsidRDefault="00724342" w:rsidP="0041627D">
      <w:pPr>
        <w:tabs>
          <w:tab w:val="left" w:pos="993"/>
        </w:tabs>
        <w:ind w:firstLine="426"/>
        <w:jc w:val="both"/>
        <w:rPr>
          <w:spacing w:val="-4"/>
          <w:sz w:val="22"/>
          <w:szCs w:val="22"/>
        </w:rPr>
      </w:pPr>
      <w:r w:rsidRPr="00724342">
        <w:rPr>
          <w:spacing w:val="-4"/>
          <w:sz w:val="22"/>
          <w:szCs w:val="22"/>
        </w:rPr>
        <w:t>3. Соколова, А. П. Перспективы развития регионального аграрн</w:t>
      </w:r>
      <w:r w:rsidRPr="00724342">
        <w:rPr>
          <w:spacing w:val="-4"/>
          <w:sz w:val="22"/>
          <w:szCs w:val="22"/>
        </w:rPr>
        <w:t>о</w:t>
      </w:r>
      <w:r w:rsidRPr="00724342">
        <w:rPr>
          <w:spacing w:val="-4"/>
          <w:sz w:val="22"/>
          <w:szCs w:val="22"/>
        </w:rPr>
        <w:t>го бизнеса / А. П. Соколова, Е. И. Гилек, Д. В. Бондарева [Текст] // Экономика и предпринимательство. – 2017. – № 7(84). – с. 295–301.</w:t>
      </w:r>
    </w:p>
    <w:p w:rsidR="00724342" w:rsidRPr="00724342" w:rsidRDefault="00724342" w:rsidP="0041627D">
      <w:pPr>
        <w:tabs>
          <w:tab w:val="left" w:pos="993"/>
        </w:tabs>
        <w:ind w:firstLine="426"/>
        <w:jc w:val="both"/>
        <w:rPr>
          <w:sz w:val="22"/>
          <w:szCs w:val="22"/>
        </w:rPr>
      </w:pPr>
      <w:r w:rsidRPr="00724342">
        <w:rPr>
          <w:sz w:val="22"/>
          <w:szCs w:val="22"/>
        </w:rPr>
        <w:t>4. Стратегия развития аграрной сферы экономики: проблемы и пути решения: Коллективная монография [Текст] / А. И. Алтухов [и др.]; под общ. ред. д-ра экон. наук, профессора А. И. Трубилина. – Краснодар : Просвещение-Юг, 2017. – 703 с.</w:t>
      </w:r>
    </w:p>
    <w:p w:rsidR="00724342" w:rsidRPr="00724342" w:rsidRDefault="00724342" w:rsidP="0041627D">
      <w:pPr>
        <w:tabs>
          <w:tab w:val="left" w:pos="993"/>
        </w:tabs>
        <w:ind w:firstLine="426"/>
        <w:jc w:val="both"/>
        <w:rPr>
          <w:sz w:val="22"/>
          <w:szCs w:val="22"/>
        </w:rPr>
      </w:pPr>
      <w:r w:rsidRPr="00724342">
        <w:rPr>
          <w:sz w:val="22"/>
          <w:szCs w:val="22"/>
        </w:rPr>
        <w:lastRenderedPageBreak/>
        <w:t>5. Тюпаков, К. Э. Факторы стоимости производства озимой пшеницы в сельскохозяйственных организациях Краснодарского края / К. Э. Тюпаков, Н. Р. Сайфетдинова, А. Р. Сайфетдинов // Международный научно-исследовательский журнал. – 2014. – № 4–3(23). – С. 73–76.</w:t>
      </w:r>
    </w:p>
    <w:p w:rsidR="00724342" w:rsidRPr="00724342" w:rsidRDefault="00724342" w:rsidP="0041627D">
      <w:pPr>
        <w:widowControl w:val="0"/>
        <w:autoSpaceDE w:val="0"/>
        <w:autoSpaceDN w:val="0"/>
        <w:adjustRightInd w:val="0"/>
        <w:ind w:firstLine="426"/>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rPr>
          <w:rFonts w:eastAsiaTheme="minorHAnsi"/>
          <w:sz w:val="22"/>
          <w:szCs w:val="24"/>
          <w:lang w:eastAsia="en-US"/>
        </w:rPr>
      </w:pPr>
      <w:r w:rsidRPr="00724342">
        <w:rPr>
          <w:rFonts w:eastAsiaTheme="minorHAnsi"/>
          <w:sz w:val="22"/>
          <w:szCs w:val="24"/>
          <w:lang w:eastAsia="en-US"/>
        </w:rPr>
        <w:t>УДК 338.43:634.1</w:t>
      </w:r>
    </w:p>
    <w:p w:rsidR="00724342" w:rsidRPr="00724342" w:rsidRDefault="00724342" w:rsidP="00724342">
      <w:pPr>
        <w:jc w:val="center"/>
        <w:rPr>
          <w:rFonts w:eastAsiaTheme="minorHAnsi"/>
          <w:sz w:val="24"/>
          <w:szCs w:val="24"/>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Приоритеты развития подотрасли садоводства </w:t>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Краснодарского края</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 xml:space="preserve">Priorities for the development of the horticulture sub sector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of the Krasnodar Territory</w:t>
      </w:r>
    </w:p>
    <w:p w:rsidR="00724342" w:rsidRPr="00724342" w:rsidRDefault="00724342" w:rsidP="00724342">
      <w:pPr>
        <w:jc w:val="center"/>
        <w:rPr>
          <w:rFonts w:eastAsiaTheme="minorHAnsi"/>
          <w:sz w:val="24"/>
          <w:szCs w:val="24"/>
          <w:lang w:val="en-US" w:eastAsia="en-US"/>
        </w:rPr>
      </w:pPr>
    </w:p>
    <w:p w:rsidR="00724342" w:rsidRPr="00C56F2E" w:rsidRDefault="00724342" w:rsidP="00724342">
      <w:pPr>
        <w:jc w:val="right"/>
        <w:rPr>
          <w:rFonts w:eastAsiaTheme="minorHAnsi"/>
          <w:sz w:val="22"/>
          <w:szCs w:val="24"/>
          <w:lang w:val="en-US" w:eastAsia="en-US"/>
        </w:rPr>
      </w:pPr>
      <w:r w:rsidRPr="00724342">
        <w:rPr>
          <w:rFonts w:eastAsiaTheme="minorHAnsi"/>
          <w:sz w:val="22"/>
          <w:szCs w:val="24"/>
          <w:lang w:eastAsia="en-US"/>
        </w:rPr>
        <w:t>Головкина</w:t>
      </w:r>
      <w:r w:rsidRPr="00724342">
        <w:rPr>
          <w:rFonts w:eastAsiaTheme="minorHAnsi"/>
          <w:sz w:val="22"/>
          <w:szCs w:val="24"/>
          <w:lang w:val="en-US" w:eastAsia="en-US"/>
        </w:rPr>
        <w:t xml:space="preserve"> </w:t>
      </w:r>
      <w:r w:rsidRPr="00724342">
        <w:rPr>
          <w:rFonts w:eastAsiaTheme="minorHAnsi"/>
          <w:sz w:val="22"/>
          <w:szCs w:val="24"/>
          <w:lang w:eastAsia="en-US"/>
        </w:rPr>
        <w:t>А</w:t>
      </w:r>
      <w:r w:rsidRPr="00724342">
        <w:rPr>
          <w:rFonts w:eastAsiaTheme="minorHAnsi"/>
          <w:sz w:val="22"/>
          <w:szCs w:val="24"/>
          <w:lang w:val="en-US" w:eastAsia="en-US"/>
        </w:rPr>
        <w:t>.</w:t>
      </w:r>
      <w:r w:rsidR="0041627D" w:rsidRPr="00C56F2E">
        <w:rPr>
          <w:rFonts w:eastAsiaTheme="minorHAnsi"/>
          <w:sz w:val="22"/>
          <w:szCs w:val="24"/>
          <w:lang w:val="en-US" w:eastAsia="en-US"/>
        </w:rPr>
        <w:t xml:space="preserve"> </w:t>
      </w:r>
      <w:r w:rsidRPr="00724342">
        <w:rPr>
          <w:rFonts w:eastAsiaTheme="minorHAnsi"/>
          <w:sz w:val="22"/>
          <w:szCs w:val="24"/>
          <w:lang w:eastAsia="en-US"/>
        </w:rPr>
        <w:t>И</w:t>
      </w:r>
      <w:r w:rsidRPr="00724342">
        <w:rPr>
          <w:rFonts w:eastAsiaTheme="minorHAnsi"/>
          <w:sz w:val="22"/>
          <w:szCs w:val="24"/>
          <w:lang w:val="en-US" w:eastAsia="en-US"/>
        </w:rPr>
        <w:t>.</w:t>
      </w:r>
      <w:r w:rsidR="0041627D" w:rsidRPr="00C56F2E">
        <w:rPr>
          <w:rFonts w:eastAsiaTheme="minorHAnsi"/>
          <w:sz w:val="22"/>
          <w:szCs w:val="24"/>
          <w:lang w:val="en-US" w:eastAsia="en-US"/>
        </w:rPr>
        <w:t>,</w:t>
      </w:r>
    </w:p>
    <w:p w:rsidR="00724342" w:rsidRPr="00724342" w:rsidRDefault="00724342" w:rsidP="00724342">
      <w:pPr>
        <w:jc w:val="right"/>
        <w:rPr>
          <w:rFonts w:eastAsiaTheme="minorHAnsi"/>
          <w:sz w:val="22"/>
          <w:szCs w:val="24"/>
          <w:lang w:eastAsia="en-US"/>
        </w:rPr>
      </w:pPr>
      <w:r w:rsidRPr="00724342">
        <w:rPr>
          <w:rFonts w:eastAsiaTheme="minorHAnsi"/>
          <w:sz w:val="22"/>
          <w:szCs w:val="24"/>
          <w:lang w:eastAsia="en-US"/>
        </w:rPr>
        <w:t>студентка 4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right"/>
        <w:rPr>
          <w:rFonts w:eastAsiaTheme="minorHAnsi"/>
          <w:sz w:val="22"/>
          <w:szCs w:val="24"/>
          <w:lang w:eastAsia="en-US"/>
        </w:rPr>
      </w:pP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АННОТАЦИЯ. Представлены результаты экономико-статистического анализа производства продукции садоводства в сельскохозяйственных организациях Краснодарского края. Отмеч</w:t>
      </w:r>
      <w:r w:rsidRPr="00724342">
        <w:rPr>
          <w:rFonts w:eastAsiaTheme="minorHAnsi"/>
          <w:sz w:val="22"/>
          <w:szCs w:val="22"/>
          <w:lang w:eastAsia="en-US"/>
        </w:rPr>
        <w:t>е</w:t>
      </w:r>
      <w:r w:rsidRPr="00724342">
        <w:rPr>
          <w:rFonts w:eastAsiaTheme="minorHAnsi"/>
          <w:sz w:val="22"/>
          <w:szCs w:val="22"/>
          <w:lang w:eastAsia="en-US"/>
        </w:rPr>
        <w:t>но, что для повышения объемов производства отечественной пл</w:t>
      </w:r>
      <w:r w:rsidRPr="00724342">
        <w:rPr>
          <w:rFonts w:eastAsiaTheme="minorHAnsi"/>
          <w:sz w:val="22"/>
          <w:szCs w:val="22"/>
          <w:lang w:eastAsia="en-US"/>
        </w:rPr>
        <w:t>о</w:t>
      </w:r>
      <w:r w:rsidRPr="00724342">
        <w:rPr>
          <w:rFonts w:eastAsiaTheme="minorHAnsi"/>
          <w:sz w:val="22"/>
          <w:szCs w:val="22"/>
          <w:lang w:eastAsia="en-US"/>
        </w:rPr>
        <w:t>довой продукции необходимо скорейшее обновление технико-технологической и материальной базы подотрасли, включая знач</w:t>
      </w:r>
      <w:r w:rsidRPr="00724342">
        <w:rPr>
          <w:rFonts w:eastAsiaTheme="minorHAnsi"/>
          <w:sz w:val="22"/>
          <w:szCs w:val="22"/>
          <w:lang w:eastAsia="en-US"/>
        </w:rPr>
        <w:t>и</w:t>
      </w:r>
      <w:r w:rsidRPr="00724342">
        <w:rPr>
          <w:rFonts w:eastAsiaTheme="minorHAnsi"/>
          <w:sz w:val="22"/>
          <w:szCs w:val="22"/>
          <w:lang w:eastAsia="en-US"/>
        </w:rPr>
        <w:t>тельное увеличения доли садов интенсивного типа.</w:t>
      </w:r>
    </w:p>
    <w:p w:rsidR="00724342" w:rsidRPr="00724342" w:rsidRDefault="00724342" w:rsidP="0041627D">
      <w:pPr>
        <w:ind w:firstLine="426"/>
        <w:jc w:val="both"/>
        <w:rPr>
          <w:rFonts w:eastAsiaTheme="minorHAnsi"/>
          <w:sz w:val="22"/>
          <w:szCs w:val="22"/>
          <w:lang w:val="en-US" w:eastAsia="en-US"/>
        </w:rPr>
      </w:pPr>
      <w:r w:rsidRPr="00724342">
        <w:rPr>
          <w:rFonts w:eastAsia="Courier New"/>
          <w:color w:val="000000"/>
          <w:sz w:val="22"/>
          <w:szCs w:val="22"/>
          <w:lang w:val="en-US"/>
        </w:rPr>
        <w:t xml:space="preserve">ABSTRACT: </w:t>
      </w:r>
      <w:r w:rsidRPr="00724342">
        <w:rPr>
          <w:rFonts w:eastAsiaTheme="minorHAnsi"/>
          <w:sz w:val="22"/>
          <w:szCs w:val="22"/>
          <w:lang w:val="en-US" w:eastAsia="en-US"/>
        </w:rPr>
        <w:t>The results of the economic and statistical analysis of production of horticultural products in agricultural organizations of the Krasnodar Territory are presented. It is noted that in order to increase production of fruit products, it is necessary to update the technical, tec</w:t>
      </w:r>
      <w:r w:rsidRPr="00724342">
        <w:rPr>
          <w:rFonts w:eastAsiaTheme="minorHAnsi"/>
          <w:sz w:val="22"/>
          <w:szCs w:val="22"/>
          <w:lang w:val="en-US" w:eastAsia="en-US"/>
        </w:rPr>
        <w:t>h</w:t>
      </w:r>
      <w:r w:rsidRPr="00724342">
        <w:rPr>
          <w:rFonts w:eastAsiaTheme="minorHAnsi"/>
          <w:sz w:val="22"/>
          <w:szCs w:val="22"/>
          <w:lang w:val="en-US" w:eastAsia="en-US"/>
        </w:rPr>
        <w:t>nological and material base of the sub-sector as soon as possible, inclu</w:t>
      </w:r>
      <w:r w:rsidRPr="00724342">
        <w:rPr>
          <w:rFonts w:eastAsiaTheme="minorHAnsi"/>
          <w:sz w:val="22"/>
          <w:szCs w:val="22"/>
          <w:lang w:val="en-US" w:eastAsia="en-US"/>
        </w:rPr>
        <w:t>d</w:t>
      </w:r>
      <w:r w:rsidRPr="00724342">
        <w:rPr>
          <w:rFonts w:eastAsiaTheme="minorHAnsi"/>
          <w:sz w:val="22"/>
          <w:szCs w:val="22"/>
          <w:lang w:val="en-US" w:eastAsia="en-US"/>
        </w:rPr>
        <w:t>ing a significant increase in the share of intensive gardens.</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КЛЮЧЕВЫЕ СЛОВА. садоводство, инновации, экономическая эффективность, интенсификация, импортозамещение.</w:t>
      </w:r>
    </w:p>
    <w:p w:rsidR="00724342" w:rsidRPr="00724342" w:rsidRDefault="00724342" w:rsidP="0041627D">
      <w:pPr>
        <w:ind w:firstLine="426"/>
        <w:jc w:val="both"/>
        <w:rPr>
          <w:rFonts w:eastAsiaTheme="minorHAnsi"/>
          <w:sz w:val="22"/>
          <w:szCs w:val="22"/>
          <w:lang w:val="en-US" w:eastAsia="en-US"/>
        </w:rPr>
      </w:pPr>
      <w:r w:rsidRPr="00724342">
        <w:rPr>
          <w:rFonts w:eastAsiaTheme="minorHAnsi"/>
          <w:sz w:val="22"/>
          <w:szCs w:val="22"/>
          <w:lang w:val="en-US" w:eastAsia="en-US"/>
        </w:rPr>
        <w:t>KEYWORDS. Gardening, innovation, economic efficiency, intens</w:t>
      </w:r>
      <w:r w:rsidRPr="00724342">
        <w:rPr>
          <w:rFonts w:eastAsiaTheme="minorHAnsi"/>
          <w:sz w:val="22"/>
          <w:szCs w:val="22"/>
          <w:lang w:val="en-US" w:eastAsia="en-US"/>
        </w:rPr>
        <w:t>i</w:t>
      </w:r>
      <w:r w:rsidRPr="00724342">
        <w:rPr>
          <w:rFonts w:eastAsiaTheme="minorHAnsi"/>
          <w:sz w:val="22"/>
          <w:szCs w:val="22"/>
          <w:lang w:val="en-US" w:eastAsia="en-US"/>
        </w:rPr>
        <w:t>fication, import substitution.</w:t>
      </w:r>
    </w:p>
    <w:p w:rsidR="00724342" w:rsidRPr="00724342" w:rsidRDefault="00724342" w:rsidP="0041627D">
      <w:pPr>
        <w:ind w:firstLine="426"/>
        <w:jc w:val="both"/>
        <w:rPr>
          <w:rFonts w:eastAsiaTheme="minorHAnsi"/>
          <w:sz w:val="22"/>
          <w:szCs w:val="22"/>
          <w:lang w:val="en-US" w:eastAsia="en-US"/>
        </w:rPr>
      </w:pP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В 2014–2017 гг. отечественное сельское хозяйство продемо</w:t>
      </w:r>
      <w:r w:rsidRPr="00724342">
        <w:rPr>
          <w:rFonts w:eastAsiaTheme="minorHAnsi"/>
          <w:sz w:val="22"/>
          <w:szCs w:val="22"/>
          <w:lang w:eastAsia="en-US"/>
        </w:rPr>
        <w:t>н</w:t>
      </w:r>
      <w:r w:rsidRPr="00724342">
        <w:rPr>
          <w:rFonts w:eastAsiaTheme="minorHAnsi"/>
          <w:sz w:val="22"/>
          <w:szCs w:val="22"/>
          <w:lang w:eastAsia="en-US"/>
        </w:rPr>
        <w:t>стрировало заметные результаты импортозамещения сельскохозя</w:t>
      </w:r>
      <w:r w:rsidRPr="00724342">
        <w:rPr>
          <w:rFonts w:eastAsiaTheme="minorHAnsi"/>
          <w:sz w:val="22"/>
          <w:szCs w:val="22"/>
          <w:lang w:eastAsia="en-US"/>
        </w:rPr>
        <w:t>й</w:t>
      </w:r>
      <w:r w:rsidRPr="00724342">
        <w:rPr>
          <w:rFonts w:eastAsiaTheme="minorHAnsi"/>
          <w:sz w:val="22"/>
          <w:szCs w:val="22"/>
          <w:lang w:eastAsia="en-US"/>
        </w:rPr>
        <w:t>ственного сырья и продовольствия, важный вклад в которые внесли товаропроизводители Краснодарского края [3]. В этот период в р</w:t>
      </w:r>
      <w:r w:rsidRPr="00724342">
        <w:rPr>
          <w:rFonts w:eastAsiaTheme="minorHAnsi"/>
          <w:sz w:val="22"/>
          <w:szCs w:val="22"/>
          <w:lang w:eastAsia="en-US"/>
        </w:rPr>
        <w:t>е</w:t>
      </w:r>
      <w:r w:rsidRPr="00724342">
        <w:rPr>
          <w:rFonts w:eastAsiaTheme="minorHAnsi"/>
          <w:sz w:val="22"/>
          <w:szCs w:val="22"/>
          <w:lang w:eastAsia="en-US"/>
        </w:rPr>
        <w:t>гионе значительно увеличились объемы производства продукции растениеводства, в том числе плодов косточковых и семечковых культур. Так, в 2016 г. валовой сбор яблок, груш, вишни и других плодовых культур в сельскохозяйственных организациях Красн</w:t>
      </w:r>
      <w:r w:rsidRPr="00724342">
        <w:rPr>
          <w:rFonts w:eastAsiaTheme="minorHAnsi"/>
          <w:sz w:val="22"/>
          <w:szCs w:val="22"/>
          <w:lang w:eastAsia="en-US"/>
        </w:rPr>
        <w:t>о</w:t>
      </w:r>
      <w:r w:rsidRPr="00724342">
        <w:rPr>
          <w:rFonts w:eastAsiaTheme="minorHAnsi"/>
          <w:sz w:val="22"/>
          <w:szCs w:val="22"/>
          <w:lang w:eastAsia="en-US"/>
        </w:rPr>
        <w:t xml:space="preserve">дарского края составил 325,3 тыс. т, что превысило аналогичный показатель 2010 г. в 2,3 раза.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Повышение объемов отечественного производства плодовых культур сопровождалось снижением импорта этого вида сельскох</w:t>
      </w:r>
      <w:r w:rsidRPr="00724342">
        <w:rPr>
          <w:rFonts w:eastAsiaTheme="minorHAnsi"/>
          <w:sz w:val="22"/>
          <w:szCs w:val="22"/>
          <w:lang w:eastAsia="en-US"/>
        </w:rPr>
        <w:t>о</w:t>
      </w:r>
      <w:r w:rsidRPr="00724342">
        <w:rPr>
          <w:rFonts w:eastAsiaTheme="minorHAnsi"/>
          <w:sz w:val="22"/>
          <w:szCs w:val="22"/>
          <w:lang w:eastAsia="en-US"/>
        </w:rPr>
        <w:t>зяйственной продукции в нашу страну. Так, в 2017 г. в Россию было ввезено 1,3 млн т яблок, груш, абрикос, вишни, черешни и других косточковых и семечковых культур, что на 26,5 % ниже аналоги</w:t>
      </w:r>
      <w:r w:rsidRPr="00724342">
        <w:rPr>
          <w:rFonts w:eastAsiaTheme="minorHAnsi"/>
          <w:sz w:val="22"/>
          <w:szCs w:val="22"/>
          <w:lang w:eastAsia="en-US"/>
        </w:rPr>
        <w:t>ч</w:t>
      </w:r>
      <w:r w:rsidRPr="00724342">
        <w:rPr>
          <w:rFonts w:eastAsiaTheme="minorHAnsi"/>
          <w:sz w:val="22"/>
          <w:szCs w:val="22"/>
          <w:lang w:eastAsia="en-US"/>
        </w:rPr>
        <w:t>ного показателя 2014 г. С 2014 по 2017 гг. стоимость этой проду</w:t>
      </w:r>
      <w:r w:rsidRPr="00724342">
        <w:rPr>
          <w:rFonts w:eastAsiaTheme="minorHAnsi"/>
          <w:sz w:val="22"/>
          <w:szCs w:val="22"/>
          <w:lang w:eastAsia="en-US"/>
        </w:rPr>
        <w:t>к</w:t>
      </w:r>
      <w:r w:rsidRPr="00724342">
        <w:rPr>
          <w:rFonts w:eastAsiaTheme="minorHAnsi"/>
          <w:sz w:val="22"/>
          <w:szCs w:val="22"/>
          <w:lang w:eastAsia="en-US"/>
        </w:rPr>
        <w:t xml:space="preserve">ции, импортируемой в Россию, снизилась на 534 и составила 950 млн долл. США.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 xml:space="preserve">В анализируемый период времени произошли существенные изменения в страновой структуре импорта плодовой продукции в Россию. В 2017 г. наибольший удельный вес в структуре импорта плодов семечковых и косточковых культур в нашу страну имела Молдова (20 % ), Сербия (18 % ) и Беларусь (14 % ), в то время как еще в 2014 г. основным поставщиком плодов в Россию являлась Польша. </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Несмотря на заметные положительные результаты в развитии отечественной подотрасли садоводства, в России потребности нас</w:t>
      </w:r>
      <w:r w:rsidRPr="00724342">
        <w:rPr>
          <w:rFonts w:eastAsiaTheme="minorHAnsi"/>
          <w:sz w:val="22"/>
          <w:szCs w:val="22"/>
          <w:lang w:eastAsia="en-US"/>
        </w:rPr>
        <w:t>е</w:t>
      </w:r>
      <w:r w:rsidRPr="00724342">
        <w:rPr>
          <w:rFonts w:eastAsiaTheme="minorHAnsi"/>
          <w:sz w:val="22"/>
          <w:szCs w:val="22"/>
          <w:lang w:eastAsia="en-US"/>
        </w:rPr>
        <w:t>ления в качественной плодово-ягодной продукции по-прежнему не удовлетворяются в полном объеме. Так, в нашей стране рекоменд</w:t>
      </w:r>
      <w:r w:rsidRPr="00724342">
        <w:rPr>
          <w:rFonts w:eastAsiaTheme="minorHAnsi"/>
          <w:sz w:val="22"/>
          <w:szCs w:val="22"/>
          <w:lang w:eastAsia="en-US"/>
        </w:rPr>
        <w:t>у</w:t>
      </w:r>
      <w:r w:rsidRPr="00724342">
        <w:rPr>
          <w:rFonts w:eastAsiaTheme="minorHAnsi"/>
          <w:sz w:val="22"/>
          <w:szCs w:val="22"/>
          <w:lang w:eastAsia="en-US"/>
        </w:rPr>
        <w:t>емая медицинская норма потребления этого вида продукции с</w:t>
      </w:r>
      <w:r w:rsidRPr="00724342">
        <w:rPr>
          <w:rFonts w:eastAsiaTheme="minorHAnsi"/>
          <w:sz w:val="22"/>
          <w:szCs w:val="22"/>
          <w:lang w:eastAsia="en-US"/>
        </w:rPr>
        <w:t>о</w:t>
      </w:r>
      <w:r w:rsidRPr="00724342">
        <w:rPr>
          <w:rFonts w:eastAsiaTheme="minorHAnsi"/>
          <w:sz w:val="22"/>
          <w:szCs w:val="22"/>
          <w:lang w:eastAsia="en-US"/>
        </w:rPr>
        <w:t>ставляет 90-100 кг на одного человека в год [2]. Вместе с тем, в</w:t>
      </w:r>
      <w:r w:rsidRPr="00724342">
        <w:rPr>
          <w:rFonts w:eastAsiaTheme="minorHAnsi"/>
          <w:sz w:val="22"/>
          <w:szCs w:val="22"/>
          <w:lang w:eastAsia="en-US"/>
        </w:rPr>
        <w:t>ы</w:t>
      </w:r>
      <w:r w:rsidRPr="00724342">
        <w:rPr>
          <w:rFonts w:eastAsiaTheme="minorHAnsi"/>
          <w:sz w:val="22"/>
          <w:szCs w:val="22"/>
          <w:lang w:eastAsia="en-US"/>
        </w:rPr>
        <w:t>полненный анализ показал, что ее фактическое значение составляет только 65 кг, что также кратно ниже аналогичного показателя эк</w:t>
      </w:r>
      <w:r w:rsidRPr="00724342">
        <w:rPr>
          <w:rFonts w:eastAsiaTheme="minorHAnsi"/>
          <w:sz w:val="22"/>
          <w:szCs w:val="22"/>
          <w:lang w:eastAsia="en-US"/>
        </w:rPr>
        <w:t>о</w:t>
      </w:r>
      <w:r w:rsidRPr="00724342">
        <w:rPr>
          <w:rFonts w:eastAsiaTheme="minorHAnsi"/>
          <w:sz w:val="22"/>
          <w:szCs w:val="22"/>
          <w:lang w:eastAsia="en-US"/>
        </w:rPr>
        <w:t>номически развитых стран запада [1].</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Отметим, что природный, биологический, технологический и экономический потенциал подотрасли садоводства Краснодарского края используется далеко не полностью. По-прежнему многие х</w:t>
      </w:r>
      <w:r w:rsidRPr="00724342">
        <w:rPr>
          <w:rFonts w:eastAsiaTheme="minorHAnsi"/>
          <w:sz w:val="22"/>
          <w:szCs w:val="22"/>
          <w:lang w:eastAsia="en-US"/>
        </w:rPr>
        <w:t>о</w:t>
      </w:r>
      <w:r w:rsidRPr="00724342">
        <w:rPr>
          <w:rFonts w:eastAsiaTheme="minorHAnsi"/>
          <w:sz w:val="22"/>
          <w:szCs w:val="22"/>
          <w:lang w:eastAsia="en-US"/>
        </w:rPr>
        <w:lastRenderedPageBreak/>
        <w:t>зяйства региона используют низкопроизводительную технику и оборудование с высоким моральным и физическим износом, что сдерживает ускоренное развитие подотрасли. Для перехода подо</w:t>
      </w:r>
      <w:r w:rsidRPr="00724342">
        <w:rPr>
          <w:rFonts w:eastAsiaTheme="minorHAnsi"/>
          <w:sz w:val="22"/>
          <w:szCs w:val="22"/>
          <w:lang w:eastAsia="en-US"/>
        </w:rPr>
        <w:t>т</w:t>
      </w:r>
      <w:r w:rsidRPr="00724342">
        <w:rPr>
          <w:rFonts w:eastAsiaTheme="minorHAnsi"/>
          <w:sz w:val="22"/>
          <w:szCs w:val="22"/>
          <w:lang w:eastAsia="en-US"/>
        </w:rPr>
        <w:t>расли на инновационный путь развития необходимы крупные цел</w:t>
      </w:r>
      <w:r w:rsidRPr="00724342">
        <w:rPr>
          <w:rFonts w:eastAsiaTheme="minorHAnsi"/>
          <w:sz w:val="22"/>
          <w:szCs w:val="22"/>
          <w:lang w:eastAsia="en-US"/>
        </w:rPr>
        <w:t>е</w:t>
      </w:r>
      <w:r w:rsidRPr="00724342">
        <w:rPr>
          <w:rFonts w:eastAsiaTheme="minorHAnsi"/>
          <w:sz w:val="22"/>
          <w:szCs w:val="22"/>
          <w:lang w:eastAsia="en-US"/>
        </w:rPr>
        <w:t>направленные инвестиции в модернизацию технико-технологической базы производства [4, 5].</w:t>
      </w:r>
    </w:p>
    <w:p w:rsidR="00724342" w:rsidRPr="00724342" w:rsidRDefault="00724342" w:rsidP="0041627D">
      <w:pPr>
        <w:ind w:firstLine="426"/>
        <w:jc w:val="both"/>
        <w:rPr>
          <w:rFonts w:eastAsiaTheme="minorHAnsi"/>
          <w:spacing w:val="-4"/>
          <w:sz w:val="22"/>
          <w:szCs w:val="22"/>
          <w:lang w:eastAsia="en-US"/>
        </w:rPr>
      </w:pPr>
      <w:r w:rsidRPr="00724342">
        <w:rPr>
          <w:rFonts w:eastAsiaTheme="minorHAnsi"/>
          <w:spacing w:val="-4"/>
          <w:sz w:val="22"/>
          <w:szCs w:val="22"/>
          <w:lang w:eastAsia="en-US"/>
        </w:rPr>
        <w:t>Проведенное исследование позволяет сделать следующие выв</w:t>
      </w:r>
      <w:r w:rsidRPr="00724342">
        <w:rPr>
          <w:rFonts w:eastAsiaTheme="minorHAnsi"/>
          <w:spacing w:val="-4"/>
          <w:sz w:val="22"/>
          <w:szCs w:val="22"/>
          <w:lang w:eastAsia="en-US"/>
        </w:rPr>
        <w:t>о</w:t>
      </w:r>
      <w:r w:rsidRPr="00724342">
        <w:rPr>
          <w:rFonts w:eastAsiaTheme="minorHAnsi"/>
          <w:spacing w:val="-4"/>
          <w:sz w:val="22"/>
          <w:szCs w:val="22"/>
          <w:lang w:eastAsia="en-US"/>
        </w:rPr>
        <w:t>ды: во-первых, в 2014–2016 гг. стоимость плодов семечковых и к</w:t>
      </w:r>
      <w:r w:rsidRPr="00724342">
        <w:rPr>
          <w:rFonts w:eastAsiaTheme="minorHAnsi"/>
          <w:spacing w:val="-4"/>
          <w:sz w:val="22"/>
          <w:szCs w:val="22"/>
          <w:lang w:eastAsia="en-US"/>
        </w:rPr>
        <w:t>о</w:t>
      </w:r>
      <w:r w:rsidRPr="00724342">
        <w:rPr>
          <w:rFonts w:eastAsiaTheme="minorHAnsi"/>
          <w:spacing w:val="-4"/>
          <w:sz w:val="22"/>
          <w:szCs w:val="22"/>
          <w:lang w:eastAsia="en-US"/>
        </w:rPr>
        <w:t>сточковых культур, импортируемых в Россию, снизилась более чем на 30 %. Во-вторых, в 2016 г. в России уровень потребления фруктов и ягод составил только 65 кг на душу населения в год при рекоменду</w:t>
      </w:r>
      <w:r w:rsidRPr="00724342">
        <w:rPr>
          <w:rFonts w:eastAsiaTheme="minorHAnsi"/>
          <w:spacing w:val="-4"/>
          <w:sz w:val="22"/>
          <w:szCs w:val="22"/>
          <w:lang w:eastAsia="en-US"/>
        </w:rPr>
        <w:t>е</w:t>
      </w:r>
      <w:r w:rsidRPr="00724342">
        <w:rPr>
          <w:rFonts w:eastAsiaTheme="minorHAnsi"/>
          <w:spacing w:val="-4"/>
          <w:sz w:val="22"/>
          <w:szCs w:val="22"/>
          <w:lang w:eastAsia="en-US"/>
        </w:rPr>
        <w:t>мой медицинской норме равной 90–100 кг. Решение этой проблемы требует кратного увеличения объемов производства отечественной плодово-ягодной продукции с высоким качеством и приемлемой ц</w:t>
      </w:r>
      <w:r w:rsidRPr="00724342">
        <w:rPr>
          <w:rFonts w:eastAsiaTheme="minorHAnsi"/>
          <w:spacing w:val="-4"/>
          <w:sz w:val="22"/>
          <w:szCs w:val="22"/>
          <w:lang w:eastAsia="en-US"/>
        </w:rPr>
        <w:t>е</w:t>
      </w:r>
      <w:r w:rsidRPr="00724342">
        <w:rPr>
          <w:rFonts w:eastAsiaTheme="minorHAnsi"/>
          <w:spacing w:val="-4"/>
          <w:sz w:val="22"/>
          <w:szCs w:val="22"/>
          <w:lang w:eastAsia="en-US"/>
        </w:rPr>
        <w:t>ной реализации. В то же время для повышения объемов производства и конкурентоспособности отечественной плодовой продукции на внутреннем и внешних рынках необходимо скорейшее обновление технико-технологической и материальной базы подотрасли.</w:t>
      </w:r>
    </w:p>
    <w:p w:rsidR="00724342" w:rsidRPr="00724342" w:rsidRDefault="00724342" w:rsidP="0041627D">
      <w:pPr>
        <w:ind w:firstLine="426"/>
        <w:jc w:val="both"/>
        <w:rPr>
          <w:rFonts w:eastAsiaTheme="minorHAnsi"/>
          <w:sz w:val="22"/>
          <w:szCs w:val="22"/>
          <w:lang w:eastAsia="en-US"/>
        </w:rPr>
      </w:pPr>
    </w:p>
    <w:p w:rsidR="00724342" w:rsidRPr="00724342" w:rsidRDefault="00724342" w:rsidP="0041627D">
      <w:pPr>
        <w:ind w:firstLine="426"/>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1. Агошкова, Н. Е. Проблемы и перспективы инновационного развития плодоводства в России / Н. Е. Агошкова, Н. Н. Агошкова // Национальные интересы: приоритеты и безопасность. – 2014. – № 17. – с. 29–36.</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2. Егоров, Е. А. Оптимальные параметры ресурсоемкости пр</w:t>
      </w:r>
      <w:r w:rsidRPr="00724342">
        <w:rPr>
          <w:rFonts w:eastAsiaTheme="minorHAnsi"/>
          <w:sz w:val="22"/>
          <w:szCs w:val="22"/>
          <w:lang w:eastAsia="en-US"/>
        </w:rPr>
        <w:t>о</w:t>
      </w:r>
      <w:r w:rsidRPr="00724342">
        <w:rPr>
          <w:rFonts w:eastAsiaTheme="minorHAnsi"/>
          <w:sz w:val="22"/>
          <w:szCs w:val="22"/>
          <w:lang w:eastAsia="en-US"/>
        </w:rPr>
        <w:t>изводства плодовой продукции / Е. А. Егоров, Ж. А. Шадрина, Г. А. Кочьян // Садоводство и виноградарство. – 2016. – № 3. – С. 5–11.</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3. Проблемы и перспективы развития АПК и сельских террит</w:t>
      </w:r>
      <w:r w:rsidRPr="00724342">
        <w:rPr>
          <w:rFonts w:eastAsiaTheme="minorHAnsi"/>
          <w:sz w:val="22"/>
          <w:szCs w:val="22"/>
          <w:lang w:eastAsia="en-US"/>
        </w:rPr>
        <w:t>о</w:t>
      </w:r>
      <w:r w:rsidRPr="00724342">
        <w:rPr>
          <w:rFonts w:eastAsiaTheme="minorHAnsi"/>
          <w:sz w:val="22"/>
          <w:szCs w:val="22"/>
          <w:lang w:eastAsia="en-US"/>
        </w:rPr>
        <w:t>рий. Книга 3 : монография [Текст] / О. А. Аничкина, Ю. И. Берши</w:t>
      </w:r>
      <w:r w:rsidRPr="00724342">
        <w:rPr>
          <w:rFonts w:eastAsiaTheme="minorHAnsi"/>
          <w:sz w:val="22"/>
          <w:szCs w:val="22"/>
          <w:lang w:eastAsia="en-US"/>
        </w:rPr>
        <w:t>ц</w:t>
      </w:r>
      <w:r w:rsidRPr="00724342">
        <w:rPr>
          <w:rFonts w:eastAsiaTheme="minorHAnsi"/>
          <w:sz w:val="22"/>
          <w:szCs w:val="22"/>
          <w:lang w:eastAsia="en-US"/>
        </w:rPr>
        <w:t>кий, Л. В. Гайдаренко и др. / под общ. ред. С. С. Чернова. – Новос</w:t>
      </w:r>
      <w:r w:rsidRPr="00724342">
        <w:rPr>
          <w:rFonts w:eastAsiaTheme="minorHAnsi"/>
          <w:sz w:val="22"/>
          <w:szCs w:val="22"/>
          <w:lang w:eastAsia="en-US"/>
        </w:rPr>
        <w:t>и</w:t>
      </w:r>
      <w:r w:rsidRPr="00724342">
        <w:rPr>
          <w:rFonts w:eastAsiaTheme="minorHAnsi"/>
          <w:sz w:val="22"/>
          <w:szCs w:val="22"/>
          <w:lang w:eastAsia="en-US"/>
        </w:rPr>
        <w:t>бирск : Издательство ЦРНС, 2017. – 258 с.</w:t>
      </w:r>
    </w:p>
    <w:p w:rsidR="00724342" w:rsidRPr="00724342" w:rsidRDefault="00724342" w:rsidP="0041627D">
      <w:pPr>
        <w:ind w:firstLine="426"/>
        <w:jc w:val="both"/>
        <w:rPr>
          <w:rFonts w:eastAsiaTheme="minorHAnsi"/>
          <w:sz w:val="22"/>
          <w:szCs w:val="22"/>
          <w:lang w:eastAsia="en-US"/>
        </w:rPr>
      </w:pPr>
      <w:r w:rsidRPr="00724342">
        <w:rPr>
          <w:rFonts w:eastAsiaTheme="minorHAnsi"/>
          <w:sz w:val="22"/>
          <w:szCs w:val="22"/>
          <w:lang w:eastAsia="en-US"/>
        </w:rPr>
        <w:t xml:space="preserve">4. Сайфетдинов, А. Р. Влияние технической оснащенности на эффективность производства продукции растениеводства [Текст] / А. Р. Сайфетдинов, М. Е. Трубилин // KANT. – 2014. – с. 26–31. </w:t>
      </w:r>
    </w:p>
    <w:p w:rsidR="00724342" w:rsidRPr="00E30511" w:rsidRDefault="00724342" w:rsidP="00E30511">
      <w:pPr>
        <w:tabs>
          <w:tab w:val="left" w:pos="993"/>
        </w:tabs>
        <w:ind w:firstLine="426"/>
        <w:jc w:val="both"/>
        <w:rPr>
          <w:rFonts w:eastAsiaTheme="minorHAnsi"/>
          <w:sz w:val="22"/>
          <w:szCs w:val="22"/>
          <w:lang w:eastAsia="en-US"/>
        </w:rPr>
      </w:pPr>
      <w:r w:rsidRPr="00724342">
        <w:rPr>
          <w:rFonts w:eastAsiaTheme="minorHAnsi"/>
          <w:sz w:val="22"/>
          <w:szCs w:val="22"/>
          <w:lang w:eastAsia="en-US"/>
        </w:rPr>
        <w:t>5. Экономическая эффективность технико-технологической модернизации производства продукции растениеводства сельскох</w:t>
      </w:r>
      <w:r w:rsidRPr="00724342">
        <w:rPr>
          <w:rFonts w:eastAsiaTheme="minorHAnsi"/>
          <w:sz w:val="22"/>
          <w:szCs w:val="22"/>
          <w:lang w:eastAsia="en-US"/>
        </w:rPr>
        <w:t>о</w:t>
      </w:r>
      <w:r w:rsidRPr="00724342">
        <w:rPr>
          <w:rFonts w:eastAsiaTheme="minorHAnsi"/>
          <w:sz w:val="22"/>
          <w:szCs w:val="22"/>
          <w:lang w:eastAsia="en-US"/>
        </w:rPr>
        <w:t>зяйственных организаций : монография / Трубилин А. И. [и др.] – Краснодар : КубГАУ, 2017. – 302 с.</w:t>
      </w:r>
    </w:p>
    <w:p w:rsidR="00724342" w:rsidRPr="00724342" w:rsidRDefault="00724342" w:rsidP="00724342">
      <w:pPr>
        <w:outlineLvl w:val="0"/>
        <w:rPr>
          <w:rFonts w:eastAsia="Calibri"/>
          <w:sz w:val="22"/>
          <w:szCs w:val="22"/>
          <w:lang w:eastAsia="en-US"/>
        </w:rPr>
      </w:pPr>
      <w:r w:rsidRPr="00724342">
        <w:rPr>
          <w:rFonts w:eastAsia="Calibri"/>
          <w:sz w:val="22"/>
          <w:szCs w:val="22"/>
          <w:lang w:eastAsia="en-US"/>
        </w:rPr>
        <w:lastRenderedPageBreak/>
        <w:t xml:space="preserve">УДК 331 </w:t>
      </w:r>
    </w:p>
    <w:p w:rsidR="00724342" w:rsidRPr="00724342" w:rsidRDefault="00724342" w:rsidP="00724342">
      <w:pPr>
        <w:outlineLvl w:val="0"/>
        <w:rPr>
          <w:rFonts w:eastAsia="Calibri"/>
          <w:sz w:val="22"/>
          <w:szCs w:val="22"/>
          <w:lang w:eastAsia="en-US"/>
        </w:rPr>
      </w:pPr>
    </w:p>
    <w:p w:rsidR="00724342" w:rsidRPr="0041627D" w:rsidRDefault="00724342" w:rsidP="00724342">
      <w:pPr>
        <w:jc w:val="center"/>
        <w:outlineLvl w:val="0"/>
        <w:rPr>
          <w:rFonts w:eastAsia="Calibri"/>
          <w:b/>
          <w:sz w:val="24"/>
          <w:szCs w:val="24"/>
          <w:lang w:eastAsia="en-US"/>
        </w:rPr>
      </w:pPr>
      <w:r w:rsidRPr="0041627D">
        <w:rPr>
          <w:rFonts w:eastAsia="Calibri"/>
          <w:b/>
          <w:sz w:val="24"/>
          <w:szCs w:val="24"/>
          <w:lang w:eastAsia="en-US"/>
        </w:rPr>
        <w:t xml:space="preserve">Процессуальные и содержательные теории мотивации </w:t>
      </w:r>
    </w:p>
    <w:p w:rsidR="00724342" w:rsidRPr="0041627D" w:rsidRDefault="00724342" w:rsidP="00724342">
      <w:pPr>
        <w:jc w:val="center"/>
        <w:outlineLvl w:val="0"/>
        <w:rPr>
          <w:rFonts w:eastAsia="Calibri"/>
          <w:b/>
          <w:sz w:val="24"/>
          <w:szCs w:val="24"/>
          <w:lang w:val="en-US" w:eastAsia="en-US"/>
        </w:rPr>
      </w:pPr>
      <w:r w:rsidRPr="0041627D">
        <w:rPr>
          <w:rFonts w:eastAsia="Calibri"/>
          <w:b/>
          <w:sz w:val="24"/>
          <w:szCs w:val="24"/>
          <w:lang w:eastAsia="en-US"/>
        </w:rPr>
        <w:t>трудовой</w:t>
      </w:r>
      <w:r w:rsidRPr="0041627D">
        <w:rPr>
          <w:rFonts w:eastAsia="Calibri"/>
          <w:b/>
          <w:sz w:val="24"/>
          <w:szCs w:val="24"/>
          <w:lang w:val="en-US" w:eastAsia="en-US"/>
        </w:rPr>
        <w:t xml:space="preserve"> </w:t>
      </w:r>
      <w:r w:rsidRPr="0041627D">
        <w:rPr>
          <w:rFonts w:eastAsia="Calibri"/>
          <w:b/>
          <w:sz w:val="24"/>
          <w:szCs w:val="24"/>
          <w:lang w:eastAsia="en-US"/>
        </w:rPr>
        <w:t>деятельности</w:t>
      </w:r>
    </w:p>
    <w:p w:rsidR="00724342" w:rsidRPr="0041627D" w:rsidRDefault="00724342" w:rsidP="00724342">
      <w:pPr>
        <w:jc w:val="center"/>
        <w:outlineLvl w:val="0"/>
        <w:rPr>
          <w:rFonts w:eastAsia="Calibri"/>
          <w:b/>
          <w:sz w:val="24"/>
          <w:szCs w:val="24"/>
          <w:lang w:val="en-US" w:eastAsia="en-US"/>
        </w:rPr>
      </w:pPr>
      <w:r w:rsidRPr="0041627D">
        <w:rPr>
          <w:rFonts w:eastAsia="Calibri"/>
          <w:b/>
          <w:sz w:val="24"/>
          <w:szCs w:val="24"/>
          <w:lang w:val="en-US" w:eastAsia="en-US"/>
        </w:rPr>
        <w:t xml:space="preserve">Procedural and substantial theories </w:t>
      </w:r>
    </w:p>
    <w:p w:rsidR="00724342" w:rsidRPr="0041627D" w:rsidRDefault="00724342" w:rsidP="00724342">
      <w:pPr>
        <w:jc w:val="center"/>
        <w:outlineLvl w:val="0"/>
        <w:rPr>
          <w:rFonts w:eastAsia="Calibri"/>
          <w:b/>
          <w:sz w:val="24"/>
          <w:szCs w:val="24"/>
          <w:lang w:val="en-US" w:eastAsia="en-US"/>
        </w:rPr>
      </w:pPr>
      <w:r w:rsidRPr="0041627D">
        <w:rPr>
          <w:rFonts w:eastAsia="Calibri"/>
          <w:b/>
          <w:sz w:val="24"/>
          <w:szCs w:val="24"/>
          <w:lang w:val="en-US" w:eastAsia="en-US"/>
        </w:rPr>
        <w:t>of motivation work</w:t>
      </w:r>
    </w:p>
    <w:p w:rsidR="00724342" w:rsidRPr="00724342" w:rsidRDefault="00724342" w:rsidP="00724342">
      <w:pPr>
        <w:jc w:val="both"/>
        <w:outlineLvl w:val="0"/>
        <w:rPr>
          <w:rFonts w:eastAsia="Calibri"/>
          <w:b/>
          <w:sz w:val="22"/>
          <w:szCs w:val="22"/>
          <w:lang w:val="en-US" w:eastAsia="en-US"/>
        </w:rPr>
      </w:pPr>
    </w:p>
    <w:p w:rsidR="00724342" w:rsidRPr="00C56F2E" w:rsidRDefault="00724342" w:rsidP="0041627D">
      <w:pPr>
        <w:jc w:val="right"/>
        <w:outlineLvl w:val="0"/>
        <w:rPr>
          <w:sz w:val="22"/>
          <w:szCs w:val="22"/>
          <w:lang w:val="en-US"/>
        </w:rPr>
      </w:pPr>
      <w:r w:rsidRPr="00724342">
        <w:rPr>
          <w:sz w:val="22"/>
          <w:szCs w:val="22"/>
        </w:rPr>
        <w:t>Гречкина</w:t>
      </w:r>
      <w:r w:rsidRPr="00C56F2E">
        <w:rPr>
          <w:sz w:val="22"/>
          <w:szCs w:val="22"/>
          <w:lang w:val="en-US"/>
        </w:rPr>
        <w:t xml:space="preserve"> </w:t>
      </w:r>
      <w:r w:rsidRPr="00724342">
        <w:rPr>
          <w:sz w:val="22"/>
          <w:szCs w:val="22"/>
        </w:rPr>
        <w:t>Л</w:t>
      </w:r>
      <w:r w:rsidRPr="00C56F2E">
        <w:rPr>
          <w:sz w:val="22"/>
          <w:szCs w:val="22"/>
          <w:lang w:val="en-US"/>
        </w:rPr>
        <w:t xml:space="preserve">. </w:t>
      </w:r>
      <w:r w:rsidRPr="00724342">
        <w:rPr>
          <w:sz w:val="22"/>
          <w:szCs w:val="22"/>
        </w:rPr>
        <w:t>С</w:t>
      </w:r>
      <w:r w:rsidRPr="00C56F2E">
        <w:rPr>
          <w:sz w:val="22"/>
          <w:szCs w:val="22"/>
          <w:lang w:val="en-US"/>
        </w:rPr>
        <w:t>.,</w:t>
      </w:r>
      <w:r w:rsidR="0041627D" w:rsidRPr="00C56F2E">
        <w:rPr>
          <w:sz w:val="22"/>
          <w:szCs w:val="22"/>
          <w:lang w:val="en-US"/>
        </w:rPr>
        <w:t xml:space="preserve"> </w:t>
      </w:r>
      <w:r w:rsidRPr="00724342">
        <w:rPr>
          <w:sz w:val="22"/>
          <w:szCs w:val="22"/>
        </w:rPr>
        <w:t>Солоденко</w:t>
      </w:r>
      <w:r w:rsidRPr="00C56F2E">
        <w:rPr>
          <w:b/>
          <w:sz w:val="22"/>
          <w:szCs w:val="22"/>
          <w:lang w:val="en-US"/>
        </w:rPr>
        <w:t xml:space="preserve"> </w:t>
      </w:r>
      <w:r w:rsidRPr="00724342">
        <w:rPr>
          <w:sz w:val="22"/>
          <w:szCs w:val="22"/>
        </w:rPr>
        <w:t>А</w:t>
      </w:r>
      <w:r w:rsidRPr="00C56F2E">
        <w:rPr>
          <w:sz w:val="22"/>
          <w:szCs w:val="22"/>
          <w:lang w:val="en-US"/>
        </w:rPr>
        <w:t xml:space="preserve">. </w:t>
      </w:r>
      <w:r w:rsidRPr="00724342">
        <w:rPr>
          <w:sz w:val="22"/>
          <w:szCs w:val="22"/>
        </w:rPr>
        <w:t>С</w:t>
      </w:r>
      <w:r w:rsidRPr="00C56F2E">
        <w:rPr>
          <w:sz w:val="22"/>
          <w:szCs w:val="22"/>
          <w:lang w:val="en-US"/>
        </w:rPr>
        <w:t>.,</w:t>
      </w:r>
    </w:p>
    <w:p w:rsidR="00724342" w:rsidRPr="00724342" w:rsidRDefault="0041627D" w:rsidP="00724342">
      <w:pPr>
        <w:widowControl w:val="0"/>
        <w:tabs>
          <w:tab w:val="left" w:pos="8223"/>
        </w:tabs>
        <w:jc w:val="right"/>
        <w:rPr>
          <w:rFonts w:eastAsia="Courier New"/>
          <w:color w:val="000000"/>
          <w:sz w:val="20"/>
          <w:szCs w:val="20"/>
        </w:rPr>
      </w:pPr>
      <w:r>
        <w:rPr>
          <w:rFonts w:eastAsia="Courier New"/>
          <w:color w:val="000000"/>
          <w:sz w:val="22"/>
          <w:szCs w:val="22"/>
        </w:rPr>
        <w:t>студентки</w:t>
      </w:r>
      <w:r w:rsidR="00724342" w:rsidRPr="00724342">
        <w:rPr>
          <w:rFonts w:eastAsia="Courier New"/>
          <w:color w:val="000000"/>
          <w:sz w:val="22"/>
          <w:szCs w:val="22"/>
        </w:rPr>
        <w:t xml:space="preserve">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center"/>
        <w:outlineLvl w:val="0"/>
        <w:rPr>
          <w:sz w:val="22"/>
          <w:szCs w:val="22"/>
          <w:lang w:eastAsia="en-US"/>
        </w:rPr>
      </w:pPr>
    </w:p>
    <w:p w:rsidR="00724342" w:rsidRPr="00724342" w:rsidRDefault="00724342" w:rsidP="0041627D">
      <w:pPr>
        <w:ind w:firstLine="426"/>
        <w:jc w:val="both"/>
        <w:rPr>
          <w:rFonts w:eastAsia="Calibri"/>
          <w:b/>
          <w:sz w:val="22"/>
          <w:szCs w:val="22"/>
          <w:lang w:val="en-US" w:eastAsia="en-US"/>
        </w:rPr>
      </w:pPr>
      <w:r w:rsidRPr="00724342">
        <w:rPr>
          <w:rFonts w:eastAsia="Courier New"/>
          <w:color w:val="000000"/>
          <w:sz w:val="22"/>
          <w:szCs w:val="22"/>
        </w:rPr>
        <w:t xml:space="preserve">АННОТАЦИЯ: </w:t>
      </w:r>
      <w:r w:rsidRPr="00724342">
        <w:rPr>
          <w:rFonts w:eastAsia="Calibri"/>
          <w:sz w:val="22"/>
          <w:szCs w:val="22"/>
          <w:lang w:eastAsia="en-US"/>
        </w:rPr>
        <w:t>Рассмотрены внешние и внутренние факторы мотивации, основные мотивы трудовой деятельности. Проанализ</w:t>
      </w:r>
      <w:r w:rsidRPr="00724342">
        <w:rPr>
          <w:rFonts w:eastAsia="Calibri"/>
          <w:sz w:val="22"/>
          <w:szCs w:val="22"/>
          <w:lang w:eastAsia="en-US"/>
        </w:rPr>
        <w:t>и</w:t>
      </w:r>
      <w:r w:rsidRPr="00724342">
        <w:rPr>
          <w:rFonts w:eastAsia="Calibri"/>
          <w:sz w:val="22"/>
          <w:szCs w:val="22"/>
          <w:lang w:eastAsia="en-US"/>
        </w:rPr>
        <w:t>рованы</w:t>
      </w:r>
      <w:r w:rsidRPr="00724342">
        <w:rPr>
          <w:rFonts w:eastAsia="Calibri"/>
          <w:sz w:val="22"/>
          <w:szCs w:val="22"/>
          <w:lang w:val="en-US" w:eastAsia="en-US"/>
        </w:rPr>
        <w:t xml:space="preserve"> </w:t>
      </w:r>
      <w:r w:rsidRPr="00724342">
        <w:rPr>
          <w:rFonts w:eastAsia="Calibri"/>
          <w:sz w:val="22"/>
          <w:szCs w:val="22"/>
          <w:lang w:eastAsia="en-US"/>
        </w:rPr>
        <w:t>содержательные</w:t>
      </w:r>
      <w:r w:rsidRPr="00724342">
        <w:rPr>
          <w:rFonts w:eastAsia="Calibri"/>
          <w:sz w:val="22"/>
          <w:szCs w:val="22"/>
          <w:lang w:val="en-US" w:eastAsia="en-US"/>
        </w:rPr>
        <w:t xml:space="preserve"> </w:t>
      </w:r>
      <w:r w:rsidRPr="00724342">
        <w:rPr>
          <w:rFonts w:eastAsia="Calibri"/>
          <w:sz w:val="22"/>
          <w:szCs w:val="22"/>
          <w:lang w:eastAsia="en-US"/>
        </w:rPr>
        <w:t>и</w:t>
      </w:r>
      <w:r w:rsidRPr="00724342">
        <w:rPr>
          <w:rFonts w:eastAsia="Calibri"/>
          <w:sz w:val="22"/>
          <w:szCs w:val="22"/>
          <w:lang w:val="en-US" w:eastAsia="en-US"/>
        </w:rPr>
        <w:t xml:space="preserve"> </w:t>
      </w:r>
      <w:r w:rsidRPr="00724342">
        <w:rPr>
          <w:rFonts w:eastAsia="Calibri"/>
          <w:sz w:val="22"/>
          <w:szCs w:val="22"/>
          <w:lang w:eastAsia="en-US"/>
        </w:rPr>
        <w:t>процессуальные</w:t>
      </w:r>
      <w:r w:rsidRPr="00724342">
        <w:rPr>
          <w:rFonts w:eastAsia="Calibri"/>
          <w:sz w:val="22"/>
          <w:szCs w:val="22"/>
          <w:lang w:val="en-US" w:eastAsia="en-US"/>
        </w:rPr>
        <w:t xml:space="preserve"> </w:t>
      </w:r>
      <w:r w:rsidRPr="00724342">
        <w:rPr>
          <w:rFonts w:eastAsia="Calibri"/>
          <w:sz w:val="22"/>
          <w:szCs w:val="22"/>
          <w:lang w:eastAsia="en-US"/>
        </w:rPr>
        <w:t>теории</w:t>
      </w:r>
      <w:r w:rsidRPr="00724342">
        <w:rPr>
          <w:rFonts w:eastAsia="Calibri"/>
          <w:sz w:val="22"/>
          <w:szCs w:val="22"/>
          <w:lang w:val="en-US" w:eastAsia="en-US"/>
        </w:rPr>
        <w:t xml:space="preserve"> </w:t>
      </w:r>
      <w:r w:rsidRPr="00724342">
        <w:rPr>
          <w:rFonts w:eastAsia="Calibri"/>
          <w:sz w:val="22"/>
          <w:szCs w:val="22"/>
          <w:lang w:eastAsia="en-US"/>
        </w:rPr>
        <w:t>мотивации</w:t>
      </w:r>
      <w:r w:rsidRPr="00724342">
        <w:rPr>
          <w:rFonts w:eastAsia="Calibri"/>
          <w:sz w:val="22"/>
          <w:szCs w:val="22"/>
          <w:lang w:val="en-US" w:eastAsia="en-US"/>
        </w:rPr>
        <w:t xml:space="preserve">. </w:t>
      </w:r>
    </w:p>
    <w:p w:rsidR="00724342" w:rsidRPr="00724342" w:rsidRDefault="00724342" w:rsidP="0041627D">
      <w:pPr>
        <w:ind w:firstLine="426"/>
        <w:jc w:val="both"/>
        <w:outlineLvl w:val="0"/>
        <w:rPr>
          <w:rFonts w:eastAsia="Calibri"/>
          <w:b/>
          <w:sz w:val="22"/>
          <w:szCs w:val="22"/>
          <w:lang w:val="en-US" w:eastAsia="en-US"/>
        </w:rPr>
      </w:pPr>
      <w:r w:rsidRPr="00724342">
        <w:rPr>
          <w:rFonts w:eastAsia="Courier New"/>
          <w:color w:val="000000"/>
          <w:sz w:val="22"/>
          <w:szCs w:val="22"/>
          <w:lang w:val="en-US"/>
        </w:rPr>
        <w:t>ABSTRACT:</w:t>
      </w:r>
      <w:r w:rsidRPr="00724342">
        <w:rPr>
          <w:rFonts w:asciiTheme="minorHAnsi" w:eastAsiaTheme="minorHAnsi" w:hAnsiTheme="minorHAnsi" w:cstheme="minorBidi"/>
          <w:sz w:val="22"/>
          <w:szCs w:val="22"/>
          <w:lang w:val="en-US" w:eastAsia="en-US"/>
        </w:rPr>
        <w:t xml:space="preserve"> </w:t>
      </w:r>
      <w:r w:rsidRPr="00724342">
        <w:rPr>
          <w:rFonts w:eastAsia="Courier New"/>
          <w:color w:val="000000"/>
          <w:sz w:val="22"/>
          <w:szCs w:val="22"/>
          <w:lang w:val="en-US"/>
        </w:rPr>
        <w:t>External and internal factors of motivation, main m</w:t>
      </w:r>
      <w:r w:rsidRPr="00724342">
        <w:rPr>
          <w:rFonts w:eastAsia="Courier New"/>
          <w:color w:val="000000"/>
          <w:sz w:val="22"/>
          <w:szCs w:val="22"/>
          <w:lang w:val="en-US"/>
        </w:rPr>
        <w:t>o</w:t>
      </w:r>
      <w:r w:rsidRPr="00724342">
        <w:rPr>
          <w:rFonts w:eastAsia="Courier New"/>
          <w:color w:val="000000"/>
          <w:sz w:val="22"/>
          <w:szCs w:val="22"/>
          <w:lang w:val="en-US"/>
        </w:rPr>
        <w:t>tives of labor activity are considered. Content and procedural theories of motivation are analyzed.</w:t>
      </w:r>
    </w:p>
    <w:p w:rsidR="00724342" w:rsidRPr="00724342" w:rsidRDefault="00724342" w:rsidP="0041627D">
      <w:pPr>
        <w:ind w:firstLine="426"/>
        <w:jc w:val="both"/>
        <w:outlineLvl w:val="0"/>
        <w:rPr>
          <w:rFonts w:eastAsia="Calibri"/>
          <w:b/>
          <w:sz w:val="22"/>
          <w:szCs w:val="22"/>
          <w:lang w:val="en-US" w:eastAsia="en-US"/>
        </w:rPr>
      </w:pPr>
      <w:r w:rsidRPr="00724342">
        <w:rPr>
          <w:rFonts w:eastAsia="Courier New"/>
          <w:color w:val="000000"/>
          <w:sz w:val="22"/>
          <w:szCs w:val="22"/>
        </w:rPr>
        <w:t>КЛЮЧЕВЫЕ</w:t>
      </w:r>
      <w:r w:rsidRPr="00724342">
        <w:rPr>
          <w:rFonts w:eastAsia="Courier New"/>
          <w:color w:val="000000"/>
          <w:sz w:val="22"/>
          <w:szCs w:val="22"/>
          <w:lang w:val="en-US"/>
        </w:rPr>
        <w:t xml:space="preserve"> </w:t>
      </w:r>
      <w:r w:rsidRPr="00724342">
        <w:rPr>
          <w:rFonts w:eastAsia="Courier New"/>
          <w:color w:val="000000"/>
          <w:sz w:val="22"/>
          <w:szCs w:val="22"/>
        </w:rPr>
        <w:t>СЛОВА</w:t>
      </w:r>
      <w:r w:rsidRPr="00724342">
        <w:rPr>
          <w:rFonts w:eastAsia="Courier New"/>
          <w:color w:val="000000"/>
          <w:sz w:val="22"/>
          <w:szCs w:val="22"/>
          <w:lang w:val="en-US"/>
        </w:rPr>
        <w:t xml:space="preserve">: </w:t>
      </w:r>
      <w:r w:rsidRPr="00724342">
        <w:rPr>
          <w:rFonts w:eastAsia="Calibri"/>
          <w:sz w:val="22"/>
          <w:szCs w:val="22"/>
          <w:lang w:eastAsia="en-US"/>
        </w:rPr>
        <w:t>мотив</w:t>
      </w:r>
      <w:r w:rsidRPr="00724342">
        <w:rPr>
          <w:rFonts w:eastAsia="Calibri"/>
          <w:sz w:val="22"/>
          <w:szCs w:val="22"/>
          <w:lang w:val="en-US" w:eastAsia="en-US"/>
        </w:rPr>
        <w:t xml:space="preserve">, </w:t>
      </w:r>
      <w:r w:rsidRPr="00724342">
        <w:rPr>
          <w:rFonts w:eastAsia="Calibri"/>
          <w:sz w:val="22"/>
          <w:szCs w:val="22"/>
          <w:lang w:eastAsia="en-US"/>
        </w:rPr>
        <w:t>мотивация</w:t>
      </w:r>
      <w:r w:rsidRPr="00724342">
        <w:rPr>
          <w:rFonts w:eastAsia="Calibri"/>
          <w:sz w:val="22"/>
          <w:szCs w:val="22"/>
          <w:lang w:val="en-US" w:eastAsia="en-US"/>
        </w:rPr>
        <w:t xml:space="preserve">, </w:t>
      </w:r>
      <w:r w:rsidRPr="00724342">
        <w:rPr>
          <w:rFonts w:eastAsia="Calibri"/>
          <w:sz w:val="22"/>
          <w:szCs w:val="22"/>
          <w:lang w:eastAsia="en-US"/>
        </w:rPr>
        <w:t>потребности</w:t>
      </w:r>
      <w:r w:rsidRPr="00724342">
        <w:rPr>
          <w:rFonts w:eastAsia="Calibri"/>
          <w:sz w:val="22"/>
          <w:szCs w:val="22"/>
          <w:lang w:val="en-US" w:eastAsia="en-US"/>
        </w:rPr>
        <w:t xml:space="preserve">, </w:t>
      </w:r>
      <w:r w:rsidRPr="00724342">
        <w:rPr>
          <w:rFonts w:eastAsia="Calibri"/>
          <w:sz w:val="22"/>
          <w:szCs w:val="22"/>
          <w:lang w:eastAsia="en-US"/>
        </w:rPr>
        <w:t>труд</w:t>
      </w:r>
      <w:r w:rsidRPr="00724342">
        <w:rPr>
          <w:rFonts w:eastAsia="Calibri"/>
          <w:sz w:val="22"/>
          <w:szCs w:val="22"/>
          <w:lang w:eastAsia="en-US"/>
        </w:rPr>
        <w:t>о</w:t>
      </w:r>
      <w:r w:rsidRPr="00724342">
        <w:rPr>
          <w:rFonts w:eastAsia="Calibri"/>
          <w:sz w:val="22"/>
          <w:szCs w:val="22"/>
          <w:lang w:eastAsia="en-US"/>
        </w:rPr>
        <w:t>вая</w:t>
      </w:r>
      <w:r w:rsidRPr="00724342">
        <w:rPr>
          <w:rFonts w:eastAsia="Calibri"/>
          <w:sz w:val="22"/>
          <w:szCs w:val="22"/>
          <w:lang w:val="en-US" w:eastAsia="en-US"/>
        </w:rPr>
        <w:t xml:space="preserve"> </w:t>
      </w:r>
      <w:r w:rsidRPr="00724342">
        <w:rPr>
          <w:rFonts w:eastAsia="Calibri"/>
          <w:sz w:val="22"/>
          <w:szCs w:val="22"/>
          <w:lang w:eastAsia="en-US"/>
        </w:rPr>
        <w:t>деятельность</w:t>
      </w:r>
      <w:r w:rsidRPr="00724342">
        <w:rPr>
          <w:rFonts w:eastAsia="Calibri"/>
          <w:sz w:val="22"/>
          <w:szCs w:val="22"/>
          <w:lang w:val="en-US" w:eastAsia="en-US"/>
        </w:rPr>
        <w:t xml:space="preserve">, </w:t>
      </w:r>
      <w:r w:rsidRPr="00724342">
        <w:rPr>
          <w:rFonts w:eastAsia="Calibri"/>
          <w:sz w:val="22"/>
          <w:szCs w:val="22"/>
          <w:lang w:eastAsia="en-US"/>
        </w:rPr>
        <w:t>самовыражение</w:t>
      </w:r>
      <w:r w:rsidRPr="00724342">
        <w:rPr>
          <w:rFonts w:eastAsia="Calibri"/>
          <w:sz w:val="22"/>
          <w:szCs w:val="22"/>
          <w:lang w:val="en-US" w:eastAsia="en-US"/>
        </w:rPr>
        <w:t xml:space="preserve">, </w:t>
      </w:r>
      <w:r w:rsidRPr="00724342">
        <w:rPr>
          <w:rFonts w:eastAsia="Calibri"/>
          <w:sz w:val="22"/>
          <w:szCs w:val="22"/>
          <w:lang w:eastAsia="en-US"/>
        </w:rPr>
        <w:t>личность</w:t>
      </w:r>
      <w:r w:rsidRPr="00724342">
        <w:rPr>
          <w:rFonts w:eastAsia="Calibri"/>
          <w:sz w:val="22"/>
          <w:szCs w:val="22"/>
          <w:lang w:val="en-US" w:eastAsia="en-US"/>
        </w:rPr>
        <w:t xml:space="preserve">, </w:t>
      </w:r>
      <w:r w:rsidRPr="00724342">
        <w:rPr>
          <w:rFonts w:eastAsia="Calibri"/>
          <w:sz w:val="22"/>
          <w:szCs w:val="22"/>
          <w:lang w:eastAsia="en-US"/>
        </w:rPr>
        <w:t>стимулы</w:t>
      </w:r>
    </w:p>
    <w:p w:rsidR="00724342" w:rsidRPr="00724342" w:rsidRDefault="00724342" w:rsidP="0041627D">
      <w:pPr>
        <w:ind w:firstLine="426"/>
        <w:jc w:val="both"/>
        <w:rPr>
          <w:rFonts w:eastAsia="Calibri"/>
          <w:sz w:val="22"/>
          <w:szCs w:val="22"/>
          <w:lang w:val="en-US" w:eastAsia="en-US"/>
        </w:rPr>
      </w:pPr>
      <w:r w:rsidRPr="00724342">
        <w:rPr>
          <w:rFonts w:eastAsia="Courier New"/>
          <w:color w:val="000000"/>
          <w:sz w:val="22"/>
          <w:szCs w:val="22"/>
          <w:lang w:val="en-US"/>
        </w:rPr>
        <w:t>KEYWORDS: motive, motivation, needs, work activity, self-expression, personality, incentives</w:t>
      </w:r>
    </w:p>
    <w:p w:rsidR="00724342" w:rsidRPr="00724342" w:rsidRDefault="00724342" w:rsidP="0041627D">
      <w:pPr>
        <w:ind w:firstLine="426"/>
        <w:jc w:val="both"/>
        <w:rPr>
          <w:rFonts w:eastAsia="Calibri"/>
          <w:sz w:val="22"/>
          <w:szCs w:val="22"/>
          <w:lang w:val="en-US" w:eastAsia="en-US"/>
        </w:rPr>
      </w:pP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Существует много различных теорий и концепций, которые п</w:t>
      </w:r>
      <w:r w:rsidRPr="00724342">
        <w:rPr>
          <w:rFonts w:eastAsia="Calibri"/>
          <w:sz w:val="22"/>
          <w:szCs w:val="22"/>
          <w:lang w:eastAsia="en-US"/>
        </w:rPr>
        <w:t>о</w:t>
      </w:r>
      <w:r w:rsidRPr="00724342">
        <w:rPr>
          <w:rFonts w:eastAsia="Calibri"/>
          <w:sz w:val="22"/>
          <w:szCs w:val="22"/>
          <w:lang w:eastAsia="en-US"/>
        </w:rPr>
        <w:t>священы мотивации, мотивам и направленности личности. Мотив</w:t>
      </w:r>
      <w:r w:rsidRPr="00724342">
        <w:rPr>
          <w:rFonts w:eastAsia="Calibri"/>
          <w:sz w:val="22"/>
          <w:szCs w:val="22"/>
          <w:lang w:eastAsia="en-US"/>
        </w:rPr>
        <w:t>а</w:t>
      </w:r>
      <w:r w:rsidRPr="00724342">
        <w:rPr>
          <w:rFonts w:eastAsia="Calibri"/>
          <w:sz w:val="22"/>
          <w:szCs w:val="22"/>
          <w:lang w:eastAsia="en-US"/>
        </w:rPr>
        <w:t>ция – динамическая система взаимодействующих между собой внешних и внутренних факторов, которые способны вызывать и направлять на достижение цели поведение человека. Внешний фа</w:t>
      </w:r>
      <w:r w:rsidRPr="00724342">
        <w:rPr>
          <w:rFonts w:eastAsia="Calibri"/>
          <w:sz w:val="22"/>
          <w:szCs w:val="22"/>
          <w:lang w:eastAsia="en-US"/>
        </w:rPr>
        <w:t>к</w:t>
      </w:r>
      <w:r w:rsidRPr="00724342">
        <w:rPr>
          <w:rFonts w:eastAsia="Calibri"/>
          <w:sz w:val="22"/>
          <w:szCs w:val="22"/>
          <w:lang w:eastAsia="en-US"/>
        </w:rPr>
        <w:t>тор в силах повлиять на работника либо предоставляя какие-то бл</w:t>
      </w:r>
      <w:r w:rsidRPr="00724342">
        <w:rPr>
          <w:rFonts w:eastAsia="Calibri"/>
          <w:sz w:val="22"/>
          <w:szCs w:val="22"/>
          <w:lang w:eastAsia="en-US"/>
        </w:rPr>
        <w:t>а</w:t>
      </w:r>
      <w:r w:rsidR="00C609D1">
        <w:rPr>
          <w:rFonts w:eastAsia="Calibri"/>
          <w:sz w:val="22"/>
          <w:szCs w:val="22"/>
          <w:lang w:eastAsia="en-US"/>
        </w:rPr>
        <w:t xml:space="preserve">га, либо принуждая его силой. </w:t>
      </w:r>
      <w:r w:rsidRPr="00724342">
        <w:rPr>
          <w:rFonts w:eastAsia="Calibri"/>
          <w:sz w:val="22"/>
          <w:szCs w:val="22"/>
          <w:lang w:eastAsia="en-US"/>
        </w:rPr>
        <w:t>Под внутренними факторами пон</w:t>
      </w:r>
      <w:r w:rsidRPr="00724342">
        <w:rPr>
          <w:rFonts w:eastAsia="Calibri"/>
          <w:sz w:val="22"/>
          <w:szCs w:val="22"/>
          <w:lang w:eastAsia="en-US"/>
        </w:rPr>
        <w:t>и</w:t>
      </w:r>
      <w:r w:rsidRPr="00724342">
        <w:rPr>
          <w:rFonts w:eastAsia="Calibri"/>
          <w:sz w:val="22"/>
          <w:szCs w:val="22"/>
          <w:lang w:eastAsia="en-US"/>
        </w:rPr>
        <w:t>маются: стремления, потребности ожидания, желания, восприятия, ценностные установки и другие психологические компоненты ли</w:t>
      </w:r>
      <w:r w:rsidRPr="00724342">
        <w:rPr>
          <w:rFonts w:eastAsia="Calibri"/>
          <w:sz w:val="22"/>
          <w:szCs w:val="22"/>
          <w:lang w:eastAsia="en-US"/>
        </w:rPr>
        <w:t>ч</w:t>
      </w:r>
      <w:r w:rsidRPr="00724342">
        <w:rPr>
          <w:rFonts w:eastAsia="Calibri"/>
          <w:sz w:val="22"/>
          <w:szCs w:val="22"/>
          <w:lang w:eastAsia="en-US"/>
        </w:rPr>
        <w:t xml:space="preserve">ности [4].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В нынешней психологии термин «мотивация» имеет два знач</w:t>
      </w:r>
      <w:r w:rsidRPr="00724342">
        <w:rPr>
          <w:rFonts w:eastAsia="Calibri"/>
          <w:sz w:val="22"/>
          <w:szCs w:val="22"/>
          <w:lang w:eastAsia="en-US"/>
        </w:rPr>
        <w:t>е</w:t>
      </w:r>
      <w:r w:rsidRPr="00724342">
        <w:rPr>
          <w:rFonts w:eastAsia="Calibri"/>
          <w:sz w:val="22"/>
          <w:szCs w:val="22"/>
          <w:lang w:eastAsia="en-US"/>
        </w:rPr>
        <w:t>ния: 1) мотивация – это система факторов, определяющих напра</w:t>
      </w:r>
      <w:r w:rsidRPr="00724342">
        <w:rPr>
          <w:rFonts w:eastAsia="Calibri"/>
          <w:sz w:val="22"/>
          <w:szCs w:val="22"/>
          <w:lang w:eastAsia="en-US"/>
        </w:rPr>
        <w:t>в</w:t>
      </w:r>
      <w:r w:rsidRPr="00724342">
        <w:rPr>
          <w:rFonts w:eastAsia="Calibri"/>
          <w:sz w:val="22"/>
          <w:szCs w:val="22"/>
          <w:lang w:eastAsia="en-US"/>
        </w:rPr>
        <w:t>ленность поведения человека и вызывающих активность организма (мотивы, намерения, потребности, цели, стремления и др.); 2) мот</w:t>
      </w:r>
      <w:r w:rsidRPr="00724342">
        <w:rPr>
          <w:rFonts w:eastAsia="Calibri"/>
          <w:sz w:val="22"/>
          <w:szCs w:val="22"/>
          <w:lang w:eastAsia="en-US"/>
        </w:rPr>
        <w:t>и</w:t>
      </w:r>
      <w:r w:rsidRPr="00724342">
        <w:rPr>
          <w:rFonts w:eastAsia="Calibri"/>
          <w:sz w:val="22"/>
          <w:szCs w:val="22"/>
          <w:lang w:eastAsia="en-US"/>
        </w:rPr>
        <w:lastRenderedPageBreak/>
        <w:t>вация - это характеристика процесса, который обеспечивает и по</w:t>
      </w:r>
      <w:r w:rsidRPr="00724342">
        <w:rPr>
          <w:rFonts w:eastAsia="Calibri"/>
          <w:sz w:val="22"/>
          <w:szCs w:val="22"/>
          <w:lang w:eastAsia="en-US"/>
        </w:rPr>
        <w:t>д</w:t>
      </w:r>
      <w:r w:rsidRPr="00724342">
        <w:rPr>
          <w:rFonts w:eastAsia="Calibri"/>
          <w:sz w:val="22"/>
          <w:szCs w:val="22"/>
          <w:lang w:eastAsia="en-US"/>
        </w:rPr>
        <w:t>держивает активность поведения на определенной стадии (мотив</w:t>
      </w:r>
      <w:r w:rsidRPr="00724342">
        <w:rPr>
          <w:rFonts w:eastAsia="Calibri"/>
          <w:sz w:val="22"/>
          <w:szCs w:val="22"/>
          <w:lang w:eastAsia="en-US"/>
        </w:rPr>
        <w:t>и</w:t>
      </w:r>
      <w:r w:rsidRPr="00724342">
        <w:rPr>
          <w:rFonts w:eastAsia="Calibri"/>
          <w:sz w:val="22"/>
          <w:szCs w:val="22"/>
          <w:lang w:eastAsia="en-US"/>
        </w:rPr>
        <w:t>рование). Следовательно, мотивация – это совокупность причин психологического характера, которая определяет поведение челов</w:t>
      </w:r>
      <w:r w:rsidRPr="00724342">
        <w:rPr>
          <w:rFonts w:eastAsia="Calibri"/>
          <w:sz w:val="22"/>
          <w:szCs w:val="22"/>
          <w:lang w:eastAsia="en-US"/>
        </w:rPr>
        <w:t>е</w:t>
      </w:r>
      <w:r w:rsidRPr="00724342">
        <w:rPr>
          <w:rFonts w:eastAsia="Calibri"/>
          <w:sz w:val="22"/>
          <w:szCs w:val="22"/>
          <w:lang w:eastAsia="en-US"/>
        </w:rPr>
        <w:t>ка, его начало, активность и направленность. Это позволяет найти ответы на вопросы «зачем?», «почему?», «ради чего?», «для какой цели?», «какой смысл…?» [3].</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Различают процессуальные и содержательные теории мотив</w:t>
      </w:r>
      <w:r w:rsidRPr="00724342">
        <w:rPr>
          <w:rFonts w:eastAsia="Calibri"/>
          <w:sz w:val="22"/>
          <w:szCs w:val="22"/>
          <w:lang w:eastAsia="en-US"/>
        </w:rPr>
        <w:t>а</w:t>
      </w:r>
      <w:r w:rsidRPr="00724342">
        <w:rPr>
          <w:rFonts w:eastAsia="Calibri"/>
          <w:sz w:val="22"/>
          <w:szCs w:val="22"/>
          <w:lang w:eastAsia="en-US"/>
        </w:rPr>
        <w:t>ции. Сначала считали, что деньги - единственный стимул к деятел</w:t>
      </w:r>
      <w:r w:rsidRPr="00724342">
        <w:rPr>
          <w:rFonts w:eastAsia="Calibri"/>
          <w:sz w:val="22"/>
          <w:szCs w:val="22"/>
          <w:lang w:eastAsia="en-US"/>
        </w:rPr>
        <w:t>ь</w:t>
      </w:r>
      <w:r w:rsidRPr="00724342">
        <w:rPr>
          <w:rFonts w:eastAsia="Calibri"/>
          <w:sz w:val="22"/>
          <w:szCs w:val="22"/>
          <w:lang w:eastAsia="en-US"/>
        </w:rPr>
        <w:t>ности; немного позже стали предполагать, что стимулы также включают демократический стиль руководства (школа человеч</w:t>
      </w:r>
      <w:r w:rsidRPr="00724342">
        <w:rPr>
          <w:rFonts w:eastAsia="Calibri"/>
          <w:sz w:val="22"/>
          <w:szCs w:val="22"/>
          <w:lang w:eastAsia="en-US"/>
        </w:rPr>
        <w:t>е</w:t>
      </w:r>
      <w:r w:rsidRPr="00724342">
        <w:rPr>
          <w:rFonts w:eastAsia="Calibri"/>
          <w:sz w:val="22"/>
          <w:szCs w:val="22"/>
          <w:lang w:eastAsia="en-US"/>
        </w:rPr>
        <w:t>ских отношений), безопасность и условия труда. Позже стали сч</w:t>
      </w:r>
      <w:r w:rsidRPr="00724342">
        <w:rPr>
          <w:rFonts w:eastAsia="Calibri"/>
          <w:sz w:val="22"/>
          <w:szCs w:val="22"/>
          <w:lang w:eastAsia="en-US"/>
        </w:rPr>
        <w:t>и</w:t>
      </w:r>
      <w:r w:rsidRPr="00724342">
        <w:rPr>
          <w:rFonts w:eastAsia="Calibri"/>
          <w:sz w:val="22"/>
          <w:szCs w:val="22"/>
          <w:lang w:eastAsia="en-US"/>
        </w:rPr>
        <w:t>тать, что состав мотивации заключается в так называемых мотивах или потребностях «наиболее высокого уровня», например, таких как признание, ответственность, продвижение и достижение; сам</w:t>
      </w:r>
      <w:r w:rsidRPr="00724342">
        <w:rPr>
          <w:rFonts w:eastAsia="Calibri"/>
          <w:sz w:val="22"/>
          <w:szCs w:val="22"/>
          <w:lang w:eastAsia="en-US"/>
        </w:rPr>
        <w:t>о</w:t>
      </w:r>
      <w:r w:rsidRPr="00724342">
        <w:rPr>
          <w:rFonts w:eastAsia="Calibri"/>
          <w:sz w:val="22"/>
          <w:szCs w:val="22"/>
          <w:lang w:eastAsia="en-US"/>
        </w:rPr>
        <w:t xml:space="preserve">выражение и уважение; самосовершенствование и рост.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А. Маслоу считал, что мотивирующие потребности человека можно расположить в иерархическом порядке, а также основыва</w:t>
      </w:r>
      <w:r w:rsidRPr="00724342">
        <w:rPr>
          <w:rFonts w:eastAsia="Calibri"/>
          <w:sz w:val="22"/>
          <w:szCs w:val="22"/>
          <w:lang w:eastAsia="en-US"/>
        </w:rPr>
        <w:t>л</w:t>
      </w:r>
      <w:r w:rsidRPr="00724342">
        <w:rPr>
          <w:rFonts w:eastAsia="Calibri"/>
          <w:sz w:val="22"/>
          <w:szCs w:val="22"/>
          <w:lang w:eastAsia="en-US"/>
        </w:rPr>
        <w:t>ся, прежде всего, на своем клиническом опыте. Маслоу выделил пять уровней в иерархии потребностей: физические потребности; потребность в безопасности; «социальные потребности»; потре</w:t>
      </w:r>
      <w:r w:rsidRPr="00724342">
        <w:rPr>
          <w:rFonts w:eastAsia="Calibri"/>
          <w:sz w:val="22"/>
          <w:szCs w:val="22"/>
          <w:lang w:eastAsia="en-US"/>
        </w:rPr>
        <w:t>б</w:t>
      </w:r>
      <w:r w:rsidRPr="00724342">
        <w:rPr>
          <w:rFonts w:eastAsia="Calibri"/>
          <w:sz w:val="22"/>
          <w:szCs w:val="22"/>
          <w:lang w:eastAsia="en-US"/>
        </w:rPr>
        <w:t xml:space="preserve">ность в уважении; необходимость в самовыражении.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Продолжением исследований Маслоу послужила двухфакто</w:t>
      </w:r>
      <w:r w:rsidRPr="00724342">
        <w:rPr>
          <w:rFonts w:eastAsia="Calibri"/>
          <w:sz w:val="22"/>
          <w:szCs w:val="22"/>
          <w:lang w:eastAsia="en-US"/>
        </w:rPr>
        <w:t>р</w:t>
      </w:r>
      <w:r w:rsidRPr="00724342">
        <w:rPr>
          <w:rFonts w:eastAsia="Calibri"/>
          <w:sz w:val="22"/>
          <w:szCs w:val="22"/>
          <w:lang w:eastAsia="en-US"/>
        </w:rPr>
        <w:t>ная теория мотивации Герцберга. Она возникла из-за растущей необходимости выяснить влияние материальных и нематериальных факторов на мотивацию человека. В соответствии с теорией Гер</w:t>
      </w:r>
      <w:r w:rsidRPr="00724342">
        <w:rPr>
          <w:rFonts w:eastAsia="Calibri"/>
          <w:sz w:val="22"/>
          <w:szCs w:val="22"/>
          <w:lang w:eastAsia="en-US"/>
        </w:rPr>
        <w:t>ц</w:t>
      </w:r>
      <w:r w:rsidRPr="00724342">
        <w:rPr>
          <w:rFonts w:eastAsia="Calibri"/>
          <w:sz w:val="22"/>
          <w:szCs w:val="22"/>
          <w:lang w:eastAsia="en-US"/>
        </w:rPr>
        <w:t>берга, мотивировать персонал будет работа, которая требует опр</w:t>
      </w:r>
      <w:r w:rsidRPr="00724342">
        <w:rPr>
          <w:rFonts w:eastAsia="Calibri"/>
          <w:sz w:val="22"/>
          <w:szCs w:val="22"/>
          <w:lang w:eastAsia="en-US"/>
        </w:rPr>
        <w:t>е</w:t>
      </w:r>
      <w:r w:rsidRPr="00724342">
        <w:rPr>
          <w:rFonts w:eastAsia="Calibri"/>
          <w:sz w:val="22"/>
          <w:szCs w:val="22"/>
          <w:lang w:eastAsia="en-US"/>
        </w:rPr>
        <w:t>деленных усилий и гарантирует возможность достижений, отве</w:t>
      </w:r>
      <w:r w:rsidRPr="00724342">
        <w:rPr>
          <w:rFonts w:eastAsia="Calibri"/>
          <w:sz w:val="22"/>
          <w:szCs w:val="22"/>
          <w:lang w:eastAsia="en-US"/>
        </w:rPr>
        <w:t>т</w:t>
      </w:r>
      <w:r w:rsidRPr="00724342">
        <w:rPr>
          <w:rFonts w:eastAsia="Calibri"/>
          <w:sz w:val="22"/>
          <w:szCs w:val="22"/>
          <w:lang w:eastAsia="en-US"/>
        </w:rPr>
        <w:t xml:space="preserve">ственности, признания, продвижения и роста.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Содержательные теории трудовой мотивации Маслоу и в ос</w:t>
      </w:r>
      <w:r w:rsidRPr="00724342">
        <w:rPr>
          <w:rFonts w:eastAsia="Calibri"/>
          <w:sz w:val="22"/>
          <w:szCs w:val="22"/>
          <w:lang w:eastAsia="en-US"/>
        </w:rPr>
        <w:t>о</w:t>
      </w:r>
      <w:r w:rsidRPr="00724342">
        <w:rPr>
          <w:rFonts w:eastAsia="Calibri"/>
          <w:sz w:val="22"/>
          <w:szCs w:val="22"/>
          <w:lang w:eastAsia="en-US"/>
        </w:rPr>
        <w:t>бенности Герцберга получили особое развитие в трудах Клейтона Альдерфера. Он создал теорию ERG - определил и сформулировал модель категорий потребностей. Он считает, что существуют осн</w:t>
      </w:r>
      <w:r w:rsidRPr="00724342">
        <w:rPr>
          <w:rFonts w:eastAsia="Calibri"/>
          <w:sz w:val="22"/>
          <w:szCs w:val="22"/>
          <w:lang w:eastAsia="en-US"/>
        </w:rPr>
        <w:t>о</w:t>
      </w:r>
      <w:r w:rsidRPr="00724342">
        <w:rPr>
          <w:rFonts w:eastAsia="Calibri"/>
          <w:sz w:val="22"/>
          <w:szCs w:val="22"/>
          <w:lang w:eastAsia="en-US"/>
        </w:rPr>
        <w:t>вополагающие различия между потребностями низшего порядка и высшего, выделяет определенные категории потребностей: сущ</w:t>
      </w:r>
      <w:r w:rsidRPr="00724342">
        <w:rPr>
          <w:rFonts w:eastAsia="Calibri"/>
          <w:sz w:val="22"/>
          <w:szCs w:val="22"/>
          <w:lang w:eastAsia="en-US"/>
        </w:rPr>
        <w:t>е</w:t>
      </w:r>
      <w:r w:rsidRPr="00724342">
        <w:rPr>
          <w:rFonts w:eastAsia="Calibri"/>
          <w:sz w:val="22"/>
          <w:szCs w:val="22"/>
          <w:lang w:eastAsia="en-US"/>
        </w:rPr>
        <w:t xml:space="preserve">ствования, в росте и связях (теория ERG).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Дэвид Мак Клелланд, связывая результаты исследований пр</w:t>
      </w:r>
      <w:r w:rsidRPr="00724342">
        <w:rPr>
          <w:rFonts w:eastAsia="Calibri"/>
          <w:sz w:val="22"/>
          <w:szCs w:val="22"/>
          <w:lang w:eastAsia="en-US"/>
        </w:rPr>
        <w:t>о</w:t>
      </w:r>
      <w:r w:rsidRPr="00724342">
        <w:rPr>
          <w:rFonts w:eastAsia="Calibri"/>
          <w:sz w:val="22"/>
          <w:szCs w:val="22"/>
          <w:lang w:eastAsia="en-US"/>
        </w:rPr>
        <w:t>цессов реакции и мышления людей в различных ситуациях, разр</w:t>
      </w:r>
      <w:r w:rsidRPr="00724342">
        <w:rPr>
          <w:rFonts w:eastAsia="Calibri"/>
          <w:sz w:val="22"/>
          <w:szCs w:val="22"/>
          <w:lang w:eastAsia="en-US"/>
        </w:rPr>
        <w:t>а</w:t>
      </w:r>
      <w:r w:rsidRPr="00724342">
        <w:rPr>
          <w:rFonts w:eastAsia="Calibri"/>
          <w:sz w:val="22"/>
          <w:szCs w:val="22"/>
          <w:lang w:eastAsia="en-US"/>
        </w:rPr>
        <w:lastRenderedPageBreak/>
        <w:t>ботал модель мотивации, которая уделяет большое внимание п</w:t>
      </w:r>
      <w:r w:rsidRPr="00724342">
        <w:rPr>
          <w:rFonts w:eastAsia="Calibri"/>
          <w:sz w:val="22"/>
          <w:szCs w:val="22"/>
          <w:lang w:eastAsia="en-US"/>
        </w:rPr>
        <w:t>о</w:t>
      </w:r>
      <w:r w:rsidRPr="00724342">
        <w:rPr>
          <w:rFonts w:eastAsia="Calibri"/>
          <w:sz w:val="22"/>
          <w:szCs w:val="22"/>
          <w:lang w:eastAsia="en-US"/>
        </w:rPr>
        <w:t>требностям высших уровней: власти, достижения и присоединения.</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С помощью содержательных моделей прилагаются усилия для того, чтобы определить, что мотивирует людей на рабочем месте. Процессуальные же теории, наоборот, изучают когнитивные пре</w:t>
      </w:r>
      <w:r w:rsidRPr="00724342">
        <w:rPr>
          <w:rFonts w:eastAsia="Calibri"/>
          <w:sz w:val="22"/>
          <w:szCs w:val="22"/>
          <w:lang w:eastAsia="en-US"/>
        </w:rPr>
        <w:t>д</w:t>
      </w:r>
      <w:r w:rsidRPr="00724342">
        <w:rPr>
          <w:rFonts w:eastAsia="Calibri"/>
          <w:sz w:val="22"/>
          <w:szCs w:val="22"/>
          <w:lang w:eastAsia="en-US"/>
        </w:rPr>
        <w:t xml:space="preserve">посылки, реализующиеся в действиях или мотивации.  </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Процессуальные теории ожидания устанавливают, что повед</w:t>
      </w:r>
      <w:r w:rsidRPr="00724342">
        <w:rPr>
          <w:rFonts w:eastAsia="Calibri"/>
          <w:sz w:val="22"/>
          <w:szCs w:val="22"/>
          <w:lang w:eastAsia="en-US"/>
        </w:rPr>
        <w:t>е</w:t>
      </w:r>
      <w:r w:rsidRPr="00724342">
        <w:rPr>
          <w:rFonts w:eastAsia="Calibri"/>
          <w:sz w:val="22"/>
          <w:szCs w:val="22"/>
          <w:lang w:eastAsia="en-US"/>
        </w:rPr>
        <w:t>ние сотрудников обуславливается поведением: 1) руководителя, стимулирующего работу сотрудника при определенных условиях; 2) сотрудника, ожидающего вознаграждение при определенных условиях; 3) сотрудника и руководителя, которые допускают, что ему будет выдано определенное вознаграждение при определенном улучшении качества работы; 4) сотрудника, ожидающего поощр</w:t>
      </w:r>
      <w:r w:rsidRPr="00724342">
        <w:rPr>
          <w:rFonts w:eastAsia="Calibri"/>
          <w:sz w:val="22"/>
          <w:szCs w:val="22"/>
          <w:lang w:eastAsia="en-US"/>
        </w:rPr>
        <w:t>е</w:t>
      </w:r>
      <w:r w:rsidRPr="00724342">
        <w:rPr>
          <w:rFonts w:eastAsia="Calibri"/>
          <w:sz w:val="22"/>
          <w:szCs w:val="22"/>
          <w:lang w:eastAsia="en-US"/>
        </w:rPr>
        <w:t>ния, размер которого удовлетворит его потребности.</w:t>
      </w:r>
    </w:p>
    <w:p w:rsidR="00724342" w:rsidRPr="00724342" w:rsidRDefault="00724342" w:rsidP="0041627D">
      <w:pPr>
        <w:ind w:firstLine="426"/>
        <w:jc w:val="both"/>
        <w:rPr>
          <w:rFonts w:eastAsia="Calibri"/>
          <w:sz w:val="22"/>
          <w:szCs w:val="22"/>
          <w:lang w:eastAsia="en-US"/>
        </w:rPr>
      </w:pPr>
      <w:r w:rsidRPr="00724342">
        <w:rPr>
          <w:rFonts w:eastAsia="Calibri"/>
          <w:sz w:val="22"/>
          <w:szCs w:val="22"/>
          <w:lang w:eastAsia="en-US"/>
        </w:rPr>
        <w:t>Виктор Врум сформулировал применительно к трудовой мот</w:t>
      </w:r>
      <w:r w:rsidRPr="00724342">
        <w:rPr>
          <w:rFonts w:eastAsia="Calibri"/>
          <w:sz w:val="22"/>
          <w:szCs w:val="22"/>
          <w:lang w:eastAsia="en-US"/>
        </w:rPr>
        <w:t>и</w:t>
      </w:r>
      <w:r w:rsidRPr="00724342">
        <w:rPr>
          <w:rFonts w:eastAsia="Calibri"/>
          <w:sz w:val="22"/>
          <w:szCs w:val="22"/>
          <w:lang w:eastAsia="en-US"/>
        </w:rPr>
        <w:t>вации теорию ожидания.  Модель мотивации Портера-Лоулера дает понятие соотношения между достигнутым результатом и возн</w:t>
      </w:r>
      <w:r w:rsidRPr="00724342">
        <w:rPr>
          <w:rFonts w:eastAsia="Calibri"/>
          <w:sz w:val="22"/>
          <w:szCs w:val="22"/>
          <w:lang w:eastAsia="en-US"/>
        </w:rPr>
        <w:t>а</w:t>
      </w:r>
      <w:r w:rsidRPr="00724342">
        <w:rPr>
          <w:rFonts w:eastAsia="Calibri"/>
          <w:sz w:val="22"/>
          <w:szCs w:val="22"/>
          <w:lang w:eastAsia="en-US"/>
        </w:rPr>
        <w:t>граждением. Теории справедливости Дж. Стейси Адамса заключ</w:t>
      </w:r>
      <w:r w:rsidRPr="00724342">
        <w:rPr>
          <w:rFonts w:eastAsia="Calibri"/>
          <w:sz w:val="22"/>
          <w:szCs w:val="22"/>
          <w:lang w:eastAsia="en-US"/>
        </w:rPr>
        <w:t>а</w:t>
      </w:r>
      <w:r w:rsidRPr="00724342">
        <w:rPr>
          <w:rFonts w:eastAsia="Calibri"/>
          <w:sz w:val="22"/>
          <w:szCs w:val="22"/>
          <w:lang w:eastAsia="en-US"/>
        </w:rPr>
        <w:t>ется в следующем, основная роль в получении удовлетворения и выполнении работы играет степень справедливости (или же неспр</w:t>
      </w:r>
      <w:r w:rsidRPr="00724342">
        <w:rPr>
          <w:rFonts w:eastAsia="Calibri"/>
          <w:sz w:val="22"/>
          <w:szCs w:val="22"/>
          <w:lang w:eastAsia="en-US"/>
        </w:rPr>
        <w:t>а</w:t>
      </w:r>
      <w:r w:rsidRPr="00724342">
        <w:rPr>
          <w:rFonts w:eastAsia="Calibri"/>
          <w:sz w:val="22"/>
          <w:szCs w:val="22"/>
          <w:lang w:eastAsia="en-US"/>
        </w:rPr>
        <w:t>ведливости), которую ощущают работники в какой-либо ситуации на своей работе.</w:t>
      </w:r>
    </w:p>
    <w:p w:rsidR="00724342" w:rsidRPr="00C609D1" w:rsidRDefault="00724342" w:rsidP="00C609D1">
      <w:pPr>
        <w:ind w:firstLine="426"/>
        <w:jc w:val="both"/>
        <w:rPr>
          <w:rFonts w:eastAsia="Calibri"/>
          <w:sz w:val="22"/>
          <w:szCs w:val="22"/>
          <w:lang w:eastAsia="en-US"/>
        </w:rPr>
      </w:pPr>
      <w:r w:rsidRPr="00724342">
        <w:rPr>
          <w:rFonts w:eastAsia="Calibri"/>
          <w:sz w:val="22"/>
          <w:szCs w:val="22"/>
          <w:lang w:eastAsia="en-US"/>
        </w:rPr>
        <w:t>Проанализировав процессуальные и содержательные теории мотивации, можно сделать вывод, что с помощью большинства из них можно манипулировать персоналом, стимулировать работников к саморазвитию.</w:t>
      </w:r>
    </w:p>
    <w:p w:rsidR="00724342" w:rsidRPr="00C609D1" w:rsidRDefault="00724342" w:rsidP="0041627D">
      <w:pPr>
        <w:widowControl w:val="0"/>
        <w:ind w:firstLine="426"/>
        <w:jc w:val="center"/>
        <w:outlineLvl w:val="0"/>
        <w:rPr>
          <w:rFonts w:eastAsia="Calibri"/>
          <w:sz w:val="22"/>
          <w:szCs w:val="22"/>
          <w:lang w:eastAsia="en-US"/>
        </w:rPr>
      </w:pPr>
      <w:r w:rsidRPr="00C609D1">
        <w:rPr>
          <w:rFonts w:eastAsia="Calibri"/>
          <w:sz w:val="22"/>
          <w:szCs w:val="22"/>
          <w:lang w:eastAsia="en-US"/>
        </w:rPr>
        <w:t>Список литературы</w:t>
      </w:r>
    </w:p>
    <w:p w:rsidR="00724342" w:rsidRPr="00C609D1" w:rsidRDefault="00724342" w:rsidP="0041627D">
      <w:pPr>
        <w:widowControl w:val="0"/>
        <w:ind w:firstLine="426"/>
        <w:jc w:val="both"/>
        <w:rPr>
          <w:rFonts w:eastAsia="Calibri"/>
          <w:color w:val="000000"/>
          <w:sz w:val="22"/>
          <w:szCs w:val="22"/>
          <w:lang w:eastAsia="en-US"/>
        </w:rPr>
      </w:pPr>
      <w:r w:rsidRPr="00C609D1">
        <w:rPr>
          <w:rFonts w:eastAsia="Calibri"/>
          <w:color w:val="000000"/>
          <w:sz w:val="22"/>
          <w:szCs w:val="22"/>
          <w:lang w:eastAsia="en-US"/>
        </w:rPr>
        <w:t>1. Белкин В., Белкина Н. Мотивы и стимулы труда // Социал</w:t>
      </w:r>
      <w:r w:rsidRPr="00C609D1">
        <w:rPr>
          <w:rFonts w:eastAsia="Calibri"/>
          <w:color w:val="000000"/>
          <w:sz w:val="22"/>
          <w:szCs w:val="22"/>
          <w:lang w:eastAsia="en-US"/>
        </w:rPr>
        <w:t>ь</w:t>
      </w:r>
      <w:r w:rsidRPr="00C609D1">
        <w:rPr>
          <w:rFonts w:eastAsia="Calibri"/>
          <w:color w:val="000000"/>
          <w:sz w:val="22"/>
          <w:szCs w:val="22"/>
          <w:lang w:eastAsia="en-US"/>
        </w:rPr>
        <w:t>ная защита.- 2015. № 7. С. 44-47.</w:t>
      </w:r>
    </w:p>
    <w:p w:rsidR="00724342" w:rsidRPr="00C609D1" w:rsidRDefault="00724342" w:rsidP="0041627D">
      <w:pPr>
        <w:widowControl w:val="0"/>
        <w:ind w:firstLine="426"/>
        <w:jc w:val="both"/>
        <w:rPr>
          <w:rFonts w:eastAsia="Calibri"/>
          <w:color w:val="000000"/>
          <w:sz w:val="22"/>
          <w:szCs w:val="22"/>
          <w:lang w:eastAsia="en-US"/>
        </w:rPr>
      </w:pPr>
      <w:r w:rsidRPr="00C609D1">
        <w:rPr>
          <w:rFonts w:eastAsia="Calibri"/>
          <w:color w:val="000000"/>
          <w:sz w:val="22"/>
          <w:szCs w:val="22"/>
          <w:lang w:eastAsia="en-US"/>
        </w:rPr>
        <w:t>2. Верхоглазенко В. Система мотивации персонала // Консул</w:t>
      </w:r>
      <w:r w:rsidRPr="00C609D1">
        <w:rPr>
          <w:rFonts w:eastAsia="Calibri"/>
          <w:color w:val="000000"/>
          <w:sz w:val="22"/>
          <w:szCs w:val="22"/>
          <w:lang w:eastAsia="en-US"/>
        </w:rPr>
        <w:t>ь</w:t>
      </w:r>
      <w:r w:rsidRPr="00C609D1">
        <w:rPr>
          <w:rFonts w:eastAsia="Calibri"/>
          <w:color w:val="000000"/>
          <w:sz w:val="22"/>
          <w:szCs w:val="22"/>
          <w:lang w:eastAsia="en-US"/>
        </w:rPr>
        <w:t>тант директора. 2014. № 4. С. 23-34</w:t>
      </w:r>
    </w:p>
    <w:p w:rsidR="00724342" w:rsidRPr="00C609D1" w:rsidRDefault="00724342" w:rsidP="0041627D">
      <w:pPr>
        <w:widowControl w:val="0"/>
        <w:ind w:firstLine="426"/>
        <w:jc w:val="both"/>
        <w:rPr>
          <w:rFonts w:eastAsia="Calibri"/>
          <w:color w:val="000000"/>
          <w:sz w:val="22"/>
          <w:szCs w:val="22"/>
          <w:lang w:eastAsia="en-US"/>
        </w:rPr>
      </w:pPr>
      <w:r w:rsidRPr="00C609D1">
        <w:rPr>
          <w:rFonts w:eastAsia="Calibri"/>
          <w:color w:val="000000"/>
          <w:sz w:val="22"/>
          <w:szCs w:val="22"/>
          <w:lang w:eastAsia="en-US"/>
        </w:rPr>
        <w:t>3. Карякин А. М. Организационное поведение: Учебное пос</w:t>
      </w:r>
      <w:r w:rsidRPr="00C609D1">
        <w:rPr>
          <w:rFonts w:eastAsia="Calibri"/>
          <w:color w:val="000000"/>
          <w:sz w:val="22"/>
          <w:szCs w:val="22"/>
          <w:lang w:eastAsia="en-US"/>
        </w:rPr>
        <w:t>о</w:t>
      </w:r>
      <w:r w:rsidRPr="00C609D1">
        <w:rPr>
          <w:rFonts w:eastAsia="Calibri"/>
          <w:color w:val="000000"/>
          <w:sz w:val="22"/>
          <w:szCs w:val="22"/>
          <w:lang w:eastAsia="en-US"/>
        </w:rPr>
        <w:t>бие. Изд-во ГБОУ ВПО «ИГЭУ». - 2014. - 220 с.</w:t>
      </w:r>
    </w:p>
    <w:p w:rsidR="00724342" w:rsidRPr="00C609D1" w:rsidRDefault="00724342" w:rsidP="00C609D1">
      <w:pPr>
        <w:widowControl w:val="0"/>
        <w:ind w:firstLine="426"/>
        <w:jc w:val="both"/>
        <w:rPr>
          <w:rFonts w:eastAsia="Calibri"/>
          <w:color w:val="000000"/>
          <w:sz w:val="22"/>
          <w:szCs w:val="22"/>
          <w:lang w:eastAsia="en-US"/>
        </w:rPr>
      </w:pPr>
      <w:r w:rsidRPr="00C609D1">
        <w:rPr>
          <w:rFonts w:eastAsia="Calibri"/>
          <w:sz w:val="22"/>
          <w:szCs w:val="22"/>
          <w:lang w:eastAsia="en-US"/>
        </w:rPr>
        <w:t xml:space="preserve">4. </w:t>
      </w:r>
      <w:hyperlink r:id="rId255" w:history="1">
        <w:r w:rsidRPr="00C609D1">
          <w:rPr>
            <w:rFonts w:eastAsia="Calibri"/>
            <w:color w:val="000000"/>
            <w:sz w:val="22"/>
            <w:szCs w:val="22"/>
            <w:lang w:eastAsia="en-US"/>
          </w:rPr>
          <w:t>Литвиненко Г.Н.</w:t>
        </w:r>
      </w:hyperlink>
      <w:r w:rsidRPr="00C609D1">
        <w:rPr>
          <w:rFonts w:eastAsia="Calibri"/>
          <w:color w:val="000000"/>
          <w:sz w:val="22"/>
          <w:szCs w:val="22"/>
          <w:lang w:eastAsia="en-US"/>
        </w:rPr>
        <w:t> Автоматизированная система стимулиров</w:t>
      </w:r>
      <w:r w:rsidRPr="00C609D1">
        <w:rPr>
          <w:rFonts w:eastAsia="Calibri"/>
          <w:color w:val="000000"/>
          <w:sz w:val="22"/>
          <w:szCs w:val="22"/>
          <w:lang w:eastAsia="en-US"/>
        </w:rPr>
        <w:t>а</w:t>
      </w:r>
      <w:r w:rsidRPr="00C609D1">
        <w:rPr>
          <w:rFonts w:eastAsia="Calibri"/>
          <w:color w:val="000000"/>
          <w:sz w:val="22"/>
          <w:szCs w:val="22"/>
          <w:lang w:eastAsia="en-US"/>
        </w:rPr>
        <w:t>ния работников как решение проблемы мотивации/ Г.Н. Литвине</w:t>
      </w:r>
      <w:r w:rsidRPr="00C609D1">
        <w:rPr>
          <w:rFonts w:eastAsia="Calibri"/>
          <w:color w:val="000000"/>
          <w:sz w:val="22"/>
          <w:szCs w:val="22"/>
          <w:lang w:eastAsia="en-US"/>
        </w:rPr>
        <w:t>н</w:t>
      </w:r>
      <w:r w:rsidRPr="00C609D1">
        <w:rPr>
          <w:rFonts w:eastAsia="Calibri"/>
          <w:color w:val="000000"/>
          <w:sz w:val="22"/>
          <w:szCs w:val="22"/>
          <w:lang w:eastAsia="en-US"/>
        </w:rPr>
        <w:t xml:space="preserve">ко, А.В. </w:t>
      </w:r>
      <w:hyperlink r:id="rId256" w:history="1">
        <w:r w:rsidRPr="00C609D1">
          <w:rPr>
            <w:rFonts w:eastAsia="Calibri"/>
            <w:color w:val="000000"/>
            <w:sz w:val="22"/>
            <w:szCs w:val="22"/>
            <w:lang w:eastAsia="en-US"/>
          </w:rPr>
          <w:t xml:space="preserve">Долотова </w:t>
        </w:r>
      </w:hyperlink>
      <w:r w:rsidRPr="00C609D1">
        <w:rPr>
          <w:rFonts w:eastAsia="Calibri"/>
          <w:color w:val="000000"/>
          <w:sz w:val="22"/>
          <w:szCs w:val="22"/>
          <w:lang w:eastAsia="en-US"/>
        </w:rPr>
        <w:t xml:space="preserve">, Н. Л. </w:t>
      </w:r>
      <w:hyperlink r:id="rId257" w:history="1">
        <w:r w:rsidRPr="00C609D1">
          <w:rPr>
            <w:rFonts w:eastAsia="Calibri"/>
            <w:color w:val="000000"/>
            <w:sz w:val="22"/>
            <w:szCs w:val="22"/>
            <w:lang w:eastAsia="en-US"/>
          </w:rPr>
          <w:t xml:space="preserve">Кулиш </w:t>
        </w:r>
      </w:hyperlink>
      <w:r w:rsidRPr="00C609D1">
        <w:rPr>
          <w:rFonts w:eastAsia="Calibri"/>
          <w:color w:val="000000"/>
          <w:sz w:val="22"/>
          <w:szCs w:val="22"/>
          <w:lang w:eastAsia="en-US"/>
        </w:rPr>
        <w:t>//Сб. ст.междунар. науч.-практ. конф. «В мире науки и инноваций» в 5 частях. -(Казань, 20.04.2017 г.). -Уфа: АЭТЕРНА, 2017. -С.160-164. </w:t>
      </w:r>
    </w:p>
    <w:p w:rsidR="00724342" w:rsidRPr="00724342" w:rsidRDefault="00724342" w:rsidP="00724342">
      <w:pPr>
        <w:widowControl w:val="0"/>
        <w:rPr>
          <w:rFonts w:eastAsia="Courier New"/>
          <w:color w:val="000000"/>
          <w:sz w:val="22"/>
          <w:szCs w:val="22"/>
          <w:lang w:eastAsia="en-US"/>
        </w:rPr>
      </w:pPr>
      <w:r w:rsidRPr="00724342">
        <w:rPr>
          <w:rFonts w:eastAsia="Courier New"/>
          <w:color w:val="000000"/>
          <w:sz w:val="22"/>
          <w:szCs w:val="22"/>
          <w:lang w:eastAsia="en-US"/>
        </w:rPr>
        <w:lastRenderedPageBreak/>
        <w:t>УДК 336.767</w:t>
      </w:r>
    </w:p>
    <w:p w:rsidR="00724342" w:rsidRPr="00724342" w:rsidRDefault="00724342" w:rsidP="00724342">
      <w:pPr>
        <w:widowControl w:val="0"/>
        <w:rPr>
          <w:rFonts w:eastAsia="Courier New"/>
          <w:b/>
          <w:color w:val="000000"/>
          <w:sz w:val="24"/>
          <w:szCs w:val="24"/>
          <w:lang w:eastAsia="en-US"/>
        </w:rPr>
      </w:pPr>
    </w:p>
    <w:p w:rsidR="00724342" w:rsidRPr="00724342" w:rsidRDefault="00724342" w:rsidP="00724342">
      <w:pPr>
        <w:widowControl w:val="0"/>
        <w:jc w:val="center"/>
        <w:rPr>
          <w:rFonts w:eastAsia="Courier New"/>
          <w:b/>
          <w:color w:val="000000"/>
          <w:sz w:val="24"/>
          <w:szCs w:val="24"/>
          <w:lang w:eastAsia="en-US"/>
        </w:rPr>
      </w:pPr>
      <w:r w:rsidRPr="00724342">
        <w:rPr>
          <w:rFonts w:eastAsia="Courier New"/>
          <w:b/>
          <w:color w:val="000000"/>
          <w:sz w:val="24"/>
          <w:szCs w:val="24"/>
          <w:lang w:eastAsia="en-US"/>
        </w:rPr>
        <w:t>Основные факторы формирования портфеля инвестиций</w:t>
      </w:r>
    </w:p>
    <w:p w:rsidR="00724342" w:rsidRPr="00724342" w:rsidRDefault="00724342" w:rsidP="00724342">
      <w:pPr>
        <w:widowControl w:val="0"/>
        <w:jc w:val="center"/>
        <w:rPr>
          <w:rFonts w:eastAsia="Courier New"/>
          <w:b/>
          <w:color w:val="000000"/>
          <w:sz w:val="24"/>
          <w:szCs w:val="24"/>
          <w:lang w:val="en-US" w:eastAsia="en-US"/>
        </w:rPr>
      </w:pPr>
      <w:r w:rsidRPr="00724342">
        <w:rPr>
          <w:rFonts w:eastAsia="Courier New"/>
          <w:b/>
          <w:color w:val="000000"/>
          <w:sz w:val="24"/>
          <w:szCs w:val="24"/>
          <w:lang w:val="en-US" w:eastAsia="en-US"/>
        </w:rPr>
        <w:t>Main factors of formation of investment portfolio</w:t>
      </w:r>
    </w:p>
    <w:p w:rsidR="00724342" w:rsidRPr="00724342" w:rsidRDefault="00724342" w:rsidP="00724342">
      <w:pPr>
        <w:widowControl w:val="0"/>
        <w:jc w:val="center"/>
        <w:rPr>
          <w:rFonts w:eastAsia="Courier New"/>
          <w:b/>
          <w:color w:val="000000"/>
          <w:sz w:val="24"/>
          <w:szCs w:val="24"/>
          <w:lang w:val="en-US" w:eastAsia="en-US"/>
        </w:rPr>
      </w:pPr>
    </w:p>
    <w:p w:rsidR="00724342" w:rsidRPr="00724342" w:rsidRDefault="00724342" w:rsidP="0041627D">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Гришин Н.</w:t>
      </w:r>
      <w:r w:rsidR="0041627D">
        <w:rPr>
          <w:rFonts w:eastAsia="Courier New"/>
          <w:color w:val="000000"/>
          <w:sz w:val="22"/>
          <w:szCs w:val="22"/>
          <w:lang w:eastAsia="en-US"/>
        </w:rPr>
        <w:t xml:space="preserve"> </w:t>
      </w:r>
      <w:r w:rsidRPr="00724342">
        <w:rPr>
          <w:rFonts w:eastAsia="Courier New"/>
          <w:color w:val="000000"/>
          <w:sz w:val="22"/>
          <w:szCs w:val="22"/>
          <w:lang w:eastAsia="en-US"/>
        </w:rPr>
        <w:t>А., Шавырин М.А.,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студент</w:t>
      </w:r>
      <w:r w:rsidR="0041627D">
        <w:rPr>
          <w:rFonts w:eastAsia="Courier New"/>
          <w:color w:val="000000"/>
          <w:sz w:val="22"/>
          <w:szCs w:val="22"/>
          <w:lang w:eastAsia="en-US"/>
        </w:rPr>
        <w:t>ы</w:t>
      </w:r>
      <w:r w:rsidRPr="00724342">
        <w:rPr>
          <w:rFonts w:eastAsia="Courier New"/>
          <w:color w:val="000000"/>
          <w:sz w:val="22"/>
          <w:szCs w:val="22"/>
          <w:lang w:eastAsia="en-US"/>
        </w:rPr>
        <w:t xml:space="preserve"> 4-го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Лесных Ю.</w:t>
      </w:r>
      <w:r w:rsidR="0041627D">
        <w:rPr>
          <w:rFonts w:eastAsia="Courier New"/>
          <w:color w:val="000000"/>
          <w:sz w:val="22"/>
          <w:szCs w:val="22"/>
          <w:lang w:eastAsia="en-US"/>
        </w:rPr>
        <w:t xml:space="preserve"> </w:t>
      </w:r>
      <w:r w:rsidRPr="00724342">
        <w:rPr>
          <w:rFonts w:eastAsia="Courier New"/>
          <w:color w:val="000000"/>
          <w:sz w:val="22"/>
          <w:szCs w:val="22"/>
          <w:lang w:eastAsia="en-US"/>
        </w:rPr>
        <w:t>Г.</w:t>
      </w:r>
      <w:r w:rsidR="0041627D">
        <w:rPr>
          <w:rFonts w:eastAsia="Courier New"/>
          <w:color w:val="000000"/>
          <w:sz w:val="22"/>
          <w:szCs w:val="22"/>
          <w:lang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д. э. н., профессор кафедры институциональной экономики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и инвестиционного менеджмента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41627D" w:rsidP="00724342">
      <w:pPr>
        <w:widowControl w:val="0"/>
        <w:tabs>
          <w:tab w:val="left" w:pos="8223"/>
        </w:tabs>
        <w:jc w:val="right"/>
        <w:rPr>
          <w:rFonts w:eastAsia="Courier New"/>
          <w:color w:val="000000"/>
          <w:sz w:val="22"/>
          <w:szCs w:val="22"/>
          <w:lang w:eastAsia="en-US"/>
        </w:rPr>
      </w:pPr>
      <w:r>
        <w:rPr>
          <w:rFonts w:eastAsia="Courier New"/>
          <w:color w:val="000000"/>
          <w:sz w:val="22"/>
          <w:szCs w:val="22"/>
          <w:lang w:eastAsia="en-US"/>
        </w:rPr>
        <w:t xml:space="preserve">университет имени </w:t>
      </w:r>
      <w:r w:rsidR="00724342" w:rsidRPr="00724342">
        <w:rPr>
          <w:rFonts w:eastAsia="Courier New"/>
          <w:color w:val="000000"/>
          <w:sz w:val="22"/>
          <w:szCs w:val="22"/>
          <w:lang w:eastAsia="en-US"/>
        </w:rPr>
        <w:t>И.Т. Трубилина</w:t>
      </w:r>
    </w:p>
    <w:p w:rsidR="00724342" w:rsidRPr="00724342" w:rsidRDefault="00724342" w:rsidP="00724342">
      <w:pPr>
        <w:widowControl w:val="0"/>
        <w:tabs>
          <w:tab w:val="left" w:pos="8223"/>
        </w:tabs>
        <w:jc w:val="right"/>
        <w:rPr>
          <w:rFonts w:eastAsia="Courier New"/>
          <w:color w:val="000000"/>
          <w:sz w:val="22"/>
          <w:szCs w:val="22"/>
          <w:lang w:eastAsia="en-US"/>
        </w:rPr>
      </w:pPr>
    </w:p>
    <w:p w:rsidR="00724342" w:rsidRPr="00724342" w:rsidRDefault="00724342" w:rsidP="0041627D">
      <w:pPr>
        <w:widowControl w:val="0"/>
        <w:tabs>
          <w:tab w:val="left" w:pos="8223"/>
        </w:tabs>
        <w:ind w:firstLine="425"/>
        <w:jc w:val="both"/>
        <w:rPr>
          <w:rFonts w:eastAsia="Courier New"/>
          <w:color w:val="000000"/>
          <w:sz w:val="22"/>
          <w:szCs w:val="22"/>
          <w:lang w:eastAsia="en-US"/>
        </w:rPr>
      </w:pPr>
      <w:r w:rsidRPr="00724342">
        <w:rPr>
          <w:rFonts w:eastAsia="Courier New"/>
          <w:color w:val="000000"/>
          <w:sz w:val="22"/>
          <w:szCs w:val="22"/>
          <w:lang w:eastAsia="en-US"/>
        </w:rPr>
        <w:t>АННОТАЦИЯ: Изучение факторов влияющих на поведение инвесторов на рынке и формирование портфеля инвестиций.</w:t>
      </w:r>
    </w:p>
    <w:p w:rsidR="00724342" w:rsidRPr="00724342" w:rsidRDefault="00724342" w:rsidP="0041627D">
      <w:pPr>
        <w:widowControl w:val="0"/>
        <w:tabs>
          <w:tab w:val="left" w:pos="8223"/>
        </w:tabs>
        <w:ind w:firstLine="425"/>
        <w:jc w:val="both"/>
        <w:rPr>
          <w:rFonts w:eastAsia="Courier New"/>
          <w:color w:val="000000"/>
          <w:sz w:val="22"/>
          <w:szCs w:val="22"/>
          <w:shd w:val="clear" w:color="auto" w:fill="FFFFFF"/>
          <w:lang w:val="en-US" w:eastAsia="en-US"/>
        </w:rPr>
      </w:pPr>
      <w:r w:rsidRPr="00724342">
        <w:rPr>
          <w:rFonts w:eastAsia="Courier New"/>
          <w:color w:val="000000"/>
          <w:sz w:val="22"/>
          <w:szCs w:val="22"/>
          <w:lang w:val="en-US" w:eastAsia="en-US"/>
        </w:rPr>
        <w:t>ABSTRACT:</w:t>
      </w:r>
      <w:r w:rsidRPr="00724342">
        <w:rPr>
          <w:rFonts w:eastAsia="Courier New"/>
          <w:color w:val="000000"/>
          <w:sz w:val="22"/>
          <w:szCs w:val="22"/>
          <w:shd w:val="clear" w:color="auto" w:fill="FFFFFF"/>
          <w:lang w:val="en-US" w:eastAsia="en-US"/>
        </w:rPr>
        <w:t xml:space="preserve"> Investigation of factors influencing the behavior of investors in the market and the formation of an investment portfolio.</w:t>
      </w:r>
    </w:p>
    <w:p w:rsidR="00724342" w:rsidRPr="00724342" w:rsidRDefault="00724342" w:rsidP="0041627D">
      <w:pPr>
        <w:widowControl w:val="0"/>
        <w:tabs>
          <w:tab w:val="left" w:pos="8223"/>
        </w:tabs>
        <w:ind w:firstLine="425"/>
        <w:jc w:val="both"/>
        <w:rPr>
          <w:rFonts w:eastAsia="Courier New"/>
          <w:color w:val="000000"/>
          <w:sz w:val="22"/>
          <w:szCs w:val="22"/>
          <w:lang w:eastAsia="en-US"/>
        </w:rPr>
      </w:pPr>
      <w:r w:rsidRPr="00724342">
        <w:rPr>
          <w:rFonts w:eastAsia="Courier New"/>
          <w:color w:val="000000"/>
          <w:sz w:val="22"/>
          <w:szCs w:val="22"/>
          <w:lang w:eastAsia="en-US"/>
        </w:rPr>
        <w:t>КЛЮЧЕВЫЕ СЛОВА: инвестиции, риски, инвесторы, пр</w:t>
      </w:r>
      <w:r w:rsidRPr="00724342">
        <w:rPr>
          <w:rFonts w:eastAsia="Courier New"/>
          <w:color w:val="000000"/>
          <w:sz w:val="22"/>
          <w:szCs w:val="22"/>
          <w:lang w:eastAsia="en-US"/>
        </w:rPr>
        <w:t>и</w:t>
      </w:r>
      <w:r w:rsidRPr="00724342">
        <w:rPr>
          <w:rFonts w:eastAsia="Courier New"/>
          <w:color w:val="000000"/>
          <w:sz w:val="22"/>
          <w:szCs w:val="22"/>
          <w:lang w:eastAsia="en-US"/>
        </w:rPr>
        <w:t>быль, убытки, акции, активы.</w:t>
      </w:r>
    </w:p>
    <w:p w:rsidR="00724342" w:rsidRPr="00724342" w:rsidRDefault="00724342" w:rsidP="0041627D">
      <w:pPr>
        <w:widowControl w:val="0"/>
        <w:tabs>
          <w:tab w:val="left" w:pos="8223"/>
        </w:tabs>
        <w:ind w:firstLine="425"/>
        <w:jc w:val="both"/>
        <w:rPr>
          <w:rFonts w:eastAsia="Courier New"/>
          <w:color w:val="000000"/>
          <w:sz w:val="22"/>
          <w:szCs w:val="22"/>
          <w:lang w:val="en-US" w:eastAsia="en-US"/>
        </w:rPr>
      </w:pPr>
      <w:r w:rsidRPr="00724342">
        <w:rPr>
          <w:rFonts w:eastAsia="Courier New"/>
          <w:color w:val="000000"/>
          <w:sz w:val="22"/>
          <w:szCs w:val="22"/>
          <w:lang w:val="en-US" w:eastAsia="en-US"/>
        </w:rPr>
        <w:t>KEYWORDS:</w:t>
      </w:r>
      <w:r w:rsidRPr="00724342">
        <w:rPr>
          <w:rFonts w:eastAsia="Courier New"/>
          <w:color w:val="000000"/>
          <w:sz w:val="22"/>
          <w:szCs w:val="22"/>
          <w:shd w:val="clear" w:color="auto" w:fill="FFFFFF"/>
          <w:lang w:val="en-US" w:eastAsia="en-US"/>
        </w:rPr>
        <w:t xml:space="preserve"> </w:t>
      </w:r>
      <w:r w:rsidRPr="00724342">
        <w:rPr>
          <w:rFonts w:eastAsia="Courier New"/>
          <w:color w:val="000000"/>
          <w:sz w:val="22"/>
          <w:szCs w:val="22"/>
          <w:lang w:val="en-US" w:eastAsia="en-US"/>
        </w:rPr>
        <w:t>Investments, Risks, Investors, Profit, Losses, Shares, Assets.</w:t>
      </w:r>
    </w:p>
    <w:p w:rsidR="00C609D1" w:rsidRPr="00C42DAC" w:rsidRDefault="00C609D1" w:rsidP="00C609D1">
      <w:pPr>
        <w:jc w:val="both"/>
        <w:rPr>
          <w:rFonts w:eastAsiaTheme="minorHAnsi"/>
          <w:sz w:val="22"/>
          <w:szCs w:val="22"/>
          <w:lang w:val="en-US" w:eastAsia="en-US"/>
        </w:rPr>
      </w:pPr>
    </w:p>
    <w:p w:rsidR="00724342" w:rsidRPr="00724342" w:rsidRDefault="00724342" w:rsidP="00C609D1">
      <w:pPr>
        <w:ind w:firstLine="426"/>
        <w:jc w:val="both"/>
        <w:rPr>
          <w:rFonts w:eastAsiaTheme="minorHAnsi"/>
          <w:sz w:val="22"/>
          <w:szCs w:val="22"/>
          <w:lang w:eastAsia="en-US"/>
        </w:rPr>
      </w:pPr>
      <w:r w:rsidRPr="00724342">
        <w:rPr>
          <w:rFonts w:eastAsiaTheme="minorHAnsi"/>
          <w:sz w:val="22"/>
          <w:szCs w:val="22"/>
          <w:lang w:eastAsia="en-US"/>
        </w:rPr>
        <w:t>Определяясь с тактикой формирования инвестиционного пор</w:t>
      </w:r>
      <w:r w:rsidRPr="00724342">
        <w:rPr>
          <w:rFonts w:eastAsiaTheme="minorHAnsi"/>
          <w:sz w:val="22"/>
          <w:szCs w:val="22"/>
          <w:lang w:eastAsia="en-US"/>
        </w:rPr>
        <w:t>т</w:t>
      </w:r>
      <w:r w:rsidRPr="00724342">
        <w:rPr>
          <w:rFonts w:eastAsiaTheme="minorHAnsi"/>
          <w:sz w:val="22"/>
          <w:szCs w:val="22"/>
          <w:lang w:eastAsia="en-US"/>
        </w:rPr>
        <w:t>феля, каждый инвестор должен ответить на два ключевых вопроса: «размер риска, который он готов на себя взять» и «размер риска, который целесообразно на себя брать». Ошибочно полагать, что это одно и то же. Все дело в том, что каждый по-разному относится к размеру инвестиций, которые готов потерять. Этот момент является зоной действия для второго вопроса. К огромному сожалению, для большого числа инвесторов при принятии торговых решений и ра</w:t>
      </w:r>
      <w:r w:rsidRPr="00724342">
        <w:rPr>
          <w:rFonts w:eastAsiaTheme="minorHAnsi"/>
          <w:sz w:val="22"/>
          <w:szCs w:val="22"/>
          <w:lang w:eastAsia="en-US"/>
        </w:rPr>
        <w:t>з</w:t>
      </w:r>
      <w:r w:rsidRPr="00724342">
        <w:rPr>
          <w:rFonts w:eastAsiaTheme="minorHAnsi"/>
          <w:sz w:val="22"/>
          <w:szCs w:val="22"/>
          <w:lang w:eastAsia="en-US"/>
        </w:rPr>
        <w:t>мещении активов в портфеле во внимание принимается только ли</w:t>
      </w:r>
      <w:r w:rsidRPr="00724342">
        <w:rPr>
          <w:rFonts w:eastAsiaTheme="minorHAnsi"/>
          <w:sz w:val="22"/>
          <w:szCs w:val="22"/>
          <w:lang w:eastAsia="en-US"/>
        </w:rPr>
        <w:t>ч</w:t>
      </w:r>
      <w:r w:rsidRPr="00724342">
        <w:rPr>
          <w:rFonts w:eastAsiaTheme="minorHAnsi"/>
          <w:sz w:val="22"/>
          <w:szCs w:val="22"/>
          <w:lang w:eastAsia="en-US"/>
        </w:rPr>
        <w:t>ная терпимость к рискам [7]. В идеале следует обратить внимание не только на терпимость к риску, но и рассматривать финансовую возможность принять на себя риски и оптимальный риск. Терп</w:t>
      </w:r>
      <w:r w:rsidRPr="00724342">
        <w:rPr>
          <w:rFonts w:eastAsiaTheme="minorHAnsi"/>
          <w:sz w:val="22"/>
          <w:szCs w:val="22"/>
          <w:lang w:eastAsia="en-US"/>
        </w:rPr>
        <w:t>и</w:t>
      </w:r>
      <w:r w:rsidRPr="00724342">
        <w:rPr>
          <w:rFonts w:eastAsiaTheme="minorHAnsi"/>
          <w:sz w:val="22"/>
          <w:szCs w:val="22"/>
          <w:lang w:eastAsia="en-US"/>
        </w:rPr>
        <w:t>мость к рискам отражает в себе то, на сколько инвестор готов рис</w:t>
      </w:r>
      <w:r w:rsidRPr="00724342">
        <w:rPr>
          <w:rFonts w:eastAsiaTheme="minorHAnsi"/>
          <w:sz w:val="22"/>
          <w:szCs w:val="22"/>
          <w:lang w:eastAsia="en-US"/>
        </w:rPr>
        <w:t>к</w:t>
      </w:r>
      <w:r w:rsidRPr="00724342">
        <w:rPr>
          <w:rFonts w:eastAsiaTheme="minorHAnsi"/>
          <w:sz w:val="22"/>
          <w:szCs w:val="22"/>
          <w:lang w:eastAsia="en-US"/>
        </w:rPr>
        <w:t>нуть инвестициями в обмен на возможность извлечь из этого пр</w:t>
      </w:r>
      <w:r w:rsidRPr="00724342">
        <w:rPr>
          <w:rFonts w:eastAsiaTheme="minorHAnsi"/>
          <w:sz w:val="22"/>
          <w:szCs w:val="22"/>
          <w:lang w:eastAsia="en-US"/>
        </w:rPr>
        <w:t>и</w:t>
      </w:r>
      <w:r w:rsidRPr="00724342">
        <w:rPr>
          <w:rFonts w:eastAsiaTheme="minorHAnsi"/>
          <w:sz w:val="22"/>
          <w:szCs w:val="22"/>
          <w:lang w:eastAsia="en-US"/>
        </w:rPr>
        <w:t xml:space="preserve">быль, многократно превышающую первоначальные инвестиции [1]. </w:t>
      </w:r>
      <w:r w:rsidRPr="00724342">
        <w:rPr>
          <w:rFonts w:eastAsiaTheme="minorHAnsi"/>
          <w:sz w:val="22"/>
          <w:szCs w:val="22"/>
          <w:lang w:eastAsia="en-US"/>
        </w:rPr>
        <w:lastRenderedPageBreak/>
        <w:t>На рынке можно встретить инвестором с высокой терпимостью к рискам. В погоне за прибылью они готовы вкладывать огромные средства ради еще большей прибыли. Таких участников рынка называют агрессивными инвесторами [2]. Есть и более аккуратные «игроки». Эти люди больше беспокоятся о сохранении имеющихся средств. Такие участники рынка обладают низкой терпимостью к рискам. Различия в поведении двух видов «игроков» отражаются на их манере инвестирования и принятии решений. Оба этих типа имеют плюсы и минусы. Агрессивные участники рынка в погоне за прибылью могут упустить возможность вовремя избавиться от имеющихся акций. Более консервативные же участники наоборот, склонны поддаваться общей панике и сбросить набирающие обор</w:t>
      </w:r>
      <w:r w:rsidRPr="00724342">
        <w:rPr>
          <w:rFonts w:eastAsiaTheme="minorHAnsi"/>
          <w:sz w:val="22"/>
          <w:szCs w:val="22"/>
          <w:lang w:eastAsia="en-US"/>
        </w:rPr>
        <w:t>о</w:t>
      </w:r>
      <w:r w:rsidRPr="00724342">
        <w:rPr>
          <w:rFonts w:eastAsiaTheme="minorHAnsi"/>
          <w:sz w:val="22"/>
          <w:szCs w:val="22"/>
          <w:lang w:eastAsia="en-US"/>
        </w:rPr>
        <w:t>ты активы. Кроме терпимости к рискам, есть еще такое понятие, как возможность инвестора взять на себя риск. В этом факторе ключ</w:t>
      </w:r>
      <w:r w:rsidRPr="00724342">
        <w:rPr>
          <w:rFonts w:eastAsiaTheme="minorHAnsi"/>
          <w:sz w:val="22"/>
          <w:szCs w:val="22"/>
          <w:lang w:eastAsia="en-US"/>
        </w:rPr>
        <w:t>е</w:t>
      </w:r>
      <w:r w:rsidRPr="00724342">
        <w:rPr>
          <w:rFonts w:eastAsiaTheme="minorHAnsi"/>
          <w:sz w:val="22"/>
          <w:szCs w:val="22"/>
          <w:lang w:eastAsia="en-US"/>
        </w:rPr>
        <w:t>вую роль играет не психология, а финансовые возможности инв</w:t>
      </w:r>
      <w:r w:rsidRPr="00724342">
        <w:rPr>
          <w:rFonts w:eastAsiaTheme="minorHAnsi"/>
          <w:sz w:val="22"/>
          <w:szCs w:val="22"/>
          <w:lang w:eastAsia="en-US"/>
        </w:rPr>
        <w:t>е</w:t>
      </w:r>
      <w:r w:rsidRPr="00724342">
        <w:rPr>
          <w:rFonts w:eastAsiaTheme="minorHAnsi"/>
          <w:sz w:val="22"/>
          <w:szCs w:val="22"/>
          <w:lang w:eastAsia="en-US"/>
        </w:rPr>
        <w:t>стора [3].  Но не стоит забывать о третьем факторе, влияющем на риски инвестирования – оптимальному риску самого портфеля.</w:t>
      </w:r>
      <w:r w:rsidRPr="00724342">
        <w:rPr>
          <w:rFonts w:eastAsiaTheme="minorHAnsi"/>
          <w:sz w:val="22"/>
          <w:szCs w:val="22"/>
          <w:lang w:eastAsia="en-US"/>
        </w:rPr>
        <w:tab/>
      </w:r>
    </w:p>
    <w:p w:rsidR="00724342" w:rsidRPr="00724342" w:rsidRDefault="00724342" w:rsidP="00C609D1">
      <w:pPr>
        <w:ind w:firstLine="426"/>
        <w:jc w:val="both"/>
        <w:rPr>
          <w:rFonts w:eastAsiaTheme="minorHAnsi"/>
          <w:sz w:val="22"/>
          <w:szCs w:val="22"/>
          <w:lang w:eastAsia="en-US"/>
        </w:rPr>
      </w:pPr>
      <w:r w:rsidRPr="00724342">
        <w:rPr>
          <w:rFonts w:eastAsiaTheme="minorHAnsi"/>
          <w:sz w:val="22"/>
          <w:szCs w:val="22"/>
          <w:lang w:eastAsia="en-US"/>
        </w:rPr>
        <w:t>Данный аспект, в отличие от предыдущих, которые основыв</w:t>
      </w:r>
      <w:r w:rsidRPr="00724342">
        <w:rPr>
          <w:rFonts w:eastAsiaTheme="minorHAnsi"/>
          <w:sz w:val="22"/>
          <w:szCs w:val="22"/>
          <w:lang w:eastAsia="en-US"/>
        </w:rPr>
        <w:t>а</w:t>
      </w:r>
      <w:r w:rsidRPr="00724342">
        <w:rPr>
          <w:rFonts w:eastAsiaTheme="minorHAnsi"/>
          <w:sz w:val="22"/>
          <w:szCs w:val="22"/>
          <w:lang w:eastAsia="en-US"/>
        </w:rPr>
        <w:t>лись на поведении самих инвесторов,  подразумевает под собой формирование оптимального портфеля инвестиций, в котором фа</w:t>
      </w:r>
      <w:r w:rsidRPr="00724342">
        <w:rPr>
          <w:rFonts w:eastAsiaTheme="minorHAnsi"/>
          <w:sz w:val="22"/>
          <w:szCs w:val="22"/>
          <w:lang w:eastAsia="en-US"/>
        </w:rPr>
        <w:t>к</w:t>
      </w:r>
      <w:r w:rsidRPr="00724342">
        <w:rPr>
          <w:rFonts w:eastAsiaTheme="minorHAnsi"/>
          <w:sz w:val="22"/>
          <w:szCs w:val="22"/>
          <w:lang w:eastAsia="en-US"/>
        </w:rPr>
        <w:t>тор риска был бы сбалансирован. При формировании сбалансир</w:t>
      </w:r>
      <w:r w:rsidRPr="00724342">
        <w:rPr>
          <w:rFonts w:eastAsiaTheme="minorHAnsi"/>
          <w:sz w:val="22"/>
          <w:szCs w:val="22"/>
          <w:lang w:eastAsia="en-US"/>
        </w:rPr>
        <w:t>о</w:t>
      </w:r>
      <w:r w:rsidRPr="00724342">
        <w:rPr>
          <w:rFonts w:eastAsiaTheme="minorHAnsi"/>
          <w:sz w:val="22"/>
          <w:szCs w:val="22"/>
          <w:lang w:eastAsia="en-US"/>
        </w:rPr>
        <w:t>ванного портфеля инвестиций на первое место встает снижение до минимума риска потерь с параллельным увеличением потенциал</w:t>
      </w:r>
      <w:r w:rsidRPr="00724342">
        <w:rPr>
          <w:rFonts w:eastAsiaTheme="minorHAnsi"/>
          <w:sz w:val="22"/>
          <w:szCs w:val="22"/>
          <w:lang w:eastAsia="en-US"/>
        </w:rPr>
        <w:t>ь</w:t>
      </w:r>
      <w:r w:rsidRPr="00724342">
        <w:rPr>
          <w:rFonts w:eastAsiaTheme="minorHAnsi"/>
          <w:sz w:val="22"/>
          <w:szCs w:val="22"/>
          <w:lang w:eastAsia="en-US"/>
        </w:rPr>
        <w:t xml:space="preserve">ной прибыли. </w:t>
      </w:r>
    </w:p>
    <w:p w:rsidR="00724342" w:rsidRPr="00724342" w:rsidRDefault="00724342" w:rsidP="00C609D1">
      <w:pPr>
        <w:ind w:firstLine="426"/>
        <w:jc w:val="both"/>
        <w:rPr>
          <w:rFonts w:eastAsiaTheme="minorHAnsi"/>
          <w:sz w:val="22"/>
          <w:szCs w:val="22"/>
          <w:lang w:eastAsia="en-US"/>
        </w:rPr>
      </w:pPr>
      <w:r w:rsidRPr="00724342">
        <w:rPr>
          <w:rFonts w:eastAsiaTheme="minorHAnsi"/>
          <w:sz w:val="22"/>
          <w:szCs w:val="22"/>
          <w:lang w:eastAsia="en-US"/>
        </w:rPr>
        <w:t>При проведении любой обработки данных может получиться результат, который не в полной мере отражает действительность. Это возможно из-за неполноты данных, которые были использов</w:t>
      </w:r>
      <w:r w:rsidRPr="00724342">
        <w:rPr>
          <w:rFonts w:eastAsiaTheme="minorHAnsi"/>
          <w:sz w:val="22"/>
          <w:szCs w:val="22"/>
          <w:lang w:eastAsia="en-US"/>
        </w:rPr>
        <w:t>а</w:t>
      </w:r>
      <w:r w:rsidRPr="00724342">
        <w:rPr>
          <w:rFonts w:eastAsiaTheme="minorHAnsi"/>
          <w:sz w:val="22"/>
          <w:szCs w:val="22"/>
          <w:lang w:eastAsia="en-US"/>
        </w:rPr>
        <w:t>ны при расчете данной модели. Помимо этого вычисления провод</w:t>
      </w:r>
      <w:r w:rsidRPr="00724342">
        <w:rPr>
          <w:rFonts w:eastAsiaTheme="minorHAnsi"/>
          <w:sz w:val="22"/>
          <w:szCs w:val="22"/>
          <w:lang w:eastAsia="en-US"/>
        </w:rPr>
        <w:t>и</w:t>
      </w:r>
      <w:r w:rsidRPr="00724342">
        <w:rPr>
          <w:rFonts w:eastAsiaTheme="minorHAnsi"/>
          <w:sz w:val="22"/>
          <w:szCs w:val="22"/>
          <w:lang w:eastAsia="en-US"/>
        </w:rPr>
        <w:t>лись на исторических данных, а это говорит о том, что в следующие 5-10 лет рынки могу вести себя совсем не так, как это было в предыдущее года [4].</w:t>
      </w:r>
      <w:r w:rsidRPr="00724342">
        <w:rPr>
          <w:rFonts w:eastAsiaTheme="minorHAnsi"/>
          <w:sz w:val="22"/>
          <w:szCs w:val="22"/>
          <w:lang w:eastAsia="en-US"/>
        </w:rPr>
        <w:tab/>
      </w:r>
    </w:p>
    <w:p w:rsidR="00724342" w:rsidRPr="00724342" w:rsidRDefault="00724342" w:rsidP="00C609D1">
      <w:pPr>
        <w:ind w:firstLine="426"/>
        <w:jc w:val="both"/>
        <w:rPr>
          <w:rFonts w:eastAsiaTheme="minorHAnsi"/>
          <w:sz w:val="22"/>
          <w:szCs w:val="22"/>
          <w:lang w:eastAsia="en-US"/>
        </w:rPr>
      </w:pPr>
      <w:r w:rsidRPr="00724342">
        <w:rPr>
          <w:rFonts w:eastAsiaTheme="minorHAnsi"/>
          <w:sz w:val="22"/>
          <w:szCs w:val="22"/>
          <w:lang w:eastAsia="en-US"/>
        </w:rPr>
        <w:t>Каждый, кто решит заняться инвестированием, должен брать в расчет способность принятия риска. В случае победы, получаем огромную прибыль, но при поражении можно потерять все. Реш</w:t>
      </w:r>
      <w:r w:rsidRPr="00724342">
        <w:rPr>
          <w:rFonts w:eastAsiaTheme="minorHAnsi"/>
          <w:sz w:val="22"/>
          <w:szCs w:val="22"/>
          <w:lang w:eastAsia="en-US"/>
        </w:rPr>
        <w:t>е</w:t>
      </w:r>
      <w:r w:rsidRPr="00724342">
        <w:rPr>
          <w:rFonts w:eastAsiaTheme="minorHAnsi"/>
          <w:sz w:val="22"/>
          <w:szCs w:val="22"/>
          <w:lang w:eastAsia="en-US"/>
        </w:rPr>
        <w:t>ние  должно приниматься с учетом всех ключевых факторов. И только в этом случае риски будут минимальны [5]. Для людей, к</w:t>
      </w:r>
      <w:r w:rsidRPr="00724342">
        <w:rPr>
          <w:rFonts w:eastAsiaTheme="minorHAnsi"/>
          <w:sz w:val="22"/>
          <w:szCs w:val="22"/>
          <w:lang w:eastAsia="en-US"/>
        </w:rPr>
        <w:t>о</w:t>
      </w:r>
      <w:r w:rsidRPr="00724342">
        <w:rPr>
          <w:rFonts w:eastAsiaTheme="minorHAnsi"/>
          <w:sz w:val="22"/>
          <w:szCs w:val="22"/>
          <w:lang w:eastAsia="en-US"/>
        </w:rPr>
        <w:t>торым через месяц могут понадобиться деньги, недоступна во</w:t>
      </w:r>
      <w:r w:rsidRPr="00724342">
        <w:rPr>
          <w:rFonts w:eastAsiaTheme="minorHAnsi"/>
          <w:sz w:val="22"/>
          <w:szCs w:val="22"/>
          <w:lang w:eastAsia="en-US"/>
        </w:rPr>
        <w:t>з</w:t>
      </w:r>
      <w:r w:rsidRPr="00724342">
        <w:rPr>
          <w:rFonts w:eastAsiaTheme="minorHAnsi"/>
          <w:sz w:val="22"/>
          <w:szCs w:val="22"/>
          <w:lang w:eastAsia="en-US"/>
        </w:rPr>
        <w:t xml:space="preserve">можность инвестирования. Если финансовое состояние инвестора </w:t>
      </w:r>
      <w:r w:rsidRPr="00724342">
        <w:rPr>
          <w:rFonts w:eastAsiaTheme="minorHAnsi"/>
          <w:sz w:val="22"/>
          <w:szCs w:val="22"/>
          <w:lang w:eastAsia="en-US"/>
        </w:rPr>
        <w:lastRenderedPageBreak/>
        <w:t>не может выдержать сильной просадки инвестиционного портфеля, то ему следует придерживаться консервативных методов инвест</w:t>
      </w:r>
      <w:r w:rsidRPr="00724342">
        <w:rPr>
          <w:rFonts w:eastAsiaTheme="minorHAnsi"/>
          <w:sz w:val="22"/>
          <w:szCs w:val="22"/>
          <w:lang w:eastAsia="en-US"/>
        </w:rPr>
        <w:t>и</w:t>
      </w:r>
      <w:r w:rsidRPr="00724342">
        <w:rPr>
          <w:rFonts w:eastAsiaTheme="minorHAnsi"/>
          <w:sz w:val="22"/>
          <w:szCs w:val="22"/>
          <w:lang w:eastAsia="en-US"/>
        </w:rPr>
        <w:t>рования. Любой инвестор должен стремиться к оптимальному зн</w:t>
      </w:r>
      <w:r w:rsidRPr="00724342">
        <w:rPr>
          <w:rFonts w:eastAsiaTheme="minorHAnsi"/>
          <w:sz w:val="22"/>
          <w:szCs w:val="22"/>
          <w:lang w:eastAsia="en-US"/>
        </w:rPr>
        <w:t>а</w:t>
      </w:r>
      <w:r w:rsidRPr="00724342">
        <w:rPr>
          <w:rFonts w:eastAsiaTheme="minorHAnsi"/>
          <w:sz w:val="22"/>
          <w:szCs w:val="22"/>
          <w:lang w:eastAsia="en-US"/>
        </w:rPr>
        <w:t>чению риска, где соотношение риска к прибыли будет наилучшим. Таким образом, к каждому случаю нужен индивидуальный подход. Должны рассматриваться временные рамки, финансовые возможн</w:t>
      </w:r>
      <w:r w:rsidRPr="00724342">
        <w:rPr>
          <w:rFonts w:eastAsiaTheme="minorHAnsi"/>
          <w:sz w:val="22"/>
          <w:szCs w:val="22"/>
          <w:lang w:eastAsia="en-US"/>
        </w:rPr>
        <w:t>о</w:t>
      </w:r>
      <w:r w:rsidRPr="00724342">
        <w:rPr>
          <w:rFonts w:eastAsiaTheme="minorHAnsi"/>
          <w:sz w:val="22"/>
          <w:szCs w:val="22"/>
          <w:lang w:eastAsia="en-US"/>
        </w:rPr>
        <w:t>сти, целесообразность вложений [6]. Но даже при самых точных расчетах невозможно полностью избавиться от риска и тут уже в игру вступает психологический фактор самого инвестора.</w:t>
      </w:r>
    </w:p>
    <w:p w:rsidR="00724342" w:rsidRPr="00724342" w:rsidRDefault="00724342" w:rsidP="0041627D">
      <w:pPr>
        <w:ind w:firstLine="425"/>
        <w:jc w:val="both"/>
        <w:rPr>
          <w:rFonts w:eastAsiaTheme="minorHAnsi"/>
          <w:sz w:val="22"/>
          <w:szCs w:val="22"/>
          <w:lang w:eastAsia="en-US"/>
        </w:rPr>
      </w:pPr>
    </w:p>
    <w:p w:rsidR="00724342" w:rsidRPr="00724342" w:rsidRDefault="00724342" w:rsidP="0041627D">
      <w:pPr>
        <w:ind w:firstLine="425"/>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1. Гилеб Г.Г., Лесных Ю.Г. Стабилизационный фонд: сырьевые доходы государства как инструмент обеспечения экономической безопасности/ Экономический вестник Ростовского государстве</w:t>
      </w:r>
      <w:r w:rsidRPr="00724342">
        <w:rPr>
          <w:rFonts w:eastAsiaTheme="minorHAnsi"/>
          <w:sz w:val="22"/>
          <w:szCs w:val="22"/>
          <w:lang w:eastAsia="en-US"/>
        </w:rPr>
        <w:t>н</w:t>
      </w:r>
      <w:r w:rsidRPr="00724342">
        <w:rPr>
          <w:rFonts w:eastAsiaTheme="minorHAnsi"/>
          <w:sz w:val="22"/>
          <w:szCs w:val="22"/>
          <w:lang w:eastAsia="en-US"/>
        </w:rPr>
        <w:t>ного университета. 2007. Т. 5. № 1-2. С. 83-85.</w:t>
      </w:r>
      <w:r w:rsidRPr="00724342">
        <w:rPr>
          <w:rFonts w:eastAsiaTheme="minorHAnsi"/>
          <w:sz w:val="22"/>
          <w:szCs w:val="22"/>
          <w:lang w:eastAsia="en-US"/>
        </w:rPr>
        <w:tab/>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2. Лесных Ю.Г. Методология мониторинга инновационной среды нефтяной отрасли региона/   Экономика и предпринимател</w:t>
      </w:r>
      <w:r w:rsidRPr="00724342">
        <w:rPr>
          <w:rFonts w:eastAsiaTheme="minorHAnsi"/>
          <w:sz w:val="22"/>
          <w:szCs w:val="22"/>
          <w:lang w:eastAsia="en-US"/>
        </w:rPr>
        <w:t>ь</w:t>
      </w:r>
      <w:r w:rsidRPr="00724342">
        <w:rPr>
          <w:rFonts w:eastAsiaTheme="minorHAnsi"/>
          <w:sz w:val="22"/>
          <w:szCs w:val="22"/>
          <w:lang w:eastAsia="en-US"/>
        </w:rPr>
        <w:t>ство. 2017. № 6 (83). С. 260-267</w:t>
      </w:r>
      <w:r w:rsidRPr="00724342">
        <w:rPr>
          <w:rFonts w:eastAsiaTheme="minorHAnsi"/>
          <w:sz w:val="22"/>
          <w:szCs w:val="22"/>
          <w:lang w:eastAsia="en-US"/>
        </w:rPr>
        <w:tab/>
      </w:r>
      <w:r w:rsidRPr="00724342">
        <w:rPr>
          <w:rFonts w:eastAsiaTheme="minorHAnsi"/>
          <w:sz w:val="22"/>
          <w:szCs w:val="22"/>
          <w:lang w:eastAsia="en-US"/>
        </w:rPr>
        <w:tab/>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3. Лесных Ю.Г., Плотников А.В., Визер В.В. Оценка IPO и SPO как инструментов привлечения инвестиций (на материалах электр</w:t>
      </w:r>
      <w:r w:rsidRPr="00724342">
        <w:rPr>
          <w:rFonts w:eastAsiaTheme="minorHAnsi"/>
          <w:sz w:val="22"/>
          <w:szCs w:val="22"/>
          <w:lang w:eastAsia="en-US"/>
        </w:rPr>
        <w:t>о</w:t>
      </w:r>
      <w:r w:rsidRPr="00724342">
        <w:rPr>
          <w:rFonts w:eastAsiaTheme="minorHAnsi"/>
          <w:sz w:val="22"/>
          <w:szCs w:val="22"/>
          <w:lang w:eastAsia="en-US"/>
        </w:rPr>
        <w:t>энергетической отрасли) / Экономика и предпринимательство. 2017. № 6 (83). С. 602-606.</w:t>
      </w:r>
      <w:r w:rsidRPr="00724342">
        <w:rPr>
          <w:rFonts w:eastAsiaTheme="minorHAnsi"/>
          <w:sz w:val="22"/>
          <w:szCs w:val="22"/>
          <w:lang w:eastAsia="en-US"/>
        </w:rPr>
        <w:tab/>
      </w:r>
      <w:r w:rsidRPr="00724342">
        <w:rPr>
          <w:rFonts w:eastAsiaTheme="minorHAnsi"/>
          <w:sz w:val="22"/>
          <w:szCs w:val="22"/>
          <w:lang w:eastAsia="en-US"/>
        </w:rPr>
        <w:tab/>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4. Лесных Ю.Г. Использование инструментов фондового рынка для привлечения инвестиций (на материалах электроэнергетической отрасли). / Научный взгляд в будущее. 2017. Т. 3. № 7 (7). С. 7-13.</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5. Лесных Ю.Г. Геополитические факторы обеспечения энерг</w:t>
      </w:r>
      <w:r w:rsidRPr="00724342">
        <w:rPr>
          <w:rFonts w:eastAsiaTheme="minorHAnsi"/>
          <w:sz w:val="22"/>
          <w:szCs w:val="22"/>
          <w:lang w:eastAsia="en-US"/>
        </w:rPr>
        <w:t>е</w:t>
      </w:r>
      <w:r w:rsidRPr="00724342">
        <w:rPr>
          <w:rFonts w:eastAsiaTheme="minorHAnsi"/>
          <w:sz w:val="22"/>
          <w:szCs w:val="22"/>
          <w:lang w:eastAsia="en-US"/>
        </w:rPr>
        <w:t>тической безопасности государства в глобализованном мире. / Национальные интересы: приоритеты и безопасность. 2011. № 28. С. 67-74.</w:t>
      </w:r>
      <w:r w:rsidRPr="00724342">
        <w:rPr>
          <w:rFonts w:eastAsiaTheme="minorHAnsi"/>
          <w:sz w:val="22"/>
          <w:szCs w:val="22"/>
          <w:lang w:eastAsia="en-US"/>
        </w:rPr>
        <w:tab/>
      </w:r>
      <w:r w:rsidRPr="00724342">
        <w:rPr>
          <w:rFonts w:eastAsiaTheme="minorHAnsi"/>
          <w:sz w:val="22"/>
          <w:szCs w:val="22"/>
          <w:lang w:eastAsia="en-US"/>
        </w:rPr>
        <w:tab/>
      </w:r>
      <w:r w:rsidRPr="00724342">
        <w:rPr>
          <w:rFonts w:eastAsiaTheme="minorHAnsi"/>
          <w:sz w:val="22"/>
          <w:szCs w:val="22"/>
          <w:lang w:eastAsia="en-US"/>
        </w:rPr>
        <w:tab/>
      </w:r>
      <w:r w:rsidRPr="00724342">
        <w:rPr>
          <w:rFonts w:eastAsiaTheme="minorHAnsi"/>
          <w:sz w:val="22"/>
          <w:szCs w:val="22"/>
          <w:lang w:eastAsia="en-US"/>
        </w:rPr>
        <w:tab/>
      </w:r>
      <w:r w:rsidRPr="00724342">
        <w:rPr>
          <w:rFonts w:eastAsiaTheme="minorHAnsi"/>
          <w:sz w:val="22"/>
          <w:szCs w:val="22"/>
          <w:lang w:eastAsia="en-US"/>
        </w:rPr>
        <w:tab/>
      </w:r>
      <w:r w:rsidRPr="00724342">
        <w:rPr>
          <w:rFonts w:eastAsiaTheme="minorHAnsi"/>
          <w:sz w:val="22"/>
          <w:szCs w:val="22"/>
          <w:lang w:eastAsia="en-US"/>
        </w:rPr>
        <w:tab/>
      </w:r>
      <w:r w:rsidRPr="00724342">
        <w:rPr>
          <w:rFonts w:eastAsiaTheme="minorHAnsi"/>
          <w:sz w:val="22"/>
          <w:szCs w:val="22"/>
          <w:lang w:eastAsia="en-US"/>
        </w:rPr>
        <w:tab/>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6. Акинин П.В., Королев В.А., Лесных Ю.Г., Петров А.Ю. И</w:t>
      </w:r>
      <w:r w:rsidRPr="00724342">
        <w:rPr>
          <w:rFonts w:eastAsiaTheme="minorHAnsi"/>
          <w:sz w:val="22"/>
          <w:szCs w:val="22"/>
          <w:lang w:eastAsia="en-US"/>
        </w:rPr>
        <w:t>н</w:t>
      </w:r>
      <w:r w:rsidRPr="00724342">
        <w:rPr>
          <w:rFonts w:eastAsiaTheme="minorHAnsi"/>
          <w:sz w:val="22"/>
          <w:szCs w:val="22"/>
          <w:lang w:eastAsia="en-US"/>
        </w:rPr>
        <w:t>фокоммуникационные технологии в брокерской и дилерской де</w:t>
      </w:r>
      <w:r w:rsidRPr="00724342">
        <w:rPr>
          <w:rFonts w:eastAsiaTheme="minorHAnsi"/>
          <w:sz w:val="22"/>
          <w:szCs w:val="22"/>
          <w:lang w:eastAsia="en-US"/>
        </w:rPr>
        <w:t>я</w:t>
      </w:r>
      <w:r w:rsidRPr="00724342">
        <w:rPr>
          <w:rFonts w:eastAsiaTheme="minorHAnsi"/>
          <w:sz w:val="22"/>
          <w:szCs w:val="22"/>
          <w:lang w:eastAsia="en-US"/>
        </w:rPr>
        <w:t>тельности. / Москва, 2007.</w:t>
      </w:r>
      <w:r w:rsidRPr="00724342">
        <w:rPr>
          <w:rFonts w:eastAsiaTheme="minorHAnsi"/>
          <w:sz w:val="22"/>
          <w:szCs w:val="22"/>
          <w:lang w:eastAsia="en-US"/>
        </w:rPr>
        <w:tab/>
      </w:r>
    </w:p>
    <w:p w:rsidR="00724342" w:rsidRPr="00724342" w:rsidRDefault="00724342" w:rsidP="0041627D">
      <w:pPr>
        <w:ind w:firstLine="425"/>
        <w:jc w:val="both"/>
        <w:rPr>
          <w:rFonts w:asciiTheme="minorHAnsi" w:eastAsiaTheme="minorHAnsi" w:hAnsiTheme="minorHAnsi" w:cstheme="minorBidi"/>
          <w:sz w:val="22"/>
          <w:szCs w:val="22"/>
          <w:lang w:eastAsia="en-US"/>
        </w:rPr>
      </w:pPr>
      <w:r w:rsidRPr="00724342">
        <w:rPr>
          <w:rFonts w:eastAsiaTheme="minorHAnsi"/>
          <w:sz w:val="22"/>
          <w:szCs w:val="22"/>
          <w:lang w:eastAsia="en-US"/>
        </w:rPr>
        <w:t>7. Лесных Ю.Г., Повойко И.В. Риски и угрозы экономической безопасности России со стороны мирового финансового рынка в новых геоэкономических условиях. /  Политематический сетевой электронный научный журнал Кубанского государственного агра</w:t>
      </w:r>
      <w:r w:rsidRPr="00724342">
        <w:rPr>
          <w:rFonts w:eastAsiaTheme="minorHAnsi"/>
          <w:sz w:val="22"/>
          <w:szCs w:val="22"/>
          <w:lang w:eastAsia="en-US"/>
        </w:rPr>
        <w:t>р</w:t>
      </w:r>
      <w:r w:rsidRPr="00724342">
        <w:rPr>
          <w:rFonts w:eastAsiaTheme="minorHAnsi"/>
          <w:sz w:val="22"/>
          <w:szCs w:val="22"/>
          <w:lang w:eastAsia="en-US"/>
        </w:rPr>
        <w:t xml:space="preserve">ного университета. 2015. № 112. С. 1462-1474. </w:t>
      </w:r>
    </w:p>
    <w:p w:rsidR="00724342" w:rsidRPr="00724342" w:rsidRDefault="002A1EE0" w:rsidP="00724342">
      <w:pPr>
        <w:jc w:val="both"/>
        <w:rPr>
          <w:rFonts w:eastAsiaTheme="minorHAnsi" w:cstheme="minorBidi"/>
          <w:sz w:val="22"/>
          <w:szCs w:val="22"/>
          <w:lang w:eastAsia="en-US"/>
        </w:rPr>
      </w:pPr>
      <w:r>
        <w:rPr>
          <w:rFonts w:eastAsiaTheme="minorHAnsi" w:cstheme="minorBidi"/>
          <w:sz w:val="22"/>
          <w:szCs w:val="22"/>
          <w:lang w:eastAsia="en-US"/>
        </w:rPr>
        <w:t>ч</w:t>
      </w:r>
    </w:p>
    <w:p w:rsidR="00724342" w:rsidRPr="00724342" w:rsidRDefault="00724342" w:rsidP="00724342">
      <w:pPr>
        <w:jc w:val="both"/>
        <w:rPr>
          <w:rFonts w:eastAsiaTheme="minorHAnsi"/>
          <w:sz w:val="22"/>
          <w:szCs w:val="22"/>
          <w:lang w:eastAsia="en-US"/>
        </w:rPr>
      </w:pPr>
      <w:r w:rsidRPr="00724342">
        <w:rPr>
          <w:rFonts w:eastAsiaTheme="minorHAnsi"/>
          <w:sz w:val="22"/>
          <w:szCs w:val="22"/>
          <w:lang w:eastAsia="en-US"/>
        </w:rPr>
        <w:lastRenderedPageBreak/>
        <w:t>УДК 330.322:005.336.1</w:t>
      </w:r>
    </w:p>
    <w:p w:rsidR="00724342" w:rsidRPr="00724342" w:rsidRDefault="00724342" w:rsidP="00724342">
      <w:pPr>
        <w:jc w:val="both"/>
        <w:rPr>
          <w:rFonts w:eastAsiaTheme="minorHAnsi"/>
          <w:sz w:val="22"/>
          <w:szCs w:val="22"/>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Принципы оценки эффективности </w:t>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инвестиционных проектов</w:t>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val="en-US" w:eastAsia="en-US"/>
        </w:rPr>
        <w:t>Principles</w:t>
      </w:r>
      <w:r w:rsidRPr="00724342">
        <w:rPr>
          <w:rFonts w:eastAsiaTheme="minorHAnsi"/>
          <w:b/>
          <w:sz w:val="24"/>
          <w:szCs w:val="24"/>
          <w:lang w:eastAsia="en-US"/>
        </w:rPr>
        <w:t xml:space="preserve"> </w:t>
      </w:r>
      <w:r w:rsidRPr="00724342">
        <w:rPr>
          <w:rFonts w:eastAsiaTheme="minorHAnsi"/>
          <w:b/>
          <w:sz w:val="24"/>
          <w:szCs w:val="24"/>
          <w:lang w:val="en-US" w:eastAsia="en-US"/>
        </w:rPr>
        <w:t>for</w:t>
      </w:r>
      <w:r w:rsidRPr="00724342">
        <w:rPr>
          <w:rFonts w:eastAsiaTheme="minorHAnsi"/>
          <w:b/>
          <w:sz w:val="24"/>
          <w:szCs w:val="24"/>
          <w:lang w:eastAsia="en-US"/>
        </w:rPr>
        <w:t xml:space="preserve"> </w:t>
      </w:r>
      <w:r w:rsidRPr="00724342">
        <w:rPr>
          <w:rFonts w:eastAsiaTheme="minorHAnsi"/>
          <w:b/>
          <w:sz w:val="24"/>
          <w:szCs w:val="24"/>
          <w:lang w:val="en-US" w:eastAsia="en-US"/>
        </w:rPr>
        <w:t>evaluating</w:t>
      </w:r>
      <w:r w:rsidRPr="00724342">
        <w:rPr>
          <w:rFonts w:eastAsiaTheme="minorHAnsi"/>
          <w:b/>
          <w:sz w:val="24"/>
          <w:szCs w:val="24"/>
          <w:lang w:eastAsia="en-US"/>
        </w:rPr>
        <w:t xml:space="preserve"> </w:t>
      </w:r>
      <w:r w:rsidRPr="00724342">
        <w:rPr>
          <w:rFonts w:eastAsiaTheme="minorHAnsi"/>
          <w:b/>
          <w:sz w:val="24"/>
          <w:szCs w:val="24"/>
          <w:lang w:val="en-US" w:eastAsia="en-US"/>
        </w:rPr>
        <w:t>the</w:t>
      </w:r>
      <w:r w:rsidRPr="00724342">
        <w:rPr>
          <w:rFonts w:eastAsiaTheme="minorHAnsi"/>
          <w:b/>
          <w:sz w:val="24"/>
          <w:szCs w:val="24"/>
          <w:lang w:eastAsia="en-US"/>
        </w:rPr>
        <w:t xml:space="preserve"> </w:t>
      </w:r>
      <w:r w:rsidRPr="00724342">
        <w:rPr>
          <w:rFonts w:eastAsiaTheme="minorHAnsi"/>
          <w:b/>
          <w:sz w:val="24"/>
          <w:szCs w:val="24"/>
          <w:lang w:val="en-US" w:eastAsia="en-US"/>
        </w:rPr>
        <w:t>effectiveness</w:t>
      </w:r>
      <w:r w:rsidRPr="00724342">
        <w:rPr>
          <w:rFonts w:eastAsiaTheme="minorHAnsi"/>
          <w:b/>
          <w:sz w:val="24"/>
          <w:szCs w:val="24"/>
          <w:lang w:eastAsia="en-US"/>
        </w:rPr>
        <w:t xml:space="preserve">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of investment projects</w:t>
      </w:r>
    </w:p>
    <w:p w:rsidR="00724342" w:rsidRPr="00724342" w:rsidRDefault="00724342" w:rsidP="00724342">
      <w:pPr>
        <w:jc w:val="center"/>
        <w:rPr>
          <w:rFonts w:eastAsiaTheme="minorHAnsi"/>
          <w:sz w:val="22"/>
          <w:szCs w:val="22"/>
          <w:lang w:val="en-US" w:eastAsia="en-US"/>
        </w:rPr>
      </w:pPr>
    </w:p>
    <w:p w:rsidR="00724342" w:rsidRPr="00724342" w:rsidRDefault="00724342" w:rsidP="00724342">
      <w:pPr>
        <w:widowControl w:val="0"/>
        <w:tabs>
          <w:tab w:val="left" w:pos="8223"/>
        </w:tabs>
        <w:jc w:val="right"/>
        <w:rPr>
          <w:rFonts w:eastAsia="Courier New"/>
          <w:color w:val="000000"/>
          <w:sz w:val="22"/>
          <w:szCs w:val="22"/>
          <w:lang w:val="en-US" w:eastAsia="en-US"/>
        </w:rPr>
      </w:pPr>
      <w:r w:rsidRPr="00724342">
        <w:rPr>
          <w:rFonts w:eastAsia="Courier New"/>
          <w:color w:val="000000"/>
          <w:sz w:val="22"/>
          <w:szCs w:val="22"/>
          <w:lang w:eastAsia="en-US"/>
        </w:rPr>
        <w:t>Джанунц</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К</w:t>
      </w:r>
      <w:r w:rsidRPr="00724342">
        <w:rPr>
          <w:rFonts w:eastAsia="Courier New"/>
          <w:color w:val="000000"/>
          <w:sz w:val="22"/>
          <w:szCs w:val="22"/>
          <w:lang w:val="en-US" w:eastAsia="en-US"/>
        </w:rPr>
        <w:t>. </w:t>
      </w:r>
      <w:r w:rsidRPr="00724342">
        <w:rPr>
          <w:rFonts w:eastAsia="Courier New"/>
          <w:color w:val="000000"/>
          <w:sz w:val="22"/>
          <w:szCs w:val="22"/>
          <w:lang w:eastAsia="en-US"/>
        </w:rPr>
        <w:t>К</w:t>
      </w:r>
      <w:r w:rsidRPr="00724342">
        <w:rPr>
          <w:rFonts w:eastAsia="Courier New"/>
          <w:color w:val="000000"/>
          <w:sz w:val="22"/>
          <w:szCs w:val="22"/>
          <w:lang w:val="en-US"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магистрант 1-го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w:t>
      </w:r>
      <w:r w:rsidRPr="00724342">
        <w:t xml:space="preserve"> </w:t>
      </w:r>
      <w:r w:rsidRPr="00724342">
        <w:rPr>
          <w:rFonts w:eastAsia="Courier New"/>
          <w:color w:val="000000"/>
          <w:sz w:val="22"/>
          <w:szCs w:val="22"/>
          <w:lang w:eastAsia="en-US"/>
        </w:rPr>
        <w:t>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both"/>
        <w:rPr>
          <w:rFonts w:eastAsiaTheme="minorHAnsi"/>
          <w:sz w:val="22"/>
          <w:szCs w:val="22"/>
          <w:lang w:eastAsia="en-US"/>
        </w:rPr>
      </w:pPr>
    </w:p>
    <w:p w:rsidR="00724342" w:rsidRPr="00724342" w:rsidRDefault="00724342" w:rsidP="0041627D">
      <w:pPr>
        <w:widowControl w:val="0"/>
        <w:tabs>
          <w:tab w:val="left" w:pos="8223"/>
        </w:tabs>
        <w:ind w:firstLine="425"/>
        <w:jc w:val="both"/>
        <w:rPr>
          <w:rFonts w:eastAsia="Courier New"/>
          <w:sz w:val="22"/>
          <w:szCs w:val="22"/>
          <w:lang w:val="en-US" w:eastAsia="en-US"/>
        </w:rPr>
      </w:pPr>
      <w:r w:rsidRPr="00724342">
        <w:rPr>
          <w:rFonts w:eastAsia="Courier New"/>
          <w:sz w:val="22"/>
          <w:szCs w:val="22"/>
          <w:lang w:eastAsia="en-US"/>
        </w:rPr>
        <w:t>АННОТАЦИЯ: Определена актуальность инвестиций в агра</w:t>
      </w:r>
      <w:r w:rsidRPr="00724342">
        <w:rPr>
          <w:rFonts w:eastAsia="Courier New"/>
          <w:sz w:val="22"/>
          <w:szCs w:val="22"/>
          <w:lang w:eastAsia="en-US"/>
        </w:rPr>
        <w:t>р</w:t>
      </w:r>
      <w:r w:rsidRPr="00724342">
        <w:rPr>
          <w:rFonts w:eastAsia="Courier New"/>
          <w:sz w:val="22"/>
          <w:szCs w:val="22"/>
          <w:lang w:eastAsia="en-US"/>
        </w:rPr>
        <w:t>ном бизнесе. Предложены</w:t>
      </w:r>
      <w:r w:rsidRPr="00724342">
        <w:rPr>
          <w:rFonts w:eastAsia="Courier New"/>
          <w:sz w:val="22"/>
          <w:szCs w:val="22"/>
          <w:lang w:val="en-US" w:eastAsia="en-US"/>
        </w:rPr>
        <w:t xml:space="preserve"> </w:t>
      </w:r>
      <w:r w:rsidRPr="00724342">
        <w:rPr>
          <w:rFonts w:eastAsia="Courier New"/>
          <w:sz w:val="22"/>
          <w:szCs w:val="22"/>
          <w:lang w:eastAsia="en-US"/>
        </w:rPr>
        <w:t>принципы</w:t>
      </w:r>
      <w:r w:rsidRPr="00724342">
        <w:rPr>
          <w:rFonts w:eastAsia="Courier New"/>
          <w:sz w:val="22"/>
          <w:szCs w:val="22"/>
          <w:lang w:val="en-US" w:eastAsia="en-US"/>
        </w:rPr>
        <w:t xml:space="preserve"> </w:t>
      </w:r>
      <w:r w:rsidRPr="00724342">
        <w:rPr>
          <w:rFonts w:eastAsia="Courier New"/>
          <w:sz w:val="22"/>
          <w:szCs w:val="22"/>
          <w:lang w:eastAsia="en-US"/>
        </w:rPr>
        <w:t>оценки</w:t>
      </w:r>
      <w:r w:rsidRPr="00724342">
        <w:rPr>
          <w:rFonts w:eastAsia="Courier New"/>
          <w:sz w:val="22"/>
          <w:szCs w:val="22"/>
          <w:lang w:val="en-US" w:eastAsia="en-US"/>
        </w:rPr>
        <w:t xml:space="preserve"> </w:t>
      </w:r>
      <w:r w:rsidRPr="00724342">
        <w:rPr>
          <w:rFonts w:eastAsia="Courier New"/>
          <w:sz w:val="22"/>
          <w:szCs w:val="22"/>
          <w:lang w:eastAsia="en-US"/>
        </w:rPr>
        <w:t>инвестиций</w:t>
      </w:r>
      <w:r w:rsidRPr="00724342">
        <w:rPr>
          <w:rFonts w:eastAsia="Courier New"/>
          <w:sz w:val="22"/>
          <w:szCs w:val="22"/>
          <w:lang w:val="en-US" w:eastAsia="en-US"/>
        </w:rPr>
        <w:t xml:space="preserve">. </w:t>
      </w:r>
    </w:p>
    <w:p w:rsidR="00724342" w:rsidRPr="00724342" w:rsidRDefault="00724342" w:rsidP="0041627D">
      <w:pPr>
        <w:widowControl w:val="0"/>
        <w:tabs>
          <w:tab w:val="left" w:pos="8223"/>
        </w:tabs>
        <w:ind w:firstLine="425"/>
        <w:jc w:val="both"/>
        <w:rPr>
          <w:rFonts w:eastAsiaTheme="minorHAnsi"/>
          <w:sz w:val="22"/>
          <w:szCs w:val="22"/>
          <w:shd w:val="clear" w:color="auto" w:fill="FFFFFF"/>
          <w:lang w:val="en-US" w:eastAsia="en-US"/>
        </w:rPr>
      </w:pPr>
      <w:r w:rsidRPr="00724342">
        <w:rPr>
          <w:rFonts w:eastAsia="Courier New"/>
          <w:sz w:val="22"/>
          <w:szCs w:val="22"/>
          <w:lang w:val="en-US" w:eastAsia="en-US"/>
        </w:rPr>
        <w:t>ABSTRACT:</w:t>
      </w:r>
      <w:r w:rsidRPr="00724342">
        <w:rPr>
          <w:rFonts w:asciiTheme="minorHAnsi" w:eastAsiaTheme="minorHAnsi" w:hAnsiTheme="minorHAnsi" w:cstheme="minorBidi"/>
          <w:sz w:val="22"/>
          <w:szCs w:val="22"/>
          <w:lang w:val="en-US" w:eastAsia="en-US"/>
        </w:rPr>
        <w:t xml:space="preserve"> </w:t>
      </w:r>
      <w:r w:rsidRPr="00724342">
        <w:rPr>
          <w:rFonts w:eastAsia="Courier New"/>
          <w:sz w:val="22"/>
          <w:szCs w:val="22"/>
          <w:lang w:val="en-US" w:eastAsia="en-US"/>
        </w:rPr>
        <w:t>The urgency of investments in agrarian business is determined. The principles of investment valuation are proposed.</w:t>
      </w:r>
    </w:p>
    <w:p w:rsidR="00724342" w:rsidRPr="00724342" w:rsidRDefault="00724342" w:rsidP="0041627D">
      <w:pPr>
        <w:widowControl w:val="0"/>
        <w:tabs>
          <w:tab w:val="left" w:pos="8223"/>
        </w:tabs>
        <w:ind w:firstLine="425"/>
        <w:jc w:val="both"/>
        <w:rPr>
          <w:rFonts w:eastAsia="Courier New"/>
          <w:sz w:val="22"/>
          <w:szCs w:val="22"/>
          <w:lang w:val="en-US" w:eastAsia="en-US"/>
        </w:rPr>
      </w:pPr>
      <w:r w:rsidRPr="00724342">
        <w:rPr>
          <w:rFonts w:eastAsia="Courier New"/>
          <w:sz w:val="22"/>
          <w:szCs w:val="22"/>
          <w:lang w:eastAsia="en-US"/>
        </w:rPr>
        <w:t>КЛЮЧЕВЫЕ</w:t>
      </w:r>
      <w:r w:rsidRPr="00724342">
        <w:rPr>
          <w:rFonts w:eastAsia="Courier New"/>
          <w:sz w:val="22"/>
          <w:szCs w:val="22"/>
          <w:lang w:val="en-US" w:eastAsia="en-US"/>
        </w:rPr>
        <w:t xml:space="preserve"> </w:t>
      </w:r>
      <w:r w:rsidRPr="00724342">
        <w:rPr>
          <w:rFonts w:eastAsia="Courier New"/>
          <w:sz w:val="22"/>
          <w:szCs w:val="22"/>
          <w:lang w:eastAsia="en-US"/>
        </w:rPr>
        <w:t>СЛОВА</w:t>
      </w:r>
      <w:r w:rsidRPr="00724342">
        <w:rPr>
          <w:rFonts w:eastAsia="Courier New"/>
          <w:sz w:val="22"/>
          <w:szCs w:val="22"/>
          <w:lang w:val="en-US" w:eastAsia="en-US"/>
        </w:rPr>
        <w:t xml:space="preserve">: </w:t>
      </w:r>
      <w:r w:rsidRPr="00724342">
        <w:rPr>
          <w:rFonts w:eastAsia="Courier New"/>
          <w:sz w:val="22"/>
          <w:szCs w:val="22"/>
          <w:lang w:eastAsia="en-US"/>
        </w:rPr>
        <w:t>инвестиции</w:t>
      </w:r>
      <w:r w:rsidRPr="00724342">
        <w:rPr>
          <w:rFonts w:eastAsia="Courier New"/>
          <w:sz w:val="22"/>
          <w:szCs w:val="22"/>
          <w:lang w:val="en-US" w:eastAsia="en-US"/>
        </w:rPr>
        <w:t xml:space="preserve">, </w:t>
      </w:r>
      <w:r w:rsidRPr="00724342">
        <w:rPr>
          <w:rFonts w:eastAsia="Courier New"/>
          <w:sz w:val="22"/>
          <w:szCs w:val="22"/>
          <w:lang w:eastAsia="en-US"/>
        </w:rPr>
        <w:t>инвестиционная</w:t>
      </w:r>
      <w:r w:rsidRPr="00724342">
        <w:rPr>
          <w:rFonts w:eastAsia="Courier New"/>
          <w:sz w:val="22"/>
          <w:szCs w:val="22"/>
          <w:lang w:val="en-US" w:eastAsia="en-US"/>
        </w:rPr>
        <w:t xml:space="preserve"> </w:t>
      </w:r>
      <w:r w:rsidRPr="00724342">
        <w:rPr>
          <w:rFonts w:eastAsia="Courier New"/>
          <w:sz w:val="22"/>
          <w:szCs w:val="22"/>
          <w:lang w:eastAsia="en-US"/>
        </w:rPr>
        <w:t>политика</w:t>
      </w:r>
      <w:r w:rsidRPr="00724342">
        <w:rPr>
          <w:rFonts w:eastAsia="Courier New"/>
          <w:sz w:val="22"/>
          <w:szCs w:val="22"/>
          <w:lang w:val="en-US" w:eastAsia="en-US"/>
        </w:rPr>
        <w:t xml:space="preserve">, </w:t>
      </w:r>
      <w:r w:rsidRPr="00724342">
        <w:rPr>
          <w:rFonts w:eastAsia="Courier New"/>
          <w:sz w:val="22"/>
          <w:szCs w:val="22"/>
          <w:lang w:eastAsia="en-US"/>
        </w:rPr>
        <w:t>и</w:t>
      </w:r>
      <w:r w:rsidRPr="00724342">
        <w:rPr>
          <w:rFonts w:eastAsia="Courier New"/>
          <w:sz w:val="22"/>
          <w:szCs w:val="22"/>
          <w:lang w:val="en-US" w:eastAsia="en-US"/>
        </w:rPr>
        <w:t xml:space="preserve">, </w:t>
      </w:r>
      <w:r w:rsidRPr="00724342">
        <w:rPr>
          <w:rFonts w:eastAsia="Courier New"/>
          <w:sz w:val="22"/>
          <w:szCs w:val="22"/>
          <w:lang w:eastAsia="en-US"/>
        </w:rPr>
        <w:t>эффективность</w:t>
      </w:r>
      <w:r w:rsidRPr="00724342">
        <w:rPr>
          <w:rFonts w:eastAsia="Courier New"/>
          <w:sz w:val="22"/>
          <w:szCs w:val="22"/>
          <w:lang w:val="en-US" w:eastAsia="en-US"/>
        </w:rPr>
        <w:t xml:space="preserve">, </w:t>
      </w:r>
      <w:r w:rsidRPr="00724342">
        <w:rPr>
          <w:rFonts w:eastAsia="Courier New"/>
          <w:sz w:val="22"/>
          <w:szCs w:val="22"/>
          <w:lang w:eastAsia="en-US"/>
        </w:rPr>
        <w:t>оценка</w:t>
      </w:r>
      <w:r w:rsidRPr="00724342">
        <w:rPr>
          <w:rFonts w:eastAsia="Courier New"/>
          <w:sz w:val="22"/>
          <w:szCs w:val="22"/>
          <w:lang w:val="en-US" w:eastAsia="en-US"/>
        </w:rPr>
        <w:t xml:space="preserve"> </w:t>
      </w:r>
      <w:r w:rsidRPr="00724342">
        <w:rPr>
          <w:rFonts w:eastAsia="Courier New"/>
          <w:sz w:val="22"/>
          <w:szCs w:val="22"/>
          <w:lang w:eastAsia="en-US"/>
        </w:rPr>
        <w:t>инвестиционных</w:t>
      </w:r>
      <w:r w:rsidRPr="00724342">
        <w:rPr>
          <w:rFonts w:eastAsia="Courier New"/>
          <w:sz w:val="22"/>
          <w:szCs w:val="22"/>
          <w:lang w:val="en-US" w:eastAsia="en-US"/>
        </w:rPr>
        <w:t xml:space="preserve"> </w:t>
      </w:r>
      <w:r w:rsidRPr="00724342">
        <w:rPr>
          <w:rFonts w:eastAsia="Courier New"/>
          <w:sz w:val="22"/>
          <w:szCs w:val="22"/>
          <w:lang w:eastAsia="en-US"/>
        </w:rPr>
        <w:t>проектов</w:t>
      </w:r>
      <w:r w:rsidRPr="00724342">
        <w:rPr>
          <w:rFonts w:eastAsia="Courier New"/>
          <w:sz w:val="22"/>
          <w:szCs w:val="22"/>
          <w:lang w:val="en-US" w:eastAsia="en-US"/>
        </w:rPr>
        <w:t>.</w:t>
      </w:r>
    </w:p>
    <w:p w:rsidR="00724342" w:rsidRPr="00724342" w:rsidRDefault="00724342" w:rsidP="0041627D">
      <w:pPr>
        <w:widowControl w:val="0"/>
        <w:tabs>
          <w:tab w:val="left" w:pos="8223"/>
        </w:tabs>
        <w:ind w:firstLine="425"/>
        <w:jc w:val="both"/>
        <w:rPr>
          <w:rFonts w:eastAsia="Courier New"/>
          <w:sz w:val="22"/>
          <w:szCs w:val="22"/>
          <w:lang w:val="en-US" w:eastAsia="en-US"/>
        </w:rPr>
      </w:pPr>
      <w:r w:rsidRPr="00724342">
        <w:rPr>
          <w:rFonts w:eastAsia="Courier New"/>
          <w:sz w:val="22"/>
          <w:szCs w:val="22"/>
          <w:lang w:val="en-US" w:eastAsia="en-US"/>
        </w:rPr>
        <w:t>KEYWORDS: investment, investment policy, and, efficiency, eva</w:t>
      </w:r>
      <w:r w:rsidRPr="00724342">
        <w:rPr>
          <w:rFonts w:eastAsia="Courier New"/>
          <w:sz w:val="22"/>
          <w:szCs w:val="22"/>
          <w:lang w:val="en-US" w:eastAsia="en-US"/>
        </w:rPr>
        <w:t>l</w:t>
      </w:r>
      <w:r w:rsidRPr="00724342">
        <w:rPr>
          <w:rFonts w:eastAsia="Courier New"/>
          <w:sz w:val="22"/>
          <w:szCs w:val="22"/>
          <w:lang w:val="en-US" w:eastAsia="en-US"/>
        </w:rPr>
        <w:t>uation of investment projects.</w:t>
      </w:r>
    </w:p>
    <w:p w:rsidR="00724342" w:rsidRPr="00724342" w:rsidRDefault="00724342" w:rsidP="0041627D">
      <w:pPr>
        <w:ind w:firstLine="425"/>
        <w:jc w:val="both"/>
        <w:rPr>
          <w:rFonts w:eastAsiaTheme="minorHAnsi"/>
          <w:sz w:val="22"/>
          <w:szCs w:val="22"/>
          <w:lang w:val="en-US" w:eastAsia="en-US"/>
        </w:rPr>
      </w:pP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Инвестиционная деятельность российских предприятий пр</w:t>
      </w:r>
      <w:r w:rsidRPr="00724342">
        <w:rPr>
          <w:rFonts w:eastAsiaTheme="minorHAnsi"/>
          <w:sz w:val="22"/>
          <w:szCs w:val="22"/>
          <w:lang w:eastAsia="en-US"/>
        </w:rPr>
        <w:t>и</w:t>
      </w:r>
      <w:r w:rsidRPr="00724342">
        <w:rPr>
          <w:rFonts w:eastAsiaTheme="minorHAnsi"/>
          <w:sz w:val="22"/>
          <w:szCs w:val="22"/>
          <w:lang w:eastAsia="en-US"/>
        </w:rPr>
        <w:t>нимает все более глобальный характер. Это объясняется многими причинами: необходимостью ведения активной конкурентной бор</w:t>
      </w:r>
      <w:r w:rsidRPr="00724342">
        <w:rPr>
          <w:rFonts w:eastAsiaTheme="minorHAnsi"/>
          <w:sz w:val="22"/>
          <w:szCs w:val="22"/>
          <w:lang w:eastAsia="en-US"/>
        </w:rPr>
        <w:t>ь</w:t>
      </w:r>
      <w:r w:rsidRPr="00724342">
        <w:rPr>
          <w:rFonts w:eastAsiaTheme="minorHAnsi"/>
          <w:sz w:val="22"/>
          <w:szCs w:val="22"/>
          <w:lang w:eastAsia="en-US"/>
        </w:rPr>
        <w:t>бы, обновления материально-технической базы, развитием това</w:t>
      </w:r>
      <w:r w:rsidRPr="00724342">
        <w:rPr>
          <w:rFonts w:eastAsiaTheme="minorHAnsi"/>
          <w:sz w:val="22"/>
          <w:szCs w:val="22"/>
          <w:lang w:eastAsia="en-US"/>
        </w:rPr>
        <w:t>р</w:t>
      </w:r>
      <w:r w:rsidRPr="00724342">
        <w:rPr>
          <w:rFonts w:eastAsiaTheme="minorHAnsi"/>
          <w:sz w:val="22"/>
          <w:szCs w:val="22"/>
          <w:lang w:eastAsia="en-US"/>
        </w:rPr>
        <w:t>ной марки и прочее. Особенно актуально формирование эффекти</w:t>
      </w:r>
      <w:r w:rsidRPr="00724342">
        <w:rPr>
          <w:rFonts w:eastAsiaTheme="minorHAnsi"/>
          <w:sz w:val="22"/>
          <w:szCs w:val="22"/>
          <w:lang w:eastAsia="en-US"/>
        </w:rPr>
        <w:t>в</w:t>
      </w:r>
      <w:r w:rsidRPr="00724342">
        <w:rPr>
          <w:rFonts w:eastAsiaTheme="minorHAnsi"/>
          <w:sz w:val="22"/>
          <w:szCs w:val="22"/>
          <w:lang w:eastAsia="en-US"/>
        </w:rPr>
        <w:t>ной инвестиционной политики для аграрного сектора, функцион</w:t>
      </w:r>
      <w:r w:rsidRPr="00724342">
        <w:rPr>
          <w:rFonts w:eastAsiaTheme="minorHAnsi"/>
          <w:sz w:val="22"/>
          <w:szCs w:val="22"/>
          <w:lang w:eastAsia="en-US"/>
        </w:rPr>
        <w:t>и</w:t>
      </w:r>
      <w:r w:rsidRPr="00724342">
        <w:rPr>
          <w:rFonts w:eastAsiaTheme="minorHAnsi"/>
          <w:sz w:val="22"/>
          <w:szCs w:val="22"/>
          <w:lang w:eastAsia="en-US"/>
        </w:rPr>
        <w:t>рующего в условиях проведения структурных изменений.</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Аграрные предприятия, функционирующие в условиях деф</w:t>
      </w:r>
      <w:r w:rsidRPr="00724342">
        <w:rPr>
          <w:rFonts w:eastAsiaTheme="minorHAnsi"/>
          <w:sz w:val="22"/>
          <w:szCs w:val="22"/>
          <w:lang w:eastAsia="en-US"/>
        </w:rPr>
        <w:t>и</w:t>
      </w:r>
      <w:r w:rsidRPr="00724342">
        <w:rPr>
          <w:rFonts w:eastAsiaTheme="minorHAnsi"/>
          <w:sz w:val="22"/>
          <w:szCs w:val="22"/>
          <w:lang w:eastAsia="en-US"/>
        </w:rPr>
        <w:t>цита финансовых ресурсов для инвестирования, ограниченной м</w:t>
      </w:r>
      <w:r w:rsidRPr="00724342">
        <w:rPr>
          <w:rFonts w:eastAsiaTheme="minorHAnsi"/>
          <w:sz w:val="22"/>
          <w:szCs w:val="22"/>
          <w:lang w:eastAsia="en-US"/>
        </w:rPr>
        <w:t>а</w:t>
      </w:r>
      <w:r w:rsidRPr="00724342">
        <w:rPr>
          <w:rFonts w:eastAsiaTheme="minorHAnsi"/>
          <w:sz w:val="22"/>
          <w:szCs w:val="22"/>
          <w:lang w:eastAsia="en-US"/>
        </w:rPr>
        <w:t>териальной базы, дефицита компетентных специалистов вынужд</w:t>
      </w:r>
      <w:r w:rsidRPr="00724342">
        <w:rPr>
          <w:rFonts w:eastAsiaTheme="minorHAnsi"/>
          <w:sz w:val="22"/>
          <w:szCs w:val="22"/>
          <w:lang w:eastAsia="en-US"/>
        </w:rPr>
        <w:t>е</w:t>
      </w:r>
      <w:r w:rsidRPr="00724342">
        <w:rPr>
          <w:rFonts w:eastAsiaTheme="minorHAnsi"/>
          <w:sz w:val="22"/>
          <w:szCs w:val="22"/>
          <w:lang w:eastAsia="en-US"/>
        </w:rPr>
        <w:t xml:space="preserve">ны более тщательно подходить к оценке инвестиционных проектов </w:t>
      </w:r>
      <w:r w:rsidRPr="00724342">
        <w:rPr>
          <w:rFonts w:eastAsiaTheme="minorHAnsi"/>
          <w:color w:val="000000"/>
          <w:sz w:val="22"/>
          <w:szCs w:val="22"/>
          <w:shd w:val="clear" w:color="auto" w:fill="FFFFFF"/>
          <w:lang w:eastAsia="en-US"/>
        </w:rPr>
        <w:t>[3].</w:t>
      </w:r>
      <w:r w:rsidRPr="00724342">
        <w:rPr>
          <w:rFonts w:eastAsiaTheme="minorHAnsi"/>
          <w:sz w:val="22"/>
          <w:szCs w:val="22"/>
          <w:lang w:eastAsia="en-US"/>
        </w:rPr>
        <w:t xml:space="preserve"> Причем речь идет не только о технической стороне вопроса – выборе подходящих методов и методик. Необходимо учитывать </w:t>
      </w:r>
      <w:r w:rsidRPr="00724342">
        <w:rPr>
          <w:rFonts w:eastAsiaTheme="minorHAnsi"/>
          <w:sz w:val="22"/>
          <w:szCs w:val="22"/>
          <w:lang w:eastAsia="en-US"/>
        </w:rPr>
        <w:lastRenderedPageBreak/>
        <w:t>совокупность показателей, влияющих на качество полученных р</w:t>
      </w:r>
      <w:r w:rsidRPr="00724342">
        <w:rPr>
          <w:rFonts w:eastAsiaTheme="minorHAnsi"/>
          <w:sz w:val="22"/>
          <w:szCs w:val="22"/>
          <w:lang w:eastAsia="en-US"/>
        </w:rPr>
        <w:t>е</w:t>
      </w:r>
      <w:r w:rsidRPr="00724342">
        <w:rPr>
          <w:rFonts w:eastAsiaTheme="minorHAnsi"/>
          <w:sz w:val="22"/>
          <w:szCs w:val="22"/>
          <w:lang w:eastAsia="en-US"/>
        </w:rPr>
        <w:t>зультатов. Для получения наиболее точных оценок эффективности инвестиционных проектов необходимо следовать следующим принципам:</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Ответственность. Оценка инвестиционных проектов, во</w:t>
      </w:r>
      <w:r w:rsidRPr="00724342">
        <w:rPr>
          <w:rFonts w:eastAsiaTheme="minorHAnsi"/>
          <w:sz w:val="22"/>
          <w:szCs w:val="22"/>
          <w:lang w:eastAsia="en-US"/>
        </w:rPr>
        <w:t>з</w:t>
      </w:r>
      <w:r w:rsidRPr="00724342">
        <w:rPr>
          <w:rFonts w:eastAsiaTheme="minorHAnsi"/>
          <w:sz w:val="22"/>
          <w:szCs w:val="22"/>
          <w:lang w:eastAsia="en-US"/>
        </w:rPr>
        <w:t>можности решить все задачи, связанные с их реализацией, должна осуществляться теми специалистами, которые имеют необходимые знания, опыт соответствующей работы, будут непосредственно причастны к выполнению проекта и лично заинтересованы в его успехе.</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Привлечение для проведения оценки нескольких специал</w:t>
      </w:r>
      <w:r w:rsidRPr="00724342">
        <w:rPr>
          <w:rFonts w:eastAsiaTheme="minorHAnsi"/>
          <w:sz w:val="22"/>
          <w:szCs w:val="22"/>
          <w:lang w:eastAsia="en-US"/>
        </w:rPr>
        <w:t>и</w:t>
      </w:r>
      <w:r w:rsidRPr="00724342">
        <w:rPr>
          <w:rFonts w:eastAsiaTheme="minorHAnsi"/>
          <w:sz w:val="22"/>
          <w:szCs w:val="22"/>
          <w:lang w:eastAsia="en-US"/>
        </w:rPr>
        <w:t>стов. Работа в команде позволяет использовать знания сотрудников, оценивающих инвестиционный проект с разных точек зрения – те</w:t>
      </w:r>
      <w:r w:rsidRPr="00724342">
        <w:rPr>
          <w:rFonts w:eastAsiaTheme="minorHAnsi"/>
          <w:sz w:val="22"/>
          <w:szCs w:val="22"/>
          <w:lang w:eastAsia="en-US"/>
        </w:rPr>
        <w:t>х</w:t>
      </w:r>
      <w:r w:rsidRPr="00724342">
        <w:rPr>
          <w:rFonts w:eastAsiaTheme="minorHAnsi"/>
          <w:sz w:val="22"/>
          <w:szCs w:val="22"/>
          <w:lang w:eastAsia="en-US"/>
        </w:rPr>
        <w:t>нической, технологической, правовой, финансовой, бюджетной, организационной и прочее. Кроме того, имея разный предыдущий опыт работы в проектах, специалисты сумеют адекватно оценить риски проекта и выработать совместное решение по их предотвр</w:t>
      </w:r>
      <w:r w:rsidRPr="00724342">
        <w:rPr>
          <w:rFonts w:eastAsiaTheme="minorHAnsi"/>
          <w:sz w:val="22"/>
          <w:szCs w:val="22"/>
          <w:lang w:eastAsia="en-US"/>
        </w:rPr>
        <w:t>а</w:t>
      </w:r>
      <w:r w:rsidRPr="00724342">
        <w:rPr>
          <w:rFonts w:eastAsiaTheme="minorHAnsi"/>
          <w:sz w:val="22"/>
          <w:szCs w:val="22"/>
          <w:lang w:eastAsia="en-US"/>
        </w:rPr>
        <w:t>щению</w:t>
      </w:r>
      <w:r w:rsidRPr="00724342">
        <w:rPr>
          <w:rFonts w:eastAsiaTheme="minorHAnsi"/>
          <w:color w:val="000000"/>
          <w:sz w:val="22"/>
          <w:szCs w:val="22"/>
          <w:shd w:val="clear" w:color="auto" w:fill="FFFFFF"/>
          <w:lang w:eastAsia="en-US"/>
        </w:rPr>
        <w:t xml:space="preserve"> [1].</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Нормальные условия. При проведении оценки эффективн</w:t>
      </w:r>
      <w:r w:rsidRPr="00724342">
        <w:rPr>
          <w:rFonts w:eastAsiaTheme="minorHAnsi"/>
          <w:sz w:val="22"/>
          <w:szCs w:val="22"/>
          <w:lang w:eastAsia="en-US"/>
        </w:rPr>
        <w:t>о</w:t>
      </w:r>
      <w:r w:rsidRPr="00724342">
        <w:rPr>
          <w:rFonts w:eastAsiaTheme="minorHAnsi"/>
          <w:sz w:val="22"/>
          <w:szCs w:val="22"/>
          <w:lang w:eastAsia="en-US"/>
        </w:rPr>
        <w:t>сти инвестиций необходимо ориентироваться на нормальные усл</w:t>
      </w:r>
      <w:r w:rsidRPr="00724342">
        <w:rPr>
          <w:rFonts w:eastAsiaTheme="minorHAnsi"/>
          <w:sz w:val="22"/>
          <w:szCs w:val="22"/>
          <w:lang w:eastAsia="en-US"/>
        </w:rPr>
        <w:t>о</w:t>
      </w:r>
      <w:r w:rsidRPr="00724342">
        <w:rPr>
          <w:rFonts w:eastAsiaTheme="minorHAnsi"/>
          <w:sz w:val="22"/>
          <w:szCs w:val="22"/>
          <w:lang w:eastAsia="en-US"/>
        </w:rPr>
        <w:t>вия работы для оценки времени, материальных, трудовых и фина</w:t>
      </w:r>
      <w:r w:rsidRPr="00724342">
        <w:rPr>
          <w:rFonts w:eastAsiaTheme="minorHAnsi"/>
          <w:sz w:val="22"/>
          <w:szCs w:val="22"/>
          <w:lang w:eastAsia="en-US"/>
        </w:rPr>
        <w:t>н</w:t>
      </w:r>
      <w:r w:rsidRPr="00724342">
        <w:rPr>
          <w:rFonts w:eastAsiaTheme="minorHAnsi"/>
          <w:sz w:val="22"/>
          <w:szCs w:val="22"/>
          <w:lang w:eastAsia="en-US"/>
        </w:rPr>
        <w:t>совых затрат. Это те условия, которые на момент разработки прое</w:t>
      </w:r>
      <w:r w:rsidRPr="00724342">
        <w:rPr>
          <w:rFonts w:eastAsiaTheme="minorHAnsi"/>
          <w:sz w:val="22"/>
          <w:szCs w:val="22"/>
          <w:lang w:eastAsia="en-US"/>
        </w:rPr>
        <w:t>к</w:t>
      </w:r>
      <w:r w:rsidRPr="00724342">
        <w:rPr>
          <w:rFonts w:eastAsiaTheme="minorHAnsi"/>
          <w:sz w:val="22"/>
          <w:szCs w:val="22"/>
          <w:lang w:eastAsia="en-US"/>
        </w:rPr>
        <w:t>та сложились на предприятии. Если сложившиеся условия не по</w:t>
      </w:r>
      <w:r w:rsidRPr="00724342">
        <w:rPr>
          <w:rFonts w:eastAsiaTheme="minorHAnsi"/>
          <w:sz w:val="22"/>
          <w:szCs w:val="22"/>
          <w:lang w:eastAsia="en-US"/>
        </w:rPr>
        <w:t>з</w:t>
      </w:r>
      <w:r w:rsidRPr="00724342">
        <w:rPr>
          <w:rFonts w:eastAsiaTheme="minorHAnsi"/>
          <w:sz w:val="22"/>
          <w:szCs w:val="22"/>
          <w:lang w:eastAsia="en-US"/>
        </w:rPr>
        <w:t>воляют добиться необходимой эффективности инвестиционного проекта, следует искать другие пути решения проблемы.</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Единицы времени. На самых ранних стадиях разработки проекта необходимо решить вопрос о наиболее удобных для данн</w:t>
      </w:r>
      <w:r w:rsidRPr="00724342">
        <w:rPr>
          <w:rFonts w:eastAsiaTheme="minorHAnsi"/>
          <w:sz w:val="22"/>
          <w:szCs w:val="22"/>
          <w:lang w:eastAsia="en-US"/>
        </w:rPr>
        <w:t>о</w:t>
      </w:r>
      <w:r w:rsidRPr="00724342">
        <w:rPr>
          <w:rFonts w:eastAsiaTheme="minorHAnsi"/>
          <w:sz w:val="22"/>
          <w:szCs w:val="22"/>
          <w:lang w:eastAsia="en-US"/>
        </w:rPr>
        <w:t>го проекта единицах времени. Все последующие расчеты необх</w:t>
      </w:r>
      <w:r w:rsidRPr="00724342">
        <w:rPr>
          <w:rFonts w:eastAsiaTheme="minorHAnsi"/>
          <w:sz w:val="22"/>
          <w:szCs w:val="22"/>
          <w:lang w:eastAsia="en-US"/>
        </w:rPr>
        <w:t>о</w:t>
      </w:r>
      <w:r w:rsidRPr="00724342">
        <w:rPr>
          <w:rFonts w:eastAsiaTheme="minorHAnsi"/>
          <w:sz w:val="22"/>
          <w:szCs w:val="22"/>
          <w:lang w:eastAsia="en-US"/>
        </w:rPr>
        <w:t>димо проводить исходя из принятых условий. Не следует забывать, что наиболее ответственным периодом при реализации проекта я</w:t>
      </w:r>
      <w:r w:rsidRPr="00724342">
        <w:rPr>
          <w:rFonts w:eastAsiaTheme="minorHAnsi"/>
          <w:sz w:val="22"/>
          <w:szCs w:val="22"/>
          <w:lang w:eastAsia="en-US"/>
        </w:rPr>
        <w:t>в</w:t>
      </w:r>
      <w:r w:rsidRPr="00724342">
        <w:rPr>
          <w:rFonts w:eastAsiaTheme="minorHAnsi"/>
          <w:sz w:val="22"/>
          <w:szCs w:val="22"/>
          <w:lang w:eastAsia="en-US"/>
        </w:rPr>
        <w:t>ляется инвестиционный период, когда необходимо четко понимать какой размер инвестиций в какой конкретный момент времени п</w:t>
      </w:r>
      <w:r w:rsidRPr="00724342">
        <w:rPr>
          <w:rFonts w:eastAsiaTheme="minorHAnsi"/>
          <w:sz w:val="22"/>
          <w:szCs w:val="22"/>
          <w:lang w:eastAsia="en-US"/>
        </w:rPr>
        <w:t>о</w:t>
      </w:r>
      <w:r w:rsidRPr="00724342">
        <w:rPr>
          <w:rFonts w:eastAsiaTheme="minorHAnsi"/>
          <w:sz w:val="22"/>
          <w:szCs w:val="22"/>
          <w:lang w:eastAsia="en-US"/>
        </w:rPr>
        <w:t xml:space="preserve">требуется и каков будет их источник. Поэтому в первые 1-2 года все денежные потоки могут быть представлены более детализировано – в разрезе каждого месяца. В более поздние периоды достаточно квартального либо годового представления показателей </w:t>
      </w:r>
      <w:r w:rsidRPr="00724342">
        <w:rPr>
          <w:rFonts w:eastAsiaTheme="minorHAnsi"/>
          <w:color w:val="000000"/>
          <w:sz w:val="22"/>
          <w:szCs w:val="22"/>
          <w:shd w:val="clear" w:color="auto" w:fill="FFFFFF"/>
          <w:lang w:eastAsia="en-US"/>
        </w:rPr>
        <w:t>[4].</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Независимость. Каждая задача в процессе реализации пр</w:t>
      </w:r>
      <w:r w:rsidRPr="00724342">
        <w:rPr>
          <w:rFonts w:eastAsiaTheme="minorHAnsi"/>
          <w:sz w:val="22"/>
          <w:szCs w:val="22"/>
          <w:lang w:eastAsia="en-US"/>
        </w:rPr>
        <w:t>о</w:t>
      </w:r>
      <w:r w:rsidRPr="00724342">
        <w:rPr>
          <w:rFonts w:eastAsiaTheme="minorHAnsi"/>
          <w:sz w:val="22"/>
          <w:szCs w:val="22"/>
          <w:lang w:eastAsia="en-US"/>
        </w:rPr>
        <w:t>екта должна рассматриваться независимо от других задач, как абс</w:t>
      </w:r>
      <w:r w:rsidRPr="00724342">
        <w:rPr>
          <w:rFonts w:eastAsiaTheme="minorHAnsi"/>
          <w:sz w:val="22"/>
          <w:szCs w:val="22"/>
          <w:lang w:eastAsia="en-US"/>
        </w:rPr>
        <w:t>о</w:t>
      </w:r>
      <w:r w:rsidRPr="00724342">
        <w:rPr>
          <w:rFonts w:eastAsiaTheme="minorHAnsi"/>
          <w:sz w:val="22"/>
          <w:szCs w:val="22"/>
          <w:lang w:eastAsia="en-US"/>
        </w:rPr>
        <w:lastRenderedPageBreak/>
        <w:t>лютно изолированная. Оценка времени, требующегося для ее реш</w:t>
      </w:r>
      <w:r w:rsidRPr="00724342">
        <w:rPr>
          <w:rFonts w:eastAsiaTheme="minorHAnsi"/>
          <w:sz w:val="22"/>
          <w:szCs w:val="22"/>
          <w:lang w:eastAsia="en-US"/>
        </w:rPr>
        <w:t>е</w:t>
      </w:r>
      <w:r w:rsidRPr="00724342">
        <w:rPr>
          <w:rFonts w:eastAsiaTheme="minorHAnsi"/>
          <w:sz w:val="22"/>
          <w:szCs w:val="22"/>
          <w:lang w:eastAsia="en-US"/>
        </w:rPr>
        <w:t>ния и оценка ресурсов должны основываться на оптимальном по</w:t>
      </w:r>
      <w:r w:rsidRPr="00724342">
        <w:rPr>
          <w:rFonts w:eastAsiaTheme="minorHAnsi"/>
          <w:sz w:val="22"/>
          <w:szCs w:val="22"/>
          <w:lang w:eastAsia="en-US"/>
        </w:rPr>
        <w:t>д</w:t>
      </w:r>
      <w:r w:rsidRPr="00724342">
        <w:rPr>
          <w:rFonts w:eastAsiaTheme="minorHAnsi"/>
          <w:sz w:val="22"/>
          <w:szCs w:val="22"/>
          <w:lang w:eastAsia="en-US"/>
        </w:rPr>
        <w:t>ходе, то есть на необходимости обладать всеми ресурсами для д</w:t>
      </w:r>
      <w:r w:rsidRPr="00724342">
        <w:rPr>
          <w:rFonts w:eastAsiaTheme="minorHAnsi"/>
          <w:sz w:val="22"/>
          <w:szCs w:val="22"/>
          <w:lang w:eastAsia="en-US"/>
        </w:rPr>
        <w:t>о</w:t>
      </w:r>
      <w:r w:rsidRPr="00724342">
        <w:rPr>
          <w:rFonts w:eastAsiaTheme="minorHAnsi"/>
          <w:sz w:val="22"/>
          <w:szCs w:val="22"/>
          <w:lang w:eastAsia="en-US"/>
        </w:rPr>
        <w:t>стижения эффективного результата. Впоследствии, когда будет сформирована вся проектная модель, будет выявлен дефицит ресу</w:t>
      </w:r>
      <w:r w:rsidRPr="00724342">
        <w:rPr>
          <w:rFonts w:eastAsiaTheme="minorHAnsi"/>
          <w:sz w:val="22"/>
          <w:szCs w:val="22"/>
          <w:lang w:eastAsia="en-US"/>
        </w:rPr>
        <w:t>р</w:t>
      </w:r>
      <w:r w:rsidRPr="00724342">
        <w:rPr>
          <w:rFonts w:eastAsiaTheme="minorHAnsi"/>
          <w:sz w:val="22"/>
          <w:szCs w:val="22"/>
          <w:lang w:eastAsia="en-US"/>
        </w:rPr>
        <w:t>сов и произведена корректировка проекта.</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Непредвиденные обстоятельства. При оценке проекта не следует делать поправки на возможность возникновения непредв</w:t>
      </w:r>
      <w:r w:rsidRPr="00724342">
        <w:rPr>
          <w:rFonts w:eastAsiaTheme="minorHAnsi"/>
          <w:sz w:val="22"/>
          <w:szCs w:val="22"/>
          <w:lang w:eastAsia="en-US"/>
        </w:rPr>
        <w:t>и</w:t>
      </w:r>
      <w:r w:rsidRPr="00724342">
        <w:rPr>
          <w:rFonts w:eastAsiaTheme="minorHAnsi"/>
          <w:sz w:val="22"/>
          <w:szCs w:val="22"/>
          <w:lang w:eastAsia="en-US"/>
        </w:rPr>
        <w:t xml:space="preserve">денных обстоятельств. Это будет учтено при создании страхового фонда </w:t>
      </w:r>
      <w:r w:rsidRPr="00724342">
        <w:rPr>
          <w:rFonts w:eastAsiaTheme="minorHAnsi"/>
          <w:color w:val="000000"/>
          <w:sz w:val="22"/>
          <w:szCs w:val="22"/>
          <w:shd w:val="clear" w:color="auto" w:fill="FFFFFF"/>
          <w:lang w:eastAsia="en-US"/>
        </w:rPr>
        <w:t>[</w:t>
      </w:r>
      <w:r w:rsidRPr="00724342">
        <w:rPr>
          <w:rFonts w:eastAsiaTheme="minorHAnsi"/>
          <w:color w:val="000000"/>
          <w:sz w:val="22"/>
          <w:szCs w:val="22"/>
          <w:shd w:val="clear" w:color="auto" w:fill="FFFFFF"/>
          <w:lang w:val="en-US" w:eastAsia="en-US"/>
        </w:rPr>
        <w:t>2</w:t>
      </w:r>
      <w:r w:rsidRPr="00724342">
        <w:rPr>
          <w:rFonts w:eastAsiaTheme="minorHAnsi"/>
          <w:color w:val="000000"/>
          <w:sz w:val="22"/>
          <w:szCs w:val="22"/>
          <w:shd w:val="clear" w:color="auto" w:fill="FFFFFF"/>
          <w:lang w:eastAsia="en-US"/>
        </w:rPr>
        <w:t>].</w:t>
      </w:r>
    </w:p>
    <w:p w:rsidR="00724342" w:rsidRPr="00724342" w:rsidRDefault="00724342" w:rsidP="0041627D">
      <w:pPr>
        <w:numPr>
          <w:ilvl w:val="0"/>
          <w:numId w:val="81"/>
        </w:numPr>
        <w:ind w:left="0" w:firstLine="425"/>
        <w:contextualSpacing/>
        <w:jc w:val="both"/>
        <w:rPr>
          <w:rFonts w:eastAsiaTheme="minorHAnsi"/>
          <w:sz w:val="22"/>
          <w:szCs w:val="22"/>
          <w:lang w:eastAsia="en-US"/>
        </w:rPr>
      </w:pPr>
      <w:r w:rsidRPr="00724342">
        <w:rPr>
          <w:rFonts w:eastAsiaTheme="minorHAnsi"/>
          <w:sz w:val="22"/>
          <w:szCs w:val="22"/>
          <w:lang w:eastAsia="en-US"/>
        </w:rPr>
        <w:t>Идентификация риска применительно к каждым видам де</w:t>
      </w:r>
      <w:r w:rsidRPr="00724342">
        <w:rPr>
          <w:rFonts w:eastAsiaTheme="minorHAnsi"/>
          <w:sz w:val="22"/>
          <w:szCs w:val="22"/>
          <w:lang w:eastAsia="en-US"/>
        </w:rPr>
        <w:t>я</w:t>
      </w:r>
      <w:r w:rsidRPr="00724342">
        <w:rPr>
          <w:rFonts w:eastAsiaTheme="minorHAnsi"/>
          <w:sz w:val="22"/>
          <w:szCs w:val="22"/>
          <w:lang w:eastAsia="en-US"/>
        </w:rPr>
        <w:t>тельности. Необходимо осуществлять оптимистическую и пессим</w:t>
      </w:r>
      <w:r w:rsidRPr="00724342">
        <w:rPr>
          <w:rFonts w:eastAsiaTheme="minorHAnsi"/>
          <w:sz w:val="22"/>
          <w:szCs w:val="22"/>
          <w:lang w:eastAsia="en-US"/>
        </w:rPr>
        <w:t>и</w:t>
      </w:r>
      <w:r w:rsidRPr="00724342">
        <w:rPr>
          <w:rFonts w:eastAsiaTheme="minorHAnsi"/>
          <w:sz w:val="22"/>
          <w:szCs w:val="22"/>
          <w:lang w:eastAsia="en-US"/>
        </w:rPr>
        <w:t>стическую оценку всех элементов инвестиционного проекта.</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Использование предложенных критериев к оценке эффекти</w:t>
      </w:r>
      <w:r w:rsidRPr="00724342">
        <w:rPr>
          <w:rFonts w:eastAsiaTheme="minorHAnsi"/>
          <w:sz w:val="22"/>
          <w:szCs w:val="22"/>
          <w:lang w:eastAsia="en-US"/>
        </w:rPr>
        <w:t>в</w:t>
      </w:r>
      <w:r w:rsidRPr="00724342">
        <w:rPr>
          <w:rFonts w:eastAsiaTheme="minorHAnsi"/>
          <w:sz w:val="22"/>
          <w:szCs w:val="22"/>
          <w:lang w:eastAsia="en-US"/>
        </w:rPr>
        <w:t>ности инвестиционных проектов позволит компании повысить о</w:t>
      </w:r>
      <w:r w:rsidRPr="00724342">
        <w:rPr>
          <w:rFonts w:eastAsiaTheme="minorHAnsi"/>
          <w:sz w:val="22"/>
          <w:szCs w:val="22"/>
          <w:lang w:eastAsia="en-US"/>
        </w:rPr>
        <w:t>б</w:t>
      </w:r>
      <w:r w:rsidRPr="00724342">
        <w:rPr>
          <w:rFonts w:eastAsiaTheme="minorHAnsi"/>
          <w:sz w:val="22"/>
          <w:szCs w:val="22"/>
          <w:lang w:eastAsia="en-US"/>
        </w:rPr>
        <w:t xml:space="preserve">щий уровень инвестиционной деятельности.  </w:t>
      </w:r>
    </w:p>
    <w:p w:rsidR="00724342" w:rsidRPr="00724342" w:rsidRDefault="00724342" w:rsidP="0041627D">
      <w:pPr>
        <w:tabs>
          <w:tab w:val="left" w:pos="851"/>
        </w:tabs>
        <w:ind w:firstLine="425"/>
        <w:jc w:val="both"/>
        <w:rPr>
          <w:rFonts w:eastAsiaTheme="minorHAnsi"/>
          <w:sz w:val="22"/>
          <w:szCs w:val="22"/>
          <w:lang w:eastAsia="en-US"/>
        </w:rPr>
      </w:pPr>
    </w:p>
    <w:p w:rsidR="00724342" w:rsidRPr="00724342" w:rsidRDefault="00724342" w:rsidP="0041627D">
      <w:pPr>
        <w:widowControl w:val="0"/>
        <w:autoSpaceDE w:val="0"/>
        <w:autoSpaceDN w:val="0"/>
        <w:adjustRightInd w:val="0"/>
        <w:ind w:firstLine="425"/>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 xml:space="preserve">1. Пелихов Я. В. </w:t>
      </w:r>
      <w:hyperlink r:id="rId258" w:history="1">
        <w:r w:rsidRPr="00724342">
          <w:rPr>
            <w:rFonts w:eastAsiaTheme="minorHAnsi"/>
            <w:sz w:val="22"/>
            <w:szCs w:val="22"/>
            <w:lang w:eastAsia="en-US"/>
          </w:rPr>
          <w:t>Инвестиционная деятельность в аграрном се</w:t>
        </w:r>
        <w:r w:rsidRPr="00724342">
          <w:rPr>
            <w:rFonts w:eastAsiaTheme="minorHAnsi"/>
            <w:sz w:val="22"/>
            <w:szCs w:val="22"/>
            <w:lang w:eastAsia="en-US"/>
          </w:rPr>
          <w:t>к</w:t>
        </w:r>
        <w:r w:rsidRPr="00724342">
          <w:rPr>
            <w:rFonts w:eastAsiaTheme="minorHAnsi"/>
            <w:sz w:val="22"/>
            <w:szCs w:val="22"/>
            <w:lang w:eastAsia="en-US"/>
          </w:rPr>
          <w:t>торе экономики</w:t>
        </w:r>
      </w:hyperlink>
      <w:r w:rsidRPr="00724342">
        <w:rPr>
          <w:rFonts w:eastAsiaTheme="minorHAnsi"/>
          <w:sz w:val="22"/>
          <w:szCs w:val="22"/>
          <w:lang w:eastAsia="en-US"/>
        </w:rPr>
        <w:t> / Я. В. Пелихов, Г. Н. Литвиненко // </w:t>
      </w:r>
      <w:hyperlink r:id="rId259" w:history="1">
        <w:r w:rsidRPr="00724342">
          <w:rPr>
            <w:rFonts w:eastAsiaTheme="minorHAnsi"/>
            <w:sz w:val="22"/>
            <w:szCs w:val="22"/>
            <w:lang w:eastAsia="en-US"/>
          </w:rPr>
          <w:t>Роль банко</w:t>
        </w:r>
        <w:r w:rsidRPr="00724342">
          <w:rPr>
            <w:rFonts w:eastAsiaTheme="minorHAnsi"/>
            <w:sz w:val="22"/>
            <w:szCs w:val="22"/>
            <w:lang w:eastAsia="en-US"/>
          </w:rPr>
          <w:t>в</w:t>
        </w:r>
        <w:r w:rsidRPr="00724342">
          <w:rPr>
            <w:rFonts w:eastAsiaTheme="minorHAnsi"/>
            <w:sz w:val="22"/>
            <w:szCs w:val="22"/>
            <w:lang w:eastAsia="en-US"/>
          </w:rPr>
          <w:t>ского и реального сектора в решении проблем социально-экономического развития</w:t>
        </w:r>
      </w:hyperlink>
      <w:r w:rsidRPr="00724342">
        <w:rPr>
          <w:rFonts w:eastAsiaTheme="minorHAnsi"/>
          <w:sz w:val="22"/>
          <w:szCs w:val="22"/>
          <w:lang w:eastAsia="en-US"/>
        </w:rPr>
        <w:t xml:space="preserve"> : сб. ст. междунар. науч.-практ. конф.  – Омск, 2017. – С. 40-43.</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2. Соколова А. П. Управление рисками производственной де</w:t>
      </w:r>
      <w:r w:rsidRPr="00724342">
        <w:rPr>
          <w:rFonts w:eastAsiaTheme="minorHAnsi"/>
          <w:sz w:val="22"/>
          <w:szCs w:val="22"/>
          <w:lang w:eastAsia="en-US"/>
        </w:rPr>
        <w:t>я</w:t>
      </w:r>
      <w:r w:rsidRPr="00724342">
        <w:rPr>
          <w:rFonts w:eastAsiaTheme="minorHAns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С. 241-250.</w:t>
      </w:r>
    </w:p>
    <w:p w:rsidR="00724342" w:rsidRPr="00724342" w:rsidRDefault="00724342" w:rsidP="0041627D">
      <w:pPr>
        <w:ind w:firstLine="425"/>
        <w:jc w:val="both"/>
        <w:rPr>
          <w:rFonts w:eastAsiaTheme="minorHAnsi"/>
          <w:sz w:val="22"/>
          <w:szCs w:val="22"/>
          <w:lang w:eastAsia="en-US"/>
        </w:rPr>
      </w:pPr>
      <w:r w:rsidRPr="00724342">
        <w:rPr>
          <w:rFonts w:eastAsiaTheme="minorHAnsi"/>
          <w:sz w:val="22"/>
          <w:szCs w:val="22"/>
          <w:lang w:eastAsia="en-US"/>
        </w:rPr>
        <w:t>3. 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w:t>
      </w:r>
      <w:r w:rsidRPr="00724342">
        <w:rPr>
          <w:rFonts w:eastAsiaTheme="minorHAnsi"/>
          <w:sz w:val="22"/>
          <w:szCs w:val="22"/>
          <w:lang w:eastAsia="en-US"/>
        </w:rPr>
        <w:t>н</w:t>
      </w:r>
      <w:r w:rsidRPr="00724342">
        <w:rPr>
          <w:rFonts w:eastAsiaTheme="minorHAnsi"/>
          <w:sz w:val="22"/>
          <w:szCs w:val="22"/>
          <w:lang w:eastAsia="en-US"/>
        </w:rPr>
        <w:t>ского государственного аграрного университета. – 2013. – № 42. – С. 38–41.</w:t>
      </w:r>
    </w:p>
    <w:p w:rsidR="00724342" w:rsidRPr="002A1EE0" w:rsidRDefault="00724342" w:rsidP="002A1EE0">
      <w:pPr>
        <w:ind w:firstLine="425"/>
        <w:jc w:val="both"/>
        <w:rPr>
          <w:rFonts w:eastAsiaTheme="minorHAnsi"/>
          <w:sz w:val="22"/>
          <w:szCs w:val="22"/>
          <w:lang w:eastAsia="en-US"/>
        </w:rPr>
      </w:pPr>
      <w:r w:rsidRPr="00724342">
        <w:rPr>
          <w:rFonts w:eastAsiaTheme="minorHAnsi"/>
          <w:sz w:val="22"/>
          <w:szCs w:val="22"/>
          <w:lang w:eastAsia="en-US"/>
        </w:rPr>
        <w:t>4. Сухарева О. А. Подходы к управлению реализацией инв</w:t>
      </w:r>
      <w:r w:rsidRPr="00724342">
        <w:rPr>
          <w:rFonts w:eastAsiaTheme="minorHAnsi"/>
          <w:sz w:val="22"/>
          <w:szCs w:val="22"/>
          <w:lang w:eastAsia="en-US"/>
        </w:rPr>
        <w:t>е</w:t>
      </w:r>
      <w:r w:rsidRPr="00724342">
        <w:rPr>
          <w:rFonts w:eastAsiaTheme="minorHAnsi"/>
          <w:sz w:val="22"/>
          <w:szCs w:val="22"/>
          <w:lang w:eastAsia="en-US"/>
        </w:rPr>
        <w:t>стиционного проекта в условиях неопределенности внешней среды / О. А. Сухарева, К. М. Малинник // Проблемы и перспективы экон</w:t>
      </w:r>
      <w:r w:rsidRPr="00724342">
        <w:rPr>
          <w:rFonts w:eastAsiaTheme="minorHAnsi"/>
          <w:sz w:val="22"/>
          <w:szCs w:val="22"/>
          <w:lang w:eastAsia="en-US"/>
        </w:rPr>
        <w:t>о</w:t>
      </w:r>
      <w:r w:rsidRPr="00724342">
        <w:rPr>
          <w:rFonts w:eastAsiaTheme="minorHAnsi"/>
          <w:sz w:val="22"/>
          <w:szCs w:val="22"/>
          <w:lang w:eastAsia="en-US"/>
        </w:rPr>
        <w:t>мических отношений на пространстве ЕАЭС: сб. ст. Междунар. науч.-практ. конф.. – Уфа, 2017. – С. 136-141.</w:t>
      </w:r>
    </w:p>
    <w:p w:rsidR="00724342" w:rsidRPr="00724342" w:rsidRDefault="00724342" w:rsidP="00724342">
      <w:pPr>
        <w:jc w:val="both"/>
        <w:rPr>
          <w:rFonts w:eastAsia="Calibri"/>
          <w:sz w:val="22"/>
          <w:szCs w:val="22"/>
          <w:lang w:eastAsia="en-US"/>
        </w:rPr>
      </w:pPr>
      <w:r w:rsidRPr="00724342">
        <w:rPr>
          <w:rFonts w:eastAsia="Calibri"/>
          <w:sz w:val="22"/>
          <w:szCs w:val="22"/>
          <w:lang w:eastAsia="en-US"/>
        </w:rPr>
        <w:lastRenderedPageBreak/>
        <w:t>УДК 330.12</w:t>
      </w:r>
    </w:p>
    <w:p w:rsidR="00724342" w:rsidRPr="00724342" w:rsidRDefault="00724342" w:rsidP="00724342">
      <w:pPr>
        <w:jc w:val="both"/>
        <w:rPr>
          <w:rFonts w:eastAsia="Calibri"/>
          <w:sz w:val="22"/>
          <w:szCs w:val="22"/>
          <w:lang w:eastAsia="en-US"/>
        </w:rPr>
      </w:pPr>
    </w:p>
    <w:p w:rsidR="00724342" w:rsidRPr="00724342" w:rsidRDefault="00724342" w:rsidP="00724342">
      <w:pPr>
        <w:autoSpaceDE w:val="0"/>
        <w:autoSpaceDN w:val="0"/>
        <w:adjustRightInd w:val="0"/>
        <w:jc w:val="center"/>
        <w:rPr>
          <w:rFonts w:ascii="Times New Roman CYR" w:eastAsia="Calibri" w:hAnsi="Times New Roman CYR" w:cs="Times New Roman CYR"/>
          <w:b/>
          <w:color w:val="000000"/>
          <w:spacing w:val="2"/>
          <w:sz w:val="24"/>
          <w:szCs w:val="24"/>
          <w:lang w:eastAsia="en-US"/>
        </w:rPr>
      </w:pPr>
      <w:r w:rsidRPr="00724342">
        <w:rPr>
          <w:rFonts w:ascii="Times New Roman CYR" w:eastAsia="Calibri" w:hAnsi="Times New Roman CYR" w:cs="Times New Roman CYR"/>
          <w:b/>
          <w:color w:val="000000"/>
          <w:spacing w:val="2"/>
          <w:sz w:val="24"/>
          <w:szCs w:val="24"/>
          <w:highlight w:val="white"/>
          <w:lang w:eastAsia="en-US"/>
        </w:rPr>
        <w:t>Потребительская корзина как фактор, определяющий благосостояние страны</w:t>
      </w:r>
    </w:p>
    <w:p w:rsidR="00724342" w:rsidRPr="00724342" w:rsidRDefault="00724342" w:rsidP="00724342">
      <w:pPr>
        <w:autoSpaceDE w:val="0"/>
        <w:autoSpaceDN w:val="0"/>
        <w:adjustRightInd w:val="0"/>
        <w:jc w:val="center"/>
        <w:rPr>
          <w:rFonts w:eastAsia="Calibri"/>
          <w:b/>
          <w:sz w:val="24"/>
          <w:szCs w:val="24"/>
          <w:lang w:val="en-US" w:eastAsia="en-US"/>
        </w:rPr>
      </w:pPr>
      <w:r w:rsidRPr="00724342">
        <w:rPr>
          <w:rFonts w:eastAsia="Calibri"/>
          <w:b/>
          <w:sz w:val="24"/>
          <w:szCs w:val="24"/>
          <w:lang w:val="en-US" w:eastAsia="en-US"/>
        </w:rPr>
        <w:t xml:space="preserve">Consumer basket as a factor determining the welfare </w:t>
      </w:r>
    </w:p>
    <w:p w:rsidR="00724342" w:rsidRPr="00724342" w:rsidRDefault="00724342" w:rsidP="00724342">
      <w:pPr>
        <w:autoSpaceDE w:val="0"/>
        <w:autoSpaceDN w:val="0"/>
        <w:adjustRightInd w:val="0"/>
        <w:jc w:val="center"/>
        <w:rPr>
          <w:rFonts w:eastAsia="Calibri"/>
          <w:b/>
          <w:sz w:val="24"/>
          <w:szCs w:val="24"/>
          <w:lang w:val="en-US" w:eastAsia="en-US"/>
        </w:rPr>
      </w:pPr>
      <w:r w:rsidRPr="00724342">
        <w:rPr>
          <w:rFonts w:eastAsia="Calibri"/>
          <w:b/>
          <w:sz w:val="24"/>
          <w:szCs w:val="24"/>
          <w:lang w:val="en-US" w:eastAsia="en-US"/>
        </w:rPr>
        <w:t>of the country</w:t>
      </w:r>
    </w:p>
    <w:p w:rsidR="00724342" w:rsidRPr="00724342" w:rsidRDefault="00724342" w:rsidP="00724342">
      <w:pPr>
        <w:jc w:val="both"/>
        <w:rPr>
          <w:rFonts w:eastAsia="Calibri"/>
          <w:sz w:val="22"/>
          <w:szCs w:val="22"/>
          <w:lang w:val="en-US" w:eastAsia="en-US"/>
        </w:rPr>
      </w:pPr>
    </w:p>
    <w:p w:rsidR="00724342" w:rsidRPr="00724342" w:rsidRDefault="00724342" w:rsidP="00724342">
      <w:pPr>
        <w:widowControl w:val="0"/>
        <w:tabs>
          <w:tab w:val="left" w:pos="8223"/>
        </w:tabs>
        <w:jc w:val="right"/>
        <w:rPr>
          <w:rFonts w:eastAsia="Courier New"/>
          <w:color w:val="000000"/>
          <w:sz w:val="22"/>
          <w:szCs w:val="22"/>
          <w:lang w:val="en-US" w:eastAsia="en-US"/>
        </w:rPr>
      </w:pPr>
      <w:r w:rsidRPr="00724342">
        <w:rPr>
          <w:rFonts w:eastAsia="Courier New"/>
          <w:color w:val="000000"/>
          <w:sz w:val="22"/>
          <w:szCs w:val="22"/>
          <w:lang w:eastAsia="en-US"/>
        </w:rPr>
        <w:t>Едигаян</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М</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Б</w:t>
      </w:r>
      <w:r w:rsidRPr="00724342">
        <w:rPr>
          <w:rFonts w:eastAsia="Courier New"/>
          <w:color w:val="000000"/>
          <w:sz w:val="22"/>
          <w:szCs w:val="22"/>
          <w:lang w:val="en-US"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студентка 3-го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w:t>
      </w:r>
      <w:r w:rsidRPr="00724342">
        <w:t xml:space="preserve"> </w:t>
      </w:r>
      <w:r w:rsidRPr="00724342">
        <w:rPr>
          <w:rFonts w:eastAsia="Courier New"/>
          <w:color w:val="000000"/>
          <w:sz w:val="22"/>
          <w:szCs w:val="22"/>
          <w:lang w:eastAsia="en-US"/>
        </w:rPr>
        <w:t>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both"/>
        <w:rPr>
          <w:rFonts w:eastAsia="Calibri"/>
          <w:sz w:val="22"/>
          <w:szCs w:val="22"/>
          <w:lang w:eastAsia="en-US"/>
        </w:rPr>
      </w:pPr>
    </w:p>
    <w:p w:rsidR="00724342" w:rsidRPr="0041627D" w:rsidRDefault="00724342" w:rsidP="0041627D">
      <w:pPr>
        <w:widowControl w:val="0"/>
        <w:tabs>
          <w:tab w:val="left" w:pos="8223"/>
        </w:tabs>
        <w:ind w:firstLine="426"/>
        <w:jc w:val="both"/>
        <w:rPr>
          <w:rFonts w:eastAsia="Courier New"/>
          <w:sz w:val="22"/>
          <w:szCs w:val="22"/>
          <w:lang w:val="en-US" w:eastAsia="en-US"/>
        </w:rPr>
      </w:pPr>
      <w:r w:rsidRPr="0041627D">
        <w:rPr>
          <w:rFonts w:eastAsia="Courier New"/>
          <w:sz w:val="22"/>
          <w:szCs w:val="22"/>
          <w:lang w:eastAsia="en-US"/>
        </w:rPr>
        <w:t>АННОТАЦИЯ: Проанализировано состояние потребительской корзины в России и в других странах. Определены</w:t>
      </w:r>
      <w:r w:rsidRPr="0041627D">
        <w:rPr>
          <w:rFonts w:eastAsia="Courier New"/>
          <w:sz w:val="22"/>
          <w:szCs w:val="22"/>
          <w:lang w:val="en-US" w:eastAsia="en-US"/>
        </w:rPr>
        <w:t xml:space="preserve"> </w:t>
      </w:r>
      <w:r w:rsidRPr="0041627D">
        <w:rPr>
          <w:rFonts w:eastAsia="Courier New"/>
          <w:sz w:val="22"/>
          <w:szCs w:val="22"/>
          <w:lang w:eastAsia="en-US"/>
        </w:rPr>
        <w:t>направления</w:t>
      </w:r>
      <w:r w:rsidRPr="0041627D">
        <w:rPr>
          <w:rFonts w:eastAsia="Courier New"/>
          <w:sz w:val="22"/>
          <w:szCs w:val="22"/>
          <w:lang w:val="en-US" w:eastAsia="en-US"/>
        </w:rPr>
        <w:t xml:space="preserve"> </w:t>
      </w:r>
      <w:r w:rsidRPr="0041627D">
        <w:rPr>
          <w:rFonts w:eastAsia="Courier New"/>
          <w:sz w:val="22"/>
          <w:szCs w:val="22"/>
          <w:lang w:eastAsia="en-US"/>
        </w:rPr>
        <w:t>и</w:t>
      </w:r>
      <w:r w:rsidRPr="0041627D">
        <w:rPr>
          <w:rFonts w:eastAsia="Courier New"/>
          <w:sz w:val="22"/>
          <w:szCs w:val="22"/>
          <w:lang w:eastAsia="en-US"/>
        </w:rPr>
        <w:t>з</w:t>
      </w:r>
      <w:r w:rsidRPr="0041627D">
        <w:rPr>
          <w:rFonts w:eastAsia="Courier New"/>
          <w:sz w:val="22"/>
          <w:szCs w:val="22"/>
          <w:lang w:eastAsia="en-US"/>
        </w:rPr>
        <w:t>менения</w:t>
      </w:r>
      <w:r w:rsidRPr="0041627D">
        <w:rPr>
          <w:rFonts w:eastAsia="Courier New"/>
          <w:sz w:val="22"/>
          <w:szCs w:val="22"/>
          <w:lang w:val="en-US" w:eastAsia="en-US"/>
        </w:rPr>
        <w:t xml:space="preserve"> </w:t>
      </w:r>
      <w:r w:rsidRPr="0041627D">
        <w:rPr>
          <w:rFonts w:eastAsia="Courier New"/>
          <w:sz w:val="22"/>
          <w:szCs w:val="22"/>
          <w:lang w:eastAsia="en-US"/>
        </w:rPr>
        <w:t>ее</w:t>
      </w:r>
      <w:r w:rsidRPr="0041627D">
        <w:rPr>
          <w:rFonts w:eastAsia="Courier New"/>
          <w:sz w:val="22"/>
          <w:szCs w:val="22"/>
          <w:lang w:val="en-US" w:eastAsia="en-US"/>
        </w:rPr>
        <w:t xml:space="preserve"> </w:t>
      </w:r>
      <w:r w:rsidRPr="0041627D">
        <w:rPr>
          <w:rFonts w:eastAsia="Courier New"/>
          <w:sz w:val="22"/>
          <w:szCs w:val="22"/>
          <w:lang w:eastAsia="en-US"/>
        </w:rPr>
        <w:t>структуры</w:t>
      </w:r>
      <w:r w:rsidRPr="0041627D">
        <w:rPr>
          <w:rFonts w:eastAsia="Courier New"/>
          <w:sz w:val="22"/>
          <w:szCs w:val="22"/>
          <w:lang w:val="en-US" w:eastAsia="en-US"/>
        </w:rPr>
        <w:t>.</w:t>
      </w:r>
    </w:p>
    <w:p w:rsidR="00724342" w:rsidRPr="0041627D" w:rsidRDefault="00724342" w:rsidP="0041627D">
      <w:pPr>
        <w:widowControl w:val="0"/>
        <w:tabs>
          <w:tab w:val="left" w:pos="8223"/>
        </w:tabs>
        <w:ind w:firstLine="426"/>
        <w:jc w:val="both"/>
        <w:rPr>
          <w:rFonts w:eastAsia="Calibri"/>
          <w:sz w:val="22"/>
          <w:szCs w:val="22"/>
          <w:shd w:val="clear" w:color="auto" w:fill="FFFFFF"/>
          <w:lang w:val="en-US" w:eastAsia="en-US"/>
        </w:rPr>
      </w:pPr>
      <w:r w:rsidRPr="0041627D">
        <w:rPr>
          <w:rFonts w:eastAsia="Courier New"/>
          <w:sz w:val="22"/>
          <w:szCs w:val="22"/>
          <w:lang w:val="en-US" w:eastAsia="en-US"/>
        </w:rPr>
        <w:t>ABSTRACT:</w:t>
      </w:r>
      <w:r w:rsidRPr="0041627D">
        <w:rPr>
          <w:rFonts w:eastAsia="Courier New"/>
          <w:sz w:val="22"/>
          <w:szCs w:val="22"/>
          <w:shd w:val="clear" w:color="auto" w:fill="FFFFFF"/>
          <w:lang w:val="en-US" w:eastAsia="en-US"/>
        </w:rPr>
        <w:t xml:space="preserve"> </w:t>
      </w:r>
      <w:r w:rsidRPr="0041627D">
        <w:rPr>
          <w:rFonts w:eastAsia="Calibri"/>
          <w:sz w:val="22"/>
          <w:szCs w:val="22"/>
          <w:shd w:val="clear" w:color="auto" w:fill="FFFFFF"/>
          <w:lang w:val="en-US" w:eastAsia="en-US"/>
        </w:rPr>
        <w:t>The state of the consumer basket in Russia and other countries is analyzed. Directions of change of its structure are defined.</w:t>
      </w:r>
    </w:p>
    <w:p w:rsidR="00724342" w:rsidRPr="0041627D" w:rsidRDefault="00724342" w:rsidP="0041627D">
      <w:pPr>
        <w:widowControl w:val="0"/>
        <w:tabs>
          <w:tab w:val="left" w:pos="8223"/>
        </w:tabs>
        <w:ind w:firstLine="426"/>
        <w:jc w:val="both"/>
        <w:rPr>
          <w:rFonts w:eastAsia="Courier New"/>
          <w:sz w:val="22"/>
          <w:szCs w:val="22"/>
          <w:lang w:val="en-US" w:eastAsia="en-US"/>
        </w:rPr>
      </w:pPr>
      <w:r w:rsidRPr="0041627D">
        <w:rPr>
          <w:rFonts w:eastAsia="Courier New"/>
          <w:sz w:val="22"/>
          <w:szCs w:val="22"/>
          <w:lang w:eastAsia="en-US"/>
        </w:rPr>
        <w:t>КЛЮЧЕВЫЕ</w:t>
      </w:r>
      <w:r w:rsidRPr="0041627D">
        <w:rPr>
          <w:rFonts w:eastAsia="Courier New"/>
          <w:sz w:val="22"/>
          <w:szCs w:val="22"/>
          <w:lang w:val="en-US" w:eastAsia="en-US"/>
        </w:rPr>
        <w:t xml:space="preserve"> </w:t>
      </w:r>
      <w:r w:rsidRPr="0041627D">
        <w:rPr>
          <w:rFonts w:eastAsia="Courier New"/>
          <w:sz w:val="22"/>
          <w:szCs w:val="22"/>
          <w:lang w:eastAsia="en-US"/>
        </w:rPr>
        <w:t>СЛОВА</w:t>
      </w:r>
      <w:r w:rsidRPr="0041627D">
        <w:rPr>
          <w:rFonts w:eastAsia="Courier New"/>
          <w:sz w:val="22"/>
          <w:szCs w:val="22"/>
          <w:lang w:val="en-US" w:eastAsia="en-US"/>
        </w:rPr>
        <w:t xml:space="preserve">: </w:t>
      </w:r>
      <w:r w:rsidRPr="0041627D">
        <w:rPr>
          <w:rFonts w:eastAsia="Courier New"/>
          <w:sz w:val="22"/>
          <w:szCs w:val="22"/>
          <w:lang w:eastAsia="en-US"/>
        </w:rPr>
        <w:t>потребительская</w:t>
      </w:r>
      <w:r w:rsidRPr="0041627D">
        <w:rPr>
          <w:rFonts w:eastAsia="Courier New"/>
          <w:sz w:val="22"/>
          <w:szCs w:val="22"/>
          <w:lang w:val="en-US" w:eastAsia="en-US"/>
        </w:rPr>
        <w:t xml:space="preserve"> </w:t>
      </w:r>
      <w:r w:rsidRPr="0041627D">
        <w:rPr>
          <w:rFonts w:eastAsia="Courier New"/>
          <w:sz w:val="22"/>
          <w:szCs w:val="22"/>
          <w:lang w:eastAsia="en-US"/>
        </w:rPr>
        <w:t>корзина</w:t>
      </w:r>
      <w:r w:rsidRPr="0041627D">
        <w:rPr>
          <w:rFonts w:eastAsia="Courier New"/>
          <w:sz w:val="22"/>
          <w:szCs w:val="22"/>
          <w:lang w:val="en-US" w:eastAsia="en-US"/>
        </w:rPr>
        <w:t xml:space="preserve">, </w:t>
      </w:r>
      <w:r w:rsidRPr="0041627D">
        <w:rPr>
          <w:rFonts w:eastAsia="Courier New"/>
          <w:sz w:val="22"/>
          <w:szCs w:val="22"/>
          <w:lang w:eastAsia="en-US"/>
        </w:rPr>
        <w:t>нормы</w:t>
      </w:r>
      <w:r w:rsidRPr="0041627D">
        <w:rPr>
          <w:rFonts w:eastAsia="Courier New"/>
          <w:sz w:val="22"/>
          <w:szCs w:val="22"/>
          <w:lang w:val="en-US" w:eastAsia="en-US"/>
        </w:rPr>
        <w:t xml:space="preserve"> </w:t>
      </w:r>
      <w:r w:rsidRPr="0041627D">
        <w:rPr>
          <w:rFonts w:eastAsia="Courier New"/>
          <w:sz w:val="22"/>
          <w:szCs w:val="22"/>
          <w:lang w:eastAsia="en-US"/>
        </w:rPr>
        <w:t>п</w:t>
      </w:r>
      <w:r w:rsidRPr="0041627D">
        <w:rPr>
          <w:rFonts w:eastAsia="Courier New"/>
          <w:sz w:val="22"/>
          <w:szCs w:val="22"/>
          <w:lang w:eastAsia="en-US"/>
        </w:rPr>
        <w:t>о</w:t>
      </w:r>
      <w:r w:rsidRPr="0041627D">
        <w:rPr>
          <w:rFonts w:eastAsia="Courier New"/>
          <w:sz w:val="22"/>
          <w:szCs w:val="22"/>
          <w:lang w:eastAsia="en-US"/>
        </w:rPr>
        <w:t>требления</w:t>
      </w:r>
      <w:r w:rsidRPr="0041627D">
        <w:rPr>
          <w:rFonts w:eastAsia="Courier New"/>
          <w:sz w:val="22"/>
          <w:szCs w:val="22"/>
          <w:lang w:val="en-US" w:eastAsia="en-US"/>
        </w:rPr>
        <w:t xml:space="preserve">, </w:t>
      </w:r>
      <w:r w:rsidRPr="0041627D">
        <w:rPr>
          <w:rFonts w:eastAsia="Courier New"/>
          <w:sz w:val="22"/>
          <w:szCs w:val="22"/>
          <w:lang w:eastAsia="en-US"/>
        </w:rPr>
        <w:t>прожиточный</w:t>
      </w:r>
      <w:r w:rsidRPr="0041627D">
        <w:rPr>
          <w:rFonts w:eastAsia="Courier New"/>
          <w:sz w:val="22"/>
          <w:szCs w:val="22"/>
          <w:lang w:val="en-US" w:eastAsia="en-US"/>
        </w:rPr>
        <w:t xml:space="preserve"> </w:t>
      </w:r>
      <w:r w:rsidRPr="0041627D">
        <w:rPr>
          <w:rFonts w:eastAsia="Courier New"/>
          <w:sz w:val="22"/>
          <w:szCs w:val="22"/>
          <w:lang w:eastAsia="en-US"/>
        </w:rPr>
        <w:t>уровень</w:t>
      </w:r>
      <w:r w:rsidRPr="0041627D">
        <w:rPr>
          <w:rFonts w:eastAsia="Courier New"/>
          <w:sz w:val="22"/>
          <w:szCs w:val="22"/>
          <w:lang w:val="en-US" w:eastAsia="en-US"/>
        </w:rPr>
        <w:t xml:space="preserve">. </w:t>
      </w:r>
    </w:p>
    <w:p w:rsidR="00724342" w:rsidRPr="0041627D" w:rsidRDefault="00724342" w:rsidP="0041627D">
      <w:pPr>
        <w:widowControl w:val="0"/>
        <w:tabs>
          <w:tab w:val="left" w:pos="8223"/>
        </w:tabs>
        <w:ind w:firstLine="426"/>
        <w:jc w:val="both"/>
        <w:rPr>
          <w:rFonts w:eastAsia="Calibri"/>
          <w:b/>
          <w:color w:val="000000"/>
          <w:spacing w:val="2"/>
          <w:sz w:val="22"/>
          <w:szCs w:val="22"/>
          <w:highlight w:val="white"/>
          <w:lang w:val="en-US" w:eastAsia="en-US"/>
        </w:rPr>
      </w:pPr>
      <w:r w:rsidRPr="0041627D">
        <w:rPr>
          <w:rFonts w:eastAsia="Courier New"/>
          <w:sz w:val="22"/>
          <w:szCs w:val="22"/>
          <w:lang w:val="en-US" w:eastAsia="en-US"/>
        </w:rPr>
        <w:t>KEYWORDS:</w:t>
      </w:r>
      <w:r w:rsidRPr="0041627D">
        <w:rPr>
          <w:rFonts w:eastAsia="Courier New"/>
          <w:sz w:val="22"/>
          <w:szCs w:val="22"/>
          <w:shd w:val="clear" w:color="auto" w:fill="FFFFFF"/>
          <w:lang w:val="en-US" w:eastAsia="en-US"/>
        </w:rPr>
        <w:t xml:space="preserve"> </w:t>
      </w:r>
      <w:r w:rsidRPr="0041627D">
        <w:rPr>
          <w:rFonts w:eastAsia="Calibri"/>
          <w:sz w:val="22"/>
          <w:szCs w:val="22"/>
          <w:shd w:val="clear" w:color="auto" w:fill="FFFFFF"/>
          <w:lang w:val="en-US" w:eastAsia="en-US"/>
        </w:rPr>
        <w:t>consumption basket, consumption levels, cost of li</w:t>
      </w:r>
      <w:r w:rsidRPr="0041627D">
        <w:rPr>
          <w:rFonts w:eastAsia="Calibri"/>
          <w:sz w:val="22"/>
          <w:szCs w:val="22"/>
          <w:shd w:val="clear" w:color="auto" w:fill="FFFFFF"/>
          <w:lang w:val="en-US" w:eastAsia="en-US"/>
        </w:rPr>
        <w:t>v</w:t>
      </w:r>
      <w:r w:rsidRPr="0041627D">
        <w:rPr>
          <w:rFonts w:eastAsia="Calibri"/>
          <w:sz w:val="22"/>
          <w:szCs w:val="22"/>
          <w:shd w:val="clear" w:color="auto" w:fill="FFFFFF"/>
          <w:lang w:val="en-US" w:eastAsia="en-US"/>
        </w:rPr>
        <w:t>ing.</w:t>
      </w:r>
    </w:p>
    <w:p w:rsidR="00724342" w:rsidRPr="0041627D" w:rsidRDefault="00724342" w:rsidP="0041627D">
      <w:pPr>
        <w:autoSpaceDE w:val="0"/>
        <w:autoSpaceDN w:val="0"/>
        <w:adjustRightInd w:val="0"/>
        <w:ind w:firstLine="426"/>
        <w:jc w:val="both"/>
        <w:rPr>
          <w:rFonts w:eastAsia="Calibri"/>
          <w:b/>
          <w:color w:val="000000"/>
          <w:spacing w:val="2"/>
          <w:sz w:val="22"/>
          <w:szCs w:val="22"/>
          <w:highlight w:val="white"/>
          <w:lang w:val="en-US" w:eastAsia="en-US"/>
        </w:rPr>
      </w:pPr>
    </w:p>
    <w:p w:rsidR="00724342" w:rsidRPr="0041627D" w:rsidRDefault="00724342" w:rsidP="0041627D">
      <w:pPr>
        <w:autoSpaceDE w:val="0"/>
        <w:autoSpaceDN w:val="0"/>
        <w:adjustRightInd w:val="0"/>
        <w:ind w:firstLine="426"/>
        <w:jc w:val="both"/>
        <w:rPr>
          <w:rFonts w:eastAsia="Calibri"/>
          <w:color w:val="000000"/>
          <w:spacing w:val="2"/>
          <w:sz w:val="22"/>
          <w:szCs w:val="22"/>
          <w:highlight w:val="white"/>
          <w:lang w:eastAsia="en-US"/>
        </w:rPr>
      </w:pPr>
      <w:r w:rsidRPr="0041627D">
        <w:rPr>
          <w:rFonts w:eastAsia="Calibri"/>
          <w:color w:val="000000"/>
          <w:spacing w:val="2"/>
          <w:sz w:val="22"/>
          <w:szCs w:val="22"/>
          <w:highlight w:val="white"/>
          <w:lang w:eastAsia="en-US"/>
        </w:rPr>
        <w:t>Потребительская корзина – важный показатель экономическ</w:t>
      </w:r>
      <w:r w:rsidRPr="0041627D">
        <w:rPr>
          <w:rFonts w:eastAsia="Calibri"/>
          <w:color w:val="000000"/>
          <w:spacing w:val="2"/>
          <w:sz w:val="22"/>
          <w:szCs w:val="22"/>
          <w:highlight w:val="white"/>
          <w:lang w:eastAsia="en-US"/>
        </w:rPr>
        <w:t>о</w:t>
      </w:r>
      <w:r w:rsidRPr="0041627D">
        <w:rPr>
          <w:rFonts w:eastAsia="Calibri"/>
          <w:color w:val="000000"/>
          <w:spacing w:val="2"/>
          <w:sz w:val="22"/>
          <w:szCs w:val="22"/>
          <w:highlight w:val="white"/>
          <w:lang w:eastAsia="en-US"/>
        </w:rPr>
        <w:t>го развития любой страны, наглядно демонстрирующий уровень благосостояния граждан. Состав потребительской корзины тесно связан с прожиточным минимумом и размером минимальной оплаты труда. Прожиточный минимум устанавливается как в</w:t>
      </w:r>
      <w:r w:rsidRPr="0041627D">
        <w:rPr>
          <w:rFonts w:eastAsia="Calibri"/>
          <w:color w:val="000000"/>
          <w:spacing w:val="2"/>
          <w:sz w:val="22"/>
          <w:szCs w:val="22"/>
          <w:highlight w:val="white"/>
          <w:lang w:eastAsia="en-US"/>
        </w:rPr>
        <w:t>а</w:t>
      </w:r>
      <w:r w:rsidRPr="0041627D">
        <w:rPr>
          <w:rFonts w:eastAsia="Calibri"/>
          <w:color w:val="000000"/>
          <w:spacing w:val="2"/>
          <w:sz w:val="22"/>
          <w:szCs w:val="22"/>
          <w:highlight w:val="white"/>
          <w:lang w:eastAsia="en-US"/>
        </w:rPr>
        <w:t>лютное выражение оценки потребительской корзины.</w:t>
      </w:r>
    </w:p>
    <w:p w:rsidR="00724342" w:rsidRPr="0041627D" w:rsidRDefault="00724342" w:rsidP="0041627D">
      <w:pPr>
        <w:autoSpaceDE w:val="0"/>
        <w:autoSpaceDN w:val="0"/>
        <w:adjustRightInd w:val="0"/>
        <w:ind w:firstLine="426"/>
        <w:jc w:val="both"/>
        <w:rPr>
          <w:rFonts w:eastAsia="Calibri"/>
          <w:color w:val="000000"/>
          <w:spacing w:val="2"/>
          <w:sz w:val="22"/>
          <w:szCs w:val="22"/>
          <w:highlight w:val="white"/>
          <w:lang w:eastAsia="en-US"/>
        </w:rPr>
      </w:pPr>
      <w:r w:rsidRPr="0041627D">
        <w:rPr>
          <w:rFonts w:eastAsia="Calibri"/>
          <w:color w:val="000000"/>
          <w:spacing w:val="2"/>
          <w:sz w:val="22"/>
          <w:szCs w:val="22"/>
          <w:highlight w:val="white"/>
          <w:lang w:eastAsia="en-US"/>
        </w:rPr>
        <w:t>Для расчета потребительской корзины используют опред</w:t>
      </w:r>
      <w:r w:rsidRPr="0041627D">
        <w:rPr>
          <w:rFonts w:eastAsia="Calibri"/>
          <w:color w:val="000000"/>
          <w:spacing w:val="2"/>
          <w:sz w:val="22"/>
          <w:szCs w:val="22"/>
          <w:highlight w:val="white"/>
          <w:lang w:eastAsia="en-US"/>
        </w:rPr>
        <w:t>е</w:t>
      </w:r>
      <w:r w:rsidRPr="0041627D">
        <w:rPr>
          <w:rFonts w:eastAsia="Calibri"/>
          <w:color w:val="000000"/>
          <w:spacing w:val="2"/>
          <w:sz w:val="22"/>
          <w:szCs w:val="22"/>
          <w:highlight w:val="white"/>
          <w:lang w:eastAsia="en-US"/>
        </w:rPr>
        <w:t>ленные единые стандарты и специальные базовые методики. В п</w:t>
      </w:r>
      <w:r w:rsidRPr="0041627D">
        <w:rPr>
          <w:rFonts w:eastAsia="Calibri"/>
          <w:color w:val="000000"/>
          <w:spacing w:val="2"/>
          <w:sz w:val="22"/>
          <w:szCs w:val="22"/>
          <w:highlight w:val="white"/>
          <w:lang w:eastAsia="en-US"/>
        </w:rPr>
        <w:t>о</w:t>
      </w:r>
      <w:r w:rsidRPr="0041627D">
        <w:rPr>
          <w:rFonts w:eastAsia="Calibri"/>
          <w:color w:val="000000"/>
          <w:spacing w:val="2"/>
          <w:sz w:val="22"/>
          <w:szCs w:val="22"/>
          <w:highlight w:val="white"/>
          <w:lang w:eastAsia="en-US"/>
        </w:rPr>
        <w:t>требительскую корзину входят продовольственные товары, непр</w:t>
      </w:r>
      <w:r w:rsidRPr="0041627D">
        <w:rPr>
          <w:rFonts w:eastAsia="Calibri"/>
          <w:color w:val="000000"/>
          <w:spacing w:val="2"/>
          <w:sz w:val="22"/>
          <w:szCs w:val="22"/>
          <w:highlight w:val="white"/>
          <w:lang w:eastAsia="en-US"/>
        </w:rPr>
        <w:t>о</w:t>
      </w:r>
      <w:r w:rsidRPr="0041627D">
        <w:rPr>
          <w:rFonts w:eastAsia="Calibri"/>
          <w:color w:val="000000"/>
          <w:spacing w:val="2"/>
          <w:sz w:val="22"/>
          <w:szCs w:val="22"/>
          <w:highlight w:val="white"/>
          <w:lang w:eastAsia="en-US"/>
        </w:rPr>
        <w:t xml:space="preserve">довольственные товары и услуги. Большую часть потребительской корзины россиян составляет продовольственная корзина. Объем потребления рассчитывается в среднем на одного человека для </w:t>
      </w:r>
      <w:r w:rsidRPr="0041627D">
        <w:rPr>
          <w:rFonts w:eastAsia="Calibri"/>
          <w:color w:val="000000"/>
          <w:spacing w:val="2"/>
          <w:sz w:val="22"/>
          <w:szCs w:val="22"/>
          <w:highlight w:val="white"/>
          <w:lang w:eastAsia="en-US"/>
        </w:rPr>
        <w:lastRenderedPageBreak/>
        <w:t>каждой из главных социально-демографических групп населения: трудоспособное население, пожилые люди, дети</w:t>
      </w:r>
      <w:r w:rsidRPr="0041627D">
        <w:rPr>
          <w:rFonts w:eastAsia="Calibri"/>
          <w:color w:val="000000"/>
          <w:sz w:val="22"/>
          <w:szCs w:val="22"/>
          <w:shd w:val="clear" w:color="auto" w:fill="FFFFFF"/>
          <w:lang w:eastAsia="en-US"/>
        </w:rPr>
        <w:t xml:space="preserve"> [1].</w:t>
      </w:r>
    </w:p>
    <w:p w:rsidR="00724342" w:rsidRPr="0041627D" w:rsidRDefault="00724342" w:rsidP="0041627D">
      <w:pPr>
        <w:autoSpaceDE w:val="0"/>
        <w:autoSpaceDN w:val="0"/>
        <w:adjustRightInd w:val="0"/>
        <w:ind w:firstLine="426"/>
        <w:jc w:val="both"/>
        <w:rPr>
          <w:rFonts w:eastAsia="Calibri"/>
          <w:color w:val="000000"/>
          <w:sz w:val="22"/>
          <w:szCs w:val="22"/>
          <w:lang w:eastAsia="en-US"/>
        </w:rPr>
      </w:pPr>
      <w:r w:rsidRPr="0041627D">
        <w:rPr>
          <w:rFonts w:eastAsia="Calibri"/>
          <w:color w:val="000000"/>
          <w:spacing w:val="2"/>
          <w:sz w:val="22"/>
          <w:szCs w:val="22"/>
          <w:highlight w:val="white"/>
          <w:lang w:eastAsia="en-US"/>
        </w:rPr>
        <w:t>Размер потребительской корзины упоминается в связи с выя</w:t>
      </w:r>
      <w:r w:rsidRPr="0041627D">
        <w:rPr>
          <w:rFonts w:eastAsia="Calibri"/>
          <w:color w:val="000000"/>
          <w:spacing w:val="2"/>
          <w:sz w:val="22"/>
          <w:szCs w:val="22"/>
          <w:highlight w:val="white"/>
          <w:lang w:eastAsia="en-US"/>
        </w:rPr>
        <w:t>с</w:t>
      </w:r>
      <w:r w:rsidRPr="0041627D">
        <w:rPr>
          <w:rFonts w:eastAsia="Calibri"/>
          <w:color w:val="000000"/>
          <w:spacing w:val="2"/>
          <w:sz w:val="22"/>
          <w:szCs w:val="22"/>
          <w:highlight w:val="white"/>
          <w:lang w:eastAsia="en-US"/>
        </w:rPr>
        <w:t>нением прожиточного минимума. Отличия рациональных норм потребления пищевых продуктов от продуктов, входящих в состав потребительской корзины</w:t>
      </w:r>
      <w:r w:rsidRPr="0041627D">
        <w:rPr>
          <w:rFonts w:eastAsia="Calibri"/>
          <w:color w:val="000000"/>
          <w:spacing w:val="2"/>
          <w:sz w:val="22"/>
          <w:szCs w:val="22"/>
          <w:lang w:eastAsia="en-US"/>
        </w:rPr>
        <w:t>,</w:t>
      </w:r>
      <w:r w:rsidRPr="0041627D">
        <w:rPr>
          <w:rFonts w:eastAsia="Calibri"/>
          <w:color w:val="000000"/>
          <w:sz w:val="22"/>
          <w:szCs w:val="22"/>
          <w:lang w:eastAsia="en-US"/>
        </w:rPr>
        <w:t xml:space="preserve"> практически нет. Но значения таких  показателей как хлеб, картофель, масло значительно выше в потр</w:t>
      </w:r>
      <w:r w:rsidRPr="0041627D">
        <w:rPr>
          <w:rFonts w:eastAsia="Calibri"/>
          <w:color w:val="000000"/>
          <w:sz w:val="22"/>
          <w:szCs w:val="22"/>
          <w:lang w:eastAsia="en-US"/>
        </w:rPr>
        <w:t>е</w:t>
      </w:r>
      <w:r w:rsidRPr="0041627D">
        <w:rPr>
          <w:rFonts w:eastAsia="Calibri"/>
          <w:color w:val="000000"/>
          <w:sz w:val="22"/>
          <w:szCs w:val="22"/>
          <w:lang w:eastAsia="en-US"/>
        </w:rPr>
        <w:t>бительской корзине. Например, хлеб, картофель и масло по нормам потребления пищевых продуктов в день, отвечающих требованиям здорового питания, утвержденным Министерством здравоохран</w:t>
      </w:r>
      <w:r w:rsidRPr="0041627D">
        <w:rPr>
          <w:rFonts w:eastAsia="Calibri"/>
          <w:color w:val="000000"/>
          <w:sz w:val="22"/>
          <w:szCs w:val="22"/>
          <w:lang w:eastAsia="en-US"/>
        </w:rPr>
        <w:t>е</w:t>
      </w:r>
      <w:r w:rsidRPr="0041627D">
        <w:rPr>
          <w:rFonts w:eastAsia="Calibri"/>
          <w:color w:val="000000"/>
          <w:sz w:val="22"/>
          <w:szCs w:val="22"/>
          <w:lang w:eastAsia="en-US"/>
        </w:rPr>
        <w:t>ния РФ, составляют 263 г, 247 г и 33 г соответственно. А в потреб</w:t>
      </w:r>
      <w:r w:rsidRPr="0041627D">
        <w:rPr>
          <w:rFonts w:eastAsia="Calibri"/>
          <w:color w:val="000000"/>
          <w:sz w:val="22"/>
          <w:szCs w:val="22"/>
          <w:lang w:eastAsia="en-US"/>
        </w:rPr>
        <w:t>и</w:t>
      </w:r>
      <w:r w:rsidRPr="0041627D">
        <w:rPr>
          <w:rFonts w:eastAsia="Calibri"/>
          <w:color w:val="000000"/>
          <w:sz w:val="22"/>
          <w:szCs w:val="22"/>
          <w:lang w:eastAsia="en-US"/>
        </w:rPr>
        <w:t>тельской корзине данные показатели значительно выше, что свид</w:t>
      </w:r>
      <w:r w:rsidRPr="0041627D">
        <w:rPr>
          <w:rFonts w:eastAsia="Calibri"/>
          <w:color w:val="000000"/>
          <w:sz w:val="22"/>
          <w:szCs w:val="22"/>
          <w:lang w:eastAsia="en-US"/>
        </w:rPr>
        <w:t>е</w:t>
      </w:r>
      <w:r w:rsidRPr="0041627D">
        <w:rPr>
          <w:rFonts w:eastAsia="Calibri"/>
          <w:color w:val="000000"/>
          <w:sz w:val="22"/>
          <w:szCs w:val="22"/>
          <w:lang w:eastAsia="en-US"/>
        </w:rPr>
        <w:t>тельствует о низком уровне дохода россиян. В развитых странах эти продукты даже не учитываются как основные, их может позволить себе любой человек. В корзину России включают больше дешевых продуктов, тем самым экономя на более важных вещах.</w:t>
      </w:r>
    </w:p>
    <w:p w:rsidR="00724342" w:rsidRPr="0041627D" w:rsidRDefault="00724342" w:rsidP="0041627D">
      <w:pPr>
        <w:autoSpaceDE w:val="0"/>
        <w:autoSpaceDN w:val="0"/>
        <w:adjustRightInd w:val="0"/>
        <w:ind w:firstLine="426"/>
        <w:jc w:val="both"/>
        <w:rPr>
          <w:rFonts w:eastAsia="Calibri"/>
          <w:color w:val="000000"/>
          <w:spacing w:val="2"/>
          <w:sz w:val="22"/>
          <w:szCs w:val="22"/>
          <w:highlight w:val="white"/>
          <w:lang w:eastAsia="en-US"/>
        </w:rPr>
      </w:pPr>
      <w:r w:rsidRPr="0041627D">
        <w:rPr>
          <w:rFonts w:eastAsia="Calibri"/>
          <w:color w:val="000000"/>
          <w:spacing w:val="2"/>
          <w:sz w:val="22"/>
          <w:szCs w:val="22"/>
          <w:highlight w:val="white"/>
          <w:lang w:eastAsia="en-US"/>
        </w:rPr>
        <w:t>По информации Росстата, 42,71 % заработной платы россиян приходится на продукты питания, 33,74 % – на непродовольстве</w:t>
      </w:r>
      <w:r w:rsidRPr="0041627D">
        <w:rPr>
          <w:rFonts w:eastAsia="Calibri"/>
          <w:color w:val="000000"/>
          <w:spacing w:val="2"/>
          <w:sz w:val="22"/>
          <w:szCs w:val="22"/>
          <w:highlight w:val="white"/>
          <w:lang w:eastAsia="en-US"/>
        </w:rPr>
        <w:t>н</w:t>
      </w:r>
      <w:r w:rsidRPr="0041627D">
        <w:rPr>
          <w:rFonts w:eastAsia="Calibri"/>
          <w:color w:val="000000"/>
          <w:spacing w:val="2"/>
          <w:sz w:val="22"/>
          <w:szCs w:val="22"/>
          <w:highlight w:val="white"/>
          <w:lang w:eastAsia="en-US"/>
        </w:rPr>
        <w:t>ные товары, из них 10 % – на одежду и обувь, 8,9 % – на комм</w:t>
      </w:r>
      <w:r w:rsidRPr="0041627D">
        <w:rPr>
          <w:rFonts w:eastAsia="Calibri"/>
          <w:color w:val="000000"/>
          <w:spacing w:val="2"/>
          <w:sz w:val="22"/>
          <w:szCs w:val="22"/>
          <w:highlight w:val="white"/>
          <w:lang w:eastAsia="en-US"/>
        </w:rPr>
        <w:t>у</w:t>
      </w:r>
      <w:r w:rsidRPr="0041627D">
        <w:rPr>
          <w:rFonts w:eastAsia="Calibri"/>
          <w:color w:val="000000"/>
          <w:spacing w:val="2"/>
          <w:sz w:val="22"/>
          <w:szCs w:val="22"/>
          <w:highlight w:val="white"/>
          <w:lang w:eastAsia="en-US"/>
        </w:rPr>
        <w:t>нальные услуги, 3,31 % – на общественный транспорт. Отдых и развлечения в корзине и не упоминаются. Стоимость потребител</w:t>
      </w:r>
      <w:r w:rsidRPr="0041627D">
        <w:rPr>
          <w:rFonts w:eastAsia="Calibri"/>
          <w:color w:val="000000"/>
          <w:spacing w:val="2"/>
          <w:sz w:val="22"/>
          <w:szCs w:val="22"/>
          <w:highlight w:val="white"/>
          <w:lang w:eastAsia="en-US"/>
        </w:rPr>
        <w:t>ь</w:t>
      </w:r>
      <w:r w:rsidRPr="0041627D">
        <w:rPr>
          <w:rFonts w:eastAsia="Calibri"/>
          <w:color w:val="000000"/>
          <w:spacing w:val="2"/>
          <w:sz w:val="22"/>
          <w:szCs w:val="22"/>
          <w:highlight w:val="white"/>
          <w:lang w:eastAsia="en-US"/>
        </w:rPr>
        <w:t>ской корзины для взрослых людей составляет 6300 руб. в месяц, для несовершеннолетних детей – 6400 руб., для пенсионеров –5400 руб. В каждом регионе установлена своя стоимость потреб</w:t>
      </w:r>
      <w:r w:rsidRPr="0041627D">
        <w:rPr>
          <w:rFonts w:eastAsia="Calibri"/>
          <w:color w:val="000000"/>
          <w:spacing w:val="2"/>
          <w:sz w:val="22"/>
          <w:szCs w:val="22"/>
          <w:highlight w:val="white"/>
          <w:lang w:eastAsia="en-US"/>
        </w:rPr>
        <w:t>и</w:t>
      </w:r>
      <w:r w:rsidRPr="0041627D">
        <w:rPr>
          <w:rFonts w:eastAsia="Calibri"/>
          <w:color w:val="000000"/>
          <w:spacing w:val="2"/>
          <w:sz w:val="22"/>
          <w:szCs w:val="22"/>
          <w:highlight w:val="white"/>
          <w:lang w:eastAsia="en-US"/>
        </w:rPr>
        <w:t>тельской корзины в зависимости  от цен на товары и услуги</w:t>
      </w:r>
      <w:r w:rsidRPr="0041627D">
        <w:rPr>
          <w:rFonts w:eastAsia="Calibri"/>
          <w:color w:val="000000"/>
          <w:sz w:val="22"/>
          <w:szCs w:val="22"/>
          <w:shd w:val="clear" w:color="auto" w:fill="FFFFFF"/>
          <w:lang w:eastAsia="en-US"/>
        </w:rPr>
        <w:t xml:space="preserve"> [3].</w:t>
      </w:r>
      <w:r w:rsidRPr="0041627D">
        <w:rPr>
          <w:rFonts w:eastAsia="Calibri"/>
          <w:sz w:val="22"/>
          <w:szCs w:val="22"/>
          <w:lang w:eastAsia="en-US"/>
        </w:rPr>
        <w:t xml:space="preserve"> </w:t>
      </w:r>
      <w:r w:rsidRPr="0041627D">
        <w:rPr>
          <w:rFonts w:eastAsia="Calibri"/>
          <w:color w:val="000000"/>
          <w:spacing w:val="2"/>
          <w:sz w:val="22"/>
          <w:szCs w:val="22"/>
          <w:highlight w:val="white"/>
          <w:lang w:eastAsia="en-US"/>
        </w:rPr>
        <w:t xml:space="preserve"> </w:t>
      </w:r>
    </w:p>
    <w:p w:rsidR="00724342" w:rsidRPr="0041627D" w:rsidRDefault="00724342" w:rsidP="0041627D">
      <w:pPr>
        <w:autoSpaceDE w:val="0"/>
        <w:autoSpaceDN w:val="0"/>
        <w:adjustRightInd w:val="0"/>
        <w:ind w:firstLine="426"/>
        <w:jc w:val="both"/>
        <w:rPr>
          <w:rFonts w:eastAsia="Calibri"/>
          <w:color w:val="000000"/>
          <w:spacing w:val="2"/>
          <w:sz w:val="22"/>
          <w:szCs w:val="22"/>
          <w:highlight w:val="white"/>
          <w:lang w:eastAsia="en-US"/>
        </w:rPr>
      </w:pPr>
      <w:r w:rsidRPr="0041627D">
        <w:rPr>
          <w:rFonts w:eastAsia="Calibri"/>
          <w:color w:val="000000"/>
          <w:spacing w:val="2"/>
          <w:sz w:val="22"/>
          <w:szCs w:val="22"/>
          <w:highlight w:val="white"/>
          <w:lang w:eastAsia="en-US"/>
        </w:rPr>
        <w:t>В США потребительская корзина рассчитывается на основ</w:t>
      </w:r>
      <w:r w:rsidRPr="0041627D">
        <w:rPr>
          <w:rFonts w:eastAsia="Calibri"/>
          <w:color w:val="000000"/>
          <w:spacing w:val="2"/>
          <w:sz w:val="22"/>
          <w:szCs w:val="22"/>
          <w:highlight w:val="white"/>
          <w:lang w:eastAsia="en-US"/>
        </w:rPr>
        <w:t>а</w:t>
      </w:r>
      <w:r w:rsidRPr="0041627D">
        <w:rPr>
          <w:rFonts w:eastAsia="Calibri"/>
          <w:color w:val="000000"/>
          <w:spacing w:val="2"/>
          <w:sz w:val="22"/>
          <w:szCs w:val="22"/>
          <w:highlight w:val="white"/>
          <w:lang w:eastAsia="en-US"/>
        </w:rPr>
        <w:t xml:space="preserve">нии среднемесячной зарплаты и </w:t>
      </w:r>
      <w:r w:rsidRPr="0041627D">
        <w:rPr>
          <w:color w:val="000000"/>
          <w:sz w:val="22"/>
          <w:szCs w:val="22"/>
        </w:rPr>
        <w:t>включает более 300 наименований: книги, образование, отдых, средства личной гигиены и красоты, сигареты, техника для дома, бензин и затраты на ремонт машины и т. д. Разница видна невооруженным глазом. На еду среднестатист</w:t>
      </w:r>
      <w:r w:rsidRPr="0041627D">
        <w:rPr>
          <w:color w:val="000000"/>
          <w:sz w:val="22"/>
          <w:szCs w:val="22"/>
        </w:rPr>
        <w:t>и</w:t>
      </w:r>
      <w:r w:rsidRPr="0041627D">
        <w:rPr>
          <w:color w:val="000000"/>
          <w:sz w:val="22"/>
          <w:szCs w:val="22"/>
        </w:rPr>
        <w:t xml:space="preserve">ческий американец тратит всего 15,4 % своего дохода, на жилье –  42,1 %, на транспорт – 16,9  %, на образование и отдых – по 5,9 %, на медицинское обслуживание – 6,1 %, на одежду – 4,0 %. Заметим, что в потребительской корзине США меньшую долю составляют продукты питания, что свидетельствует о высоких доходах </w:t>
      </w:r>
      <w:r w:rsidRPr="0041627D">
        <w:rPr>
          <w:rFonts w:eastAsia="Calibri"/>
          <w:color w:val="000000"/>
          <w:sz w:val="22"/>
          <w:szCs w:val="22"/>
          <w:shd w:val="clear" w:color="auto" w:fill="FFFFFF"/>
          <w:lang w:eastAsia="en-US"/>
        </w:rPr>
        <w:t>[2].</w:t>
      </w:r>
    </w:p>
    <w:p w:rsidR="00724342" w:rsidRPr="0041627D" w:rsidRDefault="00724342" w:rsidP="0041627D">
      <w:pPr>
        <w:autoSpaceDE w:val="0"/>
        <w:autoSpaceDN w:val="0"/>
        <w:adjustRightInd w:val="0"/>
        <w:ind w:firstLine="426"/>
        <w:jc w:val="both"/>
        <w:rPr>
          <w:rFonts w:eastAsia="Calibri"/>
          <w:sz w:val="22"/>
          <w:szCs w:val="22"/>
          <w:lang w:eastAsia="en-US"/>
        </w:rPr>
      </w:pPr>
      <w:r w:rsidRPr="0041627D">
        <w:rPr>
          <w:rFonts w:eastAsia="Calibri"/>
          <w:sz w:val="22"/>
          <w:szCs w:val="22"/>
          <w:lang w:eastAsia="en-US"/>
        </w:rPr>
        <w:t>Потребительская корзина Франции отражает нормальный ур</w:t>
      </w:r>
      <w:r w:rsidRPr="0041627D">
        <w:rPr>
          <w:rFonts w:eastAsia="Calibri"/>
          <w:sz w:val="22"/>
          <w:szCs w:val="22"/>
          <w:lang w:eastAsia="en-US"/>
        </w:rPr>
        <w:t>о</w:t>
      </w:r>
      <w:r w:rsidRPr="0041627D">
        <w:rPr>
          <w:rFonts w:eastAsia="Calibri"/>
          <w:sz w:val="22"/>
          <w:szCs w:val="22"/>
          <w:lang w:eastAsia="en-US"/>
        </w:rPr>
        <w:t>вень жизни и ежегодно меняется. Она включает более 500 наимен</w:t>
      </w:r>
      <w:r w:rsidRPr="0041627D">
        <w:rPr>
          <w:rFonts w:eastAsia="Calibri"/>
          <w:sz w:val="22"/>
          <w:szCs w:val="22"/>
          <w:lang w:eastAsia="en-US"/>
        </w:rPr>
        <w:t>о</w:t>
      </w:r>
      <w:r w:rsidRPr="0041627D">
        <w:rPr>
          <w:rFonts w:eastAsia="Calibri"/>
          <w:sz w:val="22"/>
          <w:szCs w:val="22"/>
          <w:lang w:eastAsia="en-US"/>
        </w:rPr>
        <w:t>ваний товаров и услуг, в частности походы в ресторан, вино, пос</w:t>
      </w:r>
      <w:r w:rsidRPr="0041627D">
        <w:rPr>
          <w:rFonts w:eastAsia="Calibri"/>
          <w:sz w:val="22"/>
          <w:szCs w:val="22"/>
          <w:lang w:eastAsia="en-US"/>
        </w:rPr>
        <w:t>е</w:t>
      </w:r>
      <w:r w:rsidRPr="0041627D">
        <w:rPr>
          <w:rFonts w:eastAsia="Calibri"/>
          <w:sz w:val="22"/>
          <w:szCs w:val="22"/>
          <w:lang w:eastAsia="en-US"/>
        </w:rPr>
        <w:lastRenderedPageBreak/>
        <w:t>щение салонов красоты, и служит основанием для определения м</w:t>
      </w:r>
      <w:r w:rsidRPr="0041627D">
        <w:rPr>
          <w:rFonts w:eastAsia="Calibri"/>
          <w:sz w:val="22"/>
          <w:szCs w:val="22"/>
          <w:lang w:eastAsia="en-US"/>
        </w:rPr>
        <w:t>и</w:t>
      </w:r>
      <w:r w:rsidRPr="0041627D">
        <w:rPr>
          <w:rFonts w:eastAsia="Calibri"/>
          <w:sz w:val="22"/>
          <w:szCs w:val="22"/>
          <w:lang w:eastAsia="en-US"/>
        </w:rPr>
        <w:t>нимального размера оплаты труда. Продовольственные товары с</w:t>
      </w:r>
      <w:r w:rsidRPr="0041627D">
        <w:rPr>
          <w:rFonts w:eastAsia="Calibri"/>
          <w:sz w:val="22"/>
          <w:szCs w:val="22"/>
          <w:lang w:eastAsia="en-US"/>
        </w:rPr>
        <w:t>о</w:t>
      </w:r>
      <w:r w:rsidRPr="0041627D">
        <w:rPr>
          <w:rFonts w:eastAsia="Calibri"/>
          <w:sz w:val="22"/>
          <w:szCs w:val="22"/>
          <w:lang w:eastAsia="en-US"/>
        </w:rPr>
        <w:t>ставляют лишь 13,6 % от общего размера корзины.</w:t>
      </w:r>
    </w:p>
    <w:p w:rsidR="00724342" w:rsidRPr="0041627D" w:rsidRDefault="00724342" w:rsidP="0041627D">
      <w:pPr>
        <w:autoSpaceDE w:val="0"/>
        <w:autoSpaceDN w:val="0"/>
        <w:adjustRightInd w:val="0"/>
        <w:ind w:firstLine="426"/>
        <w:jc w:val="both"/>
        <w:rPr>
          <w:rFonts w:eastAsia="Calibri"/>
          <w:color w:val="000000"/>
          <w:sz w:val="22"/>
          <w:szCs w:val="22"/>
          <w:lang w:eastAsia="en-US"/>
        </w:rPr>
      </w:pPr>
      <w:r w:rsidRPr="0041627D">
        <w:rPr>
          <w:rFonts w:eastAsia="Calibri"/>
          <w:color w:val="000000"/>
          <w:sz w:val="22"/>
          <w:szCs w:val="22"/>
          <w:lang w:eastAsia="en-US"/>
        </w:rPr>
        <w:t>При формировании продовольственной корзины Россия дол</w:t>
      </w:r>
      <w:r w:rsidRPr="0041627D">
        <w:rPr>
          <w:rFonts w:eastAsia="Calibri"/>
          <w:color w:val="000000"/>
          <w:sz w:val="22"/>
          <w:szCs w:val="22"/>
          <w:lang w:eastAsia="en-US"/>
        </w:rPr>
        <w:t>ж</w:t>
      </w:r>
      <w:r w:rsidRPr="0041627D">
        <w:rPr>
          <w:rFonts w:eastAsia="Calibri"/>
          <w:color w:val="000000"/>
          <w:sz w:val="22"/>
          <w:szCs w:val="22"/>
          <w:lang w:eastAsia="en-US"/>
        </w:rPr>
        <w:t>на стремиться к уровню лидирующих стран мира, используя их м</w:t>
      </w:r>
      <w:r w:rsidRPr="0041627D">
        <w:rPr>
          <w:rFonts w:eastAsia="Calibri"/>
          <w:color w:val="000000"/>
          <w:sz w:val="22"/>
          <w:szCs w:val="22"/>
          <w:lang w:eastAsia="en-US"/>
        </w:rPr>
        <w:t>е</w:t>
      </w:r>
      <w:r w:rsidRPr="0041627D">
        <w:rPr>
          <w:rFonts w:eastAsia="Calibri"/>
          <w:color w:val="000000"/>
          <w:sz w:val="22"/>
          <w:szCs w:val="22"/>
          <w:lang w:eastAsia="en-US"/>
        </w:rPr>
        <w:t>тоды в своей практике. Для решения проблемы в области состава и структуры потребительской корзины, необходимо:</w:t>
      </w:r>
    </w:p>
    <w:p w:rsidR="00724342" w:rsidRPr="0041627D" w:rsidRDefault="00724342" w:rsidP="0041627D">
      <w:pPr>
        <w:numPr>
          <w:ilvl w:val="0"/>
          <w:numId w:val="84"/>
        </w:numPr>
        <w:tabs>
          <w:tab w:val="left" w:pos="709"/>
        </w:tabs>
        <w:autoSpaceDE w:val="0"/>
        <w:autoSpaceDN w:val="0"/>
        <w:adjustRightInd w:val="0"/>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Состав и количество продуктов питания, включенных в п</w:t>
      </w:r>
      <w:r w:rsidRPr="0041627D">
        <w:rPr>
          <w:rFonts w:eastAsia="Calibri"/>
          <w:color w:val="000000"/>
          <w:sz w:val="22"/>
          <w:szCs w:val="22"/>
          <w:lang w:eastAsia="en-US"/>
        </w:rPr>
        <w:t>о</w:t>
      </w:r>
      <w:r w:rsidRPr="0041627D">
        <w:rPr>
          <w:rFonts w:eastAsia="Calibri"/>
          <w:color w:val="000000"/>
          <w:sz w:val="22"/>
          <w:szCs w:val="22"/>
          <w:lang w:eastAsia="en-US"/>
        </w:rPr>
        <w:t>требительскую корзину, должны соответствовать нормам раци</w:t>
      </w:r>
      <w:r w:rsidRPr="0041627D">
        <w:rPr>
          <w:rFonts w:eastAsia="Calibri"/>
          <w:color w:val="000000"/>
          <w:sz w:val="22"/>
          <w:szCs w:val="22"/>
          <w:lang w:eastAsia="en-US"/>
        </w:rPr>
        <w:t>о</w:t>
      </w:r>
      <w:r w:rsidRPr="0041627D">
        <w:rPr>
          <w:rFonts w:eastAsia="Calibri"/>
          <w:color w:val="000000"/>
          <w:sz w:val="22"/>
          <w:szCs w:val="22"/>
          <w:lang w:eastAsia="en-US"/>
        </w:rPr>
        <w:t>нального потребления пищевых продуктов, утвержденным прик</w:t>
      </w:r>
      <w:r w:rsidRPr="0041627D">
        <w:rPr>
          <w:rFonts w:eastAsia="Calibri"/>
          <w:color w:val="000000"/>
          <w:sz w:val="22"/>
          <w:szCs w:val="22"/>
          <w:lang w:eastAsia="en-US"/>
        </w:rPr>
        <w:t>а</w:t>
      </w:r>
      <w:r w:rsidRPr="0041627D">
        <w:rPr>
          <w:rFonts w:eastAsia="Calibri"/>
          <w:color w:val="000000"/>
          <w:sz w:val="22"/>
          <w:szCs w:val="22"/>
          <w:lang w:eastAsia="en-US"/>
        </w:rPr>
        <w:t>зом Министерства здравоохранения Российской Федерации.</w:t>
      </w:r>
    </w:p>
    <w:p w:rsidR="00724342" w:rsidRPr="0041627D" w:rsidRDefault="00724342" w:rsidP="0041627D">
      <w:pPr>
        <w:numPr>
          <w:ilvl w:val="0"/>
          <w:numId w:val="84"/>
        </w:numPr>
        <w:tabs>
          <w:tab w:val="left" w:pos="709"/>
        </w:tabs>
        <w:autoSpaceDE w:val="0"/>
        <w:autoSpaceDN w:val="0"/>
        <w:adjustRightInd w:val="0"/>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Большую часть потребительской корзины не должны с</w:t>
      </w:r>
      <w:r w:rsidRPr="0041627D">
        <w:rPr>
          <w:rFonts w:eastAsia="Calibri"/>
          <w:color w:val="000000"/>
          <w:sz w:val="22"/>
          <w:szCs w:val="22"/>
          <w:lang w:eastAsia="en-US"/>
        </w:rPr>
        <w:t>о</w:t>
      </w:r>
      <w:r w:rsidRPr="0041627D">
        <w:rPr>
          <w:rFonts w:eastAsia="Calibri"/>
          <w:color w:val="000000"/>
          <w:sz w:val="22"/>
          <w:szCs w:val="22"/>
          <w:lang w:eastAsia="en-US"/>
        </w:rPr>
        <w:t>ставлять продукты питания, поскольку это является показателем низкого уровня доходности населения.</w:t>
      </w:r>
    </w:p>
    <w:p w:rsidR="00724342" w:rsidRPr="0041627D" w:rsidRDefault="00724342" w:rsidP="0041627D">
      <w:pPr>
        <w:numPr>
          <w:ilvl w:val="0"/>
          <w:numId w:val="84"/>
        </w:numPr>
        <w:tabs>
          <w:tab w:val="left" w:pos="709"/>
        </w:tabs>
        <w:autoSpaceDE w:val="0"/>
        <w:autoSpaceDN w:val="0"/>
        <w:adjustRightInd w:val="0"/>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Необходимо рассчитывать прожиточный минимум исходя из 50 % средней оплаты труда, рассчитывать потребительскую ко</w:t>
      </w:r>
      <w:r w:rsidRPr="0041627D">
        <w:rPr>
          <w:rFonts w:eastAsia="Calibri"/>
          <w:color w:val="000000"/>
          <w:sz w:val="22"/>
          <w:szCs w:val="22"/>
          <w:lang w:eastAsia="en-US"/>
        </w:rPr>
        <w:t>р</w:t>
      </w:r>
      <w:r w:rsidRPr="0041627D">
        <w:rPr>
          <w:rFonts w:eastAsia="Calibri"/>
          <w:color w:val="000000"/>
          <w:sz w:val="22"/>
          <w:szCs w:val="22"/>
          <w:lang w:eastAsia="en-US"/>
        </w:rPr>
        <w:t>зину следует  не для 3 групп населения (взрослые, дети, пенсион</w:t>
      </w:r>
      <w:r w:rsidRPr="0041627D">
        <w:rPr>
          <w:rFonts w:eastAsia="Calibri"/>
          <w:color w:val="000000"/>
          <w:sz w:val="22"/>
          <w:szCs w:val="22"/>
          <w:lang w:eastAsia="en-US"/>
        </w:rPr>
        <w:t>е</w:t>
      </w:r>
      <w:r w:rsidRPr="0041627D">
        <w:rPr>
          <w:rFonts w:eastAsia="Calibri"/>
          <w:color w:val="000000"/>
          <w:sz w:val="22"/>
          <w:szCs w:val="22"/>
          <w:lang w:eastAsia="en-US"/>
        </w:rPr>
        <w:t>ры), а добавить матерей-одиночек и многодетные семьи.</w:t>
      </w:r>
    </w:p>
    <w:p w:rsidR="00724342" w:rsidRPr="0041627D" w:rsidRDefault="00724342" w:rsidP="0041627D">
      <w:pPr>
        <w:numPr>
          <w:ilvl w:val="0"/>
          <w:numId w:val="84"/>
        </w:numPr>
        <w:tabs>
          <w:tab w:val="left" w:pos="709"/>
        </w:tabs>
        <w:autoSpaceDE w:val="0"/>
        <w:autoSpaceDN w:val="0"/>
        <w:adjustRightInd w:val="0"/>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Необходимо ввести купоны для бедных слоев населения, не имеющих возможность приобрести товары, включенные в потреб</w:t>
      </w:r>
      <w:r w:rsidRPr="0041627D">
        <w:rPr>
          <w:rFonts w:eastAsia="Calibri"/>
          <w:color w:val="000000"/>
          <w:sz w:val="22"/>
          <w:szCs w:val="22"/>
          <w:lang w:eastAsia="en-US"/>
        </w:rPr>
        <w:t>и</w:t>
      </w:r>
      <w:r w:rsidRPr="0041627D">
        <w:rPr>
          <w:rFonts w:eastAsia="Calibri"/>
          <w:color w:val="000000"/>
          <w:sz w:val="22"/>
          <w:szCs w:val="22"/>
          <w:lang w:eastAsia="en-US"/>
        </w:rPr>
        <w:t xml:space="preserve">тельскую корзину, – пенсионеров, неполных семей, многодетных семей, инвалидов. </w:t>
      </w:r>
    </w:p>
    <w:p w:rsidR="00724342" w:rsidRPr="0041627D" w:rsidRDefault="00724342" w:rsidP="0041627D">
      <w:pPr>
        <w:numPr>
          <w:ilvl w:val="0"/>
          <w:numId w:val="84"/>
        </w:numPr>
        <w:tabs>
          <w:tab w:val="left" w:pos="709"/>
        </w:tabs>
        <w:autoSpaceDE w:val="0"/>
        <w:autoSpaceDN w:val="0"/>
        <w:adjustRightInd w:val="0"/>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Пересмотреть состав потребительской корзины: увеличить список медикаментов, добавить расходы на связь и интернет.</w:t>
      </w:r>
    </w:p>
    <w:p w:rsidR="00724342" w:rsidRPr="0041627D" w:rsidRDefault="00724342" w:rsidP="0041627D">
      <w:pPr>
        <w:autoSpaceDE w:val="0"/>
        <w:autoSpaceDN w:val="0"/>
        <w:adjustRightInd w:val="0"/>
        <w:ind w:firstLine="426"/>
        <w:contextualSpacing/>
        <w:jc w:val="both"/>
        <w:rPr>
          <w:rFonts w:eastAsia="Calibri"/>
          <w:color w:val="000000"/>
          <w:sz w:val="22"/>
          <w:szCs w:val="22"/>
          <w:lang w:eastAsia="en-US"/>
        </w:rPr>
      </w:pPr>
    </w:p>
    <w:p w:rsidR="00724342" w:rsidRPr="0041627D" w:rsidRDefault="00724342" w:rsidP="0041627D">
      <w:pPr>
        <w:widowControl w:val="0"/>
        <w:autoSpaceDE w:val="0"/>
        <w:autoSpaceDN w:val="0"/>
        <w:adjustRightInd w:val="0"/>
        <w:ind w:firstLine="426"/>
        <w:jc w:val="center"/>
        <w:rPr>
          <w:rFonts w:eastAsia="Calibri"/>
          <w:color w:val="000000"/>
          <w:sz w:val="22"/>
          <w:szCs w:val="22"/>
          <w:lang w:eastAsia="en-US"/>
        </w:rPr>
      </w:pPr>
      <w:r w:rsidRPr="0041627D">
        <w:rPr>
          <w:rFonts w:eastAsia="Calibri"/>
          <w:color w:val="000000"/>
          <w:sz w:val="22"/>
          <w:szCs w:val="22"/>
          <w:lang w:eastAsia="en-US"/>
        </w:rPr>
        <w:t>Список литературы</w:t>
      </w:r>
    </w:p>
    <w:p w:rsidR="00724342" w:rsidRPr="0041627D" w:rsidRDefault="00724342" w:rsidP="0041627D">
      <w:pPr>
        <w:numPr>
          <w:ilvl w:val="0"/>
          <w:numId w:val="85"/>
        </w:numPr>
        <w:tabs>
          <w:tab w:val="left" w:pos="709"/>
        </w:tabs>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Литвиненко Г. Н. Материальное стимулирование труда р</w:t>
      </w:r>
      <w:r w:rsidRPr="0041627D">
        <w:rPr>
          <w:rFonts w:eastAsia="Calibri"/>
          <w:color w:val="000000"/>
          <w:sz w:val="22"/>
          <w:szCs w:val="22"/>
          <w:lang w:eastAsia="en-US"/>
        </w:rPr>
        <w:t>а</w:t>
      </w:r>
      <w:r w:rsidRPr="0041627D">
        <w:rPr>
          <w:rFonts w:eastAsia="Calibri"/>
          <w:color w:val="000000"/>
          <w:sz w:val="22"/>
          <w:szCs w:val="22"/>
          <w:lang w:eastAsia="en-US"/>
        </w:rPr>
        <w:t>ботников сельского хозяйства</w:t>
      </w:r>
      <w:r w:rsidRPr="0041627D">
        <w:rPr>
          <w:rFonts w:eastAsia="Calibri"/>
          <w:sz w:val="22"/>
          <w:szCs w:val="22"/>
          <w:lang w:eastAsia="en-US"/>
        </w:rPr>
        <w:t xml:space="preserve"> / Г. Н. Литвиненко, А. П. Соколова, А. В. Карманова, Н. Д. Карманова. Политематический сетевой эле</w:t>
      </w:r>
      <w:r w:rsidRPr="0041627D">
        <w:rPr>
          <w:rFonts w:eastAsia="Calibri"/>
          <w:sz w:val="22"/>
          <w:szCs w:val="22"/>
          <w:lang w:eastAsia="en-US"/>
        </w:rPr>
        <w:t>к</w:t>
      </w:r>
      <w:r w:rsidRPr="0041627D">
        <w:rPr>
          <w:rFonts w:eastAsia="Calibri"/>
          <w:sz w:val="22"/>
          <w:szCs w:val="22"/>
          <w:lang w:eastAsia="en-US"/>
        </w:rPr>
        <w:t>тронный научный журнал Кубанского государственного аграрного университета. № 134, 2017. – С. 793-803.</w:t>
      </w:r>
    </w:p>
    <w:p w:rsidR="00724342" w:rsidRPr="0041627D" w:rsidRDefault="00724342" w:rsidP="0041627D">
      <w:pPr>
        <w:numPr>
          <w:ilvl w:val="0"/>
          <w:numId w:val="85"/>
        </w:numPr>
        <w:tabs>
          <w:tab w:val="left" w:pos="709"/>
        </w:tabs>
        <w:ind w:left="0" w:firstLine="426"/>
        <w:contextualSpacing/>
        <w:jc w:val="both"/>
        <w:rPr>
          <w:rFonts w:eastAsia="Calibri"/>
          <w:color w:val="000000"/>
          <w:sz w:val="22"/>
          <w:szCs w:val="22"/>
          <w:lang w:eastAsia="en-US"/>
        </w:rPr>
      </w:pPr>
      <w:r w:rsidRPr="0041627D">
        <w:rPr>
          <w:rFonts w:eastAsia="Calibri"/>
          <w:color w:val="000000"/>
          <w:sz w:val="22"/>
          <w:szCs w:val="22"/>
          <w:lang w:eastAsia="en-US"/>
        </w:rPr>
        <w:t xml:space="preserve">Литвиненко Г. Н. Экономические показатели уровня жизни населения как основные критерии оценки благосостояния общества / </w:t>
      </w:r>
      <w:hyperlink r:id="rId260" w:tgtFrame="_blank" w:history="1">
        <w:r w:rsidRPr="0041627D">
          <w:rPr>
            <w:rFonts w:eastAsia="Calibri"/>
            <w:color w:val="000000"/>
            <w:sz w:val="22"/>
            <w:szCs w:val="22"/>
            <w:lang w:eastAsia="en-US"/>
          </w:rPr>
          <w:t>Г. Н. Литвиненко</w:t>
        </w:r>
      </w:hyperlink>
      <w:r w:rsidRPr="0041627D">
        <w:rPr>
          <w:rFonts w:eastAsia="Calibri"/>
          <w:color w:val="000000"/>
          <w:sz w:val="22"/>
          <w:szCs w:val="22"/>
          <w:lang w:eastAsia="en-US"/>
        </w:rPr>
        <w:t>, </w:t>
      </w:r>
      <w:hyperlink r:id="rId261" w:tgtFrame="_blank" w:history="1">
        <w:r w:rsidRPr="0041627D">
          <w:rPr>
            <w:rFonts w:eastAsia="Calibri"/>
            <w:color w:val="000000"/>
            <w:sz w:val="22"/>
            <w:szCs w:val="22"/>
            <w:lang w:eastAsia="en-US"/>
          </w:rPr>
          <w:t>А. А. Губа</w:t>
        </w:r>
      </w:hyperlink>
      <w:r w:rsidRPr="0041627D">
        <w:rPr>
          <w:rFonts w:eastAsia="Calibri"/>
          <w:color w:val="000000"/>
          <w:sz w:val="22"/>
          <w:szCs w:val="22"/>
          <w:lang w:eastAsia="en-US"/>
        </w:rPr>
        <w:t xml:space="preserve"> // Сб. ст. Междунар. (заочной) науч.-практ. конф. «Наука, образование, инновации: апробация результ</w:t>
      </w:r>
      <w:r w:rsidRPr="0041627D">
        <w:rPr>
          <w:rFonts w:eastAsia="Calibri"/>
          <w:color w:val="000000"/>
          <w:sz w:val="22"/>
          <w:szCs w:val="22"/>
          <w:lang w:eastAsia="en-US"/>
        </w:rPr>
        <w:t>а</w:t>
      </w:r>
      <w:r w:rsidRPr="0041627D">
        <w:rPr>
          <w:rFonts w:eastAsia="Calibri"/>
          <w:color w:val="000000"/>
          <w:sz w:val="22"/>
          <w:szCs w:val="22"/>
          <w:lang w:eastAsia="en-US"/>
        </w:rPr>
        <w:t>тов исследований». – Нефтекамск: Мир науки, 2017. – С. 319 -322.</w:t>
      </w:r>
    </w:p>
    <w:p w:rsidR="00724342" w:rsidRPr="00C609D1" w:rsidRDefault="00724342" w:rsidP="00724342">
      <w:pPr>
        <w:numPr>
          <w:ilvl w:val="0"/>
          <w:numId w:val="85"/>
        </w:numPr>
        <w:shd w:val="clear" w:color="auto" w:fill="FFFFFF"/>
        <w:tabs>
          <w:tab w:val="left" w:pos="0"/>
          <w:tab w:val="left" w:pos="709"/>
          <w:tab w:val="left" w:pos="851"/>
          <w:tab w:val="left" w:pos="1276"/>
        </w:tabs>
        <w:ind w:left="0" w:firstLine="426"/>
        <w:contextualSpacing/>
        <w:jc w:val="both"/>
        <w:rPr>
          <w:rFonts w:eastAsia="Calibri"/>
          <w:color w:val="000000"/>
          <w:sz w:val="22"/>
          <w:szCs w:val="22"/>
          <w:lang w:eastAsia="en-US"/>
        </w:rPr>
      </w:pPr>
      <w:r w:rsidRPr="0041627D">
        <w:rPr>
          <w:rFonts w:eastAsia="Calibri"/>
          <w:sz w:val="22"/>
          <w:szCs w:val="22"/>
          <w:lang w:eastAsia="en-US"/>
        </w:rPr>
        <w:t>Федеральная служба государственной статистики [Эле</w:t>
      </w:r>
      <w:r w:rsidRPr="0041627D">
        <w:rPr>
          <w:rFonts w:eastAsia="Calibri"/>
          <w:sz w:val="22"/>
          <w:szCs w:val="22"/>
          <w:lang w:eastAsia="en-US"/>
        </w:rPr>
        <w:t>к</w:t>
      </w:r>
      <w:r w:rsidRPr="0041627D">
        <w:rPr>
          <w:rFonts w:eastAsia="Calibri"/>
          <w:sz w:val="22"/>
          <w:szCs w:val="22"/>
          <w:lang w:eastAsia="en-US"/>
        </w:rPr>
        <w:t xml:space="preserve">тронный ресурс]. – Режим доступа:  </w:t>
      </w:r>
      <w:r w:rsidRPr="0041627D">
        <w:rPr>
          <w:rFonts w:eastAsia="Calibri"/>
          <w:sz w:val="22"/>
          <w:szCs w:val="22"/>
          <w:lang w:val="en-US" w:eastAsia="en-US"/>
        </w:rPr>
        <w:t>http</w:t>
      </w:r>
      <w:r w:rsidRPr="0041627D">
        <w:rPr>
          <w:rFonts w:eastAsia="Calibri"/>
          <w:sz w:val="22"/>
          <w:szCs w:val="22"/>
          <w:lang w:eastAsia="en-US"/>
        </w:rPr>
        <w:t>: //</w:t>
      </w:r>
      <w:r w:rsidRPr="0041627D">
        <w:rPr>
          <w:rFonts w:eastAsia="Calibri"/>
          <w:sz w:val="22"/>
          <w:szCs w:val="22"/>
          <w:shd w:val="clear" w:color="auto" w:fill="FFFFFF"/>
          <w:lang w:eastAsia="en-US"/>
        </w:rPr>
        <w:t xml:space="preserve"> </w:t>
      </w:r>
      <w:hyperlink r:id="rId262" w:history="1">
        <w:r w:rsidRPr="0041627D">
          <w:rPr>
            <w:rFonts w:eastAsia="Calibri"/>
            <w:sz w:val="22"/>
            <w:szCs w:val="22"/>
            <w:lang w:eastAsia="en-US"/>
          </w:rPr>
          <w:t>www.gks.ru/</w:t>
        </w:r>
      </w:hyperlink>
    </w:p>
    <w:p w:rsidR="00724342" w:rsidRPr="00724342" w:rsidRDefault="00724342" w:rsidP="00724342">
      <w:pPr>
        <w:jc w:val="both"/>
        <w:rPr>
          <w:rFonts w:eastAsiaTheme="minorHAnsi" w:cstheme="minorBidi"/>
          <w:sz w:val="22"/>
          <w:szCs w:val="22"/>
          <w:lang w:eastAsia="en-US"/>
        </w:rPr>
      </w:pPr>
      <w:r w:rsidRPr="00724342">
        <w:rPr>
          <w:rFonts w:eastAsiaTheme="minorHAnsi" w:cstheme="minorBidi"/>
          <w:sz w:val="22"/>
          <w:szCs w:val="22"/>
          <w:lang w:eastAsia="en-US"/>
        </w:rPr>
        <w:lastRenderedPageBreak/>
        <w:t>УДК 330.34.011</w:t>
      </w:r>
    </w:p>
    <w:p w:rsidR="00724342" w:rsidRPr="00724342" w:rsidRDefault="00724342" w:rsidP="00724342">
      <w:pPr>
        <w:jc w:val="both"/>
        <w:rPr>
          <w:rFonts w:eastAsiaTheme="minorHAnsi" w:cstheme="minorBidi"/>
          <w:sz w:val="22"/>
          <w:szCs w:val="22"/>
          <w:lang w:eastAsia="en-US"/>
        </w:rPr>
      </w:pPr>
    </w:p>
    <w:p w:rsidR="00724342" w:rsidRPr="00724342" w:rsidRDefault="00724342" w:rsidP="00724342">
      <w:pPr>
        <w:jc w:val="center"/>
        <w:rPr>
          <w:rFonts w:eastAsiaTheme="minorHAnsi" w:cstheme="minorBidi"/>
          <w:b/>
          <w:sz w:val="24"/>
          <w:szCs w:val="24"/>
          <w:lang w:eastAsia="en-US"/>
        </w:rPr>
      </w:pPr>
      <w:r w:rsidRPr="00724342">
        <w:rPr>
          <w:rFonts w:eastAsiaTheme="minorHAnsi" w:cstheme="minorBidi"/>
          <w:b/>
          <w:sz w:val="24"/>
          <w:szCs w:val="24"/>
          <w:lang w:eastAsia="en-US"/>
        </w:rPr>
        <w:t xml:space="preserve">Актуальность внедрения механизированных технологий уборки винограда технических сортов в </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eastAsia="en-US"/>
        </w:rPr>
        <w:t>специализированных</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хозяйствах</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Краснодарского</w:t>
      </w:r>
      <w:r w:rsidRPr="00724342">
        <w:rPr>
          <w:rFonts w:eastAsiaTheme="minorHAnsi" w:cstheme="minorBidi"/>
          <w:b/>
          <w:sz w:val="24"/>
          <w:szCs w:val="24"/>
          <w:lang w:val="en-US" w:eastAsia="en-US"/>
        </w:rPr>
        <w:t xml:space="preserve"> </w:t>
      </w:r>
      <w:r w:rsidRPr="00724342">
        <w:rPr>
          <w:rFonts w:eastAsiaTheme="minorHAnsi" w:cstheme="minorBidi"/>
          <w:b/>
          <w:sz w:val="24"/>
          <w:szCs w:val="24"/>
          <w:lang w:eastAsia="en-US"/>
        </w:rPr>
        <w:t>края</w:t>
      </w:r>
    </w:p>
    <w:p w:rsidR="00724342" w:rsidRPr="00724342" w:rsidRDefault="00724342" w:rsidP="00724342">
      <w:pPr>
        <w:jc w:val="center"/>
        <w:rPr>
          <w:rFonts w:eastAsiaTheme="minorHAnsi" w:cstheme="minorBidi"/>
          <w:b/>
          <w:sz w:val="24"/>
          <w:szCs w:val="24"/>
          <w:lang w:val="en-US" w:eastAsia="en-US"/>
        </w:rPr>
      </w:pPr>
      <w:r w:rsidRPr="00724342">
        <w:rPr>
          <w:rFonts w:eastAsiaTheme="minorHAnsi" w:cstheme="minorBidi"/>
          <w:b/>
          <w:sz w:val="24"/>
          <w:szCs w:val="24"/>
          <w:lang w:val="en" w:eastAsia="en-US"/>
        </w:rPr>
        <w:t xml:space="preserve">The topicality of introducing mechanized technologies </w:t>
      </w:r>
      <w:r w:rsidR="0041627D" w:rsidRPr="0041627D">
        <w:rPr>
          <w:rFonts w:eastAsiaTheme="minorHAnsi" w:cstheme="minorBidi"/>
          <w:b/>
          <w:sz w:val="24"/>
          <w:szCs w:val="24"/>
          <w:lang w:val="en-US" w:eastAsia="en-US"/>
        </w:rPr>
        <w:br/>
      </w:r>
      <w:r w:rsidRPr="00724342">
        <w:rPr>
          <w:rFonts w:eastAsiaTheme="minorHAnsi" w:cstheme="minorBidi"/>
          <w:b/>
          <w:sz w:val="24"/>
          <w:szCs w:val="24"/>
          <w:lang w:val="en" w:eastAsia="en-US"/>
        </w:rPr>
        <w:t xml:space="preserve">for harvesting grapes of technical varieties in specialized farms </w:t>
      </w:r>
    </w:p>
    <w:p w:rsidR="00724342" w:rsidRPr="00724342" w:rsidRDefault="00724342" w:rsidP="00724342">
      <w:pPr>
        <w:jc w:val="center"/>
        <w:rPr>
          <w:rFonts w:eastAsiaTheme="minorHAnsi" w:cstheme="minorBidi"/>
          <w:b/>
          <w:sz w:val="24"/>
          <w:szCs w:val="24"/>
          <w:lang w:val="en" w:eastAsia="en-US"/>
        </w:rPr>
      </w:pPr>
      <w:r w:rsidRPr="00724342">
        <w:rPr>
          <w:rFonts w:eastAsiaTheme="minorHAnsi" w:cstheme="minorBidi"/>
          <w:b/>
          <w:sz w:val="24"/>
          <w:szCs w:val="24"/>
          <w:lang w:val="en" w:eastAsia="en-US"/>
        </w:rPr>
        <w:t>of the Krasnodar region</w:t>
      </w:r>
    </w:p>
    <w:p w:rsidR="00724342" w:rsidRPr="00724342" w:rsidRDefault="00724342" w:rsidP="00724342">
      <w:pPr>
        <w:jc w:val="center"/>
        <w:rPr>
          <w:rFonts w:eastAsiaTheme="minorHAnsi" w:cstheme="minorBidi"/>
          <w:b/>
          <w:sz w:val="24"/>
          <w:szCs w:val="24"/>
          <w:lang w:val="en" w:eastAsia="en-US"/>
        </w:rPr>
      </w:pPr>
    </w:p>
    <w:p w:rsidR="00724342" w:rsidRPr="00C56F2E" w:rsidRDefault="00724342" w:rsidP="00724342">
      <w:pPr>
        <w:jc w:val="right"/>
        <w:rPr>
          <w:rFonts w:eastAsiaTheme="minorHAnsi" w:cstheme="minorBidi"/>
          <w:sz w:val="22"/>
          <w:szCs w:val="22"/>
          <w:lang w:val="en-US" w:eastAsia="en-US"/>
        </w:rPr>
      </w:pPr>
      <w:r w:rsidRPr="00724342">
        <w:rPr>
          <w:rFonts w:eastAsiaTheme="minorHAnsi" w:cstheme="minorBidi"/>
          <w:sz w:val="22"/>
          <w:szCs w:val="22"/>
          <w:lang w:eastAsia="en-US"/>
        </w:rPr>
        <w:t>Елагина</w:t>
      </w:r>
      <w:r w:rsidRPr="00724342">
        <w:rPr>
          <w:rFonts w:eastAsiaTheme="minorHAnsi" w:cstheme="minorBidi"/>
          <w:sz w:val="22"/>
          <w:szCs w:val="22"/>
          <w:lang w:val="en-US" w:eastAsia="en-US"/>
        </w:rPr>
        <w:t xml:space="preserve"> </w:t>
      </w:r>
      <w:r w:rsidRPr="00724342">
        <w:rPr>
          <w:rFonts w:eastAsiaTheme="minorHAnsi" w:cstheme="minorBidi"/>
          <w:sz w:val="22"/>
          <w:szCs w:val="22"/>
          <w:lang w:eastAsia="en-US"/>
        </w:rPr>
        <w:t>А</w:t>
      </w:r>
      <w:r w:rsidRPr="00724342">
        <w:rPr>
          <w:rFonts w:eastAsiaTheme="minorHAnsi" w:cstheme="minorBidi"/>
          <w:sz w:val="22"/>
          <w:szCs w:val="22"/>
          <w:lang w:val="en-US" w:eastAsia="en-US"/>
        </w:rPr>
        <w:t xml:space="preserve">. </w:t>
      </w:r>
      <w:r w:rsidRPr="00724342">
        <w:rPr>
          <w:rFonts w:eastAsiaTheme="minorHAnsi" w:cstheme="minorBidi"/>
          <w:sz w:val="22"/>
          <w:szCs w:val="22"/>
          <w:lang w:eastAsia="en-US"/>
        </w:rPr>
        <w:t>С</w:t>
      </w:r>
      <w:r w:rsidRPr="00724342">
        <w:rPr>
          <w:rFonts w:eastAsiaTheme="minorHAnsi" w:cstheme="minorBidi"/>
          <w:sz w:val="22"/>
          <w:szCs w:val="22"/>
          <w:lang w:val="en-US" w:eastAsia="en-US"/>
        </w:rPr>
        <w:t>.</w:t>
      </w:r>
      <w:r w:rsidR="0041627D" w:rsidRPr="00C56F2E">
        <w:rPr>
          <w:rFonts w:eastAsiaTheme="minorHAnsi" w:cstheme="minorBidi"/>
          <w:sz w:val="22"/>
          <w:szCs w:val="22"/>
          <w:lang w:val="en-US" w:eastAsia="en-US"/>
        </w:rPr>
        <w:t>,</w:t>
      </w:r>
    </w:p>
    <w:p w:rsidR="00724342" w:rsidRPr="00724342" w:rsidRDefault="00724342" w:rsidP="00724342">
      <w:pPr>
        <w:widowControl w:val="0"/>
        <w:tabs>
          <w:tab w:val="left" w:pos="8223"/>
        </w:tabs>
        <w:jc w:val="right"/>
        <w:rPr>
          <w:rFonts w:eastAsia="Courier New" w:cstheme="minorBidi"/>
          <w:color w:val="000000"/>
          <w:sz w:val="22"/>
          <w:szCs w:val="22"/>
          <w:lang w:eastAsia="en-US"/>
        </w:rPr>
      </w:pPr>
      <w:r w:rsidRPr="00724342">
        <w:rPr>
          <w:rFonts w:eastAsia="Courier New" w:cstheme="minorBidi"/>
          <w:color w:val="000000"/>
          <w:sz w:val="22"/>
          <w:szCs w:val="22"/>
          <w:lang w:eastAsia="en-US"/>
        </w:rPr>
        <w:t>студент 3-го курса экономического факультета</w:t>
      </w:r>
    </w:p>
    <w:p w:rsidR="00724342" w:rsidRPr="00724342" w:rsidRDefault="00724342" w:rsidP="00724342">
      <w:pPr>
        <w:widowControl w:val="0"/>
        <w:tabs>
          <w:tab w:val="left" w:pos="8223"/>
        </w:tabs>
        <w:jc w:val="right"/>
        <w:rPr>
          <w:rFonts w:eastAsia="Courier New" w:cstheme="minorBidi"/>
          <w:color w:val="000000"/>
          <w:sz w:val="22"/>
          <w:szCs w:val="22"/>
          <w:lang w:eastAsia="en-US"/>
        </w:rPr>
      </w:pPr>
      <w:r w:rsidRPr="00724342">
        <w:rPr>
          <w:rFonts w:eastAsia="Courier New" w:cstheme="minorBidi"/>
          <w:color w:val="000000"/>
          <w:sz w:val="22"/>
          <w:szCs w:val="22"/>
          <w:lang w:eastAsia="en-US"/>
        </w:rPr>
        <w:t xml:space="preserve">Кубанский государственный аграрный </w:t>
      </w:r>
    </w:p>
    <w:p w:rsidR="00724342" w:rsidRPr="00724342" w:rsidRDefault="00724342" w:rsidP="00724342">
      <w:pPr>
        <w:jc w:val="right"/>
        <w:rPr>
          <w:rFonts w:eastAsiaTheme="minorHAnsi" w:cstheme="minorBidi"/>
          <w:sz w:val="22"/>
          <w:szCs w:val="22"/>
          <w:lang w:eastAsia="en-US"/>
        </w:rPr>
      </w:pPr>
      <w:r w:rsidRPr="00724342">
        <w:rPr>
          <w:rFonts w:eastAsia="Courier New" w:cstheme="minorBidi"/>
          <w:color w:val="000000"/>
          <w:sz w:val="22"/>
          <w:szCs w:val="22"/>
          <w:lang w:eastAsia="en-US"/>
        </w:rPr>
        <w:t>университет имени И.</w:t>
      </w:r>
      <w:r w:rsidR="0041627D">
        <w:rPr>
          <w:rFonts w:eastAsia="Courier New" w:cstheme="minorBidi"/>
          <w:color w:val="000000"/>
          <w:sz w:val="22"/>
          <w:szCs w:val="22"/>
          <w:lang w:eastAsia="en-US"/>
        </w:rPr>
        <w:t xml:space="preserve"> </w:t>
      </w:r>
      <w:r w:rsidRPr="00724342">
        <w:rPr>
          <w:rFonts w:eastAsia="Courier New" w:cstheme="minorBidi"/>
          <w:color w:val="000000"/>
          <w:sz w:val="22"/>
          <w:szCs w:val="22"/>
          <w:lang w:eastAsia="en-US"/>
        </w:rPr>
        <w:t>Т. Трубилина</w:t>
      </w:r>
    </w:p>
    <w:p w:rsidR="00724342" w:rsidRPr="00724342" w:rsidRDefault="00724342" w:rsidP="00724342">
      <w:pPr>
        <w:jc w:val="center"/>
        <w:rPr>
          <w:rFonts w:eastAsiaTheme="minorHAnsi" w:cstheme="minorBidi"/>
          <w:b/>
          <w:sz w:val="24"/>
          <w:szCs w:val="24"/>
          <w:lang w:eastAsia="en-US"/>
        </w:rPr>
      </w:pP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АННОТАЦИЯ. В исследовании представлены преимущества механизированной уборки урожая при возделывании технических сортов винограда в хозяйствах Краснодарского края. </w:t>
      </w:r>
    </w:p>
    <w:p w:rsidR="00724342" w:rsidRPr="00724342" w:rsidRDefault="00724342" w:rsidP="0041627D">
      <w:pPr>
        <w:ind w:firstLine="426"/>
        <w:jc w:val="both"/>
        <w:rPr>
          <w:rFonts w:eastAsiaTheme="minorHAnsi" w:cstheme="minorBidi"/>
          <w:sz w:val="22"/>
          <w:szCs w:val="22"/>
          <w:lang w:val="en-US" w:eastAsia="en-US"/>
        </w:rPr>
      </w:pPr>
      <w:r w:rsidRPr="00724342">
        <w:rPr>
          <w:rFonts w:eastAsia="Courier New" w:cstheme="minorBidi"/>
          <w:color w:val="000000"/>
          <w:sz w:val="22"/>
          <w:szCs w:val="22"/>
          <w:lang w:val="en-US" w:eastAsia="en-US"/>
        </w:rPr>
        <w:t>ABSTRACT</w:t>
      </w:r>
      <w:r w:rsidRPr="00724342">
        <w:rPr>
          <w:rFonts w:eastAsiaTheme="minorHAnsi" w:cstheme="minorBidi"/>
          <w:sz w:val="22"/>
          <w:szCs w:val="22"/>
          <w:lang w:val="en-US" w:eastAsia="en-US"/>
        </w:rPr>
        <w:t xml:space="preserve">. </w:t>
      </w:r>
      <w:r w:rsidRPr="00724342">
        <w:rPr>
          <w:rFonts w:eastAsiaTheme="minorHAnsi" w:cstheme="minorBidi"/>
          <w:sz w:val="22"/>
          <w:szCs w:val="22"/>
          <w:lang w:val="en" w:eastAsia="en-US"/>
        </w:rPr>
        <w:t>The study presents the advantages of mechanized harvesting during cultivation of technical varieties of grapes in the farms of the Krasnodar region.</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КЛЮЧЕВЫЕ СЛОВА: виноградарство, механизация уборки, виноградоуборочные комбайны.</w:t>
      </w:r>
    </w:p>
    <w:p w:rsidR="00724342" w:rsidRPr="00724342" w:rsidRDefault="00724342" w:rsidP="0041627D">
      <w:pPr>
        <w:ind w:firstLine="426"/>
        <w:jc w:val="both"/>
        <w:rPr>
          <w:rFonts w:eastAsiaTheme="minorHAnsi" w:cstheme="minorBidi"/>
          <w:sz w:val="22"/>
          <w:szCs w:val="22"/>
          <w:lang w:val="en-US" w:eastAsia="en-US"/>
        </w:rPr>
      </w:pPr>
      <w:r w:rsidRPr="00724342">
        <w:rPr>
          <w:rFonts w:eastAsia="Courier New" w:cstheme="minorBidi"/>
          <w:color w:val="000000"/>
          <w:sz w:val="22"/>
          <w:szCs w:val="22"/>
          <w:lang w:val="en-US" w:eastAsia="en-US"/>
        </w:rPr>
        <w:t xml:space="preserve">KEYWORDS: </w:t>
      </w:r>
      <w:r w:rsidRPr="00724342">
        <w:rPr>
          <w:rFonts w:eastAsiaTheme="minorHAnsi" w:cstheme="minorBidi"/>
          <w:sz w:val="22"/>
          <w:szCs w:val="22"/>
          <w:lang w:val="en" w:eastAsia="en-US"/>
        </w:rPr>
        <w:t>viticulture, mechanization of harvesting, grape ha</w:t>
      </w:r>
      <w:r w:rsidRPr="00724342">
        <w:rPr>
          <w:rFonts w:eastAsiaTheme="minorHAnsi" w:cstheme="minorBidi"/>
          <w:sz w:val="22"/>
          <w:szCs w:val="22"/>
          <w:lang w:val="en" w:eastAsia="en-US"/>
        </w:rPr>
        <w:t>r</w:t>
      </w:r>
      <w:r w:rsidRPr="00724342">
        <w:rPr>
          <w:rFonts w:eastAsiaTheme="minorHAnsi" w:cstheme="minorBidi"/>
          <w:sz w:val="22"/>
          <w:szCs w:val="22"/>
          <w:lang w:val="en" w:eastAsia="en-US"/>
        </w:rPr>
        <w:t>vesters</w:t>
      </w:r>
    </w:p>
    <w:p w:rsidR="00724342" w:rsidRPr="00724342" w:rsidRDefault="00724342" w:rsidP="0041627D">
      <w:pPr>
        <w:ind w:firstLine="426"/>
        <w:jc w:val="both"/>
        <w:rPr>
          <w:rFonts w:eastAsiaTheme="minorHAnsi" w:cstheme="minorBidi"/>
          <w:sz w:val="22"/>
          <w:szCs w:val="22"/>
          <w:lang w:val="en-US" w:eastAsia="en-US"/>
        </w:rPr>
      </w:pP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Проводимые исследования показывают, что в виноградарстве около 30% затрат труда при возделывании культуры приходится на процессы уборки урожая [2]. В сезон уборки, в период пиковой нагрузки, производители подотрасли сталкиваются с дефицитом рабочей силы, что, в свою очередь, приводит к срыву агроприемов, отрицательно сказывается на качестве продукции. В сложившихся условиях считаем необходимым внедрение механизированных те</w:t>
      </w:r>
      <w:r w:rsidRPr="00724342">
        <w:rPr>
          <w:rFonts w:eastAsiaTheme="minorHAnsi" w:cstheme="minorBidi"/>
          <w:sz w:val="22"/>
          <w:szCs w:val="22"/>
          <w:lang w:eastAsia="en-US"/>
        </w:rPr>
        <w:t>х</w:t>
      </w:r>
      <w:r w:rsidRPr="00724342">
        <w:rPr>
          <w:rFonts w:eastAsiaTheme="minorHAnsi" w:cstheme="minorBidi"/>
          <w:sz w:val="22"/>
          <w:szCs w:val="22"/>
          <w:lang w:eastAsia="en-US"/>
        </w:rPr>
        <w:t>нологий уборки винограда и актуальными исследования в напра</w:t>
      </w:r>
      <w:r w:rsidRPr="00724342">
        <w:rPr>
          <w:rFonts w:eastAsiaTheme="minorHAnsi" w:cstheme="minorBidi"/>
          <w:sz w:val="22"/>
          <w:szCs w:val="22"/>
          <w:lang w:eastAsia="en-US"/>
        </w:rPr>
        <w:t>в</w:t>
      </w:r>
      <w:r w:rsidRPr="00724342">
        <w:rPr>
          <w:rFonts w:eastAsiaTheme="minorHAnsi" w:cstheme="minorBidi"/>
          <w:sz w:val="22"/>
          <w:szCs w:val="22"/>
          <w:lang w:eastAsia="en-US"/>
        </w:rPr>
        <w:t>лении оценки эффективности предложенных мероприятий.</w:t>
      </w:r>
    </w:p>
    <w:p w:rsidR="00724342" w:rsidRPr="00724342" w:rsidRDefault="00724342" w:rsidP="0041627D">
      <w:pPr>
        <w:ind w:firstLine="426"/>
        <w:jc w:val="both"/>
        <w:rPr>
          <w:rFonts w:eastAsiaTheme="minorHAnsi" w:cstheme="minorBidi"/>
          <w:bCs/>
          <w:sz w:val="22"/>
          <w:szCs w:val="22"/>
          <w:lang w:eastAsia="en-US"/>
        </w:rPr>
      </w:pPr>
      <w:r w:rsidRPr="00724342">
        <w:rPr>
          <w:rFonts w:eastAsiaTheme="minorHAnsi" w:cstheme="minorBidi"/>
          <w:sz w:val="22"/>
          <w:szCs w:val="22"/>
          <w:lang w:eastAsia="en-US"/>
        </w:rPr>
        <w:t>В практике совершенствования технологических процессов в виноградарстве различают механизацию частичную (преимущ</w:t>
      </w:r>
      <w:r w:rsidRPr="00724342">
        <w:rPr>
          <w:rFonts w:eastAsiaTheme="minorHAnsi" w:cstheme="minorBidi"/>
          <w:sz w:val="22"/>
          <w:szCs w:val="22"/>
          <w:lang w:eastAsia="en-US"/>
        </w:rPr>
        <w:t>е</w:t>
      </w:r>
      <w:r w:rsidRPr="00724342">
        <w:rPr>
          <w:rFonts w:eastAsiaTheme="minorHAnsi" w:cstheme="minorBidi"/>
          <w:sz w:val="22"/>
          <w:szCs w:val="22"/>
          <w:lang w:eastAsia="en-US"/>
        </w:rPr>
        <w:t xml:space="preserve">ственно механизация вспомогательных технологических операций) </w:t>
      </w:r>
      <w:r w:rsidRPr="00724342">
        <w:rPr>
          <w:rFonts w:eastAsiaTheme="minorHAnsi" w:cstheme="minorBidi"/>
          <w:sz w:val="22"/>
          <w:szCs w:val="22"/>
          <w:lang w:eastAsia="en-US"/>
        </w:rPr>
        <w:lastRenderedPageBreak/>
        <w:t>и полную механизацию процесса сбора с выгрузкой гроздей в транспортные средства (машинный способ уборки) или с одновр</w:t>
      </w:r>
      <w:r w:rsidRPr="00724342">
        <w:rPr>
          <w:rFonts w:eastAsiaTheme="minorHAnsi" w:cstheme="minorBidi"/>
          <w:sz w:val="22"/>
          <w:szCs w:val="22"/>
          <w:lang w:eastAsia="en-US"/>
        </w:rPr>
        <w:t>е</w:t>
      </w:r>
      <w:r w:rsidRPr="00724342">
        <w:rPr>
          <w:rFonts w:eastAsiaTheme="minorHAnsi" w:cstheme="minorBidi"/>
          <w:sz w:val="22"/>
          <w:szCs w:val="22"/>
          <w:lang w:eastAsia="en-US"/>
        </w:rPr>
        <w:t>менной переработкой винограда. Полную механизацию процесса уборки винограда производят с применением самоходных виногр</w:t>
      </w:r>
      <w:r w:rsidRPr="00724342">
        <w:rPr>
          <w:rFonts w:eastAsiaTheme="minorHAnsi" w:cstheme="minorBidi"/>
          <w:sz w:val="22"/>
          <w:szCs w:val="22"/>
          <w:lang w:eastAsia="en-US"/>
        </w:rPr>
        <w:t>а</w:t>
      </w:r>
      <w:r w:rsidRPr="00724342">
        <w:rPr>
          <w:rFonts w:eastAsiaTheme="minorHAnsi" w:cstheme="minorBidi"/>
          <w:sz w:val="22"/>
          <w:szCs w:val="22"/>
          <w:lang w:eastAsia="en-US"/>
        </w:rPr>
        <w:t>доуборочных комбайнов. В силу особенностей технологии сбора виноградоуборочной техникой у</w:t>
      </w:r>
      <w:r w:rsidRPr="00724342">
        <w:rPr>
          <w:rFonts w:eastAsiaTheme="minorHAnsi" w:cstheme="minorBidi"/>
          <w:bCs/>
          <w:sz w:val="22"/>
          <w:szCs w:val="22"/>
          <w:lang w:eastAsia="en-US"/>
        </w:rPr>
        <w:t>борка винограда с помощью ко</w:t>
      </w:r>
      <w:r w:rsidRPr="00724342">
        <w:rPr>
          <w:rFonts w:eastAsiaTheme="minorHAnsi" w:cstheme="minorBidi"/>
          <w:bCs/>
          <w:sz w:val="22"/>
          <w:szCs w:val="22"/>
          <w:lang w:eastAsia="en-US"/>
        </w:rPr>
        <w:t>м</w:t>
      </w:r>
      <w:r w:rsidRPr="00724342">
        <w:rPr>
          <w:rFonts w:eastAsiaTheme="minorHAnsi" w:cstheme="minorBidi"/>
          <w:bCs/>
          <w:sz w:val="22"/>
          <w:szCs w:val="22"/>
          <w:lang w:eastAsia="en-US"/>
        </w:rPr>
        <w:t>байна целесообразна к применению только на виноградниках те</w:t>
      </w:r>
      <w:r w:rsidRPr="00724342">
        <w:rPr>
          <w:rFonts w:eastAsiaTheme="minorHAnsi" w:cstheme="minorBidi"/>
          <w:bCs/>
          <w:sz w:val="22"/>
          <w:szCs w:val="22"/>
          <w:lang w:eastAsia="en-US"/>
        </w:rPr>
        <w:t>х</w:t>
      </w:r>
      <w:r w:rsidRPr="00724342">
        <w:rPr>
          <w:rFonts w:eastAsiaTheme="minorHAnsi" w:cstheme="minorBidi"/>
          <w:bCs/>
          <w:sz w:val="22"/>
          <w:szCs w:val="22"/>
          <w:lang w:eastAsia="en-US"/>
        </w:rPr>
        <w:t>нических сортов.</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На рынке специализированной сельскохозяйственной техники широкое распространение получили виноградоуборочные комба</w:t>
      </w:r>
      <w:r w:rsidRPr="00724342">
        <w:rPr>
          <w:rFonts w:eastAsiaTheme="minorHAnsi" w:cstheme="minorBidi"/>
          <w:sz w:val="22"/>
          <w:szCs w:val="22"/>
          <w:lang w:eastAsia="en-US"/>
        </w:rPr>
        <w:t>й</w:t>
      </w:r>
      <w:r w:rsidRPr="00724342">
        <w:rPr>
          <w:rFonts w:eastAsiaTheme="minorHAnsi" w:cstheme="minorBidi"/>
          <w:sz w:val="22"/>
          <w:szCs w:val="22"/>
          <w:lang w:eastAsia="en-US"/>
        </w:rPr>
        <w:t xml:space="preserve">ны производства США, Франции, Австралии. </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В Краснодарском крае на механизированную уборку винограда технических сортов с применением современной техники перешли такие крупные производители подотрасли как ЗАО АФ «Южная» и ОАО АПФ «Голубицкая» [1, 3]. </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Преимуществом уборки винограда технических сортов с пр</w:t>
      </w:r>
      <w:r w:rsidRPr="00724342">
        <w:rPr>
          <w:rFonts w:eastAsiaTheme="minorHAnsi" w:cstheme="minorBidi"/>
          <w:sz w:val="22"/>
          <w:szCs w:val="22"/>
          <w:lang w:eastAsia="en-US"/>
        </w:rPr>
        <w:t>и</w:t>
      </w:r>
      <w:r w:rsidRPr="00724342">
        <w:rPr>
          <w:rFonts w:eastAsiaTheme="minorHAnsi" w:cstheme="minorBidi"/>
          <w:sz w:val="22"/>
          <w:szCs w:val="22"/>
          <w:lang w:eastAsia="en-US"/>
        </w:rPr>
        <w:t>менение виноградоуборочных комбайнов является высокая прои</w:t>
      </w:r>
      <w:r w:rsidRPr="00724342">
        <w:rPr>
          <w:rFonts w:eastAsiaTheme="minorHAnsi" w:cstheme="minorBidi"/>
          <w:sz w:val="22"/>
          <w:szCs w:val="22"/>
          <w:lang w:eastAsia="en-US"/>
        </w:rPr>
        <w:t>з</w:t>
      </w:r>
      <w:r w:rsidRPr="00724342">
        <w:rPr>
          <w:rFonts w:eastAsiaTheme="minorHAnsi" w:cstheme="minorBidi"/>
          <w:sz w:val="22"/>
          <w:szCs w:val="22"/>
          <w:lang w:eastAsia="en-US"/>
        </w:rPr>
        <w:t>водительность техники:  за смену комбайн собирает количество в</w:t>
      </w:r>
      <w:r w:rsidRPr="00724342">
        <w:rPr>
          <w:rFonts w:eastAsiaTheme="minorHAnsi" w:cstheme="minorBidi"/>
          <w:sz w:val="22"/>
          <w:szCs w:val="22"/>
          <w:lang w:eastAsia="en-US"/>
        </w:rPr>
        <w:t>и</w:t>
      </w:r>
      <w:r w:rsidRPr="00724342">
        <w:rPr>
          <w:rFonts w:eastAsiaTheme="minorHAnsi" w:cstheme="minorBidi"/>
          <w:sz w:val="22"/>
          <w:szCs w:val="22"/>
          <w:lang w:eastAsia="en-US"/>
        </w:rPr>
        <w:t>нограда эквивалентное труду тридцати работников на ручной убо</w:t>
      </w:r>
      <w:r w:rsidRPr="00724342">
        <w:rPr>
          <w:rFonts w:eastAsiaTheme="minorHAnsi" w:cstheme="minorBidi"/>
          <w:sz w:val="22"/>
          <w:szCs w:val="22"/>
          <w:lang w:eastAsia="en-US"/>
        </w:rPr>
        <w:t>р</w:t>
      </w:r>
      <w:r w:rsidRPr="00724342">
        <w:rPr>
          <w:rFonts w:eastAsiaTheme="minorHAnsi" w:cstheme="minorBidi"/>
          <w:sz w:val="22"/>
          <w:szCs w:val="22"/>
          <w:lang w:eastAsia="en-US"/>
        </w:rPr>
        <w:t>ке. Высокая производительность и скорость виноградоуборочной техники позволяет снимать урожай ягоды в оптимальные агроте</w:t>
      </w:r>
      <w:r w:rsidRPr="00724342">
        <w:rPr>
          <w:rFonts w:eastAsiaTheme="minorHAnsi" w:cstheme="minorBidi"/>
          <w:sz w:val="22"/>
          <w:szCs w:val="22"/>
          <w:lang w:eastAsia="en-US"/>
        </w:rPr>
        <w:t>х</w:t>
      </w:r>
      <w:r w:rsidRPr="00724342">
        <w:rPr>
          <w:rFonts w:eastAsiaTheme="minorHAnsi" w:cstheme="minorBidi"/>
          <w:sz w:val="22"/>
          <w:szCs w:val="22"/>
          <w:lang w:eastAsia="en-US"/>
        </w:rPr>
        <w:t>нические сроки, что повышает качество получаемого виноматери</w:t>
      </w:r>
      <w:r w:rsidRPr="00724342">
        <w:rPr>
          <w:rFonts w:eastAsiaTheme="minorHAnsi" w:cstheme="minorBidi"/>
          <w:sz w:val="22"/>
          <w:szCs w:val="22"/>
          <w:lang w:eastAsia="en-US"/>
        </w:rPr>
        <w:t>а</w:t>
      </w:r>
      <w:r w:rsidRPr="00724342">
        <w:rPr>
          <w:rFonts w:eastAsiaTheme="minorHAnsi" w:cstheme="minorBidi"/>
          <w:sz w:val="22"/>
          <w:szCs w:val="22"/>
          <w:lang w:eastAsia="en-US"/>
        </w:rPr>
        <w:t>ла. К недостаткам уборки винограда с применением специализир</w:t>
      </w:r>
      <w:r w:rsidRPr="00724342">
        <w:rPr>
          <w:rFonts w:eastAsiaTheme="minorHAnsi" w:cstheme="minorBidi"/>
          <w:sz w:val="22"/>
          <w:szCs w:val="22"/>
          <w:lang w:eastAsia="en-US"/>
        </w:rPr>
        <w:t>о</w:t>
      </w:r>
      <w:r w:rsidRPr="00724342">
        <w:rPr>
          <w:rFonts w:eastAsiaTheme="minorHAnsi" w:cstheme="minorBidi"/>
          <w:sz w:val="22"/>
          <w:szCs w:val="22"/>
          <w:lang w:eastAsia="en-US"/>
        </w:rPr>
        <w:t>ванной техники относят повреждение лиственной части лозы и яг</w:t>
      </w:r>
      <w:r w:rsidRPr="00724342">
        <w:rPr>
          <w:rFonts w:eastAsiaTheme="minorHAnsi" w:cstheme="minorBidi"/>
          <w:sz w:val="22"/>
          <w:szCs w:val="22"/>
          <w:lang w:eastAsia="en-US"/>
        </w:rPr>
        <w:t>о</w:t>
      </w:r>
      <w:r w:rsidRPr="00724342">
        <w:rPr>
          <w:rFonts w:eastAsiaTheme="minorHAnsi" w:cstheme="minorBidi"/>
          <w:sz w:val="22"/>
          <w:szCs w:val="22"/>
          <w:lang w:eastAsia="en-US"/>
        </w:rPr>
        <w:t>ды, засоренность урожая.</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Высокая стоимость виноградоуборочной техники служит о</w:t>
      </w:r>
      <w:r w:rsidRPr="00724342">
        <w:rPr>
          <w:rFonts w:eastAsiaTheme="minorHAnsi" w:cstheme="minorBidi"/>
          <w:sz w:val="22"/>
          <w:szCs w:val="22"/>
          <w:lang w:eastAsia="en-US"/>
        </w:rPr>
        <w:t>с</w:t>
      </w:r>
      <w:r w:rsidRPr="00724342">
        <w:rPr>
          <w:rFonts w:eastAsiaTheme="minorHAnsi" w:cstheme="minorBidi"/>
          <w:sz w:val="22"/>
          <w:szCs w:val="22"/>
          <w:lang w:eastAsia="en-US"/>
        </w:rPr>
        <w:t>новной причиной отказа от ее применения на уборке в малых и средних по площади предприятиях региона. В работах Бершицкого Ю. И., Сухаревой О. А. доказывается экономическая целесообра</w:t>
      </w:r>
      <w:r w:rsidRPr="00724342">
        <w:rPr>
          <w:rFonts w:eastAsiaTheme="minorHAnsi" w:cstheme="minorBidi"/>
          <w:sz w:val="22"/>
          <w:szCs w:val="22"/>
          <w:lang w:eastAsia="en-US"/>
        </w:rPr>
        <w:t>з</w:t>
      </w:r>
      <w:r w:rsidRPr="00724342">
        <w:rPr>
          <w:rFonts w:eastAsiaTheme="minorHAnsi" w:cstheme="minorBidi"/>
          <w:sz w:val="22"/>
          <w:szCs w:val="22"/>
          <w:lang w:eastAsia="en-US"/>
        </w:rPr>
        <w:t>ность перехода на механизированную технологию уборки виногр</w:t>
      </w:r>
      <w:r w:rsidRPr="00724342">
        <w:rPr>
          <w:rFonts w:eastAsiaTheme="minorHAnsi" w:cstheme="minorBidi"/>
          <w:sz w:val="22"/>
          <w:szCs w:val="22"/>
          <w:lang w:eastAsia="en-US"/>
        </w:rPr>
        <w:t>а</w:t>
      </w:r>
      <w:r w:rsidRPr="00724342">
        <w:rPr>
          <w:rFonts w:eastAsiaTheme="minorHAnsi" w:cstheme="minorBidi"/>
          <w:sz w:val="22"/>
          <w:szCs w:val="22"/>
          <w:lang w:eastAsia="en-US"/>
        </w:rPr>
        <w:t>да. Выполненные авторами расчеты показывают, что переход на механизированную технологию уборки винограда технических со</w:t>
      </w:r>
      <w:r w:rsidRPr="00724342">
        <w:rPr>
          <w:rFonts w:eastAsiaTheme="minorHAnsi" w:cstheme="minorBidi"/>
          <w:sz w:val="22"/>
          <w:szCs w:val="22"/>
          <w:lang w:eastAsia="en-US"/>
        </w:rPr>
        <w:t>р</w:t>
      </w:r>
      <w:r w:rsidRPr="00724342">
        <w:rPr>
          <w:rFonts w:eastAsiaTheme="minorHAnsi" w:cstheme="minorBidi"/>
          <w:sz w:val="22"/>
          <w:szCs w:val="22"/>
          <w:lang w:eastAsia="en-US"/>
        </w:rPr>
        <w:t>тов позволит снизить себестоимость производимой продукции б</w:t>
      </w:r>
      <w:r w:rsidRPr="00724342">
        <w:rPr>
          <w:rFonts w:eastAsiaTheme="minorHAnsi" w:cstheme="minorBidi"/>
          <w:sz w:val="22"/>
          <w:szCs w:val="22"/>
          <w:lang w:eastAsia="en-US"/>
        </w:rPr>
        <w:t>о</w:t>
      </w:r>
      <w:r w:rsidRPr="00724342">
        <w:rPr>
          <w:rFonts w:eastAsiaTheme="minorHAnsi" w:cstheme="minorBidi"/>
          <w:sz w:val="22"/>
          <w:szCs w:val="22"/>
          <w:lang w:eastAsia="en-US"/>
        </w:rPr>
        <w:t>лее чем на 20%, что обеспечит при нормативной нагрузке комбайна получение годового экономического эффекта в размере 6,7 млн руб. Исследованиями установлено, что инвестиции в приобретение в</w:t>
      </w:r>
      <w:r w:rsidRPr="00724342">
        <w:rPr>
          <w:rFonts w:eastAsiaTheme="minorHAnsi" w:cstheme="minorBidi"/>
          <w:sz w:val="22"/>
          <w:szCs w:val="22"/>
          <w:lang w:eastAsia="en-US"/>
        </w:rPr>
        <w:t>и</w:t>
      </w:r>
      <w:r w:rsidRPr="00724342">
        <w:rPr>
          <w:rFonts w:eastAsiaTheme="minorHAnsi" w:cstheme="minorBidi"/>
          <w:sz w:val="22"/>
          <w:szCs w:val="22"/>
          <w:lang w:eastAsia="en-US"/>
        </w:rPr>
        <w:t>ноградоуборочной техники становятся экономически обоснова</w:t>
      </w:r>
      <w:r w:rsidRPr="00724342">
        <w:rPr>
          <w:rFonts w:eastAsiaTheme="minorHAnsi" w:cstheme="minorBidi"/>
          <w:sz w:val="22"/>
          <w:szCs w:val="22"/>
          <w:lang w:eastAsia="en-US"/>
        </w:rPr>
        <w:t>н</w:t>
      </w:r>
      <w:r w:rsidRPr="00724342">
        <w:rPr>
          <w:rFonts w:eastAsiaTheme="minorHAnsi" w:cstheme="minorBidi"/>
          <w:sz w:val="22"/>
          <w:szCs w:val="22"/>
          <w:lang w:eastAsia="en-US"/>
        </w:rPr>
        <w:lastRenderedPageBreak/>
        <w:t xml:space="preserve">ными при площади виноградников технических сортов не менее 200 га. [1,2]. </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Однако считаем, что проведенные расчет нуждаются в актуал</w:t>
      </w:r>
      <w:r w:rsidRPr="00724342">
        <w:rPr>
          <w:rFonts w:eastAsiaTheme="minorHAnsi" w:cstheme="minorBidi"/>
          <w:sz w:val="22"/>
          <w:szCs w:val="22"/>
          <w:lang w:eastAsia="en-US"/>
        </w:rPr>
        <w:t>и</w:t>
      </w:r>
      <w:r w:rsidRPr="00724342">
        <w:rPr>
          <w:rFonts w:eastAsiaTheme="minorHAnsi" w:cstheme="minorBidi"/>
          <w:sz w:val="22"/>
          <w:szCs w:val="22"/>
          <w:lang w:eastAsia="en-US"/>
        </w:rPr>
        <w:t>зации в связи с кризисными явлениями в экономике страны, ск</w:t>
      </w:r>
      <w:r w:rsidRPr="00724342">
        <w:rPr>
          <w:rFonts w:eastAsiaTheme="minorHAnsi" w:cstheme="minorBidi"/>
          <w:sz w:val="22"/>
          <w:szCs w:val="22"/>
          <w:lang w:eastAsia="en-US"/>
        </w:rPr>
        <w:t>а</w:t>
      </w:r>
      <w:r w:rsidRPr="00724342">
        <w:rPr>
          <w:rFonts w:eastAsiaTheme="minorHAnsi" w:cstheme="minorBidi"/>
          <w:sz w:val="22"/>
          <w:szCs w:val="22"/>
          <w:lang w:eastAsia="en-US"/>
        </w:rPr>
        <w:t>завшимися на финансовом состоянии производителей подотрасли.</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Так, из-за роста стоимости иностранных валют на внутреннем рынке значительно выросли цен</w:t>
      </w:r>
      <w:r w:rsidRPr="00724342">
        <w:rPr>
          <w:rFonts w:eastAsiaTheme="minorHAnsi" w:cstheme="minorBidi"/>
          <w:sz w:val="22"/>
          <w:szCs w:val="22"/>
          <w:lang w:val="en-US" w:eastAsia="en-US"/>
        </w:rPr>
        <w:t>s</w:t>
      </w:r>
      <w:r w:rsidRPr="00724342">
        <w:rPr>
          <w:rFonts w:eastAsiaTheme="minorHAnsi" w:cstheme="minorBidi"/>
          <w:sz w:val="22"/>
          <w:szCs w:val="22"/>
          <w:lang w:eastAsia="en-US"/>
        </w:rPr>
        <w:t xml:space="preserve"> на сельскохозяйственную техн</w:t>
      </w:r>
      <w:r w:rsidRPr="00724342">
        <w:rPr>
          <w:rFonts w:eastAsiaTheme="minorHAnsi" w:cstheme="minorBidi"/>
          <w:sz w:val="22"/>
          <w:szCs w:val="22"/>
          <w:lang w:eastAsia="en-US"/>
        </w:rPr>
        <w:t>и</w:t>
      </w:r>
      <w:r w:rsidRPr="00724342">
        <w:rPr>
          <w:rFonts w:eastAsiaTheme="minorHAnsi" w:cstheme="minorBidi"/>
          <w:sz w:val="22"/>
          <w:szCs w:val="22"/>
          <w:lang w:eastAsia="en-US"/>
        </w:rPr>
        <w:t>ку. Средняя стоимость виноградоуборочного комбайна в настоящий момент составляет 14 млн руб., против 9 млн руб., заложенных при расчете потребности в инвестициях в исследовании.</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Требует перерасчета ожидаемый экономический эффект от внедрения механизированной уборки винограда технических со</w:t>
      </w:r>
      <w:r w:rsidRPr="00724342">
        <w:rPr>
          <w:rFonts w:eastAsiaTheme="minorHAnsi" w:cstheme="minorBidi"/>
          <w:sz w:val="22"/>
          <w:szCs w:val="22"/>
          <w:lang w:eastAsia="en-US"/>
        </w:rPr>
        <w:t>р</w:t>
      </w:r>
      <w:r w:rsidRPr="00724342">
        <w:rPr>
          <w:rFonts w:eastAsiaTheme="minorHAnsi" w:cstheme="minorBidi"/>
          <w:sz w:val="22"/>
          <w:szCs w:val="22"/>
          <w:lang w:eastAsia="en-US"/>
        </w:rPr>
        <w:t>тов, так как по состоянию на начало 2018 год</w:t>
      </w:r>
      <w:r w:rsidRPr="00724342">
        <w:rPr>
          <w:rFonts w:eastAsiaTheme="minorHAnsi" w:cstheme="minorBidi"/>
          <w:sz w:val="22"/>
          <w:szCs w:val="22"/>
          <w:lang w:val="en-US" w:eastAsia="en-US"/>
        </w:rPr>
        <w:t>f</w:t>
      </w:r>
      <w:r w:rsidRPr="00724342">
        <w:rPr>
          <w:rFonts w:eastAsiaTheme="minorHAnsi" w:cstheme="minorBidi"/>
          <w:sz w:val="22"/>
          <w:szCs w:val="22"/>
          <w:lang w:eastAsia="en-US"/>
        </w:rPr>
        <w:t xml:space="preserve"> значительно вырос минимальный размер оплаты труда, а следовательно, и затраты на оплату труда при уборке урожая в хозяйствах.</w:t>
      </w:r>
    </w:p>
    <w:p w:rsidR="00724342" w:rsidRPr="00724342" w:rsidRDefault="00724342" w:rsidP="0041627D">
      <w:pPr>
        <w:ind w:firstLine="426"/>
        <w:jc w:val="both"/>
        <w:rPr>
          <w:rFonts w:eastAsiaTheme="minorHAnsi" w:cstheme="minorBidi"/>
          <w:sz w:val="22"/>
          <w:szCs w:val="22"/>
          <w:lang w:eastAsia="en-US"/>
        </w:rPr>
      </w:pPr>
      <w:r w:rsidRPr="00724342">
        <w:rPr>
          <w:rFonts w:eastAsiaTheme="minorHAnsi" w:cstheme="minorBidi"/>
          <w:sz w:val="22"/>
          <w:szCs w:val="22"/>
          <w:lang w:eastAsia="en-US"/>
        </w:rPr>
        <w:t>В условиях высокой стоимости виноградоуборочной техники, ограниченности производителей в собственных свободных дене</w:t>
      </w:r>
      <w:r w:rsidRPr="00724342">
        <w:rPr>
          <w:rFonts w:eastAsiaTheme="minorHAnsi" w:cstheme="minorBidi"/>
          <w:sz w:val="22"/>
          <w:szCs w:val="22"/>
          <w:lang w:eastAsia="en-US"/>
        </w:rPr>
        <w:t>ж</w:t>
      </w:r>
      <w:r w:rsidRPr="00724342">
        <w:rPr>
          <w:rFonts w:eastAsiaTheme="minorHAnsi" w:cstheme="minorBidi"/>
          <w:sz w:val="22"/>
          <w:szCs w:val="22"/>
          <w:lang w:eastAsia="en-US"/>
        </w:rPr>
        <w:t>ных средствах на ее закупку, нестабильном их финансовом состо</w:t>
      </w:r>
      <w:r w:rsidRPr="00724342">
        <w:rPr>
          <w:rFonts w:eastAsiaTheme="minorHAnsi" w:cstheme="minorBidi"/>
          <w:sz w:val="22"/>
          <w:szCs w:val="22"/>
          <w:lang w:eastAsia="en-US"/>
        </w:rPr>
        <w:t>я</w:t>
      </w:r>
      <w:r w:rsidRPr="00724342">
        <w:rPr>
          <w:rFonts w:eastAsiaTheme="minorHAnsi" w:cstheme="minorBidi"/>
          <w:sz w:val="22"/>
          <w:szCs w:val="22"/>
          <w:lang w:eastAsia="en-US"/>
        </w:rPr>
        <w:t>нии актуальными становится исследования эффективности привл</w:t>
      </w:r>
      <w:r w:rsidRPr="00724342">
        <w:rPr>
          <w:rFonts w:eastAsiaTheme="minorHAnsi" w:cstheme="minorBidi"/>
          <w:sz w:val="22"/>
          <w:szCs w:val="22"/>
          <w:lang w:eastAsia="en-US"/>
        </w:rPr>
        <w:t>е</w:t>
      </w:r>
      <w:r w:rsidRPr="00724342">
        <w:rPr>
          <w:rFonts w:eastAsiaTheme="minorHAnsi" w:cstheme="minorBidi"/>
          <w:sz w:val="22"/>
          <w:szCs w:val="22"/>
          <w:lang w:eastAsia="en-US"/>
        </w:rPr>
        <w:t>чение инвестиций из альтернативных источников, например, оформление техники в лизинг, внедрения инновационных орган</w:t>
      </w:r>
      <w:r w:rsidRPr="00724342">
        <w:rPr>
          <w:rFonts w:eastAsiaTheme="minorHAnsi" w:cstheme="minorBidi"/>
          <w:sz w:val="22"/>
          <w:szCs w:val="22"/>
          <w:lang w:eastAsia="en-US"/>
        </w:rPr>
        <w:t>и</w:t>
      </w:r>
      <w:r w:rsidRPr="00724342">
        <w:rPr>
          <w:rFonts w:eastAsiaTheme="minorHAnsi" w:cstheme="minorBidi"/>
          <w:sz w:val="22"/>
          <w:szCs w:val="22"/>
          <w:lang w:eastAsia="en-US"/>
        </w:rPr>
        <w:t>зационных решений привлечения техники – аутсорсинг и аренда виноградоуборочной техники и т. д.</w:t>
      </w:r>
    </w:p>
    <w:p w:rsidR="00724342" w:rsidRPr="00724342" w:rsidRDefault="00724342" w:rsidP="0041627D">
      <w:pPr>
        <w:ind w:firstLine="426"/>
        <w:jc w:val="both"/>
        <w:rPr>
          <w:rFonts w:eastAsiaTheme="minorHAnsi" w:cstheme="minorBidi"/>
          <w:sz w:val="22"/>
          <w:szCs w:val="22"/>
          <w:lang w:eastAsia="en-US"/>
        </w:rPr>
      </w:pPr>
    </w:p>
    <w:p w:rsidR="00724342" w:rsidRPr="00724342" w:rsidRDefault="00724342" w:rsidP="0041627D">
      <w:pPr>
        <w:ind w:firstLine="426"/>
        <w:jc w:val="center"/>
        <w:rPr>
          <w:rFonts w:eastAsiaTheme="minorHAnsi" w:cstheme="minorBidi"/>
          <w:sz w:val="22"/>
          <w:szCs w:val="22"/>
          <w:lang w:eastAsia="en-US"/>
        </w:rPr>
      </w:pPr>
      <w:r w:rsidRPr="00724342">
        <w:rPr>
          <w:rFonts w:eastAsiaTheme="minorHAnsi" w:cstheme="minorBidi"/>
          <w:sz w:val="22"/>
          <w:szCs w:val="22"/>
          <w:lang w:eastAsia="en-US"/>
        </w:rPr>
        <w:t>Список литературы</w:t>
      </w:r>
    </w:p>
    <w:p w:rsidR="00724342" w:rsidRPr="00724342" w:rsidRDefault="00724342" w:rsidP="0041627D">
      <w:pPr>
        <w:numPr>
          <w:ilvl w:val="0"/>
          <w:numId w:val="77"/>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Бершицкий, Ю. И. </w:t>
      </w:r>
      <w:r w:rsidRPr="00724342">
        <w:rPr>
          <w:rFonts w:eastAsiaTheme="minorHAnsi" w:cstheme="minorBidi"/>
          <w:bCs/>
          <w:color w:val="000000"/>
          <w:sz w:val="22"/>
          <w:szCs w:val="22"/>
          <w:lang w:eastAsia="en-US"/>
        </w:rPr>
        <w:t>Механизация технологических процессов уборки винограда как фактор повышения экономической эффе</w:t>
      </w:r>
      <w:r w:rsidRPr="00724342">
        <w:rPr>
          <w:rFonts w:eastAsiaTheme="minorHAnsi" w:cstheme="minorBidi"/>
          <w:bCs/>
          <w:color w:val="000000"/>
          <w:sz w:val="22"/>
          <w:szCs w:val="22"/>
          <w:lang w:eastAsia="en-US"/>
        </w:rPr>
        <w:t>к</w:t>
      </w:r>
      <w:r w:rsidRPr="00724342">
        <w:rPr>
          <w:rFonts w:eastAsiaTheme="minorHAnsi" w:cstheme="minorBidi"/>
          <w:bCs/>
          <w:color w:val="000000"/>
          <w:sz w:val="22"/>
          <w:szCs w:val="22"/>
          <w:lang w:eastAsia="en-US"/>
        </w:rPr>
        <w:t>тивности функционирования отрасли / Ю. И. Бершицкий, О. А. С</w:t>
      </w:r>
      <w:r w:rsidRPr="00724342">
        <w:rPr>
          <w:rFonts w:eastAsiaTheme="minorHAnsi" w:cstheme="minorBidi"/>
          <w:bCs/>
          <w:color w:val="000000"/>
          <w:sz w:val="22"/>
          <w:szCs w:val="22"/>
          <w:lang w:eastAsia="en-US"/>
        </w:rPr>
        <w:t>у</w:t>
      </w:r>
      <w:r w:rsidRPr="00724342">
        <w:rPr>
          <w:rFonts w:eastAsiaTheme="minorHAnsi" w:cstheme="minorBidi"/>
          <w:bCs/>
          <w:color w:val="000000"/>
          <w:sz w:val="22"/>
          <w:szCs w:val="22"/>
          <w:lang w:eastAsia="en-US"/>
        </w:rPr>
        <w:t>харева // Труды Кубанского государственного аграрного универс</w:t>
      </w:r>
      <w:r w:rsidRPr="00724342">
        <w:rPr>
          <w:rFonts w:eastAsiaTheme="minorHAnsi" w:cstheme="minorBidi"/>
          <w:bCs/>
          <w:color w:val="000000"/>
          <w:sz w:val="22"/>
          <w:szCs w:val="22"/>
          <w:lang w:eastAsia="en-US"/>
        </w:rPr>
        <w:t>и</w:t>
      </w:r>
      <w:r w:rsidRPr="00724342">
        <w:rPr>
          <w:rFonts w:eastAsiaTheme="minorHAnsi" w:cstheme="minorBidi"/>
          <w:bCs/>
          <w:color w:val="000000"/>
          <w:sz w:val="22"/>
          <w:szCs w:val="22"/>
          <w:lang w:eastAsia="en-US"/>
        </w:rPr>
        <w:t>тета. – 2013. – №41. – С. 19–21.</w:t>
      </w:r>
    </w:p>
    <w:p w:rsidR="00724342" w:rsidRPr="00724342" w:rsidRDefault="00724342" w:rsidP="0041627D">
      <w:pPr>
        <w:numPr>
          <w:ilvl w:val="0"/>
          <w:numId w:val="77"/>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Бершицкий, Ю. И. Экономическое обоснование направл</w:t>
      </w:r>
      <w:r w:rsidRPr="00724342">
        <w:rPr>
          <w:rFonts w:eastAsiaTheme="minorHAnsi" w:cstheme="minorBidi"/>
          <w:sz w:val="22"/>
          <w:szCs w:val="22"/>
          <w:lang w:eastAsia="en-US"/>
        </w:rPr>
        <w:t>е</w:t>
      </w:r>
      <w:r w:rsidRPr="00724342">
        <w:rPr>
          <w:rFonts w:eastAsiaTheme="minorHAnsi" w:cstheme="minorBidi"/>
          <w:sz w:val="22"/>
          <w:szCs w:val="22"/>
          <w:lang w:eastAsia="en-US"/>
        </w:rPr>
        <w:t>ний развития виноградарства Краснодарского края / Ю. И. Берши</w:t>
      </w:r>
      <w:r w:rsidRPr="00724342">
        <w:rPr>
          <w:rFonts w:eastAsiaTheme="minorHAnsi" w:cstheme="minorBidi"/>
          <w:sz w:val="22"/>
          <w:szCs w:val="22"/>
          <w:lang w:eastAsia="en-US"/>
        </w:rPr>
        <w:t>ц</w:t>
      </w:r>
      <w:r w:rsidRPr="00724342">
        <w:rPr>
          <w:rFonts w:eastAsiaTheme="minorHAnsi" w:cstheme="minorBidi"/>
          <w:sz w:val="22"/>
          <w:szCs w:val="22"/>
          <w:lang w:eastAsia="en-US"/>
        </w:rPr>
        <w:t>кий, О. А. Сухарева, П. В. Михайлушкин. – Краснодар, 2015. – 166 с.</w:t>
      </w:r>
    </w:p>
    <w:p w:rsidR="00724342" w:rsidRPr="00724342" w:rsidRDefault="00724342" w:rsidP="0041627D">
      <w:pPr>
        <w:numPr>
          <w:ilvl w:val="0"/>
          <w:numId w:val="77"/>
        </w:numPr>
        <w:ind w:left="0"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Сухарева О. А. </w:t>
      </w:r>
      <w:r w:rsidRPr="00724342">
        <w:rPr>
          <w:rFonts w:eastAsiaTheme="minorHAnsi" w:cstheme="minorBidi"/>
          <w:bCs/>
          <w:color w:val="000000"/>
          <w:sz w:val="22"/>
          <w:szCs w:val="22"/>
          <w:lang w:eastAsia="en-US"/>
        </w:rPr>
        <w:t>Экономическая эффективность механизации технологических процессов при возделывании многолетних наса</w:t>
      </w:r>
      <w:r w:rsidRPr="00724342">
        <w:rPr>
          <w:rFonts w:eastAsiaTheme="minorHAnsi" w:cstheme="minorBidi"/>
          <w:bCs/>
          <w:color w:val="000000"/>
          <w:sz w:val="22"/>
          <w:szCs w:val="22"/>
          <w:lang w:eastAsia="en-US"/>
        </w:rPr>
        <w:t>ж</w:t>
      </w:r>
      <w:r w:rsidRPr="00724342">
        <w:rPr>
          <w:rFonts w:eastAsiaTheme="minorHAnsi" w:cstheme="minorBidi"/>
          <w:bCs/>
          <w:color w:val="000000"/>
          <w:sz w:val="22"/>
          <w:szCs w:val="22"/>
          <w:lang w:eastAsia="en-US"/>
        </w:rPr>
        <w:t>дений</w:t>
      </w:r>
      <w:r w:rsidRPr="00724342">
        <w:rPr>
          <w:rFonts w:eastAsiaTheme="minorHAnsi" w:cstheme="minorBidi"/>
          <w:b/>
          <w:bCs/>
          <w:color w:val="000000"/>
          <w:sz w:val="22"/>
          <w:szCs w:val="22"/>
          <w:lang w:eastAsia="en-US"/>
        </w:rPr>
        <w:t xml:space="preserve"> // </w:t>
      </w:r>
      <w:r w:rsidRPr="00724342">
        <w:rPr>
          <w:rFonts w:eastAsiaTheme="minorHAnsi" w:cstheme="minorBidi"/>
          <w:bCs/>
          <w:color w:val="000000"/>
          <w:sz w:val="22"/>
          <w:szCs w:val="22"/>
          <w:lang w:eastAsia="en-US"/>
        </w:rPr>
        <w:t>О. А. Сухарева</w:t>
      </w:r>
      <w:r w:rsidRPr="00724342">
        <w:rPr>
          <w:rFonts w:eastAsiaTheme="minorHAnsi" w:cstheme="minorBidi"/>
          <w:b/>
          <w:bCs/>
          <w:color w:val="000000"/>
          <w:sz w:val="22"/>
          <w:szCs w:val="22"/>
          <w:lang w:eastAsia="en-US"/>
        </w:rPr>
        <w:t xml:space="preserve"> // </w:t>
      </w:r>
      <w:r w:rsidRPr="00724342">
        <w:rPr>
          <w:rFonts w:cstheme="minorBidi"/>
          <w:sz w:val="22"/>
          <w:szCs w:val="22"/>
        </w:rPr>
        <w:t>Научное обеспечение агропромышленн</w:t>
      </w:r>
      <w:r w:rsidRPr="00724342">
        <w:rPr>
          <w:rFonts w:cstheme="minorBidi"/>
          <w:sz w:val="22"/>
          <w:szCs w:val="22"/>
        </w:rPr>
        <w:t>о</w:t>
      </w:r>
      <w:r w:rsidRPr="00724342">
        <w:rPr>
          <w:rFonts w:cstheme="minorBidi"/>
          <w:sz w:val="22"/>
          <w:szCs w:val="22"/>
        </w:rPr>
        <w:t>го комплекса. Сб. ст.по материалам 72-й научно-практической ко</w:t>
      </w:r>
      <w:r w:rsidRPr="00724342">
        <w:rPr>
          <w:rFonts w:cstheme="minorBidi"/>
          <w:sz w:val="22"/>
          <w:szCs w:val="22"/>
        </w:rPr>
        <w:t>н</w:t>
      </w:r>
      <w:r w:rsidRPr="00724342">
        <w:rPr>
          <w:rFonts w:cstheme="minorBidi"/>
          <w:sz w:val="22"/>
          <w:szCs w:val="22"/>
        </w:rPr>
        <w:lastRenderedPageBreak/>
        <w:t>ференции преподавателей по итогам НИР за 2016 г. – 2017. – С. 607–608.</w:t>
      </w:r>
    </w:p>
    <w:p w:rsidR="00724342" w:rsidRPr="00724342" w:rsidRDefault="00724342" w:rsidP="00724342">
      <w:pPr>
        <w:jc w:val="both"/>
        <w:rPr>
          <w:rFonts w:eastAsiaTheme="minorHAnsi"/>
          <w:spacing w:val="-2"/>
          <w:sz w:val="20"/>
          <w:szCs w:val="22"/>
          <w:lang w:eastAsia="en-US"/>
        </w:rPr>
      </w:pPr>
    </w:p>
    <w:p w:rsidR="00724342" w:rsidRDefault="00724342" w:rsidP="00724342">
      <w:pPr>
        <w:jc w:val="both"/>
        <w:rPr>
          <w:rFonts w:eastAsiaTheme="minorHAnsi"/>
          <w:spacing w:val="-2"/>
          <w:sz w:val="20"/>
          <w:szCs w:val="22"/>
          <w:lang w:eastAsia="en-US"/>
        </w:rPr>
      </w:pPr>
    </w:p>
    <w:p w:rsidR="002A1EE0" w:rsidRPr="00724342" w:rsidRDefault="002A1EE0" w:rsidP="00724342">
      <w:pPr>
        <w:jc w:val="both"/>
        <w:rPr>
          <w:rFonts w:eastAsiaTheme="minorHAnsi"/>
          <w:spacing w:val="-2"/>
          <w:sz w:val="20"/>
          <w:szCs w:val="22"/>
          <w:lang w:eastAsia="en-US"/>
        </w:rPr>
      </w:pPr>
    </w:p>
    <w:p w:rsidR="00724342" w:rsidRPr="00724342" w:rsidRDefault="00724342" w:rsidP="00724342">
      <w:pPr>
        <w:jc w:val="both"/>
        <w:rPr>
          <w:rFonts w:eastAsia="Calibri"/>
          <w:sz w:val="22"/>
          <w:szCs w:val="22"/>
          <w:lang w:eastAsia="en-US"/>
        </w:rPr>
      </w:pPr>
      <w:r w:rsidRPr="00724342">
        <w:rPr>
          <w:rFonts w:eastAsia="Calibri"/>
          <w:sz w:val="22"/>
          <w:szCs w:val="22"/>
          <w:lang w:eastAsia="en-US"/>
        </w:rPr>
        <w:t>УДК 634.1: 631.5: 330.3</w:t>
      </w:r>
    </w:p>
    <w:p w:rsidR="00724342" w:rsidRPr="00724342" w:rsidRDefault="00724342" w:rsidP="00724342">
      <w:pPr>
        <w:jc w:val="both"/>
        <w:rPr>
          <w:rFonts w:eastAsia="Calibri"/>
          <w:sz w:val="22"/>
          <w:szCs w:val="22"/>
          <w:lang w:eastAsia="en-US"/>
        </w:rPr>
      </w:pP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Перспективные направления повышения экономической эффективности возделывания многолетних насаждений в Краснодарском крае</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val="en" w:eastAsia="en-US"/>
        </w:rPr>
        <w:t>Perspective directions of increasing the economic efficiency of cultivating of gardens in the Krasnodar region</w:t>
      </w:r>
    </w:p>
    <w:p w:rsidR="00724342" w:rsidRPr="00724342" w:rsidRDefault="00724342" w:rsidP="00724342">
      <w:pPr>
        <w:rPr>
          <w:rFonts w:eastAsia="Calibri"/>
          <w:b/>
          <w:sz w:val="24"/>
          <w:szCs w:val="24"/>
          <w:lang w:val="en-US"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Задорожный Н. Ю.</w:t>
      </w:r>
      <w:r w:rsidR="006E4146">
        <w:rPr>
          <w:rFonts w:eastAsia="Calibri"/>
          <w:sz w:val="22"/>
          <w:szCs w:val="22"/>
          <w:lang w:eastAsia="en-US"/>
        </w:rPr>
        <w:t>,</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 3-го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w:t>
      </w:r>
      <w:r w:rsidR="006E4146">
        <w:rPr>
          <w:rFonts w:eastAsia="Courier New"/>
          <w:color w:val="000000"/>
          <w:sz w:val="22"/>
          <w:szCs w:val="22"/>
          <w:lang w:eastAsia="en-US"/>
        </w:rPr>
        <w:t xml:space="preserve"> </w:t>
      </w:r>
      <w:r w:rsidRPr="00724342">
        <w:rPr>
          <w:rFonts w:eastAsia="Courier New"/>
          <w:color w:val="000000"/>
          <w:sz w:val="22"/>
          <w:szCs w:val="22"/>
          <w:lang w:eastAsia="en-US"/>
        </w:rPr>
        <w:t>Т. Трубилина</w:t>
      </w:r>
    </w:p>
    <w:p w:rsidR="00724342" w:rsidRPr="00724342" w:rsidRDefault="00724342" w:rsidP="00724342">
      <w:pPr>
        <w:widowControl w:val="0"/>
        <w:tabs>
          <w:tab w:val="left" w:pos="8223"/>
        </w:tabs>
        <w:jc w:val="right"/>
        <w:rPr>
          <w:rFonts w:eastAsia="Courier New"/>
          <w:color w:val="000000"/>
          <w:sz w:val="22"/>
          <w:szCs w:val="22"/>
          <w:lang w:eastAsia="en-US"/>
        </w:rPr>
      </w:pPr>
    </w:p>
    <w:p w:rsidR="00724342" w:rsidRPr="00724342" w:rsidRDefault="00724342" w:rsidP="00C609D1">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АННОТАЦИЯ: Систематизированы факторы эффективности производства в подотрасли плодоводства. Представлены перспе</w:t>
      </w:r>
      <w:r w:rsidRPr="00724342">
        <w:rPr>
          <w:rFonts w:eastAsia="Courier New"/>
          <w:color w:val="000000"/>
          <w:sz w:val="22"/>
          <w:szCs w:val="22"/>
          <w:lang w:eastAsia="en-US"/>
        </w:rPr>
        <w:t>к</w:t>
      </w:r>
      <w:r w:rsidRPr="00724342">
        <w:rPr>
          <w:rFonts w:eastAsia="Courier New"/>
          <w:color w:val="000000"/>
          <w:sz w:val="22"/>
          <w:szCs w:val="22"/>
          <w:lang w:eastAsia="en-US"/>
        </w:rPr>
        <w:t>тивные направления интенсификации производственных процессов при возделывании многолетних насаждений.</w:t>
      </w:r>
    </w:p>
    <w:p w:rsidR="00724342" w:rsidRPr="00724342" w:rsidRDefault="00724342" w:rsidP="00C609D1">
      <w:pPr>
        <w:widowControl w:val="0"/>
        <w:tabs>
          <w:tab w:val="left" w:pos="8223"/>
        </w:tabs>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 xml:space="preserve">ABSTRACT: </w:t>
      </w:r>
      <w:r w:rsidRPr="00724342">
        <w:rPr>
          <w:rFonts w:eastAsia="Calibri"/>
          <w:sz w:val="22"/>
          <w:szCs w:val="22"/>
          <w:lang w:val="en" w:eastAsia="en-US"/>
        </w:rPr>
        <w:t>Factors of production efficiency in the sub-sector of fruit growing are systematized. Perspective directions of intensification of production processes in the cultivation of perennial plantations are presented.</w:t>
      </w:r>
    </w:p>
    <w:p w:rsidR="00724342" w:rsidRPr="00724342" w:rsidRDefault="00724342" w:rsidP="00C609D1">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КЛЮЧЕВЫЕ СЛОВА: плодоводство, интенсификация, инн</w:t>
      </w:r>
      <w:r w:rsidRPr="00724342">
        <w:rPr>
          <w:rFonts w:eastAsia="Courier New"/>
          <w:color w:val="000000"/>
          <w:sz w:val="22"/>
          <w:szCs w:val="22"/>
          <w:lang w:eastAsia="en-US"/>
        </w:rPr>
        <w:t>о</w:t>
      </w:r>
      <w:r w:rsidRPr="00724342">
        <w:rPr>
          <w:rFonts w:eastAsia="Courier New"/>
          <w:color w:val="000000"/>
          <w:sz w:val="22"/>
          <w:szCs w:val="22"/>
          <w:lang w:eastAsia="en-US"/>
        </w:rPr>
        <w:t>вации, экономическая эффективность.</w:t>
      </w:r>
    </w:p>
    <w:p w:rsidR="00724342" w:rsidRPr="00724342" w:rsidRDefault="00724342" w:rsidP="00C609D1">
      <w:pPr>
        <w:widowControl w:val="0"/>
        <w:tabs>
          <w:tab w:val="left" w:pos="8223"/>
        </w:tabs>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KEYWORDS: f</w:t>
      </w:r>
      <w:r w:rsidRPr="00724342">
        <w:rPr>
          <w:rFonts w:eastAsia="Calibri"/>
          <w:sz w:val="22"/>
          <w:szCs w:val="22"/>
          <w:lang w:val="en" w:eastAsia="en-US"/>
        </w:rPr>
        <w:t>ruit growing, intensification, innovation, economic efficiency</w:t>
      </w:r>
    </w:p>
    <w:p w:rsidR="00724342" w:rsidRPr="00724342" w:rsidRDefault="00724342" w:rsidP="00C609D1">
      <w:pPr>
        <w:widowControl w:val="0"/>
        <w:tabs>
          <w:tab w:val="left" w:pos="8223"/>
        </w:tabs>
        <w:ind w:firstLine="426"/>
        <w:jc w:val="both"/>
        <w:rPr>
          <w:rFonts w:eastAsia="Courier New"/>
          <w:color w:val="000000"/>
          <w:sz w:val="22"/>
          <w:szCs w:val="22"/>
          <w:lang w:val="en-US" w:eastAsia="en-US"/>
        </w:rPr>
      </w:pPr>
    </w:p>
    <w:p w:rsidR="00724342" w:rsidRPr="00724342" w:rsidRDefault="00724342" w:rsidP="00C609D1">
      <w:pPr>
        <w:autoSpaceDE w:val="0"/>
        <w:autoSpaceDN w:val="0"/>
        <w:adjustRightInd w:val="0"/>
        <w:ind w:firstLine="426"/>
        <w:jc w:val="both"/>
        <w:rPr>
          <w:rFonts w:eastAsia="Calibri"/>
          <w:sz w:val="22"/>
          <w:szCs w:val="22"/>
          <w:lang w:eastAsia="en-US"/>
        </w:rPr>
      </w:pPr>
      <w:r w:rsidRPr="00724342">
        <w:rPr>
          <w:rFonts w:eastAsia="Calibri"/>
          <w:sz w:val="22"/>
          <w:szCs w:val="22"/>
          <w:lang w:eastAsia="en-US"/>
        </w:rPr>
        <w:t>Подотрасль плодоводства занимает особое место среди раст</w:t>
      </w:r>
      <w:r w:rsidRPr="00724342">
        <w:rPr>
          <w:rFonts w:eastAsia="Calibri"/>
          <w:sz w:val="22"/>
          <w:szCs w:val="22"/>
          <w:lang w:eastAsia="en-US"/>
        </w:rPr>
        <w:t>е</w:t>
      </w:r>
      <w:r w:rsidRPr="00724342">
        <w:rPr>
          <w:rFonts w:eastAsia="Calibri"/>
          <w:sz w:val="22"/>
          <w:szCs w:val="22"/>
          <w:lang w:eastAsia="en-US"/>
        </w:rPr>
        <w:t>ниеводческих отраслей  Краснодарского края. Производимая ею продукция обладает большим потребительским спросом, обеспеч</w:t>
      </w:r>
      <w:r w:rsidRPr="00724342">
        <w:rPr>
          <w:rFonts w:eastAsia="Calibri"/>
          <w:sz w:val="22"/>
          <w:szCs w:val="22"/>
          <w:lang w:eastAsia="en-US"/>
        </w:rPr>
        <w:t>и</w:t>
      </w:r>
      <w:r w:rsidRPr="00724342">
        <w:rPr>
          <w:rFonts w:eastAsia="Calibri"/>
          <w:sz w:val="22"/>
          <w:szCs w:val="22"/>
          <w:lang w:eastAsia="en-US"/>
        </w:rPr>
        <w:t>вает значительные поступления в федеральный и местный бюдж</w:t>
      </w:r>
      <w:r w:rsidRPr="00724342">
        <w:rPr>
          <w:rFonts w:eastAsia="Calibri"/>
          <w:sz w:val="22"/>
          <w:szCs w:val="22"/>
          <w:lang w:eastAsia="en-US"/>
        </w:rPr>
        <w:t>е</w:t>
      </w:r>
      <w:r w:rsidRPr="00724342">
        <w:rPr>
          <w:rFonts w:eastAsia="Calibri"/>
          <w:sz w:val="22"/>
          <w:szCs w:val="22"/>
          <w:lang w:eastAsia="en-US"/>
        </w:rPr>
        <w:t>ты. На долю региона приходится более 50% площади отечестве</w:t>
      </w:r>
      <w:r w:rsidRPr="00724342">
        <w:rPr>
          <w:rFonts w:eastAsia="Calibri"/>
          <w:sz w:val="22"/>
          <w:szCs w:val="22"/>
          <w:lang w:eastAsia="en-US"/>
        </w:rPr>
        <w:t>н</w:t>
      </w:r>
      <w:r w:rsidRPr="00724342">
        <w:rPr>
          <w:rFonts w:eastAsia="Calibri"/>
          <w:sz w:val="22"/>
          <w:szCs w:val="22"/>
          <w:lang w:eastAsia="en-US"/>
        </w:rPr>
        <w:t xml:space="preserve">ных садов. </w:t>
      </w:r>
    </w:p>
    <w:p w:rsidR="00724342" w:rsidRPr="00724342" w:rsidRDefault="00724342" w:rsidP="00C609D1">
      <w:pPr>
        <w:autoSpaceDE w:val="0"/>
        <w:autoSpaceDN w:val="0"/>
        <w:adjustRightInd w:val="0"/>
        <w:ind w:firstLine="426"/>
        <w:jc w:val="both"/>
        <w:rPr>
          <w:rFonts w:eastAsia="Calibri"/>
          <w:sz w:val="22"/>
          <w:szCs w:val="22"/>
          <w:lang w:eastAsia="en-US"/>
        </w:rPr>
      </w:pPr>
      <w:r w:rsidRPr="00724342">
        <w:rPr>
          <w:rFonts w:eastAsia="Calibri"/>
          <w:sz w:val="22"/>
          <w:szCs w:val="22"/>
          <w:lang w:eastAsia="en-US"/>
        </w:rPr>
        <w:lastRenderedPageBreak/>
        <w:t>Внедрение инновационных технологий производства плодовых культур является сложной задачей, требующей комплексного по</w:t>
      </w:r>
      <w:r w:rsidRPr="00724342">
        <w:rPr>
          <w:rFonts w:eastAsia="Calibri"/>
          <w:sz w:val="22"/>
          <w:szCs w:val="22"/>
          <w:lang w:eastAsia="en-US"/>
        </w:rPr>
        <w:t>д</w:t>
      </w:r>
      <w:r w:rsidRPr="00724342">
        <w:rPr>
          <w:rFonts w:eastAsia="Calibri"/>
          <w:sz w:val="22"/>
          <w:szCs w:val="22"/>
          <w:lang w:eastAsia="en-US"/>
        </w:rPr>
        <w:t>хода и учета всех особенностей подотрасли. Сказанное подтвержд</w:t>
      </w:r>
      <w:r w:rsidRPr="00724342">
        <w:rPr>
          <w:rFonts w:eastAsia="Calibri"/>
          <w:sz w:val="22"/>
          <w:szCs w:val="22"/>
          <w:lang w:eastAsia="en-US"/>
        </w:rPr>
        <w:t>а</w:t>
      </w:r>
      <w:r w:rsidRPr="00724342">
        <w:rPr>
          <w:rFonts w:eastAsia="Calibri"/>
          <w:sz w:val="22"/>
          <w:szCs w:val="22"/>
          <w:lang w:eastAsia="en-US"/>
        </w:rPr>
        <w:t>ет актуальность исследования по выявлению направлений повыш</w:t>
      </w:r>
      <w:r w:rsidRPr="00724342">
        <w:rPr>
          <w:rFonts w:eastAsia="Calibri"/>
          <w:sz w:val="22"/>
          <w:szCs w:val="22"/>
          <w:lang w:eastAsia="en-US"/>
        </w:rPr>
        <w:t>е</w:t>
      </w:r>
      <w:r w:rsidRPr="00724342">
        <w:rPr>
          <w:rFonts w:eastAsia="Calibri"/>
          <w:sz w:val="22"/>
          <w:szCs w:val="22"/>
          <w:lang w:eastAsia="en-US"/>
        </w:rPr>
        <w:t>ния экономической эффективности плодоводства.</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Ожидаемыми результатами повышения экономической эффе</w:t>
      </w:r>
      <w:r w:rsidRPr="00724342">
        <w:rPr>
          <w:rFonts w:eastAsia="Calibri"/>
          <w:sz w:val="22"/>
          <w:szCs w:val="22"/>
          <w:lang w:eastAsia="en-US"/>
        </w:rPr>
        <w:t>к</w:t>
      </w:r>
      <w:r w:rsidRPr="00724342">
        <w:rPr>
          <w:rFonts w:eastAsia="Calibri"/>
          <w:sz w:val="22"/>
          <w:szCs w:val="22"/>
          <w:lang w:eastAsia="en-US"/>
        </w:rPr>
        <w:t>тивности подотрасли плодоводства являются увеличение объема производства и реализации плодов, снижение их себестоимости и рост рентабельности деятельности специализированных хозяйств региона.</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Важными условием повышения экономической эффективности плодоводства является интенсификация производства в подотрасли, основывающаяся на широком внедрении результатов научно-технический прогресс в технологические и организационные пр</w:t>
      </w:r>
      <w:r w:rsidRPr="00724342">
        <w:rPr>
          <w:rFonts w:eastAsia="Calibri"/>
          <w:sz w:val="22"/>
          <w:szCs w:val="22"/>
          <w:lang w:eastAsia="en-US"/>
        </w:rPr>
        <w:t>о</w:t>
      </w:r>
      <w:r w:rsidRPr="00724342">
        <w:rPr>
          <w:rFonts w:eastAsia="Calibri"/>
          <w:sz w:val="22"/>
          <w:szCs w:val="22"/>
          <w:lang w:eastAsia="en-US"/>
        </w:rPr>
        <w:t>цессы. К перспективным направлениям повышения экономической эффективности производства в подотрасли можно отнести:</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рациональное размещение, специализация и концентрация производства;</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совершенствование сортового состава насаждений путем подбора высокоэффективных и высококачественных сортов и п</w:t>
      </w:r>
      <w:r w:rsidRPr="00724342">
        <w:rPr>
          <w:rFonts w:eastAsia="Calibri"/>
          <w:sz w:val="22"/>
          <w:szCs w:val="22"/>
          <w:lang w:eastAsia="en-US"/>
        </w:rPr>
        <w:t>о</w:t>
      </w:r>
      <w:r w:rsidRPr="00724342">
        <w:rPr>
          <w:rFonts w:eastAsia="Calibri"/>
          <w:sz w:val="22"/>
          <w:szCs w:val="22"/>
          <w:lang w:eastAsia="en-US"/>
        </w:rPr>
        <w:t>род,</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комплексная механизация и автоматизация производстве</w:t>
      </w:r>
      <w:r w:rsidRPr="00724342">
        <w:rPr>
          <w:rFonts w:eastAsia="Calibri"/>
          <w:sz w:val="22"/>
          <w:szCs w:val="22"/>
          <w:lang w:eastAsia="en-US"/>
        </w:rPr>
        <w:t>н</w:t>
      </w:r>
      <w:r w:rsidRPr="00724342">
        <w:rPr>
          <w:rFonts w:eastAsia="Calibri"/>
          <w:sz w:val="22"/>
          <w:szCs w:val="22"/>
          <w:lang w:eastAsia="en-US"/>
        </w:rPr>
        <w:t>ных процессов [1];</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xml:space="preserve">– совершенствование подходов к химизации, подкормке и орошению многолетних насаждений; </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организация внутрихозяйственной переработки и длительн</w:t>
      </w:r>
      <w:r w:rsidRPr="00724342">
        <w:rPr>
          <w:rFonts w:eastAsia="Calibri"/>
          <w:sz w:val="22"/>
          <w:szCs w:val="22"/>
          <w:lang w:eastAsia="en-US"/>
        </w:rPr>
        <w:t>о</w:t>
      </w:r>
      <w:r w:rsidRPr="00724342">
        <w:rPr>
          <w:rFonts w:eastAsia="Calibri"/>
          <w:sz w:val="22"/>
          <w:szCs w:val="22"/>
          <w:lang w:eastAsia="en-US"/>
        </w:rPr>
        <w:t>го хранения плодов [2].</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Интенсификации производства в подотрасли может осущест</w:t>
      </w:r>
      <w:r w:rsidRPr="00724342">
        <w:rPr>
          <w:rFonts w:eastAsia="Calibri"/>
          <w:sz w:val="22"/>
          <w:szCs w:val="22"/>
          <w:lang w:eastAsia="en-US"/>
        </w:rPr>
        <w:t>в</w:t>
      </w:r>
      <w:r w:rsidRPr="00724342">
        <w:rPr>
          <w:rFonts w:eastAsia="Calibri"/>
          <w:sz w:val="22"/>
          <w:szCs w:val="22"/>
          <w:lang w:eastAsia="en-US"/>
        </w:rPr>
        <w:t>ляться в следующих направлениях:</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использование высокопродуктивных насаждений плодовых культур, что позволит разместить на 1 га в несколько раз больше деревьев по сравнению с технологией обычной посадки деревьев;</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внедрение в производство устойчивых к основным болезням и вредителям растений высокоурожайных урожайных сортов;</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внедрение современных систем орошения многолетних насаждений с возможностью одновременной их подкормки;</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lastRenderedPageBreak/>
        <w:t>– комплексная механизация возделывания плодовых культур, в том числе таких трудоемких процессов, как уборка урожая и обре</w:t>
      </w:r>
      <w:r w:rsidRPr="00724342">
        <w:rPr>
          <w:rFonts w:eastAsia="Calibri"/>
          <w:sz w:val="22"/>
          <w:szCs w:val="22"/>
          <w:lang w:eastAsia="en-US"/>
        </w:rPr>
        <w:t>з</w:t>
      </w:r>
      <w:r w:rsidRPr="00724342">
        <w:rPr>
          <w:rFonts w:eastAsia="Calibri"/>
          <w:sz w:val="22"/>
          <w:szCs w:val="22"/>
          <w:lang w:eastAsia="en-US"/>
        </w:rPr>
        <w:t>ка деревьев [3];</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реконструкция существующих садов.</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В то же время широкое распространение и внедрение иннов</w:t>
      </w:r>
      <w:r w:rsidRPr="00724342">
        <w:rPr>
          <w:rFonts w:eastAsia="Calibri"/>
          <w:sz w:val="22"/>
          <w:szCs w:val="22"/>
          <w:lang w:eastAsia="en-US"/>
        </w:rPr>
        <w:t>а</w:t>
      </w:r>
      <w:r w:rsidRPr="00724342">
        <w:rPr>
          <w:rFonts w:eastAsia="Calibri"/>
          <w:sz w:val="22"/>
          <w:szCs w:val="22"/>
          <w:lang w:eastAsia="en-US"/>
        </w:rPr>
        <w:t>ционных технологий в производства в подотрасли сдерживается следующими причинами:</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узкая линейка наименований специализированной техники для механизации технологических процессов в подотрасли, а след</w:t>
      </w:r>
      <w:r w:rsidRPr="00724342">
        <w:rPr>
          <w:rFonts w:eastAsia="Calibri"/>
          <w:sz w:val="22"/>
          <w:szCs w:val="22"/>
          <w:lang w:eastAsia="en-US"/>
        </w:rPr>
        <w:t>о</w:t>
      </w:r>
      <w:r w:rsidRPr="00724342">
        <w:rPr>
          <w:rFonts w:eastAsia="Calibri"/>
          <w:sz w:val="22"/>
          <w:szCs w:val="22"/>
          <w:lang w:eastAsia="en-US"/>
        </w:rPr>
        <w:t xml:space="preserve">вательно, и высокая цена на нее [3]; </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ограниченность производителей в свободных денежных сре</w:t>
      </w:r>
      <w:r w:rsidRPr="00724342">
        <w:rPr>
          <w:rFonts w:eastAsia="Calibri"/>
          <w:sz w:val="22"/>
          <w:szCs w:val="22"/>
          <w:lang w:eastAsia="en-US"/>
        </w:rPr>
        <w:t>д</w:t>
      </w:r>
      <w:r w:rsidRPr="00724342">
        <w:rPr>
          <w:rFonts w:eastAsia="Calibri"/>
          <w:sz w:val="22"/>
          <w:szCs w:val="22"/>
          <w:lang w:eastAsia="en-US"/>
        </w:rPr>
        <w:t>ствах для перехода на интенсивные технологии возделывания насаждений и высокая стоимость кредитных ресурсов;</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трудоемкость и ресурсоемкость перехода на интенсивные технологии возделывания садов, обусловленная особенностями с</w:t>
      </w:r>
      <w:r w:rsidRPr="00724342">
        <w:rPr>
          <w:rFonts w:eastAsia="Calibri"/>
          <w:sz w:val="22"/>
          <w:szCs w:val="22"/>
          <w:lang w:eastAsia="en-US"/>
        </w:rPr>
        <w:t>о</w:t>
      </w:r>
      <w:r w:rsidRPr="00724342">
        <w:rPr>
          <w:rFonts w:eastAsia="Calibri"/>
          <w:sz w:val="22"/>
          <w:szCs w:val="22"/>
          <w:lang w:eastAsia="en-US"/>
        </w:rPr>
        <w:t xml:space="preserve">здания и эксплуатации многолетних насаждений; </w:t>
      </w:r>
    </w:p>
    <w:p w:rsidR="00724342" w:rsidRPr="00724342" w:rsidRDefault="00724342" w:rsidP="00C609D1">
      <w:pPr>
        <w:ind w:firstLine="426"/>
        <w:jc w:val="both"/>
        <w:rPr>
          <w:rFonts w:eastAsia="Calibri"/>
          <w:sz w:val="22"/>
          <w:szCs w:val="22"/>
          <w:lang w:eastAsia="en-US"/>
        </w:rPr>
      </w:pPr>
      <w:r w:rsidRPr="00724342">
        <w:rPr>
          <w:rFonts w:eastAsia="Calibri"/>
          <w:sz w:val="22"/>
          <w:szCs w:val="22"/>
          <w:lang w:eastAsia="en-US"/>
        </w:rPr>
        <w:t>– неразвитость инфраструктуры хранения и переработки пр</w:t>
      </w:r>
      <w:r w:rsidRPr="00724342">
        <w:rPr>
          <w:rFonts w:eastAsia="Calibri"/>
          <w:sz w:val="22"/>
          <w:szCs w:val="22"/>
          <w:lang w:eastAsia="en-US"/>
        </w:rPr>
        <w:t>о</w:t>
      </w:r>
      <w:r w:rsidRPr="00724342">
        <w:rPr>
          <w:rFonts w:eastAsia="Calibri"/>
          <w:sz w:val="22"/>
          <w:szCs w:val="22"/>
          <w:lang w:eastAsia="en-US"/>
        </w:rPr>
        <w:t>дукции подотрасли, что лишает производителей возможности пол</w:t>
      </w:r>
      <w:r w:rsidRPr="00724342">
        <w:rPr>
          <w:rFonts w:eastAsia="Calibri"/>
          <w:sz w:val="22"/>
          <w:szCs w:val="22"/>
          <w:lang w:eastAsia="en-US"/>
        </w:rPr>
        <w:t>у</w:t>
      </w:r>
      <w:r w:rsidRPr="00724342">
        <w:rPr>
          <w:rFonts w:eastAsia="Calibri"/>
          <w:sz w:val="22"/>
          <w:szCs w:val="22"/>
          <w:lang w:eastAsia="en-US"/>
        </w:rPr>
        <w:t>чить дополнительных доход за счет реализации плодов и продуктов их переработки в период благоприятной ценовой конъюнктуры [4].</w:t>
      </w:r>
    </w:p>
    <w:p w:rsidR="00724342" w:rsidRPr="00724342" w:rsidRDefault="00724342" w:rsidP="00C609D1">
      <w:pPr>
        <w:ind w:firstLine="426"/>
        <w:jc w:val="both"/>
        <w:rPr>
          <w:rFonts w:eastAsia="Calibri"/>
          <w:sz w:val="22"/>
          <w:szCs w:val="22"/>
          <w:lang w:eastAsia="en-US"/>
        </w:rPr>
      </w:pPr>
    </w:p>
    <w:p w:rsidR="00724342" w:rsidRPr="00724342" w:rsidRDefault="00724342" w:rsidP="00C609D1">
      <w:pPr>
        <w:ind w:firstLine="426"/>
        <w:jc w:val="center"/>
        <w:rPr>
          <w:rFonts w:eastAsia="Calibri"/>
          <w:sz w:val="22"/>
          <w:szCs w:val="22"/>
          <w:lang w:eastAsia="en-US"/>
        </w:rPr>
      </w:pPr>
      <w:r w:rsidRPr="00724342">
        <w:rPr>
          <w:rFonts w:eastAsia="Calibri"/>
          <w:sz w:val="22"/>
          <w:szCs w:val="22"/>
          <w:lang w:eastAsia="en-US"/>
        </w:rPr>
        <w:t>Список литературы</w:t>
      </w:r>
    </w:p>
    <w:p w:rsidR="00724342" w:rsidRPr="00724342" w:rsidRDefault="00724342" w:rsidP="00C609D1">
      <w:pPr>
        <w:numPr>
          <w:ilvl w:val="0"/>
          <w:numId w:val="78"/>
        </w:numPr>
        <w:ind w:left="0" w:firstLine="426"/>
        <w:jc w:val="both"/>
        <w:rPr>
          <w:rFonts w:eastAsia="Calibri"/>
          <w:sz w:val="22"/>
          <w:szCs w:val="22"/>
          <w:lang w:eastAsia="en-US"/>
        </w:rPr>
      </w:pPr>
      <w:r w:rsidRPr="00724342">
        <w:rPr>
          <w:rFonts w:eastAsia="Calibri"/>
          <w:sz w:val="22"/>
          <w:szCs w:val="22"/>
          <w:lang w:eastAsia="en-US"/>
        </w:rPr>
        <w:t xml:space="preserve">Бершицкий, Ю. И. </w:t>
      </w:r>
      <w:r w:rsidRPr="00724342">
        <w:rPr>
          <w:rFonts w:eastAsia="Calibri"/>
          <w:bCs/>
          <w:color w:val="000000"/>
          <w:sz w:val="22"/>
          <w:szCs w:val="22"/>
          <w:lang w:eastAsia="en-US"/>
        </w:rPr>
        <w:t>Механизация технологических процессов уборки винограда как фактор повышения экономической эффе</w:t>
      </w:r>
      <w:r w:rsidRPr="00724342">
        <w:rPr>
          <w:rFonts w:eastAsia="Calibri"/>
          <w:bCs/>
          <w:color w:val="000000"/>
          <w:sz w:val="22"/>
          <w:szCs w:val="22"/>
          <w:lang w:eastAsia="en-US"/>
        </w:rPr>
        <w:t>к</w:t>
      </w:r>
      <w:r w:rsidRPr="00724342">
        <w:rPr>
          <w:rFonts w:eastAsia="Calibri"/>
          <w:bCs/>
          <w:color w:val="000000"/>
          <w:sz w:val="22"/>
          <w:szCs w:val="22"/>
          <w:lang w:eastAsia="en-US"/>
        </w:rPr>
        <w:t>тивности функционирования отрасли / Ю. И. Бершицкий, О. А. С</w:t>
      </w:r>
      <w:r w:rsidRPr="00724342">
        <w:rPr>
          <w:rFonts w:eastAsia="Calibri"/>
          <w:bCs/>
          <w:color w:val="000000"/>
          <w:sz w:val="22"/>
          <w:szCs w:val="22"/>
          <w:lang w:eastAsia="en-US"/>
        </w:rPr>
        <w:t>у</w:t>
      </w:r>
      <w:r w:rsidRPr="00724342">
        <w:rPr>
          <w:rFonts w:eastAsia="Calibri"/>
          <w:bCs/>
          <w:color w:val="000000"/>
          <w:sz w:val="22"/>
          <w:szCs w:val="22"/>
          <w:lang w:eastAsia="en-US"/>
        </w:rPr>
        <w:t>харева // Труды Кубанского государственного аграрного универс</w:t>
      </w:r>
      <w:r w:rsidRPr="00724342">
        <w:rPr>
          <w:rFonts w:eastAsia="Calibri"/>
          <w:bCs/>
          <w:color w:val="000000"/>
          <w:sz w:val="22"/>
          <w:szCs w:val="22"/>
          <w:lang w:eastAsia="en-US"/>
        </w:rPr>
        <w:t>и</w:t>
      </w:r>
      <w:r w:rsidRPr="00724342">
        <w:rPr>
          <w:rFonts w:eastAsia="Calibri"/>
          <w:bCs/>
          <w:color w:val="000000"/>
          <w:sz w:val="22"/>
          <w:szCs w:val="22"/>
          <w:lang w:eastAsia="en-US"/>
        </w:rPr>
        <w:t xml:space="preserve">тета. – 2013. – №41.– С. 19–22. </w:t>
      </w:r>
    </w:p>
    <w:p w:rsidR="00724342" w:rsidRPr="00724342" w:rsidRDefault="00724342" w:rsidP="00C609D1">
      <w:pPr>
        <w:numPr>
          <w:ilvl w:val="0"/>
          <w:numId w:val="78"/>
        </w:numPr>
        <w:ind w:left="0" w:firstLine="426"/>
        <w:jc w:val="both"/>
        <w:rPr>
          <w:rFonts w:eastAsia="Calibri"/>
          <w:sz w:val="22"/>
          <w:szCs w:val="22"/>
          <w:lang w:eastAsia="en-US"/>
        </w:rPr>
      </w:pPr>
      <w:r w:rsidRPr="00724342">
        <w:rPr>
          <w:rFonts w:eastAsia="Calibri"/>
          <w:bCs/>
          <w:color w:val="000000"/>
          <w:sz w:val="22"/>
          <w:szCs w:val="22"/>
          <w:lang w:eastAsia="en-US"/>
        </w:rPr>
        <w:t>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Кубанского государственного аграрного университета. – 2013. – №42.– С. 38–41.</w:t>
      </w:r>
    </w:p>
    <w:p w:rsidR="00724342" w:rsidRPr="00724342" w:rsidRDefault="00724342" w:rsidP="00C609D1">
      <w:pPr>
        <w:numPr>
          <w:ilvl w:val="0"/>
          <w:numId w:val="78"/>
        </w:numPr>
        <w:ind w:left="0" w:firstLine="426"/>
        <w:jc w:val="both"/>
        <w:rPr>
          <w:rFonts w:eastAsia="Calibri"/>
          <w:sz w:val="22"/>
          <w:szCs w:val="22"/>
          <w:lang w:eastAsia="en-US"/>
        </w:rPr>
      </w:pPr>
      <w:r w:rsidRPr="00724342">
        <w:rPr>
          <w:rFonts w:eastAsia="Calibri"/>
          <w:sz w:val="22"/>
          <w:szCs w:val="22"/>
          <w:lang w:eastAsia="en-US"/>
        </w:rPr>
        <w:t xml:space="preserve">Сухарева, О. А. </w:t>
      </w:r>
      <w:r w:rsidRPr="00724342">
        <w:rPr>
          <w:rFonts w:eastAsia="Calibri"/>
          <w:bCs/>
          <w:sz w:val="22"/>
          <w:szCs w:val="22"/>
          <w:lang w:eastAsia="en-US"/>
        </w:rPr>
        <w:t>Современные технологии механизации пр</w:t>
      </w:r>
      <w:r w:rsidRPr="00724342">
        <w:rPr>
          <w:rFonts w:eastAsia="Calibri"/>
          <w:bCs/>
          <w:sz w:val="22"/>
          <w:szCs w:val="22"/>
          <w:lang w:eastAsia="en-US"/>
        </w:rPr>
        <w:t>о</w:t>
      </w:r>
      <w:r w:rsidRPr="00724342">
        <w:rPr>
          <w:rFonts w:eastAsia="Calibri"/>
          <w:bCs/>
          <w:sz w:val="22"/>
          <w:szCs w:val="22"/>
          <w:lang w:eastAsia="en-US"/>
        </w:rPr>
        <w:t xml:space="preserve">изводственных процессов в растениеводстве и эффективность их внедрения в сельскохозяйственных организациях / О. А. Сухарева, Д. И. Федусь // </w:t>
      </w:r>
      <w:r w:rsidRPr="00724342">
        <w:rPr>
          <w:rFonts w:eastAsia="Calibri"/>
          <w:sz w:val="22"/>
          <w:szCs w:val="22"/>
          <w:lang w:eastAsia="en-US"/>
        </w:rPr>
        <w:t>Экономическое развитие общества в современных кризисных условиях. Сб. ст.Междунар. науч.-практ. конф.. В 3-х частях, 2017. – С. 128–131.</w:t>
      </w:r>
    </w:p>
    <w:p w:rsidR="00724342" w:rsidRPr="00724342" w:rsidRDefault="00724342" w:rsidP="00C609D1">
      <w:pPr>
        <w:numPr>
          <w:ilvl w:val="0"/>
          <w:numId w:val="78"/>
        </w:numPr>
        <w:ind w:left="0" w:firstLine="426"/>
        <w:jc w:val="both"/>
        <w:rPr>
          <w:rFonts w:eastAsia="Calibri"/>
          <w:sz w:val="22"/>
          <w:szCs w:val="22"/>
          <w:lang w:eastAsia="en-US"/>
        </w:rPr>
      </w:pPr>
      <w:r w:rsidRPr="00724342">
        <w:rPr>
          <w:rFonts w:eastAsia="Calibri"/>
          <w:sz w:val="22"/>
          <w:szCs w:val="22"/>
          <w:lang w:eastAsia="en-US"/>
        </w:rPr>
        <w:lastRenderedPageBreak/>
        <w:t xml:space="preserve">Сухарева О. А. </w:t>
      </w:r>
      <w:r w:rsidRPr="00724342">
        <w:rPr>
          <w:rFonts w:eastAsia="Calibri"/>
          <w:bCs/>
          <w:sz w:val="22"/>
          <w:szCs w:val="22"/>
          <w:lang w:eastAsia="en-US"/>
        </w:rPr>
        <w:t>Перспективные направления развития и</w:t>
      </w:r>
      <w:r w:rsidRPr="00724342">
        <w:rPr>
          <w:rFonts w:eastAsia="Calibri"/>
          <w:bCs/>
          <w:sz w:val="22"/>
          <w:szCs w:val="22"/>
          <w:lang w:eastAsia="en-US"/>
        </w:rPr>
        <w:t>н</w:t>
      </w:r>
      <w:r w:rsidRPr="00724342">
        <w:rPr>
          <w:rFonts w:eastAsia="Calibri"/>
          <w:bCs/>
          <w:sz w:val="22"/>
          <w:szCs w:val="22"/>
          <w:lang w:eastAsia="en-US"/>
        </w:rPr>
        <w:t>фраструктуры отраслей АПК Краснодарского края</w:t>
      </w:r>
      <w:r w:rsidRPr="00724342">
        <w:rPr>
          <w:rFonts w:eastAsia="Calibri"/>
          <w:b/>
          <w:bCs/>
          <w:sz w:val="22"/>
          <w:szCs w:val="22"/>
          <w:lang w:eastAsia="en-US"/>
        </w:rPr>
        <w:t xml:space="preserve"> // </w:t>
      </w:r>
      <w:r w:rsidRPr="00724342">
        <w:rPr>
          <w:rFonts w:eastAsia="Calibri"/>
          <w:bCs/>
          <w:sz w:val="22"/>
          <w:szCs w:val="22"/>
          <w:lang w:eastAsia="en-US"/>
        </w:rPr>
        <w:t>О. А. Сухар</w:t>
      </w:r>
      <w:r w:rsidRPr="00724342">
        <w:rPr>
          <w:rFonts w:eastAsia="Calibri"/>
          <w:bCs/>
          <w:sz w:val="22"/>
          <w:szCs w:val="22"/>
          <w:lang w:eastAsia="en-US"/>
        </w:rPr>
        <w:t>е</w:t>
      </w:r>
      <w:r w:rsidRPr="00724342">
        <w:rPr>
          <w:rFonts w:eastAsia="Calibri"/>
          <w:bCs/>
          <w:sz w:val="22"/>
          <w:szCs w:val="22"/>
          <w:lang w:eastAsia="en-US"/>
        </w:rPr>
        <w:t>ва, В. С. Новикова</w:t>
      </w:r>
      <w:r w:rsidRPr="00724342">
        <w:rPr>
          <w:rFonts w:eastAsia="Calibri"/>
          <w:b/>
          <w:bCs/>
          <w:sz w:val="22"/>
          <w:szCs w:val="22"/>
          <w:lang w:eastAsia="en-US"/>
        </w:rPr>
        <w:t xml:space="preserve"> // </w:t>
      </w:r>
      <w:r w:rsidRPr="00724342">
        <w:rPr>
          <w:sz w:val="22"/>
          <w:szCs w:val="22"/>
        </w:rPr>
        <w:t>Факторы экономического роста: мировые тренды и российские реалии. Сб. ст.по материалам Междунар. науч.-практ. конф. молодых ученых, посвященной памяти чл.-корр. РАСХН А.А. Семенова, 2017. – С. 412–420.</w:t>
      </w:r>
    </w:p>
    <w:p w:rsidR="00724342" w:rsidRPr="00724342" w:rsidRDefault="00724342" w:rsidP="00C609D1">
      <w:pPr>
        <w:ind w:firstLine="426"/>
        <w:jc w:val="both"/>
        <w:rPr>
          <w:rFonts w:eastAsiaTheme="minorHAnsi"/>
          <w:spacing w:val="-2"/>
          <w:sz w:val="20"/>
          <w:szCs w:val="22"/>
          <w:lang w:eastAsia="en-US"/>
        </w:rPr>
      </w:pPr>
    </w:p>
    <w:p w:rsidR="00724342" w:rsidRPr="00724342" w:rsidRDefault="00724342" w:rsidP="00C609D1">
      <w:pPr>
        <w:ind w:firstLine="426"/>
        <w:jc w:val="both"/>
        <w:rPr>
          <w:rFonts w:eastAsiaTheme="minorHAnsi"/>
          <w:spacing w:val="-2"/>
          <w:sz w:val="20"/>
          <w:szCs w:val="22"/>
          <w:lang w:eastAsia="en-US"/>
        </w:rPr>
      </w:pPr>
    </w:p>
    <w:p w:rsidR="00C609D1" w:rsidRPr="00724342" w:rsidRDefault="00C609D1" w:rsidP="00724342">
      <w:pPr>
        <w:jc w:val="both"/>
        <w:rPr>
          <w:rFonts w:eastAsiaTheme="minorHAnsi"/>
          <w:spacing w:val="-2"/>
          <w:sz w:val="20"/>
          <w:szCs w:val="22"/>
          <w:lang w:eastAsia="en-US"/>
        </w:rPr>
      </w:pPr>
    </w:p>
    <w:p w:rsidR="00724342" w:rsidRDefault="00724342" w:rsidP="00724342">
      <w:pPr>
        <w:jc w:val="both"/>
        <w:rPr>
          <w:rFonts w:eastAsiaTheme="minorHAnsi"/>
          <w:sz w:val="22"/>
          <w:szCs w:val="22"/>
          <w:lang w:eastAsia="en-US"/>
        </w:rPr>
      </w:pPr>
      <w:r w:rsidRPr="00724342">
        <w:rPr>
          <w:rFonts w:eastAsiaTheme="minorHAnsi"/>
          <w:sz w:val="22"/>
          <w:szCs w:val="22"/>
          <w:lang w:eastAsia="en-US"/>
        </w:rPr>
        <w:t>УДК 334</w:t>
      </w:r>
    </w:p>
    <w:p w:rsidR="006E4146" w:rsidRPr="00724342" w:rsidRDefault="006E4146" w:rsidP="00724342">
      <w:pPr>
        <w:jc w:val="both"/>
        <w:rPr>
          <w:rFonts w:eastAsiaTheme="minorHAnsi"/>
          <w:sz w:val="22"/>
          <w:szCs w:val="22"/>
          <w:lang w:eastAsia="en-US"/>
        </w:rPr>
      </w:pPr>
    </w:p>
    <w:p w:rsidR="00724342" w:rsidRPr="006E4146" w:rsidRDefault="00724342" w:rsidP="00724342">
      <w:pPr>
        <w:jc w:val="center"/>
        <w:rPr>
          <w:rFonts w:eastAsiaTheme="minorHAnsi"/>
          <w:b/>
          <w:sz w:val="24"/>
          <w:szCs w:val="24"/>
          <w:lang w:eastAsia="en-US"/>
        </w:rPr>
      </w:pPr>
      <w:r w:rsidRPr="006E4146">
        <w:rPr>
          <w:rFonts w:eastAsiaTheme="minorHAnsi"/>
          <w:b/>
          <w:sz w:val="24"/>
          <w:szCs w:val="24"/>
          <w:lang w:eastAsia="en-US"/>
        </w:rPr>
        <w:t xml:space="preserve">Теоретические аспекты функционирования </w:t>
      </w:r>
      <w:r w:rsidR="006E4146">
        <w:rPr>
          <w:rFonts w:eastAsiaTheme="minorHAnsi"/>
          <w:b/>
          <w:sz w:val="24"/>
          <w:szCs w:val="24"/>
          <w:lang w:eastAsia="en-US"/>
        </w:rPr>
        <w:br/>
      </w:r>
      <w:r w:rsidRPr="006E4146">
        <w:rPr>
          <w:rFonts w:eastAsiaTheme="minorHAnsi"/>
          <w:b/>
          <w:sz w:val="24"/>
          <w:szCs w:val="24"/>
          <w:lang w:eastAsia="en-US"/>
        </w:rPr>
        <w:t xml:space="preserve">финансово-кредитного механизма акционерных обществ </w:t>
      </w:r>
    </w:p>
    <w:p w:rsidR="00724342" w:rsidRPr="006E4146" w:rsidRDefault="00724342" w:rsidP="00724342">
      <w:pPr>
        <w:jc w:val="center"/>
        <w:rPr>
          <w:rFonts w:eastAsiaTheme="minorHAnsi"/>
          <w:b/>
          <w:sz w:val="24"/>
          <w:szCs w:val="24"/>
          <w:lang w:val="en-US" w:eastAsia="en-US"/>
        </w:rPr>
      </w:pPr>
      <w:r w:rsidRPr="006E4146">
        <w:rPr>
          <w:rFonts w:eastAsiaTheme="minorHAnsi"/>
          <w:b/>
          <w:sz w:val="24"/>
          <w:szCs w:val="24"/>
          <w:lang w:val="en-US" w:eastAsia="en-US"/>
        </w:rPr>
        <w:t xml:space="preserve">Theoretical aspects of functioning of financial and credit </w:t>
      </w:r>
      <w:r w:rsidR="006E4146" w:rsidRPr="006E4146">
        <w:rPr>
          <w:rFonts w:eastAsiaTheme="minorHAnsi"/>
          <w:b/>
          <w:sz w:val="24"/>
          <w:szCs w:val="24"/>
          <w:lang w:val="en-US" w:eastAsia="en-US"/>
        </w:rPr>
        <w:br/>
      </w:r>
      <w:r w:rsidRPr="006E4146">
        <w:rPr>
          <w:rFonts w:eastAsiaTheme="minorHAnsi"/>
          <w:b/>
          <w:sz w:val="24"/>
          <w:szCs w:val="24"/>
          <w:lang w:val="en-US" w:eastAsia="en-US"/>
        </w:rPr>
        <w:t>mechanism of joint-stock companies</w:t>
      </w:r>
    </w:p>
    <w:p w:rsidR="00724342" w:rsidRPr="00724342" w:rsidRDefault="00724342" w:rsidP="00724342">
      <w:pPr>
        <w:jc w:val="center"/>
        <w:rPr>
          <w:rFonts w:eastAsiaTheme="minorHAnsi"/>
          <w:b/>
          <w:sz w:val="22"/>
          <w:szCs w:val="22"/>
          <w:lang w:val="en-US" w:eastAsia="en-US"/>
        </w:rPr>
      </w:pP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Зарубенко А. В.,</w:t>
      </w:r>
    </w:p>
    <w:p w:rsidR="00724342" w:rsidRPr="00724342" w:rsidRDefault="00724342" w:rsidP="00724342">
      <w:pPr>
        <w:tabs>
          <w:tab w:val="left" w:pos="567"/>
        </w:tabs>
        <w:jc w:val="right"/>
        <w:rPr>
          <w:rFonts w:eastAsiaTheme="minorHAnsi"/>
          <w:sz w:val="22"/>
          <w:szCs w:val="22"/>
          <w:lang w:eastAsia="en-US"/>
        </w:rPr>
      </w:pPr>
      <w:r w:rsidRPr="00724342">
        <w:rPr>
          <w:rFonts w:eastAsiaTheme="minorHAnsi"/>
          <w:sz w:val="22"/>
          <w:szCs w:val="22"/>
          <w:lang w:eastAsia="en-US"/>
        </w:rPr>
        <w:t>студентка 3-го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Гурнович Т. Г.,</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д.э.н., профессор ВАК</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w:t>
      </w:r>
      <w:r w:rsidR="006E4146">
        <w:rPr>
          <w:rFonts w:eastAsiaTheme="minorHAnsi"/>
          <w:sz w:val="22"/>
          <w:szCs w:val="22"/>
          <w:lang w:eastAsia="en-US"/>
        </w:rPr>
        <w:t xml:space="preserve"> </w:t>
      </w:r>
      <w:r w:rsidRPr="00724342">
        <w:rPr>
          <w:rFonts w:eastAsiaTheme="minorHAnsi"/>
          <w:sz w:val="22"/>
          <w:szCs w:val="22"/>
          <w:lang w:eastAsia="en-US"/>
        </w:rPr>
        <w:t>Т. Трубилина</w:t>
      </w:r>
    </w:p>
    <w:p w:rsidR="00724342" w:rsidRPr="00724342" w:rsidRDefault="00724342" w:rsidP="00724342">
      <w:pPr>
        <w:jc w:val="right"/>
        <w:rPr>
          <w:rFonts w:eastAsiaTheme="minorHAnsi"/>
          <w:sz w:val="22"/>
          <w:szCs w:val="22"/>
          <w:lang w:eastAsia="en-US"/>
        </w:rPr>
      </w:pPr>
    </w:p>
    <w:p w:rsidR="00724342" w:rsidRPr="00724342" w:rsidRDefault="00724342" w:rsidP="006E4146">
      <w:pPr>
        <w:ind w:firstLine="426"/>
        <w:jc w:val="both"/>
        <w:rPr>
          <w:rFonts w:eastAsiaTheme="minorHAnsi"/>
          <w:b/>
          <w:sz w:val="22"/>
          <w:szCs w:val="22"/>
          <w:lang w:eastAsia="en-US"/>
        </w:rPr>
      </w:pPr>
      <w:r w:rsidRPr="00724342">
        <w:rPr>
          <w:rFonts w:eastAsiaTheme="minorHAnsi"/>
          <w:sz w:val="22"/>
          <w:szCs w:val="22"/>
          <w:lang w:eastAsia="en-US"/>
        </w:rPr>
        <w:t>АННОТАЦИЯ: В статье исследуются особенности формиров</w:t>
      </w:r>
      <w:r w:rsidRPr="00724342">
        <w:rPr>
          <w:rFonts w:eastAsiaTheme="minorHAnsi"/>
          <w:sz w:val="22"/>
          <w:szCs w:val="22"/>
          <w:lang w:eastAsia="en-US"/>
        </w:rPr>
        <w:t>а</w:t>
      </w:r>
      <w:r w:rsidRPr="00724342">
        <w:rPr>
          <w:rFonts w:eastAsiaTheme="minorHAnsi"/>
          <w:sz w:val="22"/>
          <w:szCs w:val="22"/>
          <w:lang w:eastAsia="en-US"/>
        </w:rPr>
        <w:t>ния уставного капитала и имущества акционерных обществ. Особое внимание уделено проведению сравнительной оценки влияния а</w:t>
      </w:r>
      <w:r w:rsidRPr="00724342">
        <w:rPr>
          <w:rFonts w:eastAsiaTheme="minorHAnsi"/>
          <w:sz w:val="22"/>
          <w:szCs w:val="22"/>
          <w:lang w:eastAsia="en-US"/>
        </w:rPr>
        <w:t>к</w:t>
      </w:r>
      <w:r w:rsidRPr="00724342">
        <w:rPr>
          <w:rFonts w:eastAsiaTheme="minorHAnsi"/>
          <w:sz w:val="22"/>
          <w:szCs w:val="22"/>
          <w:lang w:eastAsia="en-US"/>
        </w:rPr>
        <w:t>ционерной формы на отечественные и зарубежные компании. В з</w:t>
      </w:r>
      <w:r w:rsidRPr="00724342">
        <w:rPr>
          <w:rFonts w:eastAsiaTheme="minorHAnsi"/>
          <w:sz w:val="22"/>
          <w:szCs w:val="22"/>
          <w:lang w:eastAsia="en-US"/>
        </w:rPr>
        <w:t>а</w:t>
      </w:r>
      <w:r w:rsidRPr="00724342">
        <w:rPr>
          <w:rFonts w:eastAsiaTheme="minorHAnsi"/>
          <w:sz w:val="22"/>
          <w:szCs w:val="22"/>
          <w:lang w:eastAsia="en-US"/>
        </w:rPr>
        <w:t>ключение раскрываются</w:t>
      </w:r>
      <w:r w:rsidRPr="00724342">
        <w:rPr>
          <w:rFonts w:asciiTheme="minorHAnsi" w:eastAsiaTheme="minorHAnsi" w:hAnsiTheme="minorHAnsi" w:cstheme="minorBidi"/>
          <w:sz w:val="22"/>
          <w:szCs w:val="22"/>
          <w:lang w:eastAsia="en-US"/>
        </w:rPr>
        <w:t xml:space="preserve"> </w:t>
      </w:r>
      <w:r w:rsidRPr="00724342">
        <w:rPr>
          <w:rFonts w:eastAsiaTheme="minorHAnsi"/>
          <w:sz w:val="22"/>
          <w:szCs w:val="22"/>
          <w:lang w:eastAsia="en-US"/>
        </w:rPr>
        <w:t>основные составляющие элементы фина</w:t>
      </w:r>
      <w:r w:rsidRPr="00724342">
        <w:rPr>
          <w:rFonts w:eastAsiaTheme="minorHAnsi"/>
          <w:sz w:val="22"/>
          <w:szCs w:val="22"/>
          <w:lang w:eastAsia="en-US"/>
        </w:rPr>
        <w:t>н</w:t>
      </w:r>
      <w:r w:rsidRPr="00724342">
        <w:rPr>
          <w:rFonts w:eastAsiaTheme="minorHAnsi"/>
          <w:sz w:val="22"/>
          <w:szCs w:val="22"/>
          <w:lang w:eastAsia="en-US"/>
        </w:rPr>
        <w:t>сово-кредитного механизма акционерного общества.</w:t>
      </w:r>
      <w:r w:rsidRPr="00724342">
        <w:rPr>
          <w:rFonts w:eastAsiaTheme="minorHAnsi"/>
          <w:b/>
          <w:sz w:val="22"/>
          <w:szCs w:val="22"/>
          <w:lang w:eastAsia="en-US"/>
        </w:rPr>
        <w:t xml:space="preserve"> </w:t>
      </w:r>
    </w:p>
    <w:p w:rsidR="00724342" w:rsidRPr="00724342" w:rsidRDefault="00724342" w:rsidP="006E4146">
      <w:pPr>
        <w:ind w:firstLine="426"/>
        <w:jc w:val="both"/>
        <w:rPr>
          <w:rFonts w:eastAsiaTheme="minorHAnsi"/>
          <w:b/>
          <w:sz w:val="22"/>
          <w:szCs w:val="22"/>
          <w:lang w:val="en-US" w:eastAsia="en-US"/>
        </w:rPr>
      </w:pPr>
      <w:r w:rsidRPr="00724342">
        <w:rPr>
          <w:rFonts w:eastAsiaTheme="minorHAnsi"/>
          <w:sz w:val="22"/>
          <w:szCs w:val="22"/>
          <w:lang w:val="en-US" w:eastAsia="en-US"/>
        </w:rPr>
        <w:t>ABSTRACT: The article examines the peculiarities of the formation of the authorized capital and property of joint-stock companies. Partic</w:t>
      </w:r>
      <w:r w:rsidRPr="00724342">
        <w:rPr>
          <w:rFonts w:eastAsiaTheme="minorHAnsi"/>
          <w:sz w:val="22"/>
          <w:szCs w:val="22"/>
          <w:lang w:val="en-US" w:eastAsia="en-US"/>
        </w:rPr>
        <w:t>u</w:t>
      </w:r>
      <w:r w:rsidRPr="00724342">
        <w:rPr>
          <w:rFonts w:eastAsiaTheme="minorHAnsi"/>
          <w:sz w:val="22"/>
          <w:szCs w:val="22"/>
          <w:lang w:val="en-US" w:eastAsia="en-US"/>
        </w:rPr>
        <w:t>lar attention is paid to the comparative evaluation of the influence of the joint stock form on domestic and foreign companies. In conclusion, the main components of the financial and credit mechanism of the joint-stock company are revealed.</w:t>
      </w:r>
    </w:p>
    <w:p w:rsidR="00724342" w:rsidRPr="00724342" w:rsidRDefault="00724342" w:rsidP="006E4146">
      <w:pPr>
        <w:ind w:firstLine="426"/>
        <w:jc w:val="both"/>
        <w:rPr>
          <w:rFonts w:eastAsiaTheme="minorHAnsi"/>
          <w:b/>
          <w:sz w:val="22"/>
          <w:szCs w:val="22"/>
          <w:lang w:eastAsia="en-US"/>
        </w:rPr>
      </w:pPr>
      <w:r w:rsidRPr="00724342">
        <w:rPr>
          <w:rFonts w:eastAsiaTheme="minorHAnsi"/>
          <w:sz w:val="22"/>
          <w:szCs w:val="22"/>
          <w:lang w:eastAsia="en-US"/>
        </w:rPr>
        <w:t>КЛЮЧЕВЫЕ СЛОВА:</w:t>
      </w:r>
      <w:r w:rsidRPr="00724342">
        <w:rPr>
          <w:rFonts w:eastAsiaTheme="minorHAnsi"/>
          <w:b/>
          <w:sz w:val="22"/>
          <w:szCs w:val="22"/>
          <w:lang w:eastAsia="en-US"/>
        </w:rPr>
        <w:t xml:space="preserve"> </w:t>
      </w:r>
      <w:r w:rsidRPr="00724342">
        <w:rPr>
          <w:rFonts w:eastAsiaTheme="minorHAnsi"/>
          <w:sz w:val="22"/>
          <w:szCs w:val="22"/>
          <w:lang w:eastAsia="en-US"/>
        </w:rPr>
        <w:t>Акционерное общество, организации, финансово-кредитный механизм, акции.</w:t>
      </w:r>
    </w:p>
    <w:p w:rsidR="00724342" w:rsidRPr="00724342" w:rsidRDefault="00724342" w:rsidP="006E4146">
      <w:pPr>
        <w:ind w:firstLine="426"/>
        <w:jc w:val="both"/>
        <w:rPr>
          <w:rFonts w:eastAsiaTheme="minorHAnsi"/>
          <w:sz w:val="22"/>
          <w:szCs w:val="22"/>
          <w:lang w:val="en-US" w:eastAsia="en-US"/>
        </w:rPr>
      </w:pPr>
      <w:r w:rsidRPr="00724342">
        <w:rPr>
          <w:rFonts w:eastAsiaTheme="minorHAnsi"/>
          <w:sz w:val="22"/>
          <w:szCs w:val="22"/>
          <w:lang w:val="en-US" w:eastAsia="en-US"/>
        </w:rPr>
        <w:lastRenderedPageBreak/>
        <w:t>KEYWORDS: Joint-stock company, organizations, financial and credit mechanism, shares.</w:t>
      </w:r>
    </w:p>
    <w:p w:rsidR="00724342" w:rsidRPr="00724342" w:rsidRDefault="00724342" w:rsidP="006E4146">
      <w:pPr>
        <w:ind w:firstLine="426"/>
        <w:rPr>
          <w:rFonts w:eastAsiaTheme="minorHAnsi"/>
          <w:b/>
          <w:sz w:val="22"/>
          <w:szCs w:val="22"/>
          <w:lang w:val="en-US" w:eastAsia="en-US"/>
        </w:rPr>
      </w:pP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Открытые (публичные) и закрытые (не публичные) акционе</w:t>
      </w:r>
      <w:r w:rsidRPr="00724342">
        <w:rPr>
          <w:rFonts w:eastAsiaTheme="minorHAnsi"/>
          <w:sz w:val="22"/>
          <w:szCs w:val="22"/>
          <w:lang w:eastAsia="en-US"/>
        </w:rPr>
        <w:t>р</w:t>
      </w:r>
      <w:r w:rsidRPr="00724342">
        <w:rPr>
          <w:rFonts w:eastAsiaTheme="minorHAnsi"/>
          <w:sz w:val="22"/>
          <w:szCs w:val="22"/>
          <w:lang w:eastAsia="en-US"/>
        </w:rPr>
        <w:t>ные общества считаются наиболее сложной организационно-правовой формой коммерческих организаций. Как правило, акци</w:t>
      </w:r>
      <w:r w:rsidRPr="00724342">
        <w:rPr>
          <w:rFonts w:eastAsiaTheme="minorHAnsi"/>
          <w:sz w:val="22"/>
          <w:szCs w:val="22"/>
          <w:lang w:eastAsia="en-US"/>
        </w:rPr>
        <w:t>о</w:t>
      </w:r>
      <w:r w:rsidRPr="00724342">
        <w:rPr>
          <w:rFonts w:eastAsiaTheme="minorHAnsi"/>
          <w:sz w:val="22"/>
          <w:szCs w:val="22"/>
          <w:lang w:eastAsia="en-US"/>
        </w:rPr>
        <w:t>нерное общество объединяет широкий круг юридических и физич</w:t>
      </w:r>
      <w:r w:rsidRPr="00724342">
        <w:rPr>
          <w:rFonts w:eastAsiaTheme="minorHAnsi"/>
          <w:sz w:val="22"/>
          <w:szCs w:val="22"/>
          <w:lang w:eastAsia="en-US"/>
        </w:rPr>
        <w:t>е</w:t>
      </w:r>
      <w:r w:rsidRPr="00724342">
        <w:rPr>
          <w:rFonts w:eastAsiaTheme="minorHAnsi"/>
          <w:sz w:val="22"/>
          <w:szCs w:val="22"/>
          <w:lang w:eastAsia="en-US"/>
        </w:rPr>
        <w:t>ских лиц. Имущество акционерного общества образуется в резул</w:t>
      </w:r>
      <w:r w:rsidRPr="00724342">
        <w:rPr>
          <w:rFonts w:eastAsiaTheme="minorHAnsi"/>
          <w:sz w:val="22"/>
          <w:szCs w:val="22"/>
          <w:lang w:eastAsia="en-US"/>
        </w:rPr>
        <w:t>ь</w:t>
      </w:r>
      <w:r w:rsidRPr="00724342">
        <w:rPr>
          <w:rFonts w:eastAsiaTheme="minorHAnsi"/>
          <w:sz w:val="22"/>
          <w:szCs w:val="22"/>
          <w:lang w:eastAsia="en-US"/>
        </w:rPr>
        <w:t>тате продажи акций по открытой или закрытой подписке, получ</w:t>
      </w:r>
      <w:r w:rsidRPr="00724342">
        <w:rPr>
          <w:rFonts w:eastAsiaTheme="minorHAnsi"/>
          <w:sz w:val="22"/>
          <w:szCs w:val="22"/>
          <w:lang w:eastAsia="en-US"/>
        </w:rPr>
        <w:t>е</w:t>
      </w:r>
      <w:r w:rsidRPr="00724342">
        <w:rPr>
          <w:rFonts w:eastAsiaTheme="minorHAnsi"/>
          <w:sz w:val="22"/>
          <w:szCs w:val="22"/>
          <w:lang w:eastAsia="en-US"/>
        </w:rPr>
        <w:t>ния доходов и за счет других источников. Уставный капитал акци</w:t>
      </w:r>
      <w:r w:rsidRPr="00724342">
        <w:rPr>
          <w:rFonts w:eastAsiaTheme="minorHAnsi"/>
          <w:sz w:val="22"/>
          <w:szCs w:val="22"/>
          <w:lang w:eastAsia="en-US"/>
        </w:rPr>
        <w:t>о</w:t>
      </w:r>
      <w:r w:rsidRPr="00724342">
        <w:rPr>
          <w:rFonts w:eastAsiaTheme="minorHAnsi"/>
          <w:sz w:val="22"/>
          <w:szCs w:val="22"/>
          <w:lang w:eastAsia="en-US"/>
        </w:rPr>
        <w:t>нерных обществ формируют взносы в виде определенного колич</w:t>
      </w:r>
      <w:r w:rsidRPr="00724342">
        <w:rPr>
          <w:rFonts w:eastAsiaTheme="minorHAnsi"/>
          <w:sz w:val="22"/>
          <w:szCs w:val="22"/>
          <w:lang w:eastAsia="en-US"/>
        </w:rPr>
        <w:t>е</w:t>
      </w:r>
      <w:r w:rsidRPr="00724342">
        <w:rPr>
          <w:rFonts w:eastAsiaTheme="minorHAnsi"/>
          <w:sz w:val="22"/>
          <w:szCs w:val="22"/>
          <w:lang w:eastAsia="en-US"/>
        </w:rPr>
        <w:t>ства акций равной номинальной стоимости.</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На современном этапе акционерные общества не в полной мере используют механизм дополнительного привлечения средств с п</w:t>
      </w:r>
      <w:r w:rsidRPr="00724342">
        <w:rPr>
          <w:rFonts w:eastAsiaTheme="minorHAnsi"/>
          <w:sz w:val="22"/>
          <w:szCs w:val="22"/>
          <w:lang w:eastAsia="en-US"/>
        </w:rPr>
        <w:t>о</w:t>
      </w:r>
      <w:r w:rsidRPr="00724342">
        <w:rPr>
          <w:rFonts w:eastAsiaTheme="minorHAnsi"/>
          <w:sz w:val="22"/>
          <w:szCs w:val="22"/>
          <w:lang w:eastAsia="en-US"/>
        </w:rPr>
        <w:t>мощью вторичной эмиссии акций, чему препятствует низкий инв</w:t>
      </w:r>
      <w:r w:rsidRPr="00724342">
        <w:rPr>
          <w:rFonts w:eastAsiaTheme="minorHAnsi"/>
          <w:sz w:val="22"/>
          <w:szCs w:val="22"/>
          <w:lang w:eastAsia="en-US"/>
        </w:rPr>
        <w:t>е</w:t>
      </w:r>
      <w:r w:rsidRPr="00724342">
        <w:rPr>
          <w:rFonts w:eastAsiaTheme="minorHAnsi"/>
          <w:sz w:val="22"/>
          <w:szCs w:val="22"/>
          <w:lang w:eastAsia="en-US"/>
        </w:rPr>
        <w:t>стиционный рейтинг нестабильного работающих предприятий, а также возможность потери контроля над предприятием. Больши</w:t>
      </w:r>
      <w:r w:rsidRPr="00724342">
        <w:rPr>
          <w:rFonts w:eastAsiaTheme="minorHAnsi"/>
          <w:sz w:val="22"/>
          <w:szCs w:val="22"/>
          <w:lang w:eastAsia="en-US"/>
        </w:rPr>
        <w:t>н</w:t>
      </w:r>
      <w:r w:rsidRPr="00724342">
        <w:rPr>
          <w:rFonts w:eastAsiaTheme="minorHAnsi"/>
          <w:sz w:val="22"/>
          <w:szCs w:val="22"/>
          <w:lang w:eastAsia="en-US"/>
        </w:rPr>
        <w:t>ство вторичных эмиссий акций распространяются путем частной подписки среди заранее определенного круга лиц. Это дает вл</w:t>
      </w:r>
      <w:r w:rsidRPr="00724342">
        <w:rPr>
          <w:rFonts w:eastAsiaTheme="minorHAnsi"/>
          <w:sz w:val="22"/>
          <w:szCs w:val="22"/>
          <w:lang w:eastAsia="en-US"/>
        </w:rPr>
        <w:t>а</w:t>
      </w:r>
      <w:r w:rsidRPr="00724342">
        <w:rPr>
          <w:rFonts w:eastAsiaTheme="minorHAnsi"/>
          <w:sz w:val="22"/>
          <w:szCs w:val="22"/>
          <w:lang w:eastAsia="en-US"/>
        </w:rPr>
        <w:t>дельцам акций возможность реально оценить их, а значит, и пол</w:t>
      </w:r>
      <w:r w:rsidRPr="00724342">
        <w:rPr>
          <w:rFonts w:eastAsiaTheme="minorHAnsi"/>
          <w:sz w:val="22"/>
          <w:szCs w:val="22"/>
          <w:lang w:eastAsia="en-US"/>
        </w:rPr>
        <w:t>у</w:t>
      </w:r>
      <w:r w:rsidRPr="00724342">
        <w:rPr>
          <w:rFonts w:eastAsiaTheme="minorHAnsi"/>
          <w:sz w:val="22"/>
          <w:szCs w:val="22"/>
          <w:lang w:eastAsia="en-US"/>
        </w:rPr>
        <w:t>чить дополнительный доход в виде курсовых разниц.</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Если для иностранных фирм акционерная форма – это прив</w:t>
      </w:r>
      <w:r w:rsidRPr="00724342">
        <w:rPr>
          <w:rFonts w:eastAsiaTheme="minorHAnsi"/>
          <w:sz w:val="22"/>
          <w:szCs w:val="22"/>
          <w:lang w:eastAsia="en-US"/>
        </w:rPr>
        <w:t>и</w:t>
      </w:r>
      <w:r w:rsidRPr="00724342">
        <w:rPr>
          <w:rFonts w:eastAsiaTheme="minorHAnsi"/>
          <w:sz w:val="22"/>
          <w:szCs w:val="22"/>
          <w:lang w:eastAsia="en-US"/>
        </w:rPr>
        <w:t>легия, которая позволяет получить более дешевые ресурсы за счет продажи собственных акций на бирже, то для отечественных ко</w:t>
      </w:r>
      <w:r w:rsidRPr="00724342">
        <w:rPr>
          <w:rFonts w:eastAsiaTheme="minorHAnsi"/>
          <w:sz w:val="22"/>
          <w:szCs w:val="22"/>
          <w:lang w:eastAsia="en-US"/>
        </w:rPr>
        <w:t>м</w:t>
      </w:r>
      <w:r w:rsidRPr="00724342">
        <w:rPr>
          <w:rFonts w:eastAsiaTheme="minorHAnsi"/>
          <w:sz w:val="22"/>
          <w:szCs w:val="22"/>
          <w:lang w:eastAsia="en-US"/>
        </w:rPr>
        <w:t>паний – это единственный способ сосуществования с минорита</w:t>
      </w:r>
      <w:r w:rsidRPr="00724342">
        <w:rPr>
          <w:rFonts w:eastAsiaTheme="minorHAnsi"/>
          <w:sz w:val="22"/>
          <w:szCs w:val="22"/>
          <w:lang w:eastAsia="en-US"/>
        </w:rPr>
        <w:t>р</w:t>
      </w:r>
      <w:r w:rsidRPr="00724342">
        <w:rPr>
          <w:rFonts w:eastAsiaTheme="minorHAnsi"/>
          <w:sz w:val="22"/>
          <w:szCs w:val="22"/>
          <w:lang w:eastAsia="en-US"/>
        </w:rPr>
        <w:t>ными акционерами, которые разными путями аккумулировали ко</w:t>
      </w:r>
      <w:r w:rsidRPr="00724342">
        <w:rPr>
          <w:rFonts w:eastAsiaTheme="minorHAnsi"/>
          <w:sz w:val="22"/>
          <w:szCs w:val="22"/>
          <w:lang w:eastAsia="en-US"/>
        </w:rPr>
        <w:t>н</w:t>
      </w:r>
      <w:r w:rsidRPr="00724342">
        <w:rPr>
          <w:rFonts w:eastAsiaTheme="minorHAnsi"/>
          <w:sz w:val="22"/>
          <w:szCs w:val="22"/>
          <w:lang w:eastAsia="en-US"/>
        </w:rPr>
        <w:t>трольные (50%) или суперконтрольные (75%) пакеты акций.</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Финансово-кредитный механизм акционерного общества включает в себя совокупность методов, форм, способов формиров</w:t>
      </w:r>
      <w:r w:rsidRPr="00724342">
        <w:rPr>
          <w:rFonts w:eastAsiaTheme="minorHAnsi"/>
          <w:sz w:val="22"/>
          <w:szCs w:val="22"/>
          <w:lang w:eastAsia="en-US"/>
        </w:rPr>
        <w:t>а</w:t>
      </w:r>
      <w:r w:rsidRPr="00724342">
        <w:rPr>
          <w:rFonts w:eastAsiaTheme="minorHAnsi"/>
          <w:sz w:val="22"/>
          <w:szCs w:val="22"/>
          <w:lang w:eastAsia="en-US"/>
        </w:rPr>
        <w:t>ния, распределения и использования финансовых и кредитных р</w:t>
      </w:r>
      <w:r w:rsidRPr="00724342">
        <w:rPr>
          <w:rFonts w:eastAsiaTheme="minorHAnsi"/>
          <w:sz w:val="22"/>
          <w:szCs w:val="22"/>
          <w:lang w:eastAsia="en-US"/>
        </w:rPr>
        <w:t>е</w:t>
      </w:r>
      <w:r w:rsidRPr="00724342">
        <w:rPr>
          <w:rFonts w:eastAsiaTheme="minorHAnsi"/>
          <w:sz w:val="22"/>
          <w:szCs w:val="22"/>
          <w:lang w:eastAsia="en-US"/>
        </w:rPr>
        <w:t>сурсов, доходов и денежных фондов, контроля за их кругооборотом в процессе воспроизводства. Это сложная система финансово-кредитных инструментов и рычагов государственного и рыночного регулирования деятельности субъектов хозяйствования для дост</w:t>
      </w:r>
      <w:r w:rsidRPr="00724342">
        <w:rPr>
          <w:rFonts w:eastAsiaTheme="minorHAnsi"/>
          <w:sz w:val="22"/>
          <w:szCs w:val="22"/>
          <w:lang w:eastAsia="en-US"/>
        </w:rPr>
        <w:t>и</w:t>
      </w:r>
      <w:r w:rsidRPr="00724342">
        <w:rPr>
          <w:rFonts w:eastAsiaTheme="minorHAnsi"/>
          <w:sz w:val="22"/>
          <w:szCs w:val="22"/>
          <w:lang w:eastAsia="en-US"/>
        </w:rPr>
        <w:t xml:space="preserve">жения ими стратегических и тактических целей в соответствии с законодательством и уставом. Финансы акционерного общества представляют собой экономические отношения, возникающие на всех стадиях создания, деятельности, реорганизации и ликвидации </w:t>
      </w:r>
      <w:r w:rsidRPr="00724342">
        <w:rPr>
          <w:rFonts w:eastAsiaTheme="minorHAnsi"/>
          <w:sz w:val="22"/>
          <w:szCs w:val="22"/>
          <w:lang w:eastAsia="en-US"/>
        </w:rPr>
        <w:lastRenderedPageBreak/>
        <w:t>акционерных обществ. Они охватывают денежные взаимосвязи с учредителями общества, трудовым коллективом, поставщиками, покупателями, бюджетом, банками, внебюджетными, страховыми фондами и другими организациями.</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Основными составляющими элементами финансово-кредитного механизма акционерного общества являются инстр</w:t>
      </w:r>
      <w:r w:rsidRPr="00724342">
        <w:rPr>
          <w:rFonts w:eastAsiaTheme="minorHAnsi"/>
          <w:sz w:val="22"/>
          <w:szCs w:val="22"/>
          <w:lang w:eastAsia="en-US"/>
        </w:rPr>
        <w:t>у</w:t>
      </w:r>
      <w:r w:rsidRPr="00724342">
        <w:rPr>
          <w:rFonts w:eastAsiaTheme="minorHAnsi"/>
          <w:sz w:val="22"/>
          <w:szCs w:val="22"/>
          <w:lang w:eastAsia="en-US"/>
        </w:rPr>
        <w:t>менты:</w:t>
      </w:r>
    </w:p>
    <w:p w:rsidR="00724342" w:rsidRPr="00724342" w:rsidRDefault="00724342" w:rsidP="006E4146">
      <w:pPr>
        <w:numPr>
          <w:ilvl w:val="0"/>
          <w:numId w:val="90"/>
        </w:numPr>
        <w:tabs>
          <w:tab w:val="left" w:pos="993"/>
        </w:tabs>
        <w:spacing w:after="200"/>
        <w:ind w:left="0" w:firstLine="426"/>
        <w:contextualSpacing/>
        <w:jc w:val="both"/>
        <w:rPr>
          <w:rFonts w:eastAsiaTheme="minorHAnsi"/>
          <w:sz w:val="22"/>
          <w:szCs w:val="22"/>
          <w:lang w:eastAsia="en-US"/>
        </w:rPr>
      </w:pPr>
      <w:r w:rsidRPr="00724342">
        <w:rPr>
          <w:rFonts w:eastAsiaTheme="minorHAnsi"/>
          <w:sz w:val="22"/>
          <w:szCs w:val="22"/>
          <w:lang w:eastAsia="en-US"/>
        </w:rPr>
        <w:t>формирования источников финансирования капитала а</w:t>
      </w:r>
      <w:r w:rsidRPr="00724342">
        <w:rPr>
          <w:rFonts w:eastAsiaTheme="minorHAnsi"/>
          <w:sz w:val="22"/>
          <w:szCs w:val="22"/>
          <w:lang w:eastAsia="en-US"/>
        </w:rPr>
        <w:t>к</w:t>
      </w:r>
      <w:r w:rsidRPr="00724342">
        <w:rPr>
          <w:rFonts w:eastAsiaTheme="minorHAnsi"/>
          <w:sz w:val="22"/>
          <w:szCs w:val="22"/>
          <w:lang w:eastAsia="en-US"/>
        </w:rPr>
        <w:t>ционерного общества: собственного – за счет выпуска и продажи акций владельцам и внешним инвесторам на финансовом (фонд</w:t>
      </w:r>
      <w:r w:rsidRPr="00724342">
        <w:rPr>
          <w:rFonts w:eastAsiaTheme="minorHAnsi"/>
          <w:sz w:val="22"/>
          <w:szCs w:val="22"/>
          <w:lang w:eastAsia="en-US"/>
        </w:rPr>
        <w:t>о</w:t>
      </w:r>
      <w:r w:rsidRPr="00724342">
        <w:rPr>
          <w:rFonts w:eastAsiaTheme="minorHAnsi"/>
          <w:sz w:val="22"/>
          <w:szCs w:val="22"/>
          <w:lang w:eastAsia="en-US"/>
        </w:rPr>
        <w:t>вом) рынке; заемного – путем выпуска и продажи облигаций и п</w:t>
      </w:r>
      <w:r w:rsidRPr="00724342">
        <w:rPr>
          <w:rFonts w:eastAsiaTheme="minorHAnsi"/>
          <w:sz w:val="22"/>
          <w:szCs w:val="22"/>
          <w:lang w:eastAsia="en-US"/>
        </w:rPr>
        <w:t>о</w:t>
      </w:r>
      <w:r w:rsidRPr="00724342">
        <w:rPr>
          <w:rFonts w:eastAsiaTheme="minorHAnsi"/>
          <w:sz w:val="22"/>
          <w:szCs w:val="22"/>
          <w:lang w:eastAsia="en-US"/>
        </w:rPr>
        <w:t>лучения займов на финансовом (кредитном рынке);</w:t>
      </w:r>
    </w:p>
    <w:p w:rsidR="00724342" w:rsidRPr="00724342" w:rsidRDefault="00724342" w:rsidP="006E4146">
      <w:pPr>
        <w:numPr>
          <w:ilvl w:val="0"/>
          <w:numId w:val="90"/>
        </w:numPr>
        <w:tabs>
          <w:tab w:val="left" w:pos="993"/>
        </w:tabs>
        <w:spacing w:after="200"/>
        <w:ind w:left="0" w:firstLine="426"/>
        <w:contextualSpacing/>
        <w:jc w:val="both"/>
        <w:rPr>
          <w:rFonts w:eastAsiaTheme="minorHAnsi"/>
          <w:sz w:val="22"/>
          <w:szCs w:val="22"/>
          <w:lang w:eastAsia="en-US"/>
        </w:rPr>
      </w:pPr>
      <w:r w:rsidRPr="00724342">
        <w:rPr>
          <w:rFonts w:eastAsiaTheme="minorHAnsi"/>
          <w:sz w:val="22"/>
          <w:szCs w:val="22"/>
          <w:lang w:eastAsia="en-US"/>
        </w:rPr>
        <w:t>использования имущественного капитала (внеоборотных и оборотных активов) в процессе операционной, инвестиционной, финансовой деятельности акционерного общества;</w:t>
      </w:r>
    </w:p>
    <w:p w:rsidR="00724342" w:rsidRPr="00724342" w:rsidRDefault="00724342" w:rsidP="006E4146">
      <w:pPr>
        <w:numPr>
          <w:ilvl w:val="0"/>
          <w:numId w:val="90"/>
        </w:numPr>
        <w:tabs>
          <w:tab w:val="left" w:pos="993"/>
        </w:tabs>
        <w:spacing w:after="200"/>
        <w:ind w:left="0" w:firstLine="426"/>
        <w:contextualSpacing/>
        <w:jc w:val="both"/>
        <w:rPr>
          <w:rFonts w:eastAsiaTheme="minorHAnsi"/>
          <w:sz w:val="22"/>
          <w:szCs w:val="22"/>
          <w:lang w:eastAsia="en-US"/>
        </w:rPr>
      </w:pPr>
      <w:r w:rsidRPr="00724342">
        <w:rPr>
          <w:rFonts w:eastAsiaTheme="minorHAnsi"/>
          <w:sz w:val="22"/>
          <w:szCs w:val="22"/>
          <w:lang w:eastAsia="en-US"/>
        </w:rPr>
        <w:t>формирования финансовых результатов деятельности а</w:t>
      </w:r>
      <w:r w:rsidRPr="00724342">
        <w:rPr>
          <w:rFonts w:eastAsiaTheme="minorHAnsi"/>
          <w:sz w:val="22"/>
          <w:szCs w:val="22"/>
          <w:lang w:eastAsia="en-US"/>
        </w:rPr>
        <w:t>к</w:t>
      </w:r>
      <w:r w:rsidRPr="00724342">
        <w:rPr>
          <w:rFonts w:eastAsiaTheme="minorHAnsi"/>
          <w:sz w:val="22"/>
          <w:szCs w:val="22"/>
          <w:lang w:eastAsia="en-US"/>
        </w:rPr>
        <w:t>ционерного общества (прибыли, убытка) в процессе осуществления операционной, инвестиционной, финансовой деятельности пре</w:t>
      </w:r>
      <w:r w:rsidRPr="00724342">
        <w:rPr>
          <w:rFonts w:eastAsiaTheme="minorHAnsi"/>
          <w:sz w:val="22"/>
          <w:szCs w:val="22"/>
          <w:lang w:eastAsia="en-US"/>
        </w:rPr>
        <w:t>д</w:t>
      </w:r>
      <w:r w:rsidRPr="00724342">
        <w:rPr>
          <w:rFonts w:eastAsiaTheme="minorHAnsi"/>
          <w:sz w:val="22"/>
          <w:szCs w:val="22"/>
          <w:lang w:eastAsia="en-US"/>
        </w:rPr>
        <w:t>приятия;</w:t>
      </w:r>
    </w:p>
    <w:p w:rsidR="00724342" w:rsidRPr="00724342" w:rsidRDefault="00724342" w:rsidP="006E4146">
      <w:pPr>
        <w:numPr>
          <w:ilvl w:val="0"/>
          <w:numId w:val="90"/>
        </w:numPr>
        <w:tabs>
          <w:tab w:val="left" w:pos="993"/>
        </w:tabs>
        <w:spacing w:after="200"/>
        <w:ind w:left="0" w:firstLine="426"/>
        <w:contextualSpacing/>
        <w:jc w:val="both"/>
        <w:rPr>
          <w:rFonts w:eastAsiaTheme="minorHAnsi"/>
          <w:sz w:val="22"/>
          <w:szCs w:val="22"/>
          <w:lang w:eastAsia="en-US"/>
        </w:rPr>
      </w:pPr>
      <w:r w:rsidRPr="00724342">
        <w:rPr>
          <w:rFonts w:eastAsiaTheme="minorHAnsi"/>
          <w:sz w:val="22"/>
          <w:szCs w:val="22"/>
          <w:lang w:eastAsia="en-US"/>
        </w:rPr>
        <w:t>распределения и использования прибыли акционерного общества, основной задачей которого является оптимизация пр</w:t>
      </w:r>
      <w:r w:rsidRPr="00724342">
        <w:rPr>
          <w:rFonts w:eastAsiaTheme="minorHAnsi"/>
          <w:sz w:val="22"/>
          <w:szCs w:val="22"/>
          <w:lang w:eastAsia="en-US"/>
        </w:rPr>
        <w:t>о</w:t>
      </w:r>
      <w:r w:rsidRPr="00724342">
        <w:rPr>
          <w:rFonts w:eastAsiaTheme="minorHAnsi"/>
          <w:sz w:val="22"/>
          <w:szCs w:val="22"/>
          <w:lang w:eastAsia="en-US"/>
        </w:rPr>
        <w:t>порций между частью чистой прибыли, капитализируемой на пре</w:t>
      </w:r>
      <w:r w:rsidRPr="00724342">
        <w:rPr>
          <w:rFonts w:eastAsiaTheme="minorHAnsi"/>
          <w:sz w:val="22"/>
          <w:szCs w:val="22"/>
          <w:lang w:eastAsia="en-US"/>
        </w:rPr>
        <w:t>д</w:t>
      </w:r>
      <w:r w:rsidRPr="00724342">
        <w:rPr>
          <w:rFonts w:eastAsiaTheme="minorHAnsi"/>
          <w:sz w:val="22"/>
          <w:szCs w:val="22"/>
          <w:lang w:eastAsia="en-US"/>
        </w:rPr>
        <w:t>приятии (нераспределенная прибыль) и потребляемой частью (направление распределяемой прибыли на дивидендные выплаты обладателям корпоративных прав) с учетом обеспечения реализ</w:t>
      </w:r>
      <w:r w:rsidRPr="00724342">
        <w:rPr>
          <w:rFonts w:eastAsiaTheme="minorHAnsi"/>
          <w:sz w:val="22"/>
          <w:szCs w:val="22"/>
          <w:lang w:eastAsia="en-US"/>
        </w:rPr>
        <w:t>а</w:t>
      </w:r>
      <w:r w:rsidRPr="00724342">
        <w:rPr>
          <w:rFonts w:eastAsiaTheme="minorHAnsi"/>
          <w:sz w:val="22"/>
          <w:szCs w:val="22"/>
          <w:lang w:eastAsia="en-US"/>
        </w:rPr>
        <w:t>ции стратегии развития и роста рыночной стоимости акционерного общества.</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Успешная предпринимательская деятельность любого пре</w:t>
      </w:r>
      <w:r w:rsidRPr="00724342">
        <w:rPr>
          <w:rFonts w:eastAsiaTheme="minorHAnsi"/>
          <w:sz w:val="22"/>
          <w:szCs w:val="22"/>
          <w:lang w:eastAsia="en-US"/>
        </w:rPr>
        <w:t>д</w:t>
      </w:r>
      <w:r w:rsidRPr="00724342">
        <w:rPr>
          <w:rFonts w:eastAsiaTheme="minorHAnsi"/>
          <w:sz w:val="22"/>
          <w:szCs w:val="22"/>
          <w:lang w:eastAsia="en-US"/>
        </w:rPr>
        <w:t>приятия зависит от четкого взаимодействия всех составляющих подсистем и элементов финансово-кредитного механизма, их вли</w:t>
      </w:r>
      <w:r w:rsidRPr="00724342">
        <w:rPr>
          <w:rFonts w:eastAsiaTheme="minorHAnsi"/>
          <w:sz w:val="22"/>
          <w:szCs w:val="22"/>
          <w:lang w:eastAsia="en-US"/>
        </w:rPr>
        <w:t>я</w:t>
      </w:r>
      <w:r w:rsidRPr="00724342">
        <w:rPr>
          <w:rFonts w:eastAsiaTheme="minorHAnsi"/>
          <w:sz w:val="22"/>
          <w:szCs w:val="22"/>
          <w:lang w:eastAsia="en-US"/>
        </w:rPr>
        <w:t>ния на функционирование финансов предприятий, конечные р</w:t>
      </w:r>
      <w:r w:rsidRPr="00724342">
        <w:rPr>
          <w:rFonts w:eastAsiaTheme="minorHAnsi"/>
          <w:sz w:val="22"/>
          <w:szCs w:val="22"/>
          <w:lang w:eastAsia="en-US"/>
        </w:rPr>
        <w:t>е</w:t>
      </w:r>
      <w:r w:rsidRPr="00724342">
        <w:rPr>
          <w:rFonts w:eastAsiaTheme="minorHAnsi"/>
          <w:sz w:val="22"/>
          <w:szCs w:val="22"/>
          <w:lang w:eastAsia="en-US"/>
        </w:rPr>
        <w:t>зультаты финансово-хозяйственной деятельности, согласование экономических интересов государства, механизма финансового рынка с субъектами хозяйствования, что, в конечном итоге, обесп</w:t>
      </w:r>
      <w:r w:rsidRPr="00724342">
        <w:rPr>
          <w:rFonts w:eastAsiaTheme="minorHAnsi"/>
          <w:sz w:val="22"/>
          <w:szCs w:val="22"/>
          <w:lang w:eastAsia="en-US"/>
        </w:rPr>
        <w:t>е</w:t>
      </w:r>
      <w:r w:rsidRPr="00724342">
        <w:rPr>
          <w:rFonts w:eastAsiaTheme="minorHAnsi"/>
          <w:sz w:val="22"/>
          <w:szCs w:val="22"/>
          <w:lang w:eastAsia="en-US"/>
        </w:rPr>
        <w:t>чивает социально-экономическое развитие общества.</w:t>
      </w:r>
    </w:p>
    <w:p w:rsidR="00724342" w:rsidRPr="00724342" w:rsidRDefault="00724342" w:rsidP="006E4146">
      <w:pPr>
        <w:ind w:firstLine="426"/>
        <w:rPr>
          <w:rFonts w:eastAsiaTheme="minorHAnsi"/>
          <w:sz w:val="22"/>
          <w:szCs w:val="22"/>
          <w:lang w:eastAsia="en-US"/>
        </w:rPr>
      </w:pPr>
    </w:p>
    <w:p w:rsidR="00724342" w:rsidRPr="00724342" w:rsidRDefault="00724342" w:rsidP="006E4146">
      <w:pPr>
        <w:ind w:firstLine="426"/>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lastRenderedPageBreak/>
        <w:t>1. Ионцев М.Г. Акционерные общества: Правовые основы. Имущественные отношения. Управление и контроль. Защита прав акционеров. - М.: «Ось-89», 2013.</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2. Котляр Э.А. Финансовый анализ предприятий (российский и международный опыт). - М.,ИНЭК, 2014. .Лаврухина Н.В. Экон</w:t>
      </w:r>
      <w:r w:rsidRPr="00724342">
        <w:rPr>
          <w:rFonts w:eastAsiaTheme="minorHAnsi"/>
          <w:sz w:val="22"/>
          <w:szCs w:val="22"/>
          <w:lang w:eastAsia="en-US"/>
        </w:rPr>
        <w:t>о</w:t>
      </w:r>
      <w:r w:rsidRPr="00724342">
        <w:rPr>
          <w:rFonts w:eastAsiaTheme="minorHAnsi"/>
          <w:sz w:val="22"/>
          <w:szCs w:val="22"/>
          <w:lang w:eastAsia="en-US"/>
        </w:rPr>
        <w:t>мика предприятия. - Калуга,2013.</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3. Литвинов Д.В. Анализ финансового состояния предприятия: Справочное пособие. - М.: Эскорт, 2014.</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4. Справочник финансиста предприятия. - М.: Инфра-М - 2014.</w:t>
      </w:r>
    </w:p>
    <w:p w:rsidR="00724342" w:rsidRDefault="00724342" w:rsidP="00C609D1">
      <w:pPr>
        <w:ind w:firstLine="426"/>
        <w:jc w:val="both"/>
        <w:rPr>
          <w:rFonts w:eastAsiaTheme="minorHAnsi"/>
          <w:sz w:val="22"/>
          <w:szCs w:val="22"/>
          <w:lang w:eastAsia="en-US"/>
        </w:rPr>
      </w:pPr>
      <w:r w:rsidRPr="00724342">
        <w:rPr>
          <w:rFonts w:eastAsiaTheme="minorHAnsi"/>
          <w:sz w:val="22"/>
          <w:szCs w:val="22"/>
          <w:lang w:eastAsia="en-US"/>
        </w:rPr>
        <w:t>5. Холт Р.Н. Основы финансового менеджмента. - М.: Дело, 2013.</w:t>
      </w:r>
    </w:p>
    <w:p w:rsidR="00C609D1" w:rsidRDefault="00C609D1" w:rsidP="00C609D1">
      <w:pPr>
        <w:ind w:firstLine="426"/>
        <w:jc w:val="both"/>
        <w:rPr>
          <w:rFonts w:eastAsiaTheme="minorHAnsi"/>
          <w:sz w:val="22"/>
          <w:szCs w:val="22"/>
          <w:lang w:eastAsia="en-US"/>
        </w:rPr>
      </w:pPr>
    </w:p>
    <w:p w:rsidR="002A1EE0" w:rsidRDefault="002A1EE0" w:rsidP="00C609D1">
      <w:pPr>
        <w:ind w:firstLine="426"/>
        <w:jc w:val="both"/>
        <w:rPr>
          <w:rFonts w:eastAsiaTheme="minorHAnsi"/>
          <w:sz w:val="22"/>
          <w:szCs w:val="22"/>
          <w:lang w:eastAsia="en-US"/>
        </w:rPr>
      </w:pPr>
    </w:p>
    <w:p w:rsidR="002A1EE0" w:rsidRPr="00C609D1" w:rsidRDefault="002A1EE0" w:rsidP="00C609D1">
      <w:pPr>
        <w:ind w:firstLine="426"/>
        <w:jc w:val="both"/>
        <w:rPr>
          <w:rFonts w:eastAsiaTheme="minorHAnsi"/>
          <w:sz w:val="22"/>
          <w:szCs w:val="22"/>
          <w:lang w:eastAsia="en-US"/>
        </w:rPr>
      </w:pPr>
    </w:p>
    <w:p w:rsidR="00724342" w:rsidRPr="00724342" w:rsidRDefault="00724342" w:rsidP="00724342">
      <w:pPr>
        <w:rPr>
          <w:rFonts w:eastAsia="Calibri"/>
          <w:sz w:val="22"/>
          <w:szCs w:val="22"/>
          <w:lang w:eastAsia="en-US"/>
        </w:rPr>
      </w:pPr>
      <w:r w:rsidRPr="00724342">
        <w:rPr>
          <w:rFonts w:eastAsia="Calibri"/>
          <w:sz w:val="22"/>
          <w:szCs w:val="22"/>
          <w:lang w:eastAsia="en-US"/>
        </w:rPr>
        <w:t>УДК 338.43:636.2</w:t>
      </w:r>
    </w:p>
    <w:p w:rsidR="00724342" w:rsidRPr="00724342" w:rsidRDefault="00724342" w:rsidP="00724342">
      <w:pPr>
        <w:rPr>
          <w:rFonts w:eastAsia="Calibri"/>
          <w:sz w:val="22"/>
          <w:szCs w:val="22"/>
          <w:lang w:eastAsia="en-US"/>
        </w:rPr>
      </w:pPr>
    </w:p>
    <w:p w:rsidR="00724342" w:rsidRPr="00724342" w:rsidRDefault="00724342" w:rsidP="00724342">
      <w:pPr>
        <w:jc w:val="center"/>
        <w:rPr>
          <w:rFonts w:eastAsia="Calibri"/>
          <w:b/>
          <w:sz w:val="24"/>
          <w:szCs w:val="22"/>
          <w:lang w:eastAsia="en-US"/>
        </w:rPr>
      </w:pPr>
      <w:r w:rsidRPr="00724342">
        <w:rPr>
          <w:rFonts w:eastAsia="Calibri"/>
          <w:b/>
          <w:sz w:val="24"/>
          <w:szCs w:val="22"/>
          <w:lang w:eastAsia="en-US"/>
        </w:rPr>
        <w:t>Направления совершенствования производства</w:t>
      </w:r>
    </w:p>
    <w:p w:rsidR="00724342" w:rsidRPr="00724342" w:rsidRDefault="00724342" w:rsidP="00724342">
      <w:pPr>
        <w:jc w:val="center"/>
        <w:rPr>
          <w:rFonts w:eastAsia="Calibri"/>
          <w:b/>
          <w:sz w:val="24"/>
          <w:szCs w:val="22"/>
          <w:lang w:eastAsia="en-US"/>
        </w:rPr>
      </w:pPr>
      <w:r w:rsidRPr="00724342">
        <w:rPr>
          <w:rFonts w:eastAsia="Calibri"/>
          <w:b/>
          <w:sz w:val="24"/>
          <w:szCs w:val="22"/>
          <w:lang w:eastAsia="en-US"/>
        </w:rPr>
        <w:t>мяса крупного рогатого скота в Краснодарском крае</w:t>
      </w:r>
    </w:p>
    <w:p w:rsidR="00724342" w:rsidRPr="00724342" w:rsidRDefault="00724342" w:rsidP="00724342">
      <w:pPr>
        <w:jc w:val="center"/>
        <w:rPr>
          <w:rFonts w:eastAsia="Calibri"/>
          <w:b/>
          <w:sz w:val="24"/>
          <w:szCs w:val="22"/>
          <w:lang w:val="en-US" w:eastAsia="en-US"/>
        </w:rPr>
      </w:pPr>
      <w:r w:rsidRPr="00724342">
        <w:rPr>
          <w:rFonts w:eastAsia="Calibri"/>
          <w:b/>
          <w:sz w:val="24"/>
          <w:szCs w:val="22"/>
          <w:lang w:val="en-US" w:eastAsia="en-US"/>
        </w:rPr>
        <w:t>Directions for improving the production of cattle meat</w:t>
      </w:r>
    </w:p>
    <w:p w:rsidR="00724342" w:rsidRPr="00724342" w:rsidRDefault="00724342" w:rsidP="00724342">
      <w:pPr>
        <w:jc w:val="center"/>
        <w:rPr>
          <w:rFonts w:eastAsia="Calibri"/>
          <w:b/>
          <w:sz w:val="24"/>
          <w:szCs w:val="22"/>
          <w:lang w:val="en-US" w:eastAsia="en-US"/>
        </w:rPr>
      </w:pPr>
      <w:r w:rsidRPr="00724342">
        <w:rPr>
          <w:rFonts w:eastAsia="Calibri"/>
          <w:b/>
          <w:sz w:val="24"/>
          <w:szCs w:val="22"/>
          <w:lang w:val="en-US" w:eastAsia="en-US"/>
        </w:rPr>
        <w:t>in the Krasnodar Territory</w:t>
      </w:r>
    </w:p>
    <w:p w:rsidR="00724342" w:rsidRPr="00724342" w:rsidRDefault="00724342" w:rsidP="00724342">
      <w:pPr>
        <w:jc w:val="right"/>
        <w:rPr>
          <w:rFonts w:eastAsia="Calibri"/>
          <w:sz w:val="22"/>
          <w:szCs w:val="22"/>
          <w:lang w:val="en-US" w:eastAsia="en-US"/>
        </w:rPr>
      </w:pPr>
    </w:p>
    <w:p w:rsidR="00724342" w:rsidRPr="00724342" w:rsidRDefault="00724342" w:rsidP="00724342">
      <w:pPr>
        <w:jc w:val="right"/>
        <w:rPr>
          <w:rFonts w:eastAsia="Calibri"/>
          <w:sz w:val="22"/>
          <w:szCs w:val="22"/>
          <w:lang w:val="en-US" w:eastAsia="en-US"/>
        </w:rPr>
      </w:pPr>
      <w:r w:rsidRPr="00724342">
        <w:rPr>
          <w:rFonts w:eastAsia="Calibri"/>
          <w:sz w:val="22"/>
          <w:szCs w:val="22"/>
          <w:lang w:eastAsia="en-US"/>
        </w:rPr>
        <w:t>Зотова</w:t>
      </w:r>
      <w:r w:rsidRPr="00724342">
        <w:rPr>
          <w:rFonts w:eastAsia="Calibri"/>
          <w:sz w:val="22"/>
          <w:szCs w:val="22"/>
          <w:lang w:val="en-US" w:eastAsia="en-US"/>
        </w:rPr>
        <w:t xml:space="preserve"> </w:t>
      </w:r>
      <w:r w:rsidRPr="00724342">
        <w:rPr>
          <w:rFonts w:eastAsia="Calibri"/>
          <w:sz w:val="22"/>
          <w:szCs w:val="22"/>
          <w:lang w:eastAsia="en-US"/>
        </w:rPr>
        <w:t>Е</w:t>
      </w:r>
      <w:r w:rsidRPr="00724342">
        <w:rPr>
          <w:rFonts w:eastAsia="Calibri"/>
          <w:sz w:val="22"/>
          <w:szCs w:val="22"/>
          <w:lang w:val="en-US" w:eastAsia="en-US"/>
        </w:rPr>
        <w:t xml:space="preserve">. </w:t>
      </w:r>
      <w:r w:rsidRPr="00724342">
        <w:rPr>
          <w:rFonts w:eastAsia="Calibri"/>
          <w:sz w:val="22"/>
          <w:szCs w:val="22"/>
          <w:lang w:eastAsia="en-US"/>
        </w:rPr>
        <w:t>А</w:t>
      </w:r>
      <w:r w:rsidRPr="00724342">
        <w:rPr>
          <w:rFonts w:eastAsia="Calibri"/>
          <w:sz w:val="22"/>
          <w:szCs w:val="22"/>
          <w:lang w:val="en-US" w:eastAsia="en-US"/>
        </w:rPr>
        <w:t>.,</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студентка 4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w:t>
      </w:r>
      <w:r w:rsidR="006E4146">
        <w:rPr>
          <w:rFonts w:eastAsiaTheme="minorHAnsi"/>
          <w:sz w:val="22"/>
          <w:szCs w:val="22"/>
          <w:lang w:eastAsia="en-US"/>
        </w:rPr>
        <w:t xml:space="preserve"> </w:t>
      </w:r>
      <w:r w:rsidRPr="00724342">
        <w:rPr>
          <w:rFonts w:eastAsiaTheme="minorHAnsi"/>
          <w:sz w:val="22"/>
          <w:szCs w:val="22"/>
          <w:lang w:eastAsia="en-US"/>
        </w:rPr>
        <w:t>Т. Трубилина</w:t>
      </w:r>
    </w:p>
    <w:p w:rsidR="00724342" w:rsidRPr="00724342" w:rsidRDefault="00724342" w:rsidP="00724342">
      <w:pPr>
        <w:jc w:val="right"/>
        <w:rPr>
          <w:rFonts w:eastAsia="Calibri"/>
          <w:sz w:val="22"/>
          <w:szCs w:val="22"/>
          <w:lang w:eastAsia="en-US"/>
        </w:rPr>
      </w:pPr>
    </w:p>
    <w:p w:rsidR="00724342" w:rsidRPr="00724342" w:rsidRDefault="00724342" w:rsidP="006E4146">
      <w:pPr>
        <w:ind w:firstLine="426"/>
        <w:jc w:val="both"/>
        <w:rPr>
          <w:rFonts w:eastAsia="Calibri"/>
          <w:spacing w:val="4"/>
          <w:sz w:val="22"/>
          <w:szCs w:val="22"/>
          <w:lang w:eastAsia="en-US"/>
        </w:rPr>
      </w:pPr>
      <w:r w:rsidRPr="00724342">
        <w:rPr>
          <w:rFonts w:eastAsia="Calibri"/>
          <w:caps/>
          <w:spacing w:val="4"/>
          <w:sz w:val="22"/>
          <w:szCs w:val="22"/>
          <w:lang w:eastAsia="en-US"/>
        </w:rPr>
        <w:t>Аннотация:</w:t>
      </w:r>
      <w:r w:rsidRPr="00724342">
        <w:rPr>
          <w:rFonts w:eastAsia="Calibri"/>
          <w:spacing w:val="4"/>
          <w:sz w:val="22"/>
          <w:szCs w:val="22"/>
          <w:lang w:eastAsia="en-US"/>
        </w:rPr>
        <w:t xml:space="preserve"> Рассмотрены проблемы повышения эффе</w:t>
      </w:r>
      <w:r w:rsidRPr="00724342">
        <w:rPr>
          <w:rFonts w:eastAsia="Calibri"/>
          <w:spacing w:val="4"/>
          <w:sz w:val="22"/>
          <w:szCs w:val="22"/>
          <w:lang w:eastAsia="en-US"/>
        </w:rPr>
        <w:t>к</w:t>
      </w:r>
      <w:r w:rsidRPr="00724342">
        <w:rPr>
          <w:rFonts w:eastAsia="Calibri"/>
          <w:spacing w:val="4"/>
          <w:sz w:val="22"/>
          <w:szCs w:val="22"/>
          <w:lang w:eastAsia="en-US"/>
        </w:rPr>
        <w:t>тивности подотрасли специализированного мясного скотово</w:t>
      </w:r>
      <w:r w:rsidRPr="00724342">
        <w:rPr>
          <w:rFonts w:eastAsia="Calibri"/>
          <w:spacing w:val="4"/>
          <w:sz w:val="22"/>
          <w:szCs w:val="22"/>
          <w:lang w:eastAsia="en-US"/>
        </w:rPr>
        <w:t>д</w:t>
      </w:r>
      <w:r w:rsidRPr="00724342">
        <w:rPr>
          <w:rFonts w:eastAsia="Calibri"/>
          <w:spacing w:val="4"/>
          <w:sz w:val="22"/>
          <w:szCs w:val="22"/>
          <w:lang w:eastAsia="en-US"/>
        </w:rPr>
        <w:t>ства. Выявлены и рассмотрены пути их решения. Доказано, что переход товаропроизводителей на воспроизводство, выращив</w:t>
      </w:r>
      <w:r w:rsidRPr="00724342">
        <w:rPr>
          <w:rFonts w:eastAsia="Calibri"/>
          <w:spacing w:val="4"/>
          <w:sz w:val="22"/>
          <w:szCs w:val="22"/>
          <w:lang w:eastAsia="en-US"/>
        </w:rPr>
        <w:t>а</w:t>
      </w:r>
      <w:r w:rsidRPr="00724342">
        <w:rPr>
          <w:rFonts w:eastAsia="Calibri"/>
          <w:spacing w:val="4"/>
          <w:sz w:val="22"/>
          <w:szCs w:val="22"/>
          <w:lang w:eastAsia="en-US"/>
        </w:rPr>
        <w:t>ние и откорм крупного рогатого скота специализированных мя</w:t>
      </w:r>
      <w:r w:rsidRPr="00724342">
        <w:rPr>
          <w:rFonts w:eastAsia="Calibri"/>
          <w:spacing w:val="4"/>
          <w:sz w:val="22"/>
          <w:szCs w:val="22"/>
          <w:lang w:eastAsia="en-US"/>
        </w:rPr>
        <w:t>с</w:t>
      </w:r>
      <w:r w:rsidRPr="00724342">
        <w:rPr>
          <w:rFonts w:eastAsia="Calibri"/>
          <w:spacing w:val="4"/>
          <w:sz w:val="22"/>
          <w:szCs w:val="22"/>
          <w:lang w:eastAsia="en-US"/>
        </w:rPr>
        <w:t>ных пород обеспечит повышение экономических показателей д</w:t>
      </w:r>
      <w:r w:rsidRPr="00724342">
        <w:rPr>
          <w:rFonts w:eastAsia="Calibri"/>
          <w:spacing w:val="4"/>
          <w:sz w:val="22"/>
          <w:szCs w:val="22"/>
          <w:lang w:eastAsia="en-US"/>
        </w:rPr>
        <w:t>е</w:t>
      </w:r>
      <w:r w:rsidRPr="00724342">
        <w:rPr>
          <w:rFonts w:eastAsia="Calibri"/>
          <w:spacing w:val="4"/>
          <w:sz w:val="22"/>
          <w:szCs w:val="22"/>
          <w:lang w:eastAsia="en-US"/>
        </w:rPr>
        <w:t>ятельности в подотрасли.</w:t>
      </w:r>
    </w:p>
    <w:p w:rsidR="00724342" w:rsidRPr="00724342" w:rsidRDefault="00724342" w:rsidP="006E4146">
      <w:pPr>
        <w:ind w:firstLine="426"/>
        <w:jc w:val="both"/>
        <w:rPr>
          <w:rFonts w:eastAsia="Calibri"/>
          <w:sz w:val="22"/>
          <w:szCs w:val="22"/>
          <w:lang w:val="en-US" w:eastAsia="en-US"/>
        </w:rPr>
      </w:pPr>
      <w:r w:rsidRPr="00724342">
        <w:rPr>
          <w:rFonts w:eastAsiaTheme="minorHAnsi"/>
          <w:sz w:val="22"/>
          <w:szCs w:val="22"/>
          <w:lang w:val="en-US" w:eastAsia="en-US"/>
        </w:rPr>
        <w:t>ABSTRACT:</w:t>
      </w:r>
      <w:r w:rsidRPr="00724342">
        <w:rPr>
          <w:rFonts w:eastAsia="Calibri"/>
          <w:sz w:val="22"/>
          <w:szCs w:val="22"/>
          <w:lang w:val="en-US" w:eastAsia="en-US"/>
        </w:rPr>
        <w:t xml:space="preserve"> The problems of increasing the efficiency of the sub-sector of specialized beef cattle breeding are considered. The ways of their solution are identified and considered. It is proved that the transfer of commodity producers to the reproduction, cultivation and fattening of </w:t>
      </w:r>
      <w:r w:rsidRPr="00724342">
        <w:rPr>
          <w:rFonts w:eastAsia="Calibri"/>
          <w:sz w:val="22"/>
          <w:szCs w:val="22"/>
          <w:lang w:val="en-US" w:eastAsia="en-US"/>
        </w:rPr>
        <w:lastRenderedPageBreak/>
        <w:t>cattle of specialized meat breeds will provide an increase in economic performance in the sub-sector.</w:t>
      </w:r>
    </w:p>
    <w:p w:rsidR="00724342" w:rsidRPr="00724342" w:rsidRDefault="00724342" w:rsidP="006E4146">
      <w:pPr>
        <w:ind w:firstLine="426"/>
        <w:jc w:val="both"/>
        <w:rPr>
          <w:rFonts w:eastAsia="Calibri"/>
          <w:sz w:val="22"/>
          <w:szCs w:val="22"/>
          <w:lang w:eastAsia="en-US"/>
        </w:rPr>
      </w:pPr>
      <w:r w:rsidRPr="00724342">
        <w:rPr>
          <w:rFonts w:eastAsia="Calibri"/>
          <w:caps/>
          <w:sz w:val="22"/>
          <w:szCs w:val="22"/>
          <w:lang w:eastAsia="en-US"/>
        </w:rPr>
        <w:t>Ключевые слова:</w:t>
      </w:r>
      <w:r w:rsidRPr="00724342">
        <w:rPr>
          <w:rFonts w:eastAsia="Calibri"/>
          <w:sz w:val="22"/>
          <w:szCs w:val="22"/>
          <w:lang w:eastAsia="en-US"/>
        </w:rPr>
        <w:t xml:space="preserve"> Мясное скотоводство, импортозамещ</w:t>
      </w:r>
      <w:r w:rsidRPr="00724342">
        <w:rPr>
          <w:rFonts w:eastAsia="Calibri"/>
          <w:sz w:val="22"/>
          <w:szCs w:val="22"/>
          <w:lang w:eastAsia="en-US"/>
        </w:rPr>
        <w:t>е</w:t>
      </w:r>
      <w:r w:rsidRPr="00724342">
        <w:rPr>
          <w:rFonts w:eastAsia="Calibri"/>
          <w:sz w:val="22"/>
          <w:szCs w:val="22"/>
          <w:lang w:eastAsia="en-US"/>
        </w:rPr>
        <w:t>ние, государственная поддержка, экономическая эффективность.</w:t>
      </w:r>
    </w:p>
    <w:p w:rsidR="00724342" w:rsidRPr="00724342" w:rsidRDefault="00724342" w:rsidP="006E4146">
      <w:pPr>
        <w:ind w:firstLine="426"/>
        <w:jc w:val="both"/>
        <w:rPr>
          <w:rFonts w:eastAsia="Calibri"/>
          <w:sz w:val="22"/>
          <w:szCs w:val="22"/>
          <w:lang w:val="en-US" w:eastAsia="en-US"/>
        </w:rPr>
      </w:pPr>
      <w:r w:rsidRPr="00724342">
        <w:rPr>
          <w:rFonts w:eastAsia="Calibri"/>
          <w:caps/>
          <w:sz w:val="22"/>
          <w:szCs w:val="22"/>
          <w:lang w:val="en-US" w:eastAsia="en-US"/>
        </w:rPr>
        <w:t>Keywords:</w:t>
      </w:r>
      <w:r w:rsidRPr="00724342">
        <w:rPr>
          <w:rFonts w:eastAsia="Calibri"/>
          <w:sz w:val="22"/>
          <w:szCs w:val="22"/>
          <w:lang w:val="en-US" w:eastAsia="en-US"/>
        </w:rPr>
        <w:t xml:space="preserve"> Meat cattle breeding, import substitution, gover</w:t>
      </w:r>
      <w:r w:rsidRPr="00724342">
        <w:rPr>
          <w:rFonts w:eastAsia="Calibri"/>
          <w:sz w:val="22"/>
          <w:szCs w:val="22"/>
          <w:lang w:val="en-US" w:eastAsia="en-US"/>
        </w:rPr>
        <w:t>n</w:t>
      </w:r>
      <w:r w:rsidRPr="00724342">
        <w:rPr>
          <w:rFonts w:eastAsia="Calibri"/>
          <w:sz w:val="22"/>
          <w:szCs w:val="22"/>
          <w:lang w:val="en-US" w:eastAsia="en-US"/>
        </w:rPr>
        <w:t>mental support,</w:t>
      </w:r>
      <w:r w:rsidRPr="00724342">
        <w:rPr>
          <w:rFonts w:ascii="Calibri" w:eastAsia="Calibri" w:hAnsi="Calibri"/>
          <w:sz w:val="22"/>
          <w:szCs w:val="22"/>
          <w:lang w:val="en-US" w:eastAsia="en-US"/>
        </w:rPr>
        <w:t xml:space="preserve"> </w:t>
      </w:r>
      <w:r w:rsidRPr="00724342">
        <w:rPr>
          <w:rFonts w:eastAsia="Calibri"/>
          <w:sz w:val="22"/>
          <w:szCs w:val="22"/>
          <w:lang w:val="en-US" w:eastAsia="en-US"/>
        </w:rPr>
        <w:t>economic efficiency.</w:t>
      </w:r>
    </w:p>
    <w:p w:rsidR="00724342" w:rsidRPr="00724342" w:rsidRDefault="00724342" w:rsidP="006E4146">
      <w:pPr>
        <w:ind w:firstLine="426"/>
        <w:jc w:val="both"/>
        <w:rPr>
          <w:rFonts w:eastAsia="Calibri"/>
          <w:sz w:val="22"/>
          <w:szCs w:val="22"/>
          <w:lang w:val="en-US" w:eastAsia="en-US"/>
        </w:rPr>
      </w:pPr>
    </w:p>
    <w:p w:rsidR="00724342" w:rsidRPr="00724342" w:rsidRDefault="00724342" w:rsidP="006E4146">
      <w:pPr>
        <w:ind w:firstLine="426"/>
        <w:jc w:val="both"/>
        <w:rPr>
          <w:rFonts w:eastAsia="Calibri"/>
          <w:spacing w:val="2"/>
          <w:sz w:val="22"/>
          <w:szCs w:val="22"/>
          <w:lang w:eastAsia="en-US"/>
        </w:rPr>
      </w:pPr>
      <w:r w:rsidRPr="00724342">
        <w:rPr>
          <w:rFonts w:eastAsia="Calibri"/>
          <w:spacing w:val="2"/>
          <w:sz w:val="22"/>
          <w:szCs w:val="22"/>
          <w:lang w:eastAsia="en-US"/>
        </w:rPr>
        <w:t>Необходимость повышения уровня обеспечения мясом кру</w:t>
      </w:r>
      <w:r w:rsidRPr="00724342">
        <w:rPr>
          <w:rFonts w:eastAsia="Calibri"/>
          <w:spacing w:val="2"/>
          <w:sz w:val="22"/>
          <w:szCs w:val="22"/>
          <w:lang w:eastAsia="en-US"/>
        </w:rPr>
        <w:t>п</w:t>
      </w:r>
      <w:r w:rsidRPr="00724342">
        <w:rPr>
          <w:rFonts w:eastAsia="Calibri"/>
          <w:spacing w:val="2"/>
          <w:sz w:val="22"/>
          <w:szCs w:val="22"/>
          <w:lang w:eastAsia="en-US"/>
        </w:rPr>
        <w:t>ного рогатого скота собственного производства ставит перед от</w:t>
      </w:r>
      <w:r w:rsidRPr="00724342">
        <w:rPr>
          <w:rFonts w:eastAsia="Calibri"/>
          <w:spacing w:val="2"/>
          <w:sz w:val="22"/>
          <w:szCs w:val="22"/>
          <w:lang w:eastAsia="en-US"/>
        </w:rPr>
        <w:t>е</w:t>
      </w:r>
      <w:r w:rsidRPr="00724342">
        <w:rPr>
          <w:rFonts w:eastAsia="Calibri"/>
          <w:spacing w:val="2"/>
          <w:sz w:val="22"/>
          <w:szCs w:val="22"/>
          <w:lang w:eastAsia="en-US"/>
        </w:rPr>
        <w:t>чественными аграриями задачу по скорейшему наращению пог</w:t>
      </w:r>
      <w:r w:rsidRPr="00724342">
        <w:rPr>
          <w:rFonts w:eastAsia="Calibri"/>
          <w:spacing w:val="2"/>
          <w:sz w:val="22"/>
          <w:szCs w:val="22"/>
          <w:lang w:eastAsia="en-US"/>
        </w:rPr>
        <w:t>о</w:t>
      </w:r>
      <w:r w:rsidRPr="00724342">
        <w:rPr>
          <w:rFonts w:eastAsia="Calibri"/>
          <w:spacing w:val="2"/>
          <w:sz w:val="22"/>
          <w:szCs w:val="22"/>
          <w:lang w:eastAsia="en-US"/>
        </w:rPr>
        <w:t>ловья животных специализированных мясных пород. Согласно госпрограмме развития сельского хозяйства России в ближайшие годы должны быть сформированы стартовые условия для развития специализированного мясного скотоводства в нашей стране, для чего Россия обладает значительным природно-климатическим п</w:t>
      </w:r>
      <w:r w:rsidRPr="00724342">
        <w:rPr>
          <w:rFonts w:eastAsia="Calibri"/>
          <w:spacing w:val="2"/>
          <w:sz w:val="22"/>
          <w:szCs w:val="22"/>
          <w:lang w:eastAsia="en-US"/>
        </w:rPr>
        <w:t>о</w:t>
      </w:r>
      <w:r w:rsidRPr="00724342">
        <w:rPr>
          <w:rFonts w:eastAsia="Calibri"/>
          <w:spacing w:val="2"/>
          <w:sz w:val="22"/>
          <w:szCs w:val="22"/>
          <w:lang w:eastAsia="en-US"/>
        </w:rPr>
        <w:t>тенциалом. Современные технологии выращивания КРС высок</w:t>
      </w:r>
      <w:r w:rsidRPr="00724342">
        <w:rPr>
          <w:rFonts w:eastAsia="Calibri"/>
          <w:spacing w:val="2"/>
          <w:sz w:val="22"/>
          <w:szCs w:val="22"/>
          <w:lang w:eastAsia="en-US"/>
        </w:rPr>
        <w:t>о</w:t>
      </w:r>
      <w:r w:rsidRPr="00724342">
        <w:rPr>
          <w:rFonts w:eastAsia="Calibri"/>
          <w:spacing w:val="2"/>
          <w:sz w:val="22"/>
          <w:szCs w:val="22"/>
          <w:lang w:eastAsia="en-US"/>
        </w:rPr>
        <w:t>продуктивных мясных пород не являются особенно сложными в освоении и предполагают широкое использование естественных пастбищ для содержания и кормления скота. Таким образом, у России имеются все условия, необходимые для удовлетворения спроса населения на качественное мясо КРС в будущем за счет продукции собственного производства.</w:t>
      </w:r>
    </w:p>
    <w:p w:rsidR="00724342" w:rsidRPr="00724342" w:rsidRDefault="00724342" w:rsidP="006E4146">
      <w:pPr>
        <w:ind w:firstLine="426"/>
        <w:jc w:val="both"/>
        <w:rPr>
          <w:rFonts w:eastAsia="Calibri"/>
          <w:sz w:val="22"/>
          <w:szCs w:val="22"/>
          <w:lang w:eastAsia="en-US"/>
        </w:rPr>
      </w:pPr>
      <w:r w:rsidRPr="00724342">
        <w:rPr>
          <w:rFonts w:eastAsia="Calibri"/>
          <w:sz w:val="22"/>
          <w:szCs w:val="22"/>
          <w:lang w:eastAsia="en-US"/>
        </w:rPr>
        <w:t>Краснодарский край – это ведущий аграрный регион России с условиями, благоприятными для развития специализированного мясного скотоводства. Высокая обеспеченность сельскохозяйстве</w:t>
      </w:r>
      <w:r w:rsidRPr="00724342">
        <w:rPr>
          <w:rFonts w:eastAsia="Calibri"/>
          <w:sz w:val="22"/>
          <w:szCs w:val="22"/>
          <w:lang w:eastAsia="en-US"/>
        </w:rPr>
        <w:t>н</w:t>
      </w:r>
      <w:r w:rsidRPr="00724342">
        <w:rPr>
          <w:rFonts w:eastAsia="Calibri"/>
          <w:sz w:val="22"/>
          <w:szCs w:val="22"/>
          <w:lang w:eastAsia="en-US"/>
        </w:rPr>
        <w:t>ных организаций предгорной зоны пастбищами способствует з</w:t>
      </w:r>
      <w:r w:rsidRPr="00724342">
        <w:rPr>
          <w:rFonts w:eastAsia="Calibri"/>
          <w:sz w:val="22"/>
          <w:szCs w:val="22"/>
          <w:lang w:eastAsia="en-US"/>
        </w:rPr>
        <w:t>а</w:t>
      </w:r>
      <w:r w:rsidRPr="00724342">
        <w:rPr>
          <w:rFonts w:eastAsia="Calibri"/>
          <w:sz w:val="22"/>
          <w:szCs w:val="22"/>
          <w:lang w:eastAsia="en-US"/>
        </w:rPr>
        <w:t>метному развитию специализированного мясного скотоводства в южно-предгорной агроклиматической зоне региона.</w:t>
      </w:r>
    </w:p>
    <w:p w:rsidR="00724342" w:rsidRPr="00724342" w:rsidRDefault="00724342" w:rsidP="006E4146">
      <w:pPr>
        <w:ind w:firstLine="426"/>
        <w:jc w:val="both"/>
        <w:rPr>
          <w:rFonts w:eastAsia="Calibri"/>
          <w:sz w:val="22"/>
          <w:szCs w:val="22"/>
          <w:lang w:eastAsia="en-US"/>
        </w:rPr>
      </w:pPr>
      <w:r w:rsidRPr="00724342">
        <w:rPr>
          <w:rFonts w:eastAsia="Calibri"/>
          <w:sz w:val="22"/>
          <w:szCs w:val="22"/>
          <w:lang w:eastAsia="en-US"/>
        </w:rPr>
        <w:t>Стоит отметить, что развитию мясного скотоводства в нашей стране уделяется меньше внимания, чем развитию птицеводства и свиноводства. Это связано с тем, что анализируемая отрасль живо</w:t>
      </w:r>
      <w:r w:rsidRPr="00724342">
        <w:rPr>
          <w:rFonts w:eastAsia="Calibri"/>
          <w:sz w:val="22"/>
          <w:szCs w:val="22"/>
          <w:lang w:eastAsia="en-US"/>
        </w:rPr>
        <w:t>т</w:t>
      </w:r>
      <w:r w:rsidRPr="00724342">
        <w:rPr>
          <w:rFonts w:eastAsia="Calibri"/>
          <w:sz w:val="22"/>
          <w:szCs w:val="22"/>
          <w:lang w:eastAsia="en-US"/>
        </w:rPr>
        <w:t>новодства требует большого объема первоначальных капитальных вложений с более длительным сроком окупаемости.</w:t>
      </w:r>
    </w:p>
    <w:p w:rsidR="00724342" w:rsidRPr="00724342" w:rsidRDefault="00724342" w:rsidP="006E4146">
      <w:pPr>
        <w:ind w:firstLine="426"/>
        <w:jc w:val="both"/>
        <w:rPr>
          <w:rFonts w:eastAsia="Calibri"/>
          <w:spacing w:val="4"/>
          <w:sz w:val="22"/>
          <w:szCs w:val="22"/>
          <w:lang w:eastAsia="en-US"/>
        </w:rPr>
      </w:pPr>
      <w:r w:rsidRPr="00724342">
        <w:rPr>
          <w:rFonts w:eastAsia="Calibri"/>
          <w:spacing w:val="4"/>
          <w:sz w:val="22"/>
          <w:szCs w:val="22"/>
          <w:lang w:eastAsia="en-US"/>
        </w:rPr>
        <w:t>Помесные бычки характеризуются более высокой конверс</w:t>
      </w:r>
      <w:r w:rsidRPr="00724342">
        <w:rPr>
          <w:rFonts w:eastAsia="Calibri"/>
          <w:spacing w:val="4"/>
          <w:sz w:val="22"/>
          <w:szCs w:val="22"/>
          <w:lang w:eastAsia="en-US"/>
        </w:rPr>
        <w:t>и</w:t>
      </w:r>
      <w:r w:rsidRPr="00724342">
        <w:rPr>
          <w:rFonts w:eastAsia="Calibri"/>
          <w:spacing w:val="4"/>
          <w:sz w:val="22"/>
          <w:szCs w:val="22"/>
          <w:lang w:eastAsia="en-US"/>
        </w:rPr>
        <w:t>ей корма и среднесуточными привесами живой массы, чем бычки молочных пород, а их откорм до убойных весовых кондиций де</w:t>
      </w:r>
      <w:r w:rsidRPr="00724342">
        <w:rPr>
          <w:rFonts w:eastAsia="Calibri"/>
          <w:spacing w:val="4"/>
          <w:sz w:val="22"/>
          <w:szCs w:val="22"/>
          <w:lang w:eastAsia="en-US"/>
        </w:rPr>
        <w:t>й</w:t>
      </w:r>
      <w:r w:rsidRPr="00724342">
        <w:rPr>
          <w:rFonts w:eastAsia="Calibri"/>
          <w:spacing w:val="4"/>
          <w:sz w:val="22"/>
          <w:szCs w:val="22"/>
          <w:lang w:eastAsia="en-US"/>
        </w:rPr>
        <w:t>ствительно позволяет увеличить производство мяса крупного р</w:t>
      </w:r>
      <w:r w:rsidRPr="00724342">
        <w:rPr>
          <w:rFonts w:eastAsia="Calibri"/>
          <w:spacing w:val="4"/>
          <w:sz w:val="22"/>
          <w:szCs w:val="22"/>
          <w:lang w:eastAsia="en-US"/>
        </w:rPr>
        <w:t>о</w:t>
      </w:r>
      <w:r w:rsidRPr="00724342">
        <w:rPr>
          <w:rFonts w:eastAsia="Calibri"/>
          <w:spacing w:val="4"/>
          <w:sz w:val="22"/>
          <w:szCs w:val="22"/>
          <w:lang w:eastAsia="en-US"/>
        </w:rPr>
        <w:t xml:space="preserve">гатого скота и частично решить проблему импортозамещения в </w:t>
      </w:r>
      <w:r w:rsidRPr="00724342">
        <w:rPr>
          <w:rFonts w:eastAsia="Calibri"/>
          <w:spacing w:val="4"/>
          <w:sz w:val="22"/>
          <w:szCs w:val="22"/>
          <w:lang w:eastAsia="en-US"/>
        </w:rPr>
        <w:lastRenderedPageBreak/>
        <w:t>этом важном сегменте продовольственного рынка. Помесный скот получают в результате искусственного осеменения коров молочных пород семенем быков элитных мясных пород. Вместе с тем поголовье коров молочных пород с увеличением их проду</w:t>
      </w:r>
      <w:r w:rsidRPr="00724342">
        <w:rPr>
          <w:rFonts w:eastAsia="Calibri"/>
          <w:spacing w:val="4"/>
          <w:sz w:val="22"/>
          <w:szCs w:val="22"/>
          <w:lang w:eastAsia="en-US"/>
        </w:rPr>
        <w:t>к</w:t>
      </w:r>
      <w:r w:rsidRPr="00724342">
        <w:rPr>
          <w:rFonts w:eastAsia="Calibri"/>
          <w:spacing w:val="4"/>
          <w:sz w:val="22"/>
          <w:szCs w:val="22"/>
          <w:lang w:eastAsia="en-US"/>
        </w:rPr>
        <w:t>тивности будет снижаться. Принимая это во внимание, развитие мясного скотоводства на базе откорма поголовья помесных бы</w:t>
      </w:r>
      <w:r w:rsidRPr="00724342">
        <w:rPr>
          <w:rFonts w:eastAsia="Calibri"/>
          <w:spacing w:val="4"/>
          <w:sz w:val="22"/>
          <w:szCs w:val="22"/>
          <w:lang w:eastAsia="en-US"/>
        </w:rPr>
        <w:t>ч</w:t>
      </w:r>
      <w:r w:rsidRPr="00724342">
        <w:rPr>
          <w:rFonts w:eastAsia="Calibri"/>
          <w:spacing w:val="4"/>
          <w:sz w:val="22"/>
          <w:szCs w:val="22"/>
          <w:lang w:eastAsia="en-US"/>
        </w:rPr>
        <w:t>ков будет недостаточно эффективным и перспективным.</w:t>
      </w:r>
    </w:p>
    <w:p w:rsidR="00724342" w:rsidRPr="00724342" w:rsidRDefault="00724342" w:rsidP="006E4146">
      <w:pPr>
        <w:spacing w:after="120"/>
        <w:ind w:firstLine="426"/>
        <w:jc w:val="both"/>
        <w:rPr>
          <w:rFonts w:eastAsia="Calibri"/>
          <w:spacing w:val="2"/>
          <w:sz w:val="22"/>
          <w:szCs w:val="22"/>
          <w:lang w:eastAsia="en-US"/>
        </w:rPr>
      </w:pPr>
      <w:r w:rsidRPr="00724342">
        <w:rPr>
          <w:rFonts w:eastAsia="Calibri"/>
          <w:spacing w:val="2"/>
          <w:sz w:val="22"/>
          <w:szCs w:val="22"/>
          <w:lang w:eastAsia="en-US"/>
        </w:rPr>
        <w:t>Для обеспечения России мясом крупного рогатого скота со</w:t>
      </w:r>
      <w:r w:rsidRPr="00724342">
        <w:rPr>
          <w:rFonts w:eastAsia="Calibri"/>
          <w:spacing w:val="2"/>
          <w:sz w:val="22"/>
          <w:szCs w:val="22"/>
          <w:lang w:eastAsia="en-US"/>
        </w:rPr>
        <w:t>б</w:t>
      </w:r>
      <w:r w:rsidRPr="00724342">
        <w:rPr>
          <w:rFonts w:eastAsia="Calibri"/>
          <w:spacing w:val="2"/>
          <w:sz w:val="22"/>
          <w:szCs w:val="22"/>
          <w:lang w:eastAsia="en-US"/>
        </w:rPr>
        <w:t>ственного производства в среднесрочной и долгосрочной перспе</w:t>
      </w:r>
      <w:r w:rsidRPr="00724342">
        <w:rPr>
          <w:rFonts w:eastAsia="Calibri"/>
          <w:spacing w:val="2"/>
          <w:sz w:val="22"/>
          <w:szCs w:val="22"/>
          <w:lang w:eastAsia="en-US"/>
        </w:rPr>
        <w:t>к</w:t>
      </w:r>
      <w:r w:rsidRPr="00724342">
        <w:rPr>
          <w:rFonts w:eastAsia="Calibri"/>
          <w:spacing w:val="2"/>
          <w:sz w:val="22"/>
          <w:szCs w:val="22"/>
          <w:lang w:eastAsia="en-US"/>
        </w:rPr>
        <w:t>тиве необходимо значительное увеличение поголовья КРС выс</w:t>
      </w:r>
      <w:r w:rsidRPr="00724342">
        <w:rPr>
          <w:rFonts w:eastAsia="Calibri"/>
          <w:spacing w:val="2"/>
          <w:sz w:val="22"/>
          <w:szCs w:val="22"/>
          <w:lang w:eastAsia="en-US"/>
        </w:rPr>
        <w:t>о</w:t>
      </w:r>
      <w:r w:rsidRPr="00724342">
        <w:rPr>
          <w:rFonts w:eastAsia="Calibri"/>
          <w:spacing w:val="2"/>
          <w:sz w:val="22"/>
          <w:szCs w:val="22"/>
          <w:lang w:eastAsia="en-US"/>
        </w:rPr>
        <w:t xml:space="preserve">копродуктивных мясных пород. </w:t>
      </w:r>
    </w:p>
    <w:p w:rsidR="00724342" w:rsidRPr="00724342" w:rsidRDefault="00724342" w:rsidP="006E4146">
      <w:pPr>
        <w:spacing w:after="120"/>
        <w:ind w:firstLine="426"/>
        <w:jc w:val="center"/>
        <w:rPr>
          <w:rFonts w:eastAsia="Calibri"/>
          <w:sz w:val="22"/>
          <w:szCs w:val="22"/>
          <w:lang w:eastAsia="en-US"/>
        </w:rPr>
      </w:pPr>
      <w:r w:rsidRPr="00724342">
        <w:rPr>
          <w:rFonts w:eastAsia="Calibri"/>
          <w:sz w:val="22"/>
          <w:szCs w:val="22"/>
          <w:lang w:eastAsia="en-US"/>
        </w:rPr>
        <w:t>Список литературы</w:t>
      </w:r>
    </w:p>
    <w:p w:rsidR="00724342" w:rsidRPr="00724342" w:rsidRDefault="00724342" w:rsidP="006E4146">
      <w:pPr>
        <w:ind w:firstLine="426"/>
        <w:jc w:val="both"/>
        <w:rPr>
          <w:rFonts w:eastAsia="Calibri"/>
          <w:spacing w:val="4"/>
          <w:sz w:val="22"/>
          <w:szCs w:val="22"/>
          <w:lang w:eastAsia="en-US"/>
        </w:rPr>
      </w:pPr>
      <w:r w:rsidRPr="00724342">
        <w:rPr>
          <w:rFonts w:eastAsia="Calibri"/>
          <w:spacing w:val="4"/>
          <w:sz w:val="22"/>
          <w:szCs w:val="22"/>
          <w:lang w:eastAsia="en-US"/>
        </w:rPr>
        <w:t>1. Бершицкий, Ю. И. Факторы экономической эффективн</w:t>
      </w:r>
      <w:r w:rsidRPr="00724342">
        <w:rPr>
          <w:rFonts w:eastAsia="Calibri"/>
          <w:spacing w:val="4"/>
          <w:sz w:val="22"/>
          <w:szCs w:val="22"/>
          <w:lang w:eastAsia="en-US"/>
        </w:rPr>
        <w:t>о</w:t>
      </w:r>
      <w:r w:rsidRPr="00724342">
        <w:rPr>
          <w:rFonts w:eastAsia="Calibri"/>
          <w:spacing w:val="4"/>
          <w:sz w:val="22"/>
          <w:szCs w:val="22"/>
          <w:lang w:eastAsia="en-US"/>
        </w:rPr>
        <w:t>сти специализированного производства говядины [Текст] / Ю. И. Бершицкий, А. Р. Сайфетдинов // Труды Кубанского госуда</w:t>
      </w:r>
      <w:r w:rsidRPr="00724342">
        <w:rPr>
          <w:rFonts w:eastAsia="Calibri"/>
          <w:spacing w:val="4"/>
          <w:sz w:val="22"/>
          <w:szCs w:val="22"/>
          <w:lang w:eastAsia="en-US"/>
        </w:rPr>
        <w:t>р</w:t>
      </w:r>
      <w:r w:rsidRPr="00724342">
        <w:rPr>
          <w:rFonts w:eastAsia="Calibri"/>
          <w:spacing w:val="4"/>
          <w:sz w:val="22"/>
          <w:szCs w:val="22"/>
          <w:lang w:eastAsia="en-US"/>
        </w:rPr>
        <w:t>ственного агарного университета – 2013. – №</w:t>
      </w:r>
      <w:r w:rsidRPr="00724342">
        <w:rPr>
          <w:rFonts w:eastAsia="Calibri"/>
          <w:i/>
          <w:spacing w:val="4"/>
          <w:sz w:val="22"/>
          <w:szCs w:val="22"/>
          <w:lang w:eastAsia="en-US"/>
        </w:rPr>
        <w:t> </w:t>
      </w:r>
      <w:r w:rsidRPr="00724342">
        <w:rPr>
          <w:rFonts w:eastAsia="Calibri"/>
          <w:spacing w:val="4"/>
          <w:sz w:val="22"/>
          <w:szCs w:val="22"/>
          <w:lang w:eastAsia="en-US"/>
        </w:rPr>
        <w:t>6(45) – с. 13–20.</w:t>
      </w:r>
    </w:p>
    <w:p w:rsidR="00724342" w:rsidRPr="00724342" w:rsidRDefault="00724342" w:rsidP="006E4146">
      <w:pPr>
        <w:ind w:firstLine="426"/>
        <w:jc w:val="both"/>
        <w:rPr>
          <w:rFonts w:eastAsia="Calibri"/>
          <w:sz w:val="22"/>
          <w:szCs w:val="22"/>
          <w:lang w:eastAsia="en-US"/>
        </w:rPr>
      </w:pPr>
      <w:r w:rsidRPr="00724342">
        <w:rPr>
          <w:rFonts w:eastAsia="Calibri"/>
          <w:sz w:val="22"/>
          <w:szCs w:val="22"/>
          <w:lang w:eastAsia="en-US"/>
        </w:rPr>
        <w:t>2. Бершицкий, Ю. И. Экономика формирования и развития специализированного мясного скотоводства в сельскохозяйстве</w:t>
      </w:r>
      <w:r w:rsidRPr="00724342">
        <w:rPr>
          <w:rFonts w:eastAsia="Calibri"/>
          <w:sz w:val="22"/>
          <w:szCs w:val="22"/>
          <w:lang w:eastAsia="en-US"/>
        </w:rPr>
        <w:t>н</w:t>
      </w:r>
      <w:r w:rsidRPr="00724342">
        <w:rPr>
          <w:rFonts w:eastAsia="Calibri"/>
          <w:sz w:val="22"/>
          <w:szCs w:val="22"/>
          <w:lang w:eastAsia="en-US"/>
        </w:rPr>
        <w:t>ных организациях Краснодарского края [Текст]</w:t>
      </w:r>
      <w:r w:rsidRPr="00724342">
        <w:rPr>
          <w:rFonts w:ascii="Calibri" w:eastAsia="Calibri" w:hAnsi="Calibri"/>
          <w:sz w:val="22"/>
          <w:szCs w:val="22"/>
          <w:lang w:eastAsia="en-US"/>
        </w:rPr>
        <w:t> </w:t>
      </w:r>
      <w:r w:rsidRPr="00724342">
        <w:rPr>
          <w:rFonts w:eastAsia="Calibri"/>
          <w:sz w:val="22"/>
          <w:szCs w:val="22"/>
          <w:lang w:eastAsia="en-US"/>
        </w:rPr>
        <w:t>: монография / Ю. И. Бершицкий, А. Р. Сайфетдинов. – Краснодар : КубГАУ, 2016. – 191 с.</w:t>
      </w:r>
    </w:p>
    <w:p w:rsidR="00724342" w:rsidRPr="00724342" w:rsidRDefault="00724342" w:rsidP="006E4146">
      <w:pPr>
        <w:ind w:firstLine="426"/>
        <w:jc w:val="both"/>
        <w:rPr>
          <w:rFonts w:eastAsia="Calibri"/>
          <w:sz w:val="22"/>
          <w:szCs w:val="22"/>
          <w:lang w:eastAsia="en-US"/>
        </w:rPr>
      </w:pPr>
      <w:r w:rsidRPr="00724342">
        <w:rPr>
          <w:rFonts w:eastAsia="Calibri"/>
          <w:sz w:val="22"/>
          <w:szCs w:val="22"/>
          <w:lang w:eastAsia="en-US"/>
        </w:rPr>
        <w:t>3. Соколова А. П. Основные тенденции и перспективы развития мясного скотоводства в РФ [Электронный ресурс] / А. П. Соколова, Г. Н. Литвиненко, А. А. Исаева, С. А. Устян // Политематический сетевой электронный журнал Кубанского государственного агра</w:t>
      </w:r>
      <w:r w:rsidRPr="00724342">
        <w:rPr>
          <w:rFonts w:eastAsia="Calibri"/>
          <w:sz w:val="22"/>
          <w:szCs w:val="22"/>
          <w:lang w:eastAsia="en-US"/>
        </w:rPr>
        <w:t>р</w:t>
      </w:r>
      <w:r w:rsidRPr="00724342">
        <w:rPr>
          <w:rFonts w:eastAsia="Calibri"/>
          <w:sz w:val="22"/>
          <w:szCs w:val="22"/>
          <w:lang w:eastAsia="en-US"/>
        </w:rPr>
        <w:t>ного университета – 2016. </w:t>
      </w:r>
      <w:r w:rsidRPr="00724342">
        <w:rPr>
          <w:rFonts w:eastAsia="Calibri"/>
          <w:sz w:val="22"/>
          <w:szCs w:val="22"/>
          <w:lang w:eastAsia="en-US"/>
        </w:rPr>
        <w:noBreakHyphen/>
        <w:t xml:space="preserve"> № 117 – С. 525–539.</w:t>
      </w:r>
    </w:p>
    <w:p w:rsidR="00724342" w:rsidRPr="00724342" w:rsidRDefault="00724342" w:rsidP="006E4146">
      <w:pPr>
        <w:tabs>
          <w:tab w:val="left" w:pos="993"/>
        </w:tabs>
        <w:ind w:firstLine="426"/>
        <w:jc w:val="both"/>
        <w:rPr>
          <w:sz w:val="22"/>
          <w:szCs w:val="22"/>
        </w:rPr>
      </w:pPr>
      <w:r w:rsidRPr="00724342">
        <w:rPr>
          <w:rFonts w:eastAsia="Calibri"/>
          <w:sz w:val="22"/>
          <w:szCs w:val="22"/>
          <w:lang w:eastAsia="en-US"/>
        </w:rPr>
        <w:t>4. </w:t>
      </w:r>
      <w:r w:rsidRPr="00724342">
        <w:rPr>
          <w:sz w:val="22"/>
          <w:szCs w:val="22"/>
        </w:rPr>
        <w:t>Стратегия развития аграрной сферы экономики: проблемы и пути решения: Коллективная монография [Текст] / А. И. Алтухов [и др.]; под общ. ред. д-ра экон. наук, профессора А. И. Трубилина. – Краснодар : Просвещение-Юг, 2017. – 703 с.</w:t>
      </w:r>
    </w:p>
    <w:p w:rsidR="00724342" w:rsidRPr="00724342" w:rsidRDefault="00724342" w:rsidP="00724342">
      <w:pPr>
        <w:jc w:val="both"/>
        <w:rPr>
          <w:rFonts w:eastAsiaTheme="minorHAnsi"/>
          <w:spacing w:val="-2"/>
          <w:sz w:val="20"/>
          <w:szCs w:val="22"/>
          <w:lang w:eastAsia="en-US"/>
        </w:rPr>
      </w:pPr>
    </w:p>
    <w:p w:rsidR="00724342" w:rsidRPr="00724342" w:rsidRDefault="00724342" w:rsidP="00724342">
      <w:pPr>
        <w:jc w:val="both"/>
        <w:rPr>
          <w:rFonts w:eastAsiaTheme="minorHAnsi"/>
          <w:spacing w:val="-2"/>
          <w:sz w:val="20"/>
          <w:szCs w:val="22"/>
          <w:lang w:eastAsia="en-US"/>
        </w:rPr>
      </w:pPr>
    </w:p>
    <w:p w:rsidR="00724342" w:rsidRDefault="00724342" w:rsidP="00724342">
      <w:pPr>
        <w:jc w:val="both"/>
        <w:rPr>
          <w:rFonts w:eastAsiaTheme="minorHAnsi"/>
          <w:spacing w:val="-2"/>
          <w:sz w:val="20"/>
          <w:szCs w:val="22"/>
          <w:lang w:eastAsia="en-US"/>
        </w:rPr>
      </w:pPr>
    </w:p>
    <w:p w:rsidR="002A1EE0" w:rsidRDefault="002A1EE0" w:rsidP="00724342">
      <w:pPr>
        <w:jc w:val="both"/>
        <w:rPr>
          <w:rFonts w:eastAsiaTheme="minorHAnsi"/>
          <w:spacing w:val="-2"/>
          <w:sz w:val="20"/>
          <w:szCs w:val="22"/>
          <w:lang w:eastAsia="en-US"/>
        </w:rPr>
      </w:pPr>
    </w:p>
    <w:p w:rsidR="002A1EE0" w:rsidRDefault="002A1EE0" w:rsidP="00724342">
      <w:pPr>
        <w:jc w:val="both"/>
        <w:rPr>
          <w:rFonts w:eastAsiaTheme="minorHAnsi"/>
          <w:spacing w:val="-2"/>
          <w:sz w:val="20"/>
          <w:szCs w:val="22"/>
          <w:lang w:eastAsia="en-US"/>
        </w:rPr>
      </w:pPr>
    </w:p>
    <w:p w:rsidR="002A1EE0" w:rsidRDefault="002A1EE0" w:rsidP="00724342">
      <w:pPr>
        <w:jc w:val="both"/>
        <w:rPr>
          <w:rFonts w:eastAsiaTheme="minorHAnsi"/>
          <w:spacing w:val="-2"/>
          <w:sz w:val="20"/>
          <w:szCs w:val="22"/>
          <w:lang w:eastAsia="en-US"/>
        </w:rPr>
      </w:pPr>
    </w:p>
    <w:p w:rsidR="002A1EE0" w:rsidRPr="00724342" w:rsidRDefault="002A1EE0" w:rsidP="00724342">
      <w:pPr>
        <w:jc w:val="both"/>
        <w:rPr>
          <w:rFonts w:eastAsiaTheme="minorHAnsi"/>
          <w:spacing w:val="-2"/>
          <w:sz w:val="20"/>
          <w:szCs w:val="22"/>
          <w:lang w:eastAsia="en-US"/>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r w:rsidRPr="00724342">
        <w:rPr>
          <w:rFonts w:ascii="Times New Roman CYR" w:hAnsi="Times New Roman CYR" w:cs="Times New Roman CYR"/>
          <w:sz w:val="22"/>
          <w:szCs w:val="22"/>
        </w:rPr>
        <w:lastRenderedPageBreak/>
        <w:t>УДК 331.53</w:t>
      </w:r>
    </w:p>
    <w:p w:rsidR="00724342" w:rsidRPr="00724342" w:rsidRDefault="00724342" w:rsidP="00724342">
      <w:pPr>
        <w:widowControl w:val="0"/>
        <w:autoSpaceDE w:val="0"/>
        <w:autoSpaceDN w:val="0"/>
        <w:adjustRightInd w:val="0"/>
        <w:jc w:val="both"/>
        <w:rPr>
          <w:rFonts w:ascii="Times New Roman CYR" w:hAnsi="Times New Roman CYR" w:cs="Times New Roman CYR"/>
          <w:b/>
          <w:bCs/>
          <w:sz w:val="22"/>
          <w:szCs w:val="22"/>
        </w:rPr>
      </w:pPr>
    </w:p>
    <w:p w:rsidR="00724342" w:rsidRPr="006E4146" w:rsidRDefault="00724342" w:rsidP="00724342">
      <w:pPr>
        <w:widowControl w:val="0"/>
        <w:autoSpaceDE w:val="0"/>
        <w:autoSpaceDN w:val="0"/>
        <w:adjustRightInd w:val="0"/>
        <w:jc w:val="center"/>
        <w:rPr>
          <w:rFonts w:ascii="Times New Roman CYR" w:hAnsi="Times New Roman CYR" w:cs="Times New Roman CYR"/>
          <w:b/>
          <w:bCs/>
          <w:sz w:val="24"/>
          <w:szCs w:val="24"/>
        </w:rPr>
      </w:pPr>
      <w:r w:rsidRPr="006E4146">
        <w:rPr>
          <w:rFonts w:ascii="Times New Roman CYR" w:hAnsi="Times New Roman CYR" w:cs="Times New Roman CYR"/>
          <w:b/>
          <w:bCs/>
          <w:sz w:val="24"/>
          <w:szCs w:val="24"/>
        </w:rPr>
        <w:t xml:space="preserve">Современное состояние молодежного рынка труда </w:t>
      </w:r>
    </w:p>
    <w:p w:rsidR="00724342" w:rsidRPr="006E4146" w:rsidRDefault="00724342" w:rsidP="00724342">
      <w:pPr>
        <w:widowControl w:val="0"/>
        <w:autoSpaceDE w:val="0"/>
        <w:autoSpaceDN w:val="0"/>
        <w:adjustRightInd w:val="0"/>
        <w:jc w:val="center"/>
        <w:rPr>
          <w:rFonts w:ascii="Times New Roman CYR" w:hAnsi="Times New Roman CYR" w:cs="Times New Roman CYR"/>
          <w:b/>
          <w:bCs/>
          <w:sz w:val="24"/>
          <w:szCs w:val="24"/>
          <w:lang w:val="en-US"/>
        </w:rPr>
      </w:pPr>
      <w:r w:rsidRPr="006E4146">
        <w:rPr>
          <w:rFonts w:ascii="Times New Roman CYR" w:hAnsi="Times New Roman CYR" w:cs="Times New Roman CYR"/>
          <w:b/>
          <w:bCs/>
          <w:sz w:val="24"/>
          <w:szCs w:val="24"/>
        </w:rPr>
        <w:t>в</w:t>
      </w:r>
      <w:r w:rsidRPr="006E4146">
        <w:rPr>
          <w:rFonts w:ascii="Times New Roman CYR" w:hAnsi="Times New Roman CYR" w:cs="Times New Roman CYR"/>
          <w:b/>
          <w:bCs/>
          <w:sz w:val="24"/>
          <w:szCs w:val="24"/>
          <w:lang w:val="en-US"/>
        </w:rPr>
        <w:t xml:space="preserve"> </w:t>
      </w:r>
      <w:r w:rsidRPr="006E4146">
        <w:rPr>
          <w:rFonts w:ascii="Times New Roman CYR" w:hAnsi="Times New Roman CYR" w:cs="Times New Roman CYR"/>
          <w:b/>
          <w:bCs/>
          <w:sz w:val="24"/>
          <w:szCs w:val="24"/>
        </w:rPr>
        <w:t>России</w:t>
      </w:r>
    </w:p>
    <w:p w:rsidR="00724342" w:rsidRPr="006E4146" w:rsidRDefault="00724342" w:rsidP="00724342">
      <w:pPr>
        <w:widowControl w:val="0"/>
        <w:autoSpaceDE w:val="0"/>
        <w:autoSpaceDN w:val="0"/>
        <w:adjustRightInd w:val="0"/>
        <w:jc w:val="center"/>
        <w:rPr>
          <w:rFonts w:ascii="Times New Roman CYR" w:hAnsi="Times New Roman CYR" w:cs="Times New Roman CYR"/>
          <w:b/>
          <w:bCs/>
          <w:sz w:val="24"/>
          <w:szCs w:val="24"/>
          <w:lang w:val="en-US"/>
        </w:rPr>
      </w:pPr>
      <w:r w:rsidRPr="006E4146">
        <w:rPr>
          <w:rFonts w:ascii="Times New Roman CYR" w:hAnsi="Times New Roman CYR" w:cs="Times New Roman CYR"/>
          <w:b/>
          <w:bCs/>
          <w:sz w:val="24"/>
          <w:szCs w:val="24"/>
          <w:lang w:val="en-US"/>
        </w:rPr>
        <w:t>The current state of the youth labor market in Russia</w:t>
      </w:r>
    </w:p>
    <w:p w:rsidR="00724342" w:rsidRPr="00724342" w:rsidRDefault="00724342" w:rsidP="00724342">
      <w:pPr>
        <w:widowControl w:val="0"/>
        <w:autoSpaceDE w:val="0"/>
        <w:autoSpaceDN w:val="0"/>
        <w:adjustRightInd w:val="0"/>
        <w:jc w:val="center"/>
        <w:rPr>
          <w:rFonts w:ascii="Times New Roman CYR" w:hAnsi="Times New Roman CYR" w:cs="Times New Roman CYR"/>
          <w:b/>
          <w:bCs/>
          <w:sz w:val="22"/>
          <w:szCs w:val="22"/>
          <w:lang w:val="en-US"/>
        </w:rPr>
      </w:pPr>
    </w:p>
    <w:p w:rsidR="00724342" w:rsidRPr="00724342" w:rsidRDefault="00724342" w:rsidP="00724342">
      <w:pPr>
        <w:widowControl w:val="0"/>
        <w:autoSpaceDE w:val="0"/>
        <w:autoSpaceDN w:val="0"/>
        <w:adjustRightInd w:val="0"/>
        <w:jc w:val="right"/>
        <w:rPr>
          <w:rFonts w:ascii="Times New Roman CYR" w:hAnsi="Times New Roman CYR" w:cs="Times New Roman CYR"/>
          <w:bCs/>
          <w:sz w:val="22"/>
          <w:szCs w:val="22"/>
        </w:rPr>
      </w:pPr>
      <w:r w:rsidRPr="00724342">
        <w:rPr>
          <w:rFonts w:ascii="Times New Roman CYR" w:hAnsi="Times New Roman CYR" w:cs="Times New Roman CYR"/>
          <w:b/>
          <w:bCs/>
          <w:sz w:val="22"/>
          <w:szCs w:val="22"/>
          <w:lang w:val="en-US"/>
        </w:rPr>
        <w:t xml:space="preserve">                                                                          </w:t>
      </w:r>
      <w:r w:rsidRPr="00724342">
        <w:rPr>
          <w:rFonts w:ascii="Times New Roman CYR" w:hAnsi="Times New Roman CYR" w:cs="Times New Roman CYR"/>
          <w:bCs/>
          <w:sz w:val="22"/>
          <w:szCs w:val="22"/>
        </w:rPr>
        <w:t>Зябкина С. А.,</w:t>
      </w:r>
    </w:p>
    <w:p w:rsidR="00724342" w:rsidRPr="00724342" w:rsidRDefault="00724342" w:rsidP="00724342">
      <w:pPr>
        <w:widowControl w:val="0"/>
        <w:autoSpaceDE w:val="0"/>
        <w:autoSpaceDN w:val="0"/>
        <w:adjustRightInd w:val="0"/>
        <w:jc w:val="right"/>
        <w:rPr>
          <w:rFonts w:ascii="Times New Roman CYR" w:hAnsi="Times New Roman CYR" w:cs="Times New Roman CYR"/>
          <w:i/>
          <w:iCs/>
          <w:sz w:val="22"/>
          <w:szCs w:val="22"/>
        </w:rPr>
      </w:pPr>
      <w:r w:rsidRPr="00724342">
        <w:rPr>
          <w:sz w:val="22"/>
          <w:szCs w:val="22"/>
        </w:rPr>
        <w:t>студентка 2-го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widowControl w:val="0"/>
        <w:autoSpaceDE w:val="0"/>
        <w:autoSpaceDN w:val="0"/>
        <w:adjustRightInd w:val="0"/>
        <w:jc w:val="right"/>
        <w:rPr>
          <w:rFonts w:eastAsiaTheme="minorHAnsi"/>
          <w:sz w:val="22"/>
          <w:szCs w:val="22"/>
          <w:lang w:eastAsia="en-US"/>
        </w:rPr>
      </w:pPr>
      <w:r w:rsidRPr="00724342">
        <w:rPr>
          <w:rFonts w:eastAsiaTheme="minorHAnsi"/>
          <w:sz w:val="22"/>
          <w:szCs w:val="22"/>
          <w:lang w:eastAsia="en-US"/>
        </w:rPr>
        <w:t>университет имени И.</w:t>
      </w:r>
      <w:r w:rsidR="006E4146">
        <w:rPr>
          <w:rFonts w:eastAsiaTheme="minorHAnsi"/>
          <w:sz w:val="22"/>
          <w:szCs w:val="22"/>
          <w:lang w:eastAsia="en-US"/>
        </w:rPr>
        <w:t xml:space="preserve"> </w:t>
      </w:r>
      <w:r w:rsidRPr="00724342">
        <w:rPr>
          <w:rFonts w:eastAsiaTheme="minorHAnsi"/>
          <w:sz w:val="22"/>
          <w:szCs w:val="22"/>
          <w:lang w:eastAsia="en-US"/>
        </w:rPr>
        <w:t>Т. Трубилина</w:t>
      </w:r>
    </w:p>
    <w:p w:rsidR="00724342" w:rsidRPr="00724342" w:rsidRDefault="00724342" w:rsidP="00724342">
      <w:pPr>
        <w:widowControl w:val="0"/>
        <w:autoSpaceDE w:val="0"/>
        <w:autoSpaceDN w:val="0"/>
        <w:adjustRightInd w:val="0"/>
        <w:jc w:val="right"/>
        <w:rPr>
          <w:rFonts w:ascii="Times New Roman CYR" w:hAnsi="Times New Roman CYR" w:cs="Times New Roman CYR"/>
          <w:b/>
          <w:bCs/>
          <w:sz w:val="22"/>
          <w:szCs w:val="22"/>
        </w:rPr>
      </w:pP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b/>
          <w:bCs/>
          <w:sz w:val="22"/>
          <w:szCs w:val="22"/>
        </w:rPr>
      </w:pPr>
      <w:r w:rsidRPr="00724342">
        <w:rPr>
          <w:sz w:val="22"/>
          <w:szCs w:val="22"/>
        </w:rPr>
        <w:t xml:space="preserve">АННОТАЦИЯ: </w:t>
      </w:r>
      <w:r w:rsidRPr="00724342">
        <w:rPr>
          <w:rFonts w:ascii="Times New Roman CYR" w:hAnsi="Times New Roman CYR" w:cs="Times New Roman CYR"/>
          <w:sz w:val="22"/>
          <w:szCs w:val="22"/>
        </w:rPr>
        <w:t>В данной статье анализируются проблемы тр</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доустройства молодежи на рынке труда в России, с которыми наиболее часто сталкиваются молодые люди, закончившие образ</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вательные учреждения и стремящиеся устроиться на работу по сп</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циальности, а также затрагиваются вакансии рынка труда, на кот</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рые претендуют молодые специалисты.</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lang w:val="en-US"/>
        </w:rPr>
      </w:pPr>
      <w:r w:rsidRPr="00724342">
        <w:rPr>
          <w:sz w:val="22"/>
          <w:szCs w:val="22"/>
          <w:lang w:val="en-US"/>
        </w:rPr>
        <w:t>ABSTRACT: This article analyzes the problems of youth emplo</w:t>
      </w:r>
      <w:r w:rsidRPr="00724342">
        <w:rPr>
          <w:sz w:val="22"/>
          <w:szCs w:val="22"/>
          <w:lang w:val="en-US"/>
        </w:rPr>
        <w:t>y</w:t>
      </w:r>
      <w:r w:rsidRPr="00724342">
        <w:rPr>
          <w:sz w:val="22"/>
          <w:szCs w:val="22"/>
          <w:lang w:val="en-US"/>
        </w:rPr>
        <w:t>ment in the labor market in Russia, which are most often encountered by young people who have graduated from educational institutions and who are striving to get a job in their specialty, as well as the job market v</w:t>
      </w:r>
      <w:r w:rsidRPr="00724342">
        <w:rPr>
          <w:sz w:val="22"/>
          <w:szCs w:val="22"/>
          <w:lang w:val="en-US"/>
        </w:rPr>
        <w:t>a</w:t>
      </w:r>
      <w:r w:rsidRPr="00724342">
        <w:rPr>
          <w:sz w:val="22"/>
          <w:szCs w:val="22"/>
          <w:lang w:val="en-US"/>
        </w:rPr>
        <w:t>cancies claimed by young specialists.</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sz w:val="22"/>
          <w:szCs w:val="22"/>
        </w:rPr>
        <w:t xml:space="preserve">КЛЮЧЕВЫЕ СЛОВА: </w:t>
      </w:r>
      <w:r w:rsidRPr="00724342">
        <w:rPr>
          <w:rFonts w:ascii="Times New Roman CYR" w:hAnsi="Times New Roman CYR" w:cs="Times New Roman CYR"/>
          <w:sz w:val="22"/>
          <w:szCs w:val="22"/>
        </w:rPr>
        <w:t xml:space="preserve">Молодежный рынок труда, заработная плата, трудоустройство, занятость, безработица, вакансии. </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lang w:val="en-US"/>
        </w:rPr>
      </w:pPr>
      <w:r w:rsidRPr="00724342">
        <w:rPr>
          <w:sz w:val="22"/>
          <w:szCs w:val="22"/>
          <w:lang w:val="en-US"/>
        </w:rPr>
        <w:t>KEYWORDS: Youth labor market, wages, employment, emplo</w:t>
      </w:r>
      <w:r w:rsidRPr="00724342">
        <w:rPr>
          <w:sz w:val="22"/>
          <w:szCs w:val="22"/>
          <w:lang w:val="en-US"/>
        </w:rPr>
        <w:t>y</w:t>
      </w:r>
      <w:r w:rsidRPr="00724342">
        <w:rPr>
          <w:sz w:val="22"/>
          <w:szCs w:val="22"/>
          <w:lang w:val="en-US"/>
        </w:rPr>
        <w:t>ment, unemployment, vacancies.</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lang w:val="en-US"/>
        </w:rPr>
      </w:pP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На сегодняшний день в социально-экономических условиях развития современной России, ни для кого не секрет, что професс</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ональное образование становится областью приоритетных интер</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сов государства, и это довольно-таки обосновано, потому что име</w:t>
      </w:r>
      <w:r w:rsidRPr="00724342">
        <w:rPr>
          <w:rFonts w:ascii="Times New Roman CYR" w:hAnsi="Times New Roman CYR" w:cs="Times New Roman CYR"/>
          <w:sz w:val="22"/>
          <w:szCs w:val="22"/>
        </w:rPr>
        <w:t>н</w:t>
      </w:r>
      <w:r w:rsidRPr="00724342">
        <w:rPr>
          <w:rFonts w:ascii="Times New Roman CYR" w:hAnsi="Times New Roman CYR" w:cs="Times New Roman CYR"/>
          <w:sz w:val="22"/>
          <w:szCs w:val="22"/>
        </w:rPr>
        <w:t>но оно является необходимым фактором устойчивого экономич</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ского роста страны, совершенствования гражданского общества, влияет на социальное, физическое и нравственное здоровье насел</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ния.</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В настоящий период времени на трудовой рынок большое вл</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яние оказывают такие аспекты, как изменение структуры эконом</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lastRenderedPageBreak/>
        <w:t>ки России, изменение форм собственности и развитие новых видов деятельности, связанной с экономикой. Так же вместе с изменением рынка труда, изменения происходят и в системе профессионального образования. Предлагаемые профессиональными образовательными учреждениями программы обучения должны соответствовать пе</w:t>
      </w:r>
      <w:r w:rsidRPr="00724342">
        <w:rPr>
          <w:rFonts w:ascii="Times New Roman CYR" w:hAnsi="Times New Roman CYR" w:cs="Times New Roman CYR"/>
          <w:sz w:val="22"/>
          <w:szCs w:val="22"/>
        </w:rPr>
        <w:t>р</w:t>
      </w:r>
      <w:r w:rsidRPr="00724342">
        <w:rPr>
          <w:rFonts w:ascii="Times New Roman CYR" w:hAnsi="Times New Roman CYR" w:cs="Times New Roman CYR"/>
          <w:sz w:val="22"/>
          <w:szCs w:val="22"/>
        </w:rPr>
        <w:t>спективам развития трудового рынка и давать будущему специал</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 xml:space="preserve">сту необходимые профессиональные знания и умения, которые в дальнейшем помогут ему быть способным к конкуренции среди других претендентов на вакантные рабочие места </w:t>
      </w:r>
      <w:r w:rsidRPr="00724342">
        <w:rPr>
          <w:sz w:val="22"/>
          <w:szCs w:val="22"/>
        </w:rPr>
        <w:t>[</w:t>
      </w:r>
      <w:r w:rsidRPr="00724342">
        <w:rPr>
          <w:rFonts w:ascii="Times New Roman CYR" w:hAnsi="Times New Roman CYR" w:cs="Times New Roman CYR"/>
          <w:sz w:val="22"/>
          <w:szCs w:val="22"/>
        </w:rPr>
        <w:t>1</w:t>
      </w:r>
      <w:r w:rsidRPr="00724342">
        <w:rPr>
          <w:sz w:val="22"/>
          <w:szCs w:val="22"/>
        </w:rPr>
        <w:t>]</w:t>
      </w:r>
      <w:r w:rsidRPr="00724342">
        <w:rPr>
          <w:rFonts w:ascii="Times New Roman CYR" w:hAnsi="Times New Roman CYR" w:cs="Times New Roman CYR"/>
          <w:sz w:val="22"/>
          <w:szCs w:val="22"/>
        </w:rPr>
        <w:t>.</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Кроме этого, на современном рынке труда происходят очень быстрые изменения не только в экономических, но и в социальных отношениях. На сегодняшний день рассчитывать на професси</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нальный успех может только тот человек, который умеет быстро адаптироваться к переменам, принимать правильные решения, кто имеет набор определенных личных и деловых качеств [4]. По-настоящему конкурентоспособным будет работник, который не только хорошо теоретически подкован в своей профессии, но и внимателен и умеет общаться людьми, стрессоустойчив, может р</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ботать в коллективе, выполнять поставленные задачи вовремя, м</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жет презентовать продукт своего труда работодателю и широкой публике.</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Особенной социальной группой, которая способна оказать с</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щественное влияние на состояние трудового рынка в ближайшем будущем, является молодежь, получающая сегодня профессионал</w:t>
      </w:r>
      <w:r w:rsidRPr="00724342">
        <w:rPr>
          <w:rFonts w:ascii="Times New Roman CYR" w:hAnsi="Times New Roman CYR" w:cs="Times New Roman CYR"/>
          <w:sz w:val="22"/>
          <w:szCs w:val="22"/>
        </w:rPr>
        <w:t>ь</w:t>
      </w:r>
      <w:r w:rsidRPr="00724342">
        <w:rPr>
          <w:rFonts w:ascii="Times New Roman CYR" w:hAnsi="Times New Roman CYR" w:cs="Times New Roman CYR"/>
          <w:sz w:val="22"/>
          <w:szCs w:val="22"/>
        </w:rPr>
        <w:t>ное образование. Им легче приспосабливаться и адаптироваться в условиях современной рыночной экономики, которые не стоят на месте и постоянно меняются, им легче изучать, они перспективнее мыслят, они более мобильны, гораздо любознательнее, целеустре</w:t>
      </w:r>
      <w:r w:rsidRPr="00724342">
        <w:rPr>
          <w:rFonts w:ascii="Times New Roman CYR" w:hAnsi="Times New Roman CYR" w:cs="Times New Roman CYR"/>
          <w:sz w:val="22"/>
          <w:szCs w:val="22"/>
        </w:rPr>
        <w:t>м</w:t>
      </w:r>
      <w:r w:rsidRPr="00724342">
        <w:rPr>
          <w:rFonts w:ascii="Times New Roman CYR" w:hAnsi="Times New Roman CYR" w:cs="Times New Roman CYR"/>
          <w:sz w:val="22"/>
          <w:szCs w:val="22"/>
        </w:rPr>
        <w:t>ленные, часто образованнее, чем люди в зрелом возрасте, тем не менее, они чаще не востребованы в силу отсутствия практических навыков и опыта, завышенных амбиций на рынке рабочей силы. Они в основном входят в группу риска, им сложнее найти подход</w:t>
      </w:r>
      <w:r w:rsidRPr="00724342">
        <w:rPr>
          <w:rFonts w:ascii="Times New Roman CYR" w:hAnsi="Times New Roman CYR" w:cs="Times New Roman CYR"/>
          <w:sz w:val="22"/>
          <w:szCs w:val="22"/>
        </w:rPr>
        <w:t>я</w:t>
      </w:r>
      <w:r w:rsidRPr="00724342">
        <w:rPr>
          <w:rFonts w:ascii="Times New Roman CYR" w:hAnsi="Times New Roman CYR" w:cs="Times New Roman CYR"/>
          <w:sz w:val="22"/>
          <w:szCs w:val="22"/>
        </w:rPr>
        <w:t xml:space="preserve">щую работу и стать достойными участниками российского рынка труда </w:t>
      </w:r>
      <w:r w:rsidRPr="00724342">
        <w:rPr>
          <w:sz w:val="22"/>
          <w:szCs w:val="22"/>
        </w:rPr>
        <w:t>[3]</w:t>
      </w:r>
      <w:r w:rsidRPr="00724342">
        <w:rPr>
          <w:rFonts w:ascii="Times New Roman CYR" w:hAnsi="Times New Roman CYR" w:cs="Times New Roman CYR"/>
          <w:sz w:val="22"/>
          <w:szCs w:val="22"/>
        </w:rPr>
        <w:t>.</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Большая часть выпускников трудоустраивается на предприятия по заявкам работодателей, примерно 9% выпускников -призываются в ряды Армии России, около 16% выпускников пр</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 xml:space="preserve">должают учебу, и, около 30% </w:t>
      </w:r>
      <w:r w:rsidRPr="00724342">
        <w:rPr>
          <w:sz w:val="22"/>
          <w:szCs w:val="22"/>
        </w:rPr>
        <w:t xml:space="preserve">– </w:t>
      </w:r>
      <w:r w:rsidRPr="00724342">
        <w:rPr>
          <w:rFonts w:ascii="Times New Roman CYR" w:hAnsi="Times New Roman CYR" w:cs="Times New Roman CYR"/>
          <w:sz w:val="22"/>
          <w:szCs w:val="22"/>
        </w:rPr>
        <w:t>ориентированы на свободное труд</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lastRenderedPageBreak/>
        <w:t>устройство. Наиболее активные и целеустремленные молодые люди самостоятельно решают проблемы трудоустройства, в то время как некоторым выпускникам требуется помощь специализированных служб.</w:t>
      </w:r>
      <w:r w:rsidRPr="00724342">
        <w:rPr>
          <w:sz w:val="22"/>
          <w:szCs w:val="22"/>
        </w:rPr>
        <w:t xml:space="preserve"> </w:t>
      </w:r>
      <w:r w:rsidRPr="00724342">
        <w:rPr>
          <w:rFonts w:ascii="Times New Roman CYR" w:hAnsi="Times New Roman CYR" w:cs="Times New Roman CYR"/>
          <w:sz w:val="22"/>
          <w:szCs w:val="22"/>
        </w:rPr>
        <w:t>Долгое пребывание выпускников в статусе безработных граждан оказывает очень негативное влияние на их профессионал</w:t>
      </w:r>
      <w:r w:rsidRPr="00724342">
        <w:rPr>
          <w:rFonts w:ascii="Times New Roman CYR" w:hAnsi="Times New Roman CYR" w:cs="Times New Roman CYR"/>
          <w:sz w:val="22"/>
          <w:szCs w:val="22"/>
        </w:rPr>
        <w:t>ь</w:t>
      </w:r>
      <w:r w:rsidRPr="00724342">
        <w:rPr>
          <w:rFonts w:ascii="Times New Roman CYR" w:hAnsi="Times New Roman CYR" w:cs="Times New Roman CYR"/>
          <w:sz w:val="22"/>
          <w:szCs w:val="22"/>
        </w:rPr>
        <w:t>ную и личную жизнь: утрачиваются полученные в учебном завед</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нии профессиональные знания и навыки, снижается жизненный т</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нус и целенаправленное поведение на рынке труда, возникает ощ</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щение ненужности, которое действует угнетающе, ухудшается эм</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 xml:space="preserve">циональное состояние </w:t>
      </w:r>
      <w:r w:rsidRPr="00724342">
        <w:rPr>
          <w:sz w:val="22"/>
          <w:szCs w:val="22"/>
        </w:rPr>
        <w:t>[</w:t>
      </w:r>
      <w:r w:rsidRPr="00724342">
        <w:rPr>
          <w:rFonts w:ascii="Times New Roman CYR" w:hAnsi="Times New Roman CYR" w:cs="Times New Roman CYR"/>
          <w:sz w:val="22"/>
          <w:szCs w:val="22"/>
        </w:rPr>
        <w:t>2</w:t>
      </w:r>
      <w:r w:rsidRPr="00724342">
        <w:rPr>
          <w:sz w:val="22"/>
          <w:szCs w:val="22"/>
        </w:rPr>
        <w:t>]</w:t>
      </w:r>
      <w:r w:rsidRPr="00724342">
        <w:rPr>
          <w:rFonts w:ascii="Times New Roman CYR" w:hAnsi="Times New Roman CYR" w:cs="Times New Roman CYR"/>
          <w:sz w:val="22"/>
          <w:szCs w:val="22"/>
        </w:rPr>
        <w:t>.</w:t>
      </w:r>
    </w:p>
    <w:p w:rsidR="00724342" w:rsidRPr="002A1EE0" w:rsidRDefault="00724342" w:rsidP="002A1EE0">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 xml:space="preserve">Способность к эффективному поведению на рынке труда и адекватное реагирование на его изменение </w:t>
      </w:r>
      <w:r w:rsidRPr="00724342">
        <w:rPr>
          <w:sz w:val="22"/>
          <w:szCs w:val="22"/>
        </w:rPr>
        <w:t xml:space="preserve">– </w:t>
      </w:r>
      <w:r w:rsidRPr="00724342">
        <w:rPr>
          <w:rFonts w:ascii="Times New Roman CYR" w:hAnsi="Times New Roman CYR" w:cs="Times New Roman CYR"/>
          <w:sz w:val="22"/>
          <w:szCs w:val="22"/>
        </w:rPr>
        <w:t>те важнейшие профе</w:t>
      </w:r>
      <w:r w:rsidRPr="00724342">
        <w:rPr>
          <w:rFonts w:ascii="Times New Roman CYR" w:hAnsi="Times New Roman CYR" w:cs="Times New Roman CYR"/>
          <w:sz w:val="22"/>
          <w:szCs w:val="22"/>
        </w:rPr>
        <w:t>с</w:t>
      </w:r>
      <w:r w:rsidRPr="00724342">
        <w:rPr>
          <w:rFonts w:ascii="Times New Roman CYR" w:hAnsi="Times New Roman CYR" w:cs="Times New Roman CYR"/>
          <w:sz w:val="22"/>
          <w:szCs w:val="22"/>
        </w:rPr>
        <w:t>сиональные компетенции, которыми должен обладать сегодня м</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лодой специалист, чтобы быть успешным и востребованным.</w:t>
      </w:r>
    </w:p>
    <w:p w:rsidR="00724342" w:rsidRPr="00724342" w:rsidRDefault="00724342" w:rsidP="006E4146">
      <w:pPr>
        <w:widowControl w:val="0"/>
        <w:autoSpaceDE w:val="0"/>
        <w:autoSpaceDN w:val="0"/>
        <w:adjustRightInd w:val="0"/>
        <w:ind w:firstLine="426"/>
        <w:jc w:val="center"/>
        <w:rPr>
          <w:rFonts w:ascii="Times New Roman CYR" w:hAnsi="Times New Roman CYR" w:cs="Times New Roman CYR"/>
          <w:sz w:val="22"/>
          <w:szCs w:val="22"/>
        </w:rPr>
      </w:pPr>
      <w:r w:rsidRPr="00724342">
        <w:rPr>
          <w:rFonts w:ascii="Times New Roman CYR" w:hAnsi="Times New Roman CYR" w:cs="Times New Roman CYR"/>
          <w:bCs/>
          <w:sz w:val="22"/>
          <w:szCs w:val="22"/>
        </w:rPr>
        <w:t>Список литературы</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eastAsia="Yu Mincho"/>
          <w:sz w:val="22"/>
          <w:szCs w:val="22"/>
          <w:lang w:eastAsia="en-US"/>
        </w:rPr>
        <w:t>1. Леонович А.М. Пути решения проблем трудоустройства ро</w:t>
      </w:r>
      <w:r w:rsidRPr="00724342">
        <w:rPr>
          <w:rFonts w:eastAsia="Yu Mincho"/>
          <w:sz w:val="22"/>
          <w:szCs w:val="22"/>
          <w:lang w:eastAsia="en-US"/>
        </w:rPr>
        <w:t>с</w:t>
      </w:r>
      <w:r w:rsidRPr="00724342">
        <w:rPr>
          <w:rFonts w:eastAsia="Yu Mincho"/>
          <w:sz w:val="22"/>
          <w:szCs w:val="22"/>
          <w:lang w:eastAsia="en-US"/>
        </w:rPr>
        <w:t>сийской молодежи/</w:t>
      </w:r>
      <w:hyperlink r:id="rId263" w:history="1">
        <w:r w:rsidRPr="00724342">
          <w:rPr>
            <w:rFonts w:eastAsia="Yu Mincho"/>
            <w:sz w:val="22"/>
            <w:szCs w:val="22"/>
            <w:lang w:eastAsia="en-US"/>
          </w:rPr>
          <w:t>А.М. Леонович</w:t>
        </w:r>
      </w:hyperlink>
      <w:r w:rsidRPr="00724342">
        <w:rPr>
          <w:rFonts w:eastAsia="Yu Mincho"/>
          <w:sz w:val="22"/>
          <w:szCs w:val="22"/>
          <w:lang w:eastAsia="en-US"/>
        </w:rPr>
        <w:t>, </w:t>
      </w:r>
      <w:hyperlink r:id="rId264" w:history="1">
        <w:r w:rsidRPr="00724342">
          <w:rPr>
            <w:rFonts w:eastAsia="Yu Mincho"/>
            <w:sz w:val="22"/>
            <w:szCs w:val="22"/>
            <w:lang w:eastAsia="en-US"/>
          </w:rPr>
          <w:t>Г.Н. Литвиненко</w:t>
        </w:r>
      </w:hyperlink>
      <w:r w:rsidRPr="00724342">
        <w:rPr>
          <w:rFonts w:eastAsia="Yu Mincho"/>
          <w:sz w:val="22"/>
          <w:szCs w:val="22"/>
          <w:lang w:eastAsia="en-US"/>
        </w:rPr>
        <w:t>//Наука и обр</w:t>
      </w:r>
      <w:r w:rsidRPr="00724342">
        <w:rPr>
          <w:rFonts w:eastAsia="Yu Mincho"/>
          <w:sz w:val="22"/>
          <w:szCs w:val="22"/>
          <w:lang w:eastAsia="en-US"/>
        </w:rPr>
        <w:t>а</w:t>
      </w:r>
      <w:r w:rsidRPr="00724342">
        <w:rPr>
          <w:rFonts w:eastAsia="Yu Mincho"/>
          <w:sz w:val="22"/>
          <w:szCs w:val="22"/>
          <w:lang w:eastAsia="en-US"/>
        </w:rPr>
        <w:t>зование на современном этапе развития: опыт, проблемы и пути их решения. Материалы Международной научно -практической ко</w:t>
      </w:r>
      <w:r w:rsidRPr="00724342">
        <w:rPr>
          <w:rFonts w:eastAsia="Yu Mincho"/>
          <w:sz w:val="22"/>
          <w:szCs w:val="22"/>
          <w:lang w:eastAsia="en-US"/>
        </w:rPr>
        <w:t>н</w:t>
      </w:r>
      <w:r w:rsidRPr="00724342">
        <w:rPr>
          <w:rFonts w:eastAsia="Yu Mincho"/>
          <w:sz w:val="22"/>
          <w:szCs w:val="22"/>
          <w:lang w:eastAsia="en-US"/>
        </w:rPr>
        <w:t>ференции 1 февраля 2017 года (г. Нефтекамск, Башкортостан). -С. 193 -198.</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 xml:space="preserve">2. Литвиненко Г.Н. </w:t>
      </w:r>
      <w:hyperlink r:id="rId265" w:history="1">
        <w:r w:rsidRPr="00724342">
          <w:rPr>
            <w:rFonts w:ascii="Times New Roman CYR" w:hAnsi="Times New Roman CYR" w:cs="Times New Roman CYR"/>
            <w:sz w:val="22"/>
            <w:szCs w:val="22"/>
          </w:rPr>
          <w:t>Негативные последствия глобализации эк</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номики</w:t>
        </w:r>
      </w:hyperlink>
      <w:r w:rsidRPr="00724342">
        <w:rPr>
          <w:rFonts w:ascii="Times New Roman CYR" w:hAnsi="Times New Roman CYR" w:cs="Times New Roman CYR"/>
          <w:sz w:val="22"/>
          <w:szCs w:val="22"/>
        </w:rPr>
        <w:t xml:space="preserve"> / Г.Н. Литвиненко//Сб. ст. по материалам 72-й научно-практической конференции преподавателей по итогам НИР за 2016 г. «</w:t>
      </w:r>
      <w:hyperlink r:id="rId266" w:history="1">
        <w:r w:rsidRPr="00724342">
          <w:rPr>
            <w:rFonts w:ascii="Times New Roman CYR" w:hAnsi="Times New Roman CYR" w:cs="Times New Roman CYR"/>
            <w:sz w:val="22"/>
            <w:szCs w:val="22"/>
          </w:rPr>
          <w:t>Научное обеспечение агропромышленного комплекса</w:t>
        </w:r>
      </w:hyperlink>
      <w:r w:rsidRPr="00724342">
        <w:rPr>
          <w:rFonts w:ascii="Times New Roman CYR" w:hAnsi="Times New Roman CYR" w:cs="Times New Roman CYR"/>
          <w:sz w:val="22"/>
          <w:szCs w:val="22"/>
        </w:rPr>
        <w:t>», Красн</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дар: КубГАУ.- 2017. -С. 591-592.</w:t>
      </w:r>
    </w:p>
    <w:p w:rsidR="00724342" w:rsidRPr="00724342" w:rsidRDefault="00724342" w:rsidP="006E4146">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 xml:space="preserve">3. Литвиненко Г.Н. </w:t>
      </w:r>
      <w:hyperlink r:id="rId267" w:history="1">
        <w:r w:rsidRPr="00724342">
          <w:rPr>
            <w:rFonts w:ascii="Times New Roman CYR" w:hAnsi="Times New Roman CYR" w:cs="Times New Roman CYR"/>
            <w:sz w:val="22"/>
            <w:szCs w:val="22"/>
          </w:rPr>
          <w:t>Проблемы и перспективы развития мол</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дежного рынка труда в России</w:t>
        </w:r>
      </w:hyperlink>
      <w:r w:rsidRPr="00724342">
        <w:rPr>
          <w:rFonts w:ascii="Times New Roman CYR" w:hAnsi="Times New Roman CYR" w:cs="Times New Roman CYR"/>
          <w:sz w:val="22"/>
          <w:szCs w:val="22"/>
        </w:rPr>
        <w:t>/ Г.Н. Литвиненко, М.Б. Едигарян, Н.А. Колесниченко //Сб. ст. по материалам Междунар. науч.-практ. конф. молодых ученых, посвященной памяти чл.-корр. РАСХН А.А. Семенова «</w:t>
      </w:r>
      <w:hyperlink r:id="rId268" w:history="1">
        <w:r w:rsidRPr="00724342">
          <w:rPr>
            <w:rFonts w:ascii="Times New Roman CYR" w:hAnsi="Times New Roman CYR" w:cs="Times New Roman CYR"/>
            <w:sz w:val="22"/>
            <w:szCs w:val="22"/>
          </w:rPr>
          <w:t>Факторы экономического роста: мировые тренды и ро</w:t>
        </w:r>
        <w:r w:rsidRPr="00724342">
          <w:rPr>
            <w:rFonts w:ascii="Times New Roman CYR" w:hAnsi="Times New Roman CYR" w:cs="Times New Roman CYR"/>
            <w:sz w:val="22"/>
            <w:szCs w:val="22"/>
          </w:rPr>
          <w:t>с</w:t>
        </w:r>
        <w:r w:rsidRPr="00724342">
          <w:rPr>
            <w:rFonts w:ascii="Times New Roman CYR" w:hAnsi="Times New Roman CYR" w:cs="Times New Roman CYR"/>
            <w:sz w:val="22"/>
            <w:szCs w:val="22"/>
          </w:rPr>
          <w:t>сийские реалии</w:t>
        </w:r>
      </w:hyperlink>
      <w:r w:rsidRPr="00724342">
        <w:rPr>
          <w:rFonts w:ascii="Times New Roman CYR" w:hAnsi="Times New Roman CYR" w:cs="Times New Roman CYR"/>
          <w:sz w:val="22"/>
          <w:szCs w:val="22"/>
        </w:rPr>
        <w:t>». 2017. С. 160-166.</w:t>
      </w:r>
    </w:p>
    <w:p w:rsidR="00724342" w:rsidRPr="002A1EE0" w:rsidRDefault="00724342" w:rsidP="002A1EE0">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4. Литвиненко Г.Н. Дистанционная занятость в России: совр</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менное состояние и перспективы развития/</w:t>
      </w:r>
      <w:hyperlink r:id="rId269" w:history="1">
        <w:r w:rsidRPr="00724342">
          <w:rPr>
            <w:rFonts w:ascii="Times New Roman CYR" w:hAnsi="Times New Roman CYR" w:cs="Times New Roman CYR"/>
            <w:sz w:val="22"/>
            <w:szCs w:val="22"/>
          </w:rPr>
          <w:t>Г.Н. Литвиненко</w:t>
        </w:r>
      </w:hyperlink>
      <w:r w:rsidRPr="00724342">
        <w:rPr>
          <w:rFonts w:ascii="Times New Roman CYR" w:hAnsi="Times New Roman CYR" w:cs="Times New Roman CYR"/>
          <w:sz w:val="22"/>
          <w:szCs w:val="22"/>
        </w:rPr>
        <w:t>, </w:t>
      </w:r>
      <w:hyperlink r:id="rId270" w:history="1">
        <w:r w:rsidRPr="00724342">
          <w:rPr>
            <w:rFonts w:ascii="Times New Roman CYR" w:hAnsi="Times New Roman CYR" w:cs="Times New Roman CYR"/>
            <w:sz w:val="22"/>
            <w:szCs w:val="22"/>
          </w:rPr>
          <w:t>Е.В. Лукянченко</w:t>
        </w:r>
      </w:hyperlink>
      <w:r w:rsidRPr="00724342">
        <w:rPr>
          <w:rFonts w:ascii="Times New Roman CYR" w:hAnsi="Times New Roman CYR" w:cs="Times New Roman CYR"/>
          <w:sz w:val="22"/>
          <w:szCs w:val="22"/>
        </w:rPr>
        <w:t>//Сб. ст. Междунар. науч.-практ. конф. «Закономерн</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сти и тенденции формирования системы финансово-кредитных о</w:t>
      </w:r>
      <w:r w:rsidRPr="00724342">
        <w:rPr>
          <w:rFonts w:ascii="Times New Roman CYR" w:hAnsi="Times New Roman CYR" w:cs="Times New Roman CYR"/>
          <w:sz w:val="22"/>
          <w:szCs w:val="22"/>
        </w:rPr>
        <w:t>т</w:t>
      </w:r>
      <w:r w:rsidRPr="00724342">
        <w:rPr>
          <w:rFonts w:ascii="Times New Roman CYR" w:hAnsi="Times New Roman CYR" w:cs="Times New Roman CYR"/>
          <w:sz w:val="22"/>
          <w:szCs w:val="22"/>
        </w:rPr>
        <w:t>ношений» (Саратов, 13.07. 2017 г.). -Уфа: Аэтерна, 2017. - С. 132 -136.</w:t>
      </w:r>
    </w:p>
    <w:p w:rsidR="00724342" w:rsidRPr="00724342" w:rsidRDefault="00724342" w:rsidP="00724342">
      <w:pPr>
        <w:jc w:val="both"/>
        <w:rPr>
          <w:rFonts w:eastAsiaTheme="minorHAnsi"/>
          <w:spacing w:val="-2"/>
          <w:sz w:val="22"/>
          <w:szCs w:val="22"/>
          <w:lang w:eastAsia="en-US"/>
        </w:rPr>
      </w:pPr>
      <w:r w:rsidRPr="00724342">
        <w:rPr>
          <w:rFonts w:eastAsiaTheme="minorHAnsi"/>
          <w:spacing w:val="-2"/>
          <w:sz w:val="22"/>
          <w:szCs w:val="22"/>
          <w:lang w:eastAsia="en-US"/>
        </w:rPr>
        <w:lastRenderedPageBreak/>
        <w:t>УДК 631.8.022.3</w:t>
      </w:r>
    </w:p>
    <w:p w:rsidR="00724342" w:rsidRPr="00724342" w:rsidRDefault="00724342" w:rsidP="00724342">
      <w:pPr>
        <w:jc w:val="both"/>
        <w:rPr>
          <w:rFonts w:eastAsiaTheme="minorHAnsi"/>
          <w:spacing w:val="-2"/>
          <w:sz w:val="20"/>
          <w:szCs w:val="22"/>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Экономические преимущества производства </w:t>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и использования органоминеральных удобрений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eastAsia="en-US"/>
        </w:rPr>
        <w:t>на</w:t>
      </w:r>
      <w:r w:rsidRPr="00724342">
        <w:rPr>
          <w:rFonts w:eastAsiaTheme="minorHAnsi"/>
          <w:b/>
          <w:sz w:val="24"/>
          <w:szCs w:val="24"/>
          <w:lang w:val="en-US" w:eastAsia="en-US"/>
        </w:rPr>
        <w:t xml:space="preserve"> </w:t>
      </w:r>
      <w:r w:rsidRPr="00724342">
        <w:rPr>
          <w:rFonts w:eastAsiaTheme="minorHAnsi"/>
          <w:b/>
          <w:sz w:val="24"/>
          <w:szCs w:val="24"/>
          <w:lang w:eastAsia="en-US"/>
        </w:rPr>
        <w:t>основе</w:t>
      </w:r>
      <w:r w:rsidRPr="00724342">
        <w:rPr>
          <w:rFonts w:eastAsiaTheme="minorHAnsi"/>
          <w:b/>
          <w:sz w:val="24"/>
          <w:szCs w:val="24"/>
          <w:lang w:val="en-US" w:eastAsia="en-US"/>
        </w:rPr>
        <w:t xml:space="preserve"> </w:t>
      </w:r>
      <w:r w:rsidRPr="00724342">
        <w:rPr>
          <w:rFonts w:eastAsiaTheme="minorHAnsi"/>
          <w:b/>
          <w:sz w:val="24"/>
          <w:szCs w:val="24"/>
          <w:lang w:eastAsia="en-US"/>
        </w:rPr>
        <w:t>торфа</w:t>
      </w:r>
    </w:p>
    <w:p w:rsidR="00724342" w:rsidRPr="00724342" w:rsidRDefault="00724342" w:rsidP="00724342">
      <w:pPr>
        <w:jc w:val="center"/>
        <w:rPr>
          <w:rFonts w:asciiTheme="minorHAnsi" w:eastAsiaTheme="minorHAnsi" w:hAnsiTheme="minorHAnsi" w:cstheme="minorBidi"/>
          <w:b/>
          <w:sz w:val="24"/>
          <w:szCs w:val="24"/>
          <w:lang w:val="en-US" w:eastAsia="en-US"/>
        </w:rPr>
      </w:pPr>
      <w:r w:rsidRPr="00724342">
        <w:rPr>
          <w:rFonts w:eastAsiaTheme="minorHAnsi"/>
          <w:b/>
          <w:spacing w:val="-2"/>
          <w:sz w:val="24"/>
          <w:szCs w:val="24"/>
          <w:lang w:val="en-US" w:eastAsia="en-US"/>
        </w:rPr>
        <w:t>The economic benefits of production and the use of</w:t>
      </w:r>
      <w:r w:rsidRPr="00724342">
        <w:rPr>
          <w:rFonts w:asciiTheme="minorHAnsi" w:eastAsiaTheme="minorHAnsi" w:hAnsiTheme="minorHAnsi" w:cstheme="minorBidi"/>
          <w:b/>
          <w:sz w:val="24"/>
          <w:szCs w:val="24"/>
          <w:lang w:val="en-US" w:eastAsia="en-US"/>
        </w:rPr>
        <w:t xml:space="preserve"> </w:t>
      </w:r>
    </w:p>
    <w:p w:rsidR="00724342" w:rsidRPr="00724342" w:rsidRDefault="00724342" w:rsidP="00724342">
      <w:pPr>
        <w:jc w:val="center"/>
        <w:rPr>
          <w:rFonts w:eastAsiaTheme="minorHAnsi"/>
          <w:b/>
          <w:spacing w:val="-2"/>
          <w:sz w:val="24"/>
          <w:szCs w:val="24"/>
          <w:lang w:val="en-US" w:eastAsia="en-US"/>
        </w:rPr>
      </w:pPr>
      <w:r w:rsidRPr="00724342">
        <w:rPr>
          <w:rFonts w:eastAsiaTheme="minorHAnsi"/>
          <w:b/>
          <w:spacing w:val="-2"/>
          <w:sz w:val="24"/>
          <w:szCs w:val="24"/>
          <w:lang w:val="en-US" w:eastAsia="en-US"/>
        </w:rPr>
        <w:t>organic-mineral fertilizers based on peat</w:t>
      </w:r>
    </w:p>
    <w:p w:rsidR="00724342" w:rsidRPr="00724342" w:rsidRDefault="00724342" w:rsidP="00724342">
      <w:pPr>
        <w:jc w:val="right"/>
        <w:rPr>
          <w:rFonts w:eastAsiaTheme="minorHAnsi"/>
          <w:spacing w:val="-2"/>
          <w:sz w:val="22"/>
          <w:szCs w:val="22"/>
          <w:lang w:val="en-US" w:eastAsia="en-US"/>
        </w:rPr>
      </w:pP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Ивлева Е.</w:t>
      </w:r>
      <w:r w:rsidRPr="00724342">
        <w:rPr>
          <w:rFonts w:eastAsiaTheme="minorHAnsi"/>
          <w:spacing w:val="-2"/>
          <w:sz w:val="22"/>
          <w:szCs w:val="22"/>
          <w:lang w:val="en-US" w:eastAsia="en-US"/>
        </w:rPr>
        <w:t> </w:t>
      </w:r>
      <w:r w:rsidRPr="00724342">
        <w:rPr>
          <w:rFonts w:eastAsiaTheme="minorHAnsi"/>
          <w:spacing w:val="-2"/>
          <w:sz w:val="22"/>
          <w:szCs w:val="22"/>
          <w:lang w:eastAsia="en-US"/>
        </w:rPr>
        <w:t xml:space="preserve">В., </w:t>
      </w:r>
    </w:p>
    <w:p w:rsidR="00724342" w:rsidRPr="00724342" w:rsidRDefault="00724342" w:rsidP="00724342">
      <w:pPr>
        <w:jc w:val="right"/>
        <w:rPr>
          <w:rFonts w:eastAsiaTheme="minorHAnsi"/>
          <w:spacing w:val="-2"/>
          <w:sz w:val="20"/>
          <w:szCs w:val="22"/>
          <w:lang w:eastAsia="en-US"/>
        </w:rPr>
      </w:pPr>
      <w:r w:rsidRPr="00724342">
        <w:rPr>
          <w:rFonts w:eastAsiaTheme="minorHAnsi"/>
          <w:spacing w:val="-2"/>
          <w:sz w:val="22"/>
          <w:szCs w:val="22"/>
          <w:lang w:eastAsia="en-US"/>
        </w:rPr>
        <w:t>студентка 4 курса 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И.Т. Трубилина</w:t>
      </w:r>
    </w:p>
    <w:p w:rsidR="00724342" w:rsidRPr="00724342" w:rsidRDefault="00724342" w:rsidP="00724342">
      <w:pPr>
        <w:jc w:val="right"/>
        <w:rPr>
          <w:rFonts w:eastAsiaTheme="minorHAnsi"/>
          <w:spacing w:val="-2"/>
          <w:sz w:val="20"/>
          <w:szCs w:val="22"/>
          <w:highlight w:val="yellow"/>
          <w:lang w:eastAsia="en-US"/>
        </w:rPr>
      </w:pPr>
    </w:p>
    <w:p w:rsidR="00724342" w:rsidRPr="00724342" w:rsidRDefault="00724342" w:rsidP="006E4146">
      <w:pPr>
        <w:ind w:firstLine="426"/>
        <w:jc w:val="both"/>
        <w:rPr>
          <w:rFonts w:eastAsiaTheme="minorHAnsi"/>
          <w:spacing w:val="-4"/>
          <w:sz w:val="22"/>
          <w:szCs w:val="22"/>
          <w:highlight w:val="yellow"/>
          <w:lang w:eastAsia="en-US"/>
        </w:rPr>
      </w:pPr>
      <w:r w:rsidRPr="00724342">
        <w:rPr>
          <w:rFonts w:eastAsiaTheme="minorHAnsi"/>
          <w:caps/>
          <w:spacing w:val="-4"/>
          <w:sz w:val="22"/>
          <w:szCs w:val="22"/>
          <w:lang w:eastAsia="en-US"/>
        </w:rPr>
        <w:t>Аннотация</w:t>
      </w:r>
      <w:r w:rsidRPr="00724342">
        <w:rPr>
          <w:rFonts w:eastAsiaTheme="minorHAnsi"/>
          <w:sz w:val="22"/>
          <w:szCs w:val="22"/>
          <w:lang w:eastAsia="en-US"/>
        </w:rPr>
        <w:t>: рассмотрены организационно-экономические преимущества производства и использования в производстве пр</w:t>
      </w:r>
      <w:r w:rsidRPr="00724342">
        <w:rPr>
          <w:rFonts w:eastAsiaTheme="minorHAnsi"/>
          <w:sz w:val="22"/>
          <w:szCs w:val="22"/>
          <w:lang w:eastAsia="en-US"/>
        </w:rPr>
        <w:t>о</w:t>
      </w:r>
      <w:r w:rsidRPr="00724342">
        <w:rPr>
          <w:rFonts w:eastAsiaTheme="minorHAnsi"/>
          <w:sz w:val="22"/>
          <w:szCs w:val="22"/>
          <w:lang w:eastAsia="en-US"/>
        </w:rPr>
        <w:t>дукции растениеводства органоминеральных удобрений, получе</w:t>
      </w:r>
      <w:r w:rsidRPr="00724342">
        <w:rPr>
          <w:rFonts w:eastAsiaTheme="minorHAnsi"/>
          <w:sz w:val="22"/>
          <w:szCs w:val="22"/>
          <w:lang w:eastAsia="en-US"/>
        </w:rPr>
        <w:t>н</w:t>
      </w:r>
      <w:r w:rsidRPr="00724342">
        <w:rPr>
          <w:rFonts w:eastAsiaTheme="minorHAnsi"/>
          <w:sz w:val="22"/>
          <w:szCs w:val="22"/>
          <w:lang w:eastAsia="en-US"/>
        </w:rPr>
        <w:t>ных на основе переработки торфа. Сделаны выводы, что использ</w:t>
      </w:r>
      <w:r w:rsidRPr="00724342">
        <w:rPr>
          <w:rFonts w:eastAsiaTheme="minorHAnsi"/>
          <w:sz w:val="22"/>
          <w:szCs w:val="22"/>
          <w:lang w:eastAsia="en-US"/>
        </w:rPr>
        <w:t>о</w:t>
      </w:r>
      <w:r w:rsidRPr="00724342">
        <w:rPr>
          <w:rFonts w:eastAsiaTheme="minorHAnsi"/>
          <w:sz w:val="22"/>
          <w:szCs w:val="22"/>
          <w:lang w:eastAsia="en-US"/>
        </w:rPr>
        <w:t>вание органоминеральных удобрений на основе торфа является экономически целесообразным и эффективным.</w:t>
      </w:r>
    </w:p>
    <w:p w:rsidR="00724342" w:rsidRPr="00724342" w:rsidRDefault="00724342" w:rsidP="006E4146">
      <w:pPr>
        <w:ind w:firstLine="426"/>
        <w:jc w:val="both"/>
        <w:rPr>
          <w:rFonts w:eastAsiaTheme="minorHAnsi"/>
          <w:spacing w:val="-4"/>
          <w:sz w:val="22"/>
          <w:szCs w:val="22"/>
          <w:highlight w:val="yellow"/>
          <w:lang w:val="en-US" w:eastAsia="en-US"/>
        </w:rPr>
      </w:pPr>
      <w:r w:rsidRPr="00724342">
        <w:rPr>
          <w:sz w:val="22"/>
          <w:szCs w:val="22"/>
          <w:lang w:val="en-US"/>
        </w:rPr>
        <w:t xml:space="preserve">ABSTRACT: </w:t>
      </w:r>
      <w:r w:rsidRPr="00724342">
        <w:rPr>
          <w:rFonts w:eastAsiaTheme="minorHAnsi"/>
          <w:spacing w:val="-4"/>
          <w:sz w:val="22"/>
          <w:szCs w:val="22"/>
          <w:lang w:val="en-US" w:eastAsia="en-US"/>
        </w:rPr>
        <w:t>the organizational-economic advantages of production and use of organic-mineral fertilizers obtained on the basis of peat pr</w:t>
      </w:r>
      <w:r w:rsidRPr="00724342">
        <w:rPr>
          <w:rFonts w:eastAsiaTheme="minorHAnsi"/>
          <w:spacing w:val="-4"/>
          <w:sz w:val="22"/>
          <w:szCs w:val="22"/>
          <w:lang w:val="en-US" w:eastAsia="en-US"/>
        </w:rPr>
        <w:t>o</w:t>
      </w:r>
      <w:r w:rsidRPr="00724342">
        <w:rPr>
          <w:rFonts w:eastAsiaTheme="minorHAnsi"/>
          <w:spacing w:val="-4"/>
          <w:sz w:val="22"/>
          <w:szCs w:val="22"/>
          <w:lang w:val="en-US" w:eastAsia="en-US"/>
        </w:rPr>
        <w:t>cessing are considered. The main difficulties on its use in agricultural ente</w:t>
      </w:r>
      <w:r w:rsidRPr="00724342">
        <w:rPr>
          <w:rFonts w:eastAsiaTheme="minorHAnsi"/>
          <w:spacing w:val="-4"/>
          <w:sz w:val="22"/>
          <w:szCs w:val="22"/>
          <w:lang w:val="en-US" w:eastAsia="en-US"/>
        </w:rPr>
        <w:t>r</w:t>
      </w:r>
      <w:r w:rsidRPr="00724342">
        <w:rPr>
          <w:rFonts w:eastAsiaTheme="minorHAnsi"/>
          <w:spacing w:val="-4"/>
          <w:sz w:val="22"/>
          <w:szCs w:val="22"/>
          <w:lang w:val="en-US" w:eastAsia="en-US"/>
        </w:rPr>
        <w:t>prises are revealed. It is concluded that the use of organic-mineral fertilizer based on peat is economically feasible and efficient.</w:t>
      </w:r>
    </w:p>
    <w:p w:rsidR="00724342" w:rsidRPr="00724342" w:rsidRDefault="00724342" w:rsidP="006E4146">
      <w:pPr>
        <w:ind w:firstLine="426"/>
        <w:jc w:val="both"/>
        <w:rPr>
          <w:rFonts w:eastAsiaTheme="minorHAnsi"/>
          <w:spacing w:val="-4"/>
          <w:sz w:val="22"/>
          <w:szCs w:val="22"/>
          <w:highlight w:val="yellow"/>
          <w:lang w:eastAsia="en-US"/>
        </w:rPr>
      </w:pPr>
      <w:r w:rsidRPr="00724342">
        <w:rPr>
          <w:rFonts w:eastAsiaTheme="minorHAnsi"/>
          <w:caps/>
          <w:spacing w:val="-4"/>
          <w:sz w:val="22"/>
          <w:szCs w:val="22"/>
          <w:lang w:eastAsia="en-US"/>
        </w:rPr>
        <w:t>Ключевые слова:</w:t>
      </w:r>
      <w:r w:rsidRPr="00724342">
        <w:rPr>
          <w:rFonts w:eastAsiaTheme="minorHAnsi"/>
          <w:spacing w:val="-4"/>
          <w:sz w:val="22"/>
          <w:szCs w:val="22"/>
          <w:lang w:eastAsia="en-US"/>
        </w:rPr>
        <w:t xml:space="preserve"> </w:t>
      </w:r>
      <w:r w:rsidRPr="00724342">
        <w:rPr>
          <w:rFonts w:eastAsiaTheme="minorHAnsi"/>
          <w:sz w:val="22"/>
          <w:szCs w:val="22"/>
          <w:lang w:eastAsia="en-US"/>
        </w:rPr>
        <w:t xml:space="preserve"> растениеводство, органоминеральные удобрения, плодородие почвы, экономическая эффективность</w:t>
      </w:r>
    </w:p>
    <w:p w:rsidR="00724342" w:rsidRPr="00724342" w:rsidRDefault="00724342" w:rsidP="006E4146">
      <w:pPr>
        <w:spacing w:after="200"/>
        <w:ind w:firstLine="426"/>
        <w:jc w:val="both"/>
        <w:rPr>
          <w:rFonts w:eastAsiaTheme="minorHAnsi"/>
          <w:caps/>
          <w:spacing w:val="-4"/>
          <w:sz w:val="22"/>
          <w:szCs w:val="22"/>
          <w:lang w:val="en-US" w:eastAsia="en-US"/>
        </w:rPr>
      </w:pPr>
      <w:r w:rsidRPr="00724342">
        <w:rPr>
          <w:rFonts w:eastAsiaTheme="minorHAnsi"/>
          <w:caps/>
          <w:spacing w:val="-4"/>
          <w:sz w:val="22"/>
          <w:szCs w:val="22"/>
          <w:lang w:val="en-US" w:eastAsia="en-US"/>
        </w:rPr>
        <w:t>KEYWORDS:</w:t>
      </w:r>
      <w:r w:rsidRPr="00724342">
        <w:rPr>
          <w:rFonts w:ascii="Courier New" w:hAnsi="Courier New" w:cs="Courier New"/>
          <w:sz w:val="20"/>
          <w:szCs w:val="20"/>
          <w:lang w:val="en-US"/>
        </w:rPr>
        <w:t xml:space="preserve"> </w:t>
      </w:r>
      <w:r w:rsidRPr="00724342">
        <w:rPr>
          <w:rFonts w:eastAsiaTheme="minorHAnsi"/>
          <w:spacing w:val="-4"/>
          <w:sz w:val="22"/>
          <w:szCs w:val="22"/>
          <w:lang w:val="en-US" w:eastAsia="en-US"/>
        </w:rPr>
        <w:t>plant growing, organic fertilizers, soil fertility, ec</w:t>
      </w:r>
      <w:r w:rsidRPr="00724342">
        <w:rPr>
          <w:rFonts w:eastAsiaTheme="minorHAnsi"/>
          <w:spacing w:val="-4"/>
          <w:sz w:val="22"/>
          <w:szCs w:val="22"/>
          <w:lang w:val="en-US" w:eastAsia="en-US"/>
        </w:rPr>
        <w:t>o</w:t>
      </w:r>
      <w:r w:rsidRPr="00724342">
        <w:rPr>
          <w:rFonts w:eastAsiaTheme="minorHAnsi"/>
          <w:spacing w:val="-4"/>
          <w:sz w:val="22"/>
          <w:szCs w:val="22"/>
          <w:lang w:val="en-US" w:eastAsia="en-US"/>
        </w:rPr>
        <w:t>nomic efficiency</w:t>
      </w:r>
    </w:p>
    <w:p w:rsidR="00724342" w:rsidRPr="00724342" w:rsidRDefault="00724342" w:rsidP="006E4146">
      <w:pPr>
        <w:ind w:firstLine="426"/>
        <w:jc w:val="both"/>
        <w:rPr>
          <w:rFonts w:eastAsiaTheme="minorHAnsi"/>
          <w:spacing w:val="-2"/>
          <w:sz w:val="22"/>
          <w:szCs w:val="22"/>
          <w:lang w:eastAsia="en-US"/>
        </w:rPr>
      </w:pPr>
      <w:r w:rsidRPr="00724342">
        <w:rPr>
          <w:rFonts w:eastAsiaTheme="minorHAnsi"/>
          <w:spacing w:val="-2"/>
          <w:sz w:val="22"/>
          <w:szCs w:val="22"/>
          <w:lang w:eastAsia="en-US"/>
        </w:rPr>
        <w:t>Одним из основных направлений обеспечения продовольстве</w:t>
      </w:r>
      <w:r w:rsidRPr="00724342">
        <w:rPr>
          <w:rFonts w:eastAsiaTheme="minorHAnsi"/>
          <w:spacing w:val="-2"/>
          <w:sz w:val="22"/>
          <w:szCs w:val="22"/>
          <w:lang w:eastAsia="en-US"/>
        </w:rPr>
        <w:t>н</w:t>
      </w:r>
      <w:r w:rsidRPr="00724342">
        <w:rPr>
          <w:rFonts w:eastAsiaTheme="minorHAnsi"/>
          <w:spacing w:val="-2"/>
          <w:sz w:val="22"/>
          <w:szCs w:val="22"/>
          <w:lang w:eastAsia="en-US"/>
        </w:rPr>
        <w:t>ной безопасности страны является повышение урожайности посевов за счет использования высокоурожайных сортов и гибридов сельск</w:t>
      </w:r>
      <w:r w:rsidRPr="00724342">
        <w:rPr>
          <w:rFonts w:eastAsiaTheme="minorHAnsi"/>
          <w:spacing w:val="-2"/>
          <w:sz w:val="22"/>
          <w:szCs w:val="22"/>
          <w:lang w:eastAsia="en-US"/>
        </w:rPr>
        <w:t>о</w:t>
      </w:r>
      <w:r w:rsidRPr="00724342">
        <w:rPr>
          <w:rFonts w:eastAsiaTheme="minorHAnsi"/>
          <w:spacing w:val="-2"/>
          <w:sz w:val="22"/>
          <w:szCs w:val="22"/>
          <w:lang w:eastAsia="en-US"/>
        </w:rPr>
        <w:t>хозяйственных культур, инновационных технологий обработки по</w:t>
      </w:r>
      <w:r w:rsidRPr="00724342">
        <w:rPr>
          <w:rFonts w:eastAsiaTheme="minorHAnsi"/>
          <w:spacing w:val="-2"/>
          <w:sz w:val="22"/>
          <w:szCs w:val="22"/>
          <w:lang w:eastAsia="en-US"/>
        </w:rPr>
        <w:t>ч</w:t>
      </w:r>
      <w:r w:rsidRPr="00724342">
        <w:rPr>
          <w:rFonts w:eastAsiaTheme="minorHAnsi"/>
          <w:spacing w:val="-2"/>
          <w:sz w:val="22"/>
          <w:szCs w:val="22"/>
          <w:lang w:eastAsia="en-US"/>
        </w:rPr>
        <w:t>вы, применения высокоэффективных систем удобрений, обеспеч</w:t>
      </w:r>
      <w:r w:rsidRPr="00724342">
        <w:rPr>
          <w:rFonts w:eastAsiaTheme="minorHAnsi"/>
          <w:spacing w:val="-2"/>
          <w:sz w:val="22"/>
          <w:szCs w:val="22"/>
          <w:lang w:eastAsia="en-US"/>
        </w:rPr>
        <w:t>и</w:t>
      </w:r>
      <w:r w:rsidRPr="00724342">
        <w:rPr>
          <w:rFonts w:eastAsiaTheme="minorHAnsi"/>
          <w:spacing w:val="-2"/>
          <w:sz w:val="22"/>
          <w:szCs w:val="22"/>
          <w:lang w:eastAsia="en-US"/>
        </w:rPr>
        <w:t>вающих сохранение и повышение плодородия пахотных земель.</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Важнейшей причиной, сдерживающей рост объемов произво</w:t>
      </w:r>
      <w:r w:rsidRPr="00724342">
        <w:rPr>
          <w:rFonts w:eastAsiaTheme="minorHAnsi"/>
          <w:sz w:val="22"/>
          <w:szCs w:val="22"/>
          <w:lang w:eastAsia="en-US"/>
        </w:rPr>
        <w:t>д</w:t>
      </w:r>
      <w:r w:rsidRPr="00724342">
        <w:rPr>
          <w:rFonts w:eastAsiaTheme="minorHAnsi"/>
          <w:sz w:val="22"/>
          <w:szCs w:val="22"/>
          <w:lang w:eastAsia="en-US"/>
        </w:rPr>
        <w:t xml:space="preserve">ства продукции растениеводства, является неудовлетворительное состояние земель сельскохозяйственного назначения с постоянно </w:t>
      </w:r>
      <w:r w:rsidRPr="00724342">
        <w:rPr>
          <w:rFonts w:eastAsiaTheme="minorHAnsi"/>
          <w:sz w:val="22"/>
          <w:szCs w:val="22"/>
          <w:lang w:eastAsia="en-US"/>
        </w:rPr>
        <w:lastRenderedPageBreak/>
        <w:t>снижающимся уровнем плодородия почв. По результатам исслед</w:t>
      </w:r>
      <w:r w:rsidRPr="00724342">
        <w:rPr>
          <w:rFonts w:eastAsiaTheme="minorHAnsi"/>
          <w:sz w:val="22"/>
          <w:szCs w:val="22"/>
          <w:lang w:eastAsia="en-US"/>
        </w:rPr>
        <w:t>о</w:t>
      </w:r>
      <w:r w:rsidRPr="00724342">
        <w:rPr>
          <w:rFonts w:eastAsiaTheme="minorHAnsi"/>
          <w:sz w:val="22"/>
          <w:szCs w:val="22"/>
          <w:lang w:eastAsia="en-US"/>
        </w:rPr>
        <w:t>ваний ученых, потребность в органических удобрениях для воспр</w:t>
      </w:r>
      <w:r w:rsidRPr="00724342">
        <w:rPr>
          <w:rFonts w:eastAsiaTheme="minorHAnsi"/>
          <w:sz w:val="22"/>
          <w:szCs w:val="22"/>
          <w:lang w:eastAsia="en-US"/>
        </w:rPr>
        <w:t>о</w:t>
      </w:r>
      <w:r w:rsidRPr="00724342">
        <w:rPr>
          <w:rFonts w:eastAsiaTheme="minorHAnsi"/>
          <w:sz w:val="22"/>
          <w:szCs w:val="22"/>
          <w:lang w:eastAsia="en-US"/>
        </w:rPr>
        <w:t>изводства гумуса пахотных почв страны составляет 840 млн. т в год, что многократно превышает фактический уровень их внесения. Это обусловлено разрушением в годы рыночных реформ отраслей животноводства, служащих основным источником органических удобрений, и прежде всего мясного и молочного скотоводства со значительным снижением поголовья животных в них. Выходом из сложившейся ситуации должно послужить использование приро</w:t>
      </w:r>
      <w:r w:rsidRPr="00724342">
        <w:rPr>
          <w:rFonts w:eastAsiaTheme="minorHAnsi"/>
          <w:sz w:val="22"/>
          <w:szCs w:val="22"/>
          <w:lang w:eastAsia="en-US"/>
        </w:rPr>
        <w:t>д</w:t>
      </w:r>
      <w:r w:rsidRPr="00724342">
        <w:rPr>
          <w:rFonts w:eastAsiaTheme="minorHAnsi"/>
          <w:sz w:val="22"/>
          <w:szCs w:val="22"/>
          <w:lang w:eastAsia="en-US"/>
        </w:rPr>
        <w:t xml:space="preserve">ного сырья для производства органических удобрений [1, 2]. </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Повышение плодородия почв, рост урожайности сельскохозя</w:t>
      </w:r>
      <w:r w:rsidRPr="00724342">
        <w:rPr>
          <w:rFonts w:eastAsiaTheme="minorHAnsi"/>
          <w:sz w:val="22"/>
          <w:szCs w:val="22"/>
          <w:lang w:eastAsia="en-US"/>
        </w:rPr>
        <w:t>й</w:t>
      </w:r>
      <w:r w:rsidRPr="00724342">
        <w:rPr>
          <w:rFonts w:eastAsiaTheme="minorHAnsi"/>
          <w:sz w:val="22"/>
          <w:szCs w:val="22"/>
          <w:lang w:eastAsia="en-US"/>
        </w:rPr>
        <w:t>ственных культур, получение конкурентоспособной продукции ра</w:t>
      </w:r>
      <w:r w:rsidRPr="00724342">
        <w:rPr>
          <w:rFonts w:eastAsiaTheme="minorHAnsi"/>
          <w:sz w:val="22"/>
          <w:szCs w:val="22"/>
          <w:lang w:eastAsia="en-US"/>
        </w:rPr>
        <w:t>с</w:t>
      </w:r>
      <w:r w:rsidRPr="00724342">
        <w:rPr>
          <w:rFonts w:eastAsiaTheme="minorHAnsi"/>
          <w:sz w:val="22"/>
          <w:szCs w:val="22"/>
          <w:lang w:eastAsia="en-US"/>
        </w:rPr>
        <w:t>тениеводства связаны с совершенствованием сбалансированных систем экологически чистых удобрений. При этом важное значение приобретают органоминеральные удобрения, полученные на основе переработки торфа.</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Главным недостатком производства и внесения таких удобр</w:t>
      </w:r>
      <w:r w:rsidRPr="00724342">
        <w:rPr>
          <w:rFonts w:eastAsiaTheme="minorHAnsi"/>
          <w:sz w:val="22"/>
          <w:szCs w:val="22"/>
          <w:lang w:eastAsia="en-US"/>
        </w:rPr>
        <w:t>е</w:t>
      </w:r>
      <w:r w:rsidRPr="00724342">
        <w:rPr>
          <w:rFonts w:eastAsiaTheme="minorHAnsi"/>
          <w:sz w:val="22"/>
          <w:szCs w:val="22"/>
          <w:lang w:eastAsia="en-US"/>
        </w:rPr>
        <w:t>ний являются большие затраты, связанные с транспортировкой д</w:t>
      </w:r>
      <w:r w:rsidRPr="00724342">
        <w:rPr>
          <w:rFonts w:eastAsiaTheme="minorHAnsi"/>
          <w:sz w:val="22"/>
          <w:szCs w:val="22"/>
          <w:lang w:eastAsia="en-US"/>
        </w:rPr>
        <w:t>о</w:t>
      </w:r>
      <w:r w:rsidRPr="00724342">
        <w:rPr>
          <w:rFonts w:eastAsiaTheme="minorHAnsi"/>
          <w:sz w:val="22"/>
          <w:szCs w:val="22"/>
          <w:lang w:eastAsia="en-US"/>
        </w:rPr>
        <w:t>статочно больших объемов этого сырья на поля. Также торф очень медленно проявляет свои потенциальные агрономические свойства, наряду с содержанием большого количества органического вещ</w:t>
      </w:r>
      <w:r w:rsidRPr="00724342">
        <w:rPr>
          <w:rFonts w:eastAsiaTheme="minorHAnsi"/>
          <w:sz w:val="22"/>
          <w:szCs w:val="22"/>
          <w:lang w:eastAsia="en-US"/>
        </w:rPr>
        <w:t>е</w:t>
      </w:r>
      <w:r w:rsidRPr="00724342">
        <w:rPr>
          <w:rFonts w:eastAsiaTheme="minorHAnsi"/>
          <w:sz w:val="22"/>
          <w:szCs w:val="22"/>
          <w:lang w:eastAsia="en-US"/>
        </w:rPr>
        <w:t>ства, макро- и микроэлементов.</w:t>
      </w:r>
    </w:p>
    <w:p w:rsidR="00724342" w:rsidRPr="00724342" w:rsidRDefault="00724342" w:rsidP="006E4146">
      <w:pPr>
        <w:ind w:firstLine="426"/>
        <w:jc w:val="both"/>
        <w:rPr>
          <w:rFonts w:eastAsiaTheme="minorHAnsi"/>
          <w:sz w:val="22"/>
          <w:szCs w:val="22"/>
          <w:lang w:eastAsia="en-US"/>
        </w:rPr>
      </w:pPr>
      <w:r w:rsidRPr="00724342">
        <w:rPr>
          <w:rFonts w:eastAsiaTheme="minorHAnsi"/>
          <w:sz w:val="22"/>
          <w:szCs w:val="22"/>
          <w:lang w:eastAsia="en-US"/>
        </w:rPr>
        <w:t>В настоящее время воспроизводство плодородия почвы трад</w:t>
      </w:r>
      <w:r w:rsidRPr="00724342">
        <w:rPr>
          <w:rFonts w:eastAsiaTheme="minorHAnsi"/>
          <w:sz w:val="22"/>
          <w:szCs w:val="22"/>
          <w:lang w:eastAsia="en-US"/>
        </w:rPr>
        <w:t>и</w:t>
      </w:r>
      <w:r w:rsidRPr="00724342">
        <w:rPr>
          <w:rFonts w:eastAsiaTheme="minorHAnsi"/>
          <w:sz w:val="22"/>
          <w:szCs w:val="22"/>
          <w:lang w:eastAsia="en-US"/>
        </w:rPr>
        <w:t>ционными методами невозможно из-за сложного финансового п</w:t>
      </w:r>
      <w:r w:rsidRPr="00724342">
        <w:rPr>
          <w:rFonts w:eastAsiaTheme="minorHAnsi"/>
          <w:sz w:val="22"/>
          <w:szCs w:val="22"/>
          <w:lang w:eastAsia="en-US"/>
        </w:rPr>
        <w:t>о</w:t>
      </w:r>
      <w:r w:rsidRPr="00724342">
        <w:rPr>
          <w:rFonts w:eastAsiaTheme="minorHAnsi"/>
          <w:sz w:val="22"/>
          <w:szCs w:val="22"/>
          <w:lang w:eastAsia="en-US"/>
        </w:rPr>
        <w:t>ложения подавляющего числа сельхозтоваропроизводителей, а та</w:t>
      </w:r>
      <w:r w:rsidRPr="00724342">
        <w:rPr>
          <w:rFonts w:eastAsiaTheme="minorHAnsi"/>
          <w:sz w:val="22"/>
          <w:szCs w:val="22"/>
          <w:lang w:eastAsia="en-US"/>
        </w:rPr>
        <w:t>к</w:t>
      </w:r>
      <w:r w:rsidRPr="00724342">
        <w:rPr>
          <w:rFonts w:eastAsiaTheme="minorHAnsi"/>
          <w:sz w:val="22"/>
          <w:szCs w:val="22"/>
          <w:lang w:eastAsia="en-US"/>
        </w:rPr>
        <w:t>же из-за высокой стоимости минеральных удобрений. С другой стороны, применение агрохимикатов восполняет запасы питател</w:t>
      </w:r>
      <w:r w:rsidRPr="00724342">
        <w:rPr>
          <w:rFonts w:eastAsiaTheme="minorHAnsi"/>
          <w:sz w:val="22"/>
          <w:szCs w:val="22"/>
          <w:lang w:eastAsia="en-US"/>
        </w:rPr>
        <w:t>ь</w:t>
      </w:r>
      <w:r w:rsidRPr="00724342">
        <w:rPr>
          <w:rFonts w:eastAsiaTheme="minorHAnsi"/>
          <w:sz w:val="22"/>
          <w:szCs w:val="22"/>
          <w:lang w:eastAsia="en-US"/>
        </w:rPr>
        <w:t>ных веществ в почве, но при этом не влияет на динамику содерж</w:t>
      </w:r>
      <w:r w:rsidRPr="00724342">
        <w:rPr>
          <w:rFonts w:eastAsiaTheme="minorHAnsi"/>
          <w:sz w:val="22"/>
          <w:szCs w:val="22"/>
          <w:lang w:eastAsia="en-US"/>
        </w:rPr>
        <w:t>а</w:t>
      </w:r>
      <w:r w:rsidRPr="00724342">
        <w:rPr>
          <w:rFonts w:eastAsiaTheme="minorHAnsi"/>
          <w:sz w:val="22"/>
          <w:szCs w:val="22"/>
          <w:lang w:eastAsia="en-US"/>
        </w:rPr>
        <w:t xml:space="preserve">ние и восстановления общего гумуса. Именно поэтому их внесение в установленных нормах становится экономически неоправданным. </w:t>
      </w:r>
    </w:p>
    <w:p w:rsidR="00724342" w:rsidRPr="00724342" w:rsidRDefault="00724342" w:rsidP="006E4146">
      <w:pPr>
        <w:ind w:firstLine="426"/>
        <w:jc w:val="both"/>
        <w:rPr>
          <w:rFonts w:eastAsiaTheme="minorHAnsi"/>
          <w:spacing w:val="4"/>
          <w:sz w:val="22"/>
          <w:szCs w:val="22"/>
          <w:lang w:eastAsia="en-US"/>
        </w:rPr>
      </w:pPr>
      <w:r w:rsidRPr="00724342">
        <w:rPr>
          <w:rFonts w:eastAsiaTheme="minorHAnsi"/>
          <w:spacing w:val="4"/>
          <w:sz w:val="22"/>
          <w:szCs w:val="22"/>
          <w:lang w:eastAsia="en-US"/>
        </w:rPr>
        <w:t>Основу гумуса составляют гуматы, процентное соотношение которых определяет плодородие почвы и потенциал урожайн</w:t>
      </w:r>
      <w:r w:rsidRPr="00724342">
        <w:rPr>
          <w:rFonts w:eastAsiaTheme="minorHAnsi"/>
          <w:spacing w:val="4"/>
          <w:sz w:val="22"/>
          <w:szCs w:val="22"/>
          <w:lang w:eastAsia="en-US"/>
        </w:rPr>
        <w:t>о</w:t>
      </w:r>
      <w:r w:rsidRPr="00724342">
        <w:rPr>
          <w:rFonts w:eastAsiaTheme="minorHAnsi"/>
          <w:spacing w:val="4"/>
          <w:sz w:val="22"/>
          <w:szCs w:val="22"/>
          <w:lang w:eastAsia="en-US"/>
        </w:rPr>
        <w:t>сти. Гуматы имеют растительное происхождение и их произво</w:t>
      </w:r>
      <w:r w:rsidRPr="00724342">
        <w:rPr>
          <w:rFonts w:eastAsiaTheme="minorHAnsi"/>
          <w:spacing w:val="4"/>
          <w:sz w:val="22"/>
          <w:szCs w:val="22"/>
          <w:lang w:eastAsia="en-US"/>
        </w:rPr>
        <w:t>д</w:t>
      </w:r>
      <w:r w:rsidRPr="00724342">
        <w:rPr>
          <w:rFonts w:eastAsiaTheme="minorHAnsi"/>
          <w:spacing w:val="4"/>
          <w:sz w:val="22"/>
          <w:szCs w:val="22"/>
          <w:lang w:eastAsia="en-US"/>
        </w:rPr>
        <w:t>ство возможно из торфа, бурого угля и т. д. Учитывая огромные запасы торфа в России, его использование в качестве сырья для производства удобрений является перспективным и экономич</w:t>
      </w:r>
      <w:r w:rsidRPr="00724342">
        <w:rPr>
          <w:rFonts w:eastAsiaTheme="minorHAnsi"/>
          <w:spacing w:val="4"/>
          <w:sz w:val="22"/>
          <w:szCs w:val="22"/>
          <w:lang w:eastAsia="en-US"/>
        </w:rPr>
        <w:t>е</w:t>
      </w:r>
      <w:r w:rsidRPr="00724342">
        <w:rPr>
          <w:rFonts w:eastAsiaTheme="minorHAnsi"/>
          <w:spacing w:val="4"/>
          <w:sz w:val="22"/>
          <w:szCs w:val="22"/>
          <w:lang w:eastAsia="en-US"/>
        </w:rPr>
        <w:t xml:space="preserve">ски оправданным [3, 4, 5]. </w:t>
      </w:r>
    </w:p>
    <w:p w:rsidR="00724342" w:rsidRPr="00724342" w:rsidRDefault="00724342" w:rsidP="006E4146">
      <w:pPr>
        <w:ind w:firstLine="426"/>
        <w:jc w:val="both"/>
        <w:rPr>
          <w:rFonts w:eastAsiaTheme="minorHAnsi"/>
          <w:spacing w:val="4"/>
          <w:sz w:val="22"/>
          <w:szCs w:val="22"/>
          <w:lang w:eastAsia="en-US"/>
        </w:rPr>
      </w:pPr>
      <w:r w:rsidRPr="00724342">
        <w:rPr>
          <w:rFonts w:eastAsiaTheme="minorHAnsi"/>
          <w:spacing w:val="4"/>
          <w:sz w:val="22"/>
          <w:szCs w:val="22"/>
          <w:lang w:eastAsia="en-US"/>
        </w:rPr>
        <w:lastRenderedPageBreak/>
        <w:t>Также следует отметить, что торф и продукты его перер</w:t>
      </w:r>
      <w:r w:rsidRPr="00724342">
        <w:rPr>
          <w:rFonts w:eastAsiaTheme="minorHAnsi"/>
          <w:spacing w:val="4"/>
          <w:sz w:val="22"/>
          <w:szCs w:val="22"/>
          <w:lang w:eastAsia="en-US"/>
        </w:rPr>
        <w:t>а</w:t>
      </w:r>
      <w:r w:rsidRPr="00724342">
        <w:rPr>
          <w:rFonts w:eastAsiaTheme="minorHAnsi"/>
          <w:spacing w:val="4"/>
          <w:sz w:val="22"/>
          <w:szCs w:val="22"/>
          <w:lang w:eastAsia="en-US"/>
        </w:rPr>
        <w:t>ботки как удобрения пока составляют всего 5 % от объема вн</w:t>
      </w:r>
      <w:r w:rsidRPr="00724342">
        <w:rPr>
          <w:rFonts w:eastAsiaTheme="minorHAnsi"/>
          <w:spacing w:val="4"/>
          <w:sz w:val="22"/>
          <w:szCs w:val="22"/>
          <w:lang w:eastAsia="en-US"/>
        </w:rPr>
        <w:t>о</w:t>
      </w:r>
      <w:r w:rsidRPr="00724342">
        <w:rPr>
          <w:rFonts w:eastAsiaTheme="minorHAnsi"/>
          <w:spacing w:val="4"/>
          <w:sz w:val="22"/>
          <w:szCs w:val="22"/>
          <w:lang w:eastAsia="en-US"/>
        </w:rPr>
        <w:t>симых удобрений в почву. Гуматы в биосфере легко включаются в органическую систему земледелия, являясь естественным эл</w:t>
      </w:r>
      <w:r w:rsidRPr="00724342">
        <w:rPr>
          <w:rFonts w:eastAsiaTheme="minorHAnsi"/>
          <w:spacing w:val="4"/>
          <w:sz w:val="22"/>
          <w:szCs w:val="22"/>
          <w:lang w:eastAsia="en-US"/>
        </w:rPr>
        <w:t>е</w:t>
      </w:r>
      <w:r w:rsidRPr="00724342">
        <w:rPr>
          <w:rFonts w:eastAsiaTheme="minorHAnsi"/>
          <w:spacing w:val="4"/>
          <w:sz w:val="22"/>
          <w:szCs w:val="22"/>
          <w:lang w:eastAsia="en-US"/>
        </w:rPr>
        <w:t>ментом кругооборота веществ. При регулярном внесении гум</w:t>
      </w:r>
      <w:r w:rsidRPr="00724342">
        <w:rPr>
          <w:rFonts w:eastAsiaTheme="minorHAnsi"/>
          <w:spacing w:val="4"/>
          <w:sz w:val="22"/>
          <w:szCs w:val="22"/>
          <w:lang w:eastAsia="en-US"/>
        </w:rPr>
        <w:t>и</w:t>
      </w:r>
      <w:r w:rsidRPr="00724342">
        <w:rPr>
          <w:rFonts w:eastAsiaTheme="minorHAnsi"/>
          <w:spacing w:val="4"/>
          <w:sz w:val="22"/>
          <w:szCs w:val="22"/>
          <w:lang w:eastAsia="en-US"/>
        </w:rPr>
        <w:t>новых удобрений почвы становятся более устойчивыми к де</w:t>
      </w:r>
      <w:r w:rsidRPr="00724342">
        <w:rPr>
          <w:rFonts w:eastAsiaTheme="minorHAnsi"/>
          <w:spacing w:val="4"/>
          <w:sz w:val="22"/>
          <w:szCs w:val="22"/>
          <w:lang w:eastAsia="en-US"/>
        </w:rPr>
        <w:t>й</w:t>
      </w:r>
      <w:r w:rsidRPr="00724342">
        <w:rPr>
          <w:rFonts w:eastAsiaTheme="minorHAnsi"/>
          <w:spacing w:val="4"/>
          <w:sz w:val="22"/>
          <w:szCs w:val="22"/>
          <w:lang w:eastAsia="en-US"/>
        </w:rPr>
        <w:t>ствию химических загрязняющих веществ (тяжелых металлов, пестицидов, радионуклидов). Также появляется тенденция ув</w:t>
      </w:r>
      <w:r w:rsidRPr="00724342">
        <w:rPr>
          <w:rFonts w:eastAsiaTheme="minorHAnsi"/>
          <w:spacing w:val="4"/>
          <w:sz w:val="22"/>
          <w:szCs w:val="22"/>
          <w:lang w:eastAsia="en-US"/>
        </w:rPr>
        <w:t>е</w:t>
      </w:r>
      <w:r w:rsidRPr="00724342">
        <w:rPr>
          <w:rFonts w:eastAsiaTheme="minorHAnsi"/>
          <w:spacing w:val="4"/>
          <w:sz w:val="22"/>
          <w:szCs w:val="22"/>
          <w:lang w:eastAsia="en-US"/>
        </w:rPr>
        <w:t xml:space="preserve">личения содержания подвижного фосфора, усваиваемого азота в пахотном слое почвы, что способствует улучшению снабжения растений питательными элементами. </w:t>
      </w:r>
    </w:p>
    <w:p w:rsidR="00724342" w:rsidRPr="00724342" w:rsidRDefault="00724342" w:rsidP="006E4146">
      <w:pPr>
        <w:ind w:firstLine="426"/>
        <w:jc w:val="both"/>
        <w:rPr>
          <w:rFonts w:eastAsiaTheme="minorHAnsi"/>
          <w:color w:val="000000"/>
          <w:sz w:val="22"/>
          <w:highlight w:val="yellow"/>
          <w:lang w:eastAsia="en-US"/>
        </w:rPr>
      </w:pPr>
      <w:r w:rsidRPr="00724342">
        <w:rPr>
          <w:rFonts w:eastAsiaTheme="minorHAnsi"/>
          <w:sz w:val="22"/>
          <w:szCs w:val="22"/>
          <w:lang w:eastAsia="en-US"/>
        </w:rPr>
        <w:t>Таким образом, можно сделать выводы, что использование о</w:t>
      </w:r>
      <w:r w:rsidRPr="00724342">
        <w:rPr>
          <w:rFonts w:eastAsiaTheme="minorHAnsi"/>
          <w:sz w:val="22"/>
          <w:szCs w:val="22"/>
          <w:lang w:eastAsia="en-US"/>
        </w:rPr>
        <w:t>р</w:t>
      </w:r>
      <w:r w:rsidRPr="00724342">
        <w:rPr>
          <w:rFonts w:eastAsiaTheme="minorHAnsi"/>
          <w:sz w:val="22"/>
          <w:szCs w:val="22"/>
          <w:lang w:eastAsia="en-US"/>
        </w:rPr>
        <w:t>ганоминеральных удобрений, полученных на основе торфа, являе</w:t>
      </w:r>
      <w:r w:rsidRPr="00724342">
        <w:rPr>
          <w:rFonts w:eastAsiaTheme="minorHAnsi"/>
          <w:sz w:val="22"/>
          <w:szCs w:val="22"/>
          <w:lang w:eastAsia="en-US"/>
        </w:rPr>
        <w:t>т</w:t>
      </w:r>
      <w:r w:rsidRPr="00724342">
        <w:rPr>
          <w:rFonts w:eastAsiaTheme="minorHAnsi"/>
          <w:sz w:val="22"/>
          <w:szCs w:val="22"/>
          <w:lang w:eastAsia="en-US"/>
        </w:rPr>
        <w:t>ся важным ресурсом повышения плодородия почвы, а следовател</w:t>
      </w:r>
      <w:r w:rsidRPr="00724342">
        <w:rPr>
          <w:rFonts w:eastAsiaTheme="minorHAnsi"/>
          <w:sz w:val="22"/>
          <w:szCs w:val="22"/>
          <w:lang w:eastAsia="en-US"/>
        </w:rPr>
        <w:t>ь</w:t>
      </w:r>
      <w:r w:rsidRPr="00724342">
        <w:rPr>
          <w:rFonts w:eastAsiaTheme="minorHAnsi"/>
          <w:sz w:val="22"/>
          <w:szCs w:val="22"/>
          <w:lang w:eastAsia="en-US"/>
        </w:rPr>
        <w:t>но и урожайности сельскохозяйственных культур. Это обеспечит рост экономической эффективности деятельности сельхозпредпри</w:t>
      </w:r>
      <w:r w:rsidRPr="00724342">
        <w:rPr>
          <w:rFonts w:eastAsiaTheme="minorHAnsi"/>
          <w:sz w:val="22"/>
          <w:szCs w:val="22"/>
          <w:lang w:eastAsia="en-US"/>
        </w:rPr>
        <w:t>я</w:t>
      </w:r>
      <w:r w:rsidRPr="00724342">
        <w:rPr>
          <w:rFonts w:eastAsiaTheme="minorHAnsi"/>
          <w:sz w:val="22"/>
          <w:szCs w:val="22"/>
          <w:lang w:eastAsia="en-US"/>
        </w:rPr>
        <w:t>тий, повышение объемов производства в отрасли и уровня прод</w:t>
      </w:r>
      <w:r w:rsidRPr="00724342">
        <w:rPr>
          <w:rFonts w:eastAsiaTheme="minorHAnsi"/>
          <w:sz w:val="22"/>
          <w:szCs w:val="22"/>
          <w:lang w:eastAsia="en-US"/>
        </w:rPr>
        <w:t>о</w:t>
      </w:r>
      <w:r w:rsidRPr="00724342">
        <w:rPr>
          <w:rFonts w:eastAsiaTheme="minorHAnsi"/>
          <w:sz w:val="22"/>
          <w:szCs w:val="22"/>
          <w:lang w:eastAsia="en-US"/>
        </w:rPr>
        <w:t>вольственной безопасности региона.</w:t>
      </w:r>
    </w:p>
    <w:p w:rsidR="00724342" w:rsidRPr="00724342" w:rsidRDefault="00724342" w:rsidP="006E4146">
      <w:pPr>
        <w:ind w:firstLine="426"/>
        <w:jc w:val="both"/>
        <w:rPr>
          <w:rFonts w:eastAsiaTheme="minorHAnsi"/>
          <w:color w:val="000000"/>
          <w:spacing w:val="2"/>
          <w:sz w:val="22"/>
          <w:lang w:eastAsia="en-US"/>
        </w:rPr>
      </w:pPr>
    </w:p>
    <w:p w:rsidR="00724342" w:rsidRPr="00724342" w:rsidRDefault="00724342" w:rsidP="006E4146">
      <w:pPr>
        <w:ind w:firstLine="426"/>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1. Бершицкий Ю. И. Экономика формирования и развития сп</w:t>
      </w:r>
      <w:r w:rsidRPr="00724342">
        <w:rPr>
          <w:rFonts w:eastAsiaTheme="minorHAnsi"/>
          <w:sz w:val="22"/>
          <w:szCs w:val="22"/>
          <w:lang w:eastAsia="en-US"/>
        </w:rPr>
        <w:t>е</w:t>
      </w:r>
      <w:r w:rsidRPr="00724342">
        <w:rPr>
          <w:rFonts w:eastAsiaTheme="minorHAnsi"/>
          <w:sz w:val="22"/>
          <w:szCs w:val="22"/>
          <w:lang w:eastAsia="en-US"/>
        </w:rPr>
        <w:t>циализированного мясного скотоводства в сельскохозяйственных организациях Краснодарского края : монография / Ю. И. Бершицкий, А. Р. Сайфетдинов. – Краснодар : КубГАУ, 2016. – 191 с.</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2. Бершицкий, Ю. И. Факторы экономической эффективности специализированного производства говядины / Ю. И. Бершицкий, А. Р. Сайфетдинов // Труды Кубанского государственного агарного университета – 2013. – № 6(45) – с. 13–20.</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3. Проблемы и перспективы развития АПК и сельских террит</w:t>
      </w:r>
      <w:r w:rsidRPr="00724342">
        <w:rPr>
          <w:rFonts w:eastAsiaTheme="minorHAnsi"/>
          <w:sz w:val="22"/>
          <w:szCs w:val="22"/>
          <w:lang w:eastAsia="en-US"/>
        </w:rPr>
        <w:t>о</w:t>
      </w:r>
      <w:r w:rsidRPr="00724342">
        <w:rPr>
          <w:rFonts w:eastAsiaTheme="minorHAnsi"/>
          <w:sz w:val="22"/>
          <w:szCs w:val="22"/>
          <w:lang w:eastAsia="en-US"/>
        </w:rPr>
        <w:t>рий. Книга 3 : монография [Текст] / О. А. Аничкина, Ю. И. Бершицкий, Л. В. Гайдаренко и др. / под общ. ред. С. С. Че</w:t>
      </w:r>
      <w:r w:rsidRPr="00724342">
        <w:rPr>
          <w:rFonts w:eastAsiaTheme="minorHAnsi"/>
          <w:sz w:val="22"/>
          <w:szCs w:val="22"/>
          <w:lang w:eastAsia="en-US"/>
        </w:rPr>
        <w:t>р</w:t>
      </w:r>
      <w:r w:rsidRPr="00724342">
        <w:rPr>
          <w:rFonts w:eastAsiaTheme="minorHAnsi"/>
          <w:sz w:val="22"/>
          <w:szCs w:val="22"/>
          <w:lang w:eastAsia="en-US"/>
        </w:rPr>
        <w:t>нова. – Новосибирск : Издательство ЦРНС, 2017. – 258 с.</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4. Соколова, А. П. Риск в агробизнесе и определение мер по его снижению / А. П. Соколова, С. А. Устян, С. А. Мелкумов // Экон</w:t>
      </w:r>
      <w:r w:rsidRPr="00724342">
        <w:rPr>
          <w:rFonts w:eastAsiaTheme="minorHAnsi"/>
          <w:sz w:val="22"/>
          <w:szCs w:val="22"/>
          <w:lang w:eastAsia="en-US"/>
        </w:rPr>
        <w:t>о</w:t>
      </w:r>
      <w:r w:rsidRPr="00724342">
        <w:rPr>
          <w:rFonts w:eastAsiaTheme="minorHAnsi"/>
          <w:sz w:val="22"/>
          <w:szCs w:val="22"/>
          <w:lang w:eastAsia="en-US"/>
        </w:rPr>
        <w:t>мика и предпринимательство. – 2017. – № 1 (78). – с. 951–956.</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5. Сорокин, Н. Т. Новые технические решения по производству органоминеральных удобрений из торфа / Н. Т. Сорокин, К. Н. С</w:t>
      </w:r>
      <w:r w:rsidRPr="00724342">
        <w:rPr>
          <w:rFonts w:eastAsiaTheme="minorHAnsi"/>
          <w:sz w:val="22"/>
          <w:szCs w:val="22"/>
          <w:lang w:eastAsia="en-US"/>
        </w:rPr>
        <w:t>о</w:t>
      </w:r>
      <w:r w:rsidRPr="00724342">
        <w:rPr>
          <w:rFonts w:eastAsiaTheme="minorHAnsi"/>
          <w:sz w:val="22"/>
          <w:szCs w:val="22"/>
          <w:lang w:eastAsia="en-US"/>
        </w:rPr>
        <w:lastRenderedPageBreak/>
        <w:t xml:space="preserve">рокин // Проблемы механизации агрохимического обеспечения сельского хозяйства. – 2016. – № 9. – </w:t>
      </w:r>
      <w:r w:rsidRPr="00724342">
        <w:rPr>
          <w:rFonts w:eastAsiaTheme="minorHAnsi"/>
          <w:sz w:val="22"/>
          <w:szCs w:val="22"/>
          <w:lang w:eastAsia="en-US"/>
        </w:rPr>
        <w:tab/>
        <w:t>с. 18–26.</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jc w:val="both"/>
        <w:rPr>
          <w:rFonts w:eastAsia="Yu Mincho"/>
          <w:sz w:val="22"/>
          <w:szCs w:val="22"/>
          <w:lang w:eastAsia="en-US"/>
        </w:rPr>
      </w:pPr>
    </w:p>
    <w:p w:rsidR="00724342" w:rsidRPr="00724342" w:rsidRDefault="00724342" w:rsidP="00724342">
      <w:pPr>
        <w:contextualSpacing/>
        <w:jc w:val="both"/>
        <w:rPr>
          <w:sz w:val="22"/>
          <w:szCs w:val="22"/>
        </w:rPr>
      </w:pPr>
    </w:p>
    <w:p w:rsidR="00724342" w:rsidRPr="00724342" w:rsidRDefault="00724342" w:rsidP="00724342">
      <w:pPr>
        <w:contextualSpacing/>
        <w:jc w:val="both"/>
        <w:rPr>
          <w:sz w:val="22"/>
          <w:szCs w:val="22"/>
        </w:rPr>
      </w:pPr>
      <w:r w:rsidRPr="00724342">
        <w:rPr>
          <w:sz w:val="22"/>
          <w:szCs w:val="22"/>
        </w:rPr>
        <w:t>УДК 338.43:636 (470+571)</w:t>
      </w:r>
    </w:p>
    <w:p w:rsidR="00724342" w:rsidRPr="00724342" w:rsidRDefault="00724342" w:rsidP="00724342">
      <w:pPr>
        <w:contextualSpacing/>
        <w:jc w:val="both"/>
        <w:rPr>
          <w:sz w:val="22"/>
          <w:szCs w:val="22"/>
        </w:rPr>
      </w:pPr>
    </w:p>
    <w:p w:rsidR="00724342" w:rsidRPr="00724342" w:rsidRDefault="00724342" w:rsidP="00724342">
      <w:pPr>
        <w:contextualSpacing/>
        <w:jc w:val="center"/>
        <w:rPr>
          <w:b/>
          <w:sz w:val="24"/>
          <w:szCs w:val="24"/>
        </w:rPr>
      </w:pPr>
      <w:r w:rsidRPr="00724342">
        <w:rPr>
          <w:b/>
          <w:sz w:val="24"/>
          <w:szCs w:val="24"/>
        </w:rPr>
        <w:t xml:space="preserve">Современное состояние отрасли животноводства в России: проблемы и пути решения </w:t>
      </w:r>
    </w:p>
    <w:p w:rsidR="00724342" w:rsidRPr="00724342" w:rsidRDefault="00724342" w:rsidP="00724342">
      <w:pPr>
        <w:contextualSpacing/>
        <w:jc w:val="center"/>
        <w:rPr>
          <w:b/>
          <w:sz w:val="24"/>
          <w:szCs w:val="24"/>
          <w:lang w:val="en-US"/>
        </w:rPr>
      </w:pPr>
      <w:r w:rsidRPr="00724342">
        <w:rPr>
          <w:b/>
          <w:sz w:val="24"/>
          <w:szCs w:val="24"/>
          <w:lang w:val="en-US"/>
        </w:rPr>
        <w:t xml:space="preserve">The current state of the livestock sector in Russia: </w:t>
      </w:r>
    </w:p>
    <w:p w:rsidR="00724342" w:rsidRPr="00724342" w:rsidRDefault="00724342" w:rsidP="00724342">
      <w:pPr>
        <w:contextualSpacing/>
        <w:jc w:val="center"/>
        <w:rPr>
          <w:b/>
          <w:sz w:val="24"/>
          <w:szCs w:val="24"/>
          <w:lang w:val="en-US"/>
        </w:rPr>
      </w:pPr>
      <w:r w:rsidRPr="00724342">
        <w:rPr>
          <w:b/>
          <w:sz w:val="24"/>
          <w:szCs w:val="24"/>
          <w:lang w:val="en-US"/>
        </w:rPr>
        <w:t>problems and solutions</w:t>
      </w:r>
    </w:p>
    <w:p w:rsidR="00724342" w:rsidRPr="00724342" w:rsidRDefault="00724342" w:rsidP="00724342">
      <w:pPr>
        <w:contextualSpacing/>
        <w:jc w:val="both"/>
        <w:rPr>
          <w:sz w:val="22"/>
          <w:szCs w:val="22"/>
          <w:lang w:val="en-US"/>
        </w:rPr>
      </w:pPr>
    </w:p>
    <w:p w:rsidR="00724342" w:rsidRPr="00724342" w:rsidRDefault="00724342" w:rsidP="00724342">
      <w:pPr>
        <w:contextualSpacing/>
        <w:jc w:val="right"/>
        <w:rPr>
          <w:sz w:val="22"/>
          <w:szCs w:val="22"/>
          <w:lang w:val="en-US"/>
        </w:rPr>
      </w:pPr>
      <w:r w:rsidRPr="00724342">
        <w:rPr>
          <w:sz w:val="22"/>
          <w:szCs w:val="22"/>
        </w:rPr>
        <w:t>Ищенко</w:t>
      </w:r>
      <w:r w:rsidRPr="00724342">
        <w:rPr>
          <w:sz w:val="22"/>
          <w:szCs w:val="22"/>
          <w:lang w:val="en-US"/>
        </w:rPr>
        <w:t xml:space="preserve"> </w:t>
      </w:r>
      <w:r w:rsidRPr="00724342">
        <w:rPr>
          <w:sz w:val="22"/>
          <w:szCs w:val="22"/>
        </w:rPr>
        <w:t>М</w:t>
      </w:r>
      <w:r w:rsidRPr="00724342">
        <w:rPr>
          <w:sz w:val="22"/>
          <w:szCs w:val="22"/>
          <w:lang w:val="en-US"/>
        </w:rPr>
        <w:t>. </w:t>
      </w:r>
      <w:r w:rsidRPr="00724342">
        <w:rPr>
          <w:sz w:val="22"/>
          <w:szCs w:val="22"/>
        </w:rPr>
        <w:t>И</w:t>
      </w:r>
      <w:r w:rsidRPr="00724342">
        <w:rPr>
          <w:sz w:val="22"/>
          <w:szCs w:val="22"/>
          <w:lang w:val="en-US"/>
        </w:rPr>
        <w:t>.,</w:t>
      </w:r>
    </w:p>
    <w:p w:rsidR="00724342" w:rsidRPr="00724342" w:rsidRDefault="00724342" w:rsidP="00724342">
      <w:pPr>
        <w:widowControl w:val="0"/>
        <w:tabs>
          <w:tab w:val="left" w:pos="8223"/>
        </w:tabs>
        <w:jc w:val="right"/>
        <w:rPr>
          <w:rFonts w:eastAsia="Courier New"/>
          <w:color w:val="000000"/>
          <w:sz w:val="22"/>
          <w:szCs w:val="22"/>
        </w:rPr>
      </w:pPr>
      <w:r w:rsidRPr="00724342">
        <w:rPr>
          <w:rFonts w:eastAsia="Courier New"/>
          <w:color w:val="000000"/>
          <w:sz w:val="22"/>
          <w:szCs w:val="22"/>
        </w:rPr>
        <w:t>магистрант 2-го курса экономического факультета</w:t>
      </w:r>
    </w:p>
    <w:p w:rsidR="00724342" w:rsidRPr="00724342" w:rsidRDefault="00724342" w:rsidP="00724342">
      <w:pPr>
        <w:contextualSpacing/>
        <w:jc w:val="right"/>
        <w:rPr>
          <w:sz w:val="22"/>
          <w:szCs w:val="22"/>
        </w:rPr>
      </w:pPr>
      <w:r w:rsidRPr="00724342">
        <w:rPr>
          <w:sz w:val="22"/>
          <w:szCs w:val="22"/>
        </w:rPr>
        <w:t>Соколова А. П.,</w:t>
      </w:r>
    </w:p>
    <w:p w:rsidR="00724342" w:rsidRPr="00724342" w:rsidRDefault="00724342" w:rsidP="00724342">
      <w:pPr>
        <w:contextualSpacing/>
        <w:jc w:val="right"/>
        <w:rPr>
          <w:sz w:val="22"/>
          <w:szCs w:val="22"/>
        </w:rPr>
      </w:pPr>
      <w:r w:rsidRPr="00724342">
        <w:rPr>
          <w:sz w:val="22"/>
          <w:szCs w:val="22"/>
        </w:rPr>
        <w:t>профессор кафедры организации</w:t>
      </w:r>
    </w:p>
    <w:p w:rsidR="00724342" w:rsidRPr="00724342" w:rsidRDefault="00724342" w:rsidP="00724342">
      <w:pPr>
        <w:contextualSpacing/>
        <w:jc w:val="right"/>
        <w:rPr>
          <w:sz w:val="22"/>
          <w:szCs w:val="22"/>
        </w:rPr>
      </w:pPr>
      <w:r w:rsidRPr="00724342">
        <w:rPr>
          <w:sz w:val="22"/>
          <w:szCs w:val="22"/>
        </w:rPr>
        <w:t>производства и инновационной деятельности</w:t>
      </w:r>
    </w:p>
    <w:p w:rsidR="00724342" w:rsidRPr="00724342" w:rsidRDefault="00724342" w:rsidP="00724342">
      <w:pPr>
        <w:widowControl w:val="0"/>
        <w:tabs>
          <w:tab w:val="left" w:pos="8223"/>
        </w:tabs>
        <w:jc w:val="right"/>
        <w:rPr>
          <w:rFonts w:eastAsia="Courier New"/>
          <w:sz w:val="22"/>
          <w:szCs w:val="22"/>
        </w:rPr>
      </w:pPr>
      <w:r w:rsidRPr="00724342">
        <w:rPr>
          <w:rFonts w:eastAsia="Courier New"/>
          <w:sz w:val="22"/>
          <w:szCs w:val="22"/>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sz w:val="22"/>
          <w:szCs w:val="22"/>
        </w:rPr>
      </w:pPr>
      <w:r w:rsidRPr="00724342">
        <w:rPr>
          <w:rFonts w:eastAsia="Courier New"/>
          <w:sz w:val="22"/>
          <w:szCs w:val="22"/>
        </w:rPr>
        <w:t>университет имени И.Т. Трубилина</w:t>
      </w:r>
    </w:p>
    <w:p w:rsidR="00724342" w:rsidRPr="00724342" w:rsidRDefault="00724342" w:rsidP="00724342">
      <w:pPr>
        <w:contextualSpacing/>
        <w:jc w:val="both"/>
        <w:rPr>
          <w:sz w:val="22"/>
          <w:szCs w:val="22"/>
        </w:rPr>
      </w:pPr>
    </w:p>
    <w:p w:rsidR="00724342" w:rsidRPr="00724342" w:rsidRDefault="00724342" w:rsidP="006E4146">
      <w:pPr>
        <w:widowControl w:val="0"/>
        <w:tabs>
          <w:tab w:val="left" w:pos="8223"/>
        </w:tabs>
        <w:ind w:firstLine="425"/>
        <w:jc w:val="both"/>
        <w:rPr>
          <w:rFonts w:eastAsia="Courier New"/>
          <w:sz w:val="22"/>
          <w:szCs w:val="22"/>
        </w:rPr>
      </w:pPr>
      <w:r w:rsidRPr="00724342">
        <w:rPr>
          <w:rFonts w:eastAsia="Courier New"/>
          <w:sz w:val="22"/>
          <w:szCs w:val="22"/>
        </w:rPr>
        <w:t>АННОТАЦИЯ: Проанализировано состояние отрасли живо</w:t>
      </w:r>
      <w:r w:rsidRPr="00724342">
        <w:rPr>
          <w:rFonts w:eastAsia="Courier New"/>
          <w:sz w:val="22"/>
          <w:szCs w:val="22"/>
        </w:rPr>
        <w:t>т</w:t>
      </w:r>
      <w:r w:rsidRPr="00724342">
        <w:rPr>
          <w:rFonts w:eastAsia="Courier New"/>
          <w:sz w:val="22"/>
          <w:szCs w:val="22"/>
        </w:rPr>
        <w:t xml:space="preserve">новодства в России, выделены проблемы ее замедленного развития, представлены основные пути из решения. </w:t>
      </w:r>
    </w:p>
    <w:p w:rsidR="00724342" w:rsidRPr="00724342" w:rsidRDefault="00724342" w:rsidP="006E4146">
      <w:pPr>
        <w:widowControl w:val="0"/>
        <w:tabs>
          <w:tab w:val="left" w:pos="8223"/>
        </w:tabs>
        <w:ind w:firstLine="425"/>
        <w:jc w:val="both"/>
        <w:rPr>
          <w:rFonts w:eastAsia="Courier New"/>
          <w:sz w:val="22"/>
          <w:szCs w:val="22"/>
          <w:shd w:val="clear" w:color="auto" w:fill="FFFFFF"/>
          <w:lang w:val="en-US"/>
        </w:rPr>
      </w:pPr>
      <w:r w:rsidRPr="00724342">
        <w:rPr>
          <w:rFonts w:eastAsia="Courier New"/>
          <w:sz w:val="22"/>
          <w:szCs w:val="22"/>
          <w:lang w:val="en-US"/>
        </w:rPr>
        <w:t>ABSTRACT:</w:t>
      </w:r>
      <w:r w:rsidRPr="00724342">
        <w:rPr>
          <w:rFonts w:eastAsia="Courier New"/>
          <w:sz w:val="22"/>
          <w:szCs w:val="22"/>
          <w:shd w:val="clear" w:color="auto" w:fill="FFFFFF"/>
          <w:lang w:val="en-US"/>
        </w:rPr>
        <w:t xml:space="preserve"> </w:t>
      </w:r>
      <w:r w:rsidRPr="00724342">
        <w:rPr>
          <w:sz w:val="22"/>
          <w:szCs w:val="22"/>
          <w:shd w:val="clear" w:color="auto" w:fill="FFFFFF"/>
          <w:lang w:val="en-US"/>
        </w:rPr>
        <w:t>The current state of the livestock sector in Russia has been studied. The problems of the delayed development of the livestock industry are identified and the main ways of solving these problems are presented.</w:t>
      </w:r>
    </w:p>
    <w:p w:rsidR="00724342" w:rsidRPr="00724342" w:rsidRDefault="00724342" w:rsidP="006E4146">
      <w:pPr>
        <w:widowControl w:val="0"/>
        <w:tabs>
          <w:tab w:val="left" w:pos="8223"/>
        </w:tabs>
        <w:ind w:firstLine="425"/>
        <w:jc w:val="both"/>
        <w:rPr>
          <w:rFonts w:eastAsia="Courier New"/>
          <w:sz w:val="22"/>
          <w:szCs w:val="22"/>
        </w:rPr>
      </w:pPr>
      <w:r w:rsidRPr="00724342">
        <w:rPr>
          <w:rFonts w:eastAsia="Courier New"/>
          <w:sz w:val="22"/>
          <w:szCs w:val="22"/>
        </w:rPr>
        <w:t>КЛЮЧЕВЫЕ СЛОВА: животноводство, пути развития, скот</w:t>
      </w:r>
      <w:r w:rsidRPr="00724342">
        <w:rPr>
          <w:rFonts w:eastAsia="Courier New"/>
          <w:sz w:val="22"/>
          <w:szCs w:val="22"/>
        </w:rPr>
        <w:t>о</w:t>
      </w:r>
      <w:r w:rsidRPr="00724342">
        <w:rPr>
          <w:rFonts w:eastAsia="Courier New"/>
          <w:sz w:val="22"/>
          <w:szCs w:val="22"/>
        </w:rPr>
        <w:t xml:space="preserve">водство, импорт, сельское хозяйство. </w:t>
      </w:r>
    </w:p>
    <w:p w:rsidR="00724342" w:rsidRPr="00724342" w:rsidRDefault="00724342" w:rsidP="006E4146">
      <w:pPr>
        <w:widowControl w:val="0"/>
        <w:tabs>
          <w:tab w:val="left" w:pos="8223"/>
        </w:tabs>
        <w:ind w:firstLine="425"/>
        <w:jc w:val="both"/>
        <w:rPr>
          <w:rFonts w:eastAsia="Courier New"/>
          <w:sz w:val="22"/>
          <w:szCs w:val="22"/>
          <w:lang w:val="en-US"/>
        </w:rPr>
      </w:pPr>
      <w:r w:rsidRPr="00724342">
        <w:rPr>
          <w:rFonts w:eastAsia="Courier New"/>
          <w:sz w:val="22"/>
          <w:szCs w:val="22"/>
          <w:lang w:val="en-US"/>
        </w:rPr>
        <w:t>KEYWORDS:</w:t>
      </w:r>
      <w:r w:rsidRPr="00724342">
        <w:rPr>
          <w:rFonts w:eastAsia="Courier New"/>
          <w:sz w:val="22"/>
          <w:szCs w:val="22"/>
          <w:shd w:val="clear" w:color="auto" w:fill="FFFFFF"/>
          <w:lang w:val="en-US"/>
        </w:rPr>
        <w:t xml:space="preserve"> </w:t>
      </w:r>
      <w:r w:rsidRPr="00724342">
        <w:rPr>
          <w:sz w:val="22"/>
          <w:szCs w:val="22"/>
          <w:shd w:val="clear" w:color="auto" w:fill="FFFFFF"/>
          <w:lang w:val="en-US"/>
        </w:rPr>
        <w:t>livestock, ways of development, cattle breeding, i</w:t>
      </w:r>
      <w:r w:rsidRPr="00724342">
        <w:rPr>
          <w:sz w:val="22"/>
          <w:szCs w:val="22"/>
          <w:shd w:val="clear" w:color="auto" w:fill="FFFFFF"/>
          <w:lang w:val="en-US"/>
        </w:rPr>
        <w:t>m</w:t>
      </w:r>
      <w:r w:rsidRPr="00724342">
        <w:rPr>
          <w:sz w:val="22"/>
          <w:szCs w:val="22"/>
          <w:shd w:val="clear" w:color="auto" w:fill="FFFFFF"/>
          <w:lang w:val="en-US"/>
        </w:rPr>
        <w:t>port, agriculture.</w:t>
      </w:r>
    </w:p>
    <w:p w:rsidR="00724342" w:rsidRPr="00724342" w:rsidRDefault="00724342" w:rsidP="006E4146">
      <w:pPr>
        <w:ind w:firstLine="425"/>
        <w:contextualSpacing/>
        <w:jc w:val="both"/>
        <w:rPr>
          <w:sz w:val="22"/>
          <w:szCs w:val="22"/>
          <w:lang w:val="en-US"/>
        </w:rPr>
      </w:pPr>
    </w:p>
    <w:p w:rsidR="00724342" w:rsidRPr="00724342" w:rsidRDefault="00724342" w:rsidP="006E4146">
      <w:pPr>
        <w:ind w:firstLine="425"/>
        <w:contextualSpacing/>
        <w:jc w:val="both"/>
        <w:rPr>
          <w:sz w:val="22"/>
          <w:szCs w:val="22"/>
          <w:shd w:val="clear" w:color="auto" w:fill="FFFFFF"/>
        </w:rPr>
      </w:pPr>
      <w:r w:rsidRPr="00724342">
        <w:rPr>
          <w:sz w:val="22"/>
          <w:szCs w:val="22"/>
          <w:shd w:val="clear" w:color="auto" w:fill="FFFFFF"/>
        </w:rPr>
        <w:t>В аграрном секторе экономики России отрасль животново</w:t>
      </w:r>
      <w:r w:rsidRPr="00724342">
        <w:rPr>
          <w:sz w:val="22"/>
          <w:szCs w:val="22"/>
          <w:shd w:val="clear" w:color="auto" w:fill="FFFFFF"/>
        </w:rPr>
        <w:t>д</w:t>
      </w:r>
      <w:r w:rsidRPr="00724342">
        <w:rPr>
          <w:sz w:val="22"/>
          <w:szCs w:val="22"/>
          <w:shd w:val="clear" w:color="auto" w:fill="FFFFFF"/>
        </w:rPr>
        <w:t>ства, обеспечивая население основными продуктами питания, а промышленность сырьём, является одной из самых важных. Однако после распада Советского Союза в отрасли наблюдается острый системный кризис, происходит резкое сокращение объемов прои</w:t>
      </w:r>
      <w:r w:rsidRPr="00724342">
        <w:rPr>
          <w:sz w:val="22"/>
          <w:szCs w:val="22"/>
          <w:shd w:val="clear" w:color="auto" w:fill="FFFFFF"/>
        </w:rPr>
        <w:t>з</w:t>
      </w:r>
      <w:r w:rsidRPr="00724342">
        <w:rPr>
          <w:sz w:val="22"/>
          <w:szCs w:val="22"/>
          <w:shd w:val="clear" w:color="auto" w:fill="FFFFFF"/>
        </w:rPr>
        <w:lastRenderedPageBreak/>
        <w:t xml:space="preserve">водства продукции, доходность сокращается. Только в период 2000 годов негативные тенденции изменились, отрасль постепенно стала восстанавливаться. </w:t>
      </w:r>
      <w:r w:rsidRPr="00724342">
        <w:rPr>
          <w:rFonts w:eastAsia="Calibri"/>
          <w:sz w:val="22"/>
          <w:szCs w:val="22"/>
        </w:rPr>
        <w:t>[1]</w:t>
      </w:r>
      <w:r w:rsidRPr="00724342">
        <w:rPr>
          <w:sz w:val="22"/>
          <w:szCs w:val="22"/>
          <w:shd w:val="clear" w:color="auto" w:fill="FFFFFF"/>
        </w:rPr>
        <w:t>.</w:t>
      </w:r>
    </w:p>
    <w:p w:rsidR="00724342" w:rsidRPr="00724342" w:rsidRDefault="00724342" w:rsidP="006E4146">
      <w:pPr>
        <w:ind w:firstLine="425"/>
        <w:contextualSpacing/>
        <w:jc w:val="both"/>
        <w:rPr>
          <w:sz w:val="22"/>
          <w:szCs w:val="22"/>
          <w:shd w:val="clear" w:color="auto" w:fill="FFFFFF"/>
        </w:rPr>
      </w:pPr>
      <w:r w:rsidRPr="00724342">
        <w:rPr>
          <w:sz w:val="22"/>
          <w:szCs w:val="22"/>
          <w:shd w:val="clear" w:color="auto" w:fill="FFFFFF"/>
        </w:rPr>
        <w:t>Рентабельность российского аграрного бизнеса в целом и ос</w:t>
      </w:r>
      <w:r w:rsidRPr="00724342">
        <w:rPr>
          <w:sz w:val="22"/>
          <w:szCs w:val="22"/>
          <w:shd w:val="clear" w:color="auto" w:fill="FFFFFF"/>
        </w:rPr>
        <w:t>о</w:t>
      </w:r>
      <w:r w:rsidRPr="00724342">
        <w:rPr>
          <w:sz w:val="22"/>
          <w:szCs w:val="22"/>
          <w:shd w:val="clear" w:color="auto" w:fill="FFFFFF"/>
        </w:rPr>
        <w:t>бенно животноводства традиционно остается крайне низкой. Нар</w:t>
      </w:r>
      <w:r w:rsidRPr="00724342">
        <w:rPr>
          <w:sz w:val="22"/>
          <w:szCs w:val="22"/>
          <w:shd w:val="clear" w:color="auto" w:fill="FFFFFF"/>
        </w:rPr>
        <w:t>я</w:t>
      </w:r>
      <w:r w:rsidRPr="00724342">
        <w:rPr>
          <w:sz w:val="22"/>
          <w:szCs w:val="22"/>
          <w:shd w:val="clear" w:color="auto" w:fill="FFFFFF"/>
        </w:rPr>
        <w:t>ду с высоким уровнем риска это является основным фактором, сдерживающим развитие отрасли. Крупнейшие агрохолдинги Ро</w:t>
      </w:r>
      <w:r w:rsidRPr="00724342">
        <w:rPr>
          <w:sz w:val="22"/>
          <w:szCs w:val="22"/>
          <w:shd w:val="clear" w:color="auto" w:fill="FFFFFF"/>
        </w:rPr>
        <w:t>с</w:t>
      </w:r>
      <w:r w:rsidRPr="00724342">
        <w:rPr>
          <w:sz w:val="22"/>
          <w:szCs w:val="22"/>
          <w:shd w:val="clear" w:color="auto" w:fill="FFFFFF"/>
        </w:rPr>
        <w:t>сии, функционирующие как вертикально интегрированные структ</w:t>
      </w:r>
      <w:r w:rsidRPr="00724342">
        <w:rPr>
          <w:sz w:val="22"/>
          <w:szCs w:val="22"/>
          <w:shd w:val="clear" w:color="auto" w:fill="FFFFFF"/>
        </w:rPr>
        <w:t>у</w:t>
      </w:r>
      <w:r w:rsidRPr="00724342">
        <w:rPr>
          <w:sz w:val="22"/>
          <w:szCs w:val="22"/>
          <w:shd w:val="clear" w:color="auto" w:fill="FFFFFF"/>
        </w:rPr>
        <w:t>ры, демонстрируют высокий уровень рентабельности производства животноводческой продукции – более 50 %. Но для мелких и сре</w:t>
      </w:r>
      <w:r w:rsidRPr="00724342">
        <w:rPr>
          <w:sz w:val="22"/>
          <w:szCs w:val="22"/>
          <w:shd w:val="clear" w:color="auto" w:fill="FFFFFF"/>
        </w:rPr>
        <w:t>д</w:t>
      </w:r>
      <w:r w:rsidRPr="00724342">
        <w:rPr>
          <w:sz w:val="22"/>
          <w:szCs w:val="22"/>
          <w:shd w:val="clear" w:color="auto" w:fill="FFFFFF"/>
        </w:rPr>
        <w:t>них предприятий без активной государственной поддержки такие результаты остаются недостижимыми.</w:t>
      </w:r>
    </w:p>
    <w:p w:rsidR="00724342" w:rsidRPr="00724342" w:rsidRDefault="00724342" w:rsidP="006E4146">
      <w:pPr>
        <w:shd w:val="clear" w:color="auto" w:fill="FFFFFF"/>
        <w:ind w:firstLine="425"/>
        <w:contextualSpacing/>
        <w:jc w:val="both"/>
        <w:textAlignment w:val="baseline"/>
        <w:rPr>
          <w:sz w:val="22"/>
          <w:szCs w:val="22"/>
        </w:rPr>
      </w:pPr>
      <w:r w:rsidRPr="00724342">
        <w:rPr>
          <w:sz w:val="22"/>
          <w:szCs w:val="22"/>
          <w:shd w:val="clear" w:color="auto" w:fill="FFFFFF"/>
        </w:rPr>
        <w:t>Следует отметить, что такая поддержка осуществляется. В 2017 г.</w:t>
      </w:r>
      <w:r w:rsidRPr="00724342">
        <w:rPr>
          <w:sz w:val="22"/>
          <w:szCs w:val="22"/>
        </w:rPr>
        <w:t xml:space="preserve"> более 40 % средств государственной поддержки сельского хозяйства, а это свыше 95 миллиардов рублей, направлено на инв</w:t>
      </w:r>
      <w:r w:rsidRPr="00724342">
        <w:rPr>
          <w:sz w:val="22"/>
          <w:szCs w:val="22"/>
        </w:rPr>
        <w:t>е</w:t>
      </w:r>
      <w:r w:rsidRPr="00724342">
        <w:rPr>
          <w:sz w:val="22"/>
          <w:szCs w:val="22"/>
        </w:rPr>
        <w:t>стиции в молочное и мясное скотоводство, в модернизацию техники и оборудования. Немалую роль сыграл механизм льготного кред</w:t>
      </w:r>
      <w:r w:rsidRPr="00724342">
        <w:rPr>
          <w:sz w:val="22"/>
          <w:szCs w:val="22"/>
        </w:rPr>
        <w:t>и</w:t>
      </w:r>
      <w:r w:rsidRPr="00724342">
        <w:rPr>
          <w:sz w:val="22"/>
          <w:szCs w:val="22"/>
        </w:rPr>
        <w:t>тования аграриев по ставке до 5 %. В результате в 2017 г. объем и</w:t>
      </w:r>
      <w:r w:rsidRPr="00724342">
        <w:rPr>
          <w:sz w:val="22"/>
          <w:szCs w:val="22"/>
        </w:rPr>
        <w:t>н</w:t>
      </w:r>
      <w:r w:rsidRPr="00724342">
        <w:rPr>
          <w:sz w:val="22"/>
          <w:szCs w:val="22"/>
        </w:rPr>
        <w:t xml:space="preserve">вестиционных кредитов сельхозпредприятиям вырос в 3 раза по сравнению с предыдущим годом </w:t>
      </w:r>
      <w:r w:rsidRPr="00724342">
        <w:rPr>
          <w:rFonts w:eastAsia="Calibri"/>
          <w:sz w:val="22"/>
          <w:szCs w:val="22"/>
        </w:rPr>
        <w:t>[5].</w:t>
      </w:r>
    </w:p>
    <w:p w:rsidR="00724342" w:rsidRPr="00724342" w:rsidRDefault="00724342" w:rsidP="006E4146">
      <w:pPr>
        <w:ind w:firstLine="425"/>
        <w:contextualSpacing/>
        <w:jc w:val="both"/>
        <w:rPr>
          <w:sz w:val="22"/>
          <w:szCs w:val="22"/>
        </w:rPr>
      </w:pPr>
      <w:r w:rsidRPr="00724342">
        <w:rPr>
          <w:sz w:val="22"/>
          <w:szCs w:val="22"/>
        </w:rPr>
        <w:t>Тем не менее, несмотря на активную государственную по</w:t>
      </w:r>
      <w:r w:rsidRPr="00724342">
        <w:rPr>
          <w:sz w:val="22"/>
          <w:szCs w:val="22"/>
        </w:rPr>
        <w:t>д</w:t>
      </w:r>
      <w:r w:rsidRPr="00724342">
        <w:rPr>
          <w:sz w:val="22"/>
          <w:szCs w:val="22"/>
        </w:rPr>
        <w:t>держку отрасли, российские животноводы пока не могут удовл</w:t>
      </w:r>
      <w:r w:rsidRPr="00724342">
        <w:rPr>
          <w:sz w:val="22"/>
          <w:szCs w:val="22"/>
        </w:rPr>
        <w:t>е</w:t>
      </w:r>
      <w:r w:rsidRPr="00724342">
        <w:rPr>
          <w:sz w:val="22"/>
          <w:szCs w:val="22"/>
        </w:rPr>
        <w:t>творить потребности в продукции отрасли. С начала 2018 г. импорт охлажденной говядины в Россию составил 100 т, что на 35,9 % больше аналогичного периода 2017 год. Замороженной говядины было ввезено на 1,8 % меньше – 22,0 тыс. тонн, говяжьих субпр</w:t>
      </w:r>
      <w:r w:rsidRPr="00724342">
        <w:rPr>
          <w:sz w:val="22"/>
          <w:szCs w:val="22"/>
        </w:rPr>
        <w:t>о</w:t>
      </w:r>
      <w:r w:rsidRPr="00724342">
        <w:rPr>
          <w:sz w:val="22"/>
          <w:szCs w:val="22"/>
        </w:rPr>
        <w:t>дуктов было поставлено 12,2 тыс. тонн, что на 3,2 % больше, чем за аналогичный период 2017 года. При этом необходимо отметить, что на 12 марта 2018 г. цены на говядину значительно выросли в Евр</w:t>
      </w:r>
      <w:r w:rsidRPr="00724342">
        <w:rPr>
          <w:sz w:val="22"/>
          <w:szCs w:val="22"/>
        </w:rPr>
        <w:t>о</w:t>
      </w:r>
      <w:r w:rsidRPr="00724342">
        <w:rPr>
          <w:sz w:val="22"/>
          <w:szCs w:val="22"/>
        </w:rPr>
        <w:t xml:space="preserve">союзе – на 1,4 % за неделю и на 0,9 % за месяц </w:t>
      </w:r>
      <w:r w:rsidRPr="00724342">
        <w:rPr>
          <w:rFonts w:eastAsia="Calibri"/>
          <w:sz w:val="22"/>
          <w:szCs w:val="22"/>
        </w:rPr>
        <w:t>[2]</w:t>
      </w:r>
      <w:r w:rsidRPr="00724342">
        <w:rPr>
          <w:sz w:val="22"/>
          <w:szCs w:val="22"/>
        </w:rPr>
        <w:t xml:space="preserve">. </w:t>
      </w:r>
    </w:p>
    <w:p w:rsidR="00724342" w:rsidRPr="00724342" w:rsidRDefault="00724342" w:rsidP="006E4146">
      <w:pPr>
        <w:shd w:val="clear" w:color="auto" w:fill="FFFFFF"/>
        <w:ind w:firstLine="425"/>
        <w:contextualSpacing/>
        <w:jc w:val="both"/>
        <w:textAlignment w:val="baseline"/>
        <w:rPr>
          <w:sz w:val="22"/>
          <w:szCs w:val="22"/>
        </w:rPr>
      </w:pPr>
      <w:r w:rsidRPr="00724342">
        <w:rPr>
          <w:sz w:val="22"/>
          <w:szCs w:val="22"/>
        </w:rPr>
        <w:t>Для эффективного ведения отрасли животноводства в условиях быстрых инновационных изменений необходимо, прежде всего, в кратчайшие сроки провести техническую и технологическую м</w:t>
      </w:r>
      <w:r w:rsidRPr="00724342">
        <w:rPr>
          <w:sz w:val="22"/>
          <w:szCs w:val="22"/>
        </w:rPr>
        <w:t>о</w:t>
      </w:r>
      <w:r w:rsidRPr="00724342">
        <w:rPr>
          <w:sz w:val="22"/>
          <w:szCs w:val="22"/>
        </w:rPr>
        <w:t>дернизацию производства, организовать подготовку специалистов, обладающих необходимыми профессиональными компетенциями.  Только улучшение условий труда работников, повышение уровня материального  стимулирования в комплексе с внедрением инте</w:t>
      </w:r>
      <w:r w:rsidRPr="00724342">
        <w:rPr>
          <w:sz w:val="22"/>
          <w:szCs w:val="22"/>
        </w:rPr>
        <w:t>н</w:t>
      </w:r>
      <w:r w:rsidRPr="00724342">
        <w:rPr>
          <w:sz w:val="22"/>
          <w:szCs w:val="22"/>
        </w:rPr>
        <w:lastRenderedPageBreak/>
        <w:t>сивных технологий содержания животных позволит повысить ко</w:t>
      </w:r>
      <w:r w:rsidRPr="00724342">
        <w:rPr>
          <w:sz w:val="22"/>
          <w:szCs w:val="22"/>
        </w:rPr>
        <w:t>н</w:t>
      </w:r>
      <w:r w:rsidRPr="00724342">
        <w:rPr>
          <w:sz w:val="22"/>
          <w:szCs w:val="22"/>
        </w:rPr>
        <w:t>курентоспособность производства животноводческой продукции.</w:t>
      </w:r>
    </w:p>
    <w:p w:rsidR="00724342" w:rsidRPr="00724342" w:rsidRDefault="00724342" w:rsidP="006E4146">
      <w:pPr>
        <w:ind w:firstLine="425"/>
        <w:contextualSpacing/>
        <w:jc w:val="both"/>
        <w:textAlignment w:val="top"/>
        <w:rPr>
          <w:sz w:val="22"/>
          <w:szCs w:val="22"/>
        </w:rPr>
      </w:pPr>
      <w:r w:rsidRPr="00724342">
        <w:rPr>
          <w:sz w:val="22"/>
          <w:szCs w:val="22"/>
        </w:rPr>
        <w:t>Важнейшим фактором развития животноводства является кач</w:t>
      </w:r>
      <w:r w:rsidRPr="00724342">
        <w:rPr>
          <w:sz w:val="22"/>
          <w:szCs w:val="22"/>
        </w:rPr>
        <w:t>е</w:t>
      </w:r>
      <w:r w:rsidRPr="00724342">
        <w:rPr>
          <w:sz w:val="22"/>
          <w:szCs w:val="22"/>
        </w:rPr>
        <w:t>ственное кормление. По мнению аналитиков, успех отрасли на 60 % зависит от уровня кормопроизводства. Сбалансированные корма не только позволяют повысить их окупаемость за счет более инте</w:t>
      </w:r>
      <w:r w:rsidRPr="00724342">
        <w:rPr>
          <w:sz w:val="22"/>
          <w:szCs w:val="22"/>
        </w:rPr>
        <w:t>н</w:t>
      </w:r>
      <w:r w:rsidRPr="00724342">
        <w:rPr>
          <w:sz w:val="22"/>
          <w:szCs w:val="22"/>
        </w:rPr>
        <w:t xml:space="preserve">сивного прироста живой массы, они обеспечивают возможность получить продукцию высокого качества. Полноценное кормление сокращает период откорма, снижает себестоимость продукции и в результате делает ее более конкурентоспособной </w:t>
      </w:r>
      <w:r w:rsidRPr="00724342">
        <w:rPr>
          <w:rFonts w:eastAsia="Calibri"/>
          <w:sz w:val="22"/>
          <w:szCs w:val="22"/>
        </w:rPr>
        <w:t>[4, 5].</w:t>
      </w:r>
    </w:p>
    <w:p w:rsidR="00724342" w:rsidRPr="00724342" w:rsidRDefault="00724342" w:rsidP="006E4146">
      <w:pPr>
        <w:ind w:firstLine="425"/>
        <w:contextualSpacing/>
        <w:jc w:val="both"/>
        <w:textAlignment w:val="top"/>
        <w:rPr>
          <w:sz w:val="22"/>
          <w:szCs w:val="22"/>
        </w:rPr>
      </w:pPr>
      <w:r w:rsidRPr="00724342">
        <w:rPr>
          <w:sz w:val="22"/>
          <w:szCs w:val="22"/>
        </w:rPr>
        <w:t>Кроме того, существует целый ряд факторов, в совокупности обеспечивающих рост мясной продуктивности: улучшение генет</w:t>
      </w:r>
      <w:r w:rsidRPr="00724342">
        <w:rPr>
          <w:sz w:val="22"/>
          <w:szCs w:val="22"/>
        </w:rPr>
        <w:t>и</w:t>
      </w:r>
      <w:r w:rsidRPr="00724342">
        <w:rPr>
          <w:sz w:val="22"/>
          <w:szCs w:val="22"/>
        </w:rPr>
        <w:t>ческого потенциала животных, совершенствование ветеринарного обслуживания, развитие сельских территорий, повышение пр</w:t>
      </w:r>
      <w:r w:rsidRPr="00724342">
        <w:rPr>
          <w:sz w:val="22"/>
          <w:szCs w:val="22"/>
        </w:rPr>
        <w:t>е</w:t>
      </w:r>
      <w:r w:rsidRPr="00724342">
        <w:rPr>
          <w:sz w:val="22"/>
          <w:szCs w:val="22"/>
        </w:rPr>
        <w:t>стижности сельского труда. В основе всех этих изменений, бе</w:t>
      </w:r>
      <w:r w:rsidRPr="00724342">
        <w:rPr>
          <w:sz w:val="22"/>
          <w:szCs w:val="22"/>
        </w:rPr>
        <w:t>з</w:t>
      </w:r>
      <w:r w:rsidRPr="00724342">
        <w:rPr>
          <w:sz w:val="22"/>
          <w:szCs w:val="22"/>
        </w:rPr>
        <w:t>условно, лежит возможность использования достижений научно-технического прогресса, соблюдение технической и технологич</w:t>
      </w:r>
      <w:r w:rsidRPr="00724342">
        <w:rPr>
          <w:sz w:val="22"/>
          <w:szCs w:val="22"/>
        </w:rPr>
        <w:t>е</w:t>
      </w:r>
      <w:r w:rsidRPr="00724342">
        <w:rPr>
          <w:sz w:val="22"/>
          <w:szCs w:val="22"/>
        </w:rPr>
        <w:t>ской дисциплины. Опыт работы лучших аграрных предприятий России, где уровень производительности труда на 30-50 % прев</w:t>
      </w:r>
      <w:r w:rsidRPr="00724342">
        <w:rPr>
          <w:sz w:val="22"/>
          <w:szCs w:val="22"/>
        </w:rPr>
        <w:t>ы</w:t>
      </w:r>
      <w:r w:rsidRPr="00724342">
        <w:rPr>
          <w:sz w:val="22"/>
          <w:szCs w:val="22"/>
        </w:rPr>
        <w:t xml:space="preserve">шает средний по отрасли,  позволяет рассчитывать на возможность интенсивного развития животноводства в масштабах страны. </w:t>
      </w:r>
    </w:p>
    <w:p w:rsidR="00724342" w:rsidRPr="00724342" w:rsidRDefault="00724342" w:rsidP="006E4146">
      <w:pPr>
        <w:ind w:firstLine="425"/>
        <w:contextualSpacing/>
        <w:jc w:val="both"/>
        <w:textAlignment w:val="top"/>
        <w:rPr>
          <w:sz w:val="22"/>
          <w:szCs w:val="22"/>
        </w:rPr>
      </w:pPr>
      <w:r w:rsidRPr="00724342">
        <w:rPr>
          <w:sz w:val="22"/>
          <w:szCs w:val="22"/>
        </w:rPr>
        <w:t>Таким образом, только комплексное решение проблем развития животноводства позволит решить накопившиеся проблемы и выв</w:t>
      </w:r>
      <w:r w:rsidRPr="00724342">
        <w:rPr>
          <w:sz w:val="22"/>
          <w:szCs w:val="22"/>
        </w:rPr>
        <w:t>е</w:t>
      </w:r>
      <w:r w:rsidRPr="00724342">
        <w:rPr>
          <w:sz w:val="22"/>
          <w:szCs w:val="22"/>
        </w:rPr>
        <w:t>сти отрасль из затянувшегося кризиса.</w:t>
      </w:r>
    </w:p>
    <w:p w:rsidR="00724342" w:rsidRPr="00724342" w:rsidRDefault="00724342" w:rsidP="006E4146">
      <w:pPr>
        <w:shd w:val="clear" w:color="auto" w:fill="FFFFFF"/>
        <w:ind w:firstLine="425"/>
        <w:contextualSpacing/>
        <w:jc w:val="both"/>
        <w:textAlignment w:val="baseline"/>
        <w:rPr>
          <w:sz w:val="22"/>
          <w:szCs w:val="22"/>
          <w:shd w:val="clear" w:color="auto" w:fill="FFFFFF"/>
        </w:rPr>
      </w:pPr>
    </w:p>
    <w:p w:rsidR="00724342" w:rsidRPr="00724342" w:rsidRDefault="00724342" w:rsidP="006E4146">
      <w:pPr>
        <w:widowControl w:val="0"/>
        <w:autoSpaceDE w:val="0"/>
        <w:autoSpaceDN w:val="0"/>
        <w:adjustRightInd w:val="0"/>
        <w:ind w:firstLine="425"/>
        <w:jc w:val="center"/>
        <w:rPr>
          <w:rFonts w:eastAsia="Calibri"/>
          <w:color w:val="000000"/>
          <w:sz w:val="22"/>
          <w:szCs w:val="22"/>
        </w:rPr>
      </w:pPr>
      <w:r w:rsidRPr="00724342">
        <w:rPr>
          <w:rFonts w:eastAsia="Calibri"/>
          <w:color w:val="000000"/>
          <w:sz w:val="22"/>
          <w:szCs w:val="22"/>
        </w:rPr>
        <w:t>Список литературы</w:t>
      </w:r>
    </w:p>
    <w:p w:rsidR="00724342" w:rsidRPr="00724342" w:rsidRDefault="00724342" w:rsidP="006E4146">
      <w:pPr>
        <w:numPr>
          <w:ilvl w:val="0"/>
          <w:numId w:val="73"/>
        </w:numPr>
        <w:ind w:left="0" w:firstLine="425"/>
        <w:contextualSpacing/>
        <w:jc w:val="both"/>
        <w:rPr>
          <w:rFonts w:eastAsia="Calibri"/>
          <w:sz w:val="22"/>
          <w:szCs w:val="22"/>
          <w:lang w:eastAsia="en-US"/>
        </w:rPr>
      </w:pPr>
      <w:r w:rsidRPr="00724342">
        <w:rPr>
          <w:rFonts w:eastAsia="Calibri"/>
          <w:sz w:val="22"/>
          <w:szCs w:val="22"/>
          <w:lang w:eastAsia="en-US"/>
        </w:rPr>
        <w:t>Бершицкий Ю.И. Факторы экономической эффективности специализированного производства говядины / Ю.И. Бершицкий, А.Р. Сайфетдинов - Труды Кубанского государственного Аграрного Университета.-2013.- №45.- с.13-20</w:t>
      </w:r>
    </w:p>
    <w:p w:rsidR="00724342" w:rsidRPr="00724342" w:rsidRDefault="00724342" w:rsidP="006E4146">
      <w:pPr>
        <w:numPr>
          <w:ilvl w:val="0"/>
          <w:numId w:val="73"/>
        </w:numPr>
        <w:ind w:left="0" w:firstLine="425"/>
        <w:contextualSpacing/>
        <w:jc w:val="both"/>
        <w:rPr>
          <w:rFonts w:eastAsia="Calibri"/>
          <w:sz w:val="22"/>
          <w:szCs w:val="22"/>
          <w:lang w:eastAsia="en-US"/>
        </w:rPr>
      </w:pPr>
      <w:r w:rsidRPr="00724342">
        <w:rPr>
          <w:rFonts w:eastAsia="Calibri"/>
          <w:sz w:val="22"/>
          <w:szCs w:val="22"/>
          <w:lang w:eastAsia="en-US"/>
        </w:rPr>
        <w:t xml:space="preserve">Институт Конъюнктуры Аграрного Рынка </w:t>
      </w:r>
      <w:r w:rsidRPr="00724342">
        <w:rPr>
          <w:rFonts w:eastAsia="Calibri"/>
          <w:sz w:val="22"/>
          <w:szCs w:val="22"/>
        </w:rPr>
        <w:t xml:space="preserve">статистики [Электронный ресурс]. – Режим доступа: </w:t>
      </w:r>
      <w:r w:rsidRPr="00724342">
        <w:rPr>
          <w:rFonts w:eastAsia="Calibri"/>
          <w:sz w:val="22"/>
          <w:szCs w:val="22"/>
          <w:lang w:eastAsia="en-US"/>
        </w:rPr>
        <w:t>http://ikar.ru/</w:t>
      </w:r>
    </w:p>
    <w:p w:rsidR="00724342" w:rsidRPr="00724342" w:rsidRDefault="00724342" w:rsidP="006E4146">
      <w:pPr>
        <w:numPr>
          <w:ilvl w:val="0"/>
          <w:numId w:val="73"/>
        </w:numPr>
        <w:shd w:val="clear" w:color="auto" w:fill="FFFFFF"/>
        <w:tabs>
          <w:tab w:val="left" w:pos="709"/>
          <w:tab w:val="left" w:pos="851"/>
        </w:tabs>
        <w:ind w:left="11" w:firstLine="425"/>
        <w:contextualSpacing/>
        <w:jc w:val="both"/>
        <w:rPr>
          <w:rFonts w:eastAsia="Calibri"/>
          <w:sz w:val="22"/>
          <w:szCs w:val="22"/>
          <w:lang w:eastAsia="en-US"/>
        </w:rPr>
      </w:pPr>
      <w:r w:rsidRPr="00724342">
        <w:rPr>
          <w:rFonts w:eastAsia="Calibri"/>
          <w:sz w:val="22"/>
          <w:szCs w:val="22"/>
          <w:lang w:eastAsia="en-US"/>
        </w:rPr>
        <w:t>Литвиненко Г. Н. Состояние и перспективы развития овц</w:t>
      </w:r>
      <w:r w:rsidRPr="00724342">
        <w:rPr>
          <w:rFonts w:eastAsia="Calibri"/>
          <w:sz w:val="22"/>
          <w:szCs w:val="22"/>
          <w:lang w:eastAsia="en-US"/>
        </w:rPr>
        <w:t>е</w:t>
      </w:r>
      <w:r w:rsidRPr="00724342">
        <w:rPr>
          <w:rFonts w:eastAsia="Calibri"/>
          <w:sz w:val="22"/>
          <w:szCs w:val="22"/>
          <w:lang w:eastAsia="en-US"/>
        </w:rPr>
        <w:t>водства в России / </w:t>
      </w:r>
      <w:hyperlink r:id="rId271" w:history="1">
        <w:r w:rsidRPr="00724342">
          <w:rPr>
            <w:rFonts w:eastAsia="Calibri"/>
            <w:sz w:val="22"/>
            <w:szCs w:val="22"/>
            <w:lang w:eastAsia="en-US"/>
          </w:rPr>
          <w:t>Г. Н. Литвиненко</w:t>
        </w:r>
      </w:hyperlink>
      <w:r w:rsidRPr="00724342">
        <w:rPr>
          <w:rFonts w:eastAsia="Calibri"/>
          <w:sz w:val="22"/>
          <w:szCs w:val="22"/>
          <w:lang w:eastAsia="en-US"/>
        </w:rPr>
        <w:t>, Е. Н. Баязова // Животново</w:t>
      </w:r>
      <w:r w:rsidRPr="00724342">
        <w:rPr>
          <w:rFonts w:eastAsia="Calibri"/>
          <w:sz w:val="22"/>
          <w:szCs w:val="22"/>
          <w:lang w:eastAsia="en-US"/>
        </w:rPr>
        <w:t>д</w:t>
      </w:r>
      <w:r w:rsidRPr="00724342">
        <w:rPr>
          <w:rFonts w:eastAsia="Calibri"/>
          <w:sz w:val="22"/>
          <w:szCs w:val="22"/>
          <w:lang w:eastAsia="en-US"/>
        </w:rPr>
        <w:t xml:space="preserve">ство юга России. 2017. </w:t>
      </w:r>
      <w:hyperlink r:id="rId272" w:history="1">
        <w:r w:rsidRPr="00724342">
          <w:rPr>
            <w:rFonts w:eastAsia="Calibri"/>
            <w:sz w:val="22"/>
            <w:szCs w:val="22"/>
            <w:lang w:eastAsia="en-US"/>
          </w:rPr>
          <w:t>№ 4 (22)</w:t>
        </w:r>
      </w:hyperlink>
      <w:r w:rsidRPr="00724342">
        <w:rPr>
          <w:rFonts w:eastAsia="Calibri"/>
          <w:sz w:val="22"/>
          <w:szCs w:val="22"/>
          <w:lang w:eastAsia="en-US"/>
        </w:rPr>
        <w:t>. С. 16-17.</w:t>
      </w:r>
    </w:p>
    <w:p w:rsidR="00724342" w:rsidRPr="00724342" w:rsidRDefault="00724342" w:rsidP="006E4146">
      <w:pPr>
        <w:numPr>
          <w:ilvl w:val="0"/>
          <w:numId w:val="73"/>
        </w:numPr>
        <w:tabs>
          <w:tab w:val="left" w:pos="709"/>
        </w:tabs>
        <w:autoSpaceDE w:val="0"/>
        <w:autoSpaceDN w:val="0"/>
        <w:adjustRightInd w:val="0"/>
        <w:ind w:left="0" w:firstLine="425"/>
        <w:contextualSpacing/>
        <w:jc w:val="both"/>
        <w:rPr>
          <w:rFonts w:eastAsia="Courier New"/>
          <w:color w:val="000000"/>
          <w:sz w:val="22"/>
          <w:szCs w:val="22"/>
          <w:lang w:eastAsia="en-US"/>
        </w:rPr>
      </w:pPr>
      <w:r w:rsidRPr="00724342">
        <w:rPr>
          <w:rFonts w:eastAsia="Courier New"/>
          <w:color w:val="000000"/>
          <w:sz w:val="22"/>
          <w:szCs w:val="22"/>
          <w:lang w:eastAsia="en-US"/>
        </w:rPr>
        <w:t>Соколова А. П. Перспективы развития регионального агра</w:t>
      </w:r>
      <w:r w:rsidRPr="00724342">
        <w:rPr>
          <w:rFonts w:eastAsia="Courier New"/>
          <w:color w:val="000000"/>
          <w:sz w:val="22"/>
          <w:szCs w:val="22"/>
          <w:lang w:eastAsia="en-US"/>
        </w:rPr>
        <w:t>р</w:t>
      </w:r>
      <w:r w:rsidRPr="00724342">
        <w:rPr>
          <w:rFonts w:eastAsia="Courier New"/>
          <w:color w:val="000000"/>
          <w:sz w:val="22"/>
          <w:szCs w:val="22"/>
          <w:lang w:eastAsia="en-US"/>
        </w:rPr>
        <w:t>ного бизнеса / А. П. Соколова, Е. И. Гилек, Д. В. Бондарева // Эк</w:t>
      </w:r>
      <w:r w:rsidRPr="00724342">
        <w:rPr>
          <w:rFonts w:eastAsia="Courier New"/>
          <w:color w:val="000000"/>
          <w:sz w:val="22"/>
          <w:szCs w:val="22"/>
          <w:lang w:eastAsia="en-US"/>
        </w:rPr>
        <w:t>о</w:t>
      </w:r>
      <w:r w:rsidRPr="00724342">
        <w:rPr>
          <w:rFonts w:eastAsia="Courier New"/>
          <w:color w:val="000000"/>
          <w:sz w:val="22"/>
          <w:szCs w:val="22"/>
          <w:lang w:eastAsia="en-US"/>
        </w:rPr>
        <w:t>номика и предпринимательство. № 7 (84), 2017. С. 295-301.</w:t>
      </w:r>
    </w:p>
    <w:p w:rsidR="00724342" w:rsidRPr="00724342" w:rsidRDefault="00724342" w:rsidP="006E4146">
      <w:pPr>
        <w:numPr>
          <w:ilvl w:val="0"/>
          <w:numId w:val="73"/>
        </w:numPr>
        <w:shd w:val="clear" w:color="auto" w:fill="FFFFFF"/>
        <w:tabs>
          <w:tab w:val="left" w:pos="0"/>
          <w:tab w:val="left" w:pos="709"/>
          <w:tab w:val="left" w:pos="851"/>
          <w:tab w:val="left" w:pos="993"/>
        </w:tabs>
        <w:ind w:left="11" w:firstLine="425"/>
        <w:contextualSpacing/>
        <w:jc w:val="both"/>
        <w:rPr>
          <w:rFonts w:eastAsia="Calibri"/>
          <w:sz w:val="22"/>
          <w:szCs w:val="22"/>
          <w:lang w:eastAsia="en-US"/>
        </w:rPr>
      </w:pPr>
      <w:r w:rsidRPr="00724342">
        <w:rPr>
          <w:rFonts w:eastAsia="Calibri"/>
          <w:sz w:val="22"/>
          <w:szCs w:val="22"/>
          <w:lang w:eastAsia="en-US"/>
        </w:rPr>
        <w:lastRenderedPageBreak/>
        <w:t>Соколова А. П. Управление рисками производственной де</w:t>
      </w:r>
      <w:r w:rsidRPr="00724342">
        <w:rPr>
          <w:rFonts w:eastAsia="Calibri"/>
          <w:sz w:val="22"/>
          <w:szCs w:val="22"/>
          <w:lang w:eastAsia="en-US"/>
        </w:rPr>
        <w:t>я</w:t>
      </w:r>
      <w:r w:rsidRPr="00724342">
        <w:rPr>
          <w:rFonts w:eastAsia="Calibr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С. 241-250.</w:t>
      </w:r>
    </w:p>
    <w:p w:rsidR="00724342" w:rsidRPr="00724342" w:rsidRDefault="00724342" w:rsidP="006E4146">
      <w:pPr>
        <w:numPr>
          <w:ilvl w:val="0"/>
          <w:numId w:val="73"/>
        </w:numPr>
        <w:shd w:val="clear" w:color="auto" w:fill="FFFFFF"/>
        <w:tabs>
          <w:tab w:val="left" w:pos="0"/>
          <w:tab w:val="left" w:pos="709"/>
          <w:tab w:val="left" w:pos="851"/>
          <w:tab w:val="left" w:pos="993"/>
        </w:tabs>
        <w:ind w:left="11" w:firstLine="425"/>
        <w:contextualSpacing/>
        <w:jc w:val="both"/>
        <w:rPr>
          <w:rFonts w:eastAsia="Calibri"/>
          <w:sz w:val="22"/>
          <w:szCs w:val="22"/>
          <w:lang w:eastAsia="en-US"/>
        </w:rPr>
      </w:pPr>
      <w:r w:rsidRPr="00724342">
        <w:rPr>
          <w:rFonts w:eastAsia="Calibri"/>
          <w:sz w:val="22"/>
          <w:szCs w:val="22"/>
        </w:rPr>
        <w:t>Федеральная служба государственной статистики [Эле</w:t>
      </w:r>
      <w:r w:rsidRPr="00724342">
        <w:rPr>
          <w:rFonts w:eastAsia="Calibri"/>
          <w:sz w:val="22"/>
          <w:szCs w:val="22"/>
        </w:rPr>
        <w:t>к</w:t>
      </w:r>
      <w:r w:rsidRPr="00724342">
        <w:rPr>
          <w:rFonts w:eastAsia="Calibri"/>
          <w:sz w:val="22"/>
          <w:szCs w:val="22"/>
        </w:rPr>
        <w:t xml:space="preserve">тронный ресурс]. – Режим доступа: </w:t>
      </w:r>
      <w:r w:rsidRPr="00724342">
        <w:rPr>
          <w:rFonts w:eastAsia="Calibri"/>
          <w:sz w:val="22"/>
          <w:szCs w:val="22"/>
          <w:lang w:eastAsia="en-US"/>
        </w:rPr>
        <w:t>http://</w:t>
      </w:r>
      <w:r w:rsidRPr="00724342">
        <w:rPr>
          <w:rFonts w:eastAsia="Calibri"/>
          <w:color w:val="000000" w:themeColor="text1"/>
          <w:sz w:val="22"/>
          <w:szCs w:val="22"/>
        </w:rPr>
        <w:t>www.gks.ru</w:t>
      </w:r>
    </w:p>
    <w:p w:rsidR="00724342" w:rsidRPr="00724342" w:rsidRDefault="00724342" w:rsidP="006E4146">
      <w:pPr>
        <w:ind w:firstLine="425"/>
        <w:jc w:val="both"/>
        <w:rPr>
          <w:rFonts w:eastAsia="Yu Mincho"/>
          <w:sz w:val="22"/>
          <w:szCs w:val="22"/>
          <w:lang w:eastAsia="en-US"/>
        </w:rPr>
      </w:pPr>
    </w:p>
    <w:p w:rsidR="00724342" w:rsidRPr="00724342" w:rsidRDefault="00724342" w:rsidP="00724342">
      <w:pPr>
        <w:jc w:val="both"/>
        <w:rPr>
          <w:rFonts w:eastAsia="Yu Mincho"/>
          <w:sz w:val="22"/>
          <w:szCs w:val="22"/>
          <w:lang w:eastAsia="en-US"/>
        </w:rPr>
      </w:pPr>
    </w:p>
    <w:p w:rsidR="002043AB" w:rsidRPr="00724342" w:rsidRDefault="002043AB" w:rsidP="00724342">
      <w:pPr>
        <w:widowControl w:val="0"/>
        <w:jc w:val="both"/>
        <w:rPr>
          <w:rFonts w:eastAsia="Courier New"/>
          <w:color w:val="000000"/>
          <w:sz w:val="22"/>
          <w:szCs w:val="22"/>
          <w:lang w:eastAsia="en-US"/>
        </w:rPr>
      </w:pPr>
    </w:p>
    <w:p w:rsidR="00724342" w:rsidRPr="00724342" w:rsidRDefault="00724342" w:rsidP="00724342">
      <w:pPr>
        <w:widowControl w:val="0"/>
        <w:jc w:val="both"/>
        <w:rPr>
          <w:rFonts w:eastAsia="Courier New"/>
          <w:color w:val="000000"/>
          <w:sz w:val="22"/>
          <w:szCs w:val="22"/>
          <w:lang w:eastAsia="en-US"/>
        </w:rPr>
      </w:pPr>
      <w:r w:rsidRPr="00724342">
        <w:rPr>
          <w:rFonts w:eastAsia="Courier New"/>
          <w:color w:val="000000"/>
          <w:sz w:val="22"/>
          <w:szCs w:val="22"/>
          <w:lang w:eastAsia="en-US"/>
        </w:rPr>
        <w:t>УДК 338.432:635:631.544</w:t>
      </w:r>
    </w:p>
    <w:p w:rsidR="00724342" w:rsidRPr="00724342" w:rsidRDefault="00724342" w:rsidP="00724342">
      <w:pPr>
        <w:widowControl w:val="0"/>
        <w:jc w:val="both"/>
        <w:rPr>
          <w:rFonts w:eastAsia="Courier New"/>
          <w:color w:val="000000"/>
          <w:sz w:val="22"/>
          <w:szCs w:val="22"/>
          <w:lang w:eastAsia="en-US"/>
        </w:rPr>
      </w:pPr>
    </w:p>
    <w:p w:rsidR="00724342" w:rsidRPr="00724342" w:rsidRDefault="00724342" w:rsidP="00724342">
      <w:pPr>
        <w:widowControl w:val="0"/>
        <w:jc w:val="center"/>
        <w:rPr>
          <w:rFonts w:eastAsia="Courier New"/>
          <w:b/>
          <w:color w:val="000000"/>
          <w:sz w:val="24"/>
          <w:szCs w:val="24"/>
          <w:lang w:eastAsia="en-US"/>
        </w:rPr>
      </w:pPr>
      <w:r w:rsidRPr="00724342">
        <w:rPr>
          <w:rFonts w:eastAsia="Courier New"/>
          <w:b/>
          <w:color w:val="000000"/>
          <w:sz w:val="24"/>
          <w:szCs w:val="24"/>
          <w:lang w:eastAsia="en-US"/>
        </w:rPr>
        <w:t>Перспективные направления развития овощеводства и тепличного производства</w:t>
      </w:r>
    </w:p>
    <w:p w:rsidR="00724342" w:rsidRPr="00724342" w:rsidRDefault="00724342" w:rsidP="00724342">
      <w:pPr>
        <w:widowControl w:val="0"/>
        <w:jc w:val="center"/>
        <w:rPr>
          <w:rFonts w:eastAsia="Courier New"/>
          <w:b/>
          <w:color w:val="000000"/>
          <w:sz w:val="24"/>
          <w:szCs w:val="24"/>
          <w:lang w:val="en-US" w:eastAsia="en-US"/>
        </w:rPr>
      </w:pPr>
      <w:r w:rsidRPr="00724342">
        <w:rPr>
          <w:rFonts w:eastAsia="Courier New"/>
          <w:b/>
          <w:color w:val="000000"/>
          <w:sz w:val="24"/>
          <w:szCs w:val="24"/>
          <w:lang w:val="en-US" w:eastAsia="en-US"/>
        </w:rPr>
        <w:t>Sunflower productivity depending on growing technology</w:t>
      </w:r>
    </w:p>
    <w:p w:rsidR="00724342" w:rsidRPr="00724342" w:rsidRDefault="00724342" w:rsidP="00724342">
      <w:pPr>
        <w:widowControl w:val="0"/>
        <w:jc w:val="center"/>
        <w:rPr>
          <w:rFonts w:eastAsia="Courier New"/>
          <w:b/>
          <w:color w:val="000000"/>
          <w:sz w:val="24"/>
          <w:szCs w:val="24"/>
          <w:lang w:val="en-US" w:eastAsia="en-US"/>
        </w:rPr>
      </w:pPr>
      <w:r w:rsidRPr="00724342">
        <w:rPr>
          <w:rFonts w:eastAsia="Courier New"/>
          <w:b/>
          <w:color w:val="000000"/>
          <w:sz w:val="24"/>
          <w:szCs w:val="24"/>
          <w:lang w:val="en-US" w:eastAsia="en-US"/>
        </w:rPr>
        <w:t xml:space="preserve">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Кабанник Е. 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студент 4-го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 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профессор кафедры организации производства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shd w:val="clear" w:color="auto" w:fill="FFFFFF"/>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shd w:val="clear" w:color="auto" w:fill="FFFFFF"/>
        <w:jc w:val="right"/>
        <w:rPr>
          <w:sz w:val="20"/>
          <w:szCs w:val="20"/>
          <w:lang w:eastAsia="en-US"/>
        </w:rPr>
      </w:pPr>
    </w:p>
    <w:p w:rsidR="00724342" w:rsidRPr="006E4146" w:rsidRDefault="00724342" w:rsidP="006E4146">
      <w:pPr>
        <w:widowControl w:val="0"/>
        <w:tabs>
          <w:tab w:val="left" w:pos="8223"/>
        </w:tabs>
        <w:ind w:firstLine="426"/>
        <w:jc w:val="both"/>
        <w:rPr>
          <w:rFonts w:eastAsia="Courier New"/>
          <w:color w:val="000000"/>
          <w:sz w:val="22"/>
          <w:szCs w:val="22"/>
          <w:lang w:val="en-US" w:eastAsia="en-US"/>
        </w:rPr>
      </w:pPr>
      <w:r w:rsidRPr="006E4146">
        <w:rPr>
          <w:rFonts w:eastAsia="Courier New"/>
          <w:color w:val="000000"/>
          <w:sz w:val="22"/>
          <w:szCs w:val="22"/>
          <w:lang w:eastAsia="en-US"/>
        </w:rPr>
        <w:t>АННОТАЦИЯ: Проанализировано состояние отрасли овощ</w:t>
      </w:r>
      <w:r w:rsidRPr="006E4146">
        <w:rPr>
          <w:rFonts w:eastAsia="Courier New"/>
          <w:color w:val="000000"/>
          <w:sz w:val="22"/>
          <w:szCs w:val="22"/>
          <w:lang w:eastAsia="en-US"/>
        </w:rPr>
        <w:t>е</w:t>
      </w:r>
      <w:r w:rsidRPr="006E4146">
        <w:rPr>
          <w:rFonts w:eastAsia="Courier New"/>
          <w:color w:val="000000"/>
          <w:sz w:val="22"/>
          <w:szCs w:val="22"/>
          <w:lang w:eastAsia="en-US"/>
        </w:rPr>
        <w:t>водства и производства овощей закрытого грунта. Предложено</w:t>
      </w:r>
      <w:r w:rsidRPr="006E4146">
        <w:rPr>
          <w:rFonts w:eastAsia="Courier New"/>
          <w:color w:val="000000"/>
          <w:sz w:val="22"/>
          <w:szCs w:val="22"/>
          <w:lang w:val="en-US" w:eastAsia="en-US"/>
        </w:rPr>
        <w:t xml:space="preserve"> </w:t>
      </w:r>
      <w:r w:rsidRPr="006E4146">
        <w:rPr>
          <w:rFonts w:eastAsia="Courier New"/>
          <w:color w:val="000000"/>
          <w:sz w:val="22"/>
          <w:szCs w:val="22"/>
          <w:lang w:eastAsia="en-US"/>
        </w:rPr>
        <w:t>пе</w:t>
      </w:r>
      <w:r w:rsidRPr="006E4146">
        <w:rPr>
          <w:rFonts w:eastAsia="Courier New"/>
          <w:color w:val="000000"/>
          <w:sz w:val="22"/>
          <w:szCs w:val="22"/>
          <w:lang w:eastAsia="en-US"/>
        </w:rPr>
        <w:t>р</w:t>
      </w:r>
      <w:r w:rsidRPr="006E4146">
        <w:rPr>
          <w:rFonts w:eastAsia="Courier New"/>
          <w:color w:val="000000"/>
          <w:sz w:val="22"/>
          <w:szCs w:val="22"/>
          <w:lang w:eastAsia="en-US"/>
        </w:rPr>
        <w:t>спективное</w:t>
      </w:r>
      <w:r w:rsidRPr="006E4146">
        <w:rPr>
          <w:rFonts w:eastAsia="Courier New"/>
          <w:color w:val="000000"/>
          <w:sz w:val="22"/>
          <w:szCs w:val="22"/>
          <w:lang w:val="en-US" w:eastAsia="en-US"/>
        </w:rPr>
        <w:t xml:space="preserve"> </w:t>
      </w:r>
      <w:r w:rsidRPr="006E4146">
        <w:rPr>
          <w:rFonts w:eastAsia="Courier New"/>
          <w:color w:val="000000"/>
          <w:sz w:val="22"/>
          <w:szCs w:val="22"/>
          <w:lang w:eastAsia="en-US"/>
        </w:rPr>
        <w:t>направление</w:t>
      </w:r>
      <w:r w:rsidRPr="006E4146">
        <w:rPr>
          <w:rFonts w:eastAsia="Courier New"/>
          <w:color w:val="000000"/>
          <w:sz w:val="22"/>
          <w:szCs w:val="22"/>
          <w:lang w:val="en-US" w:eastAsia="en-US"/>
        </w:rPr>
        <w:t xml:space="preserve"> </w:t>
      </w:r>
      <w:r w:rsidRPr="006E4146">
        <w:rPr>
          <w:rFonts w:eastAsia="Courier New"/>
          <w:color w:val="000000"/>
          <w:sz w:val="22"/>
          <w:szCs w:val="22"/>
          <w:lang w:eastAsia="en-US"/>
        </w:rPr>
        <w:t>развития</w:t>
      </w:r>
      <w:r w:rsidRPr="006E4146">
        <w:rPr>
          <w:rFonts w:eastAsia="Courier New"/>
          <w:color w:val="000000"/>
          <w:sz w:val="22"/>
          <w:szCs w:val="22"/>
          <w:lang w:val="en-US" w:eastAsia="en-US"/>
        </w:rPr>
        <w:t xml:space="preserve"> </w:t>
      </w:r>
      <w:r w:rsidRPr="006E4146">
        <w:rPr>
          <w:rFonts w:eastAsia="Courier New"/>
          <w:color w:val="000000"/>
          <w:sz w:val="22"/>
          <w:szCs w:val="22"/>
          <w:lang w:eastAsia="en-US"/>
        </w:rPr>
        <w:t>данной</w:t>
      </w:r>
      <w:r w:rsidRPr="006E4146">
        <w:rPr>
          <w:rFonts w:eastAsia="Courier New"/>
          <w:color w:val="000000"/>
          <w:sz w:val="22"/>
          <w:szCs w:val="22"/>
          <w:lang w:val="en-US" w:eastAsia="en-US"/>
        </w:rPr>
        <w:t xml:space="preserve"> </w:t>
      </w:r>
      <w:r w:rsidRPr="006E4146">
        <w:rPr>
          <w:rFonts w:eastAsia="Courier New"/>
          <w:color w:val="000000"/>
          <w:sz w:val="22"/>
          <w:szCs w:val="22"/>
          <w:lang w:eastAsia="en-US"/>
        </w:rPr>
        <w:t>отрасли</w:t>
      </w:r>
      <w:r w:rsidRPr="006E4146">
        <w:rPr>
          <w:rFonts w:eastAsia="Courier New"/>
          <w:color w:val="000000"/>
          <w:sz w:val="22"/>
          <w:szCs w:val="22"/>
          <w:lang w:val="en-US" w:eastAsia="en-US"/>
        </w:rPr>
        <w:t>.</w:t>
      </w:r>
    </w:p>
    <w:p w:rsidR="00724342" w:rsidRPr="006E4146" w:rsidRDefault="00724342" w:rsidP="006E4146">
      <w:pPr>
        <w:widowControl w:val="0"/>
        <w:tabs>
          <w:tab w:val="left" w:pos="8223"/>
        </w:tabs>
        <w:ind w:firstLine="426"/>
        <w:jc w:val="both"/>
        <w:rPr>
          <w:rFonts w:eastAsia="Courier New"/>
          <w:color w:val="000000"/>
          <w:sz w:val="22"/>
          <w:szCs w:val="22"/>
          <w:lang w:val="en-US" w:eastAsia="en-US"/>
        </w:rPr>
      </w:pPr>
      <w:r w:rsidRPr="006E4146">
        <w:rPr>
          <w:rFonts w:eastAsia="Courier New"/>
          <w:color w:val="000000"/>
          <w:sz w:val="22"/>
          <w:szCs w:val="22"/>
          <w:lang w:val="en-US" w:eastAsia="en-US"/>
        </w:rPr>
        <w:t>ABSTRACT:</w:t>
      </w:r>
      <w:r w:rsidRPr="006E4146">
        <w:rPr>
          <w:rFonts w:ascii="Courier New" w:eastAsia="Courier New" w:hAnsi="Courier New" w:cs="Courier New"/>
          <w:color w:val="000000"/>
          <w:sz w:val="22"/>
          <w:szCs w:val="22"/>
          <w:shd w:val="clear" w:color="auto" w:fill="FFFFFF"/>
          <w:lang w:val="en-US" w:eastAsia="en-US"/>
        </w:rPr>
        <w:t xml:space="preserve"> </w:t>
      </w:r>
      <w:r w:rsidRPr="006E4146">
        <w:rPr>
          <w:rFonts w:eastAsia="Courier New"/>
          <w:color w:val="000000"/>
          <w:sz w:val="22"/>
          <w:szCs w:val="22"/>
          <w:lang w:val="en-US" w:eastAsia="en-US"/>
        </w:rPr>
        <w:t>The state of the vegetable growing industry and the production of vegetables of closed soil is analyzed. The prospective d</w:t>
      </w:r>
      <w:r w:rsidRPr="006E4146">
        <w:rPr>
          <w:rFonts w:eastAsia="Courier New"/>
          <w:color w:val="000000"/>
          <w:sz w:val="22"/>
          <w:szCs w:val="22"/>
          <w:lang w:val="en-US" w:eastAsia="en-US"/>
        </w:rPr>
        <w:t>i</w:t>
      </w:r>
      <w:r w:rsidRPr="006E4146">
        <w:rPr>
          <w:rFonts w:eastAsia="Courier New"/>
          <w:color w:val="000000"/>
          <w:sz w:val="22"/>
          <w:szCs w:val="22"/>
          <w:lang w:val="en-US" w:eastAsia="en-US"/>
        </w:rPr>
        <w:t>rection of development of this branch is offered.</w:t>
      </w:r>
    </w:p>
    <w:p w:rsidR="00724342" w:rsidRPr="006E4146" w:rsidRDefault="00724342" w:rsidP="006E4146">
      <w:pPr>
        <w:widowControl w:val="0"/>
        <w:tabs>
          <w:tab w:val="left" w:pos="8223"/>
        </w:tabs>
        <w:ind w:firstLine="426"/>
        <w:jc w:val="both"/>
        <w:rPr>
          <w:rFonts w:eastAsia="Courier New"/>
          <w:color w:val="000000"/>
          <w:sz w:val="22"/>
          <w:szCs w:val="22"/>
          <w:lang w:eastAsia="en-US"/>
        </w:rPr>
      </w:pPr>
      <w:r w:rsidRPr="006E4146">
        <w:rPr>
          <w:rFonts w:eastAsia="Courier New"/>
          <w:color w:val="000000"/>
          <w:sz w:val="22"/>
          <w:szCs w:val="22"/>
          <w:lang w:eastAsia="en-US"/>
        </w:rPr>
        <w:t>КЛЮЧЕВЫЕ СЛОВА: растениеводство, производство, томат, овощи, рассада, теплицы, импортозамещение, закрытый, открытый грунт.</w:t>
      </w:r>
    </w:p>
    <w:p w:rsidR="00724342" w:rsidRPr="006E4146" w:rsidRDefault="00724342" w:rsidP="006E4146">
      <w:pPr>
        <w:widowControl w:val="0"/>
        <w:tabs>
          <w:tab w:val="left" w:pos="8223"/>
        </w:tabs>
        <w:ind w:firstLine="426"/>
        <w:jc w:val="both"/>
        <w:rPr>
          <w:rFonts w:eastAsia="Courier New"/>
          <w:color w:val="000000"/>
          <w:sz w:val="22"/>
          <w:szCs w:val="22"/>
          <w:lang w:val="en-US" w:eastAsia="en-US"/>
        </w:rPr>
      </w:pPr>
      <w:r w:rsidRPr="006E4146">
        <w:rPr>
          <w:rFonts w:eastAsia="Courier New"/>
          <w:color w:val="000000"/>
          <w:sz w:val="22"/>
          <w:szCs w:val="22"/>
          <w:lang w:val="en-US" w:eastAsia="en-US"/>
        </w:rPr>
        <w:t>KEYWORDS:</w:t>
      </w:r>
      <w:r w:rsidRPr="006E4146">
        <w:rPr>
          <w:rFonts w:ascii="Courier New" w:eastAsia="Courier New" w:hAnsi="Courier New" w:cs="Courier New"/>
          <w:color w:val="000000"/>
          <w:sz w:val="22"/>
          <w:szCs w:val="22"/>
          <w:shd w:val="clear" w:color="auto" w:fill="FFFFFF"/>
          <w:lang w:val="en-US" w:eastAsia="en-US"/>
        </w:rPr>
        <w:t xml:space="preserve"> </w:t>
      </w:r>
      <w:r w:rsidRPr="006E4146">
        <w:rPr>
          <w:rFonts w:eastAsia="Courier New"/>
          <w:color w:val="000000"/>
          <w:sz w:val="22"/>
          <w:szCs w:val="22"/>
          <w:lang w:val="en-US" w:eastAsia="en-US"/>
        </w:rPr>
        <w:t>plant growing, production, tomato, vegetables, sprouts, greenhouses, import substitution, closed, open ground.</w:t>
      </w:r>
    </w:p>
    <w:p w:rsidR="00724342" w:rsidRPr="006E4146" w:rsidRDefault="00724342" w:rsidP="006E4146">
      <w:pPr>
        <w:widowControl w:val="0"/>
        <w:tabs>
          <w:tab w:val="left" w:pos="8223"/>
        </w:tabs>
        <w:ind w:firstLine="426"/>
        <w:jc w:val="both"/>
        <w:rPr>
          <w:rFonts w:eastAsia="Courier New"/>
          <w:color w:val="000000"/>
          <w:sz w:val="22"/>
          <w:szCs w:val="22"/>
          <w:lang w:val="en-US" w:eastAsia="en-US"/>
        </w:rPr>
      </w:pPr>
    </w:p>
    <w:p w:rsidR="00724342" w:rsidRPr="006E4146" w:rsidRDefault="002043AB" w:rsidP="006E4146">
      <w:pPr>
        <w:widowControl w:val="0"/>
        <w:tabs>
          <w:tab w:val="left" w:pos="8223"/>
        </w:tabs>
        <w:ind w:firstLine="426"/>
        <w:jc w:val="both"/>
        <w:rPr>
          <w:rFonts w:eastAsia="Courier New"/>
          <w:color w:val="000000"/>
          <w:sz w:val="22"/>
          <w:szCs w:val="22"/>
          <w:lang w:eastAsia="en-US"/>
        </w:rPr>
      </w:pPr>
      <w:r>
        <w:rPr>
          <w:rFonts w:eastAsia="Courier New"/>
          <w:color w:val="000000"/>
          <w:sz w:val="22"/>
          <w:szCs w:val="22"/>
          <w:lang w:eastAsia="en-US"/>
        </w:rPr>
        <w:t xml:space="preserve">Российский рынок овощей характеризуется </w:t>
      </w:r>
      <w:r w:rsidR="00724342" w:rsidRPr="006E4146">
        <w:rPr>
          <w:rFonts w:eastAsia="Courier New"/>
          <w:color w:val="000000"/>
          <w:sz w:val="22"/>
          <w:szCs w:val="22"/>
          <w:lang w:eastAsia="en-US"/>
        </w:rPr>
        <w:t xml:space="preserve">низким уровнем </w:t>
      </w:r>
    </w:p>
    <w:p w:rsidR="00724342" w:rsidRPr="006E4146" w:rsidRDefault="00724342" w:rsidP="006E4146">
      <w:pPr>
        <w:widowControl w:val="0"/>
        <w:tabs>
          <w:tab w:val="left" w:pos="425"/>
          <w:tab w:val="left" w:pos="8223"/>
        </w:tabs>
        <w:ind w:firstLine="426"/>
        <w:jc w:val="both"/>
        <w:rPr>
          <w:rFonts w:eastAsia="Courier New"/>
          <w:color w:val="000000"/>
          <w:sz w:val="22"/>
          <w:szCs w:val="22"/>
          <w:lang w:eastAsia="en-US"/>
        </w:rPr>
      </w:pPr>
      <w:r w:rsidRPr="006E4146">
        <w:rPr>
          <w:rFonts w:eastAsia="Courier New"/>
          <w:color w:val="000000"/>
          <w:sz w:val="22"/>
          <w:szCs w:val="22"/>
          <w:lang w:eastAsia="en-US"/>
        </w:rPr>
        <w:lastRenderedPageBreak/>
        <w:t>самообеспеченности. В основном это продукция, выращенная в открытом грунте. Так валовые сборы томатов открытого грунта с</w:t>
      </w:r>
      <w:r w:rsidRPr="006E4146">
        <w:rPr>
          <w:rFonts w:eastAsia="Courier New"/>
          <w:color w:val="000000"/>
          <w:sz w:val="22"/>
          <w:szCs w:val="22"/>
          <w:lang w:eastAsia="en-US"/>
        </w:rPr>
        <w:t>о</w:t>
      </w:r>
      <w:r w:rsidRPr="006E4146">
        <w:rPr>
          <w:rFonts w:eastAsia="Courier New"/>
          <w:color w:val="000000"/>
          <w:sz w:val="22"/>
          <w:szCs w:val="22"/>
          <w:lang w:eastAsia="en-US"/>
        </w:rPr>
        <w:t>ставляют более 80 % от полученного урожая, и только 20 % – том</w:t>
      </w:r>
      <w:r w:rsidRPr="006E4146">
        <w:rPr>
          <w:rFonts w:eastAsia="Courier New"/>
          <w:color w:val="000000"/>
          <w:sz w:val="22"/>
          <w:szCs w:val="22"/>
          <w:lang w:eastAsia="en-US"/>
        </w:rPr>
        <w:t>а</w:t>
      </w:r>
      <w:r w:rsidRPr="006E4146">
        <w:rPr>
          <w:rFonts w:eastAsia="Courier New"/>
          <w:color w:val="000000"/>
          <w:sz w:val="22"/>
          <w:szCs w:val="22"/>
          <w:lang w:eastAsia="en-US"/>
        </w:rPr>
        <w:t>ты закрытого грунта. Сегодня отечественные сельхозпроизводители не могут обеспечить страну тепличной продукцией в межсезонье, удовлетворяя потребности населения лишь на четверть. В результ</w:t>
      </w:r>
      <w:r w:rsidRPr="006E4146">
        <w:rPr>
          <w:rFonts w:eastAsia="Courier New"/>
          <w:color w:val="000000"/>
          <w:sz w:val="22"/>
          <w:szCs w:val="22"/>
          <w:lang w:eastAsia="en-US"/>
        </w:rPr>
        <w:t>а</w:t>
      </w:r>
      <w:r w:rsidRPr="006E4146">
        <w:rPr>
          <w:rFonts w:eastAsia="Courier New"/>
          <w:color w:val="000000"/>
          <w:sz w:val="22"/>
          <w:szCs w:val="22"/>
          <w:lang w:eastAsia="en-US"/>
        </w:rPr>
        <w:t>те этого на состояние российского рынка томатов по-прежнему большое влияние оказывает импортная продукция. Валовой сбор томатов в России в 2017 г. составил 2839 тыс. т, из них 557 тыс. т (19,6 %) – томаты закрытого грунта. По сравнению с уровнем 2014 г. валовые сборы томатов в России выросли на 20 тыс. т, по сравнению с уровнем пятилетней давности – на 401 тыс. т  [1].</w:t>
      </w:r>
    </w:p>
    <w:p w:rsidR="00724342" w:rsidRPr="006E4146" w:rsidRDefault="00724342" w:rsidP="006E4146">
      <w:pPr>
        <w:widowControl w:val="0"/>
        <w:tabs>
          <w:tab w:val="left" w:pos="8222"/>
        </w:tabs>
        <w:ind w:firstLine="426"/>
        <w:jc w:val="both"/>
        <w:rPr>
          <w:rFonts w:eastAsia="Courier New"/>
          <w:color w:val="000000"/>
          <w:sz w:val="22"/>
          <w:szCs w:val="22"/>
          <w:lang w:eastAsia="en-US"/>
        </w:rPr>
      </w:pPr>
      <w:r w:rsidRPr="006E4146">
        <w:rPr>
          <w:rFonts w:eastAsia="Courier New"/>
          <w:color w:val="000000"/>
          <w:sz w:val="22"/>
          <w:szCs w:val="22"/>
          <w:lang w:eastAsia="en-US"/>
        </w:rPr>
        <w:t>Несмотря на положительную динамику валового сбора тепли</w:t>
      </w:r>
      <w:r w:rsidRPr="006E4146">
        <w:rPr>
          <w:rFonts w:eastAsia="Courier New"/>
          <w:color w:val="000000"/>
          <w:sz w:val="22"/>
          <w:szCs w:val="22"/>
          <w:lang w:eastAsia="en-US"/>
        </w:rPr>
        <w:t>ч</w:t>
      </w:r>
      <w:r w:rsidRPr="006E4146">
        <w:rPr>
          <w:rFonts w:eastAsia="Courier New"/>
          <w:color w:val="000000"/>
          <w:sz w:val="22"/>
          <w:szCs w:val="22"/>
          <w:lang w:eastAsia="en-US"/>
        </w:rPr>
        <w:t>ных томатов, имеющихся объемов производства недостаточно для удовлетворения растущей потребности рынка. Сегодня отечестве</w:t>
      </w:r>
      <w:r w:rsidRPr="006E4146">
        <w:rPr>
          <w:rFonts w:eastAsia="Courier New"/>
          <w:color w:val="000000"/>
          <w:sz w:val="22"/>
          <w:szCs w:val="22"/>
          <w:lang w:eastAsia="en-US"/>
        </w:rPr>
        <w:t>н</w:t>
      </w:r>
      <w:r w:rsidRPr="006E4146">
        <w:rPr>
          <w:rFonts w:eastAsia="Courier New"/>
          <w:color w:val="000000"/>
          <w:sz w:val="22"/>
          <w:szCs w:val="22"/>
          <w:lang w:eastAsia="en-US"/>
        </w:rPr>
        <w:t>ные тепличные комплексы по объемам валового сбора тепличных томатов только на 38 % обеспечивают объем спроса на томаты з</w:t>
      </w:r>
      <w:r w:rsidRPr="006E4146">
        <w:rPr>
          <w:rFonts w:eastAsia="Courier New"/>
          <w:color w:val="000000"/>
          <w:sz w:val="22"/>
          <w:szCs w:val="22"/>
          <w:lang w:eastAsia="en-US"/>
        </w:rPr>
        <w:t>а</w:t>
      </w:r>
      <w:r w:rsidRPr="006E4146">
        <w:rPr>
          <w:rFonts w:eastAsia="Courier New"/>
          <w:color w:val="000000"/>
          <w:sz w:val="22"/>
          <w:szCs w:val="22"/>
          <w:lang w:eastAsia="en-US"/>
        </w:rPr>
        <w:t>щищенного грунта. Оставшаяся доля рынка обеспечивается за счет импортной продукции. В последние несколько лет импорт томатов имеет устойчивую тенденцию к снижению на фоне ослабления ку</w:t>
      </w:r>
      <w:r w:rsidRPr="006E4146">
        <w:rPr>
          <w:rFonts w:eastAsia="Courier New"/>
          <w:color w:val="000000"/>
          <w:sz w:val="22"/>
          <w:szCs w:val="22"/>
          <w:lang w:eastAsia="en-US"/>
        </w:rPr>
        <w:t>р</w:t>
      </w:r>
      <w:r w:rsidRPr="006E4146">
        <w:rPr>
          <w:rFonts w:eastAsia="Courier New"/>
          <w:color w:val="000000"/>
          <w:sz w:val="22"/>
          <w:szCs w:val="22"/>
          <w:lang w:eastAsia="en-US"/>
        </w:rPr>
        <w:t>са рубля и процессов импортозамещения. Данный факт полож</w:t>
      </w:r>
      <w:r w:rsidRPr="006E4146">
        <w:rPr>
          <w:rFonts w:eastAsia="Courier New"/>
          <w:color w:val="000000"/>
          <w:sz w:val="22"/>
          <w:szCs w:val="22"/>
          <w:lang w:eastAsia="en-US"/>
        </w:rPr>
        <w:t>и</w:t>
      </w:r>
      <w:r w:rsidRPr="006E4146">
        <w:rPr>
          <w:rFonts w:eastAsia="Courier New"/>
          <w:color w:val="000000"/>
          <w:sz w:val="22"/>
          <w:szCs w:val="22"/>
          <w:lang w:eastAsia="en-US"/>
        </w:rPr>
        <w:t>тельно сказывается на инвестиционной привлекательности тепли</w:t>
      </w:r>
      <w:r w:rsidRPr="006E4146">
        <w:rPr>
          <w:rFonts w:eastAsia="Courier New"/>
          <w:color w:val="000000"/>
          <w:sz w:val="22"/>
          <w:szCs w:val="22"/>
          <w:lang w:eastAsia="en-US"/>
        </w:rPr>
        <w:t>ч</w:t>
      </w:r>
      <w:r w:rsidRPr="006E4146">
        <w:rPr>
          <w:rFonts w:eastAsia="Courier New"/>
          <w:color w:val="000000"/>
          <w:sz w:val="22"/>
          <w:szCs w:val="22"/>
          <w:lang w:eastAsia="en-US"/>
        </w:rPr>
        <w:t>ного бизнеса [4]. В то же время он негативно отражается на поста</w:t>
      </w:r>
      <w:r w:rsidRPr="006E4146">
        <w:rPr>
          <w:rFonts w:eastAsia="Courier New"/>
          <w:color w:val="000000"/>
          <w:sz w:val="22"/>
          <w:szCs w:val="22"/>
          <w:lang w:eastAsia="en-US"/>
        </w:rPr>
        <w:t>в</w:t>
      </w:r>
      <w:r w:rsidRPr="006E4146">
        <w:rPr>
          <w:rFonts w:eastAsia="Courier New"/>
          <w:color w:val="000000"/>
          <w:sz w:val="22"/>
          <w:szCs w:val="22"/>
          <w:lang w:eastAsia="en-US"/>
        </w:rPr>
        <w:t>ках импортных семян для посева, которые в России не производят, а также некоторых видах материалов и оборудования, необходимых для выращивания продукции. Сегодня  импортные томаты соста</w:t>
      </w:r>
      <w:r w:rsidRPr="006E4146">
        <w:rPr>
          <w:rFonts w:eastAsia="Courier New"/>
          <w:color w:val="000000"/>
          <w:sz w:val="22"/>
          <w:szCs w:val="22"/>
          <w:lang w:eastAsia="en-US"/>
        </w:rPr>
        <w:t>в</w:t>
      </w:r>
      <w:r w:rsidRPr="006E4146">
        <w:rPr>
          <w:rFonts w:eastAsia="Courier New"/>
          <w:color w:val="000000"/>
          <w:sz w:val="22"/>
          <w:szCs w:val="22"/>
          <w:lang w:eastAsia="en-US"/>
        </w:rPr>
        <w:t>ляют около 24 % российского рынка. Круглогодичное обеспечение томатами отечественного производства возможно лишь в условиях расширения производства в зимних теплицах. В 2015 г., по данным Минсельхоза РФ, в сельскохозяйственных организациях в зимних теплицах было произведено 115,4 тыс. т томатов – менее четверти от ввозимых из-за рубежа объемов.</w:t>
      </w:r>
    </w:p>
    <w:p w:rsidR="00724342" w:rsidRPr="006E4146" w:rsidRDefault="00724342" w:rsidP="006E4146">
      <w:pPr>
        <w:widowControl w:val="0"/>
        <w:tabs>
          <w:tab w:val="left" w:pos="8223"/>
        </w:tabs>
        <w:ind w:firstLine="426"/>
        <w:jc w:val="both"/>
        <w:rPr>
          <w:rFonts w:eastAsia="Courier New"/>
          <w:color w:val="000000"/>
          <w:sz w:val="22"/>
          <w:szCs w:val="22"/>
          <w:lang w:eastAsia="en-US"/>
        </w:rPr>
      </w:pPr>
      <w:r w:rsidRPr="006E4146">
        <w:rPr>
          <w:rFonts w:eastAsia="Courier New"/>
          <w:color w:val="000000"/>
          <w:sz w:val="22"/>
          <w:szCs w:val="22"/>
          <w:lang w:eastAsia="en-US"/>
        </w:rPr>
        <w:t>В то же время объем потребления и удельный вес овощей в продуктовой корзине населения постоянно растет, причем наибольшее удельное потребление томатов наблюдается именно в южных регионах нашей страны. В среднем каждый россиянин п</w:t>
      </w:r>
      <w:r w:rsidRPr="006E4146">
        <w:rPr>
          <w:rFonts w:eastAsia="Courier New"/>
          <w:color w:val="000000"/>
          <w:sz w:val="22"/>
          <w:szCs w:val="22"/>
          <w:lang w:eastAsia="en-US"/>
        </w:rPr>
        <w:t>о</w:t>
      </w:r>
      <w:r w:rsidRPr="006E4146">
        <w:rPr>
          <w:rFonts w:eastAsia="Courier New"/>
          <w:color w:val="000000"/>
          <w:sz w:val="22"/>
          <w:szCs w:val="22"/>
          <w:lang w:eastAsia="en-US"/>
        </w:rPr>
        <w:t>требляют около 23 кг томатов в год. В то же время взятый госуда</w:t>
      </w:r>
      <w:r w:rsidRPr="006E4146">
        <w:rPr>
          <w:rFonts w:eastAsia="Courier New"/>
          <w:color w:val="000000"/>
          <w:sz w:val="22"/>
          <w:szCs w:val="22"/>
          <w:lang w:eastAsia="en-US"/>
        </w:rPr>
        <w:t>р</w:t>
      </w:r>
      <w:r w:rsidRPr="006E4146">
        <w:rPr>
          <w:rFonts w:eastAsia="Courier New"/>
          <w:color w:val="000000"/>
          <w:sz w:val="22"/>
          <w:szCs w:val="22"/>
          <w:lang w:eastAsia="en-US"/>
        </w:rPr>
        <w:t xml:space="preserve">ством курс на импортозамещение способен помочь отечественным </w:t>
      </w:r>
      <w:r w:rsidRPr="006E4146">
        <w:rPr>
          <w:rFonts w:eastAsia="Courier New"/>
          <w:color w:val="000000"/>
          <w:sz w:val="22"/>
          <w:szCs w:val="22"/>
          <w:lang w:eastAsia="en-US"/>
        </w:rPr>
        <w:lastRenderedPageBreak/>
        <w:t>производителям закрепиться на данном рынке на фоне сокращения импорта. Причем увеличение площадей для выращивания томатов открытого грунта представляется неэффективным, поскольку п</w:t>
      </w:r>
      <w:r w:rsidRPr="006E4146">
        <w:rPr>
          <w:rFonts w:eastAsia="Courier New"/>
          <w:color w:val="000000"/>
          <w:sz w:val="22"/>
          <w:szCs w:val="22"/>
          <w:lang w:eastAsia="en-US"/>
        </w:rPr>
        <w:t>о</w:t>
      </w:r>
      <w:r w:rsidRPr="006E4146">
        <w:rPr>
          <w:rFonts w:eastAsia="Courier New"/>
          <w:color w:val="000000"/>
          <w:sz w:val="22"/>
          <w:szCs w:val="22"/>
          <w:lang w:eastAsia="en-US"/>
        </w:rPr>
        <w:t>требность в томатах в августе и сентябре, когда происходит сбор урожая, удовлетворяется практически полностью. Это создает огромный потенциал для развития производства овощей закрытого грунта, в частности, томатов. Возникает очевидная необходимость и потребность в обеспечении новых и расширяющихся тепличных хозяйств качественным отечественным рассадопосадочным матер</w:t>
      </w:r>
      <w:r w:rsidRPr="006E4146">
        <w:rPr>
          <w:rFonts w:eastAsia="Courier New"/>
          <w:color w:val="000000"/>
          <w:sz w:val="22"/>
          <w:szCs w:val="22"/>
          <w:lang w:eastAsia="en-US"/>
        </w:rPr>
        <w:t>и</w:t>
      </w:r>
      <w:r w:rsidRPr="006E4146">
        <w:rPr>
          <w:rFonts w:eastAsia="Courier New"/>
          <w:color w:val="000000"/>
          <w:sz w:val="22"/>
          <w:szCs w:val="22"/>
          <w:lang w:eastAsia="en-US"/>
        </w:rPr>
        <w:t>алом. В связи с этим, перспективным направлением в области ов</w:t>
      </w:r>
      <w:r w:rsidRPr="006E4146">
        <w:rPr>
          <w:rFonts w:eastAsia="Courier New"/>
          <w:color w:val="000000"/>
          <w:sz w:val="22"/>
          <w:szCs w:val="22"/>
          <w:lang w:eastAsia="en-US"/>
        </w:rPr>
        <w:t>о</w:t>
      </w:r>
      <w:r w:rsidRPr="006E4146">
        <w:rPr>
          <w:rFonts w:eastAsia="Courier New"/>
          <w:color w:val="000000"/>
          <w:sz w:val="22"/>
          <w:szCs w:val="22"/>
          <w:lang w:eastAsia="en-US"/>
        </w:rPr>
        <w:t>щеводства является организация круглогодичного производства рассады томатов. Это обусловлено не только ожидаемым ростом производства овощей закрытого грунта, как было сказано выше, но и невысокой конкуренцией на рынке производства рассады. П</w:t>
      </w:r>
      <w:r w:rsidRPr="006E4146">
        <w:rPr>
          <w:rFonts w:eastAsia="Courier New"/>
          <w:color w:val="000000"/>
          <w:sz w:val="22"/>
          <w:szCs w:val="22"/>
          <w:lang w:eastAsia="en-US"/>
        </w:rPr>
        <w:t>о</w:t>
      </w:r>
      <w:r w:rsidRPr="006E4146">
        <w:rPr>
          <w:rFonts w:eastAsia="Courier New"/>
          <w:color w:val="000000"/>
          <w:sz w:val="22"/>
          <w:szCs w:val="22"/>
          <w:lang w:eastAsia="en-US"/>
        </w:rPr>
        <w:t>скольку срок от высева семян томатов в грунт до сбора урожая, в зависимости от сорта или гибрида, составляет 85-110 дней, прои</w:t>
      </w:r>
      <w:r w:rsidRPr="006E4146">
        <w:rPr>
          <w:rFonts w:eastAsia="Courier New"/>
          <w:color w:val="000000"/>
          <w:sz w:val="22"/>
          <w:szCs w:val="22"/>
          <w:lang w:eastAsia="en-US"/>
        </w:rPr>
        <w:t>з</w:t>
      </w:r>
      <w:r w:rsidRPr="006E4146">
        <w:rPr>
          <w:rFonts w:eastAsia="Courier New"/>
          <w:color w:val="000000"/>
          <w:sz w:val="22"/>
          <w:szCs w:val="22"/>
          <w:lang w:eastAsia="en-US"/>
        </w:rPr>
        <w:t>водители томатов будут весьма заинтересованы в приобретении к</w:t>
      </w:r>
      <w:r w:rsidRPr="006E4146">
        <w:rPr>
          <w:rFonts w:eastAsia="Courier New"/>
          <w:color w:val="000000"/>
          <w:sz w:val="22"/>
          <w:szCs w:val="22"/>
          <w:lang w:eastAsia="en-US"/>
        </w:rPr>
        <w:t>а</w:t>
      </w:r>
      <w:r w:rsidRPr="006E4146">
        <w:rPr>
          <w:rFonts w:eastAsia="Courier New"/>
          <w:color w:val="000000"/>
          <w:sz w:val="22"/>
          <w:szCs w:val="22"/>
          <w:lang w:eastAsia="en-US"/>
        </w:rPr>
        <w:t>чественной рассады, поскольку данное решение позволяет им эк</w:t>
      </w:r>
      <w:r w:rsidRPr="006E4146">
        <w:rPr>
          <w:rFonts w:eastAsia="Courier New"/>
          <w:color w:val="000000"/>
          <w:sz w:val="22"/>
          <w:szCs w:val="22"/>
          <w:lang w:eastAsia="en-US"/>
        </w:rPr>
        <w:t>о</w:t>
      </w:r>
      <w:r w:rsidRPr="006E4146">
        <w:rPr>
          <w:rFonts w:eastAsia="Courier New"/>
          <w:color w:val="000000"/>
          <w:sz w:val="22"/>
          <w:szCs w:val="22"/>
          <w:lang w:eastAsia="en-US"/>
        </w:rPr>
        <w:t xml:space="preserve">номить около двух месяцев на каждом цикле производства [3]. </w:t>
      </w:r>
    </w:p>
    <w:p w:rsidR="00724342" w:rsidRPr="006E4146" w:rsidRDefault="00724342" w:rsidP="006E4146">
      <w:pPr>
        <w:widowControl w:val="0"/>
        <w:tabs>
          <w:tab w:val="left" w:pos="8223"/>
        </w:tabs>
        <w:ind w:firstLine="426"/>
        <w:jc w:val="both"/>
        <w:rPr>
          <w:rFonts w:eastAsia="Courier New"/>
          <w:color w:val="000000"/>
          <w:sz w:val="22"/>
          <w:szCs w:val="22"/>
          <w:lang w:eastAsia="en-US"/>
        </w:rPr>
      </w:pPr>
      <w:r w:rsidRPr="006E4146">
        <w:rPr>
          <w:rFonts w:eastAsia="Courier New"/>
          <w:color w:val="000000"/>
          <w:sz w:val="22"/>
          <w:szCs w:val="22"/>
          <w:lang w:eastAsia="en-US"/>
        </w:rPr>
        <w:t>Основным видом расходов при производстве овощей закрытого грунта является оплата электроэнергии для работы систем досвеч</w:t>
      </w:r>
      <w:r w:rsidRPr="006E4146">
        <w:rPr>
          <w:rFonts w:eastAsia="Courier New"/>
          <w:color w:val="000000"/>
          <w:sz w:val="22"/>
          <w:szCs w:val="22"/>
          <w:lang w:eastAsia="en-US"/>
        </w:rPr>
        <w:t>и</w:t>
      </w:r>
      <w:r w:rsidRPr="006E4146">
        <w:rPr>
          <w:rFonts w:eastAsia="Courier New"/>
          <w:color w:val="000000"/>
          <w:sz w:val="22"/>
          <w:szCs w:val="22"/>
          <w:lang w:eastAsia="en-US"/>
        </w:rPr>
        <w:t>вания растений и отопления, особенно в зимний период времени. Поэтому приобретая готовую рассаду, производители овощей эк</w:t>
      </w:r>
      <w:r w:rsidRPr="006E4146">
        <w:rPr>
          <w:rFonts w:eastAsia="Courier New"/>
          <w:color w:val="000000"/>
          <w:sz w:val="22"/>
          <w:szCs w:val="22"/>
          <w:lang w:eastAsia="en-US"/>
        </w:rPr>
        <w:t>о</w:t>
      </w:r>
      <w:r w:rsidRPr="006E4146">
        <w:rPr>
          <w:rFonts w:eastAsia="Courier New"/>
          <w:color w:val="000000"/>
          <w:sz w:val="22"/>
          <w:szCs w:val="22"/>
          <w:lang w:eastAsia="en-US"/>
        </w:rPr>
        <w:t>номят не только время, но и значительную часть денежных средств.</w:t>
      </w:r>
    </w:p>
    <w:p w:rsidR="00724342" w:rsidRPr="006E4146" w:rsidRDefault="00724342" w:rsidP="006E4146">
      <w:pPr>
        <w:widowControl w:val="0"/>
        <w:tabs>
          <w:tab w:val="left" w:pos="8223"/>
        </w:tabs>
        <w:ind w:firstLine="426"/>
        <w:jc w:val="both"/>
        <w:rPr>
          <w:rFonts w:eastAsia="Courier New"/>
          <w:color w:val="000000"/>
          <w:sz w:val="22"/>
          <w:szCs w:val="22"/>
          <w:lang w:eastAsia="en-US"/>
        </w:rPr>
      </w:pPr>
      <w:r w:rsidRPr="006E4146">
        <w:rPr>
          <w:rFonts w:eastAsia="Courier New"/>
          <w:color w:val="000000"/>
          <w:sz w:val="22"/>
          <w:szCs w:val="22"/>
          <w:lang w:eastAsia="en-US"/>
        </w:rPr>
        <w:t>Таким образом, организация производства рассады томатов я</w:t>
      </w:r>
      <w:r w:rsidRPr="006E4146">
        <w:rPr>
          <w:rFonts w:eastAsia="Courier New"/>
          <w:color w:val="000000"/>
          <w:sz w:val="22"/>
          <w:szCs w:val="22"/>
          <w:lang w:eastAsia="en-US"/>
        </w:rPr>
        <w:t>в</w:t>
      </w:r>
      <w:r w:rsidRPr="006E4146">
        <w:rPr>
          <w:rFonts w:eastAsia="Courier New"/>
          <w:color w:val="000000"/>
          <w:sz w:val="22"/>
          <w:szCs w:val="22"/>
          <w:lang w:eastAsia="en-US"/>
        </w:rPr>
        <w:t xml:space="preserve">ляется перспективным направлением бизнеса. Это позволит не только развивать овощеводство закрытого и открытого грунта, но и активно участвовать в процессе импортозамещения. </w:t>
      </w:r>
    </w:p>
    <w:p w:rsidR="00724342" w:rsidRPr="006E4146" w:rsidRDefault="00724342" w:rsidP="006E4146">
      <w:pPr>
        <w:widowControl w:val="0"/>
        <w:autoSpaceDE w:val="0"/>
        <w:autoSpaceDN w:val="0"/>
        <w:adjustRightInd w:val="0"/>
        <w:ind w:firstLine="426"/>
        <w:jc w:val="center"/>
        <w:rPr>
          <w:rFonts w:eastAsia="Calibri" w:cs="Arial"/>
          <w:color w:val="000000"/>
          <w:sz w:val="22"/>
          <w:szCs w:val="22"/>
          <w:lang w:eastAsia="en-US"/>
        </w:rPr>
      </w:pPr>
    </w:p>
    <w:p w:rsidR="00724342" w:rsidRPr="006E4146" w:rsidRDefault="00724342" w:rsidP="006E4146">
      <w:pPr>
        <w:widowControl w:val="0"/>
        <w:autoSpaceDE w:val="0"/>
        <w:autoSpaceDN w:val="0"/>
        <w:adjustRightInd w:val="0"/>
        <w:ind w:firstLine="426"/>
        <w:jc w:val="center"/>
        <w:rPr>
          <w:rFonts w:eastAsia="Calibri" w:cs="Arial"/>
          <w:color w:val="000000"/>
          <w:sz w:val="22"/>
          <w:szCs w:val="22"/>
          <w:lang w:eastAsia="en-US"/>
        </w:rPr>
      </w:pPr>
      <w:r w:rsidRPr="006E4146">
        <w:rPr>
          <w:rFonts w:eastAsia="Calibri" w:cs="Arial"/>
          <w:color w:val="000000"/>
          <w:sz w:val="22"/>
          <w:szCs w:val="22"/>
          <w:lang w:eastAsia="en-US"/>
        </w:rPr>
        <w:t>Список литературы</w:t>
      </w:r>
    </w:p>
    <w:p w:rsidR="00724342" w:rsidRPr="006E4146" w:rsidRDefault="00724342" w:rsidP="006E4146">
      <w:pPr>
        <w:numPr>
          <w:ilvl w:val="0"/>
          <w:numId w:val="74"/>
        </w:numPr>
        <w:shd w:val="clear" w:color="auto" w:fill="FFFFFF"/>
        <w:tabs>
          <w:tab w:val="left" w:pos="709"/>
          <w:tab w:val="left" w:pos="1134"/>
        </w:tabs>
        <w:ind w:left="0" w:firstLine="426"/>
        <w:contextualSpacing/>
        <w:jc w:val="both"/>
        <w:rPr>
          <w:rFonts w:eastAsia="Calibri"/>
          <w:color w:val="0000FF"/>
          <w:sz w:val="22"/>
          <w:szCs w:val="22"/>
          <w:u w:val="single"/>
          <w:lang w:eastAsia="en-US"/>
        </w:rPr>
      </w:pPr>
      <w:r w:rsidRPr="006E4146">
        <w:rPr>
          <w:rFonts w:eastAsia="Calibri"/>
          <w:sz w:val="22"/>
          <w:szCs w:val="22"/>
          <w:lang w:eastAsia="en-US"/>
        </w:rPr>
        <w:t>Гильштейн А. С. Роль организационно-экономического м</w:t>
      </w:r>
      <w:r w:rsidRPr="006E4146">
        <w:rPr>
          <w:rFonts w:eastAsia="Calibri"/>
          <w:sz w:val="22"/>
          <w:szCs w:val="22"/>
          <w:lang w:eastAsia="en-US"/>
        </w:rPr>
        <w:t>е</w:t>
      </w:r>
      <w:r w:rsidRPr="006E4146">
        <w:rPr>
          <w:rFonts w:eastAsia="Calibri"/>
          <w:sz w:val="22"/>
          <w:szCs w:val="22"/>
          <w:lang w:eastAsia="en-US"/>
        </w:rPr>
        <w:t xml:space="preserve">ханизма в принятии управленческих решений / </w:t>
      </w:r>
      <w:hyperlink r:id="rId273" w:history="1">
        <w:r w:rsidRPr="006E4146">
          <w:rPr>
            <w:rFonts w:eastAsia="Calibri"/>
            <w:sz w:val="22"/>
            <w:szCs w:val="22"/>
            <w:lang w:eastAsia="en-US"/>
          </w:rPr>
          <w:t>А. С. Гильштейн</w:t>
        </w:r>
      </w:hyperlink>
      <w:r w:rsidRPr="006E4146">
        <w:rPr>
          <w:rFonts w:eastAsia="Calibri"/>
          <w:sz w:val="22"/>
          <w:szCs w:val="22"/>
          <w:lang w:eastAsia="en-US"/>
        </w:rPr>
        <w:t xml:space="preserve">, </w:t>
      </w:r>
      <w:hyperlink r:id="rId274" w:history="1">
        <w:r w:rsidRPr="006E4146">
          <w:rPr>
            <w:rFonts w:eastAsia="Calibri"/>
            <w:sz w:val="22"/>
            <w:szCs w:val="22"/>
            <w:lang w:eastAsia="en-US"/>
          </w:rPr>
          <w:t>В. Е. Бызова</w:t>
        </w:r>
      </w:hyperlink>
      <w:r w:rsidRPr="006E4146">
        <w:rPr>
          <w:rFonts w:eastAsia="Calibri"/>
          <w:sz w:val="22"/>
          <w:szCs w:val="22"/>
          <w:lang w:eastAsia="en-US"/>
        </w:rPr>
        <w:t xml:space="preserve">, </w:t>
      </w:r>
      <w:hyperlink r:id="rId275" w:history="1">
        <w:r w:rsidRPr="006E4146">
          <w:rPr>
            <w:rFonts w:eastAsia="Calibri"/>
            <w:sz w:val="22"/>
            <w:szCs w:val="22"/>
            <w:lang w:eastAsia="en-US"/>
          </w:rPr>
          <w:t>Г. Н. Литвиненко</w:t>
        </w:r>
      </w:hyperlink>
      <w:r w:rsidRPr="006E4146">
        <w:rPr>
          <w:rFonts w:eastAsia="Calibri"/>
          <w:sz w:val="22"/>
          <w:szCs w:val="22"/>
          <w:lang w:eastAsia="en-US"/>
        </w:rPr>
        <w:t xml:space="preserve"> // Наука и образование на совреме</w:t>
      </w:r>
      <w:r w:rsidRPr="006E4146">
        <w:rPr>
          <w:rFonts w:eastAsia="Calibri"/>
          <w:sz w:val="22"/>
          <w:szCs w:val="22"/>
          <w:lang w:eastAsia="en-US"/>
        </w:rPr>
        <w:t>н</w:t>
      </w:r>
      <w:r w:rsidRPr="006E4146">
        <w:rPr>
          <w:rFonts w:eastAsia="Calibri"/>
          <w:sz w:val="22"/>
          <w:szCs w:val="22"/>
          <w:lang w:eastAsia="en-US"/>
        </w:rPr>
        <w:t>ном этапе развития: опыт, проблемы и пути их решения : Матери</w:t>
      </w:r>
      <w:r w:rsidRPr="006E4146">
        <w:rPr>
          <w:rFonts w:eastAsia="Calibri"/>
          <w:sz w:val="22"/>
          <w:szCs w:val="22"/>
          <w:lang w:eastAsia="en-US"/>
        </w:rPr>
        <w:t>а</w:t>
      </w:r>
      <w:r w:rsidRPr="006E4146">
        <w:rPr>
          <w:rFonts w:eastAsia="Calibri"/>
          <w:sz w:val="22"/>
          <w:szCs w:val="22"/>
          <w:lang w:eastAsia="en-US"/>
        </w:rPr>
        <w:t>лы междунар. (заочной) науч.-практ. конф. – Нефтекамск, 2017. – С. 133-138.</w:t>
      </w:r>
    </w:p>
    <w:p w:rsidR="00724342" w:rsidRPr="006E4146" w:rsidRDefault="00724342" w:rsidP="006E4146">
      <w:pPr>
        <w:numPr>
          <w:ilvl w:val="0"/>
          <w:numId w:val="74"/>
        </w:numPr>
        <w:tabs>
          <w:tab w:val="left" w:pos="709"/>
        </w:tabs>
        <w:autoSpaceDE w:val="0"/>
        <w:autoSpaceDN w:val="0"/>
        <w:adjustRightInd w:val="0"/>
        <w:ind w:left="0" w:firstLine="426"/>
        <w:contextualSpacing/>
        <w:jc w:val="both"/>
        <w:rPr>
          <w:rFonts w:eastAsia="Courier New"/>
          <w:color w:val="000000"/>
          <w:sz w:val="22"/>
          <w:szCs w:val="22"/>
          <w:lang w:eastAsia="en-US"/>
        </w:rPr>
      </w:pPr>
      <w:r w:rsidRPr="006E4146">
        <w:rPr>
          <w:rFonts w:eastAsia="Courier New"/>
          <w:color w:val="000000"/>
          <w:sz w:val="22"/>
          <w:szCs w:val="22"/>
          <w:lang w:eastAsia="en-US"/>
        </w:rPr>
        <w:lastRenderedPageBreak/>
        <w:t>Соколова А. П. Перспективы развития регионального агра</w:t>
      </w:r>
      <w:r w:rsidRPr="006E4146">
        <w:rPr>
          <w:rFonts w:eastAsia="Courier New"/>
          <w:color w:val="000000"/>
          <w:sz w:val="22"/>
          <w:szCs w:val="22"/>
          <w:lang w:eastAsia="en-US"/>
        </w:rPr>
        <w:t>р</w:t>
      </w:r>
      <w:r w:rsidRPr="006E4146">
        <w:rPr>
          <w:rFonts w:eastAsia="Courier New"/>
          <w:color w:val="000000"/>
          <w:sz w:val="22"/>
          <w:szCs w:val="22"/>
          <w:lang w:eastAsia="en-US"/>
        </w:rPr>
        <w:t>ного бизнеса / А. П. Соколова, Е. И. Гилек, Д. В. Бондарева // Эк</w:t>
      </w:r>
      <w:r w:rsidRPr="006E4146">
        <w:rPr>
          <w:rFonts w:eastAsia="Courier New"/>
          <w:color w:val="000000"/>
          <w:sz w:val="22"/>
          <w:szCs w:val="22"/>
          <w:lang w:eastAsia="en-US"/>
        </w:rPr>
        <w:t>о</w:t>
      </w:r>
      <w:r w:rsidRPr="006E4146">
        <w:rPr>
          <w:rFonts w:eastAsia="Courier New"/>
          <w:color w:val="000000"/>
          <w:sz w:val="22"/>
          <w:szCs w:val="22"/>
          <w:lang w:eastAsia="en-US"/>
        </w:rPr>
        <w:t>номика и предпринимательство. № 7 (84), 2017. С. 295-301.</w:t>
      </w:r>
    </w:p>
    <w:p w:rsidR="00724342" w:rsidRPr="006E4146" w:rsidRDefault="00724342" w:rsidP="006E4146">
      <w:pPr>
        <w:numPr>
          <w:ilvl w:val="0"/>
          <w:numId w:val="74"/>
        </w:numPr>
        <w:shd w:val="clear" w:color="auto" w:fill="FFFFFF"/>
        <w:tabs>
          <w:tab w:val="left" w:pos="0"/>
          <w:tab w:val="left" w:pos="709"/>
          <w:tab w:val="left" w:pos="851"/>
          <w:tab w:val="left" w:pos="993"/>
        </w:tabs>
        <w:ind w:left="0" w:firstLine="426"/>
        <w:contextualSpacing/>
        <w:jc w:val="both"/>
        <w:rPr>
          <w:rFonts w:eastAsia="Calibri"/>
          <w:sz w:val="22"/>
          <w:szCs w:val="22"/>
          <w:lang w:eastAsia="en-US"/>
        </w:rPr>
      </w:pPr>
      <w:r w:rsidRPr="006E4146">
        <w:rPr>
          <w:rFonts w:eastAsia="Calibri"/>
          <w:sz w:val="22"/>
          <w:szCs w:val="22"/>
          <w:lang w:eastAsia="en-US"/>
        </w:rPr>
        <w:t>Соколова А. П. Управление рисками производственной де</w:t>
      </w:r>
      <w:r w:rsidRPr="006E4146">
        <w:rPr>
          <w:rFonts w:eastAsia="Calibri"/>
          <w:sz w:val="22"/>
          <w:szCs w:val="22"/>
          <w:lang w:eastAsia="en-US"/>
        </w:rPr>
        <w:t>я</w:t>
      </w:r>
      <w:r w:rsidRPr="006E4146">
        <w:rPr>
          <w:rFonts w:eastAsia="Calibr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С. 241-250.</w:t>
      </w:r>
    </w:p>
    <w:p w:rsidR="00724342" w:rsidRPr="006E4146" w:rsidRDefault="00724342" w:rsidP="006E4146">
      <w:pPr>
        <w:numPr>
          <w:ilvl w:val="0"/>
          <w:numId w:val="74"/>
        </w:numPr>
        <w:shd w:val="clear" w:color="auto" w:fill="FFFFFF"/>
        <w:tabs>
          <w:tab w:val="left" w:pos="0"/>
          <w:tab w:val="left" w:pos="709"/>
          <w:tab w:val="left" w:pos="851"/>
          <w:tab w:val="left" w:pos="1134"/>
          <w:tab w:val="left" w:pos="1276"/>
        </w:tabs>
        <w:autoSpaceDE w:val="0"/>
        <w:autoSpaceDN w:val="0"/>
        <w:adjustRightInd w:val="0"/>
        <w:ind w:left="0" w:firstLine="426"/>
        <w:contextualSpacing/>
        <w:jc w:val="both"/>
        <w:rPr>
          <w:rFonts w:eastAsia="Courier New"/>
          <w:color w:val="000000"/>
          <w:sz w:val="22"/>
          <w:szCs w:val="22"/>
          <w:lang w:eastAsia="en-US"/>
        </w:rPr>
      </w:pPr>
      <w:r w:rsidRPr="006E4146">
        <w:rPr>
          <w:rFonts w:eastAsia="Calibri"/>
          <w:color w:val="000000"/>
          <w:sz w:val="22"/>
          <w:szCs w:val="22"/>
          <w:shd w:val="clear" w:color="auto" w:fill="FFFFFF"/>
          <w:lang w:eastAsia="en-US"/>
        </w:rPr>
        <w:t>Сухарева О. А. Подходы к управлению реализацией инв</w:t>
      </w:r>
      <w:r w:rsidRPr="006E4146">
        <w:rPr>
          <w:rFonts w:eastAsia="Calibri"/>
          <w:color w:val="000000"/>
          <w:sz w:val="22"/>
          <w:szCs w:val="22"/>
          <w:shd w:val="clear" w:color="auto" w:fill="FFFFFF"/>
          <w:lang w:eastAsia="en-US"/>
        </w:rPr>
        <w:t>е</w:t>
      </w:r>
      <w:r w:rsidRPr="006E4146">
        <w:rPr>
          <w:rFonts w:eastAsia="Calibri"/>
          <w:color w:val="000000"/>
          <w:sz w:val="22"/>
          <w:szCs w:val="22"/>
          <w:shd w:val="clear" w:color="auto" w:fill="FFFFFF"/>
          <w:lang w:eastAsia="en-US"/>
        </w:rPr>
        <w:t>стиционного проекта в условиях неопределенности внешней среды / О. А. Сухарева, К. М. Малинник // Проблемы и перспективы экон</w:t>
      </w:r>
      <w:r w:rsidRPr="006E4146">
        <w:rPr>
          <w:rFonts w:eastAsia="Calibri"/>
          <w:color w:val="000000"/>
          <w:sz w:val="22"/>
          <w:szCs w:val="22"/>
          <w:shd w:val="clear" w:color="auto" w:fill="FFFFFF"/>
          <w:lang w:eastAsia="en-US"/>
        </w:rPr>
        <w:t>о</w:t>
      </w:r>
      <w:r w:rsidRPr="006E4146">
        <w:rPr>
          <w:rFonts w:eastAsia="Calibri"/>
          <w:color w:val="000000"/>
          <w:sz w:val="22"/>
          <w:szCs w:val="22"/>
          <w:shd w:val="clear" w:color="auto" w:fill="FFFFFF"/>
          <w:lang w:eastAsia="en-US"/>
        </w:rPr>
        <w:t>мических отношений на пространстве ЕАЭС: сб. ст. Междунар. науч.-практ. конф.. – Уфа, 2017. – С. 136-141.</w:t>
      </w:r>
    </w:p>
    <w:p w:rsidR="00724342" w:rsidRPr="006E4146" w:rsidRDefault="00724342" w:rsidP="006E4146">
      <w:pPr>
        <w:ind w:firstLine="426"/>
        <w:jc w:val="both"/>
        <w:rPr>
          <w:rFonts w:eastAsia="Yu Mincho"/>
          <w:sz w:val="22"/>
          <w:szCs w:val="22"/>
          <w:lang w:eastAsia="en-US"/>
        </w:rPr>
      </w:pPr>
    </w:p>
    <w:p w:rsidR="006E4146" w:rsidRDefault="006E4146" w:rsidP="002043AB">
      <w:pPr>
        <w:rPr>
          <w:rFonts w:eastAsia="Yu Mincho"/>
          <w:sz w:val="22"/>
          <w:szCs w:val="22"/>
          <w:lang w:eastAsia="en-US"/>
        </w:rPr>
      </w:pPr>
    </w:p>
    <w:p w:rsidR="002A1EE0" w:rsidRPr="006E4146" w:rsidRDefault="002A1EE0" w:rsidP="002043AB">
      <w:pPr>
        <w:rPr>
          <w:rFonts w:eastAsia="Yu Mincho"/>
          <w:sz w:val="22"/>
          <w:szCs w:val="22"/>
          <w:lang w:eastAsia="en-US"/>
        </w:rPr>
      </w:pPr>
    </w:p>
    <w:p w:rsidR="00724342" w:rsidRPr="00724342" w:rsidRDefault="00724342" w:rsidP="00724342">
      <w:pPr>
        <w:jc w:val="both"/>
        <w:rPr>
          <w:rFonts w:eastAsiaTheme="minorHAnsi"/>
          <w:spacing w:val="-2"/>
          <w:sz w:val="22"/>
          <w:szCs w:val="22"/>
          <w:lang w:eastAsia="en-US"/>
        </w:rPr>
      </w:pPr>
      <w:r w:rsidRPr="00724342">
        <w:rPr>
          <w:rFonts w:eastAsiaTheme="minorHAnsi"/>
          <w:spacing w:val="-2"/>
          <w:sz w:val="22"/>
          <w:szCs w:val="22"/>
          <w:lang w:eastAsia="en-US"/>
        </w:rPr>
        <w:t>УДК 338.43:631</w:t>
      </w:r>
    </w:p>
    <w:p w:rsidR="00724342" w:rsidRPr="00724342" w:rsidRDefault="00724342" w:rsidP="00724342">
      <w:pPr>
        <w:jc w:val="both"/>
        <w:rPr>
          <w:rFonts w:eastAsiaTheme="minorHAnsi"/>
          <w:spacing w:val="-2"/>
          <w:sz w:val="20"/>
          <w:szCs w:val="22"/>
          <w:lang w:eastAsia="en-US"/>
        </w:rPr>
      </w:pPr>
    </w:p>
    <w:p w:rsidR="00724342" w:rsidRPr="00724342" w:rsidRDefault="00724342" w:rsidP="00724342">
      <w:pPr>
        <w:jc w:val="center"/>
        <w:rPr>
          <w:rFonts w:eastAsiaTheme="minorHAnsi"/>
          <w:b/>
          <w:spacing w:val="-2"/>
          <w:sz w:val="24"/>
          <w:szCs w:val="22"/>
          <w:lang w:eastAsia="en-US"/>
        </w:rPr>
      </w:pPr>
      <w:r w:rsidRPr="00724342">
        <w:rPr>
          <w:rFonts w:eastAsiaTheme="minorHAnsi"/>
          <w:b/>
          <w:spacing w:val="-2"/>
          <w:sz w:val="24"/>
          <w:szCs w:val="22"/>
          <w:lang w:eastAsia="en-US"/>
        </w:rPr>
        <w:t>Перспективы развития селекции и семеноводства</w:t>
      </w:r>
    </w:p>
    <w:p w:rsidR="00724342" w:rsidRPr="00724342" w:rsidRDefault="00724342" w:rsidP="00724342">
      <w:pPr>
        <w:jc w:val="center"/>
        <w:rPr>
          <w:rFonts w:eastAsiaTheme="minorHAnsi"/>
          <w:b/>
          <w:spacing w:val="-2"/>
          <w:sz w:val="24"/>
          <w:szCs w:val="22"/>
          <w:lang w:eastAsia="en-US"/>
        </w:rPr>
      </w:pPr>
      <w:r w:rsidRPr="00724342">
        <w:rPr>
          <w:rFonts w:eastAsiaTheme="minorHAnsi"/>
          <w:b/>
          <w:spacing w:val="-2"/>
          <w:sz w:val="24"/>
          <w:szCs w:val="22"/>
          <w:lang w:eastAsia="en-US"/>
        </w:rPr>
        <w:t>сельскохозяйственных культур в России</w:t>
      </w:r>
    </w:p>
    <w:p w:rsidR="00724342" w:rsidRPr="002043AB" w:rsidRDefault="00724342" w:rsidP="00724342">
      <w:pPr>
        <w:jc w:val="center"/>
        <w:rPr>
          <w:rFonts w:eastAsiaTheme="minorHAnsi"/>
          <w:b/>
          <w:spacing w:val="-2"/>
          <w:sz w:val="24"/>
          <w:szCs w:val="24"/>
          <w:lang w:val="en-US" w:eastAsia="en-US"/>
        </w:rPr>
      </w:pPr>
      <w:r w:rsidRPr="002043AB">
        <w:rPr>
          <w:rFonts w:eastAsiaTheme="minorHAnsi"/>
          <w:b/>
          <w:spacing w:val="-2"/>
          <w:sz w:val="24"/>
          <w:szCs w:val="24"/>
          <w:lang w:val="en-US" w:eastAsia="en-US"/>
        </w:rPr>
        <w:t xml:space="preserve">Prospects for the development of selection and seed </w:t>
      </w:r>
    </w:p>
    <w:p w:rsidR="00724342" w:rsidRPr="002043AB" w:rsidRDefault="00724342" w:rsidP="00724342">
      <w:pPr>
        <w:jc w:val="center"/>
        <w:rPr>
          <w:rFonts w:eastAsiaTheme="minorHAnsi"/>
          <w:b/>
          <w:spacing w:val="-2"/>
          <w:sz w:val="24"/>
          <w:szCs w:val="24"/>
          <w:lang w:val="en-US" w:eastAsia="en-US"/>
        </w:rPr>
      </w:pPr>
      <w:r w:rsidRPr="002043AB">
        <w:rPr>
          <w:rFonts w:eastAsiaTheme="minorHAnsi"/>
          <w:b/>
          <w:spacing w:val="-2"/>
          <w:sz w:val="24"/>
          <w:szCs w:val="24"/>
          <w:lang w:val="en-US" w:eastAsia="en-US"/>
        </w:rPr>
        <w:t>production of agricultural crops in Russia</w:t>
      </w:r>
    </w:p>
    <w:p w:rsidR="00724342" w:rsidRPr="00724342" w:rsidRDefault="00724342" w:rsidP="00724342">
      <w:pPr>
        <w:jc w:val="center"/>
        <w:rPr>
          <w:rFonts w:eastAsiaTheme="minorHAnsi"/>
          <w:spacing w:val="-2"/>
          <w:sz w:val="22"/>
          <w:szCs w:val="22"/>
          <w:highlight w:val="yellow"/>
          <w:lang w:val="en-US" w:eastAsia="en-US"/>
        </w:rPr>
      </w:pP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Калугина В.</w:t>
      </w:r>
      <w:r w:rsidRPr="00724342">
        <w:rPr>
          <w:rFonts w:eastAsiaTheme="minorHAnsi"/>
          <w:spacing w:val="-2"/>
          <w:sz w:val="22"/>
          <w:szCs w:val="22"/>
          <w:lang w:val="en-US" w:eastAsia="en-US"/>
        </w:rPr>
        <w:t> </w:t>
      </w:r>
      <w:r w:rsidRPr="00724342">
        <w:rPr>
          <w:rFonts w:eastAsiaTheme="minorHAnsi"/>
          <w:spacing w:val="-2"/>
          <w:sz w:val="22"/>
          <w:szCs w:val="22"/>
          <w:lang w:eastAsia="en-US"/>
        </w:rPr>
        <w:t xml:space="preserve">А.,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студентка 4 курса экономического факультета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Сайфетдинов А.</w:t>
      </w:r>
      <w:r w:rsidRPr="00724342">
        <w:rPr>
          <w:rFonts w:eastAsiaTheme="minorHAnsi"/>
          <w:spacing w:val="-2"/>
          <w:sz w:val="22"/>
          <w:szCs w:val="22"/>
          <w:lang w:val="en-US" w:eastAsia="en-US"/>
        </w:rPr>
        <w:t> </w:t>
      </w:r>
      <w:r w:rsidRPr="00724342">
        <w:rPr>
          <w:rFonts w:eastAsiaTheme="minorHAnsi"/>
          <w:spacing w:val="-2"/>
          <w:sz w:val="22"/>
          <w:szCs w:val="22"/>
          <w:lang w:eastAsia="en-US"/>
        </w:rPr>
        <w:t xml:space="preserve">Р.,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к. э. н., старший преподаватель </w:t>
      </w:r>
    </w:p>
    <w:p w:rsidR="006E4146"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кафедры организации производства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 и инновационной деятельности</w:t>
      </w:r>
    </w:p>
    <w:p w:rsidR="006E4146"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jc w:val="right"/>
        <w:rPr>
          <w:rFonts w:eastAsiaTheme="minorHAnsi"/>
          <w:spacing w:val="-2"/>
          <w:sz w:val="22"/>
          <w:szCs w:val="22"/>
          <w:highlight w:val="yellow"/>
          <w:lang w:eastAsia="en-US"/>
        </w:rPr>
      </w:pPr>
    </w:p>
    <w:p w:rsidR="00724342" w:rsidRPr="00724342" w:rsidRDefault="00724342" w:rsidP="006E4146">
      <w:pPr>
        <w:ind w:firstLine="426"/>
        <w:jc w:val="both"/>
        <w:rPr>
          <w:rFonts w:eastAsiaTheme="minorHAnsi"/>
          <w:spacing w:val="-4"/>
          <w:sz w:val="22"/>
          <w:szCs w:val="22"/>
          <w:lang w:eastAsia="en-US"/>
        </w:rPr>
      </w:pPr>
      <w:r w:rsidRPr="00724342">
        <w:rPr>
          <w:rFonts w:eastAsiaTheme="minorHAnsi"/>
          <w:caps/>
          <w:spacing w:val="-4"/>
          <w:sz w:val="22"/>
          <w:szCs w:val="22"/>
          <w:lang w:eastAsia="en-US"/>
        </w:rPr>
        <w:t>Аннотация:</w:t>
      </w:r>
      <w:r w:rsidRPr="00724342">
        <w:rPr>
          <w:rFonts w:eastAsiaTheme="minorHAnsi"/>
          <w:spacing w:val="-4"/>
          <w:sz w:val="22"/>
          <w:szCs w:val="22"/>
          <w:lang w:eastAsia="en-US"/>
        </w:rPr>
        <w:t xml:space="preserve"> Представлены результаты анализа внутреннего российского рынка семян сортов и гибридов сельскохозяйственных культур, показавшего критически высокую зависимость товаропрои</w:t>
      </w:r>
      <w:r w:rsidRPr="00724342">
        <w:rPr>
          <w:rFonts w:eastAsiaTheme="minorHAnsi"/>
          <w:spacing w:val="-4"/>
          <w:sz w:val="22"/>
          <w:szCs w:val="22"/>
          <w:lang w:eastAsia="en-US"/>
        </w:rPr>
        <w:t>з</w:t>
      </w:r>
      <w:r w:rsidRPr="00724342">
        <w:rPr>
          <w:rFonts w:eastAsiaTheme="minorHAnsi"/>
          <w:spacing w:val="-4"/>
          <w:sz w:val="22"/>
          <w:szCs w:val="22"/>
          <w:lang w:eastAsia="en-US"/>
        </w:rPr>
        <w:t xml:space="preserve">водителей от поставок импортного семенного материла. Выявлены факторы, сдерживающие процессы импортозамещения на рынке </w:t>
      </w:r>
      <w:r w:rsidRPr="00724342">
        <w:rPr>
          <w:rFonts w:eastAsiaTheme="minorHAnsi"/>
          <w:spacing w:val="-4"/>
          <w:sz w:val="22"/>
          <w:szCs w:val="22"/>
          <w:lang w:eastAsia="en-US"/>
        </w:rPr>
        <w:br/>
      </w:r>
      <w:r w:rsidRPr="00724342">
        <w:rPr>
          <w:rFonts w:eastAsiaTheme="minorHAnsi"/>
          <w:spacing w:val="-4"/>
          <w:sz w:val="22"/>
          <w:szCs w:val="22"/>
          <w:lang w:eastAsia="en-US"/>
        </w:rPr>
        <w:lastRenderedPageBreak/>
        <w:t>семян, включающие низкий уровень технико-технологического разв</w:t>
      </w:r>
      <w:r w:rsidRPr="00724342">
        <w:rPr>
          <w:rFonts w:eastAsiaTheme="minorHAnsi"/>
          <w:spacing w:val="-4"/>
          <w:sz w:val="22"/>
          <w:szCs w:val="22"/>
          <w:lang w:eastAsia="en-US"/>
        </w:rPr>
        <w:t>и</w:t>
      </w:r>
      <w:r w:rsidRPr="00724342">
        <w:rPr>
          <w:rFonts w:eastAsiaTheme="minorHAnsi"/>
          <w:spacing w:val="-4"/>
          <w:sz w:val="22"/>
          <w:szCs w:val="22"/>
          <w:lang w:eastAsia="en-US"/>
        </w:rPr>
        <w:t>тия селекционно-семеноводческих предприятий и комплексов, отсу</w:t>
      </w:r>
      <w:r w:rsidRPr="00724342">
        <w:rPr>
          <w:rFonts w:eastAsiaTheme="minorHAnsi"/>
          <w:spacing w:val="-4"/>
          <w:sz w:val="22"/>
          <w:szCs w:val="22"/>
          <w:lang w:eastAsia="en-US"/>
        </w:rPr>
        <w:t>т</w:t>
      </w:r>
      <w:r w:rsidRPr="00724342">
        <w:rPr>
          <w:rFonts w:eastAsiaTheme="minorHAnsi"/>
          <w:spacing w:val="-4"/>
          <w:sz w:val="22"/>
          <w:szCs w:val="22"/>
          <w:lang w:eastAsia="en-US"/>
        </w:rPr>
        <w:t>ствие эффективно функционирующих рыночных механизмов, спосо</w:t>
      </w:r>
      <w:r w:rsidRPr="00724342">
        <w:rPr>
          <w:rFonts w:eastAsiaTheme="minorHAnsi"/>
          <w:spacing w:val="-4"/>
          <w:sz w:val="22"/>
          <w:szCs w:val="22"/>
          <w:lang w:eastAsia="en-US"/>
        </w:rPr>
        <w:t>б</w:t>
      </w:r>
      <w:r w:rsidRPr="00724342">
        <w:rPr>
          <w:rFonts w:eastAsiaTheme="minorHAnsi"/>
          <w:spacing w:val="-4"/>
          <w:sz w:val="22"/>
          <w:szCs w:val="22"/>
          <w:lang w:eastAsia="en-US"/>
        </w:rPr>
        <w:t>ствующих продвижению российских гибридов высоких репродукций в производство, недостаточность государственной поддержки.</w:t>
      </w:r>
    </w:p>
    <w:p w:rsidR="00724342" w:rsidRPr="00724342" w:rsidRDefault="00724342" w:rsidP="006E4146">
      <w:pPr>
        <w:ind w:firstLine="426"/>
        <w:jc w:val="both"/>
        <w:rPr>
          <w:rFonts w:eastAsiaTheme="minorHAnsi"/>
          <w:spacing w:val="-4"/>
          <w:sz w:val="22"/>
          <w:szCs w:val="22"/>
          <w:lang w:val="en-US" w:eastAsia="en-US"/>
        </w:rPr>
      </w:pPr>
      <w:r w:rsidRPr="00724342">
        <w:rPr>
          <w:rFonts w:eastAsia="Courier New"/>
          <w:color w:val="000000"/>
          <w:sz w:val="22"/>
          <w:szCs w:val="22"/>
          <w:lang w:val="en-US" w:eastAsia="en-US"/>
        </w:rPr>
        <w:t>ABSTRACT:</w:t>
      </w:r>
      <w:r w:rsidRPr="00724342">
        <w:rPr>
          <w:rFonts w:ascii="Courier New" w:eastAsia="Courier New" w:hAnsi="Courier New" w:cs="Courier New"/>
          <w:color w:val="000000"/>
          <w:sz w:val="22"/>
          <w:szCs w:val="22"/>
          <w:shd w:val="clear" w:color="auto" w:fill="FFFFFF"/>
          <w:lang w:val="en-US" w:eastAsia="en-US"/>
        </w:rPr>
        <w:t xml:space="preserve"> </w:t>
      </w:r>
      <w:r w:rsidRPr="00724342">
        <w:rPr>
          <w:rFonts w:eastAsiaTheme="minorHAnsi"/>
          <w:spacing w:val="-4"/>
          <w:sz w:val="22"/>
          <w:szCs w:val="22"/>
          <w:lang w:val="en-US" w:eastAsia="en-US"/>
        </w:rPr>
        <w:t>The article contains the results of an analysis of the domestic Russian market of seeds of varieties and hybrids of crops, which showed a critically high dependence of commodity producers on the supply of imported seed material. The authors have identified the factors that inhibit the processes of import substitution in the seed market, including a low level of technical and technological development of breeding and seed enterprises and complexes, the lack of effectively functioning market mechanisms that promote the promotion of Russian hybrids of high reproductions in produ</w:t>
      </w:r>
      <w:r w:rsidRPr="00724342">
        <w:rPr>
          <w:rFonts w:eastAsiaTheme="minorHAnsi"/>
          <w:spacing w:val="-4"/>
          <w:sz w:val="22"/>
          <w:szCs w:val="22"/>
          <w:lang w:val="en-US" w:eastAsia="en-US"/>
        </w:rPr>
        <w:t>c</w:t>
      </w:r>
      <w:r w:rsidRPr="00724342">
        <w:rPr>
          <w:rFonts w:eastAsiaTheme="minorHAnsi"/>
          <w:spacing w:val="-4"/>
          <w:sz w:val="22"/>
          <w:szCs w:val="22"/>
          <w:lang w:val="en-US" w:eastAsia="en-US"/>
        </w:rPr>
        <w:t>tion, and inadequate state support.</w:t>
      </w:r>
    </w:p>
    <w:p w:rsidR="00724342" w:rsidRPr="00724342" w:rsidRDefault="00724342" w:rsidP="006E4146">
      <w:pPr>
        <w:ind w:firstLine="426"/>
        <w:jc w:val="both"/>
        <w:rPr>
          <w:rFonts w:eastAsiaTheme="minorHAnsi"/>
          <w:spacing w:val="-4"/>
          <w:sz w:val="22"/>
          <w:szCs w:val="22"/>
          <w:lang w:eastAsia="en-US"/>
        </w:rPr>
      </w:pPr>
      <w:r w:rsidRPr="00724342">
        <w:rPr>
          <w:rFonts w:eastAsiaTheme="minorHAnsi"/>
          <w:caps/>
          <w:spacing w:val="-4"/>
          <w:sz w:val="22"/>
          <w:szCs w:val="22"/>
          <w:lang w:eastAsia="en-US"/>
        </w:rPr>
        <w:t>Ключевые слова:</w:t>
      </w:r>
      <w:r w:rsidRPr="00724342">
        <w:rPr>
          <w:rFonts w:eastAsiaTheme="minorHAnsi"/>
          <w:spacing w:val="-4"/>
          <w:sz w:val="22"/>
          <w:szCs w:val="22"/>
          <w:lang w:eastAsia="en-US"/>
        </w:rPr>
        <w:t xml:space="preserve"> импортозамещение, селекция и семен</w:t>
      </w:r>
      <w:r w:rsidRPr="00724342">
        <w:rPr>
          <w:rFonts w:eastAsiaTheme="minorHAnsi"/>
          <w:spacing w:val="-4"/>
          <w:sz w:val="22"/>
          <w:szCs w:val="22"/>
          <w:lang w:eastAsia="en-US"/>
        </w:rPr>
        <w:t>о</w:t>
      </w:r>
      <w:r w:rsidRPr="00724342">
        <w:rPr>
          <w:rFonts w:eastAsiaTheme="minorHAnsi"/>
          <w:spacing w:val="-4"/>
          <w:sz w:val="22"/>
          <w:szCs w:val="22"/>
          <w:lang w:eastAsia="en-US"/>
        </w:rPr>
        <w:t>водство, рынок семян, инвестиции, государственная поддержка.</w:t>
      </w:r>
    </w:p>
    <w:p w:rsidR="00724342" w:rsidRPr="00724342" w:rsidRDefault="00724342" w:rsidP="006E4146">
      <w:pPr>
        <w:ind w:firstLine="426"/>
        <w:jc w:val="both"/>
        <w:rPr>
          <w:rFonts w:eastAsiaTheme="minorHAnsi"/>
          <w:spacing w:val="-2"/>
          <w:sz w:val="20"/>
          <w:szCs w:val="22"/>
          <w:highlight w:val="yellow"/>
          <w:lang w:val="en-US" w:eastAsia="en-US"/>
        </w:rPr>
      </w:pPr>
      <w:r w:rsidRPr="00724342">
        <w:rPr>
          <w:rFonts w:eastAsiaTheme="minorHAnsi"/>
          <w:caps/>
          <w:spacing w:val="-4"/>
          <w:sz w:val="22"/>
          <w:szCs w:val="22"/>
          <w:lang w:val="en-US" w:eastAsia="en-US"/>
        </w:rPr>
        <w:t xml:space="preserve">KEYWORDS: </w:t>
      </w:r>
      <w:r w:rsidRPr="00724342">
        <w:rPr>
          <w:rFonts w:eastAsiaTheme="minorHAnsi"/>
          <w:spacing w:val="-4"/>
          <w:sz w:val="22"/>
          <w:szCs w:val="22"/>
          <w:lang w:val="en-US" w:eastAsia="en-US"/>
        </w:rPr>
        <w:t>import</w:t>
      </w:r>
      <w:r w:rsidRPr="00724342">
        <w:rPr>
          <w:sz w:val="22"/>
          <w:szCs w:val="20"/>
          <w:lang w:val="en-US"/>
        </w:rPr>
        <w:t xml:space="preserve"> substitution, selection and seed production, seed market, investments, state support.</w:t>
      </w:r>
    </w:p>
    <w:p w:rsidR="00724342" w:rsidRPr="00724342" w:rsidRDefault="00724342" w:rsidP="006E4146">
      <w:pPr>
        <w:ind w:firstLine="426"/>
        <w:jc w:val="both"/>
        <w:rPr>
          <w:rFonts w:eastAsiaTheme="minorHAnsi"/>
          <w:spacing w:val="-2"/>
          <w:sz w:val="20"/>
          <w:szCs w:val="22"/>
          <w:highlight w:val="yellow"/>
          <w:lang w:val="en-US" w:eastAsia="en-US"/>
        </w:rPr>
      </w:pPr>
    </w:p>
    <w:p w:rsidR="00724342" w:rsidRPr="00724342" w:rsidRDefault="00724342" w:rsidP="006E4146">
      <w:pPr>
        <w:ind w:firstLine="426"/>
        <w:jc w:val="both"/>
        <w:rPr>
          <w:rFonts w:eastAsiaTheme="minorHAnsi"/>
          <w:color w:val="000000"/>
          <w:sz w:val="22"/>
          <w:lang w:eastAsia="en-US"/>
        </w:rPr>
      </w:pPr>
      <w:r w:rsidRPr="00724342">
        <w:rPr>
          <w:rFonts w:eastAsiaTheme="minorHAnsi"/>
          <w:color w:val="000000"/>
          <w:sz w:val="22"/>
          <w:lang w:eastAsia="en-US"/>
        </w:rPr>
        <w:t>В последние годы отечественное сельское хозяйство демо</w:t>
      </w:r>
      <w:r w:rsidRPr="00724342">
        <w:rPr>
          <w:rFonts w:eastAsiaTheme="minorHAnsi"/>
          <w:color w:val="000000"/>
          <w:sz w:val="22"/>
          <w:lang w:eastAsia="en-US"/>
        </w:rPr>
        <w:t>н</w:t>
      </w:r>
      <w:r w:rsidRPr="00724342">
        <w:rPr>
          <w:rFonts w:eastAsiaTheme="minorHAnsi"/>
          <w:color w:val="000000"/>
          <w:sz w:val="22"/>
          <w:lang w:eastAsia="en-US"/>
        </w:rPr>
        <w:t>стрирует значительные результаты импортозамещения сельскох</w:t>
      </w:r>
      <w:r w:rsidRPr="00724342">
        <w:rPr>
          <w:rFonts w:eastAsiaTheme="minorHAnsi"/>
          <w:color w:val="000000"/>
          <w:sz w:val="22"/>
          <w:lang w:eastAsia="en-US"/>
        </w:rPr>
        <w:t>о</w:t>
      </w:r>
      <w:r w:rsidRPr="00724342">
        <w:rPr>
          <w:rFonts w:eastAsiaTheme="minorHAnsi"/>
          <w:color w:val="000000"/>
          <w:sz w:val="22"/>
          <w:lang w:eastAsia="en-US"/>
        </w:rPr>
        <w:t>зяйственного сырья и продовольствия. Вместе с тем практически не решаются проблемы критической зависимости товаропроизводит</w:t>
      </w:r>
      <w:r w:rsidRPr="00724342">
        <w:rPr>
          <w:rFonts w:eastAsiaTheme="minorHAnsi"/>
          <w:color w:val="000000"/>
          <w:sz w:val="22"/>
          <w:lang w:eastAsia="en-US"/>
        </w:rPr>
        <w:t>е</w:t>
      </w:r>
      <w:r w:rsidRPr="00724342">
        <w:rPr>
          <w:rFonts w:eastAsiaTheme="minorHAnsi"/>
          <w:color w:val="000000"/>
          <w:sz w:val="22"/>
          <w:lang w:eastAsia="en-US"/>
        </w:rPr>
        <w:t>лей от импортных отраслевых зоо- и агротехнологий, средств и предметов труда [1, 2]. Так, доля импортного семенного материала на внутреннем рынке этого производственного ресурса по отдел</w:t>
      </w:r>
      <w:r w:rsidRPr="00724342">
        <w:rPr>
          <w:rFonts w:eastAsiaTheme="minorHAnsi"/>
          <w:color w:val="000000"/>
          <w:sz w:val="22"/>
          <w:lang w:eastAsia="en-US"/>
        </w:rPr>
        <w:t>ь</w:t>
      </w:r>
      <w:r w:rsidRPr="00724342">
        <w:rPr>
          <w:rFonts w:eastAsiaTheme="minorHAnsi"/>
          <w:color w:val="000000"/>
          <w:sz w:val="22"/>
          <w:lang w:eastAsia="en-US"/>
        </w:rPr>
        <w:t>ным сельскохозяйственным культурам превышает 90 %, что являе</w:t>
      </w:r>
      <w:r w:rsidRPr="00724342">
        <w:rPr>
          <w:rFonts w:eastAsiaTheme="minorHAnsi"/>
          <w:color w:val="000000"/>
          <w:sz w:val="22"/>
          <w:lang w:eastAsia="en-US"/>
        </w:rPr>
        <w:t>т</w:t>
      </w:r>
      <w:r w:rsidRPr="00724342">
        <w:rPr>
          <w:rFonts w:eastAsiaTheme="minorHAnsi"/>
          <w:color w:val="000000"/>
          <w:sz w:val="22"/>
          <w:lang w:eastAsia="en-US"/>
        </w:rPr>
        <w:t>ся серьезной угрозой продовольственной безопасности страны.</w:t>
      </w:r>
    </w:p>
    <w:p w:rsidR="00724342" w:rsidRPr="00724342" w:rsidRDefault="00724342" w:rsidP="006E4146">
      <w:pPr>
        <w:ind w:firstLine="426"/>
        <w:jc w:val="both"/>
        <w:rPr>
          <w:rFonts w:eastAsiaTheme="minorHAnsi"/>
          <w:color w:val="000000"/>
          <w:spacing w:val="2"/>
          <w:sz w:val="22"/>
          <w:lang w:eastAsia="en-US"/>
        </w:rPr>
      </w:pPr>
      <w:r w:rsidRPr="00724342">
        <w:rPr>
          <w:rFonts w:eastAsiaTheme="minorHAnsi"/>
          <w:color w:val="000000"/>
          <w:spacing w:val="-4"/>
          <w:sz w:val="22"/>
          <w:lang w:eastAsia="en-US"/>
        </w:rPr>
        <w:t>Например, доля посевов кукурузы с использованием импортного семенного материала в общей площади посевов этой культуры в сел</w:t>
      </w:r>
      <w:r w:rsidRPr="00724342">
        <w:rPr>
          <w:rFonts w:eastAsiaTheme="minorHAnsi"/>
          <w:color w:val="000000"/>
          <w:spacing w:val="-4"/>
          <w:sz w:val="22"/>
          <w:lang w:eastAsia="en-US"/>
        </w:rPr>
        <w:t>ь</w:t>
      </w:r>
      <w:r w:rsidRPr="00724342">
        <w:rPr>
          <w:rFonts w:eastAsiaTheme="minorHAnsi"/>
          <w:color w:val="000000"/>
          <w:spacing w:val="-4"/>
          <w:sz w:val="22"/>
          <w:lang w:eastAsia="en-US"/>
        </w:rPr>
        <w:t>скохозяйственных организациях и фермерских хозяйствах страны с</w:t>
      </w:r>
      <w:r w:rsidRPr="00724342">
        <w:rPr>
          <w:rFonts w:eastAsiaTheme="minorHAnsi"/>
          <w:color w:val="000000"/>
          <w:spacing w:val="-4"/>
          <w:sz w:val="22"/>
          <w:lang w:eastAsia="en-US"/>
        </w:rPr>
        <w:t>о</w:t>
      </w:r>
      <w:r w:rsidRPr="00724342">
        <w:rPr>
          <w:rFonts w:eastAsiaTheme="minorHAnsi"/>
          <w:color w:val="000000"/>
          <w:spacing w:val="-4"/>
          <w:sz w:val="22"/>
          <w:lang w:eastAsia="en-US"/>
        </w:rPr>
        <w:t>ставляет около 45 %, а стоимость ежегодного объема импорта семян ее гибридов в Россию превышает 130 млн долл. Это подчеркивает ва</w:t>
      </w:r>
      <w:r w:rsidRPr="00724342">
        <w:rPr>
          <w:rFonts w:eastAsiaTheme="minorHAnsi"/>
          <w:color w:val="000000"/>
          <w:spacing w:val="-4"/>
          <w:sz w:val="22"/>
          <w:lang w:eastAsia="en-US"/>
        </w:rPr>
        <w:t>ж</w:t>
      </w:r>
      <w:r w:rsidRPr="00724342">
        <w:rPr>
          <w:rFonts w:eastAsiaTheme="minorHAnsi"/>
          <w:color w:val="000000"/>
          <w:spacing w:val="-4"/>
          <w:sz w:val="22"/>
          <w:lang w:eastAsia="en-US"/>
        </w:rPr>
        <w:t>ность скорейшего развития отечественной селекции и семеноводства кукурузы с применением передовых форм организации производства и других достижений научно-технического прогресса в подотрасли.</w:t>
      </w:r>
    </w:p>
    <w:p w:rsidR="00724342" w:rsidRPr="00724342" w:rsidRDefault="00724342" w:rsidP="006E4146">
      <w:pPr>
        <w:ind w:firstLine="426"/>
        <w:jc w:val="both"/>
        <w:rPr>
          <w:rFonts w:eastAsiaTheme="minorHAnsi"/>
          <w:color w:val="000000"/>
          <w:spacing w:val="2"/>
          <w:sz w:val="22"/>
          <w:lang w:eastAsia="en-US"/>
        </w:rPr>
      </w:pPr>
      <w:r w:rsidRPr="00724342">
        <w:rPr>
          <w:rFonts w:eastAsiaTheme="minorHAnsi"/>
          <w:color w:val="000000"/>
          <w:spacing w:val="-2"/>
          <w:sz w:val="22"/>
          <w:lang w:eastAsia="en-US"/>
        </w:rPr>
        <w:t>Быстрому наращению объемов отечественного производства с</w:t>
      </w:r>
      <w:r w:rsidRPr="00724342">
        <w:rPr>
          <w:rFonts w:eastAsiaTheme="minorHAnsi"/>
          <w:color w:val="000000"/>
          <w:spacing w:val="-2"/>
          <w:sz w:val="22"/>
          <w:lang w:eastAsia="en-US"/>
        </w:rPr>
        <w:t>е</w:t>
      </w:r>
      <w:r w:rsidRPr="00724342">
        <w:rPr>
          <w:rFonts w:eastAsiaTheme="minorHAnsi"/>
          <w:color w:val="000000"/>
          <w:spacing w:val="-2"/>
          <w:sz w:val="22"/>
          <w:lang w:eastAsia="en-US"/>
        </w:rPr>
        <w:t>мян гибридов кукурузы препятствует, прежде всего, отсутствие э</w:t>
      </w:r>
      <w:r w:rsidRPr="00724342">
        <w:rPr>
          <w:rFonts w:eastAsiaTheme="minorHAnsi"/>
          <w:color w:val="000000"/>
          <w:spacing w:val="-2"/>
          <w:sz w:val="22"/>
          <w:lang w:eastAsia="en-US"/>
        </w:rPr>
        <w:t>ф</w:t>
      </w:r>
      <w:r w:rsidRPr="00724342">
        <w:rPr>
          <w:rFonts w:eastAsiaTheme="minorHAnsi"/>
          <w:color w:val="000000"/>
          <w:spacing w:val="-2"/>
          <w:sz w:val="22"/>
          <w:lang w:eastAsia="en-US"/>
        </w:rPr>
        <w:lastRenderedPageBreak/>
        <w:t>фективных экономических механизмов взаимодействия селекцио</w:t>
      </w:r>
      <w:r w:rsidRPr="00724342">
        <w:rPr>
          <w:rFonts w:eastAsiaTheme="minorHAnsi"/>
          <w:color w:val="000000"/>
          <w:spacing w:val="-2"/>
          <w:sz w:val="22"/>
          <w:lang w:eastAsia="en-US"/>
        </w:rPr>
        <w:t>н</w:t>
      </w:r>
      <w:r w:rsidRPr="00724342">
        <w:rPr>
          <w:rFonts w:eastAsiaTheme="minorHAnsi"/>
          <w:color w:val="000000"/>
          <w:spacing w:val="-2"/>
          <w:sz w:val="22"/>
          <w:lang w:eastAsia="en-US"/>
        </w:rPr>
        <w:t>ных научных учреждений, семеноводческих и растениеводческих организаций, адаптированных к особенностям региональных систем ведения агропромышленного производства, критически высокий уровень физического и морального износа основных средств в под</w:t>
      </w:r>
      <w:r w:rsidRPr="00724342">
        <w:rPr>
          <w:rFonts w:eastAsiaTheme="minorHAnsi"/>
          <w:color w:val="000000"/>
          <w:spacing w:val="-2"/>
          <w:sz w:val="22"/>
          <w:lang w:eastAsia="en-US"/>
        </w:rPr>
        <w:t>о</w:t>
      </w:r>
      <w:r w:rsidRPr="00724342">
        <w:rPr>
          <w:rFonts w:eastAsiaTheme="minorHAnsi"/>
          <w:color w:val="000000"/>
          <w:spacing w:val="-2"/>
          <w:sz w:val="22"/>
          <w:lang w:eastAsia="en-US"/>
        </w:rPr>
        <w:t>трасли и неразвитость внутренних рынков семенной продукции.</w:t>
      </w:r>
    </w:p>
    <w:p w:rsidR="00724342" w:rsidRPr="00724342" w:rsidRDefault="00724342" w:rsidP="006E4146">
      <w:pPr>
        <w:ind w:firstLine="426"/>
        <w:jc w:val="both"/>
        <w:rPr>
          <w:rFonts w:eastAsiaTheme="minorHAnsi"/>
          <w:color w:val="000000"/>
          <w:spacing w:val="2"/>
          <w:sz w:val="22"/>
          <w:lang w:eastAsia="en-US"/>
        </w:rPr>
      </w:pPr>
      <w:r w:rsidRPr="00724342">
        <w:rPr>
          <w:rFonts w:eastAsiaTheme="minorHAnsi"/>
          <w:color w:val="000000"/>
          <w:spacing w:val="2"/>
          <w:sz w:val="22"/>
          <w:lang w:eastAsia="en-US"/>
        </w:rPr>
        <w:t>При разработке стратегий и программ развития отечественной селекции и семеноводства, а также отдельных хозяйствующих субъектов в подотрасли необходимо учитывать положительный зарубежный опыт организации крупных селекционно-семеноводческих компаний с единым полным циклом произво</w:t>
      </w:r>
      <w:r w:rsidRPr="00724342">
        <w:rPr>
          <w:rFonts w:eastAsiaTheme="minorHAnsi"/>
          <w:color w:val="000000"/>
          <w:spacing w:val="2"/>
          <w:sz w:val="22"/>
          <w:lang w:eastAsia="en-US"/>
        </w:rPr>
        <w:t>д</w:t>
      </w:r>
      <w:r w:rsidRPr="00724342">
        <w:rPr>
          <w:rFonts w:eastAsiaTheme="minorHAnsi"/>
          <w:color w:val="000000"/>
          <w:spacing w:val="2"/>
          <w:sz w:val="22"/>
          <w:lang w:eastAsia="en-US"/>
        </w:rPr>
        <w:t>ства, включающим селекцию, семеноводство, подготовку и реал</w:t>
      </w:r>
      <w:r w:rsidRPr="00724342">
        <w:rPr>
          <w:rFonts w:eastAsiaTheme="minorHAnsi"/>
          <w:color w:val="000000"/>
          <w:spacing w:val="2"/>
          <w:sz w:val="22"/>
          <w:lang w:eastAsia="en-US"/>
        </w:rPr>
        <w:t>и</w:t>
      </w:r>
      <w:r w:rsidRPr="00724342">
        <w:rPr>
          <w:rFonts w:eastAsiaTheme="minorHAnsi"/>
          <w:color w:val="000000"/>
          <w:spacing w:val="2"/>
          <w:sz w:val="22"/>
          <w:lang w:eastAsia="en-US"/>
        </w:rPr>
        <w:t>зацию конечной семенной продукции с активным использованием разнообразных маркетинговых приемов продаж предприятиям, осуществляющим производство продукции растениеводства.</w:t>
      </w:r>
    </w:p>
    <w:p w:rsidR="00724342" w:rsidRPr="00724342" w:rsidRDefault="00724342" w:rsidP="006E4146">
      <w:pPr>
        <w:ind w:firstLine="426"/>
        <w:jc w:val="both"/>
        <w:rPr>
          <w:rFonts w:eastAsiaTheme="minorHAnsi"/>
          <w:color w:val="000000"/>
          <w:spacing w:val="-2"/>
          <w:sz w:val="22"/>
          <w:lang w:eastAsia="en-US"/>
        </w:rPr>
      </w:pPr>
      <w:r w:rsidRPr="00724342">
        <w:rPr>
          <w:rFonts w:eastAsiaTheme="minorHAnsi"/>
          <w:color w:val="000000"/>
          <w:spacing w:val="-2"/>
          <w:sz w:val="22"/>
          <w:lang w:eastAsia="en-US"/>
        </w:rPr>
        <w:t>В настоящее время в России инновационное высокотехнологи</w:t>
      </w:r>
      <w:r w:rsidRPr="00724342">
        <w:rPr>
          <w:rFonts w:eastAsiaTheme="minorHAnsi"/>
          <w:color w:val="000000"/>
          <w:spacing w:val="-2"/>
          <w:sz w:val="22"/>
          <w:lang w:eastAsia="en-US"/>
        </w:rPr>
        <w:t>ч</w:t>
      </w:r>
      <w:r w:rsidRPr="00724342">
        <w:rPr>
          <w:rFonts w:eastAsiaTheme="minorHAnsi"/>
          <w:color w:val="000000"/>
          <w:spacing w:val="-2"/>
          <w:sz w:val="22"/>
          <w:lang w:eastAsia="en-US"/>
        </w:rPr>
        <w:t>ное оборудование для оснащения кукурузокалибровочных заводов не производится, поэтому строительство современных селекционно-семеноводческих центров кукурузы возможно только на базе испол</w:t>
      </w:r>
      <w:r w:rsidRPr="00724342">
        <w:rPr>
          <w:rFonts w:eastAsiaTheme="minorHAnsi"/>
          <w:color w:val="000000"/>
          <w:spacing w:val="-2"/>
          <w:sz w:val="22"/>
          <w:lang w:eastAsia="en-US"/>
        </w:rPr>
        <w:t>ь</w:t>
      </w:r>
      <w:r w:rsidRPr="00724342">
        <w:rPr>
          <w:rFonts w:eastAsiaTheme="minorHAnsi"/>
          <w:color w:val="000000"/>
          <w:spacing w:val="-2"/>
          <w:sz w:val="22"/>
          <w:lang w:eastAsia="en-US"/>
        </w:rPr>
        <w:t>зования импортных технологий и технических средств автоматиз</w:t>
      </w:r>
      <w:r w:rsidRPr="00724342">
        <w:rPr>
          <w:rFonts w:eastAsiaTheme="minorHAnsi"/>
          <w:color w:val="000000"/>
          <w:spacing w:val="-2"/>
          <w:sz w:val="22"/>
          <w:lang w:eastAsia="en-US"/>
        </w:rPr>
        <w:t>а</w:t>
      </w:r>
      <w:r w:rsidRPr="00724342">
        <w:rPr>
          <w:rFonts w:eastAsiaTheme="minorHAnsi"/>
          <w:color w:val="000000"/>
          <w:spacing w:val="-2"/>
          <w:sz w:val="22"/>
          <w:lang w:eastAsia="en-US"/>
        </w:rPr>
        <w:t>ции и механизации производственных процессов с высокими зак</w:t>
      </w:r>
      <w:r w:rsidRPr="00724342">
        <w:rPr>
          <w:rFonts w:eastAsiaTheme="minorHAnsi"/>
          <w:color w:val="000000"/>
          <w:spacing w:val="-2"/>
          <w:sz w:val="22"/>
          <w:lang w:eastAsia="en-US"/>
        </w:rPr>
        <w:t>у</w:t>
      </w:r>
      <w:r w:rsidRPr="00724342">
        <w:rPr>
          <w:rFonts w:eastAsiaTheme="minorHAnsi"/>
          <w:color w:val="000000"/>
          <w:spacing w:val="-2"/>
          <w:sz w:val="22"/>
          <w:lang w:eastAsia="en-US"/>
        </w:rPr>
        <w:t>почными ценами. Финансирование таких инновационно-инвестиционных проектов осложнено тяжелым финансовым пол</w:t>
      </w:r>
      <w:r w:rsidRPr="00724342">
        <w:rPr>
          <w:rFonts w:eastAsiaTheme="minorHAnsi"/>
          <w:color w:val="000000"/>
          <w:spacing w:val="-2"/>
          <w:sz w:val="22"/>
          <w:lang w:eastAsia="en-US"/>
        </w:rPr>
        <w:t>о</w:t>
      </w:r>
      <w:r w:rsidRPr="00724342">
        <w:rPr>
          <w:rFonts w:eastAsiaTheme="minorHAnsi"/>
          <w:color w:val="000000"/>
          <w:spacing w:val="-2"/>
          <w:sz w:val="22"/>
          <w:lang w:eastAsia="en-US"/>
        </w:rPr>
        <w:t>жением большинства сельскохозяйственных товаропроизводителей и неразвитостью рынка сельскохозяйственного кредитования [3, 4, 5].</w:t>
      </w:r>
    </w:p>
    <w:p w:rsidR="00724342" w:rsidRPr="00724342" w:rsidRDefault="00724342" w:rsidP="006E4146">
      <w:pPr>
        <w:ind w:firstLine="426"/>
        <w:jc w:val="both"/>
        <w:rPr>
          <w:rFonts w:eastAsiaTheme="minorHAnsi"/>
          <w:color w:val="000000"/>
          <w:sz w:val="22"/>
          <w:lang w:eastAsia="en-US"/>
        </w:rPr>
      </w:pPr>
      <w:r w:rsidRPr="00724342">
        <w:rPr>
          <w:rFonts w:eastAsiaTheme="minorHAnsi"/>
          <w:color w:val="000000"/>
          <w:sz w:val="22"/>
          <w:lang w:eastAsia="en-US"/>
        </w:rPr>
        <w:t>Важным условием повышения инвестиционной привлекател</w:t>
      </w:r>
      <w:r w:rsidRPr="00724342">
        <w:rPr>
          <w:rFonts w:eastAsiaTheme="minorHAnsi"/>
          <w:color w:val="000000"/>
          <w:sz w:val="22"/>
          <w:lang w:eastAsia="en-US"/>
        </w:rPr>
        <w:t>ь</w:t>
      </w:r>
      <w:r w:rsidRPr="00724342">
        <w:rPr>
          <w:rFonts w:eastAsiaTheme="minorHAnsi"/>
          <w:color w:val="000000"/>
          <w:sz w:val="22"/>
          <w:lang w:eastAsia="en-US"/>
        </w:rPr>
        <w:t>ности отечественной подотрасли семеноводства является кратное повышение объемов государственной поддержки селекционеров и производителей семян сельскохозяйственных культур, соверше</w:t>
      </w:r>
      <w:r w:rsidRPr="00724342">
        <w:rPr>
          <w:rFonts w:eastAsiaTheme="minorHAnsi"/>
          <w:color w:val="000000"/>
          <w:sz w:val="22"/>
          <w:lang w:eastAsia="en-US"/>
        </w:rPr>
        <w:t>н</w:t>
      </w:r>
      <w:r w:rsidRPr="00724342">
        <w:rPr>
          <w:rFonts w:eastAsiaTheme="minorHAnsi"/>
          <w:color w:val="000000"/>
          <w:sz w:val="22"/>
          <w:lang w:eastAsia="en-US"/>
        </w:rPr>
        <w:t>ствование ее направлений, форм и адресности.</w:t>
      </w:r>
    </w:p>
    <w:p w:rsidR="00724342" w:rsidRPr="00724342" w:rsidRDefault="00724342" w:rsidP="006E4146">
      <w:pPr>
        <w:ind w:firstLine="426"/>
        <w:jc w:val="both"/>
        <w:rPr>
          <w:rFonts w:eastAsiaTheme="minorHAnsi"/>
          <w:color w:val="000000"/>
          <w:spacing w:val="2"/>
          <w:sz w:val="22"/>
          <w:lang w:eastAsia="en-US"/>
        </w:rPr>
      </w:pPr>
    </w:p>
    <w:p w:rsidR="00724342" w:rsidRPr="00724342" w:rsidRDefault="00724342" w:rsidP="006E4146">
      <w:pPr>
        <w:ind w:firstLine="426"/>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1. Бершицкий Ю. И. Теоретико-методические аспекты иннов</w:t>
      </w:r>
      <w:r w:rsidRPr="00724342">
        <w:rPr>
          <w:rFonts w:eastAsiaTheme="minorHAnsi"/>
          <w:sz w:val="22"/>
          <w:szCs w:val="22"/>
          <w:lang w:eastAsia="en-US"/>
        </w:rPr>
        <w:t>а</w:t>
      </w:r>
      <w:r w:rsidRPr="00724342">
        <w:rPr>
          <w:rFonts w:eastAsiaTheme="minorHAnsi"/>
          <w:sz w:val="22"/>
          <w:szCs w:val="22"/>
          <w:lang w:eastAsia="en-US"/>
        </w:rPr>
        <w:t>ционного развития агроэкономики / Ю. И. Бершицкий, Н. Р. Сайфетдинова, А. Р. Сайфетдинов // сборник «Российская эк</w:t>
      </w:r>
      <w:r w:rsidRPr="00724342">
        <w:rPr>
          <w:rFonts w:eastAsiaTheme="minorHAnsi"/>
          <w:sz w:val="22"/>
          <w:szCs w:val="22"/>
          <w:lang w:eastAsia="en-US"/>
        </w:rPr>
        <w:t>о</w:t>
      </w:r>
      <w:r w:rsidRPr="00724342">
        <w:rPr>
          <w:rFonts w:eastAsiaTheme="minorHAnsi"/>
          <w:sz w:val="22"/>
          <w:szCs w:val="22"/>
          <w:lang w:eastAsia="en-US"/>
        </w:rPr>
        <w:t>номическая модель – 7: от стагнации к развитию. – Краснодар, 2017, с. 288–304.</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lastRenderedPageBreak/>
        <w:t>2. Сайфетдинов А. Р. Современное состояние производства с</w:t>
      </w:r>
      <w:r w:rsidRPr="00724342">
        <w:rPr>
          <w:rFonts w:eastAsiaTheme="minorHAnsi"/>
          <w:sz w:val="22"/>
          <w:szCs w:val="22"/>
          <w:lang w:eastAsia="en-US"/>
        </w:rPr>
        <w:t>е</w:t>
      </w:r>
      <w:r w:rsidRPr="00724342">
        <w:rPr>
          <w:rFonts w:eastAsiaTheme="minorHAnsi"/>
          <w:sz w:val="22"/>
          <w:szCs w:val="22"/>
          <w:lang w:eastAsia="en-US"/>
        </w:rPr>
        <w:t>мян сортов и гибридов сельскохозяйственных культур в России / А. Р. Сайфетдинов, В. А. Калугина // Сб. ст.Междунар. науч.-практ. конф. «Наука в современном обществе: закономерности и тенде</w:t>
      </w:r>
      <w:r w:rsidRPr="00724342">
        <w:rPr>
          <w:rFonts w:eastAsiaTheme="minorHAnsi"/>
          <w:sz w:val="22"/>
          <w:szCs w:val="22"/>
          <w:lang w:eastAsia="en-US"/>
        </w:rPr>
        <w:t>н</w:t>
      </w:r>
      <w:r w:rsidRPr="00724342">
        <w:rPr>
          <w:rFonts w:eastAsiaTheme="minorHAnsi"/>
          <w:sz w:val="22"/>
          <w:szCs w:val="22"/>
          <w:lang w:eastAsia="en-US"/>
        </w:rPr>
        <w:t>ции развития», Оренбург, НИЦ АЭТЕРНА, 10 ноября 2017 г. – с. 7–13.</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3. Сайфетдинов, А. Р. Влияние технической оснащенности на эффективность производства продукции растениеводства [Текст] / А. Р. Сайфетдинов, М. Е. Трубилин // KANT. – 2014. – с. 26–31.</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4. Соколова, А. П. Риск в агробизнесе и определение мер по его снижению / А. П. Соколова, С. А. Устян, С. А. Мелкумов // Экон</w:t>
      </w:r>
      <w:r w:rsidRPr="00724342">
        <w:rPr>
          <w:rFonts w:eastAsiaTheme="minorHAnsi"/>
          <w:sz w:val="22"/>
          <w:szCs w:val="22"/>
          <w:lang w:eastAsia="en-US"/>
        </w:rPr>
        <w:t>о</w:t>
      </w:r>
      <w:r w:rsidRPr="00724342">
        <w:rPr>
          <w:rFonts w:eastAsiaTheme="minorHAnsi"/>
          <w:sz w:val="22"/>
          <w:szCs w:val="22"/>
          <w:lang w:eastAsia="en-US"/>
        </w:rPr>
        <w:t>мика и предпринимательство. – 2017. – № 1 (78). – с. 951–956.</w:t>
      </w:r>
    </w:p>
    <w:p w:rsidR="00724342" w:rsidRPr="00724342" w:rsidRDefault="00724342" w:rsidP="006E4146">
      <w:pPr>
        <w:tabs>
          <w:tab w:val="left" w:pos="993"/>
        </w:tabs>
        <w:ind w:firstLine="426"/>
        <w:jc w:val="both"/>
        <w:rPr>
          <w:rFonts w:eastAsiaTheme="minorHAnsi"/>
          <w:sz w:val="22"/>
          <w:szCs w:val="22"/>
          <w:lang w:eastAsia="en-US"/>
        </w:rPr>
      </w:pPr>
      <w:r w:rsidRPr="00724342">
        <w:rPr>
          <w:rFonts w:eastAsiaTheme="minorHAnsi"/>
          <w:sz w:val="22"/>
          <w:szCs w:val="22"/>
          <w:lang w:eastAsia="en-US"/>
        </w:rPr>
        <w:t>5. Экономическая эффективность технико-технологической модернизации производства продукции растениеводства сельскох</w:t>
      </w:r>
      <w:r w:rsidRPr="00724342">
        <w:rPr>
          <w:rFonts w:eastAsiaTheme="minorHAnsi"/>
          <w:sz w:val="22"/>
          <w:szCs w:val="22"/>
          <w:lang w:eastAsia="en-US"/>
        </w:rPr>
        <w:t>о</w:t>
      </w:r>
      <w:r w:rsidRPr="00724342">
        <w:rPr>
          <w:rFonts w:eastAsiaTheme="minorHAnsi"/>
          <w:sz w:val="22"/>
          <w:szCs w:val="22"/>
          <w:lang w:eastAsia="en-US"/>
        </w:rPr>
        <w:t>зяйственных организаций : монография / Трубилин А. И. [и др.] – Краснодар : КубГАУ, 2017. – 302 с.</w:t>
      </w:r>
    </w:p>
    <w:p w:rsidR="00724342" w:rsidRPr="00724342" w:rsidRDefault="00724342" w:rsidP="006E4146">
      <w:pPr>
        <w:ind w:firstLine="426"/>
        <w:jc w:val="both"/>
        <w:rPr>
          <w:rFonts w:eastAsia="Yu Mincho"/>
          <w:sz w:val="22"/>
          <w:szCs w:val="22"/>
          <w:lang w:eastAsia="en-US"/>
        </w:rPr>
      </w:pPr>
    </w:p>
    <w:p w:rsidR="00724342" w:rsidRPr="00724342" w:rsidRDefault="00724342" w:rsidP="00724342">
      <w:pPr>
        <w:jc w:val="both"/>
        <w:rPr>
          <w:rFonts w:eastAsia="Yu Mincho"/>
          <w:sz w:val="22"/>
          <w:szCs w:val="22"/>
          <w:lang w:eastAsia="en-US"/>
        </w:rPr>
      </w:pPr>
    </w:p>
    <w:p w:rsidR="00724342" w:rsidRPr="00724342" w:rsidRDefault="00724342" w:rsidP="00724342">
      <w:pPr>
        <w:autoSpaceDE w:val="0"/>
        <w:autoSpaceDN w:val="0"/>
        <w:adjustRightInd w:val="0"/>
        <w:rPr>
          <w:bCs/>
          <w:sz w:val="22"/>
          <w:szCs w:val="22"/>
        </w:rPr>
      </w:pPr>
    </w:p>
    <w:p w:rsidR="00724342" w:rsidRPr="00724342" w:rsidRDefault="00F972D6" w:rsidP="00724342">
      <w:pPr>
        <w:autoSpaceDE w:val="0"/>
        <w:autoSpaceDN w:val="0"/>
        <w:adjustRightInd w:val="0"/>
        <w:rPr>
          <w:bCs/>
          <w:sz w:val="22"/>
          <w:szCs w:val="22"/>
        </w:rPr>
      </w:pPr>
      <w:r>
        <w:rPr>
          <w:bCs/>
          <w:sz w:val="22"/>
          <w:szCs w:val="22"/>
        </w:rPr>
        <w:t xml:space="preserve">УДК </w:t>
      </w:r>
      <w:r w:rsidR="00724342" w:rsidRPr="00724342">
        <w:rPr>
          <w:bCs/>
          <w:sz w:val="22"/>
          <w:szCs w:val="22"/>
        </w:rPr>
        <w:t>330.131.7</w:t>
      </w:r>
    </w:p>
    <w:p w:rsidR="00724342" w:rsidRPr="00724342" w:rsidRDefault="00724342" w:rsidP="00724342">
      <w:pPr>
        <w:autoSpaceDE w:val="0"/>
        <w:autoSpaceDN w:val="0"/>
        <w:adjustRightInd w:val="0"/>
        <w:rPr>
          <w:sz w:val="20"/>
          <w:szCs w:val="20"/>
        </w:rPr>
      </w:pPr>
    </w:p>
    <w:p w:rsidR="00724342" w:rsidRPr="00724342" w:rsidRDefault="00724342" w:rsidP="00724342">
      <w:pPr>
        <w:autoSpaceDE w:val="0"/>
        <w:autoSpaceDN w:val="0"/>
        <w:adjustRightInd w:val="0"/>
        <w:jc w:val="center"/>
        <w:rPr>
          <w:caps/>
          <w:sz w:val="24"/>
          <w:szCs w:val="24"/>
        </w:rPr>
      </w:pPr>
      <w:r w:rsidRPr="00724342">
        <w:rPr>
          <w:b/>
          <w:bCs/>
          <w:sz w:val="24"/>
          <w:szCs w:val="24"/>
        </w:rPr>
        <w:t>Механизм реализации процесса управления рисками</w:t>
      </w:r>
    </w:p>
    <w:p w:rsidR="00724342" w:rsidRPr="00724342" w:rsidRDefault="00724342" w:rsidP="00724342">
      <w:pPr>
        <w:autoSpaceDE w:val="0"/>
        <w:autoSpaceDN w:val="0"/>
        <w:adjustRightInd w:val="0"/>
        <w:jc w:val="center"/>
        <w:rPr>
          <w:b/>
          <w:iCs/>
          <w:sz w:val="24"/>
          <w:szCs w:val="24"/>
          <w:lang w:val="en-US"/>
        </w:rPr>
      </w:pPr>
      <w:r w:rsidRPr="00724342">
        <w:rPr>
          <w:b/>
          <w:iCs/>
          <w:sz w:val="24"/>
          <w:szCs w:val="24"/>
          <w:lang w:val="en-US"/>
        </w:rPr>
        <w:t>Mechanism of implementation of risk management process</w:t>
      </w:r>
    </w:p>
    <w:p w:rsidR="00724342" w:rsidRPr="00724342" w:rsidRDefault="00724342" w:rsidP="00724342">
      <w:pPr>
        <w:autoSpaceDE w:val="0"/>
        <w:autoSpaceDN w:val="0"/>
        <w:adjustRightInd w:val="0"/>
        <w:jc w:val="center"/>
        <w:rPr>
          <w:iCs/>
          <w:sz w:val="20"/>
          <w:szCs w:val="20"/>
          <w:lang w:val="en-US"/>
        </w:rPr>
      </w:pPr>
    </w:p>
    <w:p w:rsidR="00724342" w:rsidRPr="00724342" w:rsidRDefault="00724342" w:rsidP="002043AB">
      <w:pPr>
        <w:autoSpaceDE w:val="0"/>
        <w:autoSpaceDN w:val="0"/>
        <w:adjustRightInd w:val="0"/>
        <w:jc w:val="right"/>
        <w:rPr>
          <w:iCs/>
          <w:sz w:val="22"/>
          <w:szCs w:val="22"/>
        </w:rPr>
      </w:pPr>
      <w:r w:rsidRPr="00724342">
        <w:rPr>
          <w:iCs/>
          <w:sz w:val="22"/>
          <w:szCs w:val="22"/>
        </w:rPr>
        <w:t>Козырева М.</w:t>
      </w:r>
      <w:r w:rsidR="006E4146">
        <w:rPr>
          <w:iCs/>
          <w:sz w:val="22"/>
          <w:szCs w:val="22"/>
        </w:rPr>
        <w:t xml:space="preserve"> </w:t>
      </w:r>
      <w:r w:rsidRPr="00724342">
        <w:rPr>
          <w:iCs/>
          <w:sz w:val="22"/>
          <w:szCs w:val="22"/>
        </w:rPr>
        <w:t>В., Мымря А.</w:t>
      </w:r>
      <w:r w:rsidR="006E4146">
        <w:rPr>
          <w:iCs/>
          <w:sz w:val="22"/>
          <w:szCs w:val="22"/>
        </w:rPr>
        <w:t xml:space="preserve"> </w:t>
      </w:r>
      <w:r w:rsidRPr="00724342">
        <w:rPr>
          <w:iCs/>
          <w:sz w:val="22"/>
          <w:szCs w:val="22"/>
        </w:rPr>
        <w:t>В.,</w:t>
      </w:r>
    </w:p>
    <w:p w:rsidR="00F972D6" w:rsidRDefault="00724342" w:rsidP="00F972D6">
      <w:pPr>
        <w:autoSpaceDE w:val="0"/>
        <w:autoSpaceDN w:val="0"/>
        <w:adjustRightInd w:val="0"/>
        <w:jc w:val="right"/>
        <w:rPr>
          <w:iCs/>
          <w:sz w:val="22"/>
          <w:szCs w:val="22"/>
        </w:rPr>
      </w:pPr>
      <w:r w:rsidRPr="00724342">
        <w:rPr>
          <w:iCs/>
          <w:sz w:val="22"/>
          <w:szCs w:val="22"/>
        </w:rPr>
        <w:t>студент</w:t>
      </w:r>
      <w:r w:rsidR="002043AB">
        <w:rPr>
          <w:iCs/>
          <w:sz w:val="22"/>
          <w:szCs w:val="22"/>
        </w:rPr>
        <w:t>ы</w:t>
      </w:r>
      <w:r w:rsidRPr="00724342">
        <w:rPr>
          <w:iCs/>
          <w:sz w:val="22"/>
          <w:szCs w:val="22"/>
        </w:rPr>
        <w:t xml:space="preserve"> 1-го курса магистратуры</w:t>
      </w:r>
    </w:p>
    <w:p w:rsidR="00724342" w:rsidRPr="00724342" w:rsidRDefault="00724342" w:rsidP="00F972D6">
      <w:pPr>
        <w:autoSpaceDE w:val="0"/>
        <w:autoSpaceDN w:val="0"/>
        <w:adjustRightInd w:val="0"/>
        <w:jc w:val="right"/>
        <w:rPr>
          <w:iCs/>
          <w:sz w:val="22"/>
          <w:szCs w:val="22"/>
        </w:rPr>
      </w:pPr>
      <w:r w:rsidRPr="00724342">
        <w:rPr>
          <w:iCs/>
          <w:sz w:val="22"/>
          <w:szCs w:val="22"/>
        </w:rPr>
        <w:t>экономического факультета</w:t>
      </w:r>
    </w:p>
    <w:p w:rsidR="00724342" w:rsidRPr="00724342" w:rsidRDefault="00724342" w:rsidP="00724342">
      <w:pPr>
        <w:autoSpaceDE w:val="0"/>
        <w:autoSpaceDN w:val="0"/>
        <w:adjustRightInd w:val="0"/>
        <w:jc w:val="right"/>
        <w:rPr>
          <w:iCs/>
          <w:sz w:val="22"/>
          <w:szCs w:val="22"/>
        </w:rPr>
      </w:pPr>
      <w:r w:rsidRPr="00724342">
        <w:rPr>
          <w:iCs/>
          <w:sz w:val="22"/>
          <w:szCs w:val="22"/>
        </w:rPr>
        <w:t>Саенко И.</w:t>
      </w:r>
      <w:r w:rsidR="006E4146">
        <w:rPr>
          <w:iCs/>
          <w:sz w:val="22"/>
          <w:szCs w:val="22"/>
        </w:rPr>
        <w:t xml:space="preserve"> </w:t>
      </w:r>
      <w:r w:rsidRPr="00724342">
        <w:rPr>
          <w:iCs/>
          <w:sz w:val="22"/>
          <w:szCs w:val="22"/>
        </w:rPr>
        <w:t>И.,</w:t>
      </w:r>
    </w:p>
    <w:p w:rsidR="00724342" w:rsidRPr="00724342" w:rsidRDefault="00724342" w:rsidP="00724342">
      <w:pPr>
        <w:autoSpaceDE w:val="0"/>
        <w:autoSpaceDN w:val="0"/>
        <w:adjustRightInd w:val="0"/>
        <w:jc w:val="right"/>
        <w:rPr>
          <w:iCs/>
          <w:sz w:val="22"/>
          <w:szCs w:val="22"/>
        </w:rPr>
      </w:pPr>
      <w:r w:rsidRPr="00724342">
        <w:rPr>
          <w:iCs/>
          <w:sz w:val="22"/>
          <w:szCs w:val="22"/>
        </w:rPr>
        <w:t>к.э.н., доцент кафедры управления и маркетинга</w:t>
      </w:r>
    </w:p>
    <w:p w:rsidR="00724342" w:rsidRPr="00724342" w:rsidRDefault="00724342" w:rsidP="00724342">
      <w:pPr>
        <w:widowControl w:val="0"/>
        <w:tabs>
          <w:tab w:val="left" w:pos="8223"/>
        </w:tabs>
        <w:jc w:val="right"/>
        <w:rPr>
          <w:rFonts w:eastAsiaTheme="minorHAnsi" w:cstheme="minorBidi"/>
          <w:color w:val="000000"/>
          <w:sz w:val="22"/>
          <w:szCs w:val="22"/>
          <w:lang w:eastAsia="en-US"/>
        </w:rPr>
      </w:pPr>
      <w:r w:rsidRPr="00724342">
        <w:rPr>
          <w:rFonts w:eastAsiaTheme="minorHAnsi" w:cstheme="minorBidi"/>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Theme="minorHAnsi" w:cstheme="minorBidi"/>
          <w:color w:val="000000"/>
          <w:sz w:val="22"/>
          <w:szCs w:val="22"/>
          <w:lang w:eastAsia="en-US"/>
        </w:rPr>
      </w:pPr>
      <w:r w:rsidRPr="00724342">
        <w:rPr>
          <w:rFonts w:eastAsiaTheme="minorHAnsi" w:cstheme="minorBidi"/>
          <w:color w:val="000000"/>
          <w:sz w:val="22"/>
          <w:szCs w:val="22"/>
          <w:lang w:eastAsia="en-US"/>
        </w:rPr>
        <w:t>университет имени И.</w:t>
      </w:r>
      <w:r w:rsidR="006E4146">
        <w:rPr>
          <w:rFonts w:eastAsiaTheme="minorHAnsi" w:cstheme="minorBidi"/>
          <w:color w:val="000000"/>
          <w:sz w:val="22"/>
          <w:szCs w:val="22"/>
          <w:lang w:eastAsia="en-US"/>
        </w:rPr>
        <w:t xml:space="preserve"> </w:t>
      </w:r>
      <w:r w:rsidRPr="00724342">
        <w:rPr>
          <w:rFonts w:eastAsiaTheme="minorHAnsi" w:cstheme="minorBidi"/>
          <w:color w:val="000000"/>
          <w:sz w:val="22"/>
          <w:szCs w:val="22"/>
          <w:lang w:eastAsia="en-US"/>
        </w:rPr>
        <w:t>Т. Трубилина</w:t>
      </w:r>
    </w:p>
    <w:p w:rsidR="00724342" w:rsidRPr="00724342" w:rsidRDefault="00724342" w:rsidP="00724342">
      <w:pPr>
        <w:autoSpaceDE w:val="0"/>
        <w:autoSpaceDN w:val="0"/>
        <w:adjustRightInd w:val="0"/>
        <w:rPr>
          <w:b/>
          <w:bCs/>
          <w:color w:val="FF0000"/>
          <w:sz w:val="20"/>
          <w:szCs w:val="20"/>
        </w:rPr>
      </w:pPr>
    </w:p>
    <w:p w:rsidR="00724342" w:rsidRPr="00724342" w:rsidRDefault="00724342" w:rsidP="006E4146">
      <w:pPr>
        <w:autoSpaceDE w:val="0"/>
        <w:autoSpaceDN w:val="0"/>
        <w:adjustRightInd w:val="0"/>
        <w:ind w:firstLine="426"/>
        <w:jc w:val="both"/>
        <w:rPr>
          <w:sz w:val="20"/>
          <w:szCs w:val="20"/>
        </w:rPr>
      </w:pPr>
      <w:r w:rsidRPr="00724342">
        <w:rPr>
          <w:bCs/>
          <w:sz w:val="22"/>
          <w:szCs w:val="22"/>
        </w:rPr>
        <w:t>АННОТАЦИЯ</w:t>
      </w:r>
      <w:r w:rsidRPr="00724342">
        <w:rPr>
          <w:sz w:val="22"/>
          <w:szCs w:val="22"/>
        </w:rPr>
        <w:t>: Для стабильной работы предприятия предлаг</w:t>
      </w:r>
      <w:r w:rsidRPr="00724342">
        <w:rPr>
          <w:sz w:val="22"/>
          <w:szCs w:val="22"/>
        </w:rPr>
        <w:t>а</w:t>
      </w:r>
      <w:r w:rsidRPr="00724342">
        <w:rPr>
          <w:sz w:val="22"/>
          <w:szCs w:val="22"/>
        </w:rPr>
        <w:t>ется создание службы риск-менеджмента. Рассмотрены все этапы создания службы. Даны рекомендации для более эффективной р</w:t>
      </w:r>
      <w:r w:rsidRPr="00724342">
        <w:rPr>
          <w:sz w:val="22"/>
          <w:szCs w:val="22"/>
        </w:rPr>
        <w:t>а</w:t>
      </w:r>
      <w:r w:rsidRPr="00724342">
        <w:rPr>
          <w:sz w:val="22"/>
          <w:szCs w:val="22"/>
        </w:rPr>
        <w:t>боты данной службы</w:t>
      </w:r>
      <w:r w:rsidRPr="00724342">
        <w:rPr>
          <w:sz w:val="20"/>
          <w:szCs w:val="20"/>
        </w:rPr>
        <w:t>.</w:t>
      </w:r>
    </w:p>
    <w:p w:rsidR="00724342" w:rsidRPr="00724342" w:rsidRDefault="00724342" w:rsidP="006E4146">
      <w:pPr>
        <w:autoSpaceDE w:val="0"/>
        <w:autoSpaceDN w:val="0"/>
        <w:adjustRightInd w:val="0"/>
        <w:ind w:firstLine="426"/>
        <w:jc w:val="both"/>
        <w:rPr>
          <w:sz w:val="22"/>
          <w:szCs w:val="22"/>
          <w:lang w:val="en-US"/>
        </w:rPr>
      </w:pPr>
      <w:r w:rsidRPr="00724342">
        <w:rPr>
          <w:bCs/>
          <w:iCs/>
          <w:sz w:val="22"/>
          <w:szCs w:val="22"/>
          <w:lang w:val="en-US"/>
        </w:rPr>
        <w:lastRenderedPageBreak/>
        <w:t>ABSTRACT</w:t>
      </w:r>
      <w:r w:rsidRPr="00724342">
        <w:rPr>
          <w:sz w:val="22"/>
          <w:szCs w:val="22"/>
          <w:lang w:val="en-US"/>
        </w:rPr>
        <w:t>: For stable work of the enterprise it is offered</w:t>
      </w:r>
      <w:r w:rsidRPr="00724342">
        <w:rPr>
          <w:color w:val="000000"/>
          <w:sz w:val="22"/>
          <w:szCs w:val="22"/>
          <w:lang w:val="en-US"/>
        </w:rPr>
        <w:t xml:space="preserve"> </w:t>
      </w:r>
      <w:r w:rsidRPr="00724342">
        <w:rPr>
          <w:sz w:val="22"/>
          <w:szCs w:val="22"/>
          <w:lang w:val="en-US"/>
        </w:rPr>
        <w:t>creation of service risk management. Considered all stages of creation of service. Recommendations for more effective work of this service are made.</w:t>
      </w:r>
    </w:p>
    <w:p w:rsidR="00724342" w:rsidRPr="00724342" w:rsidRDefault="00724342" w:rsidP="006E4146">
      <w:pPr>
        <w:autoSpaceDE w:val="0"/>
        <w:autoSpaceDN w:val="0"/>
        <w:adjustRightInd w:val="0"/>
        <w:ind w:firstLine="426"/>
        <w:jc w:val="both"/>
        <w:rPr>
          <w:sz w:val="22"/>
          <w:szCs w:val="22"/>
        </w:rPr>
      </w:pPr>
      <w:r w:rsidRPr="00724342">
        <w:rPr>
          <w:bCs/>
          <w:sz w:val="22"/>
          <w:szCs w:val="22"/>
        </w:rPr>
        <w:t>КЛЮЧЕВЫЕ СЛОВА:</w:t>
      </w:r>
      <w:r w:rsidRPr="00724342">
        <w:rPr>
          <w:b/>
          <w:bCs/>
          <w:sz w:val="22"/>
          <w:szCs w:val="22"/>
        </w:rPr>
        <w:t xml:space="preserve"> </w:t>
      </w:r>
      <w:r w:rsidRPr="00724342">
        <w:rPr>
          <w:color w:val="000000"/>
          <w:sz w:val="22"/>
          <w:szCs w:val="22"/>
        </w:rPr>
        <w:t>риск, управление риском, потери, ан</w:t>
      </w:r>
      <w:r w:rsidRPr="00724342">
        <w:rPr>
          <w:color w:val="000000"/>
          <w:sz w:val="22"/>
          <w:szCs w:val="22"/>
        </w:rPr>
        <w:t>а</w:t>
      </w:r>
      <w:r w:rsidRPr="00724342">
        <w:rPr>
          <w:color w:val="000000"/>
          <w:sz w:val="22"/>
          <w:szCs w:val="22"/>
        </w:rPr>
        <w:t>лиз риска, методы управления рисками, риск–менеджмент, оценка  уровня риска.</w:t>
      </w:r>
    </w:p>
    <w:p w:rsidR="00724342" w:rsidRPr="00724342" w:rsidRDefault="00724342" w:rsidP="006E4146">
      <w:pPr>
        <w:autoSpaceDE w:val="0"/>
        <w:autoSpaceDN w:val="0"/>
        <w:adjustRightInd w:val="0"/>
        <w:ind w:firstLine="426"/>
        <w:jc w:val="both"/>
        <w:rPr>
          <w:b/>
          <w:bCs/>
          <w:sz w:val="22"/>
          <w:szCs w:val="22"/>
          <w:lang w:val="en-US"/>
        </w:rPr>
      </w:pPr>
      <w:r w:rsidRPr="00724342">
        <w:rPr>
          <w:bCs/>
          <w:iCs/>
          <w:sz w:val="22"/>
          <w:szCs w:val="22"/>
          <w:lang w:val="en-US"/>
        </w:rPr>
        <w:t>KEYWORDS</w:t>
      </w:r>
      <w:r w:rsidRPr="00724342">
        <w:rPr>
          <w:bCs/>
          <w:sz w:val="22"/>
          <w:szCs w:val="22"/>
          <w:lang w:val="en-US"/>
        </w:rPr>
        <w:t>:</w:t>
      </w:r>
      <w:r w:rsidRPr="00724342">
        <w:rPr>
          <w:b/>
          <w:bCs/>
          <w:sz w:val="22"/>
          <w:szCs w:val="22"/>
          <w:lang w:val="en-US"/>
        </w:rPr>
        <w:t xml:space="preserve"> </w:t>
      </w:r>
      <w:r w:rsidRPr="00724342">
        <w:rPr>
          <w:bCs/>
          <w:sz w:val="22"/>
          <w:szCs w:val="22"/>
          <w:lang w:val="en-US"/>
        </w:rPr>
        <w:t>risk, management of risk, losses, analysis of risk, methods of management of risks, risk management, risk level asses</w:t>
      </w:r>
      <w:r w:rsidRPr="00724342">
        <w:rPr>
          <w:bCs/>
          <w:sz w:val="22"/>
          <w:szCs w:val="22"/>
          <w:lang w:val="en-US"/>
        </w:rPr>
        <w:t>s</w:t>
      </w:r>
      <w:r w:rsidRPr="00724342">
        <w:rPr>
          <w:bCs/>
          <w:sz w:val="22"/>
          <w:szCs w:val="22"/>
          <w:lang w:val="en-US"/>
        </w:rPr>
        <w:t>ment.</w:t>
      </w:r>
    </w:p>
    <w:p w:rsidR="00724342" w:rsidRPr="00724342" w:rsidRDefault="00724342" w:rsidP="006E4146">
      <w:pPr>
        <w:autoSpaceDE w:val="0"/>
        <w:autoSpaceDN w:val="0"/>
        <w:adjustRightInd w:val="0"/>
        <w:ind w:firstLine="426"/>
        <w:rPr>
          <w:i/>
          <w:iCs/>
          <w:sz w:val="20"/>
          <w:szCs w:val="20"/>
          <w:lang w:val="en-US"/>
        </w:rPr>
      </w:pP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В современных условиях управления, при политической эк</w:t>
      </w:r>
      <w:r w:rsidRPr="00724342">
        <w:rPr>
          <w:rFonts w:eastAsiaTheme="minorHAnsi" w:cstheme="minorBidi"/>
          <w:bCs/>
          <w:sz w:val="22"/>
          <w:szCs w:val="22"/>
          <w:lang w:eastAsia="en-US"/>
        </w:rPr>
        <w:t>о</w:t>
      </w:r>
      <w:r w:rsidRPr="00724342">
        <w:rPr>
          <w:rFonts w:eastAsiaTheme="minorHAnsi" w:cstheme="minorBidi"/>
          <w:bCs/>
          <w:sz w:val="22"/>
          <w:szCs w:val="22"/>
          <w:lang w:eastAsia="en-US"/>
        </w:rPr>
        <w:t>номической и социальной нестабильности существующая на пре</w:t>
      </w:r>
      <w:r w:rsidRPr="00724342">
        <w:rPr>
          <w:rFonts w:eastAsiaTheme="minorHAnsi" w:cstheme="minorBidi"/>
          <w:bCs/>
          <w:sz w:val="22"/>
          <w:szCs w:val="22"/>
          <w:lang w:eastAsia="en-US"/>
        </w:rPr>
        <w:t>д</w:t>
      </w:r>
      <w:r w:rsidRPr="00724342">
        <w:rPr>
          <w:rFonts w:eastAsiaTheme="minorHAnsi" w:cstheme="minorBidi"/>
          <w:bCs/>
          <w:sz w:val="22"/>
          <w:szCs w:val="22"/>
          <w:lang w:eastAsia="en-US"/>
        </w:rPr>
        <w:t>приятиях концепция управления должна включать в себя механизм управления рисами.</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 xml:space="preserve">Первый этап это формирование службы риск-менеджмента. На нынешнем рубеже становления экономики целью данной службы является минимизация потерь при помощи прогноза деятельности предприятия, анализа всего комплекса рискообразующих факторов, формирование рекомендаций по снижению рисков и контроля их выполнением. </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Источниками данных, предназначенных для анализа будут: бухгалтерская отчетность, организационная структура и штатное расписание, карты технологических потоков, договоры и контра</w:t>
      </w:r>
      <w:r w:rsidRPr="00724342">
        <w:rPr>
          <w:rFonts w:eastAsiaTheme="minorHAnsi" w:cstheme="minorBidi"/>
          <w:bCs/>
          <w:sz w:val="22"/>
          <w:szCs w:val="22"/>
          <w:lang w:eastAsia="en-US"/>
        </w:rPr>
        <w:t>к</w:t>
      </w:r>
      <w:r w:rsidRPr="00724342">
        <w:rPr>
          <w:rFonts w:eastAsiaTheme="minorHAnsi" w:cstheme="minorBidi"/>
          <w:bCs/>
          <w:sz w:val="22"/>
          <w:szCs w:val="22"/>
          <w:lang w:eastAsia="en-US"/>
        </w:rPr>
        <w:t>ты, стоимость изготовления продукции, финансово-производственные проекты предприятия [1].</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Социально-экономическая нестабильность вносит собственные коррективы как в работу субъектов хозяйствования, так и в систему управления рисками предприятий. Полностью отследить ее возде</w:t>
      </w:r>
      <w:r w:rsidRPr="00724342">
        <w:rPr>
          <w:rFonts w:eastAsiaTheme="minorHAnsi" w:cstheme="minorBidi"/>
          <w:bCs/>
          <w:sz w:val="22"/>
          <w:szCs w:val="22"/>
          <w:lang w:eastAsia="en-US"/>
        </w:rPr>
        <w:t>й</w:t>
      </w:r>
      <w:r w:rsidRPr="00724342">
        <w:rPr>
          <w:rFonts w:eastAsiaTheme="minorHAnsi" w:cstheme="minorBidi"/>
          <w:bCs/>
          <w:sz w:val="22"/>
          <w:szCs w:val="22"/>
          <w:lang w:eastAsia="en-US"/>
        </w:rPr>
        <w:t>ствие не возможно, однако определить аспекты ее влияния на о</w:t>
      </w:r>
      <w:r w:rsidRPr="00724342">
        <w:rPr>
          <w:rFonts w:eastAsiaTheme="minorHAnsi" w:cstheme="minorBidi"/>
          <w:bCs/>
          <w:sz w:val="22"/>
          <w:szCs w:val="22"/>
          <w:lang w:eastAsia="en-US"/>
        </w:rPr>
        <w:t>т</w:t>
      </w:r>
      <w:r w:rsidRPr="00724342">
        <w:rPr>
          <w:rFonts w:eastAsiaTheme="minorHAnsi" w:cstheme="minorBidi"/>
          <w:bCs/>
          <w:sz w:val="22"/>
          <w:szCs w:val="22"/>
          <w:lang w:eastAsia="en-US"/>
        </w:rPr>
        <w:t>дельные риски вполне реально.</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После сбора всех данных служба риск-менеджмента получит возможность дать реальную оценку динамике показателей работы предприятия с учетом влияния внешних и внутренних социально-экономических и политических факторов, это даст возможность профессионально и реально спрогнозировать дальнейшее состояние конъюнктуры и оценить вероятные риски.</w:t>
      </w:r>
    </w:p>
    <w:p w:rsidR="00724342" w:rsidRPr="00724342" w:rsidRDefault="00724342" w:rsidP="00F972D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Логическим продолжением работы службы риск-менеджмента должно стать формирование программы мероприятий по управл</w:t>
      </w:r>
      <w:r w:rsidRPr="00724342">
        <w:rPr>
          <w:rFonts w:eastAsiaTheme="minorHAnsi" w:cstheme="minorBidi"/>
          <w:bCs/>
          <w:sz w:val="22"/>
          <w:szCs w:val="22"/>
          <w:lang w:eastAsia="en-US"/>
        </w:rPr>
        <w:t>е</w:t>
      </w:r>
      <w:r w:rsidRPr="00724342">
        <w:rPr>
          <w:rFonts w:eastAsiaTheme="minorHAnsi" w:cstheme="minorBidi"/>
          <w:bCs/>
          <w:sz w:val="22"/>
          <w:szCs w:val="22"/>
          <w:lang w:eastAsia="en-US"/>
        </w:rPr>
        <w:lastRenderedPageBreak/>
        <w:t>нию рисками</w:t>
      </w:r>
      <w:r w:rsidRPr="00724342">
        <w:rPr>
          <w:rFonts w:asciiTheme="minorHAnsi" w:eastAsiaTheme="minorHAnsi" w:hAnsiTheme="minorHAnsi" w:cstheme="minorBidi"/>
          <w:sz w:val="22"/>
          <w:szCs w:val="22"/>
          <w:lang w:eastAsia="en-US"/>
        </w:rPr>
        <w:t xml:space="preserve"> </w:t>
      </w:r>
      <w:r w:rsidRPr="00724342">
        <w:rPr>
          <w:rFonts w:eastAsiaTheme="minorHAnsi" w:cstheme="minorBidi"/>
          <w:bCs/>
          <w:sz w:val="22"/>
          <w:szCs w:val="22"/>
          <w:lang w:eastAsia="en-US"/>
        </w:rPr>
        <w:t>[3].</w:t>
      </w:r>
      <w:r w:rsidR="00F972D6">
        <w:rPr>
          <w:rFonts w:eastAsiaTheme="minorHAnsi" w:cstheme="minorBidi"/>
          <w:bCs/>
          <w:sz w:val="22"/>
          <w:szCs w:val="22"/>
          <w:lang w:eastAsia="en-US"/>
        </w:rPr>
        <w:t xml:space="preserve"> </w:t>
      </w:r>
      <w:r w:rsidRPr="00724342">
        <w:rPr>
          <w:rFonts w:eastAsiaTheme="minorHAnsi" w:cstheme="minorBidi"/>
          <w:bCs/>
          <w:sz w:val="22"/>
          <w:szCs w:val="22"/>
          <w:lang w:eastAsia="en-US"/>
        </w:rPr>
        <w:t>При разработке программы мероприятий специ</w:t>
      </w:r>
      <w:r w:rsidRPr="00724342">
        <w:rPr>
          <w:rFonts w:eastAsiaTheme="minorHAnsi" w:cstheme="minorBidi"/>
          <w:bCs/>
          <w:sz w:val="22"/>
          <w:szCs w:val="22"/>
          <w:lang w:eastAsia="en-US"/>
        </w:rPr>
        <w:t>а</w:t>
      </w:r>
      <w:r w:rsidRPr="00724342">
        <w:rPr>
          <w:rFonts w:eastAsiaTheme="minorHAnsi" w:cstheme="minorBidi"/>
          <w:bCs/>
          <w:sz w:val="22"/>
          <w:szCs w:val="22"/>
          <w:lang w:eastAsia="en-US"/>
        </w:rPr>
        <w:t>листам службы следует ориентироваться на наибольшее однообр</w:t>
      </w:r>
      <w:r w:rsidRPr="00724342">
        <w:rPr>
          <w:rFonts w:eastAsiaTheme="minorHAnsi" w:cstheme="minorBidi"/>
          <w:bCs/>
          <w:sz w:val="22"/>
          <w:szCs w:val="22"/>
          <w:lang w:eastAsia="en-US"/>
        </w:rPr>
        <w:t>а</w:t>
      </w:r>
      <w:r w:rsidRPr="00724342">
        <w:rPr>
          <w:rFonts w:eastAsiaTheme="minorHAnsi" w:cstheme="minorBidi"/>
          <w:bCs/>
          <w:sz w:val="22"/>
          <w:szCs w:val="22"/>
          <w:lang w:eastAsia="en-US"/>
        </w:rPr>
        <w:t>зие характеристик, определяющих объем  возможного ущерба. В качестве таких характеристик разумно использовать воздействия рисков на финансовые потоки и финансовое состояние предпри</w:t>
      </w:r>
      <w:r w:rsidRPr="00724342">
        <w:rPr>
          <w:rFonts w:eastAsiaTheme="minorHAnsi" w:cstheme="minorBidi"/>
          <w:bCs/>
          <w:sz w:val="22"/>
          <w:szCs w:val="22"/>
          <w:lang w:eastAsia="en-US"/>
        </w:rPr>
        <w:t>я</w:t>
      </w:r>
      <w:r w:rsidRPr="00724342">
        <w:rPr>
          <w:rFonts w:eastAsiaTheme="minorHAnsi" w:cstheme="minorBidi"/>
          <w:bCs/>
          <w:sz w:val="22"/>
          <w:szCs w:val="22"/>
          <w:lang w:eastAsia="en-US"/>
        </w:rPr>
        <w:t>тия, т.е. эффект финансового рычага или влияние операционного рычага.</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Заключающей стадией разработки программы является соста</w:t>
      </w:r>
      <w:r w:rsidRPr="00724342">
        <w:rPr>
          <w:rFonts w:eastAsiaTheme="minorHAnsi" w:cstheme="minorBidi"/>
          <w:bCs/>
          <w:sz w:val="22"/>
          <w:szCs w:val="22"/>
          <w:lang w:eastAsia="en-US"/>
        </w:rPr>
        <w:t>в</w:t>
      </w:r>
      <w:r w:rsidRPr="00724342">
        <w:rPr>
          <w:rFonts w:eastAsiaTheme="minorHAnsi" w:cstheme="minorBidi"/>
          <w:bCs/>
          <w:sz w:val="22"/>
          <w:szCs w:val="22"/>
          <w:lang w:eastAsia="en-US"/>
        </w:rPr>
        <w:t>ление комплекса мероприятий по снижению рисков, с указанием планируемого результата от их реализации, сроков внедрения и</w:t>
      </w:r>
      <w:r w:rsidRPr="00724342">
        <w:rPr>
          <w:rFonts w:eastAsiaTheme="minorHAnsi" w:cstheme="minorBidi"/>
          <w:bCs/>
          <w:sz w:val="22"/>
          <w:szCs w:val="22"/>
          <w:lang w:eastAsia="en-US"/>
        </w:rPr>
        <w:t>с</w:t>
      </w:r>
      <w:r w:rsidRPr="00724342">
        <w:rPr>
          <w:rFonts w:eastAsiaTheme="minorHAnsi" w:cstheme="minorBidi"/>
          <w:bCs/>
          <w:sz w:val="22"/>
          <w:szCs w:val="22"/>
          <w:lang w:eastAsia="en-US"/>
        </w:rPr>
        <w:t xml:space="preserve">точников финансирования и лиц, ответственных за выполнение данной программы. </w:t>
      </w:r>
    </w:p>
    <w:p w:rsidR="00724342" w:rsidRPr="00724342" w:rsidRDefault="00724342" w:rsidP="006E414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В процессе реализации программы специалисты службы дол</w:t>
      </w:r>
      <w:r w:rsidRPr="00724342">
        <w:rPr>
          <w:rFonts w:eastAsiaTheme="minorHAnsi" w:cstheme="minorBidi"/>
          <w:bCs/>
          <w:sz w:val="22"/>
          <w:szCs w:val="22"/>
          <w:lang w:eastAsia="en-US"/>
        </w:rPr>
        <w:t>ж</w:t>
      </w:r>
      <w:r w:rsidRPr="00724342">
        <w:rPr>
          <w:rFonts w:eastAsiaTheme="minorHAnsi" w:cstheme="minorBidi"/>
          <w:bCs/>
          <w:sz w:val="22"/>
          <w:szCs w:val="22"/>
          <w:lang w:eastAsia="en-US"/>
        </w:rPr>
        <w:t>ны осуществить анализ эффективности принятых решений и по м</w:t>
      </w:r>
      <w:r w:rsidRPr="00724342">
        <w:rPr>
          <w:rFonts w:eastAsiaTheme="minorHAnsi" w:cstheme="minorBidi"/>
          <w:bCs/>
          <w:sz w:val="22"/>
          <w:szCs w:val="22"/>
          <w:lang w:eastAsia="en-US"/>
        </w:rPr>
        <w:t>е</w:t>
      </w:r>
      <w:r w:rsidRPr="00724342">
        <w:rPr>
          <w:rFonts w:eastAsiaTheme="minorHAnsi" w:cstheme="minorBidi"/>
          <w:bCs/>
          <w:sz w:val="22"/>
          <w:szCs w:val="22"/>
          <w:lang w:eastAsia="en-US"/>
        </w:rPr>
        <w:t>ре необходимости обеспечивать корректировку целей и средств м</w:t>
      </w:r>
      <w:r w:rsidRPr="00724342">
        <w:rPr>
          <w:rFonts w:eastAsiaTheme="minorHAnsi" w:cstheme="minorBidi"/>
          <w:bCs/>
          <w:sz w:val="22"/>
          <w:szCs w:val="22"/>
          <w:lang w:eastAsia="en-US"/>
        </w:rPr>
        <w:t>и</w:t>
      </w:r>
      <w:r w:rsidRPr="00724342">
        <w:rPr>
          <w:rFonts w:eastAsiaTheme="minorHAnsi" w:cstheme="minorBidi"/>
          <w:bCs/>
          <w:sz w:val="22"/>
          <w:szCs w:val="22"/>
          <w:lang w:eastAsia="en-US"/>
        </w:rPr>
        <w:t>нимизации рисков. При этом рекомендуется собирать всю инфо</w:t>
      </w:r>
      <w:r w:rsidRPr="00724342">
        <w:rPr>
          <w:rFonts w:eastAsiaTheme="minorHAnsi" w:cstheme="minorBidi"/>
          <w:bCs/>
          <w:sz w:val="22"/>
          <w:szCs w:val="22"/>
          <w:lang w:eastAsia="en-US"/>
        </w:rPr>
        <w:t>р</w:t>
      </w:r>
      <w:r w:rsidRPr="00724342">
        <w:rPr>
          <w:rFonts w:eastAsiaTheme="minorHAnsi" w:cstheme="minorBidi"/>
          <w:bCs/>
          <w:sz w:val="22"/>
          <w:szCs w:val="22"/>
          <w:lang w:eastAsia="en-US"/>
        </w:rPr>
        <w:t>мацию об ошибках и недостатках разработки программы, обнар</w:t>
      </w:r>
      <w:r w:rsidRPr="00724342">
        <w:rPr>
          <w:rFonts w:eastAsiaTheme="minorHAnsi" w:cstheme="minorBidi"/>
          <w:bCs/>
          <w:sz w:val="22"/>
          <w:szCs w:val="22"/>
          <w:lang w:eastAsia="en-US"/>
        </w:rPr>
        <w:t>у</w:t>
      </w:r>
      <w:r w:rsidRPr="00724342">
        <w:rPr>
          <w:rFonts w:eastAsiaTheme="minorHAnsi" w:cstheme="minorBidi"/>
          <w:bCs/>
          <w:sz w:val="22"/>
          <w:szCs w:val="22"/>
          <w:lang w:eastAsia="en-US"/>
        </w:rPr>
        <w:t>жившихся в процессе ее реализации. Это даст возможность пров</w:t>
      </w:r>
      <w:r w:rsidRPr="00724342">
        <w:rPr>
          <w:rFonts w:eastAsiaTheme="minorHAnsi" w:cstheme="minorBidi"/>
          <w:bCs/>
          <w:sz w:val="22"/>
          <w:szCs w:val="22"/>
          <w:lang w:eastAsia="en-US"/>
        </w:rPr>
        <w:t>е</w:t>
      </w:r>
      <w:r w:rsidRPr="00724342">
        <w:rPr>
          <w:rFonts w:eastAsiaTheme="minorHAnsi" w:cstheme="minorBidi"/>
          <w:bCs/>
          <w:sz w:val="22"/>
          <w:szCs w:val="22"/>
          <w:lang w:eastAsia="en-US"/>
        </w:rPr>
        <w:t>сти разработку дальнейших программ мероприятий  по снижению рисков на более качественном уровне с применением новых прио</w:t>
      </w:r>
      <w:r w:rsidRPr="00724342">
        <w:rPr>
          <w:rFonts w:eastAsiaTheme="minorHAnsi" w:cstheme="minorBidi"/>
          <w:bCs/>
          <w:sz w:val="22"/>
          <w:szCs w:val="22"/>
          <w:lang w:eastAsia="en-US"/>
        </w:rPr>
        <w:t>б</w:t>
      </w:r>
      <w:r w:rsidRPr="00724342">
        <w:rPr>
          <w:rFonts w:eastAsiaTheme="minorHAnsi" w:cstheme="minorBidi"/>
          <w:bCs/>
          <w:sz w:val="22"/>
          <w:szCs w:val="22"/>
          <w:lang w:eastAsia="en-US"/>
        </w:rPr>
        <w:t>ретенных знаний [2].</w:t>
      </w:r>
    </w:p>
    <w:p w:rsidR="00724342" w:rsidRPr="00724342" w:rsidRDefault="00724342" w:rsidP="00F972D6">
      <w:pPr>
        <w:ind w:firstLine="426"/>
        <w:jc w:val="both"/>
        <w:rPr>
          <w:rFonts w:eastAsiaTheme="minorHAnsi" w:cstheme="minorBidi"/>
          <w:bCs/>
          <w:sz w:val="22"/>
          <w:szCs w:val="22"/>
          <w:lang w:eastAsia="en-US"/>
        </w:rPr>
      </w:pPr>
      <w:r w:rsidRPr="00724342">
        <w:rPr>
          <w:rFonts w:eastAsiaTheme="minorHAnsi" w:cstheme="minorBidi"/>
          <w:bCs/>
          <w:sz w:val="22"/>
          <w:szCs w:val="22"/>
          <w:lang w:eastAsia="en-US"/>
        </w:rPr>
        <w:t>Все вышеперечисленное позволяет сделать вывод о том, что механизм управления рисками предприятия в современных услов</w:t>
      </w:r>
      <w:r w:rsidRPr="00724342">
        <w:rPr>
          <w:rFonts w:eastAsiaTheme="minorHAnsi" w:cstheme="minorBidi"/>
          <w:bCs/>
          <w:sz w:val="22"/>
          <w:szCs w:val="22"/>
          <w:lang w:eastAsia="en-US"/>
        </w:rPr>
        <w:t>и</w:t>
      </w:r>
      <w:r w:rsidRPr="00724342">
        <w:rPr>
          <w:rFonts w:eastAsiaTheme="minorHAnsi" w:cstheme="minorBidi"/>
          <w:bCs/>
          <w:sz w:val="22"/>
          <w:szCs w:val="22"/>
          <w:lang w:eastAsia="en-US"/>
        </w:rPr>
        <w:t>ях управления должен иметь четкую иерархическую структуру с необходимостью ее корректировки согласно результатам реализ</w:t>
      </w:r>
      <w:r w:rsidRPr="00724342">
        <w:rPr>
          <w:rFonts w:eastAsiaTheme="minorHAnsi" w:cstheme="minorBidi"/>
          <w:bCs/>
          <w:sz w:val="22"/>
          <w:szCs w:val="22"/>
          <w:lang w:eastAsia="en-US"/>
        </w:rPr>
        <w:t>а</w:t>
      </w:r>
      <w:r w:rsidRPr="00724342">
        <w:rPr>
          <w:rFonts w:eastAsiaTheme="minorHAnsi" w:cstheme="minorBidi"/>
          <w:bCs/>
          <w:sz w:val="22"/>
          <w:szCs w:val="22"/>
          <w:lang w:eastAsia="en-US"/>
        </w:rPr>
        <w:t>ции программы мероприятий и с учетом изменяющихся факторов влияния.</w:t>
      </w:r>
    </w:p>
    <w:p w:rsidR="00724342" w:rsidRPr="00724342" w:rsidRDefault="00724342" w:rsidP="006E4146">
      <w:pPr>
        <w:ind w:firstLine="426"/>
        <w:jc w:val="center"/>
        <w:rPr>
          <w:rFonts w:eastAsiaTheme="minorHAnsi" w:cstheme="minorBidi"/>
          <w:bCs/>
          <w:sz w:val="22"/>
          <w:szCs w:val="22"/>
          <w:lang w:eastAsia="en-US"/>
        </w:rPr>
      </w:pPr>
      <w:r w:rsidRPr="00724342">
        <w:rPr>
          <w:rFonts w:eastAsiaTheme="minorHAnsi" w:cstheme="minorBidi"/>
          <w:bCs/>
          <w:sz w:val="22"/>
          <w:szCs w:val="22"/>
          <w:lang w:eastAsia="en-US"/>
        </w:rPr>
        <w:t>Список литературы</w:t>
      </w:r>
    </w:p>
    <w:p w:rsidR="00724342" w:rsidRPr="00724342" w:rsidRDefault="00724342" w:rsidP="006E4146">
      <w:pPr>
        <w:numPr>
          <w:ilvl w:val="0"/>
          <w:numId w:val="91"/>
        </w:numPr>
        <w:tabs>
          <w:tab w:val="left" w:pos="709"/>
          <w:tab w:val="left" w:pos="1134"/>
        </w:tabs>
        <w:ind w:left="0" w:firstLine="426"/>
        <w:jc w:val="both"/>
        <w:rPr>
          <w:rFonts w:eastAsiaTheme="minorHAnsi" w:cstheme="minorBidi"/>
          <w:bCs/>
          <w:sz w:val="22"/>
          <w:szCs w:val="22"/>
          <w:lang w:eastAsia="en-US"/>
        </w:rPr>
      </w:pPr>
      <w:r w:rsidRPr="00724342">
        <w:rPr>
          <w:rFonts w:eastAsiaTheme="minorHAnsi" w:cstheme="minorBidi"/>
          <w:bCs/>
          <w:sz w:val="22"/>
          <w:szCs w:val="22"/>
          <w:lang w:eastAsia="en-US"/>
        </w:rPr>
        <w:t>Любушин Н. П., Лещева В. Б. «Финансово-экономический риск предприятия». Москва, 2015г., 470 с.</w:t>
      </w:r>
    </w:p>
    <w:p w:rsidR="00724342" w:rsidRPr="00724342" w:rsidRDefault="00724342" w:rsidP="006E4146">
      <w:pPr>
        <w:numPr>
          <w:ilvl w:val="0"/>
          <w:numId w:val="91"/>
        </w:numPr>
        <w:tabs>
          <w:tab w:val="left" w:pos="709"/>
          <w:tab w:val="left" w:pos="1134"/>
          <w:tab w:val="left" w:pos="1980"/>
        </w:tabs>
        <w:ind w:left="0" w:firstLine="426"/>
        <w:jc w:val="both"/>
        <w:rPr>
          <w:rFonts w:ascii="Tahoma" w:eastAsiaTheme="minorHAnsi" w:hAnsi="Tahoma" w:cs="Tahoma"/>
          <w:color w:val="000000"/>
          <w:sz w:val="16"/>
          <w:szCs w:val="16"/>
        </w:rPr>
      </w:pPr>
      <w:r w:rsidRPr="00724342">
        <w:rPr>
          <w:rFonts w:eastAsiaTheme="minorHAnsi" w:cstheme="minorBidi"/>
          <w:sz w:val="22"/>
          <w:szCs w:val="22"/>
        </w:rPr>
        <w:t>Романов С. В. «Этапы управление рисками. Факты и пр</w:t>
      </w:r>
      <w:r w:rsidRPr="00724342">
        <w:rPr>
          <w:rFonts w:eastAsiaTheme="minorHAnsi" w:cstheme="minorBidi"/>
          <w:sz w:val="22"/>
          <w:szCs w:val="22"/>
        </w:rPr>
        <w:t>о</w:t>
      </w:r>
      <w:r w:rsidRPr="00724342">
        <w:rPr>
          <w:rFonts w:eastAsiaTheme="minorHAnsi" w:cstheme="minorBidi"/>
          <w:sz w:val="22"/>
          <w:szCs w:val="22"/>
        </w:rPr>
        <w:t>блемы практики менеджмента». Киров, 2014г., 77 с.</w:t>
      </w:r>
      <w:r w:rsidRPr="00724342">
        <w:rPr>
          <w:rFonts w:ascii="Tahoma" w:eastAsiaTheme="minorHAnsi" w:hAnsi="Tahoma" w:cs="Tahoma"/>
          <w:color w:val="000000"/>
          <w:sz w:val="16"/>
          <w:szCs w:val="16"/>
        </w:rPr>
        <w:t xml:space="preserve"> </w:t>
      </w:r>
    </w:p>
    <w:p w:rsidR="00724342" w:rsidRPr="00724342" w:rsidRDefault="00724342" w:rsidP="006E4146">
      <w:pPr>
        <w:numPr>
          <w:ilvl w:val="0"/>
          <w:numId w:val="91"/>
        </w:numPr>
        <w:tabs>
          <w:tab w:val="left" w:pos="709"/>
          <w:tab w:val="left" w:pos="1134"/>
        </w:tabs>
        <w:ind w:left="0" w:firstLine="426"/>
        <w:jc w:val="both"/>
        <w:rPr>
          <w:rFonts w:eastAsiaTheme="minorHAnsi" w:cstheme="minorBidi"/>
          <w:sz w:val="22"/>
          <w:szCs w:val="22"/>
          <w:lang w:eastAsia="en-US"/>
        </w:rPr>
      </w:pPr>
      <w:r w:rsidRPr="00724342">
        <w:rPr>
          <w:rFonts w:eastAsiaTheme="minorHAnsi" w:cstheme="minorBidi"/>
          <w:sz w:val="22"/>
          <w:szCs w:val="22"/>
          <w:lang w:eastAsia="en-US"/>
        </w:rPr>
        <w:t>Совершенствование межхозяйственных интеграционных процессов Белкина Е., Тимонова И., Фролов С. Молочная промы</w:t>
      </w:r>
      <w:r w:rsidRPr="00724342">
        <w:rPr>
          <w:rFonts w:eastAsiaTheme="minorHAnsi" w:cstheme="minorBidi"/>
          <w:sz w:val="22"/>
          <w:szCs w:val="22"/>
          <w:lang w:eastAsia="en-US"/>
        </w:rPr>
        <w:t>ш</w:t>
      </w:r>
      <w:r w:rsidRPr="00724342">
        <w:rPr>
          <w:rFonts w:eastAsiaTheme="minorHAnsi" w:cstheme="minorBidi"/>
          <w:sz w:val="22"/>
          <w:szCs w:val="22"/>
          <w:lang w:eastAsia="en-US"/>
        </w:rPr>
        <w:t>ленность. 2007. № 11. С. 10-12.</w:t>
      </w:r>
    </w:p>
    <w:p w:rsidR="00724342" w:rsidRPr="00724342" w:rsidRDefault="00724342" w:rsidP="006E4146">
      <w:pPr>
        <w:numPr>
          <w:ilvl w:val="0"/>
          <w:numId w:val="91"/>
        </w:numPr>
        <w:tabs>
          <w:tab w:val="left" w:pos="709"/>
          <w:tab w:val="left" w:pos="1134"/>
        </w:tabs>
        <w:ind w:left="0" w:firstLine="426"/>
        <w:jc w:val="both"/>
        <w:rPr>
          <w:rFonts w:eastAsiaTheme="minorHAnsi" w:cstheme="minorBidi"/>
          <w:sz w:val="22"/>
          <w:szCs w:val="22"/>
          <w:lang w:eastAsia="en-US"/>
        </w:rPr>
      </w:pPr>
      <w:r w:rsidRPr="00724342">
        <w:rPr>
          <w:rFonts w:eastAsiaTheme="minorHAnsi" w:cstheme="minorBidi"/>
          <w:sz w:val="22"/>
          <w:szCs w:val="22"/>
          <w:lang w:eastAsia="en-US"/>
        </w:rPr>
        <w:t>Основные направления совершенствования структуры управления АПК Саенко И.И. В сборнике: Достижения совреме</w:t>
      </w:r>
      <w:r w:rsidRPr="00724342">
        <w:rPr>
          <w:rFonts w:eastAsiaTheme="minorHAnsi" w:cstheme="minorBidi"/>
          <w:sz w:val="22"/>
          <w:szCs w:val="22"/>
          <w:lang w:eastAsia="en-US"/>
        </w:rPr>
        <w:t>н</w:t>
      </w:r>
      <w:r w:rsidRPr="00724342">
        <w:rPr>
          <w:rFonts w:eastAsiaTheme="minorHAnsi" w:cstheme="minorBidi"/>
          <w:sz w:val="22"/>
          <w:szCs w:val="22"/>
          <w:lang w:eastAsia="en-US"/>
        </w:rPr>
        <w:lastRenderedPageBreak/>
        <w:t>ной науки сборник материалов XIII Международной научно-практической конференции. 2016. С. 633-640.</w:t>
      </w:r>
    </w:p>
    <w:p w:rsidR="00724342" w:rsidRPr="00724342" w:rsidRDefault="00724342" w:rsidP="006E4146">
      <w:pPr>
        <w:numPr>
          <w:ilvl w:val="0"/>
          <w:numId w:val="91"/>
        </w:numPr>
        <w:tabs>
          <w:tab w:val="left" w:pos="709"/>
          <w:tab w:val="left" w:pos="1134"/>
        </w:tabs>
        <w:ind w:left="0" w:firstLine="426"/>
        <w:jc w:val="both"/>
        <w:rPr>
          <w:rFonts w:eastAsiaTheme="minorHAnsi" w:cstheme="minorBidi"/>
          <w:sz w:val="22"/>
          <w:szCs w:val="22"/>
        </w:rPr>
      </w:pPr>
      <w:r w:rsidRPr="00724342">
        <w:rPr>
          <w:rFonts w:eastAsiaTheme="minorHAnsi" w:cstheme="minorBidi"/>
          <w:sz w:val="22"/>
          <w:szCs w:val="22"/>
          <w:lang w:eastAsia="en-US"/>
        </w:rPr>
        <w:t>Инновации в управлении персоналом  Саенко И.И., Мавриц В.А. В сборнике: В мире науки и инноваций сборник статей межд</w:t>
      </w:r>
      <w:r w:rsidRPr="00724342">
        <w:rPr>
          <w:rFonts w:eastAsiaTheme="minorHAnsi" w:cstheme="minorBidi"/>
          <w:sz w:val="22"/>
          <w:szCs w:val="22"/>
          <w:lang w:eastAsia="en-US"/>
        </w:rPr>
        <w:t>у</w:t>
      </w:r>
      <w:r w:rsidRPr="00724342">
        <w:rPr>
          <w:rFonts w:eastAsiaTheme="minorHAnsi" w:cstheme="minorBidi"/>
          <w:sz w:val="22"/>
          <w:szCs w:val="22"/>
          <w:lang w:eastAsia="en-US"/>
        </w:rPr>
        <w:t>народной научно-практической конференции: в 8 частях. 2016. С. 114-116.</w:t>
      </w:r>
    </w:p>
    <w:p w:rsidR="00724342" w:rsidRPr="00724342" w:rsidRDefault="00724342" w:rsidP="00724342">
      <w:pPr>
        <w:jc w:val="both"/>
        <w:rPr>
          <w:rFonts w:eastAsia="Yu Mincho"/>
          <w:sz w:val="22"/>
          <w:szCs w:val="22"/>
          <w:lang w:eastAsia="en-US"/>
        </w:rPr>
      </w:pPr>
    </w:p>
    <w:p w:rsidR="00724342" w:rsidRPr="00724342" w:rsidRDefault="00724342" w:rsidP="00724342">
      <w:pPr>
        <w:jc w:val="both"/>
        <w:rPr>
          <w:rFonts w:eastAsia="Yu Mincho"/>
          <w:sz w:val="22"/>
          <w:szCs w:val="22"/>
          <w:lang w:eastAsia="en-US"/>
        </w:rPr>
      </w:pPr>
    </w:p>
    <w:p w:rsidR="00724342" w:rsidRPr="00724342" w:rsidRDefault="00724342" w:rsidP="00724342">
      <w:pPr>
        <w:rPr>
          <w:sz w:val="22"/>
          <w:szCs w:val="22"/>
          <w:lang w:val="en-US" w:eastAsia="en-US"/>
        </w:rPr>
      </w:pPr>
      <w:r w:rsidRPr="00724342">
        <w:rPr>
          <w:sz w:val="22"/>
          <w:szCs w:val="22"/>
          <w:lang w:eastAsia="en-US"/>
        </w:rPr>
        <w:t>УДК</w:t>
      </w:r>
      <w:r w:rsidRPr="00724342">
        <w:rPr>
          <w:sz w:val="22"/>
          <w:szCs w:val="22"/>
          <w:lang w:val="en-US" w:eastAsia="en-US"/>
        </w:rPr>
        <w:t xml:space="preserve"> 338.312 </w:t>
      </w:r>
    </w:p>
    <w:p w:rsidR="00724342" w:rsidRPr="00724342" w:rsidRDefault="00724342" w:rsidP="00724342">
      <w:pPr>
        <w:rPr>
          <w:b/>
          <w:sz w:val="24"/>
          <w:szCs w:val="24"/>
          <w:lang w:val="en-US" w:eastAsia="en-US"/>
        </w:rPr>
      </w:pPr>
    </w:p>
    <w:p w:rsidR="00724342" w:rsidRPr="00F972D6" w:rsidRDefault="00724342" w:rsidP="00F972D6">
      <w:pPr>
        <w:jc w:val="center"/>
        <w:rPr>
          <w:b/>
          <w:sz w:val="24"/>
          <w:szCs w:val="24"/>
          <w:lang w:val="en-US" w:eastAsia="en-US"/>
        </w:rPr>
      </w:pPr>
      <w:r w:rsidRPr="00724342">
        <w:rPr>
          <w:b/>
          <w:sz w:val="24"/>
          <w:szCs w:val="24"/>
          <w:lang w:eastAsia="en-US"/>
        </w:rPr>
        <w:t>Формирование</w:t>
      </w:r>
      <w:r w:rsidRPr="00C56F2E">
        <w:rPr>
          <w:b/>
          <w:sz w:val="24"/>
          <w:szCs w:val="24"/>
          <w:lang w:val="en-US" w:eastAsia="en-US"/>
        </w:rPr>
        <w:t xml:space="preserve"> </w:t>
      </w:r>
      <w:r w:rsidRPr="00724342">
        <w:rPr>
          <w:b/>
          <w:sz w:val="24"/>
          <w:szCs w:val="24"/>
          <w:lang w:eastAsia="en-US"/>
        </w:rPr>
        <w:t>стратегии</w:t>
      </w:r>
      <w:r w:rsidRPr="00C56F2E">
        <w:rPr>
          <w:b/>
          <w:sz w:val="24"/>
          <w:szCs w:val="24"/>
          <w:lang w:val="en-US" w:eastAsia="en-US"/>
        </w:rPr>
        <w:t xml:space="preserve"> </w:t>
      </w:r>
      <w:r w:rsidRPr="00724342">
        <w:rPr>
          <w:b/>
          <w:sz w:val="24"/>
          <w:szCs w:val="24"/>
          <w:lang w:eastAsia="en-US"/>
        </w:rPr>
        <w:t>на</w:t>
      </w:r>
      <w:r w:rsidRPr="00C56F2E">
        <w:rPr>
          <w:b/>
          <w:sz w:val="24"/>
          <w:szCs w:val="24"/>
          <w:lang w:val="en-US" w:eastAsia="en-US"/>
        </w:rPr>
        <w:t xml:space="preserve"> </w:t>
      </w:r>
      <w:r w:rsidRPr="00724342">
        <w:rPr>
          <w:b/>
          <w:sz w:val="24"/>
          <w:szCs w:val="24"/>
          <w:lang w:eastAsia="en-US"/>
        </w:rPr>
        <w:t>предприятии</w:t>
      </w:r>
      <w:r w:rsidRPr="00C56F2E">
        <w:rPr>
          <w:b/>
          <w:sz w:val="24"/>
          <w:szCs w:val="24"/>
          <w:lang w:val="en-US" w:eastAsia="en-US"/>
        </w:rPr>
        <w:t xml:space="preserve"> </w:t>
      </w:r>
      <w:r w:rsidRPr="00724342">
        <w:rPr>
          <w:b/>
          <w:sz w:val="24"/>
          <w:szCs w:val="24"/>
          <w:lang w:eastAsia="en-US"/>
        </w:rPr>
        <w:t>как</w:t>
      </w:r>
      <w:r w:rsidRPr="00C56F2E">
        <w:rPr>
          <w:b/>
          <w:sz w:val="24"/>
          <w:szCs w:val="24"/>
          <w:lang w:val="en-US" w:eastAsia="en-US"/>
        </w:rPr>
        <w:t xml:space="preserve"> </w:t>
      </w:r>
      <w:r w:rsidRPr="00724342">
        <w:rPr>
          <w:b/>
          <w:sz w:val="24"/>
          <w:szCs w:val="24"/>
          <w:lang w:eastAsia="en-US"/>
        </w:rPr>
        <w:t>способ</w:t>
      </w:r>
      <w:r w:rsidR="006E4146" w:rsidRPr="00C56F2E">
        <w:rPr>
          <w:b/>
          <w:sz w:val="24"/>
          <w:szCs w:val="24"/>
          <w:lang w:val="en-US" w:eastAsia="en-US"/>
        </w:rPr>
        <w:br/>
      </w:r>
      <w:r w:rsidRPr="00C56F2E">
        <w:rPr>
          <w:b/>
          <w:sz w:val="24"/>
          <w:szCs w:val="24"/>
          <w:lang w:val="en-US" w:eastAsia="en-US"/>
        </w:rPr>
        <w:t xml:space="preserve"> </w:t>
      </w:r>
      <w:r w:rsidRPr="00724342">
        <w:rPr>
          <w:b/>
          <w:sz w:val="24"/>
          <w:szCs w:val="24"/>
          <w:lang w:eastAsia="en-US"/>
        </w:rPr>
        <w:t>повышения</w:t>
      </w:r>
      <w:r w:rsidRPr="00C56F2E">
        <w:rPr>
          <w:b/>
          <w:sz w:val="24"/>
          <w:szCs w:val="24"/>
          <w:lang w:val="en-US" w:eastAsia="en-US"/>
        </w:rPr>
        <w:t xml:space="preserve"> </w:t>
      </w:r>
      <w:r w:rsidRPr="00724342">
        <w:rPr>
          <w:b/>
          <w:sz w:val="24"/>
          <w:szCs w:val="24"/>
          <w:lang w:eastAsia="en-US"/>
        </w:rPr>
        <w:t>эффективности</w:t>
      </w:r>
      <w:r w:rsidRPr="00C56F2E">
        <w:rPr>
          <w:b/>
          <w:sz w:val="24"/>
          <w:szCs w:val="24"/>
          <w:lang w:val="en-US" w:eastAsia="en-US"/>
        </w:rPr>
        <w:t xml:space="preserve"> </w:t>
      </w:r>
      <w:r w:rsidRPr="00724342">
        <w:rPr>
          <w:b/>
          <w:sz w:val="24"/>
          <w:szCs w:val="24"/>
          <w:lang w:eastAsia="en-US"/>
        </w:rPr>
        <w:t>производства</w:t>
      </w:r>
      <w:r w:rsidRPr="00C56F2E">
        <w:rPr>
          <w:lang w:val="en-US" w:eastAsia="en-US"/>
        </w:rPr>
        <w:br/>
      </w:r>
      <w:r w:rsidRPr="00724342">
        <w:rPr>
          <w:b/>
          <w:sz w:val="24"/>
          <w:szCs w:val="24"/>
          <w:lang w:val="en-US" w:eastAsia="en-US"/>
        </w:rPr>
        <w:t>Formation</w:t>
      </w:r>
      <w:r w:rsidRPr="00C56F2E">
        <w:rPr>
          <w:b/>
          <w:sz w:val="24"/>
          <w:szCs w:val="24"/>
          <w:lang w:val="en-US" w:eastAsia="en-US"/>
        </w:rPr>
        <w:t xml:space="preserve"> </w:t>
      </w:r>
      <w:r w:rsidRPr="00724342">
        <w:rPr>
          <w:b/>
          <w:sz w:val="24"/>
          <w:szCs w:val="24"/>
          <w:lang w:val="en-US" w:eastAsia="en-US"/>
        </w:rPr>
        <w:t>of</w:t>
      </w:r>
      <w:r w:rsidRPr="00C56F2E">
        <w:rPr>
          <w:b/>
          <w:sz w:val="24"/>
          <w:szCs w:val="24"/>
          <w:lang w:val="en-US" w:eastAsia="en-US"/>
        </w:rPr>
        <w:t xml:space="preserve"> </w:t>
      </w:r>
      <w:r w:rsidRPr="00724342">
        <w:rPr>
          <w:b/>
          <w:sz w:val="24"/>
          <w:szCs w:val="24"/>
          <w:lang w:val="en-US" w:eastAsia="en-US"/>
        </w:rPr>
        <w:t>strategy</w:t>
      </w:r>
      <w:r w:rsidRPr="00C56F2E">
        <w:rPr>
          <w:b/>
          <w:sz w:val="24"/>
          <w:szCs w:val="24"/>
          <w:lang w:val="en-US" w:eastAsia="en-US"/>
        </w:rPr>
        <w:t xml:space="preserve"> </w:t>
      </w:r>
      <w:r w:rsidRPr="00724342">
        <w:rPr>
          <w:b/>
          <w:sz w:val="24"/>
          <w:szCs w:val="24"/>
          <w:lang w:val="en-US" w:eastAsia="en-US"/>
        </w:rPr>
        <w:t>at</w:t>
      </w:r>
      <w:r w:rsidRPr="00C56F2E">
        <w:rPr>
          <w:b/>
          <w:sz w:val="24"/>
          <w:szCs w:val="24"/>
          <w:lang w:val="en-US" w:eastAsia="en-US"/>
        </w:rPr>
        <w:t xml:space="preserve"> </w:t>
      </w:r>
      <w:r w:rsidRPr="00724342">
        <w:rPr>
          <w:b/>
          <w:sz w:val="24"/>
          <w:szCs w:val="24"/>
          <w:lang w:val="en-US" w:eastAsia="en-US"/>
        </w:rPr>
        <w:t>the</w:t>
      </w:r>
      <w:r w:rsidRPr="00C56F2E">
        <w:rPr>
          <w:b/>
          <w:sz w:val="24"/>
          <w:szCs w:val="24"/>
          <w:lang w:val="en-US" w:eastAsia="en-US"/>
        </w:rPr>
        <w:t xml:space="preserve"> </w:t>
      </w:r>
      <w:r w:rsidRPr="00724342">
        <w:rPr>
          <w:b/>
          <w:sz w:val="24"/>
          <w:szCs w:val="24"/>
          <w:lang w:val="en-US" w:eastAsia="en-US"/>
        </w:rPr>
        <w:t>enterprise</w:t>
      </w:r>
      <w:r w:rsidRPr="00C56F2E">
        <w:rPr>
          <w:b/>
          <w:sz w:val="24"/>
          <w:szCs w:val="24"/>
          <w:lang w:val="en-US" w:eastAsia="en-US"/>
        </w:rPr>
        <w:t xml:space="preserve"> </w:t>
      </w:r>
      <w:r w:rsidRPr="00724342">
        <w:rPr>
          <w:b/>
          <w:sz w:val="24"/>
          <w:szCs w:val="24"/>
          <w:lang w:val="en-US" w:eastAsia="en-US"/>
        </w:rPr>
        <w:t>as</w:t>
      </w:r>
      <w:r w:rsidRPr="00C56F2E">
        <w:rPr>
          <w:b/>
          <w:sz w:val="24"/>
          <w:szCs w:val="24"/>
          <w:lang w:val="en-US" w:eastAsia="en-US"/>
        </w:rPr>
        <w:t xml:space="preserve"> </w:t>
      </w:r>
      <w:r w:rsidRPr="00724342">
        <w:rPr>
          <w:b/>
          <w:sz w:val="24"/>
          <w:szCs w:val="24"/>
          <w:lang w:val="en-US" w:eastAsia="en-US"/>
        </w:rPr>
        <w:t>a</w:t>
      </w:r>
      <w:r w:rsidRPr="00C56F2E">
        <w:rPr>
          <w:b/>
          <w:sz w:val="24"/>
          <w:szCs w:val="24"/>
          <w:lang w:val="en-US" w:eastAsia="en-US"/>
        </w:rPr>
        <w:t xml:space="preserve"> </w:t>
      </w:r>
      <w:r w:rsidRPr="00724342">
        <w:rPr>
          <w:b/>
          <w:sz w:val="24"/>
          <w:szCs w:val="24"/>
          <w:lang w:val="en-US" w:eastAsia="en-US"/>
        </w:rPr>
        <w:t>way</w:t>
      </w:r>
      <w:r w:rsidRPr="00C56F2E">
        <w:rPr>
          <w:b/>
          <w:sz w:val="24"/>
          <w:szCs w:val="24"/>
          <w:lang w:val="en-US" w:eastAsia="en-US"/>
        </w:rPr>
        <w:t xml:space="preserve"> </w:t>
      </w:r>
      <w:r w:rsidRPr="00724342">
        <w:rPr>
          <w:b/>
          <w:sz w:val="24"/>
          <w:szCs w:val="24"/>
          <w:lang w:val="en-US" w:eastAsia="en-US"/>
        </w:rPr>
        <w:t>to</w:t>
      </w:r>
      <w:r w:rsidRPr="00C56F2E">
        <w:rPr>
          <w:b/>
          <w:sz w:val="24"/>
          <w:szCs w:val="24"/>
          <w:lang w:val="en-US" w:eastAsia="en-US"/>
        </w:rPr>
        <w:t xml:space="preserve"> </w:t>
      </w:r>
      <w:r w:rsidRPr="00724342">
        <w:rPr>
          <w:b/>
          <w:sz w:val="24"/>
          <w:szCs w:val="24"/>
          <w:lang w:val="en-US" w:eastAsia="en-US"/>
        </w:rPr>
        <w:t>increase</w:t>
      </w:r>
      <w:r w:rsidRPr="00C56F2E">
        <w:rPr>
          <w:b/>
          <w:sz w:val="24"/>
          <w:szCs w:val="24"/>
          <w:lang w:val="en-US" w:eastAsia="en-US"/>
        </w:rPr>
        <w:t xml:space="preserve"> </w:t>
      </w:r>
      <w:r w:rsidRPr="00724342">
        <w:rPr>
          <w:b/>
          <w:sz w:val="24"/>
          <w:szCs w:val="24"/>
          <w:lang w:val="en-US" w:eastAsia="en-US"/>
        </w:rPr>
        <w:t>production</w:t>
      </w:r>
      <w:r w:rsidRPr="00C56F2E">
        <w:rPr>
          <w:b/>
          <w:sz w:val="24"/>
          <w:szCs w:val="24"/>
          <w:lang w:val="en-US" w:eastAsia="en-US"/>
        </w:rPr>
        <w:t xml:space="preserve"> </w:t>
      </w:r>
      <w:r w:rsidRPr="00724342">
        <w:rPr>
          <w:b/>
          <w:sz w:val="24"/>
          <w:szCs w:val="24"/>
          <w:lang w:val="en-US" w:eastAsia="en-US"/>
        </w:rPr>
        <w:t>efficiency</w:t>
      </w:r>
    </w:p>
    <w:p w:rsidR="00724342" w:rsidRPr="00724342" w:rsidRDefault="00724342" w:rsidP="00724342">
      <w:pPr>
        <w:jc w:val="right"/>
        <w:rPr>
          <w:sz w:val="22"/>
          <w:szCs w:val="22"/>
          <w:lang w:eastAsia="en-US"/>
        </w:rPr>
      </w:pPr>
      <w:r w:rsidRPr="00724342">
        <w:rPr>
          <w:sz w:val="22"/>
          <w:szCs w:val="22"/>
          <w:lang w:eastAsia="en-US"/>
        </w:rPr>
        <w:t>Колесник А. В.,</w:t>
      </w:r>
    </w:p>
    <w:p w:rsidR="00724342" w:rsidRPr="00724342" w:rsidRDefault="00724342" w:rsidP="00724342">
      <w:pPr>
        <w:ind w:right="52"/>
        <w:jc w:val="right"/>
        <w:rPr>
          <w:sz w:val="22"/>
          <w:szCs w:val="22"/>
          <w:lang w:eastAsia="en-US"/>
        </w:rPr>
      </w:pPr>
      <w:r w:rsidRPr="00724342">
        <w:rPr>
          <w:sz w:val="22"/>
          <w:szCs w:val="22"/>
          <w:lang w:eastAsia="en-US"/>
        </w:rPr>
        <w:t>студентка 4 курса экономического факультета</w:t>
      </w:r>
    </w:p>
    <w:p w:rsidR="00724342" w:rsidRPr="00724342" w:rsidRDefault="00724342" w:rsidP="00724342">
      <w:pPr>
        <w:ind w:right="52"/>
        <w:jc w:val="right"/>
        <w:rPr>
          <w:sz w:val="22"/>
          <w:szCs w:val="22"/>
          <w:lang w:eastAsia="en-US"/>
        </w:rPr>
      </w:pPr>
      <w:r w:rsidRPr="00724342">
        <w:rPr>
          <w:sz w:val="22"/>
          <w:szCs w:val="22"/>
          <w:lang w:eastAsia="en-US"/>
        </w:rPr>
        <w:t>Соколова 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F972D6" w:rsidRDefault="00724342" w:rsidP="00724342">
      <w:pPr>
        <w:ind w:right="52"/>
        <w:jc w:val="right"/>
        <w:rPr>
          <w:sz w:val="22"/>
          <w:szCs w:val="22"/>
          <w:lang w:eastAsia="en-US"/>
        </w:rPr>
      </w:pPr>
      <w:r w:rsidRPr="00724342">
        <w:rPr>
          <w:sz w:val="22"/>
          <w:szCs w:val="22"/>
          <w:lang w:eastAsia="en-US"/>
        </w:rPr>
        <w:t xml:space="preserve">Кубанский государственный аграрный </w:t>
      </w:r>
    </w:p>
    <w:p w:rsidR="00724342" w:rsidRPr="00724342" w:rsidRDefault="00724342" w:rsidP="00F972D6">
      <w:pPr>
        <w:ind w:right="52"/>
        <w:jc w:val="right"/>
        <w:rPr>
          <w:sz w:val="22"/>
          <w:szCs w:val="22"/>
          <w:lang w:eastAsia="en-US"/>
        </w:rPr>
      </w:pPr>
      <w:r w:rsidRPr="00724342">
        <w:rPr>
          <w:sz w:val="22"/>
          <w:szCs w:val="22"/>
          <w:lang w:eastAsia="en-US"/>
        </w:rPr>
        <w:t>университет имени И.</w:t>
      </w:r>
      <w:r w:rsidR="006E4146">
        <w:rPr>
          <w:sz w:val="22"/>
          <w:szCs w:val="22"/>
          <w:lang w:eastAsia="en-US"/>
        </w:rPr>
        <w:t xml:space="preserve"> </w:t>
      </w:r>
      <w:r w:rsidRPr="00724342">
        <w:rPr>
          <w:sz w:val="22"/>
          <w:szCs w:val="22"/>
          <w:lang w:eastAsia="en-US"/>
        </w:rPr>
        <w:t>Т. Трубилина</w:t>
      </w:r>
    </w:p>
    <w:p w:rsidR="00724342" w:rsidRPr="00724342" w:rsidRDefault="00724342" w:rsidP="00724342">
      <w:pPr>
        <w:jc w:val="both"/>
        <w:rPr>
          <w:sz w:val="22"/>
          <w:szCs w:val="22"/>
          <w:lang w:eastAsia="en-US"/>
        </w:rPr>
      </w:pPr>
    </w:p>
    <w:p w:rsidR="00724342" w:rsidRPr="00724342" w:rsidRDefault="006E4146" w:rsidP="006E4146">
      <w:pPr>
        <w:ind w:firstLine="426"/>
        <w:jc w:val="both"/>
        <w:rPr>
          <w:sz w:val="22"/>
          <w:szCs w:val="22"/>
          <w:lang w:eastAsia="en-US"/>
        </w:rPr>
      </w:pPr>
      <w:r>
        <w:rPr>
          <w:sz w:val="22"/>
          <w:szCs w:val="22"/>
          <w:lang w:eastAsia="en-US"/>
        </w:rPr>
        <w:t>АННОТА</w:t>
      </w:r>
      <w:r w:rsidR="00724342" w:rsidRPr="00724342">
        <w:rPr>
          <w:sz w:val="22"/>
          <w:szCs w:val="22"/>
          <w:lang w:eastAsia="en-US"/>
        </w:rPr>
        <w:t>ЦИЯ: Определен концептуальный подход к формир</w:t>
      </w:r>
      <w:r w:rsidR="00724342" w:rsidRPr="00724342">
        <w:rPr>
          <w:sz w:val="22"/>
          <w:szCs w:val="22"/>
          <w:lang w:eastAsia="en-US"/>
        </w:rPr>
        <w:t>о</w:t>
      </w:r>
      <w:r w:rsidR="00724342" w:rsidRPr="00724342">
        <w:rPr>
          <w:sz w:val="22"/>
          <w:szCs w:val="22"/>
          <w:lang w:eastAsia="en-US"/>
        </w:rPr>
        <w:t>ванию стратегии развития предприятия, выделены основные эл</w:t>
      </w:r>
      <w:r w:rsidR="00724342" w:rsidRPr="00724342">
        <w:rPr>
          <w:sz w:val="22"/>
          <w:szCs w:val="22"/>
          <w:lang w:eastAsia="en-US"/>
        </w:rPr>
        <w:t>е</w:t>
      </w:r>
      <w:r w:rsidR="00724342" w:rsidRPr="00724342">
        <w:rPr>
          <w:sz w:val="22"/>
          <w:szCs w:val="22"/>
          <w:lang w:eastAsia="en-US"/>
        </w:rPr>
        <w:t>менты стратегии и требования к ее формированию.</w:t>
      </w:r>
    </w:p>
    <w:p w:rsidR="00724342" w:rsidRPr="00724342" w:rsidRDefault="00724342" w:rsidP="006E4146">
      <w:pPr>
        <w:ind w:firstLine="426"/>
        <w:jc w:val="both"/>
        <w:rPr>
          <w:sz w:val="22"/>
          <w:szCs w:val="22"/>
          <w:lang w:val="en-US" w:eastAsia="en-US"/>
        </w:rPr>
      </w:pPr>
      <w:r w:rsidRPr="00724342">
        <w:rPr>
          <w:sz w:val="22"/>
          <w:szCs w:val="22"/>
          <w:lang w:eastAsia="en-US"/>
        </w:rPr>
        <w:t>А</w:t>
      </w:r>
      <w:r w:rsidRPr="00724342">
        <w:rPr>
          <w:sz w:val="22"/>
          <w:szCs w:val="22"/>
          <w:lang w:val="en-US" w:eastAsia="en-US"/>
        </w:rPr>
        <w:t>BSTRACT</w:t>
      </w:r>
      <w:r w:rsidRPr="00724342">
        <w:rPr>
          <w:sz w:val="22"/>
          <w:szCs w:val="22"/>
          <w:lang w:val="en" w:eastAsia="en-US"/>
        </w:rPr>
        <w:t>: The conceptual approach to the formation of the e</w:t>
      </w:r>
      <w:r w:rsidRPr="00724342">
        <w:rPr>
          <w:sz w:val="22"/>
          <w:szCs w:val="22"/>
          <w:lang w:val="en" w:eastAsia="en-US"/>
        </w:rPr>
        <w:t>n</w:t>
      </w:r>
      <w:r w:rsidRPr="00724342">
        <w:rPr>
          <w:sz w:val="22"/>
          <w:szCs w:val="22"/>
          <w:lang w:val="en" w:eastAsia="en-US"/>
        </w:rPr>
        <w:t>terprise development strategy is defined, the main elements of the strat</w:t>
      </w:r>
      <w:r w:rsidRPr="00724342">
        <w:rPr>
          <w:sz w:val="22"/>
          <w:szCs w:val="22"/>
          <w:lang w:val="en" w:eastAsia="en-US"/>
        </w:rPr>
        <w:t>e</w:t>
      </w:r>
      <w:r w:rsidRPr="00724342">
        <w:rPr>
          <w:sz w:val="22"/>
          <w:szCs w:val="22"/>
          <w:lang w:val="en" w:eastAsia="en-US"/>
        </w:rPr>
        <w:t>gy and the requirements for its formation.</w:t>
      </w:r>
    </w:p>
    <w:p w:rsidR="00724342" w:rsidRPr="00724342" w:rsidRDefault="00724342" w:rsidP="006E4146">
      <w:pPr>
        <w:ind w:firstLine="426"/>
        <w:jc w:val="both"/>
        <w:rPr>
          <w:sz w:val="22"/>
          <w:szCs w:val="22"/>
          <w:lang w:eastAsia="en-US"/>
        </w:rPr>
      </w:pPr>
      <w:r w:rsidRPr="00724342">
        <w:rPr>
          <w:sz w:val="22"/>
          <w:szCs w:val="22"/>
          <w:lang w:val="en-US" w:eastAsia="en-US"/>
        </w:rPr>
        <w:t xml:space="preserve"> </w:t>
      </w:r>
      <w:r w:rsidRPr="00724342">
        <w:rPr>
          <w:rFonts w:eastAsia="Courier New"/>
          <w:sz w:val="22"/>
          <w:szCs w:val="22"/>
          <w:lang w:eastAsia="en-US"/>
        </w:rPr>
        <w:t>КЛЮЧЕВЫЕ СЛОВА</w:t>
      </w:r>
      <w:r w:rsidRPr="00724342">
        <w:rPr>
          <w:sz w:val="22"/>
          <w:szCs w:val="22"/>
          <w:lang w:eastAsia="en-US"/>
        </w:rPr>
        <w:t>: стратегия, элементы стратегии, при</w:t>
      </w:r>
      <w:r w:rsidRPr="00724342">
        <w:rPr>
          <w:sz w:val="22"/>
          <w:szCs w:val="22"/>
          <w:lang w:eastAsia="en-US"/>
        </w:rPr>
        <w:t>н</w:t>
      </w:r>
      <w:r w:rsidRPr="00724342">
        <w:rPr>
          <w:sz w:val="22"/>
          <w:szCs w:val="22"/>
          <w:lang w:eastAsia="en-US"/>
        </w:rPr>
        <w:t xml:space="preserve">ципы формирования стратегии. </w:t>
      </w:r>
    </w:p>
    <w:p w:rsidR="00724342" w:rsidRPr="00724342" w:rsidRDefault="00724342" w:rsidP="006E4146">
      <w:pPr>
        <w:ind w:firstLine="426"/>
        <w:jc w:val="both"/>
        <w:rPr>
          <w:sz w:val="22"/>
          <w:szCs w:val="22"/>
          <w:lang w:val="en-US" w:eastAsia="en-US"/>
        </w:rPr>
      </w:pPr>
      <w:r w:rsidRPr="00724342">
        <w:rPr>
          <w:sz w:val="22"/>
          <w:szCs w:val="22"/>
          <w:lang w:val="en-US" w:eastAsia="en-US"/>
        </w:rPr>
        <w:t>KEYWORDS: strategy, elements of strategy, principles of strategy formation.</w:t>
      </w:r>
    </w:p>
    <w:p w:rsidR="00724342" w:rsidRPr="00724342" w:rsidRDefault="00724342" w:rsidP="006E4146">
      <w:pPr>
        <w:ind w:firstLine="426"/>
        <w:jc w:val="both"/>
        <w:rPr>
          <w:sz w:val="22"/>
          <w:szCs w:val="22"/>
          <w:lang w:val="en-US" w:eastAsia="en-US"/>
        </w:rPr>
      </w:pPr>
    </w:p>
    <w:p w:rsidR="00724342" w:rsidRPr="00724342" w:rsidRDefault="00724342" w:rsidP="006E4146">
      <w:pPr>
        <w:ind w:firstLine="426"/>
        <w:jc w:val="both"/>
        <w:rPr>
          <w:sz w:val="22"/>
          <w:szCs w:val="22"/>
          <w:lang w:eastAsia="en-US"/>
        </w:rPr>
      </w:pPr>
      <w:r w:rsidRPr="00724342">
        <w:rPr>
          <w:sz w:val="22"/>
          <w:szCs w:val="22"/>
          <w:lang w:eastAsia="en-US"/>
        </w:rPr>
        <w:t>Для успешного функционирования предприятия в условиях п</w:t>
      </w:r>
      <w:r w:rsidRPr="00724342">
        <w:rPr>
          <w:sz w:val="22"/>
          <w:szCs w:val="22"/>
          <w:lang w:eastAsia="en-US"/>
        </w:rPr>
        <w:t>о</w:t>
      </w:r>
      <w:r w:rsidRPr="00724342">
        <w:rPr>
          <w:sz w:val="22"/>
          <w:szCs w:val="22"/>
          <w:lang w:eastAsia="en-US"/>
        </w:rPr>
        <w:t>стоянно изменяющейся внешней среды организации необходимо выбрать приоритетные направления и цели своей деятельности, то есть выработать эффективную стратегию. При формировании стр</w:t>
      </w:r>
      <w:r w:rsidRPr="00724342">
        <w:rPr>
          <w:sz w:val="22"/>
          <w:szCs w:val="22"/>
          <w:lang w:eastAsia="en-US"/>
        </w:rPr>
        <w:t>а</w:t>
      </w:r>
      <w:r w:rsidRPr="00724342">
        <w:rPr>
          <w:sz w:val="22"/>
          <w:szCs w:val="22"/>
          <w:lang w:eastAsia="en-US"/>
        </w:rPr>
        <w:lastRenderedPageBreak/>
        <w:t>тегии, как правило, учитывают два концептуальных аспекта: умение гибко реагировать на изменение внешней среды и повышение ко</w:t>
      </w:r>
      <w:r w:rsidRPr="00724342">
        <w:rPr>
          <w:sz w:val="22"/>
          <w:szCs w:val="22"/>
          <w:lang w:eastAsia="en-US"/>
        </w:rPr>
        <w:t>н</w:t>
      </w:r>
      <w:r w:rsidRPr="00724342">
        <w:rPr>
          <w:sz w:val="22"/>
          <w:szCs w:val="22"/>
          <w:lang w:eastAsia="en-US"/>
        </w:rPr>
        <w:t>курентоспособности путем более эффективного использования ограниченных ресурсов организации. Эффективная стратегия лежит в основе определения направления развития компании. Она обесп</w:t>
      </w:r>
      <w:r w:rsidRPr="00724342">
        <w:rPr>
          <w:sz w:val="22"/>
          <w:szCs w:val="22"/>
          <w:lang w:eastAsia="en-US"/>
        </w:rPr>
        <w:t>е</w:t>
      </w:r>
      <w:r w:rsidRPr="00724342">
        <w:rPr>
          <w:sz w:val="22"/>
          <w:szCs w:val="22"/>
          <w:lang w:eastAsia="en-US"/>
        </w:rPr>
        <w:t>чивает интеграцию и координацию действий всех сотрудников и подразделений, позволяет добиться лояльности потребителей в т</w:t>
      </w:r>
      <w:r w:rsidRPr="00724342">
        <w:rPr>
          <w:sz w:val="22"/>
          <w:szCs w:val="22"/>
          <w:lang w:eastAsia="en-US"/>
        </w:rPr>
        <w:t>е</w:t>
      </w:r>
      <w:r w:rsidRPr="00724342">
        <w:rPr>
          <w:sz w:val="22"/>
          <w:szCs w:val="22"/>
          <w:lang w:eastAsia="en-US"/>
        </w:rPr>
        <w:t xml:space="preserve">чение длительного периода функционирования </w:t>
      </w:r>
      <w:r w:rsidRPr="00724342">
        <w:rPr>
          <w:color w:val="000000"/>
          <w:sz w:val="22"/>
          <w:szCs w:val="22"/>
          <w:shd w:val="clear" w:color="auto" w:fill="FFFFFF"/>
          <w:lang w:eastAsia="en-US"/>
        </w:rPr>
        <w:t>[3].</w:t>
      </w:r>
    </w:p>
    <w:p w:rsidR="00724342" w:rsidRPr="00724342" w:rsidRDefault="00724342" w:rsidP="006E4146">
      <w:pPr>
        <w:ind w:firstLine="426"/>
        <w:jc w:val="both"/>
        <w:rPr>
          <w:sz w:val="22"/>
          <w:szCs w:val="22"/>
          <w:lang w:eastAsia="en-US"/>
        </w:rPr>
      </w:pPr>
      <w:r w:rsidRPr="00724342">
        <w:rPr>
          <w:sz w:val="22"/>
          <w:szCs w:val="22"/>
          <w:lang w:eastAsia="en-US"/>
        </w:rPr>
        <w:t>Разработка стратегии компании включает следующее: форм</w:t>
      </w:r>
      <w:r w:rsidRPr="00724342">
        <w:rPr>
          <w:sz w:val="22"/>
          <w:szCs w:val="22"/>
          <w:lang w:eastAsia="en-US"/>
        </w:rPr>
        <w:t>и</w:t>
      </w:r>
      <w:r w:rsidRPr="00724342">
        <w:rPr>
          <w:sz w:val="22"/>
          <w:szCs w:val="22"/>
          <w:lang w:eastAsia="en-US"/>
        </w:rPr>
        <w:t>рование миссии, определение долгосрочных целей и задач, разр</w:t>
      </w:r>
      <w:r w:rsidRPr="00724342">
        <w:rPr>
          <w:sz w:val="22"/>
          <w:szCs w:val="22"/>
          <w:lang w:eastAsia="en-US"/>
        </w:rPr>
        <w:t>а</w:t>
      </w:r>
      <w:r w:rsidRPr="00724342">
        <w:rPr>
          <w:sz w:val="22"/>
          <w:szCs w:val="22"/>
          <w:lang w:eastAsia="en-US"/>
        </w:rPr>
        <w:t xml:space="preserve">ботка стратегии, реализация стратегии посредством осуществления инвестиционных проектов. Главной задачей при формировании стратегии предприятия является оценка возможности стабильного развития компании на основе полученных данных. </w:t>
      </w:r>
    </w:p>
    <w:p w:rsidR="00724342" w:rsidRPr="00724342" w:rsidRDefault="00724342" w:rsidP="006E4146">
      <w:pPr>
        <w:ind w:firstLine="426"/>
        <w:jc w:val="both"/>
        <w:rPr>
          <w:sz w:val="22"/>
          <w:szCs w:val="22"/>
          <w:lang w:eastAsia="en-US"/>
        </w:rPr>
      </w:pPr>
      <w:r w:rsidRPr="00724342">
        <w:rPr>
          <w:sz w:val="22"/>
          <w:szCs w:val="22"/>
          <w:lang w:eastAsia="en-US"/>
        </w:rPr>
        <w:t xml:space="preserve"> Для успешной реализации стратегии необходимо предусмо</w:t>
      </w:r>
      <w:r w:rsidRPr="00724342">
        <w:rPr>
          <w:sz w:val="22"/>
          <w:szCs w:val="22"/>
          <w:lang w:eastAsia="en-US"/>
        </w:rPr>
        <w:t>т</w:t>
      </w:r>
      <w:r w:rsidRPr="00724342">
        <w:rPr>
          <w:sz w:val="22"/>
          <w:szCs w:val="22"/>
          <w:lang w:eastAsia="en-US"/>
        </w:rPr>
        <w:t>реть варианты развития ее отдельных элементов. К таким элеме</w:t>
      </w:r>
      <w:r w:rsidRPr="00724342">
        <w:rPr>
          <w:sz w:val="22"/>
          <w:szCs w:val="22"/>
          <w:lang w:eastAsia="en-US"/>
        </w:rPr>
        <w:t>н</w:t>
      </w:r>
      <w:r w:rsidRPr="00724342">
        <w:rPr>
          <w:sz w:val="22"/>
          <w:szCs w:val="22"/>
          <w:lang w:eastAsia="en-US"/>
        </w:rPr>
        <w:t xml:space="preserve">там следует отнести: </w:t>
      </w:r>
    </w:p>
    <w:p w:rsidR="00724342" w:rsidRPr="00724342" w:rsidRDefault="00724342" w:rsidP="006E4146">
      <w:pPr>
        <w:numPr>
          <w:ilvl w:val="0"/>
          <w:numId w:val="83"/>
        </w:numPr>
        <w:tabs>
          <w:tab w:val="left" w:pos="709"/>
        </w:tabs>
        <w:ind w:left="0" w:firstLine="426"/>
        <w:jc w:val="both"/>
        <w:rPr>
          <w:sz w:val="22"/>
          <w:szCs w:val="22"/>
          <w:lang w:eastAsia="en-US"/>
        </w:rPr>
      </w:pPr>
      <w:r w:rsidRPr="00724342">
        <w:rPr>
          <w:sz w:val="22"/>
          <w:szCs w:val="22"/>
          <w:lang w:eastAsia="en-US"/>
        </w:rPr>
        <w:t>Производство – является важным элементом деятельности предприятия, так как от его технического и организационного уро</w:t>
      </w:r>
      <w:r w:rsidRPr="00724342">
        <w:rPr>
          <w:sz w:val="22"/>
          <w:szCs w:val="22"/>
          <w:lang w:eastAsia="en-US"/>
        </w:rPr>
        <w:t>в</w:t>
      </w:r>
      <w:r w:rsidRPr="00724342">
        <w:rPr>
          <w:sz w:val="22"/>
          <w:szCs w:val="22"/>
          <w:lang w:eastAsia="en-US"/>
        </w:rPr>
        <w:t>ня зависят результаты работы, в том числе качество продукции,  прибыль, эффективность производства. Осуществляется оценка производственного потенциала, необходимость внедрения новых технологий, строительства новых цехов и приобретения оборудов</w:t>
      </w:r>
      <w:r w:rsidRPr="00724342">
        <w:rPr>
          <w:sz w:val="22"/>
          <w:szCs w:val="22"/>
          <w:lang w:eastAsia="en-US"/>
        </w:rPr>
        <w:t>а</w:t>
      </w:r>
      <w:r w:rsidRPr="00724342">
        <w:rPr>
          <w:sz w:val="22"/>
          <w:szCs w:val="22"/>
          <w:lang w:eastAsia="en-US"/>
        </w:rPr>
        <w:t xml:space="preserve">ния. </w:t>
      </w:r>
    </w:p>
    <w:p w:rsidR="00724342" w:rsidRPr="00724342" w:rsidRDefault="00724342" w:rsidP="006E4146">
      <w:pPr>
        <w:numPr>
          <w:ilvl w:val="0"/>
          <w:numId w:val="83"/>
        </w:numPr>
        <w:tabs>
          <w:tab w:val="left" w:pos="709"/>
        </w:tabs>
        <w:ind w:left="0" w:firstLine="426"/>
        <w:jc w:val="both"/>
        <w:rPr>
          <w:sz w:val="22"/>
          <w:szCs w:val="22"/>
          <w:lang w:eastAsia="en-US"/>
        </w:rPr>
      </w:pPr>
      <w:r w:rsidRPr="00724342">
        <w:rPr>
          <w:sz w:val="22"/>
          <w:szCs w:val="22"/>
          <w:lang w:eastAsia="en-US"/>
        </w:rPr>
        <w:t>Персонал – является основным звеном, соединяющим цели развития предприятия и результат их достижения. Определяется необходимый уровень образования работников на различных учас</w:t>
      </w:r>
      <w:r w:rsidRPr="00724342">
        <w:rPr>
          <w:sz w:val="22"/>
          <w:szCs w:val="22"/>
          <w:lang w:eastAsia="en-US"/>
        </w:rPr>
        <w:t>т</w:t>
      </w:r>
      <w:r w:rsidRPr="00724342">
        <w:rPr>
          <w:sz w:val="22"/>
          <w:szCs w:val="22"/>
          <w:lang w:eastAsia="en-US"/>
        </w:rPr>
        <w:t>ках осуществления стратегии, оценивается компетенция работников компании, необходимость их переобучения и повышения квалиф</w:t>
      </w:r>
      <w:r w:rsidRPr="00724342">
        <w:rPr>
          <w:sz w:val="22"/>
          <w:szCs w:val="22"/>
          <w:lang w:eastAsia="en-US"/>
        </w:rPr>
        <w:t>и</w:t>
      </w:r>
      <w:r w:rsidRPr="00724342">
        <w:rPr>
          <w:sz w:val="22"/>
          <w:szCs w:val="22"/>
          <w:lang w:eastAsia="en-US"/>
        </w:rPr>
        <w:t>кации</w:t>
      </w:r>
      <w:r w:rsidRPr="00724342">
        <w:rPr>
          <w:color w:val="000000"/>
          <w:sz w:val="22"/>
          <w:szCs w:val="22"/>
          <w:shd w:val="clear" w:color="auto" w:fill="FFFFFF"/>
          <w:lang w:eastAsia="en-US"/>
        </w:rPr>
        <w:t xml:space="preserve"> [1].</w:t>
      </w:r>
    </w:p>
    <w:p w:rsidR="00724342" w:rsidRPr="00724342" w:rsidRDefault="00724342" w:rsidP="006E4146">
      <w:pPr>
        <w:numPr>
          <w:ilvl w:val="0"/>
          <w:numId w:val="83"/>
        </w:numPr>
        <w:tabs>
          <w:tab w:val="left" w:pos="709"/>
        </w:tabs>
        <w:ind w:left="0" w:firstLine="426"/>
        <w:jc w:val="both"/>
        <w:rPr>
          <w:sz w:val="22"/>
          <w:szCs w:val="22"/>
          <w:lang w:eastAsia="en-US"/>
        </w:rPr>
      </w:pPr>
      <w:r w:rsidRPr="00724342">
        <w:rPr>
          <w:sz w:val="22"/>
          <w:szCs w:val="22"/>
          <w:lang w:eastAsia="en-US"/>
        </w:rPr>
        <w:t>Финансы – определение основных источников финансир</w:t>
      </w:r>
      <w:r w:rsidRPr="00724342">
        <w:rPr>
          <w:sz w:val="22"/>
          <w:szCs w:val="22"/>
          <w:lang w:eastAsia="en-US"/>
        </w:rPr>
        <w:t>о</w:t>
      </w:r>
      <w:r w:rsidRPr="00724342">
        <w:rPr>
          <w:sz w:val="22"/>
          <w:szCs w:val="22"/>
          <w:lang w:eastAsia="en-US"/>
        </w:rPr>
        <w:t xml:space="preserve">вания, доли собственных и заемных средств.  </w:t>
      </w:r>
    </w:p>
    <w:p w:rsidR="00724342" w:rsidRPr="00724342" w:rsidRDefault="00724342" w:rsidP="006E4146">
      <w:pPr>
        <w:numPr>
          <w:ilvl w:val="0"/>
          <w:numId w:val="83"/>
        </w:numPr>
        <w:tabs>
          <w:tab w:val="left" w:pos="709"/>
        </w:tabs>
        <w:ind w:left="0" w:firstLine="426"/>
        <w:jc w:val="both"/>
        <w:rPr>
          <w:sz w:val="22"/>
          <w:szCs w:val="22"/>
          <w:lang w:eastAsia="en-US"/>
        </w:rPr>
      </w:pPr>
      <w:r w:rsidRPr="00724342">
        <w:rPr>
          <w:sz w:val="22"/>
          <w:szCs w:val="22"/>
          <w:lang w:eastAsia="en-US"/>
        </w:rPr>
        <w:t>Маркетинг – определяются возможные рынки сбыта и п</w:t>
      </w:r>
      <w:r w:rsidRPr="00724342">
        <w:rPr>
          <w:sz w:val="22"/>
          <w:szCs w:val="22"/>
          <w:lang w:eastAsia="en-US"/>
        </w:rPr>
        <w:t>о</w:t>
      </w:r>
      <w:r w:rsidRPr="00724342">
        <w:rPr>
          <w:sz w:val="22"/>
          <w:szCs w:val="22"/>
          <w:lang w:eastAsia="en-US"/>
        </w:rPr>
        <w:t xml:space="preserve">тенциальные покупатели, разрабатывается стратегия маркетинга.  </w:t>
      </w:r>
    </w:p>
    <w:p w:rsidR="00724342" w:rsidRPr="00724342" w:rsidRDefault="00724342" w:rsidP="006E4146">
      <w:pPr>
        <w:ind w:firstLine="426"/>
        <w:jc w:val="both"/>
        <w:rPr>
          <w:sz w:val="22"/>
          <w:szCs w:val="22"/>
          <w:lang w:eastAsia="en-US"/>
        </w:rPr>
      </w:pPr>
      <w:r w:rsidRPr="00724342">
        <w:rPr>
          <w:sz w:val="22"/>
          <w:szCs w:val="22"/>
          <w:lang w:eastAsia="en-US"/>
        </w:rPr>
        <w:t xml:space="preserve">К стратегии развития предприятия предъявляются следующие требования: </w:t>
      </w:r>
    </w:p>
    <w:p w:rsidR="00724342" w:rsidRPr="00724342" w:rsidRDefault="00724342" w:rsidP="006E4146">
      <w:pPr>
        <w:numPr>
          <w:ilvl w:val="0"/>
          <w:numId w:val="82"/>
        </w:numPr>
        <w:ind w:left="0" w:firstLine="426"/>
        <w:jc w:val="both"/>
        <w:rPr>
          <w:sz w:val="22"/>
          <w:szCs w:val="22"/>
          <w:lang w:eastAsia="en-US"/>
        </w:rPr>
      </w:pPr>
      <w:r w:rsidRPr="00724342">
        <w:rPr>
          <w:sz w:val="22"/>
          <w:szCs w:val="22"/>
          <w:lang w:eastAsia="en-US"/>
        </w:rPr>
        <w:t>«Нацеленность на результат» – этот критерий означает, что руководству предприятия в процессе разработки стратегии необх</w:t>
      </w:r>
      <w:r w:rsidRPr="00724342">
        <w:rPr>
          <w:sz w:val="22"/>
          <w:szCs w:val="22"/>
          <w:lang w:eastAsia="en-US"/>
        </w:rPr>
        <w:t>о</w:t>
      </w:r>
      <w:r w:rsidRPr="00724342">
        <w:rPr>
          <w:sz w:val="22"/>
          <w:szCs w:val="22"/>
          <w:lang w:eastAsia="en-US"/>
        </w:rPr>
        <w:lastRenderedPageBreak/>
        <w:t>димо обозначить четкие цели, которые необходимо реализовать в конкретные периоды времени. При этом нужно избегать слишком завышенных показателей, которые компания не сможет достичь на данном этапе своего развития. Выбор в качестве ориентира чре</w:t>
      </w:r>
      <w:r w:rsidRPr="00724342">
        <w:rPr>
          <w:sz w:val="22"/>
          <w:szCs w:val="22"/>
          <w:lang w:eastAsia="en-US"/>
        </w:rPr>
        <w:t>з</w:t>
      </w:r>
      <w:r w:rsidRPr="00724342">
        <w:rPr>
          <w:sz w:val="22"/>
          <w:szCs w:val="22"/>
          <w:lang w:eastAsia="en-US"/>
        </w:rPr>
        <w:t>мерно «скромных» показателей также может негативно сказаться на работе организации, недоиспользовании имеющихся резервов</w:t>
      </w:r>
      <w:r w:rsidRPr="00724342">
        <w:rPr>
          <w:color w:val="000000"/>
          <w:sz w:val="22"/>
          <w:szCs w:val="22"/>
          <w:shd w:val="clear" w:color="auto" w:fill="FFFFFF"/>
          <w:lang w:eastAsia="en-US"/>
        </w:rPr>
        <w:t xml:space="preserve"> [2].</w:t>
      </w:r>
      <w:r w:rsidRPr="00724342">
        <w:rPr>
          <w:sz w:val="22"/>
          <w:szCs w:val="22"/>
          <w:lang w:eastAsia="en-US"/>
        </w:rPr>
        <w:t xml:space="preserve"> </w:t>
      </w:r>
    </w:p>
    <w:p w:rsidR="00724342" w:rsidRPr="00724342" w:rsidRDefault="00724342" w:rsidP="006E4146">
      <w:pPr>
        <w:numPr>
          <w:ilvl w:val="0"/>
          <w:numId w:val="82"/>
        </w:numPr>
        <w:ind w:left="0" w:firstLine="426"/>
        <w:jc w:val="both"/>
        <w:rPr>
          <w:sz w:val="22"/>
          <w:szCs w:val="22"/>
          <w:lang w:eastAsia="en-US"/>
        </w:rPr>
      </w:pPr>
      <w:r w:rsidRPr="00724342">
        <w:rPr>
          <w:sz w:val="22"/>
          <w:szCs w:val="22"/>
          <w:lang w:eastAsia="en-US"/>
        </w:rPr>
        <w:t>«Объективность» – правильная оценка факторов внешней и внутренней среды компании. Анализ внешнего окружения необх</w:t>
      </w:r>
      <w:r w:rsidRPr="00724342">
        <w:rPr>
          <w:sz w:val="22"/>
          <w:szCs w:val="22"/>
          <w:lang w:eastAsia="en-US"/>
        </w:rPr>
        <w:t>о</w:t>
      </w:r>
      <w:r w:rsidRPr="00724342">
        <w:rPr>
          <w:sz w:val="22"/>
          <w:szCs w:val="22"/>
          <w:lang w:eastAsia="en-US"/>
        </w:rPr>
        <w:t>димо проводить с учетом не только деятельности основных покуп</w:t>
      </w:r>
      <w:r w:rsidRPr="00724342">
        <w:rPr>
          <w:sz w:val="22"/>
          <w:szCs w:val="22"/>
          <w:lang w:eastAsia="en-US"/>
        </w:rPr>
        <w:t>а</w:t>
      </w:r>
      <w:r w:rsidRPr="00724342">
        <w:rPr>
          <w:sz w:val="22"/>
          <w:szCs w:val="22"/>
          <w:lang w:eastAsia="en-US"/>
        </w:rPr>
        <w:t>телей, поставщиков и конкурентов, но и с учетом социально-экономической обстановки в стране и в мире. Игнорирование во</w:t>
      </w:r>
      <w:r w:rsidRPr="00724342">
        <w:rPr>
          <w:sz w:val="22"/>
          <w:szCs w:val="22"/>
          <w:lang w:eastAsia="en-US"/>
        </w:rPr>
        <w:t>з</w:t>
      </w:r>
      <w:r w:rsidRPr="00724342">
        <w:rPr>
          <w:sz w:val="22"/>
          <w:szCs w:val="22"/>
          <w:lang w:eastAsia="en-US"/>
        </w:rPr>
        <w:t>можных проблем в процессе реализации стратегии, недооценка опасностей послужит причиной несостоятельности избранной стр</w:t>
      </w:r>
      <w:r w:rsidRPr="00724342">
        <w:rPr>
          <w:sz w:val="22"/>
          <w:szCs w:val="22"/>
          <w:lang w:eastAsia="en-US"/>
        </w:rPr>
        <w:t>а</w:t>
      </w:r>
      <w:r w:rsidRPr="00724342">
        <w:rPr>
          <w:sz w:val="22"/>
          <w:szCs w:val="22"/>
          <w:lang w:eastAsia="en-US"/>
        </w:rPr>
        <w:t>тегии.</w:t>
      </w:r>
    </w:p>
    <w:p w:rsidR="00724342" w:rsidRPr="00724342" w:rsidRDefault="00724342" w:rsidP="006E4146">
      <w:pPr>
        <w:numPr>
          <w:ilvl w:val="0"/>
          <w:numId w:val="82"/>
        </w:numPr>
        <w:ind w:left="0" w:firstLine="426"/>
        <w:jc w:val="both"/>
        <w:rPr>
          <w:sz w:val="22"/>
          <w:szCs w:val="22"/>
          <w:lang w:eastAsia="en-US"/>
        </w:rPr>
      </w:pPr>
      <w:r w:rsidRPr="00724342">
        <w:rPr>
          <w:sz w:val="22"/>
          <w:szCs w:val="22"/>
          <w:lang w:eastAsia="en-US"/>
        </w:rPr>
        <w:t>«Вариативность» – разработка нескольких вариантов реал</w:t>
      </w:r>
      <w:r w:rsidRPr="00724342">
        <w:rPr>
          <w:sz w:val="22"/>
          <w:szCs w:val="22"/>
          <w:lang w:eastAsia="en-US"/>
        </w:rPr>
        <w:t>и</w:t>
      </w:r>
      <w:r w:rsidRPr="00724342">
        <w:rPr>
          <w:sz w:val="22"/>
          <w:szCs w:val="22"/>
          <w:lang w:eastAsia="en-US"/>
        </w:rPr>
        <w:t>зации стратегии и оценка результата от их осуществления. В пр</w:t>
      </w:r>
      <w:r w:rsidRPr="00724342">
        <w:rPr>
          <w:sz w:val="22"/>
          <w:szCs w:val="22"/>
          <w:lang w:eastAsia="en-US"/>
        </w:rPr>
        <w:t>о</w:t>
      </w:r>
      <w:r w:rsidRPr="00724342">
        <w:rPr>
          <w:sz w:val="22"/>
          <w:szCs w:val="22"/>
          <w:lang w:eastAsia="en-US"/>
        </w:rPr>
        <w:t>цессе формирования различных направлений развития компании будет проведена более тщательная оценка всех факторов, опред</w:t>
      </w:r>
      <w:r w:rsidRPr="00724342">
        <w:rPr>
          <w:sz w:val="22"/>
          <w:szCs w:val="22"/>
          <w:lang w:eastAsia="en-US"/>
        </w:rPr>
        <w:t>е</w:t>
      </w:r>
      <w:r w:rsidRPr="00724342">
        <w:rPr>
          <w:sz w:val="22"/>
          <w:szCs w:val="22"/>
          <w:lang w:eastAsia="en-US"/>
        </w:rPr>
        <w:t>ляющих возможности развития компании, как внешних, так и вну</w:t>
      </w:r>
      <w:r w:rsidRPr="00724342">
        <w:rPr>
          <w:sz w:val="22"/>
          <w:szCs w:val="22"/>
          <w:lang w:eastAsia="en-US"/>
        </w:rPr>
        <w:t>т</w:t>
      </w:r>
      <w:r w:rsidRPr="00724342">
        <w:rPr>
          <w:sz w:val="22"/>
          <w:szCs w:val="22"/>
          <w:lang w:eastAsia="en-US"/>
        </w:rPr>
        <w:t>ренних</w:t>
      </w:r>
      <w:r w:rsidRPr="00724342">
        <w:rPr>
          <w:color w:val="000000"/>
          <w:sz w:val="22"/>
          <w:szCs w:val="22"/>
          <w:shd w:val="clear" w:color="auto" w:fill="FFFFFF"/>
          <w:lang w:eastAsia="en-US"/>
        </w:rPr>
        <w:t xml:space="preserve"> [4].</w:t>
      </w:r>
      <w:r w:rsidRPr="00724342">
        <w:rPr>
          <w:sz w:val="22"/>
          <w:szCs w:val="22"/>
          <w:lang w:eastAsia="en-US"/>
        </w:rPr>
        <w:t xml:space="preserve"> Это позволит получить более реальную и комплексную стратегию.</w:t>
      </w:r>
    </w:p>
    <w:p w:rsidR="00724342" w:rsidRPr="00724342" w:rsidRDefault="00724342" w:rsidP="00F972D6">
      <w:pPr>
        <w:ind w:firstLine="426"/>
        <w:jc w:val="both"/>
        <w:rPr>
          <w:sz w:val="22"/>
          <w:szCs w:val="22"/>
          <w:lang w:eastAsia="en-US"/>
        </w:rPr>
      </w:pPr>
      <w:r w:rsidRPr="00724342">
        <w:rPr>
          <w:sz w:val="22"/>
          <w:szCs w:val="22"/>
          <w:lang w:eastAsia="en-US"/>
        </w:rPr>
        <w:t xml:space="preserve">Таким образом, процесс формирования стратегии компании имеет сложную структуру, основанную на анализе внутреннего и внешнего окружения и оценки на основании полученных данных возможности ее стабильного развития.  </w:t>
      </w:r>
    </w:p>
    <w:p w:rsidR="002A1EE0" w:rsidRDefault="002A1EE0" w:rsidP="006E4146">
      <w:pPr>
        <w:widowControl w:val="0"/>
        <w:autoSpaceDE w:val="0"/>
        <w:autoSpaceDN w:val="0"/>
        <w:adjustRightInd w:val="0"/>
        <w:ind w:firstLine="426"/>
        <w:jc w:val="center"/>
        <w:rPr>
          <w:rFonts w:eastAsia="Calibri" w:cs="Arial"/>
          <w:color w:val="000000"/>
          <w:sz w:val="22"/>
          <w:szCs w:val="22"/>
          <w:lang w:eastAsia="en-US"/>
        </w:rPr>
      </w:pPr>
    </w:p>
    <w:p w:rsidR="00724342" w:rsidRPr="00724342" w:rsidRDefault="00724342" w:rsidP="006E4146">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6E4146">
      <w:pPr>
        <w:numPr>
          <w:ilvl w:val="0"/>
          <w:numId w:val="71"/>
        </w:numPr>
        <w:shd w:val="clear" w:color="auto" w:fill="FFFFFF"/>
        <w:tabs>
          <w:tab w:val="left" w:pos="709"/>
        </w:tabs>
        <w:ind w:left="0" w:firstLine="426"/>
        <w:contextualSpacing/>
        <w:jc w:val="both"/>
        <w:rPr>
          <w:sz w:val="22"/>
          <w:szCs w:val="22"/>
          <w:lang w:eastAsia="en-US"/>
        </w:rPr>
      </w:pPr>
      <w:r w:rsidRPr="00724342">
        <w:rPr>
          <w:sz w:val="22"/>
          <w:szCs w:val="22"/>
          <w:lang w:eastAsia="en-US"/>
        </w:rPr>
        <w:t xml:space="preserve">Пелихов Я. В. Инвестиционная деятельность в аграрном секторе экономики / Я. В. Пелихов, </w:t>
      </w:r>
      <w:hyperlink r:id="rId276" w:history="1">
        <w:r w:rsidRPr="00724342">
          <w:rPr>
            <w:sz w:val="22"/>
            <w:szCs w:val="22"/>
            <w:lang w:eastAsia="en-US"/>
          </w:rPr>
          <w:t>Г. Н. Литвиненко</w:t>
        </w:r>
      </w:hyperlink>
      <w:r w:rsidRPr="00724342">
        <w:rPr>
          <w:sz w:val="22"/>
          <w:szCs w:val="22"/>
          <w:lang w:eastAsia="en-US"/>
        </w:rPr>
        <w:t> // Сб. ст. Междунар. науч.-практ. конф. «Роль банковского и реального се</w:t>
      </w:r>
      <w:r w:rsidRPr="00724342">
        <w:rPr>
          <w:sz w:val="22"/>
          <w:szCs w:val="22"/>
          <w:lang w:eastAsia="en-US"/>
        </w:rPr>
        <w:t>к</w:t>
      </w:r>
      <w:r w:rsidRPr="00724342">
        <w:rPr>
          <w:sz w:val="22"/>
          <w:szCs w:val="22"/>
          <w:lang w:eastAsia="en-US"/>
        </w:rPr>
        <w:t>тора в решении проблем социально-экономического развития» -Уфа: Аэтерна, 2017. – С. 40-43. </w:t>
      </w:r>
    </w:p>
    <w:p w:rsidR="00724342" w:rsidRPr="00724342" w:rsidRDefault="00724342" w:rsidP="006E4146">
      <w:pPr>
        <w:numPr>
          <w:ilvl w:val="0"/>
          <w:numId w:val="71"/>
        </w:numPr>
        <w:tabs>
          <w:tab w:val="left" w:pos="709"/>
        </w:tabs>
        <w:autoSpaceDE w:val="0"/>
        <w:autoSpaceDN w:val="0"/>
        <w:adjustRightInd w:val="0"/>
        <w:ind w:left="0" w:firstLine="426"/>
        <w:contextualSpacing/>
        <w:jc w:val="both"/>
        <w:rPr>
          <w:rFonts w:eastAsia="Courier New"/>
          <w:color w:val="000000"/>
          <w:sz w:val="22"/>
          <w:szCs w:val="22"/>
          <w:lang w:eastAsia="en-US"/>
        </w:rPr>
      </w:pPr>
      <w:r w:rsidRPr="00724342">
        <w:rPr>
          <w:rFonts w:eastAsia="Courier New"/>
          <w:color w:val="000000"/>
          <w:sz w:val="22"/>
          <w:szCs w:val="22"/>
          <w:lang w:eastAsia="en-US"/>
        </w:rPr>
        <w:t>Соколова А. П. Перспективы развития регионального агра</w:t>
      </w:r>
      <w:r w:rsidRPr="00724342">
        <w:rPr>
          <w:rFonts w:eastAsia="Courier New"/>
          <w:color w:val="000000"/>
          <w:sz w:val="22"/>
          <w:szCs w:val="22"/>
          <w:lang w:eastAsia="en-US"/>
        </w:rPr>
        <w:t>р</w:t>
      </w:r>
      <w:r w:rsidRPr="00724342">
        <w:rPr>
          <w:rFonts w:eastAsia="Courier New"/>
          <w:color w:val="000000"/>
          <w:sz w:val="22"/>
          <w:szCs w:val="22"/>
          <w:lang w:eastAsia="en-US"/>
        </w:rPr>
        <w:t>ного бизнеса / А. П. Соколова, Е. И. Гилек, Д. В. Бондарева // Эк</w:t>
      </w:r>
      <w:r w:rsidRPr="00724342">
        <w:rPr>
          <w:rFonts w:eastAsia="Courier New"/>
          <w:color w:val="000000"/>
          <w:sz w:val="22"/>
          <w:szCs w:val="22"/>
          <w:lang w:eastAsia="en-US"/>
        </w:rPr>
        <w:t>о</w:t>
      </w:r>
      <w:r w:rsidRPr="00724342">
        <w:rPr>
          <w:rFonts w:eastAsia="Courier New"/>
          <w:color w:val="000000"/>
          <w:sz w:val="22"/>
          <w:szCs w:val="22"/>
          <w:lang w:eastAsia="en-US"/>
        </w:rPr>
        <w:t>номика и предпринимательство. № 7 (84), 2017. С. 295-301.</w:t>
      </w:r>
    </w:p>
    <w:p w:rsidR="00724342" w:rsidRPr="00724342" w:rsidRDefault="00724342" w:rsidP="006E4146">
      <w:pPr>
        <w:numPr>
          <w:ilvl w:val="0"/>
          <w:numId w:val="71"/>
        </w:numPr>
        <w:shd w:val="clear" w:color="auto" w:fill="FFFFFF"/>
        <w:tabs>
          <w:tab w:val="left" w:pos="0"/>
          <w:tab w:val="left" w:pos="709"/>
          <w:tab w:val="left" w:pos="993"/>
        </w:tabs>
        <w:ind w:left="0" w:firstLine="426"/>
        <w:contextualSpacing/>
        <w:jc w:val="both"/>
        <w:rPr>
          <w:sz w:val="22"/>
          <w:szCs w:val="22"/>
          <w:lang w:eastAsia="en-US"/>
        </w:rPr>
      </w:pPr>
      <w:r w:rsidRPr="00724342">
        <w:rPr>
          <w:sz w:val="22"/>
          <w:szCs w:val="22"/>
          <w:lang w:eastAsia="en-US"/>
        </w:rPr>
        <w:t>Соколова А. П. Управление рисками производственной де</w:t>
      </w:r>
      <w:r w:rsidRPr="00724342">
        <w:rPr>
          <w:sz w:val="22"/>
          <w:szCs w:val="22"/>
          <w:lang w:eastAsia="en-US"/>
        </w:rPr>
        <w:t>я</w:t>
      </w:r>
      <w:r w:rsidRPr="00724342">
        <w:rPr>
          <w:sz w:val="22"/>
          <w:szCs w:val="22"/>
          <w:lang w:eastAsia="en-US"/>
        </w:rPr>
        <w:t xml:space="preserve">тельности в аграрном секторе экономики / А. П. Соколова, В. Г. Ветер // Закономерности и тенденции формирования системы </w:t>
      </w:r>
      <w:r w:rsidRPr="00724342">
        <w:rPr>
          <w:sz w:val="22"/>
          <w:szCs w:val="22"/>
          <w:lang w:eastAsia="en-US"/>
        </w:rPr>
        <w:lastRenderedPageBreak/>
        <w:t>финансово-кредитных отношений: сб. ст. Междунар. науч.-практ. конф. –Уфа: АЭТЭРНА, 2017. – С. 241-250.</w:t>
      </w:r>
    </w:p>
    <w:p w:rsidR="00724342" w:rsidRPr="00724342" w:rsidRDefault="00724342" w:rsidP="006E4146">
      <w:pPr>
        <w:numPr>
          <w:ilvl w:val="0"/>
          <w:numId w:val="71"/>
        </w:numPr>
        <w:shd w:val="clear" w:color="auto" w:fill="FFFFFF"/>
        <w:tabs>
          <w:tab w:val="left" w:pos="0"/>
          <w:tab w:val="left" w:pos="709"/>
          <w:tab w:val="left" w:pos="1134"/>
          <w:tab w:val="left" w:pos="1276"/>
        </w:tabs>
        <w:ind w:left="0" w:firstLine="426"/>
        <w:contextualSpacing/>
        <w:jc w:val="both"/>
        <w:rPr>
          <w:sz w:val="22"/>
          <w:szCs w:val="22"/>
          <w:lang w:eastAsia="en-US"/>
        </w:rPr>
      </w:pPr>
      <w:r w:rsidRPr="00724342">
        <w:rPr>
          <w:color w:val="000000"/>
          <w:sz w:val="22"/>
          <w:szCs w:val="22"/>
          <w:shd w:val="clear" w:color="auto" w:fill="FFFFFF"/>
          <w:lang w:eastAsia="en-US"/>
        </w:rPr>
        <w:t>Сухарева О. А. Подходы к управлению реализацией инв</w:t>
      </w:r>
      <w:r w:rsidRPr="00724342">
        <w:rPr>
          <w:color w:val="000000"/>
          <w:sz w:val="22"/>
          <w:szCs w:val="22"/>
          <w:shd w:val="clear" w:color="auto" w:fill="FFFFFF"/>
          <w:lang w:eastAsia="en-US"/>
        </w:rPr>
        <w:t>е</w:t>
      </w:r>
      <w:r w:rsidRPr="00724342">
        <w:rPr>
          <w:color w:val="000000"/>
          <w:sz w:val="22"/>
          <w:szCs w:val="22"/>
          <w:shd w:val="clear" w:color="auto" w:fill="FFFFFF"/>
          <w:lang w:eastAsia="en-US"/>
        </w:rPr>
        <w:t>стиционного проекта в условиях неопределенности внешней среды / О. А. Сухарева, К. М. Малинник // Проблемы и перспективы экон</w:t>
      </w:r>
      <w:r w:rsidRPr="00724342">
        <w:rPr>
          <w:color w:val="000000"/>
          <w:sz w:val="22"/>
          <w:szCs w:val="22"/>
          <w:shd w:val="clear" w:color="auto" w:fill="FFFFFF"/>
          <w:lang w:eastAsia="en-US"/>
        </w:rPr>
        <w:t>о</w:t>
      </w:r>
      <w:r w:rsidRPr="00724342">
        <w:rPr>
          <w:color w:val="000000"/>
          <w:sz w:val="22"/>
          <w:szCs w:val="22"/>
          <w:shd w:val="clear" w:color="auto" w:fill="FFFFFF"/>
          <w:lang w:eastAsia="en-US"/>
        </w:rPr>
        <w:t>мических отношений на пространстве ЕАЭС: сб. ст. Междунар. науч.-практ. конф.. – Уфа, 2017. – С. 136-141.</w:t>
      </w:r>
    </w:p>
    <w:p w:rsidR="00724342" w:rsidRPr="00724342" w:rsidRDefault="00724342" w:rsidP="00724342">
      <w:pPr>
        <w:jc w:val="both"/>
        <w:rPr>
          <w:rFonts w:eastAsia="Yu Mincho"/>
          <w:sz w:val="22"/>
          <w:szCs w:val="22"/>
          <w:lang w:eastAsia="en-US"/>
        </w:rPr>
      </w:pPr>
    </w:p>
    <w:p w:rsidR="00724342" w:rsidRPr="00724342" w:rsidRDefault="00724342" w:rsidP="00724342">
      <w:pPr>
        <w:jc w:val="both"/>
        <w:rPr>
          <w:rFonts w:eastAsia="Yu Mincho"/>
          <w:sz w:val="22"/>
          <w:szCs w:val="22"/>
          <w:lang w:eastAsia="en-US"/>
        </w:rPr>
      </w:pPr>
    </w:p>
    <w:p w:rsidR="00724342" w:rsidRPr="00724342" w:rsidRDefault="00724342" w:rsidP="00724342">
      <w:pPr>
        <w:ind w:right="50"/>
        <w:jc w:val="both"/>
        <w:rPr>
          <w:rFonts w:asciiTheme="minorHAnsi" w:eastAsiaTheme="minorHAnsi" w:hAnsiTheme="minorHAnsi" w:cstheme="minorBidi"/>
          <w:sz w:val="24"/>
          <w:szCs w:val="24"/>
          <w:lang w:eastAsia="en-US"/>
        </w:rPr>
      </w:pPr>
    </w:p>
    <w:p w:rsidR="00724342" w:rsidRPr="00724342" w:rsidRDefault="00724342" w:rsidP="00724342">
      <w:pPr>
        <w:ind w:right="50"/>
        <w:jc w:val="both"/>
        <w:rPr>
          <w:rFonts w:eastAsiaTheme="minorHAnsi" w:cstheme="minorBidi"/>
          <w:color w:val="000000"/>
          <w:sz w:val="22"/>
          <w:szCs w:val="32"/>
          <w:lang w:eastAsia="en-US"/>
        </w:rPr>
      </w:pPr>
      <w:r w:rsidRPr="00724342">
        <w:rPr>
          <w:rFonts w:eastAsiaTheme="minorHAnsi" w:cstheme="minorBidi"/>
          <w:color w:val="000000"/>
          <w:sz w:val="22"/>
          <w:szCs w:val="32"/>
          <w:lang w:eastAsia="en-US"/>
        </w:rPr>
        <w:t>УДК 339.9:339.552.3</w:t>
      </w:r>
    </w:p>
    <w:p w:rsidR="00724342" w:rsidRPr="00724342" w:rsidRDefault="00724342" w:rsidP="00724342">
      <w:pPr>
        <w:ind w:right="50"/>
        <w:jc w:val="both"/>
        <w:rPr>
          <w:rFonts w:eastAsiaTheme="minorHAnsi" w:cstheme="minorBidi"/>
          <w:color w:val="000000"/>
          <w:sz w:val="22"/>
          <w:szCs w:val="32"/>
          <w:lang w:eastAsia="en-US"/>
        </w:rPr>
      </w:pPr>
    </w:p>
    <w:p w:rsidR="00724342" w:rsidRPr="00724342" w:rsidRDefault="00724342" w:rsidP="00724342">
      <w:pPr>
        <w:ind w:right="51"/>
        <w:jc w:val="center"/>
        <w:rPr>
          <w:rFonts w:eastAsiaTheme="minorHAnsi" w:cstheme="minorBidi"/>
          <w:b/>
          <w:color w:val="000000"/>
          <w:sz w:val="24"/>
          <w:szCs w:val="32"/>
          <w:lang w:eastAsia="en-US"/>
        </w:rPr>
      </w:pPr>
      <w:r w:rsidRPr="00724342">
        <w:rPr>
          <w:rFonts w:eastAsiaTheme="minorHAnsi" w:cstheme="minorBidi"/>
          <w:b/>
          <w:color w:val="000000"/>
          <w:sz w:val="24"/>
          <w:szCs w:val="32"/>
          <w:lang w:eastAsia="en-US"/>
        </w:rPr>
        <w:t xml:space="preserve">Роль ТНК в национальной экономике на примере </w:t>
      </w:r>
      <w:r w:rsidR="006E4146">
        <w:rPr>
          <w:rFonts w:eastAsiaTheme="minorHAnsi" w:cstheme="minorBidi"/>
          <w:b/>
          <w:color w:val="000000"/>
          <w:sz w:val="24"/>
          <w:szCs w:val="32"/>
          <w:lang w:eastAsia="en-US"/>
        </w:rPr>
        <w:br/>
      </w:r>
      <w:r w:rsidRPr="00724342">
        <w:rPr>
          <w:rFonts w:eastAsiaTheme="minorHAnsi" w:cstheme="minorBidi"/>
          <w:b/>
          <w:color w:val="000000"/>
          <w:sz w:val="24"/>
          <w:szCs w:val="32"/>
          <w:lang w:eastAsia="en-US"/>
        </w:rPr>
        <w:t xml:space="preserve">компании </w:t>
      </w:r>
      <w:r w:rsidRPr="00724342">
        <w:rPr>
          <w:rFonts w:eastAsiaTheme="minorHAnsi" w:cstheme="minorBidi"/>
          <w:b/>
          <w:color w:val="000000"/>
          <w:sz w:val="24"/>
          <w:szCs w:val="32"/>
          <w:lang w:val="en-US" w:eastAsia="en-US"/>
        </w:rPr>
        <w:t>Toyota</w:t>
      </w:r>
    </w:p>
    <w:p w:rsidR="00724342" w:rsidRPr="00C56F2E" w:rsidRDefault="00724342" w:rsidP="00724342">
      <w:pPr>
        <w:ind w:right="51"/>
        <w:jc w:val="center"/>
        <w:rPr>
          <w:rFonts w:eastAsiaTheme="minorHAnsi" w:cstheme="minorBidi"/>
          <w:b/>
          <w:color w:val="000000"/>
          <w:sz w:val="24"/>
          <w:szCs w:val="32"/>
          <w:lang w:val="en-US" w:eastAsia="en-US"/>
        </w:rPr>
      </w:pPr>
      <w:r w:rsidRPr="00724342">
        <w:rPr>
          <w:rFonts w:eastAsiaTheme="minorHAnsi" w:cstheme="minorBidi"/>
          <w:b/>
          <w:color w:val="000000"/>
          <w:sz w:val="24"/>
          <w:szCs w:val="32"/>
          <w:lang w:val="en-US" w:eastAsia="en-US"/>
        </w:rPr>
        <w:t>The</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role</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of</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TNCs</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in</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the</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national</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economy</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on</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the</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example</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of</w:t>
      </w:r>
      <w:r w:rsidRPr="00C56F2E">
        <w:rPr>
          <w:rFonts w:eastAsiaTheme="minorHAnsi" w:cstheme="minorBidi"/>
          <w:b/>
          <w:color w:val="000000"/>
          <w:sz w:val="24"/>
          <w:szCs w:val="32"/>
          <w:lang w:val="en-US" w:eastAsia="en-US"/>
        </w:rPr>
        <w:t xml:space="preserve"> </w:t>
      </w:r>
      <w:r w:rsidRPr="00724342">
        <w:rPr>
          <w:rFonts w:eastAsiaTheme="minorHAnsi" w:cstheme="minorBidi"/>
          <w:b/>
          <w:color w:val="000000"/>
          <w:sz w:val="24"/>
          <w:szCs w:val="32"/>
          <w:lang w:val="en-US" w:eastAsia="en-US"/>
        </w:rPr>
        <w:t>Toyota</w:t>
      </w:r>
    </w:p>
    <w:p w:rsidR="00724342" w:rsidRPr="00C56F2E" w:rsidRDefault="00724342" w:rsidP="00724342">
      <w:pPr>
        <w:ind w:right="51"/>
        <w:jc w:val="center"/>
        <w:rPr>
          <w:rFonts w:eastAsiaTheme="minorHAnsi" w:cstheme="minorBidi"/>
          <w:b/>
          <w:color w:val="000000"/>
          <w:sz w:val="24"/>
          <w:szCs w:val="32"/>
          <w:lang w:val="en-US" w:eastAsia="en-US"/>
        </w:rPr>
      </w:pPr>
    </w:p>
    <w:p w:rsidR="00724342" w:rsidRPr="00724342"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Коробейникова В. В.,</w:t>
      </w:r>
    </w:p>
    <w:p w:rsidR="00724342" w:rsidRPr="00724342" w:rsidRDefault="006E4146" w:rsidP="006E4146">
      <w:pPr>
        <w:ind w:right="51"/>
        <w:jc w:val="right"/>
        <w:rPr>
          <w:rFonts w:eastAsiaTheme="minorHAnsi" w:cstheme="minorBidi"/>
          <w:color w:val="000000"/>
          <w:sz w:val="22"/>
          <w:szCs w:val="32"/>
          <w:lang w:eastAsia="en-US"/>
        </w:rPr>
      </w:pPr>
      <w:r>
        <w:rPr>
          <w:rFonts w:eastAsiaTheme="minorHAnsi" w:cstheme="minorBidi"/>
          <w:color w:val="000000"/>
          <w:sz w:val="22"/>
          <w:szCs w:val="32"/>
          <w:lang w:eastAsia="en-US"/>
        </w:rPr>
        <w:t>с</w:t>
      </w:r>
      <w:r w:rsidR="00724342" w:rsidRPr="00724342">
        <w:rPr>
          <w:rFonts w:eastAsiaTheme="minorHAnsi" w:cstheme="minorBidi"/>
          <w:color w:val="000000"/>
          <w:sz w:val="22"/>
          <w:szCs w:val="32"/>
          <w:lang w:eastAsia="en-US"/>
        </w:rPr>
        <w:t>тудентка 1-го курса экономического факультета</w:t>
      </w:r>
    </w:p>
    <w:p w:rsidR="00724342" w:rsidRPr="00724342"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Острецова А. В.,</w:t>
      </w:r>
    </w:p>
    <w:p w:rsidR="006E4146"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 xml:space="preserve">к. </w:t>
      </w:r>
      <w:r w:rsidR="006E4146">
        <w:rPr>
          <w:rFonts w:eastAsiaTheme="minorHAnsi" w:cstheme="minorBidi"/>
          <w:color w:val="000000"/>
          <w:sz w:val="22"/>
          <w:szCs w:val="32"/>
          <w:lang w:eastAsia="en-US"/>
        </w:rPr>
        <w:t>э. н., доцент кафедры экономики</w:t>
      </w:r>
    </w:p>
    <w:p w:rsidR="00724342" w:rsidRPr="00724342"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и внешнеэкономической деятельности</w:t>
      </w:r>
    </w:p>
    <w:p w:rsidR="006E4146"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Кубанский государственный аграрный</w:t>
      </w:r>
    </w:p>
    <w:p w:rsidR="00724342" w:rsidRPr="00724342" w:rsidRDefault="00724342" w:rsidP="00724342">
      <w:pPr>
        <w:ind w:right="51"/>
        <w:jc w:val="right"/>
        <w:rPr>
          <w:rFonts w:eastAsiaTheme="minorHAnsi" w:cstheme="minorBidi"/>
          <w:color w:val="000000"/>
          <w:sz w:val="22"/>
          <w:szCs w:val="32"/>
          <w:lang w:eastAsia="en-US"/>
        </w:rPr>
      </w:pPr>
      <w:r w:rsidRPr="00724342">
        <w:rPr>
          <w:rFonts w:eastAsiaTheme="minorHAnsi" w:cstheme="minorBidi"/>
          <w:color w:val="000000"/>
          <w:sz w:val="22"/>
          <w:szCs w:val="32"/>
          <w:lang w:eastAsia="en-US"/>
        </w:rPr>
        <w:t xml:space="preserve"> университет им. И. Т. Трубилина</w:t>
      </w:r>
    </w:p>
    <w:p w:rsidR="00724342" w:rsidRPr="00724342" w:rsidRDefault="00724342" w:rsidP="00724342">
      <w:pPr>
        <w:ind w:right="50"/>
        <w:jc w:val="both"/>
        <w:rPr>
          <w:rFonts w:eastAsiaTheme="minorHAnsi" w:cstheme="minorBidi"/>
          <w:color w:val="000000"/>
          <w:sz w:val="22"/>
          <w:szCs w:val="32"/>
          <w:lang w:eastAsia="en-US"/>
        </w:rPr>
      </w:pPr>
    </w:p>
    <w:p w:rsidR="00724342" w:rsidRPr="006E4146" w:rsidRDefault="00724342" w:rsidP="006E4146">
      <w:pPr>
        <w:ind w:right="50"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АННОТАЦИЯ: Определена роль транснациональных корпор</w:t>
      </w:r>
      <w:r w:rsidRPr="006E4146">
        <w:rPr>
          <w:rFonts w:eastAsiaTheme="minorHAnsi" w:cstheme="minorBidi"/>
          <w:color w:val="000000"/>
          <w:sz w:val="22"/>
          <w:szCs w:val="22"/>
          <w:lang w:eastAsia="en-US"/>
        </w:rPr>
        <w:t>а</w:t>
      </w:r>
      <w:r w:rsidRPr="006E4146">
        <w:rPr>
          <w:rFonts w:eastAsiaTheme="minorHAnsi" w:cstheme="minorBidi"/>
          <w:color w:val="000000"/>
          <w:sz w:val="22"/>
          <w:szCs w:val="22"/>
          <w:lang w:eastAsia="en-US"/>
        </w:rPr>
        <w:t>ций в мировой экономике. Изучены положительные и отрицател</w:t>
      </w:r>
      <w:r w:rsidRPr="006E4146">
        <w:rPr>
          <w:rFonts w:eastAsiaTheme="minorHAnsi" w:cstheme="minorBidi"/>
          <w:color w:val="000000"/>
          <w:sz w:val="22"/>
          <w:szCs w:val="22"/>
          <w:lang w:eastAsia="en-US"/>
        </w:rPr>
        <w:t>ь</w:t>
      </w:r>
      <w:r w:rsidRPr="006E4146">
        <w:rPr>
          <w:rFonts w:eastAsiaTheme="minorHAnsi" w:cstheme="minorBidi"/>
          <w:color w:val="000000"/>
          <w:sz w:val="22"/>
          <w:szCs w:val="22"/>
          <w:lang w:eastAsia="en-US"/>
        </w:rPr>
        <w:t xml:space="preserve">ные стороны ТНК. Рассмотрена компания </w:t>
      </w:r>
      <w:r w:rsidRPr="006E4146">
        <w:rPr>
          <w:rFonts w:eastAsiaTheme="minorHAnsi" w:cstheme="minorBidi"/>
          <w:color w:val="000000"/>
          <w:sz w:val="22"/>
          <w:szCs w:val="22"/>
          <w:lang w:val="en-US" w:eastAsia="en-US"/>
        </w:rPr>
        <w:t>Toyota</w:t>
      </w:r>
      <w:r w:rsidRPr="006E4146">
        <w:rPr>
          <w:rFonts w:eastAsiaTheme="minorHAnsi" w:cstheme="minorBidi"/>
          <w:color w:val="000000"/>
          <w:sz w:val="22"/>
          <w:szCs w:val="22"/>
          <w:lang w:eastAsia="en-US"/>
        </w:rPr>
        <w:t xml:space="preserve"> как пример успешного функционирования ТНК.</w:t>
      </w:r>
    </w:p>
    <w:p w:rsidR="00724342" w:rsidRPr="006E4146" w:rsidRDefault="00724342" w:rsidP="006E4146">
      <w:pPr>
        <w:ind w:right="50" w:firstLine="426"/>
        <w:jc w:val="both"/>
        <w:rPr>
          <w:rFonts w:eastAsiaTheme="minorHAnsi" w:cstheme="minorBidi"/>
          <w:color w:val="000000"/>
          <w:sz w:val="22"/>
          <w:szCs w:val="22"/>
          <w:lang w:val="en-US" w:eastAsia="en-US"/>
        </w:rPr>
      </w:pPr>
      <w:r w:rsidRPr="006E4146">
        <w:rPr>
          <w:rFonts w:eastAsiaTheme="minorHAnsi" w:cstheme="minorBidi"/>
          <w:color w:val="000000"/>
          <w:sz w:val="22"/>
          <w:szCs w:val="22"/>
          <w:lang w:val="en-US" w:eastAsia="en-US"/>
        </w:rPr>
        <w:t>ABSTRACT: The role of transnational corporations in the world economy has been defined. The positive and negative aspects of TNCs have been studied. The company Toyota is considered as an example of successful functioning of the multinational corporation.</w:t>
      </w:r>
    </w:p>
    <w:p w:rsidR="00724342" w:rsidRPr="006E4146" w:rsidRDefault="00724342" w:rsidP="006E4146">
      <w:pPr>
        <w:ind w:right="50" w:firstLine="426"/>
        <w:jc w:val="both"/>
        <w:rPr>
          <w:rFonts w:asciiTheme="minorHAnsi" w:eastAsiaTheme="minorHAnsi" w:hAnsiTheme="minorHAnsi" w:cstheme="minorBidi"/>
          <w:sz w:val="22"/>
          <w:szCs w:val="22"/>
          <w:lang w:eastAsia="en-US"/>
        </w:rPr>
      </w:pPr>
      <w:r w:rsidRPr="006E4146">
        <w:rPr>
          <w:rFonts w:eastAsiaTheme="minorHAnsi" w:cstheme="minorBidi"/>
          <w:color w:val="000000"/>
          <w:sz w:val="22"/>
          <w:szCs w:val="22"/>
          <w:lang w:eastAsia="en-US"/>
        </w:rPr>
        <w:t xml:space="preserve">КЛЮЧЕВЫЕ СЛОВА: ТНК, инвестиции, глобализация, </w:t>
      </w:r>
      <w:r w:rsidRPr="006E4146">
        <w:rPr>
          <w:rFonts w:eastAsiaTheme="minorHAnsi" w:cstheme="minorBidi"/>
          <w:color w:val="000000"/>
          <w:sz w:val="22"/>
          <w:szCs w:val="22"/>
          <w:lang w:val="en-US" w:eastAsia="en-US"/>
        </w:rPr>
        <w:t>Toyota</w:t>
      </w:r>
      <w:r w:rsidRPr="006E4146">
        <w:rPr>
          <w:rFonts w:eastAsiaTheme="minorHAnsi" w:cstheme="minorBidi"/>
          <w:color w:val="000000"/>
          <w:sz w:val="22"/>
          <w:szCs w:val="22"/>
          <w:lang w:eastAsia="en-US"/>
        </w:rPr>
        <w:t>, научные исследования, работники.</w:t>
      </w:r>
      <w:r w:rsidRPr="006E4146">
        <w:rPr>
          <w:rFonts w:asciiTheme="minorHAnsi" w:eastAsiaTheme="minorHAnsi" w:hAnsiTheme="minorHAnsi" w:cstheme="minorBidi"/>
          <w:sz w:val="22"/>
          <w:szCs w:val="22"/>
          <w:lang w:eastAsia="en-US"/>
        </w:rPr>
        <w:t xml:space="preserve"> </w:t>
      </w:r>
    </w:p>
    <w:p w:rsidR="00724342" w:rsidRPr="006E4146" w:rsidRDefault="00724342" w:rsidP="006E4146">
      <w:pPr>
        <w:ind w:right="50" w:firstLine="426"/>
        <w:jc w:val="both"/>
        <w:rPr>
          <w:rFonts w:eastAsiaTheme="minorHAnsi" w:cstheme="minorBidi"/>
          <w:color w:val="000000"/>
          <w:sz w:val="22"/>
          <w:szCs w:val="22"/>
          <w:lang w:val="en-US" w:eastAsia="en-US"/>
        </w:rPr>
      </w:pPr>
      <w:r w:rsidRPr="006E4146">
        <w:rPr>
          <w:rFonts w:eastAsiaTheme="minorHAnsi" w:cstheme="minorBidi"/>
          <w:color w:val="000000"/>
          <w:sz w:val="22"/>
          <w:szCs w:val="22"/>
          <w:lang w:val="en-US" w:eastAsia="en-US"/>
        </w:rPr>
        <w:t>KEYWORDS: TNCs, investments, globalization, Toyota, research, workers.</w:t>
      </w:r>
    </w:p>
    <w:p w:rsidR="00724342" w:rsidRPr="006E4146" w:rsidRDefault="00724342" w:rsidP="006E4146">
      <w:pPr>
        <w:ind w:right="50" w:firstLine="426"/>
        <w:jc w:val="both"/>
        <w:rPr>
          <w:rFonts w:eastAsiaTheme="minorHAnsi" w:cstheme="minorBidi"/>
          <w:color w:val="000000"/>
          <w:sz w:val="22"/>
          <w:szCs w:val="22"/>
          <w:lang w:val="en-US" w:eastAsia="en-US"/>
        </w:rPr>
      </w:pPr>
    </w:p>
    <w:p w:rsidR="00724342" w:rsidRPr="006E4146" w:rsidRDefault="00724342" w:rsidP="006E4146">
      <w:pPr>
        <w:tabs>
          <w:tab w:val="left" w:pos="720"/>
        </w:tabs>
        <w:ind w:right="50" w:firstLine="426"/>
        <w:jc w:val="both"/>
        <w:rPr>
          <w:rFonts w:eastAsiaTheme="minorHAnsi" w:cs="Helvetica"/>
          <w:color w:val="000000"/>
          <w:spacing w:val="-2"/>
          <w:sz w:val="22"/>
          <w:szCs w:val="22"/>
          <w:shd w:val="clear" w:color="auto" w:fill="FFFFFF"/>
          <w:lang w:eastAsia="en-US"/>
        </w:rPr>
      </w:pPr>
      <w:r w:rsidRPr="006E4146">
        <w:rPr>
          <w:rFonts w:eastAsiaTheme="minorHAnsi" w:cs="Helvetica"/>
          <w:color w:val="000000"/>
          <w:spacing w:val="-2"/>
          <w:sz w:val="22"/>
          <w:szCs w:val="22"/>
          <w:shd w:val="clear" w:color="auto" w:fill="FFFFFF"/>
          <w:lang w:eastAsia="en-US"/>
        </w:rPr>
        <w:t>Транснациональные корпорации (ТНК) играют значительную роль в развитии мировой экономики посредством обмена результ</w:t>
      </w:r>
      <w:r w:rsidRPr="006E4146">
        <w:rPr>
          <w:rFonts w:eastAsiaTheme="minorHAnsi" w:cs="Helvetica"/>
          <w:color w:val="000000"/>
          <w:spacing w:val="-2"/>
          <w:sz w:val="22"/>
          <w:szCs w:val="22"/>
          <w:shd w:val="clear" w:color="auto" w:fill="FFFFFF"/>
          <w:lang w:eastAsia="en-US"/>
        </w:rPr>
        <w:t>а</w:t>
      </w:r>
      <w:r w:rsidRPr="006E4146">
        <w:rPr>
          <w:rFonts w:eastAsiaTheme="minorHAnsi" w:cs="Helvetica"/>
          <w:color w:val="000000"/>
          <w:spacing w:val="-2"/>
          <w:sz w:val="22"/>
          <w:szCs w:val="22"/>
          <w:shd w:val="clear" w:color="auto" w:fill="FFFFFF"/>
          <w:lang w:eastAsia="en-US"/>
        </w:rPr>
        <w:t>тами научных исследований, торговли и технического прогресса между разными странами. Они также играют достаточно значимую роль в повышении взаимосвязи в мировой экономической, культу</w:t>
      </w:r>
      <w:r w:rsidRPr="006E4146">
        <w:rPr>
          <w:rFonts w:eastAsiaTheme="minorHAnsi" w:cs="Helvetica"/>
          <w:color w:val="000000"/>
          <w:spacing w:val="-2"/>
          <w:sz w:val="22"/>
          <w:szCs w:val="22"/>
          <w:shd w:val="clear" w:color="auto" w:fill="FFFFFF"/>
          <w:lang w:eastAsia="en-US"/>
        </w:rPr>
        <w:t>р</w:t>
      </w:r>
      <w:r w:rsidRPr="006E4146">
        <w:rPr>
          <w:rFonts w:eastAsiaTheme="minorHAnsi" w:cs="Helvetica"/>
          <w:color w:val="000000"/>
          <w:spacing w:val="-2"/>
          <w:sz w:val="22"/>
          <w:szCs w:val="22"/>
          <w:shd w:val="clear" w:color="auto" w:fill="FFFFFF"/>
          <w:lang w:eastAsia="en-US"/>
        </w:rPr>
        <w:t>ной и политической сфер, иными словами это можно назвать глоб</w:t>
      </w:r>
      <w:r w:rsidRPr="006E4146">
        <w:rPr>
          <w:rFonts w:eastAsiaTheme="minorHAnsi" w:cs="Helvetica"/>
          <w:color w:val="000000"/>
          <w:spacing w:val="-2"/>
          <w:sz w:val="22"/>
          <w:szCs w:val="22"/>
          <w:shd w:val="clear" w:color="auto" w:fill="FFFFFF"/>
          <w:lang w:eastAsia="en-US"/>
        </w:rPr>
        <w:t>а</w:t>
      </w:r>
      <w:r w:rsidRPr="006E4146">
        <w:rPr>
          <w:rFonts w:eastAsiaTheme="minorHAnsi" w:cs="Helvetica"/>
          <w:color w:val="000000"/>
          <w:spacing w:val="-2"/>
          <w:sz w:val="22"/>
          <w:szCs w:val="22"/>
          <w:shd w:val="clear" w:color="auto" w:fill="FFFFFF"/>
          <w:lang w:eastAsia="en-US"/>
        </w:rPr>
        <w:t>лизацией и интеграцией [1].</w:t>
      </w:r>
    </w:p>
    <w:p w:rsidR="00724342" w:rsidRPr="006E4146" w:rsidRDefault="00724342" w:rsidP="006E4146">
      <w:pPr>
        <w:tabs>
          <w:tab w:val="left" w:pos="720"/>
        </w:tabs>
        <w:ind w:right="50" w:firstLine="426"/>
        <w:jc w:val="both"/>
        <w:rPr>
          <w:rFonts w:eastAsiaTheme="minorHAnsi" w:cs="Helvetica"/>
          <w:color w:val="000000"/>
          <w:spacing w:val="-2"/>
          <w:sz w:val="22"/>
          <w:szCs w:val="22"/>
          <w:shd w:val="clear" w:color="auto" w:fill="FFFFFF"/>
          <w:lang w:eastAsia="en-US"/>
        </w:rPr>
      </w:pPr>
      <w:r w:rsidRPr="006E4146">
        <w:rPr>
          <w:rFonts w:eastAsiaTheme="minorHAnsi" w:cs="Helvetica"/>
          <w:color w:val="000000"/>
          <w:spacing w:val="-2"/>
          <w:sz w:val="22"/>
          <w:szCs w:val="22"/>
          <w:shd w:val="clear" w:color="auto" w:fill="FFFFFF"/>
          <w:lang w:eastAsia="en-US"/>
        </w:rPr>
        <w:t>На сегодняшний день в мире наблюдается огромный рост числа транснациональных корпораций. С 1970-х годов их число возросло с 7000 до более чем 60000. Изначально ТНК стали появляться в бол</w:t>
      </w:r>
      <w:r w:rsidRPr="006E4146">
        <w:rPr>
          <w:rFonts w:eastAsiaTheme="minorHAnsi" w:cs="Helvetica"/>
          <w:color w:val="000000"/>
          <w:spacing w:val="-2"/>
          <w:sz w:val="22"/>
          <w:szCs w:val="22"/>
          <w:shd w:val="clear" w:color="auto" w:fill="FFFFFF"/>
          <w:lang w:eastAsia="en-US"/>
        </w:rPr>
        <w:t>ь</w:t>
      </w:r>
      <w:r w:rsidRPr="006E4146">
        <w:rPr>
          <w:rFonts w:eastAsiaTheme="minorHAnsi" w:cs="Helvetica"/>
          <w:color w:val="000000"/>
          <w:spacing w:val="-2"/>
          <w:sz w:val="22"/>
          <w:szCs w:val="22"/>
          <w:shd w:val="clear" w:color="auto" w:fill="FFFFFF"/>
          <w:lang w:eastAsia="en-US"/>
        </w:rPr>
        <w:t xml:space="preserve">шей степени в развитых странах, нежели в развивающихся [4]. </w:t>
      </w:r>
    </w:p>
    <w:p w:rsidR="00724342" w:rsidRPr="006E4146" w:rsidRDefault="00724342" w:rsidP="006E4146">
      <w:pPr>
        <w:keepNext/>
        <w:shd w:val="clear" w:color="auto" w:fill="FFFFFF"/>
        <w:ind w:firstLine="426"/>
        <w:jc w:val="both"/>
        <w:outlineLvl w:val="2"/>
        <w:rPr>
          <w:rFonts w:cs="Arial"/>
          <w:color w:val="000000"/>
          <w:sz w:val="22"/>
          <w:szCs w:val="22"/>
        </w:rPr>
      </w:pPr>
      <w:r w:rsidRPr="006E4146">
        <w:rPr>
          <w:rFonts w:cs="Arial"/>
          <w:color w:val="000000"/>
          <w:sz w:val="22"/>
          <w:szCs w:val="22"/>
        </w:rPr>
        <w:t>Преимущества транснациональных корпораций:</w:t>
      </w:r>
    </w:p>
    <w:p w:rsidR="00724342" w:rsidRPr="006E4146" w:rsidRDefault="00724342" w:rsidP="006E4146">
      <w:pPr>
        <w:shd w:val="clear" w:color="auto" w:fill="FFFFFF"/>
        <w:ind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1. Накопление капитала и рабочие места по всему миру. Ин</w:t>
      </w:r>
      <w:r w:rsidRPr="006E4146">
        <w:rPr>
          <w:rFonts w:eastAsiaTheme="minorHAnsi" w:cs="Helvetica"/>
          <w:color w:val="000000"/>
          <w:sz w:val="22"/>
          <w:szCs w:val="22"/>
          <w:lang w:eastAsia="en-US"/>
        </w:rPr>
        <w:t>о</w:t>
      </w:r>
      <w:r w:rsidRPr="006E4146">
        <w:rPr>
          <w:rFonts w:eastAsiaTheme="minorHAnsi" w:cs="Helvetica"/>
          <w:color w:val="000000"/>
          <w:sz w:val="22"/>
          <w:szCs w:val="22"/>
          <w:lang w:eastAsia="en-US"/>
        </w:rPr>
        <w:t>странные инвестиции ТНК значительно помогают иностранной в</w:t>
      </w:r>
      <w:r w:rsidRPr="006E4146">
        <w:rPr>
          <w:rFonts w:eastAsiaTheme="minorHAnsi" w:cs="Helvetica"/>
          <w:color w:val="000000"/>
          <w:sz w:val="22"/>
          <w:szCs w:val="22"/>
          <w:lang w:eastAsia="en-US"/>
        </w:rPr>
        <w:t>а</w:t>
      </w:r>
      <w:r w:rsidRPr="006E4146">
        <w:rPr>
          <w:rFonts w:eastAsiaTheme="minorHAnsi" w:cs="Helvetica"/>
          <w:color w:val="000000"/>
          <w:sz w:val="22"/>
          <w:szCs w:val="22"/>
          <w:lang w:eastAsia="en-US"/>
        </w:rPr>
        <w:t xml:space="preserve">лютой развивающимся странам. </w:t>
      </w:r>
    </w:p>
    <w:p w:rsidR="00724342" w:rsidRPr="006E4146" w:rsidRDefault="00724342" w:rsidP="006E4146">
      <w:pPr>
        <w:shd w:val="clear" w:color="auto" w:fill="FFFFFF"/>
        <w:ind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2. Размер и масштаб операций позволяет компаниям получать выгоды от </w:t>
      </w:r>
      <w:hyperlink r:id="rId277" w:history="1">
        <w:r w:rsidRPr="006E4146">
          <w:rPr>
            <w:rFonts w:eastAsiaTheme="minorHAnsi" w:cs="Helvetica"/>
            <w:color w:val="000000"/>
            <w:sz w:val="22"/>
            <w:szCs w:val="22"/>
            <w:lang w:eastAsia="en-US"/>
          </w:rPr>
          <w:t>эффекта масштаба</w:t>
        </w:r>
      </w:hyperlink>
      <w:r w:rsidRPr="006E4146">
        <w:rPr>
          <w:rFonts w:eastAsiaTheme="minorHAnsi" w:cs="Helvetica"/>
          <w:color w:val="000000"/>
          <w:sz w:val="22"/>
          <w:szCs w:val="22"/>
          <w:lang w:eastAsia="en-US"/>
        </w:rPr>
        <w:t xml:space="preserve">, способствующего снижению средних издержек и цен для потребителей. </w:t>
      </w:r>
    </w:p>
    <w:p w:rsidR="00724342" w:rsidRPr="006E4146" w:rsidRDefault="00724342" w:rsidP="006E4146">
      <w:pPr>
        <w:numPr>
          <w:ilvl w:val="0"/>
          <w:numId w:val="93"/>
        </w:numPr>
        <w:shd w:val="clear" w:color="auto" w:fill="FFFFFF"/>
        <w:tabs>
          <w:tab w:val="left" w:pos="993"/>
        </w:tabs>
        <w:ind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 xml:space="preserve">Большое количество прибыли может быть использовано для исследований, повышения уровня квалификации работников, диверсификации производства и т. д. </w:t>
      </w:r>
    </w:p>
    <w:p w:rsidR="00724342" w:rsidRPr="006E4146" w:rsidRDefault="00724342" w:rsidP="006E4146">
      <w:pPr>
        <w:numPr>
          <w:ilvl w:val="0"/>
          <w:numId w:val="93"/>
        </w:numPr>
        <w:shd w:val="clear" w:color="auto" w:fill="FFFFFF"/>
        <w:tabs>
          <w:tab w:val="left" w:pos="993"/>
        </w:tabs>
        <w:ind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Обеспечение качества и высокого уровня стандартиз</w:t>
      </w:r>
      <w:r w:rsidRPr="006E4146">
        <w:rPr>
          <w:rFonts w:eastAsiaTheme="minorHAnsi" w:cs="Helvetica"/>
          <w:color w:val="000000"/>
          <w:sz w:val="22"/>
          <w:szCs w:val="22"/>
          <w:lang w:eastAsia="en-US"/>
        </w:rPr>
        <w:t>а</w:t>
      </w:r>
      <w:r w:rsidRPr="006E4146">
        <w:rPr>
          <w:rFonts w:eastAsiaTheme="minorHAnsi" w:cs="Helvetica"/>
          <w:color w:val="000000"/>
          <w:sz w:val="22"/>
          <w:szCs w:val="22"/>
          <w:lang w:eastAsia="en-US"/>
        </w:rPr>
        <w:t xml:space="preserve">ции. </w:t>
      </w:r>
    </w:p>
    <w:p w:rsidR="00724342" w:rsidRPr="006E4146" w:rsidRDefault="00724342" w:rsidP="006E4146">
      <w:pPr>
        <w:numPr>
          <w:ilvl w:val="0"/>
          <w:numId w:val="93"/>
        </w:numPr>
        <w:shd w:val="clear" w:color="auto" w:fill="FFFFFF"/>
        <w:tabs>
          <w:tab w:val="left" w:pos="993"/>
        </w:tabs>
        <w:ind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Иностранные инвестиции. Транснациональные корпор</w:t>
      </w:r>
      <w:r w:rsidRPr="006E4146">
        <w:rPr>
          <w:rFonts w:eastAsiaTheme="minorHAnsi" w:cs="Helvetica"/>
          <w:color w:val="000000"/>
          <w:sz w:val="22"/>
          <w:szCs w:val="22"/>
          <w:lang w:eastAsia="en-US"/>
        </w:rPr>
        <w:t>а</w:t>
      </w:r>
      <w:r w:rsidRPr="006E4146">
        <w:rPr>
          <w:rFonts w:eastAsiaTheme="minorHAnsi" w:cs="Helvetica"/>
          <w:color w:val="000000"/>
          <w:sz w:val="22"/>
          <w:szCs w:val="22"/>
          <w:lang w:eastAsia="en-US"/>
        </w:rPr>
        <w:t xml:space="preserve">ции являются своеобразным «поставщиком» прямых иностранных инвестиций. </w:t>
      </w:r>
    </w:p>
    <w:p w:rsidR="00724342" w:rsidRPr="006E4146" w:rsidRDefault="00724342" w:rsidP="006E4146">
      <w:pPr>
        <w:keepNext/>
        <w:shd w:val="clear" w:color="auto" w:fill="FFFFFF"/>
        <w:ind w:firstLine="426"/>
        <w:jc w:val="both"/>
        <w:outlineLvl w:val="2"/>
        <w:rPr>
          <w:rFonts w:cs="Arial"/>
          <w:color w:val="000000"/>
          <w:sz w:val="22"/>
          <w:szCs w:val="22"/>
        </w:rPr>
      </w:pPr>
      <w:r w:rsidRPr="006E4146">
        <w:rPr>
          <w:rFonts w:cs="Arial"/>
          <w:color w:val="000000"/>
          <w:sz w:val="22"/>
          <w:szCs w:val="22"/>
        </w:rPr>
        <w:t>Критика транснациональных корпораций:</w:t>
      </w:r>
    </w:p>
    <w:p w:rsidR="00724342" w:rsidRPr="006E4146" w:rsidRDefault="00724342" w:rsidP="006E4146">
      <w:pPr>
        <w:numPr>
          <w:ilvl w:val="0"/>
          <w:numId w:val="92"/>
        </w:numPr>
        <w:shd w:val="clear" w:color="auto" w:fill="FFFFFF"/>
        <w:tabs>
          <w:tab w:val="left" w:pos="993"/>
        </w:tabs>
        <w:ind w:left="0"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Компании часто заинтересованы в прибыли за счет потреб</w:t>
      </w:r>
      <w:r w:rsidRPr="006E4146">
        <w:rPr>
          <w:rFonts w:eastAsiaTheme="minorHAnsi" w:cs="Helvetica"/>
          <w:color w:val="000000"/>
          <w:sz w:val="22"/>
          <w:szCs w:val="22"/>
          <w:lang w:eastAsia="en-US"/>
        </w:rPr>
        <w:t>и</w:t>
      </w:r>
      <w:r w:rsidRPr="006E4146">
        <w:rPr>
          <w:rFonts w:eastAsiaTheme="minorHAnsi" w:cs="Helvetica"/>
          <w:color w:val="000000"/>
          <w:sz w:val="22"/>
          <w:szCs w:val="22"/>
          <w:lang w:eastAsia="en-US"/>
        </w:rPr>
        <w:t xml:space="preserve">теля. ТНК часто имеют монопольную власть, которая позволяет им сделать сверхприбыль. </w:t>
      </w:r>
    </w:p>
    <w:p w:rsidR="00724342" w:rsidRPr="006E4146" w:rsidRDefault="00724342" w:rsidP="006E4146">
      <w:pPr>
        <w:numPr>
          <w:ilvl w:val="0"/>
          <w:numId w:val="92"/>
        </w:numPr>
        <w:shd w:val="clear" w:color="auto" w:fill="FFFFFF"/>
        <w:tabs>
          <w:tab w:val="left" w:pos="993"/>
        </w:tabs>
        <w:ind w:left="0"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 xml:space="preserve">Уклонение от уплаты налогов. Многие транснациональные корпорации дочерние предприятия в странах с низкой налоговой ставкой. </w:t>
      </w:r>
    </w:p>
    <w:p w:rsidR="00724342" w:rsidRPr="006E4146" w:rsidRDefault="00724342" w:rsidP="006E4146">
      <w:pPr>
        <w:numPr>
          <w:ilvl w:val="0"/>
          <w:numId w:val="92"/>
        </w:numPr>
        <w:shd w:val="clear" w:color="auto" w:fill="FFFFFF"/>
        <w:tabs>
          <w:tab w:val="left" w:pos="993"/>
        </w:tabs>
        <w:ind w:left="0"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t xml:space="preserve">Доминирующее положение на рынке, создает проблемы для маленьких предприятий принимающей страны. </w:t>
      </w:r>
    </w:p>
    <w:p w:rsidR="00724342" w:rsidRPr="006E4146" w:rsidRDefault="00724342" w:rsidP="006E4146">
      <w:pPr>
        <w:numPr>
          <w:ilvl w:val="0"/>
          <w:numId w:val="92"/>
        </w:numPr>
        <w:shd w:val="clear" w:color="auto" w:fill="FFFFFF"/>
        <w:tabs>
          <w:tab w:val="left" w:pos="993"/>
        </w:tabs>
        <w:ind w:left="0" w:firstLine="426"/>
        <w:jc w:val="both"/>
        <w:rPr>
          <w:rFonts w:eastAsiaTheme="minorHAnsi" w:cs="Helvetica"/>
          <w:color w:val="000000"/>
          <w:sz w:val="22"/>
          <w:szCs w:val="22"/>
          <w:lang w:eastAsia="en-US"/>
        </w:rPr>
      </w:pPr>
      <w:r w:rsidRPr="006E4146">
        <w:rPr>
          <w:rFonts w:eastAsiaTheme="minorHAnsi" w:cs="Helvetica"/>
          <w:color w:val="000000"/>
          <w:sz w:val="22"/>
          <w:szCs w:val="22"/>
          <w:lang w:eastAsia="en-US"/>
        </w:rPr>
        <w:lastRenderedPageBreak/>
        <w:t>В погоне за прибылью, транснациональные компании часто вносят свой вклад в загрязнение и использование невозобновля</w:t>
      </w:r>
      <w:r w:rsidRPr="006E4146">
        <w:rPr>
          <w:rFonts w:eastAsiaTheme="minorHAnsi" w:cs="Helvetica"/>
          <w:color w:val="000000"/>
          <w:sz w:val="22"/>
          <w:szCs w:val="22"/>
          <w:lang w:eastAsia="en-US"/>
        </w:rPr>
        <w:t>е</w:t>
      </w:r>
      <w:r w:rsidRPr="006E4146">
        <w:rPr>
          <w:rFonts w:eastAsiaTheme="minorHAnsi" w:cs="Helvetica"/>
          <w:color w:val="000000"/>
          <w:sz w:val="22"/>
          <w:szCs w:val="22"/>
          <w:lang w:eastAsia="en-US"/>
        </w:rPr>
        <w:t>мых ресурсов [3].</w:t>
      </w:r>
    </w:p>
    <w:p w:rsidR="00724342" w:rsidRPr="006E4146" w:rsidRDefault="00724342" w:rsidP="006E4146">
      <w:pPr>
        <w:ind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 xml:space="preserve">Начиная с 1957 года, когда автомобили марки </w:t>
      </w:r>
      <w:r w:rsidRPr="006E4146">
        <w:rPr>
          <w:rFonts w:eastAsiaTheme="minorHAnsi" w:cstheme="minorBidi"/>
          <w:color w:val="000000"/>
          <w:sz w:val="22"/>
          <w:szCs w:val="22"/>
          <w:lang w:val="en-US" w:eastAsia="en-US"/>
        </w:rPr>
        <w:t>Toyota</w:t>
      </w:r>
      <w:r w:rsidRPr="006E4146">
        <w:rPr>
          <w:rFonts w:eastAsiaTheme="minorHAnsi" w:cstheme="minorBidi"/>
          <w:color w:val="000000"/>
          <w:sz w:val="22"/>
          <w:szCs w:val="22"/>
          <w:lang w:eastAsia="en-US"/>
        </w:rPr>
        <w:t xml:space="preserve"> впервые экспортируются в США, компания расширила сферу продаж авт</w:t>
      </w:r>
      <w:r w:rsidRPr="006E4146">
        <w:rPr>
          <w:rFonts w:eastAsiaTheme="minorHAnsi" w:cstheme="minorBidi"/>
          <w:color w:val="000000"/>
          <w:sz w:val="22"/>
          <w:szCs w:val="22"/>
          <w:lang w:eastAsia="en-US"/>
        </w:rPr>
        <w:t>о</w:t>
      </w:r>
      <w:r w:rsidRPr="006E4146">
        <w:rPr>
          <w:rFonts w:eastAsiaTheme="minorHAnsi" w:cstheme="minorBidi"/>
          <w:color w:val="000000"/>
          <w:sz w:val="22"/>
          <w:szCs w:val="22"/>
          <w:lang w:eastAsia="en-US"/>
        </w:rPr>
        <w:t>мобилей по всему миру. На протяжении более пятидесяти лет, а</w:t>
      </w:r>
      <w:r w:rsidRPr="006E4146">
        <w:rPr>
          <w:rFonts w:eastAsiaTheme="minorHAnsi" w:cstheme="minorBidi"/>
          <w:color w:val="000000"/>
          <w:sz w:val="22"/>
          <w:szCs w:val="22"/>
          <w:lang w:eastAsia="en-US"/>
        </w:rPr>
        <w:t>в</w:t>
      </w:r>
      <w:r w:rsidRPr="006E4146">
        <w:rPr>
          <w:rFonts w:eastAsiaTheme="minorHAnsi" w:cstheme="minorBidi"/>
          <w:color w:val="000000"/>
          <w:sz w:val="22"/>
          <w:szCs w:val="22"/>
          <w:lang w:eastAsia="en-US"/>
        </w:rPr>
        <w:t>томобили Toyota появились в более чем 170 странах и регионах. На сегодняшний день экспорт продолжает развиваться, как и локализ</w:t>
      </w:r>
      <w:r w:rsidRPr="006E4146">
        <w:rPr>
          <w:rFonts w:eastAsiaTheme="minorHAnsi" w:cstheme="minorBidi"/>
          <w:color w:val="000000"/>
          <w:sz w:val="22"/>
          <w:szCs w:val="22"/>
          <w:lang w:eastAsia="en-US"/>
        </w:rPr>
        <w:t>а</w:t>
      </w:r>
      <w:r w:rsidRPr="006E4146">
        <w:rPr>
          <w:rFonts w:eastAsiaTheme="minorHAnsi" w:cstheme="minorBidi"/>
          <w:color w:val="000000"/>
          <w:sz w:val="22"/>
          <w:szCs w:val="22"/>
          <w:lang w:eastAsia="en-US"/>
        </w:rPr>
        <w:t>ция производственных баз.</w:t>
      </w:r>
      <w:r w:rsidRPr="006E4146">
        <w:rPr>
          <w:rFonts w:eastAsiaTheme="minorHAnsi" w:cs="Arial"/>
          <w:color w:val="000000"/>
          <w:sz w:val="22"/>
          <w:szCs w:val="22"/>
          <w:shd w:val="clear" w:color="auto" w:fill="FFFFFF"/>
          <w:lang w:eastAsia="en-US"/>
        </w:rPr>
        <w:t xml:space="preserve"> В дополнение к автомобильной проду</w:t>
      </w:r>
      <w:r w:rsidRPr="006E4146">
        <w:rPr>
          <w:rFonts w:eastAsiaTheme="minorHAnsi" w:cs="Arial"/>
          <w:color w:val="000000"/>
          <w:sz w:val="22"/>
          <w:szCs w:val="22"/>
          <w:shd w:val="clear" w:color="auto" w:fill="FFFFFF"/>
          <w:lang w:eastAsia="en-US"/>
        </w:rPr>
        <w:t>к</w:t>
      </w:r>
      <w:r w:rsidRPr="006E4146">
        <w:rPr>
          <w:rFonts w:eastAsiaTheme="minorHAnsi" w:cs="Arial"/>
          <w:color w:val="000000"/>
          <w:sz w:val="22"/>
          <w:szCs w:val="22"/>
          <w:shd w:val="clear" w:color="auto" w:fill="FFFFFF"/>
          <w:lang w:eastAsia="en-US"/>
        </w:rPr>
        <w:t>ции, дочерние компании занимаются производством резиновых и пробковых материалов, стали, </w:t>
      </w:r>
      <w:hyperlink r:id="rId278" w:history="1">
        <w:r w:rsidRPr="006E4146">
          <w:rPr>
            <w:rFonts w:eastAsiaTheme="minorHAnsi" w:cs="Arial"/>
            <w:color w:val="000000"/>
            <w:sz w:val="22"/>
            <w:szCs w:val="22"/>
            <w:shd w:val="clear" w:color="auto" w:fill="FFFFFF"/>
            <w:lang w:eastAsia="en-US"/>
          </w:rPr>
          <w:t>синтетических</w:t>
        </w:r>
      </w:hyperlink>
      <w:r w:rsidRPr="006E4146">
        <w:rPr>
          <w:rFonts w:eastAsiaTheme="minorHAnsi" w:cs="Arial"/>
          <w:color w:val="000000"/>
          <w:sz w:val="22"/>
          <w:szCs w:val="22"/>
          <w:shd w:val="clear" w:color="auto" w:fill="FFFFFF"/>
          <w:lang w:eastAsia="en-US"/>
        </w:rPr>
        <w:t xml:space="preserve"> смол, автоматических ткацких станков и др. </w:t>
      </w:r>
    </w:p>
    <w:p w:rsidR="00724342" w:rsidRPr="006E4146" w:rsidRDefault="00724342" w:rsidP="006E4146">
      <w:pPr>
        <w:shd w:val="clear" w:color="auto" w:fill="FFFFFF"/>
        <w:ind w:firstLine="426"/>
        <w:jc w:val="both"/>
        <w:rPr>
          <w:color w:val="000000"/>
          <w:sz w:val="22"/>
          <w:szCs w:val="22"/>
        </w:rPr>
      </w:pPr>
      <w:r w:rsidRPr="006E4146">
        <w:rPr>
          <w:color w:val="000000"/>
          <w:sz w:val="22"/>
          <w:szCs w:val="22"/>
        </w:rPr>
        <w:t xml:space="preserve">Компании </w:t>
      </w:r>
      <w:r w:rsidRPr="006E4146">
        <w:rPr>
          <w:color w:val="000000"/>
          <w:sz w:val="22"/>
          <w:szCs w:val="22"/>
          <w:lang w:val="en-US"/>
        </w:rPr>
        <w:t>Toyota</w:t>
      </w:r>
      <w:r w:rsidRPr="006E4146">
        <w:rPr>
          <w:color w:val="000000"/>
          <w:sz w:val="22"/>
          <w:szCs w:val="22"/>
        </w:rPr>
        <w:t xml:space="preserve"> присуща своя философия, которая отталкив</w:t>
      </w:r>
      <w:r w:rsidRPr="006E4146">
        <w:rPr>
          <w:color w:val="000000"/>
          <w:sz w:val="22"/>
          <w:szCs w:val="22"/>
        </w:rPr>
        <w:t>а</w:t>
      </w:r>
      <w:r w:rsidRPr="006E4146">
        <w:rPr>
          <w:color w:val="000000"/>
          <w:sz w:val="22"/>
          <w:szCs w:val="22"/>
        </w:rPr>
        <w:t>ется от того, что независимо от страны, где был произведен автом</w:t>
      </w:r>
      <w:r w:rsidRPr="006E4146">
        <w:rPr>
          <w:color w:val="000000"/>
          <w:sz w:val="22"/>
          <w:szCs w:val="22"/>
        </w:rPr>
        <w:t>о</w:t>
      </w:r>
      <w:r w:rsidRPr="006E4146">
        <w:rPr>
          <w:color w:val="000000"/>
          <w:sz w:val="22"/>
          <w:szCs w:val="22"/>
        </w:rPr>
        <w:t>биль компании, его качество должно быть на высшем уровне.</w:t>
      </w:r>
    </w:p>
    <w:p w:rsidR="00724342" w:rsidRPr="006E4146" w:rsidRDefault="00724342" w:rsidP="006E4146">
      <w:pPr>
        <w:ind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 xml:space="preserve">Ведущий японский автомобильный производитель делает упор на инновации в сфере водородных двигателей и электрокаров. </w:t>
      </w:r>
      <w:r w:rsidRPr="006E4146">
        <w:rPr>
          <w:rFonts w:eastAsiaTheme="minorHAnsi" w:cstheme="minorBidi"/>
          <w:color w:val="000000"/>
          <w:sz w:val="22"/>
          <w:szCs w:val="22"/>
          <w:lang w:val="en-US" w:eastAsia="en-US"/>
        </w:rPr>
        <w:t>Toyota</w:t>
      </w:r>
      <w:r w:rsidRPr="006E4146">
        <w:rPr>
          <w:rFonts w:eastAsiaTheme="minorHAnsi" w:cstheme="minorBidi"/>
          <w:color w:val="000000"/>
          <w:sz w:val="22"/>
          <w:szCs w:val="22"/>
          <w:lang w:eastAsia="en-US"/>
        </w:rPr>
        <w:t xml:space="preserve"> на сегодняшний день не только занимает лидирующие поз</w:t>
      </w:r>
      <w:r w:rsidRPr="006E4146">
        <w:rPr>
          <w:rFonts w:eastAsiaTheme="minorHAnsi" w:cstheme="minorBidi"/>
          <w:color w:val="000000"/>
          <w:sz w:val="22"/>
          <w:szCs w:val="22"/>
          <w:lang w:eastAsia="en-US"/>
        </w:rPr>
        <w:t>и</w:t>
      </w:r>
      <w:r w:rsidRPr="006E4146">
        <w:rPr>
          <w:rFonts w:eastAsiaTheme="minorHAnsi" w:cstheme="minorBidi"/>
          <w:color w:val="000000"/>
          <w:sz w:val="22"/>
          <w:szCs w:val="22"/>
          <w:lang w:eastAsia="en-US"/>
        </w:rPr>
        <w:t>ции как по качеству, надежности, стилю производимых автомоб</w:t>
      </w:r>
      <w:r w:rsidRPr="006E4146">
        <w:rPr>
          <w:rFonts w:eastAsiaTheme="minorHAnsi" w:cstheme="minorBidi"/>
          <w:color w:val="000000"/>
          <w:sz w:val="22"/>
          <w:szCs w:val="22"/>
          <w:lang w:eastAsia="en-US"/>
        </w:rPr>
        <w:t>и</w:t>
      </w:r>
      <w:r w:rsidRPr="006E4146">
        <w:rPr>
          <w:rFonts w:eastAsiaTheme="minorHAnsi" w:cstheme="minorBidi"/>
          <w:color w:val="000000"/>
          <w:sz w:val="22"/>
          <w:szCs w:val="22"/>
          <w:lang w:eastAsia="en-US"/>
        </w:rPr>
        <w:t>лей, так и в сфере новейших разработок. Это обосновано тем, что колоссальные ресурсы компании направлены на повышение квал</w:t>
      </w:r>
      <w:r w:rsidRPr="006E4146">
        <w:rPr>
          <w:rFonts w:eastAsiaTheme="minorHAnsi" w:cstheme="minorBidi"/>
          <w:color w:val="000000"/>
          <w:sz w:val="22"/>
          <w:szCs w:val="22"/>
          <w:lang w:eastAsia="en-US"/>
        </w:rPr>
        <w:t>и</w:t>
      </w:r>
      <w:r w:rsidRPr="006E4146">
        <w:rPr>
          <w:rFonts w:eastAsiaTheme="minorHAnsi" w:cstheme="minorBidi"/>
          <w:color w:val="000000"/>
          <w:sz w:val="22"/>
          <w:szCs w:val="22"/>
          <w:lang w:eastAsia="en-US"/>
        </w:rPr>
        <w:t>фикации работников и развитие творческого потенциала [2].</w:t>
      </w:r>
    </w:p>
    <w:p w:rsidR="00724342" w:rsidRPr="006E4146" w:rsidRDefault="00724342" w:rsidP="006E4146">
      <w:pPr>
        <w:ind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 xml:space="preserve">На сегодняшний день компания </w:t>
      </w:r>
      <w:r w:rsidRPr="006E4146">
        <w:rPr>
          <w:rFonts w:eastAsiaTheme="minorHAnsi" w:cstheme="minorBidi"/>
          <w:color w:val="000000"/>
          <w:sz w:val="22"/>
          <w:szCs w:val="22"/>
          <w:lang w:val="en-US" w:eastAsia="en-US"/>
        </w:rPr>
        <w:t>Toyota</w:t>
      </w:r>
      <w:r w:rsidRPr="006E4146">
        <w:rPr>
          <w:rFonts w:eastAsiaTheme="minorHAnsi" w:cstheme="minorBidi"/>
          <w:color w:val="000000"/>
          <w:sz w:val="22"/>
          <w:szCs w:val="22"/>
          <w:lang w:eastAsia="en-US"/>
        </w:rPr>
        <w:t xml:space="preserve"> предоставляет рабочие места более чем 349 тыс. сотрудникам по всему миру. В свою оч</w:t>
      </w:r>
      <w:r w:rsidRPr="006E4146">
        <w:rPr>
          <w:rFonts w:eastAsiaTheme="minorHAnsi" w:cstheme="minorBidi"/>
          <w:color w:val="000000"/>
          <w:sz w:val="22"/>
          <w:szCs w:val="22"/>
          <w:lang w:eastAsia="en-US"/>
        </w:rPr>
        <w:t>е</w:t>
      </w:r>
      <w:r w:rsidRPr="006E4146">
        <w:rPr>
          <w:rFonts w:eastAsiaTheme="minorHAnsi" w:cstheme="minorBidi"/>
          <w:color w:val="000000"/>
          <w:sz w:val="22"/>
          <w:szCs w:val="22"/>
          <w:lang w:eastAsia="en-US"/>
        </w:rPr>
        <w:t>редь, создание рабочих мест ведет к повышению уровня занятости, притоку иностранного капитала и снижению социальной напряже</w:t>
      </w:r>
      <w:r w:rsidRPr="006E4146">
        <w:rPr>
          <w:rFonts w:eastAsiaTheme="minorHAnsi" w:cstheme="minorBidi"/>
          <w:color w:val="000000"/>
          <w:sz w:val="22"/>
          <w:szCs w:val="22"/>
          <w:lang w:eastAsia="en-US"/>
        </w:rPr>
        <w:t>н</w:t>
      </w:r>
      <w:r w:rsidRPr="006E4146">
        <w:rPr>
          <w:rFonts w:eastAsiaTheme="minorHAnsi" w:cstheme="minorBidi"/>
          <w:color w:val="000000"/>
          <w:sz w:val="22"/>
          <w:szCs w:val="22"/>
          <w:lang w:eastAsia="en-US"/>
        </w:rPr>
        <w:t>ности  в развивающихся странах, что играет значительную роль для каждой из национальных экономик.</w:t>
      </w:r>
    </w:p>
    <w:p w:rsidR="00724342" w:rsidRPr="006E4146" w:rsidRDefault="00724342" w:rsidP="006E4146">
      <w:pPr>
        <w:ind w:firstLine="426"/>
        <w:jc w:val="both"/>
        <w:rPr>
          <w:rFonts w:eastAsiaTheme="minorHAnsi" w:cstheme="minorBidi"/>
          <w:color w:val="000000"/>
          <w:sz w:val="22"/>
          <w:szCs w:val="22"/>
          <w:lang w:eastAsia="en-US"/>
        </w:rPr>
      </w:pPr>
    </w:p>
    <w:p w:rsidR="00724342" w:rsidRPr="006E4146" w:rsidRDefault="006E4146" w:rsidP="006E4146">
      <w:pPr>
        <w:ind w:firstLine="426"/>
        <w:jc w:val="center"/>
        <w:rPr>
          <w:rFonts w:eastAsiaTheme="minorHAnsi" w:cstheme="minorBidi"/>
          <w:color w:val="000000"/>
          <w:sz w:val="22"/>
          <w:szCs w:val="22"/>
          <w:lang w:eastAsia="en-US"/>
        </w:rPr>
      </w:pPr>
      <w:r>
        <w:rPr>
          <w:rFonts w:eastAsiaTheme="minorHAnsi" w:cstheme="minorBidi"/>
          <w:color w:val="000000"/>
          <w:sz w:val="22"/>
          <w:szCs w:val="22"/>
          <w:lang w:eastAsia="en-US"/>
        </w:rPr>
        <w:t>Список литературы</w:t>
      </w:r>
    </w:p>
    <w:p w:rsidR="00724342" w:rsidRPr="006E4146" w:rsidRDefault="00724342" w:rsidP="006E4146">
      <w:pPr>
        <w:shd w:val="clear" w:color="auto" w:fill="FFFFFF"/>
        <w:ind w:firstLine="426"/>
        <w:jc w:val="both"/>
        <w:rPr>
          <w:rFonts w:eastAsiaTheme="minorHAnsi" w:cstheme="minorBidi"/>
          <w:color w:val="000000"/>
          <w:sz w:val="22"/>
          <w:szCs w:val="22"/>
          <w:lang w:eastAsia="en-US"/>
        </w:rPr>
      </w:pPr>
      <w:r w:rsidRPr="006E4146">
        <w:rPr>
          <w:rFonts w:eastAsiaTheme="minorHAnsi" w:cs="Arial"/>
          <w:color w:val="000000"/>
          <w:sz w:val="22"/>
          <w:szCs w:val="22"/>
          <w:shd w:val="clear" w:color="auto" w:fill="FFFFFF"/>
          <w:lang w:eastAsia="en-US"/>
        </w:rPr>
        <w:t xml:space="preserve">1. </w:t>
      </w:r>
      <w:r w:rsidRPr="006E4146">
        <w:rPr>
          <w:rFonts w:eastAsiaTheme="minorHAnsi" w:cstheme="minorBidi"/>
          <w:color w:val="000000"/>
          <w:sz w:val="22"/>
          <w:szCs w:val="22"/>
          <w:lang w:eastAsia="en-US"/>
        </w:rPr>
        <w:t>Мельников А.Б. Тенденции, проблемы и перспективы разв</w:t>
      </w:r>
      <w:r w:rsidRPr="006E4146">
        <w:rPr>
          <w:rFonts w:eastAsiaTheme="minorHAnsi" w:cstheme="minorBidi"/>
          <w:color w:val="000000"/>
          <w:sz w:val="22"/>
          <w:szCs w:val="22"/>
          <w:lang w:eastAsia="en-US"/>
        </w:rPr>
        <w:t>и</w:t>
      </w:r>
      <w:r w:rsidRPr="006E4146">
        <w:rPr>
          <w:rFonts w:eastAsiaTheme="minorHAnsi" w:cstheme="minorBidi"/>
          <w:color w:val="000000"/>
          <w:sz w:val="22"/>
          <w:szCs w:val="22"/>
          <w:lang w:eastAsia="en-US"/>
        </w:rPr>
        <w:t>тия зарубежного и российского рынков легковых автомобилей / А.Б. Мельников, Н.В. Фалина, А.В. Бледнова // Политематический сетевой электронный научный журнал Кубанского государственн</w:t>
      </w:r>
      <w:r w:rsidRPr="006E4146">
        <w:rPr>
          <w:rFonts w:eastAsiaTheme="minorHAnsi" w:cstheme="minorBidi"/>
          <w:color w:val="000000"/>
          <w:sz w:val="22"/>
          <w:szCs w:val="22"/>
          <w:lang w:eastAsia="en-US"/>
        </w:rPr>
        <w:t>о</w:t>
      </w:r>
      <w:r w:rsidRPr="006E4146">
        <w:rPr>
          <w:rFonts w:eastAsiaTheme="minorHAnsi" w:cstheme="minorBidi"/>
          <w:color w:val="000000"/>
          <w:sz w:val="22"/>
          <w:szCs w:val="22"/>
          <w:lang w:eastAsia="en-US"/>
        </w:rPr>
        <w:t>го аграрного университета. 2017. № 128. С. 82-99.</w:t>
      </w:r>
    </w:p>
    <w:p w:rsidR="00724342" w:rsidRPr="006E4146" w:rsidRDefault="00724342" w:rsidP="006E4146">
      <w:pPr>
        <w:shd w:val="clear" w:color="auto" w:fill="FFFFFF"/>
        <w:ind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2. Острецова А.В. Тенденции развития рынка легковых авт</w:t>
      </w:r>
      <w:r w:rsidRPr="006E4146">
        <w:rPr>
          <w:rFonts w:eastAsiaTheme="minorHAnsi" w:cstheme="minorBidi"/>
          <w:color w:val="000000"/>
          <w:sz w:val="22"/>
          <w:szCs w:val="22"/>
          <w:lang w:eastAsia="en-US"/>
        </w:rPr>
        <w:t>о</w:t>
      </w:r>
      <w:r w:rsidRPr="006E4146">
        <w:rPr>
          <w:rFonts w:eastAsiaTheme="minorHAnsi" w:cstheme="minorBidi"/>
          <w:color w:val="000000"/>
          <w:sz w:val="22"/>
          <w:szCs w:val="22"/>
          <w:lang w:eastAsia="en-US"/>
        </w:rPr>
        <w:t>мобилей Японии / А.В. Острецова // Экономика и предприним</w:t>
      </w:r>
      <w:r w:rsidRPr="006E4146">
        <w:rPr>
          <w:rFonts w:eastAsiaTheme="minorHAnsi" w:cstheme="minorBidi"/>
          <w:color w:val="000000"/>
          <w:sz w:val="22"/>
          <w:szCs w:val="22"/>
          <w:lang w:eastAsia="en-US"/>
        </w:rPr>
        <w:t>а</w:t>
      </w:r>
      <w:r w:rsidRPr="006E4146">
        <w:rPr>
          <w:rFonts w:eastAsiaTheme="minorHAnsi" w:cstheme="minorBidi"/>
          <w:color w:val="000000"/>
          <w:sz w:val="22"/>
          <w:szCs w:val="22"/>
          <w:lang w:eastAsia="en-US"/>
        </w:rPr>
        <w:t>тельство. – 2017. № 12-1 (89-1). – С. 174-178.</w:t>
      </w:r>
    </w:p>
    <w:p w:rsidR="00724342" w:rsidRPr="006E4146" w:rsidRDefault="00724342" w:rsidP="006E4146">
      <w:pPr>
        <w:shd w:val="clear" w:color="auto" w:fill="FFFFFF"/>
        <w:ind w:firstLine="426"/>
        <w:jc w:val="both"/>
        <w:rPr>
          <w:rFonts w:eastAsiaTheme="minorHAnsi" w:cs="Arial"/>
          <w:color w:val="000000"/>
          <w:sz w:val="22"/>
          <w:szCs w:val="22"/>
          <w:shd w:val="clear" w:color="auto" w:fill="FFFFFF"/>
          <w:lang w:eastAsia="en-US"/>
        </w:rPr>
      </w:pPr>
      <w:r w:rsidRPr="006E4146">
        <w:rPr>
          <w:rFonts w:eastAsiaTheme="minorHAnsi" w:cstheme="minorBidi"/>
          <w:color w:val="000000"/>
          <w:sz w:val="22"/>
          <w:szCs w:val="22"/>
          <w:lang w:eastAsia="en-US"/>
        </w:rPr>
        <w:lastRenderedPageBreak/>
        <w:t>3. Рой Л.В., Третьяк В.П. Анализ отраслевых рынков: учеб. для студ. вузов, обуч. по эконом. спец./ Л. В. Рой, В. П. Третьяк; Моск. гос. ун-т им. М. В. Ломоносова, Эконом. фак.. - Москва: ИНФРА-М, 2016. - 442 с.;</w:t>
      </w:r>
    </w:p>
    <w:p w:rsidR="00724342" w:rsidRPr="006E4146" w:rsidRDefault="00724342" w:rsidP="006E4146">
      <w:pPr>
        <w:shd w:val="clear" w:color="auto" w:fill="FFFFFF"/>
        <w:ind w:firstLine="426"/>
        <w:jc w:val="both"/>
        <w:rPr>
          <w:rFonts w:eastAsiaTheme="minorHAnsi" w:cstheme="minorBidi"/>
          <w:color w:val="000000"/>
          <w:sz w:val="22"/>
          <w:szCs w:val="22"/>
          <w:lang w:eastAsia="en-US"/>
        </w:rPr>
      </w:pPr>
      <w:r w:rsidRPr="006E4146">
        <w:rPr>
          <w:rFonts w:eastAsiaTheme="minorHAnsi" w:cstheme="minorBidi"/>
          <w:color w:val="000000"/>
          <w:sz w:val="22"/>
          <w:szCs w:val="22"/>
          <w:lang w:eastAsia="en-US"/>
        </w:rPr>
        <w:t>4. Эксперт. Журнал. /Cостояние рынка легковых автомобилей/ 2016г. №5</w:t>
      </w:r>
    </w:p>
    <w:p w:rsidR="00724342" w:rsidRPr="00724342" w:rsidRDefault="00724342" w:rsidP="00724342">
      <w:pPr>
        <w:tabs>
          <w:tab w:val="left" w:pos="1155"/>
        </w:tabs>
        <w:spacing w:after="160"/>
        <w:jc w:val="both"/>
        <w:rPr>
          <w:rFonts w:ascii="Calibri" w:hAnsi="Calibri"/>
          <w:sz w:val="22"/>
          <w:szCs w:val="22"/>
          <w:lang w:eastAsia="en-US"/>
        </w:rPr>
      </w:pPr>
      <w:r w:rsidRPr="00724342">
        <w:rPr>
          <w:rFonts w:ascii="Calibri" w:hAnsi="Calibri"/>
          <w:sz w:val="22"/>
          <w:szCs w:val="22"/>
          <w:lang w:eastAsia="en-US"/>
        </w:rPr>
        <w:tab/>
      </w:r>
    </w:p>
    <w:p w:rsidR="006E4146" w:rsidRPr="00724342" w:rsidRDefault="006E4146" w:rsidP="00724342">
      <w:pPr>
        <w:jc w:val="both"/>
        <w:rPr>
          <w:rFonts w:eastAsia="Yu Mincho"/>
          <w:sz w:val="22"/>
          <w:szCs w:val="22"/>
          <w:lang w:eastAsia="en-US"/>
        </w:rPr>
      </w:pPr>
    </w:p>
    <w:p w:rsidR="00724342" w:rsidRPr="00724342" w:rsidRDefault="00724342" w:rsidP="00724342">
      <w:pPr>
        <w:jc w:val="both"/>
        <w:rPr>
          <w:rFonts w:eastAsia="Yu Mincho"/>
          <w:sz w:val="22"/>
          <w:szCs w:val="22"/>
          <w:lang w:eastAsia="en-US"/>
        </w:rPr>
      </w:pPr>
      <w:r w:rsidRPr="00724342">
        <w:rPr>
          <w:rFonts w:eastAsia="Yu Mincho"/>
          <w:sz w:val="22"/>
          <w:szCs w:val="22"/>
          <w:lang w:eastAsia="en-US"/>
        </w:rPr>
        <w:t>УДК 331.5</w:t>
      </w:r>
    </w:p>
    <w:p w:rsidR="00724342" w:rsidRPr="00724342" w:rsidRDefault="00724342" w:rsidP="00724342">
      <w:pPr>
        <w:jc w:val="both"/>
        <w:rPr>
          <w:rFonts w:eastAsia="Yu Mincho"/>
          <w:sz w:val="22"/>
          <w:szCs w:val="22"/>
          <w:lang w:eastAsia="en-US"/>
        </w:rPr>
      </w:pPr>
    </w:p>
    <w:p w:rsidR="00724342" w:rsidRPr="00724342" w:rsidRDefault="00724342" w:rsidP="00724342">
      <w:pPr>
        <w:jc w:val="center"/>
        <w:rPr>
          <w:rFonts w:eastAsia="Yu Mincho"/>
          <w:b/>
          <w:sz w:val="24"/>
          <w:szCs w:val="24"/>
          <w:lang w:eastAsia="en-US"/>
        </w:rPr>
      </w:pPr>
      <w:r w:rsidRPr="00724342">
        <w:rPr>
          <w:rFonts w:eastAsia="Yu Mincho"/>
          <w:b/>
          <w:sz w:val="24"/>
          <w:szCs w:val="24"/>
          <w:lang w:eastAsia="en-US"/>
        </w:rPr>
        <w:t>Государственная поддержка российских безработных</w:t>
      </w:r>
    </w:p>
    <w:p w:rsidR="00724342" w:rsidRPr="00724342" w:rsidRDefault="00724342" w:rsidP="00724342">
      <w:pPr>
        <w:jc w:val="center"/>
        <w:rPr>
          <w:rFonts w:eastAsia="Yu Mincho"/>
          <w:b/>
          <w:sz w:val="24"/>
          <w:szCs w:val="24"/>
          <w:lang w:eastAsia="en-US"/>
        </w:rPr>
      </w:pPr>
      <w:r w:rsidRPr="00724342">
        <w:rPr>
          <w:rFonts w:eastAsia="Yu Mincho"/>
          <w:b/>
          <w:sz w:val="24"/>
          <w:szCs w:val="24"/>
          <w:lang w:val="en-US" w:eastAsia="en-US"/>
        </w:rPr>
        <w:t>State</w:t>
      </w:r>
      <w:r w:rsidRPr="00724342">
        <w:rPr>
          <w:rFonts w:eastAsia="Yu Mincho"/>
          <w:b/>
          <w:sz w:val="24"/>
          <w:szCs w:val="24"/>
          <w:lang w:eastAsia="en-US"/>
        </w:rPr>
        <w:t xml:space="preserve"> </w:t>
      </w:r>
      <w:r w:rsidRPr="00724342">
        <w:rPr>
          <w:rFonts w:eastAsia="Yu Mincho"/>
          <w:b/>
          <w:sz w:val="24"/>
          <w:szCs w:val="24"/>
          <w:lang w:val="en-US" w:eastAsia="en-US"/>
        </w:rPr>
        <w:t>support</w:t>
      </w:r>
      <w:r w:rsidRPr="00724342">
        <w:rPr>
          <w:rFonts w:eastAsia="Yu Mincho"/>
          <w:b/>
          <w:sz w:val="24"/>
          <w:szCs w:val="24"/>
          <w:lang w:eastAsia="en-US"/>
        </w:rPr>
        <w:t xml:space="preserve"> </w:t>
      </w:r>
      <w:r w:rsidRPr="00724342">
        <w:rPr>
          <w:rFonts w:eastAsia="Yu Mincho"/>
          <w:b/>
          <w:sz w:val="24"/>
          <w:szCs w:val="24"/>
          <w:lang w:val="en-US" w:eastAsia="en-US"/>
        </w:rPr>
        <w:t>for</w:t>
      </w:r>
      <w:r w:rsidRPr="00724342">
        <w:rPr>
          <w:rFonts w:eastAsia="Yu Mincho"/>
          <w:b/>
          <w:sz w:val="24"/>
          <w:szCs w:val="24"/>
          <w:lang w:eastAsia="en-US"/>
        </w:rPr>
        <w:t xml:space="preserve"> </w:t>
      </w:r>
      <w:r w:rsidRPr="00724342">
        <w:rPr>
          <w:rFonts w:eastAsia="Yu Mincho"/>
          <w:b/>
          <w:sz w:val="24"/>
          <w:szCs w:val="24"/>
          <w:lang w:val="en-US" w:eastAsia="en-US"/>
        </w:rPr>
        <w:t>the</w:t>
      </w:r>
      <w:r w:rsidRPr="00724342">
        <w:rPr>
          <w:rFonts w:eastAsia="Yu Mincho"/>
          <w:b/>
          <w:sz w:val="24"/>
          <w:szCs w:val="24"/>
          <w:lang w:eastAsia="en-US"/>
        </w:rPr>
        <w:t xml:space="preserve"> </w:t>
      </w:r>
      <w:r w:rsidRPr="00724342">
        <w:rPr>
          <w:rFonts w:eastAsia="Yu Mincho"/>
          <w:b/>
          <w:sz w:val="24"/>
          <w:szCs w:val="24"/>
          <w:lang w:val="en-US" w:eastAsia="en-US"/>
        </w:rPr>
        <w:t>Russian</w:t>
      </w:r>
      <w:r w:rsidRPr="00724342">
        <w:rPr>
          <w:rFonts w:eastAsia="Yu Mincho"/>
          <w:b/>
          <w:sz w:val="24"/>
          <w:szCs w:val="24"/>
          <w:lang w:eastAsia="en-US"/>
        </w:rPr>
        <w:t xml:space="preserve"> </w:t>
      </w:r>
      <w:r w:rsidRPr="00724342">
        <w:rPr>
          <w:rFonts w:eastAsia="Yu Mincho"/>
          <w:b/>
          <w:sz w:val="24"/>
          <w:szCs w:val="24"/>
          <w:lang w:val="en-US" w:eastAsia="en-US"/>
        </w:rPr>
        <w:t>unemployed</w:t>
      </w:r>
    </w:p>
    <w:p w:rsidR="00724342" w:rsidRPr="00724342" w:rsidRDefault="00724342" w:rsidP="00724342">
      <w:pPr>
        <w:jc w:val="center"/>
        <w:rPr>
          <w:rFonts w:eastAsia="Yu Mincho"/>
          <w:b/>
          <w:sz w:val="24"/>
          <w:szCs w:val="24"/>
          <w:lang w:eastAsia="en-US"/>
        </w:rPr>
      </w:pPr>
    </w:p>
    <w:p w:rsidR="00724342" w:rsidRPr="00724342" w:rsidRDefault="00724342" w:rsidP="00724342">
      <w:pPr>
        <w:jc w:val="right"/>
        <w:rPr>
          <w:rFonts w:eastAsia="Yu Mincho"/>
          <w:sz w:val="22"/>
          <w:szCs w:val="22"/>
          <w:lang w:eastAsia="en-US"/>
        </w:rPr>
      </w:pPr>
      <w:r w:rsidRPr="00724342">
        <w:rPr>
          <w:rFonts w:eastAsia="Yu Mincho"/>
          <w:sz w:val="22"/>
          <w:szCs w:val="22"/>
          <w:lang w:eastAsia="en-US"/>
        </w:rPr>
        <w:t>Кочарян Ш.</w:t>
      </w:r>
      <w:r w:rsidR="006E4146">
        <w:rPr>
          <w:rFonts w:eastAsia="Yu Mincho"/>
          <w:sz w:val="22"/>
          <w:szCs w:val="22"/>
          <w:lang w:eastAsia="en-US"/>
        </w:rPr>
        <w:t xml:space="preserve"> </w:t>
      </w:r>
      <w:r w:rsidRPr="00724342">
        <w:rPr>
          <w:rFonts w:eastAsia="Yu Mincho"/>
          <w:sz w:val="22"/>
          <w:szCs w:val="22"/>
          <w:lang w:eastAsia="en-US"/>
        </w:rPr>
        <w:t>И.</w:t>
      </w:r>
      <w:r w:rsidR="006E4146">
        <w:rPr>
          <w:rFonts w:eastAsia="Yu Mincho"/>
          <w:sz w:val="22"/>
          <w:szCs w:val="22"/>
          <w:lang w:eastAsia="en-US"/>
        </w:rPr>
        <w:t>,</w:t>
      </w:r>
    </w:p>
    <w:p w:rsidR="00724342" w:rsidRPr="00724342" w:rsidRDefault="00724342" w:rsidP="00724342">
      <w:pPr>
        <w:jc w:val="right"/>
        <w:rPr>
          <w:rFonts w:eastAsia="Yu Mincho"/>
          <w:sz w:val="22"/>
          <w:szCs w:val="22"/>
          <w:lang w:eastAsia="en-US"/>
        </w:rPr>
      </w:pPr>
      <w:r w:rsidRPr="00724342">
        <w:rPr>
          <w:rFonts w:eastAsia="Yu Mincho"/>
          <w:sz w:val="22"/>
          <w:szCs w:val="22"/>
          <w:lang w:eastAsia="en-US"/>
        </w:rPr>
        <w:t>студент 2-го курса экономического факультета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Литвиненко Г.</w:t>
      </w:r>
      <w:r w:rsidR="006E4146">
        <w:rPr>
          <w:rFonts w:eastAsiaTheme="minorHAnsi"/>
          <w:spacing w:val="-2"/>
          <w:sz w:val="22"/>
          <w:szCs w:val="22"/>
          <w:lang w:eastAsia="en-US"/>
        </w:rPr>
        <w:t xml:space="preserve"> </w:t>
      </w:r>
      <w:r w:rsidRPr="00724342">
        <w:rPr>
          <w:rFonts w:eastAsiaTheme="minorHAnsi"/>
          <w:spacing w:val="-2"/>
          <w:sz w:val="22"/>
          <w:szCs w:val="22"/>
          <w:lang w:eastAsia="en-US"/>
        </w:rPr>
        <w:t xml:space="preserve">Н., </w:t>
      </w:r>
    </w:p>
    <w:p w:rsidR="006E4146" w:rsidRDefault="00724342" w:rsidP="00F972D6">
      <w:pPr>
        <w:jc w:val="right"/>
        <w:rPr>
          <w:rFonts w:eastAsiaTheme="minorHAnsi"/>
          <w:spacing w:val="-2"/>
          <w:sz w:val="22"/>
          <w:szCs w:val="22"/>
          <w:lang w:eastAsia="en-US"/>
        </w:rPr>
      </w:pPr>
      <w:r w:rsidRPr="00724342">
        <w:rPr>
          <w:rFonts w:eastAsiaTheme="minorHAnsi"/>
          <w:spacing w:val="-2"/>
          <w:sz w:val="22"/>
          <w:szCs w:val="22"/>
          <w:lang w:eastAsia="en-US"/>
        </w:rPr>
        <w:t>к. э. н., доцент кафедры организации производства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 и инновационной деятельности</w:t>
      </w:r>
    </w:p>
    <w:p w:rsidR="006E4146"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Кубанский государственный аграрный</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 </w:t>
      </w:r>
      <w:r w:rsidR="006E4146">
        <w:rPr>
          <w:rFonts w:eastAsiaTheme="minorHAnsi"/>
          <w:spacing w:val="-4"/>
          <w:sz w:val="22"/>
          <w:szCs w:val="22"/>
          <w:lang w:eastAsia="en-US"/>
        </w:rPr>
        <w:t>у</w:t>
      </w:r>
      <w:r w:rsidRPr="00724342">
        <w:rPr>
          <w:rFonts w:eastAsiaTheme="minorHAnsi"/>
          <w:spacing w:val="-4"/>
          <w:sz w:val="22"/>
          <w:szCs w:val="22"/>
          <w:lang w:eastAsia="en-US"/>
        </w:rPr>
        <w:t>ниверситет</w:t>
      </w:r>
      <w:r w:rsidR="006E4146">
        <w:rPr>
          <w:rFonts w:eastAsiaTheme="minorHAnsi"/>
          <w:spacing w:val="-4"/>
          <w:sz w:val="22"/>
          <w:szCs w:val="22"/>
          <w:lang w:eastAsia="en-US"/>
        </w:rPr>
        <w:t xml:space="preserve"> </w:t>
      </w:r>
      <w:r w:rsidRPr="00724342">
        <w:rPr>
          <w:rFonts w:eastAsiaTheme="minorHAnsi"/>
          <w:spacing w:val="-4"/>
          <w:sz w:val="22"/>
          <w:szCs w:val="22"/>
          <w:lang w:eastAsia="en-US"/>
        </w:rPr>
        <w:t>имени И. Т. Трубилина</w:t>
      </w:r>
    </w:p>
    <w:p w:rsidR="00724342" w:rsidRPr="00724342" w:rsidRDefault="00724342" w:rsidP="00724342">
      <w:pPr>
        <w:jc w:val="right"/>
        <w:rPr>
          <w:rFonts w:eastAsia="Yu Mincho"/>
          <w:sz w:val="22"/>
          <w:szCs w:val="22"/>
          <w:lang w:eastAsia="en-US"/>
        </w:rPr>
      </w:pP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АННОТАЦИЯ: В статье проанализированы гарантии госуда</w:t>
      </w:r>
      <w:r w:rsidRPr="00724342">
        <w:rPr>
          <w:rFonts w:eastAsia="Yu Mincho"/>
          <w:sz w:val="22"/>
          <w:szCs w:val="22"/>
          <w:lang w:eastAsia="en-US"/>
        </w:rPr>
        <w:t>р</w:t>
      </w:r>
      <w:r w:rsidRPr="00724342">
        <w:rPr>
          <w:rFonts w:eastAsia="Yu Mincho"/>
          <w:sz w:val="22"/>
          <w:szCs w:val="22"/>
          <w:lang w:eastAsia="en-US"/>
        </w:rPr>
        <w:t>ственной поддержки безработных; уровень безработицы за после</w:t>
      </w:r>
      <w:r w:rsidRPr="00724342">
        <w:rPr>
          <w:rFonts w:eastAsia="Yu Mincho"/>
          <w:sz w:val="22"/>
          <w:szCs w:val="22"/>
          <w:lang w:eastAsia="en-US"/>
        </w:rPr>
        <w:t>д</w:t>
      </w:r>
      <w:r w:rsidRPr="00724342">
        <w:rPr>
          <w:rFonts w:eastAsia="Yu Mincho"/>
          <w:sz w:val="22"/>
          <w:szCs w:val="22"/>
          <w:lang w:eastAsia="en-US"/>
        </w:rPr>
        <w:t>ние годы. Охарактеризована проблема занятости и безработицы, деятельность Центров занятости населения.</w:t>
      </w:r>
    </w:p>
    <w:p w:rsidR="00724342" w:rsidRPr="00724342" w:rsidRDefault="00724342" w:rsidP="006E4146">
      <w:pPr>
        <w:ind w:firstLine="426"/>
        <w:jc w:val="both"/>
        <w:rPr>
          <w:rFonts w:eastAsia="Yu Mincho"/>
          <w:sz w:val="22"/>
          <w:szCs w:val="22"/>
          <w:lang w:val="en-US" w:eastAsia="en-US"/>
        </w:rPr>
      </w:pPr>
      <w:r w:rsidRPr="00724342">
        <w:rPr>
          <w:rFonts w:eastAsia="Courier New"/>
          <w:color w:val="000000"/>
          <w:sz w:val="22"/>
          <w:szCs w:val="22"/>
          <w:lang w:val="en-US" w:eastAsia="en-US"/>
        </w:rPr>
        <w:t>ABSTRACT</w:t>
      </w:r>
      <w:r w:rsidRPr="00724342">
        <w:rPr>
          <w:rFonts w:eastAsia="Courier New"/>
          <w:color w:val="000000"/>
          <w:sz w:val="22"/>
          <w:szCs w:val="22"/>
          <w:lang w:eastAsia="en-US"/>
        </w:rPr>
        <w:t>:</w:t>
      </w:r>
      <w:r w:rsidRPr="00724342">
        <w:rPr>
          <w:rFonts w:ascii="Courier New" w:eastAsia="Courier New" w:hAnsi="Courier New" w:cs="Courier New"/>
          <w:color w:val="000000"/>
          <w:sz w:val="22"/>
          <w:szCs w:val="22"/>
          <w:shd w:val="clear" w:color="auto" w:fill="FFFFFF"/>
          <w:lang w:eastAsia="en-US"/>
        </w:rPr>
        <w:t xml:space="preserve"> </w:t>
      </w:r>
      <w:r w:rsidRPr="00724342">
        <w:rPr>
          <w:rFonts w:eastAsia="Yu Mincho"/>
          <w:sz w:val="22"/>
          <w:szCs w:val="22"/>
          <w:lang w:eastAsia="en-US"/>
        </w:rPr>
        <w:t xml:space="preserve">The article analyzes guarantees of state support for the unemployed; the unemployment rate in recent years. </w:t>
      </w:r>
      <w:r w:rsidRPr="00724342">
        <w:rPr>
          <w:rFonts w:eastAsia="Yu Mincho"/>
          <w:sz w:val="22"/>
          <w:szCs w:val="22"/>
          <w:lang w:val="en-US" w:eastAsia="en-US"/>
        </w:rPr>
        <w:t>The problem of employment and unemployment is characterized by the activity of the Employment Centers.</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КЛЮЧЕВЫЕ СЛОВА: безработица, государственная поддер</w:t>
      </w:r>
      <w:r w:rsidRPr="00724342">
        <w:rPr>
          <w:rFonts w:eastAsia="Yu Mincho"/>
          <w:sz w:val="22"/>
          <w:szCs w:val="22"/>
          <w:lang w:eastAsia="en-US"/>
        </w:rPr>
        <w:t>ж</w:t>
      </w:r>
      <w:r w:rsidRPr="00724342">
        <w:rPr>
          <w:rFonts w:eastAsia="Yu Mincho"/>
          <w:sz w:val="22"/>
          <w:szCs w:val="22"/>
          <w:lang w:eastAsia="en-US"/>
        </w:rPr>
        <w:t>ка безработных, экономические последствия.</w:t>
      </w:r>
    </w:p>
    <w:p w:rsidR="00724342" w:rsidRPr="00724342" w:rsidRDefault="00724342" w:rsidP="006E4146">
      <w:pPr>
        <w:ind w:firstLine="426"/>
        <w:jc w:val="both"/>
        <w:rPr>
          <w:rFonts w:eastAsia="Yu Mincho"/>
          <w:sz w:val="22"/>
          <w:szCs w:val="22"/>
          <w:lang w:val="en-US" w:eastAsia="en-US"/>
        </w:rPr>
      </w:pPr>
      <w:r w:rsidRPr="00724342">
        <w:rPr>
          <w:rFonts w:eastAsia="Yu Mincho"/>
          <w:sz w:val="22"/>
          <w:szCs w:val="22"/>
          <w:lang w:val="en-US" w:eastAsia="en-US"/>
        </w:rPr>
        <w:t>KEYWORDS: unemployment, state support of the unemployed, economic consequences.</w:t>
      </w:r>
    </w:p>
    <w:p w:rsidR="00724342" w:rsidRPr="00724342" w:rsidRDefault="00724342" w:rsidP="006E4146">
      <w:pPr>
        <w:ind w:firstLine="426"/>
        <w:jc w:val="both"/>
        <w:rPr>
          <w:rFonts w:eastAsia="Yu Mincho"/>
          <w:sz w:val="22"/>
          <w:szCs w:val="22"/>
          <w:lang w:val="en-US" w:eastAsia="en-US"/>
        </w:rPr>
      </w:pP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Потеря деятельности выражает негативно-отрицательное во</w:t>
      </w:r>
      <w:r w:rsidRPr="00724342">
        <w:rPr>
          <w:rFonts w:eastAsia="Yu Mincho"/>
          <w:sz w:val="22"/>
          <w:szCs w:val="22"/>
          <w:lang w:eastAsia="en-US"/>
        </w:rPr>
        <w:t>з</w:t>
      </w:r>
      <w:r w:rsidRPr="00724342">
        <w:rPr>
          <w:rFonts w:eastAsia="Yu Mincho"/>
          <w:sz w:val="22"/>
          <w:szCs w:val="22"/>
          <w:lang w:eastAsia="en-US"/>
        </w:rPr>
        <w:t>действие на человека, и, в следствие, может повлечь за собой соц</w:t>
      </w:r>
      <w:r w:rsidRPr="00724342">
        <w:rPr>
          <w:rFonts w:eastAsia="Yu Mincho"/>
          <w:sz w:val="22"/>
          <w:szCs w:val="22"/>
          <w:lang w:eastAsia="en-US"/>
        </w:rPr>
        <w:t>и</w:t>
      </w:r>
      <w:r w:rsidRPr="00724342">
        <w:rPr>
          <w:rFonts w:eastAsia="Yu Mincho"/>
          <w:sz w:val="22"/>
          <w:szCs w:val="22"/>
          <w:lang w:eastAsia="en-US"/>
        </w:rPr>
        <w:t>альные, психологические, экономические последствия, как для с</w:t>
      </w:r>
      <w:r w:rsidRPr="00724342">
        <w:rPr>
          <w:rFonts w:eastAsia="Yu Mincho"/>
          <w:sz w:val="22"/>
          <w:szCs w:val="22"/>
          <w:lang w:eastAsia="en-US"/>
        </w:rPr>
        <w:t>а</w:t>
      </w:r>
      <w:r w:rsidRPr="00724342">
        <w:rPr>
          <w:rFonts w:eastAsia="Yu Mincho"/>
          <w:sz w:val="22"/>
          <w:szCs w:val="22"/>
          <w:lang w:eastAsia="en-US"/>
        </w:rPr>
        <w:lastRenderedPageBreak/>
        <w:t>мого безработного, так для членов его семьи, всего общества в ц</w:t>
      </w:r>
      <w:r w:rsidRPr="00724342">
        <w:rPr>
          <w:rFonts w:eastAsia="Yu Mincho"/>
          <w:sz w:val="22"/>
          <w:szCs w:val="22"/>
          <w:lang w:eastAsia="en-US"/>
        </w:rPr>
        <w:t>е</w:t>
      </w:r>
      <w:r w:rsidRPr="00724342">
        <w:rPr>
          <w:rFonts w:eastAsia="Yu Mincho"/>
          <w:sz w:val="22"/>
          <w:szCs w:val="22"/>
          <w:lang w:eastAsia="en-US"/>
        </w:rPr>
        <w:t>лом. Многие нетрудоустроенные люди в обществе совсем не имеют шансов самостоятельно приспособиться и адаптироваться в услов</w:t>
      </w:r>
      <w:r w:rsidRPr="00724342">
        <w:rPr>
          <w:rFonts w:eastAsia="Yu Mincho"/>
          <w:sz w:val="22"/>
          <w:szCs w:val="22"/>
          <w:lang w:eastAsia="en-US"/>
        </w:rPr>
        <w:t>и</w:t>
      </w:r>
      <w:r w:rsidRPr="00724342">
        <w:rPr>
          <w:rFonts w:eastAsia="Yu Mincho"/>
          <w:sz w:val="22"/>
          <w:szCs w:val="22"/>
          <w:lang w:eastAsia="en-US"/>
        </w:rPr>
        <w:t>ях современного рынка труда. </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Государство предоставляет последующие гарантии социальной поддержки безработных: выплата пособия; выплата стипендии в период профессиональной подготовки, увеличение квалификации, переподготовки по соглашению органов службы занятости, в том количестве в промежуток временной нетрудоспособности; возмо</w:t>
      </w:r>
      <w:r w:rsidRPr="00724342">
        <w:rPr>
          <w:rFonts w:eastAsia="Yu Mincho"/>
          <w:sz w:val="22"/>
          <w:szCs w:val="22"/>
          <w:lang w:eastAsia="en-US"/>
        </w:rPr>
        <w:t>ж</w:t>
      </w:r>
      <w:r w:rsidRPr="00724342">
        <w:rPr>
          <w:rFonts w:eastAsia="Yu Mincho"/>
          <w:sz w:val="22"/>
          <w:szCs w:val="22"/>
          <w:lang w:eastAsia="en-US"/>
        </w:rPr>
        <w:t>ность участия в доходных социальных работах.</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Большой уровень безработицы среди трудоспособного насел</w:t>
      </w:r>
      <w:r w:rsidRPr="00724342">
        <w:rPr>
          <w:rFonts w:eastAsia="Yu Mincho"/>
          <w:sz w:val="22"/>
          <w:szCs w:val="22"/>
          <w:lang w:eastAsia="en-US"/>
        </w:rPr>
        <w:t>е</w:t>
      </w:r>
      <w:r w:rsidRPr="00724342">
        <w:rPr>
          <w:rFonts w:eastAsia="Yu Mincho"/>
          <w:sz w:val="22"/>
          <w:szCs w:val="22"/>
          <w:lang w:eastAsia="en-US"/>
        </w:rPr>
        <w:t>ния приводит к возникновению довольно актуальной депрессии, потере квалификации и практических способностей, понижаются нравственные - традиции, и увеличивается противозаконность, пр</w:t>
      </w:r>
      <w:r w:rsidRPr="00724342">
        <w:rPr>
          <w:rFonts w:eastAsia="Yu Mincho"/>
          <w:sz w:val="22"/>
          <w:szCs w:val="22"/>
          <w:lang w:eastAsia="en-US"/>
        </w:rPr>
        <w:t>о</w:t>
      </w:r>
      <w:r w:rsidRPr="00724342">
        <w:rPr>
          <w:rFonts w:eastAsia="Yu Mincho"/>
          <w:sz w:val="22"/>
          <w:szCs w:val="22"/>
          <w:lang w:eastAsia="en-US"/>
        </w:rPr>
        <w:t>падает чувство самоуважения, распадаются семьи, увеличивается общественная напряженность в мире. Бесспорно, в таком случае, что безработица выражает негативное влияние не только на общ</w:t>
      </w:r>
      <w:r w:rsidRPr="00724342">
        <w:rPr>
          <w:rFonts w:eastAsia="Yu Mincho"/>
          <w:sz w:val="22"/>
          <w:szCs w:val="22"/>
          <w:lang w:eastAsia="en-US"/>
        </w:rPr>
        <w:t>е</w:t>
      </w:r>
      <w:r w:rsidRPr="00724342">
        <w:rPr>
          <w:rFonts w:eastAsia="Yu Mincho"/>
          <w:sz w:val="22"/>
          <w:szCs w:val="22"/>
          <w:lang w:eastAsia="en-US"/>
        </w:rPr>
        <w:t>ство в целом, но и на самого безработного. Становясь нетруд</w:t>
      </w:r>
      <w:r w:rsidRPr="00724342">
        <w:rPr>
          <w:rFonts w:eastAsia="Yu Mincho"/>
          <w:sz w:val="22"/>
          <w:szCs w:val="22"/>
          <w:lang w:eastAsia="en-US"/>
        </w:rPr>
        <w:t>о</w:t>
      </w:r>
      <w:r w:rsidRPr="00724342">
        <w:rPr>
          <w:rFonts w:eastAsia="Yu Mincho"/>
          <w:sz w:val="22"/>
          <w:szCs w:val="22"/>
          <w:lang w:eastAsia="en-US"/>
        </w:rPr>
        <w:t>устроенным, индивид совершенно совсем никак не способен в а</w:t>
      </w:r>
      <w:r w:rsidRPr="00724342">
        <w:rPr>
          <w:rFonts w:eastAsia="Yu Mincho"/>
          <w:sz w:val="22"/>
          <w:szCs w:val="22"/>
          <w:lang w:eastAsia="en-US"/>
        </w:rPr>
        <w:t>б</w:t>
      </w:r>
      <w:r w:rsidRPr="00724342">
        <w:rPr>
          <w:rFonts w:eastAsia="Yu Mincho"/>
          <w:sz w:val="22"/>
          <w:szCs w:val="22"/>
          <w:lang w:eastAsia="en-US"/>
        </w:rPr>
        <w:t>солютной мере реализовать себя как гражданин, как член семьи, как личность в целом.</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В стране уровень безработицы упал в декабря 2016 уменьши</w:t>
      </w:r>
      <w:r w:rsidRPr="00724342">
        <w:rPr>
          <w:rFonts w:eastAsia="Yu Mincho"/>
          <w:sz w:val="22"/>
          <w:szCs w:val="22"/>
          <w:lang w:eastAsia="en-US"/>
        </w:rPr>
        <w:t>в</w:t>
      </w:r>
      <w:r w:rsidRPr="00724342">
        <w:rPr>
          <w:rFonts w:eastAsia="Yu Mincho"/>
          <w:sz w:val="22"/>
          <w:szCs w:val="22"/>
          <w:lang w:eastAsia="en-US"/>
        </w:rPr>
        <w:t>шись на 7%.  В России численность безработных составила чуть больше 4,1 млн безработных, однако в официальных сводках отр</w:t>
      </w:r>
      <w:r w:rsidRPr="00724342">
        <w:rPr>
          <w:rFonts w:eastAsia="Yu Mincho"/>
          <w:sz w:val="22"/>
          <w:szCs w:val="22"/>
          <w:lang w:eastAsia="en-US"/>
        </w:rPr>
        <w:t>а</w:t>
      </w:r>
      <w:r w:rsidRPr="00724342">
        <w:rPr>
          <w:rFonts w:eastAsia="Yu Mincho"/>
          <w:sz w:val="22"/>
          <w:szCs w:val="22"/>
          <w:lang w:eastAsia="en-US"/>
        </w:rPr>
        <w:t>женно всего 895 тыс. человек.</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Большее количество безработных составил мужской пол – 51,7%, до 25 лет – 23,3%, и без опыта работы – 24,6%.</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Кратковременная утрата работы и связанные с ней временные проблемы и трудности, в случае если через недолгий период врем</w:t>
      </w:r>
      <w:r w:rsidRPr="00724342">
        <w:rPr>
          <w:rFonts w:eastAsia="Yu Mincho"/>
          <w:sz w:val="22"/>
          <w:szCs w:val="22"/>
          <w:lang w:eastAsia="en-US"/>
        </w:rPr>
        <w:t>е</w:t>
      </w:r>
      <w:r w:rsidRPr="00724342">
        <w:rPr>
          <w:rFonts w:eastAsia="Yu Mincho"/>
          <w:sz w:val="22"/>
          <w:szCs w:val="22"/>
          <w:lang w:eastAsia="en-US"/>
        </w:rPr>
        <w:t>ни безработный гражданин находит достойную по положению и доходу работу, как правило, не влечет за собой каких-либо соц</w:t>
      </w:r>
      <w:r w:rsidRPr="00724342">
        <w:rPr>
          <w:rFonts w:eastAsia="Yu Mincho"/>
          <w:sz w:val="22"/>
          <w:szCs w:val="22"/>
          <w:lang w:eastAsia="en-US"/>
        </w:rPr>
        <w:t>и</w:t>
      </w:r>
      <w:r w:rsidRPr="00724342">
        <w:rPr>
          <w:rFonts w:eastAsia="Yu Mincho"/>
          <w:sz w:val="22"/>
          <w:szCs w:val="22"/>
          <w:lang w:eastAsia="en-US"/>
        </w:rPr>
        <w:t>альных проблем для самого безработного и его семьи. В случае е</w:t>
      </w:r>
      <w:r w:rsidRPr="00724342">
        <w:rPr>
          <w:rFonts w:eastAsia="Yu Mincho"/>
          <w:sz w:val="22"/>
          <w:szCs w:val="22"/>
          <w:lang w:eastAsia="en-US"/>
        </w:rPr>
        <w:t>с</w:t>
      </w:r>
      <w:r w:rsidRPr="00724342">
        <w:rPr>
          <w:rFonts w:eastAsia="Yu Mincho"/>
          <w:sz w:val="22"/>
          <w:szCs w:val="22"/>
          <w:lang w:eastAsia="en-US"/>
        </w:rPr>
        <w:t>ли промежуток отсутствия работы затягивается, и безработный с</w:t>
      </w:r>
      <w:r w:rsidRPr="00724342">
        <w:rPr>
          <w:rFonts w:eastAsia="Yu Mincho"/>
          <w:sz w:val="22"/>
          <w:szCs w:val="22"/>
          <w:lang w:eastAsia="en-US"/>
        </w:rPr>
        <w:t>о</w:t>
      </w:r>
      <w:r w:rsidRPr="00724342">
        <w:rPr>
          <w:rFonts w:eastAsia="Yu Mincho"/>
          <w:sz w:val="22"/>
          <w:szCs w:val="22"/>
          <w:lang w:eastAsia="en-US"/>
        </w:rPr>
        <w:t>всем никак не способен найти равноценную, подходящую и досто</w:t>
      </w:r>
      <w:r w:rsidRPr="00724342">
        <w:rPr>
          <w:rFonts w:eastAsia="Yu Mincho"/>
          <w:sz w:val="22"/>
          <w:szCs w:val="22"/>
          <w:lang w:eastAsia="en-US"/>
        </w:rPr>
        <w:t>й</w:t>
      </w:r>
      <w:r w:rsidRPr="00724342">
        <w:rPr>
          <w:rFonts w:eastAsia="Yu Mincho"/>
          <w:sz w:val="22"/>
          <w:szCs w:val="22"/>
          <w:lang w:eastAsia="en-US"/>
        </w:rPr>
        <w:t>ную по его квалификации и специальности работу, это может п</w:t>
      </w:r>
      <w:r w:rsidRPr="00724342">
        <w:rPr>
          <w:rFonts w:eastAsia="Yu Mincho"/>
          <w:sz w:val="22"/>
          <w:szCs w:val="22"/>
          <w:lang w:eastAsia="en-US"/>
        </w:rPr>
        <w:t>о</w:t>
      </w:r>
      <w:r w:rsidRPr="00724342">
        <w:rPr>
          <w:rFonts w:eastAsia="Yu Mincho"/>
          <w:sz w:val="22"/>
          <w:szCs w:val="22"/>
          <w:lang w:eastAsia="en-US"/>
        </w:rPr>
        <w:t>служить предпосылкой к возникновению жизненной депрессии, потере общественных качеств. Что, конечно же, важно, при дл</w:t>
      </w:r>
      <w:r w:rsidRPr="00724342">
        <w:rPr>
          <w:rFonts w:eastAsia="Yu Mincho"/>
          <w:sz w:val="22"/>
          <w:szCs w:val="22"/>
          <w:lang w:eastAsia="en-US"/>
        </w:rPr>
        <w:t>и</w:t>
      </w:r>
      <w:r w:rsidRPr="00724342">
        <w:rPr>
          <w:rFonts w:eastAsia="Yu Mincho"/>
          <w:sz w:val="22"/>
          <w:szCs w:val="22"/>
          <w:lang w:eastAsia="en-US"/>
        </w:rPr>
        <w:lastRenderedPageBreak/>
        <w:t>тельном пребывании без работы, человек теряет уверенность в себе, наступает состояние депрессии.</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Общественная деятельность с нетрудоустроенными граждан</w:t>
      </w:r>
      <w:r w:rsidRPr="00724342">
        <w:rPr>
          <w:rFonts w:eastAsia="Yu Mincho"/>
          <w:sz w:val="22"/>
          <w:szCs w:val="22"/>
          <w:lang w:eastAsia="en-US"/>
        </w:rPr>
        <w:t>а</w:t>
      </w:r>
      <w:r w:rsidRPr="00724342">
        <w:rPr>
          <w:rFonts w:eastAsia="Yu Mincho"/>
          <w:sz w:val="22"/>
          <w:szCs w:val="22"/>
          <w:lang w:eastAsia="en-US"/>
        </w:rPr>
        <w:t>ми включает общественные, экономические и психологические проблемы безработного. Прогнозирование воздействие безрабо</w:t>
      </w:r>
      <w:r w:rsidRPr="00724342">
        <w:rPr>
          <w:rFonts w:eastAsia="Yu Mincho"/>
          <w:sz w:val="22"/>
          <w:szCs w:val="22"/>
          <w:lang w:eastAsia="en-US"/>
        </w:rPr>
        <w:t>т</w:t>
      </w:r>
      <w:r w:rsidRPr="00724342">
        <w:rPr>
          <w:rFonts w:eastAsia="Yu Mincho"/>
          <w:sz w:val="22"/>
          <w:szCs w:val="22"/>
          <w:lang w:eastAsia="en-US"/>
        </w:rPr>
        <w:t>ных на рынке труда, диагностика и коррекция неблагоприятных психологических состояний – ключевые тенденции направлены по работе с безработными.</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Социальная работа с безработными гражданами доводится в рамках Центра занятости населения, которое являются учрежден</w:t>
      </w:r>
      <w:r w:rsidRPr="00724342">
        <w:rPr>
          <w:rFonts w:eastAsia="Yu Mincho"/>
          <w:sz w:val="22"/>
          <w:szCs w:val="22"/>
          <w:lang w:eastAsia="en-US"/>
        </w:rPr>
        <w:t>и</w:t>
      </w:r>
      <w:r w:rsidRPr="00724342">
        <w:rPr>
          <w:rFonts w:eastAsia="Yu Mincho"/>
          <w:sz w:val="22"/>
          <w:szCs w:val="22"/>
          <w:lang w:eastAsia="en-US"/>
        </w:rPr>
        <w:t>ем социальной сферы, и гарантирует обеспеченность на территории своего района реализацию гарантированного государством права людей на защиту от безработицы, обеспечение государственных услуг населению и работодателям в области содействия занятости, трудовой миграции. Все-таки, без поддержки помощи малого и большого бизнеса, в отсутствие формирования предпринимател</w:t>
      </w:r>
      <w:r w:rsidRPr="00724342">
        <w:rPr>
          <w:rFonts w:eastAsia="Yu Mincho"/>
          <w:sz w:val="22"/>
          <w:szCs w:val="22"/>
          <w:lang w:eastAsia="en-US"/>
        </w:rPr>
        <w:t>ь</w:t>
      </w:r>
      <w:r w:rsidRPr="00724342">
        <w:rPr>
          <w:rFonts w:eastAsia="Yu Mincho"/>
          <w:sz w:val="22"/>
          <w:szCs w:val="22"/>
          <w:lang w:eastAsia="en-US"/>
        </w:rPr>
        <w:t>ства, в отсутствии принятия новых проектов по занятости насел</w:t>
      </w:r>
      <w:r w:rsidRPr="00724342">
        <w:rPr>
          <w:rFonts w:eastAsia="Yu Mincho"/>
          <w:sz w:val="22"/>
          <w:szCs w:val="22"/>
          <w:lang w:eastAsia="en-US"/>
        </w:rPr>
        <w:t>е</w:t>
      </w:r>
      <w:r w:rsidRPr="00724342">
        <w:rPr>
          <w:rFonts w:eastAsia="Yu Mincho"/>
          <w:sz w:val="22"/>
          <w:szCs w:val="22"/>
          <w:lang w:eastAsia="en-US"/>
        </w:rPr>
        <w:t>ния, и пока на данный момент современная государственная пол</w:t>
      </w:r>
      <w:r w:rsidRPr="00724342">
        <w:rPr>
          <w:rFonts w:eastAsia="Yu Mincho"/>
          <w:sz w:val="22"/>
          <w:szCs w:val="22"/>
          <w:lang w:eastAsia="en-US"/>
        </w:rPr>
        <w:t>и</w:t>
      </w:r>
      <w:r w:rsidRPr="00724342">
        <w:rPr>
          <w:rFonts w:eastAsia="Yu Mincho"/>
          <w:sz w:val="22"/>
          <w:szCs w:val="22"/>
          <w:lang w:eastAsia="en-US"/>
        </w:rPr>
        <w:t>тика носит паллиативный характер страна никак не способна ра</w:t>
      </w:r>
      <w:r w:rsidRPr="00724342">
        <w:rPr>
          <w:rFonts w:eastAsia="Yu Mincho"/>
          <w:sz w:val="22"/>
          <w:szCs w:val="22"/>
          <w:lang w:eastAsia="en-US"/>
        </w:rPr>
        <w:t>з</w:t>
      </w:r>
      <w:r w:rsidRPr="00724342">
        <w:rPr>
          <w:rFonts w:eastAsia="Yu Mincho"/>
          <w:sz w:val="22"/>
          <w:szCs w:val="22"/>
          <w:lang w:eastAsia="en-US"/>
        </w:rPr>
        <w:t>решить данную проблему безработицы.</w:t>
      </w:r>
    </w:p>
    <w:p w:rsidR="00724342" w:rsidRPr="00724342" w:rsidRDefault="00724342" w:rsidP="006E4146">
      <w:pPr>
        <w:widowControl w:val="0"/>
        <w:autoSpaceDE w:val="0"/>
        <w:autoSpaceDN w:val="0"/>
        <w:adjustRightInd w:val="0"/>
        <w:ind w:firstLine="426"/>
        <w:jc w:val="center"/>
        <w:rPr>
          <w:rFonts w:eastAsia="Calibri" w:cs="Arial"/>
          <w:color w:val="000000"/>
          <w:sz w:val="22"/>
          <w:szCs w:val="22"/>
          <w:lang w:eastAsia="en-US"/>
        </w:rPr>
      </w:pPr>
    </w:p>
    <w:p w:rsidR="00724342" w:rsidRPr="00724342" w:rsidRDefault="00724342" w:rsidP="006E4146">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1. Леонович А.М. Пути решения проблем трудоустройства ро</w:t>
      </w:r>
      <w:r w:rsidRPr="00724342">
        <w:rPr>
          <w:rFonts w:eastAsia="Yu Mincho"/>
          <w:sz w:val="22"/>
          <w:szCs w:val="22"/>
          <w:lang w:eastAsia="en-US"/>
        </w:rPr>
        <w:t>с</w:t>
      </w:r>
      <w:r w:rsidRPr="00724342">
        <w:rPr>
          <w:rFonts w:eastAsia="Yu Mincho"/>
          <w:sz w:val="22"/>
          <w:szCs w:val="22"/>
          <w:lang w:eastAsia="en-US"/>
        </w:rPr>
        <w:t>сийской молодежи/</w:t>
      </w:r>
      <w:hyperlink r:id="rId279" w:history="1">
        <w:r w:rsidRPr="00724342">
          <w:rPr>
            <w:rFonts w:eastAsia="Yu Mincho"/>
            <w:sz w:val="22"/>
            <w:szCs w:val="22"/>
            <w:lang w:eastAsia="en-US"/>
          </w:rPr>
          <w:t>А.М. Леонович</w:t>
        </w:r>
      </w:hyperlink>
      <w:r w:rsidRPr="00724342">
        <w:rPr>
          <w:rFonts w:eastAsia="Yu Mincho"/>
          <w:sz w:val="22"/>
          <w:szCs w:val="22"/>
          <w:lang w:eastAsia="en-US"/>
        </w:rPr>
        <w:t>, </w:t>
      </w:r>
      <w:hyperlink r:id="rId280" w:history="1">
        <w:r w:rsidRPr="00724342">
          <w:rPr>
            <w:rFonts w:eastAsia="Yu Mincho"/>
            <w:sz w:val="22"/>
            <w:szCs w:val="22"/>
            <w:lang w:eastAsia="en-US"/>
          </w:rPr>
          <w:t>Г.Н. Литвиненко</w:t>
        </w:r>
      </w:hyperlink>
      <w:r w:rsidRPr="00724342">
        <w:rPr>
          <w:rFonts w:eastAsia="Yu Mincho"/>
          <w:sz w:val="22"/>
          <w:szCs w:val="22"/>
          <w:lang w:eastAsia="en-US"/>
        </w:rPr>
        <w:t>//Материалы междунар. (заочной) науч.-практ. конф. «Наука и образование на современном этапе развития: опыт, проблемы и пути их решения». г. Нефтекамск. -2017, с.490. С. 193 -197.</w:t>
      </w:r>
    </w:p>
    <w:p w:rsidR="00724342" w:rsidRPr="00724342" w:rsidRDefault="00724342" w:rsidP="006E4146">
      <w:pPr>
        <w:ind w:firstLine="426"/>
        <w:jc w:val="both"/>
        <w:rPr>
          <w:rFonts w:eastAsia="Yu Mincho"/>
          <w:sz w:val="22"/>
          <w:szCs w:val="22"/>
          <w:lang w:eastAsia="en-US"/>
        </w:rPr>
      </w:pPr>
      <w:r w:rsidRPr="00724342">
        <w:rPr>
          <w:rFonts w:eastAsia="Yu Mincho"/>
          <w:sz w:val="22"/>
          <w:szCs w:val="22"/>
          <w:lang w:eastAsia="en-US"/>
        </w:rPr>
        <w:t>2. Литвиненко Г. Н. Экономические показатели уровня жизни населения как основные критерии оценки благосостояния общества /</w:t>
      </w:r>
      <w:hyperlink r:id="rId281" w:history="1">
        <w:r w:rsidRPr="00724342">
          <w:rPr>
            <w:rFonts w:eastAsia="Yu Mincho"/>
            <w:sz w:val="22"/>
            <w:szCs w:val="22"/>
            <w:lang w:eastAsia="en-US"/>
          </w:rPr>
          <w:t>Г. Н. Литвиненко</w:t>
        </w:r>
      </w:hyperlink>
      <w:r w:rsidRPr="00724342">
        <w:rPr>
          <w:rFonts w:eastAsia="Yu Mincho"/>
          <w:sz w:val="22"/>
          <w:szCs w:val="22"/>
          <w:lang w:eastAsia="en-US"/>
        </w:rPr>
        <w:t>, </w:t>
      </w:r>
      <w:hyperlink r:id="rId282" w:history="1">
        <w:r w:rsidRPr="00724342">
          <w:rPr>
            <w:rFonts w:eastAsia="Yu Mincho"/>
            <w:sz w:val="22"/>
            <w:szCs w:val="22"/>
            <w:lang w:eastAsia="en-US"/>
          </w:rPr>
          <w:t>А. А. Губа</w:t>
        </w:r>
      </w:hyperlink>
      <w:r w:rsidRPr="00724342">
        <w:rPr>
          <w:rFonts w:eastAsia="Yu Mincho"/>
          <w:sz w:val="22"/>
          <w:szCs w:val="22"/>
          <w:lang w:eastAsia="en-US"/>
        </w:rPr>
        <w:t>//Сб. ст. Междунар. (заочной) науч.-практ. конф.«Наука, образование, инновации: апробация результ</w:t>
      </w:r>
      <w:r w:rsidRPr="00724342">
        <w:rPr>
          <w:rFonts w:eastAsia="Yu Mincho"/>
          <w:sz w:val="22"/>
          <w:szCs w:val="22"/>
          <w:lang w:eastAsia="en-US"/>
        </w:rPr>
        <w:t>а</w:t>
      </w:r>
      <w:r w:rsidRPr="00724342">
        <w:rPr>
          <w:rFonts w:eastAsia="Yu Mincho"/>
          <w:sz w:val="22"/>
          <w:szCs w:val="22"/>
          <w:lang w:eastAsia="en-US"/>
        </w:rPr>
        <w:t>тов исследований» (Прага, 09.02. 2017 г.). -Нефтекамск: Мир науки, 2017. -С. 319 -322.</w:t>
      </w:r>
    </w:p>
    <w:p w:rsidR="00724342" w:rsidRPr="002A1EE0" w:rsidRDefault="00724342" w:rsidP="002A1EE0">
      <w:pPr>
        <w:ind w:firstLine="426"/>
        <w:jc w:val="both"/>
        <w:rPr>
          <w:rFonts w:eastAsia="Yu Mincho"/>
          <w:sz w:val="22"/>
          <w:szCs w:val="22"/>
          <w:lang w:eastAsia="en-US"/>
        </w:rPr>
      </w:pPr>
      <w:r w:rsidRPr="00724342">
        <w:rPr>
          <w:rFonts w:eastAsia="Yu Mincho"/>
          <w:sz w:val="22"/>
          <w:szCs w:val="22"/>
          <w:lang w:eastAsia="en-US"/>
        </w:rPr>
        <w:t>3. Литвиненко Г. Н. Основные проблемы развития регионал</w:t>
      </w:r>
      <w:r w:rsidRPr="00724342">
        <w:rPr>
          <w:rFonts w:eastAsia="Yu Mincho"/>
          <w:sz w:val="22"/>
          <w:szCs w:val="22"/>
          <w:lang w:eastAsia="en-US"/>
        </w:rPr>
        <w:t>ь</w:t>
      </w:r>
      <w:r w:rsidRPr="00724342">
        <w:rPr>
          <w:rFonts w:eastAsia="Yu Mincho"/>
          <w:sz w:val="22"/>
          <w:szCs w:val="22"/>
          <w:lang w:eastAsia="en-US"/>
        </w:rPr>
        <w:t>ного рынка труда /</w:t>
      </w:r>
      <w:hyperlink r:id="rId283" w:history="1">
        <w:r w:rsidRPr="00724342">
          <w:rPr>
            <w:rFonts w:eastAsia="Yu Mincho"/>
            <w:sz w:val="22"/>
            <w:szCs w:val="22"/>
            <w:lang w:eastAsia="en-US"/>
          </w:rPr>
          <w:t>Г.Н. Литвиненко</w:t>
        </w:r>
      </w:hyperlink>
      <w:r w:rsidRPr="00724342">
        <w:rPr>
          <w:rFonts w:eastAsia="Yu Mincho"/>
          <w:sz w:val="22"/>
          <w:szCs w:val="22"/>
          <w:lang w:eastAsia="en-US"/>
        </w:rPr>
        <w:t>, </w:t>
      </w:r>
      <w:hyperlink r:id="rId284" w:history="1">
        <w:r w:rsidRPr="00724342">
          <w:rPr>
            <w:rFonts w:eastAsia="Yu Mincho"/>
            <w:sz w:val="22"/>
            <w:szCs w:val="22"/>
            <w:lang w:eastAsia="en-US"/>
          </w:rPr>
          <w:t>А.С. Высоцкая</w:t>
        </w:r>
      </w:hyperlink>
      <w:r w:rsidRPr="00724342">
        <w:rPr>
          <w:rFonts w:eastAsia="Yu Mincho"/>
          <w:sz w:val="22"/>
          <w:szCs w:val="22"/>
          <w:lang w:eastAsia="en-US"/>
        </w:rPr>
        <w:t>, </w:t>
      </w:r>
      <w:hyperlink r:id="rId285" w:history="1">
        <w:r w:rsidRPr="00724342">
          <w:rPr>
            <w:rFonts w:eastAsia="Yu Mincho"/>
            <w:sz w:val="22"/>
            <w:szCs w:val="22"/>
            <w:lang w:eastAsia="en-US"/>
          </w:rPr>
          <w:t>А.В. Белаш</w:t>
        </w:r>
        <w:r w:rsidRPr="00724342">
          <w:rPr>
            <w:rFonts w:eastAsia="Yu Mincho"/>
            <w:sz w:val="22"/>
            <w:szCs w:val="22"/>
            <w:lang w:eastAsia="en-US"/>
          </w:rPr>
          <w:t>о</w:t>
        </w:r>
        <w:r w:rsidRPr="00724342">
          <w:rPr>
            <w:rFonts w:eastAsia="Yu Mincho"/>
            <w:sz w:val="22"/>
            <w:szCs w:val="22"/>
            <w:lang w:eastAsia="en-US"/>
          </w:rPr>
          <w:t>ва</w:t>
        </w:r>
      </w:hyperlink>
      <w:r w:rsidRPr="00724342">
        <w:rPr>
          <w:rFonts w:eastAsia="Yu Mincho"/>
          <w:sz w:val="22"/>
          <w:szCs w:val="22"/>
          <w:lang w:eastAsia="en-US"/>
        </w:rPr>
        <w:t>//Сб. ст. IX междунар. науч.-практ. конф. «Прорывные эконом</w:t>
      </w:r>
      <w:r w:rsidRPr="00724342">
        <w:rPr>
          <w:rFonts w:eastAsia="Yu Mincho"/>
          <w:sz w:val="22"/>
          <w:szCs w:val="22"/>
          <w:lang w:eastAsia="en-US"/>
        </w:rPr>
        <w:t>и</w:t>
      </w:r>
      <w:r w:rsidRPr="00724342">
        <w:rPr>
          <w:rFonts w:eastAsia="Yu Mincho"/>
          <w:sz w:val="22"/>
          <w:szCs w:val="22"/>
          <w:lang w:eastAsia="en-US"/>
        </w:rPr>
        <w:t>ческие реформы в условиях риска и неопределенности» (Уфа, 13.03. 2017 г.). -Уфа: Аэтерна, 2017. -С. 172 -174.</w:t>
      </w:r>
    </w:p>
    <w:p w:rsidR="00724342" w:rsidRPr="00724342" w:rsidRDefault="00724342" w:rsidP="00724342">
      <w:pPr>
        <w:jc w:val="both"/>
        <w:rPr>
          <w:rFonts w:eastAsiaTheme="minorHAnsi"/>
          <w:sz w:val="22"/>
          <w:szCs w:val="22"/>
          <w:lang w:eastAsia="en-US"/>
        </w:rPr>
      </w:pPr>
      <w:r w:rsidRPr="00724342">
        <w:rPr>
          <w:rFonts w:eastAsiaTheme="minorHAnsi"/>
          <w:sz w:val="22"/>
          <w:szCs w:val="22"/>
          <w:lang w:eastAsia="en-US"/>
        </w:rPr>
        <w:lastRenderedPageBreak/>
        <w:t xml:space="preserve">УДК 330.338 </w:t>
      </w:r>
      <w:r w:rsidRPr="00724342">
        <w:rPr>
          <w:rFonts w:eastAsiaTheme="minorHAnsi"/>
          <w:sz w:val="22"/>
          <w:szCs w:val="22"/>
          <w:lang w:eastAsia="en-US"/>
        </w:rPr>
        <w:cr/>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Проблемы и стратегия развития агропромышленного </w:t>
      </w:r>
      <w:r w:rsidR="006E4146">
        <w:rPr>
          <w:rFonts w:eastAsiaTheme="minorHAnsi"/>
          <w:b/>
          <w:sz w:val="24"/>
          <w:szCs w:val="24"/>
          <w:lang w:eastAsia="en-US"/>
        </w:rPr>
        <w:br/>
      </w:r>
      <w:r w:rsidRPr="00724342">
        <w:rPr>
          <w:rFonts w:eastAsiaTheme="minorHAnsi"/>
          <w:b/>
          <w:sz w:val="24"/>
          <w:szCs w:val="24"/>
          <w:lang w:eastAsia="en-US"/>
        </w:rPr>
        <w:t>комплекса Краснодарского края</w:t>
      </w:r>
    </w:p>
    <w:p w:rsidR="00724342" w:rsidRPr="00724342" w:rsidRDefault="00724342" w:rsidP="00724342">
      <w:pPr>
        <w:jc w:val="center"/>
        <w:rPr>
          <w:rFonts w:eastAsiaTheme="minorHAnsi"/>
          <w:b/>
          <w:color w:val="000000"/>
          <w:sz w:val="24"/>
          <w:szCs w:val="24"/>
          <w:shd w:val="clear" w:color="auto" w:fill="FFFFFF"/>
          <w:lang w:val="en-US" w:eastAsia="en-US"/>
        </w:rPr>
      </w:pPr>
      <w:r w:rsidRPr="00724342">
        <w:rPr>
          <w:rFonts w:eastAsiaTheme="minorHAnsi"/>
          <w:b/>
          <w:color w:val="000000"/>
          <w:sz w:val="24"/>
          <w:szCs w:val="24"/>
          <w:shd w:val="clear" w:color="auto" w:fill="FFFFFF"/>
          <w:lang w:val="en-US" w:eastAsia="en-US"/>
        </w:rPr>
        <w:t>Problems and strategy of development of agrarian and</w:t>
      </w:r>
    </w:p>
    <w:p w:rsidR="00724342" w:rsidRPr="00724342" w:rsidRDefault="00724342" w:rsidP="00724342">
      <w:pPr>
        <w:jc w:val="center"/>
        <w:rPr>
          <w:rFonts w:eastAsiaTheme="minorHAnsi"/>
          <w:b/>
          <w:sz w:val="24"/>
          <w:szCs w:val="24"/>
          <w:lang w:val="en-US" w:eastAsia="en-US"/>
        </w:rPr>
      </w:pPr>
      <w:r w:rsidRPr="00724342">
        <w:rPr>
          <w:rFonts w:eastAsiaTheme="minorHAnsi"/>
          <w:b/>
          <w:color w:val="000000"/>
          <w:sz w:val="24"/>
          <w:szCs w:val="24"/>
          <w:shd w:val="clear" w:color="auto" w:fill="FFFFFF"/>
          <w:lang w:val="en-US" w:eastAsia="en-US"/>
        </w:rPr>
        <w:t>industrial complex of Krasnodar region</w:t>
      </w:r>
    </w:p>
    <w:p w:rsidR="00724342" w:rsidRPr="00724342" w:rsidRDefault="00724342" w:rsidP="00724342">
      <w:pPr>
        <w:jc w:val="both"/>
        <w:rPr>
          <w:rFonts w:eastAsiaTheme="minorHAnsi"/>
          <w:b/>
          <w:sz w:val="24"/>
          <w:szCs w:val="24"/>
          <w:lang w:val="en-US" w:eastAsia="en-US"/>
        </w:rPr>
      </w:pPr>
    </w:p>
    <w:p w:rsidR="00724342" w:rsidRPr="00724342" w:rsidRDefault="00724342" w:rsidP="00724342">
      <w:pPr>
        <w:widowControl w:val="0"/>
        <w:tabs>
          <w:tab w:val="left" w:pos="8223"/>
        </w:tabs>
        <w:jc w:val="right"/>
        <w:rPr>
          <w:rFonts w:eastAsia="Courier New"/>
          <w:color w:val="000000"/>
          <w:sz w:val="22"/>
          <w:szCs w:val="22"/>
          <w:lang w:val="en-US" w:eastAsia="en-US"/>
        </w:rPr>
      </w:pPr>
      <w:r w:rsidRPr="00724342">
        <w:rPr>
          <w:rFonts w:eastAsia="Courier New"/>
          <w:color w:val="000000"/>
          <w:sz w:val="22"/>
          <w:szCs w:val="22"/>
          <w:lang w:eastAsia="en-US"/>
        </w:rPr>
        <w:t>Крикун</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К</w:t>
      </w:r>
      <w:r w:rsidRPr="00724342">
        <w:rPr>
          <w:rFonts w:eastAsia="Courier New"/>
          <w:color w:val="000000"/>
          <w:sz w:val="22"/>
          <w:szCs w:val="22"/>
          <w:lang w:val="en-US" w:eastAsia="en-US"/>
        </w:rPr>
        <w:t>.</w:t>
      </w:r>
      <w:r w:rsidR="006E4146" w:rsidRPr="00C56F2E">
        <w:rPr>
          <w:rFonts w:eastAsia="Courier New"/>
          <w:color w:val="000000"/>
          <w:sz w:val="22"/>
          <w:szCs w:val="22"/>
          <w:lang w:val="en-US" w:eastAsia="en-US"/>
        </w:rPr>
        <w:t xml:space="preserve"> </w:t>
      </w:r>
      <w:r w:rsidRPr="00724342">
        <w:rPr>
          <w:rFonts w:eastAsia="Courier New"/>
          <w:color w:val="000000"/>
          <w:sz w:val="22"/>
          <w:szCs w:val="22"/>
          <w:lang w:eastAsia="en-US"/>
        </w:rPr>
        <w:t>С</w:t>
      </w:r>
      <w:r w:rsidRPr="00724342">
        <w:rPr>
          <w:rFonts w:eastAsia="Courier New"/>
          <w:color w:val="000000"/>
          <w:sz w:val="22"/>
          <w:szCs w:val="22"/>
          <w:lang w:val="en-US"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магистрант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Погребная Н.</w:t>
      </w:r>
      <w:r w:rsidR="006E4146">
        <w:rPr>
          <w:rFonts w:eastAsia="Courier New"/>
          <w:color w:val="000000"/>
          <w:sz w:val="22"/>
          <w:szCs w:val="22"/>
          <w:lang w:eastAsia="en-US"/>
        </w:rPr>
        <w:t xml:space="preserve"> </w:t>
      </w:r>
      <w:r w:rsidRPr="00724342">
        <w:rPr>
          <w:rFonts w:eastAsia="Courier New"/>
          <w:color w:val="000000"/>
          <w:sz w:val="22"/>
          <w:szCs w:val="22"/>
          <w:lang w:eastAsia="en-US"/>
        </w:rPr>
        <w:t>В.,</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к.э.н., доцент кафедры институциональной экономики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и инвестиционного менеджмента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И.Т. Трубилина</w:t>
      </w:r>
    </w:p>
    <w:p w:rsidR="00724342" w:rsidRPr="00724342" w:rsidRDefault="00724342" w:rsidP="00724342">
      <w:pPr>
        <w:jc w:val="both"/>
        <w:rPr>
          <w:rFonts w:eastAsia="Courier New"/>
          <w:color w:val="000000"/>
          <w:sz w:val="22"/>
          <w:szCs w:val="22"/>
          <w:lang w:eastAsia="en-US"/>
        </w:rPr>
      </w:pPr>
    </w:p>
    <w:p w:rsidR="00724342" w:rsidRPr="00724342" w:rsidRDefault="00724342" w:rsidP="006E4146">
      <w:pPr>
        <w:ind w:firstLine="425"/>
        <w:jc w:val="both"/>
        <w:rPr>
          <w:rFonts w:eastAsia="Courier New"/>
          <w:color w:val="000000"/>
          <w:sz w:val="22"/>
          <w:szCs w:val="22"/>
          <w:lang w:val="en-US" w:eastAsia="en-US"/>
        </w:rPr>
      </w:pPr>
      <w:r w:rsidRPr="00724342">
        <w:rPr>
          <w:rFonts w:eastAsia="Courier New"/>
          <w:color w:val="000000"/>
          <w:sz w:val="22"/>
          <w:szCs w:val="22"/>
          <w:lang w:eastAsia="en-US"/>
        </w:rPr>
        <w:t>АННОТАЦИЯ: В данной статье определены ключевые пр</w:t>
      </w:r>
      <w:r w:rsidRPr="00724342">
        <w:rPr>
          <w:rFonts w:eastAsia="Courier New"/>
          <w:color w:val="000000"/>
          <w:sz w:val="22"/>
          <w:szCs w:val="22"/>
          <w:lang w:eastAsia="en-US"/>
        </w:rPr>
        <w:t>о</w:t>
      </w:r>
      <w:r w:rsidRPr="00724342">
        <w:rPr>
          <w:rFonts w:eastAsia="Courier New"/>
          <w:color w:val="000000"/>
          <w:sz w:val="22"/>
          <w:szCs w:val="22"/>
          <w:lang w:eastAsia="en-US"/>
        </w:rPr>
        <w:t>блемы развития АПК Краснодарского края. Установлены</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пути</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его</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стратегического</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развития</w:t>
      </w:r>
      <w:r w:rsidRPr="00724342">
        <w:rPr>
          <w:rFonts w:eastAsia="Courier New"/>
          <w:color w:val="000000"/>
          <w:sz w:val="22"/>
          <w:szCs w:val="22"/>
          <w:lang w:val="en-US" w:eastAsia="en-US"/>
        </w:rPr>
        <w:t>.</w:t>
      </w:r>
    </w:p>
    <w:p w:rsidR="00724342" w:rsidRPr="00724342" w:rsidRDefault="00724342" w:rsidP="006E4146">
      <w:pPr>
        <w:ind w:firstLine="425"/>
        <w:jc w:val="both"/>
        <w:rPr>
          <w:rFonts w:eastAsia="Courier New"/>
          <w:color w:val="000000"/>
          <w:sz w:val="22"/>
          <w:szCs w:val="22"/>
          <w:lang w:eastAsia="en-US"/>
        </w:rPr>
      </w:pPr>
      <w:r w:rsidRPr="00724342">
        <w:rPr>
          <w:rFonts w:eastAsiaTheme="minorHAnsi"/>
          <w:color w:val="000000"/>
          <w:sz w:val="22"/>
          <w:szCs w:val="22"/>
          <w:shd w:val="clear" w:color="auto" w:fill="FFFFFF"/>
          <w:lang w:val="en-US" w:eastAsia="en-US"/>
        </w:rPr>
        <w:t>ABSTRACT: This article identifies key problems of development of agrarian and industrial complex of Krasnodar region. Established</w:t>
      </w:r>
      <w:r w:rsidRPr="00724342">
        <w:rPr>
          <w:rFonts w:eastAsiaTheme="minorHAnsi"/>
          <w:color w:val="000000"/>
          <w:sz w:val="22"/>
          <w:szCs w:val="22"/>
          <w:shd w:val="clear" w:color="auto" w:fill="FFFFFF"/>
          <w:lang w:eastAsia="en-US"/>
        </w:rPr>
        <w:t xml:space="preserve"> </w:t>
      </w:r>
      <w:r w:rsidRPr="00724342">
        <w:rPr>
          <w:rFonts w:eastAsiaTheme="minorHAnsi"/>
          <w:color w:val="000000"/>
          <w:sz w:val="22"/>
          <w:szCs w:val="22"/>
          <w:shd w:val="clear" w:color="auto" w:fill="FFFFFF"/>
          <w:lang w:val="en-US" w:eastAsia="en-US"/>
        </w:rPr>
        <w:t>ways</w:t>
      </w:r>
      <w:r w:rsidRPr="00724342">
        <w:rPr>
          <w:rFonts w:eastAsiaTheme="minorHAnsi"/>
          <w:color w:val="000000"/>
          <w:sz w:val="22"/>
          <w:szCs w:val="22"/>
          <w:shd w:val="clear" w:color="auto" w:fill="FFFFFF"/>
          <w:lang w:eastAsia="en-US"/>
        </w:rPr>
        <w:t xml:space="preserve"> </w:t>
      </w:r>
      <w:r w:rsidRPr="00724342">
        <w:rPr>
          <w:rFonts w:eastAsiaTheme="minorHAnsi"/>
          <w:color w:val="000000"/>
          <w:sz w:val="22"/>
          <w:szCs w:val="22"/>
          <w:shd w:val="clear" w:color="auto" w:fill="FFFFFF"/>
          <w:lang w:val="en-US" w:eastAsia="en-US"/>
        </w:rPr>
        <w:t>of</w:t>
      </w:r>
      <w:r w:rsidRPr="00724342">
        <w:rPr>
          <w:rFonts w:eastAsiaTheme="minorHAnsi"/>
          <w:color w:val="000000"/>
          <w:sz w:val="22"/>
          <w:szCs w:val="22"/>
          <w:shd w:val="clear" w:color="auto" w:fill="FFFFFF"/>
          <w:lang w:eastAsia="en-US"/>
        </w:rPr>
        <w:t xml:space="preserve"> </w:t>
      </w:r>
      <w:r w:rsidRPr="00724342">
        <w:rPr>
          <w:rFonts w:eastAsiaTheme="minorHAnsi"/>
          <w:color w:val="000000"/>
          <w:sz w:val="22"/>
          <w:szCs w:val="22"/>
          <w:shd w:val="clear" w:color="auto" w:fill="FFFFFF"/>
          <w:lang w:val="en-US" w:eastAsia="en-US"/>
        </w:rPr>
        <w:t>strategic</w:t>
      </w:r>
      <w:r w:rsidRPr="00724342">
        <w:rPr>
          <w:rFonts w:eastAsiaTheme="minorHAnsi"/>
          <w:color w:val="000000"/>
          <w:sz w:val="22"/>
          <w:szCs w:val="22"/>
          <w:shd w:val="clear" w:color="auto" w:fill="FFFFFF"/>
          <w:lang w:eastAsia="en-US"/>
        </w:rPr>
        <w:t xml:space="preserve"> </w:t>
      </w:r>
      <w:r w:rsidRPr="00724342">
        <w:rPr>
          <w:rFonts w:eastAsiaTheme="minorHAnsi"/>
          <w:color w:val="000000"/>
          <w:sz w:val="22"/>
          <w:szCs w:val="22"/>
          <w:shd w:val="clear" w:color="auto" w:fill="FFFFFF"/>
          <w:lang w:val="en-US" w:eastAsia="en-US"/>
        </w:rPr>
        <w:t>development</w:t>
      </w:r>
      <w:r w:rsidRPr="00724342">
        <w:rPr>
          <w:rFonts w:eastAsiaTheme="minorHAnsi"/>
          <w:color w:val="000000"/>
          <w:sz w:val="22"/>
          <w:szCs w:val="22"/>
          <w:shd w:val="clear" w:color="auto" w:fill="FFFFFF"/>
          <w:lang w:eastAsia="en-US"/>
        </w:rPr>
        <w:t>.</w:t>
      </w:r>
      <w:r w:rsidRPr="00724342">
        <w:rPr>
          <w:rFonts w:eastAsiaTheme="minorHAnsi"/>
          <w:color w:val="000000"/>
          <w:sz w:val="22"/>
          <w:szCs w:val="22"/>
          <w:shd w:val="clear" w:color="auto" w:fill="FFFFFF"/>
          <w:lang w:val="en-US" w:eastAsia="en-US"/>
        </w:rPr>
        <w:t> </w:t>
      </w:r>
    </w:p>
    <w:p w:rsidR="00724342" w:rsidRPr="00724342" w:rsidRDefault="00724342" w:rsidP="006E4146">
      <w:pPr>
        <w:ind w:firstLine="425"/>
        <w:jc w:val="both"/>
        <w:rPr>
          <w:rFonts w:ascii="Arial" w:eastAsiaTheme="minorHAnsi" w:hAnsi="Arial" w:cs="Arial"/>
          <w:color w:val="000000"/>
          <w:sz w:val="15"/>
          <w:szCs w:val="15"/>
          <w:lang w:eastAsia="en-US"/>
        </w:rPr>
      </w:pPr>
      <w:r w:rsidRPr="00724342">
        <w:rPr>
          <w:rFonts w:eastAsia="Courier New"/>
          <w:color w:val="000000"/>
          <w:sz w:val="22"/>
          <w:szCs w:val="22"/>
          <w:lang w:eastAsia="en-US"/>
        </w:rPr>
        <w:t>КЛЮЧЕВЫЕ СЛОВА: сельское хозяйство, продовольственная безопасность страны, конкурентоспособность, инновации, инвест</w:t>
      </w:r>
      <w:r w:rsidRPr="00724342">
        <w:rPr>
          <w:rFonts w:eastAsia="Courier New"/>
          <w:color w:val="000000"/>
          <w:sz w:val="22"/>
          <w:szCs w:val="22"/>
          <w:lang w:eastAsia="en-US"/>
        </w:rPr>
        <w:t>и</w:t>
      </w:r>
      <w:r w:rsidRPr="00724342">
        <w:rPr>
          <w:rFonts w:eastAsia="Courier New"/>
          <w:color w:val="000000"/>
          <w:sz w:val="22"/>
          <w:szCs w:val="22"/>
          <w:lang w:eastAsia="en-US"/>
        </w:rPr>
        <w:t>ции.</w:t>
      </w:r>
    </w:p>
    <w:p w:rsidR="00724342" w:rsidRPr="00724342" w:rsidRDefault="00724342" w:rsidP="006E4146">
      <w:pPr>
        <w:ind w:firstLine="425"/>
        <w:jc w:val="both"/>
        <w:rPr>
          <w:rFonts w:eastAsiaTheme="minorHAnsi"/>
          <w:color w:val="000000"/>
          <w:sz w:val="22"/>
          <w:szCs w:val="22"/>
          <w:shd w:val="clear" w:color="auto" w:fill="FFFFFF"/>
          <w:lang w:val="en-US" w:eastAsia="en-US"/>
        </w:rPr>
      </w:pPr>
      <w:r w:rsidRPr="00724342">
        <w:rPr>
          <w:rFonts w:eastAsiaTheme="minorHAnsi"/>
          <w:color w:val="000000"/>
          <w:sz w:val="22"/>
          <w:szCs w:val="22"/>
          <w:shd w:val="clear" w:color="auto" w:fill="FFFFFF"/>
          <w:lang w:val="en-US" w:eastAsia="en-US"/>
        </w:rPr>
        <w:t>KEYWORDS: agriculture, food security, competitiveness, innov</w:t>
      </w:r>
      <w:r w:rsidRPr="00724342">
        <w:rPr>
          <w:rFonts w:eastAsiaTheme="minorHAnsi"/>
          <w:color w:val="000000"/>
          <w:sz w:val="22"/>
          <w:szCs w:val="22"/>
          <w:shd w:val="clear" w:color="auto" w:fill="FFFFFF"/>
          <w:lang w:val="en-US" w:eastAsia="en-US"/>
        </w:rPr>
        <w:t>a</w:t>
      </w:r>
      <w:r w:rsidRPr="00724342">
        <w:rPr>
          <w:rFonts w:eastAsiaTheme="minorHAnsi"/>
          <w:color w:val="000000"/>
          <w:sz w:val="22"/>
          <w:szCs w:val="22"/>
          <w:shd w:val="clear" w:color="auto" w:fill="FFFFFF"/>
          <w:lang w:val="en-US" w:eastAsia="en-US"/>
        </w:rPr>
        <w:t>tion, investments.</w:t>
      </w:r>
    </w:p>
    <w:p w:rsidR="00724342" w:rsidRPr="00724342" w:rsidRDefault="00724342" w:rsidP="006E4146">
      <w:pPr>
        <w:ind w:firstLine="425"/>
        <w:jc w:val="both"/>
        <w:rPr>
          <w:rFonts w:eastAsia="Courier New"/>
          <w:color w:val="000000"/>
          <w:sz w:val="22"/>
          <w:szCs w:val="22"/>
          <w:lang w:val="en-US" w:eastAsia="en-US"/>
        </w:rPr>
      </w:pPr>
    </w:p>
    <w:p w:rsidR="00724342" w:rsidRPr="00724342" w:rsidRDefault="00724342" w:rsidP="006E4146">
      <w:pPr>
        <w:ind w:firstLine="425"/>
        <w:jc w:val="both"/>
        <w:rPr>
          <w:rFonts w:eastAsiaTheme="minorHAnsi"/>
          <w:sz w:val="22"/>
          <w:szCs w:val="22"/>
          <w:lang w:eastAsia="en-US"/>
        </w:rPr>
      </w:pPr>
      <w:r w:rsidRPr="00724342">
        <w:rPr>
          <w:rFonts w:eastAsiaTheme="minorHAnsi"/>
          <w:sz w:val="22"/>
          <w:szCs w:val="22"/>
          <w:lang w:eastAsia="en-US"/>
        </w:rPr>
        <w:t>Агропромышленный комплекс Краснодарского края обеспеч</w:t>
      </w:r>
      <w:r w:rsidRPr="00724342">
        <w:rPr>
          <w:rFonts w:eastAsiaTheme="minorHAnsi"/>
          <w:sz w:val="22"/>
          <w:szCs w:val="22"/>
          <w:lang w:eastAsia="en-US"/>
        </w:rPr>
        <w:t>и</w:t>
      </w:r>
      <w:r w:rsidRPr="00724342">
        <w:rPr>
          <w:rFonts w:eastAsiaTheme="minorHAnsi"/>
          <w:sz w:val="22"/>
          <w:szCs w:val="22"/>
          <w:lang w:eastAsia="en-US"/>
        </w:rPr>
        <w:t>вает более 7% объема валовой сельскохозяйственной продукции России, обладая 4,6% посевных площадей. Благоприятные приро</w:t>
      </w:r>
      <w:r w:rsidRPr="00724342">
        <w:rPr>
          <w:rFonts w:eastAsiaTheme="minorHAnsi"/>
          <w:sz w:val="22"/>
          <w:szCs w:val="22"/>
          <w:lang w:eastAsia="en-US"/>
        </w:rPr>
        <w:t>д</w:t>
      </w:r>
      <w:r w:rsidRPr="00724342">
        <w:rPr>
          <w:rFonts w:eastAsiaTheme="minorHAnsi"/>
          <w:sz w:val="22"/>
          <w:szCs w:val="22"/>
          <w:lang w:eastAsia="en-US"/>
        </w:rPr>
        <w:t>ные условия и развитая материально-техническая база, обеспеч</w:t>
      </w:r>
      <w:r w:rsidRPr="00724342">
        <w:rPr>
          <w:rFonts w:eastAsiaTheme="minorHAnsi"/>
          <w:sz w:val="22"/>
          <w:szCs w:val="22"/>
          <w:lang w:eastAsia="en-US"/>
        </w:rPr>
        <w:t>и</w:t>
      </w:r>
      <w:r w:rsidRPr="00724342">
        <w:rPr>
          <w:rFonts w:eastAsiaTheme="minorHAnsi"/>
          <w:sz w:val="22"/>
          <w:szCs w:val="22"/>
          <w:lang w:eastAsia="en-US"/>
        </w:rPr>
        <w:t>вают лидерство Краснодарского края в производстве продукции сельского хозяйства в России (первое место в производстве проду</w:t>
      </w:r>
      <w:r w:rsidRPr="00724342">
        <w:rPr>
          <w:rFonts w:eastAsiaTheme="minorHAnsi"/>
          <w:sz w:val="22"/>
          <w:szCs w:val="22"/>
          <w:lang w:eastAsia="en-US"/>
        </w:rPr>
        <w:t>к</w:t>
      </w:r>
      <w:r w:rsidRPr="00724342">
        <w:rPr>
          <w:rFonts w:eastAsiaTheme="minorHAnsi"/>
          <w:sz w:val="22"/>
          <w:szCs w:val="22"/>
          <w:lang w:eastAsia="en-US"/>
        </w:rPr>
        <w:t>ции растениеводства, третье место по производству продукции ж</w:t>
      </w:r>
      <w:r w:rsidRPr="00724342">
        <w:rPr>
          <w:rFonts w:eastAsiaTheme="minorHAnsi"/>
          <w:sz w:val="22"/>
          <w:szCs w:val="22"/>
          <w:lang w:eastAsia="en-US"/>
        </w:rPr>
        <w:t>и</w:t>
      </w:r>
      <w:r w:rsidRPr="00724342">
        <w:rPr>
          <w:rFonts w:eastAsiaTheme="minorHAnsi"/>
          <w:sz w:val="22"/>
          <w:szCs w:val="22"/>
          <w:lang w:eastAsia="en-US"/>
        </w:rPr>
        <w:t>вотноводства). Количество инвестиций в Краснодарский край д</w:t>
      </w:r>
      <w:r w:rsidRPr="00724342">
        <w:rPr>
          <w:rFonts w:eastAsiaTheme="minorHAnsi"/>
          <w:sz w:val="22"/>
          <w:szCs w:val="22"/>
          <w:lang w:eastAsia="en-US"/>
        </w:rPr>
        <w:t>е</w:t>
      </w:r>
      <w:r w:rsidRPr="00724342">
        <w:rPr>
          <w:rFonts w:eastAsiaTheme="minorHAnsi"/>
          <w:sz w:val="22"/>
          <w:szCs w:val="22"/>
          <w:lang w:eastAsia="en-US"/>
        </w:rPr>
        <w:t>монстрирует высокий уровень. А работа с инвесторами – приоритет для органов власти всех уровней края [4].</w:t>
      </w:r>
    </w:p>
    <w:p w:rsidR="00724342" w:rsidRPr="00724342" w:rsidRDefault="00724342" w:rsidP="006E4146">
      <w:pPr>
        <w:ind w:firstLine="425"/>
        <w:jc w:val="both"/>
        <w:rPr>
          <w:rFonts w:eastAsiaTheme="minorHAnsi"/>
          <w:sz w:val="22"/>
          <w:szCs w:val="22"/>
          <w:lang w:eastAsia="en-US"/>
        </w:rPr>
      </w:pPr>
      <w:r w:rsidRPr="00724342">
        <w:rPr>
          <w:rFonts w:eastAsiaTheme="minorHAnsi"/>
          <w:sz w:val="22"/>
          <w:szCs w:val="22"/>
          <w:lang w:eastAsia="en-US"/>
        </w:rPr>
        <w:lastRenderedPageBreak/>
        <w:t>Пищевая промышленность края формирует более 5% общеро</w:t>
      </w:r>
      <w:r w:rsidRPr="00724342">
        <w:rPr>
          <w:rFonts w:eastAsiaTheme="minorHAnsi"/>
          <w:sz w:val="22"/>
          <w:szCs w:val="22"/>
          <w:lang w:eastAsia="en-US"/>
        </w:rPr>
        <w:t>с</w:t>
      </w:r>
      <w:r w:rsidRPr="00724342">
        <w:rPr>
          <w:rFonts w:eastAsiaTheme="minorHAnsi"/>
          <w:sz w:val="22"/>
          <w:szCs w:val="22"/>
          <w:lang w:eastAsia="en-US"/>
        </w:rPr>
        <w:t>сийского производства продуктов питания или 30% всего промы</w:t>
      </w:r>
      <w:r w:rsidRPr="00724342">
        <w:rPr>
          <w:rFonts w:eastAsiaTheme="minorHAnsi"/>
          <w:sz w:val="22"/>
          <w:szCs w:val="22"/>
          <w:lang w:eastAsia="en-US"/>
        </w:rPr>
        <w:t>ш</w:t>
      </w:r>
      <w:r w:rsidRPr="00724342">
        <w:rPr>
          <w:rFonts w:eastAsiaTheme="minorHAnsi"/>
          <w:sz w:val="22"/>
          <w:szCs w:val="22"/>
          <w:lang w:eastAsia="en-US"/>
        </w:rPr>
        <w:t>ленного производства в Краснодарском крае. Преобладают масл</w:t>
      </w:r>
      <w:r w:rsidRPr="00724342">
        <w:rPr>
          <w:rFonts w:eastAsiaTheme="minorHAnsi"/>
          <w:sz w:val="22"/>
          <w:szCs w:val="22"/>
          <w:lang w:eastAsia="en-US"/>
        </w:rPr>
        <w:t>о</w:t>
      </w:r>
      <w:r w:rsidRPr="00724342">
        <w:rPr>
          <w:rFonts w:eastAsiaTheme="minorHAnsi"/>
          <w:sz w:val="22"/>
          <w:szCs w:val="22"/>
          <w:lang w:eastAsia="en-US"/>
        </w:rPr>
        <w:t xml:space="preserve">жировая, молочная, мясная, сахарная, плодоовощная и консервная промышленность. </w:t>
      </w:r>
    </w:p>
    <w:p w:rsidR="00724342" w:rsidRPr="00724342" w:rsidRDefault="00724342" w:rsidP="006E4146">
      <w:pPr>
        <w:ind w:firstLine="425"/>
        <w:jc w:val="both"/>
        <w:rPr>
          <w:rFonts w:eastAsiaTheme="minorHAnsi"/>
          <w:sz w:val="22"/>
          <w:szCs w:val="22"/>
          <w:lang w:eastAsia="en-US"/>
        </w:rPr>
      </w:pPr>
      <w:r w:rsidRPr="00724342">
        <w:rPr>
          <w:rFonts w:eastAsiaTheme="minorHAnsi"/>
          <w:sz w:val="22"/>
          <w:szCs w:val="22"/>
          <w:lang w:eastAsia="en-US"/>
        </w:rPr>
        <w:t>В настоящее время, ключевой задачей является развитие умн</w:t>
      </w:r>
      <w:r w:rsidRPr="00724342">
        <w:rPr>
          <w:rFonts w:eastAsiaTheme="minorHAnsi"/>
          <w:sz w:val="22"/>
          <w:szCs w:val="22"/>
          <w:lang w:eastAsia="en-US"/>
        </w:rPr>
        <w:t>о</w:t>
      </w:r>
      <w:r w:rsidRPr="00724342">
        <w:rPr>
          <w:rFonts w:eastAsiaTheme="minorHAnsi"/>
          <w:sz w:val="22"/>
          <w:szCs w:val="22"/>
          <w:lang w:eastAsia="en-US"/>
        </w:rPr>
        <w:t>го и экологизированного АПК, обеспечивающего продовольстве</w:t>
      </w:r>
      <w:r w:rsidRPr="00724342">
        <w:rPr>
          <w:rFonts w:eastAsiaTheme="minorHAnsi"/>
          <w:sz w:val="22"/>
          <w:szCs w:val="22"/>
          <w:lang w:eastAsia="en-US"/>
        </w:rPr>
        <w:t>н</w:t>
      </w:r>
      <w:r w:rsidRPr="00724342">
        <w:rPr>
          <w:rFonts w:eastAsiaTheme="minorHAnsi"/>
          <w:sz w:val="22"/>
          <w:szCs w:val="22"/>
          <w:lang w:eastAsia="en-US"/>
        </w:rPr>
        <w:t>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«Кубанской продукции».</w:t>
      </w:r>
    </w:p>
    <w:p w:rsidR="00724342" w:rsidRPr="00724342" w:rsidRDefault="00724342" w:rsidP="006E4146">
      <w:pPr>
        <w:ind w:firstLine="425"/>
        <w:jc w:val="both"/>
        <w:rPr>
          <w:rFonts w:eastAsiaTheme="minorHAnsi"/>
          <w:sz w:val="22"/>
          <w:szCs w:val="22"/>
          <w:lang w:eastAsia="en-US"/>
        </w:rPr>
      </w:pPr>
      <w:r w:rsidRPr="00724342">
        <w:rPr>
          <w:rFonts w:eastAsiaTheme="minorHAnsi"/>
          <w:sz w:val="22"/>
          <w:szCs w:val="22"/>
          <w:lang w:eastAsia="en-US"/>
        </w:rPr>
        <w:t>Для этого необходимо:</w:t>
      </w:r>
    </w:p>
    <w:p w:rsidR="00724342" w:rsidRPr="00724342" w:rsidRDefault="00724342" w:rsidP="006E4146">
      <w:pPr>
        <w:numPr>
          <w:ilvl w:val="0"/>
          <w:numId w:val="94"/>
        </w:numPr>
        <w:ind w:left="0" w:firstLine="425"/>
        <w:contextualSpacing/>
        <w:jc w:val="both"/>
        <w:rPr>
          <w:rFonts w:eastAsiaTheme="minorHAnsi"/>
          <w:sz w:val="22"/>
          <w:szCs w:val="22"/>
          <w:lang w:eastAsia="en-US"/>
        </w:rPr>
      </w:pPr>
      <w:r w:rsidRPr="00724342">
        <w:rPr>
          <w:rFonts w:eastAsiaTheme="minorHAnsi"/>
          <w:sz w:val="22"/>
          <w:szCs w:val="22"/>
          <w:lang w:eastAsia="en-US"/>
        </w:rPr>
        <w:t xml:space="preserve"> Повышение конкурентоспособности продукции комплекса на основе развития высоких технологий и инноваций, расширения традиционных и формирования новых брэндов, а именно: расшир</w:t>
      </w:r>
      <w:r w:rsidRPr="00724342">
        <w:rPr>
          <w:rFonts w:eastAsiaTheme="minorHAnsi"/>
          <w:sz w:val="22"/>
          <w:szCs w:val="22"/>
          <w:lang w:eastAsia="en-US"/>
        </w:rPr>
        <w:t>е</w:t>
      </w:r>
      <w:r w:rsidRPr="00724342">
        <w:rPr>
          <w:rFonts w:eastAsiaTheme="minorHAnsi"/>
          <w:sz w:val="22"/>
          <w:szCs w:val="22"/>
          <w:lang w:eastAsia="en-US"/>
        </w:rPr>
        <w:t>ние экспорта продукции комплекса: увеличение объемов экспорт</w:t>
      </w:r>
      <w:r w:rsidRPr="00724342">
        <w:rPr>
          <w:rFonts w:eastAsiaTheme="minorHAnsi"/>
          <w:sz w:val="22"/>
          <w:szCs w:val="22"/>
          <w:lang w:eastAsia="en-US"/>
        </w:rPr>
        <w:t>и</w:t>
      </w:r>
      <w:r w:rsidRPr="00724342">
        <w:rPr>
          <w:rFonts w:eastAsiaTheme="minorHAnsi"/>
          <w:sz w:val="22"/>
          <w:szCs w:val="22"/>
          <w:lang w:eastAsia="en-US"/>
        </w:rPr>
        <w:t>руемой продукции в натуральном и стоимостном выражении за счет изменения качественной структуры экспорта в сторону вывоза г</w:t>
      </w:r>
      <w:r w:rsidRPr="00724342">
        <w:rPr>
          <w:rFonts w:eastAsiaTheme="minorHAnsi"/>
          <w:sz w:val="22"/>
          <w:szCs w:val="22"/>
          <w:lang w:eastAsia="en-US"/>
        </w:rPr>
        <w:t>о</w:t>
      </w:r>
      <w:r w:rsidRPr="00724342">
        <w:rPr>
          <w:rFonts w:eastAsiaTheme="minorHAnsi"/>
          <w:sz w:val="22"/>
          <w:szCs w:val="22"/>
          <w:lang w:eastAsia="en-US"/>
        </w:rPr>
        <w:t>товой продукции, а не сельскохозяйственного сырья.</w:t>
      </w:r>
    </w:p>
    <w:p w:rsidR="00724342" w:rsidRPr="00724342" w:rsidRDefault="00724342" w:rsidP="006E4146">
      <w:pPr>
        <w:numPr>
          <w:ilvl w:val="0"/>
          <w:numId w:val="95"/>
        </w:numPr>
        <w:tabs>
          <w:tab w:val="left" w:pos="567"/>
          <w:tab w:val="left" w:pos="4820"/>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Развитие систем обучения специалистов в области АПК на различных уровнях образования, в т.ч. – на начальном. </w:t>
      </w:r>
    </w:p>
    <w:p w:rsidR="00724342" w:rsidRPr="00724342" w:rsidRDefault="00724342" w:rsidP="006E4146">
      <w:pPr>
        <w:numPr>
          <w:ilvl w:val="0"/>
          <w:numId w:val="95"/>
        </w:numPr>
        <w:tabs>
          <w:tab w:val="left" w:pos="567"/>
          <w:tab w:val="left" w:pos="4820"/>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Развитие и внедрение современных технологий во все пр</w:t>
      </w:r>
      <w:r w:rsidRPr="00724342">
        <w:rPr>
          <w:rFonts w:eastAsiaTheme="minorHAnsi"/>
          <w:sz w:val="22"/>
          <w:szCs w:val="22"/>
          <w:lang w:eastAsia="en-US"/>
        </w:rPr>
        <w:t>о</w:t>
      </w:r>
      <w:r w:rsidRPr="00724342">
        <w:rPr>
          <w:rFonts w:eastAsiaTheme="minorHAnsi"/>
          <w:sz w:val="22"/>
          <w:szCs w:val="22"/>
          <w:lang w:eastAsia="en-US"/>
        </w:rPr>
        <w:t>цессы производства и сбыта сельскохозяйственной продукции и продуктов питания:</w:t>
      </w:r>
    </w:p>
    <w:p w:rsidR="00724342" w:rsidRPr="00724342" w:rsidRDefault="00724342" w:rsidP="006E4146">
      <w:pPr>
        <w:numPr>
          <w:ilvl w:val="0"/>
          <w:numId w:val="96"/>
        </w:numPr>
        <w:tabs>
          <w:tab w:val="left" w:pos="0"/>
          <w:tab w:val="left" w:pos="567"/>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обеспечение научно-технического развития АПК и достиж</w:t>
      </w:r>
      <w:r w:rsidRPr="00724342">
        <w:rPr>
          <w:rFonts w:eastAsiaTheme="minorHAnsi"/>
          <w:sz w:val="22"/>
          <w:szCs w:val="22"/>
          <w:lang w:eastAsia="en-US"/>
        </w:rPr>
        <w:t>е</w:t>
      </w:r>
      <w:r w:rsidRPr="00724342">
        <w:rPr>
          <w:rFonts w:eastAsiaTheme="minorHAnsi"/>
          <w:sz w:val="22"/>
          <w:szCs w:val="22"/>
          <w:lang w:eastAsia="en-US"/>
        </w:rPr>
        <w:t>ния высокого уровня экологизации всех производственных проце</w:t>
      </w:r>
      <w:r w:rsidRPr="00724342">
        <w:rPr>
          <w:rFonts w:eastAsiaTheme="minorHAnsi"/>
          <w:sz w:val="22"/>
          <w:szCs w:val="22"/>
          <w:lang w:eastAsia="en-US"/>
        </w:rPr>
        <w:t>с</w:t>
      </w:r>
      <w:r w:rsidRPr="00724342">
        <w:rPr>
          <w:rFonts w:eastAsiaTheme="minorHAnsi"/>
          <w:sz w:val="22"/>
          <w:szCs w:val="22"/>
          <w:lang w:eastAsia="en-US"/>
        </w:rPr>
        <w:t>сов;</w:t>
      </w:r>
    </w:p>
    <w:p w:rsidR="00724342" w:rsidRPr="00724342" w:rsidRDefault="00724342" w:rsidP="006E4146">
      <w:pPr>
        <w:numPr>
          <w:ilvl w:val="0"/>
          <w:numId w:val="97"/>
        </w:numPr>
        <w:tabs>
          <w:tab w:val="left" w:pos="0"/>
          <w:tab w:val="left" w:pos="567"/>
        </w:tabs>
        <w:ind w:firstLine="425"/>
        <w:contextualSpacing/>
        <w:jc w:val="both"/>
        <w:rPr>
          <w:rFonts w:eastAsiaTheme="minorHAnsi"/>
          <w:sz w:val="22"/>
          <w:szCs w:val="22"/>
          <w:lang w:eastAsia="en-US"/>
        </w:rPr>
      </w:pPr>
      <w:r w:rsidRPr="00724342">
        <w:rPr>
          <w:rFonts w:eastAsiaTheme="minorHAnsi"/>
          <w:sz w:val="22"/>
          <w:szCs w:val="22"/>
          <w:lang w:eastAsia="en-US"/>
        </w:rPr>
        <w:t xml:space="preserve"> освоение новых перспективных технологий производства, переработки сельхозпродукции, в том числе современных технол</w:t>
      </w:r>
      <w:r w:rsidRPr="00724342">
        <w:rPr>
          <w:rFonts w:eastAsiaTheme="minorHAnsi"/>
          <w:sz w:val="22"/>
          <w:szCs w:val="22"/>
          <w:lang w:eastAsia="en-US"/>
        </w:rPr>
        <w:t>о</w:t>
      </w:r>
      <w:r w:rsidRPr="00724342">
        <w:rPr>
          <w:rFonts w:eastAsiaTheme="minorHAnsi"/>
          <w:sz w:val="22"/>
          <w:szCs w:val="22"/>
          <w:lang w:eastAsia="en-US"/>
        </w:rPr>
        <w:t>гий земледелия, методов защиты растений, противоэпизоотических мероприятий и диагностических исследований, а также глубокой переработки сельскохозяйственного сырья и биотехнологий, пов</w:t>
      </w:r>
      <w:r w:rsidRPr="00724342">
        <w:rPr>
          <w:rFonts w:eastAsiaTheme="minorHAnsi"/>
          <w:sz w:val="22"/>
          <w:szCs w:val="22"/>
          <w:lang w:eastAsia="en-US"/>
        </w:rPr>
        <w:t>ы</w:t>
      </w:r>
      <w:r w:rsidRPr="00724342">
        <w:rPr>
          <w:rFonts w:eastAsiaTheme="minorHAnsi"/>
          <w:sz w:val="22"/>
          <w:szCs w:val="22"/>
          <w:lang w:eastAsia="en-US"/>
        </w:rPr>
        <w:t>шение доступности новых технологий для среднего и малого бизн</w:t>
      </w:r>
      <w:r w:rsidRPr="00724342">
        <w:rPr>
          <w:rFonts w:eastAsiaTheme="minorHAnsi"/>
          <w:sz w:val="22"/>
          <w:szCs w:val="22"/>
          <w:lang w:eastAsia="en-US"/>
        </w:rPr>
        <w:t>е</w:t>
      </w:r>
      <w:r w:rsidRPr="00724342">
        <w:rPr>
          <w:rFonts w:eastAsiaTheme="minorHAnsi"/>
          <w:sz w:val="22"/>
          <w:szCs w:val="22"/>
          <w:lang w:eastAsia="en-US"/>
        </w:rPr>
        <w:t>са, фермерских хозяйств и индивидуальных производителей, в</w:t>
      </w:r>
      <w:r w:rsidRPr="00724342">
        <w:rPr>
          <w:rFonts w:eastAsiaTheme="minorHAnsi"/>
          <w:sz w:val="22"/>
          <w:szCs w:val="22"/>
          <w:lang w:eastAsia="en-US"/>
        </w:rPr>
        <w:t>ы</w:t>
      </w:r>
      <w:r w:rsidRPr="00724342">
        <w:rPr>
          <w:rFonts w:eastAsiaTheme="minorHAnsi"/>
          <w:sz w:val="22"/>
          <w:szCs w:val="22"/>
          <w:lang w:eastAsia="en-US"/>
        </w:rPr>
        <w:t>равнивание технологического уровня оснащенности крупных и средних производств [1, 5];</w:t>
      </w:r>
    </w:p>
    <w:p w:rsidR="00724342" w:rsidRPr="00724342" w:rsidRDefault="00724342" w:rsidP="006E4146">
      <w:pPr>
        <w:numPr>
          <w:ilvl w:val="0"/>
          <w:numId w:val="96"/>
        </w:numPr>
        <w:tabs>
          <w:tab w:val="left" w:pos="0"/>
          <w:tab w:val="left" w:pos="567"/>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в рамках освоения перспективных технологий производства и переработки сельскохозяйственной продукции обеспечение разв</w:t>
      </w:r>
      <w:r w:rsidRPr="00724342">
        <w:rPr>
          <w:rFonts w:eastAsiaTheme="minorHAnsi"/>
          <w:sz w:val="22"/>
          <w:szCs w:val="22"/>
          <w:lang w:eastAsia="en-US"/>
        </w:rPr>
        <w:t>и</w:t>
      </w:r>
      <w:r w:rsidRPr="00724342">
        <w:rPr>
          <w:rFonts w:eastAsiaTheme="minorHAnsi"/>
          <w:sz w:val="22"/>
          <w:szCs w:val="22"/>
          <w:lang w:eastAsia="en-US"/>
        </w:rPr>
        <w:lastRenderedPageBreak/>
        <w:t>тия научно-технологических направлений нового поколения и пр</w:t>
      </w:r>
      <w:r w:rsidRPr="00724342">
        <w:rPr>
          <w:rFonts w:eastAsiaTheme="minorHAnsi"/>
          <w:sz w:val="22"/>
          <w:szCs w:val="22"/>
          <w:lang w:eastAsia="en-US"/>
        </w:rPr>
        <w:t>и</w:t>
      </w:r>
      <w:r w:rsidRPr="00724342">
        <w:rPr>
          <w:rFonts w:eastAsiaTheme="minorHAnsi"/>
          <w:sz w:val="22"/>
          <w:szCs w:val="22"/>
          <w:lang w:eastAsia="en-US"/>
        </w:rPr>
        <w:t>менения платформенных технологий межотраслевого назначения.</w:t>
      </w:r>
    </w:p>
    <w:p w:rsidR="00724342" w:rsidRPr="00724342" w:rsidRDefault="00724342" w:rsidP="006E4146">
      <w:pPr>
        <w:numPr>
          <w:ilvl w:val="0"/>
          <w:numId w:val="95"/>
        </w:numPr>
        <w:tabs>
          <w:tab w:val="left" w:pos="0"/>
          <w:tab w:val="left" w:pos="567"/>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Обеспечение эффективного и бережливого использования природных ресурсов в агропромышленном производстве, создание условий для устойчивого развития сельских территорий [2].</w:t>
      </w:r>
    </w:p>
    <w:p w:rsidR="00724342" w:rsidRPr="00724342" w:rsidRDefault="00724342" w:rsidP="006E4146">
      <w:pPr>
        <w:numPr>
          <w:ilvl w:val="0"/>
          <w:numId w:val="95"/>
        </w:numPr>
        <w:tabs>
          <w:tab w:val="left" w:pos="0"/>
          <w:tab w:val="left" w:pos="567"/>
        </w:tabs>
        <w:ind w:left="0" w:firstLine="425"/>
        <w:contextualSpacing/>
        <w:jc w:val="both"/>
        <w:rPr>
          <w:rFonts w:eastAsiaTheme="minorHAnsi"/>
          <w:sz w:val="22"/>
          <w:szCs w:val="22"/>
          <w:lang w:eastAsia="en-US"/>
        </w:rPr>
      </w:pPr>
      <w:r w:rsidRPr="00724342">
        <w:rPr>
          <w:rFonts w:eastAsiaTheme="minorHAnsi"/>
          <w:sz w:val="22"/>
          <w:szCs w:val="22"/>
          <w:lang w:eastAsia="en-US"/>
        </w:rPr>
        <w:t xml:space="preserve"> Обеспечение потребностей предприятий АПК и сельского населения Краснодарского края в современной инженерной, доро</w:t>
      </w:r>
      <w:r w:rsidRPr="00724342">
        <w:rPr>
          <w:rFonts w:eastAsiaTheme="minorHAnsi"/>
          <w:sz w:val="22"/>
          <w:szCs w:val="22"/>
          <w:lang w:eastAsia="en-US"/>
        </w:rPr>
        <w:t>ж</w:t>
      </w:r>
      <w:r w:rsidRPr="00724342">
        <w:rPr>
          <w:rFonts w:eastAsiaTheme="minorHAnsi"/>
          <w:sz w:val="22"/>
          <w:szCs w:val="22"/>
          <w:lang w:eastAsia="en-US"/>
        </w:rPr>
        <w:t>ной и жилищной инфраструктуре.</w:t>
      </w:r>
    </w:p>
    <w:p w:rsidR="00724342" w:rsidRPr="00724342" w:rsidRDefault="00724342" w:rsidP="006E4146">
      <w:pPr>
        <w:numPr>
          <w:ilvl w:val="0"/>
          <w:numId w:val="95"/>
        </w:numPr>
        <w:tabs>
          <w:tab w:val="left" w:pos="0"/>
          <w:tab w:val="left" w:pos="567"/>
        </w:tabs>
        <w:ind w:left="0" w:firstLine="425"/>
        <w:contextualSpacing/>
        <w:jc w:val="both"/>
        <w:rPr>
          <w:rFonts w:eastAsiaTheme="minorHAnsi"/>
          <w:sz w:val="22"/>
          <w:szCs w:val="22"/>
          <w:lang w:eastAsia="en-US"/>
        </w:rPr>
      </w:pPr>
      <w:r w:rsidRPr="00724342">
        <w:rPr>
          <w:rFonts w:asciiTheme="minorHAnsi" w:eastAsiaTheme="minorHAnsi" w:hAnsiTheme="minorHAnsi" w:cstheme="minorBidi"/>
          <w:sz w:val="22"/>
          <w:szCs w:val="22"/>
          <w:lang w:eastAsia="en-US"/>
        </w:rPr>
        <w:t xml:space="preserve"> </w:t>
      </w:r>
      <w:r w:rsidRPr="00724342">
        <w:rPr>
          <w:rFonts w:eastAsiaTheme="minorHAnsi"/>
          <w:sz w:val="22"/>
          <w:szCs w:val="22"/>
          <w:lang w:eastAsia="en-US"/>
        </w:rPr>
        <w:t>Повышение инвестиционной привлекательности АПК Кра</w:t>
      </w:r>
      <w:r w:rsidRPr="00724342">
        <w:rPr>
          <w:rFonts w:eastAsiaTheme="minorHAnsi"/>
          <w:sz w:val="22"/>
          <w:szCs w:val="22"/>
          <w:lang w:eastAsia="en-US"/>
        </w:rPr>
        <w:t>с</w:t>
      </w:r>
      <w:r w:rsidRPr="00724342">
        <w:rPr>
          <w:rFonts w:eastAsiaTheme="minorHAnsi"/>
          <w:sz w:val="22"/>
          <w:szCs w:val="22"/>
          <w:lang w:eastAsia="en-US"/>
        </w:rPr>
        <w:t>нодарского края в целях осуществления технического перевоор</w:t>
      </w:r>
      <w:r w:rsidRPr="00724342">
        <w:rPr>
          <w:rFonts w:eastAsiaTheme="minorHAnsi"/>
          <w:sz w:val="22"/>
          <w:szCs w:val="22"/>
          <w:lang w:eastAsia="en-US"/>
        </w:rPr>
        <w:t>у</w:t>
      </w:r>
      <w:r w:rsidRPr="00724342">
        <w:rPr>
          <w:rFonts w:eastAsiaTheme="minorHAnsi"/>
          <w:sz w:val="22"/>
          <w:szCs w:val="22"/>
          <w:lang w:eastAsia="en-US"/>
        </w:rPr>
        <w:t>жения, реконструкции предприятий комплекса, строительства н</w:t>
      </w:r>
      <w:r w:rsidRPr="00724342">
        <w:rPr>
          <w:rFonts w:eastAsiaTheme="minorHAnsi"/>
          <w:sz w:val="22"/>
          <w:szCs w:val="22"/>
          <w:lang w:eastAsia="en-US"/>
        </w:rPr>
        <w:t>о</w:t>
      </w:r>
      <w:r w:rsidRPr="00724342">
        <w:rPr>
          <w:rFonts w:eastAsiaTheme="minorHAnsi"/>
          <w:sz w:val="22"/>
          <w:szCs w:val="22"/>
          <w:lang w:eastAsia="en-US"/>
        </w:rPr>
        <w:t>вых предприятий на основе применения инновационных технол</w:t>
      </w:r>
      <w:r w:rsidRPr="00724342">
        <w:rPr>
          <w:rFonts w:eastAsiaTheme="minorHAnsi"/>
          <w:sz w:val="22"/>
          <w:szCs w:val="22"/>
          <w:lang w:eastAsia="en-US"/>
        </w:rPr>
        <w:t>о</w:t>
      </w:r>
      <w:r w:rsidRPr="00724342">
        <w:rPr>
          <w:rFonts w:eastAsiaTheme="minorHAnsi"/>
          <w:sz w:val="22"/>
          <w:szCs w:val="22"/>
          <w:lang w:eastAsia="en-US"/>
        </w:rPr>
        <w:t>гий и ресурсосберегающего оборудования.</w:t>
      </w:r>
    </w:p>
    <w:p w:rsidR="00724342" w:rsidRPr="00724342" w:rsidRDefault="00724342" w:rsidP="006E4146">
      <w:pPr>
        <w:tabs>
          <w:tab w:val="left" w:pos="0"/>
          <w:tab w:val="left" w:pos="567"/>
        </w:tabs>
        <w:ind w:firstLine="425"/>
        <w:contextualSpacing/>
        <w:jc w:val="both"/>
        <w:rPr>
          <w:rFonts w:eastAsiaTheme="minorHAnsi"/>
          <w:sz w:val="22"/>
          <w:szCs w:val="22"/>
          <w:lang w:eastAsia="en-US"/>
        </w:rPr>
      </w:pPr>
    </w:p>
    <w:p w:rsidR="00724342" w:rsidRPr="00724342" w:rsidRDefault="00724342" w:rsidP="006E4146">
      <w:pPr>
        <w:tabs>
          <w:tab w:val="left" w:pos="0"/>
          <w:tab w:val="left" w:pos="567"/>
        </w:tabs>
        <w:ind w:firstLine="425"/>
        <w:contextualSpacing/>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6E4146">
      <w:pPr>
        <w:tabs>
          <w:tab w:val="left" w:pos="567"/>
        </w:tabs>
        <w:ind w:firstLine="425"/>
        <w:jc w:val="both"/>
        <w:rPr>
          <w:rFonts w:eastAsiaTheme="minorHAnsi"/>
          <w:sz w:val="22"/>
          <w:szCs w:val="22"/>
          <w:lang w:eastAsia="en-US"/>
        </w:rPr>
      </w:pPr>
      <w:r w:rsidRPr="00724342">
        <w:rPr>
          <w:rFonts w:eastAsiaTheme="minorHAnsi"/>
          <w:sz w:val="22"/>
          <w:szCs w:val="22"/>
          <w:lang w:eastAsia="en-US"/>
        </w:rPr>
        <w:t>1. Бардак А.В., Бухкалова В.В., Погребная Н.В. Инвестицио</w:t>
      </w:r>
      <w:r w:rsidRPr="00724342">
        <w:rPr>
          <w:rFonts w:eastAsiaTheme="minorHAnsi"/>
          <w:sz w:val="22"/>
          <w:szCs w:val="22"/>
          <w:lang w:eastAsia="en-US"/>
        </w:rPr>
        <w:t>н</w:t>
      </w:r>
      <w:r w:rsidRPr="00724342">
        <w:rPr>
          <w:rFonts w:eastAsiaTheme="minorHAnsi"/>
          <w:sz w:val="22"/>
          <w:szCs w:val="22"/>
          <w:lang w:eastAsia="en-US"/>
        </w:rPr>
        <w:t>ная привлекательность отрасли сельского хозяйства Краснодарск</w:t>
      </w:r>
      <w:r w:rsidRPr="00724342">
        <w:rPr>
          <w:rFonts w:eastAsiaTheme="minorHAnsi"/>
          <w:sz w:val="22"/>
          <w:szCs w:val="22"/>
          <w:lang w:eastAsia="en-US"/>
        </w:rPr>
        <w:t>о</w:t>
      </w:r>
      <w:r w:rsidRPr="00724342">
        <w:rPr>
          <w:rFonts w:eastAsiaTheme="minorHAnsi"/>
          <w:sz w:val="22"/>
          <w:szCs w:val="22"/>
          <w:lang w:eastAsia="en-US"/>
        </w:rPr>
        <w:t>го края // Сolloquium-journal. 2017. Т. 1. № 7 (7). С. 95-100.</w:t>
      </w:r>
    </w:p>
    <w:p w:rsidR="00724342" w:rsidRPr="00724342" w:rsidRDefault="00724342" w:rsidP="006E4146">
      <w:pPr>
        <w:tabs>
          <w:tab w:val="left" w:pos="567"/>
        </w:tabs>
        <w:ind w:firstLine="425"/>
        <w:jc w:val="both"/>
        <w:rPr>
          <w:rFonts w:eastAsiaTheme="minorHAnsi"/>
          <w:sz w:val="22"/>
          <w:szCs w:val="22"/>
          <w:lang w:eastAsia="en-US"/>
        </w:rPr>
      </w:pPr>
      <w:r w:rsidRPr="00724342">
        <w:rPr>
          <w:rFonts w:eastAsiaTheme="minorHAnsi"/>
          <w:sz w:val="22"/>
          <w:szCs w:val="22"/>
          <w:lang w:eastAsia="en-US"/>
        </w:rPr>
        <w:t>2. Голубова Т.С., Погребная Н.В. Пути повышения эффекти</w:t>
      </w:r>
      <w:r w:rsidRPr="00724342">
        <w:rPr>
          <w:rFonts w:eastAsiaTheme="minorHAnsi"/>
          <w:sz w:val="22"/>
          <w:szCs w:val="22"/>
          <w:lang w:eastAsia="en-US"/>
        </w:rPr>
        <w:t>в</w:t>
      </w:r>
      <w:r w:rsidRPr="00724342">
        <w:rPr>
          <w:rFonts w:eastAsiaTheme="minorHAnsi"/>
          <w:sz w:val="22"/>
          <w:szCs w:val="22"/>
          <w:lang w:eastAsia="en-US"/>
        </w:rPr>
        <w:t>ности государственной поддержки крестьянских (фермерских) х</w:t>
      </w:r>
      <w:r w:rsidRPr="00724342">
        <w:rPr>
          <w:rFonts w:eastAsiaTheme="minorHAnsi"/>
          <w:sz w:val="22"/>
          <w:szCs w:val="22"/>
          <w:lang w:eastAsia="en-US"/>
        </w:rPr>
        <w:t>о</w:t>
      </w:r>
      <w:r w:rsidRPr="00724342">
        <w:rPr>
          <w:rFonts w:eastAsiaTheme="minorHAnsi"/>
          <w:sz w:val="22"/>
          <w:szCs w:val="22"/>
          <w:lang w:eastAsia="en-US"/>
        </w:rPr>
        <w:t>зяйств в региона  // Сolloquium-journal. 2017. № 2 (2). С. 58-62.</w:t>
      </w:r>
    </w:p>
    <w:p w:rsidR="00724342" w:rsidRPr="00724342" w:rsidRDefault="00724342" w:rsidP="006E4146">
      <w:pPr>
        <w:tabs>
          <w:tab w:val="left" w:pos="567"/>
        </w:tabs>
        <w:ind w:firstLine="425"/>
        <w:jc w:val="both"/>
        <w:rPr>
          <w:rFonts w:eastAsiaTheme="minorHAnsi"/>
          <w:sz w:val="22"/>
          <w:szCs w:val="22"/>
          <w:lang w:eastAsia="en-US"/>
        </w:rPr>
      </w:pPr>
      <w:r w:rsidRPr="00724342">
        <w:rPr>
          <w:rFonts w:eastAsiaTheme="minorHAnsi"/>
          <w:sz w:val="22"/>
          <w:szCs w:val="22"/>
          <w:lang w:eastAsia="en-US"/>
        </w:rPr>
        <w:t>3. Калайда А.Д., Арутюнян Ю.И. Обеспечение механизма устойчивого развития предприятия//Материалы 71-й научно-практической конференции студентов по итогам НИР за 2015 год «Научное обеспечение агропромышленного комплекса».-Краснодар: КубГАУ, 2016. -С. 567-570.</w:t>
      </w:r>
    </w:p>
    <w:p w:rsidR="00724342" w:rsidRPr="00724342" w:rsidRDefault="00724342" w:rsidP="006E4146">
      <w:pPr>
        <w:tabs>
          <w:tab w:val="left" w:pos="567"/>
        </w:tabs>
        <w:ind w:firstLine="425"/>
        <w:jc w:val="both"/>
        <w:rPr>
          <w:rFonts w:eastAsiaTheme="minorHAnsi"/>
          <w:sz w:val="22"/>
          <w:szCs w:val="22"/>
          <w:lang w:eastAsia="en-US"/>
        </w:rPr>
      </w:pPr>
      <w:r w:rsidRPr="00724342">
        <w:rPr>
          <w:rFonts w:eastAsiaTheme="minorHAnsi"/>
          <w:sz w:val="22"/>
          <w:szCs w:val="22"/>
          <w:lang w:eastAsia="en-US"/>
        </w:rPr>
        <w:t>4. Погребная Н.В.  Повышение инвестиционной привлекател</w:t>
      </w:r>
      <w:r w:rsidRPr="00724342">
        <w:rPr>
          <w:rFonts w:eastAsiaTheme="minorHAnsi"/>
          <w:sz w:val="22"/>
          <w:szCs w:val="22"/>
          <w:lang w:eastAsia="en-US"/>
        </w:rPr>
        <w:t>ь</w:t>
      </w:r>
      <w:r w:rsidRPr="00724342">
        <w:rPr>
          <w:rFonts w:eastAsiaTheme="minorHAnsi"/>
          <w:sz w:val="22"/>
          <w:szCs w:val="22"/>
          <w:lang w:eastAsia="en-US"/>
        </w:rPr>
        <w:t>ности Краснодарского края: факторы, направления, прогнозы / П</w:t>
      </w:r>
      <w:r w:rsidRPr="00724342">
        <w:rPr>
          <w:rFonts w:eastAsiaTheme="minorHAnsi"/>
          <w:sz w:val="22"/>
          <w:szCs w:val="22"/>
          <w:lang w:eastAsia="en-US"/>
        </w:rPr>
        <w:t>о</w:t>
      </w:r>
      <w:r w:rsidRPr="00724342">
        <w:rPr>
          <w:rFonts w:eastAsiaTheme="minorHAnsi"/>
          <w:sz w:val="22"/>
          <w:szCs w:val="22"/>
          <w:lang w:eastAsia="en-US"/>
        </w:rPr>
        <w:t>гребная Н.В., Походина Е.С. // Политематический сетевой эле</w:t>
      </w:r>
      <w:r w:rsidRPr="00724342">
        <w:rPr>
          <w:rFonts w:eastAsiaTheme="minorHAnsi"/>
          <w:sz w:val="22"/>
          <w:szCs w:val="22"/>
          <w:lang w:eastAsia="en-US"/>
        </w:rPr>
        <w:t>к</w:t>
      </w:r>
      <w:r w:rsidRPr="00724342">
        <w:rPr>
          <w:rFonts w:eastAsiaTheme="minorHAnsi"/>
          <w:sz w:val="22"/>
          <w:szCs w:val="22"/>
          <w:lang w:eastAsia="en-US"/>
        </w:rPr>
        <w:t>тронный научный журнал Кубанского государственного аграрного университета (Научный журнал КубГАУ) [Электронный ресурс]. – Краснодар: КубГАУ, 2016. – №06(120).  –Режим доступа: http://ej.kubagro.ru/2016/06/pdf/82.pdf.</w:t>
      </w:r>
    </w:p>
    <w:p w:rsidR="0010381E" w:rsidRPr="008D33CB" w:rsidRDefault="00724342" w:rsidP="002A1EE0">
      <w:pPr>
        <w:tabs>
          <w:tab w:val="left" w:pos="567"/>
        </w:tabs>
        <w:ind w:firstLine="425"/>
        <w:jc w:val="both"/>
        <w:rPr>
          <w:rFonts w:eastAsiaTheme="minorHAnsi"/>
          <w:sz w:val="22"/>
          <w:szCs w:val="22"/>
          <w:lang w:val="en-US" w:eastAsia="en-US"/>
        </w:rPr>
      </w:pPr>
      <w:r w:rsidRPr="00724342">
        <w:rPr>
          <w:rFonts w:eastAsiaTheme="minorHAnsi"/>
          <w:sz w:val="22"/>
          <w:szCs w:val="22"/>
          <w:lang w:eastAsia="en-US"/>
        </w:rPr>
        <w:t>5. Тимофеев Е.В., Погребная Н.В. Основные направления гос</w:t>
      </w:r>
      <w:r w:rsidRPr="00724342">
        <w:rPr>
          <w:rFonts w:eastAsiaTheme="minorHAnsi"/>
          <w:sz w:val="22"/>
          <w:szCs w:val="22"/>
          <w:lang w:eastAsia="en-US"/>
        </w:rPr>
        <w:t>у</w:t>
      </w:r>
      <w:r w:rsidRPr="00724342">
        <w:rPr>
          <w:rFonts w:eastAsiaTheme="minorHAnsi"/>
          <w:sz w:val="22"/>
          <w:szCs w:val="22"/>
          <w:lang w:eastAsia="en-US"/>
        </w:rPr>
        <w:t>дарственной поддержки агропромышленного производства России. В сборнике: Научное обеспечение агропромышленного комплекса / сборник статей по материалам 71-й научно-практической конф</w:t>
      </w:r>
      <w:r w:rsidRPr="00724342">
        <w:rPr>
          <w:rFonts w:eastAsiaTheme="minorHAnsi"/>
          <w:sz w:val="22"/>
          <w:szCs w:val="22"/>
          <w:lang w:eastAsia="en-US"/>
        </w:rPr>
        <w:t>е</w:t>
      </w:r>
      <w:r w:rsidRPr="00724342">
        <w:rPr>
          <w:rFonts w:eastAsiaTheme="minorHAnsi"/>
          <w:sz w:val="22"/>
          <w:szCs w:val="22"/>
          <w:lang w:eastAsia="en-US"/>
        </w:rPr>
        <w:t>ренции студентов по итогам НИР за 2015 год. – 2016. С</w:t>
      </w:r>
      <w:r w:rsidRPr="00724342">
        <w:rPr>
          <w:rFonts w:eastAsiaTheme="minorHAnsi"/>
          <w:sz w:val="22"/>
          <w:szCs w:val="22"/>
          <w:lang w:val="en-US" w:eastAsia="en-US"/>
        </w:rPr>
        <w:t>. 608-611.</w:t>
      </w:r>
    </w:p>
    <w:p w:rsidR="00724342" w:rsidRPr="00724342" w:rsidRDefault="00724342" w:rsidP="00724342">
      <w:pPr>
        <w:widowControl w:val="0"/>
        <w:rPr>
          <w:rFonts w:eastAsia="Courier New"/>
          <w:color w:val="000000"/>
          <w:sz w:val="22"/>
          <w:szCs w:val="22"/>
          <w:lang w:val="en-US"/>
        </w:rPr>
      </w:pPr>
      <w:r w:rsidRPr="00724342">
        <w:rPr>
          <w:rFonts w:eastAsia="Courier New"/>
          <w:color w:val="000000"/>
          <w:sz w:val="22"/>
          <w:szCs w:val="22"/>
        </w:rPr>
        <w:lastRenderedPageBreak/>
        <w:t>УДК</w:t>
      </w:r>
      <w:r w:rsidRPr="00724342">
        <w:rPr>
          <w:rFonts w:eastAsia="Courier New"/>
          <w:color w:val="000000"/>
          <w:sz w:val="22"/>
          <w:szCs w:val="22"/>
          <w:lang w:val="en-US"/>
        </w:rPr>
        <w:t xml:space="preserve"> </w:t>
      </w:r>
      <w:r w:rsidRPr="00724342">
        <w:rPr>
          <w:sz w:val="22"/>
          <w:szCs w:val="22"/>
          <w:lang w:val="en-US"/>
        </w:rPr>
        <w:t>331.103</w:t>
      </w:r>
    </w:p>
    <w:p w:rsidR="00724342" w:rsidRPr="00724342" w:rsidRDefault="00724342" w:rsidP="00724342">
      <w:pPr>
        <w:widowControl w:val="0"/>
        <w:rPr>
          <w:rFonts w:eastAsia="Courier New"/>
          <w:color w:val="000000"/>
          <w:sz w:val="24"/>
          <w:szCs w:val="24"/>
          <w:lang w:val="en-US"/>
        </w:rPr>
      </w:pPr>
    </w:p>
    <w:p w:rsidR="00724342" w:rsidRPr="00724342" w:rsidRDefault="00724342" w:rsidP="00724342">
      <w:pPr>
        <w:widowControl w:val="0"/>
        <w:jc w:val="center"/>
        <w:rPr>
          <w:rFonts w:eastAsia="Courier New"/>
          <w:b/>
          <w:color w:val="000000"/>
          <w:sz w:val="24"/>
          <w:szCs w:val="24"/>
          <w:lang w:val="en-US"/>
        </w:rPr>
      </w:pPr>
      <w:r w:rsidRPr="00724342">
        <w:rPr>
          <w:rFonts w:eastAsia="Courier New"/>
          <w:b/>
          <w:color w:val="000000"/>
          <w:sz w:val="24"/>
          <w:szCs w:val="24"/>
        </w:rPr>
        <w:t>Внедрение</w:t>
      </w:r>
      <w:r w:rsidRPr="00724342">
        <w:rPr>
          <w:rFonts w:eastAsia="Courier New"/>
          <w:b/>
          <w:color w:val="000000"/>
          <w:sz w:val="24"/>
          <w:szCs w:val="24"/>
          <w:lang w:val="en-US"/>
        </w:rPr>
        <w:t xml:space="preserve"> Lean-</w:t>
      </w:r>
      <w:r w:rsidRPr="00724342">
        <w:rPr>
          <w:rFonts w:eastAsia="Courier New"/>
          <w:b/>
          <w:color w:val="000000"/>
          <w:sz w:val="24"/>
          <w:szCs w:val="24"/>
        </w:rPr>
        <w:t>технологий</w:t>
      </w:r>
      <w:r w:rsidRPr="00724342">
        <w:rPr>
          <w:rFonts w:eastAsia="Courier New"/>
          <w:b/>
          <w:color w:val="000000"/>
          <w:sz w:val="24"/>
          <w:szCs w:val="24"/>
          <w:lang w:val="en-US"/>
        </w:rPr>
        <w:t xml:space="preserve"> </w:t>
      </w:r>
      <w:r w:rsidRPr="00724342">
        <w:rPr>
          <w:rFonts w:eastAsia="Courier New"/>
          <w:b/>
          <w:color w:val="000000"/>
          <w:sz w:val="24"/>
          <w:szCs w:val="24"/>
        </w:rPr>
        <w:t>в</w:t>
      </w:r>
      <w:r w:rsidRPr="00724342">
        <w:rPr>
          <w:rFonts w:eastAsia="Courier New"/>
          <w:b/>
          <w:color w:val="000000"/>
          <w:sz w:val="24"/>
          <w:szCs w:val="24"/>
          <w:lang w:val="en-US"/>
        </w:rPr>
        <w:t xml:space="preserve"> </w:t>
      </w:r>
      <w:r w:rsidRPr="00724342">
        <w:rPr>
          <w:rFonts w:eastAsia="Courier New"/>
          <w:b/>
          <w:color w:val="000000"/>
          <w:sz w:val="24"/>
          <w:szCs w:val="24"/>
        </w:rPr>
        <w:t>строительство</w:t>
      </w:r>
      <w:r w:rsidRPr="00724342">
        <w:rPr>
          <w:rFonts w:eastAsia="Courier New"/>
          <w:b/>
          <w:color w:val="000000"/>
          <w:sz w:val="24"/>
          <w:szCs w:val="24"/>
          <w:lang w:val="en-US"/>
        </w:rPr>
        <w:t xml:space="preserve"> </w:t>
      </w:r>
    </w:p>
    <w:p w:rsidR="00724342" w:rsidRPr="00724342" w:rsidRDefault="00724342" w:rsidP="00724342">
      <w:pPr>
        <w:widowControl w:val="0"/>
        <w:jc w:val="center"/>
        <w:rPr>
          <w:rFonts w:eastAsia="Courier New"/>
          <w:b/>
          <w:color w:val="000000"/>
          <w:sz w:val="24"/>
          <w:szCs w:val="24"/>
          <w:lang w:val="en-US"/>
        </w:rPr>
      </w:pPr>
      <w:r w:rsidRPr="00724342">
        <w:rPr>
          <w:rFonts w:eastAsia="Courier New"/>
          <w:b/>
          <w:color w:val="000000"/>
          <w:sz w:val="24"/>
          <w:szCs w:val="24"/>
          <w:lang w:val="en-US"/>
        </w:rPr>
        <w:t xml:space="preserve">Introduction of Lean-technologies in construction </w:t>
      </w:r>
    </w:p>
    <w:p w:rsidR="00724342" w:rsidRPr="00724342" w:rsidRDefault="00724342" w:rsidP="00724342">
      <w:pPr>
        <w:widowControl w:val="0"/>
        <w:jc w:val="center"/>
        <w:rPr>
          <w:rFonts w:eastAsia="Courier New"/>
          <w:b/>
          <w:color w:val="000000"/>
          <w:sz w:val="22"/>
          <w:szCs w:val="22"/>
          <w:lang w:val="en-US"/>
        </w:rPr>
      </w:pPr>
    </w:p>
    <w:p w:rsidR="00724342" w:rsidRPr="00724342" w:rsidRDefault="00724342" w:rsidP="00724342">
      <w:pPr>
        <w:widowControl w:val="0"/>
        <w:tabs>
          <w:tab w:val="left" w:pos="8223"/>
        </w:tabs>
        <w:jc w:val="right"/>
        <w:rPr>
          <w:rFonts w:eastAsia="Courier New"/>
          <w:color w:val="000000"/>
          <w:sz w:val="22"/>
          <w:szCs w:val="22"/>
        </w:rPr>
      </w:pPr>
      <w:r w:rsidRPr="00724342">
        <w:rPr>
          <w:rFonts w:eastAsia="Courier New"/>
          <w:color w:val="000000"/>
          <w:sz w:val="22"/>
          <w:szCs w:val="22"/>
        </w:rPr>
        <w:t>Латышенко А.</w:t>
      </w:r>
      <w:r w:rsidR="0010381E">
        <w:rPr>
          <w:rFonts w:eastAsia="Courier New"/>
          <w:color w:val="000000"/>
          <w:sz w:val="22"/>
          <w:szCs w:val="22"/>
        </w:rPr>
        <w:t xml:space="preserve"> </w:t>
      </w:r>
      <w:r w:rsidRPr="00724342">
        <w:rPr>
          <w:rFonts w:eastAsia="Courier New"/>
          <w:color w:val="000000"/>
          <w:sz w:val="22"/>
          <w:szCs w:val="22"/>
        </w:rPr>
        <w:t>А.,</w:t>
      </w:r>
    </w:p>
    <w:p w:rsidR="00724342" w:rsidRPr="00724342" w:rsidRDefault="00724342" w:rsidP="00724342">
      <w:pPr>
        <w:widowControl w:val="0"/>
        <w:tabs>
          <w:tab w:val="left" w:pos="8223"/>
        </w:tabs>
        <w:jc w:val="right"/>
        <w:rPr>
          <w:rFonts w:eastAsia="Calibri"/>
          <w:sz w:val="22"/>
          <w:szCs w:val="22"/>
        </w:rPr>
      </w:pPr>
      <w:r w:rsidRPr="00724342">
        <w:rPr>
          <w:rFonts w:eastAsia="Calibri"/>
          <w:sz w:val="22"/>
          <w:szCs w:val="22"/>
        </w:rPr>
        <w:t>студентка 4-го курса экономического факультета,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Литвиненко Г.</w:t>
      </w:r>
      <w:r w:rsidR="0010381E">
        <w:rPr>
          <w:rFonts w:eastAsiaTheme="minorHAnsi"/>
          <w:spacing w:val="-2"/>
          <w:sz w:val="22"/>
          <w:szCs w:val="22"/>
          <w:lang w:eastAsia="en-US"/>
        </w:rPr>
        <w:t xml:space="preserve"> </w:t>
      </w:r>
      <w:r w:rsidRPr="00724342">
        <w:rPr>
          <w:rFonts w:eastAsiaTheme="minorHAnsi"/>
          <w:spacing w:val="-2"/>
          <w:sz w:val="22"/>
          <w:szCs w:val="22"/>
          <w:lang w:eastAsia="en-US"/>
        </w:rPr>
        <w:t xml:space="preserve">Н.,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к. э. н., доцент кафедры организации производства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и инновационной деятельности</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widowControl w:val="0"/>
        <w:tabs>
          <w:tab w:val="left" w:pos="8223"/>
        </w:tabs>
        <w:jc w:val="both"/>
        <w:rPr>
          <w:rFonts w:eastAsia="Courier New"/>
          <w:color w:val="000000"/>
          <w:sz w:val="22"/>
          <w:szCs w:val="22"/>
        </w:rPr>
      </w:pPr>
    </w:p>
    <w:p w:rsidR="00724342" w:rsidRPr="00724342" w:rsidRDefault="00724342" w:rsidP="0010381E">
      <w:pPr>
        <w:widowControl w:val="0"/>
        <w:tabs>
          <w:tab w:val="left" w:pos="8223"/>
        </w:tabs>
        <w:ind w:firstLine="426"/>
        <w:jc w:val="both"/>
        <w:rPr>
          <w:sz w:val="22"/>
          <w:szCs w:val="22"/>
        </w:rPr>
      </w:pPr>
      <w:r w:rsidRPr="00724342">
        <w:rPr>
          <w:rFonts w:eastAsia="Courier New"/>
          <w:color w:val="000000"/>
          <w:sz w:val="22"/>
          <w:szCs w:val="22"/>
        </w:rPr>
        <w:t>АННОТАЦИЯ: Р</w:t>
      </w:r>
      <w:r w:rsidRPr="00724342">
        <w:rPr>
          <w:sz w:val="22"/>
          <w:szCs w:val="22"/>
        </w:rPr>
        <w:t>ассматриваются вопросы специфики внедр</w:t>
      </w:r>
      <w:r w:rsidRPr="00724342">
        <w:rPr>
          <w:sz w:val="22"/>
          <w:szCs w:val="22"/>
        </w:rPr>
        <w:t>е</w:t>
      </w:r>
      <w:r w:rsidRPr="00724342">
        <w:rPr>
          <w:sz w:val="22"/>
          <w:szCs w:val="22"/>
        </w:rPr>
        <w:t xml:space="preserve">ния современных технологий </w:t>
      </w:r>
      <w:r w:rsidRPr="00724342">
        <w:rPr>
          <w:sz w:val="22"/>
          <w:szCs w:val="22"/>
          <w:lang w:val="en-US"/>
        </w:rPr>
        <w:t>d</w:t>
      </w:r>
      <w:r w:rsidRPr="00724342">
        <w:rPr>
          <w:sz w:val="22"/>
          <w:szCs w:val="22"/>
        </w:rPr>
        <w:t xml:space="preserve"> строительную сферу. Исследуются их основные преимущества. Отмечается, что они позволяют в</w:t>
      </w:r>
      <w:r w:rsidRPr="00724342">
        <w:rPr>
          <w:sz w:val="22"/>
          <w:szCs w:val="22"/>
        </w:rPr>
        <w:t>ы</w:t>
      </w:r>
      <w:r w:rsidRPr="00724342">
        <w:rPr>
          <w:sz w:val="22"/>
          <w:szCs w:val="22"/>
        </w:rPr>
        <w:t>явить и устранить расходы, связанные с неэффективной организ</w:t>
      </w:r>
      <w:r w:rsidRPr="00724342">
        <w:rPr>
          <w:sz w:val="22"/>
          <w:szCs w:val="22"/>
        </w:rPr>
        <w:t>а</w:t>
      </w:r>
      <w:r w:rsidRPr="00724342">
        <w:rPr>
          <w:sz w:val="22"/>
          <w:szCs w:val="22"/>
        </w:rPr>
        <w:t>цией, наличием «ненужных» производственных процессов, неэк</w:t>
      </w:r>
      <w:r w:rsidRPr="00724342">
        <w:rPr>
          <w:sz w:val="22"/>
          <w:szCs w:val="22"/>
        </w:rPr>
        <w:t>о</w:t>
      </w:r>
      <w:r w:rsidRPr="00724342">
        <w:rPr>
          <w:sz w:val="22"/>
          <w:szCs w:val="22"/>
        </w:rPr>
        <w:t>номным использованием ресурсов.</w:t>
      </w:r>
    </w:p>
    <w:p w:rsidR="00724342" w:rsidRPr="00724342" w:rsidRDefault="00724342" w:rsidP="0010381E">
      <w:pPr>
        <w:widowControl w:val="0"/>
        <w:tabs>
          <w:tab w:val="left" w:pos="8223"/>
        </w:tabs>
        <w:ind w:firstLine="426"/>
        <w:jc w:val="both"/>
        <w:rPr>
          <w:rFonts w:ascii="Tahoma" w:eastAsia="Courier New" w:hAnsi="Tahoma" w:cs="Tahoma"/>
          <w:color w:val="000000"/>
          <w:sz w:val="22"/>
          <w:szCs w:val="22"/>
          <w:shd w:val="clear" w:color="auto" w:fill="FFFFFF"/>
          <w:lang w:val="en-US"/>
        </w:rPr>
      </w:pPr>
      <w:r w:rsidRPr="00724342">
        <w:rPr>
          <w:rFonts w:eastAsia="Courier New"/>
          <w:color w:val="000000"/>
          <w:sz w:val="22"/>
          <w:szCs w:val="22"/>
          <w:lang w:val="en-US"/>
        </w:rPr>
        <w:t>ABSTRACT:</w:t>
      </w:r>
      <w:r w:rsidRPr="00724342">
        <w:rPr>
          <w:rFonts w:ascii="Courier New" w:eastAsia="Courier New" w:hAnsi="Courier New" w:cs="Courier New"/>
          <w:color w:val="000000"/>
          <w:sz w:val="22"/>
          <w:szCs w:val="22"/>
          <w:shd w:val="clear" w:color="auto" w:fill="FFFFFF"/>
          <w:lang w:val="en-US"/>
        </w:rPr>
        <w:t xml:space="preserve"> </w:t>
      </w:r>
      <w:r w:rsidRPr="00724342">
        <w:rPr>
          <w:rFonts w:eastAsia="Courier New"/>
          <w:color w:val="000000"/>
          <w:sz w:val="22"/>
          <w:szCs w:val="22"/>
          <w:shd w:val="clear" w:color="auto" w:fill="FFFFFF"/>
          <w:lang w:val="en-US"/>
        </w:rPr>
        <w:t>The questions of specificity of introduction of mo</w:t>
      </w:r>
      <w:r w:rsidRPr="00724342">
        <w:rPr>
          <w:rFonts w:eastAsia="Courier New"/>
          <w:color w:val="000000"/>
          <w:sz w:val="22"/>
          <w:szCs w:val="22"/>
          <w:shd w:val="clear" w:color="auto" w:fill="FFFFFF"/>
          <w:lang w:val="en-US"/>
        </w:rPr>
        <w:t>d</w:t>
      </w:r>
      <w:r w:rsidRPr="00724342">
        <w:rPr>
          <w:rFonts w:eastAsia="Courier New"/>
          <w:color w:val="000000"/>
          <w:sz w:val="22"/>
          <w:szCs w:val="22"/>
          <w:shd w:val="clear" w:color="auto" w:fill="FFFFFF"/>
          <w:lang w:val="en-US"/>
        </w:rPr>
        <w:t>ern technologies in the construction sphere are considered. Their main advantages are explored. Notes that they allow to identify and eliminate costs associated with inefficient organization, the presence of «unnece</w:t>
      </w:r>
      <w:r w:rsidRPr="00724342">
        <w:rPr>
          <w:rFonts w:eastAsia="Courier New"/>
          <w:color w:val="000000"/>
          <w:sz w:val="22"/>
          <w:szCs w:val="22"/>
          <w:shd w:val="clear" w:color="auto" w:fill="FFFFFF"/>
          <w:lang w:val="en-US"/>
        </w:rPr>
        <w:t>s</w:t>
      </w:r>
      <w:r w:rsidRPr="00724342">
        <w:rPr>
          <w:rFonts w:eastAsia="Courier New"/>
          <w:color w:val="000000"/>
          <w:sz w:val="22"/>
          <w:szCs w:val="22"/>
          <w:shd w:val="clear" w:color="auto" w:fill="FFFFFF"/>
          <w:lang w:val="en-US"/>
        </w:rPr>
        <w:t>sary» production processes, uneconomical use of resources.</w:t>
      </w:r>
    </w:p>
    <w:p w:rsidR="00724342" w:rsidRPr="00724342" w:rsidRDefault="00724342" w:rsidP="0010381E">
      <w:pPr>
        <w:widowControl w:val="0"/>
        <w:tabs>
          <w:tab w:val="left" w:pos="8223"/>
        </w:tabs>
        <w:ind w:firstLine="426"/>
        <w:jc w:val="both"/>
        <w:rPr>
          <w:rFonts w:eastAsia="Courier New"/>
          <w:color w:val="000000"/>
          <w:sz w:val="22"/>
          <w:szCs w:val="22"/>
        </w:rPr>
      </w:pPr>
      <w:r w:rsidRPr="00724342">
        <w:rPr>
          <w:rFonts w:eastAsia="Courier New"/>
          <w:color w:val="000000"/>
          <w:sz w:val="22"/>
          <w:szCs w:val="22"/>
        </w:rPr>
        <w:t xml:space="preserve">КЛЮЧЕВЫЕ СЛОВА: </w:t>
      </w:r>
      <w:r w:rsidRPr="00724342">
        <w:rPr>
          <w:bCs/>
          <w:sz w:val="22"/>
          <w:szCs w:val="22"/>
        </w:rPr>
        <w:t xml:space="preserve">бережливое производство; </w:t>
      </w:r>
      <w:r w:rsidRPr="00724342">
        <w:rPr>
          <w:bCs/>
          <w:sz w:val="22"/>
          <w:szCs w:val="22"/>
          <w:lang w:val="en-US"/>
        </w:rPr>
        <w:t>Lean</w:t>
      </w:r>
      <w:r w:rsidRPr="00724342">
        <w:rPr>
          <w:bCs/>
          <w:sz w:val="22"/>
          <w:szCs w:val="22"/>
        </w:rPr>
        <w:t xml:space="preserve">-технологии; производственные процессы; </w:t>
      </w:r>
      <w:r w:rsidRPr="00724342">
        <w:rPr>
          <w:sz w:val="22"/>
          <w:szCs w:val="22"/>
        </w:rPr>
        <w:t xml:space="preserve">современные технологии; </w:t>
      </w:r>
      <w:r w:rsidRPr="00724342">
        <w:rPr>
          <w:bCs/>
          <w:sz w:val="22"/>
          <w:szCs w:val="22"/>
        </w:rPr>
        <w:t>строительная сфера.</w:t>
      </w:r>
    </w:p>
    <w:p w:rsidR="00724342" w:rsidRPr="00F972D6" w:rsidRDefault="00724342" w:rsidP="00F972D6">
      <w:pPr>
        <w:widowControl w:val="0"/>
        <w:tabs>
          <w:tab w:val="left" w:pos="8223"/>
        </w:tabs>
        <w:ind w:firstLine="426"/>
        <w:jc w:val="both"/>
        <w:rPr>
          <w:bCs/>
          <w:sz w:val="22"/>
          <w:szCs w:val="22"/>
          <w:lang w:val="en-US"/>
        </w:rPr>
      </w:pPr>
      <w:r w:rsidRPr="00724342">
        <w:rPr>
          <w:rFonts w:eastAsia="Courier New"/>
          <w:color w:val="000000"/>
          <w:sz w:val="22"/>
          <w:szCs w:val="22"/>
          <w:lang w:val="en-US"/>
        </w:rPr>
        <w:t>KEYWORDS:</w:t>
      </w:r>
      <w:r w:rsidRPr="00724342">
        <w:rPr>
          <w:rFonts w:ascii="Courier New" w:eastAsia="Courier New" w:hAnsi="Courier New" w:cs="Courier New"/>
          <w:color w:val="000000"/>
          <w:sz w:val="22"/>
          <w:szCs w:val="22"/>
          <w:shd w:val="clear" w:color="auto" w:fill="FFFFFF"/>
          <w:lang w:val="en-US"/>
        </w:rPr>
        <w:t xml:space="preserve"> </w:t>
      </w:r>
      <w:r w:rsidRPr="00724342">
        <w:rPr>
          <w:sz w:val="22"/>
          <w:szCs w:val="22"/>
          <w:lang w:val="en-US"/>
        </w:rPr>
        <w:t>Lean production</w:t>
      </w:r>
      <w:r w:rsidRPr="00724342">
        <w:rPr>
          <w:bCs/>
          <w:sz w:val="22"/>
          <w:szCs w:val="22"/>
          <w:lang w:val="en-US"/>
        </w:rPr>
        <w:t xml:space="preserve">; Lean-technologies; production processes; </w:t>
      </w:r>
      <w:r w:rsidRPr="00724342">
        <w:rPr>
          <w:sz w:val="22"/>
          <w:szCs w:val="22"/>
          <w:lang w:val="en-US"/>
        </w:rPr>
        <w:t xml:space="preserve">modern technologies; </w:t>
      </w:r>
      <w:r w:rsidRPr="00724342">
        <w:rPr>
          <w:bCs/>
          <w:sz w:val="22"/>
          <w:szCs w:val="22"/>
          <w:lang w:val="en-US"/>
        </w:rPr>
        <w:t>building sphere.</w:t>
      </w:r>
    </w:p>
    <w:p w:rsidR="00724342" w:rsidRPr="00724342" w:rsidRDefault="00724342" w:rsidP="0010381E">
      <w:pPr>
        <w:autoSpaceDE w:val="0"/>
        <w:autoSpaceDN w:val="0"/>
        <w:adjustRightInd w:val="0"/>
        <w:ind w:firstLine="426"/>
        <w:jc w:val="both"/>
        <w:rPr>
          <w:rFonts w:eastAsia="Courier New"/>
          <w:color w:val="000000"/>
          <w:sz w:val="22"/>
          <w:szCs w:val="22"/>
        </w:rPr>
      </w:pPr>
      <w:r w:rsidRPr="00724342">
        <w:rPr>
          <w:sz w:val="22"/>
          <w:szCs w:val="22"/>
          <w:lang w:val="en-US"/>
        </w:rPr>
        <w:t>Lean</w:t>
      </w:r>
      <w:r w:rsidRPr="00724342">
        <w:rPr>
          <w:sz w:val="22"/>
          <w:szCs w:val="22"/>
        </w:rPr>
        <w:t>-технологии (технологии бережливого производства) представляют собой комплекс методов и средств, позволяющих о</w:t>
      </w:r>
      <w:r w:rsidRPr="00724342">
        <w:rPr>
          <w:sz w:val="22"/>
          <w:szCs w:val="22"/>
        </w:rPr>
        <w:t>р</w:t>
      </w:r>
      <w:r w:rsidRPr="00724342">
        <w:rPr>
          <w:sz w:val="22"/>
          <w:szCs w:val="22"/>
        </w:rPr>
        <w:t>ганизовать производственный процесс таким образом, чтобы обе</w:t>
      </w:r>
      <w:r w:rsidRPr="00724342">
        <w:rPr>
          <w:sz w:val="22"/>
          <w:szCs w:val="22"/>
        </w:rPr>
        <w:t>с</w:t>
      </w:r>
      <w:r w:rsidRPr="00724342">
        <w:rPr>
          <w:sz w:val="22"/>
          <w:szCs w:val="22"/>
        </w:rPr>
        <w:t xml:space="preserve">печивалось производство большего объема продукции или услуг при меньших усилиях, на меньших производственных площадях и оборудовании при полном удовлетворении ожиданий потребителя [3]. Наиболее важной чертой </w:t>
      </w:r>
      <w:r w:rsidRPr="00724342">
        <w:rPr>
          <w:sz w:val="22"/>
          <w:szCs w:val="22"/>
          <w:lang w:val="en-US"/>
        </w:rPr>
        <w:t>Lean</w:t>
      </w:r>
      <w:r w:rsidRPr="00724342">
        <w:rPr>
          <w:sz w:val="22"/>
          <w:szCs w:val="22"/>
        </w:rPr>
        <w:t>-технологий является их напра</w:t>
      </w:r>
      <w:r w:rsidRPr="00724342">
        <w:rPr>
          <w:sz w:val="22"/>
          <w:szCs w:val="22"/>
        </w:rPr>
        <w:t>в</w:t>
      </w:r>
      <w:r w:rsidRPr="00724342">
        <w:rPr>
          <w:sz w:val="22"/>
          <w:szCs w:val="22"/>
        </w:rPr>
        <w:t xml:space="preserve">ленность на снижение стоимости производства за счет снижения </w:t>
      </w:r>
      <w:r w:rsidRPr="00724342">
        <w:rPr>
          <w:sz w:val="22"/>
          <w:szCs w:val="22"/>
        </w:rPr>
        <w:lastRenderedPageBreak/>
        <w:t xml:space="preserve">расходов, без потери стоимости и качества работы. Иными словами, важнейшими принципами реализации </w:t>
      </w:r>
      <w:r w:rsidRPr="00724342">
        <w:rPr>
          <w:sz w:val="22"/>
          <w:szCs w:val="22"/>
          <w:lang w:val="en-US"/>
        </w:rPr>
        <w:t>Lean</w:t>
      </w:r>
      <w:r w:rsidRPr="00724342">
        <w:rPr>
          <w:sz w:val="22"/>
          <w:szCs w:val="22"/>
        </w:rPr>
        <w:t>-технологий являются устранение всех возможных потерь, а также формирование проце</w:t>
      </w:r>
      <w:r w:rsidRPr="00724342">
        <w:rPr>
          <w:sz w:val="22"/>
          <w:szCs w:val="22"/>
        </w:rPr>
        <w:t>с</w:t>
      </w:r>
      <w:r w:rsidRPr="00724342">
        <w:rPr>
          <w:sz w:val="22"/>
          <w:szCs w:val="22"/>
        </w:rPr>
        <w:t>сов внутри предприятия.</w:t>
      </w:r>
    </w:p>
    <w:p w:rsidR="00724342" w:rsidRPr="00724342" w:rsidRDefault="00724342" w:rsidP="0010381E">
      <w:pPr>
        <w:autoSpaceDE w:val="0"/>
        <w:autoSpaceDN w:val="0"/>
        <w:adjustRightInd w:val="0"/>
        <w:ind w:firstLine="426"/>
        <w:jc w:val="both"/>
        <w:rPr>
          <w:sz w:val="22"/>
          <w:szCs w:val="22"/>
        </w:rPr>
      </w:pPr>
      <w:r w:rsidRPr="00724342">
        <w:rPr>
          <w:sz w:val="22"/>
          <w:szCs w:val="22"/>
        </w:rPr>
        <w:t xml:space="preserve">Сегодня технологии бережливого производства внедряются в различные сферы деятельности: электронную промышленность, авиапром, автопром, цветную металлургию, фармацевтическую промышленность, производство потребительских товаров и т.д. [1]. В последние годы </w:t>
      </w:r>
      <w:r w:rsidRPr="00724342">
        <w:rPr>
          <w:sz w:val="22"/>
          <w:szCs w:val="22"/>
          <w:lang w:val="en-US"/>
        </w:rPr>
        <w:t>Lean</w:t>
      </w:r>
      <w:r w:rsidRPr="00724342">
        <w:rPr>
          <w:sz w:val="22"/>
          <w:szCs w:val="22"/>
        </w:rPr>
        <w:t>-технологии стали использоваться в стро</w:t>
      </w:r>
      <w:r w:rsidRPr="00724342">
        <w:rPr>
          <w:sz w:val="22"/>
          <w:szCs w:val="22"/>
        </w:rPr>
        <w:t>и</w:t>
      </w:r>
      <w:r w:rsidRPr="00724342">
        <w:rPr>
          <w:sz w:val="22"/>
          <w:szCs w:val="22"/>
        </w:rPr>
        <w:t>тельной сфере: это касается всех этапов строительного цикла. Так</w:t>
      </w:r>
      <w:r w:rsidRPr="00724342">
        <w:rPr>
          <w:sz w:val="22"/>
          <w:szCs w:val="22"/>
        </w:rPr>
        <w:t>о</w:t>
      </w:r>
      <w:r w:rsidRPr="00724342">
        <w:rPr>
          <w:sz w:val="22"/>
          <w:szCs w:val="22"/>
        </w:rPr>
        <w:t>го рода технологии позволяют совершенствовать практически ка</w:t>
      </w:r>
      <w:r w:rsidRPr="00724342">
        <w:rPr>
          <w:sz w:val="22"/>
          <w:szCs w:val="22"/>
        </w:rPr>
        <w:t>ж</w:t>
      </w:r>
      <w:r w:rsidRPr="00724342">
        <w:rPr>
          <w:sz w:val="22"/>
          <w:szCs w:val="22"/>
        </w:rPr>
        <w:t>дый участок работ, вовлекая, тем самым, весь персонал предпри</w:t>
      </w:r>
      <w:r w:rsidRPr="00724342">
        <w:rPr>
          <w:sz w:val="22"/>
          <w:szCs w:val="22"/>
        </w:rPr>
        <w:t>я</w:t>
      </w:r>
      <w:r w:rsidRPr="00724342">
        <w:rPr>
          <w:sz w:val="22"/>
          <w:szCs w:val="22"/>
        </w:rPr>
        <w:t xml:space="preserve">тия в процесс решения задач по улучшению условий их трудовой деятельности. Анализируя выполнение определенных операций в отдельности, могут быть обнаружены те или иные недостатки [2]. </w:t>
      </w:r>
    </w:p>
    <w:p w:rsidR="00724342" w:rsidRPr="00724342" w:rsidRDefault="00724342" w:rsidP="0010381E">
      <w:pPr>
        <w:autoSpaceDE w:val="0"/>
        <w:autoSpaceDN w:val="0"/>
        <w:adjustRightInd w:val="0"/>
        <w:ind w:firstLine="426"/>
        <w:jc w:val="both"/>
        <w:rPr>
          <w:iCs/>
          <w:sz w:val="22"/>
          <w:szCs w:val="22"/>
        </w:rPr>
      </w:pPr>
      <w:r w:rsidRPr="00724342">
        <w:rPr>
          <w:sz w:val="22"/>
          <w:szCs w:val="22"/>
        </w:rPr>
        <w:t xml:space="preserve">Анализ деятельности </w:t>
      </w:r>
      <w:r w:rsidRPr="00724342">
        <w:rPr>
          <w:rFonts w:eastAsia="Courier New"/>
          <w:color w:val="000000"/>
          <w:sz w:val="22"/>
          <w:szCs w:val="22"/>
        </w:rPr>
        <w:t xml:space="preserve">ООО СПК «Мега-Проф» показал, что предприятие имеет определенные недостатки, </w:t>
      </w:r>
      <w:r w:rsidRPr="00724342">
        <w:rPr>
          <w:sz w:val="22"/>
          <w:szCs w:val="22"/>
        </w:rPr>
        <w:t xml:space="preserve">так называемые </w:t>
      </w:r>
      <w:r w:rsidRPr="00724342">
        <w:rPr>
          <w:iCs/>
          <w:sz w:val="22"/>
          <w:szCs w:val="22"/>
        </w:rPr>
        <w:t xml:space="preserve">симптомы операционного дефицита. </w:t>
      </w:r>
      <w:r w:rsidRPr="00724342">
        <w:rPr>
          <w:sz w:val="22"/>
          <w:szCs w:val="22"/>
        </w:rPr>
        <w:t>Данные особенности указыв</w:t>
      </w:r>
      <w:r w:rsidRPr="00724342">
        <w:rPr>
          <w:sz w:val="22"/>
          <w:szCs w:val="22"/>
        </w:rPr>
        <w:t>а</w:t>
      </w:r>
      <w:r w:rsidRPr="00724342">
        <w:rPr>
          <w:sz w:val="22"/>
          <w:szCs w:val="22"/>
        </w:rPr>
        <w:t xml:space="preserve">ют на явную необходимость внедрения </w:t>
      </w:r>
      <w:r w:rsidRPr="00724342">
        <w:rPr>
          <w:sz w:val="22"/>
          <w:szCs w:val="22"/>
          <w:lang w:val="en-US"/>
        </w:rPr>
        <w:t>Lean</w:t>
      </w:r>
      <w:r w:rsidRPr="00724342">
        <w:rPr>
          <w:sz w:val="22"/>
          <w:szCs w:val="22"/>
        </w:rPr>
        <w:t>-технологий на прои</w:t>
      </w:r>
      <w:r w:rsidRPr="00724342">
        <w:rPr>
          <w:sz w:val="22"/>
          <w:szCs w:val="22"/>
        </w:rPr>
        <w:t>з</w:t>
      </w:r>
      <w:r w:rsidRPr="00724342">
        <w:rPr>
          <w:sz w:val="22"/>
          <w:szCs w:val="22"/>
        </w:rPr>
        <w:t>водство [5].</w:t>
      </w:r>
    </w:p>
    <w:p w:rsidR="00724342" w:rsidRPr="00724342" w:rsidRDefault="00724342" w:rsidP="0010381E">
      <w:pPr>
        <w:autoSpaceDE w:val="0"/>
        <w:autoSpaceDN w:val="0"/>
        <w:adjustRightInd w:val="0"/>
        <w:ind w:firstLine="426"/>
        <w:jc w:val="both"/>
        <w:rPr>
          <w:sz w:val="22"/>
          <w:szCs w:val="22"/>
        </w:rPr>
      </w:pPr>
      <w:r w:rsidRPr="00724342">
        <w:rPr>
          <w:sz w:val="22"/>
          <w:szCs w:val="22"/>
        </w:rPr>
        <w:t>В производственных процессах особое значение отводится оперативному перемещению материалов. Устаревший подход к MPR (планированию потребностей в материалах), который испол</w:t>
      </w:r>
      <w:r w:rsidRPr="00724342">
        <w:rPr>
          <w:sz w:val="22"/>
          <w:szCs w:val="22"/>
        </w:rPr>
        <w:t>ь</w:t>
      </w:r>
      <w:r w:rsidRPr="00724342">
        <w:rPr>
          <w:sz w:val="22"/>
          <w:szCs w:val="22"/>
        </w:rPr>
        <w:t>зуется в ООО СПК «Мега-Проф», подразумевает слишком частое перемещение материалов на склад, что, в свою очередь, вызывает ряд «трудностей производственного характера». С целью более э</w:t>
      </w:r>
      <w:r w:rsidRPr="00724342">
        <w:rPr>
          <w:sz w:val="22"/>
          <w:szCs w:val="22"/>
        </w:rPr>
        <w:t>ф</w:t>
      </w:r>
      <w:r w:rsidRPr="00724342">
        <w:rPr>
          <w:sz w:val="22"/>
          <w:szCs w:val="22"/>
        </w:rPr>
        <w:t>фективной организации перемещения материалов следует испол</w:t>
      </w:r>
      <w:r w:rsidRPr="00724342">
        <w:rPr>
          <w:sz w:val="22"/>
          <w:szCs w:val="22"/>
        </w:rPr>
        <w:t>ь</w:t>
      </w:r>
      <w:r w:rsidRPr="00724342">
        <w:rPr>
          <w:sz w:val="22"/>
          <w:szCs w:val="22"/>
        </w:rPr>
        <w:t xml:space="preserve">зовать специальные системы на базе </w:t>
      </w:r>
      <w:r w:rsidRPr="00724342">
        <w:rPr>
          <w:sz w:val="22"/>
          <w:szCs w:val="22"/>
          <w:lang w:val="en-US"/>
        </w:rPr>
        <w:t>Lean</w:t>
      </w:r>
      <w:r w:rsidRPr="00724342">
        <w:rPr>
          <w:sz w:val="22"/>
          <w:szCs w:val="22"/>
        </w:rPr>
        <w:t>-технологий. Такие сист</w:t>
      </w:r>
      <w:r w:rsidRPr="00724342">
        <w:rPr>
          <w:sz w:val="22"/>
          <w:szCs w:val="22"/>
        </w:rPr>
        <w:t>е</w:t>
      </w:r>
      <w:r w:rsidRPr="00724342">
        <w:rPr>
          <w:sz w:val="22"/>
          <w:szCs w:val="22"/>
        </w:rPr>
        <w:t xml:space="preserve">мы способны обеспечить пополнение запасов, в соответствии с </w:t>
      </w:r>
      <w:r w:rsidRPr="00724342">
        <w:rPr>
          <w:iCs/>
          <w:sz w:val="22"/>
          <w:szCs w:val="22"/>
        </w:rPr>
        <w:t>фактическими темпами их расходования [5]</w:t>
      </w:r>
      <w:r w:rsidRPr="00724342">
        <w:rPr>
          <w:sz w:val="22"/>
          <w:szCs w:val="22"/>
        </w:rPr>
        <w:t xml:space="preserve">. </w:t>
      </w:r>
    </w:p>
    <w:p w:rsidR="00724342" w:rsidRPr="00724342" w:rsidRDefault="00724342" w:rsidP="0010381E">
      <w:pPr>
        <w:autoSpaceDE w:val="0"/>
        <w:autoSpaceDN w:val="0"/>
        <w:adjustRightInd w:val="0"/>
        <w:ind w:firstLine="426"/>
        <w:jc w:val="both"/>
        <w:rPr>
          <w:sz w:val="22"/>
          <w:szCs w:val="22"/>
        </w:rPr>
      </w:pPr>
      <w:r w:rsidRPr="00724342">
        <w:rPr>
          <w:sz w:val="22"/>
          <w:szCs w:val="22"/>
        </w:rPr>
        <w:t xml:space="preserve">Внедрение </w:t>
      </w:r>
      <w:r w:rsidRPr="00724342">
        <w:rPr>
          <w:sz w:val="22"/>
          <w:szCs w:val="22"/>
          <w:lang w:val="en-US"/>
        </w:rPr>
        <w:t>Lean</w:t>
      </w:r>
      <w:r w:rsidRPr="00724342">
        <w:rPr>
          <w:sz w:val="22"/>
          <w:szCs w:val="22"/>
        </w:rPr>
        <w:t>-технологий в строительную сферу позволяет выявить и устранить расходы, связанные с неэффективной орган</w:t>
      </w:r>
      <w:r w:rsidRPr="00724342">
        <w:rPr>
          <w:sz w:val="22"/>
          <w:szCs w:val="22"/>
        </w:rPr>
        <w:t>и</w:t>
      </w:r>
      <w:r w:rsidRPr="00724342">
        <w:rPr>
          <w:sz w:val="22"/>
          <w:szCs w:val="22"/>
        </w:rPr>
        <w:t>зацией перевозок, наличием «ненужных» и неэффективных прои</w:t>
      </w:r>
      <w:r w:rsidRPr="00724342">
        <w:rPr>
          <w:sz w:val="22"/>
          <w:szCs w:val="22"/>
        </w:rPr>
        <w:t>з</w:t>
      </w:r>
      <w:r w:rsidRPr="00724342">
        <w:rPr>
          <w:sz w:val="22"/>
          <w:szCs w:val="22"/>
        </w:rPr>
        <w:t xml:space="preserve">водственных процессов и просто потерей времени </w:t>
      </w:r>
      <w:r w:rsidRPr="00724342">
        <w:rPr>
          <w:iCs/>
          <w:sz w:val="22"/>
          <w:szCs w:val="22"/>
        </w:rPr>
        <w:t>[</w:t>
      </w:r>
      <w:r w:rsidRPr="00724342">
        <w:rPr>
          <w:sz w:val="22"/>
          <w:szCs w:val="22"/>
        </w:rPr>
        <w:t>4</w:t>
      </w:r>
      <w:r w:rsidRPr="00724342">
        <w:rPr>
          <w:iCs/>
          <w:sz w:val="22"/>
          <w:szCs w:val="22"/>
        </w:rPr>
        <w:t>]</w:t>
      </w:r>
      <w:r w:rsidRPr="00724342">
        <w:rPr>
          <w:sz w:val="22"/>
          <w:szCs w:val="22"/>
        </w:rPr>
        <w:t>. На базе те</w:t>
      </w:r>
      <w:r w:rsidRPr="00724342">
        <w:rPr>
          <w:sz w:val="22"/>
          <w:szCs w:val="22"/>
        </w:rPr>
        <w:t>х</w:t>
      </w:r>
      <w:r w:rsidRPr="00724342">
        <w:rPr>
          <w:sz w:val="22"/>
          <w:szCs w:val="22"/>
        </w:rPr>
        <w:t>нологий бережливого производства любое строительное предпри</w:t>
      </w:r>
      <w:r w:rsidRPr="00724342">
        <w:rPr>
          <w:sz w:val="22"/>
          <w:szCs w:val="22"/>
        </w:rPr>
        <w:t>я</w:t>
      </w:r>
      <w:r w:rsidRPr="00724342">
        <w:rPr>
          <w:sz w:val="22"/>
          <w:szCs w:val="22"/>
        </w:rPr>
        <w:t>тие, в т.ч. и ООО СПК «Мега-Проф», может создать сбалансир</w:t>
      </w:r>
      <w:r w:rsidRPr="00724342">
        <w:rPr>
          <w:sz w:val="22"/>
          <w:szCs w:val="22"/>
        </w:rPr>
        <w:t>о</w:t>
      </w:r>
      <w:r w:rsidRPr="00724342">
        <w:rPr>
          <w:sz w:val="22"/>
          <w:szCs w:val="22"/>
        </w:rPr>
        <w:t xml:space="preserve">ванный график работы строительного персонала, внедрить систему вытягивания, которая предполагает начало очередной операции </w:t>
      </w:r>
      <w:r w:rsidRPr="00724342">
        <w:rPr>
          <w:sz w:val="22"/>
          <w:szCs w:val="22"/>
        </w:rPr>
        <w:lastRenderedPageBreak/>
        <w:t>лишь по мере завершения предыдущей, а также определять ценн</w:t>
      </w:r>
      <w:r w:rsidRPr="00724342">
        <w:rPr>
          <w:sz w:val="22"/>
          <w:szCs w:val="22"/>
        </w:rPr>
        <w:t>о</w:t>
      </w:r>
      <w:r w:rsidRPr="00724342">
        <w:rPr>
          <w:sz w:val="22"/>
          <w:szCs w:val="22"/>
        </w:rPr>
        <w:t>сти на каждом этапе работ (оценивать каждое задание и задачу для выяснения, какую дополнительную ценность она создает для п</w:t>
      </w:r>
      <w:r w:rsidRPr="00724342">
        <w:rPr>
          <w:sz w:val="22"/>
          <w:szCs w:val="22"/>
        </w:rPr>
        <w:t>о</w:t>
      </w:r>
      <w:r w:rsidRPr="00724342">
        <w:rPr>
          <w:sz w:val="22"/>
          <w:szCs w:val="22"/>
        </w:rPr>
        <w:t>требителя) и т.д.</w:t>
      </w:r>
    </w:p>
    <w:p w:rsidR="00724342" w:rsidRPr="00724342" w:rsidRDefault="00724342" w:rsidP="0010381E">
      <w:pPr>
        <w:autoSpaceDE w:val="0"/>
        <w:autoSpaceDN w:val="0"/>
        <w:adjustRightInd w:val="0"/>
        <w:ind w:firstLine="426"/>
        <w:jc w:val="both"/>
        <w:rPr>
          <w:sz w:val="22"/>
          <w:szCs w:val="22"/>
        </w:rPr>
      </w:pPr>
      <w:r w:rsidRPr="00724342">
        <w:rPr>
          <w:sz w:val="22"/>
          <w:szCs w:val="22"/>
        </w:rPr>
        <w:t xml:space="preserve">Таким образом, преимущества внедрения </w:t>
      </w:r>
      <w:r w:rsidRPr="00724342">
        <w:rPr>
          <w:sz w:val="22"/>
          <w:szCs w:val="22"/>
          <w:lang w:val="en-US"/>
        </w:rPr>
        <w:t>Lean</w:t>
      </w:r>
      <w:r w:rsidRPr="00724342">
        <w:rPr>
          <w:sz w:val="22"/>
          <w:szCs w:val="22"/>
        </w:rPr>
        <w:t>-технологий оч</w:t>
      </w:r>
      <w:r w:rsidRPr="00724342">
        <w:rPr>
          <w:sz w:val="22"/>
          <w:szCs w:val="22"/>
        </w:rPr>
        <w:t>е</w:t>
      </w:r>
      <w:r w:rsidRPr="00724342">
        <w:rPr>
          <w:sz w:val="22"/>
          <w:szCs w:val="22"/>
        </w:rPr>
        <w:t>видны, кроме всего прочего они способствуют формированию ос</w:t>
      </w:r>
      <w:r w:rsidRPr="00724342">
        <w:rPr>
          <w:sz w:val="22"/>
          <w:szCs w:val="22"/>
        </w:rPr>
        <w:t>о</w:t>
      </w:r>
      <w:r w:rsidRPr="00724342">
        <w:rPr>
          <w:sz w:val="22"/>
          <w:szCs w:val="22"/>
        </w:rPr>
        <w:t>бой бизнес-культуры, которая предполагает взаимное решение тех или иных проблем, расширение возможностей, а также поощрение всех участников производственных процессов вносить вклад в «о</w:t>
      </w:r>
      <w:r w:rsidRPr="00724342">
        <w:rPr>
          <w:sz w:val="22"/>
          <w:szCs w:val="22"/>
        </w:rPr>
        <w:t>б</w:t>
      </w:r>
      <w:r w:rsidRPr="00724342">
        <w:rPr>
          <w:sz w:val="22"/>
          <w:szCs w:val="22"/>
        </w:rPr>
        <w:t>щее» дело.</w:t>
      </w:r>
    </w:p>
    <w:p w:rsidR="00724342" w:rsidRPr="00724342" w:rsidRDefault="00724342" w:rsidP="0010381E">
      <w:pPr>
        <w:widowControl w:val="0"/>
        <w:autoSpaceDE w:val="0"/>
        <w:autoSpaceDN w:val="0"/>
        <w:adjustRightInd w:val="0"/>
        <w:ind w:firstLine="426"/>
        <w:jc w:val="center"/>
        <w:rPr>
          <w:rFonts w:eastAsia="Calibri" w:cs="Arial"/>
          <w:color w:val="000000"/>
          <w:sz w:val="22"/>
          <w:szCs w:val="22"/>
        </w:rPr>
      </w:pPr>
    </w:p>
    <w:p w:rsidR="00724342" w:rsidRPr="00724342" w:rsidRDefault="00724342" w:rsidP="0010381E">
      <w:pPr>
        <w:widowControl w:val="0"/>
        <w:autoSpaceDE w:val="0"/>
        <w:autoSpaceDN w:val="0"/>
        <w:adjustRightInd w:val="0"/>
        <w:ind w:firstLine="426"/>
        <w:jc w:val="center"/>
        <w:rPr>
          <w:rFonts w:eastAsia="Calibri" w:cs="Arial"/>
          <w:color w:val="000000"/>
          <w:sz w:val="22"/>
          <w:szCs w:val="22"/>
        </w:rPr>
      </w:pPr>
      <w:r w:rsidRPr="00724342">
        <w:rPr>
          <w:rFonts w:eastAsia="Calibri" w:cs="Arial"/>
          <w:color w:val="000000"/>
          <w:sz w:val="22"/>
          <w:szCs w:val="22"/>
        </w:rPr>
        <w:t>Список литературы</w:t>
      </w:r>
    </w:p>
    <w:p w:rsidR="00724342" w:rsidRPr="00724342" w:rsidRDefault="00724342" w:rsidP="0010381E">
      <w:pPr>
        <w:widowControl w:val="0"/>
        <w:autoSpaceDE w:val="0"/>
        <w:autoSpaceDN w:val="0"/>
        <w:adjustRightInd w:val="0"/>
        <w:ind w:firstLine="426"/>
        <w:jc w:val="both"/>
        <w:rPr>
          <w:sz w:val="22"/>
          <w:szCs w:val="22"/>
        </w:rPr>
      </w:pPr>
      <w:r w:rsidRPr="00724342">
        <w:rPr>
          <w:sz w:val="22"/>
          <w:szCs w:val="22"/>
        </w:rPr>
        <w:t>1. Волошина И.М. Резервы роста производительности труда -необходимое условие эффективности производства/</w:t>
      </w:r>
      <w:hyperlink r:id="rId286" w:history="1">
        <w:r w:rsidRPr="00724342">
          <w:rPr>
            <w:sz w:val="22"/>
            <w:szCs w:val="22"/>
          </w:rPr>
          <w:t>И.М. Волош</w:t>
        </w:r>
        <w:r w:rsidRPr="00724342">
          <w:rPr>
            <w:sz w:val="22"/>
            <w:szCs w:val="22"/>
          </w:rPr>
          <w:t>и</w:t>
        </w:r>
        <w:r w:rsidRPr="00724342">
          <w:rPr>
            <w:sz w:val="22"/>
            <w:szCs w:val="22"/>
          </w:rPr>
          <w:t>на</w:t>
        </w:r>
      </w:hyperlink>
      <w:r w:rsidRPr="00724342">
        <w:rPr>
          <w:sz w:val="22"/>
          <w:szCs w:val="22"/>
        </w:rPr>
        <w:t>, </w:t>
      </w:r>
      <w:hyperlink r:id="rId287" w:history="1">
        <w:r w:rsidRPr="00724342">
          <w:rPr>
            <w:sz w:val="22"/>
            <w:szCs w:val="22"/>
          </w:rPr>
          <w:t>Т.В. Метельская</w:t>
        </w:r>
      </w:hyperlink>
      <w:r w:rsidRPr="00724342">
        <w:rPr>
          <w:sz w:val="22"/>
          <w:szCs w:val="22"/>
        </w:rPr>
        <w:t>, Г.Н. Литвиненко//Материалы Междунар. (з</w:t>
      </w:r>
      <w:r w:rsidRPr="00724342">
        <w:rPr>
          <w:sz w:val="22"/>
          <w:szCs w:val="22"/>
        </w:rPr>
        <w:t>а</w:t>
      </w:r>
      <w:r w:rsidRPr="00724342">
        <w:rPr>
          <w:sz w:val="22"/>
          <w:szCs w:val="22"/>
        </w:rPr>
        <w:t>очной) науч.-практич. конф. «Наука и образование на современном этапе развития: опыт, проблемы и пути их решения» (Нефтекамск, 01.02.2017 г.). Научное (непериодическое) электронное издание. Под общей редакцией А.И. Вострецова. 2017. С. 128-132.</w:t>
      </w:r>
    </w:p>
    <w:p w:rsidR="00724342" w:rsidRPr="00724342" w:rsidRDefault="00724342" w:rsidP="0010381E">
      <w:pPr>
        <w:widowControl w:val="0"/>
        <w:autoSpaceDE w:val="0"/>
        <w:autoSpaceDN w:val="0"/>
        <w:adjustRightInd w:val="0"/>
        <w:ind w:firstLine="426"/>
        <w:jc w:val="both"/>
        <w:rPr>
          <w:sz w:val="22"/>
          <w:szCs w:val="22"/>
        </w:rPr>
      </w:pPr>
      <w:r w:rsidRPr="00724342">
        <w:rPr>
          <w:sz w:val="22"/>
          <w:szCs w:val="22"/>
        </w:rPr>
        <w:t>2. Данилова С.Ю. Применение инструментов «бережливого производства» в оценке процесса транспортировки предприятий с непрерывным циклом производства / С.Ю. Данилова // Экономич</w:t>
      </w:r>
      <w:r w:rsidRPr="00724342">
        <w:rPr>
          <w:sz w:val="22"/>
          <w:szCs w:val="22"/>
        </w:rPr>
        <w:t>е</w:t>
      </w:r>
      <w:r w:rsidRPr="00724342">
        <w:rPr>
          <w:sz w:val="22"/>
          <w:szCs w:val="22"/>
        </w:rPr>
        <w:t>ские науки, 2014. – №116. – С. 73-78.</w:t>
      </w:r>
    </w:p>
    <w:p w:rsidR="00724342" w:rsidRPr="00724342" w:rsidRDefault="00724342" w:rsidP="0010381E">
      <w:pPr>
        <w:widowControl w:val="0"/>
        <w:autoSpaceDE w:val="0"/>
        <w:autoSpaceDN w:val="0"/>
        <w:adjustRightInd w:val="0"/>
        <w:ind w:firstLine="426"/>
        <w:jc w:val="both"/>
        <w:rPr>
          <w:rFonts w:eastAsia="Calibri"/>
          <w:sz w:val="22"/>
          <w:szCs w:val="22"/>
        </w:rPr>
      </w:pPr>
      <w:r w:rsidRPr="00724342">
        <w:rPr>
          <w:sz w:val="22"/>
          <w:szCs w:val="22"/>
        </w:rPr>
        <w:t>3. Кожабаева Н.М. Анализ методик внедрения принципов б</w:t>
      </w:r>
      <w:r w:rsidRPr="00724342">
        <w:rPr>
          <w:sz w:val="22"/>
          <w:szCs w:val="22"/>
        </w:rPr>
        <w:t>е</w:t>
      </w:r>
      <w:r w:rsidRPr="00724342">
        <w:rPr>
          <w:sz w:val="22"/>
          <w:szCs w:val="22"/>
        </w:rPr>
        <w:t>режливого производства. Алгоритм внедрения по Джеймсу Вумеку / Н.М. Кожабаева // Российское предпринимательство, 2011. – №8. – С. 62-68</w:t>
      </w:r>
    </w:p>
    <w:p w:rsidR="00724342" w:rsidRPr="00724342" w:rsidRDefault="00724342" w:rsidP="0010381E">
      <w:pPr>
        <w:widowControl w:val="0"/>
        <w:autoSpaceDE w:val="0"/>
        <w:autoSpaceDN w:val="0"/>
        <w:adjustRightInd w:val="0"/>
        <w:ind w:firstLine="426"/>
        <w:jc w:val="both"/>
        <w:rPr>
          <w:sz w:val="22"/>
          <w:szCs w:val="22"/>
        </w:rPr>
      </w:pPr>
      <w:r w:rsidRPr="00724342">
        <w:rPr>
          <w:sz w:val="22"/>
          <w:szCs w:val="22"/>
        </w:rPr>
        <w:t xml:space="preserve">4. Литвиненко Г.Н. </w:t>
      </w:r>
      <w:hyperlink r:id="rId288" w:history="1">
        <w:r w:rsidRPr="00724342">
          <w:rPr>
            <w:sz w:val="22"/>
            <w:szCs w:val="22"/>
          </w:rPr>
          <w:t>Внедрение lean-технологий как метод п</w:t>
        </w:r>
        <w:r w:rsidRPr="00724342">
          <w:rPr>
            <w:sz w:val="22"/>
            <w:szCs w:val="22"/>
          </w:rPr>
          <w:t>о</w:t>
        </w:r>
        <w:r w:rsidRPr="00724342">
          <w:rPr>
            <w:sz w:val="22"/>
            <w:szCs w:val="22"/>
          </w:rPr>
          <w:t>вышения эффективности производства</w:t>
        </w:r>
      </w:hyperlink>
      <w:r w:rsidRPr="00724342">
        <w:rPr>
          <w:sz w:val="22"/>
          <w:szCs w:val="22"/>
        </w:rPr>
        <w:t>/Г. Н. Литвиненко, Л. Ю. Б</w:t>
      </w:r>
      <w:r w:rsidRPr="00724342">
        <w:rPr>
          <w:sz w:val="22"/>
          <w:szCs w:val="22"/>
        </w:rPr>
        <w:t>о</w:t>
      </w:r>
      <w:r w:rsidRPr="00724342">
        <w:rPr>
          <w:sz w:val="22"/>
          <w:szCs w:val="22"/>
        </w:rPr>
        <w:t>гинович, А.А. Латышенко //</w:t>
      </w:r>
      <w:hyperlink r:id="rId289" w:history="1">
        <w:r w:rsidRPr="00724342">
          <w:rPr>
            <w:sz w:val="22"/>
            <w:szCs w:val="22"/>
          </w:rPr>
          <w:t>Экономика и предпринимательство</w:t>
        </w:r>
      </w:hyperlink>
      <w:r w:rsidRPr="00724342">
        <w:rPr>
          <w:sz w:val="22"/>
          <w:szCs w:val="22"/>
        </w:rPr>
        <w:t>. 2017. </w:t>
      </w:r>
      <w:hyperlink r:id="rId290" w:history="1">
        <w:r w:rsidRPr="00724342">
          <w:rPr>
            <w:sz w:val="22"/>
            <w:szCs w:val="22"/>
          </w:rPr>
          <w:t>№ 12-1 (89-1)</w:t>
        </w:r>
      </w:hyperlink>
      <w:r w:rsidRPr="00724342">
        <w:rPr>
          <w:sz w:val="22"/>
          <w:szCs w:val="22"/>
        </w:rPr>
        <w:t>. С. 854-858.</w:t>
      </w:r>
    </w:p>
    <w:p w:rsidR="00724342" w:rsidRPr="00724342" w:rsidRDefault="00724342" w:rsidP="0010381E">
      <w:pPr>
        <w:widowControl w:val="0"/>
        <w:autoSpaceDE w:val="0"/>
        <w:autoSpaceDN w:val="0"/>
        <w:adjustRightInd w:val="0"/>
        <w:ind w:firstLine="426"/>
        <w:jc w:val="both"/>
        <w:rPr>
          <w:sz w:val="22"/>
          <w:szCs w:val="22"/>
        </w:rPr>
      </w:pPr>
      <w:r w:rsidRPr="00724342">
        <w:rPr>
          <w:sz w:val="22"/>
          <w:szCs w:val="22"/>
        </w:rPr>
        <w:t>5. Соколова А. П. Управление рисками производственной де</w:t>
      </w:r>
      <w:r w:rsidRPr="00724342">
        <w:rPr>
          <w:sz w:val="22"/>
          <w:szCs w:val="22"/>
        </w:rPr>
        <w:t>я</w:t>
      </w:r>
      <w:r w:rsidRPr="00724342">
        <w:rPr>
          <w:sz w:val="22"/>
          <w:szCs w:val="22"/>
        </w:rPr>
        <w:t>тельности в аграрном секторе экономики/</w:t>
      </w:r>
      <w:hyperlink r:id="rId291" w:history="1">
        <w:r w:rsidRPr="00724342">
          <w:rPr>
            <w:sz w:val="22"/>
            <w:szCs w:val="22"/>
          </w:rPr>
          <w:t>А. П. Соколова</w:t>
        </w:r>
      </w:hyperlink>
      <w:r w:rsidRPr="00724342">
        <w:rPr>
          <w:sz w:val="22"/>
          <w:szCs w:val="22"/>
        </w:rPr>
        <w:t>, </w:t>
      </w:r>
      <w:hyperlink r:id="rId292" w:history="1">
        <w:r w:rsidRPr="00724342">
          <w:rPr>
            <w:sz w:val="22"/>
            <w:szCs w:val="22"/>
          </w:rPr>
          <w:t>В. Г. В</w:t>
        </w:r>
        <w:r w:rsidRPr="00724342">
          <w:rPr>
            <w:sz w:val="22"/>
            <w:szCs w:val="22"/>
          </w:rPr>
          <w:t>е</w:t>
        </w:r>
        <w:r w:rsidRPr="00724342">
          <w:rPr>
            <w:sz w:val="22"/>
            <w:szCs w:val="22"/>
          </w:rPr>
          <w:t>тер</w:t>
        </w:r>
      </w:hyperlink>
      <w:r w:rsidRPr="00724342">
        <w:rPr>
          <w:sz w:val="22"/>
          <w:szCs w:val="22"/>
        </w:rPr>
        <w:t>//Закономерности и тенденции формирования системы финанс</w:t>
      </w:r>
      <w:r w:rsidRPr="00724342">
        <w:rPr>
          <w:sz w:val="22"/>
          <w:szCs w:val="22"/>
        </w:rPr>
        <w:t>о</w:t>
      </w:r>
      <w:r w:rsidRPr="00724342">
        <w:rPr>
          <w:sz w:val="22"/>
          <w:szCs w:val="22"/>
        </w:rPr>
        <w:t>во-кредитных отношений: сб. ст.Междунар. науч.-практ. конф. (13 июля 2017 г., г. Саратов). -Уфа: АЭТЭРНА, 2017. С. 241-250.    </w:t>
      </w:r>
    </w:p>
    <w:p w:rsidR="00724342" w:rsidRPr="00724342" w:rsidRDefault="00724342" w:rsidP="00724342">
      <w:pPr>
        <w:jc w:val="both"/>
        <w:rPr>
          <w:sz w:val="22"/>
          <w:szCs w:val="22"/>
        </w:rPr>
      </w:pPr>
    </w:p>
    <w:p w:rsidR="00724342" w:rsidRPr="00724342" w:rsidRDefault="00724342" w:rsidP="00724342">
      <w:pPr>
        <w:jc w:val="both"/>
        <w:rPr>
          <w:rFonts w:eastAsia="Calibri"/>
          <w:sz w:val="22"/>
          <w:szCs w:val="22"/>
          <w:lang w:eastAsia="en-US"/>
        </w:rPr>
      </w:pPr>
    </w:p>
    <w:p w:rsidR="00724342" w:rsidRPr="00724342" w:rsidRDefault="00724342" w:rsidP="00724342">
      <w:pPr>
        <w:jc w:val="both"/>
        <w:rPr>
          <w:rFonts w:eastAsia="Calibri"/>
          <w:sz w:val="22"/>
          <w:szCs w:val="22"/>
          <w:lang w:eastAsia="en-US"/>
        </w:rPr>
      </w:pPr>
      <w:r w:rsidRPr="00724342">
        <w:rPr>
          <w:rFonts w:eastAsia="Calibri"/>
          <w:sz w:val="22"/>
          <w:szCs w:val="22"/>
          <w:lang w:eastAsia="en-US"/>
        </w:rPr>
        <w:lastRenderedPageBreak/>
        <w:t>УДК 339.137:663.2:634.8 (470.620)</w:t>
      </w:r>
    </w:p>
    <w:p w:rsidR="00724342" w:rsidRPr="00724342" w:rsidRDefault="00724342" w:rsidP="00724342">
      <w:pPr>
        <w:jc w:val="both"/>
        <w:rPr>
          <w:rFonts w:eastAsia="Calibri"/>
          <w:sz w:val="22"/>
          <w:szCs w:val="22"/>
          <w:lang w:eastAsia="en-US"/>
        </w:rPr>
      </w:pP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 xml:space="preserve">Перспективные направления повышения </w:t>
      </w:r>
      <w:r w:rsidR="0010381E">
        <w:rPr>
          <w:rFonts w:eastAsia="Calibri"/>
          <w:b/>
          <w:sz w:val="24"/>
          <w:szCs w:val="24"/>
          <w:lang w:eastAsia="en-US"/>
        </w:rPr>
        <w:br/>
      </w:r>
      <w:r w:rsidRPr="00724342">
        <w:rPr>
          <w:rFonts w:eastAsia="Calibri"/>
          <w:b/>
          <w:sz w:val="24"/>
          <w:szCs w:val="24"/>
          <w:lang w:eastAsia="en-US"/>
        </w:rPr>
        <w:t xml:space="preserve">конкурентоспособности продукции отрасли виноделия </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eastAsia="en-US"/>
        </w:rPr>
        <w:t>Краснодарского</w:t>
      </w:r>
      <w:r w:rsidRPr="00724342">
        <w:rPr>
          <w:rFonts w:eastAsia="Calibri"/>
          <w:b/>
          <w:sz w:val="24"/>
          <w:szCs w:val="24"/>
          <w:lang w:val="en-US" w:eastAsia="en-US"/>
        </w:rPr>
        <w:t xml:space="preserve"> </w:t>
      </w:r>
      <w:r w:rsidRPr="00724342">
        <w:rPr>
          <w:rFonts w:eastAsia="Calibri"/>
          <w:b/>
          <w:sz w:val="24"/>
          <w:szCs w:val="24"/>
          <w:lang w:eastAsia="en-US"/>
        </w:rPr>
        <w:t>края</w:t>
      </w:r>
    </w:p>
    <w:p w:rsidR="00724342" w:rsidRPr="00724342" w:rsidRDefault="00724342" w:rsidP="00724342">
      <w:pPr>
        <w:jc w:val="center"/>
        <w:rPr>
          <w:rFonts w:eastAsia="Calibri"/>
          <w:b/>
          <w:sz w:val="22"/>
          <w:szCs w:val="22"/>
          <w:lang w:val="en-US" w:eastAsia="en-US"/>
        </w:rPr>
      </w:pPr>
      <w:r w:rsidRPr="00724342">
        <w:rPr>
          <w:rFonts w:eastAsia="Calibri"/>
          <w:b/>
          <w:sz w:val="22"/>
          <w:szCs w:val="22"/>
          <w:lang w:val="en-US" w:eastAsia="en-US"/>
        </w:rPr>
        <w:t>Prospective directions of increasing the competitiveness of products of the winemaking industry of the Krasnodar Territory</w:t>
      </w:r>
    </w:p>
    <w:p w:rsidR="00724342" w:rsidRPr="00724342" w:rsidRDefault="00724342" w:rsidP="00724342">
      <w:pPr>
        <w:jc w:val="center"/>
        <w:rPr>
          <w:rFonts w:eastAsia="Calibri"/>
          <w:b/>
          <w:sz w:val="22"/>
          <w:szCs w:val="22"/>
          <w:lang w:val="en-US" w:eastAsia="en-US"/>
        </w:rPr>
      </w:pPr>
    </w:p>
    <w:p w:rsidR="00724342" w:rsidRPr="00724342" w:rsidRDefault="00724342" w:rsidP="00724342">
      <w:pPr>
        <w:jc w:val="right"/>
        <w:rPr>
          <w:rFonts w:eastAsia="+mn-ea"/>
          <w:kern w:val="24"/>
          <w:sz w:val="22"/>
          <w:szCs w:val="22"/>
        </w:rPr>
      </w:pPr>
      <w:r w:rsidRPr="00724342">
        <w:rPr>
          <w:rFonts w:eastAsia="+mn-ea"/>
          <w:kern w:val="24"/>
          <w:sz w:val="22"/>
          <w:szCs w:val="22"/>
        </w:rPr>
        <w:t>Леонович А.</w:t>
      </w:r>
      <w:r w:rsidR="0010381E">
        <w:rPr>
          <w:rFonts w:eastAsia="+mn-ea"/>
          <w:kern w:val="24"/>
          <w:sz w:val="22"/>
          <w:szCs w:val="22"/>
        </w:rPr>
        <w:t xml:space="preserve"> </w:t>
      </w:r>
      <w:r w:rsidRPr="00724342">
        <w:rPr>
          <w:rFonts w:eastAsia="+mn-ea"/>
          <w:kern w:val="24"/>
          <w:sz w:val="22"/>
          <w:szCs w:val="22"/>
        </w:rPr>
        <w:t>М.,</w:t>
      </w:r>
    </w:p>
    <w:p w:rsidR="00724342" w:rsidRPr="00724342" w:rsidRDefault="00724342" w:rsidP="00724342">
      <w:pPr>
        <w:jc w:val="right"/>
        <w:rPr>
          <w:rFonts w:eastAsia="+mn-ea"/>
          <w:kern w:val="24"/>
          <w:sz w:val="22"/>
          <w:szCs w:val="22"/>
        </w:rPr>
      </w:pPr>
      <w:r w:rsidRPr="00724342">
        <w:rPr>
          <w:rFonts w:eastAsia="+mn-ea"/>
          <w:kern w:val="24"/>
          <w:sz w:val="22"/>
          <w:szCs w:val="22"/>
        </w:rPr>
        <w:t>студентка 3-го курса экономического факультета</w:t>
      </w:r>
    </w:p>
    <w:p w:rsidR="00724342" w:rsidRPr="00724342" w:rsidRDefault="00724342" w:rsidP="00724342">
      <w:pPr>
        <w:jc w:val="right"/>
        <w:rPr>
          <w:rFonts w:eastAsia="+mn-ea"/>
          <w:kern w:val="24"/>
          <w:sz w:val="22"/>
          <w:szCs w:val="22"/>
        </w:rPr>
      </w:pPr>
      <w:r w:rsidRPr="00724342">
        <w:rPr>
          <w:rFonts w:eastAsia="+mn-ea"/>
          <w:kern w:val="24"/>
          <w:sz w:val="22"/>
          <w:szCs w:val="22"/>
        </w:rPr>
        <w:t xml:space="preserve">Кубанский государственный аграрный </w:t>
      </w:r>
    </w:p>
    <w:p w:rsidR="00724342" w:rsidRPr="00724342" w:rsidRDefault="00724342" w:rsidP="00724342">
      <w:pPr>
        <w:jc w:val="right"/>
        <w:rPr>
          <w:rFonts w:eastAsia="+mn-ea"/>
          <w:kern w:val="24"/>
          <w:sz w:val="22"/>
          <w:szCs w:val="22"/>
        </w:rPr>
      </w:pPr>
      <w:r w:rsidRPr="00724342">
        <w:rPr>
          <w:rFonts w:eastAsia="+mn-ea"/>
          <w:kern w:val="24"/>
          <w:sz w:val="22"/>
          <w:szCs w:val="22"/>
        </w:rPr>
        <w:t>университет имени И.Т. Трубилина</w:t>
      </w:r>
    </w:p>
    <w:p w:rsidR="00724342" w:rsidRPr="00724342" w:rsidRDefault="00724342" w:rsidP="00724342">
      <w:pPr>
        <w:jc w:val="both"/>
        <w:rPr>
          <w:rFonts w:eastAsia="+mn-ea"/>
          <w:kern w:val="24"/>
          <w:sz w:val="22"/>
          <w:szCs w:val="22"/>
        </w:rPr>
      </w:pPr>
    </w:p>
    <w:p w:rsidR="00724342" w:rsidRPr="00724342" w:rsidRDefault="00724342" w:rsidP="0010381E">
      <w:pPr>
        <w:ind w:firstLine="426"/>
        <w:jc w:val="both"/>
        <w:rPr>
          <w:rFonts w:eastAsia="+mn-ea"/>
          <w:kern w:val="24"/>
          <w:sz w:val="22"/>
          <w:szCs w:val="22"/>
        </w:rPr>
      </w:pPr>
      <w:r w:rsidRPr="00724342">
        <w:rPr>
          <w:rFonts w:eastAsia="+mn-ea"/>
          <w:kern w:val="24"/>
          <w:sz w:val="22"/>
          <w:szCs w:val="22"/>
        </w:rPr>
        <w:t xml:space="preserve">АННОТАЦИЯ: В статье рассмотрены и </w:t>
      </w:r>
      <w:r w:rsidRPr="00724342">
        <w:rPr>
          <w:rFonts w:eastAsia="Calibri"/>
          <w:sz w:val="22"/>
          <w:szCs w:val="22"/>
          <w:lang w:eastAsia="en-US"/>
        </w:rPr>
        <w:t xml:space="preserve">проанализированы проблемы и </w:t>
      </w:r>
      <w:r w:rsidRPr="00724342">
        <w:rPr>
          <w:rFonts w:eastAsia="+mn-ea"/>
          <w:kern w:val="24"/>
          <w:sz w:val="22"/>
          <w:szCs w:val="22"/>
        </w:rPr>
        <w:t>перспективы развития виноделия и виноградарства в Краснодарском крае, приведены направления повышения конкуре</w:t>
      </w:r>
      <w:r w:rsidRPr="00724342">
        <w:rPr>
          <w:rFonts w:eastAsia="+mn-ea"/>
          <w:kern w:val="24"/>
          <w:sz w:val="22"/>
          <w:szCs w:val="22"/>
        </w:rPr>
        <w:t>н</w:t>
      </w:r>
      <w:r w:rsidRPr="00724342">
        <w:rPr>
          <w:rFonts w:eastAsia="+mn-ea"/>
          <w:kern w:val="24"/>
          <w:sz w:val="22"/>
          <w:szCs w:val="22"/>
        </w:rPr>
        <w:t xml:space="preserve">тоспособности винодельческой продукции. </w:t>
      </w:r>
    </w:p>
    <w:p w:rsidR="00724342" w:rsidRPr="00724342" w:rsidRDefault="00724342" w:rsidP="0010381E">
      <w:pPr>
        <w:ind w:firstLine="426"/>
        <w:jc w:val="both"/>
        <w:rPr>
          <w:rFonts w:eastAsia="+mn-ea"/>
          <w:kern w:val="24"/>
          <w:sz w:val="22"/>
          <w:szCs w:val="22"/>
          <w:lang w:val="en-US"/>
        </w:rPr>
      </w:pPr>
      <w:r w:rsidRPr="00724342">
        <w:rPr>
          <w:rFonts w:eastAsia="+mn-ea"/>
          <w:kern w:val="24"/>
          <w:sz w:val="22"/>
          <w:szCs w:val="22"/>
          <w:lang w:val="en-US"/>
        </w:rPr>
        <w:t>ABSTRACT: In the article problems and prospects of development of winemaking and viticulture in the Krasnodar Territory are considered and analyzed, directions of increase of competitiveness of wine produ</w:t>
      </w:r>
      <w:r w:rsidRPr="00724342">
        <w:rPr>
          <w:rFonts w:eastAsia="+mn-ea"/>
          <w:kern w:val="24"/>
          <w:sz w:val="22"/>
          <w:szCs w:val="22"/>
          <w:lang w:val="en-US"/>
        </w:rPr>
        <w:t>c</w:t>
      </w:r>
      <w:r w:rsidRPr="00724342">
        <w:rPr>
          <w:rFonts w:eastAsia="+mn-ea"/>
          <w:kern w:val="24"/>
          <w:sz w:val="22"/>
          <w:szCs w:val="22"/>
          <w:lang w:val="en-US"/>
        </w:rPr>
        <w:t>tion are given.</w:t>
      </w:r>
    </w:p>
    <w:p w:rsidR="00724342" w:rsidRPr="00724342" w:rsidRDefault="00724342" w:rsidP="0010381E">
      <w:pPr>
        <w:ind w:firstLine="426"/>
        <w:jc w:val="both"/>
        <w:rPr>
          <w:rFonts w:eastAsia="+mn-ea"/>
          <w:kern w:val="24"/>
          <w:sz w:val="22"/>
          <w:szCs w:val="22"/>
        </w:rPr>
      </w:pPr>
      <w:r w:rsidRPr="00724342">
        <w:rPr>
          <w:rFonts w:eastAsia="+mn-ea"/>
          <w:kern w:val="24"/>
          <w:sz w:val="22"/>
          <w:szCs w:val="22"/>
        </w:rPr>
        <w:t>КЛЮЧЕВЫЕ СЛОВА: виноделие, виноградарство, Краснода</w:t>
      </w:r>
      <w:r w:rsidRPr="00724342">
        <w:rPr>
          <w:rFonts w:eastAsia="+mn-ea"/>
          <w:kern w:val="24"/>
          <w:sz w:val="22"/>
          <w:szCs w:val="22"/>
        </w:rPr>
        <w:t>р</w:t>
      </w:r>
      <w:r w:rsidRPr="00724342">
        <w:rPr>
          <w:rFonts w:eastAsia="+mn-ea"/>
          <w:kern w:val="24"/>
          <w:sz w:val="22"/>
          <w:szCs w:val="22"/>
        </w:rPr>
        <w:t xml:space="preserve">ский край, конкурентоспособность, рынок алкогольной продукции, конкуренция. </w:t>
      </w:r>
    </w:p>
    <w:p w:rsidR="00724342" w:rsidRPr="00724342" w:rsidRDefault="00724342" w:rsidP="0010381E">
      <w:pPr>
        <w:ind w:firstLine="426"/>
        <w:jc w:val="both"/>
        <w:rPr>
          <w:rFonts w:eastAsia="+mn-ea"/>
          <w:kern w:val="24"/>
          <w:sz w:val="22"/>
          <w:szCs w:val="22"/>
          <w:lang w:val="en-US"/>
        </w:rPr>
      </w:pPr>
      <w:r w:rsidRPr="00724342">
        <w:rPr>
          <w:rFonts w:eastAsia="+mn-ea"/>
          <w:kern w:val="24"/>
          <w:sz w:val="22"/>
          <w:szCs w:val="22"/>
          <w:lang w:val="en-US"/>
        </w:rPr>
        <w:t>KEYWORDS: winemaking, viticulture, Krasnodar region, compet</w:t>
      </w:r>
      <w:r w:rsidRPr="00724342">
        <w:rPr>
          <w:rFonts w:eastAsia="+mn-ea"/>
          <w:kern w:val="24"/>
          <w:sz w:val="22"/>
          <w:szCs w:val="22"/>
          <w:lang w:val="en-US"/>
        </w:rPr>
        <w:t>i</w:t>
      </w:r>
      <w:r w:rsidRPr="00724342">
        <w:rPr>
          <w:rFonts w:eastAsia="+mn-ea"/>
          <w:kern w:val="24"/>
          <w:sz w:val="22"/>
          <w:szCs w:val="22"/>
          <w:lang w:val="en-US"/>
        </w:rPr>
        <w:t>tiveness, alcohol market, competition.</w:t>
      </w:r>
    </w:p>
    <w:p w:rsidR="00724342" w:rsidRPr="00724342" w:rsidRDefault="00724342" w:rsidP="0010381E">
      <w:pPr>
        <w:ind w:firstLine="426"/>
        <w:jc w:val="both"/>
        <w:rPr>
          <w:rFonts w:eastAsia="+mn-ea"/>
          <w:kern w:val="24"/>
          <w:sz w:val="22"/>
          <w:szCs w:val="22"/>
          <w:lang w:val="en-US"/>
        </w:rPr>
      </w:pP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По данным Росстат последние 10 лет наблюдается снижение потребления алкогольных напитков. Сложившаяся тенденция об</w:t>
      </w:r>
      <w:r w:rsidRPr="00724342">
        <w:rPr>
          <w:rFonts w:eastAsia="Calibri"/>
          <w:color w:val="000000"/>
          <w:sz w:val="22"/>
          <w:szCs w:val="22"/>
          <w:lang w:eastAsia="en-US"/>
        </w:rPr>
        <w:t>ъ</w:t>
      </w:r>
      <w:r w:rsidRPr="00724342">
        <w:rPr>
          <w:rFonts w:eastAsia="Calibri"/>
          <w:color w:val="000000"/>
          <w:sz w:val="22"/>
          <w:szCs w:val="22"/>
          <w:lang w:eastAsia="en-US"/>
        </w:rPr>
        <w:t>ясняется как влиянием ряда государственных административных, экономических и пропагандистских мер, так и общей тенденцией к популяризации здорового образа жизни. Последнее подтверждается также наблюдаемым увеличением в потреблении алкоголя доли в</w:t>
      </w:r>
      <w:r w:rsidRPr="00724342">
        <w:rPr>
          <w:rFonts w:eastAsia="Calibri"/>
          <w:color w:val="000000"/>
          <w:sz w:val="22"/>
          <w:szCs w:val="22"/>
          <w:lang w:eastAsia="en-US"/>
        </w:rPr>
        <w:t>и</w:t>
      </w:r>
      <w:r w:rsidRPr="00724342">
        <w:rPr>
          <w:rFonts w:eastAsia="Calibri"/>
          <w:color w:val="000000"/>
          <w:sz w:val="22"/>
          <w:szCs w:val="22"/>
          <w:lang w:eastAsia="en-US"/>
        </w:rPr>
        <w:t xml:space="preserve">нодельческой продукции. </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Рост цен на импортное вино послужил причиной снижения п</w:t>
      </w:r>
      <w:r w:rsidRPr="00724342">
        <w:rPr>
          <w:rFonts w:eastAsia="Calibri"/>
          <w:color w:val="000000"/>
          <w:sz w:val="22"/>
          <w:szCs w:val="22"/>
          <w:lang w:eastAsia="en-US"/>
        </w:rPr>
        <w:t>о</w:t>
      </w:r>
      <w:r w:rsidRPr="00724342">
        <w:rPr>
          <w:rFonts w:eastAsia="Calibri"/>
          <w:color w:val="000000"/>
          <w:sz w:val="22"/>
          <w:szCs w:val="22"/>
          <w:lang w:eastAsia="en-US"/>
        </w:rPr>
        <w:t>требления напитка в России, в то время как отечественные произв</w:t>
      </w:r>
      <w:r w:rsidRPr="00724342">
        <w:rPr>
          <w:rFonts w:eastAsia="Calibri"/>
          <w:color w:val="000000"/>
          <w:sz w:val="22"/>
          <w:szCs w:val="22"/>
          <w:lang w:eastAsia="en-US"/>
        </w:rPr>
        <w:t>о</w:t>
      </w:r>
      <w:r w:rsidRPr="00724342">
        <w:rPr>
          <w:rFonts w:eastAsia="Calibri"/>
          <w:color w:val="000000"/>
          <w:sz w:val="22"/>
          <w:szCs w:val="22"/>
          <w:lang w:eastAsia="en-US"/>
        </w:rPr>
        <w:t xml:space="preserve">дители не смогли занять свободный сегмент рынка из-за низкой </w:t>
      </w:r>
      <w:r w:rsidRPr="00724342">
        <w:rPr>
          <w:rFonts w:eastAsia="Calibri"/>
          <w:color w:val="000000"/>
          <w:sz w:val="22"/>
          <w:szCs w:val="22"/>
          <w:lang w:eastAsia="en-US"/>
        </w:rPr>
        <w:lastRenderedPageBreak/>
        <w:t>конкурентоспособности продукции.  Вместе с тем в России имеется ряд регионов, где производители могут составить конкуренцию и</w:t>
      </w:r>
      <w:r w:rsidRPr="00724342">
        <w:rPr>
          <w:rFonts w:eastAsia="Calibri"/>
          <w:color w:val="000000"/>
          <w:sz w:val="22"/>
          <w:szCs w:val="22"/>
          <w:lang w:eastAsia="en-US"/>
        </w:rPr>
        <w:t>м</w:t>
      </w:r>
      <w:r w:rsidRPr="00724342">
        <w:rPr>
          <w:rFonts w:eastAsia="Calibri"/>
          <w:color w:val="000000"/>
          <w:sz w:val="22"/>
          <w:szCs w:val="22"/>
          <w:lang w:eastAsia="en-US"/>
        </w:rPr>
        <w:t>портной продукции, например, виноделие Краснодарского края. В свете влияния факторов внешней среды наряду с угрозами в Кра</w:t>
      </w:r>
      <w:r w:rsidRPr="00724342">
        <w:rPr>
          <w:rFonts w:eastAsia="Calibri"/>
          <w:color w:val="000000"/>
          <w:sz w:val="22"/>
          <w:szCs w:val="22"/>
          <w:lang w:eastAsia="en-US"/>
        </w:rPr>
        <w:t>с</w:t>
      </w:r>
      <w:r w:rsidRPr="00724342">
        <w:rPr>
          <w:rFonts w:eastAsia="Calibri"/>
          <w:color w:val="000000"/>
          <w:sz w:val="22"/>
          <w:szCs w:val="22"/>
          <w:lang w:eastAsia="en-US"/>
        </w:rPr>
        <w:t>нодарском крае имеются и серьезные возможности для повышения конкурентоспособности виноделия. Следовательно, исследования, направленные на выявления перспективных направлений повыш</w:t>
      </w:r>
      <w:r w:rsidRPr="00724342">
        <w:rPr>
          <w:rFonts w:eastAsia="Calibri"/>
          <w:color w:val="000000"/>
          <w:sz w:val="22"/>
          <w:szCs w:val="22"/>
          <w:lang w:eastAsia="en-US"/>
        </w:rPr>
        <w:t>е</w:t>
      </w:r>
      <w:r w:rsidRPr="00724342">
        <w:rPr>
          <w:rFonts w:eastAsia="Calibri"/>
          <w:color w:val="000000"/>
          <w:sz w:val="22"/>
          <w:szCs w:val="22"/>
          <w:lang w:eastAsia="en-US"/>
        </w:rPr>
        <w:t>ния конкурентоспособности продукции виноделия региона, являю</w:t>
      </w:r>
      <w:r w:rsidRPr="00724342">
        <w:rPr>
          <w:rFonts w:eastAsia="Calibri"/>
          <w:color w:val="000000"/>
          <w:sz w:val="22"/>
          <w:szCs w:val="22"/>
          <w:lang w:eastAsia="en-US"/>
        </w:rPr>
        <w:t>т</w:t>
      </w:r>
      <w:r w:rsidRPr="00724342">
        <w:rPr>
          <w:rFonts w:eastAsia="Calibri"/>
          <w:color w:val="000000"/>
          <w:sz w:val="22"/>
          <w:szCs w:val="22"/>
          <w:lang w:eastAsia="en-US"/>
        </w:rPr>
        <w:t>ся актуальными.</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В Краснодарском крае предприятия-производители винодел</w:t>
      </w:r>
      <w:r w:rsidRPr="00724342">
        <w:rPr>
          <w:rFonts w:eastAsia="Calibri"/>
          <w:color w:val="000000"/>
          <w:sz w:val="22"/>
          <w:szCs w:val="22"/>
          <w:lang w:eastAsia="en-US"/>
        </w:rPr>
        <w:t>ь</w:t>
      </w:r>
      <w:r w:rsidRPr="00724342">
        <w:rPr>
          <w:rFonts w:eastAsia="Calibri"/>
          <w:color w:val="000000"/>
          <w:sz w:val="22"/>
          <w:szCs w:val="22"/>
          <w:lang w:eastAsia="en-US"/>
        </w:rPr>
        <w:t>ческой продукции расположены преимущественно в Анапо-Таманской (81,5% от общего объёма производства вина) и Южно-Предгорной зонах (7,8%). Регион  занимает первое место в России по производству натурального вина – 14,3 млн дал и второе по пр</w:t>
      </w:r>
      <w:r w:rsidRPr="00724342">
        <w:rPr>
          <w:rFonts w:eastAsia="Calibri"/>
          <w:color w:val="000000"/>
          <w:sz w:val="22"/>
          <w:szCs w:val="22"/>
          <w:lang w:eastAsia="en-US"/>
        </w:rPr>
        <w:t>о</w:t>
      </w:r>
      <w:r w:rsidRPr="00724342">
        <w:rPr>
          <w:rFonts w:eastAsia="Calibri"/>
          <w:color w:val="000000"/>
          <w:sz w:val="22"/>
          <w:szCs w:val="22"/>
          <w:lang w:eastAsia="en-US"/>
        </w:rPr>
        <w:t xml:space="preserve">изводству шампанского – 3,5 млн дал. </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Краснодарский край обладает существенными конкурентными преимуществами, по сравнению с производителями других реги</w:t>
      </w:r>
      <w:r w:rsidRPr="00724342">
        <w:rPr>
          <w:rFonts w:eastAsia="Calibri"/>
          <w:color w:val="000000"/>
          <w:sz w:val="22"/>
          <w:szCs w:val="22"/>
          <w:lang w:eastAsia="en-US"/>
        </w:rPr>
        <w:t>о</w:t>
      </w:r>
      <w:r w:rsidRPr="00724342">
        <w:rPr>
          <w:rFonts w:eastAsia="Calibri"/>
          <w:color w:val="000000"/>
          <w:sz w:val="22"/>
          <w:szCs w:val="22"/>
          <w:lang w:eastAsia="en-US"/>
        </w:rPr>
        <w:t>нов страны. Винодельческий комплекс края имеет собственную с</w:t>
      </w:r>
      <w:r w:rsidRPr="00724342">
        <w:rPr>
          <w:rFonts w:eastAsia="Calibri"/>
          <w:color w:val="000000"/>
          <w:sz w:val="22"/>
          <w:szCs w:val="22"/>
          <w:lang w:eastAsia="en-US"/>
        </w:rPr>
        <w:t>ы</w:t>
      </w:r>
      <w:r w:rsidRPr="00724342">
        <w:rPr>
          <w:rFonts w:eastAsia="Calibri"/>
          <w:color w:val="000000"/>
          <w:sz w:val="22"/>
          <w:szCs w:val="22"/>
          <w:lang w:eastAsia="en-US"/>
        </w:rPr>
        <w:t>рьевую базу: на возделывании винограда технических и столовых сортов в крае специализируется 53 крупных и средних сельскох</w:t>
      </w:r>
      <w:r w:rsidRPr="00724342">
        <w:rPr>
          <w:rFonts w:eastAsia="Calibri"/>
          <w:color w:val="000000"/>
          <w:sz w:val="22"/>
          <w:szCs w:val="22"/>
          <w:lang w:eastAsia="en-US"/>
        </w:rPr>
        <w:t>о</w:t>
      </w:r>
      <w:r w:rsidRPr="00724342">
        <w:rPr>
          <w:rFonts w:eastAsia="Calibri"/>
          <w:color w:val="000000"/>
          <w:sz w:val="22"/>
          <w:szCs w:val="22"/>
          <w:lang w:eastAsia="en-US"/>
        </w:rPr>
        <w:t>зяйственных организации [3]. Доля Краснодарского края в общ</w:t>
      </w:r>
      <w:r w:rsidRPr="00724342">
        <w:rPr>
          <w:rFonts w:eastAsia="Calibri"/>
          <w:color w:val="000000"/>
          <w:sz w:val="22"/>
          <w:szCs w:val="22"/>
          <w:lang w:eastAsia="en-US"/>
        </w:rPr>
        <w:t>е</w:t>
      </w:r>
      <w:r w:rsidRPr="00724342">
        <w:rPr>
          <w:rFonts w:eastAsia="Calibri"/>
          <w:color w:val="000000"/>
          <w:sz w:val="22"/>
          <w:szCs w:val="22"/>
          <w:lang w:eastAsia="en-US"/>
        </w:rPr>
        <w:t xml:space="preserve">российском объёме собранного винограда приближается к 45%. </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Наметился устойчивый рост площади закладки виноградных насаждений в регионе: 2016 году было заложено 1250 га виногра</w:t>
      </w:r>
      <w:r w:rsidRPr="00724342">
        <w:rPr>
          <w:rFonts w:eastAsia="Calibri"/>
          <w:color w:val="000000"/>
          <w:sz w:val="22"/>
          <w:szCs w:val="22"/>
          <w:lang w:eastAsia="en-US"/>
        </w:rPr>
        <w:t>д</w:t>
      </w:r>
      <w:r w:rsidRPr="00724342">
        <w:rPr>
          <w:rFonts w:eastAsia="Calibri"/>
          <w:color w:val="000000"/>
          <w:sz w:val="22"/>
          <w:szCs w:val="22"/>
          <w:lang w:eastAsia="en-US"/>
        </w:rPr>
        <w:t>ников, что выше показателя предыдущего года на 36%, в 2017 году площадь закладки новых насаждений составила 1600 га. В 2017 г</w:t>
      </w:r>
      <w:r w:rsidRPr="00724342">
        <w:rPr>
          <w:rFonts w:eastAsia="Calibri"/>
          <w:color w:val="000000"/>
          <w:sz w:val="22"/>
          <w:szCs w:val="22"/>
          <w:lang w:eastAsia="en-US"/>
        </w:rPr>
        <w:t>о</w:t>
      </w:r>
      <w:r w:rsidRPr="00724342">
        <w:rPr>
          <w:rFonts w:eastAsia="Calibri"/>
          <w:color w:val="000000"/>
          <w:sz w:val="22"/>
          <w:szCs w:val="22"/>
          <w:lang w:eastAsia="en-US"/>
        </w:rPr>
        <w:t>ду на развитие виноградарства направлено 438 млн рублей субс</w:t>
      </w:r>
      <w:r w:rsidRPr="00724342">
        <w:rPr>
          <w:rFonts w:eastAsia="Calibri"/>
          <w:color w:val="000000"/>
          <w:sz w:val="22"/>
          <w:szCs w:val="22"/>
          <w:lang w:eastAsia="en-US"/>
        </w:rPr>
        <w:t>и</w:t>
      </w:r>
      <w:r w:rsidRPr="00724342">
        <w:rPr>
          <w:rFonts w:eastAsia="Calibri"/>
          <w:color w:val="000000"/>
          <w:sz w:val="22"/>
          <w:szCs w:val="22"/>
          <w:lang w:eastAsia="en-US"/>
        </w:rPr>
        <w:t>дий, в том числе на закладку, установку шпалеры и уходные работы за насаждениями – 360 млн рублей, на развитие питомниководч</w:t>
      </w:r>
      <w:r w:rsidRPr="00724342">
        <w:rPr>
          <w:rFonts w:eastAsia="Calibri"/>
          <w:color w:val="000000"/>
          <w:sz w:val="22"/>
          <w:szCs w:val="22"/>
          <w:lang w:eastAsia="en-US"/>
        </w:rPr>
        <w:t>е</w:t>
      </w:r>
      <w:r w:rsidRPr="00724342">
        <w:rPr>
          <w:rFonts w:eastAsia="Calibri"/>
          <w:color w:val="000000"/>
          <w:sz w:val="22"/>
          <w:szCs w:val="22"/>
          <w:lang w:eastAsia="en-US"/>
        </w:rPr>
        <w:t>ской базы, установку системы капельного орошения и селекцио</w:t>
      </w:r>
      <w:r w:rsidRPr="00724342">
        <w:rPr>
          <w:rFonts w:eastAsia="Calibri"/>
          <w:color w:val="000000"/>
          <w:sz w:val="22"/>
          <w:szCs w:val="22"/>
          <w:lang w:eastAsia="en-US"/>
        </w:rPr>
        <w:t>н</w:t>
      </w:r>
      <w:r w:rsidRPr="00724342">
        <w:rPr>
          <w:rFonts w:eastAsia="Calibri"/>
          <w:color w:val="000000"/>
          <w:sz w:val="22"/>
          <w:szCs w:val="22"/>
          <w:lang w:eastAsia="en-US"/>
        </w:rPr>
        <w:t>ные мероприятия – 78 млн рублей [</w:t>
      </w:r>
      <w:r w:rsidRPr="00724342">
        <w:rPr>
          <w:rFonts w:eastAsia="Calibri"/>
          <w:sz w:val="22"/>
          <w:szCs w:val="22"/>
          <w:lang w:eastAsia="en-US"/>
        </w:rPr>
        <w:t>2</w:t>
      </w:r>
      <w:r w:rsidRPr="00724342">
        <w:rPr>
          <w:rFonts w:eastAsia="Calibri"/>
          <w:color w:val="000000"/>
          <w:sz w:val="22"/>
          <w:szCs w:val="22"/>
          <w:lang w:eastAsia="en-US"/>
        </w:rPr>
        <w:t>]. Реализуемые меры в перспе</w:t>
      </w:r>
      <w:r w:rsidRPr="00724342">
        <w:rPr>
          <w:rFonts w:eastAsia="Calibri"/>
          <w:color w:val="000000"/>
          <w:sz w:val="22"/>
          <w:szCs w:val="22"/>
          <w:lang w:eastAsia="en-US"/>
        </w:rPr>
        <w:t>к</w:t>
      </w:r>
      <w:r w:rsidRPr="00724342">
        <w:rPr>
          <w:rFonts w:eastAsia="Calibri"/>
          <w:color w:val="000000"/>
          <w:sz w:val="22"/>
          <w:szCs w:val="22"/>
          <w:lang w:eastAsia="en-US"/>
        </w:rPr>
        <w:t>тивы способствуют росту объема выпуска винодельческой проду</w:t>
      </w:r>
      <w:r w:rsidRPr="00724342">
        <w:rPr>
          <w:rFonts w:eastAsia="Calibri"/>
          <w:color w:val="000000"/>
          <w:sz w:val="22"/>
          <w:szCs w:val="22"/>
          <w:lang w:eastAsia="en-US"/>
        </w:rPr>
        <w:t>к</w:t>
      </w:r>
      <w:r w:rsidRPr="00724342">
        <w:rPr>
          <w:rFonts w:eastAsia="Calibri"/>
          <w:color w:val="000000"/>
          <w:sz w:val="22"/>
          <w:szCs w:val="22"/>
          <w:lang w:eastAsia="en-US"/>
        </w:rPr>
        <w:t>ции и повышению ее качества и конкурентоспособности.</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К конкурентным преимуществам региональным производит</w:t>
      </w:r>
      <w:r w:rsidRPr="00724342">
        <w:rPr>
          <w:rFonts w:eastAsia="Calibri"/>
          <w:color w:val="000000"/>
          <w:sz w:val="22"/>
          <w:szCs w:val="22"/>
          <w:lang w:eastAsia="en-US"/>
        </w:rPr>
        <w:t>е</w:t>
      </w:r>
      <w:r w:rsidRPr="00724342">
        <w:rPr>
          <w:rFonts w:eastAsia="Calibri"/>
          <w:color w:val="000000"/>
          <w:sz w:val="22"/>
          <w:szCs w:val="22"/>
          <w:lang w:eastAsia="en-US"/>
        </w:rPr>
        <w:t>лей следует отнести и уникальные природно-климатические усл</w:t>
      </w:r>
      <w:r w:rsidRPr="00724342">
        <w:rPr>
          <w:rFonts w:eastAsia="Calibri"/>
          <w:color w:val="000000"/>
          <w:sz w:val="22"/>
          <w:szCs w:val="22"/>
          <w:lang w:eastAsia="en-US"/>
        </w:rPr>
        <w:t>о</w:t>
      </w:r>
      <w:r w:rsidRPr="00724342">
        <w:rPr>
          <w:rFonts w:eastAsia="Calibri"/>
          <w:color w:val="000000"/>
          <w:sz w:val="22"/>
          <w:szCs w:val="22"/>
          <w:lang w:eastAsia="en-US"/>
        </w:rPr>
        <w:t xml:space="preserve">вия края, позволяющие производить вино с региональным вкусом высокого класса, что особенно высоко ценится на мировом рынке. </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lastRenderedPageBreak/>
        <w:t>Крупные производители отрасли виноделия региона выпуск</w:t>
      </w:r>
      <w:r w:rsidRPr="00724342">
        <w:rPr>
          <w:rFonts w:eastAsia="Calibri"/>
          <w:color w:val="000000"/>
          <w:sz w:val="22"/>
          <w:szCs w:val="22"/>
          <w:lang w:eastAsia="en-US"/>
        </w:rPr>
        <w:t>а</w:t>
      </w:r>
      <w:r w:rsidRPr="00724342">
        <w:rPr>
          <w:rFonts w:eastAsia="Calibri"/>
          <w:color w:val="000000"/>
          <w:sz w:val="22"/>
          <w:szCs w:val="22"/>
          <w:lang w:eastAsia="en-US"/>
        </w:rPr>
        <w:t>ют широкий ассортимент массовой продукции, имеют постоянные рынки сбыта (региональные и федеральные торговые сети), со</w:t>
      </w:r>
      <w:r w:rsidRPr="00724342">
        <w:rPr>
          <w:rFonts w:eastAsia="Calibri"/>
          <w:color w:val="000000"/>
          <w:sz w:val="22"/>
          <w:szCs w:val="22"/>
          <w:lang w:eastAsia="en-US"/>
        </w:rPr>
        <w:t>б</w:t>
      </w:r>
      <w:r w:rsidRPr="00724342">
        <w:rPr>
          <w:rFonts w:eastAsia="Calibri"/>
          <w:color w:val="000000"/>
          <w:sz w:val="22"/>
          <w:szCs w:val="22"/>
          <w:lang w:eastAsia="en-US"/>
        </w:rPr>
        <w:t>ственную торговую марку, узнаваемую за пределами края. Среди них ЗАО «Абрау-Дюрсо», ООО «Кубань-Вино», ОАО АПФ «Ф</w:t>
      </w:r>
      <w:r w:rsidRPr="00724342">
        <w:rPr>
          <w:rFonts w:eastAsia="Calibri"/>
          <w:color w:val="000000"/>
          <w:sz w:val="22"/>
          <w:szCs w:val="22"/>
          <w:lang w:eastAsia="en-US"/>
        </w:rPr>
        <w:t>а</w:t>
      </w:r>
      <w:r w:rsidRPr="00724342">
        <w:rPr>
          <w:rFonts w:eastAsia="Calibri"/>
          <w:color w:val="000000"/>
          <w:sz w:val="22"/>
          <w:szCs w:val="22"/>
          <w:lang w:eastAsia="en-US"/>
        </w:rPr>
        <w:t xml:space="preserve">нагория», ООО «Союз-Вино». </w:t>
      </w:r>
    </w:p>
    <w:p w:rsidR="00724342" w:rsidRPr="00724342" w:rsidRDefault="00724342" w:rsidP="00CB06AE">
      <w:pPr>
        <w:ind w:firstLine="426"/>
        <w:jc w:val="both"/>
        <w:rPr>
          <w:rFonts w:eastAsia="Calibri"/>
          <w:color w:val="000000"/>
          <w:sz w:val="22"/>
          <w:szCs w:val="22"/>
          <w:lang w:eastAsia="en-US"/>
        </w:rPr>
      </w:pPr>
      <w:proofErr w:type="gramStart"/>
      <w:r w:rsidRPr="00724342">
        <w:rPr>
          <w:rFonts w:eastAsia="Calibri"/>
          <w:sz w:val="22"/>
          <w:szCs w:val="22"/>
          <w:lang w:eastAsia="en-US"/>
        </w:rPr>
        <w:t xml:space="preserve">Анализ современного состояния и тенденций развития отрасли виноделия Краснодарского края позволил выявить </w:t>
      </w:r>
      <w:r w:rsidRPr="00724342">
        <w:rPr>
          <w:rFonts w:eastAsia="Calibri"/>
          <w:color w:val="000000"/>
          <w:sz w:val="22"/>
          <w:szCs w:val="22"/>
          <w:lang w:eastAsia="en-US"/>
        </w:rPr>
        <w:t>ряд меропри</w:t>
      </w:r>
      <w:r w:rsidRPr="00724342">
        <w:rPr>
          <w:rFonts w:eastAsia="Calibri"/>
          <w:color w:val="000000"/>
          <w:sz w:val="22"/>
          <w:szCs w:val="22"/>
          <w:lang w:eastAsia="en-US"/>
        </w:rPr>
        <w:t>я</w:t>
      </w:r>
      <w:r w:rsidRPr="00724342">
        <w:rPr>
          <w:rFonts w:eastAsia="Calibri"/>
          <w:color w:val="000000"/>
          <w:sz w:val="22"/>
          <w:szCs w:val="22"/>
          <w:lang w:eastAsia="en-US"/>
        </w:rPr>
        <w:t>тий, проведение которых позволит  повысить конкурентоспосо</w:t>
      </w:r>
      <w:r w:rsidRPr="00724342">
        <w:rPr>
          <w:rFonts w:eastAsia="Calibri"/>
          <w:color w:val="000000"/>
          <w:sz w:val="22"/>
          <w:szCs w:val="22"/>
          <w:lang w:eastAsia="en-US"/>
        </w:rPr>
        <w:t>б</w:t>
      </w:r>
      <w:r w:rsidRPr="00724342">
        <w:rPr>
          <w:rFonts w:eastAsia="Calibri"/>
          <w:color w:val="000000"/>
          <w:sz w:val="22"/>
          <w:szCs w:val="22"/>
          <w:lang w:eastAsia="en-US"/>
        </w:rPr>
        <w:t>ность производимой винодельческой продукции: обновление вин</w:t>
      </w:r>
      <w:r w:rsidRPr="00724342">
        <w:rPr>
          <w:rFonts w:eastAsia="Calibri"/>
          <w:color w:val="000000"/>
          <w:sz w:val="22"/>
          <w:szCs w:val="22"/>
          <w:lang w:eastAsia="en-US"/>
        </w:rPr>
        <w:t>о</w:t>
      </w:r>
      <w:r w:rsidRPr="00724342">
        <w:rPr>
          <w:rFonts w:eastAsia="Calibri"/>
          <w:color w:val="000000"/>
          <w:sz w:val="22"/>
          <w:szCs w:val="22"/>
          <w:lang w:eastAsia="en-US"/>
        </w:rPr>
        <w:t>градников и увеличение площади их закладки обеспечит отрасль качественным сырьем; внедрение современных технологий возд</w:t>
      </w:r>
      <w:r w:rsidRPr="00724342">
        <w:rPr>
          <w:rFonts w:eastAsia="Calibri"/>
          <w:color w:val="000000"/>
          <w:sz w:val="22"/>
          <w:szCs w:val="22"/>
          <w:lang w:eastAsia="en-US"/>
        </w:rPr>
        <w:t>е</w:t>
      </w:r>
      <w:r w:rsidRPr="00724342">
        <w:rPr>
          <w:rFonts w:eastAsia="Calibri"/>
          <w:color w:val="000000"/>
          <w:sz w:val="22"/>
          <w:szCs w:val="22"/>
          <w:lang w:eastAsia="en-US"/>
        </w:rPr>
        <w:t>лывания винограда и механизация технологических процессов в отрасли снизит себестоимость сырья, а, следовательно, и издержки перерабатывающих предприятий [1];</w:t>
      </w:r>
      <w:proofErr w:type="gramEnd"/>
      <w:r w:rsidRPr="00724342">
        <w:rPr>
          <w:rFonts w:eastAsia="Calibri"/>
          <w:color w:val="000000"/>
          <w:sz w:val="22"/>
          <w:szCs w:val="22"/>
          <w:lang w:eastAsia="en-US"/>
        </w:rPr>
        <w:t xml:space="preserve"> </w:t>
      </w:r>
      <w:proofErr w:type="gramStart"/>
      <w:r w:rsidRPr="00724342">
        <w:rPr>
          <w:rFonts w:eastAsia="Calibri"/>
          <w:color w:val="000000"/>
          <w:sz w:val="22"/>
          <w:szCs w:val="22"/>
          <w:lang w:eastAsia="en-US"/>
        </w:rPr>
        <w:t>обеспечение современной техникой и оборудованием винодельческих заводов позволит нал</w:t>
      </w:r>
      <w:r w:rsidRPr="00724342">
        <w:rPr>
          <w:rFonts w:eastAsia="Calibri"/>
          <w:color w:val="000000"/>
          <w:sz w:val="22"/>
          <w:szCs w:val="22"/>
          <w:lang w:eastAsia="en-US"/>
        </w:rPr>
        <w:t>а</w:t>
      </w:r>
      <w:r w:rsidRPr="00724342">
        <w:rPr>
          <w:rFonts w:eastAsia="Calibri"/>
          <w:color w:val="000000"/>
          <w:sz w:val="22"/>
          <w:szCs w:val="22"/>
          <w:lang w:eastAsia="en-US"/>
        </w:rPr>
        <w:t>дить выпуск качественных и уникальных напитков; легализация производства и реализации вина малыми винодельческими пре</w:t>
      </w:r>
      <w:r w:rsidRPr="00724342">
        <w:rPr>
          <w:rFonts w:eastAsia="Calibri"/>
          <w:color w:val="000000"/>
          <w:sz w:val="22"/>
          <w:szCs w:val="22"/>
          <w:lang w:eastAsia="en-US"/>
        </w:rPr>
        <w:t>д</w:t>
      </w:r>
      <w:r w:rsidRPr="00724342">
        <w:rPr>
          <w:rFonts w:eastAsia="Calibri"/>
          <w:color w:val="000000"/>
          <w:sz w:val="22"/>
          <w:szCs w:val="22"/>
          <w:lang w:eastAsia="en-US"/>
        </w:rPr>
        <w:t>приятиями и развитие «гаражного виноделия» позволит наладить выпуск высококачественных и эксклюзивных вин; продвижение качественных российских вин на мировой рынок с использованием организационной поддержки государства повысит конкуренцию в отрасли и способствует общему развитию региона.</w:t>
      </w:r>
      <w:proofErr w:type="gramEnd"/>
    </w:p>
    <w:p w:rsidR="00724342" w:rsidRPr="00724342" w:rsidRDefault="00724342" w:rsidP="0010381E">
      <w:pPr>
        <w:ind w:firstLine="426"/>
        <w:jc w:val="center"/>
        <w:rPr>
          <w:rFonts w:eastAsia="Calibri"/>
          <w:sz w:val="22"/>
          <w:szCs w:val="22"/>
          <w:lang w:eastAsia="en-US"/>
        </w:rPr>
      </w:pPr>
      <w:r w:rsidRPr="00724342">
        <w:rPr>
          <w:rFonts w:eastAsia="Calibri"/>
          <w:sz w:val="22"/>
          <w:szCs w:val="22"/>
          <w:lang w:eastAsia="en-US"/>
        </w:rPr>
        <w:t>Список литературы</w:t>
      </w:r>
    </w:p>
    <w:p w:rsidR="00724342" w:rsidRPr="00724342" w:rsidRDefault="00724342" w:rsidP="0010381E">
      <w:pPr>
        <w:ind w:firstLine="426"/>
        <w:jc w:val="both"/>
        <w:rPr>
          <w:color w:val="000000" w:themeColor="text1"/>
          <w:sz w:val="22"/>
          <w:szCs w:val="22"/>
        </w:rPr>
      </w:pPr>
      <w:r w:rsidRPr="00724342">
        <w:rPr>
          <w:sz w:val="22"/>
          <w:szCs w:val="22"/>
        </w:rPr>
        <w:t xml:space="preserve">1. </w:t>
      </w:r>
      <w:r w:rsidRPr="00724342">
        <w:rPr>
          <w:color w:val="000000" w:themeColor="text1"/>
          <w:sz w:val="22"/>
          <w:szCs w:val="22"/>
        </w:rPr>
        <w:t>Бершицкий Ю. И. Механизация технологических процессов уборки винограда как фактор повышения экономической эффе</w:t>
      </w:r>
      <w:r w:rsidRPr="00724342">
        <w:rPr>
          <w:color w:val="000000" w:themeColor="text1"/>
          <w:sz w:val="22"/>
          <w:szCs w:val="22"/>
        </w:rPr>
        <w:t>к</w:t>
      </w:r>
      <w:r w:rsidRPr="00724342">
        <w:rPr>
          <w:color w:val="000000" w:themeColor="text1"/>
          <w:sz w:val="22"/>
          <w:szCs w:val="22"/>
        </w:rPr>
        <w:t>тивности отрасли / Ю. И. Бершицкий, О. А. Сухарева // Труды К</w:t>
      </w:r>
      <w:r w:rsidRPr="00724342">
        <w:rPr>
          <w:color w:val="000000" w:themeColor="text1"/>
          <w:sz w:val="22"/>
          <w:szCs w:val="22"/>
        </w:rPr>
        <w:t>у</w:t>
      </w:r>
      <w:r w:rsidRPr="00724342">
        <w:rPr>
          <w:color w:val="000000" w:themeColor="text1"/>
          <w:sz w:val="22"/>
          <w:szCs w:val="22"/>
        </w:rPr>
        <w:t>банского государственного аграрного университета. – 2013. – № 41. – С. 19–22.</w:t>
      </w:r>
    </w:p>
    <w:p w:rsidR="00724342" w:rsidRPr="00724342" w:rsidRDefault="00724342" w:rsidP="0010381E">
      <w:pPr>
        <w:ind w:firstLine="426"/>
        <w:jc w:val="both"/>
        <w:rPr>
          <w:color w:val="000000" w:themeColor="text1"/>
          <w:sz w:val="22"/>
          <w:szCs w:val="22"/>
        </w:rPr>
      </w:pPr>
      <w:r w:rsidRPr="00724342">
        <w:rPr>
          <w:color w:val="000000" w:themeColor="text1"/>
          <w:sz w:val="22"/>
          <w:szCs w:val="22"/>
        </w:rPr>
        <w:t xml:space="preserve">2. На Кубани началась уборка винограда // «Деловая газета. Юг» [Электронный ресурс] Режим доступа: URL </w:t>
      </w:r>
      <w:hyperlink r:id="rId293" w:history="1">
        <w:r w:rsidRPr="00724342">
          <w:rPr>
            <w:color w:val="000000" w:themeColor="text1"/>
            <w:sz w:val="22"/>
            <w:szCs w:val="22"/>
          </w:rPr>
          <w:t>http://www.dg-yug.ru/rubriki/agro/91765-na-kubani-nachalas-uborka-vinograda.html</w:t>
        </w:r>
      </w:hyperlink>
      <w:r w:rsidRPr="00724342">
        <w:rPr>
          <w:color w:val="000000" w:themeColor="text1"/>
          <w:sz w:val="22"/>
          <w:szCs w:val="22"/>
        </w:rPr>
        <w:t>, свободный.</w:t>
      </w:r>
    </w:p>
    <w:p w:rsidR="00724342" w:rsidRPr="00CB06AE" w:rsidRDefault="00724342" w:rsidP="00CB06AE">
      <w:pPr>
        <w:ind w:firstLine="426"/>
        <w:jc w:val="both"/>
        <w:rPr>
          <w:sz w:val="22"/>
          <w:szCs w:val="22"/>
        </w:rPr>
      </w:pPr>
      <w:r w:rsidRPr="00724342">
        <w:rPr>
          <w:sz w:val="22"/>
          <w:szCs w:val="22"/>
        </w:rPr>
        <w:t>3. 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Кубанского государственного аграрного университета. – 2013. – № 42. – С. 38–41.</w:t>
      </w:r>
    </w:p>
    <w:p w:rsidR="00724342" w:rsidRPr="00724342" w:rsidRDefault="00724342" w:rsidP="00724342">
      <w:pPr>
        <w:rPr>
          <w:rFonts w:eastAsiaTheme="minorHAnsi"/>
          <w:color w:val="333333"/>
          <w:sz w:val="22"/>
          <w:szCs w:val="20"/>
          <w:shd w:val="clear" w:color="auto" w:fill="FFFFFF"/>
          <w:lang w:eastAsia="en-US"/>
        </w:rPr>
      </w:pPr>
      <w:r w:rsidRPr="00724342">
        <w:rPr>
          <w:rFonts w:eastAsiaTheme="minorHAnsi"/>
          <w:color w:val="000000" w:themeColor="text1"/>
          <w:sz w:val="22"/>
          <w:szCs w:val="20"/>
          <w:lang w:eastAsia="en-US"/>
        </w:rPr>
        <w:lastRenderedPageBreak/>
        <w:t xml:space="preserve">УДК </w:t>
      </w:r>
      <w:r w:rsidRPr="00724342">
        <w:rPr>
          <w:rFonts w:eastAsiaTheme="minorHAnsi"/>
          <w:color w:val="333333"/>
          <w:sz w:val="22"/>
          <w:szCs w:val="20"/>
          <w:shd w:val="clear" w:color="auto" w:fill="FFFFFF"/>
          <w:lang w:eastAsia="en-US"/>
        </w:rPr>
        <w:t>336.761.6</w:t>
      </w:r>
    </w:p>
    <w:p w:rsidR="00724342" w:rsidRPr="00724342" w:rsidRDefault="00724342" w:rsidP="00724342">
      <w:pPr>
        <w:rPr>
          <w:rFonts w:eastAsiaTheme="minorHAnsi"/>
          <w:color w:val="000000" w:themeColor="text1"/>
          <w:sz w:val="22"/>
          <w:szCs w:val="20"/>
          <w:lang w:eastAsia="en-US"/>
        </w:rPr>
      </w:pPr>
    </w:p>
    <w:p w:rsidR="00724342" w:rsidRPr="00724342" w:rsidRDefault="00724342" w:rsidP="00724342">
      <w:pPr>
        <w:suppressAutoHyphens/>
        <w:jc w:val="center"/>
        <w:rPr>
          <w:rFonts w:eastAsiaTheme="minorHAnsi"/>
          <w:b/>
          <w:color w:val="000000" w:themeColor="text1"/>
          <w:sz w:val="24"/>
          <w:szCs w:val="24"/>
          <w:lang w:eastAsia="en-US"/>
        </w:rPr>
      </w:pPr>
      <w:r w:rsidRPr="00724342">
        <w:rPr>
          <w:rFonts w:eastAsiaTheme="minorHAnsi"/>
          <w:b/>
          <w:sz w:val="24"/>
          <w:szCs w:val="24"/>
          <w:lang w:eastAsia="en-US"/>
        </w:rPr>
        <w:t>Финансовый рынок России и перспективы его развития</w:t>
      </w:r>
      <w:r w:rsidRPr="00724342">
        <w:rPr>
          <w:rFonts w:eastAsiaTheme="minorHAnsi"/>
          <w:b/>
          <w:color w:val="000000" w:themeColor="text1"/>
          <w:sz w:val="24"/>
          <w:szCs w:val="24"/>
          <w:lang w:eastAsia="en-US"/>
        </w:rPr>
        <w:t xml:space="preserve"> </w:t>
      </w:r>
    </w:p>
    <w:p w:rsidR="00724342" w:rsidRPr="00724342" w:rsidRDefault="00724342" w:rsidP="00724342">
      <w:pPr>
        <w:suppressAutoHyphens/>
        <w:jc w:val="center"/>
        <w:rPr>
          <w:rFonts w:eastAsiaTheme="minorHAnsi"/>
          <w:b/>
          <w:color w:val="000000" w:themeColor="text1"/>
          <w:sz w:val="24"/>
          <w:szCs w:val="24"/>
          <w:lang w:val="en-US" w:eastAsia="en-US"/>
        </w:rPr>
      </w:pPr>
      <w:r w:rsidRPr="00724342">
        <w:rPr>
          <w:rFonts w:eastAsiaTheme="minorHAnsi"/>
          <w:b/>
          <w:color w:val="000000" w:themeColor="text1"/>
          <w:sz w:val="24"/>
          <w:szCs w:val="24"/>
          <w:lang w:val="en-US" w:eastAsia="en-US"/>
        </w:rPr>
        <w:t>The financial market of Russia and prospects of its development</w:t>
      </w:r>
    </w:p>
    <w:p w:rsidR="00724342" w:rsidRPr="00724342" w:rsidRDefault="00724342" w:rsidP="00724342">
      <w:pPr>
        <w:suppressAutoHyphens/>
        <w:rPr>
          <w:rFonts w:eastAsiaTheme="minorHAnsi"/>
          <w:color w:val="000000" w:themeColor="text1"/>
          <w:sz w:val="20"/>
          <w:szCs w:val="20"/>
          <w:lang w:val="en-US" w:eastAsia="en-US"/>
        </w:rPr>
      </w:pPr>
    </w:p>
    <w:p w:rsidR="00724342" w:rsidRPr="00724342" w:rsidRDefault="00724342" w:rsidP="00F972D6">
      <w:pPr>
        <w:suppressAutoHyphens/>
        <w:jc w:val="right"/>
        <w:rPr>
          <w:rFonts w:eastAsiaTheme="minorHAnsi"/>
          <w:sz w:val="22"/>
          <w:szCs w:val="22"/>
          <w:lang w:eastAsia="en-US"/>
        </w:rPr>
      </w:pPr>
      <w:r w:rsidRPr="00724342">
        <w:rPr>
          <w:rFonts w:eastAsiaTheme="minorHAnsi"/>
          <w:sz w:val="22"/>
          <w:szCs w:val="22"/>
          <w:lang w:eastAsia="en-US"/>
        </w:rPr>
        <w:t>Логинов В. С.,</w:t>
      </w:r>
      <w:r w:rsidR="00F972D6">
        <w:rPr>
          <w:rFonts w:eastAsiaTheme="minorHAnsi"/>
          <w:sz w:val="22"/>
          <w:szCs w:val="22"/>
          <w:lang w:eastAsia="en-US"/>
        </w:rPr>
        <w:t xml:space="preserve"> </w:t>
      </w:r>
      <w:r w:rsidRPr="00724342">
        <w:rPr>
          <w:rFonts w:eastAsiaTheme="minorHAnsi"/>
          <w:sz w:val="22"/>
          <w:szCs w:val="22"/>
          <w:lang w:eastAsia="en-US"/>
        </w:rPr>
        <w:t>Гаделия М. О.,</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студент</w:t>
      </w:r>
      <w:r w:rsidR="00F972D6">
        <w:rPr>
          <w:rFonts w:eastAsiaTheme="minorHAnsi"/>
          <w:sz w:val="22"/>
          <w:szCs w:val="22"/>
          <w:lang w:eastAsia="en-US"/>
        </w:rPr>
        <w:t>ы</w:t>
      </w:r>
      <w:r w:rsidRPr="00724342">
        <w:rPr>
          <w:rFonts w:eastAsiaTheme="minorHAnsi"/>
          <w:sz w:val="22"/>
          <w:szCs w:val="22"/>
          <w:lang w:eastAsia="en-US"/>
        </w:rPr>
        <w:t xml:space="preserve"> 4-го курса экономического факультета</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Кубанский государственный аграрный</w:t>
      </w:r>
    </w:p>
    <w:p w:rsidR="00724342" w:rsidRPr="00724342" w:rsidRDefault="00724342" w:rsidP="00724342">
      <w:pPr>
        <w:suppressAutoHyphens/>
        <w:jc w:val="right"/>
        <w:rPr>
          <w:rFonts w:eastAsiaTheme="minorHAnsi"/>
          <w:sz w:val="22"/>
          <w:szCs w:val="22"/>
          <w:lang w:eastAsia="en-US"/>
        </w:rPr>
      </w:pPr>
      <w:r w:rsidRPr="00724342">
        <w:rPr>
          <w:rFonts w:eastAsiaTheme="minorHAnsi"/>
          <w:sz w:val="22"/>
          <w:szCs w:val="22"/>
          <w:lang w:eastAsia="en-US"/>
        </w:rPr>
        <w:t>университет им. И. Т. Трубилина</w:t>
      </w:r>
    </w:p>
    <w:p w:rsidR="00724342" w:rsidRPr="00724342" w:rsidRDefault="00724342" w:rsidP="00724342">
      <w:pPr>
        <w:suppressAutoHyphens/>
        <w:jc w:val="both"/>
        <w:rPr>
          <w:rFonts w:eastAsiaTheme="minorHAnsi"/>
          <w:sz w:val="22"/>
          <w:szCs w:val="22"/>
          <w:lang w:eastAsia="en-US"/>
        </w:rPr>
      </w:pPr>
    </w:p>
    <w:p w:rsidR="00724342" w:rsidRPr="00724342" w:rsidRDefault="00724342" w:rsidP="0010381E">
      <w:pPr>
        <w:suppressAutoHyphens/>
        <w:ind w:firstLine="425"/>
        <w:jc w:val="both"/>
        <w:rPr>
          <w:rFonts w:eastAsiaTheme="minorHAnsi"/>
          <w:sz w:val="22"/>
          <w:szCs w:val="22"/>
          <w:lang w:eastAsia="en-US"/>
        </w:rPr>
      </w:pPr>
      <w:r w:rsidRPr="00724342">
        <w:rPr>
          <w:rFonts w:eastAsiaTheme="minorHAnsi"/>
          <w:sz w:val="22"/>
          <w:szCs w:val="22"/>
          <w:lang w:eastAsia="en-US"/>
        </w:rPr>
        <w:t>АННОТАЦИЯ: Состояние финансового рынка России представляет особый интерс мировому сообществу. В условиях международных санкций финансовый рынокстраны требует обновления законодательной базы, институциональных элементов и росте своей конкурентоспособности. В рамках статьи представлены основные направления развития финансового рынка до 2020 года.</w:t>
      </w:r>
    </w:p>
    <w:p w:rsidR="00724342" w:rsidRPr="00724342" w:rsidRDefault="00724342" w:rsidP="0010381E">
      <w:pPr>
        <w:suppressAutoHyphens/>
        <w:ind w:firstLine="425"/>
        <w:jc w:val="both"/>
        <w:rPr>
          <w:rFonts w:eastAsiaTheme="minorHAnsi"/>
          <w:sz w:val="22"/>
          <w:szCs w:val="22"/>
          <w:lang w:val="en-US" w:eastAsia="en-US"/>
        </w:rPr>
      </w:pPr>
      <w:r w:rsidRPr="00724342">
        <w:rPr>
          <w:rFonts w:eastAsiaTheme="minorHAnsi"/>
          <w:color w:val="000000"/>
          <w:sz w:val="22"/>
          <w:szCs w:val="22"/>
          <w:shd w:val="clear" w:color="auto" w:fill="FFFFFF"/>
          <w:lang w:val="en-US" w:eastAsia="en-US"/>
        </w:rPr>
        <w:t>ABSTRACT:</w:t>
      </w:r>
      <w:r w:rsidRPr="00724342">
        <w:rPr>
          <w:rFonts w:asciiTheme="minorHAnsi" w:eastAsiaTheme="minorHAnsi" w:hAnsiTheme="minorHAnsi" w:cstheme="minorBidi"/>
          <w:sz w:val="22"/>
          <w:szCs w:val="22"/>
          <w:lang w:val="en-US" w:eastAsia="en-US"/>
        </w:rPr>
        <w:t xml:space="preserve"> </w:t>
      </w:r>
      <w:r w:rsidRPr="00724342">
        <w:rPr>
          <w:rFonts w:eastAsiaTheme="minorHAnsi"/>
          <w:color w:val="000000"/>
          <w:sz w:val="22"/>
          <w:szCs w:val="22"/>
          <w:shd w:val="clear" w:color="auto" w:fill="FFFFFF"/>
          <w:lang w:val="en-US" w:eastAsia="en-US"/>
        </w:rPr>
        <w:t>The state of Russia's financial market is a special inter-world forum. In the conditions of international sanctions, the financial market of the country requires updating the legislative base, institutional elements and increasing its competitiveness. Within the framework of the article the main directions of development of the financial market till 2020 are presented.</w:t>
      </w:r>
    </w:p>
    <w:p w:rsidR="00724342" w:rsidRPr="00724342" w:rsidRDefault="00724342" w:rsidP="0010381E">
      <w:pPr>
        <w:suppressAutoHyphens/>
        <w:ind w:firstLine="425"/>
        <w:jc w:val="both"/>
        <w:rPr>
          <w:rFonts w:eastAsiaTheme="minorHAnsi"/>
          <w:sz w:val="22"/>
          <w:szCs w:val="22"/>
          <w:lang w:eastAsia="en-US"/>
        </w:rPr>
      </w:pPr>
      <w:r w:rsidRPr="00724342">
        <w:rPr>
          <w:rFonts w:eastAsiaTheme="minorHAnsi"/>
          <w:sz w:val="22"/>
          <w:szCs w:val="22"/>
          <w:lang w:eastAsia="en-US"/>
        </w:rPr>
        <w:t>КЛЮЧЕВЫЕ СЛОВА: финансы, рынок, конкурентоспособность, эффективность, финансовые инструменты.</w:t>
      </w:r>
    </w:p>
    <w:p w:rsidR="00724342" w:rsidRPr="00724342" w:rsidRDefault="00724342" w:rsidP="0010381E">
      <w:pPr>
        <w:suppressAutoHyphens/>
        <w:ind w:firstLine="425"/>
        <w:jc w:val="both"/>
        <w:rPr>
          <w:rFonts w:eastAsiaTheme="minorHAnsi"/>
          <w:sz w:val="22"/>
          <w:szCs w:val="22"/>
          <w:lang w:val="en-US" w:eastAsia="en-US"/>
        </w:rPr>
      </w:pPr>
      <w:r w:rsidRPr="00724342">
        <w:rPr>
          <w:rFonts w:eastAsiaTheme="minorHAnsi"/>
          <w:color w:val="000000"/>
          <w:sz w:val="22"/>
          <w:szCs w:val="22"/>
          <w:shd w:val="clear" w:color="auto" w:fill="FFFFFF"/>
          <w:lang w:val="en-US" w:eastAsia="en-US"/>
        </w:rPr>
        <w:t>KEYWORDS:</w:t>
      </w:r>
      <w:r w:rsidRPr="00724342">
        <w:rPr>
          <w:rFonts w:asciiTheme="minorHAnsi" w:eastAsiaTheme="minorHAnsi" w:hAnsiTheme="minorHAnsi" w:cstheme="minorBidi"/>
          <w:sz w:val="22"/>
          <w:szCs w:val="22"/>
          <w:lang w:val="en-US" w:eastAsia="en-US"/>
        </w:rPr>
        <w:t xml:space="preserve"> </w:t>
      </w:r>
      <w:r w:rsidRPr="00724342">
        <w:rPr>
          <w:rFonts w:eastAsiaTheme="minorHAnsi"/>
          <w:color w:val="000000"/>
          <w:sz w:val="22"/>
          <w:szCs w:val="22"/>
          <w:shd w:val="clear" w:color="auto" w:fill="FFFFFF"/>
          <w:lang w:val="en-US" w:eastAsia="en-US"/>
        </w:rPr>
        <w:t>finance, market, competitiveness, efficiency, financial instruments</w:t>
      </w:r>
    </w:p>
    <w:p w:rsidR="00724342" w:rsidRPr="00724342" w:rsidRDefault="00724342" w:rsidP="0010381E">
      <w:pPr>
        <w:suppressAutoHyphens/>
        <w:ind w:firstLine="425"/>
        <w:jc w:val="both"/>
        <w:rPr>
          <w:sz w:val="22"/>
          <w:szCs w:val="22"/>
          <w:lang w:val="en-US" w:eastAsia="en-US"/>
        </w:rPr>
      </w:pPr>
    </w:p>
    <w:p w:rsidR="00724342" w:rsidRPr="00724342" w:rsidRDefault="00724342" w:rsidP="0010381E">
      <w:pPr>
        <w:ind w:firstLine="425"/>
        <w:jc w:val="both"/>
        <w:rPr>
          <w:rFonts w:eastAsiaTheme="minorHAnsi"/>
          <w:sz w:val="22"/>
          <w:szCs w:val="22"/>
          <w:lang w:eastAsia="en-US"/>
        </w:rPr>
      </w:pPr>
      <w:r w:rsidRPr="00724342">
        <w:rPr>
          <w:rFonts w:eastAsiaTheme="minorHAnsi"/>
          <w:sz w:val="22"/>
          <w:szCs w:val="22"/>
          <w:lang w:eastAsia="en-US"/>
        </w:rPr>
        <w:t>Финансовый рынок – это один из самых немаловажных эл</w:t>
      </w:r>
      <w:r w:rsidRPr="00724342">
        <w:rPr>
          <w:rFonts w:eastAsiaTheme="minorHAnsi"/>
          <w:sz w:val="22"/>
          <w:szCs w:val="22"/>
          <w:lang w:eastAsia="en-US"/>
        </w:rPr>
        <w:t>е</w:t>
      </w:r>
      <w:r w:rsidRPr="00724342">
        <w:rPr>
          <w:rFonts w:eastAsiaTheme="minorHAnsi"/>
          <w:sz w:val="22"/>
          <w:szCs w:val="22"/>
          <w:lang w:eastAsia="en-US"/>
        </w:rPr>
        <w:t>ментов экономики, его особенностью можно считать возможность мобилизовать временно свободные средства, а также рационально их распределить между экономическими секторами. Такое устро</w:t>
      </w:r>
      <w:r w:rsidRPr="00724342">
        <w:rPr>
          <w:rFonts w:eastAsiaTheme="minorHAnsi"/>
          <w:sz w:val="22"/>
          <w:szCs w:val="22"/>
          <w:lang w:eastAsia="en-US"/>
        </w:rPr>
        <w:t>й</w:t>
      </w:r>
      <w:r w:rsidRPr="00724342">
        <w:rPr>
          <w:rFonts w:eastAsiaTheme="minorHAnsi"/>
          <w:sz w:val="22"/>
          <w:szCs w:val="22"/>
          <w:lang w:eastAsia="en-US"/>
        </w:rPr>
        <w:t>ство способствует экономическому развитию и росту экономики страны не только в ближайшее время, но и в долгосрочной перспе</w:t>
      </w:r>
      <w:r w:rsidRPr="00724342">
        <w:rPr>
          <w:rFonts w:eastAsiaTheme="minorHAnsi"/>
          <w:sz w:val="22"/>
          <w:szCs w:val="22"/>
          <w:lang w:eastAsia="en-US"/>
        </w:rPr>
        <w:t>к</w:t>
      </w:r>
      <w:r w:rsidRPr="00724342">
        <w:rPr>
          <w:rFonts w:eastAsiaTheme="minorHAnsi"/>
          <w:sz w:val="22"/>
          <w:szCs w:val="22"/>
          <w:lang w:eastAsia="en-US"/>
        </w:rPr>
        <w:t>тиве, поэтому одним из путей модернизации экономики России можно с уверенностью назвать усовершенствование работы фина</w:t>
      </w:r>
      <w:r w:rsidRPr="00724342">
        <w:rPr>
          <w:rFonts w:eastAsiaTheme="minorHAnsi"/>
          <w:sz w:val="22"/>
          <w:szCs w:val="22"/>
          <w:lang w:eastAsia="en-US"/>
        </w:rPr>
        <w:t>н</w:t>
      </w:r>
      <w:r w:rsidRPr="00724342">
        <w:rPr>
          <w:rFonts w:eastAsiaTheme="minorHAnsi"/>
          <w:sz w:val="22"/>
          <w:szCs w:val="22"/>
          <w:lang w:eastAsia="en-US"/>
        </w:rPr>
        <w:t>сового рынка.</w:t>
      </w:r>
    </w:p>
    <w:p w:rsidR="00724342" w:rsidRPr="00724342" w:rsidRDefault="00724342" w:rsidP="0010381E">
      <w:pPr>
        <w:ind w:firstLine="425"/>
        <w:jc w:val="both"/>
        <w:rPr>
          <w:rFonts w:eastAsiaTheme="minorHAnsi"/>
          <w:sz w:val="22"/>
          <w:szCs w:val="22"/>
          <w:lang w:eastAsia="en-US"/>
        </w:rPr>
      </w:pPr>
      <w:r w:rsidRPr="00724342">
        <w:rPr>
          <w:rFonts w:eastAsiaTheme="minorHAnsi"/>
          <w:sz w:val="22"/>
          <w:szCs w:val="22"/>
          <w:lang w:eastAsia="en-US"/>
        </w:rPr>
        <w:lastRenderedPageBreak/>
        <w:t>В настоящее время можно перечислить ряд проблем в развитии финансового рынка России [3]:</w:t>
      </w:r>
    </w:p>
    <w:p w:rsidR="00724342" w:rsidRPr="00724342" w:rsidRDefault="00724342" w:rsidP="0010381E">
      <w:pPr>
        <w:numPr>
          <w:ilvl w:val="0"/>
          <w:numId w:val="98"/>
        </w:numPr>
        <w:ind w:left="0" w:firstLine="425"/>
        <w:contextualSpacing/>
        <w:jc w:val="both"/>
        <w:rPr>
          <w:rFonts w:eastAsiaTheme="minorHAnsi"/>
          <w:sz w:val="22"/>
          <w:szCs w:val="22"/>
          <w:lang w:eastAsia="en-US"/>
        </w:rPr>
      </w:pPr>
      <w:r w:rsidRPr="00724342">
        <w:rPr>
          <w:rFonts w:eastAsiaTheme="minorHAnsi"/>
          <w:sz w:val="22"/>
          <w:szCs w:val="22"/>
          <w:lang w:eastAsia="en-US"/>
        </w:rPr>
        <w:t>замедление развития финансового рынка за счет усиления конкурентоспособности зарубежных банков по сравнению с ро</w:t>
      </w:r>
      <w:r w:rsidRPr="00724342">
        <w:rPr>
          <w:rFonts w:eastAsiaTheme="minorHAnsi"/>
          <w:sz w:val="22"/>
          <w:szCs w:val="22"/>
          <w:lang w:eastAsia="en-US"/>
        </w:rPr>
        <w:t>с</w:t>
      </w:r>
      <w:r w:rsidRPr="00724342">
        <w:rPr>
          <w:rFonts w:eastAsiaTheme="minorHAnsi"/>
          <w:sz w:val="22"/>
          <w:szCs w:val="22"/>
          <w:lang w:eastAsia="en-US"/>
        </w:rPr>
        <w:t>сийскими;</w:t>
      </w:r>
    </w:p>
    <w:p w:rsidR="00724342" w:rsidRPr="00724342" w:rsidRDefault="00724342" w:rsidP="0010381E">
      <w:pPr>
        <w:numPr>
          <w:ilvl w:val="0"/>
          <w:numId w:val="98"/>
        </w:numPr>
        <w:ind w:left="0" w:firstLine="425"/>
        <w:contextualSpacing/>
        <w:jc w:val="both"/>
        <w:rPr>
          <w:rFonts w:eastAsiaTheme="minorHAnsi"/>
          <w:sz w:val="22"/>
          <w:szCs w:val="22"/>
          <w:lang w:eastAsia="en-US"/>
        </w:rPr>
      </w:pPr>
      <w:r w:rsidRPr="00724342">
        <w:rPr>
          <w:rFonts w:eastAsiaTheme="minorHAnsi"/>
          <w:sz w:val="22"/>
          <w:szCs w:val="22"/>
          <w:lang w:eastAsia="en-US"/>
        </w:rPr>
        <w:t>влияние на финансовый рынок иностранных инвесторов и заключаемых ими сделок;</w:t>
      </w:r>
    </w:p>
    <w:p w:rsidR="00724342" w:rsidRPr="00724342" w:rsidRDefault="00724342" w:rsidP="0010381E">
      <w:pPr>
        <w:numPr>
          <w:ilvl w:val="0"/>
          <w:numId w:val="98"/>
        </w:numPr>
        <w:ind w:left="0" w:firstLine="425"/>
        <w:contextualSpacing/>
        <w:jc w:val="both"/>
        <w:rPr>
          <w:rFonts w:eastAsiaTheme="minorHAnsi"/>
          <w:sz w:val="22"/>
          <w:szCs w:val="22"/>
          <w:lang w:eastAsia="en-US"/>
        </w:rPr>
      </w:pPr>
      <w:r w:rsidRPr="00724342">
        <w:rPr>
          <w:rFonts w:eastAsiaTheme="minorHAnsi"/>
          <w:sz w:val="22"/>
          <w:szCs w:val="22"/>
          <w:lang w:eastAsia="en-US"/>
        </w:rPr>
        <w:t>неразвитость национальной законодательной системы в о</w:t>
      </w:r>
      <w:r w:rsidRPr="00724342">
        <w:rPr>
          <w:rFonts w:eastAsiaTheme="minorHAnsi"/>
          <w:sz w:val="22"/>
          <w:szCs w:val="22"/>
          <w:lang w:eastAsia="en-US"/>
        </w:rPr>
        <w:t>б</w:t>
      </w:r>
      <w:r w:rsidRPr="00724342">
        <w:rPr>
          <w:rFonts w:eastAsiaTheme="minorHAnsi"/>
          <w:sz w:val="22"/>
          <w:szCs w:val="22"/>
          <w:lang w:eastAsia="en-US"/>
        </w:rPr>
        <w:t>ласти финансового рынка;</w:t>
      </w:r>
    </w:p>
    <w:p w:rsidR="00724342" w:rsidRPr="00724342" w:rsidRDefault="00724342" w:rsidP="0010381E">
      <w:pPr>
        <w:numPr>
          <w:ilvl w:val="0"/>
          <w:numId w:val="98"/>
        </w:numPr>
        <w:ind w:left="0" w:firstLine="425"/>
        <w:contextualSpacing/>
        <w:jc w:val="both"/>
        <w:rPr>
          <w:rFonts w:eastAsiaTheme="minorHAnsi"/>
          <w:sz w:val="22"/>
          <w:szCs w:val="22"/>
          <w:lang w:eastAsia="en-US"/>
        </w:rPr>
      </w:pPr>
      <w:r w:rsidRPr="00724342">
        <w:rPr>
          <w:rFonts w:eastAsiaTheme="minorHAnsi"/>
          <w:sz w:val="22"/>
          <w:szCs w:val="22"/>
          <w:lang w:eastAsia="en-US"/>
        </w:rPr>
        <w:t>постоянное наращивание валютных резервов тормозит ра</w:t>
      </w:r>
      <w:r w:rsidRPr="00724342">
        <w:rPr>
          <w:rFonts w:eastAsiaTheme="minorHAnsi"/>
          <w:sz w:val="22"/>
          <w:szCs w:val="22"/>
          <w:lang w:eastAsia="en-US"/>
        </w:rPr>
        <w:t>з</w:t>
      </w:r>
      <w:r w:rsidRPr="00724342">
        <w:rPr>
          <w:rFonts w:eastAsiaTheme="minorHAnsi"/>
          <w:sz w:val="22"/>
          <w:szCs w:val="22"/>
          <w:lang w:eastAsia="en-US"/>
        </w:rPr>
        <w:t>витие рынка;</w:t>
      </w:r>
    </w:p>
    <w:p w:rsidR="00724342" w:rsidRPr="00724342" w:rsidRDefault="00724342" w:rsidP="0010381E">
      <w:pPr>
        <w:ind w:firstLine="425"/>
        <w:jc w:val="both"/>
        <w:rPr>
          <w:sz w:val="22"/>
          <w:szCs w:val="22"/>
          <w:lang w:eastAsia="en-US"/>
        </w:rPr>
      </w:pPr>
      <w:r w:rsidRPr="00724342">
        <w:rPr>
          <w:rFonts w:eastAsiaTheme="minorHAnsi"/>
          <w:sz w:val="22"/>
          <w:szCs w:val="22"/>
          <w:lang w:eastAsia="en-US"/>
        </w:rPr>
        <w:t>Из-за устаревшей законодательной базы иностранные комп</w:t>
      </w:r>
      <w:r w:rsidRPr="00724342">
        <w:rPr>
          <w:rFonts w:eastAsiaTheme="minorHAnsi"/>
          <w:sz w:val="22"/>
          <w:szCs w:val="22"/>
          <w:lang w:eastAsia="en-US"/>
        </w:rPr>
        <w:t>а</w:t>
      </w:r>
      <w:r w:rsidRPr="00724342">
        <w:rPr>
          <w:rFonts w:eastAsiaTheme="minorHAnsi"/>
          <w:sz w:val="22"/>
          <w:szCs w:val="22"/>
          <w:lang w:eastAsia="en-US"/>
        </w:rPr>
        <w:t>нии могут не выполнять свои обязательства перед российскими  компаниями.</w:t>
      </w:r>
    </w:p>
    <w:p w:rsidR="00724342" w:rsidRPr="00724342" w:rsidRDefault="00724342" w:rsidP="0010381E">
      <w:pPr>
        <w:ind w:firstLine="425"/>
        <w:jc w:val="both"/>
        <w:rPr>
          <w:rFonts w:eastAsiaTheme="minorHAnsi"/>
          <w:sz w:val="22"/>
          <w:szCs w:val="22"/>
          <w:lang w:eastAsia="en-US"/>
        </w:rPr>
      </w:pPr>
      <w:r w:rsidRPr="00724342">
        <w:rPr>
          <w:rFonts w:eastAsiaTheme="minorHAnsi"/>
          <w:sz w:val="22"/>
          <w:szCs w:val="22"/>
          <w:lang w:eastAsia="en-US"/>
        </w:rPr>
        <w:t>Российский финансовый рынок достиг определенных результ</w:t>
      </w:r>
      <w:r w:rsidRPr="00724342">
        <w:rPr>
          <w:rFonts w:eastAsiaTheme="minorHAnsi"/>
          <w:sz w:val="22"/>
          <w:szCs w:val="22"/>
          <w:lang w:eastAsia="en-US"/>
        </w:rPr>
        <w:t>а</w:t>
      </w:r>
      <w:r w:rsidRPr="00724342">
        <w:rPr>
          <w:rFonts w:eastAsiaTheme="minorHAnsi"/>
          <w:sz w:val="22"/>
          <w:szCs w:val="22"/>
          <w:lang w:eastAsia="en-US"/>
        </w:rPr>
        <w:t>тов, но влияние глобальной конкуренции оставляет рынок на ни</w:t>
      </w:r>
      <w:r w:rsidRPr="00724342">
        <w:rPr>
          <w:rFonts w:eastAsiaTheme="minorHAnsi"/>
          <w:sz w:val="22"/>
          <w:szCs w:val="22"/>
          <w:lang w:eastAsia="en-US"/>
        </w:rPr>
        <w:t>з</w:t>
      </w:r>
      <w:r w:rsidRPr="00724342">
        <w:rPr>
          <w:rFonts w:eastAsiaTheme="minorHAnsi"/>
          <w:sz w:val="22"/>
          <w:szCs w:val="22"/>
          <w:lang w:eastAsia="en-US"/>
        </w:rPr>
        <w:t>ких позициях [1]. В целом если посмотреть индекс глобальной ко</w:t>
      </w:r>
      <w:r w:rsidRPr="00724342">
        <w:rPr>
          <w:rFonts w:eastAsiaTheme="minorHAnsi"/>
          <w:sz w:val="22"/>
          <w:szCs w:val="22"/>
          <w:lang w:eastAsia="en-US"/>
        </w:rPr>
        <w:t>н</w:t>
      </w:r>
      <w:r w:rsidRPr="00724342">
        <w:rPr>
          <w:rFonts w:eastAsiaTheme="minorHAnsi"/>
          <w:sz w:val="22"/>
          <w:szCs w:val="22"/>
          <w:lang w:eastAsia="en-US"/>
        </w:rPr>
        <w:t>курентоспособности в рамках  Ежегодного Всемирного экономич</w:t>
      </w:r>
      <w:r w:rsidRPr="00724342">
        <w:rPr>
          <w:rFonts w:eastAsiaTheme="minorHAnsi"/>
          <w:sz w:val="22"/>
          <w:szCs w:val="22"/>
          <w:lang w:eastAsia="en-US"/>
        </w:rPr>
        <w:t>е</w:t>
      </w:r>
      <w:r w:rsidRPr="00724342">
        <w:rPr>
          <w:rFonts w:eastAsiaTheme="minorHAnsi"/>
          <w:sz w:val="22"/>
          <w:szCs w:val="22"/>
          <w:lang w:eastAsia="en-US"/>
        </w:rPr>
        <w:t>ского форума и  Отчет о глобальной конкурентоспособности, то за период 2015–2016 год, на долю России приходится 45 место из 140 возможных. При чем отметим такие позиции занимает Казахстан и страны БРИКС, но при этом страна существенно отстает от стран «Группы двадцати».</w:t>
      </w:r>
    </w:p>
    <w:p w:rsidR="00724342" w:rsidRPr="00724342" w:rsidRDefault="00724342" w:rsidP="0010381E">
      <w:pPr>
        <w:ind w:firstLine="425"/>
        <w:jc w:val="both"/>
        <w:rPr>
          <w:rFonts w:eastAsiaTheme="minorHAnsi"/>
          <w:sz w:val="22"/>
          <w:szCs w:val="22"/>
          <w:lang w:eastAsia="en-US"/>
        </w:rPr>
      </w:pPr>
      <w:r w:rsidRPr="00724342">
        <w:rPr>
          <w:rFonts w:eastAsiaTheme="minorHAnsi"/>
          <w:sz w:val="22"/>
          <w:szCs w:val="22"/>
          <w:lang w:eastAsia="en-US"/>
        </w:rPr>
        <w:t>Таким образом, основные направления развития финансового рынка Российской Федерации на период 2018– 2020 годов носят целостный характер, и максимальный эффект от их исполнения м</w:t>
      </w:r>
      <w:r w:rsidRPr="00724342">
        <w:rPr>
          <w:rFonts w:eastAsiaTheme="minorHAnsi"/>
          <w:sz w:val="22"/>
          <w:szCs w:val="22"/>
          <w:lang w:eastAsia="en-US"/>
        </w:rPr>
        <w:t>о</w:t>
      </w:r>
      <w:r w:rsidRPr="00724342">
        <w:rPr>
          <w:rFonts w:eastAsiaTheme="minorHAnsi"/>
          <w:sz w:val="22"/>
          <w:szCs w:val="22"/>
          <w:lang w:eastAsia="en-US"/>
        </w:rPr>
        <w:t>жет быть достигнут только при комплексной реализации [2]. Пре</w:t>
      </w:r>
      <w:r w:rsidRPr="00724342">
        <w:rPr>
          <w:rFonts w:eastAsiaTheme="minorHAnsi"/>
          <w:sz w:val="22"/>
          <w:szCs w:val="22"/>
          <w:lang w:eastAsia="en-US"/>
        </w:rPr>
        <w:t>д</w:t>
      </w:r>
      <w:r w:rsidRPr="00724342">
        <w:rPr>
          <w:rFonts w:eastAsiaTheme="minorHAnsi"/>
          <w:sz w:val="22"/>
          <w:szCs w:val="22"/>
          <w:lang w:eastAsia="en-US"/>
        </w:rPr>
        <w:t>лагаемые мероприятия касаются деятельности российских фина</w:t>
      </w:r>
      <w:r w:rsidRPr="00724342">
        <w:rPr>
          <w:rFonts w:eastAsiaTheme="minorHAnsi"/>
          <w:sz w:val="22"/>
          <w:szCs w:val="22"/>
          <w:lang w:eastAsia="en-US"/>
        </w:rPr>
        <w:t>н</w:t>
      </w:r>
      <w:r w:rsidRPr="00724342">
        <w:rPr>
          <w:rFonts w:eastAsiaTheme="minorHAnsi"/>
          <w:sz w:val="22"/>
          <w:szCs w:val="22"/>
          <w:lang w:eastAsia="en-US"/>
        </w:rPr>
        <w:t>совых институтов в отношении широкого спектра используемых финансовых инструментов, последовательности отражения фина</w:t>
      </w:r>
      <w:r w:rsidRPr="00724342">
        <w:rPr>
          <w:rFonts w:eastAsiaTheme="minorHAnsi"/>
          <w:sz w:val="22"/>
          <w:szCs w:val="22"/>
          <w:lang w:eastAsia="en-US"/>
        </w:rPr>
        <w:t>н</w:t>
      </w:r>
      <w:r w:rsidRPr="00724342">
        <w:rPr>
          <w:rFonts w:eastAsiaTheme="minorHAnsi"/>
          <w:sz w:val="22"/>
          <w:szCs w:val="22"/>
          <w:lang w:eastAsia="en-US"/>
        </w:rPr>
        <w:t>совой деятельности в отчетности, формата представления отчетных данных, требований к капиталу, характеристик бизнес-моделей, требований к персоналу, а также подходов к оценке платежесп</w:t>
      </w:r>
      <w:r w:rsidRPr="00724342">
        <w:rPr>
          <w:rFonts w:eastAsiaTheme="minorHAnsi"/>
          <w:sz w:val="22"/>
          <w:szCs w:val="22"/>
          <w:lang w:eastAsia="en-US"/>
        </w:rPr>
        <w:t>о</w:t>
      </w:r>
      <w:r w:rsidRPr="00724342">
        <w:rPr>
          <w:rFonts w:eastAsiaTheme="minorHAnsi"/>
          <w:sz w:val="22"/>
          <w:szCs w:val="22"/>
          <w:lang w:eastAsia="en-US"/>
        </w:rPr>
        <w:t>собности, модернизации информационных и технологических с</w:t>
      </w:r>
      <w:r w:rsidRPr="00724342">
        <w:rPr>
          <w:rFonts w:eastAsiaTheme="minorHAnsi"/>
          <w:sz w:val="22"/>
          <w:szCs w:val="22"/>
          <w:lang w:eastAsia="en-US"/>
        </w:rPr>
        <w:t>и</w:t>
      </w:r>
      <w:r w:rsidRPr="00724342">
        <w:rPr>
          <w:rFonts w:eastAsiaTheme="minorHAnsi"/>
          <w:sz w:val="22"/>
          <w:szCs w:val="22"/>
          <w:lang w:eastAsia="en-US"/>
        </w:rPr>
        <w:t xml:space="preserve">стем и прочих инноваций. </w:t>
      </w:r>
    </w:p>
    <w:p w:rsidR="00724342" w:rsidRPr="00724342" w:rsidRDefault="00724342" w:rsidP="0010381E">
      <w:pPr>
        <w:suppressAutoHyphens/>
        <w:ind w:firstLine="425"/>
        <w:jc w:val="both"/>
        <w:rPr>
          <w:rFonts w:eastAsiaTheme="minorHAnsi"/>
          <w:sz w:val="22"/>
          <w:szCs w:val="22"/>
          <w:lang w:eastAsia="en-US"/>
        </w:rPr>
      </w:pPr>
      <w:r w:rsidRPr="00724342">
        <w:rPr>
          <w:rFonts w:eastAsiaTheme="minorHAnsi"/>
          <w:sz w:val="22"/>
          <w:szCs w:val="22"/>
          <w:lang w:eastAsia="en-US"/>
        </w:rPr>
        <w:t xml:space="preserve">Исследуя современное состояние финансового сектора России и его экономическое положение, отметим, что существуют факторы, которые оказываю непосредственное влияние на задержку </w:t>
      </w:r>
      <w:r w:rsidRPr="00724342">
        <w:rPr>
          <w:rFonts w:eastAsiaTheme="minorHAnsi"/>
          <w:sz w:val="22"/>
          <w:szCs w:val="22"/>
          <w:lang w:eastAsia="en-US"/>
        </w:rPr>
        <w:lastRenderedPageBreak/>
        <w:t xml:space="preserve">мероприятий. Поэтому реализация намеченных мероприятий должна проходить с учетом различных рисков и ограничений. Данные ограничения возникают в силу ускорения проводимых операций, недостаточности финансовых, организационных и человеческих ресурсов в финансовом секторе. </w:t>
      </w:r>
    </w:p>
    <w:p w:rsidR="00724342" w:rsidRPr="00724342" w:rsidRDefault="00724342" w:rsidP="0010381E">
      <w:pPr>
        <w:suppressAutoHyphens/>
        <w:ind w:firstLine="425"/>
        <w:jc w:val="both"/>
        <w:rPr>
          <w:rFonts w:eastAsiaTheme="minorHAnsi"/>
          <w:color w:val="FF0000"/>
          <w:sz w:val="22"/>
          <w:szCs w:val="22"/>
          <w:lang w:eastAsia="en-US"/>
        </w:rPr>
      </w:pPr>
    </w:p>
    <w:p w:rsidR="00724342" w:rsidRPr="00724342" w:rsidRDefault="0010381E" w:rsidP="0010381E">
      <w:pPr>
        <w:ind w:firstLine="425"/>
        <w:jc w:val="center"/>
        <w:rPr>
          <w:rFonts w:eastAsiaTheme="minorHAnsi"/>
          <w:color w:val="000000" w:themeColor="text1"/>
          <w:sz w:val="22"/>
          <w:szCs w:val="22"/>
          <w:lang w:eastAsia="en-US"/>
        </w:rPr>
      </w:pPr>
      <w:r>
        <w:rPr>
          <w:rFonts w:eastAsiaTheme="minorHAnsi"/>
          <w:color w:val="000000" w:themeColor="text1"/>
          <w:sz w:val="22"/>
          <w:szCs w:val="22"/>
          <w:lang w:eastAsia="en-US"/>
        </w:rPr>
        <w:t>Список литературы</w:t>
      </w:r>
    </w:p>
    <w:p w:rsidR="00724342" w:rsidRPr="00724342" w:rsidRDefault="00724342" w:rsidP="0010381E">
      <w:pPr>
        <w:ind w:firstLine="425"/>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1. </w:t>
      </w:r>
      <w:r w:rsidRPr="00724342">
        <w:rPr>
          <w:rFonts w:eastAsiaTheme="minorHAnsi"/>
          <w:sz w:val="22"/>
          <w:szCs w:val="22"/>
          <w:lang w:eastAsia="en-US"/>
        </w:rPr>
        <w:t>Арутюнян Ю. И., Трубачева Е. А. Финансовый рынок Ро</w:t>
      </w:r>
      <w:r w:rsidRPr="00724342">
        <w:rPr>
          <w:rFonts w:eastAsiaTheme="minorHAnsi"/>
          <w:sz w:val="22"/>
          <w:szCs w:val="22"/>
          <w:lang w:eastAsia="en-US"/>
        </w:rPr>
        <w:t>с</w:t>
      </w:r>
      <w:r w:rsidRPr="00724342">
        <w:rPr>
          <w:rFonts w:eastAsiaTheme="minorHAnsi"/>
          <w:sz w:val="22"/>
          <w:szCs w:val="22"/>
          <w:lang w:eastAsia="en-US"/>
        </w:rPr>
        <w:t>сии: тенденции, проблемы и перспективы развития//Материалы VII международной научно-практической конференции «Фундаме</w:t>
      </w:r>
      <w:r w:rsidRPr="00724342">
        <w:rPr>
          <w:rFonts w:eastAsiaTheme="minorHAnsi"/>
          <w:sz w:val="22"/>
          <w:szCs w:val="22"/>
          <w:lang w:eastAsia="en-US"/>
        </w:rPr>
        <w:t>н</w:t>
      </w:r>
      <w:r w:rsidRPr="00724342">
        <w:rPr>
          <w:rFonts w:eastAsiaTheme="minorHAnsi"/>
          <w:sz w:val="22"/>
          <w:szCs w:val="22"/>
          <w:lang w:eastAsia="en-US"/>
        </w:rPr>
        <w:t>тальная наука и технологии - перспективные разработки». -North Charleston, SC, USA: н. -и. ц. «Академический», 2015. С. 249 -254.</w:t>
      </w:r>
    </w:p>
    <w:p w:rsidR="00724342" w:rsidRPr="00724342" w:rsidRDefault="00724342" w:rsidP="0010381E">
      <w:pPr>
        <w:ind w:firstLine="425"/>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2. Галкин Д.И., Погребная Н.В. Инвестирование в акции, кот</w:t>
      </w:r>
      <w:r w:rsidRPr="00724342">
        <w:rPr>
          <w:rFonts w:eastAsiaTheme="minorHAnsi"/>
          <w:color w:val="000000" w:themeColor="text1"/>
          <w:sz w:val="22"/>
          <w:szCs w:val="22"/>
          <w:lang w:eastAsia="en-US"/>
        </w:rPr>
        <w:t>о</w:t>
      </w:r>
      <w:r w:rsidRPr="00724342">
        <w:rPr>
          <w:rFonts w:eastAsiaTheme="minorHAnsi"/>
          <w:color w:val="000000" w:themeColor="text1"/>
          <w:sz w:val="22"/>
          <w:szCs w:val="22"/>
          <w:lang w:eastAsia="en-US"/>
        </w:rPr>
        <w:t>рые не боятся кризисов. В</w:t>
      </w:r>
      <w:r w:rsidRPr="00724342">
        <w:rPr>
          <w:rFonts w:eastAsiaTheme="minorHAnsi"/>
          <w:color w:val="000000" w:themeColor="text1"/>
          <w:sz w:val="22"/>
          <w:szCs w:val="22"/>
          <w:lang w:val="en-US" w:eastAsia="en-US"/>
        </w:rPr>
        <w:t xml:space="preserve"> </w:t>
      </w:r>
      <w:r w:rsidRPr="00724342">
        <w:rPr>
          <w:rFonts w:eastAsiaTheme="minorHAnsi"/>
          <w:color w:val="000000" w:themeColor="text1"/>
          <w:sz w:val="22"/>
          <w:szCs w:val="22"/>
          <w:lang w:eastAsia="en-US"/>
        </w:rPr>
        <w:t>сборнике</w:t>
      </w:r>
      <w:r w:rsidRPr="00724342">
        <w:rPr>
          <w:rFonts w:eastAsiaTheme="minorHAnsi"/>
          <w:color w:val="000000" w:themeColor="text1"/>
          <w:sz w:val="22"/>
          <w:szCs w:val="22"/>
          <w:lang w:val="en-US" w:eastAsia="en-US"/>
        </w:rPr>
        <w:t>: International conference on modern researches in science and technology Con-ference Proceedings. Scientific</w:t>
      </w:r>
      <w:r w:rsidRPr="00724342">
        <w:rPr>
          <w:rFonts w:eastAsiaTheme="minorHAnsi"/>
          <w:color w:val="000000" w:themeColor="text1"/>
          <w:sz w:val="22"/>
          <w:szCs w:val="22"/>
          <w:lang w:eastAsia="en-US"/>
        </w:rPr>
        <w:t xml:space="preserve"> </w:t>
      </w:r>
      <w:r w:rsidRPr="00724342">
        <w:rPr>
          <w:rFonts w:eastAsiaTheme="minorHAnsi"/>
          <w:color w:val="000000" w:themeColor="text1"/>
          <w:sz w:val="22"/>
          <w:szCs w:val="22"/>
          <w:lang w:val="en-US" w:eastAsia="en-US"/>
        </w:rPr>
        <w:t>public</w:t>
      </w:r>
      <w:r w:rsidRPr="00724342">
        <w:rPr>
          <w:rFonts w:eastAsiaTheme="minorHAnsi"/>
          <w:color w:val="000000" w:themeColor="text1"/>
          <w:sz w:val="22"/>
          <w:szCs w:val="22"/>
          <w:lang w:eastAsia="en-US"/>
        </w:rPr>
        <w:t xml:space="preserve"> </w:t>
      </w:r>
      <w:r w:rsidRPr="00724342">
        <w:rPr>
          <w:rFonts w:eastAsiaTheme="minorHAnsi"/>
          <w:color w:val="000000" w:themeColor="text1"/>
          <w:sz w:val="22"/>
          <w:szCs w:val="22"/>
          <w:lang w:val="en-US" w:eastAsia="en-US"/>
        </w:rPr>
        <w:t>organization</w:t>
      </w:r>
      <w:r w:rsidRPr="00724342">
        <w:rPr>
          <w:rFonts w:eastAsiaTheme="minorHAnsi"/>
          <w:color w:val="000000" w:themeColor="text1"/>
          <w:sz w:val="22"/>
          <w:szCs w:val="22"/>
          <w:lang w:eastAsia="en-US"/>
        </w:rPr>
        <w:t xml:space="preserve"> «</w:t>
      </w:r>
      <w:r w:rsidRPr="00724342">
        <w:rPr>
          <w:rFonts w:eastAsiaTheme="minorHAnsi"/>
          <w:color w:val="000000" w:themeColor="text1"/>
          <w:sz w:val="22"/>
          <w:szCs w:val="22"/>
          <w:lang w:val="en-US" w:eastAsia="en-US"/>
        </w:rPr>
        <w:t>Professional</w:t>
      </w:r>
      <w:r w:rsidRPr="00724342">
        <w:rPr>
          <w:rFonts w:eastAsiaTheme="minorHAnsi"/>
          <w:color w:val="000000" w:themeColor="text1"/>
          <w:sz w:val="22"/>
          <w:szCs w:val="22"/>
          <w:lang w:eastAsia="en-US"/>
        </w:rPr>
        <w:t xml:space="preserve"> </w:t>
      </w:r>
      <w:r w:rsidRPr="00724342">
        <w:rPr>
          <w:rFonts w:eastAsiaTheme="minorHAnsi"/>
          <w:color w:val="000000" w:themeColor="text1"/>
          <w:sz w:val="22"/>
          <w:szCs w:val="22"/>
          <w:lang w:val="en-US" w:eastAsia="en-US"/>
        </w:rPr>
        <w:t>science</w:t>
      </w:r>
      <w:r w:rsidRPr="00724342">
        <w:rPr>
          <w:rFonts w:eastAsiaTheme="minorHAnsi"/>
          <w:color w:val="000000" w:themeColor="text1"/>
          <w:sz w:val="22"/>
          <w:szCs w:val="22"/>
          <w:lang w:eastAsia="en-US"/>
        </w:rPr>
        <w:t>». - 2017. - С. 217-225.</w:t>
      </w:r>
    </w:p>
    <w:p w:rsidR="00724342" w:rsidRPr="00724342" w:rsidRDefault="00724342" w:rsidP="0010381E">
      <w:pPr>
        <w:ind w:firstLine="425"/>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3. </w:t>
      </w:r>
      <w:hyperlink r:id="rId294" w:history="1">
        <w:r w:rsidRPr="00724342">
          <w:rPr>
            <w:rFonts w:eastAsiaTheme="minorHAnsi"/>
            <w:color w:val="000000" w:themeColor="text1"/>
            <w:sz w:val="22"/>
            <w:szCs w:val="22"/>
            <w:lang w:eastAsia="en-US"/>
          </w:rPr>
          <w:t>Ноздрина А. К.</w:t>
        </w:r>
      </w:hyperlink>
      <w:r w:rsidRPr="00724342">
        <w:rPr>
          <w:rFonts w:eastAsiaTheme="minorHAnsi"/>
          <w:color w:val="000000" w:themeColor="text1"/>
          <w:sz w:val="22"/>
          <w:szCs w:val="22"/>
          <w:lang w:eastAsia="en-US"/>
        </w:rPr>
        <w:t xml:space="preserve">, </w:t>
      </w:r>
      <w:r w:rsidRPr="00724342">
        <w:rPr>
          <w:rFonts w:eastAsiaTheme="minorHAnsi"/>
          <w:sz w:val="22"/>
          <w:szCs w:val="22"/>
          <w:lang w:eastAsia="en-US"/>
        </w:rPr>
        <w:t>Арутюнян Ю. И.</w:t>
      </w:r>
      <w:r w:rsidRPr="00724342">
        <w:rPr>
          <w:rFonts w:eastAsiaTheme="minorHAnsi"/>
          <w:color w:val="000000" w:themeColor="text1"/>
          <w:sz w:val="22"/>
          <w:szCs w:val="22"/>
          <w:lang w:eastAsia="en-US"/>
        </w:rPr>
        <w:t xml:space="preserve"> Управление финансовыми рисками как способ повышения эффективности использования р</w:t>
      </w:r>
      <w:r w:rsidRPr="00724342">
        <w:rPr>
          <w:rFonts w:eastAsiaTheme="minorHAnsi"/>
          <w:color w:val="000000" w:themeColor="text1"/>
          <w:sz w:val="22"/>
          <w:szCs w:val="22"/>
          <w:lang w:eastAsia="en-US"/>
        </w:rPr>
        <w:t>е</w:t>
      </w:r>
      <w:r w:rsidRPr="00724342">
        <w:rPr>
          <w:rFonts w:eastAsiaTheme="minorHAnsi"/>
          <w:color w:val="000000" w:themeColor="text1"/>
          <w:sz w:val="22"/>
          <w:szCs w:val="22"/>
          <w:lang w:eastAsia="en-US"/>
        </w:rPr>
        <w:t>сурсов предприятия // Сборник научных трудов «Предприятия, о</w:t>
      </w:r>
      <w:r w:rsidRPr="00724342">
        <w:rPr>
          <w:rFonts w:eastAsiaTheme="minorHAnsi"/>
          <w:color w:val="000000" w:themeColor="text1"/>
          <w:sz w:val="22"/>
          <w:szCs w:val="22"/>
          <w:lang w:eastAsia="en-US"/>
        </w:rPr>
        <w:t>т</w:t>
      </w:r>
      <w:r w:rsidRPr="00724342">
        <w:rPr>
          <w:rFonts w:eastAsiaTheme="minorHAnsi"/>
          <w:color w:val="000000" w:themeColor="text1"/>
          <w:sz w:val="22"/>
          <w:szCs w:val="22"/>
          <w:lang w:eastAsia="en-US"/>
        </w:rPr>
        <w:t>расли и регионы: генезис, формирование, развитие и прогнозиров</w:t>
      </w:r>
      <w:r w:rsidRPr="00724342">
        <w:rPr>
          <w:rFonts w:eastAsiaTheme="minorHAnsi"/>
          <w:color w:val="000000" w:themeColor="text1"/>
          <w:sz w:val="22"/>
          <w:szCs w:val="22"/>
          <w:lang w:eastAsia="en-US"/>
        </w:rPr>
        <w:t>а</w:t>
      </w:r>
      <w:r w:rsidRPr="00724342">
        <w:rPr>
          <w:rFonts w:eastAsiaTheme="minorHAnsi"/>
          <w:color w:val="000000" w:themeColor="text1"/>
          <w:sz w:val="22"/>
          <w:szCs w:val="22"/>
          <w:lang w:eastAsia="en-US"/>
        </w:rPr>
        <w:t>ние». -  2016. С. 512-518.</w:t>
      </w:r>
      <w:r w:rsidRPr="00724342">
        <w:rPr>
          <w:rFonts w:eastAsiaTheme="minorHAnsi"/>
          <w:color w:val="000000" w:themeColor="text1"/>
          <w:sz w:val="20"/>
          <w:szCs w:val="20"/>
          <w:shd w:val="clear" w:color="auto" w:fill="F5F5F5"/>
          <w:lang w:eastAsia="en-US"/>
        </w:rPr>
        <w:t> </w:t>
      </w:r>
    </w:p>
    <w:p w:rsidR="00724342" w:rsidRPr="00724342" w:rsidRDefault="00724342" w:rsidP="0010381E">
      <w:pPr>
        <w:ind w:firstLine="425"/>
        <w:jc w:val="both"/>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eastAsia="en-US"/>
        </w:rPr>
        <w:t>4. Тернавщенко К.О., Малашенко Н.Л., Ильина Т.В., Погребная Н.В. Формирование параметрических оценок экономической бе</w:t>
      </w:r>
      <w:r w:rsidRPr="00724342">
        <w:rPr>
          <w:rFonts w:eastAsiaTheme="minorHAnsi"/>
          <w:color w:val="000000" w:themeColor="text1"/>
          <w:sz w:val="22"/>
          <w:szCs w:val="22"/>
          <w:shd w:val="clear" w:color="auto" w:fill="FFFFFF"/>
          <w:lang w:eastAsia="en-US"/>
        </w:rPr>
        <w:t>з</w:t>
      </w:r>
      <w:r w:rsidRPr="00724342">
        <w:rPr>
          <w:rFonts w:eastAsiaTheme="minorHAnsi"/>
          <w:color w:val="000000" w:themeColor="text1"/>
          <w:sz w:val="22"/>
          <w:szCs w:val="22"/>
          <w:shd w:val="clear" w:color="auto" w:fill="FFFFFF"/>
          <w:lang w:eastAsia="en-US"/>
        </w:rPr>
        <w:t>опасности на мезоуровне // Политематический сетевой электронный научный журнал Кубанского государственного аграрного универс</w:t>
      </w:r>
      <w:r w:rsidRPr="00724342">
        <w:rPr>
          <w:rFonts w:eastAsiaTheme="minorHAnsi"/>
          <w:color w:val="000000" w:themeColor="text1"/>
          <w:sz w:val="22"/>
          <w:szCs w:val="22"/>
          <w:shd w:val="clear" w:color="auto" w:fill="FFFFFF"/>
          <w:lang w:eastAsia="en-US"/>
        </w:rPr>
        <w:t>и</w:t>
      </w:r>
      <w:r w:rsidRPr="00724342">
        <w:rPr>
          <w:rFonts w:eastAsiaTheme="minorHAnsi"/>
          <w:color w:val="000000" w:themeColor="text1"/>
          <w:sz w:val="22"/>
          <w:szCs w:val="22"/>
          <w:shd w:val="clear" w:color="auto" w:fill="FFFFFF"/>
          <w:lang w:eastAsia="en-US"/>
        </w:rPr>
        <w:t xml:space="preserve">тета (Научный журнал КубГАУ) . – Краснодар: КубГАУ, 2016. </w:t>
      </w:r>
      <w:r w:rsidRPr="00724342">
        <w:rPr>
          <w:rFonts w:eastAsiaTheme="minorHAnsi"/>
          <w:color w:val="000000" w:themeColor="text1"/>
          <w:sz w:val="22"/>
          <w:szCs w:val="22"/>
          <w:shd w:val="clear" w:color="auto" w:fill="FFFFFF"/>
          <w:lang w:val="en-US" w:eastAsia="en-US"/>
        </w:rPr>
        <w:t>№ 123.</w:t>
      </w:r>
    </w:p>
    <w:p w:rsidR="00724342" w:rsidRPr="00724342" w:rsidRDefault="00724342" w:rsidP="00724342">
      <w:pPr>
        <w:jc w:val="both"/>
        <w:rPr>
          <w:rFonts w:eastAsiaTheme="minorHAnsi"/>
          <w:color w:val="000000" w:themeColor="text1"/>
          <w:sz w:val="22"/>
          <w:szCs w:val="22"/>
          <w:lang w:val="en-US" w:eastAsia="en-US"/>
        </w:rPr>
      </w:pPr>
    </w:p>
    <w:p w:rsidR="00724342" w:rsidRPr="008D33CB" w:rsidRDefault="00724342" w:rsidP="00724342">
      <w:pPr>
        <w:jc w:val="both"/>
        <w:rPr>
          <w:rFonts w:asciiTheme="minorHAnsi" w:eastAsiaTheme="minorHAnsi" w:hAnsiTheme="minorHAnsi" w:cstheme="minorBidi"/>
          <w:sz w:val="24"/>
          <w:szCs w:val="24"/>
          <w:lang w:val="en-US" w:eastAsia="en-US"/>
        </w:rPr>
      </w:pPr>
    </w:p>
    <w:p w:rsidR="00CB06AE" w:rsidRPr="008D33CB" w:rsidRDefault="00CB06AE" w:rsidP="00724342">
      <w:pPr>
        <w:jc w:val="both"/>
        <w:rPr>
          <w:rFonts w:asciiTheme="minorHAnsi" w:eastAsiaTheme="minorHAnsi" w:hAnsiTheme="minorHAnsi" w:cstheme="minorBidi"/>
          <w:sz w:val="24"/>
          <w:szCs w:val="24"/>
          <w:lang w:val="en-US" w:eastAsia="en-US"/>
        </w:rPr>
      </w:pPr>
    </w:p>
    <w:p w:rsidR="00CB06AE" w:rsidRPr="008D33CB" w:rsidRDefault="00CB06AE" w:rsidP="00724342">
      <w:pPr>
        <w:jc w:val="both"/>
        <w:rPr>
          <w:rFonts w:asciiTheme="minorHAnsi" w:eastAsiaTheme="minorHAnsi" w:hAnsiTheme="minorHAnsi" w:cstheme="minorBidi"/>
          <w:sz w:val="24"/>
          <w:szCs w:val="24"/>
          <w:lang w:val="en-US" w:eastAsia="en-US"/>
        </w:rPr>
      </w:pPr>
    </w:p>
    <w:p w:rsidR="00CB06AE" w:rsidRPr="008D33CB" w:rsidRDefault="00CB06AE" w:rsidP="00724342">
      <w:pPr>
        <w:jc w:val="both"/>
        <w:rPr>
          <w:rFonts w:asciiTheme="minorHAnsi" w:eastAsiaTheme="minorHAnsi" w:hAnsiTheme="minorHAnsi" w:cstheme="minorBidi"/>
          <w:sz w:val="24"/>
          <w:szCs w:val="24"/>
          <w:lang w:val="en-US" w:eastAsia="en-US"/>
        </w:rPr>
      </w:pPr>
    </w:p>
    <w:p w:rsidR="00CB06AE" w:rsidRPr="008D33CB" w:rsidRDefault="00CB06AE" w:rsidP="00724342">
      <w:pPr>
        <w:jc w:val="both"/>
        <w:rPr>
          <w:rFonts w:asciiTheme="minorHAnsi" w:eastAsiaTheme="minorHAnsi" w:hAnsiTheme="minorHAnsi" w:cstheme="minorBidi"/>
          <w:sz w:val="24"/>
          <w:szCs w:val="24"/>
          <w:lang w:val="en-US" w:eastAsia="en-US"/>
        </w:rPr>
      </w:pPr>
    </w:p>
    <w:p w:rsidR="00CB06AE" w:rsidRPr="008D33CB" w:rsidRDefault="00CB06AE" w:rsidP="00724342">
      <w:pPr>
        <w:jc w:val="both"/>
        <w:rPr>
          <w:rFonts w:asciiTheme="minorHAnsi" w:eastAsiaTheme="minorHAnsi" w:hAnsiTheme="minorHAnsi" w:cstheme="minorBidi"/>
          <w:sz w:val="24"/>
          <w:szCs w:val="24"/>
          <w:lang w:val="en-US" w:eastAsia="en-US"/>
        </w:rPr>
      </w:pPr>
    </w:p>
    <w:p w:rsidR="00CB06AE" w:rsidRPr="008D33CB" w:rsidRDefault="00CB06AE">
      <w:pPr>
        <w:rPr>
          <w:rFonts w:asciiTheme="minorHAnsi" w:eastAsiaTheme="minorHAnsi" w:hAnsiTheme="minorHAnsi" w:cstheme="minorBidi"/>
          <w:sz w:val="24"/>
          <w:szCs w:val="24"/>
          <w:lang w:val="en-US" w:eastAsia="en-US"/>
        </w:rPr>
      </w:pPr>
      <w:r w:rsidRPr="008D33CB">
        <w:rPr>
          <w:rFonts w:asciiTheme="minorHAnsi" w:eastAsiaTheme="minorHAnsi" w:hAnsiTheme="minorHAnsi" w:cstheme="minorBidi"/>
          <w:sz w:val="24"/>
          <w:szCs w:val="24"/>
          <w:lang w:val="en-US" w:eastAsia="en-US"/>
        </w:rPr>
        <w:br w:type="page"/>
      </w:r>
    </w:p>
    <w:p w:rsidR="00724342" w:rsidRPr="00724342" w:rsidRDefault="00724342" w:rsidP="00724342">
      <w:pPr>
        <w:rPr>
          <w:rFonts w:eastAsiaTheme="minorHAnsi"/>
          <w:color w:val="000000" w:themeColor="text1"/>
          <w:sz w:val="22"/>
          <w:szCs w:val="22"/>
          <w:lang w:val="en-US" w:eastAsia="en-US"/>
        </w:rPr>
      </w:pPr>
      <w:r w:rsidRPr="00724342">
        <w:rPr>
          <w:rFonts w:eastAsiaTheme="minorHAnsi"/>
          <w:color w:val="000000" w:themeColor="text1"/>
          <w:sz w:val="22"/>
          <w:szCs w:val="22"/>
          <w:lang w:eastAsia="en-US"/>
        </w:rPr>
        <w:lastRenderedPageBreak/>
        <w:t>УДК</w:t>
      </w:r>
      <w:r w:rsidRPr="00724342">
        <w:rPr>
          <w:rFonts w:eastAsiaTheme="minorHAnsi"/>
          <w:color w:val="000000" w:themeColor="text1"/>
          <w:sz w:val="22"/>
          <w:szCs w:val="22"/>
          <w:lang w:val="en-US" w:eastAsia="en-US"/>
        </w:rPr>
        <w:t xml:space="preserve"> 658</w:t>
      </w:r>
    </w:p>
    <w:p w:rsidR="00724342" w:rsidRPr="00724342" w:rsidRDefault="00724342" w:rsidP="00724342">
      <w:pPr>
        <w:suppressAutoHyphens/>
        <w:jc w:val="center"/>
        <w:rPr>
          <w:rFonts w:eastAsiaTheme="minorHAnsi"/>
          <w:b/>
          <w:color w:val="000000" w:themeColor="text1"/>
          <w:sz w:val="22"/>
          <w:szCs w:val="22"/>
          <w:lang w:val="en-US" w:eastAsia="en-US"/>
        </w:rPr>
      </w:pPr>
    </w:p>
    <w:p w:rsidR="00724342" w:rsidRPr="0010381E" w:rsidRDefault="00724342" w:rsidP="00724342">
      <w:pPr>
        <w:suppressAutoHyphens/>
        <w:jc w:val="center"/>
        <w:rPr>
          <w:rFonts w:eastAsiaTheme="minorHAnsi"/>
          <w:b/>
          <w:color w:val="000000" w:themeColor="text1"/>
          <w:sz w:val="24"/>
          <w:szCs w:val="24"/>
          <w:lang w:val="en-US" w:eastAsia="en-US"/>
        </w:rPr>
      </w:pPr>
      <w:r w:rsidRPr="0010381E">
        <w:rPr>
          <w:rFonts w:eastAsiaTheme="minorHAnsi"/>
          <w:b/>
          <w:color w:val="000000" w:themeColor="text1"/>
          <w:sz w:val="24"/>
          <w:szCs w:val="24"/>
          <w:lang w:eastAsia="en-US"/>
        </w:rPr>
        <w:t>Повышение</w:t>
      </w:r>
      <w:r w:rsidRPr="0010381E">
        <w:rPr>
          <w:rFonts w:eastAsiaTheme="minorHAnsi"/>
          <w:b/>
          <w:color w:val="000000" w:themeColor="text1"/>
          <w:sz w:val="24"/>
          <w:szCs w:val="24"/>
          <w:lang w:val="en-US" w:eastAsia="en-US"/>
        </w:rPr>
        <w:t xml:space="preserve"> </w:t>
      </w:r>
      <w:r w:rsidRPr="0010381E">
        <w:rPr>
          <w:rFonts w:eastAsiaTheme="minorHAnsi"/>
          <w:b/>
          <w:color w:val="000000" w:themeColor="text1"/>
          <w:sz w:val="24"/>
          <w:szCs w:val="24"/>
          <w:lang w:eastAsia="en-US"/>
        </w:rPr>
        <w:t>эффективности</w:t>
      </w:r>
      <w:r w:rsidRPr="0010381E">
        <w:rPr>
          <w:rFonts w:eastAsiaTheme="minorHAnsi"/>
          <w:b/>
          <w:color w:val="000000" w:themeColor="text1"/>
          <w:sz w:val="24"/>
          <w:szCs w:val="24"/>
          <w:lang w:val="en-US" w:eastAsia="en-US"/>
        </w:rPr>
        <w:t xml:space="preserve"> </w:t>
      </w:r>
      <w:r w:rsidRPr="0010381E">
        <w:rPr>
          <w:rFonts w:eastAsiaTheme="minorHAnsi"/>
          <w:b/>
          <w:color w:val="000000" w:themeColor="text1"/>
          <w:sz w:val="24"/>
          <w:szCs w:val="24"/>
          <w:lang w:eastAsia="en-US"/>
        </w:rPr>
        <w:t>использования</w:t>
      </w:r>
      <w:r w:rsidRPr="0010381E">
        <w:rPr>
          <w:rFonts w:eastAsiaTheme="minorHAnsi"/>
          <w:b/>
          <w:color w:val="000000" w:themeColor="text1"/>
          <w:sz w:val="24"/>
          <w:szCs w:val="24"/>
          <w:lang w:val="en-US" w:eastAsia="en-US"/>
        </w:rPr>
        <w:t xml:space="preserve"> </w:t>
      </w:r>
    </w:p>
    <w:p w:rsidR="00724342" w:rsidRPr="0010381E" w:rsidRDefault="00724342" w:rsidP="00724342">
      <w:pPr>
        <w:suppressAutoHyphens/>
        <w:jc w:val="center"/>
        <w:rPr>
          <w:rFonts w:eastAsiaTheme="minorHAnsi"/>
          <w:b/>
          <w:color w:val="000000" w:themeColor="text1"/>
          <w:sz w:val="24"/>
          <w:szCs w:val="24"/>
          <w:lang w:val="en-US" w:eastAsia="en-US"/>
        </w:rPr>
      </w:pPr>
      <w:r w:rsidRPr="0010381E">
        <w:rPr>
          <w:rFonts w:eastAsiaTheme="minorHAnsi"/>
          <w:b/>
          <w:color w:val="000000" w:themeColor="text1"/>
          <w:sz w:val="24"/>
          <w:szCs w:val="24"/>
          <w:lang w:eastAsia="en-US"/>
        </w:rPr>
        <w:t>основных</w:t>
      </w:r>
      <w:r w:rsidRPr="0010381E">
        <w:rPr>
          <w:rFonts w:eastAsiaTheme="minorHAnsi"/>
          <w:b/>
          <w:color w:val="000000" w:themeColor="text1"/>
          <w:sz w:val="24"/>
          <w:szCs w:val="24"/>
          <w:lang w:val="en-US" w:eastAsia="en-US"/>
        </w:rPr>
        <w:t xml:space="preserve"> </w:t>
      </w:r>
      <w:r w:rsidRPr="0010381E">
        <w:rPr>
          <w:rFonts w:eastAsiaTheme="minorHAnsi"/>
          <w:b/>
          <w:color w:val="000000" w:themeColor="text1"/>
          <w:sz w:val="24"/>
          <w:szCs w:val="24"/>
          <w:lang w:eastAsia="en-US"/>
        </w:rPr>
        <w:t>средств</w:t>
      </w:r>
      <w:r w:rsidRPr="0010381E">
        <w:rPr>
          <w:rFonts w:eastAsiaTheme="minorHAnsi"/>
          <w:b/>
          <w:color w:val="000000" w:themeColor="text1"/>
          <w:sz w:val="24"/>
          <w:szCs w:val="24"/>
          <w:lang w:val="en-US" w:eastAsia="en-US"/>
        </w:rPr>
        <w:t xml:space="preserve"> </w:t>
      </w:r>
      <w:r w:rsidRPr="0010381E">
        <w:rPr>
          <w:rFonts w:eastAsiaTheme="minorHAnsi"/>
          <w:b/>
          <w:color w:val="000000" w:themeColor="text1"/>
          <w:sz w:val="24"/>
          <w:szCs w:val="24"/>
          <w:lang w:eastAsia="en-US"/>
        </w:rPr>
        <w:t>предприятия</w:t>
      </w:r>
      <w:r w:rsidRPr="0010381E">
        <w:rPr>
          <w:rFonts w:eastAsiaTheme="minorHAnsi"/>
          <w:b/>
          <w:color w:val="000000" w:themeColor="text1"/>
          <w:sz w:val="24"/>
          <w:szCs w:val="24"/>
          <w:lang w:val="en-US" w:eastAsia="en-US"/>
        </w:rPr>
        <w:t xml:space="preserve"> </w:t>
      </w:r>
    </w:p>
    <w:p w:rsidR="00724342" w:rsidRPr="00724342" w:rsidRDefault="00724342" w:rsidP="00724342">
      <w:pPr>
        <w:suppressAutoHyphens/>
        <w:jc w:val="center"/>
        <w:rPr>
          <w:rFonts w:eastAsiaTheme="minorHAnsi"/>
          <w:b/>
          <w:color w:val="000000" w:themeColor="text1"/>
          <w:sz w:val="22"/>
          <w:szCs w:val="22"/>
          <w:lang w:val="en-US" w:eastAsia="en-US"/>
        </w:rPr>
      </w:pPr>
      <w:r w:rsidRPr="0010381E">
        <w:rPr>
          <w:rFonts w:eastAsiaTheme="minorHAnsi"/>
          <w:b/>
          <w:color w:val="000000" w:themeColor="text1"/>
          <w:sz w:val="24"/>
          <w:szCs w:val="24"/>
          <w:lang w:val="en-US" w:eastAsia="en-US"/>
        </w:rPr>
        <w:t>Increasing the efficiency of use of fixed assets of the enterprise</w:t>
      </w:r>
    </w:p>
    <w:p w:rsidR="00724342" w:rsidRPr="00724342" w:rsidRDefault="00724342" w:rsidP="00724342">
      <w:pPr>
        <w:suppressAutoHyphens/>
        <w:rPr>
          <w:rFonts w:eastAsiaTheme="minorHAnsi"/>
          <w:color w:val="000000" w:themeColor="text1"/>
          <w:sz w:val="22"/>
          <w:szCs w:val="22"/>
          <w:lang w:val="en-US" w:eastAsia="en-US"/>
        </w:rPr>
      </w:pP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Логозинский Д. О.,</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студент 4-го курса экономического факультета</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Арутюнян Ю. И.,</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доцент кафедры институциональной экономики</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и инвестиционного менеджмента </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Кубанский государственный аграрный</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университет имени И. Т. Трубилина</w:t>
      </w:r>
    </w:p>
    <w:p w:rsidR="00724342" w:rsidRPr="00724342" w:rsidRDefault="00724342" w:rsidP="00724342">
      <w:pPr>
        <w:suppressAutoHyphens/>
        <w:jc w:val="both"/>
        <w:rPr>
          <w:rFonts w:eastAsiaTheme="minorHAnsi"/>
          <w:color w:val="000000" w:themeColor="text1"/>
          <w:sz w:val="22"/>
          <w:szCs w:val="22"/>
          <w:lang w:eastAsia="en-US"/>
        </w:rPr>
      </w:pPr>
    </w:p>
    <w:p w:rsidR="00724342" w:rsidRPr="00724342" w:rsidRDefault="00724342" w:rsidP="0010381E">
      <w:pPr>
        <w:suppressAutoHyphens/>
        <w:ind w:firstLine="426"/>
        <w:jc w:val="both"/>
        <w:rPr>
          <w:rFonts w:eastAsiaTheme="minorHAnsi"/>
          <w:color w:val="000000" w:themeColor="text1"/>
          <w:sz w:val="22"/>
          <w:szCs w:val="22"/>
          <w:lang w:eastAsia="en-US"/>
        </w:rPr>
      </w:pPr>
      <w:r w:rsidRPr="00724342">
        <w:rPr>
          <w:rFonts w:eastAsiaTheme="minorHAnsi"/>
          <w:caps/>
          <w:color w:val="000000" w:themeColor="text1"/>
          <w:sz w:val="22"/>
          <w:szCs w:val="22"/>
          <w:lang w:eastAsia="en-US"/>
        </w:rPr>
        <w:t>Аннотация</w:t>
      </w:r>
      <w:r w:rsidRPr="00724342">
        <w:rPr>
          <w:rFonts w:eastAsiaTheme="minorHAnsi"/>
          <w:color w:val="000000" w:themeColor="text1"/>
          <w:sz w:val="22"/>
          <w:szCs w:val="22"/>
          <w:lang w:eastAsia="en-US"/>
        </w:rPr>
        <w:t xml:space="preserve">: в рамках нашего исследования проводилось исследование направлений повышения эффективности использования основных средств. Выявлено, что предварительный анализ показателей эффективности позволяет выявить существенные проблемы в деятельности предприятия, принять управленческие решения, направленные на повышение фондорентабельности и фондоотдачи. </w:t>
      </w:r>
    </w:p>
    <w:p w:rsidR="00724342" w:rsidRPr="00724342" w:rsidRDefault="00724342" w:rsidP="0010381E">
      <w:pPr>
        <w:suppressAutoHyphens/>
        <w:ind w:firstLine="426"/>
        <w:jc w:val="both"/>
        <w:rPr>
          <w:rFonts w:eastAsiaTheme="minorHAnsi"/>
          <w:color w:val="000000" w:themeColor="text1"/>
          <w:sz w:val="22"/>
          <w:szCs w:val="22"/>
          <w:lang w:val="en-US" w:eastAsia="en-US"/>
        </w:rPr>
      </w:pPr>
      <w:r w:rsidRPr="00724342">
        <w:rPr>
          <w:rFonts w:eastAsiaTheme="minorHAnsi"/>
          <w:color w:val="000000" w:themeColor="text1"/>
          <w:sz w:val="22"/>
          <w:szCs w:val="22"/>
          <w:shd w:val="clear" w:color="auto" w:fill="FFFFFF"/>
          <w:lang w:val="en-US" w:eastAsia="en-US"/>
        </w:rPr>
        <w:t>ABSTRACT:</w:t>
      </w:r>
      <w:r w:rsidRPr="00724342">
        <w:rPr>
          <w:rFonts w:eastAsiaTheme="minorHAnsi"/>
          <w:color w:val="000000" w:themeColor="text1"/>
          <w:sz w:val="22"/>
          <w:szCs w:val="22"/>
          <w:lang w:val="en-US" w:eastAsia="en-US"/>
        </w:rPr>
        <w:t xml:space="preserve"> </w:t>
      </w:r>
      <w:r w:rsidRPr="00724342">
        <w:rPr>
          <w:rFonts w:eastAsiaTheme="minorHAnsi"/>
          <w:color w:val="000000" w:themeColor="text1"/>
          <w:sz w:val="22"/>
          <w:szCs w:val="22"/>
          <w:shd w:val="clear" w:color="auto" w:fill="FFFFFF"/>
          <w:lang w:val="en-US" w:eastAsia="en-US"/>
        </w:rPr>
        <w:t>in the framework of our study, a study was made of the directions of increasing the efficiency of the use of fixed assets. It is revealed that the preliminary analysis of performance indicators allows to identify significant problems in the enterprise's activities, to make management decisions aimed at increasing the cost-effectiveness and return on assets.</w:t>
      </w:r>
    </w:p>
    <w:p w:rsidR="00724342" w:rsidRPr="00724342" w:rsidRDefault="00724342" w:rsidP="0010381E">
      <w:pPr>
        <w:suppressAutoHyphens/>
        <w:ind w:firstLine="426"/>
        <w:jc w:val="both"/>
        <w:rPr>
          <w:rFonts w:eastAsiaTheme="minorHAnsi"/>
          <w:color w:val="000000" w:themeColor="text1"/>
          <w:sz w:val="22"/>
          <w:szCs w:val="22"/>
          <w:lang w:eastAsia="en-US"/>
        </w:rPr>
      </w:pPr>
      <w:r w:rsidRPr="00724342">
        <w:rPr>
          <w:rFonts w:eastAsiaTheme="minorHAnsi"/>
          <w:caps/>
          <w:color w:val="000000" w:themeColor="text1"/>
          <w:sz w:val="22"/>
          <w:szCs w:val="22"/>
          <w:lang w:eastAsia="en-US"/>
        </w:rPr>
        <w:t>Ключевые слова</w:t>
      </w:r>
      <w:r w:rsidRPr="00724342">
        <w:rPr>
          <w:rFonts w:eastAsiaTheme="minorHAnsi"/>
          <w:color w:val="000000" w:themeColor="text1"/>
          <w:sz w:val="22"/>
          <w:szCs w:val="22"/>
          <w:lang w:eastAsia="en-US"/>
        </w:rPr>
        <w:t>: показатель, фондоемкость, основные средства, рентабельность, износ, эффективность.</w:t>
      </w:r>
    </w:p>
    <w:p w:rsidR="00724342" w:rsidRPr="00724342" w:rsidRDefault="00724342" w:rsidP="0010381E">
      <w:pPr>
        <w:suppressAutoHyphens/>
        <w:ind w:firstLine="426"/>
        <w:jc w:val="both"/>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val="en-US" w:eastAsia="en-US"/>
        </w:rPr>
        <w:t>KEYWORDS:</w:t>
      </w:r>
      <w:r w:rsidRPr="00724342">
        <w:rPr>
          <w:rFonts w:eastAsiaTheme="minorHAnsi"/>
          <w:color w:val="000000" w:themeColor="text1"/>
          <w:sz w:val="22"/>
          <w:szCs w:val="22"/>
          <w:lang w:val="en-US" w:eastAsia="en-US"/>
        </w:rPr>
        <w:t xml:space="preserve"> </w:t>
      </w:r>
      <w:r w:rsidRPr="00724342">
        <w:rPr>
          <w:rFonts w:eastAsiaTheme="minorHAnsi"/>
          <w:color w:val="000000" w:themeColor="text1"/>
          <w:sz w:val="22"/>
          <w:szCs w:val="22"/>
          <w:shd w:val="clear" w:color="auto" w:fill="FFFFFF"/>
          <w:lang w:val="en-US" w:eastAsia="en-US"/>
        </w:rPr>
        <w:t>index, capital intensity, fixed assets, profitability, depreciation, efficiency.</w:t>
      </w:r>
    </w:p>
    <w:p w:rsidR="00724342" w:rsidRPr="00724342" w:rsidRDefault="00724342" w:rsidP="0010381E">
      <w:pPr>
        <w:suppressAutoHyphens/>
        <w:ind w:firstLine="426"/>
        <w:jc w:val="both"/>
        <w:rPr>
          <w:rFonts w:eastAsiaTheme="minorHAnsi"/>
          <w:color w:val="000000" w:themeColor="text1"/>
          <w:sz w:val="22"/>
          <w:szCs w:val="22"/>
          <w:shd w:val="clear" w:color="auto" w:fill="FFFFFF"/>
          <w:lang w:val="en-US" w:eastAsia="en-US"/>
        </w:rPr>
      </w:pPr>
    </w:p>
    <w:p w:rsidR="00724342" w:rsidRPr="00724342" w:rsidRDefault="00724342" w:rsidP="0010381E">
      <w:pPr>
        <w:suppressAutoHyphens/>
        <w:ind w:firstLine="426"/>
        <w:jc w:val="both"/>
        <w:rPr>
          <w:rFonts w:eastAsiaTheme="minorHAnsi"/>
          <w:bCs/>
          <w:color w:val="000000" w:themeColor="text1"/>
          <w:sz w:val="22"/>
          <w:szCs w:val="22"/>
          <w:lang w:eastAsia="en-US"/>
        </w:rPr>
      </w:pPr>
      <w:r w:rsidRPr="00724342">
        <w:rPr>
          <w:rFonts w:eastAsiaTheme="minorHAnsi"/>
          <w:bCs/>
          <w:color w:val="000000" w:themeColor="text1"/>
          <w:sz w:val="22"/>
          <w:szCs w:val="22"/>
          <w:lang w:eastAsia="en-US"/>
        </w:rPr>
        <w:t xml:space="preserve">В современных экономических условиях центральное место в работе предприятия занимают проблемы повышения эффективности использования основных средств. Решение данных проблем позволит предприятия повысить свою устойчивость на </w:t>
      </w:r>
      <w:r w:rsidRPr="00724342">
        <w:rPr>
          <w:rFonts w:eastAsiaTheme="minorHAnsi"/>
          <w:bCs/>
          <w:color w:val="000000" w:themeColor="text1"/>
          <w:sz w:val="22"/>
          <w:szCs w:val="22"/>
          <w:lang w:eastAsia="en-US"/>
        </w:rPr>
        <w:lastRenderedPageBreak/>
        <w:t xml:space="preserve">рынке, качество продукции и, как следствие, свою конкурентоспособность. </w:t>
      </w:r>
    </w:p>
    <w:p w:rsidR="00724342" w:rsidRPr="00724342" w:rsidRDefault="00724342" w:rsidP="0010381E">
      <w:pPr>
        <w:suppressAutoHyphens/>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Техническая база и производственная мощь предприятия формируется за счет основных средств. Данный факт позволяет рассматривать основные средства как рычаг, который обеспечивает экономический рост предприятий в условиях действия факторов интенсификации производства.</w:t>
      </w:r>
    </w:p>
    <w:p w:rsidR="00724342" w:rsidRPr="00724342" w:rsidRDefault="00724342" w:rsidP="0010381E">
      <w:pPr>
        <w:suppressAutoHyphens/>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Эффективность сельскохозяйственных предприятий зависит от обеспеченности отрасли основными средствами. Данную обеспеченность следует поддерживать на оптимальном уровне, для того чтобы снизить уровень трудоемкости и себестоимости продукции. При чем избыток основных средств приводит к росту затрат на хранение и их обслуживание, при этом рост амортизационных отчислений приведет к увеличению стоимости продукции. </w:t>
      </w:r>
    </w:p>
    <w:p w:rsidR="00724342" w:rsidRPr="00724342" w:rsidRDefault="00724342" w:rsidP="0010381E">
      <w:pPr>
        <w:suppressAutoHyphens/>
        <w:ind w:firstLine="426"/>
        <w:jc w:val="both"/>
        <w:rPr>
          <w:rFonts w:eastAsiaTheme="minorHAnsi"/>
          <w:bCs/>
          <w:color w:val="000000" w:themeColor="text1"/>
          <w:sz w:val="22"/>
          <w:szCs w:val="22"/>
          <w:lang w:eastAsia="en-US"/>
        </w:rPr>
      </w:pPr>
      <w:r w:rsidRPr="00724342">
        <w:rPr>
          <w:rFonts w:eastAsiaTheme="minorHAnsi"/>
          <w:bCs/>
          <w:color w:val="000000" w:themeColor="text1"/>
          <w:sz w:val="22"/>
          <w:szCs w:val="22"/>
          <w:lang w:eastAsia="en-US"/>
        </w:rPr>
        <w:t>Исследование движения основных средств, их состава, динамики и эффективности использования представляет собой постоянный процесс, который должны поддерживать предприятия независимо от формы образования и вида деятельности. Поток такой информации позволяет выявлять резервы повышения эффективности использования основных средств. При чем качество и конкурентоспособность продукции напрямую зависит от наращивания и развития основных средств. На сокращение разрыва в сроках морального и физического износа влияет ускорение оборачиваемости основных средств вызванное улучшением их использования. При этом ускоряются темпы обновления основных средств и, как следствие, растет качество продукции.</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В современной литературе рассмотрены следующие показатели эффективности использования основных средств:</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фондоотдача и фондоемкость;</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капиталоотдача основных средств (отношение стоимости ре</w:t>
      </w:r>
      <w:r w:rsidRPr="00724342">
        <w:rPr>
          <w:rFonts w:eastAsiaTheme="minorHAnsi"/>
          <w:color w:val="000000" w:themeColor="text1"/>
          <w:sz w:val="22"/>
          <w:szCs w:val="22"/>
          <w:lang w:eastAsia="en-US"/>
        </w:rPr>
        <w:t>а</w:t>
      </w:r>
      <w:r w:rsidRPr="00724342">
        <w:rPr>
          <w:rFonts w:eastAsiaTheme="minorHAnsi"/>
          <w:color w:val="000000" w:themeColor="text1"/>
          <w:sz w:val="22"/>
          <w:szCs w:val="22"/>
          <w:lang w:eastAsia="en-US"/>
        </w:rPr>
        <w:t>лизованной продукции к среднегодовой остаточной стоимости о</w:t>
      </w:r>
      <w:r w:rsidRPr="00724342">
        <w:rPr>
          <w:rFonts w:eastAsiaTheme="minorHAnsi"/>
          <w:color w:val="000000" w:themeColor="text1"/>
          <w:sz w:val="22"/>
          <w:szCs w:val="22"/>
          <w:lang w:eastAsia="en-US"/>
        </w:rPr>
        <w:t>с</w:t>
      </w:r>
      <w:r w:rsidRPr="00724342">
        <w:rPr>
          <w:rFonts w:eastAsiaTheme="minorHAnsi"/>
          <w:color w:val="000000" w:themeColor="text1"/>
          <w:sz w:val="22"/>
          <w:szCs w:val="22"/>
          <w:lang w:eastAsia="en-US"/>
        </w:rPr>
        <w:t>новных средств);</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капиталоотдача активной части основных средств;</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капиталоемкость (показатель обратный капиталоотдаче о</w:t>
      </w:r>
      <w:r w:rsidRPr="00724342">
        <w:rPr>
          <w:rFonts w:eastAsiaTheme="minorHAnsi"/>
          <w:color w:val="000000" w:themeColor="text1"/>
          <w:sz w:val="22"/>
          <w:szCs w:val="22"/>
          <w:lang w:eastAsia="en-US"/>
        </w:rPr>
        <w:t>с</w:t>
      </w:r>
      <w:r w:rsidRPr="00724342">
        <w:rPr>
          <w:rFonts w:eastAsiaTheme="minorHAnsi"/>
          <w:color w:val="000000" w:themeColor="text1"/>
          <w:sz w:val="22"/>
          <w:szCs w:val="22"/>
          <w:lang w:eastAsia="en-US"/>
        </w:rPr>
        <w:t>новных средств);</w:t>
      </w:r>
    </w:p>
    <w:p w:rsidR="00724342" w:rsidRPr="00724342" w:rsidRDefault="00724342" w:rsidP="0010381E">
      <w:pPr>
        <w:ind w:firstLine="426"/>
        <w:contextualSpacing/>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фондорентабельность (отношение прибыли от реализации к среднегодовой стоимости основных средств).</w:t>
      </w:r>
    </w:p>
    <w:p w:rsidR="00724342" w:rsidRPr="00724342" w:rsidRDefault="00724342" w:rsidP="0010381E">
      <w:pPr>
        <w:suppressAutoHyphens/>
        <w:ind w:firstLine="426"/>
        <w:jc w:val="both"/>
        <w:rPr>
          <w:rFonts w:eastAsiaTheme="minorHAnsi"/>
          <w:bCs/>
          <w:color w:val="000000" w:themeColor="text1"/>
          <w:sz w:val="22"/>
          <w:szCs w:val="22"/>
          <w:lang w:eastAsia="en-US"/>
        </w:rPr>
      </w:pPr>
      <w:r w:rsidRPr="00724342">
        <w:rPr>
          <w:rFonts w:eastAsiaTheme="minorHAnsi"/>
          <w:bCs/>
          <w:color w:val="000000" w:themeColor="text1"/>
          <w:sz w:val="22"/>
          <w:szCs w:val="22"/>
          <w:lang w:eastAsia="en-US"/>
        </w:rPr>
        <w:lastRenderedPageBreak/>
        <w:t xml:space="preserve">Именно поэтому проблема повышения эффективности использования основных средств является столь важной для любой организации. Ведь неэффективное их использование приводит к сокращению объемов производства или реализации, что в свою очередь уменьшает доходы предприятия, а, соответственно, отражается и на прибыли. </w:t>
      </w:r>
    </w:p>
    <w:p w:rsidR="00724342" w:rsidRPr="00724342" w:rsidRDefault="00724342" w:rsidP="00734D53">
      <w:pPr>
        <w:suppressAutoHyphens/>
        <w:jc w:val="both"/>
        <w:rPr>
          <w:rFonts w:eastAsiaTheme="minorHAnsi"/>
          <w:color w:val="000000" w:themeColor="text1"/>
          <w:sz w:val="22"/>
          <w:szCs w:val="22"/>
          <w:lang w:eastAsia="en-US"/>
        </w:rPr>
      </w:pPr>
    </w:p>
    <w:p w:rsidR="00724342" w:rsidRPr="00724342" w:rsidRDefault="00724342" w:rsidP="0010381E">
      <w:pPr>
        <w:ind w:firstLine="426"/>
        <w:jc w:val="center"/>
        <w:rPr>
          <w:rFonts w:eastAsiaTheme="minorHAnsi"/>
          <w:color w:val="000000" w:themeColor="text1"/>
          <w:sz w:val="22"/>
          <w:szCs w:val="22"/>
          <w:lang w:eastAsia="en-US"/>
        </w:rPr>
      </w:pPr>
      <w:r w:rsidRPr="00724342">
        <w:rPr>
          <w:rFonts w:eastAsiaTheme="minorHAnsi"/>
          <w:color w:val="000000" w:themeColor="text1"/>
          <w:sz w:val="22"/>
          <w:szCs w:val="22"/>
          <w:lang w:eastAsia="en-US"/>
        </w:rPr>
        <w:t>Список литературы</w:t>
      </w:r>
    </w:p>
    <w:p w:rsidR="00724342" w:rsidRPr="00724342" w:rsidRDefault="00724342" w:rsidP="0010381E">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1. </w:t>
      </w:r>
      <w:hyperlink r:id="rId295" w:history="1">
        <w:r w:rsidRPr="00724342">
          <w:rPr>
            <w:rFonts w:eastAsiaTheme="minorHAnsi"/>
            <w:color w:val="000000" w:themeColor="text1"/>
            <w:sz w:val="22"/>
            <w:szCs w:val="22"/>
            <w:lang w:eastAsia="en-US"/>
          </w:rPr>
          <w:t>Арутюнян Ю. И.</w:t>
        </w:r>
      </w:hyperlink>
      <w:r w:rsidRPr="00724342">
        <w:rPr>
          <w:rFonts w:eastAsiaTheme="minorHAnsi"/>
          <w:color w:val="000000" w:themeColor="text1"/>
          <w:sz w:val="22"/>
          <w:szCs w:val="22"/>
          <w:lang w:eastAsia="en-US"/>
        </w:rPr>
        <w:t>, </w:t>
      </w:r>
      <w:hyperlink r:id="rId296" w:history="1">
        <w:r w:rsidRPr="00724342">
          <w:rPr>
            <w:rFonts w:eastAsiaTheme="minorHAnsi"/>
            <w:color w:val="000000" w:themeColor="text1"/>
            <w:sz w:val="22"/>
            <w:szCs w:val="22"/>
            <w:lang w:eastAsia="en-US"/>
          </w:rPr>
          <w:t>Калайда А. Д.</w:t>
        </w:r>
      </w:hyperlink>
      <w:r w:rsidRPr="00724342">
        <w:rPr>
          <w:rFonts w:eastAsiaTheme="minorHAnsi"/>
          <w:color w:val="000000" w:themeColor="text1"/>
          <w:sz w:val="22"/>
          <w:szCs w:val="22"/>
          <w:lang w:eastAsia="en-US"/>
        </w:rPr>
        <w:t> Оценка экономического с</w:t>
      </w:r>
      <w:r w:rsidRPr="00724342">
        <w:rPr>
          <w:rFonts w:eastAsiaTheme="minorHAnsi"/>
          <w:color w:val="000000" w:themeColor="text1"/>
          <w:sz w:val="22"/>
          <w:szCs w:val="22"/>
          <w:lang w:eastAsia="en-US"/>
        </w:rPr>
        <w:t>о</w:t>
      </w:r>
      <w:r w:rsidRPr="00724342">
        <w:rPr>
          <w:rFonts w:eastAsiaTheme="minorHAnsi"/>
          <w:color w:val="000000" w:themeColor="text1"/>
          <w:sz w:val="22"/>
          <w:szCs w:val="22"/>
          <w:lang w:eastAsia="en-US"/>
        </w:rPr>
        <w:t>стояния как основа для разработки механизмов устойчивого разв</w:t>
      </w:r>
      <w:r w:rsidRPr="00724342">
        <w:rPr>
          <w:rFonts w:eastAsiaTheme="minorHAnsi"/>
          <w:color w:val="000000" w:themeColor="text1"/>
          <w:sz w:val="22"/>
          <w:szCs w:val="22"/>
          <w:lang w:eastAsia="en-US"/>
        </w:rPr>
        <w:t>и</w:t>
      </w:r>
      <w:r w:rsidRPr="00724342">
        <w:rPr>
          <w:rFonts w:eastAsiaTheme="minorHAnsi"/>
          <w:color w:val="000000" w:themeColor="text1"/>
          <w:sz w:val="22"/>
          <w:szCs w:val="22"/>
          <w:lang w:eastAsia="en-US"/>
        </w:rPr>
        <w:t>тия предприятия//Материалы VII международной научно -практической конференции «Фундаментальная наука и технологии -перспективные разработки». -North Charleston, SC, USA: н. -и. ц. «Академический», 2015. С. 245 -248. </w:t>
      </w:r>
    </w:p>
    <w:p w:rsidR="00724342" w:rsidRPr="00724342" w:rsidRDefault="00724342" w:rsidP="0010381E">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2. </w:t>
      </w:r>
      <w:hyperlink r:id="rId297" w:history="1">
        <w:r w:rsidRPr="00724342">
          <w:rPr>
            <w:rFonts w:eastAsiaTheme="minorHAnsi"/>
            <w:color w:val="000000" w:themeColor="text1"/>
            <w:sz w:val="22"/>
            <w:szCs w:val="22"/>
            <w:lang w:eastAsia="en-US"/>
          </w:rPr>
          <w:t>Калайда А.Д.</w:t>
        </w:r>
      </w:hyperlink>
      <w:r w:rsidRPr="00724342">
        <w:rPr>
          <w:rFonts w:eastAsiaTheme="minorHAnsi"/>
          <w:color w:val="000000" w:themeColor="text1"/>
          <w:sz w:val="22"/>
          <w:szCs w:val="22"/>
          <w:lang w:eastAsia="en-US"/>
        </w:rPr>
        <w:t>, </w:t>
      </w:r>
      <w:hyperlink r:id="rId298" w:history="1">
        <w:r w:rsidRPr="00724342">
          <w:rPr>
            <w:rFonts w:eastAsiaTheme="minorHAnsi"/>
            <w:color w:val="000000" w:themeColor="text1"/>
            <w:sz w:val="22"/>
            <w:szCs w:val="22"/>
            <w:lang w:eastAsia="en-US"/>
          </w:rPr>
          <w:t>Арутюнян Ю.И.</w:t>
        </w:r>
      </w:hyperlink>
      <w:r w:rsidRPr="00724342">
        <w:rPr>
          <w:rFonts w:eastAsiaTheme="minorHAnsi"/>
          <w:color w:val="000000" w:themeColor="text1"/>
          <w:sz w:val="22"/>
          <w:szCs w:val="22"/>
          <w:lang w:eastAsia="en-US"/>
        </w:rPr>
        <w:t> Обеспечение механизма устойчивого развития предприятия // Материалы 71-й научно-практической конференции студентов по итогам НИР за 2015 год «Научное обеспечение агропромышленного комплекса».-Краснодар: КубГАУ, 2016. -С. 567-570.</w:t>
      </w:r>
    </w:p>
    <w:p w:rsidR="00724342" w:rsidRPr="00724342" w:rsidRDefault="00724342" w:rsidP="0010381E">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 xml:space="preserve">3. </w:t>
      </w:r>
      <w:hyperlink r:id="rId299" w:history="1">
        <w:r w:rsidRPr="00724342">
          <w:rPr>
            <w:rFonts w:eastAsiaTheme="minorHAnsi"/>
            <w:color w:val="000000" w:themeColor="text1"/>
            <w:sz w:val="22"/>
            <w:szCs w:val="22"/>
            <w:lang w:eastAsia="en-US"/>
          </w:rPr>
          <w:t>Кириллова Е. Ю.</w:t>
        </w:r>
      </w:hyperlink>
      <w:r w:rsidRPr="00724342">
        <w:rPr>
          <w:rFonts w:eastAsiaTheme="minorHAnsi"/>
          <w:color w:val="000000" w:themeColor="text1"/>
          <w:sz w:val="22"/>
          <w:szCs w:val="22"/>
          <w:lang w:eastAsia="en-US"/>
        </w:rPr>
        <w:t>, </w:t>
      </w:r>
      <w:hyperlink r:id="rId300" w:history="1">
        <w:r w:rsidRPr="00724342">
          <w:rPr>
            <w:rFonts w:eastAsiaTheme="minorHAnsi"/>
            <w:color w:val="000000" w:themeColor="text1"/>
            <w:sz w:val="22"/>
            <w:szCs w:val="22"/>
            <w:lang w:eastAsia="en-US"/>
          </w:rPr>
          <w:t>Арутюнян Ю. И.</w:t>
        </w:r>
      </w:hyperlink>
      <w:r w:rsidRPr="00724342">
        <w:rPr>
          <w:rFonts w:eastAsiaTheme="minorHAnsi"/>
          <w:color w:val="000000" w:themeColor="text1"/>
          <w:sz w:val="22"/>
          <w:szCs w:val="22"/>
          <w:lang w:eastAsia="en-US"/>
        </w:rPr>
        <w:t> Контроллинг в системе управления затратами // Материалы международной научно-практической конференции «Проблемы развития современной эк</w:t>
      </w:r>
      <w:r w:rsidRPr="00724342">
        <w:rPr>
          <w:rFonts w:eastAsiaTheme="minorHAnsi"/>
          <w:color w:val="000000" w:themeColor="text1"/>
          <w:sz w:val="22"/>
          <w:szCs w:val="22"/>
          <w:lang w:eastAsia="en-US"/>
        </w:rPr>
        <w:t>о</w:t>
      </w:r>
      <w:r w:rsidRPr="00724342">
        <w:rPr>
          <w:rFonts w:eastAsiaTheme="minorHAnsi"/>
          <w:color w:val="000000" w:themeColor="text1"/>
          <w:sz w:val="22"/>
          <w:szCs w:val="22"/>
          <w:lang w:eastAsia="en-US"/>
        </w:rPr>
        <w:t>номики в условиях глобальных вызовов и трансформации эконом</w:t>
      </w:r>
      <w:r w:rsidRPr="00724342">
        <w:rPr>
          <w:rFonts w:eastAsiaTheme="minorHAnsi"/>
          <w:color w:val="000000" w:themeColor="text1"/>
          <w:sz w:val="22"/>
          <w:szCs w:val="22"/>
          <w:lang w:eastAsia="en-US"/>
        </w:rPr>
        <w:t>и</w:t>
      </w:r>
      <w:r w:rsidRPr="00724342">
        <w:rPr>
          <w:rFonts w:eastAsiaTheme="minorHAnsi"/>
          <w:color w:val="000000" w:themeColor="text1"/>
          <w:sz w:val="22"/>
          <w:szCs w:val="22"/>
          <w:lang w:eastAsia="en-US"/>
        </w:rPr>
        <w:t>ческого пространства»: в 4-х томах. -пос. Персиановский: Изд-во Донского ГАУ, 2015.-С. 180-184.</w:t>
      </w:r>
    </w:p>
    <w:p w:rsidR="00724342" w:rsidRPr="00724342" w:rsidRDefault="00724342" w:rsidP="0010381E">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lang w:eastAsia="en-US"/>
        </w:rPr>
        <w:t>4. Погребная Н.В., Бирюкова А.Г. Проблемы становления и развития рыночных отношений в агробизнесе. В сборнике: Пре</w:t>
      </w:r>
      <w:r w:rsidRPr="00724342">
        <w:rPr>
          <w:rFonts w:eastAsiaTheme="minorHAnsi"/>
          <w:color w:val="000000" w:themeColor="text1"/>
          <w:sz w:val="22"/>
          <w:szCs w:val="22"/>
          <w:lang w:eastAsia="en-US"/>
        </w:rPr>
        <w:t>д</w:t>
      </w:r>
      <w:r w:rsidRPr="00724342">
        <w:rPr>
          <w:rFonts w:eastAsiaTheme="minorHAnsi"/>
          <w:color w:val="000000" w:themeColor="text1"/>
          <w:sz w:val="22"/>
          <w:szCs w:val="22"/>
          <w:lang w:eastAsia="en-US"/>
        </w:rPr>
        <w:t>приятия, отрасли и регионы: генезис, формирование, развитие и прогнозирование. Сборник научных трудов по материалам I межд</w:t>
      </w:r>
      <w:r w:rsidRPr="00724342">
        <w:rPr>
          <w:rFonts w:eastAsiaTheme="minorHAnsi"/>
          <w:color w:val="000000" w:themeColor="text1"/>
          <w:sz w:val="22"/>
          <w:szCs w:val="22"/>
          <w:lang w:eastAsia="en-US"/>
        </w:rPr>
        <w:t>у</w:t>
      </w:r>
      <w:r w:rsidRPr="00724342">
        <w:rPr>
          <w:rFonts w:eastAsiaTheme="minorHAnsi"/>
          <w:color w:val="000000" w:themeColor="text1"/>
          <w:sz w:val="22"/>
          <w:szCs w:val="22"/>
          <w:lang w:eastAsia="en-US"/>
        </w:rPr>
        <w:t>народной научно-практической конференции. Редакторы: Н.А. Краснова, Т.Н. Плесканюк. 2016. С. 124-134.</w:t>
      </w:r>
    </w:p>
    <w:p w:rsidR="00724342" w:rsidRPr="00724342" w:rsidRDefault="00724342" w:rsidP="0010381E">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2"/>
          <w:shd w:val="clear" w:color="auto" w:fill="FFFFFF"/>
          <w:lang w:eastAsia="en-US"/>
        </w:rPr>
        <w:t>5. Тимофеев Е.В., Погребная Н.В. Основные направления гос</w:t>
      </w:r>
      <w:r w:rsidRPr="00724342">
        <w:rPr>
          <w:rFonts w:eastAsiaTheme="minorHAnsi"/>
          <w:color w:val="000000" w:themeColor="text1"/>
          <w:sz w:val="22"/>
          <w:szCs w:val="22"/>
          <w:shd w:val="clear" w:color="auto" w:fill="FFFFFF"/>
          <w:lang w:eastAsia="en-US"/>
        </w:rPr>
        <w:t>у</w:t>
      </w:r>
      <w:r w:rsidRPr="00724342">
        <w:rPr>
          <w:rFonts w:eastAsiaTheme="minorHAnsi"/>
          <w:color w:val="000000" w:themeColor="text1"/>
          <w:sz w:val="22"/>
          <w:szCs w:val="22"/>
          <w:shd w:val="clear" w:color="auto" w:fill="FFFFFF"/>
          <w:lang w:eastAsia="en-US"/>
        </w:rPr>
        <w:t>дарственной поддержки агропромышленного производства России //  Материалы 71-й научно-практической конференции студентов по итогам НИР за 2015 год  «Научное обеспечение агропромышленн</w:t>
      </w:r>
      <w:r w:rsidRPr="00724342">
        <w:rPr>
          <w:rFonts w:eastAsiaTheme="minorHAnsi"/>
          <w:color w:val="000000" w:themeColor="text1"/>
          <w:sz w:val="22"/>
          <w:szCs w:val="22"/>
          <w:shd w:val="clear" w:color="auto" w:fill="FFFFFF"/>
          <w:lang w:eastAsia="en-US"/>
        </w:rPr>
        <w:t>о</w:t>
      </w:r>
      <w:r w:rsidRPr="00724342">
        <w:rPr>
          <w:rFonts w:eastAsiaTheme="minorHAnsi"/>
          <w:color w:val="000000" w:themeColor="text1"/>
          <w:sz w:val="22"/>
          <w:szCs w:val="22"/>
          <w:shd w:val="clear" w:color="auto" w:fill="FFFFFF"/>
          <w:lang w:eastAsia="en-US"/>
        </w:rPr>
        <w:t>го комплекса». -2016. С. 608-611.</w:t>
      </w:r>
      <w:r w:rsidRPr="00724342">
        <w:rPr>
          <w:rFonts w:eastAsiaTheme="minorHAnsi"/>
          <w:color w:val="000000" w:themeColor="text1"/>
          <w:sz w:val="22"/>
          <w:szCs w:val="22"/>
          <w:shd w:val="clear" w:color="auto" w:fill="F5F5F5"/>
          <w:lang w:val="en-US" w:eastAsia="en-US"/>
        </w:rPr>
        <w:t> </w:t>
      </w:r>
    </w:p>
    <w:p w:rsidR="00724342" w:rsidRPr="00724342" w:rsidRDefault="00724342" w:rsidP="00724342">
      <w:pPr>
        <w:contextualSpacing/>
        <w:jc w:val="both"/>
        <w:rPr>
          <w:rFonts w:eastAsia="Calibri"/>
          <w:color w:val="000000"/>
          <w:sz w:val="22"/>
          <w:szCs w:val="22"/>
          <w:lang w:eastAsia="en-US"/>
        </w:rPr>
      </w:pPr>
    </w:p>
    <w:p w:rsidR="00734D53" w:rsidRPr="00724342" w:rsidRDefault="00734D53" w:rsidP="00724342">
      <w:pPr>
        <w:jc w:val="both"/>
        <w:rPr>
          <w:rFonts w:eastAsia="Calibri"/>
          <w:sz w:val="22"/>
          <w:szCs w:val="22"/>
          <w:lang w:eastAsia="en-US"/>
        </w:rPr>
      </w:pPr>
    </w:p>
    <w:p w:rsidR="00724342" w:rsidRPr="00724342" w:rsidRDefault="00724342" w:rsidP="00724342">
      <w:pPr>
        <w:jc w:val="both"/>
        <w:rPr>
          <w:rFonts w:eastAsia="Calibri"/>
          <w:sz w:val="22"/>
          <w:szCs w:val="22"/>
          <w:lang w:eastAsia="en-US"/>
        </w:rPr>
      </w:pPr>
      <w:r w:rsidRPr="00724342">
        <w:rPr>
          <w:rFonts w:eastAsia="Calibri"/>
          <w:sz w:val="22"/>
          <w:szCs w:val="22"/>
          <w:lang w:eastAsia="en-US"/>
        </w:rPr>
        <w:lastRenderedPageBreak/>
        <w:t>УДК 332.33</w:t>
      </w:r>
    </w:p>
    <w:p w:rsidR="00724342" w:rsidRPr="00724342" w:rsidRDefault="00724342" w:rsidP="00724342">
      <w:pPr>
        <w:jc w:val="both"/>
        <w:rPr>
          <w:rFonts w:eastAsia="Calibri"/>
          <w:b/>
          <w:sz w:val="22"/>
          <w:szCs w:val="22"/>
          <w:lang w:eastAsia="en-US"/>
        </w:rPr>
      </w:pP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 xml:space="preserve">Направления повышения эффективности </w:t>
      </w: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 xml:space="preserve">производства зерновых культур в </w:t>
      </w: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сельскохозяйственных организациях</w:t>
      </w:r>
      <w:r w:rsidRPr="00724342">
        <w:rPr>
          <w:rFonts w:eastAsia="Calibri"/>
          <w:b/>
          <w:sz w:val="24"/>
          <w:szCs w:val="24"/>
          <w:lang w:eastAsia="en-US"/>
        </w:rPr>
        <w:br/>
      </w:r>
      <w:r w:rsidRPr="00724342">
        <w:rPr>
          <w:rFonts w:eastAsia="Calibri"/>
          <w:b/>
          <w:sz w:val="24"/>
          <w:szCs w:val="24"/>
          <w:lang w:val="en-US" w:eastAsia="en-US"/>
        </w:rPr>
        <w:t>Directions</w:t>
      </w:r>
      <w:r w:rsidRPr="00724342">
        <w:rPr>
          <w:rFonts w:eastAsia="Calibri"/>
          <w:b/>
          <w:sz w:val="24"/>
          <w:szCs w:val="24"/>
          <w:lang w:eastAsia="en-US"/>
        </w:rPr>
        <w:t xml:space="preserve"> </w:t>
      </w:r>
      <w:r w:rsidRPr="00724342">
        <w:rPr>
          <w:rFonts w:eastAsia="Calibri"/>
          <w:b/>
          <w:sz w:val="24"/>
          <w:szCs w:val="24"/>
          <w:lang w:val="en-US" w:eastAsia="en-US"/>
        </w:rPr>
        <w:t>for</w:t>
      </w:r>
      <w:r w:rsidRPr="00724342">
        <w:rPr>
          <w:rFonts w:eastAsia="Calibri"/>
          <w:b/>
          <w:sz w:val="24"/>
          <w:szCs w:val="24"/>
          <w:lang w:eastAsia="en-US"/>
        </w:rPr>
        <w:t xml:space="preserve"> </w:t>
      </w:r>
      <w:r w:rsidRPr="00724342">
        <w:rPr>
          <w:rFonts w:eastAsia="Calibri"/>
          <w:b/>
          <w:sz w:val="24"/>
          <w:szCs w:val="24"/>
          <w:lang w:val="en-US" w:eastAsia="en-US"/>
        </w:rPr>
        <w:t>increasing</w:t>
      </w:r>
      <w:r w:rsidRPr="00724342">
        <w:rPr>
          <w:rFonts w:eastAsia="Calibri"/>
          <w:b/>
          <w:sz w:val="24"/>
          <w:szCs w:val="24"/>
          <w:lang w:eastAsia="en-US"/>
        </w:rPr>
        <w:t xml:space="preserve"> </w:t>
      </w:r>
      <w:r w:rsidRPr="00724342">
        <w:rPr>
          <w:rFonts w:eastAsia="Calibri"/>
          <w:b/>
          <w:sz w:val="24"/>
          <w:szCs w:val="24"/>
          <w:lang w:val="en-US" w:eastAsia="en-US"/>
        </w:rPr>
        <w:t>efficiency</w:t>
      </w:r>
      <w:r w:rsidRPr="00724342">
        <w:rPr>
          <w:rFonts w:eastAsia="Calibri"/>
          <w:b/>
          <w:sz w:val="24"/>
          <w:szCs w:val="24"/>
          <w:lang w:eastAsia="en-US"/>
        </w:rPr>
        <w:t xml:space="preserve"> </w:t>
      </w:r>
      <w:r w:rsidRPr="00724342">
        <w:rPr>
          <w:rFonts w:eastAsia="Calibri"/>
          <w:b/>
          <w:sz w:val="24"/>
          <w:szCs w:val="24"/>
          <w:lang w:val="en-US" w:eastAsia="en-US"/>
        </w:rPr>
        <w:t>production</w:t>
      </w:r>
      <w:r w:rsidRPr="00724342">
        <w:rPr>
          <w:rFonts w:eastAsia="Calibri"/>
          <w:b/>
          <w:sz w:val="24"/>
          <w:szCs w:val="24"/>
          <w:lang w:eastAsia="en-US"/>
        </w:rPr>
        <w:t xml:space="preserve"> </w:t>
      </w:r>
      <w:r w:rsidRPr="00724342">
        <w:rPr>
          <w:rFonts w:eastAsia="Calibri"/>
          <w:b/>
          <w:sz w:val="24"/>
          <w:szCs w:val="24"/>
          <w:lang w:val="en-US" w:eastAsia="en-US"/>
        </w:rPr>
        <w:t>of</w:t>
      </w:r>
      <w:r w:rsidRPr="00724342">
        <w:rPr>
          <w:rFonts w:eastAsia="Calibri"/>
          <w:b/>
          <w:sz w:val="24"/>
          <w:szCs w:val="24"/>
          <w:lang w:eastAsia="en-US"/>
        </w:rPr>
        <w:t xml:space="preserve"> </w:t>
      </w:r>
      <w:r w:rsidRPr="00724342">
        <w:rPr>
          <w:rFonts w:eastAsia="Calibri"/>
          <w:b/>
          <w:sz w:val="24"/>
          <w:szCs w:val="24"/>
          <w:lang w:val="en-US" w:eastAsia="en-US"/>
        </w:rPr>
        <w:t>cereals</w:t>
      </w:r>
      <w:r w:rsidRPr="00724342">
        <w:rPr>
          <w:rFonts w:eastAsia="Calibri"/>
          <w:b/>
          <w:sz w:val="24"/>
          <w:szCs w:val="24"/>
          <w:lang w:eastAsia="en-US"/>
        </w:rPr>
        <w:t xml:space="preserve"> </w:t>
      </w:r>
      <w:r w:rsidRPr="00724342">
        <w:rPr>
          <w:rFonts w:eastAsia="Calibri"/>
          <w:b/>
          <w:sz w:val="24"/>
          <w:szCs w:val="24"/>
          <w:lang w:val="en-US" w:eastAsia="en-US"/>
        </w:rPr>
        <w:t>in</w:t>
      </w:r>
      <w:r w:rsidRPr="00724342">
        <w:rPr>
          <w:rFonts w:eastAsia="Calibri"/>
          <w:b/>
          <w:sz w:val="24"/>
          <w:szCs w:val="24"/>
          <w:lang w:eastAsia="en-US"/>
        </w:rPr>
        <w:t xml:space="preserve"> </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val="en-US" w:eastAsia="en-US"/>
        </w:rPr>
        <w:t>agricultural organizations</w:t>
      </w:r>
    </w:p>
    <w:p w:rsidR="00724342" w:rsidRPr="00724342" w:rsidRDefault="00724342" w:rsidP="00724342">
      <w:pPr>
        <w:rPr>
          <w:rFonts w:eastAsia="Calibri"/>
          <w:sz w:val="22"/>
          <w:szCs w:val="22"/>
          <w:lang w:val="en-US" w:eastAsia="en-US"/>
        </w:rPr>
      </w:pPr>
    </w:p>
    <w:p w:rsidR="00724342" w:rsidRPr="00C56F2E" w:rsidRDefault="00724342" w:rsidP="00724342">
      <w:pPr>
        <w:jc w:val="right"/>
        <w:rPr>
          <w:rFonts w:eastAsia="Calibri"/>
          <w:sz w:val="22"/>
          <w:szCs w:val="22"/>
          <w:lang w:val="en-US" w:eastAsia="en-US"/>
        </w:rPr>
      </w:pPr>
      <w:r w:rsidRPr="00724342">
        <w:rPr>
          <w:rFonts w:eastAsia="Calibri"/>
          <w:sz w:val="22"/>
          <w:szCs w:val="22"/>
          <w:lang w:eastAsia="en-US"/>
        </w:rPr>
        <w:t>Метельская</w:t>
      </w:r>
      <w:r w:rsidRPr="00724342">
        <w:rPr>
          <w:rFonts w:eastAsia="Calibri"/>
          <w:sz w:val="22"/>
          <w:szCs w:val="22"/>
          <w:lang w:val="en-US" w:eastAsia="en-US"/>
        </w:rPr>
        <w:t xml:space="preserve"> </w:t>
      </w:r>
      <w:r w:rsidRPr="00724342">
        <w:rPr>
          <w:rFonts w:eastAsia="Calibri"/>
          <w:sz w:val="22"/>
          <w:szCs w:val="22"/>
          <w:lang w:eastAsia="en-US"/>
        </w:rPr>
        <w:t>Т</w:t>
      </w:r>
      <w:r w:rsidRPr="00724342">
        <w:rPr>
          <w:rFonts w:eastAsia="Calibri"/>
          <w:sz w:val="22"/>
          <w:szCs w:val="22"/>
          <w:lang w:val="en-US" w:eastAsia="en-US"/>
        </w:rPr>
        <w:t xml:space="preserve">. </w:t>
      </w:r>
      <w:r w:rsidRPr="00724342">
        <w:rPr>
          <w:rFonts w:eastAsia="Calibri"/>
          <w:sz w:val="22"/>
          <w:szCs w:val="22"/>
          <w:lang w:eastAsia="en-US"/>
        </w:rPr>
        <w:t>В</w:t>
      </w:r>
      <w:r w:rsidRPr="00724342">
        <w:rPr>
          <w:rFonts w:eastAsia="Calibri"/>
          <w:sz w:val="22"/>
          <w:szCs w:val="22"/>
          <w:lang w:val="en-US" w:eastAsia="en-US"/>
        </w:rPr>
        <w:t>.</w:t>
      </w:r>
      <w:r w:rsidR="0010381E" w:rsidRPr="00C56F2E">
        <w:rPr>
          <w:rFonts w:eastAsia="Calibri"/>
          <w:sz w:val="22"/>
          <w:szCs w:val="22"/>
          <w:lang w:val="en-US" w:eastAsia="en-US"/>
        </w:rPr>
        <w:t>,</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студентка 3-го курса экономического факультета</w:t>
      </w:r>
    </w:p>
    <w:p w:rsidR="00724342" w:rsidRPr="00724342" w:rsidRDefault="00724342" w:rsidP="00724342">
      <w:pPr>
        <w:suppressAutoHyphens/>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Кубанский государственный аграрный</w:t>
      </w:r>
    </w:p>
    <w:p w:rsidR="00724342" w:rsidRPr="00724342" w:rsidRDefault="00724342" w:rsidP="00724342">
      <w:pPr>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университет имени И. Т. Трубилина</w:t>
      </w:r>
    </w:p>
    <w:p w:rsidR="00724342" w:rsidRPr="00724342" w:rsidRDefault="00724342" w:rsidP="00724342">
      <w:pPr>
        <w:jc w:val="right"/>
        <w:rPr>
          <w:rFonts w:eastAsia="Calibri"/>
          <w:b/>
          <w:sz w:val="24"/>
          <w:szCs w:val="24"/>
          <w:lang w:eastAsia="en-US"/>
        </w:rPr>
      </w:pP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АННОТАЦИЯ: В статье систематизированы основные напра</w:t>
      </w:r>
      <w:r w:rsidRPr="00724342">
        <w:rPr>
          <w:rFonts w:eastAsia="Calibri"/>
          <w:sz w:val="22"/>
          <w:szCs w:val="22"/>
          <w:lang w:eastAsia="en-US"/>
        </w:rPr>
        <w:t>в</w:t>
      </w:r>
      <w:r w:rsidRPr="00724342">
        <w:rPr>
          <w:rFonts w:eastAsia="Calibri"/>
          <w:sz w:val="22"/>
          <w:szCs w:val="22"/>
          <w:lang w:eastAsia="en-US"/>
        </w:rPr>
        <w:t>ления повышения эффективности производства в зернопродуктовом подкомплексе АПК на современном этапе его развития.</w:t>
      </w:r>
    </w:p>
    <w:p w:rsidR="00724342" w:rsidRPr="00724342" w:rsidRDefault="00724342" w:rsidP="0010381E">
      <w:pPr>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ABSTRACT: In the article the main directions of increasing the production efficiency in the grain product subcomplex of the agroindu</w:t>
      </w:r>
      <w:r w:rsidRPr="00724342">
        <w:rPr>
          <w:rFonts w:eastAsia="Courier New"/>
          <w:color w:val="000000"/>
          <w:sz w:val="22"/>
          <w:szCs w:val="22"/>
          <w:lang w:val="en-US" w:eastAsia="en-US"/>
        </w:rPr>
        <w:t>s</w:t>
      </w:r>
      <w:r w:rsidRPr="00724342">
        <w:rPr>
          <w:rFonts w:eastAsia="Courier New"/>
          <w:color w:val="000000"/>
          <w:sz w:val="22"/>
          <w:szCs w:val="22"/>
          <w:lang w:val="en-US" w:eastAsia="en-US"/>
        </w:rPr>
        <w:t>trial complex are systematized at the present stage of its development.</w:t>
      </w:r>
    </w:p>
    <w:p w:rsidR="00724342" w:rsidRPr="00724342" w:rsidRDefault="00724342" w:rsidP="0010381E">
      <w:pPr>
        <w:ind w:firstLine="426"/>
        <w:jc w:val="both"/>
        <w:rPr>
          <w:rFonts w:eastAsia="Calibri"/>
          <w:color w:val="000000"/>
          <w:sz w:val="22"/>
          <w:szCs w:val="22"/>
          <w:lang w:eastAsia="en-US"/>
        </w:rPr>
      </w:pPr>
      <w:r w:rsidRPr="00724342">
        <w:rPr>
          <w:rFonts w:eastAsia="Calibri"/>
          <w:color w:val="000000"/>
          <w:sz w:val="22"/>
          <w:szCs w:val="22"/>
          <w:lang w:eastAsia="en-US"/>
        </w:rPr>
        <w:t>КЛЮЧЕВЫЕ СЛОВА: Зерно, сельское хозяйство, эффекти</w:t>
      </w:r>
      <w:r w:rsidRPr="00724342">
        <w:rPr>
          <w:rFonts w:eastAsia="Calibri"/>
          <w:color w:val="000000"/>
          <w:sz w:val="22"/>
          <w:szCs w:val="22"/>
          <w:lang w:eastAsia="en-US"/>
        </w:rPr>
        <w:t>в</w:t>
      </w:r>
      <w:r w:rsidRPr="00724342">
        <w:rPr>
          <w:rFonts w:eastAsia="Calibri"/>
          <w:color w:val="000000"/>
          <w:sz w:val="22"/>
          <w:szCs w:val="22"/>
          <w:lang w:eastAsia="en-US"/>
        </w:rPr>
        <w:t>ность, зерновые культуры, урожайность, производство.</w:t>
      </w:r>
    </w:p>
    <w:p w:rsidR="00724342" w:rsidRPr="00724342" w:rsidRDefault="00724342" w:rsidP="0010381E">
      <w:pPr>
        <w:ind w:firstLine="426"/>
        <w:jc w:val="both"/>
        <w:rPr>
          <w:rFonts w:eastAsia="Calibri"/>
          <w:color w:val="000000"/>
          <w:sz w:val="22"/>
          <w:szCs w:val="22"/>
          <w:lang w:val="en-US" w:eastAsia="en-US"/>
        </w:rPr>
      </w:pPr>
      <w:r w:rsidRPr="00724342">
        <w:rPr>
          <w:rFonts w:eastAsia="Courier New"/>
          <w:color w:val="000000"/>
          <w:sz w:val="22"/>
          <w:szCs w:val="22"/>
          <w:lang w:val="en-US" w:eastAsia="en-US"/>
        </w:rPr>
        <w:t>KEYWORDS: Grain, agriculture, efficiency, cereals, productivity, production.</w:t>
      </w:r>
    </w:p>
    <w:p w:rsidR="00724342" w:rsidRPr="00724342" w:rsidRDefault="00724342" w:rsidP="0010381E">
      <w:pPr>
        <w:ind w:firstLine="426"/>
        <w:jc w:val="both"/>
        <w:rPr>
          <w:rFonts w:eastAsia="Calibri"/>
          <w:sz w:val="22"/>
          <w:szCs w:val="22"/>
          <w:lang w:val="en-US" w:eastAsia="en-US"/>
        </w:rPr>
      </w:pPr>
    </w:p>
    <w:p w:rsidR="00724342" w:rsidRPr="00724342" w:rsidRDefault="00724342" w:rsidP="0010381E">
      <w:pPr>
        <w:ind w:firstLine="426"/>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t>Зернопродуктовый подкомплекс АПК имеет стратегическое значение для экономики России, являясь основой продовольстве</w:t>
      </w:r>
      <w:r w:rsidRPr="00724342">
        <w:rPr>
          <w:rFonts w:eastAsia="Calibri"/>
          <w:color w:val="000000"/>
          <w:sz w:val="22"/>
          <w:szCs w:val="22"/>
          <w:shd w:val="clear" w:color="auto" w:fill="FFFFFF"/>
          <w:lang w:eastAsia="en-US"/>
        </w:rPr>
        <w:t>н</w:t>
      </w:r>
      <w:r w:rsidRPr="00724342">
        <w:rPr>
          <w:rFonts w:eastAsia="Calibri"/>
          <w:color w:val="000000"/>
          <w:sz w:val="22"/>
          <w:szCs w:val="22"/>
          <w:shd w:val="clear" w:color="auto" w:fill="FFFFFF"/>
          <w:lang w:eastAsia="en-US"/>
        </w:rPr>
        <w:t>ной безопасности страны и потенциалом роста национального б</w:t>
      </w:r>
      <w:r w:rsidRPr="00724342">
        <w:rPr>
          <w:rFonts w:eastAsia="Calibri"/>
          <w:color w:val="000000"/>
          <w:sz w:val="22"/>
          <w:szCs w:val="22"/>
          <w:shd w:val="clear" w:color="auto" w:fill="FFFFFF"/>
          <w:lang w:eastAsia="en-US"/>
        </w:rPr>
        <w:t>о</w:t>
      </w:r>
      <w:r w:rsidRPr="00724342">
        <w:rPr>
          <w:rFonts w:eastAsia="Calibri"/>
          <w:color w:val="000000"/>
          <w:sz w:val="22"/>
          <w:szCs w:val="22"/>
          <w:shd w:val="clear" w:color="auto" w:fill="FFFFFF"/>
          <w:lang w:eastAsia="en-US"/>
        </w:rPr>
        <w:t>гатства. За счет продуктов переработки зерна обеспечивается около 40% общей калорийности питания, почти 50% потребности в бе</w:t>
      </w:r>
      <w:r w:rsidRPr="00724342">
        <w:rPr>
          <w:rFonts w:eastAsia="Calibri"/>
          <w:color w:val="000000"/>
          <w:sz w:val="22"/>
          <w:szCs w:val="22"/>
          <w:shd w:val="clear" w:color="auto" w:fill="FFFFFF"/>
          <w:lang w:eastAsia="en-US"/>
        </w:rPr>
        <w:t>л</w:t>
      </w:r>
      <w:r w:rsidRPr="00724342">
        <w:rPr>
          <w:rFonts w:eastAsia="Calibri"/>
          <w:color w:val="000000"/>
          <w:sz w:val="22"/>
          <w:szCs w:val="22"/>
          <w:shd w:val="clear" w:color="auto" w:fill="FFFFFF"/>
          <w:lang w:eastAsia="en-US"/>
        </w:rPr>
        <w:t xml:space="preserve">ках, 60% потребности в углеводах. Зерно служит ценным сырьем для отраслей пищевой, комбикормовой, химической, текстильной промышленности. </w:t>
      </w:r>
    </w:p>
    <w:p w:rsidR="00724342" w:rsidRPr="00724342" w:rsidRDefault="00724342" w:rsidP="0010381E">
      <w:pPr>
        <w:ind w:firstLine="426"/>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t>При всей значимости отрасли для развития экономики страны, стабильном спросе на продукты зернопродуктового подкомплекса и ценности получаемой продукции потенциал подотрасли в насто</w:t>
      </w:r>
      <w:r w:rsidRPr="00724342">
        <w:rPr>
          <w:rFonts w:eastAsia="Calibri"/>
          <w:color w:val="000000"/>
          <w:sz w:val="22"/>
          <w:szCs w:val="22"/>
          <w:shd w:val="clear" w:color="auto" w:fill="FFFFFF"/>
          <w:lang w:eastAsia="en-US"/>
        </w:rPr>
        <w:t>я</w:t>
      </w:r>
      <w:r w:rsidRPr="00724342">
        <w:rPr>
          <w:rFonts w:eastAsia="Calibri"/>
          <w:color w:val="000000"/>
          <w:sz w:val="22"/>
          <w:szCs w:val="22"/>
          <w:shd w:val="clear" w:color="auto" w:fill="FFFFFF"/>
          <w:lang w:eastAsia="en-US"/>
        </w:rPr>
        <w:t xml:space="preserve">щий момент реализуется не в полной мере. </w:t>
      </w:r>
    </w:p>
    <w:p w:rsidR="00724342" w:rsidRPr="00724342" w:rsidRDefault="00724342" w:rsidP="0010381E">
      <w:pPr>
        <w:ind w:firstLine="426"/>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lastRenderedPageBreak/>
        <w:t>Обзор научно-исследовательских работ в области изучения с</w:t>
      </w:r>
      <w:r w:rsidRPr="00724342">
        <w:rPr>
          <w:rFonts w:eastAsia="Calibri"/>
          <w:color w:val="000000"/>
          <w:sz w:val="22"/>
          <w:szCs w:val="22"/>
          <w:shd w:val="clear" w:color="auto" w:fill="FFFFFF"/>
          <w:lang w:eastAsia="en-US"/>
        </w:rPr>
        <w:t>о</w:t>
      </w:r>
      <w:r w:rsidRPr="00724342">
        <w:rPr>
          <w:rFonts w:eastAsia="Calibri"/>
          <w:color w:val="000000"/>
          <w:sz w:val="22"/>
          <w:szCs w:val="22"/>
          <w:shd w:val="clear" w:color="auto" w:fill="FFFFFF"/>
          <w:lang w:eastAsia="en-US"/>
        </w:rPr>
        <w:t>временного состояния и факторов эффективного развития зернов</w:t>
      </w:r>
      <w:r w:rsidRPr="00724342">
        <w:rPr>
          <w:rFonts w:eastAsia="Calibri"/>
          <w:color w:val="000000"/>
          <w:sz w:val="22"/>
          <w:szCs w:val="22"/>
          <w:shd w:val="clear" w:color="auto" w:fill="FFFFFF"/>
          <w:lang w:eastAsia="en-US"/>
        </w:rPr>
        <w:t>о</w:t>
      </w:r>
      <w:r w:rsidRPr="00724342">
        <w:rPr>
          <w:rFonts w:eastAsia="Calibri"/>
          <w:color w:val="000000"/>
          <w:sz w:val="22"/>
          <w:szCs w:val="22"/>
          <w:shd w:val="clear" w:color="auto" w:fill="FFFFFF"/>
          <w:lang w:eastAsia="en-US"/>
        </w:rPr>
        <w:t>го производства позволил выделить следующие основные причины неустойчивости производства в подотрасли:</w:t>
      </w:r>
    </w:p>
    <w:p w:rsidR="00724342" w:rsidRPr="00724342" w:rsidRDefault="00724342" w:rsidP="0010381E">
      <w:pPr>
        <w:ind w:firstLine="426"/>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t>– диспаритет цен в товарном обмене между сельским хозя</w:t>
      </w:r>
      <w:r w:rsidRPr="00724342">
        <w:rPr>
          <w:rFonts w:eastAsia="Calibri"/>
          <w:color w:val="000000"/>
          <w:sz w:val="22"/>
          <w:szCs w:val="22"/>
          <w:shd w:val="clear" w:color="auto" w:fill="FFFFFF"/>
          <w:lang w:eastAsia="en-US"/>
        </w:rPr>
        <w:t>й</w:t>
      </w:r>
      <w:r w:rsidRPr="00724342">
        <w:rPr>
          <w:rFonts w:eastAsia="Calibri"/>
          <w:color w:val="000000"/>
          <w:sz w:val="22"/>
          <w:szCs w:val="22"/>
          <w:shd w:val="clear" w:color="auto" w:fill="FFFFFF"/>
          <w:lang w:eastAsia="en-US"/>
        </w:rPr>
        <w:t>ством и другими отраслями народного хозяйства, особенно первой сферой АПК. Последнее является причиной применения на сел</w:t>
      </w:r>
      <w:r w:rsidRPr="00724342">
        <w:rPr>
          <w:rFonts w:eastAsia="Calibri"/>
          <w:color w:val="000000"/>
          <w:sz w:val="22"/>
          <w:szCs w:val="22"/>
          <w:shd w:val="clear" w:color="auto" w:fill="FFFFFF"/>
          <w:lang w:eastAsia="en-US"/>
        </w:rPr>
        <w:t>ь</w:t>
      </w:r>
      <w:r w:rsidRPr="00724342">
        <w:rPr>
          <w:rFonts w:eastAsia="Calibri"/>
          <w:color w:val="000000"/>
          <w:sz w:val="22"/>
          <w:szCs w:val="22"/>
          <w:shd w:val="clear" w:color="auto" w:fill="FFFFFF"/>
          <w:lang w:eastAsia="en-US"/>
        </w:rPr>
        <w:t>скохозяйственных работах устаревшего машинотракторного парка и низкие темпы обновления основных средств в хозяйствах [1,4];</w:t>
      </w:r>
    </w:p>
    <w:p w:rsidR="00724342" w:rsidRPr="00724342" w:rsidRDefault="00724342" w:rsidP="0010381E">
      <w:pPr>
        <w:ind w:firstLine="426"/>
        <w:jc w:val="both"/>
        <w:rPr>
          <w:rFonts w:eastAsia="Calibri"/>
          <w:color w:val="000000"/>
          <w:sz w:val="22"/>
          <w:szCs w:val="22"/>
          <w:shd w:val="clear" w:color="auto" w:fill="FFFFFF"/>
          <w:lang w:eastAsia="en-US"/>
        </w:rPr>
      </w:pPr>
      <w:r w:rsidRPr="00724342">
        <w:rPr>
          <w:rFonts w:eastAsia="Calibri"/>
          <w:color w:val="000000"/>
          <w:sz w:val="22"/>
          <w:szCs w:val="22"/>
          <w:shd w:val="clear" w:color="auto" w:fill="FFFFFF"/>
          <w:lang w:eastAsia="en-US"/>
        </w:rPr>
        <w:t>– монополизм предприятий третьей сфер АПК, зернохранилищ и перерабатывающим комплексов. В результате сельхозпроизвод</w:t>
      </w:r>
      <w:r w:rsidRPr="00724342">
        <w:rPr>
          <w:rFonts w:eastAsia="Calibri"/>
          <w:color w:val="000000"/>
          <w:sz w:val="22"/>
          <w:szCs w:val="22"/>
          <w:shd w:val="clear" w:color="auto" w:fill="FFFFFF"/>
          <w:lang w:eastAsia="en-US"/>
        </w:rPr>
        <w:t>и</w:t>
      </w:r>
      <w:r w:rsidRPr="00724342">
        <w:rPr>
          <w:rFonts w:eastAsia="Calibri"/>
          <w:color w:val="000000"/>
          <w:sz w:val="22"/>
          <w:szCs w:val="22"/>
          <w:shd w:val="clear" w:color="auto" w:fill="FFFFFF"/>
          <w:lang w:eastAsia="en-US"/>
        </w:rPr>
        <w:t>тели не могут влиять на дальнейшее продвижение своей продукции, основная часть добавочной стоимости конечного продукта прих</w:t>
      </w:r>
      <w:r w:rsidRPr="00724342">
        <w:rPr>
          <w:rFonts w:eastAsia="Calibri"/>
          <w:color w:val="000000"/>
          <w:sz w:val="22"/>
          <w:szCs w:val="22"/>
          <w:shd w:val="clear" w:color="auto" w:fill="FFFFFF"/>
          <w:lang w:eastAsia="en-US"/>
        </w:rPr>
        <w:t>о</w:t>
      </w:r>
      <w:r w:rsidRPr="00724342">
        <w:rPr>
          <w:rFonts w:eastAsia="Calibri"/>
          <w:color w:val="000000"/>
          <w:sz w:val="22"/>
          <w:szCs w:val="22"/>
          <w:shd w:val="clear" w:color="auto" w:fill="FFFFFF"/>
          <w:lang w:eastAsia="en-US"/>
        </w:rPr>
        <w:t>дится на перерабатывающие предприятия [3].</w:t>
      </w:r>
    </w:p>
    <w:p w:rsidR="00724342" w:rsidRPr="00724342" w:rsidRDefault="00724342" w:rsidP="0010381E">
      <w:pPr>
        <w:ind w:firstLine="426"/>
        <w:jc w:val="both"/>
        <w:rPr>
          <w:color w:val="000000"/>
          <w:sz w:val="22"/>
          <w:szCs w:val="22"/>
        </w:rPr>
      </w:pPr>
      <w:r w:rsidRPr="00724342">
        <w:rPr>
          <w:rFonts w:eastAsia="Calibri"/>
          <w:color w:val="000000"/>
          <w:sz w:val="22"/>
          <w:szCs w:val="22"/>
          <w:shd w:val="clear" w:color="auto" w:fill="FFFFFF"/>
          <w:lang w:eastAsia="en-US"/>
        </w:rPr>
        <w:t>Эффективность зернового производства определяется возде</w:t>
      </w:r>
      <w:r w:rsidRPr="00724342">
        <w:rPr>
          <w:rFonts w:eastAsia="Calibri"/>
          <w:color w:val="000000"/>
          <w:sz w:val="22"/>
          <w:szCs w:val="22"/>
          <w:shd w:val="clear" w:color="auto" w:fill="FFFFFF"/>
          <w:lang w:eastAsia="en-US"/>
        </w:rPr>
        <w:t>й</w:t>
      </w:r>
      <w:r w:rsidRPr="00724342">
        <w:rPr>
          <w:rFonts w:eastAsia="Calibri"/>
          <w:color w:val="000000"/>
          <w:sz w:val="22"/>
          <w:szCs w:val="22"/>
          <w:shd w:val="clear" w:color="auto" w:fill="FFFFFF"/>
          <w:lang w:eastAsia="en-US"/>
        </w:rPr>
        <w:t>ствием сложного комплекса природно-климатических, технолог</w:t>
      </w:r>
      <w:r w:rsidRPr="00724342">
        <w:rPr>
          <w:rFonts w:eastAsia="Calibri"/>
          <w:color w:val="000000"/>
          <w:sz w:val="22"/>
          <w:szCs w:val="22"/>
          <w:shd w:val="clear" w:color="auto" w:fill="FFFFFF"/>
          <w:lang w:eastAsia="en-US"/>
        </w:rPr>
        <w:t>и</w:t>
      </w:r>
      <w:r w:rsidRPr="00724342">
        <w:rPr>
          <w:rFonts w:eastAsia="Calibri"/>
          <w:color w:val="000000"/>
          <w:sz w:val="22"/>
          <w:szCs w:val="22"/>
          <w:shd w:val="clear" w:color="auto" w:fill="FFFFFF"/>
          <w:lang w:eastAsia="en-US"/>
        </w:rPr>
        <w:t xml:space="preserve">ческих и организационно-экономических факторов. </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В исследовании были систематизированы основные направл</w:t>
      </w:r>
      <w:r w:rsidRPr="00724342">
        <w:rPr>
          <w:rFonts w:eastAsia="Calibri"/>
          <w:sz w:val="22"/>
          <w:szCs w:val="22"/>
          <w:lang w:eastAsia="en-US"/>
        </w:rPr>
        <w:t>е</w:t>
      </w:r>
      <w:r w:rsidRPr="00724342">
        <w:rPr>
          <w:rFonts w:eastAsia="Calibri"/>
          <w:sz w:val="22"/>
          <w:szCs w:val="22"/>
          <w:lang w:eastAsia="en-US"/>
        </w:rPr>
        <w:t>ния повышения эффективности производства зерна сельскохозя</w:t>
      </w:r>
      <w:r w:rsidRPr="00724342">
        <w:rPr>
          <w:rFonts w:eastAsia="Calibri"/>
          <w:sz w:val="22"/>
          <w:szCs w:val="22"/>
          <w:lang w:eastAsia="en-US"/>
        </w:rPr>
        <w:t>й</w:t>
      </w:r>
      <w:r w:rsidRPr="00724342">
        <w:rPr>
          <w:rFonts w:eastAsia="Calibri"/>
          <w:sz w:val="22"/>
          <w:szCs w:val="22"/>
          <w:lang w:eastAsia="en-US"/>
        </w:rPr>
        <w:t>ственными организациями. К ним следует отнести:</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 внедрение в практику производства методов организации, направленных на устранение различного рода потерь и сокращения производственных расходов, повышение производительности тр</w:t>
      </w:r>
      <w:r w:rsidRPr="00724342">
        <w:rPr>
          <w:rFonts w:eastAsia="Calibri"/>
          <w:sz w:val="22"/>
          <w:szCs w:val="22"/>
          <w:lang w:eastAsia="en-US"/>
        </w:rPr>
        <w:t>у</w:t>
      </w:r>
      <w:r w:rsidRPr="00724342">
        <w:rPr>
          <w:rFonts w:eastAsia="Calibri"/>
          <w:sz w:val="22"/>
          <w:szCs w:val="22"/>
          <w:lang w:eastAsia="en-US"/>
        </w:rPr>
        <w:t>да, в том числе за счет приобретения дополнительного количества современной высокопроизводительной техники [1, 5];</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 повышение уровня агротехники, в том числе соблюдение сроков посева и уборку зерна, своевременное и рациональное и</w:t>
      </w:r>
      <w:r w:rsidRPr="00724342">
        <w:rPr>
          <w:rFonts w:eastAsia="Calibri"/>
          <w:sz w:val="22"/>
          <w:szCs w:val="22"/>
          <w:lang w:eastAsia="en-US"/>
        </w:rPr>
        <w:t>с</w:t>
      </w:r>
      <w:r w:rsidRPr="00724342">
        <w:rPr>
          <w:rFonts w:eastAsia="Calibri"/>
          <w:sz w:val="22"/>
          <w:szCs w:val="22"/>
          <w:lang w:eastAsia="en-US"/>
        </w:rPr>
        <w:t>пользование средств защиты растений, удобрения. Как показывает опыт ведущих зернопроизводящих хозяйств, проведение уборки в оптимальные сроки (10-14 дней) позволяет увеличить сохранность урожая на 15-20 % [3];</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 интенсификация производства за счет применения совреме</w:t>
      </w:r>
      <w:r w:rsidRPr="00724342">
        <w:rPr>
          <w:rFonts w:eastAsia="Calibri"/>
          <w:sz w:val="22"/>
          <w:szCs w:val="22"/>
          <w:lang w:eastAsia="en-US"/>
        </w:rPr>
        <w:t>н</w:t>
      </w:r>
      <w:r w:rsidRPr="00724342">
        <w:rPr>
          <w:rFonts w:eastAsia="Calibri"/>
          <w:sz w:val="22"/>
          <w:szCs w:val="22"/>
          <w:lang w:eastAsia="en-US"/>
        </w:rPr>
        <w:t>ных технологий возделывания зерновых культур. Опыт работы п</w:t>
      </w:r>
      <w:r w:rsidRPr="00724342">
        <w:rPr>
          <w:rFonts w:eastAsia="Calibri"/>
          <w:sz w:val="22"/>
          <w:szCs w:val="22"/>
          <w:lang w:eastAsia="en-US"/>
        </w:rPr>
        <w:t>е</w:t>
      </w:r>
      <w:r w:rsidRPr="00724342">
        <w:rPr>
          <w:rFonts w:eastAsia="Calibri"/>
          <w:sz w:val="22"/>
          <w:szCs w:val="22"/>
          <w:lang w:eastAsia="en-US"/>
        </w:rPr>
        <w:t>редовых хозяйств свидетельствует о том, что применение инте</w:t>
      </w:r>
      <w:r w:rsidRPr="00724342">
        <w:rPr>
          <w:rFonts w:eastAsia="Calibri"/>
          <w:sz w:val="22"/>
          <w:szCs w:val="22"/>
          <w:lang w:eastAsia="en-US"/>
        </w:rPr>
        <w:t>н</w:t>
      </w:r>
      <w:r w:rsidRPr="00724342">
        <w:rPr>
          <w:rFonts w:eastAsia="Calibri"/>
          <w:sz w:val="22"/>
          <w:szCs w:val="22"/>
          <w:lang w:eastAsia="en-US"/>
        </w:rPr>
        <w:t>сивных технологий экономически выгодно. Использование инте</w:t>
      </w:r>
      <w:r w:rsidRPr="00724342">
        <w:rPr>
          <w:rFonts w:eastAsia="Calibri"/>
          <w:sz w:val="22"/>
          <w:szCs w:val="22"/>
          <w:lang w:eastAsia="en-US"/>
        </w:rPr>
        <w:t>н</w:t>
      </w:r>
      <w:r w:rsidRPr="00724342">
        <w:rPr>
          <w:rFonts w:eastAsia="Calibri"/>
          <w:sz w:val="22"/>
          <w:szCs w:val="22"/>
          <w:lang w:eastAsia="en-US"/>
        </w:rPr>
        <w:t>сивных технологий при возделывании озимой пшеницы позволяет в среднем повысить урожайность на 35-40 %, снизить себестоимость на 4-6 %, увеличить прибыль в расчете на 1 га посевов на 50-60 %;</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lastRenderedPageBreak/>
        <w:t>– развитие системы материального поощрения за своевреме</w:t>
      </w:r>
      <w:r w:rsidRPr="00724342">
        <w:rPr>
          <w:rFonts w:eastAsia="Calibri"/>
          <w:sz w:val="22"/>
          <w:szCs w:val="22"/>
          <w:lang w:eastAsia="en-US"/>
        </w:rPr>
        <w:t>н</w:t>
      </w:r>
      <w:r w:rsidRPr="00724342">
        <w:rPr>
          <w:rFonts w:eastAsia="Calibri"/>
          <w:sz w:val="22"/>
          <w:szCs w:val="22"/>
          <w:lang w:eastAsia="en-US"/>
        </w:rPr>
        <w:t>ное проведение полевых работ, качественный ремонт позволяет п</w:t>
      </w:r>
      <w:r w:rsidRPr="00724342">
        <w:rPr>
          <w:rFonts w:eastAsia="Calibri"/>
          <w:sz w:val="22"/>
          <w:szCs w:val="22"/>
          <w:lang w:eastAsia="en-US"/>
        </w:rPr>
        <w:t>о</w:t>
      </w:r>
      <w:r w:rsidRPr="00724342">
        <w:rPr>
          <w:rFonts w:eastAsia="Calibri"/>
          <w:sz w:val="22"/>
          <w:szCs w:val="22"/>
          <w:lang w:eastAsia="en-US"/>
        </w:rPr>
        <w:t>высить производительность труда в отрасли, а, следовательно, и доходность производства [2];</w:t>
      </w:r>
    </w:p>
    <w:p w:rsidR="00724342" w:rsidRPr="00724342" w:rsidRDefault="00724342" w:rsidP="0010381E">
      <w:pPr>
        <w:ind w:firstLine="426"/>
        <w:jc w:val="both"/>
        <w:rPr>
          <w:color w:val="000000"/>
          <w:sz w:val="22"/>
          <w:szCs w:val="22"/>
        </w:rPr>
      </w:pPr>
      <w:r w:rsidRPr="00724342">
        <w:rPr>
          <w:color w:val="000000"/>
          <w:sz w:val="22"/>
          <w:szCs w:val="22"/>
        </w:rPr>
        <w:t>Большинство авторов [1,3,4] сходятся во мнении, что повыш</w:t>
      </w:r>
      <w:r w:rsidRPr="00724342">
        <w:rPr>
          <w:color w:val="000000"/>
          <w:sz w:val="22"/>
          <w:szCs w:val="22"/>
        </w:rPr>
        <w:t>е</w:t>
      </w:r>
      <w:r w:rsidRPr="00724342">
        <w:rPr>
          <w:color w:val="000000"/>
          <w:sz w:val="22"/>
          <w:szCs w:val="22"/>
        </w:rPr>
        <w:t>ние экономической эффективности производства и реализации зе</w:t>
      </w:r>
      <w:r w:rsidRPr="00724342">
        <w:rPr>
          <w:color w:val="000000"/>
          <w:sz w:val="22"/>
          <w:szCs w:val="22"/>
        </w:rPr>
        <w:t>р</w:t>
      </w:r>
      <w:r w:rsidRPr="00724342">
        <w:rPr>
          <w:color w:val="000000"/>
          <w:sz w:val="22"/>
          <w:szCs w:val="22"/>
        </w:rPr>
        <w:t>на сельскохозяйственными организациями возможно за счет созд</w:t>
      </w:r>
      <w:r w:rsidRPr="00724342">
        <w:rPr>
          <w:color w:val="000000"/>
          <w:sz w:val="22"/>
          <w:szCs w:val="22"/>
        </w:rPr>
        <w:t>а</w:t>
      </w:r>
      <w:r w:rsidRPr="00724342">
        <w:rPr>
          <w:color w:val="000000"/>
          <w:sz w:val="22"/>
          <w:szCs w:val="22"/>
        </w:rPr>
        <w:t>ния и развития экономического механизма, отвечающего совреме</w:t>
      </w:r>
      <w:r w:rsidRPr="00724342">
        <w:rPr>
          <w:color w:val="000000"/>
          <w:sz w:val="22"/>
          <w:szCs w:val="22"/>
        </w:rPr>
        <w:t>н</w:t>
      </w:r>
      <w:r w:rsidRPr="00724342">
        <w:rPr>
          <w:color w:val="000000"/>
          <w:sz w:val="22"/>
          <w:szCs w:val="22"/>
        </w:rPr>
        <w:t>ным организационно-правовым формам хозяйствования, способн</w:t>
      </w:r>
      <w:r w:rsidRPr="00724342">
        <w:rPr>
          <w:color w:val="000000"/>
          <w:sz w:val="22"/>
          <w:szCs w:val="22"/>
        </w:rPr>
        <w:t>о</w:t>
      </w:r>
      <w:r w:rsidRPr="00724342">
        <w:rPr>
          <w:color w:val="000000"/>
          <w:sz w:val="22"/>
          <w:szCs w:val="22"/>
        </w:rPr>
        <w:t>го привести в действие организационно-технологические факторы, не допуская воздействия на производство дестабилизирующих фа</w:t>
      </w:r>
      <w:r w:rsidRPr="00724342">
        <w:rPr>
          <w:color w:val="000000"/>
          <w:sz w:val="22"/>
          <w:szCs w:val="22"/>
        </w:rPr>
        <w:t>к</w:t>
      </w:r>
      <w:r w:rsidRPr="00724342">
        <w:rPr>
          <w:color w:val="000000"/>
          <w:sz w:val="22"/>
          <w:szCs w:val="22"/>
        </w:rPr>
        <w:t>торов.</w:t>
      </w:r>
    </w:p>
    <w:p w:rsidR="00724342" w:rsidRPr="00724342" w:rsidRDefault="00724342" w:rsidP="0010381E">
      <w:pPr>
        <w:ind w:firstLine="426"/>
        <w:jc w:val="both"/>
        <w:rPr>
          <w:rFonts w:eastAsia="Calibri"/>
          <w:sz w:val="22"/>
          <w:szCs w:val="22"/>
          <w:lang w:eastAsia="en-US"/>
        </w:rPr>
      </w:pPr>
    </w:p>
    <w:p w:rsidR="00724342" w:rsidRPr="00724342" w:rsidRDefault="00724342" w:rsidP="0010381E">
      <w:pPr>
        <w:ind w:firstLine="426"/>
        <w:jc w:val="center"/>
        <w:rPr>
          <w:color w:val="000000"/>
          <w:sz w:val="22"/>
          <w:szCs w:val="22"/>
        </w:rPr>
      </w:pPr>
      <w:r w:rsidRPr="00724342">
        <w:rPr>
          <w:color w:val="000000"/>
          <w:sz w:val="22"/>
          <w:szCs w:val="22"/>
        </w:rPr>
        <w:t>Список литературы</w:t>
      </w:r>
    </w:p>
    <w:p w:rsidR="00724342" w:rsidRPr="00724342" w:rsidRDefault="00724342" w:rsidP="0010381E">
      <w:pPr>
        <w:ind w:firstLine="426"/>
        <w:jc w:val="both"/>
        <w:rPr>
          <w:color w:val="000000"/>
          <w:sz w:val="22"/>
          <w:szCs w:val="22"/>
        </w:rPr>
      </w:pPr>
      <w:r w:rsidRPr="00724342">
        <w:rPr>
          <w:color w:val="000000"/>
          <w:sz w:val="22"/>
          <w:szCs w:val="22"/>
        </w:rPr>
        <w:t>1. Бершицкий Ю. И. Особенности экономической оценки зе</w:t>
      </w:r>
      <w:r w:rsidRPr="00724342">
        <w:rPr>
          <w:color w:val="000000"/>
          <w:sz w:val="22"/>
          <w:szCs w:val="22"/>
        </w:rPr>
        <w:t>р</w:t>
      </w:r>
      <w:r w:rsidRPr="00724342">
        <w:rPr>
          <w:color w:val="000000"/>
          <w:sz w:val="22"/>
          <w:szCs w:val="22"/>
        </w:rPr>
        <w:t>ноуборочной техники / Ю. И. Бершицкий, Ю. К. Кастиди, К. Э. Тюпаков // Политематический сетевой электронный научный журнал Кубанского государственного аграрного университета. – 2015. – № 111. – С. 287–298.</w:t>
      </w:r>
    </w:p>
    <w:p w:rsidR="00724342" w:rsidRPr="00724342" w:rsidRDefault="00724342" w:rsidP="0010381E">
      <w:pPr>
        <w:ind w:firstLine="426"/>
        <w:jc w:val="both"/>
        <w:rPr>
          <w:color w:val="000000"/>
          <w:sz w:val="22"/>
          <w:szCs w:val="22"/>
        </w:rPr>
      </w:pPr>
      <w:r w:rsidRPr="00724342">
        <w:rPr>
          <w:color w:val="000000"/>
          <w:sz w:val="22"/>
          <w:szCs w:val="22"/>
        </w:rPr>
        <w:t>2. Литвиненко Г. Н. Резервы роста производительности труда – необходимое условие эффективности производства / Г. Н. Литв</w:t>
      </w:r>
      <w:r w:rsidRPr="00724342">
        <w:rPr>
          <w:color w:val="000000"/>
          <w:sz w:val="22"/>
          <w:szCs w:val="22"/>
        </w:rPr>
        <w:t>и</w:t>
      </w:r>
      <w:r w:rsidRPr="00724342">
        <w:rPr>
          <w:color w:val="000000"/>
          <w:sz w:val="22"/>
          <w:szCs w:val="22"/>
        </w:rPr>
        <w:t>ненко, А. С. Высоцкая, А. В. Белашова // Прорывные экономич</w:t>
      </w:r>
      <w:r w:rsidRPr="00724342">
        <w:rPr>
          <w:color w:val="000000"/>
          <w:sz w:val="22"/>
          <w:szCs w:val="22"/>
        </w:rPr>
        <w:t>е</w:t>
      </w:r>
      <w:r w:rsidRPr="00724342">
        <w:rPr>
          <w:color w:val="000000"/>
          <w:sz w:val="22"/>
          <w:szCs w:val="22"/>
        </w:rPr>
        <w:t>ские реформы в условиях риска и неопределенности: сб. ст. межд</w:t>
      </w:r>
      <w:r w:rsidRPr="00724342">
        <w:rPr>
          <w:color w:val="000000"/>
          <w:sz w:val="22"/>
          <w:szCs w:val="22"/>
        </w:rPr>
        <w:t>у</w:t>
      </w:r>
      <w:r w:rsidRPr="00724342">
        <w:rPr>
          <w:color w:val="000000"/>
          <w:sz w:val="22"/>
          <w:szCs w:val="22"/>
        </w:rPr>
        <w:t>нар. науч.-практ. конф., 2017. – С. 172–174.</w:t>
      </w:r>
    </w:p>
    <w:p w:rsidR="00724342" w:rsidRPr="00724342" w:rsidRDefault="00724342" w:rsidP="0010381E">
      <w:pPr>
        <w:ind w:firstLine="426"/>
        <w:jc w:val="both"/>
        <w:rPr>
          <w:color w:val="000000"/>
          <w:sz w:val="22"/>
          <w:szCs w:val="22"/>
        </w:rPr>
      </w:pPr>
      <w:r w:rsidRPr="00724342">
        <w:rPr>
          <w:color w:val="000000"/>
          <w:sz w:val="22"/>
          <w:szCs w:val="22"/>
        </w:rPr>
        <w:t>3. Орлова А.В. Теоретические аспекты и основные факторы п</w:t>
      </w:r>
      <w:r w:rsidRPr="00724342">
        <w:rPr>
          <w:color w:val="000000"/>
          <w:sz w:val="22"/>
          <w:szCs w:val="22"/>
        </w:rPr>
        <w:t>о</w:t>
      </w:r>
      <w:r w:rsidRPr="00724342">
        <w:rPr>
          <w:color w:val="000000"/>
          <w:sz w:val="22"/>
          <w:szCs w:val="22"/>
        </w:rPr>
        <w:t>вышения экономической эффективности производства зерна / А. В. Орлова, Т. Н. Обухова, // Наука сегодня: постулаты прошлого и с</w:t>
      </w:r>
      <w:r w:rsidRPr="00724342">
        <w:rPr>
          <w:color w:val="000000"/>
          <w:sz w:val="22"/>
          <w:szCs w:val="22"/>
        </w:rPr>
        <w:t>о</w:t>
      </w:r>
      <w:r w:rsidRPr="00724342">
        <w:rPr>
          <w:color w:val="000000"/>
          <w:sz w:val="22"/>
          <w:szCs w:val="22"/>
        </w:rPr>
        <w:t>временные теории: материалы междунар. науч.-практ. конф.. – С</w:t>
      </w:r>
      <w:r w:rsidRPr="00724342">
        <w:rPr>
          <w:color w:val="000000"/>
          <w:sz w:val="22"/>
          <w:szCs w:val="22"/>
        </w:rPr>
        <w:t>а</w:t>
      </w:r>
      <w:r w:rsidRPr="00724342">
        <w:rPr>
          <w:color w:val="000000"/>
          <w:sz w:val="22"/>
          <w:szCs w:val="22"/>
        </w:rPr>
        <w:t>мара, 2015. – С. 5–10.</w:t>
      </w:r>
    </w:p>
    <w:p w:rsidR="00724342" w:rsidRPr="00724342" w:rsidRDefault="00724342" w:rsidP="0010381E">
      <w:pPr>
        <w:ind w:firstLine="426"/>
        <w:jc w:val="both"/>
        <w:rPr>
          <w:color w:val="000000"/>
          <w:sz w:val="22"/>
          <w:szCs w:val="22"/>
        </w:rPr>
      </w:pPr>
      <w:r w:rsidRPr="00724342">
        <w:rPr>
          <w:color w:val="000000"/>
          <w:sz w:val="22"/>
          <w:szCs w:val="22"/>
        </w:rPr>
        <w:t>4. Соколова А. П. Влияние обеспеченности техникой на экон</w:t>
      </w:r>
      <w:r w:rsidRPr="00724342">
        <w:rPr>
          <w:color w:val="000000"/>
          <w:sz w:val="22"/>
          <w:szCs w:val="22"/>
        </w:rPr>
        <w:t>о</w:t>
      </w:r>
      <w:r w:rsidRPr="00724342">
        <w:rPr>
          <w:color w:val="000000"/>
          <w:sz w:val="22"/>
          <w:szCs w:val="22"/>
        </w:rPr>
        <w:t>мические показатели растениеводства / А. П. Соколова, Ю. К. Кастиди, Г. Ф. Бершицкая и др. // Сельский механизатор. – 2015. – №2. – С. 22–23.</w:t>
      </w:r>
    </w:p>
    <w:p w:rsidR="00724342" w:rsidRPr="00724342" w:rsidRDefault="00724342" w:rsidP="0010381E">
      <w:pPr>
        <w:ind w:firstLine="426"/>
        <w:jc w:val="both"/>
        <w:rPr>
          <w:color w:val="000000"/>
          <w:sz w:val="22"/>
          <w:szCs w:val="22"/>
        </w:rPr>
      </w:pPr>
      <w:r w:rsidRPr="00724342">
        <w:rPr>
          <w:color w:val="000000"/>
          <w:sz w:val="22"/>
          <w:szCs w:val="22"/>
        </w:rPr>
        <w:t>5. Сухарева О. А. Современные технологии механизации пр</w:t>
      </w:r>
      <w:r w:rsidRPr="00724342">
        <w:rPr>
          <w:color w:val="000000"/>
          <w:sz w:val="22"/>
          <w:szCs w:val="22"/>
        </w:rPr>
        <w:t>о</w:t>
      </w:r>
      <w:r w:rsidRPr="00724342">
        <w:rPr>
          <w:color w:val="000000"/>
          <w:sz w:val="22"/>
          <w:szCs w:val="22"/>
        </w:rPr>
        <w:t xml:space="preserve">изводственных процессов в растениеводстве и эффективность их внедрения в сельскохозяйственных организациях / О. А. Сухарева, Д. И. Федусь // Экономическое развитие общества в современных </w:t>
      </w:r>
      <w:r w:rsidRPr="00724342">
        <w:rPr>
          <w:color w:val="000000"/>
          <w:sz w:val="22"/>
          <w:szCs w:val="22"/>
        </w:rPr>
        <w:lastRenderedPageBreak/>
        <w:t>кризисных условиях: сб. ст. Междунар. науч.-практ. конф.. – 2017. – С. 128–131.</w:t>
      </w:r>
    </w:p>
    <w:p w:rsidR="00724342" w:rsidRPr="00724342" w:rsidRDefault="00724342" w:rsidP="0010381E">
      <w:pPr>
        <w:tabs>
          <w:tab w:val="left" w:pos="0"/>
        </w:tabs>
        <w:spacing w:after="200"/>
        <w:ind w:firstLine="426"/>
        <w:contextualSpacing/>
        <w:rPr>
          <w:color w:val="000000"/>
          <w:sz w:val="22"/>
          <w:szCs w:val="22"/>
        </w:rPr>
      </w:pPr>
    </w:p>
    <w:p w:rsidR="00724342" w:rsidRPr="00724342" w:rsidRDefault="00724342" w:rsidP="00724342">
      <w:pPr>
        <w:tabs>
          <w:tab w:val="left" w:pos="0"/>
        </w:tabs>
        <w:spacing w:after="200"/>
        <w:contextualSpacing/>
        <w:rPr>
          <w:color w:val="000000"/>
          <w:sz w:val="22"/>
          <w:szCs w:val="22"/>
        </w:rPr>
      </w:pPr>
    </w:p>
    <w:p w:rsidR="00724342" w:rsidRPr="00724342" w:rsidRDefault="00724342" w:rsidP="00724342">
      <w:pPr>
        <w:tabs>
          <w:tab w:val="left" w:pos="0"/>
        </w:tabs>
        <w:spacing w:after="200"/>
        <w:contextualSpacing/>
        <w:rPr>
          <w:rFonts w:eastAsiaTheme="minorHAnsi"/>
          <w:sz w:val="22"/>
          <w:szCs w:val="22"/>
          <w:lang w:eastAsia="en-US"/>
        </w:rPr>
      </w:pPr>
      <w:r w:rsidRPr="00724342">
        <w:rPr>
          <w:rFonts w:eastAsiaTheme="minorHAnsi"/>
          <w:sz w:val="22"/>
          <w:szCs w:val="22"/>
          <w:lang w:eastAsia="en-US"/>
        </w:rPr>
        <w:t xml:space="preserve">УДК </w:t>
      </w:r>
      <w:r w:rsidRPr="00724342">
        <w:rPr>
          <w:rFonts w:eastAsia="Calibri"/>
          <w:sz w:val="22"/>
          <w:szCs w:val="22"/>
          <w:lang w:eastAsia="en-US"/>
        </w:rPr>
        <w:t>332.33</w:t>
      </w:r>
    </w:p>
    <w:p w:rsidR="00724342" w:rsidRPr="00724342" w:rsidRDefault="00724342" w:rsidP="00724342">
      <w:pPr>
        <w:tabs>
          <w:tab w:val="left" w:pos="0"/>
        </w:tabs>
        <w:spacing w:after="200"/>
        <w:contextualSpacing/>
        <w:rPr>
          <w:rFonts w:eastAsiaTheme="minorHAnsi"/>
          <w:sz w:val="22"/>
          <w:szCs w:val="22"/>
          <w:lang w:eastAsia="en-US"/>
        </w:rPr>
      </w:pPr>
    </w:p>
    <w:p w:rsidR="00724342" w:rsidRPr="00724342" w:rsidRDefault="00724342" w:rsidP="00724342">
      <w:pPr>
        <w:tabs>
          <w:tab w:val="left" w:pos="0"/>
        </w:tabs>
        <w:spacing w:after="200"/>
        <w:contextualSpacing/>
        <w:jc w:val="center"/>
        <w:rPr>
          <w:rFonts w:eastAsiaTheme="minorHAnsi"/>
          <w:b/>
          <w:sz w:val="24"/>
          <w:szCs w:val="24"/>
          <w:lang w:eastAsia="en-US"/>
        </w:rPr>
      </w:pPr>
      <w:r w:rsidRPr="00724342">
        <w:rPr>
          <w:rFonts w:eastAsiaTheme="minorHAnsi"/>
          <w:b/>
          <w:sz w:val="24"/>
          <w:szCs w:val="24"/>
          <w:lang w:eastAsia="en-US"/>
        </w:rPr>
        <w:t xml:space="preserve">Анализ и оценка эффективности использования </w:t>
      </w:r>
    </w:p>
    <w:p w:rsidR="00724342" w:rsidRPr="00724342" w:rsidRDefault="00724342" w:rsidP="00724342">
      <w:pPr>
        <w:tabs>
          <w:tab w:val="left" w:pos="0"/>
        </w:tabs>
        <w:spacing w:after="200"/>
        <w:contextualSpacing/>
        <w:jc w:val="center"/>
        <w:rPr>
          <w:rFonts w:eastAsiaTheme="minorHAnsi"/>
          <w:b/>
          <w:sz w:val="24"/>
          <w:szCs w:val="24"/>
          <w:lang w:val="en-US" w:eastAsia="en-US"/>
        </w:rPr>
      </w:pPr>
      <w:r w:rsidRPr="00724342">
        <w:rPr>
          <w:rFonts w:eastAsiaTheme="minorHAnsi"/>
          <w:b/>
          <w:sz w:val="24"/>
          <w:szCs w:val="24"/>
          <w:lang w:eastAsia="en-US"/>
        </w:rPr>
        <w:t>собственного</w:t>
      </w:r>
      <w:r w:rsidRPr="00724342">
        <w:rPr>
          <w:rFonts w:eastAsiaTheme="minorHAnsi"/>
          <w:b/>
          <w:sz w:val="24"/>
          <w:szCs w:val="24"/>
          <w:lang w:val="en-US" w:eastAsia="en-US"/>
        </w:rPr>
        <w:t xml:space="preserve"> </w:t>
      </w:r>
      <w:r w:rsidRPr="00724342">
        <w:rPr>
          <w:rFonts w:eastAsiaTheme="minorHAnsi"/>
          <w:b/>
          <w:sz w:val="24"/>
          <w:szCs w:val="24"/>
          <w:lang w:eastAsia="en-US"/>
        </w:rPr>
        <w:t>капитала</w:t>
      </w:r>
      <w:r w:rsidRPr="00724342">
        <w:rPr>
          <w:rFonts w:eastAsiaTheme="minorHAnsi"/>
          <w:b/>
          <w:sz w:val="24"/>
          <w:szCs w:val="24"/>
          <w:lang w:val="en-US" w:eastAsia="en-US"/>
        </w:rPr>
        <w:t xml:space="preserve">  </w:t>
      </w:r>
      <w:r w:rsidRPr="00724342">
        <w:rPr>
          <w:rFonts w:eastAsiaTheme="minorHAnsi"/>
          <w:b/>
          <w:sz w:val="24"/>
          <w:szCs w:val="24"/>
          <w:lang w:eastAsia="en-US"/>
        </w:rPr>
        <w:t>предприятия</w:t>
      </w:r>
    </w:p>
    <w:p w:rsidR="00724342" w:rsidRPr="00724342" w:rsidRDefault="00724342" w:rsidP="007243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4"/>
          <w:szCs w:val="24"/>
          <w:lang w:val="en-US"/>
        </w:rPr>
      </w:pPr>
      <w:r w:rsidRPr="00724342">
        <w:rPr>
          <w:b/>
          <w:sz w:val="24"/>
          <w:szCs w:val="24"/>
          <w:lang w:val="en-US"/>
        </w:rPr>
        <w:t xml:space="preserve">Analysis and evaluation of the efficiency of the use of the </w:t>
      </w:r>
    </w:p>
    <w:p w:rsidR="00724342" w:rsidRPr="00C42DAC" w:rsidRDefault="00724342" w:rsidP="00734D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4"/>
          <w:szCs w:val="24"/>
          <w:lang w:val="en-US"/>
        </w:rPr>
      </w:pPr>
      <w:r w:rsidRPr="00724342">
        <w:rPr>
          <w:b/>
          <w:sz w:val="24"/>
          <w:szCs w:val="24"/>
          <w:lang w:val="en-US"/>
        </w:rPr>
        <w:t>company's own capital</w:t>
      </w:r>
    </w:p>
    <w:p w:rsidR="00724342" w:rsidRPr="00C56F2E" w:rsidRDefault="00724342" w:rsidP="00724342">
      <w:pPr>
        <w:spacing w:after="200"/>
        <w:contextualSpacing/>
        <w:jc w:val="right"/>
        <w:rPr>
          <w:rFonts w:eastAsiaTheme="minorHAnsi"/>
          <w:sz w:val="22"/>
          <w:szCs w:val="22"/>
          <w:lang w:val="en-US" w:eastAsia="en-US"/>
        </w:rPr>
      </w:pPr>
      <w:r w:rsidRPr="00724342">
        <w:rPr>
          <w:rFonts w:eastAsiaTheme="minorHAnsi"/>
          <w:sz w:val="22"/>
          <w:szCs w:val="22"/>
          <w:lang w:eastAsia="en-US"/>
        </w:rPr>
        <w:t>Мисюра</w:t>
      </w:r>
      <w:r w:rsidRPr="00724342">
        <w:rPr>
          <w:rFonts w:eastAsiaTheme="minorHAnsi"/>
          <w:sz w:val="22"/>
          <w:szCs w:val="22"/>
          <w:lang w:val="en-US" w:eastAsia="en-US"/>
        </w:rPr>
        <w:t xml:space="preserve"> </w:t>
      </w:r>
      <w:r w:rsidRPr="00724342">
        <w:rPr>
          <w:rFonts w:eastAsiaTheme="minorHAnsi"/>
          <w:sz w:val="22"/>
          <w:szCs w:val="22"/>
          <w:lang w:eastAsia="en-US"/>
        </w:rPr>
        <w:t>Т</w:t>
      </w:r>
      <w:r w:rsidRPr="00724342">
        <w:rPr>
          <w:rFonts w:eastAsiaTheme="minorHAnsi"/>
          <w:sz w:val="22"/>
          <w:szCs w:val="22"/>
          <w:lang w:val="en-US" w:eastAsia="en-US"/>
        </w:rPr>
        <w:t>.</w:t>
      </w:r>
      <w:r w:rsidR="0010381E" w:rsidRPr="00C56F2E">
        <w:rPr>
          <w:rFonts w:eastAsiaTheme="minorHAnsi"/>
          <w:sz w:val="22"/>
          <w:szCs w:val="22"/>
          <w:lang w:val="en-US" w:eastAsia="en-US"/>
        </w:rPr>
        <w:t xml:space="preserve"> </w:t>
      </w:r>
      <w:r w:rsidRPr="00724342">
        <w:rPr>
          <w:rFonts w:eastAsiaTheme="minorHAnsi"/>
          <w:sz w:val="22"/>
          <w:szCs w:val="22"/>
          <w:lang w:eastAsia="en-US"/>
        </w:rPr>
        <w:t>В</w:t>
      </w:r>
      <w:r w:rsidRPr="00724342">
        <w:rPr>
          <w:rFonts w:eastAsiaTheme="minorHAnsi"/>
          <w:sz w:val="22"/>
          <w:szCs w:val="22"/>
          <w:lang w:val="en-US" w:eastAsia="en-US"/>
        </w:rPr>
        <w:t>.</w:t>
      </w:r>
      <w:r w:rsidR="0010381E" w:rsidRPr="00C56F2E">
        <w:rPr>
          <w:rFonts w:eastAsiaTheme="minorHAnsi"/>
          <w:sz w:val="22"/>
          <w:szCs w:val="22"/>
          <w:lang w:val="en-US" w:eastAsia="en-US"/>
        </w:rPr>
        <w:t>,</w:t>
      </w:r>
    </w:p>
    <w:p w:rsidR="00724342" w:rsidRPr="00724342" w:rsidRDefault="00724342" w:rsidP="00724342">
      <w:pPr>
        <w:spacing w:after="200"/>
        <w:contextualSpacing/>
        <w:jc w:val="right"/>
        <w:rPr>
          <w:rFonts w:eastAsiaTheme="minorHAnsi"/>
          <w:sz w:val="22"/>
          <w:szCs w:val="22"/>
          <w:lang w:eastAsia="en-US"/>
        </w:rPr>
      </w:pPr>
      <w:r w:rsidRPr="00724342">
        <w:rPr>
          <w:rFonts w:eastAsiaTheme="minorHAnsi"/>
          <w:sz w:val="22"/>
          <w:szCs w:val="22"/>
          <w:lang w:eastAsia="en-US"/>
        </w:rPr>
        <w:t xml:space="preserve">студентка 4-го курса экономического факультета </w:t>
      </w:r>
    </w:p>
    <w:p w:rsidR="00724342" w:rsidRPr="00724342" w:rsidRDefault="00724342" w:rsidP="00724342">
      <w:pPr>
        <w:spacing w:after="200"/>
        <w:contextualSpacing/>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Кубанский государственный аграрный</w:t>
      </w:r>
    </w:p>
    <w:p w:rsidR="00724342" w:rsidRPr="00724342" w:rsidRDefault="00724342" w:rsidP="00724342">
      <w:pPr>
        <w:tabs>
          <w:tab w:val="left" w:pos="0"/>
        </w:tabs>
        <w:spacing w:after="200"/>
        <w:contextualSpacing/>
        <w:jc w:val="right"/>
        <w:rPr>
          <w:rFonts w:eastAsiaTheme="minorHAnsi"/>
          <w:sz w:val="22"/>
          <w:szCs w:val="22"/>
          <w:lang w:eastAsia="en-US"/>
        </w:rPr>
      </w:pPr>
      <w:r w:rsidRPr="00724342">
        <w:rPr>
          <w:rFonts w:eastAsiaTheme="minorHAnsi"/>
          <w:color w:val="000000" w:themeColor="text1"/>
          <w:sz w:val="22"/>
          <w:szCs w:val="22"/>
          <w:lang w:eastAsia="en-US"/>
        </w:rPr>
        <w:t>университет имени И. Т. Трубилина</w:t>
      </w:r>
    </w:p>
    <w:p w:rsidR="00724342" w:rsidRPr="00724342" w:rsidRDefault="00724342" w:rsidP="00724342">
      <w:pPr>
        <w:tabs>
          <w:tab w:val="left" w:pos="0"/>
        </w:tabs>
        <w:spacing w:after="200"/>
        <w:contextualSpacing/>
        <w:jc w:val="right"/>
        <w:rPr>
          <w:rFonts w:eastAsiaTheme="minorHAnsi"/>
          <w:sz w:val="22"/>
          <w:szCs w:val="22"/>
          <w:lang w:eastAsia="en-US"/>
        </w:rPr>
      </w:pPr>
    </w:p>
    <w:p w:rsidR="00724342" w:rsidRPr="00724342" w:rsidRDefault="00724342" w:rsidP="00734D53">
      <w:pPr>
        <w:tabs>
          <w:tab w:val="left" w:pos="0"/>
        </w:tabs>
        <w:ind w:firstLine="426"/>
        <w:contextualSpacing/>
        <w:rPr>
          <w:rFonts w:asciiTheme="minorHAnsi" w:eastAsiaTheme="minorHAnsi" w:hAnsiTheme="minorHAnsi" w:cstheme="minorBidi"/>
          <w:sz w:val="22"/>
          <w:szCs w:val="22"/>
          <w:lang w:eastAsia="en-US"/>
        </w:rPr>
      </w:pPr>
      <w:r w:rsidRPr="00724342">
        <w:rPr>
          <w:rFonts w:eastAsiaTheme="minorHAnsi"/>
          <w:sz w:val="22"/>
          <w:szCs w:val="22"/>
          <w:lang w:eastAsia="en-US"/>
        </w:rPr>
        <w:t xml:space="preserve">АННОТАЦИЯ: данная статья посвящена анализу собственного капитала предприятия. Рассмотрены пути повышения эффективного использования собственных средств предприятия. </w:t>
      </w:r>
    </w:p>
    <w:p w:rsidR="00724342" w:rsidRPr="00724342" w:rsidRDefault="00724342" w:rsidP="00734D53">
      <w:pPr>
        <w:tabs>
          <w:tab w:val="left" w:pos="0"/>
        </w:tabs>
        <w:ind w:firstLine="426"/>
        <w:contextualSpacing/>
        <w:rPr>
          <w:rFonts w:eastAsiaTheme="minorHAnsi"/>
          <w:sz w:val="22"/>
          <w:szCs w:val="22"/>
          <w:lang w:val="en-US" w:eastAsia="en-US"/>
        </w:rPr>
      </w:pPr>
      <w:r w:rsidRPr="00724342">
        <w:rPr>
          <w:rFonts w:eastAsiaTheme="minorHAnsi"/>
          <w:sz w:val="22"/>
          <w:szCs w:val="22"/>
          <w:shd w:val="clear" w:color="auto" w:fill="FFFFFF"/>
          <w:lang w:val="en-US" w:eastAsia="en-US"/>
        </w:rPr>
        <w:t>ABSTRACT</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this</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article</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is</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devoted</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to</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the</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analysis</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of</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the</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company</w:t>
      </w:r>
      <w:r w:rsidRPr="00724342">
        <w:rPr>
          <w:rFonts w:eastAsiaTheme="minorHAnsi"/>
          <w:sz w:val="22"/>
          <w:szCs w:val="22"/>
          <w:shd w:val="clear" w:color="auto" w:fill="FFFFFF"/>
          <w:lang w:eastAsia="en-US"/>
        </w:rPr>
        <w:t>'</w:t>
      </w:r>
      <w:r w:rsidRPr="00724342">
        <w:rPr>
          <w:rFonts w:eastAsiaTheme="minorHAnsi"/>
          <w:sz w:val="22"/>
          <w:szCs w:val="22"/>
          <w:shd w:val="clear" w:color="auto" w:fill="FFFFFF"/>
          <w:lang w:val="en-US" w:eastAsia="en-US"/>
        </w:rPr>
        <w:t>s</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own</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capital</w:t>
      </w:r>
      <w:r w:rsidRPr="00724342">
        <w:rPr>
          <w:rFonts w:eastAsiaTheme="minorHAnsi"/>
          <w:sz w:val="22"/>
          <w:szCs w:val="22"/>
          <w:shd w:val="clear" w:color="auto" w:fill="FFFFFF"/>
          <w:lang w:eastAsia="en-US"/>
        </w:rPr>
        <w:t xml:space="preserve">. </w:t>
      </w:r>
      <w:r w:rsidRPr="00724342">
        <w:rPr>
          <w:rFonts w:eastAsiaTheme="minorHAnsi"/>
          <w:sz w:val="22"/>
          <w:szCs w:val="22"/>
          <w:shd w:val="clear" w:color="auto" w:fill="FFFFFF"/>
          <w:lang w:val="en-US" w:eastAsia="en-US"/>
        </w:rPr>
        <w:t>The ways of increasing the effective use of the enterprise's own resources are considered.</w:t>
      </w:r>
    </w:p>
    <w:p w:rsidR="00724342" w:rsidRPr="00724342" w:rsidRDefault="00724342" w:rsidP="00734D53">
      <w:pPr>
        <w:tabs>
          <w:tab w:val="left" w:pos="0"/>
        </w:tabs>
        <w:ind w:firstLine="426"/>
        <w:contextualSpacing/>
        <w:rPr>
          <w:rFonts w:eastAsiaTheme="minorHAnsi"/>
          <w:sz w:val="22"/>
          <w:szCs w:val="22"/>
          <w:lang w:eastAsia="en-US"/>
        </w:rPr>
      </w:pPr>
      <w:r w:rsidRPr="00724342">
        <w:rPr>
          <w:rFonts w:eastAsiaTheme="minorHAnsi"/>
          <w:sz w:val="22"/>
          <w:szCs w:val="22"/>
          <w:lang w:eastAsia="en-US"/>
        </w:rPr>
        <w:t>КЛЮЧЕВЫЕ СЛОВА: анализ, капитал, эффективность</w:t>
      </w:r>
    </w:p>
    <w:p w:rsidR="00724342" w:rsidRPr="00724342" w:rsidRDefault="00724342" w:rsidP="00734D53">
      <w:pPr>
        <w:tabs>
          <w:tab w:val="left" w:pos="0"/>
        </w:tabs>
        <w:ind w:firstLine="426"/>
        <w:contextualSpacing/>
        <w:rPr>
          <w:rFonts w:eastAsiaTheme="minorHAnsi"/>
          <w:sz w:val="22"/>
          <w:szCs w:val="22"/>
          <w:lang w:eastAsia="en-US"/>
        </w:rPr>
      </w:pPr>
      <w:r w:rsidRPr="00724342">
        <w:rPr>
          <w:rFonts w:eastAsiaTheme="minorHAnsi"/>
          <w:sz w:val="22"/>
          <w:szCs w:val="22"/>
          <w:lang w:eastAsia="en-US"/>
        </w:rPr>
        <w:t>KEY WORDS: analysis, capital, efficiency</w:t>
      </w:r>
    </w:p>
    <w:p w:rsidR="00724342" w:rsidRPr="00724342" w:rsidRDefault="00724342" w:rsidP="00734D53">
      <w:pPr>
        <w:ind w:firstLine="426"/>
        <w:contextualSpacing/>
        <w:jc w:val="both"/>
        <w:rPr>
          <w:rFonts w:eastAsiaTheme="minorHAnsi"/>
          <w:sz w:val="22"/>
          <w:szCs w:val="22"/>
          <w:lang w:eastAsia="en-US"/>
        </w:rPr>
      </w:pPr>
    </w:p>
    <w:p w:rsidR="00724342" w:rsidRPr="00724342" w:rsidRDefault="00724342" w:rsidP="00734D53">
      <w:pPr>
        <w:ind w:firstLine="426"/>
        <w:contextualSpacing/>
        <w:jc w:val="both"/>
        <w:rPr>
          <w:rFonts w:eastAsiaTheme="minorHAnsi"/>
          <w:sz w:val="22"/>
          <w:szCs w:val="22"/>
          <w:lang w:eastAsia="en-US"/>
        </w:rPr>
      </w:pPr>
      <w:r w:rsidRPr="00724342">
        <w:rPr>
          <w:rFonts w:eastAsiaTheme="minorHAnsi"/>
          <w:sz w:val="22"/>
          <w:szCs w:val="22"/>
          <w:lang w:eastAsia="en-US"/>
        </w:rPr>
        <w:t>В современных экономических условиях стремление предпри</w:t>
      </w:r>
      <w:r w:rsidRPr="00724342">
        <w:rPr>
          <w:rFonts w:eastAsiaTheme="minorHAnsi"/>
          <w:sz w:val="22"/>
          <w:szCs w:val="22"/>
          <w:lang w:eastAsia="en-US"/>
        </w:rPr>
        <w:t>я</w:t>
      </w:r>
      <w:r w:rsidRPr="00724342">
        <w:rPr>
          <w:rFonts w:eastAsiaTheme="minorHAnsi"/>
          <w:sz w:val="22"/>
          <w:szCs w:val="22"/>
          <w:lang w:eastAsia="en-US"/>
        </w:rPr>
        <w:t>тий к росту благосостояния способствует все большей концентр</w:t>
      </w:r>
      <w:r w:rsidRPr="00724342">
        <w:rPr>
          <w:rFonts w:eastAsiaTheme="minorHAnsi"/>
          <w:sz w:val="22"/>
          <w:szCs w:val="22"/>
          <w:lang w:eastAsia="en-US"/>
        </w:rPr>
        <w:t>а</w:t>
      </w:r>
      <w:r w:rsidRPr="00724342">
        <w:rPr>
          <w:rFonts w:eastAsiaTheme="minorHAnsi"/>
          <w:sz w:val="22"/>
          <w:szCs w:val="22"/>
          <w:lang w:eastAsia="en-US"/>
        </w:rPr>
        <w:t>ции внимания на управлении источниками финансирования ко</w:t>
      </w:r>
      <w:r w:rsidRPr="00724342">
        <w:rPr>
          <w:rFonts w:eastAsiaTheme="minorHAnsi"/>
          <w:sz w:val="22"/>
          <w:szCs w:val="22"/>
          <w:lang w:eastAsia="en-US"/>
        </w:rPr>
        <w:t>м</w:t>
      </w:r>
      <w:r w:rsidRPr="00724342">
        <w:rPr>
          <w:rFonts w:eastAsiaTheme="minorHAnsi"/>
          <w:sz w:val="22"/>
          <w:szCs w:val="22"/>
          <w:lang w:eastAsia="en-US"/>
        </w:rPr>
        <w:t>мерческой деятельности, в том числе такой их важной составля</w:t>
      </w:r>
      <w:r w:rsidRPr="00724342">
        <w:rPr>
          <w:rFonts w:eastAsiaTheme="minorHAnsi"/>
          <w:sz w:val="22"/>
          <w:szCs w:val="22"/>
          <w:lang w:eastAsia="en-US"/>
        </w:rPr>
        <w:t>ю</w:t>
      </w:r>
      <w:r w:rsidRPr="00724342">
        <w:rPr>
          <w:rFonts w:eastAsiaTheme="minorHAnsi"/>
          <w:sz w:val="22"/>
          <w:szCs w:val="22"/>
          <w:lang w:eastAsia="en-US"/>
        </w:rPr>
        <w:t>щей как собственный капитал [2]. О повышении значимости данной составляющей напрямую свидетельствуют такие факты, как сущ</w:t>
      </w:r>
      <w:r w:rsidRPr="00724342">
        <w:rPr>
          <w:rFonts w:eastAsiaTheme="minorHAnsi"/>
          <w:sz w:val="22"/>
          <w:szCs w:val="22"/>
          <w:lang w:eastAsia="en-US"/>
        </w:rPr>
        <w:t>е</w:t>
      </w:r>
      <w:r w:rsidRPr="00724342">
        <w:rPr>
          <w:rFonts w:eastAsiaTheme="minorHAnsi"/>
          <w:sz w:val="22"/>
          <w:szCs w:val="22"/>
          <w:lang w:eastAsia="en-US"/>
        </w:rPr>
        <w:t>ственные изменения в подходах к учету собственного капитала и усиление роли данного показателя в анализе финансово-хозяйственной деятельности организаций в последние годы.</w:t>
      </w:r>
    </w:p>
    <w:p w:rsidR="00724342" w:rsidRPr="00724342" w:rsidRDefault="00724342" w:rsidP="00734D53">
      <w:pPr>
        <w:tabs>
          <w:tab w:val="left" w:pos="0"/>
        </w:tabs>
        <w:ind w:firstLine="426"/>
        <w:contextualSpacing/>
        <w:jc w:val="both"/>
        <w:rPr>
          <w:rFonts w:eastAsiaTheme="minorHAnsi"/>
          <w:b/>
          <w:sz w:val="22"/>
          <w:szCs w:val="22"/>
          <w:lang w:eastAsia="en-US"/>
        </w:rPr>
      </w:pPr>
      <w:r w:rsidRPr="00724342">
        <w:rPr>
          <w:rFonts w:eastAsiaTheme="minorHAnsi"/>
          <w:sz w:val="22"/>
          <w:szCs w:val="22"/>
          <w:lang w:eastAsia="en-US"/>
        </w:rPr>
        <w:t>Собственный капитал характеризует общую стоимость средств предприятия, принадлежащих ему на праве собственности и и</w:t>
      </w:r>
      <w:r w:rsidRPr="00724342">
        <w:rPr>
          <w:rFonts w:eastAsiaTheme="minorHAnsi"/>
          <w:sz w:val="22"/>
          <w:szCs w:val="22"/>
          <w:lang w:eastAsia="en-US"/>
        </w:rPr>
        <w:t>с</w:t>
      </w:r>
      <w:r w:rsidRPr="00724342">
        <w:rPr>
          <w:rFonts w:eastAsiaTheme="minorHAnsi"/>
          <w:sz w:val="22"/>
          <w:szCs w:val="22"/>
          <w:lang w:eastAsia="en-US"/>
        </w:rPr>
        <w:t>пользуемых им для формирования определенной части активов.</w:t>
      </w:r>
    </w:p>
    <w:p w:rsidR="00724342" w:rsidRPr="00724342" w:rsidRDefault="00724342" w:rsidP="00734D53">
      <w:pPr>
        <w:ind w:firstLine="426"/>
        <w:contextualSpacing/>
        <w:jc w:val="both"/>
        <w:rPr>
          <w:rFonts w:eastAsiaTheme="minorHAnsi"/>
          <w:sz w:val="22"/>
          <w:szCs w:val="22"/>
          <w:lang w:eastAsia="en-US"/>
        </w:rPr>
      </w:pPr>
      <w:r w:rsidRPr="00724342">
        <w:rPr>
          <w:rFonts w:eastAsiaTheme="minorHAnsi"/>
          <w:sz w:val="22"/>
          <w:szCs w:val="22"/>
          <w:lang w:eastAsia="en-US"/>
        </w:rPr>
        <w:lastRenderedPageBreak/>
        <w:t>Согласно общепринятой трактовке, капитал представляет с</w:t>
      </w:r>
      <w:r w:rsidRPr="00724342">
        <w:rPr>
          <w:rFonts w:eastAsiaTheme="minorHAnsi"/>
          <w:sz w:val="22"/>
          <w:szCs w:val="22"/>
          <w:lang w:eastAsia="en-US"/>
        </w:rPr>
        <w:t>о</w:t>
      </w:r>
      <w:r w:rsidRPr="00724342">
        <w:rPr>
          <w:rFonts w:eastAsiaTheme="minorHAnsi"/>
          <w:sz w:val="22"/>
          <w:szCs w:val="22"/>
          <w:lang w:eastAsia="en-US"/>
        </w:rPr>
        <w:t>бой источник формирования имущества предприятия [1]. При этом, собственный капитал представляет собой собственные средства компании, за счет которых производится финансирование приобр</w:t>
      </w:r>
      <w:r w:rsidRPr="00724342">
        <w:rPr>
          <w:rFonts w:eastAsiaTheme="minorHAnsi"/>
          <w:sz w:val="22"/>
          <w:szCs w:val="22"/>
          <w:lang w:eastAsia="en-US"/>
        </w:rPr>
        <w:t>е</w:t>
      </w:r>
      <w:r w:rsidRPr="00724342">
        <w:rPr>
          <w:rFonts w:eastAsiaTheme="minorHAnsi"/>
          <w:sz w:val="22"/>
          <w:szCs w:val="22"/>
          <w:lang w:eastAsia="en-US"/>
        </w:rPr>
        <w:t>таемого имущества.</w:t>
      </w:r>
    </w:p>
    <w:p w:rsidR="00724342" w:rsidRPr="00724342" w:rsidRDefault="00724342" w:rsidP="00734D53">
      <w:pPr>
        <w:shd w:val="clear" w:color="auto" w:fill="FFFFFF"/>
        <w:ind w:firstLine="426"/>
        <w:contextualSpacing/>
        <w:jc w:val="both"/>
        <w:textAlignment w:val="baseline"/>
        <w:rPr>
          <w:sz w:val="22"/>
          <w:szCs w:val="22"/>
        </w:rPr>
      </w:pPr>
      <w:r w:rsidRPr="00724342">
        <w:rPr>
          <w:sz w:val="22"/>
          <w:szCs w:val="22"/>
        </w:rPr>
        <w:t>Анализ эффективности использования собственного капитала организаций представляет собой способ накопления, трансформ</w:t>
      </w:r>
      <w:r w:rsidRPr="00724342">
        <w:rPr>
          <w:sz w:val="22"/>
          <w:szCs w:val="22"/>
        </w:rPr>
        <w:t>а</w:t>
      </w:r>
      <w:r w:rsidRPr="00724342">
        <w:rPr>
          <w:sz w:val="22"/>
          <w:szCs w:val="22"/>
        </w:rPr>
        <w:t>ции и использования информации бухгалтерского учета и отчетн</w:t>
      </w:r>
      <w:r w:rsidRPr="00724342">
        <w:rPr>
          <w:sz w:val="22"/>
          <w:szCs w:val="22"/>
        </w:rPr>
        <w:t>о</w:t>
      </w:r>
      <w:r w:rsidRPr="00724342">
        <w:rPr>
          <w:sz w:val="22"/>
          <w:szCs w:val="22"/>
        </w:rPr>
        <w:t>сти, имеющий целью:</w:t>
      </w:r>
    </w:p>
    <w:p w:rsidR="00724342" w:rsidRPr="00724342" w:rsidRDefault="00724342" w:rsidP="00734D53">
      <w:pPr>
        <w:shd w:val="clear" w:color="auto" w:fill="FFFFFF"/>
        <w:ind w:firstLine="426"/>
        <w:contextualSpacing/>
        <w:jc w:val="both"/>
        <w:textAlignment w:val="baseline"/>
        <w:rPr>
          <w:sz w:val="22"/>
          <w:szCs w:val="22"/>
        </w:rPr>
      </w:pPr>
      <w:r w:rsidRPr="00724342">
        <w:rPr>
          <w:sz w:val="22"/>
          <w:szCs w:val="22"/>
        </w:rPr>
        <w:t>1) оценить текущее и перспективное финансовое состояние о</w:t>
      </w:r>
      <w:r w:rsidRPr="00724342">
        <w:rPr>
          <w:sz w:val="22"/>
          <w:szCs w:val="22"/>
        </w:rPr>
        <w:t>р</w:t>
      </w:r>
      <w:r w:rsidRPr="00724342">
        <w:rPr>
          <w:sz w:val="22"/>
          <w:szCs w:val="22"/>
        </w:rPr>
        <w:t>ганизации, т.е. использование собственного капитала;</w:t>
      </w:r>
    </w:p>
    <w:p w:rsidR="00724342" w:rsidRPr="00724342" w:rsidRDefault="00724342" w:rsidP="00734D53">
      <w:pPr>
        <w:shd w:val="clear" w:color="auto" w:fill="FFFFFF"/>
        <w:ind w:firstLine="426"/>
        <w:contextualSpacing/>
        <w:jc w:val="both"/>
        <w:textAlignment w:val="baseline"/>
        <w:rPr>
          <w:sz w:val="22"/>
          <w:szCs w:val="22"/>
        </w:rPr>
      </w:pPr>
      <w:r w:rsidRPr="00724342">
        <w:rPr>
          <w:sz w:val="22"/>
          <w:szCs w:val="22"/>
        </w:rPr>
        <w:t>2) обосновать возможные и приемлемые темпы развития орг</w:t>
      </w:r>
      <w:r w:rsidRPr="00724342">
        <w:rPr>
          <w:sz w:val="22"/>
          <w:szCs w:val="22"/>
        </w:rPr>
        <w:t>а</w:t>
      </w:r>
      <w:r w:rsidRPr="00724342">
        <w:rPr>
          <w:sz w:val="22"/>
          <w:szCs w:val="22"/>
        </w:rPr>
        <w:t>низации с позиции обеспечения их источниками финансирования;</w:t>
      </w:r>
    </w:p>
    <w:p w:rsidR="00724342" w:rsidRPr="00724342" w:rsidRDefault="00724342" w:rsidP="00734D53">
      <w:pPr>
        <w:shd w:val="clear" w:color="auto" w:fill="FFFFFF"/>
        <w:ind w:firstLine="426"/>
        <w:contextualSpacing/>
        <w:jc w:val="both"/>
        <w:textAlignment w:val="baseline"/>
        <w:rPr>
          <w:sz w:val="22"/>
          <w:szCs w:val="22"/>
        </w:rPr>
      </w:pPr>
      <w:r w:rsidRPr="00724342">
        <w:rPr>
          <w:sz w:val="22"/>
          <w:szCs w:val="22"/>
        </w:rPr>
        <w:t>3) выявить доступные источники средств, оценить рационал</w:t>
      </w:r>
      <w:r w:rsidRPr="00724342">
        <w:rPr>
          <w:sz w:val="22"/>
          <w:szCs w:val="22"/>
        </w:rPr>
        <w:t>ь</w:t>
      </w:r>
      <w:r w:rsidRPr="00724342">
        <w:rPr>
          <w:sz w:val="22"/>
          <w:szCs w:val="22"/>
        </w:rPr>
        <w:t>ные способы их мобилизации;</w:t>
      </w:r>
    </w:p>
    <w:p w:rsidR="00724342" w:rsidRPr="00724342" w:rsidRDefault="00724342" w:rsidP="00734D53">
      <w:pPr>
        <w:shd w:val="clear" w:color="auto" w:fill="FFFFFF"/>
        <w:ind w:firstLine="426"/>
        <w:contextualSpacing/>
        <w:jc w:val="both"/>
        <w:textAlignment w:val="baseline"/>
        <w:rPr>
          <w:sz w:val="22"/>
          <w:szCs w:val="22"/>
        </w:rPr>
      </w:pPr>
      <w:r w:rsidRPr="00724342">
        <w:rPr>
          <w:sz w:val="22"/>
          <w:szCs w:val="22"/>
        </w:rPr>
        <w:t>4) спрогнозировать положение предприятия на рынке капит</w:t>
      </w:r>
      <w:r w:rsidRPr="00724342">
        <w:rPr>
          <w:sz w:val="22"/>
          <w:szCs w:val="22"/>
        </w:rPr>
        <w:t>а</w:t>
      </w:r>
      <w:r w:rsidRPr="00724342">
        <w:rPr>
          <w:sz w:val="22"/>
          <w:szCs w:val="22"/>
        </w:rPr>
        <w:t>лов.</w:t>
      </w:r>
    </w:p>
    <w:p w:rsidR="00724342" w:rsidRPr="00724342" w:rsidRDefault="00724342" w:rsidP="00734D53">
      <w:pPr>
        <w:tabs>
          <w:tab w:val="left" w:pos="0"/>
        </w:tabs>
        <w:ind w:firstLine="426"/>
        <w:contextualSpacing/>
        <w:jc w:val="both"/>
        <w:rPr>
          <w:rFonts w:eastAsiaTheme="minorHAnsi"/>
          <w:sz w:val="22"/>
          <w:szCs w:val="22"/>
          <w:lang w:eastAsia="en-US"/>
        </w:rPr>
      </w:pPr>
      <w:r w:rsidRPr="00724342">
        <w:rPr>
          <w:rFonts w:eastAsiaTheme="minorHAnsi"/>
          <w:sz w:val="22"/>
          <w:szCs w:val="22"/>
          <w:lang w:eastAsia="en-US"/>
        </w:rPr>
        <w:t>Для улучшения использования собственного капитала пре</w:t>
      </w:r>
      <w:r w:rsidRPr="00724342">
        <w:rPr>
          <w:rFonts w:eastAsiaTheme="minorHAnsi"/>
          <w:sz w:val="22"/>
          <w:szCs w:val="22"/>
          <w:lang w:eastAsia="en-US"/>
        </w:rPr>
        <w:t>д</w:t>
      </w:r>
      <w:r w:rsidRPr="00724342">
        <w:rPr>
          <w:rFonts w:eastAsiaTheme="minorHAnsi"/>
          <w:sz w:val="22"/>
          <w:szCs w:val="22"/>
          <w:lang w:eastAsia="en-US"/>
        </w:rPr>
        <w:t>приятия целесообразно использовать следующие меры:</w:t>
      </w:r>
    </w:p>
    <w:p w:rsidR="00724342" w:rsidRPr="00724342" w:rsidRDefault="00724342" w:rsidP="00734D53">
      <w:pPr>
        <w:numPr>
          <w:ilvl w:val="0"/>
          <w:numId w:val="99"/>
        </w:numPr>
        <w:tabs>
          <w:tab w:val="left" w:pos="0"/>
        </w:tabs>
        <w:ind w:left="0" w:firstLine="426"/>
        <w:contextualSpacing/>
        <w:jc w:val="both"/>
        <w:rPr>
          <w:rFonts w:eastAsiaTheme="minorHAnsi"/>
          <w:sz w:val="22"/>
          <w:szCs w:val="22"/>
          <w:lang w:eastAsia="en-US"/>
        </w:rPr>
      </w:pPr>
      <w:r w:rsidRPr="00724342">
        <w:rPr>
          <w:rFonts w:eastAsiaTheme="minorHAnsi"/>
          <w:sz w:val="22"/>
          <w:szCs w:val="22"/>
          <w:lang w:eastAsia="en-US"/>
        </w:rPr>
        <w:t>уменьшение продолжительности производственного цикла за счет более интенсивного процесса производства (использование в производстве новых технологий, автоматичности процесса прои</w:t>
      </w:r>
      <w:r w:rsidRPr="00724342">
        <w:rPr>
          <w:rFonts w:eastAsiaTheme="minorHAnsi"/>
          <w:sz w:val="22"/>
          <w:szCs w:val="22"/>
          <w:lang w:eastAsia="en-US"/>
        </w:rPr>
        <w:t>з</w:t>
      </w:r>
      <w:r w:rsidRPr="00724342">
        <w:rPr>
          <w:rFonts w:eastAsiaTheme="minorHAnsi"/>
          <w:sz w:val="22"/>
          <w:szCs w:val="22"/>
          <w:lang w:eastAsia="en-US"/>
        </w:rPr>
        <w:t>водства, увеличение степени производительности труда, расшире</w:t>
      </w:r>
      <w:r w:rsidRPr="00724342">
        <w:rPr>
          <w:rFonts w:eastAsiaTheme="minorHAnsi"/>
          <w:sz w:val="22"/>
          <w:szCs w:val="22"/>
          <w:lang w:eastAsia="en-US"/>
        </w:rPr>
        <w:t>н</w:t>
      </w:r>
      <w:r w:rsidRPr="00724342">
        <w:rPr>
          <w:rFonts w:eastAsiaTheme="minorHAnsi"/>
          <w:sz w:val="22"/>
          <w:szCs w:val="22"/>
          <w:lang w:eastAsia="en-US"/>
        </w:rPr>
        <w:t>ное использование мощностей производства);</w:t>
      </w:r>
    </w:p>
    <w:p w:rsidR="00724342" w:rsidRPr="00724342" w:rsidRDefault="00724342" w:rsidP="00734D53">
      <w:pPr>
        <w:numPr>
          <w:ilvl w:val="0"/>
          <w:numId w:val="99"/>
        </w:numPr>
        <w:tabs>
          <w:tab w:val="left" w:pos="0"/>
        </w:tabs>
        <w:ind w:left="0" w:firstLine="426"/>
        <w:contextualSpacing/>
        <w:jc w:val="both"/>
        <w:rPr>
          <w:rFonts w:eastAsiaTheme="minorHAnsi"/>
          <w:sz w:val="22"/>
          <w:szCs w:val="22"/>
          <w:lang w:eastAsia="en-US"/>
        </w:rPr>
      </w:pPr>
      <w:r w:rsidRPr="00724342">
        <w:rPr>
          <w:rFonts w:eastAsiaTheme="minorHAnsi"/>
          <w:sz w:val="22"/>
          <w:szCs w:val="22"/>
          <w:lang w:eastAsia="en-US"/>
        </w:rPr>
        <w:t>улучшение процесса материально-технического снабжения для постоянного обеспечения производства нужными материал</w:t>
      </w:r>
      <w:r w:rsidRPr="00724342">
        <w:rPr>
          <w:rFonts w:eastAsiaTheme="minorHAnsi"/>
          <w:sz w:val="22"/>
          <w:szCs w:val="22"/>
          <w:lang w:eastAsia="en-US"/>
        </w:rPr>
        <w:t>ь</w:t>
      </w:r>
      <w:r w:rsidRPr="00724342">
        <w:rPr>
          <w:rFonts w:eastAsiaTheme="minorHAnsi"/>
          <w:sz w:val="22"/>
          <w:szCs w:val="22"/>
          <w:lang w:eastAsia="en-US"/>
        </w:rPr>
        <w:t>ными ресурсами и сокращения времени нахождения финансовых средств, в запасах;</w:t>
      </w:r>
    </w:p>
    <w:p w:rsidR="00724342" w:rsidRPr="00724342" w:rsidRDefault="00724342" w:rsidP="00734D53">
      <w:pPr>
        <w:numPr>
          <w:ilvl w:val="0"/>
          <w:numId w:val="99"/>
        </w:numPr>
        <w:tabs>
          <w:tab w:val="left" w:pos="0"/>
        </w:tabs>
        <w:ind w:left="0" w:firstLine="426"/>
        <w:contextualSpacing/>
        <w:jc w:val="both"/>
        <w:rPr>
          <w:rFonts w:eastAsiaTheme="minorHAnsi"/>
          <w:sz w:val="22"/>
          <w:szCs w:val="22"/>
          <w:lang w:eastAsia="en-US"/>
        </w:rPr>
      </w:pPr>
      <w:r w:rsidRPr="00724342">
        <w:rPr>
          <w:rFonts w:eastAsiaTheme="minorHAnsi"/>
          <w:sz w:val="22"/>
          <w:szCs w:val="22"/>
          <w:lang w:eastAsia="en-US"/>
        </w:rPr>
        <w:t>уменьшение периода нахождения финансовых средств, в д</w:t>
      </w:r>
      <w:r w:rsidRPr="00724342">
        <w:rPr>
          <w:rFonts w:eastAsiaTheme="minorHAnsi"/>
          <w:sz w:val="22"/>
          <w:szCs w:val="22"/>
          <w:lang w:eastAsia="en-US"/>
        </w:rPr>
        <w:t>е</w:t>
      </w:r>
      <w:r w:rsidRPr="00724342">
        <w:rPr>
          <w:rFonts w:eastAsiaTheme="minorHAnsi"/>
          <w:sz w:val="22"/>
          <w:szCs w:val="22"/>
          <w:lang w:eastAsia="en-US"/>
        </w:rPr>
        <w:t>биторской задолженности;</w:t>
      </w:r>
    </w:p>
    <w:p w:rsidR="00724342" w:rsidRPr="00724342" w:rsidRDefault="00724342" w:rsidP="00734D53">
      <w:pPr>
        <w:numPr>
          <w:ilvl w:val="0"/>
          <w:numId w:val="99"/>
        </w:numPr>
        <w:tabs>
          <w:tab w:val="left" w:pos="0"/>
        </w:tabs>
        <w:ind w:left="0" w:firstLine="426"/>
        <w:contextualSpacing/>
        <w:jc w:val="both"/>
        <w:rPr>
          <w:rFonts w:eastAsiaTheme="minorHAnsi"/>
          <w:sz w:val="22"/>
          <w:szCs w:val="22"/>
          <w:lang w:eastAsia="en-US"/>
        </w:rPr>
      </w:pPr>
      <w:r w:rsidRPr="00724342">
        <w:rPr>
          <w:rFonts w:eastAsiaTheme="minorHAnsi"/>
          <w:sz w:val="22"/>
          <w:szCs w:val="22"/>
          <w:lang w:eastAsia="en-US"/>
        </w:rPr>
        <w:t>увеличение уставного капитала организации;</w:t>
      </w:r>
    </w:p>
    <w:p w:rsidR="00724342" w:rsidRPr="00724342" w:rsidRDefault="00724342" w:rsidP="00734D53">
      <w:pPr>
        <w:numPr>
          <w:ilvl w:val="0"/>
          <w:numId w:val="99"/>
        </w:numPr>
        <w:tabs>
          <w:tab w:val="left" w:pos="0"/>
        </w:tabs>
        <w:ind w:left="0" w:firstLine="426"/>
        <w:contextualSpacing/>
        <w:jc w:val="both"/>
        <w:rPr>
          <w:rFonts w:eastAsiaTheme="minorHAnsi"/>
          <w:sz w:val="22"/>
          <w:szCs w:val="22"/>
          <w:lang w:eastAsia="en-US"/>
        </w:rPr>
      </w:pPr>
      <w:r w:rsidRPr="00724342">
        <w:rPr>
          <w:rFonts w:eastAsiaTheme="minorHAnsi"/>
          <w:sz w:val="22"/>
          <w:szCs w:val="22"/>
          <w:lang w:eastAsia="en-US"/>
        </w:rPr>
        <w:t>увеличение резервного фонда.</w:t>
      </w:r>
    </w:p>
    <w:p w:rsidR="00724342" w:rsidRPr="00724342" w:rsidRDefault="00724342" w:rsidP="00734D53">
      <w:pPr>
        <w:ind w:firstLine="426"/>
        <w:contextualSpacing/>
        <w:rPr>
          <w:rFonts w:eastAsiaTheme="minorHAnsi"/>
          <w:sz w:val="22"/>
          <w:szCs w:val="22"/>
          <w:lang w:eastAsia="en-US"/>
        </w:rPr>
      </w:pPr>
      <w:r w:rsidRPr="00724342">
        <w:rPr>
          <w:rFonts w:eastAsiaTheme="minorHAnsi"/>
          <w:sz w:val="22"/>
          <w:szCs w:val="22"/>
          <w:lang w:eastAsia="en-US"/>
        </w:rPr>
        <w:t>Для увеличения собственного капитала предприятия можно использовать следующие мероприятия:</w:t>
      </w:r>
    </w:p>
    <w:p w:rsidR="00724342" w:rsidRPr="00724342" w:rsidRDefault="00724342" w:rsidP="00734D53">
      <w:pPr>
        <w:numPr>
          <w:ilvl w:val="0"/>
          <w:numId w:val="100"/>
        </w:numPr>
        <w:ind w:left="0" w:firstLine="426"/>
        <w:contextualSpacing/>
        <w:rPr>
          <w:rFonts w:eastAsiaTheme="minorHAnsi"/>
          <w:sz w:val="22"/>
          <w:szCs w:val="22"/>
          <w:lang w:eastAsia="en-US"/>
        </w:rPr>
      </w:pPr>
      <w:r w:rsidRPr="00724342">
        <w:rPr>
          <w:rFonts w:eastAsiaTheme="minorHAnsi"/>
          <w:sz w:val="22"/>
          <w:szCs w:val="22"/>
          <w:lang w:eastAsia="en-US"/>
        </w:rPr>
        <w:t>увеличение уставного капитала организации;</w:t>
      </w:r>
    </w:p>
    <w:p w:rsidR="00724342" w:rsidRPr="00724342" w:rsidRDefault="00724342" w:rsidP="00734D53">
      <w:pPr>
        <w:numPr>
          <w:ilvl w:val="0"/>
          <w:numId w:val="100"/>
        </w:numPr>
        <w:ind w:left="0" w:firstLine="426"/>
        <w:contextualSpacing/>
        <w:rPr>
          <w:rFonts w:eastAsiaTheme="minorHAnsi"/>
          <w:sz w:val="22"/>
          <w:szCs w:val="22"/>
          <w:lang w:eastAsia="en-US"/>
        </w:rPr>
      </w:pPr>
      <w:r w:rsidRPr="00724342">
        <w:rPr>
          <w:rFonts w:eastAsiaTheme="minorHAnsi"/>
          <w:sz w:val="22"/>
          <w:szCs w:val="22"/>
          <w:lang w:eastAsia="en-US"/>
        </w:rPr>
        <w:t>увеличение прибыли.</w:t>
      </w:r>
    </w:p>
    <w:p w:rsidR="00724342" w:rsidRPr="00724342" w:rsidRDefault="00724342" w:rsidP="00734D53">
      <w:pPr>
        <w:tabs>
          <w:tab w:val="left" w:pos="709"/>
        </w:tabs>
        <w:ind w:firstLine="426"/>
        <w:contextualSpacing/>
        <w:jc w:val="both"/>
        <w:rPr>
          <w:rFonts w:eastAsiaTheme="minorHAnsi"/>
          <w:sz w:val="22"/>
          <w:szCs w:val="22"/>
          <w:lang w:eastAsia="en-US"/>
        </w:rPr>
      </w:pPr>
      <w:r w:rsidRPr="00724342">
        <w:rPr>
          <w:rFonts w:eastAsiaTheme="minorHAnsi"/>
          <w:sz w:val="22"/>
          <w:szCs w:val="22"/>
          <w:lang w:eastAsia="en-US"/>
        </w:rPr>
        <w:t>Традиционными способами увеличения уставного капитала я</w:t>
      </w:r>
      <w:r w:rsidRPr="00724342">
        <w:rPr>
          <w:rFonts w:eastAsiaTheme="minorHAnsi"/>
          <w:sz w:val="22"/>
          <w:szCs w:val="22"/>
          <w:lang w:eastAsia="en-US"/>
        </w:rPr>
        <w:t>в</w:t>
      </w:r>
      <w:r w:rsidRPr="00724342">
        <w:rPr>
          <w:rFonts w:eastAsiaTheme="minorHAnsi"/>
          <w:sz w:val="22"/>
          <w:szCs w:val="22"/>
          <w:lang w:eastAsia="en-US"/>
        </w:rPr>
        <w:t>ляются [3]:</w:t>
      </w:r>
    </w:p>
    <w:p w:rsidR="00724342" w:rsidRPr="00724342" w:rsidRDefault="00724342" w:rsidP="00734D53">
      <w:pPr>
        <w:numPr>
          <w:ilvl w:val="0"/>
          <w:numId w:val="101"/>
        </w:numPr>
        <w:tabs>
          <w:tab w:val="left" w:pos="709"/>
          <w:tab w:val="left" w:pos="993"/>
        </w:tabs>
        <w:ind w:left="0" w:firstLine="426"/>
        <w:contextualSpacing/>
        <w:jc w:val="both"/>
        <w:rPr>
          <w:rFonts w:eastAsiaTheme="minorHAnsi"/>
          <w:sz w:val="22"/>
          <w:szCs w:val="22"/>
          <w:lang w:eastAsia="en-US"/>
        </w:rPr>
      </w:pPr>
      <w:r w:rsidRPr="00724342">
        <w:rPr>
          <w:rFonts w:eastAsiaTheme="minorHAnsi"/>
          <w:sz w:val="22"/>
          <w:szCs w:val="22"/>
          <w:lang w:eastAsia="en-US"/>
        </w:rPr>
        <w:lastRenderedPageBreak/>
        <w:t>добавление нового участника, который вносит свой вклад в уставный капитал;</w:t>
      </w:r>
    </w:p>
    <w:p w:rsidR="00724342" w:rsidRPr="00724342" w:rsidRDefault="00724342" w:rsidP="00734D53">
      <w:pPr>
        <w:numPr>
          <w:ilvl w:val="0"/>
          <w:numId w:val="101"/>
        </w:numPr>
        <w:tabs>
          <w:tab w:val="left" w:pos="709"/>
          <w:tab w:val="left" w:pos="993"/>
        </w:tabs>
        <w:ind w:left="0" w:firstLine="426"/>
        <w:contextualSpacing/>
        <w:jc w:val="both"/>
        <w:rPr>
          <w:rFonts w:eastAsiaTheme="minorHAnsi"/>
          <w:sz w:val="22"/>
          <w:szCs w:val="22"/>
          <w:lang w:eastAsia="en-US"/>
        </w:rPr>
      </w:pPr>
      <w:r w:rsidRPr="00724342">
        <w:rPr>
          <w:rFonts w:eastAsiaTheme="minorHAnsi"/>
          <w:sz w:val="22"/>
          <w:szCs w:val="22"/>
          <w:lang w:eastAsia="en-US"/>
        </w:rPr>
        <w:t>изменение направления деятельности организации, который потребует внесения дополнительных средств для увеличения мин</w:t>
      </w:r>
      <w:r w:rsidRPr="00724342">
        <w:rPr>
          <w:rFonts w:eastAsiaTheme="minorHAnsi"/>
          <w:sz w:val="22"/>
          <w:szCs w:val="22"/>
          <w:lang w:eastAsia="en-US"/>
        </w:rPr>
        <w:t>и</w:t>
      </w:r>
      <w:r w:rsidRPr="00724342">
        <w:rPr>
          <w:rFonts w:eastAsiaTheme="minorHAnsi"/>
          <w:sz w:val="22"/>
          <w:szCs w:val="22"/>
          <w:lang w:eastAsia="en-US"/>
        </w:rPr>
        <w:t>мального размера уставного капитала;</w:t>
      </w:r>
    </w:p>
    <w:p w:rsidR="00724342" w:rsidRPr="00724342" w:rsidRDefault="00724342" w:rsidP="00734D53">
      <w:pPr>
        <w:numPr>
          <w:ilvl w:val="0"/>
          <w:numId w:val="101"/>
        </w:numPr>
        <w:tabs>
          <w:tab w:val="left" w:pos="709"/>
          <w:tab w:val="left" w:pos="993"/>
        </w:tabs>
        <w:ind w:left="0" w:firstLine="426"/>
        <w:contextualSpacing/>
        <w:jc w:val="both"/>
        <w:rPr>
          <w:rFonts w:eastAsiaTheme="minorHAnsi"/>
          <w:sz w:val="22"/>
          <w:szCs w:val="22"/>
          <w:lang w:eastAsia="en-US"/>
        </w:rPr>
      </w:pPr>
      <w:r w:rsidRPr="00724342">
        <w:rPr>
          <w:rFonts w:eastAsiaTheme="minorHAnsi"/>
          <w:sz w:val="22"/>
          <w:szCs w:val="22"/>
          <w:lang w:eastAsia="en-US"/>
        </w:rPr>
        <w:t>увеличение доли одного из участников в УК;</w:t>
      </w:r>
    </w:p>
    <w:p w:rsidR="00724342" w:rsidRPr="00724342" w:rsidRDefault="00724342" w:rsidP="00734D53">
      <w:pPr>
        <w:numPr>
          <w:ilvl w:val="0"/>
          <w:numId w:val="101"/>
        </w:numPr>
        <w:tabs>
          <w:tab w:val="left" w:pos="709"/>
          <w:tab w:val="left" w:pos="993"/>
        </w:tabs>
        <w:ind w:left="0" w:firstLine="426"/>
        <w:contextualSpacing/>
        <w:jc w:val="both"/>
        <w:rPr>
          <w:rFonts w:eastAsiaTheme="minorHAnsi"/>
          <w:sz w:val="22"/>
          <w:szCs w:val="22"/>
          <w:lang w:eastAsia="en-US"/>
        </w:rPr>
      </w:pPr>
      <w:r w:rsidRPr="00724342">
        <w:rPr>
          <w:rFonts w:eastAsiaTheme="minorHAnsi"/>
          <w:sz w:val="22"/>
          <w:szCs w:val="22"/>
          <w:lang w:eastAsia="en-US"/>
        </w:rPr>
        <w:t>увлечение уставного капитала за счет имущества общества, т.е. наработанных чистых активов, или дополнительных вкладов участников и третьих лиц.</w:t>
      </w:r>
    </w:p>
    <w:p w:rsidR="00724342" w:rsidRPr="00724342" w:rsidRDefault="00724342" w:rsidP="00734D53">
      <w:pPr>
        <w:ind w:firstLine="426"/>
        <w:contextualSpacing/>
        <w:jc w:val="both"/>
        <w:rPr>
          <w:rFonts w:eastAsiaTheme="minorHAnsi"/>
          <w:sz w:val="22"/>
          <w:szCs w:val="22"/>
          <w:lang w:eastAsia="en-US"/>
        </w:rPr>
      </w:pPr>
      <w:r w:rsidRPr="00724342">
        <w:rPr>
          <w:rFonts w:eastAsiaTheme="minorHAnsi"/>
          <w:sz w:val="22"/>
          <w:szCs w:val="22"/>
          <w:lang w:eastAsia="en-US"/>
        </w:rPr>
        <w:t>В качестве основных мероприятий повышения эффективности управления собственным капиталом выделим следующее: пополн</w:t>
      </w:r>
      <w:r w:rsidRPr="00724342">
        <w:rPr>
          <w:rFonts w:eastAsiaTheme="minorHAnsi"/>
          <w:sz w:val="22"/>
          <w:szCs w:val="22"/>
          <w:lang w:eastAsia="en-US"/>
        </w:rPr>
        <w:t>е</w:t>
      </w:r>
      <w:r w:rsidRPr="00724342">
        <w:rPr>
          <w:rFonts w:eastAsiaTheme="minorHAnsi"/>
          <w:sz w:val="22"/>
          <w:szCs w:val="22"/>
          <w:lang w:eastAsia="en-US"/>
        </w:rPr>
        <w:t>ние собственного капитала за счет увеличения уставного и создания резервного капитала; ускорение обращения финансовых ресурсов; повышение интенсивности и производительности труда.</w:t>
      </w:r>
    </w:p>
    <w:p w:rsidR="00724342" w:rsidRPr="00724342" w:rsidRDefault="00724342" w:rsidP="00734D53">
      <w:pPr>
        <w:tabs>
          <w:tab w:val="left" w:pos="709"/>
          <w:tab w:val="left" w:pos="993"/>
        </w:tabs>
        <w:ind w:firstLine="426"/>
        <w:contextualSpacing/>
        <w:jc w:val="both"/>
        <w:rPr>
          <w:rFonts w:eastAsiaTheme="minorHAnsi"/>
          <w:sz w:val="22"/>
          <w:szCs w:val="22"/>
          <w:lang w:eastAsia="en-US"/>
        </w:rPr>
      </w:pPr>
      <w:r w:rsidRPr="00724342">
        <w:rPr>
          <w:rFonts w:eastAsiaTheme="minorHAnsi"/>
          <w:sz w:val="22"/>
          <w:szCs w:val="22"/>
          <w:lang w:eastAsia="en-US"/>
        </w:rPr>
        <w:t>Предложенные мероприятия позволят поддержать устойчивые темпы роста собственного капитала, что значительно повысит ф</w:t>
      </w:r>
      <w:r w:rsidRPr="00724342">
        <w:rPr>
          <w:rFonts w:eastAsiaTheme="minorHAnsi"/>
          <w:sz w:val="22"/>
          <w:szCs w:val="22"/>
          <w:lang w:eastAsia="en-US"/>
        </w:rPr>
        <w:t>и</w:t>
      </w:r>
      <w:r w:rsidRPr="00724342">
        <w:rPr>
          <w:rFonts w:eastAsiaTheme="minorHAnsi"/>
          <w:sz w:val="22"/>
          <w:szCs w:val="22"/>
          <w:lang w:eastAsia="en-US"/>
        </w:rPr>
        <w:t>нансовую устойчивость предприятия.</w:t>
      </w:r>
    </w:p>
    <w:p w:rsidR="00724342" w:rsidRPr="00724342" w:rsidRDefault="00724342" w:rsidP="00734D53">
      <w:pPr>
        <w:tabs>
          <w:tab w:val="left" w:pos="993"/>
        </w:tabs>
        <w:ind w:firstLine="426"/>
        <w:contextualSpacing/>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734D53">
      <w:pPr>
        <w:numPr>
          <w:ilvl w:val="0"/>
          <w:numId w:val="102"/>
        </w:numPr>
        <w:shd w:val="clear" w:color="auto" w:fill="FFFFFF"/>
        <w:tabs>
          <w:tab w:val="left" w:pos="993"/>
        </w:tabs>
        <w:ind w:left="0" w:firstLine="426"/>
        <w:contextualSpacing/>
        <w:jc w:val="both"/>
        <w:rPr>
          <w:color w:val="000000"/>
          <w:sz w:val="22"/>
          <w:szCs w:val="22"/>
          <w:lang w:eastAsia="en-US"/>
        </w:rPr>
      </w:pPr>
      <w:r w:rsidRPr="00724342">
        <w:rPr>
          <w:sz w:val="22"/>
          <w:szCs w:val="22"/>
          <w:lang w:eastAsia="en-US"/>
        </w:rPr>
        <w:t>Белкина Е.Н. Экономика организации (учебное пособие) / Е.Н. Белкина, А.Т. Айдинова, Т.Ю. Черепухин // Международный журнал экспериментального образования. 2015. № 3-2. С. 236-237.</w:t>
      </w:r>
    </w:p>
    <w:p w:rsidR="00724342" w:rsidRPr="00724342" w:rsidRDefault="00724342" w:rsidP="00734D53">
      <w:pPr>
        <w:numPr>
          <w:ilvl w:val="0"/>
          <w:numId w:val="102"/>
        </w:numPr>
        <w:tabs>
          <w:tab w:val="left" w:pos="567"/>
        </w:tabs>
        <w:ind w:left="0" w:firstLine="426"/>
        <w:contextualSpacing/>
        <w:rPr>
          <w:rFonts w:eastAsiaTheme="minorHAnsi"/>
          <w:sz w:val="22"/>
          <w:szCs w:val="22"/>
          <w:lang w:eastAsia="en-US"/>
        </w:rPr>
      </w:pPr>
      <w:r w:rsidRPr="00724342">
        <w:rPr>
          <w:rFonts w:eastAsiaTheme="minorHAnsi"/>
          <w:color w:val="000000"/>
          <w:sz w:val="22"/>
          <w:szCs w:val="22"/>
          <w:lang w:eastAsia="en-US"/>
        </w:rPr>
        <w:t xml:space="preserve"> Брусов П. Н. Финансовый менеджмент. Финансовое план</w:t>
      </w:r>
      <w:r w:rsidRPr="00724342">
        <w:rPr>
          <w:rFonts w:eastAsiaTheme="minorHAnsi"/>
          <w:color w:val="000000"/>
          <w:sz w:val="22"/>
          <w:szCs w:val="22"/>
          <w:lang w:eastAsia="en-US"/>
        </w:rPr>
        <w:t>и</w:t>
      </w:r>
      <w:r w:rsidRPr="00724342">
        <w:rPr>
          <w:rFonts w:eastAsiaTheme="minorHAnsi"/>
          <w:color w:val="000000"/>
          <w:sz w:val="22"/>
          <w:szCs w:val="22"/>
          <w:lang w:eastAsia="en-US"/>
        </w:rPr>
        <w:t>рование (для бакалавров): учебное пособие / П. Н. Брусов, Т. В. Ф</w:t>
      </w:r>
      <w:r w:rsidRPr="00724342">
        <w:rPr>
          <w:rFonts w:eastAsiaTheme="minorHAnsi"/>
          <w:color w:val="000000"/>
          <w:sz w:val="22"/>
          <w:szCs w:val="22"/>
          <w:lang w:eastAsia="en-US"/>
        </w:rPr>
        <w:t>и</w:t>
      </w:r>
      <w:r w:rsidRPr="00724342">
        <w:rPr>
          <w:rFonts w:eastAsiaTheme="minorHAnsi"/>
          <w:color w:val="000000"/>
          <w:sz w:val="22"/>
          <w:szCs w:val="22"/>
          <w:lang w:eastAsia="en-US"/>
        </w:rPr>
        <w:t>латова. – Электрон. дан. – М. :КноРус, 2014. – 227 с.</w:t>
      </w:r>
    </w:p>
    <w:p w:rsidR="00724342" w:rsidRPr="00724342" w:rsidRDefault="00724342" w:rsidP="00734D53">
      <w:pPr>
        <w:numPr>
          <w:ilvl w:val="0"/>
          <w:numId w:val="102"/>
        </w:numPr>
        <w:tabs>
          <w:tab w:val="left" w:pos="709"/>
        </w:tabs>
        <w:ind w:left="0" w:firstLine="426"/>
        <w:contextualSpacing/>
        <w:jc w:val="both"/>
        <w:rPr>
          <w:rFonts w:eastAsiaTheme="minorHAnsi"/>
          <w:sz w:val="22"/>
          <w:szCs w:val="22"/>
          <w:lang w:eastAsia="en-US"/>
        </w:rPr>
      </w:pPr>
      <w:r w:rsidRPr="00724342">
        <w:rPr>
          <w:rFonts w:eastAsiaTheme="minorHAnsi"/>
          <w:sz w:val="22"/>
          <w:szCs w:val="22"/>
          <w:lang w:eastAsia="en-US"/>
        </w:rPr>
        <w:t>Носкова О.Г. Анализ роста собственного капитала ООО //Экономика и социум, 2016. - № 3 (22). - С. 226-232</w:t>
      </w:r>
    </w:p>
    <w:p w:rsidR="00724342" w:rsidRPr="00724342" w:rsidRDefault="00724342" w:rsidP="00734D53">
      <w:pPr>
        <w:ind w:firstLine="426"/>
        <w:jc w:val="both"/>
        <w:rPr>
          <w:color w:val="000000"/>
          <w:sz w:val="22"/>
          <w:szCs w:val="22"/>
        </w:rPr>
      </w:pPr>
    </w:p>
    <w:p w:rsidR="00724342" w:rsidRPr="00724342" w:rsidRDefault="00CB06AE" w:rsidP="00CB06AE">
      <w:pPr>
        <w:rPr>
          <w:color w:val="000000"/>
          <w:sz w:val="22"/>
          <w:szCs w:val="22"/>
        </w:rPr>
      </w:pPr>
      <w:r>
        <w:rPr>
          <w:color w:val="000000"/>
          <w:sz w:val="22"/>
          <w:szCs w:val="22"/>
        </w:rPr>
        <w:br w:type="page"/>
      </w:r>
    </w:p>
    <w:p w:rsidR="00734D53" w:rsidRDefault="00724342" w:rsidP="00724342">
      <w:pPr>
        <w:jc w:val="both"/>
        <w:rPr>
          <w:sz w:val="22"/>
          <w:szCs w:val="22"/>
          <w:lang w:eastAsia="en-US"/>
        </w:rPr>
      </w:pPr>
      <w:r w:rsidRPr="00724342">
        <w:rPr>
          <w:sz w:val="22"/>
          <w:szCs w:val="22"/>
          <w:lang w:eastAsia="en-US"/>
        </w:rPr>
        <w:lastRenderedPageBreak/>
        <w:t xml:space="preserve">УДК 658.56 </w:t>
      </w:r>
    </w:p>
    <w:p w:rsidR="00CB06AE" w:rsidRPr="00724342" w:rsidRDefault="00CB06AE" w:rsidP="00724342">
      <w:pPr>
        <w:jc w:val="both"/>
        <w:rPr>
          <w:sz w:val="22"/>
          <w:szCs w:val="22"/>
          <w:lang w:eastAsia="en-US"/>
        </w:rPr>
      </w:pPr>
    </w:p>
    <w:p w:rsidR="00724342" w:rsidRPr="00724342" w:rsidRDefault="00724342" w:rsidP="00724342">
      <w:pPr>
        <w:jc w:val="center"/>
        <w:rPr>
          <w:b/>
          <w:sz w:val="24"/>
          <w:szCs w:val="24"/>
          <w:lang w:eastAsia="en-US"/>
        </w:rPr>
      </w:pPr>
      <w:r w:rsidRPr="00724342">
        <w:rPr>
          <w:b/>
          <w:sz w:val="24"/>
          <w:szCs w:val="24"/>
          <w:lang w:eastAsia="en-US"/>
        </w:rPr>
        <w:t xml:space="preserve">Система «Кайдзен» в управлении качеством </w:t>
      </w:r>
    </w:p>
    <w:p w:rsidR="00724342" w:rsidRPr="00724342" w:rsidRDefault="00724342" w:rsidP="00724342">
      <w:pPr>
        <w:jc w:val="center"/>
        <w:rPr>
          <w:b/>
          <w:sz w:val="24"/>
          <w:szCs w:val="24"/>
          <w:lang w:val="en-US" w:eastAsia="en-US"/>
        </w:rPr>
      </w:pPr>
      <w:r w:rsidRPr="00724342">
        <w:rPr>
          <w:b/>
          <w:sz w:val="24"/>
          <w:szCs w:val="24"/>
          <w:lang w:eastAsia="en-US"/>
        </w:rPr>
        <w:t>персонала</w:t>
      </w:r>
      <w:r w:rsidRPr="00724342">
        <w:rPr>
          <w:b/>
          <w:sz w:val="24"/>
          <w:szCs w:val="24"/>
          <w:lang w:val="en-US" w:eastAsia="en-US"/>
        </w:rPr>
        <w:t xml:space="preserve"> </w:t>
      </w:r>
      <w:r w:rsidRPr="00724342">
        <w:rPr>
          <w:b/>
          <w:sz w:val="24"/>
          <w:szCs w:val="24"/>
          <w:lang w:eastAsia="en-US"/>
        </w:rPr>
        <w:t>организации</w:t>
      </w:r>
    </w:p>
    <w:p w:rsidR="00724342" w:rsidRPr="00724342" w:rsidRDefault="00724342" w:rsidP="00724342">
      <w:pPr>
        <w:jc w:val="center"/>
        <w:rPr>
          <w:b/>
          <w:sz w:val="24"/>
          <w:szCs w:val="24"/>
          <w:lang w:val="en-US" w:eastAsia="en-US"/>
        </w:rPr>
      </w:pPr>
      <w:r w:rsidRPr="00724342">
        <w:rPr>
          <w:b/>
          <w:sz w:val="24"/>
          <w:szCs w:val="24"/>
          <w:lang w:val="en" w:eastAsia="en-US"/>
        </w:rPr>
        <w:t xml:space="preserve">The Kaizen system in the management of the quality </w:t>
      </w:r>
    </w:p>
    <w:p w:rsidR="00724342" w:rsidRPr="00724342" w:rsidRDefault="00724342" w:rsidP="00724342">
      <w:pPr>
        <w:jc w:val="center"/>
        <w:rPr>
          <w:b/>
          <w:sz w:val="24"/>
          <w:szCs w:val="24"/>
          <w:lang w:val="en-US" w:eastAsia="en-US"/>
        </w:rPr>
      </w:pPr>
      <w:r w:rsidRPr="00724342">
        <w:rPr>
          <w:b/>
          <w:sz w:val="24"/>
          <w:szCs w:val="24"/>
          <w:lang w:val="en" w:eastAsia="en-US"/>
        </w:rPr>
        <w:t>of the organization's personnel</w:t>
      </w:r>
    </w:p>
    <w:p w:rsidR="00724342" w:rsidRPr="00724342" w:rsidRDefault="00724342" w:rsidP="00724342">
      <w:pPr>
        <w:jc w:val="center"/>
        <w:rPr>
          <w:b/>
          <w:sz w:val="24"/>
          <w:szCs w:val="24"/>
          <w:lang w:val="en-US" w:eastAsia="en-US"/>
        </w:rPr>
      </w:pPr>
    </w:p>
    <w:p w:rsidR="00724342" w:rsidRPr="00C56F2E" w:rsidRDefault="00724342" w:rsidP="00724342">
      <w:pPr>
        <w:jc w:val="right"/>
        <w:rPr>
          <w:sz w:val="22"/>
          <w:szCs w:val="22"/>
          <w:lang w:val="en-US" w:eastAsia="en-US"/>
        </w:rPr>
      </w:pPr>
      <w:r w:rsidRPr="00724342">
        <w:rPr>
          <w:sz w:val="22"/>
          <w:szCs w:val="22"/>
          <w:lang w:eastAsia="en-US"/>
        </w:rPr>
        <w:t>Мышонкова</w:t>
      </w:r>
      <w:r w:rsidRPr="00C56F2E">
        <w:rPr>
          <w:sz w:val="22"/>
          <w:szCs w:val="22"/>
          <w:lang w:val="en-US" w:eastAsia="en-US"/>
        </w:rPr>
        <w:t xml:space="preserve"> </w:t>
      </w:r>
      <w:r w:rsidRPr="00724342">
        <w:rPr>
          <w:sz w:val="22"/>
          <w:szCs w:val="22"/>
          <w:lang w:eastAsia="en-US"/>
        </w:rPr>
        <w:t>Е</w:t>
      </w:r>
      <w:r w:rsidRPr="00C56F2E">
        <w:rPr>
          <w:sz w:val="22"/>
          <w:szCs w:val="22"/>
          <w:lang w:val="en-US" w:eastAsia="en-US"/>
        </w:rPr>
        <w:t>.</w:t>
      </w:r>
      <w:r w:rsidR="0010381E" w:rsidRPr="00C56F2E">
        <w:rPr>
          <w:sz w:val="22"/>
          <w:szCs w:val="22"/>
          <w:lang w:val="en-US" w:eastAsia="en-US"/>
        </w:rPr>
        <w:t xml:space="preserve"> </w:t>
      </w:r>
      <w:r w:rsidRPr="00724342">
        <w:rPr>
          <w:sz w:val="22"/>
          <w:szCs w:val="22"/>
          <w:lang w:eastAsia="en-US"/>
        </w:rPr>
        <w:t>С</w:t>
      </w:r>
      <w:r w:rsidR="0010381E" w:rsidRPr="00C56F2E">
        <w:rPr>
          <w:sz w:val="22"/>
          <w:szCs w:val="22"/>
          <w:lang w:val="en-US" w:eastAsia="en-US"/>
        </w:rPr>
        <w:t xml:space="preserve">., </w:t>
      </w:r>
      <w:r w:rsidRPr="00724342">
        <w:rPr>
          <w:sz w:val="22"/>
          <w:szCs w:val="22"/>
          <w:lang w:eastAsia="en-US"/>
        </w:rPr>
        <w:t>Колесник</w:t>
      </w:r>
      <w:r w:rsidRPr="00C56F2E">
        <w:rPr>
          <w:sz w:val="22"/>
          <w:szCs w:val="22"/>
          <w:lang w:val="en-US" w:eastAsia="en-US"/>
        </w:rPr>
        <w:t xml:space="preserve"> </w:t>
      </w:r>
      <w:r w:rsidRPr="00724342">
        <w:rPr>
          <w:sz w:val="22"/>
          <w:szCs w:val="22"/>
          <w:lang w:eastAsia="en-US"/>
        </w:rPr>
        <w:t>А</w:t>
      </w:r>
      <w:r w:rsidRPr="00C56F2E">
        <w:rPr>
          <w:sz w:val="22"/>
          <w:szCs w:val="22"/>
          <w:lang w:val="en-US" w:eastAsia="en-US"/>
        </w:rPr>
        <w:t>.</w:t>
      </w:r>
      <w:r w:rsidR="0010381E" w:rsidRPr="00C56F2E">
        <w:rPr>
          <w:sz w:val="22"/>
          <w:szCs w:val="22"/>
          <w:lang w:val="en-US" w:eastAsia="en-US"/>
        </w:rPr>
        <w:t xml:space="preserve"> </w:t>
      </w:r>
      <w:r w:rsidRPr="00724342">
        <w:rPr>
          <w:sz w:val="22"/>
          <w:szCs w:val="22"/>
          <w:lang w:eastAsia="en-US"/>
        </w:rPr>
        <w:t>В</w:t>
      </w:r>
      <w:r w:rsidRPr="00C56F2E">
        <w:rPr>
          <w:sz w:val="22"/>
          <w:szCs w:val="22"/>
          <w:lang w:val="en-US" w:eastAsia="en-US"/>
        </w:rPr>
        <w:t>.,</w:t>
      </w:r>
    </w:p>
    <w:p w:rsidR="00724342" w:rsidRPr="00724342" w:rsidRDefault="0010381E" w:rsidP="00724342">
      <w:pPr>
        <w:jc w:val="right"/>
        <w:rPr>
          <w:sz w:val="22"/>
          <w:szCs w:val="22"/>
          <w:lang w:eastAsia="en-US"/>
        </w:rPr>
      </w:pPr>
      <w:r>
        <w:rPr>
          <w:sz w:val="22"/>
          <w:szCs w:val="22"/>
          <w:lang w:eastAsia="en-US"/>
        </w:rPr>
        <w:t>студентки</w:t>
      </w:r>
      <w:r w:rsidR="00724342" w:rsidRPr="00724342">
        <w:rPr>
          <w:sz w:val="22"/>
          <w:szCs w:val="22"/>
          <w:lang w:eastAsia="en-US"/>
        </w:rPr>
        <w:t xml:space="preserve"> 4-го курса экономического факультета</w:t>
      </w:r>
    </w:p>
    <w:p w:rsidR="00724342" w:rsidRPr="00724342" w:rsidRDefault="00724342" w:rsidP="00724342">
      <w:pPr>
        <w:jc w:val="right"/>
        <w:rPr>
          <w:sz w:val="22"/>
          <w:szCs w:val="22"/>
          <w:lang w:eastAsia="en-US"/>
        </w:rPr>
      </w:pPr>
      <w:r w:rsidRPr="00724342">
        <w:rPr>
          <w:sz w:val="22"/>
          <w:szCs w:val="22"/>
          <w:lang w:eastAsia="en-US"/>
        </w:rPr>
        <w:t>Скоморощенко А.</w:t>
      </w:r>
      <w:r w:rsidR="0010381E">
        <w:rPr>
          <w:sz w:val="22"/>
          <w:szCs w:val="22"/>
          <w:lang w:eastAsia="en-US"/>
        </w:rPr>
        <w:t xml:space="preserve"> </w:t>
      </w:r>
      <w:r w:rsidRPr="00724342">
        <w:rPr>
          <w:sz w:val="22"/>
          <w:szCs w:val="22"/>
          <w:lang w:eastAsia="en-US"/>
        </w:rPr>
        <w:t xml:space="preserve">А., </w:t>
      </w:r>
    </w:p>
    <w:p w:rsidR="00724342" w:rsidRPr="00724342" w:rsidRDefault="00724342" w:rsidP="00734D53">
      <w:pPr>
        <w:jc w:val="right"/>
        <w:rPr>
          <w:sz w:val="22"/>
          <w:szCs w:val="22"/>
          <w:lang w:eastAsia="en-US"/>
        </w:rPr>
      </w:pPr>
      <w:r w:rsidRPr="00724342">
        <w:rPr>
          <w:sz w:val="22"/>
          <w:szCs w:val="22"/>
          <w:lang w:eastAsia="en-US"/>
        </w:rPr>
        <w:t xml:space="preserve">доцент кафедры экономики и </w:t>
      </w:r>
      <w:r w:rsidR="00734D53">
        <w:rPr>
          <w:sz w:val="22"/>
          <w:szCs w:val="22"/>
          <w:lang w:eastAsia="en-US"/>
        </w:rPr>
        <w:t>ВЭД</w:t>
      </w:r>
    </w:p>
    <w:p w:rsidR="00724342" w:rsidRPr="00724342" w:rsidRDefault="00724342" w:rsidP="00724342">
      <w:pPr>
        <w:widowControl w:val="0"/>
        <w:tabs>
          <w:tab w:val="left" w:pos="8223"/>
        </w:tabs>
        <w:jc w:val="right"/>
        <w:rPr>
          <w:rFonts w:eastAsia="Courier New"/>
          <w:sz w:val="22"/>
          <w:szCs w:val="22"/>
          <w:lang w:eastAsia="en-US"/>
        </w:rPr>
      </w:pPr>
      <w:r w:rsidRPr="00724342">
        <w:rPr>
          <w:rFonts w:eastAsia="Courier New"/>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sz w:val="22"/>
          <w:szCs w:val="22"/>
          <w:lang w:eastAsia="en-US"/>
        </w:rPr>
      </w:pPr>
      <w:r w:rsidRPr="00724342">
        <w:rPr>
          <w:rFonts w:eastAsia="Courier New"/>
          <w:sz w:val="22"/>
          <w:szCs w:val="22"/>
          <w:lang w:eastAsia="en-US"/>
        </w:rPr>
        <w:t>университет имени И.</w:t>
      </w:r>
      <w:r w:rsidR="0010381E">
        <w:rPr>
          <w:rFonts w:eastAsia="Courier New"/>
          <w:sz w:val="22"/>
          <w:szCs w:val="22"/>
          <w:lang w:eastAsia="en-US"/>
        </w:rPr>
        <w:t xml:space="preserve"> </w:t>
      </w:r>
      <w:r w:rsidRPr="00724342">
        <w:rPr>
          <w:rFonts w:eastAsia="Courier New"/>
          <w:sz w:val="22"/>
          <w:szCs w:val="22"/>
          <w:lang w:eastAsia="en-US"/>
        </w:rPr>
        <w:t>Т. Трубилина</w:t>
      </w:r>
    </w:p>
    <w:p w:rsidR="00724342" w:rsidRPr="00724342" w:rsidRDefault="00724342" w:rsidP="00724342">
      <w:pPr>
        <w:jc w:val="right"/>
        <w:rPr>
          <w:sz w:val="22"/>
          <w:szCs w:val="22"/>
          <w:lang w:eastAsia="en-US"/>
        </w:rPr>
      </w:pPr>
    </w:p>
    <w:p w:rsidR="00724342" w:rsidRPr="00724342" w:rsidRDefault="00724342" w:rsidP="0010381E">
      <w:pPr>
        <w:ind w:firstLine="426"/>
        <w:jc w:val="both"/>
        <w:rPr>
          <w:sz w:val="22"/>
          <w:szCs w:val="22"/>
          <w:lang w:eastAsia="en-US"/>
        </w:rPr>
      </w:pPr>
      <w:r w:rsidRPr="00724342">
        <w:rPr>
          <w:sz w:val="22"/>
          <w:szCs w:val="22"/>
          <w:lang w:eastAsia="en-US"/>
        </w:rPr>
        <w:t>АННОТАЦИЯ: Рассмотрены основные принципы сист</w:t>
      </w:r>
      <w:r w:rsidR="00734D53">
        <w:rPr>
          <w:sz w:val="22"/>
          <w:szCs w:val="22"/>
          <w:lang w:eastAsia="en-US"/>
        </w:rPr>
        <w:t xml:space="preserve">емы «Кайдзен» и перспективы ее </w:t>
      </w:r>
      <w:r w:rsidRPr="00724342">
        <w:rPr>
          <w:sz w:val="22"/>
          <w:szCs w:val="22"/>
          <w:lang w:eastAsia="en-US"/>
        </w:rPr>
        <w:t xml:space="preserve">использования в организации. </w:t>
      </w:r>
    </w:p>
    <w:p w:rsidR="00724342" w:rsidRPr="00724342" w:rsidRDefault="00724342" w:rsidP="0010381E">
      <w:pPr>
        <w:ind w:firstLine="426"/>
        <w:jc w:val="both"/>
        <w:rPr>
          <w:sz w:val="22"/>
          <w:szCs w:val="22"/>
          <w:lang w:val="en-US" w:eastAsia="en-US"/>
        </w:rPr>
      </w:pPr>
      <w:r w:rsidRPr="00724342">
        <w:rPr>
          <w:sz w:val="22"/>
          <w:szCs w:val="22"/>
          <w:lang w:val="en" w:eastAsia="en-US"/>
        </w:rPr>
        <w:t>ABSTRACT: The article considers the basic principles of the Ka</w:t>
      </w:r>
      <w:r w:rsidRPr="00724342">
        <w:rPr>
          <w:sz w:val="22"/>
          <w:szCs w:val="22"/>
          <w:lang w:val="en" w:eastAsia="en-US"/>
        </w:rPr>
        <w:t>i</w:t>
      </w:r>
      <w:r w:rsidRPr="00724342">
        <w:rPr>
          <w:sz w:val="22"/>
          <w:szCs w:val="22"/>
          <w:lang w:val="en" w:eastAsia="en-US"/>
        </w:rPr>
        <w:t>zen system and the prospects of the system at enterprises</w:t>
      </w:r>
      <w:r w:rsidRPr="00724342">
        <w:rPr>
          <w:sz w:val="22"/>
          <w:szCs w:val="22"/>
          <w:lang w:val="en-US" w:eastAsia="en-US"/>
        </w:rPr>
        <w:t>.</w:t>
      </w:r>
    </w:p>
    <w:p w:rsidR="00724342" w:rsidRPr="00724342" w:rsidRDefault="00724342" w:rsidP="0010381E">
      <w:pPr>
        <w:ind w:firstLine="426"/>
        <w:jc w:val="both"/>
        <w:rPr>
          <w:sz w:val="22"/>
          <w:szCs w:val="22"/>
          <w:lang w:eastAsia="en-US"/>
        </w:rPr>
      </w:pPr>
      <w:r w:rsidRPr="00724342">
        <w:rPr>
          <w:rFonts w:eastAsiaTheme="minorHAnsi"/>
          <w:sz w:val="22"/>
          <w:szCs w:val="22"/>
          <w:lang w:eastAsia="en-US"/>
        </w:rPr>
        <w:t>КЛЮЧЕВЫЕ СЛОВА</w:t>
      </w:r>
      <w:r w:rsidRPr="00724342">
        <w:rPr>
          <w:sz w:val="22"/>
          <w:szCs w:val="22"/>
          <w:lang w:eastAsia="en-US"/>
        </w:rPr>
        <w:t>: управление персоналом, система «Кайдзен», улучшение, мотивация, персонал, уникальность, ус</w:t>
      </w:r>
      <w:r w:rsidRPr="00724342">
        <w:rPr>
          <w:sz w:val="22"/>
          <w:szCs w:val="22"/>
          <w:lang w:eastAsia="en-US"/>
        </w:rPr>
        <w:t>о</w:t>
      </w:r>
      <w:r w:rsidRPr="00724342">
        <w:rPr>
          <w:sz w:val="22"/>
          <w:szCs w:val="22"/>
          <w:lang w:eastAsia="en-US"/>
        </w:rPr>
        <w:t>вершенствование.</w:t>
      </w:r>
    </w:p>
    <w:p w:rsidR="00724342" w:rsidRPr="00724342" w:rsidRDefault="00724342" w:rsidP="0010381E">
      <w:pPr>
        <w:ind w:firstLine="426"/>
        <w:jc w:val="both"/>
        <w:rPr>
          <w:sz w:val="22"/>
          <w:szCs w:val="22"/>
          <w:lang w:val="en-US" w:eastAsia="en-US"/>
        </w:rPr>
      </w:pPr>
      <w:r w:rsidRPr="00724342">
        <w:rPr>
          <w:sz w:val="22"/>
          <w:szCs w:val="22"/>
          <w:lang w:val="en" w:eastAsia="en-US"/>
        </w:rPr>
        <w:t>KEYWORDS: personnel management, Kaizen system, improv</w:t>
      </w:r>
      <w:r w:rsidRPr="00724342">
        <w:rPr>
          <w:sz w:val="22"/>
          <w:szCs w:val="22"/>
          <w:lang w:val="en" w:eastAsia="en-US"/>
        </w:rPr>
        <w:t>e</w:t>
      </w:r>
      <w:r w:rsidRPr="00724342">
        <w:rPr>
          <w:sz w:val="22"/>
          <w:szCs w:val="22"/>
          <w:lang w:val="en" w:eastAsia="en-US"/>
        </w:rPr>
        <w:t>ment, motivation, staff, uniqueness, improvement</w:t>
      </w:r>
      <w:r w:rsidRPr="00724342">
        <w:rPr>
          <w:sz w:val="22"/>
          <w:szCs w:val="22"/>
          <w:lang w:val="en-US" w:eastAsia="en-US"/>
        </w:rPr>
        <w:t>.</w:t>
      </w:r>
    </w:p>
    <w:p w:rsidR="00724342" w:rsidRPr="00724342" w:rsidRDefault="00724342" w:rsidP="0010381E">
      <w:pPr>
        <w:ind w:firstLine="426"/>
        <w:jc w:val="both"/>
        <w:rPr>
          <w:sz w:val="22"/>
          <w:szCs w:val="22"/>
          <w:lang w:val="en-US" w:eastAsia="en-US"/>
        </w:rPr>
      </w:pPr>
    </w:p>
    <w:p w:rsidR="00724342" w:rsidRPr="00724342" w:rsidRDefault="00724342" w:rsidP="0010381E">
      <w:pPr>
        <w:ind w:firstLine="426"/>
        <w:jc w:val="both"/>
        <w:rPr>
          <w:rFonts w:asciiTheme="minorHAnsi" w:eastAsiaTheme="minorHAnsi" w:hAnsiTheme="minorHAnsi" w:cstheme="minorBidi"/>
          <w:sz w:val="22"/>
          <w:szCs w:val="22"/>
          <w:lang w:eastAsia="en-US"/>
        </w:rPr>
      </w:pPr>
      <w:r w:rsidRPr="00724342">
        <w:rPr>
          <w:sz w:val="22"/>
          <w:szCs w:val="22"/>
          <w:lang w:eastAsia="en-US"/>
        </w:rPr>
        <w:t xml:space="preserve">Сегодня как никогда ранее необходимо обратить внимание на проблему качества управления хозяйствующими субъектами и в экономике в целом в тесной взаимосвязи с новыми экономическими реалиями. </w:t>
      </w:r>
    </w:p>
    <w:p w:rsidR="00724342" w:rsidRPr="00724342" w:rsidRDefault="00724342" w:rsidP="0010381E">
      <w:pPr>
        <w:ind w:firstLine="426"/>
        <w:jc w:val="both"/>
        <w:rPr>
          <w:rFonts w:asciiTheme="minorHAnsi" w:eastAsiaTheme="minorHAnsi" w:hAnsiTheme="minorHAnsi" w:cstheme="minorBidi"/>
          <w:sz w:val="22"/>
          <w:szCs w:val="22"/>
          <w:lang w:eastAsia="en-US"/>
        </w:rPr>
      </w:pPr>
      <w:r w:rsidRPr="00724342">
        <w:rPr>
          <w:sz w:val="22"/>
          <w:szCs w:val="22"/>
          <w:lang w:eastAsia="en-US"/>
        </w:rPr>
        <w:t>В условиях жесткой рыночной конкуренции, производители продукции должны понять, что путь к выживанию и благополучию в условиях жесткого глобального рынка обеспечивается через с</w:t>
      </w:r>
      <w:r w:rsidRPr="00724342">
        <w:rPr>
          <w:sz w:val="22"/>
          <w:szCs w:val="22"/>
          <w:lang w:eastAsia="en-US"/>
        </w:rPr>
        <w:t>о</w:t>
      </w:r>
      <w:r w:rsidRPr="00724342">
        <w:rPr>
          <w:sz w:val="22"/>
          <w:szCs w:val="22"/>
          <w:lang w:eastAsia="en-US"/>
        </w:rPr>
        <w:t xml:space="preserve">здание продукции высокого качества, конкурентоспособной как на внутреннем, так и на внешнем рынке. Именно поэтому назрела необходимость применения стратегии «Кайдзен» в управлении [1]. </w:t>
      </w:r>
    </w:p>
    <w:p w:rsidR="00724342" w:rsidRPr="00724342" w:rsidRDefault="00724342" w:rsidP="0010381E">
      <w:pPr>
        <w:ind w:firstLine="426"/>
        <w:jc w:val="both"/>
        <w:rPr>
          <w:sz w:val="22"/>
          <w:szCs w:val="22"/>
          <w:lang w:eastAsia="en-US"/>
        </w:rPr>
      </w:pPr>
      <w:r w:rsidRPr="00724342">
        <w:rPr>
          <w:sz w:val="22"/>
          <w:szCs w:val="22"/>
          <w:lang w:eastAsia="en-US"/>
        </w:rPr>
        <w:t>Этот термин появился в Японии для обозначения системы де</w:t>
      </w:r>
      <w:r w:rsidRPr="00724342">
        <w:rPr>
          <w:sz w:val="22"/>
          <w:szCs w:val="22"/>
          <w:lang w:eastAsia="en-US"/>
        </w:rPr>
        <w:t>й</w:t>
      </w:r>
      <w:r w:rsidRPr="00724342">
        <w:rPr>
          <w:sz w:val="22"/>
          <w:szCs w:val="22"/>
          <w:lang w:eastAsia="en-US"/>
        </w:rPr>
        <w:t xml:space="preserve">ствий с целью повышения качества системы управления процессов и продукта и стал известен миру благодаря японцу Масааки Имаи, </w:t>
      </w:r>
      <w:r w:rsidRPr="00724342">
        <w:rPr>
          <w:sz w:val="22"/>
          <w:szCs w:val="22"/>
          <w:lang w:eastAsia="en-US"/>
        </w:rPr>
        <w:lastRenderedPageBreak/>
        <w:t>написавшему и издавшему в Англии в 1986 году книгу «Кайдзэн: ключ к успеху японских компаний». В современном понимании «Кайдзен» – это непрерывная система улучшения качества, а так же всех остальных элементов организации в виде технологий, культ</w:t>
      </w:r>
      <w:r w:rsidRPr="00724342">
        <w:rPr>
          <w:sz w:val="22"/>
          <w:szCs w:val="22"/>
          <w:lang w:eastAsia="en-US"/>
        </w:rPr>
        <w:t>у</w:t>
      </w:r>
      <w:r w:rsidRPr="00724342">
        <w:rPr>
          <w:sz w:val="22"/>
          <w:szCs w:val="22"/>
          <w:lang w:eastAsia="en-US"/>
        </w:rPr>
        <w:t>ры, надежности, менеджмента, лидерства и т.д. Принцип системы «Кайдзен» нацелен на управление персоналом, и эта система пр</w:t>
      </w:r>
      <w:r w:rsidRPr="00724342">
        <w:rPr>
          <w:sz w:val="22"/>
          <w:szCs w:val="22"/>
          <w:lang w:eastAsia="en-US"/>
        </w:rPr>
        <w:t>и</w:t>
      </w:r>
      <w:r w:rsidRPr="00724342">
        <w:rPr>
          <w:sz w:val="22"/>
          <w:szCs w:val="22"/>
          <w:lang w:eastAsia="en-US"/>
        </w:rPr>
        <w:t>влекает в процесс улучшения работы каждого сотрудника орган</w:t>
      </w:r>
      <w:r w:rsidRPr="00724342">
        <w:rPr>
          <w:sz w:val="22"/>
          <w:szCs w:val="22"/>
          <w:lang w:eastAsia="en-US"/>
        </w:rPr>
        <w:t>и</w:t>
      </w:r>
      <w:r w:rsidRPr="00724342">
        <w:rPr>
          <w:sz w:val="22"/>
          <w:szCs w:val="22"/>
          <w:lang w:eastAsia="en-US"/>
        </w:rPr>
        <w:t>зации. При этом каждый работник организации предлагает, хоть и не большие, но значимые изменения на регулярной основе. В итоге большое количество этих маленьких изменений приводят к сущ</w:t>
      </w:r>
      <w:r w:rsidRPr="00724342">
        <w:rPr>
          <w:sz w:val="22"/>
          <w:szCs w:val="22"/>
          <w:lang w:eastAsia="en-US"/>
        </w:rPr>
        <w:t>е</w:t>
      </w:r>
      <w:r w:rsidRPr="00724342">
        <w:rPr>
          <w:sz w:val="22"/>
          <w:szCs w:val="22"/>
          <w:lang w:eastAsia="en-US"/>
        </w:rPr>
        <w:t>ственному изменению качества [2].</w:t>
      </w:r>
    </w:p>
    <w:p w:rsidR="00724342" w:rsidRPr="00724342" w:rsidRDefault="00724342" w:rsidP="0010381E">
      <w:pPr>
        <w:ind w:firstLine="426"/>
        <w:jc w:val="both"/>
        <w:rPr>
          <w:sz w:val="22"/>
          <w:szCs w:val="22"/>
          <w:lang w:eastAsia="en-US"/>
        </w:rPr>
      </w:pPr>
      <w:r w:rsidRPr="00724342">
        <w:rPr>
          <w:sz w:val="22"/>
          <w:szCs w:val="22"/>
          <w:lang w:eastAsia="en-US"/>
        </w:rPr>
        <w:t>В основе системы «Кайдзен» лежат пять ключевых элементов. Первое – это «командная работа»,  которая гласит, что все сотру</w:t>
      </w:r>
      <w:r w:rsidRPr="00724342">
        <w:rPr>
          <w:sz w:val="22"/>
          <w:szCs w:val="22"/>
          <w:lang w:eastAsia="en-US"/>
        </w:rPr>
        <w:t>д</w:t>
      </w:r>
      <w:r w:rsidRPr="00724342">
        <w:rPr>
          <w:sz w:val="22"/>
          <w:szCs w:val="22"/>
          <w:lang w:eastAsia="en-US"/>
        </w:rPr>
        <w:t>ники  должны работать на достижение общей цели, как одна кома</w:t>
      </w:r>
      <w:r w:rsidRPr="00724342">
        <w:rPr>
          <w:sz w:val="22"/>
          <w:szCs w:val="22"/>
          <w:lang w:eastAsia="en-US"/>
        </w:rPr>
        <w:t>н</w:t>
      </w:r>
      <w:r w:rsidRPr="00724342">
        <w:rPr>
          <w:sz w:val="22"/>
          <w:szCs w:val="22"/>
          <w:lang w:eastAsia="en-US"/>
        </w:rPr>
        <w:t>да. Поэтому работа в команде требует постоянного обмена инфо</w:t>
      </w:r>
      <w:r w:rsidRPr="00724342">
        <w:rPr>
          <w:sz w:val="22"/>
          <w:szCs w:val="22"/>
          <w:lang w:eastAsia="en-US"/>
        </w:rPr>
        <w:t>р</w:t>
      </w:r>
      <w:r w:rsidRPr="00724342">
        <w:rPr>
          <w:sz w:val="22"/>
          <w:szCs w:val="22"/>
          <w:lang w:eastAsia="en-US"/>
        </w:rPr>
        <w:t>мацией, взаимного обучения и своевременного исполнения своих обязанностей. Второй элемент – это «персональная дисциплина». «Кайдзен» требует, чтобы человек повышал свою самодисциплину во всех трудовых аспектах, а именно: в управлении своего времени, в качестве исполнения работы, в соблюдении требований и регл</w:t>
      </w:r>
      <w:r w:rsidRPr="00724342">
        <w:rPr>
          <w:sz w:val="22"/>
          <w:szCs w:val="22"/>
          <w:lang w:eastAsia="en-US"/>
        </w:rPr>
        <w:t>а</w:t>
      </w:r>
      <w:r w:rsidRPr="00724342">
        <w:rPr>
          <w:sz w:val="22"/>
          <w:szCs w:val="22"/>
          <w:lang w:eastAsia="en-US"/>
        </w:rPr>
        <w:t>ментов. Еще одним элементом является «моральное состояние», который утверждает, что персонал должен поддерживать свой м</w:t>
      </w:r>
      <w:r w:rsidRPr="00724342">
        <w:rPr>
          <w:sz w:val="22"/>
          <w:szCs w:val="22"/>
          <w:lang w:eastAsia="en-US"/>
        </w:rPr>
        <w:t>о</w:t>
      </w:r>
      <w:r w:rsidRPr="00724342">
        <w:rPr>
          <w:sz w:val="22"/>
          <w:szCs w:val="22"/>
          <w:lang w:eastAsia="en-US"/>
        </w:rPr>
        <w:t>ральный дух, вне зависимости от успеха компании [4].</w:t>
      </w:r>
    </w:p>
    <w:p w:rsidR="00724342" w:rsidRPr="00724342" w:rsidRDefault="00724342" w:rsidP="0010381E">
      <w:pPr>
        <w:widowControl w:val="0"/>
        <w:ind w:firstLine="426"/>
        <w:jc w:val="both"/>
        <w:rPr>
          <w:rFonts w:asciiTheme="minorHAnsi" w:eastAsiaTheme="minorHAnsi" w:hAnsiTheme="minorHAnsi" w:cstheme="minorBidi"/>
          <w:sz w:val="22"/>
          <w:szCs w:val="22"/>
          <w:lang w:eastAsia="en-US"/>
        </w:rPr>
      </w:pPr>
      <w:r w:rsidRPr="00724342">
        <w:rPr>
          <w:sz w:val="22"/>
          <w:szCs w:val="22"/>
          <w:lang w:eastAsia="en-US"/>
        </w:rPr>
        <w:t>Последним элементом является «предложения по улучшению». Данный элемент основан на том, что, необходимо предоставить  сотруднику условия для  улучшения деятельности компании, вне зависимости от их ранга и положения в организации. В этом и з</w:t>
      </w:r>
      <w:r w:rsidRPr="00724342">
        <w:rPr>
          <w:sz w:val="22"/>
          <w:szCs w:val="22"/>
          <w:lang w:eastAsia="en-US"/>
        </w:rPr>
        <w:t>а</w:t>
      </w:r>
      <w:r w:rsidRPr="00724342">
        <w:rPr>
          <w:sz w:val="22"/>
          <w:szCs w:val="22"/>
          <w:lang w:eastAsia="en-US"/>
        </w:rPr>
        <w:t>ключается суть системы «Кайдзен» – большое количество малых, незначительных улучшений приводит к существенному улучшению качества [3].</w:t>
      </w:r>
    </w:p>
    <w:p w:rsidR="00724342" w:rsidRPr="00724342" w:rsidRDefault="00724342" w:rsidP="0010381E">
      <w:pPr>
        <w:widowControl w:val="0"/>
        <w:ind w:firstLine="426"/>
        <w:jc w:val="both"/>
        <w:rPr>
          <w:sz w:val="22"/>
          <w:szCs w:val="22"/>
          <w:lang w:eastAsia="en-US"/>
        </w:rPr>
      </w:pPr>
      <w:r w:rsidRPr="00724342">
        <w:rPr>
          <w:sz w:val="22"/>
          <w:szCs w:val="22"/>
          <w:lang w:eastAsia="en-US"/>
        </w:rPr>
        <w:t xml:space="preserve">Все вышеперечисленные элементы «Кайдзен» помогут достичь больших результатов в области производства и качества продукции. Отсюда, выявляются следующие преимущества «Кайдзен»: </w:t>
      </w:r>
    </w:p>
    <w:p w:rsidR="00724342" w:rsidRPr="00724342" w:rsidRDefault="00724342" w:rsidP="0010381E">
      <w:pPr>
        <w:widowControl w:val="0"/>
        <w:ind w:firstLine="426"/>
        <w:jc w:val="both"/>
        <w:rPr>
          <w:sz w:val="22"/>
          <w:szCs w:val="22"/>
          <w:lang w:eastAsia="en-US"/>
        </w:rPr>
      </w:pPr>
      <w:r w:rsidRPr="00724342">
        <w:rPr>
          <w:sz w:val="22"/>
          <w:szCs w:val="22"/>
          <w:lang w:eastAsia="en-US"/>
        </w:rPr>
        <w:t>- не способность конкурентов заметить развитие бизнеса, так-как шаг изменения происходит изнутри;</w:t>
      </w:r>
    </w:p>
    <w:p w:rsidR="00724342" w:rsidRPr="00724342" w:rsidRDefault="00724342" w:rsidP="0010381E">
      <w:pPr>
        <w:widowControl w:val="0"/>
        <w:ind w:firstLine="426"/>
        <w:jc w:val="both"/>
        <w:rPr>
          <w:sz w:val="22"/>
          <w:szCs w:val="22"/>
          <w:lang w:eastAsia="en-US"/>
        </w:rPr>
      </w:pPr>
      <w:r w:rsidRPr="00724342">
        <w:rPr>
          <w:sz w:val="22"/>
          <w:szCs w:val="22"/>
          <w:lang w:eastAsia="en-US"/>
        </w:rPr>
        <w:t xml:space="preserve">- внедрение интереса персонала в процесс улучшений; </w:t>
      </w:r>
    </w:p>
    <w:p w:rsidR="00724342" w:rsidRPr="00724342" w:rsidRDefault="00724342" w:rsidP="0010381E">
      <w:pPr>
        <w:widowControl w:val="0"/>
        <w:ind w:firstLine="426"/>
        <w:jc w:val="both"/>
        <w:rPr>
          <w:sz w:val="22"/>
          <w:szCs w:val="22"/>
          <w:lang w:eastAsia="en-US"/>
        </w:rPr>
      </w:pPr>
      <w:r w:rsidRPr="00724342">
        <w:rPr>
          <w:sz w:val="22"/>
          <w:szCs w:val="22"/>
          <w:lang w:eastAsia="en-US"/>
        </w:rPr>
        <w:t xml:space="preserve">- улучшение качества услуг и продукции; </w:t>
      </w:r>
    </w:p>
    <w:p w:rsidR="00724342" w:rsidRPr="00724342" w:rsidRDefault="00724342" w:rsidP="0010381E">
      <w:pPr>
        <w:widowControl w:val="0"/>
        <w:ind w:firstLine="426"/>
        <w:jc w:val="both"/>
        <w:rPr>
          <w:sz w:val="22"/>
          <w:szCs w:val="22"/>
          <w:lang w:eastAsia="en-US"/>
        </w:rPr>
      </w:pPr>
      <w:r w:rsidRPr="00724342">
        <w:rPr>
          <w:sz w:val="22"/>
          <w:szCs w:val="22"/>
          <w:lang w:eastAsia="en-US"/>
        </w:rPr>
        <w:t xml:space="preserve">- сокращение издержек на внедрение; </w:t>
      </w:r>
    </w:p>
    <w:p w:rsidR="00724342" w:rsidRPr="00724342" w:rsidRDefault="00724342" w:rsidP="0010381E">
      <w:pPr>
        <w:widowControl w:val="0"/>
        <w:ind w:firstLine="426"/>
        <w:jc w:val="both"/>
        <w:rPr>
          <w:rFonts w:asciiTheme="minorHAnsi" w:eastAsiaTheme="minorHAnsi" w:hAnsiTheme="minorHAnsi" w:cstheme="minorBidi"/>
          <w:sz w:val="22"/>
          <w:szCs w:val="22"/>
          <w:lang w:eastAsia="en-US"/>
        </w:rPr>
      </w:pPr>
      <w:r w:rsidRPr="00724342">
        <w:rPr>
          <w:sz w:val="22"/>
          <w:szCs w:val="22"/>
          <w:lang w:eastAsia="en-US"/>
        </w:rPr>
        <w:lastRenderedPageBreak/>
        <w:t xml:space="preserve">- применения технологий на предприятиях любого размера. </w:t>
      </w:r>
    </w:p>
    <w:p w:rsidR="00724342" w:rsidRPr="00724342" w:rsidRDefault="00724342" w:rsidP="0010381E">
      <w:pPr>
        <w:ind w:firstLine="426"/>
        <w:jc w:val="both"/>
        <w:rPr>
          <w:rFonts w:asciiTheme="minorHAnsi" w:eastAsiaTheme="minorHAnsi" w:hAnsiTheme="minorHAnsi" w:cstheme="minorBidi"/>
          <w:sz w:val="22"/>
          <w:szCs w:val="22"/>
          <w:lang w:eastAsia="en-US"/>
        </w:rPr>
      </w:pPr>
      <w:r w:rsidRPr="00724342">
        <w:rPr>
          <w:sz w:val="22"/>
          <w:szCs w:val="22"/>
          <w:lang w:eastAsia="en-US"/>
        </w:rPr>
        <w:t>Непрерывная система улучшения «Кайдзен» требует от перс</w:t>
      </w:r>
      <w:r w:rsidRPr="00724342">
        <w:rPr>
          <w:sz w:val="22"/>
          <w:szCs w:val="22"/>
          <w:lang w:eastAsia="en-US"/>
        </w:rPr>
        <w:t>о</w:t>
      </w:r>
      <w:r w:rsidRPr="00724342">
        <w:rPr>
          <w:sz w:val="22"/>
          <w:szCs w:val="22"/>
          <w:lang w:eastAsia="en-US"/>
        </w:rPr>
        <w:t>нала быть максимально проинформированным о своей компании, ведь желаемое отношение и дисциплина работников, напрямую з</w:t>
      </w:r>
      <w:r w:rsidRPr="00724342">
        <w:rPr>
          <w:sz w:val="22"/>
          <w:szCs w:val="22"/>
          <w:lang w:eastAsia="en-US"/>
        </w:rPr>
        <w:t>а</w:t>
      </w:r>
      <w:r w:rsidRPr="00724342">
        <w:rPr>
          <w:sz w:val="22"/>
          <w:szCs w:val="22"/>
          <w:lang w:eastAsia="en-US"/>
        </w:rPr>
        <w:t>висит от понимая и принятия миссии компании, ее ценностей, кул</w:t>
      </w:r>
      <w:r w:rsidRPr="00724342">
        <w:rPr>
          <w:sz w:val="22"/>
          <w:szCs w:val="22"/>
          <w:lang w:eastAsia="en-US"/>
        </w:rPr>
        <w:t>ь</w:t>
      </w:r>
      <w:r w:rsidRPr="00724342">
        <w:rPr>
          <w:sz w:val="22"/>
          <w:szCs w:val="22"/>
          <w:lang w:eastAsia="en-US"/>
        </w:rPr>
        <w:t>туры, опыта работы и планов. Каждый сотрудник, после проведе</w:t>
      </w:r>
      <w:r w:rsidRPr="00724342">
        <w:rPr>
          <w:sz w:val="22"/>
          <w:szCs w:val="22"/>
          <w:lang w:eastAsia="en-US"/>
        </w:rPr>
        <w:t>н</w:t>
      </w:r>
      <w:r w:rsidRPr="00724342">
        <w:rPr>
          <w:sz w:val="22"/>
          <w:szCs w:val="22"/>
          <w:lang w:eastAsia="en-US"/>
        </w:rPr>
        <w:t>ных операций по усовершенствованию компании, в которой он р</w:t>
      </w:r>
      <w:r w:rsidRPr="00724342">
        <w:rPr>
          <w:sz w:val="22"/>
          <w:szCs w:val="22"/>
          <w:lang w:eastAsia="en-US"/>
        </w:rPr>
        <w:t>а</w:t>
      </w:r>
      <w:r w:rsidRPr="00724342">
        <w:rPr>
          <w:sz w:val="22"/>
          <w:szCs w:val="22"/>
          <w:lang w:eastAsia="en-US"/>
        </w:rPr>
        <w:t>ботает, заметит повышение комфортности, то он не остановит п</w:t>
      </w:r>
      <w:r w:rsidRPr="00724342">
        <w:rPr>
          <w:sz w:val="22"/>
          <w:szCs w:val="22"/>
          <w:lang w:eastAsia="en-US"/>
        </w:rPr>
        <w:t>о</w:t>
      </w:r>
      <w:r w:rsidRPr="00724342">
        <w:rPr>
          <w:sz w:val="22"/>
          <w:szCs w:val="22"/>
          <w:lang w:eastAsia="en-US"/>
        </w:rPr>
        <w:t>пытки улучшения организации. Стоит подметить, что эта униве</w:t>
      </w:r>
      <w:r w:rsidRPr="00724342">
        <w:rPr>
          <w:sz w:val="22"/>
          <w:szCs w:val="22"/>
          <w:lang w:eastAsia="en-US"/>
        </w:rPr>
        <w:t>р</w:t>
      </w:r>
      <w:r w:rsidRPr="00724342">
        <w:rPr>
          <w:sz w:val="22"/>
          <w:szCs w:val="22"/>
          <w:lang w:eastAsia="en-US"/>
        </w:rPr>
        <w:t xml:space="preserve">сальная программа должна работать н так как остановка работы данной системы может вернуть ее в начальное состояние. </w:t>
      </w:r>
    </w:p>
    <w:p w:rsidR="00724342" w:rsidRPr="00724342" w:rsidRDefault="00724342" w:rsidP="0010381E">
      <w:pPr>
        <w:widowControl w:val="0"/>
        <w:autoSpaceDE w:val="0"/>
        <w:autoSpaceDN w:val="0"/>
        <w:adjustRightInd w:val="0"/>
        <w:ind w:firstLine="426"/>
        <w:jc w:val="center"/>
        <w:rPr>
          <w:rFonts w:eastAsiaTheme="minorHAnsi" w:cs="Arial"/>
          <w:sz w:val="22"/>
          <w:szCs w:val="22"/>
          <w:lang w:eastAsia="en-US"/>
        </w:rPr>
      </w:pPr>
    </w:p>
    <w:p w:rsidR="00724342" w:rsidRPr="00724342" w:rsidRDefault="00724342" w:rsidP="0010381E">
      <w:pPr>
        <w:widowControl w:val="0"/>
        <w:autoSpaceDE w:val="0"/>
        <w:autoSpaceDN w:val="0"/>
        <w:adjustRightInd w:val="0"/>
        <w:ind w:firstLine="426"/>
        <w:jc w:val="center"/>
        <w:rPr>
          <w:rFonts w:eastAsiaTheme="minorHAnsi" w:cs="Arial"/>
          <w:sz w:val="22"/>
          <w:szCs w:val="22"/>
          <w:lang w:eastAsia="en-US"/>
        </w:rPr>
      </w:pPr>
      <w:r w:rsidRPr="00724342">
        <w:rPr>
          <w:rFonts w:eastAsiaTheme="minorHAnsi" w:cs="Arial"/>
          <w:sz w:val="22"/>
          <w:szCs w:val="22"/>
          <w:lang w:eastAsia="en-US"/>
        </w:rPr>
        <w:t>Список литературы</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1. Пелихов Я. В. Инвестиционная деятельность в аграрном се</w:t>
      </w:r>
      <w:r w:rsidRPr="00724342">
        <w:rPr>
          <w:rFonts w:eastAsiaTheme="minorHAnsi"/>
          <w:sz w:val="22"/>
          <w:szCs w:val="22"/>
          <w:lang w:eastAsia="en-US"/>
        </w:rPr>
        <w:t>к</w:t>
      </w:r>
      <w:r w:rsidRPr="00724342">
        <w:rPr>
          <w:rFonts w:eastAsiaTheme="minorHAnsi"/>
          <w:sz w:val="22"/>
          <w:szCs w:val="22"/>
          <w:lang w:eastAsia="en-US"/>
        </w:rPr>
        <w:t>торе экономики / Я. В. Пелихов, Г. Н. Литвиненко // Сб. ст. Межд</w:t>
      </w:r>
      <w:r w:rsidRPr="00724342">
        <w:rPr>
          <w:rFonts w:eastAsiaTheme="minorHAnsi"/>
          <w:sz w:val="22"/>
          <w:szCs w:val="22"/>
          <w:lang w:eastAsia="en-US"/>
        </w:rPr>
        <w:t>у</w:t>
      </w:r>
      <w:r w:rsidRPr="00724342">
        <w:rPr>
          <w:rFonts w:eastAsiaTheme="minorHAnsi"/>
          <w:sz w:val="22"/>
          <w:szCs w:val="22"/>
          <w:lang w:eastAsia="en-US"/>
        </w:rPr>
        <w:t>нар. науч.-практ. конф. Роль банковского и реального сектора в р</w:t>
      </w:r>
      <w:r w:rsidRPr="00724342">
        <w:rPr>
          <w:rFonts w:eastAsiaTheme="minorHAnsi"/>
          <w:sz w:val="22"/>
          <w:szCs w:val="22"/>
          <w:lang w:eastAsia="en-US"/>
        </w:rPr>
        <w:t>е</w:t>
      </w:r>
      <w:r w:rsidRPr="00724342">
        <w:rPr>
          <w:rFonts w:eastAsiaTheme="minorHAnsi"/>
          <w:sz w:val="22"/>
          <w:szCs w:val="22"/>
          <w:lang w:eastAsia="en-US"/>
        </w:rPr>
        <w:t>шении проблем социально-экономического развития. – Уфа: Аэте</w:t>
      </w:r>
      <w:r w:rsidRPr="00724342">
        <w:rPr>
          <w:rFonts w:eastAsiaTheme="minorHAnsi"/>
          <w:sz w:val="22"/>
          <w:szCs w:val="22"/>
          <w:lang w:eastAsia="en-US"/>
        </w:rPr>
        <w:t>р</w:t>
      </w:r>
      <w:r w:rsidRPr="00724342">
        <w:rPr>
          <w:rFonts w:eastAsiaTheme="minorHAnsi"/>
          <w:sz w:val="22"/>
          <w:szCs w:val="22"/>
          <w:lang w:eastAsia="en-US"/>
        </w:rPr>
        <w:t>на, 2017. – С. 40-43.</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2. Сухарева О. А. Подходы к управлению реализацией инв</w:t>
      </w:r>
      <w:r w:rsidRPr="00724342">
        <w:rPr>
          <w:rFonts w:eastAsiaTheme="minorHAnsi"/>
          <w:sz w:val="22"/>
          <w:szCs w:val="22"/>
          <w:lang w:eastAsia="en-US"/>
        </w:rPr>
        <w:t>е</w:t>
      </w:r>
      <w:r w:rsidRPr="00724342">
        <w:rPr>
          <w:rFonts w:eastAsiaTheme="minorHAnsi"/>
          <w:sz w:val="22"/>
          <w:szCs w:val="22"/>
          <w:lang w:eastAsia="en-US"/>
        </w:rPr>
        <w:t>стиционного проекта в условиях неопределенности внешней среды / О. А. Сухарева, К. М. Малинник // Проблемы и перспективы экон</w:t>
      </w:r>
      <w:r w:rsidRPr="00724342">
        <w:rPr>
          <w:rFonts w:eastAsiaTheme="minorHAnsi"/>
          <w:sz w:val="22"/>
          <w:szCs w:val="22"/>
          <w:lang w:eastAsia="en-US"/>
        </w:rPr>
        <w:t>о</w:t>
      </w:r>
      <w:r w:rsidRPr="00724342">
        <w:rPr>
          <w:rFonts w:eastAsiaTheme="minorHAnsi"/>
          <w:sz w:val="22"/>
          <w:szCs w:val="22"/>
          <w:lang w:eastAsia="en-US"/>
        </w:rPr>
        <w:t>мических отношений на пространстве ЕАЭС: сб. ст. Междунар. науч.-практ. конф.. – Уфа, 2017. – С. 136-141.</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3.</w:t>
      </w:r>
      <w:r w:rsidRPr="00724342">
        <w:rPr>
          <w:rFonts w:asciiTheme="minorHAnsi" w:eastAsiaTheme="minorHAnsi" w:hAnsiTheme="minorHAnsi" w:cstheme="minorBidi"/>
          <w:sz w:val="22"/>
          <w:szCs w:val="22"/>
          <w:lang w:eastAsia="en-US"/>
        </w:rPr>
        <w:t xml:space="preserve"> </w:t>
      </w:r>
      <w:r w:rsidRPr="00724342">
        <w:rPr>
          <w:rFonts w:eastAsiaTheme="minorHAnsi"/>
          <w:sz w:val="22"/>
          <w:szCs w:val="22"/>
          <w:lang w:eastAsia="en-US"/>
        </w:rPr>
        <w:t>«Четыре свободы» [Электронный ресурс] / История США в документах. Режим доступа URL: http://www.grinchevskiy.ru/1900-1945/chetire-svobody.php (дата обращения: 11.05.2016).</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4.  Алексей Плугов «Кайдзен – способ повышения эффективн</w:t>
      </w:r>
      <w:r w:rsidRPr="00724342">
        <w:rPr>
          <w:rFonts w:eastAsiaTheme="minorHAnsi"/>
          <w:sz w:val="22"/>
          <w:szCs w:val="22"/>
          <w:lang w:eastAsia="en-US"/>
        </w:rPr>
        <w:t>о</w:t>
      </w:r>
      <w:r w:rsidRPr="00724342">
        <w:rPr>
          <w:rFonts w:eastAsiaTheme="minorHAnsi"/>
          <w:sz w:val="22"/>
          <w:szCs w:val="22"/>
          <w:lang w:eastAsia="en-US"/>
        </w:rPr>
        <w:t>сти производства» [Электронный ресурс] // Режим доступа: URL: http://ab-centre.ru/news/prodovolstvennaya-bezopasnost---samoobespechennost-rossii-myasom-vpervye-prevysila-zayavlennyy-v-doktrine-prodovolstvennoy-bezopasnosti-porog-v-85 (дата обращения: 11.05.2015).</w:t>
      </w:r>
    </w:p>
    <w:p w:rsidR="00724342" w:rsidRPr="00724342" w:rsidRDefault="00724342" w:rsidP="00724342">
      <w:pPr>
        <w:jc w:val="both"/>
        <w:rPr>
          <w:color w:val="000000"/>
          <w:sz w:val="22"/>
          <w:szCs w:val="22"/>
        </w:rPr>
      </w:pPr>
    </w:p>
    <w:p w:rsidR="00724342" w:rsidRDefault="00724342" w:rsidP="00724342">
      <w:pPr>
        <w:jc w:val="both"/>
        <w:rPr>
          <w:color w:val="000000"/>
          <w:sz w:val="22"/>
          <w:szCs w:val="22"/>
        </w:rPr>
      </w:pPr>
    </w:p>
    <w:p w:rsidR="0010381E" w:rsidRDefault="0010381E" w:rsidP="00724342">
      <w:pPr>
        <w:jc w:val="both"/>
        <w:rPr>
          <w:color w:val="000000"/>
          <w:sz w:val="22"/>
          <w:szCs w:val="22"/>
        </w:rPr>
      </w:pPr>
    </w:p>
    <w:p w:rsidR="00CB06AE" w:rsidRDefault="00CB06AE" w:rsidP="00724342">
      <w:pPr>
        <w:jc w:val="both"/>
        <w:rPr>
          <w:color w:val="000000"/>
          <w:sz w:val="22"/>
          <w:szCs w:val="22"/>
        </w:rPr>
      </w:pPr>
    </w:p>
    <w:p w:rsidR="00CB06AE" w:rsidRDefault="00CB06AE" w:rsidP="00724342">
      <w:pPr>
        <w:jc w:val="both"/>
        <w:rPr>
          <w:color w:val="000000"/>
          <w:sz w:val="22"/>
          <w:szCs w:val="22"/>
        </w:rPr>
      </w:pPr>
    </w:p>
    <w:p w:rsidR="00CB06AE" w:rsidRPr="00724342" w:rsidRDefault="00CB06AE" w:rsidP="00724342">
      <w:pPr>
        <w:jc w:val="both"/>
        <w:rPr>
          <w:color w:val="000000"/>
          <w:sz w:val="22"/>
          <w:szCs w:val="22"/>
        </w:rPr>
      </w:pPr>
    </w:p>
    <w:p w:rsidR="00724342" w:rsidRPr="00724342" w:rsidRDefault="00724342" w:rsidP="00724342">
      <w:pPr>
        <w:rPr>
          <w:rFonts w:eastAsia="Calibri"/>
          <w:sz w:val="22"/>
          <w:szCs w:val="22"/>
          <w:lang w:eastAsia="en-US"/>
        </w:rPr>
      </w:pPr>
      <w:r w:rsidRPr="00724342">
        <w:rPr>
          <w:rFonts w:eastAsia="Calibri"/>
          <w:sz w:val="22"/>
          <w:szCs w:val="22"/>
          <w:lang w:eastAsia="en-US"/>
        </w:rPr>
        <w:lastRenderedPageBreak/>
        <w:t>УДК 331.556.4</w:t>
      </w:r>
    </w:p>
    <w:p w:rsidR="00724342" w:rsidRPr="00724342" w:rsidRDefault="00724342" w:rsidP="00724342">
      <w:pPr>
        <w:rPr>
          <w:rFonts w:eastAsia="Calibri"/>
          <w:sz w:val="22"/>
          <w:szCs w:val="22"/>
          <w:lang w:eastAsia="en-US"/>
        </w:rPr>
      </w:pP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Участие России в международном рынке труда</w:t>
      </w:r>
    </w:p>
    <w:p w:rsidR="00724342" w:rsidRPr="00724342" w:rsidRDefault="00724342" w:rsidP="00724342">
      <w:pPr>
        <w:jc w:val="center"/>
        <w:rPr>
          <w:rFonts w:eastAsia="Calibri"/>
          <w:b/>
          <w:sz w:val="24"/>
          <w:szCs w:val="24"/>
          <w:lang w:val="en-US" w:eastAsia="en-US"/>
        </w:rPr>
      </w:pPr>
      <w:r w:rsidRPr="00724342">
        <w:rPr>
          <w:rFonts w:eastAsia="Calibri"/>
          <w:b/>
          <w:sz w:val="24"/>
          <w:szCs w:val="24"/>
          <w:lang w:val="en-US" w:eastAsia="en-US"/>
        </w:rPr>
        <w:t>Russia's participation in the international labor market</w:t>
      </w:r>
    </w:p>
    <w:p w:rsidR="00724342" w:rsidRPr="00724342" w:rsidRDefault="00724342" w:rsidP="00724342">
      <w:pPr>
        <w:jc w:val="center"/>
        <w:rPr>
          <w:rFonts w:eastAsia="Calibri"/>
          <w:b/>
          <w:sz w:val="22"/>
          <w:szCs w:val="22"/>
          <w:lang w:val="en-US" w:eastAsia="en-US"/>
        </w:rPr>
      </w:pP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Новикова Н. А.,</w:t>
      </w:r>
      <w:r w:rsidR="0010381E">
        <w:rPr>
          <w:rFonts w:eastAsia="Calibri"/>
          <w:sz w:val="22"/>
          <w:szCs w:val="22"/>
          <w:lang w:eastAsia="en-US"/>
        </w:rPr>
        <w:t xml:space="preserve"> </w:t>
      </w:r>
      <w:r w:rsidRPr="00724342">
        <w:rPr>
          <w:rFonts w:eastAsia="Calibri"/>
          <w:sz w:val="22"/>
          <w:szCs w:val="22"/>
          <w:lang w:eastAsia="en-US"/>
        </w:rPr>
        <w:t xml:space="preserve">Алмазова В. В., </w:t>
      </w:r>
    </w:p>
    <w:p w:rsidR="00724342" w:rsidRPr="00724342" w:rsidRDefault="0010381E" w:rsidP="00724342">
      <w:pPr>
        <w:jc w:val="right"/>
        <w:rPr>
          <w:rFonts w:eastAsia="Calibri"/>
          <w:sz w:val="22"/>
          <w:szCs w:val="22"/>
          <w:lang w:eastAsia="en-US"/>
        </w:rPr>
      </w:pPr>
      <w:r>
        <w:rPr>
          <w:rFonts w:eastAsia="Calibri"/>
          <w:sz w:val="22"/>
          <w:szCs w:val="22"/>
          <w:lang w:eastAsia="en-US"/>
        </w:rPr>
        <w:t>студентки</w:t>
      </w:r>
      <w:r w:rsidR="00724342" w:rsidRPr="00724342">
        <w:rPr>
          <w:rFonts w:eastAsia="Calibri"/>
          <w:sz w:val="22"/>
          <w:szCs w:val="22"/>
          <w:lang w:eastAsia="en-US"/>
        </w:rPr>
        <w:t xml:space="preserve"> 2-го курса экономического факультета</w:t>
      </w:r>
    </w:p>
    <w:p w:rsidR="00724342" w:rsidRPr="00724342" w:rsidRDefault="00724342" w:rsidP="00724342">
      <w:pPr>
        <w:spacing w:after="200"/>
        <w:contextualSpacing/>
        <w:jc w:val="right"/>
        <w:rPr>
          <w:rFonts w:eastAsiaTheme="minorHAnsi"/>
          <w:color w:val="000000" w:themeColor="text1"/>
          <w:sz w:val="22"/>
          <w:szCs w:val="22"/>
          <w:lang w:eastAsia="en-US"/>
        </w:rPr>
      </w:pPr>
      <w:r w:rsidRPr="00724342">
        <w:rPr>
          <w:rFonts w:eastAsiaTheme="minorHAnsi"/>
          <w:color w:val="000000" w:themeColor="text1"/>
          <w:sz w:val="22"/>
          <w:szCs w:val="22"/>
          <w:lang w:eastAsia="en-US"/>
        </w:rPr>
        <w:t>Кубанский государственный аграрный</w:t>
      </w:r>
    </w:p>
    <w:p w:rsidR="00724342" w:rsidRPr="00724342" w:rsidRDefault="00724342" w:rsidP="00724342">
      <w:pPr>
        <w:tabs>
          <w:tab w:val="left" w:pos="0"/>
        </w:tabs>
        <w:spacing w:after="200"/>
        <w:contextualSpacing/>
        <w:jc w:val="right"/>
        <w:rPr>
          <w:rFonts w:eastAsiaTheme="minorHAnsi"/>
          <w:sz w:val="22"/>
          <w:szCs w:val="22"/>
          <w:lang w:eastAsia="en-US"/>
        </w:rPr>
      </w:pPr>
      <w:r w:rsidRPr="00724342">
        <w:rPr>
          <w:rFonts w:eastAsiaTheme="minorHAnsi"/>
          <w:color w:val="000000" w:themeColor="text1"/>
          <w:sz w:val="22"/>
          <w:szCs w:val="22"/>
          <w:lang w:eastAsia="en-US"/>
        </w:rPr>
        <w:t>университет имени И. Т. Трубилина</w:t>
      </w:r>
    </w:p>
    <w:p w:rsidR="00724342" w:rsidRPr="00724342" w:rsidRDefault="00724342" w:rsidP="00724342">
      <w:pPr>
        <w:jc w:val="both"/>
        <w:rPr>
          <w:rFonts w:eastAsia="Calibri"/>
          <w:i/>
          <w:color w:val="000000"/>
          <w:sz w:val="22"/>
          <w:szCs w:val="22"/>
          <w:shd w:val="clear" w:color="auto" w:fill="FFFFFF"/>
          <w:lang w:eastAsia="en-US"/>
        </w:rPr>
      </w:pP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АННОТАЦИЯ: В статье проанализирована проблема экспорта и импорта рабочей силы. Рассмотрена проблема миграции ин</w:t>
      </w:r>
      <w:r w:rsidRPr="00724342">
        <w:rPr>
          <w:rFonts w:eastAsia="Calibri"/>
          <w:sz w:val="22"/>
          <w:szCs w:val="22"/>
          <w:lang w:eastAsia="en-US"/>
        </w:rPr>
        <w:t>о</w:t>
      </w:r>
      <w:r w:rsidRPr="00724342">
        <w:rPr>
          <w:rFonts w:eastAsia="Calibri"/>
          <w:sz w:val="22"/>
          <w:szCs w:val="22"/>
          <w:lang w:eastAsia="en-US"/>
        </w:rPr>
        <w:t>странной рабочей силы и ее воздействие на Россию.</w:t>
      </w:r>
    </w:p>
    <w:p w:rsidR="00724342" w:rsidRPr="00724342" w:rsidRDefault="00724342" w:rsidP="0010381E">
      <w:pPr>
        <w:ind w:firstLine="426"/>
        <w:jc w:val="both"/>
        <w:rPr>
          <w:rFonts w:eastAsia="Calibri"/>
          <w:sz w:val="22"/>
          <w:szCs w:val="22"/>
          <w:lang w:val="en-US" w:eastAsia="en-US"/>
        </w:rPr>
      </w:pPr>
      <w:r w:rsidRPr="00724342">
        <w:rPr>
          <w:rFonts w:eastAsia="Calibri"/>
          <w:sz w:val="22"/>
          <w:szCs w:val="22"/>
          <w:lang w:val="en-US" w:eastAsia="en-US"/>
        </w:rPr>
        <w:t>ANNOTATION: The article analyzes the problem of export and import of labor. The problem of migration of foreign labor force and its impact on Russia is considered.</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КЛЮЧЕВЫЕ СЛОВА: миграция, иммиграция, эмиграция, тр</w:t>
      </w:r>
      <w:r w:rsidRPr="00724342">
        <w:rPr>
          <w:rFonts w:eastAsia="Calibri"/>
          <w:sz w:val="22"/>
          <w:szCs w:val="22"/>
          <w:lang w:eastAsia="en-US"/>
        </w:rPr>
        <w:t>у</w:t>
      </w:r>
      <w:r w:rsidRPr="00724342">
        <w:rPr>
          <w:rFonts w:eastAsia="Calibri"/>
          <w:sz w:val="22"/>
          <w:szCs w:val="22"/>
          <w:lang w:eastAsia="en-US"/>
        </w:rPr>
        <w:t>довые ресурсы, рабочая сила, международный рынок труда.</w:t>
      </w:r>
    </w:p>
    <w:p w:rsidR="00724342" w:rsidRPr="00724342" w:rsidRDefault="00724342" w:rsidP="0010381E">
      <w:pPr>
        <w:ind w:firstLine="426"/>
        <w:jc w:val="both"/>
        <w:rPr>
          <w:rFonts w:eastAsia="Calibri"/>
          <w:sz w:val="22"/>
          <w:szCs w:val="22"/>
          <w:lang w:val="en-US" w:eastAsia="en-US"/>
        </w:rPr>
      </w:pPr>
      <w:r w:rsidRPr="00724342">
        <w:rPr>
          <w:rFonts w:eastAsia="Calibri"/>
          <w:sz w:val="22"/>
          <w:szCs w:val="22"/>
          <w:lang w:val="en-US" w:eastAsia="en-US"/>
        </w:rPr>
        <w:t>KEYWORDS:</w:t>
      </w:r>
      <w:r w:rsidRPr="00724342">
        <w:rPr>
          <w:rFonts w:eastAsia="Calibri"/>
          <w:szCs w:val="22"/>
          <w:lang w:val="en-US" w:eastAsia="en-US"/>
        </w:rPr>
        <w:t xml:space="preserve"> </w:t>
      </w:r>
      <w:r w:rsidRPr="00724342">
        <w:rPr>
          <w:rFonts w:eastAsia="Calibri"/>
          <w:sz w:val="22"/>
          <w:szCs w:val="22"/>
          <w:lang w:val="en-US" w:eastAsia="en-US"/>
        </w:rPr>
        <w:t>migration, immigration, emigration, labor, labor, i</w:t>
      </w:r>
      <w:r w:rsidRPr="00724342">
        <w:rPr>
          <w:rFonts w:eastAsia="Calibri"/>
          <w:sz w:val="22"/>
          <w:szCs w:val="22"/>
          <w:lang w:val="en-US" w:eastAsia="en-US"/>
        </w:rPr>
        <w:t>n</w:t>
      </w:r>
      <w:r w:rsidRPr="00724342">
        <w:rPr>
          <w:rFonts w:eastAsia="Calibri"/>
          <w:sz w:val="22"/>
          <w:szCs w:val="22"/>
          <w:lang w:val="en-US" w:eastAsia="en-US"/>
        </w:rPr>
        <w:t>ternational labor market.</w:t>
      </w:r>
    </w:p>
    <w:p w:rsidR="00724342" w:rsidRPr="00724342" w:rsidRDefault="00724342" w:rsidP="0010381E">
      <w:pPr>
        <w:ind w:firstLine="426"/>
        <w:jc w:val="both"/>
        <w:rPr>
          <w:rFonts w:eastAsia="Calibri"/>
          <w:sz w:val="22"/>
          <w:szCs w:val="22"/>
          <w:lang w:val="en-US" w:eastAsia="en-US"/>
        </w:rPr>
      </w:pPr>
    </w:p>
    <w:p w:rsidR="00724342" w:rsidRPr="00724342" w:rsidRDefault="00724342" w:rsidP="0010381E">
      <w:pPr>
        <w:ind w:firstLine="426"/>
        <w:jc w:val="both"/>
        <w:rPr>
          <w:rFonts w:eastAsia="Calibri"/>
          <w:sz w:val="22"/>
          <w:szCs w:val="22"/>
          <w:lang w:eastAsia="en-US"/>
        </w:rPr>
      </w:pPr>
      <w:bookmarkStart w:id="13" w:name="181"/>
      <w:bookmarkEnd w:id="13"/>
      <w:r w:rsidRPr="00724342">
        <w:rPr>
          <w:rFonts w:eastAsia="Calibri"/>
          <w:sz w:val="22"/>
          <w:szCs w:val="22"/>
          <w:lang w:eastAsia="en-US"/>
        </w:rPr>
        <w:t>В течение долгого времени международный рынок труда фо</w:t>
      </w:r>
      <w:r w:rsidRPr="00724342">
        <w:rPr>
          <w:rFonts w:eastAsia="Calibri"/>
          <w:sz w:val="22"/>
          <w:szCs w:val="22"/>
          <w:lang w:eastAsia="en-US"/>
        </w:rPr>
        <w:t>р</w:t>
      </w:r>
      <w:r w:rsidRPr="00724342">
        <w:rPr>
          <w:rFonts w:eastAsia="Calibri"/>
          <w:sz w:val="22"/>
          <w:szCs w:val="22"/>
          <w:lang w:eastAsia="en-US"/>
        </w:rPr>
        <w:t>мировался без участия Российской Федерации. В момент формир</w:t>
      </w:r>
      <w:r w:rsidRPr="00724342">
        <w:rPr>
          <w:rFonts w:eastAsia="Calibri"/>
          <w:sz w:val="22"/>
          <w:szCs w:val="22"/>
          <w:lang w:eastAsia="en-US"/>
        </w:rPr>
        <w:t>о</w:t>
      </w:r>
      <w:r w:rsidRPr="00724342">
        <w:rPr>
          <w:rFonts w:eastAsia="Calibri"/>
          <w:sz w:val="22"/>
          <w:szCs w:val="22"/>
          <w:lang w:eastAsia="en-US"/>
        </w:rPr>
        <w:t>вания важнейших потоков международной миграции Советский Союз строго контролировал все формы движения трудовых ресу</w:t>
      </w:r>
      <w:r w:rsidRPr="00724342">
        <w:rPr>
          <w:rFonts w:eastAsia="Calibri"/>
          <w:sz w:val="22"/>
          <w:szCs w:val="22"/>
          <w:lang w:eastAsia="en-US"/>
        </w:rPr>
        <w:t>р</w:t>
      </w:r>
      <w:r w:rsidRPr="00724342">
        <w:rPr>
          <w:rFonts w:eastAsia="Calibri"/>
          <w:sz w:val="22"/>
          <w:szCs w:val="22"/>
          <w:lang w:eastAsia="en-US"/>
        </w:rPr>
        <w:t>сов, а международная трудовая миграция рассматривалась лишь как условия для формирования господства капитала.</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Вхождение России в качестве равноправного партнера во вс</w:t>
      </w:r>
      <w:r w:rsidRPr="00724342">
        <w:rPr>
          <w:rFonts w:eastAsia="Calibri"/>
          <w:sz w:val="22"/>
          <w:szCs w:val="22"/>
          <w:lang w:eastAsia="en-US"/>
        </w:rPr>
        <w:t>е</w:t>
      </w:r>
      <w:r w:rsidRPr="00724342">
        <w:rPr>
          <w:rFonts w:eastAsia="Calibri"/>
          <w:sz w:val="22"/>
          <w:szCs w:val="22"/>
          <w:lang w:eastAsia="en-US"/>
        </w:rPr>
        <w:t>мирное экономическое сообщество бесспорно связано с подобным многогранным процессом, как международная миграция рабочей силы.</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Россия с запозданием подключилась к международному пр</w:t>
      </w:r>
      <w:r w:rsidRPr="00724342">
        <w:rPr>
          <w:rFonts w:eastAsia="Calibri"/>
          <w:sz w:val="22"/>
          <w:szCs w:val="22"/>
          <w:lang w:eastAsia="en-US"/>
        </w:rPr>
        <w:t>о</w:t>
      </w:r>
      <w:r w:rsidRPr="00724342">
        <w:rPr>
          <w:rFonts w:eastAsia="Calibri"/>
          <w:sz w:val="22"/>
          <w:szCs w:val="22"/>
          <w:lang w:eastAsia="en-US"/>
        </w:rPr>
        <w:t>цессу миграции населения. Импортируя рабочую силу, она подняла вопрос об экспорте своей рабочей силы.</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За промежуток времени существования России как самосто</w:t>
      </w:r>
      <w:r w:rsidRPr="00724342">
        <w:rPr>
          <w:rFonts w:eastAsia="Calibri"/>
          <w:sz w:val="22"/>
          <w:szCs w:val="22"/>
          <w:lang w:eastAsia="en-US"/>
        </w:rPr>
        <w:t>я</w:t>
      </w:r>
      <w:r w:rsidRPr="00724342">
        <w:rPr>
          <w:rFonts w:eastAsia="Calibri"/>
          <w:sz w:val="22"/>
          <w:szCs w:val="22"/>
          <w:lang w:eastAsia="en-US"/>
        </w:rPr>
        <w:t>тельного государства было подписано множество межправител</w:t>
      </w:r>
      <w:r w:rsidRPr="00724342">
        <w:rPr>
          <w:rFonts w:eastAsia="Calibri"/>
          <w:sz w:val="22"/>
          <w:szCs w:val="22"/>
          <w:lang w:eastAsia="en-US"/>
        </w:rPr>
        <w:t>ь</w:t>
      </w:r>
      <w:r w:rsidRPr="00724342">
        <w:rPr>
          <w:rFonts w:eastAsia="Calibri"/>
          <w:sz w:val="22"/>
          <w:szCs w:val="22"/>
          <w:lang w:eastAsia="en-US"/>
        </w:rPr>
        <w:t>ственных соглашений по вопросам трудовой миграции граждан РФ. Сотрудничество России с Международной организацией по мигр</w:t>
      </w:r>
      <w:r w:rsidRPr="00724342">
        <w:rPr>
          <w:rFonts w:eastAsia="Calibri"/>
          <w:sz w:val="22"/>
          <w:szCs w:val="22"/>
          <w:lang w:eastAsia="en-US"/>
        </w:rPr>
        <w:t>а</w:t>
      </w:r>
      <w:r w:rsidRPr="00724342">
        <w:rPr>
          <w:rFonts w:eastAsia="Calibri"/>
          <w:sz w:val="22"/>
          <w:szCs w:val="22"/>
          <w:lang w:eastAsia="en-US"/>
        </w:rPr>
        <w:lastRenderedPageBreak/>
        <w:t>ции, основанном на договоре, подписанном в марте 1992 года, ок</w:t>
      </w:r>
      <w:r w:rsidRPr="00724342">
        <w:rPr>
          <w:rFonts w:eastAsia="Calibri"/>
          <w:sz w:val="22"/>
          <w:szCs w:val="22"/>
          <w:lang w:eastAsia="en-US"/>
        </w:rPr>
        <w:t>а</w:t>
      </w:r>
      <w:r w:rsidRPr="00724342">
        <w:rPr>
          <w:rFonts w:eastAsia="Calibri"/>
          <w:sz w:val="22"/>
          <w:szCs w:val="22"/>
          <w:lang w:eastAsia="en-US"/>
        </w:rPr>
        <w:t>зывает существенное значение для нашей страны. Так осуществл</w:t>
      </w:r>
      <w:r w:rsidRPr="00724342">
        <w:rPr>
          <w:rFonts w:eastAsia="Calibri"/>
          <w:sz w:val="22"/>
          <w:szCs w:val="22"/>
          <w:lang w:eastAsia="en-US"/>
        </w:rPr>
        <w:t>я</w:t>
      </w:r>
      <w:r w:rsidRPr="00724342">
        <w:rPr>
          <w:rFonts w:eastAsia="Calibri"/>
          <w:sz w:val="22"/>
          <w:szCs w:val="22"/>
          <w:lang w:eastAsia="en-US"/>
        </w:rPr>
        <w:t>ется постепенное вовлечение России в международный рынок тр</w:t>
      </w:r>
      <w:r w:rsidRPr="00724342">
        <w:rPr>
          <w:rFonts w:eastAsia="Calibri"/>
          <w:sz w:val="22"/>
          <w:szCs w:val="22"/>
          <w:lang w:eastAsia="en-US"/>
        </w:rPr>
        <w:t>у</w:t>
      </w:r>
      <w:r w:rsidRPr="00724342">
        <w:rPr>
          <w:rFonts w:eastAsia="Calibri"/>
          <w:sz w:val="22"/>
          <w:szCs w:val="22"/>
          <w:lang w:eastAsia="en-US"/>
        </w:rPr>
        <w:t>да. А появление «ближнего зарубежья» поспособствовало тому, что сегодня Россия экспортирует и импортирует рабочую силу.</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К 2000 году Россия смогла войти в тройку ведущих стран-центров миграции, не сумев опередить лишь США и Германию. Но, несмотря на то, что число стран-экспортеров рабочей силы в нашу страну превышало сотню, основная масса въезжающей рабочей с</w:t>
      </w:r>
      <w:r w:rsidRPr="00724342">
        <w:rPr>
          <w:rFonts w:eastAsia="Calibri"/>
          <w:sz w:val="22"/>
          <w:szCs w:val="22"/>
          <w:lang w:eastAsia="en-US"/>
        </w:rPr>
        <w:t>и</w:t>
      </w:r>
      <w:r w:rsidRPr="00724342">
        <w:rPr>
          <w:rFonts w:eastAsia="Calibri"/>
          <w:sz w:val="22"/>
          <w:szCs w:val="22"/>
          <w:lang w:eastAsia="en-US"/>
        </w:rPr>
        <w:t>лы в Российскую Федерацию приходится лишь на несколько стран: Китай, Турция, Вьетнам, Афганистан и бывшие республики СССР [3].</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Миграция иностранной рабочей силы для России является не только общефедеральной, но и региональной проблемой из-за н</w:t>
      </w:r>
      <w:r w:rsidRPr="00724342">
        <w:rPr>
          <w:rFonts w:eastAsia="Calibri"/>
          <w:sz w:val="22"/>
          <w:szCs w:val="22"/>
          <w:lang w:eastAsia="en-US"/>
        </w:rPr>
        <w:t>е</w:t>
      </w:r>
      <w:r w:rsidRPr="00724342">
        <w:rPr>
          <w:rFonts w:eastAsia="Calibri"/>
          <w:sz w:val="22"/>
          <w:szCs w:val="22"/>
          <w:lang w:eastAsia="en-US"/>
        </w:rPr>
        <w:t>равномерности распределения рабочей силы по территории страны. Поэтому единая отраслевая направленность миграции определяется отраслевым направлением регионов, в которые рабочая сила пост</w:t>
      </w:r>
      <w:r w:rsidRPr="00724342">
        <w:rPr>
          <w:rFonts w:eastAsia="Calibri"/>
          <w:sz w:val="22"/>
          <w:szCs w:val="22"/>
          <w:lang w:eastAsia="en-US"/>
        </w:rPr>
        <w:t>у</w:t>
      </w:r>
      <w:r w:rsidRPr="00724342">
        <w:rPr>
          <w:rFonts w:eastAsia="Calibri"/>
          <w:sz w:val="22"/>
          <w:szCs w:val="22"/>
          <w:lang w:eastAsia="en-US"/>
        </w:rPr>
        <w:t>пает в наибольших масштабах.</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В большинстве случаев, мигранты заняты на трудоемких пр</w:t>
      </w:r>
      <w:r w:rsidRPr="00724342">
        <w:rPr>
          <w:rFonts w:eastAsia="Calibri"/>
          <w:sz w:val="22"/>
          <w:szCs w:val="22"/>
          <w:lang w:eastAsia="en-US"/>
        </w:rPr>
        <w:t>о</w:t>
      </w:r>
      <w:r w:rsidRPr="00724342">
        <w:rPr>
          <w:rFonts w:eastAsia="Calibri"/>
          <w:sz w:val="22"/>
          <w:szCs w:val="22"/>
          <w:lang w:eastAsia="en-US"/>
        </w:rPr>
        <w:t>изводствах, не пользующихся спросом у местного населения. Как правило, это строительство, промышленность, торговля, общ</w:t>
      </w:r>
      <w:r w:rsidRPr="00724342">
        <w:rPr>
          <w:rFonts w:eastAsia="Calibri"/>
          <w:sz w:val="22"/>
          <w:szCs w:val="22"/>
          <w:lang w:eastAsia="en-US"/>
        </w:rPr>
        <w:t>е</w:t>
      </w:r>
      <w:r w:rsidRPr="00724342">
        <w:rPr>
          <w:rFonts w:eastAsia="Calibri"/>
          <w:sz w:val="22"/>
          <w:szCs w:val="22"/>
          <w:lang w:eastAsia="en-US"/>
        </w:rPr>
        <w:t>ственное питание и транспорт.</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Негативное влияние на качество трудовых ресурсов и их пр</w:t>
      </w:r>
      <w:r w:rsidRPr="00724342">
        <w:rPr>
          <w:rFonts w:eastAsia="Calibri"/>
          <w:sz w:val="22"/>
          <w:szCs w:val="22"/>
          <w:lang w:eastAsia="en-US"/>
        </w:rPr>
        <w:t>о</w:t>
      </w:r>
      <w:r w:rsidRPr="00724342">
        <w:rPr>
          <w:rFonts w:eastAsia="Calibri"/>
          <w:sz w:val="22"/>
          <w:szCs w:val="22"/>
          <w:lang w:eastAsia="en-US"/>
        </w:rPr>
        <w:t>фессиональный уровень оказывает тот факт, что при переезде в страну мигранты утрачивают свою квалификацию и социальный статус, что лишает их возможности работать по профессии, и то, что большая часть мигрантов, покидающих страну, имеет высокую профессиональную квалификацию [1].</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Российская федерация к 2020 году может столкнуться с кадр</w:t>
      </w:r>
      <w:r w:rsidRPr="00724342">
        <w:rPr>
          <w:rFonts w:eastAsia="Calibri"/>
          <w:sz w:val="22"/>
          <w:szCs w:val="22"/>
          <w:lang w:eastAsia="en-US"/>
        </w:rPr>
        <w:t>о</w:t>
      </w:r>
      <w:r w:rsidRPr="00724342">
        <w:rPr>
          <w:rFonts w:eastAsia="Calibri"/>
          <w:sz w:val="22"/>
          <w:szCs w:val="22"/>
          <w:lang w:eastAsia="en-US"/>
        </w:rPr>
        <w:t>вым дефицитом, который, по разным оценкам, будет составлять от 8 до 22 миллионов человек. Кадровый дефицит уже на сегодняшний день существенен и носит не только лишь количественный, но и качественный характер [2].</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Обратной составляющей процесса международной миграции рабочей силы в России считается эмиграция, которая согласно св</w:t>
      </w:r>
      <w:r w:rsidRPr="00724342">
        <w:rPr>
          <w:rFonts w:eastAsia="Calibri"/>
          <w:sz w:val="22"/>
          <w:szCs w:val="22"/>
          <w:lang w:eastAsia="en-US"/>
        </w:rPr>
        <w:t>о</w:t>
      </w:r>
      <w:r w:rsidRPr="00724342">
        <w:rPr>
          <w:rFonts w:eastAsia="Calibri"/>
          <w:sz w:val="22"/>
          <w:szCs w:val="22"/>
          <w:lang w:eastAsia="en-US"/>
        </w:rPr>
        <w:t>им качественным и количественным характеристикам значительно отличается от иммиграции в РФ.</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lastRenderedPageBreak/>
        <w:t>Направление потоков российской трудовой миграции совпад</w:t>
      </w:r>
      <w:r w:rsidRPr="00724342">
        <w:rPr>
          <w:rFonts w:eastAsia="Calibri"/>
          <w:sz w:val="22"/>
          <w:szCs w:val="22"/>
          <w:lang w:eastAsia="en-US"/>
        </w:rPr>
        <w:t>а</w:t>
      </w:r>
      <w:r w:rsidRPr="00724342">
        <w:rPr>
          <w:rFonts w:eastAsia="Calibri"/>
          <w:sz w:val="22"/>
          <w:szCs w:val="22"/>
          <w:lang w:eastAsia="en-US"/>
        </w:rPr>
        <w:t>ет с направлением международной, в основном это страны Севе</w:t>
      </w:r>
      <w:r w:rsidRPr="00724342">
        <w:rPr>
          <w:rFonts w:eastAsia="Calibri"/>
          <w:sz w:val="22"/>
          <w:szCs w:val="22"/>
          <w:lang w:eastAsia="en-US"/>
        </w:rPr>
        <w:t>р</w:t>
      </w:r>
      <w:r w:rsidRPr="00724342">
        <w:rPr>
          <w:rFonts w:eastAsia="Calibri"/>
          <w:sz w:val="22"/>
          <w:szCs w:val="22"/>
          <w:lang w:eastAsia="en-US"/>
        </w:rPr>
        <w:t>ной Америки и ФРГ и значительно ниже – страны ближнего зар</w:t>
      </w:r>
      <w:r w:rsidRPr="00724342">
        <w:rPr>
          <w:rFonts w:eastAsia="Calibri"/>
          <w:sz w:val="22"/>
          <w:szCs w:val="22"/>
          <w:lang w:eastAsia="en-US"/>
        </w:rPr>
        <w:t>у</w:t>
      </w:r>
      <w:r w:rsidRPr="00724342">
        <w:rPr>
          <w:rFonts w:eastAsia="Calibri"/>
          <w:sz w:val="22"/>
          <w:szCs w:val="22"/>
          <w:lang w:eastAsia="en-US"/>
        </w:rPr>
        <w:t>бежья.</w:t>
      </w:r>
    </w:p>
    <w:p w:rsidR="00724342" w:rsidRPr="00724342" w:rsidRDefault="00724342" w:rsidP="0010381E">
      <w:pPr>
        <w:tabs>
          <w:tab w:val="center" w:pos="4677"/>
        </w:tabs>
        <w:ind w:firstLine="426"/>
        <w:jc w:val="both"/>
        <w:rPr>
          <w:sz w:val="22"/>
          <w:szCs w:val="22"/>
        </w:rPr>
      </w:pPr>
      <w:r w:rsidRPr="00724342">
        <w:rPr>
          <w:sz w:val="22"/>
          <w:szCs w:val="22"/>
        </w:rPr>
        <w:tab/>
        <w:t>Таким образом, Российская Федерация совершает интенсивное включение в международный рынок труда и вносит свой вклад в формирование международной рабочей силы.</w:t>
      </w:r>
    </w:p>
    <w:p w:rsidR="00724342" w:rsidRPr="00724342" w:rsidRDefault="00724342" w:rsidP="0010381E">
      <w:pPr>
        <w:tabs>
          <w:tab w:val="center" w:pos="4677"/>
        </w:tabs>
        <w:ind w:firstLine="426"/>
        <w:jc w:val="both"/>
        <w:rPr>
          <w:sz w:val="22"/>
          <w:szCs w:val="22"/>
        </w:rPr>
      </w:pPr>
    </w:p>
    <w:p w:rsidR="00724342" w:rsidRPr="00724342" w:rsidRDefault="00724342" w:rsidP="0010381E">
      <w:pPr>
        <w:tabs>
          <w:tab w:val="center" w:pos="4677"/>
        </w:tabs>
        <w:ind w:firstLine="426"/>
        <w:jc w:val="center"/>
        <w:rPr>
          <w:sz w:val="22"/>
          <w:szCs w:val="22"/>
        </w:rPr>
      </w:pPr>
      <w:r w:rsidRPr="00724342">
        <w:rPr>
          <w:sz w:val="22"/>
          <w:szCs w:val="22"/>
        </w:rPr>
        <w:t>Список литературы</w:t>
      </w:r>
    </w:p>
    <w:p w:rsidR="00724342" w:rsidRPr="00724342" w:rsidRDefault="00724342" w:rsidP="0010381E">
      <w:pPr>
        <w:tabs>
          <w:tab w:val="center" w:pos="4677"/>
        </w:tabs>
        <w:ind w:firstLine="426"/>
        <w:jc w:val="both"/>
        <w:rPr>
          <w:sz w:val="22"/>
          <w:szCs w:val="22"/>
        </w:rPr>
      </w:pPr>
      <w:r w:rsidRPr="00724342">
        <w:rPr>
          <w:sz w:val="22"/>
          <w:szCs w:val="22"/>
        </w:rPr>
        <w:t xml:space="preserve">1. Литвиненко Г.Н. </w:t>
      </w:r>
      <w:hyperlink r:id="rId301" w:history="1">
        <w:r w:rsidRPr="00724342">
          <w:rPr>
            <w:sz w:val="22"/>
            <w:szCs w:val="22"/>
          </w:rPr>
          <w:t>Негативные последствия глобализации эк</w:t>
        </w:r>
        <w:r w:rsidRPr="00724342">
          <w:rPr>
            <w:sz w:val="22"/>
            <w:szCs w:val="22"/>
          </w:rPr>
          <w:t>о</w:t>
        </w:r>
        <w:r w:rsidRPr="00724342">
          <w:rPr>
            <w:sz w:val="22"/>
            <w:szCs w:val="22"/>
          </w:rPr>
          <w:t>номики</w:t>
        </w:r>
      </w:hyperlink>
      <w:r w:rsidRPr="00724342">
        <w:rPr>
          <w:sz w:val="22"/>
          <w:szCs w:val="22"/>
        </w:rPr>
        <w:t xml:space="preserve"> / Г.Н. Литвиненко//Сб. ст. по материалам 72-й научно-практической конференции преподавателей по итогам НИР за 2016 г. «</w:t>
      </w:r>
      <w:hyperlink r:id="rId302" w:history="1">
        <w:r w:rsidRPr="00724342">
          <w:rPr>
            <w:sz w:val="22"/>
            <w:szCs w:val="22"/>
          </w:rPr>
          <w:t>Научное обеспечение агропромышленного комплекса</w:t>
        </w:r>
      </w:hyperlink>
      <w:r w:rsidRPr="00724342">
        <w:rPr>
          <w:sz w:val="22"/>
          <w:szCs w:val="22"/>
        </w:rPr>
        <w:t>», Красн</w:t>
      </w:r>
      <w:r w:rsidRPr="00724342">
        <w:rPr>
          <w:sz w:val="22"/>
          <w:szCs w:val="22"/>
        </w:rPr>
        <w:t>о</w:t>
      </w:r>
      <w:r w:rsidRPr="00724342">
        <w:rPr>
          <w:sz w:val="22"/>
          <w:szCs w:val="22"/>
        </w:rPr>
        <w:t>дар: КубГАУ.- 2017. -С. 591-592.</w:t>
      </w:r>
    </w:p>
    <w:p w:rsidR="00724342" w:rsidRPr="00724342" w:rsidRDefault="00724342" w:rsidP="0010381E">
      <w:pPr>
        <w:tabs>
          <w:tab w:val="center" w:pos="4677"/>
        </w:tabs>
        <w:ind w:firstLine="426"/>
        <w:jc w:val="both"/>
        <w:rPr>
          <w:sz w:val="22"/>
          <w:szCs w:val="22"/>
        </w:rPr>
      </w:pPr>
      <w:r w:rsidRPr="00724342">
        <w:rPr>
          <w:sz w:val="22"/>
          <w:szCs w:val="22"/>
        </w:rPr>
        <w:t xml:space="preserve">2. Литвиненко Г.Н. </w:t>
      </w:r>
      <w:hyperlink r:id="rId303" w:history="1">
        <w:r w:rsidRPr="00724342">
          <w:rPr>
            <w:sz w:val="22"/>
            <w:szCs w:val="22"/>
          </w:rPr>
          <w:t>Проблемы и перспективы развития мол</w:t>
        </w:r>
        <w:r w:rsidRPr="00724342">
          <w:rPr>
            <w:sz w:val="22"/>
            <w:szCs w:val="22"/>
          </w:rPr>
          <w:t>о</w:t>
        </w:r>
        <w:r w:rsidRPr="00724342">
          <w:rPr>
            <w:sz w:val="22"/>
            <w:szCs w:val="22"/>
          </w:rPr>
          <w:t>дежного рынка труда в России</w:t>
        </w:r>
      </w:hyperlink>
      <w:r w:rsidRPr="00724342">
        <w:rPr>
          <w:sz w:val="22"/>
          <w:szCs w:val="22"/>
        </w:rPr>
        <w:t>/ Г.Н. Литвиненко, М.Б. Едигарян, Н.А. Колесниченко //Сб. ст. по материалам Междунар. науч.-практ. конф. молодых ученых, посвященной памяти чл.-корр. РАСХН А.А. Семенова «</w:t>
      </w:r>
      <w:hyperlink r:id="rId304" w:history="1">
        <w:r w:rsidRPr="00724342">
          <w:rPr>
            <w:sz w:val="22"/>
            <w:szCs w:val="22"/>
          </w:rPr>
          <w:t>Факторы экономического роста: мировые тренды и ро</w:t>
        </w:r>
        <w:r w:rsidRPr="00724342">
          <w:rPr>
            <w:sz w:val="22"/>
            <w:szCs w:val="22"/>
          </w:rPr>
          <w:t>с</w:t>
        </w:r>
        <w:r w:rsidRPr="00724342">
          <w:rPr>
            <w:sz w:val="22"/>
            <w:szCs w:val="22"/>
          </w:rPr>
          <w:t>сийские реалии</w:t>
        </w:r>
      </w:hyperlink>
      <w:r w:rsidRPr="00724342">
        <w:rPr>
          <w:sz w:val="22"/>
          <w:szCs w:val="22"/>
        </w:rPr>
        <w:t>». 2017. С. 160-166.</w:t>
      </w:r>
    </w:p>
    <w:p w:rsidR="00724342" w:rsidRPr="00724342" w:rsidRDefault="00724342" w:rsidP="0010381E">
      <w:pPr>
        <w:tabs>
          <w:tab w:val="center" w:pos="4677"/>
        </w:tabs>
        <w:ind w:firstLine="426"/>
        <w:jc w:val="both"/>
        <w:rPr>
          <w:sz w:val="22"/>
          <w:szCs w:val="22"/>
        </w:rPr>
      </w:pPr>
      <w:r w:rsidRPr="00724342">
        <w:rPr>
          <w:sz w:val="22"/>
          <w:szCs w:val="22"/>
        </w:rPr>
        <w:t>3. Поменчук А. Ю. Принудительный труд в современном м</w:t>
      </w:r>
      <w:r w:rsidRPr="00724342">
        <w:rPr>
          <w:sz w:val="22"/>
          <w:szCs w:val="22"/>
        </w:rPr>
        <w:t>и</w:t>
      </w:r>
      <w:r w:rsidRPr="00724342">
        <w:rPr>
          <w:sz w:val="22"/>
          <w:szCs w:val="22"/>
        </w:rPr>
        <w:t>ре/</w:t>
      </w:r>
      <w:hyperlink r:id="rId305" w:history="1">
        <w:r w:rsidRPr="00724342">
          <w:rPr>
            <w:sz w:val="22"/>
            <w:szCs w:val="22"/>
          </w:rPr>
          <w:t>А.Ю. Поменчук</w:t>
        </w:r>
      </w:hyperlink>
      <w:r w:rsidRPr="00724342">
        <w:rPr>
          <w:sz w:val="22"/>
          <w:szCs w:val="22"/>
        </w:rPr>
        <w:t>, </w:t>
      </w:r>
      <w:hyperlink r:id="rId306" w:history="1">
        <w:r w:rsidRPr="00724342">
          <w:rPr>
            <w:sz w:val="22"/>
            <w:szCs w:val="22"/>
          </w:rPr>
          <w:t>С.В. Кольцов</w:t>
        </w:r>
      </w:hyperlink>
      <w:r w:rsidRPr="00724342">
        <w:rPr>
          <w:sz w:val="22"/>
          <w:szCs w:val="22"/>
        </w:rPr>
        <w:t>, </w:t>
      </w:r>
      <w:hyperlink r:id="rId307" w:history="1">
        <w:r w:rsidRPr="00724342">
          <w:rPr>
            <w:sz w:val="22"/>
            <w:szCs w:val="22"/>
          </w:rPr>
          <w:t>Г.Н. Литвиненко</w:t>
        </w:r>
      </w:hyperlink>
      <w:r w:rsidRPr="00724342">
        <w:rPr>
          <w:sz w:val="22"/>
          <w:szCs w:val="22"/>
        </w:rPr>
        <w:t>//Сб. ст. III ме</w:t>
      </w:r>
      <w:r w:rsidRPr="00724342">
        <w:rPr>
          <w:sz w:val="22"/>
          <w:szCs w:val="22"/>
        </w:rPr>
        <w:t>ж</w:t>
      </w:r>
      <w:r w:rsidRPr="00724342">
        <w:rPr>
          <w:sz w:val="22"/>
          <w:szCs w:val="22"/>
        </w:rPr>
        <w:t>дунар. науч.-практ. конф. «Актуальные вопросы современной науки» (Уфа, 20.03.2017 г.). -Уфа: Дендра, 2017. -С. 35-40. </w:t>
      </w:r>
    </w:p>
    <w:p w:rsidR="00724342" w:rsidRPr="00724342" w:rsidRDefault="00724342" w:rsidP="00724342">
      <w:pPr>
        <w:jc w:val="both"/>
        <w:rPr>
          <w:color w:val="000000"/>
          <w:sz w:val="22"/>
          <w:szCs w:val="22"/>
        </w:rPr>
      </w:pPr>
    </w:p>
    <w:p w:rsidR="00724342" w:rsidRDefault="00724342" w:rsidP="00724342">
      <w:pPr>
        <w:jc w:val="both"/>
        <w:rPr>
          <w:color w:val="000000"/>
          <w:sz w:val="22"/>
          <w:szCs w:val="22"/>
        </w:rPr>
      </w:pPr>
    </w:p>
    <w:p w:rsidR="0010381E" w:rsidRPr="00724342" w:rsidRDefault="00CB06AE" w:rsidP="00CB06AE">
      <w:pPr>
        <w:rPr>
          <w:color w:val="000000"/>
          <w:sz w:val="22"/>
          <w:szCs w:val="22"/>
        </w:rPr>
      </w:pPr>
      <w:r>
        <w:rPr>
          <w:color w:val="000000"/>
          <w:sz w:val="22"/>
          <w:szCs w:val="22"/>
        </w:rPr>
        <w:br w:type="page"/>
      </w:r>
    </w:p>
    <w:p w:rsidR="00724342" w:rsidRPr="00724342" w:rsidRDefault="00724342" w:rsidP="00724342">
      <w:pPr>
        <w:rPr>
          <w:rFonts w:eastAsiaTheme="minorHAnsi" w:cstheme="minorBidi"/>
          <w:color w:val="333333"/>
          <w:sz w:val="22"/>
          <w:szCs w:val="22"/>
          <w:shd w:val="clear" w:color="auto" w:fill="FFFFFF"/>
          <w:lang w:eastAsia="en-US"/>
        </w:rPr>
      </w:pPr>
      <w:r w:rsidRPr="00724342">
        <w:rPr>
          <w:rFonts w:eastAsiaTheme="minorHAnsi" w:cstheme="minorBidi"/>
          <w:color w:val="000000"/>
          <w:sz w:val="22"/>
          <w:szCs w:val="22"/>
          <w:lang w:eastAsia="en-US"/>
        </w:rPr>
        <w:lastRenderedPageBreak/>
        <w:t xml:space="preserve">УДК </w:t>
      </w:r>
      <w:r w:rsidRPr="00724342">
        <w:rPr>
          <w:rFonts w:eastAsiaTheme="minorHAnsi" w:cstheme="minorBidi"/>
          <w:color w:val="333333"/>
          <w:sz w:val="22"/>
          <w:szCs w:val="22"/>
          <w:shd w:val="clear" w:color="auto" w:fill="FFFFFF"/>
          <w:lang w:eastAsia="en-US"/>
        </w:rPr>
        <w:t>336.761.6</w:t>
      </w:r>
    </w:p>
    <w:p w:rsidR="00724342" w:rsidRPr="00724342" w:rsidRDefault="00724342" w:rsidP="00724342">
      <w:pPr>
        <w:rPr>
          <w:rFonts w:eastAsiaTheme="minorHAnsi" w:cstheme="minorBidi"/>
          <w:color w:val="000000"/>
          <w:sz w:val="20"/>
          <w:szCs w:val="20"/>
          <w:lang w:eastAsia="en-US"/>
        </w:rPr>
      </w:pPr>
    </w:p>
    <w:p w:rsidR="00724342" w:rsidRPr="00724342" w:rsidRDefault="00724342" w:rsidP="00724342">
      <w:pPr>
        <w:suppressAutoHyphens/>
        <w:jc w:val="center"/>
        <w:rPr>
          <w:rFonts w:eastAsiaTheme="minorHAnsi" w:cstheme="minorBidi"/>
          <w:b/>
          <w:color w:val="000000"/>
          <w:sz w:val="24"/>
          <w:szCs w:val="24"/>
          <w:lang w:eastAsia="en-US"/>
        </w:rPr>
      </w:pPr>
      <w:r w:rsidRPr="00724342">
        <w:rPr>
          <w:rFonts w:cstheme="minorBidi"/>
          <w:b/>
          <w:bCs/>
          <w:color w:val="000000"/>
          <w:sz w:val="24"/>
          <w:szCs w:val="24"/>
          <w:lang w:eastAsia="en-US"/>
        </w:rPr>
        <w:t>Методы контроля и учета затрат и себестоимости транспортной продукции</w:t>
      </w:r>
      <w:r w:rsidRPr="00724342">
        <w:rPr>
          <w:rFonts w:eastAsiaTheme="minorHAnsi" w:cstheme="minorBidi"/>
          <w:b/>
          <w:color w:val="000000"/>
          <w:sz w:val="24"/>
          <w:szCs w:val="24"/>
          <w:lang w:eastAsia="en-US"/>
        </w:rPr>
        <w:t xml:space="preserve"> </w:t>
      </w:r>
    </w:p>
    <w:p w:rsidR="00724342" w:rsidRPr="00724342" w:rsidRDefault="00724342" w:rsidP="00724342">
      <w:pPr>
        <w:suppressAutoHyphens/>
        <w:jc w:val="center"/>
        <w:rPr>
          <w:rFonts w:eastAsiaTheme="minorHAnsi" w:cstheme="minorBidi"/>
          <w:b/>
          <w:color w:val="000000"/>
          <w:sz w:val="24"/>
          <w:szCs w:val="24"/>
          <w:lang w:val="en-US" w:eastAsia="en-US"/>
        </w:rPr>
      </w:pPr>
      <w:r w:rsidRPr="00724342">
        <w:rPr>
          <w:rFonts w:eastAsiaTheme="minorHAnsi" w:cstheme="minorBidi"/>
          <w:b/>
          <w:color w:val="000000"/>
          <w:sz w:val="24"/>
          <w:szCs w:val="24"/>
          <w:lang w:val="en-US" w:eastAsia="en-US"/>
        </w:rPr>
        <w:t>Methods of control and accounting of costs and cost of transport products</w:t>
      </w:r>
    </w:p>
    <w:p w:rsidR="00724342" w:rsidRPr="00724342" w:rsidRDefault="00724342" w:rsidP="00724342">
      <w:pPr>
        <w:suppressAutoHyphens/>
        <w:rPr>
          <w:rFonts w:eastAsiaTheme="minorHAnsi" w:cstheme="minorBidi"/>
          <w:color w:val="000000"/>
          <w:sz w:val="20"/>
          <w:szCs w:val="20"/>
          <w:lang w:val="en-US" w:eastAsia="en-US"/>
        </w:rPr>
      </w:pPr>
    </w:p>
    <w:p w:rsidR="00724342" w:rsidRPr="00724342" w:rsidRDefault="00724342" w:rsidP="0010381E">
      <w:pPr>
        <w:suppressAutoHyphens/>
        <w:jc w:val="right"/>
        <w:rPr>
          <w:rFonts w:eastAsiaTheme="minorHAnsi" w:cstheme="minorBidi"/>
          <w:sz w:val="22"/>
          <w:szCs w:val="22"/>
          <w:lang w:eastAsia="en-US"/>
        </w:rPr>
      </w:pPr>
      <w:r w:rsidRPr="00724342">
        <w:rPr>
          <w:rFonts w:eastAsiaTheme="minorHAnsi" w:cstheme="minorBidi"/>
          <w:sz w:val="22"/>
          <w:szCs w:val="22"/>
          <w:lang w:eastAsia="en-US"/>
        </w:rPr>
        <w:t>Поклонова К. С., Бровченко К. А.,</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студ</w:t>
      </w:r>
      <w:r w:rsidR="0010381E">
        <w:rPr>
          <w:rFonts w:eastAsiaTheme="minorHAnsi" w:cstheme="minorBidi"/>
          <w:sz w:val="22"/>
          <w:szCs w:val="22"/>
          <w:lang w:eastAsia="en-US"/>
        </w:rPr>
        <w:t>ентки</w:t>
      </w:r>
      <w:r w:rsidRPr="00724342">
        <w:rPr>
          <w:rFonts w:eastAsiaTheme="minorHAnsi" w:cstheme="minorBidi"/>
          <w:sz w:val="22"/>
          <w:szCs w:val="22"/>
          <w:lang w:eastAsia="en-US"/>
        </w:rPr>
        <w:t xml:space="preserve"> 4-го курса экономического факультета</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Арутюнян Ю. И.,</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доцент кафедры институциональной экономики</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и инвестиционного менеджмента</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Кубанский государственный аграрный</w:t>
      </w:r>
    </w:p>
    <w:p w:rsidR="00724342" w:rsidRPr="00724342" w:rsidRDefault="00724342" w:rsidP="00724342">
      <w:pPr>
        <w:suppressAutoHyphens/>
        <w:jc w:val="right"/>
        <w:rPr>
          <w:rFonts w:eastAsiaTheme="minorHAnsi" w:cstheme="minorBidi"/>
          <w:sz w:val="22"/>
          <w:szCs w:val="22"/>
          <w:lang w:eastAsia="en-US"/>
        </w:rPr>
      </w:pPr>
      <w:r w:rsidRPr="00724342">
        <w:rPr>
          <w:rFonts w:eastAsiaTheme="minorHAnsi" w:cstheme="minorBidi"/>
          <w:sz w:val="22"/>
          <w:szCs w:val="22"/>
          <w:lang w:eastAsia="en-US"/>
        </w:rPr>
        <w:t>университет им. И. Т. Трубилина</w:t>
      </w:r>
    </w:p>
    <w:p w:rsidR="00724342" w:rsidRPr="00724342" w:rsidRDefault="00724342" w:rsidP="00724342">
      <w:pPr>
        <w:suppressAutoHyphens/>
        <w:jc w:val="both"/>
        <w:rPr>
          <w:rFonts w:eastAsiaTheme="minorHAnsi" w:cstheme="minorBidi"/>
          <w:sz w:val="22"/>
          <w:szCs w:val="22"/>
          <w:lang w:eastAsia="en-US"/>
        </w:rPr>
      </w:pPr>
    </w:p>
    <w:p w:rsidR="00724342" w:rsidRPr="00724342" w:rsidRDefault="00724342" w:rsidP="0010381E">
      <w:pPr>
        <w:suppressAutoHyphens/>
        <w:ind w:firstLine="426"/>
        <w:jc w:val="both"/>
        <w:rPr>
          <w:rFonts w:eastAsiaTheme="minorHAnsi" w:cstheme="minorBidi"/>
          <w:sz w:val="22"/>
          <w:szCs w:val="22"/>
          <w:lang w:eastAsia="en-US"/>
        </w:rPr>
      </w:pPr>
      <w:r w:rsidRPr="00724342">
        <w:rPr>
          <w:rFonts w:eastAsiaTheme="minorHAnsi" w:cstheme="minorBidi"/>
          <w:sz w:val="22"/>
          <w:szCs w:val="22"/>
          <w:lang w:eastAsia="en-US"/>
        </w:rPr>
        <w:t xml:space="preserve">АННОТАЦИЯ: </w:t>
      </w:r>
      <w:r w:rsidRPr="00724342">
        <w:rPr>
          <w:rFonts w:cstheme="minorBidi"/>
          <w:color w:val="000000"/>
          <w:sz w:val="22"/>
          <w:szCs w:val="22"/>
          <w:lang w:eastAsia="en-US"/>
        </w:rPr>
        <w:t>В статье рассматриваются цели, задачи, функции управления затратами транспортной организации, а также значение классификации затрат и информационного обеспечения. Автором охарактеризованы современные методы управления затратами и необходимость их адаптации к особенностям организации, а также обоснована необходимость переход к новым концепциям управления и методам работы с затратами на железнодорожном транспорте.</w:t>
      </w:r>
    </w:p>
    <w:p w:rsidR="00724342" w:rsidRPr="00724342" w:rsidRDefault="00724342" w:rsidP="0010381E">
      <w:pPr>
        <w:suppressAutoHyphens/>
        <w:ind w:firstLine="426"/>
        <w:jc w:val="both"/>
        <w:rPr>
          <w:rFonts w:eastAsiaTheme="minorHAnsi" w:cstheme="minorBidi"/>
          <w:sz w:val="22"/>
          <w:szCs w:val="22"/>
          <w:lang w:val="en-US" w:eastAsia="en-US"/>
        </w:rPr>
      </w:pPr>
      <w:r w:rsidRPr="00724342">
        <w:rPr>
          <w:rFonts w:eastAsiaTheme="minorHAnsi" w:cstheme="minorBidi"/>
          <w:color w:val="000000"/>
          <w:sz w:val="22"/>
          <w:szCs w:val="22"/>
          <w:shd w:val="clear" w:color="auto" w:fill="FFFFFF"/>
          <w:lang w:val="en-US" w:eastAsia="en-US"/>
        </w:rPr>
        <w:t>ABSTRACT:</w:t>
      </w:r>
      <w:r w:rsidRPr="00724342">
        <w:rPr>
          <w:rFonts w:asciiTheme="minorHAnsi" w:eastAsiaTheme="minorHAnsi" w:hAnsiTheme="minorHAnsi" w:cstheme="minorBidi"/>
          <w:sz w:val="22"/>
          <w:szCs w:val="22"/>
          <w:lang w:val="en-US" w:eastAsia="en-US"/>
        </w:rPr>
        <w:t xml:space="preserve"> </w:t>
      </w:r>
      <w:r w:rsidRPr="00724342">
        <w:rPr>
          <w:rFonts w:eastAsiaTheme="minorHAnsi" w:cstheme="minorBidi"/>
          <w:color w:val="000000"/>
          <w:sz w:val="22"/>
          <w:szCs w:val="22"/>
          <w:shd w:val="clear" w:color="auto" w:fill="FFFFFF"/>
          <w:lang w:val="en-US" w:eastAsia="en-US"/>
        </w:rPr>
        <w:t>the article examines the goals, objectives, functions of cost management of the transport organization, as well as the value of classification of costs and information support. The author has characterized modern methods of cost management and the need to adapt them to the specifics of the organization, as well as the necessity of transition to new management concepts and methods of dealing with the costs of rail transport.</w:t>
      </w:r>
    </w:p>
    <w:p w:rsidR="00724342" w:rsidRPr="00724342" w:rsidRDefault="00724342" w:rsidP="0010381E">
      <w:pPr>
        <w:suppressAutoHyphens/>
        <w:ind w:firstLine="426"/>
        <w:jc w:val="both"/>
        <w:rPr>
          <w:rFonts w:eastAsiaTheme="minorHAnsi" w:cstheme="minorBidi"/>
          <w:sz w:val="22"/>
          <w:szCs w:val="22"/>
          <w:lang w:eastAsia="en-US"/>
        </w:rPr>
      </w:pPr>
      <w:r w:rsidRPr="00724342">
        <w:rPr>
          <w:rFonts w:eastAsiaTheme="minorHAnsi" w:cstheme="minorBidi"/>
          <w:sz w:val="22"/>
          <w:szCs w:val="22"/>
          <w:lang w:eastAsia="en-US"/>
        </w:rPr>
        <w:t>КЛЮЧЕВЫЕ СЛОВА: прибыль, себестоимость, затраты, конкурентоспособность, эффективность.</w:t>
      </w:r>
    </w:p>
    <w:p w:rsidR="00724342" w:rsidRPr="00724342" w:rsidRDefault="00724342" w:rsidP="0010381E">
      <w:pPr>
        <w:suppressAutoHyphens/>
        <w:ind w:firstLine="426"/>
        <w:jc w:val="both"/>
        <w:rPr>
          <w:rFonts w:eastAsiaTheme="minorHAnsi" w:cstheme="minorBidi"/>
          <w:sz w:val="22"/>
          <w:szCs w:val="22"/>
          <w:lang w:val="en-US" w:eastAsia="en-US"/>
        </w:rPr>
      </w:pPr>
      <w:r w:rsidRPr="00724342">
        <w:rPr>
          <w:rFonts w:eastAsiaTheme="minorHAnsi" w:cstheme="minorBidi"/>
          <w:color w:val="000000"/>
          <w:sz w:val="22"/>
          <w:szCs w:val="22"/>
          <w:shd w:val="clear" w:color="auto" w:fill="FFFFFF"/>
          <w:lang w:val="en-US" w:eastAsia="en-US"/>
        </w:rPr>
        <w:t>KEYWORDS:</w:t>
      </w:r>
      <w:r w:rsidRPr="00724342">
        <w:rPr>
          <w:rFonts w:asciiTheme="minorHAnsi" w:eastAsiaTheme="minorHAnsi" w:hAnsiTheme="minorHAnsi" w:cstheme="minorBidi"/>
          <w:sz w:val="22"/>
          <w:szCs w:val="22"/>
          <w:lang w:val="en-US" w:eastAsia="en-US"/>
        </w:rPr>
        <w:t xml:space="preserve"> </w:t>
      </w:r>
      <w:r w:rsidRPr="00724342">
        <w:rPr>
          <w:rFonts w:eastAsiaTheme="minorHAnsi" w:cstheme="minorBidi"/>
          <w:color w:val="000000"/>
          <w:sz w:val="22"/>
          <w:szCs w:val="22"/>
          <w:shd w:val="clear" w:color="auto" w:fill="FFFFFF"/>
          <w:lang w:val="en-US" w:eastAsia="en-US"/>
        </w:rPr>
        <w:t>profit, cost, costs, competitiveness, efficiency.</w:t>
      </w:r>
    </w:p>
    <w:p w:rsidR="00724342" w:rsidRPr="00724342" w:rsidRDefault="00724342" w:rsidP="0010381E">
      <w:pPr>
        <w:suppressAutoHyphens/>
        <w:ind w:firstLine="426"/>
        <w:jc w:val="both"/>
        <w:rPr>
          <w:sz w:val="22"/>
          <w:szCs w:val="22"/>
          <w:lang w:val="en-US" w:eastAsia="en-US"/>
        </w:rPr>
      </w:pPr>
    </w:p>
    <w:p w:rsidR="00724342" w:rsidRPr="00724342" w:rsidRDefault="00724342" w:rsidP="0010381E">
      <w:pPr>
        <w:shd w:val="clear" w:color="auto" w:fill="FFFFFF"/>
        <w:ind w:firstLine="426"/>
        <w:jc w:val="both"/>
        <w:rPr>
          <w:rFonts w:cstheme="minorBidi"/>
          <w:color w:val="000000"/>
          <w:sz w:val="22"/>
          <w:szCs w:val="22"/>
          <w:lang w:eastAsia="en-US"/>
        </w:rPr>
      </w:pPr>
      <w:r w:rsidRPr="00724342">
        <w:rPr>
          <w:rFonts w:cstheme="minorBidi"/>
          <w:color w:val="000000"/>
          <w:sz w:val="22"/>
          <w:szCs w:val="22"/>
          <w:lang w:eastAsia="en-US"/>
        </w:rPr>
        <w:t>Деятельность любого предприятия сводится к одной цели – увеличение капитализации, прибыли, доли рынка, что несомненно повлечет за собой развитие бизнеса [2]. Любая из этих целей нед</w:t>
      </w:r>
      <w:r w:rsidRPr="00724342">
        <w:rPr>
          <w:rFonts w:cstheme="minorBidi"/>
          <w:color w:val="000000"/>
          <w:sz w:val="22"/>
          <w:szCs w:val="22"/>
          <w:lang w:eastAsia="en-US"/>
        </w:rPr>
        <w:t>о</w:t>
      </w:r>
      <w:r w:rsidRPr="00724342">
        <w:rPr>
          <w:rFonts w:cstheme="minorBidi"/>
          <w:color w:val="000000"/>
          <w:sz w:val="22"/>
          <w:szCs w:val="22"/>
          <w:lang w:eastAsia="en-US"/>
        </w:rPr>
        <w:t>стижима без правильного подхода к планированию затрат, их ан</w:t>
      </w:r>
      <w:r w:rsidRPr="00724342">
        <w:rPr>
          <w:rFonts w:cstheme="minorBidi"/>
          <w:color w:val="000000"/>
          <w:sz w:val="22"/>
          <w:szCs w:val="22"/>
          <w:lang w:eastAsia="en-US"/>
        </w:rPr>
        <w:t>а</w:t>
      </w:r>
      <w:r w:rsidRPr="00724342">
        <w:rPr>
          <w:rFonts w:cstheme="minorBidi"/>
          <w:color w:val="000000"/>
          <w:sz w:val="22"/>
          <w:szCs w:val="22"/>
          <w:lang w:eastAsia="en-US"/>
        </w:rPr>
        <w:lastRenderedPageBreak/>
        <w:t>лизу и контролю. Подходы к организации планирования и контроля затрат достаточно просты: необходимо определить подразделения – центры ответственности за затраты – и выполнять стандартный набор управленческих процедур: формировать планы затрат, отче</w:t>
      </w:r>
      <w:r w:rsidRPr="00724342">
        <w:rPr>
          <w:rFonts w:cstheme="minorBidi"/>
          <w:color w:val="000000"/>
          <w:sz w:val="22"/>
          <w:szCs w:val="22"/>
          <w:lang w:eastAsia="en-US"/>
        </w:rPr>
        <w:t>т</w:t>
      </w:r>
      <w:r w:rsidRPr="00724342">
        <w:rPr>
          <w:rFonts w:cstheme="minorBidi"/>
          <w:color w:val="000000"/>
          <w:sz w:val="22"/>
          <w:szCs w:val="22"/>
          <w:lang w:eastAsia="en-US"/>
        </w:rPr>
        <w:t>ность об их исполнении, проводить план-фактный анализ затрат и применять меры, мотивирующие подразделения к исполнению пл</w:t>
      </w:r>
      <w:r w:rsidRPr="00724342">
        <w:rPr>
          <w:rFonts w:cstheme="minorBidi"/>
          <w:color w:val="000000"/>
          <w:sz w:val="22"/>
          <w:szCs w:val="22"/>
          <w:lang w:eastAsia="en-US"/>
        </w:rPr>
        <w:t>а</w:t>
      </w:r>
      <w:r w:rsidRPr="00724342">
        <w:rPr>
          <w:rFonts w:cstheme="minorBidi"/>
          <w:color w:val="000000"/>
          <w:sz w:val="22"/>
          <w:szCs w:val="22"/>
          <w:lang w:eastAsia="en-US"/>
        </w:rPr>
        <w:t>нов. Несмотря на видимую простоту и очевидность подходов, рук</w:t>
      </w:r>
      <w:r w:rsidRPr="00724342">
        <w:rPr>
          <w:rFonts w:cstheme="minorBidi"/>
          <w:color w:val="000000"/>
          <w:sz w:val="22"/>
          <w:szCs w:val="22"/>
          <w:lang w:eastAsia="en-US"/>
        </w:rPr>
        <w:t>о</w:t>
      </w:r>
      <w:r w:rsidRPr="00724342">
        <w:rPr>
          <w:rFonts w:cstheme="minorBidi"/>
          <w:color w:val="000000"/>
          <w:sz w:val="22"/>
          <w:szCs w:val="22"/>
          <w:lang w:eastAsia="en-US"/>
        </w:rPr>
        <w:t>водство многих предприятий сталкивается с трудностями, связа</w:t>
      </w:r>
      <w:r w:rsidRPr="00724342">
        <w:rPr>
          <w:rFonts w:cstheme="minorBidi"/>
          <w:color w:val="000000"/>
          <w:sz w:val="22"/>
          <w:szCs w:val="22"/>
          <w:lang w:eastAsia="en-US"/>
        </w:rPr>
        <w:t>н</w:t>
      </w:r>
      <w:r w:rsidRPr="00724342">
        <w:rPr>
          <w:rFonts w:cstheme="minorBidi"/>
          <w:color w:val="000000"/>
          <w:sz w:val="22"/>
          <w:szCs w:val="22"/>
          <w:lang w:eastAsia="en-US"/>
        </w:rPr>
        <w:t>ными с недостаточной прозрачностью и контролируемостью затрат.</w:t>
      </w:r>
    </w:p>
    <w:p w:rsidR="00724342" w:rsidRPr="00724342" w:rsidRDefault="00724342" w:rsidP="0010381E">
      <w:pPr>
        <w:shd w:val="clear" w:color="auto" w:fill="FFFFFF"/>
        <w:ind w:firstLine="426"/>
        <w:jc w:val="both"/>
        <w:rPr>
          <w:rFonts w:cstheme="minorBidi"/>
          <w:color w:val="000000"/>
          <w:sz w:val="22"/>
          <w:szCs w:val="22"/>
          <w:lang w:eastAsia="en-US"/>
        </w:rPr>
      </w:pPr>
      <w:r w:rsidRPr="00724342">
        <w:rPr>
          <w:rFonts w:cstheme="minorBidi"/>
          <w:color w:val="000000"/>
          <w:sz w:val="22"/>
          <w:szCs w:val="22"/>
          <w:lang w:eastAsia="en-US"/>
        </w:rPr>
        <w:t>Особенность транспортной продукции предопределяют ос</w:t>
      </w:r>
      <w:r w:rsidRPr="00724342">
        <w:rPr>
          <w:rFonts w:cstheme="minorBidi"/>
          <w:color w:val="000000"/>
          <w:sz w:val="22"/>
          <w:szCs w:val="22"/>
          <w:lang w:eastAsia="en-US"/>
        </w:rPr>
        <w:t>о</w:t>
      </w:r>
      <w:r w:rsidRPr="00724342">
        <w:rPr>
          <w:rFonts w:cstheme="minorBidi"/>
          <w:color w:val="000000"/>
          <w:sz w:val="22"/>
          <w:szCs w:val="22"/>
          <w:lang w:eastAsia="en-US"/>
        </w:rPr>
        <w:t>бенности формирования затрат и себестоимости, и соответственно методы учета, контроля и анализа затрат в первую очередь на пер</w:t>
      </w:r>
      <w:r w:rsidRPr="00724342">
        <w:rPr>
          <w:rFonts w:cstheme="minorBidi"/>
          <w:color w:val="000000"/>
          <w:sz w:val="22"/>
          <w:szCs w:val="22"/>
          <w:lang w:eastAsia="en-US"/>
        </w:rPr>
        <w:t>е</w:t>
      </w:r>
      <w:r w:rsidRPr="00724342">
        <w:rPr>
          <w:rFonts w:cstheme="minorBidi"/>
          <w:color w:val="000000"/>
          <w:sz w:val="22"/>
          <w:szCs w:val="22"/>
          <w:lang w:eastAsia="en-US"/>
        </w:rPr>
        <w:t>возках. Уровень затрат транспортного предприятия дает оценку степени эффективности использования не только финансовых р</w:t>
      </w:r>
      <w:r w:rsidRPr="00724342">
        <w:rPr>
          <w:rFonts w:cstheme="minorBidi"/>
          <w:color w:val="000000"/>
          <w:sz w:val="22"/>
          <w:szCs w:val="22"/>
          <w:lang w:eastAsia="en-US"/>
        </w:rPr>
        <w:t>е</w:t>
      </w:r>
      <w:r w:rsidRPr="00724342">
        <w:rPr>
          <w:rFonts w:cstheme="minorBidi"/>
          <w:color w:val="000000"/>
          <w:sz w:val="22"/>
          <w:szCs w:val="22"/>
          <w:lang w:eastAsia="en-US"/>
        </w:rPr>
        <w:t>сурсов, но и производственного процесса в целом. Соответственно на экономическую эффективность деятельности транспортной ко</w:t>
      </w:r>
      <w:r w:rsidRPr="00724342">
        <w:rPr>
          <w:rFonts w:cstheme="minorBidi"/>
          <w:color w:val="000000"/>
          <w:sz w:val="22"/>
          <w:szCs w:val="22"/>
          <w:lang w:eastAsia="en-US"/>
        </w:rPr>
        <w:t>м</w:t>
      </w:r>
      <w:r w:rsidRPr="00724342">
        <w:rPr>
          <w:rFonts w:cstheme="minorBidi"/>
          <w:color w:val="000000"/>
          <w:sz w:val="22"/>
          <w:szCs w:val="22"/>
          <w:lang w:eastAsia="en-US"/>
        </w:rPr>
        <w:t>пании влияют: изменение себестоимости, объема работ, услуг. При многообразии производимой продукции работ и услуг и неопред</w:t>
      </w:r>
      <w:r w:rsidRPr="00724342">
        <w:rPr>
          <w:rFonts w:cstheme="minorBidi"/>
          <w:color w:val="000000"/>
          <w:sz w:val="22"/>
          <w:szCs w:val="22"/>
          <w:lang w:eastAsia="en-US"/>
        </w:rPr>
        <w:t>е</w:t>
      </w:r>
      <w:r w:rsidRPr="00724342">
        <w:rPr>
          <w:rFonts w:cstheme="minorBidi"/>
          <w:color w:val="000000"/>
          <w:sz w:val="22"/>
          <w:szCs w:val="22"/>
          <w:lang w:eastAsia="en-US"/>
        </w:rPr>
        <w:t>ленности производственной программы транспортных организаций чрезвычайно важно объективно оценивать уровень затрат, относ</w:t>
      </w:r>
      <w:r w:rsidRPr="00724342">
        <w:rPr>
          <w:rFonts w:cstheme="minorBidi"/>
          <w:color w:val="000000"/>
          <w:sz w:val="22"/>
          <w:szCs w:val="22"/>
          <w:lang w:eastAsia="en-US"/>
        </w:rPr>
        <w:t>и</w:t>
      </w:r>
      <w:r w:rsidRPr="00724342">
        <w:rPr>
          <w:rFonts w:cstheme="minorBidi"/>
          <w:color w:val="000000"/>
          <w:sz w:val="22"/>
          <w:szCs w:val="22"/>
          <w:lang w:eastAsia="en-US"/>
        </w:rPr>
        <w:t>мых на себестоимость конкретной продукции. А это в свою очередь требует разработки такой группировки затрат, которая бы обесп</w:t>
      </w:r>
      <w:r w:rsidRPr="00724342">
        <w:rPr>
          <w:rFonts w:cstheme="minorBidi"/>
          <w:color w:val="000000"/>
          <w:sz w:val="22"/>
          <w:szCs w:val="22"/>
          <w:lang w:eastAsia="en-US"/>
        </w:rPr>
        <w:t>е</w:t>
      </w:r>
      <w:r w:rsidRPr="00724342">
        <w:rPr>
          <w:rFonts w:cstheme="minorBidi"/>
          <w:color w:val="000000"/>
          <w:sz w:val="22"/>
          <w:szCs w:val="22"/>
          <w:lang w:eastAsia="en-US"/>
        </w:rPr>
        <w:t>чивала детальный учет затрат по видам продукции, экономическим элементам и по калькуляционным статьям. Такая группировка по</w:t>
      </w:r>
      <w:r w:rsidRPr="00724342">
        <w:rPr>
          <w:rFonts w:cstheme="minorBidi"/>
          <w:color w:val="000000"/>
          <w:sz w:val="22"/>
          <w:szCs w:val="22"/>
          <w:lang w:eastAsia="en-US"/>
        </w:rPr>
        <w:t>з</w:t>
      </w:r>
      <w:r w:rsidRPr="00724342">
        <w:rPr>
          <w:rFonts w:cstheme="minorBidi"/>
          <w:color w:val="000000"/>
          <w:sz w:val="22"/>
          <w:szCs w:val="22"/>
          <w:lang w:eastAsia="en-US"/>
        </w:rPr>
        <w:t>волит выбрать действенные методы управления затратами. При этом непременным условием расчета затрат и себестоимости явл</w:t>
      </w:r>
      <w:r w:rsidRPr="00724342">
        <w:rPr>
          <w:rFonts w:cstheme="minorBidi"/>
          <w:color w:val="000000"/>
          <w:sz w:val="22"/>
          <w:szCs w:val="22"/>
          <w:lang w:eastAsia="en-US"/>
        </w:rPr>
        <w:t>я</w:t>
      </w:r>
      <w:r w:rsidRPr="00724342">
        <w:rPr>
          <w:rFonts w:cstheme="minorBidi"/>
          <w:color w:val="000000"/>
          <w:sz w:val="22"/>
          <w:szCs w:val="22"/>
          <w:lang w:eastAsia="en-US"/>
        </w:rPr>
        <w:t>ется выбор соответствующих измерителей, позволяющих объекти</w:t>
      </w:r>
      <w:r w:rsidRPr="00724342">
        <w:rPr>
          <w:rFonts w:cstheme="minorBidi"/>
          <w:color w:val="000000"/>
          <w:sz w:val="22"/>
          <w:szCs w:val="22"/>
          <w:lang w:eastAsia="en-US"/>
        </w:rPr>
        <w:t>в</w:t>
      </w:r>
      <w:r w:rsidRPr="00724342">
        <w:rPr>
          <w:rFonts w:cstheme="minorBidi"/>
          <w:color w:val="000000"/>
          <w:sz w:val="22"/>
          <w:szCs w:val="22"/>
          <w:lang w:eastAsia="en-US"/>
        </w:rPr>
        <w:t>но относить как специфические основные, так и косвенные расх</w:t>
      </w:r>
      <w:r w:rsidRPr="00724342">
        <w:rPr>
          <w:rFonts w:cstheme="minorBidi"/>
          <w:color w:val="000000"/>
          <w:sz w:val="22"/>
          <w:szCs w:val="22"/>
          <w:lang w:eastAsia="en-US"/>
        </w:rPr>
        <w:t>о</w:t>
      </w:r>
      <w:r w:rsidRPr="00724342">
        <w:rPr>
          <w:rFonts w:cstheme="minorBidi"/>
          <w:color w:val="000000"/>
          <w:sz w:val="22"/>
          <w:szCs w:val="22"/>
          <w:lang w:eastAsia="en-US"/>
        </w:rPr>
        <w:t>ды. При невыполнении этих условий расчеты себестоимости могут быть достаточно условны и соответственно невозможно правильно сформировать конкурентоспособные цены на продукцию, работы и услуги. Такая группировка вполне обоснована, однако способы о</w:t>
      </w:r>
      <w:r w:rsidRPr="00724342">
        <w:rPr>
          <w:rFonts w:cstheme="minorBidi"/>
          <w:color w:val="000000"/>
          <w:sz w:val="22"/>
          <w:szCs w:val="22"/>
          <w:lang w:eastAsia="en-US"/>
        </w:rPr>
        <w:t>т</w:t>
      </w:r>
      <w:r w:rsidRPr="00724342">
        <w:rPr>
          <w:rFonts w:cstheme="minorBidi"/>
          <w:color w:val="000000"/>
          <w:sz w:val="22"/>
          <w:szCs w:val="22"/>
          <w:lang w:eastAsia="en-US"/>
        </w:rPr>
        <w:t>несения косвенных затрат по видам деятельности требует сущ</w:t>
      </w:r>
      <w:r w:rsidRPr="00724342">
        <w:rPr>
          <w:rFonts w:cstheme="minorBidi"/>
          <w:color w:val="000000"/>
          <w:sz w:val="22"/>
          <w:szCs w:val="22"/>
          <w:lang w:eastAsia="en-US"/>
        </w:rPr>
        <w:t>е</w:t>
      </w:r>
      <w:r w:rsidRPr="00724342">
        <w:rPr>
          <w:rFonts w:cstheme="minorBidi"/>
          <w:color w:val="000000"/>
          <w:sz w:val="22"/>
          <w:szCs w:val="22"/>
          <w:lang w:eastAsia="en-US"/>
        </w:rPr>
        <w:t>ственной доработки. Например, отнесение амортизационных отчи</w:t>
      </w:r>
      <w:r w:rsidRPr="00724342">
        <w:rPr>
          <w:rFonts w:cstheme="minorBidi"/>
          <w:color w:val="000000"/>
          <w:sz w:val="22"/>
          <w:szCs w:val="22"/>
          <w:lang w:eastAsia="en-US"/>
        </w:rPr>
        <w:t>с</w:t>
      </w:r>
      <w:r w:rsidRPr="00724342">
        <w:rPr>
          <w:rFonts w:cstheme="minorBidi"/>
          <w:color w:val="000000"/>
          <w:sz w:val="22"/>
          <w:szCs w:val="22"/>
          <w:lang w:eastAsia="en-US"/>
        </w:rPr>
        <w:t>лений по видам деятельности после передачи большей части осно</w:t>
      </w:r>
      <w:r w:rsidRPr="00724342">
        <w:rPr>
          <w:rFonts w:cstheme="minorBidi"/>
          <w:color w:val="000000"/>
          <w:sz w:val="22"/>
          <w:szCs w:val="22"/>
          <w:lang w:eastAsia="en-US"/>
        </w:rPr>
        <w:t>в</w:t>
      </w:r>
      <w:r w:rsidRPr="00724342">
        <w:rPr>
          <w:rFonts w:cstheme="minorBidi"/>
          <w:color w:val="000000"/>
          <w:sz w:val="22"/>
          <w:szCs w:val="22"/>
          <w:lang w:eastAsia="en-US"/>
        </w:rPr>
        <w:t>ных средств в дирекцию инфраструктуры не позволяет на наш взгляд реально отразить этот элемент не только в структуре затрат подразделений, но и не способствует своевременному и объекти</w:t>
      </w:r>
      <w:r w:rsidRPr="00724342">
        <w:rPr>
          <w:rFonts w:cstheme="minorBidi"/>
          <w:color w:val="000000"/>
          <w:sz w:val="22"/>
          <w:szCs w:val="22"/>
          <w:lang w:eastAsia="en-US"/>
        </w:rPr>
        <w:t>в</w:t>
      </w:r>
      <w:r w:rsidRPr="00724342">
        <w:rPr>
          <w:rFonts w:cstheme="minorBidi"/>
          <w:color w:val="000000"/>
          <w:sz w:val="22"/>
          <w:szCs w:val="22"/>
          <w:lang w:eastAsia="en-US"/>
        </w:rPr>
        <w:lastRenderedPageBreak/>
        <w:t>ному выделению инвестиций как на ремонт, так и на полное во</w:t>
      </w:r>
      <w:r w:rsidRPr="00724342">
        <w:rPr>
          <w:rFonts w:cstheme="minorBidi"/>
          <w:color w:val="000000"/>
          <w:sz w:val="22"/>
          <w:szCs w:val="22"/>
          <w:lang w:eastAsia="en-US"/>
        </w:rPr>
        <w:t>с</w:t>
      </w:r>
      <w:r w:rsidRPr="00724342">
        <w:rPr>
          <w:rFonts w:cstheme="minorBidi"/>
          <w:color w:val="000000"/>
          <w:sz w:val="22"/>
          <w:szCs w:val="22"/>
          <w:lang w:eastAsia="en-US"/>
        </w:rPr>
        <w:t>становление. Особенность управления производственным проце</w:t>
      </w:r>
      <w:r w:rsidRPr="00724342">
        <w:rPr>
          <w:rFonts w:cstheme="minorBidi"/>
          <w:color w:val="000000"/>
          <w:sz w:val="22"/>
          <w:szCs w:val="22"/>
          <w:lang w:eastAsia="en-US"/>
        </w:rPr>
        <w:t>с</w:t>
      </w:r>
      <w:r w:rsidRPr="00724342">
        <w:rPr>
          <w:rFonts w:cstheme="minorBidi"/>
          <w:color w:val="000000"/>
          <w:sz w:val="22"/>
          <w:szCs w:val="22"/>
          <w:lang w:eastAsia="en-US"/>
        </w:rPr>
        <w:t>сом на железнодорожном транспорте заключается в неопределенн</w:t>
      </w:r>
      <w:r w:rsidRPr="00724342">
        <w:rPr>
          <w:rFonts w:cstheme="minorBidi"/>
          <w:color w:val="000000"/>
          <w:sz w:val="22"/>
          <w:szCs w:val="22"/>
          <w:lang w:eastAsia="en-US"/>
        </w:rPr>
        <w:t>о</w:t>
      </w:r>
      <w:r w:rsidRPr="00724342">
        <w:rPr>
          <w:rFonts w:cstheme="minorBidi"/>
          <w:color w:val="000000"/>
          <w:sz w:val="22"/>
          <w:szCs w:val="22"/>
          <w:lang w:eastAsia="en-US"/>
        </w:rPr>
        <w:t>сти объема работ. Соответственно не может быть единообразного подхода к планированию затрат. Однако, действующая на железн</w:t>
      </w:r>
      <w:r w:rsidRPr="00724342">
        <w:rPr>
          <w:rFonts w:cstheme="minorBidi"/>
          <w:color w:val="000000"/>
          <w:sz w:val="22"/>
          <w:szCs w:val="22"/>
          <w:lang w:eastAsia="en-US"/>
        </w:rPr>
        <w:t>о</w:t>
      </w:r>
      <w:r w:rsidRPr="00724342">
        <w:rPr>
          <w:rFonts w:cstheme="minorBidi"/>
          <w:color w:val="000000"/>
          <w:sz w:val="22"/>
          <w:szCs w:val="22"/>
          <w:lang w:eastAsia="en-US"/>
        </w:rPr>
        <w:t>дорожном транспорте система бюджетирования, на наш взгляд, требует существенных изменений так как основными ее недоста</w:t>
      </w:r>
      <w:r w:rsidRPr="00724342">
        <w:rPr>
          <w:rFonts w:cstheme="minorBidi"/>
          <w:color w:val="000000"/>
          <w:sz w:val="22"/>
          <w:szCs w:val="22"/>
          <w:lang w:eastAsia="en-US"/>
        </w:rPr>
        <w:t>т</w:t>
      </w:r>
      <w:r w:rsidRPr="00724342">
        <w:rPr>
          <w:rFonts w:cstheme="minorBidi"/>
          <w:color w:val="000000"/>
          <w:sz w:val="22"/>
          <w:szCs w:val="22"/>
          <w:lang w:eastAsia="en-US"/>
        </w:rPr>
        <w:t>ками являются излишняя формализованность, жесткий бюджет для структурный подразделений дорог и практически полная финанс</w:t>
      </w:r>
      <w:r w:rsidRPr="00724342">
        <w:rPr>
          <w:rFonts w:cstheme="minorBidi"/>
          <w:color w:val="000000"/>
          <w:sz w:val="22"/>
          <w:szCs w:val="22"/>
          <w:lang w:eastAsia="en-US"/>
        </w:rPr>
        <w:t>о</w:t>
      </w:r>
      <w:r w:rsidRPr="00724342">
        <w:rPr>
          <w:rFonts w:cstheme="minorBidi"/>
          <w:color w:val="000000"/>
          <w:sz w:val="22"/>
          <w:szCs w:val="22"/>
          <w:lang w:eastAsia="en-US"/>
        </w:rPr>
        <w:t>вая несамостоятельность. Все это приводит к тому, что эти стру</w:t>
      </w:r>
      <w:r w:rsidRPr="00724342">
        <w:rPr>
          <w:rFonts w:cstheme="minorBidi"/>
          <w:color w:val="000000"/>
          <w:sz w:val="22"/>
          <w:szCs w:val="22"/>
          <w:lang w:eastAsia="en-US"/>
        </w:rPr>
        <w:t>к</w:t>
      </w:r>
      <w:r w:rsidRPr="00724342">
        <w:rPr>
          <w:rFonts w:cstheme="minorBidi"/>
          <w:color w:val="000000"/>
          <w:sz w:val="22"/>
          <w:szCs w:val="22"/>
          <w:lang w:eastAsia="en-US"/>
        </w:rPr>
        <w:t>турные единицы неспособны активизировать управленческий пе</w:t>
      </w:r>
      <w:r w:rsidRPr="00724342">
        <w:rPr>
          <w:rFonts w:cstheme="minorBidi"/>
          <w:color w:val="000000"/>
          <w:sz w:val="22"/>
          <w:szCs w:val="22"/>
          <w:lang w:eastAsia="en-US"/>
        </w:rPr>
        <w:t>р</w:t>
      </w:r>
      <w:r w:rsidRPr="00724342">
        <w:rPr>
          <w:rFonts w:cstheme="minorBidi"/>
          <w:color w:val="000000"/>
          <w:sz w:val="22"/>
          <w:szCs w:val="22"/>
          <w:lang w:eastAsia="en-US"/>
        </w:rPr>
        <w:t>сонал на снижение затрат и соответственно снижение себестоим</w:t>
      </w:r>
      <w:r w:rsidRPr="00724342">
        <w:rPr>
          <w:rFonts w:cstheme="minorBidi"/>
          <w:color w:val="000000"/>
          <w:sz w:val="22"/>
          <w:szCs w:val="22"/>
          <w:lang w:eastAsia="en-US"/>
        </w:rPr>
        <w:t>о</w:t>
      </w:r>
      <w:r w:rsidRPr="00724342">
        <w:rPr>
          <w:rFonts w:cstheme="minorBidi"/>
          <w:color w:val="000000"/>
          <w:sz w:val="22"/>
          <w:szCs w:val="22"/>
          <w:lang w:eastAsia="en-US"/>
        </w:rPr>
        <w:t>сти. Поэтому, планирование затрат структурным подразделения по прошлым периодам, осуществляемое центрами ответственности при бюджетировании, приводит к ползучему росту затрат от пери</w:t>
      </w:r>
      <w:r w:rsidRPr="00724342">
        <w:rPr>
          <w:rFonts w:cstheme="minorBidi"/>
          <w:color w:val="000000"/>
          <w:sz w:val="22"/>
          <w:szCs w:val="22"/>
          <w:lang w:eastAsia="en-US"/>
        </w:rPr>
        <w:t>о</w:t>
      </w:r>
      <w:r w:rsidRPr="00724342">
        <w:rPr>
          <w:rFonts w:cstheme="minorBidi"/>
          <w:color w:val="000000"/>
          <w:sz w:val="22"/>
          <w:szCs w:val="22"/>
          <w:lang w:eastAsia="en-US"/>
        </w:rPr>
        <w:t xml:space="preserve">да к периоду [1]. </w:t>
      </w:r>
    </w:p>
    <w:p w:rsidR="00724342" w:rsidRPr="00724342" w:rsidRDefault="00724342" w:rsidP="0010381E">
      <w:pPr>
        <w:suppressAutoHyphens/>
        <w:ind w:firstLine="426"/>
        <w:jc w:val="both"/>
        <w:rPr>
          <w:rFonts w:eastAsiaTheme="minorHAnsi"/>
          <w:sz w:val="22"/>
          <w:szCs w:val="22"/>
          <w:lang w:eastAsia="en-US"/>
        </w:rPr>
      </w:pPr>
      <w:r w:rsidRPr="00724342">
        <w:rPr>
          <w:color w:val="000000"/>
          <w:sz w:val="22"/>
          <w:szCs w:val="22"/>
          <w:lang w:eastAsia="en-US"/>
        </w:rPr>
        <w:t>Бюджетирование один из самых действенных способов управления затратами, но при соблюдении определенных правил внедрения. Так одним из таких правил является материальная заинтересованность конкретных работников в экономии затрат, при условии достаточно длительного срока действия норм и нормативов бюджетного плана. Необходимо возвращение хотя бы к частичной самостоятельности структурных подразделений в формировании бюджета с учетом контрольных цифр на более длительный период и установления прямой зависимости материального поощрения за оптимизацию затрат.</w:t>
      </w:r>
      <w:r w:rsidRPr="00724342">
        <w:rPr>
          <w:rFonts w:eastAsiaTheme="minorHAnsi"/>
          <w:sz w:val="22"/>
          <w:szCs w:val="22"/>
          <w:lang w:eastAsia="en-US"/>
        </w:rPr>
        <w:t xml:space="preserve"> </w:t>
      </w:r>
    </w:p>
    <w:p w:rsidR="00724342" w:rsidRPr="00724342" w:rsidRDefault="00724342" w:rsidP="0010381E">
      <w:pPr>
        <w:suppressAutoHyphens/>
        <w:ind w:firstLine="426"/>
        <w:jc w:val="both"/>
        <w:rPr>
          <w:rFonts w:eastAsiaTheme="minorHAnsi" w:cstheme="minorBidi"/>
          <w:color w:val="FF0000"/>
          <w:sz w:val="22"/>
          <w:szCs w:val="22"/>
          <w:lang w:eastAsia="en-US"/>
        </w:rPr>
      </w:pPr>
    </w:p>
    <w:p w:rsidR="00724342" w:rsidRPr="00724342" w:rsidRDefault="00724342" w:rsidP="0010381E">
      <w:pPr>
        <w:ind w:firstLine="426"/>
        <w:jc w:val="center"/>
        <w:rPr>
          <w:rFonts w:eastAsiaTheme="minorHAnsi" w:cstheme="minorBidi"/>
          <w:color w:val="000000"/>
          <w:sz w:val="22"/>
          <w:szCs w:val="22"/>
          <w:lang w:eastAsia="en-US"/>
        </w:rPr>
      </w:pPr>
      <w:r w:rsidRPr="00724342">
        <w:rPr>
          <w:rFonts w:eastAsiaTheme="minorHAnsi" w:cstheme="minorBidi"/>
          <w:color w:val="000000"/>
          <w:sz w:val="22"/>
          <w:szCs w:val="22"/>
          <w:lang w:eastAsia="en-US"/>
        </w:rPr>
        <w:t>Список литературы</w:t>
      </w:r>
    </w:p>
    <w:p w:rsidR="00724342" w:rsidRPr="00724342" w:rsidRDefault="00724342" w:rsidP="0010381E">
      <w:pPr>
        <w:ind w:firstLine="426"/>
        <w:jc w:val="both"/>
        <w:rPr>
          <w:rFonts w:eastAsiaTheme="minorHAnsi" w:cstheme="minorBidi"/>
          <w:sz w:val="22"/>
          <w:szCs w:val="22"/>
          <w:lang w:val="en-US" w:eastAsia="en-US"/>
        </w:rPr>
      </w:pPr>
      <w:r w:rsidRPr="00724342">
        <w:rPr>
          <w:rFonts w:eastAsiaTheme="minorHAnsi" w:cstheme="minorBidi"/>
          <w:color w:val="000000"/>
          <w:sz w:val="22"/>
          <w:szCs w:val="22"/>
          <w:lang w:eastAsia="en-US"/>
        </w:rPr>
        <w:t xml:space="preserve">1. </w:t>
      </w:r>
      <w:r w:rsidRPr="00724342">
        <w:rPr>
          <w:rFonts w:eastAsiaTheme="minorHAnsi" w:cstheme="minorBidi"/>
          <w:sz w:val="22"/>
          <w:szCs w:val="22"/>
          <w:lang w:eastAsia="en-US"/>
        </w:rPr>
        <w:t xml:space="preserve">Арутюнян Ю. И., Чертова Т. С., Нелина Н. И. Проблемы внедрения системы «директ-костинг» [Текст] / Ю. И. Арутюнян, Т. С. Чертова, Н. И. Нелина // The modern world: experience, problems and prospects. </w:t>
      </w:r>
      <w:r w:rsidRPr="00724342">
        <w:rPr>
          <w:rFonts w:eastAsiaTheme="minorHAnsi" w:cstheme="minorBidi"/>
          <w:sz w:val="22"/>
          <w:szCs w:val="22"/>
          <w:lang w:val="en-US" w:eastAsia="en-US"/>
        </w:rPr>
        <w:t>Materials of the II international research and practice co</w:t>
      </w:r>
      <w:r w:rsidRPr="00724342">
        <w:rPr>
          <w:rFonts w:eastAsiaTheme="minorHAnsi" w:cstheme="minorBidi"/>
          <w:sz w:val="22"/>
          <w:szCs w:val="22"/>
          <w:lang w:val="en-US" w:eastAsia="en-US"/>
        </w:rPr>
        <w:t>n</w:t>
      </w:r>
      <w:r w:rsidRPr="00724342">
        <w:rPr>
          <w:rFonts w:eastAsiaTheme="minorHAnsi" w:cstheme="minorBidi"/>
          <w:sz w:val="22"/>
          <w:szCs w:val="22"/>
          <w:lang w:val="en-US" w:eastAsia="en-US"/>
        </w:rPr>
        <w:t xml:space="preserve">ference. - 2016, </w:t>
      </w:r>
      <w:r w:rsidRPr="00724342">
        <w:rPr>
          <w:rFonts w:eastAsiaTheme="minorHAnsi" w:cstheme="minorBidi"/>
          <w:sz w:val="22"/>
          <w:szCs w:val="22"/>
          <w:lang w:eastAsia="en-US"/>
        </w:rPr>
        <w:t>С</w:t>
      </w:r>
      <w:r w:rsidRPr="00724342">
        <w:rPr>
          <w:rFonts w:eastAsiaTheme="minorHAnsi" w:cstheme="minorBidi"/>
          <w:sz w:val="22"/>
          <w:szCs w:val="22"/>
          <w:lang w:val="en-US" w:eastAsia="en-US"/>
        </w:rPr>
        <w:t>.14-20.</w:t>
      </w:r>
    </w:p>
    <w:p w:rsidR="00724342" w:rsidRPr="00724342" w:rsidRDefault="00724342" w:rsidP="0010381E">
      <w:pPr>
        <w:ind w:firstLine="426"/>
        <w:jc w:val="both"/>
        <w:rPr>
          <w:rFonts w:eastAsiaTheme="minorHAnsi" w:cstheme="minorBidi"/>
          <w:color w:val="000000"/>
          <w:sz w:val="22"/>
          <w:szCs w:val="22"/>
          <w:lang w:eastAsia="en-US"/>
        </w:rPr>
      </w:pPr>
      <w:r w:rsidRPr="00724342">
        <w:rPr>
          <w:rFonts w:eastAsiaTheme="minorHAnsi" w:cstheme="minorBidi"/>
          <w:color w:val="000000"/>
          <w:sz w:val="22"/>
          <w:szCs w:val="22"/>
          <w:lang w:eastAsia="en-US"/>
        </w:rPr>
        <w:t>2. Бардак А.В., Бухкалова В.В., Погребная Н.В. Инвестицио</w:t>
      </w:r>
      <w:r w:rsidRPr="00724342">
        <w:rPr>
          <w:rFonts w:eastAsiaTheme="minorHAnsi" w:cstheme="minorBidi"/>
          <w:color w:val="000000"/>
          <w:sz w:val="22"/>
          <w:szCs w:val="22"/>
          <w:lang w:eastAsia="en-US"/>
        </w:rPr>
        <w:t>н</w:t>
      </w:r>
      <w:r w:rsidRPr="00724342">
        <w:rPr>
          <w:rFonts w:eastAsiaTheme="minorHAnsi" w:cstheme="minorBidi"/>
          <w:color w:val="000000"/>
          <w:sz w:val="22"/>
          <w:szCs w:val="22"/>
          <w:lang w:eastAsia="en-US"/>
        </w:rPr>
        <w:t>ная привлекательность отрасли сельского хозяйства Краснодарск</w:t>
      </w:r>
      <w:r w:rsidRPr="00724342">
        <w:rPr>
          <w:rFonts w:eastAsiaTheme="minorHAnsi" w:cstheme="minorBidi"/>
          <w:color w:val="000000"/>
          <w:sz w:val="22"/>
          <w:szCs w:val="22"/>
          <w:lang w:eastAsia="en-US"/>
        </w:rPr>
        <w:t>о</w:t>
      </w:r>
      <w:r w:rsidRPr="00724342">
        <w:rPr>
          <w:rFonts w:eastAsiaTheme="minorHAnsi" w:cstheme="minorBidi"/>
          <w:color w:val="000000"/>
          <w:sz w:val="22"/>
          <w:szCs w:val="22"/>
          <w:lang w:eastAsia="en-US"/>
        </w:rPr>
        <w:t>го края // Сolloquium-journal. 2017. Т. 1. № 7 (7). С. 95-100.</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r w:rsidRPr="00724342">
        <w:rPr>
          <w:rFonts w:ascii="Times New Roman CYR" w:hAnsi="Times New Roman CYR" w:cs="Times New Roman CYR"/>
          <w:sz w:val="22"/>
          <w:szCs w:val="22"/>
        </w:rPr>
        <w:lastRenderedPageBreak/>
        <w:t>УДК 331.56</w:t>
      </w:r>
    </w:p>
    <w:p w:rsidR="00724342" w:rsidRPr="00724342" w:rsidRDefault="00724342" w:rsidP="00724342">
      <w:pPr>
        <w:widowControl w:val="0"/>
        <w:autoSpaceDE w:val="0"/>
        <w:autoSpaceDN w:val="0"/>
        <w:adjustRightInd w:val="0"/>
        <w:jc w:val="both"/>
        <w:rPr>
          <w:rFonts w:ascii="Times New Roman CYR" w:hAnsi="Times New Roman CYR" w:cs="Times New Roman CYR"/>
          <w:b/>
          <w:bCs/>
          <w:sz w:val="22"/>
          <w:szCs w:val="22"/>
        </w:rPr>
      </w:pPr>
    </w:p>
    <w:p w:rsidR="00724342" w:rsidRPr="00724342" w:rsidRDefault="00724342" w:rsidP="00724342">
      <w:pPr>
        <w:widowControl w:val="0"/>
        <w:autoSpaceDE w:val="0"/>
        <w:autoSpaceDN w:val="0"/>
        <w:adjustRightInd w:val="0"/>
        <w:jc w:val="center"/>
        <w:rPr>
          <w:rFonts w:ascii="Times New Roman CYR" w:hAnsi="Times New Roman CYR" w:cs="Times New Roman CYR"/>
          <w:b/>
          <w:bCs/>
          <w:sz w:val="24"/>
          <w:szCs w:val="24"/>
        </w:rPr>
      </w:pPr>
      <w:r w:rsidRPr="00724342">
        <w:rPr>
          <w:rFonts w:ascii="Times New Roman CYR" w:hAnsi="Times New Roman CYR" w:cs="Times New Roman CYR"/>
          <w:b/>
          <w:bCs/>
          <w:sz w:val="24"/>
          <w:szCs w:val="24"/>
        </w:rPr>
        <w:t>Причины возникновения молодежной безработицы</w:t>
      </w:r>
    </w:p>
    <w:p w:rsidR="00724342" w:rsidRPr="00724342" w:rsidRDefault="00724342" w:rsidP="00724342">
      <w:pPr>
        <w:widowControl w:val="0"/>
        <w:autoSpaceDE w:val="0"/>
        <w:autoSpaceDN w:val="0"/>
        <w:adjustRightInd w:val="0"/>
        <w:jc w:val="center"/>
        <w:rPr>
          <w:rFonts w:ascii="Times New Roman CYR" w:hAnsi="Times New Roman CYR" w:cs="Times New Roman CYR"/>
          <w:b/>
          <w:bCs/>
          <w:sz w:val="24"/>
          <w:szCs w:val="24"/>
        </w:rPr>
      </w:pPr>
      <w:r w:rsidRPr="00724342">
        <w:rPr>
          <w:rFonts w:ascii="Times New Roman CYR" w:hAnsi="Times New Roman CYR" w:cs="Times New Roman CYR"/>
          <w:b/>
          <w:bCs/>
          <w:sz w:val="24"/>
          <w:szCs w:val="24"/>
          <w:lang w:val="en-US"/>
        </w:rPr>
        <w:t>The</w:t>
      </w:r>
      <w:r w:rsidRPr="00724342">
        <w:rPr>
          <w:rFonts w:ascii="Times New Roman CYR" w:hAnsi="Times New Roman CYR" w:cs="Times New Roman CYR"/>
          <w:b/>
          <w:bCs/>
          <w:sz w:val="24"/>
          <w:szCs w:val="24"/>
        </w:rPr>
        <w:t xml:space="preserve"> </w:t>
      </w:r>
      <w:r w:rsidRPr="00724342">
        <w:rPr>
          <w:rFonts w:ascii="Times New Roman CYR" w:hAnsi="Times New Roman CYR" w:cs="Times New Roman CYR"/>
          <w:b/>
          <w:bCs/>
          <w:sz w:val="24"/>
          <w:szCs w:val="24"/>
          <w:lang w:val="en-US"/>
        </w:rPr>
        <w:t>causes</w:t>
      </w:r>
      <w:r w:rsidRPr="00724342">
        <w:rPr>
          <w:rFonts w:ascii="Times New Roman CYR" w:hAnsi="Times New Roman CYR" w:cs="Times New Roman CYR"/>
          <w:b/>
          <w:bCs/>
          <w:sz w:val="24"/>
          <w:szCs w:val="24"/>
        </w:rPr>
        <w:t xml:space="preserve"> </w:t>
      </w:r>
      <w:r w:rsidRPr="00724342">
        <w:rPr>
          <w:rFonts w:ascii="Times New Roman CYR" w:hAnsi="Times New Roman CYR" w:cs="Times New Roman CYR"/>
          <w:b/>
          <w:bCs/>
          <w:sz w:val="24"/>
          <w:szCs w:val="24"/>
          <w:lang w:val="en-US"/>
        </w:rPr>
        <w:t>of</w:t>
      </w:r>
      <w:r w:rsidRPr="00724342">
        <w:rPr>
          <w:rFonts w:ascii="Times New Roman CYR" w:hAnsi="Times New Roman CYR" w:cs="Times New Roman CYR"/>
          <w:b/>
          <w:bCs/>
          <w:sz w:val="24"/>
          <w:szCs w:val="24"/>
        </w:rPr>
        <w:t xml:space="preserve"> </w:t>
      </w:r>
      <w:r w:rsidRPr="00724342">
        <w:rPr>
          <w:rFonts w:ascii="Times New Roman CYR" w:hAnsi="Times New Roman CYR" w:cs="Times New Roman CYR"/>
          <w:b/>
          <w:bCs/>
          <w:sz w:val="24"/>
          <w:szCs w:val="24"/>
          <w:lang w:val="en-US"/>
        </w:rPr>
        <w:t>youth</w:t>
      </w:r>
      <w:r w:rsidRPr="00724342">
        <w:rPr>
          <w:rFonts w:ascii="Times New Roman CYR" w:hAnsi="Times New Roman CYR" w:cs="Times New Roman CYR"/>
          <w:b/>
          <w:bCs/>
          <w:sz w:val="24"/>
          <w:szCs w:val="24"/>
        </w:rPr>
        <w:t xml:space="preserve"> </w:t>
      </w:r>
      <w:r w:rsidRPr="00724342">
        <w:rPr>
          <w:rFonts w:ascii="Times New Roman CYR" w:hAnsi="Times New Roman CYR" w:cs="Times New Roman CYR"/>
          <w:b/>
          <w:bCs/>
          <w:sz w:val="24"/>
          <w:szCs w:val="24"/>
          <w:lang w:val="en-US"/>
        </w:rPr>
        <w:t>unemployment</w:t>
      </w:r>
    </w:p>
    <w:p w:rsidR="0010381E" w:rsidRDefault="0010381E" w:rsidP="00724342">
      <w:pPr>
        <w:widowControl w:val="0"/>
        <w:autoSpaceDE w:val="0"/>
        <w:autoSpaceDN w:val="0"/>
        <w:adjustRightInd w:val="0"/>
        <w:jc w:val="right"/>
        <w:rPr>
          <w:rFonts w:ascii="Times New Roman CYR" w:hAnsi="Times New Roman CYR" w:cs="Times New Roman CYR"/>
          <w:b/>
          <w:bCs/>
          <w:sz w:val="22"/>
          <w:szCs w:val="22"/>
        </w:rPr>
      </w:pPr>
    </w:p>
    <w:p w:rsidR="00724342" w:rsidRPr="00724342" w:rsidRDefault="00724342" w:rsidP="00724342">
      <w:pPr>
        <w:widowControl w:val="0"/>
        <w:autoSpaceDE w:val="0"/>
        <w:autoSpaceDN w:val="0"/>
        <w:adjustRightInd w:val="0"/>
        <w:jc w:val="right"/>
        <w:rPr>
          <w:rFonts w:ascii="Times New Roman CYR" w:hAnsi="Times New Roman CYR" w:cs="Times New Roman CYR"/>
          <w:i/>
          <w:iCs/>
          <w:sz w:val="22"/>
          <w:szCs w:val="22"/>
        </w:rPr>
      </w:pPr>
      <w:r w:rsidRPr="00724342">
        <w:rPr>
          <w:rFonts w:ascii="Times New Roman CYR" w:hAnsi="Times New Roman CYR" w:cs="Times New Roman CYR"/>
          <w:b/>
          <w:bCs/>
          <w:sz w:val="22"/>
          <w:szCs w:val="22"/>
        </w:rPr>
        <w:t xml:space="preserve">               </w:t>
      </w:r>
      <w:r w:rsidRPr="00724342">
        <w:rPr>
          <w:rFonts w:ascii="Times New Roman CYR" w:hAnsi="Times New Roman CYR" w:cs="Times New Roman CYR"/>
          <w:bCs/>
          <w:sz w:val="22"/>
          <w:szCs w:val="22"/>
        </w:rPr>
        <w:t>Пономарева Д.</w:t>
      </w:r>
      <w:r w:rsidR="0010381E">
        <w:rPr>
          <w:rFonts w:ascii="Times New Roman CYR" w:hAnsi="Times New Roman CYR" w:cs="Times New Roman CYR"/>
          <w:bCs/>
          <w:sz w:val="22"/>
          <w:szCs w:val="22"/>
        </w:rPr>
        <w:t xml:space="preserve"> </w:t>
      </w:r>
      <w:r w:rsidRPr="00724342">
        <w:rPr>
          <w:rFonts w:ascii="Times New Roman CYR" w:hAnsi="Times New Roman CYR" w:cs="Times New Roman CYR"/>
          <w:bCs/>
          <w:sz w:val="22"/>
          <w:szCs w:val="22"/>
        </w:rPr>
        <w:t>А.,</w:t>
      </w:r>
    </w:p>
    <w:p w:rsidR="00724342" w:rsidRPr="00724342" w:rsidRDefault="00724342" w:rsidP="00724342">
      <w:pPr>
        <w:jc w:val="right"/>
        <w:rPr>
          <w:sz w:val="22"/>
          <w:szCs w:val="22"/>
        </w:rPr>
      </w:pPr>
      <w:r w:rsidRPr="00724342">
        <w:rPr>
          <w:sz w:val="22"/>
          <w:szCs w:val="22"/>
        </w:rPr>
        <w:t>студентка 2-го курса экономического факультета,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Литвиненко Г.</w:t>
      </w:r>
      <w:r w:rsidR="0010381E">
        <w:rPr>
          <w:rFonts w:eastAsiaTheme="minorHAnsi"/>
          <w:spacing w:val="-2"/>
          <w:sz w:val="22"/>
          <w:szCs w:val="22"/>
          <w:lang w:eastAsia="en-US"/>
        </w:rPr>
        <w:t xml:space="preserve"> </w:t>
      </w:r>
      <w:r w:rsidRPr="00724342">
        <w:rPr>
          <w:rFonts w:eastAsiaTheme="minorHAnsi"/>
          <w:spacing w:val="-2"/>
          <w:sz w:val="22"/>
          <w:szCs w:val="22"/>
          <w:lang w:eastAsia="en-US"/>
        </w:rPr>
        <w:t xml:space="preserve">Н.,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к. э. н., доцент кафедры организации производства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 и инновационной деятельности</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sz w:val="22"/>
          <w:szCs w:val="22"/>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widowControl w:val="0"/>
        <w:autoSpaceDE w:val="0"/>
        <w:autoSpaceDN w:val="0"/>
        <w:adjustRightInd w:val="0"/>
        <w:jc w:val="both"/>
        <w:rPr>
          <w:sz w:val="22"/>
          <w:szCs w:val="22"/>
        </w:rPr>
      </w:pP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b/>
          <w:bCs/>
          <w:sz w:val="22"/>
          <w:szCs w:val="22"/>
        </w:rPr>
      </w:pPr>
      <w:r w:rsidRPr="00724342">
        <w:rPr>
          <w:sz w:val="22"/>
          <w:szCs w:val="22"/>
        </w:rPr>
        <w:t xml:space="preserve">АННОТАЦИЯ: </w:t>
      </w:r>
      <w:r w:rsidRPr="00724342">
        <w:rPr>
          <w:rFonts w:ascii="Times New Roman CYR" w:hAnsi="Times New Roman CYR" w:cs="Times New Roman CYR"/>
          <w:sz w:val="22"/>
          <w:szCs w:val="22"/>
        </w:rPr>
        <w:t xml:space="preserve">Анализируются проблемы трудоустройства молодежи, причины молодежной безработицы и пути ее решения, функции службы занятости. </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lang w:val="en-US"/>
        </w:rPr>
      </w:pPr>
      <w:r w:rsidRPr="00724342">
        <w:rPr>
          <w:sz w:val="22"/>
          <w:szCs w:val="22"/>
          <w:lang w:val="en-US"/>
        </w:rPr>
        <w:t>ABSTRACT: The problems of youth employment, the causes of youth unemployment and ways to solve it, the functions of the emplo</w:t>
      </w:r>
      <w:r w:rsidRPr="00724342">
        <w:rPr>
          <w:sz w:val="22"/>
          <w:szCs w:val="22"/>
          <w:lang w:val="en-US"/>
        </w:rPr>
        <w:t>y</w:t>
      </w:r>
      <w:r w:rsidRPr="00724342">
        <w:rPr>
          <w:sz w:val="22"/>
          <w:szCs w:val="22"/>
          <w:lang w:val="en-US"/>
        </w:rPr>
        <w:t>ment service are analyzed.</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sz w:val="22"/>
          <w:szCs w:val="22"/>
        </w:rPr>
        <w:t xml:space="preserve">КЛЮЧЕВЫЕ СЛОВА: </w:t>
      </w:r>
      <w:r w:rsidRPr="00724342">
        <w:rPr>
          <w:rFonts w:ascii="Times New Roman CYR" w:hAnsi="Times New Roman CYR" w:cs="Times New Roman CYR"/>
          <w:sz w:val="22"/>
          <w:szCs w:val="22"/>
        </w:rPr>
        <w:t>молодежная безработица, трудоустро</w:t>
      </w:r>
      <w:r w:rsidRPr="00724342">
        <w:rPr>
          <w:rFonts w:ascii="Times New Roman CYR" w:hAnsi="Times New Roman CYR" w:cs="Times New Roman CYR"/>
          <w:sz w:val="22"/>
          <w:szCs w:val="22"/>
        </w:rPr>
        <w:t>й</w:t>
      </w:r>
      <w:r w:rsidRPr="00724342">
        <w:rPr>
          <w:rFonts w:ascii="Times New Roman CYR" w:hAnsi="Times New Roman CYR" w:cs="Times New Roman CYR"/>
          <w:sz w:val="22"/>
          <w:szCs w:val="22"/>
        </w:rPr>
        <w:t>ство, занятость, безработица.</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lang w:val="en-US"/>
        </w:rPr>
      </w:pPr>
      <w:r w:rsidRPr="00724342">
        <w:rPr>
          <w:sz w:val="22"/>
          <w:szCs w:val="22"/>
          <w:lang w:val="en-US"/>
        </w:rPr>
        <w:t>KEYWORDS:</w:t>
      </w:r>
      <w:r w:rsidRPr="00724342">
        <w:rPr>
          <w:sz w:val="24"/>
          <w:szCs w:val="24"/>
          <w:lang w:val="en-US"/>
        </w:rPr>
        <w:t xml:space="preserve"> </w:t>
      </w:r>
      <w:r w:rsidRPr="00724342">
        <w:rPr>
          <w:sz w:val="22"/>
          <w:szCs w:val="22"/>
          <w:lang w:val="en-US"/>
        </w:rPr>
        <w:t>youth unemployment, employment, employment, unemployment.</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lang w:val="en-US"/>
        </w:rPr>
      </w:pP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Основным кадровым резервом страны является молодежь. Зн</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чительная часть молодых специалистов сталкивается с проблемой трудоустройства по приобретенной профессии или специальности.</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Основная причина молодежной безработицы состоит в прот</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воречии между социально-профессиональными ориентирами мол</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дых людей и потребностями работодателей в рабочей силе. Мол</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дые люди, которые получили высшее образование, зачастую не имеют возможности осуществить свои профессиональные знания на практике, это связано с тем, что выбор ими профессии, в первую очередь, определялся её престижностью, а не востребованностью на рынке труда и возможностью трудоустроиться по завершению об</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чения. Между профилями подготовки специалистов наблюдается большой дисбаланс, в связи с этим на рынке труда в ряде случаев возникают проблемы трудоустройства выпускников образовател</w:t>
      </w:r>
      <w:r w:rsidRPr="00724342">
        <w:rPr>
          <w:rFonts w:ascii="Times New Roman CYR" w:hAnsi="Times New Roman CYR" w:cs="Times New Roman CYR"/>
          <w:sz w:val="22"/>
          <w:szCs w:val="22"/>
        </w:rPr>
        <w:t>ь</w:t>
      </w:r>
      <w:r w:rsidRPr="00724342">
        <w:rPr>
          <w:rFonts w:ascii="Times New Roman CYR" w:hAnsi="Times New Roman CYR" w:cs="Times New Roman CYR"/>
          <w:sz w:val="22"/>
          <w:szCs w:val="22"/>
        </w:rPr>
        <w:lastRenderedPageBreak/>
        <w:t>ных учреждений. Система профессионального образования, с одной стороны, не может не учесть содержание всех потребностей в обр</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зовании населения, особенно молодых людей. От знания образов</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тельных потребностей зависят темп и направление развития сист</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мы образования. А с другой стороны, такая система должна учит</w:t>
      </w:r>
      <w:r w:rsidRPr="00724342">
        <w:rPr>
          <w:rFonts w:ascii="Times New Roman CYR" w:hAnsi="Times New Roman CYR" w:cs="Times New Roman CYR"/>
          <w:sz w:val="22"/>
          <w:szCs w:val="22"/>
        </w:rPr>
        <w:t>ы</w:t>
      </w:r>
      <w:r w:rsidRPr="00724342">
        <w:rPr>
          <w:rFonts w:ascii="Times New Roman CYR" w:hAnsi="Times New Roman CYR" w:cs="Times New Roman CYR"/>
          <w:sz w:val="22"/>
          <w:szCs w:val="22"/>
        </w:rPr>
        <w:t>вать кадровые потребности предприятий и организаций. Эконом</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ческие и организационные изменения последних лет повлекли за собой перемены в характере взаимоотношений между професси</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нальными учебными заведениями и предприятиями. Изменившиеся условия социально-экономического, социокультурного и технол</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гического развития страны требуют нового подхода к установлению взаимодействия сфер образования, организаций-работодателей и органов исполнительной власти. Главное содержание такого вза</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 xml:space="preserve">модействия </w:t>
      </w:r>
      <w:r w:rsidRPr="00724342">
        <w:rPr>
          <w:sz w:val="22"/>
          <w:szCs w:val="22"/>
        </w:rPr>
        <w:t xml:space="preserve">– </w:t>
      </w:r>
      <w:r w:rsidRPr="00724342">
        <w:rPr>
          <w:rFonts w:ascii="Times New Roman CYR" w:hAnsi="Times New Roman CYR" w:cs="Times New Roman CYR"/>
          <w:sz w:val="22"/>
          <w:szCs w:val="22"/>
        </w:rPr>
        <w:t xml:space="preserve"> хорошо подготовить специалистов, которые будут способны на высоком профессиональном уровне решать сложные современные задачи в условиях научно-технического прогресса, дифференциации и интеграции производства [3].</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Другая причина молодежной безработицы состоит в том, что выпускники высших заведений по уровню профессиональной по</w:t>
      </w:r>
      <w:r w:rsidRPr="00724342">
        <w:rPr>
          <w:rFonts w:ascii="Times New Roman CYR" w:hAnsi="Times New Roman CYR" w:cs="Times New Roman CYR"/>
          <w:sz w:val="22"/>
          <w:szCs w:val="22"/>
        </w:rPr>
        <w:t>д</w:t>
      </w:r>
      <w:r w:rsidRPr="00724342">
        <w:rPr>
          <w:rFonts w:ascii="Times New Roman CYR" w:hAnsi="Times New Roman CYR" w:cs="Times New Roman CYR"/>
          <w:sz w:val="22"/>
          <w:szCs w:val="22"/>
        </w:rPr>
        <w:t>готовки и полученным профессиональным компетенциям, как пок</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зывают опросы работодателей, нередко не соответствуют их треб</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ваниям. Тем не менее, и сами молодые люди, не удовлетворенные содержанием предлагаемой работы, уровнем заработной платы и условиями труда, в большинстве случаев отказываются от труд</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устройства по полученной профессии. Все эти аспекты ведут к ни</w:t>
      </w:r>
      <w:r w:rsidRPr="00724342">
        <w:rPr>
          <w:rFonts w:ascii="Times New Roman CYR" w:hAnsi="Times New Roman CYR" w:cs="Times New Roman CYR"/>
          <w:sz w:val="22"/>
          <w:szCs w:val="22"/>
        </w:rPr>
        <w:t>з</w:t>
      </w:r>
      <w:r w:rsidRPr="00724342">
        <w:rPr>
          <w:rFonts w:ascii="Times New Roman CYR" w:hAnsi="Times New Roman CYR" w:cs="Times New Roman CYR"/>
          <w:sz w:val="22"/>
          <w:szCs w:val="22"/>
        </w:rPr>
        <w:t xml:space="preserve">кой эффективности использования труда молодых специалистов, что позволяет говорить о </w:t>
      </w:r>
      <w:r w:rsidRPr="00724342">
        <w:rPr>
          <w:sz w:val="22"/>
          <w:szCs w:val="22"/>
        </w:rPr>
        <w:t>«</w:t>
      </w:r>
      <w:r w:rsidRPr="00724342">
        <w:rPr>
          <w:rFonts w:ascii="Times New Roman CYR" w:hAnsi="Times New Roman CYR" w:cs="Times New Roman CYR"/>
          <w:sz w:val="22"/>
          <w:szCs w:val="22"/>
        </w:rPr>
        <w:t>перепроизводстве</w:t>
      </w:r>
      <w:r w:rsidRPr="00724342">
        <w:rPr>
          <w:sz w:val="22"/>
          <w:szCs w:val="22"/>
        </w:rPr>
        <w:t xml:space="preserve">» </w:t>
      </w:r>
      <w:r w:rsidRPr="00724342">
        <w:rPr>
          <w:rFonts w:ascii="Times New Roman CYR" w:hAnsi="Times New Roman CYR" w:cs="Times New Roman CYR"/>
          <w:sz w:val="22"/>
          <w:szCs w:val="22"/>
        </w:rPr>
        <w:t>специалистов с вы</w:t>
      </w:r>
      <w:r w:rsidRPr="00724342">
        <w:rPr>
          <w:rFonts w:ascii="Times New Roman CYR" w:hAnsi="Times New Roman CYR" w:cs="Times New Roman CYR"/>
          <w:sz w:val="22"/>
          <w:szCs w:val="22"/>
        </w:rPr>
        <w:t>с</w:t>
      </w:r>
      <w:r w:rsidRPr="00724342">
        <w:rPr>
          <w:rFonts w:ascii="Times New Roman CYR" w:hAnsi="Times New Roman CYR" w:cs="Times New Roman CYR"/>
          <w:sz w:val="22"/>
          <w:szCs w:val="22"/>
        </w:rPr>
        <w:t>шим образованием по отдельным профессиям, и о неудовлетвор</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 xml:space="preserve">тельном качестве их профессиональной подготовки </w:t>
      </w:r>
      <w:r w:rsidRPr="00724342">
        <w:rPr>
          <w:sz w:val="22"/>
          <w:szCs w:val="22"/>
        </w:rPr>
        <w:t>[</w:t>
      </w:r>
      <w:r w:rsidRPr="00724342">
        <w:rPr>
          <w:rFonts w:ascii="Times New Roman CYR" w:hAnsi="Times New Roman CYR" w:cs="Times New Roman CYR"/>
          <w:sz w:val="22"/>
          <w:szCs w:val="22"/>
        </w:rPr>
        <w:t>1</w:t>
      </w:r>
      <w:r w:rsidRPr="00724342">
        <w:rPr>
          <w:sz w:val="22"/>
          <w:szCs w:val="22"/>
        </w:rPr>
        <w:t>]</w:t>
      </w:r>
      <w:r w:rsidRPr="00724342">
        <w:rPr>
          <w:rFonts w:ascii="Times New Roman CYR" w:hAnsi="Times New Roman CYR" w:cs="Times New Roman CYR"/>
          <w:sz w:val="22"/>
          <w:szCs w:val="22"/>
        </w:rPr>
        <w:t>.</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В целях предотвращения негативных последствий вынужде</w:t>
      </w:r>
      <w:r w:rsidRPr="00724342">
        <w:rPr>
          <w:rFonts w:ascii="Times New Roman CYR" w:hAnsi="Times New Roman CYR" w:cs="Times New Roman CYR"/>
          <w:sz w:val="22"/>
          <w:szCs w:val="22"/>
        </w:rPr>
        <w:t>н</w:t>
      </w:r>
      <w:r w:rsidRPr="00724342">
        <w:rPr>
          <w:rFonts w:ascii="Times New Roman CYR" w:hAnsi="Times New Roman CYR" w:cs="Times New Roman CYR"/>
          <w:sz w:val="22"/>
          <w:szCs w:val="22"/>
        </w:rPr>
        <w:t>ной безработицы, центр занятости населения предоставляет в</w:t>
      </w:r>
      <w:r w:rsidRPr="00724342">
        <w:rPr>
          <w:rFonts w:ascii="Times New Roman CYR" w:hAnsi="Times New Roman CYR" w:cs="Times New Roman CYR"/>
          <w:sz w:val="22"/>
          <w:szCs w:val="22"/>
        </w:rPr>
        <w:t>ы</w:t>
      </w:r>
      <w:r w:rsidRPr="00724342">
        <w:rPr>
          <w:rFonts w:ascii="Times New Roman CYR" w:hAnsi="Times New Roman CYR" w:cs="Times New Roman CYR"/>
          <w:sz w:val="22"/>
          <w:szCs w:val="22"/>
        </w:rPr>
        <w:t xml:space="preserve">пускникам государственные услуги в области содействия занятости населения, способствующие их дальнейшему трудоустройству. Спектр предоставляемых государственных услуг широк </w:t>
      </w:r>
      <w:r w:rsidRPr="00724342">
        <w:rPr>
          <w:sz w:val="22"/>
          <w:szCs w:val="22"/>
        </w:rPr>
        <w:t xml:space="preserve">– </w:t>
      </w:r>
      <w:r w:rsidRPr="00724342">
        <w:rPr>
          <w:rFonts w:ascii="Times New Roman CYR" w:hAnsi="Times New Roman CYR" w:cs="Times New Roman CYR"/>
          <w:sz w:val="22"/>
          <w:szCs w:val="22"/>
        </w:rPr>
        <w:t>это усл</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ги по профессиональной ориентации, психологической поддержке, социальной адаптации граждан на рынке труда. Необходимость оказания молодым людям услуг, имеющих ярко выраженный соц</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 xml:space="preserve">альный характер, объясняется тем, что с потерей работы в жизни </w:t>
      </w:r>
      <w:r w:rsidRPr="00724342">
        <w:rPr>
          <w:rFonts w:ascii="Times New Roman CYR" w:hAnsi="Times New Roman CYR" w:cs="Times New Roman CYR"/>
          <w:sz w:val="22"/>
          <w:szCs w:val="22"/>
        </w:rPr>
        <w:lastRenderedPageBreak/>
        <w:t xml:space="preserve">человека образуется пустота </w:t>
      </w:r>
      <w:r w:rsidRPr="00724342">
        <w:rPr>
          <w:sz w:val="22"/>
          <w:szCs w:val="22"/>
        </w:rPr>
        <w:t xml:space="preserve">– </w:t>
      </w:r>
      <w:r w:rsidRPr="00724342">
        <w:rPr>
          <w:rFonts w:ascii="Times New Roman CYR" w:hAnsi="Times New Roman CYR" w:cs="Times New Roman CYR"/>
          <w:sz w:val="22"/>
          <w:szCs w:val="22"/>
        </w:rPr>
        <w:t>уменьшается число контактов с др</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гими людьми, а если работы нет долго, теряется квалификация и профессионализм. Не найдя применения своим физическим, инте</w:t>
      </w:r>
      <w:r w:rsidRPr="00724342">
        <w:rPr>
          <w:rFonts w:ascii="Times New Roman CYR" w:hAnsi="Times New Roman CYR" w:cs="Times New Roman CYR"/>
          <w:sz w:val="22"/>
          <w:szCs w:val="22"/>
        </w:rPr>
        <w:t>л</w:t>
      </w:r>
      <w:r w:rsidRPr="00724342">
        <w:rPr>
          <w:rFonts w:ascii="Times New Roman CYR" w:hAnsi="Times New Roman CYR" w:cs="Times New Roman CYR"/>
          <w:sz w:val="22"/>
          <w:szCs w:val="22"/>
        </w:rPr>
        <w:t>лектуальным, духовным возможностям, утратив надежду на обр</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тение достойного места работы, молодые люди погружаются в с</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 xml:space="preserve">стояние, называемое специалистами </w:t>
      </w:r>
      <w:r w:rsidRPr="00724342">
        <w:rPr>
          <w:sz w:val="22"/>
          <w:szCs w:val="22"/>
        </w:rPr>
        <w:t>«</w:t>
      </w:r>
      <w:r w:rsidRPr="00724342">
        <w:rPr>
          <w:rFonts w:ascii="Times New Roman CYR" w:hAnsi="Times New Roman CYR" w:cs="Times New Roman CYR"/>
          <w:sz w:val="22"/>
          <w:szCs w:val="22"/>
        </w:rPr>
        <w:t>невроз безработицы</w:t>
      </w:r>
      <w:r w:rsidRPr="00724342">
        <w:rPr>
          <w:sz w:val="22"/>
          <w:szCs w:val="22"/>
        </w:rPr>
        <w:t xml:space="preserve">». </w:t>
      </w:r>
      <w:r w:rsidRPr="00724342">
        <w:rPr>
          <w:rFonts w:ascii="Times New Roman CYR" w:hAnsi="Times New Roman CYR" w:cs="Times New Roman CYR"/>
          <w:sz w:val="22"/>
          <w:szCs w:val="22"/>
        </w:rPr>
        <w:t xml:space="preserve">Чтобы не </w:t>
      </w:r>
      <w:r w:rsidRPr="00724342">
        <w:rPr>
          <w:sz w:val="22"/>
          <w:szCs w:val="22"/>
        </w:rPr>
        <w:t>«</w:t>
      </w:r>
      <w:r w:rsidRPr="00724342">
        <w:rPr>
          <w:rFonts w:ascii="Times New Roman CYR" w:hAnsi="Times New Roman CYR" w:cs="Times New Roman CYR"/>
          <w:sz w:val="22"/>
          <w:szCs w:val="22"/>
        </w:rPr>
        <w:t>застрять</w:t>
      </w:r>
      <w:r w:rsidRPr="00724342">
        <w:rPr>
          <w:sz w:val="22"/>
          <w:szCs w:val="22"/>
        </w:rPr>
        <w:t xml:space="preserve">» </w:t>
      </w:r>
      <w:r w:rsidRPr="00724342">
        <w:rPr>
          <w:rFonts w:ascii="Times New Roman CYR" w:hAnsi="Times New Roman CYR" w:cs="Times New Roman CYR"/>
          <w:sz w:val="22"/>
          <w:szCs w:val="22"/>
        </w:rPr>
        <w:t>в этом негативном эмоциональном состоянии, в це</w:t>
      </w:r>
      <w:r w:rsidRPr="00724342">
        <w:rPr>
          <w:rFonts w:ascii="Times New Roman CYR" w:hAnsi="Times New Roman CYR" w:cs="Times New Roman CYR"/>
          <w:sz w:val="22"/>
          <w:szCs w:val="22"/>
        </w:rPr>
        <w:t>н</w:t>
      </w:r>
      <w:r w:rsidRPr="00724342">
        <w:rPr>
          <w:rFonts w:ascii="Times New Roman CYR" w:hAnsi="Times New Roman CYR" w:cs="Times New Roman CYR"/>
          <w:sz w:val="22"/>
          <w:szCs w:val="22"/>
        </w:rPr>
        <w:t>тре занятости населения молодым специалистам предлагают пр</w:t>
      </w:r>
      <w:r w:rsidRPr="00724342">
        <w:rPr>
          <w:rFonts w:ascii="Times New Roman CYR" w:hAnsi="Times New Roman CYR" w:cs="Times New Roman CYR"/>
          <w:sz w:val="22"/>
          <w:szCs w:val="22"/>
        </w:rPr>
        <w:t>и</w:t>
      </w:r>
      <w:r w:rsidRPr="00724342">
        <w:rPr>
          <w:rFonts w:ascii="Times New Roman CYR" w:hAnsi="Times New Roman CYR" w:cs="Times New Roman CYR"/>
          <w:sz w:val="22"/>
          <w:szCs w:val="22"/>
        </w:rPr>
        <w:t>нять участие в групповых занятиях по программе социальной ада</w:t>
      </w:r>
      <w:r w:rsidRPr="00724342">
        <w:rPr>
          <w:rFonts w:ascii="Times New Roman CYR" w:hAnsi="Times New Roman CYR" w:cs="Times New Roman CYR"/>
          <w:sz w:val="22"/>
          <w:szCs w:val="22"/>
        </w:rPr>
        <w:t>п</w:t>
      </w:r>
      <w:r w:rsidRPr="00724342">
        <w:rPr>
          <w:rFonts w:ascii="Times New Roman CYR" w:hAnsi="Times New Roman CYR" w:cs="Times New Roman CYR"/>
          <w:sz w:val="22"/>
          <w:szCs w:val="22"/>
        </w:rPr>
        <w:t>тации безработных граждан на рынке труда. В ходе занятий специ</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листы центра занятости населения консультируют молодых людей по вопросам занятости, информируют о требованиях современных работодателей, помогают определить цели и направления активного поиска работы. Обсуждаемые на занятиях темы и информационные материалы охватывают весь процесс поиска работы, от старта до финиша, и способствуют повышению конкурентоспособности на рынке труда.</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Молодым людям, у которых ухудшается эмоциональное сост</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яние в связи с невозможностью самостоятельно трудоустроиться, в центре занятости населения сказывается психологическая поддер</w:t>
      </w:r>
      <w:r w:rsidRPr="00724342">
        <w:rPr>
          <w:rFonts w:ascii="Times New Roman CYR" w:hAnsi="Times New Roman CYR" w:cs="Times New Roman CYR"/>
          <w:sz w:val="22"/>
          <w:szCs w:val="22"/>
        </w:rPr>
        <w:t>ж</w:t>
      </w:r>
      <w:r w:rsidRPr="00724342">
        <w:rPr>
          <w:rFonts w:ascii="Times New Roman CYR" w:hAnsi="Times New Roman CYR" w:cs="Times New Roman CYR"/>
          <w:sz w:val="22"/>
          <w:szCs w:val="22"/>
        </w:rPr>
        <w:t>ка [2]. Служба занятости населения помогает молодым людям ре</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t>лизовать свои потенциальные возможности через систему профе</w:t>
      </w:r>
      <w:r w:rsidRPr="00724342">
        <w:rPr>
          <w:rFonts w:ascii="Times New Roman CYR" w:hAnsi="Times New Roman CYR" w:cs="Times New Roman CYR"/>
          <w:sz w:val="22"/>
          <w:szCs w:val="22"/>
        </w:rPr>
        <w:t>с</w:t>
      </w:r>
      <w:r w:rsidRPr="00724342">
        <w:rPr>
          <w:rFonts w:ascii="Times New Roman CYR" w:hAnsi="Times New Roman CYR" w:cs="Times New Roman CYR"/>
          <w:sz w:val="22"/>
          <w:szCs w:val="22"/>
        </w:rPr>
        <w:t xml:space="preserve">сионального обучения; содействие временному трудоустройству молодежи; обучение основам предпринимательства. </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p>
    <w:p w:rsidR="00724342" w:rsidRPr="00724342" w:rsidRDefault="00724342" w:rsidP="0010381E">
      <w:pPr>
        <w:widowControl w:val="0"/>
        <w:autoSpaceDE w:val="0"/>
        <w:autoSpaceDN w:val="0"/>
        <w:adjustRightInd w:val="0"/>
        <w:ind w:firstLine="426"/>
        <w:jc w:val="center"/>
        <w:rPr>
          <w:rFonts w:ascii="Times New Roman CYR" w:hAnsi="Times New Roman CYR" w:cs="Times New Roman CYR"/>
          <w:sz w:val="22"/>
          <w:szCs w:val="22"/>
        </w:rPr>
      </w:pPr>
      <w:r w:rsidRPr="00724342">
        <w:rPr>
          <w:rFonts w:ascii="Times New Roman CYR" w:hAnsi="Times New Roman CYR" w:cs="Times New Roman CYR"/>
          <w:bCs/>
          <w:sz w:val="22"/>
          <w:szCs w:val="22"/>
        </w:rPr>
        <w:t>Список литературы</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1. Литвиненко Г.Н. Кадровый маркетинг как эффективный и</w:t>
      </w:r>
      <w:r w:rsidRPr="00724342">
        <w:rPr>
          <w:rFonts w:ascii="Times New Roman CYR" w:hAnsi="Times New Roman CYR" w:cs="Times New Roman CYR"/>
          <w:sz w:val="22"/>
          <w:szCs w:val="22"/>
        </w:rPr>
        <w:t>н</w:t>
      </w:r>
      <w:r w:rsidRPr="00724342">
        <w:rPr>
          <w:rFonts w:ascii="Times New Roman CYR" w:hAnsi="Times New Roman CYR" w:cs="Times New Roman CYR"/>
          <w:sz w:val="22"/>
          <w:szCs w:val="22"/>
        </w:rPr>
        <w:t>струмент взаимодействия внутреннего и внешнего рынков тр</w:t>
      </w:r>
      <w:r w:rsidRPr="00724342">
        <w:rPr>
          <w:rFonts w:ascii="Times New Roman CYR" w:hAnsi="Times New Roman CYR" w:cs="Times New Roman CYR"/>
          <w:sz w:val="22"/>
          <w:szCs w:val="22"/>
        </w:rPr>
        <w:t>у</w:t>
      </w:r>
      <w:r w:rsidRPr="00724342">
        <w:rPr>
          <w:rFonts w:ascii="Times New Roman CYR" w:hAnsi="Times New Roman CYR" w:cs="Times New Roman CYR"/>
          <w:sz w:val="22"/>
          <w:szCs w:val="22"/>
        </w:rPr>
        <w:t>да/</w:t>
      </w:r>
      <w:hyperlink r:id="rId308" w:history="1">
        <w:r w:rsidRPr="00724342">
          <w:rPr>
            <w:rFonts w:ascii="Times New Roman CYR" w:hAnsi="Times New Roman CYR" w:cs="Times New Roman CYR"/>
            <w:sz w:val="22"/>
            <w:szCs w:val="22"/>
          </w:rPr>
          <w:t>Г.Н. Литвиненко</w:t>
        </w:r>
      </w:hyperlink>
      <w:r w:rsidRPr="00724342">
        <w:rPr>
          <w:rFonts w:ascii="Times New Roman CYR" w:hAnsi="Times New Roman CYR" w:cs="Times New Roman CYR"/>
          <w:sz w:val="22"/>
          <w:szCs w:val="22"/>
        </w:rPr>
        <w:t>, </w:t>
      </w:r>
      <w:hyperlink r:id="rId309" w:history="1">
        <w:r w:rsidRPr="00724342">
          <w:rPr>
            <w:rFonts w:ascii="Times New Roman CYR" w:hAnsi="Times New Roman CYR" w:cs="Times New Roman CYR"/>
            <w:sz w:val="22"/>
            <w:szCs w:val="22"/>
          </w:rPr>
          <w:t>М.И. Берестнева</w:t>
        </w:r>
      </w:hyperlink>
      <w:r w:rsidRPr="00724342">
        <w:rPr>
          <w:rFonts w:ascii="Times New Roman CYR" w:hAnsi="Times New Roman CYR" w:cs="Times New Roman CYR"/>
          <w:sz w:val="22"/>
          <w:szCs w:val="22"/>
        </w:rPr>
        <w:t xml:space="preserve"> // Политематический сетевой электронный научный журнал Кубанского государственного агра</w:t>
      </w:r>
      <w:r w:rsidRPr="00724342">
        <w:rPr>
          <w:rFonts w:ascii="Times New Roman CYR" w:hAnsi="Times New Roman CYR" w:cs="Times New Roman CYR"/>
          <w:sz w:val="22"/>
          <w:szCs w:val="22"/>
        </w:rPr>
        <w:t>р</w:t>
      </w:r>
      <w:r w:rsidRPr="00724342">
        <w:rPr>
          <w:rFonts w:ascii="Times New Roman CYR" w:hAnsi="Times New Roman CYR" w:cs="Times New Roman CYR"/>
          <w:sz w:val="22"/>
          <w:szCs w:val="22"/>
        </w:rPr>
        <w:t>ного университета. 2017. №129. С. 943-954.</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2. Литвиненко Г. Н. Основные проблемы развития регионал</w:t>
      </w:r>
      <w:r w:rsidRPr="00724342">
        <w:rPr>
          <w:rFonts w:ascii="Times New Roman CYR" w:hAnsi="Times New Roman CYR" w:cs="Times New Roman CYR"/>
          <w:sz w:val="22"/>
          <w:szCs w:val="22"/>
        </w:rPr>
        <w:t>ь</w:t>
      </w:r>
      <w:r w:rsidRPr="00724342">
        <w:rPr>
          <w:rFonts w:ascii="Times New Roman CYR" w:hAnsi="Times New Roman CYR" w:cs="Times New Roman CYR"/>
          <w:sz w:val="22"/>
          <w:szCs w:val="22"/>
        </w:rPr>
        <w:t>ного рынка труда /</w:t>
      </w:r>
      <w:hyperlink r:id="rId310" w:history="1">
        <w:r w:rsidRPr="00724342">
          <w:rPr>
            <w:rFonts w:ascii="Times New Roman CYR" w:hAnsi="Times New Roman CYR" w:cs="Times New Roman CYR"/>
            <w:sz w:val="22"/>
            <w:szCs w:val="22"/>
          </w:rPr>
          <w:t>Г.Н. Литвиненко</w:t>
        </w:r>
      </w:hyperlink>
      <w:r w:rsidRPr="00724342">
        <w:rPr>
          <w:rFonts w:ascii="Times New Roman CYR" w:hAnsi="Times New Roman CYR" w:cs="Times New Roman CYR"/>
          <w:sz w:val="22"/>
          <w:szCs w:val="22"/>
        </w:rPr>
        <w:t>, </w:t>
      </w:r>
      <w:hyperlink r:id="rId311" w:history="1">
        <w:r w:rsidRPr="00724342">
          <w:rPr>
            <w:rFonts w:ascii="Times New Roman CYR" w:hAnsi="Times New Roman CYR" w:cs="Times New Roman CYR"/>
            <w:sz w:val="22"/>
            <w:szCs w:val="22"/>
          </w:rPr>
          <w:t>А.С. Высоцкая</w:t>
        </w:r>
      </w:hyperlink>
      <w:r w:rsidRPr="00724342">
        <w:rPr>
          <w:rFonts w:ascii="Times New Roman CYR" w:hAnsi="Times New Roman CYR" w:cs="Times New Roman CYR"/>
          <w:sz w:val="22"/>
          <w:szCs w:val="22"/>
        </w:rPr>
        <w:t>, </w:t>
      </w:r>
      <w:hyperlink r:id="rId312" w:history="1">
        <w:r w:rsidRPr="00724342">
          <w:rPr>
            <w:rFonts w:ascii="Times New Roman CYR" w:hAnsi="Times New Roman CYR" w:cs="Times New Roman CYR"/>
            <w:sz w:val="22"/>
            <w:szCs w:val="22"/>
          </w:rPr>
          <w:t>А.В. Белаш</w:t>
        </w:r>
        <w:r w:rsidRPr="00724342">
          <w:rPr>
            <w:rFonts w:ascii="Times New Roman CYR" w:hAnsi="Times New Roman CYR" w:cs="Times New Roman CYR"/>
            <w:sz w:val="22"/>
            <w:szCs w:val="22"/>
          </w:rPr>
          <w:t>о</w:t>
        </w:r>
        <w:r w:rsidRPr="00724342">
          <w:rPr>
            <w:rFonts w:ascii="Times New Roman CYR" w:hAnsi="Times New Roman CYR" w:cs="Times New Roman CYR"/>
            <w:sz w:val="22"/>
            <w:szCs w:val="22"/>
          </w:rPr>
          <w:t>ва</w:t>
        </w:r>
      </w:hyperlink>
      <w:r w:rsidRPr="00724342">
        <w:rPr>
          <w:rFonts w:ascii="Times New Roman CYR" w:hAnsi="Times New Roman CYR" w:cs="Times New Roman CYR"/>
          <w:sz w:val="22"/>
          <w:szCs w:val="22"/>
        </w:rPr>
        <w:t>//Сб. ст.IX Международной научно -практической конференции «Прорывные экономические реформы в условиях риска и неопред</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ленности» (Уфа, 13.03. 2017 г.). -Уфа: Аэтерна, 2017. -С. 172 -174. </w:t>
      </w:r>
    </w:p>
    <w:p w:rsidR="00724342" w:rsidRPr="00724342" w:rsidRDefault="00724342" w:rsidP="0010381E">
      <w:pPr>
        <w:widowControl w:val="0"/>
        <w:autoSpaceDE w:val="0"/>
        <w:autoSpaceDN w:val="0"/>
        <w:adjustRightInd w:val="0"/>
        <w:ind w:firstLine="426"/>
        <w:jc w:val="both"/>
        <w:rPr>
          <w:rFonts w:ascii="Times New Roman CYR" w:hAnsi="Times New Roman CYR" w:cs="Times New Roman CYR"/>
          <w:sz w:val="22"/>
          <w:szCs w:val="22"/>
        </w:rPr>
      </w:pPr>
      <w:r w:rsidRPr="00724342">
        <w:rPr>
          <w:rFonts w:ascii="Times New Roman CYR" w:hAnsi="Times New Roman CYR" w:cs="Times New Roman CYR"/>
          <w:sz w:val="22"/>
          <w:szCs w:val="22"/>
        </w:rPr>
        <w:t>3. Поменчук А.Ю. Принудительный труд в современном мире / А.Ю. Поменчук, </w:t>
      </w:r>
      <w:hyperlink r:id="rId313" w:history="1">
        <w:r w:rsidRPr="00724342">
          <w:rPr>
            <w:rFonts w:ascii="Times New Roman CYR" w:hAnsi="Times New Roman CYR" w:cs="Times New Roman CYR"/>
            <w:sz w:val="22"/>
            <w:szCs w:val="22"/>
          </w:rPr>
          <w:t>С.В. Кольцов</w:t>
        </w:r>
      </w:hyperlink>
      <w:r w:rsidRPr="00724342">
        <w:rPr>
          <w:rFonts w:ascii="Times New Roman CYR" w:hAnsi="Times New Roman CYR" w:cs="Times New Roman CYR"/>
          <w:sz w:val="22"/>
          <w:szCs w:val="22"/>
        </w:rPr>
        <w:t>, </w:t>
      </w:r>
      <w:hyperlink r:id="rId314" w:history="1">
        <w:r w:rsidRPr="00724342">
          <w:rPr>
            <w:rFonts w:ascii="Times New Roman CYR" w:hAnsi="Times New Roman CYR" w:cs="Times New Roman CYR"/>
            <w:sz w:val="22"/>
            <w:szCs w:val="22"/>
          </w:rPr>
          <w:t>Г.Н. Литвиненко</w:t>
        </w:r>
      </w:hyperlink>
      <w:r w:rsidRPr="00724342">
        <w:rPr>
          <w:rFonts w:ascii="Times New Roman CYR" w:hAnsi="Times New Roman CYR" w:cs="Times New Roman CYR"/>
          <w:sz w:val="22"/>
          <w:szCs w:val="22"/>
        </w:rPr>
        <w:t>//Сб. ст.по матери</w:t>
      </w:r>
      <w:r w:rsidRPr="00724342">
        <w:rPr>
          <w:rFonts w:ascii="Times New Roman CYR" w:hAnsi="Times New Roman CYR" w:cs="Times New Roman CYR"/>
          <w:sz w:val="22"/>
          <w:szCs w:val="22"/>
        </w:rPr>
        <w:t>а</w:t>
      </w:r>
      <w:r w:rsidRPr="00724342">
        <w:rPr>
          <w:rFonts w:ascii="Times New Roman CYR" w:hAnsi="Times New Roman CYR" w:cs="Times New Roman CYR"/>
          <w:sz w:val="22"/>
          <w:szCs w:val="22"/>
        </w:rPr>
        <w:lastRenderedPageBreak/>
        <w:t>лам III междунар. науч.-практ. конф. «Актуальные вопросы совр</w:t>
      </w:r>
      <w:r w:rsidRPr="00724342">
        <w:rPr>
          <w:rFonts w:ascii="Times New Roman CYR" w:hAnsi="Times New Roman CYR" w:cs="Times New Roman CYR"/>
          <w:sz w:val="22"/>
          <w:szCs w:val="22"/>
        </w:rPr>
        <w:t>е</w:t>
      </w:r>
      <w:r w:rsidRPr="00724342">
        <w:rPr>
          <w:rFonts w:ascii="Times New Roman CYR" w:hAnsi="Times New Roman CYR" w:cs="Times New Roman CYR"/>
          <w:sz w:val="22"/>
          <w:szCs w:val="22"/>
        </w:rPr>
        <w:t>менной науки» (Уфа, 20.03.2017 г.). -Уфа: Дендра, 2017. -С. 35-40. </w:t>
      </w:r>
    </w:p>
    <w:p w:rsidR="00724342" w:rsidRPr="00724342" w:rsidRDefault="00724342" w:rsidP="00724342">
      <w:pPr>
        <w:widowControl w:val="0"/>
        <w:autoSpaceDE w:val="0"/>
        <w:autoSpaceDN w:val="0"/>
        <w:adjustRightInd w:val="0"/>
        <w:jc w:val="both"/>
        <w:rPr>
          <w:rFonts w:ascii="Times New Roman CYR" w:hAnsi="Times New Roman CYR" w:cs="Times New Roman CYR"/>
          <w:sz w:val="22"/>
          <w:szCs w:val="22"/>
        </w:rPr>
      </w:pPr>
    </w:p>
    <w:p w:rsidR="00724342" w:rsidRPr="00724342" w:rsidRDefault="00724342" w:rsidP="00724342">
      <w:pPr>
        <w:jc w:val="both"/>
        <w:rPr>
          <w:sz w:val="22"/>
          <w:szCs w:val="22"/>
        </w:rPr>
      </w:pPr>
    </w:p>
    <w:p w:rsidR="00724342" w:rsidRPr="00724342" w:rsidRDefault="00724342" w:rsidP="00724342">
      <w:pPr>
        <w:jc w:val="both"/>
        <w:rPr>
          <w:rFonts w:eastAsia="Calibri"/>
          <w:sz w:val="22"/>
          <w:szCs w:val="22"/>
          <w:lang w:eastAsia="en-US"/>
        </w:rPr>
      </w:pPr>
    </w:p>
    <w:p w:rsidR="00724342" w:rsidRPr="00724342" w:rsidRDefault="00724342" w:rsidP="00724342">
      <w:pPr>
        <w:jc w:val="both"/>
        <w:rPr>
          <w:rFonts w:eastAsia="Calibri"/>
          <w:sz w:val="22"/>
          <w:szCs w:val="22"/>
          <w:lang w:eastAsia="en-US"/>
        </w:rPr>
      </w:pPr>
      <w:r w:rsidRPr="00724342">
        <w:rPr>
          <w:rFonts w:eastAsia="Calibri"/>
          <w:sz w:val="22"/>
          <w:szCs w:val="22"/>
          <w:lang w:eastAsia="en-US"/>
        </w:rPr>
        <w:t xml:space="preserve">УДК </w:t>
      </w:r>
      <w:r w:rsidRPr="00724342">
        <w:rPr>
          <w:rFonts w:ascii="Calibri" w:eastAsia="Calibri" w:hAnsi="Calibri"/>
          <w:sz w:val="22"/>
          <w:szCs w:val="22"/>
          <w:lang w:eastAsia="en-US"/>
        </w:rPr>
        <w:t> </w:t>
      </w:r>
      <w:r w:rsidRPr="00724342">
        <w:rPr>
          <w:rFonts w:eastAsia="Calibri"/>
          <w:sz w:val="22"/>
          <w:szCs w:val="22"/>
          <w:lang w:eastAsia="en-US"/>
        </w:rPr>
        <w:t>631.1(571.54)</w:t>
      </w:r>
    </w:p>
    <w:p w:rsidR="00724342" w:rsidRPr="00724342" w:rsidRDefault="00724342" w:rsidP="00724342">
      <w:pPr>
        <w:jc w:val="both"/>
        <w:rPr>
          <w:rFonts w:eastAsia="Calibri"/>
          <w:sz w:val="22"/>
          <w:szCs w:val="22"/>
          <w:lang w:eastAsia="en-US"/>
        </w:rPr>
      </w:pP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 xml:space="preserve">Факторы устойчивого развития отраслей </w:t>
      </w:r>
    </w:p>
    <w:p w:rsidR="00724342" w:rsidRPr="00724342" w:rsidRDefault="00724342" w:rsidP="00724342">
      <w:pPr>
        <w:jc w:val="center"/>
        <w:rPr>
          <w:rFonts w:eastAsia="Calibri"/>
          <w:b/>
          <w:sz w:val="24"/>
          <w:szCs w:val="24"/>
          <w:lang w:eastAsia="en-US"/>
        </w:rPr>
      </w:pPr>
      <w:r w:rsidRPr="00724342">
        <w:rPr>
          <w:rFonts w:eastAsia="Calibri"/>
          <w:b/>
          <w:sz w:val="24"/>
          <w:szCs w:val="24"/>
          <w:lang w:eastAsia="en-US"/>
        </w:rPr>
        <w:t>агропромышленного комплекса</w:t>
      </w:r>
    </w:p>
    <w:p w:rsidR="00724342" w:rsidRPr="00C42DAC" w:rsidRDefault="00724342" w:rsidP="00724342">
      <w:pPr>
        <w:jc w:val="center"/>
        <w:rPr>
          <w:rFonts w:eastAsia="Calibri"/>
          <w:b/>
          <w:sz w:val="24"/>
          <w:szCs w:val="24"/>
          <w:lang w:val="en-US" w:eastAsia="en-US"/>
        </w:rPr>
      </w:pPr>
      <w:r w:rsidRPr="00724342">
        <w:rPr>
          <w:rFonts w:eastAsia="Calibri"/>
          <w:b/>
          <w:sz w:val="24"/>
          <w:szCs w:val="24"/>
          <w:lang w:val="en" w:eastAsia="en-US"/>
        </w:rPr>
        <w:t>Factors</w:t>
      </w:r>
      <w:r w:rsidRPr="00C42DAC">
        <w:rPr>
          <w:rFonts w:eastAsia="Calibri"/>
          <w:b/>
          <w:sz w:val="24"/>
          <w:szCs w:val="24"/>
          <w:lang w:val="en-US" w:eastAsia="en-US"/>
        </w:rPr>
        <w:t xml:space="preserve"> </w:t>
      </w:r>
      <w:r w:rsidRPr="00724342">
        <w:rPr>
          <w:rFonts w:eastAsia="Calibri"/>
          <w:b/>
          <w:sz w:val="24"/>
          <w:szCs w:val="24"/>
          <w:lang w:val="en" w:eastAsia="en-US"/>
        </w:rPr>
        <w:t>of</w:t>
      </w:r>
      <w:r w:rsidRPr="00C42DAC">
        <w:rPr>
          <w:rFonts w:eastAsia="Calibri"/>
          <w:b/>
          <w:sz w:val="24"/>
          <w:szCs w:val="24"/>
          <w:lang w:val="en-US" w:eastAsia="en-US"/>
        </w:rPr>
        <w:t xml:space="preserve"> </w:t>
      </w:r>
      <w:r w:rsidRPr="00724342">
        <w:rPr>
          <w:rFonts w:eastAsia="Calibri"/>
          <w:b/>
          <w:sz w:val="24"/>
          <w:szCs w:val="24"/>
          <w:lang w:val="en" w:eastAsia="en-US"/>
        </w:rPr>
        <w:t>sustainable</w:t>
      </w:r>
      <w:r w:rsidRPr="00C42DAC">
        <w:rPr>
          <w:rFonts w:eastAsia="Calibri"/>
          <w:b/>
          <w:sz w:val="24"/>
          <w:szCs w:val="24"/>
          <w:lang w:val="en-US" w:eastAsia="en-US"/>
        </w:rPr>
        <w:t xml:space="preserve"> </w:t>
      </w:r>
      <w:r w:rsidRPr="00724342">
        <w:rPr>
          <w:rFonts w:eastAsia="Calibri"/>
          <w:b/>
          <w:sz w:val="24"/>
          <w:szCs w:val="24"/>
          <w:lang w:val="en" w:eastAsia="en-US"/>
        </w:rPr>
        <w:t>development</w:t>
      </w:r>
      <w:r w:rsidRPr="00C42DAC">
        <w:rPr>
          <w:rFonts w:eastAsia="Calibri"/>
          <w:b/>
          <w:sz w:val="24"/>
          <w:szCs w:val="24"/>
          <w:lang w:val="en-US" w:eastAsia="en-US"/>
        </w:rPr>
        <w:t xml:space="preserve"> </w:t>
      </w:r>
      <w:r w:rsidRPr="00724342">
        <w:rPr>
          <w:rFonts w:eastAsia="Calibri"/>
          <w:b/>
          <w:sz w:val="24"/>
          <w:szCs w:val="24"/>
          <w:lang w:val="en" w:eastAsia="en-US"/>
        </w:rPr>
        <w:t>of</w:t>
      </w:r>
      <w:r w:rsidRPr="00C42DAC">
        <w:rPr>
          <w:rFonts w:eastAsia="Calibri"/>
          <w:b/>
          <w:sz w:val="24"/>
          <w:szCs w:val="24"/>
          <w:lang w:val="en-US" w:eastAsia="en-US"/>
        </w:rPr>
        <w:t xml:space="preserve"> </w:t>
      </w:r>
      <w:r w:rsidRPr="00724342">
        <w:rPr>
          <w:rFonts w:eastAsia="Calibri"/>
          <w:b/>
          <w:sz w:val="24"/>
          <w:szCs w:val="24"/>
          <w:lang w:val="en" w:eastAsia="en-US"/>
        </w:rPr>
        <w:t>industries</w:t>
      </w:r>
    </w:p>
    <w:p w:rsidR="00724342" w:rsidRPr="00724342" w:rsidRDefault="00724342" w:rsidP="00724342">
      <w:pPr>
        <w:jc w:val="center"/>
        <w:rPr>
          <w:rFonts w:eastAsia="Calibri"/>
          <w:b/>
          <w:sz w:val="24"/>
          <w:szCs w:val="24"/>
          <w:lang w:val="en" w:eastAsia="en-US"/>
        </w:rPr>
      </w:pPr>
      <w:r w:rsidRPr="00724342">
        <w:rPr>
          <w:rFonts w:eastAsia="Calibri"/>
          <w:b/>
          <w:sz w:val="24"/>
          <w:szCs w:val="24"/>
          <w:lang w:val="en" w:eastAsia="en-US"/>
        </w:rPr>
        <w:t>agro-industrial complex</w:t>
      </w:r>
    </w:p>
    <w:p w:rsidR="00724342" w:rsidRPr="00724342" w:rsidRDefault="00724342" w:rsidP="00724342">
      <w:pPr>
        <w:jc w:val="both"/>
        <w:rPr>
          <w:rFonts w:eastAsia="Calibri"/>
          <w:b/>
          <w:sz w:val="22"/>
          <w:szCs w:val="22"/>
          <w:lang w:val="en" w:eastAsia="en-US"/>
        </w:rPr>
      </w:pPr>
    </w:p>
    <w:p w:rsidR="00724342" w:rsidRPr="00C56F2E" w:rsidRDefault="00724342" w:rsidP="00724342">
      <w:pPr>
        <w:jc w:val="right"/>
        <w:rPr>
          <w:rFonts w:eastAsia="Calibri"/>
          <w:sz w:val="22"/>
          <w:szCs w:val="22"/>
          <w:lang w:val="en-US" w:eastAsia="en-US"/>
        </w:rPr>
      </w:pPr>
      <w:r w:rsidRPr="00724342">
        <w:rPr>
          <w:rFonts w:eastAsia="Calibri"/>
          <w:sz w:val="22"/>
          <w:szCs w:val="22"/>
          <w:lang w:eastAsia="en-US"/>
        </w:rPr>
        <w:t>Рева</w:t>
      </w:r>
      <w:r w:rsidRPr="00724342">
        <w:rPr>
          <w:rFonts w:eastAsia="Calibri"/>
          <w:sz w:val="22"/>
          <w:szCs w:val="22"/>
          <w:lang w:val="en-US" w:eastAsia="en-US"/>
        </w:rPr>
        <w:t xml:space="preserve"> </w:t>
      </w:r>
      <w:r w:rsidRPr="00724342">
        <w:rPr>
          <w:rFonts w:eastAsia="Calibri"/>
          <w:sz w:val="22"/>
          <w:szCs w:val="22"/>
          <w:lang w:eastAsia="en-US"/>
        </w:rPr>
        <w:t>Е</w:t>
      </w:r>
      <w:r w:rsidRPr="00724342">
        <w:rPr>
          <w:rFonts w:eastAsia="Calibri"/>
          <w:sz w:val="22"/>
          <w:szCs w:val="22"/>
          <w:lang w:val="en-US" w:eastAsia="en-US"/>
        </w:rPr>
        <w:t>.</w:t>
      </w:r>
      <w:r w:rsidR="0010381E" w:rsidRPr="00C56F2E">
        <w:rPr>
          <w:rFonts w:eastAsia="Calibri"/>
          <w:sz w:val="22"/>
          <w:szCs w:val="22"/>
          <w:lang w:val="en-US" w:eastAsia="en-US"/>
        </w:rPr>
        <w:t xml:space="preserve"> </w:t>
      </w:r>
      <w:r w:rsidRPr="00724342">
        <w:rPr>
          <w:rFonts w:eastAsia="Calibri"/>
          <w:sz w:val="22"/>
          <w:szCs w:val="22"/>
          <w:lang w:eastAsia="en-US"/>
        </w:rPr>
        <w:t>А</w:t>
      </w:r>
      <w:r w:rsidRPr="00724342">
        <w:rPr>
          <w:rFonts w:eastAsia="Calibri"/>
          <w:sz w:val="22"/>
          <w:szCs w:val="22"/>
          <w:lang w:val="en-US" w:eastAsia="en-US"/>
        </w:rPr>
        <w:t>.</w:t>
      </w:r>
      <w:r w:rsidR="0010381E" w:rsidRPr="00C56F2E">
        <w:rPr>
          <w:rFonts w:eastAsia="Calibri"/>
          <w:sz w:val="22"/>
          <w:szCs w:val="22"/>
          <w:lang w:val="en-US" w:eastAsia="en-US"/>
        </w:rPr>
        <w:t>,</w:t>
      </w:r>
    </w:p>
    <w:p w:rsidR="00724342" w:rsidRPr="00724342" w:rsidRDefault="00724342" w:rsidP="00724342">
      <w:pPr>
        <w:jc w:val="right"/>
        <w:rPr>
          <w:rFonts w:eastAsia="Calibri"/>
          <w:sz w:val="22"/>
          <w:szCs w:val="22"/>
          <w:lang w:eastAsia="en-US"/>
        </w:rPr>
      </w:pPr>
      <w:r w:rsidRPr="00724342">
        <w:rPr>
          <w:rFonts w:eastAsia="Calibri"/>
          <w:sz w:val="22"/>
          <w:szCs w:val="22"/>
          <w:lang w:eastAsia="en-US"/>
        </w:rPr>
        <w:t>студент 4-го курса экономического факультета</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sz w:val="22"/>
          <w:szCs w:val="22"/>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jc w:val="right"/>
        <w:rPr>
          <w:rFonts w:eastAsia="Courier New"/>
          <w:color w:val="000000"/>
          <w:sz w:val="22"/>
          <w:szCs w:val="22"/>
          <w:lang w:eastAsia="en-US"/>
        </w:rPr>
      </w:pPr>
    </w:p>
    <w:p w:rsidR="00724342" w:rsidRPr="00724342" w:rsidRDefault="00724342" w:rsidP="0010381E">
      <w:pPr>
        <w:ind w:firstLine="426"/>
        <w:jc w:val="both"/>
        <w:rPr>
          <w:rFonts w:eastAsia="Courier New"/>
          <w:color w:val="000000"/>
          <w:sz w:val="22"/>
          <w:szCs w:val="22"/>
          <w:lang w:val="en-US" w:eastAsia="en-US"/>
        </w:rPr>
      </w:pPr>
      <w:r w:rsidRPr="00724342">
        <w:rPr>
          <w:rFonts w:eastAsia="Calibri"/>
          <w:sz w:val="22"/>
          <w:szCs w:val="22"/>
          <w:lang w:eastAsia="en-US"/>
        </w:rPr>
        <w:t>АННОТАЦИЯ</w:t>
      </w:r>
      <w:r w:rsidRPr="00724342">
        <w:rPr>
          <w:rFonts w:eastAsia="Courier New"/>
          <w:color w:val="000000"/>
          <w:sz w:val="22"/>
          <w:szCs w:val="22"/>
          <w:lang w:eastAsia="en-US"/>
        </w:rPr>
        <w:t>: Представлены основные взгляды на определ</w:t>
      </w:r>
      <w:r w:rsidRPr="00724342">
        <w:rPr>
          <w:rFonts w:eastAsia="Courier New"/>
          <w:color w:val="000000"/>
          <w:sz w:val="22"/>
          <w:szCs w:val="22"/>
          <w:lang w:eastAsia="en-US"/>
        </w:rPr>
        <w:t>е</w:t>
      </w:r>
      <w:r w:rsidRPr="00724342">
        <w:rPr>
          <w:rFonts w:eastAsia="Courier New"/>
          <w:color w:val="000000"/>
          <w:sz w:val="22"/>
          <w:szCs w:val="22"/>
          <w:lang w:eastAsia="en-US"/>
        </w:rPr>
        <w:t>ние категории «устойчивое развитие аграрного производства». С</w:t>
      </w:r>
      <w:r w:rsidRPr="00724342">
        <w:rPr>
          <w:rFonts w:eastAsia="Courier New"/>
          <w:color w:val="000000"/>
          <w:sz w:val="22"/>
          <w:szCs w:val="22"/>
          <w:lang w:eastAsia="en-US"/>
        </w:rPr>
        <w:t>и</w:t>
      </w:r>
      <w:r w:rsidRPr="00724342">
        <w:rPr>
          <w:rFonts w:eastAsia="Courier New"/>
          <w:color w:val="000000"/>
          <w:sz w:val="22"/>
          <w:szCs w:val="22"/>
          <w:lang w:eastAsia="en-US"/>
        </w:rPr>
        <w:t>стематизированы</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факторы</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устойчивого</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развития</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аграрного</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прои</w:t>
      </w:r>
      <w:r w:rsidRPr="00724342">
        <w:rPr>
          <w:rFonts w:eastAsia="Courier New"/>
          <w:color w:val="000000"/>
          <w:sz w:val="22"/>
          <w:szCs w:val="22"/>
          <w:lang w:eastAsia="en-US"/>
        </w:rPr>
        <w:t>з</w:t>
      </w:r>
      <w:r w:rsidRPr="00724342">
        <w:rPr>
          <w:rFonts w:eastAsia="Courier New"/>
          <w:color w:val="000000"/>
          <w:sz w:val="22"/>
          <w:szCs w:val="22"/>
          <w:lang w:eastAsia="en-US"/>
        </w:rPr>
        <w:t>водства</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в</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современных</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условиях</w:t>
      </w:r>
      <w:r w:rsidRPr="00724342">
        <w:rPr>
          <w:rFonts w:eastAsia="Courier New"/>
          <w:color w:val="000000"/>
          <w:sz w:val="22"/>
          <w:szCs w:val="22"/>
          <w:lang w:val="en-US" w:eastAsia="en-US"/>
        </w:rPr>
        <w:t>.</w:t>
      </w:r>
    </w:p>
    <w:p w:rsidR="00724342" w:rsidRPr="00724342" w:rsidRDefault="00724342" w:rsidP="0010381E">
      <w:pPr>
        <w:ind w:firstLine="426"/>
        <w:jc w:val="both"/>
        <w:rPr>
          <w:rFonts w:eastAsia="Calibri"/>
          <w:sz w:val="22"/>
          <w:szCs w:val="22"/>
          <w:lang w:val="en-US" w:eastAsia="en-US"/>
        </w:rPr>
      </w:pPr>
      <w:r w:rsidRPr="00724342">
        <w:rPr>
          <w:rFonts w:eastAsia="Courier New"/>
          <w:color w:val="000000"/>
          <w:sz w:val="22"/>
          <w:szCs w:val="22"/>
          <w:lang w:val="en-US" w:eastAsia="en-US"/>
        </w:rPr>
        <w:t>ABSTRACT</w:t>
      </w:r>
      <w:r w:rsidRPr="00724342">
        <w:rPr>
          <w:rFonts w:eastAsia="Calibri"/>
          <w:sz w:val="22"/>
          <w:szCs w:val="22"/>
          <w:lang w:val="en-US" w:eastAsia="en-US"/>
        </w:rPr>
        <w:t xml:space="preserve">: </w:t>
      </w:r>
      <w:r w:rsidRPr="00724342">
        <w:rPr>
          <w:rFonts w:eastAsia="Calibri"/>
          <w:sz w:val="22"/>
          <w:szCs w:val="22"/>
          <w:lang w:val="en" w:eastAsia="en-US"/>
        </w:rPr>
        <w:t>The main views on the definition of the category "sustainable development of agricultural production" are presented. Fa</w:t>
      </w:r>
      <w:r w:rsidRPr="00724342">
        <w:rPr>
          <w:rFonts w:eastAsia="Calibri"/>
          <w:sz w:val="22"/>
          <w:szCs w:val="22"/>
          <w:lang w:val="en" w:eastAsia="en-US"/>
        </w:rPr>
        <w:t>c</w:t>
      </w:r>
      <w:r w:rsidRPr="00724342">
        <w:rPr>
          <w:rFonts w:eastAsia="Calibri"/>
          <w:sz w:val="22"/>
          <w:szCs w:val="22"/>
          <w:lang w:val="en" w:eastAsia="en-US"/>
        </w:rPr>
        <w:t>tors of sustainable development of agricultural production in modern conditions systematized.</w:t>
      </w:r>
    </w:p>
    <w:p w:rsidR="00724342" w:rsidRPr="00724342" w:rsidRDefault="00724342" w:rsidP="0010381E">
      <w:pPr>
        <w:ind w:firstLine="426"/>
        <w:jc w:val="both"/>
        <w:rPr>
          <w:rFonts w:eastAsia="Courier New"/>
          <w:color w:val="000000"/>
          <w:sz w:val="22"/>
          <w:szCs w:val="22"/>
          <w:lang w:eastAsia="en-US"/>
        </w:rPr>
      </w:pPr>
      <w:r w:rsidRPr="00724342">
        <w:rPr>
          <w:rFonts w:eastAsia="Calibri"/>
          <w:sz w:val="22"/>
          <w:szCs w:val="22"/>
          <w:lang w:eastAsia="en-US"/>
        </w:rPr>
        <w:t>КЛЮЧЕВЫЕ СЛОВА</w:t>
      </w:r>
      <w:r w:rsidRPr="00724342">
        <w:rPr>
          <w:rFonts w:eastAsia="Courier New"/>
          <w:color w:val="000000"/>
          <w:sz w:val="22"/>
          <w:szCs w:val="22"/>
          <w:lang w:eastAsia="en-US"/>
        </w:rPr>
        <w:t>: рост и развитие, устойчивое развитие, факторы устойчивого развития</w:t>
      </w:r>
    </w:p>
    <w:p w:rsidR="00724342" w:rsidRPr="00724342" w:rsidRDefault="00724342" w:rsidP="0010381E">
      <w:pPr>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 xml:space="preserve">KEYWORDS: </w:t>
      </w:r>
      <w:r w:rsidRPr="00724342">
        <w:rPr>
          <w:rFonts w:eastAsia="Calibri"/>
          <w:sz w:val="22"/>
          <w:szCs w:val="22"/>
          <w:lang w:val="en" w:eastAsia="en-US"/>
        </w:rPr>
        <w:t>growth and development, sustainable development, sustainable development factors</w:t>
      </w:r>
    </w:p>
    <w:p w:rsidR="00724342" w:rsidRPr="00724342" w:rsidRDefault="00724342" w:rsidP="0010381E">
      <w:pPr>
        <w:ind w:firstLine="426"/>
        <w:jc w:val="both"/>
        <w:rPr>
          <w:rFonts w:eastAsia="Courier New"/>
          <w:color w:val="000000"/>
          <w:sz w:val="22"/>
          <w:szCs w:val="22"/>
          <w:lang w:val="en-US" w:eastAsia="en-US"/>
        </w:rPr>
      </w:pP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В аграрной экономике в последние десятилетие получила пр</w:t>
      </w:r>
      <w:r w:rsidRPr="00724342">
        <w:rPr>
          <w:rFonts w:eastAsia="Calibri"/>
          <w:sz w:val="22"/>
          <w:szCs w:val="22"/>
          <w:lang w:eastAsia="en-US"/>
        </w:rPr>
        <w:t>е</w:t>
      </w:r>
      <w:r w:rsidRPr="00724342">
        <w:rPr>
          <w:rFonts w:eastAsia="Calibri"/>
          <w:sz w:val="22"/>
          <w:szCs w:val="22"/>
          <w:lang w:eastAsia="en-US"/>
        </w:rPr>
        <w:t>имущественное распространение теория устойчивого развития о</w:t>
      </w:r>
      <w:r w:rsidRPr="00724342">
        <w:rPr>
          <w:rFonts w:eastAsia="Calibri"/>
          <w:sz w:val="22"/>
          <w:szCs w:val="22"/>
          <w:lang w:eastAsia="en-US"/>
        </w:rPr>
        <w:t>т</w:t>
      </w:r>
      <w:r w:rsidRPr="00724342">
        <w:rPr>
          <w:rFonts w:eastAsia="Calibri"/>
          <w:sz w:val="22"/>
          <w:szCs w:val="22"/>
          <w:lang w:eastAsia="en-US"/>
        </w:rPr>
        <w:t>раслей производства, сменив тем самым концепцию экономическ</w:t>
      </w:r>
      <w:r w:rsidRPr="00724342">
        <w:rPr>
          <w:rFonts w:eastAsia="Calibri"/>
          <w:sz w:val="22"/>
          <w:szCs w:val="22"/>
          <w:lang w:eastAsia="en-US"/>
        </w:rPr>
        <w:t>о</w:t>
      </w:r>
      <w:r w:rsidRPr="00724342">
        <w:rPr>
          <w:rFonts w:eastAsia="Calibri"/>
          <w:sz w:val="22"/>
          <w:szCs w:val="22"/>
          <w:lang w:eastAsia="en-US"/>
        </w:rPr>
        <w:t>го роста.</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Применительно к аграрной сфере определение категории «устойчивое развитие» впервые было сформулировано в матери</w:t>
      </w:r>
      <w:r w:rsidRPr="00724342">
        <w:rPr>
          <w:rFonts w:eastAsia="Calibri"/>
          <w:sz w:val="22"/>
          <w:szCs w:val="22"/>
          <w:lang w:eastAsia="en-US"/>
        </w:rPr>
        <w:t>а</w:t>
      </w:r>
      <w:r w:rsidRPr="00724342">
        <w:rPr>
          <w:rFonts w:eastAsia="Calibri"/>
          <w:sz w:val="22"/>
          <w:szCs w:val="22"/>
          <w:lang w:eastAsia="en-US"/>
        </w:rPr>
        <w:t xml:space="preserve">лах, принятых на сессии ФАО в Риме в 1996 г. В материалах дается </w:t>
      </w:r>
      <w:r w:rsidRPr="00724342">
        <w:rPr>
          <w:rFonts w:eastAsia="Calibri"/>
          <w:sz w:val="22"/>
          <w:szCs w:val="22"/>
          <w:lang w:eastAsia="en-US"/>
        </w:rPr>
        <w:lastRenderedPageBreak/>
        <w:t>определение главной цели устойчивого развития как «повышение уровня производства продуктов питания и обеспечение продовол</w:t>
      </w:r>
      <w:r w:rsidRPr="00724342">
        <w:rPr>
          <w:rFonts w:eastAsia="Calibri"/>
          <w:sz w:val="22"/>
          <w:szCs w:val="22"/>
          <w:lang w:eastAsia="en-US"/>
        </w:rPr>
        <w:t>ь</w:t>
      </w:r>
      <w:r w:rsidRPr="00724342">
        <w:rPr>
          <w:rFonts w:eastAsia="Calibri"/>
          <w:sz w:val="22"/>
          <w:szCs w:val="22"/>
          <w:lang w:eastAsia="en-US"/>
        </w:rPr>
        <w:t>ственной безопасности». Решение поставленной задачи одним из перспективных направлений предполагает использование иннов</w:t>
      </w:r>
      <w:r w:rsidRPr="00724342">
        <w:rPr>
          <w:rFonts w:eastAsia="Calibri"/>
          <w:sz w:val="22"/>
          <w:szCs w:val="22"/>
          <w:lang w:eastAsia="en-US"/>
        </w:rPr>
        <w:t>а</w:t>
      </w:r>
      <w:r w:rsidRPr="00724342">
        <w:rPr>
          <w:rFonts w:eastAsia="Calibri"/>
          <w:sz w:val="22"/>
          <w:szCs w:val="22"/>
          <w:lang w:eastAsia="en-US"/>
        </w:rPr>
        <w:t>ций и развитие новых технологий. Результатом достижения поста</w:t>
      </w:r>
      <w:r w:rsidRPr="00724342">
        <w:rPr>
          <w:rFonts w:eastAsia="Calibri"/>
          <w:sz w:val="22"/>
          <w:szCs w:val="22"/>
          <w:lang w:eastAsia="en-US"/>
        </w:rPr>
        <w:t>в</w:t>
      </w:r>
      <w:r w:rsidRPr="00724342">
        <w:rPr>
          <w:rFonts w:eastAsia="Calibri"/>
          <w:sz w:val="22"/>
          <w:szCs w:val="22"/>
          <w:lang w:eastAsia="en-US"/>
        </w:rPr>
        <w:t>ленной задачи, по мнению участников конгресса, будет служить стабильный доступ к продуктам питания, соответствующим п</w:t>
      </w:r>
      <w:r w:rsidRPr="00724342">
        <w:rPr>
          <w:rFonts w:eastAsia="Calibri"/>
          <w:sz w:val="22"/>
          <w:szCs w:val="22"/>
          <w:lang w:eastAsia="en-US"/>
        </w:rPr>
        <w:t>о</w:t>
      </w:r>
      <w:r w:rsidRPr="00724342">
        <w:rPr>
          <w:rFonts w:eastAsia="Calibri"/>
          <w:sz w:val="22"/>
          <w:szCs w:val="22"/>
          <w:lang w:eastAsia="en-US"/>
        </w:rPr>
        <w:t>требности человека в питательных элементах, доступ к ним для бедных групп населения, развитие товарного производства и т.д. [4].</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 xml:space="preserve">С момента обсуждения вопроса в научной литературе </w:t>
      </w:r>
      <w:r w:rsidRPr="00724342">
        <w:rPr>
          <w:sz w:val="22"/>
          <w:szCs w:val="22"/>
        </w:rPr>
        <w:t>появ</w:t>
      </w:r>
      <w:r w:rsidRPr="00724342">
        <w:rPr>
          <w:sz w:val="22"/>
          <w:szCs w:val="22"/>
        </w:rPr>
        <w:t>и</w:t>
      </w:r>
      <w:r w:rsidRPr="00724342">
        <w:rPr>
          <w:sz w:val="22"/>
          <w:szCs w:val="22"/>
        </w:rPr>
        <w:t>лось множество определений категории «устойчивое развитие».</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Ряд авторов [2,3] связывают устойчивость развития  отраслей АПК со способностью субъектов производства поддерживать рац</w:t>
      </w:r>
      <w:r w:rsidRPr="00724342">
        <w:rPr>
          <w:rFonts w:eastAsia="Calibri"/>
          <w:sz w:val="22"/>
          <w:szCs w:val="22"/>
          <w:lang w:eastAsia="en-US"/>
        </w:rPr>
        <w:t>и</w:t>
      </w:r>
      <w:r w:rsidRPr="00724342">
        <w:rPr>
          <w:rFonts w:eastAsia="Calibri"/>
          <w:sz w:val="22"/>
          <w:szCs w:val="22"/>
          <w:lang w:eastAsia="en-US"/>
        </w:rPr>
        <w:t>ональное соотношение между факторами производства и необх</w:t>
      </w:r>
      <w:r w:rsidRPr="00724342">
        <w:rPr>
          <w:rFonts w:eastAsia="Calibri"/>
          <w:sz w:val="22"/>
          <w:szCs w:val="22"/>
          <w:lang w:eastAsia="en-US"/>
        </w:rPr>
        <w:t>о</w:t>
      </w:r>
      <w:r w:rsidRPr="00724342">
        <w:rPr>
          <w:rFonts w:eastAsia="Calibri"/>
          <w:sz w:val="22"/>
          <w:szCs w:val="22"/>
          <w:lang w:eastAsia="en-US"/>
        </w:rPr>
        <w:t>димыми темпами его развития в условиях неопределенности. Ц</w:t>
      </w:r>
      <w:r w:rsidRPr="00724342">
        <w:rPr>
          <w:rFonts w:eastAsia="Calibri"/>
          <w:sz w:val="22"/>
          <w:szCs w:val="22"/>
          <w:lang w:eastAsia="en-US"/>
        </w:rPr>
        <w:t>е</w:t>
      </w:r>
      <w:r w:rsidRPr="00724342">
        <w:rPr>
          <w:rFonts w:eastAsia="Calibri"/>
          <w:sz w:val="22"/>
          <w:szCs w:val="22"/>
          <w:lang w:eastAsia="en-US"/>
        </w:rPr>
        <w:t>лью развития авторы определяют – удовлетворение потребностей населения в продуктах питания и товарах народного потребления, производимых из сельскохозяйственного сырья. Таким образом, устойчивое развитие аграрного сектора определяется тесно взаим</w:t>
      </w:r>
      <w:r w:rsidRPr="00724342">
        <w:rPr>
          <w:rFonts w:eastAsia="Calibri"/>
          <w:sz w:val="22"/>
          <w:szCs w:val="22"/>
          <w:lang w:eastAsia="en-US"/>
        </w:rPr>
        <w:t>о</w:t>
      </w:r>
      <w:r w:rsidRPr="00724342">
        <w:rPr>
          <w:rFonts w:eastAsia="Calibri"/>
          <w:sz w:val="22"/>
          <w:szCs w:val="22"/>
          <w:lang w:eastAsia="en-US"/>
        </w:rPr>
        <w:t>связанными экономическими, социальными и экологическими с</w:t>
      </w:r>
      <w:r w:rsidRPr="00724342">
        <w:rPr>
          <w:rFonts w:eastAsia="Calibri"/>
          <w:sz w:val="22"/>
          <w:szCs w:val="22"/>
          <w:lang w:eastAsia="en-US"/>
        </w:rPr>
        <w:t>о</w:t>
      </w:r>
      <w:r w:rsidRPr="00724342">
        <w:rPr>
          <w:rFonts w:eastAsia="Calibri"/>
          <w:sz w:val="22"/>
          <w:szCs w:val="22"/>
          <w:lang w:eastAsia="en-US"/>
        </w:rPr>
        <w:t xml:space="preserve">ставляющими экономического роста. </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Критериями устойчивого экономического развития отраслей производства является рост производства безопасных продуктов питания и удовлетворение потребностей в них населения, а также обеспечение экономической эффективности производства, позв</w:t>
      </w:r>
      <w:r w:rsidRPr="00724342">
        <w:rPr>
          <w:rFonts w:eastAsia="Calibri"/>
          <w:sz w:val="22"/>
          <w:szCs w:val="22"/>
          <w:lang w:eastAsia="en-US"/>
        </w:rPr>
        <w:t>о</w:t>
      </w:r>
      <w:r w:rsidRPr="00724342">
        <w:rPr>
          <w:rFonts w:eastAsia="Calibri"/>
          <w:sz w:val="22"/>
          <w:szCs w:val="22"/>
          <w:lang w:eastAsia="en-US"/>
        </w:rPr>
        <w:t xml:space="preserve">ляющей вести расширенное воспроизводство. </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Основными факторами повышения устойчивости агропромы</w:t>
      </w:r>
      <w:r w:rsidRPr="00724342">
        <w:rPr>
          <w:rFonts w:eastAsia="Calibri"/>
          <w:sz w:val="22"/>
          <w:szCs w:val="22"/>
          <w:lang w:eastAsia="en-US"/>
        </w:rPr>
        <w:t>ш</w:t>
      </w:r>
      <w:r w:rsidRPr="00724342">
        <w:rPr>
          <w:rFonts w:eastAsia="Calibri"/>
          <w:sz w:val="22"/>
          <w:szCs w:val="22"/>
          <w:lang w:eastAsia="en-US"/>
        </w:rPr>
        <w:t>ленного производства являются:</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1.</w:t>
      </w:r>
      <w:r w:rsidRPr="00724342">
        <w:rPr>
          <w:rFonts w:eastAsia="Calibri"/>
          <w:sz w:val="22"/>
          <w:szCs w:val="22"/>
          <w:lang w:eastAsia="en-US"/>
        </w:rPr>
        <w:tab/>
        <w:t>Интенсификация производства. Предполагает увеличение объемов товаропроизводства за счет внедрения в производство в</w:t>
      </w:r>
      <w:r w:rsidRPr="00724342">
        <w:rPr>
          <w:rFonts w:eastAsia="Calibri"/>
          <w:sz w:val="22"/>
          <w:szCs w:val="22"/>
          <w:lang w:eastAsia="en-US"/>
        </w:rPr>
        <w:t>ы</w:t>
      </w:r>
      <w:r w:rsidRPr="00724342">
        <w:rPr>
          <w:rFonts w:eastAsia="Calibri"/>
          <w:sz w:val="22"/>
          <w:szCs w:val="22"/>
          <w:lang w:eastAsia="en-US"/>
        </w:rPr>
        <w:t>сокопроизводительных средств производства (техники, оборудов</w:t>
      </w:r>
      <w:r w:rsidRPr="00724342">
        <w:rPr>
          <w:rFonts w:eastAsia="Calibri"/>
          <w:sz w:val="22"/>
          <w:szCs w:val="22"/>
          <w:lang w:eastAsia="en-US"/>
        </w:rPr>
        <w:t>а</w:t>
      </w:r>
      <w:r w:rsidRPr="00724342">
        <w:rPr>
          <w:rFonts w:eastAsia="Calibri"/>
          <w:sz w:val="22"/>
          <w:szCs w:val="22"/>
          <w:lang w:eastAsia="en-US"/>
        </w:rPr>
        <w:t>ния, скот высокопродуктивных пород и т.д.),  достижений научно-технического прогресса в области организации труда и технолог</w:t>
      </w:r>
      <w:r w:rsidRPr="00724342">
        <w:rPr>
          <w:rFonts w:eastAsia="Calibri"/>
          <w:sz w:val="22"/>
          <w:szCs w:val="22"/>
          <w:lang w:eastAsia="en-US"/>
        </w:rPr>
        <w:t>и</w:t>
      </w:r>
      <w:r w:rsidRPr="00724342">
        <w:rPr>
          <w:rFonts w:eastAsia="Calibri"/>
          <w:sz w:val="22"/>
          <w:szCs w:val="22"/>
          <w:lang w:eastAsia="en-US"/>
        </w:rPr>
        <w:t>ческих процессов, использования сложившегося производственного потенциала. Достижения научно-технического прогресса овещест</w:t>
      </w:r>
      <w:r w:rsidRPr="00724342">
        <w:rPr>
          <w:rFonts w:eastAsia="Calibri"/>
          <w:sz w:val="22"/>
          <w:szCs w:val="22"/>
          <w:lang w:eastAsia="en-US"/>
        </w:rPr>
        <w:t>в</w:t>
      </w:r>
      <w:r w:rsidRPr="00724342">
        <w:rPr>
          <w:rFonts w:eastAsia="Calibri"/>
          <w:sz w:val="22"/>
          <w:szCs w:val="22"/>
          <w:lang w:eastAsia="en-US"/>
        </w:rPr>
        <w:t>ляют научные разработки в развитии факторов производства (раб</w:t>
      </w:r>
      <w:r w:rsidRPr="00724342">
        <w:rPr>
          <w:rFonts w:eastAsia="Calibri"/>
          <w:sz w:val="22"/>
          <w:szCs w:val="22"/>
          <w:lang w:eastAsia="en-US"/>
        </w:rPr>
        <w:t>о</w:t>
      </w:r>
      <w:r w:rsidRPr="00724342">
        <w:rPr>
          <w:rFonts w:eastAsia="Calibri"/>
          <w:sz w:val="22"/>
          <w:szCs w:val="22"/>
          <w:lang w:eastAsia="en-US"/>
        </w:rPr>
        <w:t xml:space="preserve">чей силы, средств и предметов труда). </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lastRenderedPageBreak/>
        <w:t>3. Применение прогрессивных технологий и научно обосн</w:t>
      </w:r>
      <w:r w:rsidRPr="00724342">
        <w:rPr>
          <w:rFonts w:eastAsia="Calibri"/>
          <w:sz w:val="22"/>
          <w:szCs w:val="22"/>
          <w:lang w:eastAsia="en-US"/>
        </w:rPr>
        <w:t>о</w:t>
      </w:r>
      <w:r w:rsidRPr="00724342">
        <w:rPr>
          <w:rFonts w:eastAsia="Calibri"/>
          <w:sz w:val="22"/>
          <w:szCs w:val="22"/>
          <w:lang w:eastAsia="en-US"/>
        </w:rPr>
        <w:t>ванных систем земледелия и животноводства.</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4. Создание и применение перспективных сортов растений, устойчивых к погодным колебаниям,  пород животных с более в</w:t>
      </w:r>
      <w:r w:rsidRPr="00724342">
        <w:rPr>
          <w:rFonts w:eastAsia="Calibri"/>
          <w:sz w:val="22"/>
          <w:szCs w:val="22"/>
          <w:lang w:eastAsia="en-US"/>
        </w:rPr>
        <w:t>ы</w:t>
      </w:r>
      <w:r w:rsidRPr="00724342">
        <w:rPr>
          <w:rFonts w:eastAsia="Calibri"/>
          <w:sz w:val="22"/>
          <w:szCs w:val="22"/>
          <w:lang w:eastAsia="en-US"/>
        </w:rPr>
        <w:t>сокой продуктивностью, конверсией кормов, устойчивостью к б</w:t>
      </w:r>
      <w:r w:rsidRPr="00724342">
        <w:rPr>
          <w:rFonts w:eastAsia="Calibri"/>
          <w:sz w:val="22"/>
          <w:szCs w:val="22"/>
          <w:lang w:eastAsia="en-US"/>
        </w:rPr>
        <w:t>о</w:t>
      </w:r>
      <w:r w:rsidRPr="00724342">
        <w:rPr>
          <w:rFonts w:eastAsia="Calibri"/>
          <w:sz w:val="22"/>
          <w:szCs w:val="22"/>
          <w:lang w:eastAsia="en-US"/>
        </w:rPr>
        <w:t>лезням.</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5. Развитие промышленного кормопроизводства, позволяющ</w:t>
      </w:r>
      <w:r w:rsidRPr="00724342">
        <w:rPr>
          <w:rFonts w:eastAsia="Calibri"/>
          <w:sz w:val="22"/>
          <w:szCs w:val="22"/>
          <w:lang w:eastAsia="en-US"/>
        </w:rPr>
        <w:t>е</w:t>
      </w:r>
      <w:r w:rsidRPr="00724342">
        <w:rPr>
          <w:rFonts w:eastAsia="Calibri"/>
          <w:sz w:val="22"/>
          <w:szCs w:val="22"/>
          <w:lang w:eastAsia="en-US"/>
        </w:rPr>
        <w:t>го уменьшить зависимость животноводства от урожая кормовых культур.</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6. Создание резервов сельхозпродукции с целью их дальнейш</w:t>
      </w:r>
      <w:r w:rsidRPr="00724342">
        <w:rPr>
          <w:rFonts w:eastAsia="Calibri"/>
          <w:sz w:val="22"/>
          <w:szCs w:val="22"/>
          <w:lang w:eastAsia="en-US"/>
        </w:rPr>
        <w:t>е</w:t>
      </w:r>
      <w:r w:rsidRPr="00724342">
        <w:rPr>
          <w:rFonts w:eastAsia="Calibri"/>
          <w:sz w:val="22"/>
          <w:szCs w:val="22"/>
          <w:lang w:eastAsia="en-US"/>
        </w:rPr>
        <w:t>го использования для расширения производства, а также для нив</w:t>
      </w:r>
      <w:r w:rsidRPr="00724342">
        <w:rPr>
          <w:rFonts w:eastAsia="Calibri"/>
          <w:sz w:val="22"/>
          <w:szCs w:val="22"/>
          <w:lang w:eastAsia="en-US"/>
        </w:rPr>
        <w:t>е</w:t>
      </w:r>
      <w:r w:rsidRPr="00724342">
        <w:rPr>
          <w:rFonts w:eastAsia="Calibri"/>
          <w:sz w:val="22"/>
          <w:szCs w:val="22"/>
          <w:lang w:eastAsia="en-US"/>
        </w:rPr>
        <w:t>лирования производственных рисков [1, 5].</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7. Применение дифференцированных налоговых ставок, льго</w:t>
      </w:r>
      <w:r w:rsidRPr="00724342">
        <w:rPr>
          <w:rFonts w:eastAsia="Calibri"/>
          <w:sz w:val="22"/>
          <w:szCs w:val="22"/>
          <w:lang w:eastAsia="en-US"/>
        </w:rPr>
        <w:t>т</w:t>
      </w:r>
      <w:r w:rsidRPr="00724342">
        <w:rPr>
          <w:rFonts w:eastAsia="Calibri"/>
          <w:sz w:val="22"/>
          <w:szCs w:val="22"/>
          <w:lang w:eastAsia="en-US"/>
        </w:rPr>
        <w:t>ных кредитов и займов для сельхозтоваропроизводителей с целью выравнивания результатов финансовой деятельности хозяйств.</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 xml:space="preserve">8. Диверсификация аграрного производства, предполагающая обновление товарного ассортимента продукции с одновременным выходом за пределы основного производственного направления, что позволит снизить риски в основной деятеэльности и получить ожидаемый дополнительный доход [2]. </w:t>
      </w:r>
    </w:p>
    <w:p w:rsidR="00724342" w:rsidRPr="00724342" w:rsidRDefault="00724342" w:rsidP="0010381E">
      <w:pPr>
        <w:ind w:firstLine="426"/>
        <w:jc w:val="both"/>
        <w:rPr>
          <w:rFonts w:eastAsia="Calibri"/>
          <w:sz w:val="22"/>
          <w:szCs w:val="22"/>
          <w:lang w:eastAsia="en-US"/>
        </w:rPr>
      </w:pPr>
    </w:p>
    <w:p w:rsidR="00724342" w:rsidRPr="00724342" w:rsidRDefault="00724342" w:rsidP="0010381E">
      <w:pPr>
        <w:ind w:firstLine="426"/>
        <w:jc w:val="center"/>
        <w:rPr>
          <w:rFonts w:eastAsia="Calibri"/>
          <w:sz w:val="22"/>
          <w:szCs w:val="22"/>
          <w:lang w:eastAsia="en-US"/>
        </w:rPr>
      </w:pPr>
      <w:r w:rsidRPr="00724342">
        <w:rPr>
          <w:rFonts w:eastAsia="Calibri"/>
          <w:sz w:val="22"/>
          <w:szCs w:val="22"/>
          <w:lang w:eastAsia="en-US"/>
        </w:rPr>
        <w:t>Список литературы</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1. Соколова А. П. Риск в агробизнесе и определение мер по его снижению / А. П. Соколова, С. А. Устян, С. А. Мелкумов // Экон</w:t>
      </w:r>
      <w:r w:rsidRPr="00724342">
        <w:rPr>
          <w:rFonts w:eastAsia="Calibri"/>
          <w:sz w:val="22"/>
          <w:szCs w:val="22"/>
          <w:lang w:eastAsia="en-US"/>
        </w:rPr>
        <w:t>о</w:t>
      </w:r>
      <w:r w:rsidRPr="00724342">
        <w:rPr>
          <w:rFonts w:eastAsia="Calibri"/>
          <w:sz w:val="22"/>
          <w:szCs w:val="22"/>
          <w:lang w:eastAsia="en-US"/>
        </w:rPr>
        <w:t>мика и предпринимательство. – 2017. – №1 (78). – С. 951–956.</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2. Соколова, А. П. Экономическая эффективность диверсиф</w:t>
      </w:r>
      <w:r w:rsidRPr="00724342">
        <w:rPr>
          <w:rFonts w:eastAsia="Calibri"/>
          <w:sz w:val="22"/>
          <w:szCs w:val="22"/>
          <w:lang w:eastAsia="en-US"/>
        </w:rPr>
        <w:t>и</w:t>
      </w:r>
      <w:r w:rsidRPr="00724342">
        <w:rPr>
          <w:rFonts w:eastAsia="Calibri"/>
          <w:sz w:val="22"/>
          <w:szCs w:val="22"/>
          <w:lang w:eastAsia="en-US"/>
        </w:rPr>
        <w:t>кации производства в аграрном секторе экономики / А. П. Сокол</w:t>
      </w:r>
      <w:r w:rsidRPr="00724342">
        <w:rPr>
          <w:rFonts w:eastAsia="Calibri"/>
          <w:sz w:val="22"/>
          <w:szCs w:val="22"/>
          <w:lang w:eastAsia="en-US"/>
        </w:rPr>
        <w:t>о</w:t>
      </w:r>
      <w:r w:rsidRPr="00724342">
        <w:rPr>
          <w:rFonts w:eastAsia="Calibri"/>
          <w:sz w:val="22"/>
          <w:szCs w:val="22"/>
          <w:lang w:eastAsia="en-US"/>
        </w:rPr>
        <w:t>ва, Е. И. Гилек, И. Е. Горбунова // Закономерности и тенденции формирования системы финансово - кредитных отношений. Сб. ст. по итогам Междунар. науч.-практ. конф.. 2017. – С. 234–241.</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eastAsia="en-US"/>
        </w:rPr>
        <w:t>3. Стратегия развития аграрной сферы экономики: проблемы и пути решения / А. И. Алтухов, А. Н. Анищенко, Е. И. Артемова и др. – Краснодар: Просвещение-Юг, 2017. – 703 с.</w:t>
      </w:r>
    </w:p>
    <w:p w:rsidR="00724342" w:rsidRPr="00724342" w:rsidRDefault="00724342" w:rsidP="0010381E">
      <w:pPr>
        <w:ind w:firstLine="426"/>
        <w:jc w:val="both"/>
        <w:rPr>
          <w:rFonts w:eastAsia="Calibri"/>
          <w:sz w:val="22"/>
          <w:szCs w:val="22"/>
          <w:lang w:eastAsia="en-US"/>
        </w:rPr>
      </w:pPr>
      <w:r w:rsidRPr="00724342">
        <w:rPr>
          <w:rFonts w:eastAsia="Calibri"/>
          <w:sz w:val="22"/>
          <w:szCs w:val="22"/>
          <w:lang w:val="en-US" w:eastAsia="en-US"/>
        </w:rPr>
        <w:t xml:space="preserve">4. Promoting Sustainable Agriculture and Rural Development: Agenda 21 Chapter 14. </w:t>
      </w:r>
      <w:r w:rsidRPr="00724342">
        <w:rPr>
          <w:rFonts w:eastAsia="Calibri"/>
          <w:sz w:val="22"/>
          <w:szCs w:val="22"/>
          <w:lang w:eastAsia="en-US"/>
        </w:rPr>
        <w:t xml:space="preserve">Rome: FAO, 1996. – доступ: </w:t>
      </w:r>
      <w:hyperlink r:id="rId315" w:history="1">
        <w:r w:rsidRPr="00724342">
          <w:rPr>
            <w:rFonts w:eastAsia="Calibri"/>
            <w:sz w:val="22"/>
            <w:szCs w:val="22"/>
            <w:lang w:eastAsia="en-US"/>
          </w:rPr>
          <w:t>http://www.un-documents.net/a21-14.htm</w:t>
        </w:r>
      </w:hyperlink>
      <w:r w:rsidRPr="00724342">
        <w:rPr>
          <w:rFonts w:eastAsia="Calibri"/>
          <w:sz w:val="22"/>
          <w:szCs w:val="22"/>
          <w:lang w:eastAsia="en-US"/>
        </w:rPr>
        <w:t>, свободный</w:t>
      </w:r>
    </w:p>
    <w:p w:rsidR="00724342" w:rsidRPr="00724342" w:rsidRDefault="00724342" w:rsidP="0010381E">
      <w:pPr>
        <w:ind w:firstLine="426"/>
        <w:jc w:val="both"/>
        <w:rPr>
          <w:rFonts w:eastAsia="Calibri"/>
          <w:sz w:val="22"/>
          <w:szCs w:val="22"/>
          <w:lang w:val="en-US" w:eastAsia="en-US"/>
        </w:rPr>
      </w:pPr>
      <w:r w:rsidRPr="00724342">
        <w:rPr>
          <w:rFonts w:eastAsia="Calibri"/>
          <w:sz w:val="22"/>
          <w:szCs w:val="22"/>
          <w:lang w:val="en-US" w:eastAsia="en-US"/>
        </w:rPr>
        <w:t>5. Sukhareva, O. A. Relevance and perspective directions for deve</w:t>
      </w:r>
      <w:r w:rsidRPr="00724342">
        <w:rPr>
          <w:rFonts w:eastAsia="Calibri"/>
          <w:sz w:val="22"/>
          <w:szCs w:val="22"/>
          <w:lang w:val="en-US" w:eastAsia="en-US"/>
        </w:rPr>
        <w:t>l</w:t>
      </w:r>
      <w:r w:rsidRPr="00724342">
        <w:rPr>
          <w:rFonts w:eastAsia="Calibri"/>
          <w:sz w:val="22"/>
          <w:szCs w:val="22"/>
          <w:lang w:val="en-US" w:eastAsia="en-US"/>
        </w:rPr>
        <w:t xml:space="preserve">opment infrastructure of plant growing branch in the conditions of the </w:t>
      </w:r>
      <w:r w:rsidRPr="00724342">
        <w:rPr>
          <w:rFonts w:eastAsia="Calibri"/>
          <w:sz w:val="22"/>
          <w:szCs w:val="22"/>
          <w:lang w:val="en-US" w:eastAsia="en-US"/>
        </w:rPr>
        <w:lastRenderedPageBreak/>
        <w:t>south of russia / Sukhareva, O. A., V. S. Novikova // Modern European researches. 2017 – № 2. – p. 137–144.</w:t>
      </w:r>
    </w:p>
    <w:p w:rsidR="00724342" w:rsidRPr="00724342" w:rsidRDefault="00724342" w:rsidP="00724342">
      <w:pPr>
        <w:jc w:val="both"/>
        <w:rPr>
          <w:sz w:val="22"/>
          <w:szCs w:val="22"/>
          <w:lang w:val="en-US"/>
        </w:rPr>
      </w:pPr>
    </w:p>
    <w:p w:rsidR="00724342" w:rsidRPr="00724342" w:rsidRDefault="00724342" w:rsidP="00724342">
      <w:pPr>
        <w:jc w:val="both"/>
        <w:rPr>
          <w:sz w:val="22"/>
          <w:szCs w:val="22"/>
          <w:lang w:val="en-US"/>
        </w:rPr>
      </w:pPr>
    </w:p>
    <w:p w:rsidR="00724342" w:rsidRPr="00C56F2E" w:rsidRDefault="00724342" w:rsidP="00724342">
      <w:pPr>
        <w:jc w:val="both"/>
        <w:rPr>
          <w:rFonts w:eastAsia="Yu Mincho"/>
          <w:sz w:val="22"/>
          <w:szCs w:val="22"/>
          <w:lang w:val="en-US" w:eastAsia="en-US"/>
        </w:rPr>
      </w:pPr>
    </w:p>
    <w:p w:rsidR="00724342" w:rsidRPr="00724342" w:rsidRDefault="00724342" w:rsidP="00724342">
      <w:pPr>
        <w:jc w:val="both"/>
        <w:rPr>
          <w:rFonts w:eastAsia="Yu Mincho"/>
          <w:sz w:val="22"/>
          <w:szCs w:val="22"/>
          <w:lang w:val="en-US" w:eastAsia="en-US"/>
        </w:rPr>
      </w:pPr>
      <w:r w:rsidRPr="00724342">
        <w:rPr>
          <w:rFonts w:eastAsia="Yu Mincho"/>
          <w:sz w:val="22"/>
          <w:szCs w:val="22"/>
          <w:lang w:eastAsia="en-US"/>
        </w:rPr>
        <w:t>УДК</w:t>
      </w:r>
      <w:r w:rsidRPr="00724342">
        <w:rPr>
          <w:rFonts w:eastAsia="Yu Mincho"/>
          <w:sz w:val="22"/>
          <w:szCs w:val="22"/>
          <w:lang w:val="en-US" w:eastAsia="en-US"/>
        </w:rPr>
        <w:t xml:space="preserve"> 331.5</w:t>
      </w:r>
    </w:p>
    <w:p w:rsidR="00724342" w:rsidRPr="00724342" w:rsidRDefault="00724342" w:rsidP="00724342">
      <w:pPr>
        <w:jc w:val="both"/>
        <w:rPr>
          <w:rFonts w:eastAsia="Yu Mincho"/>
          <w:sz w:val="22"/>
          <w:szCs w:val="22"/>
          <w:lang w:val="en-US" w:eastAsia="en-US"/>
        </w:rPr>
      </w:pPr>
    </w:p>
    <w:p w:rsidR="00724342" w:rsidRPr="00724342" w:rsidRDefault="00724342" w:rsidP="00724342">
      <w:pPr>
        <w:jc w:val="center"/>
        <w:rPr>
          <w:rFonts w:eastAsia="Yu Mincho"/>
          <w:b/>
          <w:sz w:val="24"/>
          <w:szCs w:val="24"/>
          <w:lang w:val="en-US" w:eastAsia="en-US"/>
        </w:rPr>
      </w:pPr>
      <w:r w:rsidRPr="00724342">
        <w:rPr>
          <w:rFonts w:eastAsia="Yu Mincho"/>
          <w:b/>
          <w:sz w:val="24"/>
          <w:szCs w:val="24"/>
          <w:lang w:eastAsia="en-US"/>
        </w:rPr>
        <w:t>Социальная</w:t>
      </w:r>
      <w:r w:rsidRPr="00724342">
        <w:rPr>
          <w:rFonts w:eastAsia="Yu Mincho"/>
          <w:b/>
          <w:sz w:val="24"/>
          <w:szCs w:val="24"/>
          <w:lang w:val="en-US" w:eastAsia="en-US"/>
        </w:rPr>
        <w:t xml:space="preserve"> </w:t>
      </w:r>
      <w:r w:rsidRPr="00724342">
        <w:rPr>
          <w:rFonts w:eastAsia="Yu Mincho"/>
          <w:b/>
          <w:sz w:val="24"/>
          <w:szCs w:val="24"/>
          <w:lang w:eastAsia="en-US"/>
        </w:rPr>
        <w:t>поддержка</w:t>
      </w:r>
      <w:r w:rsidRPr="00724342">
        <w:rPr>
          <w:rFonts w:eastAsia="Yu Mincho"/>
          <w:b/>
          <w:sz w:val="24"/>
          <w:szCs w:val="24"/>
          <w:lang w:val="en-US" w:eastAsia="en-US"/>
        </w:rPr>
        <w:t xml:space="preserve"> </w:t>
      </w:r>
      <w:r w:rsidRPr="00724342">
        <w:rPr>
          <w:rFonts w:eastAsia="Yu Mincho"/>
          <w:b/>
          <w:sz w:val="24"/>
          <w:szCs w:val="24"/>
          <w:lang w:eastAsia="en-US"/>
        </w:rPr>
        <w:t>безработных</w:t>
      </w:r>
      <w:r w:rsidRPr="00724342">
        <w:rPr>
          <w:rFonts w:eastAsia="Yu Mincho"/>
          <w:b/>
          <w:sz w:val="24"/>
          <w:szCs w:val="24"/>
          <w:lang w:val="en-US" w:eastAsia="en-US"/>
        </w:rPr>
        <w:t xml:space="preserve"> </w:t>
      </w:r>
      <w:r w:rsidRPr="00724342">
        <w:rPr>
          <w:rFonts w:eastAsia="Yu Mincho"/>
          <w:b/>
          <w:sz w:val="24"/>
          <w:szCs w:val="24"/>
          <w:lang w:eastAsia="en-US"/>
        </w:rPr>
        <w:t>в</w:t>
      </w:r>
      <w:r w:rsidRPr="00724342">
        <w:rPr>
          <w:rFonts w:eastAsia="Yu Mincho"/>
          <w:b/>
          <w:sz w:val="24"/>
          <w:szCs w:val="24"/>
          <w:lang w:val="en-US" w:eastAsia="en-US"/>
        </w:rPr>
        <w:t xml:space="preserve"> </w:t>
      </w:r>
      <w:r w:rsidRPr="00724342">
        <w:rPr>
          <w:rFonts w:eastAsia="Yu Mincho"/>
          <w:b/>
          <w:sz w:val="24"/>
          <w:szCs w:val="24"/>
          <w:lang w:eastAsia="en-US"/>
        </w:rPr>
        <w:t>России</w:t>
      </w:r>
    </w:p>
    <w:p w:rsidR="00724342" w:rsidRPr="00724342" w:rsidRDefault="00724342" w:rsidP="00724342">
      <w:pPr>
        <w:jc w:val="center"/>
        <w:rPr>
          <w:rFonts w:eastAsia="Yu Mincho"/>
          <w:b/>
          <w:sz w:val="24"/>
          <w:szCs w:val="24"/>
          <w:lang w:val="en-US" w:eastAsia="en-US"/>
        </w:rPr>
      </w:pPr>
      <w:r w:rsidRPr="00724342">
        <w:rPr>
          <w:rFonts w:eastAsia="Yu Mincho"/>
          <w:b/>
          <w:sz w:val="24"/>
          <w:szCs w:val="24"/>
          <w:lang w:val="en-US" w:eastAsia="en-US"/>
        </w:rPr>
        <w:t>Social support of the unemployed in Russia</w:t>
      </w:r>
    </w:p>
    <w:p w:rsidR="00724342" w:rsidRPr="00724342" w:rsidRDefault="00724342" w:rsidP="00724342">
      <w:pPr>
        <w:jc w:val="right"/>
        <w:rPr>
          <w:rFonts w:eastAsia="Yu Mincho"/>
          <w:sz w:val="22"/>
          <w:szCs w:val="22"/>
          <w:lang w:val="en-US" w:eastAsia="en-US"/>
        </w:rPr>
      </w:pPr>
    </w:p>
    <w:p w:rsidR="00724342" w:rsidRPr="00724342" w:rsidRDefault="00724342" w:rsidP="00724342">
      <w:pPr>
        <w:jc w:val="right"/>
        <w:rPr>
          <w:rFonts w:eastAsia="Yu Mincho"/>
          <w:sz w:val="22"/>
          <w:szCs w:val="22"/>
          <w:lang w:eastAsia="en-US"/>
        </w:rPr>
      </w:pPr>
      <w:r w:rsidRPr="00724342">
        <w:rPr>
          <w:rFonts w:eastAsia="Yu Mincho"/>
          <w:sz w:val="22"/>
          <w:szCs w:val="22"/>
          <w:lang w:eastAsia="en-US"/>
        </w:rPr>
        <w:t>Саакян С. П.</w:t>
      </w:r>
      <w:r w:rsidR="0010381E">
        <w:rPr>
          <w:rFonts w:eastAsia="Yu Mincho"/>
          <w:sz w:val="22"/>
          <w:szCs w:val="22"/>
          <w:lang w:eastAsia="en-US"/>
        </w:rPr>
        <w:t>,</w:t>
      </w:r>
    </w:p>
    <w:p w:rsidR="00724342" w:rsidRPr="00724342" w:rsidRDefault="00724342" w:rsidP="00724342">
      <w:pPr>
        <w:jc w:val="right"/>
        <w:rPr>
          <w:rFonts w:eastAsia="Yu Mincho"/>
          <w:sz w:val="24"/>
          <w:szCs w:val="24"/>
          <w:lang w:eastAsia="en-US"/>
        </w:rPr>
      </w:pPr>
      <w:r w:rsidRPr="00724342">
        <w:rPr>
          <w:rFonts w:eastAsia="Yu Mincho"/>
          <w:sz w:val="22"/>
          <w:szCs w:val="22"/>
          <w:lang w:eastAsia="en-US"/>
        </w:rPr>
        <w:t>студентка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И.Т. Трубилина</w:t>
      </w:r>
    </w:p>
    <w:p w:rsidR="00724342" w:rsidRPr="00724342" w:rsidRDefault="00724342" w:rsidP="00724342">
      <w:pPr>
        <w:jc w:val="center"/>
        <w:rPr>
          <w:rFonts w:eastAsia="Yu Mincho"/>
          <w:sz w:val="24"/>
          <w:szCs w:val="24"/>
          <w:lang w:eastAsia="en-US"/>
        </w:rPr>
      </w:pP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АННОТАЦИЯ: В статье проанализированы гарантии социал</w:t>
      </w:r>
      <w:r w:rsidRPr="00724342">
        <w:rPr>
          <w:rFonts w:eastAsia="Yu Mincho"/>
          <w:sz w:val="22"/>
          <w:szCs w:val="22"/>
          <w:lang w:eastAsia="en-US"/>
        </w:rPr>
        <w:t>ь</w:t>
      </w:r>
      <w:r w:rsidRPr="00724342">
        <w:rPr>
          <w:rFonts w:eastAsia="Yu Mincho"/>
          <w:sz w:val="22"/>
          <w:szCs w:val="22"/>
          <w:lang w:eastAsia="en-US"/>
        </w:rPr>
        <w:t>ной поддержки безработных. Охарактеризована проблема занятости и безработицы. Исследуется сущность пособий по безработице граждан.</w:t>
      </w:r>
    </w:p>
    <w:p w:rsidR="00724342" w:rsidRPr="00724342" w:rsidRDefault="00724342" w:rsidP="0010381E">
      <w:pPr>
        <w:ind w:firstLine="426"/>
        <w:jc w:val="both"/>
        <w:rPr>
          <w:rFonts w:eastAsia="Yu Mincho"/>
          <w:sz w:val="22"/>
          <w:szCs w:val="22"/>
          <w:lang w:val="en-US" w:eastAsia="en-US"/>
        </w:rPr>
      </w:pPr>
      <w:r w:rsidRPr="00724342">
        <w:rPr>
          <w:rFonts w:eastAsia="Courier New"/>
          <w:color w:val="000000"/>
          <w:sz w:val="22"/>
          <w:szCs w:val="22"/>
          <w:lang w:val="en-US" w:eastAsia="en-US"/>
        </w:rPr>
        <w:t>ABSTRACT: The article analyzes guarantees of social support for unemployed people. The problem of employment and unemployment is characterized. The essence of unemployment benefits for citizens is e</w:t>
      </w:r>
      <w:r w:rsidRPr="00724342">
        <w:rPr>
          <w:rFonts w:eastAsia="Courier New"/>
          <w:color w:val="000000"/>
          <w:sz w:val="22"/>
          <w:szCs w:val="22"/>
          <w:lang w:val="en-US" w:eastAsia="en-US"/>
        </w:rPr>
        <w:t>x</w:t>
      </w:r>
      <w:r w:rsidRPr="00724342">
        <w:rPr>
          <w:rFonts w:eastAsia="Courier New"/>
          <w:color w:val="000000"/>
          <w:sz w:val="22"/>
          <w:szCs w:val="22"/>
          <w:lang w:val="en-US" w:eastAsia="en-US"/>
        </w:rPr>
        <w:t>plored.</w:t>
      </w:r>
    </w:p>
    <w:p w:rsidR="00724342" w:rsidRPr="00724342" w:rsidRDefault="00724342" w:rsidP="0010381E">
      <w:pPr>
        <w:ind w:firstLine="426"/>
        <w:jc w:val="both"/>
        <w:rPr>
          <w:rFonts w:eastAsia="Yu Mincho"/>
          <w:sz w:val="22"/>
          <w:szCs w:val="22"/>
          <w:lang w:eastAsia="en-US"/>
        </w:rPr>
      </w:pPr>
      <w:r w:rsidRPr="00724342">
        <w:rPr>
          <w:rFonts w:eastAsia="Yu Mincho"/>
          <w:sz w:val="21"/>
          <w:szCs w:val="22"/>
          <w:lang w:eastAsia="en-US"/>
        </w:rPr>
        <w:t xml:space="preserve">КЛЮЧЕВЫЕ СЛОВА: </w:t>
      </w:r>
      <w:r w:rsidRPr="00724342">
        <w:rPr>
          <w:rFonts w:eastAsia="Yu Mincho"/>
          <w:sz w:val="22"/>
          <w:szCs w:val="22"/>
          <w:lang w:eastAsia="en-US"/>
        </w:rPr>
        <w:t>Безработица, социальная поддержка бе</w:t>
      </w:r>
      <w:r w:rsidRPr="00724342">
        <w:rPr>
          <w:rFonts w:eastAsia="Yu Mincho"/>
          <w:sz w:val="22"/>
          <w:szCs w:val="22"/>
          <w:lang w:eastAsia="en-US"/>
        </w:rPr>
        <w:t>з</w:t>
      </w:r>
      <w:r w:rsidRPr="00724342">
        <w:rPr>
          <w:rFonts w:eastAsia="Yu Mincho"/>
          <w:sz w:val="22"/>
          <w:szCs w:val="22"/>
          <w:lang w:eastAsia="en-US"/>
        </w:rPr>
        <w:t>работных, социальная защита, экономические последствия.</w:t>
      </w:r>
    </w:p>
    <w:p w:rsidR="00724342" w:rsidRPr="00724342" w:rsidRDefault="00724342" w:rsidP="0010381E">
      <w:pPr>
        <w:ind w:firstLine="426"/>
        <w:jc w:val="both"/>
        <w:rPr>
          <w:rFonts w:eastAsia="Yu Mincho"/>
          <w:sz w:val="22"/>
          <w:szCs w:val="22"/>
          <w:lang w:val="en-US" w:eastAsia="en-US"/>
        </w:rPr>
      </w:pPr>
      <w:r w:rsidRPr="00724342">
        <w:rPr>
          <w:rFonts w:eastAsia="Yu Mincho"/>
          <w:sz w:val="22"/>
          <w:szCs w:val="22"/>
          <w:lang w:val="en-US" w:eastAsia="en-US"/>
        </w:rPr>
        <w:t>KEYWORDS: Unemployment, social support for the unemployed, social protection, economic consequences.</w:t>
      </w:r>
    </w:p>
    <w:p w:rsidR="00724342" w:rsidRPr="00724342" w:rsidRDefault="00724342" w:rsidP="0010381E">
      <w:pPr>
        <w:ind w:firstLine="426"/>
        <w:jc w:val="both"/>
        <w:rPr>
          <w:rFonts w:eastAsia="Yu Mincho"/>
          <w:sz w:val="22"/>
          <w:szCs w:val="22"/>
          <w:lang w:val="en-US" w:eastAsia="en-US"/>
        </w:rPr>
      </w:pP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Проблема занятости и безработицы – одна из ключевых пр</w:t>
      </w:r>
      <w:r w:rsidRPr="00724342">
        <w:rPr>
          <w:rFonts w:eastAsia="Yu Mincho"/>
          <w:sz w:val="22"/>
          <w:szCs w:val="22"/>
          <w:lang w:eastAsia="en-US"/>
        </w:rPr>
        <w:t>о</w:t>
      </w:r>
      <w:r w:rsidRPr="00724342">
        <w:rPr>
          <w:rFonts w:eastAsia="Yu Mincho"/>
          <w:sz w:val="22"/>
          <w:szCs w:val="22"/>
          <w:lang w:eastAsia="en-US"/>
        </w:rPr>
        <w:t>блем в формировании экономики в обществе, и трудовое право уд</w:t>
      </w:r>
      <w:r w:rsidRPr="00724342">
        <w:rPr>
          <w:rFonts w:eastAsia="Yu Mincho"/>
          <w:sz w:val="22"/>
          <w:szCs w:val="22"/>
          <w:lang w:eastAsia="en-US"/>
        </w:rPr>
        <w:t>е</w:t>
      </w:r>
      <w:r w:rsidRPr="00724342">
        <w:rPr>
          <w:rFonts w:eastAsia="Yu Mincho"/>
          <w:sz w:val="22"/>
          <w:szCs w:val="22"/>
          <w:lang w:eastAsia="en-US"/>
        </w:rPr>
        <w:t>ляет внимание проблеме занятости, трудоустройства граждан. От отсутствия работы зависит практически многое: происходит уху</w:t>
      </w:r>
      <w:r w:rsidRPr="00724342">
        <w:rPr>
          <w:rFonts w:eastAsia="Yu Mincho"/>
          <w:sz w:val="22"/>
          <w:szCs w:val="22"/>
          <w:lang w:eastAsia="en-US"/>
        </w:rPr>
        <w:t>д</w:t>
      </w:r>
      <w:r w:rsidRPr="00724342">
        <w:rPr>
          <w:rFonts w:eastAsia="Yu Mincho"/>
          <w:sz w:val="22"/>
          <w:szCs w:val="22"/>
          <w:lang w:eastAsia="en-US"/>
        </w:rPr>
        <w:t>шение криминогенной ситуации, понижается уровень жизни нас</w:t>
      </w:r>
      <w:r w:rsidRPr="00724342">
        <w:rPr>
          <w:rFonts w:eastAsia="Yu Mincho"/>
          <w:sz w:val="22"/>
          <w:szCs w:val="22"/>
          <w:lang w:eastAsia="en-US"/>
        </w:rPr>
        <w:t>е</w:t>
      </w:r>
      <w:r w:rsidRPr="00724342">
        <w:rPr>
          <w:rFonts w:eastAsia="Yu Mincho"/>
          <w:sz w:val="22"/>
          <w:szCs w:val="22"/>
          <w:lang w:eastAsia="en-US"/>
        </w:rPr>
        <w:t>ления, повышается общественная напряженность. В нашем общ</w:t>
      </w:r>
      <w:r w:rsidRPr="00724342">
        <w:rPr>
          <w:rFonts w:eastAsia="Yu Mincho"/>
          <w:sz w:val="22"/>
          <w:szCs w:val="22"/>
          <w:lang w:eastAsia="en-US"/>
        </w:rPr>
        <w:t>е</w:t>
      </w:r>
      <w:r w:rsidRPr="00724342">
        <w:rPr>
          <w:rFonts w:eastAsia="Yu Mincho"/>
          <w:sz w:val="22"/>
          <w:szCs w:val="22"/>
          <w:lang w:eastAsia="en-US"/>
        </w:rPr>
        <w:t>стве наряду с занятыми лицами существует огромное количество трудоспособных граждан, которые не имеют работу [1].</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lastRenderedPageBreak/>
        <w:t>Основной задачей исследования является в изучении статуса безработного, ключевых гарантий социальной поддержки безрабо</w:t>
      </w:r>
      <w:r w:rsidRPr="00724342">
        <w:rPr>
          <w:rFonts w:eastAsia="Yu Mincho"/>
          <w:sz w:val="22"/>
          <w:szCs w:val="22"/>
          <w:lang w:eastAsia="en-US"/>
        </w:rPr>
        <w:t>т</w:t>
      </w:r>
      <w:r w:rsidRPr="00724342">
        <w:rPr>
          <w:rFonts w:eastAsia="Yu Mincho"/>
          <w:sz w:val="22"/>
          <w:szCs w:val="22"/>
          <w:lang w:eastAsia="en-US"/>
        </w:rPr>
        <w:t>ных, а также концепция социальной защиты этой категории гра</w:t>
      </w:r>
      <w:r w:rsidRPr="00724342">
        <w:rPr>
          <w:rFonts w:eastAsia="Yu Mincho"/>
          <w:sz w:val="22"/>
          <w:szCs w:val="22"/>
          <w:lang w:eastAsia="en-US"/>
        </w:rPr>
        <w:t>ж</w:t>
      </w:r>
      <w:r w:rsidRPr="00724342">
        <w:rPr>
          <w:rFonts w:eastAsia="Yu Mincho"/>
          <w:sz w:val="22"/>
          <w:szCs w:val="22"/>
          <w:lang w:eastAsia="en-US"/>
        </w:rPr>
        <w:t xml:space="preserve">дан [4].  </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С целью того, чтобы соответствовать статусу безработного, следует необходимо точно осознавать, кто может быть признан бе</w:t>
      </w:r>
      <w:r w:rsidRPr="00724342">
        <w:rPr>
          <w:rFonts w:eastAsia="Yu Mincho"/>
          <w:sz w:val="22"/>
          <w:szCs w:val="22"/>
          <w:lang w:eastAsia="en-US"/>
        </w:rPr>
        <w:t>з</w:t>
      </w:r>
      <w:r w:rsidRPr="00724342">
        <w:rPr>
          <w:rFonts w:eastAsia="Yu Mincho"/>
          <w:sz w:val="22"/>
          <w:szCs w:val="22"/>
          <w:lang w:eastAsia="en-US"/>
        </w:rPr>
        <w:t>работным, какие существуют требования для признания граждан</w:t>
      </w:r>
      <w:r w:rsidRPr="00724342">
        <w:rPr>
          <w:rFonts w:eastAsia="Yu Mincho"/>
          <w:sz w:val="22"/>
          <w:szCs w:val="22"/>
          <w:lang w:eastAsia="en-US"/>
        </w:rPr>
        <w:t>и</w:t>
      </w:r>
      <w:r w:rsidRPr="00724342">
        <w:rPr>
          <w:rFonts w:eastAsia="Yu Mincho"/>
          <w:sz w:val="22"/>
          <w:szCs w:val="22"/>
          <w:lang w:eastAsia="en-US"/>
        </w:rPr>
        <w:t>на безработным и каков порядок признания гражданина безрабо</w:t>
      </w:r>
      <w:r w:rsidRPr="00724342">
        <w:rPr>
          <w:rFonts w:eastAsia="Yu Mincho"/>
          <w:sz w:val="22"/>
          <w:szCs w:val="22"/>
          <w:lang w:eastAsia="en-US"/>
        </w:rPr>
        <w:t>т</w:t>
      </w:r>
      <w:r w:rsidRPr="00724342">
        <w:rPr>
          <w:rFonts w:eastAsia="Yu Mincho"/>
          <w:sz w:val="22"/>
          <w:szCs w:val="22"/>
          <w:lang w:eastAsia="en-US"/>
        </w:rPr>
        <w:t xml:space="preserve">ным. </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Одна из наиболее острых социальных трудностей нетруд</w:t>
      </w:r>
      <w:r w:rsidRPr="00724342">
        <w:rPr>
          <w:rFonts w:eastAsia="Yu Mincho"/>
          <w:sz w:val="22"/>
          <w:szCs w:val="22"/>
          <w:lang w:eastAsia="en-US"/>
        </w:rPr>
        <w:t>о</w:t>
      </w:r>
      <w:r w:rsidRPr="00724342">
        <w:rPr>
          <w:rFonts w:eastAsia="Yu Mincho"/>
          <w:sz w:val="22"/>
          <w:szCs w:val="22"/>
          <w:lang w:eastAsia="en-US"/>
        </w:rPr>
        <w:t>устроенного человека – это малообеспеченность безработного. Утрата работы индивида и нехватка непрерывного стабильного з</w:t>
      </w:r>
      <w:r w:rsidRPr="00724342">
        <w:rPr>
          <w:rFonts w:eastAsia="Yu Mincho"/>
          <w:sz w:val="22"/>
          <w:szCs w:val="22"/>
          <w:lang w:eastAsia="en-US"/>
        </w:rPr>
        <w:t>а</w:t>
      </w:r>
      <w:r w:rsidRPr="00724342">
        <w:rPr>
          <w:rFonts w:eastAsia="Yu Mincho"/>
          <w:sz w:val="22"/>
          <w:szCs w:val="22"/>
          <w:lang w:eastAsia="en-US"/>
        </w:rPr>
        <w:t>работка тянет за собой снижение его актуально жизненных стере</w:t>
      </w:r>
      <w:r w:rsidRPr="00724342">
        <w:rPr>
          <w:rFonts w:eastAsia="Yu Mincho"/>
          <w:sz w:val="22"/>
          <w:szCs w:val="22"/>
          <w:lang w:eastAsia="en-US"/>
        </w:rPr>
        <w:t>о</w:t>
      </w:r>
      <w:r w:rsidRPr="00724342">
        <w:rPr>
          <w:rFonts w:eastAsia="Yu Mincho"/>
          <w:sz w:val="22"/>
          <w:szCs w:val="22"/>
          <w:lang w:eastAsia="en-US"/>
        </w:rPr>
        <w:t>типов, степени потребления, возможностей для обеспечения своих собственных нужд и потребностей своей семьи. Потеря источника непрерывного дохода весьма быстрыми темпами способна превр</w:t>
      </w:r>
      <w:r w:rsidRPr="00724342">
        <w:rPr>
          <w:rFonts w:eastAsia="Yu Mincho"/>
          <w:sz w:val="22"/>
          <w:szCs w:val="22"/>
          <w:lang w:eastAsia="en-US"/>
        </w:rPr>
        <w:t>а</w:t>
      </w:r>
      <w:r w:rsidRPr="00724342">
        <w:rPr>
          <w:rFonts w:eastAsia="Yu Mincho"/>
          <w:sz w:val="22"/>
          <w:szCs w:val="22"/>
          <w:lang w:eastAsia="en-US"/>
        </w:rPr>
        <w:t>тить в том числе даже абсолютно обеспеченную семью в нужда</w:t>
      </w:r>
      <w:r w:rsidRPr="00724342">
        <w:rPr>
          <w:rFonts w:eastAsia="Yu Mincho"/>
          <w:sz w:val="22"/>
          <w:szCs w:val="22"/>
          <w:lang w:eastAsia="en-US"/>
        </w:rPr>
        <w:t>ю</w:t>
      </w:r>
      <w:r w:rsidRPr="00724342">
        <w:rPr>
          <w:rFonts w:eastAsia="Yu Mincho"/>
          <w:sz w:val="22"/>
          <w:szCs w:val="22"/>
          <w:lang w:eastAsia="en-US"/>
        </w:rPr>
        <w:t>щуюся. А в семье с умеренными доходами, в случае если хотя бы один из супругов теряет работу, данная семья начинает чувствовать крупные или весьма большие материальные трудности, из-за чего может вообще начать бедствовать. В многодетных семьях или сем</w:t>
      </w:r>
      <w:r w:rsidRPr="00724342">
        <w:rPr>
          <w:rFonts w:eastAsia="Yu Mincho"/>
          <w:sz w:val="22"/>
          <w:szCs w:val="22"/>
          <w:lang w:eastAsia="en-US"/>
        </w:rPr>
        <w:t>ь</w:t>
      </w:r>
      <w:r w:rsidRPr="00724342">
        <w:rPr>
          <w:rFonts w:eastAsia="Yu Mincho"/>
          <w:sz w:val="22"/>
          <w:szCs w:val="22"/>
          <w:lang w:eastAsia="en-US"/>
        </w:rPr>
        <w:t>ях с одним родителем, к примеру, семья матери-одиночки, безраб</w:t>
      </w:r>
      <w:r w:rsidRPr="00724342">
        <w:rPr>
          <w:rFonts w:eastAsia="Yu Mincho"/>
          <w:sz w:val="22"/>
          <w:szCs w:val="22"/>
          <w:lang w:eastAsia="en-US"/>
        </w:rPr>
        <w:t>о</w:t>
      </w:r>
      <w:r w:rsidRPr="00724342">
        <w:rPr>
          <w:rFonts w:eastAsia="Yu Mincho"/>
          <w:sz w:val="22"/>
          <w:szCs w:val="22"/>
          <w:lang w:eastAsia="en-US"/>
        </w:rPr>
        <w:t xml:space="preserve">тица стремительно и надолго влияет на социально-экономическое положение семьи. Таким образом, семья, где существует хотя бы один безработный, пребывает довольно в скромных условиях. </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Социальная защита как формирующий компонент социальной политики есть коррекционно-регулятивная теория государства, нацеленная на понижение противоречий, возникающих в финанс</w:t>
      </w:r>
      <w:r w:rsidRPr="00724342">
        <w:rPr>
          <w:rFonts w:eastAsia="Yu Mincho"/>
          <w:sz w:val="22"/>
          <w:szCs w:val="22"/>
          <w:lang w:eastAsia="en-US"/>
        </w:rPr>
        <w:t>о</w:t>
      </w:r>
      <w:r w:rsidRPr="00724342">
        <w:rPr>
          <w:rFonts w:eastAsia="Yu Mincho"/>
          <w:sz w:val="22"/>
          <w:szCs w:val="22"/>
          <w:lang w:eastAsia="en-US"/>
        </w:rPr>
        <w:t>вом и правовом статусе отдельных групп населения в условиях р</w:t>
      </w:r>
      <w:r w:rsidRPr="00724342">
        <w:rPr>
          <w:rFonts w:eastAsia="Yu Mincho"/>
          <w:sz w:val="22"/>
          <w:szCs w:val="22"/>
          <w:lang w:eastAsia="en-US"/>
        </w:rPr>
        <w:t>ы</w:t>
      </w:r>
      <w:r w:rsidRPr="00724342">
        <w:rPr>
          <w:rFonts w:eastAsia="Yu Mincho"/>
          <w:sz w:val="22"/>
          <w:szCs w:val="22"/>
          <w:lang w:eastAsia="en-US"/>
        </w:rPr>
        <w:t>ночных взаимоотношений [2]. Государственное урегулирование в сфере социальной защиты подразумевает вторжение в «свободное пространство» рынка.</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Концепция социальной защиты подразумевает абсолютно по</w:t>
      </w:r>
      <w:r w:rsidRPr="00724342">
        <w:rPr>
          <w:rFonts w:eastAsia="Yu Mincho"/>
          <w:sz w:val="22"/>
          <w:szCs w:val="22"/>
          <w:lang w:eastAsia="en-US"/>
        </w:rPr>
        <w:t>л</w:t>
      </w:r>
      <w:r w:rsidRPr="00724342">
        <w:rPr>
          <w:rFonts w:eastAsia="Yu Mincho"/>
          <w:sz w:val="22"/>
          <w:szCs w:val="22"/>
          <w:lang w:eastAsia="en-US"/>
        </w:rPr>
        <w:t>ное формирование целей и разработку путей их достижения. Таким образом, теория социальной защиты безработного является комп</w:t>
      </w:r>
      <w:r w:rsidRPr="00724342">
        <w:rPr>
          <w:rFonts w:eastAsia="Yu Mincho"/>
          <w:sz w:val="22"/>
          <w:szCs w:val="22"/>
          <w:lang w:eastAsia="en-US"/>
        </w:rPr>
        <w:t>о</w:t>
      </w:r>
      <w:r w:rsidRPr="00724342">
        <w:rPr>
          <w:rFonts w:eastAsia="Yu Mincho"/>
          <w:sz w:val="22"/>
          <w:szCs w:val="22"/>
          <w:lang w:eastAsia="en-US"/>
        </w:rPr>
        <w:t>нентом государственного управления рынком рабочей силы и по</w:t>
      </w:r>
      <w:r w:rsidRPr="00724342">
        <w:rPr>
          <w:rFonts w:eastAsia="Yu Mincho"/>
          <w:sz w:val="22"/>
          <w:szCs w:val="22"/>
          <w:lang w:eastAsia="en-US"/>
        </w:rPr>
        <w:t>д</w:t>
      </w:r>
      <w:r w:rsidRPr="00724342">
        <w:rPr>
          <w:rFonts w:eastAsia="Yu Mincho"/>
          <w:sz w:val="22"/>
          <w:szCs w:val="22"/>
          <w:lang w:eastAsia="en-US"/>
        </w:rPr>
        <w:t>разумевает коррекционно-регулятивную теорию, которая напра</w:t>
      </w:r>
      <w:r w:rsidRPr="00724342">
        <w:rPr>
          <w:rFonts w:eastAsia="Yu Mincho"/>
          <w:sz w:val="22"/>
          <w:szCs w:val="22"/>
          <w:lang w:eastAsia="en-US"/>
        </w:rPr>
        <w:t>в</w:t>
      </w:r>
      <w:r w:rsidRPr="00724342">
        <w:rPr>
          <w:rFonts w:eastAsia="Yu Mincho"/>
          <w:sz w:val="22"/>
          <w:szCs w:val="22"/>
          <w:lang w:eastAsia="en-US"/>
        </w:rPr>
        <w:lastRenderedPageBreak/>
        <w:t>ленна на снижение проблем, входе которого возникли в правовом и экономическом статусе людей взаимосвязи с безработицей.</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Социальная защита пострадавших от безработицы: концепция эффективной занятости; система развития доходов; макроэконом</w:t>
      </w:r>
      <w:r w:rsidRPr="00724342">
        <w:rPr>
          <w:rFonts w:eastAsia="Yu Mincho"/>
          <w:sz w:val="22"/>
          <w:szCs w:val="22"/>
          <w:lang w:eastAsia="en-US"/>
        </w:rPr>
        <w:t>и</w:t>
      </w:r>
      <w:r w:rsidRPr="00724342">
        <w:rPr>
          <w:rFonts w:eastAsia="Yu Mincho"/>
          <w:sz w:val="22"/>
          <w:szCs w:val="22"/>
          <w:lang w:eastAsia="en-US"/>
        </w:rPr>
        <w:t>ческое урегулирование дифференциации прибыли; установление степени прожиточного минимума; защита заинтересованностей п</w:t>
      </w:r>
      <w:r w:rsidRPr="00724342">
        <w:rPr>
          <w:rFonts w:eastAsia="Yu Mincho"/>
          <w:sz w:val="22"/>
          <w:szCs w:val="22"/>
          <w:lang w:eastAsia="en-US"/>
        </w:rPr>
        <w:t>о</w:t>
      </w:r>
      <w:r w:rsidRPr="00724342">
        <w:rPr>
          <w:rFonts w:eastAsia="Yu Mincho"/>
          <w:sz w:val="22"/>
          <w:szCs w:val="22"/>
          <w:lang w:eastAsia="en-US"/>
        </w:rPr>
        <w:t>требителей; система социальной поддержки безработных.</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Меры, которые направлены на охрану безработного граждан</w:t>
      </w:r>
      <w:r w:rsidRPr="00724342">
        <w:rPr>
          <w:rFonts w:eastAsia="Yu Mincho"/>
          <w:sz w:val="22"/>
          <w:szCs w:val="22"/>
          <w:lang w:eastAsia="en-US"/>
        </w:rPr>
        <w:t>и</w:t>
      </w:r>
      <w:r w:rsidRPr="00724342">
        <w:rPr>
          <w:rFonts w:eastAsia="Yu Mincho"/>
          <w:sz w:val="22"/>
          <w:szCs w:val="22"/>
          <w:lang w:eastAsia="en-US"/>
        </w:rPr>
        <w:t>на, должны быть четко разработаны [3]. Защита занятости должна осуществляться и реализоваться не только на уровне государства и ограничиваться в рамках конкретного и определенного предпри</w:t>
      </w:r>
      <w:r w:rsidRPr="00724342">
        <w:rPr>
          <w:rFonts w:eastAsia="Yu Mincho"/>
          <w:sz w:val="22"/>
          <w:szCs w:val="22"/>
          <w:lang w:eastAsia="en-US"/>
        </w:rPr>
        <w:t>я</w:t>
      </w:r>
      <w:r w:rsidRPr="00724342">
        <w:rPr>
          <w:rFonts w:eastAsia="Yu Mincho"/>
          <w:sz w:val="22"/>
          <w:szCs w:val="22"/>
          <w:lang w:eastAsia="en-US"/>
        </w:rPr>
        <w:t>тия, но и непосредственно самим работником, который находится согласно по каким-то причинам под риском увольнения, либо остался без работы и заработка, никак не должен сидеть, сложа р</w:t>
      </w:r>
      <w:r w:rsidRPr="00724342">
        <w:rPr>
          <w:rFonts w:eastAsia="Yu Mincho"/>
          <w:sz w:val="22"/>
          <w:szCs w:val="22"/>
          <w:lang w:eastAsia="en-US"/>
        </w:rPr>
        <w:t>у</w:t>
      </w:r>
      <w:r w:rsidRPr="00724342">
        <w:rPr>
          <w:rFonts w:eastAsia="Yu Mincho"/>
          <w:sz w:val="22"/>
          <w:szCs w:val="22"/>
          <w:lang w:eastAsia="en-US"/>
        </w:rPr>
        <w:t>ки и ждать, что все решится само собой, он должен препятствовать поиску работы.</w:t>
      </w:r>
    </w:p>
    <w:p w:rsidR="00724342" w:rsidRPr="00724342" w:rsidRDefault="00724342" w:rsidP="0010381E">
      <w:pPr>
        <w:ind w:firstLine="426"/>
        <w:rPr>
          <w:rFonts w:asciiTheme="minorHAnsi" w:eastAsiaTheme="minorHAnsi" w:hAnsiTheme="minorHAnsi" w:cstheme="minorBidi"/>
          <w:sz w:val="22"/>
          <w:szCs w:val="22"/>
          <w:lang w:eastAsia="en-US"/>
        </w:rPr>
      </w:pPr>
    </w:p>
    <w:p w:rsidR="00724342" w:rsidRPr="00724342" w:rsidRDefault="00724342" w:rsidP="0010381E">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1. Гильштейн А.С. Роль организационно -экономического м</w:t>
      </w:r>
      <w:r w:rsidRPr="00724342">
        <w:rPr>
          <w:rFonts w:eastAsia="Yu Mincho"/>
          <w:sz w:val="22"/>
          <w:szCs w:val="22"/>
          <w:lang w:eastAsia="en-US"/>
        </w:rPr>
        <w:t>е</w:t>
      </w:r>
      <w:r w:rsidRPr="00724342">
        <w:rPr>
          <w:rFonts w:eastAsia="Yu Mincho"/>
          <w:sz w:val="22"/>
          <w:szCs w:val="22"/>
          <w:lang w:eastAsia="en-US"/>
        </w:rPr>
        <w:t>ханизма в принятии управленческих решений/</w:t>
      </w:r>
      <w:hyperlink r:id="rId316" w:history="1">
        <w:r w:rsidRPr="00724342">
          <w:rPr>
            <w:rFonts w:eastAsia="Yu Mincho"/>
            <w:sz w:val="22"/>
            <w:szCs w:val="22"/>
            <w:lang w:eastAsia="en-US"/>
          </w:rPr>
          <w:t>А.С. Гильштейн</w:t>
        </w:r>
      </w:hyperlink>
      <w:r w:rsidRPr="00724342">
        <w:rPr>
          <w:rFonts w:eastAsia="Yu Mincho"/>
          <w:sz w:val="22"/>
          <w:szCs w:val="22"/>
          <w:lang w:eastAsia="en-US"/>
        </w:rPr>
        <w:t>, </w:t>
      </w:r>
      <w:hyperlink r:id="rId317" w:history="1">
        <w:r w:rsidRPr="00724342">
          <w:rPr>
            <w:rFonts w:eastAsia="Yu Mincho"/>
            <w:sz w:val="22"/>
            <w:szCs w:val="22"/>
            <w:lang w:eastAsia="en-US"/>
          </w:rPr>
          <w:t>В.Е. Бызова</w:t>
        </w:r>
      </w:hyperlink>
      <w:r w:rsidRPr="00724342">
        <w:rPr>
          <w:rFonts w:eastAsia="Yu Mincho"/>
          <w:sz w:val="22"/>
          <w:szCs w:val="22"/>
          <w:lang w:eastAsia="en-US"/>
        </w:rPr>
        <w:t>, </w:t>
      </w:r>
      <w:hyperlink r:id="rId318" w:history="1">
        <w:r w:rsidRPr="00724342">
          <w:rPr>
            <w:rFonts w:eastAsia="Yu Mincho"/>
            <w:sz w:val="22"/>
            <w:szCs w:val="22"/>
            <w:lang w:eastAsia="en-US"/>
          </w:rPr>
          <w:t>Г.Н. Литвиненко</w:t>
        </w:r>
      </w:hyperlink>
      <w:r w:rsidRPr="00724342">
        <w:rPr>
          <w:rFonts w:eastAsia="Yu Mincho"/>
          <w:sz w:val="22"/>
          <w:szCs w:val="22"/>
          <w:lang w:eastAsia="en-US"/>
        </w:rPr>
        <w:t>//Наука и образование на современном этапе развития: опыт, проблемы и пути их решения. Материалы Международной научно -практической конференции 1 февраля 2017 года (г. Нефтекамск, Башкортостан). -С. 133 -138 </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2. Леонович А.М. Пути решения проблем трудоустройства ро</w:t>
      </w:r>
      <w:r w:rsidRPr="00724342">
        <w:rPr>
          <w:rFonts w:eastAsia="Yu Mincho"/>
          <w:sz w:val="22"/>
          <w:szCs w:val="22"/>
          <w:lang w:eastAsia="en-US"/>
        </w:rPr>
        <w:t>с</w:t>
      </w:r>
      <w:r w:rsidRPr="00724342">
        <w:rPr>
          <w:rFonts w:eastAsia="Yu Mincho"/>
          <w:sz w:val="22"/>
          <w:szCs w:val="22"/>
          <w:lang w:eastAsia="en-US"/>
        </w:rPr>
        <w:t>сийской молодежи/</w:t>
      </w:r>
      <w:hyperlink r:id="rId319" w:history="1">
        <w:r w:rsidRPr="00724342">
          <w:rPr>
            <w:rFonts w:eastAsia="Yu Mincho"/>
            <w:sz w:val="22"/>
            <w:szCs w:val="22"/>
            <w:lang w:eastAsia="en-US"/>
          </w:rPr>
          <w:t>А.М. Леонович</w:t>
        </w:r>
      </w:hyperlink>
      <w:r w:rsidRPr="00724342">
        <w:rPr>
          <w:rFonts w:eastAsia="Yu Mincho"/>
          <w:sz w:val="22"/>
          <w:szCs w:val="22"/>
          <w:lang w:eastAsia="en-US"/>
        </w:rPr>
        <w:t>, </w:t>
      </w:r>
      <w:hyperlink r:id="rId320" w:history="1">
        <w:r w:rsidRPr="00724342">
          <w:rPr>
            <w:rFonts w:eastAsia="Yu Mincho"/>
            <w:sz w:val="22"/>
            <w:szCs w:val="22"/>
            <w:lang w:eastAsia="en-US"/>
          </w:rPr>
          <w:t>Г.Н. Литвиненко</w:t>
        </w:r>
      </w:hyperlink>
      <w:r w:rsidRPr="00724342">
        <w:rPr>
          <w:rFonts w:eastAsia="Yu Mincho"/>
          <w:sz w:val="22"/>
          <w:szCs w:val="22"/>
          <w:lang w:eastAsia="en-US"/>
        </w:rPr>
        <w:t>//Наука и обр</w:t>
      </w:r>
      <w:r w:rsidRPr="00724342">
        <w:rPr>
          <w:rFonts w:eastAsia="Yu Mincho"/>
          <w:sz w:val="22"/>
          <w:szCs w:val="22"/>
          <w:lang w:eastAsia="en-US"/>
        </w:rPr>
        <w:t>а</w:t>
      </w:r>
      <w:r w:rsidRPr="00724342">
        <w:rPr>
          <w:rFonts w:eastAsia="Yu Mincho"/>
          <w:sz w:val="22"/>
          <w:szCs w:val="22"/>
          <w:lang w:eastAsia="en-US"/>
        </w:rPr>
        <w:t>зование на современном этапе развития: опыт, проблемы и пути их решения. Материалы Международной научно -практической ко</w:t>
      </w:r>
      <w:r w:rsidRPr="00724342">
        <w:rPr>
          <w:rFonts w:eastAsia="Yu Mincho"/>
          <w:sz w:val="22"/>
          <w:szCs w:val="22"/>
          <w:lang w:eastAsia="en-US"/>
        </w:rPr>
        <w:t>н</w:t>
      </w:r>
      <w:r w:rsidRPr="00724342">
        <w:rPr>
          <w:rFonts w:eastAsia="Yu Mincho"/>
          <w:sz w:val="22"/>
          <w:szCs w:val="22"/>
          <w:lang w:eastAsia="en-US"/>
        </w:rPr>
        <w:t>ференции 1 февраля 2017 года (г. Нефтекамск, Башкортостан). -С. 193 -198.</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3. Литвиненко Г. Н. Экономические показатели уровня жизни населения как основные критерии оценки благосостояния общества /</w:t>
      </w:r>
      <w:hyperlink r:id="rId321" w:history="1">
        <w:r w:rsidRPr="00724342">
          <w:rPr>
            <w:rFonts w:eastAsia="Yu Mincho"/>
            <w:sz w:val="22"/>
            <w:szCs w:val="22"/>
            <w:lang w:eastAsia="en-US"/>
          </w:rPr>
          <w:t>Г. Н. Литвиненко</w:t>
        </w:r>
      </w:hyperlink>
      <w:r w:rsidRPr="00724342">
        <w:rPr>
          <w:rFonts w:eastAsia="Yu Mincho"/>
          <w:sz w:val="22"/>
          <w:szCs w:val="22"/>
          <w:lang w:eastAsia="en-US"/>
        </w:rPr>
        <w:t>, </w:t>
      </w:r>
      <w:hyperlink r:id="rId322" w:history="1">
        <w:r w:rsidRPr="00724342">
          <w:rPr>
            <w:rFonts w:eastAsia="Yu Mincho"/>
            <w:sz w:val="22"/>
            <w:szCs w:val="22"/>
            <w:lang w:eastAsia="en-US"/>
          </w:rPr>
          <w:t>А. А. Губа</w:t>
        </w:r>
      </w:hyperlink>
      <w:r w:rsidRPr="00724342">
        <w:rPr>
          <w:rFonts w:eastAsia="Yu Mincho"/>
          <w:sz w:val="22"/>
          <w:szCs w:val="22"/>
          <w:lang w:eastAsia="en-US"/>
        </w:rPr>
        <w:t>//Сб. ст. Междунар. (заочной) науч.-практ. конф. «Наука, образование, инновации: апробация результ</w:t>
      </w:r>
      <w:r w:rsidRPr="00724342">
        <w:rPr>
          <w:rFonts w:eastAsia="Yu Mincho"/>
          <w:sz w:val="22"/>
          <w:szCs w:val="22"/>
          <w:lang w:eastAsia="en-US"/>
        </w:rPr>
        <w:t>а</w:t>
      </w:r>
      <w:r w:rsidRPr="00724342">
        <w:rPr>
          <w:rFonts w:eastAsia="Yu Mincho"/>
          <w:sz w:val="22"/>
          <w:szCs w:val="22"/>
          <w:lang w:eastAsia="en-US"/>
        </w:rPr>
        <w:t>тов исследований» (Прага, 09.02. 2017 г.). -Нефтекамск: Мир науки, 2017. -С. 319 -322.</w:t>
      </w:r>
    </w:p>
    <w:p w:rsidR="00724342" w:rsidRPr="00724342" w:rsidRDefault="00724342" w:rsidP="0010381E">
      <w:pPr>
        <w:ind w:firstLine="426"/>
        <w:jc w:val="both"/>
        <w:rPr>
          <w:rFonts w:eastAsia="Yu Mincho"/>
          <w:sz w:val="22"/>
          <w:szCs w:val="22"/>
          <w:lang w:eastAsia="en-US"/>
        </w:rPr>
      </w:pPr>
      <w:r w:rsidRPr="00724342">
        <w:rPr>
          <w:rFonts w:eastAsia="Yu Mincho"/>
          <w:sz w:val="22"/>
          <w:szCs w:val="22"/>
          <w:lang w:eastAsia="en-US"/>
        </w:rPr>
        <w:t>4. Литвиненко Г. Н. Основные проблемы развития регионал</w:t>
      </w:r>
      <w:r w:rsidRPr="00724342">
        <w:rPr>
          <w:rFonts w:eastAsia="Yu Mincho"/>
          <w:sz w:val="22"/>
          <w:szCs w:val="22"/>
          <w:lang w:eastAsia="en-US"/>
        </w:rPr>
        <w:t>ь</w:t>
      </w:r>
      <w:r w:rsidRPr="00724342">
        <w:rPr>
          <w:rFonts w:eastAsia="Yu Mincho"/>
          <w:sz w:val="22"/>
          <w:szCs w:val="22"/>
          <w:lang w:eastAsia="en-US"/>
        </w:rPr>
        <w:t>ного рынка труда /</w:t>
      </w:r>
      <w:hyperlink r:id="rId323" w:history="1">
        <w:r w:rsidRPr="00724342">
          <w:rPr>
            <w:rFonts w:eastAsia="Yu Mincho"/>
            <w:sz w:val="22"/>
            <w:szCs w:val="22"/>
            <w:lang w:eastAsia="en-US"/>
          </w:rPr>
          <w:t>Г.Н. Литвиненко</w:t>
        </w:r>
      </w:hyperlink>
      <w:r w:rsidRPr="00724342">
        <w:rPr>
          <w:rFonts w:eastAsia="Yu Mincho"/>
          <w:sz w:val="22"/>
          <w:szCs w:val="22"/>
          <w:lang w:eastAsia="en-US"/>
        </w:rPr>
        <w:t>, </w:t>
      </w:r>
      <w:hyperlink r:id="rId324" w:history="1">
        <w:r w:rsidRPr="00724342">
          <w:rPr>
            <w:rFonts w:eastAsia="Yu Mincho"/>
            <w:sz w:val="22"/>
            <w:szCs w:val="22"/>
            <w:lang w:eastAsia="en-US"/>
          </w:rPr>
          <w:t>А.С. Высоцкая</w:t>
        </w:r>
      </w:hyperlink>
      <w:r w:rsidRPr="00724342">
        <w:rPr>
          <w:rFonts w:eastAsia="Yu Mincho"/>
          <w:sz w:val="22"/>
          <w:szCs w:val="22"/>
          <w:lang w:eastAsia="en-US"/>
        </w:rPr>
        <w:t>, </w:t>
      </w:r>
      <w:hyperlink r:id="rId325" w:history="1">
        <w:r w:rsidRPr="00724342">
          <w:rPr>
            <w:rFonts w:eastAsia="Yu Mincho"/>
            <w:sz w:val="22"/>
            <w:szCs w:val="22"/>
            <w:lang w:eastAsia="en-US"/>
          </w:rPr>
          <w:t>А.В. Белаш</w:t>
        </w:r>
        <w:r w:rsidRPr="00724342">
          <w:rPr>
            <w:rFonts w:eastAsia="Yu Mincho"/>
            <w:sz w:val="22"/>
            <w:szCs w:val="22"/>
            <w:lang w:eastAsia="en-US"/>
          </w:rPr>
          <w:t>о</w:t>
        </w:r>
        <w:r w:rsidRPr="00724342">
          <w:rPr>
            <w:rFonts w:eastAsia="Yu Mincho"/>
            <w:sz w:val="22"/>
            <w:szCs w:val="22"/>
            <w:lang w:eastAsia="en-US"/>
          </w:rPr>
          <w:lastRenderedPageBreak/>
          <w:t>ва</w:t>
        </w:r>
      </w:hyperlink>
      <w:r w:rsidRPr="00724342">
        <w:rPr>
          <w:rFonts w:eastAsia="Yu Mincho"/>
          <w:sz w:val="22"/>
          <w:szCs w:val="22"/>
          <w:lang w:eastAsia="en-US"/>
        </w:rPr>
        <w:t>//Сб. ст. IX Международной научно -практической конференции «Прорывные экономические реформы в условиях риска и неопред</w:t>
      </w:r>
      <w:r w:rsidRPr="00724342">
        <w:rPr>
          <w:rFonts w:eastAsia="Yu Mincho"/>
          <w:sz w:val="22"/>
          <w:szCs w:val="22"/>
          <w:lang w:eastAsia="en-US"/>
        </w:rPr>
        <w:t>е</w:t>
      </w:r>
      <w:r w:rsidRPr="00724342">
        <w:rPr>
          <w:rFonts w:eastAsia="Yu Mincho"/>
          <w:sz w:val="22"/>
          <w:szCs w:val="22"/>
          <w:lang w:eastAsia="en-US"/>
        </w:rPr>
        <w:t>ленности» (Уфа, 13.03. 2017 г.). -Уфа: Аэтерна, 2017. -С. 172 -174.</w:t>
      </w:r>
    </w:p>
    <w:p w:rsidR="00724342" w:rsidRPr="00724342" w:rsidRDefault="00724342" w:rsidP="00724342">
      <w:pPr>
        <w:jc w:val="both"/>
        <w:rPr>
          <w:sz w:val="22"/>
          <w:szCs w:val="22"/>
        </w:rPr>
      </w:pPr>
    </w:p>
    <w:p w:rsidR="00724342" w:rsidRPr="00724342" w:rsidRDefault="00724342" w:rsidP="00724342">
      <w:pPr>
        <w:jc w:val="both"/>
        <w:rPr>
          <w:sz w:val="22"/>
          <w:szCs w:val="22"/>
        </w:rPr>
      </w:pPr>
    </w:p>
    <w:p w:rsidR="00724342" w:rsidRPr="00724342" w:rsidRDefault="00724342" w:rsidP="00724342">
      <w:pPr>
        <w:jc w:val="both"/>
        <w:rPr>
          <w:sz w:val="22"/>
          <w:szCs w:val="22"/>
        </w:rPr>
      </w:pPr>
    </w:p>
    <w:p w:rsidR="00724342" w:rsidRPr="00724342" w:rsidRDefault="00724342" w:rsidP="00724342">
      <w:pPr>
        <w:rPr>
          <w:sz w:val="22"/>
          <w:szCs w:val="22"/>
        </w:rPr>
      </w:pPr>
      <w:r w:rsidRPr="00724342">
        <w:rPr>
          <w:sz w:val="22"/>
          <w:szCs w:val="22"/>
        </w:rPr>
        <w:t xml:space="preserve">УДК </w:t>
      </w:r>
      <w:r w:rsidRPr="00724342">
        <w:rPr>
          <w:rFonts w:eastAsia="Calibri"/>
          <w:sz w:val="22"/>
          <w:szCs w:val="22"/>
          <w:lang w:eastAsia="en-US"/>
        </w:rPr>
        <w:t>332.556</w:t>
      </w:r>
    </w:p>
    <w:p w:rsidR="00724342" w:rsidRPr="00724342" w:rsidRDefault="00724342" w:rsidP="00724342">
      <w:pPr>
        <w:rPr>
          <w:sz w:val="22"/>
          <w:szCs w:val="22"/>
        </w:rPr>
      </w:pPr>
    </w:p>
    <w:p w:rsidR="00724342" w:rsidRPr="0010381E" w:rsidRDefault="00724342" w:rsidP="00724342">
      <w:pPr>
        <w:jc w:val="center"/>
        <w:rPr>
          <w:b/>
          <w:sz w:val="24"/>
          <w:szCs w:val="24"/>
        </w:rPr>
      </w:pPr>
      <w:r w:rsidRPr="0010381E">
        <w:rPr>
          <w:b/>
          <w:sz w:val="24"/>
          <w:szCs w:val="24"/>
        </w:rPr>
        <w:t xml:space="preserve">Повышение эффективности использования </w:t>
      </w:r>
    </w:p>
    <w:p w:rsidR="00724342" w:rsidRPr="0010381E" w:rsidRDefault="00724342" w:rsidP="00724342">
      <w:pPr>
        <w:jc w:val="center"/>
        <w:rPr>
          <w:b/>
          <w:sz w:val="24"/>
          <w:szCs w:val="24"/>
        </w:rPr>
      </w:pPr>
      <w:r w:rsidRPr="0010381E">
        <w:rPr>
          <w:b/>
          <w:sz w:val="24"/>
          <w:szCs w:val="24"/>
        </w:rPr>
        <w:t>производственных ресурсов предприятия</w:t>
      </w:r>
    </w:p>
    <w:p w:rsidR="00724342" w:rsidRPr="0010381E" w:rsidRDefault="00724342" w:rsidP="00724342">
      <w:pPr>
        <w:jc w:val="center"/>
        <w:rPr>
          <w:rFonts w:eastAsiaTheme="minorHAnsi"/>
          <w:b/>
          <w:color w:val="000000" w:themeColor="text1"/>
          <w:sz w:val="24"/>
          <w:szCs w:val="24"/>
          <w:shd w:val="clear" w:color="auto" w:fill="FFFFFF"/>
          <w:lang w:val="en-US" w:eastAsia="en-US"/>
        </w:rPr>
      </w:pPr>
      <w:r w:rsidRPr="0010381E">
        <w:rPr>
          <w:rFonts w:eastAsiaTheme="minorHAnsi"/>
          <w:b/>
          <w:color w:val="000000" w:themeColor="text1"/>
          <w:sz w:val="24"/>
          <w:szCs w:val="24"/>
          <w:shd w:val="clear" w:color="auto" w:fill="FFFFFF"/>
          <w:lang w:val="en-US" w:eastAsia="en-US"/>
        </w:rPr>
        <w:t xml:space="preserve">Increase of efficiency of use of production resources </w:t>
      </w:r>
    </w:p>
    <w:p w:rsidR="00724342" w:rsidRPr="00C56F2E" w:rsidRDefault="00724342" w:rsidP="00724342">
      <w:pPr>
        <w:jc w:val="center"/>
        <w:rPr>
          <w:b/>
          <w:color w:val="000000" w:themeColor="text1"/>
          <w:sz w:val="24"/>
          <w:szCs w:val="24"/>
          <w:lang w:val="en-US"/>
        </w:rPr>
      </w:pPr>
      <w:r w:rsidRPr="0010381E">
        <w:rPr>
          <w:rFonts w:eastAsiaTheme="minorHAnsi"/>
          <w:b/>
          <w:color w:val="000000" w:themeColor="text1"/>
          <w:sz w:val="24"/>
          <w:szCs w:val="24"/>
          <w:shd w:val="clear" w:color="auto" w:fill="FFFFFF"/>
          <w:lang w:val="en-US" w:eastAsia="en-US"/>
        </w:rPr>
        <w:t>of</w:t>
      </w:r>
      <w:r w:rsidRPr="00C56F2E">
        <w:rPr>
          <w:rFonts w:eastAsiaTheme="minorHAnsi"/>
          <w:b/>
          <w:color w:val="000000" w:themeColor="text1"/>
          <w:sz w:val="24"/>
          <w:szCs w:val="24"/>
          <w:shd w:val="clear" w:color="auto" w:fill="FFFFFF"/>
          <w:lang w:val="en-US" w:eastAsia="en-US"/>
        </w:rPr>
        <w:t xml:space="preserve"> </w:t>
      </w:r>
      <w:r w:rsidRPr="0010381E">
        <w:rPr>
          <w:rFonts w:eastAsiaTheme="minorHAnsi"/>
          <w:b/>
          <w:color w:val="000000" w:themeColor="text1"/>
          <w:sz w:val="24"/>
          <w:szCs w:val="24"/>
          <w:shd w:val="clear" w:color="auto" w:fill="FFFFFF"/>
          <w:lang w:val="en-US" w:eastAsia="en-US"/>
        </w:rPr>
        <w:t>the</w:t>
      </w:r>
      <w:r w:rsidRPr="00C56F2E">
        <w:rPr>
          <w:rFonts w:eastAsiaTheme="minorHAnsi"/>
          <w:b/>
          <w:color w:val="000000" w:themeColor="text1"/>
          <w:sz w:val="24"/>
          <w:szCs w:val="24"/>
          <w:shd w:val="clear" w:color="auto" w:fill="FFFFFF"/>
          <w:lang w:val="en-US" w:eastAsia="en-US"/>
        </w:rPr>
        <w:t xml:space="preserve"> </w:t>
      </w:r>
      <w:r w:rsidRPr="0010381E">
        <w:rPr>
          <w:rFonts w:eastAsiaTheme="minorHAnsi"/>
          <w:b/>
          <w:color w:val="000000" w:themeColor="text1"/>
          <w:sz w:val="24"/>
          <w:szCs w:val="24"/>
          <w:shd w:val="clear" w:color="auto" w:fill="FFFFFF"/>
          <w:lang w:val="en-US" w:eastAsia="en-US"/>
        </w:rPr>
        <w:t>enterprise</w:t>
      </w:r>
    </w:p>
    <w:p w:rsidR="00724342" w:rsidRPr="00C56F2E" w:rsidRDefault="00724342" w:rsidP="00724342">
      <w:pPr>
        <w:jc w:val="center"/>
        <w:rPr>
          <w:b/>
          <w:color w:val="000000" w:themeColor="text1"/>
          <w:sz w:val="24"/>
          <w:szCs w:val="24"/>
          <w:lang w:val="en-US"/>
        </w:rPr>
      </w:pPr>
    </w:p>
    <w:p w:rsidR="0010381E" w:rsidRPr="00C56F2E" w:rsidRDefault="00724342" w:rsidP="00724342">
      <w:pPr>
        <w:jc w:val="right"/>
        <w:rPr>
          <w:rFonts w:eastAsiaTheme="minorHAnsi"/>
          <w:sz w:val="22"/>
          <w:szCs w:val="22"/>
          <w:lang w:val="en-US" w:eastAsia="en-US"/>
        </w:rPr>
      </w:pPr>
      <w:r w:rsidRPr="00724342">
        <w:rPr>
          <w:rFonts w:eastAsiaTheme="minorHAnsi"/>
          <w:sz w:val="22"/>
          <w:szCs w:val="22"/>
          <w:lang w:eastAsia="en-US"/>
        </w:rPr>
        <w:t>Сандулова</w:t>
      </w:r>
      <w:r w:rsidRPr="00C56F2E">
        <w:rPr>
          <w:rFonts w:eastAsiaTheme="minorHAnsi"/>
          <w:sz w:val="22"/>
          <w:szCs w:val="22"/>
          <w:lang w:val="en-US" w:eastAsia="en-US"/>
        </w:rPr>
        <w:t xml:space="preserve"> </w:t>
      </w:r>
      <w:r w:rsidRPr="00724342">
        <w:rPr>
          <w:rFonts w:eastAsiaTheme="minorHAnsi"/>
          <w:sz w:val="22"/>
          <w:szCs w:val="22"/>
          <w:lang w:eastAsia="en-US"/>
        </w:rPr>
        <w:t>Е</w:t>
      </w:r>
      <w:r w:rsidRPr="00C56F2E">
        <w:rPr>
          <w:rFonts w:eastAsiaTheme="minorHAnsi"/>
          <w:sz w:val="22"/>
          <w:szCs w:val="22"/>
          <w:lang w:val="en-US" w:eastAsia="en-US"/>
        </w:rPr>
        <w:t xml:space="preserve">. </w:t>
      </w:r>
      <w:r w:rsidRPr="00724342">
        <w:rPr>
          <w:rFonts w:eastAsiaTheme="minorHAnsi"/>
          <w:sz w:val="22"/>
          <w:szCs w:val="22"/>
          <w:lang w:eastAsia="en-US"/>
        </w:rPr>
        <w:t>В</w:t>
      </w:r>
      <w:r w:rsidRPr="00C56F2E">
        <w:rPr>
          <w:rFonts w:eastAsiaTheme="minorHAnsi"/>
          <w:sz w:val="22"/>
          <w:szCs w:val="22"/>
          <w:lang w:val="en-US" w:eastAsia="en-US"/>
        </w:rPr>
        <w:t>.</w:t>
      </w:r>
      <w:r w:rsidR="0010381E" w:rsidRPr="00C56F2E">
        <w:rPr>
          <w:rFonts w:eastAsiaTheme="minorHAnsi"/>
          <w:sz w:val="22"/>
          <w:szCs w:val="22"/>
          <w:lang w:val="en-US" w:eastAsia="en-US"/>
        </w:rPr>
        <w:t>,</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студентка 4-го курса экономического факультета</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Черепухин Т.</w:t>
      </w:r>
      <w:r w:rsidR="000C51E1">
        <w:rPr>
          <w:rFonts w:eastAsiaTheme="minorHAnsi"/>
          <w:spacing w:val="-4"/>
          <w:sz w:val="22"/>
          <w:szCs w:val="22"/>
          <w:lang w:eastAsia="en-US"/>
        </w:rPr>
        <w:t xml:space="preserve"> </w:t>
      </w:r>
      <w:r w:rsidRPr="00724342">
        <w:rPr>
          <w:rFonts w:eastAsiaTheme="minorHAnsi"/>
          <w:spacing w:val="-4"/>
          <w:sz w:val="22"/>
          <w:szCs w:val="22"/>
          <w:lang w:eastAsia="en-US"/>
        </w:rPr>
        <w:t>Ю.</w:t>
      </w:r>
      <w:r w:rsidR="000C51E1">
        <w:rPr>
          <w:rFonts w:eastAsiaTheme="minorHAnsi"/>
          <w:spacing w:val="-4"/>
          <w:sz w:val="22"/>
          <w:szCs w:val="22"/>
          <w:lang w:eastAsia="en-US"/>
        </w:rPr>
        <w:t>,</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к.э.н., доцент кафедры управления и маркетинга</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sz w:val="22"/>
          <w:szCs w:val="22"/>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jc w:val="right"/>
        <w:rPr>
          <w:rFonts w:eastAsiaTheme="minorHAnsi"/>
          <w:sz w:val="22"/>
          <w:szCs w:val="22"/>
          <w:lang w:eastAsia="en-US"/>
        </w:rPr>
      </w:pPr>
    </w:p>
    <w:p w:rsidR="00724342" w:rsidRPr="0010381E" w:rsidRDefault="00724342" w:rsidP="0010381E">
      <w:pPr>
        <w:ind w:firstLine="426"/>
        <w:jc w:val="both"/>
        <w:rPr>
          <w:rFonts w:eastAsiaTheme="minorHAnsi"/>
          <w:color w:val="000000" w:themeColor="text1"/>
          <w:sz w:val="22"/>
          <w:szCs w:val="22"/>
          <w:shd w:val="clear" w:color="auto" w:fill="FFFFFF"/>
          <w:lang w:eastAsia="en-US"/>
        </w:rPr>
      </w:pPr>
      <w:r w:rsidRPr="0010381E">
        <w:rPr>
          <w:sz w:val="22"/>
          <w:szCs w:val="22"/>
        </w:rPr>
        <w:t>АННОТАЦИЯ: в данной статье поднимается проблема эффе</w:t>
      </w:r>
      <w:r w:rsidRPr="0010381E">
        <w:rPr>
          <w:sz w:val="22"/>
          <w:szCs w:val="22"/>
        </w:rPr>
        <w:t>к</w:t>
      </w:r>
      <w:r w:rsidRPr="0010381E">
        <w:rPr>
          <w:sz w:val="22"/>
          <w:szCs w:val="22"/>
        </w:rPr>
        <w:t>тивного использования производственных ресурсов, актуальность которой очевидна, т. к. деятельность любого предприятия связана с использованием ресурсов. Выявлены возможные пути повышения эффективности использования основных производственных фондов и оборотных средств.</w:t>
      </w:r>
      <w:r w:rsidRPr="0010381E">
        <w:rPr>
          <w:rFonts w:eastAsiaTheme="minorHAnsi"/>
          <w:color w:val="000000" w:themeColor="text1"/>
          <w:sz w:val="22"/>
          <w:szCs w:val="22"/>
          <w:shd w:val="clear" w:color="auto" w:fill="FFFFFF"/>
          <w:lang w:eastAsia="en-US"/>
        </w:rPr>
        <w:t xml:space="preserve"> </w:t>
      </w:r>
    </w:p>
    <w:p w:rsidR="00724342" w:rsidRPr="0010381E" w:rsidRDefault="00724342" w:rsidP="0010381E">
      <w:pPr>
        <w:ind w:firstLine="426"/>
        <w:jc w:val="both"/>
        <w:rPr>
          <w:rFonts w:eastAsiaTheme="minorHAnsi"/>
          <w:color w:val="000000" w:themeColor="text1"/>
          <w:sz w:val="22"/>
          <w:szCs w:val="22"/>
          <w:shd w:val="clear" w:color="auto" w:fill="FFFFFF"/>
          <w:lang w:val="en-US" w:eastAsia="en-US"/>
        </w:rPr>
      </w:pPr>
      <w:r w:rsidRPr="0010381E">
        <w:rPr>
          <w:rFonts w:eastAsiaTheme="minorHAnsi"/>
          <w:color w:val="000000" w:themeColor="text1"/>
          <w:sz w:val="22"/>
          <w:szCs w:val="22"/>
          <w:shd w:val="clear" w:color="auto" w:fill="FFFFFF"/>
          <w:lang w:val="en-US" w:eastAsia="en-US"/>
        </w:rPr>
        <w:t>ABSTRACT: this article raises the problem of efficient use of pr</w:t>
      </w:r>
      <w:r w:rsidRPr="0010381E">
        <w:rPr>
          <w:rFonts w:eastAsiaTheme="minorHAnsi"/>
          <w:color w:val="000000" w:themeColor="text1"/>
          <w:sz w:val="22"/>
          <w:szCs w:val="22"/>
          <w:shd w:val="clear" w:color="auto" w:fill="FFFFFF"/>
          <w:lang w:val="en-US" w:eastAsia="en-US"/>
        </w:rPr>
        <w:t>o</w:t>
      </w:r>
      <w:r w:rsidRPr="0010381E">
        <w:rPr>
          <w:rFonts w:eastAsiaTheme="minorHAnsi"/>
          <w:color w:val="000000" w:themeColor="text1"/>
          <w:sz w:val="22"/>
          <w:szCs w:val="22"/>
          <w:shd w:val="clear" w:color="auto" w:fill="FFFFFF"/>
          <w:lang w:val="en-US" w:eastAsia="en-US"/>
        </w:rPr>
        <w:t>duction resources, the relevance of which is obvious, because the activ</w:t>
      </w:r>
      <w:r w:rsidRPr="0010381E">
        <w:rPr>
          <w:rFonts w:eastAsiaTheme="minorHAnsi"/>
          <w:color w:val="000000" w:themeColor="text1"/>
          <w:sz w:val="22"/>
          <w:szCs w:val="22"/>
          <w:shd w:val="clear" w:color="auto" w:fill="FFFFFF"/>
          <w:lang w:val="en-US" w:eastAsia="en-US"/>
        </w:rPr>
        <w:t>i</w:t>
      </w:r>
      <w:r w:rsidRPr="0010381E">
        <w:rPr>
          <w:rFonts w:eastAsiaTheme="minorHAnsi"/>
          <w:color w:val="000000" w:themeColor="text1"/>
          <w:sz w:val="22"/>
          <w:szCs w:val="22"/>
          <w:shd w:val="clear" w:color="auto" w:fill="FFFFFF"/>
          <w:lang w:val="en-US" w:eastAsia="en-US"/>
        </w:rPr>
        <w:t>ties of any enterprise associated with the use of resources. Possible ways of increase of efficiency of use of fixed assets and working capital are revealed.</w:t>
      </w:r>
    </w:p>
    <w:p w:rsidR="00724342" w:rsidRPr="0010381E" w:rsidRDefault="00724342" w:rsidP="0010381E">
      <w:pPr>
        <w:ind w:firstLine="426"/>
        <w:jc w:val="both"/>
        <w:rPr>
          <w:sz w:val="22"/>
          <w:szCs w:val="22"/>
        </w:rPr>
      </w:pPr>
      <w:r w:rsidRPr="0010381E">
        <w:rPr>
          <w:sz w:val="22"/>
          <w:szCs w:val="22"/>
        </w:rPr>
        <w:t>КЛЮЧЕВЫЕ СЛОВА: ресурсы, предприятие, эффективность, оборотные средства, производительность труда, рентабельность.</w:t>
      </w:r>
    </w:p>
    <w:p w:rsidR="00724342" w:rsidRPr="0010381E" w:rsidRDefault="00724342" w:rsidP="0010381E">
      <w:pPr>
        <w:ind w:firstLine="426"/>
        <w:jc w:val="both"/>
        <w:rPr>
          <w:color w:val="000000" w:themeColor="text1"/>
          <w:sz w:val="22"/>
          <w:szCs w:val="22"/>
          <w:lang w:val="en-US"/>
        </w:rPr>
      </w:pPr>
      <w:r w:rsidRPr="0010381E">
        <w:rPr>
          <w:rFonts w:eastAsiaTheme="minorHAnsi"/>
          <w:color w:val="000000" w:themeColor="text1"/>
          <w:sz w:val="22"/>
          <w:szCs w:val="22"/>
          <w:shd w:val="clear" w:color="auto" w:fill="FFFFFF"/>
          <w:lang w:val="en-US" w:eastAsia="en-US"/>
        </w:rPr>
        <w:t>KEY WORDS: resources, enterprise, efficiency, working capital, productivity, profitability</w:t>
      </w:r>
    </w:p>
    <w:p w:rsidR="00724342" w:rsidRPr="0010381E" w:rsidRDefault="00724342" w:rsidP="0010381E">
      <w:pPr>
        <w:ind w:firstLine="426"/>
        <w:rPr>
          <w:b/>
          <w:sz w:val="22"/>
          <w:szCs w:val="22"/>
          <w:lang w:val="en-US"/>
        </w:rPr>
      </w:pPr>
    </w:p>
    <w:p w:rsidR="00724342" w:rsidRPr="0010381E" w:rsidRDefault="00724342" w:rsidP="0010381E">
      <w:pPr>
        <w:ind w:firstLine="426"/>
        <w:jc w:val="both"/>
        <w:rPr>
          <w:sz w:val="22"/>
          <w:szCs w:val="22"/>
        </w:rPr>
      </w:pPr>
      <w:r w:rsidRPr="0010381E">
        <w:rPr>
          <w:sz w:val="22"/>
          <w:szCs w:val="22"/>
        </w:rPr>
        <w:lastRenderedPageBreak/>
        <w:t>В настоящее время проблема эффективности использования производственных ресурсов является наиболее актуальной в связи с ограниченностью ресурсов, интенсивным развитием методов с</w:t>
      </w:r>
      <w:r w:rsidRPr="0010381E">
        <w:rPr>
          <w:sz w:val="22"/>
          <w:szCs w:val="22"/>
        </w:rPr>
        <w:t>о</w:t>
      </w:r>
      <w:r w:rsidRPr="0010381E">
        <w:rPr>
          <w:sz w:val="22"/>
          <w:szCs w:val="22"/>
        </w:rPr>
        <w:t xml:space="preserve">вершенствования производства. Динамика ключевых показателей деятельности предприятия во многом зависит от эффективности использования каждого вида производственных ресурсов. </w:t>
      </w:r>
    </w:p>
    <w:p w:rsidR="00724342" w:rsidRPr="0010381E" w:rsidRDefault="00724342" w:rsidP="0010381E">
      <w:pPr>
        <w:ind w:firstLine="426"/>
        <w:jc w:val="both"/>
        <w:rPr>
          <w:sz w:val="22"/>
          <w:szCs w:val="22"/>
        </w:rPr>
      </w:pPr>
      <w:r w:rsidRPr="0010381E">
        <w:rPr>
          <w:sz w:val="22"/>
          <w:szCs w:val="22"/>
        </w:rPr>
        <w:t>Производственные ресурсы предприятия – совокупность всех ресурсов, используемых в процессе производства продукции. Включают в себя основные фонды, оборотные средства и трудовые ресурсы.</w:t>
      </w:r>
    </w:p>
    <w:p w:rsidR="00724342" w:rsidRPr="0010381E" w:rsidRDefault="00724342" w:rsidP="0010381E">
      <w:pPr>
        <w:ind w:firstLine="426"/>
        <w:jc w:val="both"/>
        <w:rPr>
          <w:sz w:val="22"/>
          <w:szCs w:val="22"/>
        </w:rPr>
      </w:pPr>
      <w:r w:rsidRPr="0010381E">
        <w:rPr>
          <w:sz w:val="22"/>
          <w:szCs w:val="22"/>
        </w:rPr>
        <w:t>Основой деятельности любого предприятия являются основные производственные средства, представляющие собой здания, соор</w:t>
      </w:r>
      <w:r w:rsidRPr="0010381E">
        <w:rPr>
          <w:sz w:val="22"/>
          <w:szCs w:val="22"/>
        </w:rPr>
        <w:t>у</w:t>
      </w:r>
      <w:r w:rsidRPr="0010381E">
        <w:rPr>
          <w:sz w:val="22"/>
          <w:szCs w:val="22"/>
        </w:rPr>
        <w:t>жения, машины, оборудование и другие средства труда, участву</w:t>
      </w:r>
      <w:r w:rsidRPr="0010381E">
        <w:rPr>
          <w:sz w:val="22"/>
          <w:szCs w:val="22"/>
        </w:rPr>
        <w:t>ю</w:t>
      </w:r>
      <w:r w:rsidRPr="0010381E">
        <w:rPr>
          <w:sz w:val="22"/>
          <w:szCs w:val="22"/>
        </w:rPr>
        <w:t>щие в процессе производства. Их совокупность образует произво</w:t>
      </w:r>
      <w:r w:rsidRPr="0010381E">
        <w:rPr>
          <w:sz w:val="22"/>
          <w:szCs w:val="22"/>
        </w:rPr>
        <w:t>д</w:t>
      </w:r>
      <w:r w:rsidRPr="0010381E">
        <w:rPr>
          <w:sz w:val="22"/>
          <w:szCs w:val="22"/>
        </w:rPr>
        <w:t>ственно-техническую базу предприятия и определяет произво</w:t>
      </w:r>
      <w:r w:rsidRPr="0010381E">
        <w:rPr>
          <w:sz w:val="22"/>
          <w:szCs w:val="22"/>
        </w:rPr>
        <w:t>д</w:t>
      </w:r>
      <w:r w:rsidRPr="0010381E">
        <w:rPr>
          <w:sz w:val="22"/>
          <w:szCs w:val="22"/>
        </w:rPr>
        <w:t>ственную мощь, чем и определяется роль основных средств в пр</w:t>
      </w:r>
      <w:r w:rsidRPr="0010381E">
        <w:rPr>
          <w:sz w:val="22"/>
          <w:szCs w:val="22"/>
        </w:rPr>
        <w:t>о</w:t>
      </w:r>
      <w:r w:rsidRPr="0010381E">
        <w:rPr>
          <w:sz w:val="22"/>
          <w:szCs w:val="22"/>
        </w:rPr>
        <w:t>цессе труда.</w:t>
      </w:r>
    </w:p>
    <w:p w:rsidR="00724342" w:rsidRPr="0010381E" w:rsidRDefault="00724342" w:rsidP="0010381E">
      <w:pPr>
        <w:ind w:firstLine="426"/>
        <w:jc w:val="both"/>
        <w:rPr>
          <w:sz w:val="22"/>
          <w:szCs w:val="22"/>
        </w:rPr>
      </w:pPr>
      <w:r w:rsidRPr="0010381E">
        <w:rPr>
          <w:sz w:val="22"/>
          <w:szCs w:val="22"/>
        </w:rPr>
        <w:t>Благодаря более полному и рациональному использованию о</w:t>
      </w:r>
      <w:r w:rsidRPr="0010381E">
        <w:rPr>
          <w:sz w:val="22"/>
          <w:szCs w:val="22"/>
        </w:rPr>
        <w:t>с</w:t>
      </w:r>
      <w:r w:rsidRPr="0010381E">
        <w:rPr>
          <w:sz w:val="22"/>
          <w:szCs w:val="22"/>
        </w:rPr>
        <w:t>новных средств предприятия, во всех экономических показателях деятельности наблюдается положительная динамика: рост произв</w:t>
      </w:r>
      <w:r w:rsidRPr="0010381E">
        <w:rPr>
          <w:sz w:val="22"/>
          <w:szCs w:val="22"/>
        </w:rPr>
        <w:t>о</w:t>
      </w:r>
      <w:r w:rsidRPr="0010381E">
        <w:rPr>
          <w:sz w:val="22"/>
          <w:szCs w:val="22"/>
        </w:rPr>
        <w:t>дительности труда, повышение фондоотдачи, увеличение выпуска продукции, снижение себестоимости, экономия капитальных вл</w:t>
      </w:r>
      <w:r w:rsidRPr="0010381E">
        <w:rPr>
          <w:sz w:val="22"/>
          <w:szCs w:val="22"/>
        </w:rPr>
        <w:t>о</w:t>
      </w:r>
      <w:r w:rsidRPr="0010381E">
        <w:rPr>
          <w:sz w:val="22"/>
          <w:szCs w:val="22"/>
        </w:rPr>
        <w:t xml:space="preserve">жений и др. </w:t>
      </w:r>
    </w:p>
    <w:p w:rsidR="00724342" w:rsidRPr="0010381E" w:rsidRDefault="00724342" w:rsidP="0010381E">
      <w:pPr>
        <w:ind w:firstLine="426"/>
        <w:jc w:val="both"/>
        <w:rPr>
          <w:sz w:val="22"/>
          <w:szCs w:val="22"/>
        </w:rPr>
      </w:pPr>
      <w:r w:rsidRPr="0010381E">
        <w:rPr>
          <w:sz w:val="22"/>
          <w:szCs w:val="22"/>
        </w:rPr>
        <w:t>Нормальное функционирование любого предприятия нево</w:t>
      </w:r>
      <w:r w:rsidRPr="0010381E">
        <w:rPr>
          <w:sz w:val="22"/>
          <w:szCs w:val="22"/>
        </w:rPr>
        <w:t>з</w:t>
      </w:r>
      <w:r w:rsidRPr="0010381E">
        <w:rPr>
          <w:sz w:val="22"/>
          <w:szCs w:val="22"/>
        </w:rPr>
        <w:t xml:space="preserve">можно без основных и оборотных фондов. Последние представляют собой стоимостную оценку оборотных производственных ресурсов и фондов обращения. </w:t>
      </w:r>
    </w:p>
    <w:p w:rsidR="00724342" w:rsidRPr="0010381E" w:rsidRDefault="00724342" w:rsidP="0010381E">
      <w:pPr>
        <w:ind w:firstLine="426"/>
        <w:jc w:val="both"/>
        <w:rPr>
          <w:sz w:val="22"/>
          <w:szCs w:val="22"/>
        </w:rPr>
      </w:pPr>
      <w:r w:rsidRPr="0010381E">
        <w:rPr>
          <w:sz w:val="22"/>
          <w:szCs w:val="22"/>
        </w:rPr>
        <w:t>Оборотные производственные фонды – средства производства, которые полностью потребляются в отдельных циклах произво</w:t>
      </w:r>
      <w:r w:rsidRPr="0010381E">
        <w:rPr>
          <w:sz w:val="22"/>
          <w:szCs w:val="22"/>
        </w:rPr>
        <w:t>д</w:t>
      </w:r>
      <w:r w:rsidRPr="0010381E">
        <w:rPr>
          <w:sz w:val="22"/>
          <w:szCs w:val="22"/>
        </w:rPr>
        <w:t xml:space="preserve">ства, полностью переносят свою стоимость на готовую продукцию. </w:t>
      </w:r>
    </w:p>
    <w:p w:rsidR="00724342" w:rsidRPr="0010381E" w:rsidRDefault="00724342" w:rsidP="0010381E">
      <w:pPr>
        <w:ind w:firstLine="426"/>
        <w:jc w:val="both"/>
        <w:rPr>
          <w:sz w:val="22"/>
          <w:szCs w:val="22"/>
        </w:rPr>
      </w:pPr>
      <w:r w:rsidRPr="0010381E">
        <w:rPr>
          <w:sz w:val="22"/>
          <w:szCs w:val="22"/>
        </w:rPr>
        <w:t>На различных уровнях производства максимальная эффекти</w:t>
      </w:r>
      <w:r w:rsidRPr="0010381E">
        <w:rPr>
          <w:sz w:val="22"/>
          <w:szCs w:val="22"/>
        </w:rPr>
        <w:t>в</w:t>
      </w:r>
      <w:r w:rsidRPr="0010381E">
        <w:rPr>
          <w:sz w:val="22"/>
          <w:szCs w:val="22"/>
        </w:rPr>
        <w:t>ность использования основных производственных и оборотных средств достигается лишь в сочетании с развитым менеджментом и человеческим трудом. Поэтому немаловажная роль принадлежит кадровому потенциалу предприятия. Именно от имеющихся труд</w:t>
      </w:r>
      <w:r w:rsidRPr="0010381E">
        <w:rPr>
          <w:sz w:val="22"/>
          <w:szCs w:val="22"/>
        </w:rPr>
        <w:t>о</w:t>
      </w:r>
      <w:r w:rsidRPr="0010381E">
        <w:rPr>
          <w:sz w:val="22"/>
          <w:szCs w:val="22"/>
        </w:rPr>
        <w:t>вых ресурсов зависит эффективность использования средств прои</w:t>
      </w:r>
      <w:r w:rsidRPr="0010381E">
        <w:rPr>
          <w:sz w:val="22"/>
          <w:szCs w:val="22"/>
        </w:rPr>
        <w:t>з</w:t>
      </w:r>
      <w:r w:rsidRPr="0010381E">
        <w:rPr>
          <w:sz w:val="22"/>
          <w:szCs w:val="22"/>
        </w:rPr>
        <w:t>водства.</w:t>
      </w:r>
    </w:p>
    <w:p w:rsidR="00724342" w:rsidRPr="0010381E" w:rsidRDefault="00724342" w:rsidP="0010381E">
      <w:pPr>
        <w:shd w:val="clear" w:color="auto" w:fill="FFFFFF"/>
        <w:ind w:firstLine="426"/>
        <w:jc w:val="both"/>
        <w:rPr>
          <w:rFonts w:eastAsiaTheme="minorHAnsi"/>
          <w:color w:val="000000" w:themeColor="text1"/>
          <w:sz w:val="22"/>
          <w:szCs w:val="22"/>
          <w:lang w:eastAsia="en-US"/>
        </w:rPr>
      </w:pPr>
      <w:r w:rsidRPr="0010381E">
        <w:rPr>
          <w:rFonts w:eastAsiaTheme="minorHAnsi"/>
          <w:color w:val="000000" w:themeColor="text1"/>
          <w:sz w:val="22"/>
          <w:szCs w:val="22"/>
          <w:lang w:eastAsia="en-US"/>
        </w:rPr>
        <w:lastRenderedPageBreak/>
        <w:t>Производительность труда является обобщающим показателем результативности труда, характеризующим объёмы выпущенной продукции или произведённых услуг на единицу затрат труда. В условиях интенсификации уже долгие годы вопрос о значении пр</w:t>
      </w:r>
      <w:r w:rsidRPr="0010381E">
        <w:rPr>
          <w:rFonts w:eastAsiaTheme="minorHAnsi"/>
          <w:color w:val="000000" w:themeColor="text1"/>
          <w:sz w:val="22"/>
          <w:szCs w:val="22"/>
          <w:lang w:eastAsia="en-US"/>
        </w:rPr>
        <w:t>о</w:t>
      </w:r>
      <w:r w:rsidRPr="0010381E">
        <w:rPr>
          <w:rFonts w:eastAsiaTheme="minorHAnsi"/>
          <w:color w:val="000000" w:themeColor="text1"/>
          <w:sz w:val="22"/>
          <w:szCs w:val="22"/>
          <w:lang w:eastAsia="en-US"/>
        </w:rPr>
        <w:t>изводительности труда занимает особое место. Производительность труда является важным и неотъемлемым показателем технического прогресса, а также источником роста благосостояния страны. Ни</w:t>
      </w:r>
      <w:r w:rsidRPr="0010381E">
        <w:rPr>
          <w:rFonts w:eastAsiaTheme="minorHAnsi"/>
          <w:color w:val="000000" w:themeColor="text1"/>
          <w:sz w:val="22"/>
          <w:szCs w:val="22"/>
          <w:lang w:eastAsia="en-US"/>
        </w:rPr>
        <w:t>з</w:t>
      </w:r>
      <w:r w:rsidRPr="0010381E">
        <w:rPr>
          <w:rFonts w:eastAsiaTheme="minorHAnsi"/>
          <w:color w:val="000000" w:themeColor="text1"/>
          <w:sz w:val="22"/>
          <w:szCs w:val="22"/>
          <w:lang w:eastAsia="en-US"/>
        </w:rPr>
        <w:t>кий уровень данного показателя в большинстве ключевых отраслей и секторов экономики способен препятствовать устойчивому эк</w:t>
      </w:r>
      <w:r w:rsidRPr="0010381E">
        <w:rPr>
          <w:rFonts w:eastAsiaTheme="minorHAnsi"/>
          <w:color w:val="000000" w:themeColor="text1"/>
          <w:sz w:val="22"/>
          <w:szCs w:val="22"/>
          <w:lang w:eastAsia="en-US"/>
        </w:rPr>
        <w:t>о</w:t>
      </w:r>
      <w:r w:rsidRPr="0010381E">
        <w:rPr>
          <w:rFonts w:eastAsiaTheme="minorHAnsi"/>
          <w:color w:val="000000" w:themeColor="text1"/>
          <w:sz w:val="22"/>
          <w:szCs w:val="22"/>
          <w:lang w:eastAsia="en-US"/>
        </w:rPr>
        <w:t>номическому росту. В связи с этим, основная задача организации труда на любом предприятии – обеспечение эффективного и пост</w:t>
      </w:r>
      <w:r w:rsidRPr="0010381E">
        <w:rPr>
          <w:rFonts w:eastAsiaTheme="minorHAnsi"/>
          <w:color w:val="000000" w:themeColor="text1"/>
          <w:sz w:val="22"/>
          <w:szCs w:val="22"/>
          <w:lang w:eastAsia="en-US"/>
        </w:rPr>
        <w:t>о</w:t>
      </w:r>
      <w:r w:rsidRPr="0010381E">
        <w:rPr>
          <w:rFonts w:eastAsiaTheme="minorHAnsi"/>
          <w:color w:val="000000" w:themeColor="text1"/>
          <w:sz w:val="22"/>
          <w:szCs w:val="22"/>
          <w:lang w:eastAsia="en-US"/>
        </w:rPr>
        <w:t xml:space="preserve">янного роста производительности труда. </w:t>
      </w:r>
    </w:p>
    <w:p w:rsidR="00724342" w:rsidRPr="0010381E" w:rsidRDefault="00724342" w:rsidP="0010381E">
      <w:pPr>
        <w:ind w:firstLine="426"/>
        <w:jc w:val="both"/>
        <w:rPr>
          <w:sz w:val="22"/>
          <w:szCs w:val="22"/>
        </w:rPr>
      </w:pPr>
      <w:r w:rsidRPr="0010381E">
        <w:rPr>
          <w:sz w:val="22"/>
          <w:szCs w:val="22"/>
        </w:rPr>
        <w:t>Ведущие позиции в обеспечении успешной предпринимател</w:t>
      </w:r>
      <w:r w:rsidRPr="0010381E">
        <w:rPr>
          <w:sz w:val="22"/>
          <w:szCs w:val="22"/>
        </w:rPr>
        <w:t>ь</w:t>
      </w:r>
      <w:r w:rsidRPr="0010381E">
        <w:rPr>
          <w:sz w:val="22"/>
          <w:szCs w:val="22"/>
        </w:rPr>
        <w:t>ской деятельности занимает информация, что связано непосре</w:t>
      </w:r>
      <w:r w:rsidRPr="0010381E">
        <w:rPr>
          <w:sz w:val="22"/>
          <w:szCs w:val="22"/>
        </w:rPr>
        <w:t>д</w:t>
      </w:r>
      <w:r w:rsidRPr="0010381E">
        <w:rPr>
          <w:sz w:val="22"/>
          <w:szCs w:val="22"/>
        </w:rPr>
        <w:t>ственно с научно-техническим прогрессом и необходимостью ост</w:t>
      </w:r>
      <w:r w:rsidRPr="0010381E">
        <w:rPr>
          <w:sz w:val="22"/>
          <w:szCs w:val="22"/>
        </w:rPr>
        <w:t>а</w:t>
      </w:r>
      <w:r w:rsidRPr="0010381E">
        <w:rPr>
          <w:sz w:val="22"/>
          <w:szCs w:val="22"/>
        </w:rPr>
        <w:t>ваться конкурентоспособным по отношению к другим предприят</w:t>
      </w:r>
      <w:r w:rsidRPr="0010381E">
        <w:rPr>
          <w:sz w:val="22"/>
          <w:szCs w:val="22"/>
        </w:rPr>
        <w:t>и</w:t>
      </w:r>
      <w:r w:rsidRPr="0010381E">
        <w:rPr>
          <w:sz w:val="22"/>
          <w:szCs w:val="22"/>
        </w:rPr>
        <w:t>ям.</w:t>
      </w:r>
    </w:p>
    <w:p w:rsidR="00724342" w:rsidRPr="0010381E" w:rsidRDefault="00724342" w:rsidP="0010381E">
      <w:pPr>
        <w:ind w:firstLine="426"/>
        <w:jc w:val="both"/>
        <w:rPr>
          <w:sz w:val="22"/>
          <w:szCs w:val="22"/>
        </w:rPr>
      </w:pPr>
      <w:r w:rsidRPr="0010381E">
        <w:rPr>
          <w:sz w:val="22"/>
          <w:szCs w:val="22"/>
        </w:rPr>
        <w:t>Таким образом, достижение экономического назначения пре</w:t>
      </w:r>
      <w:r w:rsidRPr="0010381E">
        <w:rPr>
          <w:sz w:val="22"/>
          <w:szCs w:val="22"/>
        </w:rPr>
        <w:t>д</w:t>
      </w:r>
      <w:r w:rsidRPr="0010381E">
        <w:rPr>
          <w:sz w:val="22"/>
          <w:szCs w:val="22"/>
        </w:rPr>
        <w:t>приятия и получение прибыли – главная цель существования прои</w:t>
      </w:r>
      <w:r w:rsidRPr="0010381E">
        <w:rPr>
          <w:sz w:val="22"/>
          <w:szCs w:val="22"/>
        </w:rPr>
        <w:t>з</w:t>
      </w:r>
      <w:r w:rsidRPr="0010381E">
        <w:rPr>
          <w:sz w:val="22"/>
          <w:szCs w:val="22"/>
        </w:rPr>
        <w:t>водственных ресурсов. Для ее достижения необходимо выполнить следующие задачи:</w:t>
      </w:r>
    </w:p>
    <w:p w:rsidR="00724342" w:rsidRPr="0010381E" w:rsidRDefault="00724342" w:rsidP="0010381E">
      <w:pPr>
        <w:ind w:firstLine="426"/>
        <w:jc w:val="both"/>
        <w:rPr>
          <w:sz w:val="22"/>
          <w:szCs w:val="22"/>
        </w:rPr>
      </w:pPr>
      <w:r w:rsidRPr="0010381E">
        <w:rPr>
          <w:sz w:val="22"/>
          <w:szCs w:val="22"/>
        </w:rPr>
        <w:t>- бесперебойный процесс производства;</w:t>
      </w:r>
    </w:p>
    <w:p w:rsidR="00724342" w:rsidRPr="0010381E" w:rsidRDefault="00724342" w:rsidP="0010381E">
      <w:pPr>
        <w:ind w:firstLine="426"/>
        <w:jc w:val="both"/>
        <w:rPr>
          <w:sz w:val="22"/>
          <w:szCs w:val="22"/>
        </w:rPr>
      </w:pPr>
      <w:r w:rsidRPr="0010381E">
        <w:rPr>
          <w:sz w:val="22"/>
          <w:szCs w:val="22"/>
        </w:rPr>
        <w:t>- минимизация затрат производства;</w:t>
      </w:r>
    </w:p>
    <w:p w:rsidR="00724342" w:rsidRPr="0010381E" w:rsidRDefault="00724342" w:rsidP="0010381E">
      <w:pPr>
        <w:ind w:firstLine="426"/>
        <w:jc w:val="both"/>
        <w:rPr>
          <w:sz w:val="22"/>
          <w:szCs w:val="22"/>
        </w:rPr>
      </w:pPr>
      <w:r w:rsidRPr="0010381E">
        <w:rPr>
          <w:sz w:val="22"/>
          <w:szCs w:val="22"/>
        </w:rPr>
        <w:t>- максимальный выход продукции.</w:t>
      </w:r>
    </w:p>
    <w:p w:rsidR="00724342" w:rsidRPr="0010381E" w:rsidRDefault="00724342" w:rsidP="0010381E">
      <w:pPr>
        <w:ind w:firstLine="426"/>
        <w:jc w:val="both"/>
        <w:rPr>
          <w:sz w:val="22"/>
          <w:szCs w:val="22"/>
        </w:rPr>
      </w:pPr>
      <w:r w:rsidRPr="0010381E">
        <w:rPr>
          <w:sz w:val="22"/>
          <w:szCs w:val="22"/>
        </w:rPr>
        <w:t>Важное значение в повышении эффективности использования производственных ресурсов имеет их анализ, на основе которого возможно выявить резервы роста эффективности использования ресурсов. В рыночных условиях в конкурентной борьбе смогут п</w:t>
      </w:r>
      <w:r w:rsidRPr="0010381E">
        <w:rPr>
          <w:sz w:val="22"/>
          <w:szCs w:val="22"/>
        </w:rPr>
        <w:t>о</w:t>
      </w:r>
      <w:r w:rsidRPr="0010381E">
        <w:rPr>
          <w:sz w:val="22"/>
          <w:szCs w:val="22"/>
        </w:rPr>
        <w:t xml:space="preserve">бедить те предприятия, которые наиболее эффективно используют производственные ресурсы. </w:t>
      </w:r>
    </w:p>
    <w:p w:rsidR="00724342" w:rsidRPr="0010381E" w:rsidRDefault="00724342" w:rsidP="0010381E">
      <w:pPr>
        <w:ind w:firstLine="426"/>
        <w:jc w:val="both"/>
        <w:rPr>
          <w:sz w:val="22"/>
          <w:szCs w:val="22"/>
        </w:rPr>
      </w:pPr>
      <w:r w:rsidRPr="0010381E">
        <w:rPr>
          <w:sz w:val="22"/>
          <w:szCs w:val="22"/>
        </w:rPr>
        <w:t>Таким образом, можно определить следующие пути улучшения использования основных фондов на предприятии:</w:t>
      </w:r>
    </w:p>
    <w:p w:rsidR="00724342" w:rsidRPr="0010381E" w:rsidRDefault="00724342" w:rsidP="0010381E">
      <w:pPr>
        <w:ind w:firstLine="426"/>
        <w:jc w:val="both"/>
        <w:rPr>
          <w:sz w:val="22"/>
          <w:szCs w:val="22"/>
        </w:rPr>
      </w:pPr>
      <w:r w:rsidRPr="0010381E">
        <w:rPr>
          <w:sz w:val="22"/>
          <w:szCs w:val="22"/>
        </w:rPr>
        <w:t>- избавление от излишнего оборудования, машин или сдача их в аренду;</w:t>
      </w:r>
    </w:p>
    <w:p w:rsidR="00724342" w:rsidRPr="0010381E" w:rsidRDefault="00724342" w:rsidP="0010381E">
      <w:pPr>
        <w:ind w:firstLine="426"/>
        <w:jc w:val="both"/>
        <w:rPr>
          <w:sz w:val="22"/>
          <w:szCs w:val="22"/>
        </w:rPr>
      </w:pPr>
      <w:r w:rsidRPr="0010381E">
        <w:rPr>
          <w:sz w:val="22"/>
          <w:szCs w:val="22"/>
        </w:rPr>
        <w:t>- планово-предупредительный и капитальный ремонты, их своевременное проведение;</w:t>
      </w:r>
    </w:p>
    <w:p w:rsidR="00724342" w:rsidRPr="0010381E" w:rsidRDefault="00724342" w:rsidP="0010381E">
      <w:pPr>
        <w:ind w:firstLine="426"/>
        <w:jc w:val="both"/>
        <w:rPr>
          <w:sz w:val="22"/>
          <w:szCs w:val="22"/>
        </w:rPr>
      </w:pPr>
      <w:r w:rsidRPr="0010381E">
        <w:rPr>
          <w:sz w:val="22"/>
          <w:szCs w:val="22"/>
        </w:rPr>
        <w:t>- высокое качество приобретаемых основных фондов;</w:t>
      </w:r>
    </w:p>
    <w:p w:rsidR="00724342" w:rsidRPr="0010381E" w:rsidRDefault="00724342" w:rsidP="0010381E">
      <w:pPr>
        <w:ind w:firstLine="426"/>
        <w:jc w:val="both"/>
        <w:rPr>
          <w:sz w:val="22"/>
          <w:szCs w:val="22"/>
        </w:rPr>
      </w:pPr>
      <w:r w:rsidRPr="0010381E">
        <w:rPr>
          <w:sz w:val="22"/>
          <w:szCs w:val="22"/>
        </w:rPr>
        <w:t>- повышение квалификации трудовых ресурсов;</w:t>
      </w:r>
    </w:p>
    <w:p w:rsidR="00724342" w:rsidRPr="0010381E" w:rsidRDefault="00724342" w:rsidP="0010381E">
      <w:pPr>
        <w:ind w:firstLine="426"/>
        <w:jc w:val="both"/>
        <w:rPr>
          <w:sz w:val="22"/>
          <w:szCs w:val="22"/>
        </w:rPr>
      </w:pPr>
      <w:r w:rsidRPr="0010381E">
        <w:rPr>
          <w:sz w:val="22"/>
          <w:szCs w:val="22"/>
        </w:rPr>
        <w:lastRenderedPageBreak/>
        <w:t>- качественная подготовка сырья и необходимых материалов к производственному процессу;</w:t>
      </w:r>
    </w:p>
    <w:p w:rsidR="00724342" w:rsidRPr="0010381E" w:rsidRDefault="00724342" w:rsidP="0010381E">
      <w:pPr>
        <w:ind w:firstLine="426"/>
        <w:jc w:val="both"/>
        <w:rPr>
          <w:sz w:val="22"/>
          <w:szCs w:val="22"/>
        </w:rPr>
      </w:pPr>
      <w:r w:rsidRPr="0010381E">
        <w:rPr>
          <w:sz w:val="22"/>
          <w:szCs w:val="22"/>
        </w:rPr>
        <w:t>- полная механизация и автоматизация производства;</w:t>
      </w:r>
    </w:p>
    <w:p w:rsidR="00724342" w:rsidRPr="0010381E" w:rsidRDefault="00724342" w:rsidP="0010381E">
      <w:pPr>
        <w:ind w:firstLine="426"/>
        <w:jc w:val="both"/>
        <w:rPr>
          <w:sz w:val="22"/>
          <w:szCs w:val="22"/>
        </w:rPr>
      </w:pPr>
      <w:r w:rsidRPr="0010381E">
        <w:rPr>
          <w:sz w:val="22"/>
          <w:szCs w:val="22"/>
        </w:rPr>
        <w:t>- более рациональная организация труда (сокращение потерь рабочего времени, исключение простоев в работе).</w:t>
      </w:r>
    </w:p>
    <w:p w:rsidR="00724342" w:rsidRPr="0010381E" w:rsidRDefault="00724342" w:rsidP="0010381E">
      <w:pPr>
        <w:ind w:firstLine="426"/>
        <w:jc w:val="both"/>
        <w:rPr>
          <w:sz w:val="22"/>
          <w:szCs w:val="22"/>
        </w:rPr>
      </w:pPr>
      <w:r w:rsidRPr="0010381E">
        <w:rPr>
          <w:sz w:val="22"/>
          <w:szCs w:val="22"/>
        </w:rPr>
        <w:t>Финансовые результаты деятельности предприятия имеют п</w:t>
      </w:r>
      <w:r w:rsidRPr="0010381E">
        <w:rPr>
          <w:sz w:val="22"/>
          <w:szCs w:val="22"/>
        </w:rPr>
        <w:t>о</w:t>
      </w:r>
      <w:r w:rsidRPr="0010381E">
        <w:rPr>
          <w:sz w:val="22"/>
          <w:szCs w:val="22"/>
        </w:rPr>
        <w:t>ложительную динамику благодаря увеличению выпуска продукции, снижения себестоимости, повышения качества продукции, увел</w:t>
      </w:r>
      <w:r w:rsidRPr="0010381E">
        <w:rPr>
          <w:sz w:val="22"/>
          <w:szCs w:val="22"/>
        </w:rPr>
        <w:t>и</w:t>
      </w:r>
      <w:r w:rsidRPr="0010381E">
        <w:rPr>
          <w:sz w:val="22"/>
          <w:szCs w:val="22"/>
        </w:rPr>
        <w:t>чения балансовой прибыли.</w:t>
      </w:r>
    </w:p>
    <w:p w:rsidR="00724342" w:rsidRPr="0010381E" w:rsidRDefault="00724342" w:rsidP="0010381E">
      <w:pPr>
        <w:ind w:firstLine="426"/>
        <w:jc w:val="both"/>
        <w:rPr>
          <w:sz w:val="22"/>
          <w:szCs w:val="22"/>
        </w:rPr>
      </w:pPr>
      <w:r w:rsidRPr="0010381E">
        <w:rPr>
          <w:sz w:val="22"/>
          <w:szCs w:val="22"/>
        </w:rPr>
        <w:t>Выделяют следующие способы повышения экономической э</w:t>
      </w:r>
      <w:r w:rsidRPr="0010381E">
        <w:rPr>
          <w:sz w:val="22"/>
          <w:szCs w:val="22"/>
        </w:rPr>
        <w:t>ф</w:t>
      </w:r>
      <w:r w:rsidRPr="0010381E">
        <w:rPr>
          <w:sz w:val="22"/>
          <w:szCs w:val="22"/>
        </w:rPr>
        <w:t>фективности оборотных средств:</w:t>
      </w:r>
    </w:p>
    <w:p w:rsidR="00724342" w:rsidRPr="0010381E" w:rsidRDefault="00724342" w:rsidP="0010381E">
      <w:pPr>
        <w:ind w:firstLine="426"/>
        <w:jc w:val="both"/>
        <w:rPr>
          <w:sz w:val="22"/>
          <w:szCs w:val="22"/>
        </w:rPr>
      </w:pPr>
      <w:r w:rsidRPr="0010381E">
        <w:rPr>
          <w:sz w:val="22"/>
          <w:szCs w:val="22"/>
        </w:rPr>
        <w:t>- наиболее эффективная технология производства, позволя</w:t>
      </w:r>
      <w:r w:rsidRPr="0010381E">
        <w:rPr>
          <w:sz w:val="22"/>
          <w:szCs w:val="22"/>
        </w:rPr>
        <w:t>ю</w:t>
      </w:r>
      <w:r w:rsidRPr="0010381E">
        <w:rPr>
          <w:sz w:val="22"/>
          <w:szCs w:val="22"/>
        </w:rPr>
        <w:t>щая снизить период оборота, а, следовательно, увеличить скорость оборачиваемости;</w:t>
      </w:r>
    </w:p>
    <w:p w:rsidR="00724342" w:rsidRPr="0010381E" w:rsidRDefault="00724342" w:rsidP="0010381E">
      <w:pPr>
        <w:ind w:firstLine="426"/>
        <w:jc w:val="both"/>
        <w:rPr>
          <w:sz w:val="22"/>
          <w:szCs w:val="22"/>
        </w:rPr>
      </w:pPr>
      <w:r w:rsidRPr="0010381E">
        <w:rPr>
          <w:sz w:val="22"/>
          <w:szCs w:val="22"/>
        </w:rPr>
        <w:t>- разработка оптимальных технологических нормативов труд</w:t>
      </w:r>
      <w:r w:rsidRPr="0010381E">
        <w:rPr>
          <w:sz w:val="22"/>
          <w:szCs w:val="22"/>
        </w:rPr>
        <w:t>о</w:t>
      </w:r>
      <w:r w:rsidRPr="0010381E">
        <w:rPr>
          <w:sz w:val="22"/>
          <w:szCs w:val="22"/>
        </w:rPr>
        <w:t>емкости, норм расходов материалов, режимов работы оборудов</w:t>
      </w:r>
      <w:r w:rsidRPr="0010381E">
        <w:rPr>
          <w:sz w:val="22"/>
          <w:szCs w:val="22"/>
        </w:rPr>
        <w:t>а</w:t>
      </w:r>
      <w:r w:rsidRPr="0010381E">
        <w:rPr>
          <w:sz w:val="22"/>
          <w:szCs w:val="22"/>
        </w:rPr>
        <w:t>ния;</w:t>
      </w:r>
    </w:p>
    <w:p w:rsidR="00724342" w:rsidRPr="0010381E" w:rsidRDefault="00724342" w:rsidP="0010381E">
      <w:pPr>
        <w:ind w:firstLine="426"/>
        <w:jc w:val="both"/>
        <w:rPr>
          <w:sz w:val="22"/>
          <w:szCs w:val="22"/>
        </w:rPr>
      </w:pPr>
      <w:r w:rsidRPr="0010381E">
        <w:rPr>
          <w:sz w:val="22"/>
          <w:szCs w:val="22"/>
        </w:rPr>
        <w:t>Таким образом, обеспечение предприятия необходимыми р</w:t>
      </w:r>
      <w:r w:rsidRPr="0010381E">
        <w:rPr>
          <w:sz w:val="22"/>
          <w:szCs w:val="22"/>
        </w:rPr>
        <w:t>е</w:t>
      </w:r>
      <w:r w:rsidRPr="0010381E">
        <w:rPr>
          <w:sz w:val="22"/>
          <w:szCs w:val="22"/>
        </w:rPr>
        <w:t>сурсами, улучшение их использования, уменьшение потерь врем</w:t>
      </w:r>
      <w:r w:rsidRPr="0010381E">
        <w:rPr>
          <w:sz w:val="22"/>
          <w:szCs w:val="22"/>
        </w:rPr>
        <w:t>е</w:t>
      </w:r>
      <w:r w:rsidRPr="0010381E">
        <w:rPr>
          <w:sz w:val="22"/>
          <w:szCs w:val="22"/>
        </w:rPr>
        <w:t>ни, повышение квалификации кадров является необходимым усл</w:t>
      </w:r>
      <w:r w:rsidRPr="0010381E">
        <w:rPr>
          <w:sz w:val="22"/>
          <w:szCs w:val="22"/>
        </w:rPr>
        <w:t>о</w:t>
      </w:r>
      <w:r w:rsidRPr="0010381E">
        <w:rPr>
          <w:sz w:val="22"/>
          <w:szCs w:val="22"/>
        </w:rPr>
        <w:t>вием выполнения планов по производству, снижению ее себесто</w:t>
      </w:r>
      <w:r w:rsidRPr="0010381E">
        <w:rPr>
          <w:sz w:val="22"/>
          <w:szCs w:val="22"/>
        </w:rPr>
        <w:t>и</w:t>
      </w:r>
      <w:r w:rsidRPr="0010381E">
        <w:rPr>
          <w:sz w:val="22"/>
          <w:szCs w:val="22"/>
        </w:rPr>
        <w:t>мости, росту прибыли и рентабельности.</w:t>
      </w:r>
    </w:p>
    <w:p w:rsidR="00724342" w:rsidRPr="0010381E" w:rsidRDefault="00724342" w:rsidP="0010381E">
      <w:pPr>
        <w:ind w:firstLine="426"/>
        <w:jc w:val="center"/>
        <w:outlineLvl w:val="1"/>
        <w:rPr>
          <w:bCs/>
          <w:sz w:val="22"/>
          <w:szCs w:val="22"/>
        </w:rPr>
      </w:pPr>
    </w:p>
    <w:p w:rsidR="00724342" w:rsidRPr="0010381E" w:rsidRDefault="00724342" w:rsidP="0010381E">
      <w:pPr>
        <w:ind w:firstLine="426"/>
        <w:jc w:val="center"/>
        <w:outlineLvl w:val="1"/>
        <w:rPr>
          <w:bCs/>
          <w:sz w:val="22"/>
          <w:szCs w:val="22"/>
        </w:rPr>
      </w:pPr>
      <w:r w:rsidRPr="0010381E">
        <w:rPr>
          <w:bCs/>
          <w:sz w:val="22"/>
          <w:szCs w:val="22"/>
        </w:rPr>
        <w:t>Список литературы</w:t>
      </w:r>
    </w:p>
    <w:p w:rsidR="00724342" w:rsidRPr="0010381E" w:rsidRDefault="00724342" w:rsidP="0010381E">
      <w:pPr>
        <w:ind w:firstLine="426"/>
        <w:jc w:val="both"/>
        <w:outlineLvl w:val="1"/>
        <w:rPr>
          <w:rFonts w:eastAsiaTheme="minorHAnsi"/>
          <w:color w:val="000000" w:themeColor="text1"/>
          <w:sz w:val="22"/>
          <w:szCs w:val="22"/>
          <w:shd w:val="clear" w:color="auto" w:fill="FFFFFF"/>
          <w:lang w:eastAsia="en-US"/>
        </w:rPr>
      </w:pPr>
      <w:r w:rsidRPr="0010381E">
        <w:rPr>
          <w:rFonts w:eastAsiaTheme="minorHAnsi"/>
          <w:color w:val="000000" w:themeColor="text1"/>
          <w:sz w:val="22"/>
          <w:szCs w:val="22"/>
          <w:shd w:val="clear" w:color="auto" w:fill="FFFFFF"/>
          <w:lang w:eastAsia="en-US"/>
        </w:rPr>
        <w:t>1. Воропинова О.А., Айдинова А.Т. Развитие инвестиционной деятельности регионов Северо-Кавказского Федерального округа / в сборнике: Исследование социально-экономических систем региона - Материалы международной научно-практической конференции. 2011. С. 8-9.</w:t>
      </w:r>
    </w:p>
    <w:p w:rsidR="00724342" w:rsidRPr="0010381E" w:rsidRDefault="00724342" w:rsidP="0010381E">
      <w:pPr>
        <w:ind w:firstLine="426"/>
        <w:jc w:val="both"/>
        <w:outlineLvl w:val="1"/>
        <w:rPr>
          <w:rFonts w:eastAsiaTheme="minorHAnsi"/>
          <w:color w:val="000000" w:themeColor="text1"/>
          <w:sz w:val="22"/>
          <w:szCs w:val="22"/>
          <w:shd w:val="clear" w:color="auto" w:fill="FFFFFF"/>
          <w:lang w:eastAsia="en-US"/>
        </w:rPr>
      </w:pPr>
      <w:r w:rsidRPr="0010381E">
        <w:rPr>
          <w:rFonts w:eastAsiaTheme="minorHAnsi"/>
          <w:color w:val="000000" w:themeColor="text1"/>
          <w:sz w:val="22"/>
          <w:szCs w:val="22"/>
          <w:shd w:val="clear" w:color="auto" w:fill="FFFFFF"/>
          <w:lang w:eastAsia="en-US"/>
        </w:rPr>
        <w:t>2. Евдокимов, Д. К. Нормирование материальных ресурсов / Д.К. Евдокимов, Г.М. Покараев. - М.: Экономика, </w:t>
      </w:r>
      <w:r w:rsidRPr="0010381E">
        <w:rPr>
          <w:rFonts w:eastAsiaTheme="minorHAnsi"/>
          <w:bCs/>
          <w:color w:val="000000" w:themeColor="text1"/>
          <w:sz w:val="22"/>
          <w:szCs w:val="22"/>
          <w:shd w:val="clear" w:color="auto" w:fill="FFFFFF"/>
          <w:lang w:eastAsia="en-US"/>
        </w:rPr>
        <w:t>2013</w:t>
      </w:r>
      <w:r w:rsidRPr="0010381E">
        <w:rPr>
          <w:rFonts w:eastAsiaTheme="minorHAnsi"/>
          <w:color w:val="000000" w:themeColor="text1"/>
          <w:sz w:val="22"/>
          <w:szCs w:val="22"/>
          <w:shd w:val="clear" w:color="auto" w:fill="FFFFFF"/>
          <w:lang w:eastAsia="en-US"/>
        </w:rPr>
        <w:t>. - 200 c.</w:t>
      </w:r>
    </w:p>
    <w:p w:rsidR="00724342" w:rsidRPr="0010381E" w:rsidRDefault="00724342" w:rsidP="0010381E">
      <w:pPr>
        <w:tabs>
          <w:tab w:val="left" w:pos="426"/>
        </w:tabs>
        <w:ind w:firstLine="426"/>
        <w:jc w:val="both"/>
        <w:rPr>
          <w:rFonts w:eastAsiaTheme="minorHAnsi"/>
          <w:color w:val="000000" w:themeColor="text1"/>
          <w:sz w:val="22"/>
          <w:szCs w:val="22"/>
          <w:lang w:eastAsia="en-US"/>
        </w:rPr>
      </w:pPr>
      <w:r w:rsidRPr="0010381E">
        <w:rPr>
          <w:rFonts w:eastAsiaTheme="minorHAnsi"/>
          <w:color w:val="000000" w:themeColor="text1"/>
          <w:sz w:val="22"/>
          <w:szCs w:val="22"/>
          <w:shd w:val="clear" w:color="auto" w:fill="FFFFFF"/>
          <w:lang w:eastAsia="en-US"/>
        </w:rPr>
        <w:t>3. Степанов, В. И. Нормирование расхода материальных ресу</w:t>
      </w:r>
      <w:r w:rsidRPr="0010381E">
        <w:rPr>
          <w:rFonts w:eastAsiaTheme="minorHAnsi"/>
          <w:color w:val="000000" w:themeColor="text1"/>
          <w:sz w:val="22"/>
          <w:szCs w:val="22"/>
          <w:shd w:val="clear" w:color="auto" w:fill="FFFFFF"/>
          <w:lang w:eastAsia="en-US"/>
        </w:rPr>
        <w:t>р</w:t>
      </w:r>
      <w:r w:rsidRPr="0010381E">
        <w:rPr>
          <w:rFonts w:eastAsiaTheme="minorHAnsi"/>
          <w:color w:val="000000" w:themeColor="text1"/>
          <w:sz w:val="22"/>
          <w:szCs w:val="22"/>
          <w:shd w:val="clear" w:color="auto" w:fill="FFFFFF"/>
          <w:lang w:eastAsia="en-US"/>
        </w:rPr>
        <w:t>сов / В.И. Степанов. - М.: Академия, </w:t>
      </w:r>
      <w:r w:rsidRPr="0010381E">
        <w:rPr>
          <w:rFonts w:eastAsiaTheme="minorHAnsi"/>
          <w:bCs/>
          <w:color w:val="000000" w:themeColor="text1"/>
          <w:sz w:val="22"/>
          <w:szCs w:val="22"/>
          <w:shd w:val="clear" w:color="auto" w:fill="FFFFFF"/>
          <w:lang w:eastAsia="en-US"/>
        </w:rPr>
        <w:t>2011</w:t>
      </w:r>
      <w:r w:rsidRPr="0010381E">
        <w:rPr>
          <w:rFonts w:eastAsiaTheme="minorHAnsi"/>
          <w:color w:val="000000" w:themeColor="text1"/>
          <w:sz w:val="22"/>
          <w:szCs w:val="22"/>
          <w:shd w:val="clear" w:color="auto" w:fill="FFFFFF"/>
          <w:lang w:eastAsia="en-US"/>
        </w:rPr>
        <w:t>. - 176 c.</w:t>
      </w:r>
    </w:p>
    <w:p w:rsidR="00724342" w:rsidRPr="00724342" w:rsidRDefault="00724342" w:rsidP="00724342">
      <w:pPr>
        <w:jc w:val="both"/>
        <w:rPr>
          <w:sz w:val="22"/>
          <w:szCs w:val="22"/>
        </w:rPr>
      </w:pPr>
    </w:p>
    <w:p w:rsidR="00724342" w:rsidRPr="00724342" w:rsidRDefault="00724342" w:rsidP="00724342">
      <w:pPr>
        <w:jc w:val="both"/>
        <w:rPr>
          <w:sz w:val="22"/>
          <w:szCs w:val="22"/>
        </w:rPr>
      </w:pPr>
    </w:p>
    <w:p w:rsidR="00724342" w:rsidRDefault="00724342" w:rsidP="00724342">
      <w:pPr>
        <w:jc w:val="both"/>
        <w:rPr>
          <w:sz w:val="22"/>
          <w:szCs w:val="22"/>
        </w:rPr>
      </w:pPr>
    </w:p>
    <w:p w:rsidR="000C51E1" w:rsidRDefault="000C51E1" w:rsidP="00724342">
      <w:pPr>
        <w:jc w:val="both"/>
        <w:rPr>
          <w:sz w:val="22"/>
          <w:szCs w:val="22"/>
        </w:rPr>
      </w:pPr>
    </w:p>
    <w:p w:rsidR="000C51E1" w:rsidRPr="00724342" w:rsidRDefault="000C51E1" w:rsidP="00724342">
      <w:pPr>
        <w:jc w:val="both"/>
        <w:rPr>
          <w:sz w:val="22"/>
          <w:szCs w:val="22"/>
        </w:rPr>
      </w:pPr>
    </w:p>
    <w:p w:rsidR="00724342" w:rsidRPr="00724342" w:rsidRDefault="00724342" w:rsidP="00724342">
      <w:pPr>
        <w:rPr>
          <w:rFonts w:eastAsiaTheme="minorHAnsi"/>
          <w:sz w:val="22"/>
          <w:szCs w:val="22"/>
          <w:lang w:eastAsia="en-US"/>
        </w:rPr>
      </w:pPr>
      <w:r w:rsidRPr="00724342">
        <w:rPr>
          <w:rFonts w:eastAsiaTheme="minorHAnsi"/>
          <w:sz w:val="22"/>
          <w:szCs w:val="22"/>
          <w:lang w:eastAsia="en-US"/>
        </w:rPr>
        <w:lastRenderedPageBreak/>
        <w:t>УДК 338.43:631.171</w:t>
      </w:r>
    </w:p>
    <w:p w:rsidR="00724342" w:rsidRPr="00724342" w:rsidRDefault="00724342" w:rsidP="00724342">
      <w:pPr>
        <w:rPr>
          <w:rFonts w:eastAsiaTheme="minorHAnsi"/>
          <w:sz w:val="22"/>
          <w:szCs w:val="22"/>
          <w:lang w:eastAsia="en-US"/>
        </w:rPr>
      </w:pPr>
    </w:p>
    <w:p w:rsidR="00724342" w:rsidRPr="00724342" w:rsidRDefault="00724342" w:rsidP="00724342">
      <w:pPr>
        <w:jc w:val="center"/>
        <w:rPr>
          <w:rFonts w:eastAsiaTheme="minorHAnsi"/>
          <w:b/>
          <w:sz w:val="24"/>
          <w:szCs w:val="22"/>
          <w:lang w:eastAsia="en-US"/>
        </w:rPr>
      </w:pPr>
      <w:r w:rsidRPr="00724342">
        <w:rPr>
          <w:rFonts w:eastAsiaTheme="minorHAnsi"/>
          <w:b/>
          <w:sz w:val="24"/>
          <w:szCs w:val="22"/>
          <w:lang w:eastAsia="en-US"/>
        </w:rPr>
        <w:t>Направления инновационного развития производства</w:t>
      </w:r>
    </w:p>
    <w:p w:rsidR="00724342" w:rsidRPr="00724342" w:rsidRDefault="00724342" w:rsidP="00724342">
      <w:pPr>
        <w:jc w:val="center"/>
        <w:rPr>
          <w:rFonts w:eastAsiaTheme="minorHAnsi"/>
          <w:b/>
          <w:sz w:val="24"/>
          <w:szCs w:val="22"/>
          <w:lang w:eastAsia="en-US"/>
        </w:rPr>
      </w:pPr>
      <w:r w:rsidRPr="00724342">
        <w:rPr>
          <w:rFonts w:eastAsiaTheme="minorHAnsi"/>
          <w:b/>
          <w:sz w:val="24"/>
          <w:szCs w:val="22"/>
          <w:lang w:eastAsia="en-US"/>
        </w:rPr>
        <w:t xml:space="preserve">продукции растениеводства в </w:t>
      </w:r>
    </w:p>
    <w:p w:rsidR="00724342" w:rsidRPr="00724342" w:rsidRDefault="00724342" w:rsidP="00724342">
      <w:pPr>
        <w:jc w:val="center"/>
        <w:rPr>
          <w:rFonts w:eastAsiaTheme="minorHAnsi"/>
          <w:b/>
          <w:sz w:val="24"/>
          <w:szCs w:val="22"/>
          <w:lang w:val="en-US" w:eastAsia="en-US"/>
        </w:rPr>
      </w:pPr>
      <w:r w:rsidRPr="00724342">
        <w:rPr>
          <w:rFonts w:eastAsiaTheme="minorHAnsi"/>
          <w:b/>
          <w:sz w:val="24"/>
          <w:szCs w:val="22"/>
          <w:lang w:eastAsia="en-US"/>
        </w:rPr>
        <w:t>сельскохозяйственных</w:t>
      </w:r>
      <w:r w:rsidRPr="00724342">
        <w:rPr>
          <w:rFonts w:eastAsiaTheme="minorHAnsi"/>
          <w:b/>
          <w:sz w:val="24"/>
          <w:szCs w:val="22"/>
          <w:lang w:val="en-US" w:eastAsia="en-US"/>
        </w:rPr>
        <w:t xml:space="preserve"> </w:t>
      </w:r>
      <w:r w:rsidRPr="00724342">
        <w:rPr>
          <w:rFonts w:eastAsiaTheme="minorHAnsi"/>
          <w:b/>
          <w:sz w:val="24"/>
          <w:szCs w:val="22"/>
          <w:lang w:eastAsia="en-US"/>
        </w:rPr>
        <w:t>организациях</w:t>
      </w:r>
    </w:p>
    <w:p w:rsidR="00724342" w:rsidRPr="00724342" w:rsidRDefault="00724342" w:rsidP="00724342">
      <w:pPr>
        <w:jc w:val="center"/>
        <w:rPr>
          <w:rFonts w:eastAsiaTheme="minorHAnsi"/>
          <w:b/>
          <w:sz w:val="24"/>
          <w:szCs w:val="22"/>
          <w:lang w:val="en-US" w:eastAsia="en-US"/>
        </w:rPr>
      </w:pPr>
      <w:r w:rsidRPr="00724342">
        <w:rPr>
          <w:rFonts w:eastAsiaTheme="minorHAnsi"/>
          <w:b/>
          <w:sz w:val="24"/>
          <w:szCs w:val="22"/>
          <w:lang w:val="en-US" w:eastAsia="en-US"/>
        </w:rPr>
        <w:t>Innovative directions of development</w:t>
      </w:r>
    </w:p>
    <w:p w:rsidR="00724342" w:rsidRPr="00724342" w:rsidRDefault="00724342" w:rsidP="00724342">
      <w:pPr>
        <w:jc w:val="center"/>
        <w:rPr>
          <w:rFonts w:eastAsiaTheme="minorHAnsi"/>
          <w:b/>
          <w:sz w:val="24"/>
          <w:szCs w:val="22"/>
          <w:lang w:val="en-US" w:eastAsia="en-US"/>
        </w:rPr>
      </w:pPr>
      <w:r w:rsidRPr="00724342">
        <w:rPr>
          <w:rFonts w:eastAsiaTheme="minorHAnsi"/>
          <w:b/>
          <w:sz w:val="24"/>
          <w:szCs w:val="22"/>
          <w:lang w:val="en-US" w:eastAsia="en-US"/>
        </w:rPr>
        <w:t>of crop production in agricultural organizations</w:t>
      </w:r>
    </w:p>
    <w:p w:rsidR="00724342" w:rsidRPr="00724342" w:rsidRDefault="00724342" w:rsidP="00724342">
      <w:pPr>
        <w:jc w:val="center"/>
        <w:rPr>
          <w:rFonts w:eastAsiaTheme="minorHAnsi"/>
          <w:sz w:val="22"/>
          <w:szCs w:val="22"/>
          <w:lang w:val="en-US" w:eastAsia="en-US"/>
        </w:rPr>
      </w:pP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Стрельников В.</w:t>
      </w:r>
      <w:r w:rsidR="0010381E">
        <w:rPr>
          <w:rFonts w:eastAsiaTheme="minorHAnsi"/>
          <w:sz w:val="22"/>
          <w:szCs w:val="22"/>
          <w:lang w:eastAsia="en-US"/>
        </w:rPr>
        <w:t xml:space="preserve"> </w:t>
      </w:r>
      <w:r w:rsidRPr="00724342">
        <w:rPr>
          <w:rFonts w:eastAsiaTheme="minorHAnsi"/>
          <w:sz w:val="22"/>
          <w:szCs w:val="22"/>
          <w:lang w:eastAsia="en-US"/>
        </w:rPr>
        <w:t xml:space="preserve">А.,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студент 4-го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И.Т. Трубилина</w:t>
      </w:r>
    </w:p>
    <w:p w:rsidR="00724342" w:rsidRPr="00724342" w:rsidRDefault="00724342" w:rsidP="00724342">
      <w:pPr>
        <w:jc w:val="right"/>
        <w:rPr>
          <w:rFonts w:eastAsiaTheme="minorHAnsi"/>
          <w:sz w:val="22"/>
          <w:szCs w:val="22"/>
          <w:lang w:eastAsia="en-US"/>
        </w:rPr>
      </w:pP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АННОТАЦИЯ: выполнен экономический анализ направлений инновационного развития производства продукции растениеводства в сельскохозяйственных организациях, включающих освоение эл</w:t>
      </w:r>
      <w:r w:rsidRPr="00724342">
        <w:rPr>
          <w:rFonts w:eastAsiaTheme="minorHAnsi"/>
          <w:sz w:val="22"/>
          <w:szCs w:val="22"/>
          <w:lang w:eastAsia="en-US"/>
        </w:rPr>
        <w:t>е</w:t>
      </w:r>
      <w:r w:rsidRPr="00724342">
        <w:rPr>
          <w:rFonts w:eastAsiaTheme="minorHAnsi"/>
          <w:sz w:val="22"/>
          <w:szCs w:val="22"/>
          <w:lang w:eastAsia="en-US"/>
        </w:rPr>
        <w:t>ментов технологии точного земледелия.</w:t>
      </w:r>
    </w:p>
    <w:p w:rsidR="00724342" w:rsidRPr="00724342" w:rsidRDefault="00724342" w:rsidP="0010381E">
      <w:pPr>
        <w:ind w:firstLine="426"/>
        <w:jc w:val="both"/>
        <w:rPr>
          <w:rFonts w:eastAsiaTheme="minorHAnsi"/>
          <w:sz w:val="22"/>
          <w:szCs w:val="22"/>
          <w:lang w:val="en-US" w:eastAsia="en-US"/>
        </w:rPr>
      </w:pPr>
      <w:r w:rsidRPr="00724342">
        <w:rPr>
          <w:rFonts w:eastAsiaTheme="minorHAnsi"/>
          <w:sz w:val="22"/>
          <w:szCs w:val="22"/>
          <w:lang w:val="en-US" w:eastAsia="en-US"/>
        </w:rPr>
        <w:t>ANNOTATION: the article contains the results of an economic analysis of the directions of innovative development of crop production in agricultural organizations, including the development of elements of precision farming technology.</w:t>
      </w:r>
    </w:p>
    <w:p w:rsidR="00724342" w:rsidRPr="00724342" w:rsidRDefault="00724342" w:rsidP="0010381E">
      <w:pPr>
        <w:ind w:firstLine="426"/>
        <w:jc w:val="both"/>
        <w:rPr>
          <w:rFonts w:eastAsiaTheme="minorHAnsi"/>
          <w:caps/>
          <w:sz w:val="22"/>
          <w:szCs w:val="22"/>
          <w:lang w:eastAsia="en-US"/>
        </w:rPr>
      </w:pPr>
      <w:r w:rsidRPr="00724342">
        <w:rPr>
          <w:rFonts w:eastAsiaTheme="minorHAnsi"/>
          <w:caps/>
          <w:sz w:val="22"/>
          <w:szCs w:val="22"/>
          <w:lang w:eastAsia="en-US"/>
        </w:rPr>
        <w:t xml:space="preserve">Ключевые слова: </w:t>
      </w:r>
      <w:r w:rsidRPr="00724342">
        <w:rPr>
          <w:rFonts w:eastAsiaTheme="minorHAnsi"/>
          <w:sz w:val="22"/>
          <w:szCs w:val="22"/>
          <w:lang w:eastAsia="en-US"/>
        </w:rPr>
        <w:t>растениеводство, инновации, точное земледелие, экономическая эффективность.</w:t>
      </w:r>
    </w:p>
    <w:p w:rsidR="00724342" w:rsidRPr="00724342" w:rsidRDefault="00724342" w:rsidP="0010381E">
      <w:pPr>
        <w:ind w:firstLine="426"/>
        <w:jc w:val="both"/>
        <w:rPr>
          <w:rFonts w:eastAsiaTheme="minorHAnsi"/>
          <w:sz w:val="22"/>
          <w:szCs w:val="22"/>
          <w:lang w:val="en-US" w:eastAsia="en-US"/>
        </w:rPr>
      </w:pPr>
      <w:r w:rsidRPr="00724342">
        <w:rPr>
          <w:rFonts w:eastAsiaTheme="minorHAnsi"/>
          <w:sz w:val="22"/>
          <w:szCs w:val="22"/>
          <w:lang w:val="en-US" w:eastAsia="en-US"/>
        </w:rPr>
        <w:t>KEYWORDS: crop production, innovation, precision farming, ec</w:t>
      </w:r>
      <w:r w:rsidRPr="00724342">
        <w:rPr>
          <w:rFonts w:eastAsiaTheme="minorHAnsi"/>
          <w:sz w:val="22"/>
          <w:szCs w:val="22"/>
          <w:lang w:val="en-US" w:eastAsia="en-US"/>
        </w:rPr>
        <w:t>o</w:t>
      </w:r>
      <w:r w:rsidRPr="00724342">
        <w:rPr>
          <w:rFonts w:eastAsiaTheme="minorHAnsi"/>
          <w:sz w:val="22"/>
          <w:szCs w:val="22"/>
          <w:lang w:val="en-US" w:eastAsia="en-US"/>
        </w:rPr>
        <w:t>nomic efficiency.</w:t>
      </w:r>
    </w:p>
    <w:p w:rsidR="00724342" w:rsidRPr="00724342" w:rsidRDefault="00724342" w:rsidP="0010381E">
      <w:pPr>
        <w:ind w:firstLine="426"/>
        <w:jc w:val="both"/>
        <w:rPr>
          <w:rFonts w:eastAsiaTheme="minorHAnsi"/>
          <w:sz w:val="22"/>
          <w:szCs w:val="22"/>
          <w:lang w:val="en-US" w:eastAsia="en-US"/>
        </w:rPr>
      </w:pPr>
    </w:p>
    <w:p w:rsidR="00724342" w:rsidRPr="00724342" w:rsidRDefault="00724342" w:rsidP="0010381E">
      <w:pPr>
        <w:ind w:firstLine="426"/>
        <w:jc w:val="both"/>
        <w:rPr>
          <w:rFonts w:eastAsiaTheme="minorHAnsi"/>
          <w:spacing w:val="4"/>
          <w:sz w:val="22"/>
          <w:szCs w:val="22"/>
          <w:lang w:eastAsia="en-US"/>
        </w:rPr>
      </w:pPr>
      <w:r w:rsidRPr="00724342">
        <w:rPr>
          <w:rFonts w:eastAsiaTheme="minorHAnsi"/>
          <w:spacing w:val="4"/>
          <w:sz w:val="22"/>
          <w:szCs w:val="22"/>
          <w:lang w:eastAsia="en-US"/>
        </w:rPr>
        <w:t>В настоящее время стратегия инновационного развития от</w:t>
      </w:r>
      <w:r w:rsidRPr="00724342">
        <w:rPr>
          <w:rFonts w:eastAsiaTheme="minorHAnsi"/>
          <w:spacing w:val="4"/>
          <w:sz w:val="22"/>
          <w:szCs w:val="22"/>
          <w:lang w:eastAsia="en-US"/>
        </w:rPr>
        <w:t>е</w:t>
      </w:r>
      <w:r w:rsidRPr="00724342">
        <w:rPr>
          <w:rFonts w:eastAsiaTheme="minorHAnsi"/>
          <w:spacing w:val="4"/>
          <w:sz w:val="22"/>
          <w:szCs w:val="22"/>
          <w:lang w:eastAsia="en-US"/>
        </w:rPr>
        <w:t>чественного сельского хозяйства должна предусматривать заи</w:t>
      </w:r>
      <w:r w:rsidRPr="00724342">
        <w:rPr>
          <w:rFonts w:eastAsiaTheme="minorHAnsi"/>
          <w:spacing w:val="4"/>
          <w:sz w:val="22"/>
          <w:szCs w:val="22"/>
          <w:lang w:eastAsia="en-US"/>
        </w:rPr>
        <w:t>м</w:t>
      </w:r>
      <w:r w:rsidRPr="00724342">
        <w:rPr>
          <w:rFonts w:eastAsiaTheme="minorHAnsi"/>
          <w:spacing w:val="4"/>
          <w:sz w:val="22"/>
          <w:szCs w:val="22"/>
          <w:lang w:eastAsia="en-US"/>
        </w:rPr>
        <w:t>ствование и адаптацию к зональным условиям размещения пр</w:t>
      </w:r>
      <w:r w:rsidRPr="00724342">
        <w:rPr>
          <w:rFonts w:eastAsiaTheme="minorHAnsi"/>
          <w:spacing w:val="4"/>
          <w:sz w:val="22"/>
          <w:szCs w:val="22"/>
          <w:lang w:eastAsia="en-US"/>
        </w:rPr>
        <w:t>о</w:t>
      </w:r>
      <w:r w:rsidRPr="00724342">
        <w:rPr>
          <w:rFonts w:eastAsiaTheme="minorHAnsi"/>
          <w:spacing w:val="4"/>
          <w:sz w:val="22"/>
          <w:szCs w:val="22"/>
          <w:lang w:eastAsia="en-US"/>
        </w:rPr>
        <w:t>изводства передовых зарубежных агро- и зоотехнологий, а также разработку и освоение собственных инноваций, которые позв</w:t>
      </w:r>
      <w:r w:rsidRPr="00724342">
        <w:rPr>
          <w:rFonts w:eastAsiaTheme="minorHAnsi"/>
          <w:spacing w:val="4"/>
          <w:sz w:val="22"/>
          <w:szCs w:val="22"/>
          <w:lang w:eastAsia="en-US"/>
        </w:rPr>
        <w:t>о</w:t>
      </w:r>
      <w:r w:rsidRPr="00724342">
        <w:rPr>
          <w:rFonts w:eastAsiaTheme="minorHAnsi"/>
          <w:spacing w:val="4"/>
          <w:sz w:val="22"/>
          <w:szCs w:val="22"/>
          <w:lang w:eastAsia="en-US"/>
        </w:rPr>
        <w:t>лят отечественным товаропроизводителям перейти к новой те</w:t>
      </w:r>
      <w:r w:rsidRPr="00724342">
        <w:rPr>
          <w:rFonts w:eastAsiaTheme="minorHAnsi"/>
          <w:spacing w:val="4"/>
          <w:sz w:val="22"/>
          <w:szCs w:val="22"/>
          <w:lang w:eastAsia="en-US"/>
        </w:rPr>
        <w:t>х</w:t>
      </w:r>
      <w:r w:rsidRPr="00724342">
        <w:rPr>
          <w:rFonts w:eastAsiaTheme="minorHAnsi"/>
          <w:spacing w:val="4"/>
          <w:sz w:val="22"/>
          <w:szCs w:val="22"/>
          <w:lang w:eastAsia="en-US"/>
        </w:rPr>
        <w:t>нико-технологической структуре отрасли и обеспечить конк</w:t>
      </w:r>
      <w:r w:rsidRPr="00724342">
        <w:rPr>
          <w:rFonts w:eastAsiaTheme="minorHAnsi"/>
          <w:spacing w:val="4"/>
          <w:sz w:val="22"/>
          <w:szCs w:val="22"/>
          <w:lang w:eastAsia="en-US"/>
        </w:rPr>
        <w:t>у</w:t>
      </w:r>
      <w:r w:rsidRPr="00724342">
        <w:rPr>
          <w:rFonts w:eastAsiaTheme="minorHAnsi"/>
          <w:spacing w:val="4"/>
          <w:sz w:val="22"/>
          <w:szCs w:val="22"/>
          <w:lang w:eastAsia="en-US"/>
        </w:rPr>
        <w:t>рентоспособность аграрной продукции собственного произво</w:t>
      </w:r>
      <w:r w:rsidRPr="00724342">
        <w:rPr>
          <w:rFonts w:eastAsiaTheme="minorHAnsi"/>
          <w:spacing w:val="4"/>
          <w:sz w:val="22"/>
          <w:szCs w:val="22"/>
          <w:lang w:eastAsia="en-US"/>
        </w:rPr>
        <w:t>д</w:t>
      </w:r>
      <w:r w:rsidRPr="00724342">
        <w:rPr>
          <w:rFonts w:eastAsiaTheme="minorHAnsi"/>
          <w:spacing w:val="4"/>
          <w:sz w:val="22"/>
          <w:szCs w:val="22"/>
          <w:lang w:eastAsia="en-US"/>
        </w:rPr>
        <w:t>ства на внутреннем и внешних рынках [3, 4, 5].</w:t>
      </w:r>
    </w:p>
    <w:p w:rsidR="00724342" w:rsidRPr="00724342" w:rsidRDefault="00724342" w:rsidP="0010381E">
      <w:pPr>
        <w:ind w:firstLine="426"/>
        <w:jc w:val="both"/>
        <w:rPr>
          <w:rFonts w:eastAsiaTheme="minorHAnsi"/>
          <w:spacing w:val="-4"/>
          <w:sz w:val="22"/>
          <w:szCs w:val="22"/>
          <w:lang w:eastAsia="en-US"/>
        </w:rPr>
      </w:pPr>
      <w:r w:rsidRPr="00724342">
        <w:rPr>
          <w:rFonts w:eastAsiaTheme="minorHAnsi"/>
          <w:spacing w:val="-4"/>
          <w:sz w:val="22"/>
          <w:szCs w:val="22"/>
          <w:lang w:eastAsia="en-US"/>
        </w:rPr>
        <w:t>В экономически развитых странах получили широкое распр</w:t>
      </w:r>
      <w:r w:rsidRPr="00724342">
        <w:rPr>
          <w:rFonts w:eastAsiaTheme="minorHAnsi"/>
          <w:spacing w:val="-4"/>
          <w:sz w:val="22"/>
          <w:szCs w:val="22"/>
          <w:lang w:eastAsia="en-US"/>
        </w:rPr>
        <w:t>о</w:t>
      </w:r>
      <w:r w:rsidRPr="00724342">
        <w:rPr>
          <w:rFonts w:eastAsiaTheme="minorHAnsi"/>
          <w:spacing w:val="-4"/>
          <w:sz w:val="22"/>
          <w:szCs w:val="22"/>
          <w:lang w:eastAsia="en-US"/>
        </w:rPr>
        <w:t xml:space="preserve">странение технологии точного земледелия в производстве продукции </w:t>
      </w:r>
      <w:r w:rsidRPr="00724342">
        <w:rPr>
          <w:rFonts w:eastAsiaTheme="minorHAnsi"/>
          <w:spacing w:val="-4"/>
          <w:sz w:val="22"/>
          <w:szCs w:val="22"/>
          <w:lang w:eastAsia="en-US"/>
        </w:rPr>
        <w:lastRenderedPageBreak/>
        <w:t>растениеводства, основанные на использовании технических средств автоматизации и роботизации производственных процессов, а также информационных технологий и баз данных.</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В отечественном АПК уже достаточно широкое распростран</w:t>
      </w:r>
      <w:r w:rsidRPr="00724342">
        <w:rPr>
          <w:rFonts w:eastAsiaTheme="minorHAnsi"/>
          <w:spacing w:val="-2"/>
          <w:sz w:val="22"/>
          <w:szCs w:val="22"/>
          <w:lang w:eastAsia="en-US"/>
        </w:rPr>
        <w:t>е</w:t>
      </w:r>
      <w:r w:rsidRPr="00724342">
        <w:rPr>
          <w:rFonts w:eastAsiaTheme="minorHAnsi"/>
          <w:spacing w:val="-2"/>
          <w:sz w:val="22"/>
          <w:szCs w:val="22"/>
          <w:lang w:eastAsia="en-US"/>
        </w:rPr>
        <w:t>ние получило использование навигационного оборудования, курс</w:t>
      </w:r>
      <w:r w:rsidRPr="00724342">
        <w:rPr>
          <w:rFonts w:eastAsiaTheme="minorHAnsi"/>
          <w:spacing w:val="-2"/>
          <w:sz w:val="22"/>
          <w:szCs w:val="22"/>
          <w:lang w:eastAsia="en-US"/>
        </w:rPr>
        <w:t>о</w:t>
      </w:r>
      <w:r w:rsidRPr="00724342">
        <w:rPr>
          <w:rFonts w:eastAsiaTheme="minorHAnsi"/>
          <w:spacing w:val="-2"/>
          <w:sz w:val="22"/>
          <w:szCs w:val="22"/>
          <w:lang w:eastAsia="en-US"/>
        </w:rPr>
        <w:t>указателей и подруливающих устройств для организации параллел</w:t>
      </w:r>
      <w:r w:rsidRPr="00724342">
        <w:rPr>
          <w:rFonts w:eastAsiaTheme="minorHAnsi"/>
          <w:spacing w:val="-2"/>
          <w:sz w:val="22"/>
          <w:szCs w:val="22"/>
          <w:lang w:eastAsia="en-US"/>
        </w:rPr>
        <w:t>ь</w:t>
      </w:r>
      <w:r w:rsidRPr="00724342">
        <w:rPr>
          <w:rFonts w:eastAsiaTheme="minorHAnsi"/>
          <w:spacing w:val="-2"/>
          <w:sz w:val="22"/>
          <w:szCs w:val="22"/>
          <w:lang w:eastAsia="en-US"/>
        </w:rPr>
        <w:t>ного вождения сельскохозяйственной техники. Популярность этого элемента системы точного земледелия среди российских товаропр</w:t>
      </w:r>
      <w:r w:rsidRPr="00724342">
        <w:rPr>
          <w:rFonts w:eastAsiaTheme="minorHAnsi"/>
          <w:spacing w:val="-2"/>
          <w:sz w:val="22"/>
          <w:szCs w:val="22"/>
          <w:lang w:eastAsia="en-US"/>
        </w:rPr>
        <w:t>о</w:t>
      </w:r>
      <w:r w:rsidRPr="00724342">
        <w:rPr>
          <w:rFonts w:eastAsiaTheme="minorHAnsi"/>
          <w:spacing w:val="-2"/>
          <w:sz w:val="22"/>
          <w:szCs w:val="22"/>
          <w:lang w:eastAsia="en-US"/>
        </w:rPr>
        <w:t>изводителей объясняется относительно невысокой потребностью в капитальных вложениях в дооснащение единиц сельхозтехники сп</w:t>
      </w:r>
      <w:r w:rsidRPr="00724342">
        <w:rPr>
          <w:rFonts w:eastAsiaTheme="minorHAnsi"/>
          <w:spacing w:val="-2"/>
          <w:sz w:val="22"/>
          <w:szCs w:val="22"/>
          <w:lang w:eastAsia="en-US"/>
        </w:rPr>
        <w:t>е</w:t>
      </w:r>
      <w:r w:rsidRPr="00724342">
        <w:rPr>
          <w:rFonts w:eastAsiaTheme="minorHAnsi"/>
          <w:spacing w:val="-2"/>
          <w:sz w:val="22"/>
          <w:szCs w:val="22"/>
          <w:lang w:eastAsia="en-US"/>
        </w:rPr>
        <w:t>циализированным оборудованием и наличием экономического э</w:t>
      </w:r>
      <w:r w:rsidRPr="00724342">
        <w:rPr>
          <w:rFonts w:eastAsiaTheme="minorHAnsi"/>
          <w:spacing w:val="-2"/>
          <w:sz w:val="22"/>
          <w:szCs w:val="22"/>
          <w:lang w:eastAsia="en-US"/>
        </w:rPr>
        <w:t>ф</w:t>
      </w:r>
      <w:r w:rsidRPr="00724342">
        <w:rPr>
          <w:rFonts w:eastAsiaTheme="minorHAnsi"/>
          <w:spacing w:val="-2"/>
          <w:sz w:val="22"/>
          <w:szCs w:val="22"/>
          <w:lang w:eastAsia="en-US"/>
        </w:rPr>
        <w:t>фекта, позволяющего окупать их в течение первых двух полевых с</w:t>
      </w:r>
      <w:r w:rsidRPr="00724342">
        <w:rPr>
          <w:rFonts w:eastAsiaTheme="minorHAnsi"/>
          <w:spacing w:val="-2"/>
          <w:sz w:val="22"/>
          <w:szCs w:val="22"/>
          <w:lang w:eastAsia="en-US"/>
        </w:rPr>
        <w:t>е</w:t>
      </w:r>
      <w:r w:rsidRPr="00724342">
        <w:rPr>
          <w:rFonts w:eastAsiaTheme="minorHAnsi"/>
          <w:spacing w:val="-2"/>
          <w:sz w:val="22"/>
          <w:szCs w:val="22"/>
          <w:lang w:eastAsia="en-US"/>
        </w:rPr>
        <w:t>зонов. Так, стоимость необходимого дополнительного оборудования составит 500-800 тыс. руб. в расчете на одну энергомашину в завис</w:t>
      </w:r>
      <w:r w:rsidRPr="00724342">
        <w:rPr>
          <w:rFonts w:eastAsiaTheme="minorHAnsi"/>
          <w:spacing w:val="-2"/>
          <w:sz w:val="22"/>
          <w:szCs w:val="22"/>
          <w:lang w:eastAsia="en-US"/>
        </w:rPr>
        <w:t>и</w:t>
      </w:r>
      <w:r w:rsidRPr="00724342">
        <w:rPr>
          <w:rFonts w:eastAsiaTheme="minorHAnsi"/>
          <w:spacing w:val="-2"/>
          <w:sz w:val="22"/>
          <w:szCs w:val="22"/>
          <w:lang w:eastAsia="en-US"/>
        </w:rPr>
        <w:t xml:space="preserve">мости от его производителя и страны происхождения. </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Применение этих технологий позволит товаропроизводителю повысить скорость движения и производительность техники, а также качество выполнения механизированных полевых работ и исключить возможность пропусков или повторной обработки отдельных полос почвы при движении техники по полю, что в свою очередь обеспечит значительную экономию всех производственных ресурсов и сниж</w:t>
      </w:r>
      <w:r w:rsidRPr="00724342">
        <w:rPr>
          <w:rFonts w:eastAsiaTheme="minorHAnsi"/>
          <w:spacing w:val="-2"/>
          <w:sz w:val="22"/>
          <w:szCs w:val="22"/>
          <w:lang w:eastAsia="en-US"/>
        </w:rPr>
        <w:t>е</w:t>
      </w:r>
      <w:r w:rsidRPr="00724342">
        <w:rPr>
          <w:rFonts w:eastAsiaTheme="minorHAnsi"/>
          <w:spacing w:val="-2"/>
          <w:sz w:val="22"/>
          <w:szCs w:val="22"/>
          <w:lang w:eastAsia="en-US"/>
        </w:rPr>
        <w:t>ние себестоимости продукции отрасли [1, 2].</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Мировой опыт показывает, что простое увеличение доз внесения минеральных удобрений и средств химической защиты растений не всегда дает экономический эффект. При неконтролируемом внесении удобрений и пестицидов падает рентабельность производства пр</w:t>
      </w:r>
      <w:r w:rsidRPr="00724342">
        <w:rPr>
          <w:rFonts w:eastAsiaTheme="minorHAnsi"/>
          <w:spacing w:val="-2"/>
          <w:sz w:val="22"/>
          <w:szCs w:val="22"/>
          <w:lang w:eastAsia="en-US"/>
        </w:rPr>
        <w:t>о</w:t>
      </w:r>
      <w:r w:rsidRPr="00724342">
        <w:rPr>
          <w:rFonts w:eastAsiaTheme="minorHAnsi"/>
          <w:spacing w:val="-2"/>
          <w:sz w:val="22"/>
          <w:szCs w:val="22"/>
          <w:lang w:eastAsia="en-US"/>
        </w:rPr>
        <w:t>дукции сельского хозяйства, снижается ее качество, наносится неп</w:t>
      </w:r>
      <w:r w:rsidRPr="00724342">
        <w:rPr>
          <w:rFonts w:eastAsiaTheme="minorHAnsi"/>
          <w:spacing w:val="-2"/>
          <w:sz w:val="22"/>
          <w:szCs w:val="22"/>
          <w:lang w:eastAsia="en-US"/>
        </w:rPr>
        <w:t>о</w:t>
      </w:r>
      <w:r w:rsidRPr="00724342">
        <w:rPr>
          <w:rFonts w:eastAsiaTheme="minorHAnsi"/>
          <w:spacing w:val="-2"/>
          <w:sz w:val="22"/>
          <w:szCs w:val="22"/>
          <w:lang w:eastAsia="en-US"/>
        </w:rPr>
        <w:t>правимый ущерб окружающей природной среде. Использование средств механизации производственных процессов в растениево</w:t>
      </w:r>
      <w:r w:rsidRPr="00724342">
        <w:rPr>
          <w:rFonts w:eastAsiaTheme="minorHAnsi"/>
          <w:spacing w:val="-2"/>
          <w:sz w:val="22"/>
          <w:szCs w:val="22"/>
          <w:lang w:eastAsia="en-US"/>
        </w:rPr>
        <w:t>д</w:t>
      </w:r>
      <w:r w:rsidRPr="00724342">
        <w:rPr>
          <w:rFonts w:eastAsiaTheme="minorHAnsi"/>
          <w:spacing w:val="-2"/>
          <w:sz w:val="22"/>
          <w:szCs w:val="22"/>
          <w:lang w:eastAsia="en-US"/>
        </w:rPr>
        <w:t>стве, оснащенных специализированным оборудованием, позволяет дифференцированно вносить минеральные удобрения и средства х</w:t>
      </w:r>
      <w:r w:rsidRPr="00724342">
        <w:rPr>
          <w:rFonts w:eastAsiaTheme="minorHAnsi"/>
          <w:spacing w:val="-2"/>
          <w:sz w:val="22"/>
          <w:szCs w:val="22"/>
          <w:lang w:eastAsia="en-US"/>
        </w:rPr>
        <w:t>и</w:t>
      </w:r>
      <w:r w:rsidRPr="00724342">
        <w:rPr>
          <w:rFonts w:eastAsiaTheme="minorHAnsi"/>
          <w:spacing w:val="-2"/>
          <w:sz w:val="22"/>
          <w:szCs w:val="22"/>
          <w:lang w:eastAsia="en-US"/>
        </w:rPr>
        <w:t>мической защиты растений с учетом такой вариабельности почвы.</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Анализ сложившейся ценовой конъюнктуры на рынке сельск</w:t>
      </w:r>
      <w:r w:rsidRPr="00724342">
        <w:rPr>
          <w:rFonts w:eastAsiaTheme="minorHAnsi"/>
          <w:spacing w:val="-2"/>
          <w:sz w:val="22"/>
          <w:szCs w:val="22"/>
          <w:lang w:eastAsia="en-US"/>
        </w:rPr>
        <w:t>о</w:t>
      </w:r>
      <w:r w:rsidRPr="00724342">
        <w:rPr>
          <w:rFonts w:eastAsiaTheme="minorHAnsi"/>
          <w:spacing w:val="-2"/>
          <w:sz w:val="22"/>
          <w:szCs w:val="22"/>
          <w:lang w:eastAsia="en-US"/>
        </w:rPr>
        <w:t>хозяйственной техники и оборудования показал, что капитальные вложения в дооснащение сельхозтехники в этом случае повысятся на 1,5–2,0 млн руб. в расчете на единицу техники. Срок окупаемости дополнительных капитальных вложений не превысит 3 лет.</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lastRenderedPageBreak/>
        <w:t>В России технологии точного земледелия только начинают а</w:t>
      </w:r>
      <w:r w:rsidRPr="00724342">
        <w:rPr>
          <w:rFonts w:eastAsiaTheme="minorHAnsi"/>
          <w:sz w:val="22"/>
          <w:szCs w:val="22"/>
          <w:lang w:eastAsia="en-US"/>
        </w:rPr>
        <w:t>к</w:t>
      </w:r>
      <w:r w:rsidRPr="00724342">
        <w:rPr>
          <w:rFonts w:eastAsiaTheme="minorHAnsi"/>
          <w:sz w:val="22"/>
          <w:szCs w:val="22"/>
          <w:lang w:eastAsia="en-US"/>
        </w:rPr>
        <w:t>тивно применяться передовыми сельскохозяйственными организ</w:t>
      </w:r>
      <w:r w:rsidRPr="00724342">
        <w:rPr>
          <w:rFonts w:eastAsiaTheme="minorHAnsi"/>
          <w:sz w:val="22"/>
          <w:szCs w:val="22"/>
          <w:lang w:eastAsia="en-US"/>
        </w:rPr>
        <w:t>а</w:t>
      </w:r>
      <w:r w:rsidRPr="00724342">
        <w:rPr>
          <w:rFonts w:eastAsiaTheme="minorHAnsi"/>
          <w:sz w:val="22"/>
          <w:szCs w:val="22"/>
          <w:lang w:eastAsia="en-US"/>
        </w:rPr>
        <w:t>циями и крупными фермерскими хозяйствами. По данным анкет</w:t>
      </w:r>
      <w:r w:rsidRPr="00724342">
        <w:rPr>
          <w:rFonts w:eastAsiaTheme="minorHAnsi"/>
          <w:sz w:val="22"/>
          <w:szCs w:val="22"/>
          <w:lang w:eastAsia="en-US"/>
        </w:rPr>
        <w:t>и</w:t>
      </w:r>
      <w:r w:rsidRPr="00724342">
        <w:rPr>
          <w:rFonts w:eastAsiaTheme="minorHAnsi"/>
          <w:sz w:val="22"/>
          <w:szCs w:val="22"/>
          <w:lang w:eastAsia="en-US"/>
        </w:rPr>
        <w:t>рования экспертов Центра прогнозирования и мониторинга научно-технологического развития АПК, образованного в Кубанском ГАУ, широкому внедрению этих инновационных технологий в отеч</w:t>
      </w:r>
      <w:r w:rsidRPr="00724342">
        <w:rPr>
          <w:rFonts w:eastAsiaTheme="minorHAnsi"/>
          <w:sz w:val="22"/>
          <w:szCs w:val="22"/>
          <w:lang w:eastAsia="en-US"/>
        </w:rPr>
        <w:t>е</w:t>
      </w:r>
      <w:r w:rsidRPr="00724342">
        <w:rPr>
          <w:rFonts w:eastAsiaTheme="minorHAnsi"/>
          <w:sz w:val="22"/>
          <w:szCs w:val="22"/>
          <w:lang w:eastAsia="en-US"/>
        </w:rPr>
        <w:t>ственное производство продукции растениеводства препятствует дефицит информации о технических и экономических преимущ</w:t>
      </w:r>
      <w:r w:rsidRPr="00724342">
        <w:rPr>
          <w:rFonts w:eastAsiaTheme="minorHAnsi"/>
          <w:sz w:val="22"/>
          <w:szCs w:val="22"/>
          <w:lang w:eastAsia="en-US"/>
        </w:rPr>
        <w:t>е</w:t>
      </w:r>
      <w:r w:rsidRPr="00724342">
        <w:rPr>
          <w:rFonts w:eastAsiaTheme="minorHAnsi"/>
          <w:sz w:val="22"/>
          <w:szCs w:val="22"/>
          <w:lang w:eastAsia="en-US"/>
        </w:rPr>
        <w:t>ствах точного земледелия, а также высокие первоначальные кап</w:t>
      </w:r>
      <w:r w:rsidRPr="00724342">
        <w:rPr>
          <w:rFonts w:eastAsiaTheme="minorHAnsi"/>
          <w:sz w:val="22"/>
          <w:szCs w:val="22"/>
          <w:lang w:eastAsia="en-US"/>
        </w:rPr>
        <w:t>и</w:t>
      </w:r>
      <w:r w:rsidRPr="00724342">
        <w:rPr>
          <w:rFonts w:eastAsiaTheme="minorHAnsi"/>
          <w:sz w:val="22"/>
          <w:szCs w:val="22"/>
          <w:lang w:eastAsia="en-US"/>
        </w:rPr>
        <w:t xml:space="preserve">тальные вложения в освоение его технологий [2, 6]. </w:t>
      </w:r>
    </w:p>
    <w:p w:rsidR="00724342" w:rsidRDefault="00724342" w:rsidP="0010381E">
      <w:pPr>
        <w:ind w:firstLine="425"/>
        <w:jc w:val="both"/>
        <w:rPr>
          <w:rFonts w:eastAsiaTheme="minorHAnsi"/>
          <w:spacing w:val="4"/>
          <w:sz w:val="22"/>
          <w:szCs w:val="22"/>
          <w:lang w:eastAsia="en-US"/>
        </w:rPr>
      </w:pPr>
      <w:r w:rsidRPr="00724342">
        <w:rPr>
          <w:rFonts w:eastAsiaTheme="minorHAnsi"/>
          <w:spacing w:val="-2"/>
          <w:sz w:val="22"/>
          <w:szCs w:val="22"/>
          <w:lang w:eastAsia="en-US"/>
        </w:rPr>
        <w:t>Эти новые «точные» технологии в производстве продукции ра</w:t>
      </w:r>
      <w:r w:rsidRPr="00724342">
        <w:rPr>
          <w:rFonts w:eastAsiaTheme="minorHAnsi"/>
          <w:spacing w:val="-2"/>
          <w:sz w:val="22"/>
          <w:szCs w:val="22"/>
          <w:lang w:eastAsia="en-US"/>
        </w:rPr>
        <w:t>с</w:t>
      </w:r>
      <w:r w:rsidRPr="00724342">
        <w:rPr>
          <w:rFonts w:eastAsiaTheme="minorHAnsi"/>
          <w:spacing w:val="-2"/>
          <w:sz w:val="22"/>
          <w:szCs w:val="22"/>
          <w:lang w:eastAsia="en-US"/>
        </w:rPr>
        <w:t>тениеводства не только минимизируют вред, наносимый окружа</w:t>
      </w:r>
      <w:r w:rsidRPr="00724342">
        <w:rPr>
          <w:rFonts w:eastAsiaTheme="minorHAnsi"/>
          <w:spacing w:val="-2"/>
          <w:sz w:val="22"/>
          <w:szCs w:val="22"/>
          <w:lang w:eastAsia="en-US"/>
        </w:rPr>
        <w:t>ю</w:t>
      </w:r>
      <w:r w:rsidRPr="00724342">
        <w:rPr>
          <w:rFonts w:eastAsiaTheme="minorHAnsi"/>
          <w:spacing w:val="-2"/>
          <w:sz w:val="22"/>
          <w:szCs w:val="22"/>
          <w:lang w:eastAsia="en-US"/>
        </w:rPr>
        <w:t>щей природной среде, но и, как показывает опыт передовых пре</w:t>
      </w:r>
      <w:r w:rsidRPr="00724342">
        <w:rPr>
          <w:rFonts w:eastAsiaTheme="minorHAnsi"/>
          <w:spacing w:val="-2"/>
          <w:sz w:val="22"/>
          <w:szCs w:val="22"/>
          <w:lang w:eastAsia="en-US"/>
        </w:rPr>
        <w:t>д</w:t>
      </w:r>
      <w:r w:rsidRPr="00724342">
        <w:rPr>
          <w:rFonts w:eastAsiaTheme="minorHAnsi"/>
          <w:spacing w:val="-2"/>
          <w:sz w:val="22"/>
          <w:szCs w:val="22"/>
          <w:lang w:eastAsia="en-US"/>
        </w:rPr>
        <w:t>приятий, являются очень выгодными с экономической точки зрения. Освоение технологий точного земледелия позволяет существенно снижать затраты на топливо, посевной материал, минеральные удо</w:t>
      </w:r>
      <w:r w:rsidRPr="00724342">
        <w:rPr>
          <w:rFonts w:eastAsiaTheme="minorHAnsi"/>
          <w:spacing w:val="-2"/>
          <w:sz w:val="22"/>
          <w:szCs w:val="22"/>
          <w:lang w:eastAsia="en-US"/>
        </w:rPr>
        <w:t>б</w:t>
      </w:r>
      <w:r w:rsidRPr="00724342">
        <w:rPr>
          <w:rFonts w:eastAsiaTheme="minorHAnsi"/>
          <w:spacing w:val="-2"/>
          <w:sz w:val="22"/>
          <w:szCs w:val="22"/>
          <w:lang w:eastAsia="en-US"/>
        </w:rPr>
        <w:t xml:space="preserve">рения </w:t>
      </w:r>
      <w:r w:rsidRPr="00724342">
        <w:rPr>
          <w:rFonts w:eastAsiaTheme="minorHAnsi"/>
          <w:spacing w:val="4"/>
          <w:sz w:val="22"/>
          <w:szCs w:val="22"/>
          <w:lang w:eastAsia="en-US"/>
        </w:rPr>
        <w:t>и химические средства защиты растений и тем самым сн</w:t>
      </w:r>
      <w:r w:rsidRPr="00724342">
        <w:rPr>
          <w:rFonts w:eastAsiaTheme="minorHAnsi"/>
          <w:spacing w:val="4"/>
          <w:sz w:val="22"/>
          <w:szCs w:val="22"/>
          <w:lang w:eastAsia="en-US"/>
        </w:rPr>
        <w:t>и</w:t>
      </w:r>
      <w:r w:rsidRPr="00724342">
        <w:rPr>
          <w:rFonts w:eastAsiaTheme="minorHAnsi"/>
          <w:spacing w:val="4"/>
          <w:sz w:val="22"/>
          <w:szCs w:val="22"/>
          <w:lang w:eastAsia="en-US"/>
        </w:rPr>
        <w:t>зить себестоимость конечной продукции.</w:t>
      </w:r>
    </w:p>
    <w:p w:rsidR="0010381E" w:rsidRPr="00724342" w:rsidRDefault="0010381E" w:rsidP="0010381E">
      <w:pPr>
        <w:ind w:firstLine="425"/>
        <w:jc w:val="both"/>
        <w:rPr>
          <w:rFonts w:eastAsiaTheme="minorHAnsi"/>
          <w:spacing w:val="4"/>
          <w:sz w:val="22"/>
          <w:szCs w:val="22"/>
          <w:lang w:eastAsia="en-US"/>
        </w:rPr>
      </w:pPr>
    </w:p>
    <w:p w:rsidR="00724342" w:rsidRPr="00724342" w:rsidRDefault="00724342" w:rsidP="0010381E">
      <w:pPr>
        <w:ind w:firstLine="425"/>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1. Сайфетдинов, А. Р. Влияние технической оснащенности на эффективность производства продукции растениеводства [Текст] / А. Р. Сайфетдинов, М. Е. Трубилин // KANT. – 2014. – с. 26–31.</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2. Сайфетдинов, А. Р. Экономическая эффективность внедр</w:t>
      </w:r>
      <w:r w:rsidRPr="00724342">
        <w:rPr>
          <w:rFonts w:eastAsiaTheme="minorHAnsi"/>
          <w:sz w:val="22"/>
          <w:szCs w:val="22"/>
          <w:lang w:eastAsia="en-US"/>
        </w:rPr>
        <w:t>е</w:t>
      </w:r>
      <w:r w:rsidRPr="00724342">
        <w:rPr>
          <w:rFonts w:eastAsiaTheme="minorHAnsi"/>
          <w:sz w:val="22"/>
          <w:szCs w:val="22"/>
          <w:lang w:eastAsia="en-US"/>
        </w:rPr>
        <w:t>ния элементов точного земледелия в производство продукции ра</w:t>
      </w:r>
      <w:r w:rsidRPr="00724342">
        <w:rPr>
          <w:rFonts w:eastAsiaTheme="minorHAnsi"/>
          <w:sz w:val="22"/>
          <w:szCs w:val="22"/>
          <w:lang w:eastAsia="en-US"/>
        </w:rPr>
        <w:t>с</w:t>
      </w:r>
      <w:r w:rsidRPr="00724342">
        <w:rPr>
          <w:rFonts w:eastAsiaTheme="minorHAnsi"/>
          <w:sz w:val="22"/>
          <w:szCs w:val="22"/>
          <w:lang w:eastAsia="en-US"/>
        </w:rPr>
        <w:t>тениеводства / А. Р. Сайфетдинов, А. И. Больбат // Сб. ст. Межд</w:t>
      </w:r>
      <w:r w:rsidRPr="00724342">
        <w:rPr>
          <w:rFonts w:eastAsiaTheme="minorHAnsi"/>
          <w:sz w:val="22"/>
          <w:szCs w:val="22"/>
          <w:lang w:eastAsia="en-US"/>
        </w:rPr>
        <w:t>у</w:t>
      </w:r>
      <w:r w:rsidRPr="00724342">
        <w:rPr>
          <w:rFonts w:eastAsiaTheme="minorHAnsi"/>
          <w:sz w:val="22"/>
          <w:szCs w:val="22"/>
          <w:lang w:eastAsia="en-US"/>
        </w:rPr>
        <w:t>нар. науч.-практ. конф. «Факторы экономического роста: мировые тренды и российские реалии», Краснодар, ООО «Научный консул</w:t>
      </w:r>
      <w:r w:rsidRPr="00724342">
        <w:rPr>
          <w:rFonts w:eastAsiaTheme="minorHAnsi"/>
          <w:sz w:val="22"/>
          <w:szCs w:val="22"/>
          <w:lang w:eastAsia="en-US"/>
        </w:rPr>
        <w:t>ь</w:t>
      </w:r>
      <w:r w:rsidRPr="00724342">
        <w:rPr>
          <w:rFonts w:eastAsiaTheme="minorHAnsi"/>
          <w:sz w:val="22"/>
          <w:szCs w:val="22"/>
          <w:lang w:eastAsia="en-US"/>
        </w:rPr>
        <w:t>тант», 23 марта 2017 г. – с. 296–302.</w:t>
      </w:r>
    </w:p>
    <w:p w:rsidR="00724342" w:rsidRPr="00724342" w:rsidRDefault="00724342" w:rsidP="0010381E">
      <w:pPr>
        <w:ind w:firstLine="426"/>
        <w:jc w:val="both"/>
        <w:rPr>
          <w:rFonts w:eastAsiaTheme="minorHAnsi"/>
          <w:spacing w:val="-2"/>
          <w:sz w:val="22"/>
          <w:szCs w:val="22"/>
          <w:lang w:eastAsia="en-US"/>
        </w:rPr>
      </w:pPr>
      <w:r w:rsidRPr="00724342">
        <w:rPr>
          <w:sz w:val="22"/>
          <w:szCs w:val="22"/>
        </w:rPr>
        <w:t>3. Стратегия развития аграрной сферы экономики: проблемы и пути решения: Коллективная монография [Текст] / А. И. Алтухов [и др.]; под общ. ред. д-ра экон. наук, профессора А. И. Трубилина. – Краснодар : Просвещение-Юг, 2017. – 703 с.</w:t>
      </w:r>
    </w:p>
    <w:p w:rsidR="00724342" w:rsidRPr="00724342" w:rsidRDefault="00724342" w:rsidP="0010381E">
      <w:pPr>
        <w:ind w:firstLine="426"/>
        <w:jc w:val="both"/>
        <w:rPr>
          <w:rFonts w:eastAsiaTheme="minorHAnsi"/>
          <w:spacing w:val="-2"/>
          <w:sz w:val="22"/>
          <w:szCs w:val="22"/>
          <w:lang w:eastAsia="en-US"/>
        </w:rPr>
      </w:pPr>
      <w:r w:rsidRPr="00724342">
        <w:rPr>
          <w:rFonts w:eastAsiaTheme="minorHAnsi"/>
          <w:spacing w:val="-2"/>
          <w:sz w:val="22"/>
          <w:szCs w:val="22"/>
          <w:lang w:eastAsia="en-US"/>
        </w:rPr>
        <w:t>4. Тюпаков, К. Э. Экономическая оценка технологического ра</w:t>
      </w:r>
      <w:r w:rsidRPr="00724342">
        <w:rPr>
          <w:rFonts w:eastAsiaTheme="minorHAnsi"/>
          <w:spacing w:val="-2"/>
          <w:sz w:val="22"/>
          <w:szCs w:val="22"/>
          <w:lang w:eastAsia="en-US"/>
        </w:rPr>
        <w:t>з</w:t>
      </w:r>
      <w:r w:rsidRPr="00724342">
        <w:rPr>
          <w:rFonts w:eastAsiaTheme="minorHAnsi"/>
          <w:spacing w:val="-2"/>
          <w:sz w:val="22"/>
          <w:szCs w:val="22"/>
          <w:lang w:eastAsia="en-US"/>
        </w:rPr>
        <w:t>вития агропроизводства / К. Э. Тюпаков, Н. Р. Сайфетдинова // АПК: Экономика, управление. – 2011. – № 12. – С. 72–77.</w:t>
      </w:r>
    </w:p>
    <w:p w:rsidR="00724342" w:rsidRPr="00724342" w:rsidRDefault="00724342" w:rsidP="0010381E">
      <w:pPr>
        <w:ind w:firstLine="426"/>
        <w:jc w:val="both"/>
        <w:rPr>
          <w:rFonts w:eastAsiaTheme="minorHAnsi"/>
          <w:spacing w:val="-6"/>
          <w:sz w:val="22"/>
          <w:szCs w:val="22"/>
          <w:lang w:eastAsia="en-US"/>
        </w:rPr>
      </w:pPr>
      <w:r w:rsidRPr="00724342">
        <w:rPr>
          <w:rFonts w:eastAsiaTheme="minorHAnsi"/>
          <w:spacing w:val="-6"/>
          <w:sz w:val="22"/>
          <w:szCs w:val="22"/>
          <w:lang w:eastAsia="en-US"/>
        </w:rPr>
        <w:t>5. Тюпаков, К. Э. Факторы стоимости производства озимой пшен</w:t>
      </w:r>
      <w:r w:rsidRPr="00724342">
        <w:rPr>
          <w:rFonts w:eastAsiaTheme="minorHAnsi"/>
          <w:spacing w:val="-6"/>
          <w:sz w:val="22"/>
          <w:szCs w:val="22"/>
          <w:lang w:eastAsia="en-US"/>
        </w:rPr>
        <w:t>и</w:t>
      </w:r>
      <w:r w:rsidRPr="00724342">
        <w:rPr>
          <w:rFonts w:eastAsiaTheme="minorHAnsi"/>
          <w:spacing w:val="-6"/>
          <w:sz w:val="22"/>
          <w:szCs w:val="22"/>
          <w:lang w:eastAsia="en-US"/>
        </w:rPr>
        <w:t xml:space="preserve">цы в сельскохозяйственных организациях Краснодарского края / </w:t>
      </w:r>
      <w:r w:rsidRPr="00724342">
        <w:rPr>
          <w:rFonts w:eastAsiaTheme="minorHAnsi"/>
          <w:spacing w:val="-6"/>
          <w:sz w:val="22"/>
          <w:szCs w:val="22"/>
          <w:lang w:eastAsia="en-US"/>
        </w:rPr>
        <w:lastRenderedPageBreak/>
        <w:t>К. Э. Тюпаков, Н. Р. Сайфетдинова, А. Р. Сайфетдинов // Междунаро</w:t>
      </w:r>
      <w:r w:rsidRPr="00724342">
        <w:rPr>
          <w:rFonts w:eastAsiaTheme="minorHAnsi"/>
          <w:spacing w:val="-6"/>
          <w:sz w:val="22"/>
          <w:szCs w:val="22"/>
          <w:lang w:eastAsia="en-US"/>
        </w:rPr>
        <w:t>д</w:t>
      </w:r>
      <w:r w:rsidRPr="00724342">
        <w:rPr>
          <w:rFonts w:eastAsiaTheme="minorHAnsi"/>
          <w:spacing w:val="-6"/>
          <w:sz w:val="22"/>
          <w:szCs w:val="22"/>
          <w:lang w:eastAsia="en-US"/>
        </w:rPr>
        <w:t>ный научно-исследовательский журнал. – 2014. – № 4–3(23). – С. 73–76.</w:t>
      </w:r>
    </w:p>
    <w:p w:rsidR="00724342" w:rsidRPr="00724342" w:rsidRDefault="00724342" w:rsidP="0010381E">
      <w:pPr>
        <w:ind w:firstLine="426"/>
        <w:jc w:val="both"/>
        <w:rPr>
          <w:rFonts w:eastAsiaTheme="minorHAnsi"/>
          <w:sz w:val="22"/>
          <w:szCs w:val="22"/>
          <w:lang w:eastAsia="en-US"/>
        </w:rPr>
      </w:pPr>
      <w:r w:rsidRPr="00724342">
        <w:rPr>
          <w:rFonts w:eastAsiaTheme="minorHAnsi"/>
          <w:sz w:val="22"/>
          <w:szCs w:val="22"/>
          <w:lang w:eastAsia="en-US"/>
        </w:rPr>
        <w:t>6. Экономическая эффективность технико-технологической модернизации производства продукции растениеводства сельскох</w:t>
      </w:r>
      <w:r w:rsidRPr="00724342">
        <w:rPr>
          <w:rFonts w:eastAsiaTheme="minorHAnsi"/>
          <w:sz w:val="22"/>
          <w:szCs w:val="22"/>
          <w:lang w:eastAsia="en-US"/>
        </w:rPr>
        <w:t>о</w:t>
      </w:r>
      <w:r w:rsidRPr="00724342">
        <w:rPr>
          <w:rFonts w:eastAsiaTheme="minorHAnsi"/>
          <w:sz w:val="22"/>
          <w:szCs w:val="22"/>
          <w:lang w:eastAsia="en-US"/>
        </w:rPr>
        <w:t>зяйственных организаций : монография / Трубилин А. И. [и др.] – Краснодар : КубГАУ, 2017. – 302 с.</w:t>
      </w:r>
    </w:p>
    <w:p w:rsidR="00724342" w:rsidRPr="00724342" w:rsidRDefault="00724342" w:rsidP="0010381E">
      <w:pPr>
        <w:ind w:firstLine="426"/>
        <w:jc w:val="both"/>
        <w:rPr>
          <w:rFonts w:eastAsiaTheme="minorHAnsi"/>
          <w:sz w:val="22"/>
          <w:szCs w:val="22"/>
          <w:lang w:eastAsia="en-US"/>
        </w:rPr>
      </w:pPr>
    </w:p>
    <w:p w:rsidR="00724342" w:rsidRPr="00724342" w:rsidRDefault="00724342" w:rsidP="0010381E">
      <w:pPr>
        <w:ind w:firstLine="426"/>
        <w:jc w:val="both"/>
        <w:rPr>
          <w:rFonts w:eastAsiaTheme="minorHAnsi"/>
          <w:sz w:val="22"/>
          <w:szCs w:val="22"/>
          <w:lang w:eastAsia="en-US"/>
        </w:rPr>
      </w:pPr>
    </w:p>
    <w:p w:rsidR="00724342" w:rsidRPr="00724342" w:rsidRDefault="00724342" w:rsidP="00724342">
      <w:pPr>
        <w:widowControl w:val="0"/>
        <w:rPr>
          <w:rFonts w:eastAsia="Courier New"/>
          <w:color w:val="000000"/>
          <w:sz w:val="22"/>
          <w:szCs w:val="22"/>
          <w:lang w:eastAsia="en-US"/>
        </w:rPr>
      </w:pPr>
    </w:p>
    <w:p w:rsidR="00724342" w:rsidRPr="00724342" w:rsidRDefault="00724342" w:rsidP="00724342">
      <w:pPr>
        <w:widowControl w:val="0"/>
        <w:rPr>
          <w:rFonts w:eastAsia="Courier New"/>
          <w:color w:val="000000"/>
          <w:sz w:val="22"/>
          <w:szCs w:val="22"/>
          <w:lang w:eastAsia="en-US"/>
        </w:rPr>
      </w:pPr>
      <w:r w:rsidRPr="00724342">
        <w:rPr>
          <w:rFonts w:eastAsia="Courier New"/>
          <w:color w:val="000000"/>
          <w:sz w:val="22"/>
          <w:szCs w:val="22"/>
          <w:lang w:eastAsia="en-US"/>
        </w:rPr>
        <w:t>УДК 339.1:635:631.544(470+571)</w:t>
      </w:r>
    </w:p>
    <w:p w:rsidR="00724342" w:rsidRPr="00724342" w:rsidRDefault="00724342" w:rsidP="00724342">
      <w:pPr>
        <w:widowControl w:val="0"/>
        <w:rPr>
          <w:rFonts w:eastAsia="Courier New"/>
          <w:color w:val="000000"/>
          <w:sz w:val="22"/>
          <w:szCs w:val="22"/>
          <w:lang w:eastAsia="en-US"/>
        </w:rPr>
      </w:pPr>
    </w:p>
    <w:p w:rsidR="00724342" w:rsidRPr="00724342" w:rsidRDefault="00724342" w:rsidP="00724342">
      <w:pPr>
        <w:widowControl w:val="0"/>
        <w:jc w:val="center"/>
        <w:rPr>
          <w:rFonts w:eastAsia="Courier New"/>
          <w:b/>
          <w:color w:val="000000"/>
          <w:sz w:val="24"/>
          <w:szCs w:val="24"/>
          <w:lang w:eastAsia="en-US"/>
        </w:rPr>
      </w:pPr>
      <w:r w:rsidRPr="00724342">
        <w:rPr>
          <w:rFonts w:eastAsia="Courier New"/>
          <w:b/>
          <w:color w:val="000000"/>
          <w:sz w:val="24"/>
          <w:szCs w:val="24"/>
          <w:lang w:eastAsia="en-US"/>
        </w:rPr>
        <w:t>Анализ рынка овощей закрытого грунта в России</w:t>
      </w:r>
    </w:p>
    <w:p w:rsidR="00724342" w:rsidRPr="00724342" w:rsidRDefault="00724342" w:rsidP="00724342">
      <w:pPr>
        <w:widowControl w:val="0"/>
        <w:jc w:val="center"/>
        <w:rPr>
          <w:rFonts w:eastAsia="Courier New"/>
          <w:b/>
          <w:color w:val="000000"/>
          <w:sz w:val="24"/>
          <w:szCs w:val="24"/>
          <w:lang w:val="en-US" w:eastAsia="en-US"/>
        </w:rPr>
      </w:pPr>
      <w:r w:rsidRPr="00724342">
        <w:rPr>
          <w:rFonts w:eastAsia="Courier New"/>
          <w:b/>
          <w:color w:val="000000"/>
          <w:sz w:val="24"/>
          <w:szCs w:val="24"/>
          <w:lang w:val="en-US" w:eastAsia="en-US"/>
        </w:rPr>
        <w:t>The analysis of the market of vegetables of the closed ground in Russia</w:t>
      </w:r>
    </w:p>
    <w:p w:rsidR="00724342" w:rsidRPr="00724342" w:rsidRDefault="00724342" w:rsidP="00724342">
      <w:pPr>
        <w:widowControl w:val="0"/>
        <w:jc w:val="center"/>
        <w:rPr>
          <w:rFonts w:eastAsia="Courier New"/>
          <w:b/>
          <w:color w:val="000000"/>
          <w:sz w:val="24"/>
          <w:szCs w:val="24"/>
          <w:lang w:val="en-US" w:eastAsia="en-US"/>
        </w:rPr>
      </w:pP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Стринадкин С. Н.,</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магистрант 2-го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w:t>
      </w:r>
      <w:r w:rsidRPr="00724342">
        <w:t xml:space="preserve"> </w:t>
      </w:r>
      <w:r w:rsidRPr="00724342">
        <w:rPr>
          <w:rFonts w:eastAsia="Courier New"/>
          <w:color w:val="000000"/>
          <w:sz w:val="22"/>
          <w:szCs w:val="22"/>
          <w:lang w:eastAsia="en-US"/>
        </w:rPr>
        <w:t>А.</w:t>
      </w:r>
      <w:r w:rsidR="0010381E">
        <w:rPr>
          <w:rFonts w:eastAsia="Courier New"/>
          <w:color w:val="000000"/>
          <w:sz w:val="22"/>
          <w:szCs w:val="22"/>
          <w:lang w:eastAsia="en-US"/>
        </w:rPr>
        <w:t xml:space="preserve"> </w:t>
      </w:r>
      <w:r w:rsidRPr="00724342">
        <w:rPr>
          <w:rFonts w:eastAsia="Courier New"/>
          <w:color w:val="000000"/>
          <w:sz w:val="22"/>
          <w:szCs w:val="22"/>
          <w:lang w:eastAsia="en-US"/>
        </w:rPr>
        <w:t>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widowControl w:val="0"/>
        <w:tabs>
          <w:tab w:val="left" w:pos="8223"/>
        </w:tabs>
        <w:jc w:val="right"/>
        <w:rPr>
          <w:rFonts w:eastAsia="Courier New"/>
          <w:color w:val="000000"/>
          <w:sz w:val="22"/>
          <w:szCs w:val="22"/>
          <w:lang w:eastAsia="en-US"/>
        </w:rPr>
      </w:pPr>
    </w:p>
    <w:p w:rsidR="00724342" w:rsidRPr="00724342" w:rsidRDefault="00724342" w:rsidP="00D15DEA">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АННОТАЦИЯ: Собрана информация о текущем объеме прои</w:t>
      </w:r>
      <w:r w:rsidRPr="00724342">
        <w:rPr>
          <w:rFonts w:eastAsia="Courier New"/>
          <w:color w:val="000000"/>
          <w:sz w:val="22"/>
          <w:szCs w:val="22"/>
          <w:lang w:eastAsia="en-US"/>
        </w:rPr>
        <w:t>з</w:t>
      </w:r>
      <w:r w:rsidRPr="00724342">
        <w:rPr>
          <w:rFonts w:eastAsia="Courier New"/>
          <w:color w:val="000000"/>
          <w:sz w:val="22"/>
          <w:szCs w:val="22"/>
          <w:lang w:eastAsia="en-US"/>
        </w:rPr>
        <w:t>водства овощей закрытого грунта в России. Выявлена устойчивая тенденция к увеличению объемов производства такой продукции за счет государственной поддержки отрасли.</w:t>
      </w:r>
    </w:p>
    <w:p w:rsidR="00724342" w:rsidRPr="00724342" w:rsidRDefault="00724342" w:rsidP="00D15DEA">
      <w:pPr>
        <w:widowControl w:val="0"/>
        <w:tabs>
          <w:tab w:val="left" w:pos="8223"/>
        </w:tabs>
        <w:ind w:firstLine="426"/>
        <w:jc w:val="both"/>
        <w:rPr>
          <w:rFonts w:ascii="Tahoma" w:eastAsia="Courier New" w:hAnsi="Tahoma" w:cs="Tahoma"/>
          <w:color w:val="000000"/>
          <w:sz w:val="22"/>
          <w:szCs w:val="22"/>
          <w:shd w:val="clear" w:color="auto" w:fill="FFFFFF"/>
          <w:lang w:val="en-US" w:eastAsia="en-US"/>
        </w:rPr>
      </w:pPr>
      <w:r w:rsidRPr="00724342">
        <w:rPr>
          <w:rFonts w:eastAsia="Courier New"/>
          <w:color w:val="000000"/>
          <w:sz w:val="22"/>
          <w:szCs w:val="22"/>
          <w:lang w:val="en-US" w:eastAsia="en-US"/>
        </w:rPr>
        <w:t>ABSTRACT:</w:t>
      </w:r>
      <w:r w:rsidRPr="00724342">
        <w:rPr>
          <w:rFonts w:ascii="Courier New" w:eastAsia="Courier New" w:hAnsi="Courier New" w:cs="Courier New"/>
          <w:color w:val="000000"/>
          <w:sz w:val="22"/>
          <w:szCs w:val="22"/>
          <w:shd w:val="clear" w:color="auto" w:fill="FFFFFF"/>
          <w:lang w:val="en-US" w:eastAsia="en-US"/>
        </w:rPr>
        <w:t xml:space="preserve"> </w:t>
      </w:r>
      <w:r w:rsidRPr="00724342">
        <w:rPr>
          <w:rFonts w:eastAsia="Courier New"/>
          <w:color w:val="000000"/>
          <w:sz w:val="22"/>
          <w:szCs w:val="22"/>
          <w:shd w:val="clear" w:color="auto" w:fill="FFFFFF"/>
          <w:lang w:val="en-US" w:eastAsia="en-US"/>
        </w:rPr>
        <w:t>The information on current production of vegetables of the closed ground in Russia is collected. A steady tendency to increase the volume of production of such products has been revealed.</w:t>
      </w:r>
    </w:p>
    <w:p w:rsidR="00724342" w:rsidRPr="00724342" w:rsidRDefault="00724342" w:rsidP="00D15DEA">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КЛЮЧЕВЫЕ СЛОВА: овощеводство, импортозамещение, и</w:t>
      </w:r>
      <w:r w:rsidRPr="00724342">
        <w:rPr>
          <w:rFonts w:eastAsia="Courier New"/>
          <w:color w:val="000000"/>
          <w:sz w:val="22"/>
          <w:szCs w:val="22"/>
          <w:lang w:eastAsia="en-US"/>
        </w:rPr>
        <w:t>н</w:t>
      </w:r>
      <w:r w:rsidRPr="00724342">
        <w:rPr>
          <w:rFonts w:eastAsia="Courier New"/>
          <w:color w:val="000000"/>
          <w:sz w:val="22"/>
          <w:szCs w:val="22"/>
          <w:lang w:eastAsia="en-US"/>
        </w:rPr>
        <w:t>вестиционная активность, тепличное производство</w:t>
      </w:r>
    </w:p>
    <w:p w:rsidR="00724342" w:rsidRPr="00724342" w:rsidRDefault="00724342" w:rsidP="00D15DEA">
      <w:pPr>
        <w:widowControl w:val="0"/>
        <w:tabs>
          <w:tab w:val="left" w:pos="8223"/>
        </w:tabs>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KEYWORDS:</w:t>
      </w:r>
      <w:r w:rsidRPr="00724342">
        <w:rPr>
          <w:rFonts w:eastAsia="Courier New"/>
          <w:color w:val="000000"/>
          <w:sz w:val="22"/>
          <w:szCs w:val="22"/>
          <w:shd w:val="clear" w:color="auto" w:fill="FFFFFF"/>
          <w:lang w:val="en-US" w:eastAsia="en-US"/>
        </w:rPr>
        <w:t xml:space="preserve"> vegetable growing, import substitution, investment activity, greenhouse production</w:t>
      </w:r>
    </w:p>
    <w:p w:rsidR="00724342" w:rsidRPr="00724342" w:rsidRDefault="00724342" w:rsidP="00D15DEA">
      <w:pPr>
        <w:widowControl w:val="0"/>
        <w:tabs>
          <w:tab w:val="left" w:pos="8223"/>
        </w:tabs>
        <w:ind w:firstLine="426"/>
        <w:jc w:val="both"/>
        <w:rPr>
          <w:rFonts w:eastAsia="Courier New"/>
          <w:color w:val="000000"/>
          <w:sz w:val="22"/>
          <w:szCs w:val="22"/>
          <w:lang w:val="en-US" w:eastAsia="en-US"/>
        </w:rPr>
      </w:pP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Сегодня развитие тепличного овощеводства – один из приор</w:t>
      </w:r>
      <w:r w:rsidRPr="00724342">
        <w:rPr>
          <w:rFonts w:eastAsia="Courier New"/>
          <w:color w:val="000000"/>
          <w:sz w:val="22"/>
          <w:szCs w:val="22"/>
          <w:lang w:eastAsia="en-US"/>
        </w:rPr>
        <w:t>и</w:t>
      </w:r>
      <w:r w:rsidRPr="00724342">
        <w:rPr>
          <w:rFonts w:eastAsia="Courier New"/>
          <w:color w:val="000000"/>
          <w:sz w:val="22"/>
          <w:szCs w:val="22"/>
          <w:lang w:eastAsia="en-US"/>
        </w:rPr>
        <w:t xml:space="preserve">тетов государственной политики в сельском хозяйстве, особенно в </w:t>
      </w:r>
      <w:r w:rsidRPr="00724342">
        <w:rPr>
          <w:rFonts w:eastAsia="Courier New"/>
          <w:color w:val="000000"/>
          <w:sz w:val="22"/>
          <w:szCs w:val="22"/>
          <w:lang w:eastAsia="en-US"/>
        </w:rPr>
        <w:lastRenderedPageBreak/>
        <w:t>условиях активного процесса импортозамещения. За три года и</w:t>
      </w:r>
      <w:r w:rsidRPr="00724342">
        <w:rPr>
          <w:rFonts w:eastAsia="Courier New"/>
          <w:color w:val="000000"/>
          <w:sz w:val="22"/>
          <w:szCs w:val="22"/>
          <w:lang w:eastAsia="en-US"/>
        </w:rPr>
        <w:t>м</w:t>
      </w:r>
      <w:r w:rsidRPr="00724342">
        <w:rPr>
          <w:rFonts w:eastAsia="Courier New"/>
          <w:color w:val="000000"/>
          <w:sz w:val="22"/>
          <w:szCs w:val="22"/>
          <w:lang w:eastAsia="en-US"/>
        </w:rPr>
        <w:t>порт овощей в РФ сократился более чем в два раза – с 2,4 млн тонн в 2014 г. до 1,1 млн тонн в 2016 году.</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По данным Министерства сельского хозяйства Российской Ф</w:t>
      </w:r>
      <w:r w:rsidRPr="00724342">
        <w:rPr>
          <w:rFonts w:eastAsia="Courier New"/>
          <w:color w:val="000000"/>
          <w:sz w:val="22"/>
          <w:szCs w:val="22"/>
          <w:lang w:eastAsia="en-US"/>
        </w:rPr>
        <w:t>е</w:t>
      </w:r>
      <w:r w:rsidRPr="00724342">
        <w:rPr>
          <w:rFonts w:eastAsia="Courier New"/>
          <w:color w:val="000000"/>
          <w:sz w:val="22"/>
          <w:szCs w:val="22"/>
          <w:lang w:eastAsia="en-US"/>
        </w:rPr>
        <w:t>дерации к концу 2017 г. в целом по России было отмечено рекор</w:t>
      </w:r>
      <w:r w:rsidRPr="00724342">
        <w:rPr>
          <w:rFonts w:eastAsia="Courier New"/>
          <w:color w:val="000000"/>
          <w:sz w:val="22"/>
          <w:szCs w:val="22"/>
          <w:lang w:eastAsia="en-US"/>
        </w:rPr>
        <w:t>д</w:t>
      </w:r>
      <w:r w:rsidRPr="00724342">
        <w:rPr>
          <w:rFonts w:eastAsia="Courier New"/>
          <w:color w:val="000000"/>
          <w:sz w:val="22"/>
          <w:szCs w:val="22"/>
          <w:lang w:eastAsia="en-US"/>
        </w:rPr>
        <w:t>ное увеличение сбора овощей с закрытого грунта. По итогам года было собрано 952,6 тыс. тонн тепличных овощей, что на 17 % больше, чем в 2016 г. и на 34,2 % больше уровня 2015 г. При этом валовый сбор овощных культур открытого грунта остался примерно на прошлогоднем уровне [4].</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Представители отраслевых ассоциаций объясняют рост валов</w:t>
      </w:r>
      <w:r w:rsidRPr="00724342">
        <w:rPr>
          <w:rFonts w:eastAsia="Courier New"/>
          <w:color w:val="000000"/>
          <w:sz w:val="22"/>
          <w:szCs w:val="22"/>
          <w:lang w:eastAsia="en-US"/>
        </w:rPr>
        <w:t>о</w:t>
      </w:r>
      <w:r w:rsidRPr="00724342">
        <w:rPr>
          <w:rFonts w:eastAsia="Courier New"/>
          <w:color w:val="000000"/>
          <w:sz w:val="22"/>
          <w:szCs w:val="22"/>
          <w:lang w:eastAsia="en-US"/>
        </w:rPr>
        <w:t>го сбора в частности наличием господдержки строительства те</w:t>
      </w:r>
      <w:r w:rsidRPr="00724342">
        <w:rPr>
          <w:rFonts w:eastAsia="Courier New"/>
          <w:color w:val="000000"/>
          <w:sz w:val="22"/>
          <w:szCs w:val="22"/>
          <w:lang w:eastAsia="en-US"/>
        </w:rPr>
        <w:t>п</w:t>
      </w:r>
      <w:r w:rsidRPr="00724342">
        <w:rPr>
          <w:rFonts w:eastAsia="Courier New"/>
          <w:color w:val="000000"/>
          <w:sz w:val="22"/>
          <w:szCs w:val="22"/>
          <w:lang w:eastAsia="en-US"/>
        </w:rPr>
        <w:t>личных комплексов. Они считают, что такая тенденция будет пр</w:t>
      </w:r>
      <w:r w:rsidRPr="00724342">
        <w:rPr>
          <w:rFonts w:eastAsia="Courier New"/>
          <w:color w:val="000000"/>
          <w:sz w:val="22"/>
          <w:szCs w:val="22"/>
          <w:lang w:eastAsia="en-US"/>
        </w:rPr>
        <w:t>о</w:t>
      </w:r>
      <w:r w:rsidRPr="00724342">
        <w:rPr>
          <w:rFonts w:eastAsia="Courier New"/>
          <w:color w:val="000000"/>
          <w:sz w:val="22"/>
          <w:szCs w:val="22"/>
          <w:lang w:eastAsia="en-US"/>
        </w:rPr>
        <w:t>должаться и может привести к тому, что через три года доля импо</w:t>
      </w:r>
      <w:r w:rsidRPr="00724342">
        <w:rPr>
          <w:rFonts w:eastAsia="Courier New"/>
          <w:color w:val="000000"/>
          <w:sz w:val="22"/>
          <w:szCs w:val="22"/>
          <w:lang w:eastAsia="en-US"/>
        </w:rPr>
        <w:t>р</w:t>
      </w:r>
      <w:r w:rsidRPr="00724342">
        <w:rPr>
          <w:rFonts w:eastAsia="Courier New"/>
          <w:color w:val="000000"/>
          <w:sz w:val="22"/>
          <w:szCs w:val="22"/>
          <w:lang w:eastAsia="en-US"/>
        </w:rPr>
        <w:t>та продукции закрытого грунта снизится в пять раз.</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Для стимулирования инвестиционной активности в данном направлении государством реализуется целый комплекс мер по</w:t>
      </w:r>
      <w:r w:rsidRPr="00724342">
        <w:rPr>
          <w:rFonts w:eastAsia="Courier New"/>
          <w:color w:val="000000"/>
          <w:sz w:val="22"/>
          <w:szCs w:val="22"/>
          <w:lang w:eastAsia="en-US"/>
        </w:rPr>
        <w:t>д</w:t>
      </w:r>
      <w:r w:rsidRPr="00724342">
        <w:rPr>
          <w:rFonts w:eastAsia="Courier New"/>
          <w:color w:val="000000"/>
          <w:sz w:val="22"/>
          <w:szCs w:val="22"/>
          <w:lang w:eastAsia="en-US"/>
        </w:rPr>
        <w:t>держки аграрного сектора [1]. Самой эффективной среди них для малого и среднего бизнеса является компенсация инвестиционных затрат на строительство новых тепличных комплексов с совреме</w:t>
      </w:r>
      <w:r w:rsidRPr="00724342">
        <w:rPr>
          <w:rFonts w:eastAsia="Courier New"/>
          <w:color w:val="000000"/>
          <w:sz w:val="22"/>
          <w:szCs w:val="22"/>
          <w:lang w:eastAsia="en-US"/>
        </w:rPr>
        <w:t>н</w:t>
      </w:r>
      <w:r w:rsidRPr="00724342">
        <w:rPr>
          <w:rFonts w:eastAsia="Courier New"/>
          <w:color w:val="000000"/>
          <w:sz w:val="22"/>
          <w:szCs w:val="22"/>
          <w:lang w:eastAsia="en-US"/>
        </w:rPr>
        <w:t>ными технологиями овощеводства. Размер субсидии составляет до 20 % от общей суммы инвестиционных затрат. За период 2015-2017 гг. комиссией Минсельхоза отобрано 56 инвестиционных пр</w:t>
      </w:r>
      <w:r w:rsidRPr="00724342">
        <w:rPr>
          <w:rFonts w:eastAsia="Courier New"/>
          <w:color w:val="000000"/>
          <w:sz w:val="22"/>
          <w:szCs w:val="22"/>
          <w:lang w:eastAsia="en-US"/>
        </w:rPr>
        <w:t>о</w:t>
      </w:r>
      <w:r w:rsidRPr="00724342">
        <w:rPr>
          <w:rFonts w:eastAsia="Courier New"/>
          <w:color w:val="000000"/>
          <w:sz w:val="22"/>
          <w:szCs w:val="22"/>
          <w:lang w:eastAsia="en-US"/>
        </w:rPr>
        <w:t>ектов строительства тепличных комплексов общей площадью 439,7 га, сумма инвестиций при этом составила  69 млрд рублей.</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В период 2016-2017 гг. в РФ активно велось строительство те</w:t>
      </w:r>
      <w:r w:rsidRPr="00724342">
        <w:rPr>
          <w:rFonts w:eastAsia="Courier New"/>
          <w:color w:val="000000"/>
          <w:sz w:val="22"/>
          <w:szCs w:val="22"/>
          <w:lang w:eastAsia="en-US"/>
        </w:rPr>
        <w:t>п</w:t>
      </w:r>
      <w:r w:rsidRPr="00724342">
        <w:rPr>
          <w:rFonts w:eastAsia="Courier New"/>
          <w:color w:val="000000"/>
          <w:sz w:val="22"/>
          <w:szCs w:val="22"/>
          <w:lang w:eastAsia="en-US"/>
        </w:rPr>
        <w:t>лиц. Общая площадь новых тепличных комплексов составила 170 га [1]. Предполагается, что до конца текущего года тепличные соор</w:t>
      </w:r>
      <w:r w:rsidRPr="00724342">
        <w:rPr>
          <w:rFonts w:eastAsia="Courier New"/>
          <w:color w:val="000000"/>
          <w:sz w:val="22"/>
          <w:szCs w:val="22"/>
          <w:lang w:eastAsia="en-US"/>
        </w:rPr>
        <w:t>у</w:t>
      </w:r>
      <w:r w:rsidRPr="00724342">
        <w:rPr>
          <w:rFonts w:eastAsia="Courier New"/>
          <w:color w:val="000000"/>
          <w:sz w:val="22"/>
          <w:szCs w:val="22"/>
          <w:lang w:eastAsia="en-US"/>
        </w:rPr>
        <w:t>жения будут построены еще на 280 га. Большую их часть введут в эксплуатацию в ноябре-декабре, поэтому собирать овощи в них можно будет лишь в следующем сезоне, – сообщила на одном из интервью генеральный директор ассоциации «Теплицы России» Наталия Рогова [5].</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Помимо этого, государство предоставляет производителям овощей возможность оформлять льготные кредиты. Это, безусло</w:t>
      </w:r>
      <w:r w:rsidRPr="00724342">
        <w:rPr>
          <w:rFonts w:eastAsia="Courier New"/>
          <w:color w:val="000000"/>
          <w:sz w:val="22"/>
          <w:szCs w:val="22"/>
          <w:lang w:eastAsia="en-US"/>
        </w:rPr>
        <w:t>в</w:t>
      </w:r>
      <w:r w:rsidRPr="00724342">
        <w:rPr>
          <w:rFonts w:eastAsia="Courier New"/>
          <w:color w:val="000000"/>
          <w:sz w:val="22"/>
          <w:szCs w:val="22"/>
          <w:lang w:eastAsia="en-US"/>
        </w:rPr>
        <w:t>но, повышает инвестиционную привлекательность отрасли и сп</w:t>
      </w:r>
      <w:r w:rsidRPr="00724342">
        <w:rPr>
          <w:rFonts w:eastAsia="Courier New"/>
          <w:color w:val="000000"/>
          <w:sz w:val="22"/>
          <w:szCs w:val="22"/>
          <w:lang w:eastAsia="en-US"/>
        </w:rPr>
        <w:t>о</w:t>
      </w:r>
      <w:r w:rsidRPr="00724342">
        <w:rPr>
          <w:rFonts w:eastAsia="Courier New"/>
          <w:color w:val="000000"/>
          <w:sz w:val="22"/>
          <w:szCs w:val="22"/>
          <w:lang w:eastAsia="en-US"/>
        </w:rPr>
        <w:t xml:space="preserve">собствует росту производства отечественной тепличной продукции. Однако проблема обеспечения россиян отечественной тепличной </w:t>
      </w:r>
      <w:r w:rsidRPr="00724342">
        <w:rPr>
          <w:rFonts w:eastAsia="Courier New"/>
          <w:color w:val="000000"/>
          <w:sz w:val="22"/>
          <w:szCs w:val="22"/>
          <w:lang w:eastAsia="en-US"/>
        </w:rPr>
        <w:lastRenderedPageBreak/>
        <w:t>продукцией не решена. По данным Министерства сельского хозя</w:t>
      </w:r>
      <w:r w:rsidRPr="00724342">
        <w:rPr>
          <w:rFonts w:eastAsia="Courier New"/>
          <w:color w:val="000000"/>
          <w:sz w:val="22"/>
          <w:szCs w:val="22"/>
          <w:lang w:eastAsia="en-US"/>
        </w:rPr>
        <w:t>й</w:t>
      </w:r>
      <w:r w:rsidRPr="00724342">
        <w:rPr>
          <w:rFonts w:eastAsia="Courier New"/>
          <w:color w:val="000000"/>
          <w:sz w:val="22"/>
          <w:szCs w:val="22"/>
          <w:lang w:eastAsia="en-US"/>
        </w:rPr>
        <w:t>ства уровень обеспеченности России тепличными овощами в 2016 г. составил всего 46,3 %. Хотя это на 5,9 процентного пункта выше уровня 2015 г. и в  2017 г. тенденция роста сохранилась в этих же пределах, следует активнее развивать данное направление бизнеса [6].</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По прогнозам ассоциации «Теплицы России» рост произво</w:t>
      </w:r>
      <w:r w:rsidRPr="00724342">
        <w:rPr>
          <w:rFonts w:eastAsia="Courier New"/>
          <w:color w:val="000000"/>
          <w:sz w:val="22"/>
          <w:szCs w:val="22"/>
          <w:lang w:eastAsia="en-US"/>
        </w:rPr>
        <w:t>д</w:t>
      </w:r>
      <w:r w:rsidRPr="00724342">
        <w:rPr>
          <w:rFonts w:eastAsia="Courier New"/>
          <w:color w:val="000000"/>
          <w:sz w:val="22"/>
          <w:szCs w:val="22"/>
          <w:lang w:eastAsia="en-US"/>
        </w:rPr>
        <w:t>ства должен будет продолжаться, поскольку тепличному овощево</w:t>
      </w:r>
      <w:r w:rsidRPr="00724342">
        <w:rPr>
          <w:rFonts w:eastAsia="Courier New"/>
          <w:color w:val="000000"/>
          <w:sz w:val="22"/>
          <w:szCs w:val="22"/>
          <w:lang w:eastAsia="en-US"/>
        </w:rPr>
        <w:t>д</w:t>
      </w:r>
      <w:r w:rsidRPr="00724342">
        <w:rPr>
          <w:rFonts w:eastAsia="Courier New"/>
          <w:color w:val="000000"/>
          <w:sz w:val="22"/>
          <w:szCs w:val="22"/>
          <w:lang w:eastAsia="en-US"/>
        </w:rPr>
        <w:t>ству в настоящий момент уделяют много внимания. Через три года объем импортных томатов и огурцов на российском рынке не будет превышать 10-15 %. Сейчас же мы производим только порядка 50 % томатов, а 50 % завозим из-за рубежа [3]. Доля отечественных огурцов несколько выше – 85 %. Кроме того, в теплицах сейчас в</w:t>
      </w:r>
      <w:r w:rsidRPr="00724342">
        <w:rPr>
          <w:rFonts w:eastAsia="Courier New"/>
          <w:color w:val="000000"/>
          <w:sz w:val="22"/>
          <w:szCs w:val="22"/>
          <w:lang w:eastAsia="en-US"/>
        </w:rPr>
        <w:t>ы</w:t>
      </w:r>
      <w:r w:rsidRPr="00724342">
        <w:rPr>
          <w:rFonts w:eastAsia="Courier New"/>
          <w:color w:val="000000"/>
          <w:sz w:val="22"/>
          <w:szCs w:val="22"/>
          <w:lang w:eastAsia="en-US"/>
        </w:rPr>
        <w:t>ращиваются и зеленные культуры, спрос на которые растет.</w:t>
      </w:r>
    </w:p>
    <w:p w:rsidR="00724342" w:rsidRPr="00724342" w:rsidRDefault="00724342" w:rsidP="00D15DEA">
      <w:pPr>
        <w:autoSpaceDE w:val="0"/>
        <w:autoSpaceDN w:val="0"/>
        <w:adjustRightInd w:val="0"/>
        <w:ind w:firstLine="426"/>
        <w:jc w:val="both"/>
        <w:rPr>
          <w:rFonts w:eastAsia="Courier New"/>
          <w:color w:val="000000"/>
          <w:sz w:val="22"/>
          <w:szCs w:val="22"/>
          <w:lang w:eastAsia="en-US"/>
        </w:rPr>
      </w:pPr>
      <w:r w:rsidRPr="00724342">
        <w:rPr>
          <w:rFonts w:eastAsia="Courier New"/>
          <w:color w:val="000000"/>
          <w:sz w:val="22"/>
          <w:szCs w:val="22"/>
          <w:lang w:eastAsia="en-US"/>
        </w:rPr>
        <w:t>Одним из важнейших факторов, сдерживающих потребител</w:t>
      </w:r>
      <w:r w:rsidRPr="00724342">
        <w:rPr>
          <w:rFonts w:eastAsia="Courier New"/>
          <w:color w:val="000000"/>
          <w:sz w:val="22"/>
          <w:szCs w:val="22"/>
          <w:lang w:eastAsia="en-US"/>
        </w:rPr>
        <w:t>ь</w:t>
      </w:r>
      <w:r w:rsidRPr="00724342">
        <w:rPr>
          <w:rFonts w:eastAsia="Courier New"/>
          <w:color w:val="000000"/>
          <w:sz w:val="22"/>
          <w:szCs w:val="22"/>
          <w:lang w:eastAsia="en-US"/>
        </w:rPr>
        <w:t>ский спрос, является достаточно высокая цена тепличных овощей. Рост производства отечественной продукции должен поспособств</w:t>
      </w:r>
      <w:r w:rsidRPr="00724342">
        <w:rPr>
          <w:rFonts w:eastAsia="Courier New"/>
          <w:color w:val="000000"/>
          <w:sz w:val="22"/>
          <w:szCs w:val="22"/>
          <w:lang w:eastAsia="en-US"/>
        </w:rPr>
        <w:t>о</w:t>
      </w:r>
      <w:r w:rsidRPr="00724342">
        <w:rPr>
          <w:rFonts w:eastAsia="Courier New"/>
          <w:color w:val="000000"/>
          <w:sz w:val="22"/>
          <w:szCs w:val="22"/>
          <w:lang w:eastAsia="en-US"/>
        </w:rPr>
        <w:t>вать снижению средней потребительской цены за счет того, что местная продукция практически не зависит от курса иностранной валюты, импортных составляющих в производственном цикле п</w:t>
      </w:r>
      <w:r w:rsidRPr="00724342">
        <w:rPr>
          <w:rFonts w:eastAsia="Courier New"/>
          <w:color w:val="000000"/>
          <w:sz w:val="22"/>
          <w:szCs w:val="22"/>
          <w:lang w:eastAsia="en-US"/>
        </w:rPr>
        <w:t>о</w:t>
      </w:r>
      <w:r w:rsidRPr="00724342">
        <w:rPr>
          <w:rFonts w:eastAsia="Courier New"/>
          <w:color w:val="000000"/>
          <w:sz w:val="22"/>
          <w:szCs w:val="22"/>
          <w:lang w:eastAsia="en-US"/>
        </w:rPr>
        <w:t>чти не используется, за исключением некоторых удобрений.</w:t>
      </w:r>
    </w:p>
    <w:p w:rsidR="00724342" w:rsidRPr="00724342" w:rsidRDefault="00724342" w:rsidP="00D15DEA">
      <w:pPr>
        <w:widowControl w:val="0"/>
        <w:autoSpaceDE w:val="0"/>
        <w:autoSpaceDN w:val="0"/>
        <w:adjustRightInd w:val="0"/>
        <w:ind w:firstLine="426"/>
        <w:jc w:val="center"/>
        <w:rPr>
          <w:rFonts w:eastAsia="Calibri" w:cs="Arial"/>
          <w:color w:val="000000"/>
          <w:sz w:val="22"/>
          <w:szCs w:val="22"/>
          <w:lang w:eastAsia="en-US"/>
        </w:rPr>
      </w:pPr>
    </w:p>
    <w:p w:rsidR="00724342" w:rsidRPr="00724342" w:rsidRDefault="00724342" w:rsidP="00D15DEA">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D15DEA">
      <w:pPr>
        <w:shd w:val="clear" w:color="auto" w:fill="FFFFFF"/>
        <w:tabs>
          <w:tab w:val="left" w:pos="709"/>
        </w:tabs>
        <w:ind w:firstLine="426"/>
        <w:contextualSpacing/>
        <w:jc w:val="both"/>
        <w:rPr>
          <w:rFonts w:eastAsia="Calibri"/>
          <w:sz w:val="22"/>
          <w:szCs w:val="22"/>
          <w:lang w:eastAsia="en-US"/>
        </w:rPr>
      </w:pPr>
      <w:r w:rsidRPr="00724342">
        <w:rPr>
          <w:rFonts w:eastAsia="Calibri"/>
          <w:sz w:val="22"/>
          <w:szCs w:val="22"/>
          <w:lang w:eastAsia="en-US"/>
        </w:rPr>
        <w:t>1. Пелихов Я. В. Инвестиционная деятельность в аграрном се</w:t>
      </w:r>
      <w:r w:rsidRPr="00724342">
        <w:rPr>
          <w:rFonts w:eastAsia="Calibri"/>
          <w:sz w:val="22"/>
          <w:szCs w:val="22"/>
          <w:lang w:eastAsia="en-US"/>
        </w:rPr>
        <w:t>к</w:t>
      </w:r>
      <w:r w:rsidRPr="00724342">
        <w:rPr>
          <w:rFonts w:eastAsia="Calibri"/>
          <w:sz w:val="22"/>
          <w:szCs w:val="22"/>
          <w:lang w:eastAsia="en-US"/>
        </w:rPr>
        <w:t xml:space="preserve">торе экономики / Я. В. Пелихов, </w:t>
      </w:r>
      <w:hyperlink r:id="rId326" w:history="1">
        <w:r w:rsidRPr="00724342">
          <w:rPr>
            <w:rFonts w:eastAsia="Calibri"/>
            <w:sz w:val="22"/>
            <w:szCs w:val="22"/>
            <w:lang w:eastAsia="en-US"/>
          </w:rPr>
          <w:t>Г. Н. Литвиненко</w:t>
        </w:r>
      </w:hyperlink>
      <w:r w:rsidRPr="00724342">
        <w:rPr>
          <w:rFonts w:eastAsia="Calibri"/>
          <w:sz w:val="22"/>
          <w:szCs w:val="22"/>
          <w:lang w:eastAsia="en-US"/>
        </w:rPr>
        <w:t> // Сб. ст. Межд</w:t>
      </w:r>
      <w:r w:rsidRPr="00724342">
        <w:rPr>
          <w:rFonts w:eastAsia="Calibri"/>
          <w:sz w:val="22"/>
          <w:szCs w:val="22"/>
          <w:lang w:eastAsia="en-US"/>
        </w:rPr>
        <w:t>у</w:t>
      </w:r>
      <w:r w:rsidRPr="00724342">
        <w:rPr>
          <w:rFonts w:eastAsia="Calibri"/>
          <w:sz w:val="22"/>
          <w:szCs w:val="22"/>
          <w:lang w:eastAsia="en-US"/>
        </w:rPr>
        <w:t>нар. науч.-практ. конф. «Роль банковского и реального сектора в решении проблем социально-экономического развития» -Уфа: Аэтерна, 2017. – С. 40-43. </w:t>
      </w:r>
    </w:p>
    <w:p w:rsidR="00724342" w:rsidRPr="00724342" w:rsidRDefault="00724342" w:rsidP="00D15DEA">
      <w:pPr>
        <w:tabs>
          <w:tab w:val="left" w:pos="709"/>
        </w:tabs>
        <w:autoSpaceDE w:val="0"/>
        <w:autoSpaceDN w:val="0"/>
        <w:adjustRightInd w:val="0"/>
        <w:spacing w:after="200"/>
        <w:ind w:firstLine="426"/>
        <w:contextualSpacing/>
        <w:jc w:val="both"/>
        <w:rPr>
          <w:rFonts w:eastAsia="Courier New"/>
          <w:color w:val="000000"/>
          <w:sz w:val="22"/>
          <w:szCs w:val="22"/>
          <w:lang w:eastAsia="en-US"/>
        </w:rPr>
      </w:pPr>
      <w:r w:rsidRPr="00724342">
        <w:rPr>
          <w:rFonts w:eastAsia="Courier New"/>
          <w:color w:val="000000"/>
          <w:sz w:val="22"/>
          <w:szCs w:val="22"/>
          <w:lang w:eastAsia="en-US"/>
        </w:rPr>
        <w:t>2. Соколова А. П. Перспективы развития регионального агра</w:t>
      </w:r>
      <w:r w:rsidRPr="00724342">
        <w:rPr>
          <w:rFonts w:eastAsia="Courier New"/>
          <w:color w:val="000000"/>
          <w:sz w:val="22"/>
          <w:szCs w:val="22"/>
          <w:lang w:eastAsia="en-US"/>
        </w:rPr>
        <w:t>р</w:t>
      </w:r>
      <w:r w:rsidRPr="00724342">
        <w:rPr>
          <w:rFonts w:eastAsia="Courier New"/>
          <w:color w:val="000000"/>
          <w:sz w:val="22"/>
          <w:szCs w:val="22"/>
          <w:lang w:eastAsia="en-US"/>
        </w:rPr>
        <w:t>ного бизнеса / А. П. Соколова, Е. И. Гилек, Д. В. Бондарева // Эк</w:t>
      </w:r>
      <w:r w:rsidRPr="00724342">
        <w:rPr>
          <w:rFonts w:eastAsia="Courier New"/>
          <w:color w:val="000000"/>
          <w:sz w:val="22"/>
          <w:szCs w:val="22"/>
          <w:lang w:eastAsia="en-US"/>
        </w:rPr>
        <w:t>о</w:t>
      </w:r>
      <w:r w:rsidRPr="00724342">
        <w:rPr>
          <w:rFonts w:eastAsia="Courier New"/>
          <w:color w:val="000000"/>
          <w:sz w:val="22"/>
          <w:szCs w:val="22"/>
          <w:lang w:eastAsia="en-US"/>
        </w:rPr>
        <w:t>номика и предпринимательство. № 7 (84), 2017. С. 295-301.</w:t>
      </w:r>
    </w:p>
    <w:p w:rsidR="00724342" w:rsidRPr="00724342" w:rsidRDefault="00724342" w:rsidP="00D15DEA">
      <w:pPr>
        <w:shd w:val="clear" w:color="auto" w:fill="FFFFFF"/>
        <w:tabs>
          <w:tab w:val="left" w:pos="0"/>
          <w:tab w:val="left" w:pos="709"/>
          <w:tab w:val="left" w:pos="993"/>
        </w:tabs>
        <w:ind w:firstLine="426"/>
        <w:contextualSpacing/>
        <w:jc w:val="both"/>
        <w:rPr>
          <w:rFonts w:eastAsia="Calibri"/>
          <w:sz w:val="22"/>
          <w:szCs w:val="22"/>
          <w:lang w:eastAsia="en-US"/>
        </w:rPr>
      </w:pPr>
      <w:r w:rsidRPr="00724342">
        <w:rPr>
          <w:rFonts w:eastAsia="Calibri"/>
          <w:sz w:val="22"/>
          <w:szCs w:val="22"/>
          <w:lang w:eastAsia="en-US"/>
        </w:rPr>
        <w:t>3. Соколова А. П. Управление рисками производственной де</w:t>
      </w:r>
      <w:r w:rsidRPr="00724342">
        <w:rPr>
          <w:rFonts w:eastAsia="Calibri"/>
          <w:sz w:val="22"/>
          <w:szCs w:val="22"/>
          <w:lang w:eastAsia="en-US"/>
        </w:rPr>
        <w:t>я</w:t>
      </w:r>
      <w:r w:rsidRPr="00724342">
        <w:rPr>
          <w:rFonts w:eastAsia="Calibr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 С. 241-250.</w:t>
      </w:r>
    </w:p>
    <w:p w:rsidR="00724342" w:rsidRPr="00724342" w:rsidRDefault="00724342" w:rsidP="00D15DEA">
      <w:pPr>
        <w:shd w:val="clear" w:color="auto" w:fill="FFFFFF"/>
        <w:tabs>
          <w:tab w:val="left" w:pos="0"/>
          <w:tab w:val="left" w:pos="709"/>
          <w:tab w:val="left" w:pos="1134"/>
          <w:tab w:val="left" w:pos="1276"/>
        </w:tabs>
        <w:ind w:firstLine="426"/>
        <w:contextualSpacing/>
        <w:jc w:val="both"/>
        <w:rPr>
          <w:rFonts w:eastAsia="Calibri"/>
          <w:sz w:val="22"/>
          <w:szCs w:val="22"/>
          <w:lang w:eastAsia="en-US"/>
        </w:rPr>
      </w:pPr>
      <w:r w:rsidRPr="00724342">
        <w:rPr>
          <w:rFonts w:eastAsia="Calibri"/>
          <w:color w:val="000000"/>
          <w:sz w:val="22"/>
          <w:szCs w:val="22"/>
          <w:shd w:val="clear" w:color="auto" w:fill="FFFFFF"/>
          <w:lang w:eastAsia="en-US"/>
        </w:rPr>
        <w:t>4. Сухарева О. А. Подходы к управлению реализацией инв</w:t>
      </w:r>
      <w:r w:rsidRPr="00724342">
        <w:rPr>
          <w:rFonts w:eastAsia="Calibri"/>
          <w:color w:val="000000"/>
          <w:sz w:val="22"/>
          <w:szCs w:val="22"/>
          <w:shd w:val="clear" w:color="auto" w:fill="FFFFFF"/>
          <w:lang w:eastAsia="en-US"/>
        </w:rPr>
        <w:t>е</w:t>
      </w:r>
      <w:r w:rsidRPr="00724342">
        <w:rPr>
          <w:rFonts w:eastAsia="Calibri"/>
          <w:color w:val="000000"/>
          <w:sz w:val="22"/>
          <w:szCs w:val="22"/>
          <w:shd w:val="clear" w:color="auto" w:fill="FFFFFF"/>
          <w:lang w:eastAsia="en-US"/>
        </w:rPr>
        <w:t xml:space="preserve">стиционного проекта в условиях неопределенности внешней среды / </w:t>
      </w:r>
      <w:r w:rsidRPr="00724342">
        <w:rPr>
          <w:rFonts w:eastAsia="Calibri"/>
          <w:color w:val="000000"/>
          <w:sz w:val="22"/>
          <w:szCs w:val="22"/>
          <w:shd w:val="clear" w:color="auto" w:fill="FFFFFF"/>
          <w:lang w:eastAsia="en-US"/>
        </w:rPr>
        <w:lastRenderedPageBreak/>
        <w:t>О. А. Сухарева, К. М. Малинник // Проблемы и перспективы экон</w:t>
      </w:r>
      <w:r w:rsidRPr="00724342">
        <w:rPr>
          <w:rFonts w:eastAsia="Calibri"/>
          <w:color w:val="000000"/>
          <w:sz w:val="22"/>
          <w:szCs w:val="22"/>
          <w:shd w:val="clear" w:color="auto" w:fill="FFFFFF"/>
          <w:lang w:eastAsia="en-US"/>
        </w:rPr>
        <w:t>о</w:t>
      </w:r>
      <w:r w:rsidRPr="00724342">
        <w:rPr>
          <w:rFonts w:eastAsia="Calibri"/>
          <w:color w:val="000000"/>
          <w:sz w:val="22"/>
          <w:szCs w:val="22"/>
          <w:shd w:val="clear" w:color="auto" w:fill="FFFFFF"/>
          <w:lang w:eastAsia="en-US"/>
        </w:rPr>
        <w:t>мических отношений на пространстве ЕАЭС: сб. ст. Междунар. науч.-практ. конф.. – Уфа, 2017. – С. 136-141.</w:t>
      </w:r>
    </w:p>
    <w:p w:rsidR="00724342" w:rsidRPr="00724342" w:rsidRDefault="00724342" w:rsidP="00D15DEA">
      <w:pPr>
        <w:widowControl w:val="0"/>
        <w:tabs>
          <w:tab w:val="left" w:pos="709"/>
        </w:tabs>
        <w:autoSpaceDE w:val="0"/>
        <w:autoSpaceDN w:val="0"/>
        <w:adjustRightInd w:val="0"/>
        <w:ind w:firstLine="426"/>
        <w:contextualSpacing/>
        <w:jc w:val="both"/>
        <w:rPr>
          <w:rFonts w:eastAsia="Calibri"/>
          <w:sz w:val="22"/>
          <w:szCs w:val="22"/>
          <w:lang w:eastAsia="en-US"/>
        </w:rPr>
      </w:pPr>
      <w:r w:rsidRPr="00724342">
        <w:rPr>
          <w:rFonts w:eastAsia="Calibri"/>
          <w:sz w:val="22"/>
          <w:szCs w:val="22"/>
          <w:lang w:eastAsia="en-US"/>
        </w:rPr>
        <w:t>5. Электронный ресурс: Сайт Ассоциации «Теплицы России» // Режим доступа: http://rusteplica.ru/</w:t>
      </w:r>
    </w:p>
    <w:p w:rsidR="00724342" w:rsidRPr="00724342" w:rsidRDefault="00724342" w:rsidP="00D15DEA">
      <w:pPr>
        <w:widowControl w:val="0"/>
        <w:tabs>
          <w:tab w:val="left" w:pos="709"/>
        </w:tabs>
        <w:autoSpaceDE w:val="0"/>
        <w:autoSpaceDN w:val="0"/>
        <w:adjustRightInd w:val="0"/>
        <w:ind w:firstLine="426"/>
        <w:contextualSpacing/>
        <w:jc w:val="both"/>
        <w:rPr>
          <w:rFonts w:eastAsia="Calibri"/>
          <w:sz w:val="22"/>
          <w:szCs w:val="22"/>
          <w:lang w:eastAsia="en-US"/>
        </w:rPr>
      </w:pPr>
      <w:r w:rsidRPr="00724342">
        <w:rPr>
          <w:rFonts w:eastAsia="Courier New"/>
          <w:bCs/>
          <w:sz w:val="22"/>
          <w:szCs w:val="22"/>
          <w:lang w:eastAsia="en-US"/>
        </w:rPr>
        <w:t>6. Электронный ресурс: Сайт Министерства сельского хозя</w:t>
      </w:r>
      <w:r w:rsidRPr="00724342">
        <w:rPr>
          <w:rFonts w:eastAsia="Courier New"/>
          <w:bCs/>
          <w:sz w:val="22"/>
          <w:szCs w:val="22"/>
          <w:lang w:eastAsia="en-US"/>
        </w:rPr>
        <w:t>й</w:t>
      </w:r>
      <w:r w:rsidRPr="00724342">
        <w:rPr>
          <w:rFonts w:eastAsia="Courier New"/>
          <w:bCs/>
          <w:sz w:val="22"/>
          <w:szCs w:val="22"/>
          <w:lang w:eastAsia="en-US"/>
        </w:rPr>
        <w:t>ства Российской Федерации // Режим доступа: http://mcx.ru/</w:t>
      </w:r>
    </w:p>
    <w:p w:rsidR="00724342" w:rsidRPr="00724342" w:rsidRDefault="00724342" w:rsidP="00724342">
      <w:pPr>
        <w:jc w:val="both"/>
        <w:rPr>
          <w:sz w:val="22"/>
          <w:szCs w:val="22"/>
        </w:rPr>
      </w:pPr>
    </w:p>
    <w:p w:rsidR="00724342" w:rsidRPr="00724342" w:rsidRDefault="00724342" w:rsidP="00724342">
      <w:pPr>
        <w:jc w:val="both"/>
        <w:rPr>
          <w:sz w:val="22"/>
          <w:szCs w:val="22"/>
        </w:rPr>
      </w:pPr>
    </w:p>
    <w:p w:rsidR="00724342" w:rsidRPr="00724342" w:rsidRDefault="00724342" w:rsidP="00724342">
      <w:pPr>
        <w:rPr>
          <w:rFonts w:eastAsiaTheme="minorHAnsi"/>
          <w:sz w:val="24"/>
          <w:szCs w:val="24"/>
          <w:lang w:eastAsia="en-US"/>
        </w:rPr>
      </w:pPr>
    </w:p>
    <w:p w:rsidR="00724342" w:rsidRPr="00D15DEA" w:rsidRDefault="00724342" w:rsidP="00724342">
      <w:pPr>
        <w:rPr>
          <w:rFonts w:eastAsiaTheme="minorHAnsi"/>
          <w:sz w:val="22"/>
          <w:szCs w:val="22"/>
          <w:lang w:eastAsia="en-US"/>
        </w:rPr>
      </w:pPr>
      <w:r w:rsidRPr="00D15DEA">
        <w:rPr>
          <w:rFonts w:eastAsiaTheme="minorHAnsi"/>
          <w:sz w:val="22"/>
          <w:szCs w:val="22"/>
          <w:lang w:eastAsia="en-US"/>
        </w:rPr>
        <w:t>УДК 338.47</w:t>
      </w:r>
    </w:p>
    <w:p w:rsidR="00724342" w:rsidRPr="00724342" w:rsidRDefault="00724342" w:rsidP="00724342">
      <w:pPr>
        <w:rPr>
          <w:rFonts w:eastAsiaTheme="minorHAnsi"/>
          <w:sz w:val="24"/>
          <w:szCs w:val="24"/>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Перспектива распространения технологии </w:t>
      </w: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Больших Данных в отрасли пассажирских авиаперевозок</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The prospect of Big Data technology distribution in passenger air transportation</w:t>
      </w:r>
    </w:p>
    <w:p w:rsidR="00724342" w:rsidRPr="00724342" w:rsidRDefault="00724342" w:rsidP="00724342">
      <w:pPr>
        <w:jc w:val="center"/>
        <w:rPr>
          <w:rFonts w:eastAsiaTheme="minorHAnsi"/>
          <w:sz w:val="24"/>
          <w:szCs w:val="24"/>
          <w:lang w:val="en-US" w:eastAsia="en-US"/>
        </w:rPr>
      </w:pP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Сурнина Ю. В.,</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студентка 1-го курса магистратуры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экономического факультета</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 xml:space="preserve">Кубанский государственный аграрный </w:t>
      </w:r>
    </w:p>
    <w:p w:rsidR="00724342" w:rsidRPr="00724342" w:rsidRDefault="00724342" w:rsidP="00724342">
      <w:pPr>
        <w:jc w:val="right"/>
        <w:rPr>
          <w:rFonts w:eastAsiaTheme="minorHAnsi"/>
          <w:sz w:val="22"/>
          <w:szCs w:val="22"/>
          <w:lang w:eastAsia="en-US"/>
        </w:rPr>
      </w:pPr>
      <w:r w:rsidRPr="00724342">
        <w:rPr>
          <w:rFonts w:eastAsiaTheme="minorHAnsi"/>
          <w:sz w:val="22"/>
          <w:szCs w:val="22"/>
          <w:lang w:eastAsia="en-US"/>
        </w:rPr>
        <w:t>университет имени И.Т. Трубилина</w:t>
      </w:r>
    </w:p>
    <w:p w:rsidR="00724342" w:rsidRPr="00724342" w:rsidRDefault="00724342" w:rsidP="00724342">
      <w:pPr>
        <w:jc w:val="both"/>
        <w:rPr>
          <w:rFonts w:eastAsiaTheme="minorHAnsi"/>
          <w:sz w:val="22"/>
          <w:szCs w:val="22"/>
          <w:lang w:eastAsia="en-US"/>
        </w:rPr>
      </w:pPr>
    </w:p>
    <w:p w:rsidR="00724342" w:rsidRPr="00724342" w:rsidRDefault="00724342" w:rsidP="00D15DEA">
      <w:pPr>
        <w:ind w:firstLine="425"/>
        <w:jc w:val="both"/>
        <w:rPr>
          <w:rFonts w:eastAsiaTheme="minorHAnsi"/>
          <w:sz w:val="22"/>
          <w:szCs w:val="22"/>
          <w:lang w:val="en-US" w:eastAsia="en-US"/>
        </w:rPr>
      </w:pPr>
      <w:r w:rsidRPr="00724342">
        <w:rPr>
          <w:rFonts w:eastAsiaTheme="minorHAnsi"/>
          <w:sz w:val="22"/>
          <w:szCs w:val="22"/>
          <w:lang w:eastAsia="en-US"/>
        </w:rPr>
        <w:t>АННОТАЦИЯ: в исследовании изучено распространение ко</w:t>
      </w:r>
      <w:r w:rsidRPr="00724342">
        <w:rPr>
          <w:rFonts w:eastAsiaTheme="minorHAnsi"/>
          <w:sz w:val="22"/>
          <w:szCs w:val="22"/>
          <w:lang w:eastAsia="en-US"/>
        </w:rPr>
        <w:t>н</w:t>
      </w:r>
      <w:r w:rsidRPr="00724342">
        <w:rPr>
          <w:rFonts w:eastAsiaTheme="minorHAnsi"/>
          <w:sz w:val="22"/>
          <w:szCs w:val="22"/>
          <w:lang w:eastAsia="en-US"/>
        </w:rPr>
        <w:t>цепции Больших Данных в сфере пассажирских авиаперевозок. Изучены основные направления инвестиций авиакомпаний и аэр</w:t>
      </w:r>
      <w:r w:rsidRPr="00724342">
        <w:rPr>
          <w:rFonts w:eastAsiaTheme="minorHAnsi"/>
          <w:sz w:val="22"/>
          <w:szCs w:val="22"/>
          <w:lang w:eastAsia="en-US"/>
        </w:rPr>
        <w:t>о</w:t>
      </w:r>
      <w:r w:rsidRPr="00724342">
        <w:rPr>
          <w:rFonts w:eastAsiaTheme="minorHAnsi"/>
          <w:sz w:val="22"/>
          <w:szCs w:val="22"/>
          <w:lang w:eastAsia="en-US"/>
        </w:rPr>
        <w:t>портов в ИТ-сфере. Проведен</w:t>
      </w:r>
      <w:r w:rsidRPr="00724342">
        <w:rPr>
          <w:rFonts w:eastAsiaTheme="minorHAnsi"/>
          <w:sz w:val="22"/>
          <w:szCs w:val="22"/>
          <w:lang w:val="en-US" w:eastAsia="en-US"/>
        </w:rPr>
        <w:t xml:space="preserve"> </w:t>
      </w:r>
      <w:r w:rsidRPr="00724342">
        <w:rPr>
          <w:rFonts w:eastAsiaTheme="minorHAnsi"/>
          <w:sz w:val="22"/>
          <w:szCs w:val="22"/>
          <w:lang w:eastAsia="en-US"/>
        </w:rPr>
        <w:t>анализ</w:t>
      </w:r>
      <w:r w:rsidRPr="00724342">
        <w:rPr>
          <w:rFonts w:eastAsiaTheme="minorHAnsi"/>
          <w:sz w:val="22"/>
          <w:szCs w:val="22"/>
          <w:lang w:val="en-US" w:eastAsia="en-US"/>
        </w:rPr>
        <w:t xml:space="preserve"> </w:t>
      </w:r>
      <w:r w:rsidRPr="00724342">
        <w:rPr>
          <w:rFonts w:eastAsiaTheme="minorHAnsi"/>
          <w:sz w:val="22"/>
          <w:szCs w:val="22"/>
          <w:lang w:eastAsia="en-US"/>
        </w:rPr>
        <w:t>использования</w:t>
      </w:r>
      <w:r w:rsidRPr="00724342">
        <w:rPr>
          <w:rFonts w:eastAsiaTheme="minorHAnsi"/>
          <w:sz w:val="22"/>
          <w:szCs w:val="22"/>
          <w:lang w:val="en-US" w:eastAsia="en-US"/>
        </w:rPr>
        <w:t xml:space="preserve"> </w:t>
      </w:r>
      <w:r w:rsidRPr="00724342">
        <w:rPr>
          <w:rFonts w:eastAsiaTheme="minorHAnsi"/>
          <w:sz w:val="22"/>
          <w:szCs w:val="22"/>
          <w:lang w:eastAsia="en-US"/>
        </w:rPr>
        <w:t>пассажирами</w:t>
      </w:r>
      <w:r w:rsidRPr="00724342">
        <w:rPr>
          <w:rFonts w:eastAsiaTheme="minorHAnsi"/>
          <w:sz w:val="22"/>
          <w:szCs w:val="22"/>
          <w:lang w:val="en-US" w:eastAsia="en-US"/>
        </w:rPr>
        <w:t xml:space="preserve"> </w:t>
      </w:r>
      <w:r w:rsidRPr="00724342">
        <w:rPr>
          <w:rFonts w:eastAsiaTheme="minorHAnsi"/>
          <w:sz w:val="22"/>
          <w:szCs w:val="22"/>
          <w:lang w:eastAsia="en-US"/>
        </w:rPr>
        <w:t>онлайн</w:t>
      </w:r>
      <w:r w:rsidRPr="00724342">
        <w:rPr>
          <w:rFonts w:eastAsiaTheme="minorHAnsi"/>
          <w:sz w:val="22"/>
          <w:szCs w:val="22"/>
          <w:lang w:val="en-US" w:eastAsia="en-US"/>
        </w:rPr>
        <w:t>-</w:t>
      </w:r>
      <w:r w:rsidRPr="00724342">
        <w:rPr>
          <w:rFonts w:eastAsiaTheme="minorHAnsi"/>
          <w:sz w:val="22"/>
          <w:szCs w:val="22"/>
          <w:lang w:eastAsia="en-US"/>
        </w:rPr>
        <w:t>сервисов</w:t>
      </w:r>
      <w:r w:rsidRPr="00724342">
        <w:rPr>
          <w:rFonts w:eastAsiaTheme="minorHAnsi"/>
          <w:sz w:val="22"/>
          <w:szCs w:val="22"/>
          <w:lang w:val="en-US" w:eastAsia="en-US"/>
        </w:rPr>
        <w:t xml:space="preserve"> </w:t>
      </w:r>
      <w:r w:rsidRPr="00724342">
        <w:rPr>
          <w:rFonts w:eastAsiaTheme="minorHAnsi"/>
          <w:sz w:val="22"/>
          <w:szCs w:val="22"/>
          <w:lang w:eastAsia="en-US"/>
        </w:rPr>
        <w:t>авиакомпаний</w:t>
      </w:r>
      <w:r w:rsidRPr="00724342">
        <w:rPr>
          <w:rFonts w:eastAsiaTheme="minorHAnsi"/>
          <w:sz w:val="22"/>
          <w:szCs w:val="22"/>
          <w:lang w:val="en-US" w:eastAsia="en-US"/>
        </w:rPr>
        <w:t>.</w:t>
      </w:r>
    </w:p>
    <w:p w:rsidR="00724342" w:rsidRPr="00724342" w:rsidRDefault="00724342" w:rsidP="00D15DEA">
      <w:pPr>
        <w:ind w:firstLine="425"/>
        <w:jc w:val="both"/>
        <w:rPr>
          <w:rFonts w:eastAsiaTheme="minorHAnsi"/>
          <w:sz w:val="22"/>
          <w:szCs w:val="22"/>
          <w:lang w:val="en-US" w:eastAsia="en-US"/>
        </w:rPr>
      </w:pPr>
      <w:r w:rsidRPr="00724342">
        <w:rPr>
          <w:rFonts w:eastAsiaTheme="minorHAnsi"/>
          <w:sz w:val="22"/>
          <w:szCs w:val="22"/>
          <w:lang w:val="en-US" w:eastAsia="en-US"/>
        </w:rPr>
        <w:t>ABSTRACT: in a research distribution of the Big Data concept in the passenger air transportation sphere is studied. The main directions of airlines and airports investments in the IT sphere are studied. The anal</w:t>
      </w:r>
      <w:r w:rsidRPr="00724342">
        <w:rPr>
          <w:rFonts w:eastAsiaTheme="minorHAnsi"/>
          <w:sz w:val="22"/>
          <w:szCs w:val="22"/>
          <w:lang w:val="en-US" w:eastAsia="en-US"/>
        </w:rPr>
        <w:t>y</w:t>
      </w:r>
      <w:r w:rsidRPr="00724342">
        <w:rPr>
          <w:rFonts w:eastAsiaTheme="minorHAnsi"/>
          <w:sz w:val="22"/>
          <w:szCs w:val="22"/>
          <w:lang w:val="en-US" w:eastAsia="en-US"/>
        </w:rPr>
        <w:t>sis of airlines online services use by passengers is carried out.</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КЛЮЧЕВЫЕ СЛОВА: технология Больших Данных, авиако</w:t>
      </w:r>
      <w:r w:rsidRPr="00724342">
        <w:rPr>
          <w:rFonts w:eastAsiaTheme="minorHAnsi"/>
          <w:sz w:val="22"/>
          <w:szCs w:val="22"/>
          <w:lang w:eastAsia="en-US"/>
        </w:rPr>
        <w:t>м</w:t>
      </w:r>
      <w:r w:rsidRPr="00724342">
        <w:rPr>
          <w:rFonts w:eastAsiaTheme="minorHAnsi"/>
          <w:sz w:val="22"/>
          <w:szCs w:val="22"/>
          <w:lang w:eastAsia="en-US"/>
        </w:rPr>
        <w:t>пании, аэропорты, пассажиры, издержки времени.</w:t>
      </w:r>
    </w:p>
    <w:p w:rsidR="00724342" w:rsidRPr="00724342" w:rsidRDefault="00724342" w:rsidP="00D15DEA">
      <w:pPr>
        <w:ind w:firstLine="425"/>
        <w:jc w:val="both"/>
        <w:rPr>
          <w:rFonts w:eastAsiaTheme="minorHAnsi"/>
          <w:sz w:val="22"/>
          <w:szCs w:val="22"/>
          <w:lang w:val="en-US" w:eastAsia="en-US"/>
        </w:rPr>
      </w:pPr>
      <w:r w:rsidRPr="00724342">
        <w:rPr>
          <w:rFonts w:eastAsiaTheme="minorHAnsi"/>
          <w:sz w:val="22"/>
          <w:szCs w:val="22"/>
          <w:lang w:val="en-US" w:eastAsia="en-US"/>
        </w:rPr>
        <w:t>KEYWORDS: technology of Big Data, airlines, airports, passe</w:t>
      </w:r>
      <w:r w:rsidRPr="00724342">
        <w:rPr>
          <w:rFonts w:eastAsiaTheme="minorHAnsi"/>
          <w:sz w:val="22"/>
          <w:szCs w:val="22"/>
          <w:lang w:val="en-US" w:eastAsia="en-US"/>
        </w:rPr>
        <w:t>n</w:t>
      </w:r>
      <w:r w:rsidRPr="00724342">
        <w:rPr>
          <w:rFonts w:eastAsiaTheme="minorHAnsi"/>
          <w:sz w:val="22"/>
          <w:szCs w:val="22"/>
          <w:lang w:val="en-US" w:eastAsia="en-US"/>
        </w:rPr>
        <w:t>gers, time expenses.</w:t>
      </w:r>
    </w:p>
    <w:p w:rsidR="00724342" w:rsidRPr="00724342" w:rsidRDefault="00724342" w:rsidP="00D15DEA">
      <w:pPr>
        <w:ind w:firstLine="425"/>
        <w:jc w:val="both"/>
        <w:rPr>
          <w:rFonts w:eastAsiaTheme="minorHAnsi"/>
          <w:sz w:val="22"/>
          <w:szCs w:val="22"/>
          <w:lang w:val="en-US" w:eastAsia="en-US"/>
        </w:rPr>
      </w:pP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lastRenderedPageBreak/>
        <w:t>Современные темпы цифровизации всех сфер жизнедеятельн</w:t>
      </w:r>
      <w:r w:rsidRPr="00724342">
        <w:rPr>
          <w:rFonts w:eastAsiaTheme="minorHAnsi"/>
          <w:sz w:val="22"/>
          <w:szCs w:val="22"/>
          <w:lang w:eastAsia="en-US"/>
        </w:rPr>
        <w:t>о</w:t>
      </w:r>
      <w:r w:rsidRPr="00724342">
        <w:rPr>
          <w:rFonts w:eastAsiaTheme="minorHAnsi"/>
          <w:sz w:val="22"/>
          <w:szCs w:val="22"/>
          <w:lang w:eastAsia="en-US"/>
        </w:rPr>
        <w:t>сти общества стимулируют интеграцию все большего числа объе</w:t>
      </w:r>
      <w:r w:rsidRPr="00724342">
        <w:rPr>
          <w:rFonts w:eastAsiaTheme="minorHAnsi"/>
          <w:sz w:val="22"/>
          <w:szCs w:val="22"/>
          <w:lang w:eastAsia="en-US"/>
        </w:rPr>
        <w:t>к</w:t>
      </w:r>
      <w:r w:rsidRPr="00724342">
        <w:rPr>
          <w:rFonts w:eastAsiaTheme="minorHAnsi"/>
          <w:sz w:val="22"/>
          <w:szCs w:val="22"/>
          <w:lang w:eastAsia="en-US"/>
        </w:rPr>
        <w:t xml:space="preserve">тов материального мира в сеть. Концепция Больших Данных или </w:t>
      </w:r>
      <w:r w:rsidRPr="00724342">
        <w:rPr>
          <w:rFonts w:eastAsiaTheme="minorHAnsi"/>
          <w:sz w:val="22"/>
          <w:szCs w:val="22"/>
          <w:lang w:val="en-US" w:eastAsia="en-US"/>
        </w:rPr>
        <w:t>Big</w:t>
      </w:r>
      <w:r w:rsidRPr="00724342">
        <w:rPr>
          <w:rFonts w:eastAsiaTheme="minorHAnsi"/>
          <w:sz w:val="22"/>
          <w:szCs w:val="22"/>
          <w:lang w:eastAsia="en-US"/>
        </w:rPr>
        <w:t xml:space="preserve"> </w:t>
      </w:r>
      <w:r w:rsidRPr="00724342">
        <w:rPr>
          <w:rFonts w:eastAsiaTheme="minorHAnsi"/>
          <w:sz w:val="22"/>
          <w:szCs w:val="22"/>
          <w:lang w:val="en-US" w:eastAsia="en-US"/>
        </w:rPr>
        <w:t>Data</w:t>
      </w:r>
      <w:r w:rsidRPr="00724342">
        <w:rPr>
          <w:rFonts w:eastAsiaTheme="minorHAnsi"/>
          <w:sz w:val="22"/>
          <w:szCs w:val="22"/>
          <w:lang w:eastAsia="en-US"/>
        </w:rPr>
        <w:t xml:space="preserve"> подразумевает управление структурированным и нестру</w:t>
      </w:r>
      <w:r w:rsidRPr="00724342">
        <w:rPr>
          <w:rFonts w:eastAsiaTheme="minorHAnsi"/>
          <w:sz w:val="22"/>
          <w:szCs w:val="22"/>
          <w:lang w:eastAsia="en-US"/>
        </w:rPr>
        <w:t>к</w:t>
      </w:r>
      <w:r w:rsidRPr="00724342">
        <w:rPr>
          <w:rFonts w:eastAsiaTheme="minorHAnsi"/>
          <w:sz w:val="22"/>
          <w:szCs w:val="22"/>
          <w:lang w:eastAsia="en-US"/>
        </w:rPr>
        <w:t>турированным массивом информации, который включает кач</w:t>
      </w:r>
      <w:r w:rsidRPr="00724342">
        <w:rPr>
          <w:rFonts w:eastAsiaTheme="minorHAnsi"/>
          <w:sz w:val="22"/>
          <w:szCs w:val="22"/>
          <w:lang w:eastAsia="en-US"/>
        </w:rPr>
        <w:t>е</w:t>
      </w:r>
      <w:r w:rsidRPr="00724342">
        <w:rPr>
          <w:rFonts w:eastAsiaTheme="minorHAnsi"/>
          <w:sz w:val="22"/>
          <w:szCs w:val="22"/>
          <w:lang w:eastAsia="en-US"/>
        </w:rPr>
        <w:t>ственные и количественные характеристики предметов или обл</w:t>
      </w:r>
      <w:r w:rsidRPr="00724342">
        <w:rPr>
          <w:rFonts w:eastAsiaTheme="minorHAnsi"/>
          <w:sz w:val="22"/>
          <w:szCs w:val="22"/>
          <w:lang w:eastAsia="en-US"/>
        </w:rPr>
        <w:t>а</w:t>
      </w:r>
      <w:r w:rsidRPr="00724342">
        <w:rPr>
          <w:rFonts w:eastAsiaTheme="minorHAnsi"/>
          <w:sz w:val="22"/>
          <w:szCs w:val="22"/>
          <w:lang w:eastAsia="en-US"/>
        </w:rPr>
        <w:t>стей человеческой и машинной деятельности. Это потоки данных свыше 100 ГБ в день [4].</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Концепция Больших Данных позволяет в сжатые сроки пров</w:t>
      </w:r>
      <w:r w:rsidRPr="00724342">
        <w:rPr>
          <w:rFonts w:eastAsiaTheme="minorHAnsi"/>
          <w:sz w:val="22"/>
          <w:szCs w:val="22"/>
          <w:lang w:eastAsia="en-US"/>
        </w:rPr>
        <w:t>о</w:t>
      </w:r>
      <w:r w:rsidRPr="00724342">
        <w:rPr>
          <w:rFonts w:eastAsiaTheme="minorHAnsi"/>
          <w:sz w:val="22"/>
          <w:szCs w:val="22"/>
          <w:lang w:eastAsia="en-US"/>
        </w:rPr>
        <w:t>дить анализ состояния взаимосвязанных через цифровое простра</w:t>
      </w:r>
      <w:r w:rsidRPr="00724342">
        <w:rPr>
          <w:rFonts w:eastAsiaTheme="minorHAnsi"/>
          <w:sz w:val="22"/>
          <w:szCs w:val="22"/>
          <w:lang w:eastAsia="en-US"/>
        </w:rPr>
        <w:t>н</w:t>
      </w:r>
      <w:r w:rsidRPr="00724342">
        <w:rPr>
          <w:rFonts w:eastAsiaTheme="minorHAnsi"/>
          <w:sz w:val="22"/>
          <w:szCs w:val="22"/>
          <w:lang w:eastAsia="en-US"/>
        </w:rPr>
        <w:t>ство элементов, повышать качество обратной связи с клиентами компаний, а также позволяет осуществлять многофакторные пр</w:t>
      </w:r>
      <w:r w:rsidRPr="00724342">
        <w:rPr>
          <w:rFonts w:eastAsiaTheme="minorHAnsi"/>
          <w:sz w:val="22"/>
          <w:szCs w:val="22"/>
          <w:lang w:eastAsia="en-US"/>
        </w:rPr>
        <w:t>о</w:t>
      </w:r>
      <w:r w:rsidRPr="00724342">
        <w:rPr>
          <w:rFonts w:eastAsiaTheme="minorHAnsi"/>
          <w:sz w:val="22"/>
          <w:szCs w:val="22"/>
          <w:lang w:eastAsia="en-US"/>
        </w:rPr>
        <w:t xml:space="preserve">гнозы в короткие сроки. </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В рамках концепции применяются методы: смешение и инт</w:t>
      </w:r>
      <w:r w:rsidRPr="00724342">
        <w:rPr>
          <w:rFonts w:eastAsiaTheme="minorHAnsi"/>
          <w:sz w:val="22"/>
          <w:szCs w:val="22"/>
          <w:lang w:eastAsia="en-US"/>
        </w:rPr>
        <w:t>е</w:t>
      </w:r>
      <w:r w:rsidRPr="00724342">
        <w:rPr>
          <w:rFonts w:eastAsiaTheme="minorHAnsi"/>
          <w:sz w:val="22"/>
          <w:szCs w:val="22"/>
          <w:lang w:eastAsia="en-US"/>
        </w:rPr>
        <w:t>грация данных, машинное обучение, искусственные нейронные с</w:t>
      </w:r>
      <w:r w:rsidRPr="00724342">
        <w:rPr>
          <w:rFonts w:eastAsiaTheme="minorHAnsi"/>
          <w:sz w:val="22"/>
          <w:szCs w:val="22"/>
          <w:lang w:eastAsia="en-US"/>
        </w:rPr>
        <w:t>е</w:t>
      </w:r>
      <w:r w:rsidRPr="00724342">
        <w:rPr>
          <w:rFonts w:eastAsiaTheme="minorHAnsi"/>
          <w:sz w:val="22"/>
          <w:szCs w:val="22"/>
          <w:lang w:eastAsia="en-US"/>
        </w:rPr>
        <w:t>ти, распознавание образов, различные виды анализа и прогнозов, а также моделирование [4].</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Основными целями авиакомпаний выступают: увеличение па</w:t>
      </w:r>
      <w:r w:rsidRPr="00724342">
        <w:rPr>
          <w:rFonts w:eastAsiaTheme="minorHAnsi"/>
          <w:sz w:val="22"/>
          <w:szCs w:val="22"/>
          <w:lang w:eastAsia="en-US"/>
        </w:rPr>
        <w:t>с</w:t>
      </w:r>
      <w:r w:rsidRPr="00724342">
        <w:rPr>
          <w:rFonts w:eastAsiaTheme="minorHAnsi"/>
          <w:sz w:val="22"/>
          <w:szCs w:val="22"/>
          <w:lang w:eastAsia="en-US"/>
        </w:rPr>
        <w:t>сажирооборота, а также сокращение времени простоя самолетов по различным причинам, в т. ч. и по причине вынужденных ремонтных операций. Технология Больших Данных позволяет отслеживать с</w:t>
      </w:r>
      <w:r w:rsidRPr="00724342">
        <w:rPr>
          <w:rFonts w:eastAsiaTheme="minorHAnsi"/>
          <w:sz w:val="22"/>
          <w:szCs w:val="22"/>
          <w:lang w:eastAsia="en-US"/>
        </w:rPr>
        <w:t>о</w:t>
      </w:r>
      <w:r w:rsidRPr="00724342">
        <w:rPr>
          <w:rFonts w:eastAsiaTheme="minorHAnsi"/>
          <w:sz w:val="22"/>
          <w:szCs w:val="22"/>
          <w:lang w:eastAsia="en-US"/>
        </w:rPr>
        <w:t>стояние воздушного судна в пути, прогнозировать время, через к</w:t>
      </w:r>
      <w:r w:rsidRPr="00724342">
        <w:rPr>
          <w:rFonts w:eastAsiaTheme="minorHAnsi"/>
          <w:sz w:val="22"/>
          <w:szCs w:val="22"/>
          <w:lang w:eastAsia="en-US"/>
        </w:rPr>
        <w:t>о</w:t>
      </w:r>
      <w:r w:rsidRPr="00724342">
        <w:rPr>
          <w:rFonts w:eastAsiaTheme="minorHAnsi"/>
          <w:sz w:val="22"/>
          <w:szCs w:val="22"/>
          <w:lang w:eastAsia="en-US"/>
        </w:rPr>
        <w:t>торое произойдет поломка, и мгновенно передавать данные с пр</w:t>
      </w:r>
      <w:r w:rsidRPr="00724342">
        <w:rPr>
          <w:rFonts w:eastAsiaTheme="minorHAnsi"/>
          <w:sz w:val="22"/>
          <w:szCs w:val="22"/>
          <w:lang w:eastAsia="en-US"/>
        </w:rPr>
        <w:t>и</w:t>
      </w:r>
      <w:r w:rsidRPr="00724342">
        <w:rPr>
          <w:rFonts w:eastAsiaTheme="minorHAnsi"/>
          <w:sz w:val="22"/>
          <w:szCs w:val="22"/>
          <w:lang w:eastAsia="en-US"/>
        </w:rPr>
        <w:t>боров в необходимый аэропорт для дальнейшей подготовки сме</w:t>
      </w:r>
      <w:r w:rsidRPr="00724342">
        <w:rPr>
          <w:rFonts w:eastAsiaTheme="minorHAnsi"/>
          <w:sz w:val="22"/>
          <w:szCs w:val="22"/>
          <w:lang w:eastAsia="en-US"/>
        </w:rPr>
        <w:t>н</w:t>
      </w:r>
      <w:r w:rsidRPr="00724342">
        <w:rPr>
          <w:rFonts w:eastAsiaTheme="minorHAnsi"/>
          <w:sz w:val="22"/>
          <w:szCs w:val="22"/>
          <w:lang w:eastAsia="en-US"/>
        </w:rPr>
        <w:t xml:space="preserve">ных деталей и персонала ремонтных служб [1]. </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 xml:space="preserve">Концепция </w:t>
      </w:r>
      <w:r w:rsidRPr="00724342">
        <w:rPr>
          <w:rFonts w:eastAsiaTheme="minorHAnsi"/>
          <w:sz w:val="22"/>
          <w:szCs w:val="22"/>
          <w:lang w:val="en-US" w:eastAsia="en-US"/>
        </w:rPr>
        <w:t>Big</w:t>
      </w:r>
      <w:r w:rsidRPr="00724342">
        <w:rPr>
          <w:rFonts w:eastAsiaTheme="minorHAnsi"/>
          <w:sz w:val="22"/>
          <w:szCs w:val="22"/>
          <w:lang w:eastAsia="en-US"/>
        </w:rPr>
        <w:t xml:space="preserve"> </w:t>
      </w:r>
      <w:r w:rsidRPr="00724342">
        <w:rPr>
          <w:rFonts w:eastAsiaTheme="minorHAnsi"/>
          <w:sz w:val="22"/>
          <w:szCs w:val="22"/>
          <w:lang w:val="en-US" w:eastAsia="en-US"/>
        </w:rPr>
        <w:t>Data</w:t>
      </w:r>
      <w:r w:rsidRPr="00724342">
        <w:rPr>
          <w:rFonts w:eastAsiaTheme="minorHAnsi"/>
          <w:sz w:val="22"/>
          <w:szCs w:val="22"/>
          <w:lang w:eastAsia="en-US"/>
        </w:rPr>
        <w:t xml:space="preserve"> позволяет более эффективно взаимоде</w:t>
      </w:r>
      <w:r w:rsidRPr="00724342">
        <w:rPr>
          <w:rFonts w:eastAsiaTheme="minorHAnsi"/>
          <w:sz w:val="22"/>
          <w:szCs w:val="22"/>
          <w:lang w:eastAsia="en-US"/>
        </w:rPr>
        <w:t>й</w:t>
      </w:r>
      <w:r w:rsidRPr="00724342">
        <w:rPr>
          <w:rFonts w:eastAsiaTheme="minorHAnsi"/>
          <w:sz w:val="22"/>
          <w:szCs w:val="22"/>
          <w:lang w:eastAsia="en-US"/>
        </w:rPr>
        <w:t>ствовать с клиентами авиакомпаний. Сайты авиаперевозчиков ан</w:t>
      </w:r>
      <w:r w:rsidRPr="00724342">
        <w:rPr>
          <w:rFonts w:eastAsiaTheme="minorHAnsi"/>
          <w:sz w:val="22"/>
          <w:szCs w:val="22"/>
          <w:lang w:eastAsia="en-US"/>
        </w:rPr>
        <w:t>а</w:t>
      </w:r>
      <w:r w:rsidRPr="00724342">
        <w:rPr>
          <w:rFonts w:eastAsiaTheme="minorHAnsi"/>
          <w:sz w:val="22"/>
          <w:szCs w:val="22"/>
          <w:lang w:eastAsia="en-US"/>
        </w:rPr>
        <w:t>лизируют запросы клиентов в сети и подбирают наиболее подход</w:t>
      </w:r>
      <w:r w:rsidRPr="00724342">
        <w:rPr>
          <w:rFonts w:eastAsiaTheme="minorHAnsi"/>
          <w:sz w:val="22"/>
          <w:szCs w:val="22"/>
          <w:lang w:eastAsia="en-US"/>
        </w:rPr>
        <w:t>я</w:t>
      </w:r>
      <w:r w:rsidRPr="00724342">
        <w:rPr>
          <w:rFonts w:eastAsiaTheme="minorHAnsi"/>
          <w:sz w:val="22"/>
          <w:szCs w:val="22"/>
          <w:lang w:eastAsia="en-US"/>
        </w:rPr>
        <w:t>щие предложения, включая интересующую клиентов ценовую п</w:t>
      </w:r>
      <w:r w:rsidRPr="00724342">
        <w:rPr>
          <w:rFonts w:eastAsiaTheme="minorHAnsi"/>
          <w:sz w:val="22"/>
          <w:szCs w:val="22"/>
          <w:lang w:eastAsia="en-US"/>
        </w:rPr>
        <w:t>о</w:t>
      </w:r>
      <w:r w:rsidRPr="00724342">
        <w:rPr>
          <w:rFonts w:eastAsiaTheme="minorHAnsi"/>
          <w:sz w:val="22"/>
          <w:szCs w:val="22"/>
          <w:lang w:eastAsia="en-US"/>
        </w:rPr>
        <w:t>литику [2].</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Различные онлайн-сервисы по бронированию авиабилетов, р</w:t>
      </w:r>
      <w:r w:rsidRPr="00724342">
        <w:rPr>
          <w:rFonts w:eastAsiaTheme="minorHAnsi"/>
          <w:sz w:val="22"/>
          <w:szCs w:val="22"/>
          <w:lang w:eastAsia="en-US"/>
        </w:rPr>
        <w:t>е</w:t>
      </w:r>
      <w:r w:rsidRPr="00724342">
        <w:rPr>
          <w:rFonts w:eastAsiaTheme="minorHAnsi"/>
          <w:sz w:val="22"/>
          <w:szCs w:val="22"/>
          <w:lang w:eastAsia="en-US"/>
        </w:rPr>
        <w:t>гистрации на рейс, а также возможность перебронировать вылет в короткие сроки – способствуют формированию лояльности польз</w:t>
      </w:r>
      <w:r w:rsidRPr="00724342">
        <w:rPr>
          <w:rFonts w:eastAsiaTheme="minorHAnsi"/>
          <w:sz w:val="22"/>
          <w:szCs w:val="22"/>
          <w:lang w:eastAsia="en-US"/>
        </w:rPr>
        <w:t>о</w:t>
      </w:r>
      <w:r w:rsidRPr="00724342">
        <w:rPr>
          <w:rFonts w:eastAsiaTheme="minorHAnsi"/>
          <w:sz w:val="22"/>
          <w:szCs w:val="22"/>
          <w:lang w:eastAsia="en-US"/>
        </w:rPr>
        <w:t>вателей к авиакомпании, что также влияет на увеличение пассаж</w:t>
      </w:r>
      <w:r w:rsidRPr="00724342">
        <w:rPr>
          <w:rFonts w:eastAsiaTheme="minorHAnsi"/>
          <w:sz w:val="22"/>
          <w:szCs w:val="22"/>
          <w:lang w:eastAsia="en-US"/>
        </w:rPr>
        <w:t>и</w:t>
      </w:r>
      <w:r w:rsidRPr="00724342">
        <w:rPr>
          <w:rFonts w:eastAsiaTheme="minorHAnsi"/>
          <w:sz w:val="22"/>
          <w:szCs w:val="22"/>
          <w:lang w:eastAsia="en-US"/>
        </w:rPr>
        <w:t>рооборота.</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Все больше авиакомпаний и аэропортов интегрируют свою д</w:t>
      </w:r>
      <w:r w:rsidRPr="00724342">
        <w:rPr>
          <w:rFonts w:eastAsiaTheme="minorHAnsi"/>
          <w:sz w:val="22"/>
          <w:szCs w:val="22"/>
          <w:lang w:eastAsia="en-US"/>
        </w:rPr>
        <w:t>е</w:t>
      </w:r>
      <w:r w:rsidRPr="00724342">
        <w:rPr>
          <w:rFonts w:eastAsiaTheme="minorHAnsi"/>
          <w:sz w:val="22"/>
          <w:szCs w:val="22"/>
          <w:lang w:eastAsia="en-US"/>
        </w:rPr>
        <w:t>ятельность в цифровое пространство. Согласно глобальному иссл</w:t>
      </w:r>
      <w:r w:rsidRPr="00724342">
        <w:rPr>
          <w:rFonts w:eastAsiaTheme="minorHAnsi"/>
          <w:sz w:val="22"/>
          <w:szCs w:val="22"/>
          <w:lang w:eastAsia="en-US"/>
        </w:rPr>
        <w:t>е</w:t>
      </w:r>
      <w:r w:rsidRPr="00724342">
        <w:rPr>
          <w:rFonts w:eastAsiaTheme="minorHAnsi"/>
          <w:sz w:val="22"/>
          <w:szCs w:val="22"/>
          <w:lang w:eastAsia="en-US"/>
        </w:rPr>
        <w:t xml:space="preserve">дованию международной компании в ИТ-сфере </w:t>
      </w:r>
      <w:r w:rsidRPr="00724342">
        <w:rPr>
          <w:rFonts w:eastAsiaTheme="minorHAnsi"/>
          <w:sz w:val="22"/>
          <w:szCs w:val="22"/>
          <w:lang w:val="en-US" w:eastAsia="en-US"/>
        </w:rPr>
        <w:t>SITA</w:t>
      </w:r>
      <w:r w:rsidRPr="00724342">
        <w:rPr>
          <w:rFonts w:eastAsiaTheme="minorHAnsi"/>
          <w:sz w:val="22"/>
          <w:szCs w:val="22"/>
          <w:lang w:eastAsia="en-US"/>
        </w:rPr>
        <w:t xml:space="preserve"> к концу 2017 </w:t>
      </w:r>
      <w:r w:rsidRPr="00724342">
        <w:rPr>
          <w:rFonts w:eastAsiaTheme="minorHAnsi"/>
          <w:sz w:val="22"/>
          <w:szCs w:val="22"/>
          <w:lang w:eastAsia="en-US"/>
        </w:rPr>
        <w:lastRenderedPageBreak/>
        <w:t>г. расходы авиаперевозчиков на решения в области ИТ составили 3% по отношению к их доходам или в числовом выражении около 24 млрд. долл. Для аэропортов этот показатель составил 5% от д</w:t>
      </w:r>
      <w:r w:rsidRPr="00724342">
        <w:rPr>
          <w:rFonts w:eastAsiaTheme="minorHAnsi"/>
          <w:sz w:val="22"/>
          <w:szCs w:val="22"/>
          <w:lang w:eastAsia="en-US"/>
        </w:rPr>
        <w:t>о</w:t>
      </w:r>
      <w:r w:rsidRPr="00724342">
        <w:rPr>
          <w:rFonts w:eastAsiaTheme="minorHAnsi"/>
          <w:sz w:val="22"/>
          <w:szCs w:val="22"/>
          <w:lang w:eastAsia="en-US"/>
        </w:rPr>
        <w:t>ходов или 8 млрд. долл. [3]</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По данным исследования ключевыми направлениями инвест</w:t>
      </w:r>
      <w:r w:rsidRPr="00724342">
        <w:rPr>
          <w:rFonts w:eastAsiaTheme="minorHAnsi"/>
          <w:sz w:val="22"/>
          <w:szCs w:val="22"/>
          <w:lang w:eastAsia="en-US"/>
        </w:rPr>
        <w:t>и</w:t>
      </w:r>
      <w:r w:rsidRPr="00724342">
        <w:rPr>
          <w:rFonts w:eastAsiaTheme="minorHAnsi"/>
          <w:sz w:val="22"/>
          <w:szCs w:val="22"/>
          <w:lang w:eastAsia="en-US"/>
        </w:rPr>
        <w:t>ций авиаотрасли являются: кибербезопасноть (95% авиакомпаний и 96% аэропортов планируют расходы на данное направление), и</w:t>
      </w:r>
      <w:r w:rsidRPr="00724342">
        <w:rPr>
          <w:rFonts w:eastAsiaTheme="minorHAnsi"/>
          <w:sz w:val="22"/>
          <w:szCs w:val="22"/>
          <w:lang w:eastAsia="en-US"/>
        </w:rPr>
        <w:t>н</w:t>
      </w:r>
      <w:r w:rsidRPr="00724342">
        <w:rPr>
          <w:rFonts w:eastAsiaTheme="minorHAnsi"/>
          <w:sz w:val="22"/>
          <w:szCs w:val="22"/>
          <w:lang w:eastAsia="en-US"/>
        </w:rPr>
        <w:t>тернет вещей (95% и 85% соответственно) и сервисы самообслуж</w:t>
      </w:r>
      <w:r w:rsidRPr="00724342">
        <w:rPr>
          <w:rFonts w:eastAsiaTheme="minorHAnsi"/>
          <w:sz w:val="22"/>
          <w:szCs w:val="22"/>
          <w:lang w:eastAsia="en-US"/>
        </w:rPr>
        <w:t>и</w:t>
      </w:r>
      <w:r w:rsidRPr="00724342">
        <w:rPr>
          <w:rFonts w:eastAsiaTheme="minorHAnsi"/>
          <w:sz w:val="22"/>
          <w:szCs w:val="22"/>
          <w:lang w:eastAsia="en-US"/>
        </w:rPr>
        <w:t>вания клиентов.</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Так при покупке авиабилетов 87% клиентов авиакомпаний и</w:t>
      </w:r>
      <w:r w:rsidRPr="00724342">
        <w:rPr>
          <w:rFonts w:eastAsiaTheme="minorHAnsi"/>
          <w:sz w:val="22"/>
          <w:szCs w:val="22"/>
          <w:lang w:eastAsia="en-US"/>
        </w:rPr>
        <w:t>с</w:t>
      </w:r>
      <w:r w:rsidRPr="00724342">
        <w:rPr>
          <w:rFonts w:eastAsiaTheme="minorHAnsi"/>
          <w:sz w:val="22"/>
          <w:szCs w:val="22"/>
          <w:lang w:eastAsia="en-US"/>
        </w:rPr>
        <w:t>пользуют приложения и онлайн-сервисы. На этапе регистрации на рейс 33% пассажиров используют приложения и сайты авиакомп</w:t>
      </w:r>
      <w:r w:rsidRPr="00724342">
        <w:rPr>
          <w:rFonts w:eastAsiaTheme="minorHAnsi"/>
          <w:sz w:val="22"/>
          <w:szCs w:val="22"/>
          <w:lang w:eastAsia="en-US"/>
        </w:rPr>
        <w:t>а</w:t>
      </w:r>
      <w:r w:rsidRPr="00724342">
        <w:rPr>
          <w:rFonts w:eastAsiaTheme="minorHAnsi"/>
          <w:sz w:val="22"/>
          <w:szCs w:val="22"/>
          <w:lang w:eastAsia="en-US"/>
        </w:rPr>
        <w:t>ний. Такая тенденция продолжает расти, что объясняется сущ</w:t>
      </w:r>
      <w:r w:rsidRPr="00724342">
        <w:rPr>
          <w:rFonts w:eastAsiaTheme="minorHAnsi"/>
          <w:sz w:val="22"/>
          <w:szCs w:val="22"/>
          <w:lang w:eastAsia="en-US"/>
        </w:rPr>
        <w:t>е</w:t>
      </w:r>
      <w:r w:rsidRPr="00724342">
        <w:rPr>
          <w:rFonts w:eastAsiaTheme="minorHAnsi"/>
          <w:sz w:val="22"/>
          <w:szCs w:val="22"/>
          <w:lang w:eastAsia="en-US"/>
        </w:rPr>
        <w:t>ственными сокращениями издержек времени, а также психологич</w:t>
      </w:r>
      <w:r w:rsidRPr="00724342">
        <w:rPr>
          <w:rFonts w:eastAsiaTheme="minorHAnsi"/>
          <w:sz w:val="22"/>
          <w:szCs w:val="22"/>
          <w:lang w:eastAsia="en-US"/>
        </w:rPr>
        <w:t>е</w:t>
      </w:r>
      <w:r w:rsidRPr="00724342">
        <w:rPr>
          <w:rFonts w:eastAsiaTheme="minorHAnsi"/>
          <w:sz w:val="22"/>
          <w:szCs w:val="22"/>
          <w:lang w:eastAsia="en-US"/>
        </w:rPr>
        <w:t>скими факторами.</w:t>
      </w:r>
    </w:p>
    <w:p w:rsidR="00724342" w:rsidRPr="00724342" w:rsidRDefault="00724342" w:rsidP="00D15DEA">
      <w:pPr>
        <w:ind w:firstLine="425"/>
        <w:jc w:val="both"/>
        <w:rPr>
          <w:rFonts w:eastAsiaTheme="minorHAnsi"/>
          <w:sz w:val="22"/>
          <w:szCs w:val="22"/>
          <w:lang w:eastAsia="en-US"/>
        </w:rPr>
      </w:pPr>
      <w:r w:rsidRPr="00724342">
        <w:rPr>
          <w:rFonts w:eastAsiaTheme="minorHAnsi"/>
          <w:sz w:val="22"/>
          <w:szCs w:val="22"/>
          <w:lang w:eastAsia="en-US"/>
        </w:rPr>
        <w:t>В этой связи большинство авиакомпаний сегодня сосредоточ</w:t>
      </w:r>
      <w:r w:rsidRPr="00724342">
        <w:rPr>
          <w:rFonts w:eastAsiaTheme="minorHAnsi"/>
          <w:sz w:val="22"/>
          <w:szCs w:val="22"/>
          <w:lang w:eastAsia="en-US"/>
        </w:rPr>
        <w:t>е</w:t>
      </w:r>
      <w:r w:rsidRPr="00724342">
        <w:rPr>
          <w:rFonts w:eastAsiaTheme="minorHAnsi"/>
          <w:sz w:val="22"/>
          <w:szCs w:val="22"/>
          <w:lang w:eastAsia="en-US"/>
        </w:rPr>
        <w:t>но на разработке и совершенствовании приложений для смартф</w:t>
      </w:r>
      <w:r w:rsidRPr="00724342">
        <w:rPr>
          <w:rFonts w:eastAsiaTheme="minorHAnsi"/>
          <w:sz w:val="22"/>
          <w:szCs w:val="22"/>
          <w:lang w:eastAsia="en-US"/>
        </w:rPr>
        <w:t>о</w:t>
      </w:r>
      <w:r w:rsidRPr="00724342">
        <w:rPr>
          <w:rFonts w:eastAsiaTheme="minorHAnsi"/>
          <w:sz w:val="22"/>
          <w:szCs w:val="22"/>
          <w:lang w:eastAsia="en-US"/>
        </w:rPr>
        <w:t>нов, с помощью которых пассажиры могут отслеживать расписание рейса, выход на посадку, местонахождение багажа. По данным и</w:t>
      </w:r>
      <w:r w:rsidRPr="00724342">
        <w:rPr>
          <w:rFonts w:eastAsiaTheme="minorHAnsi"/>
          <w:sz w:val="22"/>
          <w:szCs w:val="22"/>
          <w:lang w:eastAsia="en-US"/>
        </w:rPr>
        <w:t>с</w:t>
      </w:r>
      <w:r w:rsidRPr="00724342">
        <w:rPr>
          <w:rFonts w:eastAsiaTheme="minorHAnsi"/>
          <w:sz w:val="22"/>
          <w:szCs w:val="22"/>
          <w:lang w:eastAsia="en-US"/>
        </w:rPr>
        <w:t xml:space="preserve">следования </w:t>
      </w:r>
      <w:r w:rsidRPr="00724342">
        <w:rPr>
          <w:rFonts w:eastAsiaTheme="minorHAnsi"/>
          <w:sz w:val="22"/>
          <w:szCs w:val="22"/>
          <w:lang w:val="en-US" w:eastAsia="en-US"/>
        </w:rPr>
        <w:t>SITA</w:t>
      </w:r>
      <w:r w:rsidRPr="00724342">
        <w:rPr>
          <w:rFonts w:eastAsiaTheme="minorHAnsi"/>
          <w:sz w:val="22"/>
          <w:szCs w:val="22"/>
          <w:lang w:eastAsia="en-US"/>
        </w:rPr>
        <w:t xml:space="preserve"> к 2020 г. такие приложения будут применять 97% авиакомпаний.</w:t>
      </w:r>
    </w:p>
    <w:p w:rsidR="00724342" w:rsidRPr="00724342" w:rsidRDefault="00724342" w:rsidP="00CB06AE">
      <w:pPr>
        <w:ind w:firstLine="425"/>
        <w:jc w:val="both"/>
        <w:rPr>
          <w:rFonts w:eastAsiaTheme="minorHAnsi"/>
          <w:sz w:val="22"/>
          <w:szCs w:val="22"/>
          <w:lang w:eastAsia="en-US"/>
        </w:rPr>
      </w:pPr>
      <w:r w:rsidRPr="00724342">
        <w:rPr>
          <w:rFonts w:eastAsiaTheme="minorHAnsi"/>
          <w:sz w:val="22"/>
          <w:szCs w:val="22"/>
          <w:lang w:eastAsia="en-US"/>
        </w:rPr>
        <w:t>В целях увеличения пассажирооборота и прибыли авиакомп</w:t>
      </w:r>
      <w:r w:rsidRPr="00724342">
        <w:rPr>
          <w:rFonts w:eastAsiaTheme="minorHAnsi"/>
          <w:sz w:val="22"/>
          <w:szCs w:val="22"/>
          <w:lang w:eastAsia="en-US"/>
        </w:rPr>
        <w:t>а</w:t>
      </w:r>
      <w:r w:rsidRPr="00724342">
        <w:rPr>
          <w:rFonts w:eastAsiaTheme="minorHAnsi"/>
          <w:sz w:val="22"/>
          <w:szCs w:val="22"/>
          <w:lang w:eastAsia="en-US"/>
        </w:rPr>
        <w:t>ниям необходимо поддерживать курс на внедрение технологии Больших Данных. При этом важно балансировать инвестиции этого направления с инвестициями в кибербезопасность, особенно такая необходимость проявляется в пассажирских авиаперевозках, когда в случае программных сбоев угрозе подвергается большое колич</w:t>
      </w:r>
      <w:r w:rsidRPr="00724342">
        <w:rPr>
          <w:rFonts w:eastAsiaTheme="minorHAnsi"/>
          <w:sz w:val="22"/>
          <w:szCs w:val="22"/>
          <w:lang w:eastAsia="en-US"/>
        </w:rPr>
        <w:t>е</w:t>
      </w:r>
      <w:r w:rsidRPr="00724342">
        <w:rPr>
          <w:rFonts w:eastAsiaTheme="minorHAnsi"/>
          <w:sz w:val="22"/>
          <w:szCs w:val="22"/>
          <w:lang w:eastAsia="en-US"/>
        </w:rPr>
        <w:t xml:space="preserve">ство человек. Только такой подход будет стимулировать развитие </w:t>
      </w:r>
      <w:proofErr w:type="gramStart"/>
      <w:r w:rsidRPr="00724342">
        <w:rPr>
          <w:rFonts w:eastAsiaTheme="minorHAnsi"/>
          <w:sz w:val="22"/>
          <w:szCs w:val="22"/>
          <w:lang w:eastAsia="en-US"/>
        </w:rPr>
        <w:t>авиакомпаний</w:t>
      </w:r>
      <w:proofErr w:type="gramEnd"/>
      <w:r w:rsidRPr="00724342">
        <w:rPr>
          <w:rFonts w:eastAsiaTheme="minorHAnsi"/>
          <w:sz w:val="22"/>
          <w:szCs w:val="22"/>
          <w:lang w:eastAsia="en-US"/>
        </w:rPr>
        <w:t xml:space="preserve"> и способствовать их росту.</w:t>
      </w:r>
    </w:p>
    <w:p w:rsidR="00724342" w:rsidRPr="00724342" w:rsidRDefault="00724342" w:rsidP="00D15DEA">
      <w:pPr>
        <w:ind w:firstLine="425"/>
        <w:jc w:val="center"/>
        <w:rPr>
          <w:rFonts w:eastAsiaTheme="minorHAnsi"/>
          <w:sz w:val="22"/>
          <w:szCs w:val="22"/>
          <w:lang w:eastAsia="en-US"/>
        </w:rPr>
      </w:pPr>
      <w:r w:rsidRPr="00724342">
        <w:rPr>
          <w:rFonts w:eastAsiaTheme="minorHAnsi"/>
          <w:sz w:val="22"/>
          <w:szCs w:val="22"/>
          <w:lang w:eastAsia="en-US"/>
        </w:rPr>
        <w:t>Список литературы</w:t>
      </w:r>
    </w:p>
    <w:p w:rsidR="00724342" w:rsidRPr="00724342" w:rsidRDefault="00724342" w:rsidP="00D15DEA">
      <w:pPr>
        <w:numPr>
          <w:ilvl w:val="0"/>
          <w:numId w:val="103"/>
        </w:numPr>
        <w:ind w:left="0" w:firstLine="425"/>
        <w:contextualSpacing/>
        <w:jc w:val="both"/>
        <w:rPr>
          <w:rFonts w:eastAsiaTheme="minorHAnsi"/>
          <w:sz w:val="22"/>
          <w:szCs w:val="22"/>
          <w:lang w:eastAsia="en-US"/>
        </w:rPr>
      </w:pPr>
      <w:r w:rsidRPr="00724342">
        <w:rPr>
          <w:rFonts w:eastAsiaTheme="minorHAnsi"/>
          <w:sz w:val="22"/>
          <w:szCs w:val="22"/>
          <w:lang w:eastAsia="en-US"/>
        </w:rPr>
        <w:t>Big Data в авиаперевозках: существенный прорыв уже бли</w:t>
      </w:r>
      <w:r w:rsidRPr="00724342">
        <w:rPr>
          <w:rFonts w:eastAsiaTheme="minorHAnsi"/>
          <w:sz w:val="22"/>
          <w:szCs w:val="22"/>
          <w:lang w:eastAsia="en-US"/>
        </w:rPr>
        <w:t>з</w:t>
      </w:r>
      <w:r w:rsidRPr="00724342">
        <w:rPr>
          <w:rFonts w:eastAsiaTheme="minorHAnsi"/>
          <w:sz w:val="22"/>
          <w:szCs w:val="22"/>
          <w:lang w:eastAsia="en-US"/>
        </w:rPr>
        <w:t xml:space="preserve">ко [Электронный ресурс]. – Режим доступа: http://ru.datasides.com </w:t>
      </w:r>
    </w:p>
    <w:p w:rsidR="00724342" w:rsidRPr="00724342" w:rsidRDefault="00724342" w:rsidP="00D15DEA">
      <w:pPr>
        <w:numPr>
          <w:ilvl w:val="0"/>
          <w:numId w:val="103"/>
        </w:numPr>
        <w:ind w:left="0" w:firstLine="425"/>
        <w:contextualSpacing/>
        <w:jc w:val="both"/>
        <w:rPr>
          <w:rFonts w:eastAsiaTheme="minorHAnsi"/>
          <w:sz w:val="22"/>
          <w:szCs w:val="22"/>
          <w:lang w:eastAsia="en-US"/>
        </w:rPr>
      </w:pPr>
      <w:r w:rsidRPr="00724342">
        <w:rPr>
          <w:rFonts w:eastAsiaTheme="minorHAnsi"/>
          <w:sz w:val="22"/>
          <w:szCs w:val="22"/>
          <w:lang w:eastAsia="en-US"/>
        </w:rPr>
        <w:t xml:space="preserve">Fast Travel Program [Электронный ресурс]. – Режим доступа: http://www.iata.org </w:t>
      </w:r>
    </w:p>
    <w:p w:rsidR="00724342" w:rsidRPr="00724342" w:rsidRDefault="00724342" w:rsidP="00D15DEA">
      <w:pPr>
        <w:numPr>
          <w:ilvl w:val="0"/>
          <w:numId w:val="103"/>
        </w:numPr>
        <w:ind w:left="0" w:firstLine="425"/>
        <w:contextualSpacing/>
        <w:jc w:val="both"/>
        <w:rPr>
          <w:rFonts w:eastAsiaTheme="minorHAnsi"/>
          <w:sz w:val="22"/>
          <w:szCs w:val="22"/>
          <w:lang w:eastAsia="en-US"/>
        </w:rPr>
      </w:pPr>
      <w:r w:rsidRPr="00724342">
        <w:rPr>
          <w:rFonts w:eastAsiaTheme="minorHAnsi"/>
          <w:sz w:val="22"/>
          <w:szCs w:val="22"/>
          <w:lang w:eastAsia="en-US"/>
        </w:rPr>
        <w:t xml:space="preserve">Обзор тенденций рынка решений ИТ для пассажиров 2017  [Электронный ресурс]. – Режим доступа: https://rus.sita.aero </w:t>
      </w:r>
    </w:p>
    <w:p w:rsidR="00D15DEA" w:rsidRPr="00CB06AE" w:rsidRDefault="00724342" w:rsidP="00724342">
      <w:pPr>
        <w:numPr>
          <w:ilvl w:val="0"/>
          <w:numId w:val="103"/>
        </w:numPr>
        <w:ind w:left="0" w:firstLine="425"/>
        <w:contextualSpacing/>
        <w:jc w:val="both"/>
        <w:rPr>
          <w:rFonts w:eastAsiaTheme="minorHAnsi"/>
          <w:sz w:val="22"/>
          <w:szCs w:val="22"/>
          <w:lang w:eastAsia="en-US"/>
        </w:rPr>
      </w:pPr>
      <w:r w:rsidRPr="00724342">
        <w:rPr>
          <w:rFonts w:eastAsiaTheme="minorHAnsi"/>
          <w:sz w:val="22"/>
          <w:szCs w:val="22"/>
          <w:lang w:eastAsia="en-US"/>
        </w:rPr>
        <w:t xml:space="preserve">Что такое Big data [Электронный ресурс]. – Режим доступа: https://rb.ru </w:t>
      </w:r>
    </w:p>
    <w:p w:rsidR="00724342" w:rsidRPr="00724342" w:rsidRDefault="00724342" w:rsidP="00724342">
      <w:pPr>
        <w:jc w:val="both"/>
        <w:rPr>
          <w:sz w:val="22"/>
          <w:szCs w:val="22"/>
        </w:rPr>
      </w:pPr>
      <w:r w:rsidRPr="00724342">
        <w:rPr>
          <w:sz w:val="22"/>
          <w:szCs w:val="22"/>
        </w:rPr>
        <w:lastRenderedPageBreak/>
        <w:t>УДК 636</w:t>
      </w:r>
    </w:p>
    <w:p w:rsidR="00724342" w:rsidRPr="00724342" w:rsidRDefault="00724342" w:rsidP="00724342">
      <w:pPr>
        <w:jc w:val="center"/>
        <w:rPr>
          <w:b/>
          <w:sz w:val="10"/>
          <w:szCs w:val="10"/>
          <w:highlight w:val="yellow"/>
        </w:rPr>
      </w:pPr>
    </w:p>
    <w:p w:rsidR="00724342" w:rsidRPr="00724342" w:rsidRDefault="00724342" w:rsidP="00724342">
      <w:pPr>
        <w:jc w:val="center"/>
        <w:rPr>
          <w:b/>
          <w:sz w:val="24"/>
          <w:szCs w:val="24"/>
        </w:rPr>
      </w:pPr>
      <w:r w:rsidRPr="00724342">
        <w:rPr>
          <w:b/>
          <w:sz w:val="24"/>
          <w:szCs w:val="24"/>
        </w:rPr>
        <w:t xml:space="preserve">Современное состояние и пути развития отрасли </w:t>
      </w:r>
    </w:p>
    <w:p w:rsidR="00724342" w:rsidRPr="00724342" w:rsidRDefault="00724342" w:rsidP="00724342">
      <w:pPr>
        <w:jc w:val="center"/>
        <w:rPr>
          <w:b/>
          <w:sz w:val="24"/>
          <w:szCs w:val="24"/>
          <w:lang w:val="en-US"/>
        </w:rPr>
      </w:pPr>
      <w:r w:rsidRPr="00724342">
        <w:rPr>
          <w:b/>
          <w:sz w:val="24"/>
          <w:szCs w:val="24"/>
        </w:rPr>
        <w:t>животноводства</w:t>
      </w:r>
      <w:r w:rsidRPr="00724342">
        <w:rPr>
          <w:b/>
          <w:sz w:val="24"/>
          <w:szCs w:val="24"/>
          <w:lang w:val="en-US"/>
        </w:rPr>
        <w:t xml:space="preserve"> </w:t>
      </w:r>
      <w:r w:rsidRPr="00724342">
        <w:rPr>
          <w:b/>
          <w:sz w:val="24"/>
          <w:szCs w:val="24"/>
        </w:rPr>
        <w:t>в</w:t>
      </w:r>
      <w:r w:rsidRPr="00724342">
        <w:rPr>
          <w:b/>
          <w:sz w:val="24"/>
          <w:szCs w:val="24"/>
          <w:lang w:val="en-US"/>
        </w:rPr>
        <w:t xml:space="preserve"> </w:t>
      </w:r>
      <w:r w:rsidRPr="00724342">
        <w:rPr>
          <w:b/>
          <w:sz w:val="24"/>
          <w:szCs w:val="24"/>
        </w:rPr>
        <w:t>России</w:t>
      </w:r>
      <w:r w:rsidRPr="00724342">
        <w:rPr>
          <w:b/>
          <w:sz w:val="24"/>
          <w:szCs w:val="24"/>
          <w:lang w:val="en-US"/>
        </w:rPr>
        <w:t xml:space="preserve"> </w:t>
      </w:r>
    </w:p>
    <w:p w:rsidR="00724342" w:rsidRPr="00724342" w:rsidRDefault="00724342" w:rsidP="00724342">
      <w:pPr>
        <w:jc w:val="center"/>
        <w:rPr>
          <w:b/>
          <w:sz w:val="24"/>
          <w:szCs w:val="24"/>
          <w:lang w:val="en-US"/>
        </w:rPr>
      </w:pPr>
      <w:r w:rsidRPr="00724342">
        <w:rPr>
          <w:b/>
          <w:sz w:val="24"/>
          <w:szCs w:val="24"/>
          <w:lang w:val="en-US"/>
        </w:rPr>
        <w:t xml:space="preserve">The current state and ways of development of the livestock </w:t>
      </w:r>
    </w:p>
    <w:p w:rsidR="00724342" w:rsidRPr="00C42DAC" w:rsidRDefault="00724342" w:rsidP="000C51E1">
      <w:pPr>
        <w:jc w:val="center"/>
        <w:rPr>
          <w:b/>
          <w:sz w:val="24"/>
          <w:szCs w:val="24"/>
          <w:lang w:val="en-US"/>
        </w:rPr>
      </w:pPr>
      <w:r w:rsidRPr="00724342">
        <w:rPr>
          <w:b/>
          <w:sz w:val="24"/>
          <w:szCs w:val="24"/>
          <w:lang w:val="en-US"/>
        </w:rPr>
        <w:t>sector in Russia</w:t>
      </w:r>
    </w:p>
    <w:p w:rsidR="00724342" w:rsidRPr="00724342" w:rsidRDefault="00724342" w:rsidP="00724342">
      <w:pPr>
        <w:jc w:val="right"/>
        <w:rPr>
          <w:sz w:val="22"/>
          <w:szCs w:val="22"/>
          <w:lang w:val="en-US"/>
        </w:rPr>
      </w:pPr>
      <w:r w:rsidRPr="00724342">
        <w:rPr>
          <w:sz w:val="22"/>
          <w:szCs w:val="22"/>
        </w:rPr>
        <w:t>Ткаченко</w:t>
      </w:r>
      <w:r w:rsidRPr="00724342">
        <w:rPr>
          <w:sz w:val="22"/>
          <w:szCs w:val="22"/>
          <w:lang w:val="en-US"/>
        </w:rPr>
        <w:t xml:space="preserve"> </w:t>
      </w:r>
      <w:r w:rsidRPr="00724342">
        <w:rPr>
          <w:sz w:val="22"/>
          <w:szCs w:val="22"/>
        </w:rPr>
        <w:t>Г</w:t>
      </w:r>
      <w:r w:rsidRPr="00724342">
        <w:rPr>
          <w:sz w:val="22"/>
          <w:szCs w:val="22"/>
          <w:lang w:val="en-US"/>
        </w:rPr>
        <w:t>.</w:t>
      </w:r>
      <w:r w:rsidR="00D15DEA" w:rsidRPr="00C56F2E">
        <w:rPr>
          <w:sz w:val="22"/>
          <w:szCs w:val="22"/>
          <w:lang w:val="en-US"/>
        </w:rPr>
        <w:t xml:space="preserve"> </w:t>
      </w:r>
      <w:r w:rsidRPr="00724342">
        <w:rPr>
          <w:sz w:val="22"/>
          <w:szCs w:val="22"/>
        </w:rPr>
        <w:t>В</w:t>
      </w:r>
      <w:r w:rsidRPr="00724342">
        <w:rPr>
          <w:sz w:val="22"/>
          <w:szCs w:val="22"/>
          <w:lang w:val="en-US"/>
        </w:rPr>
        <w:t>.,</w:t>
      </w:r>
    </w:p>
    <w:p w:rsidR="00724342" w:rsidRPr="00724342" w:rsidRDefault="00724342" w:rsidP="00724342">
      <w:pPr>
        <w:jc w:val="right"/>
        <w:rPr>
          <w:rFonts w:eastAsiaTheme="minorHAnsi"/>
          <w:spacing w:val="-2"/>
          <w:sz w:val="22"/>
          <w:szCs w:val="22"/>
          <w:lang w:eastAsia="en-US"/>
        </w:rPr>
      </w:pPr>
      <w:r w:rsidRPr="00724342">
        <w:rPr>
          <w:sz w:val="22"/>
          <w:szCs w:val="22"/>
        </w:rPr>
        <w:t>студент 4-го курса экономического факультета</w:t>
      </w:r>
      <w:r w:rsidRPr="00724342">
        <w:rPr>
          <w:rFonts w:eastAsiaTheme="minorHAnsi"/>
          <w:spacing w:val="-2"/>
          <w:sz w:val="22"/>
          <w:szCs w:val="22"/>
          <w:lang w:eastAsia="en-US"/>
        </w:rPr>
        <w:t xml:space="preserve">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Литвиненко Г.</w:t>
      </w:r>
      <w:r w:rsidR="00D15DEA">
        <w:rPr>
          <w:rFonts w:eastAsiaTheme="minorHAnsi"/>
          <w:spacing w:val="-2"/>
          <w:sz w:val="22"/>
          <w:szCs w:val="22"/>
          <w:lang w:eastAsia="en-US"/>
        </w:rPr>
        <w:t xml:space="preserve"> </w:t>
      </w:r>
      <w:r w:rsidRPr="00724342">
        <w:rPr>
          <w:rFonts w:eastAsiaTheme="minorHAnsi"/>
          <w:spacing w:val="-2"/>
          <w:sz w:val="22"/>
          <w:szCs w:val="22"/>
          <w:lang w:eastAsia="en-US"/>
        </w:rPr>
        <w:t xml:space="preserve">Н., </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к. э. н., доцент кафедры организации производства</w:t>
      </w:r>
    </w:p>
    <w:p w:rsidR="00724342" w:rsidRPr="00724342" w:rsidRDefault="00724342" w:rsidP="00724342">
      <w:pPr>
        <w:jc w:val="right"/>
        <w:rPr>
          <w:rFonts w:eastAsiaTheme="minorHAnsi"/>
          <w:spacing w:val="-2"/>
          <w:sz w:val="22"/>
          <w:szCs w:val="22"/>
          <w:lang w:eastAsia="en-US"/>
        </w:rPr>
      </w:pPr>
      <w:r w:rsidRPr="00724342">
        <w:rPr>
          <w:rFonts w:eastAsiaTheme="minorHAnsi"/>
          <w:spacing w:val="-2"/>
          <w:sz w:val="22"/>
          <w:szCs w:val="22"/>
          <w:lang w:eastAsia="en-US"/>
        </w:rPr>
        <w:t xml:space="preserve"> и инновационной деятельности</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widowControl w:val="0"/>
        <w:tabs>
          <w:tab w:val="left" w:pos="8223"/>
        </w:tabs>
        <w:jc w:val="right"/>
        <w:rPr>
          <w:rFonts w:eastAsia="Courier New"/>
          <w:color w:val="000000"/>
          <w:sz w:val="22"/>
          <w:szCs w:val="22"/>
        </w:rPr>
      </w:pPr>
    </w:p>
    <w:p w:rsidR="00724342" w:rsidRPr="00724342" w:rsidRDefault="00724342" w:rsidP="00D15DEA">
      <w:pPr>
        <w:ind w:firstLine="426"/>
        <w:jc w:val="both"/>
        <w:rPr>
          <w:color w:val="000000" w:themeColor="text1"/>
          <w:sz w:val="22"/>
          <w:szCs w:val="22"/>
        </w:rPr>
      </w:pPr>
      <w:r w:rsidRPr="00724342">
        <w:rPr>
          <w:sz w:val="22"/>
          <w:szCs w:val="22"/>
        </w:rPr>
        <w:t xml:space="preserve">АННОТАЦИЯ: </w:t>
      </w:r>
      <w:r w:rsidRPr="00724342">
        <w:rPr>
          <w:color w:val="000000" w:themeColor="text1"/>
          <w:sz w:val="22"/>
          <w:szCs w:val="22"/>
        </w:rPr>
        <w:t>Изучены проблемы, которые препятствуют э</w:t>
      </w:r>
      <w:r w:rsidRPr="00724342">
        <w:rPr>
          <w:color w:val="000000" w:themeColor="text1"/>
          <w:sz w:val="22"/>
          <w:szCs w:val="22"/>
        </w:rPr>
        <w:t>ф</w:t>
      </w:r>
      <w:r w:rsidRPr="00724342">
        <w:rPr>
          <w:color w:val="000000" w:themeColor="text1"/>
          <w:sz w:val="22"/>
          <w:szCs w:val="22"/>
        </w:rPr>
        <w:t>фективному развитию отрасли мясного скотоводства. Проанализ</w:t>
      </w:r>
      <w:r w:rsidRPr="00724342">
        <w:rPr>
          <w:color w:val="000000" w:themeColor="text1"/>
          <w:sz w:val="22"/>
          <w:szCs w:val="22"/>
        </w:rPr>
        <w:t>и</w:t>
      </w:r>
      <w:r w:rsidRPr="00724342">
        <w:rPr>
          <w:color w:val="000000" w:themeColor="text1"/>
          <w:sz w:val="22"/>
          <w:szCs w:val="22"/>
        </w:rPr>
        <w:t>рованы пути их решения. Дана оценка перспектив развития данной отрасли.</w:t>
      </w:r>
    </w:p>
    <w:p w:rsidR="00724342" w:rsidRPr="00724342" w:rsidRDefault="00724342" w:rsidP="00D15DEA">
      <w:pPr>
        <w:ind w:firstLine="426"/>
        <w:jc w:val="both"/>
        <w:rPr>
          <w:sz w:val="22"/>
          <w:szCs w:val="22"/>
          <w:lang w:val="en-US"/>
        </w:rPr>
      </w:pPr>
      <w:r w:rsidRPr="00724342">
        <w:rPr>
          <w:sz w:val="22"/>
          <w:szCs w:val="22"/>
          <w:lang w:val="en-US"/>
        </w:rPr>
        <w:t>ABSTRACT: Problems that hamper the effective development of the beef cattle breeding industry are studied. The ways of their solution are analyzed. The estimation of prospects of development of the given branch is given.</w:t>
      </w:r>
    </w:p>
    <w:p w:rsidR="00724342" w:rsidRPr="00724342" w:rsidRDefault="00724342" w:rsidP="00D15DEA">
      <w:pPr>
        <w:ind w:firstLine="426"/>
        <w:jc w:val="both"/>
        <w:rPr>
          <w:sz w:val="22"/>
          <w:szCs w:val="22"/>
        </w:rPr>
      </w:pPr>
      <w:r w:rsidRPr="00724342">
        <w:rPr>
          <w:sz w:val="22"/>
          <w:szCs w:val="22"/>
        </w:rPr>
        <w:t>КЛЮЧЕВЫЕ СЛОВА: животноводство, мясные породы скот</w:t>
      </w:r>
      <w:r w:rsidRPr="00724342">
        <w:rPr>
          <w:sz w:val="22"/>
          <w:szCs w:val="22"/>
        </w:rPr>
        <w:t>о</w:t>
      </w:r>
      <w:r w:rsidRPr="00724342">
        <w:rPr>
          <w:sz w:val="22"/>
          <w:szCs w:val="22"/>
        </w:rPr>
        <w:t>водство, государственная поддержка.</w:t>
      </w:r>
    </w:p>
    <w:p w:rsidR="00724342" w:rsidRPr="00724342" w:rsidRDefault="00724342" w:rsidP="00D15DEA">
      <w:pPr>
        <w:ind w:firstLine="426"/>
        <w:jc w:val="both"/>
        <w:rPr>
          <w:sz w:val="22"/>
          <w:szCs w:val="22"/>
          <w:lang w:val="en-US"/>
        </w:rPr>
      </w:pPr>
      <w:r w:rsidRPr="00724342">
        <w:rPr>
          <w:sz w:val="22"/>
          <w:szCs w:val="22"/>
        </w:rPr>
        <w:t xml:space="preserve"> </w:t>
      </w:r>
      <w:r w:rsidRPr="00724342">
        <w:rPr>
          <w:sz w:val="22"/>
          <w:szCs w:val="22"/>
          <w:lang w:val="en-US"/>
        </w:rPr>
        <w:t>KEYWORDS: livestock, meat breeds of cattle, state support.</w:t>
      </w:r>
    </w:p>
    <w:p w:rsidR="00724342" w:rsidRPr="00724342" w:rsidRDefault="00724342" w:rsidP="00D15DEA">
      <w:pPr>
        <w:ind w:firstLine="426"/>
        <w:jc w:val="both"/>
        <w:rPr>
          <w:sz w:val="22"/>
          <w:szCs w:val="22"/>
          <w:lang w:val="en-US"/>
        </w:rPr>
      </w:pPr>
    </w:p>
    <w:p w:rsidR="00724342" w:rsidRPr="00724342" w:rsidRDefault="00724342" w:rsidP="00CB06AE">
      <w:pPr>
        <w:ind w:firstLine="426"/>
        <w:jc w:val="both"/>
        <w:rPr>
          <w:sz w:val="22"/>
          <w:szCs w:val="22"/>
        </w:rPr>
      </w:pPr>
      <w:r w:rsidRPr="00724342">
        <w:rPr>
          <w:sz w:val="22"/>
          <w:szCs w:val="22"/>
        </w:rPr>
        <w:t>Животноводство является одной из главных сфер в сельском хозяйстве, но и в жизни страны. Продуманная и грамотная политика в данной сфере позволяет обеспечить одну из сторон продуктовой безопасности, а также предоставлять жителям своей страны кач</w:t>
      </w:r>
      <w:r w:rsidRPr="00724342">
        <w:rPr>
          <w:sz w:val="22"/>
          <w:szCs w:val="22"/>
        </w:rPr>
        <w:t>е</w:t>
      </w:r>
      <w:r w:rsidRPr="00724342">
        <w:rPr>
          <w:sz w:val="22"/>
          <w:szCs w:val="22"/>
        </w:rPr>
        <w:t>ственную продукцию [6].</w:t>
      </w:r>
      <w:r w:rsidR="00CB06AE">
        <w:rPr>
          <w:sz w:val="22"/>
          <w:szCs w:val="22"/>
        </w:rPr>
        <w:t xml:space="preserve"> </w:t>
      </w:r>
      <w:r w:rsidRPr="00724342">
        <w:rPr>
          <w:sz w:val="22"/>
          <w:szCs w:val="22"/>
        </w:rPr>
        <w:t>Особенно остро вопрос о мясном живо</w:t>
      </w:r>
      <w:r w:rsidRPr="00724342">
        <w:rPr>
          <w:sz w:val="22"/>
          <w:szCs w:val="22"/>
        </w:rPr>
        <w:t>т</w:t>
      </w:r>
      <w:r w:rsidRPr="00724342">
        <w:rPr>
          <w:sz w:val="22"/>
          <w:szCs w:val="22"/>
        </w:rPr>
        <w:t>новодстве стал после того, как ряд стран ввели санкции против Ро</w:t>
      </w:r>
      <w:r w:rsidRPr="00724342">
        <w:rPr>
          <w:sz w:val="22"/>
          <w:szCs w:val="22"/>
        </w:rPr>
        <w:t>с</w:t>
      </w:r>
      <w:r w:rsidRPr="00724342">
        <w:rPr>
          <w:sz w:val="22"/>
          <w:szCs w:val="22"/>
        </w:rPr>
        <w:t>сии, тем самым нашей стране представилась возможность укрепить и развить подотрасль мясного скотоводства [4].</w:t>
      </w:r>
    </w:p>
    <w:p w:rsidR="00724342" w:rsidRPr="00724342" w:rsidRDefault="00724342" w:rsidP="00D15DEA">
      <w:pPr>
        <w:ind w:firstLine="426"/>
        <w:jc w:val="both"/>
        <w:rPr>
          <w:sz w:val="22"/>
          <w:szCs w:val="22"/>
        </w:rPr>
      </w:pPr>
      <w:r w:rsidRPr="00724342">
        <w:rPr>
          <w:sz w:val="22"/>
          <w:szCs w:val="22"/>
        </w:rPr>
        <w:t xml:space="preserve">Стоит указать, что развитие отрасли сталкивается с такими проблемами как [7]:  </w:t>
      </w:r>
    </w:p>
    <w:p w:rsidR="00724342" w:rsidRPr="00724342" w:rsidRDefault="00724342" w:rsidP="00D15DEA">
      <w:pPr>
        <w:ind w:firstLine="426"/>
        <w:jc w:val="both"/>
        <w:rPr>
          <w:sz w:val="22"/>
          <w:szCs w:val="22"/>
        </w:rPr>
      </w:pPr>
      <w:r w:rsidRPr="00724342">
        <w:rPr>
          <w:sz w:val="22"/>
          <w:szCs w:val="22"/>
        </w:rPr>
        <w:t>Во-первых - с точки зрения привлечения инвестиций эта о</w:t>
      </w:r>
      <w:r w:rsidRPr="00724342">
        <w:rPr>
          <w:sz w:val="22"/>
          <w:szCs w:val="22"/>
        </w:rPr>
        <w:t>т</w:t>
      </w:r>
      <w:r w:rsidRPr="00724342">
        <w:rPr>
          <w:sz w:val="22"/>
          <w:szCs w:val="22"/>
        </w:rPr>
        <w:t>расль является наиболее инерционной, в сравнении с другими о</w:t>
      </w:r>
      <w:r w:rsidRPr="00724342">
        <w:rPr>
          <w:sz w:val="22"/>
          <w:szCs w:val="22"/>
        </w:rPr>
        <w:t>т</w:t>
      </w:r>
      <w:r w:rsidRPr="00724342">
        <w:rPr>
          <w:sz w:val="22"/>
          <w:szCs w:val="22"/>
        </w:rPr>
        <w:lastRenderedPageBreak/>
        <w:t xml:space="preserve">раслями сельского хозяйства, что связано с труднодоступностью кредитных ресурсов и большим сроком окупаемости проектов. </w:t>
      </w:r>
    </w:p>
    <w:p w:rsidR="00724342" w:rsidRPr="00724342" w:rsidRDefault="00724342" w:rsidP="00D15DEA">
      <w:pPr>
        <w:ind w:firstLine="426"/>
        <w:jc w:val="both"/>
        <w:rPr>
          <w:sz w:val="22"/>
          <w:szCs w:val="22"/>
        </w:rPr>
      </w:pPr>
      <w:r w:rsidRPr="00724342">
        <w:rPr>
          <w:sz w:val="22"/>
          <w:szCs w:val="22"/>
        </w:rPr>
        <w:t>Во-вторых - отсутствие современной инфраструктуры в отра</w:t>
      </w:r>
      <w:r w:rsidRPr="00724342">
        <w:rPr>
          <w:sz w:val="22"/>
          <w:szCs w:val="22"/>
        </w:rPr>
        <w:t>с</w:t>
      </w:r>
      <w:r w:rsidRPr="00724342">
        <w:rPr>
          <w:sz w:val="22"/>
          <w:szCs w:val="22"/>
        </w:rPr>
        <w:t xml:space="preserve">ли. </w:t>
      </w:r>
    </w:p>
    <w:p w:rsidR="00724342" w:rsidRPr="00724342" w:rsidRDefault="00724342" w:rsidP="00D15DEA">
      <w:pPr>
        <w:ind w:firstLine="426"/>
        <w:jc w:val="both"/>
        <w:rPr>
          <w:sz w:val="22"/>
          <w:szCs w:val="22"/>
        </w:rPr>
      </w:pPr>
      <w:r w:rsidRPr="00724342">
        <w:rPr>
          <w:sz w:val="22"/>
          <w:szCs w:val="22"/>
        </w:rPr>
        <w:t>В-третьих – нехватка специалистов. Как и другие отрасли сел</w:t>
      </w:r>
      <w:r w:rsidRPr="00724342">
        <w:rPr>
          <w:sz w:val="22"/>
          <w:szCs w:val="22"/>
        </w:rPr>
        <w:t>ь</w:t>
      </w:r>
      <w:r w:rsidRPr="00724342">
        <w:rPr>
          <w:sz w:val="22"/>
          <w:szCs w:val="22"/>
        </w:rPr>
        <w:t xml:space="preserve">ского хозяйства в нашей стране, мясное скотоводство испытывает кадровый «голод» [3]. </w:t>
      </w:r>
    </w:p>
    <w:p w:rsidR="00724342" w:rsidRPr="00724342" w:rsidRDefault="00724342" w:rsidP="00D15DEA">
      <w:pPr>
        <w:ind w:firstLine="426"/>
        <w:jc w:val="both"/>
        <w:rPr>
          <w:sz w:val="22"/>
          <w:szCs w:val="22"/>
        </w:rPr>
      </w:pPr>
      <w:r w:rsidRPr="00724342">
        <w:rPr>
          <w:sz w:val="22"/>
          <w:szCs w:val="22"/>
        </w:rPr>
        <w:t>В-четвертых – в нашей стране доля мясных пород КРС в ж</w:t>
      </w:r>
      <w:r w:rsidRPr="00724342">
        <w:rPr>
          <w:sz w:val="22"/>
          <w:szCs w:val="22"/>
        </w:rPr>
        <w:t>и</w:t>
      </w:r>
      <w:r w:rsidRPr="00724342">
        <w:rPr>
          <w:sz w:val="22"/>
          <w:szCs w:val="22"/>
        </w:rPr>
        <w:t>вотноводстве составляет всего 10%, для сравнения - в развитых странах она достигает до 80%.</w:t>
      </w:r>
    </w:p>
    <w:p w:rsidR="00724342" w:rsidRPr="00724342" w:rsidRDefault="00724342" w:rsidP="00D15DEA">
      <w:pPr>
        <w:ind w:firstLine="426"/>
        <w:jc w:val="both"/>
        <w:rPr>
          <w:sz w:val="22"/>
          <w:szCs w:val="22"/>
        </w:rPr>
      </w:pPr>
      <w:r w:rsidRPr="00724342">
        <w:rPr>
          <w:sz w:val="22"/>
          <w:szCs w:val="22"/>
        </w:rPr>
        <w:t xml:space="preserve">Решение данных проблем делится на две категории: </w:t>
      </w:r>
    </w:p>
    <w:p w:rsidR="00724342" w:rsidRPr="00724342" w:rsidRDefault="00724342" w:rsidP="00D15DEA">
      <w:pPr>
        <w:ind w:firstLine="426"/>
        <w:jc w:val="both"/>
        <w:rPr>
          <w:sz w:val="22"/>
          <w:szCs w:val="22"/>
        </w:rPr>
      </w:pPr>
      <w:r w:rsidRPr="00724342">
        <w:rPr>
          <w:sz w:val="22"/>
          <w:szCs w:val="22"/>
        </w:rPr>
        <w:t>1. Внешняя - это привлечение инвестиций для реализации пр</w:t>
      </w:r>
      <w:r w:rsidRPr="00724342">
        <w:rPr>
          <w:sz w:val="22"/>
          <w:szCs w:val="22"/>
        </w:rPr>
        <w:t>о</w:t>
      </w:r>
      <w:r w:rsidRPr="00724342">
        <w:rPr>
          <w:sz w:val="22"/>
          <w:szCs w:val="22"/>
        </w:rPr>
        <w:t>ектов, например, по закупке и внедрению голов мясных пород КРС в племенных хозяйствах. Субсидирование государством коммерч</w:t>
      </w:r>
      <w:r w:rsidRPr="00724342">
        <w:rPr>
          <w:sz w:val="22"/>
          <w:szCs w:val="22"/>
        </w:rPr>
        <w:t>е</w:t>
      </w:r>
      <w:r w:rsidRPr="00724342">
        <w:rPr>
          <w:sz w:val="22"/>
          <w:szCs w:val="22"/>
        </w:rPr>
        <w:t>ской деятельности предприятий и фермерских хозяйств. Развитие инфраструктуры: формирование цивилизованного рынка по прод</w:t>
      </w:r>
      <w:r w:rsidRPr="00724342">
        <w:rPr>
          <w:sz w:val="22"/>
          <w:szCs w:val="22"/>
        </w:rPr>
        <w:t>а</w:t>
      </w:r>
      <w:r w:rsidRPr="00724342">
        <w:rPr>
          <w:sz w:val="22"/>
          <w:szCs w:val="22"/>
        </w:rPr>
        <w:t>же скота (скотные биржи), логистическая инфраструктура, перер</w:t>
      </w:r>
      <w:r w:rsidRPr="00724342">
        <w:rPr>
          <w:sz w:val="22"/>
          <w:szCs w:val="22"/>
        </w:rPr>
        <w:t>а</w:t>
      </w:r>
      <w:r w:rsidRPr="00724342">
        <w:rPr>
          <w:sz w:val="22"/>
          <w:szCs w:val="22"/>
        </w:rPr>
        <w:t>ботка (убой и первичная переработка), идентификация скота, ста</w:t>
      </w:r>
      <w:r w:rsidRPr="00724342">
        <w:rPr>
          <w:sz w:val="22"/>
          <w:szCs w:val="22"/>
        </w:rPr>
        <w:t>н</w:t>
      </w:r>
      <w:r w:rsidRPr="00724342">
        <w:rPr>
          <w:sz w:val="22"/>
          <w:szCs w:val="22"/>
        </w:rPr>
        <w:t>дарты на высококачественную говядину</w:t>
      </w:r>
    </w:p>
    <w:p w:rsidR="00724342" w:rsidRPr="00724342" w:rsidRDefault="00724342" w:rsidP="00D15DEA">
      <w:pPr>
        <w:ind w:firstLine="426"/>
        <w:jc w:val="both"/>
        <w:rPr>
          <w:sz w:val="22"/>
          <w:szCs w:val="22"/>
        </w:rPr>
      </w:pPr>
      <w:r w:rsidRPr="00724342">
        <w:rPr>
          <w:sz w:val="22"/>
          <w:szCs w:val="22"/>
        </w:rPr>
        <w:t>2. Внутренняя - это разработка и внедрение более современных и экономически выгодных методов ведения хозяйственной деятел</w:t>
      </w:r>
      <w:r w:rsidRPr="00724342">
        <w:rPr>
          <w:sz w:val="22"/>
          <w:szCs w:val="22"/>
        </w:rPr>
        <w:t>ь</w:t>
      </w:r>
      <w:r w:rsidRPr="00724342">
        <w:rPr>
          <w:sz w:val="22"/>
          <w:szCs w:val="22"/>
        </w:rPr>
        <w:t>ности [5]. Упрощение документооборота и делопроизводства вну</w:t>
      </w:r>
      <w:r w:rsidRPr="00724342">
        <w:rPr>
          <w:sz w:val="22"/>
          <w:szCs w:val="22"/>
        </w:rPr>
        <w:t>т</w:t>
      </w:r>
      <w:r w:rsidRPr="00724342">
        <w:rPr>
          <w:sz w:val="22"/>
          <w:szCs w:val="22"/>
        </w:rPr>
        <w:t>ри предприятий. Создание условий для привлечения опытных, а также молодых специалистов, налаживание информационных св</w:t>
      </w:r>
      <w:r w:rsidRPr="00724342">
        <w:rPr>
          <w:sz w:val="22"/>
          <w:szCs w:val="22"/>
        </w:rPr>
        <w:t>я</w:t>
      </w:r>
      <w:r w:rsidRPr="00724342">
        <w:rPr>
          <w:sz w:val="22"/>
          <w:szCs w:val="22"/>
        </w:rPr>
        <w:t xml:space="preserve">зей между организациями в животноводческой сфере для передачи опыта в решении различных проблем. </w:t>
      </w:r>
    </w:p>
    <w:p w:rsidR="00724342" w:rsidRPr="00724342" w:rsidRDefault="00724342" w:rsidP="00D15DEA">
      <w:pPr>
        <w:ind w:firstLine="426"/>
        <w:jc w:val="both"/>
        <w:rPr>
          <w:sz w:val="22"/>
          <w:szCs w:val="22"/>
        </w:rPr>
      </w:pPr>
      <w:r w:rsidRPr="00724342">
        <w:rPr>
          <w:sz w:val="22"/>
          <w:szCs w:val="22"/>
        </w:rPr>
        <w:t xml:space="preserve">Дальнейшее развитие </w:t>
      </w:r>
      <w:r w:rsidRPr="00724342">
        <w:rPr>
          <w:bCs/>
          <w:sz w:val="22"/>
          <w:szCs w:val="22"/>
        </w:rPr>
        <w:t>мясного скотоводства</w:t>
      </w:r>
      <w:r w:rsidRPr="00724342">
        <w:rPr>
          <w:b/>
          <w:bCs/>
          <w:sz w:val="22"/>
          <w:szCs w:val="22"/>
        </w:rPr>
        <w:t xml:space="preserve"> </w:t>
      </w:r>
      <w:r w:rsidRPr="00724342">
        <w:rPr>
          <w:sz w:val="22"/>
          <w:szCs w:val="22"/>
        </w:rPr>
        <w:t>зависит от многих факторов, из них выделим три основных взаимосвязанных фактора: уровень государственной поддержки, доступность кредитных р</w:t>
      </w:r>
      <w:r w:rsidRPr="00724342">
        <w:rPr>
          <w:sz w:val="22"/>
          <w:szCs w:val="22"/>
        </w:rPr>
        <w:t>е</w:t>
      </w:r>
      <w:r w:rsidRPr="00724342">
        <w:rPr>
          <w:sz w:val="22"/>
          <w:szCs w:val="22"/>
        </w:rPr>
        <w:t>сурсов и уровень рентабельности в отрасли [2].</w:t>
      </w:r>
    </w:p>
    <w:p w:rsidR="00724342" w:rsidRPr="00CB06AE" w:rsidRDefault="00724342" w:rsidP="00CB06AE">
      <w:pPr>
        <w:ind w:firstLine="426"/>
        <w:jc w:val="both"/>
        <w:rPr>
          <w:sz w:val="22"/>
          <w:szCs w:val="22"/>
        </w:rPr>
      </w:pPr>
      <w:r w:rsidRPr="00724342">
        <w:rPr>
          <w:sz w:val="22"/>
          <w:szCs w:val="22"/>
        </w:rPr>
        <w:t>В новой Государственной программе развития сельского х</w:t>
      </w:r>
      <w:r w:rsidRPr="00724342">
        <w:rPr>
          <w:sz w:val="22"/>
          <w:szCs w:val="22"/>
        </w:rPr>
        <w:t>о</w:t>
      </w:r>
      <w:r w:rsidRPr="00724342">
        <w:rPr>
          <w:sz w:val="22"/>
          <w:szCs w:val="22"/>
        </w:rPr>
        <w:t>зяйства на 2013–2020 годы выделено на развитие мясного скотово</w:t>
      </w:r>
      <w:r w:rsidRPr="00724342">
        <w:rPr>
          <w:sz w:val="22"/>
          <w:szCs w:val="22"/>
        </w:rPr>
        <w:t>д</w:t>
      </w:r>
      <w:r w:rsidRPr="00724342">
        <w:rPr>
          <w:sz w:val="22"/>
          <w:szCs w:val="22"/>
        </w:rPr>
        <w:t>ства из федерального бюджета средств в объеме 65,4 млрд. рублей.</w:t>
      </w:r>
      <w:r w:rsidR="00CB06AE">
        <w:rPr>
          <w:sz w:val="22"/>
          <w:szCs w:val="22"/>
        </w:rPr>
        <w:t xml:space="preserve"> </w:t>
      </w:r>
      <w:r w:rsidRPr="00724342">
        <w:rPr>
          <w:sz w:val="22"/>
          <w:szCs w:val="22"/>
        </w:rPr>
        <w:t>Новый порядок субсидирования инвестиционных кредитов пред</w:t>
      </w:r>
      <w:r w:rsidRPr="00724342">
        <w:rPr>
          <w:sz w:val="22"/>
          <w:szCs w:val="22"/>
        </w:rPr>
        <w:t>у</w:t>
      </w:r>
      <w:r w:rsidRPr="00724342">
        <w:rPr>
          <w:sz w:val="22"/>
          <w:szCs w:val="22"/>
        </w:rPr>
        <w:t>сматривает возможность получения субсидируемых кредитов на мясное скотоводство до 15 лет.</w:t>
      </w:r>
      <w:r w:rsidR="00CB06AE">
        <w:rPr>
          <w:sz w:val="22"/>
          <w:szCs w:val="22"/>
        </w:rPr>
        <w:t xml:space="preserve"> </w:t>
      </w:r>
      <w:r w:rsidRPr="00724342">
        <w:rPr>
          <w:sz w:val="22"/>
          <w:szCs w:val="22"/>
        </w:rPr>
        <w:t>Заложенные Государственной пр</w:t>
      </w:r>
      <w:r w:rsidRPr="00724342">
        <w:rPr>
          <w:sz w:val="22"/>
          <w:szCs w:val="22"/>
        </w:rPr>
        <w:t>о</w:t>
      </w:r>
      <w:r w:rsidRPr="00724342">
        <w:rPr>
          <w:sz w:val="22"/>
          <w:szCs w:val="22"/>
        </w:rPr>
        <w:t xml:space="preserve">граммой меры поддержки развития мясного скотоводства должны </w:t>
      </w:r>
      <w:r w:rsidRPr="00724342">
        <w:rPr>
          <w:sz w:val="22"/>
          <w:szCs w:val="22"/>
        </w:rPr>
        <w:lastRenderedPageBreak/>
        <w:t>обеспечить прирост поголовья мясных пород к 2020 году до 3,6 млн. голов.</w:t>
      </w:r>
    </w:p>
    <w:p w:rsidR="00724342" w:rsidRPr="00724342" w:rsidRDefault="00724342" w:rsidP="00D15DEA">
      <w:pPr>
        <w:ind w:firstLine="426"/>
        <w:jc w:val="center"/>
        <w:rPr>
          <w:sz w:val="22"/>
          <w:szCs w:val="22"/>
          <w:lang w:val="en-US"/>
        </w:rPr>
      </w:pPr>
      <w:r w:rsidRPr="00724342">
        <w:rPr>
          <w:sz w:val="22"/>
          <w:szCs w:val="22"/>
        </w:rPr>
        <w:t>Список</w:t>
      </w:r>
      <w:r w:rsidRPr="00724342">
        <w:rPr>
          <w:sz w:val="22"/>
          <w:szCs w:val="22"/>
          <w:lang w:val="en-US"/>
        </w:rPr>
        <w:t xml:space="preserve"> </w:t>
      </w:r>
      <w:r w:rsidRPr="00724342">
        <w:rPr>
          <w:sz w:val="22"/>
          <w:szCs w:val="22"/>
        </w:rPr>
        <w:t>литературы</w:t>
      </w:r>
    </w:p>
    <w:p w:rsidR="00724342" w:rsidRPr="00724342" w:rsidRDefault="00724342" w:rsidP="00D15DEA">
      <w:pPr>
        <w:ind w:firstLine="426"/>
        <w:jc w:val="both"/>
        <w:rPr>
          <w:sz w:val="22"/>
          <w:szCs w:val="22"/>
          <w:lang w:val="en-US"/>
        </w:rPr>
      </w:pPr>
      <w:r w:rsidRPr="00724342">
        <w:rPr>
          <w:sz w:val="22"/>
          <w:szCs w:val="22"/>
          <w:lang w:val="en-US"/>
        </w:rPr>
        <w:t>1. Sukhareva O. A. Relevance perspective directions for develo</w:t>
      </w:r>
      <w:r w:rsidRPr="00724342">
        <w:rPr>
          <w:sz w:val="22"/>
          <w:szCs w:val="22"/>
          <w:lang w:val="en-US"/>
        </w:rPr>
        <w:t>p</w:t>
      </w:r>
      <w:r w:rsidRPr="00724342">
        <w:rPr>
          <w:sz w:val="22"/>
          <w:szCs w:val="22"/>
          <w:lang w:val="en-US"/>
        </w:rPr>
        <w:t xml:space="preserve">ment infrastructure of plant growing branch in the conditions of the south of Russia / </w:t>
      </w:r>
      <w:r w:rsidR="009D0151">
        <w:fldChar w:fldCharType="begin"/>
      </w:r>
      <w:r w:rsidR="009D0151" w:rsidRPr="009D0151">
        <w:rPr>
          <w:lang w:val="en-US"/>
        </w:rPr>
        <w:instrText xml:space="preserve"> HYPERLINK "https://elibrary.ru/author_items.asp?refid=454773857&amp;fam=Sukhareva&amp;init=O+A" </w:instrText>
      </w:r>
      <w:r w:rsidR="009D0151">
        <w:fldChar w:fldCharType="separate"/>
      </w:r>
      <w:r w:rsidRPr="00724342">
        <w:rPr>
          <w:sz w:val="22"/>
          <w:szCs w:val="22"/>
          <w:lang w:val="en-US"/>
        </w:rPr>
        <w:t>O. A. Sukhareva</w:t>
      </w:r>
      <w:r w:rsidR="009D0151">
        <w:rPr>
          <w:sz w:val="22"/>
          <w:szCs w:val="22"/>
          <w:lang w:val="en-US"/>
        </w:rPr>
        <w:fldChar w:fldCharType="end"/>
      </w:r>
      <w:r w:rsidRPr="00724342">
        <w:rPr>
          <w:sz w:val="22"/>
          <w:szCs w:val="22"/>
          <w:lang w:val="en-US"/>
        </w:rPr>
        <w:t>, </w:t>
      </w:r>
      <w:r w:rsidR="009D0151">
        <w:fldChar w:fldCharType="begin"/>
      </w:r>
      <w:r w:rsidR="009D0151" w:rsidRPr="009D0151">
        <w:rPr>
          <w:lang w:val="en-US"/>
        </w:rPr>
        <w:instrText xml:space="preserve"> HYPERLINK "https://elibrary.ru/author_items.asp?refid=454773857&amp;fam=Novikova&amp;init</w:instrText>
      </w:r>
      <w:r w:rsidR="009D0151" w:rsidRPr="009D0151">
        <w:rPr>
          <w:lang w:val="en-US"/>
        </w:rPr>
        <w:instrText xml:space="preserve">=V+S" </w:instrText>
      </w:r>
      <w:r w:rsidR="009D0151">
        <w:fldChar w:fldCharType="separate"/>
      </w:r>
      <w:r w:rsidRPr="00724342">
        <w:rPr>
          <w:sz w:val="22"/>
          <w:szCs w:val="22"/>
          <w:lang w:val="en-US"/>
        </w:rPr>
        <w:t>V. S. Novikova</w:t>
      </w:r>
      <w:r w:rsidR="009D0151">
        <w:rPr>
          <w:sz w:val="22"/>
          <w:szCs w:val="22"/>
          <w:lang w:val="en-US"/>
        </w:rPr>
        <w:fldChar w:fldCharType="end"/>
      </w:r>
      <w:r w:rsidRPr="00724342">
        <w:rPr>
          <w:sz w:val="22"/>
          <w:szCs w:val="22"/>
          <w:lang w:val="en-US"/>
        </w:rPr>
        <w:t xml:space="preserve"> // Modern European Researches. </w:t>
      </w:r>
      <w:r w:rsidRPr="00724342">
        <w:rPr>
          <w:rFonts w:eastAsia="Yu Mincho"/>
          <w:sz w:val="22"/>
          <w:szCs w:val="22"/>
          <w:lang w:val="en-US" w:eastAsia="en-US"/>
        </w:rPr>
        <w:t xml:space="preserve">– </w:t>
      </w:r>
      <w:r w:rsidRPr="00724342">
        <w:rPr>
          <w:sz w:val="22"/>
          <w:szCs w:val="22"/>
          <w:lang w:val="en-US"/>
        </w:rPr>
        <w:t>2017. -№2. -p. 137-144. </w:t>
      </w:r>
    </w:p>
    <w:p w:rsidR="00724342" w:rsidRPr="00724342" w:rsidRDefault="00724342" w:rsidP="00D15DEA">
      <w:pPr>
        <w:ind w:firstLine="426"/>
        <w:jc w:val="both"/>
        <w:rPr>
          <w:sz w:val="22"/>
          <w:szCs w:val="22"/>
        </w:rPr>
      </w:pPr>
      <w:r w:rsidRPr="00724342">
        <w:rPr>
          <w:sz w:val="22"/>
          <w:szCs w:val="22"/>
        </w:rPr>
        <w:t xml:space="preserve">2. </w:t>
      </w:r>
      <w:hyperlink r:id="rId327" w:history="1">
        <w:r w:rsidRPr="00724342">
          <w:rPr>
            <w:sz w:val="22"/>
            <w:szCs w:val="22"/>
          </w:rPr>
          <w:t>Бершицкий Ю.И.</w:t>
        </w:r>
      </w:hyperlink>
      <w:r w:rsidRPr="00724342">
        <w:rPr>
          <w:sz w:val="22"/>
          <w:szCs w:val="22"/>
          <w:lang w:val="en-US"/>
        </w:rPr>
        <w:t> </w:t>
      </w:r>
      <w:r w:rsidRPr="00724342">
        <w:rPr>
          <w:sz w:val="22"/>
          <w:szCs w:val="22"/>
        </w:rPr>
        <w:t>Экономический анализ производства мяса КРС в России и Краснодарском крае/</w:t>
      </w:r>
      <w:hyperlink r:id="rId328" w:history="1">
        <w:r w:rsidRPr="00724342">
          <w:rPr>
            <w:sz w:val="22"/>
            <w:szCs w:val="22"/>
          </w:rPr>
          <w:t>Бершицкий Ю.И.</w:t>
        </w:r>
      </w:hyperlink>
      <w:r w:rsidRPr="00724342">
        <w:rPr>
          <w:sz w:val="22"/>
          <w:szCs w:val="22"/>
        </w:rPr>
        <w:t>,</w:t>
      </w:r>
      <w:r w:rsidRPr="00724342">
        <w:rPr>
          <w:sz w:val="22"/>
          <w:szCs w:val="22"/>
          <w:lang w:val="en-US"/>
        </w:rPr>
        <w:t> </w:t>
      </w:r>
      <w:hyperlink r:id="rId329" w:history="1">
        <w:r w:rsidRPr="00724342">
          <w:rPr>
            <w:sz w:val="22"/>
            <w:szCs w:val="22"/>
          </w:rPr>
          <w:t>Сайфетдинов А.Р.</w:t>
        </w:r>
      </w:hyperlink>
      <w:r w:rsidRPr="00724342">
        <w:rPr>
          <w:sz w:val="22"/>
          <w:szCs w:val="22"/>
        </w:rPr>
        <w:t xml:space="preserve"> // </w:t>
      </w:r>
      <w:hyperlink r:id="rId330" w:tooltip="Политематический сетевой электронный научный журнал Кубанского государственного аграрного университета" w:history="1">
        <w:r w:rsidRPr="00724342">
          <w:rPr>
            <w:sz w:val="22"/>
            <w:szCs w:val="22"/>
          </w:rPr>
          <w:t>Политематический сетевой электронный научный журнал Кубанского государственного аграрного универс</w:t>
        </w:r>
        <w:r w:rsidRPr="00724342">
          <w:rPr>
            <w:sz w:val="22"/>
            <w:szCs w:val="22"/>
          </w:rPr>
          <w:t>и</w:t>
        </w:r>
        <w:r w:rsidRPr="00724342">
          <w:rPr>
            <w:sz w:val="22"/>
            <w:szCs w:val="22"/>
          </w:rPr>
          <w:t>тета</w:t>
        </w:r>
      </w:hyperlink>
      <w:r w:rsidRPr="00724342">
        <w:rPr>
          <w:sz w:val="22"/>
          <w:szCs w:val="22"/>
          <w:lang w:val="en-US"/>
        </w:rPr>
        <w:t> </w:t>
      </w:r>
      <w:r w:rsidRPr="00724342">
        <w:rPr>
          <w:rFonts w:eastAsia="Yu Mincho"/>
          <w:sz w:val="22"/>
          <w:szCs w:val="22"/>
          <w:lang w:eastAsia="en-US"/>
        </w:rPr>
        <w:t xml:space="preserve">– </w:t>
      </w:r>
      <w:r w:rsidRPr="00724342">
        <w:rPr>
          <w:sz w:val="22"/>
          <w:szCs w:val="22"/>
        </w:rPr>
        <w:t xml:space="preserve">2016. -117(03) </w:t>
      </w:r>
      <w:r w:rsidRPr="00724342">
        <w:rPr>
          <w:rFonts w:eastAsia="Yu Mincho"/>
          <w:sz w:val="22"/>
          <w:szCs w:val="22"/>
          <w:lang w:eastAsia="en-US"/>
        </w:rPr>
        <w:t xml:space="preserve">– </w:t>
      </w:r>
      <w:r w:rsidRPr="00724342">
        <w:rPr>
          <w:sz w:val="22"/>
          <w:szCs w:val="22"/>
        </w:rPr>
        <w:t>с. 1046-1059. Режим дост</w:t>
      </w:r>
      <w:r w:rsidRPr="00724342">
        <w:rPr>
          <w:sz w:val="22"/>
          <w:szCs w:val="22"/>
        </w:rPr>
        <w:t>у</w:t>
      </w:r>
      <w:r w:rsidRPr="00724342">
        <w:rPr>
          <w:sz w:val="22"/>
          <w:szCs w:val="22"/>
        </w:rPr>
        <w:t>па:</w:t>
      </w:r>
      <w:r w:rsidRPr="00724342">
        <w:rPr>
          <w:sz w:val="22"/>
          <w:szCs w:val="22"/>
          <w:lang w:val="en-US"/>
        </w:rPr>
        <w:t> </w:t>
      </w:r>
      <w:hyperlink r:id="rId331" w:tgtFrame="_new" w:history="1">
        <w:r w:rsidRPr="00724342">
          <w:rPr>
            <w:sz w:val="22"/>
            <w:szCs w:val="22"/>
            <w:lang w:val="en-US"/>
          </w:rPr>
          <w:t>http</w:t>
        </w:r>
        <w:r w:rsidRPr="00724342">
          <w:rPr>
            <w:sz w:val="22"/>
            <w:szCs w:val="22"/>
          </w:rPr>
          <w:t>://</w:t>
        </w:r>
        <w:r w:rsidRPr="00724342">
          <w:rPr>
            <w:sz w:val="22"/>
            <w:szCs w:val="22"/>
            <w:lang w:val="en-US"/>
          </w:rPr>
          <w:t>ej</w:t>
        </w:r>
        <w:r w:rsidRPr="00724342">
          <w:rPr>
            <w:sz w:val="22"/>
            <w:szCs w:val="22"/>
          </w:rPr>
          <w:t>.</w:t>
        </w:r>
        <w:r w:rsidRPr="00724342">
          <w:rPr>
            <w:sz w:val="22"/>
            <w:szCs w:val="22"/>
            <w:lang w:val="en-US"/>
          </w:rPr>
          <w:t>kubagro</w:t>
        </w:r>
        <w:r w:rsidRPr="00724342">
          <w:rPr>
            <w:sz w:val="22"/>
            <w:szCs w:val="22"/>
          </w:rPr>
          <w:t>.</w:t>
        </w:r>
        <w:r w:rsidRPr="00724342">
          <w:rPr>
            <w:sz w:val="22"/>
            <w:szCs w:val="22"/>
            <w:lang w:val="en-US"/>
          </w:rPr>
          <w:t>ru</w:t>
        </w:r>
        <w:r w:rsidRPr="00724342">
          <w:rPr>
            <w:sz w:val="22"/>
            <w:szCs w:val="22"/>
          </w:rPr>
          <w:t>/2016/03/</w:t>
        </w:r>
        <w:r w:rsidRPr="00724342">
          <w:rPr>
            <w:sz w:val="22"/>
            <w:szCs w:val="22"/>
            <w:lang w:val="en-US"/>
          </w:rPr>
          <w:t>pdf</w:t>
        </w:r>
        <w:r w:rsidRPr="00724342">
          <w:rPr>
            <w:sz w:val="22"/>
            <w:szCs w:val="22"/>
          </w:rPr>
          <w:t>/67.</w:t>
        </w:r>
        <w:r w:rsidRPr="00724342">
          <w:rPr>
            <w:sz w:val="22"/>
            <w:szCs w:val="22"/>
            <w:lang w:val="en-US"/>
          </w:rPr>
          <w:t>pdf</w:t>
        </w:r>
      </w:hyperlink>
      <w:r w:rsidRPr="00724342">
        <w:rPr>
          <w:sz w:val="22"/>
          <w:szCs w:val="22"/>
        </w:rPr>
        <w:t>.</w:t>
      </w:r>
      <w:r w:rsidRPr="00724342">
        <w:rPr>
          <w:sz w:val="22"/>
          <w:szCs w:val="22"/>
          <w:lang w:val="en-US"/>
        </w:rPr>
        <w:t> </w:t>
      </w:r>
    </w:p>
    <w:p w:rsidR="00724342" w:rsidRPr="00724342" w:rsidRDefault="00724342" w:rsidP="00D15DEA">
      <w:pPr>
        <w:ind w:firstLine="426"/>
        <w:jc w:val="both"/>
        <w:rPr>
          <w:sz w:val="22"/>
          <w:szCs w:val="22"/>
        </w:rPr>
      </w:pPr>
      <w:r w:rsidRPr="00724342">
        <w:rPr>
          <w:sz w:val="22"/>
          <w:szCs w:val="22"/>
        </w:rPr>
        <w:t>3. Литвиненко Г. Н. Перспективы применения инновационных технологий откорма крупного рогатого скота/</w:t>
      </w:r>
      <w:hyperlink r:id="rId332" w:history="1">
        <w:r w:rsidRPr="00724342">
          <w:rPr>
            <w:sz w:val="22"/>
            <w:szCs w:val="22"/>
          </w:rPr>
          <w:t>Г. Н. Литвиненко</w:t>
        </w:r>
      </w:hyperlink>
      <w:r w:rsidRPr="00724342">
        <w:rPr>
          <w:sz w:val="22"/>
          <w:szCs w:val="22"/>
        </w:rPr>
        <w:t>, </w:t>
      </w:r>
      <w:hyperlink r:id="rId333" w:history="1">
        <w:r w:rsidRPr="00724342">
          <w:rPr>
            <w:sz w:val="22"/>
            <w:szCs w:val="22"/>
          </w:rPr>
          <w:t>А. С. Арямова</w:t>
        </w:r>
      </w:hyperlink>
      <w:r w:rsidRPr="00724342">
        <w:rPr>
          <w:sz w:val="22"/>
          <w:szCs w:val="22"/>
        </w:rPr>
        <w:t xml:space="preserve"> // «В мире науки и инноваций» сб. ст. междунар. научно -практической конференции: в 5 частях. 2017. С. 25 -28. </w:t>
      </w:r>
    </w:p>
    <w:p w:rsidR="00724342" w:rsidRPr="00724342" w:rsidRDefault="00724342" w:rsidP="00D15DEA">
      <w:pPr>
        <w:ind w:firstLine="426"/>
        <w:jc w:val="both"/>
        <w:rPr>
          <w:sz w:val="22"/>
          <w:szCs w:val="22"/>
        </w:rPr>
      </w:pPr>
      <w:r w:rsidRPr="00724342">
        <w:rPr>
          <w:sz w:val="22"/>
          <w:szCs w:val="22"/>
        </w:rPr>
        <w:t>4. Литвиненко Г.Н. Анализ состояния отрасли животноводства Краснодарского края /Г.Н. Литвиненко, </w:t>
      </w:r>
      <w:hyperlink r:id="rId334" w:history="1">
        <w:r w:rsidRPr="00724342">
          <w:rPr>
            <w:sz w:val="22"/>
            <w:szCs w:val="22"/>
          </w:rPr>
          <w:t>Е.А. Кива</w:t>
        </w:r>
      </w:hyperlink>
      <w:r w:rsidRPr="00724342">
        <w:rPr>
          <w:sz w:val="22"/>
          <w:szCs w:val="22"/>
        </w:rPr>
        <w:t>, </w:t>
      </w:r>
      <w:hyperlink r:id="rId335" w:history="1">
        <w:r w:rsidRPr="00724342">
          <w:rPr>
            <w:sz w:val="22"/>
            <w:szCs w:val="22"/>
          </w:rPr>
          <w:t>К.В. Бернатосова</w:t>
        </w:r>
      </w:hyperlink>
      <w:r w:rsidRPr="00724342">
        <w:rPr>
          <w:sz w:val="22"/>
          <w:szCs w:val="22"/>
        </w:rPr>
        <w:t xml:space="preserve"> // Сб. ст.IX Международной научно -практической конференции «Прорывные экономические реформы в условиях риска и неопред</w:t>
      </w:r>
      <w:r w:rsidRPr="00724342">
        <w:rPr>
          <w:sz w:val="22"/>
          <w:szCs w:val="22"/>
        </w:rPr>
        <w:t>е</w:t>
      </w:r>
      <w:r w:rsidRPr="00724342">
        <w:rPr>
          <w:sz w:val="22"/>
          <w:szCs w:val="22"/>
        </w:rPr>
        <w:t>ленности» (Уфа, 13.03. 2017 г.). -Уфа: Аэтерна, 2017. -С. 135 -138. </w:t>
      </w:r>
    </w:p>
    <w:p w:rsidR="00724342" w:rsidRPr="00724342" w:rsidRDefault="00724342" w:rsidP="00D15DEA">
      <w:pPr>
        <w:ind w:firstLine="426"/>
        <w:jc w:val="both"/>
        <w:rPr>
          <w:sz w:val="22"/>
          <w:szCs w:val="22"/>
        </w:rPr>
      </w:pPr>
      <w:r w:rsidRPr="00724342">
        <w:rPr>
          <w:sz w:val="22"/>
          <w:szCs w:val="22"/>
        </w:rPr>
        <w:t>5. Соколова А. П. Риск в агробизнесе и определение мер по его снижению/</w:t>
      </w:r>
      <w:hyperlink r:id="rId336" w:history="1">
        <w:r w:rsidRPr="00724342">
          <w:rPr>
            <w:sz w:val="22"/>
            <w:szCs w:val="22"/>
          </w:rPr>
          <w:t>А. П. Соколова</w:t>
        </w:r>
      </w:hyperlink>
      <w:r w:rsidRPr="00724342">
        <w:rPr>
          <w:sz w:val="22"/>
          <w:szCs w:val="22"/>
        </w:rPr>
        <w:t>, </w:t>
      </w:r>
      <w:hyperlink r:id="rId337" w:history="1">
        <w:r w:rsidRPr="00724342">
          <w:rPr>
            <w:sz w:val="22"/>
            <w:szCs w:val="22"/>
          </w:rPr>
          <w:t>С. А. Устян</w:t>
        </w:r>
      </w:hyperlink>
      <w:r w:rsidRPr="00724342">
        <w:rPr>
          <w:sz w:val="22"/>
          <w:szCs w:val="22"/>
        </w:rPr>
        <w:t>, </w:t>
      </w:r>
      <w:hyperlink r:id="rId338" w:history="1">
        <w:r w:rsidRPr="00724342">
          <w:rPr>
            <w:sz w:val="22"/>
            <w:szCs w:val="22"/>
          </w:rPr>
          <w:t>С. А. Мелкумов</w:t>
        </w:r>
      </w:hyperlink>
      <w:r w:rsidRPr="00724342">
        <w:rPr>
          <w:sz w:val="22"/>
          <w:szCs w:val="22"/>
        </w:rPr>
        <w:t>//</w:t>
      </w:r>
      <w:hyperlink r:id="rId339" w:tooltip="Экономика и предпринимательство" w:history="1">
        <w:r w:rsidRPr="00724342">
          <w:rPr>
            <w:sz w:val="22"/>
            <w:szCs w:val="22"/>
          </w:rPr>
          <w:t>Экономика и предпринимательство</w:t>
        </w:r>
      </w:hyperlink>
      <w:r w:rsidRPr="00724342">
        <w:rPr>
          <w:sz w:val="22"/>
          <w:szCs w:val="22"/>
        </w:rPr>
        <w:t>. № 1 (ч.2), 2017. С. 951 -956.</w:t>
      </w:r>
    </w:p>
    <w:p w:rsidR="00724342" w:rsidRPr="00724342" w:rsidRDefault="00724342" w:rsidP="00D15DEA">
      <w:pPr>
        <w:ind w:firstLine="426"/>
        <w:jc w:val="both"/>
        <w:rPr>
          <w:sz w:val="22"/>
          <w:szCs w:val="22"/>
        </w:rPr>
      </w:pPr>
      <w:r w:rsidRPr="00724342">
        <w:rPr>
          <w:sz w:val="22"/>
          <w:szCs w:val="22"/>
        </w:rPr>
        <w:t>6. Соколова, А. П. Перспективы развития кролиководческого бизнеса в России / А. П. Соколова, </w:t>
      </w:r>
      <w:hyperlink r:id="rId340" w:history="1">
        <w:r w:rsidRPr="00724342">
          <w:rPr>
            <w:sz w:val="22"/>
            <w:szCs w:val="22"/>
          </w:rPr>
          <w:t>Г. Ф. Бершицкая</w:t>
        </w:r>
      </w:hyperlink>
      <w:r w:rsidRPr="00724342">
        <w:rPr>
          <w:sz w:val="22"/>
          <w:szCs w:val="22"/>
        </w:rPr>
        <w:t>, </w:t>
      </w:r>
      <w:hyperlink r:id="rId341" w:history="1">
        <w:r w:rsidRPr="00724342">
          <w:rPr>
            <w:sz w:val="22"/>
            <w:szCs w:val="22"/>
          </w:rPr>
          <w:t>В. Д. Можег</w:t>
        </w:r>
        <w:r w:rsidRPr="00724342">
          <w:rPr>
            <w:sz w:val="22"/>
            <w:szCs w:val="22"/>
          </w:rPr>
          <w:t>о</w:t>
        </w:r>
        <w:r w:rsidRPr="00724342">
          <w:rPr>
            <w:sz w:val="22"/>
            <w:szCs w:val="22"/>
          </w:rPr>
          <w:t>ва</w:t>
        </w:r>
      </w:hyperlink>
      <w:r w:rsidRPr="00724342">
        <w:rPr>
          <w:sz w:val="22"/>
          <w:szCs w:val="22"/>
        </w:rPr>
        <w:t>, Г. В. Соколова//Политематический сетевой электронный нау</w:t>
      </w:r>
      <w:r w:rsidRPr="00724342">
        <w:rPr>
          <w:sz w:val="22"/>
          <w:szCs w:val="22"/>
        </w:rPr>
        <w:t>ч</w:t>
      </w:r>
      <w:r w:rsidRPr="00724342">
        <w:rPr>
          <w:sz w:val="22"/>
          <w:szCs w:val="22"/>
        </w:rPr>
        <w:t>ный журнал Кубанского государственного аграрного университета -2016. -№ 119(05). -с. 1366-1377.</w:t>
      </w:r>
    </w:p>
    <w:p w:rsidR="00724342" w:rsidRPr="00CB06AE" w:rsidRDefault="00724342" w:rsidP="00CB06AE">
      <w:pPr>
        <w:ind w:firstLine="426"/>
        <w:jc w:val="both"/>
        <w:rPr>
          <w:sz w:val="22"/>
          <w:szCs w:val="22"/>
        </w:rPr>
      </w:pPr>
      <w:r w:rsidRPr="00724342">
        <w:rPr>
          <w:sz w:val="22"/>
          <w:szCs w:val="22"/>
        </w:rPr>
        <w:t xml:space="preserve">7. Сухарева О.А. </w:t>
      </w:r>
      <w:hyperlink r:id="rId342" w:history="1">
        <w:r w:rsidRPr="00724342">
          <w:rPr>
            <w:sz w:val="22"/>
            <w:szCs w:val="22"/>
          </w:rPr>
          <w:t>Эффективность внедрения инновационных технологий при совершенствовании системы содержания птицы в сельскохозяйственных организациях</w:t>
        </w:r>
      </w:hyperlink>
      <w:r w:rsidRPr="00724342">
        <w:rPr>
          <w:sz w:val="22"/>
          <w:szCs w:val="22"/>
        </w:rPr>
        <w:t>/ О.А. Сухарева, Д.И. Федусь // В сб.: </w:t>
      </w:r>
      <w:hyperlink r:id="rId343" w:history="1">
        <w:r w:rsidRPr="00724342">
          <w:rPr>
            <w:sz w:val="22"/>
            <w:szCs w:val="22"/>
          </w:rPr>
          <w:t>Научное обеспечение агропромышленного комплекса</w:t>
        </w:r>
      </w:hyperlink>
      <w:r w:rsidRPr="00724342">
        <w:rPr>
          <w:sz w:val="22"/>
          <w:szCs w:val="22"/>
        </w:rPr>
        <w:t> Сб. ст. по мат. ХI Всероссийской конф. молодых ученых, посвященной 95-летию Кубанского ГАУ и 80-летию со дня образования Краснода</w:t>
      </w:r>
      <w:r w:rsidRPr="00724342">
        <w:rPr>
          <w:sz w:val="22"/>
          <w:szCs w:val="22"/>
        </w:rPr>
        <w:t>р</w:t>
      </w:r>
      <w:r w:rsidRPr="00724342">
        <w:rPr>
          <w:sz w:val="22"/>
          <w:szCs w:val="22"/>
        </w:rPr>
        <w:t>ского края. Ответственный за выпуск А. Г. Кощаев. 2017. С. 1153-1154.</w:t>
      </w:r>
    </w:p>
    <w:p w:rsidR="00724342" w:rsidRPr="00724342" w:rsidRDefault="00724342" w:rsidP="00724342">
      <w:pPr>
        <w:widowControl w:val="0"/>
        <w:jc w:val="both"/>
        <w:rPr>
          <w:rFonts w:eastAsia="Courier New"/>
          <w:color w:val="000000"/>
          <w:sz w:val="22"/>
          <w:szCs w:val="22"/>
          <w:lang w:eastAsia="en-US"/>
        </w:rPr>
      </w:pPr>
      <w:r w:rsidRPr="00724342">
        <w:rPr>
          <w:rFonts w:eastAsia="Courier New"/>
          <w:color w:val="000000"/>
          <w:sz w:val="22"/>
          <w:szCs w:val="22"/>
          <w:lang w:eastAsia="en-US"/>
        </w:rPr>
        <w:lastRenderedPageBreak/>
        <w:t>УДК 634.8</w:t>
      </w:r>
    </w:p>
    <w:p w:rsidR="00724342" w:rsidRPr="00724342" w:rsidRDefault="00724342" w:rsidP="00724342">
      <w:pPr>
        <w:widowControl w:val="0"/>
        <w:jc w:val="both"/>
        <w:rPr>
          <w:rFonts w:eastAsia="Courier New"/>
          <w:color w:val="000000"/>
          <w:sz w:val="22"/>
          <w:szCs w:val="22"/>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Применение отходов виноградной лозы в производстве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eastAsia="en-US"/>
        </w:rPr>
        <w:t>лозолитовых</w:t>
      </w:r>
      <w:r w:rsidRPr="00724342">
        <w:rPr>
          <w:rFonts w:eastAsiaTheme="minorHAnsi"/>
          <w:b/>
          <w:sz w:val="24"/>
          <w:szCs w:val="24"/>
          <w:lang w:val="en-US" w:eastAsia="en-US"/>
        </w:rPr>
        <w:t xml:space="preserve"> </w:t>
      </w:r>
      <w:r w:rsidRPr="00724342">
        <w:rPr>
          <w:rFonts w:eastAsiaTheme="minorHAnsi"/>
          <w:b/>
          <w:sz w:val="24"/>
          <w:szCs w:val="24"/>
          <w:lang w:eastAsia="en-US"/>
        </w:rPr>
        <w:t>блоков</w:t>
      </w:r>
      <w:r w:rsidRPr="00724342">
        <w:rPr>
          <w:rFonts w:eastAsiaTheme="minorHAnsi"/>
          <w:b/>
          <w:sz w:val="24"/>
          <w:szCs w:val="24"/>
          <w:lang w:val="en-US" w:eastAsia="en-US"/>
        </w:rPr>
        <w:t xml:space="preserve"> </w:t>
      </w:r>
      <w:r w:rsidRPr="00724342">
        <w:rPr>
          <w:rFonts w:eastAsiaTheme="minorHAnsi"/>
          <w:b/>
          <w:sz w:val="24"/>
          <w:szCs w:val="24"/>
          <w:lang w:eastAsia="en-US"/>
        </w:rPr>
        <w:t>в</w:t>
      </w:r>
      <w:r w:rsidRPr="00724342">
        <w:rPr>
          <w:rFonts w:eastAsiaTheme="minorHAnsi"/>
          <w:b/>
          <w:sz w:val="24"/>
          <w:szCs w:val="24"/>
          <w:lang w:val="en-US" w:eastAsia="en-US"/>
        </w:rPr>
        <w:t xml:space="preserve"> </w:t>
      </w:r>
      <w:r w:rsidRPr="00724342">
        <w:rPr>
          <w:rFonts w:eastAsiaTheme="minorHAnsi"/>
          <w:b/>
          <w:sz w:val="24"/>
          <w:szCs w:val="24"/>
          <w:lang w:eastAsia="en-US"/>
        </w:rPr>
        <w:t>Краснодарском</w:t>
      </w:r>
      <w:r w:rsidRPr="00724342">
        <w:rPr>
          <w:rFonts w:eastAsiaTheme="minorHAnsi"/>
          <w:b/>
          <w:sz w:val="24"/>
          <w:szCs w:val="24"/>
          <w:lang w:val="en-US" w:eastAsia="en-US"/>
        </w:rPr>
        <w:t xml:space="preserve"> </w:t>
      </w:r>
      <w:r w:rsidRPr="00724342">
        <w:rPr>
          <w:rFonts w:eastAsiaTheme="minorHAnsi"/>
          <w:b/>
          <w:sz w:val="24"/>
          <w:szCs w:val="24"/>
          <w:lang w:eastAsia="en-US"/>
        </w:rPr>
        <w:t>крае</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The use of grapevine wastes in the production of lazolite blocks in the Krasnodar Territory</w:t>
      </w:r>
    </w:p>
    <w:p w:rsidR="00724342" w:rsidRPr="00724342" w:rsidRDefault="00724342" w:rsidP="00724342">
      <w:pPr>
        <w:widowControl w:val="0"/>
        <w:tabs>
          <w:tab w:val="left" w:pos="8223"/>
        </w:tabs>
        <w:jc w:val="right"/>
        <w:rPr>
          <w:rFonts w:eastAsia="Courier New"/>
          <w:color w:val="000000"/>
          <w:sz w:val="22"/>
          <w:szCs w:val="22"/>
          <w:lang w:val="en-US" w:eastAsia="en-US"/>
        </w:rPr>
      </w:pP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Храмцова Д.</w:t>
      </w:r>
      <w:r w:rsidR="00D15DEA">
        <w:rPr>
          <w:rFonts w:eastAsia="Courier New"/>
          <w:color w:val="000000"/>
          <w:sz w:val="22"/>
          <w:szCs w:val="22"/>
          <w:lang w:eastAsia="en-US"/>
        </w:rPr>
        <w:t xml:space="preserve"> </w:t>
      </w:r>
      <w:r w:rsidRPr="00724342">
        <w:rPr>
          <w:rFonts w:eastAsia="Courier New"/>
          <w:color w:val="000000"/>
          <w:sz w:val="22"/>
          <w:szCs w:val="22"/>
          <w:lang w:eastAsia="en-US"/>
        </w:rPr>
        <w:t>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студентка 4-го курса экономического факультета</w:t>
      </w: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 xml:space="preserve">Кубанский государственный аграрный </w:t>
      </w: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университет имени И.</w:t>
      </w:r>
      <w:r w:rsidR="00D15DEA">
        <w:rPr>
          <w:rFonts w:eastAsiaTheme="minorHAnsi"/>
          <w:sz w:val="22"/>
          <w:szCs w:val="24"/>
          <w:lang w:eastAsia="en-US"/>
        </w:rPr>
        <w:t xml:space="preserve"> </w:t>
      </w:r>
      <w:r w:rsidRPr="00724342">
        <w:rPr>
          <w:rFonts w:eastAsiaTheme="minorHAnsi"/>
          <w:sz w:val="22"/>
          <w:szCs w:val="24"/>
          <w:lang w:eastAsia="en-US"/>
        </w:rPr>
        <w:t>Т. Трубилина</w:t>
      </w:r>
    </w:p>
    <w:p w:rsidR="00724342" w:rsidRPr="00724342" w:rsidRDefault="00724342" w:rsidP="00724342">
      <w:pPr>
        <w:widowControl w:val="0"/>
        <w:tabs>
          <w:tab w:val="left" w:pos="8223"/>
        </w:tabs>
        <w:jc w:val="right"/>
        <w:rPr>
          <w:rFonts w:eastAsia="Courier New"/>
          <w:color w:val="000000"/>
          <w:sz w:val="22"/>
          <w:szCs w:val="22"/>
          <w:lang w:eastAsia="en-US"/>
        </w:rPr>
      </w:pPr>
    </w:p>
    <w:p w:rsidR="00724342" w:rsidRPr="00724342" w:rsidRDefault="00724342" w:rsidP="00D15DEA">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АННОТАЦИЯ: Изучена технология изготовления лозолита. Доказана необходимость безотходного производства в области в</w:t>
      </w:r>
      <w:r w:rsidRPr="00724342">
        <w:rPr>
          <w:rFonts w:eastAsia="Courier New"/>
          <w:color w:val="000000"/>
          <w:sz w:val="22"/>
          <w:szCs w:val="22"/>
          <w:lang w:eastAsia="en-US"/>
        </w:rPr>
        <w:t>и</w:t>
      </w:r>
      <w:r w:rsidRPr="00724342">
        <w:rPr>
          <w:rFonts w:eastAsia="Courier New"/>
          <w:color w:val="000000"/>
          <w:sz w:val="22"/>
          <w:szCs w:val="22"/>
          <w:lang w:eastAsia="en-US"/>
        </w:rPr>
        <w:t>ноградарства.</w:t>
      </w:r>
    </w:p>
    <w:p w:rsidR="00724342" w:rsidRPr="00724342" w:rsidRDefault="00724342" w:rsidP="00D15DEA">
      <w:pPr>
        <w:widowControl w:val="0"/>
        <w:tabs>
          <w:tab w:val="left" w:pos="8223"/>
        </w:tabs>
        <w:ind w:firstLine="426"/>
        <w:jc w:val="both"/>
        <w:rPr>
          <w:rFonts w:eastAsia="Courier New"/>
          <w:color w:val="000000"/>
          <w:sz w:val="22"/>
          <w:szCs w:val="22"/>
          <w:shd w:val="clear" w:color="auto" w:fill="FFFFFF"/>
          <w:lang w:val="en-US" w:eastAsia="en-US"/>
        </w:rPr>
      </w:pPr>
      <w:r w:rsidRPr="00724342">
        <w:rPr>
          <w:rFonts w:eastAsia="Courier New"/>
          <w:color w:val="000000"/>
          <w:sz w:val="22"/>
          <w:szCs w:val="22"/>
          <w:lang w:eastAsia="en-US"/>
        </w:rPr>
        <w:t xml:space="preserve"> </w:t>
      </w:r>
      <w:r w:rsidRPr="00724342">
        <w:rPr>
          <w:rFonts w:eastAsia="Courier New"/>
          <w:color w:val="000000"/>
          <w:sz w:val="22"/>
          <w:szCs w:val="22"/>
          <w:lang w:val="en-US" w:eastAsia="en-US"/>
        </w:rPr>
        <w:t>ABSTRACT:</w:t>
      </w:r>
      <w:r w:rsidRPr="00724342">
        <w:rPr>
          <w:rFonts w:ascii="Courier New" w:eastAsia="Courier New" w:hAnsi="Courier New" w:cs="Courier New"/>
          <w:color w:val="000000"/>
          <w:sz w:val="22"/>
          <w:szCs w:val="22"/>
          <w:shd w:val="clear" w:color="auto" w:fill="FFFFFF"/>
          <w:lang w:val="en-US" w:eastAsia="en-US"/>
        </w:rPr>
        <w:t xml:space="preserve"> </w:t>
      </w:r>
      <w:r w:rsidRPr="00724342">
        <w:rPr>
          <w:rFonts w:eastAsiaTheme="minorHAnsi"/>
          <w:sz w:val="22"/>
          <w:szCs w:val="22"/>
          <w:shd w:val="clear" w:color="auto" w:fill="FFFFFF"/>
          <w:lang w:val="en-US" w:eastAsia="en-US"/>
        </w:rPr>
        <w:t>Studied manufacturing technology Rosalita. The n</w:t>
      </w:r>
      <w:r w:rsidRPr="00724342">
        <w:rPr>
          <w:rFonts w:eastAsiaTheme="minorHAnsi"/>
          <w:sz w:val="22"/>
          <w:szCs w:val="22"/>
          <w:shd w:val="clear" w:color="auto" w:fill="FFFFFF"/>
          <w:lang w:val="en-US" w:eastAsia="en-US"/>
        </w:rPr>
        <w:t>e</w:t>
      </w:r>
      <w:r w:rsidRPr="00724342">
        <w:rPr>
          <w:rFonts w:eastAsiaTheme="minorHAnsi"/>
          <w:sz w:val="22"/>
          <w:szCs w:val="22"/>
          <w:shd w:val="clear" w:color="auto" w:fill="FFFFFF"/>
          <w:lang w:val="en-US" w:eastAsia="en-US"/>
        </w:rPr>
        <w:t>cessity of non-waste production in the field of viticulture is proved.</w:t>
      </w:r>
    </w:p>
    <w:p w:rsidR="00724342" w:rsidRPr="00724342" w:rsidRDefault="00724342" w:rsidP="00D15DEA">
      <w:pPr>
        <w:widowControl w:val="0"/>
        <w:tabs>
          <w:tab w:val="left" w:pos="8223"/>
        </w:tabs>
        <w:ind w:firstLine="426"/>
        <w:jc w:val="both"/>
        <w:rPr>
          <w:rFonts w:eastAsia="Courier New"/>
          <w:color w:val="000000"/>
          <w:sz w:val="22"/>
          <w:szCs w:val="22"/>
          <w:lang w:eastAsia="en-US"/>
        </w:rPr>
      </w:pPr>
      <w:r w:rsidRPr="00724342">
        <w:rPr>
          <w:rFonts w:eastAsia="Courier New"/>
          <w:color w:val="000000"/>
          <w:sz w:val="22"/>
          <w:szCs w:val="22"/>
          <w:lang w:eastAsia="en-US"/>
        </w:rPr>
        <w:t>КЛЮЧЕВЫЕ СЛОВА: виноград, виноградная лоза, технология производства лозы.</w:t>
      </w:r>
    </w:p>
    <w:p w:rsidR="00724342" w:rsidRPr="00724342" w:rsidRDefault="00724342" w:rsidP="00D15DEA">
      <w:pPr>
        <w:widowControl w:val="0"/>
        <w:tabs>
          <w:tab w:val="left" w:pos="8223"/>
        </w:tabs>
        <w:ind w:firstLine="426"/>
        <w:jc w:val="both"/>
        <w:rPr>
          <w:rFonts w:eastAsia="Courier New"/>
          <w:color w:val="000000"/>
          <w:sz w:val="22"/>
          <w:szCs w:val="22"/>
          <w:lang w:val="en-US" w:eastAsia="en-US"/>
        </w:rPr>
      </w:pPr>
      <w:r w:rsidRPr="00724342">
        <w:rPr>
          <w:rFonts w:eastAsia="Courier New"/>
          <w:color w:val="000000"/>
          <w:sz w:val="22"/>
          <w:szCs w:val="22"/>
          <w:lang w:val="en-US" w:eastAsia="en-US"/>
        </w:rPr>
        <w:t>KEYWORDS:</w:t>
      </w:r>
      <w:r w:rsidRPr="00724342">
        <w:rPr>
          <w:rFonts w:ascii="Arial" w:eastAsiaTheme="minorHAnsi" w:hAnsi="Arial" w:cs="Arial"/>
          <w:color w:val="333333"/>
          <w:sz w:val="22"/>
          <w:szCs w:val="22"/>
          <w:shd w:val="clear" w:color="auto" w:fill="FFFFFF"/>
          <w:lang w:val="en-US" w:eastAsia="en-US"/>
        </w:rPr>
        <w:t xml:space="preserve"> </w:t>
      </w:r>
      <w:r w:rsidRPr="00724342">
        <w:rPr>
          <w:rFonts w:eastAsiaTheme="minorHAnsi"/>
          <w:sz w:val="22"/>
          <w:szCs w:val="22"/>
          <w:shd w:val="clear" w:color="auto" w:fill="FFFFFF"/>
          <w:lang w:val="en-US" w:eastAsia="en-US"/>
        </w:rPr>
        <w:t>grape, vine, technology of production of the vine.</w:t>
      </w:r>
    </w:p>
    <w:p w:rsidR="00724342" w:rsidRPr="00724342" w:rsidRDefault="00724342" w:rsidP="00D15DEA">
      <w:pPr>
        <w:widowControl w:val="0"/>
        <w:tabs>
          <w:tab w:val="left" w:pos="8223"/>
        </w:tabs>
        <w:ind w:firstLine="426"/>
        <w:jc w:val="both"/>
        <w:rPr>
          <w:rFonts w:eastAsia="Courier New"/>
          <w:color w:val="000000"/>
          <w:sz w:val="22"/>
          <w:szCs w:val="22"/>
          <w:lang w:val="en-US" w:eastAsia="en-US"/>
        </w:rPr>
      </w:pPr>
    </w:p>
    <w:p w:rsidR="00724342" w:rsidRPr="00724342" w:rsidRDefault="00724342" w:rsidP="00D15DEA">
      <w:pPr>
        <w:widowControl w:val="0"/>
        <w:tabs>
          <w:tab w:val="left" w:pos="2423"/>
        </w:tabs>
        <w:ind w:firstLine="426"/>
        <w:jc w:val="both"/>
        <w:rPr>
          <w:rFonts w:eastAsiaTheme="minorHAnsi"/>
          <w:sz w:val="22"/>
          <w:szCs w:val="22"/>
          <w:lang w:eastAsia="en-US"/>
        </w:rPr>
      </w:pPr>
      <w:r w:rsidRPr="00724342">
        <w:rPr>
          <w:rFonts w:eastAsiaTheme="minorHAnsi"/>
          <w:sz w:val="22"/>
          <w:szCs w:val="22"/>
          <w:shd w:val="clear" w:color="auto" w:fill="FFFFFF"/>
          <w:lang w:eastAsia="en-US"/>
        </w:rPr>
        <w:t xml:space="preserve">Отрасли </w:t>
      </w:r>
      <w:r w:rsidRPr="00724342">
        <w:rPr>
          <w:rFonts w:eastAsiaTheme="minorHAnsi"/>
          <w:bCs/>
          <w:sz w:val="22"/>
          <w:szCs w:val="22"/>
          <w:shd w:val="clear" w:color="auto" w:fill="FFFFFF"/>
          <w:lang w:eastAsia="en-US"/>
        </w:rPr>
        <w:t>виноградарства</w:t>
      </w:r>
      <w:r w:rsidRPr="00724342">
        <w:rPr>
          <w:rFonts w:eastAsiaTheme="minorHAnsi"/>
          <w:sz w:val="22"/>
          <w:szCs w:val="22"/>
          <w:shd w:val="clear" w:color="auto" w:fill="FFFFFF"/>
          <w:lang w:eastAsia="en-US"/>
        </w:rPr>
        <w:t xml:space="preserve"> и виноделия Кубани по праву заним</w:t>
      </w:r>
      <w:r w:rsidRPr="00724342">
        <w:rPr>
          <w:rFonts w:eastAsiaTheme="minorHAnsi"/>
          <w:sz w:val="22"/>
          <w:szCs w:val="22"/>
          <w:shd w:val="clear" w:color="auto" w:fill="FFFFFF"/>
          <w:lang w:eastAsia="en-US"/>
        </w:rPr>
        <w:t>а</w:t>
      </w:r>
      <w:r w:rsidRPr="00724342">
        <w:rPr>
          <w:rFonts w:eastAsiaTheme="minorHAnsi"/>
          <w:sz w:val="22"/>
          <w:szCs w:val="22"/>
          <w:shd w:val="clear" w:color="auto" w:fill="FFFFFF"/>
          <w:lang w:eastAsia="en-US"/>
        </w:rPr>
        <w:t xml:space="preserve">ют лидирующее положение в Российской Федерации, и их развитие относится к приоритетным направлениям экономики </w:t>
      </w:r>
      <w:r w:rsidRPr="00724342">
        <w:rPr>
          <w:rFonts w:eastAsiaTheme="minorHAnsi"/>
          <w:bCs/>
          <w:sz w:val="22"/>
          <w:szCs w:val="22"/>
          <w:shd w:val="clear" w:color="auto" w:fill="FFFFFF"/>
          <w:lang w:eastAsia="en-US"/>
        </w:rPr>
        <w:t>Краснодарск</w:t>
      </w:r>
      <w:r w:rsidRPr="00724342">
        <w:rPr>
          <w:rFonts w:eastAsiaTheme="minorHAnsi"/>
          <w:bCs/>
          <w:sz w:val="22"/>
          <w:szCs w:val="22"/>
          <w:shd w:val="clear" w:color="auto" w:fill="FFFFFF"/>
          <w:lang w:eastAsia="en-US"/>
        </w:rPr>
        <w:t>о</w:t>
      </w:r>
      <w:r w:rsidRPr="00724342">
        <w:rPr>
          <w:rFonts w:eastAsiaTheme="minorHAnsi"/>
          <w:bCs/>
          <w:sz w:val="22"/>
          <w:szCs w:val="22"/>
          <w:shd w:val="clear" w:color="auto" w:fill="FFFFFF"/>
          <w:lang w:eastAsia="en-US"/>
        </w:rPr>
        <w:t>го</w:t>
      </w:r>
      <w:r w:rsidRPr="00724342">
        <w:rPr>
          <w:rFonts w:eastAsiaTheme="minorHAnsi"/>
          <w:sz w:val="22"/>
          <w:szCs w:val="22"/>
          <w:shd w:val="clear" w:color="auto" w:fill="FFFFFF"/>
          <w:lang w:eastAsia="en-US"/>
        </w:rPr>
        <w:t xml:space="preserve"> </w:t>
      </w:r>
      <w:r w:rsidRPr="00724342">
        <w:rPr>
          <w:rFonts w:eastAsiaTheme="minorHAnsi"/>
          <w:bCs/>
          <w:sz w:val="22"/>
          <w:szCs w:val="22"/>
          <w:shd w:val="clear" w:color="auto" w:fill="FFFFFF"/>
          <w:lang w:eastAsia="en-US"/>
        </w:rPr>
        <w:t>края</w:t>
      </w:r>
      <w:r w:rsidRPr="00724342">
        <w:rPr>
          <w:rFonts w:eastAsiaTheme="minorHAnsi"/>
          <w:sz w:val="22"/>
          <w:szCs w:val="22"/>
          <w:shd w:val="clear" w:color="auto" w:fill="FFFFFF"/>
          <w:lang w:eastAsia="en-US"/>
        </w:rPr>
        <w:t>. Для получения большей урожайности, лучших вкусовых качеств винограда на виноградниках проводят обрезку виноградных кустов, в связи с этим в междурядьях виноградника образуется огромное количество отходов от подобной деятельности.</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На данный момент виноградарские хозяйства используют ста</w:t>
      </w:r>
      <w:r w:rsidRPr="00724342">
        <w:rPr>
          <w:rFonts w:eastAsiaTheme="minorHAnsi"/>
          <w:sz w:val="22"/>
          <w:szCs w:val="22"/>
          <w:lang w:eastAsia="en-US"/>
        </w:rPr>
        <w:t>н</w:t>
      </w:r>
      <w:r w:rsidRPr="00724342">
        <w:rPr>
          <w:rFonts w:eastAsiaTheme="minorHAnsi"/>
          <w:sz w:val="22"/>
          <w:szCs w:val="22"/>
          <w:lang w:eastAsia="en-US"/>
        </w:rPr>
        <w:t>дартную технологию уборки виноградной лозы путем утилизации ее за пределами плантации, нанося вред окружающей среде. Сыр</w:t>
      </w:r>
      <w:r w:rsidRPr="00724342">
        <w:rPr>
          <w:rFonts w:eastAsiaTheme="minorHAnsi"/>
          <w:sz w:val="22"/>
          <w:szCs w:val="22"/>
          <w:lang w:eastAsia="en-US"/>
        </w:rPr>
        <w:t>ь</w:t>
      </w:r>
      <w:r w:rsidRPr="00724342">
        <w:rPr>
          <w:rFonts w:eastAsiaTheme="minorHAnsi"/>
          <w:sz w:val="22"/>
          <w:szCs w:val="22"/>
          <w:lang w:eastAsia="en-US"/>
        </w:rPr>
        <w:t>ем для производства лозолита является масса отходов лозы после обрезки винограда.</w:t>
      </w:r>
    </w:p>
    <w:p w:rsidR="00724342" w:rsidRPr="00724342" w:rsidRDefault="00724342" w:rsidP="00D15DEA">
      <w:pPr>
        <w:autoSpaceDE w:val="0"/>
        <w:autoSpaceDN w:val="0"/>
        <w:adjustRightInd w:val="0"/>
        <w:ind w:firstLine="426"/>
        <w:jc w:val="both"/>
        <w:rPr>
          <w:rFonts w:eastAsiaTheme="minorHAnsi"/>
          <w:sz w:val="22"/>
          <w:szCs w:val="22"/>
          <w:lang w:eastAsia="en-US"/>
        </w:rPr>
      </w:pPr>
      <w:r w:rsidRPr="00724342">
        <w:rPr>
          <w:rFonts w:eastAsiaTheme="minorHAnsi"/>
          <w:noProof/>
          <w:sz w:val="22"/>
          <w:szCs w:val="22"/>
          <w:lang w:eastAsia="en-US"/>
        </w:rPr>
        <w:t xml:space="preserve">Лозолитовые блоки являются современным строительным материалом, сочетающим низкую себестоимость единицы продукции с высокими качественными характеристиками. Лозолит- легкий бетон, получаемый на минеральном вяжущем и </w:t>
      </w:r>
      <w:r w:rsidRPr="00724342">
        <w:rPr>
          <w:rFonts w:eastAsiaTheme="minorHAnsi"/>
          <w:noProof/>
          <w:sz w:val="22"/>
          <w:szCs w:val="22"/>
          <w:lang w:eastAsia="en-US"/>
        </w:rPr>
        <w:lastRenderedPageBreak/>
        <w:t xml:space="preserve">органическом целлюлозном заполнителе растительного происхождения, химических добавок и воде. Лозолитовым конструкциям присущи прочность, огнестойкость и биостойкость бетона, а также небольшая плотность, низкая теплопроводность, легкость обработки режущим инструментом и гвоздимость древесины. Кроме того, благодаря крупнопористой структуре, этот легкий бетон обладает ценными свойствами </w:t>
      </w:r>
      <w:r w:rsidRPr="00724342">
        <w:rPr>
          <w:rFonts w:eastAsia="Yu Mincho"/>
          <w:sz w:val="22"/>
          <w:szCs w:val="22"/>
          <w:lang w:eastAsia="en-US"/>
        </w:rPr>
        <w:t xml:space="preserve">– </w:t>
      </w:r>
      <w:r w:rsidRPr="00724342">
        <w:rPr>
          <w:rFonts w:eastAsiaTheme="minorHAnsi"/>
          <w:noProof/>
          <w:sz w:val="22"/>
          <w:szCs w:val="22"/>
          <w:lang w:eastAsia="en-US"/>
        </w:rPr>
        <w:t>высокой звукоизоляцией и способностью поддерживать осушающий режим в помещениях, не конденсируя влаги на поверхности и не повышая влагосодержания в стенах.</w:t>
      </w:r>
    </w:p>
    <w:p w:rsidR="00724342" w:rsidRPr="00724342" w:rsidRDefault="00724342" w:rsidP="00D15DEA">
      <w:pPr>
        <w:autoSpaceDE w:val="0"/>
        <w:autoSpaceDN w:val="0"/>
        <w:adjustRightInd w:val="0"/>
        <w:ind w:firstLine="426"/>
        <w:jc w:val="both"/>
        <w:rPr>
          <w:rFonts w:eastAsiaTheme="minorHAnsi"/>
          <w:sz w:val="22"/>
          <w:szCs w:val="22"/>
          <w:lang w:eastAsia="en-US"/>
        </w:rPr>
      </w:pPr>
      <w:r w:rsidRPr="00724342">
        <w:rPr>
          <w:rFonts w:eastAsiaTheme="minorHAnsi"/>
          <w:sz w:val="22"/>
          <w:szCs w:val="22"/>
          <w:lang w:eastAsia="en-US"/>
        </w:rPr>
        <w:t>В Национальной академии природоохранного и курортного строительства были проведены научно-исследовательские работы по изготовлению легкого бетона, получаемого на основе минерал</w:t>
      </w:r>
      <w:r w:rsidRPr="00724342">
        <w:rPr>
          <w:rFonts w:eastAsiaTheme="minorHAnsi"/>
          <w:sz w:val="22"/>
          <w:szCs w:val="22"/>
          <w:lang w:eastAsia="en-US"/>
        </w:rPr>
        <w:t>ь</w:t>
      </w:r>
      <w:r w:rsidRPr="00724342">
        <w:rPr>
          <w:rFonts w:eastAsiaTheme="minorHAnsi"/>
          <w:sz w:val="22"/>
          <w:szCs w:val="22"/>
          <w:lang w:eastAsia="en-US"/>
        </w:rPr>
        <w:t>ного вяжущего (портландцемент М400), органического целлюло</w:t>
      </w:r>
      <w:r w:rsidRPr="00724342">
        <w:rPr>
          <w:rFonts w:eastAsiaTheme="minorHAnsi"/>
          <w:sz w:val="22"/>
          <w:szCs w:val="22"/>
          <w:lang w:eastAsia="en-US"/>
        </w:rPr>
        <w:t>з</w:t>
      </w:r>
      <w:r w:rsidRPr="00724342">
        <w:rPr>
          <w:rFonts w:eastAsiaTheme="minorHAnsi"/>
          <w:sz w:val="22"/>
          <w:szCs w:val="22"/>
          <w:lang w:eastAsia="en-US"/>
        </w:rPr>
        <w:t>ного заполнителя растительного происхождения (виноградная л</w:t>
      </w:r>
      <w:r w:rsidRPr="00724342">
        <w:rPr>
          <w:rFonts w:eastAsiaTheme="minorHAnsi"/>
          <w:sz w:val="22"/>
          <w:szCs w:val="22"/>
          <w:lang w:eastAsia="en-US"/>
        </w:rPr>
        <w:t>о</w:t>
      </w:r>
      <w:r w:rsidRPr="00724342">
        <w:rPr>
          <w:rFonts w:eastAsiaTheme="minorHAnsi"/>
          <w:sz w:val="22"/>
          <w:szCs w:val="22"/>
          <w:lang w:eastAsia="en-US"/>
        </w:rPr>
        <w:t>за), химической добавки (хлористый кальций) и воды.</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В настоящий момент важно получать максимум прибыли от деятельности хозяйства, не нанося ущерба окружающей среде. Предложенный способ использования виноградной лозы в России является радикально новым и имеются высокие риски и проблемы в ее развитии. Наиболее главными проблемами являются: недостаток знаний в этой области, дефицит квалифицированных кадров, отсу</w:t>
      </w:r>
      <w:r w:rsidRPr="00724342">
        <w:rPr>
          <w:rFonts w:eastAsiaTheme="minorHAnsi"/>
          <w:sz w:val="22"/>
          <w:szCs w:val="22"/>
          <w:lang w:eastAsia="en-US"/>
        </w:rPr>
        <w:t>т</w:t>
      </w:r>
      <w:r w:rsidRPr="00724342">
        <w:rPr>
          <w:rFonts w:eastAsiaTheme="minorHAnsi"/>
          <w:sz w:val="22"/>
          <w:szCs w:val="22"/>
          <w:lang w:eastAsia="en-US"/>
        </w:rPr>
        <w:t>ствие технической и технологической оснащенности в данной о</w:t>
      </w:r>
      <w:r w:rsidRPr="00724342">
        <w:rPr>
          <w:rFonts w:eastAsiaTheme="minorHAnsi"/>
          <w:sz w:val="22"/>
          <w:szCs w:val="22"/>
          <w:lang w:eastAsia="en-US"/>
        </w:rPr>
        <w:t>т</w:t>
      </w:r>
      <w:r w:rsidRPr="00724342">
        <w:rPr>
          <w:rFonts w:eastAsiaTheme="minorHAnsi"/>
          <w:sz w:val="22"/>
          <w:szCs w:val="22"/>
          <w:lang w:eastAsia="en-US"/>
        </w:rPr>
        <w:t>расли, малый спрос на подобный продукт.</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Важным для России является создание отечественного совр</w:t>
      </w:r>
      <w:r w:rsidRPr="00724342">
        <w:rPr>
          <w:rFonts w:eastAsiaTheme="minorHAnsi"/>
          <w:sz w:val="22"/>
          <w:szCs w:val="22"/>
          <w:lang w:eastAsia="en-US"/>
        </w:rPr>
        <w:t>е</w:t>
      </w:r>
      <w:r w:rsidRPr="00724342">
        <w:rPr>
          <w:rFonts w:eastAsiaTheme="minorHAnsi"/>
          <w:sz w:val="22"/>
          <w:szCs w:val="22"/>
          <w:lang w:eastAsia="en-US"/>
        </w:rPr>
        <w:t xml:space="preserve">менного материала с высокими качественными характеристиками. Этим обусловлена актуальность выбранной темы исследования. </w:t>
      </w:r>
      <w:r w:rsidRPr="00724342">
        <w:rPr>
          <w:rFonts w:eastAsiaTheme="minorHAnsi"/>
          <w:noProof/>
          <w:sz w:val="22"/>
          <w:szCs w:val="22"/>
          <w:lang w:eastAsia="en-US"/>
        </w:rPr>
        <w:t>Лозолитовым конструкциям присущи прочность, огнестойкость и биостойкость бетона, а также небольшая плотность, низкая теплопроводность, легкость обработки режущим инструментом и гвоздимость древесины.</w:t>
      </w:r>
      <w:r w:rsidRPr="00724342">
        <w:rPr>
          <w:rFonts w:eastAsiaTheme="minorHAnsi"/>
          <w:sz w:val="22"/>
          <w:szCs w:val="22"/>
          <w:lang w:eastAsia="en-US"/>
        </w:rPr>
        <w:t xml:space="preserve"> </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Объектом исследования является предприятие ООО АФ «Юб</w:t>
      </w:r>
      <w:r w:rsidRPr="00724342">
        <w:rPr>
          <w:rFonts w:eastAsiaTheme="minorHAnsi"/>
          <w:sz w:val="22"/>
          <w:szCs w:val="22"/>
          <w:lang w:eastAsia="en-US"/>
        </w:rPr>
        <w:t>и</w:t>
      </w:r>
      <w:r w:rsidRPr="00724342">
        <w:rPr>
          <w:rFonts w:eastAsiaTheme="minorHAnsi"/>
          <w:sz w:val="22"/>
          <w:szCs w:val="22"/>
          <w:lang w:eastAsia="en-US"/>
        </w:rPr>
        <w:t>лейная», на котором предлагается проект по уборке лозы и прои</w:t>
      </w:r>
      <w:r w:rsidRPr="00724342">
        <w:rPr>
          <w:rFonts w:eastAsiaTheme="minorHAnsi"/>
          <w:sz w:val="22"/>
          <w:szCs w:val="22"/>
          <w:lang w:eastAsia="en-US"/>
        </w:rPr>
        <w:t>з</w:t>
      </w:r>
      <w:r w:rsidRPr="00724342">
        <w:rPr>
          <w:rFonts w:eastAsiaTheme="minorHAnsi"/>
          <w:sz w:val="22"/>
          <w:szCs w:val="22"/>
          <w:lang w:eastAsia="en-US"/>
        </w:rPr>
        <w:t>водстве лозолитовых блоков, с целью расширения деятельности предприятия и получения дополнительной прибыли.</w:t>
      </w:r>
    </w:p>
    <w:p w:rsidR="00724342" w:rsidRPr="00724342" w:rsidRDefault="00724342" w:rsidP="00D15DEA">
      <w:pPr>
        <w:autoSpaceDE w:val="0"/>
        <w:autoSpaceDN w:val="0"/>
        <w:adjustRightInd w:val="0"/>
        <w:ind w:firstLine="426"/>
        <w:jc w:val="both"/>
        <w:rPr>
          <w:rFonts w:eastAsiaTheme="minorHAnsi"/>
          <w:sz w:val="22"/>
          <w:szCs w:val="22"/>
          <w:lang w:eastAsia="en-US"/>
        </w:rPr>
      </w:pPr>
      <w:r w:rsidRPr="00724342">
        <w:rPr>
          <w:rFonts w:eastAsiaTheme="minorHAnsi"/>
          <w:sz w:val="22"/>
          <w:szCs w:val="22"/>
          <w:lang w:eastAsia="en-US"/>
        </w:rPr>
        <w:t>Для реализации проекта существуют реальные предпосылки. Прежде всего – это проблема переработки вторичного сырья, св</w:t>
      </w:r>
      <w:r w:rsidRPr="00724342">
        <w:rPr>
          <w:rFonts w:eastAsiaTheme="minorHAnsi"/>
          <w:sz w:val="22"/>
          <w:szCs w:val="22"/>
          <w:lang w:eastAsia="en-US"/>
        </w:rPr>
        <w:t>я</w:t>
      </w:r>
      <w:r w:rsidRPr="00724342">
        <w:rPr>
          <w:rFonts w:eastAsiaTheme="minorHAnsi"/>
          <w:sz w:val="22"/>
          <w:szCs w:val="22"/>
          <w:lang w:eastAsia="en-US"/>
        </w:rPr>
        <w:t xml:space="preserve">занная как с усиливающимся загрязнением окружающей среды, так </w:t>
      </w:r>
      <w:r w:rsidRPr="00724342">
        <w:rPr>
          <w:rFonts w:eastAsiaTheme="minorHAnsi"/>
          <w:sz w:val="22"/>
          <w:szCs w:val="22"/>
          <w:lang w:eastAsia="en-US"/>
        </w:rPr>
        <w:lastRenderedPageBreak/>
        <w:t xml:space="preserve">и с ограниченностью традиционных природных ресурсов, а также укрепление финансовой устойчивости организации. </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Рассматриваемое предприятие специализируется на отрасли растениеводства, осуществляет следующие виды деятельности: в</w:t>
      </w:r>
      <w:r w:rsidRPr="00724342">
        <w:rPr>
          <w:rFonts w:eastAsiaTheme="minorHAnsi"/>
          <w:sz w:val="22"/>
          <w:szCs w:val="22"/>
          <w:lang w:eastAsia="en-US"/>
        </w:rPr>
        <w:t>ы</w:t>
      </w:r>
      <w:r w:rsidRPr="00724342">
        <w:rPr>
          <w:rFonts w:eastAsiaTheme="minorHAnsi"/>
          <w:sz w:val="22"/>
          <w:szCs w:val="22"/>
          <w:lang w:eastAsia="en-US"/>
        </w:rPr>
        <w:t>ращивание винограда; производство винной продукции; выращив</w:t>
      </w:r>
      <w:r w:rsidRPr="00724342">
        <w:rPr>
          <w:rFonts w:eastAsiaTheme="minorHAnsi"/>
          <w:sz w:val="22"/>
          <w:szCs w:val="22"/>
          <w:lang w:eastAsia="en-US"/>
        </w:rPr>
        <w:t>а</w:t>
      </w:r>
      <w:r w:rsidRPr="00724342">
        <w:rPr>
          <w:rFonts w:eastAsiaTheme="minorHAnsi"/>
          <w:sz w:val="22"/>
          <w:szCs w:val="22"/>
          <w:lang w:eastAsia="en-US"/>
        </w:rPr>
        <w:t>ние зерновых и зернобобовых культур.</w:t>
      </w:r>
    </w:p>
    <w:p w:rsidR="00724342" w:rsidRPr="00724342" w:rsidRDefault="00724342" w:rsidP="00D15DEA">
      <w:pPr>
        <w:widowControl w:val="0"/>
        <w:ind w:firstLine="426"/>
        <w:jc w:val="both"/>
        <w:rPr>
          <w:rFonts w:eastAsiaTheme="minorHAnsi"/>
          <w:sz w:val="22"/>
          <w:szCs w:val="22"/>
          <w:lang w:eastAsia="en-US"/>
        </w:rPr>
      </w:pPr>
      <w:r w:rsidRPr="00724342">
        <w:rPr>
          <w:rFonts w:eastAsiaTheme="minorHAnsi"/>
          <w:sz w:val="22"/>
          <w:szCs w:val="22"/>
          <w:lang w:eastAsia="en-US"/>
        </w:rPr>
        <w:t>Для реализации проекта на предприятии уже имеются соор</w:t>
      </w:r>
      <w:r w:rsidRPr="00724342">
        <w:rPr>
          <w:rFonts w:eastAsiaTheme="minorHAnsi"/>
          <w:sz w:val="22"/>
          <w:szCs w:val="22"/>
          <w:lang w:eastAsia="en-US"/>
        </w:rPr>
        <w:t>у</w:t>
      </w:r>
      <w:r w:rsidRPr="00724342">
        <w:rPr>
          <w:rFonts w:eastAsiaTheme="minorHAnsi"/>
          <w:sz w:val="22"/>
          <w:szCs w:val="22"/>
          <w:lang w:eastAsia="en-US"/>
        </w:rPr>
        <w:t>жения, однако необходим капитальный ремонт внутренних пом</w:t>
      </w:r>
      <w:r w:rsidRPr="00724342">
        <w:rPr>
          <w:rFonts w:eastAsiaTheme="minorHAnsi"/>
          <w:sz w:val="22"/>
          <w:szCs w:val="22"/>
          <w:lang w:eastAsia="en-US"/>
        </w:rPr>
        <w:t>е</w:t>
      </w:r>
      <w:r w:rsidRPr="00724342">
        <w:rPr>
          <w:rFonts w:eastAsiaTheme="minorHAnsi"/>
          <w:sz w:val="22"/>
          <w:szCs w:val="22"/>
          <w:lang w:eastAsia="en-US"/>
        </w:rPr>
        <w:t>щений второго отделения стоимостью 350 тыс. руб. Функционир</w:t>
      </w:r>
      <w:r w:rsidRPr="00724342">
        <w:rPr>
          <w:rFonts w:eastAsiaTheme="minorHAnsi"/>
          <w:sz w:val="22"/>
          <w:szCs w:val="22"/>
          <w:lang w:eastAsia="en-US"/>
        </w:rPr>
        <w:t>о</w:t>
      </w:r>
      <w:r w:rsidRPr="00724342">
        <w:rPr>
          <w:rFonts w:eastAsiaTheme="minorHAnsi"/>
          <w:sz w:val="22"/>
          <w:szCs w:val="22"/>
          <w:lang w:eastAsia="en-US"/>
        </w:rPr>
        <w:t>вание данного комплекса влечет за собой определенные выгоды предприятию и экономике края в целом.</w:t>
      </w:r>
    </w:p>
    <w:p w:rsidR="00724342" w:rsidRPr="00724342" w:rsidRDefault="00724342" w:rsidP="00D15DEA">
      <w:pPr>
        <w:widowControl w:val="0"/>
        <w:ind w:firstLine="426"/>
        <w:jc w:val="both"/>
        <w:rPr>
          <w:rFonts w:eastAsiaTheme="minorHAnsi"/>
          <w:sz w:val="22"/>
          <w:szCs w:val="22"/>
          <w:lang w:eastAsia="en-US"/>
        </w:rPr>
      </w:pPr>
      <w:r w:rsidRPr="00724342">
        <w:rPr>
          <w:rFonts w:eastAsiaTheme="minorHAnsi"/>
          <w:sz w:val="22"/>
          <w:szCs w:val="22"/>
          <w:lang w:eastAsia="en-US"/>
        </w:rPr>
        <w:t>На покупку и монтаж оборудования, а также на дополнител</w:t>
      </w:r>
      <w:r w:rsidRPr="00724342">
        <w:rPr>
          <w:rFonts w:eastAsiaTheme="minorHAnsi"/>
          <w:sz w:val="22"/>
          <w:szCs w:val="22"/>
          <w:lang w:eastAsia="en-US"/>
        </w:rPr>
        <w:t>ь</w:t>
      </w:r>
      <w:r w:rsidRPr="00724342">
        <w:rPr>
          <w:rFonts w:eastAsiaTheme="minorHAnsi"/>
          <w:sz w:val="22"/>
          <w:szCs w:val="22"/>
          <w:lang w:eastAsia="en-US"/>
        </w:rPr>
        <w:t>ные инструменты, необходимо 775 тыс. руб. Общая стоимость и</w:t>
      </w:r>
      <w:r w:rsidRPr="00724342">
        <w:rPr>
          <w:rFonts w:eastAsiaTheme="minorHAnsi"/>
          <w:sz w:val="22"/>
          <w:szCs w:val="22"/>
          <w:lang w:eastAsia="en-US"/>
        </w:rPr>
        <w:t>н</w:t>
      </w:r>
      <w:r w:rsidRPr="00724342">
        <w:rPr>
          <w:rFonts w:eastAsiaTheme="minorHAnsi"/>
          <w:sz w:val="22"/>
          <w:szCs w:val="22"/>
          <w:lang w:eastAsia="en-US"/>
        </w:rPr>
        <w:t>вестиций составит 1250 тыс. руб. По результатам оценки эффекти</w:t>
      </w:r>
      <w:r w:rsidRPr="00724342">
        <w:rPr>
          <w:rFonts w:eastAsiaTheme="minorHAnsi"/>
          <w:sz w:val="22"/>
          <w:szCs w:val="22"/>
          <w:lang w:eastAsia="en-US"/>
        </w:rPr>
        <w:t>в</w:t>
      </w:r>
      <w:r w:rsidRPr="00724342">
        <w:rPr>
          <w:rFonts w:eastAsiaTheme="minorHAnsi"/>
          <w:sz w:val="22"/>
          <w:szCs w:val="22"/>
          <w:lang w:eastAsia="en-US"/>
        </w:rPr>
        <w:t xml:space="preserve">ности инвестиций чистая прибыль в 2020 г. (год выхода на полную мощность) составит 2 247 тыс. руб. </w:t>
      </w:r>
    </w:p>
    <w:p w:rsidR="00724342" w:rsidRPr="00724342" w:rsidRDefault="00724342" w:rsidP="00D15DEA">
      <w:pPr>
        <w:widowControl w:val="0"/>
        <w:shd w:val="clear" w:color="auto" w:fill="FFFFFF" w:themeFill="background1"/>
        <w:ind w:firstLine="426"/>
        <w:jc w:val="both"/>
        <w:rPr>
          <w:rFonts w:eastAsiaTheme="minorHAnsi"/>
          <w:sz w:val="22"/>
          <w:szCs w:val="22"/>
          <w:lang w:eastAsia="en-US"/>
        </w:rPr>
      </w:pPr>
      <w:r w:rsidRPr="00724342">
        <w:rPr>
          <w:rFonts w:eastAsiaTheme="minorHAnsi"/>
          <w:sz w:val="22"/>
          <w:szCs w:val="22"/>
          <w:lang w:eastAsia="en-US"/>
        </w:rPr>
        <w:t>Срок окупаемости проекта составит 2 года. Внутренняя норма рентабельности будет равна 103,5%.</w:t>
      </w:r>
    </w:p>
    <w:p w:rsidR="00724342" w:rsidRPr="00724342" w:rsidRDefault="00724342" w:rsidP="00D15DEA">
      <w:pPr>
        <w:ind w:firstLine="426"/>
        <w:jc w:val="both"/>
        <w:rPr>
          <w:rFonts w:eastAsiaTheme="minorHAnsi"/>
          <w:sz w:val="22"/>
          <w:szCs w:val="22"/>
          <w:lang w:eastAsia="en-US"/>
        </w:rPr>
      </w:pPr>
    </w:p>
    <w:p w:rsidR="00724342" w:rsidRPr="00724342" w:rsidRDefault="00724342" w:rsidP="00D15DEA">
      <w:pPr>
        <w:ind w:firstLine="426"/>
        <w:jc w:val="center"/>
        <w:rPr>
          <w:rFonts w:eastAsiaTheme="minorHAnsi"/>
          <w:sz w:val="22"/>
          <w:szCs w:val="22"/>
          <w:lang w:val="en-US" w:eastAsia="en-US"/>
        </w:rPr>
      </w:pPr>
      <w:r w:rsidRPr="00724342">
        <w:rPr>
          <w:rFonts w:eastAsiaTheme="minorHAnsi"/>
          <w:sz w:val="22"/>
          <w:szCs w:val="22"/>
          <w:lang w:eastAsia="en-US"/>
        </w:rPr>
        <w:t>Список</w:t>
      </w:r>
      <w:r w:rsidRPr="00724342">
        <w:rPr>
          <w:rFonts w:eastAsiaTheme="minorHAnsi"/>
          <w:sz w:val="22"/>
          <w:szCs w:val="22"/>
          <w:lang w:val="en-US" w:eastAsia="en-US"/>
        </w:rPr>
        <w:t xml:space="preserve"> </w:t>
      </w:r>
      <w:r w:rsidRPr="00724342">
        <w:rPr>
          <w:rFonts w:eastAsiaTheme="minorHAnsi"/>
          <w:sz w:val="22"/>
          <w:szCs w:val="22"/>
          <w:lang w:eastAsia="en-US"/>
        </w:rPr>
        <w:t>литературы</w:t>
      </w:r>
    </w:p>
    <w:p w:rsidR="00724342" w:rsidRPr="00724342" w:rsidRDefault="00724342" w:rsidP="00D15DEA">
      <w:pPr>
        <w:ind w:firstLine="426"/>
        <w:contextualSpacing/>
        <w:jc w:val="both"/>
        <w:rPr>
          <w:rFonts w:eastAsiaTheme="minorHAnsi"/>
          <w:sz w:val="22"/>
          <w:szCs w:val="22"/>
          <w:lang w:val="en-US" w:eastAsia="en-US"/>
        </w:rPr>
      </w:pPr>
      <w:r w:rsidRPr="00724342">
        <w:rPr>
          <w:rFonts w:eastAsiaTheme="minorHAnsi"/>
          <w:sz w:val="22"/>
          <w:szCs w:val="22"/>
          <w:lang w:val="en-US" w:eastAsia="en-US"/>
        </w:rPr>
        <w:t>1. Sukhareva O. A. Relevance perspective directions for develo</w:t>
      </w:r>
      <w:r w:rsidRPr="00724342">
        <w:rPr>
          <w:rFonts w:eastAsiaTheme="minorHAnsi"/>
          <w:sz w:val="22"/>
          <w:szCs w:val="22"/>
          <w:lang w:val="en-US" w:eastAsia="en-US"/>
        </w:rPr>
        <w:t>p</w:t>
      </w:r>
      <w:r w:rsidRPr="00724342">
        <w:rPr>
          <w:rFonts w:eastAsiaTheme="minorHAnsi"/>
          <w:sz w:val="22"/>
          <w:szCs w:val="22"/>
          <w:lang w:val="en-US" w:eastAsia="en-US"/>
        </w:rPr>
        <w:t>ment infrastructure of plant growing branch in the conditions of the south of Russia/</w:t>
      </w:r>
      <w:r w:rsidR="009D0151">
        <w:fldChar w:fldCharType="begin"/>
      </w:r>
      <w:r w:rsidR="009D0151" w:rsidRPr="009D0151">
        <w:rPr>
          <w:lang w:val="en-US"/>
        </w:rPr>
        <w:instrText xml:space="preserve"> HYPERLINK "https://elibrary.ru/author_items.asp?refid=454773857&amp;fam=Sukhareva&amp;init=O+A" </w:instrText>
      </w:r>
      <w:r w:rsidR="009D0151">
        <w:fldChar w:fldCharType="separate"/>
      </w:r>
      <w:r w:rsidRPr="00724342">
        <w:rPr>
          <w:rFonts w:eastAsiaTheme="minorHAnsi"/>
          <w:sz w:val="22"/>
          <w:szCs w:val="22"/>
          <w:lang w:val="en-US" w:eastAsia="en-US"/>
        </w:rPr>
        <w:t>O. A. Sukhareva</w:t>
      </w:r>
      <w:r w:rsidR="009D0151">
        <w:rPr>
          <w:rFonts w:eastAsiaTheme="minorHAnsi"/>
          <w:sz w:val="22"/>
          <w:szCs w:val="22"/>
          <w:lang w:val="en-US" w:eastAsia="en-US"/>
        </w:rPr>
        <w:fldChar w:fldCharType="end"/>
      </w:r>
      <w:r w:rsidRPr="00724342">
        <w:rPr>
          <w:rFonts w:eastAsiaTheme="minorHAnsi"/>
          <w:sz w:val="22"/>
          <w:szCs w:val="22"/>
          <w:lang w:val="en-US" w:eastAsia="en-US"/>
        </w:rPr>
        <w:t>, </w:t>
      </w:r>
      <w:r w:rsidR="009D0151">
        <w:fldChar w:fldCharType="begin"/>
      </w:r>
      <w:r w:rsidR="009D0151" w:rsidRPr="009D0151">
        <w:rPr>
          <w:lang w:val="en-US"/>
        </w:rPr>
        <w:instrText xml:space="preserve"> HYPERLINK "https://elibra</w:instrText>
      </w:r>
      <w:r w:rsidR="009D0151" w:rsidRPr="009D0151">
        <w:rPr>
          <w:lang w:val="en-US"/>
        </w:rPr>
        <w:instrText xml:space="preserve">ry.ru/author_items.asp?refid=454773857&amp;fam=Novikova&amp;init=V+S" </w:instrText>
      </w:r>
      <w:r w:rsidR="009D0151">
        <w:fldChar w:fldCharType="separate"/>
      </w:r>
      <w:r w:rsidRPr="00724342">
        <w:rPr>
          <w:rFonts w:eastAsiaTheme="minorHAnsi"/>
          <w:sz w:val="22"/>
          <w:szCs w:val="22"/>
          <w:lang w:val="en-US" w:eastAsia="en-US"/>
        </w:rPr>
        <w:t>V. S. Novikova</w:t>
      </w:r>
      <w:r w:rsidR="009D0151">
        <w:rPr>
          <w:rFonts w:eastAsiaTheme="minorHAnsi"/>
          <w:sz w:val="22"/>
          <w:szCs w:val="22"/>
          <w:lang w:val="en-US" w:eastAsia="en-US"/>
        </w:rPr>
        <w:fldChar w:fldCharType="end"/>
      </w:r>
      <w:r w:rsidRPr="00724342">
        <w:rPr>
          <w:rFonts w:eastAsiaTheme="minorHAnsi"/>
          <w:sz w:val="22"/>
          <w:szCs w:val="22"/>
          <w:lang w:val="en-US" w:eastAsia="en-US"/>
        </w:rPr>
        <w:t>//</w:t>
      </w:r>
      <w:r w:rsidR="009D0151">
        <w:fldChar w:fldCharType="begin"/>
      </w:r>
      <w:r w:rsidR="009D0151" w:rsidRPr="009D0151">
        <w:rPr>
          <w:lang w:val="en-US"/>
        </w:rPr>
        <w:instrText xml:space="preserve"> HYPERLINK "https://elibrary.ru/contents.asp?titleid=53202" \o "Modern European Researches" </w:instrText>
      </w:r>
      <w:r w:rsidR="009D0151">
        <w:fldChar w:fldCharType="separate"/>
      </w:r>
      <w:r w:rsidRPr="00724342">
        <w:rPr>
          <w:rFonts w:eastAsiaTheme="minorHAnsi"/>
          <w:sz w:val="22"/>
          <w:szCs w:val="22"/>
          <w:lang w:val="en-US" w:eastAsia="en-US"/>
        </w:rPr>
        <w:t>Modern European Researches</w:t>
      </w:r>
      <w:r w:rsidR="009D0151">
        <w:rPr>
          <w:rFonts w:eastAsiaTheme="minorHAnsi"/>
          <w:sz w:val="22"/>
          <w:szCs w:val="22"/>
          <w:lang w:val="en-US" w:eastAsia="en-US"/>
        </w:rPr>
        <w:fldChar w:fldCharType="end"/>
      </w:r>
      <w:r w:rsidRPr="00724342">
        <w:rPr>
          <w:rFonts w:eastAsiaTheme="minorHAnsi"/>
          <w:sz w:val="22"/>
          <w:szCs w:val="22"/>
          <w:lang w:val="en-US" w:eastAsia="en-US"/>
        </w:rPr>
        <w:t>.</w:t>
      </w:r>
      <w:r w:rsidRPr="00724342">
        <w:rPr>
          <w:rFonts w:eastAsia="Yu Mincho"/>
          <w:sz w:val="22"/>
          <w:szCs w:val="22"/>
          <w:lang w:val="en-US" w:eastAsia="en-US"/>
        </w:rPr>
        <w:t xml:space="preserve"> – </w:t>
      </w:r>
      <w:r w:rsidRPr="00724342">
        <w:rPr>
          <w:rFonts w:eastAsiaTheme="minorHAnsi"/>
          <w:sz w:val="22"/>
          <w:szCs w:val="22"/>
          <w:lang w:val="en-US" w:eastAsia="en-US"/>
        </w:rPr>
        <w:t>2017. -№2. -p. 137-144. </w:t>
      </w:r>
    </w:p>
    <w:p w:rsidR="00724342" w:rsidRPr="00724342" w:rsidRDefault="00724342" w:rsidP="00D15DEA">
      <w:pPr>
        <w:ind w:firstLine="426"/>
        <w:contextualSpacing/>
        <w:jc w:val="both"/>
        <w:rPr>
          <w:rFonts w:eastAsiaTheme="minorHAnsi"/>
          <w:sz w:val="22"/>
          <w:szCs w:val="22"/>
          <w:lang w:eastAsia="en-US"/>
        </w:rPr>
      </w:pPr>
      <w:r w:rsidRPr="00724342">
        <w:rPr>
          <w:rFonts w:eastAsiaTheme="minorHAnsi"/>
          <w:sz w:val="22"/>
          <w:szCs w:val="22"/>
          <w:lang w:eastAsia="en-US"/>
        </w:rPr>
        <w:t>2. Бершицкий Ю. И. Механизация технологических процессов уборки винограда как фактор повышения экономической эффе</w:t>
      </w:r>
      <w:r w:rsidRPr="00724342">
        <w:rPr>
          <w:rFonts w:eastAsiaTheme="minorHAnsi"/>
          <w:sz w:val="22"/>
          <w:szCs w:val="22"/>
          <w:lang w:eastAsia="en-US"/>
        </w:rPr>
        <w:t>к</w:t>
      </w:r>
      <w:r w:rsidRPr="00724342">
        <w:rPr>
          <w:rFonts w:eastAsiaTheme="minorHAnsi"/>
          <w:sz w:val="22"/>
          <w:szCs w:val="22"/>
          <w:lang w:eastAsia="en-US"/>
        </w:rPr>
        <w:t>тивности функционирования отрасли/</w:t>
      </w:r>
      <w:hyperlink r:id="rId344" w:history="1">
        <w:r w:rsidRPr="00724342">
          <w:rPr>
            <w:rFonts w:eastAsiaTheme="minorHAnsi"/>
            <w:sz w:val="22"/>
            <w:szCs w:val="22"/>
            <w:lang w:eastAsia="en-US"/>
          </w:rPr>
          <w:t>Ю. И. Бершицкий</w:t>
        </w:r>
      </w:hyperlink>
      <w:r w:rsidRPr="00724342">
        <w:rPr>
          <w:rFonts w:eastAsiaTheme="minorHAnsi"/>
          <w:sz w:val="22"/>
          <w:szCs w:val="22"/>
          <w:lang w:eastAsia="en-US"/>
        </w:rPr>
        <w:t>, </w:t>
      </w:r>
      <w:hyperlink r:id="rId345" w:history="1">
        <w:r w:rsidRPr="00724342">
          <w:rPr>
            <w:rFonts w:eastAsiaTheme="minorHAnsi"/>
            <w:sz w:val="22"/>
            <w:szCs w:val="22"/>
            <w:lang w:eastAsia="en-US"/>
          </w:rPr>
          <w:t>О. А. С</w:t>
        </w:r>
        <w:r w:rsidRPr="00724342">
          <w:rPr>
            <w:rFonts w:eastAsiaTheme="minorHAnsi"/>
            <w:sz w:val="22"/>
            <w:szCs w:val="22"/>
            <w:lang w:eastAsia="en-US"/>
          </w:rPr>
          <w:t>у</w:t>
        </w:r>
        <w:r w:rsidRPr="00724342">
          <w:rPr>
            <w:rFonts w:eastAsiaTheme="minorHAnsi"/>
            <w:sz w:val="22"/>
            <w:szCs w:val="22"/>
            <w:lang w:eastAsia="en-US"/>
          </w:rPr>
          <w:t>харева</w:t>
        </w:r>
      </w:hyperlink>
      <w:r w:rsidRPr="00724342">
        <w:rPr>
          <w:rFonts w:eastAsiaTheme="minorHAnsi"/>
          <w:sz w:val="22"/>
          <w:szCs w:val="22"/>
          <w:lang w:eastAsia="en-US"/>
        </w:rPr>
        <w:t>//</w:t>
      </w:r>
      <w:hyperlink r:id="rId346" w:tooltip="Труды Кубанского государственного аграрного университета" w:history="1">
        <w:r w:rsidRPr="00724342">
          <w:rPr>
            <w:rFonts w:eastAsiaTheme="minorHAnsi"/>
            <w:sz w:val="22"/>
            <w:szCs w:val="22"/>
            <w:lang w:eastAsia="en-US"/>
          </w:rPr>
          <w:t>Труды Кубанского государственного аграрного университ</w:t>
        </w:r>
        <w:r w:rsidRPr="00724342">
          <w:rPr>
            <w:rFonts w:eastAsiaTheme="minorHAnsi"/>
            <w:sz w:val="22"/>
            <w:szCs w:val="22"/>
            <w:lang w:eastAsia="en-US"/>
          </w:rPr>
          <w:t>е</w:t>
        </w:r>
        <w:r w:rsidRPr="00724342">
          <w:rPr>
            <w:rFonts w:eastAsiaTheme="minorHAnsi"/>
            <w:sz w:val="22"/>
            <w:szCs w:val="22"/>
            <w:lang w:eastAsia="en-US"/>
          </w:rPr>
          <w:t>та</w:t>
        </w:r>
      </w:hyperlink>
      <w:r w:rsidRPr="00724342">
        <w:rPr>
          <w:rFonts w:eastAsiaTheme="minorHAnsi"/>
          <w:sz w:val="22"/>
          <w:szCs w:val="22"/>
          <w:lang w:eastAsia="en-US"/>
        </w:rPr>
        <w:t xml:space="preserve">. </w:t>
      </w:r>
      <w:r w:rsidRPr="00724342">
        <w:rPr>
          <w:rFonts w:eastAsia="Yu Mincho"/>
          <w:sz w:val="22"/>
          <w:szCs w:val="22"/>
          <w:lang w:eastAsia="en-US"/>
        </w:rPr>
        <w:t xml:space="preserve">– </w:t>
      </w:r>
      <w:r w:rsidRPr="00724342">
        <w:rPr>
          <w:rFonts w:eastAsiaTheme="minorHAnsi"/>
          <w:sz w:val="22"/>
          <w:szCs w:val="22"/>
          <w:lang w:eastAsia="en-US"/>
        </w:rPr>
        <w:t xml:space="preserve">2013. -№ 41. </w:t>
      </w:r>
      <w:r w:rsidRPr="00724342">
        <w:rPr>
          <w:rFonts w:eastAsia="Yu Mincho"/>
          <w:sz w:val="22"/>
          <w:szCs w:val="22"/>
          <w:lang w:eastAsia="en-US"/>
        </w:rPr>
        <w:t xml:space="preserve">– </w:t>
      </w:r>
      <w:r w:rsidRPr="00724342">
        <w:rPr>
          <w:rFonts w:eastAsiaTheme="minorHAnsi"/>
          <w:sz w:val="22"/>
          <w:szCs w:val="22"/>
          <w:lang w:eastAsia="en-US"/>
        </w:rPr>
        <w:t>С. 19-22</w:t>
      </w:r>
    </w:p>
    <w:p w:rsidR="00724342" w:rsidRPr="00724342" w:rsidRDefault="00724342" w:rsidP="00D15DEA">
      <w:pPr>
        <w:ind w:firstLine="426"/>
        <w:contextualSpacing/>
        <w:jc w:val="both"/>
        <w:rPr>
          <w:rFonts w:eastAsiaTheme="minorHAnsi"/>
          <w:sz w:val="22"/>
          <w:szCs w:val="22"/>
          <w:lang w:eastAsia="en-US"/>
        </w:rPr>
      </w:pPr>
      <w:r w:rsidRPr="00724342">
        <w:rPr>
          <w:rFonts w:eastAsiaTheme="minorHAnsi"/>
          <w:sz w:val="22"/>
          <w:szCs w:val="22"/>
          <w:lang w:eastAsia="en-US"/>
        </w:rPr>
        <w:t>3. Каштаева Д. Р. Проблемы обеспечения конкурентоспособн</w:t>
      </w:r>
      <w:r w:rsidRPr="00724342">
        <w:rPr>
          <w:rFonts w:eastAsiaTheme="minorHAnsi"/>
          <w:sz w:val="22"/>
          <w:szCs w:val="22"/>
          <w:lang w:eastAsia="en-US"/>
        </w:rPr>
        <w:t>о</w:t>
      </w:r>
      <w:r w:rsidRPr="00724342">
        <w:rPr>
          <w:rFonts w:eastAsiaTheme="minorHAnsi"/>
          <w:sz w:val="22"/>
          <w:szCs w:val="22"/>
          <w:lang w:eastAsia="en-US"/>
        </w:rPr>
        <w:t>сти малых форм хозяйствования в АПК/</w:t>
      </w:r>
      <w:hyperlink r:id="rId347" w:history="1">
        <w:r w:rsidRPr="00724342">
          <w:rPr>
            <w:rFonts w:eastAsiaTheme="minorHAnsi"/>
            <w:sz w:val="22"/>
            <w:szCs w:val="22"/>
            <w:lang w:eastAsia="en-US"/>
          </w:rPr>
          <w:t>Д. Р. Каштаева</w:t>
        </w:r>
      </w:hyperlink>
      <w:r w:rsidRPr="00724342">
        <w:rPr>
          <w:rFonts w:eastAsiaTheme="minorHAnsi"/>
          <w:sz w:val="22"/>
          <w:szCs w:val="22"/>
          <w:lang w:eastAsia="en-US"/>
        </w:rPr>
        <w:t>,</w:t>
      </w:r>
      <w:r w:rsidRPr="00724342">
        <w:rPr>
          <w:rFonts w:eastAsiaTheme="minorHAnsi"/>
          <w:sz w:val="22"/>
          <w:szCs w:val="22"/>
          <w:lang w:val="en-US" w:eastAsia="en-US"/>
        </w:rPr>
        <w:t> </w:t>
      </w:r>
      <w:hyperlink r:id="rId348" w:history="1">
        <w:r w:rsidRPr="00724342">
          <w:rPr>
            <w:rFonts w:eastAsiaTheme="minorHAnsi"/>
            <w:sz w:val="22"/>
            <w:szCs w:val="22"/>
            <w:lang w:eastAsia="en-US"/>
          </w:rPr>
          <w:t>А. О. Де</w:t>
        </w:r>
        <w:r w:rsidRPr="00724342">
          <w:rPr>
            <w:rFonts w:eastAsiaTheme="minorHAnsi"/>
            <w:sz w:val="22"/>
            <w:szCs w:val="22"/>
            <w:lang w:eastAsia="en-US"/>
          </w:rPr>
          <w:t>м</w:t>
        </w:r>
        <w:r w:rsidRPr="00724342">
          <w:rPr>
            <w:rFonts w:eastAsiaTheme="minorHAnsi"/>
            <w:sz w:val="22"/>
            <w:szCs w:val="22"/>
            <w:lang w:eastAsia="en-US"/>
          </w:rPr>
          <w:t>ченко</w:t>
        </w:r>
      </w:hyperlink>
      <w:r w:rsidRPr="00724342">
        <w:rPr>
          <w:rFonts w:eastAsiaTheme="minorHAnsi"/>
          <w:sz w:val="22"/>
          <w:szCs w:val="22"/>
          <w:lang w:eastAsia="en-US"/>
        </w:rPr>
        <w:t>,</w:t>
      </w:r>
      <w:r w:rsidRPr="00724342">
        <w:rPr>
          <w:rFonts w:eastAsiaTheme="minorHAnsi"/>
          <w:sz w:val="22"/>
          <w:szCs w:val="22"/>
          <w:lang w:val="en-US" w:eastAsia="en-US"/>
        </w:rPr>
        <w:t> </w:t>
      </w:r>
      <w:hyperlink r:id="rId349" w:history="1">
        <w:r w:rsidRPr="00724342">
          <w:rPr>
            <w:rFonts w:eastAsiaTheme="minorHAnsi"/>
            <w:sz w:val="22"/>
            <w:szCs w:val="22"/>
            <w:lang w:eastAsia="en-US"/>
          </w:rPr>
          <w:t>Г. Н. Литвиненко</w:t>
        </w:r>
      </w:hyperlink>
      <w:r w:rsidRPr="00724342">
        <w:rPr>
          <w:rFonts w:eastAsiaTheme="minorHAnsi"/>
          <w:sz w:val="22"/>
          <w:szCs w:val="22"/>
          <w:lang w:eastAsia="en-US"/>
        </w:rPr>
        <w:t>//Сб. ст. Междунар. науч.-практ. конф. «Интеграция науки и практики как условие технологического пр</w:t>
      </w:r>
      <w:r w:rsidRPr="00724342">
        <w:rPr>
          <w:rFonts w:eastAsiaTheme="minorHAnsi"/>
          <w:sz w:val="22"/>
          <w:szCs w:val="22"/>
          <w:lang w:eastAsia="en-US"/>
        </w:rPr>
        <w:t>о</w:t>
      </w:r>
      <w:r w:rsidRPr="00724342">
        <w:rPr>
          <w:rFonts w:eastAsiaTheme="minorHAnsi"/>
          <w:sz w:val="22"/>
          <w:szCs w:val="22"/>
          <w:lang w:eastAsia="en-US"/>
        </w:rPr>
        <w:t xml:space="preserve">рыва» (Казань, 05.11.2017 г.). -Уфа: Аэтерна, 2017. </w:t>
      </w:r>
      <w:r w:rsidRPr="00724342">
        <w:rPr>
          <w:rFonts w:eastAsia="Yu Mincho"/>
          <w:sz w:val="22"/>
          <w:szCs w:val="22"/>
          <w:lang w:eastAsia="en-US"/>
        </w:rPr>
        <w:t xml:space="preserve">– </w:t>
      </w:r>
      <w:r w:rsidRPr="00724342">
        <w:rPr>
          <w:rFonts w:eastAsiaTheme="minorHAnsi"/>
          <w:sz w:val="22"/>
          <w:szCs w:val="22"/>
          <w:lang w:eastAsia="en-US"/>
        </w:rPr>
        <w:t>С. 74 77.</w:t>
      </w:r>
    </w:p>
    <w:p w:rsidR="00724342" w:rsidRPr="00724342" w:rsidRDefault="00724342" w:rsidP="00D15DEA">
      <w:pPr>
        <w:ind w:firstLine="426"/>
        <w:contextualSpacing/>
        <w:jc w:val="both"/>
        <w:rPr>
          <w:rFonts w:eastAsiaTheme="minorHAnsi"/>
          <w:sz w:val="22"/>
          <w:szCs w:val="22"/>
          <w:lang w:eastAsia="en-US"/>
        </w:rPr>
      </w:pPr>
      <w:r w:rsidRPr="00724342">
        <w:rPr>
          <w:rFonts w:eastAsiaTheme="minorHAnsi"/>
          <w:sz w:val="22"/>
          <w:szCs w:val="22"/>
          <w:lang w:eastAsia="en-US"/>
        </w:rPr>
        <w:t>4. Соколова А. П. Риск в агробизнесе и определение мер по его снижению/</w:t>
      </w:r>
      <w:hyperlink r:id="rId350" w:history="1">
        <w:r w:rsidRPr="00724342">
          <w:rPr>
            <w:rFonts w:eastAsiaTheme="minorHAnsi"/>
            <w:sz w:val="22"/>
            <w:szCs w:val="22"/>
            <w:lang w:eastAsia="en-US"/>
          </w:rPr>
          <w:t>А. П. Соколова</w:t>
        </w:r>
      </w:hyperlink>
      <w:r w:rsidRPr="00724342">
        <w:rPr>
          <w:rFonts w:eastAsiaTheme="minorHAnsi"/>
          <w:sz w:val="22"/>
          <w:szCs w:val="22"/>
          <w:lang w:eastAsia="en-US"/>
        </w:rPr>
        <w:t>, </w:t>
      </w:r>
      <w:hyperlink r:id="rId351" w:history="1">
        <w:r w:rsidRPr="00724342">
          <w:rPr>
            <w:rFonts w:eastAsiaTheme="minorHAnsi"/>
            <w:sz w:val="22"/>
            <w:szCs w:val="22"/>
            <w:lang w:eastAsia="en-US"/>
          </w:rPr>
          <w:t>С. А. Устян</w:t>
        </w:r>
      </w:hyperlink>
      <w:r w:rsidRPr="00724342">
        <w:rPr>
          <w:rFonts w:eastAsiaTheme="minorHAnsi"/>
          <w:sz w:val="22"/>
          <w:szCs w:val="22"/>
          <w:lang w:eastAsia="en-US"/>
        </w:rPr>
        <w:t>, </w:t>
      </w:r>
      <w:hyperlink r:id="rId352" w:history="1">
        <w:r w:rsidRPr="00724342">
          <w:rPr>
            <w:rFonts w:eastAsiaTheme="minorHAnsi"/>
            <w:sz w:val="22"/>
            <w:szCs w:val="22"/>
            <w:lang w:eastAsia="en-US"/>
          </w:rPr>
          <w:t>С. А. Мелкумов</w:t>
        </w:r>
      </w:hyperlink>
      <w:r w:rsidRPr="00724342">
        <w:rPr>
          <w:rFonts w:eastAsiaTheme="minorHAnsi"/>
          <w:sz w:val="22"/>
          <w:szCs w:val="22"/>
          <w:lang w:eastAsia="en-US"/>
        </w:rPr>
        <w:t>//</w:t>
      </w:r>
      <w:hyperlink r:id="rId353" w:tooltip="Экономика и предпринимательство" w:history="1">
        <w:r w:rsidRPr="00724342">
          <w:rPr>
            <w:rFonts w:eastAsiaTheme="minorHAnsi"/>
            <w:sz w:val="22"/>
            <w:szCs w:val="22"/>
            <w:lang w:eastAsia="en-US"/>
          </w:rPr>
          <w:t>Экономика и предпринимательство</w:t>
        </w:r>
      </w:hyperlink>
      <w:r w:rsidRPr="00724342">
        <w:rPr>
          <w:rFonts w:eastAsiaTheme="minorHAnsi"/>
          <w:sz w:val="22"/>
          <w:szCs w:val="22"/>
          <w:lang w:eastAsia="en-US"/>
        </w:rPr>
        <w:t xml:space="preserve">. № 1 (ч.2), 2017. </w:t>
      </w:r>
      <w:r w:rsidRPr="00724342">
        <w:rPr>
          <w:rFonts w:eastAsia="Yu Mincho"/>
          <w:sz w:val="22"/>
          <w:szCs w:val="22"/>
          <w:lang w:eastAsia="en-US"/>
        </w:rPr>
        <w:t xml:space="preserve">– </w:t>
      </w:r>
      <w:r w:rsidRPr="00724342">
        <w:rPr>
          <w:rFonts w:eastAsiaTheme="minorHAnsi"/>
          <w:sz w:val="22"/>
          <w:szCs w:val="22"/>
          <w:lang w:eastAsia="en-US"/>
        </w:rPr>
        <w:t>С. 951 -956 </w:t>
      </w:r>
    </w:p>
    <w:p w:rsidR="00724342" w:rsidRPr="00724342" w:rsidRDefault="00724342" w:rsidP="00724342">
      <w:pPr>
        <w:contextualSpacing/>
        <w:jc w:val="both"/>
        <w:rPr>
          <w:rFonts w:eastAsiaTheme="minorHAnsi"/>
          <w:sz w:val="22"/>
          <w:szCs w:val="22"/>
          <w:lang w:eastAsia="en-US"/>
        </w:rPr>
      </w:pPr>
    </w:p>
    <w:p w:rsidR="00724342" w:rsidRPr="00724342" w:rsidRDefault="00724342" w:rsidP="00724342">
      <w:pPr>
        <w:rPr>
          <w:rFonts w:eastAsiaTheme="minorHAnsi"/>
          <w:color w:val="000000" w:themeColor="text1"/>
          <w:sz w:val="22"/>
          <w:szCs w:val="24"/>
          <w:lang w:eastAsia="en-US"/>
        </w:rPr>
      </w:pPr>
      <w:r w:rsidRPr="00724342">
        <w:rPr>
          <w:rFonts w:eastAsiaTheme="minorHAnsi"/>
          <w:color w:val="000000" w:themeColor="text1"/>
          <w:sz w:val="22"/>
          <w:szCs w:val="24"/>
          <w:lang w:eastAsia="en-US"/>
        </w:rPr>
        <w:lastRenderedPageBreak/>
        <w:t>УДК 334.021.1</w:t>
      </w:r>
    </w:p>
    <w:p w:rsidR="00724342" w:rsidRPr="00724342" w:rsidRDefault="00724342" w:rsidP="00724342">
      <w:pPr>
        <w:rPr>
          <w:rFonts w:eastAsiaTheme="minorHAnsi"/>
          <w:color w:val="000000" w:themeColor="text1"/>
          <w:sz w:val="22"/>
          <w:szCs w:val="24"/>
          <w:lang w:eastAsia="en-US"/>
        </w:rPr>
      </w:pPr>
    </w:p>
    <w:p w:rsidR="00724342" w:rsidRPr="00724342" w:rsidRDefault="00724342" w:rsidP="00724342">
      <w:pPr>
        <w:jc w:val="center"/>
        <w:rPr>
          <w:rFonts w:eastAsiaTheme="minorHAnsi"/>
          <w:b/>
          <w:color w:val="000000" w:themeColor="text1"/>
          <w:sz w:val="24"/>
          <w:szCs w:val="24"/>
          <w:lang w:eastAsia="en-US"/>
        </w:rPr>
      </w:pPr>
      <w:r w:rsidRPr="00724342">
        <w:rPr>
          <w:rFonts w:eastAsiaTheme="minorHAnsi"/>
          <w:b/>
          <w:color w:val="000000" w:themeColor="text1"/>
          <w:sz w:val="24"/>
          <w:szCs w:val="24"/>
          <w:lang w:eastAsia="en-US"/>
        </w:rPr>
        <w:t xml:space="preserve">Проявление должной осмотрительности при </w:t>
      </w:r>
    </w:p>
    <w:p w:rsidR="00724342" w:rsidRPr="00724342" w:rsidRDefault="00724342" w:rsidP="00724342">
      <w:pPr>
        <w:jc w:val="center"/>
        <w:rPr>
          <w:rFonts w:eastAsiaTheme="minorHAnsi"/>
          <w:b/>
          <w:color w:val="000000" w:themeColor="text1"/>
          <w:sz w:val="24"/>
          <w:szCs w:val="24"/>
          <w:lang w:eastAsia="en-US"/>
        </w:rPr>
      </w:pPr>
      <w:r w:rsidRPr="00724342">
        <w:rPr>
          <w:rFonts w:eastAsiaTheme="minorHAnsi"/>
          <w:b/>
          <w:color w:val="000000" w:themeColor="text1"/>
          <w:sz w:val="24"/>
          <w:szCs w:val="24"/>
          <w:lang w:eastAsia="en-US"/>
        </w:rPr>
        <w:t>асимметрии информации</w:t>
      </w:r>
    </w:p>
    <w:p w:rsidR="00724342" w:rsidRPr="00724342" w:rsidRDefault="00724342" w:rsidP="00724342">
      <w:pPr>
        <w:jc w:val="center"/>
        <w:rPr>
          <w:rFonts w:eastAsiaTheme="minorHAnsi"/>
          <w:b/>
          <w:color w:val="000000" w:themeColor="text1"/>
          <w:sz w:val="24"/>
          <w:szCs w:val="24"/>
          <w:lang w:eastAsia="en-US"/>
        </w:rPr>
      </w:pPr>
      <w:r w:rsidRPr="00724342">
        <w:rPr>
          <w:rFonts w:eastAsiaTheme="minorHAnsi"/>
          <w:b/>
          <w:color w:val="000000" w:themeColor="text1"/>
          <w:sz w:val="24"/>
          <w:szCs w:val="24"/>
          <w:lang w:val="en-US" w:eastAsia="en-US"/>
        </w:rPr>
        <w:t>Manifestation</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of</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due</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diligence</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with</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information</w:t>
      </w:r>
      <w:r w:rsidRPr="00724342">
        <w:rPr>
          <w:rFonts w:eastAsiaTheme="minorHAnsi"/>
          <w:b/>
          <w:color w:val="000000" w:themeColor="text1"/>
          <w:sz w:val="24"/>
          <w:szCs w:val="24"/>
          <w:lang w:eastAsia="en-US"/>
        </w:rPr>
        <w:t xml:space="preserve"> </w:t>
      </w:r>
      <w:r w:rsidRPr="00724342">
        <w:rPr>
          <w:rFonts w:eastAsiaTheme="minorHAnsi"/>
          <w:b/>
          <w:color w:val="000000" w:themeColor="text1"/>
          <w:sz w:val="24"/>
          <w:szCs w:val="24"/>
          <w:lang w:val="en-US" w:eastAsia="en-US"/>
        </w:rPr>
        <w:t>asymmetry</w:t>
      </w:r>
    </w:p>
    <w:p w:rsidR="00724342" w:rsidRPr="00724342" w:rsidRDefault="00724342" w:rsidP="00724342">
      <w:pPr>
        <w:tabs>
          <w:tab w:val="left" w:pos="5284"/>
        </w:tabs>
        <w:jc w:val="right"/>
        <w:rPr>
          <w:rFonts w:eastAsiaTheme="minorHAnsi"/>
          <w:sz w:val="22"/>
          <w:szCs w:val="24"/>
          <w:lang w:eastAsia="en-US"/>
        </w:rPr>
      </w:pP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Христофориди К.</w:t>
      </w:r>
      <w:r w:rsidR="00D15DEA">
        <w:rPr>
          <w:rFonts w:eastAsiaTheme="minorHAnsi"/>
          <w:sz w:val="22"/>
          <w:szCs w:val="24"/>
          <w:lang w:eastAsia="en-US"/>
        </w:rPr>
        <w:t xml:space="preserve"> </w:t>
      </w:r>
      <w:r w:rsidRPr="00724342">
        <w:rPr>
          <w:rFonts w:eastAsiaTheme="minorHAnsi"/>
          <w:sz w:val="22"/>
          <w:szCs w:val="24"/>
          <w:lang w:eastAsia="en-US"/>
        </w:rPr>
        <w:t>Ф.</w:t>
      </w:r>
      <w:r w:rsidR="00D15DEA">
        <w:rPr>
          <w:rFonts w:eastAsiaTheme="minorHAnsi"/>
          <w:sz w:val="22"/>
          <w:szCs w:val="24"/>
          <w:lang w:eastAsia="en-US"/>
        </w:rPr>
        <w:t>,</w:t>
      </w:r>
    </w:p>
    <w:p w:rsidR="00724342" w:rsidRPr="00724342" w:rsidRDefault="00D15DEA" w:rsidP="00724342">
      <w:pPr>
        <w:tabs>
          <w:tab w:val="left" w:pos="5284"/>
        </w:tabs>
        <w:jc w:val="right"/>
        <w:rPr>
          <w:rFonts w:eastAsiaTheme="minorHAnsi"/>
          <w:sz w:val="22"/>
          <w:szCs w:val="24"/>
          <w:lang w:eastAsia="en-US"/>
        </w:rPr>
      </w:pPr>
      <w:r>
        <w:rPr>
          <w:rFonts w:eastAsiaTheme="minorHAnsi"/>
          <w:sz w:val="22"/>
          <w:szCs w:val="24"/>
          <w:lang w:eastAsia="en-US"/>
        </w:rPr>
        <w:t>с</w:t>
      </w:r>
      <w:r w:rsidR="00724342" w:rsidRPr="00724342">
        <w:rPr>
          <w:rFonts w:eastAsiaTheme="minorHAnsi"/>
          <w:sz w:val="22"/>
          <w:szCs w:val="24"/>
          <w:lang w:eastAsia="en-US"/>
        </w:rPr>
        <w:t>тудент 1-го курса магистратуры</w:t>
      </w: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 xml:space="preserve"> экономического факультета</w:t>
      </w: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 xml:space="preserve">Кубанский государственный аграрный </w:t>
      </w:r>
    </w:p>
    <w:p w:rsidR="00724342" w:rsidRPr="00724342" w:rsidRDefault="00724342" w:rsidP="00724342">
      <w:pPr>
        <w:tabs>
          <w:tab w:val="left" w:pos="5284"/>
        </w:tabs>
        <w:jc w:val="right"/>
        <w:rPr>
          <w:rFonts w:eastAsiaTheme="minorHAnsi"/>
          <w:sz w:val="22"/>
          <w:szCs w:val="24"/>
          <w:lang w:eastAsia="en-US"/>
        </w:rPr>
      </w:pPr>
      <w:r w:rsidRPr="00724342">
        <w:rPr>
          <w:rFonts w:eastAsiaTheme="minorHAnsi"/>
          <w:sz w:val="22"/>
          <w:szCs w:val="24"/>
          <w:lang w:eastAsia="en-US"/>
        </w:rPr>
        <w:t>университет имени И.</w:t>
      </w:r>
      <w:r w:rsidR="00D15DEA">
        <w:rPr>
          <w:rFonts w:eastAsiaTheme="minorHAnsi"/>
          <w:sz w:val="22"/>
          <w:szCs w:val="24"/>
          <w:lang w:eastAsia="en-US"/>
        </w:rPr>
        <w:t xml:space="preserve"> </w:t>
      </w:r>
      <w:r w:rsidRPr="00724342">
        <w:rPr>
          <w:rFonts w:eastAsiaTheme="minorHAnsi"/>
          <w:sz w:val="22"/>
          <w:szCs w:val="24"/>
          <w:lang w:eastAsia="en-US"/>
        </w:rPr>
        <w:t>Т. Трубилина</w:t>
      </w:r>
    </w:p>
    <w:p w:rsidR="00724342" w:rsidRPr="00724342" w:rsidRDefault="00724342" w:rsidP="00724342">
      <w:pPr>
        <w:jc w:val="both"/>
        <w:rPr>
          <w:rFonts w:eastAsiaTheme="minorHAnsi"/>
          <w:sz w:val="22"/>
          <w:szCs w:val="24"/>
          <w:lang w:eastAsia="en-US"/>
        </w:rPr>
      </w:pPr>
    </w:p>
    <w:p w:rsidR="00724342" w:rsidRPr="00724342" w:rsidRDefault="00724342" w:rsidP="00D15DEA">
      <w:pPr>
        <w:ind w:firstLine="426"/>
        <w:jc w:val="both"/>
        <w:rPr>
          <w:color w:val="000000"/>
          <w:sz w:val="22"/>
          <w:szCs w:val="29"/>
        </w:rPr>
      </w:pPr>
      <w:r w:rsidRPr="00724342">
        <w:rPr>
          <w:rFonts w:eastAsiaTheme="minorHAnsi"/>
          <w:sz w:val="22"/>
          <w:szCs w:val="24"/>
          <w:lang w:eastAsia="en-US"/>
        </w:rPr>
        <w:t xml:space="preserve">АННОТАЦИЯ: Изучена </w:t>
      </w:r>
      <w:r w:rsidRPr="00724342">
        <w:rPr>
          <w:color w:val="000000"/>
          <w:sz w:val="22"/>
          <w:szCs w:val="29"/>
        </w:rPr>
        <w:t>значимость информации для принятия решений. Доказана необходимость тщательного анализа деятельн</w:t>
      </w:r>
      <w:r w:rsidRPr="00724342">
        <w:rPr>
          <w:color w:val="000000"/>
          <w:sz w:val="22"/>
          <w:szCs w:val="29"/>
        </w:rPr>
        <w:t>о</w:t>
      </w:r>
      <w:r w:rsidRPr="00724342">
        <w:rPr>
          <w:color w:val="000000"/>
          <w:sz w:val="22"/>
          <w:szCs w:val="29"/>
        </w:rPr>
        <w:t>сти контрагента при заключении сделки.</w:t>
      </w:r>
    </w:p>
    <w:p w:rsidR="00724342" w:rsidRPr="00724342" w:rsidRDefault="00724342" w:rsidP="00D15DEA">
      <w:pPr>
        <w:ind w:firstLine="426"/>
        <w:jc w:val="both"/>
        <w:rPr>
          <w:color w:val="000000"/>
          <w:sz w:val="22"/>
          <w:szCs w:val="29"/>
          <w:lang w:val="en-US"/>
        </w:rPr>
      </w:pPr>
      <w:r w:rsidRPr="00724342">
        <w:rPr>
          <w:color w:val="000000"/>
          <w:sz w:val="22"/>
          <w:szCs w:val="29"/>
          <w:lang w:val="en-US"/>
        </w:rPr>
        <w:t>ABSTRACT: The importance of information for decision-making was studied. The need for a thorough analysis of the counterparty's acti</w:t>
      </w:r>
      <w:r w:rsidRPr="00724342">
        <w:rPr>
          <w:color w:val="000000"/>
          <w:sz w:val="22"/>
          <w:szCs w:val="29"/>
          <w:lang w:val="en-US"/>
        </w:rPr>
        <w:t>v</w:t>
      </w:r>
      <w:r w:rsidRPr="00724342">
        <w:rPr>
          <w:color w:val="000000"/>
          <w:sz w:val="22"/>
          <w:szCs w:val="29"/>
          <w:lang w:val="en-US"/>
        </w:rPr>
        <w:t>ities in concluding a transaction</w:t>
      </w:r>
    </w:p>
    <w:p w:rsidR="00724342" w:rsidRPr="00724342" w:rsidRDefault="00724342" w:rsidP="00D15DEA">
      <w:pPr>
        <w:ind w:firstLine="426"/>
        <w:jc w:val="both"/>
        <w:rPr>
          <w:color w:val="000000"/>
          <w:sz w:val="22"/>
          <w:szCs w:val="29"/>
        </w:rPr>
      </w:pPr>
      <w:r w:rsidRPr="00724342">
        <w:rPr>
          <w:color w:val="000000"/>
          <w:sz w:val="22"/>
          <w:szCs w:val="29"/>
        </w:rPr>
        <w:t>КЛЮЧЕВЫЕ СЛОВА: асимметрия, контрагент, информация, компания, сделка, анализ.</w:t>
      </w:r>
    </w:p>
    <w:p w:rsidR="00724342" w:rsidRPr="00724342" w:rsidRDefault="00724342" w:rsidP="00D15DEA">
      <w:pPr>
        <w:ind w:firstLine="426"/>
        <w:jc w:val="both"/>
        <w:rPr>
          <w:color w:val="000000"/>
          <w:sz w:val="22"/>
          <w:szCs w:val="29"/>
          <w:lang w:val="en-US"/>
        </w:rPr>
      </w:pPr>
      <w:r w:rsidRPr="00724342">
        <w:rPr>
          <w:color w:val="000000"/>
          <w:sz w:val="22"/>
          <w:szCs w:val="29"/>
          <w:lang w:val="en-US"/>
        </w:rPr>
        <w:t>KEYWORDS: asymmetry, counterpart, information, company, transaction, analysis.</w:t>
      </w:r>
    </w:p>
    <w:p w:rsidR="00724342" w:rsidRPr="00724342" w:rsidRDefault="00724342" w:rsidP="00D15DEA">
      <w:pPr>
        <w:ind w:firstLine="426"/>
        <w:jc w:val="both"/>
        <w:rPr>
          <w:color w:val="000000"/>
          <w:sz w:val="22"/>
          <w:szCs w:val="29"/>
          <w:lang w:val="en-US"/>
        </w:rPr>
      </w:pPr>
    </w:p>
    <w:p w:rsidR="00724342" w:rsidRPr="00724342" w:rsidRDefault="00724342" w:rsidP="00D15DEA">
      <w:pPr>
        <w:ind w:firstLine="426"/>
        <w:jc w:val="both"/>
        <w:rPr>
          <w:color w:val="000000"/>
          <w:sz w:val="22"/>
          <w:szCs w:val="29"/>
        </w:rPr>
      </w:pPr>
      <w:r w:rsidRPr="00724342">
        <w:rPr>
          <w:color w:val="000000"/>
          <w:sz w:val="22"/>
          <w:szCs w:val="24"/>
        </w:rPr>
        <w:t>Асимметрия информации</w:t>
      </w:r>
      <w:r w:rsidRPr="00724342">
        <w:rPr>
          <w:rFonts w:eastAsiaTheme="minorHAnsi"/>
          <w:sz w:val="22"/>
          <w:szCs w:val="24"/>
        </w:rPr>
        <w:t xml:space="preserve"> – </w:t>
      </w:r>
      <w:r w:rsidRPr="00724342">
        <w:rPr>
          <w:color w:val="000000"/>
          <w:sz w:val="22"/>
          <w:szCs w:val="24"/>
        </w:rPr>
        <w:t>неравномерное распределение и</w:t>
      </w:r>
      <w:r w:rsidRPr="00724342">
        <w:rPr>
          <w:color w:val="000000"/>
          <w:sz w:val="22"/>
          <w:szCs w:val="24"/>
        </w:rPr>
        <w:t>н</w:t>
      </w:r>
      <w:r w:rsidRPr="00724342">
        <w:rPr>
          <w:color w:val="000000"/>
          <w:sz w:val="22"/>
          <w:szCs w:val="24"/>
        </w:rPr>
        <w:t>формации между участниками сделки.  Контрагенты обладают н</w:t>
      </w:r>
      <w:r w:rsidRPr="00724342">
        <w:rPr>
          <w:color w:val="000000"/>
          <w:sz w:val="22"/>
          <w:szCs w:val="24"/>
        </w:rPr>
        <w:t>е</w:t>
      </w:r>
      <w:r w:rsidRPr="00724342">
        <w:rPr>
          <w:color w:val="000000"/>
          <w:sz w:val="22"/>
          <w:szCs w:val="24"/>
        </w:rPr>
        <w:t>равноценной информацией. Проверка участников сделки миним</w:t>
      </w:r>
      <w:r w:rsidRPr="00724342">
        <w:rPr>
          <w:color w:val="000000"/>
          <w:sz w:val="22"/>
          <w:szCs w:val="24"/>
        </w:rPr>
        <w:t>и</w:t>
      </w:r>
      <w:r w:rsidRPr="00724342">
        <w:rPr>
          <w:color w:val="000000"/>
          <w:sz w:val="22"/>
          <w:szCs w:val="24"/>
        </w:rPr>
        <w:t>зирует асимметрию информации между сторонами [1].</w:t>
      </w:r>
    </w:p>
    <w:p w:rsidR="00724342" w:rsidRPr="00724342" w:rsidRDefault="00724342" w:rsidP="00D15DEA">
      <w:pPr>
        <w:ind w:firstLine="426"/>
        <w:jc w:val="both"/>
        <w:rPr>
          <w:rFonts w:eastAsiaTheme="minorHAnsi"/>
          <w:sz w:val="22"/>
          <w:szCs w:val="22"/>
        </w:rPr>
      </w:pPr>
      <w:r w:rsidRPr="00724342">
        <w:rPr>
          <w:rFonts w:eastAsiaTheme="minorHAnsi"/>
          <w:sz w:val="22"/>
          <w:szCs w:val="22"/>
        </w:rPr>
        <w:t>Неполнота информации – является ключевой причиной рыно</w:t>
      </w:r>
      <w:r w:rsidRPr="00724342">
        <w:rPr>
          <w:rFonts w:eastAsiaTheme="minorHAnsi"/>
          <w:sz w:val="22"/>
          <w:szCs w:val="22"/>
        </w:rPr>
        <w:t>ч</w:t>
      </w:r>
      <w:r w:rsidRPr="00724342">
        <w:rPr>
          <w:rFonts w:eastAsiaTheme="minorHAnsi"/>
          <w:sz w:val="22"/>
          <w:szCs w:val="22"/>
        </w:rPr>
        <w:t>ной неопределенности. Факт её присутствия мешает принятию о</w:t>
      </w:r>
      <w:r w:rsidRPr="00724342">
        <w:rPr>
          <w:rFonts w:eastAsiaTheme="minorHAnsi"/>
          <w:sz w:val="22"/>
          <w:szCs w:val="22"/>
        </w:rPr>
        <w:t>п</w:t>
      </w:r>
      <w:r w:rsidRPr="00724342">
        <w:rPr>
          <w:rFonts w:eastAsiaTheme="minorHAnsi"/>
          <w:sz w:val="22"/>
          <w:szCs w:val="22"/>
        </w:rPr>
        <w:t xml:space="preserve">тимальных решений, порождает дополнительные трансакционные издержки, а контрагент ставится в неравные условия при принятии решений. </w:t>
      </w:r>
    </w:p>
    <w:p w:rsidR="00724342" w:rsidRPr="00724342" w:rsidRDefault="00724342" w:rsidP="00D15DEA">
      <w:pPr>
        <w:ind w:firstLine="426"/>
        <w:jc w:val="both"/>
        <w:rPr>
          <w:rFonts w:eastAsiaTheme="minorHAnsi"/>
          <w:sz w:val="22"/>
          <w:szCs w:val="29"/>
        </w:rPr>
      </w:pPr>
      <w:r w:rsidRPr="00724342">
        <w:rPr>
          <w:rFonts w:eastAsiaTheme="minorHAnsi"/>
          <w:sz w:val="22"/>
          <w:szCs w:val="29"/>
        </w:rPr>
        <w:t>Порождая рыночную неопределенность асимметрия информ</w:t>
      </w:r>
      <w:r w:rsidRPr="00724342">
        <w:rPr>
          <w:rFonts w:eastAsiaTheme="minorHAnsi"/>
          <w:sz w:val="22"/>
          <w:szCs w:val="29"/>
        </w:rPr>
        <w:t>а</w:t>
      </w:r>
      <w:r w:rsidRPr="00724342">
        <w:rPr>
          <w:rFonts w:eastAsiaTheme="minorHAnsi"/>
          <w:sz w:val="22"/>
          <w:szCs w:val="29"/>
        </w:rPr>
        <w:t>ции представляет только часть проблемы, которая встречается участникам рыночных операций. Другая часть данной проблемы обусловлена тем, что доступная информация неравномерно распр</w:t>
      </w:r>
      <w:r w:rsidRPr="00724342">
        <w:rPr>
          <w:rFonts w:eastAsiaTheme="minorHAnsi"/>
          <w:sz w:val="22"/>
          <w:szCs w:val="29"/>
        </w:rPr>
        <w:t>е</w:t>
      </w:r>
      <w:r w:rsidRPr="00724342">
        <w:rPr>
          <w:rFonts w:eastAsiaTheme="minorHAnsi"/>
          <w:sz w:val="22"/>
          <w:szCs w:val="29"/>
        </w:rPr>
        <w:t>делена среди участников рыночной сделки.</w:t>
      </w:r>
    </w:p>
    <w:p w:rsidR="00724342" w:rsidRPr="00724342" w:rsidRDefault="00724342" w:rsidP="00D15DEA">
      <w:pPr>
        <w:ind w:firstLine="426"/>
        <w:jc w:val="both"/>
        <w:rPr>
          <w:rFonts w:eastAsiaTheme="minorHAnsi"/>
          <w:b/>
          <w:bCs/>
          <w:color w:val="000000" w:themeColor="text1"/>
          <w:sz w:val="22"/>
          <w:szCs w:val="22"/>
          <w:lang w:eastAsia="en-US"/>
        </w:rPr>
      </w:pPr>
      <w:r w:rsidRPr="00724342">
        <w:rPr>
          <w:rFonts w:eastAsiaTheme="minorHAnsi"/>
          <w:sz w:val="22"/>
          <w:szCs w:val="22"/>
          <w:lang w:eastAsia="en-US"/>
        </w:rPr>
        <w:lastRenderedPageBreak/>
        <w:t>Во избежание подобных инцидентов,</w:t>
      </w:r>
      <w:r w:rsidRPr="00724342">
        <w:rPr>
          <w:rFonts w:eastAsiaTheme="minorHAnsi"/>
          <w:sz w:val="22"/>
          <w:szCs w:val="22"/>
        </w:rPr>
        <w:t xml:space="preserve"> </w:t>
      </w:r>
      <w:r w:rsidRPr="00724342">
        <w:rPr>
          <w:rFonts w:eastAsiaTheme="minorHAnsi"/>
          <w:color w:val="000000" w:themeColor="text1"/>
          <w:sz w:val="22"/>
          <w:szCs w:val="22"/>
          <w:lang w:eastAsia="en-US"/>
        </w:rPr>
        <w:t>перед заключением сде</w:t>
      </w:r>
      <w:r w:rsidRPr="00724342">
        <w:rPr>
          <w:rFonts w:eastAsiaTheme="minorHAnsi"/>
          <w:color w:val="000000" w:themeColor="text1"/>
          <w:sz w:val="22"/>
          <w:szCs w:val="22"/>
          <w:lang w:eastAsia="en-US"/>
        </w:rPr>
        <w:t>л</w:t>
      </w:r>
      <w:r w:rsidRPr="00724342">
        <w:rPr>
          <w:rFonts w:eastAsiaTheme="minorHAnsi"/>
          <w:color w:val="000000" w:themeColor="text1"/>
          <w:sz w:val="22"/>
          <w:szCs w:val="22"/>
          <w:lang w:eastAsia="en-US"/>
        </w:rPr>
        <w:t xml:space="preserve">ки, </w:t>
      </w:r>
      <w:r w:rsidRPr="00724342">
        <w:rPr>
          <w:rFonts w:eastAsiaTheme="minorHAnsi"/>
          <w:sz w:val="22"/>
          <w:szCs w:val="22"/>
          <w:lang w:eastAsia="en-US"/>
        </w:rPr>
        <w:t>необходимо запрашивать</w:t>
      </w:r>
      <w:r w:rsidRPr="00724342">
        <w:rPr>
          <w:rFonts w:eastAsiaTheme="minorHAnsi"/>
          <w:color w:val="000000" w:themeColor="text1"/>
          <w:sz w:val="22"/>
          <w:szCs w:val="22"/>
          <w:lang w:eastAsia="en-US"/>
        </w:rPr>
        <w:t xml:space="preserve"> перечень документов</w:t>
      </w:r>
      <w:r w:rsidRPr="00724342">
        <w:rPr>
          <w:rFonts w:eastAsiaTheme="minorHAnsi"/>
          <w:b/>
          <w:bCs/>
          <w:caps/>
          <w:color w:val="000000" w:themeColor="text1"/>
          <w:sz w:val="22"/>
          <w:szCs w:val="22"/>
          <w:lang w:eastAsia="en-US"/>
        </w:rPr>
        <w:t xml:space="preserve">, </w:t>
      </w:r>
      <w:r w:rsidRPr="00724342">
        <w:rPr>
          <w:rFonts w:eastAsiaTheme="minorHAnsi"/>
          <w:color w:val="000000" w:themeColor="text1"/>
          <w:sz w:val="22"/>
          <w:szCs w:val="22"/>
          <w:lang w:eastAsia="en-US"/>
        </w:rPr>
        <w:t>на основании которого осуществляется анализ финансово-экономического сост</w:t>
      </w:r>
      <w:r w:rsidRPr="00724342">
        <w:rPr>
          <w:rFonts w:eastAsiaTheme="minorHAnsi"/>
          <w:color w:val="000000" w:themeColor="text1"/>
          <w:sz w:val="22"/>
          <w:szCs w:val="22"/>
          <w:lang w:eastAsia="en-US"/>
        </w:rPr>
        <w:t>о</w:t>
      </w:r>
      <w:r w:rsidRPr="00724342">
        <w:rPr>
          <w:rFonts w:eastAsiaTheme="minorHAnsi"/>
          <w:color w:val="000000" w:themeColor="text1"/>
          <w:sz w:val="22"/>
          <w:szCs w:val="22"/>
          <w:lang w:eastAsia="en-US"/>
        </w:rPr>
        <w:t>яния компании-контрагента, наличия в компании необходимых м</w:t>
      </w:r>
      <w:r w:rsidRPr="00724342">
        <w:rPr>
          <w:rFonts w:eastAsiaTheme="minorHAnsi"/>
          <w:color w:val="000000" w:themeColor="text1"/>
          <w:sz w:val="22"/>
          <w:szCs w:val="22"/>
          <w:lang w:eastAsia="en-US"/>
        </w:rPr>
        <w:t>а</w:t>
      </w:r>
      <w:r w:rsidRPr="00724342">
        <w:rPr>
          <w:rFonts w:eastAsiaTheme="minorHAnsi"/>
          <w:color w:val="000000" w:themeColor="text1"/>
          <w:sz w:val="22"/>
          <w:szCs w:val="22"/>
          <w:lang w:eastAsia="en-US"/>
        </w:rPr>
        <w:t>териальных ресурсов (внеоборотные активы, на которые можно о</w:t>
      </w:r>
      <w:r w:rsidRPr="00724342">
        <w:rPr>
          <w:rFonts w:eastAsiaTheme="minorHAnsi"/>
          <w:color w:val="000000" w:themeColor="text1"/>
          <w:sz w:val="22"/>
          <w:szCs w:val="22"/>
          <w:lang w:eastAsia="en-US"/>
        </w:rPr>
        <w:t>б</w:t>
      </w:r>
      <w:r w:rsidRPr="00724342">
        <w:rPr>
          <w:rFonts w:eastAsiaTheme="minorHAnsi"/>
          <w:color w:val="000000" w:themeColor="text1"/>
          <w:sz w:val="22"/>
          <w:szCs w:val="22"/>
          <w:lang w:eastAsia="en-US"/>
        </w:rPr>
        <w:t>ратить взыскание в случае возникновения арбитражных споров, имущества которое можно передать в залог), персонала (штатное расписание компании, платежи ФСС, ОМС и ПФР, а также уплата в ФНС НДФЛ), помещений для осуществления своей деятельности (договора аренды офиса, складов, получение платёжных поручений об оплате аренды с отметкой банка), исполнение им налоговых об</w:t>
      </w:r>
      <w:r w:rsidRPr="00724342">
        <w:rPr>
          <w:rFonts w:eastAsiaTheme="minorHAnsi"/>
          <w:color w:val="000000" w:themeColor="text1"/>
          <w:sz w:val="22"/>
          <w:szCs w:val="22"/>
          <w:lang w:eastAsia="en-US"/>
        </w:rPr>
        <w:t>я</w:t>
      </w:r>
      <w:r w:rsidRPr="00724342">
        <w:rPr>
          <w:rFonts w:eastAsiaTheme="minorHAnsi"/>
          <w:color w:val="000000" w:themeColor="text1"/>
          <w:sz w:val="22"/>
          <w:szCs w:val="22"/>
          <w:lang w:eastAsia="en-US"/>
        </w:rPr>
        <w:t>зательств (получение декларации по НДС, её анализ, а также пол</w:t>
      </w:r>
      <w:r w:rsidRPr="00724342">
        <w:rPr>
          <w:rFonts w:eastAsiaTheme="minorHAnsi"/>
          <w:color w:val="000000" w:themeColor="text1"/>
          <w:sz w:val="22"/>
          <w:szCs w:val="22"/>
          <w:lang w:eastAsia="en-US"/>
        </w:rPr>
        <w:t>у</w:t>
      </w:r>
      <w:r w:rsidRPr="00724342">
        <w:rPr>
          <w:rFonts w:eastAsiaTheme="minorHAnsi"/>
          <w:color w:val="000000" w:themeColor="text1"/>
          <w:sz w:val="22"/>
          <w:szCs w:val="22"/>
          <w:lang w:eastAsia="en-US"/>
        </w:rPr>
        <w:t>чение копий платежных поручений по оплате НДС).</w:t>
      </w:r>
    </w:p>
    <w:p w:rsidR="00724342" w:rsidRPr="00724342" w:rsidRDefault="00724342" w:rsidP="00D15DEA">
      <w:pPr>
        <w:ind w:firstLine="426"/>
        <w:jc w:val="both"/>
        <w:rPr>
          <w:rFonts w:eastAsiaTheme="minorHAnsi"/>
          <w:b/>
          <w:bCs/>
          <w:color w:val="000000" w:themeColor="text1"/>
          <w:sz w:val="22"/>
          <w:szCs w:val="22"/>
          <w:lang w:eastAsia="en-US"/>
        </w:rPr>
      </w:pPr>
      <w:r w:rsidRPr="00724342">
        <w:rPr>
          <w:rFonts w:eastAsiaTheme="minorHAnsi"/>
          <w:color w:val="000000" w:themeColor="text1"/>
          <w:sz w:val="22"/>
          <w:szCs w:val="22"/>
          <w:lang w:eastAsia="en-US"/>
        </w:rPr>
        <w:t xml:space="preserve">Дополнительно целесообразна </w:t>
      </w:r>
      <w:r w:rsidRPr="00724342">
        <w:rPr>
          <w:rFonts w:eastAsiaTheme="minorHAnsi"/>
          <w:sz w:val="22"/>
          <w:szCs w:val="22"/>
          <w:lang w:eastAsia="en-US"/>
        </w:rPr>
        <w:t>проверка например посредством модуля СПАРК, которая позволяет получить в реальном режиме времени выписку из ЕГРЮЛ, сведения о собственниках и руков</w:t>
      </w:r>
      <w:r w:rsidRPr="00724342">
        <w:rPr>
          <w:rFonts w:eastAsiaTheme="minorHAnsi"/>
          <w:sz w:val="22"/>
          <w:szCs w:val="22"/>
          <w:lang w:eastAsia="en-US"/>
        </w:rPr>
        <w:t>о</w:t>
      </w:r>
      <w:r w:rsidRPr="00724342">
        <w:rPr>
          <w:rFonts w:eastAsiaTheme="minorHAnsi"/>
          <w:sz w:val="22"/>
          <w:szCs w:val="22"/>
          <w:lang w:eastAsia="en-US"/>
        </w:rPr>
        <w:t>дителях компании, наличия у них «кочующих» и ликвидированных в принудительном порядке компаний, а также компаний, наход</w:t>
      </w:r>
      <w:r w:rsidRPr="00724342">
        <w:rPr>
          <w:rFonts w:eastAsiaTheme="minorHAnsi"/>
          <w:sz w:val="22"/>
          <w:szCs w:val="22"/>
          <w:lang w:eastAsia="en-US"/>
        </w:rPr>
        <w:t>я</w:t>
      </w:r>
      <w:r w:rsidRPr="00724342">
        <w:rPr>
          <w:rFonts w:eastAsiaTheme="minorHAnsi"/>
          <w:sz w:val="22"/>
          <w:szCs w:val="22"/>
          <w:lang w:eastAsia="en-US"/>
        </w:rPr>
        <w:t>щихся в негативных реестрах ФНС (компаний отсутствующих по юридическому адресу, имеющих задолженность по уплате налогов, подлежащих ликвидации в принудительном порядке регистриру</w:t>
      </w:r>
      <w:r w:rsidRPr="00724342">
        <w:rPr>
          <w:rFonts w:eastAsiaTheme="minorHAnsi"/>
          <w:sz w:val="22"/>
          <w:szCs w:val="22"/>
          <w:lang w:eastAsia="en-US"/>
        </w:rPr>
        <w:t>ю</w:t>
      </w:r>
      <w:r w:rsidRPr="00724342">
        <w:rPr>
          <w:rFonts w:eastAsiaTheme="minorHAnsi"/>
          <w:sz w:val="22"/>
          <w:szCs w:val="22"/>
          <w:lang w:eastAsia="en-US"/>
        </w:rPr>
        <w:t>щим органом); наличии у компании соответствующих лицензий и сертификатов, действующих залогов имущества, арбитражных сп</w:t>
      </w:r>
      <w:r w:rsidRPr="00724342">
        <w:rPr>
          <w:rFonts w:eastAsiaTheme="minorHAnsi"/>
          <w:sz w:val="22"/>
          <w:szCs w:val="22"/>
          <w:lang w:eastAsia="en-US"/>
        </w:rPr>
        <w:t>о</w:t>
      </w:r>
      <w:r w:rsidRPr="00724342">
        <w:rPr>
          <w:rFonts w:eastAsiaTheme="minorHAnsi"/>
          <w:sz w:val="22"/>
          <w:szCs w:val="22"/>
          <w:lang w:eastAsia="en-US"/>
        </w:rPr>
        <w:t>ров в которых она выступает в первую очередь в качестве ответч</w:t>
      </w:r>
      <w:r w:rsidRPr="00724342">
        <w:rPr>
          <w:rFonts w:eastAsiaTheme="minorHAnsi"/>
          <w:sz w:val="22"/>
          <w:szCs w:val="22"/>
          <w:lang w:eastAsia="en-US"/>
        </w:rPr>
        <w:t>и</w:t>
      </w:r>
      <w:r w:rsidRPr="00724342">
        <w:rPr>
          <w:rFonts w:eastAsiaTheme="minorHAnsi"/>
          <w:sz w:val="22"/>
          <w:szCs w:val="22"/>
          <w:lang w:eastAsia="en-US"/>
        </w:rPr>
        <w:t xml:space="preserve">ка, исполнительного производства, информации о реорганизации либо предстоящей ликвидации компании, наличии факторов риска, а так же индекс должной осмотрительности, индекс финансового риска и индекс платёжной дисциплины. </w:t>
      </w:r>
    </w:p>
    <w:p w:rsidR="00724342" w:rsidRPr="00724342" w:rsidRDefault="00724342" w:rsidP="00D15DEA">
      <w:pPr>
        <w:ind w:firstLine="426"/>
        <w:jc w:val="both"/>
        <w:rPr>
          <w:rFonts w:eastAsiaTheme="minorHAnsi"/>
          <w:color w:val="000000" w:themeColor="text1"/>
          <w:sz w:val="22"/>
          <w:szCs w:val="22"/>
          <w:lang w:eastAsia="en-US"/>
        </w:rPr>
      </w:pPr>
      <w:r w:rsidRPr="00724342">
        <w:rPr>
          <w:rFonts w:eastAsiaTheme="minorHAnsi"/>
          <w:color w:val="000000" w:themeColor="text1"/>
          <w:sz w:val="22"/>
          <w:szCs w:val="24"/>
          <w:lang w:eastAsia="en-US"/>
        </w:rPr>
        <w:t>Зачастую в режиме дефицита времени, при подготовке к з</w:t>
      </w:r>
      <w:r w:rsidRPr="00724342">
        <w:rPr>
          <w:rFonts w:eastAsiaTheme="minorHAnsi"/>
          <w:color w:val="000000" w:themeColor="text1"/>
          <w:sz w:val="22"/>
          <w:szCs w:val="24"/>
          <w:lang w:eastAsia="en-US"/>
        </w:rPr>
        <w:t>а</w:t>
      </w:r>
      <w:r w:rsidRPr="00724342">
        <w:rPr>
          <w:rFonts w:eastAsiaTheme="minorHAnsi"/>
          <w:color w:val="000000" w:themeColor="text1"/>
          <w:sz w:val="22"/>
          <w:szCs w:val="24"/>
          <w:lang w:eastAsia="en-US"/>
        </w:rPr>
        <w:t>ключению сделки, менеджер готовящий сделку не успевает собрать необходимые сведения (пакет документов) и соответственно из</w:t>
      </w:r>
      <w:r w:rsidRPr="00724342">
        <w:rPr>
          <w:rFonts w:eastAsiaTheme="minorHAnsi"/>
          <w:color w:val="000000" w:themeColor="text1"/>
          <w:sz w:val="22"/>
          <w:szCs w:val="24"/>
          <w:lang w:eastAsia="en-US"/>
        </w:rPr>
        <w:t>у</w:t>
      </w:r>
      <w:r w:rsidRPr="00724342">
        <w:rPr>
          <w:rFonts w:eastAsiaTheme="minorHAnsi"/>
          <w:color w:val="000000" w:themeColor="text1"/>
          <w:sz w:val="22"/>
          <w:szCs w:val="24"/>
          <w:lang w:eastAsia="en-US"/>
        </w:rPr>
        <w:t>чить их с целю принятия наиболее оптимального варианта решения. В этом случае возрастает роль подразделения экономической бе</w:t>
      </w:r>
      <w:r w:rsidRPr="00724342">
        <w:rPr>
          <w:rFonts w:eastAsiaTheme="minorHAnsi"/>
          <w:color w:val="000000" w:themeColor="text1"/>
          <w:sz w:val="22"/>
          <w:szCs w:val="24"/>
          <w:lang w:eastAsia="en-US"/>
        </w:rPr>
        <w:t>з</w:t>
      </w:r>
      <w:r w:rsidRPr="00724342">
        <w:rPr>
          <w:rFonts w:eastAsiaTheme="minorHAnsi"/>
          <w:color w:val="000000" w:themeColor="text1"/>
          <w:sz w:val="22"/>
          <w:szCs w:val="24"/>
          <w:lang w:eastAsia="en-US"/>
        </w:rPr>
        <w:t>опасности компании (службы внутреннего контроля и аудита), с</w:t>
      </w:r>
      <w:r w:rsidRPr="00724342">
        <w:rPr>
          <w:rFonts w:eastAsiaTheme="minorHAnsi"/>
          <w:color w:val="000000" w:themeColor="text1"/>
          <w:sz w:val="22"/>
          <w:szCs w:val="24"/>
          <w:lang w:eastAsia="en-US"/>
        </w:rPr>
        <w:t>о</w:t>
      </w:r>
      <w:r w:rsidRPr="00724342">
        <w:rPr>
          <w:rFonts w:eastAsiaTheme="minorHAnsi"/>
          <w:color w:val="000000" w:themeColor="text1"/>
          <w:sz w:val="22"/>
          <w:szCs w:val="24"/>
          <w:lang w:eastAsia="en-US"/>
        </w:rPr>
        <w:t>трудники которой по результатам параллельных проверок конт</w:t>
      </w:r>
      <w:r w:rsidRPr="00724342">
        <w:rPr>
          <w:rFonts w:eastAsiaTheme="minorHAnsi"/>
          <w:color w:val="000000" w:themeColor="text1"/>
          <w:sz w:val="22"/>
          <w:szCs w:val="24"/>
          <w:lang w:eastAsia="en-US"/>
        </w:rPr>
        <w:t>р</w:t>
      </w:r>
      <w:r w:rsidRPr="00724342">
        <w:rPr>
          <w:rFonts w:eastAsiaTheme="minorHAnsi"/>
          <w:color w:val="000000" w:themeColor="text1"/>
          <w:sz w:val="22"/>
          <w:szCs w:val="24"/>
          <w:lang w:eastAsia="en-US"/>
        </w:rPr>
        <w:t>агента дают свои заключения, в которых описываются возможные риски и рекомендуется принятие мер по их минимизации путем д</w:t>
      </w:r>
      <w:r w:rsidRPr="00724342">
        <w:rPr>
          <w:rFonts w:eastAsiaTheme="minorHAnsi"/>
          <w:color w:val="000000" w:themeColor="text1"/>
          <w:sz w:val="22"/>
          <w:szCs w:val="24"/>
          <w:lang w:eastAsia="en-US"/>
        </w:rPr>
        <w:t>о</w:t>
      </w:r>
      <w:r w:rsidRPr="00724342">
        <w:rPr>
          <w:rFonts w:eastAsiaTheme="minorHAnsi"/>
          <w:color w:val="000000" w:themeColor="text1"/>
          <w:sz w:val="22"/>
          <w:szCs w:val="24"/>
          <w:lang w:eastAsia="en-US"/>
        </w:rPr>
        <w:t>полнительного запроса в различные фискальные и правоохран</w:t>
      </w:r>
      <w:r w:rsidRPr="00724342">
        <w:rPr>
          <w:rFonts w:eastAsiaTheme="minorHAnsi"/>
          <w:color w:val="000000" w:themeColor="text1"/>
          <w:sz w:val="22"/>
          <w:szCs w:val="24"/>
          <w:lang w:eastAsia="en-US"/>
        </w:rPr>
        <w:t>и</w:t>
      </w:r>
      <w:r w:rsidRPr="00724342">
        <w:rPr>
          <w:rFonts w:eastAsiaTheme="minorHAnsi"/>
          <w:color w:val="000000" w:themeColor="text1"/>
          <w:sz w:val="22"/>
          <w:szCs w:val="24"/>
          <w:lang w:eastAsia="en-US"/>
        </w:rPr>
        <w:lastRenderedPageBreak/>
        <w:t xml:space="preserve">тельные органы и изучения документов, деловой </w:t>
      </w:r>
      <w:r w:rsidRPr="00724342">
        <w:rPr>
          <w:rFonts w:eastAsiaTheme="minorHAnsi"/>
          <w:color w:val="000000" w:themeColor="text1"/>
          <w:sz w:val="22"/>
          <w:szCs w:val="22"/>
          <w:lang w:eastAsia="en-US"/>
        </w:rPr>
        <w:t>репутации конт</w:t>
      </w:r>
      <w:r w:rsidRPr="00724342">
        <w:rPr>
          <w:rFonts w:eastAsiaTheme="minorHAnsi"/>
          <w:color w:val="000000" w:themeColor="text1"/>
          <w:sz w:val="22"/>
          <w:szCs w:val="22"/>
          <w:lang w:eastAsia="en-US"/>
        </w:rPr>
        <w:t>р</w:t>
      </w:r>
      <w:r w:rsidRPr="00724342">
        <w:rPr>
          <w:rFonts w:eastAsiaTheme="minorHAnsi"/>
          <w:color w:val="000000" w:themeColor="text1"/>
          <w:sz w:val="22"/>
          <w:szCs w:val="22"/>
          <w:lang w:eastAsia="en-US"/>
        </w:rPr>
        <w:t>агента путем</w:t>
      </w:r>
      <w:r w:rsidRPr="00724342">
        <w:rPr>
          <w:rFonts w:eastAsiaTheme="minorHAnsi"/>
          <w:bCs/>
          <w:color w:val="000000" w:themeColor="text1"/>
          <w:sz w:val="22"/>
          <w:szCs w:val="22"/>
          <w:lang w:eastAsia="en-US"/>
        </w:rPr>
        <w:t xml:space="preserve"> проверок на наличие негативной информации в сети Интернет и СМИ, а также на специализированных сайтах</w:t>
      </w:r>
      <w:r w:rsidRPr="00724342">
        <w:rPr>
          <w:rFonts w:eastAsiaTheme="minorHAnsi"/>
          <w:color w:val="000000" w:themeColor="text1"/>
          <w:sz w:val="22"/>
          <w:szCs w:val="22"/>
          <w:lang w:eastAsia="en-US"/>
        </w:rPr>
        <w:t>, получ</w:t>
      </w:r>
      <w:r w:rsidRPr="00724342">
        <w:rPr>
          <w:rFonts w:eastAsiaTheme="minorHAnsi"/>
          <w:color w:val="000000" w:themeColor="text1"/>
          <w:sz w:val="22"/>
          <w:szCs w:val="22"/>
          <w:lang w:eastAsia="en-US"/>
        </w:rPr>
        <w:t>е</w:t>
      </w:r>
      <w:r w:rsidRPr="00724342">
        <w:rPr>
          <w:rFonts w:eastAsiaTheme="minorHAnsi"/>
          <w:color w:val="000000" w:themeColor="text1"/>
          <w:sz w:val="22"/>
          <w:szCs w:val="22"/>
          <w:lang w:eastAsia="en-US"/>
        </w:rPr>
        <w:t>ния разъяснения руководителей компаний, принятия обеспечител</w:t>
      </w:r>
      <w:r w:rsidRPr="00724342">
        <w:rPr>
          <w:rFonts w:eastAsiaTheme="minorHAnsi"/>
          <w:color w:val="000000" w:themeColor="text1"/>
          <w:sz w:val="22"/>
          <w:szCs w:val="22"/>
          <w:lang w:eastAsia="en-US"/>
        </w:rPr>
        <w:t>ь</w:t>
      </w:r>
      <w:r w:rsidRPr="00724342">
        <w:rPr>
          <w:rFonts w:eastAsiaTheme="minorHAnsi"/>
          <w:color w:val="000000" w:themeColor="text1"/>
          <w:sz w:val="22"/>
          <w:szCs w:val="22"/>
          <w:lang w:eastAsia="en-US"/>
        </w:rPr>
        <w:t>ных мер. И только после этого необходимо принимать решение о работе с контрагентом.  </w:t>
      </w:r>
    </w:p>
    <w:p w:rsidR="00724342" w:rsidRPr="00724342" w:rsidRDefault="00724342" w:rsidP="00D15DEA">
      <w:pPr>
        <w:ind w:firstLine="426"/>
        <w:jc w:val="both"/>
        <w:rPr>
          <w:rFonts w:eastAsiaTheme="minorHAnsi"/>
          <w:sz w:val="22"/>
          <w:szCs w:val="24"/>
          <w:lang w:eastAsia="en-US"/>
        </w:rPr>
      </w:pPr>
      <w:r w:rsidRPr="00724342">
        <w:rPr>
          <w:rFonts w:eastAsiaTheme="minorHAnsi"/>
          <w:sz w:val="22"/>
          <w:szCs w:val="22"/>
        </w:rPr>
        <w:t>Таким образом, в каком бы виде</w:t>
      </w:r>
      <w:r w:rsidRPr="00724342">
        <w:rPr>
          <w:rFonts w:eastAsiaTheme="minorHAnsi"/>
          <w:sz w:val="22"/>
          <w:szCs w:val="29"/>
        </w:rPr>
        <w:t xml:space="preserve"> не выражались последствия асимметрии информации, все они демонстрируют негативное вли</w:t>
      </w:r>
      <w:r w:rsidRPr="00724342">
        <w:rPr>
          <w:rFonts w:eastAsiaTheme="minorHAnsi"/>
          <w:sz w:val="22"/>
          <w:szCs w:val="29"/>
        </w:rPr>
        <w:t>я</w:t>
      </w:r>
      <w:r w:rsidRPr="00724342">
        <w:rPr>
          <w:rFonts w:eastAsiaTheme="minorHAnsi"/>
          <w:sz w:val="22"/>
          <w:szCs w:val="29"/>
        </w:rPr>
        <w:t xml:space="preserve">ние, выражающееся в снижении эффективности принимаемых участниками решений. А снижение </w:t>
      </w:r>
      <w:r w:rsidRPr="00724342">
        <w:rPr>
          <w:rFonts w:eastAsiaTheme="minorHAnsi"/>
          <w:sz w:val="22"/>
          <w:szCs w:val="24"/>
          <w:lang w:eastAsia="en-US"/>
        </w:rPr>
        <w:t xml:space="preserve">её </w:t>
      </w:r>
      <w:r w:rsidRPr="00724342">
        <w:rPr>
          <w:rFonts w:eastAsiaTheme="minorHAnsi"/>
          <w:sz w:val="22"/>
          <w:szCs w:val="29"/>
        </w:rPr>
        <w:t xml:space="preserve">уровня </w:t>
      </w:r>
      <w:r w:rsidRPr="00724342">
        <w:rPr>
          <w:rFonts w:eastAsiaTheme="minorHAnsi" w:cstheme="minorBidi"/>
          <w:color w:val="000000" w:themeColor="text1"/>
          <w:sz w:val="22"/>
          <w:szCs w:val="24"/>
          <w:lang w:eastAsia="en-US"/>
        </w:rPr>
        <w:t xml:space="preserve">при оценке рисков, </w:t>
      </w:r>
      <w:r w:rsidRPr="00724342">
        <w:rPr>
          <w:rFonts w:eastAsiaTheme="minorHAnsi"/>
          <w:sz w:val="22"/>
          <w:szCs w:val="29"/>
        </w:rPr>
        <w:t>должно быть приоритетной задачей</w:t>
      </w:r>
      <w:r w:rsidRPr="00724342">
        <w:rPr>
          <w:rFonts w:eastAsiaTheme="minorHAnsi"/>
          <w:sz w:val="22"/>
          <w:szCs w:val="24"/>
          <w:lang w:eastAsia="en-US"/>
        </w:rPr>
        <w:t>.</w:t>
      </w:r>
    </w:p>
    <w:p w:rsidR="00724342" w:rsidRPr="00724342" w:rsidRDefault="00724342" w:rsidP="00553B63">
      <w:pPr>
        <w:jc w:val="both"/>
        <w:rPr>
          <w:rFonts w:eastAsiaTheme="minorHAnsi"/>
          <w:sz w:val="14"/>
          <w:szCs w:val="22"/>
          <w:lang w:eastAsia="en-US"/>
        </w:rPr>
      </w:pPr>
    </w:p>
    <w:p w:rsidR="00724342" w:rsidRPr="00724342" w:rsidRDefault="00724342" w:rsidP="00D15DEA">
      <w:pPr>
        <w:ind w:firstLine="426"/>
        <w:jc w:val="center"/>
        <w:rPr>
          <w:color w:val="000000"/>
          <w:sz w:val="22"/>
          <w:szCs w:val="29"/>
        </w:rPr>
      </w:pPr>
      <w:r w:rsidRPr="00724342">
        <w:rPr>
          <w:color w:val="000000"/>
          <w:sz w:val="22"/>
          <w:szCs w:val="29"/>
        </w:rPr>
        <w:t>Список литературы</w:t>
      </w:r>
    </w:p>
    <w:p w:rsidR="00724342" w:rsidRPr="00724342" w:rsidRDefault="00724342" w:rsidP="00D15DEA">
      <w:pPr>
        <w:spacing w:after="200"/>
        <w:ind w:firstLine="426"/>
        <w:jc w:val="both"/>
        <w:rPr>
          <w:rFonts w:eastAsiaTheme="minorHAnsi"/>
          <w:sz w:val="22"/>
          <w:szCs w:val="22"/>
          <w:lang w:eastAsia="en-US"/>
        </w:rPr>
      </w:pPr>
      <w:r w:rsidRPr="00724342">
        <w:rPr>
          <w:rFonts w:eastAsiaTheme="minorHAnsi"/>
          <w:sz w:val="22"/>
          <w:szCs w:val="22"/>
          <w:lang w:eastAsia="en-US"/>
        </w:rPr>
        <w:t>1. Козачок И.В., Краснова С.Г.  Экономическая сущность асимметрии информации и ее влияние на функционирование рынка — Новосибирск: Сибирская финансовая школа, 2007 г. № 2</w:t>
      </w:r>
    </w:p>
    <w:p w:rsidR="00CB06AE" w:rsidRPr="00724342" w:rsidRDefault="00CB06AE" w:rsidP="00724342">
      <w:pPr>
        <w:contextualSpacing/>
        <w:jc w:val="both"/>
        <w:rPr>
          <w:rFonts w:eastAsiaTheme="minorHAnsi"/>
          <w:sz w:val="22"/>
          <w:szCs w:val="22"/>
          <w:lang w:eastAsia="en-US"/>
        </w:rPr>
      </w:pPr>
    </w:p>
    <w:p w:rsidR="00553B63" w:rsidRPr="00CB06AE" w:rsidRDefault="00724342" w:rsidP="00553B63">
      <w:pPr>
        <w:rPr>
          <w:rFonts w:eastAsiaTheme="minorHAnsi"/>
          <w:color w:val="000000" w:themeColor="text1"/>
          <w:sz w:val="22"/>
          <w:szCs w:val="22"/>
          <w:lang w:eastAsia="en-US"/>
        </w:rPr>
      </w:pPr>
      <w:r w:rsidRPr="00724342">
        <w:rPr>
          <w:rFonts w:eastAsiaTheme="minorHAnsi"/>
          <w:color w:val="000000" w:themeColor="text1"/>
          <w:sz w:val="22"/>
          <w:szCs w:val="22"/>
          <w:lang w:eastAsia="en-US"/>
        </w:rPr>
        <w:t>УДК 330.143.1</w:t>
      </w:r>
    </w:p>
    <w:p w:rsidR="00724342" w:rsidRPr="00D15DEA" w:rsidRDefault="00724342" w:rsidP="00553B63">
      <w:pPr>
        <w:jc w:val="center"/>
        <w:rPr>
          <w:rFonts w:eastAsiaTheme="minorHAnsi"/>
          <w:b/>
          <w:color w:val="000000" w:themeColor="text1"/>
          <w:sz w:val="24"/>
          <w:szCs w:val="24"/>
          <w:lang w:eastAsia="en-US"/>
        </w:rPr>
      </w:pPr>
      <w:r w:rsidRPr="00D15DEA">
        <w:rPr>
          <w:rFonts w:eastAsiaTheme="minorHAnsi"/>
          <w:b/>
          <w:color w:val="000000" w:themeColor="text1"/>
          <w:sz w:val="24"/>
          <w:szCs w:val="24"/>
          <w:lang w:eastAsia="en-US"/>
        </w:rPr>
        <w:t>Маржинальный анализ деятельности предприятия</w:t>
      </w:r>
    </w:p>
    <w:p w:rsidR="00724342" w:rsidRPr="00D15DEA" w:rsidRDefault="00724342" w:rsidP="00553B63">
      <w:pPr>
        <w:jc w:val="center"/>
        <w:rPr>
          <w:rFonts w:eastAsiaTheme="minorHAnsi"/>
          <w:b/>
          <w:color w:val="000000" w:themeColor="text1"/>
          <w:sz w:val="24"/>
          <w:szCs w:val="24"/>
          <w:lang w:eastAsia="en-US"/>
        </w:rPr>
      </w:pPr>
      <w:r w:rsidRPr="00D15DEA">
        <w:rPr>
          <w:rFonts w:eastAsiaTheme="minorHAnsi"/>
          <w:b/>
          <w:color w:val="000000" w:themeColor="text1"/>
          <w:sz w:val="24"/>
          <w:szCs w:val="24"/>
          <w:lang w:eastAsia="en-US"/>
        </w:rPr>
        <w:t>Marginal analysis of the enterprise</w:t>
      </w:r>
    </w:p>
    <w:p w:rsidR="00724342" w:rsidRPr="00724342" w:rsidRDefault="00724342" w:rsidP="00553B63">
      <w:pPr>
        <w:jc w:val="center"/>
        <w:outlineLvl w:val="0"/>
        <w:rPr>
          <w:rFonts w:eastAsia="Calibri"/>
          <w:b/>
          <w:color w:val="000000" w:themeColor="text1"/>
          <w:sz w:val="22"/>
          <w:szCs w:val="22"/>
          <w:lang w:eastAsia="en-US"/>
        </w:rPr>
      </w:pPr>
    </w:p>
    <w:p w:rsidR="00724342" w:rsidRPr="00724342" w:rsidRDefault="00724342" w:rsidP="00553B63">
      <w:pPr>
        <w:jc w:val="right"/>
        <w:outlineLvl w:val="0"/>
        <w:rPr>
          <w:rFonts w:eastAsia="Calibri"/>
          <w:color w:val="000000" w:themeColor="text1"/>
          <w:sz w:val="22"/>
          <w:szCs w:val="22"/>
          <w:lang w:eastAsia="en-US"/>
        </w:rPr>
      </w:pPr>
      <w:r w:rsidRPr="00724342">
        <w:rPr>
          <w:rFonts w:eastAsia="Calibri"/>
          <w:color w:val="000000" w:themeColor="text1"/>
          <w:sz w:val="22"/>
          <w:szCs w:val="22"/>
          <w:lang w:eastAsia="en-US"/>
        </w:rPr>
        <w:t>Черноусова А. С.</w:t>
      </w:r>
      <w:r w:rsidR="00D15DEA">
        <w:rPr>
          <w:rFonts w:eastAsia="Calibri"/>
          <w:color w:val="000000" w:themeColor="text1"/>
          <w:sz w:val="22"/>
          <w:szCs w:val="22"/>
          <w:lang w:eastAsia="en-US"/>
        </w:rPr>
        <w:t>,</w:t>
      </w:r>
    </w:p>
    <w:p w:rsidR="00724342" w:rsidRPr="00724342" w:rsidRDefault="00724342" w:rsidP="00553B63">
      <w:pPr>
        <w:jc w:val="right"/>
        <w:outlineLvl w:val="0"/>
        <w:rPr>
          <w:rFonts w:eastAsia="Calibri"/>
          <w:color w:val="000000" w:themeColor="text1"/>
          <w:sz w:val="22"/>
          <w:szCs w:val="22"/>
          <w:lang w:eastAsia="en-US"/>
        </w:rPr>
      </w:pPr>
      <w:r w:rsidRPr="00724342">
        <w:rPr>
          <w:rFonts w:eastAsia="Calibri"/>
          <w:color w:val="000000" w:themeColor="text1"/>
          <w:sz w:val="22"/>
          <w:szCs w:val="22"/>
          <w:lang w:eastAsia="en-US"/>
        </w:rPr>
        <w:t>студентка 3-го курса экономического факультета</w:t>
      </w:r>
    </w:p>
    <w:p w:rsidR="00724342" w:rsidRPr="00724342" w:rsidRDefault="00724342" w:rsidP="00553B63">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Черепухин Т</w:t>
      </w:r>
      <w:r w:rsidR="00D15DEA">
        <w:rPr>
          <w:rFonts w:eastAsiaTheme="minorHAnsi"/>
          <w:spacing w:val="-4"/>
          <w:sz w:val="22"/>
          <w:szCs w:val="22"/>
          <w:lang w:eastAsia="en-US"/>
        </w:rPr>
        <w:t xml:space="preserve">. </w:t>
      </w:r>
      <w:r w:rsidRPr="00724342">
        <w:rPr>
          <w:rFonts w:eastAsiaTheme="minorHAnsi"/>
          <w:spacing w:val="-4"/>
          <w:sz w:val="22"/>
          <w:szCs w:val="22"/>
          <w:lang w:eastAsia="en-US"/>
        </w:rPr>
        <w:t>Ю.</w:t>
      </w:r>
      <w:r w:rsidR="00D15DEA">
        <w:rPr>
          <w:rFonts w:eastAsiaTheme="minorHAnsi"/>
          <w:spacing w:val="-4"/>
          <w:sz w:val="22"/>
          <w:szCs w:val="22"/>
          <w:lang w:eastAsia="en-US"/>
        </w:rPr>
        <w:t>,</w:t>
      </w:r>
    </w:p>
    <w:p w:rsidR="00724342" w:rsidRPr="00724342" w:rsidRDefault="00724342" w:rsidP="00553B63">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к.э.н., доцент кафедры управления и маркетинга</w:t>
      </w:r>
    </w:p>
    <w:p w:rsidR="00724342" w:rsidRPr="00724342" w:rsidRDefault="00724342" w:rsidP="00553B63">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553B63">
      <w:pPr>
        <w:jc w:val="right"/>
        <w:outlineLvl w:val="0"/>
        <w:rPr>
          <w:rFonts w:eastAsiaTheme="minorHAnsi"/>
          <w:spacing w:val="-4"/>
          <w:sz w:val="22"/>
          <w:szCs w:val="22"/>
          <w:lang w:eastAsia="en-US"/>
        </w:rPr>
      </w:pPr>
      <w:r w:rsidRPr="00724342">
        <w:rPr>
          <w:rFonts w:eastAsiaTheme="minorHAnsi"/>
          <w:spacing w:val="-4"/>
          <w:sz w:val="22"/>
          <w:szCs w:val="22"/>
          <w:lang w:eastAsia="en-US"/>
        </w:rPr>
        <w:t>университет имени И. Т. Трубилина</w:t>
      </w:r>
    </w:p>
    <w:p w:rsidR="00724342" w:rsidRPr="00724342" w:rsidRDefault="00724342" w:rsidP="00553B63">
      <w:pPr>
        <w:jc w:val="right"/>
        <w:outlineLvl w:val="0"/>
        <w:rPr>
          <w:bCs/>
          <w:color w:val="000000" w:themeColor="text1"/>
          <w:kern w:val="36"/>
          <w:sz w:val="22"/>
          <w:szCs w:val="22"/>
        </w:rPr>
      </w:pPr>
    </w:p>
    <w:p w:rsidR="00724342" w:rsidRPr="00724342" w:rsidRDefault="00724342" w:rsidP="00553B63">
      <w:pPr>
        <w:shd w:val="clear" w:color="auto" w:fill="FFFFFF"/>
        <w:ind w:firstLine="426"/>
        <w:jc w:val="both"/>
        <w:rPr>
          <w:rFonts w:eastAsiaTheme="minorHAnsi"/>
          <w:color w:val="000000" w:themeColor="text1"/>
          <w:sz w:val="22"/>
          <w:szCs w:val="22"/>
          <w:shd w:val="clear" w:color="auto" w:fill="FFFFFF"/>
          <w:lang w:eastAsia="en-US"/>
        </w:rPr>
      </w:pPr>
      <w:r w:rsidRPr="00724342">
        <w:rPr>
          <w:rFonts w:eastAsiaTheme="minorHAnsi"/>
          <w:color w:val="000000" w:themeColor="text1"/>
          <w:sz w:val="22"/>
          <w:szCs w:val="22"/>
          <w:shd w:val="clear" w:color="auto" w:fill="FFFFFF"/>
          <w:lang w:eastAsia="en-US"/>
        </w:rPr>
        <w:t>АННОТАЦИЯ:</w:t>
      </w:r>
      <w:r w:rsidRPr="00724342">
        <w:rPr>
          <w:rFonts w:asciiTheme="minorHAnsi" w:eastAsiaTheme="minorHAnsi" w:hAnsiTheme="minorHAnsi" w:cstheme="minorBidi"/>
          <w:color w:val="000000" w:themeColor="text1"/>
          <w:sz w:val="22"/>
          <w:szCs w:val="22"/>
          <w:lang w:eastAsia="en-US"/>
        </w:rPr>
        <w:t> </w:t>
      </w:r>
      <w:r w:rsidRPr="00724342">
        <w:rPr>
          <w:rFonts w:eastAsiaTheme="minorHAnsi"/>
          <w:color w:val="000000" w:themeColor="text1"/>
          <w:sz w:val="22"/>
          <w:szCs w:val="22"/>
          <w:shd w:val="clear" w:color="auto" w:fill="FFFFFF"/>
          <w:lang w:eastAsia="en-US"/>
        </w:rPr>
        <w:t>в данной статье рассматривается маржинал</w:t>
      </w:r>
      <w:r w:rsidRPr="00724342">
        <w:rPr>
          <w:rFonts w:eastAsiaTheme="minorHAnsi"/>
          <w:color w:val="000000" w:themeColor="text1"/>
          <w:sz w:val="22"/>
          <w:szCs w:val="22"/>
          <w:shd w:val="clear" w:color="auto" w:fill="FFFFFF"/>
          <w:lang w:eastAsia="en-US"/>
        </w:rPr>
        <w:t>ь</w:t>
      </w:r>
      <w:r w:rsidRPr="00724342">
        <w:rPr>
          <w:rFonts w:eastAsiaTheme="minorHAnsi"/>
          <w:color w:val="000000" w:themeColor="text1"/>
          <w:sz w:val="22"/>
          <w:szCs w:val="22"/>
          <w:shd w:val="clear" w:color="auto" w:fill="FFFFFF"/>
          <w:lang w:eastAsia="en-US"/>
        </w:rPr>
        <w:t>ный анализ как один из инструментов обеспечения эффективности деятельности предприятия. Дана общая характеристика маржинал</w:t>
      </w:r>
      <w:r w:rsidRPr="00724342">
        <w:rPr>
          <w:rFonts w:eastAsiaTheme="minorHAnsi"/>
          <w:color w:val="000000" w:themeColor="text1"/>
          <w:sz w:val="22"/>
          <w:szCs w:val="22"/>
          <w:shd w:val="clear" w:color="auto" w:fill="FFFFFF"/>
          <w:lang w:eastAsia="en-US"/>
        </w:rPr>
        <w:t>ь</w:t>
      </w:r>
      <w:r w:rsidRPr="00724342">
        <w:rPr>
          <w:rFonts w:eastAsiaTheme="minorHAnsi"/>
          <w:color w:val="000000" w:themeColor="text1"/>
          <w:sz w:val="22"/>
          <w:szCs w:val="22"/>
          <w:shd w:val="clear" w:color="auto" w:fill="FFFFFF"/>
          <w:lang w:eastAsia="en-US"/>
        </w:rPr>
        <w:t xml:space="preserve">ного анализа, исследованы его основные достоинства и недостатки, а также возможности данного анализа. </w:t>
      </w:r>
    </w:p>
    <w:p w:rsidR="00724342" w:rsidRPr="00724342" w:rsidRDefault="00724342" w:rsidP="00D15DEA">
      <w:pPr>
        <w:shd w:val="clear" w:color="auto" w:fill="FFFFFF"/>
        <w:ind w:firstLine="426"/>
        <w:jc w:val="both"/>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val="en-US" w:eastAsia="en-US"/>
        </w:rPr>
        <w:t>ABSTRACT: this article discusses marginal analysis as a tool to e</w:t>
      </w:r>
      <w:r w:rsidRPr="00724342">
        <w:rPr>
          <w:rFonts w:eastAsiaTheme="minorHAnsi"/>
          <w:color w:val="000000" w:themeColor="text1"/>
          <w:sz w:val="22"/>
          <w:szCs w:val="22"/>
          <w:shd w:val="clear" w:color="auto" w:fill="FFFFFF"/>
          <w:lang w:val="en-US" w:eastAsia="en-US"/>
        </w:rPr>
        <w:t>n</w:t>
      </w:r>
      <w:r w:rsidRPr="00724342">
        <w:rPr>
          <w:rFonts w:eastAsiaTheme="minorHAnsi"/>
          <w:color w:val="000000" w:themeColor="text1"/>
          <w:sz w:val="22"/>
          <w:szCs w:val="22"/>
          <w:shd w:val="clear" w:color="auto" w:fill="FFFFFF"/>
          <w:lang w:val="en-US" w:eastAsia="en-US"/>
        </w:rPr>
        <w:t>sure the effectiveness of the company. General characteristics of margi</w:t>
      </w:r>
      <w:r w:rsidRPr="00724342">
        <w:rPr>
          <w:rFonts w:eastAsiaTheme="minorHAnsi"/>
          <w:color w:val="000000" w:themeColor="text1"/>
          <w:sz w:val="22"/>
          <w:szCs w:val="22"/>
          <w:shd w:val="clear" w:color="auto" w:fill="FFFFFF"/>
          <w:lang w:val="en-US" w:eastAsia="en-US"/>
        </w:rPr>
        <w:t>n</w:t>
      </w:r>
      <w:r w:rsidRPr="00724342">
        <w:rPr>
          <w:rFonts w:eastAsiaTheme="minorHAnsi"/>
          <w:color w:val="000000" w:themeColor="text1"/>
          <w:sz w:val="22"/>
          <w:szCs w:val="22"/>
          <w:shd w:val="clear" w:color="auto" w:fill="FFFFFF"/>
          <w:lang w:val="en-US" w:eastAsia="en-US"/>
        </w:rPr>
        <w:t>al analysis, and study its main advantages and disadvantages, and cap</w:t>
      </w:r>
      <w:r w:rsidRPr="00724342">
        <w:rPr>
          <w:rFonts w:eastAsiaTheme="minorHAnsi"/>
          <w:color w:val="000000" w:themeColor="text1"/>
          <w:sz w:val="22"/>
          <w:szCs w:val="22"/>
          <w:shd w:val="clear" w:color="auto" w:fill="FFFFFF"/>
          <w:lang w:val="en-US" w:eastAsia="en-US"/>
        </w:rPr>
        <w:t>a</w:t>
      </w:r>
      <w:r w:rsidRPr="00724342">
        <w:rPr>
          <w:rFonts w:eastAsiaTheme="minorHAnsi"/>
          <w:color w:val="000000" w:themeColor="text1"/>
          <w:sz w:val="22"/>
          <w:szCs w:val="22"/>
          <w:shd w:val="clear" w:color="auto" w:fill="FFFFFF"/>
          <w:lang w:val="en-US" w:eastAsia="en-US"/>
        </w:rPr>
        <w:t>bilities of this analysis.</w:t>
      </w:r>
    </w:p>
    <w:p w:rsidR="00724342" w:rsidRPr="00724342" w:rsidRDefault="00724342" w:rsidP="00D15DEA">
      <w:pPr>
        <w:shd w:val="clear" w:color="auto" w:fill="FFFFFF"/>
        <w:ind w:firstLine="426"/>
        <w:jc w:val="both"/>
        <w:rPr>
          <w:rFonts w:eastAsiaTheme="minorHAnsi"/>
          <w:color w:val="000000" w:themeColor="text1"/>
          <w:sz w:val="22"/>
          <w:szCs w:val="22"/>
          <w:shd w:val="clear" w:color="auto" w:fill="FFFFFF"/>
          <w:lang w:eastAsia="en-US"/>
        </w:rPr>
      </w:pPr>
      <w:r w:rsidRPr="00724342">
        <w:rPr>
          <w:rFonts w:eastAsiaTheme="minorHAnsi"/>
          <w:color w:val="000000" w:themeColor="text1"/>
          <w:sz w:val="22"/>
          <w:szCs w:val="22"/>
          <w:shd w:val="clear" w:color="auto" w:fill="FFFFFF"/>
          <w:lang w:eastAsia="en-US"/>
        </w:rPr>
        <w:lastRenderedPageBreak/>
        <w:t>КЛЮЧЕВЫЕ СЛОВА: маржинальный анализ, издержки, ма</w:t>
      </w:r>
      <w:r w:rsidRPr="00724342">
        <w:rPr>
          <w:rFonts w:eastAsiaTheme="minorHAnsi"/>
          <w:color w:val="000000" w:themeColor="text1"/>
          <w:sz w:val="22"/>
          <w:szCs w:val="22"/>
          <w:shd w:val="clear" w:color="auto" w:fill="FFFFFF"/>
          <w:lang w:eastAsia="en-US"/>
        </w:rPr>
        <w:t>р</w:t>
      </w:r>
      <w:r w:rsidRPr="00724342">
        <w:rPr>
          <w:rFonts w:eastAsiaTheme="minorHAnsi"/>
          <w:color w:val="000000" w:themeColor="text1"/>
          <w:sz w:val="22"/>
          <w:szCs w:val="22"/>
          <w:shd w:val="clear" w:color="auto" w:fill="FFFFFF"/>
          <w:lang w:eastAsia="en-US"/>
        </w:rPr>
        <w:t>жинальный доход, финансовые результаты, прибыль.</w:t>
      </w:r>
    </w:p>
    <w:p w:rsidR="00724342" w:rsidRPr="00724342" w:rsidRDefault="00724342" w:rsidP="00D15DEA">
      <w:pPr>
        <w:shd w:val="clear" w:color="auto" w:fill="FFFFFF"/>
        <w:ind w:firstLine="426"/>
        <w:jc w:val="both"/>
        <w:rPr>
          <w:rFonts w:eastAsiaTheme="minorHAnsi"/>
          <w:color w:val="000000" w:themeColor="text1"/>
          <w:sz w:val="22"/>
          <w:szCs w:val="22"/>
          <w:shd w:val="clear" w:color="auto" w:fill="FFFFFF"/>
          <w:lang w:val="en-US" w:eastAsia="en-US"/>
        </w:rPr>
      </w:pPr>
      <w:r w:rsidRPr="00724342">
        <w:rPr>
          <w:rFonts w:eastAsiaTheme="minorHAnsi"/>
          <w:color w:val="000000" w:themeColor="text1"/>
          <w:sz w:val="22"/>
          <w:szCs w:val="22"/>
          <w:shd w:val="clear" w:color="auto" w:fill="FFFFFF"/>
          <w:lang w:val="en-US" w:eastAsia="en-US"/>
        </w:rPr>
        <w:t>KEYWORDS: marginal analysis, costs, profit margins, financial r</w:t>
      </w:r>
      <w:r w:rsidRPr="00724342">
        <w:rPr>
          <w:rFonts w:eastAsiaTheme="minorHAnsi"/>
          <w:color w:val="000000" w:themeColor="text1"/>
          <w:sz w:val="22"/>
          <w:szCs w:val="22"/>
          <w:shd w:val="clear" w:color="auto" w:fill="FFFFFF"/>
          <w:lang w:val="en-US" w:eastAsia="en-US"/>
        </w:rPr>
        <w:t>e</w:t>
      </w:r>
      <w:r w:rsidRPr="00724342">
        <w:rPr>
          <w:rFonts w:eastAsiaTheme="minorHAnsi"/>
          <w:color w:val="000000" w:themeColor="text1"/>
          <w:sz w:val="22"/>
          <w:szCs w:val="22"/>
          <w:shd w:val="clear" w:color="auto" w:fill="FFFFFF"/>
          <w:lang w:val="en-US" w:eastAsia="en-US"/>
        </w:rPr>
        <w:t>sults, profit.</w:t>
      </w:r>
    </w:p>
    <w:p w:rsidR="00724342" w:rsidRPr="00724342" w:rsidRDefault="00724342" w:rsidP="00D15DEA">
      <w:pPr>
        <w:shd w:val="clear" w:color="auto" w:fill="FFFFFF"/>
        <w:ind w:firstLine="426"/>
        <w:jc w:val="both"/>
        <w:rPr>
          <w:rFonts w:eastAsiaTheme="minorHAnsi"/>
          <w:color w:val="000000" w:themeColor="text1"/>
          <w:sz w:val="22"/>
          <w:szCs w:val="22"/>
          <w:shd w:val="clear" w:color="auto" w:fill="FFFFFF"/>
          <w:lang w:val="en-US" w:eastAsia="en-US"/>
        </w:rPr>
      </w:pP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Маржинальный анализ играет большую роль в обосновании управленческих решений в хозяйственной деятельности. Его мет</w:t>
      </w:r>
      <w:r w:rsidRPr="00724342">
        <w:rPr>
          <w:color w:val="000000" w:themeColor="text1"/>
          <w:sz w:val="22"/>
          <w:szCs w:val="22"/>
        </w:rPr>
        <w:t>о</w:t>
      </w:r>
      <w:r w:rsidRPr="00724342">
        <w:rPr>
          <w:color w:val="000000" w:themeColor="text1"/>
          <w:sz w:val="22"/>
          <w:szCs w:val="22"/>
        </w:rPr>
        <w:t>дика основана на изучении и прогнозировании оптимальных вел</w:t>
      </w:r>
      <w:r w:rsidRPr="00724342">
        <w:rPr>
          <w:color w:val="000000" w:themeColor="text1"/>
          <w:sz w:val="22"/>
          <w:szCs w:val="22"/>
        </w:rPr>
        <w:t>и</w:t>
      </w:r>
      <w:r w:rsidRPr="00724342">
        <w:rPr>
          <w:color w:val="000000" w:themeColor="text1"/>
          <w:sz w:val="22"/>
          <w:szCs w:val="22"/>
        </w:rPr>
        <w:t>чин таких показателей, как «издержки – объем производства пр</w:t>
      </w:r>
      <w:r w:rsidRPr="00724342">
        <w:rPr>
          <w:color w:val="000000" w:themeColor="text1"/>
          <w:sz w:val="22"/>
          <w:szCs w:val="22"/>
        </w:rPr>
        <w:t>о</w:t>
      </w:r>
      <w:r w:rsidRPr="00724342">
        <w:rPr>
          <w:color w:val="000000" w:themeColor="text1"/>
          <w:sz w:val="22"/>
          <w:szCs w:val="22"/>
        </w:rPr>
        <w:t xml:space="preserve">дукции – прибыль». </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Маржинальный анализ невозможен без разделения издержек на постоянные и переменные, т.к. ориентирован на поиск наиболее удачных комбинаций между постоянными издержками, переме</w:t>
      </w:r>
      <w:r w:rsidRPr="00724342">
        <w:rPr>
          <w:color w:val="000000" w:themeColor="text1"/>
          <w:sz w:val="22"/>
          <w:szCs w:val="22"/>
        </w:rPr>
        <w:t>н</w:t>
      </w:r>
      <w:r w:rsidRPr="00724342">
        <w:rPr>
          <w:color w:val="000000" w:themeColor="text1"/>
          <w:sz w:val="22"/>
          <w:szCs w:val="22"/>
        </w:rPr>
        <w:t>ными затратами на единицу продукции, ценой и объемом продаж. [1]</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Для менеджера важны показатели маржинальных доходов для конкретного вида продукции. При отрицательном показателе не покрываются даже переменные затраты.</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В последнее время существует необходимость в проведении маржинального анализа в условиях многономенклатурного прои</w:t>
      </w:r>
      <w:r w:rsidRPr="00724342">
        <w:rPr>
          <w:color w:val="000000" w:themeColor="text1"/>
          <w:sz w:val="22"/>
          <w:szCs w:val="22"/>
        </w:rPr>
        <w:t>з</w:t>
      </w:r>
      <w:r w:rsidRPr="00724342">
        <w:rPr>
          <w:color w:val="000000" w:themeColor="text1"/>
          <w:sz w:val="22"/>
          <w:szCs w:val="22"/>
        </w:rPr>
        <w:t>водства, т.к. предприятия не ограничиваются однономенклатурным производством.</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Точка безубыточности – показатель, который характеризует объем продаж, при котором предприятие не имеет ни прибыли, ни убытка. Т. е. это такой объем реализации продукции, при которым все совокупные затраты равны выручке от реализации продукции (работ, услуг).</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Для того, чтобы достичь точку безубыточности при высоких постоянных затратах необходим значительный объем продаж, для чего может понадобиться длительный период времени. После д</w:t>
      </w:r>
      <w:r w:rsidRPr="00724342">
        <w:rPr>
          <w:color w:val="000000" w:themeColor="text1"/>
          <w:sz w:val="22"/>
          <w:szCs w:val="22"/>
        </w:rPr>
        <w:t>о</w:t>
      </w:r>
      <w:r w:rsidRPr="00724342">
        <w:rPr>
          <w:color w:val="000000" w:themeColor="text1"/>
          <w:sz w:val="22"/>
          <w:szCs w:val="22"/>
        </w:rPr>
        <w:t>стижения точки безубыточности положительным моментом являе</w:t>
      </w:r>
      <w:r w:rsidRPr="00724342">
        <w:rPr>
          <w:color w:val="000000" w:themeColor="text1"/>
          <w:sz w:val="22"/>
          <w:szCs w:val="22"/>
        </w:rPr>
        <w:t>т</w:t>
      </w:r>
      <w:r w:rsidRPr="00724342">
        <w:rPr>
          <w:color w:val="000000" w:themeColor="text1"/>
          <w:sz w:val="22"/>
          <w:szCs w:val="22"/>
        </w:rPr>
        <w:t>ся заметный рост прибыли. Безусловно, организации с подобными характеристиками обладают высокими рисками.</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Организации, которым присущи низкие постоянные затраты и высокие переменные затраты, менее рискованны, получают более стабильную прибыль.</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Разница между фактически реализованной продукцией и бе</w:t>
      </w:r>
      <w:r w:rsidRPr="00724342">
        <w:rPr>
          <w:color w:val="000000" w:themeColor="text1"/>
          <w:sz w:val="22"/>
          <w:szCs w:val="22"/>
        </w:rPr>
        <w:t>з</w:t>
      </w:r>
      <w:r w:rsidRPr="00724342">
        <w:rPr>
          <w:color w:val="000000" w:themeColor="text1"/>
          <w:sz w:val="22"/>
          <w:szCs w:val="22"/>
        </w:rPr>
        <w:t>убыточным объемом продаж является зоной безопасности. Про</w:t>
      </w:r>
      <w:r w:rsidRPr="00724342">
        <w:rPr>
          <w:color w:val="000000" w:themeColor="text1"/>
          <w:sz w:val="22"/>
          <w:szCs w:val="22"/>
        </w:rPr>
        <w:t>ч</w:t>
      </w:r>
      <w:r w:rsidRPr="00724342">
        <w:rPr>
          <w:color w:val="000000" w:themeColor="text1"/>
          <w:sz w:val="22"/>
          <w:szCs w:val="22"/>
        </w:rPr>
        <w:lastRenderedPageBreak/>
        <w:t>ность финансового состояния предприятия напрямую зависит от зоны безопасности.</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Зона безопасности и точка безубыточности предприятия явл</w:t>
      </w:r>
      <w:r w:rsidRPr="00724342">
        <w:rPr>
          <w:color w:val="000000" w:themeColor="text1"/>
          <w:sz w:val="22"/>
          <w:szCs w:val="22"/>
        </w:rPr>
        <w:t>я</w:t>
      </w:r>
      <w:r w:rsidRPr="00724342">
        <w:rPr>
          <w:color w:val="000000" w:themeColor="text1"/>
          <w:sz w:val="22"/>
          <w:szCs w:val="22"/>
        </w:rPr>
        <w:t>ются основополагающими показателями при разработке бизнес-планов, оценке деятельности предприятия, обосновании управле</w:t>
      </w:r>
      <w:r w:rsidRPr="00724342">
        <w:rPr>
          <w:color w:val="000000" w:themeColor="text1"/>
          <w:sz w:val="22"/>
          <w:szCs w:val="22"/>
        </w:rPr>
        <w:t>н</w:t>
      </w:r>
      <w:r w:rsidRPr="00724342">
        <w:rPr>
          <w:color w:val="000000" w:themeColor="text1"/>
          <w:sz w:val="22"/>
          <w:szCs w:val="22"/>
        </w:rPr>
        <w:t xml:space="preserve">ческих решений. </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Перевод части постоянных расходов в разряд переменных  м</w:t>
      </w:r>
      <w:r w:rsidRPr="00724342">
        <w:rPr>
          <w:color w:val="000000" w:themeColor="text1"/>
          <w:sz w:val="22"/>
          <w:szCs w:val="22"/>
        </w:rPr>
        <w:t>о</w:t>
      </w:r>
      <w:r w:rsidRPr="00724342">
        <w:rPr>
          <w:color w:val="000000" w:themeColor="text1"/>
          <w:sz w:val="22"/>
          <w:szCs w:val="22"/>
        </w:rPr>
        <w:t>жет способствовать минимизации предпринимательских рисков. Такая возможность может появиться у предприятия, если привязать заработную плату сбытовых отделов к величине объемов продаж или заменить повременную оплату труда основных рабочих сдел</w:t>
      </w:r>
      <w:r w:rsidRPr="00724342">
        <w:rPr>
          <w:color w:val="000000" w:themeColor="text1"/>
          <w:sz w:val="22"/>
          <w:szCs w:val="22"/>
        </w:rPr>
        <w:t>ь</w:t>
      </w:r>
      <w:r w:rsidRPr="00724342">
        <w:rPr>
          <w:color w:val="000000" w:themeColor="text1"/>
          <w:sz w:val="22"/>
          <w:szCs w:val="22"/>
        </w:rPr>
        <w:t>ной формой оплаты труда.</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Уменьшение доли постоянных расходов в сумме затрат благ</w:t>
      </w:r>
      <w:r w:rsidRPr="00724342">
        <w:rPr>
          <w:color w:val="000000" w:themeColor="text1"/>
          <w:sz w:val="22"/>
          <w:szCs w:val="22"/>
        </w:rPr>
        <w:t>о</w:t>
      </w:r>
      <w:r w:rsidRPr="00724342">
        <w:rPr>
          <w:color w:val="000000" w:themeColor="text1"/>
          <w:sz w:val="22"/>
          <w:szCs w:val="22"/>
        </w:rPr>
        <w:t>приятно воздействует на финансовую стабильность предприятия: повышается уровень финансовой прочности, снижается значение точки безубыточности. При этом снижаются производственные риски, однако деятельность предприятия становится менее эффе</w:t>
      </w:r>
      <w:r w:rsidRPr="00724342">
        <w:rPr>
          <w:color w:val="000000" w:themeColor="text1"/>
          <w:sz w:val="22"/>
          <w:szCs w:val="22"/>
        </w:rPr>
        <w:t>к</w:t>
      </w:r>
      <w:r w:rsidRPr="00724342">
        <w:rPr>
          <w:color w:val="000000" w:themeColor="text1"/>
          <w:sz w:val="22"/>
          <w:szCs w:val="22"/>
        </w:rPr>
        <w:t>тивна. [4]</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Невозможно дать точный ответ, какой из вариантов соотнош</w:t>
      </w:r>
      <w:r w:rsidRPr="00724342">
        <w:rPr>
          <w:color w:val="000000" w:themeColor="text1"/>
          <w:sz w:val="22"/>
          <w:szCs w:val="22"/>
        </w:rPr>
        <w:t>е</w:t>
      </w:r>
      <w:r w:rsidRPr="00724342">
        <w:rPr>
          <w:color w:val="000000" w:themeColor="text1"/>
          <w:sz w:val="22"/>
          <w:szCs w:val="22"/>
        </w:rPr>
        <w:t>ния постоянных и переменных затрат лучше. Бывает так, что тр</w:t>
      </w:r>
      <w:r w:rsidRPr="00724342">
        <w:rPr>
          <w:color w:val="000000" w:themeColor="text1"/>
          <w:sz w:val="22"/>
          <w:szCs w:val="22"/>
        </w:rPr>
        <w:t>е</w:t>
      </w:r>
      <w:r w:rsidRPr="00724342">
        <w:rPr>
          <w:color w:val="000000" w:themeColor="text1"/>
          <w:sz w:val="22"/>
          <w:szCs w:val="22"/>
        </w:rPr>
        <w:t>буются высокие постоянные затраты и низкие переменные затраты. Достижение больших объемов производства и стабильность продаж делает возможным получение высокой прибыли.</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Основная категория маржинального анализа - </w:t>
      </w:r>
      <w:r w:rsidRPr="00724342">
        <w:rPr>
          <w:bCs/>
          <w:color w:val="000000" w:themeColor="text1"/>
          <w:sz w:val="22"/>
          <w:szCs w:val="22"/>
        </w:rPr>
        <w:t>маржинальный доход</w:t>
      </w:r>
      <w:r w:rsidRPr="00724342">
        <w:rPr>
          <w:color w:val="000000" w:themeColor="text1"/>
          <w:sz w:val="22"/>
          <w:szCs w:val="22"/>
        </w:rPr>
        <w:t>.</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Маржинальный доход (прибыль) представляет собой разницу между выручкой от реализации продукции и переменными затрат</w:t>
      </w:r>
      <w:r w:rsidRPr="00724342">
        <w:rPr>
          <w:color w:val="000000" w:themeColor="text1"/>
          <w:sz w:val="22"/>
          <w:szCs w:val="22"/>
        </w:rPr>
        <w:t>а</w:t>
      </w:r>
      <w:r w:rsidRPr="00724342">
        <w:rPr>
          <w:color w:val="000000" w:themeColor="text1"/>
          <w:sz w:val="22"/>
          <w:szCs w:val="22"/>
        </w:rPr>
        <w:t>ми. Зная величину маржинального дохода, можно найти точку бе</w:t>
      </w:r>
      <w:r w:rsidRPr="00724342">
        <w:rPr>
          <w:color w:val="000000" w:themeColor="text1"/>
          <w:sz w:val="22"/>
          <w:szCs w:val="22"/>
        </w:rPr>
        <w:t>з</w:t>
      </w:r>
      <w:r w:rsidRPr="00724342">
        <w:rPr>
          <w:color w:val="000000" w:themeColor="text1"/>
          <w:sz w:val="22"/>
          <w:szCs w:val="22"/>
        </w:rPr>
        <w:t xml:space="preserve">убыточности в денежных единицах, что имеет большое значение в практике деятельности предприятий. </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Коэффициент маржинального дохода – отношение маржинал</w:t>
      </w:r>
      <w:r w:rsidRPr="00724342">
        <w:rPr>
          <w:color w:val="000000" w:themeColor="text1"/>
          <w:sz w:val="22"/>
          <w:szCs w:val="22"/>
        </w:rPr>
        <w:t>ь</w:t>
      </w:r>
      <w:r w:rsidRPr="00724342">
        <w:rPr>
          <w:color w:val="000000" w:themeColor="text1"/>
          <w:sz w:val="22"/>
          <w:szCs w:val="22"/>
        </w:rPr>
        <w:t>ного дохода к выручке фирмы. Если этот показатель равен нулю, то можно говорить о том, что предприятие несет убытки. Получение прибыли возможно в том случае, если маржинальный доход пр</w:t>
      </w:r>
      <w:r w:rsidRPr="00724342">
        <w:rPr>
          <w:color w:val="000000" w:themeColor="text1"/>
          <w:sz w:val="22"/>
          <w:szCs w:val="22"/>
        </w:rPr>
        <w:t>е</w:t>
      </w:r>
      <w:r w:rsidRPr="00724342">
        <w:rPr>
          <w:color w:val="000000" w:themeColor="text1"/>
          <w:sz w:val="22"/>
          <w:szCs w:val="22"/>
        </w:rPr>
        <w:t xml:space="preserve">вышает постоянные затраты. </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Использование данных маржинального дохода и других прои</w:t>
      </w:r>
      <w:r w:rsidRPr="00724342">
        <w:rPr>
          <w:color w:val="000000" w:themeColor="text1"/>
          <w:sz w:val="22"/>
          <w:szCs w:val="22"/>
        </w:rPr>
        <w:t>з</w:t>
      </w:r>
      <w:r w:rsidRPr="00724342">
        <w:rPr>
          <w:color w:val="000000" w:themeColor="text1"/>
          <w:sz w:val="22"/>
          <w:szCs w:val="22"/>
        </w:rPr>
        <w:t>водных показателей для прогнозирования и оценки эффективности увеличения объемов производства получило широкое распростр</w:t>
      </w:r>
      <w:r w:rsidRPr="00724342">
        <w:rPr>
          <w:color w:val="000000" w:themeColor="text1"/>
          <w:sz w:val="22"/>
          <w:szCs w:val="22"/>
        </w:rPr>
        <w:t>а</w:t>
      </w:r>
      <w:r w:rsidRPr="00724342">
        <w:rPr>
          <w:color w:val="000000" w:themeColor="text1"/>
          <w:sz w:val="22"/>
          <w:szCs w:val="22"/>
        </w:rPr>
        <w:lastRenderedPageBreak/>
        <w:t>нение благодаря простоте, наглядности и доступности расчетов точки безубыточности.</w:t>
      </w:r>
    </w:p>
    <w:p w:rsidR="00724342" w:rsidRPr="00724342" w:rsidRDefault="00724342" w:rsidP="00D15DEA">
      <w:pPr>
        <w:shd w:val="clear" w:color="auto" w:fill="FFFFFF"/>
        <w:ind w:firstLine="426"/>
        <w:jc w:val="both"/>
        <w:rPr>
          <w:color w:val="000000" w:themeColor="text1"/>
          <w:sz w:val="22"/>
          <w:szCs w:val="22"/>
        </w:rPr>
      </w:pPr>
      <w:r w:rsidRPr="00724342">
        <w:rPr>
          <w:color w:val="000000" w:themeColor="text1"/>
          <w:sz w:val="22"/>
          <w:szCs w:val="22"/>
        </w:rPr>
        <w:t>Вместе с этим, модель безубыточности имеет определенные недостатки. Рассчитывая точку безубыточности, не учитывается возможность скачка в производстве (например, вследствие сезонн</w:t>
      </w:r>
      <w:r w:rsidRPr="00724342">
        <w:rPr>
          <w:color w:val="000000" w:themeColor="text1"/>
          <w:sz w:val="22"/>
          <w:szCs w:val="22"/>
        </w:rPr>
        <w:t>о</w:t>
      </w:r>
      <w:r w:rsidRPr="00724342">
        <w:rPr>
          <w:color w:val="000000" w:themeColor="text1"/>
          <w:sz w:val="22"/>
          <w:szCs w:val="22"/>
        </w:rPr>
        <w:t>сти выпуска и продаж). Определяя условия достижения безубыто</w:t>
      </w:r>
      <w:r w:rsidRPr="00724342">
        <w:rPr>
          <w:color w:val="000000" w:themeColor="text1"/>
          <w:sz w:val="22"/>
          <w:szCs w:val="22"/>
        </w:rPr>
        <w:t>ч</w:t>
      </w:r>
      <w:r w:rsidRPr="00724342">
        <w:rPr>
          <w:color w:val="000000" w:themeColor="text1"/>
          <w:sz w:val="22"/>
          <w:szCs w:val="22"/>
        </w:rPr>
        <w:t>ности, необходимо правильно оценивать степень использования производственных мощностей.</w:t>
      </w:r>
    </w:p>
    <w:p w:rsidR="00724342" w:rsidRPr="00553B63" w:rsidRDefault="00724342" w:rsidP="00553B63">
      <w:pPr>
        <w:shd w:val="clear" w:color="auto" w:fill="FFFFFF"/>
        <w:ind w:firstLine="426"/>
        <w:jc w:val="both"/>
        <w:rPr>
          <w:color w:val="000000" w:themeColor="text1"/>
          <w:sz w:val="22"/>
          <w:szCs w:val="22"/>
        </w:rPr>
      </w:pPr>
      <w:r w:rsidRPr="00724342">
        <w:rPr>
          <w:color w:val="000000" w:themeColor="text1"/>
          <w:sz w:val="22"/>
          <w:szCs w:val="22"/>
        </w:rPr>
        <w:t>Таким образом, благодаря маржинальному анализу предпр</w:t>
      </w:r>
      <w:r w:rsidRPr="00724342">
        <w:rPr>
          <w:color w:val="000000" w:themeColor="text1"/>
          <w:sz w:val="22"/>
          <w:szCs w:val="22"/>
        </w:rPr>
        <w:t>и</w:t>
      </w:r>
      <w:r w:rsidRPr="00724342">
        <w:rPr>
          <w:color w:val="000000" w:themeColor="text1"/>
          <w:sz w:val="22"/>
          <w:szCs w:val="22"/>
        </w:rPr>
        <w:t>ниматель способен оценить текущее состояние предприятия и пе</w:t>
      </w:r>
      <w:r w:rsidRPr="00724342">
        <w:rPr>
          <w:color w:val="000000" w:themeColor="text1"/>
          <w:sz w:val="22"/>
          <w:szCs w:val="22"/>
        </w:rPr>
        <w:t>р</w:t>
      </w:r>
      <w:r w:rsidRPr="00724342">
        <w:rPr>
          <w:color w:val="000000" w:themeColor="text1"/>
          <w:sz w:val="22"/>
          <w:szCs w:val="22"/>
        </w:rPr>
        <w:t>спективы его развития.</w:t>
      </w:r>
    </w:p>
    <w:p w:rsidR="00724342" w:rsidRPr="00724342" w:rsidRDefault="00724342" w:rsidP="00D15DEA">
      <w:pPr>
        <w:ind w:firstLine="426"/>
        <w:jc w:val="center"/>
        <w:rPr>
          <w:rFonts w:eastAsiaTheme="minorHAnsi"/>
          <w:color w:val="000000" w:themeColor="text1"/>
          <w:sz w:val="22"/>
          <w:szCs w:val="22"/>
          <w:lang w:eastAsia="en-US"/>
        </w:rPr>
      </w:pPr>
      <w:r w:rsidRPr="00724342">
        <w:rPr>
          <w:rFonts w:eastAsiaTheme="minorHAnsi"/>
          <w:color w:val="000000" w:themeColor="text1"/>
          <w:sz w:val="22"/>
          <w:szCs w:val="22"/>
          <w:lang w:eastAsia="en-US"/>
        </w:rPr>
        <w:t>Список литературы</w:t>
      </w:r>
    </w:p>
    <w:p w:rsidR="00724342" w:rsidRPr="00724342" w:rsidRDefault="00724342" w:rsidP="00D15DEA">
      <w:pPr>
        <w:ind w:firstLine="426"/>
        <w:jc w:val="both"/>
        <w:outlineLvl w:val="1"/>
        <w:rPr>
          <w:rFonts w:eastAsiaTheme="minorHAnsi"/>
          <w:color w:val="000000" w:themeColor="text1"/>
          <w:sz w:val="22"/>
          <w:szCs w:val="22"/>
          <w:shd w:val="clear" w:color="auto" w:fill="FFFFFF"/>
          <w:lang w:eastAsia="en-US"/>
        </w:rPr>
      </w:pPr>
      <w:r w:rsidRPr="00724342">
        <w:rPr>
          <w:rFonts w:eastAsiaTheme="minorHAnsi"/>
          <w:color w:val="000000" w:themeColor="text1"/>
          <w:sz w:val="22"/>
          <w:szCs w:val="22"/>
          <w:shd w:val="clear" w:color="auto" w:fill="FFFFFF"/>
          <w:lang w:eastAsia="en-US"/>
        </w:rPr>
        <w:t>1. Воропинова О.А., Айдинова А.Т. Развитие инвестиционной деятельности регионов Северо-Кавказского Федерального округа / в сборнике: Исследование социально-экономических систем региона - Материалы международной научно-практической конференции. 2011. С. 8-9.</w:t>
      </w:r>
    </w:p>
    <w:p w:rsidR="00724342" w:rsidRPr="00724342" w:rsidRDefault="00724342" w:rsidP="00D15DEA">
      <w:pPr>
        <w:ind w:firstLine="426"/>
        <w:jc w:val="both"/>
        <w:rPr>
          <w:rFonts w:eastAsiaTheme="minorHAnsi"/>
          <w:color w:val="000000" w:themeColor="text1"/>
          <w:sz w:val="22"/>
          <w:szCs w:val="22"/>
          <w:shd w:val="clear" w:color="auto" w:fill="FFFFFF"/>
          <w:lang w:eastAsia="en-US"/>
        </w:rPr>
      </w:pPr>
      <w:r w:rsidRPr="00724342">
        <w:rPr>
          <w:rFonts w:eastAsiaTheme="minorHAnsi"/>
          <w:color w:val="000000" w:themeColor="text1"/>
          <w:sz w:val="22"/>
          <w:szCs w:val="22"/>
          <w:shd w:val="clear" w:color="auto" w:fill="FFFFFF"/>
          <w:lang w:eastAsia="en-US"/>
        </w:rPr>
        <w:t>2. Одинцов, В.А. Анализ финансово-хозяйственной деятельн</w:t>
      </w:r>
      <w:r w:rsidRPr="00724342">
        <w:rPr>
          <w:rFonts w:eastAsiaTheme="minorHAnsi"/>
          <w:color w:val="000000" w:themeColor="text1"/>
          <w:sz w:val="22"/>
          <w:szCs w:val="22"/>
          <w:shd w:val="clear" w:color="auto" w:fill="FFFFFF"/>
          <w:lang w:eastAsia="en-US"/>
        </w:rPr>
        <w:t>о</w:t>
      </w:r>
      <w:r w:rsidRPr="00724342">
        <w:rPr>
          <w:rFonts w:eastAsiaTheme="minorHAnsi"/>
          <w:color w:val="000000" w:themeColor="text1"/>
          <w:sz w:val="22"/>
          <w:szCs w:val="22"/>
          <w:shd w:val="clear" w:color="auto" w:fill="FFFFFF"/>
          <w:lang w:eastAsia="en-US"/>
        </w:rPr>
        <w:t>сти предприятия: учеб. пособие для нач. проф. образования / В.А.Одинцов. - М.: Академия, 2013. - 252 с.</w:t>
      </w:r>
    </w:p>
    <w:p w:rsidR="00724342" w:rsidRPr="00724342" w:rsidRDefault="00724342" w:rsidP="00D15DEA">
      <w:pPr>
        <w:ind w:firstLine="426"/>
        <w:contextualSpacing/>
        <w:jc w:val="both"/>
        <w:rPr>
          <w:rFonts w:eastAsiaTheme="minorHAnsi"/>
          <w:sz w:val="22"/>
          <w:szCs w:val="22"/>
          <w:lang w:eastAsia="en-US"/>
        </w:rPr>
      </w:pPr>
    </w:p>
    <w:p w:rsidR="00724342" w:rsidRDefault="00724342" w:rsidP="00724342">
      <w:pPr>
        <w:contextualSpacing/>
        <w:jc w:val="both"/>
        <w:rPr>
          <w:rFonts w:eastAsiaTheme="minorHAnsi"/>
          <w:sz w:val="22"/>
          <w:szCs w:val="22"/>
          <w:lang w:eastAsia="en-US"/>
        </w:rPr>
      </w:pPr>
    </w:p>
    <w:p w:rsidR="00CB06AE" w:rsidRPr="00724342" w:rsidRDefault="00CB06AE" w:rsidP="00724342">
      <w:pPr>
        <w:contextualSpacing/>
        <w:jc w:val="both"/>
        <w:rPr>
          <w:rFonts w:eastAsiaTheme="minorHAnsi"/>
          <w:sz w:val="22"/>
          <w:szCs w:val="22"/>
          <w:lang w:eastAsia="en-US"/>
        </w:rPr>
      </w:pPr>
    </w:p>
    <w:p w:rsidR="00724342" w:rsidRPr="00724342" w:rsidRDefault="00724342" w:rsidP="00724342">
      <w:pPr>
        <w:tabs>
          <w:tab w:val="left" w:pos="567"/>
        </w:tabs>
        <w:rPr>
          <w:caps/>
          <w:sz w:val="22"/>
          <w:szCs w:val="22"/>
        </w:rPr>
      </w:pPr>
      <w:r w:rsidRPr="00724342">
        <w:rPr>
          <w:caps/>
          <w:sz w:val="22"/>
          <w:szCs w:val="22"/>
        </w:rPr>
        <w:t>УДК 338.43:631</w:t>
      </w:r>
    </w:p>
    <w:p w:rsidR="00724342" w:rsidRPr="00724342" w:rsidRDefault="00724342" w:rsidP="00724342">
      <w:pPr>
        <w:tabs>
          <w:tab w:val="left" w:pos="567"/>
        </w:tabs>
        <w:rPr>
          <w:caps/>
          <w:sz w:val="22"/>
          <w:szCs w:val="22"/>
        </w:rPr>
      </w:pPr>
    </w:p>
    <w:p w:rsidR="00724342" w:rsidRPr="00724342" w:rsidRDefault="00724342" w:rsidP="00724342">
      <w:pPr>
        <w:tabs>
          <w:tab w:val="left" w:pos="567"/>
        </w:tabs>
        <w:jc w:val="center"/>
        <w:rPr>
          <w:rFonts w:eastAsia="Calibri"/>
          <w:b/>
          <w:color w:val="000000"/>
          <w:sz w:val="24"/>
          <w:szCs w:val="24"/>
          <w:lang w:eastAsia="en-US"/>
        </w:rPr>
      </w:pPr>
      <w:r w:rsidRPr="00724342">
        <w:rPr>
          <w:rFonts w:eastAsia="Calibri"/>
          <w:b/>
          <w:color w:val="000000"/>
          <w:sz w:val="24"/>
          <w:szCs w:val="24"/>
          <w:lang w:eastAsia="en-US"/>
        </w:rPr>
        <w:t xml:space="preserve">Экономический анализ современного состояния </w:t>
      </w:r>
    </w:p>
    <w:p w:rsidR="00724342" w:rsidRPr="00724342" w:rsidRDefault="00724342" w:rsidP="00724342">
      <w:pPr>
        <w:tabs>
          <w:tab w:val="left" w:pos="567"/>
        </w:tabs>
        <w:jc w:val="center"/>
        <w:rPr>
          <w:rFonts w:eastAsia="Calibri"/>
          <w:b/>
          <w:color w:val="000000"/>
          <w:sz w:val="24"/>
          <w:szCs w:val="24"/>
          <w:lang w:eastAsia="en-US"/>
        </w:rPr>
      </w:pPr>
      <w:r w:rsidRPr="00724342">
        <w:rPr>
          <w:rFonts w:eastAsia="Calibri"/>
          <w:b/>
          <w:color w:val="000000"/>
          <w:sz w:val="24"/>
          <w:szCs w:val="24"/>
          <w:lang w:eastAsia="en-US"/>
        </w:rPr>
        <w:t>производства и переработки сои в России</w:t>
      </w:r>
    </w:p>
    <w:p w:rsidR="00724342" w:rsidRPr="00724342" w:rsidRDefault="00724342" w:rsidP="00724342">
      <w:pPr>
        <w:tabs>
          <w:tab w:val="left" w:pos="567"/>
        </w:tabs>
        <w:jc w:val="center"/>
        <w:rPr>
          <w:rFonts w:eastAsia="Calibri"/>
          <w:b/>
          <w:color w:val="000000"/>
          <w:sz w:val="24"/>
          <w:szCs w:val="24"/>
          <w:lang w:val="en-US" w:eastAsia="en-US"/>
        </w:rPr>
      </w:pPr>
      <w:r w:rsidRPr="00724342">
        <w:rPr>
          <w:rFonts w:eastAsia="Calibri"/>
          <w:b/>
          <w:color w:val="000000"/>
          <w:sz w:val="24"/>
          <w:szCs w:val="24"/>
          <w:lang w:val="en-US" w:eastAsia="en-US"/>
        </w:rPr>
        <w:t xml:space="preserve">The economic analysis of the current state of production </w:t>
      </w:r>
    </w:p>
    <w:p w:rsidR="00724342" w:rsidRPr="00CB06AE" w:rsidRDefault="00724342" w:rsidP="00CB06AE">
      <w:pPr>
        <w:tabs>
          <w:tab w:val="left" w:pos="567"/>
        </w:tabs>
        <w:jc w:val="center"/>
        <w:rPr>
          <w:rFonts w:eastAsia="Calibri"/>
          <w:b/>
          <w:color w:val="000000"/>
          <w:sz w:val="24"/>
          <w:szCs w:val="24"/>
          <w:lang w:val="en-US" w:eastAsia="en-US"/>
        </w:rPr>
      </w:pPr>
      <w:proofErr w:type="gramStart"/>
      <w:r w:rsidRPr="00724342">
        <w:rPr>
          <w:rFonts w:eastAsia="Calibri"/>
          <w:b/>
          <w:color w:val="000000"/>
          <w:sz w:val="24"/>
          <w:szCs w:val="24"/>
          <w:lang w:val="en-US" w:eastAsia="en-US"/>
        </w:rPr>
        <w:t>and</w:t>
      </w:r>
      <w:proofErr w:type="gramEnd"/>
      <w:r w:rsidRPr="00724342">
        <w:rPr>
          <w:rFonts w:eastAsia="Calibri"/>
          <w:b/>
          <w:color w:val="000000"/>
          <w:sz w:val="24"/>
          <w:szCs w:val="24"/>
          <w:lang w:val="en-US" w:eastAsia="en-US"/>
        </w:rPr>
        <w:t xml:space="preserve"> processing of soy in Russia</w:t>
      </w:r>
    </w:p>
    <w:p w:rsidR="00724342" w:rsidRPr="00724342" w:rsidRDefault="00724342" w:rsidP="00724342">
      <w:pPr>
        <w:jc w:val="right"/>
        <w:rPr>
          <w:color w:val="000000"/>
          <w:sz w:val="22"/>
          <w:szCs w:val="22"/>
        </w:rPr>
      </w:pPr>
      <w:r w:rsidRPr="00724342">
        <w:rPr>
          <w:color w:val="000000"/>
          <w:sz w:val="22"/>
          <w:szCs w:val="22"/>
        </w:rPr>
        <w:t>Юдина В. В.,</w:t>
      </w:r>
    </w:p>
    <w:p w:rsidR="00724342" w:rsidRPr="00724342" w:rsidRDefault="00724342" w:rsidP="00724342">
      <w:pPr>
        <w:jc w:val="right"/>
        <w:rPr>
          <w:color w:val="000000"/>
          <w:sz w:val="22"/>
          <w:szCs w:val="22"/>
        </w:rPr>
      </w:pPr>
      <w:r w:rsidRPr="00724342">
        <w:rPr>
          <w:color w:val="000000"/>
          <w:sz w:val="22"/>
          <w:szCs w:val="22"/>
        </w:rPr>
        <w:t>студентка 4 курса экономического факультета</w:t>
      </w:r>
    </w:p>
    <w:p w:rsidR="00724342" w:rsidRPr="00724342" w:rsidRDefault="00724342" w:rsidP="00724342">
      <w:pPr>
        <w:autoSpaceDE w:val="0"/>
        <w:autoSpaceDN w:val="0"/>
        <w:adjustRightInd w:val="0"/>
        <w:jc w:val="right"/>
        <w:rPr>
          <w:rFonts w:eastAsiaTheme="minorHAnsi"/>
          <w:spacing w:val="-4"/>
          <w:sz w:val="22"/>
          <w:szCs w:val="22"/>
          <w:lang w:eastAsia="en-US"/>
        </w:rPr>
      </w:pPr>
      <w:r w:rsidRPr="00724342">
        <w:rPr>
          <w:rFonts w:eastAsiaTheme="minorHAnsi"/>
          <w:spacing w:val="-4"/>
          <w:sz w:val="22"/>
          <w:szCs w:val="22"/>
          <w:lang w:eastAsia="en-US"/>
        </w:rPr>
        <w:t xml:space="preserve">Кубанский государственный аграрный </w:t>
      </w:r>
    </w:p>
    <w:p w:rsidR="00724342" w:rsidRPr="00724342" w:rsidRDefault="00724342" w:rsidP="00724342">
      <w:pPr>
        <w:jc w:val="right"/>
        <w:rPr>
          <w:rFonts w:eastAsiaTheme="minorHAnsi"/>
          <w:spacing w:val="-4"/>
          <w:sz w:val="22"/>
          <w:szCs w:val="22"/>
          <w:lang w:eastAsia="en-US"/>
        </w:rPr>
      </w:pPr>
      <w:r w:rsidRPr="00724342">
        <w:rPr>
          <w:rFonts w:eastAsiaTheme="minorHAnsi"/>
          <w:spacing w:val="-4"/>
          <w:sz w:val="22"/>
          <w:szCs w:val="22"/>
          <w:lang w:eastAsia="en-US"/>
        </w:rPr>
        <w:t>университет имени И. Т. Трубилина</w:t>
      </w:r>
    </w:p>
    <w:p w:rsidR="00724342" w:rsidRPr="00724342" w:rsidRDefault="00724342" w:rsidP="00724342">
      <w:pPr>
        <w:jc w:val="right"/>
        <w:rPr>
          <w:color w:val="000000"/>
          <w:sz w:val="22"/>
          <w:szCs w:val="22"/>
        </w:rPr>
      </w:pPr>
    </w:p>
    <w:p w:rsidR="00724342" w:rsidRPr="00724342" w:rsidRDefault="00724342" w:rsidP="00D15DEA">
      <w:pPr>
        <w:ind w:firstLine="426"/>
        <w:jc w:val="both"/>
        <w:rPr>
          <w:color w:val="000000"/>
          <w:sz w:val="22"/>
          <w:szCs w:val="22"/>
          <w:lang w:val="en-US"/>
        </w:rPr>
      </w:pPr>
      <w:r w:rsidRPr="00724342">
        <w:rPr>
          <w:color w:val="000000"/>
          <w:sz w:val="22"/>
          <w:szCs w:val="22"/>
        </w:rPr>
        <w:t>АННОТАЦИЯ: Выполнен анализ организационно-экономических показателей производства и переработки сои, вкл</w:t>
      </w:r>
      <w:r w:rsidRPr="00724342">
        <w:rPr>
          <w:color w:val="000000"/>
          <w:sz w:val="22"/>
          <w:szCs w:val="22"/>
        </w:rPr>
        <w:t>ю</w:t>
      </w:r>
      <w:r w:rsidRPr="00724342">
        <w:rPr>
          <w:color w:val="000000"/>
          <w:sz w:val="22"/>
          <w:szCs w:val="22"/>
        </w:rPr>
        <w:t xml:space="preserve">чающих посевные площади и валовые сборы, показатели импорта и </w:t>
      </w:r>
      <w:r w:rsidRPr="00724342">
        <w:rPr>
          <w:color w:val="000000"/>
          <w:sz w:val="22"/>
          <w:szCs w:val="22"/>
        </w:rPr>
        <w:lastRenderedPageBreak/>
        <w:t>экспорта этой сельскохозяйственной культуры. Выявлены</w:t>
      </w:r>
      <w:r w:rsidRPr="00724342">
        <w:rPr>
          <w:color w:val="000000"/>
          <w:sz w:val="22"/>
          <w:szCs w:val="22"/>
          <w:lang w:val="en-US"/>
        </w:rPr>
        <w:t xml:space="preserve"> </w:t>
      </w:r>
      <w:r w:rsidRPr="00724342">
        <w:rPr>
          <w:color w:val="000000"/>
          <w:sz w:val="22"/>
          <w:szCs w:val="22"/>
        </w:rPr>
        <w:t>основные</w:t>
      </w:r>
      <w:r w:rsidRPr="00724342">
        <w:rPr>
          <w:color w:val="000000"/>
          <w:sz w:val="22"/>
          <w:szCs w:val="22"/>
          <w:lang w:val="en-US"/>
        </w:rPr>
        <w:t xml:space="preserve"> </w:t>
      </w:r>
      <w:r w:rsidRPr="00724342">
        <w:rPr>
          <w:color w:val="000000"/>
          <w:sz w:val="22"/>
          <w:szCs w:val="22"/>
        </w:rPr>
        <w:t>характеристики</w:t>
      </w:r>
      <w:r w:rsidRPr="00724342">
        <w:rPr>
          <w:color w:val="000000"/>
          <w:sz w:val="22"/>
          <w:szCs w:val="22"/>
          <w:lang w:val="en-US"/>
        </w:rPr>
        <w:t xml:space="preserve"> </w:t>
      </w:r>
      <w:r w:rsidRPr="00724342">
        <w:rPr>
          <w:color w:val="000000"/>
          <w:sz w:val="22"/>
          <w:szCs w:val="22"/>
        </w:rPr>
        <w:t>современного</w:t>
      </w:r>
      <w:r w:rsidRPr="00724342">
        <w:rPr>
          <w:color w:val="000000"/>
          <w:sz w:val="22"/>
          <w:szCs w:val="22"/>
          <w:lang w:val="en-US"/>
        </w:rPr>
        <w:t xml:space="preserve"> </w:t>
      </w:r>
      <w:r w:rsidRPr="00724342">
        <w:rPr>
          <w:color w:val="000000"/>
          <w:sz w:val="22"/>
          <w:szCs w:val="22"/>
        </w:rPr>
        <w:t>состояния</w:t>
      </w:r>
      <w:r w:rsidRPr="00724342">
        <w:rPr>
          <w:color w:val="000000"/>
          <w:sz w:val="22"/>
          <w:szCs w:val="22"/>
          <w:lang w:val="en-US"/>
        </w:rPr>
        <w:t xml:space="preserve"> </w:t>
      </w:r>
      <w:r w:rsidRPr="00724342">
        <w:rPr>
          <w:color w:val="000000"/>
          <w:sz w:val="22"/>
          <w:szCs w:val="22"/>
        </w:rPr>
        <w:t>и</w:t>
      </w:r>
      <w:r w:rsidRPr="00724342">
        <w:rPr>
          <w:color w:val="000000"/>
          <w:sz w:val="22"/>
          <w:szCs w:val="22"/>
          <w:lang w:val="en-US"/>
        </w:rPr>
        <w:t xml:space="preserve"> </w:t>
      </w:r>
      <w:r w:rsidRPr="00724342">
        <w:rPr>
          <w:color w:val="000000"/>
          <w:sz w:val="22"/>
          <w:szCs w:val="22"/>
        </w:rPr>
        <w:t>тенденции</w:t>
      </w:r>
      <w:r w:rsidRPr="00724342">
        <w:rPr>
          <w:color w:val="000000"/>
          <w:sz w:val="22"/>
          <w:szCs w:val="22"/>
          <w:lang w:val="en-US"/>
        </w:rPr>
        <w:t xml:space="preserve"> </w:t>
      </w:r>
      <w:r w:rsidRPr="00724342">
        <w:rPr>
          <w:color w:val="000000"/>
          <w:sz w:val="22"/>
          <w:szCs w:val="22"/>
        </w:rPr>
        <w:t>развития</w:t>
      </w:r>
      <w:r w:rsidRPr="00724342">
        <w:rPr>
          <w:color w:val="000000"/>
          <w:sz w:val="22"/>
          <w:szCs w:val="22"/>
          <w:lang w:val="en-US"/>
        </w:rPr>
        <w:t xml:space="preserve"> </w:t>
      </w:r>
      <w:r w:rsidRPr="00724342">
        <w:rPr>
          <w:color w:val="000000"/>
          <w:sz w:val="22"/>
          <w:szCs w:val="22"/>
        </w:rPr>
        <w:t>подотрасли</w:t>
      </w:r>
      <w:r w:rsidRPr="00724342">
        <w:rPr>
          <w:color w:val="000000"/>
          <w:sz w:val="22"/>
          <w:szCs w:val="22"/>
          <w:lang w:val="en-US"/>
        </w:rPr>
        <w:t>.</w:t>
      </w:r>
    </w:p>
    <w:p w:rsidR="00724342" w:rsidRPr="00724342" w:rsidRDefault="00724342" w:rsidP="00D15DEA">
      <w:pPr>
        <w:ind w:firstLine="426"/>
        <w:jc w:val="both"/>
        <w:rPr>
          <w:color w:val="000000"/>
          <w:sz w:val="22"/>
          <w:szCs w:val="22"/>
          <w:lang w:val="en-US"/>
        </w:rPr>
      </w:pPr>
      <w:r w:rsidRPr="00724342">
        <w:rPr>
          <w:color w:val="000000"/>
          <w:sz w:val="22"/>
          <w:szCs w:val="22"/>
          <w:lang w:val="en-US"/>
        </w:rPr>
        <w:t>ABSTRACT: The article contains the results of analysis of organ</w:t>
      </w:r>
      <w:r w:rsidRPr="00724342">
        <w:rPr>
          <w:color w:val="000000"/>
          <w:sz w:val="22"/>
          <w:szCs w:val="22"/>
          <w:lang w:val="en-US"/>
        </w:rPr>
        <w:t>i</w:t>
      </w:r>
      <w:r w:rsidRPr="00724342">
        <w:rPr>
          <w:color w:val="000000"/>
          <w:sz w:val="22"/>
          <w:szCs w:val="22"/>
          <w:lang w:val="en-US"/>
        </w:rPr>
        <w:t>zational and economic indicators of production and processing of so</w:t>
      </w:r>
      <w:r w:rsidRPr="00724342">
        <w:rPr>
          <w:color w:val="000000"/>
          <w:sz w:val="22"/>
          <w:szCs w:val="22"/>
          <w:lang w:val="en-US"/>
        </w:rPr>
        <w:t>y</w:t>
      </w:r>
      <w:r w:rsidRPr="00724342">
        <w:rPr>
          <w:color w:val="000000"/>
          <w:sz w:val="22"/>
          <w:szCs w:val="22"/>
          <w:lang w:val="en-US"/>
        </w:rPr>
        <w:t>beans, including sown areas and gross fees, the import and export of this crop. The authors revealed the main characteristics of the current state and the development trends of the sub-sector.</w:t>
      </w:r>
    </w:p>
    <w:p w:rsidR="00724342" w:rsidRPr="00724342" w:rsidRDefault="00724342" w:rsidP="00D15DEA">
      <w:pPr>
        <w:ind w:firstLine="426"/>
        <w:jc w:val="both"/>
        <w:rPr>
          <w:color w:val="000000"/>
          <w:sz w:val="22"/>
          <w:szCs w:val="22"/>
        </w:rPr>
      </w:pPr>
      <w:r w:rsidRPr="00724342">
        <w:rPr>
          <w:color w:val="000000"/>
          <w:sz w:val="22"/>
          <w:szCs w:val="22"/>
        </w:rPr>
        <w:t>КЛЮЧЕВЫЕ СЛОВА: производство и переработка сои, эк</w:t>
      </w:r>
      <w:r w:rsidRPr="00724342">
        <w:rPr>
          <w:color w:val="000000"/>
          <w:sz w:val="22"/>
          <w:szCs w:val="22"/>
        </w:rPr>
        <w:t>с</w:t>
      </w:r>
      <w:r w:rsidRPr="00724342">
        <w:rPr>
          <w:color w:val="000000"/>
          <w:sz w:val="22"/>
          <w:szCs w:val="22"/>
        </w:rPr>
        <w:t>порт и импорт, импортозамещение.</w:t>
      </w:r>
    </w:p>
    <w:p w:rsidR="00724342" w:rsidRPr="00724342" w:rsidRDefault="00724342" w:rsidP="00D15DEA">
      <w:pPr>
        <w:ind w:firstLine="426"/>
        <w:jc w:val="both"/>
        <w:rPr>
          <w:b/>
          <w:color w:val="000000"/>
          <w:sz w:val="22"/>
          <w:szCs w:val="22"/>
          <w:lang w:val="en-US"/>
        </w:rPr>
      </w:pPr>
      <w:r w:rsidRPr="00724342">
        <w:rPr>
          <w:color w:val="000000"/>
          <w:sz w:val="22"/>
          <w:szCs w:val="22"/>
          <w:lang w:val="en-US"/>
        </w:rPr>
        <w:t>KEYWORDS: soybean production and processing, export and i</w:t>
      </w:r>
      <w:r w:rsidRPr="00724342">
        <w:rPr>
          <w:color w:val="000000"/>
          <w:sz w:val="22"/>
          <w:szCs w:val="22"/>
          <w:lang w:val="en-US"/>
        </w:rPr>
        <w:t>m</w:t>
      </w:r>
      <w:r w:rsidRPr="00724342">
        <w:rPr>
          <w:color w:val="000000"/>
          <w:sz w:val="22"/>
          <w:szCs w:val="22"/>
          <w:lang w:val="en-US"/>
        </w:rPr>
        <w:t>port, import substitution.</w:t>
      </w:r>
    </w:p>
    <w:p w:rsidR="00724342" w:rsidRPr="00724342" w:rsidRDefault="00724342" w:rsidP="00D15DEA">
      <w:pPr>
        <w:tabs>
          <w:tab w:val="left" w:pos="567"/>
        </w:tabs>
        <w:ind w:firstLine="426"/>
        <w:jc w:val="both"/>
        <w:rPr>
          <w:rFonts w:eastAsia="Calibri"/>
          <w:color w:val="000000"/>
          <w:sz w:val="22"/>
          <w:szCs w:val="22"/>
          <w:lang w:val="en-US" w:eastAsia="en-US"/>
        </w:rPr>
      </w:pPr>
    </w:p>
    <w:p w:rsidR="00724342" w:rsidRPr="00724342" w:rsidRDefault="00724342" w:rsidP="00D15DEA">
      <w:pPr>
        <w:tabs>
          <w:tab w:val="left" w:pos="567"/>
        </w:tabs>
        <w:ind w:firstLine="426"/>
        <w:jc w:val="both"/>
        <w:rPr>
          <w:rFonts w:eastAsia="Calibri"/>
          <w:color w:val="000000"/>
          <w:sz w:val="22"/>
          <w:szCs w:val="22"/>
          <w:lang w:eastAsia="en-US"/>
        </w:rPr>
      </w:pPr>
      <w:r w:rsidRPr="00724342">
        <w:rPr>
          <w:rFonts w:eastAsia="Calibri"/>
          <w:color w:val="000000"/>
          <w:sz w:val="22"/>
          <w:szCs w:val="22"/>
          <w:lang w:eastAsia="en-US"/>
        </w:rPr>
        <w:t>Соя является ценной масличной и высокобелковой культурой, посевы которой в хозяйствах всех категорий страны в настоящее время занимают более 2,6 млн га, что практически в 4 раза прев</w:t>
      </w:r>
      <w:r w:rsidRPr="00724342">
        <w:rPr>
          <w:rFonts w:eastAsia="Calibri"/>
          <w:color w:val="000000"/>
          <w:sz w:val="22"/>
          <w:szCs w:val="22"/>
          <w:lang w:eastAsia="en-US"/>
        </w:rPr>
        <w:t>ы</w:t>
      </w:r>
      <w:r w:rsidRPr="00724342">
        <w:rPr>
          <w:rFonts w:eastAsia="Calibri"/>
          <w:color w:val="000000"/>
          <w:sz w:val="22"/>
          <w:szCs w:val="22"/>
          <w:lang w:eastAsia="en-US"/>
        </w:rPr>
        <w:t>шает аналогичный показатель 1990 г.</w:t>
      </w:r>
    </w:p>
    <w:p w:rsidR="00724342" w:rsidRPr="00724342" w:rsidRDefault="00724342" w:rsidP="00D15DEA">
      <w:pPr>
        <w:tabs>
          <w:tab w:val="left" w:pos="567"/>
        </w:tabs>
        <w:ind w:firstLine="426"/>
        <w:jc w:val="both"/>
        <w:rPr>
          <w:rFonts w:eastAsia="Calibri"/>
          <w:color w:val="000000"/>
          <w:sz w:val="22"/>
          <w:szCs w:val="22"/>
          <w:lang w:eastAsia="en-US"/>
        </w:rPr>
      </w:pPr>
      <w:r w:rsidRPr="00724342">
        <w:rPr>
          <w:rFonts w:eastAsia="Calibri"/>
          <w:color w:val="000000"/>
          <w:sz w:val="22"/>
          <w:szCs w:val="22"/>
          <w:lang w:eastAsia="en-US"/>
        </w:rPr>
        <w:t>В Государственной программе развития сельского хозяйства и регулирования рынков сельскохозяйственной продукции, сырья и продовольствия до 2020 г. уделено внимание развитию глубокой переработки сои, обеспечивающей производство импортозамещ</w:t>
      </w:r>
      <w:r w:rsidRPr="00724342">
        <w:rPr>
          <w:rFonts w:eastAsia="Calibri"/>
          <w:color w:val="000000"/>
          <w:sz w:val="22"/>
          <w:szCs w:val="22"/>
          <w:lang w:eastAsia="en-US"/>
        </w:rPr>
        <w:t>а</w:t>
      </w:r>
      <w:r w:rsidRPr="00724342">
        <w:rPr>
          <w:rFonts w:eastAsia="Calibri"/>
          <w:color w:val="000000"/>
          <w:sz w:val="22"/>
          <w:szCs w:val="22"/>
          <w:lang w:eastAsia="en-US"/>
        </w:rPr>
        <w:t>ющей продукции такой, как соевые изоляты и концентраты, пищ</w:t>
      </w:r>
      <w:r w:rsidRPr="00724342">
        <w:rPr>
          <w:rFonts w:eastAsia="Calibri"/>
          <w:color w:val="000000"/>
          <w:sz w:val="22"/>
          <w:szCs w:val="22"/>
          <w:lang w:eastAsia="en-US"/>
        </w:rPr>
        <w:t>е</w:t>
      </w:r>
      <w:r w:rsidRPr="00724342">
        <w:rPr>
          <w:rFonts w:eastAsia="Calibri"/>
          <w:color w:val="000000"/>
          <w:sz w:val="22"/>
          <w:szCs w:val="22"/>
          <w:lang w:eastAsia="en-US"/>
        </w:rPr>
        <w:t>вые композиты, биологически активные добавки и внутрицевтики на основе соевого белка. Таким образом, задача повышения объ</w:t>
      </w:r>
      <w:r w:rsidRPr="00724342">
        <w:rPr>
          <w:rFonts w:eastAsia="Calibri"/>
          <w:color w:val="000000"/>
          <w:sz w:val="22"/>
          <w:szCs w:val="22"/>
          <w:lang w:eastAsia="en-US"/>
        </w:rPr>
        <w:t>е</w:t>
      </w:r>
      <w:r w:rsidRPr="00724342">
        <w:rPr>
          <w:rFonts w:eastAsia="Calibri"/>
          <w:color w:val="000000"/>
          <w:sz w:val="22"/>
          <w:szCs w:val="22"/>
          <w:lang w:eastAsia="en-US"/>
        </w:rPr>
        <w:t>мов производства полезных здоровых продуктов питания, получа</w:t>
      </w:r>
      <w:r w:rsidRPr="00724342">
        <w:rPr>
          <w:rFonts w:eastAsia="Calibri"/>
          <w:color w:val="000000"/>
          <w:sz w:val="22"/>
          <w:szCs w:val="22"/>
          <w:lang w:eastAsia="en-US"/>
        </w:rPr>
        <w:t>е</w:t>
      </w:r>
      <w:r w:rsidRPr="00724342">
        <w:rPr>
          <w:rFonts w:eastAsia="Calibri"/>
          <w:color w:val="000000"/>
          <w:sz w:val="22"/>
          <w:szCs w:val="22"/>
          <w:lang w:eastAsia="en-US"/>
        </w:rPr>
        <w:t>мых на основе сои, поставлена [1, 3].</w:t>
      </w:r>
    </w:p>
    <w:p w:rsidR="00724342" w:rsidRPr="00724342" w:rsidRDefault="00724342" w:rsidP="00D15DEA">
      <w:pPr>
        <w:tabs>
          <w:tab w:val="left" w:pos="567"/>
        </w:tabs>
        <w:ind w:firstLine="426"/>
        <w:jc w:val="both"/>
        <w:rPr>
          <w:rFonts w:eastAsia="Calibri"/>
          <w:color w:val="000000"/>
          <w:sz w:val="22"/>
          <w:szCs w:val="22"/>
          <w:lang w:eastAsia="en-US"/>
        </w:rPr>
      </w:pPr>
      <w:r w:rsidRPr="00724342">
        <w:rPr>
          <w:rFonts w:eastAsia="Calibri"/>
          <w:color w:val="000000"/>
          <w:sz w:val="22"/>
          <w:szCs w:val="22"/>
          <w:lang w:eastAsia="en-US"/>
        </w:rPr>
        <w:t>В качестве основных направлений переработки и использов</w:t>
      </w:r>
      <w:r w:rsidRPr="00724342">
        <w:rPr>
          <w:rFonts w:eastAsia="Calibri"/>
          <w:color w:val="000000"/>
          <w:sz w:val="22"/>
          <w:szCs w:val="22"/>
          <w:lang w:eastAsia="en-US"/>
        </w:rPr>
        <w:t>а</w:t>
      </w:r>
      <w:r w:rsidRPr="00724342">
        <w:rPr>
          <w:rFonts w:eastAsia="Calibri"/>
          <w:color w:val="000000"/>
          <w:sz w:val="22"/>
          <w:szCs w:val="22"/>
          <w:lang w:eastAsia="en-US"/>
        </w:rPr>
        <w:t>ния бобов сои отметим следующие:</w:t>
      </w:r>
    </w:p>
    <w:p w:rsidR="00724342" w:rsidRPr="00724342" w:rsidRDefault="00724342" w:rsidP="00D15DEA">
      <w:pPr>
        <w:numPr>
          <w:ilvl w:val="0"/>
          <w:numId w:val="70"/>
        </w:numPr>
        <w:tabs>
          <w:tab w:val="left" w:pos="567"/>
          <w:tab w:val="left" w:pos="709"/>
        </w:tabs>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в маслоперерабатывающей промышленности (производство растительного масла);</w:t>
      </w:r>
    </w:p>
    <w:p w:rsidR="00724342" w:rsidRPr="00724342" w:rsidRDefault="00724342" w:rsidP="00D15DEA">
      <w:pPr>
        <w:numPr>
          <w:ilvl w:val="0"/>
          <w:numId w:val="70"/>
        </w:numPr>
        <w:tabs>
          <w:tab w:val="left" w:pos="567"/>
          <w:tab w:val="left" w:pos="709"/>
        </w:tabs>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в животноводстве (производство и использование кормов для скота);</w:t>
      </w:r>
    </w:p>
    <w:p w:rsidR="00724342" w:rsidRPr="00724342" w:rsidRDefault="00724342" w:rsidP="00D15DEA">
      <w:pPr>
        <w:numPr>
          <w:ilvl w:val="0"/>
          <w:numId w:val="70"/>
        </w:numPr>
        <w:tabs>
          <w:tab w:val="left" w:pos="567"/>
          <w:tab w:val="left" w:pos="851"/>
        </w:tabs>
        <w:ind w:left="0" w:firstLine="426"/>
        <w:contextualSpacing/>
        <w:jc w:val="both"/>
        <w:rPr>
          <w:rFonts w:eastAsia="Calibri"/>
          <w:color w:val="000000"/>
          <w:sz w:val="22"/>
          <w:szCs w:val="22"/>
          <w:lang w:eastAsia="en-US"/>
        </w:rPr>
      </w:pPr>
      <w:r w:rsidRPr="00724342">
        <w:rPr>
          <w:rFonts w:eastAsia="Calibri"/>
          <w:color w:val="000000"/>
          <w:sz w:val="22"/>
          <w:szCs w:val="22"/>
          <w:lang w:eastAsia="en-US"/>
        </w:rPr>
        <w:t>в пищевой промышленности (используются как сами бобы сои, так и продукты их переработки).</w:t>
      </w:r>
    </w:p>
    <w:p w:rsidR="00724342" w:rsidRPr="00724342" w:rsidRDefault="00724342" w:rsidP="00D15DEA">
      <w:pPr>
        <w:tabs>
          <w:tab w:val="left" w:pos="567"/>
          <w:tab w:val="left" w:pos="851"/>
        </w:tabs>
        <w:ind w:firstLine="426"/>
        <w:jc w:val="both"/>
        <w:rPr>
          <w:bCs/>
          <w:color w:val="000000"/>
          <w:sz w:val="22"/>
          <w:szCs w:val="22"/>
        </w:rPr>
      </w:pPr>
      <w:r w:rsidRPr="00724342">
        <w:rPr>
          <w:rFonts w:eastAsia="Calibri"/>
          <w:color w:val="000000"/>
          <w:sz w:val="22"/>
          <w:szCs w:val="22"/>
          <w:lang w:eastAsia="en-US"/>
        </w:rPr>
        <w:t>Стоит отметить, что в России объемы переработки сои в пр</w:t>
      </w:r>
      <w:r w:rsidRPr="00724342">
        <w:rPr>
          <w:rFonts w:eastAsia="Calibri"/>
          <w:color w:val="000000"/>
          <w:sz w:val="22"/>
          <w:szCs w:val="22"/>
          <w:lang w:eastAsia="en-US"/>
        </w:rPr>
        <w:t>о</w:t>
      </w:r>
      <w:r w:rsidRPr="00724342">
        <w:rPr>
          <w:rFonts w:eastAsia="Calibri"/>
          <w:color w:val="000000"/>
          <w:sz w:val="22"/>
          <w:szCs w:val="22"/>
          <w:lang w:eastAsia="en-US"/>
        </w:rPr>
        <w:t>дукты питания стремительно растут. Посевные площади, занима</w:t>
      </w:r>
      <w:r w:rsidRPr="00724342">
        <w:rPr>
          <w:rFonts w:eastAsia="Calibri"/>
          <w:color w:val="000000"/>
          <w:sz w:val="22"/>
          <w:szCs w:val="22"/>
          <w:lang w:eastAsia="en-US"/>
        </w:rPr>
        <w:t>е</w:t>
      </w:r>
      <w:r w:rsidRPr="00724342">
        <w:rPr>
          <w:rFonts w:eastAsia="Calibri"/>
          <w:color w:val="000000"/>
          <w:sz w:val="22"/>
          <w:szCs w:val="22"/>
          <w:lang w:eastAsia="en-US"/>
        </w:rPr>
        <w:t xml:space="preserve">мые этой культурой, с каждым годом увеличиваются. Выполненный </w:t>
      </w:r>
      <w:r w:rsidRPr="00724342">
        <w:rPr>
          <w:rFonts w:eastAsia="Calibri"/>
          <w:color w:val="000000"/>
          <w:sz w:val="22"/>
          <w:szCs w:val="22"/>
          <w:lang w:eastAsia="en-US"/>
        </w:rPr>
        <w:lastRenderedPageBreak/>
        <w:t xml:space="preserve">анализ показал, что </w:t>
      </w:r>
      <w:r w:rsidRPr="00724342">
        <w:rPr>
          <w:bCs/>
          <w:color w:val="000000"/>
          <w:sz w:val="22"/>
          <w:szCs w:val="22"/>
        </w:rPr>
        <w:t>российский рынок соевых бобов и продуктов их переработки характеризуется следующими аспектами.</w:t>
      </w:r>
    </w:p>
    <w:p w:rsidR="00724342" w:rsidRPr="00724342" w:rsidRDefault="00724342" w:rsidP="00D15DEA">
      <w:pPr>
        <w:tabs>
          <w:tab w:val="left" w:pos="567"/>
          <w:tab w:val="left" w:pos="851"/>
        </w:tabs>
        <w:ind w:firstLine="426"/>
        <w:jc w:val="both"/>
        <w:rPr>
          <w:rFonts w:eastAsia="Calibri"/>
          <w:color w:val="000000"/>
          <w:spacing w:val="-2"/>
          <w:sz w:val="22"/>
          <w:szCs w:val="22"/>
          <w:shd w:val="clear" w:color="auto" w:fill="FFFFFF"/>
          <w:lang w:eastAsia="en-US"/>
        </w:rPr>
      </w:pPr>
      <w:r w:rsidRPr="00724342">
        <w:rPr>
          <w:bCs/>
          <w:color w:val="000000"/>
          <w:spacing w:val="-2"/>
          <w:sz w:val="22"/>
          <w:szCs w:val="22"/>
        </w:rPr>
        <w:t>1. Значительное расширение посевных площадей</w:t>
      </w:r>
      <w:r w:rsidRPr="00724342">
        <w:rPr>
          <w:color w:val="000000"/>
          <w:spacing w:val="-2"/>
          <w:sz w:val="22"/>
          <w:szCs w:val="22"/>
        </w:rPr>
        <w:t>. В 2017 г. ра</w:t>
      </w:r>
      <w:r w:rsidRPr="00724342">
        <w:rPr>
          <w:color w:val="000000"/>
          <w:spacing w:val="-2"/>
          <w:sz w:val="22"/>
          <w:szCs w:val="22"/>
        </w:rPr>
        <w:t>з</w:t>
      </w:r>
      <w:r w:rsidRPr="00724342">
        <w:rPr>
          <w:color w:val="000000"/>
          <w:spacing w:val="-2"/>
          <w:sz w:val="22"/>
          <w:szCs w:val="22"/>
        </w:rPr>
        <w:t xml:space="preserve">мер площадей пашни под соей увеличился по отношению к 2016 г. на 16,9 % и достиг рекордных отметок в 2,6 млн га. За 5 лет рост этого показателя составил уже 75,8 %, за 10 лет – 235,2 %, за 15 лет – 447,3 % [3]. Важно отметить, что это влечет за собой </w:t>
      </w:r>
      <w:r w:rsidRPr="00724342">
        <w:rPr>
          <w:rFonts w:eastAsia="Calibri"/>
          <w:color w:val="000000"/>
          <w:spacing w:val="-2"/>
          <w:sz w:val="22"/>
          <w:szCs w:val="22"/>
          <w:shd w:val="clear" w:color="auto" w:fill="FFFFFF"/>
          <w:lang w:eastAsia="en-US"/>
        </w:rPr>
        <w:t>рост потребн</w:t>
      </w:r>
      <w:r w:rsidRPr="00724342">
        <w:rPr>
          <w:rFonts w:eastAsia="Calibri"/>
          <w:color w:val="000000"/>
          <w:spacing w:val="-2"/>
          <w:sz w:val="22"/>
          <w:szCs w:val="22"/>
          <w:shd w:val="clear" w:color="auto" w:fill="FFFFFF"/>
          <w:lang w:eastAsia="en-US"/>
        </w:rPr>
        <w:t>о</w:t>
      </w:r>
      <w:r w:rsidRPr="00724342">
        <w:rPr>
          <w:rFonts w:eastAsia="Calibri"/>
          <w:color w:val="000000"/>
          <w:spacing w:val="-2"/>
          <w:sz w:val="22"/>
          <w:szCs w:val="22"/>
          <w:shd w:val="clear" w:color="auto" w:fill="FFFFFF"/>
          <w:lang w:eastAsia="en-US"/>
        </w:rPr>
        <w:t>сти в семенном материале, которая в значительной степени удовл</w:t>
      </w:r>
      <w:r w:rsidRPr="00724342">
        <w:rPr>
          <w:rFonts w:eastAsia="Calibri"/>
          <w:color w:val="000000"/>
          <w:spacing w:val="-2"/>
          <w:sz w:val="22"/>
          <w:szCs w:val="22"/>
          <w:shd w:val="clear" w:color="auto" w:fill="FFFFFF"/>
          <w:lang w:eastAsia="en-US"/>
        </w:rPr>
        <w:t>е</w:t>
      </w:r>
      <w:r w:rsidRPr="00724342">
        <w:rPr>
          <w:rFonts w:eastAsia="Calibri"/>
          <w:color w:val="000000"/>
          <w:spacing w:val="-2"/>
          <w:sz w:val="22"/>
          <w:szCs w:val="22"/>
          <w:shd w:val="clear" w:color="auto" w:fill="FFFFFF"/>
          <w:lang w:eastAsia="en-US"/>
        </w:rPr>
        <w:t>творяется за счет импортных поставок [2]. В 2017 г. ввоз семенных соевых бобов сои в РФ находился на уровне 1,3 тыс. т. На росси</w:t>
      </w:r>
      <w:r w:rsidRPr="00724342">
        <w:rPr>
          <w:rFonts w:eastAsia="Calibri"/>
          <w:color w:val="000000"/>
          <w:spacing w:val="-2"/>
          <w:sz w:val="22"/>
          <w:szCs w:val="22"/>
          <w:shd w:val="clear" w:color="auto" w:fill="FFFFFF"/>
          <w:lang w:eastAsia="en-US"/>
        </w:rPr>
        <w:t>й</w:t>
      </w:r>
      <w:r w:rsidRPr="00724342">
        <w:rPr>
          <w:rFonts w:eastAsia="Calibri"/>
          <w:color w:val="000000"/>
          <w:spacing w:val="-2"/>
          <w:sz w:val="22"/>
          <w:szCs w:val="22"/>
          <w:shd w:val="clear" w:color="auto" w:fill="FFFFFF"/>
          <w:lang w:eastAsia="en-US"/>
        </w:rPr>
        <w:t>ском рынке в 2017 г. импортные семена представлены продукцией восьми крупных зарубежных фирм-изготовителей. Россия увелич</w:t>
      </w:r>
      <w:r w:rsidRPr="00724342">
        <w:rPr>
          <w:rFonts w:eastAsia="Calibri"/>
          <w:color w:val="000000"/>
          <w:spacing w:val="-2"/>
          <w:sz w:val="22"/>
          <w:szCs w:val="22"/>
          <w:shd w:val="clear" w:color="auto" w:fill="FFFFFF"/>
          <w:lang w:eastAsia="en-US"/>
        </w:rPr>
        <w:t>и</w:t>
      </w:r>
      <w:r w:rsidRPr="00724342">
        <w:rPr>
          <w:rFonts w:eastAsia="Calibri"/>
          <w:color w:val="000000"/>
          <w:spacing w:val="-2"/>
          <w:sz w:val="22"/>
          <w:szCs w:val="22"/>
          <w:shd w:val="clear" w:color="auto" w:fill="FFFFFF"/>
          <w:lang w:eastAsia="en-US"/>
        </w:rPr>
        <w:t>вает и свое присутствие на международных рынках бобов сои. О</w:t>
      </w:r>
      <w:r w:rsidRPr="00724342">
        <w:rPr>
          <w:rFonts w:eastAsia="Calibri"/>
          <w:color w:val="000000"/>
          <w:spacing w:val="-2"/>
          <w:sz w:val="22"/>
          <w:szCs w:val="22"/>
          <w:shd w:val="clear" w:color="auto" w:fill="FFFFFF"/>
          <w:lang w:eastAsia="en-US"/>
        </w:rPr>
        <w:t>с</w:t>
      </w:r>
      <w:r w:rsidRPr="00724342">
        <w:rPr>
          <w:rFonts w:eastAsia="Calibri"/>
          <w:color w:val="000000"/>
          <w:spacing w:val="-2"/>
          <w:sz w:val="22"/>
          <w:szCs w:val="22"/>
          <w:shd w:val="clear" w:color="auto" w:fill="FFFFFF"/>
          <w:lang w:eastAsia="en-US"/>
        </w:rPr>
        <w:t>новная страна-импортер российской сои – Китай. Объемы экспорта соевых бобов из России в последнее время стремительно растут [4].</w:t>
      </w:r>
    </w:p>
    <w:p w:rsidR="00724342" w:rsidRPr="00724342" w:rsidRDefault="00724342" w:rsidP="00D15DEA">
      <w:pPr>
        <w:shd w:val="clear" w:color="auto" w:fill="FFFFFF"/>
        <w:tabs>
          <w:tab w:val="left" w:pos="567"/>
          <w:tab w:val="left" w:pos="851"/>
        </w:tabs>
        <w:ind w:firstLine="426"/>
        <w:jc w:val="both"/>
        <w:rPr>
          <w:color w:val="000000"/>
          <w:sz w:val="22"/>
          <w:szCs w:val="22"/>
        </w:rPr>
      </w:pPr>
      <w:r w:rsidRPr="00724342">
        <w:rPr>
          <w:bCs/>
          <w:color w:val="000000"/>
          <w:sz w:val="22"/>
          <w:szCs w:val="22"/>
        </w:rPr>
        <w:t>2. Вместе с расширением площадей посевов увеличиваются и валовые сборы соевых бобов</w:t>
      </w:r>
      <w:r w:rsidRPr="00724342">
        <w:rPr>
          <w:color w:val="000000"/>
          <w:sz w:val="22"/>
          <w:szCs w:val="22"/>
        </w:rPr>
        <w:t>. Вместе с тем их увеличение сущ</w:t>
      </w:r>
      <w:r w:rsidRPr="00724342">
        <w:rPr>
          <w:color w:val="000000"/>
          <w:sz w:val="22"/>
          <w:szCs w:val="22"/>
        </w:rPr>
        <w:t>е</w:t>
      </w:r>
      <w:r w:rsidRPr="00724342">
        <w:rPr>
          <w:color w:val="000000"/>
          <w:sz w:val="22"/>
          <w:szCs w:val="22"/>
        </w:rPr>
        <w:t>ственно отстает от прироста площадей, что связано со снижением урожайности сои в текущем году. Тем не менее, урожай 2018 г. прогнозируется на рекордно высоких уровнях.</w:t>
      </w:r>
    </w:p>
    <w:p w:rsidR="00724342" w:rsidRPr="00724342" w:rsidRDefault="00724342" w:rsidP="00D15DEA">
      <w:pPr>
        <w:shd w:val="clear" w:color="auto" w:fill="FFFFFF"/>
        <w:tabs>
          <w:tab w:val="left" w:pos="567"/>
          <w:tab w:val="left" w:pos="851"/>
        </w:tabs>
        <w:ind w:firstLine="426"/>
        <w:jc w:val="both"/>
        <w:rPr>
          <w:color w:val="000000"/>
          <w:sz w:val="22"/>
          <w:szCs w:val="22"/>
        </w:rPr>
      </w:pPr>
      <w:r w:rsidRPr="00724342">
        <w:rPr>
          <w:bCs/>
          <w:color w:val="000000"/>
          <w:sz w:val="22"/>
          <w:szCs w:val="22"/>
        </w:rPr>
        <w:t>3. Кратно увеличиваются объемы производства соевого масла и соевого шрота</w:t>
      </w:r>
      <w:r w:rsidRPr="00724342">
        <w:rPr>
          <w:color w:val="000000"/>
          <w:sz w:val="22"/>
          <w:szCs w:val="22"/>
        </w:rPr>
        <w:t>. По итогам 2017 г. производство соевого масла в РФ достигло 860 тыс. т. При этом производство соевого шрота держи</w:t>
      </w:r>
      <w:r w:rsidRPr="00724342">
        <w:rPr>
          <w:color w:val="000000"/>
          <w:sz w:val="22"/>
          <w:szCs w:val="22"/>
        </w:rPr>
        <w:t>т</w:t>
      </w:r>
      <w:r w:rsidRPr="00724342">
        <w:rPr>
          <w:color w:val="000000"/>
          <w:sz w:val="22"/>
          <w:szCs w:val="22"/>
        </w:rPr>
        <w:t>ся на уровне 3,8 млн т. Отметим, что рост объемов производства обеспечивается как за счет переработки отечественных, так и и</w:t>
      </w:r>
      <w:r w:rsidRPr="00724342">
        <w:rPr>
          <w:color w:val="000000"/>
          <w:sz w:val="22"/>
          <w:szCs w:val="22"/>
        </w:rPr>
        <w:t>м</w:t>
      </w:r>
      <w:r w:rsidRPr="00724342">
        <w:rPr>
          <w:color w:val="000000"/>
          <w:sz w:val="22"/>
          <w:szCs w:val="22"/>
        </w:rPr>
        <w:t>портируемых соевых бобов.</w:t>
      </w:r>
    </w:p>
    <w:p w:rsidR="00724342" w:rsidRPr="00724342" w:rsidRDefault="00724342" w:rsidP="00D15DEA">
      <w:pPr>
        <w:shd w:val="clear" w:color="auto" w:fill="FFFFFF"/>
        <w:tabs>
          <w:tab w:val="left" w:pos="567"/>
          <w:tab w:val="left" w:pos="851"/>
        </w:tabs>
        <w:ind w:firstLine="426"/>
        <w:jc w:val="both"/>
        <w:rPr>
          <w:color w:val="000000"/>
          <w:sz w:val="22"/>
          <w:szCs w:val="22"/>
        </w:rPr>
      </w:pPr>
      <w:r w:rsidRPr="00724342">
        <w:rPr>
          <w:color w:val="000000"/>
          <w:sz w:val="22"/>
          <w:szCs w:val="22"/>
        </w:rPr>
        <w:t>4. Высокие объемы импорта соевых бобов. В 2017 г. ввоз со</w:t>
      </w:r>
      <w:r w:rsidRPr="00724342">
        <w:rPr>
          <w:color w:val="000000"/>
          <w:sz w:val="22"/>
          <w:szCs w:val="22"/>
        </w:rPr>
        <w:t>е</w:t>
      </w:r>
      <w:r w:rsidRPr="00724342">
        <w:rPr>
          <w:color w:val="000000"/>
          <w:sz w:val="22"/>
          <w:szCs w:val="22"/>
        </w:rPr>
        <w:t>вых бобов в РФ достиг 2,3 млн т. В 2017 г. объемы импорта имели некоторую тенденцию к снижению (на 10,1 % по отношению к ан</w:t>
      </w:r>
      <w:r w:rsidRPr="00724342">
        <w:rPr>
          <w:color w:val="000000"/>
          <w:sz w:val="22"/>
          <w:szCs w:val="22"/>
        </w:rPr>
        <w:t>а</w:t>
      </w:r>
      <w:r w:rsidRPr="00724342">
        <w:rPr>
          <w:color w:val="000000"/>
          <w:sz w:val="22"/>
          <w:szCs w:val="22"/>
        </w:rPr>
        <w:t>логичному периоду 2016 г.). Импорт соевых бобов осуществляется в основном в Калининградскую область, где расположены основные мощности по переработке сои в РФ.</w:t>
      </w:r>
    </w:p>
    <w:p w:rsidR="00724342" w:rsidRPr="00724342" w:rsidRDefault="00724342" w:rsidP="00D15DEA">
      <w:pPr>
        <w:shd w:val="clear" w:color="auto" w:fill="FFFFFF"/>
        <w:tabs>
          <w:tab w:val="left" w:pos="567"/>
          <w:tab w:val="left" w:pos="851"/>
        </w:tabs>
        <w:ind w:firstLine="426"/>
        <w:jc w:val="both"/>
        <w:rPr>
          <w:color w:val="000000"/>
          <w:sz w:val="22"/>
          <w:szCs w:val="22"/>
        </w:rPr>
      </w:pPr>
      <w:r w:rsidRPr="00724342">
        <w:rPr>
          <w:color w:val="000000"/>
          <w:sz w:val="22"/>
          <w:szCs w:val="22"/>
        </w:rPr>
        <w:t>5. Рекордные объемы экспорта соевых бобов. В 2017 г. экспорт соевых бобов из РФ достиг 430,5 тыс. т., что на 11,7 % больше, чем в 2016 г. и в 4 раза превышает объемы 2015 года [5].</w:t>
      </w:r>
    </w:p>
    <w:p w:rsidR="00724342" w:rsidRPr="00724342" w:rsidRDefault="00724342" w:rsidP="00D15DEA">
      <w:pPr>
        <w:shd w:val="clear" w:color="auto" w:fill="FFFFFF"/>
        <w:tabs>
          <w:tab w:val="left" w:pos="567"/>
          <w:tab w:val="left" w:pos="851"/>
        </w:tabs>
        <w:ind w:firstLine="426"/>
        <w:jc w:val="both"/>
        <w:rPr>
          <w:color w:val="000000"/>
          <w:sz w:val="22"/>
          <w:szCs w:val="22"/>
        </w:rPr>
      </w:pPr>
      <w:r w:rsidRPr="00724342">
        <w:rPr>
          <w:rFonts w:eastAsia="Calibri"/>
          <w:color w:val="000000"/>
          <w:sz w:val="22"/>
          <w:szCs w:val="22"/>
          <w:lang w:eastAsia="en-US"/>
        </w:rPr>
        <w:t>Проведенное исследование показало, что объемы производства и переработки сои в России растут и с каждым годом также увел</w:t>
      </w:r>
      <w:r w:rsidRPr="00724342">
        <w:rPr>
          <w:rFonts w:eastAsia="Calibri"/>
          <w:color w:val="000000"/>
          <w:sz w:val="22"/>
          <w:szCs w:val="22"/>
          <w:lang w:eastAsia="en-US"/>
        </w:rPr>
        <w:t>и</w:t>
      </w:r>
      <w:r w:rsidRPr="00724342">
        <w:rPr>
          <w:rFonts w:eastAsia="Calibri"/>
          <w:color w:val="000000"/>
          <w:sz w:val="22"/>
          <w:szCs w:val="22"/>
          <w:lang w:eastAsia="en-US"/>
        </w:rPr>
        <w:lastRenderedPageBreak/>
        <w:t>чиваются показатели экспорта этого вида сельскохозяйственной продукции.</w:t>
      </w:r>
    </w:p>
    <w:p w:rsidR="00724342" w:rsidRPr="00724342" w:rsidRDefault="00724342" w:rsidP="00D15DEA">
      <w:pPr>
        <w:ind w:firstLine="426"/>
        <w:jc w:val="center"/>
        <w:rPr>
          <w:rFonts w:eastAsia="Calibri"/>
          <w:color w:val="000000"/>
          <w:sz w:val="22"/>
          <w:szCs w:val="22"/>
          <w:lang w:eastAsia="en-US"/>
        </w:rPr>
      </w:pPr>
    </w:p>
    <w:p w:rsidR="00724342" w:rsidRPr="00724342" w:rsidRDefault="00724342" w:rsidP="00D15DEA">
      <w:pPr>
        <w:ind w:firstLine="426"/>
        <w:jc w:val="center"/>
        <w:rPr>
          <w:rFonts w:eastAsia="Calibri"/>
          <w:color w:val="000000"/>
          <w:sz w:val="22"/>
          <w:szCs w:val="22"/>
          <w:lang w:eastAsia="en-US"/>
        </w:rPr>
      </w:pPr>
      <w:r w:rsidRPr="00724342">
        <w:rPr>
          <w:rFonts w:eastAsia="Calibri"/>
          <w:color w:val="000000"/>
          <w:sz w:val="22"/>
          <w:szCs w:val="22"/>
          <w:lang w:eastAsia="en-US"/>
        </w:rPr>
        <w:t>Список литературы</w:t>
      </w:r>
    </w:p>
    <w:p w:rsidR="00724342" w:rsidRPr="00724342" w:rsidRDefault="00724342" w:rsidP="00D15DEA">
      <w:pPr>
        <w:tabs>
          <w:tab w:val="left" w:pos="709"/>
        </w:tabs>
        <w:ind w:firstLine="426"/>
        <w:jc w:val="both"/>
        <w:rPr>
          <w:rFonts w:eastAsia="Calibri"/>
          <w:color w:val="000000"/>
          <w:sz w:val="22"/>
          <w:szCs w:val="22"/>
          <w:lang w:eastAsia="en-US"/>
        </w:rPr>
      </w:pPr>
      <w:r w:rsidRPr="00724342">
        <w:rPr>
          <w:rFonts w:eastAsia="Calibri"/>
          <w:color w:val="000000"/>
          <w:sz w:val="22"/>
          <w:szCs w:val="22"/>
          <w:lang w:eastAsia="en-US"/>
        </w:rPr>
        <w:t>1. Отраслевая программа «Развитие производства и перерабо</w:t>
      </w:r>
      <w:r w:rsidRPr="00724342">
        <w:rPr>
          <w:rFonts w:eastAsia="Calibri"/>
          <w:color w:val="000000"/>
          <w:sz w:val="22"/>
          <w:szCs w:val="22"/>
          <w:lang w:eastAsia="en-US"/>
        </w:rPr>
        <w:t>т</w:t>
      </w:r>
      <w:r w:rsidRPr="00724342">
        <w:rPr>
          <w:rFonts w:eastAsia="Calibri"/>
          <w:color w:val="000000"/>
          <w:sz w:val="22"/>
          <w:szCs w:val="22"/>
          <w:lang w:eastAsia="en-US"/>
        </w:rPr>
        <w:t>ки сои в Российской Федерации на 2015-2020 годы. [Электронный ресурс]. – Режим доступа: http://www.ros-soya.su/public.aspx?3BB4E5AC (дата обращения: 26.03.2018).</w:t>
      </w:r>
    </w:p>
    <w:p w:rsidR="00724342" w:rsidRPr="00724342" w:rsidRDefault="00724342" w:rsidP="00D15DEA">
      <w:pPr>
        <w:tabs>
          <w:tab w:val="left" w:pos="709"/>
        </w:tabs>
        <w:ind w:firstLine="426"/>
        <w:jc w:val="both"/>
        <w:rPr>
          <w:rFonts w:eastAsia="Calibri"/>
          <w:color w:val="000000"/>
          <w:sz w:val="22"/>
          <w:szCs w:val="22"/>
          <w:lang w:eastAsia="en-US"/>
        </w:rPr>
      </w:pPr>
      <w:r w:rsidRPr="00724342">
        <w:rPr>
          <w:rFonts w:eastAsia="Calibri"/>
          <w:sz w:val="22"/>
          <w:szCs w:val="22"/>
          <w:lang w:eastAsia="en-US"/>
        </w:rPr>
        <w:t>2. Сайфетдинов А. Р. Современное состояние производства с</w:t>
      </w:r>
      <w:r w:rsidRPr="00724342">
        <w:rPr>
          <w:rFonts w:eastAsia="Calibri"/>
          <w:sz w:val="22"/>
          <w:szCs w:val="22"/>
          <w:lang w:eastAsia="en-US"/>
        </w:rPr>
        <w:t>е</w:t>
      </w:r>
      <w:r w:rsidRPr="00724342">
        <w:rPr>
          <w:rFonts w:eastAsia="Calibri"/>
          <w:sz w:val="22"/>
          <w:szCs w:val="22"/>
          <w:lang w:eastAsia="en-US"/>
        </w:rPr>
        <w:t>мян сортов и гибридов сельскохозяйственных культур в России / А. Р. Сайфетдинов, В. А. Калугина // Сб. ст. Междунар. науч.-практ. конф. «Наука в современном обществе: закономерности и тенде</w:t>
      </w:r>
      <w:r w:rsidRPr="00724342">
        <w:rPr>
          <w:rFonts w:eastAsia="Calibri"/>
          <w:sz w:val="22"/>
          <w:szCs w:val="22"/>
          <w:lang w:eastAsia="en-US"/>
        </w:rPr>
        <w:t>н</w:t>
      </w:r>
      <w:r w:rsidRPr="00724342">
        <w:rPr>
          <w:rFonts w:eastAsia="Calibri"/>
          <w:sz w:val="22"/>
          <w:szCs w:val="22"/>
          <w:lang w:eastAsia="en-US"/>
        </w:rPr>
        <w:t>ции развития», Оренбург, НИЦ АЭТЕРНА, 10 ноября 2017 г. – с. 7–13.</w:t>
      </w:r>
    </w:p>
    <w:p w:rsidR="00724342" w:rsidRPr="00724342" w:rsidRDefault="00724342" w:rsidP="00D15DEA">
      <w:pPr>
        <w:tabs>
          <w:tab w:val="left" w:pos="709"/>
        </w:tabs>
        <w:ind w:firstLine="426"/>
        <w:jc w:val="both"/>
        <w:rPr>
          <w:rFonts w:eastAsia="Calibri"/>
          <w:spacing w:val="-4"/>
          <w:sz w:val="22"/>
          <w:szCs w:val="22"/>
          <w:lang w:eastAsia="en-US"/>
        </w:rPr>
      </w:pPr>
      <w:r w:rsidRPr="00724342">
        <w:rPr>
          <w:rFonts w:eastAsia="Calibri"/>
          <w:color w:val="000000"/>
          <w:spacing w:val="-4"/>
          <w:sz w:val="22"/>
          <w:szCs w:val="22"/>
          <w:lang w:eastAsia="en-US"/>
        </w:rPr>
        <w:t xml:space="preserve">3. Сайфетдинова, Н. Р. Методические и практические аспекты оценки эффективности аграрного производства / Н. Р. Сайфетдинова, К. Э. Тюпаков, А. Р. Сайфетдинов // </w:t>
      </w:r>
      <w:r w:rsidRPr="00724342">
        <w:rPr>
          <w:rFonts w:eastAsia="Calibri"/>
          <w:spacing w:val="-4"/>
          <w:sz w:val="22"/>
          <w:szCs w:val="22"/>
          <w:lang w:eastAsia="en-US"/>
        </w:rPr>
        <w:t>Сб. ст. Междунар. науч.-практ. конф. «Проблемы достижения экономической эффективности и соц</w:t>
      </w:r>
      <w:r w:rsidRPr="00724342">
        <w:rPr>
          <w:rFonts w:eastAsia="Calibri"/>
          <w:spacing w:val="-4"/>
          <w:sz w:val="22"/>
          <w:szCs w:val="22"/>
          <w:lang w:eastAsia="en-US"/>
        </w:rPr>
        <w:t>и</w:t>
      </w:r>
      <w:r w:rsidRPr="00724342">
        <w:rPr>
          <w:rFonts w:eastAsia="Calibri"/>
          <w:spacing w:val="-4"/>
          <w:sz w:val="22"/>
          <w:szCs w:val="22"/>
          <w:lang w:eastAsia="en-US"/>
        </w:rPr>
        <w:t>альной сбалансированности: Императивы, правовые и хозяйственные механизмы», Краснодар – с. 170–176.</w:t>
      </w:r>
    </w:p>
    <w:p w:rsidR="00724342" w:rsidRPr="00724342" w:rsidRDefault="00724342" w:rsidP="00D15DEA">
      <w:pPr>
        <w:tabs>
          <w:tab w:val="left" w:pos="709"/>
        </w:tabs>
        <w:ind w:firstLine="426"/>
        <w:jc w:val="both"/>
        <w:rPr>
          <w:rFonts w:eastAsia="Calibri"/>
          <w:color w:val="000000"/>
          <w:sz w:val="22"/>
          <w:szCs w:val="22"/>
          <w:lang w:eastAsia="en-US"/>
        </w:rPr>
      </w:pPr>
      <w:r w:rsidRPr="00724342">
        <w:rPr>
          <w:rFonts w:eastAsia="Calibri"/>
          <w:color w:val="000000"/>
          <w:sz w:val="22"/>
          <w:szCs w:val="22"/>
          <w:lang w:eastAsia="en-US"/>
        </w:rPr>
        <w:t>4. Федеральная служба государственной статистики [Эле</w:t>
      </w:r>
      <w:r w:rsidRPr="00724342">
        <w:rPr>
          <w:rFonts w:eastAsia="Calibri"/>
          <w:color w:val="000000"/>
          <w:sz w:val="22"/>
          <w:szCs w:val="22"/>
          <w:lang w:eastAsia="en-US"/>
        </w:rPr>
        <w:t>к</w:t>
      </w:r>
      <w:r w:rsidRPr="00724342">
        <w:rPr>
          <w:rFonts w:eastAsia="Calibri"/>
          <w:color w:val="000000"/>
          <w:sz w:val="22"/>
          <w:szCs w:val="22"/>
          <w:lang w:eastAsia="en-US"/>
        </w:rPr>
        <w:t>тронный ресурс]. – Режим доступа: http://www.gks.ru (дата обращ</w:t>
      </w:r>
      <w:r w:rsidRPr="00724342">
        <w:rPr>
          <w:rFonts w:eastAsia="Calibri"/>
          <w:color w:val="000000"/>
          <w:sz w:val="22"/>
          <w:szCs w:val="22"/>
          <w:lang w:eastAsia="en-US"/>
        </w:rPr>
        <w:t>е</w:t>
      </w:r>
      <w:r w:rsidRPr="00724342">
        <w:rPr>
          <w:rFonts w:eastAsia="Calibri"/>
          <w:color w:val="000000"/>
          <w:sz w:val="22"/>
          <w:szCs w:val="22"/>
          <w:lang w:eastAsia="en-US"/>
        </w:rPr>
        <w:t>ния: 26.03.2018).</w:t>
      </w:r>
    </w:p>
    <w:p w:rsidR="00724342" w:rsidRPr="00724342" w:rsidRDefault="00724342" w:rsidP="00D15DEA">
      <w:pPr>
        <w:tabs>
          <w:tab w:val="left" w:pos="709"/>
        </w:tabs>
        <w:ind w:firstLine="426"/>
        <w:jc w:val="both"/>
        <w:rPr>
          <w:rFonts w:eastAsia="Calibri"/>
          <w:color w:val="000000"/>
          <w:spacing w:val="-4"/>
          <w:sz w:val="22"/>
          <w:szCs w:val="22"/>
          <w:lang w:eastAsia="en-US"/>
        </w:rPr>
      </w:pPr>
      <w:r w:rsidRPr="00724342">
        <w:rPr>
          <w:rFonts w:eastAsia="Calibri"/>
          <w:color w:val="000000"/>
          <w:spacing w:val="-4"/>
          <w:sz w:val="22"/>
          <w:szCs w:val="22"/>
          <w:lang w:eastAsia="en-US"/>
        </w:rPr>
        <w:t>5. Федеральная таможенная служба [Электронный ресурс]. – Р</w:t>
      </w:r>
      <w:r w:rsidRPr="00724342">
        <w:rPr>
          <w:rFonts w:eastAsia="Calibri"/>
          <w:color w:val="000000"/>
          <w:spacing w:val="-4"/>
          <w:sz w:val="22"/>
          <w:szCs w:val="22"/>
          <w:lang w:eastAsia="en-US"/>
        </w:rPr>
        <w:t>е</w:t>
      </w:r>
      <w:r w:rsidRPr="00724342">
        <w:rPr>
          <w:rFonts w:eastAsia="Calibri"/>
          <w:color w:val="000000"/>
          <w:spacing w:val="-4"/>
          <w:sz w:val="22"/>
          <w:szCs w:val="22"/>
          <w:lang w:eastAsia="en-US"/>
        </w:rPr>
        <w:t xml:space="preserve">жим доступа: </w:t>
      </w:r>
      <w:hyperlink r:id="rId354" w:history="1">
        <w:r w:rsidRPr="00724342">
          <w:rPr>
            <w:rFonts w:eastAsia="Calibri"/>
            <w:color w:val="000000"/>
            <w:spacing w:val="-4"/>
            <w:sz w:val="22"/>
            <w:szCs w:val="22"/>
            <w:lang w:eastAsia="en-US"/>
          </w:rPr>
          <w:t>http://www.customs.ru/</w:t>
        </w:r>
      </w:hyperlink>
      <w:r w:rsidRPr="00724342">
        <w:rPr>
          <w:rFonts w:eastAsia="Calibri"/>
          <w:color w:val="000000"/>
          <w:spacing w:val="-4"/>
          <w:sz w:val="22"/>
          <w:szCs w:val="22"/>
          <w:lang w:eastAsia="en-US"/>
        </w:rPr>
        <w:t xml:space="preserve"> (дата обращения: 26.03.2018).</w:t>
      </w:r>
    </w:p>
    <w:p w:rsidR="00724342" w:rsidRPr="00724342" w:rsidRDefault="00724342" w:rsidP="00724342">
      <w:pPr>
        <w:contextualSpacing/>
        <w:jc w:val="both"/>
        <w:rPr>
          <w:rFonts w:eastAsiaTheme="minorHAnsi"/>
          <w:sz w:val="22"/>
          <w:szCs w:val="22"/>
          <w:lang w:eastAsia="en-US"/>
        </w:rPr>
      </w:pPr>
    </w:p>
    <w:p w:rsidR="00724342" w:rsidRPr="00724342" w:rsidRDefault="00CB06AE" w:rsidP="00CB06AE">
      <w:pPr>
        <w:rPr>
          <w:rFonts w:eastAsiaTheme="minorHAnsi"/>
          <w:sz w:val="22"/>
          <w:szCs w:val="22"/>
          <w:lang w:eastAsia="en-US"/>
        </w:rPr>
      </w:pPr>
      <w:r>
        <w:rPr>
          <w:rFonts w:eastAsiaTheme="minorHAnsi"/>
          <w:sz w:val="22"/>
          <w:szCs w:val="22"/>
          <w:lang w:eastAsia="en-US"/>
        </w:rPr>
        <w:br w:type="page"/>
      </w:r>
    </w:p>
    <w:p w:rsidR="00724342" w:rsidRPr="00724342" w:rsidRDefault="00724342" w:rsidP="00724342">
      <w:pPr>
        <w:jc w:val="both"/>
        <w:rPr>
          <w:rFonts w:eastAsiaTheme="minorHAnsi"/>
          <w:sz w:val="22"/>
          <w:szCs w:val="22"/>
          <w:lang w:eastAsia="en-US"/>
        </w:rPr>
      </w:pPr>
      <w:r w:rsidRPr="00724342">
        <w:rPr>
          <w:rFonts w:eastAsiaTheme="minorHAnsi"/>
          <w:sz w:val="22"/>
          <w:szCs w:val="22"/>
          <w:lang w:eastAsia="en-US"/>
        </w:rPr>
        <w:lastRenderedPageBreak/>
        <w:t>УДК 330.322:005.585</w:t>
      </w:r>
    </w:p>
    <w:p w:rsidR="00724342" w:rsidRPr="00724342" w:rsidRDefault="00724342" w:rsidP="00724342">
      <w:pPr>
        <w:jc w:val="both"/>
        <w:rPr>
          <w:rFonts w:eastAsiaTheme="minorHAnsi"/>
          <w:sz w:val="22"/>
          <w:szCs w:val="22"/>
          <w:lang w:eastAsia="en-US"/>
        </w:rPr>
      </w:pPr>
    </w:p>
    <w:p w:rsidR="00724342" w:rsidRPr="00724342" w:rsidRDefault="00724342" w:rsidP="00724342">
      <w:pPr>
        <w:jc w:val="center"/>
        <w:rPr>
          <w:rFonts w:eastAsiaTheme="minorHAnsi"/>
          <w:b/>
          <w:sz w:val="24"/>
          <w:szCs w:val="24"/>
          <w:lang w:eastAsia="en-US"/>
        </w:rPr>
      </w:pPr>
      <w:r w:rsidRPr="00724342">
        <w:rPr>
          <w:rFonts w:eastAsiaTheme="minorHAnsi"/>
          <w:b/>
          <w:sz w:val="24"/>
          <w:szCs w:val="24"/>
          <w:lang w:eastAsia="en-US"/>
        </w:rPr>
        <w:t xml:space="preserve">Оценка инвестиционных проектов в процессе </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eastAsia="en-US"/>
        </w:rPr>
        <w:t>диверсификации</w:t>
      </w:r>
      <w:r w:rsidRPr="00724342">
        <w:rPr>
          <w:rFonts w:eastAsiaTheme="minorHAnsi"/>
          <w:b/>
          <w:sz w:val="24"/>
          <w:szCs w:val="24"/>
          <w:lang w:val="en-US" w:eastAsia="en-US"/>
        </w:rPr>
        <w:t xml:space="preserve"> </w:t>
      </w:r>
      <w:r w:rsidRPr="00724342">
        <w:rPr>
          <w:rFonts w:eastAsiaTheme="minorHAnsi"/>
          <w:b/>
          <w:sz w:val="24"/>
          <w:szCs w:val="24"/>
          <w:lang w:eastAsia="en-US"/>
        </w:rPr>
        <w:t>производства</w:t>
      </w:r>
    </w:p>
    <w:p w:rsidR="00724342" w:rsidRPr="00724342" w:rsidRDefault="00724342" w:rsidP="00724342">
      <w:pPr>
        <w:jc w:val="center"/>
        <w:rPr>
          <w:rFonts w:eastAsiaTheme="minorHAnsi"/>
          <w:b/>
          <w:sz w:val="24"/>
          <w:szCs w:val="24"/>
          <w:lang w:val="en-US" w:eastAsia="en-US"/>
        </w:rPr>
      </w:pPr>
      <w:r w:rsidRPr="00724342">
        <w:rPr>
          <w:rFonts w:eastAsiaTheme="minorHAnsi"/>
          <w:b/>
          <w:sz w:val="24"/>
          <w:szCs w:val="24"/>
          <w:lang w:val="en-US" w:eastAsia="en-US"/>
        </w:rPr>
        <w:t xml:space="preserve">Evaluation of investment projects in the process of </w:t>
      </w:r>
    </w:p>
    <w:p w:rsidR="00724342" w:rsidRPr="008D33CB" w:rsidRDefault="00724342" w:rsidP="00724342">
      <w:pPr>
        <w:jc w:val="center"/>
        <w:rPr>
          <w:rFonts w:eastAsiaTheme="minorHAnsi"/>
          <w:b/>
          <w:sz w:val="24"/>
          <w:szCs w:val="24"/>
          <w:lang w:val="en-US" w:eastAsia="en-US"/>
        </w:rPr>
      </w:pPr>
      <w:proofErr w:type="gramStart"/>
      <w:r w:rsidRPr="00724342">
        <w:rPr>
          <w:rFonts w:eastAsiaTheme="minorHAnsi"/>
          <w:b/>
          <w:sz w:val="24"/>
          <w:szCs w:val="24"/>
          <w:lang w:val="en-US" w:eastAsia="en-US"/>
        </w:rPr>
        <w:t>diversification</w:t>
      </w:r>
      <w:proofErr w:type="gramEnd"/>
      <w:r w:rsidRPr="00724342">
        <w:rPr>
          <w:rFonts w:eastAsiaTheme="minorHAnsi"/>
          <w:b/>
          <w:sz w:val="24"/>
          <w:szCs w:val="24"/>
          <w:lang w:val="en-US" w:eastAsia="en-US"/>
        </w:rPr>
        <w:t xml:space="preserve"> of production</w:t>
      </w:r>
    </w:p>
    <w:p w:rsidR="00CB06AE" w:rsidRPr="008D33CB" w:rsidRDefault="00CB06AE" w:rsidP="00724342">
      <w:pPr>
        <w:jc w:val="center"/>
        <w:rPr>
          <w:rFonts w:eastAsiaTheme="minorHAnsi"/>
          <w:sz w:val="22"/>
          <w:szCs w:val="22"/>
          <w:lang w:val="en-US" w:eastAsia="en-US"/>
        </w:rPr>
      </w:pPr>
    </w:p>
    <w:p w:rsidR="00724342" w:rsidRPr="00724342" w:rsidRDefault="00724342" w:rsidP="00724342">
      <w:pPr>
        <w:widowControl w:val="0"/>
        <w:tabs>
          <w:tab w:val="left" w:pos="8223"/>
        </w:tabs>
        <w:jc w:val="right"/>
        <w:rPr>
          <w:rFonts w:eastAsia="Courier New"/>
          <w:color w:val="000000"/>
          <w:sz w:val="22"/>
          <w:szCs w:val="22"/>
          <w:lang w:val="en-US" w:eastAsia="en-US"/>
        </w:rPr>
      </w:pPr>
      <w:r w:rsidRPr="00724342">
        <w:rPr>
          <w:rFonts w:eastAsia="Courier New"/>
          <w:color w:val="000000"/>
          <w:sz w:val="22"/>
          <w:szCs w:val="22"/>
          <w:lang w:eastAsia="en-US"/>
        </w:rPr>
        <w:t>Юрова</w:t>
      </w:r>
      <w:r w:rsidRPr="00724342">
        <w:rPr>
          <w:rFonts w:eastAsia="Courier New"/>
          <w:color w:val="000000"/>
          <w:sz w:val="22"/>
          <w:szCs w:val="22"/>
          <w:lang w:val="en-US" w:eastAsia="en-US"/>
        </w:rPr>
        <w:t xml:space="preserve"> </w:t>
      </w:r>
      <w:r w:rsidRPr="00724342">
        <w:rPr>
          <w:rFonts w:eastAsia="Courier New"/>
          <w:color w:val="000000"/>
          <w:sz w:val="22"/>
          <w:szCs w:val="22"/>
          <w:lang w:eastAsia="en-US"/>
        </w:rPr>
        <w:t>А</w:t>
      </w:r>
      <w:r w:rsidRPr="00724342">
        <w:rPr>
          <w:rFonts w:eastAsia="Courier New"/>
          <w:color w:val="000000"/>
          <w:sz w:val="22"/>
          <w:szCs w:val="22"/>
          <w:lang w:val="en-US" w:eastAsia="en-US"/>
        </w:rPr>
        <w:t>. </w:t>
      </w:r>
      <w:r w:rsidRPr="00724342">
        <w:rPr>
          <w:rFonts w:eastAsia="Courier New"/>
          <w:color w:val="000000"/>
          <w:sz w:val="22"/>
          <w:szCs w:val="22"/>
          <w:lang w:eastAsia="en-US"/>
        </w:rPr>
        <w:t>Д</w:t>
      </w:r>
      <w:r w:rsidRPr="00724342">
        <w:rPr>
          <w:rFonts w:eastAsia="Courier New"/>
          <w:color w:val="000000"/>
          <w:sz w:val="22"/>
          <w:szCs w:val="22"/>
          <w:lang w:val="en-US" w:eastAsia="en-US"/>
        </w:rPr>
        <w:t>.,</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студентка 4-го курса экономического факультета</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Соколова</w:t>
      </w:r>
      <w:r w:rsidRPr="00724342">
        <w:t xml:space="preserve"> </w:t>
      </w:r>
      <w:r w:rsidRPr="00724342">
        <w:rPr>
          <w:rFonts w:eastAsia="Courier New"/>
          <w:color w:val="000000"/>
          <w:sz w:val="22"/>
          <w:szCs w:val="22"/>
          <w:lang w:eastAsia="en-US"/>
        </w:rPr>
        <w:t>А. П.,</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профессор кафедры организации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 производства и инновационной деятельности</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 xml:space="preserve">Кубанский государственный аграрный </w:t>
      </w:r>
    </w:p>
    <w:p w:rsidR="00724342" w:rsidRPr="00724342" w:rsidRDefault="00724342" w:rsidP="00724342">
      <w:pPr>
        <w:widowControl w:val="0"/>
        <w:tabs>
          <w:tab w:val="left" w:pos="8223"/>
        </w:tabs>
        <w:jc w:val="right"/>
        <w:rPr>
          <w:rFonts w:eastAsia="Courier New"/>
          <w:color w:val="000000"/>
          <w:sz w:val="22"/>
          <w:szCs w:val="22"/>
          <w:lang w:eastAsia="en-US"/>
        </w:rPr>
      </w:pPr>
      <w:r w:rsidRPr="00724342">
        <w:rPr>
          <w:rFonts w:eastAsia="Courier New"/>
          <w:color w:val="000000"/>
          <w:sz w:val="22"/>
          <w:szCs w:val="22"/>
          <w:lang w:eastAsia="en-US"/>
        </w:rPr>
        <w:t>университет имени И. Т. Трубилина</w:t>
      </w:r>
    </w:p>
    <w:p w:rsidR="00724342" w:rsidRPr="00724342" w:rsidRDefault="00724342" w:rsidP="00724342">
      <w:pPr>
        <w:jc w:val="both"/>
        <w:rPr>
          <w:rFonts w:eastAsiaTheme="minorHAnsi"/>
          <w:sz w:val="22"/>
          <w:szCs w:val="22"/>
          <w:lang w:eastAsia="en-US"/>
        </w:rPr>
      </w:pPr>
    </w:p>
    <w:p w:rsidR="00724342" w:rsidRPr="00724342" w:rsidRDefault="00724342" w:rsidP="00D15DEA">
      <w:pPr>
        <w:widowControl w:val="0"/>
        <w:tabs>
          <w:tab w:val="left" w:pos="8223"/>
        </w:tabs>
        <w:ind w:firstLine="426"/>
        <w:jc w:val="both"/>
        <w:rPr>
          <w:rFonts w:eastAsia="Courier New"/>
          <w:sz w:val="22"/>
          <w:szCs w:val="22"/>
          <w:lang w:eastAsia="en-US"/>
        </w:rPr>
      </w:pPr>
      <w:r w:rsidRPr="00724342">
        <w:rPr>
          <w:rFonts w:eastAsia="Courier New"/>
          <w:sz w:val="22"/>
          <w:szCs w:val="22"/>
          <w:lang w:eastAsia="en-US"/>
        </w:rPr>
        <w:t>АННОТАЦИЯ: Определена необходимость осуществления д</w:t>
      </w:r>
      <w:r w:rsidRPr="00724342">
        <w:rPr>
          <w:rFonts w:eastAsia="Courier New"/>
          <w:sz w:val="22"/>
          <w:szCs w:val="22"/>
          <w:lang w:eastAsia="en-US"/>
        </w:rPr>
        <w:t>и</w:t>
      </w:r>
      <w:r w:rsidRPr="00724342">
        <w:rPr>
          <w:rFonts w:eastAsia="Courier New"/>
          <w:sz w:val="22"/>
          <w:szCs w:val="22"/>
          <w:lang w:eastAsia="en-US"/>
        </w:rPr>
        <w:t>версификации производства в процессе инновационного развития предприятий, рассмотрен подход к оценке инвестиционных прое</w:t>
      </w:r>
      <w:r w:rsidRPr="00724342">
        <w:rPr>
          <w:rFonts w:eastAsia="Courier New"/>
          <w:sz w:val="22"/>
          <w:szCs w:val="22"/>
          <w:lang w:eastAsia="en-US"/>
        </w:rPr>
        <w:t>к</w:t>
      </w:r>
      <w:r w:rsidRPr="00724342">
        <w:rPr>
          <w:rFonts w:eastAsia="Courier New"/>
          <w:sz w:val="22"/>
          <w:szCs w:val="22"/>
          <w:lang w:eastAsia="en-US"/>
        </w:rPr>
        <w:t>тов.</w:t>
      </w:r>
    </w:p>
    <w:p w:rsidR="00724342" w:rsidRPr="00724342" w:rsidRDefault="00724342" w:rsidP="00D15DEA">
      <w:pPr>
        <w:widowControl w:val="0"/>
        <w:tabs>
          <w:tab w:val="left" w:pos="8223"/>
        </w:tabs>
        <w:ind w:firstLine="426"/>
        <w:jc w:val="both"/>
        <w:rPr>
          <w:rFonts w:eastAsiaTheme="minorHAnsi"/>
          <w:sz w:val="22"/>
          <w:szCs w:val="22"/>
          <w:shd w:val="clear" w:color="auto" w:fill="FFFFFF"/>
          <w:lang w:val="en-US" w:eastAsia="en-US"/>
        </w:rPr>
      </w:pPr>
      <w:r w:rsidRPr="00724342">
        <w:rPr>
          <w:rFonts w:eastAsia="Courier New"/>
          <w:sz w:val="22"/>
          <w:szCs w:val="22"/>
          <w:lang w:val="en-US" w:eastAsia="en-US"/>
        </w:rPr>
        <w:t>ABSTRACT:</w:t>
      </w:r>
      <w:r w:rsidRPr="00724342">
        <w:rPr>
          <w:rFonts w:eastAsia="Courier New"/>
          <w:sz w:val="22"/>
          <w:szCs w:val="22"/>
          <w:shd w:val="clear" w:color="auto" w:fill="FFFFFF"/>
          <w:lang w:val="en-US" w:eastAsia="en-US"/>
        </w:rPr>
        <w:t xml:space="preserve"> </w:t>
      </w:r>
      <w:r w:rsidRPr="00724342">
        <w:rPr>
          <w:rFonts w:eastAsiaTheme="minorHAnsi"/>
          <w:sz w:val="22"/>
          <w:szCs w:val="22"/>
          <w:shd w:val="clear" w:color="auto" w:fill="FFFFFF"/>
          <w:lang w:val="en-US" w:eastAsia="en-US"/>
        </w:rPr>
        <w:t>The necessity of diversification of production in the process of innovative development of enterprises is determined, the a</w:t>
      </w:r>
      <w:r w:rsidRPr="00724342">
        <w:rPr>
          <w:rFonts w:eastAsiaTheme="minorHAnsi"/>
          <w:sz w:val="22"/>
          <w:szCs w:val="22"/>
          <w:shd w:val="clear" w:color="auto" w:fill="FFFFFF"/>
          <w:lang w:val="en-US" w:eastAsia="en-US"/>
        </w:rPr>
        <w:t>p</w:t>
      </w:r>
      <w:r w:rsidRPr="00724342">
        <w:rPr>
          <w:rFonts w:eastAsiaTheme="minorHAnsi"/>
          <w:sz w:val="22"/>
          <w:szCs w:val="22"/>
          <w:shd w:val="clear" w:color="auto" w:fill="FFFFFF"/>
          <w:lang w:val="en-US" w:eastAsia="en-US"/>
        </w:rPr>
        <w:t>proach to the evaluation of investment projects is considered.</w:t>
      </w:r>
    </w:p>
    <w:p w:rsidR="00724342" w:rsidRPr="00724342" w:rsidRDefault="00724342" w:rsidP="00D15DEA">
      <w:pPr>
        <w:widowControl w:val="0"/>
        <w:tabs>
          <w:tab w:val="left" w:pos="8223"/>
        </w:tabs>
        <w:ind w:firstLine="426"/>
        <w:jc w:val="both"/>
        <w:rPr>
          <w:rFonts w:eastAsia="Courier New"/>
          <w:sz w:val="22"/>
          <w:szCs w:val="22"/>
          <w:lang w:eastAsia="en-US"/>
        </w:rPr>
      </w:pPr>
      <w:r w:rsidRPr="00724342">
        <w:rPr>
          <w:rFonts w:eastAsia="Courier New"/>
          <w:sz w:val="22"/>
          <w:szCs w:val="22"/>
          <w:lang w:eastAsia="en-US"/>
        </w:rPr>
        <w:t>КЛЮЧЕВЫЕ СЛОВА: диверсификация производства, альте</w:t>
      </w:r>
      <w:r w:rsidRPr="00724342">
        <w:rPr>
          <w:rFonts w:eastAsia="Courier New"/>
          <w:sz w:val="22"/>
          <w:szCs w:val="22"/>
          <w:lang w:eastAsia="en-US"/>
        </w:rPr>
        <w:t>р</w:t>
      </w:r>
      <w:r w:rsidRPr="00724342">
        <w:rPr>
          <w:rFonts w:eastAsia="Courier New"/>
          <w:sz w:val="22"/>
          <w:szCs w:val="22"/>
          <w:lang w:eastAsia="en-US"/>
        </w:rPr>
        <w:t>нативные проекты, оценка инвестиционных проектов.</w:t>
      </w:r>
    </w:p>
    <w:p w:rsidR="00724342" w:rsidRPr="00724342" w:rsidRDefault="00724342" w:rsidP="00D15DEA">
      <w:pPr>
        <w:widowControl w:val="0"/>
        <w:tabs>
          <w:tab w:val="left" w:pos="8223"/>
        </w:tabs>
        <w:ind w:firstLine="426"/>
        <w:jc w:val="both"/>
        <w:rPr>
          <w:rFonts w:eastAsia="Courier New"/>
          <w:sz w:val="22"/>
          <w:szCs w:val="22"/>
          <w:lang w:val="en-US" w:eastAsia="en-US"/>
        </w:rPr>
      </w:pPr>
      <w:r w:rsidRPr="00724342">
        <w:rPr>
          <w:rFonts w:eastAsia="Courier New"/>
          <w:sz w:val="22"/>
          <w:szCs w:val="22"/>
          <w:lang w:val="en-US" w:eastAsia="en-US"/>
        </w:rPr>
        <w:t>KEYWORDS:</w:t>
      </w:r>
      <w:r w:rsidRPr="00724342">
        <w:rPr>
          <w:rFonts w:ascii="Courier New" w:eastAsia="Courier New" w:hAnsi="Courier New" w:cs="Courier New"/>
          <w:sz w:val="22"/>
          <w:szCs w:val="22"/>
          <w:shd w:val="clear" w:color="auto" w:fill="FFFFFF"/>
          <w:lang w:val="en-US" w:eastAsia="en-US"/>
        </w:rPr>
        <w:t xml:space="preserve"> </w:t>
      </w:r>
      <w:r w:rsidRPr="00724342">
        <w:rPr>
          <w:rFonts w:eastAsiaTheme="minorHAnsi"/>
          <w:sz w:val="22"/>
          <w:szCs w:val="22"/>
          <w:shd w:val="clear" w:color="auto" w:fill="FFFFFF"/>
          <w:lang w:val="en-US" w:eastAsia="en-US"/>
        </w:rPr>
        <w:t>diversification of production, alternative projects, evaluation of investment projects.</w:t>
      </w:r>
    </w:p>
    <w:p w:rsidR="00724342" w:rsidRPr="00724342" w:rsidRDefault="00724342" w:rsidP="00D15DEA">
      <w:pPr>
        <w:ind w:firstLine="426"/>
        <w:jc w:val="both"/>
        <w:rPr>
          <w:rFonts w:eastAsiaTheme="minorHAnsi"/>
          <w:sz w:val="22"/>
          <w:szCs w:val="22"/>
          <w:lang w:val="en-US" w:eastAsia="en-US"/>
        </w:rPr>
      </w:pP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Процесс развития российского аграрного бизнеса связан с необходимостью постоянного осуществления и развития инновац</w:t>
      </w:r>
      <w:r w:rsidRPr="00724342">
        <w:rPr>
          <w:rFonts w:eastAsiaTheme="minorHAnsi"/>
          <w:sz w:val="22"/>
          <w:szCs w:val="22"/>
          <w:lang w:eastAsia="en-US"/>
        </w:rPr>
        <w:t>и</w:t>
      </w:r>
      <w:r w:rsidRPr="00724342">
        <w:rPr>
          <w:rFonts w:eastAsiaTheme="minorHAnsi"/>
          <w:sz w:val="22"/>
          <w:szCs w:val="22"/>
          <w:lang w:eastAsia="en-US"/>
        </w:rPr>
        <w:t>онных и интеграционных процессов. Необходимым условием этого является систематическое инвестирование значительных финанс</w:t>
      </w:r>
      <w:r w:rsidRPr="00724342">
        <w:rPr>
          <w:rFonts w:eastAsiaTheme="minorHAnsi"/>
          <w:sz w:val="22"/>
          <w:szCs w:val="22"/>
          <w:lang w:eastAsia="en-US"/>
        </w:rPr>
        <w:t>о</w:t>
      </w:r>
      <w:r w:rsidRPr="00724342">
        <w:rPr>
          <w:rFonts w:eastAsiaTheme="minorHAnsi"/>
          <w:sz w:val="22"/>
          <w:szCs w:val="22"/>
          <w:lang w:eastAsia="en-US"/>
        </w:rPr>
        <w:t>вых ресурсов в диверсификацию производства, развитие матер</w:t>
      </w:r>
      <w:r w:rsidRPr="00724342">
        <w:rPr>
          <w:rFonts w:eastAsiaTheme="minorHAnsi"/>
          <w:sz w:val="22"/>
          <w:szCs w:val="22"/>
          <w:lang w:eastAsia="en-US"/>
        </w:rPr>
        <w:t>и</w:t>
      </w:r>
      <w:r w:rsidRPr="00724342">
        <w:rPr>
          <w:rFonts w:eastAsiaTheme="minorHAnsi"/>
          <w:sz w:val="22"/>
          <w:szCs w:val="22"/>
          <w:lang w:eastAsia="en-US"/>
        </w:rPr>
        <w:t>ально-технической базы предприятий, повышение уровня комп</w:t>
      </w:r>
      <w:r w:rsidRPr="00724342">
        <w:rPr>
          <w:rFonts w:eastAsiaTheme="minorHAnsi"/>
          <w:sz w:val="22"/>
          <w:szCs w:val="22"/>
          <w:lang w:eastAsia="en-US"/>
        </w:rPr>
        <w:t>е</w:t>
      </w:r>
      <w:r w:rsidRPr="00724342">
        <w:rPr>
          <w:rFonts w:eastAsiaTheme="minorHAnsi"/>
          <w:sz w:val="22"/>
          <w:szCs w:val="22"/>
          <w:lang w:eastAsia="en-US"/>
        </w:rPr>
        <w:t>тенции специалистов и менеджеров, совершенствование информ</w:t>
      </w:r>
      <w:r w:rsidRPr="00724342">
        <w:rPr>
          <w:rFonts w:eastAsiaTheme="minorHAnsi"/>
          <w:sz w:val="22"/>
          <w:szCs w:val="22"/>
          <w:lang w:eastAsia="en-US"/>
        </w:rPr>
        <w:t>а</w:t>
      </w:r>
      <w:r w:rsidRPr="00724342">
        <w:rPr>
          <w:rFonts w:eastAsiaTheme="minorHAnsi"/>
          <w:sz w:val="22"/>
          <w:szCs w:val="22"/>
          <w:lang w:eastAsia="en-US"/>
        </w:rPr>
        <w:t xml:space="preserve">ционно-коммуникационных связей. Масштабы решаемых задач, их значимость для развития предприятий позволяют рассматривать их как инвестиционные проекты </w:t>
      </w:r>
      <w:r w:rsidRPr="00724342">
        <w:rPr>
          <w:rFonts w:eastAsiaTheme="minorHAnsi"/>
          <w:color w:val="000000"/>
          <w:sz w:val="22"/>
          <w:szCs w:val="22"/>
          <w:shd w:val="clear" w:color="auto" w:fill="FFFFFF"/>
          <w:lang w:eastAsia="en-US"/>
        </w:rPr>
        <w:t>[3].</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lastRenderedPageBreak/>
        <w:t>При наличии устойчивой финансовой базы предприятие обл</w:t>
      </w:r>
      <w:r w:rsidRPr="00724342">
        <w:rPr>
          <w:rFonts w:eastAsiaTheme="minorHAnsi"/>
          <w:sz w:val="22"/>
          <w:szCs w:val="22"/>
          <w:lang w:eastAsia="en-US"/>
        </w:rPr>
        <w:t>а</w:t>
      </w:r>
      <w:r w:rsidRPr="00724342">
        <w:rPr>
          <w:rFonts w:eastAsiaTheme="minorHAnsi"/>
          <w:sz w:val="22"/>
          <w:szCs w:val="22"/>
          <w:lang w:eastAsia="en-US"/>
        </w:rPr>
        <w:t>дает возможностями реализации различных инвестиционных пр</w:t>
      </w:r>
      <w:r w:rsidRPr="00724342">
        <w:rPr>
          <w:rFonts w:eastAsiaTheme="minorHAnsi"/>
          <w:sz w:val="22"/>
          <w:szCs w:val="22"/>
          <w:lang w:eastAsia="en-US"/>
        </w:rPr>
        <w:t>о</w:t>
      </w:r>
      <w:r w:rsidRPr="00724342">
        <w:rPr>
          <w:rFonts w:eastAsiaTheme="minorHAnsi"/>
          <w:sz w:val="22"/>
          <w:szCs w:val="22"/>
          <w:lang w:eastAsia="en-US"/>
        </w:rPr>
        <w:t>ектов, направленных на диверсификацию производства. Однако ограниченные ресурсы не позволяют реализовать все возможные бизнес-идеи, поэтому необходимо выбирать из них самые перспе</w:t>
      </w:r>
      <w:r w:rsidRPr="00724342">
        <w:rPr>
          <w:rFonts w:eastAsiaTheme="minorHAnsi"/>
          <w:sz w:val="22"/>
          <w:szCs w:val="22"/>
          <w:lang w:eastAsia="en-US"/>
        </w:rPr>
        <w:t>к</w:t>
      </w:r>
      <w:r w:rsidRPr="00724342">
        <w:rPr>
          <w:rFonts w:eastAsiaTheme="minorHAnsi"/>
          <w:sz w:val="22"/>
          <w:szCs w:val="22"/>
          <w:lang w:eastAsia="en-US"/>
        </w:rPr>
        <w:t>тивные. Огромную роль при этом играет правильная оценка альте</w:t>
      </w:r>
      <w:r w:rsidRPr="00724342">
        <w:rPr>
          <w:rFonts w:eastAsiaTheme="minorHAnsi"/>
          <w:sz w:val="22"/>
          <w:szCs w:val="22"/>
          <w:lang w:eastAsia="en-US"/>
        </w:rPr>
        <w:t>р</w:t>
      </w:r>
      <w:r w:rsidRPr="00724342">
        <w:rPr>
          <w:rFonts w:eastAsiaTheme="minorHAnsi"/>
          <w:sz w:val="22"/>
          <w:szCs w:val="22"/>
          <w:lang w:eastAsia="en-US"/>
        </w:rPr>
        <w:t>нативных проектов, которую можно рассматривать как совоку</w:t>
      </w:r>
      <w:r w:rsidRPr="00724342">
        <w:rPr>
          <w:rFonts w:eastAsiaTheme="minorHAnsi"/>
          <w:sz w:val="22"/>
          <w:szCs w:val="22"/>
          <w:lang w:eastAsia="en-US"/>
        </w:rPr>
        <w:t>п</w:t>
      </w:r>
      <w:r w:rsidRPr="00724342">
        <w:rPr>
          <w:rFonts w:eastAsiaTheme="minorHAnsi"/>
          <w:sz w:val="22"/>
          <w:szCs w:val="22"/>
          <w:lang w:eastAsia="en-US"/>
        </w:rPr>
        <w:t xml:space="preserve">ность показателей времени выполнения задач проекта и затрат </w:t>
      </w:r>
      <w:r w:rsidRPr="00724342">
        <w:rPr>
          <w:rFonts w:eastAsiaTheme="minorHAnsi"/>
          <w:color w:val="000000"/>
          <w:sz w:val="22"/>
          <w:szCs w:val="22"/>
          <w:shd w:val="clear" w:color="auto" w:fill="FFFFFF"/>
          <w:lang w:eastAsia="en-US"/>
        </w:rPr>
        <w:t>[2]</w:t>
      </w:r>
      <w:r w:rsidRPr="00724342">
        <w:rPr>
          <w:rFonts w:eastAsiaTheme="minorHAnsi"/>
          <w:sz w:val="22"/>
          <w:szCs w:val="22"/>
          <w:lang w:eastAsia="en-US"/>
        </w:rPr>
        <w:t>. Безусловно, и руководитель проекта, и лица, заинтересованные в проекте, хотят получить максимально точную оценку проекта. Но они понимают, что отличительной чертой любого проекта является отсутствие полной ясности. По мере реализации проекта он прио</w:t>
      </w:r>
      <w:r w:rsidRPr="00724342">
        <w:rPr>
          <w:rFonts w:eastAsiaTheme="minorHAnsi"/>
          <w:sz w:val="22"/>
          <w:szCs w:val="22"/>
          <w:lang w:eastAsia="en-US"/>
        </w:rPr>
        <w:t>б</w:t>
      </w:r>
      <w:r w:rsidRPr="00724342">
        <w:rPr>
          <w:rFonts w:eastAsiaTheme="minorHAnsi"/>
          <w:sz w:val="22"/>
          <w:szCs w:val="22"/>
          <w:lang w:eastAsia="en-US"/>
        </w:rPr>
        <w:t>ретает более определенные черты, что позволяет сделать более то</w:t>
      </w:r>
      <w:r w:rsidRPr="00724342">
        <w:rPr>
          <w:rFonts w:eastAsiaTheme="minorHAnsi"/>
          <w:sz w:val="22"/>
          <w:szCs w:val="22"/>
          <w:lang w:eastAsia="en-US"/>
        </w:rPr>
        <w:t>ч</w:t>
      </w:r>
      <w:r w:rsidRPr="00724342">
        <w:rPr>
          <w:rFonts w:eastAsiaTheme="minorHAnsi"/>
          <w:sz w:val="22"/>
          <w:szCs w:val="22"/>
          <w:lang w:eastAsia="en-US"/>
        </w:rPr>
        <w:t>ные прогнозы и расчеты. В целом следует понимать, что точность оценки проекта зависит от количества потраченного времени и р</w:t>
      </w:r>
      <w:r w:rsidRPr="00724342">
        <w:rPr>
          <w:rFonts w:eastAsiaTheme="minorHAnsi"/>
          <w:sz w:val="22"/>
          <w:szCs w:val="22"/>
          <w:lang w:eastAsia="en-US"/>
        </w:rPr>
        <w:t>е</w:t>
      </w:r>
      <w:r w:rsidRPr="00724342">
        <w:rPr>
          <w:rFonts w:eastAsiaTheme="minorHAnsi"/>
          <w:sz w:val="22"/>
          <w:szCs w:val="22"/>
          <w:lang w:eastAsia="en-US"/>
        </w:rPr>
        <w:t>сурсов. Поэтому следует соблюдать баланс между необходимостью получения точных оценок проекта и затраченных на это средств.</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На качество оценки проекта влияют следующие факторы:</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t>Горизонт планирования. По мере продвижения от концепт</w:t>
      </w:r>
      <w:r w:rsidRPr="00724342">
        <w:rPr>
          <w:rFonts w:eastAsiaTheme="minorHAnsi"/>
          <w:sz w:val="22"/>
          <w:szCs w:val="22"/>
          <w:lang w:eastAsia="en-US"/>
        </w:rPr>
        <w:t>у</w:t>
      </w:r>
      <w:r w:rsidRPr="00724342">
        <w:rPr>
          <w:rFonts w:eastAsiaTheme="minorHAnsi"/>
          <w:sz w:val="22"/>
          <w:szCs w:val="22"/>
          <w:lang w:eastAsia="en-US"/>
        </w:rPr>
        <w:t>альных оценок к расчету затрат ближайшие работы точность оце</w:t>
      </w:r>
      <w:r w:rsidRPr="00724342">
        <w:rPr>
          <w:rFonts w:eastAsiaTheme="minorHAnsi"/>
          <w:sz w:val="22"/>
          <w:szCs w:val="22"/>
          <w:lang w:eastAsia="en-US"/>
        </w:rPr>
        <w:t>н</w:t>
      </w:r>
      <w:r w:rsidRPr="00724342">
        <w:rPr>
          <w:rFonts w:eastAsiaTheme="minorHAnsi"/>
          <w:sz w:val="22"/>
          <w:szCs w:val="22"/>
          <w:lang w:eastAsia="en-US"/>
        </w:rPr>
        <w:t>ки будет расти.</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t>Продолжительность проекта. Долговременные проекты в большей степени подвергаются влиянию разнообразных и трудн</w:t>
      </w:r>
      <w:r w:rsidRPr="00724342">
        <w:rPr>
          <w:rFonts w:eastAsiaTheme="minorHAnsi"/>
          <w:sz w:val="22"/>
          <w:szCs w:val="22"/>
          <w:lang w:eastAsia="en-US"/>
        </w:rPr>
        <w:t>о</w:t>
      </w:r>
      <w:r w:rsidRPr="00724342">
        <w:rPr>
          <w:rFonts w:eastAsiaTheme="minorHAnsi"/>
          <w:sz w:val="22"/>
          <w:szCs w:val="22"/>
          <w:lang w:eastAsia="en-US"/>
        </w:rPr>
        <w:t>предсказуемых факторов внешней среды и являются более неопр</w:t>
      </w:r>
      <w:r w:rsidRPr="00724342">
        <w:rPr>
          <w:rFonts w:eastAsiaTheme="minorHAnsi"/>
          <w:sz w:val="22"/>
          <w:szCs w:val="22"/>
          <w:lang w:eastAsia="en-US"/>
        </w:rPr>
        <w:t>е</w:t>
      </w:r>
      <w:r w:rsidRPr="00724342">
        <w:rPr>
          <w:rFonts w:eastAsiaTheme="minorHAnsi"/>
          <w:sz w:val="22"/>
          <w:szCs w:val="22"/>
          <w:lang w:eastAsia="en-US"/>
        </w:rPr>
        <w:t>деленными.</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t>Персонал. Компетентность персонала, опыт, навыки, со</w:t>
      </w:r>
      <w:r w:rsidRPr="00724342">
        <w:rPr>
          <w:rFonts w:eastAsiaTheme="minorHAnsi"/>
          <w:sz w:val="22"/>
          <w:szCs w:val="22"/>
          <w:lang w:eastAsia="en-US"/>
        </w:rPr>
        <w:t>в</w:t>
      </w:r>
      <w:r w:rsidRPr="00724342">
        <w:rPr>
          <w:rFonts w:eastAsiaTheme="minorHAnsi"/>
          <w:sz w:val="22"/>
          <w:szCs w:val="22"/>
          <w:lang w:eastAsia="en-US"/>
        </w:rPr>
        <w:t>местное выполнение сотрудниками предыдущих проектов, наличие эффективной коммуникации позволяют сократить ошибки при ра</w:t>
      </w:r>
      <w:r w:rsidRPr="00724342">
        <w:rPr>
          <w:rFonts w:eastAsiaTheme="minorHAnsi"/>
          <w:sz w:val="22"/>
          <w:szCs w:val="22"/>
          <w:lang w:eastAsia="en-US"/>
        </w:rPr>
        <w:t>с</w:t>
      </w:r>
      <w:r w:rsidRPr="00724342">
        <w:rPr>
          <w:rFonts w:eastAsiaTheme="minorHAnsi"/>
          <w:sz w:val="22"/>
          <w:szCs w:val="22"/>
          <w:lang w:eastAsia="en-US"/>
        </w:rPr>
        <w:t xml:space="preserve">чете затрат проекта. </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t>Структура проекта и организация. Высокая скорость реал</w:t>
      </w:r>
      <w:r w:rsidRPr="00724342">
        <w:rPr>
          <w:rFonts w:eastAsiaTheme="minorHAnsi"/>
          <w:sz w:val="22"/>
          <w:szCs w:val="22"/>
          <w:lang w:eastAsia="en-US"/>
        </w:rPr>
        <w:t>и</w:t>
      </w:r>
      <w:r w:rsidRPr="00724342">
        <w:rPr>
          <w:rFonts w:eastAsiaTheme="minorHAnsi"/>
          <w:sz w:val="22"/>
          <w:szCs w:val="22"/>
          <w:lang w:eastAsia="en-US"/>
        </w:rPr>
        <w:t>зации проекта достигается при условии формирования независимой проектной команды. Однако такое взаимодействие обходится д</w:t>
      </w:r>
      <w:r w:rsidRPr="00724342">
        <w:rPr>
          <w:rFonts w:eastAsiaTheme="minorHAnsi"/>
          <w:sz w:val="22"/>
          <w:szCs w:val="22"/>
          <w:lang w:eastAsia="en-US"/>
        </w:rPr>
        <w:t>о</w:t>
      </w:r>
      <w:r w:rsidRPr="00724342">
        <w:rPr>
          <w:rFonts w:eastAsiaTheme="minorHAnsi"/>
          <w:sz w:val="22"/>
          <w:szCs w:val="22"/>
          <w:lang w:eastAsia="en-US"/>
        </w:rPr>
        <w:t>статочно дорого, поскольку члены команды заняты только прое</w:t>
      </w:r>
      <w:r w:rsidRPr="00724342">
        <w:rPr>
          <w:rFonts w:eastAsiaTheme="minorHAnsi"/>
          <w:sz w:val="22"/>
          <w:szCs w:val="22"/>
          <w:lang w:eastAsia="en-US"/>
        </w:rPr>
        <w:t>к</w:t>
      </w:r>
      <w:r w:rsidRPr="00724342">
        <w:rPr>
          <w:rFonts w:eastAsiaTheme="minorHAnsi"/>
          <w:sz w:val="22"/>
          <w:szCs w:val="22"/>
          <w:lang w:eastAsia="en-US"/>
        </w:rPr>
        <w:t>том. В матричной структуре, когда члены команды одновременно заняты реализацией проекта и при этом выполняют свои функци</w:t>
      </w:r>
      <w:r w:rsidRPr="00724342">
        <w:rPr>
          <w:rFonts w:eastAsiaTheme="minorHAnsi"/>
          <w:sz w:val="22"/>
          <w:szCs w:val="22"/>
          <w:lang w:eastAsia="en-US"/>
        </w:rPr>
        <w:t>о</w:t>
      </w:r>
      <w:r w:rsidRPr="00724342">
        <w:rPr>
          <w:rFonts w:eastAsiaTheme="minorHAnsi"/>
          <w:sz w:val="22"/>
          <w:szCs w:val="22"/>
          <w:lang w:eastAsia="en-US"/>
        </w:rPr>
        <w:t>нальные обязанности, реализация проекта займет больше времени. И при этом нет гарантии, что переключение с одних обязанностей на другие не приведет к потерям рабочего времени.</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lastRenderedPageBreak/>
        <w:t>Завышение оценок с целью создания «подушки безопасн</w:t>
      </w:r>
      <w:r w:rsidRPr="00724342">
        <w:rPr>
          <w:rFonts w:eastAsiaTheme="minorHAnsi"/>
          <w:sz w:val="22"/>
          <w:szCs w:val="22"/>
          <w:lang w:eastAsia="en-US"/>
        </w:rPr>
        <w:t>о</w:t>
      </w:r>
      <w:r w:rsidRPr="00724342">
        <w:rPr>
          <w:rFonts w:eastAsiaTheme="minorHAnsi"/>
          <w:sz w:val="22"/>
          <w:szCs w:val="22"/>
          <w:lang w:eastAsia="en-US"/>
        </w:rPr>
        <w:t>сти». Как правило, специалисты склонны преувеличивать время р</w:t>
      </w:r>
      <w:r w:rsidRPr="00724342">
        <w:rPr>
          <w:rFonts w:eastAsiaTheme="minorHAnsi"/>
          <w:sz w:val="22"/>
          <w:szCs w:val="22"/>
          <w:lang w:eastAsia="en-US"/>
        </w:rPr>
        <w:t>е</w:t>
      </w:r>
      <w:r w:rsidRPr="00724342">
        <w:rPr>
          <w:rFonts w:eastAsiaTheme="minorHAnsi"/>
          <w:sz w:val="22"/>
          <w:szCs w:val="22"/>
          <w:lang w:eastAsia="en-US"/>
        </w:rPr>
        <w:t>ализации проекта, желая обезопасить себя от возможности не в</w:t>
      </w:r>
      <w:r w:rsidRPr="00724342">
        <w:rPr>
          <w:rFonts w:eastAsiaTheme="minorHAnsi"/>
          <w:sz w:val="22"/>
          <w:szCs w:val="22"/>
          <w:lang w:eastAsia="en-US"/>
        </w:rPr>
        <w:t>ы</w:t>
      </w:r>
      <w:r w:rsidRPr="00724342">
        <w:rPr>
          <w:rFonts w:eastAsiaTheme="minorHAnsi"/>
          <w:sz w:val="22"/>
          <w:szCs w:val="22"/>
          <w:lang w:eastAsia="en-US"/>
        </w:rPr>
        <w:t xml:space="preserve">полнить задачу вовремя. Это снижает точность полученной оценки и снижает уровень конкурентоспособности проекта </w:t>
      </w:r>
      <w:r w:rsidRPr="00724342">
        <w:rPr>
          <w:rFonts w:eastAsiaTheme="minorHAnsi"/>
          <w:color w:val="000000"/>
          <w:sz w:val="22"/>
          <w:szCs w:val="22"/>
          <w:shd w:val="clear" w:color="auto" w:fill="FFFFFF"/>
          <w:lang w:eastAsia="en-US"/>
        </w:rPr>
        <w:t>[4].</w:t>
      </w:r>
    </w:p>
    <w:p w:rsidR="00724342" w:rsidRPr="00724342" w:rsidRDefault="00724342" w:rsidP="00D15DEA">
      <w:pPr>
        <w:numPr>
          <w:ilvl w:val="0"/>
          <w:numId w:val="80"/>
        </w:numPr>
        <w:ind w:left="0" w:firstLine="426"/>
        <w:contextualSpacing/>
        <w:jc w:val="both"/>
        <w:rPr>
          <w:rFonts w:eastAsiaTheme="minorHAnsi"/>
          <w:sz w:val="22"/>
          <w:szCs w:val="22"/>
          <w:lang w:eastAsia="en-US"/>
        </w:rPr>
      </w:pPr>
      <w:r w:rsidRPr="00724342">
        <w:rPr>
          <w:rFonts w:eastAsiaTheme="minorHAnsi"/>
          <w:sz w:val="22"/>
          <w:szCs w:val="22"/>
          <w:lang w:eastAsia="en-US"/>
        </w:rPr>
        <w:t>Культура организации. Отношение в организации к точн</w:t>
      </w:r>
      <w:r w:rsidRPr="00724342">
        <w:rPr>
          <w:rFonts w:eastAsiaTheme="minorHAnsi"/>
          <w:sz w:val="22"/>
          <w:szCs w:val="22"/>
          <w:lang w:eastAsia="en-US"/>
        </w:rPr>
        <w:t>о</w:t>
      </w:r>
      <w:r w:rsidRPr="00724342">
        <w:rPr>
          <w:rFonts w:eastAsiaTheme="minorHAnsi"/>
          <w:sz w:val="22"/>
          <w:szCs w:val="22"/>
          <w:lang w:eastAsia="en-US"/>
        </w:rPr>
        <w:t>сти оценки может быть абсолютно противоположное: от практич</w:t>
      </w:r>
      <w:r w:rsidRPr="00724342">
        <w:rPr>
          <w:rFonts w:eastAsiaTheme="minorHAnsi"/>
          <w:sz w:val="22"/>
          <w:szCs w:val="22"/>
          <w:lang w:eastAsia="en-US"/>
        </w:rPr>
        <w:t>е</w:t>
      </w:r>
      <w:r w:rsidRPr="00724342">
        <w:rPr>
          <w:rFonts w:eastAsiaTheme="minorHAnsi"/>
          <w:sz w:val="22"/>
          <w:szCs w:val="22"/>
          <w:lang w:eastAsia="en-US"/>
        </w:rPr>
        <w:t>ского поощрения завышенных оценок до премирования за их то</w:t>
      </w:r>
      <w:r w:rsidRPr="00724342">
        <w:rPr>
          <w:rFonts w:eastAsiaTheme="minorHAnsi"/>
          <w:sz w:val="22"/>
          <w:szCs w:val="22"/>
          <w:lang w:eastAsia="en-US"/>
        </w:rPr>
        <w:t>ч</w:t>
      </w:r>
      <w:r w:rsidRPr="00724342">
        <w:rPr>
          <w:rFonts w:eastAsiaTheme="minorHAnsi"/>
          <w:sz w:val="22"/>
          <w:szCs w:val="22"/>
          <w:lang w:eastAsia="en-US"/>
        </w:rPr>
        <w:t xml:space="preserve">ность. Очевидно, второй подход свидетельствует о более высокой культуре организации </w:t>
      </w:r>
      <w:r w:rsidRPr="00724342">
        <w:rPr>
          <w:rFonts w:eastAsiaTheme="minorHAnsi"/>
          <w:color w:val="000000"/>
          <w:sz w:val="22"/>
          <w:szCs w:val="22"/>
          <w:shd w:val="clear" w:color="auto" w:fill="FFFFFF"/>
          <w:lang w:eastAsia="en-US"/>
        </w:rPr>
        <w:t>[3].</w:t>
      </w:r>
    </w:p>
    <w:p w:rsidR="00724342" w:rsidRDefault="00724342" w:rsidP="00553B63">
      <w:pPr>
        <w:ind w:firstLine="426"/>
        <w:jc w:val="both"/>
        <w:rPr>
          <w:rFonts w:eastAsiaTheme="minorHAnsi"/>
          <w:sz w:val="22"/>
          <w:szCs w:val="22"/>
          <w:lang w:eastAsia="en-US"/>
        </w:rPr>
      </w:pPr>
      <w:r w:rsidRPr="00724342">
        <w:rPr>
          <w:rFonts w:eastAsiaTheme="minorHAnsi"/>
          <w:sz w:val="22"/>
          <w:szCs w:val="22"/>
          <w:lang w:eastAsia="en-US"/>
        </w:rPr>
        <w:t xml:space="preserve"> Итак, оценка проекта альтернативных проектов в процессе д</w:t>
      </w:r>
      <w:r w:rsidRPr="00724342">
        <w:rPr>
          <w:rFonts w:eastAsiaTheme="minorHAnsi"/>
          <w:sz w:val="22"/>
          <w:szCs w:val="22"/>
          <w:lang w:eastAsia="en-US"/>
        </w:rPr>
        <w:t>и</w:t>
      </w:r>
      <w:r w:rsidRPr="00724342">
        <w:rPr>
          <w:rFonts w:eastAsiaTheme="minorHAnsi"/>
          <w:sz w:val="22"/>
          <w:szCs w:val="22"/>
          <w:lang w:eastAsia="en-US"/>
        </w:rPr>
        <w:t>версификации производства – трудная и не всегда выполнимая з</w:t>
      </w:r>
      <w:r w:rsidRPr="00724342">
        <w:rPr>
          <w:rFonts w:eastAsiaTheme="minorHAnsi"/>
          <w:sz w:val="22"/>
          <w:szCs w:val="22"/>
          <w:lang w:eastAsia="en-US"/>
        </w:rPr>
        <w:t>а</w:t>
      </w:r>
      <w:r w:rsidRPr="00724342">
        <w:rPr>
          <w:rFonts w:eastAsiaTheme="minorHAnsi"/>
          <w:sz w:val="22"/>
          <w:szCs w:val="22"/>
          <w:lang w:eastAsia="en-US"/>
        </w:rPr>
        <w:t>дача, однако высокий уровень ее точности позволяет рационально использовать ресурсы предприятия, эффективно осуществлять  ко</w:t>
      </w:r>
      <w:r w:rsidRPr="00724342">
        <w:rPr>
          <w:rFonts w:eastAsiaTheme="minorHAnsi"/>
          <w:sz w:val="22"/>
          <w:szCs w:val="22"/>
          <w:lang w:eastAsia="en-US"/>
        </w:rPr>
        <w:t>н</w:t>
      </w:r>
      <w:r w:rsidRPr="00724342">
        <w:rPr>
          <w:rFonts w:eastAsiaTheme="minorHAnsi"/>
          <w:sz w:val="22"/>
          <w:szCs w:val="22"/>
          <w:lang w:eastAsia="en-US"/>
        </w:rPr>
        <w:t>троль выполнения задач проекта.</w:t>
      </w:r>
    </w:p>
    <w:p w:rsidR="00553B63" w:rsidRPr="00724342" w:rsidRDefault="00553B63" w:rsidP="00553B63">
      <w:pPr>
        <w:ind w:firstLine="426"/>
        <w:jc w:val="both"/>
        <w:rPr>
          <w:rFonts w:eastAsiaTheme="minorHAnsi"/>
          <w:sz w:val="22"/>
          <w:szCs w:val="22"/>
          <w:lang w:eastAsia="en-US"/>
        </w:rPr>
      </w:pPr>
    </w:p>
    <w:p w:rsidR="00724342" w:rsidRPr="00724342" w:rsidRDefault="00724342" w:rsidP="00D15DEA">
      <w:pPr>
        <w:widowControl w:val="0"/>
        <w:autoSpaceDE w:val="0"/>
        <w:autoSpaceDN w:val="0"/>
        <w:adjustRightInd w:val="0"/>
        <w:ind w:firstLine="426"/>
        <w:jc w:val="center"/>
        <w:rPr>
          <w:rFonts w:eastAsia="Calibri" w:cs="Arial"/>
          <w:color w:val="000000"/>
          <w:sz w:val="22"/>
          <w:szCs w:val="22"/>
          <w:lang w:eastAsia="en-US"/>
        </w:rPr>
      </w:pPr>
      <w:r w:rsidRPr="00724342">
        <w:rPr>
          <w:rFonts w:eastAsia="Calibri" w:cs="Arial"/>
          <w:color w:val="000000"/>
          <w:sz w:val="22"/>
          <w:szCs w:val="22"/>
          <w:lang w:eastAsia="en-US"/>
        </w:rPr>
        <w:t>Список литературы</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 xml:space="preserve">1. Пелихов Я. В. </w:t>
      </w:r>
      <w:hyperlink r:id="rId355" w:history="1">
        <w:r w:rsidRPr="00724342">
          <w:rPr>
            <w:rFonts w:eastAsiaTheme="minorHAnsi"/>
            <w:sz w:val="22"/>
            <w:szCs w:val="22"/>
            <w:lang w:eastAsia="en-US"/>
          </w:rPr>
          <w:t>Инвестиционная деятельность в аграрном се</w:t>
        </w:r>
        <w:r w:rsidRPr="00724342">
          <w:rPr>
            <w:rFonts w:eastAsiaTheme="minorHAnsi"/>
            <w:sz w:val="22"/>
            <w:szCs w:val="22"/>
            <w:lang w:eastAsia="en-US"/>
          </w:rPr>
          <w:t>к</w:t>
        </w:r>
        <w:r w:rsidRPr="00724342">
          <w:rPr>
            <w:rFonts w:eastAsiaTheme="minorHAnsi"/>
            <w:sz w:val="22"/>
            <w:szCs w:val="22"/>
            <w:lang w:eastAsia="en-US"/>
          </w:rPr>
          <w:t>торе экономики</w:t>
        </w:r>
      </w:hyperlink>
      <w:r w:rsidRPr="00724342">
        <w:rPr>
          <w:rFonts w:eastAsiaTheme="minorHAnsi"/>
          <w:sz w:val="22"/>
          <w:szCs w:val="22"/>
          <w:lang w:eastAsia="en-US"/>
        </w:rPr>
        <w:t> / Я. В. Пелихов, Г. Н. Литвиненко // </w:t>
      </w:r>
      <w:hyperlink r:id="rId356" w:history="1">
        <w:r w:rsidRPr="00724342">
          <w:rPr>
            <w:rFonts w:eastAsiaTheme="minorHAnsi"/>
            <w:sz w:val="22"/>
            <w:szCs w:val="22"/>
            <w:lang w:eastAsia="en-US"/>
          </w:rPr>
          <w:t>Роль банко</w:t>
        </w:r>
        <w:r w:rsidRPr="00724342">
          <w:rPr>
            <w:rFonts w:eastAsiaTheme="minorHAnsi"/>
            <w:sz w:val="22"/>
            <w:szCs w:val="22"/>
            <w:lang w:eastAsia="en-US"/>
          </w:rPr>
          <w:t>в</w:t>
        </w:r>
        <w:r w:rsidRPr="00724342">
          <w:rPr>
            <w:rFonts w:eastAsiaTheme="minorHAnsi"/>
            <w:sz w:val="22"/>
            <w:szCs w:val="22"/>
            <w:lang w:eastAsia="en-US"/>
          </w:rPr>
          <w:t>ского и реального сектора в решении проблем социально-экономического развития</w:t>
        </w:r>
      </w:hyperlink>
      <w:r w:rsidRPr="00724342">
        <w:rPr>
          <w:rFonts w:eastAsiaTheme="minorHAnsi"/>
          <w:sz w:val="22"/>
          <w:szCs w:val="22"/>
          <w:lang w:eastAsia="en-US"/>
        </w:rPr>
        <w:t xml:space="preserve"> : сб. ст. междунар. науч.-практ. конф.  – Омск, 2017. – С. 40-43.</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2. Соколова А. П. Управление рисками производственной де</w:t>
      </w:r>
      <w:r w:rsidRPr="00724342">
        <w:rPr>
          <w:rFonts w:eastAsiaTheme="minorHAnsi"/>
          <w:sz w:val="22"/>
          <w:szCs w:val="22"/>
          <w:lang w:eastAsia="en-US"/>
        </w:rPr>
        <w:t>я</w:t>
      </w:r>
      <w:r w:rsidRPr="00724342">
        <w:rPr>
          <w:rFonts w:eastAsiaTheme="minorHAnsi"/>
          <w:sz w:val="22"/>
          <w:szCs w:val="22"/>
          <w:lang w:eastAsia="en-US"/>
        </w:rPr>
        <w:t>тельности в аграрном секторе экономики / А. П. Соколова, В. Г. Ветер // Закономерности и тенденции формирования системы финансово-кредитных отношений: сб. ст. Междунар. науч.-практ. конф. –Уфа: АЭТЭРНА, 2017. С. 241-250.</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3. Соколова А. П. Экономическая эффективность организации внутрихозяйственного хранения винограда столовых сортов / А. П. Соколова, О. А. Сухарева, Г. Ф. Бершицкая // Труды Куба</w:t>
      </w:r>
      <w:r w:rsidRPr="00724342">
        <w:rPr>
          <w:rFonts w:eastAsiaTheme="minorHAnsi"/>
          <w:sz w:val="22"/>
          <w:szCs w:val="22"/>
          <w:lang w:eastAsia="en-US"/>
        </w:rPr>
        <w:t>н</w:t>
      </w:r>
      <w:r w:rsidRPr="00724342">
        <w:rPr>
          <w:rFonts w:eastAsiaTheme="minorHAnsi"/>
          <w:sz w:val="22"/>
          <w:szCs w:val="22"/>
          <w:lang w:eastAsia="en-US"/>
        </w:rPr>
        <w:t>ского государственного аграрного университета. – 2013. – № 42. – С. 38–41.</w:t>
      </w:r>
    </w:p>
    <w:p w:rsidR="00724342" w:rsidRPr="00724342" w:rsidRDefault="00724342" w:rsidP="00D15DEA">
      <w:pPr>
        <w:ind w:firstLine="426"/>
        <w:jc w:val="both"/>
        <w:rPr>
          <w:rFonts w:eastAsiaTheme="minorHAnsi"/>
          <w:sz w:val="22"/>
          <w:szCs w:val="22"/>
          <w:lang w:eastAsia="en-US"/>
        </w:rPr>
      </w:pPr>
      <w:r w:rsidRPr="00724342">
        <w:rPr>
          <w:rFonts w:eastAsiaTheme="minorHAnsi"/>
          <w:sz w:val="22"/>
          <w:szCs w:val="22"/>
          <w:lang w:eastAsia="en-US"/>
        </w:rPr>
        <w:t>4. Сухарева О. А. Подходы к управлению реализацией инв</w:t>
      </w:r>
      <w:r w:rsidRPr="00724342">
        <w:rPr>
          <w:rFonts w:eastAsiaTheme="minorHAnsi"/>
          <w:sz w:val="22"/>
          <w:szCs w:val="22"/>
          <w:lang w:eastAsia="en-US"/>
        </w:rPr>
        <w:t>е</w:t>
      </w:r>
      <w:r w:rsidRPr="00724342">
        <w:rPr>
          <w:rFonts w:eastAsiaTheme="minorHAnsi"/>
          <w:sz w:val="22"/>
          <w:szCs w:val="22"/>
          <w:lang w:eastAsia="en-US"/>
        </w:rPr>
        <w:t>стиционного проекта в условиях неопределенности внешней среды / О. А. Сухарева, К. М. Малинник // Проблемы и перспективы экон</w:t>
      </w:r>
      <w:r w:rsidRPr="00724342">
        <w:rPr>
          <w:rFonts w:eastAsiaTheme="minorHAnsi"/>
          <w:sz w:val="22"/>
          <w:szCs w:val="22"/>
          <w:lang w:eastAsia="en-US"/>
        </w:rPr>
        <w:t>о</w:t>
      </w:r>
      <w:r w:rsidRPr="00724342">
        <w:rPr>
          <w:rFonts w:eastAsiaTheme="minorHAnsi"/>
          <w:sz w:val="22"/>
          <w:szCs w:val="22"/>
          <w:lang w:eastAsia="en-US"/>
        </w:rPr>
        <w:t>мических отношений на пространстве ЕАЭС: сб. ст. Междунар. науч.-практ. конф.. – Уфа, 2017. – С. 136-141.</w:t>
      </w:r>
    </w:p>
    <w:p w:rsidR="00724342" w:rsidRDefault="00D15DEA" w:rsidP="00D15DEA">
      <w:pPr>
        <w:rPr>
          <w:rFonts w:eastAsia="Andale Sans UI"/>
          <w:color w:val="1A1A1A" w:themeColor="background1" w:themeShade="1A"/>
          <w:kern w:val="1"/>
          <w:sz w:val="22"/>
          <w:szCs w:val="22"/>
          <w:lang w:eastAsia="ar-SA"/>
        </w:rPr>
      </w:pPr>
      <w:r>
        <w:rPr>
          <w:rFonts w:eastAsia="Andale Sans UI"/>
          <w:color w:val="1A1A1A" w:themeColor="background1" w:themeShade="1A"/>
          <w:kern w:val="1"/>
          <w:sz w:val="22"/>
          <w:szCs w:val="22"/>
          <w:lang w:eastAsia="ar-SA"/>
        </w:rPr>
        <w:br w:type="page"/>
      </w:r>
    </w:p>
    <w:p w:rsidR="000F594F" w:rsidRPr="00724342" w:rsidRDefault="000F594F" w:rsidP="000F594F">
      <w:pPr>
        <w:jc w:val="center"/>
        <w:rPr>
          <w:rFonts w:eastAsiaTheme="minorHAnsi"/>
          <w:sz w:val="22"/>
          <w:szCs w:val="22"/>
          <w:lang w:eastAsia="en-US"/>
        </w:rPr>
      </w:pPr>
      <w:r>
        <w:rPr>
          <w:b/>
          <w:bCs/>
          <w:spacing w:val="2"/>
        </w:rPr>
        <w:lastRenderedPageBreak/>
        <w:t>Факультет энергетики</w:t>
      </w:r>
    </w:p>
    <w:p w:rsidR="000F594F" w:rsidRPr="00FE2FD2" w:rsidRDefault="000F594F" w:rsidP="000F594F">
      <w:pPr>
        <w:rPr>
          <w:sz w:val="20"/>
          <w:szCs w:val="20"/>
        </w:rPr>
      </w:pPr>
      <w:r w:rsidRPr="00FE2FD2">
        <w:rPr>
          <w:sz w:val="20"/>
          <w:szCs w:val="20"/>
        </w:rPr>
        <w:t>УДК 697</w:t>
      </w:r>
    </w:p>
    <w:p w:rsidR="000F594F" w:rsidRPr="00FE2FD2" w:rsidRDefault="000F594F" w:rsidP="000F594F">
      <w:pPr>
        <w:rPr>
          <w:sz w:val="20"/>
          <w:szCs w:val="20"/>
        </w:rPr>
      </w:pPr>
    </w:p>
    <w:p w:rsidR="000F594F" w:rsidRPr="00FE2FD2" w:rsidRDefault="000F594F" w:rsidP="000F594F">
      <w:pPr>
        <w:widowControl w:val="0"/>
        <w:autoSpaceDE w:val="0"/>
        <w:autoSpaceDN w:val="0"/>
        <w:adjustRightInd w:val="0"/>
        <w:jc w:val="center"/>
        <w:rPr>
          <w:b/>
          <w:sz w:val="24"/>
          <w:szCs w:val="24"/>
        </w:rPr>
      </w:pPr>
      <w:r w:rsidRPr="00FE2FD2">
        <w:rPr>
          <w:b/>
          <w:sz w:val="24"/>
          <w:szCs w:val="24"/>
        </w:rPr>
        <w:t>Пассивные системы кондиционирования</w:t>
      </w:r>
    </w:p>
    <w:p w:rsidR="000F594F" w:rsidRPr="00D15DEA" w:rsidRDefault="000F594F" w:rsidP="000F594F">
      <w:pPr>
        <w:widowControl w:val="0"/>
        <w:autoSpaceDE w:val="0"/>
        <w:autoSpaceDN w:val="0"/>
        <w:adjustRightInd w:val="0"/>
        <w:jc w:val="center"/>
        <w:rPr>
          <w:b/>
          <w:sz w:val="20"/>
          <w:szCs w:val="20"/>
          <w:lang w:val="en-US"/>
        </w:rPr>
      </w:pPr>
      <w:r w:rsidRPr="00D15DEA">
        <w:rPr>
          <w:b/>
          <w:sz w:val="24"/>
          <w:szCs w:val="24"/>
          <w:shd w:val="clear" w:color="auto" w:fill="FFFFFF"/>
          <w:lang w:val="en-US" w:eastAsia="en-US"/>
        </w:rPr>
        <w:t>Passive systems air conditioners</w:t>
      </w:r>
    </w:p>
    <w:p w:rsidR="000F594F" w:rsidRPr="000F594F" w:rsidRDefault="000F594F" w:rsidP="000F594F">
      <w:pPr>
        <w:tabs>
          <w:tab w:val="left" w:pos="5040"/>
        </w:tabs>
        <w:spacing w:line="276" w:lineRule="auto"/>
        <w:jc w:val="right"/>
        <w:rPr>
          <w:sz w:val="22"/>
          <w:szCs w:val="22"/>
          <w:lang w:val="en-US" w:eastAsia="en-US"/>
        </w:rPr>
      </w:pPr>
    </w:p>
    <w:p w:rsidR="000F594F" w:rsidRPr="000F594F" w:rsidRDefault="000F594F" w:rsidP="00D15DEA">
      <w:pPr>
        <w:tabs>
          <w:tab w:val="left" w:pos="5040"/>
        </w:tabs>
        <w:jc w:val="right"/>
        <w:rPr>
          <w:sz w:val="22"/>
          <w:szCs w:val="22"/>
          <w:lang w:val="en-US" w:eastAsia="en-US"/>
        </w:rPr>
      </w:pPr>
      <w:r w:rsidRPr="00FE2FD2">
        <w:rPr>
          <w:sz w:val="22"/>
          <w:szCs w:val="22"/>
          <w:lang w:eastAsia="en-US"/>
        </w:rPr>
        <w:t>Воробьев</w:t>
      </w:r>
      <w:r w:rsidRPr="000F594F">
        <w:rPr>
          <w:sz w:val="22"/>
          <w:szCs w:val="22"/>
          <w:lang w:val="en-US" w:eastAsia="en-US"/>
        </w:rPr>
        <w:t xml:space="preserve"> </w:t>
      </w:r>
      <w:r w:rsidRPr="00FE2FD2">
        <w:rPr>
          <w:sz w:val="22"/>
          <w:szCs w:val="22"/>
          <w:lang w:eastAsia="en-US"/>
        </w:rPr>
        <w:t>Н</w:t>
      </w:r>
      <w:r w:rsidRPr="000F594F">
        <w:rPr>
          <w:sz w:val="22"/>
          <w:szCs w:val="22"/>
          <w:lang w:val="en-US" w:eastAsia="en-US"/>
        </w:rPr>
        <w:t xml:space="preserve">. </w:t>
      </w:r>
      <w:r w:rsidRPr="00FE2FD2">
        <w:rPr>
          <w:sz w:val="22"/>
          <w:szCs w:val="22"/>
          <w:lang w:eastAsia="en-US"/>
        </w:rPr>
        <w:t>В</w:t>
      </w:r>
      <w:r w:rsidRPr="000F594F">
        <w:rPr>
          <w:sz w:val="22"/>
          <w:szCs w:val="22"/>
          <w:lang w:val="en-US" w:eastAsia="en-US"/>
        </w:rPr>
        <w:t>.,</w:t>
      </w:r>
    </w:p>
    <w:p w:rsidR="000F594F" w:rsidRPr="00FE2FD2" w:rsidRDefault="000F594F" w:rsidP="00D15DEA">
      <w:pPr>
        <w:tabs>
          <w:tab w:val="left" w:pos="5040"/>
        </w:tabs>
        <w:jc w:val="right"/>
        <w:rPr>
          <w:sz w:val="22"/>
          <w:szCs w:val="22"/>
          <w:lang w:eastAsia="en-US"/>
        </w:rPr>
      </w:pPr>
      <w:r w:rsidRPr="00FE2FD2">
        <w:rPr>
          <w:sz w:val="22"/>
          <w:szCs w:val="22"/>
          <w:lang w:eastAsia="en-US"/>
        </w:rPr>
        <w:t>студент 2-го курса факультета энергетики</w:t>
      </w:r>
    </w:p>
    <w:p w:rsidR="000F594F" w:rsidRPr="00FE2FD2" w:rsidRDefault="000F594F" w:rsidP="00D15DEA">
      <w:pPr>
        <w:tabs>
          <w:tab w:val="left" w:pos="5040"/>
        </w:tabs>
        <w:jc w:val="right"/>
        <w:rPr>
          <w:sz w:val="22"/>
          <w:szCs w:val="22"/>
          <w:lang w:eastAsia="en-US"/>
        </w:rPr>
      </w:pPr>
      <w:r w:rsidRPr="00FE2FD2">
        <w:rPr>
          <w:sz w:val="22"/>
          <w:szCs w:val="22"/>
          <w:lang w:eastAsia="en-US"/>
        </w:rPr>
        <w:t>Бегдай С. Н.,</w:t>
      </w:r>
    </w:p>
    <w:p w:rsidR="000F594F" w:rsidRPr="00FE2FD2" w:rsidRDefault="000F594F" w:rsidP="00D15DEA">
      <w:pPr>
        <w:tabs>
          <w:tab w:val="left" w:pos="5040"/>
        </w:tabs>
        <w:jc w:val="right"/>
        <w:rPr>
          <w:sz w:val="22"/>
          <w:szCs w:val="22"/>
          <w:lang w:eastAsia="en-US"/>
        </w:rPr>
      </w:pPr>
      <w:r w:rsidRPr="00FE2FD2">
        <w:rPr>
          <w:sz w:val="22"/>
          <w:szCs w:val="22"/>
          <w:lang w:eastAsia="en-US"/>
        </w:rPr>
        <w:t>доцент кафедры электротехники, теплотехники и ВИЭ</w:t>
      </w:r>
    </w:p>
    <w:p w:rsidR="000F594F" w:rsidRPr="00FE2FD2" w:rsidRDefault="000F594F" w:rsidP="00D15DEA">
      <w:pPr>
        <w:jc w:val="right"/>
        <w:rPr>
          <w:sz w:val="22"/>
          <w:szCs w:val="22"/>
          <w:lang w:eastAsia="en-US"/>
        </w:rPr>
      </w:pPr>
      <w:r w:rsidRPr="00FE2FD2">
        <w:rPr>
          <w:sz w:val="22"/>
          <w:szCs w:val="22"/>
          <w:lang w:eastAsia="en-US"/>
        </w:rPr>
        <w:t xml:space="preserve">Кубанский государственный аграрный </w:t>
      </w:r>
    </w:p>
    <w:p w:rsidR="000F594F" w:rsidRPr="00FE2FD2" w:rsidRDefault="000F594F" w:rsidP="00D15DEA">
      <w:pPr>
        <w:ind w:firstLine="426"/>
        <w:jc w:val="right"/>
        <w:rPr>
          <w:sz w:val="20"/>
          <w:szCs w:val="20"/>
        </w:rPr>
      </w:pPr>
      <w:r w:rsidRPr="00FE2FD2">
        <w:rPr>
          <w:sz w:val="22"/>
          <w:szCs w:val="22"/>
          <w:lang w:eastAsia="en-US"/>
        </w:rPr>
        <w:t>университет имени И. Т. Трубилина</w:t>
      </w:r>
      <w:r w:rsidRPr="00FE2FD2">
        <w:rPr>
          <w:sz w:val="20"/>
          <w:szCs w:val="20"/>
        </w:rPr>
        <w:t xml:space="preserve"> </w:t>
      </w:r>
    </w:p>
    <w:p w:rsidR="000F594F" w:rsidRPr="00FE2FD2" w:rsidRDefault="000F594F" w:rsidP="000F594F">
      <w:pPr>
        <w:ind w:firstLine="426"/>
        <w:jc w:val="both"/>
        <w:rPr>
          <w:sz w:val="20"/>
          <w:szCs w:val="20"/>
        </w:rPr>
      </w:pPr>
    </w:p>
    <w:p w:rsidR="000F594F" w:rsidRPr="00FE2FD2" w:rsidRDefault="000F594F" w:rsidP="000F594F">
      <w:pPr>
        <w:ind w:firstLine="426"/>
        <w:jc w:val="both"/>
        <w:rPr>
          <w:sz w:val="22"/>
          <w:szCs w:val="22"/>
        </w:rPr>
      </w:pPr>
      <w:r w:rsidRPr="00FE2FD2">
        <w:rPr>
          <w:sz w:val="22"/>
          <w:szCs w:val="22"/>
        </w:rPr>
        <w:t>АННОТАЦИЯ. Рассматриваются конструктивные решения для использования в составе абсорбционных систем кондициониров</w:t>
      </w:r>
      <w:r w:rsidRPr="00FE2FD2">
        <w:rPr>
          <w:sz w:val="22"/>
          <w:szCs w:val="22"/>
        </w:rPr>
        <w:t>а</w:t>
      </w:r>
      <w:r w:rsidRPr="00FE2FD2">
        <w:rPr>
          <w:sz w:val="22"/>
          <w:szCs w:val="22"/>
        </w:rPr>
        <w:t>ния, позволяющие более эффективно их использовать в условиях Краснодарского края.</w:t>
      </w:r>
    </w:p>
    <w:p w:rsidR="000F594F" w:rsidRPr="00FE2FD2" w:rsidRDefault="000F594F" w:rsidP="000F594F">
      <w:pPr>
        <w:ind w:firstLine="426"/>
        <w:jc w:val="both"/>
        <w:rPr>
          <w:sz w:val="22"/>
          <w:szCs w:val="22"/>
          <w:lang w:val="en-US"/>
        </w:rPr>
      </w:pPr>
      <w:r w:rsidRPr="00FE2FD2">
        <w:rPr>
          <w:sz w:val="22"/>
          <w:szCs w:val="22"/>
          <w:lang w:val="en-US"/>
        </w:rPr>
        <w:t>ANNOTATION. Constructive solutions for use in the composition of absorption air conditioning systems are considered , which allow to use them more effectively in the conditions of the Krasnodar territory.</w:t>
      </w:r>
    </w:p>
    <w:p w:rsidR="000F594F" w:rsidRPr="00FE2FD2" w:rsidRDefault="000F594F" w:rsidP="000F594F">
      <w:pPr>
        <w:ind w:firstLine="426"/>
        <w:jc w:val="both"/>
        <w:rPr>
          <w:spacing w:val="-4"/>
          <w:sz w:val="22"/>
          <w:szCs w:val="22"/>
        </w:rPr>
      </w:pPr>
      <w:r w:rsidRPr="00FE2FD2">
        <w:rPr>
          <w:spacing w:val="-4"/>
          <w:sz w:val="22"/>
          <w:szCs w:val="22"/>
        </w:rPr>
        <w:t>КЛЮЧЕВЫЕ СЛОВА: кондиционирование, абсорбционный х</w:t>
      </w:r>
      <w:r w:rsidRPr="00FE2FD2">
        <w:rPr>
          <w:spacing w:val="-4"/>
          <w:sz w:val="22"/>
          <w:szCs w:val="22"/>
        </w:rPr>
        <w:t>о</w:t>
      </w:r>
      <w:r w:rsidRPr="00FE2FD2">
        <w:rPr>
          <w:spacing w:val="-4"/>
          <w:sz w:val="22"/>
          <w:szCs w:val="22"/>
        </w:rPr>
        <w:t>лодильник, системы кондиционирования.</w:t>
      </w:r>
    </w:p>
    <w:p w:rsidR="000F594F" w:rsidRPr="00FE2FD2" w:rsidRDefault="000F594F" w:rsidP="000F594F">
      <w:pPr>
        <w:ind w:firstLine="426"/>
        <w:jc w:val="both"/>
        <w:rPr>
          <w:spacing w:val="-4"/>
          <w:sz w:val="22"/>
          <w:szCs w:val="22"/>
          <w:lang w:val="en-US"/>
        </w:rPr>
      </w:pPr>
      <w:r w:rsidRPr="00FE2FD2">
        <w:rPr>
          <w:sz w:val="22"/>
          <w:szCs w:val="22"/>
          <w:lang w:val="en-US"/>
        </w:rPr>
        <w:t>KEYWORDS: air conditioning, absorption refrigerator,</w:t>
      </w:r>
      <w:r w:rsidRPr="00FE2FD2">
        <w:rPr>
          <w:sz w:val="22"/>
          <w:szCs w:val="22"/>
          <w:shd w:val="clear" w:color="auto" w:fill="FFFFFF"/>
          <w:lang w:val="en-US"/>
        </w:rPr>
        <w:t xml:space="preserve"> </w:t>
      </w:r>
      <w:r w:rsidRPr="00FE2FD2">
        <w:rPr>
          <w:sz w:val="22"/>
          <w:szCs w:val="22"/>
          <w:shd w:val="clear" w:color="auto" w:fill="FFFFFF"/>
          <w:lang w:val="en-US" w:eastAsia="en-US"/>
        </w:rPr>
        <w:t>air cond</w:t>
      </w:r>
      <w:r w:rsidRPr="00FE2FD2">
        <w:rPr>
          <w:sz w:val="22"/>
          <w:szCs w:val="22"/>
          <w:shd w:val="clear" w:color="auto" w:fill="FFFFFF"/>
          <w:lang w:val="en-US" w:eastAsia="en-US"/>
        </w:rPr>
        <w:t>i</w:t>
      </w:r>
      <w:r w:rsidRPr="00FE2FD2">
        <w:rPr>
          <w:sz w:val="22"/>
          <w:szCs w:val="22"/>
          <w:shd w:val="clear" w:color="auto" w:fill="FFFFFF"/>
          <w:lang w:val="en-US" w:eastAsia="en-US"/>
        </w:rPr>
        <w:t>tioning system</w:t>
      </w:r>
      <w:r w:rsidRPr="00FE2FD2">
        <w:rPr>
          <w:spacing w:val="-4"/>
          <w:sz w:val="22"/>
          <w:szCs w:val="22"/>
          <w:lang w:val="en-US"/>
        </w:rPr>
        <w:t>.</w:t>
      </w:r>
    </w:p>
    <w:p w:rsidR="000F594F" w:rsidRPr="00FE2FD2" w:rsidRDefault="000F594F" w:rsidP="000F594F">
      <w:pPr>
        <w:jc w:val="center"/>
        <w:rPr>
          <w:sz w:val="22"/>
          <w:szCs w:val="22"/>
          <w:lang w:val="en-US"/>
        </w:rPr>
      </w:pPr>
    </w:p>
    <w:p w:rsidR="000F594F" w:rsidRPr="00FE2FD2" w:rsidRDefault="000F594F" w:rsidP="000F594F">
      <w:pPr>
        <w:shd w:val="clear" w:color="auto" w:fill="FFFFFF"/>
        <w:ind w:firstLine="425"/>
        <w:jc w:val="both"/>
        <w:rPr>
          <w:color w:val="000000"/>
          <w:sz w:val="22"/>
          <w:szCs w:val="22"/>
        </w:rPr>
      </w:pPr>
      <w:r w:rsidRPr="00FE2FD2">
        <w:rPr>
          <w:color w:val="000000"/>
          <w:sz w:val="22"/>
          <w:szCs w:val="22"/>
        </w:rPr>
        <w:t>Самая массовая по конструкции абсорбционная машина это одноступенчатая холодильная машина способная теоретически (при использовании идеального газа, в качестве рабочего тела) получить столько холода, сколько было подведено тепла в генератор. В р</w:t>
      </w:r>
      <w:r w:rsidRPr="00FE2FD2">
        <w:rPr>
          <w:color w:val="000000"/>
          <w:sz w:val="22"/>
          <w:szCs w:val="22"/>
        </w:rPr>
        <w:t>е</w:t>
      </w:r>
      <w:r w:rsidRPr="00FE2FD2">
        <w:rPr>
          <w:color w:val="000000"/>
          <w:sz w:val="22"/>
          <w:szCs w:val="22"/>
        </w:rPr>
        <w:t>альных условиях в следствии необратимости процессов холодил</w:t>
      </w:r>
      <w:r w:rsidRPr="00FE2FD2">
        <w:rPr>
          <w:color w:val="000000"/>
          <w:sz w:val="22"/>
          <w:szCs w:val="22"/>
        </w:rPr>
        <w:t>ь</w:t>
      </w:r>
      <w:r w:rsidRPr="00FE2FD2">
        <w:rPr>
          <w:color w:val="000000"/>
          <w:sz w:val="22"/>
          <w:szCs w:val="22"/>
        </w:rPr>
        <w:t>ный коэффициент несколько ниже, чем в идеальной машине. В да</w:t>
      </w:r>
      <w:r w:rsidRPr="00FE2FD2">
        <w:rPr>
          <w:color w:val="000000"/>
          <w:sz w:val="22"/>
          <w:szCs w:val="22"/>
        </w:rPr>
        <w:t>н</w:t>
      </w:r>
      <w:r w:rsidRPr="00FE2FD2">
        <w:rPr>
          <w:color w:val="000000"/>
          <w:sz w:val="22"/>
          <w:szCs w:val="22"/>
        </w:rPr>
        <w:t>ных установках из-за выше указанных причин достаточно низкий коэффициент полезного действия. Область применения данных установок это здания или сооружения где имеются легко извлека</w:t>
      </w:r>
      <w:r w:rsidRPr="00FE2FD2">
        <w:rPr>
          <w:color w:val="000000"/>
          <w:sz w:val="22"/>
          <w:szCs w:val="22"/>
        </w:rPr>
        <w:t>е</w:t>
      </w:r>
      <w:r w:rsidRPr="00FE2FD2">
        <w:rPr>
          <w:color w:val="000000"/>
          <w:sz w:val="22"/>
          <w:szCs w:val="22"/>
        </w:rPr>
        <w:t>мые тепловые излишки. Как правило, эти установки выпускают с мощностью до 5 МВт при холодильном коэффициенте колебл</w:t>
      </w:r>
      <w:r w:rsidRPr="00FE2FD2">
        <w:rPr>
          <w:color w:val="000000"/>
          <w:sz w:val="22"/>
          <w:szCs w:val="22"/>
        </w:rPr>
        <w:t>ю</w:t>
      </w:r>
      <w:r w:rsidRPr="00FE2FD2">
        <w:rPr>
          <w:color w:val="000000"/>
          <w:sz w:val="22"/>
          <w:szCs w:val="22"/>
        </w:rPr>
        <w:t>щимся в пределах от 0,6 до 0,8 [1].</w:t>
      </w:r>
    </w:p>
    <w:p w:rsidR="000F594F" w:rsidRPr="00FE2FD2" w:rsidRDefault="000F594F" w:rsidP="000F594F">
      <w:pPr>
        <w:shd w:val="clear" w:color="auto" w:fill="FFFFFF"/>
        <w:ind w:firstLine="425"/>
        <w:jc w:val="both"/>
        <w:rPr>
          <w:color w:val="000000"/>
          <w:sz w:val="22"/>
          <w:szCs w:val="22"/>
        </w:rPr>
      </w:pPr>
      <w:r w:rsidRPr="00FE2FD2">
        <w:rPr>
          <w:color w:val="000000"/>
          <w:sz w:val="22"/>
          <w:szCs w:val="22"/>
        </w:rPr>
        <w:lastRenderedPageBreak/>
        <w:t>Как показывает практика не всегда возможно (целесообразно) использовать одноступенчатые машины, и в данном случае есть смысл обратить внимание на двухступенчатые машины которые устроены аналогичны с первыми. По сути данные абсорбционные  холодильные машины это две одноступенчатые машины в которых можно более эффективно потреблять тепловую энергию и получать холод [2].</w:t>
      </w:r>
    </w:p>
    <w:p w:rsidR="000F594F" w:rsidRPr="00FE2FD2" w:rsidRDefault="000F594F" w:rsidP="000F594F">
      <w:pPr>
        <w:shd w:val="clear" w:color="auto" w:fill="FFFFFF"/>
        <w:ind w:firstLine="425"/>
        <w:jc w:val="both"/>
        <w:rPr>
          <w:sz w:val="22"/>
          <w:szCs w:val="22"/>
        </w:rPr>
      </w:pPr>
      <w:r w:rsidRPr="00FE2FD2">
        <w:rPr>
          <w:sz w:val="22"/>
          <w:szCs w:val="22"/>
        </w:rPr>
        <w:t>Основной изюминкой абсорбционной холодильной машины является то, что они различны с парокомпрессионными установк</w:t>
      </w:r>
      <w:r w:rsidRPr="00FE2FD2">
        <w:rPr>
          <w:sz w:val="22"/>
          <w:szCs w:val="22"/>
        </w:rPr>
        <w:t>а</w:t>
      </w:r>
      <w:r w:rsidRPr="00FE2FD2">
        <w:rPr>
          <w:sz w:val="22"/>
          <w:szCs w:val="22"/>
        </w:rPr>
        <w:t>ми кондиционирования в конструктивной составляющей и не им</w:t>
      </w:r>
      <w:r w:rsidRPr="00FE2FD2">
        <w:rPr>
          <w:sz w:val="22"/>
          <w:szCs w:val="22"/>
        </w:rPr>
        <w:t>е</w:t>
      </w:r>
      <w:r w:rsidRPr="00FE2FD2">
        <w:rPr>
          <w:sz w:val="22"/>
          <w:szCs w:val="22"/>
        </w:rPr>
        <w:t>ют трущихся пар работающих с относительно высокими давлени</w:t>
      </w:r>
      <w:r w:rsidRPr="00FE2FD2">
        <w:rPr>
          <w:sz w:val="22"/>
          <w:szCs w:val="22"/>
        </w:rPr>
        <w:t>я</w:t>
      </w:r>
      <w:r w:rsidRPr="00FE2FD2">
        <w:rPr>
          <w:sz w:val="22"/>
          <w:szCs w:val="22"/>
        </w:rPr>
        <w:t>ми в результате в них отсутствуют вибрации ощущаемые человеч</w:t>
      </w:r>
      <w:r w:rsidRPr="00FE2FD2">
        <w:rPr>
          <w:sz w:val="22"/>
          <w:szCs w:val="22"/>
        </w:rPr>
        <w:t>е</w:t>
      </w:r>
      <w:r w:rsidRPr="00FE2FD2">
        <w:rPr>
          <w:sz w:val="22"/>
          <w:szCs w:val="22"/>
        </w:rPr>
        <w:t>ским ухом, то есть работают практически с бесшумно. Своим им</w:t>
      </w:r>
      <w:r w:rsidRPr="00FE2FD2">
        <w:rPr>
          <w:sz w:val="22"/>
          <w:szCs w:val="22"/>
        </w:rPr>
        <w:t>е</w:t>
      </w:r>
      <w:r w:rsidRPr="00FE2FD2">
        <w:rPr>
          <w:sz w:val="22"/>
          <w:szCs w:val="22"/>
        </w:rPr>
        <w:t>нем  абсорбционные холодильные машины обязаны физическим закономерностям происходящих в ней в виде поглощения жидк</w:t>
      </w:r>
      <w:r w:rsidRPr="00FE2FD2">
        <w:rPr>
          <w:sz w:val="22"/>
          <w:szCs w:val="22"/>
        </w:rPr>
        <w:t>о</w:t>
      </w:r>
      <w:r w:rsidRPr="00FE2FD2">
        <w:rPr>
          <w:sz w:val="22"/>
          <w:szCs w:val="22"/>
        </w:rPr>
        <w:t>стью паров холодильного агента, происходящем в испарителе да</w:t>
      </w:r>
      <w:r w:rsidRPr="00FE2FD2">
        <w:rPr>
          <w:sz w:val="22"/>
          <w:szCs w:val="22"/>
        </w:rPr>
        <w:t>н</w:t>
      </w:r>
      <w:r w:rsidRPr="00FE2FD2">
        <w:rPr>
          <w:sz w:val="22"/>
          <w:szCs w:val="22"/>
        </w:rPr>
        <w:t>ной установки. В абсорбционных холодильных машинах использ</w:t>
      </w:r>
      <w:r w:rsidRPr="00FE2FD2">
        <w:rPr>
          <w:sz w:val="22"/>
          <w:szCs w:val="22"/>
        </w:rPr>
        <w:t>у</w:t>
      </w:r>
      <w:r w:rsidRPr="00FE2FD2">
        <w:rPr>
          <w:sz w:val="22"/>
          <w:szCs w:val="22"/>
        </w:rPr>
        <w:t>ют два вида рабочего тела это водный раствор аммиака с темпер</w:t>
      </w:r>
      <w:r w:rsidRPr="00FE2FD2">
        <w:rPr>
          <w:sz w:val="22"/>
          <w:szCs w:val="22"/>
        </w:rPr>
        <w:t>а</w:t>
      </w:r>
      <w:r w:rsidRPr="00FE2FD2">
        <w:rPr>
          <w:sz w:val="22"/>
          <w:szCs w:val="22"/>
        </w:rPr>
        <w:t xml:space="preserve">турой кипения  хладагента  минус тридцать три градуса, а также раствор </w:t>
      </w:r>
      <w:r w:rsidRPr="00FE2FD2">
        <w:rPr>
          <w:color w:val="222222"/>
          <w:sz w:val="22"/>
          <w:szCs w:val="22"/>
          <w:shd w:val="clear" w:color="auto" w:fill="FFFFFF"/>
        </w:rPr>
        <w:t>LiBr с водой обладающий</w:t>
      </w:r>
      <w:r w:rsidRPr="00FE2FD2">
        <w:rPr>
          <w:sz w:val="22"/>
          <w:szCs w:val="22"/>
        </w:rPr>
        <w:t xml:space="preserve"> температурой кипения около   100</w:t>
      </w:r>
      <w:r w:rsidRPr="00FE2FD2">
        <w:rPr>
          <w:sz w:val="22"/>
          <w:szCs w:val="22"/>
          <w:vertAlign w:val="superscript"/>
        </w:rPr>
        <w:t>о</w:t>
      </w:r>
      <w:r w:rsidRPr="00FE2FD2">
        <w:rPr>
          <w:sz w:val="22"/>
          <w:szCs w:val="22"/>
        </w:rPr>
        <w:t xml:space="preserve"> С. В нашем случае выбор является очевидным,  так как для с</w:t>
      </w:r>
      <w:r w:rsidRPr="00FE2FD2">
        <w:rPr>
          <w:sz w:val="22"/>
          <w:szCs w:val="22"/>
        </w:rPr>
        <w:t>и</w:t>
      </w:r>
      <w:r w:rsidRPr="00FE2FD2">
        <w:rPr>
          <w:sz w:val="22"/>
          <w:szCs w:val="22"/>
        </w:rPr>
        <w:t>стемы кондиционирования где источником тепла служит солне</w:t>
      </w:r>
      <w:r w:rsidRPr="00FE2FD2">
        <w:rPr>
          <w:sz w:val="22"/>
          <w:szCs w:val="22"/>
        </w:rPr>
        <w:t>ч</w:t>
      </w:r>
      <w:r w:rsidRPr="00FE2FD2">
        <w:rPr>
          <w:sz w:val="22"/>
          <w:szCs w:val="22"/>
        </w:rPr>
        <w:t>ный коллектор пригоден лишь один кандидат – водоаммиачный раствор у которого подходящая температура кипения [3].</w:t>
      </w:r>
    </w:p>
    <w:p w:rsidR="000F594F" w:rsidRPr="00FE2FD2" w:rsidRDefault="000F594F" w:rsidP="00D15DEA">
      <w:pPr>
        <w:shd w:val="clear" w:color="auto" w:fill="FFFFFF"/>
        <w:ind w:firstLine="425"/>
        <w:jc w:val="both"/>
        <w:rPr>
          <w:sz w:val="22"/>
          <w:szCs w:val="22"/>
        </w:rPr>
      </w:pPr>
      <w:r w:rsidRPr="00FE2FD2">
        <w:rPr>
          <w:sz w:val="22"/>
          <w:szCs w:val="22"/>
        </w:rPr>
        <w:t>Основными элементами нашей экспериментальной установки пассивной абсорбционной системы кондиционирования воздуха стали:</w:t>
      </w:r>
    </w:p>
    <w:p w:rsidR="000F594F" w:rsidRPr="00FE2FD2" w:rsidRDefault="000F594F" w:rsidP="00D15DEA">
      <w:pPr>
        <w:numPr>
          <w:ilvl w:val="0"/>
          <w:numId w:val="107"/>
        </w:numPr>
        <w:shd w:val="clear" w:color="auto" w:fill="FFFFFF"/>
        <w:spacing w:line="276" w:lineRule="auto"/>
        <w:jc w:val="both"/>
        <w:rPr>
          <w:sz w:val="22"/>
          <w:szCs w:val="22"/>
        </w:rPr>
      </w:pPr>
      <w:r w:rsidRPr="00FE2FD2">
        <w:rPr>
          <w:sz w:val="22"/>
          <w:szCs w:val="22"/>
        </w:rPr>
        <w:t>Хладагент - аммиак,</w:t>
      </w:r>
    </w:p>
    <w:p w:rsidR="000F594F" w:rsidRPr="00FE2FD2" w:rsidRDefault="000F594F" w:rsidP="00D15DEA">
      <w:pPr>
        <w:numPr>
          <w:ilvl w:val="0"/>
          <w:numId w:val="107"/>
        </w:numPr>
        <w:shd w:val="clear" w:color="auto" w:fill="FFFFFF"/>
        <w:spacing w:line="276" w:lineRule="auto"/>
        <w:jc w:val="both"/>
        <w:rPr>
          <w:sz w:val="22"/>
          <w:szCs w:val="22"/>
        </w:rPr>
      </w:pPr>
      <w:r w:rsidRPr="00FE2FD2">
        <w:rPr>
          <w:sz w:val="22"/>
          <w:szCs w:val="22"/>
        </w:rPr>
        <w:t>Абсорбент - деминерализированная вода,</w:t>
      </w:r>
    </w:p>
    <w:p w:rsidR="000F594F" w:rsidRPr="00FE2FD2" w:rsidRDefault="000F594F" w:rsidP="00D15DEA">
      <w:pPr>
        <w:numPr>
          <w:ilvl w:val="0"/>
          <w:numId w:val="107"/>
        </w:numPr>
        <w:shd w:val="clear" w:color="auto" w:fill="FFFFFF"/>
        <w:spacing w:line="276" w:lineRule="auto"/>
        <w:jc w:val="both"/>
        <w:rPr>
          <w:sz w:val="22"/>
          <w:szCs w:val="22"/>
        </w:rPr>
      </w:pPr>
      <w:r w:rsidRPr="00FE2FD2">
        <w:rPr>
          <w:sz w:val="22"/>
          <w:szCs w:val="22"/>
        </w:rPr>
        <w:t>Ингибитор коррозии,</w:t>
      </w:r>
    </w:p>
    <w:p w:rsidR="000F594F" w:rsidRPr="00FE2FD2" w:rsidRDefault="000F594F" w:rsidP="00D15DEA">
      <w:pPr>
        <w:numPr>
          <w:ilvl w:val="0"/>
          <w:numId w:val="107"/>
        </w:numPr>
        <w:shd w:val="clear" w:color="auto" w:fill="FFFFFF"/>
        <w:spacing w:line="276" w:lineRule="auto"/>
        <w:jc w:val="both"/>
        <w:rPr>
          <w:sz w:val="22"/>
          <w:szCs w:val="22"/>
        </w:rPr>
      </w:pPr>
      <w:r w:rsidRPr="00FE2FD2">
        <w:rPr>
          <w:sz w:val="22"/>
          <w:szCs w:val="22"/>
        </w:rPr>
        <w:t xml:space="preserve"> Стабилизатор давления - гелий</w:t>
      </w:r>
    </w:p>
    <w:p w:rsidR="000F594F" w:rsidRPr="00FE2FD2" w:rsidRDefault="000F594F" w:rsidP="00D15DEA">
      <w:pPr>
        <w:widowControl w:val="0"/>
        <w:shd w:val="clear" w:color="auto" w:fill="FFFFFF"/>
        <w:ind w:firstLine="425"/>
        <w:jc w:val="both"/>
        <w:textAlignment w:val="baseline"/>
        <w:outlineLvl w:val="0"/>
        <w:rPr>
          <w:spacing w:val="2"/>
          <w:sz w:val="22"/>
          <w:szCs w:val="22"/>
        </w:rPr>
      </w:pPr>
      <w:r w:rsidRPr="00FE2FD2">
        <w:rPr>
          <w:sz w:val="22"/>
          <w:szCs w:val="22"/>
        </w:rPr>
        <w:t>Даная конструкция была выполнена газо-плазменной сваркой из труб БШГД, сталь использована 09г2с</w:t>
      </w:r>
      <w:r w:rsidRPr="00FE2FD2">
        <w:rPr>
          <w:spacing w:val="2"/>
          <w:sz w:val="22"/>
          <w:szCs w:val="22"/>
        </w:rPr>
        <w:t>.</w:t>
      </w:r>
    </w:p>
    <w:p w:rsidR="000F594F" w:rsidRPr="00FE2FD2" w:rsidRDefault="000F594F" w:rsidP="00D15DEA">
      <w:pPr>
        <w:widowControl w:val="0"/>
        <w:shd w:val="clear" w:color="auto" w:fill="FFFFFF"/>
        <w:ind w:firstLine="425"/>
        <w:jc w:val="both"/>
        <w:textAlignment w:val="baseline"/>
        <w:outlineLvl w:val="0"/>
        <w:rPr>
          <w:sz w:val="22"/>
          <w:szCs w:val="22"/>
        </w:rPr>
      </w:pPr>
      <w:r w:rsidRPr="00FE2FD2">
        <w:rPr>
          <w:spacing w:val="2"/>
          <w:sz w:val="22"/>
          <w:szCs w:val="22"/>
        </w:rPr>
        <w:t>На зарядку установки ушло один и семь литра раствора при концентрации аммиака тридцать пять процентов, кроме того в с</w:t>
      </w:r>
      <w:r w:rsidRPr="00FE2FD2">
        <w:rPr>
          <w:spacing w:val="2"/>
          <w:sz w:val="22"/>
          <w:szCs w:val="22"/>
        </w:rPr>
        <w:t>и</w:t>
      </w:r>
      <w:r w:rsidRPr="00FE2FD2">
        <w:rPr>
          <w:spacing w:val="2"/>
          <w:sz w:val="22"/>
          <w:szCs w:val="22"/>
        </w:rPr>
        <w:t>стему закачали инертный газ не вступающий в реакции с хлад</w:t>
      </w:r>
      <w:r w:rsidRPr="00FE2FD2">
        <w:rPr>
          <w:spacing w:val="2"/>
          <w:sz w:val="22"/>
          <w:szCs w:val="22"/>
        </w:rPr>
        <w:t>а</w:t>
      </w:r>
      <w:r w:rsidRPr="00FE2FD2">
        <w:rPr>
          <w:spacing w:val="2"/>
          <w:sz w:val="22"/>
          <w:szCs w:val="22"/>
        </w:rPr>
        <w:t>гентом для опресовки с давлением 30 бар. После проверки герм</w:t>
      </w:r>
      <w:r w:rsidRPr="00FE2FD2">
        <w:rPr>
          <w:spacing w:val="2"/>
          <w:sz w:val="22"/>
          <w:szCs w:val="22"/>
        </w:rPr>
        <w:t>е</w:t>
      </w:r>
      <w:r w:rsidRPr="00FE2FD2">
        <w:rPr>
          <w:spacing w:val="2"/>
          <w:sz w:val="22"/>
          <w:szCs w:val="22"/>
        </w:rPr>
        <w:lastRenderedPageBreak/>
        <w:t xml:space="preserve">тичности системы давление было спущено до 19 бар. </w:t>
      </w:r>
    </w:p>
    <w:p w:rsidR="000F594F" w:rsidRPr="00FE2FD2" w:rsidRDefault="000F594F" w:rsidP="00D15DEA">
      <w:pPr>
        <w:ind w:firstLine="425"/>
        <w:jc w:val="both"/>
        <w:rPr>
          <w:sz w:val="22"/>
          <w:szCs w:val="22"/>
          <w:lang w:eastAsia="en-US"/>
        </w:rPr>
      </w:pPr>
      <w:r w:rsidRPr="00FE2FD2">
        <w:rPr>
          <w:sz w:val="22"/>
          <w:szCs w:val="22"/>
          <w:lang w:eastAsia="en-US"/>
        </w:rPr>
        <w:t>Описываемая система кондиционирования диффузного типа состоит также как и одноконтурная абсорбционная холодильная машина из: Генератора предназначенного для генерации аммиачн</w:t>
      </w:r>
      <w:r w:rsidRPr="00FE2FD2">
        <w:rPr>
          <w:sz w:val="22"/>
          <w:szCs w:val="22"/>
          <w:lang w:eastAsia="en-US"/>
        </w:rPr>
        <w:t>о</w:t>
      </w:r>
      <w:r w:rsidRPr="00FE2FD2">
        <w:rPr>
          <w:sz w:val="22"/>
          <w:szCs w:val="22"/>
          <w:lang w:eastAsia="en-US"/>
        </w:rPr>
        <w:t>го пара и подъема раствора низкой концентрации в абсорбер. Ко</w:t>
      </w:r>
      <w:r w:rsidRPr="00FE2FD2">
        <w:rPr>
          <w:sz w:val="22"/>
          <w:szCs w:val="22"/>
          <w:lang w:eastAsia="en-US"/>
        </w:rPr>
        <w:t>н</w:t>
      </w:r>
      <w:r w:rsidRPr="00FE2FD2">
        <w:rPr>
          <w:sz w:val="22"/>
          <w:szCs w:val="22"/>
          <w:lang w:eastAsia="en-US"/>
        </w:rPr>
        <w:t>денсатора предназначенного для изменения агрегатного состояния аммиака с генерацией тепла. Испарителя предназначенного для и</w:t>
      </w:r>
      <w:r w:rsidRPr="00FE2FD2">
        <w:rPr>
          <w:sz w:val="22"/>
          <w:szCs w:val="22"/>
          <w:lang w:eastAsia="en-US"/>
        </w:rPr>
        <w:t>з</w:t>
      </w:r>
      <w:r w:rsidRPr="00FE2FD2">
        <w:rPr>
          <w:sz w:val="22"/>
          <w:szCs w:val="22"/>
          <w:lang w:eastAsia="en-US"/>
        </w:rPr>
        <w:t>менения агрегатного состояния аммиака с генерацией холода. Рес</w:t>
      </w:r>
      <w:r w:rsidRPr="00FE2FD2">
        <w:rPr>
          <w:sz w:val="22"/>
          <w:szCs w:val="22"/>
          <w:lang w:eastAsia="en-US"/>
        </w:rPr>
        <w:t>и</w:t>
      </w:r>
      <w:r w:rsidRPr="00FE2FD2">
        <w:rPr>
          <w:sz w:val="22"/>
          <w:szCs w:val="22"/>
          <w:lang w:eastAsia="en-US"/>
        </w:rPr>
        <w:t xml:space="preserve">вера предназначенного для буферного хранения рабочего тела. </w:t>
      </w:r>
    </w:p>
    <w:p w:rsidR="000F594F" w:rsidRDefault="000F594F" w:rsidP="00D15DEA">
      <w:pPr>
        <w:ind w:firstLine="425"/>
        <w:jc w:val="both"/>
        <w:rPr>
          <w:sz w:val="22"/>
          <w:szCs w:val="22"/>
          <w:lang w:eastAsia="en-US"/>
        </w:rPr>
      </w:pPr>
      <w:r w:rsidRPr="00FE2FD2">
        <w:rPr>
          <w:sz w:val="22"/>
          <w:szCs w:val="22"/>
          <w:lang w:eastAsia="en-US"/>
        </w:rPr>
        <w:t>В первом приближении стало ясно что система является раб</w:t>
      </w:r>
      <w:r w:rsidRPr="00FE2FD2">
        <w:rPr>
          <w:sz w:val="22"/>
          <w:szCs w:val="22"/>
          <w:lang w:eastAsia="en-US"/>
        </w:rPr>
        <w:t>о</w:t>
      </w:r>
      <w:r w:rsidRPr="00FE2FD2">
        <w:rPr>
          <w:sz w:val="22"/>
          <w:szCs w:val="22"/>
          <w:lang w:eastAsia="en-US"/>
        </w:rPr>
        <w:t>тоспособной, в</w:t>
      </w:r>
      <w:r w:rsidRPr="00FE2FD2">
        <w:rPr>
          <w:color w:val="000000"/>
          <w:sz w:val="22"/>
          <w:szCs w:val="22"/>
          <w:lang w:eastAsia="en-US"/>
        </w:rPr>
        <w:t xml:space="preserve"> относительно широком диапазоне начальных пар</w:t>
      </w:r>
      <w:r w:rsidRPr="00FE2FD2">
        <w:rPr>
          <w:color w:val="000000"/>
          <w:sz w:val="22"/>
          <w:szCs w:val="22"/>
          <w:lang w:eastAsia="en-US"/>
        </w:rPr>
        <w:t>а</w:t>
      </w:r>
      <w:r w:rsidRPr="00FE2FD2">
        <w:rPr>
          <w:color w:val="000000"/>
          <w:sz w:val="22"/>
          <w:szCs w:val="22"/>
          <w:lang w:eastAsia="en-US"/>
        </w:rPr>
        <w:t>метров воздуха солнечная система кондиционирования может обе</w:t>
      </w:r>
      <w:r w:rsidRPr="00FE2FD2">
        <w:rPr>
          <w:color w:val="000000"/>
          <w:sz w:val="22"/>
          <w:szCs w:val="22"/>
          <w:lang w:eastAsia="en-US"/>
        </w:rPr>
        <w:t>с</w:t>
      </w:r>
      <w:r w:rsidRPr="00FE2FD2">
        <w:rPr>
          <w:color w:val="000000"/>
          <w:sz w:val="22"/>
          <w:szCs w:val="22"/>
          <w:lang w:eastAsia="en-US"/>
        </w:rPr>
        <w:t>печить комфортные параметры воздуха в помещении только а</w:t>
      </w:r>
      <w:r w:rsidRPr="00FE2FD2">
        <w:rPr>
          <w:color w:val="000000"/>
          <w:sz w:val="22"/>
          <w:szCs w:val="22"/>
          <w:lang w:eastAsia="en-US"/>
        </w:rPr>
        <w:t>б</w:t>
      </w:r>
      <w:r w:rsidRPr="00FE2FD2">
        <w:rPr>
          <w:color w:val="000000"/>
          <w:sz w:val="22"/>
          <w:szCs w:val="22"/>
          <w:lang w:eastAsia="en-US"/>
        </w:rPr>
        <w:t>сорбционным методом</w:t>
      </w:r>
      <w:r w:rsidRPr="00FE2FD2">
        <w:rPr>
          <w:sz w:val="22"/>
          <w:szCs w:val="22"/>
          <w:lang w:eastAsia="en-US"/>
        </w:rPr>
        <w:t xml:space="preserve">. </w:t>
      </w:r>
      <w:r w:rsidRPr="00FE2FD2">
        <w:rPr>
          <w:color w:val="000000"/>
          <w:sz w:val="22"/>
          <w:szCs w:val="22"/>
          <w:lang w:eastAsia="en-US"/>
        </w:rPr>
        <w:t>В случаях  когда площадь гелиоколлектора мала или температура теплоносителя в солнечном коллекторе не превышает 35</w:t>
      </w:r>
      <w:r w:rsidRPr="00FE2FD2">
        <w:rPr>
          <w:color w:val="000000"/>
          <w:sz w:val="22"/>
          <w:szCs w:val="22"/>
          <w:vertAlign w:val="superscript"/>
          <w:lang w:eastAsia="en-US"/>
        </w:rPr>
        <w:t>о</w:t>
      </w:r>
      <w:r w:rsidRPr="00FE2FD2">
        <w:rPr>
          <w:color w:val="000000"/>
          <w:sz w:val="22"/>
          <w:szCs w:val="22"/>
          <w:lang w:eastAsia="en-US"/>
        </w:rPr>
        <w:t xml:space="preserve"> С, системе требуется дублер. </w:t>
      </w:r>
      <w:r w:rsidRPr="00FE2FD2">
        <w:rPr>
          <w:sz w:val="22"/>
          <w:szCs w:val="22"/>
          <w:lang w:eastAsia="en-US"/>
        </w:rPr>
        <w:t>Из данного экспер</w:t>
      </w:r>
      <w:r w:rsidRPr="00FE2FD2">
        <w:rPr>
          <w:sz w:val="22"/>
          <w:szCs w:val="22"/>
          <w:lang w:eastAsia="en-US"/>
        </w:rPr>
        <w:t>и</w:t>
      </w:r>
      <w:r w:rsidRPr="00FE2FD2">
        <w:rPr>
          <w:sz w:val="22"/>
          <w:szCs w:val="22"/>
          <w:lang w:eastAsia="en-US"/>
        </w:rPr>
        <w:t>мента понятно, что в дальнейшем необходимо увязать нелинейное изменение температуры внутри и с наружи помещения с холодил</w:t>
      </w:r>
      <w:r w:rsidRPr="00FE2FD2">
        <w:rPr>
          <w:sz w:val="22"/>
          <w:szCs w:val="22"/>
          <w:lang w:eastAsia="en-US"/>
        </w:rPr>
        <w:t>ь</w:t>
      </w:r>
      <w:r w:rsidRPr="00FE2FD2">
        <w:rPr>
          <w:sz w:val="22"/>
          <w:szCs w:val="22"/>
          <w:lang w:eastAsia="en-US"/>
        </w:rPr>
        <w:t>ной мощностью машины. Недостатком данной системы, как выя</w:t>
      </w:r>
      <w:r w:rsidRPr="00FE2FD2">
        <w:rPr>
          <w:sz w:val="22"/>
          <w:szCs w:val="22"/>
          <w:lang w:eastAsia="en-US"/>
        </w:rPr>
        <w:t>с</w:t>
      </w:r>
      <w:r w:rsidRPr="00FE2FD2">
        <w:rPr>
          <w:sz w:val="22"/>
          <w:szCs w:val="22"/>
          <w:lang w:eastAsia="en-US"/>
        </w:rPr>
        <w:t>нилось в процессе эксперимента является отсутствие бака аккум</w:t>
      </w:r>
      <w:r w:rsidRPr="00FE2FD2">
        <w:rPr>
          <w:sz w:val="22"/>
          <w:szCs w:val="22"/>
          <w:lang w:eastAsia="en-US"/>
        </w:rPr>
        <w:t>у</w:t>
      </w:r>
      <w:r w:rsidRPr="00FE2FD2">
        <w:rPr>
          <w:sz w:val="22"/>
          <w:szCs w:val="22"/>
          <w:lang w:eastAsia="en-US"/>
        </w:rPr>
        <w:t>лятора который помог бы компенсировать вышеуказанные не л</w:t>
      </w:r>
      <w:r w:rsidRPr="00FE2FD2">
        <w:rPr>
          <w:sz w:val="22"/>
          <w:szCs w:val="22"/>
          <w:lang w:eastAsia="en-US"/>
        </w:rPr>
        <w:t>и</w:t>
      </w:r>
      <w:r w:rsidRPr="00FE2FD2">
        <w:rPr>
          <w:sz w:val="22"/>
          <w:szCs w:val="22"/>
          <w:lang w:eastAsia="en-US"/>
        </w:rPr>
        <w:t>нейные изменения нагрузок на систему кондиционирования. К н</w:t>
      </w:r>
      <w:r w:rsidRPr="00FE2FD2">
        <w:rPr>
          <w:sz w:val="22"/>
          <w:szCs w:val="22"/>
          <w:lang w:eastAsia="en-US"/>
        </w:rPr>
        <w:t>е</w:t>
      </w:r>
      <w:r w:rsidRPr="00FE2FD2">
        <w:rPr>
          <w:sz w:val="22"/>
          <w:szCs w:val="22"/>
          <w:lang w:eastAsia="en-US"/>
        </w:rPr>
        <w:t xml:space="preserve">достатки это специфическая система вентиляции. </w:t>
      </w:r>
    </w:p>
    <w:p w:rsidR="00D15DEA" w:rsidRPr="00FE2FD2" w:rsidRDefault="00D15DEA" w:rsidP="00D15DEA">
      <w:pPr>
        <w:ind w:firstLine="425"/>
        <w:jc w:val="both"/>
        <w:rPr>
          <w:sz w:val="22"/>
          <w:szCs w:val="22"/>
        </w:rPr>
      </w:pPr>
    </w:p>
    <w:p w:rsidR="000F594F" w:rsidRPr="00FE2FD2" w:rsidRDefault="000F594F" w:rsidP="00D15DEA">
      <w:pPr>
        <w:jc w:val="center"/>
        <w:rPr>
          <w:sz w:val="22"/>
          <w:szCs w:val="22"/>
        </w:rPr>
      </w:pPr>
      <w:r w:rsidRPr="00FE2FD2">
        <w:rPr>
          <w:sz w:val="22"/>
          <w:szCs w:val="22"/>
        </w:rPr>
        <w:t>Список литературы</w:t>
      </w:r>
    </w:p>
    <w:p w:rsidR="000F594F" w:rsidRPr="00FE2FD2" w:rsidRDefault="000F594F" w:rsidP="00D15DEA">
      <w:pPr>
        <w:widowControl w:val="0"/>
        <w:ind w:firstLine="425"/>
        <w:jc w:val="both"/>
        <w:rPr>
          <w:bCs/>
          <w:sz w:val="22"/>
          <w:szCs w:val="22"/>
        </w:rPr>
      </w:pPr>
      <w:r w:rsidRPr="00FE2FD2">
        <w:rPr>
          <w:bCs/>
          <w:sz w:val="22"/>
          <w:szCs w:val="22"/>
        </w:rPr>
        <w:t xml:space="preserve">1. </w:t>
      </w:r>
      <w:r w:rsidRPr="00FE2FD2">
        <w:rPr>
          <w:sz w:val="22"/>
          <w:szCs w:val="22"/>
          <w:lang w:eastAsia="en-US"/>
        </w:rPr>
        <w:t>Бегдай, С. Н. Повышение тепловой эффективности одн</w:t>
      </w:r>
      <w:r w:rsidRPr="00FE2FD2">
        <w:rPr>
          <w:sz w:val="22"/>
          <w:szCs w:val="22"/>
          <w:lang w:eastAsia="en-US"/>
        </w:rPr>
        <w:t>о</w:t>
      </w:r>
      <w:r w:rsidRPr="00FE2FD2">
        <w:rPr>
          <w:sz w:val="22"/>
          <w:szCs w:val="22"/>
          <w:lang w:eastAsia="en-US"/>
        </w:rPr>
        <w:t>этажных зданий с гелиоколлектором: автореф. Дис… канд. техн</w:t>
      </w:r>
      <w:r w:rsidRPr="00FE2FD2">
        <w:rPr>
          <w:sz w:val="22"/>
          <w:szCs w:val="22"/>
          <w:lang w:eastAsia="en-US"/>
        </w:rPr>
        <w:t>и</w:t>
      </w:r>
      <w:r w:rsidRPr="00FE2FD2">
        <w:rPr>
          <w:sz w:val="22"/>
          <w:szCs w:val="22"/>
          <w:lang w:eastAsia="en-US"/>
        </w:rPr>
        <w:t>ческих наук / С. Н. Бегдай. – Волгоград: ВолГАСУ, 2008. -18 с.</w:t>
      </w:r>
    </w:p>
    <w:p w:rsidR="000F594F" w:rsidRPr="00FE2FD2" w:rsidRDefault="000F594F" w:rsidP="00D15DEA">
      <w:pPr>
        <w:widowControl w:val="0"/>
        <w:ind w:firstLine="425"/>
        <w:jc w:val="both"/>
        <w:rPr>
          <w:bCs/>
          <w:sz w:val="22"/>
          <w:szCs w:val="22"/>
        </w:rPr>
      </w:pPr>
      <w:r w:rsidRPr="00FE2FD2">
        <w:rPr>
          <w:bCs/>
          <w:sz w:val="22"/>
          <w:szCs w:val="22"/>
        </w:rPr>
        <w:t xml:space="preserve">2. </w:t>
      </w:r>
      <w:r w:rsidRPr="00FE2FD2">
        <w:rPr>
          <w:sz w:val="22"/>
          <w:szCs w:val="22"/>
          <w:lang w:eastAsia="en-US"/>
        </w:rPr>
        <w:t>Гарькавый, К. А. Анализ эффективности микроклимата п</w:t>
      </w:r>
      <w:r w:rsidRPr="00FE2FD2">
        <w:rPr>
          <w:sz w:val="22"/>
          <w:szCs w:val="22"/>
          <w:lang w:eastAsia="en-US"/>
        </w:rPr>
        <w:t>о</w:t>
      </w:r>
      <w:r w:rsidRPr="00FE2FD2">
        <w:rPr>
          <w:sz w:val="22"/>
          <w:szCs w:val="22"/>
          <w:lang w:eastAsia="en-US"/>
        </w:rPr>
        <w:t xml:space="preserve">мещения / К. А. Гарькавый, С. Н. Бегдай </w:t>
      </w:r>
      <w:r w:rsidRPr="00FE2FD2">
        <w:rPr>
          <w:sz w:val="22"/>
          <w:szCs w:val="22"/>
          <w:shd w:val="clear" w:color="auto" w:fill="FFFFFF"/>
          <w:lang w:eastAsia="en-US"/>
        </w:rPr>
        <w:t xml:space="preserve">// </w:t>
      </w:r>
      <w:r w:rsidRPr="00FE2FD2">
        <w:rPr>
          <w:sz w:val="22"/>
          <w:szCs w:val="22"/>
          <w:lang w:eastAsia="en-US"/>
        </w:rPr>
        <w:t>Энергосбережение и в</w:t>
      </w:r>
      <w:r w:rsidRPr="00FE2FD2">
        <w:rPr>
          <w:sz w:val="22"/>
          <w:szCs w:val="22"/>
          <w:lang w:eastAsia="en-US"/>
        </w:rPr>
        <w:t>о</w:t>
      </w:r>
      <w:r w:rsidRPr="00FE2FD2">
        <w:rPr>
          <w:sz w:val="22"/>
          <w:szCs w:val="22"/>
          <w:lang w:eastAsia="en-US"/>
        </w:rPr>
        <w:t>доподготовка. - 2006. - № 6  -С. 76-77.</w:t>
      </w:r>
    </w:p>
    <w:p w:rsidR="000F594F" w:rsidRPr="00FE2FD2" w:rsidRDefault="000F594F" w:rsidP="00D15DEA">
      <w:pPr>
        <w:widowControl w:val="0"/>
        <w:ind w:firstLine="425"/>
        <w:jc w:val="both"/>
        <w:rPr>
          <w:sz w:val="22"/>
          <w:szCs w:val="22"/>
          <w:lang w:eastAsia="en-US"/>
        </w:rPr>
      </w:pPr>
      <w:r w:rsidRPr="00FE2FD2">
        <w:rPr>
          <w:bCs/>
          <w:sz w:val="22"/>
          <w:szCs w:val="22"/>
        </w:rPr>
        <w:t>3.</w:t>
      </w:r>
      <w:r w:rsidRPr="00FE2FD2">
        <w:rPr>
          <w:color w:val="000000"/>
          <w:sz w:val="22"/>
          <w:szCs w:val="22"/>
          <w:shd w:val="clear" w:color="auto" w:fill="FFFFFF"/>
          <w:lang w:eastAsia="en-US"/>
        </w:rPr>
        <w:t xml:space="preserve"> </w:t>
      </w:r>
      <w:r w:rsidRPr="00FE2FD2">
        <w:rPr>
          <w:sz w:val="22"/>
          <w:szCs w:val="22"/>
          <w:shd w:val="clear" w:color="auto" w:fill="FFFFFF"/>
          <w:lang w:eastAsia="en-US"/>
        </w:rPr>
        <w:t xml:space="preserve">Амерханов, Р. А. К проблеме энергоэффективного здания </w:t>
      </w:r>
      <w:r w:rsidRPr="00FE2FD2">
        <w:rPr>
          <w:sz w:val="22"/>
          <w:szCs w:val="22"/>
          <w:lang w:eastAsia="en-US"/>
        </w:rPr>
        <w:t xml:space="preserve">/ Р. А. Амерханов, С. Н. Бегдай </w:t>
      </w:r>
      <w:r w:rsidRPr="00FE2FD2">
        <w:rPr>
          <w:sz w:val="22"/>
          <w:szCs w:val="22"/>
          <w:shd w:val="clear" w:color="auto" w:fill="FFFFFF"/>
          <w:lang w:eastAsia="en-US"/>
        </w:rPr>
        <w:t>// Известия высших учебных заведений. Северо-Кавказский регион. Серия: Технические науки. -2005. -№ 2 -С. 91-94.</w:t>
      </w:r>
    </w:p>
    <w:p w:rsidR="000F594F" w:rsidRDefault="000F594F" w:rsidP="000F594F">
      <w:pPr>
        <w:tabs>
          <w:tab w:val="left" w:pos="5040"/>
        </w:tabs>
        <w:rPr>
          <w:sz w:val="22"/>
          <w:szCs w:val="22"/>
        </w:rPr>
      </w:pPr>
    </w:p>
    <w:p w:rsidR="000F594F" w:rsidRDefault="000F594F" w:rsidP="000F594F">
      <w:pPr>
        <w:tabs>
          <w:tab w:val="left" w:pos="5040"/>
        </w:tabs>
        <w:rPr>
          <w:sz w:val="22"/>
          <w:szCs w:val="22"/>
        </w:rPr>
      </w:pPr>
    </w:p>
    <w:p w:rsidR="00D15DEA" w:rsidRDefault="00D15DEA" w:rsidP="000F594F">
      <w:pPr>
        <w:tabs>
          <w:tab w:val="left" w:pos="5040"/>
        </w:tabs>
        <w:rPr>
          <w:sz w:val="22"/>
          <w:szCs w:val="22"/>
        </w:rPr>
      </w:pPr>
    </w:p>
    <w:p w:rsidR="000F594F" w:rsidRPr="001E2F2C" w:rsidRDefault="000F594F" w:rsidP="000F594F">
      <w:pPr>
        <w:tabs>
          <w:tab w:val="left" w:pos="5040"/>
        </w:tabs>
        <w:rPr>
          <w:sz w:val="22"/>
          <w:szCs w:val="22"/>
        </w:rPr>
      </w:pPr>
      <w:r w:rsidRPr="001E2F2C">
        <w:rPr>
          <w:sz w:val="22"/>
          <w:szCs w:val="22"/>
        </w:rPr>
        <w:lastRenderedPageBreak/>
        <w:t>УДК 620 (075.8)</w:t>
      </w:r>
    </w:p>
    <w:p w:rsidR="000F594F" w:rsidRPr="001E2F2C" w:rsidRDefault="000F594F" w:rsidP="000F594F">
      <w:pPr>
        <w:tabs>
          <w:tab w:val="left" w:pos="5040"/>
        </w:tabs>
        <w:rPr>
          <w:sz w:val="22"/>
          <w:szCs w:val="22"/>
        </w:rPr>
      </w:pPr>
    </w:p>
    <w:p w:rsidR="000F594F" w:rsidRPr="001E2F2C" w:rsidRDefault="000F594F" w:rsidP="000F594F">
      <w:pPr>
        <w:tabs>
          <w:tab w:val="left" w:pos="5040"/>
        </w:tabs>
        <w:jc w:val="center"/>
        <w:rPr>
          <w:b/>
          <w:sz w:val="24"/>
          <w:szCs w:val="24"/>
        </w:rPr>
      </w:pPr>
      <w:r w:rsidRPr="001E2F2C">
        <w:rPr>
          <w:b/>
          <w:sz w:val="24"/>
          <w:szCs w:val="24"/>
        </w:rPr>
        <w:t>Минигидроэлектростанции: перспективы и особенности проектирования</w:t>
      </w:r>
    </w:p>
    <w:p w:rsidR="000F594F" w:rsidRPr="001E2F2C" w:rsidRDefault="000F594F" w:rsidP="000F594F">
      <w:pPr>
        <w:ind w:left="450"/>
        <w:jc w:val="center"/>
        <w:rPr>
          <w:b/>
          <w:sz w:val="24"/>
          <w:szCs w:val="24"/>
          <w:lang w:val="en-US"/>
        </w:rPr>
      </w:pPr>
      <w:r w:rsidRPr="001E2F2C">
        <w:rPr>
          <w:b/>
          <w:sz w:val="24"/>
          <w:szCs w:val="24"/>
          <w:lang w:val="en-US"/>
        </w:rPr>
        <w:t>Minihydroelectric plants: prospects and design features</w:t>
      </w:r>
    </w:p>
    <w:p w:rsidR="000F594F" w:rsidRPr="001E2F2C" w:rsidRDefault="000F594F" w:rsidP="000F594F">
      <w:pPr>
        <w:ind w:left="450"/>
        <w:jc w:val="center"/>
        <w:rPr>
          <w:b/>
          <w:color w:val="FF0000"/>
          <w:sz w:val="22"/>
          <w:szCs w:val="22"/>
          <w:lang w:val="en-US"/>
        </w:rPr>
      </w:pPr>
    </w:p>
    <w:p w:rsidR="000F594F" w:rsidRPr="001E2F2C" w:rsidRDefault="000F594F" w:rsidP="000F594F">
      <w:pPr>
        <w:tabs>
          <w:tab w:val="left" w:pos="5040"/>
        </w:tabs>
        <w:jc w:val="right"/>
        <w:rPr>
          <w:sz w:val="22"/>
          <w:szCs w:val="22"/>
        </w:rPr>
      </w:pPr>
      <w:r w:rsidRPr="001E2F2C">
        <w:rPr>
          <w:sz w:val="22"/>
          <w:szCs w:val="22"/>
        </w:rPr>
        <w:t>Головин Д. В.,</w:t>
      </w:r>
    </w:p>
    <w:p w:rsidR="000F594F" w:rsidRPr="001E2F2C" w:rsidRDefault="000F594F" w:rsidP="000F594F">
      <w:pPr>
        <w:tabs>
          <w:tab w:val="left" w:pos="5040"/>
        </w:tabs>
        <w:jc w:val="right"/>
        <w:rPr>
          <w:sz w:val="22"/>
          <w:szCs w:val="22"/>
        </w:rPr>
      </w:pPr>
      <w:r w:rsidRPr="001E2F2C">
        <w:rPr>
          <w:sz w:val="22"/>
          <w:szCs w:val="22"/>
        </w:rPr>
        <w:t>студент 2-го курса факультета энергетики</w:t>
      </w:r>
    </w:p>
    <w:p w:rsidR="000F594F" w:rsidRPr="001E2F2C" w:rsidRDefault="000F594F" w:rsidP="000F594F">
      <w:pPr>
        <w:tabs>
          <w:tab w:val="left" w:pos="5040"/>
        </w:tabs>
        <w:jc w:val="right"/>
        <w:rPr>
          <w:sz w:val="22"/>
          <w:szCs w:val="22"/>
        </w:rPr>
      </w:pPr>
      <w:r w:rsidRPr="001E2F2C">
        <w:rPr>
          <w:sz w:val="22"/>
          <w:szCs w:val="22"/>
        </w:rPr>
        <w:t>Григораш О. В.,</w:t>
      </w:r>
    </w:p>
    <w:p w:rsidR="000F594F" w:rsidRPr="001E2F2C" w:rsidRDefault="000F594F" w:rsidP="000F594F">
      <w:pPr>
        <w:tabs>
          <w:tab w:val="left" w:pos="5040"/>
        </w:tabs>
        <w:jc w:val="right"/>
        <w:rPr>
          <w:sz w:val="22"/>
          <w:szCs w:val="22"/>
        </w:rPr>
      </w:pPr>
      <w:r w:rsidRPr="001E2F2C">
        <w:rPr>
          <w:sz w:val="22"/>
          <w:szCs w:val="22"/>
        </w:rPr>
        <w:t>заведующий кафедрой электротехники, теплотехники</w:t>
      </w:r>
    </w:p>
    <w:p w:rsidR="000F594F" w:rsidRPr="001E2F2C" w:rsidRDefault="000F594F" w:rsidP="000F594F">
      <w:pPr>
        <w:tabs>
          <w:tab w:val="left" w:pos="5040"/>
        </w:tabs>
        <w:jc w:val="right"/>
        <w:rPr>
          <w:sz w:val="22"/>
          <w:szCs w:val="22"/>
        </w:rPr>
      </w:pPr>
      <w:r w:rsidRPr="001E2F2C">
        <w:rPr>
          <w:sz w:val="22"/>
          <w:szCs w:val="22"/>
        </w:rPr>
        <w:t>и возобновляемых источников энергии</w:t>
      </w:r>
    </w:p>
    <w:p w:rsidR="000F594F" w:rsidRPr="001E2F2C" w:rsidRDefault="000F594F" w:rsidP="000F594F">
      <w:pPr>
        <w:tabs>
          <w:tab w:val="left" w:pos="5040"/>
        </w:tabs>
        <w:jc w:val="right"/>
        <w:rPr>
          <w:sz w:val="22"/>
          <w:szCs w:val="22"/>
        </w:rPr>
      </w:pPr>
      <w:r w:rsidRPr="001E2F2C">
        <w:rPr>
          <w:sz w:val="22"/>
          <w:szCs w:val="22"/>
        </w:rPr>
        <w:t xml:space="preserve">Кубанский государственный аграрный </w:t>
      </w:r>
    </w:p>
    <w:p w:rsidR="000F594F" w:rsidRPr="001E2F2C" w:rsidRDefault="000F594F" w:rsidP="000F594F">
      <w:pPr>
        <w:tabs>
          <w:tab w:val="left" w:pos="5040"/>
        </w:tabs>
        <w:jc w:val="right"/>
        <w:rPr>
          <w:sz w:val="22"/>
          <w:szCs w:val="22"/>
        </w:rPr>
      </w:pPr>
      <w:r w:rsidRPr="001E2F2C">
        <w:rPr>
          <w:sz w:val="22"/>
          <w:szCs w:val="22"/>
        </w:rPr>
        <w:t>университет имени И. Т. Трубилина</w:t>
      </w:r>
    </w:p>
    <w:p w:rsidR="000F594F" w:rsidRPr="001E2F2C" w:rsidRDefault="000F594F" w:rsidP="000F594F">
      <w:pPr>
        <w:tabs>
          <w:tab w:val="left" w:pos="5040"/>
        </w:tabs>
        <w:jc w:val="right"/>
        <w:rPr>
          <w:sz w:val="22"/>
          <w:szCs w:val="22"/>
        </w:rPr>
      </w:pPr>
    </w:p>
    <w:p w:rsidR="000F594F" w:rsidRPr="001E2F2C" w:rsidRDefault="000F594F" w:rsidP="000F594F">
      <w:pPr>
        <w:tabs>
          <w:tab w:val="left" w:pos="5040"/>
        </w:tabs>
        <w:ind w:firstLine="426"/>
        <w:jc w:val="both"/>
        <w:rPr>
          <w:sz w:val="22"/>
          <w:szCs w:val="22"/>
        </w:rPr>
      </w:pPr>
      <w:r w:rsidRPr="001E2F2C">
        <w:rPr>
          <w:sz w:val="22"/>
          <w:szCs w:val="22"/>
        </w:rPr>
        <w:t>АННОТАЦИЯ. Рассматриваются перспективы минигидроэле</w:t>
      </w:r>
      <w:r w:rsidRPr="001E2F2C">
        <w:rPr>
          <w:sz w:val="22"/>
          <w:szCs w:val="22"/>
        </w:rPr>
        <w:t>к</w:t>
      </w:r>
      <w:r w:rsidRPr="001E2F2C">
        <w:rPr>
          <w:sz w:val="22"/>
          <w:szCs w:val="22"/>
        </w:rPr>
        <w:t>тростанций, особенности их проектирования на предгорных реках и предлагается новая элементная база.</w:t>
      </w:r>
    </w:p>
    <w:p w:rsidR="000F594F" w:rsidRPr="001E2F2C" w:rsidRDefault="000F594F" w:rsidP="000F594F">
      <w:pPr>
        <w:tabs>
          <w:tab w:val="left" w:pos="5040"/>
        </w:tabs>
        <w:ind w:firstLine="426"/>
        <w:jc w:val="both"/>
        <w:rPr>
          <w:sz w:val="22"/>
          <w:szCs w:val="22"/>
          <w:lang w:val="en-US"/>
        </w:rPr>
      </w:pPr>
      <w:r w:rsidRPr="001E2F2C">
        <w:rPr>
          <w:caps/>
          <w:sz w:val="22"/>
          <w:szCs w:val="22"/>
          <w:lang w:val="en-US"/>
        </w:rPr>
        <w:t xml:space="preserve">Annotation. </w:t>
      </w:r>
      <w:r w:rsidRPr="001E2F2C">
        <w:rPr>
          <w:sz w:val="22"/>
          <w:szCs w:val="22"/>
          <w:lang w:val="en-US"/>
        </w:rPr>
        <w:t>The prospects of mini hydroelectric power st</w:t>
      </w:r>
      <w:r w:rsidRPr="001E2F2C">
        <w:rPr>
          <w:sz w:val="22"/>
          <w:szCs w:val="22"/>
          <w:lang w:val="en-US"/>
        </w:rPr>
        <w:t>a</w:t>
      </w:r>
      <w:r w:rsidRPr="001E2F2C">
        <w:rPr>
          <w:sz w:val="22"/>
          <w:szCs w:val="22"/>
          <w:lang w:val="en-US"/>
        </w:rPr>
        <w:t>tions, the features of their design on the foothill rivers are considered and a new element base is proposed.</w:t>
      </w:r>
    </w:p>
    <w:p w:rsidR="000F594F" w:rsidRPr="001E2F2C" w:rsidRDefault="000F594F" w:rsidP="000F594F">
      <w:pPr>
        <w:tabs>
          <w:tab w:val="left" w:pos="5040"/>
        </w:tabs>
        <w:ind w:firstLine="426"/>
        <w:jc w:val="both"/>
        <w:rPr>
          <w:sz w:val="22"/>
          <w:szCs w:val="22"/>
        </w:rPr>
      </w:pPr>
      <w:r w:rsidRPr="001E2F2C">
        <w:rPr>
          <w:sz w:val="22"/>
          <w:szCs w:val="22"/>
        </w:rPr>
        <w:t>КЛЮЧЕВЫЕ СЛОВА: минигидроэлектростанции, бесконтак</w:t>
      </w:r>
      <w:r w:rsidRPr="001E2F2C">
        <w:rPr>
          <w:sz w:val="22"/>
          <w:szCs w:val="22"/>
        </w:rPr>
        <w:t>т</w:t>
      </w:r>
      <w:r w:rsidRPr="001E2F2C">
        <w:rPr>
          <w:sz w:val="22"/>
          <w:szCs w:val="22"/>
        </w:rPr>
        <w:t>ные генераторы,  солнечные и ветроэлектростанции.</w:t>
      </w:r>
    </w:p>
    <w:p w:rsidR="000F594F" w:rsidRPr="001E2F2C" w:rsidRDefault="000F594F" w:rsidP="000F594F">
      <w:pPr>
        <w:tabs>
          <w:tab w:val="left" w:pos="5040"/>
        </w:tabs>
        <w:ind w:firstLine="426"/>
        <w:jc w:val="both"/>
        <w:rPr>
          <w:sz w:val="22"/>
          <w:szCs w:val="22"/>
          <w:lang w:val="en-US"/>
        </w:rPr>
      </w:pPr>
      <w:r w:rsidRPr="001E2F2C">
        <w:rPr>
          <w:caps/>
          <w:sz w:val="22"/>
          <w:szCs w:val="22"/>
          <w:lang w:val="en-US"/>
        </w:rPr>
        <w:t xml:space="preserve">key words: </w:t>
      </w:r>
      <w:r w:rsidRPr="001E2F2C">
        <w:rPr>
          <w:sz w:val="22"/>
          <w:szCs w:val="22"/>
          <w:lang w:val="en-US"/>
        </w:rPr>
        <w:t>mini hydroelectric power stations, contactless ge</w:t>
      </w:r>
      <w:r w:rsidRPr="001E2F2C">
        <w:rPr>
          <w:sz w:val="22"/>
          <w:szCs w:val="22"/>
          <w:lang w:val="en-US"/>
        </w:rPr>
        <w:t>n</w:t>
      </w:r>
      <w:r w:rsidRPr="001E2F2C">
        <w:rPr>
          <w:sz w:val="22"/>
          <w:szCs w:val="22"/>
          <w:lang w:val="en-US"/>
        </w:rPr>
        <w:t>erators, solar and wind power plants.</w:t>
      </w:r>
    </w:p>
    <w:p w:rsidR="000F594F" w:rsidRPr="00C56F2E" w:rsidRDefault="000F594F" w:rsidP="000F594F">
      <w:pPr>
        <w:tabs>
          <w:tab w:val="left" w:pos="5040"/>
          <w:tab w:val="left" w:pos="8080"/>
        </w:tabs>
        <w:ind w:firstLine="426"/>
        <w:jc w:val="both"/>
        <w:rPr>
          <w:sz w:val="22"/>
          <w:szCs w:val="22"/>
          <w:lang w:val="en-US"/>
        </w:rPr>
      </w:pPr>
    </w:p>
    <w:p w:rsidR="000F594F" w:rsidRPr="00D15DEA" w:rsidRDefault="000F594F" w:rsidP="00D15DEA">
      <w:pPr>
        <w:ind w:firstLine="426"/>
        <w:jc w:val="both"/>
        <w:rPr>
          <w:sz w:val="22"/>
          <w:szCs w:val="22"/>
        </w:rPr>
      </w:pPr>
      <w:r w:rsidRPr="00D15DEA">
        <w:rPr>
          <w:sz w:val="22"/>
          <w:szCs w:val="22"/>
        </w:rPr>
        <w:t>Широкие перспективы в энергетической отрасли сегодня ра</w:t>
      </w:r>
      <w:r w:rsidRPr="00D15DEA">
        <w:rPr>
          <w:sz w:val="22"/>
          <w:szCs w:val="22"/>
        </w:rPr>
        <w:t>с</w:t>
      </w:r>
      <w:r w:rsidRPr="00D15DEA">
        <w:rPr>
          <w:sz w:val="22"/>
          <w:szCs w:val="22"/>
        </w:rPr>
        <w:t>крываются перед гидроэнергетикой. Применение минигидроэле</w:t>
      </w:r>
      <w:r w:rsidRPr="00D15DEA">
        <w:rPr>
          <w:sz w:val="22"/>
          <w:szCs w:val="22"/>
        </w:rPr>
        <w:t>к</w:t>
      </w:r>
      <w:r w:rsidRPr="00D15DEA">
        <w:rPr>
          <w:sz w:val="22"/>
          <w:szCs w:val="22"/>
        </w:rPr>
        <w:t>тростанций (МГЭС) мощностью до 50 кВт, оборудованных на пре</w:t>
      </w:r>
      <w:r w:rsidRPr="00D15DEA">
        <w:rPr>
          <w:sz w:val="22"/>
          <w:szCs w:val="22"/>
        </w:rPr>
        <w:t>д</w:t>
      </w:r>
      <w:r w:rsidRPr="00D15DEA">
        <w:rPr>
          <w:sz w:val="22"/>
          <w:szCs w:val="22"/>
        </w:rPr>
        <w:t xml:space="preserve">горных и горных реках Краснодарского края позволит значительно повысить энергетические ресурсы края [1, 2]. </w:t>
      </w:r>
    </w:p>
    <w:p w:rsidR="000F594F" w:rsidRPr="00D15DEA" w:rsidRDefault="000F594F" w:rsidP="00D15DEA">
      <w:pPr>
        <w:ind w:firstLine="426"/>
        <w:jc w:val="both"/>
        <w:rPr>
          <w:sz w:val="22"/>
          <w:szCs w:val="22"/>
        </w:rPr>
      </w:pPr>
      <w:r w:rsidRPr="00D15DEA">
        <w:rPr>
          <w:sz w:val="22"/>
          <w:szCs w:val="22"/>
          <w:shd w:val="clear" w:color="auto" w:fill="FFFFFF"/>
        </w:rPr>
        <w:t>Принцип работы МГЭС не отличается от принципа работы электростанций большой мощности. Вода под действием напора, создаваемого своей массой,  поступает на лопасти гидравлической турбины. На одном валу с турбиной находится генератор, который вырабатывает электрическую энергию, как правило, трехфазного тока. Особенностью конструкции МГЭС, является то, что стабил</w:t>
      </w:r>
      <w:r w:rsidRPr="00D15DEA">
        <w:rPr>
          <w:sz w:val="22"/>
          <w:szCs w:val="22"/>
          <w:shd w:val="clear" w:color="auto" w:fill="FFFFFF"/>
        </w:rPr>
        <w:t>и</w:t>
      </w:r>
      <w:r w:rsidRPr="00D15DEA">
        <w:rPr>
          <w:sz w:val="22"/>
          <w:szCs w:val="22"/>
          <w:shd w:val="clear" w:color="auto" w:fill="FFFFFF"/>
        </w:rPr>
        <w:t xml:space="preserve">зация частоты тока осуществляется не за счет изменения частоты </w:t>
      </w:r>
      <w:r w:rsidRPr="00D15DEA">
        <w:rPr>
          <w:sz w:val="22"/>
          <w:szCs w:val="22"/>
          <w:shd w:val="clear" w:color="auto" w:fill="FFFFFF"/>
        </w:rPr>
        <w:lastRenderedPageBreak/>
        <w:t xml:space="preserve">вращения гидротурбины, а за счет использования специального оборудования, к примеру, статических преобразователей частоты </w:t>
      </w:r>
      <w:r w:rsidRPr="00D15DEA">
        <w:rPr>
          <w:sz w:val="22"/>
          <w:szCs w:val="22"/>
        </w:rPr>
        <w:t>[2].</w:t>
      </w:r>
    </w:p>
    <w:p w:rsidR="000F594F" w:rsidRPr="00D15DEA" w:rsidRDefault="000F594F" w:rsidP="00D15DEA">
      <w:pPr>
        <w:ind w:firstLine="426"/>
        <w:jc w:val="both"/>
        <w:rPr>
          <w:sz w:val="22"/>
          <w:szCs w:val="22"/>
        </w:rPr>
      </w:pPr>
      <w:r w:rsidRPr="00D15DEA">
        <w:rPr>
          <w:sz w:val="22"/>
          <w:szCs w:val="22"/>
        </w:rPr>
        <w:t>При проектировании МГЭС и выборе соответственно энерг</w:t>
      </w:r>
      <w:r w:rsidRPr="00D15DEA">
        <w:rPr>
          <w:sz w:val="22"/>
          <w:szCs w:val="22"/>
        </w:rPr>
        <w:t>е</w:t>
      </w:r>
      <w:r w:rsidRPr="00D15DEA">
        <w:rPr>
          <w:sz w:val="22"/>
          <w:szCs w:val="22"/>
        </w:rPr>
        <w:t>тического оборудования необходимо ориентироваться на требов</w:t>
      </w:r>
      <w:r w:rsidRPr="00D15DEA">
        <w:rPr>
          <w:sz w:val="22"/>
          <w:szCs w:val="22"/>
        </w:rPr>
        <w:t>а</w:t>
      </w:r>
      <w:r w:rsidRPr="00D15DEA">
        <w:rPr>
          <w:sz w:val="22"/>
          <w:szCs w:val="22"/>
        </w:rPr>
        <w:t>ния потребителей к качеству электроэнергии. Такое оборудование должно отвечать таким требованиям как:</w:t>
      </w:r>
    </w:p>
    <w:p w:rsidR="000F594F" w:rsidRPr="00D15DEA" w:rsidRDefault="000F594F" w:rsidP="00D15DEA">
      <w:pPr>
        <w:ind w:firstLine="426"/>
        <w:jc w:val="both"/>
        <w:rPr>
          <w:sz w:val="22"/>
          <w:szCs w:val="22"/>
        </w:rPr>
      </w:pPr>
      <w:r w:rsidRPr="00D15DEA">
        <w:rPr>
          <w:sz w:val="22"/>
          <w:szCs w:val="22"/>
        </w:rPr>
        <w:t>1) генератор и гидротурбина должны иметь надежную защиту от аварийных режимов работы;</w:t>
      </w:r>
    </w:p>
    <w:p w:rsidR="000F594F" w:rsidRPr="00D15DEA" w:rsidRDefault="000F594F" w:rsidP="00D15DEA">
      <w:pPr>
        <w:ind w:firstLine="426"/>
        <w:jc w:val="both"/>
        <w:rPr>
          <w:sz w:val="22"/>
          <w:szCs w:val="22"/>
        </w:rPr>
      </w:pPr>
      <w:r w:rsidRPr="00D15DEA">
        <w:rPr>
          <w:sz w:val="22"/>
          <w:szCs w:val="22"/>
        </w:rPr>
        <w:t>2)  площади установки МГЭС должны быть минимальными;</w:t>
      </w:r>
    </w:p>
    <w:p w:rsidR="000F594F" w:rsidRPr="00D15DEA" w:rsidRDefault="000F594F" w:rsidP="00D15DEA">
      <w:pPr>
        <w:ind w:firstLine="426"/>
        <w:jc w:val="both"/>
        <w:rPr>
          <w:sz w:val="22"/>
          <w:szCs w:val="22"/>
        </w:rPr>
      </w:pPr>
      <w:r w:rsidRPr="00D15DEA">
        <w:rPr>
          <w:sz w:val="22"/>
          <w:szCs w:val="22"/>
        </w:rPr>
        <w:t>3) должно быть предусмотрено автоматическое и  ручное управление;</w:t>
      </w:r>
    </w:p>
    <w:p w:rsidR="000F594F" w:rsidRPr="00D15DEA" w:rsidRDefault="000F594F" w:rsidP="00D15DEA">
      <w:pPr>
        <w:ind w:firstLine="426"/>
        <w:jc w:val="both"/>
        <w:rPr>
          <w:sz w:val="22"/>
          <w:szCs w:val="22"/>
        </w:rPr>
      </w:pPr>
      <w:r w:rsidRPr="00D15DEA">
        <w:rPr>
          <w:sz w:val="22"/>
          <w:szCs w:val="22"/>
        </w:rPr>
        <w:t>4) должны быть предусмотрены простые в эксплуатации сре</w:t>
      </w:r>
      <w:r w:rsidRPr="00D15DEA">
        <w:rPr>
          <w:sz w:val="22"/>
          <w:szCs w:val="22"/>
        </w:rPr>
        <w:t>д</w:t>
      </w:r>
      <w:r w:rsidRPr="00D15DEA">
        <w:rPr>
          <w:sz w:val="22"/>
          <w:szCs w:val="22"/>
        </w:rPr>
        <w:t>ства контроля над работой оборудования.</w:t>
      </w:r>
    </w:p>
    <w:p w:rsidR="000F594F" w:rsidRPr="00D15DEA" w:rsidRDefault="000F594F" w:rsidP="00D15DEA">
      <w:pPr>
        <w:ind w:firstLine="426"/>
        <w:jc w:val="both"/>
        <w:rPr>
          <w:sz w:val="22"/>
          <w:szCs w:val="22"/>
        </w:rPr>
      </w:pPr>
      <w:r w:rsidRPr="00D15DEA">
        <w:rPr>
          <w:sz w:val="22"/>
          <w:szCs w:val="22"/>
        </w:rPr>
        <w:t>Перспективным является направление применение в составе МГЭС бесконтактных генераторов электроэнергии – асинхронных с емкостным возбуждением и синхронных с возбуждением от пост</w:t>
      </w:r>
      <w:r w:rsidRPr="00D15DEA">
        <w:rPr>
          <w:sz w:val="22"/>
          <w:szCs w:val="22"/>
        </w:rPr>
        <w:t>о</w:t>
      </w:r>
      <w:r w:rsidRPr="00D15DEA">
        <w:rPr>
          <w:sz w:val="22"/>
          <w:szCs w:val="22"/>
        </w:rPr>
        <w:t>янных магнитов генераторов. Эти генераторы имеют выше КПД и показатели надежности в сравнении с эксплуатируемыми генерат</w:t>
      </w:r>
      <w:r w:rsidRPr="00D15DEA">
        <w:rPr>
          <w:sz w:val="22"/>
          <w:szCs w:val="22"/>
        </w:rPr>
        <w:t>о</w:t>
      </w:r>
      <w:r w:rsidRPr="00D15DEA">
        <w:rPr>
          <w:sz w:val="22"/>
          <w:szCs w:val="22"/>
        </w:rPr>
        <w:t>рами [3].</w:t>
      </w:r>
    </w:p>
    <w:p w:rsidR="000F594F" w:rsidRPr="00D15DEA" w:rsidRDefault="000F594F" w:rsidP="00D15DEA">
      <w:pPr>
        <w:ind w:firstLine="426"/>
        <w:jc w:val="both"/>
        <w:rPr>
          <w:sz w:val="22"/>
          <w:szCs w:val="22"/>
        </w:rPr>
      </w:pPr>
      <w:r w:rsidRPr="00D15DEA">
        <w:rPr>
          <w:sz w:val="22"/>
          <w:szCs w:val="22"/>
        </w:rPr>
        <w:t>МГЭС имеют следующие преимущества.</w:t>
      </w:r>
    </w:p>
    <w:p w:rsidR="000F594F" w:rsidRPr="00D15DEA" w:rsidRDefault="000F594F" w:rsidP="00D15DEA">
      <w:pPr>
        <w:ind w:firstLine="426"/>
        <w:jc w:val="both"/>
        <w:rPr>
          <w:sz w:val="22"/>
          <w:szCs w:val="22"/>
        </w:rPr>
      </w:pPr>
      <w:r w:rsidRPr="00D15DEA">
        <w:rPr>
          <w:sz w:val="22"/>
          <w:szCs w:val="22"/>
        </w:rPr>
        <w:t xml:space="preserve">1) Наиболее экономичный и экологически безопасный способ получения электроэнергии. </w:t>
      </w:r>
    </w:p>
    <w:p w:rsidR="000F594F" w:rsidRPr="00D15DEA" w:rsidRDefault="000F594F" w:rsidP="00D15DEA">
      <w:pPr>
        <w:ind w:firstLine="426"/>
        <w:jc w:val="both"/>
        <w:rPr>
          <w:sz w:val="22"/>
          <w:szCs w:val="22"/>
        </w:rPr>
      </w:pPr>
      <w:r w:rsidRPr="00D15DEA">
        <w:rPr>
          <w:sz w:val="22"/>
          <w:szCs w:val="22"/>
        </w:rPr>
        <w:t>2) Небольшие электростанции позволяют сохранять природный ландшафт и окружающую среду.</w:t>
      </w:r>
    </w:p>
    <w:p w:rsidR="000F594F" w:rsidRPr="00D15DEA" w:rsidRDefault="000F594F" w:rsidP="00D15DEA">
      <w:pPr>
        <w:ind w:firstLine="426"/>
        <w:jc w:val="both"/>
        <w:rPr>
          <w:sz w:val="22"/>
          <w:szCs w:val="22"/>
        </w:rPr>
      </w:pPr>
      <w:r w:rsidRPr="00D15DEA">
        <w:rPr>
          <w:sz w:val="22"/>
          <w:szCs w:val="22"/>
        </w:rPr>
        <w:t>3) В отличие от солнечных и ветроэлектростанций, воспрои</w:t>
      </w:r>
      <w:r w:rsidRPr="00D15DEA">
        <w:rPr>
          <w:sz w:val="22"/>
          <w:szCs w:val="22"/>
        </w:rPr>
        <w:t>з</w:t>
      </w:r>
      <w:r w:rsidRPr="00D15DEA">
        <w:rPr>
          <w:sz w:val="22"/>
          <w:szCs w:val="22"/>
        </w:rPr>
        <w:t xml:space="preserve">водстве электроэнергии МГЭС практически не зависит от погодных условий. </w:t>
      </w:r>
    </w:p>
    <w:p w:rsidR="000F594F" w:rsidRPr="00D15DEA" w:rsidRDefault="000F594F" w:rsidP="00D15DEA">
      <w:pPr>
        <w:ind w:firstLine="426"/>
        <w:jc w:val="both"/>
        <w:rPr>
          <w:sz w:val="22"/>
          <w:szCs w:val="22"/>
        </w:rPr>
      </w:pPr>
      <w:r w:rsidRPr="00D15DEA">
        <w:rPr>
          <w:sz w:val="22"/>
          <w:szCs w:val="22"/>
        </w:rPr>
        <w:t>МГЭС рукавного типа имеют улучшенные эксплуатационно-технические характеристики в сравнении с другими типами извес</w:t>
      </w:r>
      <w:r w:rsidRPr="00D15DEA">
        <w:rPr>
          <w:sz w:val="22"/>
          <w:szCs w:val="22"/>
        </w:rPr>
        <w:t>т</w:t>
      </w:r>
      <w:r w:rsidRPr="00D15DEA">
        <w:rPr>
          <w:sz w:val="22"/>
          <w:szCs w:val="22"/>
        </w:rPr>
        <w:t>ных решений гидроэлектростанций малой мощности. Гидроэле</w:t>
      </w:r>
      <w:r w:rsidRPr="00D15DEA">
        <w:rPr>
          <w:sz w:val="22"/>
          <w:szCs w:val="22"/>
        </w:rPr>
        <w:t>к</w:t>
      </w:r>
      <w:r w:rsidRPr="00D15DEA">
        <w:rPr>
          <w:sz w:val="22"/>
          <w:szCs w:val="22"/>
        </w:rPr>
        <w:t>тростанции рукавного типа просты в установке и не требуют с</w:t>
      </w:r>
      <w:r w:rsidRPr="00D15DEA">
        <w:rPr>
          <w:sz w:val="22"/>
          <w:szCs w:val="22"/>
        </w:rPr>
        <w:t>о</w:t>
      </w:r>
      <w:r w:rsidRPr="00D15DEA">
        <w:rPr>
          <w:sz w:val="22"/>
          <w:szCs w:val="22"/>
        </w:rPr>
        <w:t>оружения плотины и здания для основного оборудования. Их мо</w:t>
      </w:r>
      <w:r w:rsidRPr="00D15DEA">
        <w:rPr>
          <w:sz w:val="22"/>
          <w:szCs w:val="22"/>
        </w:rPr>
        <w:t>ж</w:t>
      </w:r>
      <w:r w:rsidRPr="00D15DEA">
        <w:rPr>
          <w:sz w:val="22"/>
          <w:szCs w:val="22"/>
        </w:rPr>
        <w:t>но перемещать с одного места на другое, монтировать за несколько часов с малыми трудозатратами.</w:t>
      </w:r>
    </w:p>
    <w:p w:rsidR="000F594F" w:rsidRPr="00D15DEA" w:rsidRDefault="000F594F" w:rsidP="00D15DEA">
      <w:pPr>
        <w:ind w:firstLine="426"/>
        <w:jc w:val="both"/>
        <w:rPr>
          <w:sz w:val="22"/>
          <w:szCs w:val="22"/>
        </w:rPr>
      </w:pPr>
      <w:r w:rsidRPr="00D15DEA">
        <w:rPr>
          <w:sz w:val="22"/>
          <w:szCs w:val="22"/>
        </w:rPr>
        <w:t>Для улучшения МГЭС рукавного типа в системах стабилизации напряжения и частоты тока целесообразно применять нетрадицио</w:t>
      </w:r>
      <w:r w:rsidRPr="00D15DEA">
        <w:rPr>
          <w:sz w:val="22"/>
          <w:szCs w:val="22"/>
        </w:rPr>
        <w:t>н</w:t>
      </w:r>
      <w:r w:rsidRPr="00D15DEA">
        <w:rPr>
          <w:sz w:val="22"/>
          <w:szCs w:val="22"/>
        </w:rPr>
        <w:t>ные технические решения гидроагрегатов. В частности в констру</w:t>
      </w:r>
      <w:r w:rsidRPr="00D15DEA">
        <w:rPr>
          <w:sz w:val="22"/>
          <w:szCs w:val="22"/>
        </w:rPr>
        <w:t>к</w:t>
      </w:r>
      <w:r w:rsidRPr="00D15DEA">
        <w:rPr>
          <w:sz w:val="22"/>
          <w:szCs w:val="22"/>
        </w:rPr>
        <w:lastRenderedPageBreak/>
        <w:t>ции гидроагрегата целесообразно использовать мультипликатор для увеличения частоты вращения ротора генератора. Кроме того, цел</w:t>
      </w:r>
      <w:r w:rsidRPr="00D15DEA">
        <w:rPr>
          <w:sz w:val="22"/>
          <w:szCs w:val="22"/>
        </w:rPr>
        <w:t>е</w:t>
      </w:r>
      <w:r w:rsidRPr="00D15DEA">
        <w:rPr>
          <w:sz w:val="22"/>
          <w:szCs w:val="22"/>
        </w:rPr>
        <w:t>сообразно увеличить число пар полюсов генератора переменного тока. Это позволяет исключить из конструкции МГЭС балластную нагрузку и применять непосредственные преобразователи частоты (НПЧ), для стабилизации напряжения и частоты тока, причем НПЧ способны такую стабилизацию осуществлять независимо друг от друга, при изменяющейся частоте вращения гидротурбины, вел</w:t>
      </w:r>
      <w:r w:rsidRPr="00D15DEA">
        <w:rPr>
          <w:sz w:val="22"/>
          <w:szCs w:val="22"/>
        </w:rPr>
        <w:t>и</w:t>
      </w:r>
      <w:r w:rsidRPr="00D15DEA">
        <w:rPr>
          <w:sz w:val="22"/>
          <w:szCs w:val="22"/>
        </w:rPr>
        <w:t xml:space="preserve">чине и характере нагрузки [4, 5]. </w:t>
      </w:r>
    </w:p>
    <w:p w:rsidR="000F594F" w:rsidRPr="00D15DEA" w:rsidRDefault="000F594F" w:rsidP="00D15DEA">
      <w:pPr>
        <w:ind w:firstLine="426"/>
        <w:jc w:val="both"/>
        <w:rPr>
          <w:sz w:val="22"/>
          <w:szCs w:val="22"/>
        </w:rPr>
      </w:pPr>
      <w:r w:rsidRPr="00D15DEA">
        <w:rPr>
          <w:sz w:val="22"/>
          <w:szCs w:val="22"/>
        </w:rPr>
        <w:t>В зависимости от требований потребителей к бесперебойности электроснабжения и к качеству электроэнергии, совместно с МГЭС в структуре автономных систем электроснабжения могут быть и другие источники, в том числе традиционные (дизельные или г</w:t>
      </w:r>
      <w:r w:rsidRPr="00D15DEA">
        <w:rPr>
          <w:sz w:val="22"/>
          <w:szCs w:val="22"/>
        </w:rPr>
        <w:t>а</w:t>
      </w:r>
      <w:r w:rsidRPr="00D15DEA">
        <w:rPr>
          <w:sz w:val="22"/>
          <w:szCs w:val="22"/>
        </w:rPr>
        <w:t>зопоршневые электростанции) или возобновляемые (солнечные ф</w:t>
      </w:r>
      <w:r w:rsidRPr="00D15DEA">
        <w:rPr>
          <w:sz w:val="22"/>
          <w:szCs w:val="22"/>
        </w:rPr>
        <w:t>о</w:t>
      </w:r>
      <w:r w:rsidRPr="00D15DEA">
        <w:rPr>
          <w:sz w:val="22"/>
          <w:szCs w:val="22"/>
        </w:rPr>
        <w:t>тоэлектрические или ветроэлектрические установки).</w:t>
      </w:r>
    </w:p>
    <w:p w:rsidR="000F594F" w:rsidRPr="00D15DEA" w:rsidRDefault="000F594F" w:rsidP="00D15DEA">
      <w:pPr>
        <w:ind w:firstLine="426"/>
        <w:jc w:val="both"/>
        <w:rPr>
          <w:sz w:val="22"/>
          <w:szCs w:val="22"/>
        </w:rPr>
      </w:pPr>
    </w:p>
    <w:p w:rsidR="000F594F" w:rsidRPr="00D15DEA" w:rsidRDefault="000F594F" w:rsidP="00D15DEA">
      <w:pPr>
        <w:ind w:hanging="12"/>
        <w:jc w:val="center"/>
        <w:rPr>
          <w:sz w:val="22"/>
          <w:szCs w:val="22"/>
        </w:rPr>
      </w:pPr>
      <w:r w:rsidRPr="00D15DEA">
        <w:rPr>
          <w:sz w:val="22"/>
          <w:szCs w:val="22"/>
        </w:rPr>
        <w:t>Список литературы</w:t>
      </w:r>
    </w:p>
    <w:p w:rsidR="000F594F" w:rsidRPr="00D15DEA" w:rsidRDefault="000F594F" w:rsidP="00D15DEA">
      <w:pPr>
        <w:ind w:firstLine="426"/>
        <w:jc w:val="both"/>
        <w:rPr>
          <w:sz w:val="22"/>
          <w:szCs w:val="22"/>
        </w:rPr>
      </w:pPr>
      <w:r w:rsidRPr="00D15DEA">
        <w:rPr>
          <w:sz w:val="22"/>
          <w:szCs w:val="22"/>
        </w:rPr>
        <w:t>1. Григораш, О. В. Нетрадиционные источники электроэнергии в составе систем гарантированного электроснабжения / О. В. Григ</w:t>
      </w:r>
      <w:r w:rsidRPr="00D15DEA">
        <w:rPr>
          <w:sz w:val="22"/>
          <w:szCs w:val="22"/>
        </w:rPr>
        <w:t>о</w:t>
      </w:r>
      <w:r w:rsidRPr="00D15DEA">
        <w:rPr>
          <w:sz w:val="22"/>
          <w:szCs w:val="22"/>
        </w:rPr>
        <w:t>раш, Н. И. Богатырев, Н. Н. Курзин  // Промышленная энергетика. – 2004. –  № 1. – С. 59–62.</w:t>
      </w:r>
    </w:p>
    <w:p w:rsidR="000F594F" w:rsidRPr="00D15DEA" w:rsidRDefault="000F594F" w:rsidP="00D15DEA">
      <w:pPr>
        <w:ind w:firstLine="426"/>
        <w:jc w:val="both"/>
        <w:rPr>
          <w:sz w:val="22"/>
          <w:szCs w:val="22"/>
        </w:rPr>
      </w:pPr>
      <w:r w:rsidRPr="00D15DEA">
        <w:rPr>
          <w:sz w:val="22"/>
          <w:szCs w:val="22"/>
        </w:rPr>
        <w:t>2. Григораш, О. В. Возобновляемые источники электроэнергии: состояние и перспективы / О. В. Григораш, Ю. Г. Пугачев, Д. В. В</w:t>
      </w:r>
      <w:r w:rsidRPr="00D15DEA">
        <w:rPr>
          <w:sz w:val="22"/>
          <w:szCs w:val="22"/>
        </w:rPr>
        <w:t>о</w:t>
      </w:r>
      <w:r w:rsidRPr="00D15DEA">
        <w:rPr>
          <w:sz w:val="22"/>
          <w:szCs w:val="22"/>
        </w:rPr>
        <w:t xml:space="preserve">енцов, А. С. Чесовской  // </w:t>
      </w:r>
      <w:hyperlink r:id="rId357" w:history="1">
        <w:r w:rsidRPr="00D15DEA">
          <w:rPr>
            <w:sz w:val="22"/>
            <w:szCs w:val="22"/>
          </w:rPr>
          <w:t>Механизация</w:t>
        </w:r>
      </w:hyperlink>
      <w:r w:rsidRPr="00D15DEA">
        <w:rPr>
          <w:sz w:val="22"/>
          <w:szCs w:val="22"/>
        </w:rPr>
        <w:t xml:space="preserve"> и электрификация сельского хозяйства. – 2007. –  № 8. – С. 24–25.</w:t>
      </w:r>
    </w:p>
    <w:p w:rsidR="000F594F" w:rsidRPr="00D15DEA" w:rsidRDefault="000F594F" w:rsidP="00D15DEA">
      <w:pPr>
        <w:ind w:firstLine="426"/>
        <w:jc w:val="both"/>
        <w:rPr>
          <w:sz w:val="22"/>
          <w:szCs w:val="22"/>
        </w:rPr>
      </w:pPr>
      <w:r w:rsidRPr="00D15DEA">
        <w:rPr>
          <w:sz w:val="22"/>
          <w:szCs w:val="22"/>
        </w:rPr>
        <w:t>3. Григораш, О. В. Асинхронные генераторы в системах авт</w:t>
      </w:r>
      <w:r w:rsidRPr="00D15DEA">
        <w:rPr>
          <w:sz w:val="22"/>
          <w:szCs w:val="22"/>
        </w:rPr>
        <w:t>о</w:t>
      </w:r>
      <w:r w:rsidRPr="00D15DEA">
        <w:rPr>
          <w:sz w:val="22"/>
          <w:szCs w:val="22"/>
        </w:rPr>
        <w:t>номного электроснабжения / О. В. Григораш // Электротехника. – 2002. –  № 1. – С. 30–34.</w:t>
      </w:r>
    </w:p>
    <w:p w:rsidR="000F594F" w:rsidRPr="00D15DEA" w:rsidRDefault="000F594F" w:rsidP="00D15DEA">
      <w:pPr>
        <w:ind w:firstLine="426"/>
        <w:jc w:val="both"/>
        <w:rPr>
          <w:sz w:val="22"/>
          <w:szCs w:val="22"/>
        </w:rPr>
      </w:pPr>
      <w:r w:rsidRPr="00D15DEA">
        <w:rPr>
          <w:sz w:val="22"/>
          <w:szCs w:val="22"/>
        </w:rPr>
        <w:t xml:space="preserve">4. Григораш, О. В. Непосредственные преобразователи частоты / О. В. Григораш, С. В. Божко В. А. Нефедовский и др. – Краснодар, 2008. –  148 с. </w:t>
      </w:r>
    </w:p>
    <w:p w:rsidR="000F594F" w:rsidRPr="00D15DEA" w:rsidRDefault="000F594F" w:rsidP="00D15DEA">
      <w:pPr>
        <w:ind w:firstLine="426"/>
        <w:jc w:val="both"/>
        <w:rPr>
          <w:sz w:val="22"/>
          <w:szCs w:val="22"/>
        </w:rPr>
      </w:pPr>
      <w:r w:rsidRPr="00D15DEA">
        <w:rPr>
          <w:sz w:val="22"/>
          <w:szCs w:val="22"/>
        </w:rPr>
        <w:t>5. Атрощенко, В. А. Непосредственные преобразователи част</w:t>
      </w:r>
      <w:r w:rsidRPr="00D15DEA">
        <w:rPr>
          <w:sz w:val="22"/>
          <w:szCs w:val="22"/>
        </w:rPr>
        <w:t>о</w:t>
      </w:r>
      <w:r w:rsidRPr="00D15DEA">
        <w:rPr>
          <w:sz w:val="22"/>
          <w:szCs w:val="22"/>
        </w:rPr>
        <w:t>ты с улучшенными техническими характеристиками для систем а</w:t>
      </w:r>
      <w:r w:rsidRPr="00D15DEA">
        <w:rPr>
          <w:sz w:val="22"/>
          <w:szCs w:val="22"/>
        </w:rPr>
        <w:t>в</w:t>
      </w:r>
      <w:r w:rsidRPr="00D15DEA">
        <w:rPr>
          <w:sz w:val="22"/>
          <w:szCs w:val="22"/>
        </w:rPr>
        <w:t>тономного электроснабжения / В. А. Атрощенко, О. В. Григораш // Электротехника. – 1997. –  № 11. – С. 56–60.</w:t>
      </w:r>
    </w:p>
    <w:p w:rsidR="00D15DEA" w:rsidRDefault="00D15DEA" w:rsidP="000F594F">
      <w:pPr>
        <w:rPr>
          <w:rFonts w:eastAsiaTheme="minorHAnsi"/>
          <w:sz w:val="24"/>
          <w:szCs w:val="24"/>
          <w:lang w:eastAsia="en-US"/>
        </w:rPr>
      </w:pPr>
    </w:p>
    <w:p w:rsidR="00CB06AE" w:rsidRDefault="00CB06AE" w:rsidP="000F594F">
      <w:pPr>
        <w:rPr>
          <w:rFonts w:eastAsiaTheme="minorHAnsi"/>
          <w:sz w:val="24"/>
          <w:szCs w:val="24"/>
          <w:lang w:eastAsia="en-US"/>
        </w:rPr>
      </w:pPr>
    </w:p>
    <w:p w:rsidR="00CB06AE" w:rsidRDefault="00CB06AE" w:rsidP="000F594F">
      <w:pPr>
        <w:tabs>
          <w:tab w:val="left" w:pos="5040"/>
        </w:tabs>
        <w:rPr>
          <w:sz w:val="22"/>
          <w:szCs w:val="22"/>
        </w:rPr>
      </w:pPr>
    </w:p>
    <w:p w:rsidR="000F594F" w:rsidRPr="00FE2FD2" w:rsidRDefault="000F594F" w:rsidP="000F594F">
      <w:pPr>
        <w:tabs>
          <w:tab w:val="left" w:pos="5040"/>
        </w:tabs>
        <w:rPr>
          <w:sz w:val="22"/>
          <w:szCs w:val="22"/>
        </w:rPr>
      </w:pPr>
      <w:r w:rsidRPr="00FE2FD2">
        <w:rPr>
          <w:sz w:val="22"/>
          <w:szCs w:val="22"/>
        </w:rPr>
        <w:lastRenderedPageBreak/>
        <w:t>УДК 620 (075.8)</w:t>
      </w:r>
    </w:p>
    <w:p w:rsidR="000F594F" w:rsidRPr="00FE2FD2" w:rsidRDefault="000F594F" w:rsidP="000F594F">
      <w:pPr>
        <w:tabs>
          <w:tab w:val="left" w:pos="5040"/>
        </w:tabs>
        <w:rPr>
          <w:sz w:val="22"/>
          <w:szCs w:val="22"/>
        </w:rPr>
      </w:pPr>
    </w:p>
    <w:p w:rsidR="000F594F" w:rsidRPr="00FE2FD2" w:rsidRDefault="000F594F" w:rsidP="000F594F">
      <w:pPr>
        <w:tabs>
          <w:tab w:val="left" w:pos="5040"/>
        </w:tabs>
        <w:jc w:val="center"/>
        <w:rPr>
          <w:b/>
          <w:sz w:val="24"/>
          <w:szCs w:val="24"/>
        </w:rPr>
      </w:pPr>
      <w:r w:rsidRPr="00FE2FD2">
        <w:rPr>
          <w:b/>
          <w:sz w:val="24"/>
          <w:szCs w:val="24"/>
        </w:rPr>
        <w:t>Солнечные системы бесперебойного электроснабжения</w:t>
      </w:r>
    </w:p>
    <w:p w:rsidR="000F594F" w:rsidRPr="00FE2FD2" w:rsidRDefault="000F594F" w:rsidP="000F594F">
      <w:pPr>
        <w:tabs>
          <w:tab w:val="left" w:pos="5040"/>
        </w:tabs>
        <w:jc w:val="center"/>
        <w:rPr>
          <w:b/>
          <w:sz w:val="24"/>
          <w:szCs w:val="24"/>
        </w:rPr>
      </w:pPr>
      <w:r w:rsidRPr="00FE2FD2">
        <w:rPr>
          <w:b/>
          <w:sz w:val="24"/>
          <w:szCs w:val="24"/>
        </w:rPr>
        <w:t>Solar uninterruptible power supply systems</w:t>
      </w:r>
    </w:p>
    <w:p w:rsidR="000F594F" w:rsidRPr="00FE2FD2" w:rsidRDefault="000F594F" w:rsidP="000F594F">
      <w:pPr>
        <w:tabs>
          <w:tab w:val="left" w:pos="5040"/>
        </w:tabs>
        <w:jc w:val="center"/>
        <w:rPr>
          <w:b/>
          <w:sz w:val="24"/>
          <w:szCs w:val="24"/>
        </w:rPr>
      </w:pPr>
    </w:p>
    <w:p w:rsidR="000F594F" w:rsidRPr="00FE2FD2" w:rsidRDefault="000F594F" w:rsidP="000F594F">
      <w:pPr>
        <w:tabs>
          <w:tab w:val="left" w:pos="5040"/>
        </w:tabs>
        <w:jc w:val="right"/>
        <w:rPr>
          <w:sz w:val="22"/>
          <w:szCs w:val="22"/>
        </w:rPr>
      </w:pPr>
      <w:r w:rsidRPr="00FE2FD2">
        <w:rPr>
          <w:sz w:val="22"/>
          <w:szCs w:val="22"/>
        </w:rPr>
        <w:t>Дедюля К. А.,</w:t>
      </w:r>
    </w:p>
    <w:p w:rsidR="000F594F" w:rsidRPr="00FE2FD2" w:rsidRDefault="000F594F" w:rsidP="000F594F">
      <w:pPr>
        <w:tabs>
          <w:tab w:val="left" w:pos="5040"/>
        </w:tabs>
        <w:jc w:val="right"/>
        <w:rPr>
          <w:sz w:val="22"/>
          <w:szCs w:val="22"/>
        </w:rPr>
      </w:pPr>
      <w:r w:rsidRPr="00FE2FD2">
        <w:rPr>
          <w:sz w:val="22"/>
          <w:szCs w:val="22"/>
        </w:rPr>
        <w:t>студент 2-го курса магистратуры факультета энергетики</w:t>
      </w:r>
    </w:p>
    <w:p w:rsidR="000F594F" w:rsidRPr="00FE2FD2" w:rsidRDefault="000F594F" w:rsidP="000F594F">
      <w:pPr>
        <w:tabs>
          <w:tab w:val="left" w:pos="5040"/>
        </w:tabs>
        <w:jc w:val="right"/>
        <w:rPr>
          <w:sz w:val="22"/>
          <w:szCs w:val="22"/>
        </w:rPr>
      </w:pPr>
      <w:r w:rsidRPr="00FE2FD2">
        <w:rPr>
          <w:sz w:val="22"/>
          <w:szCs w:val="22"/>
        </w:rPr>
        <w:t>Усков А. Е.,</w:t>
      </w:r>
    </w:p>
    <w:p w:rsidR="000F594F" w:rsidRPr="00FE2FD2" w:rsidRDefault="000F594F" w:rsidP="000F594F">
      <w:pPr>
        <w:tabs>
          <w:tab w:val="left" w:pos="5040"/>
        </w:tabs>
        <w:jc w:val="right"/>
        <w:rPr>
          <w:sz w:val="22"/>
          <w:szCs w:val="22"/>
        </w:rPr>
      </w:pPr>
      <w:r w:rsidRPr="00FE2FD2">
        <w:rPr>
          <w:sz w:val="22"/>
          <w:szCs w:val="22"/>
        </w:rPr>
        <w:t xml:space="preserve">доцент кафедры электротехники, теплотехники </w:t>
      </w:r>
    </w:p>
    <w:p w:rsidR="000F594F" w:rsidRPr="00FE2FD2" w:rsidRDefault="000F594F" w:rsidP="000F594F">
      <w:pPr>
        <w:tabs>
          <w:tab w:val="left" w:pos="5040"/>
        </w:tabs>
        <w:jc w:val="right"/>
        <w:rPr>
          <w:sz w:val="22"/>
          <w:szCs w:val="22"/>
        </w:rPr>
      </w:pPr>
      <w:r w:rsidRPr="00FE2FD2">
        <w:rPr>
          <w:sz w:val="22"/>
          <w:szCs w:val="22"/>
        </w:rPr>
        <w:t>и возобновляемых источников энергии</w:t>
      </w:r>
    </w:p>
    <w:p w:rsidR="000F594F" w:rsidRPr="00FE2FD2" w:rsidRDefault="000F594F" w:rsidP="000F594F">
      <w:pPr>
        <w:tabs>
          <w:tab w:val="left" w:pos="5040"/>
        </w:tabs>
        <w:jc w:val="right"/>
        <w:rPr>
          <w:sz w:val="22"/>
          <w:szCs w:val="22"/>
        </w:rPr>
      </w:pPr>
      <w:r w:rsidRPr="00FE2FD2">
        <w:rPr>
          <w:sz w:val="22"/>
          <w:szCs w:val="22"/>
        </w:rPr>
        <w:t xml:space="preserve">Кубанский государственный аграрный </w:t>
      </w:r>
    </w:p>
    <w:p w:rsidR="000F594F" w:rsidRPr="00FE2FD2" w:rsidRDefault="000F594F" w:rsidP="000F594F">
      <w:pPr>
        <w:tabs>
          <w:tab w:val="left" w:pos="5040"/>
        </w:tabs>
        <w:jc w:val="right"/>
        <w:rPr>
          <w:sz w:val="22"/>
          <w:szCs w:val="22"/>
        </w:rPr>
      </w:pPr>
      <w:r w:rsidRPr="00FE2FD2">
        <w:rPr>
          <w:sz w:val="22"/>
          <w:szCs w:val="22"/>
        </w:rPr>
        <w:t>университет имени И. Т. Трубилина</w:t>
      </w:r>
    </w:p>
    <w:p w:rsidR="000F594F" w:rsidRPr="00FE2FD2" w:rsidRDefault="000F594F" w:rsidP="000F594F">
      <w:pPr>
        <w:tabs>
          <w:tab w:val="left" w:pos="5040"/>
        </w:tabs>
        <w:jc w:val="right"/>
        <w:rPr>
          <w:sz w:val="22"/>
          <w:szCs w:val="22"/>
        </w:rPr>
      </w:pPr>
    </w:p>
    <w:p w:rsidR="000F594F" w:rsidRPr="00FE2FD2" w:rsidRDefault="000F594F" w:rsidP="000F594F">
      <w:pPr>
        <w:tabs>
          <w:tab w:val="left" w:pos="5040"/>
        </w:tabs>
        <w:ind w:firstLine="426"/>
        <w:jc w:val="both"/>
        <w:rPr>
          <w:sz w:val="22"/>
          <w:szCs w:val="22"/>
        </w:rPr>
      </w:pPr>
      <w:r w:rsidRPr="00FE2FD2">
        <w:rPr>
          <w:sz w:val="22"/>
          <w:szCs w:val="22"/>
        </w:rPr>
        <w:t>АННОТАЦИЯ. Раскрываются основные режимы работы с</w:t>
      </w:r>
      <w:r w:rsidRPr="00FE2FD2">
        <w:rPr>
          <w:sz w:val="22"/>
          <w:szCs w:val="22"/>
        </w:rPr>
        <w:t>и</w:t>
      </w:r>
      <w:r w:rsidRPr="00FE2FD2">
        <w:rPr>
          <w:sz w:val="22"/>
          <w:szCs w:val="22"/>
        </w:rPr>
        <w:t>стем бесперебойного электроснабжения, выполненных с примен</w:t>
      </w:r>
      <w:r w:rsidRPr="00FE2FD2">
        <w:rPr>
          <w:sz w:val="22"/>
          <w:szCs w:val="22"/>
        </w:rPr>
        <w:t>е</w:t>
      </w:r>
      <w:r w:rsidRPr="00FE2FD2">
        <w:rPr>
          <w:sz w:val="22"/>
          <w:szCs w:val="22"/>
        </w:rPr>
        <w:t>нием солнечных фотоэлектрических станций и традиционных и</w:t>
      </w:r>
      <w:r w:rsidRPr="00FE2FD2">
        <w:rPr>
          <w:sz w:val="22"/>
          <w:szCs w:val="22"/>
        </w:rPr>
        <w:t>с</w:t>
      </w:r>
      <w:r w:rsidRPr="00FE2FD2">
        <w:rPr>
          <w:sz w:val="22"/>
          <w:szCs w:val="22"/>
        </w:rPr>
        <w:t>точников энергии.</w:t>
      </w:r>
    </w:p>
    <w:p w:rsidR="000F594F" w:rsidRPr="00FE2FD2" w:rsidRDefault="000F594F" w:rsidP="000F594F">
      <w:pPr>
        <w:tabs>
          <w:tab w:val="left" w:pos="5040"/>
        </w:tabs>
        <w:ind w:firstLine="426"/>
        <w:jc w:val="both"/>
        <w:rPr>
          <w:sz w:val="22"/>
          <w:szCs w:val="22"/>
          <w:lang w:val="en-US"/>
        </w:rPr>
      </w:pPr>
      <w:r w:rsidRPr="00FE2FD2">
        <w:rPr>
          <w:caps/>
          <w:sz w:val="22"/>
          <w:szCs w:val="22"/>
          <w:lang w:val="en-US"/>
        </w:rPr>
        <w:t xml:space="preserve">Annotation. </w:t>
      </w:r>
      <w:r w:rsidRPr="00FE2FD2">
        <w:rPr>
          <w:sz w:val="22"/>
          <w:szCs w:val="22"/>
          <w:lang w:val="en-US"/>
        </w:rPr>
        <w:t>The main modes of operation of uninterruptible power supply systems, implemented using solar photovoltaic stations and traditional energy sources, are disclosed.</w:t>
      </w:r>
    </w:p>
    <w:p w:rsidR="000F594F" w:rsidRPr="00FE2FD2" w:rsidRDefault="000F594F" w:rsidP="000F594F">
      <w:pPr>
        <w:tabs>
          <w:tab w:val="left" w:pos="5040"/>
        </w:tabs>
        <w:ind w:firstLine="426"/>
        <w:jc w:val="both"/>
        <w:rPr>
          <w:sz w:val="22"/>
          <w:szCs w:val="22"/>
        </w:rPr>
      </w:pPr>
      <w:r w:rsidRPr="00FE2FD2">
        <w:rPr>
          <w:sz w:val="22"/>
          <w:szCs w:val="22"/>
        </w:rPr>
        <w:t>КЛЮЧЕВЫЕ СЛОВА: система бесперебойного электросна</w:t>
      </w:r>
      <w:r w:rsidRPr="00FE2FD2">
        <w:rPr>
          <w:sz w:val="22"/>
          <w:szCs w:val="22"/>
        </w:rPr>
        <w:t>б</w:t>
      </w:r>
      <w:r w:rsidRPr="00FE2FD2">
        <w:rPr>
          <w:sz w:val="22"/>
          <w:szCs w:val="22"/>
        </w:rPr>
        <w:t>жения, солнечная фотоэлектрическая станция.</w:t>
      </w:r>
    </w:p>
    <w:p w:rsidR="000F594F" w:rsidRPr="00FE2FD2" w:rsidRDefault="000F594F" w:rsidP="000F594F">
      <w:pPr>
        <w:tabs>
          <w:tab w:val="left" w:pos="5040"/>
        </w:tabs>
        <w:ind w:firstLine="426"/>
        <w:jc w:val="both"/>
        <w:rPr>
          <w:sz w:val="22"/>
          <w:szCs w:val="22"/>
          <w:lang w:val="en-US"/>
        </w:rPr>
      </w:pPr>
      <w:r w:rsidRPr="00FE2FD2">
        <w:rPr>
          <w:caps/>
          <w:sz w:val="22"/>
          <w:szCs w:val="22"/>
          <w:lang w:val="en-US"/>
        </w:rPr>
        <w:t xml:space="preserve">key words: </w:t>
      </w:r>
      <w:r w:rsidRPr="00FE2FD2">
        <w:rPr>
          <w:sz w:val="22"/>
          <w:szCs w:val="22"/>
          <w:lang w:val="en-US"/>
        </w:rPr>
        <w:t>uninterruptible power supply system, solar phot</w:t>
      </w:r>
      <w:r w:rsidRPr="00FE2FD2">
        <w:rPr>
          <w:sz w:val="22"/>
          <w:szCs w:val="22"/>
          <w:lang w:val="en-US"/>
        </w:rPr>
        <w:t>o</w:t>
      </w:r>
      <w:r w:rsidRPr="00FE2FD2">
        <w:rPr>
          <w:sz w:val="22"/>
          <w:szCs w:val="22"/>
          <w:lang w:val="en-US"/>
        </w:rPr>
        <w:t>voltaic station.</w:t>
      </w:r>
    </w:p>
    <w:p w:rsidR="000F594F" w:rsidRPr="00FE2FD2" w:rsidRDefault="000F594F" w:rsidP="000F594F">
      <w:pPr>
        <w:tabs>
          <w:tab w:val="left" w:pos="5040"/>
        </w:tabs>
        <w:ind w:firstLine="426"/>
        <w:jc w:val="both"/>
        <w:rPr>
          <w:sz w:val="22"/>
          <w:szCs w:val="22"/>
          <w:lang w:val="en-US"/>
        </w:rPr>
      </w:pPr>
    </w:p>
    <w:p w:rsidR="000F594F" w:rsidRPr="00FE2FD2" w:rsidRDefault="000F594F" w:rsidP="000F594F">
      <w:pPr>
        <w:tabs>
          <w:tab w:val="left" w:pos="438"/>
          <w:tab w:val="left" w:pos="1362"/>
        </w:tabs>
        <w:ind w:firstLine="426"/>
        <w:jc w:val="both"/>
        <w:rPr>
          <w:sz w:val="22"/>
          <w:szCs w:val="22"/>
        </w:rPr>
      </w:pPr>
      <w:r w:rsidRPr="00FE2FD2">
        <w:rPr>
          <w:sz w:val="22"/>
          <w:szCs w:val="22"/>
        </w:rPr>
        <w:t>Известно, что системы бесперебойного электроснабжения (СБЭ) предназначены для непрерывного обеспечения электроэне</w:t>
      </w:r>
      <w:r w:rsidRPr="00FE2FD2">
        <w:rPr>
          <w:sz w:val="22"/>
          <w:szCs w:val="22"/>
        </w:rPr>
        <w:t>р</w:t>
      </w:r>
      <w:r w:rsidRPr="00FE2FD2">
        <w:rPr>
          <w:sz w:val="22"/>
          <w:szCs w:val="22"/>
        </w:rPr>
        <w:t>гией потребители первой категории. В состав таких систем входит несколько независимых источника электроэнергии, включая вне</w:t>
      </w:r>
      <w:r w:rsidRPr="00FE2FD2">
        <w:rPr>
          <w:sz w:val="22"/>
          <w:szCs w:val="22"/>
        </w:rPr>
        <w:t>ш</w:t>
      </w:r>
      <w:r w:rsidRPr="00FE2FD2">
        <w:rPr>
          <w:sz w:val="22"/>
          <w:szCs w:val="22"/>
        </w:rPr>
        <w:t xml:space="preserve">нюю централизованную сеть [1, 2]. </w:t>
      </w:r>
    </w:p>
    <w:p w:rsidR="000F594F" w:rsidRPr="00FE2FD2" w:rsidRDefault="000F594F" w:rsidP="000F594F">
      <w:pPr>
        <w:tabs>
          <w:tab w:val="left" w:pos="438"/>
          <w:tab w:val="left" w:pos="1362"/>
        </w:tabs>
        <w:ind w:firstLine="426"/>
        <w:jc w:val="both"/>
        <w:rPr>
          <w:sz w:val="22"/>
          <w:szCs w:val="22"/>
        </w:rPr>
      </w:pPr>
      <w:r w:rsidRPr="00FE2FD2">
        <w:rPr>
          <w:sz w:val="22"/>
          <w:szCs w:val="22"/>
        </w:rPr>
        <w:t>При применении  в составе СБЭ солнечных фотоэлектрических станций (СФЭС) внешняя электрическая сеть в таких системах м</w:t>
      </w:r>
      <w:r w:rsidRPr="00FE2FD2">
        <w:rPr>
          <w:sz w:val="22"/>
          <w:szCs w:val="22"/>
        </w:rPr>
        <w:t>о</w:t>
      </w:r>
      <w:r w:rsidRPr="00FE2FD2">
        <w:rPr>
          <w:sz w:val="22"/>
          <w:szCs w:val="22"/>
        </w:rPr>
        <w:t xml:space="preserve">жет использоваться как основным или дополнительным источником электроэнергии. Во втором случае сократится время окупаемости СФЭС, а также не нужно будет проводить оплату электроэнергии потребляемой от внешней сети. При этом, как известно, стоимость </w:t>
      </w:r>
      <w:r w:rsidRPr="00FE2FD2">
        <w:rPr>
          <w:sz w:val="22"/>
          <w:szCs w:val="22"/>
        </w:rPr>
        <w:lastRenderedPageBreak/>
        <w:t>электроэнергии от традиционных источников практически ежего</w:t>
      </w:r>
      <w:r w:rsidRPr="00FE2FD2">
        <w:rPr>
          <w:sz w:val="22"/>
          <w:szCs w:val="22"/>
        </w:rPr>
        <w:t>д</w:t>
      </w:r>
      <w:r w:rsidRPr="00FE2FD2">
        <w:rPr>
          <w:sz w:val="22"/>
          <w:szCs w:val="22"/>
        </w:rPr>
        <w:t>но увеличивается.</w:t>
      </w:r>
    </w:p>
    <w:p w:rsidR="000F594F" w:rsidRPr="00FE2FD2" w:rsidRDefault="000F594F" w:rsidP="000F594F">
      <w:pPr>
        <w:tabs>
          <w:tab w:val="left" w:pos="438"/>
          <w:tab w:val="left" w:pos="1362"/>
        </w:tabs>
        <w:ind w:firstLine="426"/>
        <w:jc w:val="both"/>
        <w:rPr>
          <w:sz w:val="22"/>
          <w:szCs w:val="22"/>
        </w:rPr>
      </w:pPr>
      <w:r w:rsidRPr="00FE2FD2">
        <w:rPr>
          <w:sz w:val="22"/>
          <w:szCs w:val="22"/>
        </w:rPr>
        <w:t xml:space="preserve">Обычно в состав СБЭ в которых применяется СФЭС входят: аккумуляторная батарея  (АБ), солнечная  батарея (СБ), инвертор (И), в который встроены устройства заряда АБ: от сети 220 В и от СБ [3, 4].     </w:t>
      </w:r>
    </w:p>
    <w:p w:rsidR="000F594F" w:rsidRPr="00FE2FD2" w:rsidRDefault="000F594F" w:rsidP="000F594F">
      <w:pPr>
        <w:ind w:firstLine="426"/>
        <w:jc w:val="both"/>
        <w:rPr>
          <w:sz w:val="22"/>
          <w:szCs w:val="22"/>
        </w:rPr>
      </w:pPr>
      <w:r w:rsidRPr="00FE2FD2">
        <w:rPr>
          <w:sz w:val="22"/>
          <w:szCs w:val="22"/>
        </w:rPr>
        <w:t>В алгоритм работы центральной системы управления СБЭ з</w:t>
      </w:r>
      <w:r w:rsidRPr="00FE2FD2">
        <w:rPr>
          <w:sz w:val="22"/>
          <w:szCs w:val="22"/>
        </w:rPr>
        <w:t>а</w:t>
      </w:r>
      <w:r w:rsidRPr="00FE2FD2">
        <w:rPr>
          <w:sz w:val="22"/>
          <w:szCs w:val="22"/>
        </w:rPr>
        <w:t>ложен режим энергосбережения, т. е. когда достаточный уровень солнечной радиации, внешний ввод электросети отключается, и п</w:t>
      </w:r>
      <w:r w:rsidRPr="00FE2FD2">
        <w:rPr>
          <w:sz w:val="22"/>
          <w:szCs w:val="22"/>
        </w:rPr>
        <w:t>и</w:t>
      </w:r>
      <w:r w:rsidRPr="00FE2FD2">
        <w:rPr>
          <w:sz w:val="22"/>
          <w:szCs w:val="22"/>
        </w:rPr>
        <w:t>тание потребителей осуществляется от СБ, которые также заряж</w:t>
      </w:r>
      <w:r w:rsidRPr="00FE2FD2">
        <w:rPr>
          <w:sz w:val="22"/>
          <w:szCs w:val="22"/>
        </w:rPr>
        <w:t>а</w:t>
      </w:r>
      <w:r w:rsidRPr="00FE2FD2">
        <w:rPr>
          <w:sz w:val="22"/>
          <w:szCs w:val="22"/>
        </w:rPr>
        <w:t>ют, при необходимости, АБ. Такой режим СБЭ называется авт</w:t>
      </w:r>
      <w:r w:rsidRPr="00FE2FD2">
        <w:rPr>
          <w:sz w:val="22"/>
          <w:szCs w:val="22"/>
        </w:rPr>
        <w:t>о</w:t>
      </w:r>
      <w:r w:rsidRPr="00FE2FD2">
        <w:rPr>
          <w:sz w:val="22"/>
          <w:szCs w:val="22"/>
        </w:rPr>
        <w:t xml:space="preserve">номным. Он ограничивается глубиной разряда АБ на уровне 25–30 %  для случая аварийного отключения внешней сети. </w:t>
      </w:r>
    </w:p>
    <w:p w:rsidR="000F594F" w:rsidRPr="00FE2FD2" w:rsidRDefault="000F594F" w:rsidP="000F594F">
      <w:pPr>
        <w:ind w:firstLine="426"/>
        <w:jc w:val="both"/>
        <w:rPr>
          <w:sz w:val="22"/>
          <w:szCs w:val="22"/>
        </w:rPr>
      </w:pPr>
      <w:r w:rsidRPr="00FE2FD2">
        <w:rPr>
          <w:sz w:val="22"/>
          <w:szCs w:val="22"/>
        </w:rPr>
        <w:t>При разряде АБ до определенного установленного уровня напряжения центральная система управления подключает внешнюю электросеть, которая питает потребители  электроэнергии и ос</w:t>
      </w:r>
      <w:r w:rsidRPr="00FE2FD2">
        <w:rPr>
          <w:sz w:val="22"/>
          <w:szCs w:val="22"/>
        </w:rPr>
        <w:t>у</w:t>
      </w:r>
      <w:r w:rsidRPr="00FE2FD2">
        <w:rPr>
          <w:sz w:val="22"/>
          <w:szCs w:val="22"/>
        </w:rPr>
        <w:t>ществляет заряд АБ. При работе внешней сети заряд АБ могут та</w:t>
      </w:r>
      <w:r w:rsidRPr="00FE2FD2">
        <w:rPr>
          <w:sz w:val="22"/>
          <w:szCs w:val="22"/>
        </w:rPr>
        <w:t>к</w:t>
      </w:r>
      <w:r w:rsidRPr="00FE2FD2">
        <w:rPr>
          <w:sz w:val="22"/>
          <w:szCs w:val="22"/>
        </w:rPr>
        <w:t xml:space="preserve">же осуществлять СБ. </w:t>
      </w:r>
    </w:p>
    <w:p w:rsidR="000F594F" w:rsidRPr="00FE2FD2" w:rsidRDefault="000F594F" w:rsidP="000F594F">
      <w:pPr>
        <w:ind w:firstLine="426"/>
        <w:jc w:val="both"/>
        <w:rPr>
          <w:sz w:val="22"/>
          <w:szCs w:val="22"/>
        </w:rPr>
      </w:pPr>
      <w:r w:rsidRPr="00FE2FD2">
        <w:rPr>
          <w:sz w:val="22"/>
          <w:szCs w:val="22"/>
        </w:rPr>
        <w:t>В случае отключения внешней сети потребители электроэне</w:t>
      </w:r>
      <w:r w:rsidRPr="00FE2FD2">
        <w:rPr>
          <w:sz w:val="22"/>
          <w:szCs w:val="22"/>
        </w:rPr>
        <w:t>р</w:t>
      </w:r>
      <w:r w:rsidRPr="00FE2FD2">
        <w:rPr>
          <w:sz w:val="22"/>
          <w:szCs w:val="22"/>
        </w:rPr>
        <w:t>гии получают энергию от АБ, запас ёмкости которых должен быть рассчитан на максимальный срок автономности с учётом поры года, в том числе плохой погоды.</w:t>
      </w:r>
    </w:p>
    <w:p w:rsidR="000F594F" w:rsidRPr="00FE2FD2" w:rsidRDefault="000F594F" w:rsidP="000F594F">
      <w:pPr>
        <w:ind w:firstLine="426"/>
        <w:jc w:val="both"/>
        <w:rPr>
          <w:sz w:val="22"/>
          <w:szCs w:val="22"/>
        </w:rPr>
      </w:pPr>
      <w:r w:rsidRPr="00FE2FD2">
        <w:rPr>
          <w:sz w:val="22"/>
          <w:szCs w:val="22"/>
        </w:rPr>
        <w:t>Мощность СБ  определяется с учетом возможности полного з</w:t>
      </w:r>
      <w:r w:rsidRPr="00FE2FD2">
        <w:rPr>
          <w:sz w:val="22"/>
          <w:szCs w:val="22"/>
        </w:rPr>
        <w:t>а</w:t>
      </w:r>
      <w:r w:rsidRPr="00FE2FD2">
        <w:rPr>
          <w:sz w:val="22"/>
          <w:szCs w:val="22"/>
        </w:rPr>
        <w:t>ряда АБ. Однако бывают такие периоды отсутствия солнечного и</w:t>
      </w:r>
      <w:r w:rsidRPr="00FE2FD2">
        <w:rPr>
          <w:sz w:val="22"/>
          <w:szCs w:val="22"/>
        </w:rPr>
        <w:t>з</w:t>
      </w:r>
      <w:r w:rsidRPr="00FE2FD2">
        <w:rPr>
          <w:sz w:val="22"/>
          <w:szCs w:val="22"/>
        </w:rPr>
        <w:t>лучения, что становится невозможным осуществить питание потр</w:t>
      </w:r>
      <w:r w:rsidRPr="00FE2FD2">
        <w:rPr>
          <w:sz w:val="22"/>
          <w:szCs w:val="22"/>
        </w:rPr>
        <w:t>е</w:t>
      </w:r>
      <w:r w:rsidRPr="00FE2FD2">
        <w:rPr>
          <w:sz w:val="22"/>
          <w:szCs w:val="22"/>
        </w:rPr>
        <w:t>бителей без дополнительного источника электроэнергии. В качестве таких источников могут использоваться ветроэнергетические уст</w:t>
      </w:r>
      <w:r w:rsidRPr="00FE2FD2">
        <w:rPr>
          <w:sz w:val="22"/>
          <w:szCs w:val="22"/>
        </w:rPr>
        <w:t>а</w:t>
      </w:r>
      <w:r w:rsidRPr="00FE2FD2">
        <w:rPr>
          <w:sz w:val="22"/>
          <w:szCs w:val="22"/>
        </w:rPr>
        <w:t xml:space="preserve">новки или дизельные, а также газопоршневые электростанции [3, 4].  </w:t>
      </w:r>
    </w:p>
    <w:p w:rsidR="000F594F" w:rsidRPr="00FE2FD2" w:rsidRDefault="000F594F" w:rsidP="000F594F">
      <w:pPr>
        <w:ind w:firstLine="426"/>
        <w:jc w:val="both"/>
        <w:rPr>
          <w:sz w:val="22"/>
          <w:szCs w:val="22"/>
        </w:rPr>
      </w:pPr>
      <w:r w:rsidRPr="00FE2FD2">
        <w:rPr>
          <w:sz w:val="22"/>
          <w:szCs w:val="22"/>
        </w:rPr>
        <w:t>Современное развитие техники позволяет через интернет-портал  следить за работой СБЭ в реальном времени. Кроме того, накапливается информация, которая позволит оптимизировать р</w:t>
      </w:r>
      <w:r w:rsidRPr="00FE2FD2">
        <w:rPr>
          <w:sz w:val="22"/>
          <w:szCs w:val="22"/>
        </w:rPr>
        <w:t>а</w:t>
      </w:r>
      <w:r w:rsidRPr="00FE2FD2">
        <w:rPr>
          <w:sz w:val="22"/>
          <w:szCs w:val="22"/>
        </w:rPr>
        <w:t>боту СБЭ.</w:t>
      </w:r>
    </w:p>
    <w:p w:rsidR="000F594F" w:rsidRPr="00FE2FD2" w:rsidRDefault="000F594F" w:rsidP="000F594F">
      <w:pPr>
        <w:ind w:firstLine="426"/>
        <w:jc w:val="both"/>
        <w:rPr>
          <w:sz w:val="22"/>
          <w:szCs w:val="22"/>
        </w:rPr>
      </w:pPr>
      <w:r w:rsidRPr="00FE2FD2">
        <w:rPr>
          <w:sz w:val="22"/>
          <w:szCs w:val="22"/>
        </w:rPr>
        <w:t>СБЭ работает, как правило, в автоматическом режиме, в кот</w:t>
      </w:r>
      <w:r w:rsidRPr="00FE2FD2">
        <w:rPr>
          <w:sz w:val="22"/>
          <w:szCs w:val="22"/>
        </w:rPr>
        <w:t>о</w:t>
      </w:r>
      <w:r w:rsidRPr="00FE2FD2">
        <w:rPr>
          <w:sz w:val="22"/>
          <w:szCs w:val="22"/>
        </w:rPr>
        <w:t>рый заложен следующий алгоритм [3, 5]:</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t xml:space="preserve">1) электроэнергия выработанная СФЭС идет на питание нагрузок первой категории, но в случае отсутствии солнечной радиации или при плохой погоде недостаток электроэнергии пополняется от внешней сети;  </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lastRenderedPageBreak/>
        <w:t>2) при кратковременных отказах в внешней сети АБ осуществляют питание потребителей 1-й категории через инверторы;</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t xml:space="preserve"> 3) при длительных сроках отключения внешней сети,  когда солнечной энергии и энергии АБ недостаточно центральная система управления формирует команду на запуск резервных источников электроэнергии – дизельных или газопоршневых электростанций;</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t>4) когда работает резервный источник параллельно осуществляется заряд АБ;</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t>5) в случае когда мощность вырабатываемая СФЭС превышает необходимую для потребителей, то центральная система управления подключает дополнительные потребители;</w:t>
      </w:r>
    </w:p>
    <w:p w:rsidR="000F594F" w:rsidRPr="00FE2FD2" w:rsidRDefault="000F594F" w:rsidP="000F594F">
      <w:pPr>
        <w:tabs>
          <w:tab w:val="left" w:pos="1108"/>
          <w:tab w:val="left" w:pos="1362"/>
        </w:tabs>
        <w:suppressAutoHyphens/>
        <w:ind w:firstLine="426"/>
        <w:jc w:val="both"/>
        <w:rPr>
          <w:sz w:val="22"/>
          <w:szCs w:val="22"/>
        </w:rPr>
      </w:pPr>
      <w:r w:rsidRPr="00FE2FD2">
        <w:rPr>
          <w:sz w:val="22"/>
          <w:szCs w:val="22"/>
        </w:rPr>
        <w:t>6) потребители электроэнергии 2-й и 3-й категории питаются от внешней электросети, но в случае наличия «излишков»  электроэнергии, вырабатываемой СФЭС, последние осуществляют питание потребителей 2-й и 3-й категории.</w:t>
      </w:r>
    </w:p>
    <w:p w:rsidR="000F594F" w:rsidRPr="00FE2FD2" w:rsidRDefault="000F594F" w:rsidP="000F594F">
      <w:pPr>
        <w:ind w:firstLine="426"/>
        <w:jc w:val="both"/>
        <w:rPr>
          <w:sz w:val="22"/>
          <w:szCs w:val="22"/>
        </w:rPr>
      </w:pPr>
    </w:p>
    <w:p w:rsidR="000F594F" w:rsidRPr="00FE2FD2" w:rsidRDefault="000F594F" w:rsidP="000F594F">
      <w:pPr>
        <w:ind w:hanging="12"/>
        <w:jc w:val="center"/>
        <w:rPr>
          <w:sz w:val="22"/>
          <w:szCs w:val="22"/>
        </w:rPr>
      </w:pPr>
      <w:r w:rsidRPr="00FE2FD2">
        <w:rPr>
          <w:sz w:val="22"/>
          <w:szCs w:val="22"/>
        </w:rPr>
        <w:t>Список литературы</w:t>
      </w:r>
    </w:p>
    <w:p w:rsidR="000F594F" w:rsidRPr="00FE2FD2" w:rsidRDefault="000F594F" w:rsidP="000F594F">
      <w:pPr>
        <w:ind w:firstLine="426"/>
        <w:jc w:val="both"/>
        <w:rPr>
          <w:sz w:val="22"/>
          <w:szCs w:val="22"/>
        </w:rPr>
      </w:pPr>
      <w:r w:rsidRPr="00FE2FD2">
        <w:rPr>
          <w:sz w:val="22"/>
          <w:szCs w:val="22"/>
        </w:rPr>
        <w:t>1. Григораш, О. В. Нетрадиционные источники электроэнергии в составе систем гарантированного электроснабжения / О. В. Григ</w:t>
      </w:r>
      <w:r w:rsidRPr="00FE2FD2">
        <w:rPr>
          <w:sz w:val="22"/>
          <w:szCs w:val="22"/>
        </w:rPr>
        <w:t>о</w:t>
      </w:r>
      <w:r w:rsidRPr="00FE2FD2">
        <w:rPr>
          <w:sz w:val="22"/>
          <w:szCs w:val="22"/>
        </w:rPr>
        <w:t>раш, Н. И. Богатырев, Н. Н. Курзин  // Промышленная энергетика. – 2004. –  № 1. – С. 59–62.</w:t>
      </w:r>
    </w:p>
    <w:p w:rsidR="000F594F" w:rsidRPr="00FE2FD2" w:rsidRDefault="000F594F" w:rsidP="000F594F">
      <w:pPr>
        <w:ind w:firstLine="426"/>
        <w:jc w:val="both"/>
        <w:rPr>
          <w:sz w:val="22"/>
          <w:szCs w:val="22"/>
        </w:rPr>
      </w:pPr>
      <w:r w:rsidRPr="00FE2FD2">
        <w:rPr>
          <w:sz w:val="22"/>
          <w:szCs w:val="22"/>
        </w:rPr>
        <w:t>2. Григораш, О. В. Системы гарантированного электроснабж</w:t>
      </w:r>
      <w:r w:rsidRPr="00FE2FD2">
        <w:rPr>
          <w:sz w:val="22"/>
          <w:szCs w:val="22"/>
        </w:rPr>
        <w:t>е</w:t>
      </w:r>
      <w:r w:rsidRPr="00FE2FD2">
        <w:rPr>
          <w:sz w:val="22"/>
          <w:szCs w:val="22"/>
        </w:rPr>
        <w:t>ния / О. В. Григораш, А. Ю. Попов, Е. А. Власенко и др. – Красн</w:t>
      </w:r>
      <w:r w:rsidRPr="00FE2FD2">
        <w:rPr>
          <w:sz w:val="22"/>
          <w:szCs w:val="22"/>
        </w:rPr>
        <w:t>о</w:t>
      </w:r>
      <w:r w:rsidRPr="00FE2FD2">
        <w:rPr>
          <w:sz w:val="22"/>
          <w:szCs w:val="22"/>
        </w:rPr>
        <w:t>дар: КубГАУ, 2017. –  223 с.</w:t>
      </w:r>
    </w:p>
    <w:p w:rsidR="000F594F" w:rsidRPr="00FE2FD2" w:rsidRDefault="000F594F" w:rsidP="000F594F">
      <w:pPr>
        <w:ind w:firstLine="426"/>
        <w:jc w:val="both"/>
        <w:rPr>
          <w:sz w:val="22"/>
          <w:szCs w:val="22"/>
        </w:rPr>
      </w:pPr>
      <w:r w:rsidRPr="00FE2FD2">
        <w:rPr>
          <w:sz w:val="22"/>
          <w:szCs w:val="22"/>
        </w:rPr>
        <w:t>3. Григораш, О. В. Возобновляемые источники электроэнергии: состояние и перспективы / О. В. Григораш, Ю. Г. Пугачев, Д. В. В</w:t>
      </w:r>
      <w:r w:rsidRPr="00FE2FD2">
        <w:rPr>
          <w:sz w:val="22"/>
          <w:szCs w:val="22"/>
        </w:rPr>
        <w:t>о</w:t>
      </w:r>
      <w:r w:rsidRPr="00FE2FD2">
        <w:rPr>
          <w:sz w:val="22"/>
          <w:szCs w:val="22"/>
        </w:rPr>
        <w:t xml:space="preserve">енцов, А. С. Чесовской  // </w:t>
      </w:r>
      <w:hyperlink r:id="rId358" w:history="1">
        <w:r w:rsidRPr="00FE2FD2">
          <w:rPr>
            <w:sz w:val="22"/>
            <w:szCs w:val="22"/>
          </w:rPr>
          <w:t>Механизация</w:t>
        </w:r>
      </w:hyperlink>
      <w:r w:rsidRPr="00FE2FD2">
        <w:rPr>
          <w:sz w:val="22"/>
          <w:szCs w:val="22"/>
        </w:rPr>
        <w:t xml:space="preserve"> и электрификация сельского хозяйства. – 2007. –  № 8. – С. 24–25.</w:t>
      </w:r>
    </w:p>
    <w:p w:rsidR="000F594F" w:rsidRPr="00FE2FD2" w:rsidRDefault="000F594F" w:rsidP="000F594F">
      <w:pPr>
        <w:ind w:firstLine="426"/>
        <w:jc w:val="both"/>
        <w:rPr>
          <w:sz w:val="22"/>
          <w:szCs w:val="22"/>
        </w:rPr>
      </w:pPr>
      <w:r w:rsidRPr="00FE2FD2">
        <w:rPr>
          <w:sz w:val="22"/>
          <w:szCs w:val="22"/>
        </w:rPr>
        <w:t>4. Григораш, О. В. Об эффективности и целесообразности и</w:t>
      </w:r>
      <w:r w:rsidRPr="00FE2FD2">
        <w:rPr>
          <w:sz w:val="22"/>
          <w:szCs w:val="22"/>
        </w:rPr>
        <w:t>с</w:t>
      </w:r>
      <w:r w:rsidRPr="00FE2FD2">
        <w:rPr>
          <w:sz w:val="22"/>
          <w:szCs w:val="22"/>
        </w:rPr>
        <w:t>пользования возобновляемых источников электроэнергии в Красн</w:t>
      </w:r>
      <w:r w:rsidRPr="00FE2FD2">
        <w:rPr>
          <w:sz w:val="22"/>
          <w:szCs w:val="22"/>
        </w:rPr>
        <w:t>о</w:t>
      </w:r>
      <w:r w:rsidRPr="00FE2FD2">
        <w:rPr>
          <w:sz w:val="22"/>
          <w:szCs w:val="22"/>
        </w:rPr>
        <w:t>дарском крае / О. В. Григораш, В. В. Тропин, А. С. Оськина  // Пр</w:t>
      </w:r>
      <w:r w:rsidRPr="00FE2FD2">
        <w:rPr>
          <w:sz w:val="22"/>
          <w:szCs w:val="22"/>
        </w:rPr>
        <w:t>о</w:t>
      </w:r>
      <w:r w:rsidRPr="00FE2FD2">
        <w:rPr>
          <w:sz w:val="22"/>
          <w:szCs w:val="22"/>
        </w:rPr>
        <w:t>мышленная энергетика. – 2012. –  № 83. – С. 188–199.</w:t>
      </w:r>
    </w:p>
    <w:p w:rsidR="000F594F" w:rsidRDefault="000F594F" w:rsidP="000F594F">
      <w:pPr>
        <w:ind w:firstLine="426"/>
        <w:jc w:val="both"/>
        <w:rPr>
          <w:sz w:val="22"/>
          <w:szCs w:val="22"/>
        </w:rPr>
      </w:pPr>
      <w:r w:rsidRPr="00FE2FD2">
        <w:rPr>
          <w:sz w:val="22"/>
          <w:szCs w:val="22"/>
        </w:rPr>
        <w:t>5. Григораш, О. В. Статические преобразователи электроэне</w:t>
      </w:r>
      <w:r w:rsidRPr="00FE2FD2">
        <w:rPr>
          <w:sz w:val="22"/>
          <w:szCs w:val="22"/>
        </w:rPr>
        <w:t>р</w:t>
      </w:r>
      <w:r w:rsidRPr="00FE2FD2">
        <w:rPr>
          <w:sz w:val="22"/>
          <w:szCs w:val="22"/>
        </w:rPr>
        <w:t xml:space="preserve">гии / О. В. Григораш, О. В. Новокрещенов, А. А. Хамула и др. – Краснодар, 2006. –  264 с. </w:t>
      </w:r>
    </w:p>
    <w:p w:rsidR="000F594F" w:rsidRDefault="000F594F" w:rsidP="000F594F">
      <w:pPr>
        <w:ind w:firstLine="426"/>
        <w:jc w:val="both"/>
        <w:rPr>
          <w:sz w:val="22"/>
          <w:szCs w:val="22"/>
        </w:rPr>
      </w:pPr>
    </w:p>
    <w:p w:rsidR="00553B63" w:rsidRDefault="00553B63" w:rsidP="000F594F">
      <w:pPr>
        <w:ind w:firstLine="426"/>
        <w:jc w:val="both"/>
        <w:rPr>
          <w:sz w:val="22"/>
          <w:szCs w:val="22"/>
        </w:rPr>
      </w:pPr>
    </w:p>
    <w:p w:rsidR="000F594F" w:rsidRPr="00D15DEA" w:rsidRDefault="000F594F" w:rsidP="000F594F">
      <w:pPr>
        <w:rPr>
          <w:rFonts w:eastAsiaTheme="minorHAnsi"/>
          <w:sz w:val="22"/>
          <w:szCs w:val="22"/>
          <w:lang w:eastAsia="en-US"/>
        </w:rPr>
      </w:pPr>
      <w:r w:rsidRPr="00D15DEA">
        <w:rPr>
          <w:rFonts w:eastAsiaTheme="minorHAnsi"/>
          <w:sz w:val="22"/>
          <w:szCs w:val="22"/>
          <w:lang w:eastAsia="en-US"/>
        </w:rPr>
        <w:lastRenderedPageBreak/>
        <w:t>УДК 628.977.9</w:t>
      </w:r>
    </w:p>
    <w:p w:rsidR="000F594F" w:rsidRPr="00DF1146" w:rsidRDefault="000F594F" w:rsidP="000F594F">
      <w:pPr>
        <w:ind w:firstLine="851"/>
        <w:rPr>
          <w:rFonts w:eastAsiaTheme="minorHAnsi"/>
          <w:b/>
          <w:sz w:val="24"/>
          <w:szCs w:val="24"/>
          <w:lang w:eastAsia="en-US"/>
        </w:rPr>
      </w:pPr>
    </w:p>
    <w:p w:rsidR="000F594F" w:rsidRPr="00DF1146" w:rsidRDefault="00D15DEA" w:rsidP="000F594F">
      <w:pPr>
        <w:ind w:firstLine="851"/>
        <w:jc w:val="center"/>
        <w:rPr>
          <w:rFonts w:eastAsiaTheme="minorHAnsi"/>
          <w:b/>
          <w:sz w:val="24"/>
          <w:szCs w:val="24"/>
          <w:lang w:eastAsia="en-US"/>
        </w:rPr>
      </w:pPr>
      <w:r w:rsidRPr="00DF1146">
        <w:rPr>
          <w:rFonts w:eastAsiaTheme="minorHAnsi"/>
          <w:b/>
          <w:sz w:val="24"/>
          <w:szCs w:val="24"/>
          <w:lang w:eastAsia="en-US"/>
        </w:rPr>
        <w:t>Применение энергосберегающих технологий</w:t>
      </w:r>
      <w:r>
        <w:rPr>
          <w:rFonts w:eastAsiaTheme="minorHAnsi"/>
          <w:b/>
          <w:sz w:val="24"/>
          <w:szCs w:val="24"/>
          <w:lang w:eastAsia="en-US"/>
        </w:rPr>
        <w:br/>
      </w:r>
      <w:r w:rsidRPr="00DF1146">
        <w:rPr>
          <w:rFonts w:eastAsiaTheme="minorHAnsi"/>
          <w:b/>
          <w:sz w:val="24"/>
          <w:szCs w:val="24"/>
          <w:lang w:eastAsia="en-US"/>
        </w:rPr>
        <w:t xml:space="preserve"> с целью повышения энергоэффективности излучаемого света в учебной адуитории</w:t>
      </w:r>
    </w:p>
    <w:p w:rsidR="000F594F" w:rsidRPr="00DF1146" w:rsidRDefault="00D15DEA" w:rsidP="000F59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DF1146">
        <w:rPr>
          <w:b/>
          <w:sz w:val="24"/>
          <w:szCs w:val="24"/>
          <w:lang w:val="en-US"/>
        </w:rPr>
        <w:t>Application of energy-saving technologies with the purpose of energy efficiency of radiation light in educational adjuity</w:t>
      </w:r>
    </w:p>
    <w:p w:rsidR="000F594F" w:rsidRPr="00DF1146" w:rsidRDefault="000F594F" w:rsidP="000F59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Лебедев А.</w:t>
      </w:r>
      <w:r w:rsidR="00553B63">
        <w:rPr>
          <w:rFonts w:eastAsiaTheme="minorHAnsi"/>
          <w:sz w:val="22"/>
          <w:szCs w:val="22"/>
          <w:lang w:eastAsia="en-US"/>
        </w:rPr>
        <w:t xml:space="preserve"> </w:t>
      </w:r>
      <w:r w:rsidRPr="00D15DEA">
        <w:rPr>
          <w:rFonts w:eastAsiaTheme="minorHAnsi"/>
          <w:sz w:val="22"/>
          <w:szCs w:val="22"/>
          <w:lang w:eastAsia="en-US"/>
        </w:rPr>
        <w:t>С.,</w:t>
      </w: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студент 4-го курса факультета энергетики</w:t>
      </w: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Николаенко С.</w:t>
      </w:r>
      <w:r w:rsidR="00553B63">
        <w:rPr>
          <w:rFonts w:eastAsiaTheme="minorHAnsi"/>
          <w:sz w:val="22"/>
          <w:szCs w:val="22"/>
          <w:lang w:eastAsia="en-US"/>
        </w:rPr>
        <w:t xml:space="preserve"> </w:t>
      </w:r>
      <w:r w:rsidRPr="00D15DEA">
        <w:rPr>
          <w:rFonts w:eastAsiaTheme="minorHAnsi"/>
          <w:sz w:val="22"/>
          <w:szCs w:val="22"/>
          <w:lang w:eastAsia="en-US"/>
        </w:rPr>
        <w:t>А.,</w:t>
      </w: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доцент кафедры электрических машин и электропривода</w:t>
      </w: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 xml:space="preserve">Кубанский государственный аграрный </w:t>
      </w:r>
    </w:p>
    <w:p w:rsidR="000F594F" w:rsidRPr="00D15DEA" w:rsidRDefault="000F594F" w:rsidP="00D15DEA">
      <w:pPr>
        <w:ind w:firstLine="851"/>
        <w:jc w:val="right"/>
        <w:rPr>
          <w:rFonts w:eastAsiaTheme="minorHAnsi"/>
          <w:sz w:val="22"/>
          <w:szCs w:val="22"/>
          <w:lang w:eastAsia="en-US"/>
        </w:rPr>
      </w:pPr>
      <w:r w:rsidRPr="00D15DEA">
        <w:rPr>
          <w:rFonts w:eastAsiaTheme="minorHAnsi"/>
          <w:sz w:val="22"/>
          <w:szCs w:val="22"/>
          <w:lang w:eastAsia="en-US"/>
        </w:rPr>
        <w:t>университет имени И.Т. Трубилина</w:t>
      </w:r>
    </w:p>
    <w:p w:rsidR="000F594F" w:rsidRPr="00D15DEA" w:rsidRDefault="000F594F" w:rsidP="00D15DEA">
      <w:pPr>
        <w:ind w:firstLine="851"/>
        <w:jc w:val="both"/>
        <w:rPr>
          <w:rFonts w:eastAsiaTheme="minorHAnsi"/>
          <w:sz w:val="22"/>
          <w:szCs w:val="22"/>
          <w:lang w:eastAsia="en-US"/>
        </w:rPr>
      </w:pPr>
    </w:p>
    <w:p w:rsidR="000F594F" w:rsidRPr="00D15DEA" w:rsidRDefault="000F594F" w:rsidP="00D15DEA">
      <w:pPr>
        <w:ind w:firstLine="426"/>
        <w:jc w:val="both"/>
        <w:rPr>
          <w:rFonts w:eastAsiaTheme="minorHAnsi"/>
          <w:sz w:val="22"/>
          <w:szCs w:val="22"/>
          <w:lang w:eastAsia="en-US"/>
        </w:rPr>
      </w:pPr>
      <w:r w:rsidRPr="00D15DEA">
        <w:rPr>
          <w:rFonts w:eastAsiaTheme="minorHAnsi"/>
          <w:sz w:val="22"/>
          <w:szCs w:val="22"/>
          <w:lang w:eastAsia="en-US"/>
        </w:rPr>
        <w:t>АННОТАЦИЯ: В данной статье был предложен способ реш</w:t>
      </w:r>
      <w:r w:rsidRPr="00D15DEA">
        <w:rPr>
          <w:rFonts w:eastAsiaTheme="minorHAnsi"/>
          <w:sz w:val="22"/>
          <w:szCs w:val="22"/>
          <w:lang w:eastAsia="en-US"/>
        </w:rPr>
        <w:t>е</w:t>
      </w:r>
      <w:r w:rsidRPr="00D15DEA">
        <w:rPr>
          <w:rFonts w:eastAsiaTheme="minorHAnsi"/>
          <w:sz w:val="22"/>
          <w:szCs w:val="22"/>
          <w:lang w:eastAsia="en-US"/>
        </w:rPr>
        <w:t>ния проблемы по повышению качества освещения при помощи энергосберегающих технологий. Был произведен светотехнический анализпо оптимальному внедрению в учебную аудиторию энерг</w:t>
      </w:r>
      <w:r w:rsidRPr="00D15DEA">
        <w:rPr>
          <w:rFonts w:eastAsiaTheme="minorHAnsi"/>
          <w:sz w:val="22"/>
          <w:szCs w:val="22"/>
          <w:lang w:eastAsia="en-US"/>
        </w:rPr>
        <w:t>о</w:t>
      </w:r>
      <w:r w:rsidRPr="00D15DEA">
        <w:rPr>
          <w:rFonts w:eastAsiaTheme="minorHAnsi"/>
          <w:sz w:val="22"/>
          <w:szCs w:val="22"/>
          <w:lang w:eastAsia="en-US"/>
        </w:rPr>
        <w:t>сберегающих технологий. По итогу проведения расчетов была пр</w:t>
      </w:r>
      <w:r w:rsidRPr="00D15DEA">
        <w:rPr>
          <w:rFonts w:eastAsiaTheme="minorHAnsi"/>
          <w:sz w:val="22"/>
          <w:szCs w:val="22"/>
          <w:lang w:eastAsia="en-US"/>
        </w:rPr>
        <w:t>о</w:t>
      </w:r>
      <w:r w:rsidRPr="00D15DEA">
        <w:rPr>
          <w:rFonts w:eastAsiaTheme="minorHAnsi"/>
          <w:sz w:val="22"/>
          <w:szCs w:val="22"/>
          <w:lang w:eastAsia="en-US"/>
        </w:rPr>
        <w:t>изведена экономическая оценка окупаемости энергосберегающих технологий.</w:t>
      </w:r>
    </w:p>
    <w:p w:rsidR="000F594F" w:rsidRPr="00D15DEA" w:rsidRDefault="000F594F" w:rsidP="00D15DEA">
      <w:pPr>
        <w:shd w:val="clear" w:color="auto" w:fill="FFFFFF"/>
        <w:ind w:firstLine="426"/>
        <w:jc w:val="both"/>
        <w:rPr>
          <w:sz w:val="22"/>
          <w:szCs w:val="22"/>
          <w:lang w:val="en-US"/>
        </w:rPr>
      </w:pPr>
      <w:r w:rsidRPr="00D15DEA">
        <w:rPr>
          <w:rFonts w:eastAsiaTheme="minorHAnsi"/>
          <w:sz w:val="22"/>
          <w:szCs w:val="22"/>
          <w:lang w:val="en-US" w:eastAsia="en-US"/>
        </w:rPr>
        <w:t xml:space="preserve">ABSTRACT: </w:t>
      </w:r>
      <w:r w:rsidRPr="00D15DEA">
        <w:rPr>
          <w:sz w:val="22"/>
          <w:szCs w:val="22"/>
          <w:lang w:val="en-US"/>
        </w:rPr>
        <w:t>In this article, a method has been proposed for sol</w:t>
      </w:r>
      <w:r w:rsidRPr="00D15DEA">
        <w:rPr>
          <w:sz w:val="22"/>
          <w:szCs w:val="22"/>
          <w:lang w:val="en-US"/>
        </w:rPr>
        <w:t>v</w:t>
      </w:r>
      <w:r w:rsidRPr="00D15DEA">
        <w:rPr>
          <w:sz w:val="22"/>
          <w:szCs w:val="22"/>
          <w:lang w:val="en-US"/>
        </w:rPr>
        <w:t>ing the problem of improving the quality of lighting using energy-saving technologies. A lighting technical analysis was conducted to optimally introduce energy saving technologies into the classroom. As a result of the calculations, an economic evaluation was made of the recoupment of energy-saving technologies.</w:t>
      </w:r>
    </w:p>
    <w:p w:rsidR="000F594F" w:rsidRPr="00D15DEA" w:rsidRDefault="000F594F" w:rsidP="00D15DEA">
      <w:pPr>
        <w:ind w:firstLine="426"/>
        <w:jc w:val="both"/>
        <w:rPr>
          <w:rFonts w:eastAsiaTheme="minorHAnsi"/>
          <w:sz w:val="22"/>
          <w:szCs w:val="22"/>
          <w:lang w:eastAsia="en-US"/>
        </w:rPr>
      </w:pPr>
      <w:r w:rsidRPr="00D15DEA">
        <w:rPr>
          <w:rFonts w:eastAsiaTheme="minorHAnsi"/>
          <w:sz w:val="22"/>
          <w:szCs w:val="22"/>
          <w:lang w:eastAsia="en-US"/>
        </w:rPr>
        <w:t xml:space="preserve">КЛЮЧЕВЫЕ СЛОВА: энергосберегающие технологии, </w:t>
      </w:r>
      <w:r w:rsidRPr="00D15DEA">
        <w:rPr>
          <w:rFonts w:eastAsiaTheme="minorHAnsi"/>
          <w:sz w:val="22"/>
          <w:szCs w:val="22"/>
          <w:lang w:val="en-US" w:eastAsia="en-US"/>
        </w:rPr>
        <w:t>LED</w:t>
      </w:r>
      <w:r w:rsidRPr="00D15DEA">
        <w:rPr>
          <w:rFonts w:eastAsiaTheme="minorHAnsi"/>
          <w:sz w:val="22"/>
          <w:szCs w:val="22"/>
          <w:lang w:eastAsia="en-US"/>
        </w:rPr>
        <w:t xml:space="preserve">–технологии, нормируемая освещенность, программный компонент </w:t>
      </w:r>
      <w:r w:rsidRPr="00D15DEA">
        <w:rPr>
          <w:rFonts w:eastAsiaTheme="minorHAnsi"/>
          <w:sz w:val="22"/>
          <w:szCs w:val="22"/>
          <w:lang w:val="en-US" w:eastAsia="en-US"/>
        </w:rPr>
        <w:t>DIALux</w:t>
      </w:r>
      <w:r w:rsidRPr="00D15DEA">
        <w:rPr>
          <w:rFonts w:eastAsiaTheme="minorHAnsi"/>
          <w:sz w:val="22"/>
          <w:szCs w:val="22"/>
          <w:lang w:eastAsia="en-US"/>
        </w:rPr>
        <w:t>.</w:t>
      </w:r>
    </w:p>
    <w:p w:rsidR="000F594F" w:rsidRPr="00D15DEA" w:rsidRDefault="000F594F" w:rsidP="00D15DEA">
      <w:pPr>
        <w:shd w:val="clear" w:color="auto" w:fill="FFFFFF"/>
        <w:ind w:firstLine="426"/>
        <w:jc w:val="both"/>
        <w:rPr>
          <w:sz w:val="22"/>
          <w:szCs w:val="22"/>
          <w:lang w:val="en-US"/>
        </w:rPr>
      </w:pPr>
      <w:r w:rsidRPr="00D15DEA">
        <w:rPr>
          <w:rFonts w:eastAsiaTheme="minorHAnsi"/>
          <w:sz w:val="22"/>
          <w:szCs w:val="22"/>
          <w:lang w:val="en-US" w:eastAsia="en-US"/>
        </w:rPr>
        <w:t xml:space="preserve">KEYWORDS: </w:t>
      </w:r>
      <w:r w:rsidRPr="00D15DEA">
        <w:rPr>
          <w:sz w:val="22"/>
          <w:szCs w:val="22"/>
          <w:lang w:val="en-US"/>
        </w:rPr>
        <w:t>energy saving technologies, LED technology, no</w:t>
      </w:r>
      <w:r w:rsidRPr="00D15DEA">
        <w:rPr>
          <w:sz w:val="22"/>
          <w:szCs w:val="22"/>
          <w:lang w:val="en-US"/>
        </w:rPr>
        <w:t>r</w:t>
      </w:r>
      <w:r w:rsidRPr="00D15DEA">
        <w:rPr>
          <w:sz w:val="22"/>
          <w:szCs w:val="22"/>
          <w:lang w:val="en-US"/>
        </w:rPr>
        <w:t>malized illumination, software component DIALux.</w:t>
      </w:r>
    </w:p>
    <w:p w:rsidR="000F594F" w:rsidRPr="00D15DEA" w:rsidRDefault="000F594F" w:rsidP="00D15DEA">
      <w:pPr>
        <w:ind w:firstLine="426"/>
        <w:jc w:val="both"/>
        <w:rPr>
          <w:rFonts w:eastAsiaTheme="minorHAnsi"/>
          <w:sz w:val="22"/>
          <w:szCs w:val="22"/>
          <w:lang w:val="en-US" w:eastAsia="en-US"/>
        </w:rPr>
      </w:pPr>
    </w:p>
    <w:p w:rsidR="000F594F" w:rsidRPr="00DF1146" w:rsidRDefault="000F594F" w:rsidP="000F594F">
      <w:pPr>
        <w:ind w:firstLine="426"/>
        <w:jc w:val="both"/>
        <w:rPr>
          <w:rFonts w:eastAsiaTheme="minorHAnsi"/>
          <w:sz w:val="22"/>
          <w:lang w:eastAsia="en-US"/>
        </w:rPr>
      </w:pPr>
      <w:r w:rsidRPr="00DF1146">
        <w:rPr>
          <w:rFonts w:eastAsiaTheme="minorHAnsi"/>
          <w:sz w:val="22"/>
          <w:lang w:eastAsia="en-US"/>
        </w:rPr>
        <w:t>В связи с тем, что в последнее время у нас наблюдается те</w:t>
      </w:r>
      <w:r w:rsidRPr="00DF1146">
        <w:rPr>
          <w:rFonts w:eastAsiaTheme="minorHAnsi"/>
          <w:sz w:val="22"/>
          <w:lang w:eastAsia="en-US"/>
        </w:rPr>
        <w:t>н</w:t>
      </w:r>
      <w:r w:rsidRPr="00DF1146">
        <w:rPr>
          <w:rFonts w:eastAsiaTheme="minorHAnsi"/>
          <w:sz w:val="22"/>
          <w:lang w:eastAsia="en-US"/>
        </w:rPr>
        <w:t xml:space="preserve">денция к оптимизации энергопотребления как производственных помещений, так и учебных заведений, был принят Федеральный </w:t>
      </w:r>
      <w:r w:rsidRPr="00DF1146">
        <w:rPr>
          <w:rFonts w:eastAsiaTheme="minorHAnsi"/>
          <w:sz w:val="22"/>
          <w:lang w:eastAsia="en-US"/>
        </w:rPr>
        <w:lastRenderedPageBreak/>
        <w:t>закон от 23 ноября «Об энергосбережении и повышении энергет</w:t>
      </w:r>
      <w:r w:rsidRPr="00DF1146">
        <w:rPr>
          <w:rFonts w:eastAsiaTheme="minorHAnsi"/>
          <w:sz w:val="22"/>
          <w:lang w:eastAsia="en-US"/>
        </w:rPr>
        <w:t>и</w:t>
      </w:r>
      <w:r w:rsidRPr="00DF1146">
        <w:rPr>
          <w:rFonts w:eastAsiaTheme="minorHAnsi"/>
          <w:sz w:val="22"/>
          <w:lang w:eastAsia="en-US"/>
        </w:rPr>
        <w:t>ческой эффективности и о внесении изменений в отдельные закон</w:t>
      </w:r>
      <w:r w:rsidRPr="00DF1146">
        <w:rPr>
          <w:rFonts w:eastAsiaTheme="minorHAnsi"/>
          <w:sz w:val="22"/>
          <w:lang w:eastAsia="en-US"/>
        </w:rPr>
        <w:t>о</w:t>
      </w:r>
      <w:r w:rsidRPr="00DF1146">
        <w:rPr>
          <w:rFonts w:eastAsiaTheme="minorHAnsi"/>
          <w:sz w:val="22"/>
          <w:lang w:eastAsia="en-US"/>
        </w:rPr>
        <w:t>дательные акты Российской Федерации», который гласит, что вв</w:t>
      </w:r>
      <w:r w:rsidRPr="00DF1146">
        <w:rPr>
          <w:rFonts w:eastAsiaTheme="minorHAnsi"/>
          <w:sz w:val="22"/>
          <w:lang w:eastAsia="en-US"/>
        </w:rPr>
        <w:t>о</w:t>
      </w:r>
      <w:r w:rsidRPr="00DF1146">
        <w:rPr>
          <w:rFonts w:eastAsiaTheme="minorHAnsi"/>
          <w:sz w:val="22"/>
          <w:lang w:eastAsia="en-US"/>
        </w:rPr>
        <w:t>дится запрет на производство, импорт, продажу с 1 января 2011 г</w:t>
      </w:r>
      <w:r w:rsidRPr="00DF1146">
        <w:rPr>
          <w:rFonts w:eastAsiaTheme="minorHAnsi"/>
          <w:sz w:val="22"/>
          <w:lang w:eastAsia="en-US"/>
        </w:rPr>
        <w:t>о</w:t>
      </w:r>
      <w:r w:rsidRPr="00DF1146">
        <w:rPr>
          <w:rFonts w:eastAsiaTheme="minorHAnsi"/>
          <w:sz w:val="22"/>
          <w:lang w:eastAsia="en-US"/>
        </w:rPr>
        <w:t>да ламп накаливания мощностью 100 Вт и более.  На сегодняшний день возникает острая задача в анализе расхода электрической энергии в помещении.</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lang w:eastAsia="en-US"/>
        </w:rPr>
        <w:t>За последнее время лампы накаливания как широко распр</w:t>
      </w:r>
      <w:r w:rsidRPr="00DF1146">
        <w:rPr>
          <w:rFonts w:eastAsiaTheme="minorHAnsi"/>
          <w:sz w:val="22"/>
          <w:lang w:eastAsia="en-US"/>
        </w:rPr>
        <w:t>о</w:t>
      </w:r>
      <w:r w:rsidRPr="00DF1146">
        <w:rPr>
          <w:rFonts w:eastAsiaTheme="minorHAnsi"/>
          <w:sz w:val="22"/>
          <w:lang w:eastAsia="en-US"/>
        </w:rPr>
        <w:t>страняющийся источник света уходят из жизни. Поскольку 70% КПД уходит в окружающую среду в виде тепла. Их вытесняют л</w:t>
      </w:r>
      <w:r w:rsidRPr="00DF1146">
        <w:rPr>
          <w:rFonts w:eastAsiaTheme="minorHAnsi"/>
          <w:sz w:val="22"/>
          <w:lang w:eastAsia="en-US"/>
        </w:rPr>
        <w:t>ю</w:t>
      </w:r>
      <w:r w:rsidRPr="00DF1146">
        <w:rPr>
          <w:rFonts w:eastAsiaTheme="minorHAnsi"/>
          <w:sz w:val="22"/>
          <w:lang w:eastAsia="en-US"/>
        </w:rPr>
        <w:t>минесцентные лампы, у которых параметры гораздо лучше [1]. Но и люминесцентных ламп понемногу вытесняют маломощные, но энергоэффективные светодиодные лампы. Давайте разберемся, п</w:t>
      </w:r>
      <w:r w:rsidRPr="00DF1146">
        <w:rPr>
          <w:rFonts w:eastAsiaTheme="minorHAnsi"/>
          <w:sz w:val="22"/>
          <w:lang w:eastAsia="en-US"/>
        </w:rPr>
        <w:t>о</w:t>
      </w:r>
      <w:r w:rsidRPr="00DF1146">
        <w:rPr>
          <w:rFonts w:eastAsiaTheme="minorHAnsi"/>
          <w:sz w:val="22"/>
          <w:lang w:eastAsia="en-US"/>
        </w:rPr>
        <w:t>чему светодиодные лампы имеют лучшие характеристики, чем др</w:t>
      </w:r>
      <w:r w:rsidRPr="00DF1146">
        <w:rPr>
          <w:rFonts w:eastAsiaTheme="minorHAnsi"/>
          <w:sz w:val="22"/>
          <w:lang w:eastAsia="en-US"/>
        </w:rPr>
        <w:t>у</w:t>
      </w:r>
      <w:r w:rsidRPr="00DF1146">
        <w:rPr>
          <w:rFonts w:eastAsiaTheme="minorHAnsi"/>
          <w:sz w:val="22"/>
          <w:lang w:eastAsia="en-US"/>
        </w:rPr>
        <w:t>гие лампы. К преимущества светодиодным лампам можно отн</w:t>
      </w:r>
      <w:r w:rsidRPr="00DF1146">
        <w:rPr>
          <w:rFonts w:eastAsiaTheme="minorHAnsi"/>
          <w:sz w:val="22"/>
          <w:lang w:eastAsia="en-US"/>
        </w:rPr>
        <w:t>е</w:t>
      </w:r>
      <w:r w:rsidRPr="00DF1146">
        <w:rPr>
          <w:rFonts w:eastAsiaTheme="minorHAnsi"/>
          <w:sz w:val="22"/>
          <w:lang w:eastAsia="en-US"/>
        </w:rPr>
        <w:t>сти:</w:t>
      </w:r>
      <w:r w:rsidRPr="00DF1146">
        <w:rPr>
          <w:rFonts w:eastAsiaTheme="minorHAnsi"/>
          <w:sz w:val="22"/>
          <w:szCs w:val="22"/>
          <w:lang w:eastAsia="en-US"/>
        </w:rPr>
        <w:t>большой срок службы; высокая световая отдача; высокая надежность; малые габариты; полная экологическая безопасность из-за отсутствия ртути и стекла.  Наряду с преимуществами сущ</w:t>
      </w:r>
      <w:r w:rsidRPr="00DF1146">
        <w:rPr>
          <w:rFonts w:eastAsiaTheme="minorHAnsi"/>
          <w:sz w:val="22"/>
          <w:szCs w:val="22"/>
          <w:lang w:eastAsia="en-US"/>
        </w:rPr>
        <w:t>е</w:t>
      </w:r>
      <w:r w:rsidRPr="00DF1146">
        <w:rPr>
          <w:rFonts w:eastAsiaTheme="minorHAnsi"/>
          <w:sz w:val="22"/>
          <w:szCs w:val="22"/>
          <w:lang w:eastAsia="en-US"/>
        </w:rPr>
        <w:t>ствуют и недостатки: необходимость отвода тепла; низкое напр</w:t>
      </w:r>
      <w:r w:rsidRPr="00DF1146">
        <w:rPr>
          <w:rFonts w:eastAsiaTheme="minorHAnsi"/>
          <w:sz w:val="22"/>
          <w:szCs w:val="22"/>
          <w:lang w:eastAsia="en-US"/>
        </w:rPr>
        <w:t>я</w:t>
      </w:r>
      <w:r w:rsidRPr="00DF1146">
        <w:rPr>
          <w:rFonts w:eastAsiaTheme="minorHAnsi"/>
          <w:sz w:val="22"/>
          <w:szCs w:val="22"/>
          <w:lang w:eastAsia="en-US"/>
        </w:rPr>
        <w:t>жение питания, требующее включения светодиодов только со сп</w:t>
      </w:r>
      <w:r w:rsidRPr="00DF1146">
        <w:rPr>
          <w:rFonts w:eastAsiaTheme="minorHAnsi"/>
          <w:sz w:val="22"/>
          <w:szCs w:val="22"/>
          <w:lang w:eastAsia="en-US"/>
        </w:rPr>
        <w:t>е</w:t>
      </w:r>
      <w:r w:rsidRPr="00DF1146">
        <w:rPr>
          <w:rFonts w:eastAsiaTheme="minorHAnsi"/>
          <w:sz w:val="22"/>
          <w:szCs w:val="22"/>
          <w:lang w:eastAsia="en-US"/>
        </w:rPr>
        <w:t>циальными понижающими трансформаторами и выпрямителями; высокая цена [2].</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szCs w:val="22"/>
          <w:lang w:eastAsia="en-US"/>
        </w:rPr>
        <w:t xml:space="preserve">Для светотехнического расчета была выбрана для примера учебная лаборатория 108 факультета энергетики. В этой аудитории на сегодняшний день установлены люминесцентные лампы. Было замечено, что некоторые студенты протирают глаза, чтоб снять напряжение, вызванное плохим качеством светопередачи. Из-за этих недостатков ухудшается самочувствие как студентов, так и преподавателей, и тем самым не в полном объеме усваивается учебный материал. </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szCs w:val="22"/>
          <w:lang w:eastAsia="en-US"/>
        </w:rPr>
        <w:t xml:space="preserve">В программном компоненте </w:t>
      </w:r>
      <w:r w:rsidRPr="00DF1146">
        <w:rPr>
          <w:rFonts w:eastAsiaTheme="minorHAnsi"/>
          <w:sz w:val="22"/>
          <w:szCs w:val="22"/>
          <w:lang w:val="en-US" w:eastAsia="en-US"/>
        </w:rPr>
        <w:t>DIALux</w:t>
      </w:r>
      <w:r w:rsidRPr="00DF1146">
        <w:rPr>
          <w:rFonts w:eastAsiaTheme="minorHAnsi"/>
          <w:sz w:val="22"/>
          <w:szCs w:val="22"/>
          <w:lang w:eastAsia="en-US"/>
        </w:rPr>
        <w:t xml:space="preserve"> попытался решить эту проблему. Было отрисована геометрия помещения с расстановкой окон, двери, учебных парт и лабораторных стендов. </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szCs w:val="22"/>
          <w:lang w:eastAsia="en-US"/>
        </w:rPr>
        <w:t xml:space="preserve">Из предлагаемого в программе </w:t>
      </w:r>
      <w:r w:rsidRPr="00DF1146">
        <w:rPr>
          <w:rFonts w:eastAsiaTheme="minorHAnsi"/>
          <w:sz w:val="22"/>
          <w:szCs w:val="22"/>
          <w:lang w:val="en-US" w:eastAsia="en-US"/>
        </w:rPr>
        <w:t>DIALux</w:t>
      </w:r>
      <w:r w:rsidRPr="00DF1146">
        <w:rPr>
          <w:rFonts w:eastAsiaTheme="minorHAnsi"/>
          <w:sz w:val="22"/>
          <w:szCs w:val="22"/>
          <w:lang w:eastAsia="en-US"/>
        </w:rPr>
        <w:t xml:space="preserve"> каталога светильников «Световые технологии» выбрал светодиодные светильник [3]. По СП 52. 13330 2016нормируемая освещенность в лабораториях, учебных помещениях должна быть 400 лк. Чтобы добиться этой освещенности задался параметрами при размещении светильников: </w:t>
      </w:r>
      <w:r w:rsidRPr="00DF1146">
        <w:rPr>
          <w:rFonts w:eastAsiaTheme="minorHAnsi"/>
          <w:sz w:val="22"/>
          <w:szCs w:val="22"/>
          <w:lang w:eastAsia="en-US"/>
        </w:rPr>
        <w:lastRenderedPageBreak/>
        <w:t>выбрал монтажную высоту светильника, учел запыленность пом</w:t>
      </w:r>
      <w:r w:rsidRPr="00DF1146">
        <w:rPr>
          <w:rFonts w:eastAsiaTheme="minorHAnsi"/>
          <w:sz w:val="22"/>
          <w:szCs w:val="22"/>
          <w:lang w:eastAsia="en-US"/>
        </w:rPr>
        <w:t>е</w:t>
      </w:r>
      <w:r w:rsidRPr="00DF1146">
        <w:rPr>
          <w:rFonts w:eastAsiaTheme="minorHAnsi"/>
          <w:sz w:val="22"/>
          <w:szCs w:val="22"/>
          <w:lang w:eastAsia="en-US"/>
        </w:rPr>
        <w:t>щения, выбрал коэффициенты отражения от потолка, стен, пола и т.п. Исходя из этих параметров необходимо разместить 6 светод</w:t>
      </w:r>
      <w:r w:rsidRPr="00DF1146">
        <w:rPr>
          <w:rFonts w:eastAsiaTheme="minorHAnsi"/>
          <w:sz w:val="22"/>
          <w:szCs w:val="22"/>
          <w:lang w:eastAsia="en-US"/>
        </w:rPr>
        <w:t>и</w:t>
      </w:r>
      <w:r w:rsidRPr="00DF1146">
        <w:rPr>
          <w:rFonts w:eastAsiaTheme="minorHAnsi"/>
          <w:sz w:val="22"/>
          <w:szCs w:val="22"/>
          <w:lang w:eastAsia="en-US"/>
        </w:rPr>
        <w:t>одных светильников, чтобы они удовлетворяли нашу нормируемую освещенность [4].</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szCs w:val="22"/>
          <w:lang w:eastAsia="en-US"/>
        </w:rPr>
        <w:t>Произведем экономический анализ эффективности применения тех или иных световых технологий. Сейчас в учебной лаборатории установлены светильники с люминесцентными лампами в колич</w:t>
      </w:r>
      <w:r w:rsidRPr="00DF1146">
        <w:rPr>
          <w:rFonts w:eastAsiaTheme="minorHAnsi"/>
          <w:sz w:val="22"/>
          <w:szCs w:val="22"/>
          <w:lang w:eastAsia="en-US"/>
        </w:rPr>
        <w:t>е</w:t>
      </w:r>
      <w:r w:rsidRPr="00DF1146">
        <w:rPr>
          <w:rFonts w:eastAsiaTheme="minorHAnsi"/>
          <w:sz w:val="22"/>
          <w:szCs w:val="22"/>
          <w:lang w:eastAsia="en-US"/>
        </w:rPr>
        <w:t>стве 9 штук. Для нашего расчета были представлены светодиодные светильники в количестве 6 штук. При помощи программного пр</w:t>
      </w:r>
      <w:r w:rsidRPr="00DF1146">
        <w:rPr>
          <w:rFonts w:eastAsiaTheme="minorHAnsi"/>
          <w:sz w:val="22"/>
          <w:szCs w:val="22"/>
          <w:lang w:eastAsia="en-US"/>
        </w:rPr>
        <w:t>о</w:t>
      </w:r>
      <w:r w:rsidRPr="00DF1146">
        <w:rPr>
          <w:rFonts w:eastAsiaTheme="minorHAnsi"/>
          <w:sz w:val="22"/>
          <w:szCs w:val="22"/>
          <w:lang w:eastAsia="en-US"/>
        </w:rPr>
        <w:t>дукта «Световые технологии» были выбраны светильники. Мо</w:t>
      </w:r>
      <w:r w:rsidRPr="00DF1146">
        <w:rPr>
          <w:rFonts w:eastAsiaTheme="minorHAnsi"/>
          <w:sz w:val="22"/>
          <w:szCs w:val="22"/>
          <w:lang w:eastAsia="en-US"/>
        </w:rPr>
        <w:t>щ</w:t>
      </w:r>
      <w:r w:rsidRPr="00DF1146">
        <w:rPr>
          <w:rFonts w:eastAsiaTheme="minorHAnsi"/>
          <w:sz w:val="22"/>
          <w:szCs w:val="22"/>
          <w:lang w:eastAsia="en-US"/>
        </w:rPr>
        <w:t>ность светодиодного светильника составила 78 Вт, а люминесцен</w:t>
      </w:r>
      <w:r w:rsidRPr="00DF1146">
        <w:rPr>
          <w:rFonts w:eastAsiaTheme="minorHAnsi"/>
          <w:sz w:val="22"/>
          <w:szCs w:val="22"/>
          <w:lang w:eastAsia="en-US"/>
        </w:rPr>
        <w:t>т</w:t>
      </w:r>
      <w:r w:rsidRPr="00DF1146">
        <w:rPr>
          <w:rFonts w:eastAsiaTheme="minorHAnsi"/>
          <w:sz w:val="22"/>
          <w:szCs w:val="22"/>
          <w:lang w:eastAsia="en-US"/>
        </w:rPr>
        <w:t>ного 116 Вт. Исходя из наших мощностей светильников разница расхода электроэнергии составит примерно 442 рубля в семестр. Уже к 9 году произойдет окупаемость светодиодных светильников [5].</w:t>
      </w:r>
    </w:p>
    <w:p w:rsidR="000F594F" w:rsidRPr="00DF1146" w:rsidRDefault="000F594F" w:rsidP="000F594F">
      <w:pPr>
        <w:ind w:firstLine="426"/>
        <w:jc w:val="both"/>
        <w:rPr>
          <w:rFonts w:eastAsiaTheme="minorHAnsi"/>
          <w:sz w:val="22"/>
          <w:szCs w:val="22"/>
          <w:lang w:eastAsia="en-US"/>
        </w:rPr>
      </w:pPr>
      <w:r w:rsidRPr="00DF1146">
        <w:rPr>
          <w:rFonts w:eastAsiaTheme="minorHAnsi"/>
          <w:sz w:val="22"/>
          <w:szCs w:val="22"/>
          <w:lang w:eastAsia="en-US"/>
        </w:rPr>
        <w:t>Таким образом, я хотел подвести итог о том, что в настоящее время использование люминесцентных ламп в учебной лаборатории имеет ряд недостатков: связанных в первую очередь с эксплуатац</w:t>
      </w:r>
      <w:r w:rsidRPr="00DF1146">
        <w:rPr>
          <w:rFonts w:eastAsiaTheme="minorHAnsi"/>
          <w:sz w:val="22"/>
          <w:szCs w:val="22"/>
          <w:lang w:eastAsia="en-US"/>
        </w:rPr>
        <w:t>и</w:t>
      </w:r>
      <w:r w:rsidRPr="00DF1146">
        <w:rPr>
          <w:rFonts w:eastAsiaTheme="minorHAnsi"/>
          <w:sz w:val="22"/>
          <w:szCs w:val="22"/>
          <w:lang w:eastAsia="en-US"/>
        </w:rPr>
        <w:t>онными мероприятиями. Тем самым светодиодный светильник п</w:t>
      </w:r>
      <w:r w:rsidRPr="00DF1146">
        <w:rPr>
          <w:rFonts w:eastAsiaTheme="minorHAnsi"/>
          <w:sz w:val="22"/>
          <w:szCs w:val="22"/>
          <w:lang w:eastAsia="en-US"/>
        </w:rPr>
        <w:t>о</w:t>
      </w:r>
      <w:r w:rsidRPr="00DF1146">
        <w:rPr>
          <w:rFonts w:eastAsiaTheme="minorHAnsi"/>
          <w:sz w:val="22"/>
          <w:szCs w:val="22"/>
          <w:lang w:eastAsia="en-US"/>
        </w:rPr>
        <w:t>казал себя энергоэффективным за счет своего преимущества экол</w:t>
      </w:r>
      <w:r w:rsidRPr="00DF1146">
        <w:rPr>
          <w:rFonts w:eastAsiaTheme="minorHAnsi"/>
          <w:sz w:val="22"/>
          <w:szCs w:val="22"/>
          <w:lang w:eastAsia="en-US"/>
        </w:rPr>
        <w:t>о</w:t>
      </w:r>
      <w:r w:rsidRPr="00DF1146">
        <w:rPr>
          <w:rFonts w:eastAsiaTheme="minorHAnsi"/>
          <w:sz w:val="22"/>
          <w:szCs w:val="22"/>
          <w:lang w:eastAsia="en-US"/>
        </w:rPr>
        <w:t>гической безопасности и практически не требующих проведения эксплуатации, а также в следствии своей малой мощности и бол</w:t>
      </w:r>
      <w:r w:rsidRPr="00DF1146">
        <w:rPr>
          <w:rFonts w:eastAsiaTheme="minorHAnsi"/>
          <w:sz w:val="22"/>
          <w:szCs w:val="22"/>
          <w:lang w:eastAsia="en-US"/>
        </w:rPr>
        <w:t>ь</w:t>
      </w:r>
      <w:r w:rsidRPr="00DF1146">
        <w:rPr>
          <w:rFonts w:eastAsiaTheme="minorHAnsi"/>
          <w:sz w:val="22"/>
          <w:szCs w:val="22"/>
          <w:lang w:eastAsia="en-US"/>
        </w:rPr>
        <w:t xml:space="preserve">шего светового потока. </w:t>
      </w:r>
    </w:p>
    <w:p w:rsidR="000F594F" w:rsidRPr="00DF1146" w:rsidRDefault="000F594F" w:rsidP="000F594F">
      <w:pPr>
        <w:ind w:left="426"/>
        <w:jc w:val="center"/>
        <w:rPr>
          <w:rFonts w:eastAsiaTheme="minorHAnsi"/>
          <w:sz w:val="22"/>
          <w:szCs w:val="22"/>
          <w:lang w:eastAsia="en-US"/>
        </w:rPr>
      </w:pPr>
    </w:p>
    <w:p w:rsidR="000F594F" w:rsidRPr="00DF1146" w:rsidRDefault="000F594F" w:rsidP="000F594F">
      <w:pPr>
        <w:ind w:left="426"/>
        <w:jc w:val="center"/>
        <w:rPr>
          <w:rFonts w:eastAsiaTheme="minorHAnsi"/>
          <w:sz w:val="22"/>
          <w:szCs w:val="22"/>
          <w:lang w:eastAsia="en-US"/>
        </w:rPr>
      </w:pPr>
      <w:r w:rsidRPr="00DF1146">
        <w:rPr>
          <w:rFonts w:eastAsiaTheme="minorHAnsi"/>
          <w:sz w:val="22"/>
          <w:szCs w:val="22"/>
          <w:lang w:eastAsia="en-US"/>
        </w:rPr>
        <w:t>Список литературы</w:t>
      </w:r>
    </w:p>
    <w:p w:rsidR="000F594F" w:rsidRPr="00DF1146" w:rsidRDefault="000F594F" w:rsidP="002D7DA5">
      <w:pPr>
        <w:numPr>
          <w:ilvl w:val="0"/>
          <w:numId w:val="105"/>
        </w:numPr>
        <w:spacing w:after="200" w:line="276" w:lineRule="auto"/>
        <w:ind w:left="0" w:firstLine="426"/>
        <w:contextualSpacing/>
        <w:jc w:val="both"/>
        <w:rPr>
          <w:rFonts w:eastAsiaTheme="minorEastAsia"/>
          <w:sz w:val="22"/>
          <w:szCs w:val="22"/>
        </w:rPr>
      </w:pPr>
      <w:r w:rsidRPr="00DF1146">
        <w:rPr>
          <w:rFonts w:eastAsiaTheme="minorEastAsia"/>
          <w:sz w:val="22"/>
          <w:szCs w:val="22"/>
        </w:rPr>
        <w:t xml:space="preserve">Николаенко С.А. Работа с интерфейсными программами для повышения уровня подготовки специалистов агроинженергного направления/ С.А. Николаенко, А.С. Лебедев – Саранск, 2017. – </w:t>
      </w:r>
    </w:p>
    <w:p w:rsidR="000F594F" w:rsidRPr="00DF1146" w:rsidRDefault="000F594F" w:rsidP="000F594F">
      <w:pPr>
        <w:jc w:val="both"/>
        <w:rPr>
          <w:rFonts w:eastAsiaTheme="minorHAnsi"/>
          <w:sz w:val="22"/>
          <w:szCs w:val="22"/>
          <w:lang w:eastAsia="en-US"/>
        </w:rPr>
      </w:pPr>
      <w:r w:rsidRPr="00DF1146">
        <w:rPr>
          <w:rFonts w:eastAsiaTheme="minorHAnsi"/>
          <w:sz w:val="22"/>
          <w:szCs w:val="22"/>
          <w:lang w:eastAsia="en-US"/>
        </w:rPr>
        <w:t>708 – 711 с.</w:t>
      </w:r>
    </w:p>
    <w:p w:rsidR="000F594F" w:rsidRPr="00FE2FD2" w:rsidRDefault="000F594F" w:rsidP="000F594F">
      <w:pPr>
        <w:ind w:firstLine="426"/>
        <w:jc w:val="both"/>
        <w:rPr>
          <w:sz w:val="22"/>
          <w:szCs w:val="22"/>
        </w:rPr>
      </w:pPr>
    </w:p>
    <w:p w:rsidR="000F594F" w:rsidRDefault="000F594F" w:rsidP="000F594F">
      <w:pPr>
        <w:ind w:firstLine="426"/>
        <w:jc w:val="both"/>
        <w:rPr>
          <w:sz w:val="22"/>
          <w:szCs w:val="22"/>
        </w:rPr>
      </w:pPr>
    </w:p>
    <w:p w:rsidR="00D15DEA" w:rsidRDefault="00D15DEA" w:rsidP="000F594F">
      <w:pPr>
        <w:ind w:firstLine="426"/>
        <w:jc w:val="both"/>
        <w:rPr>
          <w:sz w:val="22"/>
          <w:szCs w:val="22"/>
        </w:rPr>
      </w:pPr>
    </w:p>
    <w:p w:rsidR="00553B63" w:rsidRDefault="00553B63" w:rsidP="000F594F">
      <w:pPr>
        <w:ind w:firstLine="426"/>
        <w:jc w:val="both"/>
        <w:rPr>
          <w:sz w:val="22"/>
          <w:szCs w:val="22"/>
        </w:rPr>
      </w:pPr>
    </w:p>
    <w:p w:rsidR="00553B63" w:rsidRDefault="00553B63" w:rsidP="000F594F">
      <w:pPr>
        <w:ind w:firstLine="426"/>
        <w:jc w:val="both"/>
        <w:rPr>
          <w:sz w:val="22"/>
          <w:szCs w:val="22"/>
        </w:rPr>
      </w:pPr>
    </w:p>
    <w:p w:rsidR="00553B63" w:rsidRDefault="00553B63" w:rsidP="000F594F">
      <w:pPr>
        <w:ind w:firstLine="426"/>
        <w:jc w:val="both"/>
        <w:rPr>
          <w:sz w:val="22"/>
          <w:szCs w:val="22"/>
        </w:rPr>
      </w:pPr>
    </w:p>
    <w:p w:rsidR="00553B63" w:rsidRPr="00FE2FD2" w:rsidRDefault="00553B63" w:rsidP="00553B63">
      <w:pPr>
        <w:rPr>
          <w:sz w:val="22"/>
          <w:szCs w:val="22"/>
        </w:rPr>
      </w:pPr>
    </w:p>
    <w:p w:rsidR="000F594F" w:rsidRPr="00323EF3" w:rsidRDefault="000F594F" w:rsidP="000F594F">
      <w:pPr>
        <w:tabs>
          <w:tab w:val="left" w:pos="5040"/>
        </w:tabs>
        <w:rPr>
          <w:sz w:val="22"/>
          <w:szCs w:val="22"/>
        </w:rPr>
      </w:pPr>
      <w:r w:rsidRPr="00323EF3">
        <w:rPr>
          <w:sz w:val="22"/>
          <w:szCs w:val="22"/>
        </w:rPr>
        <w:lastRenderedPageBreak/>
        <w:t>УДК 620 (075.8)</w:t>
      </w:r>
    </w:p>
    <w:p w:rsidR="000F594F" w:rsidRPr="00323EF3" w:rsidRDefault="000F594F" w:rsidP="000F594F">
      <w:pPr>
        <w:tabs>
          <w:tab w:val="left" w:pos="5040"/>
        </w:tabs>
        <w:rPr>
          <w:sz w:val="22"/>
          <w:szCs w:val="22"/>
        </w:rPr>
      </w:pPr>
    </w:p>
    <w:p w:rsidR="000F594F" w:rsidRPr="00323EF3" w:rsidRDefault="000F594F" w:rsidP="000F594F">
      <w:pPr>
        <w:tabs>
          <w:tab w:val="left" w:pos="5040"/>
        </w:tabs>
        <w:jc w:val="center"/>
        <w:rPr>
          <w:b/>
          <w:sz w:val="24"/>
          <w:szCs w:val="24"/>
        </w:rPr>
      </w:pPr>
      <w:r w:rsidRPr="00323EF3">
        <w:rPr>
          <w:b/>
          <w:sz w:val="24"/>
          <w:szCs w:val="24"/>
        </w:rPr>
        <w:t>К вопросу определения ресурсов биомассы</w:t>
      </w:r>
    </w:p>
    <w:p w:rsidR="000F594F" w:rsidRPr="00323EF3" w:rsidRDefault="000F594F" w:rsidP="000F594F">
      <w:pPr>
        <w:ind w:left="450"/>
        <w:jc w:val="center"/>
        <w:rPr>
          <w:b/>
          <w:sz w:val="24"/>
          <w:szCs w:val="24"/>
          <w:lang w:val="en-US"/>
        </w:rPr>
      </w:pPr>
      <w:r w:rsidRPr="00323EF3">
        <w:rPr>
          <w:b/>
          <w:sz w:val="24"/>
          <w:szCs w:val="24"/>
          <w:lang w:val="en-US"/>
        </w:rPr>
        <w:t>To the question of the determination of biomass resources</w:t>
      </w:r>
    </w:p>
    <w:p w:rsidR="000F594F" w:rsidRPr="00323EF3" w:rsidRDefault="000F594F" w:rsidP="000F594F">
      <w:pPr>
        <w:ind w:left="450"/>
        <w:jc w:val="center"/>
        <w:rPr>
          <w:b/>
          <w:color w:val="FF0000"/>
          <w:sz w:val="22"/>
          <w:szCs w:val="22"/>
          <w:lang w:val="en-US"/>
        </w:rPr>
      </w:pPr>
    </w:p>
    <w:p w:rsidR="000F594F" w:rsidRPr="00323EF3" w:rsidRDefault="000F594F" w:rsidP="000F594F">
      <w:pPr>
        <w:tabs>
          <w:tab w:val="left" w:pos="5040"/>
        </w:tabs>
        <w:jc w:val="right"/>
        <w:rPr>
          <w:sz w:val="22"/>
          <w:szCs w:val="22"/>
        </w:rPr>
      </w:pPr>
      <w:r w:rsidRPr="00323EF3">
        <w:rPr>
          <w:sz w:val="22"/>
          <w:szCs w:val="22"/>
        </w:rPr>
        <w:t>Мова Д. А.,</w:t>
      </w:r>
    </w:p>
    <w:p w:rsidR="000F594F" w:rsidRPr="00323EF3" w:rsidRDefault="000F594F" w:rsidP="000F594F">
      <w:pPr>
        <w:tabs>
          <w:tab w:val="left" w:pos="5040"/>
        </w:tabs>
        <w:jc w:val="right"/>
        <w:rPr>
          <w:sz w:val="22"/>
          <w:szCs w:val="22"/>
        </w:rPr>
      </w:pPr>
      <w:r w:rsidRPr="00323EF3">
        <w:rPr>
          <w:sz w:val="22"/>
          <w:szCs w:val="22"/>
        </w:rPr>
        <w:t>студент 2-го курса факультета энергетики</w:t>
      </w:r>
    </w:p>
    <w:p w:rsidR="000F594F" w:rsidRPr="00323EF3" w:rsidRDefault="000F594F" w:rsidP="000F594F">
      <w:pPr>
        <w:tabs>
          <w:tab w:val="left" w:pos="5040"/>
        </w:tabs>
        <w:jc w:val="right"/>
        <w:rPr>
          <w:sz w:val="22"/>
          <w:szCs w:val="22"/>
        </w:rPr>
      </w:pPr>
      <w:r w:rsidRPr="00323EF3">
        <w:rPr>
          <w:sz w:val="22"/>
          <w:szCs w:val="22"/>
        </w:rPr>
        <w:t>Квитко А. В.,</w:t>
      </w:r>
    </w:p>
    <w:p w:rsidR="000F594F" w:rsidRPr="00323EF3" w:rsidRDefault="000F594F" w:rsidP="000F594F">
      <w:pPr>
        <w:tabs>
          <w:tab w:val="left" w:pos="5040"/>
        </w:tabs>
        <w:jc w:val="right"/>
        <w:rPr>
          <w:sz w:val="22"/>
          <w:szCs w:val="22"/>
        </w:rPr>
      </w:pPr>
      <w:r w:rsidRPr="00323EF3">
        <w:rPr>
          <w:sz w:val="22"/>
          <w:szCs w:val="22"/>
        </w:rPr>
        <w:t xml:space="preserve">старший преподаватель кафедры электротехники, </w:t>
      </w:r>
    </w:p>
    <w:p w:rsidR="000F594F" w:rsidRPr="00323EF3" w:rsidRDefault="000F594F" w:rsidP="000F594F">
      <w:pPr>
        <w:tabs>
          <w:tab w:val="left" w:pos="5040"/>
        </w:tabs>
        <w:jc w:val="right"/>
        <w:rPr>
          <w:sz w:val="22"/>
          <w:szCs w:val="22"/>
        </w:rPr>
      </w:pPr>
      <w:r w:rsidRPr="00323EF3">
        <w:rPr>
          <w:sz w:val="22"/>
          <w:szCs w:val="22"/>
        </w:rPr>
        <w:t>теплотехники и возобновляемых источников энергии</w:t>
      </w:r>
    </w:p>
    <w:p w:rsidR="000F594F" w:rsidRPr="00323EF3" w:rsidRDefault="000F594F" w:rsidP="000F594F">
      <w:pPr>
        <w:tabs>
          <w:tab w:val="left" w:pos="5040"/>
        </w:tabs>
        <w:jc w:val="right"/>
        <w:rPr>
          <w:sz w:val="22"/>
          <w:szCs w:val="22"/>
        </w:rPr>
      </w:pPr>
      <w:r w:rsidRPr="00323EF3">
        <w:rPr>
          <w:sz w:val="22"/>
          <w:szCs w:val="22"/>
        </w:rPr>
        <w:t xml:space="preserve">Кубанский государственный аграрный </w:t>
      </w:r>
    </w:p>
    <w:p w:rsidR="000F594F" w:rsidRPr="00323EF3" w:rsidRDefault="000F594F" w:rsidP="000F594F">
      <w:pPr>
        <w:tabs>
          <w:tab w:val="left" w:pos="5040"/>
        </w:tabs>
        <w:jc w:val="right"/>
        <w:rPr>
          <w:sz w:val="22"/>
          <w:szCs w:val="22"/>
        </w:rPr>
      </w:pPr>
      <w:r w:rsidRPr="00323EF3">
        <w:rPr>
          <w:sz w:val="22"/>
          <w:szCs w:val="22"/>
        </w:rPr>
        <w:t>университет имени И. Т. Трубилина</w:t>
      </w:r>
    </w:p>
    <w:p w:rsidR="000F594F" w:rsidRPr="00323EF3" w:rsidRDefault="000F594F" w:rsidP="000F594F">
      <w:pPr>
        <w:tabs>
          <w:tab w:val="left" w:pos="5040"/>
        </w:tabs>
        <w:jc w:val="right"/>
        <w:rPr>
          <w:sz w:val="22"/>
          <w:szCs w:val="22"/>
        </w:rPr>
      </w:pPr>
    </w:p>
    <w:p w:rsidR="000F594F" w:rsidRPr="00323EF3" w:rsidRDefault="000F594F" w:rsidP="000F594F">
      <w:pPr>
        <w:tabs>
          <w:tab w:val="left" w:pos="5040"/>
        </w:tabs>
        <w:ind w:firstLine="426"/>
        <w:jc w:val="both"/>
        <w:rPr>
          <w:sz w:val="22"/>
          <w:szCs w:val="22"/>
        </w:rPr>
      </w:pPr>
      <w:r w:rsidRPr="00323EF3">
        <w:rPr>
          <w:sz w:val="22"/>
          <w:szCs w:val="22"/>
        </w:rPr>
        <w:t>АННОТАЦИЯ. Раскрывается энергетический потенциал би</w:t>
      </w:r>
      <w:r w:rsidRPr="00323EF3">
        <w:rPr>
          <w:sz w:val="22"/>
          <w:szCs w:val="22"/>
        </w:rPr>
        <w:t>о</w:t>
      </w:r>
      <w:r w:rsidRPr="00323EF3">
        <w:rPr>
          <w:sz w:val="22"/>
          <w:szCs w:val="22"/>
        </w:rPr>
        <w:t>массы – отходов животноводства, птицеводства, растениеводства и перерабатывающей промышленности.</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Annotation. </w:t>
      </w:r>
      <w:r w:rsidRPr="00323EF3">
        <w:rPr>
          <w:sz w:val="22"/>
          <w:szCs w:val="22"/>
          <w:lang w:val="en-US"/>
        </w:rPr>
        <w:t>The energy potential of biomass - waste of liv</w:t>
      </w:r>
      <w:r w:rsidRPr="00323EF3">
        <w:rPr>
          <w:sz w:val="22"/>
          <w:szCs w:val="22"/>
          <w:lang w:val="en-US"/>
        </w:rPr>
        <w:t>e</w:t>
      </w:r>
      <w:r w:rsidRPr="00323EF3">
        <w:rPr>
          <w:sz w:val="22"/>
          <w:szCs w:val="22"/>
          <w:lang w:val="en-US"/>
        </w:rPr>
        <w:t>stock, poultry, plant growing and processing industry is revealed.</w:t>
      </w:r>
    </w:p>
    <w:p w:rsidR="000F594F" w:rsidRPr="00323EF3" w:rsidRDefault="000F594F" w:rsidP="000F594F">
      <w:pPr>
        <w:tabs>
          <w:tab w:val="left" w:pos="5040"/>
        </w:tabs>
        <w:ind w:firstLine="426"/>
        <w:jc w:val="both"/>
        <w:rPr>
          <w:sz w:val="22"/>
          <w:szCs w:val="22"/>
        </w:rPr>
      </w:pPr>
      <w:r w:rsidRPr="00323EF3">
        <w:rPr>
          <w:sz w:val="22"/>
          <w:szCs w:val="22"/>
        </w:rPr>
        <w:t>КЛЮЧЕВЫЕ СЛОВА: биогазоустановка, энергетический п</w:t>
      </w:r>
      <w:r w:rsidRPr="00323EF3">
        <w:rPr>
          <w:sz w:val="22"/>
          <w:szCs w:val="22"/>
        </w:rPr>
        <w:t>о</w:t>
      </w:r>
      <w:r w:rsidRPr="00323EF3">
        <w:rPr>
          <w:sz w:val="22"/>
          <w:szCs w:val="22"/>
        </w:rPr>
        <w:t>тенциал биомассы, теплотворная способность.</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key words: </w:t>
      </w:r>
      <w:r w:rsidRPr="00323EF3">
        <w:rPr>
          <w:sz w:val="22"/>
          <w:szCs w:val="22"/>
          <w:lang w:val="en-US"/>
        </w:rPr>
        <w:t>biogas plant, energy potential of biomass, calorific value.</w:t>
      </w:r>
    </w:p>
    <w:p w:rsidR="000F594F" w:rsidRPr="00323EF3" w:rsidRDefault="000F594F" w:rsidP="000F594F">
      <w:pPr>
        <w:ind w:firstLine="426"/>
        <w:jc w:val="both"/>
        <w:rPr>
          <w:sz w:val="22"/>
          <w:szCs w:val="22"/>
        </w:rPr>
      </w:pPr>
      <w:r w:rsidRPr="00323EF3">
        <w:rPr>
          <w:sz w:val="22"/>
          <w:szCs w:val="22"/>
        </w:rPr>
        <w:t>Перспективным является направление разработки и внедрения возобновляемого источника энергии – биогазоустановок (БГУ), в</w:t>
      </w:r>
      <w:r w:rsidRPr="00323EF3">
        <w:rPr>
          <w:sz w:val="22"/>
          <w:szCs w:val="22"/>
        </w:rPr>
        <w:t>ы</w:t>
      </w:r>
      <w:r w:rsidRPr="00323EF3">
        <w:rPr>
          <w:sz w:val="22"/>
          <w:szCs w:val="22"/>
        </w:rPr>
        <w:t>рабатывающих энергию для предприятий АПК. Здесь широкие пе</w:t>
      </w:r>
      <w:r w:rsidRPr="00323EF3">
        <w:rPr>
          <w:sz w:val="22"/>
          <w:szCs w:val="22"/>
        </w:rPr>
        <w:t>р</w:t>
      </w:r>
      <w:r w:rsidRPr="00323EF3">
        <w:rPr>
          <w:sz w:val="22"/>
          <w:szCs w:val="22"/>
        </w:rPr>
        <w:t xml:space="preserve">спективы раскрываются перед Краснодарским краем </w:t>
      </w:r>
      <w:r w:rsidRPr="00323EF3">
        <w:rPr>
          <w:kern w:val="36"/>
          <w:sz w:val="22"/>
          <w:szCs w:val="22"/>
        </w:rPr>
        <w:t>[1, 2].</w:t>
      </w:r>
    </w:p>
    <w:p w:rsidR="000F594F" w:rsidRPr="00323EF3" w:rsidRDefault="000F594F" w:rsidP="000F594F">
      <w:pPr>
        <w:widowControl w:val="0"/>
        <w:ind w:firstLine="426"/>
        <w:jc w:val="both"/>
        <w:rPr>
          <w:sz w:val="22"/>
          <w:szCs w:val="22"/>
        </w:rPr>
      </w:pPr>
      <w:r w:rsidRPr="00323EF3">
        <w:rPr>
          <w:sz w:val="22"/>
          <w:szCs w:val="22"/>
        </w:rPr>
        <w:t>Валовый (теоретический) потенциал (ресурс производства в России биогаза составляет примерно 70 млрд/м</w:t>
      </w:r>
      <w:r w:rsidRPr="00323EF3">
        <w:rPr>
          <w:sz w:val="22"/>
          <w:szCs w:val="22"/>
          <w:vertAlign w:val="superscript"/>
        </w:rPr>
        <w:t>3</w:t>
      </w:r>
      <w:r w:rsidRPr="00323EF3">
        <w:rPr>
          <w:sz w:val="22"/>
          <w:szCs w:val="22"/>
        </w:rPr>
        <w:t xml:space="preserve"> в год,  что эквив</w:t>
      </w:r>
      <w:r w:rsidRPr="00323EF3">
        <w:rPr>
          <w:sz w:val="22"/>
          <w:szCs w:val="22"/>
        </w:rPr>
        <w:t>а</w:t>
      </w:r>
      <w:r w:rsidRPr="00323EF3">
        <w:rPr>
          <w:sz w:val="22"/>
          <w:szCs w:val="22"/>
        </w:rPr>
        <w:t>лентно почти 110 млрд кВт·ч электроэнергии. Важны также след</w:t>
      </w:r>
      <w:r w:rsidRPr="00323EF3">
        <w:rPr>
          <w:sz w:val="22"/>
          <w:szCs w:val="22"/>
        </w:rPr>
        <w:t>у</w:t>
      </w:r>
      <w:r w:rsidRPr="00323EF3">
        <w:rPr>
          <w:sz w:val="22"/>
          <w:szCs w:val="22"/>
        </w:rPr>
        <w:t>ющие соотношения: 1 м</w:t>
      </w:r>
      <w:r w:rsidRPr="00323EF3">
        <w:rPr>
          <w:sz w:val="22"/>
          <w:szCs w:val="22"/>
          <w:vertAlign w:val="superscript"/>
        </w:rPr>
        <w:t>3</w:t>
      </w:r>
      <w:r w:rsidRPr="00323EF3">
        <w:rPr>
          <w:sz w:val="22"/>
          <w:szCs w:val="22"/>
        </w:rPr>
        <w:t xml:space="preserve"> биогаза примерно равен 0,8 м</w:t>
      </w:r>
      <w:r w:rsidRPr="00323EF3">
        <w:rPr>
          <w:sz w:val="22"/>
          <w:szCs w:val="22"/>
          <w:vertAlign w:val="superscript"/>
        </w:rPr>
        <w:t xml:space="preserve">3  </w:t>
      </w:r>
      <w:r w:rsidRPr="00323EF3">
        <w:rPr>
          <w:sz w:val="22"/>
          <w:szCs w:val="22"/>
        </w:rPr>
        <w:t>природного газа, а также примерно равен 0,7 кг мазута или 0,6 л бензина или 1,5 кг дров. БГУ из 1 м</w:t>
      </w:r>
      <w:r w:rsidRPr="00323EF3">
        <w:rPr>
          <w:sz w:val="22"/>
          <w:szCs w:val="22"/>
          <w:vertAlign w:val="superscript"/>
        </w:rPr>
        <w:t>3</w:t>
      </w:r>
      <w:r w:rsidRPr="00323EF3">
        <w:rPr>
          <w:sz w:val="22"/>
          <w:szCs w:val="22"/>
        </w:rPr>
        <w:t xml:space="preserve"> биогаза может  выработать 2 кВт∙ч электрич</w:t>
      </w:r>
      <w:r w:rsidRPr="00323EF3">
        <w:rPr>
          <w:sz w:val="22"/>
          <w:szCs w:val="22"/>
        </w:rPr>
        <w:t>е</w:t>
      </w:r>
      <w:r w:rsidRPr="00323EF3">
        <w:rPr>
          <w:sz w:val="22"/>
          <w:szCs w:val="22"/>
        </w:rPr>
        <w:t xml:space="preserve">ской энергии </w:t>
      </w:r>
      <w:r w:rsidRPr="00323EF3">
        <w:rPr>
          <w:kern w:val="36"/>
          <w:sz w:val="22"/>
          <w:szCs w:val="22"/>
        </w:rPr>
        <w:t>[3].</w:t>
      </w:r>
    </w:p>
    <w:p w:rsidR="000F594F" w:rsidRPr="00323EF3" w:rsidRDefault="000F594F" w:rsidP="000F594F">
      <w:pPr>
        <w:ind w:firstLine="426"/>
        <w:jc w:val="both"/>
        <w:rPr>
          <w:sz w:val="22"/>
          <w:szCs w:val="22"/>
        </w:rPr>
      </w:pPr>
      <w:r w:rsidRPr="00323EF3">
        <w:rPr>
          <w:sz w:val="22"/>
          <w:szCs w:val="22"/>
        </w:rPr>
        <w:t xml:space="preserve"> Основным вопросов, определяющим целесообразность прое</w:t>
      </w:r>
      <w:r w:rsidRPr="00323EF3">
        <w:rPr>
          <w:sz w:val="22"/>
          <w:szCs w:val="22"/>
        </w:rPr>
        <w:t>к</w:t>
      </w:r>
      <w:r w:rsidRPr="00323EF3">
        <w:rPr>
          <w:sz w:val="22"/>
          <w:szCs w:val="22"/>
        </w:rPr>
        <w:t xml:space="preserve">тирования БГУ для конкретного региона является расчет ресурсов биомассы и мощности установки. По результатам этого расчета можно будит судить о сроках окупаемости БГУ и, соответственно, </w:t>
      </w:r>
      <w:r w:rsidRPr="00323EF3">
        <w:rPr>
          <w:sz w:val="22"/>
          <w:szCs w:val="22"/>
        </w:rPr>
        <w:lastRenderedPageBreak/>
        <w:t>целесообразности ее применения на основе анализа характеристик альтернативных источников энергии.</w:t>
      </w:r>
    </w:p>
    <w:p w:rsidR="000F594F" w:rsidRPr="00323EF3" w:rsidRDefault="000F594F" w:rsidP="000F594F">
      <w:pPr>
        <w:widowControl w:val="0"/>
        <w:ind w:firstLine="426"/>
        <w:jc w:val="both"/>
        <w:rPr>
          <w:sz w:val="22"/>
          <w:szCs w:val="22"/>
        </w:rPr>
      </w:pPr>
      <w:r w:rsidRPr="00323EF3">
        <w:rPr>
          <w:sz w:val="22"/>
          <w:szCs w:val="22"/>
        </w:rPr>
        <w:t>Экономическую эффективности БГУ определяют путем пров</w:t>
      </w:r>
      <w:r w:rsidRPr="00323EF3">
        <w:rPr>
          <w:sz w:val="22"/>
          <w:szCs w:val="22"/>
        </w:rPr>
        <w:t>е</w:t>
      </w:r>
      <w:r w:rsidRPr="00323EF3">
        <w:rPr>
          <w:sz w:val="22"/>
          <w:szCs w:val="22"/>
        </w:rPr>
        <w:t>дения расчетов ресурсов (потенциала) биомассы: отходы животн</w:t>
      </w:r>
      <w:r w:rsidRPr="00323EF3">
        <w:rPr>
          <w:sz w:val="22"/>
          <w:szCs w:val="22"/>
        </w:rPr>
        <w:t>о</w:t>
      </w:r>
      <w:r w:rsidRPr="00323EF3">
        <w:rPr>
          <w:sz w:val="22"/>
          <w:szCs w:val="22"/>
        </w:rPr>
        <w:t>водства, птицеводства, растениеводства и перерабатывающей пр</w:t>
      </w:r>
      <w:r w:rsidRPr="00323EF3">
        <w:rPr>
          <w:sz w:val="22"/>
          <w:szCs w:val="22"/>
        </w:rPr>
        <w:t>о</w:t>
      </w:r>
      <w:r w:rsidRPr="00323EF3">
        <w:rPr>
          <w:sz w:val="22"/>
          <w:szCs w:val="22"/>
        </w:rPr>
        <w:t>мышленности.</w:t>
      </w:r>
    </w:p>
    <w:p w:rsidR="000F594F" w:rsidRPr="00323EF3" w:rsidRDefault="000F594F" w:rsidP="000F594F">
      <w:pPr>
        <w:ind w:firstLine="426"/>
        <w:jc w:val="both"/>
        <w:rPr>
          <w:sz w:val="22"/>
          <w:szCs w:val="22"/>
        </w:rPr>
      </w:pPr>
      <w:r w:rsidRPr="00323EF3">
        <w:rPr>
          <w:sz w:val="22"/>
          <w:szCs w:val="22"/>
        </w:rPr>
        <w:t>При расчете ресурсов (потенциала) отходов животноводства учитывается выход физиологических отходов на 1 голову. Так для крупного рогатого скота это около 30 кг/сутки (при влажности 85 %), для свиней около 4 кг/сутки (при влажности 85 %), а для мелк</w:t>
      </w:r>
      <w:r w:rsidRPr="00323EF3">
        <w:rPr>
          <w:sz w:val="22"/>
          <w:szCs w:val="22"/>
        </w:rPr>
        <w:t>о</w:t>
      </w:r>
      <w:r w:rsidRPr="00323EF3">
        <w:rPr>
          <w:sz w:val="22"/>
          <w:szCs w:val="22"/>
        </w:rPr>
        <w:t>го рогатого скота примерно  4 кг/сутки (при влажности 70 %).</w:t>
      </w:r>
    </w:p>
    <w:p w:rsidR="000F594F" w:rsidRPr="00323EF3" w:rsidRDefault="000F594F" w:rsidP="000F594F">
      <w:pPr>
        <w:ind w:firstLine="425"/>
        <w:jc w:val="both"/>
        <w:rPr>
          <w:sz w:val="22"/>
          <w:szCs w:val="22"/>
        </w:rPr>
      </w:pPr>
      <w:r w:rsidRPr="00323EF3">
        <w:rPr>
          <w:sz w:val="22"/>
          <w:szCs w:val="22"/>
        </w:rPr>
        <w:t xml:space="preserve">Теплотворная способность 1 кг сухого навоза составляет около 2000 ккал. </w:t>
      </w:r>
    </w:p>
    <w:p w:rsidR="000F594F" w:rsidRPr="00323EF3" w:rsidRDefault="000F594F" w:rsidP="000F594F">
      <w:pPr>
        <w:ind w:firstLine="425"/>
        <w:jc w:val="both"/>
        <w:rPr>
          <w:sz w:val="22"/>
          <w:szCs w:val="22"/>
        </w:rPr>
      </w:pPr>
      <w:r w:rsidRPr="00323EF3">
        <w:rPr>
          <w:sz w:val="22"/>
          <w:szCs w:val="22"/>
        </w:rPr>
        <w:t>Для определения тепловой и электрической мощности, необх</w:t>
      </w:r>
      <w:r w:rsidRPr="00323EF3">
        <w:rPr>
          <w:sz w:val="22"/>
          <w:szCs w:val="22"/>
        </w:rPr>
        <w:t>о</w:t>
      </w:r>
      <w:r w:rsidRPr="00323EF3">
        <w:rPr>
          <w:sz w:val="22"/>
          <w:szCs w:val="22"/>
        </w:rPr>
        <w:t>димо знать следующие соотношения: 1000 ккал = 4,18 МДж =  1,16 кВт·ч.</w:t>
      </w:r>
      <w:r w:rsidRPr="00323EF3">
        <w:rPr>
          <w:i/>
          <w:sz w:val="22"/>
          <w:szCs w:val="22"/>
        </w:rPr>
        <w:t xml:space="preserve"> </w:t>
      </w:r>
      <w:r w:rsidRPr="00323EF3">
        <w:rPr>
          <w:sz w:val="22"/>
          <w:szCs w:val="22"/>
        </w:rPr>
        <w:t>Таким образом, с 1 кг сухого навоза можно получить 2,32 кВт·ч электрической энергии.</w:t>
      </w:r>
      <w:r w:rsidRPr="00323EF3">
        <w:rPr>
          <w:i/>
          <w:sz w:val="22"/>
          <w:szCs w:val="22"/>
        </w:rPr>
        <w:t xml:space="preserve">                  </w:t>
      </w:r>
    </w:p>
    <w:p w:rsidR="000F594F" w:rsidRPr="00323EF3" w:rsidRDefault="000F594F" w:rsidP="000F594F">
      <w:pPr>
        <w:ind w:firstLine="426"/>
        <w:jc w:val="both"/>
        <w:rPr>
          <w:sz w:val="22"/>
          <w:szCs w:val="22"/>
        </w:rPr>
      </w:pPr>
      <w:r w:rsidRPr="00323EF3">
        <w:rPr>
          <w:sz w:val="22"/>
          <w:szCs w:val="22"/>
        </w:rPr>
        <w:t>При расчете отходов птицеводства учитывается количество помета на одну голову птицы  при влажности 75 % составляет ок</w:t>
      </w:r>
      <w:r w:rsidRPr="00323EF3">
        <w:rPr>
          <w:sz w:val="22"/>
          <w:szCs w:val="22"/>
        </w:rPr>
        <w:t>о</w:t>
      </w:r>
      <w:r w:rsidRPr="00323EF3">
        <w:rPr>
          <w:sz w:val="22"/>
          <w:szCs w:val="22"/>
        </w:rPr>
        <w:t>ло  0,2 кг в сутки на курицу-несушку и чуть мене  0,12 кг в сутки на голову бройлера. Теплотворная способность 1 кг сухого помета  также составляет около 2000 ккал.</w:t>
      </w:r>
    </w:p>
    <w:p w:rsidR="000F594F" w:rsidRPr="00323EF3" w:rsidRDefault="000F594F" w:rsidP="000F594F">
      <w:pPr>
        <w:ind w:firstLine="426"/>
        <w:jc w:val="both"/>
        <w:rPr>
          <w:sz w:val="22"/>
          <w:szCs w:val="22"/>
        </w:rPr>
      </w:pPr>
      <w:r w:rsidRPr="00323EF3">
        <w:rPr>
          <w:sz w:val="22"/>
          <w:szCs w:val="22"/>
        </w:rPr>
        <w:t>Отходами растениеводства являются отходы производства овощей,  зерно-бобовых культур, сахарной свеклы, картофеля, а также органические отходы производства подсолнечника.</w:t>
      </w:r>
    </w:p>
    <w:p w:rsidR="000F594F" w:rsidRPr="00323EF3" w:rsidRDefault="000F594F" w:rsidP="000F594F">
      <w:pPr>
        <w:ind w:firstLine="426"/>
        <w:jc w:val="both"/>
        <w:rPr>
          <w:sz w:val="22"/>
          <w:szCs w:val="22"/>
        </w:rPr>
      </w:pPr>
      <w:r w:rsidRPr="00323EF3">
        <w:rPr>
          <w:sz w:val="22"/>
          <w:szCs w:val="22"/>
        </w:rPr>
        <w:t>Отходы производства зерно-бобовых культур принимаются с учетом их влажности 15 % и соотношения соломы или стеблей  и зерна 1–1,5 : 1.</w:t>
      </w:r>
    </w:p>
    <w:p w:rsidR="000F594F" w:rsidRPr="00323EF3" w:rsidRDefault="000F594F" w:rsidP="000F594F">
      <w:pPr>
        <w:ind w:firstLine="426"/>
        <w:jc w:val="both"/>
        <w:rPr>
          <w:sz w:val="22"/>
          <w:szCs w:val="22"/>
        </w:rPr>
      </w:pPr>
      <w:r w:rsidRPr="00323EF3">
        <w:rPr>
          <w:sz w:val="22"/>
          <w:szCs w:val="22"/>
        </w:rPr>
        <w:t>При этом, теплотворная способность 1 кг соломы (стеблей) с</w:t>
      </w:r>
      <w:r w:rsidRPr="00323EF3">
        <w:rPr>
          <w:sz w:val="22"/>
          <w:szCs w:val="22"/>
        </w:rPr>
        <w:t>о</w:t>
      </w:r>
      <w:r w:rsidRPr="00323EF3">
        <w:rPr>
          <w:sz w:val="22"/>
          <w:szCs w:val="22"/>
        </w:rPr>
        <w:t>ставляет 3500 ккал.</w:t>
      </w:r>
    </w:p>
    <w:p w:rsidR="000F594F" w:rsidRPr="00323EF3" w:rsidRDefault="000F594F" w:rsidP="000F594F">
      <w:pPr>
        <w:ind w:firstLine="426"/>
        <w:jc w:val="both"/>
        <w:rPr>
          <w:sz w:val="22"/>
          <w:szCs w:val="22"/>
        </w:rPr>
      </w:pPr>
      <w:r w:rsidRPr="00323EF3">
        <w:rPr>
          <w:sz w:val="22"/>
          <w:szCs w:val="22"/>
        </w:rPr>
        <w:t>Масса органических отходов при производстве овощей, в том числе картофеля и сахарной свеклы составляет от 30 % до 50 % от массы урожая, при влажности 65 %. При этом, теплотворная сп</w:t>
      </w:r>
      <w:r w:rsidRPr="00323EF3">
        <w:rPr>
          <w:sz w:val="22"/>
          <w:szCs w:val="22"/>
        </w:rPr>
        <w:t>о</w:t>
      </w:r>
      <w:r w:rsidRPr="00323EF3">
        <w:rPr>
          <w:sz w:val="22"/>
          <w:szCs w:val="22"/>
        </w:rPr>
        <w:t>собность 1 кг сухой ботвы – 2000 ккал.</w:t>
      </w:r>
    </w:p>
    <w:p w:rsidR="000F594F" w:rsidRPr="00323EF3" w:rsidRDefault="000F594F" w:rsidP="000F594F">
      <w:pPr>
        <w:ind w:firstLine="426"/>
        <w:jc w:val="both"/>
        <w:rPr>
          <w:sz w:val="22"/>
          <w:szCs w:val="22"/>
        </w:rPr>
      </w:pPr>
      <w:r w:rsidRPr="00323EF3">
        <w:rPr>
          <w:sz w:val="22"/>
          <w:szCs w:val="22"/>
        </w:rPr>
        <w:t>Расчёт  отходов перерабатывающей промышленности пров</w:t>
      </w:r>
      <w:r w:rsidRPr="00323EF3">
        <w:rPr>
          <w:sz w:val="22"/>
          <w:szCs w:val="22"/>
        </w:rPr>
        <w:t>о</w:t>
      </w:r>
      <w:r w:rsidRPr="00323EF3">
        <w:rPr>
          <w:sz w:val="22"/>
          <w:szCs w:val="22"/>
        </w:rPr>
        <w:t>дится только для крупных отраслей: маслобойная, сахароварение, спиртовая, мукомольная и мясоперерабатывающая.</w:t>
      </w:r>
    </w:p>
    <w:p w:rsidR="000F594F" w:rsidRPr="00323EF3" w:rsidRDefault="000F594F" w:rsidP="000F594F">
      <w:pPr>
        <w:ind w:firstLine="426"/>
        <w:jc w:val="both"/>
        <w:rPr>
          <w:sz w:val="22"/>
          <w:szCs w:val="22"/>
        </w:rPr>
      </w:pPr>
      <w:r w:rsidRPr="00323EF3">
        <w:rPr>
          <w:sz w:val="22"/>
          <w:szCs w:val="22"/>
        </w:rPr>
        <w:lastRenderedPageBreak/>
        <w:t>Органические отходы маслобойной промышленности (лузга) составляет 20 % от урожая семян, при влажности 15 %.</w:t>
      </w:r>
    </w:p>
    <w:p w:rsidR="000F594F" w:rsidRPr="00323EF3" w:rsidRDefault="000F594F" w:rsidP="000F594F">
      <w:pPr>
        <w:ind w:firstLine="426"/>
        <w:jc w:val="both"/>
        <w:rPr>
          <w:sz w:val="22"/>
          <w:szCs w:val="22"/>
        </w:rPr>
      </w:pPr>
      <w:r w:rsidRPr="00323EF3">
        <w:rPr>
          <w:sz w:val="22"/>
          <w:szCs w:val="22"/>
        </w:rPr>
        <w:t>Теплотворная способность 1 кг лузги – 3500 ккал.</w:t>
      </w:r>
    </w:p>
    <w:p w:rsidR="000F594F" w:rsidRPr="00323EF3" w:rsidRDefault="000F594F" w:rsidP="000F594F">
      <w:pPr>
        <w:ind w:firstLine="426"/>
        <w:jc w:val="both"/>
        <w:rPr>
          <w:sz w:val="22"/>
          <w:szCs w:val="22"/>
        </w:rPr>
      </w:pPr>
      <w:r w:rsidRPr="00323EF3">
        <w:rPr>
          <w:sz w:val="22"/>
          <w:szCs w:val="22"/>
        </w:rPr>
        <w:t>При производстве сахара из сахарной свеклы отходами явл</w:t>
      </w:r>
      <w:r w:rsidRPr="00323EF3">
        <w:rPr>
          <w:sz w:val="22"/>
          <w:szCs w:val="22"/>
        </w:rPr>
        <w:t>я</w:t>
      </w:r>
      <w:r w:rsidRPr="00323EF3">
        <w:rPr>
          <w:sz w:val="22"/>
          <w:szCs w:val="22"/>
        </w:rPr>
        <w:t>ются: свекловичным жом и  меласса. Выход отходов свекловичного жома и  мелассы – 5 % каждый от общей массы перерабатываемой свеклы. При этом, теплотворная способность жома составляет ок</w:t>
      </w:r>
      <w:r w:rsidRPr="00323EF3">
        <w:rPr>
          <w:sz w:val="22"/>
          <w:szCs w:val="22"/>
        </w:rPr>
        <w:t>о</w:t>
      </w:r>
      <w:r w:rsidRPr="00323EF3">
        <w:rPr>
          <w:sz w:val="22"/>
          <w:szCs w:val="22"/>
        </w:rPr>
        <w:t>ло 2500 ккал/кг, мелассы – 4000 ккал/кг сахара (содержание сахара в мелассе – 70 %, при влажности 30 %).</w:t>
      </w:r>
    </w:p>
    <w:p w:rsidR="000F594F" w:rsidRPr="00323EF3" w:rsidRDefault="000F594F" w:rsidP="000F594F">
      <w:pPr>
        <w:ind w:firstLine="426"/>
        <w:jc w:val="both"/>
        <w:rPr>
          <w:sz w:val="22"/>
          <w:szCs w:val="22"/>
        </w:rPr>
      </w:pPr>
      <w:r w:rsidRPr="00323EF3">
        <w:rPr>
          <w:sz w:val="22"/>
          <w:szCs w:val="22"/>
        </w:rPr>
        <w:t>Органическими отходами при производстве этанола из зерна является зерновая спиртовая барда. Выход барды составляет соо</w:t>
      </w:r>
      <w:r w:rsidRPr="00323EF3">
        <w:rPr>
          <w:sz w:val="22"/>
          <w:szCs w:val="22"/>
        </w:rPr>
        <w:t>т</w:t>
      </w:r>
      <w:r w:rsidRPr="00323EF3">
        <w:rPr>
          <w:sz w:val="22"/>
          <w:szCs w:val="22"/>
        </w:rPr>
        <w:t>ношение 12:1 от произведенного спирта. При этом, теплотворная способность 1 кг сухой барды – 2000 ккал.</w:t>
      </w:r>
    </w:p>
    <w:p w:rsidR="000F594F" w:rsidRPr="00323EF3" w:rsidRDefault="000F594F" w:rsidP="000F594F">
      <w:pPr>
        <w:ind w:firstLine="426"/>
        <w:jc w:val="both"/>
        <w:rPr>
          <w:sz w:val="22"/>
          <w:szCs w:val="22"/>
        </w:rPr>
      </w:pPr>
      <w:r w:rsidRPr="00323EF3">
        <w:rPr>
          <w:sz w:val="22"/>
          <w:szCs w:val="22"/>
        </w:rPr>
        <w:t>Органические отходы мукомольно-крупяной составляют около 25 % при влажности  15 %. При этом, теплотворная способность  отходов примерно равна 3500 ккал.</w:t>
      </w:r>
    </w:p>
    <w:p w:rsidR="000F594F" w:rsidRPr="00323EF3" w:rsidRDefault="000F594F" w:rsidP="000F594F">
      <w:pPr>
        <w:ind w:firstLine="426"/>
        <w:jc w:val="both"/>
        <w:rPr>
          <w:sz w:val="22"/>
          <w:szCs w:val="22"/>
        </w:rPr>
      </w:pPr>
      <w:r w:rsidRPr="00323EF3">
        <w:rPr>
          <w:sz w:val="22"/>
          <w:szCs w:val="22"/>
        </w:rPr>
        <w:t>Как известно, при переработке птичьего мяса обычно отходов нет. При переработке крупнорогатого и мелкорогатого скота, а та</w:t>
      </w:r>
      <w:r w:rsidRPr="00323EF3">
        <w:rPr>
          <w:sz w:val="22"/>
          <w:szCs w:val="22"/>
        </w:rPr>
        <w:t>к</w:t>
      </w:r>
      <w:r w:rsidRPr="00323EF3">
        <w:rPr>
          <w:sz w:val="22"/>
          <w:szCs w:val="22"/>
        </w:rPr>
        <w:t>же свиней органические отходы составляют около 16 %, при вла</w:t>
      </w:r>
      <w:r w:rsidRPr="00323EF3">
        <w:rPr>
          <w:sz w:val="22"/>
          <w:szCs w:val="22"/>
        </w:rPr>
        <w:t>ж</w:t>
      </w:r>
      <w:r w:rsidRPr="00323EF3">
        <w:rPr>
          <w:sz w:val="22"/>
          <w:szCs w:val="22"/>
        </w:rPr>
        <w:t>ности 70 %. Теплотворная способность 1 кг мясных отходов пр</w:t>
      </w:r>
      <w:r w:rsidRPr="00323EF3">
        <w:rPr>
          <w:sz w:val="22"/>
          <w:szCs w:val="22"/>
        </w:rPr>
        <w:t>и</w:t>
      </w:r>
      <w:r w:rsidRPr="00323EF3">
        <w:rPr>
          <w:sz w:val="22"/>
          <w:szCs w:val="22"/>
        </w:rPr>
        <w:t>мерно равна 2500 ккал.</w:t>
      </w:r>
    </w:p>
    <w:p w:rsidR="000F594F" w:rsidRPr="00323EF3" w:rsidRDefault="000F594F" w:rsidP="000F594F">
      <w:pPr>
        <w:ind w:firstLine="426"/>
        <w:jc w:val="both"/>
        <w:rPr>
          <w:sz w:val="22"/>
          <w:szCs w:val="22"/>
        </w:rPr>
      </w:pPr>
      <w:r w:rsidRPr="00323EF3">
        <w:rPr>
          <w:sz w:val="22"/>
          <w:szCs w:val="22"/>
        </w:rPr>
        <w:t>Таким образом, приведенные показатели ресурсов биомассы будут способствовать повышению эффективности предпроектных работ при определении целесообразности применения БГУ на ко</w:t>
      </w:r>
      <w:r w:rsidRPr="00323EF3">
        <w:rPr>
          <w:sz w:val="22"/>
          <w:szCs w:val="22"/>
        </w:rPr>
        <w:t>н</w:t>
      </w:r>
      <w:r w:rsidRPr="00323EF3">
        <w:rPr>
          <w:sz w:val="22"/>
          <w:szCs w:val="22"/>
        </w:rPr>
        <w:t>кретной местности и для конкретного предприятия.</w:t>
      </w:r>
    </w:p>
    <w:p w:rsidR="000F594F" w:rsidRPr="00323EF3" w:rsidRDefault="000F594F" w:rsidP="000F594F">
      <w:pPr>
        <w:ind w:firstLine="426"/>
        <w:jc w:val="both"/>
        <w:rPr>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Григораш, О. В. Нетрадиционные источники электроэнергии в составе систем гарантированного электроснабжения / О. В. Григ</w:t>
      </w:r>
      <w:r w:rsidRPr="00323EF3">
        <w:rPr>
          <w:sz w:val="22"/>
          <w:szCs w:val="22"/>
        </w:rPr>
        <w:t>о</w:t>
      </w:r>
      <w:r w:rsidRPr="00323EF3">
        <w:rPr>
          <w:sz w:val="22"/>
          <w:szCs w:val="22"/>
        </w:rPr>
        <w:t>раш, Н. И. Богатырев, Н. Н. Курзин  // Промышленная энергетика. – 2004. –  № 1. – С. 59–62.</w:t>
      </w:r>
    </w:p>
    <w:p w:rsidR="000F594F" w:rsidRPr="00323EF3" w:rsidRDefault="000F594F" w:rsidP="000F594F">
      <w:pPr>
        <w:ind w:firstLine="426"/>
        <w:jc w:val="both"/>
        <w:rPr>
          <w:sz w:val="22"/>
          <w:szCs w:val="22"/>
        </w:rPr>
      </w:pPr>
      <w:r w:rsidRPr="00323EF3">
        <w:rPr>
          <w:sz w:val="22"/>
          <w:szCs w:val="22"/>
        </w:rPr>
        <w:t>2. Григораш, О. В. Перспективы и особенности работы биог</w:t>
      </w:r>
      <w:r w:rsidRPr="00323EF3">
        <w:rPr>
          <w:sz w:val="22"/>
          <w:szCs w:val="22"/>
        </w:rPr>
        <w:t>а</w:t>
      </w:r>
      <w:r w:rsidRPr="00323EF3">
        <w:rPr>
          <w:sz w:val="22"/>
          <w:szCs w:val="22"/>
        </w:rPr>
        <w:t>зоустановок / О. В. Григораш, А. В. Квитко, А. Р. Кошко // Полит</w:t>
      </w:r>
      <w:r w:rsidRPr="00323EF3">
        <w:rPr>
          <w:sz w:val="22"/>
          <w:szCs w:val="22"/>
        </w:rPr>
        <w:t>е</w:t>
      </w:r>
      <w:r w:rsidRPr="00323EF3">
        <w:rPr>
          <w:sz w:val="22"/>
          <w:szCs w:val="22"/>
        </w:rPr>
        <w:t>матический сетевой электронный научный журнал КубГАУ. – 2015. –  № 108. – С. 1147–1163.</w:t>
      </w:r>
    </w:p>
    <w:p w:rsidR="00D15DEA" w:rsidRPr="00553B63" w:rsidRDefault="000F594F" w:rsidP="00553B63">
      <w:pPr>
        <w:ind w:firstLine="426"/>
        <w:jc w:val="both"/>
        <w:rPr>
          <w:sz w:val="22"/>
          <w:szCs w:val="22"/>
        </w:rPr>
      </w:pPr>
      <w:r w:rsidRPr="00323EF3">
        <w:rPr>
          <w:sz w:val="22"/>
          <w:szCs w:val="22"/>
        </w:rPr>
        <w:t>3. Григораш, О. В. Возобновляемые источники электроэнергии / О. В. Григораш, Ю. П. Степура, Р. А. Сулейманов и др. – Красн</w:t>
      </w:r>
      <w:r w:rsidRPr="00323EF3">
        <w:rPr>
          <w:sz w:val="22"/>
          <w:szCs w:val="22"/>
        </w:rPr>
        <w:t>о</w:t>
      </w:r>
      <w:r w:rsidRPr="00323EF3">
        <w:rPr>
          <w:sz w:val="22"/>
          <w:szCs w:val="22"/>
        </w:rPr>
        <w:t>дар,  2012. –  272 с.</w:t>
      </w:r>
    </w:p>
    <w:p w:rsidR="000F594F" w:rsidRPr="00323EF3" w:rsidRDefault="000F594F" w:rsidP="000F594F">
      <w:pPr>
        <w:tabs>
          <w:tab w:val="left" w:pos="5040"/>
        </w:tabs>
        <w:rPr>
          <w:sz w:val="22"/>
          <w:szCs w:val="22"/>
        </w:rPr>
      </w:pPr>
      <w:r w:rsidRPr="00323EF3">
        <w:rPr>
          <w:sz w:val="22"/>
          <w:szCs w:val="22"/>
        </w:rPr>
        <w:lastRenderedPageBreak/>
        <w:t>УДК 621.314</w:t>
      </w:r>
    </w:p>
    <w:p w:rsidR="000F594F" w:rsidRPr="00323EF3" w:rsidRDefault="000F594F" w:rsidP="000F594F">
      <w:pPr>
        <w:tabs>
          <w:tab w:val="left" w:pos="5040"/>
        </w:tabs>
        <w:rPr>
          <w:sz w:val="22"/>
          <w:szCs w:val="22"/>
        </w:rPr>
      </w:pPr>
    </w:p>
    <w:p w:rsidR="000F594F" w:rsidRPr="00323EF3" w:rsidRDefault="000F594F" w:rsidP="000F594F">
      <w:pPr>
        <w:tabs>
          <w:tab w:val="left" w:pos="5040"/>
        </w:tabs>
        <w:jc w:val="center"/>
        <w:rPr>
          <w:b/>
          <w:sz w:val="24"/>
          <w:szCs w:val="24"/>
        </w:rPr>
      </w:pPr>
      <w:r w:rsidRPr="00323EF3">
        <w:rPr>
          <w:b/>
          <w:sz w:val="24"/>
          <w:szCs w:val="24"/>
        </w:rPr>
        <w:t xml:space="preserve">Преобразователи электроэнергии на трансформаторах </w:t>
      </w:r>
    </w:p>
    <w:p w:rsidR="000F594F" w:rsidRPr="00323EF3" w:rsidRDefault="000F594F" w:rsidP="000F594F">
      <w:pPr>
        <w:tabs>
          <w:tab w:val="left" w:pos="5040"/>
        </w:tabs>
        <w:jc w:val="center"/>
        <w:rPr>
          <w:b/>
          <w:sz w:val="24"/>
          <w:szCs w:val="24"/>
        </w:rPr>
      </w:pPr>
      <w:r w:rsidRPr="00323EF3">
        <w:rPr>
          <w:b/>
          <w:sz w:val="24"/>
          <w:szCs w:val="24"/>
        </w:rPr>
        <w:t>с вращающимся магнитном поле</w:t>
      </w:r>
    </w:p>
    <w:p w:rsidR="000F594F" w:rsidRPr="00231A3C" w:rsidRDefault="000F594F" w:rsidP="000F594F">
      <w:pPr>
        <w:tabs>
          <w:tab w:val="left" w:pos="5040"/>
        </w:tabs>
        <w:jc w:val="center"/>
        <w:rPr>
          <w:b/>
          <w:color w:val="000000"/>
          <w:sz w:val="24"/>
          <w:szCs w:val="24"/>
          <w:lang w:val="en-US"/>
        </w:rPr>
      </w:pPr>
      <w:r w:rsidRPr="00323EF3">
        <w:rPr>
          <w:b/>
          <w:color w:val="000000"/>
          <w:sz w:val="24"/>
          <w:szCs w:val="24"/>
          <w:lang w:val="en-US"/>
        </w:rPr>
        <w:t>Transformers</w:t>
      </w:r>
      <w:r w:rsidRPr="00231A3C">
        <w:rPr>
          <w:b/>
          <w:color w:val="000000"/>
          <w:sz w:val="24"/>
          <w:szCs w:val="24"/>
          <w:lang w:val="en-US"/>
        </w:rPr>
        <w:t xml:space="preserve"> </w:t>
      </w:r>
      <w:r w:rsidRPr="00323EF3">
        <w:rPr>
          <w:b/>
          <w:color w:val="000000"/>
          <w:sz w:val="24"/>
          <w:szCs w:val="24"/>
          <w:lang w:val="en-US"/>
        </w:rPr>
        <w:t>of</w:t>
      </w:r>
      <w:r w:rsidRPr="00231A3C">
        <w:rPr>
          <w:b/>
          <w:color w:val="000000"/>
          <w:sz w:val="24"/>
          <w:szCs w:val="24"/>
          <w:lang w:val="en-US"/>
        </w:rPr>
        <w:t xml:space="preserve"> </w:t>
      </w:r>
      <w:r w:rsidRPr="00323EF3">
        <w:rPr>
          <w:b/>
          <w:color w:val="000000"/>
          <w:sz w:val="24"/>
          <w:szCs w:val="24"/>
          <w:lang w:val="en-US"/>
        </w:rPr>
        <w:t>electric</w:t>
      </w:r>
      <w:r w:rsidRPr="00231A3C">
        <w:rPr>
          <w:b/>
          <w:color w:val="000000"/>
          <w:sz w:val="24"/>
          <w:szCs w:val="24"/>
          <w:lang w:val="en-US"/>
        </w:rPr>
        <w:t xml:space="preserve"> </w:t>
      </w:r>
      <w:r w:rsidRPr="00323EF3">
        <w:rPr>
          <w:b/>
          <w:color w:val="000000"/>
          <w:sz w:val="24"/>
          <w:szCs w:val="24"/>
          <w:lang w:val="en-US"/>
        </w:rPr>
        <w:t>power</w:t>
      </w:r>
      <w:r w:rsidRPr="00231A3C">
        <w:rPr>
          <w:b/>
          <w:color w:val="000000"/>
          <w:sz w:val="24"/>
          <w:szCs w:val="24"/>
          <w:lang w:val="en-US"/>
        </w:rPr>
        <w:t xml:space="preserve"> </w:t>
      </w:r>
      <w:r w:rsidRPr="00323EF3">
        <w:rPr>
          <w:b/>
          <w:color w:val="000000"/>
          <w:sz w:val="24"/>
          <w:szCs w:val="24"/>
          <w:lang w:val="en-US"/>
        </w:rPr>
        <w:t>on</w:t>
      </w:r>
      <w:r w:rsidRPr="00231A3C">
        <w:rPr>
          <w:b/>
          <w:color w:val="000000"/>
          <w:sz w:val="24"/>
          <w:szCs w:val="24"/>
          <w:lang w:val="en-US"/>
        </w:rPr>
        <w:t xml:space="preserve"> </w:t>
      </w:r>
      <w:r w:rsidRPr="00323EF3">
        <w:rPr>
          <w:b/>
          <w:color w:val="000000"/>
          <w:sz w:val="24"/>
          <w:szCs w:val="24"/>
          <w:lang w:val="en-US"/>
        </w:rPr>
        <w:t>transformers</w:t>
      </w:r>
    </w:p>
    <w:p w:rsidR="000F594F" w:rsidRPr="00323EF3" w:rsidRDefault="000F594F" w:rsidP="000F594F">
      <w:pPr>
        <w:tabs>
          <w:tab w:val="left" w:pos="5040"/>
        </w:tabs>
        <w:jc w:val="center"/>
        <w:rPr>
          <w:b/>
          <w:color w:val="000000"/>
          <w:sz w:val="24"/>
          <w:szCs w:val="24"/>
          <w:lang w:val="en-US"/>
        </w:rPr>
      </w:pPr>
      <w:r w:rsidRPr="00323EF3">
        <w:rPr>
          <w:b/>
          <w:color w:val="000000"/>
          <w:sz w:val="24"/>
          <w:szCs w:val="24"/>
          <w:lang w:val="en-US"/>
        </w:rPr>
        <w:t>with a rotating magnetic field</w:t>
      </w:r>
    </w:p>
    <w:p w:rsidR="000F594F" w:rsidRPr="00323EF3" w:rsidRDefault="000F594F" w:rsidP="000F594F">
      <w:pPr>
        <w:tabs>
          <w:tab w:val="left" w:pos="5040"/>
        </w:tabs>
        <w:jc w:val="center"/>
        <w:rPr>
          <w:b/>
          <w:color w:val="000000"/>
          <w:sz w:val="24"/>
          <w:szCs w:val="24"/>
          <w:lang w:val="en-US"/>
        </w:rPr>
      </w:pPr>
    </w:p>
    <w:p w:rsidR="000F594F" w:rsidRPr="00323EF3" w:rsidRDefault="000F594F" w:rsidP="000F594F">
      <w:pPr>
        <w:tabs>
          <w:tab w:val="left" w:pos="5040"/>
        </w:tabs>
        <w:jc w:val="right"/>
        <w:rPr>
          <w:color w:val="000000"/>
          <w:sz w:val="22"/>
          <w:szCs w:val="22"/>
          <w:lang w:val="en-US"/>
        </w:rPr>
      </w:pPr>
      <w:r w:rsidRPr="00323EF3">
        <w:rPr>
          <w:color w:val="000000"/>
          <w:sz w:val="22"/>
          <w:szCs w:val="22"/>
        </w:rPr>
        <w:t>Нелинев</w:t>
      </w:r>
      <w:r w:rsidRPr="00323EF3">
        <w:rPr>
          <w:color w:val="000000"/>
          <w:sz w:val="22"/>
          <w:szCs w:val="22"/>
          <w:lang w:val="en-US"/>
        </w:rPr>
        <w:t xml:space="preserve"> </w:t>
      </w:r>
      <w:r w:rsidRPr="00323EF3">
        <w:rPr>
          <w:color w:val="000000"/>
          <w:sz w:val="22"/>
          <w:szCs w:val="22"/>
        </w:rPr>
        <w:t>Д</w:t>
      </w:r>
      <w:r w:rsidRPr="00323EF3">
        <w:rPr>
          <w:color w:val="000000"/>
          <w:sz w:val="22"/>
          <w:szCs w:val="22"/>
          <w:lang w:val="en-US"/>
        </w:rPr>
        <w:t xml:space="preserve">. </w:t>
      </w:r>
      <w:r w:rsidRPr="00323EF3">
        <w:rPr>
          <w:color w:val="000000"/>
          <w:sz w:val="22"/>
          <w:szCs w:val="22"/>
        </w:rPr>
        <w:t>С</w:t>
      </w:r>
      <w:r w:rsidRPr="00323EF3">
        <w:rPr>
          <w:color w:val="000000"/>
          <w:sz w:val="22"/>
          <w:szCs w:val="22"/>
          <w:lang w:val="en-US"/>
        </w:rPr>
        <w:t>.,</w:t>
      </w:r>
    </w:p>
    <w:p w:rsidR="000F594F" w:rsidRPr="00323EF3" w:rsidRDefault="000F594F" w:rsidP="000F594F">
      <w:pPr>
        <w:tabs>
          <w:tab w:val="left" w:pos="5040"/>
        </w:tabs>
        <w:jc w:val="right"/>
        <w:rPr>
          <w:color w:val="000000"/>
          <w:sz w:val="22"/>
          <w:szCs w:val="22"/>
        </w:rPr>
      </w:pPr>
      <w:r w:rsidRPr="00323EF3">
        <w:rPr>
          <w:color w:val="000000"/>
          <w:sz w:val="22"/>
          <w:szCs w:val="22"/>
        </w:rPr>
        <w:t>студент 2-го курса магистратуры факультета энергетики</w:t>
      </w:r>
    </w:p>
    <w:p w:rsidR="000F594F" w:rsidRPr="00323EF3" w:rsidRDefault="000F594F" w:rsidP="000F594F">
      <w:pPr>
        <w:tabs>
          <w:tab w:val="left" w:pos="5040"/>
        </w:tabs>
        <w:jc w:val="right"/>
        <w:rPr>
          <w:color w:val="000000"/>
          <w:sz w:val="22"/>
          <w:szCs w:val="22"/>
        </w:rPr>
      </w:pPr>
      <w:r w:rsidRPr="00323EF3">
        <w:rPr>
          <w:color w:val="000000"/>
          <w:sz w:val="22"/>
          <w:szCs w:val="22"/>
        </w:rPr>
        <w:t>Усков А. Е.,</w:t>
      </w:r>
    </w:p>
    <w:p w:rsidR="000F594F" w:rsidRPr="00323EF3" w:rsidRDefault="000F594F" w:rsidP="000F594F">
      <w:pPr>
        <w:tabs>
          <w:tab w:val="left" w:pos="5040"/>
        </w:tabs>
        <w:jc w:val="right"/>
        <w:rPr>
          <w:color w:val="000000"/>
          <w:sz w:val="22"/>
          <w:szCs w:val="22"/>
        </w:rPr>
      </w:pPr>
      <w:r w:rsidRPr="00323EF3">
        <w:rPr>
          <w:color w:val="000000"/>
          <w:sz w:val="22"/>
          <w:szCs w:val="22"/>
        </w:rPr>
        <w:t xml:space="preserve">доцент кафедры электротехники, теплотехники </w:t>
      </w:r>
    </w:p>
    <w:p w:rsidR="000F594F" w:rsidRPr="00323EF3" w:rsidRDefault="000F594F" w:rsidP="000F594F">
      <w:pPr>
        <w:tabs>
          <w:tab w:val="left" w:pos="5040"/>
        </w:tabs>
        <w:jc w:val="right"/>
        <w:rPr>
          <w:color w:val="000000"/>
          <w:sz w:val="22"/>
          <w:szCs w:val="22"/>
        </w:rPr>
      </w:pPr>
      <w:r w:rsidRPr="00323EF3">
        <w:rPr>
          <w:color w:val="000000"/>
          <w:sz w:val="22"/>
          <w:szCs w:val="22"/>
        </w:rPr>
        <w:t>и возобновляемых источников энергии</w:t>
      </w:r>
    </w:p>
    <w:p w:rsidR="000F594F" w:rsidRPr="00323EF3" w:rsidRDefault="000F594F" w:rsidP="000F594F">
      <w:pPr>
        <w:tabs>
          <w:tab w:val="left" w:pos="5040"/>
        </w:tabs>
        <w:jc w:val="right"/>
        <w:rPr>
          <w:color w:val="000000"/>
          <w:sz w:val="22"/>
          <w:szCs w:val="22"/>
        </w:rPr>
      </w:pPr>
      <w:r w:rsidRPr="00323EF3">
        <w:rPr>
          <w:color w:val="000000"/>
          <w:sz w:val="22"/>
          <w:szCs w:val="22"/>
        </w:rPr>
        <w:t xml:space="preserve">Кубанский государственный аграрный </w:t>
      </w:r>
    </w:p>
    <w:p w:rsidR="000F594F" w:rsidRPr="00323EF3" w:rsidRDefault="000F594F" w:rsidP="000F594F">
      <w:pPr>
        <w:tabs>
          <w:tab w:val="left" w:pos="5040"/>
        </w:tabs>
        <w:jc w:val="right"/>
        <w:rPr>
          <w:color w:val="000000"/>
          <w:sz w:val="22"/>
          <w:szCs w:val="22"/>
        </w:rPr>
      </w:pPr>
      <w:r w:rsidRPr="00323EF3">
        <w:rPr>
          <w:color w:val="000000"/>
          <w:sz w:val="22"/>
          <w:szCs w:val="22"/>
        </w:rPr>
        <w:t>университет имени И. Т. Трубилина</w:t>
      </w:r>
    </w:p>
    <w:p w:rsidR="000F594F" w:rsidRPr="00323EF3" w:rsidRDefault="000F594F" w:rsidP="000F594F">
      <w:pPr>
        <w:tabs>
          <w:tab w:val="left" w:pos="5040"/>
        </w:tabs>
        <w:jc w:val="right"/>
        <w:rPr>
          <w:color w:val="000000"/>
          <w:sz w:val="22"/>
          <w:szCs w:val="22"/>
        </w:rPr>
      </w:pPr>
    </w:p>
    <w:p w:rsidR="000F594F" w:rsidRPr="00323EF3" w:rsidRDefault="000F594F" w:rsidP="000F594F">
      <w:pPr>
        <w:tabs>
          <w:tab w:val="left" w:pos="5040"/>
        </w:tabs>
        <w:ind w:firstLine="426"/>
        <w:jc w:val="both"/>
        <w:rPr>
          <w:color w:val="000000"/>
          <w:sz w:val="22"/>
          <w:szCs w:val="22"/>
        </w:rPr>
      </w:pPr>
      <w:r w:rsidRPr="00323EF3">
        <w:rPr>
          <w:color w:val="000000"/>
          <w:sz w:val="22"/>
          <w:szCs w:val="22"/>
        </w:rPr>
        <w:t>АННОТАЦИЯ. Раскрываются новые технические решения ст</w:t>
      </w:r>
      <w:r w:rsidRPr="00323EF3">
        <w:rPr>
          <w:color w:val="000000"/>
          <w:sz w:val="22"/>
          <w:szCs w:val="22"/>
        </w:rPr>
        <w:t>а</w:t>
      </w:r>
      <w:r w:rsidRPr="00323EF3">
        <w:rPr>
          <w:color w:val="000000"/>
          <w:sz w:val="22"/>
          <w:szCs w:val="22"/>
        </w:rPr>
        <w:t>тических преобразователей электроэнергии с улучшенными техн</w:t>
      </w:r>
      <w:r w:rsidRPr="00323EF3">
        <w:rPr>
          <w:color w:val="000000"/>
          <w:sz w:val="22"/>
          <w:szCs w:val="22"/>
        </w:rPr>
        <w:t>и</w:t>
      </w:r>
      <w:r w:rsidRPr="00323EF3">
        <w:rPr>
          <w:color w:val="000000"/>
          <w:sz w:val="22"/>
          <w:szCs w:val="22"/>
        </w:rPr>
        <w:t>ко-экономическими показателями, выполненными на трансформ</w:t>
      </w:r>
      <w:r w:rsidRPr="00323EF3">
        <w:rPr>
          <w:color w:val="000000"/>
          <w:sz w:val="22"/>
          <w:szCs w:val="22"/>
        </w:rPr>
        <w:t>а</w:t>
      </w:r>
      <w:r w:rsidRPr="00323EF3">
        <w:rPr>
          <w:color w:val="000000"/>
          <w:sz w:val="22"/>
          <w:szCs w:val="22"/>
        </w:rPr>
        <w:t>торах с вращающимся магнитным полем.</w:t>
      </w:r>
    </w:p>
    <w:p w:rsidR="000F594F" w:rsidRPr="00323EF3" w:rsidRDefault="000F594F" w:rsidP="000F594F">
      <w:pPr>
        <w:tabs>
          <w:tab w:val="left" w:pos="5040"/>
        </w:tabs>
        <w:ind w:firstLine="426"/>
        <w:jc w:val="both"/>
        <w:rPr>
          <w:color w:val="000000"/>
          <w:sz w:val="22"/>
          <w:szCs w:val="22"/>
          <w:lang w:val="en-US"/>
        </w:rPr>
      </w:pPr>
      <w:r w:rsidRPr="00323EF3">
        <w:rPr>
          <w:caps/>
          <w:color w:val="000000"/>
          <w:sz w:val="22"/>
          <w:szCs w:val="22"/>
          <w:lang w:val="en-US"/>
        </w:rPr>
        <w:t xml:space="preserve">Annotation. </w:t>
      </w:r>
      <w:r w:rsidRPr="00323EF3">
        <w:rPr>
          <w:color w:val="000000"/>
          <w:sz w:val="22"/>
          <w:szCs w:val="22"/>
          <w:lang w:val="en-US"/>
        </w:rPr>
        <w:t>New technical solutions of static electric power converters with improved technical and economic indicators, made on transformers with a rotating magnetic field, are disclosed.</w:t>
      </w:r>
    </w:p>
    <w:p w:rsidR="000F594F" w:rsidRPr="00323EF3" w:rsidRDefault="000F594F" w:rsidP="000F594F">
      <w:pPr>
        <w:tabs>
          <w:tab w:val="left" w:pos="5040"/>
        </w:tabs>
        <w:ind w:firstLine="426"/>
        <w:jc w:val="both"/>
        <w:rPr>
          <w:color w:val="000000"/>
          <w:sz w:val="22"/>
          <w:szCs w:val="22"/>
        </w:rPr>
      </w:pPr>
      <w:r w:rsidRPr="00323EF3">
        <w:rPr>
          <w:color w:val="000000"/>
          <w:sz w:val="22"/>
          <w:szCs w:val="22"/>
        </w:rPr>
        <w:t>КЛЮЧЕВЫЕ СЛОВА: технико-экономические показатели, трансформатор с вращающимся магнитным полем.</w:t>
      </w:r>
    </w:p>
    <w:p w:rsidR="000F594F" w:rsidRPr="00323EF3" w:rsidRDefault="000F594F" w:rsidP="000F594F">
      <w:pPr>
        <w:tabs>
          <w:tab w:val="left" w:pos="5040"/>
        </w:tabs>
        <w:ind w:firstLine="426"/>
        <w:jc w:val="both"/>
        <w:rPr>
          <w:color w:val="000000"/>
          <w:sz w:val="22"/>
          <w:szCs w:val="22"/>
          <w:lang w:val="en-US"/>
        </w:rPr>
      </w:pPr>
      <w:r w:rsidRPr="00323EF3">
        <w:rPr>
          <w:caps/>
          <w:color w:val="000000"/>
          <w:sz w:val="22"/>
          <w:szCs w:val="22"/>
          <w:lang w:val="en-US"/>
        </w:rPr>
        <w:t xml:space="preserve">key words: </w:t>
      </w:r>
      <w:r w:rsidRPr="00323EF3">
        <w:rPr>
          <w:color w:val="000000"/>
          <w:sz w:val="22"/>
          <w:szCs w:val="22"/>
          <w:lang w:val="en-US"/>
        </w:rPr>
        <w:t>technical and economic indicators, transformer with a rotating magnetic field.</w:t>
      </w:r>
    </w:p>
    <w:p w:rsidR="000F594F" w:rsidRPr="00323EF3" w:rsidRDefault="000F594F" w:rsidP="000F594F">
      <w:pPr>
        <w:tabs>
          <w:tab w:val="left" w:pos="5040"/>
        </w:tabs>
        <w:ind w:firstLine="426"/>
        <w:jc w:val="both"/>
        <w:rPr>
          <w:color w:val="000000"/>
          <w:sz w:val="22"/>
          <w:szCs w:val="22"/>
          <w:lang w:val="en-US"/>
        </w:rPr>
      </w:pPr>
    </w:p>
    <w:p w:rsidR="000F594F" w:rsidRPr="00323EF3" w:rsidRDefault="000F594F" w:rsidP="000F594F">
      <w:pPr>
        <w:ind w:firstLine="426"/>
        <w:jc w:val="both"/>
        <w:rPr>
          <w:sz w:val="22"/>
          <w:szCs w:val="22"/>
        </w:rPr>
      </w:pPr>
      <w:r w:rsidRPr="00323EF3">
        <w:rPr>
          <w:color w:val="000000"/>
          <w:sz w:val="22"/>
          <w:szCs w:val="22"/>
        </w:rPr>
        <w:t xml:space="preserve">Эксплуатируемые </w:t>
      </w:r>
      <w:r w:rsidRPr="00323EF3">
        <w:rPr>
          <w:sz w:val="22"/>
          <w:szCs w:val="22"/>
        </w:rPr>
        <w:t>в настоящее время статические преобразов</w:t>
      </w:r>
      <w:r w:rsidRPr="00323EF3">
        <w:rPr>
          <w:sz w:val="22"/>
          <w:szCs w:val="22"/>
        </w:rPr>
        <w:t>а</w:t>
      </w:r>
      <w:r w:rsidRPr="00323EF3">
        <w:rPr>
          <w:sz w:val="22"/>
          <w:szCs w:val="22"/>
        </w:rPr>
        <w:t xml:space="preserve">тели электроэнергии (выпрямители, инверторы, преобразователи частоты и конверторы) имеют относительно низкие технико-экономические показатели и, прежде всего, показатели КПД и надежности[2, 3]. </w:t>
      </w:r>
    </w:p>
    <w:p w:rsidR="000F594F" w:rsidRPr="00323EF3" w:rsidRDefault="000F594F" w:rsidP="000F594F">
      <w:pPr>
        <w:ind w:firstLine="426"/>
        <w:jc w:val="both"/>
        <w:rPr>
          <w:sz w:val="22"/>
          <w:szCs w:val="22"/>
        </w:rPr>
      </w:pPr>
      <w:r w:rsidRPr="00323EF3">
        <w:rPr>
          <w:sz w:val="22"/>
          <w:szCs w:val="22"/>
        </w:rPr>
        <w:t>Перспективным является направление применение в составе статических преобра</w:t>
      </w:r>
      <w:r w:rsidR="00D15DEA">
        <w:rPr>
          <w:sz w:val="22"/>
          <w:szCs w:val="22"/>
        </w:rPr>
        <w:t xml:space="preserve">зователей электроэнергии (СПЭ) </w:t>
      </w:r>
      <w:r w:rsidRPr="00323EF3">
        <w:rPr>
          <w:sz w:val="22"/>
          <w:szCs w:val="22"/>
        </w:rPr>
        <w:t>трансформ</w:t>
      </w:r>
      <w:r w:rsidRPr="00323EF3">
        <w:rPr>
          <w:sz w:val="22"/>
          <w:szCs w:val="22"/>
        </w:rPr>
        <w:t>а</w:t>
      </w:r>
      <w:r w:rsidRPr="00323EF3">
        <w:rPr>
          <w:sz w:val="22"/>
          <w:szCs w:val="22"/>
        </w:rPr>
        <w:t>то</w:t>
      </w:r>
      <w:r w:rsidR="00D15DEA">
        <w:rPr>
          <w:sz w:val="22"/>
          <w:szCs w:val="22"/>
        </w:rPr>
        <w:t xml:space="preserve">ров </w:t>
      </w:r>
      <w:r w:rsidRPr="00323EF3">
        <w:rPr>
          <w:sz w:val="22"/>
          <w:szCs w:val="22"/>
        </w:rPr>
        <w:t>с</w:t>
      </w:r>
      <w:r w:rsidR="00D15DEA">
        <w:rPr>
          <w:sz w:val="22"/>
          <w:szCs w:val="22"/>
        </w:rPr>
        <w:t xml:space="preserve"> вращающимся магнитным полем</w:t>
      </w:r>
      <w:r w:rsidRPr="00323EF3">
        <w:rPr>
          <w:sz w:val="22"/>
          <w:szCs w:val="22"/>
        </w:rPr>
        <w:t xml:space="preserve"> (ТВМП). Использован</w:t>
      </w:r>
      <w:r w:rsidR="00D15DEA">
        <w:rPr>
          <w:sz w:val="22"/>
          <w:szCs w:val="22"/>
        </w:rPr>
        <w:t>ие ТВМП в составе СПЭ позволит уменьшить число</w:t>
      </w:r>
      <w:r w:rsidRPr="00323EF3">
        <w:rPr>
          <w:sz w:val="22"/>
          <w:szCs w:val="22"/>
        </w:rPr>
        <w:t xml:space="preserve"> силовых эле</w:t>
      </w:r>
      <w:r w:rsidRPr="00323EF3">
        <w:rPr>
          <w:sz w:val="22"/>
          <w:szCs w:val="22"/>
        </w:rPr>
        <w:t>к</w:t>
      </w:r>
      <w:r w:rsidR="00D15DEA">
        <w:rPr>
          <w:sz w:val="22"/>
          <w:szCs w:val="22"/>
        </w:rPr>
        <w:t xml:space="preserve">тронных приборов, упростить </w:t>
      </w:r>
      <w:r w:rsidRPr="00323EF3">
        <w:rPr>
          <w:sz w:val="22"/>
          <w:szCs w:val="22"/>
        </w:rPr>
        <w:t>и</w:t>
      </w:r>
      <w:r w:rsidR="00D15DEA">
        <w:rPr>
          <w:sz w:val="22"/>
          <w:szCs w:val="22"/>
        </w:rPr>
        <w:t xml:space="preserve">х системы управления и защиты, </w:t>
      </w:r>
      <w:r w:rsidRPr="00323EF3">
        <w:rPr>
          <w:sz w:val="22"/>
          <w:szCs w:val="22"/>
        </w:rPr>
        <w:lastRenderedPageBreak/>
        <w:t>таким образо</w:t>
      </w:r>
      <w:r w:rsidR="00D15DEA">
        <w:rPr>
          <w:sz w:val="22"/>
          <w:szCs w:val="22"/>
        </w:rPr>
        <w:t>м, повысить в целом  показатели</w:t>
      </w:r>
      <w:r w:rsidRPr="00323EF3">
        <w:rPr>
          <w:sz w:val="22"/>
          <w:szCs w:val="22"/>
        </w:rPr>
        <w:t xml:space="preserve"> надежности и КПД [1].</w:t>
      </w:r>
    </w:p>
    <w:p w:rsidR="000F594F" w:rsidRPr="00323EF3" w:rsidRDefault="00D15DEA" w:rsidP="000F594F">
      <w:pPr>
        <w:ind w:firstLine="426"/>
        <w:jc w:val="both"/>
        <w:rPr>
          <w:sz w:val="22"/>
          <w:szCs w:val="22"/>
        </w:rPr>
      </w:pPr>
      <w:r>
        <w:rPr>
          <w:sz w:val="22"/>
          <w:szCs w:val="22"/>
        </w:rPr>
        <w:t>Важным преимуществом ТВМП является то,</w:t>
      </w:r>
      <w:r w:rsidR="000F594F" w:rsidRPr="00323EF3">
        <w:rPr>
          <w:sz w:val="22"/>
          <w:szCs w:val="22"/>
        </w:rPr>
        <w:t xml:space="preserve"> что конструкти</w:t>
      </w:r>
      <w:r w:rsidR="000F594F" w:rsidRPr="00323EF3">
        <w:rPr>
          <w:sz w:val="22"/>
          <w:szCs w:val="22"/>
        </w:rPr>
        <w:t>в</w:t>
      </w:r>
      <w:r w:rsidR="000F594F" w:rsidRPr="00323EF3">
        <w:rPr>
          <w:sz w:val="22"/>
          <w:szCs w:val="22"/>
        </w:rPr>
        <w:t xml:space="preserve">ное решение и, </w:t>
      </w:r>
      <w:r>
        <w:rPr>
          <w:sz w:val="22"/>
          <w:szCs w:val="22"/>
        </w:rPr>
        <w:t>соответственно, принцип работы,</w:t>
      </w:r>
      <w:r w:rsidR="000F594F" w:rsidRPr="00323EF3">
        <w:rPr>
          <w:sz w:val="22"/>
          <w:szCs w:val="22"/>
        </w:rPr>
        <w:t xml:space="preserve"> позволяет</w:t>
      </w:r>
      <w:r>
        <w:rPr>
          <w:sz w:val="22"/>
          <w:szCs w:val="22"/>
        </w:rPr>
        <w:t xml:space="preserve"> из</w:t>
      </w:r>
      <w:r w:rsidR="000F594F" w:rsidRPr="00323EF3">
        <w:rPr>
          <w:sz w:val="22"/>
          <w:szCs w:val="22"/>
        </w:rPr>
        <w:t xml:space="preserve"> о</w:t>
      </w:r>
      <w:r w:rsidR="000F594F" w:rsidRPr="00323EF3">
        <w:rPr>
          <w:sz w:val="22"/>
          <w:szCs w:val="22"/>
        </w:rPr>
        <w:t>д</w:t>
      </w:r>
      <w:r w:rsidR="000F594F" w:rsidRPr="00323EF3">
        <w:rPr>
          <w:sz w:val="22"/>
          <w:szCs w:val="22"/>
        </w:rPr>
        <w:t>ноф</w:t>
      </w:r>
      <w:r>
        <w:rPr>
          <w:sz w:val="22"/>
          <w:szCs w:val="22"/>
        </w:rPr>
        <w:t>азного напряжения переменного тока получать</w:t>
      </w:r>
      <w:r w:rsidR="000F594F" w:rsidRPr="00323EF3">
        <w:rPr>
          <w:sz w:val="22"/>
          <w:szCs w:val="22"/>
        </w:rPr>
        <w:t xml:space="preserve"> многофаз</w:t>
      </w:r>
      <w:r>
        <w:rPr>
          <w:sz w:val="22"/>
          <w:szCs w:val="22"/>
        </w:rPr>
        <w:t>ную</w:t>
      </w:r>
      <w:r w:rsidR="000F594F" w:rsidRPr="00323EF3">
        <w:rPr>
          <w:sz w:val="22"/>
          <w:szCs w:val="22"/>
        </w:rPr>
        <w:t xml:space="preserve"> сим</w:t>
      </w:r>
      <w:r>
        <w:rPr>
          <w:sz w:val="22"/>
          <w:szCs w:val="22"/>
        </w:rPr>
        <w:t>метричную систему</w:t>
      </w:r>
      <w:r w:rsidR="000F594F" w:rsidRPr="00323EF3">
        <w:rPr>
          <w:sz w:val="22"/>
          <w:szCs w:val="22"/>
        </w:rPr>
        <w:t xml:space="preserve"> напряжений.  </w:t>
      </w:r>
    </w:p>
    <w:p w:rsidR="000F594F" w:rsidRPr="00323EF3" w:rsidRDefault="000F594F" w:rsidP="000F594F">
      <w:pPr>
        <w:ind w:firstLine="426"/>
        <w:jc w:val="both"/>
        <w:rPr>
          <w:sz w:val="22"/>
          <w:szCs w:val="22"/>
        </w:rPr>
      </w:pPr>
      <w:r w:rsidRPr="00323EF3">
        <w:rPr>
          <w:sz w:val="22"/>
          <w:szCs w:val="22"/>
        </w:rPr>
        <w:t>ТВМП могут быть конструктивно выпмолнены однофазно-однофазными или однофазно-трехфазными. Как правило, ТВМП выполняется на базе электрической машины, где первичные обмо</w:t>
      </w:r>
      <w:r w:rsidRPr="00323EF3">
        <w:rPr>
          <w:sz w:val="22"/>
          <w:szCs w:val="22"/>
        </w:rPr>
        <w:t>т</w:t>
      </w:r>
      <w:r w:rsidRPr="00323EF3">
        <w:rPr>
          <w:sz w:val="22"/>
          <w:szCs w:val="22"/>
        </w:rPr>
        <w:t>ки размещаются на статоре, а вторичные на роторе. И в первом и во втором случае ТВМП содержат две первичные обмотки, соедине</w:t>
      </w:r>
      <w:r w:rsidRPr="00323EF3">
        <w:rPr>
          <w:sz w:val="22"/>
          <w:szCs w:val="22"/>
        </w:rPr>
        <w:t>н</w:t>
      </w:r>
      <w:r w:rsidRPr="00323EF3">
        <w:rPr>
          <w:sz w:val="22"/>
          <w:szCs w:val="22"/>
        </w:rPr>
        <w:t>ные между собою фазосдвигающим конденсатором. Конденсатор обеспечивает электрический сдвиг токов в первичной обмотке, к</w:t>
      </w:r>
      <w:r w:rsidRPr="00323EF3">
        <w:rPr>
          <w:sz w:val="22"/>
          <w:szCs w:val="22"/>
        </w:rPr>
        <w:t>о</w:t>
      </w:r>
      <w:r w:rsidRPr="00323EF3">
        <w:rPr>
          <w:sz w:val="22"/>
          <w:szCs w:val="22"/>
        </w:rPr>
        <w:t>торые, кроме того, конструктивно сдвинуты друг относительно др</w:t>
      </w:r>
      <w:r w:rsidRPr="00323EF3">
        <w:rPr>
          <w:sz w:val="22"/>
          <w:szCs w:val="22"/>
        </w:rPr>
        <w:t>у</w:t>
      </w:r>
      <w:r w:rsidRPr="00323EF3">
        <w:rPr>
          <w:sz w:val="22"/>
          <w:szCs w:val="22"/>
        </w:rPr>
        <w:t>га на угол 90</w:t>
      </w:r>
      <w:r w:rsidRPr="00323EF3">
        <w:rPr>
          <w:sz w:val="22"/>
          <w:szCs w:val="22"/>
          <w:vertAlign w:val="superscript"/>
        </w:rPr>
        <w:t>о</w:t>
      </w:r>
      <w:r w:rsidRPr="00323EF3">
        <w:rPr>
          <w:sz w:val="22"/>
          <w:szCs w:val="22"/>
        </w:rPr>
        <w:t>, тем самым в магнитной системе ТВМП образуется вращающееся магнитное поле [1].</w:t>
      </w:r>
    </w:p>
    <w:p w:rsidR="000F594F" w:rsidRPr="00323EF3" w:rsidRDefault="000F594F" w:rsidP="000F594F">
      <w:pPr>
        <w:ind w:firstLine="426"/>
        <w:jc w:val="both"/>
        <w:rPr>
          <w:sz w:val="22"/>
          <w:szCs w:val="22"/>
        </w:rPr>
      </w:pPr>
      <w:r w:rsidRPr="00323EF3">
        <w:rPr>
          <w:sz w:val="22"/>
          <w:szCs w:val="22"/>
        </w:rPr>
        <w:t>Когда ТВМП содержит однофазный выход, то его конструкция позволяет решать важный вопрос – стабилизацию напряжения. Ст</w:t>
      </w:r>
      <w:r w:rsidRPr="00323EF3">
        <w:rPr>
          <w:sz w:val="22"/>
          <w:szCs w:val="22"/>
        </w:rPr>
        <w:t>а</w:t>
      </w:r>
      <w:r w:rsidRPr="00323EF3">
        <w:rPr>
          <w:sz w:val="22"/>
          <w:szCs w:val="22"/>
        </w:rPr>
        <w:t>билизация выходного напряжения ТВМП осуществляется измен</w:t>
      </w:r>
      <w:r w:rsidRPr="00323EF3">
        <w:rPr>
          <w:sz w:val="22"/>
          <w:szCs w:val="22"/>
        </w:rPr>
        <w:t>е</w:t>
      </w:r>
      <w:r w:rsidRPr="00323EF3">
        <w:rPr>
          <w:sz w:val="22"/>
          <w:szCs w:val="22"/>
        </w:rPr>
        <w:t>нием емкости фазосдвигающего конденсатора. Это достигается п</w:t>
      </w:r>
      <w:r w:rsidRPr="00323EF3">
        <w:rPr>
          <w:sz w:val="22"/>
          <w:szCs w:val="22"/>
        </w:rPr>
        <w:t>у</w:t>
      </w:r>
      <w:r w:rsidRPr="00323EF3">
        <w:rPr>
          <w:sz w:val="22"/>
          <w:szCs w:val="22"/>
        </w:rPr>
        <w:t>тем параллельно-встречного включения к этому конденсатору с</w:t>
      </w:r>
      <w:r w:rsidRPr="00323EF3">
        <w:rPr>
          <w:sz w:val="22"/>
          <w:szCs w:val="22"/>
        </w:rPr>
        <w:t>и</w:t>
      </w:r>
      <w:r w:rsidRPr="00323EF3">
        <w:rPr>
          <w:sz w:val="22"/>
          <w:szCs w:val="22"/>
        </w:rPr>
        <w:t>ловых электронных приборов, как правило, тиристоров. Изменен</w:t>
      </w:r>
      <w:r w:rsidRPr="00323EF3">
        <w:rPr>
          <w:sz w:val="22"/>
          <w:szCs w:val="22"/>
        </w:rPr>
        <w:t>и</w:t>
      </w:r>
      <w:r w:rsidRPr="00323EF3">
        <w:rPr>
          <w:sz w:val="22"/>
          <w:szCs w:val="22"/>
        </w:rPr>
        <w:t>ем времени открытого состояния тиристоров осуществляется ст</w:t>
      </w:r>
      <w:r w:rsidRPr="00323EF3">
        <w:rPr>
          <w:sz w:val="22"/>
          <w:szCs w:val="22"/>
        </w:rPr>
        <w:t>а</w:t>
      </w:r>
      <w:r w:rsidRPr="00323EF3">
        <w:rPr>
          <w:sz w:val="22"/>
          <w:szCs w:val="22"/>
        </w:rPr>
        <w:t xml:space="preserve">билизация напряжения на выходе однофазно-однофазного ТВМП.  </w:t>
      </w:r>
    </w:p>
    <w:p w:rsidR="000F594F" w:rsidRPr="00323EF3" w:rsidRDefault="000F594F" w:rsidP="000F594F">
      <w:pPr>
        <w:ind w:firstLine="426"/>
        <w:jc w:val="both"/>
        <w:rPr>
          <w:sz w:val="22"/>
          <w:szCs w:val="22"/>
        </w:rPr>
      </w:pPr>
      <w:r w:rsidRPr="00323EF3">
        <w:rPr>
          <w:sz w:val="22"/>
          <w:szCs w:val="22"/>
        </w:rPr>
        <w:t>В случае необходимости стабилизации напряжения ТВМП с трехфазных выходом в цепь одной из первичных обмоток подкл</w:t>
      </w:r>
      <w:r w:rsidRPr="00323EF3">
        <w:rPr>
          <w:sz w:val="22"/>
          <w:szCs w:val="22"/>
        </w:rPr>
        <w:t>ю</w:t>
      </w:r>
      <w:r w:rsidRPr="00323EF3">
        <w:rPr>
          <w:sz w:val="22"/>
          <w:szCs w:val="22"/>
        </w:rPr>
        <w:t>чается дроссель с обмоткой управления. Необходимость примен</w:t>
      </w:r>
      <w:r w:rsidRPr="00323EF3">
        <w:rPr>
          <w:sz w:val="22"/>
          <w:szCs w:val="22"/>
        </w:rPr>
        <w:t>е</w:t>
      </w:r>
      <w:r w:rsidRPr="00323EF3">
        <w:rPr>
          <w:sz w:val="22"/>
          <w:szCs w:val="22"/>
        </w:rPr>
        <w:t>ния такого дросселя обусловлена тем, чтобы магнитное поле не и</w:t>
      </w:r>
      <w:r w:rsidRPr="00323EF3">
        <w:rPr>
          <w:sz w:val="22"/>
          <w:szCs w:val="22"/>
        </w:rPr>
        <w:t>с</w:t>
      </w:r>
      <w:r w:rsidRPr="00323EF3">
        <w:rPr>
          <w:sz w:val="22"/>
          <w:szCs w:val="22"/>
        </w:rPr>
        <w:t>кажало свою форму, т. е. из кругового вращающегося не превращ</w:t>
      </w:r>
      <w:r w:rsidRPr="00323EF3">
        <w:rPr>
          <w:sz w:val="22"/>
          <w:szCs w:val="22"/>
        </w:rPr>
        <w:t>а</w:t>
      </w:r>
      <w:r w:rsidRPr="00323EF3">
        <w:rPr>
          <w:sz w:val="22"/>
          <w:szCs w:val="22"/>
        </w:rPr>
        <w:t>лось в эллиптическое вращающееся. В последнем случае на тре</w:t>
      </w:r>
      <w:r w:rsidRPr="00323EF3">
        <w:rPr>
          <w:sz w:val="22"/>
          <w:szCs w:val="22"/>
        </w:rPr>
        <w:t>х</w:t>
      </w:r>
      <w:r w:rsidRPr="00323EF3">
        <w:rPr>
          <w:sz w:val="22"/>
          <w:szCs w:val="22"/>
        </w:rPr>
        <w:t>фазном выходе ТВМП будет формироваться несимметричная тре</w:t>
      </w:r>
      <w:r w:rsidRPr="00323EF3">
        <w:rPr>
          <w:sz w:val="22"/>
          <w:szCs w:val="22"/>
        </w:rPr>
        <w:t>х</w:t>
      </w:r>
      <w:r w:rsidRPr="00323EF3">
        <w:rPr>
          <w:sz w:val="22"/>
          <w:szCs w:val="22"/>
        </w:rPr>
        <w:t>фазная система напряжения.</w:t>
      </w:r>
    </w:p>
    <w:p w:rsidR="000F594F" w:rsidRPr="00323EF3" w:rsidRDefault="000F594F" w:rsidP="000F594F">
      <w:pPr>
        <w:ind w:firstLine="426"/>
        <w:jc w:val="both"/>
        <w:rPr>
          <w:sz w:val="22"/>
          <w:szCs w:val="22"/>
        </w:rPr>
      </w:pPr>
      <w:r w:rsidRPr="00323EF3">
        <w:rPr>
          <w:sz w:val="22"/>
          <w:szCs w:val="22"/>
        </w:rPr>
        <w:t>Стабилизация напряжения ТВМП с трехфазным выходом ос</w:t>
      </w:r>
      <w:r w:rsidRPr="00323EF3">
        <w:rPr>
          <w:sz w:val="22"/>
          <w:szCs w:val="22"/>
        </w:rPr>
        <w:t>у</w:t>
      </w:r>
      <w:r w:rsidRPr="00323EF3">
        <w:rPr>
          <w:sz w:val="22"/>
          <w:szCs w:val="22"/>
        </w:rPr>
        <w:t>ществляется за счет изменения индуктивного сопротивления раб</w:t>
      </w:r>
      <w:r w:rsidRPr="00323EF3">
        <w:rPr>
          <w:sz w:val="22"/>
          <w:szCs w:val="22"/>
        </w:rPr>
        <w:t>о</w:t>
      </w:r>
      <w:r w:rsidRPr="00323EF3">
        <w:rPr>
          <w:sz w:val="22"/>
          <w:szCs w:val="22"/>
        </w:rPr>
        <w:t>чей обмотки дросселя, включенной последовательно с первичной обмоткой ТВМП. Индуктивное сопротивление изменяется путем изменения постоянного тока в обмотке подмагничивания дросселя.</w:t>
      </w:r>
    </w:p>
    <w:p w:rsidR="000F594F" w:rsidRPr="00323EF3" w:rsidRDefault="000F594F" w:rsidP="000F594F">
      <w:pPr>
        <w:ind w:firstLine="426"/>
        <w:jc w:val="both"/>
        <w:rPr>
          <w:sz w:val="22"/>
          <w:szCs w:val="22"/>
        </w:rPr>
      </w:pPr>
      <w:r w:rsidRPr="00323EF3">
        <w:rPr>
          <w:sz w:val="22"/>
          <w:szCs w:val="22"/>
        </w:rPr>
        <w:lastRenderedPageBreak/>
        <w:t xml:space="preserve">Наиболее эффективно, с технической точки зрения, применять ТВМП в составе выпрямителей и инверторов. </w:t>
      </w:r>
    </w:p>
    <w:p w:rsidR="000F594F" w:rsidRPr="00323EF3" w:rsidRDefault="000F594F" w:rsidP="000F594F">
      <w:pPr>
        <w:ind w:firstLine="426"/>
        <w:jc w:val="both"/>
        <w:rPr>
          <w:sz w:val="22"/>
          <w:szCs w:val="22"/>
        </w:rPr>
      </w:pPr>
      <w:r w:rsidRPr="00323EF3">
        <w:rPr>
          <w:sz w:val="22"/>
          <w:szCs w:val="22"/>
        </w:rPr>
        <w:t>ТВМП могут выполнять функции устройств синхронизации, к примеру, при включении на параллельную работу автономных и</w:t>
      </w:r>
      <w:r w:rsidRPr="00323EF3">
        <w:rPr>
          <w:sz w:val="22"/>
          <w:szCs w:val="22"/>
        </w:rPr>
        <w:t>н</w:t>
      </w:r>
      <w:r w:rsidRPr="00323EF3">
        <w:rPr>
          <w:sz w:val="22"/>
          <w:szCs w:val="22"/>
        </w:rPr>
        <w:t>верторов или инвертора, ведомого внешней сетью (другими исто</w:t>
      </w:r>
      <w:r w:rsidRPr="00323EF3">
        <w:rPr>
          <w:sz w:val="22"/>
          <w:szCs w:val="22"/>
        </w:rPr>
        <w:t>ч</w:t>
      </w:r>
      <w:r w:rsidRPr="00323EF3">
        <w:rPr>
          <w:sz w:val="22"/>
          <w:szCs w:val="22"/>
        </w:rPr>
        <w:t>никами электроэнергии).</w:t>
      </w:r>
    </w:p>
    <w:p w:rsidR="000F594F" w:rsidRPr="00323EF3" w:rsidRDefault="000F594F" w:rsidP="000F594F">
      <w:pPr>
        <w:ind w:firstLine="426"/>
        <w:jc w:val="both"/>
        <w:rPr>
          <w:sz w:val="22"/>
          <w:szCs w:val="22"/>
        </w:rPr>
      </w:pPr>
      <w:r w:rsidRPr="00323EF3">
        <w:rPr>
          <w:sz w:val="22"/>
          <w:szCs w:val="22"/>
        </w:rPr>
        <w:t>Применение в составе силовых схем стабилизации напряжения на выходе ТВМП современных полевых транзисторов позволит значительно улучшить их эксплуатационно-технические характер</w:t>
      </w:r>
      <w:r w:rsidRPr="00323EF3">
        <w:rPr>
          <w:sz w:val="22"/>
          <w:szCs w:val="22"/>
        </w:rPr>
        <w:t>и</w:t>
      </w:r>
      <w:r w:rsidRPr="00323EF3">
        <w:rPr>
          <w:sz w:val="22"/>
          <w:szCs w:val="22"/>
        </w:rPr>
        <w:t>стики [1, 3].</w:t>
      </w:r>
    </w:p>
    <w:p w:rsidR="000F594F" w:rsidRPr="00323EF3" w:rsidRDefault="000F594F" w:rsidP="000F594F">
      <w:pPr>
        <w:tabs>
          <w:tab w:val="left" w:pos="438"/>
          <w:tab w:val="left" w:pos="1362"/>
        </w:tabs>
        <w:ind w:firstLine="426"/>
        <w:jc w:val="both"/>
        <w:rPr>
          <w:sz w:val="22"/>
          <w:szCs w:val="22"/>
        </w:rPr>
      </w:pPr>
      <w:r w:rsidRPr="00323EF3">
        <w:rPr>
          <w:sz w:val="22"/>
          <w:szCs w:val="22"/>
        </w:rPr>
        <w:t>Перспективным является направление разработки  универсал</w:t>
      </w:r>
      <w:r w:rsidRPr="00323EF3">
        <w:rPr>
          <w:sz w:val="22"/>
          <w:szCs w:val="22"/>
        </w:rPr>
        <w:t>ь</w:t>
      </w:r>
      <w:r w:rsidRPr="00323EF3">
        <w:rPr>
          <w:sz w:val="22"/>
          <w:szCs w:val="22"/>
        </w:rPr>
        <w:t>ных статических преобразователей, работающих в режимах, ра</w:t>
      </w:r>
      <w:r w:rsidRPr="00323EF3">
        <w:rPr>
          <w:sz w:val="22"/>
          <w:szCs w:val="22"/>
        </w:rPr>
        <w:t>с</w:t>
      </w:r>
      <w:r w:rsidRPr="00323EF3">
        <w:rPr>
          <w:sz w:val="22"/>
          <w:szCs w:val="22"/>
        </w:rPr>
        <w:t>смотренных типов  СПЭ. Режим определяется центральной сист</w:t>
      </w:r>
      <w:r w:rsidRPr="00323EF3">
        <w:rPr>
          <w:sz w:val="22"/>
          <w:szCs w:val="22"/>
        </w:rPr>
        <w:t>е</w:t>
      </w:r>
      <w:r w:rsidRPr="00323EF3">
        <w:rPr>
          <w:sz w:val="22"/>
          <w:szCs w:val="22"/>
        </w:rPr>
        <w:t>мой управления автономной системы, в зависимости от приоритета электроснабжения ответственных потребителей. В таких преобр</w:t>
      </w:r>
      <w:r w:rsidRPr="00323EF3">
        <w:rPr>
          <w:sz w:val="22"/>
          <w:szCs w:val="22"/>
        </w:rPr>
        <w:t>а</w:t>
      </w:r>
      <w:r w:rsidRPr="00323EF3">
        <w:rPr>
          <w:sz w:val="22"/>
          <w:szCs w:val="22"/>
        </w:rPr>
        <w:t xml:space="preserve">зователях целесообразно применять ТВМП с трехфазным выходом. </w:t>
      </w:r>
    </w:p>
    <w:p w:rsidR="000F594F" w:rsidRPr="00323EF3" w:rsidRDefault="000F594F" w:rsidP="000F594F">
      <w:pPr>
        <w:tabs>
          <w:tab w:val="left" w:pos="438"/>
          <w:tab w:val="left" w:pos="1362"/>
        </w:tabs>
        <w:ind w:firstLine="426"/>
        <w:jc w:val="both"/>
        <w:rPr>
          <w:sz w:val="22"/>
          <w:szCs w:val="22"/>
        </w:rPr>
      </w:pPr>
      <w:r w:rsidRPr="00323EF3">
        <w:rPr>
          <w:sz w:val="22"/>
          <w:szCs w:val="22"/>
        </w:rPr>
        <w:t>Значительно улучшаться характеристики СПЭ, выполненных с использованием ТВМП, если их основные элементы (силовые эле</w:t>
      </w:r>
      <w:r w:rsidRPr="00323EF3">
        <w:rPr>
          <w:sz w:val="22"/>
          <w:szCs w:val="22"/>
        </w:rPr>
        <w:t>к</w:t>
      </w:r>
      <w:r w:rsidRPr="00323EF3">
        <w:rPr>
          <w:sz w:val="22"/>
          <w:szCs w:val="22"/>
        </w:rPr>
        <w:t>тронные с электронными приборами, трансформатор, входные и выходные фильтры, коммутационные устройства и  т. п.) будут в</w:t>
      </w:r>
      <w:r w:rsidRPr="00323EF3">
        <w:rPr>
          <w:sz w:val="22"/>
          <w:szCs w:val="22"/>
        </w:rPr>
        <w:t>ы</w:t>
      </w:r>
      <w:r w:rsidRPr="00323EF3">
        <w:rPr>
          <w:sz w:val="22"/>
          <w:szCs w:val="22"/>
        </w:rPr>
        <w:t>полняться по модульному принципу.</w:t>
      </w:r>
    </w:p>
    <w:p w:rsidR="000F594F" w:rsidRPr="00323EF3" w:rsidRDefault="000F594F" w:rsidP="000F594F">
      <w:pPr>
        <w:ind w:hanging="12"/>
        <w:jc w:val="center"/>
        <w:rPr>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Григораш, О. В. К вопросу применения  трансформаторов с вращающимся магнитным полем в составе преобразователей эле</w:t>
      </w:r>
      <w:r w:rsidRPr="00323EF3">
        <w:rPr>
          <w:sz w:val="22"/>
          <w:szCs w:val="22"/>
        </w:rPr>
        <w:t>к</w:t>
      </w:r>
      <w:r w:rsidRPr="00323EF3">
        <w:rPr>
          <w:sz w:val="22"/>
          <w:szCs w:val="22"/>
        </w:rPr>
        <w:t>троэнергии / О. В. Григораш, Ю. А. Кабанков  // Электротехника. – 2002. –  № 3. – С. 22–26.</w:t>
      </w:r>
    </w:p>
    <w:p w:rsidR="000F594F" w:rsidRPr="00323EF3" w:rsidRDefault="000F594F" w:rsidP="000F594F">
      <w:pPr>
        <w:ind w:firstLine="426"/>
        <w:jc w:val="both"/>
        <w:rPr>
          <w:sz w:val="22"/>
          <w:szCs w:val="22"/>
        </w:rPr>
      </w:pPr>
      <w:r w:rsidRPr="00323EF3">
        <w:rPr>
          <w:sz w:val="22"/>
          <w:szCs w:val="22"/>
        </w:rPr>
        <w:t>2. Григораш, О. В. Системы гарантированного электроснабж</w:t>
      </w:r>
      <w:r w:rsidRPr="00323EF3">
        <w:rPr>
          <w:sz w:val="22"/>
          <w:szCs w:val="22"/>
        </w:rPr>
        <w:t>е</w:t>
      </w:r>
      <w:r w:rsidRPr="00323EF3">
        <w:rPr>
          <w:sz w:val="22"/>
          <w:szCs w:val="22"/>
        </w:rPr>
        <w:t>ния / О. В. Григораш, А. Ю. Попов, Е. А. Власенко и др. – Красн</w:t>
      </w:r>
      <w:r w:rsidRPr="00323EF3">
        <w:rPr>
          <w:sz w:val="22"/>
          <w:szCs w:val="22"/>
        </w:rPr>
        <w:t>о</w:t>
      </w:r>
      <w:r w:rsidRPr="00323EF3">
        <w:rPr>
          <w:sz w:val="22"/>
          <w:szCs w:val="22"/>
        </w:rPr>
        <w:t>дар: КубГАУ, 2017. –  223 с.</w:t>
      </w:r>
    </w:p>
    <w:p w:rsidR="000F594F" w:rsidRPr="00323EF3" w:rsidRDefault="000F594F" w:rsidP="000F594F">
      <w:pPr>
        <w:ind w:firstLine="426"/>
        <w:jc w:val="both"/>
        <w:rPr>
          <w:sz w:val="22"/>
          <w:szCs w:val="22"/>
        </w:rPr>
      </w:pPr>
      <w:r w:rsidRPr="00323EF3">
        <w:rPr>
          <w:sz w:val="22"/>
          <w:szCs w:val="22"/>
        </w:rPr>
        <w:t>3. Григораш, О. В. Статические преобразователи электроэне</w:t>
      </w:r>
      <w:r w:rsidRPr="00323EF3">
        <w:rPr>
          <w:sz w:val="22"/>
          <w:szCs w:val="22"/>
        </w:rPr>
        <w:t>р</w:t>
      </w:r>
      <w:r w:rsidRPr="00323EF3">
        <w:rPr>
          <w:sz w:val="22"/>
          <w:szCs w:val="22"/>
        </w:rPr>
        <w:t xml:space="preserve">гии / О. В. Григораш, О. В. Новокрещенов, А. А. Хамула и др. – Краснодар, 2006. –  264 с. </w:t>
      </w:r>
    </w:p>
    <w:p w:rsidR="000F594F" w:rsidRPr="00C56F2E" w:rsidRDefault="000F594F" w:rsidP="00D15DEA">
      <w:pPr>
        <w:ind w:firstLine="426"/>
        <w:jc w:val="both"/>
        <w:rPr>
          <w:sz w:val="22"/>
          <w:szCs w:val="22"/>
          <w:lang w:val="en-US"/>
        </w:rPr>
      </w:pPr>
      <w:r w:rsidRPr="00323EF3">
        <w:rPr>
          <w:sz w:val="22"/>
          <w:szCs w:val="22"/>
        </w:rPr>
        <w:t xml:space="preserve">4. Григораш О.В. Однофазно-трёхфазный трансформатор с вращающимся магнитным полем. / О. В. Григораш, Е. А. Власенко, А. Е. Усков, А. В. Бутенко, А. О. Григораш // патент РФ 2335028, </w:t>
      </w:r>
      <w:r w:rsidRPr="00323EF3">
        <w:rPr>
          <w:sz w:val="24"/>
          <w:szCs w:val="24"/>
        </w:rPr>
        <w:t xml:space="preserve">опубл. </w:t>
      </w:r>
      <w:r w:rsidRPr="00323EF3">
        <w:rPr>
          <w:sz w:val="24"/>
          <w:szCs w:val="24"/>
          <w:lang w:val="en-US"/>
        </w:rPr>
        <w:t xml:space="preserve">27.09.2008; </w:t>
      </w:r>
      <w:r w:rsidRPr="00323EF3">
        <w:rPr>
          <w:sz w:val="24"/>
          <w:szCs w:val="24"/>
        </w:rPr>
        <w:t>бюл</w:t>
      </w:r>
      <w:r w:rsidRPr="00323EF3">
        <w:rPr>
          <w:sz w:val="24"/>
          <w:szCs w:val="24"/>
          <w:lang w:val="en-US"/>
        </w:rPr>
        <w:t xml:space="preserve">. № 27.– 7 </w:t>
      </w:r>
      <w:r w:rsidRPr="00323EF3">
        <w:rPr>
          <w:sz w:val="24"/>
          <w:szCs w:val="24"/>
        </w:rPr>
        <w:t>с</w:t>
      </w:r>
      <w:r w:rsidRPr="00323EF3">
        <w:rPr>
          <w:sz w:val="24"/>
          <w:szCs w:val="24"/>
          <w:lang w:val="en-US"/>
        </w:rPr>
        <w:t>.</w:t>
      </w:r>
    </w:p>
    <w:p w:rsidR="00D15DEA" w:rsidRPr="008D33CB" w:rsidRDefault="00D15DEA" w:rsidP="00D15DEA">
      <w:pPr>
        <w:ind w:firstLine="426"/>
        <w:jc w:val="both"/>
        <w:rPr>
          <w:sz w:val="22"/>
          <w:szCs w:val="22"/>
          <w:lang w:val="en-US"/>
        </w:rPr>
      </w:pPr>
    </w:p>
    <w:p w:rsidR="000F594F" w:rsidRPr="00323EF3" w:rsidRDefault="000F594F" w:rsidP="000F594F">
      <w:pPr>
        <w:tabs>
          <w:tab w:val="left" w:pos="5040"/>
        </w:tabs>
        <w:rPr>
          <w:sz w:val="22"/>
          <w:szCs w:val="22"/>
          <w:lang w:val="en-US"/>
        </w:rPr>
      </w:pPr>
      <w:r w:rsidRPr="00323EF3">
        <w:rPr>
          <w:sz w:val="22"/>
          <w:szCs w:val="22"/>
        </w:rPr>
        <w:lastRenderedPageBreak/>
        <w:t>УДК</w:t>
      </w:r>
      <w:r w:rsidRPr="00323EF3">
        <w:rPr>
          <w:sz w:val="22"/>
          <w:szCs w:val="22"/>
          <w:lang w:val="en-US"/>
        </w:rPr>
        <w:t xml:space="preserve"> 620 (075.8)</w:t>
      </w:r>
    </w:p>
    <w:p w:rsidR="000F594F" w:rsidRPr="00323EF3" w:rsidRDefault="000F594F" w:rsidP="000F594F">
      <w:pPr>
        <w:tabs>
          <w:tab w:val="left" w:pos="5040"/>
        </w:tabs>
        <w:rPr>
          <w:sz w:val="22"/>
          <w:szCs w:val="22"/>
          <w:lang w:val="en-US"/>
        </w:rPr>
      </w:pPr>
    </w:p>
    <w:p w:rsidR="000F594F" w:rsidRPr="00323EF3" w:rsidRDefault="000F594F" w:rsidP="000F594F">
      <w:pPr>
        <w:tabs>
          <w:tab w:val="left" w:pos="5040"/>
        </w:tabs>
        <w:jc w:val="center"/>
        <w:rPr>
          <w:b/>
          <w:sz w:val="24"/>
          <w:szCs w:val="24"/>
          <w:lang w:val="en-US"/>
        </w:rPr>
      </w:pPr>
      <w:r w:rsidRPr="00323EF3">
        <w:rPr>
          <w:b/>
          <w:sz w:val="24"/>
          <w:szCs w:val="24"/>
        </w:rPr>
        <w:t>Перспективы</w:t>
      </w:r>
      <w:r w:rsidRPr="00323EF3">
        <w:rPr>
          <w:b/>
          <w:sz w:val="24"/>
          <w:szCs w:val="24"/>
          <w:lang w:val="en-US"/>
        </w:rPr>
        <w:t xml:space="preserve"> </w:t>
      </w:r>
      <w:r w:rsidRPr="00323EF3">
        <w:rPr>
          <w:b/>
          <w:sz w:val="24"/>
          <w:szCs w:val="24"/>
        </w:rPr>
        <w:t>развития</w:t>
      </w:r>
      <w:r w:rsidRPr="00323EF3">
        <w:rPr>
          <w:b/>
          <w:sz w:val="24"/>
          <w:szCs w:val="24"/>
          <w:lang w:val="en-US"/>
        </w:rPr>
        <w:t xml:space="preserve"> </w:t>
      </w:r>
      <w:r w:rsidRPr="00323EF3">
        <w:rPr>
          <w:b/>
          <w:sz w:val="24"/>
          <w:szCs w:val="24"/>
        </w:rPr>
        <w:t>возобновляемой</w:t>
      </w:r>
      <w:r w:rsidRPr="00323EF3">
        <w:rPr>
          <w:b/>
          <w:sz w:val="24"/>
          <w:szCs w:val="24"/>
          <w:lang w:val="en-US"/>
        </w:rPr>
        <w:t xml:space="preserve"> </w:t>
      </w:r>
      <w:r w:rsidRPr="00323EF3">
        <w:rPr>
          <w:b/>
          <w:sz w:val="24"/>
          <w:szCs w:val="24"/>
        </w:rPr>
        <w:t>энергетики</w:t>
      </w:r>
      <w:r w:rsidRPr="00323EF3">
        <w:rPr>
          <w:b/>
          <w:sz w:val="24"/>
          <w:szCs w:val="24"/>
          <w:lang w:val="en-US"/>
        </w:rPr>
        <w:t xml:space="preserve"> </w:t>
      </w:r>
    </w:p>
    <w:p w:rsidR="000F594F" w:rsidRPr="00323EF3" w:rsidRDefault="000F594F" w:rsidP="000F594F">
      <w:pPr>
        <w:tabs>
          <w:tab w:val="left" w:pos="5040"/>
        </w:tabs>
        <w:jc w:val="center"/>
        <w:rPr>
          <w:b/>
          <w:sz w:val="24"/>
          <w:szCs w:val="24"/>
          <w:lang w:val="en-US"/>
        </w:rPr>
      </w:pPr>
      <w:r w:rsidRPr="00323EF3">
        <w:rPr>
          <w:b/>
          <w:sz w:val="24"/>
          <w:szCs w:val="24"/>
        </w:rPr>
        <w:t>в</w:t>
      </w:r>
      <w:r w:rsidRPr="00323EF3">
        <w:rPr>
          <w:b/>
          <w:sz w:val="24"/>
          <w:szCs w:val="24"/>
          <w:lang w:val="en-US"/>
        </w:rPr>
        <w:t xml:space="preserve"> </w:t>
      </w:r>
      <w:r w:rsidRPr="00323EF3">
        <w:rPr>
          <w:b/>
          <w:sz w:val="24"/>
          <w:szCs w:val="24"/>
        </w:rPr>
        <w:t>России</w:t>
      </w:r>
    </w:p>
    <w:p w:rsidR="000F594F" w:rsidRPr="00323EF3" w:rsidRDefault="000F594F" w:rsidP="000F594F">
      <w:pPr>
        <w:tabs>
          <w:tab w:val="left" w:pos="5040"/>
        </w:tabs>
        <w:jc w:val="right"/>
        <w:rPr>
          <w:b/>
          <w:sz w:val="24"/>
          <w:szCs w:val="24"/>
          <w:lang w:val="en-US"/>
        </w:rPr>
      </w:pPr>
      <w:r w:rsidRPr="00323EF3">
        <w:rPr>
          <w:b/>
          <w:sz w:val="24"/>
          <w:szCs w:val="24"/>
          <w:lang w:val="en-US"/>
        </w:rPr>
        <w:t>Prospects for the development of renewable energy in Russia</w:t>
      </w:r>
    </w:p>
    <w:p w:rsidR="000F594F" w:rsidRPr="00323EF3" w:rsidRDefault="000F594F" w:rsidP="000F594F">
      <w:pPr>
        <w:tabs>
          <w:tab w:val="left" w:pos="5040"/>
        </w:tabs>
        <w:jc w:val="right"/>
        <w:rPr>
          <w:sz w:val="22"/>
          <w:szCs w:val="22"/>
          <w:lang w:val="en-US"/>
        </w:rPr>
      </w:pPr>
    </w:p>
    <w:p w:rsidR="000F594F" w:rsidRPr="00323EF3" w:rsidRDefault="000F594F" w:rsidP="000F594F">
      <w:pPr>
        <w:tabs>
          <w:tab w:val="left" w:pos="5040"/>
        </w:tabs>
        <w:jc w:val="right"/>
        <w:rPr>
          <w:sz w:val="22"/>
          <w:szCs w:val="22"/>
        </w:rPr>
      </w:pPr>
      <w:r w:rsidRPr="00323EF3">
        <w:rPr>
          <w:sz w:val="22"/>
          <w:szCs w:val="22"/>
        </w:rPr>
        <w:t>Пациров И. В.,</w:t>
      </w:r>
    </w:p>
    <w:p w:rsidR="000F594F" w:rsidRPr="00323EF3" w:rsidRDefault="000F594F" w:rsidP="000F594F">
      <w:pPr>
        <w:tabs>
          <w:tab w:val="left" w:pos="5040"/>
        </w:tabs>
        <w:jc w:val="right"/>
        <w:rPr>
          <w:sz w:val="22"/>
          <w:szCs w:val="22"/>
        </w:rPr>
      </w:pPr>
      <w:r w:rsidRPr="00323EF3">
        <w:rPr>
          <w:sz w:val="22"/>
          <w:szCs w:val="22"/>
        </w:rPr>
        <w:t>студент 2-го курса факультета энергетики</w:t>
      </w:r>
    </w:p>
    <w:p w:rsidR="000F594F" w:rsidRPr="00323EF3" w:rsidRDefault="000F594F" w:rsidP="000F594F">
      <w:pPr>
        <w:tabs>
          <w:tab w:val="left" w:pos="5040"/>
        </w:tabs>
        <w:jc w:val="right"/>
        <w:rPr>
          <w:sz w:val="22"/>
          <w:szCs w:val="22"/>
        </w:rPr>
      </w:pPr>
      <w:r w:rsidRPr="00323EF3">
        <w:rPr>
          <w:sz w:val="22"/>
          <w:szCs w:val="22"/>
        </w:rPr>
        <w:t>Квитко А. В.,</w:t>
      </w:r>
    </w:p>
    <w:p w:rsidR="000F594F" w:rsidRPr="00323EF3" w:rsidRDefault="000F594F" w:rsidP="000F594F">
      <w:pPr>
        <w:tabs>
          <w:tab w:val="left" w:pos="5040"/>
        </w:tabs>
        <w:jc w:val="right"/>
        <w:rPr>
          <w:sz w:val="22"/>
          <w:szCs w:val="22"/>
        </w:rPr>
      </w:pPr>
      <w:r w:rsidRPr="00323EF3">
        <w:rPr>
          <w:sz w:val="22"/>
          <w:szCs w:val="22"/>
        </w:rPr>
        <w:t xml:space="preserve">старший преподаватель кафедры электротехники, </w:t>
      </w:r>
    </w:p>
    <w:p w:rsidR="000F594F" w:rsidRPr="00323EF3" w:rsidRDefault="000F594F" w:rsidP="000F594F">
      <w:pPr>
        <w:tabs>
          <w:tab w:val="left" w:pos="5040"/>
        </w:tabs>
        <w:jc w:val="right"/>
        <w:rPr>
          <w:sz w:val="22"/>
          <w:szCs w:val="22"/>
        </w:rPr>
      </w:pPr>
      <w:r w:rsidRPr="00323EF3">
        <w:rPr>
          <w:sz w:val="22"/>
          <w:szCs w:val="22"/>
        </w:rPr>
        <w:t>теплотехники и возобновляемых источников энергии</w:t>
      </w:r>
    </w:p>
    <w:p w:rsidR="000F594F" w:rsidRPr="00323EF3" w:rsidRDefault="000F594F" w:rsidP="000F594F">
      <w:pPr>
        <w:tabs>
          <w:tab w:val="left" w:pos="5040"/>
        </w:tabs>
        <w:jc w:val="right"/>
        <w:rPr>
          <w:sz w:val="22"/>
          <w:szCs w:val="22"/>
        </w:rPr>
      </w:pPr>
      <w:r w:rsidRPr="00323EF3">
        <w:rPr>
          <w:sz w:val="22"/>
          <w:szCs w:val="22"/>
        </w:rPr>
        <w:t xml:space="preserve">Кубанский государственный аграрный </w:t>
      </w:r>
    </w:p>
    <w:p w:rsidR="000F594F" w:rsidRPr="00323EF3" w:rsidRDefault="000F594F" w:rsidP="000F594F">
      <w:pPr>
        <w:tabs>
          <w:tab w:val="left" w:pos="5040"/>
        </w:tabs>
        <w:jc w:val="right"/>
        <w:rPr>
          <w:sz w:val="22"/>
          <w:szCs w:val="22"/>
        </w:rPr>
      </w:pPr>
      <w:r w:rsidRPr="00323EF3">
        <w:rPr>
          <w:sz w:val="22"/>
          <w:szCs w:val="22"/>
        </w:rPr>
        <w:t>университет имени И. Т. Трубилина</w:t>
      </w:r>
    </w:p>
    <w:p w:rsidR="000F594F" w:rsidRPr="00323EF3" w:rsidRDefault="000F594F" w:rsidP="000F594F">
      <w:pPr>
        <w:tabs>
          <w:tab w:val="left" w:pos="5040"/>
        </w:tabs>
        <w:jc w:val="right"/>
        <w:rPr>
          <w:sz w:val="22"/>
          <w:szCs w:val="22"/>
        </w:rPr>
      </w:pPr>
    </w:p>
    <w:p w:rsidR="000F594F" w:rsidRPr="00323EF3" w:rsidRDefault="000F594F" w:rsidP="000F594F">
      <w:pPr>
        <w:tabs>
          <w:tab w:val="left" w:pos="5040"/>
        </w:tabs>
        <w:ind w:firstLine="426"/>
        <w:jc w:val="both"/>
        <w:rPr>
          <w:sz w:val="22"/>
          <w:szCs w:val="22"/>
        </w:rPr>
      </w:pPr>
      <w:r w:rsidRPr="00323EF3">
        <w:rPr>
          <w:sz w:val="22"/>
          <w:szCs w:val="22"/>
        </w:rPr>
        <w:t>АННОТАЦИЯ. Раскрываются перспективы малой гидроэне</w:t>
      </w:r>
      <w:r w:rsidRPr="00323EF3">
        <w:rPr>
          <w:sz w:val="22"/>
          <w:szCs w:val="22"/>
        </w:rPr>
        <w:t>р</w:t>
      </w:r>
      <w:r w:rsidRPr="00323EF3">
        <w:rPr>
          <w:sz w:val="22"/>
          <w:szCs w:val="22"/>
        </w:rPr>
        <w:t>гетики, солнечной и ветровой энергетики, а также рассмотрены особенности проектирования систем с их использованием.</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Annotation. </w:t>
      </w:r>
      <w:r w:rsidRPr="00323EF3">
        <w:rPr>
          <w:sz w:val="22"/>
          <w:szCs w:val="22"/>
          <w:lang w:val="en-US"/>
        </w:rPr>
        <w:t>The prospects of small hydropower, solar and wind energy are revealed, and also the features of designing systems with their use are considered.</w:t>
      </w:r>
    </w:p>
    <w:p w:rsidR="000F594F" w:rsidRPr="00323EF3" w:rsidRDefault="000F594F" w:rsidP="000F594F">
      <w:pPr>
        <w:tabs>
          <w:tab w:val="left" w:pos="5040"/>
        </w:tabs>
        <w:ind w:firstLine="426"/>
        <w:jc w:val="both"/>
        <w:rPr>
          <w:sz w:val="22"/>
          <w:szCs w:val="22"/>
        </w:rPr>
      </w:pPr>
      <w:r w:rsidRPr="00323EF3">
        <w:rPr>
          <w:sz w:val="22"/>
          <w:szCs w:val="22"/>
        </w:rPr>
        <w:t>КЛЮЧЕВЫЕ СЛОВА: возобновляемые источники энергии,</w:t>
      </w:r>
      <w:r w:rsidRPr="00323EF3">
        <w:rPr>
          <w:caps/>
          <w:sz w:val="22"/>
          <w:szCs w:val="22"/>
        </w:rPr>
        <w:t xml:space="preserve"> </w:t>
      </w:r>
      <w:r w:rsidRPr="00323EF3">
        <w:rPr>
          <w:sz w:val="22"/>
          <w:szCs w:val="22"/>
        </w:rPr>
        <w:t>малая гидроэнергетика, солнечная энергетика, ветровая энергетика.</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key words: </w:t>
      </w:r>
      <w:r w:rsidRPr="00323EF3">
        <w:rPr>
          <w:sz w:val="22"/>
          <w:szCs w:val="22"/>
          <w:lang w:val="en-US"/>
        </w:rPr>
        <w:t>renewable energy sources, small hydropower, solar energy, wind power.</w:t>
      </w:r>
    </w:p>
    <w:p w:rsidR="000F594F" w:rsidRPr="00323EF3" w:rsidRDefault="000F594F" w:rsidP="000F594F">
      <w:pPr>
        <w:tabs>
          <w:tab w:val="left" w:pos="5040"/>
        </w:tabs>
        <w:ind w:firstLine="426"/>
        <w:jc w:val="both"/>
        <w:rPr>
          <w:sz w:val="22"/>
          <w:szCs w:val="22"/>
          <w:lang w:val="en-US"/>
        </w:rPr>
      </w:pPr>
    </w:p>
    <w:p w:rsidR="000F594F" w:rsidRPr="00323EF3" w:rsidRDefault="000F594F" w:rsidP="000F594F">
      <w:pPr>
        <w:ind w:firstLine="426"/>
        <w:jc w:val="both"/>
        <w:rPr>
          <w:sz w:val="22"/>
          <w:szCs w:val="22"/>
        </w:rPr>
      </w:pPr>
      <w:r w:rsidRPr="00323EF3">
        <w:rPr>
          <w:sz w:val="22"/>
          <w:szCs w:val="22"/>
        </w:rPr>
        <w:t>Запасов возобновляемых источников энергии (ВИЭ) на Земле достаточно для удовлетворения всех нужд человечества сегодня и в далеком будущем. При этом даже не нужно использовать традиц</w:t>
      </w:r>
      <w:r w:rsidRPr="00323EF3">
        <w:rPr>
          <w:sz w:val="22"/>
          <w:szCs w:val="22"/>
        </w:rPr>
        <w:t>и</w:t>
      </w:r>
      <w:r w:rsidRPr="00323EF3">
        <w:rPr>
          <w:sz w:val="22"/>
          <w:szCs w:val="22"/>
        </w:rPr>
        <w:t xml:space="preserve">онное органическое топливо [1, 2]. </w:t>
      </w:r>
    </w:p>
    <w:p w:rsidR="000F594F" w:rsidRPr="00323EF3" w:rsidRDefault="000F594F" w:rsidP="000F594F">
      <w:pPr>
        <w:ind w:firstLine="426"/>
        <w:jc w:val="both"/>
        <w:rPr>
          <w:sz w:val="22"/>
          <w:szCs w:val="22"/>
        </w:rPr>
      </w:pPr>
      <w:r w:rsidRPr="00323EF3">
        <w:rPr>
          <w:i/>
          <w:sz w:val="22"/>
          <w:szCs w:val="22"/>
        </w:rPr>
        <w:t>Малая гидроэнергетики</w:t>
      </w:r>
      <w:r w:rsidRPr="00323EF3">
        <w:rPr>
          <w:sz w:val="22"/>
          <w:szCs w:val="22"/>
        </w:rPr>
        <w:t xml:space="preserve"> за последние десятилетия заняла устойчивое положение в качестве важной составляющей электр</w:t>
      </w:r>
      <w:r w:rsidRPr="00323EF3">
        <w:rPr>
          <w:sz w:val="22"/>
          <w:szCs w:val="22"/>
        </w:rPr>
        <w:t>о</w:t>
      </w:r>
      <w:r w:rsidRPr="00323EF3">
        <w:rPr>
          <w:sz w:val="22"/>
          <w:szCs w:val="22"/>
        </w:rPr>
        <w:t>энергетики многих стран мира. Достоинством малых ГЭС (мощн</w:t>
      </w:r>
      <w:r w:rsidRPr="00323EF3">
        <w:rPr>
          <w:sz w:val="22"/>
          <w:szCs w:val="22"/>
        </w:rPr>
        <w:t>о</w:t>
      </w:r>
      <w:r w:rsidRPr="00323EF3">
        <w:rPr>
          <w:sz w:val="22"/>
          <w:szCs w:val="22"/>
        </w:rPr>
        <w:t>стью до 100 кВт) является низкая абсолютная капиталоемкость, к</w:t>
      </w:r>
      <w:r w:rsidRPr="00323EF3">
        <w:rPr>
          <w:sz w:val="22"/>
          <w:szCs w:val="22"/>
        </w:rPr>
        <w:t>о</w:t>
      </w:r>
      <w:r w:rsidRPr="00323EF3">
        <w:rPr>
          <w:sz w:val="22"/>
          <w:szCs w:val="22"/>
        </w:rPr>
        <w:t>роткий время окупаемости, как правило, не превышающее 3–5 лет. Они могут сооружаться практически на любых водных объектах, имеющих даже не большой гидроэнергетический потенциал, кот</w:t>
      </w:r>
      <w:r w:rsidRPr="00323EF3">
        <w:rPr>
          <w:sz w:val="22"/>
          <w:szCs w:val="22"/>
        </w:rPr>
        <w:t>о</w:t>
      </w:r>
      <w:r w:rsidRPr="00323EF3">
        <w:rPr>
          <w:sz w:val="22"/>
          <w:szCs w:val="22"/>
        </w:rPr>
        <w:t>рый определяется напором и расходом воды.</w:t>
      </w:r>
    </w:p>
    <w:p w:rsidR="000F594F" w:rsidRPr="00323EF3" w:rsidRDefault="000F594F" w:rsidP="000F594F">
      <w:pPr>
        <w:ind w:firstLine="426"/>
        <w:jc w:val="both"/>
        <w:rPr>
          <w:sz w:val="22"/>
          <w:szCs w:val="22"/>
        </w:rPr>
      </w:pPr>
      <w:r w:rsidRPr="00323EF3">
        <w:rPr>
          <w:sz w:val="22"/>
          <w:szCs w:val="22"/>
        </w:rPr>
        <w:lastRenderedPageBreak/>
        <w:t xml:space="preserve">По данным технической литературы в России к 2020 г. должно быть введено 0,75 ГВт малых ГЭС [2]. В нашей стране более 2,5 млн малых рек. </w:t>
      </w:r>
    </w:p>
    <w:p w:rsidR="000F594F" w:rsidRPr="00323EF3" w:rsidRDefault="000F594F" w:rsidP="000F594F">
      <w:pPr>
        <w:ind w:firstLine="426"/>
        <w:jc w:val="both"/>
        <w:rPr>
          <w:sz w:val="22"/>
          <w:szCs w:val="22"/>
        </w:rPr>
      </w:pPr>
      <w:r w:rsidRPr="00323EF3">
        <w:rPr>
          <w:sz w:val="22"/>
          <w:szCs w:val="22"/>
        </w:rPr>
        <w:t>В России накоплен большой опыт использования гидроэнерг</w:t>
      </w:r>
      <w:r w:rsidRPr="00323EF3">
        <w:rPr>
          <w:sz w:val="22"/>
          <w:szCs w:val="22"/>
        </w:rPr>
        <w:t>е</w:t>
      </w:r>
      <w:r w:rsidRPr="00323EF3">
        <w:rPr>
          <w:sz w:val="22"/>
          <w:szCs w:val="22"/>
        </w:rPr>
        <w:t>тических ресурсов малых рек. Развитие частного сектора эконом</w:t>
      </w:r>
      <w:r w:rsidRPr="00323EF3">
        <w:rPr>
          <w:sz w:val="22"/>
          <w:szCs w:val="22"/>
        </w:rPr>
        <w:t>и</w:t>
      </w:r>
      <w:r w:rsidRPr="00323EF3">
        <w:rPr>
          <w:sz w:val="22"/>
          <w:szCs w:val="22"/>
        </w:rPr>
        <w:t>ки, фермерских хозяйств и небольших предприятий определяет необходимость их автономного энергообеспечения. На базе малых ГЭС могут создаваться комбинированные энергетические системы, так как их водохранилища способны аккумулировать энергию со</w:t>
      </w:r>
      <w:r w:rsidRPr="00323EF3">
        <w:rPr>
          <w:sz w:val="22"/>
          <w:szCs w:val="22"/>
        </w:rPr>
        <w:t>л</w:t>
      </w:r>
      <w:r w:rsidRPr="00323EF3">
        <w:rPr>
          <w:sz w:val="22"/>
          <w:szCs w:val="22"/>
        </w:rPr>
        <w:t>нечных и ветровых электростанций, характеризующихся непост</w:t>
      </w:r>
      <w:r w:rsidRPr="00323EF3">
        <w:rPr>
          <w:sz w:val="22"/>
          <w:szCs w:val="22"/>
        </w:rPr>
        <w:t>о</w:t>
      </w:r>
      <w:r w:rsidRPr="00323EF3">
        <w:rPr>
          <w:sz w:val="22"/>
          <w:szCs w:val="22"/>
        </w:rPr>
        <w:t xml:space="preserve">янным режимом функционирования. </w:t>
      </w:r>
    </w:p>
    <w:p w:rsidR="000F594F" w:rsidRPr="00323EF3" w:rsidRDefault="000F594F" w:rsidP="000F594F">
      <w:pPr>
        <w:ind w:firstLine="426"/>
        <w:jc w:val="both"/>
        <w:rPr>
          <w:sz w:val="22"/>
          <w:szCs w:val="22"/>
        </w:rPr>
      </w:pPr>
      <w:r w:rsidRPr="00323EF3">
        <w:rPr>
          <w:i/>
          <w:sz w:val="22"/>
          <w:szCs w:val="22"/>
        </w:rPr>
        <w:t>Развитие ветроэнергетики.</w:t>
      </w:r>
      <w:r w:rsidRPr="00323EF3">
        <w:rPr>
          <w:sz w:val="22"/>
          <w:szCs w:val="22"/>
        </w:rPr>
        <w:t xml:space="preserve"> В 2015 году суммарная устано</w:t>
      </w:r>
      <w:r w:rsidRPr="00323EF3">
        <w:rPr>
          <w:sz w:val="22"/>
          <w:szCs w:val="22"/>
        </w:rPr>
        <w:t>в</w:t>
      </w:r>
      <w:r w:rsidRPr="00323EF3">
        <w:rPr>
          <w:sz w:val="22"/>
          <w:szCs w:val="22"/>
        </w:rPr>
        <w:t>ленная мощность ветроэнергетических установок (ВЭУ) составила 370 ГВт. Промышленностью разработана широкая номенклатура ветроагрегатов с высокими технико-экономическими показателями. За 25 последних лет единичная мощность серийных ВЭУ возросла с 30 до 6000 кВт, а диаметр ветроколеса увеличился с 15 до 115 ме</w:t>
      </w:r>
      <w:r w:rsidRPr="00323EF3">
        <w:rPr>
          <w:sz w:val="22"/>
          <w:szCs w:val="22"/>
        </w:rPr>
        <w:t>т</w:t>
      </w:r>
      <w:r w:rsidRPr="00323EF3">
        <w:rPr>
          <w:sz w:val="22"/>
          <w:szCs w:val="22"/>
        </w:rPr>
        <w:t>ров (в 8 раз). Годовое производство энергии одним агрегатом во</w:t>
      </w:r>
      <w:r w:rsidRPr="00323EF3">
        <w:rPr>
          <w:sz w:val="22"/>
          <w:szCs w:val="22"/>
        </w:rPr>
        <w:t>з</w:t>
      </w:r>
      <w:r w:rsidRPr="00323EF3">
        <w:rPr>
          <w:sz w:val="22"/>
          <w:szCs w:val="22"/>
        </w:rPr>
        <w:t>росло более чем в 500 раз. Согласно госпрограмме «Энергоэффе</w:t>
      </w:r>
      <w:r w:rsidRPr="00323EF3">
        <w:rPr>
          <w:sz w:val="22"/>
          <w:szCs w:val="22"/>
        </w:rPr>
        <w:t>к</w:t>
      </w:r>
      <w:r w:rsidRPr="00323EF3">
        <w:rPr>
          <w:sz w:val="22"/>
          <w:szCs w:val="22"/>
        </w:rPr>
        <w:t xml:space="preserve">тивность и развитие энергетики»  к 2020 году должно быть введено 3,6 ГВт ветроэнергетических станций (ВЭС). </w:t>
      </w:r>
    </w:p>
    <w:p w:rsidR="000F594F" w:rsidRPr="00323EF3" w:rsidRDefault="000F594F" w:rsidP="000F594F">
      <w:pPr>
        <w:ind w:firstLine="426"/>
        <w:jc w:val="both"/>
        <w:rPr>
          <w:sz w:val="22"/>
          <w:szCs w:val="22"/>
        </w:rPr>
      </w:pPr>
      <w:r w:rsidRPr="00323EF3">
        <w:rPr>
          <w:i/>
          <w:sz w:val="22"/>
          <w:szCs w:val="22"/>
        </w:rPr>
        <w:t>Солнечная энергетика</w:t>
      </w:r>
      <w:r w:rsidRPr="00323EF3">
        <w:rPr>
          <w:sz w:val="22"/>
          <w:szCs w:val="22"/>
        </w:rPr>
        <w:t xml:space="preserve"> демонстрирует значительные темпы прироста мощности. За последних 15 лет установленная мощность солнечных фотоэлектрических станций (СФЭС) в мире выросла в несколько раз и достигла более 200 ГВт. </w:t>
      </w:r>
    </w:p>
    <w:p w:rsidR="000F594F" w:rsidRPr="00323EF3" w:rsidRDefault="000F594F" w:rsidP="000F594F">
      <w:pPr>
        <w:ind w:firstLine="426"/>
        <w:jc w:val="both"/>
        <w:rPr>
          <w:sz w:val="22"/>
          <w:szCs w:val="22"/>
        </w:rPr>
      </w:pPr>
      <w:r w:rsidRPr="00323EF3">
        <w:rPr>
          <w:sz w:val="22"/>
          <w:szCs w:val="22"/>
        </w:rPr>
        <w:t>В России установленная мощность солнечных электростанций с концентраторами в 2015 г составила 4,4 ГВт. В нашей стране с</w:t>
      </w:r>
      <w:r w:rsidRPr="00323EF3">
        <w:rPr>
          <w:sz w:val="22"/>
          <w:szCs w:val="22"/>
        </w:rPr>
        <w:t>о</w:t>
      </w:r>
      <w:r w:rsidRPr="00323EF3">
        <w:rPr>
          <w:sz w:val="22"/>
          <w:szCs w:val="22"/>
        </w:rPr>
        <w:t>гласно госпрограмме к 2020 году должно быть введено 1,5 ГВт  СФЭС. Кроме того, общий технический потенциал солнечной эне</w:t>
      </w:r>
      <w:r w:rsidRPr="00323EF3">
        <w:rPr>
          <w:sz w:val="22"/>
          <w:szCs w:val="22"/>
        </w:rPr>
        <w:t>р</w:t>
      </w:r>
      <w:r w:rsidRPr="00323EF3">
        <w:rPr>
          <w:sz w:val="22"/>
          <w:szCs w:val="22"/>
        </w:rPr>
        <w:t>гетикии в России составляет около 25 млрд т у.т. Практически п</w:t>
      </w:r>
      <w:r w:rsidRPr="00323EF3">
        <w:rPr>
          <w:sz w:val="22"/>
          <w:szCs w:val="22"/>
        </w:rPr>
        <w:t>о</w:t>
      </w:r>
      <w:r w:rsidRPr="00323EF3">
        <w:rPr>
          <w:sz w:val="22"/>
          <w:szCs w:val="22"/>
        </w:rPr>
        <w:t>чти в 22 раза превышает объем внутреннего потребления энергии в настоящее время. Однако экономический потенциал солнечной энергетики составляет примерно 320 млн т у.т., что составляет ок</w:t>
      </w:r>
      <w:r w:rsidRPr="00323EF3">
        <w:rPr>
          <w:sz w:val="22"/>
          <w:szCs w:val="22"/>
        </w:rPr>
        <w:t>о</w:t>
      </w:r>
      <w:r w:rsidRPr="00323EF3">
        <w:rPr>
          <w:sz w:val="22"/>
          <w:szCs w:val="22"/>
        </w:rPr>
        <w:t xml:space="preserve">ло 30% от внутреннего потребления. </w:t>
      </w:r>
    </w:p>
    <w:p w:rsidR="000F594F" w:rsidRPr="00323EF3" w:rsidRDefault="000F594F" w:rsidP="000F594F">
      <w:pPr>
        <w:ind w:firstLine="426"/>
        <w:jc w:val="both"/>
        <w:rPr>
          <w:sz w:val="22"/>
          <w:szCs w:val="22"/>
        </w:rPr>
      </w:pPr>
      <w:r w:rsidRPr="00323EF3">
        <w:rPr>
          <w:sz w:val="22"/>
          <w:szCs w:val="22"/>
        </w:rPr>
        <w:t xml:space="preserve">Анализ технической и научной литературы показал, что </w:t>
      </w:r>
    </w:p>
    <w:p w:rsidR="000F594F" w:rsidRPr="00323EF3" w:rsidRDefault="000F594F" w:rsidP="000F594F">
      <w:pPr>
        <w:ind w:firstLine="426"/>
        <w:jc w:val="both"/>
        <w:rPr>
          <w:sz w:val="22"/>
          <w:szCs w:val="22"/>
        </w:rPr>
      </w:pPr>
      <w:r w:rsidRPr="00323EF3">
        <w:rPr>
          <w:sz w:val="22"/>
          <w:szCs w:val="22"/>
        </w:rPr>
        <w:t xml:space="preserve">– малая гидроэнергетика имеет технический потенциал – 372 ТВт ч/г, экономический потенциал – 205 ТВт·ч/г); </w:t>
      </w:r>
    </w:p>
    <w:p w:rsidR="000F594F" w:rsidRPr="00323EF3" w:rsidRDefault="000F594F" w:rsidP="000F594F">
      <w:pPr>
        <w:ind w:firstLine="426"/>
        <w:jc w:val="both"/>
        <w:rPr>
          <w:sz w:val="22"/>
          <w:szCs w:val="22"/>
        </w:rPr>
      </w:pPr>
      <w:r w:rsidRPr="00323EF3">
        <w:rPr>
          <w:sz w:val="22"/>
          <w:szCs w:val="22"/>
        </w:rPr>
        <w:lastRenderedPageBreak/>
        <w:t xml:space="preserve">– ветровая энергетика – соответственно, 6517 ТВт·ч/год и 33 ТВт· ч/г; </w:t>
      </w:r>
    </w:p>
    <w:p w:rsidR="000F594F" w:rsidRPr="00323EF3" w:rsidRDefault="000F594F" w:rsidP="000F594F">
      <w:pPr>
        <w:ind w:firstLine="426"/>
        <w:jc w:val="both"/>
        <w:rPr>
          <w:sz w:val="22"/>
          <w:szCs w:val="22"/>
        </w:rPr>
      </w:pPr>
      <w:r w:rsidRPr="00323EF3">
        <w:rPr>
          <w:sz w:val="22"/>
          <w:szCs w:val="22"/>
        </w:rPr>
        <w:t xml:space="preserve">– солнечная энергетика – соответственно, 28459 ТВт·ч/г и 8,8 ТВт·ч/г). </w:t>
      </w:r>
    </w:p>
    <w:p w:rsidR="000F594F" w:rsidRPr="00323EF3" w:rsidRDefault="000F594F" w:rsidP="000F594F">
      <w:pPr>
        <w:ind w:firstLine="426"/>
        <w:jc w:val="both"/>
        <w:rPr>
          <w:sz w:val="22"/>
          <w:szCs w:val="22"/>
        </w:rPr>
      </w:pPr>
      <w:r w:rsidRPr="00323EF3">
        <w:rPr>
          <w:sz w:val="22"/>
          <w:szCs w:val="22"/>
        </w:rPr>
        <w:t>Перспективы развития возобновляемой энергетики связаны с разработкой эффективных систем энергоснабжения. Такие системы должны содержать набор комбинированных источников электр</w:t>
      </w:r>
      <w:r w:rsidRPr="00323EF3">
        <w:rPr>
          <w:sz w:val="22"/>
          <w:szCs w:val="22"/>
        </w:rPr>
        <w:t>о</w:t>
      </w:r>
      <w:r w:rsidRPr="00323EF3">
        <w:rPr>
          <w:sz w:val="22"/>
          <w:szCs w:val="22"/>
        </w:rPr>
        <w:t>энергии как традиционных, включая автономные источники, так  и ВИЭ. Технико-экономические показатели комбинированных эне</w:t>
      </w:r>
      <w:r w:rsidRPr="00323EF3">
        <w:rPr>
          <w:sz w:val="22"/>
          <w:szCs w:val="22"/>
        </w:rPr>
        <w:t>р</w:t>
      </w:r>
      <w:r w:rsidRPr="00323EF3">
        <w:rPr>
          <w:sz w:val="22"/>
          <w:szCs w:val="22"/>
        </w:rPr>
        <w:t>гетических систем повысятся, когда на этапе предпроектных работ будет установлено какая доля потребления энергии будет прих</w:t>
      </w:r>
      <w:r w:rsidRPr="00323EF3">
        <w:rPr>
          <w:sz w:val="22"/>
          <w:szCs w:val="22"/>
        </w:rPr>
        <w:t>о</w:t>
      </w:r>
      <w:r w:rsidRPr="00323EF3">
        <w:rPr>
          <w:sz w:val="22"/>
          <w:szCs w:val="22"/>
        </w:rPr>
        <w:t>диться на тепловую и какая на электрическую энергию [3, 4].</w:t>
      </w:r>
    </w:p>
    <w:p w:rsidR="000F594F" w:rsidRPr="00323EF3" w:rsidRDefault="000F594F" w:rsidP="000F594F">
      <w:pPr>
        <w:ind w:firstLine="426"/>
        <w:jc w:val="both"/>
        <w:rPr>
          <w:sz w:val="22"/>
          <w:szCs w:val="22"/>
        </w:rPr>
      </w:pPr>
      <w:r w:rsidRPr="00323EF3">
        <w:rPr>
          <w:sz w:val="22"/>
          <w:szCs w:val="22"/>
        </w:rPr>
        <w:t>Таким образом, одним из важнейших вопросов создания э</w:t>
      </w:r>
      <w:r w:rsidRPr="00323EF3">
        <w:rPr>
          <w:sz w:val="22"/>
          <w:szCs w:val="22"/>
        </w:rPr>
        <w:t>ф</w:t>
      </w:r>
      <w:r w:rsidRPr="00323EF3">
        <w:rPr>
          <w:sz w:val="22"/>
          <w:szCs w:val="22"/>
        </w:rPr>
        <w:t>фективных систем энергоснабжения является оптимизация не тол</w:t>
      </w:r>
      <w:r w:rsidRPr="00323EF3">
        <w:rPr>
          <w:sz w:val="22"/>
          <w:szCs w:val="22"/>
        </w:rPr>
        <w:t>ь</w:t>
      </w:r>
      <w:r w:rsidRPr="00323EF3">
        <w:rPr>
          <w:sz w:val="22"/>
          <w:szCs w:val="22"/>
        </w:rPr>
        <w:t>ко структурно-схемных решений в зависимости от требований п</w:t>
      </w:r>
      <w:r w:rsidRPr="00323EF3">
        <w:rPr>
          <w:sz w:val="22"/>
          <w:szCs w:val="22"/>
        </w:rPr>
        <w:t>о</w:t>
      </w:r>
      <w:r w:rsidRPr="00323EF3">
        <w:rPr>
          <w:sz w:val="22"/>
          <w:szCs w:val="22"/>
        </w:rPr>
        <w:t>требителей, но и оптимизация основных критериев эффективности этих систем к которым относятся кроме экономических показат</w:t>
      </w:r>
      <w:r w:rsidRPr="00323EF3">
        <w:rPr>
          <w:sz w:val="22"/>
          <w:szCs w:val="22"/>
        </w:rPr>
        <w:t>е</w:t>
      </w:r>
      <w:r w:rsidRPr="00323EF3">
        <w:rPr>
          <w:sz w:val="22"/>
          <w:szCs w:val="22"/>
        </w:rPr>
        <w:t>лей, показатели надежности, КПД и качества энергии. Критерий качества электроэнергии предполагает также работу системы, обе</w:t>
      </w:r>
      <w:r w:rsidRPr="00323EF3">
        <w:rPr>
          <w:sz w:val="22"/>
          <w:szCs w:val="22"/>
        </w:rPr>
        <w:t>с</w:t>
      </w:r>
      <w:r w:rsidRPr="00323EF3">
        <w:rPr>
          <w:sz w:val="22"/>
          <w:szCs w:val="22"/>
        </w:rPr>
        <w:t xml:space="preserve">печивая непрерывное электроснабжение потребителей [2]. </w:t>
      </w:r>
    </w:p>
    <w:p w:rsidR="000F594F" w:rsidRPr="00323EF3" w:rsidRDefault="000F594F" w:rsidP="000F594F">
      <w:pPr>
        <w:ind w:firstLine="426"/>
        <w:jc w:val="both"/>
        <w:rPr>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Григораш, О. В. Нетрадиционные источники электроэнергии в составе систем гарантированного электроснабжения / О. В. Григ</w:t>
      </w:r>
      <w:r w:rsidRPr="00323EF3">
        <w:rPr>
          <w:sz w:val="22"/>
          <w:szCs w:val="22"/>
        </w:rPr>
        <w:t>о</w:t>
      </w:r>
      <w:r w:rsidRPr="00323EF3">
        <w:rPr>
          <w:sz w:val="22"/>
          <w:szCs w:val="22"/>
        </w:rPr>
        <w:t>раш, Н. И. Богатырев, Н. Н. Курзин  // Промышленная энергетика. – 2004. –  № 1. – С. 59–62.</w:t>
      </w:r>
    </w:p>
    <w:p w:rsidR="000F594F" w:rsidRPr="00323EF3" w:rsidRDefault="000F594F" w:rsidP="000F594F">
      <w:pPr>
        <w:ind w:firstLine="426"/>
        <w:jc w:val="both"/>
        <w:rPr>
          <w:sz w:val="22"/>
          <w:szCs w:val="22"/>
        </w:rPr>
      </w:pPr>
      <w:r w:rsidRPr="00323EF3">
        <w:rPr>
          <w:sz w:val="22"/>
          <w:szCs w:val="22"/>
        </w:rPr>
        <w:t>2. Григораш, О. В. Возобновляемые источники электроэнергии / О. В. Григораш, Ю.П. Степура, Р. А. Сулейманов и др. – Красн</w:t>
      </w:r>
      <w:r w:rsidRPr="00323EF3">
        <w:rPr>
          <w:sz w:val="22"/>
          <w:szCs w:val="22"/>
        </w:rPr>
        <w:t>о</w:t>
      </w:r>
      <w:r w:rsidRPr="00323EF3">
        <w:rPr>
          <w:sz w:val="22"/>
          <w:szCs w:val="22"/>
        </w:rPr>
        <w:t>дар,  2012. –  272 с.</w:t>
      </w:r>
    </w:p>
    <w:p w:rsidR="000F594F" w:rsidRPr="00323EF3" w:rsidRDefault="000F594F" w:rsidP="000F594F">
      <w:pPr>
        <w:ind w:firstLine="426"/>
        <w:jc w:val="both"/>
        <w:rPr>
          <w:sz w:val="22"/>
          <w:szCs w:val="22"/>
        </w:rPr>
      </w:pPr>
      <w:r w:rsidRPr="00323EF3">
        <w:rPr>
          <w:sz w:val="22"/>
          <w:szCs w:val="22"/>
        </w:rPr>
        <w:t>3. Григораш, О. В. Возобновляемые источники электроэнергии: состояние и перспективы / О. В. Григораш, Ю. Г. Пугачев, Д. В. В</w:t>
      </w:r>
      <w:r w:rsidRPr="00323EF3">
        <w:rPr>
          <w:sz w:val="22"/>
          <w:szCs w:val="22"/>
        </w:rPr>
        <w:t>о</w:t>
      </w:r>
      <w:r w:rsidRPr="00323EF3">
        <w:rPr>
          <w:sz w:val="22"/>
          <w:szCs w:val="22"/>
        </w:rPr>
        <w:t xml:space="preserve">енцов, А. С. Чесовской  // </w:t>
      </w:r>
      <w:hyperlink r:id="rId359" w:history="1">
        <w:r w:rsidRPr="00323EF3">
          <w:rPr>
            <w:sz w:val="22"/>
            <w:szCs w:val="22"/>
          </w:rPr>
          <w:t>Механизация</w:t>
        </w:r>
      </w:hyperlink>
      <w:r w:rsidRPr="00323EF3">
        <w:rPr>
          <w:sz w:val="22"/>
          <w:szCs w:val="22"/>
        </w:rPr>
        <w:t xml:space="preserve"> и электрификация сельского хозяйства. – 2007. –  № 8. – С. 24–25.</w:t>
      </w:r>
    </w:p>
    <w:p w:rsidR="000F594F" w:rsidRPr="00323EF3" w:rsidRDefault="000F594F" w:rsidP="000F594F">
      <w:pPr>
        <w:ind w:firstLine="426"/>
        <w:jc w:val="both"/>
        <w:rPr>
          <w:sz w:val="22"/>
          <w:szCs w:val="22"/>
        </w:rPr>
      </w:pPr>
      <w:r w:rsidRPr="00323EF3">
        <w:rPr>
          <w:sz w:val="22"/>
          <w:szCs w:val="22"/>
        </w:rPr>
        <w:t>4. Григораш, О. В. Об эффективности и целесообразности и</w:t>
      </w:r>
      <w:r w:rsidRPr="00323EF3">
        <w:rPr>
          <w:sz w:val="22"/>
          <w:szCs w:val="22"/>
        </w:rPr>
        <w:t>с</w:t>
      </w:r>
      <w:r w:rsidRPr="00323EF3">
        <w:rPr>
          <w:sz w:val="22"/>
          <w:szCs w:val="22"/>
        </w:rPr>
        <w:t>пользования возобновляемых источников электроэнергии в Красн</w:t>
      </w:r>
      <w:r w:rsidRPr="00323EF3">
        <w:rPr>
          <w:sz w:val="22"/>
          <w:szCs w:val="22"/>
        </w:rPr>
        <w:t>о</w:t>
      </w:r>
      <w:r w:rsidRPr="00323EF3">
        <w:rPr>
          <w:sz w:val="22"/>
          <w:szCs w:val="22"/>
        </w:rPr>
        <w:t>дарском крае / О. В. Григораш, В. В. Тропин, А. С. Оськина  // Пр</w:t>
      </w:r>
      <w:r w:rsidRPr="00323EF3">
        <w:rPr>
          <w:sz w:val="22"/>
          <w:szCs w:val="22"/>
        </w:rPr>
        <w:t>о</w:t>
      </w:r>
      <w:r w:rsidRPr="00323EF3">
        <w:rPr>
          <w:sz w:val="22"/>
          <w:szCs w:val="22"/>
        </w:rPr>
        <w:t>мышленная энергетика. – 2012. –  № 83. – С. 188–199.</w:t>
      </w:r>
    </w:p>
    <w:p w:rsidR="00D15DEA" w:rsidRPr="00323EF3" w:rsidRDefault="00D15DEA" w:rsidP="00541CA5">
      <w:pPr>
        <w:jc w:val="both"/>
        <w:rPr>
          <w:sz w:val="22"/>
          <w:szCs w:val="22"/>
        </w:rPr>
      </w:pPr>
    </w:p>
    <w:p w:rsidR="000F594F" w:rsidRPr="00323EF3" w:rsidRDefault="000F594F" w:rsidP="000F594F">
      <w:pPr>
        <w:tabs>
          <w:tab w:val="left" w:pos="5040"/>
        </w:tabs>
        <w:rPr>
          <w:sz w:val="22"/>
          <w:szCs w:val="22"/>
        </w:rPr>
      </w:pPr>
      <w:r w:rsidRPr="00323EF3">
        <w:rPr>
          <w:sz w:val="22"/>
          <w:szCs w:val="22"/>
        </w:rPr>
        <w:lastRenderedPageBreak/>
        <w:t>УДК 621.314</w:t>
      </w:r>
    </w:p>
    <w:p w:rsidR="000F594F" w:rsidRPr="00323EF3" w:rsidRDefault="000F594F" w:rsidP="000F594F">
      <w:pPr>
        <w:tabs>
          <w:tab w:val="left" w:pos="5040"/>
        </w:tabs>
        <w:rPr>
          <w:sz w:val="22"/>
          <w:szCs w:val="22"/>
        </w:rPr>
      </w:pPr>
    </w:p>
    <w:p w:rsidR="000F594F" w:rsidRPr="00323EF3" w:rsidRDefault="000F594F" w:rsidP="000F594F">
      <w:pPr>
        <w:tabs>
          <w:tab w:val="left" w:pos="5040"/>
        </w:tabs>
        <w:jc w:val="center"/>
        <w:rPr>
          <w:b/>
          <w:sz w:val="24"/>
          <w:szCs w:val="24"/>
        </w:rPr>
      </w:pPr>
      <w:r w:rsidRPr="00323EF3">
        <w:rPr>
          <w:b/>
          <w:sz w:val="24"/>
          <w:szCs w:val="24"/>
        </w:rPr>
        <w:t xml:space="preserve">Универсальный статический преобразователь </w:t>
      </w:r>
    </w:p>
    <w:p w:rsidR="000F594F" w:rsidRPr="00323EF3" w:rsidRDefault="000F594F" w:rsidP="000F594F">
      <w:pPr>
        <w:tabs>
          <w:tab w:val="left" w:pos="5040"/>
        </w:tabs>
        <w:jc w:val="center"/>
        <w:rPr>
          <w:b/>
          <w:sz w:val="24"/>
          <w:szCs w:val="24"/>
        </w:rPr>
      </w:pPr>
      <w:r w:rsidRPr="00323EF3">
        <w:rPr>
          <w:b/>
          <w:sz w:val="24"/>
          <w:szCs w:val="24"/>
        </w:rPr>
        <w:t>электроэнергии</w:t>
      </w:r>
    </w:p>
    <w:p w:rsidR="000F594F" w:rsidRPr="00323EF3" w:rsidRDefault="000F594F" w:rsidP="000F594F">
      <w:pPr>
        <w:tabs>
          <w:tab w:val="left" w:pos="5040"/>
        </w:tabs>
        <w:jc w:val="center"/>
        <w:rPr>
          <w:b/>
          <w:sz w:val="24"/>
          <w:szCs w:val="24"/>
        </w:rPr>
      </w:pPr>
      <w:r w:rsidRPr="00323EF3">
        <w:rPr>
          <w:b/>
          <w:sz w:val="24"/>
          <w:szCs w:val="24"/>
          <w:lang w:val="en-US"/>
        </w:rPr>
        <w:t>Universal</w:t>
      </w:r>
      <w:r w:rsidRPr="00323EF3">
        <w:rPr>
          <w:b/>
          <w:sz w:val="24"/>
          <w:szCs w:val="24"/>
        </w:rPr>
        <w:t xml:space="preserve"> </w:t>
      </w:r>
      <w:r w:rsidRPr="00323EF3">
        <w:rPr>
          <w:b/>
          <w:sz w:val="24"/>
          <w:szCs w:val="24"/>
          <w:lang w:val="en-US"/>
        </w:rPr>
        <w:t>static</w:t>
      </w:r>
      <w:r w:rsidRPr="00323EF3">
        <w:rPr>
          <w:b/>
          <w:sz w:val="24"/>
          <w:szCs w:val="24"/>
        </w:rPr>
        <w:t xml:space="preserve"> </w:t>
      </w:r>
      <w:r w:rsidRPr="00323EF3">
        <w:rPr>
          <w:b/>
          <w:sz w:val="24"/>
          <w:szCs w:val="24"/>
          <w:lang w:val="en-US"/>
        </w:rPr>
        <w:t>converter</w:t>
      </w:r>
      <w:r w:rsidRPr="00323EF3">
        <w:rPr>
          <w:b/>
          <w:sz w:val="24"/>
          <w:szCs w:val="24"/>
        </w:rPr>
        <w:t xml:space="preserve"> </w:t>
      </w:r>
      <w:r w:rsidRPr="00323EF3">
        <w:rPr>
          <w:b/>
          <w:sz w:val="24"/>
          <w:szCs w:val="24"/>
          <w:lang w:val="en-US"/>
        </w:rPr>
        <w:t>electric</w:t>
      </w:r>
      <w:r w:rsidRPr="00323EF3">
        <w:rPr>
          <w:b/>
          <w:sz w:val="24"/>
          <w:szCs w:val="24"/>
        </w:rPr>
        <w:t xml:space="preserve"> </w:t>
      </w:r>
      <w:r w:rsidRPr="00323EF3">
        <w:rPr>
          <w:b/>
          <w:sz w:val="24"/>
          <w:szCs w:val="24"/>
          <w:lang w:val="en-US"/>
        </w:rPr>
        <w:t>power</w:t>
      </w:r>
    </w:p>
    <w:p w:rsidR="000F594F" w:rsidRPr="00323EF3" w:rsidRDefault="000F594F" w:rsidP="000F594F">
      <w:pPr>
        <w:tabs>
          <w:tab w:val="left" w:pos="5040"/>
        </w:tabs>
        <w:jc w:val="center"/>
        <w:rPr>
          <w:b/>
          <w:sz w:val="24"/>
          <w:szCs w:val="24"/>
        </w:rPr>
      </w:pPr>
    </w:p>
    <w:p w:rsidR="000F594F" w:rsidRPr="00323EF3" w:rsidRDefault="000F594F" w:rsidP="000F594F">
      <w:pPr>
        <w:tabs>
          <w:tab w:val="left" w:pos="5040"/>
        </w:tabs>
        <w:jc w:val="right"/>
        <w:rPr>
          <w:sz w:val="22"/>
          <w:szCs w:val="22"/>
        </w:rPr>
      </w:pPr>
      <w:r w:rsidRPr="00323EF3">
        <w:rPr>
          <w:sz w:val="22"/>
          <w:szCs w:val="22"/>
        </w:rPr>
        <w:t>Самойлов А. Н.,</w:t>
      </w:r>
    </w:p>
    <w:p w:rsidR="000F594F" w:rsidRPr="00323EF3" w:rsidRDefault="000F594F" w:rsidP="000F594F">
      <w:pPr>
        <w:tabs>
          <w:tab w:val="left" w:pos="5040"/>
        </w:tabs>
        <w:jc w:val="right"/>
        <w:rPr>
          <w:sz w:val="22"/>
          <w:szCs w:val="22"/>
        </w:rPr>
      </w:pPr>
      <w:r w:rsidRPr="00323EF3">
        <w:rPr>
          <w:sz w:val="22"/>
          <w:szCs w:val="22"/>
        </w:rPr>
        <w:t>студент 2-го курса магистратуры факультета энергетики</w:t>
      </w:r>
    </w:p>
    <w:p w:rsidR="000F594F" w:rsidRPr="00323EF3" w:rsidRDefault="000F594F" w:rsidP="000F594F">
      <w:pPr>
        <w:tabs>
          <w:tab w:val="left" w:pos="5040"/>
        </w:tabs>
        <w:jc w:val="right"/>
        <w:rPr>
          <w:sz w:val="22"/>
          <w:szCs w:val="22"/>
        </w:rPr>
      </w:pPr>
      <w:r w:rsidRPr="00323EF3">
        <w:rPr>
          <w:sz w:val="22"/>
          <w:szCs w:val="22"/>
        </w:rPr>
        <w:t>Усков А. Е.,</w:t>
      </w:r>
    </w:p>
    <w:p w:rsidR="000F594F" w:rsidRPr="00323EF3" w:rsidRDefault="000F594F" w:rsidP="000F594F">
      <w:pPr>
        <w:tabs>
          <w:tab w:val="left" w:pos="5040"/>
        </w:tabs>
        <w:jc w:val="right"/>
        <w:rPr>
          <w:sz w:val="22"/>
          <w:szCs w:val="22"/>
        </w:rPr>
      </w:pPr>
      <w:r w:rsidRPr="00323EF3">
        <w:rPr>
          <w:sz w:val="22"/>
          <w:szCs w:val="22"/>
        </w:rPr>
        <w:t xml:space="preserve">доцент кафедры электротехники, теплотехники </w:t>
      </w:r>
    </w:p>
    <w:p w:rsidR="000F594F" w:rsidRPr="00323EF3" w:rsidRDefault="000F594F" w:rsidP="000F594F">
      <w:pPr>
        <w:tabs>
          <w:tab w:val="left" w:pos="5040"/>
        </w:tabs>
        <w:jc w:val="right"/>
        <w:rPr>
          <w:sz w:val="22"/>
          <w:szCs w:val="22"/>
        </w:rPr>
      </w:pPr>
      <w:r w:rsidRPr="00323EF3">
        <w:rPr>
          <w:sz w:val="22"/>
          <w:szCs w:val="22"/>
        </w:rPr>
        <w:t>и возобновляемых источников энергии</w:t>
      </w:r>
    </w:p>
    <w:p w:rsidR="000F594F" w:rsidRPr="00323EF3" w:rsidRDefault="000F594F" w:rsidP="000F594F">
      <w:pPr>
        <w:tabs>
          <w:tab w:val="left" w:pos="5040"/>
        </w:tabs>
        <w:jc w:val="right"/>
        <w:rPr>
          <w:sz w:val="22"/>
          <w:szCs w:val="22"/>
        </w:rPr>
      </w:pPr>
      <w:r w:rsidRPr="00323EF3">
        <w:rPr>
          <w:sz w:val="22"/>
          <w:szCs w:val="22"/>
        </w:rPr>
        <w:t xml:space="preserve">Кубанский государственный аграрный </w:t>
      </w:r>
    </w:p>
    <w:p w:rsidR="000F594F" w:rsidRPr="00323EF3" w:rsidRDefault="000F594F" w:rsidP="000F594F">
      <w:pPr>
        <w:tabs>
          <w:tab w:val="left" w:pos="5040"/>
        </w:tabs>
        <w:jc w:val="right"/>
        <w:rPr>
          <w:sz w:val="22"/>
          <w:szCs w:val="22"/>
        </w:rPr>
      </w:pPr>
      <w:r w:rsidRPr="00323EF3">
        <w:rPr>
          <w:sz w:val="22"/>
          <w:szCs w:val="22"/>
        </w:rPr>
        <w:t>университет имени И. Т. Трубилина</w:t>
      </w:r>
    </w:p>
    <w:p w:rsidR="000F594F" w:rsidRPr="00323EF3" w:rsidRDefault="000F594F" w:rsidP="000F594F">
      <w:pPr>
        <w:tabs>
          <w:tab w:val="left" w:pos="5040"/>
        </w:tabs>
        <w:jc w:val="right"/>
        <w:rPr>
          <w:sz w:val="22"/>
          <w:szCs w:val="22"/>
        </w:rPr>
      </w:pPr>
    </w:p>
    <w:p w:rsidR="000F594F" w:rsidRPr="00323EF3" w:rsidRDefault="000F594F" w:rsidP="000F594F">
      <w:pPr>
        <w:tabs>
          <w:tab w:val="left" w:pos="5040"/>
        </w:tabs>
        <w:ind w:firstLine="426"/>
        <w:jc w:val="both"/>
        <w:rPr>
          <w:sz w:val="22"/>
          <w:szCs w:val="22"/>
        </w:rPr>
      </w:pPr>
      <w:r w:rsidRPr="00323EF3">
        <w:rPr>
          <w:sz w:val="22"/>
          <w:szCs w:val="22"/>
        </w:rPr>
        <w:t>АННОТАЦИЯ. Раскрывается структура и режимы работы м</w:t>
      </w:r>
      <w:r w:rsidRPr="00323EF3">
        <w:rPr>
          <w:sz w:val="22"/>
          <w:szCs w:val="22"/>
        </w:rPr>
        <w:t>о</w:t>
      </w:r>
      <w:r w:rsidRPr="00323EF3">
        <w:rPr>
          <w:sz w:val="22"/>
          <w:szCs w:val="22"/>
        </w:rPr>
        <w:t>дульного статического преобразователя электроэнергии, применя</w:t>
      </w:r>
      <w:r w:rsidRPr="00323EF3">
        <w:rPr>
          <w:sz w:val="22"/>
          <w:szCs w:val="22"/>
        </w:rPr>
        <w:t>е</w:t>
      </w:r>
      <w:r w:rsidRPr="00323EF3">
        <w:rPr>
          <w:sz w:val="22"/>
          <w:szCs w:val="22"/>
        </w:rPr>
        <w:t>мого в автономных системах электроснабжения.</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Annotation. </w:t>
      </w:r>
      <w:r w:rsidRPr="00323EF3">
        <w:rPr>
          <w:sz w:val="22"/>
          <w:szCs w:val="22"/>
          <w:lang w:val="en-US"/>
        </w:rPr>
        <w:t>The structure and modes of operation of the modular static converter of electricity used in autonomous power supply systems are disclosed.</w:t>
      </w:r>
    </w:p>
    <w:p w:rsidR="000F594F" w:rsidRPr="00323EF3" w:rsidRDefault="000F594F" w:rsidP="000F594F">
      <w:pPr>
        <w:tabs>
          <w:tab w:val="left" w:pos="5040"/>
        </w:tabs>
        <w:ind w:firstLine="426"/>
        <w:jc w:val="both"/>
        <w:rPr>
          <w:sz w:val="22"/>
          <w:szCs w:val="22"/>
        </w:rPr>
      </w:pPr>
      <w:r w:rsidRPr="00323EF3">
        <w:rPr>
          <w:sz w:val="22"/>
          <w:szCs w:val="22"/>
        </w:rPr>
        <w:t>КЛЮЧЕВЫЕ СЛОВА: автономная система электроснабжения, универсальный статический преобразователь электроэнергии.</w:t>
      </w:r>
    </w:p>
    <w:p w:rsidR="000F594F" w:rsidRPr="00323EF3" w:rsidRDefault="000F594F" w:rsidP="000F594F">
      <w:pPr>
        <w:tabs>
          <w:tab w:val="left" w:pos="5040"/>
        </w:tabs>
        <w:ind w:firstLine="426"/>
        <w:jc w:val="both"/>
        <w:rPr>
          <w:caps/>
          <w:sz w:val="22"/>
          <w:szCs w:val="22"/>
          <w:lang w:val="en-US"/>
        </w:rPr>
      </w:pPr>
      <w:r w:rsidRPr="00323EF3">
        <w:rPr>
          <w:caps/>
          <w:sz w:val="22"/>
          <w:szCs w:val="22"/>
          <w:lang w:val="en-US"/>
        </w:rPr>
        <w:t xml:space="preserve">key words: </w:t>
      </w:r>
      <w:r w:rsidRPr="00323EF3">
        <w:rPr>
          <w:sz w:val="22"/>
          <w:szCs w:val="22"/>
        </w:rPr>
        <w:t>а</w:t>
      </w:r>
      <w:r w:rsidRPr="00323EF3">
        <w:rPr>
          <w:sz w:val="22"/>
          <w:szCs w:val="22"/>
          <w:lang w:val="en-US"/>
        </w:rPr>
        <w:t>utonomous power supply system, universal static electricity converter.</w:t>
      </w:r>
    </w:p>
    <w:p w:rsidR="000F594F" w:rsidRPr="00323EF3" w:rsidRDefault="000F594F" w:rsidP="000F594F">
      <w:pPr>
        <w:tabs>
          <w:tab w:val="left" w:pos="5040"/>
        </w:tabs>
        <w:ind w:firstLine="426"/>
        <w:jc w:val="both"/>
        <w:rPr>
          <w:color w:val="800000"/>
          <w:sz w:val="22"/>
          <w:szCs w:val="22"/>
          <w:lang w:val="en-US"/>
        </w:rPr>
      </w:pPr>
    </w:p>
    <w:p w:rsidR="000F594F" w:rsidRPr="00323EF3" w:rsidRDefault="000F594F" w:rsidP="000F594F">
      <w:pPr>
        <w:tabs>
          <w:tab w:val="left" w:pos="8080"/>
        </w:tabs>
        <w:ind w:right="-32" w:firstLine="426"/>
        <w:jc w:val="both"/>
        <w:rPr>
          <w:sz w:val="22"/>
          <w:szCs w:val="22"/>
        </w:rPr>
      </w:pPr>
      <w:r w:rsidRPr="00323EF3">
        <w:rPr>
          <w:color w:val="000000"/>
          <w:sz w:val="22"/>
          <w:szCs w:val="22"/>
        </w:rPr>
        <w:t>Модульное построение основных элементов автономных с</w:t>
      </w:r>
      <w:r w:rsidRPr="00323EF3">
        <w:rPr>
          <w:color w:val="000000"/>
          <w:sz w:val="22"/>
          <w:szCs w:val="22"/>
        </w:rPr>
        <w:t>и</w:t>
      </w:r>
      <w:r w:rsidRPr="00323EF3">
        <w:rPr>
          <w:color w:val="000000"/>
          <w:sz w:val="22"/>
          <w:szCs w:val="22"/>
        </w:rPr>
        <w:t>стем электроснабжения (</w:t>
      </w:r>
      <w:r w:rsidR="00D15DEA">
        <w:rPr>
          <w:sz w:val="22"/>
          <w:szCs w:val="22"/>
        </w:rPr>
        <w:t>АСЭ)</w:t>
      </w:r>
      <w:r w:rsidRPr="00323EF3">
        <w:rPr>
          <w:sz w:val="22"/>
          <w:szCs w:val="22"/>
        </w:rPr>
        <w:t xml:space="preserve"> является перспективным направл</w:t>
      </w:r>
      <w:r w:rsidRPr="00323EF3">
        <w:rPr>
          <w:sz w:val="22"/>
          <w:szCs w:val="22"/>
        </w:rPr>
        <w:t>е</w:t>
      </w:r>
      <w:r w:rsidRPr="00323EF3">
        <w:rPr>
          <w:sz w:val="22"/>
          <w:szCs w:val="22"/>
        </w:rPr>
        <w:t>нием в развитии энергетики, поскольку при модульном агрегатир</w:t>
      </w:r>
      <w:r w:rsidRPr="00323EF3">
        <w:rPr>
          <w:sz w:val="22"/>
          <w:szCs w:val="22"/>
        </w:rPr>
        <w:t>о</w:t>
      </w:r>
      <w:r w:rsidRPr="00323EF3">
        <w:rPr>
          <w:sz w:val="22"/>
          <w:szCs w:val="22"/>
        </w:rPr>
        <w:t>вании основных функциональных элементов значительно улучш</w:t>
      </w:r>
      <w:r w:rsidRPr="00323EF3">
        <w:rPr>
          <w:sz w:val="22"/>
          <w:szCs w:val="22"/>
        </w:rPr>
        <w:t>а</w:t>
      </w:r>
      <w:r w:rsidRPr="00323EF3">
        <w:rPr>
          <w:sz w:val="22"/>
          <w:szCs w:val="22"/>
        </w:rPr>
        <w:t>ются показатели надежности АСЭ.</w:t>
      </w:r>
      <w:r w:rsidR="00D15DEA">
        <w:rPr>
          <w:sz w:val="22"/>
          <w:szCs w:val="22"/>
        </w:rPr>
        <w:t xml:space="preserve"> Важным является тот факт, что </w:t>
      </w:r>
      <w:r w:rsidRPr="00323EF3">
        <w:rPr>
          <w:sz w:val="22"/>
          <w:szCs w:val="22"/>
        </w:rPr>
        <w:t>при разработке АСЭ по модульному принципу сокращается время их проектирования, упрощается задача адаптивного изменения структуры системы в зависимости от приоритета потребителей электроэнергии и режимов работы потребителей. Значительный</w:t>
      </w:r>
      <w:r w:rsidR="00D15DEA">
        <w:rPr>
          <w:sz w:val="22"/>
          <w:szCs w:val="22"/>
        </w:rPr>
        <w:t xml:space="preserve"> технико-экономический эффект </w:t>
      </w:r>
      <w:r w:rsidRPr="00323EF3">
        <w:rPr>
          <w:sz w:val="22"/>
          <w:szCs w:val="22"/>
        </w:rPr>
        <w:t>п</w:t>
      </w:r>
      <w:r w:rsidR="00D15DEA">
        <w:rPr>
          <w:sz w:val="22"/>
          <w:szCs w:val="22"/>
        </w:rPr>
        <w:t>олучается в период эксплуатации</w:t>
      </w:r>
      <w:r w:rsidRPr="00323EF3">
        <w:rPr>
          <w:sz w:val="22"/>
          <w:szCs w:val="22"/>
        </w:rPr>
        <w:t xml:space="preserve"> модульных АС</w:t>
      </w:r>
      <w:r w:rsidR="00D15DEA">
        <w:rPr>
          <w:sz w:val="22"/>
          <w:szCs w:val="22"/>
        </w:rPr>
        <w:t xml:space="preserve">Э, поскольку сокращается время на устранение </w:t>
      </w:r>
      <w:r w:rsidRPr="00323EF3">
        <w:rPr>
          <w:sz w:val="22"/>
          <w:szCs w:val="22"/>
        </w:rPr>
        <w:t>неи</w:t>
      </w:r>
      <w:r w:rsidRPr="00323EF3">
        <w:rPr>
          <w:sz w:val="22"/>
          <w:szCs w:val="22"/>
        </w:rPr>
        <w:t>с</w:t>
      </w:r>
      <w:r w:rsidRPr="00323EF3">
        <w:rPr>
          <w:sz w:val="22"/>
          <w:szCs w:val="22"/>
        </w:rPr>
        <w:lastRenderedPageBreak/>
        <w:t>правно</w:t>
      </w:r>
      <w:r w:rsidR="00D15DEA">
        <w:rPr>
          <w:sz w:val="22"/>
          <w:szCs w:val="22"/>
        </w:rPr>
        <w:t xml:space="preserve">стей, </w:t>
      </w:r>
      <w:r w:rsidRPr="00323EF3">
        <w:rPr>
          <w:sz w:val="22"/>
          <w:szCs w:val="22"/>
        </w:rPr>
        <w:t>из-за быстрой замены модульного неработающего эл</w:t>
      </w:r>
      <w:r w:rsidRPr="00323EF3">
        <w:rPr>
          <w:sz w:val="22"/>
          <w:szCs w:val="22"/>
        </w:rPr>
        <w:t>е</w:t>
      </w:r>
      <w:r w:rsidRPr="00323EF3">
        <w:rPr>
          <w:sz w:val="22"/>
          <w:szCs w:val="22"/>
        </w:rPr>
        <w:t xml:space="preserve">мента,  в ручном или автоматическом режиме [1, 2]. </w:t>
      </w:r>
    </w:p>
    <w:p w:rsidR="000F594F" w:rsidRPr="00323EF3" w:rsidRDefault="000F594F" w:rsidP="000F594F">
      <w:pPr>
        <w:ind w:right="-32" w:firstLine="426"/>
        <w:jc w:val="both"/>
        <w:rPr>
          <w:sz w:val="22"/>
          <w:szCs w:val="22"/>
        </w:rPr>
      </w:pPr>
      <w:r w:rsidRPr="00323EF3">
        <w:rPr>
          <w:sz w:val="22"/>
          <w:szCs w:val="22"/>
        </w:rPr>
        <w:t>Для значительного улучшения технико-экономических показ</w:t>
      </w:r>
      <w:r w:rsidRPr="00323EF3">
        <w:rPr>
          <w:sz w:val="22"/>
          <w:szCs w:val="22"/>
        </w:rPr>
        <w:t>а</w:t>
      </w:r>
      <w:r w:rsidRPr="00323EF3">
        <w:rPr>
          <w:sz w:val="22"/>
          <w:szCs w:val="22"/>
        </w:rPr>
        <w:t>телей модульных АСЭ, обеспечивающих бесперебойное электр</w:t>
      </w:r>
      <w:r w:rsidRPr="00323EF3">
        <w:rPr>
          <w:sz w:val="22"/>
          <w:szCs w:val="22"/>
        </w:rPr>
        <w:t>о</w:t>
      </w:r>
      <w:r w:rsidRPr="00323EF3">
        <w:rPr>
          <w:sz w:val="22"/>
          <w:szCs w:val="22"/>
        </w:rPr>
        <w:t>снабжение потребителей первой категории ак</w:t>
      </w:r>
      <w:r w:rsidR="00D15DEA">
        <w:rPr>
          <w:sz w:val="22"/>
          <w:szCs w:val="22"/>
        </w:rPr>
        <w:t>туальным является  направление</w:t>
      </w:r>
      <w:r w:rsidRPr="00323EF3">
        <w:rPr>
          <w:sz w:val="22"/>
          <w:szCs w:val="22"/>
        </w:rPr>
        <w:t xml:space="preserve"> разр</w:t>
      </w:r>
      <w:r w:rsidR="00D15DEA">
        <w:rPr>
          <w:sz w:val="22"/>
          <w:szCs w:val="22"/>
        </w:rPr>
        <w:t>аботки</w:t>
      </w:r>
      <w:r w:rsidRPr="00323EF3">
        <w:rPr>
          <w:sz w:val="22"/>
          <w:szCs w:val="22"/>
        </w:rPr>
        <w:t xml:space="preserve"> модульного универсального статического преобразователя (УСП) который в зависимости от заданного алг</w:t>
      </w:r>
      <w:r w:rsidRPr="00323EF3">
        <w:rPr>
          <w:sz w:val="22"/>
          <w:szCs w:val="22"/>
        </w:rPr>
        <w:t>о</w:t>
      </w:r>
      <w:r w:rsidRPr="00323EF3">
        <w:rPr>
          <w:sz w:val="22"/>
          <w:szCs w:val="22"/>
        </w:rPr>
        <w:t>ритма локальной системы управления может работать в режимах выпрямителя, преобразователя частоты, инвертора или конвертора [3, 4].</w:t>
      </w:r>
    </w:p>
    <w:p w:rsidR="000F594F" w:rsidRPr="00323EF3" w:rsidRDefault="000F594F" w:rsidP="000F594F">
      <w:pPr>
        <w:ind w:right="-32" w:firstLine="426"/>
        <w:jc w:val="both"/>
        <w:rPr>
          <w:sz w:val="22"/>
          <w:szCs w:val="22"/>
        </w:rPr>
      </w:pPr>
      <w:r w:rsidRPr="00323EF3">
        <w:rPr>
          <w:sz w:val="22"/>
          <w:szCs w:val="22"/>
        </w:rPr>
        <w:t>При применении УСП в составе АСЭ важным является вопрос электромагнитной совместимости основных функциональных эл</w:t>
      </w:r>
      <w:r w:rsidRPr="00323EF3">
        <w:rPr>
          <w:sz w:val="22"/>
          <w:szCs w:val="22"/>
        </w:rPr>
        <w:t>е</w:t>
      </w:r>
      <w:r w:rsidRPr="00323EF3">
        <w:rPr>
          <w:sz w:val="22"/>
          <w:szCs w:val="22"/>
        </w:rPr>
        <w:t>ментов системы (источников, преобразователей, стабилизаторов параметров электроэнергии, входных и выходных фильтров и т. п.). Здесь важным является факт чем меньше силовых электронных приборов – источников электромагнитных помех, тем выше пока</w:t>
      </w:r>
      <w:r w:rsidR="00AD6B98">
        <w:rPr>
          <w:sz w:val="22"/>
          <w:szCs w:val="22"/>
        </w:rPr>
        <w:t>з</w:t>
      </w:r>
      <w:r w:rsidR="00AD6B98">
        <w:rPr>
          <w:sz w:val="22"/>
          <w:szCs w:val="22"/>
        </w:rPr>
        <w:t>а</w:t>
      </w:r>
      <w:r w:rsidR="00AD6B98">
        <w:rPr>
          <w:sz w:val="22"/>
          <w:szCs w:val="22"/>
        </w:rPr>
        <w:t xml:space="preserve">тели надежности, кроме того, </w:t>
      </w:r>
      <w:r w:rsidRPr="00323EF3">
        <w:rPr>
          <w:sz w:val="22"/>
          <w:szCs w:val="22"/>
        </w:rPr>
        <w:t>повышается и КПД автономной с</w:t>
      </w:r>
      <w:r w:rsidRPr="00323EF3">
        <w:rPr>
          <w:sz w:val="22"/>
          <w:szCs w:val="22"/>
        </w:rPr>
        <w:t>и</w:t>
      </w:r>
      <w:r w:rsidRPr="00323EF3">
        <w:rPr>
          <w:sz w:val="22"/>
          <w:szCs w:val="22"/>
        </w:rPr>
        <w:t>стемы [5].</w:t>
      </w:r>
    </w:p>
    <w:p w:rsidR="000F594F" w:rsidRPr="00323EF3" w:rsidRDefault="000F594F" w:rsidP="000F594F">
      <w:pPr>
        <w:tabs>
          <w:tab w:val="left" w:pos="8080"/>
        </w:tabs>
        <w:ind w:right="-32" w:firstLine="426"/>
        <w:jc w:val="both"/>
        <w:rPr>
          <w:sz w:val="22"/>
          <w:szCs w:val="22"/>
        </w:rPr>
      </w:pPr>
      <w:r w:rsidRPr="00323EF3">
        <w:rPr>
          <w:sz w:val="22"/>
          <w:szCs w:val="22"/>
        </w:rPr>
        <w:t>Ло</w:t>
      </w:r>
      <w:r w:rsidR="00AD6B98">
        <w:rPr>
          <w:sz w:val="22"/>
          <w:szCs w:val="22"/>
        </w:rPr>
        <w:t>кальная система управления УСП,</w:t>
      </w:r>
      <w:r w:rsidRPr="00323EF3">
        <w:rPr>
          <w:sz w:val="22"/>
          <w:szCs w:val="22"/>
        </w:rPr>
        <w:t xml:space="preserve"> выполняется с использ</w:t>
      </w:r>
      <w:r w:rsidRPr="00323EF3">
        <w:rPr>
          <w:sz w:val="22"/>
          <w:szCs w:val="22"/>
        </w:rPr>
        <w:t>о</w:t>
      </w:r>
      <w:r w:rsidR="00AD6B98">
        <w:rPr>
          <w:sz w:val="22"/>
          <w:szCs w:val="22"/>
        </w:rPr>
        <w:t xml:space="preserve">ванием микропроцессорной </w:t>
      </w:r>
      <w:r w:rsidRPr="00323EF3">
        <w:rPr>
          <w:sz w:val="22"/>
          <w:szCs w:val="22"/>
        </w:rPr>
        <w:t>технике и содержит несколько пр</w:t>
      </w:r>
      <w:r w:rsidRPr="00323EF3">
        <w:rPr>
          <w:sz w:val="22"/>
          <w:szCs w:val="22"/>
        </w:rPr>
        <w:t>о</w:t>
      </w:r>
      <w:r w:rsidR="00AD6B98">
        <w:rPr>
          <w:sz w:val="22"/>
          <w:szCs w:val="22"/>
        </w:rPr>
        <w:t xml:space="preserve">грамм, обеспечивающих </w:t>
      </w:r>
      <w:r w:rsidRPr="00323EF3">
        <w:rPr>
          <w:sz w:val="22"/>
          <w:szCs w:val="22"/>
        </w:rPr>
        <w:t>работу силовых электронных приборов по преобразованию и стабилизации параметров электроэнергии в р</w:t>
      </w:r>
      <w:r w:rsidRPr="00323EF3">
        <w:rPr>
          <w:sz w:val="22"/>
          <w:szCs w:val="22"/>
        </w:rPr>
        <w:t>е</w:t>
      </w:r>
      <w:r w:rsidRPr="00323EF3">
        <w:rPr>
          <w:sz w:val="22"/>
          <w:szCs w:val="22"/>
        </w:rPr>
        <w:t>жимах всех типов статических пр</w:t>
      </w:r>
      <w:r w:rsidR="00AD6B98">
        <w:rPr>
          <w:sz w:val="22"/>
          <w:szCs w:val="22"/>
        </w:rPr>
        <w:t xml:space="preserve">еобразователей электроэнергии. </w:t>
      </w:r>
      <w:r w:rsidRPr="00323EF3">
        <w:rPr>
          <w:sz w:val="22"/>
          <w:szCs w:val="22"/>
        </w:rPr>
        <w:t>Причем функ</w:t>
      </w:r>
      <w:r w:rsidR="00AD6B98">
        <w:rPr>
          <w:sz w:val="22"/>
          <w:szCs w:val="22"/>
        </w:rPr>
        <w:t>ции</w:t>
      </w:r>
      <w:r w:rsidRPr="00323EF3">
        <w:rPr>
          <w:sz w:val="22"/>
          <w:szCs w:val="22"/>
        </w:rPr>
        <w:t xml:space="preserve"> контроля параметров электрической энергии на входе и выходе УСП, защиты, как преобразователя, так системы электроснабжения в комплексе осуществляет центральная система управления АСЭ.</w:t>
      </w:r>
    </w:p>
    <w:p w:rsidR="000F594F" w:rsidRPr="00323EF3" w:rsidRDefault="000F594F" w:rsidP="000F594F">
      <w:pPr>
        <w:tabs>
          <w:tab w:val="left" w:pos="8080"/>
        </w:tabs>
        <w:ind w:right="-32" w:firstLine="426"/>
        <w:jc w:val="both"/>
        <w:rPr>
          <w:bCs/>
          <w:iCs/>
          <w:sz w:val="22"/>
          <w:szCs w:val="22"/>
        </w:rPr>
      </w:pPr>
      <w:r w:rsidRPr="00323EF3">
        <w:rPr>
          <w:bCs/>
          <w:iCs/>
          <w:sz w:val="22"/>
          <w:szCs w:val="22"/>
        </w:rPr>
        <w:t>При работе УСП в режиме выпрямителя бесконтактные комм</w:t>
      </w:r>
      <w:r w:rsidRPr="00323EF3">
        <w:rPr>
          <w:bCs/>
          <w:iCs/>
          <w:sz w:val="22"/>
          <w:szCs w:val="22"/>
        </w:rPr>
        <w:t>у</w:t>
      </w:r>
      <w:r w:rsidRPr="00323EF3">
        <w:rPr>
          <w:bCs/>
          <w:iCs/>
          <w:sz w:val="22"/>
          <w:szCs w:val="22"/>
        </w:rPr>
        <w:t>тационные аппараты (БКА), выполненные на силовых электронных приборах, подключают основные элементы УСП от источника к нагрузке в последовательности: трансформатор, статический прео</w:t>
      </w:r>
      <w:r w:rsidRPr="00323EF3">
        <w:rPr>
          <w:bCs/>
          <w:iCs/>
          <w:sz w:val="22"/>
          <w:szCs w:val="22"/>
        </w:rPr>
        <w:t>б</w:t>
      </w:r>
      <w:r w:rsidRPr="00323EF3">
        <w:rPr>
          <w:bCs/>
          <w:iCs/>
          <w:sz w:val="22"/>
          <w:szCs w:val="22"/>
        </w:rPr>
        <w:t>разователь, выходной фильтр. В режиме инвертора БКА основные элементы включают в последовательности: входной фильтр, стат</w:t>
      </w:r>
      <w:r w:rsidRPr="00323EF3">
        <w:rPr>
          <w:bCs/>
          <w:iCs/>
          <w:sz w:val="22"/>
          <w:szCs w:val="22"/>
        </w:rPr>
        <w:t>и</w:t>
      </w:r>
      <w:r w:rsidRPr="00323EF3">
        <w:rPr>
          <w:bCs/>
          <w:iCs/>
          <w:sz w:val="22"/>
          <w:szCs w:val="22"/>
        </w:rPr>
        <w:t>ческий преобразователь, трансформатор, выходной фильтр.</w:t>
      </w:r>
    </w:p>
    <w:p w:rsidR="000F594F" w:rsidRPr="00323EF3" w:rsidRDefault="000F594F" w:rsidP="000F594F">
      <w:pPr>
        <w:tabs>
          <w:tab w:val="left" w:pos="8080"/>
        </w:tabs>
        <w:ind w:right="-32" w:firstLine="426"/>
        <w:jc w:val="both"/>
        <w:rPr>
          <w:sz w:val="22"/>
          <w:szCs w:val="22"/>
        </w:rPr>
      </w:pPr>
      <w:r w:rsidRPr="00323EF3">
        <w:rPr>
          <w:bCs/>
          <w:iCs/>
          <w:sz w:val="22"/>
          <w:szCs w:val="22"/>
        </w:rPr>
        <w:t xml:space="preserve">Особенностью работы УСП в режиме преобразователя частоты состоит в том, что в этом режиме </w:t>
      </w:r>
      <w:r w:rsidR="00AD6B98">
        <w:rPr>
          <w:sz w:val="22"/>
          <w:szCs w:val="22"/>
        </w:rPr>
        <w:t xml:space="preserve">необходимы </w:t>
      </w:r>
      <w:r w:rsidRPr="00323EF3">
        <w:rPr>
          <w:sz w:val="22"/>
          <w:szCs w:val="22"/>
        </w:rPr>
        <w:t>дополнительные  м</w:t>
      </w:r>
      <w:r w:rsidRPr="00323EF3">
        <w:rPr>
          <w:sz w:val="22"/>
          <w:szCs w:val="22"/>
        </w:rPr>
        <w:t>о</w:t>
      </w:r>
      <w:r w:rsidR="00AD6B98">
        <w:rPr>
          <w:sz w:val="22"/>
          <w:szCs w:val="22"/>
        </w:rPr>
        <w:t xml:space="preserve">дульные блоки </w:t>
      </w:r>
      <w:r w:rsidRPr="00323EF3">
        <w:rPr>
          <w:sz w:val="22"/>
          <w:szCs w:val="22"/>
        </w:rPr>
        <w:t>силовых электронных приборов в схеме преобраз</w:t>
      </w:r>
      <w:r w:rsidRPr="00323EF3">
        <w:rPr>
          <w:sz w:val="22"/>
          <w:szCs w:val="22"/>
        </w:rPr>
        <w:t>о</w:t>
      </w:r>
      <w:r w:rsidRPr="00323EF3">
        <w:rPr>
          <w:sz w:val="22"/>
          <w:szCs w:val="22"/>
        </w:rPr>
        <w:t xml:space="preserve">вателя, которые между собой включаются параллельно. При этом, </w:t>
      </w:r>
      <w:r w:rsidRPr="00323EF3">
        <w:rPr>
          <w:sz w:val="22"/>
          <w:szCs w:val="22"/>
        </w:rPr>
        <w:lastRenderedPageBreak/>
        <w:t>первый блок формирует положительную волну напряжения с пон</w:t>
      </w:r>
      <w:r w:rsidRPr="00323EF3">
        <w:rPr>
          <w:sz w:val="22"/>
          <w:szCs w:val="22"/>
        </w:rPr>
        <w:t>и</w:t>
      </w:r>
      <w:r w:rsidRPr="00323EF3">
        <w:rPr>
          <w:sz w:val="22"/>
          <w:szCs w:val="22"/>
        </w:rPr>
        <w:t xml:space="preserve">женной частотой тока, а в торой блок – отрицательную полуволну напряжения пониженной частоты тока.   </w:t>
      </w:r>
    </w:p>
    <w:p w:rsidR="000F594F" w:rsidRPr="00323EF3" w:rsidRDefault="00AD6B98" w:rsidP="000F594F">
      <w:pPr>
        <w:tabs>
          <w:tab w:val="left" w:pos="8080"/>
        </w:tabs>
        <w:ind w:right="-32" w:firstLine="426"/>
        <w:jc w:val="both"/>
        <w:rPr>
          <w:sz w:val="22"/>
          <w:szCs w:val="22"/>
        </w:rPr>
      </w:pPr>
      <w:r>
        <w:rPr>
          <w:bCs/>
          <w:iCs/>
          <w:sz w:val="22"/>
          <w:szCs w:val="22"/>
        </w:rPr>
        <w:t>Режим</w:t>
      </w:r>
      <w:r w:rsidR="000F594F" w:rsidRPr="00323EF3">
        <w:rPr>
          <w:bCs/>
          <w:iCs/>
          <w:sz w:val="22"/>
          <w:szCs w:val="22"/>
        </w:rPr>
        <w:t xml:space="preserve"> конвертора УСП также имеет особенности структурного решения</w:t>
      </w:r>
      <w:r w:rsidR="000F594F" w:rsidRPr="00323EF3">
        <w:rPr>
          <w:sz w:val="22"/>
          <w:szCs w:val="22"/>
        </w:rPr>
        <w:t>. В этом</w:t>
      </w:r>
      <w:r>
        <w:rPr>
          <w:sz w:val="22"/>
          <w:szCs w:val="22"/>
        </w:rPr>
        <w:t xml:space="preserve"> режиме последовательно включаются два </w:t>
      </w:r>
      <w:r w:rsidR="000F594F" w:rsidRPr="00323EF3">
        <w:rPr>
          <w:sz w:val="22"/>
          <w:szCs w:val="22"/>
        </w:rPr>
        <w:t>силовых электрон</w:t>
      </w:r>
      <w:r>
        <w:rPr>
          <w:sz w:val="22"/>
          <w:szCs w:val="22"/>
        </w:rPr>
        <w:t>ных блока преобразователей. При этом первый блок</w:t>
      </w:r>
      <w:r w:rsidR="000F594F" w:rsidRPr="00323EF3">
        <w:rPr>
          <w:sz w:val="22"/>
          <w:szCs w:val="22"/>
        </w:rPr>
        <w:t xml:space="preserve"> раб</w:t>
      </w:r>
      <w:r w:rsidR="000F594F" w:rsidRPr="00323EF3">
        <w:rPr>
          <w:sz w:val="22"/>
          <w:szCs w:val="22"/>
        </w:rPr>
        <w:t>о</w:t>
      </w:r>
      <w:r w:rsidR="000F594F" w:rsidRPr="00323EF3">
        <w:rPr>
          <w:sz w:val="22"/>
          <w:szCs w:val="22"/>
        </w:rPr>
        <w:t>тает совместно с трансформатором, т. е. преобразует напряжение постоянного тока, в напряжение повышенной частоты переменного тока, а трансформатор обеспечивает согласование уровней напр</w:t>
      </w:r>
      <w:r w:rsidR="000F594F" w:rsidRPr="00323EF3">
        <w:rPr>
          <w:sz w:val="22"/>
          <w:szCs w:val="22"/>
        </w:rPr>
        <w:t>я</w:t>
      </w:r>
      <w:r w:rsidR="000F594F" w:rsidRPr="00323EF3">
        <w:rPr>
          <w:sz w:val="22"/>
          <w:szCs w:val="22"/>
        </w:rPr>
        <w:t>жения нагрузки и источника. Второй блок работает в режиме в</w:t>
      </w:r>
      <w:r w:rsidR="000F594F" w:rsidRPr="00323EF3">
        <w:rPr>
          <w:sz w:val="22"/>
          <w:szCs w:val="22"/>
        </w:rPr>
        <w:t>ы</w:t>
      </w:r>
      <w:r w:rsidR="000F594F" w:rsidRPr="00323EF3">
        <w:rPr>
          <w:sz w:val="22"/>
          <w:szCs w:val="22"/>
        </w:rPr>
        <w:t>прямителя, преобразует, таким образом, переменный ток повыше</w:t>
      </w:r>
      <w:r w:rsidR="000F594F" w:rsidRPr="00323EF3">
        <w:rPr>
          <w:sz w:val="22"/>
          <w:szCs w:val="22"/>
        </w:rPr>
        <w:t>н</w:t>
      </w:r>
      <w:r w:rsidR="000F594F" w:rsidRPr="00323EF3">
        <w:rPr>
          <w:sz w:val="22"/>
          <w:szCs w:val="22"/>
        </w:rPr>
        <w:t>ной частоты в напряжение постоянного тока. В режиме конвертора стабилизация напряжения осуществляется  преобразовательным блоком, работающим в режиме выпрямителя, или преобразовател</w:t>
      </w:r>
      <w:r w:rsidR="000F594F" w:rsidRPr="00323EF3">
        <w:rPr>
          <w:sz w:val="22"/>
          <w:szCs w:val="22"/>
        </w:rPr>
        <w:t>ь</w:t>
      </w:r>
      <w:r w:rsidR="000F594F" w:rsidRPr="00323EF3">
        <w:rPr>
          <w:sz w:val="22"/>
          <w:szCs w:val="22"/>
        </w:rPr>
        <w:t>ным блоком, работающим в режиме инвертора. В последнем случае УСП имеет улучшенные технико-экономические показатели.</w:t>
      </w:r>
    </w:p>
    <w:p w:rsidR="00AD6B98" w:rsidRDefault="00AD6B98" w:rsidP="000F594F">
      <w:pPr>
        <w:ind w:hanging="12"/>
        <w:jc w:val="center"/>
        <w:rPr>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Григораш, О. В. Системы гарантированного электроснабж</w:t>
      </w:r>
      <w:r w:rsidRPr="00323EF3">
        <w:rPr>
          <w:sz w:val="22"/>
          <w:szCs w:val="22"/>
        </w:rPr>
        <w:t>е</w:t>
      </w:r>
      <w:r w:rsidRPr="00323EF3">
        <w:rPr>
          <w:sz w:val="22"/>
          <w:szCs w:val="22"/>
        </w:rPr>
        <w:t>ния / О. В. Григораш, А. Ю. Попов, Е. А. Власенко и др. – Красн</w:t>
      </w:r>
      <w:r w:rsidRPr="00323EF3">
        <w:rPr>
          <w:sz w:val="22"/>
          <w:szCs w:val="22"/>
        </w:rPr>
        <w:t>о</w:t>
      </w:r>
      <w:r w:rsidRPr="00323EF3">
        <w:rPr>
          <w:sz w:val="22"/>
          <w:szCs w:val="22"/>
        </w:rPr>
        <w:t>дар: КубГАУ, 2017. –  223 с.</w:t>
      </w:r>
    </w:p>
    <w:p w:rsidR="000F594F" w:rsidRPr="00323EF3" w:rsidRDefault="000F594F" w:rsidP="000F594F">
      <w:pPr>
        <w:ind w:firstLine="426"/>
        <w:jc w:val="both"/>
        <w:rPr>
          <w:sz w:val="22"/>
          <w:szCs w:val="22"/>
        </w:rPr>
      </w:pPr>
      <w:r w:rsidRPr="00323EF3">
        <w:rPr>
          <w:sz w:val="22"/>
          <w:szCs w:val="22"/>
        </w:rPr>
        <w:t>2. Григораш, О. В. Статические преобразователи электроэне</w:t>
      </w:r>
      <w:r w:rsidRPr="00323EF3">
        <w:rPr>
          <w:sz w:val="22"/>
          <w:szCs w:val="22"/>
        </w:rPr>
        <w:t>р</w:t>
      </w:r>
      <w:r w:rsidRPr="00323EF3">
        <w:rPr>
          <w:sz w:val="22"/>
          <w:szCs w:val="22"/>
        </w:rPr>
        <w:t xml:space="preserve">гии / О. В. Григораш, О. В. Новокрещенов, А. А. Хамула и др. – Краснодар, 2006. –  264 с. </w:t>
      </w:r>
    </w:p>
    <w:p w:rsidR="000F594F" w:rsidRPr="00323EF3" w:rsidRDefault="000F594F" w:rsidP="000F594F">
      <w:pPr>
        <w:ind w:firstLine="426"/>
        <w:jc w:val="both"/>
        <w:rPr>
          <w:sz w:val="22"/>
          <w:szCs w:val="22"/>
        </w:rPr>
      </w:pPr>
      <w:r w:rsidRPr="00323EF3">
        <w:rPr>
          <w:sz w:val="22"/>
          <w:szCs w:val="22"/>
        </w:rPr>
        <w:t>3. Атрощенко, В. А. Непосредственные преобразователи част</w:t>
      </w:r>
      <w:r w:rsidRPr="00323EF3">
        <w:rPr>
          <w:sz w:val="22"/>
          <w:szCs w:val="22"/>
        </w:rPr>
        <w:t>о</w:t>
      </w:r>
      <w:r w:rsidRPr="00323EF3">
        <w:rPr>
          <w:sz w:val="22"/>
          <w:szCs w:val="22"/>
        </w:rPr>
        <w:t>ты с улучшенными техническими характеристиками для систем а</w:t>
      </w:r>
      <w:r w:rsidRPr="00323EF3">
        <w:rPr>
          <w:sz w:val="22"/>
          <w:szCs w:val="22"/>
        </w:rPr>
        <w:t>в</w:t>
      </w:r>
      <w:r w:rsidRPr="00323EF3">
        <w:rPr>
          <w:sz w:val="22"/>
          <w:szCs w:val="22"/>
        </w:rPr>
        <w:t>тономного электроснабжения / В. А. Атрощенко, О. В. Григораш // Электротехника. – 1997. –  № 11. – С. 56–60.</w:t>
      </w:r>
    </w:p>
    <w:p w:rsidR="000F594F" w:rsidRPr="00323EF3" w:rsidRDefault="000F594F" w:rsidP="000F594F">
      <w:pPr>
        <w:ind w:firstLine="426"/>
        <w:jc w:val="both"/>
        <w:rPr>
          <w:sz w:val="22"/>
          <w:szCs w:val="22"/>
        </w:rPr>
      </w:pPr>
      <w:r w:rsidRPr="00323EF3">
        <w:rPr>
          <w:sz w:val="22"/>
          <w:szCs w:val="22"/>
        </w:rPr>
        <w:t>4. Григораш, О. В. Системы гарантированного электроснабж</w:t>
      </w:r>
      <w:r w:rsidRPr="00323EF3">
        <w:rPr>
          <w:sz w:val="22"/>
          <w:szCs w:val="22"/>
        </w:rPr>
        <w:t>е</w:t>
      </w:r>
      <w:r w:rsidRPr="00323EF3">
        <w:rPr>
          <w:sz w:val="22"/>
          <w:szCs w:val="22"/>
        </w:rPr>
        <w:t>ния / О. В. Григораш, А. Ю. Попов, Е. А. Власенко и др. – Красн</w:t>
      </w:r>
      <w:r w:rsidRPr="00323EF3">
        <w:rPr>
          <w:sz w:val="22"/>
          <w:szCs w:val="22"/>
        </w:rPr>
        <w:t>о</w:t>
      </w:r>
      <w:r w:rsidRPr="00323EF3">
        <w:rPr>
          <w:sz w:val="22"/>
          <w:szCs w:val="22"/>
        </w:rPr>
        <w:t>дар: КубГАУ, 2017. –  223 с.</w:t>
      </w:r>
    </w:p>
    <w:p w:rsidR="000F594F" w:rsidRPr="00323EF3" w:rsidRDefault="000F594F" w:rsidP="000F594F">
      <w:pPr>
        <w:ind w:firstLine="426"/>
        <w:jc w:val="both"/>
        <w:rPr>
          <w:sz w:val="22"/>
          <w:szCs w:val="22"/>
        </w:rPr>
      </w:pPr>
      <w:r w:rsidRPr="00323EF3">
        <w:rPr>
          <w:sz w:val="22"/>
          <w:szCs w:val="22"/>
        </w:rPr>
        <w:t>5. Григораш, О. В. Статические стабилизаторы и преобразов</w:t>
      </w:r>
      <w:r w:rsidRPr="00323EF3">
        <w:rPr>
          <w:sz w:val="22"/>
          <w:szCs w:val="22"/>
        </w:rPr>
        <w:t>а</w:t>
      </w:r>
      <w:r w:rsidRPr="00323EF3">
        <w:rPr>
          <w:sz w:val="22"/>
          <w:szCs w:val="22"/>
        </w:rPr>
        <w:t>тели  автономных систем электроснабжения / О. В. Григораш, Ю. П. Степура, А. Е. Усков – Краснодар: КубГАУ, 2011. –  188 с.</w:t>
      </w:r>
    </w:p>
    <w:p w:rsidR="000F594F" w:rsidRDefault="000F594F" w:rsidP="000F594F">
      <w:pPr>
        <w:ind w:firstLine="426"/>
        <w:jc w:val="both"/>
        <w:rPr>
          <w:sz w:val="22"/>
          <w:szCs w:val="22"/>
        </w:rPr>
      </w:pPr>
    </w:p>
    <w:p w:rsidR="00AD6B98" w:rsidRDefault="00AD6B98" w:rsidP="000F594F">
      <w:pPr>
        <w:ind w:firstLine="426"/>
        <w:jc w:val="both"/>
        <w:rPr>
          <w:sz w:val="22"/>
          <w:szCs w:val="22"/>
        </w:rPr>
      </w:pPr>
    </w:p>
    <w:p w:rsidR="00AD6B98" w:rsidRDefault="00AD6B98" w:rsidP="000F594F">
      <w:pPr>
        <w:ind w:firstLine="426"/>
        <w:jc w:val="both"/>
        <w:rPr>
          <w:sz w:val="22"/>
          <w:szCs w:val="22"/>
        </w:rPr>
      </w:pPr>
    </w:p>
    <w:p w:rsidR="00541CA5" w:rsidRPr="00323EF3" w:rsidRDefault="00541CA5" w:rsidP="000F594F">
      <w:pPr>
        <w:ind w:firstLine="426"/>
        <w:jc w:val="both"/>
        <w:rPr>
          <w:sz w:val="22"/>
          <w:szCs w:val="22"/>
        </w:rPr>
      </w:pPr>
    </w:p>
    <w:p w:rsidR="000F594F" w:rsidRPr="00C56F2E" w:rsidRDefault="000F594F" w:rsidP="000F594F">
      <w:pPr>
        <w:tabs>
          <w:tab w:val="left" w:pos="5040"/>
        </w:tabs>
        <w:rPr>
          <w:sz w:val="22"/>
          <w:szCs w:val="22"/>
          <w:lang w:val="en-US"/>
        </w:rPr>
      </w:pPr>
      <w:r w:rsidRPr="00323EF3">
        <w:rPr>
          <w:sz w:val="22"/>
          <w:szCs w:val="22"/>
        </w:rPr>
        <w:lastRenderedPageBreak/>
        <w:t>УДК</w:t>
      </w:r>
      <w:r w:rsidRPr="00C56F2E">
        <w:rPr>
          <w:sz w:val="22"/>
          <w:szCs w:val="22"/>
          <w:lang w:val="en-US"/>
        </w:rPr>
        <w:t xml:space="preserve"> 621.314</w:t>
      </w:r>
    </w:p>
    <w:p w:rsidR="00AD6B98" w:rsidRPr="00C56F2E" w:rsidRDefault="00AD6B98" w:rsidP="000F594F">
      <w:pPr>
        <w:tabs>
          <w:tab w:val="left" w:pos="5040"/>
        </w:tabs>
        <w:rPr>
          <w:sz w:val="22"/>
          <w:szCs w:val="22"/>
          <w:lang w:val="en-US"/>
        </w:rPr>
      </w:pPr>
    </w:p>
    <w:p w:rsidR="000F594F" w:rsidRPr="00C56F2E" w:rsidRDefault="000F594F" w:rsidP="00AD6B98">
      <w:pPr>
        <w:tabs>
          <w:tab w:val="left" w:pos="5040"/>
        </w:tabs>
        <w:jc w:val="center"/>
        <w:rPr>
          <w:b/>
          <w:sz w:val="24"/>
          <w:szCs w:val="24"/>
          <w:lang w:val="en-US"/>
        </w:rPr>
      </w:pPr>
      <w:r w:rsidRPr="00AD6B98">
        <w:rPr>
          <w:b/>
          <w:sz w:val="24"/>
          <w:szCs w:val="24"/>
        </w:rPr>
        <w:t>Исследование</w:t>
      </w:r>
      <w:r w:rsidRPr="00C56F2E">
        <w:rPr>
          <w:b/>
          <w:sz w:val="24"/>
          <w:szCs w:val="24"/>
          <w:lang w:val="en-US"/>
        </w:rPr>
        <w:t xml:space="preserve"> </w:t>
      </w:r>
      <w:r w:rsidRPr="00AD6B98">
        <w:rPr>
          <w:b/>
          <w:sz w:val="24"/>
          <w:szCs w:val="24"/>
        </w:rPr>
        <w:t>повреждений</w:t>
      </w:r>
      <w:r w:rsidRPr="00C56F2E">
        <w:rPr>
          <w:b/>
          <w:sz w:val="24"/>
          <w:szCs w:val="24"/>
          <w:lang w:val="en-US"/>
        </w:rPr>
        <w:t xml:space="preserve"> </w:t>
      </w:r>
      <w:r w:rsidRPr="00AD6B98">
        <w:rPr>
          <w:b/>
          <w:sz w:val="24"/>
          <w:szCs w:val="24"/>
        </w:rPr>
        <w:t>асинхронного</w:t>
      </w:r>
      <w:r w:rsidRPr="00C56F2E">
        <w:rPr>
          <w:b/>
          <w:sz w:val="24"/>
          <w:szCs w:val="24"/>
          <w:lang w:val="en-US"/>
        </w:rPr>
        <w:t xml:space="preserve"> </w:t>
      </w:r>
      <w:r w:rsidRPr="00AD6B98">
        <w:rPr>
          <w:b/>
          <w:sz w:val="24"/>
          <w:szCs w:val="24"/>
        </w:rPr>
        <w:t>генератора</w:t>
      </w:r>
    </w:p>
    <w:p w:rsidR="000F594F" w:rsidRPr="00323EF3" w:rsidRDefault="000F594F" w:rsidP="00AD6B98">
      <w:pPr>
        <w:jc w:val="center"/>
        <w:rPr>
          <w:b/>
          <w:sz w:val="24"/>
          <w:szCs w:val="24"/>
          <w:lang w:val="en-US"/>
        </w:rPr>
      </w:pPr>
      <w:r w:rsidRPr="00323EF3">
        <w:rPr>
          <w:b/>
          <w:sz w:val="24"/>
          <w:szCs w:val="24"/>
          <w:lang w:val="en-US"/>
        </w:rPr>
        <w:t>Investigation of damages of an asynchronous generator</w:t>
      </w:r>
    </w:p>
    <w:p w:rsidR="000F594F" w:rsidRPr="00323EF3" w:rsidRDefault="000F594F" w:rsidP="000F594F">
      <w:pPr>
        <w:ind w:left="450"/>
        <w:jc w:val="center"/>
        <w:rPr>
          <w:b/>
          <w:sz w:val="22"/>
          <w:szCs w:val="22"/>
          <w:lang w:val="en-US"/>
        </w:rPr>
      </w:pPr>
    </w:p>
    <w:p w:rsidR="000F594F" w:rsidRPr="00323EF3" w:rsidRDefault="000F594F" w:rsidP="000F594F">
      <w:pPr>
        <w:tabs>
          <w:tab w:val="left" w:pos="5040"/>
        </w:tabs>
        <w:jc w:val="right"/>
        <w:rPr>
          <w:sz w:val="22"/>
          <w:szCs w:val="22"/>
        </w:rPr>
      </w:pPr>
      <w:r w:rsidRPr="00323EF3">
        <w:rPr>
          <w:sz w:val="22"/>
          <w:szCs w:val="22"/>
        </w:rPr>
        <w:t>Сташ И. Б.,</w:t>
      </w:r>
    </w:p>
    <w:p w:rsidR="000F594F" w:rsidRPr="00323EF3" w:rsidRDefault="000F594F" w:rsidP="000F594F">
      <w:pPr>
        <w:tabs>
          <w:tab w:val="left" w:pos="5040"/>
        </w:tabs>
        <w:jc w:val="right"/>
        <w:rPr>
          <w:sz w:val="22"/>
          <w:szCs w:val="22"/>
        </w:rPr>
      </w:pPr>
      <w:r w:rsidRPr="00323EF3">
        <w:rPr>
          <w:sz w:val="22"/>
          <w:szCs w:val="22"/>
        </w:rPr>
        <w:t>студент 2 курса магистратуры факультета энергетики</w:t>
      </w:r>
    </w:p>
    <w:p w:rsidR="000F594F" w:rsidRPr="00323EF3" w:rsidRDefault="000F594F" w:rsidP="000F594F">
      <w:pPr>
        <w:tabs>
          <w:tab w:val="left" w:pos="5040"/>
        </w:tabs>
        <w:jc w:val="right"/>
        <w:rPr>
          <w:sz w:val="22"/>
          <w:szCs w:val="22"/>
        </w:rPr>
      </w:pPr>
      <w:r w:rsidRPr="00323EF3">
        <w:rPr>
          <w:sz w:val="22"/>
          <w:szCs w:val="22"/>
        </w:rPr>
        <w:t>Соболь А. Н.,</w:t>
      </w:r>
    </w:p>
    <w:p w:rsidR="000F594F" w:rsidRPr="00323EF3" w:rsidRDefault="000F594F" w:rsidP="000F594F">
      <w:pPr>
        <w:tabs>
          <w:tab w:val="left" w:pos="5040"/>
        </w:tabs>
        <w:jc w:val="right"/>
        <w:rPr>
          <w:sz w:val="22"/>
          <w:szCs w:val="22"/>
        </w:rPr>
      </w:pPr>
      <w:r w:rsidRPr="00323EF3">
        <w:rPr>
          <w:sz w:val="22"/>
          <w:szCs w:val="22"/>
        </w:rPr>
        <w:t>доцент кафедры электротехники,</w:t>
      </w:r>
    </w:p>
    <w:p w:rsidR="000F594F" w:rsidRPr="00323EF3" w:rsidRDefault="000F594F" w:rsidP="000F594F">
      <w:pPr>
        <w:tabs>
          <w:tab w:val="left" w:pos="5040"/>
        </w:tabs>
        <w:jc w:val="right"/>
        <w:rPr>
          <w:sz w:val="22"/>
          <w:szCs w:val="22"/>
        </w:rPr>
      </w:pPr>
      <w:r w:rsidRPr="00323EF3">
        <w:rPr>
          <w:sz w:val="22"/>
          <w:szCs w:val="22"/>
        </w:rPr>
        <w:t xml:space="preserve">теплотехники и возобновляемых </w:t>
      </w:r>
    </w:p>
    <w:p w:rsidR="000F594F" w:rsidRPr="00323EF3" w:rsidRDefault="000F594F" w:rsidP="000F594F">
      <w:pPr>
        <w:tabs>
          <w:tab w:val="left" w:pos="5040"/>
        </w:tabs>
        <w:jc w:val="right"/>
        <w:rPr>
          <w:sz w:val="22"/>
          <w:szCs w:val="22"/>
        </w:rPr>
      </w:pPr>
      <w:r w:rsidRPr="00323EF3">
        <w:rPr>
          <w:sz w:val="22"/>
          <w:szCs w:val="22"/>
        </w:rPr>
        <w:t>источников энергии</w:t>
      </w:r>
    </w:p>
    <w:p w:rsidR="000F594F" w:rsidRPr="00323EF3" w:rsidRDefault="000F594F" w:rsidP="000F594F">
      <w:pPr>
        <w:tabs>
          <w:tab w:val="left" w:pos="5040"/>
        </w:tabs>
        <w:jc w:val="right"/>
        <w:rPr>
          <w:sz w:val="22"/>
          <w:szCs w:val="22"/>
        </w:rPr>
      </w:pPr>
      <w:r w:rsidRPr="00323EF3">
        <w:rPr>
          <w:sz w:val="22"/>
          <w:szCs w:val="22"/>
        </w:rPr>
        <w:t xml:space="preserve">Кубанский государственный аграрный </w:t>
      </w:r>
    </w:p>
    <w:p w:rsidR="000F594F" w:rsidRPr="00323EF3" w:rsidRDefault="000F594F" w:rsidP="000F594F">
      <w:pPr>
        <w:tabs>
          <w:tab w:val="left" w:pos="5040"/>
        </w:tabs>
        <w:jc w:val="right"/>
        <w:rPr>
          <w:sz w:val="22"/>
          <w:szCs w:val="22"/>
        </w:rPr>
      </w:pPr>
      <w:r w:rsidRPr="00323EF3">
        <w:rPr>
          <w:sz w:val="22"/>
          <w:szCs w:val="22"/>
        </w:rPr>
        <w:t>университет имени И. Т. Трубилина</w:t>
      </w:r>
    </w:p>
    <w:p w:rsidR="000F594F" w:rsidRPr="00323EF3" w:rsidRDefault="000F594F" w:rsidP="000F594F">
      <w:pPr>
        <w:tabs>
          <w:tab w:val="left" w:pos="5040"/>
        </w:tabs>
        <w:jc w:val="right"/>
        <w:rPr>
          <w:sz w:val="22"/>
          <w:szCs w:val="22"/>
        </w:rPr>
      </w:pPr>
    </w:p>
    <w:p w:rsidR="000F594F" w:rsidRPr="00323EF3" w:rsidRDefault="000F594F" w:rsidP="000F594F">
      <w:pPr>
        <w:tabs>
          <w:tab w:val="left" w:pos="5040"/>
        </w:tabs>
        <w:ind w:firstLine="426"/>
        <w:jc w:val="both"/>
        <w:rPr>
          <w:sz w:val="22"/>
          <w:szCs w:val="22"/>
        </w:rPr>
      </w:pPr>
      <w:r w:rsidRPr="00323EF3">
        <w:rPr>
          <w:sz w:val="22"/>
          <w:szCs w:val="22"/>
        </w:rPr>
        <w:t>АННОТАЦИЯ. Исследуются повреждения в автономном аси</w:t>
      </w:r>
      <w:r w:rsidRPr="00323EF3">
        <w:rPr>
          <w:sz w:val="22"/>
          <w:szCs w:val="22"/>
        </w:rPr>
        <w:t>н</w:t>
      </w:r>
      <w:r w:rsidRPr="00323EF3">
        <w:rPr>
          <w:sz w:val="22"/>
          <w:szCs w:val="22"/>
        </w:rPr>
        <w:t>хронном генераторе, в частности в статоре и в короткозамкнутом роторе и их влияние на функционирование генератора.</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Annotation. </w:t>
      </w:r>
      <w:r w:rsidRPr="00323EF3">
        <w:rPr>
          <w:sz w:val="22"/>
          <w:szCs w:val="22"/>
          <w:lang w:val="en-US"/>
        </w:rPr>
        <w:t>Damage is investigated in an autonomous asy</w:t>
      </w:r>
      <w:r w:rsidRPr="00323EF3">
        <w:rPr>
          <w:sz w:val="22"/>
          <w:szCs w:val="22"/>
          <w:lang w:val="en-US"/>
        </w:rPr>
        <w:t>n</w:t>
      </w:r>
      <w:r w:rsidRPr="00323EF3">
        <w:rPr>
          <w:sz w:val="22"/>
          <w:szCs w:val="22"/>
          <w:lang w:val="en-US"/>
        </w:rPr>
        <w:t>chronous generator, in particular in a stator and in a short-circuited rotor and their effect on the functioning of the generator.</w:t>
      </w:r>
    </w:p>
    <w:p w:rsidR="000F594F" w:rsidRPr="00323EF3" w:rsidRDefault="000F594F" w:rsidP="000F594F">
      <w:pPr>
        <w:tabs>
          <w:tab w:val="left" w:pos="5040"/>
        </w:tabs>
        <w:ind w:firstLine="426"/>
        <w:jc w:val="both"/>
        <w:rPr>
          <w:sz w:val="22"/>
          <w:szCs w:val="22"/>
        </w:rPr>
      </w:pPr>
      <w:r w:rsidRPr="00323EF3">
        <w:rPr>
          <w:sz w:val="22"/>
          <w:szCs w:val="22"/>
        </w:rPr>
        <w:t>КЛЮЧЕВЫЕ СЛОВА: автономный асинхронный генератор, статор, короткозамкнутый ротор.</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key words: </w:t>
      </w:r>
      <w:r w:rsidRPr="00323EF3">
        <w:rPr>
          <w:sz w:val="22"/>
          <w:szCs w:val="22"/>
          <w:lang w:val="en-US"/>
        </w:rPr>
        <w:t>autonomous asynchronous generator, stator, squi</w:t>
      </w:r>
      <w:r w:rsidRPr="00323EF3">
        <w:rPr>
          <w:sz w:val="22"/>
          <w:szCs w:val="22"/>
          <w:lang w:val="en-US"/>
        </w:rPr>
        <w:t>r</w:t>
      </w:r>
      <w:r w:rsidRPr="00323EF3">
        <w:rPr>
          <w:sz w:val="22"/>
          <w:szCs w:val="22"/>
          <w:lang w:val="en-US"/>
        </w:rPr>
        <w:t>rel-cage rotor.</w:t>
      </w:r>
    </w:p>
    <w:p w:rsidR="000F594F" w:rsidRPr="00323EF3" w:rsidRDefault="000F594F" w:rsidP="000F594F">
      <w:pPr>
        <w:tabs>
          <w:tab w:val="left" w:pos="5040"/>
          <w:tab w:val="left" w:pos="8080"/>
        </w:tabs>
        <w:ind w:firstLine="426"/>
        <w:jc w:val="both"/>
        <w:rPr>
          <w:sz w:val="22"/>
          <w:szCs w:val="22"/>
          <w:lang w:val="en-US"/>
        </w:rPr>
      </w:pPr>
    </w:p>
    <w:p w:rsidR="000F594F" w:rsidRPr="00323EF3" w:rsidRDefault="000F594F" w:rsidP="000F594F">
      <w:pPr>
        <w:ind w:firstLine="426"/>
        <w:jc w:val="both"/>
        <w:rPr>
          <w:sz w:val="22"/>
          <w:szCs w:val="22"/>
        </w:rPr>
      </w:pPr>
      <w:r w:rsidRPr="00323EF3">
        <w:rPr>
          <w:sz w:val="22"/>
          <w:szCs w:val="22"/>
        </w:rPr>
        <w:t>В настоящее время особую значимость приобретает возмо</w:t>
      </w:r>
      <w:r w:rsidRPr="00323EF3">
        <w:rPr>
          <w:sz w:val="22"/>
          <w:szCs w:val="22"/>
        </w:rPr>
        <w:t>ж</w:t>
      </w:r>
      <w:r w:rsidRPr="00323EF3">
        <w:rPr>
          <w:sz w:val="22"/>
          <w:szCs w:val="22"/>
        </w:rPr>
        <w:t>ность использования асинхронных генераторов с емкостным сам</w:t>
      </w:r>
      <w:r w:rsidRPr="00323EF3">
        <w:rPr>
          <w:sz w:val="22"/>
          <w:szCs w:val="22"/>
        </w:rPr>
        <w:t>о</w:t>
      </w:r>
      <w:r w:rsidRPr="00323EF3">
        <w:rPr>
          <w:sz w:val="22"/>
          <w:szCs w:val="22"/>
        </w:rPr>
        <w:t>возбуждением. Это стало возможным благодаря теоретическим и</w:t>
      </w:r>
      <w:r w:rsidRPr="00323EF3">
        <w:rPr>
          <w:sz w:val="22"/>
          <w:szCs w:val="22"/>
        </w:rPr>
        <w:t>с</w:t>
      </w:r>
      <w:r w:rsidRPr="00323EF3">
        <w:rPr>
          <w:sz w:val="22"/>
          <w:szCs w:val="22"/>
        </w:rPr>
        <w:t>следованием процессов работы генераторов, а также опытному и</w:t>
      </w:r>
      <w:r w:rsidRPr="00323EF3">
        <w:rPr>
          <w:sz w:val="22"/>
          <w:szCs w:val="22"/>
        </w:rPr>
        <w:t>с</w:t>
      </w:r>
      <w:r w:rsidRPr="00323EF3">
        <w:rPr>
          <w:sz w:val="22"/>
          <w:szCs w:val="22"/>
        </w:rPr>
        <w:t>пользованию их в промышленности и сельском хозяйстве [1, 2]. Использование асинхронных генераторов, как автономных исто</w:t>
      </w:r>
      <w:r w:rsidRPr="00323EF3">
        <w:rPr>
          <w:sz w:val="22"/>
          <w:szCs w:val="22"/>
        </w:rPr>
        <w:t>ч</w:t>
      </w:r>
      <w:r w:rsidRPr="00323EF3">
        <w:rPr>
          <w:sz w:val="22"/>
          <w:szCs w:val="22"/>
        </w:rPr>
        <w:t>ников электроэнергии в установках малой средней мощности во</w:t>
      </w:r>
      <w:r w:rsidRPr="00323EF3">
        <w:rPr>
          <w:sz w:val="22"/>
          <w:szCs w:val="22"/>
        </w:rPr>
        <w:t>з</w:t>
      </w:r>
      <w:r w:rsidRPr="00323EF3">
        <w:rPr>
          <w:sz w:val="22"/>
          <w:szCs w:val="22"/>
        </w:rPr>
        <w:t>можно как в коллективных хозяйствах, так и в частных целях. При этом можно использовать ветровую и гидроэнергию в качестве пе</w:t>
      </w:r>
      <w:r w:rsidRPr="00323EF3">
        <w:rPr>
          <w:sz w:val="22"/>
          <w:szCs w:val="22"/>
        </w:rPr>
        <w:t>р</w:t>
      </w:r>
      <w:r w:rsidRPr="00323EF3">
        <w:rPr>
          <w:sz w:val="22"/>
          <w:szCs w:val="22"/>
        </w:rPr>
        <w:t>вичных источников. Использование асинхронных генераторов по</w:t>
      </w:r>
      <w:r w:rsidRPr="00323EF3">
        <w:rPr>
          <w:sz w:val="22"/>
          <w:szCs w:val="22"/>
        </w:rPr>
        <w:t>з</w:t>
      </w:r>
      <w:r w:rsidRPr="00323EF3">
        <w:rPr>
          <w:sz w:val="22"/>
          <w:szCs w:val="22"/>
        </w:rPr>
        <w:t>воляет экономически выгодно обеспечивать электроэнергией о</w:t>
      </w:r>
      <w:r w:rsidRPr="00323EF3">
        <w:rPr>
          <w:sz w:val="22"/>
          <w:szCs w:val="22"/>
        </w:rPr>
        <w:t>т</w:t>
      </w:r>
      <w:r w:rsidRPr="00323EF3">
        <w:rPr>
          <w:sz w:val="22"/>
          <w:szCs w:val="22"/>
        </w:rPr>
        <w:t>дельные районы и населенные пункты большой территории Росси</w:t>
      </w:r>
      <w:r w:rsidRPr="00323EF3">
        <w:rPr>
          <w:sz w:val="22"/>
          <w:szCs w:val="22"/>
        </w:rPr>
        <w:t>й</w:t>
      </w:r>
      <w:r w:rsidRPr="00323EF3">
        <w:rPr>
          <w:sz w:val="22"/>
          <w:szCs w:val="22"/>
        </w:rPr>
        <w:t>ской Федерации.</w:t>
      </w:r>
    </w:p>
    <w:p w:rsidR="000F594F" w:rsidRPr="00323EF3" w:rsidRDefault="000F594F" w:rsidP="000F594F">
      <w:pPr>
        <w:ind w:firstLine="426"/>
        <w:jc w:val="both"/>
        <w:rPr>
          <w:sz w:val="22"/>
          <w:szCs w:val="22"/>
        </w:rPr>
      </w:pPr>
      <w:r w:rsidRPr="00323EF3">
        <w:rPr>
          <w:sz w:val="22"/>
          <w:szCs w:val="22"/>
        </w:rPr>
        <w:lastRenderedPageBreak/>
        <w:t>Неисправность асинхронного генератора может привести к прекращению его работы, что может повлечь за собой аварийные простои и нарушение технологических и производственных пр</w:t>
      </w:r>
      <w:r w:rsidRPr="00323EF3">
        <w:rPr>
          <w:sz w:val="22"/>
          <w:szCs w:val="22"/>
        </w:rPr>
        <w:t>о</w:t>
      </w:r>
      <w:r w:rsidRPr="00323EF3">
        <w:rPr>
          <w:sz w:val="22"/>
          <w:szCs w:val="22"/>
        </w:rPr>
        <w:t>цессов в самых различных электроэнергетических и электротехн</w:t>
      </w:r>
      <w:r w:rsidRPr="00323EF3">
        <w:rPr>
          <w:sz w:val="22"/>
          <w:szCs w:val="22"/>
        </w:rPr>
        <w:t>и</w:t>
      </w:r>
      <w:r w:rsidRPr="00323EF3">
        <w:rPr>
          <w:sz w:val="22"/>
          <w:szCs w:val="22"/>
        </w:rPr>
        <w:t>ческих комплексах, в которых используются данные генераторы. Поэтому особенно важно вовремя диагностировать и устранить данные неисправности.</w:t>
      </w:r>
    </w:p>
    <w:p w:rsidR="000F594F" w:rsidRPr="00323EF3" w:rsidRDefault="000F594F" w:rsidP="000F594F">
      <w:pPr>
        <w:ind w:firstLine="426"/>
        <w:jc w:val="both"/>
        <w:rPr>
          <w:sz w:val="22"/>
          <w:szCs w:val="22"/>
        </w:rPr>
      </w:pPr>
      <w:r w:rsidRPr="00323EF3">
        <w:rPr>
          <w:sz w:val="22"/>
          <w:szCs w:val="22"/>
        </w:rPr>
        <w:t>Витковое короткое замыкание в статорной обмотке асинхро</w:t>
      </w:r>
      <w:r w:rsidRPr="00323EF3">
        <w:rPr>
          <w:sz w:val="22"/>
          <w:szCs w:val="22"/>
        </w:rPr>
        <w:t>н</w:t>
      </w:r>
      <w:r w:rsidRPr="00323EF3">
        <w:rPr>
          <w:sz w:val="22"/>
          <w:szCs w:val="22"/>
        </w:rPr>
        <w:t>ного генератора, при малом числе замкнутых витков, вызывает нарушение его режима работы. При этом появляются значительные токи в короткозамкнутых витках, а генератор не теряет возбужд</w:t>
      </w:r>
      <w:r w:rsidRPr="00323EF3">
        <w:rPr>
          <w:sz w:val="22"/>
          <w:szCs w:val="22"/>
        </w:rPr>
        <w:t>е</w:t>
      </w:r>
      <w:r w:rsidRPr="00323EF3">
        <w:rPr>
          <w:sz w:val="22"/>
          <w:szCs w:val="22"/>
        </w:rPr>
        <w:t>ния. Таким образом появляется необходимость в разработке соо</w:t>
      </w:r>
      <w:r w:rsidRPr="00323EF3">
        <w:rPr>
          <w:sz w:val="22"/>
          <w:szCs w:val="22"/>
        </w:rPr>
        <w:t>т</w:t>
      </w:r>
      <w:r w:rsidRPr="00323EF3">
        <w:rPr>
          <w:sz w:val="22"/>
          <w:szCs w:val="22"/>
        </w:rPr>
        <w:t>ветствующей защиты асинхронного генератора. Для этой цели был проведен анализ токов в случае витковых и междуфазных коротких замыканий в статорной обмотке генератора. В ходе экспериментов были специально выведены наружу из лобовой части обмотки ст</w:t>
      </w:r>
      <w:r w:rsidRPr="00323EF3">
        <w:rPr>
          <w:sz w:val="22"/>
          <w:szCs w:val="22"/>
        </w:rPr>
        <w:t>а</w:t>
      </w:r>
      <w:r w:rsidRPr="00323EF3">
        <w:rPr>
          <w:sz w:val="22"/>
          <w:szCs w:val="22"/>
        </w:rPr>
        <w:t>тора вывода. С их помощью искусственно создавались короткие замыкания в обмотке. Асинхронный генератор был выполнен на базе асинхронного электродвигателя с короткозамкнутым ротором типа 4A100S4У3 (3 кВт, 1435 об/мин). Количество витков в фазе равно 210. Емкость самовозбуждения равна 12 мкФ. Генератор пр</w:t>
      </w:r>
      <w:r w:rsidRPr="00323EF3">
        <w:rPr>
          <w:sz w:val="22"/>
          <w:szCs w:val="22"/>
        </w:rPr>
        <w:t>и</w:t>
      </w:r>
      <w:r w:rsidRPr="00323EF3">
        <w:rPr>
          <w:sz w:val="22"/>
          <w:szCs w:val="22"/>
        </w:rPr>
        <w:t>водился во вращение двигателем постоянного тока (ДПТ). Напр</w:t>
      </w:r>
      <w:r w:rsidRPr="00323EF3">
        <w:rPr>
          <w:sz w:val="22"/>
          <w:szCs w:val="22"/>
        </w:rPr>
        <w:t>я</w:t>
      </w:r>
      <w:r w:rsidRPr="00323EF3">
        <w:rPr>
          <w:sz w:val="22"/>
          <w:szCs w:val="22"/>
        </w:rPr>
        <w:t>жение на генераторе поддерживалось равным 220 В [3].</w:t>
      </w:r>
    </w:p>
    <w:p w:rsidR="000F594F" w:rsidRPr="00323EF3" w:rsidRDefault="000F594F" w:rsidP="000F594F">
      <w:pPr>
        <w:ind w:firstLine="426"/>
        <w:jc w:val="both"/>
        <w:rPr>
          <w:sz w:val="22"/>
          <w:szCs w:val="22"/>
        </w:rPr>
      </w:pPr>
      <w:r w:rsidRPr="00323EF3">
        <w:rPr>
          <w:sz w:val="22"/>
          <w:szCs w:val="22"/>
        </w:rPr>
        <w:t>В ходе опытов выяснилось, что ток в короткозамкнутой части обмотки увеличивается в 5-10 раз по сравнению с номинальным, но явной несимметрии фазных токов нагрузки не наблюдается. Только в случае замыкания 15–30 % витков в обмотке статора генератор теряет возбуждение. Таким образом, в случае замыкания небольш</w:t>
      </w:r>
      <w:r w:rsidRPr="00323EF3">
        <w:rPr>
          <w:sz w:val="22"/>
          <w:szCs w:val="22"/>
        </w:rPr>
        <w:t>о</w:t>
      </w:r>
      <w:r w:rsidRPr="00323EF3">
        <w:rPr>
          <w:sz w:val="22"/>
          <w:szCs w:val="22"/>
        </w:rPr>
        <w:t>го числа витков может появиться термическое повреждение обмо</w:t>
      </w:r>
      <w:r w:rsidRPr="00323EF3">
        <w:rPr>
          <w:sz w:val="22"/>
          <w:szCs w:val="22"/>
        </w:rPr>
        <w:t>т</w:t>
      </w:r>
      <w:r w:rsidRPr="00323EF3">
        <w:rPr>
          <w:sz w:val="22"/>
          <w:szCs w:val="22"/>
        </w:rPr>
        <w:t>ки, пожар и т.д. При возникновении виткового замыкания в начал</w:t>
      </w:r>
      <w:r w:rsidRPr="00323EF3">
        <w:rPr>
          <w:sz w:val="22"/>
          <w:szCs w:val="22"/>
        </w:rPr>
        <w:t>ь</w:t>
      </w:r>
      <w:r w:rsidRPr="00323EF3">
        <w:rPr>
          <w:sz w:val="22"/>
          <w:szCs w:val="22"/>
        </w:rPr>
        <w:t>ный момент наблюдается резкий бросок тока в короткозамкнутом контуре. Далее в течение 3-4 секунд ток короткого замыкания пр</w:t>
      </w:r>
      <w:r w:rsidRPr="00323EF3">
        <w:rPr>
          <w:sz w:val="22"/>
          <w:szCs w:val="22"/>
        </w:rPr>
        <w:t>и</w:t>
      </w:r>
      <w:r w:rsidRPr="00323EF3">
        <w:rPr>
          <w:sz w:val="22"/>
          <w:szCs w:val="22"/>
        </w:rPr>
        <w:t>нимает установившееся значение [4].</w:t>
      </w:r>
    </w:p>
    <w:p w:rsidR="000F594F" w:rsidRPr="00323EF3" w:rsidRDefault="000F594F" w:rsidP="000F594F">
      <w:pPr>
        <w:ind w:firstLine="426"/>
        <w:jc w:val="both"/>
        <w:rPr>
          <w:sz w:val="22"/>
          <w:szCs w:val="22"/>
        </w:rPr>
      </w:pPr>
      <w:r w:rsidRPr="00323EF3">
        <w:rPr>
          <w:sz w:val="22"/>
          <w:szCs w:val="22"/>
        </w:rPr>
        <w:t>Также исследовались поврежденияй в короткозамкнутом рот</w:t>
      </w:r>
      <w:r w:rsidRPr="00323EF3">
        <w:rPr>
          <w:sz w:val="22"/>
          <w:szCs w:val="22"/>
        </w:rPr>
        <w:t>о</w:t>
      </w:r>
      <w:r w:rsidRPr="00323EF3">
        <w:rPr>
          <w:sz w:val="22"/>
          <w:szCs w:val="22"/>
        </w:rPr>
        <w:t>ре асинхронного генератора. В случае обрыва стержня беличьей клетки ротора наблюдается пульсация фазных токов, колебание ч</w:t>
      </w:r>
      <w:r w:rsidRPr="00323EF3">
        <w:rPr>
          <w:sz w:val="22"/>
          <w:szCs w:val="22"/>
        </w:rPr>
        <w:t>а</w:t>
      </w:r>
      <w:r w:rsidRPr="00323EF3">
        <w:rPr>
          <w:sz w:val="22"/>
          <w:szCs w:val="22"/>
        </w:rPr>
        <w:t xml:space="preserve">стоты вращения, увеличение шума, вибрация и т. д. При этом </w:t>
      </w:r>
      <w:r w:rsidRPr="00323EF3">
        <w:rPr>
          <w:sz w:val="22"/>
          <w:szCs w:val="22"/>
        </w:rPr>
        <w:lastRenderedPageBreak/>
        <w:t>наблюдается перегревание ротра, которая вызываетя общий пов</w:t>
      </w:r>
      <w:r w:rsidRPr="00323EF3">
        <w:rPr>
          <w:sz w:val="22"/>
          <w:szCs w:val="22"/>
        </w:rPr>
        <w:t>ы</w:t>
      </w:r>
      <w:r w:rsidRPr="00323EF3">
        <w:rPr>
          <w:sz w:val="22"/>
          <w:szCs w:val="22"/>
        </w:rPr>
        <w:t>шенный нагрев асинхронного генератора.</w:t>
      </w:r>
    </w:p>
    <w:p w:rsidR="000F594F" w:rsidRPr="00323EF3" w:rsidRDefault="000F594F" w:rsidP="000F594F">
      <w:pPr>
        <w:ind w:firstLine="426"/>
        <w:jc w:val="both"/>
        <w:rPr>
          <w:sz w:val="22"/>
          <w:szCs w:val="22"/>
        </w:rPr>
      </w:pPr>
      <w:r w:rsidRPr="00323EF3">
        <w:rPr>
          <w:sz w:val="22"/>
          <w:szCs w:val="22"/>
        </w:rPr>
        <w:t>В лучае экспериментов с ротором использовался асинхронный генератор также выполненный на базе электродвигателя типа 4А100S4У3 (3 кВт, 1435 об/мин).</w:t>
      </w:r>
    </w:p>
    <w:p w:rsidR="000F594F" w:rsidRPr="00323EF3" w:rsidRDefault="000F594F" w:rsidP="000F594F">
      <w:pPr>
        <w:ind w:firstLine="426"/>
        <w:jc w:val="both"/>
        <w:rPr>
          <w:sz w:val="22"/>
          <w:szCs w:val="22"/>
        </w:rPr>
      </w:pPr>
      <w:r w:rsidRPr="00323EF3">
        <w:rPr>
          <w:sz w:val="22"/>
          <w:szCs w:val="22"/>
        </w:rPr>
        <w:t>Как показали опыты, при обрыве 1 – 2 стержней обнаружение данной неисправности по пульсации режимных параметров в усл</w:t>
      </w:r>
      <w:r w:rsidRPr="00323EF3">
        <w:rPr>
          <w:sz w:val="22"/>
          <w:szCs w:val="22"/>
        </w:rPr>
        <w:t>о</w:t>
      </w:r>
      <w:r w:rsidRPr="00323EF3">
        <w:rPr>
          <w:sz w:val="22"/>
          <w:szCs w:val="22"/>
        </w:rPr>
        <w:t>виях работы за-труднено из-за слабого изменения значений этих параметров и погрешности, вносимой изменениями в режиме раб</w:t>
      </w:r>
      <w:r w:rsidRPr="00323EF3">
        <w:rPr>
          <w:sz w:val="22"/>
          <w:szCs w:val="22"/>
        </w:rPr>
        <w:t>о</w:t>
      </w:r>
      <w:r w:rsidRPr="00323EF3">
        <w:rPr>
          <w:sz w:val="22"/>
          <w:szCs w:val="22"/>
        </w:rPr>
        <w:t>ты и техническим состоянием механизмов машины. Поэтому нео</w:t>
      </w:r>
      <w:r w:rsidRPr="00323EF3">
        <w:rPr>
          <w:sz w:val="22"/>
          <w:szCs w:val="22"/>
        </w:rPr>
        <w:t>б</w:t>
      </w:r>
      <w:r w:rsidRPr="00323EF3">
        <w:rPr>
          <w:sz w:val="22"/>
          <w:szCs w:val="22"/>
        </w:rPr>
        <w:t>ходимы более чувствительные диагностические параметры, хара</w:t>
      </w:r>
      <w:r w:rsidRPr="00323EF3">
        <w:rPr>
          <w:sz w:val="22"/>
          <w:szCs w:val="22"/>
        </w:rPr>
        <w:t>к</w:t>
      </w:r>
      <w:r w:rsidRPr="00323EF3">
        <w:rPr>
          <w:sz w:val="22"/>
          <w:szCs w:val="22"/>
        </w:rPr>
        <w:t>терное изменение которых могло указать на наличие данной неи</w:t>
      </w:r>
      <w:r w:rsidRPr="00323EF3">
        <w:rPr>
          <w:sz w:val="22"/>
          <w:szCs w:val="22"/>
        </w:rPr>
        <w:t>с</w:t>
      </w:r>
      <w:r w:rsidRPr="00323EF3">
        <w:rPr>
          <w:sz w:val="22"/>
          <w:szCs w:val="22"/>
        </w:rPr>
        <w:t>правности [5].</w:t>
      </w:r>
    </w:p>
    <w:p w:rsidR="000F594F" w:rsidRPr="00323EF3" w:rsidRDefault="000F594F" w:rsidP="000F594F">
      <w:pPr>
        <w:ind w:hanging="12"/>
        <w:jc w:val="center"/>
        <w:rPr>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Богдан А.В. Математическая модель самовозбуждения авт</w:t>
      </w:r>
      <w:r w:rsidRPr="00323EF3">
        <w:rPr>
          <w:sz w:val="22"/>
          <w:szCs w:val="22"/>
        </w:rPr>
        <w:t>о</w:t>
      </w:r>
      <w:r w:rsidRPr="00323EF3">
        <w:rPr>
          <w:sz w:val="22"/>
          <w:szCs w:val="22"/>
        </w:rPr>
        <w:t xml:space="preserve">номного асинхронного генератора // А.В. Богдан, А.Н. Соболь // Труды кубанского государственного аграрного университета. – 2012. </w:t>
      </w:r>
      <w:r w:rsidRPr="00323EF3">
        <w:rPr>
          <w:sz w:val="22"/>
          <w:szCs w:val="22"/>
        </w:rPr>
        <w:noBreakHyphen/>
        <w:t xml:space="preserve"> № 36. </w:t>
      </w:r>
      <w:r w:rsidRPr="00323EF3">
        <w:rPr>
          <w:sz w:val="22"/>
          <w:szCs w:val="22"/>
        </w:rPr>
        <w:noBreakHyphen/>
        <w:t xml:space="preserve"> С.322 – 324.</w:t>
      </w:r>
    </w:p>
    <w:p w:rsidR="000F594F" w:rsidRPr="00323EF3" w:rsidRDefault="000F594F" w:rsidP="000F594F">
      <w:pPr>
        <w:ind w:firstLine="426"/>
        <w:jc w:val="both"/>
        <w:rPr>
          <w:sz w:val="22"/>
          <w:szCs w:val="22"/>
        </w:rPr>
      </w:pPr>
      <w:r w:rsidRPr="00323EF3">
        <w:rPr>
          <w:sz w:val="22"/>
          <w:szCs w:val="22"/>
        </w:rPr>
        <w:t>2. Богдан А.В. Применение асинхронного генератора для пит</w:t>
      </w:r>
      <w:r w:rsidRPr="00323EF3">
        <w:rPr>
          <w:sz w:val="22"/>
          <w:szCs w:val="22"/>
        </w:rPr>
        <w:t>а</w:t>
      </w:r>
      <w:r w:rsidRPr="00323EF3">
        <w:rPr>
          <w:sz w:val="22"/>
          <w:szCs w:val="22"/>
        </w:rPr>
        <w:t>ния асинхронных двигателей / А.В. Богдан, Я.А. Ильченко, А.Н. Соболь, М.В. Ерохов // Политематический сетевой электронный научный журнал Кубанского государственного аграрного универс</w:t>
      </w:r>
      <w:r w:rsidRPr="00323EF3">
        <w:rPr>
          <w:sz w:val="22"/>
          <w:szCs w:val="22"/>
        </w:rPr>
        <w:t>и</w:t>
      </w:r>
      <w:r w:rsidRPr="00323EF3">
        <w:rPr>
          <w:sz w:val="22"/>
          <w:szCs w:val="22"/>
        </w:rPr>
        <w:t>тета (Научный журнал КубГАУ) [Электронный ресурс]. – Красн</w:t>
      </w:r>
      <w:r w:rsidRPr="00323EF3">
        <w:rPr>
          <w:sz w:val="22"/>
          <w:szCs w:val="22"/>
        </w:rPr>
        <w:t>о</w:t>
      </w:r>
      <w:r w:rsidRPr="00323EF3">
        <w:rPr>
          <w:sz w:val="22"/>
          <w:szCs w:val="22"/>
        </w:rPr>
        <w:t>дар: КубГАУ, 2014. – № 97. С. 616 – 625.</w:t>
      </w:r>
    </w:p>
    <w:p w:rsidR="000F594F" w:rsidRPr="00323EF3" w:rsidRDefault="000F594F" w:rsidP="000F594F">
      <w:pPr>
        <w:ind w:firstLine="426"/>
        <w:jc w:val="both"/>
        <w:rPr>
          <w:sz w:val="22"/>
          <w:szCs w:val="22"/>
        </w:rPr>
      </w:pPr>
      <w:r w:rsidRPr="00323EF3">
        <w:rPr>
          <w:sz w:val="22"/>
          <w:szCs w:val="22"/>
        </w:rPr>
        <w:t>3. Богдан А.В. Диагностика повреждений обмотки статора а</w:t>
      </w:r>
      <w:r w:rsidRPr="00323EF3">
        <w:rPr>
          <w:sz w:val="22"/>
          <w:szCs w:val="22"/>
        </w:rPr>
        <w:t>в</w:t>
      </w:r>
      <w:r w:rsidRPr="00323EF3">
        <w:rPr>
          <w:sz w:val="22"/>
          <w:szCs w:val="22"/>
        </w:rPr>
        <w:t xml:space="preserve">тономного асинхронного генератора / А.В. Богдан, А.Н. Соболь // Известия высших учебных заведений. Электромеханика. </w:t>
      </w:r>
      <w:r w:rsidRPr="00323EF3">
        <w:rPr>
          <w:sz w:val="22"/>
          <w:szCs w:val="22"/>
        </w:rPr>
        <w:noBreakHyphen/>
        <w:t xml:space="preserve"> 2013. </w:t>
      </w:r>
      <w:r w:rsidRPr="00323EF3">
        <w:rPr>
          <w:sz w:val="22"/>
          <w:szCs w:val="22"/>
        </w:rPr>
        <w:noBreakHyphen/>
        <w:t xml:space="preserve"> № 1. </w:t>
      </w:r>
      <w:r w:rsidRPr="00323EF3">
        <w:rPr>
          <w:sz w:val="22"/>
          <w:szCs w:val="22"/>
        </w:rPr>
        <w:noBreakHyphen/>
        <w:t xml:space="preserve"> С.70 – 71.</w:t>
      </w:r>
    </w:p>
    <w:p w:rsidR="000F594F" w:rsidRPr="00323EF3" w:rsidRDefault="000F594F" w:rsidP="000F594F">
      <w:pPr>
        <w:ind w:firstLine="426"/>
        <w:jc w:val="both"/>
        <w:rPr>
          <w:sz w:val="22"/>
          <w:szCs w:val="22"/>
        </w:rPr>
      </w:pPr>
      <w:r w:rsidRPr="00323EF3">
        <w:rPr>
          <w:sz w:val="22"/>
          <w:szCs w:val="22"/>
        </w:rPr>
        <w:t>4. Богдан А.В. Диагностика повреждений обмотки статора а</w:t>
      </w:r>
      <w:r w:rsidRPr="00323EF3">
        <w:rPr>
          <w:sz w:val="22"/>
          <w:szCs w:val="22"/>
        </w:rPr>
        <w:t>в</w:t>
      </w:r>
      <w:r w:rsidRPr="00323EF3">
        <w:rPr>
          <w:sz w:val="22"/>
          <w:szCs w:val="22"/>
        </w:rPr>
        <w:t xml:space="preserve">тономного асинхронного генератора / А.В. Богдан, А.Н. Соболь // Известия высших учебных заведений. Электромеханика. </w:t>
      </w:r>
      <w:r w:rsidRPr="00323EF3">
        <w:rPr>
          <w:sz w:val="22"/>
          <w:szCs w:val="22"/>
        </w:rPr>
        <w:noBreakHyphen/>
        <w:t xml:space="preserve"> 2013. </w:t>
      </w:r>
      <w:r w:rsidRPr="00323EF3">
        <w:rPr>
          <w:sz w:val="22"/>
          <w:szCs w:val="22"/>
        </w:rPr>
        <w:noBreakHyphen/>
        <w:t xml:space="preserve"> № 1. </w:t>
      </w:r>
      <w:r w:rsidRPr="00323EF3">
        <w:rPr>
          <w:sz w:val="22"/>
          <w:szCs w:val="22"/>
        </w:rPr>
        <w:noBreakHyphen/>
        <w:t xml:space="preserve"> С.70 – 71.</w:t>
      </w:r>
    </w:p>
    <w:p w:rsidR="000F594F" w:rsidRPr="00323EF3" w:rsidRDefault="000F594F" w:rsidP="000F594F">
      <w:pPr>
        <w:ind w:firstLine="426"/>
        <w:jc w:val="both"/>
        <w:rPr>
          <w:sz w:val="22"/>
          <w:szCs w:val="22"/>
        </w:rPr>
      </w:pPr>
      <w:r w:rsidRPr="00323EF3">
        <w:rPr>
          <w:sz w:val="22"/>
          <w:szCs w:val="22"/>
        </w:rPr>
        <w:t>5. Богдан А.В. Признаки повреждения обмотки статора аси</w:t>
      </w:r>
      <w:r w:rsidRPr="00323EF3">
        <w:rPr>
          <w:sz w:val="22"/>
          <w:szCs w:val="22"/>
        </w:rPr>
        <w:t>н</w:t>
      </w:r>
      <w:r w:rsidRPr="00323EF3">
        <w:rPr>
          <w:sz w:val="22"/>
          <w:szCs w:val="22"/>
        </w:rPr>
        <w:t>хронного генератора / А.В. Богдан, А.Н. Соболь, И.А. Потапенко // Механизация и электрификация сельского хозяйства. –  2007. – № 8. – С.13 – 14.</w:t>
      </w:r>
    </w:p>
    <w:p w:rsidR="00AD6B98" w:rsidRDefault="00AD6B98" w:rsidP="000F594F">
      <w:pPr>
        <w:rPr>
          <w:rFonts w:eastAsiaTheme="minorHAnsi"/>
          <w:sz w:val="24"/>
          <w:szCs w:val="24"/>
          <w:lang w:eastAsia="en-US"/>
        </w:rPr>
      </w:pPr>
    </w:p>
    <w:p w:rsidR="000F594F" w:rsidRPr="00323EF3" w:rsidRDefault="000F594F" w:rsidP="000F594F">
      <w:pPr>
        <w:tabs>
          <w:tab w:val="left" w:pos="5040"/>
        </w:tabs>
        <w:rPr>
          <w:sz w:val="22"/>
          <w:szCs w:val="22"/>
        </w:rPr>
      </w:pPr>
      <w:r w:rsidRPr="00323EF3">
        <w:rPr>
          <w:sz w:val="22"/>
          <w:szCs w:val="22"/>
        </w:rPr>
        <w:lastRenderedPageBreak/>
        <w:t>УДК 621.314</w:t>
      </w:r>
    </w:p>
    <w:p w:rsidR="000F594F" w:rsidRPr="00323EF3" w:rsidRDefault="000F594F" w:rsidP="000F594F">
      <w:pPr>
        <w:tabs>
          <w:tab w:val="left" w:pos="5040"/>
        </w:tabs>
        <w:rPr>
          <w:sz w:val="22"/>
          <w:szCs w:val="22"/>
        </w:rPr>
      </w:pPr>
    </w:p>
    <w:p w:rsidR="000F594F" w:rsidRPr="00323EF3" w:rsidRDefault="000F594F" w:rsidP="000F594F">
      <w:pPr>
        <w:tabs>
          <w:tab w:val="left" w:pos="5040"/>
        </w:tabs>
        <w:jc w:val="center"/>
        <w:rPr>
          <w:b/>
          <w:sz w:val="24"/>
          <w:szCs w:val="24"/>
        </w:rPr>
      </w:pPr>
      <w:r w:rsidRPr="00323EF3">
        <w:rPr>
          <w:b/>
          <w:sz w:val="24"/>
          <w:szCs w:val="24"/>
        </w:rPr>
        <w:t>Автономные системы электроснабжения</w:t>
      </w:r>
    </w:p>
    <w:p w:rsidR="000F594F" w:rsidRPr="00323EF3" w:rsidRDefault="000F594F" w:rsidP="000F594F">
      <w:pPr>
        <w:ind w:left="450"/>
        <w:jc w:val="center"/>
        <w:rPr>
          <w:b/>
          <w:sz w:val="24"/>
          <w:szCs w:val="24"/>
        </w:rPr>
      </w:pPr>
      <w:r w:rsidRPr="00323EF3">
        <w:rPr>
          <w:b/>
          <w:sz w:val="24"/>
          <w:szCs w:val="24"/>
        </w:rPr>
        <w:t>Autonomous power supply systems</w:t>
      </w:r>
    </w:p>
    <w:p w:rsidR="000F594F" w:rsidRPr="00323EF3" w:rsidRDefault="000F594F" w:rsidP="000F594F">
      <w:pPr>
        <w:ind w:left="450"/>
        <w:jc w:val="center"/>
        <w:rPr>
          <w:b/>
          <w:sz w:val="22"/>
          <w:szCs w:val="22"/>
        </w:rPr>
      </w:pPr>
    </w:p>
    <w:p w:rsidR="000F594F" w:rsidRPr="00323EF3" w:rsidRDefault="000F594F" w:rsidP="000F594F">
      <w:pPr>
        <w:tabs>
          <w:tab w:val="left" w:pos="5040"/>
        </w:tabs>
        <w:jc w:val="right"/>
        <w:rPr>
          <w:sz w:val="22"/>
          <w:szCs w:val="22"/>
        </w:rPr>
      </w:pPr>
      <w:r w:rsidRPr="00323EF3">
        <w:rPr>
          <w:sz w:val="22"/>
          <w:szCs w:val="22"/>
        </w:rPr>
        <w:t>Терехов Д. А.,</w:t>
      </w:r>
    </w:p>
    <w:p w:rsidR="000F594F" w:rsidRPr="00323EF3" w:rsidRDefault="000F594F" w:rsidP="000F594F">
      <w:pPr>
        <w:tabs>
          <w:tab w:val="left" w:pos="5040"/>
        </w:tabs>
        <w:jc w:val="right"/>
        <w:rPr>
          <w:sz w:val="22"/>
          <w:szCs w:val="22"/>
        </w:rPr>
      </w:pPr>
      <w:r w:rsidRPr="00323EF3">
        <w:rPr>
          <w:sz w:val="22"/>
          <w:szCs w:val="22"/>
        </w:rPr>
        <w:t>студент 2-го курса магистратуры факультета энергетики</w:t>
      </w:r>
    </w:p>
    <w:p w:rsidR="000F594F" w:rsidRPr="00323EF3" w:rsidRDefault="000F594F" w:rsidP="000F594F">
      <w:pPr>
        <w:tabs>
          <w:tab w:val="left" w:pos="5040"/>
        </w:tabs>
        <w:jc w:val="right"/>
        <w:rPr>
          <w:sz w:val="22"/>
          <w:szCs w:val="22"/>
        </w:rPr>
      </w:pPr>
      <w:r w:rsidRPr="00323EF3">
        <w:rPr>
          <w:sz w:val="22"/>
          <w:szCs w:val="22"/>
        </w:rPr>
        <w:t>Бутузов В. А.,</w:t>
      </w:r>
    </w:p>
    <w:p w:rsidR="000F594F" w:rsidRPr="00323EF3" w:rsidRDefault="000F594F" w:rsidP="000F594F">
      <w:pPr>
        <w:tabs>
          <w:tab w:val="left" w:pos="5040"/>
        </w:tabs>
        <w:jc w:val="right"/>
        <w:rPr>
          <w:sz w:val="22"/>
          <w:szCs w:val="22"/>
        </w:rPr>
      </w:pPr>
      <w:r w:rsidRPr="00323EF3">
        <w:rPr>
          <w:sz w:val="22"/>
          <w:szCs w:val="22"/>
        </w:rPr>
        <w:t>профессор кафедры электротехники, теплотехники</w:t>
      </w:r>
    </w:p>
    <w:p w:rsidR="000F594F" w:rsidRPr="00323EF3" w:rsidRDefault="000F594F" w:rsidP="000F594F">
      <w:pPr>
        <w:tabs>
          <w:tab w:val="left" w:pos="5040"/>
        </w:tabs>
        <w:jc w:val="right"/>
        <w:rPr>
          <w:sz w:val="22"/>
          <w:szCs w:val="22"/>
        </w:rPr>
      </w:pPr>
      <w:r w:rsidRPr="00323EF3">
        <w:rPr>
          <w:sz w:val="22"/>
          <w:szCs w:val="22"/>
        </w:rPr>
        <w:t>и возобновляемых источников энергии</w:t>
      </w:r>
    </w:p>
    <w:p w:rsidR="000F594F" w:rsidRPr="00323EF3" w:rsidRDefault="000F594F" w:rsidP="000F594F">
      <w:pPr>
        <w:tabs>
          <w:tab w:val="left" w:pos="5040"/>
        </w:tabs>
        <w:jc w:val="right"/>
        <w:rPr>
          <w:sz w:val="22"/>
          <w:szCs w:val="22"/>
        </w:rPr>
      </w:pPr>
      <w:r w:rsidRPr="00323EF3">
        <w:rPr>
          <w:sz w:val="22"/>
          <w:szCs w:val="22"/>
        </w:rPr>
        <w:t xml:space="preserve">Кубанский государственный аграрный </w:t>
      </w:r>
    </w:p>
    <w:p w:rsidR="000F594F" w:rsidRPr="00323EF3" w:rsidRDefault="000F594F" w:rsidP="000F594F">
      <w:pPr>
        <w:tabs>
          <w:tab w:val="left" w:pos="5040"/>
        </w:tabs>
        <w:jc w:val="right"/>
        <w:rPr>
          <w:sz w:val="22"/>
          <w:szCs w:val="22"/>
        </w:rPr>
      </w:pPr>
      <w:r w:rsidRPr="00323EF3">
        <w:rPr>
          <w:sz w:val="22"/>
          <w:szCs w:val="22"/>
        </w:rPr>
        <w:t>университет имени И. Т. Трубилина</w:t>
      </w:r>
    </w:p>
    <w:p w:rsidR="000F594F" w:rsidRPr="00323EF3" w:rsidRDefault="000F594F" w:rsidP="000F594F">
      <w:pPr>
        <w:tabs>
          <w:tab w:val="left" w:pos="5040"/>
        </w:tabs>
        <w:jc w:val="right"/>
        <w:rPr>
          <w:sz w:val="22"/>
          <w:szCs w:val="22"/>
        </w:rPr>
      </w:pPr>
    </w:p>
    <w:p w:rsidR="000F594F" w:rsidRPr="00323EF3" w:rsidRDefault="000F594F" w:rsidP="000F594F">
      <w:pPr>
        <w:tabs>
          <w:tab w:val="left" w:pos="5040"/>
        </w:tabs>
        <w:ind w:firstLine="426"/>
        <w:jc w:val="both"/>
        <w:rPr>
          <w:sz w:val="22"/>
          <w:szCs w:val="22"/>
        </w:rPr>
      </w:pPr>
      <w:r w:rsidRPr="00323EF3">
        <w:rPr>
          <w:sz w:val="22"/>
          <w:szCs w:val="22"/>
        </w:rPr>
        <w:t>АННОТАЦИЯ. Обосновывается необходимость применения автономных систем электроснабжения, выполненных с использов</w:t>
      </w:r>
      <w:r w:rsidRPr="00323EF3">
        <w:rPr>
          <w:sz w:val="22"/>
          <w:szCs w:val="22"/>
        </w:rPr>
        <w:t>а</w:t>
      </w:r>
      <w:r w:rsidRPr="00323EF3">
        <w:rPr>
          <w:sz w:val="22"/>
          <w:szCs w:val="22"/>
        </w:rPr>
        <w:t>нием возобновляемых источников энергии.</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Annotation. </w:t>
      </w:r>
      <w:r w:rsidRPr="00323EF3">
        <w:rPr>
          <w:sz w:val="22"/>
          <w:szCs w:val="22"/>
          <w:lang w:val="en-US"/>
        </w:rPr>
        <w:t>The necessity of using autonomous power supply systems implemented with the use of renewable energy sources is su</w:t>
      </w:r>
      <w:r w:rsidRPr="00323EF3">
        <w:rPr>
          <w:sz w:val="22"/>
          <w:szCs w:val="22"/>
          <w:lang w:val="en-US"/>
        </w:rPr>
        <w:t>b</w:t>
      </w:r>
      <w:r w:rsidRPr="00323EF3">
        <w:rPr>
          <w:sz w:val="22"/>
          <w:szCs w:val="22"/>
          <w:lang w:val="en-US"/>
        </w:rPr>
        <w:t>stantiated.</w:t>
      </w:r>
    </w:p>
    <w:p w:rsidR="000F594F" w:rsidRPr="00323EF3" w:rsidRDefault="000F594F" w:rsidP="000F594F">
      <w:pPr>
        <w:tabs>
          <w:tab w:val="left" w:pos="5040"/>
        </w:tabs>
        <w:ind w:firstLine="426"/>
        <w:jc w:val="both"/>
        <w:rPr>
          <w:sz w:val="22"/>
          <w:szCs w:val="22"/>
        </w:rPr>
      </w:pPr>
      <w:r w:rsidRPr="00323EF3">
        <w:rPr>
          <w:sz w:val="22"/>
          <w:szCs w:val="22"/>
        </w:rPr>
        <w:t>КЛЮЧЕВЫЕ СЛОВА: автономные системы электроснабжения, возобновляемые источники энергии.</w:t>
      </w:r>
    </w:p>
    <w:p w:rsidR="000F594F" w:rsidRPr="00323EF3" w:rsidRDefault="000F594F" w:rsidP="000F594F">
      <w:pPr>
        <w:tabs>
          <w:tab w:val="left" w:pos="5040"/>
        </w:tabs>
        <w:ind w:firstLine="426"/>
        <w:jc w:val="both"/>
        <w:rPr>
          <w:sz w:val="22"/>
          <w:szCs w:val="22"/>
          <w:lang w:val="en-US"/>
        </w:rPr>
      </w:pPr>
      <w:r w:rsidRPr="00323EF3">
        <w:rPr>
          <w:caps/>
          <w:sz w:val="22"/>
          <w:szCs w:val="22"/>
          <w:lang w:val="en-US"/>
        </w:rPr>
        <w:t xml:space="preserve">key words: </w:t>
      </w:r>
      <w:r w:rsidRPr="00323EF3">
        <w:rPr>
          <w:sz w:val="22"/>
          <w:szCs w:val="22"/>
          <w:lang w:val="en-US"/>
        </w:rPr>
        <w:t>autonomous power supply systems, renewable e</w:t>
      </w:r>
      <w:r w:rsidRPr="00323EF3">
        <w:rPr>
          <w:sz w:val="22"/>
          <w:szCs w:val="22"/>
          <w:lang w:val="en-US"/>
        </w:rPr>
        <w:t>n</w:t>
      </w:r>
      <w:r w:rsidRPr="00323EF3">
        <w:rPr>
          <w:sz w:val="22"/>
          <w:szCs w:val="22"/>
          <w:lang w:val="en-US"/>
        </w:rPr>
        <w:t>ergy sources.</w:t>
      </w:r>
    </w:p>
    <w:p w:rsidR="000F594F" w:rsidRPr="00323EF3" w:rsidRDefault="000F594F" w:rsidP="000F594F">
      <w:pPr>
        <w:tabs>
          <w:tab w:val="left" w:pos="5040"/>
          <w:tab w:val="left" w:pos="8080"/>
        </w:tabs>
        <w:ind w:firstLine="426"/>
        <w:jc w:val="both"/>
        <w:rPr>
          <w:sz w:val="22"/>
          <w:szCs w:val="22"/>
          <w:lang w:val="en-US"/>
        </w:rPr>
      </w:pPr>
    </w:p>
    <w:p w:rsidR="000F594F" w:rsidRPr="00323EF3" w:rsidRDefault="000F594F" w:rsidP="000F594F">
      <w:pPr>
        <w:ind w:firstLine="426"/>
        <w:jc w:val="both"/>
        <w:rPr>
          <w:sz w:val="22"/>
          <w:szCs w:val="22"/>
        </w:rPr>
      </w:pPr>
      <w:r w:rsidRPr="00323EF3">
        <w:rPr>
          <w:sz w:val="22"/>
          <w:szCs w:val="22"/>
        </w:rPr>
        <w:t>Сегодня значительными темпами развиваются автоматические системы управления производственными процессами. Нарушение электроснабжения этих процессов, в том числе снижение показат</w:t>
      </w:r>
      <w:r w:rsidRPr="00323EF3">
        <w:rPr>
          <w:sz w:val="22"/>
          <w:szCs w:val="22"/>
        </w:rPr>
        <w:t>е</w:t>
      </w:r>
      <w:r w:rsidRPr="00323EF3">
        <w:rPr>
          <w:sz w:val="22"/>
          <w:szCs w:val="22"/>
        </w:rPr>
        <w:t>лей качества электроэнергии, может приводить к значительным экономическим ущербам. Здесь проблема может быть решена за счет применения автономных систем электроснабжения (АСЭ), в</w:t>
      </w:r>
      <w:r w:rsidRPr="00323EF3">
        <w:rPr>
          <w:sz w:val="22"/>
          <w:szCs w:val="22"/>
        </w:rPr>
        <w:t>ы</w:t>
      </w:r>
      <w:r w:rsidRPr="00323EF3">
        <w:rPr>
          <w:sz w:val="22"/>
          <w:szCs w:val="22"/>
        </w:rPr>
        <w:t>полняющих функции резервных источников, в случае питания п</w:t>
      </w:r>
      <w:r w:rsidRPr="00323EF3">
        <w:rPr>
          <w:sz w:val="22"/>
          <w:szCs w:val="22"/>
        </w:rPr>
        <w:t>о</w:t>
      </w:r>
      <w:r w:rsidRPr="00323EF3">
        <w:rPr>
          <w:sz w:val="22"/>
          <w:szCs w:val="22"/>
        </w:rPr>
        <w:t>требителей электроэнергии в основном режиме от внешних исто</w:t>
      </w:r>
      <w:r w:rsidRPr="00323EF3">
        <w:rPr>
          <w:sz w:val="22"/>
          <w:szCs w:val="22"/>
        </w:rPr>
        <w:t>ч</w:t>
      </w:r>
      <w:r w:rsidRPr="00323EF3">
        <w:rPr>
          <w:sz w:val="22"/>
          <w:szCs w:val="22"/>
        </w:rPr>
        <w:t>ников, а также они могут выполнять функции основных источн</w:t>
      </w:r>
      <w:r w:rsidRPr="00323EF3">
        <w:rPr>
          <w:sz w:val="22"/>
          <w:szCs w:val="22"/>
        </w:rPr>
        <w:t>и</w:t>
      </w:r>
      <w:r w:rsidRPr="00323EF3">
        <w:rPr>
          <w:sz w:val="22"/>
          <w:szCs w:val="22"/>
        </w:rPr>
        <w:t>ков, если потребители отдаленны от внешних энергетических с</w:t>
      </w:r>
      <w:r w:rsidRPr="00323EF3">
        <w:rPr>
          <w:sz w:val="22"/>
          <w:szCs w:val="22"/>
        </w:rPr>
        <w:t>и</w:t>
      </w:r>
      <w:r w:rsidRPr="00323EF3">
        <w:rPr>
          <w:sz w:val="22"/>
          <w:szCs w:val="22"/>
        </w:rPr>
        <w:t xml:space="preserve">стем [1,  2]. </w:t>
      </w:r>
    </w:p>
    <w:p w:rsidR="000F594F" w:rsidRPr="00323EF3" w:rsidRDefault="000F594F" w:rsidP="000F594F">
      <w:pPr>
        <w:ind w:firstLine="426"/>
        <w:jc w:val="both"/>
        <w:rPr>
          <w:sz w:val="22"/>
          <w:szCs w:val="22"/>
        </w:rPr>
      </w:pPr>
      <w:r w:rsidRPr="00323EF3">
        <w:rPr>
          <w:sz w:val="22"/>
          <w:szCs w:val="22"/>
        </w:rPr>
        <w:t>Для потребителей электроэнергии, которые находятся на зн</w:t>
      </w:r>
      <w:r w:rsidRPr="00323EF3">
        <w:rPr>
          <w:sz w:val="22"/>
          <w:szCs w:val="22"/>
        </w:rPr>
        <w:t>а</w:t>
      </w:r>
      <w:r w:rsidRPr="00323EF3">
        <w:rPr>
          <w:sz w:val="22"/>
          <w:szCs w:val="22"/>
        </w:rPr>
        <w:t xml:space="preserve">чительном расстоянии от внешних энергосистем, перспективным является направление применения в составе АСЭ возобновляемых </w:t>
      </w:r>
      <w:r w:rsidRPr="00323EF3">
        <w:rPr>
          <w:sz w:val="22"/>
          <w:szCs w:val="22"/>
        </w:rPr>
        <w:lastRenderedPageBreak/>
        <w:t>источников энергии (ВИЭ). К таким источникам относятся, прежде всего, ветроэнергетические установки (ВЭУ) и солнечные фот</w:t>
      </w:r>
      <w:r w:rsidRPr="00323EF3">
        <w:rPr>
          <w:sz w:val="22"/>
          <w:szCs w:val="22"/>
        </w:rPr>
        <w:t>о</w:t>
      </w:r>
      <w:r w:rsidRPr="00323EF3">
        <w:rPr>
          <w:sz w:val="22"/>
          <w:szCs w:val="22"/>
        </w:rPr>
        <w:t>электрические установки (СФЭУ). Кроме того, с точки зрения те</w:t>
      </w:r>
      <w:r w:rsidRPr="00323EF3">
        <w:rPr>
          <w:sz w:val="22"/>
          <w:szCs w:val="22"/>
        </w:rPr>
        <w:t>х</w:t>
      </w:r>
      <w:r w:rsidRPr="00323EF3">
        <w:rPr>
          <w:sz w:val="22"/>
          <w:szCs w:val="22"/>
        </w:rPr>
        <w:t>нико-экономических показателей, в составе АСЭ могут использ</w:t>
      </w:r>
      <w:r w:rsidRPr="00323EF3">
        <w:rPr>
          <w:sz w:val="22"/>
          <w:szCs w:val="22"/>
        </w:rPr>
        <w:t>о</w:t>
      </w:r>
      <w:r w:rsidRPr="00323EF3">
        <w:rPr>
          <w:sz w:val="22"/>
          <w:szCs w:val="22"/>
        </w:rPr>
        <w:t>ваться газопоршневые электростанции (ГПЭ), которые обеспечив</w:t>
      </w:r>
      <w:r w:rsidRPr="00323EF3">
        <w:rPr>
          <w:sz w:val="22"/>
          <w:szCs w:val="22"/>
        </w:rPr>
        <w:t>а</w:t>
      </w:r>
      <w:r w:rsidRPr="00323EF3">
        <w:rPr>
          <w:sz w:val="22"/>
          <w:szCs w:val="22"/>
        </w:rPr>
        <w:t>ют электроэнергией потребители в безветренную погоду или в о</w:t>
      </w:r>
      <w:r w:rsidRPr="00323EF3">
        <w:rPr>
          <w:sz w:val="22"/>
          <w:szCs w:val="22"/>
        </w:rPr>
        <w:t>т</w:t>
      </w:r>
      <w:r w:rsidRPr="00323EF3">
        <w:rPr>
          <w:sz w:val="22"/>
          <w:szCs w:val="22"/>
        </w:rPr>
        <w:t>сутствие солнечной радиации (пасмурная погода, ночное время). Экономия достигается за счет значительного исключения  из сост</w:t>
      </w:r>
      <w:r w:rsidRPr="00323EF3">
        <w:rPr>
          <w:sz w:val="22"/>
          <w:szCs w:val="22"/>
        </w:rPr>
        <w:t>а</w:t>
      </w:r>
      <w:r w:rsidRPr="00323EF3">
        <w:rPr>
          <w:sz w:val="22"/>
          <w:szCs w:val="22"/>
        </w:rPr>
        <w:t>ва АСЭ числа аккумуляторных батарей, имеющих более высокую стоимость в сравнении с ГПЭ, отдавая потребителям одну и туже мощность.</w:t>
      </w:r>
    </w:p>
    <w:p w:rsidR="000F594F" w:rsidRPr="00323EF3" w:rsidRDefault="000F594F" w:rsidP="000F594F">
      <w:pPr>
        <w:ind w:firstLine="426"/>
        <w:jc w:val="both"/>
        <w:rPr>
          <w:sz w:val="22"/>
          <w:szCs w:val="22"/>
        </w:rPr>
      </w:pPr>
      <w:r w:rsidRPr="00323EF3">
        <w:rPr>
          <w:sz w:val="22"/>
          <w:szCs w:val="22"/>
        </w:rPr>
        <w:t>Практика показала, что режим параллельной работы ГПС и ВЭУ является не эффективным способом использования возобно</w:t>
      </w:r>
      <w:r w:rsidRPr="00323EF3">
        <w:rPr>
          <w:sz w:val="22"/>
          <w:szCs w:val="22"/>
        </w:rPr>
        <w:t>в</w:t>
      </w:r>
      <w:r w:rsidRPr="00323EF3">
        <w:rPr>
          <w:sz w:val="22"/>
          <w:szCs w:val="22"/>
        </w:rPr>
        <w:t xml:space="preserve">ляемого источника, поскольку доля участия ВЭУ в работе АСЭ по мощности не должна превышать 20 % мощности ГПС. </w:t>
      </w:r>
    </w:p>
    <w:p w:rsidR="000F594F" w:rsidRPr="00323EF3" w:rsidRDefault="000F594F" w:rsidP="000F594F">
      <w:pPr>
        <w:ind w:firstLine="426"/>
        <w:jc w:val="both"/>
        <w:rPr>
          <w:sz w:val="22"/>
          <w:szCs w:val="22"/>
        </w:rPr>
      </w:pPr>
      <w:r w:rsidRPr="00323EF3">
        <w:rPr>
          <w:sz w:val="22"/>
          <w:szCs w:val="22"/>
        </w:rPr>
        <w:t>Раздельная работа ГПС и ВЭУ позволяет поднять долю участия ВЭУ в составе АСЭ до 60 % и более. ГПС также должна работать раздельно с СФЭУ. В противоположном случае не будет никакого технико-экономического эффекта от использования ГПС вместо аккумуляторных батарей.</w:t>
      </w:r>
    </w:p>
    <w:p w:rsidR="000F594F" w:rsidRPr="00323EF3" w:rsidRDefault="000F594F" w:rsidP="000F594F">
      <w:pPr>
        <w:ind w:firstLine="426"/>
        <w:jc w:val="both"/>
        <w:rPr>
          <w:sz w:val="22"/>
          <w:szCs w:val="22"/>
        </w:rPr>
      </w:pPr>
      <w:r w:rsidRPr="00323EF3">
        <w:rPr>
          <w:sz w:val="22"/>
          <w:szCs w:val="22"/>
        </w:rPr>
        <w:t>Расчет емкости аккумуляторных батарей необходимо ос</w:t>
      </w:r>
      <w:r w:rsidRPr="00323EF3">
        <w:rPr>
          <w:sz w:val="22"/>
          <w:szCs w:val="22"/>
        </w:rPr>
        <w:t>у</w:t>
      </w:r>
      <w:r w:rsidRPr="00323EF3">
        <w:rPr>
          <w:sz w:val="22"/>
          <w:szCs w:val="22"/>
        </w:rPr>
        <w:t>ществлять исходя из условия обеспечения бесперебойного электр</w:t>
      </w:r>
      <w:r w:rsidRPr="00323EF3">
        <w:rPr>
          <w:sz w:val="22"/>
          <w:szCs w:val="22"/>
        </w:rPr>
        <w:t>о</w:t>
      </w:r>
      <w:r w:rsidRPr="00323EF3">
        <w:rPr>
          <w:sz w:val="22"/>
          <w:szCs w:val="22"/>
        </w:rPr>
        <w:t>снабжения потребителей электроэнергии АСЭ, т. е. на время пер</w:t>
      </w:r>
      <w:r w:rsidRPr="00323EF3">
        <w:rPr>
          <w:sz w:val="22"/>
          <w:szCs w:val="22"/>
        </w:rPr>
        <w:t>е</w:t>
      </w:r>
      <w:r w:rsidRPr="00323EF3">
        <w:rPr>
          <w:sz w:val="22"/>
          <w:szCs w:val="22"/>
        </w:rPr>
        <w:t xml:space="preserve">хода питания потребителей от одного источника электроэнергии к другому. </w:t>
      </w:r>
    </w:p>
    <w:p w:rsidR="000F594F" w:rsidRPr="00323EF3" w:rsidRDefault="000F594F" w:rsidP="000F594F">
      <w:pPr>
        <w:ind w:firstLine="426"/>
        <w:jc w:val="both"/>
        <w:rPr>
          <w:sz w:val="22"/>
          <w:szCs w:val="22"/>
        </w:rPr>
      </w:pPr>
      <w:r w:rsidRPr="00323EF3">
        <w:rPr>
          <w:sz w:val="22"/>
          <w:szCs w:val="22"/>
        </w:rPr>
        <w:t>В случае избытка электроэнергии осуществляется отключение источников электроэнергии или к АСЭ подключаются дополн</w:t>
      </w:r>
      <w:r w:rsidRPr="00323EF3">
        <w:rPr>
          <w:sz w:val="22"/>
          <w:szCs w:val="22"/>
        </w:rPr>
        <w:t>и</w:t>
      </w:r>
      <w:r w:rsidRPr="00323EF3">
        <w:rPr>
          <w:sz w:val="22"/>
          <w:szCs w:val="22"/>
        </w:rPr>
        <w:t>тельные потребители электроэнергии.</w:t>
      </w:r>
    </w:p>
    <w:p w:rsidR="000F594F" w:rsidRPr="00323EF3" w:rsidRDefault="000F594F" w:rsidP="000F594F">
      <w:pPr>
        <w:ind w:firstLine="426"/>
        <w:jc w:val="both"/>
        <w:rPr>
          <w:sz w:val="22"/>
          <w:szCs w:val="22"/>
        </w:rPr>
      </w:pPr>
      <w:r w:rsidRPr="00323EF3">
        <w:rPr>
          <w:sz w:val="22"/>
          <w:szCs w:val="22"/>
        </w:rPr>
        <w:t>Несмотря на относительно высокую сегодня стоимость фот</w:t>
      </w:r>
      <w:r w:rsidRPr="00323EF3">
        <w:rPr>
          <w:sz w:val="22"/>
          <w:szCs w:val="22"/>
        </w:rPr>
        <w:t>о</w:t>
      </w:r>
      <w:r w:rsidRPr="00323EF3">
        <w:rPr>
          <w:sz w:val="22"/>
          <w:szCs w:val="22"/>
        </w:rPr>
        <w:t>электрических элементов СФЭУ их использование в составе АСЭ окупается в короткие сроки, если эти станции являются источник</w:t>
      </w:r>
      <w:r w:rsidRPr="00323EF3">
        <w:rPr>
          <w:sz w:val="22"/>
          <w:szCs w:val="22"/>
        </w:rPr>
        <w:t>а</w:t>
      </w:r>
      <w:r w:rsidRPr="00323EF3">
        <w:rPr>
          <w:sz w:val="22"/>
          <w:szCs w:val="22"/>
        </w:rPr>
        <w:t>ми электроэнергии постоянного тока, которыми могут быть освет</w:t>
      </w:r>
      <w:r w:rsidRPr="00323EF3">
        <w:rPr>
          <w:sz w:val="22"/>
          <w:szCs w:val="22"/>
        </w:rPr>
        <w:t>и</w:t>
      </w:r>
      <w:r w:rsidRPr="00323EF3">
        <w:rPr>
          <w:sz w:val="22"/>
          <w:szCs w:val="22"/>
        </w:rPr>
        <w:t>тельная нагрузка, двигатели электропривода постоянного тока и     т. п. [3, 4].</w:t>
      </w:r>
    </w:p>
    <w:p w:rsidR="000F594F" w:rsidRPr="00323EF3" w:rsidRDefault="000F594F" w:rsidP="000F594F">
      <w:pPr>
        <w:ind w:firstLine="426"/>
        <w:jc w:val="both"/>
        <w:rPr>
          <w:sz w:val="22"/>
          <w:szCs w:val="22"/>
        </w:rPr>
      </w:pPr>
      <w:r w:rsidRPr="00323EF3">
        <w:rPr>
          <w:sz w:val="22"/>
          <w:szCs w:val="22"/>
        </w:rPr>
        <w:t>Обычно при проектировании ВЭУ и СФЭУ для работы в сост</w:t>
      </w:r>
      <w:r w:rsidRPr="00323EF3">
        <w:rPr>
          <w:sz w:val="22"/>
          <w:szCs w:val="22"/>
        </w:rPr>
        <w:t>а</w:t>
      </w:r>
      <w:r w:rsidRPr="00323EF3">
        <w:rPr>
          <w:sz w:val="22"/>
          <w:szCs w:val="22"/>
        </w:rPr>
        <w:t>ве АСЭ закладывается запас мощности этих установок 30 % бол</w:t>
      </w:r>
      <w:r w:rsidRPr="00323EF3">
        <w:rPr>
          <w:sz w:val="22"/>
          <w:szCs w:val="22"/>
        </w:rPr>
        <w:t>ь</w:t>
      </w:r>
      <w:r w:rsidRPr="00323EF3">
        <w:rPr>
          <w:sz w:val="22"/>
          <w:szCs w:val="22"/>
        </w:rPr>
        <w:t>ше, необходимой для электроснабжения потребителей. Это необх</w:t>
      </w:r>
      <w:r w:rsidRPr="00323EF3">
        <w:rPr>
          <w:sz w:val="22"/>
          <w:szCs w:val="22"/>
        </w:rPr>
        <w:t>о</w:t>
      </w:r>
      <w:r w:rsidRPr="00323EF3">
        <w:rPr>
          <w:sz w:val="22"/>
          <w:szCs w:val="22"/>
        </w:rPr>
        <w:t xml:space="preserve">димо с одной стороны, чтобы системы стабилизации напряжения </w:t>
      </w:r>
      <w:r w:rsidRPr="00323EF3">
        <w:rPr>
          <w:sz w:val="22"/>
          <w:szCs w:val="22"/>
        </w:rPr>
        <w:lastRenderedPageBreak/>
        <w:t>удерживали номинальные значения параметров электроэнергии, в случаях изменения напряжения на входе и выходе станций, в том числе, при изменениях характера нагрузки переменного тока.</w:t>
      </w:r>
    </w:p>
    <w:p w:rsidR="000F594F" w:rsidRPr="00323EF3" w:rsidRDefault="000F594F" w:rsidP="000F594F">
      <w:pPr>
        <w:ind w:firstLine="426"/>
        <w:jc w:val="both"/>
        <w:rPr>
          <w:sz w:val="22"/>
          <w:szCs w:val="22"/>
        </w:rPr>
      </w:pPr>
      <w:r w:rsidRPr="00323EF3">
        <w:rPr>
          <w:sz w:val="22"/>
          <w:szCs w:val="22"/>
        </w:rPr>
        <w:t>При проектировании АСЭ с использованием ВИЭ необходимо учитывать важный факт. Целесообразно чтобы в составе АСЭ (при общей мощности превышающей 100 кВт) было несколько незав</w:t>
      </w:r>
      <w:r w:rsidRPr="00323EF3">
        <w:rPr>
          <w:sz w:val="22"/>
          <w:szCs w:val="22"/>
        </w:rPr>
        <w:t>и</w:t>
      </w:r>
      <w:r w:rsidRPr="00323EF3">
        <w:rPr>
          <w:sz w:val="22"/>
          <w:szCs w:val="22"/>
        </w:rPr>
        <w:t>симых друг от друга, т. е., имеющих локальные системы стабилиз</w:t>
      </w:r>
      <w:r w:rsidRPr="00323EF3">
        <w:rPr>
          <w:sz w:val="22"/>
          <w:szCs w:val="22"/>
        </w:rPr>
        <w:t>а</w:t>
      </w:r>
      <w:r w:rsidRPr="00323EF3">
        <w:rPr>
          <w:sz w:val="22"/>
          <w:szCs w:val="22"/>
        </w:rPr>
        <w:t>ции параметров электроэнергии, несколько ВЭУ и СФЭУ. Это по</w:t>
      </w:r>
      <w:r w:rsidRPr="00323EF3">
        <w:rPr>
          <w:sz w:val="22"/>
          <w:szCs w:val="22"/>
        </w:rPr>
        <w:t>з</w:t>
      </w:r>
      <w:r w:rsidRPr="00323EF3">
        <w:rPr>
          <w:sz w:val="22"/>
          <w:szCs w:val="22"/>
        </w:rPr>
        <w:t>волит повысить эффективность технического обслуживания и р</w:t>
      </w:r>
      <w:r w:rsidRPr="00323EF3">
        <w:rPr>
          <w:sz w:val="22"/>
          <w:szCs w:val="22"/>
        </w:rPr>
        <w:t>е</w:t>
      </w:r>
      <w:r w:rsidRPr="00323EF3">
        <w:rPr>
          <w:sz w:val="22"/>
          <w:szCs w:val="22"/>
        </w:rPr>
        <w:t>монта автономных источников и, что немаловажно, отключению источников при уменьшении нагрузки или наоборот подключению большего числа автономных источников электроэнергии при ув</w:t>
      </w:r>
      <w:r w:rsidRPr="00323EF3">
        <w:rPr>
          <w:sz w:val="22"/>
          <w:szCs w:val="22"/>
        </w:rPr>
        <w:t>е</w:t>
      </w:r>
      <w:r w:rsidRPr="00323EF3">
        <w:rPr>
          <w:sz w:val="22"/>
          <w:szCs w:val="22"/>
        </w:rPr>
        <w:t>личении нагрузки.</w:t>
      </w:r>
    </w:p>
    <w:p w:rsidR="000F594F" w:rsidRPr="00323EF3" w:rsidRDefault="000F594F" w:rsidP="000F594F">
      <w:pPr>
        <w:ind w:firstLine="426"/>
        <w:jc w:val="both"/>
        <w:rPr>
          <w:sz w:val="22"/>
          <w:szCs w:val="22"/>
        </w:rPr>
      </w:pPr>
      <w:r w:rsidRPr="00323EF3">
        <w:rPr>
          <w:sz w:val="22"/>
          <w:szCs w:val="22"/>
        </w:rPr>
        <w:t>Модульный принцип построения АСЭ, выполненных на возо</w:t>
      </w:r>
      <w:r w:rsidRPr="00323EF3">
        <w:rPr>
          <w:sz w:val="22"/>
          <w:szCs w:val="22"/>
        </w:rPr>
        <w:t>б</w:t>
      </w:r>
      <w:r w:rsidRPr="00323EF3">
        <w:rPr>
          <w:sz w:val="22"/>
          <w:szCs w:val="22"/>
        </w:rPr>
        <w:t>новляемых источниках энергии позволит значительно улучшить показатели надежности таких систем, в том числе уровень ремонт</w:t>
      </w:r>
      <w:r w:rsidRPr="00323EF3">
        <w:rPr>
          <w:sz w:val="22"/>
          <w:szCs w:val="22"/>
        </w:rPr>
        <w:t>о</w:t>
      </w:r>
      <w:r w:rsidRPr="00323EF3">
        <w:rPr>
          <w:sz w:val="22"/>
          <w:szCs w:val="22"/>
        </w:rPr>
        <w:t>пригодности [5].</w:t>
      </w:r>
    </w:p>
    <w:p w:rsidR="000F594F" w:rsidRPr="00323EF3" w:rsidRDefault="000F594F" w:rsidP="000F594F">
      <w:pPr>
        <w:ind w:firstLine="426"/>
        <w:jc w:val="center"/>
        <w:rPr>
          <w:b/>
          <w:sz w:val="22"/>
          <w:szCs w:val="22"/>
        </w:rPr>
      </w:pPr>
    </w:p>
    <w:p w:rsidR="000F594F" w:rsidRPr="00323EF3" w:rsidRDefault="000F594F" w:rsidP="000F594F">
      <w:pPr>
        <w:ind w:hanging="12"/>
        <w:jc w:val="center"/>
        <w:rPr>
          <w:sz w:val="22"/>
          <w:szCs w:val="22"/>
        </w:rPr>
      </w:pPr>
      <w:r w:rsidRPr="00323EF3">
        <w:rPr>
          <w:sz w:val="22"/>
          <w:szCs w:val="22"/>
        </w:rPr>
        <w:t>Список литературы</w:t>
      </w:r>
    </w:p>
    <w:p w:rsidR="000F594F" w:rsidRPr="00323EF3" w:rsidRDefault="000F594F" w:rsidP="000F594F">
      <w:pPr>
        <w:ind w:firstLine="426"/>
        <w:jc w:val="both"/>
        <w:rPr>
          <w:sz w:val="22"/>
          <w:szCs w:val="22"/>
        </w:rPr>
      </w:pPr>
      <w:r w:rsidRPr="00323EF3">
        <w:rPr>
          <w:sz w:val="22"/>
          <w:szCs w:val="22"/>
        </w:rPr>
        <w:t>1. Григораш, О. В. Возобновляемые источники электроэнергии: состояние и перспективы / О. В. Григораш, Ю. Г. Пугачев, Д. В. В</w:t>
      </w:r>
      <w:r w:rsidRPr="00323EF3">
        <w:rPr>
          <w:sz w:val="22"/>
          <w:szCs w:val="22"/>
        </w:rPr>
        <w:t>о</w:t>
      </w:r>
      <w:r w:rsidRPr="00323EF3">
        <w:rPr>
          <w:sz w:val="22"/>
          <w:szCs w:val="22"/>
        </w:rPr>
        <w:t xml:space="preserve">енцов, А. С. Чесовской  // </w:t>
      </w:r>
      <w:hyperlink r:id="rId360" w:history="1">
        <w:r w:rsidRPr="00323EF3">
          <w:rPr>
            <w:sz w:val="22"/>
            <w:szCs w:val="22"/>
          </w:rPr>
          <w:t>Механизация</w:t>
        </w:r>
      </w:hyperlink>
      <w:r w:rsidRPr="00323EF3">
        <w:rPr>
          <w:sz w:val="22"/>
          <w:szCs w:val="22"/>
        </w:rPr>
        <w:t xml:space="preserve"> и электрификация сельского хозяйства. – 2007. –  № 8. – С. 24–25.</w:t>
      </w:r>
    </w:p>
    <w:p w:rsidR="000F594F" w:rsidRPr="00323EF3" w:rsidRDefault="000F594F" w:rsidP="000F594F">
      <w:pPr>
        <w:ind w:firstLine="426"/>
        <w:jc w:val="both"/>
        <w:rPr>
          <w:sz w:val="22"/>
          <w:szCs w:val="22"/>
        </w:rPr>
      </w:pPr>
      <w:r w:rsidRPr="00323EF3">
        <w:rPr>
          <w:sz w:val="22"/>
          <w:szCs w:val="22"/>
        </w:rPr>
        <w:t>2. Григораш, О. В. Нетрадиционные источники электроэнергии в составе систем гарантированного электроснабжения / О. В. Григ</w:t>
      </w:r>
      <w:r w:rsidRPr="00323EF3">
        <w:rPr>
          <w:sz w:val="22"/>
          <w:szCs w:val="22"/>
        </w:rPr>
        <w:t>о</w:t>
      </w:r>
      <w:r w:rsidRPr="00323EF3">
        <w:rPr>
          <w:sz w:val="22"/>
          <w:szCs w:val="22"/>
        </w:rPr>
        <w:t>раш, Н. И. Богатырев, Н. Н. Курзин  // Промышленная энергетика. – 2004. –  № 1. – С. 59–62.</w:t>
      </w:r>
    </w:p>
    <w:p w:rsidR="000F594F" w:rsidRPr="00323EF3" w:rsidRDefault="000F594F" w:rsidP="000F594F">
      <w:pPr>
        <w:ind w:firstLine="426"/>
        <w:jc w:val="both"/>
        <w:rPr>
          <w:sz w:val="22"/>
          <w:szCs w:val="22"/>
        </w:rPr>
      </w:pPr>
      <w:r w:rsidRPr="00323EF3">
        <w:rPr>
          <w:sz w:val="22"/>
          <w:szCs w:val="22"/>
        </w:rPr>
        <w:t>3. Григораш, О. В. Статические преобразователи электроэне</w:t>
      </w:r>
      <w:r w:rsidRPr="00323EF3">
        <w:rPr>
          <w:sz w:val="22"/>
          <w:szCs w:val="22"/>
        </w:rPr>
        <w:t>р</w:t>
      </w:r>
      <w:r w:rsidRPr="00323EF3">
        <w:rPr>
          <w:sz w:val="22"/>
          <w:szCs w:val="22"/>
        </w:rPr>
        <w:t xml:space="preserve">гии / О. В. Григораш, О. В. Новокрещенов, А. А. Хамула и др. – Краснодар, 2006. –  264 с. </w:t>
      </w:r>
    </w:p>
    <w:p w:rsidR="000F594F" w:rsidRPr="00323EF3" w:rsidRDefault="000F594F" w:rsidP="000F594F">
      <w:pPr>
        <w:ind w:firstLine="426"/>
        <w:jc w:val="both"/>
        <w:rPr>
          <w:sz w:val="22"/>
          <w:szCs w:val="22"/>
        </w:rPr>
      </w:pPr>
      <w:r w:rsidRPr="00323EF3">
        <w:rPr>
          <w:sz w:val="22"/>
          <w:szCs w:val="22"/>
        </w:rPr>
        <w:t>4. Григораш, О. В. Системы автономного электроснабжения: Монография / О. В. Григораш,  Н. И. Богатырёв, Н. Н. Курзин; под общ. ред. Н. И. Богатырёва. – Краснодар: Б/И. – 2001.  – 333  с.</w:t>
      </w:r>
    </w:p>
    <w:p w:rsidR="000F594F" w:rsidRPr="00323EF3" w:rsidRDefault="000F594F" w:rsidP="000F594F">
      <w:pPr>
        <w:ind w:firstLine="426"/>
        <w:jc w:val="both"/>
        <w:rPr>
          <w:sz w:val="22"/>
          <w:szCs w:val="22"/>
        </w:rPr>
      </w:pPr>
      <w:r w:rsidRPr="00323EF3">
        <w:rPr>
          <w:sz w:val="22"/>
          <w:szCs w:val="22"/>
        </w:rPr>
        <w:t>5. Григораш, О. В. Модульные системы гарантированного электроснабжения: Монография / О. В. Григораш,  С. В. Божко, Д. А. Нормов и др. – Краснодар: КВВАУЛ. –  2005.  – 306  с.</w:t>
      </w:r>
    </w:p>
    <w:p w:rsidR="000F594F" w:rsidRDefault="000F594F" w:rsidP="000F594F">
      <w:pPr>
        <w:rPr>
          <w:rFonts w:eastAsiaTheme="minorHAnsi"/>
          <w:sz w:val="24"/>
          <w:szCs w:val="24"/>
          <w:lang w:eastAsia="en-US"/>
        </w:rPr>
      </w:pPr>
    </w:p>
    <w:p w:rsidR="00541CA5" w:rsidRDefault="00541CA5" w:rsidP="000F594F">
      <w:pPr>
        <w:tabs>
          <w:tab w:val="left" w:pos="5040"/>
        </w:tabs>
        <w:rPr>
          <w:sz w:val="22"/>
          <w:szCs w:val="22"/>
        </w:rPr>
      </w:pPr>
    </w:p>
    <w:p w:rsidR="000F594F" w:rsidRPr="001E2F2C" w:rsidRDefault="000F594F" w:rsidP="000F594F">
      <w:pPr>
        <w:tabs>
          <w:tab w:val="left" w:pos="5040"/>
        </w:tabs>
        <w:rPr>
          <w:sz w:val="22"/>
          <w:szCs w:val="22"/>
        </w:rPr>
      </w:pPr>
      <w:r w:rsidRPr="001E2F2C">
        <w:rPr>
          <w:sz w:val="22"/>
          <w:szCs w:val="22"/>
        </w:rPr>
        <w:lastRenderedPageBreak/>
        <w:t>УДК 620 (075.8)</w:t>
      </w:r>
    </w:p>
    <w:p w:rsidR="000F594F" w:rsidRPr="001E2F2C" w:rsidRDefault="000F594F" w:rsidP="000F594F">
      <w:pPr>
        <w:tabs>
          <w:tab w:val="left" w:pos="5040"/>
        </w:tabs>
        <w:rPr>
          <w:sz w:val="22"/>
          <w:szCs w:val="22"/>
        </w:rPr>
      </w:pPr>
    </w:p>
    <w:p w:rsidR="000F594F" w:rsidRPr="001E2F2C" w:rsidRDefault="000F594F" w:rsidP="000F594F">
      <w:pPr>
        <w:tabs>
          <w:tab w:val="left" w:pos="5040"/>
        </w:tabs>
        <w:jc w:val="center"/>
        <w:rPr>
          <w:b/>
          <w:sz w:val="24"/>
          <w:szCs w:val="24"/>
        </w:rPr>
      </w:pPr>
      <w:r w:rsidRPr="001E2F2C">
        <w:rPr>
          <w:b/>
          <w:sz w:val="24"/>
          <w:szCs w:val="24"/>
        </w:rPr>
        <w:t>Системы бесперебойного электроснабжения</w:t>
      </w:r>
    </w:p>
    <w:p w:rsidR="000F594F" w:rsidRPr="001E2F2C" w:rsidRDefault="000F594F" w:rsidP="000F594F">
      <w:pPr>
        <w:tabs>
          <w:tab w:val="left" w:pos="5040"/>
        </w:tabs>
        <w:jc w:val="center"/>
        <w:rPr>
          <w:b/>
          <w:sz w:val="24"/>
          <w:szCs w:val="24"/>
        </w:rPr>
      </w:pPr>
      <w:r w:rsidRPr="001E2F2C">
        <w:rPr>
          <w:b/>
          <w:sz w:val="24"/>
          <w:szCs w:val="24"/>
        </w:rPr>
        <w:t>на возобновляемых источниках энергии</w:t>
      </w:r>
    </w:p>
    <w:p w:rsidR="000F594F" w:rsidRPr="00176F7A" w:rsidRDefault="000F594F" w:rsidP="000F594F">
      <w:pPr>
        <w:ind w:left="450"/>
        <w:jc w:val="center"/>
        <w:rPr>
          <w:b/>
          <w:sz w:val="24"/>
          <w:szCs w:val="24"/>
        </w:rPr>
      </w:pPr>
      <w:r w:rsidRPr="001E2F2C">
        <w:rPr>
          <w:b/>
          <w:sz w:val="24"/>
          <w:szCs w:val="24"/>
          <w:lang w:val="en-US"/>
        </w:rPr>
        <w:t>Uninterruptible</w:t>
      </w:r>
      <w:r w:rsidRPr="00176F7A">
        <w:rPr>
          <w:b/>
          <w:sz w:val="24"/>
          <w:szCs w:val="24"/>
        </w:rPr>
        <w:t xml:space="preserve"> </w:t>
      </w:r>
      <w:r w:rsidRPr="001E2F2C">
        <w:rPr>
          <w:b/>
          <w:sz w:val="24"/>
          <w:szCs w:val="24"/>
          <w:lang w:val="en-US"/>
        </w:rPr>
        <w:t>power</w:t>
      </w:r>
      <w:r w:rsidRPr="00176F7A">
        <w:rPr>
          <w:b/>
          <w:sz w:val="24"/>
          <w:szCs w:val="24"/>
        </w:rPr>
        <w:t xml:space="preserve"> </w:t>
      </w:r>
      <w:r w:rsidRPr="001E2F2C">
        <w:rPr>
          <w:b/>
          <w:sz w:val="24"/>
          <w:szCs w:val="24"/>
          <w:lang w:val="en-US"/>
        </w:rPr>
        <w:t>supply</w:t>
      </w:r>
      <w:r w:rsidRPr="00176F7A">
        <w:rPr>
          <w:b/>
          <w:sz w:val="24"/>
          <w:szCs w:val="24"/>
        </w:rPr>
        <w:t xml:space="preserve"> </w:t>
      </w:r>
      <w:r w:rsidRPr="001E2F2C">
        <w:rPr>
          <w:b/>
          <w:sz w:val="24"/>
          <w:szCs w:val="24"/>
          <w:lang w:val="en-US"/>
        </w:rPr>
        <w:t>systems</w:t>
      </w:r>
    </w:p>
    <w:p w:rsidR="000F594F" w:rsidRPr="001E2F2C" w:rsidRDefault="000F594F" w:rsidP="000F594F">
      <w:pPr>
        <w:ind w:left="450"/>
        <w:jc w:val="center"/>
        <w:rPr>
          <w:b/>
          <w:sz w:val="24"/>
          <w:szCs w:val="24"/>
          <w:lang w:val="en-US"/>
        </w:rPr>
      </w:pPr>
      <w:r w:rsidRPr="001E2F2C">
        <w:rPr>
          <w:b/>
          <w:sz w:val="24"/>
          <w:szCs w:val="24"/>
          <w:lang w:val="en-US"/>
        </w:rPr>
        <w:t>on renewable energy sources</w:t>
      </w:r>
    </w:p>
    <w:p w:rsidR="000F594F" w:rsidRPr="001E2F2C" w:rsidRDefault="000F594F" w:rsidP="000F594F">
      <w:pPr>
        <w:ind w:left="450"/>
        <w:jc w:val="center"/>
        <w:rPr>
          <w:b/>
          <w:sz w:val="22"/>
          <w:szCs w:val="22"/>
          <w:lang w:val="en-US"/>
        </w:rPr>
      </w:pPr>
    </w:p>
    <w:p w:rsidR="000F594F" w:rsidRPr="00176F7A" w:rsidRDefault="000F594F" w:rsidP="000F594F">
      <w:pPr>
        <w:tabs>
          <w:tab w:val="left" w:pos="5040"/>
        </w:tabs>
        <w:jc w:val="right"/>
        <w:rPr>
          <w:sz w:val="22"/>
          <w:szCs w:val="22"/>
          <w:lang w:val="en-US"/>
        </w:rPr>
      </w:pPr>
      <w:r w:rsidRPr="001E2F2C">
        <w:rPr>
          <w:sz w:val="22"/>
          <w:szCs w:val="22"/>
        </w:rPr>
        <w:t>Хазнаферова</w:t>
      </w:r>
      <w:r w:rsidRPr="00176F7A">
        <w:rPr>
          <w:sz w:val="22"/>
          <w:szCs w:val="22"/>
          <w:lang w:val="en-US"/>
        </w:rPr>
        <w:t xml:space="preserve"> </w:t>
      </w:r>
      <w:r w:rsidRPr="001E2F2C">
        <w:rPr>
          <w:sz w:val="22"/>
          <w:szCs w:val="22"/>
        </w:rPr>
        <w:t>Н</w:t>
      </w:r>
      <w:r w:rsidRPr="00176F7A">
        <w:rPr>
          <w:sz w:val="22"/>
          <w:szCs w:val="22"/>
          <w:lang w:val="en-US"/>
        </w:rPr>
        <w:t xml:space="preserve">. </w:t>
      </w:r>
      <w:r w:rsidRPr="001E2F2C">
        <w:rPr>
          <w:sz w:val="22"/>
          <w:szCs w:val="22"/>
        </w:rPr>
        <w:t>В</w:t>
      </w:r>
      <w:r w:rsidRPr="00176F7A">
        <w:rPr>
          <w:sz w:val="22"/>
          <w:szCs w:val="22"/>
          <w:lang w:val="en-US"/>
        </w:rPr>
        <w:t>.,</w:t>
      </w:r>
    </w:p>
    <w:p w:rsidR="000F594F" w:rsidRPr="001E2F2C" w:rsidRDefault="000F594F" w:rsidP="000F594F">
      <w:pPr>
        <w:tabs>
          <w:tab w:val="left" w:pos="5040"/>
        </w:tabs>
        <w:jc w:val="right"/>
        <w:rPr>
          <w:sz w:val="22"/>
          <w:szCs w:val="22"/>
        </w:rPr>
      </w:pPr>
      <w:r w:rsidRPr="001E2F2C">
        <w:rPr>
          <w:sz w:val="22"/>
          <w:szCs w:val="22"/>
        </w:rPr>
        <w:t>студентка 2-го курса факультета энергетики</w:t>
      </w:r>
    </w:p>
    <w:p w:rsidR="000F594F" w:rsidRPr="001E2F2C" w:rsidRDefault="000F594F" w:rsidP="000F594F">
      <w:pPr>
        <w:tabs>
          <w:tab w:val="left" w:pos="5040"/>
        </w:tabs>
        <w:jc w:val="right"/>
        <w:rPr>
          <w:sz w:val="22"/>
          <w:szCs w:val="22"/>
        </w:rPr>
      </w:pPr>
      <w:r w:rsidRPr="001E2F2C">
        <w:rPr>
          <w:sz w:val="22"/>
          <w:szCs w:val="22"/>
        </w:rPr>
        <w:t>Григораш О. В.,</w:t>
      </w:r>
    </w:p>
    <w:p w:rsidR="000F594F" w:rsidRPr="001E2F2C" w:rsidRDefault="000F594F" w:rsidP="000F594F">
      <w:pPr>
        <w:tabs>
          <w:tab w:val="left" w:pos="5040"/>
        </w:tabs>
        <w:jc w:val="right"/>
        <w:rPr>
          <w:sz w:val="22"/>
          <w:szCs w:val="22"/>
        </w:rPr>
      </w:pPr>
      <w:r w:rsidRPr="001E2F2C">
        <w:rPr>
          <w:sz w:val="22"/>
          <w:szCs w:val="22"/>
        </w:rPr>
        <w:t>заведующий кафедрой электротехники, теплотехники</w:t>
      </w:r>
    </w:p>
    <w:p w:rsidR="000F594F" w:rsidRPr="001E2F2C" w:rsidRDefault="000F594F" w:rsidP="000F594F">
      <w:pPr>
        <w:tabs>
          <w:tab w:val="left" w:pos="5040"/>
        </w:tabs>
        <w:jc w:val="right"/>
        <w:rPr>
          <w:sz w:val="22"/>
          <w:szCs w:val="22"/>
        </w:rPr>
      </w:pPr>
      <w:r w:rsidRPr="001E2F2C">
        <w:rPr>
          <w:sz w:val="22"/>
          <w:szCs w:val="22"/>
        </w:rPr>
        <w:t>и возобновляемых источников энергии</w:t>
      </w:r>
    </w:p>
    <w:p w:rsidR="000F594F" w:rsidRPr="001E2F2C" w:rsidRDefault="000F594F" w:rsidP="000F594F">
      <w:pPr>
        <w:tabs>
          <w:tab w:val="left" w:pos="5040"/>
        </w:tabs>
        <w:jc w:val="right"/>
        <w:rPr>
          <w:sz w:val="22"/>
          <w:szCs w:val="22"/>
        </w:rPr>
      </w:pPr>
      <w:r w:rsidRPr="001E2F2C">
        <w:rPr>
          <w:sz w:val="22"/>
          <w:szCs w:val="22"/>
        </w:rPr>
        <w:t xml:space="preserve">Кубанский государственный аграрный </w:t>
      </w:r>
    </w:p>
    <w:p w:rsidR="000F594F" w:rsidRPr="001E2F2C" w:rsidRDefault="000F594F" w:rsidP="000F594F">
      <w:pPr>
        <w:tabs>
          <w:tab w:val="left" w:pos="5040"/>
        </w:tabs>
        <w:jc w:val="right"/>
        <w:rPr>
          <w:sz w:val="22"/>
          <w:szCs w:val="22"/>
        </w:rPr>
      </w:pPr>
      <w:r w:rsidRPr="001E2F2C">
        <w:rPr>
          <w:sz w:val="22"/>
          <w:szCs w:val="22"/>
        </w:rPr>
        <w:t>университет имени И. Т. Трубилина</w:t>
      </w:r>
    </w:p>
    <w:p w:rsidR="000F594F" w:rsidRPr="001E2F2C" w:rsidRDefault="000F594F" w:rsidP="000F594F">
      <w:pPr>
        <w:tabs>
          <w:tab w:val="left" w:pos="5040"/>
        </w:tabs>
        <w:jc w:val="right"/>
        <w:rPr>
          <w:sz w:val="22"/>
          <w:szCs w:val="22"/>
        </w:rPr>
      </w:pPr>
    </w:p>
    <w:p w:rsidR="000F594F" w:rsidRPr="001E2F2C" w:rsidRDefault="000F594F" w:rsidP="000F594F">
      <w:pPr>
        <w:tabs>
          <w:tab w:val="left" w:pos="5040"/>
        </w:tabs>
        <w:ind w:firstLine="426"/>
        <w:jc w:val="both"/>
        <w:rPr>
          <w:sz w:val="22"/>
          <w:szCs w:val="22"/>
        </w:rPr>
      </w:pPr>
      <w:r w:rsidRPr="001E2F2C">
        <w:rPr>
          <w:sz w:val="22"/>
          <w:szCs w:val="22"/>
        </w:rPr>
        <w:t xml:space="preserve">АННОТАЦИЯ. </w:t>
      </w:r>
      <w:r w:rsidRPr="001E2F2C">
        <w:rPr>
          <w:color w:val="000000"/>
          <w:sz w:val="22"/>
          <w:szCs w:val="22"/>
        </w:rPr>
        <w:t>Раскрываются назначение, состав и особенн</w:t>
      </w:r>
      <w:r w:rsidRPr="001E2F2C">
        <w:rPr>
          <w:color w:val="000000"/>
          <w:sz w:val="22"/>
          <w:szCs w:val="22"/>
        </w:rPr>
        <w:t>о</w:t>
      </w:r>
      <w:r w:rsidRPr="001E2F2C">
        <w:rPr>
          <w:color w:val="000000"/>
          <w:sz w:val="22"/>
          <w:szCs w:val="22"/>
        </w:rPr>
        <w:t>сти работы систем бесперебойного электроснабжения, выполне</w:t>
      </w:r>
      <w:r w:rsidRPr="001E2F2C">
        <w:rPr>
          <w:color w:val="000000"/>
          <w:sz w:val="22"/>
          <w:szCs w:val="22"/>
        </w:rPr>
        <w:t>н</w:t>
      </w:r>
      <w:r w:rsidRPr="001E2F2C">
        <w:rPr>
          <w:sz w:val="22"/>
          <w:szCs w:val="22"/>
        </w:rPr>
        <w:t>ных на традиционных автономных и  возобновляемых источниках.</w:t>
      </w:r>
    </w:p>
    <w:p w:rsidR="000F594F" w:rsidRPr="001E2F2C" w:rsidRDefault="000F594F" w:rsidP="000F594F">
      <w:pPr>
        <w:tabs>
          <w:tab w:val="left" w:pos="5040"/>
        </w:tabs>
        <w:ind w:firstLine="426"/>
        <w:jc w:val="both"/>
        <w:rPr>
          <w:sz w:val="22"/>
          <w:szCs w:val="22"/>
          <w:lang w:val="en-US"/>
        </w:rPr>
      </w:pPr>
      <w:r w:rsidRPr="001E2F2C">
        <w:rPr>
          <w:caps/>
          <w:sz w:val="22"/>
          <w:szCs w:val="22"/>
          <w:lang w:val="en-US"/>
        </w:rPr>
        <w:t xml:space="preserve">Annotation. </w:t>
      </w:r>
      <w:r w:rsidRPr="001E2F2C">
        <w:rPr>
          <w:sz w:val="22"/>
          <w:szCs w:val="22"/>
          <w:lang w:val="en-US"/>
        </w:rPr>
        <w:t>The purpose, composition and features of the u</w:t>
      </w:r>
      <w:r w:rsidRPr="001E2F2C">
        <w:rPr>
          <w:sz w:val="22"/>
          <w:szCs w:val="22"/>
          <w:lang w:val="en-US"/>
        </w:rPr>
        <w:t>n</w:t>
      </w:r>
      <w:r w:rsidRPr="001E2F2C">
        <w:rPr>
          <w:sz w:val="22"/>
          <w:szCs w:val="22"/>
          <w:lang w:val="en-US"/>
        </w:rPr>
        <w:t>interruptible power supply systems, executed on traditional autonomous and renewable sources, are disclosed.</w:t>
      </w:r>
    </w:p>
    <w:p w:rsidR="000F594F" w:rsidRPr="001E2F2C" w:rsidRDefault="000F594F" w:rsidP="000F594F">
      <w:pPr>
        <w:tabs>
          <w:tab w:val="left" w:pos="5040"/>
        </w:tabs>
        <w:ind w:firstLine="426"/>
        <w:jc w:val="both"/>
        <w:rPr>
          <w:sz w:val="22"/>
          <w:szCs w:val="22"/>
        </w:rPr>
      </w:pPr>
      <w:r w:rsidRPr="001E2F2C">
        <w:rPr>
          <w:sz w:val="22"/>
          <w:szCs w:val="22"/>
        </w:rPr>
        <w:t>КЛЮЧЕВЫЕ СЛОВА: система бесперебойного электросна</w:t>
      </w:r>
      <w:r w:rsidRPr="001E2F2C">
        <w:rPr>
          <w:sz w:val="22"/>
          <w:szCs w:val="22"/>
        </w:rPr>
        <w:t>б</w:t>
      </w:r>
      <w:r w:rsidRPr="001E2F2C">
        <w:rPr>
          <w:sz w:val="22"/>
          <w:szCs w:val="22"/>
        </w:rPr>
        <w:t>жения, возобновляемые источники энергии.</w:t>
      </w:r>
    </w:p>
    <w:p w:rsidR="000F594F" w:rsidRPr="001E2F2C" w:rsidRDefault="000F594F" w:rsidP="000F594F">
      <w:pPr>
        <w:tabs>
          <w:tab w:val="left" w:pos="5040"/>
        </w:tabs>
        <w:ind w:firstLine="426"/>
        <w:jc w:val="both"/>
        <w:rPr>
          <w:sz w:val="22"/>
          <w:szCs w:val="22"/>
          <w:lang w:val="en-US"/>
        </w:rPr>
      </w:pPr>
      <w:r w:rsidRPr="001E2F2C">
        <w:rPr>
          <w:caps/>
          <w:sz w:val="22"/>
          <w:szCs w:val="22"/>
          <w:lang w:val="en-US"/>
        </w:rPr>
        <w:t xml:space="preserve">key words: </w:t>
      </w:r>
      <w:r w:rsidRPr="001E2F2C">
        <w:rPr>
          <w:sz w:val="22"/>
          <w:szCs w:val="22"/>
          <w:lang w:val="en-US"/>
        </w:rPr>
        <w:t>uninterruptible power supply system, renewable e</w:t>
      </w:r>
      <w:r w:rsidRPr="001E2F2C">
        <w:rPr>
          <w:sz w:val="22"/>
          <w:szCs w:val="22"/>
          <w:lang w:val="en-US"/>
        </w:rPr>
        <w:t>n</w:t>
      </w:r>
      <w:r w:rsidRPr="001E2F2C">
        <w:rPr>
          <w:sz w:val="22"/>
          <w:szCs w:val="22"/>
          <w:lang w:val="en-US"/>
        </w:rPr>
        <w:t>ergy sources.</w:t>
      </w:r>
    </w:p>
    <w:p w:rsidR="000F594F" w:rsidRPr="001E2F2C" w:rsidRDefault="00AD6B98" w:rsidP="000F594F">
      <w:pPr>
        <w:ind w:firstLine="426"/>
        <w:jc w:val="both"/>
        <w:rPr>
          <w:sz w:val="22"/>
          <w:szCs w:val="22"/>
        </w:rPr>
      </w:pPr>
      <w:r>
        <w:rPr>
          <w:sz w:val="22"/>
          <w:szCs w:val="22"/>
        </w:rPr>
        <w:t xml:space="preserve">В АПК по мере повышения уровня индустриализации </w:t>
      </w:r>
      <w:r w:rsidR="000F594F" w:rsidRPr="001E2F2C">
        <w:rPr>
          <w:sz w:val="22"/>
          <w:szCs w:val="22"/>
        </w:rPr>
        <w:t>прои</w:t>
      </w:r>
      <w:r w:rsidR="000F594F" w:rsidRPr="001E2F2C">
        <w:rPr>
          <w:sz w:val="22"/>
          <w:szCs w:val="22"/>
        </w:rPr>
        <w:t>з</w:t>
      </w:r>
      <w:r w:rsidR="000F594F" w:rsidRPr="001E2F2C">
        <w:rPr>
          <w:sz w:val="22"/>
          <w:szCs w:val="22"/>
        </w:rPr>
        <w:t>водства  с</w:t>
      </w:r>
      <w:r>
        <w:rPr>
          <w:sz w:val="22"/>
          <w:szCs w:val="22"/>
        </w:rPr>
        <w:t>ельскохозяйственной продукции, значительно</w:t>
      </w:r>
      <w:r w:rsidR="000F594F" w:rsidRPr="001E2F2C">
        <w:rPr>
          <w:sz w:val="22"/>
          <w:szCs w:val="22"/>
        </w:rPr>
        <w:t xml:space="preserve"> во</w:t>
      </w:r>
      <w:r>
        <w:rPr>
          <w:sz w:val="22"/>
          <w:szCs w:val="22"/>
        </w:rPr>
        <w:t>зрастает  роль резервных источников электроэнергии, обеспечивающих</w:t>
      </w:r>
      <w:r w:rsidR="000F594F" w:rsidRPr="001E2F2C">
        <w:rPr>
          <w:sz w:val="22"/>
          <w:szCs w:val="22"/>
        </w:rPr>
        <w:t xml:space="preserve"> бе</w:t>
      </w:r>
      <w:r w:rsidR="000F594F" w:rsidRPr="001E2F2C">
        <w:rPr>
          <w:sz w:val="22"/>
          <w:szCs w:val="22"/>
        </w:rPr>
        <w:t>с</w:t>
      </w:r>
      <w:r w:rsidR="000F594F" w:rsidRPr="001E2F2C">
        <w:rPr>
          <w:sz w:val="22"/>
          <w:szCs w:val="22"/>
        </w:rPr>
        <w:t>перебойное и качественное электроснабжение потребителей эле</w:t>
      </w:r>
      <w:r w:rsidR="000F594F" w:rsidRPr="001E2F2C">
        <w:rPr>
          <w:sz w:val="22"/>
          <w:szCs w:val="22"/>
        </w:rPr>
        <w:t>к</w:t>
      </w:r>
      <w:r w:rsidR="000F594F" w:rsidRPr="001E2F2C">
        <w:rPr>
          <w:sz w:val="22"/>
          <w:szCs w:val="22"/>
        </w:rPr>
        <w:t>троэнергии [1, 2].</w:t>
      </w:r>
    </w:p>
    <w:p w:rsidR="000F594F" w:rsidRPr="001E2F2C" w:rsidRDefault="00AD6B98" w:rsidP="000F594F">
      <w:pPr>
        <w:ind w:firstLine="426"/>
        <w:jc w:val="both"/>
        <w:rPr>
          <w:sz w:val="22"/>
          <w:szCs w:val="22"/>
        </w:rPr>
      </w:pPr>
      <w:r>
        <w:rPr>
          <w:sz w:val="22"/>
          <w:szCs w:val="22"/>
        </w:rPr>
        <w:t xml:space="preserve">Применяемые в настоящее время дизельные электрические станции </w:t>
      </w:r>
      <w:r w:rsidR="000F594F" w:rsidRPr="001E2F2C">
        <w:rPr>
          <w:sz w:val="22"/>
          <w:szCs w:val="22"/>
        </w:rPr>
        <w:t>(ДЭС), в качестве резервных источн</w:t>
      </w:r>
      <w:r>
        <w:rPr>
          <w:sz w:val="22"/>
          <w:szCs w:val="22"/>
        </w:rPr>
        <w:t xml:space="preserve">иков, имеют высокую </w:t>
      </w:r>
      <w:r w:rsidR="000F594F" w:rsidRPr="001E2F2C">
        <w:rPr>
          <w:sz w:val="22"/>
          <w:szCs w:val="22"/>
        </w:rPr>
        <w:t>с</w:t>
      </w:r>
      <w:r>
        <w:rPr>
          <w:sz w:val="22"/>
          <w:szCs w:val="22"/>
        </w:rPr>
        <w:t xml:space="preserve">тепень автоматизации, однако </w:t>
      </w:r>
      <w:r w:rsidR="000F594F" w:rsidRPr="001E2F2C">
        <w:rPr>
          <w:sz w:val="22"/>
          <w:szCs w:val="22"/>
        </w:rPr>
        <w:t>они</w:t>
      </w:r>
      <w:r>
        <w:rPr>
          <w:sz w:val="22"/>
          <w:szCs w:val="22"/>
        </w:rPr>
        <w:t xml:space="preserve"> неэкономичны. Их ресурс их </w:t>
      </w:r>
      <w:r w:rsidR="000F594F" w:rsidRPr="001E2F2C">
        <w:rPr>
          <w:sz w:val="22"/>
          <w:szCs w:val="22"/>
        </w:rPr>
        <w:t>не</w:t>
      </w:r>
      <w:r>
        <w:rPr>
          <w:sz w:val="22"/>
          <w:szCs w:val="22"/>
        </w:rPr>
        <w:t xml:space="preserve">прерывной работы не превышает 500 ч., а время включения в </w:t>
      </w:r>
      <w:r w:rsidR="000F594F" w:rsidRPr="001E2F2C">
        <w:rPr>
          <w:sz w:val="22"/>
          <w:szCs w:val="22"/>
        </w:rPr>
        <w:t>р</w:t>
      </w:r>
      <w:r w:rsidR="000F594F" w:rsidRPr="001E2F2C">
        <w:rPr>
          <w:sz w:val="22"/>
          <w:szCs w:val="22"/>
        </w:rPr>
        <w:t>а</w:t>
      </w:r>
      <w:r w:rsidR="000F594F" w:rsidRPr="001E2F2C">
        <w:rPr>
          <w:sz w:val="22"/>
          <w:szCs w:val="22"/>
        </w:rPr>
        <w:t>бо</w:t>
      </w:r>
      <w:r>
        <w:rPr>
          <w:sz w:val="22"/>
          <w:szCs w:val="22"/>
        </w:rPr>
        <w:t>ту и  принятие на себя нагрузки может достигать несколько</w:t>
      </w:r>
      <w:r w:rsidR="000F594F" w:rsidRPr="001E2F2C">
        <w:rPr>
          <w:sz w:val="22"/>
          <w:szCs w:val="22"/>
        </w:rPr>
        <w:t xml:space="preserve"> м</w:t>
      </w:r>
      <w:r w:rsidR="000F594F" w:rsidRPr="001E2F2C">
        <w:rPr>
          <w:sz w:val="22"/>
          <w:szCs w:val="22"/>
        </w:rPr>
        <w:t>и</w:t>
      </w:r>
      <w:r w:rsidR="000F594F" w:rsidRPr="001E2F2C">
        <w:rPr>
          <w:sz w:val="22"/>
          <w:szCs w:val="22"/>
        </w:rPr>
        <w:t xml:space="preserve">нут, что может приводить к сбою в технологических процессах и аварийным ситуациям [3]. </w:t>
      </w:r>
    </w:p>
    <w:p w:rsidR="000F594F" w:rsidRPr="001E2F2C" w:rsidRDefault="000F594F" w:rsidP="000F594F">
      <w:pPr>
        <w:ind w:firstLine="426"/>
        <w:jc w:val="both"/>
        <w:rPr>
          <w:sz w:val="22"/>
          <w:szCs w:val="22"/>
        </w:rPr>
      </w:pPr>
      <w:r w:rsidRPr="001E2F2C">
        <w:rPr>
          <w:sz w:val="22"/>
          <w:szCs w:val="22"/>
        </w:rPr>
        <w:lastRenderedPageBreak/>
        <w:t>В настоящее время</w:t>
      </w:r>
      <w:r w:rsidR="00AD6B98">
        <w:rPr>
          <w:sz w:val="22"/>
          <w:szCs w:val="22"/>
        </w:rPr>
        <w:t xml:space="preserve"> эффективным средством решения</w:t>
      </w:r>
      <w:r w:rsidRPr="001E2F2C">
        <w:rPr>
          <w:sz w:val="22"/>
          <w:szCs w:val="22"/>
        </w:rPr>
        <w:t xml:space="preserve"> пробл</w:t>
      </w:r>
      <w:r w:rsidRPr="001E2F2C">
        <w:rPr>
          <w:sz w:val="22"/>
          <w:szCs w:val="22"/>
        </w:rPr>
        <w:t>е</w:t>
      </w:r>
      <w:r w:rsidR="00AD6B98">
        <w:rPr>
          <w:sz w:val="22"/>
          <w:szCs w:val="22"/>
        </w:rPr>
        <w:t>мы бесперебойного и качественного электроснабжения</w:t>
      </w:r>
      <w:r w:rsidRPr="001E2F2C">
        <w:rPr>
          <w:sz w:val="22"/>
          <w:szCs w:val="22"/>
        </w:rPr>
        <w:t xml:space="preserve"> ответстве</w:t>
      </w:r>
      <w:r w:rsidRPr="001E2F2C">
        <w:rPr>
          <w:sz w:val="22"/>
          <w:szCs w:val="22"/>
        </w:rPr>
        <w:t>н</w:t>
      </w:r>
      <w:r w:rsidRPr="001E2F2C">
        <w:rPr>
          <w:sz w:val="22"/>
          <w:szCs w:val="22"/>
        </w:rPr>
        <w:t>ных сельскохозяйственных</w:t>
      </w:r>
      <w:r w:rsidR="00AD6B98">
        <w:rPr>
          <w:sz w:val="22"/>
          <w:szCs w:val="22"/>
        </w:rPr>
        <w:t xml:space="preserve"> потребителей электроэнергии</w:t>
      </w:r>
      <w:r w:rsidRPr="001E2F2C">
        <w:rPr>
          <w:sz w:val="22"/>
          <w:szCs w:val="22"/>
        </w:rPr>
        <w:t xml:space="preserve"> является созда</w:t>
      </w:r>
      <w:r w:rsidR="00AD6B98">
        <w:rPr>
          <w:sz w:val="22"/>
          <w:szCs w:val="22"/>
        </w:rPr>
        <w:t>ние</w:t>
      </w:r>
      <w:r w:rsidRPr="001E2F2C">
        <w:rPr>
          <w:sz w:val="22"/>
          <w:szCs w:val="22"/>
        </w:rPr>
        <w:t xml:space="preserve"> систем б</w:t>
      </w:r>
      <w:r w:rsidR="00AD6B98">
        <w:rPr>
          <w:sz w:val="22"/>
          <w:szCs w:val="22"/>
        </w:rPr>
        <w:t>есперебойного электроснабжения (СБЭ),</w:t>
      </w:r>
      <w:r w:rsidRPr="001E2F2C">
        <w:rPr>
          <w:sz w:val="22"/>
          <w:szCs w:val="22"/>
        </w:rPr>
        <w:t xml:space="preserve"> выпо</w:t>
      </w:r>
      <w:r w:rsidRPr="001E2F2C">
        <w:rPr>
          <w:sz w:val="22"/>
          <w:szCs w:val="22"/>
        </w:rPr>
        <w:t>л</w:t>
      </w:r>
      <w:r w:rsidRPr="001E2F2C">
        <w:rPr>
          <w:sz w:val="22"/>
          <w:szCs w:val="22"/>
        </w:rPr>
        <w:t>нен</w:t>
      </w:r>
      <w:r w:rsidR="00AD6B98">
        <w:rPr>
          <w:sz w:val="22"/>
          <w:szCs w:val="22"/>
        </w:rPr>
        <w:t xml:space="preserve">ных с использованием </w:t>
      </w:r>
      <w:r w:rsidRPr="001E2F2C">
        <w:rPr>
          <w:sz w:val="22"/>
          <w:szCs w:val="22"/>
        </w:rPr>
        <w:t>традиционных и возобновляемых исто</w:t>
      </w:r>
      <w:r w:rsidRPr="001E2F2C">
        <w:rPr>
          <w:sz w:val="22"/>
          <w:szCs w:val="22"/>
        </w:rPr>
        <w:t>ч</w:t>
      </w:r>
      <w:r w:rsidRPr="001E2F2C">
        <w:rPr>
          <w:sz w:val="22"/>
          <w:szCs w:val="22"/>
        </w:rPr>
        <w:t>ников энергии (ВИЭ). К ВИЭ, как правило, относятся солнечные фотоэлектрические станции (СФЭС) и ветроэнергетические ста</w:t>
      </w:r>
      <w:r w:rsidRPr="001E2F2C">
        <w:rPr>
          <w:sz w:val="22"/>
          <w:szCs w:val="22"/>
        </w:rPr>
        <w:t>н</w:t>
      </w:r>
      <w:r w:rsidRPr="001E2F2C">
        <w:rPr>
          <w:sz w:val="22"/>
          <w:szCs w:val="22"/>
        </w:rPr>
        <w:t>ции (ВЭС). Эти источники эффективно могут использоваться на территории Краснодарского края [4].</w:t>
      </w:r>
    </w:p>
    <w:p w:rsidR="000F594F" w:rsidRPr="001E2F2C" w:rsidRDefault="000F594F" w:rsidP="000F594F">
      <w:pPr>
        <w:ind w:firstLine="426"/>
        <w:jc w:val="both"/>
        <w:rPr>
          <w:sz w:val="22"/>
          <w:szCs w:val="22"/>
        </w:rPr>
      </w:pPr>
      <w:r w:rsidRPr="001E2F2C">
        <w:rPr>
          <w:sz w:val="22"/>
          <w:szCs w:val="22"/>
        </w:rPr>
        <w:t>Перспективы ВИЭ в сельскохозяйственном производстве св</w:t>
      </w:r>
      <w:r w:rsidRPr="001E2F2C">
        <w:rPr>
          <w:sz w:val="22"/>
          <w:szCs w:val="22"/>
        </w:rPr>
        <w:t>я</w:t>
      </w:r>
      <w:r w:rsidRPr="001E2F2C">
        <w:rPr>
          <w:sz w:val="22"/>
          <w:szCs w:val="22"/>
        </w:rPr>
        <w:t>заны со следующими причинами: ограниченность  природных  з</w:t>
      </w:r>
      <w:r w:rsidRPr="001E2F2C">
        <w:rPr>
          <w:sz w:val="22"/>
          <w:szCs w:val="22"/>
        </w:rPr>
        <w:t>а</w:t>
      </w:r>
      <w:r w:rsidRPr="001E2F2C">
        <w:rPr>
          <w:sz w:val="22"/>
          <w:szCs w:val="22"/>
        </w:rPr>
        <w:t>пасов  топлива (по разным источникам от 50 до 70 лет); отриц</w:t>
      </w:r>
      <w:r w:rsidRPr="001E2F2C">
        <w:rPr>
          <w:sz w:val="22"/>
          <w:szCs w:val="22"/>
        </w:rPr>
        <w:t>а</w:t>
      </w:r>
      <w:r w:rsidRPr="001E2F2C">
        <w:rPr>
          <w:sz w:val="22"/>
          <w:szCs w:val="22"/>
        </w:rPr>
        <w:t>тельные экологические последствия от применения традиционных источников энергии; неограниченный ресурс возобновляемой эне</w:t>
      </w:r>
      <w:r w:rsidRPr="001E2F2C">
        <w:rPr>
          <w:sz w:val="22"/>
          <w:szCs w:val="22"/>
        </w:rPr>
        <w:t>р</w:t>
      </w:r>
      <w:r w:rsidRPr="001E2F2C">
        <w:rPr>
          <w:sz w:val="22"/>
          <w:szCs w:val="22"/>
        </w:rPr>
        <w:t>гетики.</w:t>
      </w:r>
    </w:p>
    <w:p w:rsidR="000F594F" w:rsidRPr="001E2F2C" w:rsidRDefault="000F594F" w:rsidP="000F594F">
      <w:pPr>
        <w:ind w:firstLine="426"/>
        <w:jc w:val="both"/>
        <w:rPr>
          <w:sz w:val="22"/>
          <w:szCs w:val="22"/>
        </w:rPr>
      </w:pPr>
      <w:r w:rsidRPr="001E2F2C">
        <w:rPr>
          <w:sz w:val="22"/>
          <w:szCs w:val="22"/>
        </w:rPr>
        <w:t>Для  повышения  надежности  электроснабжения  СБЭ в их с</w:t>
      </w:r>
      <w:r w:rsidRPr="001E2F2C">
        <w:rPr>
          <w:sz w:val="22"/>
          <w:szCs w:val="22"/>
        </w:rPr>
        <w:t>о</w:t>
      </w:r>
      <w:r w:rsidRPr="001E2F2C">
        <w:rPr>
          <w:sz w:val="22"/>
          <w:szCs w:val="22"/>
        </w:rPr>
        <w:t>ставе могут применяться как автономные традиционные источники энергии (ДЭС и газопоршневые электростанции), так и ВИЭ. Кроме того, если потребители электроэнергии размещены не далеко (не более 500 м) от внешних энергетическим систем электроснабжения, то  СБЭ могут иметь вводы от этих систем.</w:t>
      </w:r>
    </w:p>
    <w:p w:rsidR="000F594F" w:rsidRPr="001E2F2C" w:rsidRDefault="000F594F" w:rsidP="000F594F">
      <w:pPr>
        <w:ind w:firstLine="426"/>
        <w:jc w:val="both"/>
        <w:rPr>
          <w:sz w:val="22"/>
          <w:szCs w:val="22"/>
        </w:rPr>
      </w:pPr>
      <w:r w:rsidRPr="001E2F2C">
        <w:rPr>
          <w:sz w:val="22"/>
          <w:szCs w:val="22"/>
        </w:rPr>
        <w:t>Для снижения капиталовложений в ВИЭ, путем исключения из их состава аккумуляторных батарей, они должны работать пара</w:t>
      </w:r>
      <w:r w:rsidRPr="001E2F2C">
        <w:rPr>
          <w:sz w:val="22"/>
          <w:szCs w:val="22"/>
        </w:rPr>
        <w:t>л</w:t>
      </w:r>
      <w:r w:rsidRPr="001E2F2C">
        <w:rPr>
          <w:sz w:val="22"/>
          <w:szCs w:val="22"/>
        </w:rPr>
        <w:t>лельно с сетью, в случае необходимости сброса излишней мощн</w:t>
      </w:r>
      <w:r w:rsidRPr="001E2F2C">
        <w:rPr>
          <w:sz w:val="22"/>
          <w:szCs w:val="22"/>
        </w:rPr>
        <w:t>о</w:t>
      </w:r>
      <w:r w:rsidRPr="001E2F2C">
        <w:rPr>
          <w:sz w:val="22"/>
          <w:szCs w:val="22"/>
        </w:rPr>
        <w:t>сти.</w:t>
      </w:r>
    </w:p>
    <w:p w:rsidR="000F594F" w:rsidRPr="001E2F2C" w:rsidRDefault="000F594F" w:rsidP="000F594F">
      <w:pPr>
        <w:ind w:firstLine="426"/>
        <w:jc w:val="both"/>
        <w:rPr>
          <w:sz w:val="22"/>
          <w:szCs w:val="22"/>
        </w:rPr>
      </w:pPr>
      <w:r w:rsidRPr="001E2F2C">
        <w:rPr>
          <w:sz w:val="22"/>
          <w:szCs w:val="22"/>
        </w:rPr>
        <w:t>Необходимыми функциональными элементами СБЭ являются</w:t>
      </w:r>
      <w:r w:rsidR="00AD6B98">
        <w:rPr>
          <w:sz w:val="22"/>
          <w:szCs w:val="22"/>
        </w:rPr>
        <w:t xml:space="preserve"> статические преобразователи электроэнергии</w:t>
      </w:r>
      <w:r w:rsidRPr="001E2F2C">
        <w:rPr>
          <w:sz w:val="22"/>
          <w:szCs w:val="22"/>
        </w:rPr>
        <w:t xml:space="preserve"> (СПЭ</w:t>
      </w:r>
      <w:r w:rsidR="00AD6B98">
        <w:rPr>
          <w:sz w:val="22"/>
          <w:szCs w:val="22"/>
        </w:rPr>
        <w:t xml:space="preserve">). Поскольку </w:t>
      </w:r>
      <w:r w:rsidRPr="001E2F2C">
        <w:rPr>
          <w:sz w:val="22"/>
          <w:szCs w:val="22"/>
        </w:rPr>
        <w:t>сельскохозяйствен</w:t>
      </w:r>
      <w:r w:rsidR="00AD6B98">
        <w:rPr>
          <w:sz w:val="22"/>
          <w:szCs w:val="22"/>
        </w:rPr>
        <w:t xml:space="preserve">ные потребители требуют для своего питания </w:t>
      </w:r>
      <w:r w:rsidRPr="001E2F2C">
        <w:rPr>
          <w:sz w:val="22"/>
          <w:szCs w:val="22"/>
        </w:rPr>
        <w:t>электроэнер</w:t>
      </w:r>
      <w:r w:rsidR="00AD6B98">
        <w:rPr>
          <w:sz w:val="22"/>
          <w:szCs w:val="22"/>
        </w:rPr>
        <w:t>гию с параметрами, отличными от  тех,</w:t>
      </w:r>
      <w:r w:rsidRPr="001E2F2C">
        <w:rPr>
          <w:sz w:val="22"/>
          <w:szCs w:val="22"/>
        </w:rPr>
        <w:t xml:space="preserve"> которые выр</w:t>
      </w:r>
      <w:r w:rsidRPr="001E2F2C">
        <w:rPr>
          <w:sz w:val="22"/>
          <w:szCs w:val="22"/>
        </w:rPr>
        <w:t>а</w:t>
      </w:r>
      <w:r w:rsidR="00AD6B98">
        <w:rPr>
          <w:sz w:val="22"/>
          <w:szCs w:val="22"/>
        </w:rPr>
        <w:t xml:space="preserve">батывают ВИЭ. СПЭ </w:t>
      </w:r>
      <w:r w:rsidRPr="001E2F2C">
        <w:rPr>
          <w:sz w:val="22"/>
          <w:szCs w:val="22"/>
        </w:rPr>
        <w:t>кроме согласования параметров электроэне</w:t>
      </w:r>
      <w:r w:rsidRPr="001E2F2C">
        <w:rPr>
          <w:sz w:val="22"/>
          <w:szCs w:val="22"/>
        </w:rPr>
        <w:t>р</w:t>
      </w:r>
      <w:r w:rsidRPr="001E2F2C">
        <w:rPr>
          <w:sz w:val="22"/>
          <w:szCs w:val="22"/>
        </w:rPr>
        <w:t>гии источников и потребителей выполняют функции регуляторов и стабилизаторов напряжения. Кроме того, они могут выполнять функции устройств синхронизации работы источников СБЭ и внешней сети [5].</w:t>
      </w:r>
    </w:p>
    <w:p w:rsidR="000F594F" w:rsidRPr="001E2F2C" w:rsidRDefault="000F594F" w:rsidP="000F594F">
      <w:pPr>
        <w:ind w:firstLine="426"/>
        <w:jc w:val="both"/>
        <w:rPr>
          <w:sz w:val="22"/>
          <w:szCs w:val="22"/>
        </w:rPr>
      </w:pPr>
      <w:r w:rsidRPr="001E2F2C">
        <w:rPr>
          <w:sz w:val="22"/>
          <w:szCs w:val="22"/>
        </w:rPr>
        <w:t>В общем случае бесперебойность электроснабжения отве</w:t>
      </w:r>
      <w:r w:rsidRPr="001E2F2C">
        <w:rPr>
          <w:sz w:val="22"/>
          <w:szCs w:val="22"/>
        </w:rPr>
        <w:t>т</w:t>
      </w:r>
      <w:r w:rsidR="00AD6B98">
        <w:rPr>
          <w:sz w:val="22"/>
          <w:szCs w:val="22"/>
        </w:rPr>
        <w:t>ственных</w:t>
      </w:r>
      <w:r w:rsidRPr="001E2F2C">
        <w:rPr>
          <w:sz w:val="22"/>
          <w:szCs w:val="22"/>
        </w:rPr>
        <w:t xml:space="preserve"> потребителе</w:t>
      </w:r>
      <w:r w:rsidR="00AD6B98">
        <w:rPr>
          <w:sz w:val="22"/>
          <w:szCs w:val="22"/>
        </w:rPr>
        <w:t>й электроэнергии  достигается,</w:t>
      </w:r>
      <w:r w:rsidRPr="001E2F2C">
        <w:rPr>
          <w:sz w:val="22"/>
          <w:szCs w:val="22"/>
        </w:rPr>
        <w:t xml:space="preserve"> во</w:t>
      </w:r>
      <w:r w:rsidR="00AD6B98">
        <w:rPr>
          <w:sz w:val="22"/>
          <w:szCs w:val="22"/>
        </w:rPr>
        <w:t>-первых, за</w:t>
      </w:r>
      <w:r w:rsidRPr="001E2F2C">
        <w:rPr>
          <w:sz w:val="22"/>
          <w:szCs w:val="22"/>
        </w:rPr>
        <w:t xml:space="preserve"> счет  н</w:t>
      </w:r>
      <w:r w:rsidR="00AD6B98">
        <w:rPr>
          <w:sz w:val="22"/>
          <w:szCs w:val="22"/>
        </w:rPr>
        <w:t>аличия нескольких  источников электроэнергии, как</w:t>
      </w:r>
      <w:r w:rsidRPr="001E2F2C">
        <w:rPr>
          <w:sz w:val="22"/>
          <w:szCs w:val="22"/>
        </w:rPr>
        <w:t xml:space="preserve"> прави</w:t>
      </w:r>
      <w:r w:rsidR="00AD6B98">
        <w:rPr>
          <w:sz w:val="22"/>
          <w:szCs w:val="22"/>
        </w:rPr>
        <w:t xml:space="preserve">ло, не менее двух, а во-вторых, за </w:t>
      </w:r>
      <w:r w:rsidRPr="001E2F2C">
        <w:rPr>
          <w:sz w:val="22"/>
          <w:szCs w:val="22"/>
        </w:rPr>
        <w:t>счет  высокого  быстродействия  с</w:t>
      </w:r>
      <w:r w:rsidRPr="001E2F2C">
        <w:rPr>
          <w:sz w:val="22"/>
          <w:szCs w:val="22"/>
        </w:rPr>
        <w:t>и</w:t>
      </w:r>
      <w:r w:rsidRPr="001E2F2C">
        <w:rPr>
          <w:sz w:val="22"/>
          <w:szCs w:val="22"/>
        </w:rPr>
        <w:lastRenderedPageBreak/>
        <w:t>л</w:t>
      </w:r>
      <w:r w:rsidR="00AD6B98">
        <w:rPr>
          <w:sz w:val="22"/>
          <w:szCs w:val="22"/>
        </w:rPr>
        <w:t>овых электронных приборов СПЭ,</w:t>
      </w:r>
      <w:r w:rsidRPr="001E2F2C">
        <w:rPr>
          <w:sz w:val="22"/>
          <w:szCs w:val="22"/>
        </w:rPr>
        <w:t xml:space="preserve"> которые могут также прим</w:t>
      </w:r>
      <w:r w:rsidRPr="001E2F2C">
        <w:rPr>
          <w:sz w:val="22"/>
          <w:szCs w:val="22"/>
        </w:rPr>
        <w:t>е</w:t>
      </w:r>
      <w:r w:rsidRPr="001E2F2C">
        <w:rPr>
          <w:sz w:val="22"/>
          <w:szCs w:val="22"/>
        </w:rPr>
        <w:t>няться для коммутации силовых электрических цепей.</w:t>
      </w:r>
    </w:p>
    <w:p w:rsidR="000F594F" w:rsidRPr="001E2F2C" w:rsidRDefault="00AD6B98" w:rsidP="000F594F">
      <w:pPr>
        <w:ind w:firstLine="426"/>
        <w:jc w:val="both"/>
        <w:rPr>
          <w:sz w:val="22"/>
          <w:szCs w:val="22"/>
        </w:rPr>
      </w:pPr>
      <w:r>
        <w:rPr>
          <w:sz w:val="22"/>
          <w:szCs w:val="22"/>
        </w:rPr>
        <w:t>Для</w:t>
      </w:r>
      <w:r w:rsidR="000F594F" w:rsidRPr="001E2F2C">
        <w:rPr>
          <w:sz w:val="22"/>
          <w:szCs w:val="22"/>
        </w:rPr>
        <w:t xml:space="preserve"> улучшени</w:t>
      </w:r>
      <w:r>
        <w:rPr>
          <w:sz w:val="22"/>
          <w:szCs w:val="22"/>
        </w:rPr>
        <w:t xml:space="preserve">я эксплуатационно-технических </w:t>
      </w:r>
      <w:r w:rsidR="000F594F" w:rsidRPr="001E2F2C">
        <w:rPr>
          <w:sz w:val="22"/>
          <w:szCs w:val="22"/>
        </w:rPr>
        <w:t>характеристик (ЭТХ)  СБЭ  они должны быть вып</w:t>
      </w:r>
      <w:r>
        <w:rPr>
          <w:sz w:val="22"/>
          <w:szCs w:val="22"/>
        </w:rPr>
        <w:t>олнены по модульному принц</w:t>
      </w:r>
      <w:r>
        <w:rPr>
          <w:sz w:val="22"/>
          <w:szCs w:val="22"/>
        </w:rPr>
        <w:t>и</w:t>
      </w:r>
      <w:r>
        <w:rPr>
          <w:sz w:val="22"/>
          <w:szCs w:val="22"/>
        </w:rPr>
        <w:t xml:space="preserve">пу, т. е. система должна компоноваться на однотипных и </w:t>
      </w:r>
      <w:r w:rsidR="000F594F" w:rsidRPr="001E2F2C">
        <w:rPr>
          <w:sz w:val="22"/>
          <w:szCs w:val="22"/>
        </w:rPr>
        <w:t>унифиц</w:t>
      </w:r>
      <w:r w:rsidR="000F594F" w:rsidRPr="001E2F2C">
        <w:rPr>
          <w:sz w:val="22"/>
          <w:szCs w:val="22"/>
        </w:rPr>
        <w:t>и</w:t>
      </w:r>
      <w:r w:rsidR="000F594F" w:rsidRPr="001E2F2C">
        <w:rPr>
          <w:sz w:val="22"/>
          <w:szCs w:val="22"/>
        </w:rPr>
        <w:t>ро</w:t>
      </w:r>
      <w:r>
        <w:rPr>
          <w:sz w:val="22"/>
          <w:szCs w:val="22"/>
        </w:rPr>
        <w:t>ванных</w:t>
      </w:r>
      <w:r w:rsidR="000F594F" w:rsidRPr="001E2F2C">
        <w:rPr>
          <w:sz w:val="22"/>
          <w:szCs w:val="22"/>
        </w:rPr>
        <w:t xml:space="preserve"> ус</w:t>
      </w:r>
      <w:r>
        <w:rPr>
          <w:sz w:val="22"/>
          <w:szCs w:val="22"/>
        </w:rPr>
        <w:t>тройствах, блоках, элементах.</w:t>
      </w:r>
      <w:r w:rsidR="000F594F" w:rsidRPr="001E2F2C">
        <w:rPr>
          <w:sz w:val="22"/>
          <w:szCs w:val="22"/>
        </w:rPr>
        <w:t xml:space="preserve"> Перспективн</w:t>
      </w:r>
      <w:r>
        <w:rPr>
          <w:sz w:val="22"/>
          <w:szCs w:val="22"/>
        </w:rPr>
        <w:t>ым</w:t>
      </w:r>
      <w:r w:rsidR="000F594F" w:rsidRPr="001E2F2C">
        <w:rPr>
          <w:sz w:val="22"/>
          <w:szCs w:val="22"/>
        </w:rPr>
        <w:t xml:space="preserve"> явля</w:t>
      </w:r>
      <w:r>
        <w:rPr>
          <w:sz w:val="22"/>
          <w:szCs w:val="22"/>
        </w:rPr>
        <w:t>ется направление</w:t>
      </w:r>
      <w:r w:rsidR="000F594F" w:rsidRPr="001E2F2C">
        <w:rPr>
          <w:sz w:val="22"/>
          <w:szCs w:val="22"/>
        </w:rPr>
        <w:t xml:space="preserve"> разработ</w:t>
      </w:r>
      <w:r>
        <w:rPr>
          <w:sz w:val="22"/>
          <w:szCs w:val="22"/>
        </w:rPr>
        <w:t>ки и внедрения универсальных</w:t>
      </w:r>
      <w:r w:rsidR="000F594F" w:rsidRPr="001E2F2C">
        <w:rPr>
          <w:sz w:val="22"/>
          <w:szCs w:val="22"/>
        </w:rPr>
        <w:t xml:space="preserve"> преобразов</w:t>
      </w:r>
      <w:r w:rsidR="000F594F" w:rsidRPr="001E2F2C">
        <w:rPr>
          <w:sz w:val="22"/>
          <w:szCs w:val="22"/>
        </w:rPr>
        <w:t>а</w:t>
      </w:r>
      <w:r>
        <w:rPr>
          <w:sz w:val="22"/>
          <w:szCs w:val="22"/>
        </w:rPr>
        <w:t xml:space="preserve">телей </w:t>
      </w:r>
      <w:r w:rsidR="000F594F" w:rsidRPr="001E2F2C">
        <w:rPr>
          <w:sz w:val="22"/>
          <w:szCs w:val="22"/>
        </w:rPr>
        <w:t>электроэнергии, позволяющие улучшить показатели наде</w:t>
      </w:r>
      <w:r w:rsidR="000F594F" w:rsidRPr="001E2F2C">
        <w:rPr>
          <w:sz w:val="22"/>
          <w:szCs w:val="22"/>
        </w:rPr>
        <w:t>ж</w:t>
      </w:r>
      <w:r w:rsidR="000F594F" w:rsidRPr="001E2F2C">
        <w:rPr>
          <w:sz w:val="22"/>
          <w:szCs w:val="22"/>
        </w:rPr>
        <w:t>ности СБЭ. Эт</w:t>
      </w:r>
      <w:r>
        <w:rPr>
          <w:sz w:val="22"/>
          <w:szCs w:val="22"/>
        </w:rPr>
        <w:t>и преобразователи представляет собой</w:t>
      </w:r>
      <w:r w:rsidR="000F594F" w:rsidRPr="001E2F2C">
        <w:rPr>
          <w:sz w:val="22"/>
          <w:szCs w:val="22"/>
        </w:rPr>
        <w:t xml:space="preserve"> универсальное</w:t>
      </w:r>
      <w:r>
        <w:rPr>
          <w:sz w:val="22"/>
          <w:szCs w:val="22"/>
        </w:rPr>
        <w:t xml:space="preserve"> устройство, комплектующее из силовых модульных</w:t>
      </w:r>
      <w:r w:rsidR="000F594F" w:rsidRPr="001E2F2C">
        <w:rPr>
          <w:sz w:val="22"/>
          <w:szCs w:val="22"/>
        </w:rPr>
        <w:t xml:space="preserve"> блоков (сил</w:t>
      </w:r>
      <w:r w:rsidR="000F594F" w:rsidRPr="001E2F2C">
        <w:rPr>
          <w:sz w:val="22"/>
          <w:szCs w:val="22"/>
        </w:rPr>
        <w:t>о</w:t>
      </w:r>
      <w:r w:rsidR="000F594F" w:rsidRPr="001E2F2C">
        <w:rPr>
          <w:sz w:val="22"/>
          <w:szCs w:val="22"/>
        </w:rPr>
        <w:t>вые электронные приборы, трансформаторы, фильтры и т. п.) и м</w:t>
      </w:r>
      <w:r w:rsidR="000F594F" w:rsidRPr="001E2F2C">
        <w:rPr>
          <w:sz w:val="22"/>
          <w:szCs w:val="22"/>
        </w:rPr>
        <w:t>о</w:t>
      </w:r>
      <w:r w:rsidR="000F594F" w:rsidRPr="001E2F2C">
        <w:rPr>
          <w:sz w:val="22"/>
          <w:szCs w:val="22"/>
        </w:rPr>
        <w:t>дуль</w:t>
      </w:r>
      <w:r>
        <w:rPr>
          <w:sz w:val="22"/>
          <w:szCs w:val="22"/>
        </w:rPr>
        <w:t>ного блока управления и защиты. Система</w:t>
      </w:r>
      <w:r w:rsidR="000F594F" w:rsidRPr="001E2F2C">
        <w:rPr>
          <w:sz w:val="22"/>
          <w:szCs w:val="22"/>
        </w:rPr>
        <w:t xml:space="preserve"> управле</w:t>
      </w:r>
      <w:r>
        <w:rPr>
          <w:sz w:val="22"/>
          <w:szCs w:val="22"/>
        </w:rPr>
        <w:t>ния</w:t>
      </w:r>
      <w:r w:rsidR="000F594F" w:rsidRPr="001E2F2C">
        <w:rPr>
          <w:sz w:val="22"/>
          <w:szCs w:val="22"/>
        </w:rPr>
        <w:t xml:space="preserve"> прео</w:t>
      </w:r>
      <w:r w:rsidR="000F594F" w:rsidRPr="001E2F2C">
        <w:rPr>
          <w:sz w:val="22"/>
          <w:szCs w:val="22"/>
        </w:rPr>
        <w:t>б</w:t>
      </w:r>
      <w:r w:rsidR="000F594F" w:rsidRPr="001E2F2C">
        <w:rPr>
          <w:sz w:val="22"/>
          <w:szCs w:val="22"/>
        </w:rPr>
        <w:t>разова</w:t>
      </w:r>
      <w:r>
        <w:rPr>
          <w:sz w:val="22"/>
          <w:szCs w:val="22"/>
        </w:rPr>
        <w:t xml:space="preserve">телем </w:t>
      </w:r>
      <w:r w:rsidR="000F594F" w:rsidRPr="001E2F2C">
        <w:rPr>
          <w:sz w:val="22"/>
          <w:szCs w:val="22"/>
        </w:rPr>
        <w:t>спос</w:t>
      </w:r>
      <w:r>
        <w:rPr>
          <w:sz w:val="22"/>
          <w:szCs w:val="22"/>
        </w:rPr>
        <w:t>обна управлять его работой по</w:t>
      </w:r>
      <w:r w:rsidR="000F594F" w:rsidRPr="001E2F2C">
        <w:rPr>
          <w:sz w:val="22"/>
          <w:szCs w:val="22"/>
        </w:rPr>
        <w:t xml:space="preserve"> не</w:t>
      </w:r>
      <w:r>
        <w:rPr>
          <w:sz w:val="22"/>
          <w:szCs w:val="22"/>
        </w:rPr>
        <w:t>скольким</w:t>
      </w:r>
      <w:r w:rsidR="000F594F" w:rsidRPr="001E2F2C">
        <w:rPr>
          <w:sz w:val="22"/>
          <w:szCs w:val="22"/>
        </w:rPr>
        <w:t xml:space="preserve"> алг</w:t>
      </w:r>
      <w:r w:rsidR="000F594F" w:rsidRPr="001E2F2C">
        <w:rPr>
          <w:sz w:val="22"/>
          <w:szCs w:val="22"/>
        </w:rPr>
        <w:t>о</w:t>
      </w:r>
      <w:r w:rsidR="000F594F" w:rsidRPr="001E2F2C">
        <w:rPr>
          <w:sz w:val="22"/>
          <w:szCs w:val="22"/>
        </w:rPr>
        <w:t>рит</w:t>
      </w:r>
      <w:r>
        <w:rPr>
          <w:sz w:val="22"/>
          <w:szCs w:val="22"/>
        </w:rPr>
        <w:t>мам таким  образом, что</w:t>
      </w:r>
      <w:r w:rsidR="000F594F" w:rsidRPr="001E2F2C">
        <w:rPr>
          <w:sz w:val="22"/>
          <w:szCs w:val="22"/>
        </w:rPr>
        <w:t xml:space="preserve"> универсальный преоб</w:t>
      </w:r>
      <w:r>
        <w:rPr>
          <w:sz w:val="22"/>
          <w:szCs w:val="22"/>
        </w:rPr>
        <w:t>разователь</w:t>
      </w:r>
      <w:r w:rsidR="000F594F" w:rsidRPr="001E2F2C">
        <w:rPr>
          <w:sz w:val="22"/>
          <w:szCs w:val="22"/>
        </w:rPr>
        <w:t xml:space="preserve"> мо</w:t>
      </w:r>
      <w:r>
        <w:rPr>
          <w:sz w:val="22"/>
          <w:szCs w:val="22"/>
        </w:rPr>
        <w:t>жет</w:t>
      </w:r>
      <w:r w:rsidR="000F594F" w:rsidRPr="001E2F2C">
        <w:rPr>
          <w:sz w:val="22"/>
          <w:szCs w:val="22"/>
        </w:rPr>
        <w:t xml:space="preserve"> работать  в режимах практически всех типов преобразователей (в</w:t>
      </w:r>
      <w:r w:rsidR="000F594F" w:rsidRPr="001E2F2C">
        <w:rPr>
          <w:sz w:val="22"/>
          <w:szCs w:val="22"/>
        </w:rPr>
        <w:t>ы</w:t>
      </w:r>
      <w:r w:rsidR="000F594F" w:rsidRPr="001E2F2C">
        <w:rPr>
          <w:sz w:val="22"/>
          <w:szCs w:val="22"/>
        </w:rPr>
        <w:t>прямителя,  инвертора, конвертора и преобразователя  частоты)</w:t>
      </w:r>
      <w:r>
        <w:rPr>
          <w:sz w:val="22"/>
          <w:szCs w:val="22"/>
        </w:rPr>
        <w:t xml:space="preserve"> </w:t>
      </w:r>
      <w:r w:rsidR="000F594F" w:rsidRPr="001E2F2C">
        <w:rPr>
          <w:sz w:val="22"/>
          <w:szCs w:val="22"/>
        </w:rPr>
        <w:t>[3].</w:t>
      </w:r>
    </w:p>
    <w:p w:rsidR="000F594F" w:rsidRPr="001E2F2C" w:rsidRDefault="000F594F" w:rsidP="000F594F">
      <w:pPr>
        <w:ind w:hanging="12"/>
        <w:jc w:val="center"/>
        <w:rPr>
          <w:sz w:val="22"/>
          <w:szCs w:val="22"/>
        </w:rPr>
      </w:pPr>
    </w:p>
    <w:p w:rsidR="000F594F" w:rsidRPr="001E2F2C" w:rsidRDefault="000F594F" w:rsidP="000F594F">
      <w:pPr>
        <w:ind w:hanging="12"/>
        <w:jc w:val="center"/>
        <w:rPr>
          <w:sz w:val="22"/>
          <w:szCs w:val="22"/>
        </w:rPr>
      </w:pPr>
      <w:r w:rsidRPr="001E2F2C">
        <w:rPr>
          <w:sz w:val="22"/>
          <w:szCs w:val="22"/>
        </w:rPr>
        <w:t>Список литературы</w:t>
      </w:r>
    </w:p>
    <w:p w:rsidR="000F594F" w:rsidRPr="001E2F2C" w:rsidRDefault="000F594F" w:rsidP="000F594F">
      <w:pPr>
        <w:ind w:firstLine="426"/>
        <w:jc w:val="both"/>
        <w:rPr>
          <w:sz w:val="22"/>
          <w:szCs w:val="22"/>
        </w:rPr>
      </w:pPr>
      <w:r w:rsidRPr="001E2F2C">
        <w:rPr>
          <w:sz w:val="22"/>
          <w:szCs w:val="22"/>
        </w:rPr>
        <w:t>1. Григораш, О. В. Возобновляемые источники электроэнергии: состояние и перспективы / О. В. Григораш, Ю. Г. Пугачев, Д. В. В</w:t>
      </w:r>
      <w:r w:rsidRPr="001E2F2C">
        <w:rPr>
          <w:sz w:val="22"/>
          <w:szCs w:val="22"/>
        </w:rPr>
        <w:t>о</w:t>
      </w:r>
      <w:r w:rsidRPr="001E2F2C">
        <w:rPr>
          <w:sz w:val="22"/>
          <w:szCs w:val="22"/>
        </w:rPr>
        <w:t xml:space="preserve">енцов, А. С. Чесовской  // </w:t>
      </w:r>
      <w:hyperlink r:id="rId361" w:history="1">
        <w:r w:rsidRPr="001E2F2C">
          <w:rPr>
            <w:sz w:val="22"/>
            <w:szCs w:val="22"/>
          </w:rPr>
          <w:t>Механизация</w:t>
        </w:r>
      </w:hyperlink>
      <w:r w:rsidRPr="001E2F2C">
        <w:rPr>
          <w:sz w:val="22"/>
          <w:szCs w:val="22"/>
        </w:rPr>
        <w:t xml:space="preserve"> и электрификация сельского хозяйства. – 2007. –  № 8. – С. 24–25.</w:t>
      </w:r>
    </w:p>
    <w:p w:rsidR="000F594F" w:rsidRPr="001E2F2C" w:rsidRDefault="000F594F" w:rsidP="000F594F">
      <w:pPr>
        <w:ind w:firstLine="426"/>
        <w:jc w:val="both"/>
        <w:rPr>
          <w:sz w:val="22"/>
          <w:szCs w:val="22"/>
        </w:rPr>
      </w:pPr>
      <w:r w:rsidRPr="001E2F2C">
        <w:rPr>
          <w:sz w:val="22"/>
          <w:szCs w:val="22"/>
        </w:rPr>
        <w:t>2. Григораш, О. В. Нетрадиционные источники электроэнергии в составе систем гарантированного электроснабжения / О. В. Григ</w:t>
      </w:r>
      <w:r w:rsidRPr="001E2F2C">
        <w:rPr>
          <w:sz w:val="22"/>
          <w:szCs w:val="22"/>
        </w:rPr>
        <w:t>о</w:t>
      </w:r>
      <w:r w:rsidRPr="001E2F2C">
        <w:rPr>
          <w:sz w:val="22"/>
          <w:szCs w:val="22"/>
        </w:rPr>
        <w:t>раш, Н. И. Богатырев, Н. Н. Курзин  // Промышленная энергетика. – 2004. –  № 1. – С. 59–62.</w:t>
      </w:r>
    </w:p>
    <w:p w:rsidR="000F594F" w:rsidRPr="001E2F2C" w:rsidRDefault="000F594F" w:rsidP="000F594F">
      <w:pPr>
        <w:ind w:firstLine="426"/>
        <w:jc w:val="both"/>
        <w:rPr>
          <w:sz w:val="22"/>
          <w:szCs w:val="22"/>
        </w:rPr>
      </w:pPr>
      <w:r w:rsidRPr="001E2F2C">
        <w:rPr>
          <w:sz w:val="22"/>
          <w:szCs w:val="22"/>
        </w:rPr>
        <w:t>3. Григораш, О. В. Системы гарантированного электроснабж</w:t>
      </w:r>
      <w:r w:rsidRPr="001E2F2C">
        <w:rPr>
          <w:sz w:val="22"/>
          <w:szCs w:val="22"/>
        </w:rPr>
        <w:t>е</w:t>
      </w:r>
      <w:r w:rsidRPr="001E2F2C">
        <w:rPr>
          <w:sz w:val="22"/>
          <w:szCs w:val="22"/>
        </w:rPr>
        <w:t>ния / О. В. Григораш, А. Ю. Попов, Е. А. Власенко и др. – Красн</w:t>
      </w:r>
      <w:r w:rsidRPr="001E2F2C">
        <w:rPr>
          <w:sz w:val="22"/>
          <w:szCs w:val="22"/>
        </w:rPr>
        <w:t>о</w:t>
      </w:r>
      <w:r w:rsidRPr="001E2F2C">
        <w:rPr>
          <w:sz w:val="22"/>
          <w:szCs w:val="22"/>
        </w:rPr>
        <w:t>дар: КубГАУ, 2017. –  223 с.</w:t>
      </w:r>
    </w:p>
    <w:p w:rsidR="000F594F" w:rsidRPr="001E2F2C" w:rsidRDefault="000F594F" w:rsidP="000F594F">
      <w:pPr>
        <w:ind w:firstLine="426"/>
        <w:jc w:val="both"/>
        <w:rPr>
          <w:sz w:val="22"/>
          <w:szCs w:val="22"/>
        </w:rPr>
      </w:pPr>
      <w:r w:rsidRPr="001E2F2C">
        <w:rPr>
          <w:sz w:val="22"/>
          <w:szCs w:val="22"/>
        </w:rPr>
        <w:t>4. Григораш, О. В. Об эффективности и целесообразности и</w:t>
      </w:r>
      <w:r w:rsidRPr="001E2F2C">
        <w:rPr>
          <w:sz w:val="22"/>
          <w:szCs w:val="22"/>
        </w:rPr>
        <w:t>с</w:t>
      </w:r>
      <w:r w:rsidRPr="001E2F2C">
        <w:rPr>
          <w:sz w:val="22"/>
          <w:szCs w:val="22"/>
        </w:rPr>
        <w:t>пользования возобновляемых источников электроэнергии в Красн</w:t>
      </w:r>
      <w:r w:rsidRPr="001E2F2C">
        <w:rPr>
          <w:sz w:val="22"/>
          <w:szCs w:val="22"/>
        </w:rPr>
        <w:t>о</w:t>
      </w:r>
      <w:r w:rsidRPr="001E2F2C">
        <w:rPr>
          <w:sz w:val="22"/>
          <w:szCs w:val="22"/>
        </w:rPr>
        <w:t>дарском крае / О. В. Григораш, В. В. Тропин, А. С. Оськина  // Пр</w:t>
      </w:r>
      <w:r w:rsidRPr="001E2F2C">
        <w:rPr>
          <w:sz w:val="22"/>
          <w:szCs w:val="22"/>
        </w:rPr>
        <w:t>о</w:t>
      </w:r>
      <w:r w:rsidRPr="001E2F2C">
        <w:rPr>
          <w:sz w:val="22"/>
          <w:szCs w:val="22"/>
        </w:rPr>
        <w:t>мышленная энергетика. – 2012. –  № 83. – С. 188–199.</w:t>
      </w:r>
    </w:p>
    <w:p w:rsidR="000F594F" w:rsidRPr="001E2F2C" w:rsidRDefault="000F594F" w:rsidP="000F594F">
      <w:pPr>
        <w:ind w:firstLine="426"/>
        <w:jc w:val="both"/>
        <w:rPr>
          <w:sz w:val="22"/>
          <w:szCs w:val="22"/>
        </w:rPr>
      </w:pPr>
      <w:r w:rsidRPr="001E2F2C">
        <w:rPr>
          <w:sz w:val="22"/>
          <w:szCs w:val="22"/>
        </w:rPr>
        <w:t>5. Григораш, О. В. Статические преобразователи электроэне</w:t>
      </w:r>
      <w:r w:rsidRPr="001E2F2C">
        <w:rPr>
          <w:sz w:val="22"/>
          <w:szCs w:val="22"/>
        </w:rPr>
        <w:t>р</w:t>
      </w:r>
      <w:r w:rsidRPr="001E2F2C">
        <w:rPr>
          <w:sz w:val="22"/>
          <w:szCs w:val="22"/>
        </w:rPr>
        <w:t xml:space="preserve">гии / О. В. Григораш, О. В. Новокрещенов, А. А. Хамула и др. – Краснодар, 2006. –  264 с. </w:t>
      </w:r>
    </w:p>
    <w:p w:rsidR="000F594F" w:rsidRPr="001E2F2C" w:rsidRDefault="000F594F" w:rsidP="000F594F">
      <w:pPr>
        <w:ind w:firstLine="426"/>
        <w:jc w:val="both"/>
        <w:rPr>
          <w:sz w:val="22"/>
          <w:szCs w:val="22"/>
        </w:rPr>
      </w:pPr>
    </w:p>
    <w:p w:rsidR="00541CA5" w:rsidRDefault="00541CA5" w:rsidP="000F594F">
      <w:pPr>
        <w:contextualSpacing/>
        <w:jc w:val="both"/>
        <w:rPr>
          <w:bCs/>
          <w:spacing w:val="2"/>
          <w:sz w:val="22"/>
          <w:szCs w:val="22"/>
        </w:rPr>
      </w:pPr>
    </w:p>
    <w:p w:rsidR="00AD6B98" w:rsidRPr="00DF1146" w:rsidRDefault="000F594F" w:rsidP="000F594F">
      <w:pPr>
        <w:rPr>
          <w:rFonts w:eastAsiaTheme="minorHAnsi"/>
          <w:sz w:val="22"/>
          <w:szCs w:val="22"/>
          <w:lang w:eastAsia="en-US"/>
        </w:rPr>
      </w:pPr>
      <w:r w:rsidRPr="00DF1146">
        <w:rPr>
          <w:rFonts w:eastAsiaTheme="minorHAnsi"/>
          <w:sz w:val="22"/>
          <w:szCs w:val="22"/>
          <w:lang w:eastAsia="en-US"/>
        </w:rPr>
        <w:lastRenderedPageBreak/>
        <w:t>УДК 62-52</w:t>
      </w:r>
    </w:p>
    <w:p w:rsidR="000F594F" w:rsidRPr="00DF1146" w:rsidRDefault="000F594F" w:rsidP="000F594F">
      <w:pPr>
        <w:ind w:firstLine="425"/>
        <w:jc w:val="center"/>
        <w:rPr>
          <w:rFonts w:eastAsiaTheme="minorHAnsi"/>
          <w:b/>
          <w:sz w:val="24"/>
          <w:szCs w:val="24"/>
          <w:lang w:eastAsia="en-US"/>
        </w:rPr>
      </w:pPr>
      <w:r w:rsidRPr="00DF1146">
        <w:rPr>
          <w:rFonts w:eastAsiaTheme="minorHAnsi"/>
          <w:b/>
          <w:sz w:val="24"/>
          <w:szCs w:val="24"/>
          <w:lang w:eastAsia="en-US"/>
        </w:rPr>
        <w:t xml:space="preserve">Автоматизация технологического процесса линии дробления зерна с выбором бункера для ПЛК компании </w:t>
      </w:r>
      <w:r w:rsidRPr="00DF1146">
        <w:rPr>
          <w:rFonts w:eastAsiaTheme="minorHAnsi"/>
          <w:b/>
          <w:bCs/>
          <w:sz w:val="24"/>
          <w:szCs w:val="24"/>
          <w:lang w:eastAsia="en-US"/>
        </w:rPr>
        <w:t xml:space="preserve">Delta Electronics </w:t>
      </w:r>
      <w:r w:rsidRPr="00DF1146">
        <w:rPr>
          <w:rFonts w:eastAsiaTheme="minorHAnsi"/>
          <w:b/>
          <w:sz w:val="24"/>
          <w:szCs w:val="24"/>
          <w:lang w:eastAsia="en-US"/>
        </w:rPr>
        <w:t xml:space="preserve">серии </w:t>
      </w:r>
      <w:r w:rsidRPr="00DF1146">
        <w:rPr>
          <w:rFonts w:eastAsiaTheme="minorHAnsi"/>
          <w:b/>
          <w:bCs/>
          <w:sz w:val="24"/>
          <w:szCs w:val="24"/>
          <w:lang w:val="en-US" w:eastAsia="en-US"/>
        </w:rPr>
        <w:t>DVP</w:t>
      </w:r>
      <w:r w:rsidRPr="00DF1146">
        <w:rPr>
          <w:rFonts w:eastAsiaTheme="minorHAnsi"/>
          <w:b/>
          <w:bCs/>
          <w:sz w:val="24"/>
          <w:szCs w:val="24"/>
          <w:lang w:eastAsia="en-US"/>
        </w:rPr>
        <w:t>-</w:t>
      </w:r>
      <w:r w:rsidRPr="00DF1146">
        <w:rPr>
          <w:rFonts w:eastAsiaTheme="minorHAnsi"/>
          <w:b/>
          <w:bCs/>
          <w:sz w:val="24"/>
          <w:szCs w:val="24"/>
          <w:lang w:val="en-US" w:eastAsia="en-US"/>
        </w:rPr>
        <w:t>SS</w:t>
      </w:r>
      <w:r w:rsidRPr="00DF1146">
        <w:rPr>
          <w:rFonts w:eastAsiaTheme="minorHAnsi"/>
          <w:b/>
          <w:bCs/>
          <w:sz w:val="24"/>
          <w:szCs w:val="24"/>
          <w:lang w:eastAsia="en-US"/>
        </w:rPr>
        <w:t>2</w:t>
      </w:r>
    </w:p>
    <w:p w:rsidR="000F594F" w:rsidRPr="00DF1146" w:rsidRDefault="000F594F" w:rsidP="000F594F">
      <w:pPr>
        <w:ind w:firstLine="425"/>
        <w:jc w:val="center"/>
        <w:rPr>
          <w:rFonts w:eastAsiaTheme="minorHAnsi"/>
          <w:b/>
          <w:sz w:val="24"/>
          <w:szCs w:val="24"/>
          <w:shd w:val="clear" w:color="auto" w:fill="FFFFFF"/>
          <w:lang w:val="en-US" w:eastAsia="en-US"/>
        </w:rPr>
      </w:pPr>
      <w:r w:rsidRPr="00DF1146">
        <w:rPr>
          <w:rFonts w:eastAsiaTheme="minorHAnsi"/>
          <w:b/>
          <w:sz w:val="24"/>
          <w:szCs w:val="24"/>
          <w:shd w:val="clear" w:color="auto" w:fill="FFFFFF"/>
          <w:lang w:val="en-US" w:eastAsia="en-US"/>
        </w:rPr>
        <w:t xml:space="preserve">Automation of the technological process of grain crushing line with the choice of hopper for PLC company Delta </w:t>
      </w:r>
    </w:p>
    <w:p w:rsidR="000F594F" w:rsidRPr="008D33CB" w:rsidRDefault="000F594F" w:rsidP="00AB6A0E">
      <w:pPr>
        <w:ind w:firstLine="425"/>
        <w:jc w:val="center"/>
        <w:rPr>
          <w:rFonts w:eastAsiaTheme="minorHAnsi"/>
          <w:b/>
          <w:sz w:val="24"/>
          <w:szCs w:val="24"/>
          <w:lang w:val="en-US" w:eastAsia="en-US"/>
        </w:rPr>
      </w:pPr>
      <w:r w:rsidRPr="00DF1146">
        <w:rPr>
          <w:rFonts w:eastAsiaTheme="minorHAnsi"/>
          <w:b/>
          <w:sz w:val="24"/>
          <w:szCs w:val="24"/>
          <w:shd w:val="clear" w:color="auto" w:fill="FFFFFF"/>
          <w:lang w:val="en-US" w:eastAsia="en-US"/>
        </w:rPr>
        <w:t>Electronics series DVP-SS2</w:t>
      </w:r>
    </w:p>
    <w:p w:rsidR="000F594F" w:rsidRPr="00C56F2E" w:rsidRDefault="000F594F" w:rsidP="000F594F">
      <w:pPr>
        <w:ind w:firstLine="425"/>
        <w:jc w:val="right"/>
        <w:rPr>
          <w:rFonts w:eastAsiaTheme="minorHAnsi"/>
          <w:sz w:val="22"/>
          <w:szCs w:val="22"/>
          <w:lang w:val="en-US" w:eastAsia="en-US"/>
        </w:rPr>
      </w:pPr>
      <w:r w:rsidRPr="00DF1146">
        <w:rPr>
          <w:rFonts w:eastAsiaTheme="minorHAnsi"/>
          <w:sz w:val="22"/>
          <w:szCs w:val="22"/>
          <w:lang w:eastAsia="en-US"/>
        </w:rPr>
        <w:t>Храпов</w:t>
      </w:r>
      <w:r w:rsidRPr="00DF1146">
        <w:rPr>
          <w:rFonts w:eastAsiaTheme="minorHAnsi"/>
          <w:sz w:val="22"/>
          <w:szCs w:val="22"/>
          <w:lang w:val="en-US" w:eastAsia="en-US"/>
        </w:rPr>
        <w:t xml:space="preserve"> </w:t>
      </w:r>
      <w:r w:rsidRPr="00DF1146">
        <w:rPr>
          <w:rFonts w:eastAsiaTheme="minorHAnsi"/>
          <w:sz w:val="22"/>
          <w:szCs w:val="22"/>
          <w:lang w:eastAsia="en-US"/>
        </w:rPr>
        <w:t>В</w:t>
      </w:r>
      <w:r w:rsidRPr="00DF1146">
        <w:rPr>
          <w:rFonts w:eastAsiaTheme="minorHAnsi"/>
          <w:sz w:val="22"/>
          <w:szCs w:val="22"/>
          <w:lang w:val="en-US" w:eastAsia="en-US"/>
        </w:rPr>
        <w:t>.</w:t>
      </w:r>
      <w:r w:rsidR="00AD6B98" w:rsidRPr="00C56F2E">
        <w:rPr>
          <w:rFonts w:eastAsiaTheme="minorHAnsi"/>
          <w:sz w:val="22"/>
          <w:szCs w:val="22"/>
          <w:lang w:val="en-US" w:eastAsia="en-US"/>
        </w:rPr>
        <w:t xml:space="preserve"> </w:t>
      </w:r>
      <w:r w:rsidRPr="00DF1146">
        <w:rPr>
          <w:rFonts w:eastAsiaTheme="minorHAnsi"/>
          <w:sz w:val="22"/>
          <w:szCs w:val="22"/>
          <w:lang w:eastAsia="en-US"/>
        </w:rPr>
        <w:t>А</w:t>
      </w:r>
      <w:r w:rsidRPr="00DF1146">
        <w:rPr>
          <w:rFonts w:eastAsiaTheme="minorHAnsi"/>
          <w:sz w:val="22"/>
          <w:szCs w:val="22"/>
          <w:lang w:val="en-US" w:eastAsia="en-US"/>
        </w:rPr>
        <w:t>.</w:t>
      </w:r>
      <w:r w:rsidR="00AD6B98" w:rsidRPr="00C56F2E">
        <w:rPr>
          <w:rFonts w:eastAsiaTheme="minorHAnsi"/>
          <w:sz w:val="22"/>
          <w:szCs w:val="22"/>
          <w:lang w:val="en-US" w:eastAsia="en-US"/>
        </w:rPr>
        <w:t>,</w:t>
      </w:r>
    </w:p>
    <w:p w:rsidR="000F594F" w:rsidRPr="00DF1146" w:rsidRDefault="000F594F" w:rsidP="000F594F">
      <w:pPr>
        <w:ind w:firstLine="425"/>
        <w:jc w:val="right"/>
        <w:rPr>
          <w:rFonts w:eastAsiaTheme="minorHAnsi"/>
          <w:sz w:val="22"/>
          <w:szCs w:val="22"/>
          <w:lang w:eastAsia="en-US"/>
        </w:rPr>
      </w:pPr>
      <w:r w:rsidRPr="00DF1146">
        <w:rPr>
          <w:rFonts w:eastAsiaTheme="minorHAnsi"/>
          <w:sz w:val="22"/>
          <w:szCs w:val="22"/>
          <w:lang w:eastAsia="en-US"/>
        </w:rPr>
        <w:t>студент 2 курса факультета энергетики</w:t>
      </w:r>
    </w:p>
    <w:p w:rsidR="000F594F" w:rsidRPr="00DF1146" w:rsidRDefault="000F594F" w:rsidP="000F594F">
      <w:pPr>
        <w:ind w:firstLine="425"/>
        <w:jc w:val="right"/>
        <w:rPr>
          <w:rFonts w:eastAsiaTheme="minorHAnsi"/>
          <w:sz w:val="22"/>
          <w:szCs w:val="22"/>
          <w:lang w:eastAsia="en-US"/>
        </w:rPr>
      </w:pPr>
      <w:r w:rsidRPr="00DF1146">
        <w:rPr>
          <w:rFonts w:eastAsiaTheme="minorHAnsi"/>
          <w:sz w:val="22"/>
          <w:szCs w:val="22"/>
          <w:lang w:eastAsia="en-US"/>
        </w:rPr>
        <w:t>Николаенко С.</w:t>
      </w:r>
      <w:r w:rsidR="00AD6B98">
        <w:rPr>
          <w:rFonts w:eastAsiaTheme="minorHAnsi"/>
          <w:sz w:val="22"/>
          <w:szCs w:val="22"/>
          <w:lang w:eastAsia="en-US"/>
        </w:rPr>
        <w:t xml:space="preserve"> </w:t>
      </w:r>
      <w:r w:rsidRPr="00DF1146">
        <w:rPr>
          <w:rFonts w:eastAsiaTheme="minorHAnsi"/>
          <w:sz w:val="22"/>
          <w:szCs w:val="22"/>
          <w:lang w:eastAsia="en-US"/>
        </w:rPr>
        <w:t>А.</w:t>
      </w:r>
      <w:r w:rsidR="00AD6B98">
        <w:rPr>
          <w:rFonts w:eastAsiaTheme="minorHAnsi"/>
          <w:sz w:val="22"/>
          <w:szCs w:val="22"/>
          <w:lang w:eastAsia="en-US"/>
        </w:rPr>
        <w:t>,</w:t>
      </w:r>
    </w:p>
    <w:p w:rsidR="000F594F" w:rsidRPr="00DF1146" w:rsidRDefault="000F594F" w:rsidP="000F594F">
      <w:pPr>
        <w:spacing w:line="23" w:lineRule="atLeast"/>
        <w:ind w:firstLine="601"/>
        <w:jc w:val="right"/>
        <w:rPr>
          <w:rFonts w:eastAsiaTheme="minorHAnsi" w:cstheme="minorBidi"/>
          <w:bCs/>
          <w:sz w:val="22"/>
          <w:szCs w:val="22"/>
          <w:lang w:eastAsia="en-US"/>
        </w:rPr>
      </w:pPr>
      <w:r w:rsidRPr="00DF1146">
        <w:rPr>
          <w:rFonts w:eastAsiaTheme="minorHAnsi" w:cstheme="minorBidi"/>
          <w:bCs/>
          <w:sz w:val="22"/>
          <w:szCs w:val="22"/>
          <w:lang w:eastAsia="en-US"/>
        </w:rPr>
        <w:t>доцент кафедры</w:t>
      </w:r>
    </w:p>
    <w:p w:rsidR="000F594F" w:rsidRPr="00DF1146" w:rsidRDefault="000F594F" w:rsidP="000F594F">
      <w:pPr>
        <w:spacing w:line="23" w:lineRule="atLeast"/>
        <w:ind w:firstLine="601"/>
        <w:jc w:val="right"/>
        <w:rPr>
          <w:rFonts w:eastAsiaTheme="minorHAnsi" w:cstheme="minorBidi"/>
          <w:bCs/>
          <w:sz w:val="22"/>
          <w:szCs w:val="22"/>
          <w:lang w:eastAsia="en-US"/>
        </w:rPr>
      </w:pPr>
      <w:r w:rsidRPr="00DF1146">
        <w:rPr>
          <w:rFonts w:eastAsiaTheme="minorHAnsi" w:cstheme="minorBidi"/>
          <w:sz w:val="22"/>
          <w:szCs w:val="22"/>
          <w:lang w:eastAsia="en-US"/>
        </w:rPr>
        <w:t>электрических машин и электропривода</w:t>
      </w:r>
    </w:p>
    <w:p w:rsidR="000F594F" w:rsidRPr="00DF1146" w:rsidRDefault="000F594F" w:rsidP="000F594F">
      <w:pPr>
        <w:spacing w:line="23" w:lineRule="atLeast"/>
        <w:ind w:firstLine="709"/>
        <w:jc w:val="right"/>
        <w:rPr>
          <w:rFonts w:eastAsiaTheme="minorHAnsi" w:cstheme="minorBidi"/>
          <w:sz w:val="22"/>
          <w:szCs w:val="22"/>
          <w:lang w:eastAsia="en-US"/>
        </w:rPr>
      </w:pPr>
      <w:r w:rsidRPr="00DF1146">
        <w:rPr>
          <w:rFonts w:eastAsiaTheme="minorHAnsi" w:cstheme="minorBidi"/>
          <w:sz w:val="22"/>
          <w:szCs w:val="22"/>
          <w:lang w:eastAsia="en-US"/>
        </w:rPr>
        <w:t>Кубанский государственный аграрный</w:t>
      </w:r>
    </w:p>
    <w:p w:rsidR="000F594F" w:rsidRPr="00DF1146" w:rsidRDefault="000F594F" w:rsidP="000F594F">
      <w:pPr>
        <w:spacing w:line="23" w:lineRule="atLeast"/>
        <w:ind w:firstLine="709"/>
        <w:jc w:val="right"/>
        <w:rPr>
          <w:rFonts w:eastAsiaTheme="minorHAnsi" w:cstheme="minorBidi"/>
          <w:sz w:val="22"/>
          <w:szCs w:val="22"/>
          <w:lang w:eastAsia="en-US"/>
        </w:rPr>
      </w:pPr>
      <w:r w:rsidRPr="00DF1146">
        <w:rPr>
          <w:rFonts w:eastAsiaTheme="minorHAnsi" w:cstheme="minorBidi"/>
          <w:sz w:val="22"/>
          <w:szCs w:val="22"/>
          <w:lang w:eastAsia="en-US"/>
        </w:rPr>
        <w:t xml:space="preserve"> университет имени И.Т. Трубилина</w:t>
      </w:r>
    </w:p>
    <w:p w:rsidR="000F594F" w:rsidRPr="00DF1146" w:rsidRDefault="000F594F" w:rsidP="000F594F">
      <w:pPr>
        <w:spacing w:line="23" w:lineRule="atLeast"/>
        <w:ind w:firstLine="709"/>
        <w:jc w:val="right"/>
        <w:rPr>
          <w:rFonts w:eastAsiaTheme="minorHAnsi" w:cstheme="minorBidi"/>
          <w:sz w:val="22"/>
          <w:szCs w:val="22"/>
          <w:lang w:eastAsia="en-US"/>
        </w:rPr>
      </w:pPr>
    </w:p>
    <w:p w:rsidR="000F594F" w:rsidRPr="00DF1146" w:rsidRDefault="000F594F" w:rsidP="000F594F">
      <w:pPr>
        <w:spacing w:line="23" w:lineRule="atLeast"/>
        <w:ind w:firstLine="426"/>
        <w:jc w:val="both"/>
        <w:rPr>
          <w:rFonts w:eastAsiaTheme="minorHAnsi" w:cstheme="minorBidi"/>
          <w:sz w:val="22"/>
          <w:szCs w:val="22"/>
          <w:lang w:eastAsia="en-US"/>
        </w:rPr>
      </w:pPr>
      <w:r w:rsidRPr="00DF1146">
        <w:rPr>
          <w:rFonts w:eastAsiaTheme="minorHAnsi" w:cstheme="minorBidi"/>
          <w:sz w:val="22"/>
          <w:szCs w:val="22"/>
          <w:lang w:eastAsia="en-US"/>
        </w:rPr>
        <w:t>АННОТАЦИЯ: В статье рассмотрена сущность автоматизации технологических процессов.Представлена логика управления для линии дробления зерна с выбором бункера.</w:t>
      </w:r>
    </w:p>
    <w:p w:rsidR="000F594F" w:rsidRPr="00DF1146" w:rsidRDefault="000F594F" w:rsidP="000F594F">
      <w:pPr>
        <w:spacing w:line="23" w:lineRule="atLeast"/>
        <w:ind w:firstLine="426"/>
        <w:jc w:val="both"/>
        <w:rPr>
          <w:rFonts w:eastAsiaTheme="minorHAnsi"/>
          <w:sz w:val="22"/>
          <w:szCs w:val="22"/>
          <w:lang w:val="en-US" w:eastAsia="en-US"/>
        </w:rPr>
      </w:pPr>
      <w:r w:rsidRPr="00DF1146">
        <w:rPr>
          <w:rFonts w:eastAsiaTheme="minorHAnsi"/>
          <w:sz w:val="22"/>
          <w:szCs w:val="22"/>
          <w:shd w:val="clear" w:color="auto" w:fill="FFFFFF"/>
          <w:lang w:val="en-US" w:eastAsia="en-US"/>
        </w:rPr>
        <w:t>ABSTRACT: The article deals with the essence of automation of technological processes. Control logic for grain crushing line with ho</w:t>
      </w:r>
      <w:r w:rsidRPr="00DF1146">
        <w:rPr>
          <w:rFonts w:eastAsiaTheme="minorHAnsi"/>
          <w:sz w:val="22"/>
          <w:szCs w:val="22"/>
          <w:shd w:val="clear" w:color="auto" w:fill="FFFFFF"/>
          <w:lang w:val="en-US" w:eastAsia="en-US"/>
        </w:rPr>
        <w:t>p</w:t>
      </w:r>
      <w:r w:rsidRPr="00DF1146">
        <w:rPr>
          <w:rFonts w:eastAsiaTheme="minorHAnsi"/>
          <w:sz w:val="22"/>
          <w:szCs w:val="22"/>
          <w:shd w:val="clear" w:color="auto" w:fill="FFFFFF"/>
          <w:lang w:val="en-US" w:eastAsia="en-US"/>
        </w:rPr>
        <w:t>per selection is presented.</w:t>
      </w:r>
    </w:p>
    <w:p w:rsidR="000F594F" w:rsidRPr="00DF1146" w:rsidRDefault="000F594F" w:rsidP="000F594F">
      <w:pPr>
        <w:spacing w:line="23" w:lineRule="atLeast"/>
        <w:ind w:firstLine="426"/>
        <w:jc w:val="both"/>
        <w:rPr>
          <w:rFonts w:eastAsiaTheme="minorHAnsi" w:cstheme="minorBidi"/>
          <w:sz w:val="22"/>
          <w:szCs w:val="22"/>
          <w:lang w:eastAsia="en-US"/>
        </w:rPr>
      </w:pPr>
      <w:r w:rsidRPr="00DF1146">
        <w:rPr>
          <w:rFonts w:eastAsiaTheme="minorHAnsi" w:cstheme="minorBidi"/>
          <w:sz w:val="22"/>
          <w:szCs w:val="22"/>
          <w:lang w:eastAsia="en-US"/>
        </w:rPr>
        <w:t>КЛЮЧЕВЫЕ СЛОВА: автоматизация, логика, линия.</w:t>
      </w:r>
    </w:p>
    <w:p w:rsidR="000F594F" w:rsidRPr="00DF1146" w:rsidRDefault="000F594F" w:rsidP="000F594F">
      <w:pPr>
        <w:spacing w:line="23" w:lineRule="atLeast"/>
        <w:ind w:firstLine="426"/>
        <w:jc w:val="both"/>
        <w:rPr>
          <w:rFonts w:eastAsiaTheme="minorHAnsi"/>
          <w:sz w:val="22"/>
          <w:szCs w:val="22"/>
          <w:lang w:eastAsia="en-US"/>
        </w:rPr>
      </w:pPr>
      <w:r w:rsidRPr="00DF1146">
        <w:rPr>
          <w:rFonts w:eastAsiaTheme="minorHAnsi"/>
          <w:sz w:val="22"/>
          <w:szCs w:val="22"/>
          <w:shd w:val="clear" w:color="auto" w:fill="FFFFFF"/>
          <w:lang w:val="en-US" w:eastAsia="en-US"/>
        </w:rPr>
        <w:t>KEYWORDS</w:t>
      </w:r>
      <w:r w:rsidRPr="00DF1146">
        <w:rPr>
          <w:rFonts w:eastAsiaTheme="minorHAnsi"/>
          <w:sz w:val="22"/>
          <w:szCs w:val="22"/>
          <w:shd w:val="clear" w:color="auto" w:fill="FFFFFF"/>
          <w:lang w:eastAsia="en-US"/>
        </w:rPr>
        <w:t xml:space="preserve">: </w:t>
      </w:r>
      <w:r w:rsidRPr="00DF1146">
        <w:rPr>
          <w:rFonts w:eastAsiaTheme="minorHAnsi"/>
          <w:sz w:val="22"/>
          <w:szCs w:val="22"/>
          <w:shd w:val="clear" w:color="auto" w:fill="FFFFFF"/>
          <w:lang w:val="en-US" w:eastAsia="en-US"/>
        </w:rPr>
        <w:t>automation</w:t>
      </w:r>
      <w:r w:rsidRPr="00DF1146">
        <w:rPr>
          <w:rFonts w:eastAsiaTheme="minorHAnsi"/>
          <w:sz w:val="22"/>
          <w:szCs w:val="22"/>
          <w:shd w:val="clear" w:color="auto" w:fill="FFFFFF"/>
          <w:lang w:eastAsia="en-US"/>
        </w:rPr>
        <w:t xml:space="preserve">, </w:t>
      </w:r>
      <w:r w:rsidRPr="00DF1146">
        <w:rPr>
          <w:rFonts w:eastAsiaTheme="minorHAnsi"/>
          <w:sz w:val="22"/>
          <w:szCs w:val="22"/>
          <w:shd w:val="clear" w:color="auto" w:fill="FFFFFF"/>
          <w:lang w:val="en-US" w:eastAsia="en-US"/>
        </w:rPr>
        <w:t>logic</w:t>
      </w:r>
      <w:r w:rsidRPr="00DF1146">
        <w:rPr>
          <w:rFonts w:eastAsiaTheme="minorHAnsi"/>
          <w:sz w:val="22"/>
          <w:szCs w:val="22"/>
          <w:shd w:val="clear" w:color="auto" w:fill="FFFFFF"/>
          <w:lang w:eastAsia="en-US"/>
        </w:rPr>
        <w:t xml:space="preserve">, </w:t>
      </w:r>
      <w:r w:rsidRPr="00DF1146">
        <w:rPr>
          <w:rFonts w:eastAsiaTheme="minorHAnsi"/>
          <w:sz w:val="22"/>
          <w:szCs w:val="22"/>
          <w:shd w:val="clear" w:color="auto" w:fill="FFFFFF"/>
          <w:lang w:val="en-US" w:eastAsia="en-US"/>
        </w:rPr>
        <w:t>line</w:t>
      </w:r>
      <w:r w:rsidRPr="00DF1146">
        <w:rPr>
          <w:rFonts w:eastAsiaTheme="minorHAnsi"/>
          <w:sz w:val="22"/>
          <w:szCs w:val="22"/>
          <w:shd w:val="clear" w:color="auto" w:fill="FFFFFF"/>
          <w:lang w:eastAsia="en-US"/>
        </w:rPr>
        <w:t>.</w:t>
      </w:r>
    </w:p>
    <w:p w:rsidR="000F594F" w:rsidRPr="00DF1146" w:rsidRDefault="000F594F" w:rsidP="000F594F">
      <w:pPr>
        <w:ind w:firstLine="425"/>
        <w:jc w:val="right"/>
        <w:rPr>
          <w:rFonts w:eastAsiaTheme="minorHAnsi"/>
          <w:sz w:val="22"/>
          <w:szCs w:val="22"/>
          <w:lang w:eastAsia="en-US"/>
        </w:rPr>
      </w:pPr>
    </w:p>
    <w:p w:rsidR="000F594F" w:rsidRPr="00DF1146" w:rsidRDefault="000F594F" w:rsidP="000F594F">
      <w:pPr>
        <w:ind w:firstLine="425"/>
        <w:jc w:val="both"/>
        <w:rPr>
          <w:rFonts w:eastAsiaTheme="minorHAnsi"/>
          <w:sz w:val="22"/>
          <w:szCs w:val="22"/>
          <w:lang w:eastAsia="en-US"/>
        </w:rPr>
      </w:pPr>
      <w:r w:rsidRPr="00DF1146">
        <w:rPr>
          <w:rFonts w:eastAsiaTheme="minorHAnsi"/>
          <w:sz w:val="22"/>
          <w:szCs w:val="22"/>
          <w:lang w:eastAsia="en-US"/>
        </w:rPr>
        <w:t>Автоматизация технологических процессов на сегодняшний день приобрела широкое распространение в сфере промышленных сельскохозяйственных предприятий, это связано с тем, что автом</w:t>
      </w:r>
      <w:r w:rsidRPr="00DF1146">
        <w:rPr>
          <w:rFonts w:eastAsiaTheme="minorHAnsi"/>
          <w:sz w:val="22"/>
          <w:szCs w:val="22"/>
          <w:lang w:eastAsia="en-US"/>
        </w:rPr>
        <w:t>а</w:t>
      </w:r>
      <w:r w:rsidRPr="00DF1146">
        <w:rPr>
          <w:rFonts w:eastAsiaTheme="minorHAnsi"/>
          <w:sz w:val="22"/>
          <w:szCs w:val="22"/>
          <w:lang w:eastAsia="en-US"/>
        </w:rPr>
        <w:t>тическая работа линии механизмов значительно упрощает труд р</w:t>
      </w:r>
      <w:r w:rsidRPr="00DF1146">
        <w:rPr>
          <w:rFonts w:eastAsiaTheme="minorHAnsi"/>
          <w:sz w:val="22"/>
          <w:szCs w:val="22"/>
          <w:lang w:eastAsia="en-US"/>
        </w:rPr>
        <w:t>а</w:t>
      </w:r>
      <w:r w:rsidRPr="00DF1146">
        <w:rPr>
          <w:rFonts w:eastAsiaTheme="minorHAnsi"/>
          <w:sz w:val="22"/>
          <w:szCs w:val="22"/>
          <w:lang w:eastAsia="en-US"/>
        </w:rPr>
        <w:t>бочих и увеличивает производительность производства. Для того чтобы стать специалистом в области автоматизации инженеру необходимо знать технологические требования предъявляемые к линии производства с учетом ее безопасной и надежной работы[1].</w:t>
      </w:r>
    </w:p>
    <w:p w:rsidR="000F594F" w:rsidRPr="00DF1146" w:rsidRDefault="000F594F" w:rsidP="00AB6A0E">
      <w:pPr>
        <w:spacing w:line="23" w:lineRule="atLeast"/>
        <w:ind w:firstLine="426"/>
        <w:jc w:val="both"/>
        <w:rPr>
          <w:rFonts w:eastAsiaTheme="minorHAnsi"/>
          <w:sz w:val="22"/>
          <w:szCs w:val="22"/>
          <w:lang w:eastAsia="en-US"/>
        </w:rPr>
      </w:pPr>
      <w:r w:rsidRPr="00DF1146">
        <w:rPr>
          <w:rFonts w:eastAsiaTheme="minorHAnsi"/>
          <w:sz w:val="22"/>
          <w:szCs w:val="22"/>
          <w:lang w:eastAsia="en-US"/>
        </w:rPr>
        <w:t>На примере технологического процесса линии дробления зерна с выбором бункера, представленного на рисунке 1, рассмотрим л</w:t>
      </w:r>
      <w:r w:rsidRPr="00DF1146">
        <w:rPr>
          <w:rFonts w:eastAsiaTheme="minorHAnsi"/>
          <w:sz w:val="22"/>
          <w:szCs w:val="22"/>
          <w:lang w:eastAsia="en-US"/>
        </w:rPr>
        <w:t>о</w:t>
      </w:r>
      <w:r w:rsidRPr="00DF1146">
        <w:rPr>
          <w:rFonts w:eastAsiaTheme="minorHAnsi"/>
          <w:sz w:val="22"/>
          <w:szCs w:val="22"/>
          <w:lang w:eastAsia="en-US"/>
        </w:rPr>
        <w:t>гику управления линии производства. Алгоритм для данного техн</w:t>
      </w:r>
      <w:r w:rsidRPr="00DF1146">
        <w:rPr>
          <w:rFonts w:eastAsiaTheme="minorHAnsi"/>
          <w:sz w:val="22"/>
          <w:szCs w:val="22"/>
          <w:lang w:eastAsia="en-US"/>
        </w:rPr>
        <w:t>о</w:t>
      </w:r>
      <w:r w:rsidRPr="00DF1146">
        <w:rPr>
          <w:rFonts w:eastAsiaTheme="minorHAnsi"/>
          <w:sz w:val="22"/>
          <w:szCs w:val="22"/>
          <w:lang w:eastAsia="en-US"/>
        </w:rPr>
        <w:t xml:space="preserve">логического процесса был разработан для ПЛК компании </w:t>
      </w:r>
      <w:r w:rsidRPr="00DF1146">
        <w:rPr>
          <w:rFonts w:eastAsiaTheme="minorHAnsi"/>
          <w:bCs/>
          <w:sz w:val="22"/>
          <w:szCs w:val="22"/>
          <w:lang w:eastAsia="en-US"/>
        </w:rPr>
        <w:t xml:space="preserve">Delta </w:t>
      </w:r>
      <w:r w:rsidRPr="00DF1146">
        <w:rPr>
          <w:rFonts w:eastAsiaTheme="minorHAnsi"/>
          <w:bCs/>
          <w:sz w:val="22"/>
          <w:szCs w:val="22"/>
          <w:lang w:eastAsia="en-US"/>
        </w:rPr>
        <w:lastRenderedPageBreak/>
        <w:t xml:space="preserve">Electronics </w:t>
      </w:r>
      <w:r w:rsidRPr="00DF1146">
        <w:rPr>
          <w:rFonts w:eastAsiaTheme="minorHAnsi"/>
          <w:sz w:val="22"/>
          <w:szCs w:val="22"/>
          <w:lang w:eastAsia="en-US"/>
        </w:rPr>
        <w:t xml:space="preserve">серии </w:t>
      </w:r>
      <w:r w:rsidRPr="00DF1146">
        <w:rPr>
          <w:rFonts w:eastAsiaTheme="minorHAnsi"/>
          <w:bCs/>
          <w:sz w:val="22"/>
          <w:szCs w:val="22"/>
          <w:lang w:val="en-US" w:eastAsia="en-US"/>
        </w:rPr>
        <w:t>DVP</w:t>
      </w:r>
      <w:r w:rsidRPr="00DF1146">
        <w:rPr>
          <w:rFonts w:eastAsiaTheme="minorHAnsi"/>
          <w:bCs/>
          <w:sz w:val="22"/>
          <w:szCs w:val="22"/>
          <w:lang w:eastAsia="en-US"/>
        </w:rPr>
        <w:t>-</w:t>
      </w:r>
      <w:r w:rsidRPr="00DF1146">
        <w:rPr>
          <w:rFonts w:eastAsiaTheme="minorHAnsi"/>
          <w:bCs/>
          <w:sz w:val="22"/>
          <w:szCs w:val="22"/>
          <w:lang w:val="en-US" w:eastAsia="en-US"/>
        </w:rPr>
        <w:t>SS</w:t>
      </w:r>
      <w:r w:rsidRPr="00DF1146">
        <w:rPr>
          <w:rFonts w:eastAsiaTheme="minorHAnsi"/>
          <w:bCs/>
          <w:sz w:val="22"/>
          <w:szCs w:val="22"/>
          <w:lang w:eastAsia="en-US"/>
        </w:rPr>
        <w:t xml:space="preserve">2 в программе </w:t>
      </w:r>
      <w:r w:rsidRPr="00DF1146">
        <w:rPr>
          <w:rFonts w:eastAsiaTheme="minorHAnsi"/>
          <w:sz w:val="22"/>
          <w:szCs w:val="22"/>
          <w:lang w:val="en-US" w:eastAsia="en-US"/>
        </w:rPr>
        <w:t>WPLSoft</w:t>
      </w:r>
      <w:r w:rsidRPr="00DF1146">
        <w:rPr>
          <w:rFonts w:eastAsiaTheme="minorHAnsi"/>
          <w:sz w:val="22"/>
          <w:szCs w:val="22"/>
          <w:lang w:eastAsia="en-US"/>
        </w:rPr>
        <w:t xml:space="preserve">  на универсальном языке </w:t>
      </w:r>
      <w:r w:rsidRPr="00DF1146">
        <w:rPr>
          <w:rFonts w:eastAsiaTheme="minorHAnsi"/>
          <w:sz w:val="22"/>
          <w:szCs w:val="22"/>
          <w:lang w:val="en-US" w:eastAsia="en-US"/>
        </w:rPr>
        <w:t>IL</w:t>
      </w:r>
      <w:r w:rsidRPr="00DF1146">
        <w:rPr>
          <w:rFonts w:eastAsiaTheme="minorHAnsi"/>
          <w:sz w:val="22"/>
          <w:szCs w:val="22"/>
          <w:lang w:eastAsia="en-US"/>
        </w:rPr>
        <w:t>.</w:t>
      </w:r>
    </w:p>
    <w:p w:rsidR="000F594F" w:rsidRPr="00DF1146" w:rsidRDefault="000F594F" w:rsidP="000F594F">
      <w:pPr>
        <w:spacing w:line="23" w:lineRule="atLeast"/>
        <w:ind w:firstLine="709"/>
        <w:jc w:val="both"/>
        <w:rPr>
          <w:rFonts w:eastAsiaTheme="minorHAnsi"/>
          <w:sz w:val="22"/>
          <w:szCs w:val="22"/>
          <w:lang w:eastAsia="en-US"/>
        </w:rPr>
      </w:pPr>
      <w:r w:rsidRPr="00DF1146">
        <w:rPr>
          <w:rFonts w:eastAsiaTheme="minorHAnsi"/>
          <w:sz w:val="22"/>
          <w:szCs w:val="22"/>
          <w:lang w:eastAsia="en-US"/>
        </w:rPr>
        <w:t>На рисунке 1 показана технологическая линия дробления зерна с выбором бункера: зерно из бункера (1)  посредством засло</w:t>
      </w:r>
      <w:r w:rsidRPr="00DF1146">
        <w:rPr>
          <w:rFonts w:eastAsiaTheme="minorHAnsi"/>
          <w:sz w:val="22"/>
          <w:szCs w:val="22"/>
          <w:lang w:eastAsia="en-US"/>
        </w:rPr>
        <w:t>н</w:t>
      </w:r>
      <w:r w:rsidRPr="00DF1146">
        <w:rPr>
          <w:rFonts w:eastAsiaTheme="minorHAnsi"/>
          <w:sz w:val="22"/>
          <w:szCs w:val="22"/>
          <w:lang w:eastAsia="en-US"/>
        </w:rPr>
        <w:t>ки (2) попадает в дробилку (3). Дробленое зерно подается на тран</w:t>
      </w:r>
      <w:r w:rsidRPr="00DF1146">
        <w:rPr>
          <w:rFonts w:eastAsiaTheme="minorHAnsi"/>
          <w:sz w:val="22"/>
          <w:szCs w:val="22"/>
          <w:lang w:eastAsia="en-US"/>
        </w:rPr>
        <w:t>с</w:t>
      </w:r>
      <w:r w:rsidRPr="00DF1146">
        <w:rPr>
          <w:rFonts w:eastAsiaTheme="minorHAnsi"/>
          <w:sz w:val="22"/>
          <w:szCs w:val="22"/>
          <w:lang w:eastAsia="en-US"/>
        </w:rPr>
        <w:t>портер (4), который отправляет готовый продукт в бункеры. Выбор бункера осуществляется оператором.</w:t>
      </w:r>
    </w:p>
    <w:p w:rsidR="000F594F" w:rsidRPr="00DF1146" w:rsidRDefault="000F594F" w:rsidP="000F594F">
      <w:pPr>
        <w:spacing w:line="23" w:lineRule="atLeast"/>
        <w:jc w:val="center"/>
        <w:rPr>
          <w:rFonts w:eastAsiaTheme="minorHAnsi"/>
          <w:bCs/>
          <w:sz w:val="22"/>
          <w:szCs w:val="22"/>
          <w:lang w:eastAsia="en-US"/>
        </w:rPr>
      </w:pPr>
      <w:r>
        <w:rPr>
          <w:rFonts w:eastAsiaTheme="minorHAnsi"/>
          <w:noProof/>
          <w:sz w:val="22"/>
          <w:szCs w:val="22"/>
        </w:rPr>
        <w:drawing>
          <wp:inline distT="0" distB="0" distL="0" distR="0" wp14:anchorId="0EC8E0A4" wp14:editId="4B5EA7E1">
            <wp:extent cx="4048760" cy="1104900"/>
            <wp:effectExtent l="0" t="0" r="8890" b="0"/>
            <wp:docPr id="1" name="Рисунок 1" descr="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у"/>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048760" cy="1104900"/>
                    </a:xfrm>
                    <a:prstGeom prst="rect">
                      <a:avLst/>
                    </a:prstGeom>
                    <a:noFill/>
                    <a:ln>
                      <a:noFill/>
                    </a:ln>
                  </pic:spPr>
                </pic:pic>
              </a:graphicData>
            </a:graphic>
          </wp:inline>
        </w:drawing>
      </w:r>
    </w:p>
    <w:p w:rsidR="000F594F" w:rsidRPr="00DF1146" w:rsidRDefault="000F594F" w:rsidP="000F594F">
      <w:pPr>
        <w:spacing w:line="23" w:lineRule="atLeast"/>
        <w:jc w:val="center"/>
        <w:rPr>
          <w:rFonts w:eastAsiaTheme="minorHAnsi"/>
          <w:sz w:val="22"/>
          <w:szCs w:val="22"/>
          <w:lang w:eastAsia="en-US"/>
        </w:rPr>
      </w:pPr>
      <w:r w:rsidRPr="00DF1146">
        <w:rPr>
          <w:rFonts w:eastAsiaTheme="minorHAnsi"/>
          <w:sz w:val="22"/>
          <w:szCs w:val="22"/>
          <w:lang w:eastAsia="en-US"/>
        </w:rPr>
        <w:t>Рисунок 1 –  Технологический процесс линии дробления зерна с выбором бункера</w:t>
      </w:r>
    </w:p>
    <w:p w:rsidR="000F594F" w:rsidRPr="00DF1146" w:rsidRDefault="000F594F" w:rsidP="000F594F">
      <w:pPr>
        <w:spacing w:line="23" w:lineRule="atLeast"/>
        <w:jc w:val="center"/>
        <w:rPr>
          <w:rFonts w:eastAsiaTheme="minorHAnsi"/>
          <w:sz w:val="22"/>
          <w:szCs w:val="22"/>
          <w:lang w:eastAsia="en-US"/>
        </w:rPr>
      </w:pPr>
    </w:p>
    <w:p w:rsidR="000F594F" w:rsidRPr="00DF1146" w:rsidRDefault="000F594F" w:rsidP="000F594F">
      <w:pPr>
        <w:spacing w:line="23" w:lineRule="atLeast"/>
        <w:ind w:firstLine="426"/>
        <w:jc w:val="both"/>
        <w:rPr>
          <w:rFonts w:eastAsiaTheme="minorHAnsi"/>
          <w:sz w:val="22"/>
          <w:szCs w:val="22"/>
          <w:lang w:eastAsia="en-US"/>
        </w:rPr>
      </w:pPr>
      <w:r w:rsidRPr="00DF1146">
        <w:rPr>
          <w:rFonts w:eastAsiaTheme="minorHAnsi"/>
          <w:sz w:val="22"/>
          <w:szCs w:val="22"/>
          <w:lang w:eastAsia="en-US"/>
        </w:rPr>
        <w:t>Начало процесса всегда осуществляется с запуска работы л</w:t>
      </w:r>
      <w:r w:rsidRPr="00DF1146">
        <w:rPr>
          <w:rFonts w:eastAsiaTheme="minorHAnsi"/>
          <w:sz w:val="22"/>
          <w:szCs w:val="22"/>
          <w:lang w:eastAsia="en-US"/>
        </w:rPr>
        <w:t>и</w:t>
      </w:r>
      <w:r w:rsidRPr="00DF1146">
        <w:rPr>
          <w:rFonts w:eastAsiaTheme="minorHAnsi"/>
          <w:sz w:val="22"/>
          <w:szCs w:val="22"/>
          <w:lang w:eastAsia="en-US"/>
        </w:rPr>
        <w:t>нии. В представленном ниже блоке «ЗАПУСК И РАБОТА МЕХ</w:t>
      </w:r>
      <w:r w:rsidRPr="00DF1146">
        <w:rPr>
          <w:rFonts w:eastAsiaTheme="minorHAnsi"/>
          <w:sz w:val="22"/>
          <w:szCs w:val="22"/>
          <w:lang w:eastAsia="en-US"/>
        </w:rPr>
        <w:t>А</w:t>
      </w:r>
      <w:r w:rsidRPr="00DF1146">
        <w:rPr>
          <w:rFonts w:eastAsiaTheme="minorHAnsi"/>
          <w:sz w:val="22"/>
          <w:szCs w:val="22"/>
          <w:lang w:eastAsia="en-US"/>
        </w:rPr>
        <w:t>НИЗМОВ ЛИНИИ» с появлением сигнала на Х0 происходит вкл</w:t>
      </w:r>
      <w:r w:rsidRPr="00DF1146">
        <w:rPr>
          <w:rFonts w:eastAsiaTheme="minorHAnsi"/>
          <w:sz w:val="22"/>
          <w:szCs w:val="22"/>
          <w:lang w:eastAsia="en-US"/>
        </w:rPr>
        <w:t>ю</w:t>
      </w:r>
      <w:r w:rsidRPr="00DF1146">
        <w:rPr>
          <w:rFonts w:eastAsiaTheme="minorHAnsi"/>
          <w:sz w:val="22"/>
          <w:szCs w:val="22"/>
          <w:lang w:eastAsia="en-US"/>
        </w:rPr>
        <w:t xml:space="preserve">чение внутреннего реле </w:t>
      </w:r>
      <w:r w:rsidRPr="00DF1146">
        <w:rPr>
          <w:rFonts w:eastAsiaTheme="minorHAnsi"/>
          <w:sz w:val="22"/>
          <w:szCs w:val="22"/>
          <w:lang w:val="en-US" w:eastAsia="en-US"/>
        </w:rPr>
        <w:t>M</w:t>
      </w:r>
      <w:r w:rsidRPr="00DF1146">
        <w:rPr>
          <w:rFonts w:eastAsiaTheme="minorHAnsi"/>
          <w:sz w:val="22"/>
          <w:szCs w:val="22"/>
          <w:lang w:eastAsia="en-US"/>
        </w:rPr>
        <w:t>0, который в свою очередь включает та</w:t>
      </w:r>
      <w:r w:rsidRPr="00DF1146">
        <w:rPr>
          <w:rFonts w:eastAsiaTheme="minorHAnsi"/>
          <w:sz w:val="22"/>
          <w:szCs w:val="22"/>
          <w:lang w:eastAsia="en-US"/>
        </w:rPr>
        <w:t>й</w:t>
      </w:r>
      <w:r w:rsidRPr="00DF1146">
        <w:rPr>
          <w:rFonts w:eastAsiaTheme="minorHAnsi"/>
          <w:sz w:val="22"/>
          <w:szCs w:val="22"/>
          <w:lang w:eastAsia="en-US"/>
        </w:rPr>
        <w:t xml:space="preserve">мер времени. Таймер </w:t>
      </w:r>
      <w:r w:rsidRPr="00DF1146">
        <w:rPr>
          <w:rFonts w:eastAsiaTheme="minorHAnsi"/>
          <w:sz w:val="22"/>
          <w:szCs w:val="22"/>
          <w:lang w:val="en-US" w:eastAsia="en-US"/>
        </w:rPr>
        <w:t>T</w:t>
      </w:r>
      <w:r w:rsidRPr="00DF1146">
        <w:rPr>
          <w:rFonts w:eastAsiaTheme="minorHAnsi"/>
          <w:sz w:val="22"/>
          <w:szCs w:val="22"/>
          <w:lang w:eastAsia="en-US"/>
        </w:rPr>
        <w:t>0 запускает механизм транспортер (4), потом с задержкой по времени включается дробилка (3). При нормальной работе двух этих механизмов оператору необходимо выбрать бу</w:t>
      </w:r>
      <w:r w:rsidRPr="00DF1146">
        <w:rPr>
          <w:rFonts w:eastAsiaTheme="minorHAnsi"/>
          <w:sz w:val="22"/>
          <w:szCs w:val="22"/>
          <w:lang w:eastAsia="en-US"/>
        </w:rPr>
        <w:t>н</w:t>
      </w:r>
      <w:r w:rsidRPr="00DF1146">
        <w:rPr>
          <w:rFonts w:eastAsiaTheme="minorHAnsi"/>
          <w:sz w:val="22"/>
          <w:szCs w:val="22"/>
          <w:lang w:eastAsia="en-US"/>
        </w:rPr>
        <w:t>кер или бункеры, в которые будет подаваться дробленое зерно. Е</w:t>
      </w:r>
      <w:r w:rsidRPr="00DF1146">
        <w:rPr>
          <w:rFonts w:eastAsiaTheme="minorHAnsi"/>
          <w:sz w:val="22"/>
          <w:szCs w:val="22"/>
          <w:lang w:eastAsia="en-US"/>
        </w:rPr>
        <w:t>с</w:t>
      </w:r>
      <w:r w:rsidRPr="00DF1146">
        <w:rPr>
          <w:rFonts w:eastAsiaTheme="minorHAnsi"/>
          <w:sz w:val="22"/>
          <w:szCs w:val="22"/>
          <w:lang w:eastAsia="en-US"/>
        </w:rPr>
        <w:t>ли хотя бы одна из заслонок открыта, то последней включается з</w:t>
      </w:r>
      <w:r w:rsidRPr="00DF1146">
        <w:rPr>
          <w:rFonts w:eastAsiaTheme="minorHAnsi"/>
          <w:sz w:val="22"/>
          <w:szCs w:val="22"/>
          <w:lang w:eastAsia="en-US"/>
        </w:rPr>
        <w:t>а</w:t>
      </w:r>
      <w:r w:rsidRPr="00DF1146">
        <w:rPr>
          <w:rFonts w:eastAsiaTheme="minorHAnsi"/>
          <w:sz w:val="22"/>
          <w:szCs w:val="22"/>
          <w:lang w:eastAsia="en-US"/>
        </w:rPr>
        <w:t>слонка (2), которая является головной машиной.</w:t>
      </w:r>
    </w:p>
    <w:p w:rsidR="000F594F" w:rsidRPr="00DF1146" w:rsidRDefault="000F594F" w:rsidP="000F594F">
      <w:pPr>
        <w:spacing w:line="23" w:lineRule="atLeast"/>
        <w:ind w:firstLine="426"/>
        <w:jc w:val="center"/>
        <w:rPr>
          <w:rFonts w:eastAsiaTheme="minorHAnsi"/>
          <w:sz w:val="22"/>
          <w:szCs w:val="22"/>
          <w:lang w:eastAsia="en-US"/>
        </w:rPr>
      </w:pPr>
      <w:r w:rsidRPr="00DF1146">
        <w:rPr>
          <w:rFonts w:eastAsiaTheme="minorHAnsi"/>
          <w:sz w:val="22"/>
          <w:szCs w:val="22"/>
          <w:lang w:eastAsia="en-US"/>
        </w:rPr>
        <w:t>ЗАПУСК И РАБОТА МЕХАНИЗМОВ ЛИНИИ</w:t>
      </w:r>
    </w:p>
    <w:tbl>
      <w:tblPr>
        <w:tblW w:w="6645" w:type="dxa"/>
        <w:tblInd w:w="93" w:type="dxa"/>
        <w:tblLook w:val="04A0" w:firstRow="1" w:lastRow="0" w:firstColumn="1" w:lastColumn="0" w:noHBand="0" w:noVBand="1"/>
      </w:tblPr>
      <w:tblGrid>
        <w:gridCol w:w="566"/>
        <w:gridCol w:w="693"/>
        <w:gridCol w:w="522"/>
        <w:gridCol w:w="705"/>
        <w:gridCol w:w="2916"/>
        <w:gridCol w:w="1243"/>
      </w:tblGrid>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1.</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X0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Кнопка пуск</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2.</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OR</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M0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Внутреннее реле работы линии</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3.</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OUT</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M0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Внутреннее реле работы линии</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4.</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M0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Внутреннее реле работы линии</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5.</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TMR</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K50</w:t>
            </w: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6.</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val="en-US" w:eastAsia="en-US"/>
              </w:rPr>
            </w:pPr>
            <w:r w:rsidRPr="00DF1146">
              <w:rPr>
                <w:sz w:val="22"/>
                <w:szCs w:val="22"/>
                <w:lang w:val="en-US" w:eastAsia="en-US"/>
              </w:rPr>
              <w:t>T0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lastRenderedPageBreak/>
              <w:t>7.</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OUT</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Y0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Транспортер 4</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8.</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val="en-US" w:eastAsia="en-US"/>
              </w:rPr>
              <w:t>Y</w:t>
            </w:r>
            <w:r w:rsidRPr="00DF1146">
              <w:rPr>
                <w:sz w:val="22"/>
                <w:szCs w:val="22"/>
                <w:lang w:eastAsia="en-US"/>
              </w:rPr>
              <w:t>0</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val="en-US" w:eastAsia="en-US"/>
              </w:rPr>
            </w:pPr>
            <w:r w:rsidRPr="00DF1146">
              <w:rPr>
                <w:sz w:val="22"/>
                <w:szCs w:val="22"/>
                <w:lang w:eastAsia="en-US"/>
              </w:rPr>
              <w:t>Транспортер 4</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9.</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TMR</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T1</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K50</w:t>
            </w: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10.</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T1</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11.</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OUT</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val="en-US" w:eastAsia="en-US"/>
              </w:rPr>
            </w:pPr>
            <w:r w:rsidRPr="00DF1146">
              <w:rPr>
                <w:sz w:val="22"/>
                <w:szCs w:val="22"/>
                <w:lang w:eastAsia="en-US"/>
              </w:rPr>
              <w:t>Y</w:t>
            </w:r>
            <w:r w:rsidRPr="00DF1146">
              <w:rPr>
                <w:sz w:val="22"/>
                <w:szCs w:val="22"/>
                <w:lang w:val="en-US" w:eastAsia="en-US"/>
              </w:rPr>
              <w:t>1</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Дробилка 3</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12.</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val="en-US" w:eastAsia="en-US"/>
              </w:rPr>
            </w:pPr>
            <w:r w:rsidRPr="00DF1146">
              <w:rPr>
                <w:sz w:val="22"/>
                <w:szCs w:val="22"/>
                <w:lang w:eastAsia="en-US"/>
              </w:rPr>
              <w:t>Y</w:t>
            </w:r>
            <w:r w:rsidRPr="00DF1146">
              <w:rPr>
                <w:sz w:val="22"/>
                <w:szCs w:val="22"/>
                <w:lang w:val="en-US" w:eastAsia="en-US"/>
              </w:rPr>
              <w:t>1</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Дробилка 3</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13.</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val="en-US" w:eastAsia="en-US"/>
              </w:rPr>
            </w:pPr>
            <w:r w:rsidRPr="00DF1146">
              <w:rPr>
                <w:sz w:val="22"/>
                <w:szCs w:val="22"/>
                <w:lang w:val="en-US" w:eastAsia="en-US"/>
              </w:rPr>
              <w:t>AND</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val="en-US" w:eastAsia="en-US"/>
              </w:rPr>
            </w:pPr>
            <w:r w:rsidRPr="00DF1146">
              <w:rPr>
                <w:sz w:val="22"/>
                <w:szCs w:val="22"/>
                <w:lang w:val="en-US" w:eastAsia="en-US"/>
              </w:rPr>
              <w:t>X1</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 xml:space="preserve">Кнопка пуска механизма </w:t>
            </w:r>
          </w:p>
          <w:p w:rsidR="000F594F" w:rsidRPr="00DF1146" w:rsidRDefault="000F594F" w:rsidP="000F594F">
            <w:pPr>
              <w:spacing w:line="30" w:lineRule="atLeast"/>
              <w:rPr>
                <w:sz w:val="22"/>
                <w:szCs w:val="22"/>
                <w:lang w:eastAsia="en-US"/>
              </w:rPr>
            </w:pPr>
            <w:r w:rsidRPr="00DF1146">
              <w:rPr>
                <w:sz w:val="22"/>
                <w:szCs w:val="22"/>
                <w:lang w:eastAsia="en-US"/>
              </w:rPr>
              <w:t>заслонки 5</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14.</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TMR</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T2</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K50</w:t>
            </w: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15.</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T2</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16.</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OUT</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Y2</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Заслонка 5</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17.</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Y1</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Дробилка 3</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18.</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val="en-US" w:eastAsia="en-US"/>
              </w:rPr>
            </w:pPr>
            <w:r w:rsidRPr="00DF1146">
              <w:rPr>
                <w:sz w:val="22"/>
                <w:szCs w:val="22"/>
                <w:lang w:val="en-US" w:eastAsia="en-US"/>
              </w:rPr>
              <w:t>AND</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val="en-US" w:eastAsia="en-US"/>
              </w:rPr>
              <w:t>X</w:t>
            </w:r>
            <w:r w:rsidRPr="00DF1146">
              <w:rPr>
                <w:sz w:val="22"/>
                <w:szCs w:val="22"/>
                <w:lang w:eastAsia="en-US"/>
              </w:rPr>
              <w:t>2</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 xml:space="preserve">Кнопка пуска механизма </w:t>
            </w:r>
          </w:p>
          <w:p w:rsidR="000F594F" w:rsidRPr="00DF1146" w:rsidRDefault="000F594F" w:rsidP="000F594F">
            <w:pPr>
              <w:spacing w:line="30" w:lineRule="atLeast"/>
              <w:rPr>
                <w:sz w:val="22"/>
                <w:szCs w:val="22"/>
                <w:lang w:eastAsia="en-US"/>
              </w:rPr>
            </w:pPr>
            <w:r w:rsidRPr="00DF1146">
              <w:rPr>
                <w:sz w:val="22"/>
                <w:szCs w:val="22"/>
                <w:lang w:eastAsia="en-US"/>
              </w:rPr>
              <w:t>заслонки 6</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19.</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TMR</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T3</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K50</w:t>
            </w: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20.</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T3</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right"/>
              <w:rPr>
                <w:sz w:val="22"/>
                <w:szCs w:val="22"/>
                <w:lang w:eastAsia="en-US"/>
              </w:rPr>
            </w:pPr>
            <w:r w:rsidRPr="00DF1146">
              <w:rPr>
                <w:sz w:val="22"/>
                <w:szCs w:val="22"/>
                <w:lang w:eastAsia="en-US"/>
              </w:rPr>
              <w:t>21.</w:t>
            </w:r>
          </w:p>
        </w:tc>
        <w:tc>
          <w:tcPr>
            <w:tcW w:w="69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OUT</w:t>
            </w:r>
          </w:p>
        </w:tc>
        <w:tc>
          <w:tcPr>
            <w:tcW w:w="522"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r w:rsidRPr="00DF1146">
              <w:rPr>
                <w:sz w:val="22"/>
                <w:szCs w:val="22"/>
                <w:lang w:eastAsia="en-US"/>
              </w:rPr>
              <w:t>Y3</w:t>
            </w:r>
          </w:p>
        </w:tc>
        <w:tc>
          <w:tcPr>
            <w:tcW w:w="705"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Заслонка 6</w:t>
            </w:r>
          </w:p>
        </w:tc>
        <w:tc>
          <w:tcPr>
            <w:tcW w:w="1243" w:type="dxa"/>
            <w:tcBorders>
              <w:top w:val="nil"/>
              <w:left w:val="nil"/>
              <w:bottom w:val="nil"/>
              <w:right w:val="nil"/>
            </w:tcBorders>
            <w:shd w:val="clear" w:color="auto" w:fill="auto"/>
            <w:noWrap/>
            <w:vAlign w:val="bottom"/>
            <w:hideMark/>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22.</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val="en-US" w:eastAsia="en-US"/>
              </w:rPr>
            </w:pPr>
            <w:r w:rsidRPr="00DF1146">
              <w:rPr>
                <w:sz w:val="22"/>
                <w:szCs w:val="22"/>
                <w:lang w:val="en-US" w:eastAsia="en-US"/>
              </w:rPr>
              <w:t xml:space="preserve">LD </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val="en-US" w:eastAsia="en-US"/>
              </w:rPr>
            </w:pPr>
            <w:r w:rsidRPr="00DF1146">
              <w:rPr>
                <w:sz w:val="22"/>
                <w:szCs w:val="22"/>
                <w:lang w:val="en-US" w:eastAsia="en-US"/>
              </w:rPr>
              <w:t>Y2</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Заслонка 5</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23.</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val="en-US" w:eastAsia="en-US"/>
              </w:rPr>
              <w:t>OR</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val="en-US" w:eastAsia="en-US"/>
              </w:rPr>
              <w:t>Y3</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Заслонка 6</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24.</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TMR</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eastAsia="en-US"/>
              </w:rPr>
              <w:t>T5</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eastAsia="en-US"/>
              </w:rPr>
              <w:t>K50</w:t>
            </w: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25.</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LD</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eastAsia="en-US"/>
              </w:rPr>
              <w:t>T5</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Таймер времени (задержка)</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проверка</w:t>
            </w:r>
          </w:p>
        </w:tc>
      </w:tr>
      <w:tr w:rsidR="000F594F" w:rsidRPr="00DF1146" w:rsidTr="000F594F">
        <w:trPr>
          <w:trHeight w:val="300"/>
        </w:trPr>
        <w:tc>
          <w:tcPr>
            <w:tcW w:w="566" w:type="dxa"/>
            <w:tcBorders>
              <w:top w:val="nil"/>
              <w:left w:val="nil"/>
              <w:bottom w:val="nil"/>
              <w:right w:val="nil"/>
            </w:tcBorders>
            <w:shd w:val="clear" w:color="auto" w:fill="auto"/>
            <w:noWrap/>
            <w:vAlign w:val="bottom"/>
          </w:tcPr>
          <w:p w:rsidR="000F594F" w:rsidRPr="00DF1146" w:rsidRDefault="000F594F" w:rsidP="000F594F">
            <w:pPr>
              <w:spacing w:line="30" w:lineRule="atLeast"/>
              <w:jc w:val="right"/>
              <w:rPr>
                <w:sz w:val="22"/>
                <w:szCs w:val="22"/>
                <w:lang w:eastAsia="en-US"/>
              </w:rPr>
            </w:pPr>
            <w:r w:rsidRPr="00DF1146">
              <w:rPr>
                <w:sz w:val="22"/>
                <w:szCs w:val="22"/>
                <w:lang w:eastAsia="en-US"/>
              </w:rPr>
              <w:t>26.</w:t>
            </w:r>
          </w:p>
        </w:tc>
        <w:tc>
          <w:tcPr>
            <w:tcW w:w="69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val="en-US" w:eastAsia="en-US"/>
              </w:rPr>
            </w:pPr>
            <w:r w:rsidRPr="00DF1146">
              <w:rPr>
                <w:sz w:val="22"/>
                <w:szCs w:val="22"/>
                <w:lang w:val="en-US" w:eastAsia="en-US"/>
              </w:rPr>
              <w:t>OUT</w:t>
            </w:r>
          </w:p>
        </w:tc>
        <w:tc>
          <w:tcPr>
            <w:tcW w:w="522"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r w:rsidRPr="00DF1146">
              <w:rPr>
                <w:sz w:val="22"/>
                <w:szCs w:val="22"/>
                <w:lang w:val="en-US" w:eastAsia="en-US"/>
              </w:rPr>
              <w:t>Y</w:t>
            </w:r>
            <w:r w:rsidRPr="00DF1146">
              <w:rPr>
                <w:sz w:val="22"/>
                <w:szCs w:val="22"/>
                <w:lang w:eastAsia="en-US"/>
              </w:rPr>
              <w:t>4</w:t>
            </w:r>
          </w:p>
        </w:tc>
        <w:tc>
          <w:tcPr>
            <w:tcW w:w="705" w:type="dxa"/>
            <w:tcBorders>
              <w:top w:val="nil"/>
              <w:left w:val="nil"/>
              <w:bottom w:val="nil"/>
              <w:right w:val="nil"/>
            </w:tcBorders>
            <w:shd w:val="clear" w:color="auto" w:fill="auto"/>
            <w:noWrap/>
            <w:vAlign w:val="bottom"/>
          </w:tcPr>
          <w:p w:rsidR="000F594F" w:rsidRPr="00DF1146" w:rsidRDefault="000F594F" w:rsidP="000F594F">
            <w:pPr>
              <w:spacing w:line="30" w:lineRule="atLeast"/>
              <w:jc w:val="center"/>
              <w:rPr>
                <w:sz w:val="22"/>
                <w:szCs w:val="22"/>
                <w:lang w:eastAsia="en-US"/>
              </w:rPr>
            </w:pPr>
          </w:p>
        </w:tc>
        <w:tc>
          <w:tcPr>
            <w:tcW w:w="2916"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Заслонка 2</w:t>
            </w:r>
          </w:p>
        </w:tc>
        <w:tc>
          <w:tcPr>
            <w:tcW w:w="1243" w:type="dxa"/>
            <w:tcBorders>
              <w:top w:val="nil"/>
              <w:left w:val="nil"/>
              <w:bottom w:val="nil"/>
              <w:right w:val="nil"/>
            </w:tcBorders>
            <w:shd w:val="clear" w:color="auto" w:fill="auto"/>
            <w:noWrap/>
            <w:vAlign w:val="bottom"/>
          </w:tcPr>
          <w:p w:rsidR="000F594F" w:rsidRPr="00DF1146" w:rsidRDefault="000F594F" w:rsidP="000F594F">
            <w:pPr>
              <w:spacing w:line="30" w:lineRule="atLeast"/>
              <w:rPr>
                <w:sz w:val="22"/>
                <w:szCs w:val="22"/>
                <w:lang w:eastAsia="en-US"/>
              </w:rPr>
            </w:pPr>
            <w:r w:rsidRPr="00DF1146">
              <w:rPr>
                <w:sz w:val="22"/>
                <w:szCs w:val="22"/>
                <w:lang w:eastAsia="en-US"/>
              </w:rPr>
              <w:t>включение</w:t>
            </w:r>
          </w:p>
        </w:tc>
      </w:tr>
      <w:tr w:rsidR="000F594F" w:rsidRPr="00DF1146" w:rsidTr="000F594F">
        <w:trPr>
          <w:trHeight w:val="300"/>
        </w:trPr>
        <w:tc>
          <w:tcPr>
            <w:tcW w:w="6645" w:type="dxa"/>
            <w:gridSpan w:val="6"/>
            <w:tcBorders>
              <w:top w:val="nil"/>
              <w:left w:val="nil"/>
              <w:bottom w:val="nil"/>
              <w:right w:val="nil"/>
            </w:tcBorders>
            <w:shd w:val="clear" w:color="auto" w:fill="auto"/>
            <w:noWrap/>
            <w:vAlign w:val="bottom"/>
            <w:hideMark/>
          </w:tcPr>
          <w:p w:rsidR="000F594F" w:rsidRPr="00DF1146" w:rsidRDefault="000F594F" w:rsidP="00AB6A0E">
            <w:pPr>
              <w:spacing w:line="30" w:lineRule="atLeast"/>
              <w:ind w:firstLine="474"/>
              <w:jc w:val="both"/>
              <w:rPr>
                <w:sz w:val="22"/>
                <w:szCs w:val="22"/>
                <w:lang w:eastAsia="en-US"/>
              </w:rPr>
            </w:pPr>
            <w:r w:rsidRPr="00DF1146">
              <w:rPr>
                <w:sz w:val="22"/>
                <w:szCs w:val="22"/>
                <w:lang w:eastAsia="en-US"/>
              </w:rPr>
              <w:t>Материал представленной статьи позволит будущему специ</w:t>
            </w:r>
            <w:r w:rsidRPr="00DF1146">
              <w:rPr>
                <w:sz w:val="22"/>
                <w:szCs w:val="22"/>
                <w:lang w:eastAsia="en-US"/>
              </w:rPr>
              <w:t>а</w:t>
            </w:r>
            <w:r w:rsidRPr="00DF1146">
              <w:rPr>
                <w:sz w:val="22"/>
                <w:szCs w:val="22"/>
                <w:lang w:eastAsia="en-US"/>
              </w:rPr>
              <w:t>листу в области автоматизации разрабатывать аналогичные техн</w:t>
            </w:r>
            <w:r w:rsidRPr="00DF1146">
              <w:rPr>
                <w:sz w:val="22"/>
                <w:szCs w:val="22"/>
                <w:lang w:eastAsia="en-US"/>
              </w:rPr>
              <w:t>о</w:t>
            </w:r>
            <w:r w:rsidRPr="00DF1146">
              <w:rPr>
                <w:sz w:val="22"/>
                <w:szCs w:val="22"/>
                <w:lang w:eastAsia="en-US"/>
              </w:rPr>
              <w:t>логические линии производства и совершенствовать их посре</w:t>
            </w:r>
            <w:r w:rsidRPr="00DF1146">
              <w:rPr>
                <w:sz w:val="22"/>
                <w:szCs w:val="22"/>
                <w:lang w:eastAsia="en-US"/>
              </w:rPr>
              <w:t>д</w:t>
            </w:r>
            <w:r w:rsidRPr="00DF1146">
              <w:rPr>
                <w:sz w:val="22"/>
                <w:szCs w:val="22"/>
                <w:lang w:eastAsia="en-US"/>
              </w:rPr>
              <w:t>ством дальнейшего изучения логики управления.</w:t>
            </w:r>
          </w:p>
        </w:tc>
      </w:tr>
    </w:tbl>
    <w:p w:rsidR="000F594F" w:rsidRPr="00DF1146" w:rsidRDefault="000F594F" w:rsidP="000F594F">
      <w:pPr>
        <w:spacing w:line="23" w:lineRule="atLeast"/>
        <w:ind w:firstLine="426"/>
        <w:jc w:val="center"/>
        <w:rPr>
          <w:rFonts w:eastAsiaTheme="minorHAnsi"/>
          <w:sz w:val="22"/>
          <w:szCs w:val="22"/>
          <w:lang w:eastAsia="en-US"/>
        </w:rPr>
      </w:pPr>
      <w:r w:rsidRPr="00DF1146">
        <w:rPr>
          <w:rFonts w:eastAsiaTheme="minorHAnsi"/>
          <w:sz w:val="22"/>
          <w:szCs w:val="22"/>
          <w:lang w:eastAsia="en-US"/>
        </w:rPr>
        <w:t>Список литературы</w:t>
      </w:r>
    </w:p>
    <w:p w:rsidR="000F594F" w:rsidRPr="00DF1146" w:rsidRDefault="000F594F" w:rsidP="002D7DA5">
      <w:pPr>
        <w:numPr>
          <w:ilvl w:val="0"/>
          <w:numId w:val="104"/>
        </w:numPr>
        <w:spacing w:after="100" w:afterAutospacing="1" w:line="23" w:lineRule="atLeast"/>
        <w:ind w:left="0" w:firstLine="426"/>
        <w:contextualSpacing/>
        <w:jc w:val="both"/>
        <w:rPr>
          <w:rFonts w:eastAsiaTheme="minorEastAsia"/>
          <w:sz w:val="22"/>
          <w:szCs w:val="22"/>
        </w:rPr>
      </w:pPr>
      <w:r w:rsidRPr="00DF1146">
        <w:rPr>
          <w:rFonts w:eastAsiaTheme="minorEastAsia"/>
          <w:sz w:val="22"/>
          <w:szCs w:val="22"/>
        </w:rPr>
        <w:t xml:space="preserve">Николаенко С.А. Автоматизация процессов переработки сырья на основе управляемого контроллера </w:t>
      </w:r>
      <w:r w:rsidRPr="00DF1146">
        <w:rPr>
          <w:rFonts w:eastAsiaTheme="minorEastAsia"/>
          <w:sz w:val="22"/>
          <w:szCs w:val="22"/>
          <w:lang w:val="en-US"/>
        </w:rPr>
        <w:t>DELTA</w:t>
      </w:r>
      <w:r w:rsidRPr="00DF1146">
        <w:rPr>
          <w:rFonts w:eastAsiaTheme="minorEastAsia"/>
          <w:sz w:val="22"/>
          <w:szCs w:val="22"/>
        </w:rPr>
        <w:t xml:space="preserve"> серии </w:t>
      </w:r>
      <w:r w:rsidRPr="00DF1146">
        <w:rPr>
          <w:rFonts w:eastAsiaTheme="minorEastAsia"/>
          <w:sz w:val="22"/>
          <w:szCs w:val="22"/>
          <w:lang w:val="en-US"/>
        </w:rPr>
        <w:t>DVP</w:t>
      </w:r>
      <w:r w:rsidRPr="00DF1146">
        <w:rPr>
          <w:rFonts w:eastAsiaTheme="minorEastAsia"/>
          <w:sz w:val="22"/>
          <w:szCs w:val="22"/>
        </w:rPr>
        <w:t xml:space="preserve"> – </w:t>
      </w:r>
      <w:r w:rsidRPr="00DF1146">
        <w:rPr>
          <w:rFonts w:eastAsiaTheme="minorEastAsia"/>
          <w:sz w:val="22"/>
          <w:szCs w:val="22"/>
          <w:lang w:val="en-US"/>
        </w:rPr>
        <w:t>SS</w:t>
      </w:r>
      <w:r w:rsidRPr="00DF1146">
        <w:rPr>
          <w:rFonts w:eastAsiaTheme="minorEastAsia"/>
          <w:sz w:val="22"/>
          <w:szCs w:val="22"/>
        </w:rPr>
        <w:t>2 / Николаенко С.А. ., Храпов В.А., Зверев И.В. //</w:t>
      </w:r>
      <w:r w:rsidRPr="00DF1146">
        <w:rPr>
          <w:rFonts w:eastAsiaTheme="minorEastAsia"/>
          <w:bCs/>
          <w:sz w:val="22"/>
          <w:szCs w:val="22"/>
        </w:rPr>
        <w:t>современные условия взаимодействия науки и техники</w:t>
      </w:r>
      <w:r w:rsidRPr="00DF1146">
        <w:rPr>
          <w:rFonts w:eastAsiaTheme="minorEastAsia"/>
          <w:b/>
          <w:bCs/>
          <w:sz w:val="22"/>
          <w:szCs w:val="22"/>
        </w:rPr>
        <w:t xml:space="preserve">: </w:t>
      </w:r>
      <w:r w:rsidRPr="00DF1146">
        <w:rPr>
          <w:rFonts w:eastAsiaTheme="minorEastAsia"/>
          <w:sz w:val="22"/>
          <w:szCs w:val="22"/>
        </w:rPr>
        <w:t>сборник статей Межд</w:t>
      </w:r>
      <w:r w:rsidRPr="00DF1146">
        <w:rPr>
          <w:rFonts w:eastAsiaTheme="minorEastAsia"/>
          <w:sz w:val="22"/>
          <w:szCs w:val="22"/>
        </w:rPr>
        <w:t>у</w:t>
      </w:r>
      <w:r w:rsidRPr="00DF1146">
        <w:rPr>
          <w:rFonts w:eastAsiaTheme="minorEastAsia"/>
          <w:sz w:val="22"/>
          <w:szCs w:val="22"/>
        </w:rPr>
        <w:t>народной научно – практическойконференции (13 декабря 2017 г, г. Омск). В 3 ч. Ч.3 / - Уфа: ОМЕГА САЙНС, 2017. – С.13-18.</w:t>
      </w:r>
    </w:p>
    <w:p w:rsidR="000F594F" w:rsidRPr="00AD6B98" w:rsidRDefault="00AD6B98" w:rsidP="00AD6B98">
      <w:pPr>
        <w:rPr>
          <w:rFonts w:eastAsia="Andale Sans UI"/>
          <w:color w:val="1A1A1A" w:themeColor="background1" w:themeShade="1A"/>
          <w:kern w:val="1"/>
          <w:sz w:val="22"/>
          <w:szCs w:val="22"/>
          <w:lang w:eastAsia="ar-SA"/>
        </w:rPr>
      </w:pPr>
      <w:r>
        <w:rPr>
          <w:rFonts w:eastAsia="Andale Sans UI"/>
          <w:color w:val="1A1A1A" w:themeColor="background1" w:themeShade="1A"/>
          <w:kern w:val="1"/>
          <w:sz w:val="22"/>
          <w:szCs w:val="22"/>
          <w:lang w:eastAsia="ar-SA"/>
        </w:rPr>
        <w:br w:type="page"/>
      </w:r>
    </w:p>
    <w:p w:rsidR="000F594F" w:rsidRPr="00AD6B98" w:rsidRDefault="000F594F" w:rsidP="000F594F">
      <w:pPr>
        <w:ind w:firstLine="426"/>
        <w:jc w:val="center"/>
        <w:rPr>
          <w:b/>
        </w:rPr>
      </w:pPr>
      <w:r>
        <w:rPr>
          <w:b/>
        </w:rPr>
        <w:lastRenderedPageBreak/>
        <w:t>Юридический</w:t>
      </w:r>
      <w:r w:rsidRPr="00AD6B98">
        <w:rPr>
          <w:b/>
        </w:rPr>
        <w:t xml:space="preserve"> </w:t>
      </w:r>
      <w:r>
        <w:rPr>
          <w:b/>
        </w:rPr>
        <w:t>факультет</w:t>
      </w:r>
    </w:p>
    <w:p w:rsidR="00EC1A78" w:rsidRPr="00EC1A78" w:rsidRDefault="00EC1A78"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342.8</w:t>
      </w:r>
    </w:p>
    <w:p w:rsidR="00EC1A78" w:rsidRPr="00EC1A78" w:rsidRDefault="00EC1A78" w:rsidP="00EC1A78">
      <w:pPr>
        <w:rPr>
          <w:rFonts w:eastAsiaTheme="minorHAnsi"/>
          <w:b/>
          <w:bCs/>
          <w:sz w:val="22"/>
          <w:szCs w:val="22"/>
          <w:lang w:eastAsia="en-US"/>
        </w:rPr>
      </w:pPr>
    </w:p>
    <w:p w:rsidR="00EC1A78" w:rsidRPr="00EC1A78" w:rsidRDefault="00EC1A78" w:rsidP="00EC1A78">
      <w:pPr>
        <w:jc w:val="center"/>
        <w:rPr>
          <w:rFonts w:eastAsiaTheme="minorHAnsi"/>
          <w:b/>
          <w:bCs/>
          <w:sz w:val="24"/>
          <w:szCs w:val="22"/>
          <w:lang w:eastAsia="en-US"/>
        </w:rPr>
      </w:pPr>
      <w:r w:rsidRPr="00EC1A78">
        <w:rPr>
          <w:rFonts w:eastAsiaTheme="minorHAnsi"/>
          <w:b/>
          <w:bCs/>
          <w:sz w:val="24"/>
          <w:szCs w:val="22"/>
          <w:lang w:eastAsia="en-US"/>
        </w:rPr>
        <w:t>Особенности реализации избирательных прав отдельных категорий граждан</w:t>
      </w:r>
    </w:p>
    <w:p w:rsidR="00EC1A78" w:rsidRPr="00EC1A78" w:rsidRDefault="00EC1A78" w:rsidP="00EC1A78">
      <w:pPr>
        <w:jc w:val="center"/>
        <w:rPr>
          <w:rFonts w:eastAsiaTheme="minorHAnsi"/>
          <w:b/>
          <w:bCs/>
          <w:sz w:val="24"/>
          <w:szCs w:val="22"/>
          <w:lang w:val="en-US" w:eastAsia="en-US"/>
        </w:rPr>
      </w:pPr>
      <w:r w:rsidRPr="00EC1A78">
        <w:rPr>
          <w:rFonts w:eastAsiaTheme="minorHAnsi"/>
          <w:b/>
          <w:bCs/>
          <w:sz w:val="24"/>
          <w:szCs w:val="22"/>
          <w:lang w:val="en-US" w:eastAsia="en-US"/>
        </w:rPr>
        <w:t>Features of the implementation of electoral rights of certain categories of citizens</w:t>
      </w:r>
    </w:p>
    <w:p w:rsidR="00EC1A78" w:rsidRPr="00EC1A78" w:rsidRDefault="00EC1A78" w:rsidP="00EC1A78">
      <w:pPr>
        <w:rPr>
          <w:rFonts w:eastAsiaTheme="minorHAnsi"/>
          <w:b/>
          <w:bCs/>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Абрамов М.</w:t>
      </w:r>
      <w:r w:rsidR="00C56F2E">
        <w:rPr>
          <w:rFonts w:eastAsiaTheme="minorHAnsi"/>
          <w:sz w:val="22"/>
          <w:szCs w:val="22"/>
          <w:lang w:eastAsia="en-US"/>
        </w:rPr>
        <w:t xml:space="preserve"> </w:t>
      </w:r>
      <w:r w:rsidRPr="00EC1A78">
        <w:rPr>
          <w:rFonts w:eastAsiaTheme="minorHAnsi"/>
          <w:sz w:val="22"/>
          <w:szCs w:val="22"/>
          <w:lang w:eastAsia="en-US"/>
        </w:rPr>
        <w:t>И.,</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Кириченко Е.</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преподаватель кафедры государственного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56F2E">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w:t>
      </w:r>
      <w:r w:rsidRPr="00EC1A78">
        <w:rPr>
          <w:rFonts w:eastAsiaTheme="minorHAnsi"/>
          <w:b/>
          <w:bCs/>
          <w:sz w:val="22"/>
          <w:szCs w:val="22"/>
          <w:lang w:eastAsia="en-US"/>
        </w:rPr>
        <w:t xml:space="preserve"> </w:t>
      </w:r>
      <w:r w:rsidRPr="00EC1A78">
        <w:rPr>
          <w:rFonts w:eastAsiaTheme="minorHAnsi"/>
          <w:sz w:val="22"/>
          <w:szCs w:val="22"/>
          <w:lang w:eastAsia="en-US"/>
        </w:rPr>
        <w:t>Рассмотрены особенности реализации избир</w:t>
      </w:r>
      <w:r w:rsidRPr="00EC1A78">
        <w:rPr>
          <w:rFonts w:eastAsiaTheme="minorHAnsi"/>
          <w:sz w:val="22"/>
          <w:szCs w:val="22"/>
          <w:lang w:eastAsia="en-US"/>
        </w:rPr>
        <w:t>а</w:t>
      </w:r>
      <w:r w:rsidRPr="00EC1A78">
        <w:rPr>
          <w:rFonts w:eastAsiaTheme="minorHAnsi"/>
          <w:sz w:val="22"/>
          <w:szCs w:val="22"/>
          <w:lang w:eastAsia="en-US"/>
        </w:rPr>
        <w:t>тельных прав маломобильных граждан, граждан, находящихся на службе в рядах вооруженных сил Российской Федерации, и ряда других категорий. Проанализирована нормативная база и прав</w:t>
      </w:r>
      <w:r w:rsidRPr="00EC1A78">
        <w:rPr>
          <w:rFonts w:eastAsiaTheme="minorHAnsi"/>
          <w:sz w:val="22"/>
          <w:szCs w:val="22"/>
          <w:lang w:eastAsia="en-US"/>
        </w:rPr>
        <w:t>о</w:t>
      </w:r>
      <w:r w:rsidRPr="00EC1A78">
        <w:rPr>
          <w:rFonts w:eastAsiaTheme="minorHAnsi"/>
          <w:sz w:val="22"/>
          <w:szCs w:val="22"/>
          <w:lang w:eastAsia="en-US"/>
        </w:rPr>
        <w:t xml:space="preserve">применительная практика. Предложен ряд усовершенствований действующего законодательства.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Features of the implementation of the electoral rights of the less mobile citizens, citizens who are in the service of the armed forces of the Russian Federation and a number of other categories are considered. The regulatory system and law enforcement practice are an</w:t>
      </w:r>
      <w:r w:rsidRPr="00EC1A78">
        <w:rPr>
          <w:rFonts w:eastAsiaTheme="minorHAnsi"/>
          <w:sz w:val="22"/>
          <w:szCs w:val="22"/>
          <w:lang w:val="en-US" w:eastAsia="en-US"/>
        </w:rPr>
        <w:t>a</w:t>
      </w:r>
      <w:r w:rsidRPr="00EC1A78">
        <w:rPr>
          <w:rFonts w:eastAsiaTheme="minorHAnsi"/>
          <w:sz w:val="22"/>
          <w:szCs w:val="22"/>
          <w:lang w:val="en-US" w:eastAsia="en-US"/>
        </w:rPr>
        <w:t>lyzed. A number of improvements to the current legislation are pr</w:t>
      </w:r>
      <w:r w:rsidRPr="00EC1A78">
        <w:rPr>
          <w:rFonts w:eastAsiaTheme="minorHAnsi"/>
          <w:sz w:val="22"/>
          <w:szCs w:val="22"/>
          <w:lang w:val="en-US" w:eastAsia="en-US"/>
        </w:rPr>
        <w:t>o</w:t>
      </w:r>
      <w:r w:rsidRPr="00EC1A78">
        <w:rPr>
          <w:rFonts w:eastAsiaTheme="minorHAnsi"/>
          <w:sz w:val="22"/>
          <w:szCs w:val="22"/>
          <w:lang w:val="en-US" w:eastAsia="en-US"/>
        </w:rPr>
        <w:t>posed.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w:t>
      </w:r>
      <w:r w:rsidRPr="00EC1A78">
        <w:rPr>
          <w:rFonts w:eastAsiaTheme="minorHAnsi"/>
          <w:b/>
          <w:bCs/>
          <w:sz w:val="22"/>
          <w:szCs w:val="22"/>
          <w:lang w:eastAsia="en-US"/>
        </w:rPr>
        <w:t xml:space="preserve"> </w:t>
      </w:r>
      <w:r w:rsidRPr="00EC1A78">
        <w:rPr>
          <w:rFonts w:eastAsiaTheme="minorHAnsi"/>
          <w:sz w:val="22"/>
          <w:szCs w:val="22"/>
          <w:lang w:eastAsia="en-US"/>
        </w:rPr>
        <w:t>избирательное право, гражданские пр</w:t>
      </w:r>
      <w:r w:rsidRPr="00EC1A78">
        <w:rPr>
          <w:rFonts w:eastAsiaTheme="minorHAnsi"/>
          <w:sz w:val="22"/>
          <w:szCs w:val="22"/>
          <w:lang w:eastAsia="en-US"/>
        </w:rPr>
        <w:t>а</w:t>
      </w:r>
      <w:r w:rsidRPr="00EC1A78">
        <w:rPr>
          <w:rFonts w:eastAsiaTheme="minorHAnsi"/>
          <w:sz w:val="22"/>
          <w:szCs w:val="22"/>
          <w:lang w:eastAsia="en-US"/>
        </w:rPr>
        <w:t>ва, конституционное право, выборы.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elec</w:t>
      </w:r>
      <w:r w:rsidRPr="00EC1A78">
        <w:rPr>
          <w:rFonts w:eastAsiaTheme="minorHAnsi"/>
          <w:sz w:val="22"/>
          <w:szCs w:val="22"/>
          <w:lang w:eastAsia="en-US"/>
        </w:rPr>
        <w:t>е</w:t>
      </w:r>
      <w:r w:rsidRPr="00EC1A78">
        <w:rPr>
          <w:rFonts w:eastAsiaTheme="minorHAnsi"/>
          <w:sz w:val="22"/>
          <w:szCs w:val="22"/>
          <w:lang w:val="en-US" w:eastAsia="en-US"/>
        </w:rPr>
        <w:t>toral rights, civil rights, constitutional law, elections.</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Активное избирательное право является ключевым в системе политических прав граждан. Именно с его помощью чаще всего гражданин Российской Федерации реализует свое конституционное </w:t>
      </w:r>
      <w:r w:rsidRPr="00EC1A78">
        <w:rPr>
          <w:rFonts w:eastAsiaTheme="minorHAnsi"/>
          <w:sz w:val="22"/>
          <w:szCs w:val="22"/>
          <w:lang w:eastAsia="en-US"/>
        </w:rPr>
        <w:lastRenderedPageBreak/>
        <w:t>право на участие в управлении государством. Поэтому представл</w:t>
      </w:r>
      <w:r w:rsidRPr="00EC1A78">
        <w:rPr>
          <w:rFonts w:eastAsiaTheme="minorHAnsi"/>
          <w:sz w:val="22"/>
          <w:szCs w:val="22"/>
          <w:lang w:eastAsia="en-US"/>
        </w:rPr>
        <w:t>я</w:t>
      </w:r>
      <w:r w:rsidRPr="00EC1A78">
        <w:rPr>
          <w:rFonts w:eastAsiaTheme="minorHAnsi"/>
          <w:sz w:val="22"/>
          <w:szCs w:val="22"/>
          <w:lang w:eastAsia="en-US"/>
        </w:rPr>
        <w:t>ется особенно важным обеспечить возможность реализации этого права всем гражданам, которые им обладают, вне зависимости от затрат, которые понесет государство для этого. Таким образом, с</w:t>
      </w:r>
      <w:r w:rsidRPr="00EC1A78">
        <w:rPr>
          <w:rFonts w:eastAsiaTheme="minorHAnsi"/>
          <w:sz w:val="22"/>
          <w:szCs w:val="22"/>
          <w:lang w:eastAsia="en-US"/>
        </w:rPr>
        <w:t>и</w:t>
      </w:r>
      <w:r w:rsidRPr="00EC1A78">
        <w:rPr>
          <w:rFonts w:eastAsiaTheme="minorHAnsi"/>
          <w:sz w:val="22"/>
          <w:szCs w:val="22"/>
          <w:lang w:eastAsia="en-US"/>
        </w:rPr>
        <w:t>стема гарантий избирательных прав граждан обязана включать в себя и гарантии обеспечения реализации активного избирательного права теми категориями граждан, для которых эта реализация по тем или иным причинам затруднена. Чаще всего речь идет о гра</w:t>
      </w:r>
      <w:r w:rsidRPr="00EC1A78">
        <w:rPr>
          <w:rFonts w:eastAsiaTheme="minorHAnsi"/>
          <w:sz w:val="22"/>
          <w:szCs w:val="22"/>
          <w:lang w:eastAsia="en-US"/>
        </w:rPr>
        <w:t>ж</w:t>
      </w:r>
      <w:r w:rsidRPr="00EC1A78">
        <w:rPr>
          <w:rFonts w:eastAsiaTheme="minorHAnsi"/>
          <w:sz w:val="22"/>
          <w:szCs w:val="22"/>
          <w:lang w:eastAsia="en-US"/>
        </w:rPr>
        <w:t>данах с инвалидностью, военнослужащих, проходящих службу по призыву в воинских частях, которые расположены на территории муниципального образования, если место жительства этих военн</w:t>
      </w:r>
      <w:r w:rsidRPr="00EC1A78">
        <w:rPr>
          <w:rFonts w:eastAsiaTheme="minorHAnsi"/>
          <w:sz w:val="22"/>
          <w:szCs w:val="22"/>
          <w:lang w:eastAsia="en-US"/>
        </w:rPr>
        <w:t>о</w:t>
      </w:r>
      <w:r w:rsidRPr="00EC1A78">
        <w:rPr>
          <w:rFonts w:eastAsiaTheme="minorHAnsi"/>
          <w:sz w:val="22"/>
          <w:szCs w:val="22"/>
          <w:lang w:eastAsia="en-US"/>
        </w:rPr>
        <w:t>служащих до призыва на военную службу не было расположено на территории этого муниципального образования, граждан, наход</w:t>
      </w:r>
      <w:r w:rsidRPr="00EC1A78">
        <w:rPr>
          <w:rFonts w:eastAsiaTheme="minorHAnsi"/>
          <w:sz w:val="22"/>
          <w:szCs w:val="22"/>
          <w:lang w:eastAsia="en-US"/>
        </w:rPr>
        <w:t>я</w:t>
      </w:r>
      <w:r w:rsidRPr="00EC1A78">
        <w:rPr>
          <w:rFonts w:eastAsiaTheme="minorHAnsi"/>
          <w:sz w:val="22"/>
          <w:szCs w:val="22"/>
          <w:lang w:eastAsia="en-US"/>
        </w:rPr>
        <w:t>щихся в местах временного пребывания, например, в следственных изоляторах и изоляторах временного содержания, а также граждан находящихся в труднодоступных и отдаленных районах, либо п</w:t>
      </w:r>
      <w:r w:rsidRPr="00EC1A78">
        <w:rPr>
          <w:rFonts w:eastAsiaTheme="minorHAnsi"/>
          <w:sz w:val="22"/>
          <w:szCs w:val="22"/>
          <w:lang w:eastAsia="en-US"/>
        </w:rPr>
        <w:t>о</w:t>
      </w:r>
      <w:r w:rsidRPr="00EC1A78">
        <w:rPr>
          <w:rFonts w:eastAsiaTheme="minorHAnsi"/>
          <w:sz w:val="22"/>
          <w:szCs w:val="22"/>
          <w:lang w:eastAsia="en-US"/>
        </w:rPr>
        <w:t xml:space="preserve">стоянно проживающих за пределами Российской Федерации.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Вопрос об обеспечении избирательных прав инвалидов и м</w:t>
      </w:r>
      <w:r w:rsidRPr="00EC1A78">
        <w:rPr>
          <w:rFonts w:eastAsiaTheme="minorHAnsi"/>
          <w:sz w:val="22"/>
          <w:szCs w:val="22"/>
          <w:lang w:eastAsia="en-US"/>
        </w:rPr>
        <w:t>а</w:t>
      </w:r>
      <w:r w:rsidRPr="00EC1A78">
        <w:rPr>
          <w:rFonts w:eastAsiaTheme="minorHAnsi"/>
          <w:sz w:val="22"/>
          <w:szCs w:val="22"/>
          <w:lang w:eastAsia="en-US"/>
        </w:rPr>
        <w:t>ломобильных граждан подробно раскрывается в принятом в мае 2015 года постановлении ЦИК РФ «О рекомендациях по обеспеч</w:t>
      </w:r>
      <w:r w:rsidRPr="00EC1A78">
        <w:rPr>
          <w:rFonts w:eastAsiaTheme="minorHAnsi"/>
          <w:sz w:val="22"/>
          <w:szCs w:val="22"/>
          <w:lang w:eastAsia="en-US"/>
        </w:rPr>
        <w:t>е</w:t>
      </w:r>
      <w:r w:rsidRPr="00EC1A78">
        <w:rPr>
          <w:rFonts w:eastAsiaTheme="minorHAnsi"/>
          <w:sz w:val="22"/>
          <w:szCs w:val="22"/>
          <w:lang w:eastAsia="en-US"/>
        </w:rPr>
        <w:t>нию реализации избирательных прав граждан Российской Федер</w:t>
      </w:r>
      <w:r w:rsidRPr="00EC1A78">
        <w:rPr>
          <w:rFonts w:eastAsiaTheme="minorHAnsi"/>
          <w:sz w:val="22"/>
          <w:szCs w:val="22"/>
          <w:lang w:eastAsia="en-US"/>
        </w:rPr>
        <w:t>а</w:t>
      </w:r>
      <w:r w:rsidRPr="00EC1A78">
        <w:rPr>
          <w:rFonts w:eastAsiaTheme="minorHAnsi"/>
          <w:sz w:val="22"/>
          <w:szCs w:val="22"/>
          <w:lang w:eastAsia="en-US"/>
        </w:rPr>
        <w:t>ции, являющихся инвалидами, при проведении выборов в Росси</w:t>
      </w:r>
      <w:r w:rsidRPr="00EC1A78">
        <w:rPr>
          <w:rFonts w:eastAsiaTheme="minorHAnsi"/>
          <w:sz w:val="22"/>
          <w:szCs w:val="22"/>
          <w:lang w:eastAsia="en-US"/>
        </w:rPr>
        <w:t>й</w:t>
      </w:r>
      <w:r w:rsidRPr="00EC1A78">
        <w:rPr>
          <w:rFonts w:eastAsiaTheme="minorHAnsi"/>
          <w:sz w:val="22"/>
          <w:szCs w:val="22"/>
          <w:lang w:eastAsia="en-US"/>
        </w:rPr>
        <w:t>ской Федерации» [1]. Среди международных актов, регулирующих указанные отношения следует выделить конвенцию о стандартах демократических выборов, избирательных прав и свобод в госуда</w:t>
      </w:r>
      <w:r w:rsidRPr="00EC1A78">
        <w:rPr>
          <w:rFonts w:eastAsiaTheme="minorHAnsi"/>
          <w:sz w:val="22"/>
          <w:szCs w:val="22"/>
          <w:lang w:eastAsia="en-US"/>
        </w:rPr>
        <w:t>р</w:t>
      </w:r>
      <w:r w:rsidRPr="00EC1A78">
        <w:rPr>
          <w:rFonts w:eastAsiaTheme="minorHAnsi"/>
          <w:sz w:val="22"/>
          <w:szCs w:val="22"/>
          <w:lang w:eastAsia="en-US"/>
        </w:rPr>
        <w:t>ствах–участниках Содружества Независимых Государств [2], ко</w:t>
      </w:r>
      <w:r w:rsidRPr="00EC1A78">
        <w:rPr>
          <w:rFonts w:eastAsiaTheme="minorHAnsi"/>
          <w:sz w:val="22"/>
          <w:szCs w:val="22"/>
          <w:lang w:eastAsia="en-US"/>
        </w:rPr>
        <w:t>н</w:t>
      </w:r>
      <w:r w:rsidRPr="00EC1A78">
        <w:rPr>
          <w:rFonts w:eastAsiaTheme="minorHAnsi"/>
          <w:sz w:val="22"/>
          <w:szCs w:val="22"/>
          <w:lang w:eastAsia="en-US"/>
        </w:rPr>
        <w:t>венцию ООН о правах инвалидов [3] и рекомендации по соверше</w:t>
      </w:r>
      <w:r w:rsidRPr="00EC1A78">
        <w:rPr>
          <w:rFonts w:eastAsiaTheme="minorHAnsi"/>
          <w:sz w:val="22"/>
          <w:szCs w:val="22"/>
          <w:lang w:eastAsia="en-US"/>
        </w:rPr>
        <w:t>н</w:t>
      </w:r>
      <w:r w:rsidRPr="00EC1A78">
        <w:rPr>
          <w:rFonts w:eastAsiaTheme="minorHAnsi"/>
          <w:sz w:val="22"/>
          <w:szCs w:val="22"/>
          <w:lang w:eastAsia="en-US"/>
        </w:rPr>
        <w:t>ствованию законодательства государств–участников МПА СНГ в соответствии с международными избирательными стандартами [4].  В качестве предложенных этими актами мер поддержки активного избирательного права маломобильных граждан и инвалидов можно отметить специальные кабины для тайного голосования, которые должны быть сконструированы таким образом, чтобы инвалид, и</w:t>
      </w:r>
      <w:r w:rsidRPr="00EC1A78">
        <w:rPr>
          <w:rFonts w:eastAsiaTheme="minorHAnsi"/>
          <w:sz w:val="22"/>
          <w:szCs w:val="22"/>
          <w:lang w:eastAsia="en-US"/>
        </w:rPr>
        <w:t>с</w:t>
      </w:r>
      <w:r w:rsidRPr="00EC1A78">
        <w:rPr>
          <w:rFonts w:eastAsiaTheme="minorHAnsi"/>
          <w:sz w:val="22"/>
          <w:szCs w:val="22"/>
          <w:lang w:eastAsia="en-US"/>
        </w:rPr>
        <w:t>пользующий для перемещения инвалидную коляску мог беспрепя</w:t>
      </w:r>
      <w:r w:rsidRPr="00EC1A78">
        <w:rPr>
          <w:rFonts w:eastAsiaTheme="minorHAnsi"/>
          <w:sz w:val="22"/>
          <w:szCs w:val="22"/>
          <w:lang w:eastAsia="en-US"/>
        </w:rPr>
        <w:t>т</w:t>
      </w:r>
      <w:r w:rsidRPr="00EC1A78">
        <w:rPr>
          <w:rFonts w:eastAsiaTheme="minorHAnsi"/>
          <w:sz w:val="22"/>
          <w:szCs w:val="22"/>
          <w:lang w:eastAsia="en-US"/>
        </w:rPr>
        <w:t>ственно и без посторонней помощи въехать в кабину, заполнить и опустить в урну для голосования избирательных бюллетень и в</w:t>
      </w:r>
      <w:r w:rsidRPr="00EC1A78">
        <w:rPr>
          <w:rFonts w:eastAsiaTheme="minorHAnsi"/>
          <w:sz w:val="22"/>
          <w:szCs w:val="22"/>
          <w:lang w:eastAsia="en-US"/>
        </w:rPr>
        <w:t>ы</w:t>
      </w:r>
      <w:r w:rsidRPr="00EC1A78">
        <w:rPr>
          <w:rFonts w:eastAsiaTheme="minorHAnsi"/>
          <w:sz w:val="22"/>
          <w:szCs w:val="22"/>
          <w:lang w:eastAsia="en-US"/>
        </w:rPr>
        <w:t xml:space="preserve">ехать из кабины, возможность использования сурдопереводчиков на избирательных участков, наличие тактильных указателей, в том </w:t>
      </w:r>
      <w:r w:rsidRPr="00EC1A78">
        <w:rPr>
          <w:rFonts w:eastAsiaTheme="minorHAnsi"/>
          <w:sz w:val="22"/>
          <w:szCs w:val="22"/>
          <w:lang w:eastAsia="en-US"/>
        </w:rPr>
        <w:lastRenderedPageBreak/>
        <w:t>числе и наземных, тифлосредств и тифлосурдопереводчиков, а та</w:t>
      </w:r>
      <w:r w:rsidRPr="00EC1A78">
        <w:rPr>
          <w:rFonts w:eastAsiaTheme="minorHAnsi"/>
          <w:sz w:val="22"/>
          <w:szCs w:val="22"/>
          <w:lang w:eastAsia="en-US"/>
        </w:rPr>
        <w:t>к</w:t>
      </w:r>
      <w:r w:rsidRPr="00EC1A78">
        <w:rPr>
          <w:rFonts w:eastAsiaTheme="minorHAnsi"/>
          <w:sz w:val="22"/>
          <w:szCs w:val="22"/>
          <w:lang w:eastAsia="en-US"/>
        </w:rPr>
        <w:t>же табличек написанных шрифтом Брайля. На сегодняшний день, в Российской Федерации, ряд избирательных участков оборудован табличками написанными рельефно–точечным шрифтом и тактил</w:t>
      </w:r>
      <w:r w:rsidRPr="00EC1A78">
        <w:rPr>
          <w:rFonts w:eastAsiaTheme="minorHAnsi"/>
          <w:sz w:val="22"/>
          <w:szCs w:val="22"/>
          <w:lang w:eastAsia="en-US"/>
        </w:rPr>
        <w:t>ь</w:t>
      </w:r>
      <w:r w:rsidRPr="00EC1A78">
        <w:rPr>
          <w:rFonts w:eastAsiaTheme="minorHAnsi"/>
          <w:sz w:val="22"/>
          <w:szCs w:val="22"/>
          <w:lang w:eastAsia="en-US"/>
        </w:rPr>
        <w:t>ными наземными указателями, однако, присутствие на избирател</w:t>
      </w:r>
      <w:r w:rsidRPr="00EC1A78">
        <w:rPr>
          <w:rFonts w:eastAsiaTheme="minorHAnsi"/>
          <w:sz w:val="22"/>
          <w:szCs w:val="22"/>
          <w:lang w:eastAsia="en-US"/>
        </w:rPr>
        <w:t>ь</w:t>
      </w:r>
      <w:r w:rsidRPr="00EC1A78">
        <w:rPr>
          <w:rFonts w:eastAsiaTheme="minorHAnsi"/>
          <w:sz w:val="22"/>
          <w:szCs w:val="22"/>
          <w:lang w:eastAsia="en-US"/>
        </w:rPr>
        <w:t>ном участке сурдопереводчика или, тем более, тифлосурдоперево</w:t>
      </w:r>
      <w:r w:rsidRPr="00EC1A78">
        <w:rPr>
          <w:rFonts w:eastAsiaTheme="minorHAnsi"/>
          <w:sz w:val="22"/>
          <w:szCs w:val="22"/>
          <w:lang w:eastAsia="en-US"/>
        </w:rPr>
        <w:t>д</w:t>
      </w:r>
      <w:r w:rsidRPr="00EC1A78">
        <w:rPr>
          <w:rFonts w:eastAsiaTheme="minorHAnsi"/>
          <w:sz w:val="22"/>
          <w:szCs w:val="22"/>
          <w:lang w:eastAsia="en-US"/>
        </w:rPr>
        <w:t>чика является скорее исключением и не относится к обязательным требованиям. Не все участки оборудованы и специальными кабин</w:t>
      </w:r>
      <w:r w:rsidRPr="00EC1A78">
        <w:rPr>
          <w:rFonts w:eastAsiaTheme="minorHAnsi"/>
          <w:sz w:val="22"/>
          <w:szCs w:val="22"/>
          <w:lang w:eastAsia="en-US"/>
        </w:rPr>
        <w:t>а</w:t>
      </w:r>
      <w:r w:rsidRPr="00EC1A78">
        <w:rPr>
          <w:rFonts w:eastAsiaTheme="minorHAnsi"/>
          <w:sz w:val="22"/>
          <w:szCs w:val="22"/>
          <w:lang w:eastAsia="en-US"/>
        </w:rPr>
        <w:t>ми для маломобильных граждан, при этом нет нормативного урег</w:t>
      </w:r>
      <w:r w:rsidRPr="00EC1A78">
        <w:rPr>
          <w:rFonts w:eastAsiaTheme="minorHAnsi"/>
          <w:sz w:val="22"/>
          <w:szCs w:val="22"/>
          <w:lang w:eastAsia="en-US"/>
        </w:rPr>
        <w:t>у</w:t>
      </w:r>
      <w:r w:rsidRPr="00EC1A78">
        <w:rPr>
          <w:rFonts w:eastAsiaTheme="minorHAnsi"/>
          <w:sz w:val="22"/>
          <w:szCs w:val="22"/>
          <w:lang w:eastAsia="en-US"/>
        </w:rPr>
        <w:t>лированного надежного механизма доставки маломобильных гра</w:t>
      </w:r>
      <w:r w:rsidRPr="00EC1A78">
        <w:rPr>
          <w:rFonts w:eastAsiaTheme="minorHAnsi"/>
          <w:sz w:val="22"/>
          <w:szCs w:val="22"/>
          <w:lang w:eastAsia="en-US"/>
        </w:rPr>
        <w:t>ж</w:t>
      </w:r>
      <w:r w:rsidRPr="00EC1A78">
        <w:rPr>
          <w:rFonts w:eastAsiaTheme="minorHAnsi"/>
          <w:sz w:val="22"/>
          <w:szCs w:val="22"/>
          <w:lang w:eastAsia="en-US"/>
        </w:rPr>
        <w:t xml:space="preserve">дан именно к подготовленным для голосования участкам.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Также среди серьезных недостатков нормативной базы можно отметить отсутствие специальных составов в кодексе об админ</w:t>
      </w:r>
      <w:r w:rsidRPr="00EC1A78">
        <w:rPr>
          <w:rFonts w:eastAsiaTheme="minorHAnsi"/>
          <w:sz w:val="22"/>
          <w:szCs w:val="22"/>
          <w:lang w:eastAsia="en-US"/>
        </w:rPr>
        <w:t>и</w:t>
      </w:r>
      <w:r w:rsidRPr="00EC1A78">
        <w:rPr>
          <w:rFonts w:eastAsiaTheme="minorHAnsi"/>
          <w:sz w:val="22"/>
          <w:szCs w:val="22"/>
          <w:lang w:eastAsia="en-US"/>
        </w:rPr>
        <w:t>стративных правонарушениях Российской Федерации [5] и уголо</w:t>
      </w:r>
      <w:r w:rsidRPr="00EC1A78">
        <w:rPr>
          <w:rFonts w:eastAsiaTheme="minorHAnsi"/>
          <w:sz w:val="22"/>
          <w:szCs w:val="22"/>
          <w:lang w:eastAsia="en-US"/>
        </w:rPr>
        <w:t>в</w:t>
      </w:r>
      <w:r w:rsidRPr="00EC1A78">
        <w:rPr>
          <w:rFonts w:eastAsiaTheme="minorHAnsi"/>
          <w:sz w:val="22"/>
          <w:szCs w:val="22"/>
          <w:lang w:eastAsia="en-US"/>
        </w:rPr>
        <w:t>ном кодексе Российской Федерации [6] предусматривающих отве</w:t>
      </w:r>
      <w:r w:rsidRPr="00EC1A78">
        <w:rPr>
          <w:rFonts w:eastAsiaTheme="minorHAnsi"/>
          <w:sz w:val="22"/>
          <w:szCs w:val="22"/>
          <w:lang w:eastAsia="en-US"/>
        </w:rPr>
        <w:t>т</w:t>
      </w:r>
      <w:r w:rsidRPr="00EC1A78">
        <w:rPr>
          <w:rFonts w:eastAsiaTheme="minorHAnsi"/>
          <w:sz w:val="22"/>
          <w:szCs w:val="22"/>
          <w:lang w:eastAsia="en-US"/>
        </w:rPr>
        <w:t>ственность за препятствование осуществлению избирательных прав отдельных категорий граждан, как умышленное, так и в форме уклонения от исполнения обязанностей по обеспечению беспрепя</w:t>
      </w:r>
      <w:r w:rsidRPr="00EC1A78">
        <w:rPr>
          <w:rFonts w:eastAsiaTheme="minorHAnsi"/>
          <w:sz w:val="22"/>
          <w:szCs w:val="22"/>
          <w:lang w:eastAsia="en-US"/>
        </w:rPr>
        <w:t>т</w:t>
      </w:r>
      <w:r w:rsidRPr="00EC1A78">
        <w:rPr>
          <w:rFonts w:eastAsiaTheme="minorHAnsi"/>
          <w:sz w:val="22"/>
          <w:szCs w:val="22"/>
          <w:lang w:eastAsia="en-US"/>
        </w:rPr>
        <w:t xml:space="preserve">ственного доступа граждан на избирательные участки.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Ещё одной актуальной проблемой, касающейся реализации а</w:t>
      </w:r>
      <w:r w:rsidRPr="00EC1A78">
        <w:rPr>
          <w:rFonts w:eastAsiaTheme="minorHAnsi"/>
          <w:sz w:val="22"/>
          <w:szCs w:val="22"/>
          <w:lang w:eastAsia="en-US"/>
        </w:rPr>
        <w:t>к</w:t>
      </w:r>
      <w:r w:rsidRPr="00EC1A78">
        <w:rPr>
          <w:rFonts w:eastAsiaTheme="minorHAnsi"/>
          <w:sz w:val="22"/>
          <w:szCs w:val="22"/>
          <w:lang w:eastAsia="en-US"/>
        </w:rPr>
        <w:t>тивного избирательного права отдельных категорий граждан явл</w:t>
      </w:r>
      <w:r w:rsidRPr="00EC1A78">
        <w:rPr>
          <w:rFonts w:eastAsiaTheme="minorHAnsi"/>
          <w:sz w:val="22"/>
          <w:szCs w:val="22"/>
          <w:lang w:eastAsia="en-US"/>
        </w:rPr>
        <w:t>я</w:t>
      </w:r>
      <w:r w:rsidRPr="00EC1A78">
        <w:rPr>
          <w:rFonts w:eastAsiaTheme="minorHAnsi"/>
          <w:sz w:val="22"/>
          <w:szCs w:val="22"/>
          <w:lang w:eastAsia="en-US"/>
        </w:rPr>
        <w:t>ется ситуация сложившаяся вокруг голосования военнослужащих, проходящих военную службы по призыву не по месту своего ж</w:t>
      </w:r>
      <w:r w:rsidRPr="00EC1A78">
        <w:rPr>
          <w:rFonts w:eastAsiaTheme="minorHAnsi"/>
          <w:sz w:val="22"/>
          <w:szCs w:val="22"/>
          <w:lang w:eastAsia="en-US"/>
        </w:rPr>
        <w:t>и</w:t>
      </w:r>
      <w:r w:rsidRPr="00EC1A78">
        <w:rPr>
          <w:rFonts w:eastAsiaTheme="minorHAnsi"/>
          <w:sz w:val="22"/>
          <w:szCs w:val="22"/>
          <w:lang w:eastAsia="en-US"/>
        </w:rPr>
        <w:t>тельства, не включаются в список избирателей, участников реф</w:t>
      </w:r>
      <w:r w:rsidRPr="00EC1A78">
        <w:rPr>
          <w:rFonts w:eastAsiaTheme="minorHAnsi"/>
          <w:sz w:val="22"/>
          <w:szCs w:val="22"/>
          <w:lang w:eastAsia="en-US"/>
        </w:rPr>
        <w:t>е</w:t>
      </w:r>
      <w:r w:rsidRPr="00EC1A78">
        <w:rPr>
          <w:rFonts w:eastAsiaTheme="minorHAnsi"/>
          <w:sz w:val="22"/>
          <w:szCs w:val="22"/>
          <w:lang w:eastAsia="en-US"/>
        </w:rPr>
        <w:t>рендума, и не учитываются при определении числа избирателей при выборах в органы местного самоуправления, на местном рефере</w:t>
      </w:r>
      <w:r w:rsidRPr="00EC1A78">
        <w:rPr>
          <w:rFonts w:eastAsiaTheme="minorHAnsi"/>
          <w:sz w:val="22"/>
          <w:szCs w:val="22"/>
          <w:lang w:eastAsia="en-US"/>
        </w:rPr>
        <w:t>н</w:t>
      </w:r>
      <w:r w:rsidRPr="00EC1A78">
        <w:rPr>
          <w:rFonts w:eastAsiaTheme="minorHAnsi"/>
          <w:sz w:val="22"/>
          <w:szCs w:val="22"/>
          <w:lang w:eastAsia="en-US"/>
        </w:rPr>
        <w:t>думе. С одной стороны, очевидно, что военнослужащие гораздо теснее связаны непосредственно с воинской частью, чем с муниц</w:t>
      </w:r>
      <w:r w:rsidRPr="00EC1A78">
        <w:rPr>
          <w:rFonts w:eastAsiaTheme="minorHAnsi"/>
          <w:sz w:val="22"/>
          <w:szCs w:val="22"/>
          <w:lang w:eastAsia="en-US"/>
        </w:rPr>
        <w:t>и</w:t>
      </w:r>
      <w:r w:rsidRPr="00EC1A78">
        <w:rPr>
          <w:rFonts w:eastAsiaTheme="minorHAnsi"/>
          <w:sz w:val="22"/>
          <w:szCs w:val="22"/>
          <w:lang w:eastAsia="en-US"/>
        </w:rPr>
        <w:t>пальным образованием, на территории которого расположена вои</w:t>
      </w:r>
      <w:r w:rsidRPr="00EC1A78">
        <w:rPr>
          <w:rFonts w:eastAsiaTheme="minorHAnsi"/>
          <w:sz w:val="22"/>
          <w:szCs w:val="22"/>
          <w:lang w:eastAsia="en-US"/>
        </w:rPr>
        <w:t>н</w:t>
      </w:r>
      <w:r w:rsidRPr="00EC1A78">
        <w:rPr>
          <w:rFonts w:eastAsiaTheme="minorHAnsi"/>
          <w:sz w:val="22"/>
          <w:szCs w:val="22"/>
          <w:lang w:eastAsia="en-US"/>
        </w:rPr>
        <w:t>ская часть и, кроме этого, их пребывание на территории муниц</w:t>
      </w:r>
      <w:r w:rsidRPr="00EC1A78">
        <w:rPr>
          <w:rFonts w:eastAsiaTheme="minorHAnsi"/>
          <w:sz w:val="22"/>
          <w:szCs w:val="22"/>
          <w:lang w:eastAsia="en-US"/>
        </w:rPr>
        <w:t>и</w:t>
      </w:r>
      <w:r w:rsidRPr="00EC1A78">
        <w:rPr>
          <w:rFonts w:eastAsiaTheme="minorHAnsi"/>
          <w:sz w:val="22"/>
          <w:szCs w:val="22"/>
          <w:lang w:eastAsia="en-US"/>
        </w:rPr>
        <w:t>пального образования, как заранее известно, является временным, а местным жителям впоследствии придется жить с муниципальными властями, которые были избраны с участием фактически незаинт</w:t>
      </w:r>
      <w:r w:rsidRPr="00EC1A78">
        <w:rPr>
          <w:rFonts w:eastAsiaTheme="minorHAnsi"/>
          <w:sz w:val="22"/>
          <w:szCs w:val="22"/>
          <w:lang w:eastAsia="en-US"/>
        </w:rPr>
        <w:t>е</w:t>
      </w:r>
      <w:r w:rsidRPr="00EC1A78">
        <w:rPr>
          <w:rFonts w:eastAsiaTheme="minorHAnsi"/>
          <w:sz w:val="22"/>
          <w:szCs w:val="22"/>
          <w:lang w:eastAsia="en-US"/>
        </w:rPr>
        <w:t>ресованных в объективном выборе избирателями. С другой стор</w:t>
      </w:r>
      <w:r w:rsidRPr="00EC1A78">
        <w:rPr>
          <w:rFonts w:eastAsiaTheme="minorHAnsi"/>
          <w:sz w:val="22"/>
          <w:szCs w:val="22"/>
          <w:lang w:eastAsia="en-US"/>
        </w:rPr>
        <w:t>о</w:t>
      </w:r>
      <w:r w:rsidRPr="00EC1A78">
        <w:rPr>
          <w:rFonts w:eastAsiaTheme="minorHAnsi"/>
          <w:sz w:val="22"/>
          <w:szCs w:val="22"/>
          <w:lang w:eastAsia="en-US"/>
        </w:rPr>
        <w:t>ны, такое ограничение можно представить как препятствующее с</w:t>
      </w:r>
      <w:r w:rsidRPr="00EC1A78">
        <w:rPr>
          <w:rFonts w:eastAsiaTheme="minorHAnsi"/>
          <w:sz w:val="22"/>
          <w:szCs w:val="22"/>
          <w:lang w:eastAsia="en-US"/>
        </w:rPr>
        <w:t>о</w:t>
      </w:r>
      <w:r w:rsidRPr="00EC1A78">
        <w:rPr>
          <w:rFonts w:eastAsiaTheme="minorHAnsi"/>
          <w:sz w:val="22"/>
          <w:szCs w:val="22"/>
          <w:lang w:eastAsia="en-US"/>
        </w:rPr>
        <w:t>блюдению принципа равноправия. При этом в региональных выб</w:t>
      </w:r>
      <w:r w:rsidRPr="00EC1A78">
        <w:rPr>
          <w:rFonts w:eastAsiaTheme="minorHAnsi"/>
          <w:sz w:val="22"/>
          <w:szCs w:val="22"/>
          <w:lang w:eastAsia="en-US"/>
        </w:rPr>
        <w:t>о</w:t>
      </w:r>
      <w:r w:rsidRPr="00EC1A78">
        <w:rPr>
          <w:rFonts w:eastAsiaTheme="minorHAnsi"/>
          <w:sz w:val="22"/>
          <w:szCs w:val="22"/>
          <w:lang w:eastAsia="en-US"/>
        </w:rPr>
        <w:t>рах военнослужащие находящиеся в подобных условиях принимать участие могут. Целесообразным здесь представляется привести с</w:t>
      </w:r>
      <w:r w:rsidRPr="00EC1A78">
        <w:rPr>
          <w:rFonts w:eastAsiaTheme="minorHAnsi"/>
          <w:sz w:val="22"/>
          <w:szCs w:val="22"/>
          <w:lang w:eastAsia="en-US"/>
        </w:rPr>
        <w:t>и</w:t>
      </w:r>
      <w:r w:rsidRPr="00EC1A78">
        <w:rPr>
          <w:rFonts w:eastAsiaTheme="minorHAnsi"/>
          <w:sz w:val="22"/>
          <w:szCs w:val="22"/>
          <w:lang w:eastAsia="en-US"/>
        </w:rPr>
        <w:lastRenderedPageBreak/>
        <w:t>туацию к единообразию вне зависимости от того какое итоговое решение будет принято, разрешить военнослужащим принимать участие в местных выборах, или лишить их права принимать уч</w:t>
      </w:r>
      <w:r w:rsidRPr="00EC1A78">
        <w:rPr>
          <w:rFonts w:eastAsiaTheme="minorHAnsi"/>
          <w:sz w:val="22"/>
          <w:szCs w:val="22"/>
          <w:lang w:eastAsia="en-US"/>
        </w:rPr>
        <w:t>а</w:t>
      </w:r>
      <w:r w:rsidRPr="00EC1A78">
        <w:rPr>
          <w:rFonts w:eastAsiaTheme="minorHAnsi"/>
          <w:sz w:val="22"/>
          <w:szCs w:val="22"/>
          <w:lang w:eastAsia="en-US"/>
        </w:rPr>
        <w:t xml:space="preserve">стие в региональных. </w:t>
      </w:r>
    </w:p>
    <w:p w:rsidR="00EC1A78" w:rsidRPr="00EC1A78" w:rsidRDefault="00EC1A78" w:rsidP="00EC1A78">
      <w:pPr>
        <w:ind w:firstLine="426"/>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Постановление ЦИК России от 09.08.2017 № 96/832–7 «О Рекомендациях по обеспечению реализации избирательных прав граждан Российской Федерации, являющихся инвалидами, при пр</w:t>
      </w:r>
      <w:r w:rsidRPr="00EC1A78">
        <w:rPr>
          <w:rFonts w:eastAsiaTheme="minorHAnsi"/>
          <w:sz w:val="22"/>
          <w:szCs w:val="22"/>
          <w:lang w:eastAsia="en-US"/>
        </w:rPr>
        <w:t>о</w:t>
      </w:r>
      <w:r w:rsidRPr="00EC1A78">
        <w:rPr>
          <w:rFonts w:eastAsiaTheme="minorHAnsi"/>
          <w:sz w:val="22"/>
          <w:szCs w:val="22"/>
          <w:lang w:eastAsia="en-US"/>
        </w:rPr>
        <w:t xml:space="preserve">ведении выборов в Российской Федерации» // Вестник ЦИК России. – 2017. – № 9.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Конвенция о стандартах демократических выборов, избир</w:t>
      </w:r>
      <w:r w:rsidRPr="00EC1A78">
        <w:rPr>
          <w:rFonts w:eastAsiaTheme="minorHAnsi"/>
          <w:sz w:val="22"/>
          <w:szCs w:val="22"/>
          <w:lang w:eastAsia="en-US"/>
        </w:rPr>
        <w:t>а</w:t>
      </w:r>
      <w:r w:rsidRPr="00EC1A78">
        <w:rPr>
          <w:rFonts w:eastAsiaTheme="minorHAnsi"/>
          <w:sz w:val="22"/>
          <w:szCs w:val="22"/>
          <w:lang w:eastAsia="en-US"/>
        </w:rPr>
        <w:t>тельных прав и свобод в государствах–участниках Содружества Н</w:t>
      </w:r>
      <w:r w:rsidRPr="00EC1A78">
        <w:rPr>
          <w:rFonts w:eastAsiaTheme="minorHAnsi"/>
          <w:sz w:val="22"/>
          <w:szCs w:val="22"/>
          <w:lang w:eastAsia="en-US"/>
        </w:rPr>
        <w:t>е</w:t>
      </w:r>
      <w:r w:rsidRPr="00EC1A78">
        <w:rPr>
          <w:rFonts w:eastAsiaTheme="minorHAnsi"/>
          <w:sz w:val="22"/>
          <w:szCs w:val="22"/>
          <w:lang w:eastAsia="en-US"/>
        </w:rPr>
        <w:t>зависимых Государств (Заключена в г. Кишиневе 07.10.2002) // Бюллетень международных договоров. – 2006. – № 2. – С. 18 – 34.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Резолюция 61/106 Генеральной Ассамблеи от 13.12.2006 «Конвенция о правах инвалидов» // [Электронный ресурс] – URL: http: // www.un.org / ru / documents / decl_conv / conventions / disability.shtml</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Постановление МПА СНГ от 16.05.2011 г. № 36–13 «Рек</w:t>
      </w:r>
      <w:r w:rsidRPr="00EC1A78">
        <w:rPr>
          <w:rFonts w:eastAsiaTheme="minorHAnsi"/>
          <w:sz w:val="22"/>
          <w:szCs w:val="22"/>
          <w:lang w:eastAsia="en-US"/>
        </w:rPr>
        <w:t>о</w:t>
      </w:r>
      <w:r w:rsidRPr="00EC1A78">
        <w:rPr>
          <w:rFonts w:eastAsiaTheme="minorHAnsi"/>
          <w:sz w:val="22"/>
          <w:szCs w:val="22"/>
          <w:lang w:eastAsia="en-US"/>
        </w:rPr>
        <w:t>мендации по совершенствованию законодательства государств – участников МПА СНГ в соответствии с международными избир</w:t>
      </w:r>
      <w:r w:rsidRPr="00EC1A78">
        <w:rPr>
          <w:rFonts w:eastAsiaTheme="minorHAnsi"/>
          <w:sz w:val="22"/>
          <w:szCs w:val="22"/>
          <w:lang w:eastAsia="en-US"/>
        </w:rPr>
        <w:t>а</w:t>
      </w:r>
      <w:r w:rsidRPr="00EC1A78">
        <w:rPr>
          <w:rFonts w:eastAsiaTheme="minorHAnsi"/>
          <w:sz w:val="22"/>
          <w:szCs w:val="22"/>
          <w:lang w:eastAsia="en-US"/>
        </w:rPr>
        <w:t>тельными стандартами Межпарламентская Ассамблея государств – участников Содружества Независимых Государств, приложение к постановлению» // [Электронный ресурс] – URL: http: // cikrf.ru / international / docs / mpa_recomend.php</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Кодекс Российской Федерации об административных прав</w:t>
      </w:r>
      <w:r w:rsidRPr="00EC1A78">
        <w:rPr>
          <w:rFonts w:eastAsiaTheme="minorHAnsi"/>
          <w:sz w:val="22"/>
          <w:szCs w:val="22"/>
          <w:lang w:eastAsia="en-US"/>
        </w:rPr>
        <w:t>о</w:t>
      </w:r>
      <w:r w:rsidRPr="00EC1A78">
        <w:rPr>
          <w:rFonts w:eastAsiaTheme="minorHAnsi"/>
          <w:sz w:val="22"/>
          <w:szCs w:val="22"/>
          <w:lang w:eastAsia="en-US"/>
        </w:rPr>
        <w:t>нарушениях от 30.12.2001 № 195–ФЗ (ред. от 07.03.2018) // Росси</w:t>
      </w:r>
      <w:r w:rsidRPr="00EC1A78">
        <w:rPr>
          <w:rFonts w:eastAsiaTheme="minorHAnsi"/>
          <w:sz w:val="22"/>
          <w:szCs w:val="22"/>
          <w:lang w:eastAsia="en-US"/>
        </w:rPr>
        <w:t>й</w:t>
      </w:r>
      <w:r w:rsidRPr="00EC1A78">
        <w:rPr>
          <w:rFonts w:eastAsiaTheme="minorHAnsi"/>
          <w:sz w:val="22"/>
          <w:szCs w:val="22"/>
          <w:lang w:eastAsia="en-US"/>
        </w:rPr>
        <w:t>ская газета. – 2001. – № 256.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6. Уголовный кодекс Российской Федерации от 13.06.1996 № 63–ФЗ (ред. от 19.02.2018) // Собрание законодательства РФ. –1996. – № 25. – ст. 2954.</w:t>
      </w:r>
    </w:p>
    <w:p w:rsidR="00EC1A78" w:rsidRPr="00EC1A78" w:rsidRDefault="00EC1A78" w:rsidP="00EC1A78">
      <w:pPr>
        <w:rPr>
          <w:rFonts w:eastAsiaTheme="minorHAnsi"/>
          <w:sz w:val="22"/>
          <w:szCs w:val="22"/>
          <w:lang w:eastAsia="en-US"/>
        </w:rPr>
      </w:pPr>
    </w:p>
    <w:p w:rsidR="00EC1A78" w:rsidRDefault="00EC1A78" w:rsidP="00EC1A78">
      <w:pPr>
        <w:rPr>
          <w:rFonts w:eastAsiaTheme="minorHAnsi"/>
          <w:sz w:val="22"/>
          <w:szCs w:val="22"/>
          <w:lang w:eastAsia="en-US"/>
        </w:rPr>
      </w:pPr>
    </w:p>
    <w:p w:rsidR="00C56F2E" w:rsidRDefault="00C56F2E" w:rsidP="00EC1A78">
      <w:pPr>
        <w:rPr>
          <w:rFonts w:eastAsiaTheme="minorHAnsi"/>
          <w:sz w:val="22"/>
          <w:szCs w:val="22"/>
          <w:lang w:eastAsia="en-US"/>
        </w:rPr>
      </w:pPr>
    </w:p>
    <w:p w:rsidR="00C42DAC" w:rsidRDefault="00C42DAC" w:rsidP="00EC1A78">
      <w:pPr>
        <w:rPr>
          <w:rFonts w:eastAsiaTheme="minorHAnsi"/>
          <w:sz w:val="22"/>
          <w:szCs w:val="22"/>
          <w:lang w:eastAsia="en-US"/>
        </w:rPr>
      </w:pPr>
    </w:p>
    <w:p w:rsidR="00C42DAC" w:rsidRDefault="00C42DAC" w:rsidP="00EC1A78">
      <w:pPr>
        <w:rPr>
          <w:rFonts w:eastAsiaTheme="minorHAnsi"/>
          <w:sz w:val="22"/>
          <w:szCs w:val="22"/>
          <w:lang w:eastAsia="en-US"/>
        </w:rPr>
      </w:pPr>
    </w:p>
    <w:p w:rsidR="00C42DAC" w:rsidRPr="00EC1A78" w:rsidRDefault="00C42DAC"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343</w:t>
      </w:r>
    </w:p>
    <w:p w:rsidR="00EC1A78" w:rsidRPr="00EC1A78" w:rsidRDefault="00EC1A78" w:rsidP="00EC1A78">
      <w:pPr>
        <w:rPr>
          <w:rFonts w:eastAsiaTheme="minorHAnsi"/>
          <w:sz w:val="22"/>
          <w:szCs w:val="22"/>
          <w:lang w:eastAsia="en-US"/>
        </w:rPr>
      </w:pPr>
    </w:p>
    <w:p w:rsidR="00EC1A78" w:rsidRPr="00E62E4B" w:rsidRDefault="00EC1A78" w:rsidP="00EC1A78">
      <w:pPr>
        <w:jc w:val="center"/>
        <w:rPr>
          <w:rFonts w:eastAsiaTheme="minorHAnsi"/>
          <w:b/>
          <w:sz w:val="24"/>
          <w:szCs w:val="24"/>
          <w:lang w:val="en-US" w:eastAsia="en-US"/>
        </w:rPr>
      </w:pPr>
      <w:r w:rsidRPr="00EC1A78">
        <w:rPr>
          <w:rFonts w:eastAsiaTheme="minorHAnsi"/>
          <w:b/>
          <w:sz w:val="24"/>
          <w:szCs w:val="24"/>
          <w:lang w:eastAsia="en-US"/>
        </w:rPr>
        <w:t xml:space="preserve">Проблемные аспекты привлечения к уголовной </w:t>
      </w:r>
      <w:r w:rsidR="00C56F2E">
        <w:rPr>
          <w:rFonts w:eastAsiaTheme="minorHAnsi"/>
          <w:b/>
          <w:sz w:val="24"/>
          <w:szCs w:val="24"/>
          <w:lang w:eastAsia="en-US"/>
        </w:rPr>
        <w:br/>
      </w:r>
      <w:r w:rsidRPr="00EC1A78">
        <w:rPr>
          <w:rFonts w:eastAsiaTheme="minorHAnsi"/>
          <w:b/>
          <w:sz w:val="24"/>
          <w:szCs w:val="24"/>
          <w:lang w:eastAsia="en-US"/>
        </w:rPr>
        <w:t xml:space="preserve">ответственности за воспрепятствование оказанию </w:t>
      </w:r>
      <w:r w:rsidR="00C56F2E">
        <w:rPr>
          <w:rFonts w:eastAsiaTheme="minorHAnsi"/>
          <w:b/>
          <w:sz w:val="24"/>
          <w:szCs w:val="24"/>
          <w:lang w:eastAsia="en-US"/>
        </w:rPr>
        <w:br/>
      </w:r>
      <w:r w:rsidRPr="00EC1A78">
        <w:rPr>
          <w:rFonts w:eastAsiaTheme="minorHAnsi"/>
          <w:b/>
          <w:sz w:val="24"/>
          <w:szCs w:val="24"/>
          <w:lang w:eastAsia="en-US"/>
        </w:rPr>
        <w:t>медицинской</w:t>
      </w:r>
      <w:r w:rsidRPr="00E62E4B">
        <w:rPr>
          <w:rFonts w:eastAsiaTheme="minorHAnsi"/>
          <w:b/>
          <w:sz w:val="24"/>
          <w:szCs w:val="24"/>
          <w:lang w:val="en-US" w:eastAsia="en-US"/>
        </w:rPr>
        <w:t xml:space="preserve"> </w:t>
      </w:r>
      <w:r w:rsidRPr="00EC1A78">
        <w:rPr>
          <w:rFonts w:eastAsiaTheme="minorHAnsi"/>
          <w:b/>
          <w:sz w:val="24"/>
          <w:szCs w:val="24"/>
          <w:lang w:eastAsia="en-US"/>
        </w:rPr>
        <w:t>помощи</w:t>
      </w:r>
    </w:p>
    <w:p w:rsidR="00EC1A78" w:rsidRPr="00E62E4B"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problematic</w:t>
      </w:r>
      <w:r w:rsidRPr="00E62E4B">
        <w:rPr>
          <w:rFonts w:eastAsiaTheme="minorHAnsi"/>
          <w:b/>
          <w:sz w:val="24"/>
          <w:szCs w:val="24"/>
          <w:lang w:val="en-US" w:eastAsia="en-US"/>
        </w:rPr>
        <w:t xml:space="preserve"> </w:t>
      </w:r>
      <w:r w:rsidRPr="00EC1A78">
        <w:rPr>
          <w:rFonts w:eastAsiaTheme="minorHAnsi"/>
          <w:b/>
          <w:sz w:val="24"/>
          <w:szCs w:val="24"/>
          <w:lang w:val="en-US" w:eastAsia="en-US"/>
        </w:rPr>
        <w:t>aspects</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criminal</w:t>
      </w:r>
      <w:r w:rsidRPr="00E62E4B">
        <w:rPr>
          <w:rFonts w:eastAsiaTheme="minorHAnsi"/>
          <w:b/>
          <w:sz w:val="24"/>
          <w:szCs w:val="24"/>
          <w:lang w:val="en-US" w:eastAsia="en-US"/>
        </w:rPr>
        <w:t xml:space="preserve"> </w:t>
      </w:r>
      <w:r w:rsidRPr="00EC1A78">
        <w:rPr>
          <w:rFonts w:eastAsiaTheme="minorHAnsi"/>
          <w:b/>
          <w:sz w:val="24"/>
          <w:szCs w:val="24"/>
          <w:lang w:val="en-US" w:eastAsia="en-US"/>
        </w:rPr>
        <w:t>prosecution</w:t>
      </w:r>
      <w:r w:rsidRPr="00E62E4B">
        <w:rPr>
          <w:rFonts w:eastAsiaTheme="minorHAnsi"/>
          <w:b/>
          <w:sz w:val="24"/>
          <w:szCs w:val="24"/>
          <w:lang w:val="en-US" w:eastAsia="en-US"/>
        </w:rPr>
        <w:t xml:space="preserve"> </w:t>
      </w:r>
      <w:r w:rsidRPr="00EC1A78">
        <w:rPr>
          <w:rFonts w:eastAsiaTheme="minorHAnsi"/>
          <w:b/>
          <w:sz w:val="24"/>
          <w:szCs w:val="24"/>
          <w:lang w:val="en-US" w:eastAsia="en-US"/>
        </w:rPr>
        <w:t>for</w:t>
      </w:r>
      <w:r w:rsidRPr="00E62E4B">
        <w:rPr>
          <w:rFonts w:eastAsiaTheme="minorHAnsi"/>
          <w:b/>
          <w:sz w:val="24"/>
          <w:szCs w:val="24"/>
          <w:lang w:val="en-US" w:eastAsia="en-US"/>
        </w:rPr>
        <w:t xml:space="preserve"> </w:t>
      </w:r>
      <w:r w:rsidRPr="00EC1A78">
        <w:rPr>
          <w:rFonts w:eastAsiaTheme="minorHAnsi"/>
          <w:b/>
          <w:sz w:val="24"/>
          <w:szCs w:val="24"/>
          <w:lang w:val="en-US" w:eastAsia="en-US"/>
        </w:rPr>
        <w:t>obstru</w:t>
      </w:r>
      <w:r w:rsidRPr="00EC1A78">
        <w:rPr>
          <w:rFonts w:eastAsiaTheme="minorHAnsi"/>
          <w:b/>
          <w:sz w:val="24"/>
          <w:szCs w:val="24"/>
          <w:lang w:val="en-US" w:eastAsia="en-US"/>
        </w:rPr>
        <w:t>c</w:t>
      </w:r>
      <w:r w:rsidRPr="00EC1A78">
        <w:rPr>
          <w:rFonts w:eastAsiaTheme="minorHAnsi"/>
          <w:b/>
          <w:sz w:val="24"/>
          <w:szCs w:val="24"/>
          <w:lang w:val="en-US" w:eastAsia="en-US"/>
        </w:rPr>
        <w:t>tion</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medical</w:t>
      </w:r>
      <w:r w:rsidRPr="00E62E4B">
        <w:rPr>
          <w:rFonts w:eastAsiaTheme="minorHAnsi"/>
          <w:b/>
          <w:sz w:val="24"/>
          <w:szCs w:val="24"/>
          <w:lang w:val="en-US" w:eastAsia="en-US"/>
        </w:rPr>
        <w:t xml:space="preserve"> </w:t>
      </w:r>
      <w:r w:rsidRPr="00EC1A78">
        <w:rPr>
          <w:rFonts w:eastAsiaTheme="minorHAnsi"/>
          <w:b/>
          <w:sz w:val="24"/>
          <w:szCs w:val="24"/>
          <w:lang w:val="en-US" w:eastAsia="en-US"/>
        </w:rPr>
        <w:t>care</w:t>
      </w:r>
    </w:p>
    <w:p w:rsidR="00EC1A78" w:rsidRPr="00E62E4B" w:rsidRDefault="00EC1A78" w:rsidP="00EC1A78">
      <w:pPr>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Аветисян А.</w:t>
      </w:r>
      <w:r w:rsidR="00C56F2E">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Сильченко Е.</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56F2E">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изучены проблемные аспекты охраны уголо</w:t>
      </w:r>
      <w:r w:rsidRPr="00EC1A78">
        <w:rPr>
          <w:rFonts w:eastAsiaTheme="minorHAnsi"/>
          <w:sz w:val="22"/>
          <w:szCs w:val="22"/>
          <w:lang w:eastAsia="en-US"/>
        </w:rPr>
        <w:t>в</w:t>
      </w:r>
      <w:r w:rsidRPr="00EC1A78">
        <w:rPr>
          <w:rFonts w:eastAsiaTheme="minorHAnsi"/>
          <w:sz w:val="22"/>
          <w:szCs w:val="22"/>
          <w:lang w:eastAsia="en-US"/>
        </w:rPr>
        <w:t>ным законом медицинских работников.</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problem aspects of the protection of medical workers by criminal law have been studied.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уголовный кодекс, медицинская п</w:t>
      </w:r>
      <w:r w:rsidRPr="00EC1A78">
        <w:rPr>
          <w:rFonts w:eastAsiaTheme="minorHAnsi"/>
          <w:sz w:val="22"/>
          <w:szCs w:val="22"/>
          <w:lang w:eastAsia="en-US"/>
        </w:rPr>
        <w:t>о</w:t>
      </w:r>
      <w:r w:rsidRPr="00EC1A78">
        <w:rPr>
          <w:rFonts w:eastAsiaTheme="minorHAnsi"/>
          <w:sz w:val="22"/>
          <w:szCs w:val="22"/>
          <w:lang w:eastAsia="en-US"/>
        </w:rPr>
        <w:t>мощь, ответственность, воспрепятствование.</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criminal code, medical care, responsibility, obstru</w:t>
      </w:r>
      <w:r w:rsidRPr="00EC1A78">
        <w:rPr>
          <w:rFonts w:eastAsiaTheme="minorHAnsi"/>
          <w:sz w:val="22"/>
          <w:szCs w:val="22"/>
          <w:lang w:val="en-US" w:eastAsia="en-US"/>
        </w:rPr>
        <w:t>c</w:t>
      </w:r>
      <w:r w:rsidRPr="00EC1A78">
        <w:rPr>
          <w:rFonts w:eastAsiaTheme="minorHAnsi"/>
          <w:sz w:val="22"/>
          <w:szCs w:val="22"/>
          <w:lang w:val="en-US" w:eastAsia="en-US"/>
        </w:rPr>
        <w:t>tion.</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13 марта 2018 года в г. Сочи в приемном отделении одной из местных больниц пациентка напала на фельдшера скорой медици</w:t>
      </w:r>
      <w:r w:rsidRPr="00EC1A78">
        <w:rPr>
          <w:rFonts w:eastAsiaTheme="minorHAnsi"/>
          <w:sz w:val="22"/>
          <w:szCs w:val="22"/>
          <w:lang w:eastAsia="en-US"/>
        </w:rPr>
        <w:t>н</w:t>
      </w:r>
      <w:r w:rsidRPr="00EC1A78">
        <w:rPr>
          <w:rFonts w:eastAsiaTheme="minorHAnsi"/>
          <w:sz w:val="22"/>
          <w:szCs w:val="22"/>
          <w:lang w:eastAsia="en-US"/>
        </w:rPr>
        <w:t>ской помощи. Агрессивная пациентка напала на женщину сзади, несколько раз ударив по голове. И это далеко не единичный случай. Только в городе Сочи это уже третье происшествие такого рода за 2018 год. Данная проблема существует на протяжении нескольких лет. В связи с обострением общественных отношений, появилась необходимость внесения изменений в законодательство, для обе</w:t>
      </w:r>
      <w:r w:rsidRPr="00EC1A78">
        <w:rPr>
          <w:rFonts w:eastAsiaTheme="minorHAnsi"/>
          <w:sz w:val="22"/>
          <w:szCs w:val="22"/>
          <w:lang w:eastAsia="en-US"/>
        </w:rPr>
        <w:t>с</w:t>
      </w:r>
      <w:r w:rsidRPr="00EC1A78">
        <w:rPr>
          <w:rFonts w:eastAsiaTheme="minorHAnsi"/>
          <w:sz w:val="22"/>
          <w:szCs w:val="22"/>
          <w:lang w:eastAsia="en-US"/>
        </w:rPr>
        <w:t xml:space="preserve">печения безопасности граждан Российской Федерации.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27 октября 2016 года Министерством здравоохранения Росси</w:t>
      </w:r>
      <w:r w:rsidRPr="00EC1A78">
        <w:rPr>
          <w:rFonts w:eastAsiaTheme="minorHAnsi"/>
          <w:sz w:val="22"/>
          <w:szCs w:val="22"/>
          <w:lang w:eastAsia="en-US"/>
        </w:rPr>
        <w:t>й</w:t>
      </w:r>
      <w:r w:rsidRPr="00EC1A78">
        <w:rPr>
          <w:rFonts w:eastAsiaTheme="minorHAnsi"/>
          <w:sz w:val="22"/>
          <w:szCs w:val="22"/>
          <w:lang w:eastAsia="en-US"/>
        </w:rPr>
        <w:t>ской Федерации был зарегистрирован проект Федерального закона «О внесении изменений в Уголовный кодекс Российской Федер</w:t>
      </w:r>
      <w:r w:rsidRPr="00EC1A78">
        <w:rPr>
          <w:rFonts w:eastAsiaTheme="minorHAnsi"/>
          <w:sz w:val="22"/>
          <w:szCs w:val="22"/>
          <w:lang w:eastAsia="en-US"/>
        </w:rPr>
        <w:t>а</w:t>
      </w:r>
      <w:r w:rsidRPr="00EC1A78">
        <w:rPr>
          <w:rFonts w:eastAsiaTheme="minorHAnsi"/>
          <w:sz w:val="22"/>
          <w:szCs w:val="22"/>
          <w:lang w:eastAsia="en-US"/>
        </w:rPr>
        <w:t>ции»[1] внесения в главу 25 статьи 238</w:t>
      </w:r>
      <w:r w:rsidRPr="00EC1A78">
        <w:rPr>
          <w:rFonts w:eastAsiaTheme="minorHAnsi"/>
          <w:sz w:val="22"/>
          <w:szCs w:val="22"/>
          <w:vertAlign w:val="superscript"/>
          <w:lang w:eastAsia="en-US"/>
        </w:rPr>
        <w:t>2</w:t>
      </w:r>
      <w:r w:rsidRPr="00EC1A78">
        <w:rPr>
          <w:rFonts w:eastAsiaTheme="minorHAnsi"/>
          <w:sz w:val="22"/>
          <w:szCs w:val="22"/>
          <w:lang w:eastAsia="en-US"/>
        </w:rPr>
        <w:t xml:space="preserve"> «Посягательство на мед</w:t>
      </w:r>
      <w:r w:rsidRPr="00EC1A78">
        <w:rPr>
          <w:rFonts w:eastAsiaTheme="minorHAnsi"/>
          <w:sz w:val="22"/>
          <w:szCs w:val="22"/>
          <w:lang w:eastAsia="en-US"/>
        </w:rPr>
        <w:t>и</w:t>
      </w:r>
      <w:r w:rsidRPr="00EC1A78">
        <w:rPr>
          <w:rFonts w:eastAsiaTheme="minorHAnsi"/>
          <w:sz w:val="22"/>
          <w:szCs w:val="22"/>
          <w:lang w:eastAsia="en-US"/>
        </w:rPr>
        <w:lastRenderedPageBreak/>
        <w:t>цинского работника в связи с осуществлением профессиональных обязанностей по оказанию медицинской помощи».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Считаю, данное предложение актуальным и отвечающим соц</w:t>
      </w:r>
      <w:r w:rsidRPr="00EC1A78">
        <w:rPr>
          <w:rFonts w:eastAsiaTheme="minorHAnsi"/>
          <w:sz w:val="22"/>
          <w:szCs w:val="22"/>
          <w:lang w:eastAsia="en-US"/>
        </w:rPr>
        <w:t>и</w:t>
      </w:r>
      <w:r w:rsidRPr="00EC1A78">
        <w:rPr>
          <w:rFonts w:eastAsiaTheme="minorHAnsi"/>
          <w:sz w:val="22"/>
          <w:szCs w:val="22"/>
          <w:lang w:eastAsia="en-US"/>
        </w:rPr>
        <w:t>альным процессам в государстве. К тому же действующая редакция Уголовного кодекса Российской Федерации [2] содержит в главе 31 «Преступления против правосудия» статью 317 «Посягательство на жизнь сотрудника правоохранительного органа», которая устана</w:t>
      </w:r>
      <w:r w:rsidRPr="00EC1A78">
        <w:rPr>
          <w:rFonts w:eastAsiaTheme="minorHAnsi"/>
          <w:sz w:val="22"/>
          <w:szCs w:val="22"/>
          <w:lang w:eastAsia="en-US"/>
        </w:rPr>
        <w:t>в</w:t>
      </w:r>
      <w:r w:rsidRPr="00EC1A78">
        <w:rPr>
          <w:rFonts w:eastAsiaTheme="minorHAnsi"/>
          <w:sz w:val="22"/>
          <w:szCs w:val="22"/>
          <w:lang w:eastAsia="en-US"/>
        </w:rPr>
        <w:t>ливает отдельную меру наказания за осуществление противопра</w:t>
      </w:r>
      <w:r w:rsidRPr="00EC1A78">
        <w:rPr>
          <w:rFonts w:eastAsiaTheme="minorHAnsi"/>
          <w:sz w:val="22"/>
          <w:szCs w:val="22"/>
          <w:lang w:eastAsia="en-US"/>
        </w:rPr>
        <w:t>в</w:t>
      </w:r>
      <w:r w:rsidRPr="00EC1A78">
        <w:rPr>
          <w:rFonts w:eastAsiaTheme="minorHAnsi"/>
          <w:sz w:val="22"/>
          <w:szCs w:val="22"/>
          <w:lang w:eastAsia="en-US"/>
        </w:rPr>
        <w:t>ных действий в отношении сотрудника правоохранительного орг</w:t>
      </w:r>
      <w:r w:rsidRPr="00EC1A78">
        <w:rPr>
          <w:rFonts w:eastAsiaTheme="minorHAnsi"/>
          <w:sz w:val="22"/>
          <w:szCs w:val="22"/>
          <w:lang w:eastAsia="en-US"/>
        </w:rPr>
        <w:t>а</w:t>
      </w:r>
      <w:r w:rsidRPr="00EC1A78">
        <w:rPr>
          <w:rFonts w:eastAsiaTheme="minorHAnsi"/>
          <w:sz w:val="22"/>
          <w:szCs w:val="22"/>
          <w:lang w:eastAsia="en-US"/>
        </w:rPr>
        <w:t>на. По мнению законодателя, преступные действия в отношении сотрудника правоохранительного органа не могут квалифицир</w:t>
      </w:r>
      <w:r w:rsidRPr="00EC1A78">
        <w:rPr>
          <w:rFonts w:eastAsiaTheme="minorHAnsi"/>
          <w:sz w:val="22"/>
          <w:szCs w:val="22"/>
          <w:lang w:eastAsia="en-US"/>
        </w:rPr>
        <w:t>о</w:t>
      </w:r>
      <w:r w:rsidRPr="00EC1A78">
        <w:rPr>
          <w:rFonts w:eastAsiaTheme="minorHAnsi"/>
          <w:sz w:val="22"/>
          <w:szCs w:val="22"/>
          <w:lang w:eastAsia="en-US"/>
        </w:rPr>
        <w:t>ваться главой 16 УК РФ, и за умышленное причинение смерти с</w:t>
      </w:r>
      <w:r w:rsidRPr="00EC1A78">
        <w:rPr>
          <w:rFonts w:eastAsiaTheme="minorHAnsi"/>
          <w:sz w:val="22"/>
          <w:szCs w:val="22"/>
          <w:lang w:eastAsia="en-US"/>
        </w:rPr>
        <w:t>о</w:t>
      </w:r>
      <w:r w:rsidRPr="00EC1A78">
        <w:rPr>
          <w:rFonts w:eastAsiaTheme="minorHAnsi"/>
          <w:sz w:val="22"/>
          <w:szCs w:val="22"/>
          <w:lang w:eastAsia="en-US"/>
        </w:rPr>
        <w:t>труднику правоохранительного органа, мера наказания, устано</w:t>
      </w:r>
      <w:r w:rsidRPr="00EC1A78">
        <w:rPr>
          <w:rFonts w:eastAsiaTheme="minorHAnsi"/>
          <w:sz w:val="22"/>
          <w:szCs w:val="22"/>
          <w:lang w:eastAsia="en-US"/>
        </w:rPr>
        <w:t>в</w:t>
      </w:r>
      <w:r w:rsidRPr="00EC1A78">
        <w:rPr>
          <w:rFonts w:eastAsiaTheme="minorHAnsi"/>
          <w:sz w:val="22"/>
          <w:szCs w:val="22"/>
          <w:lang w:eastAsia="en-US"/>
        </w:rPr>
        <w:t>ленная статьей 105 УК РФ является  недостаточной. В связи с этим поддерживаем внесение изменений в уголовный кодекс, которые выделят общественно опасные действия в адрес медицинского р</w:t>
      </w:r>
      <w:r w:rsidRPr="00EC1A78">
        <w:rPr>
          <w:rFonts w:eastAsiaTheme="minorHAnsi"/>
          <w:sz w:val="22"/>
          <w:szCs w:val="22"/>
          <w:lang w:eastAsia="en-US"/>
        </w:rPr>
        <w:t>а</w:t>
      </w:r>
      <w:r w:rsidRPr="00EC1A78">
        <w:rPr>
          <w:rFonts w:eastAsiaTheme="minorHAnsi"/>
          <w:sz w:val="22"/>
          <w:szCs w:val="22"/>
          <w:lang w:eastAsia="en-US"/>
        </w:rPr>
        <w:t>ботника как специальный состав преступления. На врача возложены такие же необходимые обществу и государству обязанности, как и на сотрудника правоохранительного органа. Если второму необх</w:t>
      </w:r>
      <w:r w:rsidRPr="00EC1A78">
        <w:rPr>
          <w:rFonts w:eastAsiaTheme="minorHAnsi"/>
          <w:sz w:val="22"/>
          <w:szCs w:val="22"/>
          <w:lang w:eastAsia="en-US"/>
        </w:rPr>
        <w:t>о</w:t>
      </w:r>
      <w:r w:rsidRPr="00EC1A78">
        <w:rPr>
          <w:rFonts w:eastAsiaTheme="minorHAnsi"/>
          <w:sz w:val="22"/>
          <w:szCs w:val="22"/>
          <w:lang w:eastAsia="en-US"/>
        </w:rPr>
        <w:t>димо охранять и защищать право, то от первого требуется охрана и защита жизни и здоровья человека. Законопроект предлагает внести статью 238</w:t>
      </w:r>
      <w:r w:rsidRPr="00EC1A78">
        <w:rPr>
          <w:rFonts w:eastAsiaTheme="minorHAnsi"/>
          <w:sz w:val="22"/>
          <w:szCs w:val="22"/>
          <w:vertAlign w:val="superscript"/>
          <w:lang w:eastAsia="en-US"/>
        </w:rPr>
        <w:t xml:space="preserve">2 </w:t>
      </w:r>
      <w:r w:rsidRPr="00EC1A78">
        <w:rPr>
          <w:rFonts w:eastAsiaTheme="minorHAnsi"/>
          <w:sz w:val="22"/>
          <w:szCs w:val="22"/>
          <w:lang w:eastAsia="en-US"/>
        </w:rPr>
        <w:t>в главу 25 «Преступления против здоровья населения и общественной нравственности», что не нарушает структуры уг</w:t>
      </w:r>
      <w:r w:rsidRPr="00EC1A78">
        <w:rPr>
          <w:rFonts w:eastAsiaTheme="minorHAnsi"/>
          <w:sz w:val="22"/>
          <w:szCs w:val="22"/>
          <w:lang w:eastAsia="en-US"/>
        </w:rPr>
        <w:t>о</w:t>
      </w:r>
      <w:r w:rsidRPr="00EC1A78">
        <w:rPr>
          <w:rFonts w:eastAsiaTheme="minorHAnsi"/>
          <w:sz w:val="22"/>
          <w:szCs w:val="22"/>
          <w:lang w:eastAsia="en-US"/>
        </w:rPr>
        <w:t>ловного кодекса.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Напомню, что статья 41 Конституции Российской Федерации [3] гарантирует каждому право на охрану здоровья и медицинскую помощь. Участившиеся случаи нападения на медицинских работн</w:t>
      </w:r>
      <w:r w:rsidRPr="00EC1A78">
        <w:rPr>
          <w:rFonts w:eastAsiaTheme="minorHAnsi"/>
          <w:sz w:val="22"/>
          <w:szCs w:val="22"/>
          <w:lang w:eastAsia="en-US"/>
        </w:rPr>
        <w:t>и</w:t>
      </w:r>
      <w:r w:rsidRPr="00EC1A78">
        <w:rPr>
          <w:rFonts w:eastAsiaTheme="minorHAnsi"/>
          <w:sz w:val="22"/>
          <w:szCs w:val="22"/>
          <w:lang w:eastAsia="en-US"/>
        </w:rPr>
        <w:t>ков при оказании ими медицинской помощи пациентам влекут зн</w:t>
      </w:r>
      <w:r w:rsidRPr="00EC1A78">
        <w:rPr>
          <w:rFonts w:eastAsiaTheme="minorHAnsi"/>
          <w:sz w:val="22"/>
          <w:szCs w:val="22"/>
          <w:lang w:eastAsia="en-US"/>
        </w:rPr>
        <w:t>а</w:t>
      </w:r>
      <w:r w:rsidRPr="00EC1A78">
        <w:rPr>
          <w:rFonts w:eastAsiaTheme="minorHAnsi"/>
          <w:sz w:val="22"/>
          <w:szCs w:val="22"/>
          <w:lang w:eastAsia="en-US"/>
        </w:rPr>
        <w:t>чительное снижение доступности медицинской помощи. Постр</w:t>
      </w:r>
      <w:r w:rsidRPr="00EC1A78">
        <w:rPr>
          <w:rFonts w:eastAsiaTheme="minorHAnsi"/>
          <w:sz w:val="22"/>
          <w:szCs w:val="22"/>
          <w:lang w:eastAsia="en-US"/>
        </w:rPr>
        <w:t>а</w:t>
      </w:r>
      <w:r w:rsidRPr="00EC1A78">
        <w:rPr>
          <w:rFonts w:eastAsiaTheme="minorHAnsi"/>
          <w:sz w:val="22"/>
          <w:szCs w:val="22"/>
          <w:lang w:eastAsia="en-US"/>
        </w:rPr>
        <w:t>давший в результате нападения медицинский работник лишается возможности оказать необходимую, нередко неотложную, мед</w:t>
      </w:r>
      <w:r w:rsidRPr="00EC1A78">
        <w:rPr>
          <w:rFonts w:eastAsiaTheme="minorHAnsi"/>
          <w:sz w:val="22"/>
          <w:szCs w:val="22"/>
          <w:lang w:eastAsia="en-US"/>
        </w:rPr>
        <w:t>и</w:t>
      </w:r>
      <w:r w:rsidRPr="00EC1A78">
        <w:rPr>
          <w:rFonts w:eastAsiaTheme="minorHAnsi"/>
          <w:sz w:val="22"/>
          <w:szCs w:val="22"/>
          <w:lang w:eastAsia="en-US"/>
        </w:rPr>
        <w:t>цинскую помощь нуждающемуся в ней человеку. В ряде муницип</w:t>
      </w:r>
      <w:r w:rsidRPr="00EC1A78">
        <w:rPr>
          <w:rFonts w:eastAsiaTheme="minorHAnsi"/>
          <w:sz w:val="22"/>
          <w:szCs w:val="22"/>
          <w:lang w:eastAsia="en-US"/>
        </w:rPr>
        <w:t>а</w:t>
      </w:r>
      <w:r w:rsidRPr="00EC1A78">
        <w:rPr>
          <w:rFonts w:eastAsiaTheme="minorHAnsi"/>
          <w:sz w:val="22"/>
          <w:szCs w:val="22"/>
          <w:lang w:eastAsia="en-US"/>
        </w:rPr>
        <w:t>литетов пострадавший медицинский работник является единстве</w:t>
      </w:r>
      <w:r w:rsidRPr="00EC1A78">
        <w:rPr>
          <w:rFonts w:eastAsiaTheme="minorHAnsi"/>
          <w:sz w:val="22"/>
          <w:szCs w:val="22"/>
          <w:lang w:eastAsia="en-US"/>
        </w:rPr>
        <w:t>н</w:t>
      </w:r>
      <w:r w:rsidRPr="00EC1A78">
        <w:rPr>
          <w:rFonts w:eastAsiaTheme="minorHAnsi"/>
          <w:sz w:val="22"/>
          <w:szCs w:val="22"/>
          <w:lang w:eastAsia="en-US"/>
        </w:rPr>
        <w:t>ным профессионалом, способным оказать медицинскую помощь в конкретном населенном пункте. В таких случаях преступлением под угрозу ставится не только здоровье или жизнь самого медици</w:t>
      </w:r>
      <w:r w:rsidRPr="00EC1A78">
        <w:rPr>
          <w:rFonts w:eastAsiaTheme="minorHAnsi"/>
          <w:sz w:val="22"/>
          <w:szCs w:val="22"/>
          <w:lang w:eastAsia="en-US"/>
        </w:rPr>
        <w:t>н</w:t>
      </w:r>
      <w:r w:rsidRPr="00EC1A78">
        <w:rPr>
          <w:rFonts w:eastAsiaTheme="minorHAnsi"/>
          <w:sz w:val="22"/>
          <w:szCs w:val="22"/>
          <w:lang w:eastAsia="en-US"/>
        </w:rPr>
        <w:t>ского работника или отдельного пациента, но и здоровье неопред</w:t>
      </w:r>
      <w:r w:rsidRPr="00EC1A78">
        <w:rPr>
          <w:rFonts w:eastAsiaTheme="minorHAnsi"/>
          <w:sz w:val="22"/>
          <w:szCs w:val="22"/>
          <w:lang w:eastAsia="en-US"/>
        </w:rPr>
        <w:t>е</w:t>
      </w:r>
      <w:r w:rsidRPr="00EC1A78">
        <w:rPr>
          <w:rFonts w:eastAsiaTheme="minorHAnsi"/>
          <w:sz w:val="22"/>
          <w:szCs w:val="22"/>
          <w:lang w:eastAsia="en-US"/>
        </w:rPr>
        <w:t>ленного числа жителей населенного пункта, лишенных возможн</w:t>
      </w:r>
      <w:r w:rsidRPr="00EC1A78">
        <w:rPr>
          <w:rFonts w:eastAsiaTheme="minorHAnsi"/>
          <w:sz w:val="22"/>
          <w:szCs w:val="22"/>
          <w:lang w:eastAsia="en-US"/>
        </w:rPr>
        <w:t>о</w:t>
      </w:r>
      <w:r w:rsidRPr="00EC1A78">
        <w:rPr>
          <w:rFonts w:eastAsiaTheme="minorHAnsi"/>
          <w:sz w:val="22"/>
          <w:szCs w:val="22"/>
          <w:lang w:eastAsia="en-US"/>
        </w:rPr>
        <w:lastRenderedPageBreak/>
        <w:t>сти получить необходимую, иногда неотложную, медицинскую п</w:t>
      </w:r>
      <w:r w:rsidRPr="00EC1A78">
        <w:rPr>
          <w:rFonts w:eastAsiaTheme="minorHAnsi"/>
          <w:sz w:val="22"/>
          <w:szCs w:val="22"/>
          <w:lang w:eastAsia="en-US"/>
        </w:rPr>
        <w:t>о</w:t>
      </w:r>
      <w:r w:rsidRPr="00EC1A78">
        <w:rPr>
          <w:rFonts w:eastAsiaTheme="minorHAnsi"/>
          <w:sz w:val="22"/>
          <w:szCs w:val="22"/>
          <w:lang w:eastAsia="en-US"/>
        </w:rPr>
        <w:t>мощь, что существенно увеличивает общественную опасность т</w:t>
      </w:r>
      <w:r w:rsidRPr="00EC1A78">
        <w:rPr>
          <w:rFonts w:eastAsiaTheme="minorHAnsi"/>
          <w:sz w:val="22"/>
          <w:szCs w:val="22"/>
          <w:lang w:eastAsia="en-US"/>
        </w:rPr>
        <w:t>а</w:t>
      </w:r>
      <w:r w:rsidRPr="00EC1A78">
        <w:rPr>
          <w:rFonts w:eastAsiaTheme="minorHAnsi"/>
          <w:sz w:val="22"/>
          <w:szCs w:val="22"/>
          <w:lang w:eastAsia="en-US"/>
        </w:rPr>
        <w:t>ких посягательств. Таким образом, нападение на медицинских р</w:t>
      </w:r>
      <w:r w:rsidRPr="00EC1A78">
        <w:rPr>
          <w:rFonts w:eastAsiaTheme="minorHAnsi"/>
          <w:sz w:val="22"/>
          <w:szCs w:val="22"/>
          <w:lang w:eastAsia="en-US"/>
        </w:rPr>
        <w:t>а</w:t>
      </w:r>
      <w:r w:rsidRPr="00EC1A78">
        <w:rPr>
          <w:rFonts w:eastAsiaTheme="minorHAnsi"/>
          <w:sz w:val="22"/>
          <w:szCs w:val="22"/>
          <w:lang w:eastAsia="en-US"/>
        </w:rPr>
        <w:t>ботников, выполняющих свои профессиональные обязанности, о</w:t>
      </w:r>
      <w:r w:rsidRPr="00EC1A78">
        <w:rPr>
          <w:rFonts w:eastAsiaTheme="minorHAnsi"/>
          <w:sz w:val="22"/>
          <w:szCs w:val="22"/>
          <w:lang w:eastAsia="en-US"/>
        </w:rPr>
        <w:t>б</w:t>
      </w:r>
      <w:r w:rsidRPr="00EC1A78">
        <w:rPr>
          <w:rFonts w:eastAsiaTheme="minorHAnsi"/>
          <w:sz w:val="22"/>
          <w:szCs w:val="22"/>
          <w:lang w:eastAsia="en-US"/>
        </w:rPr>
        <w:t>ладает повышенной общественной опасностью, обусловленной, в том числе, снижением доступности медицинской помощи в связи с особым статусом потерпевших. Также, выскажу предложение о необходимости установления в уголовном законодательстве нормы, предусматривающей ответственность за воспрепятствование оказ</w:t>
      </w:r>
      <w:r w:rsidRPr="00EC1A78">
        <w:rPr>
          <w:rFonts w:eastAsiaTheme="minorHAnsi"/>
          <w:sz w:val="22"/>
          <w:szCs w:val="22"/>
          <w:lang w:eastAsia="en-US"/>
        </w:rPr>
        <w:t>а</w:t>
      </w:r>
      <w:r w:rsidRPr="00EC1A78">
        <w:rPr>
          <w:rFonts w:eastAsiaTheme="minorHAnsi"/>
          <w:sz w:val="22"/>
          <w:szCs w:val="22"/>
          <w:lang w:eastAsia="en-US"/>
        </w:rPr>
        <w:t>нию медицинской помощи путем удержания, угроз, создания пр</w:t>
      </w:r>
      <w:r w:rsidRPr="00EC1A78">
        <w:rPr>
          <w:rFonts w:eastAsiaTheme="minorHAnsi"/>
          <w:sz w:val="22"/>
          <w:szCs w:val="22"/>
          <w:lang w:eastAsia="en-US"/>
        </w:rPr>
        <w:t>е</w:t>
      </w:r>
      <w:r w:rsidRPr="00EC1A78">
        <w:rPr>
          <w:rFonts w:eastAsiaTheme="minorHAnsi"/>
          <w:sz w:val="22"/>
          <w:szCs w:val="22"/>
          <w:lang w:eastAsia="en-US"/>
        </w:rPr>
        <w:t>пятствий по доступу к больному, в случае если деяние повлекло причинение средней тяжести или тяжкого вреда здоровью больного или смерть потерпевшего. В случае, если преступные действия по воспрепятствованию оказания медицинской помощи будут сопр</w:t>
      </w:r>
      <w:r w:rsidRPr="00EC1A78">
        <w:rPr>
          <w:rFonts w:eastAsiaTheme="minorHAnsi"/>
          <w:sz w:val="22"/>
          <w:szCs w:val="22"/>
          <w:lang w:eastAsia="en-US"/>
        </w:rPr>
        <w:t>я</w:t>
      </w:r>
      <w:r w:rsidRPr="00EC1A78">
        <w:rPr>
          <w:rFonts w:eastAsiaTheme="minorHAnsi"/>
          <w:sz w:val="22"/>
          <w:szCs w:val="22"/>
          <w:lang w:eastAsia="en-US"/>
        </w:rPr>
        <w:t>жены с причинением вреда здоровью медицинского работника, кв</w:t>
      </w:r>
      <w:r w:rsidRPr="00EC1A78">
        <w:rPr>
          <w:rFonts w:eastAsiaTheme="minorHAnsi"/>
          <w:sz w:val="22"/>
          <w:szCs w:val="22"/>
          <w:lang w:eastAsia="en-US"/>
        </w:rPr>
        <w:t>а</w:t>
      </w:r>
      <w:r w:rsidRPr="00EC1A78">
        <w:rPr>
          <w:rFonts w:eastAsiaTheme="minorHAnsi"/>
          <w:sz w:val="22"/>
          <w:szCs w:val="22"/>
          <w:lang w:eastAsia="en-US"/>
        </w:rPr>
        <w:t>лификация деяния будет осуществляться по совокупности престу</w:t>
      </w:r>
      <w:r w:rsidRPr="00EC1A78">
        <w:rPr>
          <w:rFonts w:eastAsiaTheme="minorHAnsi"/>
          <w:sz w:val="22"/>
          <w:szCs w:val="22"/>
          <w:lang w:eastAsia="en-US"/>
        </w:rPr>
        <w:t>п</w:t>
      </w:r>
      <w:r w:rsidRPr="00EC1A78">
        <w:rPr>
          <w:rFonts w:eastAsiaTheme="minorHAnsi"/>
          <w:sz w:val="22"/>
          <w:szCs w:val="22"/>
          <w:lang w:eastAsia="en-US"/>
        </w:rPr>
        <w:t>лений. Установление уголовной ответственности за воспрепятств</w:t>
      </w:r>
      <w:r w:rsidRPr="00EC1A78">
        <w:rPr>
          <w:rFonts w:eastAsiaTheme="minorHAnsi"/>
          <w:sz w:val="22"/>
          <w:szCs w:val="22"/>
          <w:lang w:eastAsia="en-US"/>
        </w:rPr>
        <w:t>о</w:t>
      </w:r>
      <w:r w:rsidRPr="00EC1A78">
        <w:rPr>
          <w:rFonts w:eastAsiaTheme="minorHAnsi"/>
          <w:sz w:val="22"/>
          <w:szCs w:val="22"/>
          <w:lang w:eastAsia="en-US"/>
        </w:rPr>
        <w:t>вание законной деятельности врача соответствует степени общ</w:t>
      </w:r>
      <w:r w:rsidRPr="00EC1A78">
        <w:rPr>
          <w:rFonts w:eastAsiaTheme="minorHAnsi"/>
          <w:sz w:val="22"/>
          <w:szCs w:val="22"/>
          <w:lang w:eastAsia="en-US"/>
        </w:rPr>
        <w:t>е</w:t>
      </w:r>
      <w:r w:rsidRPr="00EC1A78">
        <w:rPr>
          <w:rFonts w:eastAsiaTheme="minorHAnsi"/>
          <w:sz w:val="22"/>
          <w:szCs w:val="22"/>
          <w:lang w:eastAsia="en-US"/>
        </w:rPr>
        <w:t>ственной опасности деяния, имеет упреждающее и профилактич</w:t>
      </w:r>
      <w:r w:rsidRPr="00EC1A78">
        <w:rPr>
          <w:rFonts w:eastAsiaTheme="minorHAnsi"/>
          <w:sz w:val="22"/>
          <w:szCs w:val="22"/>
          <w:lang w:eastAsia="en-US"/>
        </w:rPr>
        <w:t>е</w:t>
      </w:r>
      <w:r w:rsidRPr="00EC1A78">
        <w:rPr>
          <w:rFonts w:eastAsiaTheme="minorHAnsi"/>
          <w:sz w:val="22"/>
          <w:szCs w:val="22"/>
          <w:lang w:eastAsia="en-US"/>
        </w:rPr>
        <w:t>ское значение, формирует ответственную оценку поведения и де</w:t>
      </w:r>
      <w:r w:rsidRPr="00EC1A78">
        <w:rPr>
          <w:rFonts w:eastAsiaTheme="minorHAnsi"/>
          <w:sz w:val="22"/>
          <w:szCs w:val="22"/>
          <w:lang w:eastAsia="en-US"/>
        </w:rPr>
        <w:t>й</w:t>
      </w:r>
      <w:r w:rsidRPr="00EC1A78">
        <w:rPr>
          <w:rFonts w:eastAsiaTheme="minorHAnsi"/>
          <w:sz w:val="22"/>
          <w:szCs w:val="22"/>
          <w:lang w:eastAsia="en-US"/>
        </w:rPr>
        <w:t>ствий в отношении медицинских работников, является фактором правовой защиты и пациентов, и медицинских работников. В сов</w:t>
      </w:r>
      <w:r w:rsidRPr="00EC1A78">
        <w:rPr>
          <w:rFonts w:eastAsiaTheme="minorHAnsi"/>
          <w:sz w:val="22"/>
          <w:szCs w:val="22"/>
          <w:lang w:eastAsia="en-US"/>
        </w:rPr>
        <w:t>о</w:t>
      </w:r>
      <w:r w:rsidRPr="00EC1A78">
        <w:rPr>
          <w:rFonts w:eastAsiaTheme="minorHAnsi"/>
          <w:sz w:val="22"/>
          <w:szCs w:val="22"/>
          <w:lang w:eastAsia="en-US"/>
        </w:rPr>
        <w:t>купности, данные изменения в законодательстве, должны повысить правосознательность граждан России и снизить количество нар</w:t>
      </w:r>
      <w:r w:rsidRPr="00EC1A78">
        <w:rPr>
          <w:rFonts w:eastAsiaTheme="minorHAnsi"/>
          <w:sz w:val="22"/>
          <w:szCs w:val="22"/>
          <w:lang w:eastAsia="en-US"/>
        </w:rPr>
        <w:t>у</w:t>
      </w:r>
      <w:r w:rsidRPr="00EC1A78">
        <w:rPr>
          <w:rFonts w:eastAsiaTheme="minorHAnsi"/>
          <w:sz w:val="22"/>
          <w:szCs w:val="22"/>
          <w:lang w:eastAsia="en-US"/>
        </w:rPr>
        <w:t>шений, а точнее сказать, преступлений в данном сегменте общ</w:t>
      </w:r>
      <w:r w:rsidRPr="00EC1A78">
        <w:rPr>
          <w:rFonts w:eastAsiaTheme="minorHAnsi"/>
          <w:sz w:val="22"/>
          <w:szCs w:val="22"/>
          <w:lang w:eastAsia="en-US"/>
        </w:rPr>
        <w:t>е</w:t>
      </w:r>
      <w:r w:rsidRPr="00EC1A78">
        <w:rPr>
          <w:rFonts w:eastAsiaTheme="minorHAnsi"/>
          <w:sz w:val="22"/>
          <w:szCs w:val="22"/>
          <w:lang w:eastAsia="en-US"/>
        </w:rPr>
        <w:t xml:space="preserve">ственной жизни.  </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val="en-US" w:eastAsia="en-US"/>
        </w:rPr>
        <w:t>C</w:t>
      </w:r>
      <w:r w:rsidRPr="00EC1A78">
        <w:rPr>
          <w:rFonts w:eastAsiaTheme="minorHAnsi"/>
          <w:sz w:val="22"/>
          <w:szCs w:val="22"/>
          <w:lang w:eastAsia="en-US"/>
        </w:rPr>
        <w:t>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О внесении изменений в Уголовный кодекс Российской Ф</w:t>
      </w:r>
      <w:r w:rsidRPr="00EC1A78">
        <w:rPr>
          <w:rFonts w:eastAsiaTheme="minorHAnsi"/>
          <w:sz w:val="22"/>
          <w:szCs w:val="22"/>
          <w:lang w:eastAsia="en-US"/>
        </w:rPr>
        <w:t>е</w:t>
      </w:r>
      <w:r w:rsidRPr="00EC1A78">
        <w:rPr>
          <w:rFonts w:eastAsiaTheme="minorHAnsi"/>
          <w:sz w:val="22"/>
          <w:szCs w:val="22"/>
          <w:lang w:eastAsia="en-US"/>
        </w:rPr>
        <w:t>дерации/ http://regulation.gov.ru/projects#npa=57382.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Уголовный кодекс Российской Федерации от 13.06.1996 № 63–ФЗ (ред. от 19.02.2018).</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Конституция Российской Федерации (принята всенародным голосованием 12.12.1993).</w:t>
      </w:r>
    </w:p>
    <w:p w:rsidR="00EC1A78" w:rsidRDefault="00EC1A78" w:rsidP="00EC1A78">
      <w:pPr>
        <w:ind w:firstLine="426"/>
        <w:jc w:val="both"/>
        <w:rPr>
          <w:rFonts w:eastAsiaTheme="minorHAnsi"/>
          <w:sz w:val="22"/>
          <w:szCs w:val="22"/>
          <w:lang w:eastAsia="en-US"/>
        </w:rPr>
      </w:pPr>
    </w:p>
    <w:p w:rsidR="00C56F2E" w:rsidRDefault="00C56F2E" w:rsidP="00EC1A78">
      <w:pPr>
        <w:ind w:firstLine="426"/>
        <w:jc w:val="both"/>
        <w:rPr>
          <w:rFonts w:eastAsiaTheme="minorHAnsi"/>
          <w:sz w:val="22"/>
          <w:szCs w:val="22"/>
          <w:lang w:eastAsia="en-US"/>
        </w:rPr>
      </w:pPr>
    </w:p>
    <w:p w:rsidR="00C56F2E" w:rsidRDefault="00C56F2E" w:rsidP="00EC1A78">
      <w:pPr>
        <w:ind w:firstLine="426"/>
        <w:jc w:val="both"/>
        <w:rPr>
          <w:rFonts w:eastAsiaTheme="minorHAnsi"/>
          <w:sz w:val="22"/>
          <w:szCs w:val="22"/>
          <w:lang w:eastAsia="en-US"/>
        </w:rPr>
      </w:pPr>
    </w:p>
    <w:p w:rsidR="00C42DAC" w:rsidRPr="00EC1A78" w:rsidRDefault="00C42DAC" w:rsidP="00AB6A0E">
      <w:pPr>
        <w:jc w:val="both"/>
        <w:rPr>
          <w:rFonts w:eastAsiaTheme="minorHAnsi"/>
          <w:sz w:val="22"/>
          <w:szCs w:val="22"/>
          <w:lang w:eastAsia="en-US"/>
        </w:rPr>
      </w:pPr>
    </w:p>
    <w:p w:rsidR="00EC1A78" w:rsidRPr="00EC1A78" w:rsidRDefault="00EC1A78" w:rsidP="00EC1A78">
      <w:pPr>
        <w:jc w:val="both"/>
        <w:rPr>
          <w:rFonts w:eastAsia="Calibri"/>
          <w:sz w:val="22"/>
          <w:szCs w:val="22"/>
          <w:lang w:eastAsia="en-US"/>
        </w:rPr>
      </w:pPr>
      <w:r w:rsidRPr="00EC1A78">
        <w:rPr>
          <w:rFonts w:eastAsia="Calibri"/>
          <w:sz w:val="22"/>
          <w:szCs w:val="22"/>
          <w:lang w:eastAsia="en-US"/>
        </w:rPr>
        <w:lastRenderedPageBreak/>
        <w:t>УДК 347</w:t>
      </w:r>
    </w:p>
    <w:p w:rsidR="00EC1A78" w:rsidRPr="00EC1A78" w:rsidRDefault="00EC1A78" w:rsidP="00EC1A78">
      <w:pPr>
        <w:ind w:firstLine="425"/>
        <w:jc w:val="center"/>
        <w:rPr>
          <w:rFonts w:eastAsiaTheme="minorEastAsia"/>
          <w:b/>
          <w:sz w:val="24"/>
          <w:szCs w:val="24"/>
          <w:lang w:eastAsia="en-US"/>
        </w:rPr>
      </w:pP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К вопросу о корпоративном договоре в российском гражданском законодательстве</w:t>
      </w:r>
    </w:p>
    <w:p w:rsidR="00EC1A78" w:rsidRPr="00EC1A78" w:rsidRDefault="00EC1A78" w:rsidP="00EC1A78">
      <w:pPr>
        <w:ind w:firstLine="425"/>
        <w:jc w:val="center"/>
        <w:rPr>
          <w:rFonts w:eastAsiaTheme="minorHAnsi"/>
          <w:b/>
          <w:sz w:val="24"/>
          <w:szCs w:val="24"/>
          <w:lang w:val="en-US" w:eastAsia="en-US"/>
        </w:rPr>
      </w:pPr>
      <w:r w:rsidRPr="00EC1A78">
        <w:rPr>
          <w:rFonts w:eastAsiaTheme="minorHAnsi"/>
          <w:b/>
          <w:sz w:val="24"/>
          <w:szCs w:val="24"/>
          <w:lang w:val="en-US" w:eastAsia="en-US"/>
        </w:rPr>
        <w:t>On the issue of the corporate contract in Russian civil law</w:t>
      </w:r>
    </w:p>
    <w:p w:rsidR="00EC1A78" w:rsidRPr="00EC1A78" w:rsidRDefault="00EC1A78" w:rsidP="00EC1A78">
      <w:pPr>
        <w:widowControl w:val="0"/>
        <w:tabs>
          <w:tab w:val="left" w:pos="8223"/>
        </w:tabs>
        <w:jc w:val="right"/>
        <w:rPr>
          <w:rFonts w:eastAsia="Courier New"/>
          <w:color w:val="000000"/>
          <w:sz w:val="22"/>
          <w:szCs w:val="22"/>
          <w:lang w:val="en-US" w:eastAsia="en-US"/>
        </w:rPr>
      </w:pP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Александров С.</w:t>
      </w:r>
      <w:r w:rsidR="00C56F2E">
        <w:rPr>
          <w:rFonts w:eastAsia="Courier New"/>
          <w:color w:val="000000"/>
          <w:sz w:val="22"/>
          <w:szCs w:val="22"/>
          <w:lang w:eastAsia="en-US"/>
        </w:rPr>
        <w:t xml:space="preserve"> </w:t>
      </w:r>
      <w:r w:rsidRPr="00EC1A78">
        <w:rPr>
          <w:rFonts w:eastAsia="Courier New"/>
          <w:color w:val="000000"/>
          <w:sz w:val="22"/>
          <w:szCs w:val="22"/>
          <w:lang w:eastAsia="en-US"/>
        </w:rPr>
        <w:t>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студент 4-го курса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Кудрявцева Л.</w:t>
      </w:r>
      <w:r w:rsidR="00C56F2E">
        <w:rPr>
          <w:rFonts w:eastAsia="Courier New"/>
          <w:color w:val="000000"/>
          <w:sz w:val="22"/>
          <w:szCs w:val="22"/>
          <w:lang w:eastAsia="en-US"/>
        </w:rPr>
        <w:t xml:space="preserve"> </w:t>
      </w:r>
      <w:r w:rsidRPr="00EC1A78">
        <w:rPr>
          <w:rFonts w:eastAsia="Courier New"/>
          <w:color w:val="000000"/>
          <w:sz w:val="22"/>
          <w:szCs w:val="22"/>
          <w:lang w:eastAsia="en-US"/>
        </w:rPr>
        <w:t>В.,</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доцент кафедры международного частного</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 и предпринимательского права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C56F2E">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ind w:firstLine="425"/>
        <w:jc w:val="both"/>
        <w:rPr>
          <w:rFonts w:eastAsiaTheme="minorEastAsia"/>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Регулирование предпринимательских отнош</w:t>
      </w:r>
      <w:r w:rsidRPr="00EC1A78">
        <w:rPr>
          <w:rFonts w:eastAsiaTheme="minorHAnsi"/>
          <w:sz w:val="22"/>
          <w:szCs w:val="22"/>
          <w:lang w:eastAsia="en-US"/>
        </w:rPr>
        <w:t>е</w:t>
      </w:r>
      <w:r w:rsidRPr="00EC1A78">
        <w:rPr>
          <w:rFonts w:eastAsiaTheme="minorHAnsi"/>
          <w:sz w:val="22"/>
          <w:szCs w:val="22"/>
          <w:lang w:eastAsia="en-US"/>
        </w:rPr>
        <w:t>ний в России имеет свои особенности, данные отношения являются молодыми и новыми для нашего общества. Важную роль в развитии экономических отношений играют коммерческие корпоративные организации, куда входят хозяйственные общества. В работе автор рассматривает такой институт предпринимательских отношений как корпоративный договор, его сущность и особенности.</w:t>
      </w:r>
    </w:p>
    <w:p w:rsidR="00EC1A78" w:rsidRPr="00EC1A78" w:rsidRDefault="00EC1A78" w:rsidP="00EC1A78">
      <w:pPr>
        <w:ind w:firstLine="425"/>
        <w:jc w:val="both"/>
        <w:rPr>
          <w:rFonts w:eastAsiaTheme="minorHAnsi"/>
          <w:sz w:val="22"/>
          <w:szCs w:val="22"/>
          <w:lang w:val="en-US" w:eastAsia="en-US"/>
        </w:rPr>
      </w:pPr>
      <w:r w:rsidRPr="00EC1A78">
        <w:rPr>
          <w:rFonts w:eastAsia="Courier New"/>
          <w:color w:val="000000"/>
          <w:sz w:val="22"/>
          <w:szCs w:val="22"/>
          <w:lang w:val="en-US" w:eastAsia="en-US"/>
        </w:rPr>
        <w:t>ABSTRACT:</w:t>
      </w:r>
      <w:r w:rsidRPr="00EC1A78">
        <w:rPr>
          <w:rFonts w:asciiTheme="minorHAnsi" w:eastAsiaTheme="minorHAnsi" w:hAnsiTheme="minorHAnsi" w:cstheme="minorBidi"/>
          <w:sz w:val="22"/>
          <w:szCs w:val="22"/>
          <w:lang w:val="en-US" w:eastAsia="en-US"/>
        </w:rPr>
        <w:t xml:space="preserve"> </w:t>
      </w:r>
      <w:r w:rsidRPr="00EC1A78">
        <w:rPr>
          <w:rFonts w:eastAsia="Courier New"/>
          <w:color w:val="000000"/>
          <w:sz w:val="22"/>
          <w:szCs w:val="22"/>
          <w:lang w:val="en-US" w:eastAsia="en-US"/>
        </w:rPr>
        <w:t>The regulation of business relations in Russia has its own characteristics, these relations are young and new for our society. An important role in the development of economic relations is played by commercial corporate organizations, which include economic societies. In the work the author considers such institute of enterprise relations as a corporate contract, its essence and features.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w:t>
      </w:r>
      <w:r w:rsidRPr="00EC1A78">
        <w:rPr>
          <w:rFonts w:eastAsiaTheme="minorHAnsi"/>
          <w:b/>
          <w:sz w:val="22"/>
          <w:szCs w:val="22"/>
          <w:lang w:eastAsia="en-US"/>
        </w:rPr>
        <w:t xml:space="preserve"> </w:t>
      </w:r>
      <w:r w:rsidRPr="00EC1A78">
        <w:rPr>
          <w:rFonts w:eastAsiaTheme="minorHAnsi"/>
          <w:sz w:val="22"/>
          <w:szCs w:val="22"/>
          <w:lang w:eastAsia="en-US"/>
        </w:rPr>
        <w:t>корпоративный договор, предприним</w:t>
      </w:r>
      <w:r w:rsidRPr="00EC1A78">
        <w:rPr>
          <w:rFonts w:eastAsiaTheme="minorHAnsi"/>
          <w:sz w:val="22"/>
          <w:szCs w:val="22"/>
          <w:lang w:eastAsia="en-US"/>
        </w:rPr>
        <w:t>а</w:t>
      </w:r>
      <w:r w:rsidRPr="00EC1A78">
        <w:rPr>
          <w:rFonts w:eastAsiaTheme="minorHAnsi"/>
          <w:sz w:val="22"/>
          <w:szCs w:val="22"/>
          <w:lang w:eastAsia="en-US"/>
        </w:rPr>
        <w:t>тельская деятельность, юридическое лицо, хозяйственное общество, организационно-правовая форма.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corporate agreement, entrepreneurial activity, legal entity, business entity, legal form.</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 развитием экономических отношений в Российской Федер</w:t>
      </w:r>
      <w:r w:rsidRPr="00EC1A78">
        <w:rPr>
          <w:rFonts w:eastAsiaTheme="minorHAnsi"/>
          <w:sz w:val="22"/>
          <w:szCs w:val="22"/>
          <w:lang w:eastAsia="en-US"/>
        </w:rPr>
        <w:t>а</w:t>
      </w:r>
      <w:r w:rsidRPr="00EC1A78">
        <w:rPr>
          <w:rFonts w:eastAsiaTheme="minorHAnsi"/>
          <w:sz w:val="22"/>
          <w:szCs w:val="22"/>
          <w:lang w:eastAsia="en-US"/>
        </w:rPr>
        <w:t>ции изменению и совершенствованию подвергается все отечестве</w:t>
      </w:r>
      <w:r w:rsidRPr="00EC1A78">
        <w:rPr>
          <w:rFonts w:eastAsiaTheme="minorHAnsi"/>
          <w:sz w:val="22"/>
          <w:szCs w:val="22"/>
          <w:lang w:eastAsia="en-US"/>
        </w:rPr>
        <w:t>н</w:t>
      </w:r>
      <w:r w:rsidRPr="00EC1A78">
        <w:rPr>
          <w:rFonts w:eastAsiaTheme="minorHAnsi"/>
          <w:sz w:val="22"/>
          <w:szCs w:val="22"/>
          <w:lang w:eastAsia="en-US"/>
        </w:rPr>
        <w:t xml:space="preserve">ное законодательство, в частности Гражданский кодекс России. Предпринимательская деятельность, одним из субъектов которой, </w:t>
      </w:r>
      <w:r w:rsidRPr="00EC1A78">
        <w:rPr>
          <w:rFonts w:eastAsiaTheme="minorHAnsi"/>
          <w:sz w:val="22"/>
          <w:szCs w:val="22"/>
          <w:lang w:eastAsia="en-US"/>
        </w:rPr>
        <w:lastRenderedPageBreak/>
        <w:t>являются юридические лица - основа современной экономической системы, поэтому законодатель уделяет большое внимание прав</w:t>
      </w:r>
      <w:r w:rsidRPr="00EC1A78">
        <w:rPr>
          <w:rFonts w:eastAsiaTheme="minorHAnsi"/>
          <w:sz w:val="22"/>
          <w:szCs w:val="22"/>
          <w:lang w:eastAsia="en-US"/>
        </w:rPr>
        <w:t>о</w:t>
      </w:r>
      <w:r w:rsidRPr="00EC1A78">
        <w:rPr>
          <w:rFonts w:eastAsiaTheme="minorHAnsi"/>
          <w:sz w:val="22"/>
          <w:szCs w:val="22"/>
          <w:lang w:eastAsia="en-US"/>
        </w:rPr>
        <w:t>вому регулированию их деятельности. В 2014 году был введен и</w:t>
      </w:r>
      <w:r w:rsidRPr="00EC1A78">
        <w:rPr>
          <w:rFonts w:eastAsiaTheme="minorHAnsi"/>
          <w:sz w:val="22"/>
          <w:szCs w:val="22"/>
          <w:lang w:eastAsia="en-US"/>
        </w:rPr>
        <w:t>н</w:t>
      </w:r>
      <w:r w:rsidRPr="00EC1A78">
        <w:rPr>
          <w:rFonts w:eastAsiaTheme="minorHAnsi"/>
          <w:sz w:val="22"/>
          <w:szCs w:val="22"/>
          <w:lang w:eastAsia="en-US"/>
        </w:rPr>
        <w:t>ститут корпоративного договора, которым могут пользоваться участники хозяйственных обществ. Данный институт предусматр</w:t>
      </w:r>
      <w:r w:rsidRPr="00EC1A78">
        <w:rPr>
          <w:rFonts w:eastAsiaTheme="minorHAnsi"/>
          <w:sz w:val="22"/>
          <w:szCs w:val="22"/>
          <w:lang w:eastAsia="en-US"/>
        </w:rPr>
        <w:t>и</w:t>
      </w:r>
      <w:r w:rsidRPr="00EC1A78">
        <w:rPr>
          <w:rFonts w:eastAsiaTheme="minorHAnsi"/>
          <w:sz w:val="22"/>
          <w:szCs w:val="22"/>
          <w:lang w:eastAsia="en-US"/>
        </w:rPr>
        <w:t>вает возможность заключения, как всеми участниками хозяйстве</w:t>
      </w:r>
      <w:r w:rsidRPr="00EC1A78">
        <w:rPr>
          <w:rFonts w:eastAsiaTheme="minorHAnsi"/>
          <w:sz w:val="22"/>
          <w:szCs w:val="22"/>
          <w:lang w:eastAsia="en-US"/>
        </w:rPr>
        <w:t>н</w:t>
      </w:r>
      <w:r w:rsidRPr="00EC1A78">
        <w:rPr>
          <w:rFonts w:eastAsiaTheme="minorHAnsi"/>
          <w:sz w:val="22"/>
          <w:szCs w:val="22"/>
          <w:lang w:eastAsia="en-US"/>
        </w:rPr>
        <w:t>ного общества, так и некоторыми из них корпоративного договора. Законодатель даже определяет названия данного договора исходя из организационно-правовой формы хозяйственного общества, если это общество с ограниченной ответственностью, то такой договор будет иметь название - договор об осуществлении прав участников общества с ограниченной ответственностью. Если же договор з</w:t>
      </w:r>
      <w:r w:rsidRPr="00EC1A78">
        <w:rPr>
          <w:rFonts w:eastAsiaTheme="minorHAnsi"/>
          <w:sz w:val="22"/>
          <w:szCs w:val="22"/>
          <w:lang w:eastAsia="en-US"/>
        </w:rPr>
        <w:t>а</w:t>
      </w:r>
      <w:r w:rsidRPr="00EC1A78">
        <w:rPr>
          <w:rFonts w:eastAsiaTheme="minorHAnsi"/>
          <w:sz w:val="22"/>
          <w:szCs w:val="22"/>
          <w:lang w:eastAsia="en-US"/>
        </w:rPr>
        <w:t xml:space="preserve">ключается между участниками акционерного общества, он будет называться акционерным соглашением. </w:t>
      </w:r>
    </w:p>
    <w:p w:rsidR="00EC1A78" w:rsidRPr="00EC1A78" w:rsidRDefault="00EC1A78" w:rsidP="00EC1A78">
      <w:pPr>
        <w:ind w:firstLine="425"/>
        <w:jc w:val="both"/>
        <w:rPr>
          <w:rFonts w:eastAsiaTheme="minorHAnsi"/>
          <w:sz w:val="22"/>
          <w:szCs w:val="22"/>
          <w:lang w:eastAsia="en-US"/>
        </w:rPr>
      </w:pPr>
      <w:r w:rsidRPr="00EC1A78">
        <w:rPr>
          <w:rFonts w:eastAsiaTheme="minorHAnsi"/>
          <w:color w:val="000000"/>
          <w:sz w:val="22"/>
          <w:szCs w:val="22"/>
          <w:lang w:eastAsia="en-US"/>
        </w:rPr>
        <w:t xml:space="preserve">Необходимость возникновения корпоративного договора в </w:t>
      </w:r>
      <w:r w:rsidRPr="00EC1A78">
        <w:rPr>
          <w:rFonts w:eastAsiaTheme="minorHAnsi"/>
          <w:sz w:val="22"/>
          <w:szCs w:val="22"/>
          <w:lang w:eastAsia="en-US"/>
        </w:rPr>
        <w:t>от</w:t>
      </w:r>
      <w:r w:rsidRPr="00EC1A78">
        <w:rPr>
          <w:rFonts w:eastAsiaTheme="minorHAnsi"/>
          <w:sz w:val="22"/>
          <w:szCs w:val="22"/>
          <w:lang w:eastAsia="en-US"/>
        </w:rPr>
        <w:t>е</w:t>
      </w:r>
      <w:r w:rsidRPr="00EC1A78">
        <w:rPr>
          <w:rFonts w:eastAsiaTheme="minorHAnsi"/>
          <w:sz w:val="22"/>
          <w:szCs w:val="22"/>
          <w:lang w:eastAsia="en-US"/>
        </w:rPr>
        <w:t>чественном гражданском законодательстве объясняется в первую очередь тем, что учредительные документы хозяйственных обществ не могут в полном</w:t>
      </w:r>
      <w:r w:rsidRPr="00EC1A78">
        <w:rPr>
          <w:rFonts w:eastAsiaTheme="minorHAnsi"/>
          <w:color w:val="000000"/>
          <w:sz w:val="22"/>
          <w:szCs w:val="22"/>
          <w:lang w:eastAsia="en-US"/>
        </w:rPr>
        <w:t xml:space="preserve"> объеме регулировать самые разные отношения, возникающие между участниками таких обществ. Подобные согл</w:t>
      </w:r>
      <w:r w:rsidRPr="00EC1A78">
        <w:rPr>
          <w:rFonts w:eastAsiaTheme="minorHAnsi"/>
          <w:color w:val="000000"/>
          <w:sz w:val="22"/>
          <w:szCs w:val="22"/>
          <w:lang w:eastAsia="en-US"/>
        </w:rPr>
        <w:t>а</w:t>
      </w:r>
      <w:r w:rsidRPr="00EC1A78">
        <w:rPr>
          <w:rFonts w:eastAsiaTheme="minorHAnsi"/>
          <w:color w:val="000000"/>
          <w:sz w:val="22"/>
          <w:szCs w:val="22"/>
          <w:lang w:eastAsia="en-US"/>
        </w:rPr>
        <w:t>шения обеспечивают диспозитивность, она в свою очередь позвол</w:t>
      </w:r>
      <w:r w:rsidRPr="00EC1A78">
        <w:rPr>
          <w:rFonts w:eastAsiaTheme="minorHAnsi"/>
          <w:color w:val="000000"/>
          <w:sz w:val="22"/>
          <w:szCs w:val="22"/>
          <w:lang w:eastAsia="en-US"/>
        </w:rPr>
        <w:t>я</w:t>
      </w:r>
      <w:r w:rsidRPr="00EC1A78">
        <w:rPr>
          <w:rFonts w:eastAsiaTheme="minorHAnsi"/>
          <w:color w:val="000000"/>
          <w:sz w:val="22"/>
          <w:szCs w:val="22"/>
          <w:lang w:eastAsia="en-US"/>
        </w:rPr>
        <w:t>ет корпоративным отношениям быть уникальными и разнообра</w:t>
      </w:r>
      <w:r w:rsidRPr="00EC1A78">
        <w:rPr>
          <w:rFonts w:eastAsiaTheme="minorHAnsi"/>
          <w:color w:val="000000"/>
          <w:sz w:val="22"/>
          <w:szCs w:val="22"/>
          <w:lang w:eastAsia="en-US"/>
        </w:rPr>
        <w:t>з</w:t>
      </w:r>
      <w:r w:rsidRPr="00EC1A78">
        <w:rPr>
          <w:rFonts w:eastAsiaTheme="minorHAnsi"/>
          <w:color w:val="000000"/>
          <w:sz w:val="22"/>
          <w:szCs w:val="22"/>
          <w:lang w:eastAsia="en-US"/>
        </w:rPr>
        <w:t xml:space="preserve">ными. </w:t>
      </w:r>
      <w:r w:rsidRPr="00EC1A78">
        <w:rPr>
          <w:rFonts w:eastAsiaTheme="minorHAnsi"/>
          <w:sz w:val="22"/>
          <w:szCs w:val="22"/>
          <w:lang w:eastAsia="en-US"/>
        </w:rPr>
        <w:t>В соответствии с данным договором, участники общества, заключающие его, обязуются осуществлять свои корпоративные права определенным образом, либо вообще отказаться от их ос</w:t>
      </w:r>
      <w:r w:rsidRPr="00EC1A78">
        <w:rPr>
          <w:rFonts w:eastAsiaTheme="minorHAnsi"/>
          <w:sz w:val="22"/>
          <w:szCs w:val="22"/>
          <w:lang w:eastAsia="en-US"/>
        </w:rPr>
        <w:t>у</w:t>
      </w:r>
      <w:r w:rsidRPr="00EC1A78">
        <w:rPr>
          <w:rFonts w:eastAsiaTheme="minorHAnsi"/>
          <w:sz w:val="22"/>
          <w:szCs w:val="22"/>
          <w:lang w:eastAsia="en-US"/>
        </w:rPr>
        <w:t>ществления. Корпоративным договором может быть установлена обязанность голосовать конкретным образом на общем собрании участников общества, но это голосование не может проходить с указания органов общества и определять структуру органов общ</w:t>
      </w:r>
      <w:r w:rsidRPr="00EC1A78">
        <w:rPr>
          <w:rFonts w:eastAsiaTheme="minorHAnsi"/>
          <w:sz w:val="22"/>
          <w:szCs w:val="22"/>
          <w:lang w:eastAsia="en-US"/>
        </w:rPr>
        <w:t>е</w:t>
      </w:r>
      <w:r w:rsidRPr="00EC1A78">
        <w:rPr>
          <w:rFonts w:eastAsiaTheme="minorHAnsi"/>
          <w:sz w:val="22"/>
          <w:szCs w:val="22"/>
          <w:lang w:eastAsia="en-US"/>
        </w:rPr>
        <w:t>ства и их компетенцию. Данный договор может серьезно поменять отношения между участниками общества, создать определенно ос</w:t>
      </w:r>
      <w:r w:rsidRPr="00EC1A78">
        <w:rPr>
          <w:rFonts w:eastAsiaTheme="minorHAnsi"/>
          <w:sz w:val="22"/>
          <w:szCs w:val="22"/>
          <w:lang w:eastAsia="en-US"/>
        </w:rPr>
        <w:t>о</w:t>
      </w:r>
      <w:r w:rsidRPr="00EC1A78">
        <w:rPr>
          <w:rFonts w:eastAsiaTheme="minorHAnsi"/>
          <w:sz w:val="22"/>
          <w:szCs w:val="22"/>
          <w:lang w:eastAsia="en-US"/>
        </w:rPr>
        <w:t xml:space="preserve">бые отношения между ними. </w:t>
      </w:r>
    </w:p>
    <w:p w:rsidR="00EC1A78" w:rsidRPr="00EC1A78" w:rsidRDefault="00EC1A78" w:rsidP="00EC1A78">
      <w:pPr>
        <w:ind w:firstLine="425"/>
        <w:jc w:val="both"/>
        <w:rPr>
          <w:color w:val="000000"/>
          <w:sz w:val="22"/>
          <w:szCs w:val="22"/>
          <w:lang w:eastAsia="en-US"/>
        </w:rPr>
      </w:pPr>
      <w:r w:rsidRPr="00EC1A78">
        <w:rPr>
          <w:color w:val="000000"/>
          <w:sz w:val="22"/>
          <w:szCs w:val="22"/>
          <w:lang w:eastAsia="en-US"/>
        </w:rPr>
        <w:t>Необходимо отметить, что не могут включаться в корпорати</w:t>
      </w:r>
      <w:r w:rsidRPr="00EC1A78">
        <w:rPr>
          <w:color w:val="000000"/>
          <w:sz w:val="22"/>
          <w:szCs w:val="22"/>
          <w:lang w:eastAsia="en-US"/>
        </w:rPr>
        <w:t>в</w:t>
      </w:r>
      <w:r w:rsidRPr="00EC1A78">
        <w:rPr>
          <w:color w:val="000000"/>
          <w:sz w:val="22"/>
          <w:szCs w:val="22"/>
          <w:lang w:eastAsia="en-US"/>
        </w:rPr>
        <w:t>ный договор условия, связанные с организационным устройством хозяйственного общества: структурой органов управления общ</w:t>
      </w:r>
      <w:r w:rsidRPr="00EC1A78">
        <w:rPr>
          <w:color w:val="000000"/>
          <w:sz w:val="22"/>
          <w:szCs w:val="22"/>
          <w:lang w:eastAsia="en-US"/>
        </w:rPr>
        <w:t>е</w:t>
      </w:r>
      <w:r w:rsidRPr="00EC1A78">
        <w:rPr>
          <w:color w:val="000000"/>
          <w:sz w:val="22"/>
          <w:szCs w:val="22"/>
          <w:lang w:eastAsia="en-US"/>
        </w:rPr>
        <w:t xml:space="preserve">ством, порядком принятия ими решения, компетенцией и так далее, подобные условия также будут считаться ничтожными. Но следует отметить, что корпоративным соглашением можно предусмотреть обязанность участников голосовать на общем собрании за внесение </w:t>
      </w:r>
      <w:r w:rsidRPr="00EC1A78">
        <w:rPr>
          <w:color w:val="000000"/>
          <w:sz w:val="22"/>
          <w:szCs w:val="22"/>
          <w:lang w:eastAsia="en-US"/>
        </w:rPr>
        <w:lastRenderedPageBreak/>
        <w:t xml:space="preserve">в устав общества положений, определяющих структуру органов общества и их компетенцию, если в соответствии с Гражданским кодексом РФ и законами о хозяйственных обществах допускается изменение структуры органов общества и их компетенции уставом [1]. </w:t>
      </w:r>
    </w:p>
    <w:p w:rsidR="00EC1A78" w:rsidRPr="00EC1A78" w:rsidRDefault="00EC1A78" w:rsidP="00EC1A78">
      <w:pPr>
        <w:ind w:firstLine="425"/>
        <w:jc w:val="both"/>
        <w:rPr>
          <w:color w:val="000000"/>
          <w:sz w:val="22"/>
          <w:szCs w:val="22"/>
          <w:lang w:eastAsia="en-US"/>
        </w:rPr>
      </w:pPr>
      <w:r w:rsidRPr="00EC1A78">
        <w:rPr>
          <w:color w:val="000000"/>
          <w:sz w:val="22"/>
          <w:szCs w:val="22"/>
          <w:lang w:eastAsia="en-US"/>
        </w:rPr>
        <w:t>Положения корпоративного договора не должны дополнять устав по вопросам, которые не были урегулированы нормами зак</w:t>
      </w:r>
      <w:r w:rsidRPr="00EC1A78">
        <w:rPr>
          <w:color w:val="000000"/>
          <w:sz w:val="22"/>
          <w:szCs w:val="22"/>
          <w:lang w:eastAsia="en-US"/>
        </w:rPr>
        <w:t>о</w:t>
      </w:r>
      <w:r w:rsidRPr="00EC1A78">
        <w:rPr>
          <w:color w:val="000000"/>
          <w:sz w:val="22"/>
          <w:szCs w:val="22"/>
          <w:lang w:eastAsia="en-US"/>
        </w:rPr>
        <w:t>нодательства. Кроме того, новой стала норма, которая предусма</w:t>
      </w:r>
      <w:r w:rsidRPr="00EC1A78">
        <w:rPr>
          <w:color w:val="000000"/>
          <w:sz w:val="22"/>
          <w:szCs w:val="22"/>
          <w:lang w:eastAsia="en-US"/>
        </w:rPr>
        <w:t>т</w:t>
      </w:r>
      <w:r w:rsidRPr="00EC1A78">
        <w:rPr>
          <w:color w:val="000000"/>
          <w:sz w:val="22"/>
          <w:szCs w:val="22"/>
          <w:lang w:eastAsia="en-US"/>
        </w:rPr>
        <w:t>ривает, что стороны корпоративного соглашения не имеют право ссылаться на его недействительность, если это будет противоречить уставу общества. Верховный суд РФ в  пункте 37 постановления Пленума "</w:t>
      </w:r>
      <w:r w:rsidRPr="00EC1A78">
        <w:rPr>
          <w:rFonts w:eastAsiaTheme="minorHAnsi"/>
          <w:color w:val="000000"/>
          <w:sz w:val="22"/>
          <w:szCs w:val="22"/>
          <w:lang w:eastAsia="en-US"/>
        </w:rPr>
        <w:t>О применении судами некоторых положений раздела I части первой Гражданского кодекса Российской Федерации"</w:t>
      </w:r>
      <w:r w:rsidRPr="00EC1A78">
        <w:rPr>
          <w:rFonts w:ascii="Arial" w:eastAsiaTheme="minorHAnsi" w:hAnsi="Arial" w:cs="Arial"/>
          <w:color w:val="000000"/>
          <w:sz w:val="22"/>
          <w:szCs w:val="22"/>
          <w:lang w:eastAsia="en-US"/>
        </w:rPr>
        <w:t xml:space="preserve"> </w:t>
      </w:r>
      <w:r w:rsidRPr="00EC1A78">
        <w:rPr>
          <w:rFonts w:eastAsiaTheme="minorHAnsi"/>
          <w:color w:val="000000"/>
          <w:sz w:val="22"/>
          <w:szCs w:val="22"/>
          <w:lang w:eastAsia="en-US"/>
        </w:rPr>
        <w:t xml:space="preserve">от 23 июня 2015 г. № 25 </w:t>
      </w:r>
      <w:r w:rsidRPr="00EC1A78">
        <w:rPr>
          <w:color w:val="000000"/>
          <w:sz w:val="22"/>
          <w:szCs w:val="22"/>
          <w:lang w:eastAsia="en-US"/>
        </w:rPr>
        <w:t>разъясняет, что в данном случае сторона догов</w:t>
      </w:r>
      <w:r w:rsidRPr="00EC1A78">
        <w:rPr>
          <w:color w:val="000000"/>
          <w:sz w:val="22"/>
          <w:szCs w:val="22"/>
          <w:lang w:eastAsia="en-US"/>
        </w:rPr>
        <w:t>о</w:t>
      </w:r>
      <w:r w:rsidRPr="00EC1A78">
        <w:rPr>
          <w:color w:val="000000"/>
          <w:sz w:val="22"/>
          <w:szCs w:val="22"/>
          <w:lang w:eastAsia="en-US"/>
        </w:rPr>
        <w:t>ра не утрачивает право на предъявление к другой стороне требов</w:t>
      </w:r>
      <w:r w:rsidRPr="00EC1A78">
        <w:rPr>
          <w:color w:val="000000"/>
          <w:sz w:val="22"/>
          <w:szCs w:val="22"/>
          <w:lang w:eastAsia="en-US"/>
        </w:rPr>
        <w:t>а</w:t>
      </w:r>
      <w:r w:rsidRPr="00EC1A78">
        <w:rPr>
          <w:color w:val="000000"/>
          <w:sz w:val="22"/>
          <w:szCs w:val="22"/>
          <w:lang w:eastAsia="en-US"/>
        </w:rPr>
        <w:t xml:space="preserve">ний, основанных на данном договоре. </w:t>
      </w:r>
    </w:p>
    <w:p w:rsidR="00EC1A78" w:rsidRPr="00EC1A78" w:rsidRDefault="00EC1A78" w:rsidP="00EC1A78">
      <w:pPr>
        <w:ind w:firstLine="425"/>
        <w:jc w:val="both"/>
        <w:rPr>
          <w:color w:val="000000"/>
          <w:sz w:val="22"/>
          <w:szCs w:val="22"/>
          <w:lang w:eastAsia="en-US"/>
        </w:rPr>
      </w:pPr>
      <w:r w:rsidRPr="00EC1A78">
        <w:rPr>
          <w:color w:val="000000"/>
          <w:sz w:val="22"/>
          <w:szCs w:val="22"/>
          <w:lang w:eastAsia="en-US"/>
        </w:rPr>
        <w:t>Таким образом, корпоративный договор не может содержать  «параллельные» положения с уставом, включать в себя вопросы, которые должны быть определены только в законодательстве и в уставе общества. Анализ правовой природы корпоративного дог</w:t>
      </w:r>
      <w:r w:rsidRPr="00EC1A78">
        <w:rPr>
          <w:color w:val="000000"/>
          <w:sz w:val="22"/>
          <w:szCs w:val="22"/>
          <w:lang w:eastAsia="en-US"/>
        </w:rPr>
        <w:t>о</w:t>
      </w:r>
      <w:r w:rsidRPr="00EC1A78">
        <w:rPr>
          <w:color w:val="000000"/>
          <w:sz w:val="22"/>
          <w:szCs w:val="22"/>
          <w:lang w:eastAsia="en-US"/>
        </w:rPr>
        <w:t>вора дает понять, что данный институт расширяет свободу участн</w:t>
      </w:r>
      <w:r w:rsidRPr="00EC1A78">
        <w:rPr>
          <w:color w:val="000000"/>
          <w:sz w:val="22"/>
          <w:szCs w:val="22"/>
          <w:lang w:eastAsia="en-US"/>
        </w:rPr>
        <w:t>и</w:t>
      </w:r>
      <w:r w:rsidRPr="00EC1A78">
        <w:rPr>
          <w:color w:val="000000"/>
          <w:sz w:val="22"/>
          <w:szCs w:val="22"/>
          <w:lang w:eastAsia="en-US"/>
        </w:rPr>
        <w:t>ков хозяйственных обществ в корпоративном управлении такими организациями, а также свободу в регулировании отношений между собой. При этом российский корпоративный договор определяет особый порядок осуществления уже существующих прав, а это по</w:t>
      </w:r>
      <w:r w:rsidRPr="00EC1A78">
        <w:rPr>
          <w:color w:val="000000"/>
          <w:sz w:val="22"/>
          <w:szCs w:val="22"/>
          <w:lang w:eastAsia="en-US"/>
        </w:rPr>
        <w:t>з</w:t>
      </w:r>
      <w:r w:rsidRPr="00EC1A78">
        <w:rPr>
          <w:color w:val="000000"/>
          <w:sz w:val="22"/>
          <w:szCs w:val="22"/>
          <w:lang w:eastAsia="en-US"/>
        </w:rPr>
        <w:t>воляет нам говорить о его обязательственно-правовой природе.</w:t>
      </w:r>
    </w:p>
    <w:p w:rsidR="00EC1A78" w:rsidRPr="00EC1A78" w:rsidRDefault="00EC1A78" w:rsidP="00EC1A78">
      <w:pPr>
        <w:ind w:firstLine="425"/>
        <w:jc w:val="center"/>
        <w:rPr>
          <w:rFonts w:eastAsiaTheme="minorEastAsia"/>
          <w:b/>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sz w:val="22"/>
          <w:szCs w:val="22"/>
          <w:lang w:eastAsia="en-US"/>
        </w:rPr>
      </w:pPr>
      <w:r w:rsidRPr="00EC1A78">
        <w:rPr>
          <w:rFonts w:eastAsiaTheme="minorHAnsi"/>
          <w:sz w:val="22"/>
          <w:szCs w:val="22"/>
          <w:lang w:eastAsia="en-US"/>
        </w:rPr>
        <w:t xml:space="preserve">1. Гражданский кодекс Российской Федерации от 30.11.1994 г.  № 51-ФЗ (ред. от 29.07.2017) // </w:t>
      </w:r>
      <w:r w:rsidRPr="00EC1A78">
        <w:rPr>
          <w:sz w:val="22"/>
          <w:szCs w:val="22"/>
          <w:lang w:eastAsia="en-US"/>
        </w:rPr>
        <w:t>Собрание законодательства РФ. – 1994. - N 32. - Ст. 3301.</w:t>
      </w:r>
    </w:p>
    <w:p w:rsidR="00EC1A78" w:rsidRDefault="00EC1A78" w:rsidP="00EC1A78">
      <w:pPr>
        <w:ind w:firstLine="426"/>
        <w:jc w:val="both"/>
        <w:rPr>
          <w:rFonts w:eastAsiaTheme="minorHAnsi"/>
          <w:sz w:val="22"/>
          <w:szCs w:val="22"/>
          <w:lang w:eastAsia="en-US"/>
        </w:rPr>
      </w:pPr>
    </w:p>
    <w:p w:rsidR="00C56F2E" w:rsidRPr="00EC1A78" w:rsidRDefault="00C42DAC" w:rsidP="00C42DAC">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tabs>
          <w:tab w:val="left" w:pos="2268"/>
        </w:tabs>
        <w:rPr>
          <w:sz w:val="22"/>
          <w:szCs w:val="22"/>
        </w:rPr>
      </w:pPr>
      <w:r w:rsidRPr="00EC1A78">
        <w:rPr>
          <w:rFonts w:eastAsia="SimSun"/>
          <w:sz w:val="22"/>
          <w:szCs w:val="22"/>
          <w:lang w:eastAsia="zh-CN"/>
        </w:rPr>
        <w:lastRenderedPageBreak/>
        <w:t xml:space="preserve">УДК 342.565.2 </w:t>
      </w:r>
      <w:r w:rsidRPr="00EC1A78">
        <w:rPr>
          <w:sz w:val="22"/>
          <w:szCs w:val="22"/>
        </w:rPr>
        <w:t>(470+571) (075)</w:t>
      </w:r>
    </w:p>
    <w:p w:rsidR="00EC1A78" w:rsidRPr="00EC1A78" w:rsidRDefault="00EC1A78" w:rsidP="00EC1A78">
      <w:pPr>
        <w:widowControl w:val="0"/>
        <w:suppressAutoHyphens/>
        <w:autoSpaceDN w:val="0"/>
        <w:jc w:val="center"/>
        <w:textAlignment w:val="baseline"/>
        <w:rPr>
          <w:rFonts w:eastAsia="Courier New"/>
          <w:b/>
          <w:color w:val="000000"/>
          <w:kern w:val="3"/>
          <w:sz w:val="24"/>
          <w:szCs w:val="24"/>
          <w:lang w:eastAsia="en-US"/>
        </w:rPr>
      </w:pPr>
    </w:p>
    <w:p w:rsidR="00EC1A78" w:rsidRPr="00EC1A78" w:rsidRDefault="00EC1A78" w:rsidP="00EC1A78">
      <w:pPr>
        <w:widowControl w:val="0"/>
        <w:tabs>
          <w:tab w:val="left" w:pos="8223"/>
        </w:tabs>
        <w:suppressAutoHyphens/>
        <w:autoSpaceDN w:val="0"/>
        <w:jc w:val="center"/>
        <w:textAlignment w:val="baseline"/>
        <w:rPr>
          <w:rFonts w:asciiTheme="minorHAnsi" w:eastAsiaTheme="minorHAnsi" w:hAnsiTheme="minorHAnsi" w:cstheme="minorBidi"/>
          <w:sz w:val="24"/>
          <w:szCs w:val="24"/>
        </w:rPr>
      </w:pPr>
      <w:r w:rsidRPr="00EC1A78">
        <w:rPr>
          <w:rFonts w:eastAsia="Courier New"/>
          <w:b/>
          <w:color w:val="000000"/>
          <w:kern w:val="3"/>
          <w:sz w:val="24"/>
          <w:szCs w:val="24"/>
        </w:rPr>
        <w:t>Цели и задачи конституционного правосудия</w:t>
      </w:r>
    </w:p>
    <w:p w:rsidR="00EC1A78" w:rsidRPr="00EC1A78" w:rsidRDefault="00EC1A78" w:rsidP="00EC1A78">
      <w:pPr>
        <w:widowControl w:val="0"/>
        <w:tabs>
          <w:tab w:val="left" w:pos="8223"/>
        </w:tabs>
        <w:suppressAutoHyphens/>
        <w:autoSpaceDN w:val="0"/>
        <w:jc w:val="center"/>
        <w:textAlignment w:val="baseline"/>
        <w:rPr>
          <w:rFonts w:eastAsia="Courier New"/>
          <w:b/>
          <w:color w:val="000000"/>
          <w:kern w:val="3"/>
          <w:sz w:val="24"/>
          <w:szCs w:val="24"/>
          <w:lang w:val="en-US"/>
        </w:rPr>
      </w:pPr>
      <w:r w:rsidRPr="00EC1A78">
        <w:rPr>
          <w:rFonts w:eastAsia="Courier New"/>
          <w:b/>
          <w:color w:val="000000"/>
          <w:kern w:val="3"/>
          <w:sz w:val="24"/>
          <w:szCs w:val="24"/>
          <w:lang w:val="en-US"/>
        </w:rPr>
        <w:t>The goals and objectives of the constitutional justice</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lang w:val="en-US"/>
        </w:rPr>
      </w:pP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Андросова Ю.</w:t>
      </w:r>
      <w:r w:rsidR="00C56F2E">
        <w:rPr>
          <w:rFonts w:eastAsia="Courier New"/>
          <w:color w:val="000000"/>
          <w:kern w:val="3"/>
          <w:sz w:val="22"/>
          <w:szCs w:val="22"/>
        </w:rPr>
        <w:t xml:space="preserve"> </w:t>
      </w:r>
      <w:r w:rsidRPr="00EC1A78">
        <w:rPr>
          <w:rFonts w:eastAsia="Courier New"/>
          <w:color w:val="000000"/>
          <w:kern w:val="3"/>
          <w:sz w:val="22"/>
          <w:szCs w:val="22"/>
        </w:rPr>
        <w:t>А.,</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магистрант 2-го курса юридического факультета</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Бутурлина Е.</w:t>
      </w:r>
      <w:r w:rsidR="00C56F2E">
        <w:rPr>
          <w:rFonts w:eastAsia="Courier New"/>
          <w:color w:val="000000"/>
          <w:kern w:val="3"/>
          <w:sz w:val="22"/>
          <w:szCs w:val="22"/>
        </w:rPr>
        <w:t xml:space="preserve"> </w:t>
      </w:r>
      <w:r w:rsidRPr="00EC1A78">
        <w:rPr>
          <w:rFonts w:eastAsia="Courier New"/>
          <w:color w:val="000000"/>
          <w:kern w:val="3"/>
          <w:sz w:val="22"/>
          <w:szCs w:val="22"/>
        </w:rPr>
        <w:t>С.,</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 xml:space="preserve">доцент кафедры государственного и </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международного права</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Кубанский государственный аграрный</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университет имени И.</w:t>
      </w:r>
      <w:r w:rsidR="00C56F2E">
        <w:rPr>
          <w:rFonts w:eastAsia="Courier New"/>
          <w:color w:val="000000"/>
          <w:kern w:val="3"/>
          <w:sz w:val="22"/>
          <w:szCs w:val="22"/>
        </w:rPr>
        <w:t xml:space="preserve"> </w:t>
      </w:r>
      <w:r w:rsidRPr="00EC1A78">
        <w:rPr>
          <w:rFonts w:eastAsia="Courier New"/>
          <w:color w:val="000000"/>
          <w:kern w:val="3"/>
          <w:sz w:val="22"/>
          <w:szCs w:val="22"/>
        </w:rPr>
        <w:t>Т. Трубилина</w:t>
      </w:r>
    </w:p>
    <w:p w:rsidR="00EC1A78" w:rsidRPr="00EC1A78" w:rsidRDefault="00EC1A78" w:rsidP="00EC1A78">
      <w:pPr>
        <w:rPr>
          <w:rFonts w:eastAsiaTheme="minorHAnsi"/>
          <w:sz w:val="22"/>
          <w:szCs w:val="22"/>
          <w:lang w:eastAsia="en-US"/>
        </w:rPr>
      </w:pPr>
    </w:p>
    <w:p w:rsidR="00EC1A78" w:rsidRPr="00EC1A78" w:rsidRDefault="00C56F2E" w:rsidP="00EC1A78">
      <w:pPr>
        <w:widowControl w:val="0"/>
        <w:tabs>
          <w:tab w:val="left" w:pos="8223"/>
        </w:tabs>
        <w:suppressAutoHyphens/>
        <w:autoSpaceDN w:val="0"/>
        <w:ind w:firstLine="426"/>
        <w:jc w:val="both"/>
        <w:textAlignment w:val="baseline"/>
        <w:rPr>
          <w:rFonts w:asciiTheme="minorHAnsi" w:eastAsiaTheme="minorHAnsi" w:hAnsiTheme="minorHAnsi" w:cstheme="minorBidi"/>
          <w:sz w:val="22"/>
          <w:szCs w:val="22"/>
          <w:lang w:val="en-US"/>
        </w:rPr>
      </w:pPr>
      <w:r>
        <w:rPr>
          <w:rFonts w:eastAsia="SimSun"/>
          <w:bCs/>
          <w:kern w:val="3"/>
          <w:sz w:val="22"/>
          <w:szCs w:val="22"/>
        </w:rPr>
        <w:t>АННОТАЦИЯ:</w:t>
      </w:r>
      <w:r w:rsidR="00EC1A78" w:rsidRPr="00EC1A78">
        <w:rPr>
          <w:rFonts w:eastAsia="SimSun"/>
          <w:bCs/>
          <w:kern w:val="3"/>
          <w:sz w:val="22"/>
          <w:szCs w:val="22"/>
        </w:rPr>
        <w:t xml:space="preserve"> Рассмотрены цели и задачи конституционного правосудия как высшей формы конституционного контроля.</w:t>
      </w:r>
      <w:r w:rsidR="00EC1A78" w:rsidRPr="00EC1A78">
        <w:rPr>
          <w:rFonts w:ascii="Calibri" w:eastAsia="SimSun" w:hAnsi="Calibri" w:cs="F"/>
          <w:kern w:val="3"/>
          <w:sz w:val="22"/>
          <w:szCs w:val="22"/>
        </w:rPr>
        <w:t xml:space="preserve"> </w:t>
      </w:r>
      <w:r w:rsidR="00EC1A78" w:rsidRPr="00EC1A78">
        <w:rPr>
          <w:rFonts w:eastAsia="SimSun"/>
          <w:bCs/>
          <w:kern w:val="3"/>
          <w:sz w:val="22"/>
          <w:szCs w:val="22"/>
        </w:rPr>
        <w:t>Раскрыто</w:t>
      </w:r>
      <w:r w:rsidR="00EC1A78" w:rsidRPr="00EC1A78">
        <w:rPr>
          <w:rFonts w:eastAsia="SimSun"/>
          <w:bCs/>
          <w:kern w:val="3"/>
          <w:sz w:val="22"/>
          <w:szCs w:val="22"/>
          <w:lang w:val="en-US"/>
        </w:rPr>
        <w:t xml:space="preserve"> </w:t>
      </w:r>
      <w:r w:rsidR="00EC1A78" w:rsidRPr="00EC1A78">
        <w:rPr>
          <w:rFonts w:eastAsia="SimSun"/>
          <w:bCs/>
          <w:kern w:val="3"/>
          <w:sz w:val="22"/>
          <w:szCs w:val="22"/>
        </w:rPr>
        <w:t>их</w:t>
      </w:r>
      <w:r w:rsidR="00EC1A78" w:rsidRPr="00EC1A78">
        <w:rPr>
          <w:rFonts w:eastAsia="SimSun"/>
          <w:bCs/>
          <w:kern w:val="3"/>
          <w:sz w:val="22"/>
          <w:szCs w:val="22"/>
          <w:lang w:val="en-US"/>
        </w:rPr>
        <w:t xml:space="preserve"> </w:t>
      </w:r>
      <w:r w:rsidR="00EC1A78" w:rsidRPr="00EC1A78">
        <w:rPr>
          <w:rFonts w:eastAsia="SimSun"/>
          <w:bCs/>
          <w:kern w:val="3"/>
          <w:sz w:val="22"/>
          <w:szCs w:val="22"/>
        </w:rPr>
        <w:t>содержание</w:t>
      </w:r>
      <w:r w:rsidR="00EC1A78" w:rsidRPr="00EC1A78">
        <w:rPr>
          <w:rFonts w:eastAsia="SimSun"/>
          <w:bCs/>
          <w:kern w:val="3"/>
          <w:sz w:val="22"/>
          <w:szCs w:val="22"/>
          <w:lang w:val="en-US"/>
        </w:rPr>
        <w:t>.</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val="en-US" w:eastAsia="en-US"/>
        </w:rPr>
        <w:t>ABSTRACT</w:t>
      </w:r>
      <w:r w:rsidR="00C56F2E" w:rsidRPr="00C56F2E">
        <w:rPr>
          <w:rFonts w:eastAsiaTheme="minorHAnsi"/>
          <w:bCs/>
          <w:sz w:val="22"/>
          <w:szCs w:val="22"/>
          <w:lang w:val="en-US" w:eastAsia="en-US"/>
        </w:rPr>
        <w:t>:</w:t>
      </w:r>
      <w:r w:rsidRPr="00EC1A78">
        <w:rPr>
          <w:rFonts w:eastAsiaTheme="minorHAnsi"/>
          <w:bCs/>
          <w:sz w:val="22"/>
          <w:szCs w:val="22"/>
          <w:lang w:val="en-US" w:eastAsia="en-US"/>
        </w:rPr>
        <w:t xml:space="preserve"> The goals and objectives of constitutional justice as the highest form of constitutional control are considered. Their</w:t>
      </w:r>
      <w:r w:rsidRPr="00EC1A78">
        <w:rPr>
          <w:rFonts w:eastAsiaTheme="minorHAnsi"/>
          <w:bCs/>
          <w:sz w:val="22"/>
          <w:szCs w:val="22"/>
          <w:lang w:eastAsia="en-US"/>
        </w:rPr>
        <w:t xml:space="preserve"> </w:t>
      </w:r>
      <w:r w:rsidRPr="00EC1A78">
        <w:rPr>
          <w:rFonts w:eastAsiaTheme="minorHAnsi"/>
          <w:bCs/>
          <w:sz w:val="22"/>
          <w:szCs w:val="22"/>
          <w:lang w:val="en-US" w:eastAsia="en-US"/>
        </w:rPr>
        <w:t>content</w:t>
      </w:r>
      <w:r w:rsidRPr="00EC1A78">
        <w:rPr>
          <w:rFonts w:eastAsiaTheme="minorHAnsi"/>
          <w:bCs/>
          <w:sz w:val="22"/>
          <w:szCs w:val="22"/>
          <w:lang w:eastAsia="en-US"/>
        </w:rPr>
        <w:t xml:space="preserve"> </w:t>
      </w:r>
      <w:r w:rsidRPr="00EC1A78">
        <w:rPr>
          <w:rFonts w:eastAsiaTheme="minorHAnsi"/>
          <w:bCs/>
          <w:sz w:val="22"/>
          <w:szCs w:val="22"/>
          <w:lang w:val="en-US" w:eastAsia="en-US"/>
        </w:rPr>
        <w:t>is</w:t>
      </w:r>
      <w:r w:rsidRPr="00EC1A78">
        <w:rPr>
          <w:rFonts w:eastAsiaTheme="minorHAnsi"/>
          <w:bCs/>
          <w:sz w:val="22"/>
          <w:szCs w:val="22"/>
          <w:lang w:eastAsia="en-US"/>
        </w:rPr>
        <w:t xml:space="preserve"> </w:t>
      </w:r>
      <w:r w:rsidRPr="00EC1A78">
        <w:rPr>
          <w:rFonts w:eastAsiaTheme="minorHAnsi"/>
          <w:bCs/>
          <w:sz w:val="22"/>
          <w:szCs w:val="22"/>
          <w:lang w:val="en-US" w:eastAsia="en-US"/>
        </w:rPr>
        <w:t>disclosed</w:t>
      </w:r>
      <w:r w:rsidRPr="00EC1A78">
        <w:rPr>
          <w:rFonts w:eastAsiaTheme="minorHAnsi"/>
          <w:bCs/>
          <w:sz w:val="22"/>
          <w:szCs w:val="22"/>
          <w:lang w:eastAsia="en-US"/>
        </w:rPr>
        <w:t xml:space="preserve">.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КЛЮЧЕВЫЕ СЛОВА: Конституция Российской Федерации, конституционный контроль, конституционное прав</w:t>
      </w:r>
      <w:r w:rsidR="00AB6A0E">
        <w:rPr>
          <w:rFonts w:eastAsiaTheme="minorHAnsi"/>
          <w:bCs/>
          <w:sz w:val="22"/>
          <w:szCs w:val="22"/>
          <w:lang w:eastAsia="en-US"/>
        </w:rPr>
        <w:t xml:space="preserve">осудие, цель, </w:t>
      </w:r>
      <w:r w:rsidRPr="00EC1A78">
        <w:rPr>
          <w:rFonts w:eastAsiaTheme="minorHAnsi"/>
          <w:bCs/>
          <w:sz w:val="22"/>
          <w:szCs w:val="22"/>
          <w:lang w:eastAsia="en-US"/>
        </w:rPr>
        <w:t xml:space="preserve">задачи. </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KEY WORDS: The Constitution of the Russian Federation, const</w:t>
      </w:r>
      <w:r w:rsidRPr="00EC1A78">
        <w:rPr>
          <w:rFonts w:eastAsiaTheme="minorHAnsi"/>
          <w:bCs/>
          <w:sz w:val="22"/>
          <w:szCs w:val="22"/>
          <w:lang w:val="en-US" w:eastAsia="en-US"/>
        </w:rPr>
        <w:t>i</w:t>
      </w:r>
      <w:r w:rsidRPr="00EC1A78">
        <w:rPr>
          <w:rFonts w:eastAsiaTheme="minorHAnsi"/>
          <w:bCs/>
          <w:sz w:val="22"/>
          <w:szCs w:val="22"/>
          <w:lang w:val="en-US" w:eastAsia="en-US"/>
        </w:rPr>
        <w:t>tutional control, constitutional justice, purpose, objectives.</w:t>
      </w:r>
    </w:p>
    <w:p w:rsidR="00EC1A78" w:rsidRPr="00EC1A78" w:rsidRDefault="00EC1A78" w:rsidP="00EC1A78">
      <w:pPr>
        <w:tabs>
          <w:tab w:val="left" w:pos="1410"/>
        </w:tabs>
        <w:ind w:firstLine="426"/>
        <w:jc w:val="both"/>
        <w:rPr>
          <w:color w:val="000000"/>
          <w:sz w:val="22"/>
          <w:szCs w:val="22"/>
          <w:lang w:val="en-US"/>
        </w:rPr>
      </w:pP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Одним из основных элементов государственного органа или общественной организации, как впрочем л</w:t>
      </w:r>
      <w:r w:rsidR="00C56F2E">
        <w:rPr>
          <w:color w:val="000000"/>
          <w:sz w:val="22"/>
          <w:szCs w:val="22"/>
        </w:rPr>
        <w:t xml:space="preserve">юбой организованной структуры, </w:t>
      </w:r>
      <w:r w:rsidRPr="00EC1A78">
        <w:rPr>
          <w:color w:val="000000"/>
          <w:sz w:val="22"/>
          <w:szCs w:val="22"/>
        </w:rPr>
        <w:t>является наличие четко определенных целей и задач. Согласимся, что задач</w:t>
      </w:r>
      <w:r w:rsidR="00C56F2E">
        <w:rPr>
          <w:color w:val="000000"/>
          <w:sz w:val="22"/>
          <w:szCs w:val="22"/>
        </w:rPr>
        <w:t xml:space="preserve">ами, которые перед ними стоят, </w:t>
      </w:r>
      <w:r w:rsidRPr="00EC1A78">
        <w:rPr>
          <w:color w:val="000000"/>
          <w:sz w:val="22"/>
          <w:szCs w:val="22"/>
        </w:rPr>
        <w:t>определяется их назначение. В конкретных целях и задачах того или иного гос</w:t>
      </w:r>
      <w:r w:rsidRPr="00EC1A78">
        <w:rPr>
          <w:color w:val="000000"/>
          <w:sz w:val="22"/>
          <w:szCs w:val="22"/>
        </w:rPr>
        <w:t>у</w:t>
      </w:r>
      <w:r w:rsidRPr="00EC1A78">
        <w:rPr>
          <w:color w:val="000000"/>
          <w:sz w:val="22"/>
          <w:szCs w:val="22"/>
        </w:rPr>
        <w:t>дарственного органа, организации находят свое выражение их су</w:t>
      </w:r>
      <w:r w:rsidRPr="00EC1A78">
        <w:rPr>
          <w:color w:val="000000"/>
          <w:sz w:val="22"/>
          <w:szCs w:val="22"/>
        </w:rPr>
        <w:t>щ</w:t>
      </w:r>
      <w:r w:rsidRPr="00EC1A78">
        <w:rPr>
          <w:color w:val="000000"/>
          <w:sz w:val="22"/>
          <w:szCs w:val="22"/>
        </w:rPr>
        <w:t xml:space="preserve">ность, предмет и пределы функционирования.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Анализ положений Основного закона Российской Федерации позволяет определить правосудие как исключительную деятел</w:t>
      </w:r>
      <w:r w:rsidRPr="00EC1A78">
        <w:rPr>
          <w:color w:val="000000"/>
          <w:sz w:val="22"/>
          <w:szCs w:val="22"/>
        </w:rPr>
        <w:t>ь</w:t>
      </w:r>
      <w:r w:rsidRPr="00EC1A78">
        <w:rPr>
          <w:color w:val="000000"/>
          <w:sz w:val="22"/>
          <w:szCs w:val="22"/>
        </w:rPr>
        <w:t xml:space="preserve">ность, которая осуществляется только судебными </w:t>
      </w:r>
      <w:r w:rsidR="00C56F2E">
        <w:rPr>
          <w:color w:val="000000"/>
          <w:sz w:val="22"/>
          <w:szCs w:val="22"/>
        </w:rPr>
        <w:t>органами. При этом закрепляются</w:t>
      </w:r>
      <w:r w:rsidRPr="00EC1A78">
        <w:rPr>
          <w:color w:val="000000"/>
          <w:sz w:val="22"/>
          <w:szCs w:val="22"/>
        </w:rPr>
        <w:t xml:space="preserve"> четыре формы данной деятельности: гражда</w:t>
      </w:r>
      <w:r w:rsidRPr="00EC1A78">
        <w:rPr>
          <w:color w:val="000000"/>
          <w:sz w:val="22"/>
          <w:szCs w:val="22"/>
        </w:rPr>
        <w:t>н</w:t>
      </w:r>
      <w:r w:rsidRPr="00EC1A78">
        <w:rPr>
          <w:color w:val="000000"/>
          <w:sz w:val="22"/>
          <w:szCs w:val="22"/>
        </w:rPr>
        <w:t>ское, уголовное, административное и конституционное судопрои</w:t>
      </w:r>
      <w:r w:rsidRPr="00EC1A78">
        <w:rPr>
          <w:color w:val="000000"/>
          <w:sz w:val="22"/>
          <w:szCs w:val="22"/>
        </w:rPr>
        <w:t>з</w:t>
      </w:r>
      <w:r w:rsidRPr="00EC1A78">
        <w:rPr>
          <w:color w:val="000000"/>
          <w:sz w:val="22"/>
          <w:szCs w:val="22"/>
        </w:rPr>
        <w:lastRenderedPageBreak/>
        <w:t>водство. Хотя, по нашему мнению можно говорить и об арбитра</w:t>
      </w:r>
      <w:r w:rsidRPr="00EC1A78">
        <w:rPr>
          <w:color w:val="000000"/>
          <w:sz w:val="22"/>
          <w:szCs w:val="22"/>
        </w:rPr>
        <w:t>ж</w:t>
      </w:r>
      <w:r w:rsidRPr="00EC1A78">
        <w:rPr>
          <w:color w:val="000000"/>
          <w:sz w:val="22"/>
          <w:szCs w:val="22"/>
        </w:rPr>
        <w:t>ном судопроизводстве. Но чаще употребляется понятие «арбитра</w:t>
      </w:r>
      <w:r w:rsidRPr="00EC1A78">
        <w:rPr>
          <w:color w:val="000000"/>
          <w:sz w:val="22"/>
          <w:szCs w:val="22"/>
        </w:rPr>
        <w:t>ж</w:t>
      </w:r>
      <w:r w:rsidRPr="00EC1A78">
        <w:rPr>
          <w:color w:val="000000"/>
          <w:sz w:val="22"/>
          <w:szCs w:val="22"/>
        </w:rPr>
        <w:t>ный процесс». Справедливо утверждение, что конституционное правосудие осуществляется посредством конституционного суд</w:t>
      </w:r>
      <w:r w:rsidRPr="00EC1A78">
        <w:rPr>
          <w:color w:val="000000"/>
          <w:sz w:val="22"/>
          <w:szCs w:val="22"/>
        </w:rPr>
        <w:t>о</w:t>
      </w:r>
      <w:r w:rsidRPr="00EC1A78">
        <w:rPr>
          <w:color w:val="000000"/>
          <w:sz w:val="22"/>
          <w:szCs w:val="22"/>
        </w:rPr>
        <w:t xml:space="preserve">производства.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Для определения конкретных целей и задач конституционного прав</w:t>
      </w:r>
      <w:r w:rsidR="00C56F2E">
        <w:rPr>
          <w:color w:val="000000"/>
          <w:sz w:val="22"/>
          <w:szCs w:val="22"/>
        </w:rPr>
        <w:t>осудия и уяснения их содержания</w:t>
      </w:r>
      <w:r w:rsidRPr="00EC1A78">
        <w:rPr>
          <w:color w:val="000000"/>
          <w:sz w:val="22"/>
          <w:szCs w:val="22"/>
        </w:rPr>
        <w:t xml:space="preserve"> необходимо знать цели, з</w:t>
      </w:r>
      <w:r w:rsidRPr="00EC1A78">
        <w:rPr>
          <w:color w:val="000000"/>
          <w:sz w:val="22"/>
          <w:szCs w:val="22"/>
        </w:rPr>
        <w:t>а</w:t>
      </w:r>
      <w:r w:rsidRPr="00EC1A78">
        <w:rPr>
          <w:color w:val="000000"/>
          <w:sz w:val="22"/>
          <w:szCs w:val="22"/>
        </w:rPr>
        <w:t>да</w:t>
      </w:r>
      <w:r w:rsidR="00C56F2E">
        <w:rPr>
          <w:color w:val="000000"/>
          <w:sz w:val="22"/>
          <w:szCs w:val="22"/>
        </w:rPr>
        <w:t>чи, функции и полномочия</w:t>
      </w:r>
      <w:r w:rsidRPr="00EC1A78">
        <w:rPr>
          <w:color w:val="000000"/>
          <w:sz w:val="22"/>
          <w:szCs w:val="22"/>
        </w:rPr>
        <w:t xml:space="preserve"> Конституционного Суда Российской Федерации, так как конституционное правосудие осуществляется органами конституционной юстиции и главным образом высшим органом конституционного контроля, которым и является Конст</w:t>
      </w:r>
      <w:r w:rsidRPr="00EC1A78">
        <w:rPr>
          <w:color w:val="000000"/>
          <w:sz w:val="22"/>
          <w:szCs w:val="22"/>
        </w:rPr>
        <w:t>и</w:t>
      </w:r>
      <w:r w:rsidRPr="00EC1A78">
        <w:rPr>
          <w:color w:val="000000"/>
          <w:sz w:val="22"/>
          <w:szCs w:val="22"/>
        </w:rPr>
        <w:t xml:space="preserve">туционный Суд РФ.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Заметим, что цель и задачи деятельности конституционных с</w:t>
      </w:r>
      <w:r w:rsidRPr="00EC1A78">
        <w:rPr>
          <w:color w:val="000000"/>
          <w:sz w:val="22"/>
          <w:szCs w:val="22"/>
        </w:rPr>
        <w:t>у</w:t>
      </w:r>
      <w:r w:rsidRPr="00EC1A78">
        <w:rPr>
          <w:color w:val="000000"/>
          <w:sz w:val="22"/>
          <w:szCs w:val="22"/>
        </w:rPr>
        <w:t>дов закрепляются, прежде всего, в конституции государства, а та</w:t>
      </w:r>
      <w:r w:rsidRPr="00EC1A78">
        <w:rPr>
          <w:color w:val="000000"/>
          <w:sz w:val="22"/>
          <w:szCs w:val="22"/>
        </w:rPr>
        <w:t>к</w:t>
      </w:r>
      <w:r w:rsidRPr="00EC1A78">
        <w:rPr>
          <w:color w:val="000000"/>
          <w:sz w:val="22"/>
          <w:szCs w:val="22"/>
        </w:rPr>
        <w:t>же в так называемых статутных законах о судах конституционной юстиции, в которых базовые конституционные положения детал</w:t>
      </w:r>
      <w:r w:rsidRPr="00EC1A78">
        <w:rPr>
          <w:color w:val="000000"/>
          <w:sz w:val="22"/>
          <w:szCs w:val="22"/>
        </w:rPr>
        <w:t>и</w:t>
      </w:r>
      <w:r w:rsidRPr="00EC1A78">
        <w:rPr>
          <w:color w:val="000000"/>
          <w:sz w:val="22"/>
          <w:szCs w:val="22"/>
        </w:rPr>
        <w:t>зируются, то есть развиваются.  Цели и задачи данных органов с</w:t>
      </w:r>
      <w:r w:rsidRPr="00EC1A78">
        <w:rPr>
          <w:color w:val="000000"/>
          <w:sz w:val="22"/>
          <w:szCs w:val="22"/>
        </w:rPr>
        <w:t>у</w:t>
      </w:r>
      <w:r w:rsidRPr="00EC1A78">
        <w:rPr>
          <w:color w:val="000000"/>
          <w:sz w:val="22"/>
          <w:szCs w:val="22"/>
        </w:rPr>
        <w:t>дебной власти неразрывно связаны с функциями конституционного правосудия,</w:t>
      </w:r>
      <w:r w:rsidRPr="00EC1A78">
        <w:rPr>
          <w:rFonts w:asciiTheme="minorHAnsi" w:eastAsiaTheme="minorHAnsi" w:hAnsiTheme="minorHAnsi" w:cstheme="minorBidi"/>
          <w:sz w:val="22"/>
          <w:szCs w:val="22"/>
          <w:lang w:eastAsia="en-US"/>
        </w:rPr>
        <w:t xml:space="preserve"> </w:t>
      </w:r>
      <w:r w:rsidRPr="00EC1A78">
        <w:rPr>
          <w:color w:val="000000"/>
          <w:sz w:val="22"/>
          <w:szCs w:val="22"/>
        </w:rPr>
        <w:t>которые выражают главные направления деятельности органов конституционной юстиции, предопределяют осуществл</w:t>
      </w:r>
      <w:r w:rsidRPr="00EC1A78">
        <w:rPr>
          <w:color w:val="000000"/>
          <w:sz w:val="22"/>
          <w:szCs w:val="22"/>
        </w:rPr>
        <w:t>е</w:t>
      </w:r>
      <w:r w:rsidRPr="00EC1A78">
        <w:rPr>
          <w:color w:val="000000"/>
          <w:sz w:val="22"/>
          <w:szCs w:val="22"/>
        </w:rPr>
        <w:t>ние  задач конституционного правосудия. Функции конституцио</w:t>
      </w:r>
      <w:r w:rsidRPr="00EC1A78">
        <w:rPr>
          <w:color w:val="000000"/>
          <w:sz w:val="22"/>
          <w:szCs w:val="22"/>
        </w:rPr>
        <w:t>н</w:t>
      </w:r>
      <w:r w:rsidRPr="00EC1A78">
        <w:rPr>
          <w:color w:val="000000"/>
          <w:sz w:val="22"/>
          <w:szCs w:val="22"/>
        </w:rPr>
        <w:t>ного правосудия могут быть реализованы путем осуществления своих собственных полномочий конституционными судами. В условиях демократического, социального, правового государства конституционнное правосудие выполняет роль главного  или о</w:t>
      </w:r>
      <w:r w:rsidRPr="00EC1A78">
        <w:rPr>
          <w:color w:val="000000"/>
          <w:sz w:val="22"/>
          <w:szCs w:val="22"/>
        </w:rPr>
        <w:t>с</w:t>
      </w:r>
      <w:r w:rsidRPr="00EC1A78">
        <w:rPr>
          <w:color w:val="000000"/>
          <w:sz w:val="22"/>
          <w:szCs w:val="22"/>
        </w:rPr>
        <w:t>новного специализированного средства и механизма обеспечения и защиты конституционного строя, основных прав и свобод человека и гражданина.</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Таким образом, целью конституционного правосудия, деятел</w:t>
      </w:r>
      <w:r w:rsidRPr="00EC1A78">
        <w:rPr>
          <w:color w:val="000000"/>
          <w:sz w:val="22"/>
          <w:szCs w:val="22"/>
        </w:rPr>
        <w:t>ь</w:t>
      </w:r>
      <w:r w:rsidRPr="00EC1A78">
        <w:rPr>
          <w:color w:val="000000"/>
          <w:sz w:val="22"/>
          <w:szCs w:val="22"/>
        </w:rPr>
        <w:t>ности любого органа конституционной юстиции является обеспеч</w:t>
      </w:r>
      <w:r w:rsidRPr="00EC1A78">
        <w:rPr>
          <w:color w:val="000000"/>
          <w:sz w:val="22"/>
          <w:szCs w:val="22"/>
        </w:rPr>
        <w:t>е</w:t>
      </w:r>
      <w:r w:rsidRPr="00EC1A78">
        <w:rPr>
          <w:color w:val="000000"/>
          <w:sz w:val="22"/>
          <w:szCs w:val="22"/>
        </w:rPr>
        <w:t>ние и защита юридических свойств конституции, а именно, ее ве</w:t>
      </w:r>
      <w:r w:rsidRPr="00EC1A78">
        <w:rPr>
          <w:color w:val="000000"/>
          <w:sz w:val="22"/>
          <w:szCs w:val="22"/>
        </w:rPr>
        <w:t>р</w:t>
      </w:r>
      <w:r w:rsidRPr="00EC1A78">
        <w:rPr>
          <w:color w:val="000000"/>
          <w:sz w:val="22"/>
          <w:szCs w:val="22"/>
        </w:rPr>
        <w:t>ховенства, прямого действия. А тем самым обеспечения правового состояния конституционности и установления режима конституц</w:t>
      </w:r>
      <w:r w:rsidRPr="00EC1A78">
        <w:rPr>
          <w:color w:val="000000"/>
          <w:sz w:val="22"/>
          <w:szCs w:val="22"/>
        </w:rPr>
        <w:t>и</w:t>
      </w:r>
      <w:r w:rsidRPr="00EC1A78">
        <w:rPr>
          <w:color w:val="000000"/>
          <w:sz w:val="22"/>
          <w:szCs w:val="22"/>
        </w:rPr>
        <w:t>онной законности.  Задачами конституционного правосудия, фун</w:t>
      </w:r>
      <w:r w:rsidRPr="00EC1A78">
        <w:rPr>
          <w:color w:val="000000"/>
          <w:sz w:val="22"/>
          <w:szCs w:val="22"/>
        </w:rPr>
        <w:t>к</w:t>
      </w:r>
      <w:r w:rsidRPr="00EC1A78">
        <w:rPr>
          <w:color w:val="000000"/>
          <w:sz w:val="22"/>
          <w:szCs w:val="22"/>
        </w:rPr>
        <w:t>ционирования конституционных судов служат обеспечение и защ</w:t>
      </w:r>
      <w:r w:rsidRPr="00EC1A78">
        <w:rPr>
          <w:color w:val="000000"/>
          <w:sz w:val="22"/>
          <w:szCs w:val="22"/>
        </w:rPr>
        <w:t>и</w:t>
      </w:r>
      <w:r w:rsidRPr="00EC1A78">
        <w:rPr>
          <w:color w:val="000000"/>
          <w:sz w:val="22"/>
          <w:szCs w:val="22"/>
        </w:rPr>
        <w:t>та основ конституционного строя, базовых конституционных иде</w:t>
      </w:r>
      <w:r w:rsidRPr="00EC1A78">
        <w:rPr>
          <w:color w:val="000000"/>
          <w:sz w:val="22"/>
          <w:szCs w:val="22"/>
        </w:rPr>
        <w:t>а</w:t>
      </w:r>
      <w:r w:rsidRPr="00EC1A78">
        <w:rPr>
          <w:color w:val="000000"/>
          <w:sz w:val="22"/>
          <w:szCs w:val="22"/>
        </w:rPr>
        <w:t>лов и ценностей. Поскольку Россия федеративное государство, в субъектах могут создаваться и создаются конституционные (уста</w:t>
      </w:r>
      <w:r w:rsidRPr="00EC1A78">
        <w:rPr>
          <w:color w:val="000000"/>
          <w:sz w:val="22"/>
          <w:szCs w:val="22"/>
        </w:rPr>
        <w:t>в</w:t>
      </w:r>
      <w:r w:rsidRPr="00EC1A78">
        <w:rPr>
          <w:color w:val="000000"/>
          <w:sz w:val="22"/>
          <w:szCs w:val="22"/>
        </w:rPr>
        <w:lastRenderedPageBreak/>
        <w:t>ные) суды. На сегодняшний день лишь малая часть субъектов  во</w:t>
      </w:r>
      <w:r w:rsidRPr="00EC1A78">
        <w:rPr>
          <w:color w:val="000000"/>
          <w:sz w:val="22"/>
          <w:szCs w:val="22"/>
        </w:rPr>
        <w:t>с</w:t>
      </w:r>
      <w:r w:rsidRPr="00EC1A78">
        <w:rPr>
          <w:color w:val="000000"/>
          <w:sz w:val="22"/>
          <w:szCs w:val="22"/>
        </w:rPr>
        <w:t>пользовалась этим правом. И хотя целью их деятельности является установление конституционной (уставной) законности на террит</w:t>
      </w:r>
      <w:r w:rsidRPr="00EC1A78">
        <w:rPr>
          <w:color w:val="000000"/>
          <w:sz w:val="22"/>
          <w:szCs w:val="22"/>
        </w:rPr>
        <w:t>о</w:t>
      </w:r>
      <w:r w:rsidRPr="00EC1A78">
        <w:rPr>
          <w:color w:val="000000"/>
          <w:sz w:val="22"/>
          <w:szCs w:val="22"/>
        </w:rPr>
        <w:t>рии конкретного от</w:t>
      </w:r>
      <w:r w:rsidR="00C56F2E">
        <w:rPr>
          <w:color w:val="000000"/>
          <w:sz w:val="22"/>
          <w:szCs w:val="22"/>
        </w:rPr>
        <w:t>дельно взятого субъекта России,</w:t>
      </w:r>
      <w:r w:rsidRPr="00EC1A78">
        <w:rPr>
          <w:color w:val="000000"/>
          <w:sz w:val="22"/>
          <w:szCs w:val="22"/>
        </w:rPr>
        <w:t xml:space="preserve"> речь идет о двухуровневой системе органов конституционного</w:t>
      </w:r>
      <w:r w:rsidR="00C56F2E">
        <w:rPr>
          <w:color w:val="000000"/>
          <w:sz w:val="22"/>
          <w:szCs w:val="22"/>
        </w:rPr>
        <w:t xml:space="preserve"> контроля в нашем государстве. А поэтому, на наш взгляд, лишь</w:t>
      </w:r>
      <w:r w:rsidRPr="00EC1A78">
        <w:rPr>
          <w:color w:val="000000"/>
          <w:sz w:val="22"/>
          <w:szCs w:val="22"/>
        </w:rPr>
        <w:t xml:space="preserve"> с созданием органов конституционного (уставного) правосудия во всех субъе</w:t>
      </w:r>
      <w:r w:rsidRPr="00EC1A78">
        <w:rPr>
          <w:color w:val="000000"/>
          <w:sz w:val="22"/>
          <w:szCs w:val="22"/>
        </w:rPr>
        <w:t>к</w:t>
      </w:r>
      <w:r w:rsidRPr="00EC1A78">
        <w:rPr>
          <w:color w:val="000000"/>
          <w:sz w:val="22"/>
          <w:szCs w:val="22"/>
        </w:rPr>
        <w:t>тах Российской Федерации завершится формирование единой с</w:t>
      </w:r>
      <w:r w:rsidRPr="00EC1A78">
        <w:rPr>
          <w:color w:val="000000"/>
          <w:sz w:val="22"/>
          <w:szCs w:val="22"/>
        </w:rPr>
        <w:t>и</w:t>
      </w:r>
      <w:r w:rsidRPr="00EC1A78">
        <w:rPr>
          <w:color w:val="000000"/>
          <w:sz w:val="22"/>
          <w:szCs w:val="22"/>
        </w:rPr>
        <w:t>стемы судебного конституционного контроля, а таким образом в итоге формирование единой системы конституционного правос</w:t>
      </w:r>
      <w:r w:rsidRPr="00EC1A78">
        <w:rPr>
          <w:color w:val="000000"/>
          <w:sz w:val="22"/>
          <w:szCs w:val="22"/>
        </w:rPr>
        <w:t>у</w:t>
      </w:r>
      <w:r w:rsidRPr="00EC1A78">
        <w:rPr>
          <w:color w:val="000000"/>
          <w:sz w:val="22"/>
          <w:szCs w:val="22"/>
        </w:rPr>
        <w:t>дия.</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Но для этого необходимо создание правовых основ организ</w:t>
      </w:r>
      <w:r w:rsidRPr="00EC1A78">
        <w:rPr>
          <w:color w:val="000000"/>
          <w:sz w:val="22"/>
          <w:szCs w:val="22"/>
        </w:rPr>
        <w:t>а</w:t>
      </w:r>
      <w:r w:rsidRPr="00EC1A78">
        <w:rPr>
          <w:color w:val="000000"/>
          <w:sz w:val="22"/>
          <w:szCs w:val="22"/>
        </w:rPr>
        <w:t>ции и деятельности конституционных (уставных) судов субъектов Российской Федерации. По нашему мнению наиболее эффективным  решением  данного вопроса может стать принятие федерального конституционного закона о конституционных (уставных) судах субъектов Российской Федерации, в котором была бы установлена эмпирическая норма (в отличие от существующей диспозитивной), устанавливающая обязанность субъектов Российской Федерации создавать конституционные (уставные) суды.</w:t>
      </w:r>
    </w:p>
    <w:p w:rsidR="00EC1A78" w:rsidRDefault="00EC1A78" w:rsidP="00EC1A78">
      <w:pPr>
        <w:ind w:firstLine="426"/>
        <w:jc w:val="both"/>
        <w:rPr>
          <w:rFonts w:eastAsiaTheme="minorHAnsi"/>
          <w:sz w:val="22"/>
          <w:szCs w:val="22"/>
          <w:lang w:eastAsia="en-US"/>
        </w:rPr>
      </w:pPr>
    </w:p>
    <w:p w:rsidR="00C56F2E" w:rsidRPr="00EC1A78" w:rsidRDefault="00C56F2E" w:rsidP="00C42DAC">
      <w:pPr>
        <w:jc w:val="both"/>
        <w:rPr>
          <w:rFonts w:eastAsiaTheme="minorHAnsi"/>
          <w:sz w:val="22"/>
          <w:szCs w:val="22"/>
          <w:lang w:eastAsia="en-US"/>
        </w:rPr>
      </w:pP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t>УДК 347.2</w:t>
      </w:r>
    </w:p>
    <w:p w:rsidR="00EC1A78" w:rsidRPr="00EC1A78" w:rsidRDefault="00EC1A78" w:rsidP="00EC1A78">
      <w:pPr>
        <w:rPr>
          <w:rFonts w:eastAsiaTheme="minorHAnsi"/>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Гражданско–правовой статус машино–мест</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Civil status of Parking spaces</w:t>
      </w:r>
    </w:p>
    <w:p w:rsidR="00EC1A78" w:rsidRPr="00EC1A78" w:rsidRDefault="00EC1A78" w:rsidP="00EC1A78">
      <w:pPr>
        <w:tabs>
          <w:tab w:val="left" w:pos="4570"/>
        </w:tabs>
        <w:jc w:val="right"/>
        <w:rPr>
          <w:rFonts w:eastAsiaTheme="minorHAnsi"/>
          <w:sz w:val="22"/>
          <w:szCs w:val="22"/>
          <w:lang w:val="en-US" w:eastAsia="en-US"/>
        </w:rPr>
      </w:pPr>
    </w:p>
    <w:p w:rsidR="00EC1A78" w:rsidRPr="00EC1A78" w:rsidRDefault="00EC1A78" w:rsidP="00EC1A78">
      <w:pPr>
        <w:tabs>
          <w:tab w:val="left" w:pos="4570"/>
        </w:tabs>
        <w:jc w:val="right"/>
        <w:rPr>
          <w:rFonts w:eastAsiaTheme="minorHAnsi"/>
          <w:sz w:val="22"/>
          <w:szCs w:val="22"/>
          <w:lang w:val="en-US" w:eastAsia="en-US"/>
        </w:rPr>
      </w:pPr>
      <w:r w:rsidRPr="00EC1A78">
        <w:rPr>
          <w:rFonts w:eastAsiaTheme="minorHAnsi"/>
          <w:sz w:val="22"/>
          <w:szCs w:val="22"/>
          <w:lang w:eastAsia="en-US"/>
        </w:rPr>
        <w:t>Антонян</w:t>
      </w:r>
      <w:r w:rsidRPr="00EC1A78">
        <w:rPr>
          <w:rFonts w:eastAsiaTheme="minorHAnsi"/>
          <w:sz w:val="22"/>
          <w:szCs w:val="22"/>
          <w:lang w:val="en-US" w:eastAsia="en-US"/>
        </w:rPr>
        <w:t xml:space="preserve"> </w:t>
      </w:r>
      <w:r w:rsidRPr="00EC1A78">
        <w:rPr>
          <w:rFonts w:eastAsiaTheme="minorHAnsi"/>
          <w:sz w:val="22"/>
          <w:szCs w:val="22"/>
          <w:lang w:eastAsia="en-US"/>
        </w:rPr>
        <w:t>А</w:t>
      </w:r>
      <w:r w:rsidRPr="00EC1A78">
        <w:rPr>
          <w:rFonts w:eastAsiaTheme="minorHAnsi"/>
          <w:sz w:val="22"/>
          <w:szCs w:val="22"/>
          <w:lang w:val="en-US" w:eastAsia="en-US"/>
        </w:rPr>
        <w:t>.</w:t>
      </w:r>
      <w:r w:rsidR="00C56F2E" w:rsidRPr="00E62E4B">
        <w:rPr>
          <w:rFonts w:eastAsiaTheme="minorHAnsi"/>
          <w:sz w:val="22"/>
          <w:szCs w:val="22"/>
          <w:lang w:val="en-US" w:eastAsia="en-US"/>
        </w:rPr>
        <w:t xml:space="preserve"> </w:t>
      </w:r>
      <w:r w:rsidRPr="00EC1A78">
        <w:rPr>
          <w:rFonts w:eastAsiaTheme="minorHAnsi"/>
          <w:sz w:val="22"/>
          <w:szCs w:val="22"/>
          <w:lang w:eastAsia="en-US"/>
        </w:rPr>
        <w:t>А</w:t>
      </w:r>
      <w:r w:rsidRPr="00EC1A78">
        <w:rPr>
          <w:rFonts w:eastAsiaTheme="minorHAnsi"/>
          <w:sz w:val="22"/>
          <w:szCs w:val="22"/>
          <w:lang w:val="en-US" w:eastAsia="en-US"/>
        </w:rPr>
        <w:t>.,</w:t>
      </w:r>
    </w:p>
    <w:p w:rsidR="00EC1A78" w:rsidRPr="00EC1A78" w:rsidRDefault="00EC1A78" w:rsidP="00EC1A78">
      <w:pPr>
        <w:tabs>
          <w:tab w:val="left" w:pos="4570"/>
        </w:tabs>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tabs>
          <w:tab w:val="left" w:pos="4570"/>
        </w:tabs>
        <w:jc w:val="right"/>
        <w:rPr>
          <w:rFonts w:eastAsiaTheme="minorHAnsi"/>
          <w:sz w:val="22"/>
          <w:szCs w:val="22"/>
          <w:lang w:eastAsia="en-US"/>
        </w:rPr>
      </w:pPr>
      <w:r w:rsidRPr="00EC1A78">
        <w:rPr>
          <w:rFonts w:eastAsiaTheme="minorHAnsi"/>
          <w:sz w:val="22"/>
          <w:szCs w:val="22"/>
          <w:lang w:eastAsia="en-US"/>
        </w:rPr>
        <w:t>Кончаков А.</w:t>
      </w:r>
      <w:r w:rsidR="00C56F2E">
        <w:rPr>
          <w:rFonts w:eastAsiaTheme="minorHAnsi"/>
          <w:sz w:val="22"/>
          <w:szCs w:val="22"/>
          <w:lang w:eastAsia="en-US"/>
        </w:rPr>
        <w:t xml:space="preserve"> </w:t>
      </w:r>
      <w:r w:rsidRPr="00EC1A78">
        <w:rPr>
          <w:rFonts w:eastAsiaTheme="minorHAnsi"/>
          <w:sz w:val="22"/>
          <w:szCs w:val="22"/>
          <w:lang w:eastAsia="en-US"/>
        </w:rPr>
        <w:t>Б.,</w:t>
      </w:r>
    </w:p>
    <w:p w:rsidR="00EC1A78" w:rsidRPr="00EC1A78" w:rsidRDefault="00EC1A78" w:rsidP="00EC1A78">
      <w:pPr>
        <w:tabs>
          <w:tab w:val="left" w:pos="4570"/>
        </w:tabs>
        <w:jc w:val="right"/>
        <w:rPr>
          <w:rFonts w:eastAsiaTheme="minorHAnsi"/>
          <w:sz w:val="22"/>
          <w:szCs w:val="22"/>
          <w:lang w:eastAsia="en-US"/>
        </w:rPr>
      </w:pPr>
      <w:r w:rsidRPr="00EC1A78">
        <w:rPr>
          <w:sz w:val="22"/>
          <w:szCs w:val="22"/>
          <w:lang w:eastAsia="en-US"/>
        </w:rPr>
        <w:t>преподаватель кафедры гражданского права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tabs>
          <w:tab w:val="left" w:pos="4570"/>
        </w:tabs>
        <w:jc w:val="right"/>
        <w:rPr>
          <w:rFonts w:eastAsiaTheme="minorHAnsi"/>
          <w:sz w:val="22"/>
          <w:szCs w:val="22"/>
          <w:lang w:eastAsia="en-US"/>
        </w:rPr>
      </w:pPr>
      <w:r w:rsidRPr="00EC1A78">
        <w:rPr>
          <w:rFonts w:eastAsia="Courier New"/>
          <w:color w:val="000000"/>
          <w:sz w:val="22"/>
          <w:szCs w:val="22"/>
          <w:lang w:eastAsia="en-US"/>
        </w:rPr>
        <w:t>университет имени И.</w:t>
      </w:r>
      <w:r w:rsidR="00C56F2E">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tabs>
          <w:tab w:val="left" w:pos="4570"/>
        </w:tabs>
        <w:jc w:val="both"/>
        <w:rPr>
          <w:rFonts w:eastAsiaTheme="minorHAnsi"/>
          <w:sz w:val="22"/>
          <w:szCs w:val="22"/>
          <w:lang w:eastAsia="en-US"/>
        </w:rPr>
      </w:pPr>
    </w:p>
    <w:p w:rsidR="00EC1A78" w:rsidRPr="00EC1A78" w:rsidRDefault="00EC1A78" w:rsidP="00C42DAC">
      <w:pPr>
        <w:tabs>
          <w:tab w:val="left" w:pos="4570"/>
        </w:tabs>
        <w:ind w:firstLine="426"/>
        <w:jc w:val="both"/>
        <w:rPr>
          <w:rFonts w:eastAsiaTheme="minorHAnsi"/>
          <w:sz w:val="22"/>
          <w:szCs w:val="22"/>
          <w:lang w:eastAsia="en-US"/>
        </w:rPr>
      </w:pPr>
      <w:r w:rsidRPr="00EC1A78">
        <w:rPr>
          <w:rFonts w:eastAsiaTheme="minorHAnsi"/>
          <w:sz w:val="22"/>
          <w:szCs w:val="22"/>
          <w:lang w:eastAsia="en-US"/>
        </w:rPr>
        <w:t>АННОТАЦИЯ: В статье исследуется гражданско–правовой статус машино–мест. Анализируется законодательство регулиру</w:t>
      </w:r>
      <w:r w:rsidRPr="00EC1A78">
        <w:rPr>
          <w:rFonts w:eastAsiaTheme="minorHAnsi"/>
          <w:sz w:val="22"/>
          <w:szCs w:val="22"/>
          <w:lang w:eastAsia="en-US"/>
        </w:rPr>
        <w:t>ю</w:t>
      </w:r>
      <w:r w:rsidRPr="00EC1A78">
        <w:rPr>
          <w:rFonts w:eastAsiaTheme="minorHAnsi"/>
          <w:sz w:val="22"/>
          <w:szCs w:val="22"/>
          <w:lang w:eastAsia="en-US"/>
        </w:rPr>
        <w:t>щие оборот машино–мест. Выявлены проблемы правового регул</w:t>
      </w:r>
      <w:r w:rsidRPr="00EC1A78">
        <w:rPr>
          <w:rFonts w:eastAsiaTheme="minorHAnsi"/>
          <w:sz w:val="22"/>
          <w:szCs w:val="22"/>
          <w:lang w:eastAsia="en-US"/>
        </w:rPr>
        <w:t>и</w:t>
      </w:r>
      <w:r w:rsidRPr="00EC1A78">
        <w:rPr>
          <w:rFonts w:eastAsiaTheme="minorHAnsi"/>
          <w:sz w:val="22"/>
          <w:szCs w:val="22"/>
          <w:lang w:eastAsia="en-US"/>
        </w:rPr>
        <w:t>рования общественных отношений, связанных с машино–местом.</w:t>
      </w:r>
    </w:p>
    <w:p w:rsidR="00EC1A78" w:rsidRPr="00EC1A78" w:rsidRDefault="00EC1A78" w:rsidP="00C42DAC">
      <w:pPr>
        <w:tabs>
          <w:tab w:val="left" w:pos="4570"/>
        </w:tabs>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lastRenderedPageBreak/>
        <w:t>ABSTRACT: This article examines civil–law status of the Parking areas. The legislation regulating the turnover of Parking spaces is an</w:t>
      </w:r>
      <w:r w:rsidRPr="00EC1A78">
        <w:rPr>
          <w:rFonts w:eastAsiaTheme="minorHAnsi"/>
          <w:color w:val="000000" w:themeColor="text1"/>
          <w:sz w:val="22"/>
          <w:szCs w:val="22"/>
          <w:lang w:val="en-US" w:eastAsia="en-US"/>
        </w:rPr>
        <w:t>a</w:t>
      </w:r>
      <w:r w:rsidRPr="00EC1A78">
        <w:rPr>
          <w:rFonts w:eastAsiaTheme="minorHAnsi"/>
          <w:color w:val="000000" w:themeColor="text1"/>
          <w:sz w:val="22"/>
          <w:szCs w:val="22"/>
          <w:lang w:val="en-US" w:eastAsia="en-US"/>
        </w:rPr>
        <w:t>lyzed. The problems of legal regulation of social relations connected with the Parking space are revealed.</w:t>
      </w:r>
    </w:p>
    <w:p w:rsidR="00EC1A78" w:rsidRPr="00EC1A78" w:rsidRDefault="00EC1A78" w:rsidP="00EC1A78">
      <w:pPr>
        <w:tabs>
          <w:tab w:val="left" w:pos="4570"/>
        </w:tabs>
        <w:ind w:firstLine="426"/>
        <w:jc w:val="both"/>
        <w:rPr>
          <w:rFonts w:eastAsiaTheme="minorHAnsi"/>
          <w:sz w:val="22"/>
          <w:szCs w:val="22"/>
          <w:lang w:eastAsia="en-US"/>
        </w:rPr>
      </w:pPr>
      <w:r w:rsidRPr="00EC1A78">
        <w:rPr>
          <w:rFonts w:eastAsiaTheme="minorHAnsi"/>
          <w:sz w:val="22"/>
          <w:szCs w:val="22"/>
          <w:lang w:eastAsia="en-US"/>
        </w:rPr>
        <w:t>КЛЮЧЕВЫЕ СЛОВА: объекты гражданских прав, недвиж</w:t>
      </w:r>
      <w:r w:rsidRPr="00EC1A78">
        <w:rPr>
          <w:rFonts w:eastAsiaTheme="minorHAnsi"/>
          <w:sz w:val="22"/>
          <w:szCs w:val="22"/>
          <w:lang w:eastAsia="en-US"/>
        </w:rPr>
        <w:t>и</w:t>
      </w:r>
      <w:r w:rsidRPr="00EC1A78">
        <w:rPr>
          <w:rFonts w:eastAsiaTheme="minorHAnsi"/>
          <w:sz w:val="22"/>
          <w:szCs w:val="22"/>
          <w:lang w:eastAsia="en-US"/>
        </w:rPr>
        <w:t>мость, машино–место, общее имущество.</w:t>
      </w:r>
    </w:p>
    <w:p w:rsidR="00EC1A78" w:rsidRPr="00EC1A78" w:rsidRDefault="00EC1A78" w:rsidP="00EC1A78">
      <w:pPr>
        <w:tabs>
          <w:tab w:val="left" w:pos="4570"/>
        </w:tabs>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KEYWORDS: objects of civil rights, real estate, Parking space, common property.</w:t>
      </w:r>
    </w:p>
    <w:p w:rsidR="00EC1A78" w:rsidRPr="00EC1A78" w:rsidRDefault="00EC1A78" w:rsidP="00EC1A78">
      <w:pPr>
        <w:jc w:val="center"/>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После вступления 01.01.2017 в силу изменений в Федеральный закон «О внесении изменений в часть первую Гражданского коде</w:t>
      </w:r>
      <w:r w:rsidRPr="00EC1A78">
        <w:rPr>
          <w:rFonts w:eastAsiaTheme="minorHAnsi"/>
          <w:sz w:val="22"/>
          <w:szCs w:val="22"/>
          <w:lang w:eastAsia="en-US"/>
        </w:rPr>
        <w:t>к</w:t>
      </w:r>
      <w:r w:rsidRPr="00EC1A78">
        <w:rPr>
          <w:rFonts w:eastAsiaTheme="minorHAnsi"/>
          <w:sz w:val="22"/>
          <w:szCs w:val="22"/>
          <w:lang w:eastAsia="en-US"/>
        </w:rPr>
        <w:t>са Российской Федерации и отдельные акты Российской Федер</w:t>
      </w:r>
      <w:r w:rsidRPr="00EC1A78">
        <w:rPr>
          <w:rFonts w:eastAsiaTheme="minorHAnsi"/>
          <w:sz w:val="22"/>
          <w:szCs w:val="22"/>
          <w:lang w:eastAsia="en-US"/>
        </w:rPr>
        <w:t>а</w:t>
      </w:r>
      <w:r w:rsidRPr="00EC1A78">
        <w:rPr>
          <w:rFonts w:eastAsiaTheme="minorHAnsi"/>
          <w:sz w:val="22"/>
          <w:szCs w:val="22"/>
          <w:lang w:eastAsia="en-US"/>
        </w:rPr>
        <w:t>ции» от 3 июля 2016г. № 315–ФЗ, перечень объектов недвижимости в Российской Федерации пополнился новым видом объектов – м</w:t>
      </w:r>
      <w:r w:rsidRPr="00EC1A78">
        <w:rPr>
          <w:rFonts w:eastAsiaTheme="minorHAnsi"/>
          <w:sz w:val="22"/>
          <w:szCs w:val="22"/>
          <w:lang w:eastAsia="en-US"/>
        </w:rPr>
        <w:t>а</w:t>
      </w:r>
      <w:r w:rsidRPr="00EC1A78">
        <w:rPr>
          <w:rFonts w:eastAsiaTheme="minorHAnsi"/>
          <w:sz w:val="22"/>
          <w:szCs w:val="22"/>
          <w:lang w:eastAsia="en-US"/>
        </w:rPr>
        <w:t xml:space="preserve">шино–местом.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Практическая необходимость уточнения статуса машино–места как объекта недвижимости была обусловлена участием машино–мест в гражданском обороте и отсутствием должного правового р</w:t>
      </w:r>
      <w:r w:rsidRPr="00EC1A78">
        <w:rPr>
          <w:rFonts w:eastAsiaTheme="minorHAnsi"/>
          <w:sz w:val="22"/>
          <w:szCs w:val="22"/>
          <w:lang w:eastAsia="en-US"/>
        </w:rPr>
        <w:t>е</w:t>
      </w:r>
      <w:r w:rsidRPr="00EC1A78">
        <w:rPr>
          <w:rFonts w:eastAsiaTheme="minorHAnsi"/>
          <w:sz w:val="22"/>
          <w:szCs w:val="22"/>
          <w:lang w:eastAsia="en-US"/>
        </w:rPr>
        <w:t>гулирования. Фактически права на машино–место оформлялись как доля в праве общей собственности, так как машино–место очень часто не имеет конструктивных границ (ограждений, стен, перег</w:t>
      </w:r>
      <w:r w:rsidRPr="00EC1A78">
        <w:rPr>
          <w:rFonts w:eastAsiaTheme="minorHAnsi"/>
          <w:sz w:val="22"/>
          <w:szCs w:val="22"/>
          <w:lang w:eastAsia="en-US"/>
        </w:rPr>
        <w:t>о</w:t>
      </w:r>
      <w:r w:rsidRPr="00EC1A78">
        <w:rPr>
          <w:rFonts w:eastAsiaTheme="minorHAnsi"/>
          <w:sz w:val="22"/>
          <w:szCs w:val="22"/>
          <w:lang w:eastAsia="en-US"/>
        </w:rPr>
        <w:t>родок), что не позволяло определять такой объект в качестве сам</w:t>
      </w:r>
      <w:r w:rsidRPr="00EC1A78">
        <w:rPr>
          <w:rFonts w:eastAsiaTheme="minorHAnsi"/>
          <w:sz w:val="22"/>
          <w:szCs w:val="22"/>
          <w:lang w:eastAsia="en-US"/>
        </w:rPr>
        <w:t>о</w:t>
      </w:r>
      <w:r w:rsidRPr="00EC1A78">
        <w:rPr>
          <w:rFonts w:eastAsiaTheme="minorHAnsi"/>
          <w:sz w:val="22"/>
          <w:szCs w:val="22"/>
          <w:lang w:eastAsia="en-US"/>
        </w:rPr>
        <w:t>стоятельного объекта недвижимости. В качестве объекта недвиж</w:t>
      </w:r>
      <w:r w:rsidRPr="00EC1A78">
        <w:rPr>
          <w:rFonts w:eastAsiaTheme="minorHAnsi"/>
          <w:sz w:val="22"/>
          <w:szCs w:val="22"/>
          <w:lang w:eastAsia="en-US"/>
        </w:rPr>
        <w:t>и</w:t>
      </w:r>
      <w:r w:rsidRPr="00EC1A78">
        <w:rPr>
          <w:rFonts w:eastAsiaTheme="minorHAnsi"/>
          <w:sz w:val="22"/>
          <w:szCs w:val="22"/>
          <w:lang w:eastAsia="en-US"/>
        </w:rPr>
        <w:t>мости в этой ситуации выступало помещение в пределах этажа зд</w:t>
      </w:r>
      <w:r w:rsidRPr="00EC1A78">
        <w:rPr>
          <w:rFonts w:eastAsiaTheme="minorHAnsi"/>
          <w:sz w:val="22"/>
          <w:szCs w:val="22"/>
          <w:lang w:eastAsia="en-US"/>
        </w:rPr>
        <w:t>а</w:t>
      </w:r>
      <w:r w:rsidRPr="00EC1A78">
        <w:rPr>
          <w:rFonts w:eastAsiaTheme="minorHAnsi"/>
          <w:sz w:val="22"/>
          <w:szCs w:val="22"/>
          <w:lang w:eastAsia="en-US"/>
        </w:rPr>
        <w:t>ния, на котором располагались стояночные места.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Понятие машино–места закреплено в п. 29 ст. 1 Градостро</w:t>
      </w:r>
      <w:r w:rsidRPr="00EC1A78">
        <w:rPr>
          <w:rFonts w:eastAsiaTheme="minorHAnsi"/>
          <w:sz w:val="22"/>
          <w:szCs w:val="22"/>
          <w:lang w:eastAsia="en-US"/>
        </w:rPr>
        <w:t>и</w:t>
      </w:r>
      <w:r w:rsidRPr="00EC1A78">
        <w:rPr>
          <w:rFonts w:eastAsiaTheme="minorHAnsi"/>
          <w:sz w:val="22"/>
          <w:szCs w:val="22"/>
          <w:lang w:eastAsia="en-US"/>
        </w:rPr>
        <w:t>тельного кодекса Российской Федерации, в соответствии с которым машино–место – это предназначенная исключительно для размещ</w:t>
      </w:r>
      <w:r w:rsidRPr="00EC1A78">
        <w:rPr>
          <w:rFonts w:eastAsiaTheme="minorHAnsi"/>
          <w:sz w:val="22"/>
          <w:szCs w:val="22"/>
          <w:lang w:eastAsia="en-US"/>
        </w:rPr>
        <w:t>е</w:t>
      </w:r>
      <w:r w:rsidRPr="00EC1A78">
        <w:rPr>
          <w:rFonts w:eastAsiaTheme="minorHAnsi"/>
          <w:sz w:val="22"/>
          <w:szCs w:val="22"/>
          <w:lang w:eastAsia="en-US"/>
        </w:rPr>
        <w:t>ния транспортного средства индивидуально–определенная часть здания или сооружения, которая не ограничена либо частично огр</w:t>
      </w:r>
      <w:r w:rsidRPr="00EC1A78">
        <w:rPr>
          <w:rFonts w:eastAsiaTheme="minorHAnsi"/>
          <w:sz w:val="22"/>
          <w:szCs w:val="22"/>
          <w:lang w:eastAsia="en-US"/>
        </w:rPr>
        <w:t>а</w:t>
      </w:r>
      <w:r w:rsidRPr="00EC1A78">
        <w:rPr>
          <w:rFonts w:eastAsiaTheme="minorHAnsi"/>
          <w:sz w:val="22"/>
          <w:szCs w:val="22"/>
          <w:lang w:eastAsia="en-US"/>
        </w:rPr>
        <w:t>ничена строительной или иной ограждающей конструкцией и гр</w:t>
      </w:r>
      <w:r w:rsidRPr="00EC1A78">
        <w:rPr>
          <w:rFonts w:eastAsiaTheme="minorHAnsi"/>
          <w:sz w:val="22"/>
          <w:szCs w:val="22"/>
          <w:lang w:eastAsia="en-US"/>
        </w:rPr>
        <w:t>а</w:t>
      </w:r>
      <w:r w:rsidRPr="00EC1A78">
        <w:rPr>
          <w:rFonts w:eastAsiaTheme="minorHAnsi"/>
          <w:sz w:val="22"/>
          <w:szCs w:val="22"/>
          <w:lang w:eastAsia="en-US"/>
        </w:rPr>
        <w:t>ницы которой описаны в установленном законом порядке.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 общепринятой классификации объекты недвижимости пр</w:t>
      </w:r>
      <w:r w:rsidRPr="00EC1A78">
        <w:rPr>
          <w:rFonts w:eastAsiaTheme="minorHAnsi"/>
          <w:sz w:val="22"/>
          <w:szCs w:val="22"/>
          <w:lang w:eastAsia="en-US"/>
        </w:rPr>
        <w:t>и</w:t>
      </w:r>
      <w:r w:rsidRPr="00EC1A78">
        <w:rPr>
          <w:rFonts w:eastAsiaTheme="minorHAnsi"/>
          <w:sz w:val="22"/>
          <w:szCs w:val="22"/>
          <w:lang w:eastAsia="en-US"/>
        </w:rPr>
        <w:t>нято делить на объекты, причисленные к недвижимому имуществу в силу их неразрывной связи с землей и объекты, отнесенные к н</w:t>
      </w:r>
      <w:r w:rsidRPr="00EC1A78">
        <w:rPr>
          <w:rFonts w:eastAsiaTheme="minorHAnsi"/>
          <w:sz w:val="22"/>
          <w:szCs w:val="22"/>
          <w:lang w:eastAsia="en-US"/>
        </w:rPr>
        <w:t>е</w:t>
      </w:r>
      <w:r w:rsidRPr="00EC1A78">
        <w:rPr>
          <w:rFonts w:eastAsiaTheme="minorHAnsi"/>
          <w:sz w:val="22"/>
          <w:szCs w:val="22"/>
          <w:lang w:eastAsia="en-US"/>
        </w:rPr>
        <w:t>движимому имуществу в силу прямого указания закона. Такой об</w:t>
      </w:r>
      <w:r w:rsidRPr="00EC1A78">
        <w:rPr>
          <w:rFonts w:eastAsiaTheme="minorHAnsi"/>
          <w:sz w:val="22"/>
          <w:szCs w:val="22"/>
          <w:lang w:eastAsia="en-US"/>
        </w:rPr>
        <w:t>ъ</w:t>
      </w:r>
      <w:r w:rsidRPr="00EC1A78">
        <w:rPr>
          <w:rFonts w:eastAsiaTheme="minorHAnsi"/>
          <w:sz w:val="22"/>
          <w:szCs w:val="22"/>
          <w:lang w:eastAsia="en-US"/>
        </w:rPr>
        <w:t>ект как машино–место, имеет признаки как одной, так и другой к</w:t>
      </w:r>
      <w:r w:rsidRPr="00EC1A78">
        <w:rPr>
          <w:rFonts w:eastAsiaTheme="minorHAnsi"/>
          <w:sz w:val="22"/>
          <w:szCs w:val="22"/>
          <w:lang w:eastAsia="en-US"/>
        </w:rPr>
        <w:t>а</w:t>
      </w:r>
      <w:r w:rsidRPr="00EC1A78">
        <w:rPr>
          <w:rFonts w:eastAsiaTheme="minorHAnsi"/>
          <w:sz w:val="22"/>
          <w:szCs w:val="22"/>
          <w:lang w:eastAsia="en-US"/>
        </w:rPr>
        <w:t xml:space="preserve">тегории объектов. С одной стороны существует неразрывная связь с </w:t>
      </w:r>
      <w:r w:rsidRPr="00EC1A78">
        <w:rPr>
          <w:rFonts w:eastAsiaTheme="minorHAnsi"/>
          <w:sz w:val="22"/>
          <w:szCs w:val="22"/>
          <w:lang w:eastAsia="en-US"/>
        </w:rPr>
        <w:lastRenderedPageBreak/>
        <w:t>землей (помещение – есть составная часть здания), с другой стор</w:t>
      </w:r>
      <w:r w:rsidRPr="00EC1A78">
        <w:rPr>
          <w:rFonts w:eastAsiaTheme="minorHAnsi"/>
          <w:sz w:val="22"/>
          <w:szCs w:val="22"/>
          <w:lang w:eastAsia="en-US"/>
        </w:rPr>
        <w:t>о</w:t>
      </w:r>
      <w:r w:rsidRPr="00EC1A78">
        <w:rPr>
          <w:rFonts w:eastAsiaTheme="minorHAnsi"/>
          <w:sz w:val="22"/>
          <w:szCs w:val="22"/>
          <w:lang w:eastAsia="en-US"/>
        </w:rPr>
        <w:t>ны отнесение отдельной части «поверхности» к объектам недвиж</w:t>
      </w:r>
      <w:r w:rsidRPr="00EC1A78">
        <w:rPr>
          <w:rFonts w:eastAsiaTheme="minorHAnsi"/>
          <w:sz w:val="22"/>
          <w:szCs w:val="22"/>
          <w:lang w:eastAsia="en-US"/>
        </w:rPr>
        <w:t>и</w:t>
      </w:r>
      <w:r w:rsidRPr="00EC1A78">
        <w:rPr>
          <w:rFonts w:eastAsiaTheme="minorHAnsi"/>
          <w:sz w:val="22"/>
          <w:szCs w:val="22"/>
          <w:lang w:eastAsia="en-US"/>
        </w:rPr>
        <w:t>мости допустимо только в силу прямого указания закона.  В силу своей физической природы (машино–место – это определенная площадь какой–то поверхности, выделенная краской или наклейк</w:t>
      </w:r>
      <w:r w:rsidRPr="00EC1A78">
        <w:rPr>
          <w:rFonts w:eastAsiaTheme="minorHAnsi"/>
          <w:sz w:val="22"/>
          <w:szCs w:val="22"/>
          <w:lang w:eastAsia="en-US"/>
        </w:rPr>
        <w:t>а</w:t>
      </w:r>
      <w:r w:rsidRPr="00EC1A78">
        <w:rPr>
          <w:rFonts w:eastAsiaTheme="minorHAnsi"/>
          <w:sz w:val="22"/>
          <w:szCs w:val="22"/>
          <w:lang w:eastAsia="en-US"/>
        </w:rPr>
        <w:t>ми, иными способами) свойством самостоятельного объекта недв</w:t>
      </w:r>
      <w:r w:rsidRPr="00EC1A78">
        <w:rPr>
          <w:rFonts w:eastAsiaTheme="minorHAnsi"/>
          <w:sz w:val="22"/>
          <w:szCs w:val="22"/>
          <w:lang w:eastAsia="en-US"/>
        </w:rPr>
        <w:t>и</w:t>
      </w:r>
      <w:r w:rsidRPr="00EC1A78">
        <w:rPr>
          <w:rFonts w:eastAsiaTheme="minorHAnsi"/>
          <w:sz w:val="22"/>
          <w:szCs w:val="22"/>
          <w:lang w:eastAsia="en-US"/>
        </w:rPr>
        <w:t>жимости такие вещи не обладают. Исходя из этого, машино–место – особый, исключительный вид объекта недвижимости. Вместе с тем, решение законодателя о включении в число объектов недвижим</w:t>
      </w:r>
      <w:r w:rsidRPr="00EC1A78">
        <w:rPr>
          <w:rFonts w:eastAsiaTheme="minorHAnsi"/>
          <w:sz w:val="22"/>
          <w:szCs w:val="22"/>
          <w:lang w:eastAsia="en-US"/>
        </w:rPr>
        <w:t>о</w:t>
      </w:r>
      <w:r w:rsidRPr="00EC1A78">
        <w:rPr>
          <w:rFonts w:eastAsiaTheme="minorHAnsi"/>
          <w:sz w:val="22"/>
          <w:szCs w:val="22"/>
          <w:lang w:eastAsia="en-US"/>
        </w:rPr>
        <w:t>сти машино–места создало положительный прецедент на будущее, заложив фундамент для иных подобных объектов недвижимости.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Критерии машино–места как самостоятельного объекта недв</w:t>
      </w:r>
      <w:r w:rsidRPr="00EC1A78">
        <w:rPr>
          <w:rFonts w:eastAsiaTheme="minorHAnsi"/>
          <w:sz w:val="22"/>
          <w:szCs w:val="22"/>
          <w:lang w:eastAsia="en-US"/>
        </w:rPr>
        <w:t>и</w:t>
      </w:r>
      <w:r w:rsidRPr="00EC1A78">
        <w:rPr>
          <w:rFonts w:eastAsiaTheme="minorHAnsi"/>
          <w:sz w:val="22"/>
          <w:szCs w:val="22"/>
          <w:lang w:eastAsia="en-US"/>
        </w:rPr>
        <w:t>жимости, установленные законодателем, довольно неординарные и новаторские, что только подтверждает исключительный характер подобных объектов.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 в пункте 6.2  статьи 24 Федерального закона «О госуда</w:t>
      </w:r>
      <w:r w:rsidRPr="00EC1A78">
        <w:rPr>
          <w:rFonts w:eastAsiaTheme="minorHAnsi"/>
          <w:sz w:val="22"/>
          <w:szCs w:val="22"/>
          <w:lang w:eastAsia="en-US"/>
        </w:rPr>
        <w:t>р</w:t>
      </w:r>
      <w:r w:rsidRPr="00EC1A78">
        <w:rPr>
          <w:rFonts w:eastAsiaTheme="minorHAnsi"/>
          <w:sz w:val="22"/>
          <w:szCs w:val="22"/>
          <w:lang w:eastAsia="en-US"/>
        </w:rPr>
        <w:t>ственной регистрации недвижимости» от 13 июля 2015г. №218–ФЗ указано, что границы машино–места могут устанавливаться путем нанесения на поверхность пола или кровли разметки: краской, наклейками, иными способами.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с 1 января 2017 г. объект недвижимости можно не только построить или реконструировать, но и «нарисовать».</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Важно отметить, что в связи с введением в гражданский оборот машино–мест как самостоятельных объектов недвижимости, стан</w:t>
      </w:r>
      <w:r w:rsidRPr="00EC1A78">
        <w:rPr>
          <w:rFonts w:eastAsiaTheme="minorHAnsi"/>
          <w:sz w:val="22"/>
          <w:szCs w:val="22"/>
          <w:lang w:eastAsia="en-US"/>
        </w:rPr>
        <w:t>о</w:t>
      </w:r>
      <w:r w:rsidRPr="00EC1A78">
        <w:rPr>
          <w:rFonts w:eastAsiaTheme="minorHAnsi"/>
          <w:sz w:val="22"/>
          <w:szCs w:val="22"/>
          <w:lang w:eastAsia="en-US"/>
        </w:rPr>
        <w:t>вится возможным  прекращение права общей долевой собственн</w:t>
      </w:r>
      <w:r w:rsidRPr="00EC1A78">
        <w:rPr>
          <w:rFonts w:eastAsiaTheme="minorHAnsi"/>
          <w:sz w:val="22"/>
          <w:szCs w:val="22"/>
          <w:lang w:eastAsia="en-US"/>
        </w:rPr>
        <w:t>о</w:t>
      </w:r>
      <w:r w:rsidRPr="00EC1A78">
        <w:rPr>
          <w:rFonts w:eastAsiaTheme="minorHAnsi"/>
          <w:sz w:val="22"/>
          <w:szCs w:val="22"/>
          <w:lang w:eastAsia="en-US"/>
        </w:rPr>
        <w:t>сти на недвижимое имущество, предназначенное для хранения транспортных средств, в результате выдела доли в порядке, уст</w:t>
      </w:r>
      <w:r w:rsidRPr="00EC1A78">
        <w:rPr>
          <w:rFonts w:eastAsiaTheme="minorHAnsi"/>
          <w:sz w:val="22"/>
          <w:szCs w:val="22"/>
          <w:lang w:eastAsia="en-US"/>
        </w:rPr>
        <w:t>а</w:t>
      </w:r>
      <w:r w:rsidRPr="00EC1A78">
        <w:rPr>
          <w:rFonts w:eastAsiaTheme="minorHAnsi"/>
          <w:sz w:val="22"/>
          <w:szCs w:val="22"/>
          <w:lang w:eastAsia="en-US"/>
        </w:rPr>
        <w:t>новленном статьей 252 ГК РФ. То есть, ранее зарегистрированные права на доли в праве общей долевой собственности на помещения, здания или сооружения, предназначенные для размещения тран</w:t>
      </w:r>
      <w:r w:rsidRPr="00EC1A78">
        <w:rPr>
          <w:rFonts w:eastAsiaTheme="minorHAnsi"/>
          <w:sz w:val="22"/>
          <w:szCs w:val="22"/>
          <w:lang w:eastAsia="en-US"/>
        </w:rPr>
        <w:t>с</w:t>
      </w:r>
      <w:r w:rsidRPr="00EC1A78">
        <w:rPr>
          <w:rFonts w:eastAsiaTheme="minorHAnsi"/>
          <w:sz w:val="22"/>
          <w:szCs w:val="22"/>
          <w:lang w:eastAsia="en-US"/>
        </w:rPr>
        <w:t>портных средств, могут являться основаниями для выдела в натуре доли, посредством определения границ машино–места и последу</w:t>
      </w:r>
      <w:r w:rsidRPr="00EC1A78">
        <w:rPr>
          <w:rFonts w:eastAsiaTheme="minorHAnsi"/>
          <w:sz w:val="22"/>
          <w:szCs w:val="22"/>
          <w:lang w:eastAsia="en-US"/>
        </w:rPr>
        <w:t>ю</w:t>
      </w:r>
      <w:r w:rsidRPr="00EC1A78">
        <w:rPr>
          <w:rFonts w:eastAsiaTheme="minorHAnsi"/>
          <w:sz w:val="22"/>
          <w:szCs w:val="22"/>
          <w:lang w:eastAsia="en-US"/>
        </w:rPr>
        <w:t xml:space="preserve">щей регистрации права собственности на машино–место.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 введением в число объектов недвижимости машино–места, открытым остается вопрос о правовом режиме имущества, предн</w:t>
      </w:r>
      <w:r w:rsidRPr="00EC1A78">
        <w:rPr>
          <w:rFonts w:eastAsiaTheme="minorHAnsi"/>
          <w:sz w:val="22"/>
          <w:szCs w:val="22"/>
          <w:lang w:eastAsia="en-US"/>
        </w:rPr>
        <w:t>а</w:t>
      </w:r>
      <w:r w:rsidRPr="00EC1A78">
        <w:rPr>
          <w:rFonts w:eastAsiaTheme="minorHAnsi"/>
          <w:sz w:val="22"/>
          <w:szCs w:val="22"/>
          <w:lang w:eastAsia="en-US"/>
        </w:rPr>
        <w:t>значенного для обслуживания и эксплуатации более одного маш</w:t>
      </w:r>
      <w:r w:rsidRPr="00EC1A78">
        <w:rPr>
          <w:rFonts w:eastAsiaTheme="minorHAnsi"/>
          <w:sz w:val="22"/>
          <w:szCs w:val="22"/>
          <w:lang w:eastAsia="en-US"/>
        </w:rPr>
        <w:t>и</w:t>
      </w:r>
      <w:r w:rsidRPr="00EC1A78">
        <w:rPr>
          <w:rFonts w:eastAsiaTheme="minorHAnsi"/>
          <w:sz w:val="22"/>
          <w:szCs w:val="22"/>
          <w:lang w:eastAsia="en-US"/>
        </w:rPr>
        <w:t xml:space="preserve">но–места, условно, мест общего пользования. Проанализировав действующее законодательство, мы пришли к выводу об отсутствии </w:t>
      </w:r>
      <w:r w:rsidRPr="00EC1A78">
        <w:rPr>
          <w:rFonts w:eastAsiaTheme="minorHAnsi"/>
          <w:sz w:val="22"/>
          <w:szCs w:val="22"/>
          <w:lang w:eastAsia="en-US"/>
        </w:rPr>
        <w:lastRenderedPageBreak/>
        <w:t>норм, регулирующих указанные выше отношения. Можно лишь предположить, что такие отношения будут регулироваться по ан</w:t>
      </w:r>
      <w:r w:rsidRPr="00EC1A78">
        <w:rPr>
          <w:rFonts w:eastAsiaTheme="minorHAnsi"/>
          <w:sz w:val="22"/>
          <w:szCs w:val="22"/>
          <w:lang w:eastAsia="en-US"/>
        </w:rPr>
        <w:t>а</w:t>
      </w:r>
      <w:r w:rsidRPr="00EC1A78">
        <w:rPr>
          <w:rFonts w:eastAsiaTheme="minorHAnsi"/>
          <w:sz w:val="22"/>
          <w:szCs w:val="22"/>
          <w:lang w:eastAsia="en-US"/>
        </w:rPr>
        <w:t>логии с регулированием отношений по поводу общего имущества многоквартирного дома.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Признание машино–места как самостоятельного объекта н</w:t>
      </w:r>
      <w:r w:rsidRPr="00EC1A78">
        <w:rPr>
          <w:rFonts w:eastAsiaTheme="minorHAnsi"/>
          <w:sz w:val="22"/>
          <w:szCs w:val="22"/>
          <w:lang w:eastAsia="en-US"/>
        </w:rPr>
        <w:t>е</w:t>
      </w:r>
      <w:r w:rsidRPr="00EC1A78">
        <w:rPr>
          <w:rFonts w:eastAsiaTheme="minorHAnsi"/>
          <w:sz w:val="22"/>
          <w:szCs w:val="22"/>
          <w:lang w:eastAsia="en-US"/>
        </w:rPr>
        <w:t>движимости, вероятно, упрощает оборот такого вида объектов н</w:t>
      </w:r>
      <w:r w:rsidRPr="00EC1A78">
        <w:rPr>
          <w:rFonts w:eastAsiaTheme="minorHAnsi"/>
          <w:sz w:val="22"/>
          <w:szCs w:val="22"/>
          <w:lang w:eastAsia="en-US"/>
        </w:rPr>
        <w:t>е</w:t>
      </w:r>
      <w:r w:rsidRPr="00EC1A78">
        <w:rPr>
          <w:rFonts w:eastAsiaTheme="minorHAnsi"/>
          <w:sz w:val="22"/>
          <w:szCs w:val="22"/>
          <w:lang w:eastAsia="en-US"/>
        </w:rPr>
        <w:t>движимости, ввиду отсутствия преимущественного права покупки и необходимости согласования порядка владения и пользования с владельцами других машино–мест при режиме общей долевой со</w:t>
      </w:r>
      <w:r w:rsidRPr="00EC1A78">
        <w:rPr>
          <w:rFonts w:eastAsiaTheme="minorHAnsi"/>
          <w:sz w:val="22"/>
          <w:szCs w:val="22"/>
          <w:lang w:eastAsia="en-US"/>
        </w:rPr>
        <w:t>б</w:t>
      </w:r>
      <w:r w:rsidRPr="00EC1A78">
        <w:rPr>
          <w:rFonts w:eastAsiaTheme="minorHAnsi"/>
          <w:sz w:val="22"/>
          <w:szCs w:val="22"/>
          <w:lang w:eastAsia="en-US"/>
        </w:rPr>
        <w:t>ственности на помещения, здания или сооружения, предназначе</w:t>
      </w:r>
      <w:r w:rsidRPr="00EC1A78">
        <w:rPr>
          <w:rFonts w:eastAsiaTheme="minorHAnsi"/>
          <w:sz w:val="22"/>
          <w:szCs w:val="22"/>
          <w:lang w:eastAsia="en-US"/>
        </w:rPr>
        <w:t>н</w:t>
      </w:r>
      <w:r w:rsidRPr="00EC1A78">
        <w:rPr>
          <w:rFonts w:eastAsiaTheme="minorHAnsi"/>
          <w:sz w:val="22"/>
          <w:szCs w:val="22"/>
          <w:lang w:eastAsia="en-US"/>
        </w:rPr>
        <w:t>ные для размещения транспортных средств. Однако, неясен режим имущества, необходимого для использования нескольких машино–мест, к числу такого имущества можно отнести проезды, проходы, крышу и стены, инженерные сети помещения, здания или сооруж</w:t>
      </w:r>
      <w:r w:rsidRPr="00EC1A78">
        <w:rPr>
          <w:rFonts w:eastAsiaTheme="minorHAnsi"/>
          <w:sz w:val="22"/>
          <w:szCs w:val="22"/>
          <w:lang w:eastAsia="en-US"/>
        </w:rPr>
        <w:t>е</w:t>
      </w:r>
      <w:r w:rsidRPr="00EC1A78">
        <w:rPr>
          <w:rFonts w:eastAsiaTheme="minorHAnsi"/>
          <w:sz w:val="22"/>
          <w:szCs w:val="22"/>
          <w:lang w:eastAsia="en-US"/>
        </w:rPr>
        <w:t xml:space="preserve">ния, предназначенные для размещения транспортных средств. </w:t>
      </w:r>
    </w:p>
    <w:p w:rsidR="00EC1A78" w:rsidRDefault="00EC1A78" w:rsidP="00EC1A78">
      <w:pPr>
        <w:rPr>
          <w:rFonts w:eastAsiaTheme="minorHAnsi"/>
          <w:sz w:val="22"/>
          <w:szCs w:val="22"/>
          <w:lang w:eastAsia="en-US"/>
        </w:rPr>
      </w:pPr>
    </w:p>
    <w:p w:rsidR="00C56F2E" w:rsidRPr="00EC1A78" w:rsidRDefault="00C56F2E" w:rsidP="00EC1A78">
      <w:pPr>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342.59</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О соотношении понятия «государственная власть»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eastAsia="en-US"/>
        </w:rPr>
        <w:t>со</w:t>
      </w:r>
      <w:r w:rsidRPr="00EC1A78">
        <w:rPr>
          <w:rFonts w:eastAsiaTheme="minorHAnsi"/>
          <w:b/>
          <w:sz w:val="24"/>
          <w:szCs w:val="24"/>
          <w:lang w:val="en-US" w:eastAsia="en-US"/>
        </w:rPr>
        <w:t xml:space="preserve"> </w:t>
      </w:r>
      <w:r w:rsidRPr="00EC1A78">
        <w:rPr>
          <w:rFonts w:eastAsiaTheme="minorHAnsi"/>
          <w:b/>
          <w:sz w:val="24"/>
          <w:szCs w:val="24"/>
          <w:lang w:eastAsia="en-US"/>
        </w:rPr>
        <w:t>смежными</w:t>
      </w:r>
      <w:r w:rsidRPr="00EC1A78">
        <w:rPr>
          <w:rFonts w:eastAsiaTheme="minorHAnsi"/>
          <w:b/>
          <w:sz w:val="24"/>
          <w:szCs w:val="24"/>
          <w:lang w:val="en-US" w:eastAsia="en-US"/>
        </w:rPr>
        <w:t xml:space="preserve"> </w:t>
      </w:r>
      <w:r w:rsidRPr="00EC1A78">
        <w:rPr>
          <w:rFonts w:eastAsiaTheme="minorHAnsi"/>
          <w:b/>
          <w:sz w:val="24"/>
          <w:szCs w:val="24"/>
          <w:lang w:eastAsia="en-US"/>
        </w:rPr>
        <w:t>категориями</w:t>
      </w:r>
      <w:r w:rsidRPr="00EC1A78">
        <w:rPr>
          <w:rFonts w:eastAsiaTheme="minorHAnsi"/>
          <w:b/>
          <w:sz w:val="24"/>
          <w:szCs w:val="24"/>
          <w:lang w:val="en-US" w:eastAsia="en-US"/>
        </w:rPr>
        <w:t xml:space="preserve">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On the relationship of the concept of «state power» </w:t>
      </w:r>
    </w:p>
    <w:p w:rsidR="00EC1A78" w:rsidRPr="008D33CB" w:rsidRDefault="00EC1A78" w:rsidP="00C42DAC">
      <w:pPr>
        <w:jc w:val="center"/>
        <w:rPr>
          <w:rFonts w:eastAsiaTheme="minorHAnsi"/>
          <w:b/>
          <w:sz w:val="24"/>
          <w:szCs w:val="24"/>
          <w:lang w:val="en-US" w:eastAsia="en-US"/>
        </w:rPr>
      </w:pPr>
      <w:proofErr w:type="gramStart"/>
      <w:r w:rsidRPr="00EC1A78">
        <w:rPr>
          <w:rFonts w:eastAsiaTheme="minorHAnsi"/>
          <w:b/>
          <w:sz w:val="24"/>
          <w:szCs w:val="24"/>
          <w:lang w:val="en-US" w:eastAsia="en-US"/>
        </w:rPr>
        <w:t>with</w:t>
      </w:r>
      <w:proofErr w:type="gramEnd"/>
      <w:r w:rsidRPr="00EC1A78">
        <w:rPr>
          <w:rFonts w:eastAsiaTheme="minorHAnsi"/>
          <w:b/>
          <w:sz w:val="24"/>
          <w:szCs w:val="24"/>
          <w:lang w:val="en-US" w:eastAsia="en-US"/>
        </w:rPr>
        <w:t xml:space="preserve"> related categories</w:t>
      </w:r>
    </w:p>
    <w:p w:rsidR="00AB6A0E" w:rsidRPr="008D33CB" w:rsidRDefault="00AB6A0E" w:rsidP="00C42DAC">
      <w:pPr>
        <w:jc w:val="center"/>
        <w:rPr>
          <w:rFonts w:eastAsiaTheme="minorHAnsi"/>
          <w:b/>
          <w:sz w:val="24"/>
          <w:szCs w:val="24"/>
          <w:lang w:val="en-US" w:eastAsia="en-US"/>
        </w:rPr>
      </w:pPr>
    </w:p>
    <w:p w:rsidR="00EC1A78" w:rsidRPr="00EC1A78" w:rsidRDefault="00EC1A78" w:rsidP="00EC1A78">
      <w:pPr>
        <w:widowControl w:val="0"/>
        <w:tabs>
          <w:tab w:val="left" w:pos="8223"/>
        </w:tabs>
        <w:jc w:val="right"/>
        <w:rPr>
          <w:rFonts w:eastAsia="Courier New"/>
          <w:color w:val="000000"/>
          <w:sz w:val="22"/>
          <w:szCs w:val="22"/>
          <w:lang w:val="en-US" w:eastAsia="en-US"/>
        </w:rPr>
      </w:pPr>
      <w:r w:rsidRPr="00EC1A78">
        <w:rPr>
          <w:rFonts w:eastAsia="Courier New"/>
          <w:color w:val="000000"/>
          <w:sz w:val="22"/>
          <w:szCs w:val="22"/>
          <w:lang w:eastAsia="en-US"/>
        </w:rPr>
        <w:t>Баевский</w:t>
      </w:r>
      <w:r w:rsidRPr="00EC1A78">
        <w:rPr>
          <w:rFonts w:eastAsia="Courier New"/>
          <w:color w:val="000000"/>
          <w:sz w:val="22"/>
          <w:szCs w:val="22"/>
          <w:lang w:val="en-US" w:eastAsia="en-US"/>
        </w:rPr>
        <w:t xml:space="preserve"> </w:t>
      </w:r>
      <w:r w:rsidRPr="00EC1A78">
        <w:rPr>
          <w:rFonts w:eastAsia="Courier New"/>
          <w:color w:val="000000"/>
          <w:sz w:val="22"/>
          <w:szCs w:val="22"/>
          <w:lang w:eastAsia="en-US"/>
        </w:rPr>
        <w:t>Н</w:t>
      </w:r>
      <w:r w:rsidRPr="00EC1A78">
        <w:rPr>
          <w:rFonts w:eastAsia="Courier New"/>
          <w:color w:val="000000"/>
          <w:sz w:val="22"/>
          <w:szCs w:val="22"/>
          <w:lang w:val="en-US" w:eastAsia="en-US"/>
        </w:rPr>
        <w:t>.</w:t>
      </w:r>
      <w:r w:rsidR="00C56F2E" w:rsidRPr="00E62E4B">
        <w:rPr>
          <w:rFonts w:eastAsia="Courier New"/>
          <w:color w:val="000000"/>
          <w:sz w:val="22"/>
          <w:szCs w:val="22"/>
          <w:lang w:val="en-US" w:eastAsia="en-US"/>
        </w:rPr>
        <w:t xml:space="preserve"> </w:t>
      </w:r>
      <w:r w:rsidRPr="00EC1A78">
        <w:rPr>
          <w:rFonts w:eastAsia="Courier New"/>
          <w:color w:val="000000"/>
          <w:sz w:val="22"/>
          <w:szCs w:val="22"/>
          <w:lang w:eastAsia="en-US"/>
        </w:rPr>
        <w:t>А</w:t>
      </w:r>
      <w:r w:rsidRPr="00EC1A78">
        <w:rPr>
          <w:rFonts w:eastAsia="Courier New"/>
          <w:color w:val="000000"/>
          <w:sz w:val="22"/>
          <w:szCs w:val="22"/>
          <w:lang w:val="en-US" w:eastAsia="en-US"/>
        </w:rPr>
        <w:t>.,</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студент 2–го курса магистратуры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Кубанский государственный аграрный</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C56F2E">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widowControl w:val="0"/>
        <w:tabs>
          <w:tab w:val="left" w:pos="8223"/>
        </w:tabs>
        <w:jc w:val="right"/>
        <w:rPr>
          <w:rFonts w:eastAsia="Courier New"/>
          <w:color w:val="000000"/>
          <w:sz w:val="22"/>
          <w:szCs w:val="22"/>
          <w:lang w:eastAsia="en-US"/>
        </w:rPr>
      </w:pPr>
    </w:p>
    <w:p w:rsidR="00EC1A78" w:rsidRPr="00EC1A78" w:rsidRDefault="00EC1A78" w:rsidP="00EC1A78">
      <w:pPr>
        <w:widowControl w:val="0"/>
        <w:tabs>
          <w:tab w:val="left" w:pos="8223"/>
        </w:tabs>
        <w:ind w:firstLine="426"/>
        <w:jc w:val="both"/>
        <w:rPr>
          <w:rFonts w:eastAsia="Courier New"/>
          <w:color w:val="000000"/>
          <w:sz w:val="22"/>
          <w:szCs w:val="22"/>
          <w:lang w:eastAsia="en-US"/>
        </w:rPr>
      </w:pPr>
      <w:r w:rsidRPr="00EC1A78">
        <w:rPr>
          <w:rFonts w:eastAsia="Courier New"/>
          <w:color w:val="000000"/>
          <w:sz w:val="22"/>
          <w:szCs w:val="22"/>
          <w:lang w:eastAsia="en-US"/>
        </w:rPr>
        <w:t>АННОТАЦИЯ: проанализированы термины, смежные с терм</w:t>
      </w:r>
      <w:r w:rsidRPr="00EC1A78">
        <w:rPr>
          <w:rFonts w:eastAsia="Courier New"/>
          <w:color w:val="000000"/>
          <w:sz w:val="22"/>
          <w:szCs w:val="22"/>
          <w:lang w:eastAsia="en-US"/>
        </w:rPr>
        <w:t>и</w:t>
      </w:r>
      <w:r w:rsidRPr="00EC1A78">
        <w:rPr>
          <w:rFonts w:eastAsia="Courier New"/>
          <w:color w:val="000000"/>
          <w:sz w:val="22"/>
          <w:szCs w:val="22"/>
          <w:lang w:eastAsia="en-US"/>
        </w:rPr>
        <w:t>ном «государственная власть» с целью определения понятийного аппарата</w:t>
      </w:r>
      <w:r w:rsidR="00AB6A0E">
        <w:rPr>
          <w:rFonts w:eastAsia="Courier New"/>
          <w:color w:val="000000"/>
          <w:sz w:val="22"/>
          <w:szCs w:val="22"/>
          <w:lang w:eastAsia="en-US"/>
        </w:rPr>
        <w:t>.</w:t>
      </w:r>
      <w:r w:rsidRPr="00EC1A78">
        <w:rPr>
          <w:rFonts w:eastAsia="Courier New"/>
          <w:color w:val="000000"/>
          <w:sz w:val="22"/>
          <w:szCs w:val="22"/>
          <w:lang w:eastAsia="en-US"/>
        </w:rPr>
        <w:t xml:space="preserve"> </w:t>
      </w:r>
    </w:p>
    <w:p w:rsidR="00EC1A78" w:rsidRPr="00AB6A0E" w:rsidRDefault="00EC1A78" w:rsidP="00EC1A78">
      <w:pPr>
        <w:ind w:firstLine="426"/>
        <w:jc w:val="both"/>
        <w:rPr>
          <w:rFonts w:eastAsiaTheme="minorHAnsi"/>
          <w:sz w:val="22"/>
          <w:szCs w:val="22"/>
          <w:lang w:val="en-US" w:eastAsia="en-US"/>
        </w:rPr>
      </w:pPr>
      <w:r w:rsidRPr="00EC1A78">
        <w:rPr>
          <w:rFonts w:eastAsia="Courier New"/>
          <w:color w:val="000000"/>
          <w:sz w:val="22"/>
          <w:szCs w:val="22"/>
          <w:lang w:val="en-US" w:eastAsia="en-US"/>
        </w:rPr>
        <w:t>ABSTRACT:</w:t>
      </w:r>
      <w:r w:rsidRPr="00EC1A78">
        <w:rPr>
          <w:rFonts w:eastAsia="Courier New"/>
          <w:color w:val="000000"/>
          <w:sz w:val="22"/>
          <w:szCs w:val="22"/>
          <w:shd w:val="clear" w:color="auto" w:fill="FFFFFF"/>
          <w:lang w:val="en-US" w:eastAsia="en-US"/>
        </w:rPr>
        <w:t xml:space="preserve"> </w:t>
      </w:r>
      <w:r w:rsidRPr="00EC1A78">
        <w:rPr>
          <w:rFonts w:eastAsiaTheme="minorHAnsi"/>
          <w:sz w:val="22"/>
          <w:szCs w:val="22"/>
          <w:lang w:val="en-US" w:eastAsia="en-US"/>
        </w:rPr>
        <w:t>terms related to the term «state power» for the pu</w:t>
      </w:r>
      <w:r w:rsidRPr="00EC1A78">
        <w:rPr>
          <w:rFonts w:eastAsiaTheme="minorHAnsi"/>
          <w:sz w:val="22"/>
          <w:szCs w:val="22"/>
          <w:lang w:val="en-US" w:eastAsia="en-US"/>
        </w:rPr>
        <w:t>r</w:t>
      </w:r>
      <w:r w:rsidRPr="00EC1A78">
        <w:rPr>
          <w:rFonts w:eastAsiaTheme="minorHAnsi"/>
          <w:sz w:val="22"/>
          <w:szCs w:val="22"/>
          <w:lang w:val="en-US" w:eastAsia="en-US"/>
        </w:rPr>
        <w:t>pose of definition of the conceptual apparatus are analyzed</w:t>
      </w:r>
      <w:r w:rsidR="00AB6A0E" w:rsidRPr="00AB6A0E">
        <w:rPr>
          <w:rFonts w:eastAsiaTheme="minorHAnsi"/>
          <w:sz w:val="22"/>
          <w:szCs w:val="22"/>
          <w:lang w:val="en-US" w:eastAsia="en-US"/>
        </w:rPr>
        <w:t>.</w:t>
      </w:r>
    </w:p>
    <w:p w:rsidR="00EC1A78" w:rsidRPr="00EC1A78" w:rsidRDefault="00EC1A78" w:rsidP="00EC1A78">
      <w:pPr>
        <w:widowControl w:val="0"/>
        <w:tabs>
          <w:tab w:val="left" w:pos="8223"/>
        </w:tabs>
        <w:ind w:firstLine="426"/>
        <w:jc w:val="both"/>
        <w:rPr>
          <w:rFonts w:eastAsia="Courier New"/>
          <w:color w:val="000000"/>
          <w:sz w:val="22"/>
          <w:szCs w:val="22"/>
          <w:lang w:eastAsia="en-US"/>
        </w:rPr>
      </w:pPr>
      <w:r w:rsidRPr="00EC1A78">
        <w:rPr>
          <w:rFonts w:eastAsia="Courier New"/>
          <w:color w:val="000000"/>
          <w:sz w:val="22"/>
          <w:szCs w:val="22"/>
          <w:lang w:eastAsia="en-US"/>
        </w:rPr>
        <w:t xml:space="preserve">КЛЮЧЕВЫЕ СЛОВА: </w:t>
      </w:r>
      <w:r w:rsidRPr="00EC1A78">
        <w:rPr>
          <w:rFonts w:eastAsiaTheme="minorHAnsi"/>
          <w:sz w:val="22"/>
          <w:szCs w:val="22"/>
          <w:lang w:eastAsia="en-US"/>
        </w:rPr>
        <w:t>государственная власть, политическая власть, система органов государственной власти</w:t>
      </w:r>
      <w:r w:rsidR="00AB6A0E">
        <w:rPr>
          <w:rFonts w:eastAsiaTheme="minorHAnsi"/>
          <w:sz w:val="22"/>
          <w:szCs w:val="22"/>
          <w:lang w:eastAsia="en-US"/>
        </w:rPr>
        <w:t>.</w:t>
      </w:r>
    </w:p>
    <w:p w:rsidR="00EC1A78" w:rsidRPr="00AB6A0E" w:rsidRDefault="00EC1A78" w:rsidP="00C42DAC">
      <w:pPr>
        <w:ind w:firstLine="426"/>
        <w:jc w:val="both"/>
        <w:rPr>
          <w:rFonts w:eastAsiaTheme="minorHAnsi"/>
          <w:sz w:val="22"/>
          <w:szCs w:val="22"/>
          <w:lang w:val="en-US"/>
        </w:rPr>
      </w:pPr>
      <w:r w:rsidRPr="00EC1A78">
        <w:rPr>
          <w:rFonts w:eastAsia="Courier New"/>
          <w:color w:val="000000"/>
          <w:sz w:val="22"/>
          <w:szCs w:val="22"/>
          <w:lang w:val="en-US" w:eastAsia="en-US"/>
        </w:rPr>
        <w:lastRenderedPageBreak/>
        <w:t>KEYWORDS:</w:t>
      </w:r>
      <w:r w:rsidRPr="00EC1A78">
        <w:rPr>
          <w:rFonts w:eastAsia="Courier New"/>
          <w:color w:val="000000"/>
          <w:sz w:val="22"/>
          <w:szCs w:val="22"/>
          <w:shd w:val="clear" w:color="auto" w:fill="FFFFFF"/>
          <w:lang w:val="en-US" w:eastAsia="en-US"/>
        </w:rPr>
        <w:t xml:space="preserve"> </w:t>
      </w:r>
      <w:r w:rsidRPr="00EC1A78">
        <w:rPr>
          <w:rFonts w:eastAsiaTheme="minorHAnsi"/>
          <w:sz w:val="22"/>
          <w:szCs w:val="22"/>
          <w:lang w:val="en-US"/>
        </w:rPr>
        <w:t>state power, political power, the system of public a</w:t>
      </w:r>
      <w:r w:rsidRPr="00EC1A78">
        <w:rPr>
          <w:rFonts w:eastAsiaTheme="minorHAnsi"/>
          <w:sz w:val="22"/>
          <w:szCs w:val="22"/>
          <w:lang w:val="en-US"/>
        </w:rPr>
        <w:t>u</w:t>
      </w:r>
      <w:r w:rsidRPr="00EC1A78">
        <w:rPr>
          <w:rFonts w:eastAsiaTheme="minorHAnsi"/>
          <w:sz w:val="22"/>
          <w:szCs w:val="22"/>
          <w:lang w:val="en-US"/>
        </w:rPr>
        <w:t>thorities</w:t>
      </w:r>
      <w:r w:rsidR="00AB6A0E" w:rsidRPr="00AB6A0E">
        <w:rPr>
          <w:rFonts w:eastAsiaTheme="minorHAnsi"/>
          <w:sz w:val="22"/>
          <w:szCs w:val="22"/>
          <w:lang w:val="en-US"/>
        </w:rPr>
        <w:t>.</w:t>
      </w:r>
    </w:p>
    <w:p w:rsidR="00AB6A0E" w:rsidRPr="00AB6A0E" w:rsidRDefault="00AB6A0E" w:rsidP="00C42DAC">
      <w:pPr>
        <w:ind w:firstLine="426"/>
        <w:jc w:val="both"/>
        <w:rPr>
          <w:rFonts w:eastAsiaTheme="minorHAnsi"/>
          <w:sz w:val="22"/>
          <w:szCs w:val="22"/>
          <w:lang w:val="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Начиная разговор о государственной власти, следует разгран</w:t>
      </w:r>
      <w:r w:rsidRPr="00EC1A78">
        <w:rPr>
          <w:rFonts w:eastAsiaTheme="minorHAnsi"/>
          <w:sz w:val="22"/>
          <w:szCs w:val="22"/>
          <w:lang w:eastAsia="en-US"/>
        </w:rPr>
        <w:t>и</w:t>
      </w:r>
      <w:r w:rsidRPr="00EC1A78">
        <w:rPr>
          <w:rFonts w:eastAsiaTheme="minorHAnsi"/>
          <w:sz w:val="22"/>
          <w:szCs w:val="22"/>
          <w:lang w:eastAsia="en-US"/>
        </w:rPr>
        <w:t xml:space="preserve">чить терминологию и соотношение понятий власти, государства и соответственно, государственной власти.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Целесообразным будет начать анализ термина «власть» с его отражения в толковой литературе. Согласно словарю Ожегова «власть» расс</w:t>
      </w:r>
      <w:r w:rsidR="00C56F2E">
        <w:rPr>
          <w:rFonts w:eastAsiaTheme="minorHAnsi"/>
          <w:sz w:val="22"/>
          <w:szCs w:val="22"/>
          <w:lang w:eastAsia="en-US"/>
        </w:rPr>
        <w:t xml:space="preserve">матривается сразу в нескольких </w:t>
      </w:r>
      <w:r w:rsidRPr="00EC1A78">
        <w:rPr>
          <w:rFonts w:eastAsiaTheme="minorHAnsi"/>
          <w:sz w:val="22"/>
          <w:szCs w:val="22"/>
          <w:lang w:eastAsia="en-US"/>
        </w:rPr>
        <w:t>значениях: – право и возможность распоряжаться кем–чем–нибудь, подчинять своей в</w:t>
      </w:r>
      <w:r w:rsidRPr="00EC1A78">
        <w:rPr>
          <w:rFonts w:eastAsiaTheme="minorHAnsi"/>
          <w:sz w:val="22"/>
          <w:szCs w:val="22"/>
          <w:lang w:eastAsia="en-US"/>
        </w:rPr>
        <w:t>о</w:t>
      </w:r>
      <w:r w:rsidRPr="00EC1A78">
        <w:rPr>
          <w:rFonts w:eastAsiaTheme="minorHAnsi"/>
          <w:sz w:val="22"/>
          <w:szCs w:val="22"/>
          <w:lang w:eastAsia="en-US"/>
        </w:rPr>
        <w:t>ле; – политическое господство, государственное управление и его органы; – лица, облеченные правительственными, администрати</w:t>
      </w:r>
      <w:r w:rsidRPr="00EC1A78">
        <w:rPr>
          <w:rFonts w:eastAsiaTheme="minorHAnsi"/>
          <w:sz w:val="22"/>
          <w:szCs w:val="22"/>
          <w:lang w:eastAsia="en-US"/>
        </w:rPr>
        <w:t>в</w:t>
      </w:r>
      <w:r w:rsidRPr="00EC1A78">
        <w:rPr>
          <w:rFonts w:eastAsiaTheme="minorHAnsi"/>
          <w:sz w:val="22"/>
          <w:szCs w:val="22"/>
          <w:lang w:eastAsia="en-US"/>
        </w:rPr>
        <w:t xml:space="preserve">ными полномочиями [3].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Большой энциклопедический словарь определяет власть как способность и возможность оказывать определяющее воздействие на деятельность, поведение людей с помощью каких–либо средств – воли, авторитета, права, насилия (родительская власть, госуда</w:t>
      </w:r>
      <w:r w:rsidRPr="00EC1A78">
        <w:rPr>
          <w:rFonts w:eastAsiaTheme="minorHAnsi"/>
          <w:sz w:val="22"/>
          <w:szCs w:val="22"/>
          <w:lang w:eastAsia="en-US"/>
        </w:rPr>
        <w:t>р</w:t>
      </w:r>
      <w:r w:rsidRPr="00EC1A78">
        <w:rPr>
          <w:rFonts w:eastAsiaTheme="minorHAnsi"/>
          <w:sz w:val="22"/>
          <w:szCs w:val="22"/>
          <w:lang w:eastAsia="en-US"/>
        </w:rPr>
        <w:t>ственная, экономическая и др.); политическое господство, система государственных органов.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при характеристике термина «власть», в кач</w:t>
      </w:r>
      <w:r w:rsidRPr="00EC1A78">
        <w:rPr>
          <w:rFonts w:eastAsiaTheme="minorHAnsi"/>
          <w:sz w:val="22"/>
          <w:szCs w:val="22"/>
          <w:lang w:eastAsia="en-US"/>
        </w:rPr>
        <w:t>е</w:t>
      </w:r>
      <w:r w:rsidRPr="00EC1A78">
        <w:rPr>
          <w:rFonts w:eastAsiaTheme="minorHAnsi"/>
          <w:sz w:val="22"/>
          <w:szCs w:val="22"/>
          <w:lang w:eastAsia="en-US"/>
        </w:rPr>
        <w:t>стве примеров зачастую приводится именно власть государстве</w:t>
      </w:r>
      <w:r w:rsidRPr="00EC1A78">
        <w:rPr>
          <w:rFonts w:eastAsiaTheme="minorHAnsi"/>
          <w:sz w:val="22"/>
          <w:szCs w:val="22"/>
          <w:lang w:eastAsia="en-US"/>
        </w:rPr>
        <w:t>н</w:t>
      </w:r>
      <w:r w:rsidRPr="00EC1A78">
        <w:rPr>
          <w:rFonts w:eastAsiaTheme="minorHAnsi"/>
          <w:sz w:val="22"/>
          <w:szCs w:val="22"/>
          <w:lang w:eastAsia="en-US"/>
        </w:rPr>
        <w:t>ная, выражающаяся в политическом господстве, а также как видно из изложенного выше, в терминологии обычно ставится знак раве</w:t>
      </w:r>
      <w:r w:rsidRPr="00EC1A78">
        <w:rPr>
          <w:rFonts w:eastAsiaTheme="minorHAnsi"/>
          <w:sz w:val="22"/>
          <w:szCs w:val="22"/>
          <w:lang w:eastAsia="en-US"/>
        </w:rPr>
        <w:t>н</w:t>
      </w:r>
      <w:r w:rsidRPr="00EC1A78">
        <w:rPr>
          <w:rFonts w:eastAsiaTheme="minorHAnsi"/>
          <w:sz w:val="22"/>
          <w:szCs w:val="22"/>
          <w:lang w:eastAsia="en-US"/>
        </w:rPr>
        <w:t>ства между «властью» и «системой органов государственной вл</w:t>
      </w:r>
      <w:r w:rsidRPr="00EC1A78">
        <w:rPr>
          <w:rFonts w:eastAsiaTheme="minorHAnsi"/>
          <w:sz w:val="22"/>
          <w:szCs w:val="22"/>
          <w:lang w:eastAsia="en-US"/>
        </w:rPr>
        <w:t>а</w:t>
      </w:r>
      <w:r w:rsidRPr="00EC1A78">
        <w:rPr>
          <w:rFonts w:eastAsiaTheme="minorHAnsi"/>
          <w:sz w:val="22"/>
          <w:szCs w:val="22"/>
          <w:lang w:eastAsia="en-US"/>
        </w:rPr>
        <w:t xml:space="preserve">сти». Также государственная власть связывается с принципами ее осуществления.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 последним утверждением нельзя согласиться, поскольку власть может проявляться не только со стороны государства и ре</w:t>
      </w:r>
      <w:r w:rsidRPr="00EC1A78">
        <w:rPr>
          <w:rFonts w:eastAsiaTheme="minorHAnsi"/>
          <w:sz w:val="22"/>
          <w:szCs w:val="22"/>
          <w:lang w:eastAsia="en-US"/>
        </w:rPr>
        <w:t>а</w:t>
      </w:r>
      <w:r w:rsidRPr="00EC1A78">
        <w:rPr>
          <w:rFonts w:eastAsiaTheme="minorHAnsi"/>
          <w:sz w:val="22"/>
          <w:szCs w:val="22"/>
          <w:lang w:eastAsia="en-US"/>
        </w:rPr>
        <w:t>лизовываться, соответственно, не только органами государственной власти. Более того, система органов государственной власти – это структурное, а не содержательное понятие. В то же время, органы местного самоуправления в соответствии со статьей 12 Констит</w:t>
      </w:r>
      <w:r w:rsidRPr="00EC1A78">
        <w:rPr>
          <w:rFonts w:eastAsiaTheme="minorHAnsi"/>
          <w:sz w:val="22"/>
          <w:szCs w:val="22"/>
          <w:lang w:eastAsia="en-US"/>
        </w:rPr>
        <w:t>у</w:t>
      </w:r>
      <w:r w:rsidRPr="00EC1A78">
        <w:rPr>
          <w:rFonts w:eastAsiaTheme="minorHAnsi"/>
          <w:sz w:val="22"/>
          <w:szCs w:val="22"/>
          <w:lang w:eastAsia="en-US"/>
        </w:rPr>
        <w:t>ции Российской Федерации не входят в систему органов госуда</w:t>
      </w:r>
      <w:r w:rsidRPr="00EC1A78">
        <w:rPr>
          <w:rFonts w:eastAsiaTheme="minorHAnsi"/>
          <w:sz w:val="22"/>
          <w:szCs w:val="22"/>
          <w:lang w:eastAsia="en-US"/>
        </w:rPr>
        <w:t>р</w:t>
      </w:r>
      <w:r w:rsidRPr="00EC1A78">
        <w:rPr>
          <w:rFonts w:eastAsiaTheme="minorHAnsi"/>
          <w:sz w:val="22"/>
          <w:szCs w:val="22"/>
          <w:lang w:eastAsia="en-US"/>
        </w:rPr>
        <w:t>ственной власти. Однако они реализуют властные полномочия по организации и реализации задач местного самоуправления.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В понятийном аспекте различают власть политическую и власть государственную.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Политическая власть – это способность и возможность ос</w:t>
      </w:r>
      <w:r w:rsidRPr="00EC1A78">
        <w:rPr>
          <w:rFonts w:eastAsiaTheme="minorHAnsi"/>
          <w:sz w:val="22"/>
          <w:szCs w:val="22"/>
          <w:lang w:eastAsia="en-US"/>
        </w:rPr>
        <w:t>у</w:t>
      </w:r>
      <w:r w:rsidRPr="00EC1A78">
        <w:rPr>
          <w:rFonts w:eastAsiaTheme="minorHAnsi"/>
          <w:sz w:val="22"/>
          <w:szCs w:val="22"/>
          <w:lang w:eastAsia="en-US"/>
        </w:rPr>
        <w:t>ществлять свою волю, оказывать определяющее воздействие на д</w:t>
      </w:r>
      <w:r w:rsidRPr="00EC1A78">
        <w:rPr>
          <w:rFonts w:eastAsiaTheme="minorHAnsi"/>
          <w:sz w:val="22"/>
          <w:szCs w:val="22"/>
          <w:lang w:eastAsia="en-US"/>
        </w:rPr>
        <w:t>е</w:t>
      </w:r>
      <w:r w:rsidRPr="00EC1A78">
        <w:rPr>
          <w:rFonts w:eastAsiaTheme="minorHAnsi"/>
          <w:sz w:val="22"/>
          <w:szCs w:val="22"/>
          <w:lang w:eastAsia="en-US"/>
        </w:rPr>
        <w:t>ятельность, поведение людей с помощью авторитета, права, нас</w:t>
      </w:r>
      <w:r w:rsidRPr="00EC1A78">
        <w:rPr>
          <w:rFonts w:eastAsiaTheme="minorHAnsi"/>
          <w:sz w:val="22"/>
          <w:szCs w:val="22"/>
          <w:lang w:eastAsia="en-US"/>
        </w:rPr>
        <w:t>и</w:t>
      </w:r>
      <w:r w:rsidRPr="00EC1A78">
        <w:rPr>
          <w:rFonts w:eastAsiaTheme="minorHAnsi"/>
          <w:sz w:val="22"/>
          <w:szCs w:val="22"/>
          <w:lang w:eastAsia="en-US"/>
        </w:rPr>
        <w:t>лия.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Государственная власть – это власть, осуществляемая легити</w:t>
      </w:r>
      <w:r w:rsidRPr="00EC1A78">
        <w:rPr>
          <w:rFonts w:eastAsiaTheme="minorHAnsi"/>
          <w:sz w:val="22"/>
          <w:szCs w:val="22"/>
          <w:lang w:eastAsia="en-US"/>
        </w:rPr>
        <w:t>м</w:t>
      </w:r>
      <w:r w:rsidRPr="00EC1A78">
        <w:rPr>
          <w:rFonts w:eastAsiaTheme="minorHAnsi"/>
          <w:sz w:val="22"/>
          <w:szCs w:val="22"/>
          <w:lang w:eastAsia="en-US"/>
        </w:rPr>
        <w:t>ными органами государства, от имени государства и в интересах государства на территории, на которой распространяется госуда</w:t>
      </w:r>
      <w:r w:rsidRPr="00EC1A78">
        <w:rPr>
          <w:rFonts w:eastAsiaTheme="minorHAnsi"/>
          <w:sz w:val="22"/>
          <w:szCs w:val="22"/>
          <w:lang w:eastAsia="en-US"/>
        </w:rPr>
        <w:t>р</w:t>
      </w:r>
      <w:r w:rsidRPr="00EC1A78">
        <w:rPr>
          <w:rFonts w:eastAsiaTheme="minorHAnsi"/>
          <w:sz w:val="22"/>
          <w:szCs w:val="22"/>
          <w:lang w:eastAsia="en-US"/>
        </w:rPr>
        <w:t>ственный суверенитет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сказанного, политическую власть следует рассма</w:t>
      </w:r>
      <w:r w:rsidRPr="00EC1A78">
        <w:rPr>
          <w:rFonts w:eastAsiaTheme="minorHAnsi"/>
          <w:sz w:val="22"/>
          <w:szCs w:val="22"/>
          <w:lang w:eastAsia="en-US"/>
        </w:rPr>
        <w:t>т</w:t>
      </w:r>
      <w:r w:rsidRPr="00EC1A78">
        <w:rPr>
          <w:rFonts w:eastAsiaTheme="minorHAnsi"/>
          <w:sz w:val="22"/>
          <w:szCs w:val="22"/>
          <w:lang w:eastAsia="en-US"/>
        </w:rPr>
        <w:t>ривать шире, чем государственную, но государственную всегда как политическую.</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Следовательно, обобщая проведенный выше анализ, можно предложить следующее понятие государственной власти. Госуда</w:t>
      </w:r>
      <w:r w:rsidRPr="00EC1A78">
        <w:rPr>
          <w:rFonts w:eastAsiaTheme="minorHAnsi"/>
          <w:sz w:val="22"/>
          <w:szCs w:val="22"/>
          <w:lang w:eastAsia="en-US"/>
        </w:rPr>
        <w:t>р</w:t>
      </w:r>
      <w:r w:rsidRPr="00EC1A78">
        <w:rPr>
          <w:rFonts w:eastAsiaTheme="minorHAnsi"/>
          <w:sz w:val="22"/>
          <w:szCs w:val="22"/>
          <w:lang w:eastAsia="en-US"/>
        </w:rPr>
        <w:t>ственная власть – это разновидность социальной власти, всегда я</w:t>
      </w:r>
      <w:r w:rsidRPr="00EC1A78">
        <w:rPr>
          <w:rFonts w:eastAsiaTheme="minorHAnsi"/>
          <w:sz w:val="22"/>
          <w:szCs w:val="22"/>
          <w:lang w:eastAsia="en-US"/>
        </w:rPr>
        <w:t>в</w:t>
      </w:r>
      <w:r w:rsidRPr="00EC1A78">
        <w:rPr>
          <w:rFonts w:eastAsiaTheme="minorHAnsi"/>
          <w:sz w:val="22"/>
          <w:szCs w:val="22"/>
          <w:lang w:eastAsia="en-US"/>
        </w:rPr>
        <w:t>ляющаяся политической по своей природе, имеющая своей целью упорядочение деятельности людей посредством различных методов воздействия на них: принуждения, убеждения, реализуемая через систему органов государственной власти.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Система органов государственной власти — это обусловленная функциями государства и национальными традициями совоку</w:t>
      </w:r>
      <w:r w:rsidRPr="00EC1A78">
        <w:rPr>
          <w:rFonts w:eastAsiaTheme="minorHAnsi"/>
          <w:sz w:val="22"/>
          <w:szCs w:val="22"/>
          <w:lang w:eastAsia="en-US"/>
        </w:rPr>
        <w:t>п</w:t>
      </w:r>
      <w:r w:rsidRPr="00EC1A78">
        <w:rPr>
          <w:rFonts w:eastAsiaTheme="minorHAnsi"/>
          <w:sz w:val="22"/>
          <w:szCs w:val="22"/>
          <w:lang w:eastAsia="en-US"/>
        </w:rPr>
        <w:t>ность органов государственной власти и их подразделение на о</w:t>
      </w:r>
      <w:r w:rsidRPr="00EC1A78">
        <w:rPr>
          <w:rFonts w:eastAsiaTheme="minorHAnsi"/>
          <w:sz w:val="22"/>
          <w:szCs w:val="22"/>
          <w:lang w:eastAsia="en-US"/>
        </w:rPr>
        <w:t>т</w:t>
      </w:r>
      <w:r w:rsidRPr="00EC1A78">
        <w:rPr>
          <w:rFonts w:eastAsiaTheme="minorHAnsi"/>
          <w:sz w:val="22"/>
          <w:szCs w:val="22"/>
          <w:lang w:eastAsia="en-US"/>
        </w:rPr>
        <w:t>дельные виды.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Статья 10 Конституции России устанавливает, что госуда</w:t>
      </w:r>
      <w:r w:rsidRPr="00EC1A78">
        <w:rPr>
          <w:rFonts w:eastAsiaTheme="minorHAnsi"/>
          <w:sz w:val="22"/>
          <w:szCs w:val="22"/>
          <w:lang w:eastAsia="en-US"/>
        </w:rPr>
        <w:t>р</w:t>
      </w:r>
      <w:r w:rsidRPr="00EC1A78">
        <w:rPr>
          <w:rFonts w:eastAsiaTheme="minorHAnsi"/>
          <w:sz w:val="22"/>
          <w:szCs w:val="22"/>
          <w:lang w:eastAsia="en-US"/>
        </w:rPr>
        <w:t>ственную власть в Российской Федерации осуществляют Президент Российской Федерации, Федеральное Собрание Российской Фед</w:t>
      </w:r>
      <w:r w:rsidRPr="00EC1A78">
        <w:rPr>
          <w:rFonts w:eastAsiaTheme="minorHAnsi"/>
          <w:sz w:val="22"/>
          <w:szCs w:val="22"/>
          <w:lang w:eastAsia="en-US"/>
        </w:rPr>
        <w:t>е</w:t>
      </w:r>
      <w:r w:rsidRPr="00EC1A78">
        <w:rPr>
          <w:rFonts w:eastAsiaTheme="minorHAnsi"/>
          <w:sz w:val="22"/>
          <w:szCs w:val="22"/>
          <w:lang w:eastAsia="en-US"/>
        </w:rPr>
        <w:t>рации, Правительство Российской Федерации, суды Российской Федерации. Государственную власть в субъектах Российской Фед</w:t>
      </w:r>
      <w:r w:rsidRPr="00EC1A78">
        <w:rPr>
          <w:rFonts w:eastAsiaTheme="minorHAnsi"/>
          <w:sz w:val="22"/>
          <w:szCs w:val="22"/>
          <w:lang w:eastAsia="en-US"/>
        </w:rPr>
        <w:t>е</w:t>
      </w:r>
      <w:r w:rsidRPr="00EC1A78">
        <w:rPr>
          <w:rFonts w:eastAsiaTheme="minorHAnsi"/>
          <w:sz w:val="22"/>
          <w:szCs w:val="22"/>
          <w:lang w:eastAsia="en-US"/>
        </w:rPr>
        <w:t>рации осуществляют образуемые ими органы государственной вл</w:t>
      </w:r>
      <w:r w:rsidRPr="00EC1A78">
        <w:rPr>
          <w:rFonts w:eastAsiaTheme="minorHAnsi"/>
          <w:sz w:val="22"/>
          <w:szCs w:val="22"/>
          <w:lang w:eastAsia="en-US"/>
        </w:rPr>
        <w:t>а</w:t>
      </w:r>
      <w:r w:rsidRPr="00EC1A78">
        <w:rPr>
          <w:rFonts w:eastAsiaTheme="minorHAnsi"/>
          <w:sz w:val="22"/>
          <w:szCs w:val="22"/>
          <w:lang w:eastAsia="en-US"/>
        </w:rPr>
        <w:t>сти [1].</w:t>
      </w:r>
    </w:p>
    <w:p w:rsidR="00EC1A78" w:rsidRPr="00EC1A78" w:rsidRDefault="00EC1A78" w:rsidP="00C42DAC">
      <w:pPr>
        <w:ind w:firstLine="426"/>
        <w:jc w:val="both"/>
        <w:rPr>
          <w:rFonts w:eastAsiaTheme="minorHAnsi"/>
          <w:sz w:val="22"/>
          <w:szCs w:val="22"/>
          <w:lang w:eastAsia="en-US"/>
        </w:rPr>
      </w:pPr>
      <w:r w:rsidRPr="00EC1A78">
        <w:rPr>
          <w:rFonts w:eastAsiaTheme="minorHAnsi"/>
          <w:sz w:val="22"/>
          <w:szCs w:val="22"/>
          <w:lang w:eastAsia="en-US"/>
        </w:rPr>
        <w:t>Таким образом, понятие системы органов государственной вл</w:t>
      </w:r>
      <w:r w:rsidRPr="00EC1A78">
        <w:rPr>
          <w:rFonts w:eastAsiaTheme="minorHAnsi"/>
          <w:sz w:val="22"/>
          <w:szCs w:val="22"/>
          <w:lang w:eastAsia="en-US"/>
        </w:rPr>
        <w:t>а</w:t>
      </w:r>
      <w:r w:rsidRPr="00EC1A78">
        <w:rPr>
          <w:rFonts w:eastAsiaTheme="minorHAnsi"/>
          <w:sz w:val="22"/>
          <w:szCs w:val="22"/>
          <w:lang w:eastAsia="en-US"/>
        </w:rPr>
        <w:t>сти не является абстрактным, а связано с конкретно функционир</w:t>
      </w:r>
      <w:r w:rsidRPr="00EC1A78">
        <w:rPr>
          <w:rFonts w:eastAsiaTheme="minorHAnsi"/>
          <w:sz w:val="22"/>
          <w:szCs w:val="22"/>
          <w:lang w:eastAsia="en-US"/>
        </w:rPr>
        <w:t>у</w:t>
      </w:r>
      <w:r w:rsidRPr="00EC1A78">
        <w:rPr>
          <w:rFonts w:eastAsiaTheme="minorHAnsi"/>
          <w:sz w:val="22"/>
          <w:szCs w:val="22"/>
          <w:lang w:eastAsia="en-US"/>
        </w:rPr>
        <w:t>ющими публичными структурами государства.</w:t>
      </w:r>
    </w:p>
    <w:p w:rsidR="00AB6A0E" w:rsidRDefault="00AB6A0E" w:rsidP="00EC1A78">
      <w:pPr>
        <w:widowControl w:val="0"/>
        <w:autoSpaceDE w:val="0"/>
        <w:autoSpaceDN w:val="0"/>
        <w:adjustRightInd w:val="0"/>
        <w:ind w:firstLine="426"/>
        <w:jc w:val="center"/>
        <w:rPr>
          <w:rFonts w:eastAsia="Calibri"/>
          <w:color w:val="000000"/>
          <w:sz w:val="22"/>
          <w:szCs w:val="22"/>
          <w:lang w:eastAsia="en-US"/>
        </w:rPr>
      </w:pPr>
    </w:p>
    <w:p w:rsidR="00EC1A78" w:rsidRPr="00EC1A78" w:rsidRDefault="00EC1A78" w:rsidP="00EC1A78">
      <w:pPr>
        <w:widowControl w:val="0"/>
        <w:autoSpaceDE w:val="0"/>
        <w:autoSpaceDN w:val="0"/>
        <w:adjustRightInd w:val="0"/>
        <w:ind w:firstLine="426"/>
        <w:jc w:val="center"/>
        <w:rPr>
          <w:rFonts w:eastAsia="Calibri"/>
          <w:color w:val="000000"/>
          <w:sz w:val="22"/>
          <w:szCs w:val="22"/>
          <w:lang w:eastAsia="en-US"/>
        </w:rPr>
      </w:pPr>
      <w:r w:rsidRPr="00EC1A78">
        <w:rPr>
          <w:rFonts w:eastAsia="Calibri"/>
          <w:color w:val="000000"/>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w:t>
      </w:r>
      <w:r w:rsidRPr="00EC1A78">
        <w:rPr>
          <w:rFonts w:eastAsiaTheme="minorHAnsi"/>
          <w:sz w:val="22"/>
          <w:szCs w:val="22"/>
          <w:lang w:eastAsia="en-US"/>
        </w:rPr>
        <w:lastRenderedPageBreak/>
        <w:t>30.12.2008 № 7–ФКЗ, от 05.02.2014 № 2–ФКЗ, от 21.07.2014 № 11–ФКЗ) // СПС Консультант плюс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Большой энциклопедический словарь. – М, 2016.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Ожегов, С. И. Толковый словарь русского языка / С.И. Ож</w:t>
      </w:r>
      <w:r w:rsidRPr="00EC1A78">
        <w:rPr>
          <w:rFonts w:eastAsiaTheme="minorHAnsi"/>
          <w:sz w:val="22"/>
          <w:szCs w:val="22"/>
          <w:lang w:eastAsia="en-US"/>
        </w:rPr>
        <w:t>е</w:t>
      </w:r>
      <w:r w:rsidRPr="00EC1A78">
        <w:rPr>
          <w:rFonts w:eastAsiaTheme="minorHAnsi"/>
          <w:sz w:val="22"/>
          <w:szCs w:val="22"/>
          <w:lang w:eastAsia="en-US"/>
        </w:rPr>
        <w:t xml:space="preserve">гов. – М.: Мир и Образование, Оникс, 2011. </w:t>
      </w:r>
    </w:p>
    <w:p w:rsidR="00EC1A78" w:rsidRPr="00EC1A78" w:rsidRDefault="00EC1A78" w:rsidP="00EC1A78">
      <w:pPr>
        <w:ind w:firstLine="426"/>
        <w:jc w:val="both"/>
        <w:rPr>
          <w:rFonts w:eastAsiaTheme="minorHAnsi"/>
          <w:b/>
          <w:sz w:val="22"/>
          <w:szCs w:val="22"/>
          <w:lang w:eastAsia="en-US"/>
        </w:rPr>
      </w:pPr>
      <w:r w:rsidRPr="00EC1A78">
        <w:rPr>
          <w:rFonts w:eastAsiaTheme="minorHAnsi"/>
          <w:sz w:val="22"/>
          <w:szCs w:val="22"/>
          <w:lang w:eastAsia="en-US"/>
        </w:rPr>
        <w:t>4. Бутурлина, Е. С., Митрясова, А. В. Принципы конституц</w:t>
      </w:r>
      <w:r w:rsidRPr="00EC1A78">
        <w:rPr>
          <w:rFonts w:eastAsiaTheme="minorHAnsi"/>
          <w:sz w:val="22"/>
          <w:szCs w:val="22"/>
          <w:lang w:eastAsia="en-US"/>
        </w:rPr>
        <w:t>и</w:t>
      </w:r>
      <w:r w:rsidRPr="00EC1A78">
        <w:rPr>
          <w:rFonts w:eastAsiaTheme="minorHAnsi"/>
          <w:sz w:val="22"/>
          <w:szCs w:val="22"/>
          <w:lang w:eastAsia="en-US"/>
        </w:rPr>
        <w:t>онного судопроизводства: понятие, система и значение / Е.С. Б</w:t>
      </w:r>
      <w:r w:rsidRPr="00EC1A78">
        <w:rPr>
          <w:rFonts w:eastAsiaTheme="minorHAnsi"/>
          <w:sz w:val="22"/>
          <w:szCs w:val="22"/>
          <w:lang w:eastAsia="en-US"/>
        </w:rPr>
        <w:t>у</w:t>
      </w:r>
      <w:r w:rsidRPr="00EC1A78">
        <w:rPr>
          <w:rFonts w:eastAsiaTheme="minorHAnsi"/>
          <w:sz w:val="22"/>
          <w:szCs w:val="22"/>
          <w:lang w:eastAsia="en-US"/>
        </w:rPr>
        <w:t>турлина, А.В. Митрясова // Ленинградский юридический журнал. – 2013. – № 4 (34). – С. 133.</w:t>
      </w:r>
      <w:r w:rsidRPr="00EC1A78">
        <w:rPr>
          <w:rFonts w:eastAsiaTheme="minorHAnsi"/>
          <w:b/>
          <w:sz w:val="22"/>
          <w:szCs w:val="22"/>
          <w:lang w:eastAsia="en-US"/>
        </w:rPr>
        <w:t xml:space="preserve"> </w:t>
      </w:r>
    </w:p>
    <w:p w:rsidR="00EC1A78" w:rsidRDefault="00EC1A78" w:rsidP="00EC1A78">
      <w:pPr>
        <w:rPr>
          <w:rFonts w:eastAsiaTheme="minorHAnsi"/>
          <w:sz w:val="22"/>
          <w:szCs w:val="22"/>
          <w:lang w:eastAsia="en-US"/>
        </w:rPr>
      </w:pPr>
    </w:p>
    <w:p w:rsidR="00C56F2E" w:rsidRPr="00EC1A78" w:rsidRDefault="00C56F2E" w:rsidP="00EC1A78">
      <w:pPr>
        <w:rPr>
          <w:rFonts w:eastAsiaTheme="minorHAnsi"/>
          <w:sz w:val="22"/>
          <w:szCs w:val="22"/>
          <w:lang w:eastAsia="en-US"/>
        </w:rPr>
      </w:pPr>
    </w:p>
    <w:p w:rsidR="00EC1A78" w:rsidRPr="00C56F2E" w:rsidRDefault="00EC1A78" w:rsidP="00EC1A78">
      <w:pPr>
        <w:rPr>
          <w:rFonts w:eastAsiaTheme="minorHAnsi"/>
          <w:sz w:val="22"/>
          <w:szCs w:val="22"/>
          <w:lang w:eastAsia="en-US"/>
        </w:rPr>
      </w:pPr>
      <w:r w:rsidRPr="00C56F2E">
        <w:rPr>
          <w:rFonts w:eastAsiaTheme="minorHAnsi"/>
          <w:sz w:val="22"/>
          <w:szCs w:val="22"/>
          <w:lang w:eastAsia="en-US"/>
        </w:rPr>
        <w:t>УДК 347.626</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Правовое регулирование института брачного договора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в США и России: сравнительная характеристика</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Legal regulation of the institution of the marriage contract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in the USA and Russia: comparative characteristic </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Бандюк В.</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Лепешкина О.</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теории и истории государства и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56F2E">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рассматривается порядок и условия заключения брачного договора в соответствии с российским и ам</w:t>
      </w:r>
      <w:r w:rsidRPr="00EC1A78">
        <w:rPr>
          <w:rFonts w:eastAsiaTheme="minorHAnsi"/>
          <w:sz w:val="22"/>
          <w:szCs w:val="22"/>
          <w:lang w:eastAsia="en-US"/>
        </w:rPr>
        <w:t>е</w:t>
      </w:r>
      <w:r w:rsidRPr="00EC1A78">
        <w:rPr>
          <w:rFonts w:eastAsiaTheme="minorHAnsi"/>
          <w:sz w:val="22"/>
          <w:szCs w:val="22"/>
          <w:lang w:eastAsia="en-US"/>
        </w:rPr>
        <w:t xml:space="preserve">риканским законодательством.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discusses the procedure and conditions for concluding a marriage contract in accordance with Russian and Amer</w:t>
      </w:r>
      <w:r w:rsidRPr="00EC1A78">
        <w:rPr>
          <w:rFonts w:eastAsiaTheme="minorHAnsi"/>
          <w:sz w:val="22"/>
          <w:szCs w:val="22"/>
          <w:lang w:val="en-US" w:eastAsia="en-US"/>
        </w:rPr>
        <w:t>i</w:t>
      </w:r>
      <w:r w:rsidRPr="00EC1A78">
        <w:rPr>
          <w:rFonts w:eastAsiaTheme="minorHAnsi"/>
          <w:sz w:val="22"/>
          <w:szCs w:val="22"/>
          <w:lang w:val="en-US" w:eastAsia="en-US"/>
        </w:rPr>
        <w:t>can legislation.</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Брачный договор, имущественные о</w:t>
      </w:r>
      <w:r w:rsidRPr="00EC1A78">
        <w:rPr>
          <w:rFonts w:eastAsiaTheme="minorHAnsi"/>
          <w:sz w:val="22"/>
          <w:szCs w:val="22"/>
          <w:lang w:eastAsia="en-US"/>
        </w:rPr>
        <w:t>т</w:t>
      </w:r>
      <w:r w:rsidRPr="00EC1A78">
        <w:rPr>
          <w:rFonts w:eastAsiaTheme="minorHAnsi"/>
          <w:sz w:val="22"/>
          <w:szCs w:val="22"/>
          <w:lang w:eastAsia="en-US"/>
        </w:rPr>
        <w:t xml:space="preserve">ношения, личные неимущественные отношения.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Marriage contract, property relations, personal non–property relations.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Брачный договор представляет собой гражданско–правовой д</w:t>
      </w:r>
      <w:r w:rsidRPr="00EC1A78">
        <w:rPr>
          <w:rFonts w:eastAsiaTheme="minorHAnsi"/>
          <w:sz w:val="22"/>
          <w:szCs w:val="22"/>
          <w:lang w:eastAsia="en-US"/>
        </w:rPr>
        <w:t>о</w:t>
      </w:r>
      <w:r w:rsidRPr="00EC1A78">
        <w:rPr>
          <w:rFonts w:eastAsiaTheme="minorHAnsi"/>
          <w:sz w:val="22"/>
          <w:szCs w:val="22"/>
          <w:lang w:eastAsia="en-US"/>
        </w:rPr>
        <w:t>говор, согласно которому супруги или лица, вступающие в брак, определяют их имущественные права и обязанности в браке в сл</w:t>
      </w:r>
      <w:r w:rsidRPr="00EC1A78">
        <w:rPr>
          <w:rFonts w:eastAsiaTheme="minorHAnsi"/>
          <w:sz w:val="22"/>
          <w:szCs w:val="22"/>
          <w:lang w:eastAsia="en-US"/>
        </w:rPr>
        <w:t>у</w:t>
      </w:r>
      <w:r w:rsidRPr="00EC1A78">
        <w:rPr>
          <w:rFonts w:eastAsiaTheme="minorHAnsi"/>
          <w:sz w:val="22"/>
          <w:szCs w:val="22"/>
          <w:lang w:eastAsia="en-US"/>
        </w:rPr>
        <w:t>чае его расторжения. В Российской Федерации брачный договор менее популярен, чем в Соединенных Штатах Америки. Так, например, в 2017 году в России его заключило 9% пар, вступающих в барк, а в США более 70% пар. Но также надо отметить, что те</w:t>
      </w:r>
      <w:r w:rsidRPr="00EC1A78">
        <w:rPr>
          <w:rFonts w:eastAsiaTheme="minorHAnsi"/>
          <w:sz w:val="22"/>
          <w:szCs w:val="22"/>
          <w:lang w:eastAsia="en-US"/>
        </w:rPr>
        <w:t>н</w:t>
      </w:r>
      <w:r w:rsidRPr="00EC1A78">
        <w:rPr>
          <w:rFonts w:eastAsiaTheme="minorHAnsi"/>
          <w:sz w:val="22"/>
          <w:szCs w:val="22"/>
          <w:lang w:eastAsia="en-US"/>
        </w:rPr>
        <w:t>денция к заключению брачных договоров в России возрастает с каждым годом в полтора раза. Таким образом, можно заметить, что институт брачного договора в США более развит, чем в Российской Федерации. В России брачный договор можно заключить как до государственной регистрации брака, так и после, другое дело, что он вступает в силу только после заключения брака. Однако в США брачный договор можно заключить в сам момент заключения брака.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Надо отметить то, что самым важным отличием является то, ради чего и каких целей заключается такое соглашение. Согласно Российскому законодательству, брачный договор может регулир</w:t>
      </w:r>
      <w:r w:rsidRPr="00EC1A78">
        <w:rPr>
          <w:rFonts w:eastAsiaTheme="minorHAnsi"/>
          <w:sz w:val="22"/>
          <w:szCs w:val="22"/>
          <w:lang w:eastAsia="en-US"/>
        </w:rPr>
        <w:t>о</w:t>
      </w:r>
      <w:r w:rsidRPr="00EC1A78">
        <w:rPr>
          <w:rFonts w:eastAsiaTheme="minorHAnsi"/>
          <w:sz w:val="22"/>
          <w:szCs w:val="22"/>
          <w:lang w:eastAsia="en-US"/>
        </w:rPr>
        <w:t>вать только имущественные отношения. А это значит, что договор не регулирует обязанности по ведению домашнего хозяйства, и</w:t>
      </w:r>
      <w:r w:rsidRPr="00EC1A78">
        <w:rPr>
          <w:rFonts w:eastAsiaTheme="minorHAnsi"/>
          <w:sz w:val="22"/>
          <w:szCs w:val="22"/>
          <w:lang w:eastAsia="en-US"/>
        </w:rPr>
        <w:t>н</w:t>
      </w:r>
      <w:r w:rsidRPr="00EC1A78">
        <w:rPr>
          <w:rFonts w:eastAsiaTheme="minorHAnsi"/>
          <w:sz w:val="22"/>
          <w:szCs w:val="22"/>
          <w:lang w:eastAsia="en-US"/>
        </w:rPr>
        <w:t>тимную жизнь супругов, общение с детьми после развода. А вот в законодательстве Соединенных Штатов Америки брачный договор может регулировать не только имущественные отношения, но и личные неимущественные отношения, например, с кем будут жить дети после развода, а также наказания в случае измены одного из супругов. Стоит обратить внимание и на возможность изменения условий брачного договора. Российское законодательство пред</w:t>
      </w:r>
      <w:r w:rsidRPr="00EC1A78">
        <w:rPr>
          <w:rFonts w:eastAsiaTheme="minorHAnsi"/>
          <w:sz w:val="22"/>
          <w:szCs w:val="22"/>
          <w:lang w:eastAsia="en-US"/>
        </w:rPr>
        <w:t>у</w:t>
      </w:r>
      <w:r w:rsidRPr="00EC1A78">
        <w:rPr>
          <w:rFonts w:eastAsiaTheme="minorHAnsi"/>
          <w:sz w:val="22"/>
          <w:szCs w:val="22"/>
          <w:lang w:eastAsia="en-US"/>
        </w:rPr>
        <w:t>сматривает изменение условий брачного договора в любое время по соглашению обоих супругов или по решению суда. В США – все наоборот, там изменение условий брачного договора возможно только по решению суда.</w:t>
      </w:r>
    </w:p>
    <w:p w:rsidR="00EC1A78" w:rsidRPr="00EC1A78" w:rsidRDefault="00EC1A78" w:rsidP="00C42DAC">
      <w:pPr>
        <w:ind w:firstLine="425"/>
        <w:jc w:val="both"/>
        <w:rPr>
          <w:rFonts w:eastAsiaTheme="minorHAnsi"/>
          <w:sz w:val="22"/>
          <w:szCs w:val="22"/>
          <w:lang w:eastAsia="en-US"/>
        </w:rPr>
      </w:pPr>
      <w:r w:rsidRPr="00EC1A78">
        <w:rPr>
          <w:rFonts w:eastAsiaTheme="minorHAnsi"/>
          <w:sz w:val="22"/>
          <w:szCs w:val="22"/>
          <w:lang w:eastAsia="en-US"/>
        </w:rPr>
        <w:t>Подводя итоги характеристики института брачного договора в РФ и США, стоит отметить, что это малая часть сравнений. На с</w:t>
      </w:r>
      <w:r w:rsidRPr="00EC1A78">
        <w:rPr>
          <w:rFonts w:eastAsiaTheme="minorHAnsi"/>
          <w:sz w:val="22"/>
          <w:szCs w:val="22"/>
          <w:lang w:eastAsia="en-US"/>
        </w:rPr>
        <w:t>а</w:t>
      </w:r>
      <w:r w:rsidRPr="00EC1A78">
        <w:rPr>
          <w:rFonts w:eastAsiaTheme="minorHAnsi"/>
          <w:sz w:val="22"/>
          <w:szCs w:val="22"/>
          <w:lang w:eastAsia="en-US"/>
        </w:rPr>
        <w:t>мом деле существует намного больше различий и особенностей. И причин для этого множество – различные правовые системы, ме</w:t>
      </w:r>
      <w:r w:rsidRPr="00EC1A78">
        <w:rPr>
          <w:rFonts w:eastAsiaTheme="minorHAnsi"/>
          <w:sz w:val="22"/>
          <w:szCs w:val="22"/>
          <w:lang w:eastAsia="en-US"/>
        </w:rPr>
        <w:t>н</w:t>
      </w:r>
      <w:r w:rsidRPr="00EC1A78">
        <w:rPr>
          <w:rFonts w:eastAsiaTheme="minorHAnsi"/>
          <w:sz w:val="22"/>
          <w:szCs w:val="22"/>
          <w:lang w:eastAsia="en-US"/>
        </w:rPr>
        <w:t>талитет народа, сравнительно недавний переход к рыночным отн</w:t>
      </w:r>
      <w:r w:rsidRPr="00EC1A78">
        <w:rPr>
          <w:rFonts w:eastAsiaTheme="minorHAnsi"/>
          <w:sz w:val="22"/>
          <w:szCs w:val="22"/>
          <w:lang w:eastAsia="en-US"/>
        </w:rPr>
        <w:t>о</w:t>
      </w:r>
      <w:r w:rsidRPr="00EC1A78">
        <w:rPr>
          <w:rFonts w:eastAsiaTheme="minorHAnsi"/>
          <w:sz w:val="22"/>
          <w:szCs w:val="22"/>
          <w:lang w:eastAsia="en-US"/>
        </w:rPr>
        <w:t>шениям в России и появление частной собственности и другие. На основании вышесказанного, нужно отметить, что институты бра</w:t>
      </w:r>
      <w:r w:rsidRPr="00EC1A78">
        <w:rPr>
          <w:rFonts w:eastAsiaTheme="minorHAnsi"/>
          <w:sz w:val="22"/>
          <w:szCs w:val="22"/>
          <w:lang w:eastAsia="en-US"/>
        </w:rPr>
        <w:t>ч</w:t>
      </w:r>
      <w:r w:rsidRPr="00EC1A78">
        <w:rPr>
          <w:rFonts w:eastAsiaTheme="minorHAnsi"/>
          <w:sz w:val="22"/>
          <w:szCs w:val="22"/>
          <w:lang w:eastAsia="en-US"/>
        </w:rPr>
        <w:t>ных договоров в законодательствах обеих стран значительно отл</w:t>
      </w:r>
      <w:r w:rsidRPr="00EC1A78">
        <w:rPr>
          <w:rFonts w:eastAsiaTheme="minorHAnsi"/>
          <w:sz w:val="22"/>
          <w:szCs w:val="22"/>
          <w:lang w:eastAsia="en-US"/>
        </w:rPr>
        <w:t>и</w:t>
      </w:r>
      <w:r w:rsidRPr="00EC1A78">
        <w:rPr>
          <w:rFonts w:eastAsiaTheme="minorHAnsi"/>
          <w:sz w:val="22"/>
          <w:szCs w:val="22"/>
          <w:lang w:eastAsia="en-US"/>
        </w:rPr>
        <w:lastRenderedPageBreak/>
        <w:t>чаются друг от друга, но имеют положительные стороны, поэтому при усовершенствовании этого института законодателю следую учесть американский опыт правового регулирования института брачного договора.</w:t>
      </w:r>
    </w:p>
    <w:p w:rsidR="00EC1A78" w:rsidRPr="00EC1A78" w:rsidRDefault="00C56F2E" w:rsidP="00EC1A78">
      <w:pPr>
        <w:ind w:firstLine="425"/>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1. </w:t>
      </w:r>
      <w:r w:rsidRPr="00EC1A78">
        <w:rPr>
          <w:rFonts w:eastAsiaTheme="minorHAnsi"/>
          <w:sz w:val="22"/>
          <w:szCs w:val="22"/>
          <w:shd w:val="clear" w:color="auto" w:fill="FFFFFF"/>
          <w:lang w:eastAsia="en-US"/>
        </w:rPr>
        <w:t>Альбиков И.Р. Брачный договор по российскому и зарубе</w:t>
      </w:r>
      <w:r w:rsidRPr="00EC1A78">
        <w:rPr>
          <w:rFonts w:eastAsiaTheme="minorHAnsi"/>
          <w:sz w:val="22"/>
          <w:szCs w:val="22"/>
          <w:shd w:val="clear" w:color="auto" w:fill="FFFFFF"/>
          <w:lang w:eastAsia="en-US"/>
        </w:rPr>
        <w:t>ж</w:t>
      </w:r>
      <w:r w:rsidRPr="00EC1A78">
        <w:rPr>
          <w:rFonts w:eastAsiaTheme="minorHAnsi"/>
          <w:sz w:val="22"/>
          <w:szCs w:val="22"/>
          <w:shd w:val="clear" w:color="auto" w:fill="FFFFFF"/>
          <w:lang w:eastAsia="en-US"/>
        </w:rPr>
        <w:t>ному законодательству: сравнительно – правовой анализ // Нотар</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ус. 2012. № 1. С. 22–24.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Буряк С.Б., Морозова В.С. Брачный договор в Российской и европейском законодательстве: сравнительная характеристика. // Сборник: Противоречия и тенденции развития современного Ро</w:t>
      </w:r>
      <w:r w:rsidRPr="00EC1A78">
        <w:rPr>
          <w:rFonts w:eastAsiaTheme="minorHAnsi"/>
          <w:sz w:val="22"/>
          <w:szCs w:val="22"/>
          <w:lang w:eastAsia="en-US"/>
        </w:rPr>
        <w:t>с</w:t>
      </w:r>
      <w:r w:rsidRPr="00EC1A78">
        <w:rPr>
          <w:rFonts w:eastAsiaTheme="minorHAnsi"/>
          <w:sz w:val="22"/>
          <w:szCs w:val="22"/>
          <w:lang w:eastAsia="en-US"/>
        </w:rPr>
        <w:t>сийского общества/ Сборник научных статей Всероссийской нау</w:t>
      </w:r>
      <w:r w:rsidRPr="00EC1A78">
        <w:rPr>
          <w:rFonts w:eastAsiaTheme="minorHAnsi"/>
          <w:sz w:val="22"/>
          <w:szCs w:val="22"/>
          <w:lang w:eastAsia="en-US"/>
        </w:rPr>
        <w:t>ч</w:t>
      </w:r>
      <w:r w:rsidRPr="00EC1A78">
        <w:rPr>
          <w:rFonts w:eastAsiaTheme="minorHAnsi"/>
          <w:sz w:val="22"/>
          <w:szCs w:val="22"/>
          <w:lang w:eastAsia="en-US"/>
        </w:rPr>
        <w:t>но–практической конференции. 2016. С. 32–37.</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Гущина Л.И., Епифанова Е.В. Государство и право зарубе</w:t>
      </w:r>
      <w:r w:rsidRPr="00EC1A78">
        <w:rPr>
          <w:rFonts w:eastAsiaTheme="minorHAnsi"/>
          <w:sz w:val="22"/>
          <w:szCs w:val="22"/>
          <w:lang w:eastAsia="en-US"/>
        </w:rPr>
        <w:t>ж</w:t>
      </w:r>
      <w:r w:rsidRPr="00EC1A78">
        <w:rPr>
          <w:rFonts w:eastAsiaTheme="minorHAnsi"/>
          <w:sz w:val="22"/>
          <w:szCs w:val="22"/>
          <w:lang w:eastAsia="en-US"/>
        </w:rPr>
        <w:t>ных стран. Вопросы истории. / Л. И. Гущина, Е. В. Епифанова. Москва, 2011. Сер. Теория и история государства и права</w:t>
      </w:r>
    </w:p>
    <w:p w:rsidR="00EC1A78" w:rsidRPr="00EC1A78" w:rsidRDefault="00EC1A78" w:rsidP="00EC1A78">
      <w:pPr>
        <w:shd w:val="clear" w:color="auto" w:fill="FFFFFF"/>
        <w:ind w:firstLine="426"/>
        <w:jc w:val="both"/>
        <w:rPr>
          <w:sz w:val="22"/>
          <w:szCs w:val="22"/>
        </w:rPr>
      </w:pPr>
      <w:r w:rsidRPr="00EC1A78">
        <w:rPr>
          <w:sz w:val="22"/>
          <w:szCs w:val="22"/>
        </w:rPr>
        <w:t>4. Епифанова Е.В., Павлисова Т.Е. Государственно–правовые концепции: история и современность / учебное пособие / Е. В. Еп</w:t>
      </w:r>
      <w:r w:rsidRPr="00EC1A78">
        <w:rPr>
          <w:sz w:val="22"/>
          <w:szCs w:val="22"/>
        </w:rPr>
        <w:t>и</w:t>
      </w:r>
      <w:r w:rsidRPr="00EC1A78">
        <w:rPr>
          <w:sz w:val="22"/>
          <w:szCs w:val="22"/>
        </w:rPr>
        <w:t>фанова, Т. Е. Павлисова. Москва, 2012. Сер. Теория и история гос</w:t>
      </w:r>
      <w:r w:rsidRPr="00EC1A78">
        <w:rPr>
          <w:sz w:val="22"/>
          <w:szCs w:val="22"/>
        </w:rPr>
        <w:t>у</w:t>
      </w:r>
      <w:r w:rsidRPr="00EC1A78">
        <w:rPr>
          <w:sz w:val="22"/>
          <w:szCs w:val="22"/>
        </w:rPr>
        <w:t>дарства и права.</w:t>
      </w:r>
    </w:p>
    <w:p w:rsidR="00EC1A78" w:rsidRPr="00EC1A78" w:rsidRDefault="00EC1A78" w:rsidP="00EC1A78">
      <w:pPr>
        <w:shd w:val="clear" w:color="auto" w:fill="FFFFFF"/>
        <w:ind w:firstLine="426"/>
        <w:jc w:val="both"/>
        <w:rPr>
          <w:sz w:val="22"/>
          <w:szCs w:val="22"/>
        </w:rPr>
      </w:pPr>
      <w:r w:rsidRPr="00EC1A78">
        <w:rPr>
          <w:sz w:val="22"/>
          <w:szCs w:val="22"/>
        </w:rPr>
        <w:t>5. Епифанова Е.В., Павлисова Т.Е. История политических и правовых учений. Рабочая тетрадь / Краснодар, 2013.</w:t>
      </w:r>
    </w:p>
    <w:p w:rsidR="00EC1A78" w:rsidRPr="00EC1A78" w:rsidRDefault="00EC1A78" w:rsidP="00EC1A78">
      <w:pPr>
        <w:shd w:val="clear" w:color="auto" w:fill="FFFFFF"/>
        <w:ind w:firstLine="426"/>
        <w:jc w:val="both"/>
        <w:rPr>
          <w:sz w:val="22"/>
          <w:szCs w:val="22"/>
        </w:rPr>
      </w:pPr>
      <w:r w:rsidRPr="00EC1A78">
        <w:rPr>
          <w:sz w:val="22"/>
          <w:szCs w:val="22"/>
        </w:rPr>
        <w:t>6. Основы права. / Гущина Л.И., Ембулаева Н.Ю., Епифанова Е.В., Лепешкина В., Михайлик А.А., Недилько Ю.В., Павлисова Т.Е.</w:t>
      </w:r>
    </w:p>
    <w:p w:rsidR="00EC1A78" w:rsidRPr="00EC1A78" w:rsidRDefault="00EC1A78" w:rsidP="00EC1A78">
      <w:pPr>
        <w:shd w:val="clear" w:color="auto" w:fill="FFFFFF"/>
        <w:ind w:firstLine="426"/>
        <w:jc w:val="both"/>
        <w:rPr>
          <w:sz w:val="22"/>
          <w:szCs w:val="22"/>
        </w:rPr>
      </w:pPr>
      <w:r w:rsidRPr="00EC1A78">
        <w:rPr>
          <w:sz w:val="22"/>
          <w:szCs w:val="22"/>
        </w:rPr>
        <w:t>Краснодар, 2015.</w:t>
      </w:r>
    </w:p>
    <w:p w:rsidR="00EC1A78" w:rsidRPr="00EC1A78" w:rsidRDefault="00EC1A78" w:rsidP="00EC1A78">
      <w:pPr>
        <w:shd w:val="clear" w:color="auto" w:fill="FFFFFF"/>
        <w:ind w:firstLine="426"/>
        <w:jc w:val="both"/>
        <w:rPr>
          <w:sz w:val="22"/>
          <w:szCs w:val="22"/>
        </w:rPr>
      </w:pPr>
      <w:r w:rsidRPr="00EC1A78">
        <w:rPr>
          <w:sz w:val="22"/>
          <w:szCs w:val="22"/>
        </w:rPr>
        <w:t>7. Правоведение (право, основы права) / Гущина Л.И., Ембул</w:t>
      </w:r>
      <w:r w:rsidRPr="00EC1A78">
        <w:rPr>
          <w:sz w:val="22"/>
          <w:szCs w:val="22"/>
        </w:rPr>
        <w:t>а</w:t>
      </w:r>
      <w:r w:rsidRPr="00EC1A78">
        <w:rPr>
          <w:sz w:val="22"/>
          <w:szCs w:val="22"/>
        </w:rPr>
        <w:t>ева Н.Ю., Епифанова Е.В., Лепешкина О.В., Михайлик А.А., Н</w:t>
      </w:r>
      <w:r w:rsidRPr="00EC1A78">
        <w:rPr>
          <w:sz w:val="22"/>
          <w:szCs w:val="22"/>
        </w:rPr>
        <w:t>е</w:t>
      </w:r>
      <w:r w:rsidRPr="00EC1A78">
        <w:rPr>
          <w:sz w:val="22"/>
          <w:szCs w:val="22"/>
        </w:rPr>
        <w:t xml:space="preserve">дилько Ю.В., Павлисова Т.Е. учебное пособие / Краснодар, 2015. </w:t>
      </w:r>
    </w:p>
    <w:p w:rsidR="00EC1A78" w:rsidRPr="00EC1A78" w:rsidRDefault="00EC1A78" w:rsidP="00EC1A78">
      <w:pPr>
        <w:shd w:val="clear" w:color="auto" w:fill="FFFFFF"/>
        <w:ind w:firstLine="426"/>
        <w:jc w:val="both"/>
        <w:rPr>
          <w:sz w:val="22"/>
          <w:szCs w:val="22"/>
        </w:rPr>
      </w:pPr>
      <w:r w:rsidRPr="00EC1A78">
        <w:rPr>
          <w:sz w:val="22"/>
          <w:szCs w:val="22"/>
        </w:rPr>
        <w:t>8. Юридические препятствия в реализации прав и законных и</w:t>
      </w:r>
      <w:r w:rsidRPr="00EC1A78">
        <w:rPr>
          <w:sz w:val="22"/>
          <w:szCs w:val="22"/>
        </w:rPr>
        <w:t>н</w:t>
      </w:r>
      <w:r w:rsidRPr="00EC1A78">
        <w:rPr>
          <w:sz w:val="22"/>
          <w:szCs w:val="22"/>
        </w:rPr>
        <w:t>тересов: проблемы теории и практики/  Абдрашитов В.М., Баринов С.В., Бойко П.А., Бражник Т.А., Брестер А.А., Васильев М.В., Вл</w:t>
      </w:r>
      <w:r w:rsidRPr="00EC1A78">
        <w:rPr>
          <w:sz w:val="22"/>
          <w:szCs w:val="22"/>
        </w:rPr>
        <w:t>а</w:t>
      </w:r>
      <w:r w:rsidRPr="00EC1A78">
        <w:rPr>
          <w:sz w:val="22"/>
          <w:szCs w:val="22"/>
        </w:rPr>
        <w:t>дыкина Т.А., Горбуль Ю.А., Демидов Н.В., Демин А.В., Дядюн К.В., Епифанова Е.В., Журавлев М.С., Зайцева Е.Р., Исаева А.А., Кожевников В.В., Кожевников О.А., Малько А.В., Малько Е.А., Могилевец О.М. и др. Сибирский федеральный университет, Сар</w:t>
      </w:r>
      <w:r w:rsidRPr="00EC1A78">
        <w:rPr>
          <w:sz w:val="22"/>
          <w:szCs w:val="22"/>
        </w:rPr>
        <w:t>а</w:t>
      </w:r>
      <w:r w:rsidRPr="00EC1A78">
        <w:rPr>
          <w:sz w:val="22"/>
          <w:szCs w:val="22"/>
        </w:rPr>
        <w:t>товский филиал Института государства и права Российской акад</w:t>
      </w:r>
      <w:r w:rsidRPr="00EC1A78">
        <w:rPr>
          <w:sz w:val="22"/>
          <w:szCs w:val="22"/>
        </w:rPr>
        <w:t>е</w:t>
      </w:r>
      <w:r w:rsidRPr="00EC1A78">
        <w:rPr>
          <w:sz w:val="22"/>
          <w:szCs w:val="22"/>
        </w:rPr>
        <w:t xml:space="preserve">мии наук, Автономная некоммерческая правозащитная организация </w:t>
      </w:r>
      <w:r w:rsidRPr="00EC1A78">
        <w:rPr>
          <w:sz w:val="22"/>
          <w:szCs w:val="22"/>
        </w:rPr>
        <w:lastRenderedPageBreak/>
        <w:t>«Правовой модус»; под редакцией В.Ю. Панченко, А.А. Петрова. Москва, 2015. Сер. Теория и история государства и права</w:t>
      </w:r>
    </w:p>
    <w:p w:rsidR="00EC1A78" w:rsidRPr="00EC1A78" w:rsidRDefault="00EC1A78" w:rsidP="00EC1A78">
      <w:pPr>
        <w:shd w:val="clear" w:color="auto" w:fill="FFFFFF"/>
        <w:ind w:firstLine="426"/>
        <w:jc w:val="both"/>
        <w:rPr>
          <w:sz w:val="22"/>
          <w:szCs w:val="22"/>
        </w:rPr>
      </w:pPr>
      <w:r w:rsidRPr="00EC1A78">
        <w:rPr>
          <w:sz w:val="22"/>
          <w:szCs w:val="22"/>
        </w:rPr>
        <w:t>9. История государства и права зарубежных стран / Гущина Л.И., Дашин А.В., Ембулаева Н.Ю., Епифанова Е.В., Лепешкина О.В., Михайлик А.А., Недилько Ю.В., Павлисова Т.Е., Шаповалов А.В., Адыгезалова Г.Э., Жбырь  О.Н. Учебник  для  бакалавров / Отв. ред. Е.В. Епифанова. Краснодар, 2017.</w:t>
      </w:r>
    </w:p>
    <w:p w:rsidR="00EC1A78" w:rsidRPr="00EC1A78" w:rsidRDefault="00EC1A78" w:rsidP="00EC1A78">
      <w:pPr>
        <w:shd w:val="clear" w:color="auto" w:fill="FFFFFF"/>
        <w:ind w:firstLine="426"/>
        <w:jc w:val="both"/>
        <w:rPr>
          <w:sz w:val="22"/>
          <w:szCs w:val="22"/>
        </w:rPr>
      </w:pPr>
      <w:r w:rsidRPr="00EC1A78">
        <w:rPr>
          <w:sz w:val="22"/>
          <w:szCs w:val="22"/>
        </w:rPr>
        <w:t>10. Епифанова Е.В., Димитрияди Е. Влияние религиозных норм, норм традиций, морали, нравственности на брачно–семейные отношения в современной Индии. // Очерки новейшей камерал</w:t>
      </w:r>
      <w:r w:rsidRPr="00EC1A78">
        <w:rPr>
          <w:sz w:val="22"/>
          <w:szCs w:val="22"/>
        </w:rPr>
        <w:t>и</w:t>
      </w:r>
      <w:r w:rsidRPr="00EC1A78">
        <w:rPr>
          <w:sz w:val="22"/>
          <w:szCs w:val="22"/>
        </w:rPr>
        <w:t>стики. 2017. № 1. С. 30–32.</w:t>
      </w:r>
    </w:p>
    <w:p w:rsidR="00EC1A78" w:rsidRDefault="00EC1A78" w:rsidP="00EC1A78">
      <w:pPr>
        <w:rPr>
          <w:rFonts w:eastAsiaTheme="minorHAnsi"/>
          <w:sz w:val="22"/>
          <w:szCs w:val="22"/>
          <w:lang w:eastAsia="en-US"/>
        </w:rPr>
      </w:pPr>
    </w:p>
    <w:p w:rsidR="00C56F2E" w:rsidRDefault="00C56F2E" w:rsidP="00EC1A78">
      <w:pPr>
        <w:rPr>
          <w:rFonts w:eastAsiaTheme="minorHAnsi"/>
          <w:sz w:val="22"/>
          <w:szCs w:val="22"/>
          <w:lang w:eastAsia="en-US"/>
        </w:rPr>
      </w:pPr>
    </w:p>
    <w:p w:rsidR="00C56F2E" w:rsidRPr="00EC1A78" w:rsidRDefault="00C56F2E"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347.768</w:t>
      </w:r>
    </w:p>
    <w:p w:rsidR="00EC1A78" w:rsidRPr="00EC1A78" w:rsidRDefault="00EC1A78" w:rsidP="00EC1A78">
      <w:pPr>
        <w:rPr>
          <w:rFonts w:eastAsiaTheme="minorHAnsi"/>
          <w:sz w:val="22"/>
          <w:szCs w:val="22"/>
          <w:lang w:eastAsia="en-US"/>
        </w:rPr>
      </w:pPr>
    </w:p>
    <w:p w:rsidR="00EC1A78" w:rsidRPr="00EC1A78" w:rsidRDefault="00EC1A78" w:rsidP="00EC1A78">
      <w:pPr>
        <w:ind w:firstLine="426"/>
        <w:jc w:val="center"/>
        <w:rPr>
          <w:rFonts w:eastAsiaTheme="minorHAnsi"/>
          <w:b/>
          <w:sz w:val="24"/>
          <w:szCs w:val="24"/>
          <w:lang w:eastAsia="en-US"/>
        </w:rPr>
      </w:pPr>
      <w:r w:rsidRPr="00EC1A78">
        <w:rPr>
          <w:rFonts w:eastAsiaTheme="minorHAnsi"/>
          <w:b/>
          <w:sz w:val="24"/>
          <w:szCs w:val="24"/>
          <w:lang w:eastAsia="en-US"/>
        </w:rPr>
        <w:t xml:space="preserve">Правовая природа Договора о создании </w:t>
      </w:r>
      <w:r w:rsidR="00C56F2E">
        <w:rPr>
          <w:rFonts w:eastAsiaTheme="minorHAnsi"/>
          <w:b/>
          <w:sz w:val="24"/>
          <w:szCs w:val="24"/>
          <w:lang w:eastAsia="en-US"/>
        </w:rPr>
        <w:br/>
      </w:r>
      <w:r w:rsidRPr="00EC1A78">
        <w:rPr>
          <w:rFonts w:eastAsiaTheme="minorHAnsi"/>
          <w:b/>
          <w:sz w:val="24"/>
          <w:szCs w:val="24"/>
          <w:lang w:eastAsia="en-US"/>
        </w:rPr>
        <w:t xml:space="preserve">аудиовизуального произведения в Гражданском праве </w:t>
      </w:r>
      <w:r w:rsidR="00C56F2E">
        <w:rPr>
          <w:rFonts w:eastAsiaTheme="minorHAnsi"/>
          <w:b/>
          <w:sz w:val="24"/>
          <w:szCs w:val="24"/>
          <w:lang w:eastAsia="en-US"/>
        </w:rPr>
        <w:br/>
      </w:r>
      <w:r w:rsidRPr="00EC1A78">
        <w:rPr>
          <w:rFonts w:eastAsiaTheme="minorHAnsi"/>
          <w:b/>
          <w:sz w:val="24"/>
          <w:szCs w:val="24"/>
          <w:lang w:eastAsia="en-US"/>
        </w:rPr>
        <w:t>Российской Федерации</w:t>
      </w:r>
    </w:p>
    <w:p w:rsidR="00EC1A78" w:rsidRPr="00E62E4B" w:rsidRDefault="00EC1A78" w:rsidP="00EC1A78">
      <w:pPr>
        <w:ind w:firstLine="426"/>
        <w:jc w:val="center"/>
        <w:rPr>
          <w:rFonts w:eastAsiaTheme="minorHAnsi"/>
          <w:b/>
          <w:sz w:val="24"/>
          <w:szCs w:val="24"/>
          <w:lang w:val="en-US" w:eastAsia="en-US"/>
        </w:rPr>
      </w:pP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legal</w:t>
      </w:r>
      <w:r w:rsidRPr="00E62E4B">
        <w:rPr>
          <w:rFonts w:eastAsiaTheme="minorHAnsi"/>
          <w:b/>
          <w:sz w:val="24"/>
          <w:szCs w:val="24"/>
          <w:lang w:val="en-US" w:eastAsia="en-US"/>
        </w:rPr>
        <w:t xml:space="preserve"> </w:t>
      </w:r>
      <w:r w:rsidRPr="00EC1A78">
        <w:rPr>
          <w:rFonts w:eastAsiaTheme="minorHAnsi"/>
          <w:b/>
          <w:sz w:val="24"/>
          <w:szCs w:val="24"/>
          <w:lang w:val="en-US" w:eastAsia="en-US"/>
        </w:rPr>
        <w:t>nature</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agreement</w:t>
      </w:r>
      <w:r w:rsidRPr="00E62E4B">
        <w:rPr>
          <w:rFonts w:eastAsiaTheme="minorHAnsi"/>
          <w:b/>
          <w:sz w:val="24"/>
          <w:szCs w:val="24"/>
          <w:lang w:val="en-US" w:eastAsia="en-US"/>
        </w:rPr>
        <w:t xml:space="preserve"> </w:t>
      </w:r>
      <w:r w:rsidRPr="00EC1A78">
        <w:rPr>
          <w:rFonts w:eastAsiaTheme="minorHAnsi"/>
          <w:b/>
          <w:sz w:val="24"/>
          <w:szCs w:val="24"/>
          <w:lang w:val="en-US" w:eastAsia="en-US"/>
        </w:rPr>
        <w:t>on</w:t>
      </w:r>
      <w:r w:rsidRPr="00E62E4B">
        <w:rPr>
          <w:rFonts w:eastAsiaTheme="minorHAnsi"/>
          <w:b/>
          <w:sz w:val="24"/>
          <w:szCs w:val="24"/>
          <w:lang w:val="en-US" w:eastAsia="en-US"/>
        </w:rPr>
        <w:t xml:space="preserve"> </w:t>
      </w: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creation</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an</w:t>
      </w:r>
      <w:r w:rsidRPr="00E62E4B">
        <w:rPr>
          <w:rFonts w:eastAsiaTheme="minorHAnsi"/>
          <w:b/>
          <w:sz w:val="24"/>
          <w:szCs w:val="24"/>
          <w:lang w:val="en-US" w:eastAsia="en-US"/>
        </w:rPr>
        <w:t xml:space="preserve"> </w:t>
      </w:r>
      <w:r w:rsidRPr="00EC1A78">
        <w:rPr>
          <w:rFonts w:eastAsiaTheme="minorHAnsi"/>
          <w:b/>
          <w:sz w:val="24"/>
          <w:szCs w:val="24"/>
          <w:lang w:val="en-US" w:eastAsia="en-US"/>
        </w:rPr>
        <w:t>audiovisual</w:t>
      </w:r>
      <w:r w:rsidRPr="00E62E4B">
        <w:rPr>
          <w:rFonts w:eastAsiaTheme="minorHAnsi"/>
          <w:b/>
          <w:sz w:val="24"/>
          <w:szCs w:val="24"/>
          <w:lang w:val="en-US" w:eastAsia="en-US"/>
        </w:rPr>
        <w:t xml:space="preserve"> </w:t>
      </w:r>
      <w:r w:rsidRPr="00EC1A78">
        <w:rPr>
          <w:rFonts w:eastAsiaTheme="minorHAnsi"/>
          <w:b/>
          <w:sz w:val="24"/>
          <w:szCs w:val="24"/>
          <w:lang w:val="en-US" w:eastAsia="en-US"/>
        </w:rPr>
        <w:t>work</w:t>
      </w:r>
      <w:r w:rsidRPr="00E62E4B">
        <w:rPr>
          <w:rFonts w:eastAsiaTheme="minorHAnsi"/>
          <w:b/>
          <w:sz w:val="24"/>
          <w:szCs w:val="24"/>
          <w:lang w:val="en-US" w:eastAsia="en-US"/>
        </w:rPr>
        <w:t xml:space="preserve"> </w:t>
      </w:r>
      <w:r w:rsidRPr="00EC1A78">
        <w:rPr>
          <w:rFonts w:eastAsiaTheme="minorHAnsi"/>
          <w:b/>
          <w:sz w:val="24"/>
          <w:szCs w:val="24"/>
          <w:lang w:val="en-US" w:eastAsia="en-US"/>
        </w:rPr>
        <w:t>in</w:t>
      </w:r>
      <w:r w:rsidRPr="00E62E4B">
        <w:rPr>
          <w:rFonts w:eastAsiaTheme="minorHAnsi"/>
          <w:b/>
          <w:sz w:val="24"/>
          <w:szCs w:val="24"/>
          <w:lang w:val="en-US" w:eastAsia="en-US"/>
        </w:rPr>
        <w:t xml:space="preserve"> </w:t>
      </w: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Civil</w:t>
      </w:r>
      <w:r w:rsidRPr="00E62E4B">
        <w:rPr>
          <w:rFonts w:eastAsiaTheme="minorHAnsi"/>
          <w:b/>
          <w:sz w:val="24"/>
          <w:szCs w:val="24"/>
          <w:lang w:val="en-US" w:eastAsia="en-US"/>
        </w:rPr>
        <w:t xml:space="preserve"> </w:t>
      </w:r>
      <w:r w:rsidRPr="00EC1A78">
        <w:rPr>
          <w:rFonts w:eastAsiaTheme="minorHAnsi"/>
          <w:b/>
          <w:sz w:val="24"/>
          <w:szCs w:val="24"/>
          <w:lang w:val="en-US" w:eastAsia="en-US"/>
        </w:rPr>
        <w:t>law</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Russian</w:t>
      </w:r>
      <w:r w:rsidRPr="00E62E4B">
        <w:rPr>
          <w:rFonts w:eastAsiaTheme="minorHAnsi"/>
          <w:b/>
          <w:sz w:val="24"/>
          <w:szCs w:val="24"/>
          <w:lang w:val="en-US" w:eastAsia="en-US"/>
        </w:rPr>
        <w:t xml:space="preserve"> </w:t>
      </w:r>
      <w:r w:rsidRPr="00EC1A78">
        <w:rPr>
          <w:rFonts w:eastAsiaTheme="minorHAnsi"/>
          <w:b/>
          <w:sz w:val="24"/>
          <w:szCs w:val="24"/>
          <w:lang w:val="en-US" w:eastAsia="en-US"/>
        </w:rPr>
        <w:t>Federation</w:t>
      </w:r>
    </w:p>
    <w:p w:rsidR="00EC1A78" w:rsidRPr="00E62E4B" w:rsidRDefault="00EC1A78" w:rsidP="00EC1A78">
      <w:pPr>
        <w:ind w:firstLine="426"/>
        <w:jc w:val="right"/>
        <w:rPr>
          <w:rFonts w:eastAsiaTheme="minorHAnsi"/>
          <w:sz w:val="22"/>
          <w:szCs w:val="22"/>
          <w:lang w:val="en-US" w:eastAsia="en-US"/>
        </w:rPr>
      </w:pPr>
    </w:p>
    <w:p w:rsidR="00EC1A78" w:rsidRPr="00EC1A78" w:rsidRDefault="00EC1A78" w:rsidP="00EC1A78">
      <w:pPr>
        <w:ind w:firstLine="426"/>
        <w:jc w:val="right"/>
        <w:rPr>
          <w:rFonts w:eastAsiaTheme="minorHAnsi"/>
          <w:sz w:val="22"/>
          <w:szCs w:val="22"/>
          <w:lang w:eastAsia="en-US"/>
        </w:rPr>
      </w:pPr>
      <w:r w:rsidRPr="00EC1A78">
        <w:rPr>
          <w:rFonts w:eastAsiaTheme="minorHAnsi"/>
          <w:sz w:val="22"/>
          <w:szCs w:val="22"/>
          <w:lang w:eastAsia="en-US"/>
        </w:rPr>
        <w:t>Бархович А.</w:t>
      </w:r>
      <w:r w:rsidR="00C56F2E">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ind w:firstLine="426"/>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tabs>
          <w:tab w:val="left" w:pos="4570"/>
        </w:tabs>
        <w:jc w:val="right"/>
        <w:rPr>
          <w:rFonts w:eastAsiaTheme="minorHAnsi"/>
          <w:sz w:val="22"/>
          <w:szCs w:val="22"/>
          <w:lang w:eastAsia="en-US"/>
        </w:rPr>
      </w:pPr>
      <w:r w:rsidRPr="00EC1A78">
        <w:rPr>
          <w:rFonts w:eastAsiaTheme="minorHAnsi"/>
          <w:sz w:val="22"/>
          <w:szCs w:val="22"/>
          <w:lang w:eastAsia="en-US"/>
        </w:rPr>
        <w:t>Кончаков А.</w:t>
      </w:r>
      <w:r w:rsidR="00C56F2E">
        <w:rPr>
          <w:rFonts w:eastAsiaTheme="minorHAnsi"/>
          <w:sz w:val="22"/>
          <w:szCs w:val="22"/>
          <w:lang w:eastAsia="en-US"/>
        </w:rPr>
        <w:t xml:space="preserve"> </w:t>
      </w:r>
      <w:r w:rsidRPr="00EC1A78">
        <w:rPr>
          <w:rFonts w:eastAsiaTheme="minorHAnsi"/>
          <w:sz w:val="22"/>
          <w:szCs w:val="22"/>
          <w:lang w:eastAsia="en-US"/>
        </w:rPr>
        <w:t>Б.,</w:t>
      </w:r>
    </w:p>
    <w:p w:rsidR="00EC1A78" w:rsidRPr="00EC1A78" w:rsidRDefault="00EC1A78" w:rsidP="00EC1A78">
      <w:pPr>
        <w:tabs>
          <w:tab w:val="left" w:pos="4570"/>
        </w:tabs>
        <w:jc w:val="right"/>
        <w:rPr>
          <w:rFonts w:eastAsiaTheme="minorHAnsi"/>
          <w:sz w:val="22"/>
          <w:szCs w:val="22"/>
          <w:lang w:eastAsia="en-US"/>
        </w:rPr>
      </w:pPr>
      <w:r w:rsidRPr="00EC1A78">
        <w:rPr>
          <w:sz w:val="22"/>
          <w:szCs w:val="22"/>
          <w:lang w:eastAsia="en-US"/>
        </w:rPr>
        <w:t>преподаватель кафедры гражданского права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ind w:firstLine="426"/>
        <w:jc w:val="right"/>
        <w:rPr>
          <w:rFonts w:eastAsiaTheme="minorHAnsi"/>
          <w:sz w:val="22"/>
          <w:szCs w:val="22"/>
          <w:lang w:eastAsia="en-US"/>
        </w:rPr>
      </w:pPr>
      <w:r w:rsidRPr="00EC1A78">
        <w:rPr>
          <w:rFonts w:eastAsia="Courier New"/>
          <w:color w:val="000000"/>
          <w:sz w:val="22"/>
          <w:szCs w:val="22"/>
          <w:lang w:eastAsia="en-US"/>
        </w:rPr>
        <w:t>университет имени И.</w:t>
      </w:r>
      <w:r w:rsidR="00C56F2E">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ind w:firstLine="426"/>
        <w:jc w:val="right"/>
        <w:rPr>
          <w:rFonts w:eastAsiaTheme="minorHAnsi"/>
          <w:sz w:val="22"/>
          <w:szCs w:val="22"/>
          <w:lang w:eastAsia="en-US"/>
        </w:rPr>
      </w:pPr>
    </w:p>
    <w:p w:rsidR="00EC1A78" w:rsidRPr="00EC1A78" w:rsidRDefault="00EC1A78" w:rsidP="00EC1A78">
      <w:pPr>
        <w:ind w:firstLine="426"/>
        <w:jc w:val="both"/>
        <w:rPr>
          <w:rFonts w:eastAsia="Calibri"/>
          <w:sz w:val="22"/>
          <w:szCs w:val="22"/>
        </w:rPr>
      </w:pPr>
      <w:r w:rsidRPr="00EC1A78">
        <w:rPr>
          <w:rFonts w:eastAsia="Calibri"/>
          <w:sz w:val="22"/>
          <w:szCs w:val="22"/>
        </w:rPr>
        <w:t>АННОТАЦИЯ: В статье рассматривается правовая природа д</w:t>
      </w:r>
      <w:r w:rsidRPr="00EC1A78">
        <w:rPr>
          <w:rFonts w:eastAsia="Calibri"/>
          <w:sz w:val="22"/>
          <w:szCs w:val="22"/>
        </w:rPr>
        <w:t>о</w:t>
      </w:r>
      <w:r w:rsidRPr="00EC1A78">
        <w:rPr>
          <w:rFonts w:eastAsia="Calibri"/>
          <w:sz w:val="22"/>
          <w:szCs w:val="22"/>
        </w:rPr>
        <w:t>говора о создании аудиовизуального произведения. Анализируется возможный состав участников. Предпринимается попытка опред</w:t>
      </w:r>
      <w:r w:rsidRPr="00EC1A78">
        <w:rPr>
          <w:rFonts w:eastAsia="Calibri"/>
          <w:sz w:val="22"/>
          <w:szCs w:val="22"/>
        </w:rPr>
        <w:t>е</w:t>
      </w:r>
      <w:r w:rsidRPr="00EC1A78">
        <w:rPr>
          <w:rFonts w:eastAsia="Calibri"/>
          <w:sz w:val="22"/>
          <w:szCs w:val="22"/>
        </w:rPr>
        <w:t>ления понятия договора о создании аудиовизуального произвед</w:t>
      </w:r>
      <w:r w:rsidRPr="00EC1A78">
        <w:rPr>
          <w:rFonts w:eastAsia="Calibri"/>
          <w:sz w:val="22"/>
          <w:szCs w:val="22"/>
        </w:rPr>
        <w:t>е</w:t>
      </w:r>
      <w:r w:rsidRPr="00EC1A78">
        <w:rPr>
          <w:rFonts w:eastAsia="Calibri"/>
          <w:sz w:val="22"/>
          <w:szCs w:val="22"/>
        </w:rPr>
        <w:t>ния.</w:t>
      </w:r>
    </w:p>
    <w:p w:rsidR="00EC1A78" w:rsidRPr="00EC1A78" w:rsidRDefault="00EC1A78" w:rsidP="00EC1A78">
      <w:pPr>
        <w:ind w:firstLine="426"/>
        <w:jc w:val="both"/>
        <w:rPr>
          <w:rFonts w:eastAsia="Calibri"/>
          <w:sz w:val="22"/>
          <w:szCs w:val="22"/>
          <w:lang w:val="en-US"/>
        </w:rPr>
      </w:pPr>
      <w:r w:rsidRPr="00EC1A78">
        <w:rPr>
          <w:rFonts w:eastAsia="Calibri"/>
          <w:sz w:val="22"/>
          <w:szCs w:val="22"/>
          <w:lang w:val="en-US"/>
        </w:rPr>
        <w:t>ABSTRACT: the article considers the legal nature of the agreement on the creation of an audiovisual work. The possible composition of pa</w:t>
      </w:r>
      <w:r w:rsidRPr="00EC1A78">
        <w:rPr>
          <w:rFonts w:eastAsia="Calibri"/>
          <w:sz w:val="22"/>
          <w:szCs w:val="22"/>
          <w:lang w:val="en-US"/>
        </w:rPr>
        <w:t>r</w:t>
      </w:r>
      <w:r w:rsidRPr="00EC1A78">
        <w:rPr>
          <w:rFonts w:eastAsia="Calibri"/>
          <w:sz w:val="22"/>
          <w:szCs w:val="22"/>
          <w:lang w:val="en-US"/>
        </w:rPr>
        <w:lastRenderedPageBreak/>
        <w:t>ticipants is analyzed. An attempt is made to define the concept of a co</w:t>
      </w:r>
      <w:r w:rsidRPr="00EC1A78">
        <w:rPr>
          <w:rFonts w:eastAsia="Calibri"/>
          <w:sz w:val="22"/>
          <w:szCs w:val="22"/>
          <w:lang w:val="en-US"/>
        </w:rPr>
        <w:t>n</w:t>
      </w:r>
      <w:r w:rsidRPr="00EC1A78">
        <w:rPr>
          <w:rFonts w:eastAsia="Calibri"/>
          <w:sz w:val="22"/>
          <w:szCs w:val="22"/>
          <w:lang w:val="en-US"/>
        </w:rPr>
        <w:t>tract for the creation of an audiovisual work.</w:t>
      </w:r>
    </w:p>
    <w:p w:rsidR="00EC1A78" w:rsidRPr="00EC1A78" w:rsidRDefault="00EC1A78" w:rsidP="00EC1A78">
      <w:pPr>
        <w:ind w:firstLine="426"/>
        <w:jc w:val="both"/>
        <w:rPr>
          <w:rFonts w:eastAsia="Calibri"/>
          <w:sz w:val="22"/>
          <w:szCs w:val="22"/>
        </w:rPr>
      </w:pPr>
      <w:r w:rsidRPr="00EC1A78">
        <w:rPr>
          <w:rFonts w:eastAsia="Calibri"/>
          <w:sz w:val="22"/>
          <w:szCs w:val="22"/>
        </w:rPr>
        <w:t>КЛЮЧЕВЫЕ СЛОВА:</w:t>
      </w:r>
      <w:r w:rsidRPr="00EC1A78">
        <w:rPr>
          <w:rFonts w:eastAsia="Calibri"/>
          <w:b/>
          <w:sz w:val="22"/>
          <w:szCs w:val="22"/>
        </w:rPr>
        <w:t xml:space="preserve"> </w:t>
      </w:r>
      <w:r w:rsidRPr="00EC1A78">
        <w:rPr>
          <w:rFonts w:eastAsia="Calibri"/>
          <w:sz w:val="22"/>
          <w:szCs w:val="22"/>
        </w:rPr>
        <w:t>договор о создании аудиовизуального произведения, авторское право, организационный договор, со</w:t>
      </w:r>
      <w:r w:rsidRPr="00EC1A78">
        <w:rPr>
          <w:rFonts w:eastAsia="Calibri"/>
          <w:sz w:val="22"/>
          <w:szCs w:val="22"/>
        </w:rPr>
        <w:t>в</w:t>
      </w:r>
      <w:r w:rsidRPr="00EC1A78">
        <w:rPr>
          <w:rFonts w:eastAsia="Calibri"/>
          <w:sz w:val="22"/>
          <w:szCs w:val="22"/>
        </w:rPr>
        <w:t>местная деятельность нескольких лиц.</w:t>
      </w:r>
    </w:p>
    <w:p w:rsidR="00EC1A78" w:rsidRPr="00EC1A78" w:rsidRDefault="00EC1A78" w:rsidP="00EC1A78">
      <w:pPr>
        <w:ind w:firstLine="426"/>
        <w:jc w:val="both"/>
        <w:rPr>
          <w:rFonts w:eastAsia="Calibri"/>
          <w:sz w:val="22"/>
          <w:szCs w:val="22"/>
          <w:lang w:val="en-US"/>
        </w:rPr>
      </w:pPr>
      <w:r w:rsidRPr="00EC1A78">
        <w:rPr>
          <w:rFonts w:eastAsia="Calibri"/>
          <w:sz w:val="22"/>
          <w:szCs w:val="22"/>
          <w:lang w:val="en-US"/>
        </w:rPr>
        <w:t>KEYWORDS: agreement on the establishment of an audiovisual work, copyright, the organizational contract, the joint activities of seve</w:t>
      </w:r>
      <w:r w:rsidRPr="00EC1A78">
        <w:rPr>
          <w:rFonts w:eastAsia="Calibri"/>
          <w:sz w:val="22"/>
          <w:szCs w:val="22"/>
          <w:lang w:val="en-US"/>
        </w:rPr>
        <w:t>r</w:t>
      </w:r>
      <w:r w:rsidRPr="00EC1A78">
        <w:rPr>
          <w:rFonts w:eastAsia="Calibri"/>
          <w:sz w:val="22"/>
          <w:szCs w:val="22"/>
          <w:lang w:val="en-US"/>
        </w:rPr>
        <w:t>al persons.</w:t>
      </w:r>
    </w:p>
    <w:p w:rsidR="00EC1A78" w:rsidRPr="00EC1A78" w:rsidRDefault="00EC1A78" w:rsidP="00EC1A78">
      <w:pPr>
        <w:ind w:firstLine="426"/>
        <w:jc w:val="both"/>
        <w:rPr>
          <w:rFonts w:eastAsia="Calibri"/>
          <w:sz w:val="22"/>
          <w:szCs w:val="22"/>
          <w:lang w:val="en-US"/>
        </w:rPr>
      </w:pPr>
    </w:p>
    <w:p w:rsidR="00EC1A78" w:rsidRPr="00EC1A78" w:rsidRDefault="00EC1A78" w:rsidP="00EC1A78">
      <w:pPr>
        <w:ind w:firstLine="426"/>
        <w:jc w:val="both"/>
        <w:rPr>
          <w:rFonts w:eastAsia="Calibri"/>
          <w:sz w:val="22"/>
          <w:szCs w:val="22"/>
        </w:rPr>
      </w:pPr>
      <w:r w:rsidRPr="00EC1A78">
        <w:rPr>
          <w:rFonts w:eastAsia="Calibri"/>
          <w:sz w:val="22"/>
          <w:szCs w:val="22"/>
        </w:rPr>
        <w:t>Договор о создании аудиовизуального произведения не пред</w:t>
      </w:r>
      <w:r w:rsidRPr="00EC1A78">
        <w:rPr>
          <w:rFonts w:eastAsia="Calibri"/>
          <w:sz w:val="22"/>
          <w:szCs w:val="22"/>
        </w:rPr>
        <w:t>у</w:t>
      </w:r>
      <w:r w:rsidRPr="00EC1A78">
        <w:rPr>
          <w:rFonts w:eastAsia="Calibri"/>
          <w:sz w:val="22"/>
          <w:szCs w:val="22"/>
        </w:rPr>
        <w:t>смотрен в Гражданском законодательстве Российской Федерации, то есть представляет собой непоименованный договор.</w:t>
      </w:r>
    </w:p>
    <w:p w:rsidR="00EC1A78" w:rsidRPr="00EC1A78" w:rsidRDefault="00EC1A78" w:rsidP="00EC1A78">
      <w:pPr>
        <w:ind w:firstLine="426"/>
        <w:jc w:val="both"/>
        <w:rPr>
          <w:rFonts w:eastAsia="Calibri"/>
          <w:sz w:val="22"/>
          <w:szCs w:val="22"/>
        </w:rPr>
      </w:pPr>
      <w:r w:rsidRPr="00EC1A78">
        <w:rPr>
          <w:rFonts w:eastAsia="Calibri"/>
          <w:sz w:val="22"/>
          <w:szCs w:val="22"/>
        </w:rPr>
        <w:t>Представим, что несколько лиц решили создать совместно д</w:t>
      </w:r>
      <w:r w:rsidRPr="00EC1A78">
        <w:rPr>
          <w:rFonts w:eastAsia="Calibri"/>
          <w:sz w:val="22"/>
          <w:szCs w:val="22"/>
        </w:rPr>
        <w:t>о</w:t>
      </w:r>
      <w:r w:rsidRPr="00EC1A78">
        <w:rPr>
          <w:rFonts w:eastAsia="Calibri"/>
          <w:sz w:val="22"/>
          <w:szCs w:val="22"/>
        </w:rPr>
        <w:t>кументальный фильм, то есть создать аудиовизуальное произвед</w:t>
      </w:r>
      <w:r w:rsidRPr="00EC1A78">
        <w:rPr>
          <w:rFonts w:eastAsia="Calibri"/>
          <w:sz w:val="22"/>
          <w:szCs w:val="22"/>
        </w:rPr>
        <w:t>е</w:t>
      </w:r>
      <w:r w:rsidRPr="00EC1A78">
        <w:rPr>
          <w:rFonts w:eastAsia="Calibri"/>
          <w:sz w:val="22"/>
          <w:szCs w:val="22"/>
        </w:rPr>
        <w:t>ние. Где участвуют режиссер–постановщик, который занимается постановкой фильма и руководит съемочным процессом; автор сц</w:t>
      </w:r>
      <w:r w:rsidRPr="00EC1A78">
        <w:rPr>
          <w:rFonts w:eastAsia="Calibri"/>
          <w:sz w:val="22"/>
          <w:szCs w:val="22"/>
        </w:rPr>
        <w:t>е</w:t>
      </w:r>
      <w:r w:rsidRPr="00EC1A78">
        <w:rPr>
          <w:rFonts w:eastAsia="Calibri"/>
          <w:sz w:val="22"/>
          <w:szCs w:val="22"/>
        </w:rPr>
        <w:t>нария – автор текста (литературного произведения), написанного для фильма; композитор – автор музыкального произведения сп</w:t>
      </w:r>
      <w:r w:rsidRPr="00EC1A78">
        <w:rPr>
          <w:rFonts w:eastAsia="Calibri"/>
          <w:sz w:val="22"/>
          <w:szCs w:val="22"/>
        </w:rPr>
        <w:t>е</w:t>
      </w:r>
      <w:r w:rsidRPr="00EC1A78">
        <w:rPr>
          <w:rFonts w:eastAsia="Calibri"/>
          <w:sz w:val="22"/>
          <w:szCs w:val="22"/>
        </w:rPr>
        <w:t>циально созданного для этого аудиовизуального произведения; м</w:t>
      </w:r>
      <w:r w:rsidRPr="00EC1A78">
        <w:rPr>
          <w:rFonts w:eastAsia="Calibri"/>
          <w:sz w:val="22"/>
          <w:szCs w:val="22"/>
        </w:rPr>
        <w:t>у</w:t>
      </w:r>
      <w:r w:rsidRPr="00EC1A78">
        <w:rPr>
          <w:rFonts w:eastAsia="Calibri"/>
          <w:sz w:val="22"/>
          <w:szCs w:val="22"/>
        </w:rPr>
        <w:t>зыкант, исполнивший музыкальное произведение и певец, испо</w:t>
      </w:r>
      <w:r w:rsidRPr="00EC1A78">
        <w:rPr>
          <w:rFonts w:eastAsia="Calibri"/>
          <w:sz w:val="22"/>
          <w:szCs w:val="22"/>
        </w:rPr>
        <w:t>л</w:t>
      </w:r>
      <w:r w:rsidRPr="00EC1A78">
        <w:rPr>
          <w:rFonts w:eastAsia="Calibri"/>
          <w:sz w:val="22"/>
          <w:szCs w:val="22"/>
        </w:rPr>
        <w:t>нивший песню, под которую был исполнен танцевальный номер (хореографическое произведение); фотограф, осуществивший н</w:t>
      </w:r>
      <w:r w:rsidRPr="00EC1A78">
        <w:rPr>
          <w:rFonts w:eastAsia="Calibri"/>
          <w:sz w:val="22"/>
          <w:szCs w:val="22"/>
        </w:rPr>
        <w:t>е</w:t>
      </w:r>
      <w:r w:rsidRPr="00EC1A78">
        <w:rPr>
          <w:rFonts w:eastAsia="Calibri"/>
          <w:sz w:val="22"/>
          <w:szCs w:val="22"/>
        </w:rPr>
        <w:t>сколько снимков, вошедших в состав фильма, художник–постановщик, осуществивший графическое оформление постано</w:t>
      </w:r>
      <w:r w:rsidRPr="00EC1A78">
        <w:rPr>
          <w:rFonts w:eastAsia="Calibri"/>
          <w:sz w:val="22"/>
          <w:szCs w:val="22"/>
        </w:rPr>
        <w:t>в</w:t>
      </w:r>
      <w:r w:rsidRPr="00EC1A78">
        <w:rPr>
          <w:rFonts w:eastAsia="Calibri"/>
          <w:sz w:val="22"/>
          <w:szCs w:val="22"/>
        </w:rPr>
        <w:t>ки; лицо, декламирующее написанный текст для фильма, а также лицо осуществившее техническую помощь по созданию фильма.</w:t>
      </w:r>
    </w:p>
    <w:p w:rsidR="00EC1A78" w:rsidRPr="00EC1A78" w:rsidRDefault="00EC1A78" w:rsidP="00EC1A78">
      <w:pPr>
        <w:ind w:firstLine="426"/>
        <w:jc w:val="both"/>
        <w:rPr>
          <w:rFonts w:eastAsia="Calibri"/>
          <w:sz w:val="22"/>
          <w:szCs w:val="22"/>
        </w:rPr>
      </w:pPr>
      <w:r w:rsidRPr="00EC1A78">
        <w:rPr>
          <w:rFonts w:eastAsia="Calibri"/>
          <w:sz w:val="22"/>
          <w:szCs w:val="22"/>
        </w:rPr>
        <w:t>Как мы видим, участвуют в создании аудиовизуального прои</w:t>
      </w:r>
      <w:r w:rsidRPr="00EC1A78">
        <w:rPr>
          <w:rFonts w:eastAsia="Calibri"/>
          <w:sz w:val="22"/>
          <w:szCs w:val="22"/>
        </w:rPr>
        <w:t>з</w:t>
      </w:r>
      <w:r w:rsidRPr="00EC1A78">
        <w:rPr>
          <w:rFonts w:eastAsia="Calibri"/>
          <w:sz w:val="22"/>
          <w:szCs w:val="22"/>
        </w:rPr>
        <w:t>ведения авторы и исполнители, что говорит о многосторонности договора, так как имеет место много волеизъявлений, где каждый участник имеет свои права и обязанности, а также выполняет опр</w:t>
      </w:r>
      <w:r w:rsidRPr="00EC1A78">
        <w:rPr>
          <w:rFonts w:eastAsia="Calibri"/>
          <w:sz w:val="22"/>
          <w:szCs w:val="22"/>
        </w:rPr>
        <w:t>е</w:t>
      </w:r>
      <w:r w:rsidRPr="00EC1A78">
        <w:rPr>
          <w:rFonts w:eastAsia="Calibri"/>
          <w:sz w:val="22"/>
          <w:szCs w:val="22"/>
        </w:rPr>
        <w:t>деленную функцию.</w:t>
      </w:r>
    </w:p>
    <w:p w:rsidR="00EC1A78" w:rsidRPr="00EC1A78" w:rsidRDefault="00EC1A78" w:rsidP="00EC1A78">
      <w:pPr>
        <w:ind w:firstLine="426"/>
        <w:jc w:val="both"/>
        <w:rPr>
          <w:rFonts w:eastAsia="Calibri"/>
          <w:sz w:val="22"/>
          <w:szCs w:val="22"/>
        </w:rPr>
      </w:pPr>
      <w:r w:rsidRPr="00EC1A78">
        <w:rPr>
          <w:rFonts w:eastAsia="Calibri"/>
          <w:sz w:val="22"/>
          <w:szCs w:val="22"/>
        </w:rPr>
        <w:t>Договор о создании аудиовизуального произведения может с</w:t>
      </w:r>
      <w:r w:rsidRPr="00EC1A78">
        <w:rPr>
          <w:rFonts w:eastAsia="Calibri"/>
          <w:sz w:val="22"/>
          <w:szCs w:val="22"/>
        </w:rPr>
        <w:t>о</w:t>
      </w:r>
      <w:r w:rsidRPr="00EC1A78">
        <w:rPr>
          <w:rFonts w:eastAsia="Calibri"/>
          <w:sz w:val="22"/>
          <w:szCs w:val="22"/>
        </w:rPr>
        <w:t>четать в себе условия нескольких поименованных договоров. Например, это могут быть условия лицензионного договора, дог</w:t>
      </w:r>
      <w:r w:rsidRPr="00EC1A78">
        <w:rPr>
          <w:rFonts w:eastAsia="Calibri"/>
          <w:sz w:val="22"/>
          <w:szCs w:val="22"/>
        </w:rPr>
        <w:t>о</w:t>
      </w:r>
      <w:r w:rsidRPr="00EC1A78">
        <w:rPr>
          <w:rFonts w:eastAsia="Calibri"/>
          <w:sz w:val="22"/>
          <w:szCs w:val="22"/>
        </w:rPr>
        <w:t xml:space="preserve">вора об отчуждении исключительного права, договора возмездного оказания услуг. </w:t>
      </w:r>
    </w:p>
    <w:p w:rsidR="00EC1A78" w:rsidRPr="00EC1A78" w:rsidRDefault="00EC1A78" w:rsidP="00EC1A78">
      <w:pPr>
        <w:ind w:firstLine="426"/>
        <w:jc w:val="both"/>
        <w:rPr>
          <w:rFonts w:eastAsia="Calibri"/>
          <w:sz w:val="22"/>
          <w:szCs w:val="22"/>
        </w:rPr>
      </w:pPr>
      <w:r w:rsidRPr="00EC1A78">
        <w:rPr>
          <w:rFonts w:eastAsia="Calibri"/>
          <w:sz w:val="22"/>
          <w:szCs w:val="22"/>
        </w:rPr>
        <w:lastRenderedPageBreak/>
        <w:t xml:space="preserve">Например, композитор создавший музыкальное произведение специально для документального фильма передает исключительное право. </w:t>
      </w:r>
    </w:p>
    <w:p w:rsidR="00EC1A78" w:rsidRPr="00EC1A78" w:rsidRDefault="00EC1A78" w:rsidP="00EC1A78">
      <w:pPr>
        <w:ind w:firstLine="426"/>
        <w:jc w:val="both"/>
        <w:rPr>
          <w:rFonts w:eastAsia="Calibri"/>
          <w:sz w:val="22"/>
          <w:szCs w:val="22"/>
        </w:rPr>
      </w:pPr>
      <w:r w:rsidRPr="00EC1A78">
        <w:rPr>
          <w:rFonts w:eastAsia="Calibri"/>
          <w:sz w:val="22"/>
          <w:szCs w:val="22"/>
        </w:rPr>
        <w:t>Цель договора организация создания единого объекта усили</w:t>
      </w:r>
      <w:r w:rsidRPr="00EC1A78">
        <w:rPr>
          <w:rFonts w:eastAsia="Calibri"/>
          <w:sz w:val="22"/>
          <w:szCs w:val="22"/>
        </w:rPr>
        <w:t>я</w:t>
      </w:r>
      <w:r w:rsidRPr="00EC1A78">
        <w:rPr>
          <w:rFonts w:eastAsia="Calibri"/>
          <w:sz w:val="22"/>
          <w:szCs w:val="22"/>
        </w:rPr>
        <w:t xml:space="preserve">ми нескольких лиц, где имеет место общий интерес участников. </w:t>
      </w:r>
    </w:p>
    <w:p w:rsidR="00EC1A78" w:rsidRPr="00EC1A78" w:rsidRDefault="00EC1A78" w:rsidP="00EC1A78">
      <w:pPr>
        <w:ind w:firstLine="426"/>
        <w:jc w:val="both"/>
        <w:rPr>
          <w:rFonts w:eastAsia="Calibri"/>
          <w:sz w:val="22"/>
          <w:szCs w:val="22"/>
        </w:rPr>
      </w:pPr>
      <w:r w:rsidRPr="00EC1A78">
        <w:rPr>
          <w:rFonts w:eastAsia="Calibri"/>
          <w:sz w:val="22"/>
          <w:szCs w:val="22"/>
        </w:rPr>
        <w:t>В результате создания аудиовизуального произведения каждый участник приобретает право использовать определенным в договоре способом в независимости является ли он автором или нет.</w:t>
      </w:r>
    </w:p>
    <w:p w:rsidR="00EC1A78" w:rsidRPr="00EC1A78" w:rsidRDefault="00EC1A78" w:rsidP="00EC1A78">
      <w:pPr>
        <w:ind w:firstLine="426"/>
        <w:jc w:val="both"/>
        <w:rPr>
          <w:rFonts w:eastAsia="Calibri"/>
          <w:sz w:val="22"/>
          <w:szCs w:val="22"/>
        </w:rPr>
      </w:pPr>
      <w:r w:rsidRPr="00EC1A78">
        <w:rPr>
          <w:rFonts w:eastAsia="Calibri"/>
          <w:sz w:val="22"/>
          <w:szCs w:val="22"/>
        </w:rPr>
        <w:t>Исходя из выше изложенного, можно предложить включить в главу 71 ГК РФ статью со следующим названием «Договор о созд</w:t>
      </w:r>
      <w:r w:rsidRPr="00EC1A78">
        <w:rPr>
          <w:rFonts w:eastAsia="Calibri"/>
          <w:sz w:val="22"/>
          <w:szCs w:val="22"/>
        </w:rPr>
        <w:t>а</w:t>
      </w:r>
      <w:r w:rsidRPr="00EC1A78">
        <w:rPr>
          <w:rFonts w:eastAsia="Calibri"/>
          <w:sz w:val="22"/>
          <w:szCs w:val="22"/>
        </w:rPr>
        <w:t>нии аудиовизуального произведения», а также сформулировать п</w:t>
      </w:r>
      <w:r w:rsidRPr="00EC1A78">
        <w:rPr>
          <w:rFonts w:eastAsia="Calibri"/>
          <w:sz w:val="22"/>
          <w:szCs w:val="22"/>
        </w:rPr>
        <w:t>о</w:t>
      </w:r>
      <w:r w:rsidRPr="00EC1A78">
        <w:rPr>
          <w:rFonts w:eastAsia="Calibri"/>
          <w:sz w:val="22"/>
          <w:szCs w:val="22"/>
        </w:rPr>
        <w:t>нятие следующим образом «По договору о создании аудиовизуал</w:t>
      </w:r>
      <w:r w:rsidRPr="00EC1A78">
        <w:rPr>
          <w:rFonts w:eastAsia="Calibri"/>
          <w:sz w:val="22"/>
          <w:szCs w:val="22"/>
        </w:rPr>
        <w:t>ь</w:t>
      </w:r>
      <w:r w:rsidRPr="00EC1A78">
        <w:rPr>
          <w:rFonts w:eastAsia="Calibri"/>
          <w:sz w:val="22"/>
          <w:szCs w:val="22"/>
        </w:rPr>
        <w:t>ного произведения двое или несколько лиц (авторов, исполнителей, продюсеров, других лиц) принимают на себя обязательство осущ</w:t>
      </w:r>
      <w:r w:rsidRPr="00EC1A78">
        <w:rPr>
          <w:rFonts w:eastAsia="Calibri"/>
          <w:sz w:val="22"/>
          <w:szCs w:val="22"/>
        </w:rPr>
        <w:t>е</w:t>
      </w:r>
      <w:r w:rsidRPr="00EC1A78">
        <w:rPr>
          <w:rFonts w:eastAsia="Calibri"/>
          <w:sz w:val="22"/>
          <w:szCs w:val="22"/>
        </w:rPr>
        <w:t>ствить действия, либо деятельность направленную на создание аудиовизуальное произведение с целью приобретения права его п</w:t>
      </w:r>
      <w:r w:rsidRPr="00EC1A78">
        <w:rPr>
          <w:rFonts w:eastAsia="Calibri"/>
          <w:sz w:val="22"/>
          <w:szCs w:val="22"/>
        </w:rPr>
        <w:t>о</w:t>
      </w:r>
      <w:r w:rsidRPr="00EC1A78">
        <w:rPr>
          <w:rFonts w:eastAsia="Calibri"/>
          <w:sz w:val="22"/>
          <w:szCs w:val="22"/>
        </w:rPr>
        <w:t>следующего использования в порядке и объеме предусмотренном договор.</w:t>
      </w:r>
    </w:p>
    <w:p w:rsidR="00EC1A78" w:rsidRDefault="00EC1A78" w:rsidP="00EC1A78">
      <w:pPr>
        <w:rPr>
          <w:rFonts w:eastAsiaTheme="minorHAnsi"/>
          <w:sz w:val="22"/>
          <w:szCs w:val="22"/>
          <w:lang w:eastAsia="en-US"/>
        </w:rPr>
      </w:pPr>
    </w:p>
    <w:p w:rsidR="00C56F2E" w:rsidRDefault="00C56F2E" w:rsidP="00EC1A78">
      <w:pPr>
        <w:rPr>
          <w:rFonts w:eastAsiaTheme="minorHAnsi"/>
          <w:sz w:val="22"/>
          <w:szCs w:val="22"/>
          <w:lang w:eastAsia="en-US"/>
        </w:rPr>
      </w:pPr>
    </w:p>
    <w:p w:rsidR="00C56F2E" w:rsidRPr="00EC1A78" w:rsidRDefault="00C56F2E" w:rsidP="00EC1A78">
      <w:pPr>
        <w:rPr>
          <w:rFonts w:eastAsiaTheme="minorHAnsi"/>
          <w:sz w:val="22"/>
          <w:szCs w:val="22"/>
          <w:lang w:eastAsia="en-US"/>
        </w:rPr>
      </w:pPr>
    </w:p>
    <w:p w:rsidR="00EC1A78" w:rsidRPr="00EC1A78" w:rsidRDefault="00EC1A78" w:rsidP="00EC1A78">
      <w:pPr>
        <w:rPr>
          <w:rFonts w:eastAsiaTheme="minorHAnsi"/>
          <w:sz w:val="24"/>
          <w:szCs w:val="24"/>
          <w:lang w:eastAsia="en-US"/>
        </w:rPr>
      </w:pPr>
      <w:r w:rsidRPr="00EC1A78">
        <w:rPr>
          <w:rFonts w:eastAsiaTheme="minorHAnsi"/>
          <w:sz w:val="24"/>
          <w:szCs w:val="24"/>
          <w:lang w:eastAsia="en-US"/>
        </w:rPr>
        <w:t>УДК 342.8</w:t>
      </w:r>
    </w:p>
    <w:p w:rsidR="00EC1A78" w:rsidRPr="00EC1A78" w:rsidRDefault="00EC1A78" w:rsidP="00EC1A78">
      <w:pPr>
        <w:rPr>
          <w:rFonts w:eastAsiaTheme="minorHAnsi"/>
          <w:color w:val="000000"/>
          <w:sz w:val="22"/>
          <w:szCs w:val="22"/>
          <w:lang w:eastAsia="en-US"/>
        </w:rPr>
      </w:pPr>
    </w:p>
    <w:p w:rsidR="00EC1A78" w:rsidRPr="00EC1A78" w:rsidRDefault="00EC1A78" w:rsidP="00EC1A78">
      <w:pPr>
        <w:jc w:val="center"/>
        <w:rPr>
          <w:b/>
          <w:sz w:val="24"/>
          <w:szCs w:val="24"/>
        </w:rPr>
      </w:pPr>
      <w:r w:rsidRPr="00EC1A78">
        <w:rPr>
          <w:b/>
          <w:sz w:val="24"/>
          <w:szCs w:val="24"/>
        </w:rPr>
        <w:t>Институт выборов в Советском Союзе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Institute of elections in the Soviet Union</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Батушин Д.</w:t>
      </w:r>
      <w:r w:rsidR="00C56F2E">
        <w:rPr>
          <w:rFonts w:eastAsiaTheme="minorHAnsi"/>
          <w:sz w:val="22"/>
          <w:szCs w:val="24"/>
          <w:lang w:eastAsia="en-US"/>
        </w:rPr>
        <w:t xml:space="preserve"> </w:t>
      </w:r>
      <w:r w:rsidRPr="00EC1A78">
        <w:rPr>
          <w:rFonts w:eastAsiaTheme="minorHAnsi"/>
          <w:sz w:val="22"/>
          <w:szCs w:val="24"/>
          <w:lang w:eastAsia="en-US"/>
        </w:rPr>
        <w:t xml:space="preserve">В., </w:t>
      </w:r>
    </w:p>
    <w:p w:rsidR="00C56F2E" w:rsidRDefault="00EC1A78" w:rsidP="00EC1A78">
      <w:pPr>
        <w:jc w:val="right"/>
        <w:rPr>
          <w:rFonts w:eastAsiaTheme="minorHAnsi"/>
          <w:sz w:val="22"/>
          <w:szCs w:val="24"/>
          <w:lang w:eastAsia="en-US"/>
        </w:rPr>
      </w:pPr>
      <w:r w:rsidRPr="00EC1A78">
        <w:rPr>
          <w:rFonts w:eastAsiaTheme="minorHAnsi"/>
          <w:sz w:val="22"/>
          <w:szCs w:val="24"/>
          <w:lang w:eastAsia="en-US"/>
        </w:rPr>
        <w:t>ст</w:t>
      </w:r>
      <w:r w:rsidR="00C56F2E">
        <w:rPr>
          <w:rFonts w:eastAsiaTheme="minorHAnsi"/>
          <w:sz w:val="22"/>
          <w:szCs w:val="24"/>
          <w:lang w:eastAsia="en-US"/>
        </w:rPr>
        <w:t>удент 2– го курса магистратуры</w:t>
      </w:r>
    </w:p>
    <w:p w:rsidR="00EC1A78" w:rsidRPr="00EC1A78" w:rsidRDefault="00C56F2E" w:rsidP="00EC1A78">
      <w:pPr>
        <w:jc w:val="right"/>
        <w:rPr>
          <w:rFonts w:eastAsiaTheme="minorHAnsi"/>
          <w:sz w:val="22"/>
          <w:szCs w:val="24"/>
          <w:lang w:eastAsia="en-US"/>
        </w:rPr>
      </w:pPr>
      <w:r>
        <w:rPr>
          <w:rFonts w:eastAsiaTheme="minorHAnsi"/>
          <w:sz w:val="22"/>
          <w:szCs w:val="24"/>
          <w:lang w:eastAsia="en-US"/>
        </w:rPr>
        <w:t xml:space="preserve"> </w:t>
      </w:r>
      <w:r w:rsidR="00EC1A78" w:rsidRPr="00EC1A78">
        <w:rPr>
          <w:rFonts w:eastAsiaTheme="minorHAnsi"/>
          <w:sz w:val="22"/>
          <w:szCs w:val="24"/>
          <w:lang w:eastAsia="en-US"/>
        </w:rPr>
        <w:t>юридического факультета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Бутурлина Е.</w:t>
      </w:r>
      <w:r w:rsidR="00C56F2E">
        <w:rPr>
          <w:rFonts w:eastAsiaTheme="minorHAnsi"/>
          <w:sz w:val="22"/>
          <w:szCs w:val="24"/>
          <w:lang w:eastAsia="en-US"/>
        </w:rPr>
        <w:t xml:space="preserve"> </w:t>
      </w:r>
      <w:r w:rsidRPr="00EC1A78">
        <w:rPr>
          <w:rFonts w:eastAsiaTheme="minorHAnsi"/>
          <w:sz w:val="22"/>
          <w:szCs w:val="24"/>
          <w:lang w:eastAsia="en-US"/>
        </w:rPr>
        <w:t>С.,</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доцент кафедры государственного и международного права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Кубанский государственный аграрный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университет имени И.</w:t>
      </w:r>
      <w:r w:rsidR="00C56F2E">
        <w:rPr>
          <w:rFonts w:eastAsiaTheme="minorHAnsi"/>
          <w:sz w:val="22"/>
          <w:szCs w:val="24"/>
          <w:lang w:eastAsia="en-US"/>
        </w:rPr>
        <w:t xml:space="preserve"> </w:t>
      </w:r>
      <w:r w:rsidRPr="00EC1A78">
        <w:rPr>
          <w:rFonts w:eastAsiaTheme="minorHAnsi"/>
          <w:sz w:val="22"/>
          <w:szCs w:val="24"/>
          <w:lang w:eastAsia="en-US"/>
        </w:rPr>
        <w:t>Т. Трубилина</w:t>
      </w:r>
    </w:p>
    <w:p w:rsidR="00EC1A78" w:rsidRPr="00EC1A78" w:rsidRDefault="00EC1A78" w:rsidP="00EC1A78">
      <w:pPr>
        <w:jc w:val="right"/>
        <w:rPr>
          <w:rFonts w:eastAsiaTheme="minorHAnsi"/>
          <w:sz w:val="22"/>
          <w:szCs w:val="24"/>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АННОТАЦИЯ: </w:t>
      </w:r>
      <w:r w:rsidR="00C56F2E">
        <w:rPr>
          <w:rFonts w:eastAsiaTheme="minorHAnsi"/>
          <w:color w:val="000000"/>
          <w:sz w:val="22"/>
          <w:szCs w:val="22"/>
          <w:lang w:eastAsia="en-US"/>
        </w:rPr>
        <w:t>В</w:t>
      </w:r>
      <w:r w:rsidRPr="00EC1A78">
        <w:rPr>
          <w:rFonts w:eastAsiaTheme="minorHAnsi"/>
          <w:color w:val="000000"/>
          <w:sz w:val="22"/>
          <w:szCs w:val="22"/>
          <w:lang w:eastAsia="en-US"/>
        </w:rPr>
        <w:t xml:space="preserve"> статье проанализированы конституционные нормы СССР 1977 года, закрепляющие избирательное право сове</w:t>
      </w:r>
      <w:r w:rsidRPr="00EC1A78">
        <w:rPr>
          <w:rFonts w:eastAsiaTheme="minorHAnsi"/>
          <w:color w:val="000000"/>
          <w:sz w:val="22"/>
          <w:szCs w:val="22"/>
          <w:lang w:eastAsia="en-US"/>
        </w:rPr>
        <w:t>т</w:t>
      </w:r>
      <w:r w:rsidRPr="00EC1A78">
        <w:rPr>
          <w:rFonts w:eastAsiaTheme="minorHAnsi"/>
          <w:color w:val="000000"/>
          <w:sz w:val="22"/>
          <w:szCs w:val="22"/>
          <w:lang w:eastAsia="en-US"/>
        </w:rPr>
        <w:t>ского периода развития нашего государства</w:t>
      </w:r>
      <w:r w:rsidR="00C56F2E">
        <w:rPr>
          <w:rFonts w:eastAsiaTheme="minorHAnsi"/>
          <w:color w:val="000000"/>
          <w:sz w:val="22"/>
          <w:szCs w:val="22"/>
          <w:lang w:eastAsia="en-US"/>
        </w:rPr>
        <w:t>.</w:t>
      </w:r>
      <w:r w:rsidRPr="00EC1A78">
        <w:rPr>
          <w:rFonts w:eastAsiaTheme="minorHAnsi"/>
          <w:color w:val="000000"/>
          <w:sz w:val="22"/>
          <w:szCs w:val="22"/>
          <w:lang w:eastAsia="en-US"/>
        </w:rPr>
        <w:t xml:space="preserve"> </w:t>
      </w:r>
    </w:p>
    <w:p w:rsidR="00EC1A78" w:rsidRPr="00C56F2E"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lastRenderedPageBreak/>
        <w:t>ABSTRACT</w:t>
      </w:r>
      <w:r w:rsidRPr="00C56F2E">
        <w:rPr>
          <w:rFonts w:eastAsiaTheme="minorHAnsi"/>
          <w:sz w:val="22"/>
          <w:szCs w:val="22"/>
          <w:lang w:val="en-US" w:eastAsia="en-US"/>
        </w:rPr>
        <w:t xml:space="preserve">: </w:t>
      </w:r>
      <w:r w:rsidR="00C56F2E">
        <w:rPr>
          <w:rFonts w:eastAsiaTheme="minorHAnsi"/>
          <w:sz w:val="22"/>
          <w:szCs w:val="22"/>
          <w:lang w:val="en-US" w:eastAsia="en-US"/>
        </w:rPr>
        <w:t>T</w:t>
      </w:r>
      <w:r w:rsidRPr="00C56F2E">
        <w:rPr>
          <w:rFonts w:eastAsiaTheme="minorHAnsi"/>
          <w:sz w:val="22"/>
          <w:szCs w:val="22"/>
          <w:lang w:val="en-US" w:eastAsia="en-US"/>
        </w:rPr>
        <w:t>he article analyzes the constitutional norms of the USSR of 1977, which enshrine the electoral right of the Soviet period of development of our state</w:t>
      </w:r>
      <w:r w:rsidR="00C56F2E" w:rsidRPr="00C56F2E">
        <w:rPr>
          <w:rFonts w:eastAsiaTheme="minorHAnsi"/>
          <w:sz w:val="22"/>
          <w:szCs w:val="22"/>
          <w:lang w:val="en-US" w:eastAsia="en-US"/>
        </w:rPr>
        <w:t>.</w:t>
      </w:r>
    </w:p>
    <w:p w:rsidR="00EC1A78" w:rsidRPr="00C56F2E" w:rsidRDefault="00EC1A78" w:rsidP="00EC1A78">
      <w:pPr>
        <w:ind w:firstLine="426"/>
        <w:jc w:val="both"/>
        <w:rPr>
          <w:rFonts w:eastAsiaTheme="minorHAnsi"/>
          <w:sz w:val="22"/>
          <w:szCs w:val="24"/>
          <w:lang w:eastAsia="en-US"/>
        </w:rPr>
      </w:pPr>
      <w:r w:rsidRPr="00EC1A78">
        <w:rPr>
          <w:rFonts w:eastAsiaTheme="minorHAnsi"/>
          <w:sz w:val="22"/>
          <w:szCs w:val="24"/>
          <w:lang w:eastAsia="en-US"/>
        </w:rPr>
        <w:t>КЛЮЧЕВЫЕ СЛОВА: избирательное право, выборы, принц</w:t>
      </w:r>
      <w:r w:rsidRPr="00EC1A78">
        <w:rPr>
          <w:rFonts w:eastAsiaTheme="minorHAnsi"/>
          <w:sz w:val="22"/>
          <w:szCs w:val="24"/>
          <w:lang w:eastAsia="en-US"/>
        </w:rPr>
        <w:t>и</w:t>
      </w:r>
      <w:r w:rsidRPr="00EC1A78">
        <w:rPr>
          <w:rFonts w:eastAsiaTheme="minorHAnsi"/>
          <w:sz w:val="22"/>
          <w:szCs w:val="24"/>
          <w:lang w:eastAsia="en-US"/>
        </w:rPr>
        <w:t>пы избирательного права, принцип альтернативности, СССР</w:t>
      </w:r>
      <w:r w:rsidR="00C56F2E">
        <w:rPr>
          <w:rFonts w:eastAsiaTheme="minorHAnsi"/>
          <w:sz w:val="22"/>
          <w:szCs w:val="24"/>
          <w:lang w:eastAsia="en-US"/>
        </w:rPr>
        <w:t>.</w:t>
      </w:r>
    </w:p>
    <w:p w:rsidR="00EC1A78" w:rsidRPr="00C56F2E" w:rsidRDefault="00EC1A78" w:rsidP="00EC1A78">
      <w:pPr>
        <w:ind w:firstLine="426"/>
        <w:jc w:val="both"/>
        <w:rPr>
          <w:rFonts w:eastAsiaTheme="minorHAnsi"/>
          <w:sz w:val="22"/>
          <w:szCs w:val="22"/>
          <w:lang w:val="en-US" w:eastAsia="en-US"/>
        </w:rPr>
      </w:pPr>
      <w:r w:rsidRPr="00EC1A78">
        <w:rPr>
          <w:rFonts w:eastAsiaTheme="minorHAnsi"/>
          <w:sz w:val="22"/>
          <w:szCs w:val="24"/>
          <w:lang w:val="en-US" w:eastAsia="en-US"/>
        </w:rPr>
        <w:t>KEYWORDS</w:t>
      </w:r>
      <w:r w:rsidRPr="00C56F2E">
        <w:rPr>
          <w:rFonts w:eastAsiaTheme="minorHAnsi"/>
          <w:sz w:val="22"/>
          <w:szCs w:val="24"/>
          <w:lang w:val="en-US" w:eastAsia="en-US"/>
        </w:rPr>
        <w:t xml:space="preserve">: </w:t>
      </w:r>
      <w:r w:rsidRPr="00EC1A78">
        <w:rPr>
          <w:rFonts w:eastAsiaTheme="minorHAnsi"/>
          <w:sz w:val="22"/>
          <w:szCs w:val="22"/>
          <w:lang w:val="en-US" w:eastAsia="en-US"/>
        </w:rPr>
        <w:t>electoral</w:t>
      </w:r>
      <w:r w:rsidRPr="00C56F2E">
        <w:rPr>
          <w:rFonts w:eastAsiaTheme="minorHAnsi"/>
          <w:sz w:val="22"/>
          <w:szCs w:val="22"/>
          <w:lang w:val="en-US" w:eastAsia="en-US"/>
        </w:rPr>
        <w:t xml:space="preserve"> </w:t>
      </w:r>
      <w:r w:rsidRPr="00EC1A78">
        <w:rPr>
          <w:rFonts w:eastAsiaTheme="minorHAnsi"/>
          <w:sz w:val="22"/>
          <w:szCs w:val="22"/>
          <w:lang w:val="en-US" w:eastAsia="en-US"/>
        </w:rPr>
        <w:t>law</w:t>
      </w:r>
      <w:r w:rsidRPr="00C56F2E">
        <w:rPr>
          <w:rFonts w:eastAsiaTheme="minorHAnsi"/>
          <w:sz w:val="22"/>
          <w:szCs w:val="22"/>
          <w:lang w:val="en-US" w:eastAsia="en-US"/>
        </w:rPr>
        <w:t xml:space="preserve">, </w:t>
      </w:r>
      <w:r w:rsidRPr="00EC1A78">
        <w:rPr>
          <w:rFonts w:eastAsiaTheme="minorHAnsi"/>
          <w:sz w:val="22"/>
          <w:szCs w:val="22"/>
          <w:lang w:val="en-US" w:eastAsia="en-US"/>
        </w:rPr>
        <w:t>elections</w:t>
      </w:r>
      <w:r w:rsidRPr="00C56F2E">
        <w:rPr>
          <w:rFonts w:eastAsiaTheme="minorHAnsi"/>
          <w:sz w:val="22"/>
          <w:szCs w:val="22"/>
          <w:lang w:val="en-US" w:eastAsia="en-US"/>
        </w:rPr>
        <w:t xml:space="preserve">, </w:t>
      </w:r>
      <w:r w:rsidRPr="00EC1A78">
        <w:rPr>
          <w:rFonts w:eastAsiaTheme="minorHAnsi"/>
          <w:sz w:val="22"/>
          <w:szCs w:val="22"/>
          <w:lang w:val="en-US" w:eastAsia="en-US"/>
        </w:rPr>
        <w:t>principles</w:t>
      </w:r>
      <w:r w:rsidRPr="00C56F2E">
        <w:rPr>
          <w:rFonts w:eastAsiaTheme="minorHAnsi"/>
          <w:sz w:val="22"/>
          <w:szCs w:val="22"/>
          <w:lang w:val="en-US" w:eastAsia="en-US"/>
        </w:rPr>
        <w:t xml:space="preserve"> </w:t>
      </w:r>
      <w:r w:rsidRPr="00EC1A78">
        <w:rPr>
          <w:rFonts w:eastAsiaTheme="minorHAnsi"/>
          <w:sz w:val="22"/>
          <w:szCs w:val="22"/>
          <w:lang w:val="en-US" w:eastAsia="en-US"/>
        </w:rPr>
        <w:t>of</w:t>
      </w:r>
      <w:r w:rsidRPr="00C56F2E">
        <w:rPr>
          <w:rFonts w:eastAsiaTheme="minorHAnsi"/>
          <w:sz w:val="22"/>
          <w:szCs w:val="22"/>
          <w:lang w:val="en-US" w:eastAsia="en-US"/>
        </w:rPr>
        <w:t xml:space="preserve"> </w:t>
      </w:r>
      <w:r w:rsidRPr="00EC1A78">
        <w:rPr>
          <w:rFonts w:eastAsiaTheme="minorHAnsi"/>
          <w:sz w:val="22"/>
          <w:szCs w:val="22"/>
          <w:lang w:val="en-US" w:eastAsia="en-US"/>
        </w:rPr>
        <w:t>electoral</w:t>
      </w:r>
      <w:r w:rsidRPr="00C56F2E">
        <w:rPr>
          <w:rFonts w:eastAsiaTheme="minorHAnsi"/>
          <w:sz w:val="22"/>
          <w:szCs w:val="22"/>
          <w:lang w:val="en-US" w:eastAsia="en-US"/>
        </w:rPr>
        <w:t xml:space="preserve"> </w:t>
      </w:r>
      <w:r w:rsidRPr="00EC1A78">
        <w:rPr>
          <w:rFonts w:eastAsiaTheme="minorHAnsi"/>
          <w:sz w:val="22"/>
          <w:szCs w:val="22"/>
          <w:lang w:val="en-US" w:eastAsia="en-US"/>
        </w:rPr>
        <w:t>law</w:t>
      </w:r>
      <w:r w:rsidRPr="00C56F2E">
        <w:rPr>
          <w:rFonts w:eastAsiaTheme="minorHAnsi"/>
          <w:sz w:val="22"/>
          <w:szCs w:val="22"/>
          <w:lang w:val="en-US" w:eastAsia="en-US"/>
        </w:rPr>
        <w:t xml:space="preserve">, </w:t>
      </w:r>
      <w:r w:rsidRPr="00EC1A78">
        <w:rPr>
          <w:rFonts w:eastAsiaTheme="minorHAnsi"/>
          <w:sz w:val="22"/>
          <w:szCs w:val="22"/>
          <w:lang w:val="en-US" w:eastAsia="en-US"/>
        </w:rPr>
        <w:t>the</w:t>
      </w:r>
      <w:r w:rsidRPr="00C56F2E">
        <w:rPr>
          <w:rFonts w:eastAsiaTheme="minorHAnsi"/>
          <w:sz w:val="22"/>
          <w:szCs w:val="22"/>
          <w:lang w:val="en-US" w:eastAsia="en-US"/>
        </w:rPr>
        <w:t xml:space="preserve"> </w:t>
      </w:r>
      <w:r w:rsidRPr="00EC1A78">
        <w:rPr>
          <w:rFonts w:eastAsiaTheme="minorHAnsi"/>
          <w:sz w:val="22"/>
          <w:szCs w:val="22"/>
          <w:lang w:val="en-US" w:eastAsia="en-US"/>
        </w:rPr>
        <w:t>principle</w:t>
      </w:r>
      <w:r w:rsidRPr="00C56F2E">
        <w:rPr>
          <w:rFonts w:eastAsiaTheme="minorHAnsi"/>
          <w:sz w:val="22"/>
          <w:szCs w:val="22"/>
          <w:lang w:val="en-US" w:eastAsia="en-US"/>
        </w:rPr>
        <w:t xml:space="preserve"> </w:t>
      </w:r>
      <w:r w:rsidRPr="00EC1A78">
        <w:rPr>
          <w:rFonts w:eastAsiaTheme="minorHAnsi"/>
          <w:sz w:val="22"/>
          <w:szCs w:val="22"/>
          <w:lang w:val="en-US" w:eastAsia="en-US"/>
        </w:rPr>
        <w:t>of</w:t>
      </w:r>
      <w:r w:rsidRPr="00C56F2E">
        <w:rPr>
          <w:rFonts w:eastAsiaTheme="minorHAnsi"/>
          <w:sz w:val="22"/>
          <w:szCs w:val="22"/>
          <w:lang w:val="en-US" w:eastAsia="en-US"/>
        </w:rPr>
        <w:t xml:space="preserve"> </w:t>
      </w:r>
      <w:r w:rsidRPr="00EC1A78">
        <w:rPr>
          <w:rFonts w:eastAsiaTheme="minorHAnsi"/>
          <w:sz w:val="22"/>
          <w:szCs w:val="22"/>
          <w:lang w:val="en-US" w:eastAsia="en-US"/>
        </w:rPr>
        <w:t>alternative</w:t>
      </w:r>
      <w:r w:rsidRPr="00C56F2E">
        <w:rPr>
          <w:rFonts w:eastAsiaTheme="minorHAnsi"/>
          <w:sz w:val="22"/>
          <w:szCs w:val="22"/>
          <w:lang w:val="en-US" w:eastAsia="en-US"/>
        </w:rPr>
        <w:t xml:space="preserve">, </w:t>
      </w:r>
      <w:r w:rsidRPr="00EC1A78">
        <w:rPr>
          <w:rFonts w:eastAsiaTheme="minorHAnsi"/>
          <w:sz w:val="22"/>
          <w:szCs w:val="22"/>
          <w:lang w:val="en-US" w:eastAsia="en-US"/>
        </w:rPr>
        <w:t>the</w:t>
      </w:r>
      <w:r w:rsidRPr="00C56F2E">
        <w:rPr>
          <w:rFonts w:eastAsiaTheme="minorHAnsi"/>
          <w:sz w:val="22"/>
          <w:szCs w:val="22"/>
          <w:lang w:val="en-US" w:eastAsia="en-US"/>
        </w:rPr>
        <w:t xml:space="preserve"> </w:t>
      </w:r>
      <w:r w:rsidRPr="00EC1A78">
        <w:rPr>
          <w:rFonts w:eastAsiaTheme="minorHAnsi"/>
          <w:sz w:val="22"/>
          <w:szCs w:val="22"/>
          <w:lang w:val="en-US" w:eastAsia="en-US"/>
        </w:rPr>
        <w:t>USSR</w:t>
      </w:r>
      <w:r w:rsidR="00C56F2E" w:rsidRPr="00C56F2E">
        <w:rPr>
          <w:rFonts w:eastAsiaTheme="minorHAnsi"/>
          <w:sz w:val="22"/>
          <w:szCs w:val="22"/>
          <w:lang w:val="en-US" w:eastAsia="en-US"/>
        </w:rPr>
        <w:t>.</w:t>
      </w:r>
    </w:p>
    <w:p w:rsidR="00EC1A78" w:rsidRPr="00EC1A78" w:rsidRDefault="00EC1A78" w:rsidP="00EC1A78">
      <w:pPr>
        <w:widowControl w:val="0"/>
        <w:autoSpaceDE w:val="0"/>
        <w:autoSpaceDN w:val="0"/>
        <w:adjustRightInd w:val="0"/>
        <w:ind w:firstLine="426"/>
        <w:jc w:val="both"/>
        <w:rPr>
          <w:rFonts w:eastAsiaTheme="minorEastAsia"/>
          <w:sz w:val="22"/>
          <w:szCs w:val="22"/>
          <w:lang w:val="en-US"/>
        </w:rPr>
      </w:pP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В научной литературе существует огромное количество опр</w:t>
      </w:r>
      <w:r w:rsidRPr="00EC1A78">
        <w:rPr>
          <w:rFonts w:eastAsiaTheme="minorEastAsia"/>
          <w:sz w:val="22"/>
          <w:szCs w:val="22"/>
        </w:rPr>
        <w:t>е</w:t>
      </w:r>
      <w:r w:rsidRPr="00EC1A78">
        <w:rPr>
          <w:rFonts w:eastAsiaTheme="minorEastAsia"/>
          <w:sz w:val="22"/>
          <w:szCs w:val="22"/>
        </w:rPr>
        <w:t>делений выборов. В том числе, существует «легитимное» определ</w:t>
      </w:r>
      <w:r w:rsidRPr="00EC1A78">
        <w:rPr>
          <w:rFonts w:eastAsiaTheme="minorEastAsia"/>
          <w:sz w:val="22"/>
          <w:szCs w:val="22"/>
        </w:rPr>
        <w:t>е</w:t>
      </w:r>
      <w:r w:rsidRPr="00EC1A78">
        <w:rPr>
          <w:rFonts w:eastAsiaTheme="minorEastAsia"/>
          <w:sz w:val="22"/>
          <w:szCs w:val="22"/>
        </w:rPr>
        <w:t>ние, которое закреплено в федеральном законе «Об основных г</w:t>
      </w:r>
      <w:r w:rsidRPr="00EC1A78">
        <w:rPr>
          <w:rFonts w:eastAsiaTheme="minorEastAsia"/>
          <w:sz w:val="22"/>
          <w:szCs w:val="22"/>
        </w:rPr>
        <w:t>а</w:t>
      </w:r>
      <w:r w:rsidRPr="00EC1A78">
        <w:rPr>
          <w:rFonts w:eastAsiaTheme="minorEastAsia"/>
          <w:sz w:val="22"/>
          <w:szCs w:val="22"/>
        </w:rPr>
        <w:t>рантиях избирательных прав граждан и права на участие в рефере</w:t>
      </w:r>
      <w:r w:rsidRPr="00EC1A78">
        <w:rPr>
          <w:rFonts w:eastAsiaTheme="minorEastAsia"/>
          <w:sz w:val="22"/>
          <w:szCs w:val="22"/>
        </w:rPr>
        <w:t>н</w:t>
      </w:r>
      <w:r w:rsidRPr="00EC1A78">
        <w:rPr>
          <w:rFonts w:eastAsiaTheme="minorEastAsia"/>
          <w:sz w:val="22"/>
          <w:szCs w:val="22"/>
        </w:rPr>
        <w:t xml:space="preserve">думе граждан Российской Федерации».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В свете настоящей статьи, законодательно закрепленное  пон</w:t>
      </w:r>
      <w:r w:rsidRPr="00EC1A78">
        <w:rPr>
          <w:rFonts w:eastAsiaTheme="minorEastAsia"/>
          <w:sz w:val="22"/>
          <w:szCs w:val="22"/>
        </w:rPr>
        <w:t>я</w:t>
      </w:r>
      <w:r w:rsidRPr="00EC1A78">
        <w:rPr>
          <w:rFonts w:eastAsiaTheme="minorEastAsia"/>
          <w:sz w:val="22"/>
          <w:szCs w:val="22"/>
        </w:rPr>
        <w:t>тие выборов не имеет значения. Тем не менее, большинство ученых сходятся во мнении,  близком к его формулировке, понимая под выборами установленную последовательность действий субъектов избирательного процесса, направленную на формирование органов государственной власти и местного самоуправления.</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Однако, некоторые считают, что в понятие выборов в обяз</w:t>
      </w:r>
      <w:r w:rsidRPr="00EC1A78">
        <w:rPr>
          <w:rFonts w:eastAsiaTheme="minorEastAsia"/>
          <w:sz w:val="22"/>
          <w:szCs w:val="22"/>
        </w:rPr>
        <w:t>а</w:t>
      </w:r>
      <w:r w:rsidRPr="00EC1A78">
        <w:rPr>
          <w:rFonts w:eastAsiaTheme="minorEastAsia"/>
          <w:sz w:val="22"/>
          <w:szCs w:val="22"/>
        </w:rPr>
        <w:t>тельном порядке необходимо включать принципы, которые форм</w:t>
      </w:r>
      <w:r w:rsidRPr="00EC1A78">
        <w:rPr>
          <w:rFonts w:eastAsiaTheme="minorEastAsia"/>
          <w:sz w:val="22"/>
          <w:szCs w:val="22"/>
        </w:rPr>
        <w:t>и</w:t>
      </w:r>
      <w:r w:rsidRPr="00EC1A78">
        <w:rPr>
          <w:rFonts w:eastAsiaTheme="minorEastAsia"/>
          <w:sz w:val="22"/>
          <w:szCs w:val="22"/>
        </w:rPr>
        <w:t>руют фундамент и правовую основу их проведения. Так, есть мн</w:t>
      </w:r>
      <w:r w:rsidRPr="00EC1A78">
        <w:rPr>
          <w:rFonts w:eastAsiaTheme="minorEastAsia"/>
          <w:sz w:val="22"/>
          <w:szCs w:val="22"/>
        </w:rPr>
        <w:t>е</w:t>
      </w:r>
      <w:r w:rsidRPr="00EC1A78">
        <w:rPr>
          <w:rFonts w:eastAsiaTheme="minorEastAsia"/>
          <w:sz w:val="22"/>
          <w:szCs w:val="22"/>
        </w:rPr>
        <w:t>ние, что в понятие надо включать их проведение на альтернативной основе и демократических началах. Сторонники такого подхода з</w:t>
      </w:r>
      <w:r w:rsidRPr="00EC1A78">
        <w:rPr>
          <w:rFonts w:eastAsiaTheme="minorEastAsia"/>
          <w:sz w:val="22"/>
          <w:szCs w:val="22"/>
        </w:rPr>
        <w:t>а</w:t>
      </w:r>
      <w:r w:rsidRPr="00EC1A78">
        <w:rPr>
          <w:rFonts w:eastAsiaTheme="minorEastAsia"/>
          <w:sz w:val="22"/>
          <w:szCs w:val="22"/>
        </w:rPr>
        <w:t>являют, что в Союзе Советских Социалистических Республик о</w:t>
      </w:r>
      <w:r w:rsidRPr="00EC1A78">
        <w:rPr>
          <w:rFonts w:eastAsiaTheme="minorEastAsia"/>
          <w:sz w:val="22"/>
          <w:szCs w:val="22"/>
        </w:rPr>
        <w:t>т</w:t>
      </w:r>
      <w:r w:rsidRPr="00EC1A78">
        <w:rPr>
          <w:rFonts w:eastAsiaTheme="minorEastAsia"/>
          <w:sz w:val="22"/>
          <w:szCs w:val="22"/>
        </w:rPr>
        <w:t xml:space="preserve">сутствовали выборы как таковые, и институт  выборов прекратил свое существование в 1917 году, а возродился в момент принятия Конституции российской Федерации 1993 года.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С таким мнением согласиться сложно, поскольку если буквал</w:t>
      </w:r>
      <w:r w:rsidRPr="00EC1A78">
        <w:rPr>
          <w:rFonts w:eastAsiaTheme="minorEastAsia"/>
          <w:sz w:val="22"/>
          <w:szCs w:val="22"/>
        </w:rPr>
        <w:t>ь</w:t>
      </w:r>
      <w:r w:rsidRPr="00EC1A78">
        <w:rPr>
          <w:rFonts w:eastAsiaTheme="minorEastAsia"/>
          <w:sz w:val="22"/>
          <w:szCs w:val="22"/>
        </w:rPr>
        <w:t>но принимать аргументы данной точки зрения, то в дореволюцио</w:t>
      </w:r>
      <w:r w:rsidRPr="00EC1A78">
        <w:rPr>
          <w:rFonts w:eastAsiaTheme="minorEastAsia"/>
          <w:sz w:val="22"/>
          <w:szCs w:val="22"/>
        </w:rPr>
        <w:t>н</w:t>
      </w:r>
      <w:r w:rsidRPr="00EC1A78">
        <w:rPr>
          <w:rFonts w:eastAsiaTheme="minorEastAsia"/>
          <w:sz w:val="22"/>
          <w:szCs w:val="22"/>
        </w:rPr>
        <w:t>ной России, даже с большой долей натяжки, нельзя назвать выборы демократическими.</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Существовало большое количество дискриминационных це</w:t>
      </w:r>
      <w:r w:rsidRPr="00EC1A78">
        <w:rPr>
          <w:rFonts w:eastAsiaTheme="minorEastAsia"/>
          <w:sz w:val="22"/>
          <w:szCs w:val="22"/>
        </w:rPr>
        <w:t>н</w:t>
      </w:r>
      <w:r w:rsidRPr="00EC1A78">
        <w:rPr>
          <w:rFonts w:eastAsiaTheme="minorEastAsia"/>
          <w:sz w:val="22"/>
          <w:szCs w:val="22"/>
        </w:rPr>
        <w:t>зов: имущественный, сословный, образования и т.д.</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этом фоне избирательная система СССР представляется б</w:t>
      </w:r>
      <w:r w:rsidRPr="00EC1A78">
        <w:rPr>
          <w:rFonts w:eastAsiaTheme="minorHAnsi"/>
          <w:sz w:val="22"/>
          <w:szCs w:val="22"/>
          <w:lang w:eastAsia="en-US"/>
        </w:rPr>
        <w:t>о</w:t>
      </w:r>
      <w:r w:rsidRPr="00EC1A78">
        <w:rPr>
          <w:rFonts w:eastAsiaTheme="minorHAnsi"/>
          <w:sz w:val="22"/>
          <w:szCs w:val="22"/>
          <w:lang w:eastAsia="en-US"/>
        </w:rPr>
        <w:t>лее совершенной и развитой. Конституция 1977 года в качестве о</w:t>
      </w:r>
      <w:r w:rsidRPr="00EC1A78">
        <w:rPr>
          <w:rFonts w:eastAsiaTheme="minorHAnsi"/>
          <w:sz w:val="22"/>
          <w:szCs w:val="22"/>
          <w:lang w:eastAsia="en-US"/>
        </w:rPr>
        <w:t>с</w:t>
      </w:r>
      <w:r w:rsidRPr="00EC1A78">
        <w:rPr>
          <w:rFonts w:eastAsiaTheme="minorHAnsi"/>
          <w:sz w:val="22"/>
          <w:szCs w:val="22"/>
          <w:lang w:eastAsia="en-US"/>
        </w:rPr>
        <w:t>новы конституционного строя закрепила, что основным в постро</w:t>
      </w:r>
      <w:r w:rsidRPr="00EC1A78">
        <w:rPr>
          <w:rFonts w:eastAsiaTheme="minorHAnsi"/>
          <w:sz w:val="22"/>
          <w:szCs w:val="22"/>
          <w:lang w:eastAsia="en-US"/>
        </w:rPr>
        <w:t>е</w:t>
      </w:r>
      <w:r w:rsidRPr="00EC1A78">
        <w:rPr>
          <w:rFonts w:eastAsiaTheme="minorHAnsi"/>
          <w:sz w:val="22"/>
          <w:szCs w:val="22"/>
          <w:lang w:eastAsia="en-US"/>
        </w:rPr>
        <w:t>нии и функционировании государства является принцип  демокр</w:t>
      </w:r>
      <w:r w:rsidRPr="00EC1A78">
        <w:rPr>
          <w:rFonts w:eastAsiaTheme="minorHAnsi"/>
          <w:sz w:val="22"/>
          <w:szCs w:val="22"/>
          <w:lang w:eastAsia="en-US"/>
        </w:rPr>
        <w:t>а</w:t>
      </w:r>
      <w:r w:rsidRPr="00EC1A78">
        <w:rPr>
          <w:rFonts w:eastAsiaTheme="minorHAnsi"/>
          <w:sz w:val="22"/>
          <w:szCs w:val="22"/>
          <w:lang w:eastAsia="en-US"/>
        </w:rPr>
        <w:lastRenderedPageBreak/>
        <w:t>тического централизма. Данный принцип выражается в выборности всех органов государственной власти и их подотчётности народу.</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Принципы, по которым производятся выборы в Советы наро</w:t>
      </w:r>
      <w:r w:rsidRPr="00EC1A78">
        <w:rPr>
          <w:rFonts w:eastAsiaTheme="minorHAnsi"/>
          <w:sz w:val="22"/>
          <w:szCs w:val="22"/>
          <w:lang w:eastAsia="en-US"/>
        </w:rPr>
        <w:t>д</w:t>
      </w:r>
      <w:r w:rsidRPr="00EC1A78">
        <w:rPr>
          <w:rFonts w:eastAsiaTheme="minorHAnsi"/>
          <w:sz w:val="22"/>
          <w:szCs w:val="22"/>
          <w:lang w:eastAsia="en-US"/>
        </w:rPr>
        <w:t>ных депутатов, в современных государствах относятся к демокр</w:t>
      </w:r>
      <w:r w:rsidRPr="00EC1A78">
        <w:rPr>
          <w:rFonts w:eastAsiaTheme="minorHAnsi"/>
          <w:sz w:val="22"/>
          <w:szCs w:val="22"/>
          <w:lang w:eastAsia="en-US"/>
        </w:rPr>
        <w:t>а</w:t>
      </w:r>
      <w:r w:rsidRPr="00EC1A78">
        <w:rPr>
          <w:rFonts w:eastAsiaTheme="minorHAnsi"/>
          <w:sz w:val="22"/>
          <w:szCs w:val="22"/>
          <w:lang w:eastAsia="en-US"/>
        </w:rPr>
        <w:t>тическим. Основной закон советского государства закрепил выборы всеобщими, равными, прямыми, на основе тайного голосования.</w:t>
      </w:r>
    </w:p>
    <w:p w:rsidR="00EC1A78" w:rsidRPr="00EC1A78" w:rsidRDefault="00EC1A78" w:rsidP="00EC1A78">
      <w:pPr>
        <w:ind w:firstLine="426"/>
        <w:jc w:val="both"/>
        <w:rPr>
          <w:rFonts w:eastAsiaTheme="minorHAnsi"/>
          <w:sz w:val="22"/>
          <w:szCs w:val="22"/>
          <w:lang w:eastAsia="en-US"/>
        </w:rPr>
      </w:pPr>
      <w:r w:rsidRPr="00EC1A78">
        <w:rPr>
          <w:rFonts w:eastAsiaTheme="minorHAnsi"/>
          <w:bCs/>
          <w:sz w:val="22"/>
          <w:szCs w:val="22"/>
          <w:lang w:eastAsia="en-US"/>
        </w:rPr>
        <w:t xml:space="preserve">Возрастной ценз соответствовал современному  – </w:t>
      </w:r>
      <w:r w:rsidRPr="00EC1A78">
        <w:rPr>
          <w:rFonts w:eastAsiaTheme="minorHAnsi"/>
          <w:sz w:val="22"/>
          <w:szCs w:val="22"/>
          <w:lang w:eastAsia="en-US"/>
        </w:rPr>
        <w:t>18 лет. Одн</w:t>
      </w:r>
      <w:r w:rsidRPr="00EC1A78">
        <w:rPr>
          <w:rFonts w:eastAsiaTheme="minorHAnsi"/>
          <w:sz w:val="22"/>
          <w:szCs w:val="22"/>
          <w:lang w:eastAsia="en-US"/>
        </w:rPr>
        <w:t>а</w:t>
      </w:r>
      <w:r w:rsidRPr="00EC1A78">
        <w:rPr>
          <w:rFonts w:eastAsiaTheme="minorHAnsi"/>
          <w:sz w:val="22"/>
          <w:szCs w:val="22"/>
          <w:lang w:eastAsia="en-US"/>
        </w:rPr>
        <w:t>ко он действовал как для активного, так и для пассивного избир</w:t>
      </w:r>
      <w:r w:rsidRPr="00EC1A78">
        <w:rPr>
          <w:rFonts w:eastAsiaTheme="minorHAnsi"/>
          <w:sz w:val="22"/>
          <w:szCs w:val="22"/>
          <w:lang w:eastAsia="en-US"/>
        </w:rPr>
        <w:t>а</w:t>
      </w:r>
      <w:r w:rsidRPr="00EC1A78">
        <w:rPr>
          <w:rFonts w:eastAsiaTheme="minorHAnsi"/>
          <w:sz w:val="22"/>
          <w:szCs w:val="22"/>
          <w:lang w:eastAsia="en-US"/>
        </w:rPr>
        <w:t>тельного права.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Несколько режущей слух формулировкой закреплен совреме</w:t>
      </w:r>
      <w:r w:rsidRPr="00EC1A78">
        <w:rPr>
          <w:rFonts w:eastAsiaTheme="minorHAnsi"/>
          <w:sz w:val="22"/>
          <w:szCs w:val="22"/>
          <w:lang w:eastAsia="en-US"/>
        </w:rPr>
        <w:t>н</w:t>
      </w:r>
      <w:r w:rsidRPr="00EC1A78">
        <w:rPr>
          <w:rFonts w:eastAsiaTheme="minorHAnsi"/>
          <w:sz w:val="22"/>
          <w:szCs w:val="22"/>
          <w:lang w:eastAsia="en-US"/>
        </w:rPr>
        <w:t>ный ценз дееспособности – лишены избирательного права лица, признанные в установленном Законом порядке умалишенными.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Более того, данные принципы не носили в СССР лишь деклар</w:t>
      </w:r>
      <w:r w:rsidRPr="00EC1A78">
        <w:rPr>
          <w:rFonts w:eastAsiaTheme="minorHAnsi"/>
          <w:sz w:val="22"/>
          <w:szCs w:val="22"/>
          <w:lang w:eastAsia="en-US"/>
        </w:rPr>
        <w:t>а</w:t>
      </w:r>
      <w:r w:rsidRPr="00EC1A78">
        <w:rPr>
          <w:rFonts w:eastAsiaTheme="minorHAnsi"/>
          <w:sz w:val="22"/>
          <w:szCs w:val="22"/>
          <w:lang w:eastAsia="en-US"/>
        </w:rPr>
        <w:t>тивный характер. Они реально реализовывались на практике.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Современные специалисты высказывают мнение, что отсу</w:t>
      </w:r>
      <w:r w:rsidRPr="00EC1A78">
        <w:rPr>
          <w:rFonts w:eastAsiaTheme="minorHAnsi"/>
          <w:sz w:val="22"/>
          <w:szCs w:val="22"/>
          <w:lang w:eastAsia="en-US"/>
        </w:rPr>
        <w:t>т</w:t>
      </w:r>
      <w:r w:rsidRPr="00EC1A78">
        <w:rPr>
          <w:rFonts w:eastAsiaTheme="minorHAnsi"/>
          <w:sz w:val="22"/>
          <w:szCs w:val="22"/>
          <w:lang w:eastAsia="en-US"/>
        </w:rPr>
        <w:t>ствие принципа альтернативности свидетельствует об отсутствии института выборов как такового. Избиратель не имеет возможности осуществить выбор в полной мере, поскольку в государстве де</w:t>
      </w:r>
      <w:r w:rsidRPr="00EC1A78">
        <w:rPr>
          <w:rFonts w:eastAsiaTheme="minorHAnsi"/>
          <w:sz w:val="22"/>
          <w:szCs w:val="22"/>
          <w:lang w:eastAsia="en-US"/>
        </w:rPr>
        <w:t>й</w:t>
      </w:r>
      <w:r w:rsidRPr="00EC1A78">
        <w:rPr>
          <w:rFonts w:eastAsiaTheme="minorHAnsi"/>
          <w:sz w:val="22"/>
          <w:szCs w:val="22"/>
          <w:lang w:eastAsia="en-US"/>
        </w:rPr>
        <w:t>ствует однопартийная система и предвыборная агитация происх</w:t>
      </w:r>
      <w:r w:rsidRPr="00EC1A78">
        <w:rPr>
          <w:rFonts w:eastAsiaTheme="minorHAnsi"/>
          <w:sz w:val="22"/>
          <w:szCs w:val="22"/>
          <w:lang w:eastAsia="en-US"/>
        </w:rPr>
        <w:t>о</w:t>
      </w:r>
      <w:r w:rsidRPr="00EC1A78">
        <w:rPr>
          <w:rFonts w:eastAsiaTheme="minorHAnsi"/>
          <w:sz w:val="22"/>
          <w:szCs w:val="22"/>
          <w:lang w:eastAsia="en-US"/>
        </w:rPr>
        <w:t>дит в рамках одной политической программы развития государства.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Такой подход представляется вполне обоснованным. Однако несправедливо говорить об отсутствии именно принципа альтерн</w:t>
      </w:r>
      <w:r w:rsidRPr="00EC1A78">
        <w:rPr>
          <w:rFonts w:eastAsiaTheme="minorHAnsi"/>
          <w:sz w:val="22"/>
          <w:szCs w:val="22"/>
          <w:lang w:eastAsia="en-US"/>
        </w:rPr>
        <w:t>а</w:t>
      </w:r>
      <w:r w:rsidRPr="00EC1A78">
        <w:rPr>
          <w:rFonts w:eastAsiaTheme="minorHAnsi"/>
          <w:sz w:val="22"/>
          <w:szCs w:val="22"/>
          <w:lang w:eastAsia="en-US"/>
        </w:rPr>
        <w:t>тивности. Принцип альтернативности означает обязательное нал</w:t>
      </w:r>
      <w:r w:rsidRPr="00EC1A78">
        <w:rPr>
          <w:rFonts w:eastAsiaTheme="minorHAnsi"/>
          <w:sz w:val="22"/>
          <w:szCs w:val="22"/>
          <w:lang w:eastAsia="en-US"/>
        </w:rPr>
        <w:t>и</w:t>
      </w:r>
      <w:r w:rsidRPr="00EC1A78">
        <w:rPr>
          <w:rFonts w:eastAsiaTheme="minorHAnsi"/>
          <w:sz w:val="22"/>
          <w:szCs w:val="22"/>
          <w:lang w:eastAsia="en-US"/>
        </w:rPr>
        <w:t>чие хотя бы двух кандидатов. Знакомство с бюллетенями 80–х г</w:t>
      </w:r>
      <w:r w:rsidRPr="00EC1A78">
        <w:rPr>
          <w:rFonts w:eastAsiaTheme="minorHAnsi"/>
          <w:sz w:val="22"/>
          <w:szCs w:val="22"/>
          <w:lang w:eastAsia="en-US"/>
        </w:rPr>
        <w:t>о</w:t>
      </w:r>
      <w:r w:rsidRPr="00EC1A78">
        <w:rPr>
          <w:rFonts w:eastAsiaTheme="minorHAnsi"/>
          <w:sz w:val="22"/>
          <w:szCs w:val="22"/>
          <w:lang w:eastAsia="en-US"/>
        </w:rPr>
        <w:t>дов подтверждает наличие восьми кандидатов на выборах в мес</w:t>
      </w:r>
      <w:r w:rsidRPr="00EC1A78">
        <w:rPr>
          <w:rFonts w:eastAsiaTheme="minorHAnsi"/>
          <w:sz w:val="22"/>
          <w:szCs w:val="22"/>
          <w:lang w:eastAsia="en-US"/>
        </w:rPr>
        <w:t>т</w:t>
      </w:r>
      <w:r w:rsidRPr="00EC1A78">
        <w:rPr>
          <w:rFonts w:eastAsiaTheme="minorHAnsi"/>
          <w:sz w:val="22"/>
          <w:szCs w:val="22"/>
          <w:lang w:eastAsia="en-US"/>
        </w:rPr>
        <w:t>ные советы народных депутатов. Возможность и право выбора на практике также реализовывалась, пусть в несколько искаженной форме.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институт выборов в СССР имел детальную правовую регламентацию и подтверждается широкой правоприм</w:t>
      </w:r>
      <w:r w:rsidRPr="00EC1A78">
        <w:rPr>
          <w:rFonts w:eastAsiaTheme="minorHAnsi"/>
          <w:sz w:val="22"/>
          <w:szCs w:val="22"/>
          <w:lang w:eastAsia="en-US"/>
        </w:rPr>
        <w:t>е</w:t>
      </w:r>
      <w:r w:rsidRPr="00EC1A78">
        <w:rPr>
          <w:rFonts w:eastAsiaTheme="minorHAnsi"/>
          <w:sz w:val="22"/>
          <w:szCs w:val="22"/>
          <w:lang w:eastAsia="en-US"/>
        </w:rPr>
        <w:t>нительной практикой.</w:t>
      </w:r>
    </w:p>
    <w:p w:rsidR="00EC1A78" w:rsidRPr="00EC1A78" w:rsidRDefault="00EC1A78" w:rsidP="00EC1A78">
      <w:pPr>
        <w:ind w:firstLine="426"/>
        <w:jc w:val="both"/>
        <w:rPr>
          <w:rFonts w:eastAsiaTheme="minorHAnsi"/>
          <w:sz w:val="22"/>
          <w:szCs w:val="22"/>
          <w:lang w:eastAsia="en-US"/>
        </w:rPr>
      </w:pPr>
    </w:p>
    <w:p w:rsidR="00EC1A78" w:rsidRPr="00EC1A78" w:rsidRDefault="00C56F2E" w:rsidP="00EC1A78">
      <w:pPr>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C56F2E">
      <w:pPr>
        <w:ind w:firstLine="426"/>
        <w:jc w:val="both"/>
        <w:rPr>
          <w:rFonts w:eastAsiaTheme="minorHAnsi"/>
          <w:sz w:val="22"/>
          <w:szCs w:val="22"/>
          <w:lang w:eastAsia="en-US"/>
        </w:rPr>
      </w:pPr>
      <w:r w:rsidRPr="00EC1A78">
        <w:rPr>
          <w:rFonts w:eastAsiaTheme="minorHAnsi" w:cstheme="minorBidi"/>
          <w:sz w:val="22"/>
          <w:szCs w:val="22"/>
          <w:lang w:eastAsia="en-US"/>
        </w:rPr>
        <w:t>1. Конституция Российской Федерации. М., 2014.</w:t>
      </w:r>
    </w:p>
    <w:p w:rsidR="00EC1A78" w:rsidRPr="00EC1A78" w:rsidRDefault="00EC1A78" w:rsidP="00C56F2E">
      <w:pPr>
        <w:ind w:firstLine="426"/>
        <w:jc w:val="both"/>
        <w:rPr>
          <w:rFonts w:eastAsiaTheme="minorHAnsi"/>
          <w:sz w:val="22"/>
          <w:szCs w:val="22"/>
          <w:lang w:eastAsia="en-US"/>
        </w:rPr>
      </w:pPr>
      <w:r w:rsidRPr="00EC1A78">
        <w:rPr>
          <w:rFonts w:eastAsiaTheme="minorHAnsi" w:cstheme="minorBidi"/>
          <w:sz w:val="22"/>
          <w:szCs w:val="22"/>
          <w:lang w:eastAsia="en-US"/>
        </w:rPr>
        <w:t>2. Об основных гарантиях избирательных прав и права на уч</w:t>
      </w:r>
      <w:r w:rsidRPr="00EC1A78">
        <w:rPr>
          <w:rFonts w:eastAsiaTheme="minorHAnsi" w:cstheme="minorBidi"/>
          <w:sz w:val="22"/>
          <w:szCs w:val="22"/>
          <w:lang w:eastAsia="en-US"/>
        </w:rPr>
        <w:t>а</w:t>
      </w:r>
      <w:r w:rsidRPr="00EC1A78">
        <w:rPr>
          <w:rFonts w:eastAsiaTheme="minorHAnsi" w:cstheme="minorBidi"/>
          <w:sz w:val="22"/>
          <w:szCs w:val="22"/>
          <w:lang w:eastAsia="en-US"/>
        </w:rPr>
        <w:t>стие в референдуме граждан Российской Федерации: Федеральный закон от 12 июня 2002 г. N 67–ФЗ (ред. от 01.06.2017) //base.garant.ru</w:t>
      </w:r>
    </w:p>
    <w:p w:rsidR="00EC1A78" w:rsidRPr="00EC1A78" w:rsidRDefault="00EC1A78" w:rsidP="00C56F2E">
      <w:pPr>
        <w:ind w:firstLine="426"/>
        <w:jc w:val="both"/>
        <w:rPr>
          <w:rFonts w:eastAsiaTheme="minorHAnsi"/>
          <w:sz w:val="22"/>
          <w:szCs w:val="22"/>
          <w:lang w:eastAsia="en-US"/>
        </w:rPr>
      </w:pPr>
      <w:r w:rsidRPr="00EC1A78">
        <w:rPr>
          <w:rFonts w:eastAsiaTheme="minorHAnsi"/>
          <w:sz w:val="22"/>
          <w:szCs w:val="22"/>
          <w:lang w:eastAsia="en-US"/>
        </w:rPr>
        <w:lastRenderedPageBreak/>
        <w:t>3. Чистяков О.И. Конституция СССР 1936 года / О.И. Чистяков. — Электрон. текстовые данные. — М. : Зерцало–М, 2015. — 224 c.</w:t>
      </w:r>
    </w:p>
    <w:p w:rsidR="00EC1A78" w:rsidRPr="00EC1A78" w:rsidRDefault="00EC1A78" w:rsidP="00C56F2E">
      <w:pPr>
        <w:ind w:firstLine="426"/>
        <w:jc w:val="both"/>
        <w:rPr>
          <w:rFonts w:eastAsiaTheme="minorHAnsi"/>
          <w:sz w:val="22"/>
          <w:szCs w:val="22"/>
          <w:lang w:eastAsia="en-US"/>
        </w:rPr>
      </w:pPr>
      <w:r w:rsidRPr="00EC1A78">
        <w:rPr>
          <w:rFonts w:eastAsiaTheme="minorHAnsi"/>
          <w:sz w:val="22"/>
          <w:szCs w:val="22"/>
          <w:lang w:eastAsia="en-US"/>
        </w:rPr>
        <w:t>4. Чистяков О.И. Конституция СССР 1977 года / О.И. Чистяков. — Электрон. текстовые данные. — М. : Зерцало–М, 2012. — 345 c.</w:t>
      </w:r>
    </w:p>
    <w:p w:rsidR="00EC1A78" w:rsidRDefault="00EC1A78" w:rsidP="00EC1A78">
      <w:pPr>
        <w:rPr>
          <w:rFonts w:eastAsiaTheme="minorHAnsi"/>
          <w:sz w:val="22"/>
          <w:szCs w:val="22"/>
          <w:lang w:eastAsia="en-US"/>
        </w:rPr>
      </w:pPr>
    </w:p>
    <w:p w:rsidR="00C56F2E" w:rsidRDefault="00C56F2E" w:rsidP="00EC1A78">
      <w:pPr>
        <w:rPr>
          <w:rFonts w:eastAsiaTheme="minorHAnsi"/>
          <w:sz w:val="22"/>
          <w:szCs w:val="22"/>
          <w:lang w:eastAsia="en-US"/>
        </w:rPr>
      </w:pPr>
    </w:p>
    <w:p w:rsidR="00C56F2E" w:rsidRPr="00EC1A78" w:rsidRDefault="00C56F2E" w:rsidP="00EC1A78">
      <w:pPr>
        <w:rPr>
          <w:rFonts w:eastAsiaTheme="minorHAnsi"/>
          <w:sz w:val="22"/>
          <w:szCs w:val="22"/>
          <w:lang w:eastAsia="en-US"/>
        </w:rPr>
      </w:pPr>
    </w:p>
    <w:p w:rsidR="00EC1A78" w:rsidRPr="00EC1A78" w:rsidRDefault="00EC1A78" w:rsidP="00EC1A78">
      <w:pPr>
        <w:shd w:val="clear" w:color="auto" w:fill="FFFFFF"/>
        <w:rPr>
          <w:rFonts w:eastAsia="Batang"/>
          <w:sz w:val="22"/>
          <w:szCs w:val="22"/>
          <w:lang w:eastAsia="en-US"/>
        </w:rPr>
      </w:pPr>
      <w:r w:rsidRPr="00EC1A78">
        <w:rPr>
          <w:rFonts w:eastAsia="Batang"/>
          <w:sz w:val="22"/>
          <w:szCs w:val="22"/>
          <w:lang w:eastAsia="en-US"/>
        </w:rPr>
        <w:t>УДК 342.8 (470) (075)</w:t>
      </w:r>
    </w:p>
    <w:p w:rsidR="00EC1A78" w:rsidRPr="00EC1A78" w:rsidRDefault="00EC1A78" w:rsidP="00EC1A78">
      <w:pPr>
        <w:rPr>
          <w:rFonts w:eastAsiaTheme="minorHAnsi"/>
          <w:b/>
          <w:bCs/>
          <w:sz w:val="24"/>
          <w:szCs w:val="24"/>
          <w:lang w:eastAsia="en-US"/>
        </w:rPr>
      </w:pPr>
    </w:p>
    <w:p w:rsidR="00EC1A78" w:rsidRPr="00EC1A78" w:rsidRDefault="00EC1A78" w:rsidP="00EC1A78">
      <w:pPr>
        <w:jc w:val="center"/>
        <w:rPr>
          <w:rFonts w:eastAsiaTheme="minorHAnsi"/>
          <w:b/>
          <w:bCs/>
          <w:sz w:val="24"/>
          <w:szCs w:val="24"/>
          <w:lang w:eastAsia="en-US"/>
        </w:rPr>
      </w:pPr>
      <w:r w:rsidRPr="00EC1A78">
        <w:rPr>
          <w:rFonts w:eastAsiaTheme="minorHAnsi"/>
          <w:b/>
          <w:bCs/>
          <w:sz w:val="24"/>
          <w:szCs w:val="24"/>
          <w:lang w:eastAsia="en-US"/>
        </w:rPr>
        <w:t>Право граждан на референдум и проблемы его</w:t>
      </w:r>
    </w:p>
    <w:p w:rsidR="00EC1A78" w:rsidRPr="00EC1A78" w:rsidRDefault="00EC1A78" w:rsidP="00EC1A78">
      <w:pPr>
        <w:jc w:val="center"/>
        <w:rPr>
          <w:rFonts w:eastAsiaTheme="minorHAnsi"/>
          <w:b/>
          <w:bCs/>
          <w:sz w:val="24"/>
          <w:szCs w:val="24"/>
          <w:lang w:val="en-US" w:eastAsia="en-US"/>
        </w:rPr>
      </w:pPr>
      <w:r w:rsidRPr="00EC1A78">
        <w:rPr>
          <w:rFonts w:eastAsiaTheme="minorHAnsi"/>
          <w:b/>
          <w:bCs/>
          <w:sz w:val="24"/>
          <w:szCs w:val="24"/>
          <w:lang w:eastAsia="en-US"/>
        </w:rPr>
        <w:t>реализации</w:t>
      </w:r>
    </w:p>
    <w:p w:rsidR="00EC1A78" w:rsidRPr="00C56F2E"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C56F2E">
        <w:rPr>
          <w:b/>
          <w:sz w:val="24"/>
          <w:szCs w:val="24"/>
          <w:lang w:val="en-US"/>
        </w:rPr>
        <w:t xml:space="preserve">The right of citizens to a refendum and the problem </w:t>
      </w:r>
    </w:p>
    <w:p w:rsidR="00EC1A78" w:rsidRPr="00C56F2E"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C56F2E">
        <w:rPr>
          <w:b/>
          <w:sz w:val="24"/>
          <w:szCs w:val="24"/>
          <w:lang w:val="en-US"/>
        </w:rPr>
        <w:t>of its implementation</w:t>
      </w: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heme="minorHAnsi"/>
          <w:bCs/>
          <w:sz w:val="22"/>
          <w:szCs w:val="22"/>
          <w:lang w:val="en-US" w:eastAsia="en-US"/>
        </w:rPr>
      </w:pP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212121"/>
          <w:sz w:val="24"/>
          <w:szCs w:val="24"/>
          <w:lang w:val="en-US"/>
        </w:rPr>
      </w:pPr>
      <w:r w:rsidRPr="00EC1A78">
        <w:rPr>
          <w:rFonts w:eastAsiaTheme="minorHAnsi"/>
          <w:bCs/>
          <w:sz w:val="22"/>
          <w:szCs w:val="22"/>
          <w:lang w:eastAsia="en-US"/>
        </w:rPr>
        <w:t>Бельчик</w:t>
      </w:r>
      <w:r w:rsidRPr="00EC1A78">
        <w:rPr>
          <w:rFonts w:eastAsiaTheme="minorHAnsi"/>
          <w:bCs/>
          <w:sz w:val="22"/>
          <w:szCs w:val="22"/>
          <w:lang w:val="en-US" w:eastAsia="en-US"/>
        </w:rPr>
        <w:t xml:space="preserve"> </w:t>
      </w:r>
      <w:r w:rsidRPr="00EC1A78">
        <w:rPr>
          <w:rFonts w:eastAsiaTheme="minorHAnsi"/>
          <w:bCs/>
          <w:sz w:val="22"/>
          <w:szCs w:val="22"/>
          <w:lang w:eastAsia="en-US"/>
        </w:rPr>
        <w:t>А</w:t>
      </w:r>
      <w:r w:rsidRPr="00EC1A78">
        <w:rPr>
          <w:rFonts w:eastAsiaTheme="minorHAnsi"/>
          <w:bCs/>
          <w:sz w:val="22"/>
          <w:szCs w:val="22"/>
          <w:lang w:val="en-US" w:eastAsia="en-US"/>
        </w:rPr>
        <w:t>.</w:t>
      </w:r>
      <w:r w:rsidR="00C56F2E" w:rsidRPr="00E62E4B">
        <w:rPr>
          <w:rFonts w:eastAsiaTheme="minorHAnsi"/>
          <w:bCs/>
          <w:sz w:val="22"/>
          <w:szCs w:val="22"/>
          <w:lang w:val="en-US" w:eastAsia="en-US"/>
        </w:rPr>
        <w:t xml:space="preserve"> </w:t>
      </w:r>
      <w:r w:rsidRPr="00EC1A78">
        <w:rPr>
          <w:rFonts w:eastAsiaTheme="minorHAnsi"/>
          <w:bCs/>
          <w:sz w:val="22"/>
          <w:szCs w:val="22"/>
          <w:lang w:eastAsia="en-US"/>
        </w:rPr>
        <w:t>М</w:t>
      </w:r>
      <w:r w:rsidRPr="00EC1A78">
        <w:rPr>
          <w:rFonts w:eastAsiaTheme="minorHAnsi"/>
          <w:bCs/>
          <w:sz w:val="22"/>
          <w:szCs w:val="22"/>
          <w:lang w:val="en-US" w:eastAsia="en-US"/>
        </w:rPr>
        <w:t>.,</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студентка 1-го курса юридического факультета</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Бутурлина Е.</w:t>
      </w:r>
      <w:r w:rsidR="00C56F2E">
        <w:rPr>
          <w:rFonts w:eastAsiaTheme="minorHAnsi"/>
          <w:bCs/>
          <w:sz w:val="22"/>
          <w:szCs w:val="22"/>
          <w:lang w:eastAsia="en-US"/>
        </w:rPr>
        <w:t xml:space="preserve"> </w:t>
      </w:r>
      <w:r w:rsidRPr="00EC1A78">
        <w:rPr>
          <w:rFonts w:eastAsiaTheme="minorHAnsi"/>
          <w:bCs/>
          <w:sz w:val="22"/>
          <w:szCs w:val="22"/>
          <w:lang w:eastAsia="en-US"/>
        </w:rPr>
        <w:t>С.,</w:t>
      </w:r>
    </w:p>
    <w:p w:rsidR="00EC1A78" w:rsidRPr="00EC1A78" w:rsidRDefault="00C42DAC" w:rsidP="00EC1A78">
      <w:pPr>
        <w:jc w:val="right"/>
        <w:rPr>
          <w:rFonts w:eastAsiaTheme="minorHAnsi"/>
          <w:bCs/>
          <w:sz w:val="22"/>
          <w:szCs w:val="22"/>
          <w:lang w:eastAsia="en-US"/>
        </w:rPr>
      </w:pPr>
      <w:r>
        <w:rPr>
          <w:rFonts w:eastAsiaTheme="minorHAnsi"/>
          <w:bCs/>
          <w:sz w:val="22"/>
          <w:szCs w:val="22"/>
          <w:lang w:eastAsia="en-US"/>
        </w:rPr>
        <w:t>доцент кафедры</w:t>
      </w:r>
      <w:r w:rsidR="00EC1A78" w:rsidRPr="00EC1A78">
        <w:rPr>
          <w:rFonts w:eastAsiaTheme="minorHAnsi"/>
          <w:bCs/>
          <w:sz w:val="22"/>
          <w:szCs w:val="22"/>
          <w:lang w:eastAsia="en-US"/>
        </w:rPr>
        <w:t xml:space="preserve"> государственного </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и международного права</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Кубанский государственный аграрный</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университет имени И.</w:t>
      </w:r>
      <w:r w:rsidR="00C56F2E">
        <w:rPr>
          <w:rFonts w:eastAsiaTheme="minorHAnsi"/>
          <w:bCs/>
          <w:sz w:val="22"/>
          <w:szCs w:val="22"/>
          <w:lang w:eastAsia="en-US"/>
        </w:rPr>
        <w:t xml:space="preserve"> </w:t>
      </w:r>
      <w:r w:rsidRPr="00EC1A78">
        <w:rPr>
          <w:rFonts w:eastAsiaTheme="minorHAnsi"/>
          <w:bCs/>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6"/>
        <w:jc w:val="both"/>
        <w:rPr>
          <w:rFonts w:eastAsiaTheme="minorHAnsi"/>
          <w:color w:val="000000"/>
          <w:sz w:val="22"/>
          <w:szCs w:val="22"/>
          <w:lang w:val="en-US" w:eastAsia="en-US"/>
        </w:rPr>
      </w:pPr>
      <w:r w:rsidRPr="00EC1A78">
        <w:rPr>
          <w:rFonts w:eastAsiaTheme="minorHAnsi"/>
          <w:bCs/>
          <w:sz w:val="22"/>
          <w:szCs w:val="22"/>
          <w:lang w:eastAsia="en-US"/>
        </w:rPr>
        <w:t xml:space="preserve">АННОТАЦИЯ: </w:t>
      </w:r>
      <w:r w:rsidRPr="00EC1A78">
        <w:rPr>
          <w:rFonts w:eastAsiaTheme="minorHAnsi"/>
          <w:color w:val="000000"/>
          <w:sz w:val="22"/>
          <w:szCs w:val="22"/>
          <w:lang w:eastAsia="en-US"/>
        </w:rPr>
        <w:t>Изучена и рассмотрена одна из основных форм народовластия - референдум. Выявлены</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проблемы</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реализации</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w:t>
      </w:r>
      <w:r w:rsidRPr="00EC1A78">
        <w:rPr>
          <w:rFonts w:eastAsiaTheme="minorHAnsi"/>
          <w:color w:val="000000"/>
          <w:sz w:val="22"/>
          <w:szCs w:val="22"/>
          <w:lang w:eastAsia="en-US"/>
        </w:rPr>
        <w:t>а</w:t>
      </w:r>
      <w:r w:rsidRPr="00EC1A78">
        <w:rPr>
          <w:rFonts w:eastAsiaTheme="minorHAnsi"/>
          <w:color w:val="000000"/>
          <w:sz w:val="22"/>
          <w:szCs w:val="22"/>
          <w:lang w:eastAsia="en-US"/>
        </w:rPr>
        <w:t>ва</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граждан</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на</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референдум</w:t>
      </w:r>
      <w:r w:rsidRPr="00EC1A78">
        <w:rPr>
          <w:rFonts w:eastAsiaTheme="minorHAnsi"/>
          <w:color w:val="000000"/>
          <w:sz w:val="22"/>
          <w:szCs w:val="22"/>
          <w:lang w:val="en-US" w:eastAsia="en-US"/>
        </w:rPr>
        <w:t>.</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ABSTRACT: One of the main forms of democracy, the referendum, has been studied and considered. Problems of realization of citizens ' right to referendum are revealed.</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bCs/>
          <w:sz w:val="22"/>
          <w:szCs w:val="22"/>
          <w:lang w:eastAsia="en-US"/>
        </w:rPr>
        <w:t xml:space="preserve">КЛЮЧЕВЫЕ СЛОВА: </w:t>
      </w:r>
      <w:r w:rsidRPr="00EC1A78">
        <w:rPr>
          <w:rFonts w:eastAsiaTheme="minorHAnsi"/>
          <w:color w:val="000000"/>
          <w:sz w:val="22"/>
          <w:szCs w:val="22"/>
          <w:lang w:eastAsia="en-US"/>
        </w:rPr>
        <w:t>Конституция Российской Федерации, референдум, демократия, граждане, население.</w:t>
      </w:r>
    </w:p>
    <w:p w:rsidR="00EC1A78" w:rsidRPr="00EC1A78" w:rsidRDefault="00EC1A78" w:rsidP="00EC1A78">
      <w:pPr>
        <w:ind w:firstLine="426"/>
        <w:jc w:val="both"/>
        <w:rPr>
          <w:rFonts w:eastAsiaTheme="minorHAnsi"/>
          <w:color w:val="000000"/>
          <w:sz w:val="27"/>
          <w:szCs w:val="27"/>
          <w:lang w:val="en-US" w:eastAsia="en-US"/>
        </w:rPr>
      </w:pPr>
      <w:r w:rsidRPr="00EC1A78">
        <w:rPr>
          <w:rFonts w:eastAsiaTheme="minorHAnsi"/>
          <w:bCs/>
          <w:sz w:val="22"/>
          <w:szCs w:val="22"/>
          <w:lang w:val="en-US" w:eastAsia="en-US"/>
        </w:rPr>
        <w:t>KEY WORDS:</w:t>
      </w:r>
      <w:r w:rsidRPr="00EC1A78">
        <w:rPr>
          <w:rFonts w:eastAsiaTheme="minorHAnsi"/>
          <w:color w:val="212121"/>
          <w:sz w:val="22"/>
          <w:szCs w:val="22"/>
          <w:lang w:val="en-US" w:eastAsia="en-US"/>
        </w:rPr>
        <w:t xml:space="preserve"> Constitution of the Russian Federation, referendum, democracy, citizens, population.</w:t>
      </w:r>
    </w:p>
    <w:p w:rsidR="00EC1A78" w:rsidRPr="00EC1A78" w:rsidRDefault="00EC1A78" w:rsidP="00EC1A78">
      <w:pPr>
        <w:jc w:val="both"/>
        <w:rPr>
          <w:rFonts w:eastAsiaTheme="minorHAnsi"/>
          <w:color w:val="000000"/>
          <w:sz w:val="27"/>
          <w:szCs w:val="27"/>
          <w:lang w:val="en-US" w:eastAsia="en-US"/>
        </w:rPr>
      </w:pP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 xml:space="preserve">Референдум является высшим непосредственным выражением власти народа. В научной литературе присутствуют различные определения референдума: М.В. Баглай [1],  В.А. Толстик и Н.А. </w:t>
      </w:r>
      <w:r w:rsidRPr="00EC1A78">
        <w:rPr>
          <w:rFonts w:eastAsiaTheme="minorHAnsi"/>
          <w:color w:val="000000"/>
          <w:sz w:val="22"/>
          <w:szCs w:val="22"/>
          <w:lang w:eastAsia="en-US"/>
        </w:rPr>
        <w:lastRenderedPageBreak/>
        <w:t xml:space="preserve">Трусов [2] и др. На наш взгляд, в определениях указанных авторов ярко отражена сущность данной формы прямой демократии. </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 xml:space="preserve">Одним из видов референдума является местный референдум. В части 2 статьи 130 Конституции Российской Федерации закреплено право граждан на местный референдум. В связи с этим интересной на наш взгляд является следующая статистика: </w:t>
      </w:r>
      <w:r w:rsidRPr="00EC1A78">
        <w:rPr>
          <w:rFonts w:eastAsiaTheme="minorHAnsi"/>
          <w:color w:val="000000"/>
          <w:sz w:val="22"/>
          <w:szCs w:val="22"/>
          <w:shd w:val="clear" w:color="auto" w:fill="FFFFFF"/>
          <w:lang w:eastAsia="en-US"/>
        </w:rPr>
        <w:t>59% опрошенных никогда не принимали участие в местном референдуме, 31% ник</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гда не слышали о проведении местного референдума, лишь 10% опрошенных активно участвуют в местных референдумах [3].</w:t>
      </w:r>
      <w:r w:rsidRPr="00EC1A78">
        <w:rPr>
          <w:rFonts w:eastAsiaTheme="minorHAnsi"/>
          <w:color w:val="000000"/>
          <w:sz w:val="22"/>
          <w:szCs w:val="22"/>
          <w:lang w:eastAsia="en-US"/>
        </w:rPr>
        <w:t xml:space="preserve"> </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Приведенные цифры говорят, прежде всего, о недоверии бол</w:t>
      </w:r>
      <w:r w:rsidRPr="00EC1A78">
        <w:rPr>
          <w:rFonts w:eastAsiaTheme="minorHAnsi"/>
          <w:color w:val="000000"/>
          <w:sz w:val="22"/>
          <w:szCs w:val="22"/>
          <w:lang w:eastAsia="en-US"/>
        </w:rPr>
        <w:t>ь</w:t>
      </w:r>
      <w:r w:rsidRPr="00EC1A78">
        <w:rPr>
          <w:rFonts w:eastAsiaTheme="minorHAnsi"/>
          <w:color w:val="000000"/>
          <w:sz w:val="22"/>
          <w:szCs w:val="22"/>
          <w:lang w:eastAsia="en-US"/>
        </w:rPr>
        <w:t>шинства опрошенных к данной форме демократии, а также и о  сл</w:t>
      </w:r>
      <w:r w:rsidRPr="00EC1A78">
        <w:rPr>
          <w:rFonts w:eastAsiaTheme="minorHAnsi"/>
          <w:color w:val="000000"/>
          <w:sz w:val="22"/>
          <w:szCs w:val="22"/>
          <w:lang w:eastAsia="en-US"/>
        </w:rPr>
        <w:t>а</w:t>
      </w:r>
      <w:r w:rsidRPr="00EC1A78">
        <w:rPr>
          <w:rFonts w:eastAsiaTheme="minorHAnsi"/>
          <w:color w:val="000000"/>
          <w:sz w:val="22"/>
          <w:szCs w:val="22"/>
          <w:lang w:eastAsia="en-US"/>
        </w:rPr>
        <w:t>бой информированности граждан о проведении референдума. Из</w:t>
      </w:r>
      <w:r w:rsidRPr="00EC1A78">
        <w:rPr>
          <w:rFonts w:eastAsiaTheme="minorHAnsi"/>
          <w:color w:val="000000"/>
          <w:sz w:val="22"/>
          <w:szCs w:val="22"/>
          <w:lang w:eastAsia="en-US"/>
        </w:rPr>
        <w:t>у</w:t>
      </w:r>
      <w:r w:rsidRPr="00EC1A78">
        <w:rPr>
          <w:rFonts w:eastAsiaTheme="minorHAnsi"/>
          <w:color w:val="000000"/>
          <w:sz w:val="22"/>
          <w:szCs w:val="22"/>
          <w:lang w:eastAsia="en-US"/>
        </w:rPr>
        <w:t>чение и анализ данного правового института позволяет утверждать, что нормативная база, закрепляющая и регулирующая порядок о</w:t>
      </w:r>
      <w:r w:rsidRPr="00EC1A78">
        <w:rPr>
          <w:rFonts w:eastAsiaTheme="minorHAnsi"/>
          <w:color w:val="000000"/>
          <w:sz w:val="22"/>
          <w:szCs w:val="22"/>
          <w:lang w:eastAsia="en-US"/>
        </w:rPr>
        <w:t>р</w:t>
      </w:r>
      <w:r w:rsidRPr="00EC1A78">
        <w:rPr>
          <w:rFonts w:eastAsiaTheme="minorHAnsi"/>
          <w:color w:val="000000"/>
          <w:sz w:val="22"/>
          <w:szCs w:val="22"/>
          <w:lang w:eastAsia="en-US"/>
        </w:rPr>
        <w:t>ганизации и проведения местных референдумов, обширна, но, н</w:t>
      </w:r>
      <w:r w:rsidRPr="00EC1A78">
        <w:rPr>
          <w:rFonts w:eastAsiaTheme="minorHAnsi"/>
          <w:color w:val="000000"/>
          <w:sz w:val="22"/>
          <w:szCs w:val="22"/>
          <w:lang w:eastAsia="en-US"/>
        </w:rPr>
        <w:t>е</w:t>
      </w:r>
      <w:r w:rsidRPr="00EC1A78">
        <w:rPr>
          <w:rFonts w:eastAsiaTheme="minorHAnsi"/>
          <w:color w:val="000000"/>
          <w:sz w:val="22"/>
          <w:szCs w:val="22"/>
          <w:lang w:eastAsia="en-US"/>
        </w:rPr>
        <w:t>смотря на это практическое использование данного права гражд</w:t>
      </w:r>
      <w:r w:rsidRPr="00EC1A78">
        <w:rPr>
          <w:rFonts w:eastAsiaTheme="minorHAnsi"/>
          <w:color w:val="000000"/>
          <w:sz w:val="22"/>
          <w:szCs w:val="22"/>
          <w:lang w:eastAsia="en-US"/>
        </w:rPr>
        <w:t>а</w:t>
      </w:r>
      <w:r w:rsidRPr="00EC1A78">
        <w:rPr>
          <w:rFonts w:eastAsiaTheme="minorHAnsi"/>
          <w:color w:val="000000"/>
          <w:sz w:val="22"/>
          <w:szCs w:val="22"/>
          <w:lang w:eastAsia="en-US"/>
        </w:rPr>
        <w:t xml:space="preserve">нами затруднено. </w:t>
      </w:r>
    </w:p>
    <w:p w:rsidR="00EC1A78" w:rsidRPr="00EC1A78" w:rsidRDefault="00EC1A78" w:rsidP="00EC1A78">
      <w:pPr>
        <w:ind w:firstLine="426"/>
        <w:jc w:val="both"/>
        <w:rPr>
          <w:rFonts w:eastAsiaTheme="minorHAnsi"/>
          <w:bCs/>
          <w:sz w:val="22"/>
          <w:szCs w:val="22"/>
          <w:lang w:eastAsia="en-US"/>
        </w:rPr>
      </w:pPr>
      <w:r w:rsidRPr="00EC1A78">
        <w:rPr>
          <w:rFonts w:eastAsiaTheme="minorHAnsi"/>
          <w:color w:val="000000"/>
          <w:sz w:val="22"/>
          <w:szCs w:val="22"/>
          <w:lang w:eastAsia="en-US"/>
        </w:rPr>
        <w:t>Справедливости ради следует констатировать невостребова</w:t>
      </w:r>
      <w:r w:rsidRPr="00EC1A78">
        <w:rPr>
          <w:rFonts w:eastAsiaTheme="minorHAnsi"/>
          <w:color w:val="000000"/>
          <w:sz w:val="22"/>
          <w:szCs w:val="22"/>
          <w:lang w:eastAsia="en-US"/>
        </w:rPr>
        <w:t>н</w:t>
      </w:r>
      <w:r w:rsidRPr="00EC1A78">
        <w:rPr>
          <w:rFonts w:eastAsiaTheme="minorHAnsi"/>
          <w:color w:val="000000"/>
          <w:sz w:val="22"/>
          <w:szCs w:val="22"/>
          <w:lang w:eastAsia="en-US"/>
        </w:rPr>
        <w:t>ность референдума среди населения страны. Для изменения сл</w:t>
      </w:r>
      <w:r w:rsidRPr="00EC1A78">
        <w:rPr>
          <w:rFonts w:eastAsiaTheme="minorHAnsi"/>
          <w:color w:val="000000"/>
          <w:sz w:val="22"/>
          <w:szCs w:val="22"/>
          <w:lang w:eastAsia="en-US"/>
        </w:rPr>
        <w:t>о</w:t>
      </w:r>
      <w:r w:rsidRPr="00EC1A78">
        <w:rPr>
          <w:rFonts w:eastAsiaTheme="minorHAnsi"/>
          <w:color w:val="000000"/>
          <w:sz w:val="22"/>
          <w:szCs w:val="22"/>
          <w:lang w:eastAsia="en-US"/>
        </w:rPr>
        <w:t>жившейся ситуации необходимо не только изменение законод</w:t>
      </w:r>
      <w:r w:rsidRPr="00EC1A78">
        <w:rPr>
          <w:rFonts w:eastAsiaTheme="minorHAnsi"/>
          <w:color w:val="000000"/>
          <w:sz w:val="22"/>
          <w:szCs w:val="22"/>
          <w:lang w:eastAsia="en-US"/>
        </w:rPr>
        <w:t>а</w:t>
      </w:r>
      <w:r w:rsidRPr="00EC1A78">
        <w:rPr>
          <w:rFonts w:eastAsiaTheme="minorHAnsi"/>
          <w:color w:val="000000"/>
          <w:sz w:val="22"/>
          <w:szCs w:val="22"/>
          <w:lang w:eastAsia="en-US"/>
        </w:rPr>
        <w:t>тельства в данной сфере отношений, но и другие меры, такие, как, в частности правовое образование и информированность граждан.</w:t>
      </w:r>
      <w:r w:rsidRPr="00EC1A78">
        <w:rPr>
          <w:rFonts w:eastAsiaTheme="minorHAnsi"/>
          <w:bCs/>
          <w:sz w:val="22"/>
          <w:szCs w:val="22"/>
          <w:lang w:eastAsia="en-US"/>
        </w:rPr>
        <w:t xml:space="preserve"> На наш взгляд для усиления самоорганизации населения необходима также активизация деятельности органов местного самоуправления и их должностных лиц по решению вопросов местного значения, то есть вопросов обеспечения жизнедеятельности населения муниц</w:t>
      </w:r>
      <w:r w:rsidRPr="00EC1A78">
        <w:rPr>
          <w:rFonts w:eastAsiaTheme="minorHAnsi"/>
          <w:bCs/>
          <w:sz w:val="22"/>
          <w:szCs w:val="22"/>
          <w:lang w:eastAsia="en-US"/>
        </w:rPr>
        <w:t>и</w:t>
      </w:r>
      <w:r w:rsidRPr="00EC1A78">
        <w:rPr>
          <w:rFonts w:eastAsiaTheme="minorHAnsi"/>
          <w:bCs/>
          <w:sz w:val="22"/>
          <w:szCs w:val="22"/>
          <w:lang w:eastAsia="en-US"/>
        </w:rPr>
        <w:t xml:space="preserve">пального образования. </w:t>
      </w:r>
    </w:p>
    <w:p w:rsidR="00EC1A78" w:rsidRPr="00EC1A78" w:rsidRDefault="00EC1A78" w:rsidP="00EC1A78">
      <w:pPr>
        <w:jc w:val="both"/>
        <w:rPr>
          <w:rFonts w:eastAsiaTheme="minorHAnsi"/>
          <w:bCs/>
          <w:sz w:val="22"/>
          <w:szCs w:val="22"/>
          <w:lang w:eastAsia="en-US"/>
        </w:rPr>
      </w:pPr>
    </w:p>
    <w:p w:rsidR="00EC1A78" w:rsidRPr="00EC1A78" w:rsidRDefault="00EC1A78" w:rsidP="00EC1A78">
      <w:pPr>
        <w:jc w:val="center"/>
        <w:rPr>
          <w:rFonts w:eastAsiaTheme="minorHAnsi"/>
          <w:bCs/>
          <w:sz w:val="22"/>
          <w:szCs w:val="22"/>
          <w:lang w:eastAsia="en-US"/>
        </w:rPr>
      </w:pPr>
      <w:r w:rsidRPr="00EC1A78">
        <w:rPr>
          <w:rFonts w:eastAsiaTheme="minorHAnsi"/>
          <w:bCs/>
          <w:sz w:val="22"/>
          <w:szCs w:val="22"/>
          <w:lang w:eastAsia="en-US"/>
        </w:rPr>
        <w:t>Список литературы</w:t>
      </w:r>
    </w:p>
    <w:p w:rsidR="00EC1A78" w:rsidRPr="00EC1A78" w:rsidRDefault="00EC1A78" w:rsidP="00EC1A78">
      <w:pPr>
        <w:ind w:firstLine="426"/>
        <w:jc w:val="both"/>
        <w:rPr>
          <w:rFonts w:eastAsiaTheme="minorHAnsi"/>
          <w:bCs/>
          <w:sz w:val="22"/>
          <w:szCs w:val="22"/>
          <w:lang w:eastAsia="en-US"/>
        </w:rPr>
      </w:pPr>
      <w:r w:rsidRPr="00EC1A78">
        <w:rPr>
          <w:rFonts w:eastAsiaTheme="minorHAnsi"/>
          <w:sz w:val="22"/>
          <w:szCs w:val="22"/>
          <w:lang w:eastAsia="en-US"/>
        </w:rPr>
        <w:t xml:space="preserve">1. Баглай </w:t>
      </w:r>
      <w:r w:rsidRPr="00EC1A78">
        <w:rPr>
          <w:rFonts w:eastAsiaTheme="minorHAnsi"/>
          <w:bCs/>
          <w:sz w:val="22"/>
          <w:szCs w:val="22"/>
          <w:lang w:eastAsia="en-US"/>
        </w:rPr>
        <w:t>М.В. Конституционное право России. - М.: Норма. - 2007. – С. 418.</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2. Толстик В.А. Трусов Н.А. Референдум в России: основы, опыт, критика // Вестник Нижегородской академии МВД. - 2013. - номер 24. - С. 9.</w:t>
      </w:r>
    </w:p>
    <w:p w:rsidR="00C42DAC" w:rsidRPr="00AB6A0E" w:rsidRDefault="00EC1A78" w:rsidP="00AB6A0E">
      <w:pPr>
        <w:ind w:firstLine="426"/>
        <w:jc w:val="both"/>
        <w:rPr>
          <w:rFonts w:eastAsiaTheme="minorHAnsi"/>
          <w:bCs/>
          <w:sz w:val="22"/>
          <w:szCs w:val="22"/>
          <w:lang w:eastAsia="en-US"/>
        </w:rPr>
      </w:pPr>
      <w:r w:rsidRPr="00EC1A78">
        <w:rPr>
          <w:rFonts w:eastAsiaTheme="minorHAnsi"/>
          <w:bCs/>
          <w:sz w:val="22"/>
          <w:szCs w:val="22"/>
          <w:lang w:eastAsia="en-US"/>
        </w:rPr>
        <w:t>3. Шайхуллин М.С. К вопросу о необходимости усиления  г</w:t>
      </w:r>
      <w:r w:rsidRPr="00EC1A78">
        <w:rPr>
          <w:rFonts w:eastAsiaTheme="minorHAnsi"/>
          <w:bCs/>
          <w:sz w:val="22"/>
          <w:szCs w:val="22"/>
          <w:lang w:eastAsia="en-US"/>
        </w:rPr>
        <w:t>а</w:t>
      </w:r>
      <w:r w:rsidRPr="00EC1A78">
        <w:rPr>
          <w:rFonts w:eastAsiaTheme="minorHAnsi"/>
          <w:bCs/>
          <w:sz w:val="22"/>
          <w:szCs w:val="22"/>
          <w:lang w:eastAsia="en-US"/>
        </w:rPr>
        <w:t>рантий  непосредственного  осуществления населением местного самоуправления</w:t>
      </w:r>
      <w:r w:rsidRPr="00EC1A78">
        <w:rPr>
          <w:rFonts w:eastAsiaTheme="minorHAnsi"/>
          <w:sz w:val="22"/>
          <w:szCs w:val="22"/>
          <w:lang w:eastAsia="en-US"/>
        </w:rPr>
        <w:t xml:space="preserve"> </w:t>
      </w:r>
      <w:r w:rsidRPr="00EC1A78">
        <w:rPr>
          <w:rFonts w:eastAsiaTheme="minorHAnsi"/>
          <w:bCs/>
          <w:sz w:val="22"/>
          <w:szCs w:val="22"/>
          <w:lang w:eastAsia="en-US"/>
        </w:rPr>
        <w:t>// Государственная власть и местное самоуправл</w:t>
      </w:r>
      <w:r w:rsidRPr="00EC1A78">
        <w:rPr>
          <w:rFonts w:eastAsiaTheme="minorHAnsi"/>
          <w:bCs/>
          <w:sz w:val="22"/>
          <w:szCs w:val="22"/>
          <w:lang w:eastAsia="en-US"/>
        </w:rPr>
        <w:t>е</w:t>
      </w:r>
      <w:r w:rsidRPr="00EC1A78">
        <w:rPr>
          <w:rFonts w:eastAsiaTheme="minorHAnsi"/>
          <w:bCs/>
          <w:sz w:val="22"/>
          <w:szCs w:val="22"/>
          <w:lang w:eastAsia="en-US"/>
        </w:rPr>
        <w:t>ние.</w:t>
      </w:r>
      <w:r w:rsidRPr="00EC1A78">
        <w:rPr>
          <w:rFonts w:eastAsiaTheme="minorHAnsi"/>
          <w:sz w:val="22"/>
          <w:szCs w:val="22"/>
          <w:lang w:eastAsia="en-US"/>
        </w:rPr>
        <w:t xml:space="preserve"> </w:t>
      </w:r>
      <w:r w:rsidRPr="00EC1A78">
        <w:rPr>
          <w:rFonts w:eastAsiaTheme="minorHAnsi"/>
          <w:bCs/>
          <w:sz w:val="22"/>
          <w:szCs w:val="22"/>
          <w:lang w:eastAsia="en-US"/>
        </w:rPr>
        <w:t>– 2016. – № 10. – С. 27.</w:t>
      </w: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lastRenderedPageBreak/>
        <w:t>УДК 343.974</w:t>
      </w:r>
    </w:p>
    <w:p w:rsidR="00EC1A78" w:rsidRPr="00EC1A78" w:rsidRDefault="00EC1A78" w:rsidP="00EC1A78">
      <w:pPr>
        <w:jc w:val="center"/>
        <w:rPr>
          <w:rFonts w:eastAsiaTheme="minorHAnsi"/>
          <w:b/>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Подростковая преступность на примере молодежной </w:t>
      </w:r>
      <w:r w:rsidR="00C56F2E">
        <w:rPr>
          <w:rFonts w:eastAsiaTheme="minorHAnsi"/>
          <w:b/>
          <w:sz w:val="24"/>
          <w:szCs w:val="24"/>
          <w:lang w:eastAsia="en-US"/>
        </w:rPr>
        <w:br/>
      </w:r>
      <w:r w:rsidRPr="00EC1A78">
        <w:rPr>
          <w:rFonts w:eastAsiaTheme="minorHAnsi"/>
          <w:b/>
          <w:sz w:val="24"/>
          <w:szCs w:val="24"/>
          <w:lang w:eastAsia="en-US"/>
        </w:rPr>
        <w:t>субкультуры «АУЕ»: пути искоренения</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Juvenile delinquency for example youth subculture «AUE»: ways to eradicate it</w:t>
      </w:r>
    </w:p>
    <w:p w:rsidR="00EC1A78" w:rsidRPr="00EC1A78" w:rsidRDefault="00EC1A78" w:rsidP="00EC1A78">
      <w:pPr>
        <w:ind w:firstLine="425"/>
        <w:jc w:val="right"/>
        <w:rPr>
          <w:rFonts w:eastAsiaTheme="minorHAnsi"/>
          <w:sz w:val="24"/>
          <w:szCs w:val="24"/>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Блок Ю.</w:t>
      </w:r>
      <w:r w:rsidR="00C56F2E">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 2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Картавченко В.</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C56F2E"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C56F2E">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АННОТАЦИЯ: Рассмотрены некоторые аспекты молодежной преступности на примере молодежной субкультуры АУЕ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ANNOTATION: Some aspects of youth crime are examined using the example of the youth subculture of the AUE</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КЛЮЧЕВЫЕ СЛОВА: молодежная субкультура, подростковая преступность, правоохранительные органы.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 WORDS: youth subculture, teenage crime, law enforcement authorities.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Несколько лет назад в СМИ появилась информация о сущ</w:t>
      </w:r>
      <w:r w:rsidRPr="00EC1A78">
        <w:rPr>
          <w:rFonts w:eastAsiaTheme="minorHAnsi"/>
          <w:sz w:val="22"/>
          <w:szCs w:val="22"/>
          <w:lang w:eastAsia="en-US"/>
        </w:rPr>
        <w:t>е</w:t>
      </w:r>
      <w:r w:rsidRPr="00EC1A78">
        <w:rPr>
          <w:rFonts w:eastAsiaTheme="minorHAnsi"/>
          <w:sz w:val="22"/>
          <w:szCs w:val="22"/>
          <w:lang w:eastAsia="en-US"/>
        </w:rPr>
        <w:t xml:space="preserve">ствовании на территории Дальнего Востока и Сибири преступной молодежной субкультуры под названием «АУЕ».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АУЕ расшифровывается, как Арестантский уклад един или Арестантское уркаганское единство – это неформальное объедин</w:t>
      </w:r>
      <w:r w:rsidRPr="00EC1A78">
        <w:rPr>
          <w:rFonts w:eastAsiaTheme="minorHAnsi"/>
          <w:sz w:val="22"/>
          <w:szCs w:val="22"/>
          <w:lang w:eastAsia="en-US"/>
        </w:rPr>
        <w:t>е</w:t>
      </w:r>
      <w:r w:rsidRPr="00EC1A78">
        <w:rPr>
          <w:rFonts w:eastAsiaTheme="minorHAnsi"/>
          <w:sz w:val="22"/>
          <w:szCs w:val="22"/>
          <w:lang w:eastAsia="en-US"/>
        </w:rPr>
        <w:t>ние банд, состоящих в основном из несовершеннолетних подрос</w:t>
      </w:r>
      <w:r w:rsidRPr="00EC1A78">
        <w:rPr>
          <w:rFonts w:eastAsiaTheme="minorHAnsi"/>
          <w:sz w:val="22"/>
          <w:szCs w:val="22"/>
          <w:lang w:eastAsia="en-US"/>
        </w:rPr>
        <w:t>т</w:t>
      </w:r>
      <w:r w:rsidRPr="00EC1A78">
        <w:rPr>
          <w:rFonts w:eastAsiaTheme="minorHAnsi"/>
          <w:sz w:val="22"/>
          <w:szCs w:val="22"/>
          <w:lang w:eastAsia="en-US"/>
        </w:rPr>
        <w:t>ков. Большое количество участников этой субкультуры из неблаг</w:t>
      </w:r>
      <w:r w:rsidRPr="00EC1A78">
        <w:rPr>
          <w:rFonts w:eastAsiaTheme="minorHAnsi"/>
          <w:sz w:val="22"/>
          <w:szCs w:val="22"/>
          <w:lang w:eastAsia="en-US"/>
        </w:rPr>
        <w:t>о</w:t>
      </w:r>
      <w:r w:rsidRPr="00EC1A78">
        <w:rPr>
          <w:rFonts w:eastAsiaTheme="minorHAnsi"/>
          <w:sz w:val="22"/>
          <w:szCs w:val="22"/>
          <w:lang w:eastAsia="en-US"/>
        </w:rPr>
        <w:t>получных семей, из интернатов и спецшкол. Они совершают кражи, грабежи и занимаются вымогательством, при этом держа в страхе жителей сел, деревень и небольших городов. Были зафиксированы случаи разбоя и нападения на местные отделы полиции, соверша</w:t>
      </w:r>
      <w:r w:rsidRPr="00EC1A78">
        <w:rPr>
          <w:rFonts w:eastAsiaTheme="minorHAnsi"/>
          <w:sz w:val="22"/>
          <w:szCs w:val="22"/>
          <w:lang w:eastAsia="en-US"/>
        </w:rPr>
        <w:t>е</w:t>
      </w:r>
      <w:r w:rsidRPr="00EC1A78">
        <w:rPr>
          <w:rFonts w:eastAsiaTheme="minorHAnsi"/>
          <w:sz w:val="22"/>
          <w:szCs w:val="22"/>
          <w:lang w:eastAsia="en-US"/>
        </w:rPr>
        <w:t>мые группой лиц[1].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Зародилось данное движение в Забайкальском крае. Деятел</w:t>
      </w:r>
      <w:r w:rsidRPr="00EC1A78">
        <w:rPr>
          <w:rFonts w:eastAsiaTheme="minorHAnsi"/>
          <w:sz w:val="22"/>
          <w:szCs w:val="22"/>
          <w:lang w:eastAsia="en-US"/>
        </w:rPr>
        <w:t>ь</w:t>
      </w:r>
      <w:r w:rsidRPr="00EC1A78">
        <w:rPr>
          <w:rFonts w:eastAsiaTheme="minorHAnsi"/>
          <w:sz w:val="22"/>
          <w:szCs w:val="22"/>
          <w:lang w:eastAsia="en-US"/>
        </w:rPr>
        <w:t xml:space="preserve">ность их прослеживается с 2011 года. На федеральном уровне об </w:t>
      </w:r>
      <w:r w:rsidRPr="00EC1A78">
        <w:rPr>
          <w:rFonts w:eastAsiaTheme="minorHAnsi"/>
          <w:sz w:val="22"/>
          <w:szCs w:val="22"/>
          <w:lang w:eastAsia="en-US"/>
        </w:rPr>
        <w:lastRenderedPageBreak/>
        <w:t>этом заговорила Яна Лантратова – член Совета при Президенте РФ по развитию гражданского общества и правам человека в своем д</w:t>
      </w:r>
      <w:r w:rsidRPr="00EC1A78">
        <w:rPr>
          <w:rFonts w:eastAsiaTheme="minorHAnsi"/>
          <w:sz w:val="22"/>
          <w:szCs w:val="22"/>
          <w:lang w:eastAsia="en-US"/>
        </w:rPr>
        <w:t>о</w:t>
      </w:r>
      <w:r w:rsidRPr="00EC1A78">
        <w:rPr>
          <w:rFonts w:eastAsiaTheme="minorHAnsi"/>
          <w:sz w:val="22"/>
          <w:szCs w:val="22"/>
          <w:lang w:eastAsia="en-US"/>
        </w:rPr>
        <w:t>кладе президенту. Она сказала, что общественники в ходе поездки в Забайкалье, узнали о молодежной преступной субкультуре. Упра</w:t>
      </w:r>
      <w:r w:rsidRPr="00EC1A78">
        <w:rPr>
          <w:rFonts w:eastAsiaTheme="minorHAnsi"/>
          <w:sz w:val="22"/>
          <w:szCs w:val="22"/>
          <w:lang w:eastAsia="en-US"/>
        </w:rPr>
        <w:t>в</w:t>
      </w:r>
      <w:r w:rsidRPr="00EC1A78">
        <w:rPr>
          <w:rFonts w:eastAsiaTheme="minorHAnsi"/>
          <w:sz w:val="22"/>
          <w:szCs w:val="22"/>
          <w:lang w:eastAsia="en-US"/>
        </w:rPr>
        <w:t>ление подростками и вербовку осуществляют криминальные эл</w:t>
      </w:r>
      <w:r w:rsidRPr="00EC1A78">
        <w:rPr>
          <w:rFonts w:eastAsiaTheme="minorHAnsi"/>
          <w:sz w:val="22"/>
          <w:szCs w:val="22"/>
          <w:lang w:eastAsia="en-US"/>
        </w:rPr>
        <w:t>е</w:t>
      </w:r>
      <w:r w:rsidRPr="00EC1A78">
        <w:rPr>
          <w:rFonts w:eastAsiaTheme="minorHAnsi"/>
          <w:sz w:val="22"/>
          <w:szCs w:val="22"/>
          <w:lang w:eastAsia="en-US"/>
        </w:rPr>
        <w:t>менты, которые находятся не только «на воле», но и в местах лиш</w:t>
      </w:r>
      <w:r w:rsidRPr="00EC1A78">
        <w:rPr>
          <w:rFonts w:eastAsiaTheme="minorHAnsi"/>
          <w:sz w:val="22"/>
          <w:szCs w:val="22"/>
          <w:lang w:eastAsia="en-US"/>
        </w:rPr>
        <w:t>е</w:t>
      </w:r>
      <w:r w:rsidRPr="00EC1A78">
        <w:rPr>
          <w:rFonts w:eastAsiaTheme="minorHAnsi"/>
          <w:sz w:val="22"/>
          <w:szCs w:val="22"/>
          <w:lang w:eastAsia="en-US"/>
        </w:rPr>
        <w:t>ния свободы. Также активно используются соцсети для популяр</w:t>
      </w:r>
      <w:r w:rsidRPr="00EC1A78">
        <w:rPr>
          <w:rFonts w:eastAsiaTheme="minorHAnsi"/>
          <w:sz w:val="22"/>
          <w:szCs w:val="22"/>
          <w:lang w:eastAsia="en-US"/>
        </w:rPr>
        <w:t>и</w:t>
      </w:r>
      <w:r w:rsidRPr="00EC1A78">
        <w:rPr>
          <w:rFonts w:eastAsiaTheme="minorHAnsi"/>
          <w:sz w:val="22"/>
          <w:szCs w:val="22"/>
          <w:lang w:eastAsia="en-US"/>
        </w:rPr>
        <w:t>зации воровских понятий. Количество подписчиков в группах «АУЕшников» достигает сотен тысяч человек. Как заметила  Я. Лантратова – это может стать национальной угрозой России не только в будущем, но и в настоящем[2].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заседании в ГД РФ представитель МВД отрицал существ</w:t>
      </w:r>
      <w:r w:rsidRPr="00EC1A78">
        <w:rPr>
          <w:rFonts w:eastAsiaTheme="minorHAnsi"/>
          <w:sz w:val="22"/>
          <w:szCs w:val="22"/>
          <w:lang w:eastAsia="en-US"/>
        </w:rPr>
        <w:t>о</w:t>
      </w:r>
      <w:r w:rsidRPr="00EC1A78">
        <w:rPr>
          <w:rFonts w:eastAsiaTheme="minorHAnsi"/>
          <w:sz w:val="22"/>
          <w:szCs w:val="22"/>
          <w:lang w:eastAsia="en-US"/>
        </w:rPr>
        <w:t>вание этой банды, на что старший помощник председателя СК РФ рассказал о том, что, например, в Забайкальском крае в каждой школе есть столы для опущенных, собирают средства на «общак», почему у вас об этом не знают? [3].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Напрашивается вопрос, как лица, отбывающие наказание в</w:t>
      </w:r>
      <w:r w:rsidRPr="00EC1A78">
        <w:rPr>
          <w:rFonts w:eastAsiaTheme="minorHAnsi"/>
          <w:sz w:val="22"/>
          <w:szCs w:val="22"/>
          <w:lang w:eastAsia="en-US"/>
        </w:rPr>
        <w:t>ы</w:t>
      </w:r>
      <w:r w:rsidRPr="00EC1A78">
        <w:rPr>
          <w:rFonts w:eastAsiaTheme="minorHAnsi"/>
          <w:sz w:val="22"/>
          <w:szCs w:val="22"/>
          <w:lang w:eastAsia="en-US"/>
        </w:rPr>
        <w:t>ходят на связь с подростками и вовлекают их в преступную су</w:t>
      </w:r>
      <w:r w:rsidRPr="00EC1A78">
        <w:rPr>
          <w:rFonts w:eastAsiaTheme="minorHAnsi"/>
          <w:sz w:val="22"/>
          <w:szCs w:val="22"/>
          <w:lang w:eastAsia="en-US"/>
        </w:rPr>
        <w:t>б</w:t>
      </w:r>
      <w:r w:rsidRPr="00EC1A78">
        <w:rPr>
          <w:rFonts w:eastAsiaTheme="minorHAnsi"/>
          <w:sz w:val="22"/>
          <w:szCs w:val="22"/>
          <w:lang w:eastAsia="en-US"/>
        </w:rPr>
        <w:t>культуру? Как может происходить такое большое количество пр</w:t>
      </w:r>
      <w:r w:rsidRPr="00EC1A78">
        <w:rPr>
          <w:rFonts w:eastAsiaTheme="minorHAnsi"/>
          <w:sz w:val="22"/>
          <w:szCs w:val="22"/>
          <w:lang w:eastAsia="en-US"/>
        </w:rPr>
        <w:t>е</w:t>
      </w:r>
      <w:r w:rsidRPr="00EC1A78">
        <w:rPr>
          <w:rFonts w:eastAsiaTheme="minorHAnsi"/>
          <w:sz w:val="22"/>
          <w:szCs w:val="22"/>
          <w:lang w:eastAsia="en-US"/>
        </w:rPr>
        <w:t>ступлений, совершаемых несовершеннолетними? Где должная р</w:t>
      </w:r>
      <w:r w:rsidRPr="00EC1A78">
        <w:rPr>
          <w:rFonts w:eastAsiaTheme="minorHAnsi"/>
          <w:sz w:val="22"/>
          <w:szCs w:val="22"/>
          <w:lang w:eastAsia="en-US"/>
        </w:rPr>
        <w:t>е</w:t>
      </w:r>
      <w:r w:rsidRPr="00EC1A78">
        <w:rPr>
          <w:rFonts w:eastAsiaTheme="minorHAnsi"/>
          <w:sz w:val="22"/>
          <w:szCs w:val="22"/>
          <w:lang w:eastAsia="en-US"/>
        </w:rPr>
        <w:t>акция правоохранительных органов? Налицо недоработка ФСИН и всех силовиков. Возможно, здесь имеется коррупционная соста</w:t>
      </w:r>
      <w:r w:rsidRPr="00EC1A78">
        <w:rPr>
          <w:rFonts w:eastAsiaTheme="minorHAnsi"/>
          <w:sz w:val="22"/>
          <w:szCs w:val="22"/>
          <w:lang w:eastAsia="en-US"/>
        </w:rPr>
        <w:t>в</w:t>
      </w:r>
      <w:r w:rsidRPr="00EC1A78">
        <w:rPr>
          <w:rFonts w:eastAsiaTheme="minorHAnsi"/>
          <w:sz w:val="22"/>
          <w:szCs w:val="22"/>
          <w:lang w:eastAsia="en-US"/>
        </w:rPr>
        <w:t xml:space="preserve">ляющая.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Механизмы борьбы с данным движением и подростковой пр</w:t>
      </w:r>
      <w:r w:rsidRPr="00EC1A78">
        <w:rPr>
          <w:rFonts w:eastAsiaTheme="minorHAnsi"/>
          <w:sz w:val="22"/>
          <w:szCs w:val="22"/>
          <w:lang w:eastAsia="en-US"/>
        </w:rPr>
        <w:t>е</w:t>
      </w:r>
      <w:r w:rsidRPr="00EC1A78">
        <w:rPr>
          <w:rFonts w:eastAsiaTheme="minorHAnsi"/>
          <w:sz w:val="22"/>
          <w:szCs w:val="22"/>
          <w:lang w:eastAsia="en-US"/>
        </w:rPr>
        <w:t>ступностью в целом видим в следующем:</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Необходимо:</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вести работу с трудными подростками родителям, учителям и сотрудникам полиции;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ввести в образовательных учреждениях дисциплину «Основы права» для того, чтобы сформировать правосознание с малых лет;</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консолидироваться всем правоохранительным органам для борьбы с данной субкультурой: задержать всех идейных вдохнов</w:t>
      </w:r>
      <w:r w:rsidRPr="00EC1A78">
        <w:rPr>
          <w:rFonts w:eastAsiaTheme="minorHAnsi"/>
          <w:sz w:val="22"/>
          <w:szCs w:val="22"/>
          <w:lang w:eastAsia="en-US"/>
        </w:rPr>
        <w:t>и</w:t>
      </w:r>
      <w:r w:rsidRPr="00EC1A78">
        <w:rPr>
          <w:rFonts w:eastAsiaTheme="minorHAnsi"/>
          <w:sz w:val="22"/>
          <w:szCs w:val="22"/>
          <w:lang w:eastAsia="en-US"/>
        </w:rPr>
        <w:t>телей и заблокировать их группы в соцсетях;</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усилить прокурорский надзор за ФСИН, т.к. их работа выз</w:t>
      </w:r>
      <w:r w:rsidRPr="00EC1A78">
        <w:rPr>
          <w:rFonts w:eastAsiaTheme="minorHAnsi"/>
          <w:sz w:val="22"/>
          <w:szCs w:val="22"/>
          <w:lang w:eastAsia="en-US"/>
        </w:rPr>
        <w:t>ы</w:t>
      </w:r>
      <w:r w:rsidRPr="00EC1A78">
        <w:rPr>
          <w:rFonts w:eastAsiaTheme="minorHAnsi"/>
          <w:sz w:val="22"/>
          <w:szCs w:val="22"/>
          <w:lang w:eastAsia="en-US"/>
        </w:rPr>
        <w:t>вает множество вопросов;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развивать досуг подростков, создавать спортивные секции и кружки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создавать новые рабочие места в малых населенных пунктах.</w:t>
      </w:r>
    </w:p>
    <w:p w:rsidR="00EC1A78" w:rsidRPr="00EC1A78" w:rsidRDefault="00EC1A78" w:rsidP="00C42DAC">
      <w:pPr>
        <w:ind w:firstLine="425"/>
        <w:jc w:val="both"/>
        <w:rPr>
          <w:rFonts w:eastAsiaTheme="minorHAnsi"/>
          <w:sz w:val="22"/>
          <w:szCs w:val="22"/>
          <w:lang w:eastAsia="en-US"/>
        </w:rPr>
      </w:pPr>
      <w:r w:rsidRPr="00EC1A78">
        <w:rPr>
          <w:rFonts w:eastAsiaTheme="minorHAnsi"/>
          <w:sz w:val="22"/>
          <w:szCs w:val="22"/>
          <w:lang w:eastAsia="en-US"/>
        </w:rPr>
        <w:lastRenderedPageBreak/>
        <w:t>Таким образом, государство должно выработать политику, бл</w:t>
      </w:r>
      <w:r w:rsidRPr="00EC1A78">
        <w:rPr>
          <w:rFonts w:eastAsiaTheme="minorHAnsi"/>
          <w:sz w:val="22"/>
          <w:szCs w:val="22"/>
          <w:lang w:eastAsia="en-US"/>
        </w:rPr>
        <w:t>а</w:t>
      </w:r>
      <w:r w:rsidRPr="00EC1A78">
        <w:rPr>
          <w:rFonts w:eastAsiaTheme="minorHAnsi"/>
          <w:sz w:val="22"/>
          <w:szCs w:val="22"/>
          <w:lang w:eastAsia="en-US"/>
        </w:rPr>
        <w:t>годаря которой данные движения исчезнут раз и навсегда.</w:t>
      </w:r>
    </w:p>
    <w:p w:rsidR="00AB6A0E" w:rsidRDefault="00AB6A0E" w:rsidP="00EC1A78">
      <w:pPr>
        <w:jc w:val="cente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1. Специальный репортаж Алексея Самохина «Забайкальская каморра» // (ТК «Россия 24)  </w:t>
      </w:r>
      <w:hyperlink r:id="rId363" w:history="1">
        <w:r w:rsidRPr="00EC1A78">
          <w:rPr>
            <w:rFonts w:eastAsiaTheme="minorHAnsi"/>
            <w:sz w:val="22"/>
            <w:szCs w:val="22"/>
            <w:lang w:eastAsia="en-US"/>
          </w:rPr>
          <w:t>https://www.youtube.com/watch?v=D zV8JAhb1yc</w:t>
        </w:r>
      </w:hyperlink>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2. </w:t>
      </w:r>
      <w:hyperlink r:id="rId364" w:history="1">
        <w:r w:rsidRPr="00EC1A78">
          <w:rPr>
            <w:rFonts w:eastAsiaTheme="minorHAnsi"/>
            <w:sz w:val="22"/>
            <w:szCs w:val="22"/>
            <w:lang w:eastAsia="en-US"/>
          </w:rPr>
          <w:t>http://president–sovet.ru/presscenter/news/read/2986/</w:t>
        </w:r>
      </w:hyperlink>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3. </w:t>
      </w:r>
      <w:hyperlink r:id="rId365" w:history="1">
        <w:r w:rsidRPr="00EC1A78">
          <w:rPr>
            <w:rFonts w:eastAsiaTheme="minorHAnsi"/>
            <w:sz w:val="22"/>
            <w:szCs w:val="22"/>
            <w:lang w:eastAsia="en-US"/>
          </w:rPr>
          <w:t>http://www.mk.ru/social/2017/06/22/pomoshhnik–bastrykina–rasskazal–o–stolakh–dlya–opushhennykh–shkolnikov.html</w:t>
        </w:r>
      </w:hyperlink>
    </w:p>
    <w:p w:rsidR="00EC1A78" w:rsidRDefault="00EC1A78" w:rsidP="00EC1A78">
      <w:pPr>
        <w:jc w:val="both"/>
        <w:rPr>
          <w:rFonts w:eastAsiaTheme="minorHAnsi"/>
          <w:sz w:val="22"/>
          <w:szCs w:val="22"/>
          <w:lang w:eastAsia="en-US"/>
        </w:rPr>
      </w:pPr>
    </w:p>
    <w:p w:rsidR="00C56F2E" w:rsidRDefault="00C56F2E" w:rsidP="00EC1A78">
      <w:pPr>
        <w:jc w:val="both"/>
        <w:rPr>
          <w:rFonts w:eastAsiaTheme="minorHAnsi"/>
          <w:sz w:val="22"/>
          <w:szCs w:val="22"/>
          <w:lang w:eastAsia="en-US"/>
        </w:rPr>
      </w:pPr>
    </w:p>
    <w:p w:rsidR="00C56F2E" w:rsidRPr="00EC1A78" w:rsidRDefault="00C56F2E"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 xml:space="preserve">УДК </w:t>
      </w:r>
      <w:r w:rsidRPr="00EC1A78">
        <w:rPr>
          <w:rFonts w:eastAsiaTheme="minorHAnsi"/>
          <w:color w:val="000000"/>
          <w:sz w:val="22"/>
          <w:szCs w:val="22"/>
          <w:lang w:eastAsia="en-US"/>
        </w:rPr>
        <w:t>343.28/.29</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Освобождение от уголовной ответственности</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Exemption from criminal responsibility</w:t>
      </w:r>
    </w:p>
    <w:p w:rsidR="00EC1A78" w:rsidRPr="00EC1A78" w:rsidRDefault="00EC1A78" w:rsidP="00EC1A78">
      <w:pPr>
        <w:jc w:val="right"/>
        <w:rPr>
          <w:rFonts w:eastAsiaTheme="minorHAnsi"/>
          <w:sz w:val="24"/>
          <w:szCs w:val="24"/>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Богомолов П.</w:t>
      </w:r>
      <w:r w:rsidR="00C56F2E">
        <w:rPr>
          <w:rFonts w:eastAsiaTheme="minorHAnsi"/>
          <w:sz w:val="22"/>
          <w:szCs w:val="22"/>
          <w:lang w:eastAsia="en-US"/>
        </w:rPr>
        <w:t xml:space="preserve"> </w:t>
      </w:r>
      <w:r w:rsidRPr="00EC1A78">
        <w:rPr>
          <w:rFonts w:eastAsiaTheme="minorHAnsi"/>
          <w:sz w:val="22"/>
          <w:szCs w:val="22"/>
          <w:lang w:eastAsia="en-US"/>
        </w:rPr>
        <w:t>Д.,</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2 курса магистратуры КубГАУ</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Зеленский А.</w:t>
      </w:r>
      <w:r w:rsidR="00C56F2E">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д</w:t>
      </w:r>
      <w:r w:rsidR="00C56F2E">
        <w:rPr>
          <w:rFonts w:eastAsiaTheme="minorHAnsi"/>
          <w:sz w:val="22"/>
          <w:szCs w:val="22"/>
          <w:lang w:eastAsia="en-US"/>
        </w:rPr>
        <w:t>оцент кафедры уголовного права</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567"/>
        <w:jc w:val="right"/>
        <w:rPr>
          <w:sz w:val="22"/>
          <w:szCs w:val="22"/>
          <w:lang w:eastAsia="en-US"/>
        </w:rPr>
      </w:pPr>
      <w:r w:rsidRPr="00EC1A78">
        <w:rPr>
          <w:rFonts w:eastAsiaTheme="minorHAnsi"/>
          <w:sz w:val="22"/>
          <w:szCs w:val="22"/>
          <w:lang w:eastAsia="en-US"/>
        </w:rPr>
        <w:t>университет имени И.</w:t>
      </w:r>
      <w:r w:rsidR="00C56F2E">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right"/>
        <w:rPr>
          <w:rFonts w:eastAsiaTheme="minorHAnsi"/>
          <w:b/>
          <w:sz w:val="24"/>
          <w:szCs w:val="24"/>
          <w:lang w:eastAsia="en-US"/>
        </w:rPr>
      </w:pPr>
      <w:r w:rsidRPr="00EC1A78">
        <w:rPr>
          <w:rFonts w:eastAsiaTheme="minorHAnsi"/>
          <w:b/>
          <w:sz w:val="24"/>
          <w:szCs w:val="24"/>
          <w:lang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данная статья посвящена оценке института освобождения от уголовной ответственности, его соответствию принципам уголовного права, а также необходимости данного и</w:t>
      </w:r>
      <w:r w:rsidRPr="00EC1A78">
        <w:rPr>
          <w:rFonts w:eastAsiaTheme="minorHAnsi"/>
          <w:sz w:val="22"/>
          <w:szCs w:val="22"/>
          <w:lang w:eastAsia="en-US"/>
        </w:rPr>
        <w:t>н</w:t>
      </w:r>
      <w:r w:rsidRPr="00EC1A78">
        <w:rPr>
          <w:rFonts w:eastAsiaTheme="minorHAnsi"/>
          <w:sz w:val="22"/>
          <w:szCs w:val="22"/>
          <w:lang w:eastAsia="en-US"/>
        </w:rPr>
        <w:t>ститута для российского уголовного права.</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This article is devoted to the assessment of the Inst</w:t>
      </w:r>
      <w:r w:rsidRPr="00EC1A78">
        <w:rPr>
          <w:rFonts w:eastAsiaTheme="minorHAnsi"/>
          <w:sz w:val="22"/>
          <w:szCs w:val="22"/>
          <w:lang w:val="en-US" w:eastAsia="en-US"/>
        </w:rPr>
        <w:t>i</w:t>
      </w:r>
      <w:r w:rsidRPr="00EC1A78">
        <w:rPr>
          <w:rFonts w:eastAsiaTheme="minorHAnsi"/>
          <w:sz w:val="22"/>
          <w:szCs w:val="22"/>
          <w:lang w:val="en-US" w:eastAsia="en-US"/>
        </w:rPr>
        <w:t>tute of exemption from criminal liability, its compliance with the princ</w:t>
      </w:r>
      <w:r w:rsidRPr="00EC1A78">
        <w:rPr>
          <w:rFonts w:eastAsiaTheme="minorHAnsi"/>
          <w:sz w:val="22"/>
          <w:szCs w:val="22"/>
          <w:lang w:val="en-US" w:eastAsia="en-US"/>
        </w:rPr>
        <w:t>i</w:t>
      </w:r>
      <w:r w:rsidRPr="00EC1A78">
        <w:rPr>
          <w:rFonts w:eastAsiaTheme="minorHAnsi"/>
          <w:sz w:val="22"/>
          <w:szCs w:val="22"/>
          <w:lang w:val="en-US" w:eastAsia="en-US"/>
        </w:rPr>
        <w:t>ples of criminal law, as well as the need for this Institute for Russian criminal law.</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освобождение, уголовная ответстве</w:t>
      </w:r>
      <w:r w:rsidRPr="00EC1A78">
        <w:rPr>
          <w:rFonts w:eastAsiaTheme="minorHAnsi"/>
          <w:sz w:val="22"/>
          <w:szCs w:val="22"/>
          <w:lang w:eastAsia="en-US"/>
        </w:rPr>
        <w:t>н</w:t>
      </w:r>
      <w:r w:rsidRPr="00EC1A78">
        <w:rPr>
          <w:rFonts w:eastAsiaTheme="minorHAnsi"/>
          <w:sz w:val="22"/>
          <w:szCs w:val="22"/>
          <w:lang w:eastAsia="en-US"/>
        </w:rPr>
        <w:t>ность, уголовное право, общественная опасность, производство по уголовному делу, уголовное наказание, принципы уголовного пр</w:t>
      </w:r>
      <w:r w:rsidRPr="00EC1A78">
        <w:rPr>
          <w:rFonts w:eastAsiaTheme="minorHAnsi"/>
          <w:sz w:val="22"/>
          <w:szCs w:val="22"/>
          <w:lang w:eastAsia="en-US"/>
        </w:rPr>
        <w:t>а</w:t>
      </w:r>
      <w:r w:rsidRPr="00EC1A78">
        <w:rPr>
          <w:rFonts w:eastAsiaTheme="minorHAnsi"/>
          <w:sz w:val="22"/>
          <w:szCs w:val="22"/>
          <w:lang w:eastAsia="en-US"/>
        </w:rPr>
        <w:t>ва.</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lastRenderedPageBreak/>
        <w:t>KEYWORDS: release, criminal liability, criminal law, public da</w:t>
      </w:r>
      <w:r w:rsidRPr="00EC1A78">
        <w:rPr>
          <w:rFonts w:eastAsiaTheme="minorHAnsi"/>
          <w:sz w:val="22"/>
          <w:szCs w:val="22"/>
          <w:lang w:val="en-US" w:eastAsia="en-US"/>
        </w:rPr>
        <w:t>n</w:t>
      </w:r>
      <w:r w:rsidRPr="00EC1A78">
        <w:rPr>
          <w:rFonts w:eastAsiaTheme="minorHAnsi"/>
          <w:sz w:val="22"/>
          <w:szCs w:val="22"/>
          <w:lang w:val="en-US" w:eastAsia="en-US"/>
        </w:rPr>
        <w:t>ger, criminal proceedings, criminal punishment, principles of criminal law.</w:t>
      </w:r>
    </w:p>
    <w:p w:rsidR="00EC1A78" w:rsidRPr="00EC1A78" w:rsidRDefault="00EC1A78" w:rsidP="00EC1A78">
      <w:pPr>
        <w:ind w:firstLine="426"/>
        <w:jc w:val="both"/>
        <w:rPr>
          <w:rFonts w:eastAsiaTheme="minorHAnsi"/>
          <w:sz w:val="22"/>
          <w:szCs w:val="22"/>
          <w:shd w:val="clear" w:color="auto" w:fill="FFFFFF"/>
          <w:lang w:val="en-US"/>
        </w:rPr>
      </w:pP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В современном мире в уголовной политики мы все чаще можем наблюдать главенство принципов гуманизма и индивидуализации наказания. Эти принципы подразумевают под собой, что исправл</w:t>
      </w:r>
      <w:r w:rsidRPr="00EC1A78">
        <w:rPr>
          <w:rFonts w:eastAsiaTheme="minorHAnsi"/>
          <w:sz w:val="22"/>
          <w:szCs w:val="22"/>
          <w:shd w:val="clear" w:color="auto" w:fill="FFFFFF"/>
        </w:rPr>
        <w:t>е</w:t>
      </w:r>
      <w:r w:rsidRPr="00EC1A78">
        <w:rPr>
          <w:rFonts w:eastAsiaTheme="minorHAnsi"/>
          <w:sz w:val="22"/>
          <w:szCs w:val="22"/>
          <w:shd w:val="clear" w:color="auto" w:fill="FFFFFF"/>
        </w:rPr>
        <w:t>ние лица, совершившего преступление может быть реализовано и без мер уголовно–принудительного характера [1].</w:t>
      </w: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Под первым основанием для освобождения лица от уголовной ответственности закон предусматривает совершения этим лицом преступления небольшой или средней тяжести. Для упрощения следственно–судебной практики по этому вопросу в УК РФ были внесены изменения, а именно появились категории преступлений [2].</w:t>
      </w: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Второе основание – отсутствие или небольшая степень общ</w:t>
      </w:r>
      <w:r w:rsidRPr="00EC1A78">
        <w:rPr>
          <w:rFonts w:eastAsiaTheme="minorHAnsi"/>
          <w:sz w:val="22"/>
          <w:szCs w:val="22"/>
          <w:shd w:val="clear" w:color="auto" w:fill="FFFFFF"/>
        </w:rPr>
        <w:t>е</w:t>
      </w:r>
      <w:r w:rsidRPr="00EC1A78">
        <w:rPr>
          <w:rFonts w:eastAsiaTheme="minorHAnsi"/>
          <w:sz w:val="22"/>
          <w:szCs w:val="22"/>
          <w:shd w:val="clear" w:color="auto" w:fill="FFFFFF"/>
        </w:rPr>
        <w:t>ственной опасности лица, совершившего преступление.</w:t>
      </w: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 xml:space="preserve">Третье основание освобождения от уголовной ответственности это отсутствие целесообразности привлечения виновного лица к уголовной ответственности. Можно заметить, что это основание производно от первых двух. </w:t>
      </w: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Как правило, решение об освобождения от уголовной отве</w:t>
      </w:r>
      <w:r w:rsidRPr="00EC1A78">
        <w:rPr>
          <w:rFonts w:eastAsiaTheme="minorHAnsi"/>
          <w:sz w:val="22"/>
          <w:szCs w:val="22"/>
          <w:shd w:val="clear" w:color="auto" w:fill="FFFFFF"/>
        </w:rPr>
        <w:t>т</w:t>
      </w:r>
      <w:r w:rsidRPr="00EC1A78">
        <w:rPr>
          <w:rFonts w:eastAsiaTheme="minorHAnsi"/>
          <w:sz w:val="22"/>
          <w:szCs w:val="22"/>
          <w:shd w:val="clear" w:color="auto" w:fill="FFFFFF"/>
        </w:rPr>
        <w:t>ственности принимает суд, либо прокурор, либо следователь, либо дознаватель с согласия прокурора. В случае, когда обстоятельства, которые исключают производство по делу, обнаружатся на стадии судебного разбирательства, суд обязан вынести оправдательный приговор.</w:t>
      </w:r>
    </w:p>
    <w:p w:rsidR="00EC1A78" w:rsidRPr="00EC1A78" w:rsidRDefault="00EC1A78" w:rsidP="00EC1A78">
      <w:pPr>
        <w:ind w:firstLine="426"/>
        <w:jc w:val="both"/>
        <w:rPr>
          <w:rFonts w:eastAsiaTheme="minorHAnsi"/>
          <w:sz w:val="22"/>
          <w:szCs w:val="22"/>
          <w:shd w:val="clear" w:color="auto" w:fill="FFFFFF"/>
        </w:rPr>
      </w:pPr>
      <w:r w:rsidRPr="00EC1A78">
        <w:rPr>
          <w:rFonts w:eastAsiaTheme="minorHAnsi"/>
          <w:sz w:val="22"/>
          <w:szCs w:val="22"/>
          <w:shd w:val="clear" w:color="auto" w:fill="FFFFFF"/>
        </w:rPr>
        <w:t>Освобождение от уголовной ответственности в следствие отк</w:t>
      </w:r>
      <w:r w:rsidRPr="00EC1A78">
        <w:rPr>
          <w:rFonts w:eastAsiaTheme="minorHAnsi"/>
          <w:sz w:val="22"/>
          <w:szCs w:val="22"/>
          <w:shd w:val="clear" w:color="auto" w:fill="FFFFFF"/>
        </w:rPr>
        <w:t>а</w:t>
      </w:r>
      <w:r w:rsidRPr="00EC1A78">
        <w:rPr>
          <w:rFonts w:eastAsiaTheme="minorHAnsi"/>
          <w:sz w:val="22"/>
          <w:szCs w:val="22"/>
          <w:shd w:val="clear" w:color="auto" w:fill="FFFFFF"/>
        </w:rPr>
        <w:t>за государства от государственного порицания лица, совершившего преступление, и выражающееся в прекращении уголовного дела до вынесения обвинительного приговора суда, регулируется в главе 11 УК, в то время как освобождение лица, осужденного обвинител</w:t>
      </w:r>
      <w:r w:rsidRPr="00EC1A78">
        <w:rPr>
          <w:rFonts w:eastAsiaTheme="minorHAnsi"/>
          <w:sz w:val="22"/>
          <w:szCs w:val="22"/>
          <w:shd w:val="clear" w:color="auto" w:fill="FFFFFF"/>
        </w:rPr>
        <w:t>ь</w:t>
      </w:r>
      <w:r w:rsidRPr="00EC1A78">
        <w:rPr>
          <w:rFonts w:eastAsiaTheme="minorHAnsi"/>
          <w:sz w:val="22"/>
          <w:szCs w:val="22"/>
          <w:shd w:val="clear" w:color="auto" w:fill="FFFFFF"/>
        </w:rPr>
        <w:t>ным приговором суда, от отбывания всего или части назначенного ему наказания, регулируется в главе 12 УК [3].</w:t>
      </w:r>
    </w:p>
    <w:p w:rsidR="00EC1A78" w:rsidRDefault="00EC1A78" w:rsidP="00C42DAC">
      <w:pPr>
        <w:ind w:firstLine="426"/>
        <w:jc w:val="both"/>
        <w:rPr>
          <w:rFonts w:eastAsiaTheme="minorHAnsi"/>
          <w:bCs/>
          <w:sz w:val="22"/>
          <w:szCs w:val="22"/>
          <w:lang w:eastAsia="en-US"/>
        </w:rPr>
      </w:pPr>
      <w:r w:rsidRPr="00EC1A78">
        <w:rPr>
          <w:rFonts w:eastAsiaTheme="minorHAnsi"/>
          <w:sz w:val="22"/>
          <w:szCs w:val="22"/>
          <w:shd w:val="clear" w:color="auto" w:fill="FFFFFF"/>
        </w:rPr>
        <w:t>Сейчас закон содержит в себе несколько видов освобождения от уголовной ответственности. К ним относятся: деятельное раска</w:t>
      </w:r>
      <w:r w:rsidRPr="00EC1A78">
        <w:rPr>
          <w:rFonts w:eastAsiaTheme="minorHAnsi"/>
          <w:sz w:val="22"/>
          <w:szCs w:val="22"/>
          <w:shd w:val="clear" w:color="auto" w:fill="FFFFFF"/>
        </w:rPr>
        <w:t>я</w:t>
      </w:r>
      <w:r w:rsidRPr="00EC1A78">
        <w:rPr>
          <w:rFonts w:eastAsiaTheme="minorHAnsi"/>
          <w:sz w:val="22"/>
          <w:szCs w:val="22"/>
          <w:shd w:val="clear" w:color="auto" w:fill="FFFFFF"/>
        </w:rPr>
        <w:t xml:space="preserve">ние, примирение сторон, истечение сроков давности преступления, </w:t>
      </w:r>
      <w:r w:rsidRPr="00EC1A78">
        <w:rPr>
          <w:rFonts w:eastAsiaTheme="minorHAnsi"/>
          <w:sz w:val="22"/>
          <w:szCs w:val="22"/>
          <w:shd w:val="clear" w:color="auto" w:fill="FFFFFF"/>
        </w:rPr>
        <w:lastRenderedPageBreak/>
        <w:t>амнистия, помилование, судебный штраф, освобождение от наказ</w:t>
      </w:r>
      <w:r w:rsidRPr="00EC1A78">
        <w:rPr>
          <w:rFonts w:eastAsiaTheme="minorHAnsi"/>
          <w:sz w:val="22"/>
          <w:szCs w:val="22"/>
          <w:shd w:val="clear" w:color="auto" w:fill="FFFFFF"/>
        </w:rPr>
        <w:t>а</w:t>
      </w:r>
      <w:r w:rsidRPr="00EC1A78">
        <w:rPr>
          <w:rFonts w:eastAsiaTheme="minorHAnsi"/>
          <w:sz w:val="22"/>
          <w:szCs w:val="22"/>
          <w:shd w:val="clear" w:color="auto" w:fill="FFFFFF"/>
        </w:rPr>
        <w:t xml:space="preserve">ния лиц несовершеннолетних. </w:t>
      </w:r>
    </w:p>
    <w:p w:rsidR="00C42DAC" w:rsidRPr="00C42DAC" w:rsidRDefault="00C42DAC" w:rsidP="00C42DAC">
      <w:pPr>
        <w:ind w:firstLine="426"/>
        <w:jc w:val="both"/>
        <w:rPr>
          <w:rFonts w:eastAsiaTheme="minorHAnsi"/>
          <w:bCs/>
          <w:sz w:val="22"/>
          <w:szCs w:val="22"/>
          <w:lang w:eastAsia="en-US"/>
        </w:rPr>
      </w:pPr>
    </w:p>
    <w:p w:rsidR="00EC1A78" w:rsidRPr="00EC1A78" w:rsidRDefault="00EC1A78" w:rsidP="00EC1A78">
      <w:pPr>
        <w:jc w:val="center"/>
        <w:rPr>
          <w:rFonts w:eastAsiaTheme="minorHAnsi"/>
          <w:bCs/>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rPr>
        <w:t xml:space="preserve">1. </w:t>
      </w:r>
      <w:r w:rsidRPr="00EC1A78">
        <w:rPr>
          <w:rFonts w:eastAsiaTheme="minorHAnsi"/>
          <w:sz w:val="22"/>
          <w:szCs w:val="22"/>
          <w:lang w:eastAsia="en-US"/>
        </w:rPr>
        <w:t>УК РФ от 13.06.1996 N 63–ФЗ (ред. от 31.12.2017).</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rPr>
        <w:t xml:space="preserve">2. </w:t>
      </w:r>
      <w:r w:rsidRPr="00EC1A78">
        <w:rPr>
          <w:rFonts w:eastAsiaTheme="minorHAnsi"/>
          <w:sz w:val="22"/>
          <w:szCs w:val="22"/>
          <w:shd w:val="clear" w:color="auto" w:fill="FFFFFF"/>
          <w:lang w:eastAsia="en-US"/>
        </w:rPr>
        <w:t>Большой юридический словарь. / Под ред. А.Я. Сухарева, В.Д. Зорькина, В.Е. Крутских. – М., 2008.</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rPr>
        <w:t xml:space="preserve">3. </w:t>
      </w:r>
      <w:r w:rsidRPr="00EC1A78">
        <w:rPr>
          <w:rFonts w:eastAsiaTheme="minorHAnsi"/>
          <w:sz w:val="22"/>
          <w:szCs w:val="22"/>
          <w:shd w:val="clear" w:color="auto" w:fill="FFFFFF"/>
          <w:lang w:eastAsia="en-US"/>
        </w:rPr>
        <w:t xml:space="preserve">Головко Л.В. Классификация оснований освобождения от уголовной ответственности // </w:t>
      </w:r>
      <w:r w:rsidRPr="00EC1A78">
        <w:rPr>
          <w:rFonts w:eastAsiaTheme="minorHAnsi"/>
          <w:sz w:val="22"/>
          <w:szCs w:val="22"/>
          <w:lang w:eastAsia="en-US"/>
        </w:rPr>
        <w:t>Законность. – М., 1998, № 11. – С. 37–40.</w:t>
      </w:r>
      <w:r w:rsidRPr="00EC1A78">
        <w:rPr>
          <w:rFonts w:eastAsiaTheme="minorHAnsi"/>
          <w:sz w:val="22"/>
          <w:szCs w:val="22"/>
          <w:shd w:val="clear" w:color="auto" w:fill="FFFFFF"/>
          <w:lang w:eastAsia="en-US"/>
        </w:rPr>
        <w:t xml:space="preserve"> </w:t>
      </w:r>
    </w:p>
    <w:p w:rsidR="00EC1A78" w:rsidRDefault="00EC1A78" w:rsidP="00EC1A78">
      <w:pPr>
        <w:jc w:val="both"/>
        <w:rPr>
          <w:rFonts w:eastAsiaTheme="minorHAnsi"/>
          <w:sz w:val="22"/>
          <w:szCs w:val="22"/>
          <w:lang w:eastAsia="en-US"/>
        </w:rPr>
      </w:pPr>
    </w:p>
    <w:p w:rsidR="00C56F2E" w:rsidRDefault="00C56F2E" w:rsidP="00EC1A78">
      <w:pPr>
        <w:jc w:val="both"/>
        <w:rPr>
          <w:rFonts w:eastAsiaTheme="minorHAnsi"/>
          <w:sz w:val="22"/>
          <w:szCs w:val="22"/>
          <w:lang w:eastAsia="en-US"/>
        </w:rPr>
      </w:pPr>
    </w:p>
    <w:p w:rsidR="00C56F2E" w:rsidRPr="00EC1A78" w:rsidRDefault="00C56F2E"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347.963</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Органы дознания как объекты прокурорского надзора</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Bodies of inquiry as objects of Prosecutor's supervision</w:t>
      </w:r>
    </w:p>
    <w:p w:rsidR="00EC1A78" w:rsidRPr="00EC1A78" w:rsidRDefault="00EC1A78" w:rsidP="00EC1A78">
      <w:pPr>
        <w:jc w:val="right"/>
        <w:rPr>
          <w:rFonts w:eastAsiaTheme="minorHAnsi"/>
          <w:b/>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Божко А.</w:t>
      </w:r>
      <w:r w:rsidR="00C56F2E">
        <w:rPr>
          <w:rFonts w:eastAsiaTheme="minorHAnsi"/>
          <w:sz w:val="22"/>
          <w:szCs w:val="22"/>
          <w:lang w:eastAsia="en-US"/>
        </w:rPr>
        <w:t xml:space="preserve"> </w:t>
      </w:r>
      <w:r w:rsidRPr="00EC1A78">
        <w:rPr>
          <w:rFonts w:eastAsiaTheme="minorHAnsi"/>
          <w:sz w:val="22"/>
          <w:szCs w:val="22"/>
          <w:lang w:eastAsia="en-US"/>
        </w:rPr>
        <w:t>В.,</w:t>
      </w:r>
    </w:p>
    <w:p w:rsidR="00C56F2E"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Courier New"/>
          <w:color w:val="000000"/>
          <w:sz w:val="22"/>
          <w:szCs w:val="22"/>
          <w:lang w:eastAsia="en-US"/>
        </w:rPr>
        <w:t>университет имени И.</w:t>
      </w:r>
      <w:r w:rsidR="00C56F2E">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вопросы правового регулирования и правоприменительной практики в аспекте актив</w:t>
      </w:r>
      <w:r w:rsidRPr="00EC1A78">
        <w:rPr>
          <w:rFonts w:eastAsiaTheme="minorHAnsi"/>
          <w:sz w:val="22"/>
          <w:szCs w:val="22"/>
          <w:lang w:eastAsia="en-US"/>
        </w:rPr>
        <w:t>и</w:t>
      </w:r>
      <w:r w:rsidRPr="00EC1A78">
        <w:rPr>
          <w:rFonts w:eastAsiaTheme="minorHAnsi"/>
          <w:sz w:val="22"/>
          <w:szCs w:val="22"/>
          <w:lang w:eastAsia="en-US"/>
        </w:rPr>
        <w:t xml:space="preserve">зации прокурорского надзора за органами дознания. </w:t>
      </w:r>
    </w:p>
    <w:p w:rsidR="00EC1A78" w:rsidRPr="00EC1A78" w:rsidRDefault="00EC1A78" w:rsidP="00EC1A78">
      <w:pPr>
        <w:ind w:firstLine="426"/>
        <w:jc w:val="both"/>
        <w:rPr>
          <w:rFonts w:eastAsiaTheme="minorHAnsi"/>
          <w:sz w:val="22"/>
          <w:szCs w:val="22"/>
          <w:lang w:val="en-US" w:eastAsia="en-US"/>
        </w:rPr>
      </w:pPr>
      <w:r w:rsidRPr="00EC1A78">
        <w:rPr>
          <w:rFonts w:eastAsia="Courier New"/>
          <w:color w:val="000000"/>
          <w:sz w:val="22"/>
          <w:szCs w:val="22"/>
          <w:lang w:val="en-US" w:eastAsia="en-US"/>
        </w:rPr>
        <w:t>ABSTRACT: The article deals with the issues of legal regulation and law enforcement practice in the aspect of enhancing prosecutorial supervision of inquiry bodies.</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органы дознания, прокурор, прокуро</w:t>
      </w:r>
      <w:r w:rsidRPr="00EC1A78">
        <w:rPr>
          <w:rFonts w:eastAsiaTheme="minorHAnsi"/>
          <w:sz w:val="22"/>
          <w:szCs w:val="22"/>
          <w:lang w:eastAsia="en-US"/>
        </w:rPr>
        <w:t>р</w:t>
      </w:r>
      <w:r w:rsidRPr="00EC1A78">
        <w:rPr>
          <w:rFonts w:eastAsiaTheme="minorHAnsi"/>
          <w:sz w:val="22"/>
          <w:szCs w:val="22"/>
          <w:lang w:eastAsia="en-US"/>
        </w:rPr>
        <w:t>ский надзор.</w:t>
      </w:r>
    </w:p>
    <w:p w:rsidR="00EC1A78" w:rsidRPr="00C42DAC" w:rsidRDefault="00EC1A78" w:rsidP="00EC1A78">
      <w:pPr>
        <w:ind w:firstLine="426"/>
        <w:jc w:val="both"/>
        <w:rPr>
          <w:color w:val="000000" w:themeColor="text1"/>
          <w:sz w:val="22"/>
          <w:szCs w:val="22"/>
          <w:lang w:val="en-US"/>
        </w:rPr>
      </w:pPr>
      <w:r w:rsidRPr="00C42DAC">
        <w:rPr>
          <w:rFonts w:eastAsia="Courier New"/>
          <w:color w:val="000000"/>
          <w:sz w:val="22"/>
          <w:szCs w:val="22"/>
          <w:lang w:val="en-US"/>
        </w:rPr>
        <w:t>KEYWORDS: bodies of inquiry, Prosecutor, Prosecutor's superv</w:t>
      </w:r>
      <w:r w:rsidRPr="00C42DAC">
        <w:rPr>
          <w:rFonts w:eastAsia="Courier New"/>
          <w:color w:val="000000"/>
          <w:sz w:val="22"/>
          <w:szCs w:val="22"/>
          <w:lang w:val="en-US"/>
        </w:rPr>
        <w:t>i</w:t>
      </w:r>
      <w:r w:rsidRPr="00C42DAC">
        <w:rPr>
          <w:rFonts w:eastAsia="Courier New"/>
          <w:color w:val="000000"/>
          <w:sz w:val="22"/>
          <w:szCs w:val="22"/>
          <w:lang w:val="en-US"/>
        </w:rPr>
        <w:t>sion.</w:t>
      </w:r>
    </w:p>
    <w:p w:rsidR="00EC1A78" w:rsidRPr="00EC1A78" w:rsidRDefault="00EC1A78" w:rsidP="00EC1A78">
      <w:pPr>
        <w:ind w:firstLine="426"/>
        <w:jc w:val="both"/>
        <w:rPr>
          <w:color w:val="000000" w:themeColor="text1"/>
          <w:sz w:val="22"/>
          <w:szCs w:val="22"/>
          <w:lang w:val="en-US"/>
        </w:rPr>
      </w:pPr>
    </w:p>
    <w:p w:rsidR="00EC1A78" w:rsidRPr="00EC1A78" w:rsidRDefault="00EC1A78" w:rsidP="00EC1A78">
      <w:pPr>
        <w:ind w:firstLine="426"/>
        <w:jc w:val="both"/>
        <w:rPr>
          <w:color w:val="000000" w:themeColor="text1"/>
          <w:sz w:val="22"/>
          <w:szCs w:val="22"/>
        </w:rPr>
      </w:pPr>
      <w:r w:rsidRPr="00EC1A78">
        <w:rPr>
          <w:color w:val="000000" w:themeColor="text1"/>
          <w:sz w:val="22"/>
          <w:szCs w:val="22"/>
        </w:rPr>
        <w:t>В настоящее время органы дознания, прокуроры, оказались в правовой ситуации, требующей переосмысления и выработки н</w:t>
      </w:r>
      <w:r w:rsidRPr="00EC1A78">
        <w:rPr>
          <w:color w:val="000000" w:themeColor="text1"/>
          <w:sz w:val="22"/>
          <w:szCs w:val="22"/>
        </w:rPr>
        <w:t>о</w:t>
      </w:r>
      <w:r w:rsidRPr="00EC1A78">
        <w:rPr>
          <w:color w:val="000000" w:themeColor="text1"/>
          <w:sz w:val="22"/>
          <w:szCs w:val="22"/>
        </w:rPr>
        <w:t xml:space="preserve">вых форм взаимодействия. </w:t>
      </w:r>
    </w:p>
    <w:p w:rsidR="00EC1A78" w:rsidRPr="00EC1A78" w:rsidRDefault="00EC1A78" w:rsidP="00EC1A78">
      <w:pPr>
        <w:ind w:firstLine="426"/>
        <w:jc w:val="both"/>
        <w:rPr>
          <w:sz w:val="22"/>
          <w:szCs w:val="22"/>
        </w:rPr>
      </w:pPr>
      <w:r w:rsidRPr="00EC1A78">
        <w:rPr>
          <w:color w:val="000000" w:themeColor="text1"/>
          <w:sz w:val="22"/>
          <w:szCs w:val="22"/>
        </w:rPr>
        <w:lastRenderedPageBreak/>
        <w:t>30 декабря 2015 г. Федеральным законом № 440 в УПК РФ введена новая статья (40.2), которая закрепила процессуальные полномочия начальника органа дознания (систематизировала их в одной норме), уточнила уголовно–процессуальную дефиницию «начальник органа дознания» и определила ряд участников, вовл</w:t>
      </w:r>
      <w:r w:rsidRPr="00EC1A78">
        <w:rPr>
          <w:color w:val="000000" w:themeColor="text1"/>
          <w:sz w:val="22"/>
          <w:szCs w:val="22"/>
        </w:rPr>
        <w:t>е</w:t>
      </w:r>
      <w:r w:rsidRPr="00EC1A78">
        <w:rPr>
          <w:color w:val="000000" w:themeColor="text1"/>
          <w:sz w:val="22"/>
          <w:szCs w:val="22"/>
        </w:rPr>
        <w:t>ченных законодателем в уголовный процесс, и имеющих непосре</w:t>
      </w:r>
      <w:r w:rsidRPr="00EC1A78">
        <w:rPr>
          <w:color w:val="000000" w:themeColor="text1"/>
          <w:sz w:val="22"/>
          <w:szCs w:val="22"/>
        </w:rPr>
        <w:t>д</w:t>
      </w:r>
      <w:r w:rsidRPr="00EC1A78">
        <w:rPr>
          <w:color w:val="000000" w:themeColor="text1"/>
          <w:sz w:val="22"/>
          <w:szCs w:val="22"/>
        </w:rPr>
        <w:t>ственное отношение к органу дознания. К последним следует отн</w:t>
      </w:r>
      <w:r w:rsidRPr="00EC1A78">
        <w:rPr>
          <w:color w:val="000000" w:themeColor="text1"/>
          <w:sz w:val="22"/>
          <w:szCs w:val="22"/>
        </w:rPr>
        <w:t>е</w:t>
      </w:r>
      <w:r w:rsidRPr="00EC1A78">
        <w:rPr>
          <w:color w:val="000000" w:themeColor="text1"/>
          <w:sz w:val="22"/>
          <w:szCs w:val="22"/>
        </w:rPr>
        <w:t xml:space="preserve">сти </w:t>
      </w:r>
      <w:r w:rsidRPr="00EC1A78">
        <w:rPr>
          <w:sz w:val="22"/>
          <w:szCs w:val="22"/>
        </w:rPr>
        <w:t xml:space="preserve">должностных лиц органа дознания, </w:t>
      </w:r>
      <w:r w:rsidRPr="00EC1A78">
        <w:rPr>
          <w:color w:val="000000" w:themeColor="text1"/>
          <w:sz w:val="22"/>
          <w:szCs w:val="22"/>
        </w:rPr>
        <w:t>не наделенных процесс</w:t>
      </w:r>
      <w:r w:rsidRPr="00EC1A78">
        <w:rPr>
          <w:color w:val="000000" w:themeColor="text1"/>
          <w:sz w:val="22"/>
          <w:szCs w:val="22"/>
        </w:rPr>
        <w:t>у</w:t>
      </w:r>
      <w:r w:rsidRPr="00EC1A78">
        <w:rPr>
          <w:color w:val="000000" w:themeColor="text1"/>
          <w:sz w:val="22"/>
          <w:szCs w:val="22"/>
        </w:rPr>
        <w:t>альными полномочиями, подобными полномочиям начальника по</w:t>
      </w:r>
      <w:r w:rsidRPr="00EC1A78">
        <w:rPr>
          <w:color w:val="000000" w:themeColor="text1"/>
          <w:sz w:val="22"/>
          <w:szCs w:val="22"/>
        </w:rPr>
        <w:t>д</w:t>
      </w:r>
      <w:r w:rsidRPr="00EC1A78">
        <w:rPr>
          <w:color w:val="000000" w:themeColor="text1"/>
          <w:sz w:val="22"/>
          <w:szCs w:val="22"/>
        </w:rPr>
        <w:t xml:space="preserve">разделения дознания и дознавателя, на которых возложено </w:t>
      </w:r>
      <w:r w:rsidRPr="00EC1A78">
        <w:rPr>
          <w:sz w:val="22"/>
          <w:szCs w:val="22"/>
        </w:rPr>
        <w:t>испо</w:t>
      </w:r>
      <w:r w:rsidRPr="00EC1A78">
        <w:rPr>
          <w:sz w:val="22"/>
          <w:szCs w:val="22"/>
        </w:rPr>
        <w:t>л</w:t>
      </w:r>
      <w:r w:rsidRPr="00EC1A78">
        <w:rPr>
          <w:sz w:val="22"/>
          <w:szCs w:val="22"/>
        </w:rPr>
        <w:t>нение письменных поручений</w:t>
      </w:r>
      <w:r w:rsidRPr="00EC1A78">
        <w:rPr>
          <w:color w:val="000000" w:themeColor="text1"/>
          <w:sz w:val="22"/>
          <w:szCs w:val="22"/>
        </w:rPr>
        <w:t xml:space="preserve"> следователя</w:t>
      </w:r>
      <w:r w:rsidRPr="00EC1A78">
        <w:rPr>
          <w:sz w:val="22"/>
          <w:szCs w:val="22"/>
        </w:rPr>
        <w:t>, дознавателя о провед</w:t>
      </w:r>
      <w:r w:rsidRPr="00EC1A78">
        <w:rPr>
          <w:sz w:val="22"/>
          <w:szCs w:val="22"/>
        </w:rPr>
        <w:t>е</w:t>
      </w:r>
      <w:r w:rsidRPr="00EC1A78">
        <w:rPr>
          <w:sz w:val="22"/>
          <w:szCs w:val="22"/>
        </w:rPr>
        <w:t>нии оперативно–розыскных мероприятий, о производстве отдел</w:t>
      </w:r>
      <w:r w:rsidRPr="00EC1A78">
        <w:rPr>
          <w:sz w:val="22"/>
          <w:szCs w:val="22"/>
        </w:rPr>
        <w:t>ь</w:t>
      </w:r>
      <w:r w:rsidRPr="00EC1A78">
        <w:rPr>
          <w:sz w:val="22"/>
          <w:szCs w:val="22"/>
        </w:rPr>
        <w:t>ных следственных действий, об исполнении постановлений о з</w:t>
      </w:r>
      <w:r w:rsidRPr="00EC1A78">
        <w:rPr>
          <w:sz w:val="22"/>
          <w:szCs w:val="22"/>
        </w:rPr>
        <w:t>а</w:t>
      </w:r>
      <w:r w:rsidRPr="00EC1A78">
        <w:rPr>
          <w:sz w:val="22"/>
          <w:szCs w:val="22"/>
        </w:rPr>
        <w:t>держании, приводе, заключении под стражу и о производстве иных процессуальных действий, а также об оказании содействия при их осуществлении [1].</w:t>
      </w:r>
    </w:p>
    <w:p w:rsidR="00EC1A78" w:rsidRPr="00EC1A78" w:rsidRDefault="00EC1A78" w:rsidP="00EC1A78">
      <w:pPr>
        <w:widowControl w:val="0"/>
        <w:autoSpaceDE w:val="0"/>
        <w:autoSpaceDN w:val="0"/>
        <w:adjustRightInd w:val="0"/>
        <w:ind w:firstLine="426"/>
        <w:jc w:val="both"/>
        <w:rPr>
          <w:rFonts w:eastAsiaTheme="minorEastAsia"/>
          <w:color w:val="000000" w:themeColor="text1"/>
          <w:sz w:val="22"/>
          <w:szCs w:val="22"/>
        </w:rPr>
      </w:pPr>
      <w:r w:rsidRPr="00EC1A78">
        <w:rPr>
          <w:rFonts w:eastAsiaTheme="minorEastAsia"/>
          <w:color w:val="000000" w:themeColor="text1"/>
          <w:sz w:val="22"/>
          <w:szCs w:val="22"/>
        </w:rPr>
        <w:t>Начальником органа дознания путем дачи письменного пор</w:t>
      </w:r>
      <w:r w:rsidRPr="00EC1A78">
        <w:rPr>
          <w:rFonts w:eastAsiaTheme="minorEastAsia"/>
          <w:color w:val="000000" w:themeColor="text1"/>
          <w:sz w:val="22"/>
          <w:szCs w:val="22"/>
        </w:rPr>
        <w:t>у</w:t>
      </w:r>
      <w:r w:rsidRPr="00EC1A78">
        <w:rPr>
          <w:rFonts w:eastAsiaTheme="minorEastAsia"/>
          <w:color w:val="000000" w:themeColor="text1"/>
          <w:sz w:val="22"/>
          <w:szCs w:val="22"/>
        </w:rPr>
        <w:t>чения допускается возложение на лицо (должностное лицо органа дознания) полномочий органа дознания, предусмотренные п. 1 ч. 2 ст. 40 (дознание по уголовным делам, по которым производство предварительного следствия необязательно), которое не проводило или не проводит по данному уголовному делу оперативно–розыскные мероприятия. Данное лицо на момент производства д</w:t>
      </w:r>
      <w:r w:rsidRPr="00EC1A78">
        <w:rPr>
          <w:rFonts w:eastAsiaTheme="minorEastAsia"/>
          <w:color w:val="000000" w:themeColor="text1"/>
          <w:sz w:val="22"/>
          <w:szCs w:val="22"/>
        </w:rPr>
        <w:t>о</w:t>
      </w:r>
      <w:r w:rsidRPr="00EC1A78">
        <w:rPr>
          <w:rFonts w:eastAsiaTheme="minorEastAsia"/>
          <w:color w:val="000000" w:themeColor="text1"/>
          <w:sz w:val="22"/>
          <w:szCs w:val="22"/>
        </w:rPr>
        <w:t>знания, в рамках исполняемого поручения обладает  процессуал</w:t>
      </w:r>
      <w:r w:rsidRPr="00EC1A78">
        <w:rPr>
          <w:rFonts w:eastAsiaTheme="minorEastAsia"/>
          <w:color w:val="000000" w:themeColor="text1"/>
          <w:sz w:val="22"/>
          <w:szCs w:val="22"/>
        </w:rPr>
        <w:t>ь</w:t>
      </w:r>
      <w:r w:rsidRPr="00EC1A78">
        <w:rPr>
          <w:rFonts w:eastAsiaTheme="minorEastAsia"/>
          <w:color w:val="000000" w:themeColor="text1"/>
          <w:sz w:val="22"/>
          <w:szCs w:val="22"/>
        </w:rPr>
        <w:t>ным статусом дознавателя [1].</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Изданный Генеральным прокурором РФ приказ № 33 «Об о</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eastAsia="en-US"/>
        </w:rPr>
        <w:t>ганизации прокурорского надзора за процессуальной деятельн</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стью органов дознания», от 26 января 2017 года содержит нормы, которые не в полной мере учитывают  контекст вышеназванных законодательных нововведений. Данное обстоятельство негативно влияет на правоприменительную практику органов дознания, при тенденции расширения их «списка» и предоставления им дополн</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 xml:space="preserve">тельных полномочий.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Одновременно с этим, дефицит полномочий прокурора в пе</w:t>
      </w:r>
      <w:r w:rsidRPr="00EC1A78">
        <w:rPr>
          <w:rFonts w:eastAsiaTheme="minorHAnsi"/>
          <w:sz w:val="22"/>
          <w:szCs w:val="22"/>
          <w:lang w:eastAsia="en-US"/>
        </w:rPr>
        <w:t>р</w:t>
      </w:r>
      <w:r w:rsidRPr="00EC1A78">
        <w:rPr>
          <w:rFonts w:eastAsiaTheme="minorHAnsi"/>
          <w:sz w:val="22"/>
          <w:szCs w:val="22"/>
          <w:lang w:eastAsia="en-US"/>
        </w:rPr>
        <w:t>вой досудебной стадии в настоящее время создает проблему для осуществления надзора за возбуждением уголовных дел, поскольку у прокурора отсутствуют полномочия по своевременному и эффе</w:t>
      </w:r>
      <w:r w:rsidRPr="00EC1A78">
        <w:rPr>
          <w:rFonts w:eastAsiaTheme="minorHAnsi"/>
          <w:sz w:val="22"/>
          <w:szCs w:val="22"/>
          <w:lang w:eastAsia="en-US"/>
        </w:rPr>
        <w:t>к</w:t>
      </w:r>
      <w:r w:rsidRPr="00EC1A78">
        <w:rPr>
          <w:rFonts w:eastAsiaTheme="minorHAnsi"/>
          <w:sz w:val="22"/>
          <w:szCs w:val="22"/>
          <w:lang w:eastAsia="en-US"/>
        </w:rPr>
        <w:lastRenderedPageBreak/>
        <w:t>тивному предупреждению и по устранению выявленных нарушений законов.</w:t>
      </w:r>
    </w:p>
    <w:p w:rsidR="00EC1A78" w:rsidRPr="00EC1A78" w:rsidRDefault="00EC1A78" w:rsidP="00EC1A78">
      <w:pPr>
        <w:widowControl w:val="0"/>
        <w:ind w:firstLine="426"/>
        <w:jc w:val="both"/>
        <w:rPr>
          <w:sz w:val="22"/>
          <w:szCs w:val="22"/>
          <w:lang w:eastAsia="en-US"/>
        </w:rPr>
      </w:pPr>
      <w:r w:rsidRPr="00EC1A78">
        <w:rPr>
          <w:sz w:val="22"/>
          <w:szCs w:val="22"/>
          <w:lang w:eastAsia="en-US"/>
        </w:rPr>
        <w:t>Некоторые авторы ставят под сомнение целесообразность весьма широких полномочий прокурора на стадии досудебного производства в отношении подразделений дознания. В противовес подобным суждениям, можно представить данные статистики об увеличении количества уголовных дел, находящихся в произво</w:t>
      </w:r>
      <w:r w:rsidRPr="00EC1A78">
        <w:rPr>
          <w:sz w:val="22"/>
          <w:szCs w:val="22"/>
          <w:lang w:eastAsia="en-US"/>
        </w:rPr>
        <w:t>д</w:t>
      </w:r>
      <w:r w:rsidRPr="00EC1A78">
        <w:rPr>
          <w:sz w:val="22"/>
          <w:szCs w:val="22"/>
          <w:lang w:eastAsia="en-US"/>
        </w:rPr>
        <w:t>стве органов дознания и многократных нарушений закона с их ст</w:t>
      </w:r>
      <w:r w:rsidRPr="00EC1A78">
        <w:rPr>
          <w:sz w:val="22"/>
          <w:szCs w:val="22"/>
          <w:lang w:eastAsia="en-US"/>
        </w:rPr>
        <w:t>о</w:t>
      </w:r>
      <w:r w:rsidRPr="00EC1A78">
        <w:rPr>
          <w:sz w:val="22"/>
          <w:szCs w:val="22"/>
          <w:lang w:eastAsia="en-US"/>
        </w:rPr>
        <w:t xml:space="preserve">роны.  </w:t>
      </w:r>
    </w:p>
    <w:p w:rsidR="00EC1A78" w:rsidRPr="00EC1A78" w:rsidRDefault="00EC1A78" w:rsidP="00EC1A78">
      <w:pPr>
        <w:ind w:firstLine="426"/>
        <w:jc w:val="both"/>
        <w:rPr>
          <w:rFonts w:eastAsiaTheme="minorHAnsi"/>
          <w:b/>
          <w:bCs/>
          <w:sz w:val="22"/>
          <w:szCs w:val="22"/>
          <w:lang w:eastAsia="en-US"/>
        </w:rPr>
      </w:pPr>
      <w:r w:rsidRPr="00EC1A78">
        <w:rPr>
          <w:rFonts w:eastAsiaTheme="minorHAnsi"/>
          <w:sz w:val="22"/>
          <w:szCs w:val="22"/>
          <w:lang w:eastAsia="en-US"/>
        </w:rPr>
        <w:t>Статистические данные об основных показателях деятельности органов прокуратуры Российской Федерации в 2017 г. по сравн</w:t>
      </w:r>
      <w:r w:rsidRPr="00EC1A78">
        <w:rPr>
          <w:rFonts w:eastAsiaTheme="minorHAnsi"/>
          <w:sz w:val="22"/>
          <w:szCs w:val="22"/>
          <w:lang w:eastAsia="en-US"/>
        </w:rPr>
        <w:t>е</w:t>
      </w:r>
      <w:r w:rsidRPr="00EC1A78">
        <w:rPr>
          <w:rFonts w:eastAsiaTheme="minorHAnsi"/>
          <w:sz w:val="22"/>
          <w:szCs w:val="22"/>
          <w:lang w:eastAsia="en-US"/>
        </w:rPr>
        <w:t>нию с 2016г. свидетельствуют об увеличении доли  выявленных нарушений законов, в том числе,  при приеме, регистрации ра</w:t>
      </w:r>
      <w:r w:rsidRPr="00EC1A78">
        <w:rPr>
          <w:rFonts w:eastAsiaTheme="minorHAnsi"/>
          <w:sz w:val="22"/>
          <w:szCs w:val="22"/>
          <w:lang w:eastAsia="en-US"/>
        </w:rPr>
        <w:t>с</w:t>
      </w:r>
      <w:r w:rsidRPr="00EC1A78">
        <w:rPr>
          <w:rFonts w:eastAsiaTheme="minorHAnsi"/>
          <w:sz w:val="22"/>
          <w:szCs w:val="22"/>
          <w:lang w:eastAsia="en-US"/>
        </w:rPr>
        <w:t xml:space="preserve">смотрении сообщений о преступлениях, при производстве дознания (2017 – 4 629 455; 2016 – 4 557 128, – увеличение на 1.6 %) </w:t>
      </w:r>
      <w:r w:rsidRPr="00EC1A78">
        <w:rPr>
          <w:rFonts w:eastAsiaTheme="minorHAnsi"/>
          <w:color w:val="000000" w:themeColor="text1"/>
          <w:sz w:val="22"/>
          <w:szCs w:val="22"/>
          <w:shd w:val="clear" w:color="auto" w:fill="FFFFFF"/>
          <w:lang w:eastAsia="en-US"/>
        </w:rPr>
        <w:t>[2]</w:t>
      </w:r>
      <w:r w:rsidRPr="00EC1A78">
        <w:rPr>
          <w:rFonts w:eastAsiaTheme="minorHAnsi"/>
          <w:sz w:val="22"/>
          <w:szCs w:val="22"/>
          <w:lang w:eastAsia="en-US"/>
        </w:rPr>
        <w:t xml:space="preserve">.  </w:t>
      </w:r>
    </w:p>
    <w:p w:rsidR="00EC1A78" w:rsidRPr="003A6F86" w:rsidRDefault="00EC1A78" w:rsidP="00EC1A78">
      <w:pPr>
        <w:shd w:val="clear" w:color="auto" w:fill="FFFFFF"/>
        <w:ind w:firstLine="426"/>
        <w:jc w:val="both"/>
        <w:rPr>
          <w:sz w:val="22"/>
          <w:szCs w:val="22"/>
          <w:lang w:eastAsia="en-US"/>
        </w:rPr>
      </w:pPr>
      <w:r w:rsidRPr="003A6F86">
        <w:rPr>
          <w:rFonts w:eastAsiaTheme="minorHAnsi"/>
          <w:sz w:val="22"/>
          <w:szCs w:val="22"/>
          <w:shd w:val="clear" w:color="auto" w:fill="FFFFFF"/>
          <w:lang w:eastAsia="en-US"/>
        </w:rPr>
        <w:t>В 2017 году на территории Краснодарского края, надзирающ</w:t>
      </w:r>
      <w:r w:rsidRPr="003A6F86">
        <w:rPr>
          <w:rFonts w:eastAsiaTheme="minorHAnsi"/>
          <w:sz w:val="22"/>
          <w:szCs w:val="22"/>
          <w:shd w:val="clear" w:color="auto" w:fill="FFFFFF"/>
          <w:lang w:eastAsia="en-US"/>
        </w:rPr>
        <w:t>и</w:t>
      </w:r>
      <w:r w:rsidRPr="003A6F86">
        <w:rPr>
          <w:rFonts w:eastAsiaTheme="minorHAnsi"/>
          <w:sz w:val="22"/>
          <w:szCs w:val="22"/>
          <w:shd w:val="clear" w:color="auto" w:fill="FFFFFF"/>
          <w:lang w:eastAsia="en-US"/>
        </w:rPr>
        <w:t>ми прокурорами на досудебной стадии уголовного судопроизво</w:t>
      </w:r>
      <w:r w:rsidRPr="003A6F86">
        <w:rPr>
          <w:rFonts w:eastAsiaTheme="minorHAnsi"/>
          <w:sz w:val="22"/>
          <w:szCs w:val="22"/>
          <w:shd w:val="clear" w:color="auto" w:fill="FFFFFF"/>
          <w:lang w:eastAsia="en-US"/>
        </w:rPr>
        <w:t>д</w:t>
      </w:r>
      <w:r w:rsidRPr="003A6F86">
        <w:rPr>
          <w:rFonts w:eastAsiaTheme="minorHAnsi"/>
          <w:sz w:val="22"/>
          <w:szCs w:val="22"/>
          <w:shd w:val="clear" w:color="auto" w:fill="FFFFFF"/>
          <w:lang w:eastAsia="en-US"/>
        </w:rPr>
        <w:t>ства выявлено более 83 тысяч нарушений законодательства, в том числе 56,2 тысячи – при приеме, регистрации и разрешении соо</w:t>
      </w:r>
      <w:r w:rsidRPr="003A6F86">
        <w:rPr>
          <w:rFonts w:eastAsiaTheme="minorHAnsi"/>
          <w:sz w:val="22"/>
          <w:szCs w:val="22"/>
          <w:shd w:val="clear" w:color="auto" w:fill="FFFFFF"/>
          <w:lang w:eastAsia="en-US"/>
        </w:rPr>
        <w:t>б</w:t>
      </w:r>
      <w:r w:rsidRPr="003A6F86">
        <w:rPr>
          <w:rFonts w:eastAsiaTheme="minorHAnsi"/>
          <w:sz w:val="22"/>
          <w:szCs w:val="22"/>
          <w:shd w:val="clear" w:color="auto" w:fill="FFFFFF"/>
          <w:lang w:eastAsia="en-US"/>
        </w:rPr>
        <w:t>щений о преступлениях. Отменено 57 тысяч незаконных процесс</w:t>
      </w:r>
      <w:r w:rsidRPr="003A6F86">
        <w:rPr>
          <w:rFonts w:eastAsiaTheme="minorHAnsi"/>
          <w:sz w:val="22"/>
          <w:szCs w:val="22"/>
          <w:shd w:val="clear" w:color="auto" w:fill="FFFFFF"/>
          <w:lang w:eastAsia="en-US"/>
        </w:rPr>
        <w:t>у</w:t>
      </w:r>
      <w:r w:rsidRPr="003A6F86">
        <w:rPr>
          <w:rFonts w:eastAsiaTheme="minorHAnsi"/>
          <w:sz w:val="22"/>
          <w:szCs w:val="22"/>
          <w:shd w:val="clear" w:color="auto" w:fill="FFFFFF"/>
          <w:lang w:eastAsia="en-US"/>
        </w:rPr>
        <w:t>альных решений органов следствия и дознания [3].</w:t>
      </w:r>
    </w:p>
    <w:p w:rsidR="00EC1A78" w:rsidRPr="003A6F86" w:rsidRDefault="00EC1A78" w:rsidP="00EC1A78">
      <w:pPr>
        <w:ind w:firstLine="426"/>
        <w:jc w:val="both"/>
        <w:rPr>
          <w:rFonts w:eastAsiaTheme="minorHAnsi"/>
          <w:sz w:val="22"/>
          <w:szCs w:val="22"/>
          <w:lang w:eastAsia="en-US"/>
        </w:rPr>
      </w:pPr>
      <w:r w:rsidRPr="003A6F86">
        <w:rPr>
          <w:rFonts w:eastAsiaTheme="minorHAnsi"/>
          <w:sz w:val="22"/>
          <w:szCs w:val="22"/>
          <w:lang w:eastAsia="en-US"/>
        </w:rPr>
        <w:t>В целях совершенствования практической деятельности прок</w:t>
      </w:r>
      <w:r w:rsidRPr="003A6F86">
        <w:rPr>
          <w:rFonts w:eastAsiaTheme="minorHAnsi"/>
          <w:sz w:val="22"/>
          <w:szCs w:val="22"/>
          <w:lang w:eastAsia="en-US"/>
        </w:rPr>
        <w:t>у</w:t>
      </w:r>
      <w:r w:rsidRPr="003A6F86">
        <w:rPr>
          <w:rFonts w:eastAsiaTheme="minorHAnsi"/>
          <w:sz w:val="22"/>
          <w:szCs w:val="22"/>
          <w:lang w:eastAsia="en-US"/>
        </w:rPr>
        <w:t>рора, следует поддержать предложения, направленные на расшир</w:t>
      </w:r>
      <w:r w:rsidRPr="003A6F86">
        <w:rPr>
          <w:rFonts w:eastAsiaTheme="minorHAnsi"/>
          <w:sz w:val="22"/>
          <w:szCs w:val="22"/>
          <w:lang w:eastAsia="en-US"/>
        </w:rPr>
        <w:t>е</w:t>
      </w:r>
      <w:r w:rsidRPr="003A6F86">
        <w:rPr>
          <w:rFonts w:eastAsiaTheme="minorHAnsi"/>
          <w:sz w:val="22"/>
          <w:szCs w:val="22"/>
          <w:lang w:eastAsia="en-US"/>
        </w:rPr>
        <w:t>ние процессуальных полномочий прокурора.</w:t>
      </w:r>
    </w:p>
    <w:p w:rsidR="00EC1A78" w:rsidRPr="003A6F86" w:rsidRDefault="00EC1A78" w:rsidP="00EC1A78">
      <w:pPr>
        <w:ind w:firstLine="426"/>
        <w:jc w:val="both"/>
        <w:rPr>
          <w:rFonts w:eastAsiaTheme="minorHAnsi"/>
          <w:sz w:val="22"/>
          <w:szCs w:val="22"/>
          <w:lang w:eastAsia="en-US"/>
        </w:rPr>
      </w:pPr>
    </w:p>
    <w:p w:rsidR="00EC1A78" w:rsidRPr="003A6F86" w:rsidRDefault="00EC1A78" w:rsidP="00EC1A78">
      <w:pPr>
        <w:ind w:firstLine="426"/>
        <w:jc w:val="center"/>
        <w:rPr>
          <w:rFonts w:eastAsiaTheme="minorHAnsi"/>
          <w:sz w:val="22"/>
          <w:szCs w:val="22"/>
          <w:lang w:eastAsia="en-US"/>
        </w:rPr>
      </w:pPr>
      <w:r w:rsidRPr="003A6F86">
        <w:rPr>
          <w:rFonts w:eastAsiaTheme="minorHAnsi"/>
          <w:sz w:val="22"/>
          <w:szCs w:val="22"/>
          <w:lang w:eastAsia="en-US"/>
        </w:rPr>
        <w:t>Список литературы</w:t>
      </w:r>
    </w:p>
    <w:p w:rsidR="00EC1A78" w:rsidRPr="003A6F86" w:rsidRDefault="00EC1A78" w:rsidP="00EC1A78">
      <w:pPr>
        <w:ind w:firstLine="426"/>
        <w:jc w:val="both"/>
        <w:rPr>
          <w:rFonts w:eastAsiaTheme="minorHAnsi"/>
          <w:sz w:val="22"/>
          <w:szCs w:val="22"/>
          <w:lang w:eastAsia="en-US"/>
        </w:rPr>
      </w:pPr>
      <w:r w:rsidRPr="003A6F86">
        <w:rPr>
          <w:rFonts w:eastAsiaTheme="minorHAnsi"/>
          <w:sz w:val="22"/>
          <w:szCs w:val="22"/>
          <w:lang w:eastAsia="en-US"/>
        </w:rPr>
        <w:t>1. Малин П.М. Должностные лица органа дознания, исполн</w:t>
      </w:r>
      <w:r w:rsidRPr="003A6F86">
        <w:rPr>
          <w:rFonts w:eastAsiaTheme="minorHAnsi"/>
          <w:sz w:val="22"/>
          <w:szCs w:val="22"/>
          <w:lang w:eastAsia="en-US"/>
        </w:rPr>
        <w:t>я</w:t>
      </w:r>
      <w:r w:rsidRPr="003A6F86">
        <w:rPr>
          <w:rFonts w:eastAsiaTheme="minorHAnsi"/>
          <w:sz w:val="22"/>
          <w:szCs w:val="22"/>
          <w:lang w:eastAsia="en-US"/>
        </w:rPr>
        <w:t>ющие поручения начальника органа дознания, как участники уг</w:t>
      </w:r>
      <w:r w:rsidRPr="003A6F86">
        <w:rPr>
          <w:rFonts w:eastAsiaTheme="minorHAnsi"/>
          <w:sz w:val="22"/>
          <w:szCs w:val="22"/>
          <w:lang w:eastAsia="en-US"/>
        </w:rPr>
        <w:t>о</w:t>
      </w:r>
      <w:r w:rsidRPr="003A6F86">
        <w:rPr>
          <w:rFonts w:eastAsiaTheme="minorHAnsi"/>
          <w:sz w:val="22"/>
          <w:szCs w:val="22"/>
          <w:lang w:eastAsia="en-US"/>
        </w:rPr>
        <w:t>ловного процесса // Научный журнал КубГАУ. 2017. №134(10).</w:t>
      </w:r>
    </w:p>
    <w:p w:rsidR="00EC1A78" w:rsidRPr="003A6F86" w:rsidRDefault="00EC1A78" w:rsidP="00EC1A78">
      <w:pPr>
        <w:ind w:firstLine="426"/>
        <w:jc w:val="both"/>
        <w:rPr>
          <w:rFonts w:eastAsiaTheme="minorHAnsi"/>
          <w:sz w:val="22"/>
          <w:szCs w:val="22"/>
          <w:lang w:eastAsia="en-US"/>
        </w:rPr>
      </w:pPr>
      <w:r w:rsidRPr="003A6F86">
        <w:rPr>
          <w:rFonts w:eastAsiaTheme="minorHAnsi"/>
          <w:sz w:val="22"/>
          <w:szCs w:val="22"/>
          <w:lang w:eastAsia="en-US"/>
        </w:rPr>
        <w:t xml:space="preserve">2. Официальный сайт Генеральной прокуратуры РФ/ </w:t>
      </w:r>
      <w:hyperlink r:id="rId366" w:history="1">
        <w:r w:rsidRPr="003A6F86">
          <w:rPr>
            <w:rFonts w:eastAsiaTheme="minorHAnsi"/>
            <w:sz w:val="22"/>
            <w:szCs w:val="22"/>
            <w:lang w:eastAsia="en-US"/>
          </w:rPr>
          <w:t>https://genproc.gov.ru/stat/data/1336134/</w:t>
        </w:r>
      </w:hyperlink>
    </w:p>
    <w:p w:rsidR="00EC1A78" w:rsidRPr="003A6F86" w:rsidRDefault="00EC1A78" w:rsidP="00EC1A78">
      <w:pPr>
        <w:ind w:firstLine="426"/>
        <w:jc w:val="both"/>
        <w:rPr>
          <w:rFonts w:eastAsiaTheme="minorHAnsi"/>
          <w:sz w:val="22"/>
          <w:szCs w:val="22"/>
          <w:lang w:eastAsia="en-US"/>
        </w:rPr>
      </w:pPr>
      <w:r w:rsidRPr="003A6F86">
        <w:rPr>
          <w:rFonts w:eastAsiaTheme="minorHAnsi"/>
          <w:sz w:val="22"/>
          <w:szCs w:val="22"/>
          <w:lang w:eastAsia="en-US"/>
        </w:rPr>
        <w:t>3. Прокуратура Краснодарского края подвела итоги за 2017г.// http://krasnodar.bezformata.ru/listnews/prokuratura–krasnodarskogo–kraya/64509747/</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C42DAC" w:rsidP="00C42DAC">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widowControl w:val="0"/>
        <w:rPr>
          <w:rFonts w:eastAsia="Courier New"/>
          <w:sz w:val="22"/>
          <w:szCs w:val="22"/>
          <w:lang w:eastAsia="en-US"/>
        </w:rPr>
      </w:pPr>
      <w:r w:rsidRPr="00EC1A78">
        <w:rPr>
          <w:rFonts w:eastAsia="Courier New"/>
          <w:sz w:val="22"/>
          <w:szCs w:val="22"/>
          <w:lang w:eastAsia="en-US"/>
        </w:rPr>
        <w:lastRenderedPageBreak/>
        <w:t>УДК 343.721</w:t>
      </w:r>
    </w:p>
    <w:p w:rsidR="00EC1A78" w:rsidRPr="00EC1A78" w:rsidRDefault="00EC1A78" w:rsidP="00EC1A78">
      <w:pPr>
        <w:widowControl w:val="0"/>
        <w:jc w:val="center"/>
        <w:rPr>
          <w:rFonts w:eastAsia="Courier New"/>
          <w:b/>
          <w:sz w:val="22"/>
          <w:szCs w:val="24"/>
          <w:lang w:eastAsia="en-US"/>
        </w:rPr>
      </w:pPr>
    </w:p>
    <w:p w:rsidR="00EC1A78" w:rsidRPr="00EC1A78" w:rsidRDefault="00EC1A78" w:rsidP="00EC1A78">
      <w:pPr>
        <w:widowControl w:val="0"/>
        <w:jc w:val="center"/>
        <w:rPr>
          <w:rFonts w:eastAsia="Courier New"/>
          <w:b/>
          <w:sz w:val="24"/>
          <w:szCs w:val="24"/>
          <w:lang w:eastAsia="en-US"/>
        </w:rPr>
      </w:pPr>
      <w:r w:rsidRPr="00EC1A78">
        <w:rPr>
          <w:rFonts w:eastAsia="Courier New"/>
          <w:b/>
          <w:sz w:val="24"/>
          <w:szCs w:val="24"/>
          <w:lang w:eastAsia="en-US"/>
        </w:rPr>
        <w:t xml:space="preserve">Отдельные аспекты квалификации мошенничества </w:t>
      </w:r>
    </w:p>
    <w:p w:rsidR="00EC1A78" w:rsidRPr="00EC1A78" w:rsidRDefault="00EC1A78" w:rsidP="00EC1A78">
      <w:pPr>
        <w:widowControl w:val="0"/>
        <w:jc w:val="center"/>
        <w:rPr>
          <w:rFonts w:eastAsia="Courier New"/>
          <w:b/>
          <w:sz w:val="24"/>
          <w:szCs w:val="24"/>
          <w:lang w:eastAsia="en-US"/>
        </w:rPr>
      </w:pPr>
      <w:r w:rsidRPr="00EC1A78">
        <w:rPr>
          <w:rFonts w:eastAsia="Courier New"/>
          <w:b/>
          <w:sz w:val="24"/>
          <w:szCs w:val="24"/>
          <w:lang w:eastAsia="en-US"/>
        </w:rPr>
        <w:t>в сфере предпринимательской деятельности</w:t>
      </w:r>
    </w:p>
    <w:p w:rsidR="00EC1A78" w:rsidRPr="00EC1A78" w:rsidRDefault="00EC1A78" w:rsidP="00EC1A78">
      <w:pPr>
        <w:widowControl w:val="0"/>
        <w:jc w:val="center"/>
        <w:rPr>
          <w:rFonts w:eastAsia="Courier New"/>
          <w:b/>
          <w:sz w:val="24"/>
          <w:szCs w:val="24"/>
          <w:lang w:val="en-US" w:eastAsia="en-US"/>
        </w:rPr>
      </w:pPr>
      <w:r w:rsidRPr="00EC1A78">
        <w:rPr>
          <w:rFonts w:eastAsia="Courier New"/>
          <w:b/>
          <w:sz w:val="24"/>
          <w:szCs w:val="24"/>
          <w:lang w:val="en-US" w:eastAsia="en-US"/>
        </w:rPr>
        <w:t xml:space="preserve">Certain aspects of the qualification of fraud in the field </w:t>
      </w:r>
    </w:p>
    <w:p w:rsidR="00EC1A78" w:rsidRPr="00EC1A78" w:rsidRDefault="00EC1A78" w:rsidP="00EC1A78">
      <w:pPr>
        <w:widowControl w:val="0"/>
        <w:jc w:val="center"/>
        <w:rPr>
          <w:rFonts w:eastAsia="Courier New"/>
          <w:b/>
          <w:sz w:val="24"/>
          <w:szCs w:val="24"/>
          <w:lang w:val="en-US" w:eastAsia="en-US"/>
        </w:rPr>
      </w:pPr>
      <w:r w:rsidRPr="00EC1A78">
        <w:rPr>
          <w:rFonts w:eastAsia="Courier New"/>
          <w:b/>
          <w:sz w:val="24"/>
          <w:szCs w:val="24"/>
          <w:lang w:val="en-US" w:eastAsia="en-US"/>
        </w:rPr>
        <w:t>of entrepreneurial activity</w:t>
      </w:r>
    </w:p>
    <w:p w:rsidR="00EC1A78" w:rsidRPr="00EC1A78" w:rsidRDefault="00EC1A78" w:rsidP="00EC1A78">
      <w:pPr>
        <w:widowControl w:val="0"/>
        <w:tabs>
          <w:tab w:val="left" w:pos="8223"/>
        </w:tabs>
        <w:jc w:val="right"/>
        <w:rPr>
          <w:rFonts w:eastAsia="Courier New"/>
          <w:sz w:val="22"/>
          <w:szCs w:val="22"/>
          <w:lang w:val="en-US" w:eastAsia="en-US"/>
        </w:rPr>
      </w:pPr>
    </w:p>
    <w:p w:rsidR="00EC1A78" w:rsidRPr="00E62E4B" w:rsidRDefault="00EC1A78" w:rsidP="003A6F86">
      <w:pPr>
        <w:widowControl w:val="0"/>
        <w:tabs>
          <w:tab w:val="left" w:pos="8223"/>
        </w:tabs>
        <w:jc w:val="right"/>
        <w:rPr>
          <w:rFonts w:eastAsia="Courier New"/>
          <w:sz w:val="22"/>
          <w:szCs w:val="22"/>
          <w:lang w:val="en-US" w:eastAsia="en-US"/>
        </w:rPr>
      </w:pPr>
      <w:r w:rsidRPr="00EC1A78">
        <w:rPr>
          <w:rFonts w:eastAsia="Courier New"/>
          <w:sz w:val="22"/>
          <w:szCs w:val="22"/>
          <w:lang w:eastAsia="en-US"/>
        </w:rPr>
        <w:t>Бондаренко</w:t>
      </w:r>
      <w:r w:rsidRPr="00E62E4B">
        <w:rPr>
          <w:rFonts w:eastAsia="Courier New"/>
          <w:sz w:val="22"/>
          <w:szCs w:val="22"/>
          <w:lang w:val="en-US" w:eastAsia="en-US"/>
        </w:rPr>
        <w:t xml:space="preserve"> </w:t>
      </w:r>
      <w:r w:rsidRPr="00EC1A78">
        <w:rPr>
          <w:rFonts w:eastAsia="Courier New"/>
          <w:sz w:val="22"/>
          <w:szCs w:val="22"/>
          <w:lang w:eastAsia="en-US"/>
        </w:rPr>
        <w:t>А</w:t>
      </w:r>
      <w:r w:rsidRPr="00E62E4B">
        <w:rPr>
          <w:rFonts w:eastAsia="Courier New"/>
          <w:sz w:val="22"/>
          <w:szCs w:val="22"/>
          <w:lang w:val="en-US" w:eastAsia="en-US"/>
        </w:rPr>
        <w:t>.</w:t>
      </w:r>
      <w:r w:rsidR="003A6F86" w:rsidRPr="00E62E4B">
        <w:rPr>
          <w:rFonts w:eastAsia="Courier New"/>
          <w:sz w:val="22"/>
          <w:szCs w:val="22"/>
          <w:lang w:val="en-US" w:eastAsia="en-US"/>
        </w:rPr>
        <w:t xml:space="preserve"> </w:t>
      </w:r>
      <w:r w:rsidRPr="00EC1A78">
        <w:rPr>
          <w:rFonts w:eastAsia="Courier New"/>
          <w:sz w:val="22"/>
          <w:szCs w:val="22"/>
          <w:lang w:eastAsia="en-US"/>
        </w:rPr>
        <w:t>В</w:t>
      </w:r>
      <w:r w:rsidRPr="00E62E4B">
        <w:rPr>
          <w:rFonts w:eastAsia="Courier New"/>
          <w:sz w:val="22"/>
          <w:szCs w:val="22"/>
          <w:lang w:val="en-US" w:eastAsia="en-US"/>
        </w:rPr>
        <w:t>.,</w:t>
      </w:r>
      <w:r w:rsidR="003A6F86" w:rsidRPr="00E62E4B">
        <w:rPr>
          <w:rFonts w:eastAsia="Courier New"/>
          <w:sz w:val="22"/>
          <w:szCs w:val="22"/>
          <w:lang w:val="en-US" w:eastAsia="en-US"/>
        </w:rPr>
        <w:t xml:space="preserve"> </w:t>
      </w:r>
      <w:r w:rsidRPr="00EC1A78">
        <w:rPr>
          <w:rFonts w:eastAsia="Courier New"/>
          <w:sz w:val="22"/>
          <w:szCs w:val="22"/>
          <w:lang w:eastAsia="en-US"/>
        </w:rPr>
        <w:t>Хмельков</w:t>
      </w:r>
      <w:r w:rsidRPr="00E62E4B">
        <w:rPr>
          <w:rFonts w:eastAsia="Courier New"/>
          <w:sz w:val="22"/>
          <w:szCs w:val="22"/>
          <w:lang w:val="en-US" w:eastAsia="en-US"/>
        </w:rPr>
        <w:t xml:space="preserve"> </w:t>
      </w:r>
      <w:r w:rsidRPr="00EC1A78">
        <w:rPr>
          <w:rFonts w:eastAsia="Courier New"/>
          <w:sz w:val="22"/>
          <w:szCs w:val="22"/>
          <w:lang w:eastAsia="en-US"/>
        </w:rPr>
        <w:t>Н</w:t>
      </w:r>
      <w:r w:rsidRPr="00E62E4B">
        <w:rPr>
          <w:rFonts w:eastAsia="Courier New"/>
          <w:sz w:val="22"/>
          <w:szCs w:val="22"/>
          <w:lang w:val="en-US" w:eastAsia="en-US"/>
        </w:rPr>
        <w:t>.</w:t>
      </w:r>
      <w:r w:rsidR="003A6F86" w:rsidRPr="00E62E4B">
        <w:rPr>
          <w:rFonts w:eastAsia="Courier New"/>
          <w:sz w:val="22"/>
          <w:szCs w:val="22"/>
          <w:lang w:val="en-US" w:eastAsia="en-US"/>
        </w:rPr>
        <w:t xml:space="preserve"> </w:t>
      </w:r>
      <w:r w:rsidRPr="00EC1A78">
        <w:rPr>
          <w:rFonts w:eastAsia="Courier New"/>
          <w:sz w:val="22"/>
          <w:szCs w:val="22"/>
          <w:lang w:eastAsia="en-US"/>
        </w:rPr>
        <w:t>В</w:t>
      </w:r>
      <w:r w:rsidRPr="00E62E4B">
        <w:rPr>
          <w:rFonts w:eastAsia="Courier New"/>
          <w:sz w:val="22"/>
          <w:szCs w:val="22"/>
          <w:lang w:val="en-US" w:eastAsia="en-US"/>
        </w:rPr>
        <w:t>.,</w:t>
      </w:r>
    </w:p>
    <w:p w:rsidR="00EC1A78" w:rsidRPr="00EC1A78" w:rsidRDefault="00EC1A78" w:rsidP="00EC1A78">
      <w:pPr>
        <w:widowControl w:val="0"/>
        <w:tabs>
          <w:tab w:val="left" w:pos="8223"/>
        </w:tabs>
        <w:jc w:val="right"/>
        <w:rPr>
          <w:rFonts w:eastAsia="Courier New"/>
          <w:sz w:val="22"/>
          <w:szCs w:val="22"/>
          <w:lang w:eastAsia="en-US"/>
        </w:rPr>
      </w:pPr>
      <w:r w:rsidRPr="00EC1A78">
        <w:rPr>
          <w:rFonts w:eastAsia="Courier New"/>
          <w:sz w:val="22"/>
          <w:szCs w:val="22"/>
          <w:lang w:eastAsia="en-US"/>
        </w:rPr>
        <w:t>студент</w:t>
      </w:r>
      <w:r w:rsidR="003A6F86">
        <w:rPr>
          <w:rFonts w:eastAsia="Courier New"/>
          <w:sz w:val="22"/>
          <w:szCs w:val="22"/>
          <w:lang w:eastAsia="en-US"/>
        </w:rPr>
        <w:t>ы</w:t>
      </w:r>
      <w:r w:rsidRPr="00EC1A78">
        <w:rPr>
          <w:rFonts w:eastAsia="Courier New"/>
          <w:sz w:val="22"/>
          <w:szCs w:val="22"/>
          <w:lang w:eastAsia="en-US"/>
        </w:rPr>
        <w:t xml:space="preserve"> 3–го курса юридического факультета</w:t>
      </w:r>
    </w:p>
    <w:p w:rsidR="00EC1A78" w:rsidRPr="00EC1A78" w:rsidRDefault="00EC1A78" w:rsidP="00EC1A78">
      <w:pPr>
        <w:widowControl w:val="0"/>
        <w:tabs>
          <w:tab w:val="left" w:pos="8223"/>
        </w:tabs>
        <w:jc w:val="right"/>
        <w:rPr>
          <w:rFonts w:eastAsia="Courier New"/>
          <w:sz w:val="22"/>
          <w:szCs w:val="22"/>
          <w:lang w:eastAsia="en-US"/>
        </w:rPr>
      </w:pPr>
      <w:r w:rsidRPr="00EC1A78">
        <w:rPr>
          <w:rFonts w:eastAsia="Courier New"/>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sz w:val="22"/>
          <w:szCs w:val="22"/>
          <w:lang w:eastAsia="en-US"/>
        </w:rPr>
      </w:pPr>
      <w:r w:rsidRPr="00EC1A78">
        <w:rPr>
          <w:rFonts w:eastAsia="Courier New"/>
          <w:sz w:val="22"/>
          <w:szCs w:val="22"/>
          <w:lang w:eastAsia="en-US"/>
        </w:rPr>
        <w:t>университет имени И.</w:t>
      </w:r>
      <w:r w:rsidR="003A6F86">
        <w:rPr>
          <w:rFonts w:eastAsia="Courier New"/>
          <w:sz w:val="22"/>
          <w:szCs w:val="22"/>
          <w:lang w:eastAsia="en-US"/>
        </w:rPr>
        <w:t xml:space="preserve"> </w:t>
      </w:r>
      <w:r w:rsidRPr="00EC1A78">
        <w:rPr>
          <w:rFonts w:eastAsia="Courier New"/>
          <w:sz w:val="22"/>
          <w:szCs w:val="22"/>
          <w:lang w:eastAsia="en-US"/>
        </w:rPr>
        <w:t>Т. Трубилина</w:t>
      </w:r>
    </w:p>
    <w:p w:rsidR="00EC1A78" w:rsidRPr="00EC1A78" w:rsidRDefault="00EC1A78" w:rsidP="00EC1A78">
      <w:pPr>
        <w:widowControl w:val="0"/>
        <w:tabs>
          <w:tab w:val="left" w:pos="8223"/>
        </w:tabs>
        <w:jc w:val="right"/>
        <w:rPr>
          <w:rFonts w:eastAsia="Courier New"/>
          <w:sz w:val="22"/>
          <w:szCs w:val="22"/>
          <w:lang w:eastAsia="en-US"/>
        </w:rPr>
      </w:pPr>
    </w:p>
    <w:p w:rsidR="00EC1A78" w:rsidRPr="00EC1A78" w:rsidRDefault="00EC1A78" w:rsidP="00EC1A78">
      <w:pPr>
        <w:widowControl w:val="0"/>
        <w:tabs>
          <w:tab w:val="left" w:pos="8223"/>
        </w:tabs>
        <w:ind w:firstLine="426"/>
        <w:jc w:val="both"/>
        <w:rPr>
          <w:rFonts w:eastAsia="Courier New"/>
          <w:sz w:val="22"/>
          <w:szCs w:val="22"/>
          <w:lang w:eastAsia="en-US"/>
        </w:rPr>
      </w:pPr>
      <w:r w:rsidRPr="00EC1A78">
        <w:rPr>
          <w:rFonts w:eastAsia="Courier New"/>
          <w:sz w:val="22"/>
          <w:szCs w:val="22"/>
          <w:lang w:eastAsia="en-US"/>
        </w:rPr>
        <w:t>АННОТАЦИЯ: В статье рассматриваются проблемы прав</w:t>
      </w:r>
      <w:r w:rsidRPr="00EC1A78">
        <w:rPr>
          <w:rFonts w:eastAsia="Courier New"/>
          <w:sz w:val="22"/>
          <w:szCs w:val="22"/>
          <w:lang w:eastAsia="en-US"/>
        </w:rPr>
        <w:t>о</w:t>
      </w:r>
      <w:r w:rsidRPr="00EC1A78">
        <w:rPr>
          <w:rFonts w:eastAsia="Courier New"/>
          <w:sz w:val="22"/>
          <w:szCs w:val="22"/>
          <w:lang w:eastAsia="en-US"/>
        </w:rPr>
        <w:t xml:space="preserve">применения статьи 159 Уголовного кодекса Российской Федерации. </w:t>
      </w:r>
    </w:p>
    <w:p w:rsidR="00EC1A78" w:rsidRPr="00EC1A78" w:rsidRDefault="00EC1A78" w:rsidP="00EC1A78">
      <w:pPr>
        <w:widowControl w:val="0"/>
        <w:tabs>
          <w:tab w:val="left" w:pos="8223"/>
        </w:tabs>
        <w:ind w:firstLine="426"/>
        <w:jc w:val="both"/>
        <w:rPr>
          <w:rFonts w:eastAsia="Courier New"/>
          <w:sz w:val="22"/>
          <w:szCs w:val="22"/>
          <w:lang w:val="en-US" w:eastAsia="en-US"/>
        </w:rPr>
      </w:pPr>
      <w:r w:rsidRPr="00EC1A78">
        <w:rPr>
          <w:rFonts w:eastAsia="Courier New"/>
          <w:sz w:val="22"/>
          <w:szCs w:val="22"/>
          <w:lang w:val="en-US" w:eastAsia="en-US"/>
        </w:rPr>
        <w:t>ABSTRACT:</w:t>
      </w:r>
      <w:r w:rsidRPr="00EC1A78">
        <w:rPr>
          <w:rFonts w:eastAsia="Courier New"/>
          <w:sz w:val="22"/>
          <w:szCs w:val="22"/>
          <w:shd w:val="clear" w:color="auto" w:fill="FFFFFF"/>
          <w:lang w:val="en-US" w:eastAsia="en-US"/>
        </w:rPr>
        <w:t xml:space="preserve"> The article discusses problems of enforcement of Art. 159 of the Criminal Code of the Russian Federation.</w:t>
      </w:r>
    </w:p>
    <w:p w:rsidR="00EC1A78" w:rsidRPr="00EC1A78" w:rsidRDefault="00EC1A78" w:rsidP="00EC1A78">
      <w:pPr>
        <w:widowControl w:val="0"/>
        <w:tabs>
          <w:tab w:val="left" w:pos="8223"/>
        </w:tabs>
        <w:ind w:firstLine="426"/>
        <w:jc w:val="both"/>
        <w:rPr>
          <w:rFonts w:eastAsia="Courier New"/>
          <w:sz w:val="22"/>
          <w:szCs w:val="22"/>
          <w:lang w:eastAsia="en-US"/>
        </w:rPr>
      </w:pPr>
      <w:r w:rsidRPr="00EC1A78">
        <w:rPr>
          <w:rFonts w:eastAsia="Courier New"/>
          <w:sz w:val="22"/>
          <w:szCs w:val="22"/>
          <w:lang w:eastAsia="en-US"/>
        </w:rPr>
        <w:t>КЛЮЧЕВЫЕ СЛОВА: предпринимательство, мошенничество, квалификация преступлений.</w:t>
      </w:r>
    </w:p>
    <w:p w:rsidR="00EC1A78" w:rsidRPr="00EC1A78" w:rsidRDefault="00EC1A78" w:rsidP="00EC1A78">
      <w:pPr>
        <w:widowControl w:val="0"/>
        <w:tabs>
          <w:tab w:val="left" w:pos="8223"/>
        </w:tabs>
        <w:ind w:firstLine="426"/>
        <w:jc w:val="both"/>
        <w:rPr>
          <w:rFonts w:eastAsia="Courier New"/>
          <w:sz w:val="22"/>
          <w:szCs w:val="22"/>
          <w:lang w:val="en-US" w:eastAsia="en-US"/>
        </w:rPr>
      </w:pPr>
      <w:r w:rsidRPr="00EC1A78">
        <w:rPr>
          <w:rFonts w:eastAsia="Courier New"/>
          <w:sz w:val="22"/>
          <w:szCs w:val="22"/>
          <w:lang w:val="en-US" w:eastAsia="en-US"/>
        </w:rPr>
        <w:t>KEYWORDS: entrepreneurship, fraud, qualification of crime.</w:t>
      </w:r>
    </w:p>
    <w:p w:rsidR="00EC1A78" w:rsidRPr="00EC1A78" w:rsidRDefault="00EC1A78" w:rsidP="00EC1A78">
      <w:pPr>
        <w:widowControl w:val="0"/>
        <w:tabs>
          <w:tab w:val="left" w:pos="8223"/>
        </w:tabs>
        <w:ind w:firstLine="426"/>
        <w:jc w:val="both"/>
        <w:rPr>
          <w:rFonts w:eastAsia="Courier New"/>
          <w:sz w:val="22"/>
          <w:szCs w:val="22"/>
          <w:lang w:val="en-US" w:eastAsia="en-US"/>
        </w:rPr>
      </w:pPr>
    </w:p>
    <w:p w:rsidR="00EC1A78" w:rsidRPr="00EC1A78" w:rsidRDefault="00EC1A78" w:rsidP="00C42DAC">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В 2014 году Конституционный Суд РФ признал определенные</w:t>
      </w:r>
      <w:r w:rsidR="00C42DAC">
        <w:rPr>
          <w:rFonts w:eastAsiaTheme="minorHAnsi"/>
          <w:sz w:val="22"/>
          <w:szCs w:val="22"/>
          <w:lang w:eastAsia="en-US"/>
        </w:rPr>
        <w:t xml:space="preserve"> положения ст. 159.4 УК РФ [1] </w:t>
      </w:r>
      <w:r w:rsidRPr="00EC1A78">
        <w:rPr>
          <w:rFonts w:eastAsiaTheme="minorHAnsi"/>
          <w:sz w:val="22"/>
          <w:szCs w:val="22"/>
          <w:lang w:eastAsia="en-US"/>
        </w:rPr>
        <w:t>не соответствующими положениям Конституции РФ [2] (граждане, которые считаются потерпевшими в соответствии с данной нормой, находятся в менее безопасном п</w:t>
      </w:r>
      <w:r w:rsidRPr="00EC1A78">
        <w:rPr>
          <w:rFonts w:eastAsiaTheme="minorHAnsi"/>
          <w:sz w:val="22"/>
          <w:szCs w:val="22"/>
          <w:lang w:eastAsia="en-US"/>
        </w:rPr>
        <w:t>о</w:t>
      </w:r>
      <w:r w:rsidRPr="00EC1A78">
        <w:rPr>
          <w:rFonts w:eastAsiaTheme="minorHAnsi"/>
          <w:sz w:val="22"/>
          <w:szCs w:val="22"/>
          <w:lang w:eastAsia="en-US"/>
        </w:rPr>
        <w:t>ложении, чем граждане, которые подлежали защите в соответствии с общими положениями статьи 159 УК РФ) и законодателю было</w:t>
      </w:r>
      <w:r w:rsidR="00C42DAC">
        <w:rPr>
          <w:rFonts w:eastAsiaTheme="minorHAnsi"/>
          <w:sz w:val="22"/>
          <w:szCs w:val="22"/>
          <w:lang w:eastAsia="en-US"/>
        </w:rPr>
        <w:t xml:space="preserve"> предложено внести необходимые </w:t>
      </w:r>
      <w:r w:rsidRPr="00EC1A78">
        <w:rPr>
          <w:rFonts w:eastAsiaTheme="minorHAnsi"/>
          <w:sz w:val="22"/>
          <w:szCs w:val="22"/>
          <w:lang w:eastAsia="en-US"/>
        </w:rPr>
        <w:t>изменения в довольно краткие сроки(6 месяцев).</w:t>
      </w:r>
      <w:r w:rsidR="00C42DAC">
        <w:rPr>
          <w:rFonts w:eastAsiaTheme="minorHAnsi"/>
          <w:sz w:val="22"/>
          <w:szCs w:val="22"/>
          <w:lang w:eastAsia="en-US"/>
        </w:rPr>
        <w:t xml:space="preserve"> </w:t>
      </w:r>
      <w:r w:rsidRPr="00EC1A78">
        <w:rPr>
          <w:rFonts w:eastAsiaTheme="minorHAnsi"/>
          <w:sz w:val="22"/>
          <w:szCs w:val="22"/>
          <w:lang w:eastAsia="en-US"/>
        </w:rPr>
        <w:t>Поправками были дополнены части 5, 6 и 7 ст. 159 УК РФ, которые установили формы мошенничества в сфере предпринимательства. В примечании к этой статье указано на то, что речь идет только об индивидуальных предпринимателях и об организациях, основной деятельностью которых является извлеч</w:t>
      </w:r>
      <w:r w:rsidRPr="00EC1A78">
        <w:rPr>
          <w:rFonts w:eastAsiaTheme="minorHAnsi"/>
          <w:sz w:val="22"/>
          <w:szCs w:val="22"/>
          <w:lang w:eastAsia="en-US"/>
        </w:rPr>
        <w:t>е</w:t>
      </w:r>
      <w:r w:rsidRPr="00EC1A78">
        <w:rPr>
          <w:rFonts w:eastAsiaTheme="minorHAnsi"/>
          <w:sz w:val="22"/>
          <w:szCs w:val="22"/>
          <w:lang w:eastAsia="en-US"/>
        </w:rPr>
        <w:t>ние прибыли. Т.е. для правильной квалификации в соответствии с настоящей статьей необходимо, чтобы оба преступника были суб</w:t>
      </w:r>
      <w:r w:rsidRPr="00EC1A78">
        <w:rPr>
          <w:rFonts w:eastAsiaTheme="minorHAnsi"/>
          <w:sz w:val="22"/>
          <w:szCs w:val="22"/>
          <w:lang w:eastAsia="en-US"/>
        </w:rPr>
        <w:t>ъ</w:t>
      </w:r>
      <w:r w:rsidRPr="00EC1A78">
        <w:rPr>
          <w:rFonts w:eastAsiaTheme="minorHAnsi"/>
          <w:sz w:val="22"/>
          <w:szCs w:val="22"/>
          <w:lang w:eastAsia="en-US"/>
        </w:rPr>
        <w:t>ектами предпринимательской деятельности.</w:t>
      </w:r>
    </w:p>
    <w:p w:rsidR="00EC1A78" w:rsidRPr="00EC1A78" w:rsidRDefault="00EC1A78" w:rsidP="00EC1A78">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Однако же и на сегодняшний день существуют проблемы, св</w:t>
      </w:r>
      <w:r w:rsidRPr="00EC1A78">
        <w:rPr>
          <w:rFonts w:eastAsiaTheme="minorHAnsi"/>
          <w:sz w:val="22"/>
          <w:szCs w:val="22"/>
          <w:lang w:eastAsia="en-US"/>
        </w:rPr>
        <w:t>я</w:t>
      </w:r>
      <w:r w:rsidRPr="00EC1A78">
        <w:rPr>
          <w:rFonts w:eastAsiaTheme="minorHAnsi"/>
          <w:sz w:val="22"/>
          <w:szCs w:val="22"/>
          <w:lang w:eastAsia="en-US"/>
        </w:rPr>
        <w:t xml:space="preserve">занные с неправильным соблюдением правил исследуемой статьи в </w:t>
      </w:r>
      <w:r w:rsidRPr="00EC1A78">
        <w:rPr>
          <w:rFonts w:eastAsiaTheme="minorHAnsi"/>
          <w:sz w:val="22"/>
          <w:szCs w:val="22"/>
          <w:lang w:eastAsia="en-US"/>
        </w:rPr>
        <w:lastRenderedPageBreak/>
        <w:t>сфере предпринимательской деятельности.</w:t>
      </w:r>
    </w:p>
    <w:p w:rsidR="00EC1A78" w:rsidRPr="00EC1A78" w:rsidRDefault="00EC1A78" w:rsidP="00EC1A78">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Главная проблема, и она же самая известная, заключается в том, что недобросовестные конкурирующие предприниматели намеренно переводят спор о хозяйственной деятельности в сферу уголовного преследования. Другими словами, в нашей стране во</w:t>
      </w:r>
      <w:r w:rsidRPr="00EC1A78">
        <w:rPr>
          <w:rFonts w:eastAsiaTheme="minorHAnsi"/>
          <w:sz w:val="22"/>
          <w:szCs w:val="22"/>
          <w:lang w:eastAsia="en-US"/>
        </w:rPr>
        <w:t>з</w:t>
      </w:r>
      <w:r w:rsidRPr="00EC1A78">
        <w:rPr>
          <w:rFonts w:eastAsiaTheme="minorHAnsi"/>
          <w:sz w:val="22"/>
          <w:szCs w:val="22"/>
          <w:lang w:eastAsia="en-US"/>
        </w:rPr>
        <w:t>можно возбуждение уголовного дела недобросовестными работн</w:t>
      </w:r>
      <w:r w:rsidRPr="00EC1A78">
        <w:rPr>
          <w:rFonts w:eastAsiaTheme="minorHAnsi"/>
          <w:sz w:val="22"/>
          <w:szCs w:val="22"/>
          <w:lang w:eastAsia="en-US"/>
        </w:rPr>
        <w:t>и</w:t>
      </w:r>
      <w:r w:rsidRPr="00EC1A78">
        <w:rPr>
          <w:rFonts w:eastAsiaTheme="minorHAnsi"/>
          <w:sz w:val="22"/>
          <w:szCs w:val="22"/>
          <w:lang w:eastAsia="en-US"/>
        </w:rPr>
        <w:t>ками правоохранительных органов при отсутствии мошенничества с целью давления на бизнес, с учетом коррупционной составля</w:t>
      </w:r>
      <w:r w:rsidRPr="00EC1A78">
        <w:rPr>
          <w:rFonts w:eastAsiaTheme="minorHAnsi"/>
          <w:sz w:val="22"/>
          <w:szCs w:val="22"/>
          <w:lang w:eastAsia="en-US"/>
        </w:rPr>
        <w:t>ю</w:t>
      </w:r>
      <w:r w:rsidRPr="00EC1A78">
        <w:rPr>
          <w:rFonts w:eastAsiaTheme="minorHAnsi"/>
          <w:sz w:val="22"/>
          <w:szCs w:val="22"/>
          <w:lang w:eastAsia="en-US"/>
        </w:rPr>
        <w:t>щей.</w:t>
      </w:r>
    </w:p>
    <w:p w:rsidR="00EC1A78" w:rsidRPr="00EC1A78" w:rsidRDefault="00EC1A78" w:rsidP="00EC1A78">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Иная проблема – это сумма ущерба, причиненного субъектом хозяйственной деятельности. Преступнику зачастую вменяется о</w:t>
      </w:r>
      <w:r w:rsidRPr="00EC1A78">
        <w:rPr>
          <w:rFonts w:eastAsiaTheme="minorHAnsi"/>
          <w:sz w:val="22"/>
          <w:szCs w:val="22"/>
          <w:lang w:eastAsia="en-US"/>
        </w:rPr>
        <w:t>б</w:t>
      </w:r>
      <w:r w:rsidRPr="00EC1A78">
        <w:rPr>
          <w:rFonts w:eastAsiaTheme="minorHAnsi"/>
          <w:sz w:val="22"/>
          <w:szCs w:val="22"/>
          <w:lang w:eastAsia="en-US"/>
        </w:rPr>
        <w:t>щая сумма договора, а не сумма тех материальных средств, которые на самом деле оказались украдены. В качестве наглядного примера в литературе [3] приводится следующая ситуация: для приобрет</w:t>
      </w:r>
      <w:r w:rsidRPr="00EC1A78">
        <w:rPr>
          <w:rFonts w:eastAsiaTheme="minorHAnsi"/>
          <w:sz w:val="22"/>
          <w:szCs w:val="22"/>
          <w:lang w:eastAsia="en-US"/>
        </w:rPr>
        <w:t>е</w:t>
      </w:r>
      <w:r w:rsidRPr="00EC1A78">
        <w:rPr>
          <w:rFonts w:eastAsiaTheme="minorHAnsi"/>
          <w:sz w:val="22"/>
          <w:szCs w:val="22"/>
          <w:lang w:eastAsia="en-US"/>
        </w:rPr>
        <w:t>ния производственных станков было привлечено 100 миллионов рублей обвиняемого и 150 миллионов рублей по внешним инвест</w:t>
      </w:r>
      <w:r w:rsidRPr="00EC1A78">
        <w:rPr>
          <w:rFonts w:eastAsiaTheme="minorHAnsi"/>
          <w:sz w:val="22"/>
          <w:szCs w:val="22"/>
          <w:lang w:eastAsia="en-US"/>
        </w:rPr>
        <w:t>и</w:t>
      </w:r>
      <w:r w:rsidRPr="00EC1A78">
        <w:rPr>
          <w:rFonts w:eastAsiaTheme="minorHAnsi"/>
          <w:sz w:val="22"/>
          <w:szCs w:val="22"/>
          <w:lang w:eastAsia="en-US"/>
        </w:rPr>
        <w:t>ционным источникам. Покупатель привлечен к ответственности, размер ущерба оценен в 250 миллионов рублей, в то время как де</w:t>
      </w:r>
      <w:r w:rsidRPr="00EC1A78">
        <w:rPr>
          <w:rFonts w:eastAsiaTheme="minorHAnsi"/>
          <w:sz w:val="22"/>
          <w:szCs w:val="22"/>
          <w:lang w:eastAsia="en-US"/>
        </w:rPr>
        <w:t>й</w:t>
      </w:r>
      <w:r w:rsidRPr="00EC1A78">
        <w:rPr>
          <w:rFonts w:eastAsiaTheme="minorHAnsi"/>
          <w:sz w:val="22"/>
          <w:szCs w:val="22"/>
          <w:lang w:eastAsia="en-US"/>
        </w:rPr>
        <w:t>ствительно надлежало признать в качестве ущерба не полную су</w:t>
      </w:r>
      <w:r w:rsidRPr="00EC1A78">
        <w:rPr>
          <w:rFonts w:eastAsiaTheme="minorHAnsi"/>
          <w:sz w:val="22"/>
          <w:szCs w:val="22"/>
          <w:lang w:eastAsia="en-US"/>
        </w:rPr>
        <w:t>м</w:t>
      </w:r>
      <w:r w:rsidRPr="00EC1A78">
        <w:rPr>
          <w:rFonts w:eastAsiaTheme="minorHAnsi"/>
          <w:sz w:val="22"/>
          <w:szCs w:val="22"/>
          <w:lang w:eastAsia="en-US"/>
        </w:rPr>
        <w:t>му переданных денег, а только их часть, которая не была использ</w:t>
      </w:r>
      <w:r w:rsidRPr="00EC1A78">
        <w:rPr>
          <w:rFonts w:eastAsiaTheme="minorHAnsi"/>
          <w:sz w:val="22"/>
          <w:szCs w:val="22"/>
          <w:lang w:eastAsia="en-US"/>
        </w:rPr>
        <w:t>о</w:t>
      </w:r>
      <w:r w:rsidRPr="00EC1A78">
        <w:rPr>
          <w:rFonts w:eastAsiaTheme="minorHAnsi"/>
          <w:sz w:val="22"/>
          <w:szCs w:val="22"/>
          <w:lang w:eastAsia="en-US"/>
        </w:rPr>
        <w:t>вана по назначению.</w:t>
      </w:r>
    </w:p>
    <w:p w:rsidR="00EC1A78" w:rsidRPr="00EC1A78" w:rsidRDefault="00EC1A78" w:rsidP="00EC1A78">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Существует также ряд вопросов, связанный с квалификацией содеянного. К примеру, можем ли мы считать генерального дире</w:t>
      </w:r>
      <w:r w:rsidRPr="00EC1A78">
        <w:rPr>
          <w:rFonts w:eastAsiaTheme="minorHAnsi"/>
          <w:sz w:val="22"/>
          <w:szCs w:val="22"/>
          <w:lang w:eastAsia="en-US"/>
        </w:rPr>
        <w:t>к</w:t>
      </w:r>
      <w:r w:rsidRPr="00EC1A78">
        <w:rPr>
          <w:rFonts w:eastAsiaTheme="minorHAnsi"/>
          <w:sz w:val="22"/>
          <w:szCs w:val="22"/>
          <w:lang w:eastAsia="en-US"/>
        </w:rPr>
        <w:t>тора организации и бухгалтера предпринимателями, и, соотве</w:t>
      </w:r>
      <w:r w:rsidRPr="00EC1A78">
        <w:rPr>
          <w:rFonts w:eastAsiaTheme="minorHAnsi"/>
          <w:sz w:val="22"/>
          <w:szCs w:val="22"/>
          <w:lang w:eastAsia="en-US"/>
        </w:rPr>
        <w:t>т</w:t>
      </w:r>
      <w:r w:rsidRPr="00EC1A78">
        <w:rPr>
          <w:rFonts w:eastAsiaTheme="minorHAnsi"/>
          <w:sz w:val="22"/>
          <w:szCs w:val="22"/>
          <w:lang w:eastAsia="en-US"/>
        </w:rPr>
        <w:t>ственно, подлежат ли их действия  квалификации по специальным составам преступлений? Вроде бы, все ясно: юридическое лицо способно осуществлять свою деятельность только через этих л</w:t>
      </w:r>
      <w:r w:rsidRPr="00EC1A78">
        <w:rPr>
          <w:rFonts w:eastAsiaTheme="minorHAnsi"/>
          <w:sz w:val="22"/>
          <w:szCs w:val="22"/>
          <w:lang w:eastAsia="en-US"/>
        </w:rPr>
        <w:t>ю</w:t>
      </w:r>
      <w:r w:rsidRPr="00EC1A78">
        <w:rPr>
          <w:rFonts w:eastAsiaTheme="minorHAnsi"/>
          <w:sz w:val="22"/>
          <w:szCs w:val="22"/>
          <w:lang w:eastAsia="en-US"/>
        </w:rPr>
        <w:t>дей, так что их действия подпадают под «предпринимательскую» статью. Тем не менее, как показывает практика, под тем предлогом, что генеральный директор и бухгалтер не являются предприним</w:t>
      </w:r>
      <w:r w:rsidRPr="00EC1A78">
        <w:rPr>
          <w:rFonts w:eastAsiaTheme="minorHAnsi"/>
          <w:sz w:val="22"/>
          <w:szCs w:val="22"/>
          <w:lang w:eastAsia="en-US"/>
        </w:rPr>
        <w:t>а</w:t>
      </w:r>
      <w:r w:rsidRPr="00EC1A78">
        <w:rPr>
          <w:rFonts w:eastAsiaTheme="minorHAnsi"/>
          <w:sz w:val="22"/>
          <w:szCs w:val="22"/>
          <w:lang w:eastAsia="en-US"/>
        </w:rPr>
        <w:t>телями, к ним применяется такая мера пресечения, как заключение под стражу.</w:t>
      </w:r>
    </w:p>
    <w:p w:rsidR="00EC1A78" w:rsidRDefault="00EC1A78" w:rsidP="00C42DAC">
      <w:pPr>
        <w:widowControl w:val="0"/>
        <w:tabs>
          <w:tab w:val="left" w:pos="8223"/>
        </w:tabs>
        <w:ind w:firstLine="426"/>
        <w:jc w:val="both"/>
        <w:rPr>
          <w:rFonts w:eastAsiaTheme="minorHAnsi"/>
          <w:sz w:val="22"/>
          <w:szCs w:val="22"/>
          <w:lang w:eastAsia="en-US"/>
        </w:rPr>
      </w:pPr>
      <w:r w:rsidRPr="00EC1A78">
        <w:rPr>
          <w:rFonts w:eastAsiaTheme="minorHAnsi"/>
          <w:sz w:val="22"/>
          <w:szCs w:val="22"/>
          <w:lang w:eastAsia="en-US"/>
        </w:rPr>
        <w:t>Опять же, если затронуть тему мер пресечения, принимаемых по решению суда, то в последнее время в отношении предприним</w:t>
      </w:r>
      <w:r w:rsidRPr="00EC1A78">
        <w:rPr>
          <w:rFonts w:eastAsiaTheme="minorHAnsi"/>
          <w:sz w:val="22"/>
          <w:szCs w:val="22"/>
          <w:lang w:eastAsia="en-US"/>
        </w:rPr>
        <w:t>а</w:t>
      </w:r>
      <w:r w:rsidRPr="00EC1A78">
        <w:rPr>
          <w:rFonts w:eastAsiaTheme="minorHAnsi"/>
          <w:sz w:val="22"/>
          <w:szCs w:val="22"/>
          <w:lang w:eastAsia="en-US"/>
        </w:rPr>
        <w:t>телей действительно стали применять домашний арест вместо обычного заключения под стражу, однако залог в отношении под</w:t>
      </w:r>
      <w:r w:rsidRPr="00EC1A78">
        <w:rPr>
          <w:rFonts w:eastAsiaTheme="minorHAnsi"/>
          <w:sz w:val="22"/>
          <w:szCs w:val="22"/>
          <w:lang w:eastAsia="en-US"/>
        </w:rPr>
        <w:t>о</w:t>
      </w:r>
      <w:r w:rsidRPr="00EC1A78">
        <w:rPr>
          <w:rFonts w:eastAsiaTheme="minorHAnsi"/>
          <w:sz w:val="22"/>
          <w:szCs w:val="22"/>
          <w:lang w:eastAsia="en-US"/>
        </w:rPr>
        <w:t>зреваемых и обвиняемых до сих пор используют не так часто [4; 5; 6]. С учетом того факта, что домашний арест не позволяет подозр</w:t>
      </w:r>
      <w:r w:rsidRPr="00EC1A78">
        <w:rPr>
          <w:rFonts w:eastAsiaTheme="minorHAnsi"/>
          <w:sz w:val="22"/>
          <w:szCs w:val="22"/>
          <w:lang w:eastAsia="en-US"/>
        </w:rPr>
        <w:t>е</w:t>
      </w:r>
      <w:r w:rsidRPr="00EC1A78">
        <w:rPr>
          <w:rFonts w:eastAsiaTheme="minorHAnsi"/>
          <w:sz w:val="22"/>
          <w:szCs w:val="22"/>
          <w:lang w:eastAsia="en-US"/>
        </w:rPr>
        <w:lastRenderedPageBreak/>
        <w:t>ваемому или обвиняемому в полной мере управлять своим бизн</w:t>
      </w:r>
      <w:r w:rsidRPr="00EC1A78">
        <w:rPr>
          <w:rFonts w:eastAsiaTheme="minorHAnsi"/>
          <w:sz w:val="22"/>
          <w:szCs w:val="22"/>
          <w:lang w:eastAsia="en-US"/>
        </w:rPr>
        <w:t>е</w:t>
      </w:r>
      <w:r w:rsidRPr="00EC1A78">
        <w:rPr>
          <w:rFonts w:eastAsiaTheme="minorHAnsi"/>
          <w:sz w:val="22"/>
          <w:szCs w:val="22"/>
          <w:lang w:eastAsia="en-US"/>
        </w:rPr>
        <w:t xml:space="preserve">сом, думается, что по экономическим преступлениям необходимо расширить применение залога. </w:t>
      </w:r>
    </w:p>
    <w:p w:rsidR="00AB6A0E" w:rsidRPr="00C42DAC" w:rsidRDefault="00AB6A0E" w:rsidP="00C42DAC">
      <w:pPr>
        <w:widowControl w:val="0"/>
        <w:tabs>
          <w:tab w:val="left" w:pos="8223"/>
        </w:tabs>
        <w:ind w:firstLine="426"/>
        <w:jc w:val="both"/>
        <w:rPr>
          <w:rFonts w:eastAsia="Courier New"/>
          <w:sz w:val="22"/>
          <w:szCs w:val="22"/>
          <w:lang w:eastAsia="en-US"/>
        </w:rPr>
      </w:pPr>
    </w:p>
    <w:p w:rsidR="00EC1A78" w:rsidRPr="00EC1A78" w:rsidRDefault="00EC1A78" w:rsidP="00EC1A78">
      <w:pPr>
        <w:widowControl w:val="0"/>
        <w:autoSpaceDE w:val="0"/>
        <w:autoSpaceDN w:val="0"/>
        <w:adjustRightInd w:val="0"/>
        <w:ind w:firstLine="426"/>
        <w:jc w:val="center"/>
        <w:rPr>
          <w:rFonts w:eastAsia="Calibri"/>
          <w:sz w:val="22"/>
          <w:szCs w:val="22"/>
          <w:lang w:eastAsia="en-US"/>
        </w:rPr>
      </w:pPr>
      <w:r w:rsidRPr="00EC1A78">
        <w:rPr>
          <w:rFonts w:eastAsia="Calibri"/>
          <w:sz w:val="22"/>
          <w:szCs w:val="22"/>
          <w:lang w:eastAsia="en-US"/>
        </w:rPr>
        <w:t>Список литературы</w:t>
      </w:r>
    </w:p>
    <w:p w:rsidR="00EC1A78" w:rsidRPr="00EC1A78" w:rsidRDefault="00EC1A78" w:rsidP="00EC1A78">
      <w:pPr>
        <w:widowControl w:val="0"/>
        <w:autoSpaceDE w:val="0"/>
        <w:autoSpaceDN w:val="0"/>
        <w:adjustRightInd w:val="0"/>
        <w:ind w:firstLine="426"/>
        <w:jc w:val="both"/>
        <w:rPr>
          <w:rFonts w:eastAsia="Courier New"/>
          <w:sz w:val="22"/>
          <w:szCs w:val="22"/>
          <w:lang w:eastAsia="en-US"/>
        </w:rPr>
      </w:pPr>
      <w:r w:rsidRPr="00EC1A78">
        <w:rPr>
          <w:rFonts w:eastAsia="Courier New"/>
          <w:sz w:val="22"/>
          <w:szCs w:val="22"/>
          <w:lang w:eastAsia="en-US"/>
        </w:rPr>
        <w:t>1. Уголовный кодекс Российской Федерации от 13.06.1996 № 63–ФЗ (ред. от 19.02.2018) // Собрание законодательства РФ, 17.06.1996, N 25, ст. 2954.</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Постановление Конституционного Суда Российской Федер</w:t>
      </w:r>
      <w:r w:rsidRPr="00EC1A78">
        <w:rPr>
          <w:rFonts w:eastAsiaTheme="minorHAnsi"/>
          <w:sz w:val="22"/>
          <w:szCs w:val="22"/>
          <w:lang w:eastAsia="en-US"/>
        </w:rPr>
        <w:t>а</w:t>
      </w:r>
      <w:r w:rsidRPr="00EC1A78">
        <w:rPr>
          <w:rFonts w:eastAsiaTheme="minorHAnsi"/>
          <w:sz w:val="22"/>
          <w:szCs w:val="22"/>
          <w:lang w:eastAsia="en-US"/>
        </w:rPr>
        <w:t>ции от 11 декабря 2014 г. № 32–П город Санкт–Петербург «по делу о проверке конституционности положений статьи 159.4 Уголовного кодекса Российской Федерации в связи с запросом Салехардского городского суда Ямало–Ненецкого автономного округа» // Росси</w:t>
      </w:r>
      <w:r w:rsidRPr="00EC1A78">
        <w:rPr>
          <w:rFonts w:eastAsiaTheme="minorHAnsi"/>
          <w:sz w:val="22"/>
          <w:szCs w:val="22"/>
          <w:lang w:eastAsia="en-US"/>
        </w:rPr>
        <w:t>й</w:t>
      </w:r>
      <w:r w:rsidRPr="00EC1A78">
        <w:rPr>
          <w:rFonts w:eastAsiaTheme="minorHAnsi"/>
          <w:sz w:val="22"/>
          <w:szCs w:val="22"/>
          <w:lang w:eastAsia="en-US"/>
        </w:rPr>
        <w:t>ская газета. Федеральный выпуск №6565 (293). 24.12.2014.</w:t>
      </w:r>
    </w:p>
    <w:p w:rsidR="00EC1A78" w:rsidRPr="00EC1A78" w:rsidRDefault="00EC1A78" w:rsidP="00EC1A78">
      <w:pPr>
        <w:widowControl w:val="0"/>
        <w:autoSpaceDE w:val="0"/>
        <w:autoSpaceDN w:val="0"/>
        <w:adjustRightInd w:val="0"/>
        <w:ind w:firstLine="425"/>
        <w:jc w:val="both"/>
        <w:rPr>
          <w:rFonts w:eastAsia="Courier New"/>
          <w:sz w:val="22"/>
          <w:szCs w:val="22"/>
          <w:lang w:eastAsia="en-US"/>
        </w:rPr>
      </w:pPr>
      <w:r w:rsidRPr="00EC1A78">
        <w:rPr>
          <w:rFonts w:eastAsia="Courier New"/>
          <w:sz w:val="22"/>
          <w:szCs w:val="22"/>
          <w:lang w:eastAsia="en-US"/>
        </w:rPr>
        <w:t xml:space="preserve">3. </w:t>
      </w:r>
      <w:r w:rsidRPr="00EC1A78">
        <w:rPr>
          <w:rFonts w:eastAsiaTheme="minorHAnsi"/>
          <w:sz w:val="22"/>
          <w:szCs w:val="22"/>
          <w:lang w:eastAsia="en-US"/>
        </w:rPr>
        <w:t>Марданшин Р. Мошенничество в сфере предпринимател</w:t>
      </w:r>
      <w:r w:rsidRPr="00EC1A78">
        <w:rPr>
          <w:rFonts w:eastAsiaTheme="minorHAnsi"/>
          <w:sz w:val="22"/>
          <w:szCs w:val="22"/>
          <w:lang w:eastAsia="en-US"/>
        </w:rPr>
        <w:t>ь</w:t>
      </w:r>
      <w:r w:rsidRPr="00EC1A78">
        <w:rPr>
          <w:rFonts w:eastAsiaTheme="minorHAnsi"/>
          <w:sz w:val="22"/>
          <w:szCs w:val="22"/>
          <w:lang w:eastAsia="en-US"/>
        </w:rPr>
        <w:t>ской деятельности. История и вызовы  // ЭЖ–Юрист. 2017. № 46.</w:t>
      </w:r>
    </w:p>
    <w:p w:rsidR="00EC1A78" w:rsidRPr="00EC1A78" w:rsidRDefault="00EC1A78" w:rsidP="00EC1A78">
      <w:pPr>
        <w:widowControl w:val="0"/>
        <w:autoSpaceDE w:val="0"/>
        <w:autoSpaceDN w:val="0"/>
        <w:adjustRightInd w:val="0"/>
        <w:ind w:firstLine="425"/>
        <w:jc w:val="both"/>
        <w:rPr>
          <w:rFonts w:eastAsia="Courier New"/>
          <w:sz w:val="22"/>
          <w:szCs w:val="22"/>
          <w:lang w:eastAsia="en-US"/>
        </w:rPr>
      </w:pPr>
      <w:r w:rsidRPr="00EC1A78">
        <w:rPr>
          <w:rFonts w:eastAsia="Courier New"/>
          <w:sz w:val="22"/>
          <w:szCs w:val="22"/>
          <w:lang w:eastAsia="en-US"/>
        </w:rPr>
        <w:t>4. Рамазанов И. Залог как мера пресечения // [Электронный р</w:t>
      </w:r>
      <w:r w:rsidRPr="00EC1A78">
        <w:rPr>
          <w:rFonts w:eastAsia="Courier New"/>
          <w:sz w:val="22"/>
          <w:szCs w:val="22"/>
          <w:lang w:eastAsia="en-US"/>
        </w:rPr>
        <w:t>е</w:t>
      </w:r>
      <w:r w:rsidRPr="00EC1A78">
        <w:rPr>
          <w:rFonts w:eastAsia="Courier New"/>
          <w:sz w:val="22"/>
          <w:szCs w:val="22"/>
          <w:lang w:eastAsia="en-US"/>
        </w:rPr>
        <w:t>сурс] Режим доступа: https://www.ugpr.ru/ свободный (дата обращ</w:t>
      </w:r>
      <w:r w:rsidRPr="00EC1A78">
        <w:rPr>
          <w:rFonts w:eastAsia="Courier New"/>
          <w:sz w:val="22"/>
          <w:szCs w:val="22"/>
          <w:lang w:eastAsia="en-US"/>
        </w:rPr>
        <w:t>е</w:t>
      </w:r>
      <w:r w:rsidRPr="00EC1A78">
        <w:rPr>
          <w:rFonts w:eastAsia="Courier New"/>
          <w:sz w:val="22"/>
          <w:szCs w:val="22"/>
          <w:lang w:eastAsia="en-US"/>
        </w:rPr>
        <w:t>ния: 02.03.2018).</w:t>
      </w:r>
    </w:p>
    <w:p w:rsidR="00EC1A78" w:rsidRPr="00EC1A78" w:rsidRDefault="00EC1A78" w:rsidP="00EC1A78">
      <w:pPr>
        <w:widowControl w:val="0"/>
        <w:autoSpaceDE w:val="0"/>
        <w:autoSpaceDN w:val="0"/>
        <w:adjustRightInd w:val="0"/>
        <w:ind w:firstLine="425"/>
        <w:jc w:val="both"/>
        <w:rPr>
          <w:rFonts w:eastAsiaTheme="minorHAnsi"/>
          <w:bCs/>
          <w:sz w:val="22"/>
          <w:szCs w:val="22"/>
          <w:shd w:val="clear" w:color="auto" w:fill="FFFFFF"/>
          <w:lang w:eastAsia="en-US"/>
        </w:rPr>
      </w:pPr>
      <w:r w:rsidRPr="00EC1A78">
        <w:rPr>
          <w:rFonts w:eastAsia="Courier New"/>
          <w:sz w:val="22"/>
          <w:szCs w:val="22"/>
          <w:lang w:eastAsia="en-US"/>
        </w:rPr>
        <w:t xml:space="preserve">5. Апелляционное постановление по </w:t>
      </w:r>
      <w:r w:rsidRPr="00EC1A78">
        <w:rPr>
          <w:rFonts w:eastAsiaTheme="minorHAnsi"/>
          <w:bCs/>
          <w:sz w:val="22"/>
          <w:szCs w:val="22"/>
          <w:shd w:val="clear" w:color="auto" w:fill="FFFFFF"/>
          <w:lang w:eastAsia="en-US"/>
        </w:rPr>
        <w:t>делу № 22–615/16</w:t>
      </w:r>
      <w:r w:rsidRPr="00EC1A78">
        <w:rPr>
          <w:rFonts w:eastAsiaTheme="minorHAnsi"/>
          <w:sz w:val="22"/>
          <w:szCs w:val="22"/>
          <w:shd w:val="clear" w:color="auto" w:fill="FFFFFF"/>
          <w:lang w:eastAsia="en-US"/>
        </w:rPr>
        <w:t> //</w:t>
      </w:r>
      <w:r w:rsidRPr="00EC1A78">
        <w:rPr>
          <w:rFonts w:eastAsiaTheme="minorHAnsi"/>
          <w:bCs/>
          <w:sz w:val="22"/>
          <w:szCs w:val="22"/>
          <w:shd w:val="clear" w:color="auto" w:fill="FFFFFF"/>
          <w:lang w:eastAsia="en-US"/>
        </w:rPr>
        <w:t xml:space="preserve"> [Электронный ресурс] Режим доступа: https://rospravosudie.com/  свободный (дата обращения: 02.03.2018).</w:t>
      </w:r>
    </w:p>
    <w:p w:rsidR="00EC1A78" w:rsidRPr="00EC1A78" w:rsidRDefault="00EC1A78" w:rsidP="00EC1A78">
      <w:pPr>
        <w:widowControl w:val="0"/>
        <w:autoSpaceDE w:val="0"/>
        <w:autoSpaceDN w:val="0"/>
        <w:adjustRightInd w:val="0"/>
        <w:ind w:firstLine="425"/>
        <w:jc w:val="both"/>
        <w:rPr>
          <w:rFonts w:eastAsiaTheme="minorHAnsi"/>
          <w:bCs/>
          <w:sz w:val="22"/>
          <w:szCs w:val="22"/>
          <w:shd w:val="clear" w:color="auto" w:fill="FFFFFF"/>
          <w:lang w:eastAsia="en-US"/>
        </w:rPr>
      </w:pPr>
      <w:r w:rsidRPr="00EC1A78">
        <w:rPr>
          <w:rFonts w:eastAsiaTheme="minorHAnsi"/>
          <w:bCs/>
          <w:sz w:val="22"/>
          <w:szCs w:val="22"/>
          <w:shd w:val="clear" w:color="auto" w:fill="FFFFFF"/>
          <w:lang w:eastAsia="en-US"/>
        </w:rPr>
        <w:t>6. Апелляционное постановление по делу № 22–3062/2017 16</w:t>
      </w:r>
      <w:r w:rsidRPr="00EC1A78">
        <w:rPr>
          <w:rFonts w:eastAsiaTheme="minorHAnsi"/>
          <w:sz w:val="22"/>
          <w:szCs w:val="22"/>
          <w:shd w:val="clear" w:color="auto" w:fill="FFFFFF"/>
          <w:lang w:eastAsia="en-US"/>
        </w:rPr>
        <w:t> //</w:t>
      </w:r>
      <w:r w:rsidRPr="00EC1A78">
        <w:rPr>
          <w:rFonts w:eastAsiaTheme="minorHAnsi"/>
          <w:bCs/>
          <w:sz w:val="22"/>
          <w:szCs w:val="22"/>
          <w:shd w:val="clear" w:color="auto" w:fill="FFFFFF"/>
          <w:lang w:eastAsia="en-US"/>
        </w:rPr>
        <w:t xml:space="preserve"> [Электронный ресурс] Режим доступа: https://rospravosudie.com/ свободный (дата обращения: 02.03.2018).</w:t>
      </w:r>
    </w:p>
    <w:p w:rsidR="00EC1A78" w:rsidRDefault="00EC1A78" w:rsidP="00EC1A78">
      <w:pPr>
        <w:jc w:val="both"/>
        <w:rPr>
          <w:rFonts w:eastAsiaTheme="minorHAnsi"/>
          <w:sz w:val="22"/>
          <w:szCs w:val="22"/>
          <w:lang w:eastAsia="en-US"/>
        </w:rPr>
      </w:pPr>
    </w:p>
    <w:p w:rsidR="003A6F86" w:rsidRPr="00EC1A78" w:rsidRDefault="00AB6A0E" w:rsidP="00AB6A0E">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343.122</w:t>
      </w:r>
    </w:p>
    <w:p w:rsidR="00EC1A78" w:rsidRPr="00EC1A78" w:rsidRDefault="00EC1A78" w:rsidP="00EC1A78">
      <w:pPr>
        <w:ind w:firstLine="709"/>
        <w:jc w:val="center"/>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Об обеспечении права потерпевшего на возмещение </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eastAsia="en-US"/>
        </w:rPr>
        <w:t>вреда</w:t>
      </w:r>
      <w:r w:rsidRPr="00EC1A78">
        <w:rPr>
          <w:rFonts w:eastAsiaTheme="minorHAnsi"/>
          <w:b/>
          <w:sz w:val="24"/>
          <w:szCs w:val="22"/>
          <w:lang w:val="en-US" w:eastAsia="en-US"/>
        </w:rPr>
        <w:t xml:space="preserve">, </w:t>
      </w:r>
      <w:r w:rsidRPr="00EC1A78">
        <w:rPr>
          <w:rFonts w:eastAsiaTheme="minorHAnsi"/>
          <w:b/>
          <w:sz w:val="24"/>
          <w:szCs w:val="22"/>
          <w:lang w:eastAsia="en-US"/>
        </w:rPr>
        <w:t>причиненного</w:t>
      </w:r>
      <w:r w:rsidRPr="00EC1A78">
        <w:rPr>
          <w:rFonts w:eastAsiaTheme="minorHAnsi"/>
          <w:b/>
          <w:sz w:val="24"/>
          <w:szCs w:val="22"/>
          <w:lang w:val="en-US" w:eastAsia="en-US"/>
        </w:rPr>
        <w:t xml:space="preserve"> </w:t>
      </w:r>
      <w:r w:rsidRPr="00EC1A78">
        <w:rPr>
          <w:rFonts w:eastAsiaTheme="minorHAnsi"/>
          <w:b/>
          <w:sz w:val="24"/>
          <w:szCs w:val="22"/>
          <w:lang w:eastAsia="en-US"/>
        </w:rPr>
        <w:t>преступлением</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 xml:space="preserve">About ensuring the right of the victim to compensation </w:t>
      </w:r>
    </w:p>
    <w:p w:rsidR="00EC1A78" w:rsidRPr="008D33CB" w:rsidRDefault="00EC1A78" w:rsidP="00C42DAC">
      <w:pPr>
        <w:jc w:val="center"/>
        <w:rPr>
          <w:rFonts w:eastAsiaTheme="minorHAnsi"/>
          <w:b/>
          <w:sz w:val="24"/>
          <w:szCs w:val="22"/>
          <w:lang w:val="en-US" w:eastAsia="en-US"/>
        </w:rPr>
      </w:pPr>
      <w:proofErr w:type="gramStart"/>
      <w:r w:rsidRPr="00EC1A78">
        <w:rPr>
          <w:rFonts w:eastAsiaTheme="minorHAnsi"/>
          <w:b/>
          <w:sz w:val="24"/>
          <w:szCs w:val="22"/>
          <w:lang w:val="en-US" w:eastAsia="en-US"/>
        </w:rPr>
        <w:t>of</w:t>
      </w:r>
      <w:proofErr w:type="gramEnd"/>
      <w:r w:rsidRPr="00EC1A78">
        <w:rPr>
          <w:rFonts w:eastAsiaTheme="minorHAnsi"/>
          <w:b/>
          <w:sz w:val="24"/>
          <w:szCs w:val="22"/>
          <w:lang w:val="en-US" w:eastAsia="en-US"/>
        </w:rPr>
        <w:t xml:space="preserve"> the harm caused by crime</w:t>
      </w:r>
    </w:p>
    <w:p w:rsidR="00AB6A0E" w:rsidRPr="008D33CB" w:rsidRDefault="00AB6A0E" w:rsidP="00C42DAC">
      <w:pPr>
        <w:jc w:val="center"/>
        <w:rPr>
          <w:rFonts w:eastAsiaTheme="minorHAnsi"/>
          <w:b/>
          <w:sz w:val="24"/>
          <w:szCs w:val="22"/>
          <w:lang w:val="en-US" w:eastAsia="en-US"/>
        </w:rPr>
      </w:pPr>
    </w:p>
    <w:p w:rsidR="00EC1A78" w:rsidRPr="003A6F86" w:rsidRDefault="00EC1A78" w:rsidP="00EC1A78">
      <w:pPr>
        <w:jc w:val="right"/>
        <w:rPr>
          <w:rFonts w:eastAsiaTheme="minorHAnsi"/>
          <w:sz w:val="22"/>
          <w:szCs w:val="22"/>
          <w:lang w:eastAsia="en-US"/>
        </w:rPr>
      </w:pPr>
      <w:r w:rsidRPr="003A6F86">
        <w:rPr>
          <w:rFonts w:eastAsiaTheme="minorHAnsi"/>
          <w:sz w:val="22"/>
          <w:szCs w:val="22"/>
          <w:lang w:eastAsia="en-US"/>
        </w:rPr>
        <w:t>Бугаевский Д.</w:t>
      </w:r>
      <w:r w:rsidR="003A6F86">
        <w:rPr>
          <w:rFonts w:eastAsiaTheme="minorHAnsi"/>
          <w:sz w:val="22"/>
          <w:szCs w:val="22"/>
          <w:lang w:eastAsia="en-US"/>
        </w:rPr>
        <w:t xml:space="preserve"> </w:t>
      </w:r>
      <w:r w:rsidRPr="003A6F86">
        <w:rPr>
          <w:rFonts w:eastAsiaTheme="minorHAnsi"/>
          <w:sz w:val="22"/>
          <w:szCs w:val="22"/>
          <w:lang w:eastAsia="en-US"/>
        </w:rPr>
        <w:t>А.,</w:t>
      </w:r>
    </w:p>
    <w:p w:rsidR="00EC1A78" w:rsidRPr="00C42DAC" w:rsidRDefault="00EC1A78" w:rsidP="00C42DAC">
      <w:pPr>
        <w:jc w:val="right"/>
        <w:rPr>
          <w:rFonts w:eastAsiaTheme="minorHAnsi"/>
          <w:sz w:val="22"/>
          <w:szCs w:val="22"/>
          <w:lang w:eastAsia="en-US"/>
        </w:rPr>
      </w:pPr>
      <w:r w:rsidRPr="003A6F86">
        <w:rPr>
          <w:rFonts w:eastAsiaTheme="minorHAnsi"/>
          <w:sz w:val="22"/>
          <w:szCs w:val="22"/>
          <w:lang w:eastAsia="en-US"/>
        </w:rPr>
        <w:t>магистрант 2-го года обучения юридического факультета</w:t>
      </w:r>
    </w:p>
    <w:p w:rsidR="00EC1A78" w:rsidRPr="003A6F86" w:rsidRDefault="00EC1A78" w:rsidP="00EC1A78">
      <w:pPr>
        <w:jc w:val="right"/>
        <w:rPr>
          <w:rFonts w:eastAsiaTheme="minorHAnsi"/>
          <w:sz w:val="22"/>
          <w:szCs w:val="22"/>
          <w:lang w:eastAsia="en-US"/>
        </w:rPr>
      </w:pPr>
      <w:r w:rsidRPr="003A6F86">
        <w:rPr>
          <w:rFonts w:eastAsiaTheme="minorHAnsi"/>
          <w:sz w:val="22"/>
          <w:szCs w:val="22"/>
          <w:lang w:eastAsia="en-US"/>
        </w:rPr>
        <w:t>Малин П.</w:t>
      </w:r>
      <w:r w:rsidR="003A6F86">
        <w:rPr>
          <w:rFonts w:eastAsiaTheme="minorHAnsi"/>
          <w:sz w:val="22"/>
          <w:szCs w:val="22"/>
          <w:lang w:eastAsia="en-US"/>
        </w:rPr>
        <w:t xml:space="preserve"> </w:t>
      </w:r>
      <w:r w:rsidRPr="003A6F86">
        <w:rPr>
          <w:rFonts w:eastAsiaTheme="minorHAnsi"/>
          <w:sz w:val="22"/>
          <w:szCs w:val="22"/>
          <w:lang w:eastAsia="en-US"/>
        </w:rPr>
        <w:t>М.,</w:t>
      </w:r>
    </w:p>
    <w:p w:rsidR="00EC1A78" w:rsidRPr="003A6F86" w:rsidRDefault="00EC1A78" w:rsidP="00EC1A78">
      <w:pPr>
        <w:jc w:val="right"/>
        <w:rPr>
          <w:rFonts w:eastAsiaTheme="minorHAnsi"/>
          <w:sz w:val="22"/>
          <w:szCs w:val="22"/>
          <w:lang w:eastAsia="en-US"/>
        </w:rPr>
      </w:pPr>
      <w:r w:rsidRPr="003A6F86">
        <w:rPr>
          <w:rFonts w:eastAsiaTheme="minorHAnsi"/>
          <w:sz w:val="22"/>
          <w:szCs w:val="22"/>
          <w:lang w:eastAsia="en-US"/>
        </w:rPr>
        <w:t>доцент кафедры уголовного процесса</w:t>
      </w:r>
    </w:p>
    <w:p w:rsidR="00EC1A78" w:rsidRPr="003A6F86" w:rsidRDefault="00EC1A78" w:rsidP="00EC1A78">
      <w:pPr>
        <w:widowControl w:val="0"/>
        <w:tabs>
          <w:tab w:val="left" w:pos="8223"/>
        </w:tabs>
        <w:ind w:right="-1"/>
        <w:jc w:val="right"/>
        <w:rPr>
          <w:rFonts w:eastAsia="Courier New"/>
          <w:sz w:val="22"/>
          <w:szCs w:val="22"/>
          <w:lang w:eastAsia="en-US"/>
        </w:rPr>
      </w:pPr>
      <w:r w:rsidRPr="003A6F86">
        <w:rPr>
          <w:rFonts w:eastAsia="Courier New"/>
          <w:sz w:val="22"/>
          <w:szCs w:val="22"/>
          <w:lang w:eastAsia="en-US"/>
        </w:rPr>
        <w:t xml:space="preserve">Кубанский государственный аграрный </w:t>
      </w:r>
    </w:p>
    <w:p w:rsidR="00EC1A78" w:rsidRPr="003A6F86" w:rsidRDefault="00EC1A78" w:rsidP="00EC1A78">
      <w:pPr>
        <w:jc w:val="right"/>
        <w:rPr>
          <w:rFonts w:eastAsiaTheme="minorEastAsia"/>
          <w:b/>
          <w:sz w:val="22"/>
          <w:szCs w:val="22"/>
          <w:lang w:eastAsia="en-US"/>
        </w:rPr>
      </w:pPr>
      <w:r w:rsidRPr="003A6F86">
        <w:rPr>
          <w:rFonts w:eastAsia="Courier New"/>
          <w:sz w:val="22"/>
          <w:szCs w:val="22"/>
          <w:lang w:eastAsia="en-US"/>
        </w:rPr>
        <w:t>университет имени И.</w:t>
      </w:r>
      <w:r w:rsidR="003A6F86">
        <w:rPr>
          <w:rFonts w:eastAsia="Courier New"/>
          <w:sz w:val="22"/>
          <w:szCs w:val="22"/>
          <w:lang w:eastAsia="en-US"/>
        </w:rPr>
        <w:t xml:space="preserve"> </w:t>
      </w:r>
      <w:r w:rsidRPr="003A6F86">
        <w:rPr>
          <w:rFonts w:eastAsia="Courier New"/>
          <w:sz w:val="22"/>
          <w:szCs w:val="22"/>
          <w:lang w:eastAsia="en-US"/>
        </w:rPr>
        <w:t>Т. Трубилина</w:t>
      </w:r>
    </w:p>
    <w:p w:rsidR="00EC1A78" w:rsidRPr="003A6F86" w:rsidRDefault="00EC1A78" w:rsidP="00EC1A78">
      <w:pPr>
        <w:jc w:val="right"/>
        <w:rPr>
          <w:rFonts w:eastAsiaTheme="minorHAnsi"/>
          <w:b/>
          <w:sz w:val="22"/>
          <w:szCs w:val="22"/>
          <w:lang w:eastAsia="en-US"/>
        </w:rPr>
      </w:pPr>
    </w:p>
    <w:p w:rsidR="00EC1A78" w:rsidRPr="003A6F86" w:rsidRDefault="00EC1A78" w:rsidP="00EC1A78">
      <w:pPr>
        <w:ind w:firstLine="426"/>
        <w:jc w:val="both"/>
        <w:rPr>
          <w:rFonts w:eastAsiaTheme="minorHAnsi"/>
          <w:sz w:val="22"/>
          <w:szCs w:val="22"/>
          <w:lang w:val="en-US" w:eastAsia="en-US"/>
        </w:rPr>
      </w:pPr>
      <w:r w:rsidRPr="003A6F86">
        <w:rPr>
          <w:rFonts w:eastAsiaTheme="minorHAnsi"/>
          <w:sz w:val="22"/>
          <w:szCs w:val="22"/>
          <w:lang w:eastAsia="en-US"/>
        </w:rPr>
        <w:t>АННОТАЦИЯ: Несмотря на существование нескольких форм возмещения потерпевшим вреда в уголовном процессе, их права в полной мере не защищены. В</w:t>
      </w:r>
      <w:r w:rsidRPr="003A6F86">
        <w:rPr>
          <w:rFonts w:eastAsiaTheme="minorHAnsi"/>
          <w:sz w:val="22"/>
          <w:szCs w:val="22"/>
          <w:lang w:val="en-US" w:eastAsia="en-US"/>
        </w:rPr>
        <w:t xml:space="preserve"> </w:t>
      </w:r>
      <w:r w:rsidRPr="003A6F86">
        <w:rPr>
          <w:rFonts w:eastAsiaTheme="minorHAnsi"/>
          <w:sz w:val="22"/>
          <w:szCs w:val="22"/>
          <w:lang w:eastAsia="en-US"/>
        </w:rPr>
        <w:t>этой</w:t>
      </w:r>
      <w:r w:rsidRPr="003A6F86">
        <w:rPr>
          <w:rFonts w:eastAsiaTheme="minorHAnsi"/>
          <w:sz w:val="22"/>
          <w:szCs w:val="22"/>
          <w:lang w:val="en-US" w:eastAsia="en-US"/>
        </w:rPr>
        <w:t xml:space="preserve"> </w:t>
      </w:r>
      <w:r w:rsidRPr="003A6F86">
        <w:rPr>
          <w:rFonts w:eastAsiaTheme="minorHAnsi"/>
          <w:sz w:val="22"/>
          <w:szCs w:val="22"/>
          <w:lang w:eastAsia="en-US"/>
        </w:rPr>
        <w:t>связи</w:t>
      </w:r>
      <w:r w:rsidRPr="003A6F86">
        <w:rPr>
          <w:rFonts w:eastAsiaTheme="minorHAnsi"/>
          <w:sz w:val="22"/>
          <w:szCs w:val="22"/>
          <w:lang w:val="en-US" w:eastAsia="en-US"/>
        </w:rPr>
        <w:t xml:space="preserve"> </w:t>
      </w:r>
      <w:r w:rsidRPr="003A6F86">
        <w:rPr>
          <w:rFonts w:eastAsiaTheme="minorHAnsi"/>
          <w:sz w:val="22"/>
          <w:szCs w:val="22"/>
          <w:lang w:eastAsia="en-US"/>
        </w:rPr>
        <w:t>обосновывается</w:t>
      </w:r>
      <w:r w:rsidRPr="003A6F86">
        <w:rPr>
          <w:rFonts w:eastAsiaTheme="minorHAnsi"/>
          <w:sz w:val="22"/>
          <w:szCs w:val="22"/>
          <w:lang w:val="en-US" w:eastAsia="en-US"/>
        </w:rPr>
        <w:t xml:space="preserve"> </w:t>
      </w:r>
      <w:r w:rsidRPr="003A6F86">
        <w:rPr>
          <w:rFonts w:eastAsiaTheme="minorHAnsi"/>
          <w:sz w:val="22"/>
          <w:szCs w:val="22"/>
          <w:lang w:eastAsia="en-US"/>
        </w:rPr>
        <w:t>необход</w:t>
      </w:r>
      <w:r w:rsidRPr="003A6F86">
        <w:rPr>
          <w:rFonts w:eastAsiaTheme="minorHAnsi"/>
          <w:sz w:val="22"/>
          <w:szCs w:val="22"/>
          <w:lang w:eastAsia="en-US"/>
        </w:rPr>
        <w:t>и</w:t>
      </w:r>
      <w:r w:rsidRPr="003A6F86">
        <w:rPr>
          <w:rFonts w:eastAsiaTheme="minorHAnsi"/>
          <w:sz w:val="22"/>
          <w:szCs w:val="22"/>
          <w:lang w:eastAsia="en-US"/>
        </w:rPr>
        <w:t>мость</w:t>
      </w:r>
      <w:r w:rsidRPr="003A6F86">
        <w:rPr>
          <w:rFonts w:eastAsiaTheme="minorHAnsi"/>
          <w:sz w:val="22"/>
          <w:szCs w:val="22"/>
          <w:lang w:val="en-US" w:eastAsia="en-US"/>
        </w:rPr>
        <w:t xml:space="preserve"> </w:t>
      </w:r>
      <w:r w:rsidRPr="003A6F86">
        <w:rPr>
          <w:rFonts w:eastAsiaTheme="minorHAnsi"/>
          <w:sz w:val="22"/>
          <w:szCs w:val="22"/>
          <w:lang w:eastAsia="en-US"/>
        </w:rPr>
        <w:t>соответствующих</w:t>
      </w:r>
      <w:r w:rsidRPr="003A6F86">
        <w:rPr>
          <w:rFonts w:eastAsiaTheme="minorHAnsi"/>
          <w:sz w:val="22"/>
          <w:szCs w:val="22"/>
          <w:lang w:val="en-US" w:eastAsia="en-US"/>
        </w:rPr>
        <w:t xml:space="preserve"> </w:t>
      </w:r>
      <w:r w:rsidRPr="003A6F86">
        <w:rPr>
          <w:rFonts w:eastAsiaTheme="minorHAnsi"/>
          <w:sz w:val="22"/>
          <w:szCs w:val="22"/>
          <w:lang w:eastAsia="en-US"/>
        </w:rPr>
        <w:t>изменений</w:t>
      </w:r>
      <w:r w:rsidRPr="003A6F86">
        <w:rPr>
          <w:rFonts w:eastAsiaTheme="minorHAnsi"/>
          <w:sz w:val="22"/>
          <w:szCs w:val="22"/>
          <w:lang w:val="en-US" w:eastAsia="en-US"/>
        </w:rPr>
        <w:t xml:space="preserve"> </w:t>
      </w:r>
      <w:r w:rsidRPr="003A6F86">
        <w:rPr>
          <w:rFonts w:eastAsiaTheme="minorHAnsi"/>
          <w:sz w:val="22"/>
          <w:szCs w:val="22"/>
          <w:lang w:eastAsia="en-US"/>
        </w:rPr>
        <w:t>в</w:t>
      </w:r>
      <w:r w:rsidRPr="003A6F86">
        <w:rPr>
          <w:rFonts w:eastAsiaTheme="minorHAnsi"/>
          <w:sz w:val="22"/>
          <w:szCs w:val="22"/>
          <w:lang w:val="en-US" w:eastAsia="en-US"/>
        </w:rPr>
        <w:t xml:space="preserve"> </w:t>
      </w:r>
      <w:r w:rsidRPr="003A6F86">
        <w:rPr>
          <w:rFonts w:eastAsiaTheme="minorHAnsi"/>
          <w:sz w:val="22"/>
          <w:szCs w:val="22"/>
          <w:lang w:eastAsia="en-US"/>
        </w:rPr>
        <w:t>законодательстве</w:t>
      </w:r>
      <w:r w:rsidRPr="003A6F86">
        <w:rPr>
          <w:rFonts w:eastAsiaTheme="minorHAnsi"/>
          <w:sz w:val="22"/>
          <w:szCs w:val="22"/>
          <w:lang w:val="en-US" w:eastAsia="en-US"/>
        </w:rPr>
        <w:t>.</w:t>
      </w:r>
    </w:p>
    <w:p w:rsidR="00EC1A78" w:rsidRPr="003A6F86" w:rsidRDefault="00EC1A78" w:rsidP="00EC1A78">
      <w:pPr>
        <w:ind w:firstLine="426"/>
        <w:jc w:val="both"/>
        <w:rPr>
          <w:rFonts w:eastAsiaTheme="minorHAnsi"/>
          <w:sz w:val="22"/>
          <w:szCs w:val="22"/>
          <w:lang w:val="en-US" w:eastAsia="en-US"/>
        </w:rPr>
      </w:pPr>
      <w:r w:rsidRPr="003A6F86">
        <w:rPr>
          <w:rFonts w:eastAsia="Courier New"/>
          <w:sz w:val="22"/>
          <w:szCs w:val="22"/>
          <w:lang w:val="en-US" w:eastAsia="en-US"/>
        </w:rPr>
        <w:t>ABSTRACT: Despite the existence of several forms of compens</w:t>
      </w:r>
      <w:r w:rsidRPr="003A6F86">
        <w:rPr>
          <w:rFonts w:eastAsia="Courier New"/>
          <w:sz w:val="22"/>
          <w:szCs w:val="22"/>
          <w:lang w:val="en-US" w:eastAsia="en-US"/>
        </w:rPr>
        <w:t>a</w:t>
      </w:r>
      <w:r w:rsidRPr="003A6F86">
        <w:rPr>
          <w:rFonts w:eastAsia="Courier New"/>
          <w:sz w:val="22"/>
          <w:szCs w:val="22"/>
          <w:lang w:val="en-US" w:eastAsia="en-US"/>
        </w:rPr>
        <w:t>tion to victims of harm in criminal proceedings, their rights are not fully protected. In this regard, the necessity of appropriate changes in the le</w:t>
      </w:r>
      <w:r w:rsidRPr="003A6F86">
        <w:rPr>
          <w:rFonts w:eastAsia="Courier New"/>
          <w:sz w:val="22"/>
          <w:szCs w:val="22"/>
          <w:lang w:val="en-US" w:eastAsia="en-US"/>
        </w:rPr>
        <w:t>g</w:t>
      </w:r>
      <w:r w:rsidRPr="003A6F86">
        <w:rPr>
          <w:rFonts w:eastAsia="Courier New"/>
          <w:sz w:val="22"/>
          <w:szCs w:val="22"/>
          <w:lang w:val="en-US" w:eastAsia="en-US"/>
        </w:rPr>
        <w:t>islation is justified.</w:t>
      </w:r>
    </w:p>
    <w:p w:rsidR="00EC1A78" w:rsidRPr="003A6F86" w:rsidRDefault="00EC1A78" w:rsidP="00EC1A78">
      <w:pPr>
        <w:ind w:firstLine="426"/>
        <w:jc w:val="both"/>
        <w:rPr>
          <w:rFonts w:eastAsiaTheme="minorHAnsi"/>
          <w:sz w:val="22"/>
          <w:szCs w:val="22"/>
          <w:lang w:eastAsia="en-US"/>
        </w:rPr>
      </w:pPr>
      <w:r w:rsidRPr="003A6F86">
        <w:rPr>
          <w:rFonts w:eastAsiaTheme="minorHAnsi"/>
          <w:sz w:val="22"/>
          <w:szCs w:val="22"/>
          <w:lang w:eastAsia="en-US"/>
        </w:rPr>
        <w:t>КЛЮЧЕВЫЕ СЛОВА: право, потерпевший, вред.</w:t>
      </w:r>
    </w:p>
    <w:p w:rsidR="00EC1A78" w:rsidRPr="003A6F86" w:rsidRDefault="00EC1A78" w:rsidP="00EC1A78">
      <w:pPr>
        <w:ind w:firstLine="426"/>
        <w:jc w:val="both"/>
        <w:rPr>
          <w:sz w:val="22"/>
          <w:szCs w:val="22"/>
        </w:rPr>
      </w:pPr>
      <w:r w:rsidRPr="003A6F86">
        <w:rPr>
          <w:rFonts w:eastAsia="Courier New"/>
          <w:sz w:val="22"/>
          <w:szCs w:val="22"/>
          <w:lang w:val="en-US"/>
        </w:rPr>
        <w:t>KEYWORDS</w:t>
      </w:r>
      <w:r w:rsidRPr="003A6F86">
        <w:rPr>
          <w:rFonts w:eastAsia="Courier New"/>
          <w:sz w:val="22"/>
          <w:szCs w:val="22"/>
        </w:rPr>
        <w:t xml:space="preserve">: right, </w:t>
      </w:r>
      <w:r w:rsidRPr="003A6F86">
        <w:rPr>
          <w:rFonts w:eastAsia="Courier New"/>
          <w:sz w:val="22"/>
          <w:szCs w:val="22"/>
          <w:lang w:val="en-US"/>
        </w:rPr>
        <w:t>victim</w:t>
      </w:r>
      <w:r w:rsidRPr="003A6F86">
        <w:rPr>
          <w:rFonts w:eastAsia="Courier New"/>
          <w:sz w:val="22"/>
          <w:szCs w:val="22"/>
        </w:rPr>
        <w:t>, injured.</w:t>
      </w:r>
    </w:p>
    <w:p w:rsidR="00EC1A78" w:rsidRPr="003A6F86" w:rsidRDefault="00EC1A78" w:rsidP="00EC1A78">
      <w:pPr>
        <w:ind w:firstLine="426"/>
        <w:jc w:val="center"/>
        <w:rPr>
          <w:rFonts w:eastAsiaTheme="minorHAnsi"/>
          <w:b/>
          <w:sz w:val="22"/>
          <w:szCs w:val="22"/>
          <w:lang w:eastAsia="en-US"/>
        </w:rPr>
      </w:pPr>
    </w:p>
    <w:p w:rsidR="00EC1A78" w:rsidRPr="003A6F86" w:rsidRDefault="00EC1A78" w:rsidP="00EC1A78">
      <w:pPr>
        <w:ind w:firstLine="426"/>
        <w:jc w:val="both"/>
        <w:rPr>
          <w:sz w:val="22"/>
          <w:szCs w:val="22"/>
        </w:rPr>
      </w:pPr>
      <w:r w:rsidRPr="003A6F86">
        <w:rPr>
          <w:sz w:val="22"/>
          <w:szCs w:val="22"/>
        </w:rPr>
        <w:t>В 1993 г. была принята Конституция РФ, вслед за междунаро</w:t>
      </w:r>
      <w:r w:rsidRPr="003A6F86">
        <w:rPr>
          <w:sz w:val="22"/>
          <w:szCs w:val="22"/>
        </w:rPr>
        <w:t>д</w:t>
      </w:r>
      <w:r w:rsidR="003A6F86">
        <w:rPr>
          <w:sz w:val="22"/>
          <w:szCs w:val="22"/>
        </w:rPr>
        <w:t>ным сообществом фактически вос</w:t>
      </w:r>
      <w:r w:rsidRPr="003A6F86">
        <w:rPr>
          <w:sz w:val="22"/>
          <w:szCs w:val="22"/>
        </w:rPr>
        <w:t>принявшая е</w:t>
      </w:r>
      <w:r w:rsidR="003A6F86">
        <w:rPr>
          <w:sz w:val="22"/>
          <w:szCs w:val="22"/>
        </w:rPr>
        <w:t>стественно-правовую теорию в ка</w:t>
      </w:r>
      <w:r w:rsidRPr="003A6F86">
        <w:rPr>
          <w:sz w:val="22"/>
          <w:szCs w:val="22"/>
        </w:rPr>
        <w:t>честве официальной государственно-правовой доктр</w:t>
      </w:r>
      <w:r w:rsidRPr="003A6F86">
        <w:rPr>
          <w:sz w:val="22"/>
          <w:szCs w:val="22"/>
        </w:rPr>
        <w:t>и</w:t>
      </w:r>
      <w:r w:rsidRPr="003A6F86">
        <w:rPr>
          <w:sz w:val="22"/>
          <w:szCs w:val="22"/>
        </w:rPr>
        <w:t>ны, в соответствии с которой признается приоритет прав и свобод личности, а обязанность по их признанию, соблюдению и защите возла</w:t>
      </w:r>
      <w:r w:rsidRPr="003A6F86">
        <w:rPr>
          <w:sz w:val="22"/>
          <w:szCs w:val="22"/>
        </w:rPr>
        <w:softHyphen/>
        <w:t xml:space="preserve">гается на государство (ст. 2). </w:t>
      </w:r>
    </w:p>
    <w:p w:rsidR="00EC1A78" w:rsidRPr="003A6F86" w:rsidRDefault="00EC1A78" w:rsidP="00EC1A78">
      <w:pPr>
        <w:ind w:firstLine="426"/>
        <w:jc w:val="both"/>
        <w:rPr>
          <w:sz w:val="22"/>
          <w:szCs w:val="22"/>
        </w:rPr>
      </w:pPr>
      <w:r w:rsidRPr="003A6F86">
        <w:rPr>
          <w:sz w:val="22"/>
          <w:szCs w:val="22"/>
        </w:rPr>
        <w:t>Изучение вопроса о возмещении вреда, нанесенного престу</w:t>
      </w:r>
      <w:r w:rsidRPr="003A6F86">
        <w:rPr>
          <w:sz w:val="22"/>
          <w:szCs w:val="22"/>
        </w:rPr>
        <w:t>п</w:t>
      </w:r>
      <w:r w:rsidRPr="003A6F86">
        <w:rPr>
          <w:sz w:val="22"/>
          <w:szCs w:val="22"/>
        </w:rPr>
        <w:t>лением, имеет теоретическое и практическое значение. Защита и</w:t>
      </w:r>
      <w:r w:rsidRPr="003A6F86">
        <w:rPr>
          <w:sz w:val="22"/>
          <w:szCs w:val="22"/>
        </w:rPr>
        <w:t>н</w:t>
      </w:r>
      <w:r w:rsidRPr="003A6F86">
        <w:rPr>
          <w:sz w:val="22"/>
          <w:szCs w:val="22"/>
        </w:rPr>
        <w:t>тересов потерпевших от преступлений определяется как одно из  назначений уголовного процесса (ст. 6 УПК РФ).</w:t>
      </w:r>
    </w:p>
    <w:p w:rsidR="00EC1A78" w:rsidRPr="003A6F86" w:rsidRDefault="00EC1A78" w:rsidP="00EC1A78">
      <w:pPr>
        <w:widowControl w:val="0"/>
        <w:spacing w:after="60"/>
        <w:ind w:firstLine="426"/>
        <w:jc w:val="both"/>
        <w:rPr>
          <w:sz w:val="22"/>
          <w:szCs w:val="22"/>
          <w:lang w:eastAsia="en-US"/>
        </w:rPr>
      </w:pPr>
      <w:r w:rsidRPr="003A6F86">
        <w:rPr>
          <w:sz w:val="22"/>
          <w:szCs w:val="22"/>
          <w:lang w:eastAsia="en-US"/>
        </w:rPr>
        <w:t>В ч. 3 ст. 42 УПК РФ указывается, что «потерпевшему обесп</w:t>
      </w:r>
      <w:r w:rsidRPr="003A6F86">
        <w:rPr>
          <w:sz w:val="22"/>
          <w:szCs w:val="22"/>
          <w:lang w:eastAsia="en-US"/>
        </w:rPr>
        <w:t>е</w:t>
      </w:r>
      <w:r w:rsidR="003A6F86">
        <w:rPr>
          <w:sz w:val="22"/>
          <w:szCs w:val="22"/>
          <w:lang w:eastAsia="en-US"/>
        </w:rPr>
        <w:t>чивается воз</w:t>
      </w:r>
      <w:r w:rsidRPr="003A6F86">
        <w:rPr>
          <w:sz w:val="22"/>
          <w:szCs w:val="22"/>
          <w:lang w:eastAsia="en-US"/>
        </w:rPr>
        <w:t>мещение им</w:t>
      </w:r>
      <w:r w:rsidR="003A6F86">
        <w:rPr>
          <w:sz w:val="22"/>
          <w:szCs w:val="22"/>
          <w:lang w:eastAsia="en-US"/>
        </w:rPr>
        <w:t>ущественного ущерба, причиненно</w:t>
      </w:r>
      <w:r w:rsidRPr="003A6F86">
        <w:rPr>
          <w:sz w:val="22"/>
          <w:szCs w:val="22"/>
          <w:lang w:eastAsia="en-US"/>
        </w:rPr>
        <w:t>го пр</w:t>
      </w:r>
      <w:r w:rsidRPr="003A6F86">
        <w:rPr>
          <w:sz w:val="22"/>
          <w:szCs w:val="22"/>
          <w:lang w:eastAsia="en-US"/>
        </w:rPr>
        <w:t>е</w:t>
      </w:r>
      <w:r w:rsidRPr="003A6F86">
        <w:rPr>
          <w:sz w:val="22"/>
          <w:szCs w:val="22"/>
          <w:lang w:eastAsia="en-US"/>
        </w:rPr>
        <w:lastRenderedPageBreak/>
        <w:t>ступлением», ч. 4 этой же статьи касается возмещения морального вреда, который взыски</w:t>
      </w:r>
      <w:r w:rsidRPr="003A6F86">
        <w:rPr>
          <w:sz w:val="22"/>
          <w:szCs w:val="22"/>
          <w:lang w:eastAsia="en-US"/>
        </w:rPr>
        <w:softHyphen/>
        <w:t>вается в денежном выражении в размере, опре</w:t>
      </w:r>
      <w:r w:rsidRPr="003A6F86">
        <w:rPr>
          <w:sz w:val="22"/>
          <w:szCs w:val="22"/>
          <w:lang w:eastAsia="en-US"/>
        </w:rPr>
        <w:softHyphen/>
        <w:t>деляемом судом [1].</w:t>
      </w:r>
    </w:p>
    <w:p w:rsidR="00EC1A78" w:rsidRPr="003A6F86" w:rsidRDefault="00EC1A78" w:rsidP="00EC1A78">
      <w:pPr>
        <w:ind w:firstLine="426"/>
        <w:jc w:val="both"/>
        <w:rPr>
          <w:rFonts w:eastAsiaTheme="minorHAnsi"/>
          <w:sz w:val="22"/>
          <w:szCs w:val="22"/>
          <w:lang w:eastAsia="en-US"/>
        </w:rPr>
      </w:pPr>
      <w:r w:rsidRPr="003A6F86">
        <w:rPr>
          <w:sz w:val="22"/>
          <w:szCs w:val="22"/>
          <w:lang w:eastAsia="en-US"/>
        </w:rPr>
        <w:t xml:space="preserve">Действующее уголовно-процессуальное законодательство предусматривает несколько способов возмещения имущественного вреда, причиненного преступлением. </w:t>
      </w:r>
      <w:r w:rsidRPr="003A6F86">
        <w:rPr>
          <w:rFonts w:eastAsiaTheme="minorHAnsi"/>
          <w:sz w:val="22"/>
          <w:szCs w:val="22"/>
          <w:lang w:eastAsia="en-US"/>
        </w:rPr>
        <w:t>Однако интересы потерпе</w:t>
      </w:r>
      <w:r w:rsidRPr="003A6F86">
        <w:rPr>
          <w:rFonts w:eastAsiaTheme="minorHAnsi"/>
          <w:sz w:val="22"/>
          <w:szCs w:val="22"/>
          <w:lang w:eastAsia="en-US"/>
        </w:rPr>
        <w:t>в</w:t>
      </w:r>
      <w:r w:rsidRPr="003A6F86">
        <w:rPr>
          <w:rFonts w:eastAsiaTheme="minorHAnsi"/>
          <w:sz w:val="22"/>
          <w:szCs w:val="22"/>
          <w:lang w:eastAsia="en-US"/>
        </w:rPr>
        <w:t>ших от преступлений остаются без должного внимания. Например, полу</w:t>
      </w:r>
      <w:r w:rsidRPr="003A6F86">
        <w:rPr>
          <w:rFonts w:eastAsiaTheme="minorHAnsi"/>
          <w:sz w:val="22"/>
          <w:szCs w:val="22"/>
          <w:lang w:eastAsia="en-US"/>
        </w:rPr>
        <w:softHyphen/>
        <w:t>чить возмещение вреда, причиненного преступлением, во</w:t>
      </w:r>
      <w:r w:rsidRPr="003A6F86">
        <w:rPr>
          <w:rFonts w:eastAsiaTheme="minorHAnsi"/>
          <w:sz w:val="22"/>
          <w:szCs w:val="22"/>
          <w:lang w:eastAsia="en-US"/>
        </w:rPr>
        <w:t>з</w:t>
      </w:r>
      <w:r w:rsidRPr="003A6F86">
        <w:rPr>
          <w:rFonts w:eastAsiaTheme="minorHAnsi"/>
          <w:sz w:val="22"/>
          <w:szCs w:val="22"/>
          <w:lang w:eastAsia="en-US"/>
        </w:rPr>
        <w:t xml:space="preserve">можно только тогда, когда преступление раскрыто. </w:t>
      </w:r>
    </w:p>
    <w:p w:rsidR="00EC1A78" w:rsidRPr="003A6F86" w:rsidRDefault="003A6F86" w:rsidP="00EC1A78">
      <w:pPr>
        <w:ind w:firstLine="426"/>
        <w:jc w:val="both"/>
        <w:rPr>
          <w:sz w:val="22"/>
          <w:szCs w:val="22"/>
        </w:rPr>
      </w:pPr>
      <w:r>
        <w:rPr>
          <w:sz w:val="22"/>
          <w:szCs w:val="22"/>
        </w:rPr>
        <w:t>Официальная статистика свиде</w:t>
      </w:r>
      <w:r w:rsidR="00EC1A78" w:rsidRPr="003A6F86">
        <w:rPr>
          <w:sz w:val="22"/>
          <w:szCs w:val="22"/>
        </w:rPr>
        <w:t>тельствует, что ежегодно жер</w:t>
      </w:r>
      <w:r w:rsidR="00EC1A78" w:rsidRPr="003A6F86">
        <w:rPr>
          <w:sz w:val="22"/>
          <w:szCs w:val="22"/>
        </w:rPr>
        <w:t>т</w:t>
      </w:r>
      <w:r w:rsidR="00EC1A78" w:rsidRPr="003A6F86">
        <w:rPr>
          <w:sz w:val="22"/>
          <w:szCs w:val="22"/>
        </w:rPr>
        <w:t>вами преступлений становятся до 4 млн. чел. По данным МВД Ро</w:t>
      </w:r>
      <w:r w:rsidR="00EC1A78" w:rsidRPr="003A6F86">
        <w:rPr>
          <w:sz w:val="22"/>
          <w:szCs w:val="22"/>
        </w:rPr>
        <w:t>с</w:t>
      </w:r>
      <w:r>
        <w:rPr>
          <w:sz w:val="22"/>
          <w:szCs w:val="22"/>
        </w:rPr>
        <w:t>сии в 2016 г. мате</w:t>
      </w:r>
      <w:r w:rsidR="00EC1A78" w:rsidRPr="003A6F86">
        <w:rPr>
          <w:sz w:val="22"/>
          <w:szCs w:val="22"/>
        </w:rPr>
        <w:t>риальны</w:t>
      </w:r>
      <w:r>
        <w:rPr>
          <w:sz w:val="22"/>
          <w:szCs w:val="22"/>
        </w:rPr>
        <w:t>й ущерб от преступлений по окон</w:t>
      </w:r>
      <w:r w:rsidR="00EC1A78" w:rsidRPr="003A6F86">
        <w:rPr>
          <w:sz w:val="22"/>
          <w:szCs w:val="22"/>
        </w:rPr>
        <w:t xml:space="preserve">ченным уголовным делам составил 562,62 млрд. руб., превысив на 126,13 млрд. руб. (28,89 %) показатель предыдущего года [2]. </w:t>
      </w:r>
    </w:p>
    <w:p w:rsidR="00EC1A78" w:rsidRPr="003A6F86" w:rsidRDefault="00EC1A78" w:rsidP="00EC1A78">
      <w:pPr>
        <w:ind w:firstLine="426"/>
        <w:jc w:val="both"/>
        <w:rPr>
          <w:sz w:val="22"/>
          <w:szCs w:val="22"/>
        </w:rPr>
      </w:pPr>
      <w:r w:rsidRPr="003A6F86">
        <w:rPr>
          <w:sz w:val="22"/>
          <w:szCs w:val="22"/>
        </w:rPr>
        <w:t>При этом, как показывает практика исполнения и отбывания уголовных наказаний, при существующем порядке взысканий с осужденных к лишению свободы по исполнительным листам и д</w:t>
      </w:r>
      <w:r w:rsidRPr="003A6F86">
        <w:rPr>
          <w:sz w:val="22"/>
          <w:szCs w:val="22"/>
        </w:rPr>
        <w:t>о</w:t>
      </w:r>
      <w:r w:rsidRPr="003A6F86">
        <w:rPr>
          <w:sz w:val="22"/>
          <w:szCs w:val="22"/>
        </w:rPr>
        <w:t xml:space="preserve">кументам на погашение ущерба потерпевшему чаще всего средств, практически не остается. </w:t>
      </w:r>
    </w:p>
    <w:p w:rsidR="00EC1A78" w:rsidRPr="003A6F86" w:rsidRDefault="00EC1A78" w:rsidP="00EC1A78">
      <w:pPr>
        <w:ind w:firstLine="426"/>
        <w:jc w:val="both"/>
        <w:rPr>
          <w:sz w:val="22"/>
          <w:szCs w:val="22"/>
        </w:rPr>
      </w:pPr>
      <w:r w:rsidRPr="003A6F86">
        <w:rPr>
          <w:sz w:val="22"/>
          <w:szCs w:val="22"/>
        </w:rPr>
        <w:t>В связи со сказанным очевидно, принятие законодательных мер, направленных совершенствование механизма возмещения вр</w:t>
      </w:r>
      <w:r w:rsidRPr="003A6F86">
        <w:rPr>
          <w:sz w:val="22"/>
          <w:szCs w:val="22"/>
        </w:rPr>
        <w:t>е</w:t>
      </w:r>
      <w:r w:rsidRPr="003A6F86">
        <w:rPr>
          <w:sz w:val="22"/>
          <w:szCs w:val="22"/>
        </w:rPr>
        <w:t>да, нанесенного преступлением, видится значимой задачей юрид</w:t>
      </w:r>
      <w:r w:rsidRPr="003A6F86">
        <w:rPr>
          <w:sz w:val="22"/>
          <w:szCs w:val="22"/>
        </w:rPr>
        <w:t>и</w:t>
      </w:r>
      <w:r w:rsidRPr="003A6F86">
        <w:rPr>
          <w:sz w:val="22"/>
          <w:szCs w:val="22"/>
        </w:rPr>
        <w:t>ческой науки и практики по разработке действенных механизмов защиты прав потерпевшего в уголовном процессе.</w:t>
      </w:r>
    </w:p>
    <w:p w:rsidR="00EC1A78" w:rsidRPr="003A6F86" w:rsidRDefault="00EC1A78" w:rsidP="00EC1A78">
      <w:pPr>
        <w:ind w:firstLine="709"/>
        <w:jc w:val="both"/>
        <w:rPr>
          <w:sz w:val="22"/>
          <w:szCs w:val="22"/>
        </w:rPr>
      </w:pPr>
    </w:p>
    <w:p w:rsidR="00EC1A78" w:rsidRPr="003A6F86" w:rsidRDefault="00EC1A78" w:rsidP="00EC1A78">
      <w:pPr>
        <w:jc w:val="center"/>
        <w:rPr>
          <w:sz w:val="22"/>
          <w:szCs w:val="22"/>
        </w:rPr>
      </w:pPr>
      <w:r w:rsidRPr="003A6F86">
        <w:rPr>
          <w:sz w:val="22"/>
          <w:szCs w:val="22"/>
        </w:rPr>
        <w:t>Список литературы</w:t>
      </w:r>
    </w:p>
    <w:p w:rsidR="00EC1A78" w:rsidRPr="003A6F86" w:rsidRDefault="00EC1A78" w:rsidP="00EC1A78">
      <w:pPr>
        <w:ind w:firstLine="426"/>
        <w:jc w:val="both"/>
        <w:rPr>
          <w:iCs/>
          <w:sz w:val="22"/>
          <w:szCs w:val="22"/>
        </w:rPr>
      </w:pPr>
      <w:r w:rsidRPr="003A6F86">
        <w:rPr>
          <w:sz w:val="22"/>
          <w:szCs w:val="22"/>
        </w:rPr>
        <w:t xml:space="preserve">1. </w:t>
      </w:r>
      <w:r w:rsidRPr="003A6F86">
        <w:rPr>
          <w:rFonts w:eastAsia="Calibri"/>
          <w:sz w:val="22"/>
          <w:szCs w:val="22"/>
          <w:lang w:bidi="ru-RU"/>
        </w:rPr>
        <w:t>Смирнова</w:t>
      </w:r>
      <w:r w:rsidR="003A6F86">
        <w:rPr>
          <w:sz w:val="22"/>
          <w:szCs w:val="22"/>
        </w:rPr>
        <w:t xml:space="preserve"> </w:t>
      </w:r>
      <w:r w:rsidRPr="003A6F86">
        <w:rPr>
          <w:rFonts w:eastAsia="Calibri"/>
          <w:sz w:val="22"/>
          <w:szCs w:val="22"/>
          <w:lang w:bidi="ru-RU"/>
        </w:rPr>
        <w:t xml:space="preserve">Е.В. </w:t>
      </w:r>
      <w:r w:rsidRPr="003A6F86">
        <w:rPr>
          <w:sz w:val="22"/>
          <w:szCs w:val="22"/>
        </w:rPr>
        <w:t>Возмещение вреда, причиненного преступл</w:t>
      </w:r>
      <w:r w:rsidRPr="003A6F86">
        <w:rPr>
          <w:sz w:val="22"/>
          <w:szCs w:val="22"/>
        </w:rPr>
        <w:t>е</w:t>
      </w:r>
      <w:r w:rsidRPr="003A6F86">
        <w:rPr>
          <w:sz w:val="22"/>
          <w:szCs w:val="22"/>
        </w:rPr>
        <w:t>нием, в уголовном судопроизводстве России: история и совреме</w:t>
      </w:r>
      <w:r w:rsidRPr="003A6F86">
        <w:rPr>
          <w:sz w:val="22"/>
          <w:szCs w:val="22"/>
        </w:rPr>
        <w:t>н</w:t>
      </w:r>
      <w:r w:rsidRPr="003A6F86">
        <w:rPr>
          <w:sz w:val="22"/>
          <w:szCs w:val="22"/>
        </w:rPr>
        <w:t xml:space="preserve">ность // </w:t>
      </w:r>
      <w:r w:rsidRPr="003A6F86">
        <w:rPr>
          <w:iCs/>
          <w:sz w:val="22"/>
          <w:szCs w:val="22"/>
        </w:rPr>
        <w:t>Актуальные проблемы российского права. 2014. № 11 (48). С. 2563-2567.</w:t>
      </w:r>
    </w:p>
    <w:p w:rsidR="00EC1A78" w:rsidRPr="003A6F86" w:rsidRDefault="00EC1A78" w:rsidP="00EC1A78">
      <w:pPr>
        <w:ind w:firstLine="426"/>
        <w:jc w:val="both"/>
        <w:rPr>
          <w:sz w:val="22"/>
          <w:szCs w:val="22"/>
        </w:rPr>
      </w:pPr>
      <w:r w:rsidRPr="003A6F86">
        <w:rPr>
          <w:iCs/>
          <w:sz w:val="22"/>
          <w:szCs w:val="22"/>
        </w:rPr>
        <w:t xml:space="preserve">2. </w:t>
      </w:r>
      <w:r w:rsidRPr="003A6F86">
        <w:rPr>
          <w:sz w:val="22"/>
          <w:szCs w:val="22"/>
        </w:rPr>
        <w:t xml:space="preserve">Состояние преступности // Официальный интернет-портал МВД России. - </w:t>
      </w:r>
      <w:r w:rsidRPr="003A6F86">
        <w:rPr>
          <w:sz w:val="22"/>
          <w:szCs w:val="22"/>
          <w:lang w:val="en-US" w:eastAsia="en-US" w:bidi="en-US"/>
        </w:rPr>
        <w:t>URL</w:t>
      </w:r>
      <w:r w:rsidRPr="003A6F86">
        <w:rPr>
          <w:sz w:val="22"/>
          <w:szCs w:val="22"/>
          <w:lang w:eastAsia="en-US" w:bidi="en-US"/>
        </w:rPr>
        <w:t xml:space="preserve">: </w:t>
      </w:r>
      <w:r w:rsidRPr="003A6F86">
        <w:rPr>
          <w:sz w:val="22"/>
          <w:szCs w:val="22"/>
          <w:lang w:val="en-US" w:eastAsia="en-US" w:bidi="en-US"/>
        </w:rPr>
        <w:t>https</w:t>
      </w:r>
      <w:r w:rsidRPr="003A6F86">
        <w:rPr>
          <w:sz w:val="22"/>
          <w:szCs w:val="22"/>
          <w:lang w:eastAsia="en-US" w:bidi="en-US"/>
        </w:rPr>
        <w:t xml:space="preserve"> ://</w:t>
      </w:r>
      <w:r w:rsidRPr="003A6F86">
        <w:rPr>
          <w:sz w:val="22"/>
          <w:szCs w:val="22"/>
          <w:lang w:val="en-US" w:eastAsia="en-US" w:bidi="en-US"/>
        </w:rPr>
        <w:t>xn</w:t>
      </w:r>
      <w:r w:rsidRPr="003A6F86">
        <w:rPr>
          <w:sz w:val="22"/>
          <w:szCs w:val="22"/>
          <w:lang w:eastAsia="en-US" w:bidi="en-US"/>
        </w:rPr>
        <w:t>--</w:t>
      </w:r>
      <w:r w:rsidRPr="003A6F86">
        <w:rPr>
          <w:sz w:val="22"/>
          <w:szCs w:val="22"/>
          <w:lang w:val="en-US" w:eastAsia="en-US" w:bidi="en-US"/>
        </w:rPr>
        <w:t>b</w:t>
      </w:r>
      <w:r w:rsidRPr="003A6F86">
        <w:rPr>
          <w:sz w:val="22"/>
          <w:szCs w:val="22"/>
          <w:lang w:eastAsia="en-US" w:bidi="en-US"/>
        </w:rPr>
        <w:t xml:space="preserve"> </w:t>
      </w:r>
      <w:r w:rsidRPr="003A6F86">
        <w:rPr>
          <w:sz w:val="22"/>
          <w:szCs w:val="22"/>
        </w:rPr>
        <w:t xml:space="preserve">1 </w:t>
      </w:r>
      <w:r w:rsidRPr="003A6F86">
        <w:rPr>
          <w:sz w:val="22"/>
          <w:szCs w:val="22"/>
          <w:lang w:val="en-US" w:eastAsia="en-US" w:bidi="en-US"/>
        </w:rPr>
        <w:t>aew</w:t>
      </w:r>
      <w:r w:rsidRPr="003A6F86">
        <w:rPr>
          <w:sz w:val="22"/>
          <w:szCs w:val="22"/>
          <w:lang w:eastAsia="en-US" w:bidi="en-US"/>
        </w:rPr>
        <w:t xml:space="preserve">. </w:t>
      </w:r>
      <w:r w:rsidRPr="003A6F86">
        <w:rPr>
          <w:sz w:val="22"/>
          <w:szCs w:val="22"/>
          <w:lang w:val="en-US" w:eastAsia="en-US" w:bidi="en-US"/>
        </w:rPr>
        <w:t>xn</w:t>
      </w:r>
      <w:r w:rsidRPr="003A6F86">
        <w:rPr>
          <w:sz w:val="22"/>
          <w:szCs w:val="22"/>
          <w:lang w:eastAsia="en-US" w:bidi="en-US"/>
        </w:rPr>
        <w:t>--</w:t>
      </w:r>
      <w:r w:rsidRPr="003A6F86">
        <w:rPr>
          <w:sz w:val="22"/>
          <w:szCs w:val="22"/>
          <w:lang w:val="en-US" w:eastAsia="en-US" w:bidi="en-US"/>
        </w:rPr>
        <w:t>p</w:t>
      </w:r>
      <w:r w:rsidRPr="003A6F86">
        <w:rPr>
          <w:sz w:val="22"/>
          <w:szCs w:val="22"/>
          <w:lang w:eastAsia="en-US" w:bidi="en-US"/>
        </w:rPr>
        <w:t xml:space="preserve"> 1 </w:t>
      </w:r>
      <w:r w:rsidRPr="003A6F86">
        <w:rPr>
          <w:sz w:val="22"/>
          <w:szCs w:val="22"/>
          <w:lang w:val="en-US" w:eastAsia="en-US" w:bidi="en-US"/>
        </w:rPr>
        <w:t>ai</w:t>
      </w:r>
      <w:r w:rsidRPr="003A6F86">
        <w:rPr>
          <w:sz w:val="22"/>
          <w:szCs w:val="22"/>
          <w:lang w:eastAsia="en-US" w:bidi="en-US"/>
        </w:rPr>
        <w:t>/</w:t>
      </w:r>
      <w:r w:rsidRPr="003A6F86">
        <w:rPr>
          <w:sz w:val="22"/>
          <w:szCs w:val="22"/>
          <w:lang w:val="en-US" w:eastAsia="en-US" w:bidi="en-US"/>
        </w:rPr>
        <w:t>folder</w:t>
      </w:r>
      <w:r w:rsidRPr="003A6F86">
        <w:rPr>
          <w:sz w:val="22"/>
          <w:szCs w:val="22"/>
          <w:lang w:eastAsia="en-US" w:bidi="en-US"/>
        </w:rPr>
        <w:t>/10</w:t>
      </w:r>
      <w:r w:rsidRPr="003A6F86">
        <w:rPr>
          <w:sz w:val="22"/>
          <w:szCs w:val="22"/>
        </w:rPr>
        <w:t>1762/2/</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Pr="00EC1A78" w:rsidRDefault="00AB6A0E"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343.54</w:t>
      </w:r>
    </w:p>
    <w:p w:rsidR="00EC1A78" w:rsidRPr="00EC1A78" w:rsidRDefault="00EC1A78" w:rsidP="00EC1A78">
      <w:pPr>
        <w:ind w:firstLine="425"/>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Субъект преступления за ненадлежащее исполнение </w:t>
      </w:r>
      <w:r w:rsidR="003A6F86">
        <w:rPr>
          <w:rFonts w:eastAsiaTheme="minorHAnsi"/>
          <w:b/>
          <w:sz w:val="24"/>
          <w:szCs w:val="22"/>
          <w:lang w:eastAsia="en-US"/>
        </w:rPr>
        <w:br/>
      </w:r>
      <w:r w:rsidRPr="00EC1A78">
        <w:rPr>
          <w:rFonts w:eastAsiaTheme="minorHAnsi"/>
          <w:b/>
          <w:sz w:val="24"/>
          <w:szCs w:val="22"/>
          <w:lang w:eastAsia="en-US"/>
        </w:rPr>
        <w:t>обязанностей по воспитанию несовершеннолетнего</w:t>
      </w:r>
    </w:p>
    <w:p w:rsidR="00EC1A78" w:rsidRPr="00E62E4B"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The</w:t>
      </w:r>
      <w:r w:rsidRPr="00E62E4B">
        <w:rPr>
          <w:rFonts w:eastAsiaTheme="minorHAnsi"/>
          <w:b/>
          <w:sz w:val="24"/>
          <w:szCs w:val="22"/>
          <w:lang w:val="en-US" w:eastAsia="en-US"/>
        </w:rPr>
        <w:t xml:space="preserve"> </w:t>
      </w:r>
      <w:r w:rsidRPr="00EC1A78">
        <w:rPr>
          <w:rFonts w:eastAsiaTheme="minorHAnsi"/>
          <w:b/>
          <w:sz w:val="24"/>
          <w:szCs w:val="22"/>
          <w:lang w:val="en-US" w:eastAsia="en-US"/>
        </w:rPr>
        <w:t>Subject</w:t>
      </w:r>
      <w:r w:rsidRPr="00E62E4B">
        <w:rPr>
          <w:rFonts w:eastAsiaTheme="minorHAnsi"/>
          <w:b/>
          <w:sz w:val="24"/>
          <w:szCs w:val="22"/>
          <w:lang w:val="en-US" w:eastAsia="en-US"/>
        </w:rPr>
        <w:t xml:space="preserve"> </w:t>
      </w:r>
      <w:r w:rsidRPr="00EC1A78">
        <w:rPr>
          <w:rFonts w:eastAsiaTheme="minorHAnsi"/>
          <w:b/>
          <w:sz w:val="24"/>
          <w:szCs w:val="22"/>
          <w:lang w:val="en-US" w:eastAsia="en-US"/>
        </w:rPr>
        <w:t>of</w:t>
      </w:r>
      <w:r w:rsidRPr="00E62E4B">
        <w:rPr>
          <w:rFonts w:eastAsiaTheme="minorHAnsi"/>
          <w:b/>
          <w:sz w:val="24"/>
          <w:szCs w:val="22"/>
          <w:lang w:val="en-US" w:eastAsia="en-US"/>
        </w:rPr>
        <w:t xml:space="preserve"> </w:t>
      </w:r>
      <w:r w:rsidRPr="00EC1A78">
        <w:rPr>
          <w:rFonts w:eastAsiaTheme="minorHAnsi"/>
          <w:b/>
          <w:sz w:val="24"/>
          <w:szCs w:val="22"/>
          <w:lang w:val="en-US" w:eastAsia="en-US"/>
        </w:rPr>
        <w:t>a</w:t>
      </w:r>
      <w:r w:rsidRPr="00E62E4B">
        <w:rPr>
          <w:rFonts w:eastAsiaTheme="minorHAnsi"/>
          <w:b/>
          <w:sz w:val="24"/>
          <w:szCs w:val="22"/>
          <w:lang w:val="en-US" w:eastAsia="en-US"/>
        </w:rPr>
        <w:t xml:space="preserve"> </w:t>
      </w:r>
      <w:r w:rsidRPr="00EC1A78">
        <w:rPr>
          <w:rFonts w:eastAsiaTheme="minorHAnsi"/>
          <w:b/>
          <w:sz w:val="24"/>
          <w:szCs w:val="22"/>
          <w:lang w:eastAsia="en-US"/>
        </w:rPr>
        <w:t>с</w:t>
      </w:r>
      <w:r w:rsidRPr="00EC1A78">
        <w:rPr>
          <w:rFonts w:eastAsiaTheme="minorHAnsi"/>
          <w:b/>
          <w:sz w:val="24"/>
          <w:szCs w:val="22"/>
          <w:lang w:val="en-US" w:eastAsia="en-US"/>
        </w:rPr>
        <w:t>rime</w:t>
      </w:r>
      <w:r w:rsidRPr="00E62E4B">
        <w:rPr>
          <w:rFonts w:eastAsiaTheme="minorHAnsi"/>
          <w:b/>
          <w:sz w:val="24"/>
          <w:szCs w:val="22"/>
          <w:lang w:val="en-US" w:eastAsia="en-US"/>
        </w:rPr>
        <w:t xml:space="preserve"> </w:t>
      </w:r>
      <w:r w:rsidRPr="00EC1A78">
        <w:rPr>
          <w:rFonts w:eastAsiaTheme="minorHAnsi"/>
          <w:b/>
          <w:sz w:val="24"/>
          <w:szCs w:val="22"/>
          <w:lang w:val="en-US" w:eastAsia="en-US"/>
        </w:rPr>
        <w:t>for</w:t>
      </w:r>
      <w:r w:rsidRPr="00E62E4B">
        <w:rPr>
          <w:rFonts w:eastAsiaTheme="minorHAnsi"/>
          <w:b/>
          <w:sz w:val="24"/>
          <w:szCs w:val="22"/>
          <w:lang w:val="en-US" w:eastAsia="en-US"/>
        </w:rPr>
        <w:t xml:space="preserve"> </w:t>
      </w:r>
      <w:r w:rsidRPr="00EC1A78">
        <w:rPr>
          <w:rFonts w:eastAsiaTheme="minorHAnsi"/>
          <w:b/>
          <w:sz w:val="24"/>
          <w:szCs w:val="22"/>
          <w:lang w:val="en-US" w:eastAsia="en-US"/>
        </w:rPr>
        <w:t>improper</w:t>
      </w:r>
      <w:r w:rsidRPr="00E62E4B">
        <w:rPr>
          <w:rFonts w:eastAsiaTheme="minorHAnsi"/>
          <w:b/>
          <w:sz w:val="24"/>
          <w:szCs w:val="22"/>
          <w:lang w:val="en-US" w:eastAsia="en-US"/>
        </w:rPr>
        <w:t xml:space="preserve"> </w:t>
      </w:r>
      <w:r w:rsidRPr="00EC1A78">
        <w:rPr>
          <w:rFonts w:eastAsiaTheme="minorHAnsi"/>
          <w:b/>
          <w:sz w:val="24"/>
          <w:szCs w:val="22"/>
          <w:lang w:val="en-US" w:eastAsia="en-US"/>
        </w:rPr>
        <w:t>performance</w:t>
      </w:r>
      <w:r w:rsidRPr="00E62E4B">
        <w:rPr>
          <w:rFonts w:eastAsiaTheme="minorHAnsi"/>
          <w:b/>
          <w:sz w:val="24"/>
          <w:szCs w:val="22"/>
          <w:lang w:val="en-US" w:eastAsia="en-US"/>
        </w:rPr>
        <w:t xml:space="preserve"> </w:t>
      </w:r>
      <w:r w:rsidRPr="00EC1A78">
        <w:rPr>
          <w:rFonts w:eastAsiaTheme="minorHAnsi"/>
          <w:b/>
          <w:sz w:val="24"/>
          <w:szCs w:val="22"/>
          <w:lang w:val="en-US" w:eastAsia="en-US"/>
        </w:rPr>
        <w:t>of</w:t>
      </w:r>
      <w:r w:rsidRPr="00E62E4B">
        <w:rPr>
          <w:rFonts w:eastAsiaTheme="minorHAnsi"/>
          <w:b/>
          <w:sz w:val="24"/>
          <w:szCs w:val="22"/>
          <w:lang w:val="en-US" w:eastAsia="en-US"/>
        </w:rPr>
        <w:t xml:space="preserve"> </w:t>
      </w:r>
      <w:r w:rsidRPr="00EC1A78">
        <w:rPr>
          <w:rFonts w:eastAsiaTheme="minorHAnsi"/>
          <w:b/>
          <w:sz w:val="24"/>
          <w:szCs w:val="22"/>
          <w:lang w:val="en-US" w:eastAsia="en-US"/>
        </w:rPr>
        <w:t>duties</w:t>
      </w:r>
      <w:r w:rsidRPr="00E62E4B">
        <w:rPr>
          <w:rFonts w:eastAsiaTheme="minorHAnsi"/>
          <w:b/>
          <w:sz w:val="24"/>
          <w:szCs w:val="22"/>
          <w:lang w:val="en-US" w:eastAsia="en-US"/>
        </w:rPr>
        <w:t xml:space="preserve"> </w:t>
      </w:r>
    </w:p>
    <w:p w:rsidR="00EC1A78" w:rsidRPr="00E62E4B"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on</w:t>
      </w:r>
      <w:r w:rsidRPr="00E62E4B">
        <w:rPr>
          <w:rFonts w:eastAsiaTheme="minorHAnsi"/>
          <w:b/>
          <w:sz w:val="24"/>
          <w:szCs w:val="22"/>
          <w:lang w:val="en-US" w:eastAsia="en-US"/>
        </w:rPr>
        <w:t xml:space="preserve"> </w:t>
      </w:r>
      <w:r w:rsidRPr="00EC1A78">
        <w:rPr>
          <w:rFonts w:eastAsiaTheme="minorHAnsi"/>
          <w:b/>
          <w:sz w:val="24"/>
          <w:szCs w:val="22"/>
          <w:lang w:val="en-US" w:eastAsia="en-US"/>
        </w:rPr>
        <w:t>education</w:t>
      </w:r>
      <w:r w:rsidRPr="00E62E4B">
        <w:rPr>
          <w:rFonts w:eastAsiaTheme="minorHAnsi"/>
          <w:b/>
          <w:sz w:val="24"/>
          <w:szCs w:val="22"/>
          <w:lang w:val="en-US" w:eastAsia="en-US"/>
        </w:rPr>
        <w:t xml:space="preserve"> </w:t>
      </w:r>
      <w:r w:rsidRPr="00EC1A78">
        <w:rPr>
          <w:rFonts w:eastAsiaTheme="minorHAnsi"/>
          <w:b/>
          <w:sz w:val="24"/>
          <w:szCs w:val="22"/>
          <w:lang w:val="en-US" w:eastAsia="en-US"/>
        </w:rPr>
        <w:t>of</w:t>
      </w:r>
      <w:r w:rsidRPr="00E62E4B">
        <w:rPr>
          <w:rFonts w:eastAsiaTheme="minorHAnsi"/>
          <w:b/>
          <w:sz w:val="24"/>
          <w:szCs w:val="22"/>
          <w:lang w:val="en-US" w:eastAsia="en-US"/>
        </w:rPr>
        <w:t xml:space="preserve"> </w:t>
      </w:r>
      <w:r w:rsidRPr="00EC1A78">
        <w:rPr>
          <w:rFonts w:eastAsiaTheme="minorHAnsi"/>
          <w:b/>
          <w:sz w:val="24"/>
          <w:szCs w:val="22"/>
          <w:lang w:val="en-US" w:eastAsia="en-US"/>
        </w:rPr>
        <w:t>the</w:t>
      </w:r>
      <w:r w:rsidRPr="00E62E4B">
        <w:rPr>
          <w:rFonts w:eastAsiaTheme="minorHAnsi"/>
          <w:b/>
          <w:sz w:val="24"/>
          <w:szCs w:val="22"/>
          <w:lang w:val="en-US" w:eastAsia="en-US"/>
        </w:rPr>
        <w:t xml:space="preserve"> </w:t>
      </w:r>
      <w:r w:rsidRPr="00EC1A78">
        <w:rPr>
          <w:rFonts w:eastAsiaTheme="minorHAnsi"/>
          <w:b/>
          <w:sz w:val="24"/>
          <w:szCs w:val="22"/>
          <w:lang w:val="en-US" w:eastAsia="en-US"/>
        </w:rPr>
        <w:t>minor</w:t>
      </w:r>
    </w:p>
    <w:p w:rsidR="00EC1A78" w:rsidRPr="00E62E4B" w:rsidRDefault="00EC1A78" w:rsidP="00EC1A78">
      <w:pPr>
        <w:ind w:firstLine="425"/>
        <w:jc w:val="center"/>
        <w:rPr>
          <w:rFonts w:eastAsiaTheme="minorHAnsi"/>
          <w:sz w:val="20"/>
          <w:szCs w:val="22"/>
          <w:lang w:val="en-US" w:eastAsia="en-US"/>
        </w:rPr>
      </w:pPr>
    </w:p>
    <w:p w:rsidR="00EC1A78" w:rsidRPr="00E62E4B" w:rsidRDefault="00EC1A78" w:rsidP="00EC1A78">
      <w:pPr>
        <w:ind w:hanging="142"/>
        <w:jc w:val="right"/>
        <w:rPr>
          <w:rFonts w:eastAsiaTheme="minorHAnsi"/>
          <w:sz w:val="22"/>
          <w:szCs w:val="22"/>
          <w:lang w:val="en-US" w:eastAsia="en-US"/>
        </w:rPr>
      </w:pPr>
      <w:r w:rsidRPr="00EC1A78">
        <w:rPr>
          <w:rFonts w:eastAsiaTheme="minorHAnsi"/>
          <w:sz w:val="22"/>
          <w:szCs w:val="22"/>
          <w:lang w:eastAsia="en-US"/>
        </w:rPr>
        <w:t>Буч</w:t>
      </w:r>
      <w:r w:rsidRPr="00E62E4B">
        <w:rPr>
          <w:rFonts w:eastAsiaTheme="minorHAnsi"/>
          <w:sz w:val="22"/>
          <w:szCs w:val="22"/>
          <w:lang w:val="en-US" w:eastAsia="en-US"/>
        </w:rPr>
        <w:t xml:space="preserve"> </w:t>
      </w:r>
      <w:r w:rsidRPr="00EC1A78">
        <w:rPr>
          <w:rFonts w:eastAsiaTheme="minorHAnsi"/>
          <w:sz w:val="22"/>
          <w:szCs w:val="22"/>
          <w:lang w:eastAsia="en-US"/>
        </w:rPr>
        <w:t>Д</w:t>
      </w:r>
      <w:r w:rsidRPr="00E62E4B">
        <w:rPr>
          <w:rFonts w:eastAsiaTheme="minorHAnsi"/>
          <w:sz w:val="22"/>
          <w:szCs w:val="22"/>
          <w:lang w:val="en-US" w:eastAsia="en-US"/>
        </w:rPr>
        <w:t>.</w:t>
      </w:r>
      <w:r w:rsidR="003A6F86" w:rsidRPr="00E62E4B">
        <w:rPr>
          <w:rFonts w:eastAsiaTheme="minorHAnsi"/>
          <w:sz w:val="22"/>
          <w:szCs w:val="22"/>
          <w:lang w:val="en-US" w:eastAsia="en-US"/>
        </w:rPr>
        <w:t xml:space="preserve"> </w:t>
      </w:r>
      <w:r w:rsidRPr="00EC1A78">
        <w:rPr>
          <w:rFonts w:eastAsiaTheme="minorHAnsi"/>
          <w:sz w:val="22"/>
          <w:szCs w:val="22"/>
          <w:lang w:eastAsia="en-US"/>
        </w:rPr>
        <w:t>Ю</w:t>
      </w:r>
      <w:r w:rsidRPr="00E62E4B">
        <w:rPr>
          <w:rFonts w:eastAsiaTheme="minorHAnsi"/>
          <w:sz w:val="22"/>
          <w:szCs w:val="22"/>
          <w:lang w:val="en-US" w:eastAsia="en-US"/>
        </w:rPr>
        <w:t>.,</w:t>
      </w:r>
    </w:p>
    <w:p w:rsidR="003A6F86" w:rsidRDefault="00EC1A78" w:rsidP="00EC1A78">
      <w:pPr>
        <w:ind w:hanging="142"/>
        <w:jc w:val="right"/>
        <w:rPr>
          <w:rFonts w:eastAsiaTheme="minorHAnsi"/>
          <w:sz w:val="22"/>
          <w:szCs w:val="22"/>
          <w:lang w:eastAsia="en-US"/>
        </w:rPr>
      </w:pPr>
      <w:r w:rsidRPr="00EC1A78">
        <w:rPr>
          <w:rFonts w:eastAsiaTheme="minorHAnsi"/>
          <w:sz w:val="22"/>
          <w:szCs w:val="22"/>
          <w:lang w:eastAsia="en-US"/>
        </w:rPr>
        <w:t>студентка 4–го курса</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 xml:space="preserve"> юридического факультета</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Картавченко В.</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данной статье рассматриваются категории субъектов неисполнения или ненадлежащего неисполнения обяза</w:t>
      </w:r>
      <w:r w:rsidRPr="00EC1A78">
        <w:rPr>
          <w:rFonts w:eastAsiaTheme="minorHAnsi"/>
          <w:sz w:val="22"/>
          <w:szCs w:val="22"/>
          <w:lang w:eastAsia="en-US"/>
        </w:rPr>
        <w:t>н</w:t>
      </w:r>
      <w:r w:rsidRPr="00EC1A78">
        <w:rPr>
          <w:rFonts w:eastAsiaTheme="minorHAnsi"/>
          <w:sz w:val="22"/>
          <w:szCs w:val="22"/>
          <w:lang w:eastAsia="en-US"/>
        </w:rPr>
        <w:t>ностей по воспитанию несовершеннолетнего. Автором предлагается расширить перечень субъектов, включив в норму ст. 156 УК РФ дополнительный субъект преступления.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In this article discusses the categories of subjects of non–performance of duties on nutrition of a minor. The author proposes to expand the list of subjects, including in the norm of Art. 156 of the criminal code additional subject of crime.</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неисполнение обязанностей по воспит</w:t>
      </w:r>
      <w:r w:rsidRPr="00EC1A78">
        <w:rPr>
          <w:rFonts w:eastAsiaTheme="minorHAnsi"/>
          <w:sz w:val="22"/>
          <w:szCs w:val="22"/>
          <w:lang w:eastAsia="en-US"/>
        </w:rPr>
        <w:t>а</w:t>
      </w:r>
      <w:r w:rsidRPr="00EC1A78">
        <w:rPr>
          <w:rFonts w:eastAsiaTheme="minorHAnsi"/>
          <w:sz w:val="22"/>
          <w:szCs w:val="22"/>
          <w:lang w:eastAsia="en-US"/>
        </w:rPr>
        <w:t>нию несовершеннолетнего, субъект, специальный субъект, нес</w:t>
      </w:r>
      <w:r w:rsidRPr="00EC1A78">
        <w:rPr>
          <w:rFonts w:eastAsiaTheme="minorHAnsi"/>
          <w:sz w:val="22"/>
          <w:szCs w:val="22"/>
          <w:lang w:eastAsia="en-US"/>
        </w:rPr>
        <w:t>о</w:t>
      </w:r>
      <w:r w:rsidRPr="00EC1A78">
        <w:rPr>
          <w:rFonts w:eastAsiaTheme="minorHAnsi"/>
          <w:sz w:val="22"/>
          <w:szCs w:val="22"/>
          <w:lang w:eastAsia="en-US"/>
        </w:rPr>
        <w:t>вершеннолетний, статья 156 УК РФ.</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 WORDS: non–performance of duties on education of the m</w:t>
      </w:r>
      <w:r w:rsidRPr="00EC1A78">
        <w:rPr>
          <w:rFonts w:eastAsiaTheme="minorHAnsi"/>
          <w:sz w:val="22"/>
          <w:szCs w:val="22"/>
          <w:lang w:val="en-US" w:eastAsia="en-US"/>
        </w:rPr>
        <w:t>i</w:t>
      </w:r>
      <w:r w:rsidRPr="00EC1A78">
        <w:rPr>
          <w:rFonts w:eastAsiaTheme="minorHAnsi"/>
          <w:sz w:val="22"/>
          <w:szCs w:val="22"/>
          <w:lang w:val="en-US" w:eastAsia="en-US"/>
        </w:rPr>
        <w:t>nor, the subject, the special subject, the minor, article 156 of the criminal code.</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воспитание ребенка семья влияет положительно или отр</w:t>
      </w:r>
      <w:r w:rsidRPr="00EC1A78">
        <w:rPr>
          <w:rFonts w:eastAsiaTheme="minorHAnsi"/>
          <w:sz w:val="22"/>
          <w:szCs w:val="22"/>
          <w:lang w:eastAsia="en-US"/>
        </w:rPr>
        <w:t>и</w:t>
      </w:r>
      <w:r w:rsidRPr="00EC1A78">
        <w:rPr>
          <w:rFonts w:eastAsiaTheme="minorHAnsi"/>
          <w:sz w:val="22"/>
          <w:szCs w:val="22"/>
          <w:lang w:eastAsia="en-US"/>
        </w:rPr>
        <w:t>цательно. Как полагается, дети хотят походить на своих родителей и начинают копировать их поведение. Но не всегда стоит подражать родителям, поскольку они могут вести себя неподобающе, так н</w:t>
      </w:r>
      <w:r w:rsidRPr="00EC1A78">
        <w:rPr>
          <w:rFonts w:eastAsiaTheme="minorHAnsi"/>
          <w:sz w:val="22"/>
          <w:szCs w:val="22"/>
          <w:lang w:eastAsia="en-US"/>
        </w:rPr>
        <w:t>е</w:t>
      </w:r>
      <w:r w:rsidRPr="00EC1A78">
        <w:rPr>
          <w:rFonts w:eastAsiaTheme="minorHAnsi"/>
          <w:sz w:val="22"/>
          <w:szCs w:val="22"/>
          <w:lang w:eastAsia="en-US"/>
        </w:rPr>
        <w:t>приемлемо употребление наркотиков, алкоголя, ведение развратн</w:t>
      </w:r>
      <w:r w:rsidRPr="00EC1A78">
        <w:rPr>
          <w:rFonts w:eastAsiaTheme="minorHAnsi"/>
          <w:sz w:val="22"/>
          <w:szCs w:val="22"/>
          <w:lang w:eastAsia="en-US"/>
        </w:rPr>
        <w:t>о</w:t>
      </w:r>
      <w:r w:rsidRPr="00EC1A78">
        <w:rPr>
          <w:rFonts w:eastAsiaTheme="minorHAnsi"/>
          <w:sz w:val="22"/>
          <w:szCs w:val="22"/>
          <w:lang w:eastAsia="en-US"/>
        </w:rPr>
        <w:t>го образа жизни и т.д. Ведь причиненный вред несовершеннолетн</w:t>
      </w:r>
      <w:r w:rsidRPr="00EC1A78">
        <w:rPr>
          <w:rFonts w:eastAsiaTheme="minorHAnsi"/>
          <w:sz w:val="22"/>
          <w:szCs w:val="22"/>
          <w:lang w:eastAsia="en-US"/>
        </w:rPr>
        <w:t>е</w:t>
      </w:r>
      <w:r w:rsidRPr="00EC1A78">
        <w:rPr>
          <w:rFonts w:eastAsiaTheme="minorHAnsi"/>
          <w:sz w:val="22"/>
          <w:szCs w:val="22"/>
          <w:lang w:eastAsia="en-US"/>
        </w:rPr>
        <w:lastRenderedPageBreak/>
        <w:t>му оставляет в его душе неизгладимый след, который им не забыв</w:t>
      </w:r>
      <w:r w:rsidRPr="00EC1A78">
        <w:rPr>
          <w:rFonts w:eastAsiaTheme="minorHAnsi"/>
          <w:sz w:val="22"/>
          <w:szCs w:val="22"/>
          <w:lang w:eastAsia="en-US"/>
        </w:rPr>
        <w:t>а</w:t>
      </w:r>
      <w:r w:rsidRPr="00EC1A78">
        <w:rPr>
          <w:rFonts w:eastAsiaTheme="minorHAnsi"/>
          <w:sz w:val="22"/>
          <w:szCs w:val="22"/>
          <w:lang w:eastAsia="en-US"/>
        </w:rPr>
        <w:t xml:space="preserve">ется, а что самое главное – отрицательно влияет на формирование личности.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российском законодательстве особо подчеркивается влияние на общественную опасность, так как законные представители в</w:t>
      </w:r>
      <w:r w:rsidRPr="00EC1A78">
        <w:rPr>
          <w:rFonts w:eastAsiaTheme="minorHAnsi"/>
          <w:sz w:val="22"/>
          <w:szCs w:val="22"/>
          <w:lang w:eastAsia="en-US"/>
        </w:rPr>
        <w:t>ы</w:t>
      </w:r>
      <w:r w:rsidRPr="00EC1A78">
        <w:rPr>
          <w:rFonts w:eastAsiaTheme="minorHAnsi"/>
          <w:sz w:val="22"/>
          <w:szCs w:val="22"/>
          <w:lang w:eastAsia="en-US"/>
        </w:rPr>
        <w:t>полняют свою главную функцию – воспитание несовершеннолетн</w:t>
      </w:r>
      <w:r w:rsidRPr="00EC1A78">
        <w:rPr>
          <w:rFonts w:eastAsiaTheme="minorHAnsi"/>
          <w:sz w:val="22"/>
          <w:szCs w:val="22"/>
          <w:lang w:eastAsia="en-US"/>
        </w:rPr>
        <w:t>е</w:t>
      </w:r>
      <w:r w:rsidRPr="00EC1A78">
        <w:rPr>
          <w:rFonts w:eastAsiaTheme="minorHAnsi"/>
          <w:sz w:val="22"/>
          <w:szCs w:val="22"/>
          <w:lang w:eastAsia="en-US"/>
        </w:rPr>
        <w:t>го.</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рассматриваемой норме субъект является специальным. Л</w:t>
      </w:r>
      <w:r w:rsidRPr="00EC1A78">
        <w:rPr>
          <w:rFonts w:eastAsiaTheme="minorHAnsi"/>
          <w:sz w:val="22"/>
          <w:szCs w:val="22"/>
          <w:lang w:eastAsia="en-US"/>
        </w:rPr>
        <w:t>и</w:t>
      </w:r>
      <w:r w:rsidRPr="00EC1A78">
        <w:rPr>
          <w:rFonts w:eastAsiaTheme="minorHAnsi"/>
          <w:sz w:val="22"/>
          <w:szCs w:val="22"/>
          <w:lang w:eastAsia="en-US"/>
        </w:rPr>
        <w:t>ца, которые могут быть признаны таковыми, перечислены в ст. 156 УК РФ. Следует отметить, что в указанном перечне отсутствуют такие лица как мачеха, отчим, сестры, братья, дедушки, бабушки.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Согласно ст. 51 СК РФ родителем несовершеннолетнего явл</w:t>
      </w:r>
      <w:r w:rsidRPr="00EC1A78">
        <w:rPr>
          <w:rFonts w:eastAsiaTheme="minorHAnsi"/>
          <w:sz w:val="22"/>
          <w:szCs w:val="22"/>
          <w:lang w:eastAsia="en-US"/>
        </w:rPr>
        <w:t>я</w:t>
      </w:r>
      <w:r w:rsidRPr="00EC1A78">
        <w:rPr>
          <w:rFonts w:eastAsiaTheme="minorHAnsi"/>
          <w:sz w:val="22"/>
          <w:szCs w:val="22"/>
          <w:lang w:eastAsia="en-US"/>
        </w:rPr>
        <w:t xml:space="preserve">ется мать и (или) отец, записанные в книге записи рождений.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 иным лицам, на которых возложены обязанности по восп</w:t>
      </w:r>
      <w:r w:rsidRPr="00EC1A78">
        <w:rPr>
          <w:rFonts w:eastAsiaTheme="minorHAnsi"/>
          <w:sz w:val="22"/>
          <w:szCs w:val="22"/>
          <w:lang w:eastAsia="en-US"/>
        </w:rPr>
        <w:t>и</w:t>
      </w:r>
      <w:r w:rsidRPr="00EC1A78">
        <w:rPr>
          <w:rFonts w:eastAsiaTheme="minorHAnsi"/>
          <w:sz w:val="22"/>
          <w:szCs w:val="22"/>
          <w:lang w:eastAsia="en-US"/>
        </w:rPr>
        <w:t>танию несовершеннолетнего, законодатель относит и тех, у кого ненадлежащие обязанности вытекают как из закона, так и из дог</w:t>
      </w:r>
      <w:r w:rsidRPr="00EC1A78">
        <w:rPr>
          <w:rFonts w:eastAsiaTheme="minorHAnsi"/>
          <w:sz w:val="22"/>
          <w:szCs w:val="22"/>
          <w:lang w:eastAsia="en-US"/>
        </w:rPr>
        <w:t>о</w:t>
      </w:r>
      <w:r w:rsidRPr="00EC1A78">
        <w:rPr>
          <w:rFonts w:eastAsiaTheme="minorHAnsi"/>
          <w:sz w:val="22"/>
          <w:szCs w:val="22"/>
          <w:lang w:eastAsia="en-US"/>
        </w:rPr>
        <w:t>ворных отношений: усыновителей, приемных родителей, опекунов и попечителей, фактические воспитатели [1, с. 39].</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практике у правоохранительных органов возникают пр</w:t>
      </w:r>
      <w:r w:rsidRPr="00EC1A78">
        <w:rPr>
          <w:rFonts w:eastAsiaTheme="minorHAnsi"/>
          <w:sz w:val="22"/>
          <w:szCs w:val="22"/>
          <w:lang w:eastAsia="en-US"/>
        </w:rPr>
        <w:t>о</w:t>
      </w:r>
      <w:r w:rsidRPr="00EC1A78">
        <w:rPr>
          <w:rFonts w:eastAsiaTheme="minorHAnsi"/>
          <w:sz w:val="22"/>
          <w:szCs w:val="22"/>
          <w:lang w:eastAsia="en-US"/>
        </w:rPr>
        <w:t>блемы по привлечению к уголовной ответственности лица,  явля</w:t>
      </w:r>
      <w:r w:rsidRPr="00EC1A78">
        <w:rPr>
          <w:rFonts w:eastAsiaTheme="minorHAnsi"/>
          <w:sz w:val="22"/>
          <w:szCs w:val="22"/>
          <w:lang w:eastAsia="en-US"/>
        </w:rPr>
        <w:t>ю</w:t>
      </w:r>
      <w:r w:rsidRPr="00EC1A78">
        <w:rPr>
          <w:rFonts w:eastAsiaTheme="minorHAnsi"/>
          <w:sz w:val="22"/>
          <w:szCs w:val="22"/>
          <w:lang w:eastAsia="en-US"/>
        </w:rPr>
        <w:t>щимся фактически отцом ребенка, проживающего совместно с ним, при этом юридически не оформленного в качестве «отца» или «м</w:t>
      </w:r>
      <w:r w:rsidRPr="00EC1A78">
        <w:rPr>
          <w:rFonts w:eastAsiaTheme="minorHAnsi"/>
          <w:sz w:val="22"/>
          <w:szCs w:val="22"/>
          <w:lang w:eastAsia="en-US"/>
        </w:rPr>
        <w:t>а</w:t>
      </w:r>
      <w:r w:rsidRPr="00EC1A78">
        <w:rPr>
          <w:rFonts w:eastAsiaTheme="minorHAnsi"/>
          <w:sz w:val="22"/>
          <w:szCs w:val="22"/>
          <w:lang w:eastAsia="en-US"/>
        </w:rPr>
        <w:t>тери», которые проявляют жестокость по отношению к ребенку. Так, в целях получения социальных пособий на несовершенноле</w:t>
      </w:r>
      <w:r w:rsidRPr="00EC1A78">
        <w:rPr>
          <w:rFonts w:eastAsiaTheme="minorHAnsi"/>
          <w:sz w:val="22"/>
          <w:szCs w:val="22"/>
          <w:lang w:eastAsia="en-US"/>
        </w:rPr>
        <w:t>т</w:t>
      </w:r>
      <w:r w:rsidRPr="00EC1A78">
        <w:rPr>
          <w:rFonts w:eastAsiaTheme="minorHAnsi"/>
          <w:sz w:val="22"/>
          <w:szCs w:val="22"/>
          <w:lang w:eastAsia="en-US"/>
        </w:rPr>
        <w:t>него, лица оформляют статус «мать–одиночка» или же «отец–одиночка» (подобные ситуации происходят в неблагополучных с</w:t>
      </w:r>
      <w:r w:rsidRPr="00EC1A78">
        <w:rPr>
          <w:rFonts w:eastAsiaTheme="minorHAnsi"/>
          <w:sz w:val="22"/>
          <w:szCs w:val="22"/>
          <w:lang w:eastAsia="en-US"/>
        </w:rPr>
        <w:t>е</w:t>
      </w:r>
      <w:r w:rsidRPr="00EC1A78">
        <w:rPr>
          <w:rFonts w:eastAsiaTheme="minorHAnsi"/>
          <w:sz w:val="22"/>
          <w:szCs w:val="22"/>
          <w:lang w:eastAsia="en-US"/>
        </w:rPr>
        <w:t>мьях, где деньги тратятся на приобретение алкоголя, наркотических средств, психотропных веществ и иного). Таким образом, отец, приходящийся отчимом ребенку, при неисполнении обязанностей по воспитанию несовершеннолетнего, сопряженное с жестоким о</w:t>
      </w:r>
      <w:r w:rsidRPr="00EC1A78">
        <w:rPr>
          <w:rFonts w:eastAsiaTheme="minorHAnsi"/>
          <w:sz w:val="22"/>
          <w:szCs w:val="22"/>
          <w:lang w:eastAsia="en-US"/>
        </w:rPr>
        <w:t>б</w:t>
      </w:r>
      <w:r w:rsidRPr="00EC1A78">
        <w:rPr>
          <w:rFonts w:eastAsiaTheme="minorHAnsi"/>
          <w:sz w:val="22"/>
          <w:szCs w:val="22"/>
          <w:lang w:eastAsia="en-US"/>
        </w:rPr>
        <w:t>ращением не может быть привлечен к уголовной ответственности.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Некоторые ученые выдвигают мнение о том, что в качестве субъекта должны выступать мачеха, отчим, сестры, братья, деду</w:t>
      </w:r>
      <w:r w:rsidRPr="00EC1A78">
        <w:rPr>
          <w:rFonts w:eastAsiaTheme="minorHAnsi"/>
          <w:sz w:val="22"/>
          <w:szCs w:val="22"/>
          <w:lang w:eastAsia="en-US"/>
        </w:rPr>
        <w:t>ш</w:t>
      </w:r>
      <w:r w:rsidRPr="00EC1A78">
        <w:rPr>
          <w:rFonts w:eastAsiaTheme="minorHAnsi"/>
          <w:sz w:val="22"/>
          <w:szCs w:val="22"/>
          <w:lang w:eastAsia="en-US"/>
        </w:rPr>
        <w:t>ки, бабушки. Так, В.Л. Андреев в своей работе предлагал в качестве субъекта неисполнения обязанностей по воспитанию несоверше</w:t>
      </w:r>
      <w:r w:rsidRPr="00EC1A78">
        <w:rPr>
          <w:rFonts w:eastAsiaTheme="minorHAnsi"/>
          <w:sz w:val="22"/>
          <w:szCs w:val="22"/>
          <w:lang w:eastAsia="en-US"/>
        </w:rPr>
        <w:t>н</w:t>
      </w:r>
      <w:r w:rsidRPr="00EC1A78">
        <w:rPr>
          <w:rFonts w:eastAsiaTheme="minorHAnsi"/>
          <w:sz w:val="22"/>
          <w:szCs w:val="22"/>
          <w:lang w:eastAsia="en-US"/>
        </w:rPr>
        <w:t xml:space="preserve">нолетнего помимо лиц, перечисленных в ст. 156  предусмотреть также лица, фактически заботящихся о ребенке[2, с. 74]. Ни в каком нормативном акте не закреплен перечень лиц, осуществляющих </w:t>
      </w:r>
      <w:r w:rsidRPr="00EC1A78">
        <w:rPr>
          <w:rFonts w:eastAsiaTheme="minorHAnsi"/>
          <w:sz w:val="22"/>
          <w:szCs w:val="22"/>
          <w:lang w:eastAsia="en-US"/>
        </w:rPr>
        <w:lastRenderedPageBreak/>
        <w:t>заботу о ребенке, что на практике приводит к неоднозначному то</w:t>
      </w:r>
      <w:r w:rsidRPr="00EC1A78">
        <w:rPr>
          <w:rFonts w:eastAsiaTheme="minorHAnsi"/>
          <w:sz w:val="22"/>
          <w:szCs w:val="22"/>
          <w:lang w:eastAsia="en-US"/>
        </w:rPr>
        <w:t>л</w:t>
      </w:r>
      <w:r w:rsidRPr="00EC1A78">
        <w:rPr>
          <w:rFonts w:eastAsiaTheme="minorHAnsi"/>
          <w:sz w:val="22"/>
          <w:szCs w:val="22"/>
          <w:lang w:eastAsia="en-US"/>
        </w:rPr>
        <w:t>кованию. Или же О.М. Шаганова предлагает в ст. 156 УК РФ вкл</w:t>
      </w:r>
      <w:r w:rsidRPr="00EC1A78">
        <w:rPr>
          <w:rFonts w:eastAsiaTheme="minorHAnsi"/>
          <w:sz w:val="22"/>
          <w:szCs w:val="22"/>
          <w:lang w:eastAsia="en-US"/>
        </w:rPr>
        <w:t>ю</w:t>
      </w:r>
      <w:r w:rsidRPr="00EC1A78">
        <w:rPr>
          <w:rFonts w:eastAsiaTheme="minorHAnsi"/>
          <w:sz w:val="22"/>
          <w:szCs w:val="22"/>
          <w:lang w:eastAsia="en-US"/>
        </w:rPr>
        <w:t>чить в качестве субъекта преступления лиц, фактически осущест</w:t>
      </w:r>
      <w:r w:rsidRPr="00EC1A78">
        <w:rPr>
          <w:rFonts w:eastAsiaTheme="minorHAnsi"/>
          <w:sz w:val="22"/>
          <w:szCs w:val="22"/>
          <w:lang w:eastAsia="en-US"/>
        </w:rPr>
        <w:t>в</w:t>
      </w:r>
      <w:r w:rsidRPr="00EC1A78">
        <w:rPr>
          <w:rFonts w:eastAsiaTheme="minorHAnsi"/>
          <w:sz w:val="22"/>
          <w:szCs w:val="22"/>
          <w:lang w:eastAsia="en-US"/>
        </w:rPr>
        <w:t>ляющих обязанности по воспитанию несовершеннолетнего. [3, с. 9].</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законодателю следует расширить круг субъе</w:t>
      </w:r>
      <w:r w:rsidRPr="00EC1A78">
        <w:rPr>
          <w:rFonts w:eastAsiaTheme="minorHAnsi"/>
          <w:sz w:val="22"/>
          <w:szCs w:val="22"/>
          <w:lang w:eastAsia="en-US"/>
        </w:rPr>
        <w:t>к</w:t>
      </w:r>
      <w:r w:rsidRPr="00EC1A78">
        <w:rPr>
          <w:rFonts w:eastAsiaTheme="minorHAnsi"/>
          <w:sz w:val="22"/>
          <w:szCs w:val="22"/>
          <w:lang w:eastAsia="en-US"/>
        </w:rPr>
        <w:t>тов неисполнения обязанностей по воспитанию несовершенноле</w:t>
      </w:r>
      <w:r w:rsidRPr="00EC1A78">
        <w:rPr>
          <w:rFonts w:eastAsiaTheme="minorHAnsi"/>
          <w:sz w:val="22"/>
          <w:szCs w:val="22"/>
          <w:lang w:eastAsia="en-US"/>
        </w:rPr>
        <w:t>т</w:t>
      </w:r>
      <w:r w:rsidRPr="00EC1A78">
        <w:rPr>
          <w:rFonts w:eastAsiaTheme="minorHAnsi"/>
          <w:sz w:val="22"/>
          <w:szCs w:val="22"/>
          <w:lang w:eastAsia="en-US"/>
        </w:rPr>
        <w:t>него, включив в диспозицию дополнительный субъект преступл</w:t>
      </w:r>
      <w:r w:rsidRPr="00EC1A78">
        <w:rPr>
          <w:rFonts w:eastAsiaTheme="minorHAnsi"/>
          <w:sz w:val="22"/>
          <w:szCs w:val="22"/>
          <w:lang w:eastAsia="en-US"/>
        </w:rPr>
        <w:t>е</w:t>
      </w:r>
      <w:r w:rsidRPr="00EC1A78">
        <w:rPr>
          <w:rFonts w:eastAsiaTheme="minorHAnsi"/>
          <w:sz w:val="22"/>
          <w:szCs w:val="22"/>
          <w:lang w:eastAsia="en-US"/>
        </w:rPr>
        <w:t>ния – лицо, фактически осуществляющее обязанности по воспит</w:t>
      </w:r>
      <w:r w:rsidRPr="00EC1A78">
        <w:rPr>
          <w:rFonts w:eastAsiaTheme="minorHAnsi"/>
          <w:sz w:val="22"/>
          <w:szCs w:val="22"/>
          <w:lang w:eastAsia="en-US"/>
        </w:rPr>
        <w:t>а</w:t>
      </w:r>
      <w:r w:rsidRPr="00EC1A78">
        <w:rPr>
          <w:rFonts w:eastAsiaTheme="minorHAnsi"/>
          <w:sz w:val="22"/>
          <w:szCs w:val="22"/>
          <w:lang w:eastAsia="en-US"/>
        </w:rPr>
        <w:t>нию. Такими лицами являются отчим, мачеха, бабушка, брат, сес</w:t>
      </w:r>
      <w:r w:rsidRPr="00EC1A78">
        <w:rPr>
          <w:rFonts w:eastAsiaTheme="minorHAnsi"/>
          <w:sz w:val="22"/>
          <w:szCs w:val="22"/>
          <w:lang w:eastAsia="en-US"/>
        </w:rPr>
        <w:t>т</w:t>
      </w:r>
      <w:r w:rsidRPr="00EC1A78">
        <w:rPr>
          <w:rFonts w:eastAsiaTheme="minorHAnsi"/>
          <w:sz w:val="22"/>
          <w:szCs w:val="22"/>
          <w:lang w:eastAsia="en-US"/>
        </w:rPr>
        <w:t>ра, дядя, тетя и прочие лица, которые посягают на объект рассма</w:t>
      </w:r>
      <w:r w:rsidRPr="00EC1A78">
        <w:rPr>
          <w:rFonts w:eastAsiaTheme="minorHAnsi"/>
          <w:sz w:val="22"/>
          <w:szCs w:val="22"/>
          <w:lang w:eastAsia="en-US"/>
        </w:rPr>
        <w:t>т</w:t>
      </w:r>
      <w:r w:rsidRPr="00EC1A78">
        <w:rPr>
          <w:rFonts w:eastAsiaTheme="minorHAnsi"/>
          <w:sz w:val="22"/>
          <w:szCs w:val="22"/>
          <w:lang w:eastAsia="en-US"/>
        </w:rPr>
        <w:t>риваемого преступления.</w:t>
      </w:r>
    </w:p>
    <w:p w:rsidR="00EC1A78" w:rsidRPr="00EC1A78" w:rsidRDefault="00EC1A78" w:rsidP="00EC1A78">
      <w:pPr>
        <w:ind w:firstLine="425"/>
        <w:jc w:val="both"/>
        <w:rPr>
          <w:rFonts w:eastAsiaTheme="minorHAnsi"/>
          <w:sz w:val="22"/>
          <w:szCs w:val="22"/>
          <w:lang w:eastAsia="en-US"/>
        </w:rPr>
      </w:pPr>
    </w:p>
    <w:p w:rsidR="00EC1A78" w:rsidRPr="00EC1A78" w:rsidRDefault="003A6F86" w:rsidP="00EC1A78">
      <w:pPr>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Уголовно–правовые аспекты жестокого обращения с нес</w:t>
      </w:r>
      <w:r w:rsidRPr="00EC1A78">
        <w:rPr>
          <w:rFonts w:eastAsiaTheme="minorHAnsi"/>
          <w:sz w:val="22"/>
          <w:szCs w:val="22"/>
          <w:lang w:eastAsia="en-US"/>
        </w:rPr>
        <w:t>о</w:t>
      </w:r>
      <w:r w:rsidRPr="00EC1A78">
        <w:rPr>
          <w:rFonts w:eastAsiaTheme="minorHAnsi"/>
          <w:sz w:val="22"/>
          <w:szCs w:val="22"/>
          <w:lang w:eastAsia="en-US"/>
        </w:rPr>
        <w:t>вершеннолетними: монография / В.В. Картавченко. М–во сел. хоз–ва РФ, Кубан. гос. аграр. ун–т. – Краснодар: «издательский дом – Юг» 2010. С. 39.</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Андреев В.Л. Направление реализации уголовной политики в сфере уголовно–правовой охраны интересов семьи и несоверше</w:t>
      </w:r>
      <w:r w:rsidRPr="00EC1A78">
        <w:rPr>
          <w:rFonts w:eastAsiaTheme="minorHAnsi"/>
          <w:sz w:val="22"/>
          <w:szCs w:val="22"/>
          <w:lang w:eastAsia="en-US"/>
        </w:rPr>
        <w:t>н</w:t>
      </w:r>
      <w:r w:rsidRPr="00EC1A78">
        <w:rPr>
          <w:rFonts w:eastAsiaTheme="minorHAnsi"/>
          <w:sz w:val="22"/>
          <w:szCs w:val="22"/>
          <w:lang w:eastAsia="en-US"/>
        </w:rPr>
        <w:t>нолетних // Вестник СПБУ МВД. 2011. №1 С. 74.</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Шаганова О.М. Уголовная ответственность за неисполнение обязанностей по воспитанию несовершеннолетнего: автореф. дис. … кан. юрид. наук: 12.00.08. Ом. акад. МВД РФ, 2014. С. 9.</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AB6A0E" w:rsidP="00AB6A0E">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shd w:val="clear" w:color="auto" w:fill="FFFFFF"/>
        <w:rPr>
          <w:rFonts w:eastAsia="Batang"/>
          <w:sz w:val="22"/>
          <w:szCs w:val="22"/>
          <w:lang w:eastAsia="en-US"/>
        </w:rPr>
      </w:pPr>
      <w:r w:rsidRPr="00EC1A78">
        <w:rPr>
          <w:rFonts w:eastAsia="Batang"/>
          <w:sz w:val="22"/>
          <w:szCs w:val="22"/>
          <w:lang w:eastAsia="en-US"/>
        </w:rPr>
        <w:lastRenderedPageBreak/>
        <w:t>УДК 342.8 (470) (075)</w:t>
      </w:r>
    </w:p>
    <w:p w:rsidR="00EC1A78" w:rsidRPr="00EC1A78" w:rsidRDefault="00EC1A78" w:rsidP="00EC1A78">
      <w:pPr>
        <w:jc w:val="center"/>
        <w:rPr>
          <w:b/>
          <w:bCs/>
          <w:color w:val="000000"/>
          <w:sz w:val="22"/>
          <w:szCs w:val="22"/>
        </w:rPr>
      </w:pPr>
    </w:p>
    <w:p w:rsidR="00EC1A78" w:rsidRPr="00EC1A78" w:rsidRDefault="00EC1A78" w:rsidP="00EC1A78">
      <w:pPr>
        <w:jc w:val="center"/>
        <w:rPr>
          <w:b/>
          <w:bCs/>
          <w:color w:val="000000"/>
          <w:sz w:val="24"/>
          <w:szCs w:val="22"/>
        </w:rPr>
      </w:pPr>
      <w:r w:rsidRPr="00EC1A78">
        <w:rPr>
          <w:b/>
          <w:bCs/>
          <w:color w:val="000000"/>
          <w:sz w:val="24"/>
          <w:szCs w:val="22"/>
        </w:rPr>
        <w:t xml:space="preserve">Особенности выдвижения кандидатов на выборах </w:t>
      </w:r>
      <w:r w:rsidR="003A6F86">
        <w:rPr>
          <w:b/>
          <w:bCs/>
          <w:color w:val="000000"/>
          <w:sz w:val="24"/>
          <w:szCs w:val="22"/>
        </w:rPr>
        <w:br/>
      </w:r>
      <w:r w:rsidRPr="00EC1A78">
        <w:rPr>
          <w:b/>
          <w:bCs/>
          <w:color w:val="000000"/>
          <w:sz w:val="24"/>
          <w:szCs w:val="22"/>
        </w:rPr>
        <w:t xml:space="preserve">Президента Российской Федерации </w:t>
      </w:r>
    </w:p>
    <w:p w:rsidR="00EC1A78" w:rsidRPr="00E62E4B" w:rsidRDefault="00EC1A78" w:rsidP="00EC1A78">
      <w:pPr>
        <w:jc w:val="center"/>
        <w:rPr>
          <w:b/>
          <w:bCs/>
          <w:color w:val="000000"/>
          <w:sz w:val="24"/>
          <w:szCs w:val="22"/>
          <w:lang w:val="en-US"/>
        </w:rPr>
      </w:pPr>
      <w:r w:rsidRPr="00EC1A78">
        <w:rPr>
          <w:b/>
          <w:bCs/>
          <w:color w:val="000000"/>
          <w:sz w:val="24"/>
          <w:szCs w:val="22"/>
          <w:lang w:val="en-US"/>
        </w:rPr>
        <w:t>Features</w:t>
      </w:r>
      <w:r w:rsidRPr="00E62E4B">
        <w:rPr>
          <w:b/>
          <w:bCs/>
          <w:color w:val="000000"/>
          <w:sz w:val="24"/>
          <w:szCs w:val="22"/>
          <w:lang w:val="en-US"/>
        </w:rPr>
        <w:t xml:space="preserve"> </w:t>
      </w:r>
      <w:r w:rsidRPr="00EC1A78">
        <w:rPr>
          <w:b/>
          <w:bCs/>
          <w:color w:val="000000"/>
          <w:sz w:val="24"/>
          <w:szCs w:val="22"/>
          <w:lang w:val="en-US"/>
        </w:rPr>
        <w:t>of</w:t>
      </w:r>
      <w:r w:rsidRPr="00E62E4B">
        <w:rPr>
          <w:b/>
          <w:bCs/>
          <w:color w:val="000000"/>
          <w:sz w:val="24"/>
          <w:szCs w:val="22"/>
          <w:lang w:val="en-US"/>
        </w:rPr>
        <w:t xml:space="preserve"> </w:t>
      </w:r>
      <w:r w:rsidRPr="00EC1A78">
        <w:rPr>
          <w:b/>
          <w:bCs/>
          <w:color w:val="000000"/>
          <w:sz w:val="24"/>
          <w:szCs w:val="22"/>
          <w:lang w:val="en-US"/>
        </w:rPr>
        <w:t>nomination</w:t>
      </w:r>
      <w:r w:rsidRPr="00E62E4B">
        <w:rPr>
          <w:b/>
          <w:bCs/>
          <w:color w:val="000000"/>
          <w:sz w:val="24"/>
          <w:szCs w:val="22"/>
          <w:lang w:val="en-US"/>
        </w:rPr>
        <w:t xml:space="preserve"> </w:t>
      </w:r>
      <w:r w:rsidRPr="00EC1A78">
        <w:rPr>
          <w:b/>
          <w:bCs/>
          <w:color w:val="000000"/>
          <w:sz w:val="24"/>
          <w:szCs w:val="22"/>
          <w:lang w:val="en-US"/>
        </w:rPr>
        <w:t>of</w:t>
      </w:r>
      <w:r w:rsidRPr="00E62E4B">
        <w:rPr>
          <w:b/>
          <w:bCs/>
          <w:color w:val="000000"/>
          <w:sz w:val="24"/>
          <w:szCs w:val="22"/>
          <w:lang w:val="en-US"/>
        </w:rPr>
        <w:t xml:space="preserve"> </w:t>
      </w:r>
      <w:r w:rsidRPr="00EC1A78">
        <w:rPr>
          <w:b/>
          <w:bCs/>
          <w:color w:val="000000"/>
          <w:sz w:val="24"/>
          <w:szCs w:val="22"/>
          <w:lang w:val="en-US"/>
        </w:rPr>
        <w:t>candidates</w:t>
      </w:r>
      <w:r w:rsidRPr="00E62E4B">
        <w:rPr>
          <w:b/>
          <w:bCs/>
          <w:color w:val="000000"/>
          <w:sz w:val="24"/>
          <w:szCs w:val="22"/>
          <w:lang w:val="en-US"/>
        </w:rPr>
        <w:t xml:space="preserve"> </w:t>
      </w:r>
      <w:r w:rsidRPr="00EC1A78">
        <w:rPr>
          <w:b/>
          <w:bCs/>
          <w:color w:val="000000"/>
          <w:sz w:val="24"/>
          <w:szCs w:val="22"/>
          <w:lang w:val="en-US"/>
        </w:rPr>
        <w:t>in</w:t>
      </w:r>
      <w:r w:rsidRPr="00E62E4B">
        <w:rPr>
          <w:b/>
          <w:bCs/>
          <w:color w:val="000000"/>
          <w:sz w:val="24"/>
          <w:szCs w:val="22"/>
          <w:lang w:val="en-US"/>
        </w:rPr>
        <w:t xml:space="preserve"> </w:t>
      </w:r>
      <w:r w:rsidRPr="00EC1A78">
        <w:rPr>
          <w:b/>
          <w:bCs/>
          <w:color w:val="000000"/>
          <w:sz w:val="24"/>
          <w:szCs w:val="22"/>
          <w:lang w:val="en-US"/>
        </w:rPr>
        <w:t>Presidential</w:t>
      </w:r>
      <w:r w:rsidRPr="00E62E4B">
        <w:rPr>
          <w:b/>
          <w:bCs/>
          <w:color w:val="000000"/>
          <w:sz w:val="24"/>
          <w:szCs w:val="22"/>
          <w:lang w:val="en-US"/>
        </w:rPr>
        <w:t xml:space="preserve"> </w:t>
      </w:r>
      <w:r w:rsidRPr="00EC1A78">
        <w:rPr>
          <w:b/>
          <w:bCs/>
          <w:color w:val="000000"/>
          <w:sz w:val="24"/>
          <w:szCs w:val="22"/>
          <w:lang w:val="en-US"/>
        </w:rPr>
        <w:t>elections</w:t>
      </w:r>
      <w:r w:rsidRPr="00E62E4B">
        <w:rPr>
          <w:b/>
          <w:bCs/>
          <w:color w:val="000000"/>
          <w:sz w:val="24"/>
          <w:szCs w:val="22"/>
          <w:lang w:val="en-US"/>
        </w:rPr>
        <w:t xml:space="preserve"> </w:t>
      </w:r>
      <w:r w:rsidRPr="00EC1A78">
        <w:rPr>
          <w:b/>
          <w:bCs/>
          <w:color w:val="000000"/>
          <w:sz w:val="24"/>
          <w:szCs w:val="22"/>
          <w:lang w:val="en-US"/>
        </w:rPr>
        <w:t>of</w:t>
      </w:r>
      <w:r w:rsidRPr="00E62E4B">
        <w:rPr>
          <w:b/>
          <w:bCs/>
          <w:color w:val="000000"/>
          <w:sz w:val="24"/>
          <w:szCs w:val="22"/>
          <w:lang w:val="en-US"/>
        </w:rPr>
        <w:t xml:space="preserve"> </w:t>
      </w:r>
      <w:r w:rsidRPr="00EC1A78">
        <w:rPr>
          <w:b/>
          <w:bCs/>
          <w:color w:val="000000"/>
          <w:sz w:val="24"/>
          <w:szCs w:val="22"/>
          <w:lang w:val="en-US"/>
        </w:rPr>
        <w:t>the</w:t>
      </w:r>
      <w:r w:rsidRPr="00E62E4B">
        <w:rPr>
          <w:b/>
          <w:bCs/>
          <w:color w:val="000000"/>
          <w:sz w:val="24"/>
          <w:szCs w:val="22"/>
          <w:lang w:val="en-US"/>
        </w:rPr>
        <w:t xml:space="preserve"> </w:t>
      </w:r>
      <w:r w:rsidRPr="00EC1A78">
        <w:rPr>
          <w:b/>
          <w:bCs/>
          <w:color w:val="000000"/>
          <w:sz w:val="24"/>
          <w:szCs w:val="22"/>
          <w:lang w:val="en-US"/>
        </w:rPr>
        <w:t>Russian</w:t>
      </w:r>
      <w:r w:rsidRPr="00E62E4B">
        <w:rPr>
          <w:b/>
          <w:bCs/>
          <w:color w:val="000000"/>
          <w:sz w:val="24"/>
          <w:szCs w:val="22"/>
          <w:lang w:val="en-US"/>
        </w:rPr>
        <w:t xml:space="preserve"> </w:t>
      </w:r>
      <w:r w:rsidRPr="00EC1A78">
        <w:rPr>
          <w:b/>
          <w:bCs/>
          <w:color w:val="000000"/>
          <w:sz w:val="24"/>
          <w:szCs w:val="22"/>
          <w:lang w:val="en-US"/>
        </w:rPr>
        <w:t>Federation</w:t>
      </w:r>
    </w:p>
    <w:p w:rsidR="00EC1A78" w:rsidRPr="00E62E4B" w:rsidRDefault="00EC1A78" w:rsidP="00EC1A78">
      <w:pPr>
        <w:jc w:val="right"/>
        <w:rPr>
          <w:color w:val="000000"/>
          <w:sz w:val="22"/>
          <w:szCs w:val="22"/>
          <w:lang w:val="en-US"/>
        </w:rPr>
      </w:pPr>
    </w:p>
    <w:p w:rsidR="00EC1A78" w:rsidRPr="00EC1A78" w:rsidRDefault="00EC1A78" w:rsidP="00EC1A78">
      <w:pPr>
        <w:jc w:val="right"/>
        <w:rPr>
          <w:color w:val="000000"/>
          <w:sz w:val="22"/>
          <w:szCs w:val="22"/>
        </w:rPr>
      </w:pPr>
      <w:r w:rsidRPr="00EC1A78">
        <w:rPr>
          <w:color w:val="000000"/>
          <w:sz w:val="22"/>
          <w:szCs w:val="22"/>
        </w:rPr>
        <w:t>Ванжула В.</w:t>
      </w:r>
      <w:r w:rsidR="003A6F86">
        <w:rPr>
          <w:color w:val="000000"/>
          <w:sz w:val="22"/>
          <w:szCs w:val="22"/>
        </w:rPr>
        <w:t xml:space="preserve"> </w:t>
      </w:r>
      <w:r w:rsidRPr="00EC1A78">
        <w:rPr>
          <w:color w:val="000000"/>
          <w:sz w:val="22"/>
          <w:szCs w:val="22"/>
        </w:rPr>
        <w:t>А.,</w:t>
      </w:r>
    </w:p>
    <w:p w:rsidR="00EC1A78" w:rsidRPr="00EC1A78" w:rsidRDefault="00EC1A78" w:rsidP="00EC1A78">
      <w:pPr>
        <w:jc w:val="right"/>
        <w:rPr>
          <w:color w:val="000000"/>
          <w:sz w:val="22"/>
          <w:szCs w:val="22"/>
        </w:rPr>
      </w:pPr>
      <w:r w:rsidRPr="00EC1A78">
        <w:rPr>
          <w:color w:val="000000"/>
          <w:sz w:val="22"/>
          <w:szCs w:val="22"/>
        </w:rPr>
        <w:t>студент 1-го курса юридического факультета</w:t>
      </w:r>
    </w:p>
    <w:p w:rsidR="00EC1A78" w:rsidRPr="00EC1A78" w:rsidRDefault="00EC1A78" w:rsidP="00EC1A78">
      <w:pPr>
        <w:jc w:val="right"/>
        <w:rPr>
          <w:color w:val="000000"/>
          <w:sz w:val="22"/>
          <w:szCs w:val="22"/>
        </w:rPr>
      </w:pPr>
      <w:r w:rsidRPr="00EC1A78">
        <w:rPr>
          <w:color w:val="000000"/>
          <w:sz w:val="22"/>
          <w:szCs w:val="22"/>
        </w:rPr>
        <w:t>Бутурлина Е.</w:t>
      </w:r>
      <w:r w:rsidR="003A6F86">
        <w:rPr>
          <w:color w:val="000000"/>
          <w:sz w:val="22"/>
          <w:szCs w:val="22"/>
        </w:rPr>
        <w:t xml:space="preserve"> </w:t>
      </w:r>
      <w:r w:rsidRPr="00EC1A78">
        <w:rPr>
          <w:color w:val="000000"/>
          <w:sz w:val="22"/>
          <w:szCs w:val="22"/>
        </w:rPr>
        <w:t>С.,</w:t>
      </w:r>
    </w:p>
    <w:p w:rsidR="00EC1A78" w:rsidRPr="00EC1A78" w:rsidRDefault="00EC1A78" w:rsidP="00EC1A78">
      <w:pPr>
        <w:jc w:val="right"/>
        <w:rPr>
          <w:color w:val="000000"/>
          <w:sz w:val="22"/>
          <w:szCs w:val="22"/>
        </w:rPr>
      </w:pPr>
      <w:r w:rsidRPr="00EC1A78">
        <w:rPr>
          <w:color w:val="000000"/>
          <w:sz w:val="22"/>
          <w:szCs w:val="22"/>
        </w:rPr>
        <w:t>доцент кафедры государственного</w:t>
      </w:r>
    </w:p>
    <w:p w:rsidR="00EC1A78" w:rsidRPr="00EC1A78" w:rsidRDefault="00EC1A78" w:rsidP="00EC1A78">
      <w:pPr>
        <w:jc w:val="right"/>
        <w:rPr>
          <w:color w:val="000000"/>
          <w:sz w:val="22"/>
          <w:szCs w:val="22"/>
        </w:rPr>
      </w:pPr>
      <w:r w:rsidRPr="00EC1A78">
        <w:rPr>
          <w:color w:val="000000"/>
          <w:sz w:val="22"/>
          <w:szCs w:val="22"/>
        </w:rPr>
        <w:t>и международного права</w:t>
      </w:r>
    </w:p>
    <w:p w:rsidR="00EC1A78" w:rsidRPr="00EC1A78" w:rsidRDefault="00EC1A78" w:rsidP="00EC1A78">
      <w:pPr>
        <w:jc w:val="right"/>
        <w:rPr>
          <w:color w:val="000000"/>
          <w:sz w:val="22"/>
          <w:szCs w:val="22"/>
        </w:rPr>
      </w:pPr>
      <w:r w:rsidRPr="00EC1A78">
        <w:rPr>
          <w:color w:val="000000"/>
          <w:sz w:val="22"/>
          <w:szCs w:val="22"/>
        </w:rPr>
        <w:t>Кубанский государственный аграрный </w:t>
      </w:r>
    </w:p>
    <w:p w:rsidR="00EC1A78" w:rsidRPr="00EC1A78" w:rsidRDefault="00EC1A78" w:rsidP="00EC1A78">
      <w:pPr>
        <w:jc w:val="right"/>
        <w:rPr>
          <w:color w:val="000000"/>
          <w:sz w:val="22"/>
          <w:szCs w:val="22"/>
        </w:rPr>
      </w:pPr>
      <w:r w:rsidRPr="00EC1A78">
        <w:rPr>
          <w:color w:val="000000"/>
          <w:sz w:val="22"/>
          <w:szCs w:val="22"/>
        </w:rPr>
        <w:t>университет имени И.</w:t>
      </w:r>
      <w:r w:rsidR="003A6F86">
        <w:rPr>
          <w:color w:val="000000"/>
          <w:sz w:val="22"/>
          <w:szCs w:val="22"/>
        </w:rPr>
        <w:t xml:space="preserve"> </w:t>
      </w:r>
      <w:r w:rsidRPr="00EC1A78">
        <w:rPr>
          <w:color w:val="000000"/>
          <w:sz w:val="22"/>
          <w:szCs w:val="22"/>
        </w:rPr>
        <w:t>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Изучен порядок выдвижения кандидатов на выборах Президента Российской Федерации. Рассмотрены разли</w:t>
      </w:r>
      <w:r w:rsidRPr="00EC1A78">
        <w:rPr>
          <w:rFonts w:eastAsiaTheme="minorHAnsi"/>
          <w:sz w:val="22"/>
          <w:szCs w:val="22"/>
          <w:lang w:eastAsia="en-US"/>
        </w:rPr>
        <w:t>ч</w:t>
      </w:r>
      <w:r w:rsidRPr="00EC1A78">
        <w:rPr>
          <w:rFonts w:eastAsiaTheme="minorHAnsi"/>
          <w:sz w:val="22"/>
          <w:szCs w:val="22"/>
          <w:lang w:eastAsia="en-US"/>
        </w:rPr>
        <w:t>ные способы  выдвижения кандидатов. Выявлены особенности да</w:t>
      </w:r>
      <w:r w:rsidRPr="00EC1A78">
        <w:rPr>
          <w:rFonts w:eastAsiaTheme="minorHAnsi"/>
          <w:sz w:val="22"/>
          <w:szCs w:val="22"/>
          <w:lang w:eastAsia="en-US"/>
        </w:rPr>
        <w:t>н</w:t>
      </w:r>
      <w:r w:rsidRPr="00EC1A78">
        <w:rPr>
          <w:rFonts w:eastAsiaTheme="minorHAnsi"/>
          <w:sz w:val="22"/>
          <w:szCs w:val="22"/>
          <w:lang w:eastAsia="en-US"/>
        </w:rPr>
        <w:t>ной стадии избирательного процесса и проблемы правового регул</w:t>
      </w:r>
      <w:r w:rsidRPr="00EC1A78">
        <w:rPr>
          <w:rFonts w:eastAsiaTheme="minorHAnsi"/>
          <w:sz w:val="22"/>
          <w:szCs w:val="22"/>
          <w:lang w:eastAsia="en-US"/>
        </w:rPr>
        <w:t>и</w:t>
      </w:r>
      <w:r w:rsidRPr="00EC1A78">
        <w:rPr>
          <w:rFonts w:eastAsiaTheme="minorHAnsi"/>
          <w:sz w:val="22"/>
          <w:szCs w:val="22"/>
          <w:lang w:eastAsia="en-US"/>
        </w:rPr>
        <w:t xml:space="preserve">рования. </w:t>
      </w:r>
    </w:p>
    <w:p w:rsidR="00EC1A78" w:rsidRPr="00EC1A78" w:rsidRDefault="00EC1A78" w:rsidP="00EC1A78">
      <w:pPr>
        <w:spacing w:before="20" w:after="20"/>
        <w:ind w:firstLine="426"/>
        <w:jc w:val="both"/>
        <w:rPr>
          <w:rFonts w:eastAsiaTheme="minorHAnsi"/>
          <w:sz w:val="22"/>
          <w:szCs w:val="22"/>
          <w:lang w:val="en-US" w:eastAsia="en-US"/>
        </w:rPr>
      </w:pPr>
      <w:r w:rsidRPr="00EC1A78">
        <w:rPr>
          <w:rFonts w:eastAsiaTheme="minorHAnsi"/>
          <w:sz w:val="22"/>
          <w:szCs w:val="22"/>
          <w:lang w:val="en-US" w:eastAsia="en-US"/>
        </w:rPr>
        <w:t>ABSTRACT. The procedure for nominating candidates for the Pre</w:t>
      </w:r>
      <w:r w:rsidRPr="00EC1A78">
        <w:rPr>
          <w:rFonts w:eastAsiaTheme="minorHAnsi"/>
          <w:sz w:val="22"/>
          <w:szCs w:val="22"/>
          <w:lang w:val="en-US" w:eastAsia="en-US"/>
        </w:rPr>
        <w:t>s</w:t>
      </w:r>
      <w:r w:rsidRPr="00EC1A78">
        <w:rPr>
          <w:rFonts w:eastAsiaTheme="minorHAnsi"/>
          <w:sz w:val="22"/>
          <w:szCs w:val="22"/>
          <w:lang w:val="en-US" w:eastAsia="en-US"/>
        </w:rPr>
        <w:t>idential elections of the Russian Federation has been studied. Different ways of nominating candidates are considered. Features of this stage of electoral process and problems of legal regulation are revealed.</w:t>
      </w:r>
    </w:p>
    <w:p w:rsidR="00EC1A78" w:rsidRPr="00EC1A78" w:rsidRDefault="00EC1A78" w:rsidP="00EC1A78">
      <w:pPr>
        <w:spacing w:before="20" w:after="20"/>
        <w:ind w:firstLine="426"/>
        <w:jc w:val="both"/>
        <w:rPr>
          <w:rFonts w:eastAsiaTheme="minorHAnsi"/>
          <w:sz w:val="22"/>
          <w:szCs w:val="22"/>
          <w:lang w:eastAsia="en-US"/>
        </w:rPr>
      </w:pPr>
      <w:r w:rsidRPr="00EC1A78">
        <w:rPr>
          <w:rFonts w:eastAsiaTheme="minorHAnsi"/>
          <w:sz w:val="22"/>
          <w:szCs w:val="22"/>
          <w:lang w:eastAsia="en-US"/>
        </w:rPr>
        <w:t>КЛЮЧЕВЫЕ СЛОВА: Президент Российской Федерации, и</w:t>
      </w:r>
      <w:r w:rsidRPr="00EC1A78">
        <w:rPr>
          <w:rFonts w:eastAsiaTheme="minorHAnsi"/>
          <w:sz w:val="22"/>
          <w:szCs w:val="22"/>
          <w:lang w:eastAsia="en-US"/>
        </w:rPr>
        <w:t>з</w:t>
      </w:r>
      <w:r w:rsidRPr="00EC1A78">
        <w:rPr>
          <w:rFonts w:eastAsiaTheme="minorHAnsi"/>
          <w:sz w:val="22"/>
          <w:szCs w:val="22"/>
          <w:lang w:eastAsia="en-US"/>
        </w:rPr>
        <w:t>би</w:t>
      </w:r>
      <w:r w:rsidR="005B6CDF">
        <w:rPr>
          <w:rFonts w:eastAsiaTheme="minorHAnsi"/>
          <w:sz w:val="22"/>
          <w:szCs w:val="22"/>
          <w:lang w:eastAsia="en-US"/>
        </w:rPr>
        <w:t xml:space="preserve">рательный процесс, </w:t>
      </w:r>
      <w:r w:rsidRPr="00EC1A78">
        <w:rPr>
          <w:rFonts w:eastAsiaTheme="minorHAnsi"/>
          <w:sz w:val="22"/>
          <w:szCs w:val="22"/>
          <w:lang w:eastAsia="en-US"/>
        </w:rPr>
        <w:t>кандидат, выборы, способы выдвижения ка</w:t>
      </w:r>
      <w:r w:rsidRPr="00EC1A78">
        <w:rPr>
          <w:rFonts w:eastAsiaTheme="minorHAnsi"/>
          <w:sz w:val="22"/>
          <w:szCs w:val="22"/>
          <w:lang w:eastAsia="en-US"/>
        </w:rPr>
        <w:t>н</w:t>
      </w:r>
      <w:r w:rsidRPr="00EC1A78">
        <w:rPr>
          <w:rFonts w:eastAsiaTheme="minorHAnsi"/>
          <w:sz w:val="22"/>
          <w:szCs w:val="22"/>
          <w:lang w:eastAsia="en-US"/>
        </w:rPr>
        <w:t>дидатов.</w:t>
      </w:r>
    </w:p>
    <w:p w:rsidR="00EC1A78" w:rsidRPr="00EC1A78" w:rsidRDefault="00EC1A78" w:rsidP="00EC1A78">
      <w:pPr>
        <w:spacing w:before="20" w:after="20"/>
        <w:ind w:firstLine="426"/>
        <w:jc w:val="both"/>
        <w:rPr>
          <w:rFonts w:eastAsiaTheme="minorHAnsi"/>
          <w:sz w:val="22"/>
          <w:szCs w:val="22"/>
          <w:lang w:val="en-US" w:eastAsia="en-US"/>
        </w:rPr>
      </w:pPr>
      <w:r w:rsidRPr="00EC1A78">
        <w:rPr>
          <w:rFonts w:eastAsiaTheme="minorHAnsi"/>
          <w:sz w:val="22"/>
          <w:szCs w:val="22"/>
          <w:lang w:val="en-US" w:eastAsia="en-US"/>
        </w:rPr>
        <w:t>KEY WORDS: President of the Russian Federation, electoral pr</w:t>
      </w:r>
      <w:r w:rsidRPr="00EC1A78">
        <w:rPr>
          <w:rFonts w:eastAsiaTheme="minorHAnsi"/>
          <w:sz w:val="22"/>
          <w:szCs w:val="22"/>
          <w:lang w:val="en-US" w:eastAsia="en-US"/>
        </w:rPr>
        <w:t>o</w:t>
      </w:r>
      <w:r w:rsidRPr="00EC1A78">
        <w:rPr>
          <w:rFonts w:eastAsiaTheme="minorHAnsi"/>
          <w:sz w:val="22"/>
          <w:szCs w:val="22"/>
          <w:lang w:val="en-US" w:eastAsia="en-US"/>
        </w:rPr>
        <w:t>cess, candidate, elections, ways to nominate candidates.</w:t>
      </w:r>
    </w:p>
    <w:p w:rsidR="00EC1A78" w:rsidRPr="00EC1A78" w:rsidRDefault="00EC1A78" w:rsidP="00EC1A78">
      <w:pPr>
        <w:spacing w:before="20" w:after="20"/>
        <w:ind w:firstLine="426"/>
        <w:jc w:val="both"/>
        <w:rPr>
          <w:rFonts w:eastAsiaTheme="minorHAnsi"/>
          <w:sz w:val="22"/>
          <w:szCs w:val="22"/>
          <w:lang w:val="en-US" w:eastAsia="en-US"/>
        </w:rPr>
      </w:pPr>
    </w:p>
    <w:p w:rsidR="00EC1A78" w:rsidRPr="00EC1A78" w:rsidRDefault="00EC1A78" w:rsidP="00EC1A78">
      <w:pPr>
        <w:spacing w:before="20" w:after="20"/>
        <w:ind w:firstLine="426"/>
        <w:jc w:val="both"/>
        <w:rPr>
          <w:rFonts w:eastAsiaTheme="minorHAnsi"/>
          <w:sz w:val="22"/>
          <w:szCs w:val="22"/>
          <w:lang w:eastAsia="en-US"/>
        </w:rPr>
      </w:pPr>
      <w:r w:rsidRPr="00EC1A78">
        <w:rPr>
          <w:rFonts w:eastAsiaTheme="minorHAnsi"/>
          <w:sz w:val="22"/>
          <w:szCs w:val="22"/>
          <w:lang w:eastAsia="en-US"/>
        </w:rPr>
        <w:t>Одним из этапов избирательного процесса является выдвиж</w:t>
      </w:r>
      <w:r w:rsidRPr="00EC1A78">
        <w:rPr>
          <w:rFonts w:eastAsiaTheme="minorHAnsi"/>
          <w:sz w:val="22"/>
          <w:szCs w:val="22"/>
          <w:lang w:eastAsia="en-US"/>
        </w:rPr>
        <w:t>е</w:t>
      </w:r>
      <w:r w:rsidRPr="00EC1A78">
        <w:rPr>
          <w:rFonts w:eastAsiaTheme="minorHAnsi"/>
          <w:sz w:val="22"/>
          <w:szCs w:val="22"/>
          <w:lang w:eastAsia="en-US"/>
        </w:rPr>
        <w:t>ние и регистрация кандидатов или списков кандидатов. Примен</w:t>
      </w:r>
      <w:r w:rsidRPr="00EC1A78">
        <w:rPr>
          <w:rFonts w:eastAsiaTheme="minorHAnsi"/>
          <w:sz w:val="22"/>
          <w:szCs w:val="22"/>
          <w:lang w:eastAsia="en-US"/>
        </w:rPr>
        <w:t>и</w:t>
      </w:r>
      <w:r w:rsidRPr="00EC1A78">
        <w:rPr>
          <w:rFonts w:eastAsiaTheme="minorHAnsi"/>
          <w:sz w:val="22"/>
          <w:szCs w:val="22"/>
          <w:lang w:eastAsia="en-US"/>
        </w:rPr>
        <w:t xml:space="preserve">тельно к выборам Президента Российской Федерации речь идет, конечно же, о конкретных независимых кандидатах.  Только после выдвижения и регистрации лицо, приобретая статус кандидата, наделяется соответствующими правами и обязанностями. В этом, на наш взгляд, значение данной стадии. </w:t>
      </w:r>
    </w:p>
    <w:p w:rsidR="00EC1A78" w:rsidRPr="00EC1A78" w:rsidRDefault="00EC1A78" w:rsidP="00EC1A78">
      <w:pPr>
        <w:spacing w:before="20" w:after="20"/>
        <w:ind w:firstLine="426"/>
        <w:jc w:val="both"/>
        <w:rPr>
          <w:rFonts w:eastAsiaTheme="minorHAnsi"/>
          <w:sz w:val="22"/>
          <w:szCs w:val="22"/>
          <w:lang w:eastAsia="en-US"/>
        </w:rPr>
      </w:pPr>
      <w:r w:rsidRPr="00EC1A78">
        <w:rPr>
          <w:rFonts w:eastAsiaTheme="minorHAnsi"/>
          <w:sz w:val="22"/>
          <w:szCs w:val="22"/>
          <w:lang w:eastAsia="en-US"/>
        </w:rPr>
        <w:lastRenderedPageBreak/>
        <w:t>Необходимо сказать, что выдвижение и регистра</w:t>
      </w:r>
      <w:r w:rsidR="003A6F86">
        <w:rPr>
          <w:rFonts w:eastAsiaTheme="minorHAnsi"/>
          <w:sz w:val="22"/>
          <w:szCs w:val="22"/>
          <w:lang w:eastAsia="en-US"/>
        </w:rPr>
        <w:t xml:space="preserve">ция не одна и та же процедура. </w:t>
      </w:r>
      <w:r w:rsidRPr="00EC1A78">
        <w:rPr>
          <w:rFonts w:eastAsiaTheme="minorHAnsi"/>
          <w:sz w:val="22"/>
          <w:szCs w:val="22"/>
          <w:lang w:eastAsia="en-US"/>
        </w:rPr>
        <w:t>Их надо различать. Прежде лицо должно быть в</w:t>
      </w:r>
      <w:r w:rsidRPr="00EC1A78">
        <w:rPr>
          <w:rFonts w:eastAsiaTheme="minorHAnsi"/>
          <w:sz w:val="22"/>
          <w:szCs w:val="22"/>
          <w:lang w:eastAsia="en-US"/>
        </w:rPr>
        <w:t>ы</w:t>
      </w:r>
      <w:r w:rsidRPr="00EC1A78">
        <w:rPr>
          <w:rFonts w:eastAsiaTheme="minorHAnsi"/>
          <w:sz w:val="22"/>
          <w:szCs w:val="22"/>
          <w:lang w:eastAsia="en-US"/>
        </w:rPr>
        <w:t>двинуто в качестве кандидата, и только потом этот кандидат может быть зарегистрированным.</w:t>
      </w:r>
    </w:p>
    <w:p w:rsidR="00EC1A78" w:rsidRPr="00EC1A78" w:rsidRDefault="00EC1A78" w:rsidP="00EC1A78">
      <w:pPr>
        <w:ind w:firstLine="426"/>
        <w:jc w:val="both"/>
        <w:rPr>
          <w:rFonts w:eastAsiaTheme="minorEastAsia"/>
          <w:color w:val="000000"/>
          <w:sz w:val="22"/>
          <w:szCs w:val="22"/>
        </w:rPr>
      </w:pPr>
      <w:r w:rsidRPr="00EC1A78">
        <w:rPr>
          <w:rFonts w:eastAsia="SimSun"/>
          <w:spacing w:val="-2"/>
          <w:sz w:val="22"/>
          <w:szCs w:val="22"/>
          <w:lang w:eastAsia="zh-CN"/>
        </w:rPr>
        <w:t>Правила, которыми должны руководствоваться участники изб</w:t>
      </w:r>
      <w:r w:rsidRPr="00EC1A78">
        <w:rPr>
          <w:rFonts w:eastAsia="SimSun"/>
          <w:spacing w:val="-2"/>
          <w:sz w:val="22"/>
          <w:szCs w:val="22"/>
          <w:lang w:eastAsia="zh-CN"/>
        </w:rPr>
        <w:t>и</w:t>
      </w:r>
      <w:r w:rsidRPr="00EC1A78">
        <w:rPr>
          <w:rFonts w:eastAsia="SimSun"/>
          <w:spacing w:val="-2"/>
          <w:sz w:val="22"/>
          <w:szCs w:val="22"/>
          <w:lang w:eastAsia="zh-CN"/>
        </w:rPr>
        <w:t>рательного процесса – субъекты избирательных правоотношений четко  урегулированы  избирательным законодательством.  Так, лицо, имеющее право быть избранным, то есть обладающее пассивным избирательным правом, может выдвинуть свою кандидатуру на должность Президента России  двумя способами: в порядке самов</w:t>
      </w:r>
      <w:r w:rsidRPr="00EC1A78">
        <w:rPr>
          <w:rFonts w:eastAsia="SimSun"/>
          <w:spacing w:val="-2"/>
          <w:sz w:val="22"/>
          <w:szCs w:val="22"/>
          <w:lang w:eastAsia="zh-CN"/>
        </w:rPr>
        <w:t>ы</w:t>
      </w:r>
      <w:r w:rsidRPr="00EC1A78">
        <w:rPr>
          <w:rFonts w:eastAsia="SimSun"/>
          <w:spacing w:val="-2"/>
          <w:sz w:val="22"/>
          <w:szCs w:val="22"/>
          <w:lang w:eastAsia="zh-CN"/>
        </w:rPr>
        <w:t>движения или избирательным объединением, то есть  политической партией. Избирательные объединения – это и есть политические па</w:t>
      </w:r>
      <w:r w:rsidRPr="00EC1A78">
        <w:rPr>
          <w:rFonts w:eastAsia="SimSun"/>
          <w:spacing w:val="-2"/>
          <w:sz w:val="22"/>
          <w:szCs w:val="22"/>
          <w:lang w:eastAsia="zh-CN"/>
        </w:rPr>
        <w:t>р</w:t>
      </w:r>
      <w:r w:rsidRPr="00EC1A78">
        <w:rPr>
          <w:rFonts w:eastAsia="SimSun"/>
          <w:spacing w:val="-2"/>
          <w:sz w:val="22"/>
          <w:szCs w:val="22"/>
          <w:lang w:eastAsia="zh-CN"/>
        </w:rPr>
        <w:t xml:space="preserve">тии. Сравнивая эти два способа, видим, что </w:t>
      </w:r>
      <w:r w:rsidRPr="00EC1A78">
        <w:rPr>
          <w:rFonts w:eastAsiaTheme="minorEastAsia"/>
          <w:color w:val="000000"/>
          <w:sz w:val="22"/>
          <w:szCs w:val="22"/>
        </w:rPr>
        <w:t>с</w:t>
      </w:r>
      <w:r w:rsidRPr="00EC1A78">
        <w:rPr>
          <w:rFonts w:eastAsiaTheme="minorEastAsia"/>
          <w:color w:val="000000"/>
          <w:sz w:val="22"/>
          <w:szCs w:val="22"/>
          <w:lang w:val="x-none"/>
        </w:rPr>
        <w:t>амовыдвижение требует определенной поддержки избирателей</w:t>
      </w:r>
      <w:r w:rsidRPr="00EC1A78">
        <w:rPr>
          <w:rFonts w:eastAsiaTheme="minorEastAsia"/>
          <w:color w:val="000000"/>
          <w:sz w:val="22"/>
          <w:szCs w:val="22"/>
        </w:rPr>
        <w:t xml:space="preserve">. Речь идет о </w:t>
      </w:r>
      <w:r w:rsidRPr="00EC1A78">
        <w:rPr>
          <w:rFonts w:eastAsiaTheme="minorEastAsia"/>
          <w:color w:val="000000"/>
          <w:sz w:val="22"/>
          <w:szCs w:val="22"/>
          <w:lang w:val="x-none"/>
        </w:rPr>
        <w:t xml:space="preserve"> групп</w:t>
      </w:r>
      <w:r w:rsidRPr="00EC1A78">
        <w:rPr>
          <w:rFonts w:eastAsiaTheme="minorEastAsia"/>
          <w:color w:val="000000"/>
          <w:sz w:val="22"/>
          <w:szCs w:val="22"/>
        </w:rPr>
        <w:t>е, в кот</w:t>
      </w:r>
      <w:r w:rsidRPr="00EC1A78">
        <w:rPr>
          <w:rFonts w:eastAsiaTheme="minorEastAsia"/>
          <w:color w:val="000000"/>
          <w:sz w:val="22"/>
          <w:szCs w:val="22"/>
        </w:rPr>
        <w:t>о</w:t>
      </w:r>
      <w:r w:rsidRPr="00EC1A78">
        <w:rPr>
          <w:rFonts w:eastAsiaTheme="minorEastAsia"/>
          <w:color w:val="000000"/>
          <w:sz w:val="22"/>
          <w:szCs w:val="22"/>
        </w:rPr>
        <w:t xml:space="preserve">рой должно быть </w:t>
      </w:r>
      <w:r w:rsidRPr="00EC1A78">
        <w:rPr>
          <w:rFonts w:eastAsiaTheme="minorEastAsia"/>
          <w:color w:val="000000"/>
          <w:sz w:val="22"/>
          <w:szCs w:val="22"/>
          <w:lang w:val="x-none"/>
        </w:rPr>
        <w:t xml:space="preserve"> не менее 500 </w:t>
      </w:r>
      <w:r w:rsidRPr="00EC1A78">
        <w:rPr>
          <w:rFonts w:eastAsiaTheme="minorEastAsia"/>
          <w:color w:val="000000"/>
          <w:sz w:val="22"/>
          <w:szCs w:val="22"/>
        </w:rPr>
        <w:t xml:space="preserve">российских </w:t>
      </w:r>
      <w:r w:rsidRPr="00EC1A78">
        <w:rPr>
          <w:rFonts w:eastAsiaTheme="minorEastAsia"/>
          <w:color w:val="000000"/>
          <w:sz w:val="22"/>
          <w:szCs w:val="22"/>
          <w:lang w:val="x-none"/>
        </w:rPr>
        <w:t xml:space="preserve">граждан, </w:t>
      </w:r>
      <w:r w:rsidRPr="00EC1A78">
        <w:rPr>
          <w:rFonts w:eastAsiaTheme="minorEastAsia"/>
          <w:color w:val="000000"/>
          <w:sz w:val="22"/>
          <w:szCs w:val="22"/>
        </w:rPr>
        <w:t>имеющих пр</w:t>
      </w:r>
      <w:r w:rsidRPr="00EC1A78">
        <w:rPr>
          <w:rFonts w:eastAsiaTheme="minorEastAsia"/>
          <w:color w:val="000000"/>
          <w:sz w:val="22"/>
          <w:szCs w:val="22"/>
        </w:rPr>
        <w:t>а</w:t>
      </w:r>
      <w:r w:rsidRPr="00EC1A78">
        <w:rPr>
          <w:rFonts w:eastAsiaTheme="minorEastAsia"/>
          <w:color w:val="000000"/>
          <w:sz w:val="22"/>
          <w:szCs w:val="22"/>
        </w:rPr>
        <w:t>во избирать</w:t>
      </w:r>
      <w:r w:rsidRPr="00EC1A78">
        <w:rPr>
          <w:rFonts w:eastAsiaTheme="minorEastAsia"/>
          <w:color w:val="000000"/>
          <w:sz w:val="22"/>
          <w:szCs w:val="22"/>
          <w:lang w:val="x-none"/>
        </w:rPr>
        <w:t>.</w:t>
      </w:r>
      <w:r w:rsidRPr="00EC1A78">
        <w:rPr>
          <w:rFonts w:eastAsia="SimSun"/>
          <w:sz w:val="22"/>
          <w:szCs w:val="22"/>
          <w:lang w:val="x-none" w:eastAsia="zh-CN"/>
        </w:rPr>
        <w:t xml:space="preserve"> А</w:t>
      </w:r>
      <w:r w:rsidRPr="00EC1A78">
        <w:rPr>
          <w:rFonts w:eastAsia="SimSun"/>
          <w:sz w:val="22"/>
          <w:szCs w:val="22"/>
          <w:lang w:eastAsia="zh-CN"/>
        </w:rPr>
        <w:t xml:space="preserve"> если выбран второй способ, а именно </w:t>
      </w:r>
      <w:r w:rsidRPr="00EC1A78">
        <w:rPr>
          <w:rFonts w:eastAsiaTheme="minorEastAsia"/>
          <w:color w:val="000000"/>
          <w:sz w:val="22"/>
          <w:szCs w:val="22"/>
          <w:lang w:val="x-none"/>
        </w:rPr>
        <w:t>выдвижение политической партией</w:t>
      </w:r>
      <w:r w:rsidRPr="00EC1A78">
        <w:rPr>
          <w:rFonts w:eastAsiaTheme="minorEastAsia"/>
          <w:color w:val="000000"/>
          <w:sz w:val="22"/>
          <w:szCs w:val="22"/>
        </w:rPr>
        <w:t>, то, несмотря на то, что эта процедура</w:t>
      </w:r>
      <w:r w:rsidRPr="00EC1A78">
        <w:rPr>
          <w:rFonts w:eastAsiaTheme="minorEastAsia"/>
          <w:color w:val="000000"/>
          <w:sz w:val="22"/>
          <w:szCs w:val="22"/>
          <w:lang w:val="x-none"/>
        </w:rPr>
        <w:t xml:space="preserve"> существенно проще</w:t>
      </w:r>
      <w:r w:rsidRPr="00EC1A78">
        <w:rPr>
          <w:rFonts w:eastAsiaTheme="minorEastAsia"/>
          <w:color w:val="000000"/>
          <w:sz w:val="22"/>
          <w:szCs w:val="22"/>
        </w:rPr>
        <w:t xml:space="preserve"> для самого кандидата, для политической па</w:t>
      </w:r>
      <w:r w:rsidRPr="00EC1A78">
        <w:rPr>
          <w:rFonts w:eastAsiaTheme="minorEastAsia"/>
          <w:color w:val="000000"/>
          <w:sz w:val="22"/>
          <w:szCs w:val="22"/>
        </w:rPr>
        <w:t>р</w:t>
      </w:r>
      <w:r w:rsidRPr="00EC1A78">
        <w:rPr>
          <w:rFonts w:eastAsiaTheme="minorEastAsia"/>
          <w:color w:val="000000"/>
          <w:sz w:val="22"/>
          <w:szCs w:val="22"/>
        </w:rPr>
        <w:t>тии существуют некоторые ограничения.</w:t>
      </w:r>
      <w:r w:rsidRPr="00EC1A78">
        <w:rPr>
          <w:rFonts w:eastAsia="SimSun"/>
          <w:sz w:val="22"/>
          <w:szCs w:val="22"/>
          <w:lang w:eastAsia="zh-CN"/>
        </w:rPr>
        <w:t xml:space="preserve"> Так, политическая партия имеет </w:t>
      </w:r>
      <w:r w:rsidRPr="00EC1A78">
        <w:rPr>
          <w:rFonts w:eastAsiaTheme="minorEastAsia"/>
          <w:color w:val="000000"/>
          <w:sz w:val="22"/>
          <w:szCs w:val="22"/>
          <w:lang w:val="x-none"/>
        </w:rPr>
        <w:t xml:space="preserve">выдвинуть только одного кандидата. </w:t>
      </w:r>
      <w:r w:rsidRPr="00EC1A78">
        <w:rPr>
          <w:rFonts w:eastAsiaTheme="minorEastAsia"/>
          <w:color w:val="000000"/>
          <w:sz w:val="22"/>
          <w:szCs w:val="22"/>
        </w:rPr>
        <w:t>Кроме того избирател</w:t>
      </w:r>
      <w:r w:rsidRPr="00EC1A78">
        <w:rPr>
          <w:rFonts w:eastAsiaTheme="minorEastAsia"/>
          <w:color w:val="000000"/>
          <w:sz w:val="22"/>
          <w:szCs w:val="22"/>
        </w:rPr>
        <w:t>ь</w:t>
      </w:r>
      <w:r w:rsidRPr="00EC1A78">
        <w:rPr>
          <w:rFonts w:eastAsiaTheme="minorEastAsia"/>
          <w:color w:val="000000"/>
          <w:sz w:val="22"/>
          <w:szCs w:val="22"/>
        </w:rPr>
        <w:t>ному объединению з</w:t>
      </w:r>
      <w:r w:rsidRPr="00EC1A78">
        <w:rPr>
          <w:rFonts w:eastAsiaTheme="minorEastAsia"/>
          <w:color w:val="000000"/>
          <w:sz w:val="22"/>
          <w:szCs w:val="22"/>
          <w:lang w:val="x-none"/>
        </w:rPr>
        <w:t>апрещается выдвигать лиц, являющихся членами других партий, при этом беспартийных граждан</w:t>
      </w:r>
      <w:r w:rsidRPr="00EC1A78">
        <w:rPr>
          <w:rFonts w:eastAsiaTheme="minorEastAsia"/>
          <w:color w:val="000000"/>
          <w:sz w:val="22"/>
          <w:szCs w:val="22"/>
        </w:rPr>
        <w:t xml:space="preserve"> выдвигать можно. </w:t>
      </w:r>
      <w:r w:rsidRPr="00EC1A78">
        <w:rPr>
          <w:rFonts w:eastAsiaTheme="minorEastAsia"/>
          <w:color w:val="000000"/>
          <w:sz w:val="22"/>
          <w:szCs w:val="22"/>
          <w:lang w:val="x-none"/>
        </w:rPr>
        <w:t xml:space="preserve"> Иначе  это противоречило бы Конституции РФ.</w:t>
      </w:r>
      <w:r w:rsidRPr="00EC1A78">
        <w:rPr>
          <w:rFonts w:eastAsiaTheme="minorEastAsia"/>
          <w:color w:val="000000"/>
          <w:sz w:val="22"/>
          <w:szCs w:val="22"/>
        </w:rPr>
        <w:t xml:space="preserve">  </w:t>
      </w:r>
    </w:p>
    <w:p w:rsidR="00EC1A78" w:rsidRPr="00EC1A78" w:rsidRDefault="003A6F86" w:rsidP="00EC1A78">
      <w:pPr>
        <w:ind w:firstLine="426"/>
        <w:jc w:val="both"/>
        <w:rPr>
          <w:rFonts w:eastAsiaTheme="minorEastAsia"/>
          <w:color w:val="000000"/>
          <w:sz w:val="22"/>
          <w:szCs w:val="22"/>
        </w:rPr>
      </w:pPr>
      <w:r>
        <w:rPr>
          <w:rFonts w:eastAsiaTheme="minorEastAsia"/>
          <w:color w:val="000000"/>
          <w:sz w:val="22"/>
          <w:szCs w:val="22"/>
          <w:lang w:val="x-none"/>
        </w:rPr>
        <w:t xml:space="preserve">Анализ и сравнение </w:t>
      </w:r>
      <w:r w:rsidR="00EC1A78" w:rsidRPr="00EC1A78">
        <w:rPr>
          <w:rFonts w:eastAsiaTheme="minorEastAsia"/>
          <w:color w:val="000000"/>
          <w:sz w:val="22"/>
          <w:szCs w:val="22"/>
          <w:lang w:val="x-none"/>
        </w:rPr>
        <w:t>вышеназванных существующих способов выдвижения кандидатов в данном виде выборов, позволяет выявить следующие особенности. Если кандидат выдвинут политической партией, представ</w:t>
      </w:r>
      <w:r w:rsidR="00EC1A78" w:rsidRPr="00EC1A78">
        <w:rPr>
          <w:rFonts w:eastAsiaTheme="minorEastAsia"/>
          <w:color w:val="000000"/>
          <w:sz w:val="22"/>
          <w:szCs w:val="22"/>
        </w:rPr>
        <w:t>ленной</w:t>
      </w:r>
      <w:r w:rsidR="00EC1A78" w:rsidRPr="00EC1A78">
        <w:rPr>
          <w:rFonts w:eastAsiaTheme="minorEastAsia"/>
          <w:color w:val="000000"/>
          <w:sz w:val="22"/>
          <w:szCs w:val="22"/>
          <w:lang w:val="x-none"/>
        </w:rPr>
        <w:t xml:space="preserve"> в Государственной Думе, либо в парламенте субъекта Федерации, то </w:t>
      </w:r>
      <w:r w:rsidR="00EC1A78" w:rsidRPr="00EC1A78">
        <w:rPr>
          <w:rFonts w:eastAsiaTheme="minorEastAsia"/>
          <w:color w:val="000000"/>
          <w:sz w:val="22"/>
          <w:szCs w:val="22"/>
        </w:rPr>
        <w:t xml:space="preserve">он будет зарегистрирован </w:t>
      </w:r>
      <w:r w:rsidR="00EC1A78" w:rsidRPr="00EC1A78">
        <w:rPr>
          <w:rFonts w:eastAsiaTheme="minorEastAsia"/>
          <w:color w:val="000000"/>
          <w:sz w:val="22"/>
          <w:szCs w:val="22"/>
          <w:lang w:val="x-none"/>
        </w:rPr>
        <w:t>на основании решения партии о выдвижении, которое уже представлено в ЦИК РФ при выдвижении.</w:t>
      </w:r>
    </w:p>
    <w:p w:rsidR="00EC1A78" w:rsidRPr="00EC1A78" w:rsidRDefault="00EC1A78" w:rsidP="00EC1A78">
      <w:pPr>
        <w:ind w:firstLine="426"/>
        <w:jc w:val="both"/>
        <w:rPr>
          <w:rFonts w:eastAsiaTheme="minorEastAsia"/>
          <w:color w:val="000000"/>
          <w:sz w:val="22"/>
          <w:szCs w:val="22"/>
        </w:rPr>
      </w:pPr>
      <w:r w:rsidRPr="00EC1A78">
        <w:rPr>
          <w:rFonts w:eastAsiaTheme="minorEastAsia"/>
          <w:color w:val="000000"/>
          <w:sz w:val="22"/>
          <w:szCs w:val="22"/>
        </w:rPr>
        <w:t>Если же  к</w:t>
      </w:r>
      <w:r w:rsidRPr="00EC1A78">
        <w:rPr>
          <w:rFonts w:eastAsiaTheme="minorEastAsia"/>
          <w:color w:val="000000"/>
          <w:sz w:val="22"/>
          <w:szCs w:val="22"/>
          <w:lang w:val="x-none"/>
        </w:rPr>
        <w:t xml:space="preserve">андидат выдвинут политической партией, </w:t>
      </w:r>
      <w:r w:rsidRPr="00EC1A78">
        <w:rPr>
          <w:rFonts w:eastAsiaTheme="minorEastAsia"/>
          <w:color w:val="000000"/>
          <w:sz w:val="22"/>
          <w:szCs w:val="22"/>
        </w:rPr>
        <w:t>представ</w:t>
      </w:r>
      <w:r w:rsidRPr="00EC1A78">
        <w:rPr>
          <w:rFonts w:eastAsiaTheme="minorEastAsia"/>
          <w:color w:val="000000"/>
          <w:sz w:val="22"/>
          <w:szCs w:val="22"/>
        </w:rPr>
        <w:t>и</w:t>
      </w:r>
      <w:r w:rsidRPr="00EC1A78">
        <w:rPr>
          <w:rFonts w:eastAsiaTheme="minorEastAsia"/>
          <w:color w:val="000000"/>
          <w:sz w:val="22"/>
          <w:szCs w:val="22"/>
        </w:rPr>
        <w:t xml:space="preserve">телей, то есть членов которой нет в вышеназванных органах, она </w:t>
      </w:r>
      <w:r w:rsidRPr="00EC1A78">
        <w:rPr>
          <w:rFonts w:eastAsiaTheme="minorEastAsia"/>
          <w:color w:val="000000"/>
          <w:sz w:val="22"/>
          <w:szCs w:val="22"/>
          <w:lang w:val="x-none"/>
        </w:rPr>
        <w:t xml:space="preserve">обязана собрать в поддержку выдвинутого ею кандидата не менее </w:t>
      </w:r>
      <w:r w:rsidRPr="00EC1A78">
        <w:rPr>
          <w:rFonts w:eastAsiaTheme="minorEastAsia"/>
          <w:color w:val="000000"/>
          <w:sz w:val="22"/>
          <w:szCs w:val="22"/>
        </w:rPr>
        <w:t xml:space="preserve">определенного количества подписей, а именно </w:t>
      </w:r>
      <w:r w:rsidRPr="00EC1A78">
        <w:rPr>
          <w:rFonts w:eastAsiaTheme="minorEastAsia"/>
          <w:color w:val="000000"/>
          <w:sz w:val="22"/>
          <w:szCs w:val="22"/>
          <w:lang w:val="x-none"/>
        </w:rPr>
        <w:t xml:space="preserve">100 тысяч подписей избирателей, при </w:t>
      </w:r>
      <w:r w:rsidRPr="00EC1A78">
        <w:rPr>
          <w:rFonts w:eastAsiaTheme="minorEastAsia"/>
          <w:color w:val="000000"/>
          <w:sz w:val="22"/>
          <w:szCs w:val="22"/>
        </w:rPr>
        <w:t xml:space="preserve">соблюдении следующего условия: в одном </w:t>
      </w:r>
      <w:r w:rsidRPr="00EC1A78">
        <w:rPr>
          <w:rFonts w:eastAsiaTheme="minorEastAsia"/>
          <w:color w:val="000000"/>
          <w:sz w:val="22"/>
          <w:szCs w:val="22"/>
          <w:lang w:val="x-none"/>
        </w:rPr>
        <w:t>субъект</w:t>
      </w:r>
      <w:r w:rsidRPr="00EC1A78">
        <w:rPr>
          <w:rFonts w:eastAsiaTheme="minorEastAsia"/>
          <w:color w:val="000000"/>
          <w:sz w:val="22"/>
          <w:szCs w:val="22"/>
        </w:rPr>
        <w:t>е</w:t>
      </w:r>
      <w:r w:rsidRPr="00EC1A78">
        <w:rPr>
          <w:rFonts w:eastAsiaTheme="minorEastAsia"/>
          <w:color w:val="000000"/>
          <w:sz w:val="22"/>
          <w:szCs w:val="22"/>
          <w:lang w:val="x-none"/>
        </w:rPr>
        <w:t xml:space="preserve"> РФ должно </w:t>
      </w:r>
      <w:r w:rsidRPr="00EC1A78">
        <w:rPr>
          <w:rFonts w:eastAsiaTheme="minorEastAsia"/>
          <w:color w:val="000000"/>
          <w:sz w:val="22"/>
          <w:szCs w:val="22"/>
        </w:rPr>
        <w:t xml:space="preserve">быть собрано </w:t>
      </w:r>
      <w:r w:rsidRPr="00EC1A78">
        <w:rPr>
          <w:rFonts w:eastAsiaTheme="minorEastAsia"/>
          <w:color w:val="000000"/>
          <w:sz w:val="22"/>
          <w:szCs w:val="22"/>
          <w:lang w:val="x-none"/>
        </w:rPr>
        <w:t xml:space="preserve">не более 2500 подписей избирателей, место жительства которых находится на территории данного субъекта РФ. Если сбор подписей избирателей </w:t>
      </w:r>
      <w:r w:rsidRPr="00EC1A78">
        <w:rPr>
          <w:rFonts w:eastAsiaTheme="minorEastAsia"/>
          <w:color w:val="000000"/>
          <w:sz w:val="22"/>
          <w:szCs w:val="22"/>
          <w:lang w:val="x-none"/>
        </w:rPr>
        <w:lastRenderedPageBreak/>
        <w:t>осуществляется среди избирателей, постоянно проживающих за пределами территории РФ, общее количество этих подписей не может быть более 2500 подписей.</w:t>
      </w:r>
      <w:r w:rsidRPr="00EC1A78">
        <w:rPr>
          <w:rFonts w:eastAsiaTheme="minorEastAsia"/>
          <w:color w:val="000000"/>
          <w:sz w:val="22"/>
          <w:szCs w:val="22"/>
        </w:rPr>
        <w:t xml:space="preserve"> </w:t>
      </w:r>
    </w:p>
    <w:p w:rsidR="00EC1A78" w:rsidRPr="00EC1A78" w:rsidRDefault="00EC1A78" w:rsidP="00EC1A78">
      <w:pPr>
        <w:ind w:firstLine="426"/>
        <w:jc w:val="both"/>
        <w:rPr>
          <w:rFonts w:eastAsiaTheme="minorEastAsia"/>
          <w:color w:val="000000"/>
          <w:sz w:val="22"/>
          <w:szCs w:val="22"/>
        </w:rPr>
      </w:pPr>
      <w:r w:rsidRPr="00EC1A78">
        <w:rPr>
          <w:rFonts w:eastAsiaTheme="minorEastAsia"/>
          <w:color w:val="000000"/>
          <w:sz w:val="22"/>
          <w:szCs w:val="22"/>
        </w:rPr>
        <w:t>Особенность при выборе в качестве способа выдвижения сам</w:t>
      </w:r>
      <w:r w:rsidRPr="00EC1A78">
        <w:rPr>
          <w:rFonts w:eastAsiaTheme="minorEastAsia"/>
          <w:color w:val="000000"/>
          <w:sz w:val="22"/>
          <w:szCs w:val="22"/>
        </w:rPr>
        <w:t>о</w:t>
      </w:r>
      <w:r w:rsidRPr="00EC1A78">
        <w:rPr>
          <w:rFonts w:eastAsiaTheme="minorEastAsia"/>
          <w:color w:val="000000"/>
          <w:sz w:val="22"/>
          <w:szCs w:val="22"/>
        </w:rPr>
        <w:t xml:space="preserve">выдвижения заключается в том, что такой независимый гражданин </w:t>
      </w:r>
      <w:r w:rsidRPr="00EC1A78">
        <w:rPr>
          <w:rFonts w:eastAsiaTheme="minorEastAsia"/>
          <w:color w:val="000000"/>
          <w:sz w:val="22"/>
          <w:szCs w:val="22"/>
          <w:lang w:val="x-none"/>
        </w:rPr>
        <w:t>обязан собрать в свою поддержку не менее 300 тысяч подписей избирателей</w:t>
      </w:r>
      <w:r w:rsidRPr="00EC1A78">
        <w:rPr>
          <w:rFonts w:eastAsiaTheme="minorEastAsia"/>
          <w:color w:val="000000"/>
          <w:sz w:val="22"/>
          <w:szCs w:val="22"/>
        </w:rPr>
        <w:t xml:space="preserve">. Но должно быть соблюдено правило, </w:t>
      </w:r>
      <w:r w:rsidRPr="00EC1A78">
        <w:rPr>
          <w:rFonts w:eastAsiaTheme="minorEastAsia"/>
          <w:color w:val="000000"/>
          <w:sz w:val="22"/>
          <w:szCs w:val="22"/>
          <w:lang w:val="x-none"/>
        </w:rPr>
        <w:t>пр</w:t>
      </w:r>
      <w:r w:rsidRPr="00EC1A78">
        <w:rPr>
          <w:rFonts w:eastAsiaTheme="minorEastAsia"/>
          <w:color w:val="000000"/>
          <w:sz w:val="22"/>
          <w:szCs w:val="22"/>
        </w:rPr>
        <w:t>едусматрив</w:t>
      </w:r>
      <w:r w:rsidRPr="00EC1A78">
        <w:rPr>
          <w:rFonts w:eastAsiaTheme="minorEastAsia"/>
          <w:color w:val="000000"/>
          <w:sz w:val="22"/>
          <w:szCs w:val="22"/>
        </w:rPr>
        <w:t>а</w:t>
      </w:r>
      <w:r w:rsidR="003A6F86">
        <w:rPr>
          <w:rFonts w:eastAsiaTheme="minorEastAsia"/>
          <w:color w:val="000000"/>
          <w:sz w:val="22"/>
          <w:szCs w:val="22"/>
        </w:rPr>
        <w:t>ющее следующее</w:t>
      </w:r>
      <w:r w:rsidRPr="00EC1A78">
        <w:rPr>
          <w:rFonts w:eastAsiaTheme="minorEastAsia"/>
          <w:color w:val="000000"/>
          <w:sz w:val="22"/>
          <w:szCs w:val="22"/>
          <w:lang w:val="x-none"/>
        </w:rPr>
        <w:t xml:space="preserve"> </w:t>
      </w:r>
      <w:r w:rsidRPr="00EC1A78">
        <w:rPr>
          <w:rFonts w:eastAsiaTheme="minorEastAsia"/>
          <w:color w:val="000000"/>
          <w:sz w:val="22"/>
          <w:szCs w:val="22"/>
        </w:rPr>
        <w:t xml:space="preserve">условие: в одном </w:t>
      </w:r>
      <w:r w:rsidRPr="00EC1A78">
        <w:rPr>
          <w:rFonts w:eastAsiaTheme="minorEastAsia"/>
          <w:color w:val="000000"/>
          <w:sz w:val="22"/>
          <w:szCs w:val="22"/>
          <w:lang w:val="x-none"/>
        </w:rPr>
        <w:t>субъект</w:t>
      </w:r>
      <w:r w:rsidRPr="00EC1A78">
        <w:rPr>
          <w:rFonts w:eastAsiaTheme="minorEastAsia"/>
          <w:color w:val="000000"/>
          <w:sz w:val="22"/>
          <w:szCs w:val="22"/>
        </w:rPr>
        <w:t>е</w:t>
      </w:r>
      <w:r w:rsidRPr="00EC1A78">
        <w:rPr>
          <w:rFonts w:eastAsiaTheme="minorEastAsia"/>
          <w:color w:val="000000"/>
          <w:sz w:val="22"/>
          <w:szCs w:val="22"/>
          <w:lang w:val="x-none"/>
        </w:rPr>
        <w:t xml:space="preserve"> </w:t>
      </w:r>
      <w:r w:rsidRPr="00EC1A78">
        <w:rPr>
          <w:rFonts w:eastAsiaTheme="minorEastAsia"/>
          <w:color w:val="000000"/>
          <w:sz w:val="22"/>
          <w:szCs w:val="22"/>
        </w:rPr>
        <w:t>России</w:t>
      </w:r>
      <w:r w:rsidRPr="00EC1A78">
        <w:rPr>
          <w:rFonts w:eastAsiaTheme="minorEastAsia"/>
          <w:color w:val="000000"/>
          <w:sz w:val="22"/>
          <w:szCs w:val="22"/>
          <w:lang w:val="x-none"/>
        </w:rPr>
        <w:t xml:space="preserve"> </w:t>
      </w:r>
      <w:r w:rsidRPr="00EC1A78">
        <w:rPr>
          <w:rFonts w:eastAsiaTheme="minorEastAsia"/>
          <w:color w:val="000000"/>
          <w:sz w:val="22"/>
          <w:szCs w:val="22"/>
        </w:rPr>
        <w:t xml:space="preserve">может быть собрано </w:t>
      </w:r>
      <w:r w:rsidRPr="00EC1A78">
        <w:rPr>
          <w:rFonts w:eastAsiaTheme="minorEastAsia"/>
          <w:color w:val="000000"/>
          <w:sz w:val="22"/>
          <w:szCs w:val="22"/>
          <w:lang w:val="x-none"/>
        </w:rPr>
        <w:t xml:space="preserve">не более 7500 подписей избирателей, место жительства которых находится на территории данного субъекта РФ. </w:t>
      </w:r>
      <w:r w:rsidRPr="00EC1A78">
        <w:rPr>
          <w:rFonts w:eastAsiaTheme="minorEastAsia"/>
          <w:color w:val="000000"/>
          <w:sz w:val="22"/>
          <w:szCs w:val="22"/>
        </w:rPr>
        <w:t xml:space="preserve">А </w:t>
      </w:r>
      <w:r w:rsidRPr="00EC1A78">
        <w:rPr>
          <w:rFonts w:eastAsiaTheme="minorEastAsia"/>
          <w:color w:val="000000"/>
          <w:sz w:val="22"/>
          <w:szCs w:val="22"/>
          <w:lang w:val="x-none"/>
        </w:rPr>
        <w:t xml:space="preserve">за </w:t>
      </w:r>
      <w:r w:rsidRPr="00EC1A78">
        <w:rPr>
          <w:rFonts w:eastAsiaTheme="minorEastAsia"/>
          <w:color w:val="000000"/>
          <w:sz w:val="22"/>
          <w:szCs w:val="22"/>
        </w:rPr>
        <w:t>гр</w:t>
      </w:r>
      <w:r w:rsidRPr="00EC1A78">
        <w:rPr>
          <w:rFonts w:eastAsiaTheme="minorEastAsia"/>
          <w:color w:val="000000"/>
          <w:sz w:val="22"/>
          <w:szCs w:val="22"/>
        </w:rPr>
        <w:t>а</w:t>
      </w:r>
      <w:r w:rsidRPr="00EC1A78">
        <w:rPr>
          <w:rFonts w:eastAsiaTheme="minorEastAsia"/>
          <w:color w:val="000000"/>
          <w:sz w:val="22"/>
          <w:szCs w:val="22"/>
        </w:rPr>
        <w:t>ницей</w:t>
      </w:r>
      <w:r w:rsidRPr="00EC1A78">
        <w:rPr>
          <w:rFonts w:eastAsiaTheme="minorEastAsia"/>
          <w:color w:val="000000"/>
          <w:sz w:val="22"/>
          <w:szCs w:val="22"/>
          <w:lang w:val="x-none"/>
        </w:rPr>
        <w:t xml:space="preserve"> общее количество этих подписей не может быть более 7500 подписей.</w:t>
      </w:r>
    </w:p>
    <w:p w:rsidR="00EC1A78" w:rsidRPr="00EC1A78" w:rsidRDefault="00EC1A78" w:rsidP="00EC1A78">
      <w:pPr>
        <w:ind w:firstLine="426"/>
        <w:jc w:val="both"/>
        <w:rPr>
          <w:rFonts w:eastAsiaTheme="minorEastAsia"/>
          <w:color w:val="000000"/>
          <w:sz w:val="22"/>
          <w:szCs w:val="22"/>
        </w:rPr>
      </w:pPr>
      <w:r w:rsidRPr="00EC1A78">
        <w:rPr>
          <w:rFonts w:eastAsiaTheme="minorEastAsia"/>
          <w:color w:val="000000"/>
          <w:sz w:val="22"/>
          <w:szCs w:val="22"/>
          <w:lang w:val="x-none"/>
        </w:rPr>
        <w:t>Практика проведения избирательной кампании по выборам</w:t>
      </w:r>
      <w:r w:rsidRPr="00EC1A78">
        <w:rPr>
          <w:rFonts w:eastAsiaTheme="minorEastAsia"/>
          <w:color w:val="000000"/>
          <w:sz w:val="22"/>
          <w:szCs w:val="22"/>
        </w:rPr>
        <w:t xml:space="preserve"> </w:t>
      </w:r>
      <w:r w:rsidRPr="00EC1A78">
        <w:rPr>
          <w:rFonts w:eastAsiaTheme="minorEastAsia"/>
          <w:color w:val="000000"/>
          <w:sz w:val="22"/>
          <w:szCs w:val="22"/>
          <w:lang w:val="x-none"/>
        </w:rPr>
        <w:t xml:space="preserve">Президента России в 2018 году </w:t>
      </w:r>
      <w:r w:rsidRPr="00EC1A78">
        <w:rPr>
          <w:rFonts w:eastAsiaTheme="minorEastAsia"/>
          <w:color w:val="000000"/>
          <w:sz w:val="22"/>
          <w:szCs w:val="22"/>
        </w:rPr>
        <w:t xml:space="preserve">показывает, что из </w:t>
      </w:r>
      <w:r w:rsidRPr="00EC1A78">
        <w:rPr>
          <w:rFonts w:eastAsiaTheme="minorEastAsia"/>
          <w:color w:val="000000"/>
          <w:sz w:val="22"/>
          <w:szCs w:val="22"/>
          <w:lang w:val="x-none"/>
        </w:rPr>
        <w:t>22</w:t>
      </w:r>
      <w:r w:rsidRPr="00EC1A78">
        <w:rPr>
          <w:rFonts w:eastAsiaTheme="minorEastAsia"/>
          <w:color w:val="000000"/>
          <w:sz w:val="22"/>
          <w:szCs w:val="22"/>
        </w:rPr>
        <w:t>-х</w:t>
      </w:r>
      <w:r w:rsidRPr="00EC1A78">
        <w:rPr>
          <w:rFonts w:eastAsiaTheme="minorEastAsia"/>
          <w:color w:val="000000"/>
          <w:sz w:val="22"/>
          <w:szCs w:val="22"/>
          <w:lang w:val="x-none"/>
        </w:rPr>
        <w:t xml:space="preserve"> парти</w:t>
      </w:r>
      <w:r w:rsidRPr="00EC1A78">
        <w:rPr>
          <w:rFonts w:eastAsiaTheme="minorEastAsia"/>
          <w:color w:val="000000"/>
          <w:sz w:val="22"/>
          <w:szCs w:val="22"/>
        </w:rPr>
        <w:t xml:space="preserve">й и </w:t>
      </w:r>
      <w:r w:rsidRPr="00EC1A78">
        <w:rPr>
          <w:rFonts w:eastAsiaTheme="minorEastAsia"/>
          <w:color w:val="000000"/>
          <w:sz w:val="22"/>
          <w:szCs w:val="22"/>
          <w:lang w:val="x-none"/>
        </w:rPr>
        <w:t>15 самовыдвиженцев</w:t>
      </w:r>
      <w:r w:rsidRPr="00EC1A78">
        <w:rPr>
          <w:rFonts w:eastAsiaTheme="minorEastAsia"/>
          <w:color w:val="000000"/>
          <w:sz w:val="22"/>
          <w:szCs w:val="22"/>
        </w:rPr>
        <w:t xml:space="preserve">, </w:t>
      </w:r>
      <w:r w:rsidRPr="00EC1A78">
        <w:rPr>
          <w:rFonts w:eastAsiaTheme="minorEastAsia"/>
          <w:color w:val="000000"/>
          <w:sz w:val="22"/>
          <w:szCs w:val="22"/>
          <w:lang w:val="x-none"/>
        </w:rPr>
        <w:t xml:space="preserve"> выдвину</w:t>
      </w:r>
      <w:r w:rsidRPr="00EC1A78">
        <w:rPr>
          <w:rFonts w:eastAsiaTheme="minorEastAsia"/>
          <w:color w:val="000000"/>
          <w:sz w:val="22"/>
          <w:szCs w:val="22"/>
        </w:rPr>
        <w:t>вших</w:t>
      </w:r>
      <w:r w:rsidRPr="00EC1A78">
        <w:rPr>
          <w:rFonts w:eastAsiaTheme="minorEastAsia"/>
          <w:color w:val="000000"/>
          <w:sz w:val="22"/>
          <w:szCs w:val="22"/>
          <w:lang w:val="x-none"/>
        </w:rPr>
        <w:t xml:space="preserve"> свои кандидатуры, к выборам было допущено восемь кандидатов</w:t>
      </w:r>
      <w:r w:rsidRPr="00EC1A78">
        <w:rPr>
          <w:rFonts w:eastAsiaTheme="minorEastAsia"/>
          <w:color w:val="000000"/>
          <w:sz w:val="22"/>
          <w:szCs w:val="22"/>
        </w:rPr>
        <w:t>. Семь кандидатов в качестве способа выдвижения выбрали выдвижение политической партией, а один – самовыдвижение. Самовыдвиженец – действующий През</w:t>
      </w:r>
      <w:r w:rsidRPr="00EC1A78">
        <w:rPr>
          <w:rFonts w:eastAsiaTheme="minorEastAsia"/>
          <w:color w:val="000000"/>
          <w:sz w:val="22"/>
          <w:szCs w:val="22"/>
        </w:rPr>
        <w:t>и</w:t>
      </w:r>
      <w:r w:rsidRPr="00EC1A78">
        <w:rPr>
          <w:rFonts w:eastAsiaTheme="minorEastAsia"/>
          <w:color w:val="000000"/>
          <w:sz w:val="22"/>
          <w:szCs w:val="22"/>
        </w:rPr>
        <w:t>дент России В. В. Путин и одержал победу на выборах.</w:t>
      </w:r>
    </w:p>
    <w:p w:rsidR="00EC1A78" w:rsidRPr="00EC1A78" w:rsidRDefault="00EC1A78" w:rsidP="00EC1A78">
      <w:pPr>
        <w:jc w:val="both"/>
        <w:rPr>
          <w:rFonts w:eastAsiaTheme="minorHAnsi"/>
          <w:sz w:val="22"/>
          <w:szCs w:val="22"/>
          <w:lang w:eastAsia="en-US"/>
        </w:rPr>
      </w:pPr>
    </w:p>
    <w:p w:rsidR="00EC1A78" w:rsidRPr="00EC1A78" w:rsidRDefault="00EC1A78" w:rsidP="005B6CDF">
      <w:pPr>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347.965</w:t>
      </w:r>
    </w:p>
    <w:p w:rsidR="00EC1A78" w:rsidRPr="00EC1A78" w:rsidRDefault="00EC1A78" w:rsidP="00EC1A78">
      <w:pPr>
        <w:ind w:firstLine="567"/>
        <w:jc w:val="right"/>
        <w:rPr>
          <w:rFonts w:eastAsiaTheme="minorHAnsi"/>
          <w:sz w:val="22"/>
          <w:szCs w:val="22"/>
          <w:lang w:eastAsia="en-US"/>
        </w:rPr>
      </w:pPr>
    </w:p>
    <w:p w:rsidR="00EC1A78" w:rsidRPr="003A6F86" w:rsidRDefault="00EC1A78" w:rsidP="00EC1A78">
      <w:pPr>
        <w:jc w:val="center"/>
        <w:rPr>
          <w:rFonts w:eastAsiaTheme="minorHAnsi"/>
          <w:b/>
          <w:color w:val="000000" w:themeColor="text1"/>
          <w:sz w:val="24"/>
          <w:szCs w:val="24"/>
          <w:lang w:eastAsia="en-US"/>
        </w:rPr>
      </w:pPr>
      <w:r w:rsidRPr="003A6F86">
        <w:rPr>
          <w:rFonts w:eastAsiaTheme="minorHAnsi"/>
          <w:b/>
          <w:color w:val="000000" w:themeColor="text1"/>
          <w:sz w:val="24"/>
          <w:szCs w:val="24"/>
          <w:lang w:eastAsia="en-US"/>
        </w:rPr>
        <w:t>К вопросу о привлечении адвоката–защитника в качестве свидетеля по уголовному делу</w:t>
      </w:r>
    </w:p>
    <w:p w:rsidR="00EC1A78" w:rsidRPr="003A6F86" w:rsidRDefault="00EC1A78" w:rsidP="00EC1A78">
      <w:pPr>
        <w:jc w:val="center"/>
        <w:rPr>
          <w:rFonts w:eastAsiaTheme="minorHAnsi"/>
          <w:b/>
          <w:sz w:val="24"/>
          <w:szCs w:val="24"/>
          <w:lang w:val="en-US" w:eastAsia="en-US"/>
        </w:rPr>
      </w:pPr>
      <w:r w:rsidRPr="003A6F86">
        <w:rPr>
          <w:rFonts w:eastAsiaTheme="minorHAnsi"/>
          <w:b/>
          <w:sz w:val="24"/>
          <w:szCs w:val="24"/>
          <w:lang w:val="en" w:eastAsia="en-US"/>
        </w:rPr>
        <w:t xml:space="preserve">On the issue of involving a defense lawyer as a witness </w:t>
      </w:r>
    </w:p>
    <w:p w:rsidR="00EC1A78" w:rsidRPr="003A6F86" w:rsidRDefault="00EC1A78" w:rsidP="00EC1A78">
      <w:pPr>
        <w:jc w:val="center"/>
        <w:rPr>
          <w:rFonts w:eastAsiaTheme="minorHAnsi"/>
          <w:b/>
          <w:sz w:val="24"/>
          <w:szCs w:val="24"/>
          <w:lang w:val="en-US" w:eastAsia="en-US"/>
        </w:rPr>
      </w:pPr>
      <w:r w:rsidRPr="003A6F86">
        <w:rPr>
          <w:rFonts w:eastAsiaTheme="minorHAnsi"/>
          <w:b/>
          <w:sz w:val="24"/>
          <w:szCs w:val="24"/>
          <w:lang w:val="en" w:eastAsia="en-US"/>
        </w:rPr>
        <w:t>in a criminal case</w:t>
      </w:r>
    </w:p>
    <w:p w:rsidR="00EC1A78" w:rsidRPr="00EC1A78" w:rsidRDefault="00EC1A78" w:rsidP="00EC1A78">
      <w:pPr>
        <w:ind w:firstLine="567"/>
        <w:jc w:val="right"/>
        <w:rPr>
          <w:rFonts w:eastAsiaTheme="minorHAnsi"/>
          <w:b/>
          <w:sz w:val="22"/>
          <w:szCs w:val="22"/>
          <w:lang w:val="en-US" w:eastAsia="en-US"/>
        </w:rPr>
      </w:pPr>
    </w:p>
    <w:p w:rsidR="00EC1A78" w:rsidRPr="00EC1A78" w:rsidRDefault="00EC1A78" w:rsidP="00EC1A78">
      <w:pPr>
        <w:ind w:firstLine="567"/>
        <w:jc w:val="right"/>
        <w:rPr>
          <w:rFonts w:eastAsiaTheme="minorHAnsi"/>
          <w:sz w:val="22"/>
          <w:szCs w:val="22"/>
          <w:lang w:val="en-US" w:eastAsia="en-US"/>
        </w:rPr>
      </w:pPr>
      <w:r w:rsidRPr="00EC1A78">
        <w:rPr>
          <w:rFonts w:eastAsiaTheme="minorHAnsi"/>
          <w:sz w:val="22"/>
          <w:szCs w:val="22"/>
          <w:lang w:eastAsia="en-US"/>
        </w:rPr>
        <w:t>Васильев</w:t>
      </w:r>
      <w:r w:rsidRPr="00EC1A78">
        <w:rPr>
          <w:rFonts w:eastAsiaTheme="minorHAnsi"/>
          <w:sz w:val="22"/>
          <w:szCs w:val="22"/>
          <w:lang w:val="en-US" w:eastAsia="en-US"/>
        </w:rPr>
        <w:t xml:space="preserve"> </w:t>
      </w:r>
      <w:r w:rsidRPr="00EC1A78">
        <w:rPr>
          <w:rFonts w:eastAsiaTheme="minorHAnsi"/>
          <w:sz w:val="22"/>
          <w:szCs w:val="22"/>
          <w:lang w:eastAsia="en-US"/>
        </w:rPr>
        <w:t>Д</w:t>
      </w:r>
      <w:r w:rsidRPr="00EC1A78">
        <w:rPr>
          <w:rFonts w:eastAsiaTheme="minorHAnsi"/>
          <w:sz w:val="22"/>
          <w:szCs w:val="22"/>
          <w:lang w:val="en-US" w:eastAsia="en-US"/>
        </w:rPr>
        <w:t>.</w:t>
      </w:r>
      <w:r w:rsidR="003A6F86" w:rsidRPr="00E62E4B">
        <w:rPr>
          <w:rFonts w:eastAsiaTheme="minorHAnsi"/>
          <w:sz w:val="22"/>
          <w:szCs w:val="22"/>
          <w:lang w:val="en-US" w:eastAsia="en-US"/>
        </w:rPr>
        <w:t xml:space="preserve"> </w:t>
      </w:r>
      <w:r w:rsidRPr="00EC1A78">
        <w:rPr>
          <w:rFonts w:eastAsiaTheme="minorHAnsi"/>
          <w:sz w:val="22"/>
          <w:szCs w:val="22"/>
          <w:lang w:eastAsia="en-US"/>
        </w:rPr>
        <w:t>А</w:t>
      </w:r>
      <w:r w:rsidRPr="00EC1A78">
        <w:rPr>
          <w:rFonts w:eastAsiaTheme="minorHAnsi"/>
          <w:sz w:val="22"/>
          <w:szCs w:val="22"/>
          <w:lang w:val="en-US" w:eastAsia="en-US"/>
        </w:rPr>
        <w:t>.,</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Ильницкая Л.</w:t>
      </w:r>
      <w:r w:rsidR="003A6F86">
        <w:rPr>
          <w:rFonts w:eastAsiaTheme="minorHAnsi"/>
          <w:sz w:val="22"/>
          <w:szCs w:val="22"/>
          <w:lang w:eastAsia="en-US"/>
        </w:rPr>
        <w:t xml:space="preserve"> </w:t>
      </w:r>
      <w:r w:rsidRPr="00EC1A78">
        <w:rPr>
          <w:rFonts w:eastAsiaTheme="minorHAnsi"/>
          <w:sz w:val="22"/>
          <w:szCs w:val="22"/>
          <w:lang w:eastAsia="en-US"/>
        </w:rPr>
        <w:t>И.,</w:t>
      </w:r>
    </w:p>
    <w:p w:rsidR="00EC1A78" w:rsidRPr="00EC1A78" w:rsidRDefault="003A6F86" w:rsidP="00EC1A78">
      <w:pPr>
        <w:ind w:firstLine="567"/>
        <w:jc w:val="right"/>
        <w:rPr>
          <w:rFonts w:eastAsiaTheme="minorHAnsi"/>
          <w:sz w:val="22"/>
          <w:szCs w:val="22"/>
          <w:lang w:eastAsia="en-US"/>
        </w:rPr>
      </w:pPr>
      <w:r>
        <w:rPr>
          <w:rFonts w:eastAsiaTheme="minorHAnsi"/>
          <w:sz w:val="22"/>
          <w:szCs w:val="22"/>
          <w:lang w:eastAsia="en-US"/>
        </w:rPr>
        <w:t>д</w:t>
      </w:r>
      <w:r w:rsidR="00EC1A78" w:rsidRPr="00EC1A78">
        <w:rPr>
          <w:rFonts w:eastAsiaTheme="minorHAnsi"/>
          <w:sz w:val="22"/>
          <w:szCs w:val="22"/>
          <w:lang w:eastAsia="en-US"/>
        </w:rPr>
        <w:t>оцент кафедры уголовного процесса</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tabs>
          <w:tab w:val="left" w:pos="5580"/>
        </w:tabs>
        <w:jc w:val="both"/>
        <w:rPr>
          <w:rFonts w:eastAsiaTheme="minorHAnsi"/>
          <w:sz w:val="22"/>
          <w:szCs w:val="22"/>
          <w:lang w:eastAsia="en-US"/>
        </w:rPr>
      </w:pPr>
    </w:p>
    <w:p w:rsidR="00EC1A78" w:rsidRPr="00EC1A78" w:rsidRDefault="00EC1A78" w:rsidP="00EC1A78">
      <w:pPr>
        <w:tabs>
          <w:tab w:val="left" w:pos="5580"/>
        </w:tabs>
        <w:ind w:firstLine="426"/>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основные моменты правовой природы законодательства в области привлечения адвок</w:t>
      </w:r>
      <w:r w:rsidRPr="00EC1A78">
        <w:rPr>
          <w:rFonts w:eastAsiaTheme="minorHAnsi"/>
          <w:sz w:val="22"/>
          <w:szCs w:val="22"/>
          <w:lang w:eastAsia="en-US"/>
        </w:rPr>
        <w:t>а</w:t>
      </w:r>
      <w:r w:rsidRPr="00EC1A78">
        <w:rPr>
          <w:rFonts w:eastAsiaTheme="minorHAnsi"/>
          <w:sz w:val="22"/>
          <w:szCs w:val="22"/>
          <w:lang w:eastAsia="en-US"/>
        </w:rPr>
        <w:lastRenderedPageBreak/>
        <w:t>та в качестве свидетеля по уголовному делу,  в котором вышеуп</w:t>
      </w:r>
      <w:r w:rsidRPr="00EC1A78">
        <w:rPr>
          <w:rFonts w:eastAsiaTheme="minorHAnsi"/>
          <w:sz w:val="22"/>
          <w:szCs w:val="22"/>
          <w:lang w:eastAsia="en-US"/>
        </w:rPr>
        <w:t>о</w:t>
      </w:r>
      <w:r w:rsidRPr="00EC1A78">
        <w:rPr>
          <w:rFonts w:eastAsiaTheme="minorHAnsi"/>
          <w:sz w:val="22"/>
          <w:szCs w:val="22"/>
          <w:lang w:eastAsia="en-US"/>
        </w:rPr>
        <w:t>мянутый субъект выступает в роли защитника. Так же рассматр</w:t>
      </w:r>
      <w:r w:rsidRPr="00EC1A78">
        <w:rPr>
          <w:rFonts w:eastAsiaTheme="minorHAnsi"/>
          <w:sz w:val="22"/>
          <w:szCs w:val="22"/>
          <w:lang w:eastAsia="en-US"/>
        </w:rPr>
        <w:t>и</w:t>
      </w:r>
      <w:r w:rsidRPr="00EC1A78">
        <w:rPr>
          <w:rFonts w:eastAsiaTheme="minorHAnsi"/>
          <w:sz w:val="22"/>
          <w:szCs w:val="22"/>
          <w:lang w:eastAsia="en-US"/>
        </w:rPr>
        <w:t>ваются существенные характеристики? проблемные моменты пра</w:t>
      </w:r>
      <w:r w:rsidRPr="00EC1A78">
        <w:rPr>
          <w:rFonts w:eastAsiaTheme="minorHAnsi"/>
          <w:sz w:val="22"/>
          <w:szCs w:val="22"/>
          <w:lang w:eastAsia="en-US"/>
        </w:rPr>
        <w:t>к</w:t>
      </w:r>
      <w:r w:rsidRPr="00EC1A78">
        <w:rPr>
          <w:rFonts w:eastAsiaTheme="minorHAnsi"/>
          <w:sz w:val="22"/>
          <w:szCs w:val="22"/>
          <w:lang w:eastAsia="en-US"/>
        </w:rPr>
        <w:t>тической реализации этого и пути их решения.</w:t>
      </w:r>
    </w:p>
    <w:p w:rsidR="00EC1A78" w:rsidRPr="00EC1A78" w:rsidRDefault="00EC1A78" w:rsidP="00EC1A78">
      <w:pPr>
        <w:tabs>
          <w:tab w:val="left" w:pos="5580"/>
        </w:tabs>
        <w:ind w:firstLine="426"/>
        <w:jc w:val="both"/>
        <w:rPr>
          <w:rFonts w:eastAsiaTheme="minorHAnsi"/>
          <w:sz w:val="22"/>
          <w:szCs w:val="22"/>
          <w:lang w:val="en-US" w:eastAsia="en-US"/>
        </w:rPr>
      </w:pPr>
      <w:r w:rsidRPr="00EC1A78">
        <w:rPr>
          <w:rFonts w:eastAsiaTheme="minorHAnsi"/>
          <w:sz w:val="22"/>
          <w:szCs w:val="22"/>
          <w:lang w:val="en" w:eastAsia="en-US"/>
        </w:rPr>
        <w:t>ABSTRACT</w:t>
      </w:r>
      <w:r w:rsidRPr="00EC1A78">
        <w:rPr>
          <w:rFonts w:eastAsiaTheme="minorHAnsi"/>
          <w:sz w:val="22"/>
          <w:szCs w:val="22"/>
          <w:lang w:val="en-US" w:eastAsia="en-US"/>
        </w:rPr>
        <w:t>: The article considers the main points of the legal n</w:t>
      </w:r>
      <w:r w:rsidRPr="00EC1A78">
        <w:rPr>
          <w:rFonts w:eastAsiaTheme="minorHAnsi"/>
          <w:sz w:val="22"/>
          <w:szCs w:val="22"/>
          <w:lang w:val="en-US" w:eastAsia="en-US"/>
        </w:rPr>
        <w:t>a</w:t>
      </w:r>
      <w:r w:rsidRPr="00EC1A78">
        <w:rPr>
          <w:rFonts w:eastAsiaTheme="minorHAnsi"/>
          <w:sz w:val="22"/>
          <w:szCs w:val="22"/>
          <w:lang w:val="en-US" w:eastAsia="en-US"/>
        </w:rPr>
        <w:t>ture of legislation in the area of attracting a lawyer as a witness in a criminal case, in which the above–mentioned subject acts as a defender. The essential characteristics of the above question are also considered; problematic moments of practical realization and ways of their solution.</w:t>
      </w:r>
    </w:p>
    <w:p w:rsidR="00EC1A78" w:rsidRPr="00EC1A78" w:rsidRDefault="00EC1A78" w:rsidP="00EC1A78">
      <w:pPr>
        <w:tabs>
          <w:tab w:val="left" w:pos="5580"/>
        </w:tabs>
        <w:ind w:firstLine="426"/>
        <w:jc w:val="both"/>
        <w:rPr>
          <w:rFonts w:eastAsiaTheme="minorHAnsi"/>
          <w:sz w:val="22"/>
          <w:szCs w:val="22"/>
          <w:lang w:eastAsia="en-US"/>
        </w:rPr>
      </w:pPr>
      <w:r w:rsidRPr="00EC1A78">
        <w:rPr>
          <w:rFonts w:eastAsiaTheme="minorHAnsi"/>
          <w:sz w:val="22"/>
          <w:szCs w:val="22"/>
          <w:lang w:eastAsia="en-US"/>
        </w:rPr>
        <w:t>КЛЮЧЕВЫЕ СЛОВА: адвокат, органы следствия и дознания, суд, законодательство.</w:t>
      </w:r>
    </w:p>
    <w:p w:rsidR="00EC1A78" w:rsidRPr="00EC1A78" w:rsidRDefault="00EC1A78" w:rsidP="00EC1A78">
      <w:pPr>
        <w:tabs>
          <w:tab w:val="left" w:pos="5580"/>
        </w:tabs>
        <w:ind w:firstLine="426"/>
        <w:jc w:val="both"/>
        <w:rPr>
          <w:rFonts w:eastAsiaTheme="minorHAnsi"/>
          <w:sz w:val="22"/>
          <w:szCs w:val="22"/>
          <w:lang w:val="en-US" w:eastAsia="en-US"/>
        </w:rPr>
      </w:pPr>
      <w:r w:rsidRPr="00EC1A78">
        <w:rPr>
          <w:rFonts w:eastAsiaTheme="minorHAnsi"/>
          <w:sz w:val="22"/>
          <w:szCs w:val="22"/>
          <w:lang w:val="en-US" w:eastAsia="en-US"/>
        </w:rPr>
        <w:t>KEYWORDS: lawyer, investigation and inquiry bodies, court, le</w:t>
      </w:r>
      <w:r w:rsidRPr="00EC1A78">
        <w:rPr>
          <w:rFonts w:eastAsiaTheme="minorHAnsi"/>
          <w:sz w:val="22"/>
          <w:szCs w:val="22"/>
          <w:lang w:val="en-US" w:eastAsia="en-US"/>
        </w:rPr>
        <w:t>g</w:t>
      </w:r>
      <w:r w:rsidRPr="00EC1A78">
        <w:rPr>
          <w:rFonts w:eastAsiaTheme="minorHAnsi"/>
          <w:sz w:val="22"/>
          <w:szCs w:val="22"/>
          <w:lang w:val="en-US" w:eastAsia="en-US"/>
        </w:rPr>
        <w:t>islation.</w:t>
      </w:r>
    </w:p>
    <w:p w:rsidR="00EC1A78" w:rsidRPr="00EC1A78" w:rsidRDefault="00EC1A78" w:rsidP="00EC1A78">
      <w:pPr>
        <w:tabs>
          <w:tab w:val="left" w:pos="5580"/>
        </w:tabs>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lang w:eastAsia="en-US"/>
        </w:rPr>
        <w:t>В мире существует множество уголовно – процессуальных проблем, но наиболее серьезной и злободневной темой, вызыва</w:t>
      </w:r>
      <w:r w:rsidRPr="00EC1A78">
        <w:rPr>
          <w:rFonts w:eastAsiaTheme="minorHAnsi"/>
          <w:color w:val="000000" w:themeColor="text1"/>
          <w:sz w:val="22"/>
          <w:szCs w:val="22"/>
          <w:lang w:eastAsia="en-US"/>
        </w:rPr>
        <w:t>ю</w:t>
      </w:r>
      <w:r w:rsidRPr="00EC1A78">
        <w:rPr>
          <w:rFonts w:eastAsiaTheme="minorHAnsi"/>
          <w:color w:val="000000" w:themeColor="text1"/>
          <w:sz w:val="22"/>
          <w:szCs w:val="22"/>
          <w:lang w:eastAsia="en-US"/>
        </w:rPr>
        <w:t>щей бурные дискуссии в юридических кругах является вопрос о привлечении адвоката в качестве свидетеля по уголовному делу, в котором вышеупомянутый субъект выступает в роли защитника.</w:t>
      </w:r>
      <w:r w:rsidRPr="00EC1A78">
        <w:rPr>
          <w:rFonts w:eastAsiaTheme="minorHAnsi"/>
          <w:color w:val="000000" w:themeColor="text1"/>
          <w:sz w:val="22"/>
          <w:szCs w:val="22"/>
          <w:shd w:val="clear" w:color="auto" w:fill="FFFFFF"/>
          <w:lang w:eastAsia="en-US"/>
        </w:rPr>
        <w:t xml:space="preserve"> Адвокатская деятельность в Российской Федерации регулируется Федеральным законом «Об адвокатской деятельности и адвокатуре в РФ», вступившим в силу с 1 июля 2002 года. Кроме того, сущ</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ствует «Кодекс профессиональной этики адвоката», принятый 31 января 2003 года [2], а также деятельность адвокатов детально р</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гламентирована  гражданским законодательством. Но даже при т</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ком обилии нормативно правовой базы возникают различные пр</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вовые коллизии, речь о которых пойдет ниже…</w:t>
      </w:r>
    </w:p>
    <w:p w:rsidR="00EC1A78" w:rsidRPr="00EC1A78" w:rsidRDefault="00EC1A78" w:rsidP="00EC1A78">
      <w:pPr>
        <w:shd w:val="clear" w:color="auto" w:fill="FFFFFF"/>
        <w:ind w:firstLine="426"/>
        <w:jc w:val="both"/>
        <w:rPr>
          <w:color w:val="000000" w:themeColor="text1"/>
          <w:sz w:val="22"/>
          <w:szCs w:val="22"/>
        </w:rPr>
      </w:pPr>
      <w:r w:rsidRPr="00EC1A78">
        <w:rPr>
          <w:rFonts w:eastAsiaTheme="minorHAnsi"/>
          <w:color w:val="000000" w:themeColor="text1"/>
          <w:sz w:val="22"/>
          <w:szCs w:val="22"/>
          <w:shd w:val="clear" w:color="auto" w:fill="FFFFFF"/>
          <w:lang w:eastAsia="en-US"/>
        </w:rPr>
        <w:t>Так, в соответствии со  ст.8 ФЗ «Об адвокатской деятельности и адвокатуре в РФ» и ст.6 Кодекса профессиональной этики адвок</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та, регулирующих вопросы соблюдения адвокатской тайны, адвокат не вправе давать свидетельские показания об обстоятельствах, к</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торые стали ему известны в связи с исполнением профессионал</w:t>
      </w:r>
      <w:r w:rsidRPr="00EC1A78">
        <w:rPr>
          <w:rFonts w:eastAsiaTheme="minorHAnsi"/>
          <w:color w:val="000000" w:themeColor="text1"/>
          <w:sz w:val="22"/>
          <w:szCs w:val="22"/>
          <w:shd w:val="clear" w:color="auto" w:fill="FFFFFF"/>
          <w:lang w:eastAsia="en-US"/>
        </w:rPr>
        <w:t>ь</w:t>
      </w:r>
      <w:r w:rsidRPr="00EC1A78">
        <w:rPr>
          <w:rFonts w:eastAsiaTheme="minorHAnsi"/>
          <w:color w:val="000000" w:themeColor="text1"/>
          <w:sz w:val="22"/>
          <w:szCs w:val="22"/>
          <w:shd w:val="clear" w:color="auto" w:fill="FFFFFF"/>
          <w:lang w:eastAsia="en-US"/>
        </w:rPr>
        <w:t>ных обязанностей. Но тем неимение, в правовых реалиях часто во</w:t>
      </w:r>
      <w:r w:rsidRPr="00EC1A78">
        <w:rPr>
          <w:rFonts w:eastAsiaTheme="minorHAnsi"/>
          <w:color w:val="000000" w:themeColor="text1"/>
          <w:sz w:val="22"/>
          <w:szCs w:val="22"/>
          <w:shd w:val="clear" w:color="auto" w:fill="FFFFFF"/>
          <w:lang w:eastAsia="en-US"/>
        </w:rPr>
        <w:t>з</w:t>
      </w:r>
      <w:r w:rsidRPr="00EC1A78">
        <w:rPr>
          <w:rFonts w:eastAsiaTheme="minorHAnsi"/>
          <w:color w:val="000000" w:themeColor="text1"/>
          <w:sz w:val="22"/>
          <w:szCs w:val="22"/>
          <w:shd w:val="clear" w:color="auto" w:fill="FFFFFF"/>
          <w:lang w:eastAsia="en-US"/>
        </w:rPr>
        <w:t>никают вопросы, касающиеся прив</w:t>
      </w:r>
      <w:r w:rsidR="00E62E4B">
        <w:rPr>
          <w:rFonts w:eastAsiaTheme="minorHAnsi"/>
          <w:color w:val="000000" w:themeColor="text1"/>
          <w:sz w:val="22"/>
          <w:szCs w:val="22"/>
          <w:shd w:val="clear" w:color="auto" w:fill="FFFFFF"/>
          <w:lang w:eastAsia="en-US"/>
        </w:rPr>
        <w:t xml:space="preserve">лечения адвоката следственными </w:t>
      </w:r>
      <w:r w:rsidRPr="00EC1A78">
        <w:rPr>
          <w:rFonts w:eastAsiaTheme="minorHAnsi"/>
          <w:color w:val="000000" w:themeColor="text1"/>
          <w:sz w:val="22"/>
          <w:szCs w:val="22"/>
          <w:shd w:val="clear" w:color="auto" w:fill="FFFFFF"/>
          <w:lang w:eastAsia="en-US"/>
        </w:rPr>
        <w:t>органами в качестве свидетеля по делу, в котором, данное л</w:t>
      </w:r>
      <w:r w:rsidR="00E62E4B">
        <w:rPr>
          <w:rFonts w:eastAsiaTheme="minorHAnsi"/>
          <w:color w:val="000000" w:themeColor="text1"/>
          <w:sz w:val="22"/>
          <w:szCs w:val="22"/>
          <w:shd w:val="clear" w:color="auto" w:fill="FFFFFF"/>
          <w:lang w:eastAsia="en-US"/>
        </w:rPr>
        <w:t>ицо я</w:t>
      </w:r>
      <w:r w:rsidR="00E62E4B">
        <w:rPr>
          <w:rFonts w:eastAsiaTheme="minorHAnsi"/>
          <w:color w:val="000000" w:themeColor="text1"/>
          <w:sz w:val="22"/>
          <w:szCs w:val="22"/>
          <w:shd w:val="clear" w:color="auto" w:fill="FFFFFF"/>
          <w:lang w:eastAsia="en-US"/>
        </w:rPr>
        <w:t>в</w:t>
      </w:r>
      <w:r w:rsidR="00E62E4B">
        <w:rPr>
          <w:rFonts w:eastAsiaTheme="minorHAnsi"/>
          <w:color w:val="000000" w:themeColor="text1"/>
          <w:sz w:val="22"/>
          <w:szCs w:val="22"/>
          <w:shd w:val="clear" w:color="auto" w:fill="FFFFFF"/>
          <w:lang w:eastAsia="en-US"/>
        </w:rPr>
        <w:t>ляется защитнико.</w:t>
      </w:r>
      <w:r w:rsidRPr="00EC1A78">
        <w:rPr>
          <w:rFonts w:eastAsiaTheme="minorHAnsi"/>
          <w:color w:val="000000" w:themeColor="text1"/>
          <w:sz w:val="22"/>
          <w:szCs w:val="22"/>
          <w:shd w:val="clear" w:color="auto" w:fill="FFFFFF"/>
          <w:lang w:eastAsia="en-US"/>
        </w:rPr>
        <w:t xml:space="preserve"> В виду этого возникают различные правовые в</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 xml:space="preserve">просы. </w:t>
      </w:r>
      <w:r w:rsidR="00E62E4B">
        <w:rPr>
          <w:color w:val="000000" w:themeColor="text1"/>
          <w:sz w:val="22"/>
          <w:szCs w:val="22"/>
        </w:rPr>
        <w:t xml:space="preserve">Так, в </w:t>
      </w:r>
      <w:r w:rsidRPr="00EC1A78">
        <w:rPr>
          <w:color w:val="000000" w:themeColor="text1"/>
          <w:sz w:val="22"/>
          <w:szCs w:val="22"/>
        </w:rPr>
        <w:t>Совет адвокатской палаты Камчатского края пост</w:t>
      </w:r>
      <w:r w:rsidRPr="00EC1A78">
        <w:rPr>
          <w:color w:val="000000" w:themeColor="text1"/>
          <w:sz w:val="22"/>
          <w:szCs w:val="22"/>
        </w:rPr>
        <w:t>у</w:t>
      </w:r>
      <w:r w:rsidRPr="00EC1A78">
        <w:rPr>
          <w:color w:val="000000" w:themeColor="text1"/>
          <w:sz w:val="22"/>
          <w:szCs w:val="22"/>
        </w:rPr>
        <w:t>пают обращения адвокатов, в которых содержатся просьбы разъя</w:t>
      </w:r>
      <w:r w:rsidRPr="00EC1A78">
        <w:rPr>
          <w:color w:val="000000" w:themeColor="text1"/>
          <w:sz w:val="22"/>
          <w:szCs w:val="22"/>
        </w:rPr>
        <w:t>с</w:t>
      </w:r>
      <w:r w:rsidRPr="00EC1A78">
        <w:rPr>
          <w:color w:val="000000" w:themeColor="text1"/>
          <w:sz w:val="22"/>
          <w:szCs w:val="22"/>
        </w:rPr>
        <w:lastRenderedPageBreak/>
        <w:t>нить их действия в связи с вызовами в органы следствия и суд для допроса в качестве свидетелей по уголовным делам, где адвокаты принимали участие в качестве защитников либо представителей потерпевших, гражданских истцов и гражданских ответчиков [3].</w:t>
      </w:r>
    </w:p>
    <w:p w:rsidR="00EC1A78" w:rsidRPr="00EC1A78" w:rsidRDefault="00EC1A78" w:rsidP="00EC1A78">
      <w:pPr>
        <w:shd w:val="clear" w:color="auto" w:fill="FFFFFF"/>
        <w:ind w:firstLine="426"/>
        <w:jc w:val="both"/>
        <w:rPr>
          <w:color w:val="000000" w:themeColor="text1"/>
          <w:sz w:val="22"/>
          <w:szCs w:val="22"/>
        </w:rPr>
      </w:pPr>
      <w:r w:rsidRPr="00EC1A78">
        <w:rPr>
          <w:color w:val="000000" w:themeColor="text1"/>
          <w:sz w:val="22"/>
          <w:szCs w:val="22"/>
        </w:rPr>
        <w:t>В ходе проверки этих обращений было установлено, что уч</w:t>
      </w:r>
      <w:r w:rsidRPr="00EC1A78">
        <w:rPr>
          <w:color w:val="000000" w:themeColor="text1"/>
          <w:sz w:val="22"/>
          <w:szCs w:val="22"/>
        </w:rPr>
        <w:t>а</w:t>
      </w:r>
      <w:r w:rsidRPr="00EC1A78">
        <w:rPr>
          <w:color w:val="000000" w:themeColor="text1"/>
          <w:sz w:val="22"/>
          <w:szCs w:val="22"/>
        </w:rPr>
        <w:t>стились случаи приглашения адвокатов в органы следствия и суд для допроса в качестве свидетелей по уголовным делам, где адвок</w:t>
      </w:r>
      <w:r w:rsidRPr="00EC1A78">
        <w:rPr>
          <w:color w:val="000000" w:themeColor="text1"/>
          <w:sz w:val="22"/>
          <w:szCs w:val="22"/>
        </w:rPr>
        <w:t>а</w:t>
      </w:r>
      <w:r w:rsidRPr="00EC1A78">
        <w:rPr>
          <w:color w:val="000000" w:themeColor="text1"/>
          <w:sz w:val="22"/>
          <w:szCs w:val="22"/>
        </w:rPr>
        <w:t>ты участвовали в качестве защитников либо представителей поте</w:t>
      </w:r>
      <w:r w:rsidRPr="00EC1A78">
        <w:rPr>
          <w:color w:val="000000" w:themeColor="text1"/>
          <w:sz w:val="22"/>
          <w:szCs w:val="22"/>
        </w:rPr>
        <w:t>р</w:t>
      </w:r>
      <w:r w:rsidRPr="00EC1A78">
        <w:rPr>
          <w:color w:val="000000" w:themeColor="text1"/>
          <w:sz w:val="22"/>
          <w:szCs w:val="22"/>
        </w:rPr>
        <w:t>певших, гражданских истцов и гражданских ответчиков. В частн</w:t>
      </w:r>
      <w:r w:rsidRPr="00EC1A78">
        <w:rPr>
          <w:color w:val="000000" w:themeColor="text1"/>
          <w:sz w:val="22"/>
          <w:szCs w:val="22"/>
        </w:rPr>
        <w:t>о</w:t>
      </w:r>
      <w:r w:rsidRPr="00EC1A78">
        <w:rPr>
          <w:color w:val="000000" w:themeColor="text1"/>
          <w:sz w:val="22"/>
          <w:szCs w:val="22"/>
        </w:rPr>
        <w:t>сти, органы следствия и суд мотивируют свои действия тем, что им необходимо проверить фактическое участие адвоката при прои</w:t>
      </w:r>
      <w:r w:rsidRPr="00EC1A78">
        <w:rPr>
          <w:color w:val="000000" w:themeColor="text1"/>
          <w:sz w:val="22"/>
          <w:szCs w:val="22"/>
        </w:rPr>
        <w:t>з</w:t>
      </w:r>
      <w:r w:rsidRPr="00EC1A78">
        <w:rPr>
          <w:color w:val="000000" w:themeColor="text1"/>
          <w:sz w:val="22"/>
          <w:szCs w:val="22"/>
        </w:rPr>
        <w:t>водстве отдельных следственных действий, таких как: допросы д</w:t>
      </w:r>
      <w:r w:rsidRPr="00EC1A78">
        <w:rPr>
          <w:color w:val="000000" w:themeColor="text1"/>
          <w:sz w:val="22"/>
          <w:szCs w:val="22"/>
        </w:rPr>
        <w:t>о</w:t>
      </w:r>
      <w:r w:rsidRPr="00EC1A78">
        <w:rPr>
          <w:color w:val="000000" w:themeColor="text1"/>
          <w:sz w:val="22"/>
          <w:szCs w:val="22"/>
        </w:rPr>
        <w:t>верителей в качестве подозреваемых, обвиняемых; проверка пок</w:t>
      </w:r>
      <w:r w:rsidRPr="00EC1A78">
        <w:rPr>
          <w:color w:val="000000" w:themeColor="text1"/>
          <w:sz w:val="22"/>
          <w:szCs w:val="22"/>
        </w:rPr>
        <w:t>а</w:t>
      </w:r>
      <w:r w:rsidRPr="00EC1A78">
        <w:rPr>
          <w:color w:val="000000" w:themeColor="text1"/>
          <w:sz w:val="22"/>
          <w:szCs w:val="22"/>
        </w:rPr>
        <w:t>заний обвиняемых с выходом на место; устранение сомнений в подлинности подписей адвокатов в протоколах следственных де</w:t>
      </w:r>
      <w:r w:rsidRPr="00EC1A78">
        <w:rPr>
          <w:color w:val="000000" w:themeColor="text1"/>
          <w:sz w:val="22"/>
          <w:szCs w:val="22"/>
        </w:rPr>
        <w:t>й</w:t>
      </w:r>
      <w:r w:rsidRPr="00EC1A78">
        <w:rPr>
          <w:color w:val="000000" w:themeColor="text1"/>
          <w:sz w:val="22"/>
          <w:szCs w:val="22"/>
        </w:rPr>
        <w:t>ствий, выяснения позиции потерпевшего – юридического лица, гражданского истца по вопросам ущерба, причиненного преступл</w:t>
      </w:r>
      <w:r w:rsidRPr="00EC1A78">
        <w:rPr>
          <w:color w:val="000000" w:themeColor="text1"/>
          <w:sz w:val="22"/>
          <w:szCs w:val="22"/>
        </w:rPr>
        <w:t>е</w:t>
      </w:r>
      <w:r w:rsidRPr="00EC1A78">
        <w:rPr>
          <w:color w:val="000000" w:themeColor="text1"/>
          <w:sz w:val="22"/>
          <w:szCs w:val="22"/>
        </w:rPr>
        <w:t>нием доверителю и т.п., и что, якобы эти факты не составляют предмета адвокатской тайны. Кроме того, в адвокатские образов</w:t>
      </w:r>
      <w:r w:rsidRPr="00EC1A78">
        <w:rPr>
          <w:color w:val="000000" w:themeColor="text1"/>
          <w:sz w:val="22"/>
          <w:szCs w:val="22"/>
        </w:rPr>
        <w:t>а</w:t>
      </w:r>
      <w:r w:rsidRPr="00EC1A78">
        <w:rPr>
          <w:color w:val="000000" w:themeColor="text1"/>
          <w:sz w:val="22"/>
          <w:szCs w:val="22"/>
        </w:rPr>
        <w:t>ния поступают запросы правоохранительных органов о предоста</w:t>
      </w:r>
      <w:r w:rsidRPr="00EC1A78">
        <w:rPr>
          <w:color w:val="000000" w:themeColor="text1"/>
          <w:sz w:val="22"/>
          <w:szCs w:val="22"/>
        </w:rPr>
        <w:t>в</w:t>
      </w:r>
      <w:r w:rsidRPr="00EC1A78">
        <w:rPr>
          <w:color w:val="000000" w:themeColor="text1"/>
          <w:sz w:val="22"/>
          <w:szCs w:val="22"/>
        </w:rPr>
        <w:t>лении соглашений между доверителем и адвокатом, а также свед</w:t>
      </w:r>
      <w:r w:rsidRPr="00EC1A78">
        <w:rPr>
          <w:color w:val="000000" w:themeColor="text1"/>
          <w:sz w:val="22"/>
          <w:szCs w:val="22"/>
        </w:rPr>
        <w:t>е</w:t>
      </w:r>
      <w:r w:rsidRPr="00EC1A78">
        <w:rPr>
          <w:color w:val="000000" w:themeColor="text1"/>
          <w:sz w:val="22"/>
          <w:szCs w:val="22"/>
        </w:rPr>
        <w:t>ний об оплате услуг адвоката.</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Так, в соответствии с п.2 ст. 8 ФЗ «Об адвокатской деятельн</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сти и адвокатуре в РФ» закреплена запрещающая норма, в соотве</w:t>
      </w:r>
      <w:r w:rsidRPr="00EC1A78">
        <w:rPr>
          <w:rFonts w:eastAsiaTheme="minorHAnsi"/>
          <w:color w:val="000000" w:themeColor="text1"/>
          <w:sz w:val="22"/>
          <w:szCs w:val="22"/>
          <w:shd w:val="clear" w:color="auto" w:fill="FFFFFF"/>
          <w:lang w:eastAsia="en-US"/>
        </w:rPr>
        <w:t>т</w:t>
      </w:r>
      <w:r w:rsidRPr="00EC1A78">
        <w:rPr>
          <w:rFonts w:eastAsiaTheme="minorHAnsi"/>
          <w:color w:val="000000" w:themeColor="text1"/>
          <w:sz w:val="22"/>
          <w:szCs w:val="22"/>
          <w:shd w:val="clear" w:color="auto" w:fill="FFFFFF"/>
          <w:lang w:eastAsia="en-US"/>
        </w:rPr>
        <w:t>ствии с которой адвокат не может быть вызван на  допрос, в кач</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стве свидетеля об обстоятельствах,  которые ему стали  известны в связи с осуществлением своей профессиональной деятельности по конкретному делу. А все выше перечисленные доводы органов следствия и суда, касающиеся  необходимости допроса адвоката,  будут посягать на предмет адвокатской тайны, то есть противор</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чить требования</w:t>
      </w:r>
      <w:r w:rsidR="003A6F86">
        <w:rPr>
          <w:rFonts w:eastAsiaTheme="minorHAnsi"/>
          <w:color w:val="000000" w:themeColor="text1"/>
          <w:sz w:val="22"/>
          <w:szCs w:val="22"/>
          <w:shd w:val="clear" w:color="auto" w:fill="FFFFFF"/>
          <w:lang w:eastAsia="en-US"/>
        </w:rPr>
        <w:t xml:space="preserve">м законодательства, касающейся </w:t>
      </w:r>
      <w:r w:rsidRPr="00EC1A78">
        <w:rPr>
          <w:rFonts w:eastAsiaTheme="minorHAnsi"/>
          <w:color w:val="000000" w:themeColor="text1"/>
          <w:sz w:val="22"/>
          <w:szCs w:val="22"/>
          <w:shd w:val="clear" w:color="auto" w:fill="FFFFFF"/>
          <w:lang w:eastAsia="en-US"/>
        </w:rPr>
        <w:t>регулирования вышеупомянутого вопроса.</w:t>
      </w:r>
    </w:p>
    <w:p w:rsidR="00EC1A78" w:rsidRPr="00EC1A78" w:rsidRDefault="00EC1A78" w:rsidP="00EC1A78">
      <w:pPr>
        <w:shd w:val="clear" w:color="auto" w:fill="FFFFFF"/>
        <w:ind w:firstLine="426"/>
        <w:jc w:val="both"/>
        <w:rPr>
          <w:color w:val="000000" w:themeColor="text1"/>
          <w:sz w:val="22"/>
          <w:szCs w:val="22"/>
        </w:rPr>
      </w:pPr>
      <w:r w:rsidRPr="00EC1A78">
        <w:rPr>
          <w:rFonts w:eastAsiaTheme="minorHAnsi"/>
          <w:color w:val="000000" w:themeColor="text1"/>
          <w:sz w:val="22"/>
          <w:szCs w:val="22"/>
          <w:shd w:val="clear" w:color="auto" w:fill="FFFFFF"/>
          <w:lang w:eastAsia="en-US"/>
        </w:rPr>
        <w:t xml:space="preserve">Ведь в </w:t>
      </w:r>
      <w:r w:rsidRPr="00EC1A78">
        <w:rPr>
          <w:color w:val="000000" w:themeColor="text1"/>
          <w:sz w:val="22"/>
          <w:szCs w:val="22"/>
        </w:rPr>
        <w:t xml:space="preserve"> ст. 18 </w:t>
      </w:r>
      <w:r w:rsidRPr="00EC1A78">
        <w:rPr>
          <w:rFonts w:eastAsiaTheme="minorHAnsi"/>
          <w:color w:val="000000" w:themeColor="text1"/>
          <w:sz w:val="22"/>
          <w:szCs w:val="22"/>
          <w:shd w:val="clear" w:color="auto" w:fill="FFFFFF"/>
          <w:lang w:eastAsia="en-US"/>
        </w:rPr>
        <w:t>ФЗ «Об адвокатской деятельности и адвокатуре в РФ»</w:t>
      </w:r>
      <w:r w:rsidRPr="00EC1A78">
        <w:rPr>
          <w:color w:val="000000" w:themeColor="text1"/>
          <w:sz w:val="22"/>
          <w:szCs w:val="22"/>
        </w:rPr>
        <w:t xml:space="preserve"> закреплена императивная норма, которая запрещает истреб</w:t>
      </w:r>
      <w:r w:rsidRPr="00EC1A78">
        <w:rPr>
          <w:color w:val="000000" w:themeColor="text1"/>
          <w:sz w:val="22"/>
          <w:szCs w:val="22"/>
        </w:rPr>
        <w:t>о</w:t>
      </w:r>
      <w:r w:rsidRPr="00EC1A78">
        <w:rPr>
          <w:color w:val="000000" w:themeColor="text1"/>
          <w:sz w:val="22"/>
          <w:szCs w:val="22"/>
        </w:rPr>
        <w:t>вать от адвокатов, а также от работников  различных адвокатских образований, сведения, связанные с оказанием юридической пом</w:t>
      </w:r>
      <w:r w:rsidRPr="00EC1A78">
        <w:rPr>
          <w:color w:val="000000" w:themeColor="text1"/>
          <w:sz w:val="22"/>
          <w:szCs w:val="22"/>
        </w:rPr>
        <w:t>о</w:t>
      </w:r>
      <w:r w:rsidRPr="00EC1A78">
        <w:rPr>
          <w:color w:val="000000" w:themeColor="text1"/>
          <w:sz w:val="22"/>
          <w:szCs w:val="22"/>
        </w:rPr>
        <w:t xml:space="preserve">щи по конкретным делам. Обязанность исполнения указанных норм действующего закона вытекает из определения Конституционного </w:t>
      </w:r>
      <w:r w:rsidRPr="00EC1A78">
        <w:rPr>
          <w:color w:val="000000" w:themeColor="text1"/>
          <w:sz w:val="22"/>
          <w:szCs w:val="22"/>
        </w:rPr>
        <w:lastRenderedPageBreak/>
        <w:t>Суда РФ от 6.07.2000 г. № 128–0 [1], Международного пакта о гражданских и политических правах, Основных принципов, каса</w:t>
      </w:r>
      <w:r w:rsidRPr="00EC1A78">
        <w:rPr>
          <w:color w:val="000000" w:themeColor="text1"/>
          <w:sz w:val="22"/>
          <w:szCs w:val="22"/>
        </w:rPr>
        <w:t>ю</w:t>
      </w:r>
      <w:r w:rsidRPr="00EC1A78">
        <w:rPr>
          <w:color w:val="000000" w:themeColor="text1"/>
          <w:sz w:val="22"/>
          <w:szCs w:val="22"/>
        </w:rPr>
        <w:t>щихся роли юристов. Так же следует акцентировать внимание на том, что в соответствии с решением Совета Федеральной палаты адвокатов РФ от 10.12.2003 г. было  разъяснено, что «сам факт о</w:t>
      </w:r>
      <w:r w:rsidRPr="00EC1A78">
        <w:rPr>
          <w:color w:val="000000" w:themeColor="text1"/>
          <w:sz w:val="22"/>
          <w:szCs w:val="22"/>
        </w:rPr>
        <w:t>б</w:t>
      </w:r>
      <w:r w:rsidRPr="00EC1A78">
        <w:rPr>
          <w:color w:val="000000" w:themeColor="text1"/>
          <w:sz w:val="22"/>
          <w:szCs w:val="22"/>
        </w:rPr>
        <w:t>ращения доверителя к адвокату, характер и содержание оказанной ему юридической помощи является предметом адвокатской та</w:t>
      </w:r>
      <w:r w:rsidRPr="00EC1A78">
        <w:rPr>
          <w:color w:val="000000" w:themeColor="text1"/>
          <w:sz w:val="22"/>
          <w:szCs w:val="22"/>
        </w:rPr>
        <w:t>й</w:t>
      </w:r>
      <w:r w:rsidRPr="00EC1A78">
        <w:rPr>
          <w:color w:val="000000" w:themeColor="text1"/>
          <w:sz w:val="22"/>
          <w:szCs w:val="22"/>
        </w:rPr>
        <w:t xml:space="preserve">ны»[4]. </w:t>
      </w:r>
    </w:p>
    <w:p w:rsidR="00EC1A78" w:rsidRPr="00EC1A78" w:rsidRDefault="00EC1A78" w:rsidP="00EC1A78">
      <w:pPr>
        <w:shd w:val="clear" w:color="auto" w:fill="FFFFFF"/>
        <w:ind w:firstLine="426"/>
        <w:jc w:val="both"/>
        <w:rPr>
          <w:color w:val="000000" w:themeColor="text1"/>
          <w:sz w:val="22"/>
          <w:szCs w:val="22"/>
        </w:rPr>
      </w:pPr>
      <w:r w:rsidRPr="00EC1A78">
        <w:rPr>
          <w:color w:val="000000" w:themeColor="text1"/>
          <w:sz w:val="22"/>
          <w:szCs w:val="22"/>
        </w:rPr>
        <w:t>Таким образом, мы можем сделать вывод о том, что деятел</w:t>
      </w:r>
      <w:r w:rsidRPr="00EC1A78">
        <w:rPr>
          <w:color w:val="000000" w:themeColor="text1"/>
          <w:sz w:val="22"/>
          <w:szCs w:val="22"/>
        </w:rPr>
        <w:t>ь</w:t>
      </w:r>
      <w:r w:rsidRPr="00EC1A78">
        <w:rPr>
          <w:color w:val="000000" w:themeColor="text1"/>
          <w:sz w:val="22"/>
          <w:szCs w:val="22"/>
        </w:rPr>
        <w:t>ность органов следствия и дознания, связанная с привлечением а</w:t>
      </w:r>
      <w:r w:rsidRPr="00EC1A78">
        <w:rPr>
          <w:color w:val="000000" w:themeColor="text1"/>
          <w:sz w:val="22"/>
          <w:szCs w:val="22"/>
        </w:rPr>
        <w:t>д</w:t>
      </w:r>
      <w:r w:rsidRPr="00EC1A78">
        <w:rPr>
          <w:color w:val="000000" w:themeColor="text1"/>
          <w:sz w:val="22"/>
          <w:szCs w:val="22"/>
        </w:rPr>
        <w:t xml:space="preserve">воката в качестве свидетеля по  делу, в котором данный субъект выступает в роли защитника, является не законным, и могут лишь проводиться </w:t>
      </w:r>
      <w:r w:rsidRPr="00EC1A78">
        <w:rPr>
          <w:rFonts w:eastAsiaTheme="minorHAnsi"/>
          <w:color w:val="000000" w:themeColor="text1"/>
          <w:spacing w:val="3"/>
          <w:sz w:val="22"/>
          <w:szCs w:val="22"/>
          <w:lang w:eastAsia="en-US"/>
        </w:rPr>
        <w:t>по ходатайству стороны защиты</w:t>
      </w:r>
      <w:r w:rsidRPr="00EC1A78">
        <w:rPr>
          <w:color w:val="000000" w:themeColor="text1"/>
          <w:sz w:val="22"/>
          <w:szCs w:val="22"/>
        </w:rPr>
        <w:t xml:space="preserve"> с согласия самого адвоката  в соответствии с </w:t>
      </w:r>
      <w:r w:rsidRPr="00EC1A78">
        <w:rPr>
          <w:rFonts w:eastAsiaTheme="minorHAnsi"/>
          <w:color w:val="000000" w:themeColor="text1"/>
          <w:spacing w:val="3"/>
          <w:sz w:val="22"/>
          <w:szCs w:val="22"/>
          <w:lang w:eastAsia="en-US"/>
        </w:rPr>
        <w:t>п. 2 ч. 3 ст. 56 УПК РФ.</w:t>
      </w:r>
    </w:p>
    <w:p w:rsidR="00EC1A78" w:rsidRPr="00EC1A78" w:rsidRDefault="00EC1A78" w:rsidP="00EC1A78">
      <w:pPr>
        <w:ind w:firstLine="708"/>
        <w:jc w:val="both"/>
        <w:rPr>
          <w:rFonts w:eastAsiaTheme="minorHAnsi"/>
          <w:color w:val="000000" w:themeColor="text1"/>
          <w:sz w:val="22"/>
          <w:szCs w:val="22"/>
          <w:shd w:val="clear" w:color="auto" w:fill="FFFFFF"/>
          <w:lang w:eastAsia="en-US"/>
        </w:rPr>
      </w:pPr>
    </w:p>
    <w:p w:rsidR="00EC1A78" w:rsidRPr="00EC1A78" w:rsidRDefault="00EC1A78" w:rsidP="00EC1A78">
      <w:pPr>
        <w:jc w:val="center"/>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Список литературы</w:t>
      </w:r>
    </w:p>
    <w:p w:rsidR="00EC1A78" w:rsidRPr="00EC1A78" w:rsidRDefault="00EC1A78" w:rsidP="00EC1A78">
      <w:pPr>
        <w:shd w:val="clear" w:color="auto" w:fill="FFFFFF"/>
        <w:ind w:firstLine="426"/>
        <w:rPr>
          <w:bCs/>
          <w:color w:val="000000" w:themeColor="text1"/>
          <w:sz w:val="22"/>
          <w:szCs w:val="22"/>
        </w:rPr>
      </w:pPr>
      <w:r w:rsidRPr="00EC1A78">
        <w:rPr>
          <w:bCs/>
          <w:color w:val="000000" w:themeColor="text1"/>
          <w:sz w:val="22"/>
          <w:szCs w:val="22"/>
        </w:rPr>
        <w:t>1. Определение Конституционного суда от 6 июля 2000 г. No. 128–0 по жалобе гражданина Паршуткина Виктора Васильевича.</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bCs/>
          <w:color w:val="000000" w:themeColor="text1"/>
          <w:sz w:val="22"/>
          <w:szCs w:val="22"/>
          <w:shd w:val="clear" w:color="auto" w:fill="FFFFFF"/>
          <w:lang w:eastAsia="en-US"/>
        </w:rPr>
        <w:t>2. Кодекс профессиональной этики адвоката (принят первым Всероссийским съездом адвокатов 31 января 2003 г.) (с изменени</w:t>
      </w:r>
      <w:r w:rsidRPr="00EC1A78">
        <w:rPr>
          <w:rFonts w:eastAsiaTheme="minorHAnsi"/>
          <w:bCs/>
          <w:color w:val="000000" w:themeColor="text1"/>
          <w:sz w:val="22"/>
          <w:szCs w:val="22"/>
          <w:shd w:val="clear" w:color="auto" w:fill="FFFFFF"/>
          <w:lang w:eastAsia="en-US"/>
        </w:rPr>
        <w:t>я</w:t>
      </w:r>
      <w:r w:rsidRPr="00EC1A78">
        <w:rPr>
          <w:rFonts w:eastAsiaTheme="minorHAnsi"/>
          <w:bCs/>
          <w:color w:val="000000" w:themeColor="text1"/>
          <w:sz w:val="22"/>
          <w:szCs w:val="22"/>
          <w:shd w:val="clear" w:color="auto" w:fill="FFFFFF"/>
          <w:lang w:eastAsia="en-US"/>
        </w:rPr>
        <w:t>ми и дополнениями, утвержденными шестым Всероссийским съе</w:t>
      </w:r>
      <w:r w:rsidRPr="00EC1A78">
        <w:rPr>
          <w:rFonts w:eastAsiaTheme="minorHAnsi"/>
          <w:bCs/>
          <w:color w:val="000000" w:themeColor="text1"/>
          <w:sz w:val="22"/>
          <w:szCs w:val="22"/>
          <w:shd w:val="clear" w:color="auto" w:fill="FFFFFF"/>
          <w:lang w:eastAsia="en-US"/>
        </w:rPr>
        <w:t>з</w:t>
      </w:r>
      <w:r w:rsidRPr="00EC1A78">
        <w:rPr>
          <w:rFonts w:eastAsiaTheme="minorHAnsi"/>
          <w:bCs/>
          <w:color w:val="000000" w:themeColor="text1"/>
          <w:sz w:val="22"/>
          <w:szCs w:val="22"/>
          <w:shd w:val="clear" w:color="auto" w:fill="FFFFFF"/>
          <w:lang w:eastAsia="en-US"/>
        </w:rPr>
        <w:t>дом адвокатов 22 апреля 2013 г.).</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bCs/>
          <w:color w:val="000000" w:themeColor="text1"/>
          <w:sz w:val="22"/>
          <w:szCs w:val="22"/>
        </w:rPr>
        <w:t>3. Разъяснение Совета Адвокатской палаты Камчатского края</w:t>
      </w:r>
      <w:r w:rsidRPr="00EC1A78">
        <w:rPr>
          <w:color w:val="000000" w:themeColor="text1"/>
          <w:sz w:val="22"/>
          <w:szCs w:val="22"/>
        </w:rPr>
        <w:t xml:space="preserve"> </w:t>
      </w:r>
      <w:r w:rsidRPr="00EC1A78">
        <w:rPr>
          <w:bCs/>
          <w:color w:val="000000" w:themeColor="text1"/>
          <w:sz w:val="22"/>
          <w:szCs w:val="22"/>
        </w:rPr>
        <w:t>по вопросам, связанным с вызовом адвокатов для допроса в кач</w:t>
      </w:r>
      <w:r w:rsidRPr="00EC1A78">
        <w:rPr>
          <w:bCs/>
          <w:color w:val="000000" w:themeColor="text1"/>
          <w:sz w:val="22"/>
          <w:szCs w:val="22"/>
        </w:rPr>
        <w:t>е</w:t>
      </w:r>
      <w:r w:rsidRPr="00EC1A78">
        <w:rPr>
          <w:bCs/>
          <w:color w:val="000000" w:themeColor="text1"/>
          <w:sz w:val="22"/>
          <w:szCs w:val="22"/>
        </w:rPr>
        <w:t>стве свидетелей по уголовным делам</w:t>
      </w:r>
      <w:r w:rsidRPr="00EC1A78">
        <w:rPr>
          <w:color w:val="000000" w:themeColor="text1"/>
          <w:sz w:val="22"/>
          <w:szCs w:val="22"/>
        </w:rPr>
        <w:t xml:space="preserve"> </w:t>
      </w:r>
      <w:r w:rsidRPr="00EC1A78">
        <w:rPr>
          <w:bCs/>
          <w:color w:val="000000" w:themeColor="text1"/>
          <w:sz w:val="22"/>
          <w:szCs w:val="22"/>
        </w:rPr>
        <w:t>«22» апреля 2009 года</w:t>
      </w:r>
      <w:r w:rsidRPr="00EC1A78">
        <w:rPr>
          <w:color w:val="000000" w:themeColor="text1"/>
          <w:sz w:val="22"/>
          <w:szCs w:val="22"/>
        </w:rPr>
        <w:t xml:space="preserve"> </w:t>
      </w:r>
      <w:r w:rsidRPr="00EC1A78">
        <w:rPr>
          <w:bCs/>
          <w:color w:val="000000" w:themeColor="text1"/>
          <w:sz w:val="22"/>
          <w:szCs w:val="22"/>
        </w:rPr>
        <w:t>г. Пе</w:t>
      </w:r>
      <w:r w:rsidRPr="00EC1A78">
        <w:rPr>
          <w:bCs/>
          <w:color w:val="000000" w:themeColor="text1"/>
          <w:sz w:val="22"/>
          <w:szCs w:val="22"/>
        </w:rPr>
        <w:t>т</w:t>
      </w:r>
      <w:r w:rsidRPr="00EC1A78">
        <w:rPr>
          <w:bCs/>
          <w:color w:val="000000" w:themeColor="text1"/>
          <w:sz w:val="22"/>
          <w:szCs w:val="22"/>
        </w:rPr>
        <w:t>ропавловск–Камчатский.</w:t>
      </w:r>
    </w:p>
    <w:p w:rsidR="00EC1A78" w:rsidRPr="00EC1A78" w:rsidRDefault="00EC1A78" w:rsidP="00EC1A78">
      <w:pPr>
        <w:ind w:firstLine="426"/>
        <w:jc w:val="both"/>
        <w:rPr>
          <w:rFonts w:eastAsiaTheme="minorHAnsi"/>
          <w:sz w:val="22"/>
          <w:szCs w:val="22"/>
          <w:lang w:eastAsia="en-US"/>
        </w:rPr>
      </w:pPr>
      <w:r w:rsidRPr="00EC1A78">
        <w:rPr>
          <w:rFonts w:eastAsiaTheme="minorHAnsi"/>
          <w:bCs/>
          <w:color w:val="000000" w:themeColor="text1"/>
          <w:sz w:val="22"/>
          <w:szCs w:val="22"/>
          <w:shd w:val="clear" w:color="auto" w:fill="FFFFFF"/>
          <w:lang w:eastAsia="en-US"/>
        </w:rPr>
        <w:t>4. Решение Совета Федеральной палаты адвокатов РФ от 10 д</w:t>
      </w:r>
      <w:r w:rsidRPr="00EC1A78">
        <w:rPr>
          <w:rFonts w:eastAsiaTheme="minorHAnsi"/>
          <w:bCs/>
          <w:color w:val="000000" w:themeColor="text1"/>
          <w:sz w:val="22"/>
          <w:szCs w:val="22"/>
          <w:shd w:val="clear" w:color="auto" w:fill="FFFFFF"/>
          <w:lang w:eastAsia="en-US"/>
        </w:rPr>
        <w:t>е</w:t>
      </w:r>
      <w:r w:rsidRPr="00EC1A78">
        <w:rPr>
          <w:rFonts w:eastAsiaTheme="minorHAnsi"/>
          <w:bCs/>
          <w:color w:val="000000" w:themeColor="text1"/>
          <w:sz w:val="22"/>
          <w:szCs w:val="22"/>
          <w:shd w:val="clear" w:color="auto" w:fill="FFFFFF"/>
          <w:lang w:eastAsia="en-US"/>
        </w:rPr>
        <w:t>кабря 2003 г. (протокол N 4).</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Default="00AB6A0E" w:rsidP="00EC1A78">
      <w:pPr>
        <w:jc w:val="both"/>
        <w:rPr>
          <w:rFonts w:eastAsiaTheme="minorHAnsi"/>
          <w:sz w:val="22"/>
          <w:szCs w:val="22"/>
          <w:lang w:eastAsia="en-US"/>
        </w:rPr>
      </w:pPr>
    </w:p>
    <w:p w:rsidR="00AB6A0E" w:rsidRPr="00EC1A78" w:rsidRDefault="00AB6A0E"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343.43</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Институт понятых </w:t>
      </w:r>
      <w:r w:rsidRPr="00EC1A78">
        <w:rPr>
          <w:rFonts w:eastAsia="Calibri"/>
          <w:b/>
          <w:sz w:val="24"/>
          <w:szCs w:val="24"/>
          <w:lang w:eastAsia="en-US"/>
        </w:rPr>
        <w:t>в уголовном процессе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Institute of witnesses in criminal procedure</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Васильев И.</w:t>
      </w:r>
      <w:r w:rsidR="003A6F86">
        <w:rPr>
          <w:rFonts w:eastAsiaTheme="minorHAnsi"/>
          <w:sz w:val="22"/>
          <w:szCs w:val="22"/>
          <w:lang w:eastAsia="en-US"/>
        </w:rPr>
        <w:t xml:space="preserve"> </w:t>
      </w:r>
      <w:r w:rsidRPr="00EC1A78">
        <w:rPr>
          <w:rFonts w:eastAsiaTheme="minorHAnsi"/>
          <w:sz w:val="22"/>
          <w:szCs w:val="22"/>
          <w:lang w:eastAsia="en-US"/>
        </w:rPr>
        <w:t>А.,</w:t>
      </w:r>
    </w:p>
    <w:p w:rsidR="003A6F86"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 юридического факультета</w:t>
      </w:r>
    </w:p>
    <w:p w:rsidR="00EC1A78" w:rsidRPr="003A6F86" w:rsidRDefault="00EC1A78" w:rsidP="00EC1A78">
      <w:pPr>
        <w:jc w:val="right"/>
        <w:rPr>
          <w:rFonts w:eastAsiaTheme="minorHAnsi"/>
          <w:sz w:val="22"/>
          <w:szCs w:val="22"/>
          <w:lang w:eastAsia="en-US"/>
        </w:rPr>
      </w:pPr>
      <w:r w:rsidRPr="003A6F86">
        <w:rPr>
          <w:rFonts w:eastAsiaTheme="minorHAnsi"/>
          <w:sz w:val="22"/>
          <w:szCs w:val="22"/>
          <w:lang w:eastAsia="en-US"/>
        </w:rPr>
        <w:t xml:space="preserve">Кубанский государственный аграрный </w:t>
      </w:r>
    </w:p>
    <w:p w:rsidR="00EC1A78" w:rsidRPr="003A6F86" w:rsidRDefault="00EC1A78" w:rsidP="00EC1A78">
      <w:pPr>
        <w:jc w:val="right"/>
        <w:rPr>
          <w:rFonts w:eastAsiaTheme="minorHAnsi"/>
          <w:sz w:val="22"/>
          <w:szCs w:val="22"/>
          <w:lang w:eastAsia="en-US"/>
        </w:rPr>
      </w:pPr>
      <w:r w:rsidRPr="003A6F86">
        <w:rPr>
          <w:rFonts w:eastAsiaTheme="minorHAnsi"/>
          <w:sz w:val="22"/>
          <w:szCs w:val="22"/>
          <w:lang w:eastAsia="en-US"/>
        </w:rPr>
        <w:t>у</w:t>
      </w:r>
      <w:r w:rsidR="003A6F86">
        <w:rPr>
          <w:rFonts w:eastAsiaTheme="minorHAnsi"/>
          <w:sz w:val="22"/>
          <w:szCs w:val="22"/>
          <w:lang w:eastAsia="en-US"/>
        </w:rPr>
        <w:t>ниверситет имени И. 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АННОТАЦИЯ: Статья посвящена понятию понятых, истории и проблемам данного института в уголовном процессе.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 w:eastAsia="en-US"/>
        </w:rPr>
        <w:t>ABSTRACT</w:t>
      </w:r>
      <w:r w:rsidRPr="00EC1A78">
        <w:rPr>
          <w:rFonts w:eastAsiaTheme="minorHAnsi"/>
          <w:sz w:val="22"/>
          <w:szCs w:val="22"/>
          <w:lang w:val="en-US" w:eastAsia="en-US"/>
        </w:rPr>
        <w:t>: The article is devoted to the concept of witnesses, hi</w:t>
      </w:r>
      <w:r w:rsidRPr="00EC1A78">
        <w:rPr>
          <w:rFonts w:eastAsiaTheme="minorHAnsi"/>
          <w:sz w:val="22"/>
          <w:szCs w:val="22"/>
          <w:lang w:val="en-US" w:eastAsia="en-US"/>
        </w:rPr>
        <w:t>s</w:t>
      </w:r>
      <w:r w:rsidRPr="00EC1A78">
        <w:rPr>
          <w:rFonts w:eastAsiaTheme="minorHAnsi"/>
          <w:sz w:val="22"/>
          <w:szCs w:val="22"/>
          <w:lang w:val="en-US" w:eastAsia="en-US"/>
        </w:rPr>
        <w:t>tory and problems of the institution in criminal procedure.</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понятые, обязанности понятых, сле</w:t>
      </w:r>
      <w:r w:rsidRPr="00EC1A78">
        <w:rPr>
          <w:rFonts w:eastAsiaTheme="minorHAnsi"/>
          <w:sz w:val="22"/>
          <w:szCs w:val="22"/>
          <w:lang w:eastAsia="en-US"/>
        </w:rPr>
        <w:t>д</w:t>
      </w:r>
      <w:r w:rsidRPr="00EC1A78">
        <w:rPr>
          <w:rFonts w:eastAsiaTheme="minorHAnsi"/>
          <w:sz w:val="22"/>
          <w:szCs w:val="22"/>
          <w:lang w:eastAsia="en-US"/>
        </w:rPr>
        <w:t>ственные действия, фиксация технических средств, предварител</w:t>
      </w:r>
      <w:r w:rsidRPr="00EC1A78">
        <w:rPr>
          <w:rFonts w:eastAsiaTheme="minorHAnsi"/>
          <w:sz w:val="22"/>
          <w:szCs w:val="22"/>
          <w:lang w:eastAsia="en-US"/>
        </w:rPr>
        <w:t>ь</w:t>
      </w:r>
      <w:r w:rsidRPr="00EC1A78">
        <w:rPr>
          <w:rFonts w:eastAsiaTheme="minorHAnsi"/>
          <w:sz w:val="22"/>
          <w:szCs w:val="22"/>
          <w:lang w:eastAsia="en-US"/>
        </w:rPr>
        <w:t>ное расследование.</w:t>
      </w:r>
    </w:p>
    <w:p w:rsidR="00EC1A78" w:rsidRPr="00EC1A78" w:rsidRDefault="00EC1A78" w:rsidP="00EC1A78">
      <w:pPr>
        <w:ind w:firstLine="426"/>
        <w:jc w:val="both"/>
        <w:rPr>
          <w:rFonts w:eastAsiaTheme="minorHAnsi"/>
          <w:sz w:val="22"/>
          <w:szCs w:val="22"/>
          <w:lang w:val="en" w:eastAsia="en-US"/>
        </w:rPr>
      </w:pPr>
      <w:r w:rsidRPr="00EC1A78">
        <w:rPr>
          <w:rFonts w:eastAsiaTheme="minorHAnsi"/>
          <w:sz w:val="22"/>
          <w:szCs w:val="22"/>
          <w:lang w:val="en" w:eastAsia="en-US"/>
        </w:rPr>
        <w:t>KEYWORDS:</w:t>
      </w:r>
      <w:r w:rsidRPr="00EC1A78">
        <w:rPr>
          <w:rFonts w:eastAsiaTheme="minorHAnsi"/>
          <w:sz w:val="22"/>
          <w:szCs w:val="22"/>
          <w:lang w:val="en-US" w:eastAsia="en-US"/>
        </w:rPr>
        <w:t xml:space="preserve"> </w:t>
      </w:r>
      <w:r w:rsidRPr="00EC1A78">
        <w:rPr>
          <w:rFonts w:eastAsiaTheme="minorHAnsi"/>
          <w:sz w:val="22"/>
          <w:szCs w:val="22"/>
          <w:lang w:val="en" w:eastAsia="en-US"/>
        </w:rPr>
        <w:t>witnesses, duties of witnesses, investigative actions, fixation of technical means, preliminary investigation</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Понятые являются специфичными участниками уголовного процесса. Их особенностью является то что они как участники уг</w:t>
      </w:r>
      <w:r w:rsidRPr="00EC1A78">
        <w:rPr>
          <w:rFonts w:eastAsiaTheme="minorHAnsi"/>
          <w:sz w:val="22"/>
          <w:szCs w:val="22"/>
          <w:lang w:eastAsia="en-US"/>
        </w:rPr>
        <w:t>о</w:t>
      </w:r>
      <w:r w:rsidRPr="00EC1A78">
        <w:rPr>
          <w:rFonts w:eastAsiaTheme="minorHAnsi"/>
          <w:sz w:val="22"/>
          <w:szCs w:val="22"/>
          <w:lang w:eastAsia="en-US"/>
        </w:rPr>
        <w:t>ловного процесса закреплены в законодательстве стран СНГ.В з</w:t>
      </w:r>
      <w:r w:rsidRPr="00EC1A78">
        <w:rPr>
          <w:rFonts w:eastAsiaTheme="minorHAnsi"/>
          <w:sz w:val="22"/>
          <w:szCs w:val="22"/>
          <w:lang w:eastAsia="en-US"/>
        </w:rPr>
        <w:t>а</w:t>
      </w:r>
      <w:r w:rsidRPr="00EC1A78">
        <w:rPr>
          <w:rFonts w:eastAsiaTheme="minorHAnsi"/>
          <w:sz w:val="22"/>
          <w:szCs w:val="22"/>
          <w:lang w:eastAsia="en-US"/>
        </w:rPr>
        <w:t>падных странах и странах Азии понятые и лица, выполняющие схожие с ними действия, отсутствуют.</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Понятой – не заинтересованное в исходе уголовного дела лицо, привлекаемое дознавателем, следователем для удостоверения факта производства следственного действия, а также содержания, хода и результатов следственного действия</w:t>
      </w:r>
      <w:r w:rsidR="005B6CDF">
        <w:rPr>
          <w:rFonts w:eastAsiaTheme="minorHAnsi"/>
          <w:sz w:val="22"/>
          <w:szCs w:val="22"/>
          <w:lang w:eastAsia="en-US"/>
        </w:rPr>
        <w:t xml:space="preserve"> </w:t>
      </w:r>
      <w:r w:rsidRPr="00EC1A78">
        <w:rPr>
          <w:rFonts w:eastAsiaTheme="minorHAnsi"/>
          <w:sz w:val="22"/>
          <w:szCs w:val="22"/>
          <w:lang w:eastAsia="en-US"/>
        </w:rPr>
        <w:t>[1]</w:t>
      </w:r>
      <w:r w:rsidR="005B6CDF">
        <w:rPr>
          <w:rFonts w:eastAsiaTheme="minorHAnsi"/>
          <w:sz w:val="22"/>
          <w:szCs w:val="22"/>
          <w:lang w:eastAsia="en-US"/>
        </w:rPr>
        <w:t>.</w:t>
      </w:r>
      <w:r w:rsidRPr="00EC1A78">
        <w:rPr>
          <w:rFonts w:eastAsiaTheme="minorHAnsi"/>
          <w:sz w:val="22"/>
          <w:szCs w:val="22"/>
          <w:lang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2002 году был введен Уголовно Процессуальный кодекс РФ, в котором четко определялось понятие понятых. Помимо определ</w:t>
      </w:r>
      <w:r w:rsidRPr="00EC1A78">
        <w:rPr>
          <w:rFonts w:eastAsiaTheme="minorHAnsi"/>
          <w:sz w:val="22"/>
          <w:szCs w:val="22"/>
          <w:lang w:eastAsia="en-US"/>
        </w:rPr>
        <w:t>е</w:t>
      </w:r>
      <w:r w:rsidRPr="00EC1A78">
        <w:rPr>
          <w:rFonts w:eastAsiaTheme="minorHAnsi"/>
          <w:sz w:val="22"/>
          <w:szCs w:val="22"/>
          <w:lang w:eastAsia="en-US"/>
        </w:rPr>
        <w:t xml:space="preserve">ния понятого были даны их обязанности, также указан список лиц, которые не могут быть понятыми, перечень следственных действий, в которых могут учувствовать понятые.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Одной из проблем данного института является возможность выяснения личного отношения рассматриваемого участника к делу. Личная заинтересованность понятого в результатах производства по уголовному делу может быть выяснена путем собеседования с да</w:t>
      </w:r>
      <w:r w:rsidRPr="00EC1A78">
        <w:rPr>
          <w:rFonts w:eastAsiaTheme="minorHAnsi"/>
          <w:sz w:val="22"/>
          <w:szCs w:val="22"/>
          <w:lang w:eastAsia="en-US"/>
        </w:rPr>
        <w:t>н</w:t>
      </w:r>
      <w:r w:rsidRPr="00EC1A78">
        <w:rPr>
          <w:rFonts w:eastAsiaTheme="minorHAnsi"/>
          <w:sz w:val="22"/>
          <w:szCs w:val="22"/>
          <w:lang w:eastAsia="en-US"/>
        </w:rPr>
        <w:lastRenderedPageBreak/>
        <w:t>ным лицом, наведения о нем справок и иными способами, которые позволяют убедиться в его объективности и беспристрастности. В случае доказательства заинтересованности понятого в исходе уг</w:t>
      </w:r>
      <w:r w:rsidRPr="00EC1A78">
        <w:rPr>
          <w:rFonts w:eastAsiaTheme="minorHAnsi"/>
          <w:sz w:val="22"/>
          <w:szCs w:val="22"/>
          <w:lang w:eastAsia="en-US"/>
        </w:rPr>
        <w:t>о</w:t>
      </w:r>
      <w:r w:rsidRPr="00EC1A78">
        <w:rPr>
          <w:rFonts w:eastAsiaTheme="minorHAnsi"/>
          <w:sz w:val="22"/>
          <w:szCs w:val="22"/>
          <w:lang w:eastAsia="en-US"/>
        </w:rPr>
        <w:t xml:space="preserve">ловного дела, согласно статье 75 УК РФ, достоверность результатов следственного действия, проведенного с его участием, ставится под сомнение, а доказательства признаются недопустимыми. Ярким примером является </w:t>
      </w:r>
      <w:r w:rsidRPr="00EC1A78">
        <w:rPr>
          <w:rFonts w:eastAsiaTheme="minorHAnsi"/>
          <w:bCs/>
          <w:sz w:val="22"/>
          <w:szCs w:val="22"/>
          <w:lang w:eastAsia="en-US"/>
        </w:rPr>
        <w:t>уголовное дело, в ходе которого была выяснена одна интересная деталь по поводу понятых.</w:t>
      </w:r>
      <w:r w:rsidRPr="00EC1A78">
        <w:rPr>
          <w:rFonts w:eastAsiaTheme="minorHAnsi"/>
          <w:sz w:val="22"/>
          <w:szCs w:val="22"/>
          <w:lang w:eastAsia="en-US"/>
        </w:rPr>
        <w:t> Во время предвар</w:t>
      </w:r>
      <w:r w:rsidRPr="00EC1A78">
        <w:rPr>
          <w:rFonts w:eastAsiaTheme="minorHAnsi"/>
          <w:sz w:val="22"/>
          <w:szCs w:val="22"/>
          <w:lang w:eastAsia="en-US"/>
        </w:rPr>
        <w:t>и</w:t>
      </w:r>
      <w:r w:rsidRPr="00EC1A78">
        <w:rPr>
          <w:rFonts w:eastAsiaTheme="minorHAnsi"/>
          <w:sz w:val="22"/>
          <w:szCs w:val="22"/>
          <w:lang w:eastAsia="en-US"/>
        </w:rPr>
        <w:t>тельного расследования было выявлено, что данные лица были п</w:t>
      </w:r>
      <w:r w:rsidRPr="00EC1A78">
        <w:rPr>
          <w:rFonts w:eastAsiaTheme="minorHAnsi"/>
          <w:sz w:val="22"/>
          <w:szCs w:val="22"/>
          <w:lang w:eastAsia="en-US"/>
        </w:rPr>
        <w:t>о</w:t>
      </w:r>
      <w:r w:rsidRPr="00EC1A78">
        <w:rPr>
          <w:rFonts w:eastAsiaTheme="minorHAnsi"/>
          <w:sz w:val="22"/>
          <w:szCs w:val="22"/>
          <w:lang w:eastAsia="en-US"/>
        </w:rPr>
        <w:t>стоянными участниками следственных действий, и в совокупности они проходили в делах в качестве понятых 43 раза. В ходе судебн</w:t>
      </w:r>
      <w:r w:rsidRPr="00EC1A78">
        <w:rPr>
          <w:rFonts w:eastAsiaTheme="minorHAnsi"/>
          <w:sz w:val="22"/>
          <w:szCs w:val="22"/>
          <w:lang w:eastAsia="en-US"/>
        </w:rPr>
        <w:t>о</w:t>
      </w:r>
      <w:r w:rsidRPr="00EC1A78">
        <w:rPr>
          <w:rFonts w:eastAsiaTheme="minorHAnsi"/>
          <w:sz w:val="22"/>
          <w:szCs w:val="22"/>
          <w:lang w:eastAsia="en-US"/>
        </w:rPr>
        <w:t>го процесса доказательства получение в ходе дела были признаны недействительными[2].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Как показывает практика, реальной пользы участие понятых в следственных действиях не приносит. А бывают совсем печальные примеры, когда во время осмотра места происшествия понятыми оказываются преступники, которые получают возможность замести следы преступления. Также большой проблемой является незаинт</w:t>
      </w:r>
      <w:r w:rsidRPr="00EC1A78">
        <w:rPr>
          <w:rFonts w:eastAsiaTheme="minorHAnsi"/>
          <w:sz w:val="22"/>
          <w:szCs w:val="22"/>
          <w:lang w:eastAsia="en-US"/>
        </w:rPr>
        <w:t>е</w:t>
      </w:r>
      <w:r w:rsidRPr="00EC1A78">
        <w:rPr>
          <w:rFonts w:eastAsiaTheme="minorHAnsi"/>
          <w:sz w:val="22"/>
          <w:szCs w:val="22"/>
          <w:lang w:eastAsia="en-US"/>
        </w:rPr>
        <w:t>ресованность понятых в деле, что  способствует формальному о</w:t>
      </w:r>
      <w:r w:rsidRPr="00EC1A78">
        <w:rPr>
          <w:rFonts w:eastAsiaTheme="minorHAnsi"/>
          <w:sz w:val="22"/>
          <w:szCs w:val="22"/>
          <w:lang w:eastAsia="en-US"/>
        </w:rPr>
        <w:t>т</w:t>
      </w:r>
      <w:r w:rsidRPr="00EC1A78">
        <w:rPr>
          <w:rFonts w:eastAsiaTheme="minorHAnsi"/>
          <w:sz w:val="22"/>
          <w:szCs w:val="22"/>
          <w:lang w:eastAsia="en-US"/>
        </w:rPr>
        <w:t>ношению человека к своим обязанностям. Такой  понятой может лишь подтвердить факт своего присутствия во время следственных действий, но не более того [3].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Привлекать понятых необходимо лишь в тех случаях, когда з</w:t>
      </w:r>
      <w:r w:rsidRPr="00EC1A78">
        <w:rPr>
          <w:rFonts w:eastAsiaTheme="minorHAnsi"/>
          <w:sz w:val="22"/>
          <w:szCs w:val="22"/>
          <w:lang w:eastAsia="en-US"/>
        </w:rPr>
        <w:t>а</w:t>
      </w:r>
      <w:r w:rsidRPr="00EC1A78">
        <w:rPr>
          <w:rFonts w:eastAsiaTheme="minorHAnsi"/>
          <w:sz w:val="22"/>
          <w:szCs w:val="22"/>
          <w:lang w:eastAsia="en-US"/>
        </w:rPr>
        <w:t>трагиваются конституционные права граждан, а также, когда треб</w:t>
      </w:r>
      <w:r w:rsidRPr="00EC1A78">
        <w:rPr>
          <w:rFonts w:eastAsiaTheme="minorHAnsi"/>
          <w:sz w:val="22"/>
          <w:szCs w:val="22"/>
          <w:lang w:eastAsia="en-US"/>
        </w:rPr>
        <w:t>у</w:t>
      </w:r>
      <w:r w:rsidRPr="00EC1A78">
        <w:rPr>
          <w:rFonts w:eastAsiaTheme="minorHAnsi"/>
          <w:sz w:val="22"/>
          <w:szCs w:val="22"/>
          <w:lang w:eastAsia="en-US"/>
        </w:rPr>
        <w:t>ется описать, кто и какое касательство имел к вещественным док</w:t>
      </w:r>
      <w:r w:rsidRPr="00EC1A78">
        <w:rPr>
          <w:rFonts w:eastAsiaTheme="minorHAnsi"/>
          <w:sz w:val="22"/>
          <w:szCs w:val="22"/>
          <w:lang w:eastAsia="en-US"/>
        </w:rPr>
        <w:t>а</w:t>
      </w:r>
      <w:r w:rsidRPr="00EC1A78">
        <w:rPr>
          <w:rFonts w:eastAsiaTheme="minorHAnsi"/>
          <w:sz w:val="22"/>
          <w:szCs w:val="22"/>
          <w:lang w:eastAsia="en-US"/>
        </w:rPr>
        <w:t>зательствам и образцам [4]. При этом большинство ученых выст</w:t>
      </w:r>
      <w:r w:rsidRPr="00EC1A78">
        <w:rPr>
          <w:rFonts w:eastAsiaTheme="minorHAnsi"/>
          <w:sz w:val="22"/>
          <w:szCs w:val="22"/>
          <w:lang w:eastAsia="en-US"/>
        </w:rPr>
        <w:t>у</w:t>
      </w:r>
      <w:r w:rsidRPr="00EC1A78">
        <w:rPr>
          <w:rFonts w:eastAsiaTheme="minorHAnsi"/>
          <w:sz w:val="22"/>
          <w:szCs w:val="22"/>
          <w:lang w:eastAsia="en-US"/>
        </w:rPr>
        <w:t>пают за сохранение института понятых при совершении следстве</w:t>
      </w:r>
      <w:r w:rsidRPr="00EC1A78">
        <w:rPr>
          <w:rFonts w:eastAsiaTheme="minorHAnsi"/>
          <w:sz w:val="22"/>
          <w:szCs w:val="22"/>
          <w:lang w:eastAsia="en-US"/>
        </w:rPr>
        <w:t>н</w:t>
      </w:r>
      <w:r w:rsidRPr="00EC1A78">
        <w:rPr>
          <w:rFonts w:eastAsiaTheme="minorHAnsi"/>
          <w:sz w:val="22"/>
          <w:szCs w:val="22"/>
          <w:lang w:eastAsia="en-US"/>
        </w:rPr>
        <w:t>ных действий, обосновывая это тем, что без участия понятых дов</w:t>
      </w:r>
      <w:r w:rsidRPr="00EC1A78">
        <w:rPr>
          <w:rFonts w:eastAsiaTheme="minorHAnsi"/>
          <w:sz w:val="22"/>
          <w:szCs w:val="22"/>
          <w:lang w:eastAsia="en-US"/>
        </w:rPr>
        <w:t>е</w:t>
      </w:r>
      <w:r w:rsidRPr="00EC1A78">
        <w:rPr>
          <w:rFonts w:eastAsiaTheme="minorHAnsi"/>
          <w:sz w:val="22"/>
          <w:szCs w:val="22"/>
          <w:lang w:eastAsia="en-US"/>
        </w:rPr>
        <w:t>рие суда к собранным доказательствам будет подорвано, а многие доказательства будут признаны недопустимыми [5].</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ходе следственного действия замена понятых на технические средства должна быть не в пользу последних поскольку технич</w:t>
      </w:r>
      <w:r w:rsidRPr="00EC1A78">
        <w:rPr>
          <w:rFonts w:eastAsiaTheme="minorHAnsi"/>
          <w:sz w:val="22"/>
          <w:szCs w:val="22"/>
          <w:lang w:eastAsia="en-US"/>
        </w:rPr>
        <w:t>е</w:t>
      </w:r>
      <w:r w:rsidRPr="00EC1A78">
        <w:rPr>
          <w:rFonts w:eastAsiaTheme="minorHAnsi"/>
          <w:sz w:val="22"/>
          <w:szCs w:val="22"/>
          <w:lang w:eastAsia="en-US"/>
        </w:rPr>
        <w:t xml:space="preserve">ские средства дают возможность для монтажа видеоизображения остановки видео фиксации с целью создать благоприятную картину в ходе демонстрирования видеозаписи в зале судебного заседания. По нашему мнению, институт понятых нуждается в существенной доработке. Понятых должны отбирать из присяжных, которые ранее прошли специальный отбор и не заинтересованы в итоге дела.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Подводя итог, мы поддерживаем мнение С.Шейфера, В.Быкова, М. Мешкова и М.Селезнёва [6] о том, что целесообра</w:t>
      </w:r>
      <w:r w:rsidRPr="00EC1A78">
        <w:rPr>
          <w:rFonts w:eastAsiaTheme="minorHAnsi"/>
          <w:sz w:val="22"/>
          <w:szCs w:val="22"/>
          <w:lang w:eastAsia="en-US"/>
        </w:rPr>
        <w:t>з</w:t>
      </w:r>
      <w:r w:rsidRPr="00EC1A78">
        <w:rPr>
          <w:rFonts w:eastAsiaTheme="minorHAnsi"/>
          <w:sz w:val="22"/>
          <w:szCs w:val="22"/>
          <w:lang w:eastAsia="en-US"/>
        </w:rPr>
        <w:t xml:space="preserve">ней будет не исключать вообще институт понятых, а проводить дальнейшую существенную проработку их правового статуса. </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Федеральный закон «О внесении изменений в Уголовно–процессуальный кодекс Российской Федерации и Федеральный з</w:t>
      </w:r>
      <w:r w:rsidRPr="00EC1A78">
        <w:rPr>
          <w:rFonts w:eastAsiaTheme="minorHAnsi"/>
          <w:sz w:val="22"/>
          <w:szCs w:val="22"/>
          <w:lang w:eastAsia="en-US"/>
        </w:rPr>
        <w:t>а</w:t>
      </w:r>
      <w:r w:rsidRPr="00EC1A78">
        <w:rPr>
          <w:rFonts w:eastAsiaTheme="minorHAnsi"/>
          <w:sz w:val="22"/>
          <w:szCs w:val="22"/>
          <w:lang w:eastAsia="en-US"/>
        </w:rPr>
        <w:t>кон «О прокуратуре Российской Федерации» от 05.06.2007 N 87–ФЗ (последняя редакция).</w:t>
      </w:r>
    </w:p>
    <w:p w:rsidR="00EC1A78" w:rsidRPr="00EC1A78" w:rsidRDefault="00EC1A78" w:rsidP="00EC1A78">
      <w:pPr>
        <w:ind w:firstLine="426"/>
        <w:jc w:val="both"/>
        <w:rPr>
          <w:rFonts w:eastAsiaTheme="minorHAnsi"/>
          <w:bCs/>
          <w:sz w:val="22"/>
          <w:szCs w:val="22"/>
          <w:lang w:eastAsia="en-US"/>
        </w:rPr>
      </w:pPr>
      <w:r w:rsidRPr="00EC1A78">
        <w:rPr>
          <w:rFonts w:eastAsiaTheme="minorHAnsi"/>
          <w:sz w:val="22"/>
          <w:szCs w:val="22"/>
          <w:lang w:eastAsia="en-US"/>
        </w:rPr>
        <w:t>2.</w:t>
      </w:r>
      <w:r w:rsidRPr="00EC1A78">
        <w:rPr>
          <w:rFonts w:eastAsiaTheme="minorHAnsi"/>
          <w:bCs/>
          <w:sz w:val="22"/>
          <w:szCs w:val="22"/>
          <w:lang w:eastAsia="en-US"/>
        </w:rPr>
        <w:t xml:space="preserve"> </w:t>
      </w:r>
      <w:r w:rsidRPr="00EC1A78">
        <w:rPr>
          <w:rFonts w:eastAsiaTheme="minorHAnsi"/>
          <w:sz w:val="22"/>
          <w:szCs w:val="22"/>
          <w:lang w:val="en-US" w:eastAsia="en-US"/>
        </w:rPr>
        <w:t>ht</w:t>
      </w:r>
      <w:r w:rsidRPr="00EC1A78">
        <w:rPr>
          <w:rFonts w:eastAsiaTheme="minorHAnsi"/>
          <w:sz w:val="22"/>
          <w:szCs w:val="22"/>
          <w:lang w:eastAsia="en-US"/>
        </w:rPr>
        <w:t>tps://k0m2375.livejournal.com</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Большой юридический словарь / Под ред. А.Я. Сухарева, В.Е. Крутских – 2–е изд. – М.: Инфра–М, 2004. – 704 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Хитрова О.В. Участие понятых в российском уголовном с</w:t>
      </w:r>
      <w:r w:rsidRPr="00EC1A78">
        <w:rPr>
          <w:rFonts w:eastAsiaTheme="minorHAnsi"/>
          <w:sz w:val="22"/>
          <w:szCs w:val="22"/>
          <w:lang w:eastAsia="en-US"/>
        </w:rPr>
        <w:t>у</w:t>
      </w:r>
      <w:r w:rsidRPr="00EC1A78">
        <w:rPr>
          <w:rFonts w:eastAsiaTheme="minorHAnsi"/>
          <w:sz w:val="22"/>
          <w:szCs w:val="22"/>
          <w:lang w:eastAsia="en-US"/>
        </w:rPr>
        <w:t>допроизводстве. – Москва, 1996. – С. 14, 24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w:t>
      </w:r>
      <w:r w:rsidRPr="00EC1A78">
        <w:rPr>
          <w:rFonts w:eastAsiaTheme="minorHAnsi"/>
          <w:sz w:val="22"/>
          <w:szCs w:val="22"/>
          <w:vertAlign w:val="superscript"/>
          <w:lang w:eastAsia="en-US"/>
        </w:rPr>
        <w:t>.</w:t>
      </w:r>
      <w:r w:rsidRPr="00EC1A78">
        <w:rPr>
          <w:rFonts w:eastAsiaTheme="minorHAnsi"/>
          <w:sz w:val="22"/>
          <w:szCs w:val="22"/>
          <w:lang w:eastAsia="en-US"/>
        </w:rPr>
        <w:t>Быков, В. Институт понятых в уголовном судопроизводстве России / В. Быков // Уголовное право. – 2002. – № 3. – С. 72–74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6. Шейфер С.А. Следственные действия. Основания, процесс</w:t>
      </w:r>
      <w:r w:rsidRPr="00EC1A78">
        <w:rPr>
          <w:rFonts w:eastAsiaTheme="minorHAnsi"/>
          <w:sz w:val="22"/>
          <w:szCs w:val="22"/>
          <w:lang w:eastAsia="en-US"/>
        </w:rPr>
        <w:t>у</w:t>
      </w:r>
      <w:r w:rsidRPr="00EC1A78">
        <w:rPr>
          <w:rFonts w:eastAsiaTheme="minorHAnsi"/>
          <w:sz w:val="22"/>
          <w:szCs w:val="22"/>
          <w:lang w:eastAsia="en-US"/>
        </w:rPr>
        <w:t>альный порядок и доказательственное значение. / Шейфер С.А. – М.: Юрлитинформ, 2004. – 184 c.</w:t>
      </w:r>
    </w:p>
    <w:p w:rsidR="00EC1A78" w:rsidRDefault="00EC1A78" w:rsidP="00EC1A78">
      <w:pPr>
        <w:jc w:val="both"/>
        <w:rPr>
          <w:rFonts w:eastAsiaTheme="minorHAnsi"/>
          <w:sz w:val="22"/>
          <w:szCs w:val="22"/>
          <w:lang w:eastAsia="en-US"/>
        </w:rPr>
      </w:pPr>
    </w:p>
    <w:p w:rsidR="005B6CDF" w:rsidRPr="00EC1A78" w:rsidRDefault="005B6CDF" w:rsidP="00EC1A78">
      <w:pPr>
        <w:jc w:val="both"/>
        <w:rPr>
          <w:rFonts w:eastAsiaTheme="minorHAnsi"/>
          <w:sz w:val="22"/>
          <w:szCs w:val="22"/>
          <w:lang w:eastAsia="en-US"/>
        </w:rPr>
      </w:pPr>
    </w:p>
    <w:p w:rsidR="00EC1A78" w:rsidRPr="00EC1A78" w:rsidRDefault="00EC1A78" w:rsidP="00EC1A78">
      <w:pPr>
        <w:jc w:val="both"/>
        <w:rPr>
          <w:rFonts w:eastAsiaTheme="minorHAnsi"/>
          <w:bCs/>
          <w:sz w:val="22"/>
          <w:szCs w:val="22"/>
          <w:lang w:eastAsia="en-US"/>
        </w:rPr>
      </w:pPr>
      <w:r w:rsidRPr="00EC1A78">
        <w:rPr>
          <w:rFonts w:eastAsiaTheme="minorHAnsi"/>
          <w:bCs/>
          <w:sz w:val="22"/>
          <w:szCs w:val="22"/>
          <w:lang w:eastAsia="en-US"/>
        </w:rPr>
        <w:t>УДК 343.133</w:t>
      </w:r>
    </w:p>
    <w:p w:rsidR="00EC1A78" w:rsidRPr="00EC1A78" w:rsidRDefault="00EC1A78" w:rsidP="00EC1A78">
      <w:pPr>
        <w:jc w:val="center"/>
        <w:rPr>
          <w:rFonts w:eastAsiaTheme="minorHAnsi"/>
          <w:b/>
          <w:bCs/>
          <w:sz w:val="24"/>
          <w:szCs w:val="24"/>
          <w:lang w:eastAsia="en-US"/>
        </w:rPr>
      </w:pPr>
      <w:r w:rsidRPr="00EC1A78">
        <w:rPr>
          <w:rFonts w:eastAsiaTheme="minorHAnsi"/>
          <w:b/>
          <w:bCs/>
          <w:sz w:val="24"/>
          <w:szCs w:val="24"/>
          <w:lang w:eastAsia="en-US"/>
        </w:rPr>
        <w:t>К вопросу об основаниях привлечения лица</w:t>
      </w:r>
    </w:p>
    <w:p w:rsidR="00EC1A78" w:rsidRPr="00EC1A78" w:rsidRDefault="00EC1A78" w:rsidP="00EC1A78">
      <w:pPr>
        <w:jc w:val="center"/>
        <w:rPr>
          <w:rFonts w:eastAsiaTheme="minorHAnsi"/>
          <w:b/>
          <w:bCs/>
          <w:sz w:val="24"/>
          <w:szCs w:val="24"/>
          <w:lang w:val="en-US" w:eastAsia="en-US"/>
        </w:rPr>
      </w:pPr>
      <w:r w:rsidRPr="00EC1A78">
        <w:rPr>
          <w:rFonts w:eastAsiaTheme="minorHAnsi"/>
          <w:b/>
          <w:bCs/>
          <w:sz w:val="24"/>
          <w:szCs w:val="24"/>
          <w:lang w:eastAsia="en-US"/>
        </w:rPr>
        <w:t>в</w:t>
      </w:r>
      <w:r w:rsidRPr="00EC1A78">
        <w:rPr>
          <w:rFonts w:eastAsiaTheme="minorHAnsi"/>
          <w:b/>
          <w:bCs/>
          <w:sz w:val="24"/>
          <w:szCs w:val="24"/>
          <w:lang w:val="en-US" w:eastAsia="en-US"/>
        </w:rPr>
        <w:t xml:space="preserve"> </w:t>
      </w:r>
      <w:r w:rsidRPr="00EC1A78">
        <w:rPr>
          <w:rFonts w:eastAsiaTheme="minorHAnsi"/>
          <w:b/>
          <w:bCs/>
          <w:sz w:val="24"/>
          <w:szCs w:val="24"/>
          <w:lang w:eastAsia="en-US"/>
        </w:rPr>
        <w:t>качестве</w:t>
      </w:r>
      <w:r w:rsidRPr="00EC1A78">
        <w:rPr>
          <w:rFonts w:eastAsiaTheme="minorHAnsi"/>
          <w:b/>
          <w:bCs/>
          <w:sz w:val="24"/>
          <w:szCs w:val="24"/>
          <w:lang w:val="en-US" w:eastAsia="en-US"/>
        </w:rPr>
        <w:t xml:space="preserve"> </w:t>
      </w:r>
      <w:r w:rsidRPr="00EC1A78">
        <w:rPr>
          <w:rFonts w:eastAsiaTheme="minorHAnsi"/>
          <w:b/>
          <w:bCs/>
          <w:sz w:val="24"/>
          <w:szCs w:val="24"/>
          <w:lang w:eastAsia="en-US"/>
        </w:rPr>
        <w:t>обвиняемого</w:t>
      </w:r>
    </w:p>
    <w:p w:rsidR="00EC1A78" w:rsidRPr="00EC1A78" w:rsidRDefault="00EC1A78" w:rsidP="00EC1A78">
      <w:pPr>
        <w:jc w:val="center"/>
        <w:rPr>
          <w:rFonts w:eastAsiaTheme="minorHAnsi"/>
          <w:b/>
          <w:bCs/>
          <w:sz w:val="24"/>
          <w:szCs w:val="24"/>
          <w:lang w:val="en-US" w:eastAsia="en-US"/>
        </w:rPr>
      </w:pPr>
      <w:r w:rsidRPr="00EC1A78">
        <w:rPr>
          <w:rFonts w:eastAsiaTheme="minorHAnsi"/>
          <w:b/>
          <w:bCs/>
          <w:sz w:val="24"/>
          <w:szCs w:val="24"/>
          <w:lang w:val="en-US" w:eastAsia="en-US"/>
        </w:rPr>
        <w:t>To the question about the grounds for involving</w:t>
      </w:r>
    </w:p>
    <w:p w:rsidR="00EC1A78" w:rsidRPr="00EC1A78" w:rsidRDefault="00EC1A78" w:rsidP="00EC1A78">
      <w:pPr>
        <w:jc w:val="center"/>
        <w:rPr>
          <w:rFonts w:eastAsiaTheme="minorHAnsi"/>
          <w:b/>
          <w:bCs/>
          <w:sz w:val="24"/>
          <w:szCs w:val="24"/>
          <w:lang w:val="en-US" w:eastAsia="en-US"/>
        </w:rPr>
      </w:pPr>
      <w:r w:rsidRPr="00EC1A78">
        <w:rPr>
          <w:rFonts w:eastAsiaTheme="minorHAnsi"/>
          <w:b/>
          <w:bCs/>
          <w:sz w:val="24"/>
          <w:szCs w:val="24"/>
          <w:lang w:val="en-US" w:eastAsia="en-US"/>
        </w:rPr>
        <w:t>a person as a defendant</w:t>
      </w:r>
    </w:p>
    <w:p w:rsidR="00EC1A78" w:rsidRPr="00EC1A78" w:rsidRDefault="00EC1A78" w:rsidP="00EC1A78">
      <w:pPr>
        <w:jc w:val="both"/>
        <w:rPr>
          <w:rFonts w:eastAsiaTheme="minorHAnsi"/>
          <w:b/>
          <w:bCs/>
          <w:sz w:val="22"/>
          <w:szCs w:val="22"/>
          <w:lang w:val="en-US" w:eastAsia="en-US"/>
        </w:rPr>
      </w:pPr>
    </w:p>
    <w:p w:rsidR="00EC1A78" w:rsidRPr="00EC1A78" w:rsidRDefault="00EC1A78" w:rsidP="00EC1A78">
      <w:pPr>
        <w:jc w:val="right"/>
        <w:rPr>
          <w:rFonts w:eastAsiaTheme="minorHAnsi"/>
          <w:bCs/>
          <w:sz w:val="22"/>
          <w:szCs w:val="22"/>
          <w:lang w:val="en-US" w:eastAsia="en-US"/>
        </w:rPr>
      </w:pPr>
      <w:r w:rsidRPr="00EC1A78">
        <w:rPr>
          <w:rFonts w:eastAsiaTheme="minorHAnsi"/>
          <w:bCs/>
          <w:sz w:val="22"/>
          <w:szCs w:val="22"/>
          <w:lang w:eastAsia="en-US"/>
        </w:rPr>
        <w:t>Владимирова</w:t>
      </w:r>
      <w:r w:rsidRPr="00EC1A78">
        <w:rPr>
          <w:rFonts w:eastAsiaTheme="minorHAnsi"/>
          <w:bCs/>
          <w:sz w:val="22"/>
          <w:szCs w:val="22"/>
          <w:lang w:val="en-US" w:eastAsia="en-US"/>
        </w:rPr>
        <w:t xml:space="preserve"> </w:t>
      </w:r>
      <w:r w:rsidRPr="00EC1A78">
        <w:rPr>
          <w:rFonts w:eastAsiaTheme="minorHAnsi"/>
          <w:bCs/>
          <w:sz w:val="22"/>
          <w:szCs w:val="22"/>
          <w:lang w:eastAsia="en-US"/>
        </w:rPr>
        <w:t>А</w:t>
      </w:r>
      <w:r w:rsidRPr="00EC1A78">
        <w:rPr>
          <w:rFonts w:eastAsiaTheme="minorHAnsi"/>
          <w:bCs/>
          <w:sz w:val="22"/>
          <w:szCs w:val="22"/>
          <w:lang w:val="en-US" w:eastAsia="en-US"/>
        </w:rPr>
        <w:t>.</w:t>
      </w:r>
      <w:r w:rsidR="003A6F86" w:rsidRPr="00E62E4B">
        <w:rPr>
          <w:rFonts w:eastAsiaTheme="minorHAnsi"/>
          <w:bCs/>
          <w:sz w:val="22"/>
          <w:szCs w:val="22"/>
          <w:lang w:val="en-US" w:eastAsia="en-US"/>
        </w:rPr>
        <w:t xml:space="preserve"> </w:t>
      </w:r>
      <w:r w:rsidRPr="00EC1A78">
        <w:rPr>
          <w:rFonts w:eastAsiaTheme="minorHAnsi"/>
          <w:bCs/>
          <w:sz w:val="22"/>
          <w:szCs w:val="22"/>
          <w:lang w:eastAsia="en-US"/>
        </w:rPr>
        <w:t>С</w:t>
      </w:r>
      <w:r w:rsidRPr="00EC1A78">
        <w:rPr>
          <w:rFonts w:eastAsiaTheme="minorHAnsi"/>
          <w:bCs/>
          <w:sz w:val="22"/>
          <w:szCs w:val="22"/>
          <w:lang w:val="en-US" w:eastAsia="en-US"/>
        </w:rPr>
        <w:t>.,</w:t>
      </w:r>
    </w:p>
    <w:p w:rsidR="00EC1A78" w:rsidRPr="00EC1A78" w:rsidRDefault="00EC1A78" w:rsidP="00AB6A0E">
      <w:pPr>
        <w:jc w:val="right"/>
        <w:rPr>
          <w:rFonts w:eastAsiaTheme="minorHAnsi"/>
          <w:bCs/>
          <w:sz w:val="22"/>
          <w:szCs w:val="22"/>
          <w:lang w:eastAsia="en-US"/>
        </w:rPr>
      </w:pPr>
      <w:r w:rsidRPr="00EC1A78">
        <w:rPr>
          <w:rFonts w:eastAsiaTheme="minorHAnsi"/>
          <w:bCs/>
          <w:sz w:val="22"/>
          <w:szCs w:val="22"/>
          <w:lang w:eastAsia="en-US"/>
        </w:rPr>
        <w:t>студентка 3–го курса юридического факультета</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Ильницкая Л.</w:t>
      </w:r>
      <w:r w:rsidR="003A6F86">
        <w:rPr>
          <w:rFonts w:eastAsiaTheme="minorHAnsi"/>
          <w:bCs/>
          <w:sz w:val="22"/>
          <w:szCs w:val="22"/>
          <w:lang w:eastAsia="en-US"/>
        </w:rPr>
        <w:t xml:space="preserve"> </w:t>
      </w:r>
      <w:r w:rsidRPr="00EC1A78">
        <w:rPr>
          <w:rFonts w:eastAsiaTheme="minorHAnsi"/>
          <w:bCs/>
          <w:sz w:val="22"/>
          <w:szCs w:val="22"/>
          <w:lang w:eastAsia="en-US"/>
        </w:rPr>
        <w:t>И.,</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доцент кафедры уголовного процесса</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 xml:space="preserve">Кубанский государственный аграрный </w:t>
      </w:r>
    </w:p>
    <w:p w:rsidR="00EC1A78" w:rsidRPr="00EC1A78" w:rsidRDefault="00EC1A78" w:rsidP="00EC1A78">
      <w:pPr>
        <w:jc w:val="right"/>
        <w:rPr>
          <w:rFonts w:eastAsiaTheme="minorHAnsi"/>
          <w:bCs/>
          <w:sz w:val="22"/>
          <w:szCs w:val="22"/>
          <w:lang w:eastAsia="en-US"/>
        </w:rPr>
      </w:pPr>
      <w:r w:rsidRPr="00EC1A78">
        <w:rPr>
          <w:rFonts w:eastAsiaTheme="minorHAnsi"/>
          <w:bCs/>
          <w:sz w:val="22"/>
          <w:szCs w:val="22"/>
          <w:lang w:eastAsia="en-US"/>
        </w:rPr>
        <w:t>университет имени И.</w:t>
      </w:r>
      <w:r w:rsidR="003A6F86">
        <w:rPr>
          <w:rFonts w:eastAsiaTheme="minorHAnsi"/>
          <w:bCs/>
          <w:sz w:val="22"/>
          <w:szCs w:val="22"/>
          <w:lang w:eastAsia="en-US"/>
        </w:rPr>
        <w:t xml:space="preserve"> </w:t>
      </w:r>
      <w:r w:rsidRPr="00EC1A78">
        <w:rPr>
          <w:rFonts w:eastAsiaTheme="minorHAnsi"/>
          <w:bCs/>
          <w:sz w:val="22"/>
          <w:szCs w:val="22"/>
          <w:lang w:eastAsia="en-US"/>
        </w:rPr>
        <w:t>Т. Трубилина</w:t>
      </w:r>
    </w:p>
    <w:p w:rsidR="00EC1A78" w:rsidRPr="00EC1A78" w:rsidRDefault="00EC1A78" w:rsidP="00EC1A78">
      <w:pPr>
        <w:jc w:val="both"/>
        <w:rPr>
          <w:rFonts w:eastAsiaTheme="minorHAnsi"/>
          <w:bCs/>
          <w:sz w:val="22"/>
          <w:szCs w:val="22"/>
          <w:lang w:eastAsia="en-US"/>
        </w:rPr>
      </w:pP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АННОТАЦИЯ: В статье поднимается проблема отсутствия з</w:t>
      </w:r>
      <w:r w:rsidRPr="00EC1A78">
        <w:rPr>
          <w:rFonts w:eastAsiaTheme="minorHAnsi"/>
          <w:bCs/>
          <w:sz w:val="22"/>
          <w:szCs w:val="22"/>
          <w:lang w:eastAsia="en-US"/>
        </w:rPr>
        <w:t>а</w:t>
      </w:r>
      <w:r w:rsidRPr="00EC1A78">
        <w:rPr>
          <w:rFonts w:eastAsiaTheme="minorHAnsi"/>
          <w:bCs/>
          <w:sz w:val="22"/>
          <w:szCs w:val="22"/>
          <w:lang w:eastAsia="en-US"/>
        </w:rPr>
        <w:t>конодательного закрепления понятия «достаточность доказ</w:t>
      </w:r>
      <w:r w:rsidRPr="00EC1A78">
        <w:rPr>
          <w:rFonts w:eastAsiaTheme="minorHAnsi"/>
          <w:bCs/>
          <w:sz w:val="22"/>
          <w:szCs w:val="22"/>
          <w:lang w:eastAsia="en-US"/>
        </w:rPr>
        <w:t>а</w:t>
      </w:r>
      <w:r w:rsidR="005B6CDF">
        <w:rPr>
          <w:rFonts w:eastAsiaTheme="minorHAnsi"/>
          <w:bCs/>
          <w:sz w:val="22"/>
          <w:szCs w:val="22"/>
          <w:lang w:eastAsia="en-US"/>
        </w:rPr>
        <w:lastRenderedPageBreak/>
        <w:t xml:space="preserve">тельств». </w:t>
      </w:r>
      <w:r w:rsidRPr="00EC1A78">
        <w:rPr>
          <w:rFonts w:eastAsiaTheme="minorHAnsi"/>
          <w:bCs/>
          <w:sz w:val="22"/>
          <w:szCs w:val="22"/>
          <w:lang w:eastAsia="en-US"/>
        </w:rPr>
        <w:t>Рассматривается с научной точки зрения понятие «дост</w:t>
      </w:r>
      <w:r w:rsidRPr="00EC1A78">
        <w:rPr>
          <w:rFonts w:eastAsiaTheme="minorHAnsi"/>
          <w:bCs/>
          <w:sz w:val="22"/>
          <w:szCs w:val="22"/>
          <w:lang w:eastAsia="en-US"/>
        </w:rPr>
        <w:t>а</w:t>
      </w:r>
      <w:r w:rsidRPr="00EC1A78">
        <w:rPr>
          <w:rFonts w:eastAsiaTheme="minorHAnsi"/>
          <w:bCs/>
          <w:sz w:val="22"/>
          <w:szCs w:val="22"/>
          <w:lang w:eastAsia="en-US"/>
        </w:rPr>
        <w:t>точности» доказательств. Подробно анализируются основания для привлечения лица в качестве обвиняемого.</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ANNOTATION: The article raises the problem of the lack of legi</w:t>
      </w:r>
      <w:r w:rsidRPr="00EC1A78">
        <w:rPr>
          <w:rFonts w:eastAsiaTheme="minorHAnsi"/>
          <w:bCs/>
          <w:sz w:val="22"/>
          <w:szCs w:val="22"/>
          <w:lang w:val="en-US" w:eastAsia="en-US"/>
        </w:rPr>
        <w:t>s</w:t>
      </w:r>
      <w:r w:rsidRPr="00EC1A78">
        <w:rPr>
          <w:rFonts w:eastAsiaTheme="minorHAnsi"/>
          <w:bCs/>
          <w:sz w:val="22"/>
          <w:szCs w:val="22"/>
          <w:lang w:val="en-US" w:eastAsia="en-US"/>
        </w:rPr>
        <w:t>lative consolidation of the concept of «sufficiency of evidence». The concept of «sufficiency» of evidence is considered from the scientific point of view. The grounds for involving a person as an accused person are analyzed in detail.</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КЛЮЧЕВЫЕ СЛОВА: обвиняемый; постановление о привл</w:t>
      </w:r>
      <w:r w:rsidRPr="00EC1A78">
        <w:rPr>
          <w:rFonts w:eastAsiaTheme="minorHAnsi"/>
          <w:bCs/>
          <w:sz w:val="22"/>
          <w:szCs w:val="22"/>
          <w:lang w:eastAsia="en-US"/>
        </w:rPr>
        <w:t>е</w:t>
      </w:r>
      <w:r w:rsidRPr="00EC1A78">
        <w:rPr>
          <w:rFonts w:eastAsiaTheme="minorHAnsi"/>
          <w:bCs/>
          <w:sz w:val="22"/>
          <w:szCs w:val="22"/>
          <w:lang w:eastAsia="en-US"/>
        </w:rPr>
        <w:t>чении лица в качестве обвиняемого; достаточность доказательств; следователь; уголовный процесс.</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KEYWORDS: defendant; the decision to prosecute the person as a defendant; sufficiency of evidence; investigator; criminal process.</w:t>
      </w:r>
    </w:p>
    <w:p w:rsidR="00EC1A78" w:rsidRPr="00EC1A78" w:rsidRDefault="00EC1A78" w:rsidP="00EC1A78">
      <w:pPr>
        <w:ind w:firstLine="426"/>
        <w:jc w:val="both"/>
        <w:rPr>
          <w:rFonts w:eastAsiaTheme="minorHAnsi"/>
          <w:bCs/>
          <w:sz w:val="22"/>
          <w:szCs w:val="22"/>
          <w:lang w:val="en-US" w:eastAsia="en-US"/>
        </w:rPr>
      </w:pP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Вопрос о привлечении лица в качестве обвиняемого – это одна из главных тем в уголовном процессе, на наш взгляд, потому что следственные действия взаимосвязаны непосредственно с таким субъектом как обвиняемый. Приобретая новый статус, участник процесса меняет свое положение в деле, в связи с чем у него поя</w:t>
      </w:r>
      <w:r w:rsidRPr="00EC1A78">
        <w:rPr>
          <w:rFonts w:eastAsiaTheme="minorHAnsi"/>
          <w:bCs/>
          <w:sz w:val="22"/>
          <w:szCs w:val="22"/>
          <w:lang w:eastAsia="en-US"/>
        </w:rPr>
        <w:t>в</w:t>
      </w:r>
      <w:r w:rsidRPr="00EC1A78">
        <w:rPr>
          <w:rFonts w:eastAsiaTheme="minorHAnsi"/>
          <w:bCs/>
          <w:sz w:val="22"/>
          <w:szCs w:val="22"/>
          <w:lang w:eastAsia="en-US"/>
        </w:rPr>
        <w:t>ляются новые права и обязанности.</w:t>
      </w:r>
    </w:p>
    <w:p w:rsidR="00EC1A78" w:rsidRPr="00EC1A78" w:rsidRDefault="00EC1A78" w:rsidP="00EC1A78">
      <w:pPr>
        <w:ind w:firstLine="426"/>
        <w:jc w:val="both"/>
        <w:rPr>
          <w:rFonts w:eastAsiaTheme="minorHAnsi"/>
          <w:bCs/>
          <w:i/>
          <w:sz w:val="22"/>
          <w:szCs w:val="22"/>
          <w:lang w:eastAsia="en-US"/>
        </w:rPr>
      </w:pPr>
      <w:r w:rsidRPr="00EC1A78">
        <w:rPr>
          <w:rFonts w:eastAsiaTheme="minorHAnsi"/>
          <w:bCs/>
          <w:sz w:val="22"/>
          <w:szCs w:val="22"/>
          <w:lang w:eastAsia="en-US"/>
        </w:rPr>
        <w:t>Согласно статье 143 УПК РФ основанием для привлечения л</w:t>
      </w:r>
      <w:r w:rsidRPr="00EC1A78">
        <w:rPr>
          <w:rFonts w:eastAsiaTheme="minorHAnsi"/>
          <w:bCs/>
          <w:sz w:val="22"/>
          <w:szCs w:val="22"/>
          <w:lang w:eastAsia="en-US"/>
        </w:rPr>
        <w:t>и</w:t>
      </w:r>
      <w:r w:rsidRPr="00EC1A78">
        <w:rPr>
          <w:rFonts w:eastAsiaTheme="minorHAnsi"/>
          <w:bCs/>
          <w:sz w:val="22"/>
          <w:szCs w:val="22"/>
          <w:lang w:eastAsia="en-US"/>
        </w:rPr>
        <w:t>ца в качестве обвиняемого являются доказательства. Сбор доказ</w:t>
      </w:r>
      <w:r w:rsidRPr="00EC1A78">
        <w:rPr>
          <w:rFonts w:eastAsiaTheme="minorHAnsi"/>
          <w:bCs/>
          <w:sz w:val="22"/>
          <w:szCs w:val="22"/>
          <w:lang w:eastAsia="en-US"/>
        </w:rPr>
        <w:t>а</w:t>
      </w:r>
      <w:r w:rsidRPr="00EC1A78">
        <w:rPr>
          <w:rFonts w:eastAsiaTheme="minorHAnsi"/>
          <w:bCs/>
          <w:sz w:val="22"/>
          <w:szCs w:val="22"/>
          <w:lang w:eastAsia="en-US"/>
        </w:rPr>
        <w:t xml:space="preserve">тельств, их оценка выделяются в обособленную стадию уголовного процесса – предварительное расследование.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Привлечение в качестве обвиняемого – это сложное процесс</w:t>
      </w:r>
      <w:r w:rsidRPr="00EC1A78">
        <w:rPr>
          <w:rFonts w:eastAsiaTheme="minorHAnsi"/>
          <w:bCs/>
          <w:sz w:val="22"/>
          <w:szCs w:val="22"/>
          <w:lang w:eastAsia="en-US"/>
        </w:rPr>
        <w:t>у</w:t>
      </w:r>
      <w:r w:rsidRPr="00EC1A78">
        <w:rPr>
          <w:rFonts w:eastAsiaTheme="minorHAnsi"/>
          <w:bCs/>
          <w:sz w:val="22"/>
          <w:szCs w:val="22"/>
          <w:lang w:eastAsia="en-US"/>
        </w:rPr>
        <w:t>альное действие. Выполняет его следователь при наличии дост</w:t>
      </w:r>
      <w:r w:rsidRPr="00EC1A78">
        <w:rPr>
          <w:rFonts w:eastAsiaTheme="minorHAnsi"/>
          <w:bCs/>
          <w:sz w:val="22"/>
          <w:szCs w:val="22"/>
          <w:lang w:eastAsia="en-US"/>
        </w:rPr>
        <w:t>а</w:t>
      </w:r>
      <w:r w:rsidRPr="00EC1A78">
        <w:rPr>
          <w:rFonts w:eastAsiaTheme="minorHAnsi"/>
          <w:bCs/>
          <w:sz w:val="22"/>
          <w:szCs w:val="22"/>
          <w:lang w:eastAsia="en-US"/>
        </w:rPr>
        <w:t>точных </w:t>
      </w:r>
      <w:hyperlink r:id="rId367" w:history="1"/>
      <w:r w:rsidRPr="00EC1A78">
        <w:rPr>
          <w:rFonts w:eastAsiaTheme="minorHAnsi"/>
          <w:bCs/>
          <w:sz w:val="22"/>
          <w:szCs w:val="22"/>
          <w:lang w:eastAsia="en-US"/>
        </w:rPr>
        <w:t xml:space="preserve"> доказательств, способных подтвердить причастность чел</w:t>
      </w:r>
      <w:r w:rsidRPr="00EC1A78">
        <w:rPr>
          <w:rFonts w:eastAsiaTheme="minorHAnsi"/>
          <w:bCs/>
          <w:sz w:val="22"/>
          <w:szCs w:val="22"/>
          <w:lang w:eastAsia="en-US"/>
        </w:rPr>
        <w:t>о</w:t>
      </w:r>
      <w:r w:rsidRPr="00EC1A78">
        <w:rPr>
          <w:rFonts w:eastAsiaTheme="minorHAnsi"/>
          <w:bCs/>
          <w:sz w:val="22"/>
          <w:szCs w:val="22"/>
          <w:lang w:eastAsia="en-US"/>
        </w:rPr>
        <w:t>века к совершенному преступлению. Лицо приобретает статус о</w:t>
      </w:r>
      <w:r w:rsidRPr="00EC1A78">
        <w:rPr>
          <w:rFonts w:eastAsiaTheme="minorHAnsi"/>
          <w:bCs/>
          <w:sz w:val="22"/>
          <w:szCs w:val="22"/>
          <w:lang w:eastAsia="en-US"/>
        </w:rPr>
        <w:t>б</w:t>
      </w:r>
      <w:r w:rsidRPr="00EC1A78">
        <w:rPr>
          <w:rFonts w:eastAsiaTheme="minorHAnsi"/>
          <w:bCs/>
          <w:sz w:val="22"/>
          <w:szCs w:val="22"/>
          <w:lang w:eastAsia="en-US"/>
        </w:rPr>
        <w:t>виняемого посредством мотивированного постановления следов</w:t>
      </w:r>
      <w:r w:rsidRPr="00EC1A78">
        <w:rPr>
          <w:rFonts w:eastAsiaTheme="minorHAnsi"/>
          <w:bCs/>
          <w:sz w:val="22"/>
          <w:szCs w:val="22"/>
          <w:lang w:eastAsia="en-US"/>
        </w:rPr>
        <w:t>а</w:t>
      </w:r>
      <w:r w:rsidRPr="00EC1A78">
        <w:rPr>
          <w:rFonts w:eastAsiaTheme="minorHAnsi"/>
          <w:bCs/>
          <w:sz w:val="22"/>
          <w:szCs w:val="22"/>
          <w:lang w:eastAsia="en-US"/>
        </w:rPr>
        <w:t xml:space="preserve">теля.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Однако, возникает проблема: определение термина «достато</w:t>
      </w:r>
      <w:r w:rsidRPr="00EC1A78">
        <w:rPr>
          <w:rFonts w:eastAsiaTheme="minorHAnsi"/>
          <w:bCs/>
          <w:sz w:val="22"/>
          <w:szCs w:val="22"/>
          <w:lang w:eastAsia="en-US"/>
        </w:rPr>
        <w:t>ч</w:t>
      </w:r>
      <w:r w:rsidRPr="00EC1A78">
        <w:rPr>
          <w:rFonts w:eastAsiaTheme="minorHAnsi"/>
          <w:bCs/>
          <w:sz w:val="22"/>
          <w:szCs w:val="22"/>
          <w:lang w:eastAsia="en-US"/>
        </w:rPr>
        <w:t>ность доказательств» законодателем не трактуется, а это означает, что следователь самостоятельно определяет ее пределы и содерж</w:t>
      </w:r>
      <w:r w:rsidRPr="00EC1A78">
        <w:rPr>
          <w:rFonts w:eastAsiaTheme="minorHAnsi"/>
          <w:bCs/>
          <w:sz w:val="22"/>
          <w:szCs w:val="22"/>
          <w:lang w:eastAsia="en-US"/>
        </w:rPr>
        <w:t>а</w:t>
      </w:r>
      <w:r w:rsidRPr="00EC1A78">
        <w:rPr>
          <w:rFonts w:eastAsiaTheme="minorHAnsi"/>
          <w:bCs/>
          <w:sz w:val="22"/>
          <w:szCs w:val="22"/>
          <w:lang w:eastAsia="en-US"/>
        </w:rPr>
        <w:t>ние, что может повлечь дальнейшие споры.</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Стоит отметить, что и в истории[1], и до сих пор среди учёных ходят споры по поводу данного понятия [2]. Одна группа полагает, что достаточными доказательства являются тогда, когда обсто</w:t>
      </w:r>
      <w:r w:rsidRPr="00EC1A78">
        <w:rPr>
          <w:rFonts w:eastAsiaTheme="minorHAnsi"/>
          <w:bCs/>
          <w:sz w:val="22"/>
          <w:szCs w:val="22"/>
          <w:lang w:eastAsia="en-US"/>
        </w:rPr>
        <w:t>я</w:t>
      </w:r>
      <w:r w:rsidRPr="00EC1A78">
        <w:rPr>
          <w:rFonts w:eastAsiaTheme="minorHAnsi"/>
          <w:bCs/>
          <w:sz w:val="22"/>
          <w:szCs w:val="22"/>
          <w:lang w:eastAsia="en-US"/>
        </w:rPr>
        <w:t>тельства дела исследованы в полном объеме, всестороннее с объе</w:t>
      </w:r>
      <w:r w:rsidRPr="00EC1A78">
        <w:rPr>
          <w:rFonts w:eastAsiaTheme="minorHAnsi"/>
          <w:bCs/>
          <w:sz w:val="22"/>
          <w:szCs w:val="22"/>
          <w:lang w:eastAsia="en-US"/>
        </w:rPr>
        <w:t>к</w:t>
      </w:r>
      <w:r w:rsidRPr="00EC1A78">
        <w:rPr>
          <w:rFonts w:eastAsiaTheme="minorHAnsi"/>
          <w:bCs/>
          <w:sz w:val="22"/>
          <w:szCs w:val="22"/>
          <w:lang w:eastAsia="en-US"/>
        </w:rPr>
        <w:lastRenderedPageBreak/>
        <w:t>тивной точки зрения [3]. Вторая группа определяет достаточность доказательств как совокупность относимых, допустимых, достове</w:t>
      </w:r>
      <w:r w:rsidRPr="00EC1A78">
        <w:rPr>
          <w:rFonts w:eastAsiaTheme="minorHAnsi"/>
          <w:bCs/>
          <w:sz w:val="22"/>
          <w:szCs w:val="22"/>
          <w:lang w:eastAsia="en-US"/>
        </w:rPr>
        <w:t>р</w:t>
      </w:r>
      <w:r w:rsidRPr="00EC1A78">
        <w:rPr>
          <w:rFonts w:eastAsiaTheme="minorHAnsi"/>
          <w:bCs/>
          <w:sz w:val="22"/>
          <w:szCs w:val="22"/>
          <w:lang w:eastAsia="en-US"/>
        </w:rPr>
        <w:t>ных доказательств, необходимых для установления обстоятельств преступления в соответствии с действительностью и вынесения обоснованных решений в процессе расследования и рассмотрения уголовного дела [4]. Третья группа же утверждает, понятие дост</w:t>
      </w:r>
      <w:r w:rsidRPr="00EC1A78">
        <w:rPr>
          <w:rFonts w:eastAsiaTheme="minorHAnsi"/>
          <w:bCs/>
          <w:sz w:val="22"/>
          <w:szCs w:val="22"/>
          <w:lang w:eastAsia="en-US"/>
        </w:rPr>
        <w:t>а</w:t>
      </w:r>
      <w:r w:rsidRPr="00EC1A78">
        <w:rPr>
          <w:rFonts w:eastAsiaTheme="minorHAnsi"/>
          <w:bCs/>
          <w:sz w:val="22"/>
          <w:szCs w:val="22"/>
          <w:lang w:eastAsia="en-US"/>
        </w:rPr>
        <w:t xml:space="preserve">точность доказательств всегда предметно («достаточно» для чего) [5]. </w:t>
      </w:r>
    </w:p>
    <w:p w:rsidR="00EC1A78" w:rsidRPr="00EC1A78" w:rsidRDefault="00EC1A78" w:rsidP="00EC1A78">
      <w:pPr>
        <w:ind w:firstLine="426"/>
        <w:jc w:val="both"/>
        <w:rPr>
          <w:rFonts w:eastAsiaTheme="minorHAnsi"/>
          <w:bCs/>
          <w:i/>
          <w:sz w:val="22"/>
          <w:szCs w:val="22"/>
          <w:lang w:eastAsia="en-US"/>
        </w:rPr>
      </w:pPr>
      <w:r w:rsidRPr="00EC1A78">
        <w:rPr>
          <w:rFonts w:eastAsiaTheme="minorHAnsi"/>
          <w:bCs/>
          <w:sz w:val="22"/>
          <w:szCs w:val="22"/>
          <w:lang w:eastAsia="en-US"/>
        </w:rPr>
        <w:t>Однако, не все факты, которые должны быть установлены на момент окончания предварительного расследования, требуется д</w:t>
      </w:r>
      <w:r w:rsidRPr="00EC1A78">
        <w:rPr>
          <w:rFonts w:eastAsiaTheme="minorHAnsi"/>
          <w:bCs/>
          <w:sz w:val="22"/>
          <w:szCs w:val="22"/>
          <w:lang w:eastAsia="en-US"/>
        </w:rPr>
        <w:t>о</w:t>
      </w:r>
      <w:r w:rsidRPr="00EC1A78">
        <w:rPr>
          <w:rFonts w:eastAsiaTheme="minorHAnsi"/>
          <w:bCs/>
          <w:sz w:val="22"/>
          <w:szCs w:val="22"/>
          <w:lang w:eastAsia="en-US"/>
        </w:rPr>
        <w:t>казать следователю, чтобы вынести постановление о привлечении в качестве обвиняемого, что следует из ч. 2 ст. 171 УПК РФ. Обяз</w:t>
      </w:r>
      <w:r w:rsidRPr="00EC1A78">
        <w:rPr>
          <w:rFonts w:eastAsiaTheme="minorHAnsi"/>
          <w:bCs/>
          <w:sz w:val="22"/>
          <w:szCs w:val="22"/>
          <w:lang w:eastAsia="en-US"/>
        </w:rPr>
        <w:t>а</w:t>
      </w:r>
      <w:r w:rsidRPr="00EC1A78">
        <w:rPr>
          <w:rFonts w:eastAsiaTheme="minorHAnsi"/>
          <w:bCs/>
          <w:sz w:val="22"/>
          <w:szCs w:val="22"/>
          <w:lang w:eastAsia="en-US"/>
        </w:rPr>
        <w:t>тельным является, чтобы собранная совокупность доказательств могла подтвердить каждый элемент и признак состава преступления и придавала уверенность всем в том, что именно это лицо соверш</w:t>
      </w:r>
      <w:r w:rsidRPr="00EC1A78">
        <w:rPr>
          <w:rFonts w:eastAsiaTheme="minorHAnsi"/>
          <w:bCs/>
          <w:sz w:val="22"/>
          <w:szCs w:val="22"/>
          <w:lang w:eastAsia="en-US"/>
        </w:rPr>
        <w:t>и</w:t>
      </w:r>
      <w:r w:rsidRPr="00EC1A78">
        <w:rPr>
          <w:rFonts w:eastAsiaTheme="minorHAnsi"/>
          <w:bCs/>
          <w:sz w:val="22"/>
          <w:szCs w:val="22"/>
          <w:lang w:eastAsia="en-US"/>
        </w:rPr>
        <w:t xml:space="preserve">ло конкретное преступление.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 xml:space="preserve">Понятие «достаточность» охватывает как количественную, так и качественную сторону явления.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Итак, к моменту вынесения постановления о привлечении лица в качестве обвиняемого должны быть доказаны все юридически значимые обстоятельства, необходимые для квалификации, а име</w:t>
      </w:r>
      <w:r w:rsidRPr="00EC1A78">
        <w:rPr>
          <w:rFonts w:eastAsiaTheme="minorHAnsi"/>
          <w:bCs/>
          <w:sz w:val="22"/>
          <w:szCs w:val="22"/>
          <w:lang w:eastAsia="en-US"/>
        </w:rPr>
        <w:t>н</w:t>
      </w:r>
      <w:r w:rsidRPr="00EC1A78">
        <w:rPr>
          <w:rFonts w:eastAsiaTheme="minorHAnsi"/>
          <w:bCs/>
          <w:sz w:val="22"/>
          <w:szCs w:val="22"/>
          <w:lang w:eastAsia="en-US"/>
        </w:rPr>
        <w:t>но: во–первых, деяние, по поводу которого ведется расследование (действительно ли оно имело место); во–вторых, совершило ли его лицо, которое предполагается обозначить обвиняемым; в–третьих, содержится ли в деянии этого лица состав конкретного преступл</w:t>
      </w:r>
      <w:r w:rsidRPr="00EC1A78">
        <w:rPr>
          <w:rFonts w:eastAsiaTheme="minorHAnsi"/>
          <w:bCs/>
          <w:sz w:val="22"/>
          <w:szCs w:val="22"/>
          <w:lang w:eastAsia="en-US"/>
        </w:rPr>
        <w:t>е</w:t>
      </w:r>
      <w:r w:rsidRPr="00EC1A78">
        <w:rPr>
          <w:rFonts w:eastAsiaTheme="minorHAnsi"/>
          <w:bCs/>
          <w:sz w:val="22"/>
          <w:szCs w:val="22"/>
          <w:lang w:eastAsia="en-US"/>
        </w:rPr>
        <w:t>ния; в–четвертых, отсутствуют ли обстоятельства, исключающие производство по делу и уголовную ответственность этого лица.</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Таким образом, можно сделать вывод о том, что достаточные доказательства, дающие основания для привлечения лица в качестве обвиняемого, — это такая совокупность собранных по делу доказ</w:t>
      </w:r>
      <w:r w:rsidRPr="00EC1A78">
        <w:rPr>
          <w:rFonts w:eastAsiaTheme="minorHAnsi"/>
          <w:bCs/>
          <w:sz w:val="22"/>
          <w:szCs w:val="22"/>
          <w:lang w:eastAsia="en-US"/>
        </w:rPr>
        <w:t>а</w:t>
      </w:r>
      <w:r w:rsidRPr="00EC1A78">
        <w:rPr>
          <w:rFonts w:eastAsiaTheme="minorHAnsi"/>
          <w:bCs/>
          <w:sz w:val="22"/>
          <w:szCs w:val="22"/>
          <w:lang w:eastAsia="en-US"/>
        </w:rPr>
        <w:t>тельств, которая бесспорно устанавливает наличие обстоятельств, перечисленных в части 1 статьи 73 УПК РФ, при отсутствии обст</w:t>
      </w:r>
      <w:r w:rsidRPr="00EC1A78">
        <w:rPr>
          <w:rFonts w:eastAsiaTheme="minorHAnsi"/>
          <w:bCs/>
          <w:sz w:val="22"/>
          <w:szCs w:val="22"/>
          <w:lang w:eastAsia="en-US"/>
        </w:rPr>
        <w:t>о</w:t>
      </w:r>
      <w:r w:rsidRPr="00EC1A78">
        <w:rPr>
          <w:rFonts w:eastAsiaTheme="minorHAnsi"/>
          <w:bCs/>
          <w:sz w:val="22"/>
          <w:szCs w:val="22"/>
          <w:lang w:eastAsia="en-US"/>
        </w:rPr>
        <w:t>ятельств, препятствующих вынесению постановления о привлеч</w:t>
      </w:r>
      <w:r w:rsidRPr="00EC1A78">
        <w:rPr>
          <w:rFonts w:eastAsiaTheme="minorHAnsi"/>
          <w:bCs/>
          <w:sz w:val="22"/>
          <w:szCs w:val="22"/>
          <w:lang w:eastAsia="en-US"/>
        </w:rPr>
        <w:t>е</w:t>
      </w:r>
      <w:r w:rsidRPr="00EC1A78">
        <w:rPr>
          <w:rFonts w:eastAsiaTheme="minorHAnsi"/>
          <w:bCs/>
          <w:sz w:val="22"/>
          <w:szCs w:val="22"/>
          <w:lang w:eastAsia="en-US"/>
        </w:rPr>
        <w:t>нии в качестве обвиняемого.</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 xml:space="preserve">По нашему мнению, необходимо в законодательном порядке четко сформулировать понятие «достаточность доказательств», чтобы, во–первых, не возникало лишних споров по делу и, во–вторых, для того, чтобы в принятии такого важного для человека </w:t>
      </w:r>
      <w:r w:rsidRPr="00EC1A78">
        <w:rPr>
          <w:rFonts w:eastAsiaTheme="minorHAnsi"/>
          <w:bCs/>
          <w:sz w:val="22"/>
          <w:szCs w:val="22"/>
          <w:lang w:eastAsia="en-US"/>
        </w:rPr>
        <w:lastRenderedPageBreak/>
        <w:t>решения, как привлечение его в качестве обвиняемого, решающую роль играло не субъективное мнение следователя, а норма закона.</w:t>
      </w:r>
    </w:p>
    <w:p w:rsidR="00EC1A78" w:rsidRPr="00EC1A78" w:rsidRDefault="00EC1A78" w:rsidP="00EC1A78">
      <w:pPr>
        <w:jc w:val="both"/>
        <w:rPr>
          <w:rFonts w:eastAsiaTheme="minorHAnsi"/>
          <w:bCs/>
          <w:sz w:val="22"/>
          <w:szCs w:val="22"/>
          <w:lang w:eastAsia="en-US"/>
        </w:rPr>
      </w:pPr>
    </w:p>
    <w:p w:rsidR="00EC1A78" w:rsidRPr="00EC1A78" w:rsidRDefault="00EC1A78" w:rsidP="00EC1A78">
      <w:pPr>
        <w:jc w:val="center"/>
        <w:rPr>
          <w:rFonts w:eastAsiaTheme="minorHAnsi"/>
          <w:bCs/>
          <w:sz w:val="22"/>
          <w:szCs w:val="22"/>
          <w:lang w:eastAsia="en-US"/>
        </w:rPr>
      </w:pPr>
      <w:r w:rsidRPr="00EC1A78">
        <w:rPr>
          <w:rFonts w:eastAsiaTheme="minorHAnsi"/>
          <w:bCs/>
          <w:sz w:val="22"/>
          <w:szCs w:val="22"/>
          <w:lang w:eastAsia="en-US"/>
        </w:rPr>
        <w:t>Список литературы</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1. Ембулаева Н. Ю. Обеспечение прав обвиняемого в истории российского права: дисс. … канд. юрид. наук. Краснодар, 2002. С.  174.</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2. Стройкова А. С. К вопросу о достаточности оснований для предъявления обвинения // Вестник Адыгейского государственного университета. Серия 1: Регионоведение: философия, история, с</w:t>
      </w:r>
      <w:r w:rsidRPr="00EC1A78">
        <w:rPr>
          <w:rFonts w:eastAsiaTheme="minorHAnsi"/>
          <w:bCs/>
          <w:sz w:val="22"/>
          <w:szCs w:val="22"/>
          <w:lang w:eastAsia="en-US"/>
        </w:rPr>
        <w:t>о</w:t>
      </w:r>
      <w:r w:rsidRPr="00EC1A78">
        <w:rPr>
          <w:rFonts w:eastAsiaTheme="minorHAnsi"/>
          <w:bCs/>
          <w:sz w:val="22"/>
          <w:szCs w:val="22"/>
          <w:lang w:eastAsia="en-US"/>
        </w:rPr>
        <w:t xml:space="preserve">циология, юриспруденция, политология, культурология.2008. № 8. </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3. Белкин Р. С. Собирание, исследование и оценка доказ</w:t>
      </w:r>
      <w:r w:rsidRPr="00EC1A78">
        <w:rPr>
          <w:rFonts w:eastAsiaTheme="minorHAnsi"/>
          <w:bCs/>
          <w:sz w:val="22"/>
          <w:szCs w:val="22"/>
          <w:lang w:eastAsia="en-US"/>
        </w:rPr>
        <w:t>а</w:t>
      </w:r>
      <w:r w:rsidRPr="00EC1A78">
        <w:rPr>
          <w:rFonts w:eastAsiaTheme="minorHAnsi"/>
          <w:bCs/>
          <w:sz w:val="22"/>
          <w:szCs w:val="22"/>
          <w:lang w:eastAsia="en-US"/>
        </w:rPr>
        <w:t>тельств. Сущность и методы. М., 1966. С. 85.</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4. Ульянова Л. Т. О достаточности доказательств // Вестник МГУ. Сер. 12. Право. 1974. №6. С. 30.</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5. Лупинская П. А. Решения в уголовном судопроизводстве. Их виды, содержание и формы. М., 1976. С. 93–94.</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5B6CDF" w:rsidRPr="00EC1A78" w:rsidRDefault="005B6CDF" w:rsidP="00EC1A78">
      <w:pPr>
        <w:jc w:val="both"/>
        <w:rPr>
          <w:rFonts w:eastAsiaTheme="minorHAnsi"/>
          <w:sz w:val="22"/>
          <w:szCs w:val="22"/>
          <w:lang w:eastAsia="en-US"/>
        </w:rPr>
      </w:pPr>
    </w:p>
    <w:p w:rsidR="00EC1A78" w:rsidRPr="00EC1A78" w:rsidRDefault="00EC1A78" w:rsidP="00EC1A78">
      <w:pPr>
        <w:rPr>
          <w:rFonts w:eastAsiaTheme="minorHAnsi"/>
          <w:color w:val="000000"/>
          <w:sz w:val="22"/>
          <w:szCs w:val="22"/>
          <w:lang w:eastAsia="en-US"/>
        </w:rPr>
      </w:pPr>
      <w:r w:rsidRPr="00EC1A78">
        <w:rPr>
          <w:rFonts w:eastAsiaTheme="minorHAnsi"/>
          <w:sz w:val="22"/>
          <w:szCs w:val="22"/>
          <w:lang w:eastAsia="en-US"/>
        </w:rPr>
        <w:t xml:space="preserve">УДК </w:t>
      </w:r>
      <w:r w:rsidRPr="00EC1A78">
        <w:rPr>
          <w:rFonts w:eastAsiaTheme="minorHAnsi"/>
          <w:color w:val="000000"/>
          <w:sz w:val="22"/>
          <w:szCs w:val="22"/>
          <w:lang w:eastAsia="en-US"/>
        </w:rPr>
        <w:t>341.1/8</w:t>
      </w:r>
    </w:p>
    <w:p w:rsidR="00EC1A78" w:rsidRPr="00EC1A78" w:rsidRDefault="00EC1A78" w:rsidP="00EC1A78">
      <w:pPr>
        <w:ind w:left="425"/>
        <w:jc w:val="center"/>
        <w:rPr>
          <w:rFonts w:eastAsiaTheme="minorHAnsi"/>
          <w:b/>
          <w:sz w:val="24"/>
          <w:szCs w:val="24"/>
          <w:lang w:eastAsia="en-US"/>
        </w:rPr>
      </w:pPr>
    </w:p>
    <w:p w:rsidR="00EC1A78" w:rsidRPr="00EC1A78" w:rsidRDefault="00EC1A78" w:rsidP="00EC1A78">
      <w:pPr>
        <w:ind w:left="425"/>
        <w:jc w:val="center"/>
        <w:rPr>
          <w:rFonts w:eastAsiaTheme="minorHAnsi"/>
          <w:b/>
          <w:sz w:val="24"/>
          <w:szCs w:val="24"/>
          <w:lang w:eastAsia="en-US"/>
        </w:rPr>
      </w:pPr>
      <w:r w:rsidRPr="00EC1A78">
        <w:rPr>
          <w:rFonts w:eastAsiaTheme="minorHAnsi"/>
          <w:b/>
          <w:sz w:val="24"/>
          <w:szCs w:val="24"/>
          <w:lang w:eastAsia="en-US"/>
        </w:rPr>
        <w:t>Государственный суверенитет как основная категория в реализации со</w:t>
      </w:r>
      <w:r w:rsidR="003A6F86">
        <w:rPr>
          <w:rFonts w:eastAsiaTheme="minorHAnsi"/>
          <w:b/>
          <w:sz w:val="24"/>
          <w:szCs w:val="24"/>
          <w:lang w:eastAsia="en-US"/>
        </w:rPr>
        <w:t>временного международного права</w:t>
      </w:r>
    </w:p>
    <w:p w:rsidR="00EC1A78" w:rsidRPr="003A6F86" w:rsidRDefault="00EC1A78" w:rsidP="00EC1A78">
      <w:pPr>
        <w:ind w:left="425"/>
        <w:jc w:val="center"/>
        <w:rPr>
          <w:rFonts w:eastAsiaTheme="minorHAnsi"/>
          <w:b/>
          <w:sz w:val="24"/>
          <w:szCs w:val="24"/>
          <w:lang w:val="en-US" w:eastAsia="en-US"/>
        </w:rPr>
      </w:pPr>
      <w:r w:rsidRPr="00EC1A78">
        <w:rPr>
          <w:rFonts w:eastAsiaTheme="minorHAnsi"/>
          <w:b/>
          <w:sz w:val="24"/>
          <w:szCs w:val="24"/>
          <w:lang w:val="en-US" w:eastAsia="en-US"/>
        </w:rPr>
        <w:t xml:space="preserve">State sovereignty as the main category in the </w:t>
      </w:r>
      <w:r w:rsidR="003A6F86" w:rsidRPr="003A6F86">
        <w:rPr>
          <w:rFonts w:eastAsiaTheme="minorHAnsi"/>
          <w:b/>
          <w:sz w:val="24"/>
          <w:szCs w:val="24"/>
          <w:lang w:val="en-US" w:eastAsia="en-US"/>
        </w:rPr>
        <w:br/>
      </w:r>
      <w:r w:rsidRPr="00EC1A78">
        <w:rPr>
          <w:rFonts w:eastAsiaTheme="minorHAnsi"/>
          <w:b/>
          <w:sz w:val="24"/>
          <w:szCs w:val="24"/>
          <w:lang w:val="en-US" w:eastAsia="en-US"/>
        </w:rPr>
        <w:t>implementat</w:t>
      </w:r>
      <w:r w:rsidR="003A6F86">
        <w:rPr>
          <w:rFonts w:eastAsiaTheme="minorHAnsi"/>
          <w:b/>
          <w:sz w:val="24"/>
          <w:szCs w:val="24"/>
          <w:lang w:val="en-US" w:eastAsia="en-US"/>
        </w:rPr>
        <w:t>ion of modern international law</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Вовк Е.</w:t>
      </w:r>
      <w:r w:rsidR="003A6F86">
        <w:rPr>
          <w:rFonts w:eastAsiaTheme="minorHAnsi"/>
          <w:sz w:val="22"/>
          <w:szCs w:val="24"/>
          <w:lang w:eastAsia="en-US"/>
        </w:rPr>
        <w:t xml:space="preserve"> </w:t>
      </w:r>
      <w:r w:rsidRPr="00EC1A78">
        <w:rPr>
          <w:rFonts w:eastAsiaTheme="minorHAnsi"/>
          <w:sz w:val="22"/>
          <w:szCs w:val="24"/>
          <w:lang w:eastAsia="en-US"/>
        </w:rPr>
        <w:t xml:space="preserve">А.,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студентка 4-го курса юридического факультета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Красницкая А.</w:t>
      </w:r>
      <w:r w:rsidR="003A6F86">
        <w:rPr>
          <w:rFonts w:eastAsiaTheme="minorHAnsi"/>
          <w:sz w:val="22"/>
          <w:szCs w:val="24"/>
          <w:lang w:eastAsia="en-US"/>
        </w:rPr>
        <w:t xml:space="preserve"> </w:t>
      </w:r>
      <w:r w:rsidRPr="00EC1A78">
        <w:rPr>
          <w:rFonts w:eastAsiaTheme="minorHAnsi"/>
          <w:sz w:val="22"/>
          <w:szCs w:val="24"/>
          <w:lang w:eastAsia="en-US"/>
        </w:rPr>
        <w:t>В.,</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доцент кафедры государственного и международного права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Кубанский государственный аграрный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университет имени И.Т. Трубилина</w:t>
      </w:r>
    </w:p>
    <w:p w:rsidR="00EC1A78" w:rsidRPr="00EC1A78" w:rsidRDefault="00EC1A78" w:rsidP="00EC1A78">
      <w:pPr>
        <w:jc w:val="right"/>
        <w:rPr>
          <w:rFonts w:eastAsiaTheme="minorHAnsi"/>
          <w:sz w:val="22"/>
          <w:szCs w:val="24"/>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АННОТАЦИЯ: </w:t>
      </w:r>
      <w:r w:rsidRPr="00EC1A78">
        <w:rPr>
          <w:rFonts w:eastAsiaTheme="minorHAnsi"/>
          <w:color w:val="000000"/>
          <w:sz w:val="22"/>
          <w:szCs w:val="22"/>
          <w:lang w:eastAsia="en-US"/>
        </w:rPr>
        <w:t>В статье рассмотрен государственный сувер</w:t>
      </w:r>
      <w:r w:rsidRPr="00EC1A78">
        <w:rPr>
          <w:rFonts w:eastAsiaTheme="minorHAnsi"/>
          <w:color w:val="000000"/>
          <w:sz w:val="22"/>
          <w:szCs w:val="22"/>
          <w:lang w:eastAsia="en-US"/>
        </w:rPr>
        <w:t>е</w:t>
      </w:r>
      <w:r w:rsidRPr="00EC1A78">
        <w:rPr>
          <w:rFonts w:eastAsiaTheme="minorHAnsi"/>
          <w:color w:val="000000"/>
          <w:sz w:val="22"/>
          <w:szCs w:val="22"/>
          <w:lang w:eastAsia="en-US"/>
        </w:rPr>
        <w:t xml:space="preserve">нитет как постулат международного права. Исследованы некоторые </w:t>
      </w:r>
      <w:r w:rsidRPr="00EC1A78">
        <w:rPr>
          <w:rFonts w:eastAsiaTheme="minorHAnsi"/>
          <w:color w:val="000000"/>
          <w:sz w:val="22"/>
          <w:szCs w:val="22"/>
          <w:lang w:eastAsia="en-US"/>
        </w:rPr>
        <w:lastRenderedPageBreak/>
        <w:t>актуальные проблемы применения принципов в международном праве при реализации государственной политики.</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The article considers state sovereignty as a postulate of international law. Some actual problems of the application of princ</w:t>
      </w:r>
      <w:r w:rsidRPr="00EC1A78">
        <w:rPr>
          <w:rFonts w:eastAsiaTheme="minorHAnsi"/>
          <w:sz w:val="22"/>
          <w:szCs w:val="22"/>
          <w:lang w:val="en-US" w:eastAsia="en-US"/>
        </w:rPr>
        <w:t>i</w:t>
      </w:r>
      <w:r w:rsidRPr="00EC1A78">
        <w:rPr>
          <w:rFonts w:eastAsiaTheme="minorHAnsi"/>
          <w:sz w:val="22"/>
          <w:szCs w:val="22"/>
          <w:lang w:val="en-US" w:eastAsia="en-US"/>
        </w:rPr>
        <w:t>ples in international law in the exercise of state sovereignty are invest</w:t>
      </w:r>
      <w:r w:rsidRPr="00EC1A78">
        <w:rPr>
          <w:rFonts w:eastAsiaTheme="minorHAnsi"/>
          <w:sz w:val="22"/>
          <w:szCs w:val="22"/>
          <w:lang w:val="en-US" w:eastAsia="en-US"/>
        </w:rPr>
        <w:t>i</w:t>
      </w:r>
      <w:r w:rsidRPr="00EC1A78">
        <w:rPr>
          <w:rFonts w:eastAsiaTheme="minorHAnsi"/>
          <w:sz w:val="22"/>
          <w:szCs w:val="22"/>
          <w:lang w:val="en-US" w:eastAsia="en-US"/>
        </w:rPr>
        <w:t>gated.</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КЛЮЧЕВЫЕ СЛОВА: государственный суверенитет, принц</w:t>
      </w:r>
      <w:r w:rsidRPr="00EC1A78">
        <w:rPr>
          <w:rFonts w:eastAsiaTheme="minorHAnsi"/>
          <w:sz w:val="22"/>
          <w:szCs w:val="24"/>
          <w:lang w:eastAsia="en-US"/>
        </w:rPr>
        <w:t>и</w:t>
      </w:r>
      <w:r w:rsidRPr="00EC1A78">
        <w:rPr>
          <w:rFonts w:eastAsiaTheme="minorHAnsi"/>
          <w:sz w:val="22"/>
          <w:szCs w:val="24"/>
          <w:lang w:eastAsia="en-US"/>
        </w:rPr>
        <w:t>пы международного права, суверенное равенство.</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val="en-US" w:eastAsia="en-US"/>
        </w:rPr>
        <w:t>KEYWORDS: state sovereignty, the principles of international law, sovereign equality.</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Государственный суверенитет является базисом, на котором основываются современные международные отношения. Совреме</w:t>
      </w:r>
      <w:r w:rsidRPr="00EC1A78">
        <w:rPr>
          <w:rFonts w:eastAsiaTheme="minorEastAsia"/>
          <w:sz w:val="22"/>
          <w:szCs w:val="22"/>
        </w:rPr>
        <w:t>н</w:t>
      </w:r>
      <w:r w:rsidRPr="00EC1A78">
        <w:rPr>
          <w:rFonts w:eastAsiaTheme="minorEastAsia"/>
          <w:sz w:val="22"/>
          <w:szCs w:val="22"/>
        </w:rPr>
        <w:t>ное международное право основывается на следующих фундаме</w:t>
      </w:r>
      <w:r w:rsidRPr="00EC1A78">
        <w:rPr>
          <w:rFonts w:eastAsiaTheme="minorEastAsia"/>
          <w:sz w:val="22"/>
          <w:szCs w:val="22"/>
        </w:rPr>
        <w:t>н</w:t>
      </w:r>
      <w:r w:rsidRPr="00EC1A78">
        <w:rPr>
          <w:rFonts w:eastAsiaTheme="minorEastAsia"/>
          <w:sz w:val="22"/>
          <w:szCs w:val="22"/>
        </w:rPr>
        <w:t>тальных принципах: уважения государственного суверенитета; с</w:t>
      </w:r>
      <w:r w:rsidRPr="00EC1A78">
        <w:rPr>
          <w:rFonts w:eastAsiaTheme="minorEastAsia"/>
          <w:sz w:val="22"/>
          <w:szCs w:val="22"/>
        </w:rPr>
        <w:t>у</w:t>
      </w:r>
      <w:r w:rsidRPr="00EC1A78">
        <w:rPr>
          <w:rFonts w:eastAsiaTheme="minorEastAsia"/>
          <w:sz w:val="22"/>
          <w:szCs w:val="22"/>
        </w:rPr>
        <w:t>веренного равенства государств, невмешательства во внутренние дела государства; неприменения силы или угрозы силой; признания нерушимости границ, разрешения споров мирными средствами. Т</w:t>
      </w:r>
      <w:r w:rsidRPr="00EC1A78">
        <w:rPr>
          <w:rFonts w:eastAsiaTheme="minorEastAsia"/>
          <w:sz w:val="22"/>
          <w:szCs w:val="22"/>
        </w:rPr>
        <w:t>а</w:t>
      </w:r>
      <w:r w:rsidRPr="00EC1A78">
        <w:rPr>
          <w:rFonts w:eastAsiaTheme="minorEastAsia"/>
          <w:sz w:val="22"/>
          <w:szCs w:val="22"/>
        </w:rPr>
        <w:t>кой подход обеспечивает наиболее полную реализацию больши</w:t>
      </w:r>
      <w:r w:rsidRPr="00EC1A78">
        <w:rPr>
          <w:rFonts w:eastAsiaTheme="minorEastAsia"/>
          <w:sz w:val="22"/>
          <w:szCs w:val="22"/>
        </w:rPr>
        <w:t>н</w:t>
      </w:r>
      <w:r w:rsidRPr="00EC1A78">
        <w:rPr>
          <w:rFonts w:eastAsiaTheme="minorEastAsia"/>
          <w:sz w:val="22"/>
          <w:szCs w:val="22"/>
        </w:rPr>
        <w:t>ством государств своих национальных интересов, возможность н</w:t>
      </w:r>
      <w:r w:rsidRPr="00EC1A78">
        <w:rPr>
          <w:rFonts w:eastAsiaTheme="minorEastAsia"/>
          <w:sz w:val="22"/>
          <w:szCs w:val="22"/>
        </w:rPr>
        <w:t>е</w:t>
      </w:r>
      <w:r w:rsidRPr="00EC1A78">
        <w:rPr>
          <w:rFonts w:eastAsiaTheme="minorEastAsia"/>
          <w:sz w:val="22"/>
          <w:szCs w:val="22"/>
        </w:rPr>
        <w:t>зависимого развития внутри</w:t>
      </w:r>
      <w:r w:rsidR="005B6CDF">
        <w:rPr>
          <w:rFonts w:eastAsiaTheme="minorEastAsia"/>
          <w:sz w:val="22"/>
          <w:szCs w:val="22"/>
        </w:rPr>
        <w:t xml:space="preserve"> </w:t>
      </w:r>
      <w:r w:rsidRPr="00EC1A78">
        <w:rPr>
          <w:rFonts w:eastAsiaTheme="minorEastAsia"/>
          <w:sz w:val="22"/>
          <w:szCs w:val="22"/>
        </w:rPr>
        <w:t>- и межгосударственных политических, социальных, экономических и культурных отношений. Совреме</w:t>
      </w:r>
      <w:r w:rsidRPr="00EC1A78">
        <w:rPr>
          <w:rFonts w:eastAsiaTheme="minorEastAsia"/>
          <w:sz w:val="22"/>
          <w:szCs w:val="22"/>
        </w:rPr>
        <w:t>н</w:t>
      </w:r>
      <w:r w:rsidRPr="00EC1A78">
        <w:rPr>
          <w:rFonts w:eastAsiaTheme="minorEastAsia"/>
          <w:sz w:val="22"/>
          <w:szCs w:val="22"/>
        </w:rPr>
        <w:t>ное международное право во всех своих принципах так или иначе отражает государственный суверенитет</w:t>
      </w:r>
      <w:r w:rsidRPr="00EC1A78">
        <w:rPr>
          <w:rFonts w:eastAsiaTheme="minorEastAsia"/>
          <w:sz w:val="20"/>
          <w:szCs w:val="20"/>
        </w:rPr>
        <w:t xml:space="preserve">, </w:t>
      </w:r>
      <w:r w:rsidRPr="00EC1A78">
        <w:rPr>
          <w:rFonts w:eastAsiaTheme="minorEastAsia"/>
          <w:sz w:val="24"/>
          <w:szCs w:val="24"/>
        </w:rPr>
        <w:t>поскольку</w:t>
      </w:r>
      <w:r w:rsidRPr="00EC1A78">
        <w:rPr>
          <w:rFonts w:eastAsiaTheme="minorEastAsia"/>
          <w:sz w:val="22"/>
          <w:szCs w:val="22"/>
        </w:rPr>
        <w:t xml:space="preserve"> государстве</w:t>
      </w:r>
      <w:r w:rsidRPr="00EC1A78">
        <w:rPr>
          <w:rFonts w:eastAsiaTheme="minorEastAsia"/>
          <w:sz w:val="22"/>
          <w:szCs w:val="22"/>
        </w:rPr>
        <w:t>н</w:t>
      </w:r>
      <w:r w:rsidRPr="00EC1A78">
        <w:rPr>
          <w:rFonts w:eastAsiaTheme="minorEastAsia"/>
          <w:sz w:val="22"/>
          <w:szCs w:val="22"/>
        </w:rPr>
        <w:t>ный суверенитет в современном международном праве — это как точка отсчета.</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Выстраивая между собой отношения, государство опираются исключительно на равенство суверенитетов.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конституционно-правовой доктрине территориальное верх</w:t>
      </w:r>
      <w:r w:rsidRPr="00EC1A78">
        <w:rPr>
          <w:rFonts w:eastAsiaTheme="minorHAnsi"/>
          <w:sz w:val="22"/>
          <w:szCs w:val="22"/>
          <w:lang w:eastAsia="en-US"/>
        </w:rPr>
        <w:t>о</w:t>
      </w:r>
      <w:r w:rsidRPr="00EC1A78">
        <w:rPr>
          <w:rFonts w:eastAsiaTheme="minorHAnsi"/>
          <w:sz w:val="22"/>
          <w:szCs w:val="22"/>
          <w:lang w:eastAsia="en-US"/>
        </w:rPr>
        <w:t>венство выступает основным элементом государственного сувер</w:t>
      </w:r>
      <w:r w:rsidRPr="00EC1A78">
        <w:rPr>
          <w:rFonts w:eastAsiaTheme="minorHAnsi"/>
          <w:sz w:val="22"/>
          <w:szCs w:val="22"/>
          <w:lang w:eastAsia="en-US"/>
        </w:rPr>
        <w:t>е</w:t>
      </w:r>
      <w:r w:rsidRPr="00EC1A78">
        <w:rPr>
          <w:rFonts w:eastAsiaTheme="minorHAnsi"/>
          <w:sz w:val="22"/>
          <w:szCs w:val="22"/>
          <w:lang w:eastAsia="en-US"/>
        </w:rPr>
        <w:t>нитета. Одним из векторов реализации возможностей государства являются всестороннее развитие и надежная защита национальной территории. В связи с этим в основных законах зарубежных стран могут приводиться главы о национальных территориях и их пер</w:t>
      </w:r>
      <w:r w:rsidRPr="00EC1A78">
        <w:rPr>
          <w:rFonts w:eastAsiaTheme="minorHAnsi"/>
          <w:sz w:val="22"/>
          <w:szCs w:val="22"/>
          <w:lang w:eastAsia="en-US"/>
        </w:rPr>
        <w:t>е</w:t>
      </w:r>
      <w:r w:rsidRPr="00EC1A78">
        <w:rPr>
          <w:rFonts w:eastAsiaTheme="minorHAnsi"/>
          <w:sz w:val="22"/>
          <w:szCs w:val="22"/>
          <w:lang w:eastAsia="en-US"/>
        </w:rPr>
        <w:t xml:space="preserve">чень.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В конституциях ряда государств провозглашается цель восст</w:t>
      </w:r>
      <w:r w:rsidRPr="00EC1A78">
        <w:rPr>
          <w:rFonts w:eastAsiaTheme="minorEastAsia"/>
          <w:sz w:val="22"/>
          <w:szCs w:val="22"/>
        </w:rPr>
        <w:t>а</w:t>
      </w:r>
      <w:r w:rsidRPr="00EC1A78">
        <w:rPr>
          <w:rFonts w:eastAsiaTheme="minorEastAsia"/>
          <w:sz w:val="22"/>
          <w:szCs w:val="22"/>
        </w:rPr>
        <w:t>новления территориальной целостности и подтверждения суверен</w:t>
      </w:r>
      <w:r w:rsidRPr="00EC1A78">
        <w:rPr>
          <w:rFonts w:eastAsiaTheme="minorEastAsia"/>
          <w:sz w:val="22"/>
          <w:szCs w:val="22"/>
        </w:rPr>
        <w:t>и</w:t>
      </w:r>
      <w:r w:rsidRPr="00EC1A78">
        <w:rPr>
          <w:rFonts w:eastAsiaTheme="minorEastAsia"/>
          <w:sz w:val="22"/>
          <w:szCs w:val="22"/>
        </w:rPr>
        <w:t>тета над спорными территориями. К примеру, в ч. 3 ст. 66 Конст</w:t>
      </w:r>
      <w:r w:rsidRPr="00EC1A78">
        <w:rPr>
          <w:rFonts w:eastAsiaTheme="minorEastAsia"/>
          <w:sz w:val="22"/>
          <w:szCs w:val="22"/>
        </w:rPr>
        <w:t>и</w:t>
      </w:r>
      <w:r w:rsidRPr="00EC1A78">
        <w:rPr>
          <w:rFonts w:eastAsiaTheme="minorEastAsia"/>
          <w:sz w:val="22"/>
          <w:szCs w:val="22"/>
        </w:rPr>
        <w:lastRenderedPageBreak/>
        <w:t xml:space="preserve">туции Республики Корея сформулирована обязанность Президента Кореи «добиваться мирного объединения Родины».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Вопросы установления границ и территории государств трад</w:t>
      </w:r>
      <w:r w:rsidRPr="00EC1A78">
        <w:rPr>
          <w:rFonts w:eastAsiaTheme="minorEastAsia"/>
          <w:sz w:val="22"/>
          <w:szCs w:val="22"/>
        </w:rPr>
        <w:t>и</w:t>
      </w:r>
      <w:r w:rsidRPr="00EC1A78">
        <w:rPr>
          <w:rFonts w:eastAsiaTheme="minorEastAsia"/>
          <w:sz w:val="22"/>
          <w:szCs w:val="22"/>
        </w:rPr>
        <w:t>ционно регулируются не только конституционным законодател</w:t>
      </w:r>
      <w:r w:rsidRPr="00EC1A78">
        <w:rPr>
          <w:rFonts w:eastAsiaTheme="minorEastAsia"/>
          <w:sz w:val="22"/>
          <w:szCs w:val="22"/>
        </w:rPr>
        <w:t>ь</w:t>
      </w:r>
      <w:r w:rsidRPr="00EC1A78">
        <w:rPr>
          <w:rFonts w:eastAsiaTheme="minorEastAsia"/>
          <w:sz w:val="22"/>
          <w:szCs w:val="22"/>
        </w:rPr>
        <w:t>ством, но и общепризнанными нормами и принципами междун</w:t>
      </w:r>
      <w:r w:rsidRPr="00EC1A78">
        <w:rPr>
          <w:rFonts w:eastAsiaTheme="minorEastAsia"/>
          <w:sz w:val="22"/>
          <w:szCs w:val="22"/>
        </w:rPr>
        <w:t>а</w:t>
      </w:r>
      <w:r w:rsidRPr="00EC1A78">
        <w:rPr>
          <w:rFonts w:eastAsiaTheme="minorEastAsia"/>
          <w:sz w:val="22"/>
          <w:szCs w:val="22"/>
        </w:rPr>
        <w:t>родного права. Исходя из этого практика Международного Суда ООН представляет большую ценность, в результате которой Суд ООН выявил признаки осуществления государственного суверен</w:t>
      </w:r>
      <w:r w:rsidRPr="00EC1A78">
        <w:rPr>
          <w:rFonts w:eastAsiaTheme="minorEastAsia"/>
          <w:sz w:val="22"/>
          <w:szCs w:val="22"/>
        </w:rPr>
        <w:t>и</w:t>
      </w:r>
      <w:r w:rsidRPr="00EC1A78">
        <w:rPr>
          <w:rFonts w:eastAsiaTheme="minorEastAsia"/>
          <w:sz w:val="22"/>
          <w:szCs w:val="22"/>
        </w:rPr>
        <w:t xml:space="preserve">тета на спорных территориях, сформулировал, обеспечивающие справедливую делимитацию, обстоятельства и международные принципы установления границ.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Суверенитет государства может быть подорван и утрачен, в следствии чего снижаются качественные характеристики реализ</w:t>
      </w:r>
      <w:r w:rsidRPr="00EC1A78">
        <w:rPr>
          <w:rFonts w:eastAsiaTheme="minorEastAsia"/>
          <w:sz w:val="22"/>
          <w:szCs w:val="22"/>
        </w:rPr>
        <w:t>а</w:t>
      </w:r>
      <w:r w:rsidRPr="00EC1A78">
        <w:rPr>
          <w:rFonts w:eastAsiaTheme="minorEastAsia"/>
          <w:sz w:val="22"/>
          <w:szCs w:val="22"/>
        </w:rPr>
        <w:t>ции функций государства в наиболее важных сферах общественной жизни или полностью утрачивается способности государства ос</w:t>
      </w:r>
      <w:r w:rsidRPr="00EC1A78">
        <w:rPr>
          <w:rFonts w:eastAsiaTheme="minorEastAsia"/>
          <w:sz w:val="22"/>
          <w:szCs w:val="22"/>
        </w:rPr>
        <w:t>у</w:t>
      </w:r>
      <w:r w:rsidRPr="00EC1A78">
        <w:rPr>
          <w:rFonts w:eastAsiaTheme="minorEastAsia"/>
          <w:sz w:val="22"/>
          <w:szCs w:val="22"/>
        </w:rPr>
        <w:t>ществлять самостоятельное управление делами общества и госуда</w:t>
      </w:r>
      <w:r w:rsidRPr="00EC1A78">
        <w:rPr>
          <w:rFonts w:eastAsiaTheme="minorEastAsia"/>
          <w:sz w:val="22"/>
          <w:szCs w:val="22"/>
        </w:rPr>
        <w:t>р</w:t>
      </w:r>
      <w:r w:rsidRPr="00EC1A78">
        <w:rPr>
          <w:rFonts w:eastAsiaTheme="minorEastAsia"/>
          <w:sz w:val="22"/>
          <w:szCs w:val="22"/>
        </w:rPr>
        <w:t>ства. Исходя их этого государственный суверенитет нуждается в защите.</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Существует система внешних индикаторов - признаков, свид</w:t>
      </w:r>
      <w:r w:rsidRPr="00EC1A78">
        <w:rPr>
          <w:rFonts w:eastAsiaTheme="minorEastAsia"/>
          <w:sz w:val="22"/>
          <w:szCs w:val="22"/>
        </w:rPr>
        <w:t>е</w:t>
      </w:r>
      <w:r w:rsidRPr="00EC1A78">
        <w:rPr>
          <w:rFonts w:eastAsiaTheme="minorEastAsia"/>
          <w:sz w:val="22"/>
          <w:szCs w:val="22"/>
        </w:rPr>
        <w:t>тельствующих об ослаблении и подрыве государственного сувер</w:t>
      </w:r>
      <w:r w:rsidRPr="00EC1A78">
        <w:rPr>
          <w:rFonts w:eastAsiaTheme="minorEastAsia"/>
          <w:sz w:val="22"/>
          <w:szCs w:val="22"/>
        </w:rPr>
        <w:t>е</w:t>
      </w:r>
      <w:r w:rsidRPr="00EC1A78">
        <w:rPr>
          <w:rFonts w:eastAsiaTheme="minorEastAsia"/>
          <w:sz w:val="22"/>
          <w:szCs w:val="22"/>
        </w:rPr>
        <w:t>нитета. Задачи компетентных государственных структур - своевр</w:t>
      </w:r>
      <w:r w:rsidRPr="00EC1A78">
        <w:rPr>
          <w:rFonts w:eastAsiaTheme="minorEastAsia"/>
          <w:sz w:val="22"/>
          <w:szCs w:val="22"/>
        </w:rPr>
        <w:t>е</w:t>
      </w:r>
      <w:r w:rsidRPr="00EC1A78">
        <w:rPr>
          <w:rFonts w:eastAsiaTheme="minorEastAsia"/>
          <w:sz w:val="22"/>
          <w:szCs w:val="22"/>
        </w:rPr>
        <w:t>менно обнаружить и зафиксировать эти признаки, выявить подг</w:t>
      </w:r>
      <w:r w:rsidRPr="00EC1A78">
        <w:rPr>
          <w:rFonts w:eastAsiaTheme="minorEastAsia"/>
          <w:sz w:val="22"/>
          <w:szCs w:val="22"/>
        </w:rPr>
        <w:t>о</w:t>
      </w:r>
      <w:r w:rsidRPr="00EC1A78">
        <w:rPr>
          <w:rFonts w:eastAsiaTheme="minorEastAsia"/>
          <w:sz w:val="22"/>
          <w:szCs w:val="22"/>
        </w:rPr>
        <w:t>товку конкретных антигосударственных сценариев и принять о</w:t>
      </w:r>
      <w:r w:rsidRPr="00EC1A78">
        <w:rPr>
          <w:rFonts w:eastAsiaTheme="minorEastAsia"/>
          <w:sz w:val="22"/>
          <w:szCs w:val="22"/>
        </w:rPr>
        <w:t>т</w:t>
      </w:r>
      <w:r w:rsidRPr="00EC1A78">
        <w:rPr>
          <w:rFonts w:eastAsiaTheme="minorEastAsia"/>
          <w:sz w:val="22"/>
          <w:szCs w:val="22"/>
        </w:rPr>
        <w:t>ветные меры реагирования: ослабить воздействие или нейтрализ</w:t>
      </w:r>
      <w:r w:rsidRPr="00EC1A78">
        <w:rPr>
          <w:rFonts w:eastAsiaTheme="minorEastAsia"/>
          <w:sz w:val="22"/>
          <w:szCs w:val="22"/>
        </w:rPr>
        <w:t>о</w:t>
      </w:r>
      <w:r w:rsidRPr="00EC1A78">
        <w:rPr>
          <w:rFonts w:eastAsiaTheme="minorEastAsia"/>
          <w:sz w:val="22"/>
          <w:szCs w:val="22"/>
        </w:rPr>
        <w:t>вать угрозообразующие факторы, инициировать адекватные мех</w:t>
      </w:r>
      <w:r w:rsidRPr="00EC1A78">
        <w:rPr>
          <w:rFonts w:eastAsiaTheme="minorEastAsia"/>
          <w:sz w:val="22"/>
          <w:szCs w:val="22"/>
        </w:rPr>
        <w:t>а</w:t>
      </w:r>
      <w:r w:rsidRPr="00EC1A78">
        <w:rPr>
          <w:rFonts w:eastAsiaTheme="minorEastAsia"/>
          <w:sz w:val="22"/>
          <w:szCs w:val="22"/>
        </w:rPr>
        <w:t>низмы защиты государственного суверенитета.</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Механизмы ослабления и подрыва государственного суверен</w:t>
      </w:r>
      <w:r w:rsidRPr="00EC1A78">
        <w:rPr>
          <w:rFonts w:eastAsiaTheme="minorEastAsia"/>
          <w:sz w:val="22"/>
          <w:szCs w:val="22"/>
        </w:rPr>
        <w:t>и</w:t>
      </w:r>
      <w:r w:rsidRPr="00EC1A78">
        <w:rPr>
          <w:rFonts w:eastAsiaTheme="minorEastAsia"/>
          <w:sz w:val="22"/>
          <w:szCs w:val="22"/>
        </w:rPr>
        <w:t>тета, с одной стороны, и механизмы защиты государственного с</w:t>
      </w:r>
      <w:r w:rsidRPr="00EC1A78">
        <w:rPr>
          <w:rFonts w:eastAsiaTheme="minorEastAsia"/>
          <w:sz w:val="22"/>
          <w:szCs w:val="22"/>
        </w:rPr>
        <w:t>у</w:t>
      </w:r>
      <w:r w:rsidRPr="00EC1A78">
        <w:rPr>
          <w:rFonts w:eastAsiaTheme="minorEastAsia"/>
          <w:sz w:val="22"/>
          <w:szCs w:val="22"/>
        </w:rPr>
        <w:t>веренитета, с другой, тесно взаимосвязаны и включают весь арсенал экономических, политических, дипломатических, идеологических, правовых и иных методов.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Руководство США и их союзники проводят политику глобал</w:t>
      </w:r>
      <w:r w:rsidRPr="00EC1A78">
        <w:rPr>
          <w:rFonts w:eastAsiaTheme="minorHAnsi"/>
          <w:sz w:val="22"/>
          <w:szCs w:val="22"/>
          <w:lang w:eastAsia="en-US"/>
        </w:rPr>
        <w:t>ь</w:t>
      </w:r>
      <w:r w:rsidRPr="00EC1A78">
        <w:rPr>
          <w:rFonts w:eastAsiaTheme="minorHAnsi"/>
          <w:sz w:val="22"/>
          <w:szCs w:val="22"/>
          <w:lang w:eastAsia="en-US"/>
        </w:rPr>
        <w:t>ного доминирования, которая предполагает сохранение на макс</w:t>
      </w:r>
      <w:r w:rsidRPr="00EC1A78">
        <w:rPr>
          <w:rFonts w:eastAsiaTheme="minorHAnsi"/>
          <w:sz w:val="22"/>
          <w:szCs w:val="22"/>
          <w:lang w:eastAsia="en-US"/>
        </w:rPr>
        <w:t>и</w:t>
      </w:r>
      <w:r w:rsidRPr="00EC1A78">
        <w:rPr>
          <w:rFonts w:eastAsiaTheme="minorHAnsi"/>
          <w:sz w:val="22"/>
          <w:szCs w:val="22"/>
          <w:lang w:eastAsia="en-US"/>
        </w:rPr>
        <w:t>мально возможный период лидирующей роли Соединенных Штатов с помощью нанесения ущерба суверенным государствам, провод</w:t>
      </w:r>
      <w:r w:rsidRPr="00EC1A78">
        <w:rPr>
          <w:rFonts w:eastAsiaTheme="minorHAnsi"/>
          <w:sz w:val="22"/>
          <w:szCs w:val="22"/>
          <w:lang w:eastAsia="en-US"/>
        </w:rPr>
        <w:t>я</w:t>
      </w:r>
      <w:r w:rsidRPr="00EC1A78">
        <w:rPr>
          <w:rFonts w:eastAsiaTheme="minorHAnsi"/>
          <w:sz w:val="22"/>
          <w:szCs w:val="22"/>
          <w:lang w:eastAsia="en-US"/>
        </w:rPr>
        <w:t>щим независимую политику, для чего в настоящее время использ</w:t>
      </w:r>
      <w:r w:rsidRPr="00EC1A78">
        <w:rPr>
          <w:rFonts w:eastAsiaTheme="minorHAnsi"/>
          <w:sz w:val="22"/>
          <w:szCs w:val="22"/>
          <w:lang w:eastAsia="en-US"/>
        </w:rPr>
        <w:t>у</w:t>
      </w:r>
      <w:r w:rsidRPr="00EC1A78">
        <w:rPr>
          <w:rFonts w:eastAsiaTheme="minorHAnsi"/>
          <w:sz w:val="22"/>
          <w:szCs w:val="22"/>
          <w:lang w:eastAsia="en-US"/>
        </w:rPr>
        <w:t>ется ряд механизмов ослабления и подрыва их государственного суверенитета.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В настоящее время в России сформирована независимая нац</w:t>
      </w:r>
      <w:r w:rsidRPr="00EC1A78">
        <w:rPr>
          <w:rFonts w:eastAsiaTheme="minorHAnsi"/>
          <w:sz w:val="22"/>
          <w:szCs w:val="22"/>
          <w:lang w:eastAsia="en-US"/>
        </w:rPr>
        <w:t>и</w:t>
      </w:r>
      <w:r w:rsidRPr="00EC1A78">
        <w:rPr>
          <w:rFonts w:eastAsiaTheme="minorHAnsi"/>
          <w:sz w:val="22"/>
          <w:szCs w:val="22"/>
          <w:lang w:eastAsia="en-US"/>
        </w:rPr>
        <w:t>ональная конституционно-правовая система, позволяющая ос</w:t>
      </w:r>
      <w:r w:rsidRPr="00EC1A78">
        <w:rPr>
          <w:rFonts w:eastAsiaTheme="minorHAnsi"/>
          <w:sz w:val="22"/>
          <w:szCs w:val="22"/>
          <w:lang w:eastAsia="en-US"/>
        </w:rPr>
        <w:t>у</w:t>
      </w:r>
      <w:r w:rsidRPr="00EC1A78">
        <w:rPr>
          <w:rFonts w:eastAsiaTheme="minorHAnsi"/>
          <w:sz w:val="22"/>
          <w:szCs w:val="22"/>
          <w:lang w:eastAsia="en-US"/>
        </w:rPr>
        <w:t>ществлять защиту государственного суверенитета внутри страны и за ее пределами, а также обеспечивать конституционные права и свободы граждан во всех сферах общественной жизни.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Современные государства выстраивая отношения на мировой арене, каждое из своих решений должны основывать именно на р</w:t>
      </w:r>
      <w:r w:rsidRPr="00EC1A78">
        <w:rPr>
          <w:rFonts w:eastAsiaTheme="minorHAnsi"/>
          <w:sz w:val="22"/>
          <w:szCs w:val="22"/>
          <w:lang w:eastAsia="en-US"/>
        </w:rPr>
        <w:t>а</w:t>
      </w:r>
      <w:r w:rsidRPr="00EC1A78">
        <w:rPr>
          <w:rFonts w:eastAsiaTheme="minorHAnsi"/>
          <w:sz w:val="22"/>
          <w:szCs w:val="22"/>
          <w:lang w:eastAsia="en-US"/>
        </w:rPr>
        <w:t>венстве суверенитетов.</w:t>
      </w:r>
    </w:p>
    <w:p w:rsidR="00EC1A78" w:rsidRPr="00EC1A78" w:rsidRDefault="00EC1A78" w:rsidP="00EC1A78">
      <w:pPr>
        <w:ind w:firstLine="708"/>
        <w:rPr>
          <w:rFonts w:eastAsiaTheme="minorHAnsi"/>
          <w:sz w:val="22"/>
          <w:szCs w:val="22"/>
          <w:lang w:eastAsia="en-US"/>
        </w:rPr>
      </w:pPr>
    </w:p>
    <w:p w:rsidR="00EC1A78" w:rsidRPr="00EC1A78" w:rsidRDefault="003A6F86" w:rsidP="00EC1A78">
      <w:pPr>
        <w:ind w:firstLine="708"/>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1. Акимцева Я.В. Формы защиты государственного суверен</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тета // Проблемы современного российского права: Сб. статей Междунар. науч.-практ. конф. Челябинск, 2016.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lang w:eastAsia="en-US"/>
        </w:rPr>
        <w:t>2. Конуров А.И. Предпосылки зарождения и формирования государственного суверенитета // Право и образование. 2015. N 2.</w:t>
      </w:r>
    </w:p>
    <w:p w:rsidR="00EC1A78" w:rsidRPr="00EC1A78" w:rsidRDefault="00EC1A78" w:rsidP="00EC1A78">
      <w:pPr>
        <w:ind w:firstLine="426"/>
        <w:jc w:val="both"/>
        <w:rPr>
          <w:rFonts w:eastAsiaTheme="minorHAnsi"/>
          <w:sz w:val="22"/>
          <w:szCs w:val="22"/>
          <w:shd w:val="clear" w:color="auto" w:fill="FFFFFF"/>
          <w:lang w:val="en-US" w:eastAsia="en-US"/>
        </w:rPr>
      </w:pPr>
      <w:r w:rsidRPr="00EC1A78">
        <w:rPr>
          <w:rFonts w:eastAsiaTheme="minorHAnsi"/>
          <w:sz w:val="22"/>
          <w:szCs w:val="22"/>
          <w:lang w:eastAsia="en-US"/>
        </w:rPr>
        <w:t xml:space="preserve">3. </w:t>
      </w:r>
      <w:r w:rsidRPr="00EC1A78">
        <w:rPr>
          <w:rFonts w:eastAsiaTheme="minorHAnsi"/>
          <w:sz w:val="22"/>
          <w:szCs w:val="22"/>
          <w:shd w:val="clear" w:color="auto" w:fill="FFFFFF"/>
          <w:lang w:eastAsia="en-US"/>
        </w:rPr>
        <w:t>Морозова А.С., Карасев А.Т. Некоторые подходы к поним</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 xml:space="preserve">нию государственного суверенитета // История государства и права. </w:t>
      </w:r>
      <w:r w:rsidRPr="00EC1A78">
        <w:rPr>
          <w:rFonts w:eastAsiaTheme="minorHAnsi"/>
          <w:sz w:val="22"/>
          <w:szCs w:val="22"/>
          <w:shd w:val="clear" w:color="auto" w:fill="FFFFFF"/>
          <w:lang w:val="en-US" w:eastAsia="en-US"/>
        </w:rPr>
        <w:t>2014. N 20.</w:t>
      </w:r>
    </w:p>
    <w:p w:rsidR="00EC1A78" w:rsidRPr="00E62E4B" w:rsidRDefault="00EC1A78" w:rsidP="00EC1A78">
      <w:pPr>
        <w:rPr>
          <w:rFonts w:eastAsiaTheme="minorHAnsi"/>
          <w:color w:val="000000"/>
          <w:sz w:val="22"/>
          <w:szCs w:val="22"/>
          <w:lang w:val="en-US" w:eastAsia="en-US"/>
        </w:rPr>
      </w:pPr>
    </w:p>
    <w:p w:rsidR="003A6F86" w:rsidRPr="00E62E4B" w:rsidRDefault="003A6F86" w:rsidP="00EC1A78">
      <w:pPr>
        <w:rPr>
          <w:rFonts w:eastAsiaTheme="minorHAnsi"/>
          <w:color w:val="000000"/>
          <w:sz w:val="22"/>
          <w:szCs w:val="22"/>
          <w:lang w:val="en-US" w:eastAsia="en-US"/>
        </w:rPr>
      </w:pPr>
    </w:p>
    <w:p w:rsidR="00EB59EF" w:rsidRPr="008D33CB" w:rsidRDefault="00EB59EF" w:rsidP="00EC1A78">
      <w:pPr>
        <w:rPr>
          <w:rFonts w:eastAsiaTheme="minorHAnsi"/>
          <w:color w:val="000000"/>
          <w:sz w:val="22"/>
          <w:szCs w:val="22"/>
          <w:lang w:val="en-US" w:eastAsia="en-US"/>
        </w:rPr>
      </w:pPr>
    </w:p>
    <w:p w:rsidR="00EC1A78" w:rsidRPr="00EC1A78" w:rsidRDefault="00EC1A78" w:rsidP="00EC1A78">
      <w:pPr>
        <w:rPr>
          <w:rFonts w:eastAsiaTheme="minorHAnsi"/>
          <w:color w:val="000000"/>
          <w:sz w:val="22"/>
          <w:szCs w:val="22"/>
          <w:lang w:val="en-US" w:eastAsia="en-US"/>
        </w:rPr>
      </w:pPr>
      <w:r w:rsidRPr="00EC1A78">
        <w:rPr>
          <w:rFonts w:eastAsiaTheme="minorHAnsi"/>
          <w:color w:val="000000"/>
          <w:sz w:val="22"/>
          <w:szCs w:val="22"/>
          <w:lang w:eastAsia="en-US"/>
        </w:rPr>
        <w:t>УДК</w:t>
      </w:r>
      <w:r w:rsidRPr="00EC1A78">
        <w:rPr>
          <w:rFonts w:eastAsiaTheme="minorHAnsi"/>
          <w:color w:val="000000"/>
          <w:sz w:val="22"/>
          <w:szCs w:val="22"/>
          <w:lang w:val="en-US" w:eastAsia="en-US"/>
        </w:rPr>
        <w:t xml:space="preserve"> 347.9.</w:t>
      </w:r>
    </w:p>
    <w:p w:rsidR="00EC1A78" w:rsidRPr="00EC1A78" w:rsidRDefault="00EC1A78" w:rsidP="00EC1A78">
      <w:pPr>
        <w:rPr>
          <w:rFonts w:eastAsiaTheme="minorHAnsi"/>
          <w:color w:val="000000"/>
          <w:sz w:val="22"/>
          <w:szCs w:val="22"/>
          <w:lang w:val="en-US" w:eastAsia="en-US"/>
        </w:rPr>
      </w:pPr>
    </w:p>
    <w:p w:rsidR="00EC1A78" w:rsidRPr="00EC1A78" w:rsidRDefault="00EC1A78" w:rsidP="00EC1A78">
      <w:pPr>
        <w:jc w:val="center"/>
        <w:rPr>
          <w:rFonts w:eastAsiaTheme="minorHAnsi"/>
          <w:b/>
          <w:sz w:val="24"/>
          <w:szCs w:val="22"/>
          <w:lang w:val="en-US" w:eastAsia="en-US"/>
        </w:rPr>
      </w:pPr>
      <w:r w:rsidRPr="00EC1A78">
        <w:rPr>
          <w:rFonts w:eastAsiaTheme="minorHAnsi"/>
          <w:b/>
          <w:color w:val="000000"/>
          <w:sz w:val="24"/>
          <w:szCs w:val="22"/>
          <w:lang w:eastAsia="en-US"/>
        </w:rPr>
        <w:t>Отличие</w:t>
      </w:r>
      <w:r w:rsidRPr="00EC1A78">
        <w:rPr>
          <w:rFonts w:eastAsiaTheme="minorHAnsi"/>
          <w:b/>
          <w:color w:val="000000"/>
          <w:sz w:val="24"/>
          <w:szCs w:val="22"/>
          <w:lang w:val="en-US" w:eastAsia="en-US"/>
        </w:rPr>
        <w:t xml:space="preserve"> </w:t>
      </w:r>
      <w:r w:rsidRPr="00EC1A78">
        <w:rPr>
          <w:rFonts w:eastAsiaTheme="minorHAnsi"/>
          <w:b/>
          <w:color w:val="000000"/>
          <w:sz w:val="24"/>
          <w:szCs w:val="22"/>
          <w:lang w:eastAsia="en-US"/>
        </w:rPr>
        <w:t>групповых</w:t>
      </w:r>
      <w:r w:rsidRPr="00EC1A78">
        <w:rPr>
          <w:rFonts w:eastAsiaTheme="minorHAnsi"/>
          <w:b/>
          <w:color w:val="000000"/>
          <w:sz w:val="24"/>
          <w:szCs w:val="22"/>
          <w:lang w:val="en-US" w:eastAsia="en-US"/>
        </w:rPr>
        <w:t xml:space="preserve"> </w:t>
      </w:r>
      <w:r w:rsidRPr="00EC1A78">
        <w:rPr>
          <w:rFonts w:eastAsiaTheme="minorHAnsi"/>
          <w:b/>
          <w:color w:val="000000"/>
          <w:sz w:val="24"/>
          <w:szCs w:val="22"/>
          <w:lang w:eastAsia="en-US"/>
        </w:rPr>
        <w:t>исков</w:t>
      </w:r>
      <w:r w:rsidRPr="00EC1A78">
        <w:rPr>
          <w:rFonts w:eastAsiaTheme="minorHAnsi"/>
          <w:b/>
          <w:color w:val="000000"/>
          <w:sz w:val="24"/>
          <w:szCs w:val="22"/>
          <w:lang w:val="en-US" w:eastAsia="en-US"/>
        </w:rPr>
        <w:t xml:space="preserve"> </w:t>
      </w:r>
      <w:r w:rsidRPr="00EC1A78">
        <w:rPr>
          <w:rFonts w:eastAsiaTheme="minorHAnsi"/>
          <w:b/>
          <w:color w:val="000000"/>
          <w:sz w:val="24"/>
          <w:szCs w:val="22"/>
          <w:lang w:eastAsia="en-US"/>
        </w:rPr>
        <w:t>от</w:t>
      </w:r>
      <w:r w:rsidRPr="00EC1A78">
        <w:rPr>
          <w:rFonts w:eastAsiaTheme="minorHAnsi"/>
          <w:b/>
          <w:color w:val="000000"/>
          <w:sz w:val="24"/>
          <w:szCs w:val="22"/>
          <w:lang w:val="en-US" w:eastAsia="en-US"/>
        </w:rPr>
        <w:t xml:space="preserve"> </w:t>
      </w:r>
      <w:r w:rsidRPr="00EC1A78">
        <w:rPr>
          <w:rFonts w:eastAsiaTheme="minorHAnsi"/>
          <w:b/>
          <w:color w:val="000000"/>
          <w:sz w:val="24"/>
          <w:szCs w:val="22"/>
          <w:lang w:eastAsia="en-US"/>
        </w:rPr>
        <w:t>процессуального</w:t>
      </w:r>
      <w:r w:rsidRPr="00EC1A78">
        <w:rPr>
          <w:rFonts w:eastAsiaTheme="minorHAnsi"/>
          <w:b/>
          <w:color w:val="000000"/>
          <w:sz w:val="24"/>
          <w:szCs w:val="22"/>
          <w:lang w:val="en-US" w:eastAsia="en-US"/>
        </w:rPr>
        <w:t xml:space="preserve"> </w:t>
      </w:r>
      <w:r w:rsidRPr="00EC1A78">
        <w:rPr>
          <w:rFonts w:eastAsiaTheme="minorHAnsi"/>
          <w:b/>
          <w:color w:val="000000"/>
          <w:sz w:val="24"/>
          <w:szCs w:val="22"/>
          <w:lang w:eastAsia="en-US"/>
        </w:rPr>
        <w:t>соучастия</w:t>
      </w:r>
    </w:p>
    <w:p w:rsidR="00EC1A78" w:rsidRPr="00EC1A78" w:rsidRDefault="00EC1A78" w:rsidP="00EC1A78">
      <w:pPr>
        <w:jc w:val="center"/>
        <w:rPr>
          <w:rFonts w:eastAsiaTheme="minorHAnsi"/>
          <w:sz w:val="22"/>
          <w:szCs w:val="22"/>
          <w:lang w:val="en-US" w:eastAsia="en-US"/>
        </w:rPr>
      </w:pPr>
      <w:r w:rsidRPr="00EC1A78">
        <w:rPr>
          <w:rFonts w:eastAsiaTheme="minorHAnsi"/>
          <w:b/>
          <w:sz w:val="24"/>
          <w:szCs w:val="22"/>
          <w:lang w:val="en-US" w:eastAsia="en-US"/>
        </w:rPr>
        <w:t>The difference between class action lawsuit and procedural complicity</w:t>
      </w:r>
    </w:p>
    <w:p w:rsidR="00EC1A78" w:rsidRPr="00EC1A78" w:rsidRDefault="00EC1A78" w:rsidP="00EC1A78">
      <w:pPr>
        <w:jc w:val="center"/>
        <w:rPr>
          <w:rFonts w:eastAsiaTheme="minorHAnsi"/>
          <w:color w:val="000000"/>
          <w:sz w:val="22"/>
          <w:szCs w:val="22"/>
          <w:lang w:val="en-US" w:eastAsia="en-US"/>
        </w:rPr>
      </w:pP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Волошин С.</w:t>
      </w:r>
      <w:r w:rsidR="003A6F86">
        <w:rPr>
          <w:rFonts w:eastAsiaTheme="minorHAnsi"/>
          <w:color w:val="000000"/>
          <w:sz w:val="22"/>
          <w:szCs w:val="22"/>
          <w:lang w:eastAsia="en-US"/>
        </w:rPr>
        <w:t xml:space="preserve"> </w:t>
      </w:r>
      <w:r w:rsidRPr="00EC1A78">
        <w:rPr>
          <w:rFonts w:eastAsiaTheme="minorHAnsi"/>
          <w:color w:val="000000"/>
          <w:sz w:val="22"/>
          <w:szCs w:val="22"/>
          <w:lang w:eastAsia="en-US"/>
        </w:rPr>
        <w:t>С.,</w:t>
      </w: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3A6F86">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jc w:val="right"/>
        <w:rPr>
          <w:rFonts w:eastAsiaTheme="minorHAnsi"/>
          <w:color w:val="000000"/>
          <w:sz w:val="22"/>
          <w:szCs w:val="22"/>
          <w:lang w:eastAsia="en-US"/>
        </w:rPr>
      </w:pP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АННОТАЦИЯ: В статье проведен сравнительно–правовой ан</w:t>
      </w:r>
      <w:r w:rsidRPr="00EC1A78">
        <w:rPr>
          <w:rFonts w:eastAsiaTheme="minorHAnsi"/>
          <w:color w:val="000000"/>
          <w:sz w:val="22"/>
          <w:szCs w:val="22"/>
          <w:lang w:eastAsia="en-US"/>
        </w:rPr>
        <w:t>а</w:t>
      </w:r>
      <w:r w:rsidRPr="00EC1A78">
        <w:rPr>
          <w:rFonts w:eastAsiaTheme="minorHAnsi"/>
          <w:color w:val="000000"/>
          <w:sz w:val="22"/>
          <w:szCs w:val="22"/>
          <w:lang w:eastAsia="en-US"/>
        </w:rPr>
        <w:t>лиз групповых исков и процессуального соучастия. Доказано, что групповые иски не являются разновидностью процессуального с</w:t>
      </w:r>
      <w:r w:rsidRPr="00EC1A78">
        <w:rPr>
          <w:rFonts w:eastAsiaTheme="minorHAnsi"/>
          <w:color w:val="000000"/>
          <w:sz w:val="22"/>
          <w:szCs w:val="22"/>
          <w:lang w:eastAsia="en-US"/>
        </w:rPr>
        <w:t>о</w:t>
      </w:r>
      <w:r w:rsidRPr="00EC1A78">
        <w:rPr>
          <w:rFonts w:eastAsiaTheme="minorHAnsi"/>
          <w:color w:val="000000"/>
          <w:sz w:val="22"/>
          <w:szCs w:val="22"/>
          <w:lang w:eastAsia="en-US"/>
        </w:rPr>
        <w:t>участия, а представляют собой самостоятельный процессуальный институт.</w:t>
      </w:r>
    </w:p>
    <w:p w:rsidR="00EC1A78" w:rsidRPr="00EC1A78" w:rsidRDefault="00EC1A78" w:rsidP="00EC1A78">
      <w:pPr>
        <w:ind w:firstLine="426"/>
        <w:jc w:val="both"/>
        <w:rPr>
          <w:rFonts w:eastAsiaTheme="minorHAnsi"/>
          <w:color w:val="000000"/>
          <w:sz w:val="22"/>
          <w:szCs w:val="22"/>
          <w:shd w:val="clear" w:color="auto" w:fill="FFFFFF"/>
          <w:lang w:val="en-US" w:eastAsia="en-US"/>
        </w:rPr>
      </w:pPr>
      <w:r w:rsidRPr="00EC1A78">
        <w:rPr>
          <w:rFonts w:eastAsiaTheme="minorHAnsi"/>
          <w:color w:val="000000"/>
          <w:sz w:val="22"/>
          <w:szCs w:val="22"/>
          <w:lang w:val="en-US" w:eastAsia="en-US"/>
        </w:rPr>
        <w:lastRenderedPageBreak/>
        <w:t>ABSTRACT:</w:t>
      </w:r>
      <w:r w:rsidRPr="00EC1A78">
        <w:rPr>
          <w:rFonts w:eastAsiaTheme="minorHAnsi"/>
          <w:color w:val="000000"/>
          <w:sz w:val="22"/>
          <w:szCs w:val="22"/>
          <w:shd w:val="clear" w:color="auto" w:fill="FFFFFF"/>
          <w:lang w:val="en-US" w:eastAsia="en-US"/>
        </w:rPr>
        <w:t xml:space="preserve"> </w:t>
      </w:r>
      <w:r w:rsidRPr="00EC1A78">
        <w:rPr>
          <w:rFonts w:eastAsiaTheme="minorHAnsi"/>
          <w:sz w:val="22"/>
          <w:szCs w:val="22"/>
          <w:lang w:val="en-US" w:eastAsia="en-US"/>
        </w:rPr>
        <w:t>The article conducts a comparative and legal analysis of class action lawsuit and procedural partnership. It is proved that class actions aren't a version procedural partnership, and represent indepen</w:t>
      </w:r>
      <w:r w:rsidRPr="00EC1A78">
        <w:rPr>
          <w:rFonts w:eastAsiaTheme="minorHAnsi"/>
          <w:sz w:val="22"/>
          <w:szCs w:val="22"/>
          <w:lang w:val="en-US" w:eastAsia="en-US"/>
        </w:rPr>
        <w:t>d</w:t>
      </w:r>
      <w:r w:rsidRPr="00EC1A78">
        <w:rPr>
          <w:rFonts w:eastAsiaTheme="minorHAnsi"/>
          <w:sz w:val="22"/>
          <w:szCs w:val="22"/>
          <w:lang w:val="en-US" w:eastAsia="en-US"/>
        </w:rPr>
        <w:t>ent procedural institute.</w:t>
      </w:r>
    </w:p>
    <w:p w:rsidR="00EC1A78" w:rsidRPr="00EC1A78" w:rsidRDefault="00EC1A78" w:rsidP="00EC1A78">
      <w:pPr>
        <w:ind w:firstLine="426"/>
        <w:jc w:val="both"/>
        <w:rPr>
          <w:rFonts w:eastAsiaTheme="minorHAnsi"/>
          <w:sz w:val="22"/>
          <w:szCs w:val="22"/>
          <w:lang w:eastAsia="en-US"/>
        </w:rPr>
      </w:pPr>
      <w:r w:rsidRPr="00EC1A78">
        <w:rPr>
          <w:rFonts w:eastAsiaTheme="minorHAnsi"/>
          <w:color w:val="000000"/>
          <w:sz w:val="22"/>
          <w:szCs w:val="22"/>
          <w:lang w:eastAsia="en-US"/>
        </w:rPr>
        <w:t>КЛЮЧЕВЫЕ СЛОВА: групповой иск, арбитражный процесс, административное судопроизводство,  процессуальное соучастие.</w:t>
      </w:r>
    </w:p>
    <w:p w:rsidR="00EC1A78" w:rsidRPr="00EC1A78" w:rsidRDefault="00EC1A78" w:rsidP="00EC1A78">
      <w:pPr>
        <w:ind w:firstLine="426"/>
        <w:jc w:val="both"/>
        <w:rPr>
          <w:rFonts w:eastAsiaTheme="minorHAnsi"/>
          <w:color w:val="000000"/>
          <w:sz w:val="22"/>
          <w:szCs w:val="22"/>
          <w:lang w:val="en-US" w:eastAsia="en-US"/>
        </w:rPr>
      </w:pPr>
      <w:r w:rsidRPr="00EC1A78">
        <w:rPr>
          <w:rFonts w:eastAsiaTheme="minorHAnsi"/>
          <w:color w:val="000000"/>
          <w:sz w:val="22"/>
          <w:szCs w:val="22"/>
          <w:lang w:val="en-US" w:eastAsia="en-US"/>
        </w:rPr>
        <w:t xml:space="preserve">KEYWORDS: class action lawsuit, </w:t>
      </w:r>
      <w:r w:rsidRPr="00EC1A78">
        <w:rPr>
          <w:rFonts w:eastAsiaTheme="minorHAnsi"/>
          <w:sz w:val="22"/>
          <w:szCs w:val="22"/>
          <w:lang w:val="en-US" w:eastAsia="en-US"/>
        </w:rPr>
        <w:t>arbitral procedure, administr</w:t>
      </w:r>
      <w:r w:rsidRPr="00EC1A78">
        <w:rPr>
          <w:rFonts w:eastAsiaTheme="minorHAnsi"/>
          <w:sz w:val="22"/>
          <w:szCs w:val="22"/>
          <w:lang w:val="en-US" w:eastAsia="en-US"/>
        </w:rPr>
        <w:t>a</w:t>
      </w:r>
      <w:r w:rsidRPr="00EC1A78">
        <w:rPr>
          <w:rFonts w:eastAsiaTheme="minorHAnsi"/>
          <w:sz w:val="22"/>
          <w:szCs w:val="22"/>
          <w:lang w:val="en-US" w:eastAsia="en-US"/>
        </w:rPr>
        <w:t>tive legal proceedings, procedural partnership.</w:t>
      </w:r>
    </w:p>
    <w:p w:rsidR="00EC1A78" w:rsidRPr="00EC1A78" w:rsidRDefault="00EC1A78" w:rsidP="00EC1A78">
      <w:pPr>
        <w:ind w:firstLine="426"/>
        <w:jc w:val="both"/>
        <w:rPr>
          <w:rFonts w:eastAsiaTheme="minorHAnsi"/>
          <w:b/>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 момента разработки проекта единого процессуального коде</w:t>
      </w:r>
      <w:r w:rsidRPr="00EC1A78">
        <w:rPr>
          <w:rFonts w:eastAsiaTheme="minorHAnsi"/>
          <w:sz w:val="22"/>
          <w:szCs w:val="22"/>
          <w:lang w:eastAsia="en-US"/>
        </w:rPr>
        <w:t>к</w:t>
      </w:r>
      <w:r w:rsidRPr="00EC1A78">
        <w:rPr>
          <w:rFonts w:eastAsiaTheme="minorHAnsi"/>
          <w:sz w:val="22"/>
          <w:szCs w:val="22"/>
          <w:lang w:eastAsia="en-US"/>
        </w:rPr>
        <w:t>са РФ достаточно широко стала обсуждаться модель единого гру</w:t>
      </w:r>
      <w:r w:rsidRPr="00EC1A78">
        <w:rPr>
          <w:rFonts w:eastAsiaTheme="minorHAnsi"/>
          <w:sz w:val="22"/>
          <w:szCs w:val="22"/>
          <w:lang w:eastAsia="en-US"/>
        </w:rPr>
        <w:t>п</w:t>
      </w:r>
      <w:r w:rsidRPr="00EC1A78">
        <w:rPr>
          <w:rFonts w:eastAsiaTheme="minorHAnsi"/>
          <w:sz w:val="22"/>
          <w:szCs w:val="22"/>
          <w:lang w:eastAsia="en-US"/>
        </w:rPr>
        <w:t xml:space="preserve">пового иска в российском судопроизводстве. </w:t>
      </w:r>
    </w:p>
    <w:p w:rsidR="00EC1A78" w:rsidRPr="00EC1A78" w:rsidRDefault="00EC1A78" w:rsidP="00EC1A78">
      <w:pPr>
        <w:ind w:firstLine="426"/>
        <w:jc w:val="both"/>
        <w:rPr>
          <w:rFonts w:eastAsiaTheme="minorHAnsi"/>
          <w:color w:val="FF0000"/>
          <w:sz w:val="22"/>
          <w:szCs w:val="22"/>
          <w:lang w:eastAsia="en-US"/>
        </w:rPr>
      </w:pPr>
      <w:r w:rsidRPr="00EC1A78">
        <w:rPr>
          <w:rFonts w:eastAsiaTheme="minorHAnsi"/>
          <w:sz w:val="22"/>
          <w:szCs w:val="22"/>
          <w:lang w:eastAsia="en-US"/>
        </w:rPr>
        <w:t>Как пишет профессор права Университета Аризоны Дэвид Маркус «если у многих людей есть аналогичные требования против одного или небольшого количества ответчиков, то они могут о</w:t>
      </w:r>
      <w:r w:rsidR="00EB59EF">
        <w:rPr>
          <w:rFonts w:eastAsiaTheme="minorHAnsi"/>
          <w:sz w:val="22"/>
          <w:szCs w:val="22"/>
          <w:lang w:eastAsia="en-US"/>
        </w:rPr>
        <w:t>сп</w:t>
      </w:r>
      <w:r w:rsidR="00EB59EF">
        <w:rPr>
          <w:rFonts w:eastAsiaTheme="minorHAnsi"/>
          <w:sz w:val="22"/>
          <w:szCs w:val="22"/>
          <w:lang w:eastAsia="en-US"/>
        </w:rPr>
        <w:t>о</w:t>
      </w:r>
      <w:r w:rsidR="00EB59EF">
        <w:rPr>
          <w:rFonts w:eastAsiaTheme="minorHAnsi"/>
          <w:sz w:val="22"/>
          <w:szCs w:val="22"/>
          <w:lang w:eastAsia="en-US"/>
        </w:rPr>
        <w:t>рить свои требования вместе,</w:t>
      </w:r>
      <w:r w:rsidRPr="00EC1A78">
        <w:rPr>
          <w:rFonts w:eastAsiaTheme="minorHAnsi"/>
          <w:sz w:val="22"/>
          <w:szCs w:val="22"/>
          <w:lang w:eastAsia="en-US"/>
        </w:rPr>
        <w:t xml:space="preserve"> позволив получить справедливое и эффек</w:t>
      </w:r>
      <w:r w:rsidR="00EB59EF">
        <w:rPr>
          <w:rFonts w:eastAsiaTheme="minorHAnsi"/>
          <w:sz w:val="22"/>
          <w:szCs w:val="22"/>
          <w:lang w:eastAsia="en-US"/>
        </w:rPr>
        <w:t>тивное решение</w:t>
      </w:r>
      <w:r w:rsidRPr="00EC1A78">
        <w:rPr>
          <w:rFonts w:eastAsiaTheme="minorHAnsi"/>
          <w:sz w:val="22"/>
          <w:szCs w:val="22"/>
          <w:lang w:eastAsia="en-US"/>
        </w:rPr>
        <w:t xml:space="preserve">, групповые иски помогают разрешать споры и тем самым восстанавливать общественный порядок» </w:t>
      </w:r>
      <w:r w:rsidRPr="00EC1A78">
        <w:rPr>
          <w:rFonts w:eastAsiaTheme="minorHAnsi"/>
          <w:color w:val="000000"/>
          <w:sz w:val="22"/>
          <w:szCs w:val="22"/>
          <w:lang w:eastAsia="en-US"/>
        </w:rPr>
        <w:t>[1]</w:t>
      </w:r>
      <w:r w:rsidRPr="00EC1A78">
        <w:rPr>
          <w:rFonts w:eastAsiaTheme="minorHAnsi"/>
          <w:sz w:val="22"/>
          <w:szCs w:val="22"/>
          <w:lang w:eastAsia="en-US"/>
        </w:rPr>
        <w:t>.</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Групповые иски легально закреплены в нашем законодател</w:t>
      </w:r>
      <w:r w:rsidRPr="00EC1A78">
        <w:rPr>
          <w:rFonts w:eastAsiaTheme="minorHAnsi"/>
          <w:color w:val="000000"/>
          <w:sz w:val="22"/>
          <w:szCs w:val="22"/>
          <w:lang w:eastAsia="en-US"/>
        </w:rPr>
        <w:t>ь</w:t>
      </w:r>
      <w:r w:rsidRPr="00EC1A78">
        <w:rPr>
          <w:rFonts w:eastAsiaTheme="minorHAnsi"/>
          <w:color w:val="000000"/>
          <w:sz w:val="22"/>
          <w:szCs w:val="22"/>
          <w:lang w:eastAsia="en-US"/>
        </w:rPr>
        <w:t>стве на данный момент в главе 28.2 Арбитражного процессуального кодекса</w:t>
      </w:r>
      <w:r w:rsidRPr="00EC1A78">
        <w:rPr>
          <w:rFonts w:eastAsiaTheme="minorHAnsi"/>
          <w:b/>
          <w:color w:val="000000"/>
          <w:sz w:val="22"/>
          <w:szCs w:val="22"/>
          <w:lang w:eastAsia="en-US"/>
        </w:rPr>
        <w:t xml:space="preserve"> </w:t>
      </w:r>
      <w:r w:rsidRPr="00EC1A78">
        <w:rPr>
          <w:rFonts w:eastAsiaTheme="minorHAnsi"/>
          <w:color w:val="000000"/>
          <w:sz w:val="22"/>
          <w:szCs w:val="22"/>
          <w:lang w:eastAsia="en-US"/>
        </w:rPr>
        <w:t>Российской Федерации (далее АПК РФ) и в статье 42 К</w:t>
      </w:r>
      <w:r w:rsidRPr="00EC1A78">
        <w:rPr>
          <w:rFonts w:eastAsiaTheme="minorHAnsi"/>
          <w:color w:val="000000"/>
          <w:sz w:val="22"/>
          <w:szCs w:val="22"/>
          <w:lang w:eastAsia="en-US"/>
        </w:rPr>
        <w:t>о</w:t>
      </w:r>
      <w:r w:rsidRPr="00EC1A78">
        <w:rPr>
          <w:rFonts w:eastAsiaTheme="minorHAnsi"/>
          <w:color w:val="000000"/>
          <w:sz w:val="22"/>
          <w:szCs w:val="22"/>
          <w:lang w:eastAsia="en-US"/>
        </w:rPr>
        <w:t>декса административного судопроизводства Российской Федерации (далее  КАС РФ). На данный момент некоторые ученые не видят «самостоятельности» групповых исков как самостоятельного пр</w:t>
      </w:r>
      <w:r w:rsidRPr="00EC1A78">
        <w:rPr>
          <w:rFonts w:eastAsiaTheme="minorHAnsi"/>
          <w:color w:val="000000"/>
          <w:sz w:val="22"/>
          <w:szCs w:val="22"/>
          <w:lang w:eastAsia="en-US"/>
        </w:rPr>
        <w:t>о</w:t>
      </w:r>
      <w:r w:rsidRPr="00EC1A78">
        <w:rPr>
          <w:rFonts w:eastAsiaTheme="minorHAnsi"/>
          <w:color w:val="000000"/>
          <w:sz w:val="22"/>
          <w:szCs w:val="22"/>
          <w:lang w:eastAsia="en-US"/>
        </w:rPr>
        <w:t>цессуального средства защиты прав и интересов лиц, считая их лишь определенной формой соучастия в процессе. Лично я не ра</w:t>
      </w:r>
      <w:r w:rsidRPr="00EC1A78">
        <w:rPr>
          <w:rFonts w:eastAsiaTheme="minorHAnsi"/>
          <w:color w:val="000000"/>
          <w:sz w:val="22"/>
          <w:szCs w:val="22"/>
          <w:lang w:eastAsia="en-US"/>
        </w:rPr>
        <w:t>з</w:t>
      </w:r>
      <w:r w:rsidRPr="00EC1A78">
        <w:rPr>
          <w:rFonts w:eastAsiaTheme="minorHAnsi"/>
          <w:color w:val="000000"/>
          <w:sz w:val="22"/>
          <w:szCs w:val="22"/>
          <w:lang w:eastAsia="en-US"/>
        </w:rPr>
        <w:t>деляю данную точку зрения и постараюсь доказать обратное, пок</w:t>
      </w:r>
      <w:r w:rsidRPr="00EC1A78">
        <w:rPr>
          <w:rFonts w:eastAsiaTheme="minorHAnsi"/>
          <w:color w:val="000000"/>
          <w:sz w:val="22"/>
          <w:szCs w:val="22"/>
          <w:lang w:eastAsia="en-US"/>
        </w:rPr>
        <w:t>а</w:t>
      </w:r>
      <w:r w:rsidRPr="00EC1A78">
        <w:rPr>
          <w:rFonts w:eastAsiaTheme="minorHAnsi"/>
          <w:color w:val="000000"/>
          <w:sz w:val="22"/>
          <w:szCs w:val="22"/>
          <w:lang w:eastAsia="en-US"/>
        </w:rPr>
        <w:t>зав отличия групповых исков от соучастия в АПК РФ и КАС РФ через призму присущих им признаков.</w:t>
      </w:r>
    </w:p>
    <w:p w:rsidR="00EC1A78" w:rsidRPr="00EC1A78" w:rsidRDefault="00EC1A78" w:rsidP="00EC1A78">
      <w:pPr>
        <w:ind w:firstLine="426"/>
        <w:jc w:val="both"/>
        <w:rPr>
          <w:rFonts w:eastAsiaTheme="minorHAnsi"/>
          <w:color w:val="FF0000"/>
          <w:sz w:val="22"/>
          <w:szCs w:val="22"/>
          <w:lang w:eastAsia="en-US"/>
        </w:rPr>
      </w:pPr>
      <w:r w:rsidRPr="00EC1A78">
        <w:rPr>
          <w:rFonts w:eastAsiaTheme="minorHAnsi"/>
          <w:color w:val="000000"/>
          <w:sz w:val="22"/>
          <w:szCs w:val="22"/>
          <w:lang w:eastAsia="en-US"/>
        </w:rPr>
        <w:t xml:space="preserve">Процессуальное соучастие </w:t>
      </w:r>
      <w:r w:rsidRPr="00EC1A78">
        <w:rPr>
          <w:rFonts w:eastAsiaTheme="minorHAnsi"/>
          <w:sz w:val="22"/>
          <w:szCs w:val="22"/>
          <w:lang w:eastAsia="en-US"/>
        </w:rPr>
        <w:t xml:space="preserve">– </w:t>
      </w:r>
      <w:r w:rsidRPr="00EC1A78">
        <w:rPr>
          <w:rFonts w:eastAsiaTheme="minorHAnsi"/>
          <w:color w:val="000000"/>
          <w:sz w:val="22"/>
          <w:szCs w:val="22"/>
          <w:lang w:eastAsia="en-US"/>
        </w:rPr>
        <w:t xml:space="preserve"> это участие в одном и том же процессе нескольких истцов или нескольких ответчиков, требов</w:t>
      </w:r>
      <w:r w:rsidRPr="00EC1A78">
        <w:rPr>
          <w:rFonts w:eastAsiaTheme="minorHAnsi"/>
          <w:color w:val="000000"/>
          <w:sz w:val="22"/>
          <w:szCs w:val="22"/>
          <w:lang w:eastAsia="en-US"/>
        </w:rPr>
        <w:t>а</w:t>
      </w:r>
      <w:r w:rsidRPr="00EC1A78">
        <w:rPr>
          <w:rFonts w:eastAsiaTheme="minorHAnsi"/>
          <w:color w:val="000000"/>
          <w:sz w:val="22"/>
          <w:szCs w:val="22"/>
          <w:lang w:eastAsia="en-US"/>
        </w:rPr>
        <w:t>ния или обязанности которых не исключают друг друга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Групповые иски отличаются от процессуального соучастия  следующим:</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Основная цель процессуального соучастия – процессуальная экономия времени, для наиболее полного разрешения спора по всем вопросам, в то время как в групповых исках основная цель –  защ</w:t>
      </w:r>
      <w:r w:rsidRPr="00EC1A78">
        <w:rPr>
          <w:rFonts w:eastAsiaTheme="minorHAnsi"/>
          <w:sz w:val="22"/>
          <w:szCs w:val="22"/>
          <w:lang w:eastAsia="en-US"/>
        </w:rPr>
        <w:t>и</w:t>
      </w:r>
      <w:r w:rsidRPr="00EC1A78">
        <w:rPr>
          <w:rFonts w:eastAsiaTheme="minorHAnsi"/>
          <w:sz w:val="22"/>
          <w:szCs w:val="22"/>
          <w:lang w:eastAsia="en-US"/>
        </w:rPr>
        <w:lastRenderedPageBreak/>
        <w:t>та нарушенных прав, свобод и законных интересов всей группы лиц.</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sz w:val="22"/>
          <w:szCs w:val="22"/>
          <w:lang w:eastAsia="en-US"/>
        </w:rPr>
        <w:t xml:space="preserve">2) Процессуальное соучастие – </w:t>
      </w:r>
      <w:r w:rsidRPr="00EC1A78">
        <w:rPr>
          <w:rFonts w:eastAsiaTheme="minorHAnsi"/>
          <w:color w:val="000000"/>
          <w:sz w:val="22"/>
          <w:szCs w:val="22"/>
          <w:lang w:eastAsia="en-US"/>
        </w:rPr>
        <w:t>это участие в деле нескольких истцов или нескольких ответчиков, чего нет в групповых исках, многочисленность соистцов может быть только на стороне истца.</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3) Каждый из соистцов и ответчиков выступает в процессе  с</w:t>
      </w:r>
      <w:r w:rsidRPr="00EC1A78">
        <w:rPr>
          <w:rFonts w:eastAsiaTheme="minorHAnsi"/>
          <w:color w:val="000000"/>
          <w:sz w:val="22"/>
          <w:szCs w:val="22"/>
          <w:lang w:eastAsia="en-US"/>
        </w:rPr>
        <w:t>а</w:t>
      </w:r>
      <w:r w:rsidRPr="00EC1A78">
        <w:rPr>
          <w:rFonts w:eastAsiaTheme="minorHAnsi"/>
          <w:color w:val="000000"/>
          <w:sz w:val="22"/>
          <w:szCs w:val="22"/>
          <w:lang w:eastAsia="en-US"/>
        </w:rPr>
        <w:t>мостоятельно, в групповых исках используется одинаковый способ защиты прав и интересов  всеми членами группы. Решение суда по групповому иску будет распространяется одинаково в отношении всех лиц группы, в отличие от  соистцов,  где удовлетворение тр</w:t>
      </w:r>
      <w:r w:rsidRPr="00EC1A78">
        <w:rPr>
          <w:rFonts w:eastAsiaTheme="minorHAnsi"/>
          <w:color w:val="000000"/>
          <w:sz w:val="22"/>
          <w:szCs w:val="22"/>
          <w:lang w:eastAsia="en-US"/>
        </w:rPr>
        <w:t>е</w:t>
      </w:r>
      <w:r w:rsidRPr="00EC1A78">
        <w:rPr>
          <w:rFonts w:eastAsiaTheme="minorHAnsi"/>
          <w:color w:val="000000"/>
          <w:sz w:val="22"/>
          <w:szCs w:val="22"/>
          <w:lang w:eastAsia="en-US"/>
        </w:rPr>
        <w:t xml:space="preserve">бований производится только в рамках заявленных требований каждого из них. </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4) Соучастники могут поручить ведение дела одному либо н</w:t>
      </w:r>
      <w:r w:rsidRPr="00EC1A78">
        <w:rPr>
          <w:rFonts w:eastAsiaTheme="minorHAnsi"/>
          <w:color w:val="000000"/>
          <w:sz w:val="22"/>
          <w:szCs w:val="22"/>
          <w:lang w:eastAsia="en-US"/>
        </w:rPr>
        <w:t>е</w:t>
      </w:r>
      <w:r w:rsidRPr="00EC1A78">
        <w:rPr>
          <w:rFonts w:eastAsiaTheme="minorHAnsi"/>
          <w:color w:val="000000"/>
          <w:sz w:val="22"/>
          <w:szCs w:val="22"/>
          <w:lang w:eastAsia="en-US"/>
        </w:rPr>
        <w:t>скольким из них, в групповых исках права и интересы группы з</w:t>
      </w:r>
      <w:r w:rsidRPr="00EC1A78">
        <w:rPr>
          <w:rFonts w:eastAsiaTheme="minorHAnsi"/>
          <w:color w:val="000000"/>
          <w:sz w:val="22"/>
          <w:szCs w:val="22"/>
          <w:lang w:eastAsia="en-US"/>
        </w:rPr>
        <w:t>а</w:t>
      </w:r>
      <w:r w:rsidRPr="00EC1A78">
        <w:rPr>
          <w:rFonts w:eastAsiaTheme="minorHAnsi"/>
          <w:color w:val="000000"/>
          <w:sz w:val="22"/>
          <w:szCs w:val="22"/>
          <w:lang w:eastAsia="en-US"/>
        </w:rPr>
        <w:t>щищает только одно лицо.</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5) В соучастии соистцы могут вступить в процесс до вынесения решения судом, при этом обязательно будет выноситься два опр</w:t>
      </w:r>
      <w:r w:rsidRPr="00EC1A78">
        <w:rPr>
          <w:rFonts w:eastAsiaTheme="minorHAnsi"/>
          <w:color w:val="000000"/>
          <w:sz w:val="22"/>
          <w:szCs w:val="22"/>
          <w:lang w:eastAsia="en-US"/>
        </w:rPr>
        <w:t>е</w:t>
      </w:r>
      <w:r w:rsidRPr="00EC1A78">
        <w:rPr>
          <w:rFonts w:eastAsiaTheme="minorHAnsi"/>
          <w:color w:val="000000"/>
          <w:sz w:val="22"/>
          <w:szCs w:val="22"/>
          <w:lang w:eastAsia="en-US"/>
        </w:rPr>
        <w:t>деления суда: о вступлении в дело соистцов и определение о ра</w:t>
      </w:r>
      <w:r w:rsidRPr="00EC1A78">
        <w:rPr>
          <w:rFonts w:eastAsiaTheme="minorHAnsi"/>
          <w:color w:val="000000"/>
          <w:sz w:val="22"/>
          <w:szCs w:val="22"/>
          <w:lang w:eastAsia="en-US"/>
        </w:rPr>
        <w:t>с</w:t>
      </w:r>
      <w:r w:rsidRPr="00EC1A78">
        <w:rPr>
          <w:rFonts w:eastAsiaTheme="minorHAnsi"/>
          <w:color w:val="000000"/>
          <w:sz w:val="22"/>
          <w:szCs w:val="22"/>
          <w:lang w:eastAsia="en-US"/>
        </w:rPr>
        <w:t>смотрении дела с самого начала. В групповых исках на стадии по</w:t>
      </w:r>
      <w:r w:rsidRPr="00EC1A78">
        <w:rPr>
          <w:rFonts w:eastAsiaTheme="minorHAnsi"/>
          <w:color w:val="000000"/>
          <w:sz w:val="22"/>
          <w:szCs w:val="22"/>
          <w:lang w:eastAsia="en-US"/>
        </w:rPr>
        <w:t>д</w:t>
      </w:r>
      <w:r w:rsidRPr="00EC1A78">
        <w:rPr>
          <w:rFonts w:eastAsiaTheme="minorHAnsi"/>
          <w:color w:val="000000"/>
          <w:sz w:val="22"/>
          <w:szCs w:val="22"/>
          <w:lang w:eastAsia="en-US"/>
        </w:rPr>
        <w:t>готовки к судебному разбирательству выносится определение о присоединении к требованию о защите прав и законных интересов группы лиц, однако рассмотрение дела не начинается с самого начала (лишь по ходатайству соистца вступившего в дело можно начать рассматривать дело сначала, но опять же это является пр</w:t>
      </w:r>
      <w:r w:rsidRPr="00EC1A78">
        <w:rPr>
          <w:rFonts w:eastAsiaTheme="minorHAnsi"/>
          <w:color w:val="000000"/>
          <w:sz w:val="22"/>
          <w:szCs w:val="22"/>
          <w:lang w:eastAsia="en-US"/>
        </w:rPr>
        <w:t>а</w:t>
      </w:r>
      <w:r w:rsidRPr="00EC1A78">
        <w:rPr>
          <w:rFonts w:eastAsiaTheme="minorHAnsi"/>
          <w:color w:val="000000"/>
          <w:sz w:val="22"/>
          <w:szCs w:val="22"/>
          <w:lang w:eastAsia="en-US"/>
        </w:rPr>
        <w:t xml:space="preserve">вом, а не обязанностью, как в соучастии)  </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6) В групповых исках строго установлено количество лиц, чт</w:t>
      </w:r>
      <w:r w:rsidRPr="00EC1A78">
        <w:rPr>
          <w:rFonts w:eastAsiaTheme="minorHAnsi"/>
          <w:color w:val="000000"/>
          <w:sz w:val="22"/>
          <w:szCs w:val="22"/>
          <w:lang w:eastAsia="en-US"/>
        </w:rPr>
        <w:t>о</w:t>
      </w:r>
      <w:r w:rsidRPr="00EC1A78">
        <w:rPr>
          <w:rFonts w:eastAsiaTheme="minorHAnsi"/>
          <w:color w:val="000000"/>
          <w:sz w:val="22"/>
          <w:szCs w:val="22"/>
          <w:lang w:eastAsia="en-US"/>
        </w:rPr>
        <w:t>бы инициировать возбуждение дела в суде по правилам группового иска, в АПК РФ количество лиц не должно быть менее чем 5 лиц, в КАС РФ многочисленной группой признается группа не менее 20 лиц. В соучастии количество лиц не определено вообще, указывае</w:t>
      </w:r>
      <w:r w:rsidRPr="00EC1A78">
        <w:rPr>
          <w:rFonts w:eastAsiaTheme="minorHAnsi"/>
          <w:color w:val="000000"/>
          <w:sz w:val="22"/>
          <w:szCs w:val="22"/>
          <w:lang w:eastAsia="en-US"/>
        </w:rPr>
        <w:t>т</w:t>
      </w:r>
      <w:r w:rsidRPr="00EC1A78">
        <w:rPr>
          <w:rFonts w:eastAsiaTheme="minorHAnsi"/>
          <w:color w:val="000000"/>
          <w:sz w:val="22"/>
          <w:szCs w:val="22"/>
          <w:lang w:eastAsia="en-US"/>
        </w:rPr>
        <w:t>ся только что и истцов и ответчиков несколько.</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7) Сам законодатель четко различает конструкции соучастия и групповых исков. В подп.1 п.1 ст. 42 КАС РФ указывается, что о</w:t>
      </w:r>
      <w:r w:rsidRPr="00EC1A78">
        <w:rPr>
          <w:rFonts w:eastAsiaTheme="minorHAnsi"/>
          <w:color w:val="000000"/>
          <w:sz w:val="22"/>
          <w:szCs w:val="22"/>
          <w:lang w:eastAsia="en-US"/>
        </w:rPr>
        <w:t>д</w:t>
      </w:r>
      <w:r w:rsidRPr="00EC1A78">
        <w:rPr>
          <w:rFonts w:eastAsiaTheme="minorHAnsi"/>
          <w:color w:val="000000"/>
          <w:sz w:val="22"/>
          <w:szCs w:val="22"/>
          <w:lang w:eastAsia="en-US"/>
        </w:rPr>
        <w:t xml:space="preserve">ним из </w:t>
      </w:r>
      <w:r w:rsidRPr="00EC1A78">
        <w:rPr>
          <w:rFonts w:eastAsiaTheme="minorHAnsi"/>
          <w:sz w:val="22"/>
          <w:szCs w:val="22"/>
          <w:lang w:eastAsia="en-US"/>
        </w:rPr>
        <w:t>оснований для обращения в суд является многочисленность группы лиц или неопределенность ее числа членов, затрудняющие разрешение требований потенциальных членов группы в индивид</w:t>
      </w:r>
      <w:r w:rsidRPr="00EC1A78">
        <w:rPr>
          <w:rFonts w:eastAsiaTheme="minorHAnsi"/>
          <w:sz w:val="22"/>
          <w:szCs w:val="22"/>
          <w:lang w:eastAsia="en-US"/>
        </w:rPr>
        <w:t>у</w:t>
      </w:r>
      <w:r w:rsidRPr="00EC1A78">
        <w:rPr>
          <w:rFonts w:eastAsiaTheme="minorHAnsi"/>
          <w:sz w:val="22"/>
          <w:szCs w:val="22"/>
          <w:lang w:eastAsia="en-US"/>
        </w:rPr>
        <w:t>альном порядке и в порядке совместной подачи административного искового заявления (соучастия) в соответствии со ст. 41 КАС РФ.</w:t>
      </w:r>
      <w:r w:rsidRPr="00EC1A78">
        <w:rPr>
          <w:rFonts w:eastAsiaTheme="minorHAnsi"/>
          <w:color w:val="000000"/>
          <w:sz w:val="22"/>
          <w:szCs w:val="22"/>
          <w:lang w:eastAsia="en-US"/>
        </w:rPr>
        <w:t xml:space="preserve"> </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lastRenderedPageBreak/>
        <w:t>8) В групповых исках присоединение к требованию  истцов н</w:t>
      </w:r>
      <w:r w:rsidRPr="00EC1A78">
        <w:rPr>
          <w:rFonts w:eastAsiaTheme="minorHAnsi"/>
          <w:color w:val="000000"/>
          <w:sz w:val="22"/>
          <w:szCs w:val="22"/>
          <w:lang w:eastAsia="en-US"/>
        </w:rPr>
        <w:t>о</w:t>
      </w:r>
      <w:r w:rsidRPr="00EC1A78">
        <w:rPr>
          <w:rFonts w:eastAsiaTheme="minorHAnsi"/>
          <w:color w:val="000000"/>
          <w:sz w:val="22"/>
          <w:szCs w:val="22"/>
          <w:lang w:eastAsia="en-US"/>
        </w:rPr>
        <w:t>сит диспозитивный характер, так как присоединение является вол</w:t>
      </w:r>
      <w:r w:rsidRPr="00EC1A78">
        <w:rPr>
          <w:rFonts w:eastAsiaTheme="minorHAnsi"/>
          <w:color w:val="000000"/>
          <w:sz w:val="22"/>
          <w:szCs w:val="22"/>
          <w:lang w:eastAsia="en-US"/>
        </w:rPr>
        <w:t>е</w:t>
      </w:r>
      <w:r w:rsidRPr="00EC1A78">
        <w:rPr>
          <w:rFonts w:eastAsiaTheme="minorHAnsi"/>
          <w:color w:val="000000"/>
          <w:sz w:val="22"/>
          <w:szCs w:val="22"/>
          <w:lang w:eastAsia="en-US"/>
        </w:rPr>
        <w:t>изъявлением самого истца, его правом.  Процессуальное соучастие может  в некоторых случаях, установленных законом, быть обяз</w:t>
      </w:r>
      <w:r w:rsidRPr="00EC1A78">
        <w:rPr>
          <w:rFonts w:eastAsiaTheme="minorHAnsi"/>
          <w:color w:val="000000"/>
          <w:sz w:val="22"/>
          <w:szCs w:val="22"/>
          <w:lang w:eastAsia="en-US"/>
        </w:rPr>
        <w:t>а</w:t>
      </w:r>
      <w:r w:rsidRPr="00EC1A78">
        <w:rPr>
          <w:rFonts w:eastAsiaTheme="minorHAnsi"/>
          <w:color w:val="000000"/>
          <w:sz w:val="22"/>
          <w:szCs w:val="22"/>
          <w:lang w:eastAsia="en-US"/>
        </w:rPr>
        <w:t>тельным.</w:t>
      </w: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Таким образом, на основании анализа норм Арбитражного процессуального кодекса РФ и Кодекса административного суд</w:t>
      </w:r>
      <w:r w:rsidRPr="00EC1A78">
        <w:rPr>
          <w:rFonts w:eastAsiaTheme="minorHAnsi"/>
          <w:color w:val="000000"/>
          <w:sz w:val="22"/>
          <w:szCs w:val="22"/>
          <w:lang w:eastAsia="en-US"/>
        </w:rPr>
        <w:t>о</w:t>
      </w:r>
      <w:r w:rsidRPr="00EC1A78">
        <w:rPr>
          <w:rFonts w:eastAsiaTheme="minorHAnsi"/>
          <w:color w:val="000000"/>
          <w:sz w:val="22"/>
          <w:szCs w:val="22"/>
          <w:lang w:eastAsia="en-US"/>
        </w:rPr>
        <w:t>производства РФ видно, что групповые иски и процессуальное с</w:t>
      </w:r>
      <w:r w:rsidRPr="00EC1A78">
        <w:rPr>
          <w:rFonts w:eastAsiaTheme="minorHAnsi"/>
          <w:color w:val="000000"/>
          <w:sz w:val="22"/>
          <w:szCs w:val="22"/>
          <w:lang w:eastAsia="en-US"/>
        </w:rPr>
        <w:t>о</w:t>
      </w:r>
      <w:r w:rsidRPr="00EC1A78">
        <w:rPr>
          <w:rFonts w:eastAsiaTheme="minorHAnsi"/>
          <w:color w:val="000000"/>
          <w:sz w:val="22"/>
          <w:szCs w:val="22"/>
          <w:lang w:eastAsia="en-US"/>
        </w:rPr>
        <w:t>участие представляют совершенно разные процессуальные инст</w:t>
      </w:r>
      <w:r w:rsidRPr="00EC1A78">
        <w:rPr>
          <w:rFonts w:eastAsiaTheme="minorHAnsi"/>
          <w:color w:val="000000"/>
          <w:sz w:val="22"/>
          <w:szCs w:val="22"/>
          <w:lang w:eastAsia="en-US"/>
        </w:rPr>
        <w:t>и</w:t>
      </w:r>
      <w:r w:rsidRPr="00EC1A78">
        <w:rPr>
          <w:rFonts w:eastAsiaTheme="minorHAnsi"/>
          <w:color w:val="000000"/>
          <w:sz w:val="22"/>
          <w:szCs w:val="22"/>
          <w:lang w:eastAsia="en-US"/>
        </w:rPr>
        <w:t>туты.</w:t>
      </w:r>
    </w:p>
    <w:p w:rsidR="00EC1A78" w:rsidRPr="00EC1A78" w:rsidRDefault="00EC1A78" w:rsidP="00EC1A78">
      <w:pPr>
        <w:jc w:val="both"/>
        <w:rPr>
          <w:rFonts w:eastAsiaTheme="minorHAnsi"/>
          <w:color w:val="000000"/>
          <w:sz w:val="22"/>
          <w:szCs w:val="22"/>
          <w:lang w:eastAsia="en-US"/>
        </w:rPr>
      </w:pPr>
    </w:p>
    <w:p w:rsidR="00EC1A78" w:rsidRPr="00EC1A78" w:rsidRDefault="00EC1A78" w:rsidP="00EC1A78">
      <w:pPr>
        <w:jc w:val="center"/>
        <w:rPr>
          <w:rFonts w:eastAsiaTheme="minorHAnsi"/>
          <w:color w:val="000000"/>
          <w:sz w:val="22"/>
          <w:szCs w:val="22"/>
          <w:lang w:val="en-US" w:eastAsia="en-US"/>
        </w:rPr>
      </w:pPr>
      <w:r w:rsidRPr="00EC1A78">
        <w:rPr>
          <w:rFonts w:eastAsiaTheme="minorHAnsi"/>
          <w:color w:val="000000"/>
          <w:sz w:val="22"/>
          <w:szCs w:val="22"/>
          <w:lang w:eastAsia="en-US"/>
        </w:rPr>
        <w:t>Список</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литературы</w:t>
      </w:r>
    </w:p>
    <w:p w:rsidR="00EC1A78" w:rsidRPr="00EC1A78" w:rsidRDefault="00EC1A78" w:rsidP="00EC1A78">
      <w:pPr>
        <w:ind w:firstLine="426"/>
        <w:jc w:val="both"/>
        <w:rPr>
          <w:rFonts w:eastAsiaTheme="minorHAnsi"/>
          <w:sz w:val="24"/>
          <w:szCs w:val="24"/>
          <w:lang w:eastAsia="en-US"/>
        </w:rPr>
      </w:pPr>
      <w:r w:rsidRPr="00EC1A78">
        <w:rPr>
          <w:rFonts w:eastAsia="Calibri"/>
          <w:sz w:val="22"/>
          <w:szCs w:val="24"/>
          <w:lang w:val="en-US" w:eastAsia="en-US"/>
        </w:rPr>
        <w:t xml:space="preserve">1. David Marcus, The History of the Modern Class Action, Part I: Sturm Und Drang, 1953–1980 / D. Marcus //  Arizona Legal Studies Discussion. – 2013.  </w:t>
      </w:r>
      <w:r w:rsidRPr="00EC1A78">
        <w:rPr>
          <w:rFonts w:eastAsia="Calibri"/>
          <w:sz w:val="22"/>
          <w:szCs w:val="24"/>
          <w:lang w:eastAsia="en-US"/>
        </w:rPr>
        <w:t xml:space="preserve">– </w:t>
      </w:r>
      <w:r w:rsidRPr="00EC1A78">
        <w:rPr>
          <w:rFonts w:eastAsia="Calibri"/>
          <w:sz w:val="22"/>
          <w:szCs w:val="24"/>
          <w:lang w:val="en-US" w:eastAsia="en-US"/>
        </w:rPr>
        <w:t>P</w:t>
      </w:r>
      <w:r w:rsidRPr="00EC1A78">
        <w:rPr>
          <w:rFonts w:eastAsia="Calibri"/>
          <w:sz w:val="22"/>
          <w:szCs w:val="24"/>
          <w:lang w:eastAsia="en-US"/>
        </w:rPr>
        <w:t>. – 7.</w:t>
      </w:r>
    </w:p>
    <w:p w:rsidR="00EC1A78" w:rsidRPr="00EC1A78" w:rsidRDefault="00EC1A78" w:rsidP="00EC1A78">
      <w:pPr>
        <w:ind w:firstLine="426"/>
        <w:rPr>
          <w:rFonts w:eastAsiaTheme="minorHAnsi"/>
          <w:sz w:val="22"/>
          <w:szCs w:val="22"/>
          <w:lang w:eastAsia="en-US"/>
        </w:rPr>
      </w:pPr>
      <w:r w:rsidRPr="00EC1A78">
        <w:rPr>
          <w:rFonts w:eastAsiaTheme="minorHAnsi"/>
          <w:sz w:val="22"/>
          <w:szCs w:val="22"/>
          <w:lang w:eastAsia="en-US"/>
        </w:rPr>
        <w:t xml:space="preserve">2. </w:t>
      </w:r>
      <w:r w:rsidRPr="00EC1A78">
        <w:rPr>
          <w:rFonts w:eastAsia="Calibri"/>
          <w:sz w:val="22"/>
          <w:szCs w:val="24"/>
          <w:lang w:eastAsia="en-US"/>
        </w:rPr>
        <w:t xml:space="preserve">Гражданский процесс </w:t>
      </w:r>
      <w:r w:rsidRPr="00EC1A78">
        <w:rPr>
          <w:rFonts w:eastAsiaTheme="minorHAnsi"/>
          <w:sz w:val="22"/>
          <w:szCs w:val="22"/>
          <w:lang w:eastAsia="en-US"/>
        </w:rPr>
        <w:t>[Текст]: учеб. для студ. / под ред.:</w:t>
      </w:r>
      <w:r w:rsidRPr="00EC1A78">
        <w:rPr>
          <w:rFonts w:eastAsia="Calibri"/>
          <w:sz w:val="22"/>
          <w:szCs w:val="24"/>
          <w:lang w:eastAsia="en-US"/>
        </w:rPr>
        <w:t xml:space="preserve"> М.К. Треушникова  – М.: Статут</w:t>
      </w:r>
      <w:r w:rsidRPr="00EC1A78">
        <w:rPr>
          <w:rFonts w:eastAsiaTheme="minorHAnsi"/>
          <w:sz w:val="22"/>
          <w:szCs w:val="22"/>
          <w:lang w:eastAsia="en-US"/>
        </w:rPr>
        <w:t xml:space="preserve">, </w:t>
      </w:r>
      <w:r w:rsidRPr="00EC1A78">
        <w:rPr>
          <w:rFonts w:eastAsia="Calibri"/>
          <w:sz w:val="22"/>
          <w:szCs w:val="24"/>
          <w:lang w:eastAsia="en-US"/>
        </w:rPr>
        <w:t xml:space="preserve">2014. –  81 с. </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EB59EF" w:rsidRPr="00EC1A78" w:rsidRDefault="00EB59EF"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342.717</w:t>
      </w:r>
    </w:p>
    <w:p w:rsidR="00EC1A78" w:rsidRPr="00EC1A78" w:rsidRDefault="00EC1A78" w:rsidP="00EC1A78">
      <w:pPr>
        <w:jc w:val="center"/>
        <w:rPr>
          <w:rFonts w:eastAsiaTheme="minorHAnsi"/>
          <w:b/>
          <w:sz w:val="24"/>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Конституционно–правовой статус мигрантов </w:t>
      </w:r>
      <w:r w:rsidR="003A6F86">
        <w:rPr>
          <w:rFonts w:eastAsiaTheme="minorHAnsi"/>
          <w:b/>
          <w:sz w:val="24"/>
          <w:szCs w:val="22"/>
          <w:lang w:eastAsia="en-US"/>
        </w:rPr>
        <w:br/>
      </w:r>
      <w:r w:rsidRPr="00EC1A78">
        <w:rPr>
          <w:rFonts w:eastAsiaTheme="minorHAnsi"/>
          <w:b/>
          <w:sz w:val="24"/>
          <w:szCs w:val="22"/>
          <w:lang w:eastAsia="en-US"/>
        </w:rPr>
        <w:t>на территории Российской Федерации</w:t>
      </w:r>
    </w:p>
    <w:p w:rsidR="00EC1A78" w:rsidRPr="00E62E4B"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Constitutional</w:t>
      </w:r>
      <w:r w:rsidRPr="00E62E4B">
        <w:rPr>
          <w:rFonts w:eastAsiaTheme="minorHAnsi"/>
          <w:b/>
          <w:sz w:val="24"/>
          <w:szCs w:val="22"/>
          <w:lang w:val="en-US" w:eastAsia="en-US"/>
        </w:rPr>
        <w:t xml:space="preserve"> </w:t>
      </w:r>
      <w:r w:rsidRPr="00EC1A78">
        <w:rPr>
          <w:rFonts w:eastAsiaTheme="minorHAnsi"/>
          <w:b/>
          <w:sz w:val="24"/>
          <w:szCs w:val="22"/>
          <w:lang w:val="en-US" w:eastAsia="en-US"/>
        </w:rPr>
        <w:t>and</w:t>
      </w:r>
      <w:r w:rsidRPr="00E62E4B">
        <w:rPr>
          <w:rFonts w:eastAsiaTheme="minorHAnsi"/>
          <w:b/>
          <w:sz w:val="24"/>
          <w:szCs w:val="22"/>
          <w:lang w:val="en-US" w:eastAsia="en-US"/>
        </w:rPr>
        <w:t xml:space="preserve"> </w:t>
      </w:r>
      <w:r w:rsidRPr="00EC1A78">
        <w:rPr>
          <w:rFonts w:eastAsiaTheme="minorHAnsi"/>
          <w:b/>
          <w:sz w:val="24"/>
          <w:szCs w:val="22"/>
          <w:lang w:val="en-US" w:eastAsia="en-US"/>
        </w:rPr>
        <w:t>legal</w:t>
      </w:r>
      <w:r w:rsidRPr="00E62E4B">
        <w:rPr>
          <w:rFonts w:eastAsiaTheme="minorHAnsi"/>
          <w:b/>
          <w:sz w:val="24"/>
          <w:szCs w:val="22"/>
          <w:lang w:val="en-US" w:eastAsia="en-US"/>
        </w:rPr>
        <w:t xml:space="preserve"> </w:t>
      </w:r>
      <w:r w:rsidRPr="00EC1A78">
        <w:rPr>
          <w:rFonts w:eastAsiaTheme="minorHAnsi"/>
          <w:b/>
          <w:sz w:val="24"/>
          <w:szCs w:val="22"/>
          <w:lang w:val="en-US" w:eastAsia="en-US"/>
        </w:rPr>
        <w:t>status</w:t>
      </w:r>
      <w:r w:rsidRPr="00E62E4B">
        <w:rPr>
          <w:rFonts w:eastAsiaTheme="minorHAnsi"/>
          <w:b/>
          <w:sz w:val="24"/>
          <w:szCs w:val="22"/>
          <w:lang w:val="en-US" w:eastAsia="en-US"/>
        </w:rPr>
        <w:t xml:space="preserve"> </w:t>
      </w:r>
      <w:r w:rsidRPr="00EC1A78">
        <w:rPr>
          <w:rFonts w:eastAsiaTheme="minorHAnsi"/>
          <w:b/>
          <w:sz w:val="24"/>
          <w:szCs w:val="22"/>
          <w:lang w:val="en-US" w:eastAsia="en-US"/>
        </w:rPr>
        <w:t>of</w:t>
      </w:r>
      <w:r w:rsidRPr="00E62E4B">
        <w:rPr>
          <w:rFonts w:eastAsiaTheme="minorHAnsi"/>
          <w:b/>
          <w:sz w:val="24"/>
          <w:szCs w:val="22"/>
          <w:lang w:val="en-US" w:eastAsia="en-US"/>
        </w:rPr>
        <w:t xml:space="preserve"> </w:t>
      </w:r>
      <w:r w:rsidRPr="00EC1A78">
        <w:rPr>
          <w:rFonts w:eastAsiaTheme="minorHAnsi"/>
          <w:b/>
          <w:sz w:val="24"/>
          <w:szCs w:val="22"/>
          <w:lang w:val="en-US" w:eastAsia="en-US"/>
        </w:rPr>
        <w:t>migrants</w:t>
      </w:r>
      <w:r w:rsidRPr="00E62E4B">
        <w:rPr>
          <w:rFonts w:eastAsiaTheme="minorHAnsi"/>
          <w:b/>
          <w:sz w:val="24"/>
          <w:szCs w:val="22"/>
          <w:lang w:val="en-US" w:eastAsia="en-US"/>
        </w:rPr>
        <w:t xml:space="preserve"> </w:t>
      </w:r>
      <w:r w:rsidRPr="00EC1A78">
        <w:rPr>
          <w:rFonts w:eastAsiaTheme="minorHAnsi"/>
          <w:b/>
          <w:sz w:val="24"/>
          <w:szCs w:val="22"/>
          <w:lang w:val="en-US" w:eastAsia="en-US"/>
        </w:rPr>
        <w:t>on</w:t>
      </w:r>
      <w:r w:rsidRPr="00E62E4B">
        <w:rPr>
          <w:rFonts w:eastAsiaTheme="minorHAnsi"/>
          <w:b/>
          <w:sz w:val="24"/>
          <w:szCs w:val="22"/>
          <w:lang w:val="en-US" w:eastAsia="en-US"/>
        </w:rPr>
        <w:t xml:space="preserve"> </w:t>
      </w:r>
      <w:r w:rsidRPr="00EC1A78">
        <w:rPr>
          <w:rFonts w:eastAsiaTheme="minorHAnsi"/>
          <w:b/>
          <w:sz w:val="24"/>
          <w:szCs w:val="22"/>
          <w:lang w:val="en-US" w:eastAsia="en-US"/>
        </w:rPr>
        <w:t>the</w:t>
      </w:r>
      <w:r w:rsidRPr="00E62E4B">
        <w:rPr>
          <w:rFonts w:eastAsiaTheme="minorHAnsi"/>
          <w:b/>
          <w:sz w:val="24"/>
          <w:szCs w:val="22"/>
          <w:lang w:val="en-US" w:eastAsia="en-US"/>
        </w:rPr>
        <w:t xml:space="preserve"> </w:t>
      </w:r>
      <w:r w:rsidRPr="00EC1A78">
        <w:rPr>
          <w:rFonts w:eastAsiaTheme="minorHAnsi"/>
          <w:b/>
          <w:sz w:val="24"/>
          <w:szCs w:val="22"/>
          <w:lang w:val="en-US" w:eastAsia="en-US"/>
        </w:rPr>
        <w:t>territory</w:t>
      </w:r>
      <w:r w:rsidRPr="00E62E4B">
        <w:rPr>
          <w:rFonts w:eastAsiaTheme="minorHAnsi"/>
          <w:b/>
          <w:sz w:val="24"/>
          <w:szCs w:val="22"/>
          <w:lang w:val="en-US" w:eastAsia="en-US"/>
        </w:rPr>
        <w:t xml:space="preserve"> </w:t>
      </w:r>
      <w:r w:rsidRPr="00EC1A78">
        <w:rPr>
          <w:rFonts w:eastAsiaTheme="minorHAnsi"/>
          <w:b/>
          <w:sz w:val="24"/>
          <w:szCs w:val="22"/>
          <w:lang w:val="en-US" w:eastAsia="en-US"/>
        </w:rPr>
        <w:t>of</w:t>
      </w:r>
      <w:r w:rsidRPr="00E62E4B">
        <w:rPr>
          <w:rFonts w:eastAsiaTheme="minorHAnsi"/>
          <w:b/>
          <w:sz w:val="24"/>
          <w:szCs w:val="22"/>
          <w:lang w:val="en-US" w:eastAsia="en-US"/>
        </w:rPr>
        <w:t xml:space="preserve"> </w:t>
      </w:r>
      <w:r w:rsidRPr="00EC1A78">
        <w:rPr>
          <w:rFonts w:eastAsiaTheme="minorHAnsi"/>
          <w:b/>
          <w:sz w:val="24"/>
          <w:szCs w:val="22"/>
          <w:lang w:val="en-US" w:eastAsia="en-US"/>
        </w:rPr>
        <w:t>the</w:t>
      </w:r>
      <w:r w:rsidRPr="00E62E4B">
        <w:rPr>
          <w:rFonts w:eastAsiaTheme="minorHAnsi"/>
          <w:b/>
          <w:sz w:val="24"/>
          <w:szCs w:val="22"/>
          <w:lang w:val="en-US" w:eastAsia="en-US"/>
        </w:rPr>
        <w:t xml:space="preserve"> </w:t>
      </w:r>
      <w:r w:rsidRPr="00EC1A78">
        <w:rPr>
          <w:rFonts w:eastAsiaTheme="minorHAnsi"/>
          <w:b/>
          <w:sz w:val="24"/>
          <w:szCs w:val="22"/>
          <w:lang w:val="en-US" w:eastAsia="en-US"/>
        </w:rPr>
        <w:t>Russian</w:t>
      </w:r>
      <w:r w:rsidRPr="00E62E4B">
        <w:rPr>
          <w:rFonts w:eastAsiaTheme="minorHAnsi"/>
          <w:b/>
          <w:sz w:val="24"/>
          <w:szCs w:val="22"/>
          <w:lang w:val="en-US" w:eastAsia="en-US"/>
        </w:rPr>
        <w:t xml:space="preserve"> </w:t>
      </w:r>
      <w:r w:rsidRPr="00EC1A78">
        <w:rPr>
          <w:rFonts w:eastAsiaTheme="minorHAnsi"/>
          <w:b/>
          <w:sz w:val="24"/>
          <w:szCs w:val="22"/>
          <w:lang w:val="en-US" w:eastAsia="en-US"/>
        </w:rPr>
        <w:t>Federation</w:t>
      </w:r>
    </w:p>
    <w:p w:rsidR="00EC1A78" w:rsidRPr="00E62E4B"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Волошина И.</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Бутурлина Е.</w:t>
      </w:r>
      <w:r w:rsidR="003A6F86">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государственного 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Изучен конституционно–правовой статус м</w:t>
      </w:r>
      <w:r w:rsidRPr="00EC1A78">
        <w:rPr>
          <w:rFonts w:eastAsiaTheme="minorHAnsi"/>
          <w:sz w:val="22"/>
          <w:szCs w:val="22"/>
          <w:lang w:eastAsia="en-US"/>
        </w:rPr>
        <w:t>и</w:t>
      </w:r>
      <w:r w:rsidRPr="00EC1A78">
        <w:rPr>
          <w:rFonts w:eastAsiaTheme="minorHAnsi"/>
          <w:sz w:val="22"/>
          <w:szCs w:val="22"/>
          <w:lang w:eastAsia="en-US"/>
        </w:rPr>
        <w:t>грантов на территории Российской Федерации. Рассмотрены ос</w:t>
      </w:r>
      <w:r w:rsidRPr="00EC1A78">
        <w:rPr>
          <w:rFonts w:eastAsiaTheme="minorHAnsi"/>
          <w:sz w:val="22"/>
          <w:szCs w:val="22"/>
          <w:lang w:eastAsia="en-US"/>
        </w:rPr>
        <w:t>о</w:t>
      </w:r>
      <w:r w:rsidRPr="00EC1A78">
        <w:rPr>
          <w:rFonts w:eastAsiaTheme="minorHAnsi"/>
          <w:sz w:val="22"/>
          <w:szCs w:val="22"/>
          <w:lang w:eastAsia="en-US"/>
        </w:rPr>
        <w:lastRenderedPageBreak/>
        <w:t>бенности правового статуса мигрантов. Выявлены проблемы прав</w:t>
      </w:r>
      <w:r w:rsidRPr="00EC1A78">
        <w:rPr>
          <w:rFonts w:eastAsiaTheme="minorHAnsi"/>
          <w:sz w:val="22"/>
          <w:szCs w:val="22"/>
          <w:lang w:eastAsia="en-US"/>
        </w:rPr>
        <w:t>о</w:t>
      </w:r>
      <w:r w:rsidRPr="00EC1A78">
        <w:rPr>
          <w:rFonts w:eastAsiaTheme="minorHAnsi"/>
          <w:sz w:val="22"/>
          <w:szCs w:val="22"/>
          <w:lang w:eastAsia="en-US"/>
        </w:rPr>
        <w:t xml:space="preserve">вого регулирования мигрантов.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val="en-US" w:eastAsia="en-US"/>
        </w:rPr>
        <w:t>ABSTRACT: The Constitutional–legal status of migrants on the te</w:t>
      </w:r>
      <w:r w:rsidRPr="00EC1A78">
        <w:rPr>
          <w:rFonts w:eastAsiaTheme="minorHAnsi"/>
          <w:sz w:val="22"/>
          <w:szCs w:val="22"/>
          <w:lang w:val="en-US" w:eastAsia="en-US"/>
        </w:rPr>
        <w:t>r</w:t>
      </w:r>
      <w:r w:rsidRPr="00EC1A78">
        <w:rPr>
          <w:rFonts w:eastAsiaTheme="minorHAnsi"/>
          <w:sz w:val="22"/>
          <w:szCs w:val="22"/>
          <w:lang w:val="en-US" w:eastAsia="en-US"/>
        </w:rPr>
        <w:t>ritory of the Russian Federation has been studied. The peculiarities of the legal status of migrants are considered. The</w:t>
      </w:r>
      <w:r w:rsidRPr="00EC1A78">
        <w:rPr>
          <w:rFonts w:eastAsiaTheme="minorHAnsi"/>
          <w:sz w:val="22"/>
          <w:szCs w:val="22"/>
          <w:lang w:eastAsia="en-US"/>
        </w:rPr>
        <w:t xml:space="preserve"> </w:t>
      </w:r>
      <w:r w:rsidRPr="00EC1A78">
        <w:rPr>
          <w:rFonts w:eastAsiaTheme="minorHAnsi"/>
          <w:sz w:val="22"/>
          <w:szCs w:val="22"/>
          <w:lang w:val="en-US" w:eastAsia="en-US"/>
        </w:rPr>
        <w:t>problems</w:t>
      </w:r>
      <w:r w:rsidRPr="00EC1A78">
        <w:rPr>
          <w:rFonts w:eastAsiaTheme="minorHAnsi"/>
          <w:sz w:val="22"/>
          <w:szCs w:val="22"/>
          <w:lang w:eastAsia="en-US"/>
        </w:rPr>
        <w:t xml:space="preserve"> </w:t>
      </w:r>
      <w:r w:rsidRPr="00EC1A78">
        <w:rPr>
          <w:rFonts w:eastAsiaTheme="minorHAnsi"/>
          <w:sz w:val="22"/>
          <w:szCs w:val="22"/>
          <w:lang w:val="en-US" w:eastAsia="en-US"/>
        </w:rPr>
        <w:t>of</w:t>
      </w:r>
      <w:r w:rsidRPr="00EC1A78">
        <w:rPr>
          <w:rFonts w:eastAsiaTheme="minorHAnsi"/>
          <w:sz w:val="22"/>
          <w:szCs w:val="22"/>
          <w:lang w:eastAsia="en-US"/>
        </w:rPr>
        <w:t xml:space="preserve"> </w:t>
      </w:r>
      <w:r w:rsidRPr="00EC1A78">
        <w:rPr>
          <w:rFonts w:eastAsiaTheme="minorHAnsi"/>
          <w:sz w:val="22"/>
          <w:szCs w:val="22"/>
          <w:lang w:val="en-US" w:eastAsia="en-US"/>
        </w:rPr>
        <w:t>legal</w:t>
      </w:r>
      <w:r w:rsidRPr="00EC1A78">
        <w:rPr>
          <w:rFonts w:eastAsiaTheme="minorHAnsi"/>
          <w:sz w:val="22"/>
          <w:szCs w:val="22"/>
          <w:lang w:eastAsia="en-US"/>
        </w:rPr>
        <w:t xml:space="preserve"> </w:t>
      </w:r>
      <w:r w:rsidRPr="00EC1A78">
        <w:rPr>
          <w:rFonts w:eastAsiaTheme="minorHAnsi"/>
          <w:sz w:val="22"/>
          <w:szCs w:val="22"/>
          <w:lang w:val="en-US" w:eastAsia="en-US"/>
        </w:rPr>
        <w:t>regulation</w:t>
      </w:r>
      <w:r w:rsidRPr="00EC1A78">
        <w:rPr>
          <w:rFonts w:eastAsiaTheme="minorHAnsi"/>
          <w:sz w:val="22"/>
          <w:szCs w:val="22"/>
          <w:lang w:eastAsia="en-US"/>
        </w:rPr>
        <w:t xml:space="preserve"> </w:t>
      </w:r>
      <w:r w:rsidRPr="00EC1A78">
        <w:rPr>
          <w:rFonts w:eastAsiaTheme="minorHAnsi"/>
          <w:sz w:val="22"/>
          <w:szCs w:val="22"/>
          <w:lang w:val="en-US" w:eastAsia="en-US"/>
        </w:rPr>
        <w:t>of</w:t>
      </w:r>
      <w:r w:rsidRPr="00EC1A78">
        <w:rPr>
          <w:rFonts w:eastAsiaTheme="minorHAnsi"/>
          <w:sz w:val="22"/>
          <w:szCs w:val="22"/>
          <w:lang w:eastAsia="en-US"/>
        </w:rPr>
        <w:t xml:space="preserve"> </w:t>
      </w:r>
      <w:r w:rsidRPr="00EC1A78">
        <w:rPr>
          <w:rFonts w:eastAsiaTheme="minorHAnsi"/>
          <w:sz w:val="22"/>
          <w:szCs w:val="22"/>
          <w:lang w:val="en-US" w:eastAsia="en-US"/>
        </w:rPr>
        <w:t>migrants</w:t>
      </w:r>
      <w:r w:rsidRPr="00EC1A78">
        <w:rPr>
          <w:rFonts w:eastAsiaTheme="minorHAnsi"/>
          <w:sz w:val="22"/>
          <w:szCs w:val="22"/>
          <w:lang w:eastAsia="en-US"/>
        </w:rPr>
        <w:t xml:space="preserve"> </w:t>
      </w:r>
      <w:r w:rsidRPr="00EC1A78">
        <w:rPr>
          <w:rFonts w:eastAsiaTheme="minorHAnsi"/>
          <w:sz w:val="22"/>
          <w:szCs w:val="22"/>
          <w:lang w:val="en-US" w:eastAsia="en-US"/>
        </w:rPr>
        <w:t>are</w:t>
      </w:r>
      <w:r w:rsidRPr="00EC1A78">
        <w:rPr>
          <w:rFonts w:eastAsiaTheme="minorHAnsi"/>
          <w:sz w:val="22"/>
          <w:szCs w:val="22"/>
          <w:lang w:eastAsia="en-US"/>
        </w:rPr>
        <w:t xml:space="preserve"> </w:t>
      </w:r>
      <w:r w:rsidRPr="00EC1A78">
        <w:rPr>
          <w:rFonts w:eastAsiaTheme="minorHAnsi"/>
          <w:sz w:val="22"/>
          <w:szCs w:val="22"/>
          <w:lang w:val="en-US" w:eastAsia="en-US"/>
        </w:rPr>
        <w:t>revealed</w:t>
      </w:r>
      <w:r w:rsidRPr="00EC1A78">
        <w:rPr>
          <w:rFonts w:eastAsiaTheme="minorHAnsi"/>
          <w:sz w:val="22"/>
          <w:szCs w:val="22"/>
          <w:lang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конституционно–правовой статус м</w:t>
      </w:r>
      <w:r w:rsidRPr="00EC1A78">
        <w:rPr>
          <w:rFonts w:eastAsiaTheme="minorHAnsi"/>
          <w:sz w:val="22"/>
          <w:szCs w:val="22"/>
          <w:lang w:eastAsia="en-US"/>
        </w:rPr>
        <w:t>и</w:t>
      </w:r>
      <w:r w:rsidRPr="00EC1A78">
        <w:rPr>
          <w:rFonts w:eastAsiaTheme="minorHAnsi"/>
          <w:sz w:val="22"/>
          <w:szCs w:val="22"/>
          <w:lang w:eastAsia="en-US"/>
        </w:rPr>
        <w:t>грантов, государство, беженцы и вынужденные переселенцы, вр</w:t>
      </w:r>
      <w:r w:rsidRPr="00EC1A78">
        <w:rPr>
          <w:rFonts w:eastAsiaTheme="minorHAnsi"/>
          <w:sz w:val="22"/>
          <w:szCs w:val="22"/>
          <w:lang w:eastAsia="en-US"/>
        </w:rPr>
        <w:t>е</w:t>
      </w:r>
      <w:r w:rsidRPr="00EC1A78">
        <w:rPr>
          <w:rFonts w:eastAsiaTheme="minorHAnsi"/>
          <w:sz w:val="22"/>
          <w:szCs w:val="22"/>
          <w:lang w:eastAsia="en-US"/>
        </w:rPr>
        <w:t>менное и политическое убежище, трудящиеся–мигранты.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the constitutional and legal status of migrants, the state, refugees and internally displaced persons, temporary and political asylum, migrant workers.</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Миграционные процессы оказывают огромное влияние на внешнеполитическое, демографическое, социально–экономическое развитие РФ, а также на национальную безопасность страны. Име</w:t>
      </w:r>
      <w:r w:rsidRPr="00EC1A78">
        <w:rPr>
          <w:rFonts w:eastAsiaTheme="minorHAnsi"/>
          <w:sz w:val="22"/>
          <w:szCs w:val="22"/>
          <w:lang w:eastAsia="en-US"/>
        </w:rPr>
        <w:t>н</w:t>
      </w:r>
      <w:r w:rsidRPr="00EC1A78">
        <w:rPr>
          <w:rFonts w:eastAsiaTheme="minorHAnsi"/>
          <w:sz w:val="22"/>
          <w:szCs w:val="22"/>
          <w:lang w:eastAsia="en-US"/>
        </w:rPr>
        <w:t>но поэтому реализация миграционной политики обязана стать ва</w:t>
      </w:r>
      <w:r w:rsidRPr="00EC1A78">
        <w:rPr>
          <w:rFonts w:eastAsiaTheme="minorHAnsi"/>
          <w:sz w:val="22"/>
          <w:szCs w:val="22"/>
          <w:lang w:eastAsia="en-US"/>
        </w:rPr>
        <w:t>ж</w:t>
      </w:r>
      <w:r w:rsidRPr="00EC1A78">
        <w:rPr>
          <w:rFonts w:eastAsiaTheme="minorHAnsi"/>
          <w:sz w:val="22"/>
          <w:szCs w:val="22"/>
          <w:lang w:eastAsia="en-US"/>
        </w:rPr>
        <w:t>нейшей задачей государства.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Можно выделить несколько основополагающих критериев, применяемых для определения мигрантов: место рождения, гра</w:t>
      </w:r>
      <w:r w:rsidRPr="00EC1A78">
        <w:rPr>
          <w:rFonts w:eastAsiaTheme="minorHAnsi"/>
          <w:sz w:val="22"/>
          <w:szCs w:val="22"/>
          <w:lang w:eastAsia="en-US"/>
        </w:rPr>
        <w:t>ж</w:t>
      </w:r>
      <w:r w:rsidRPr="00EC1A78">
        <w:rPr>
          <w:rFonts w:eastAsiaTheme="minorHAnsi"/>
          <w:sz w:val="22"/>
          <w:szCs w:val="22"/>
          <w:lang w:eastAsia="en-US"/>
        </w:rPr>
        <w:t>данство и место проживания. Понятие «мигрант» является обо</w:t>
      </w:r>
      <w:r w:rsidRPr="00EC1A78">
        <w:rPr>
          <w:rFonts w:eastAsiaTheme="minorHAnsi"/>
          <w:sz w:val="22"/>
          <w:szCs w:val="22"/>
          <w:lang w:eastAsia="en-US"/>
        </w:rPr>
        <w:t>б</w:t>
      </w:r>
      <w:r w:rsidRPr="00EC1A78">
        <w:rPr>
          <w:rFonts w:eastAsiaTheme="minorHAnsi"/>
          <w:sz w:val="22"/>
          <w:szCs w:val="22"/>
          <w:lang w:eastAsia="en-US"/>
        </w:rPr>
        <w:t>щенным, в нем отражены основные признаки, которые свойственны всем категориям мигрантов.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Российская Федерация – один из важнейших центров притяж</w:t>
      </w:r>
      <w:r w:rsidRPr="00EC1A78">
        <w:rPr>
          <w:rFonts w:eastAsiaTheme="minorHAnsi"/>
          <w:sz w:val="22"/>
          <w:szCs w:val="22"/>
          <w:lang w:eastAsia="en-US"/>
        </w:rPr>
        <w:t>е</w:t>
      </w:r>
      <w:r w:rsidRPr="00EC1A78">
        <w:rPr>
          <w:rFonts w:eastAsiaTheme="minorHAnsi"/>
          <w:sz w:val="22"/>
          <w:szCs w:val="22"/>
          <w:lang w:eastAsia="en-US"/>
        </w:rPr>
        <w:t>ния иммигрантов среди стран СНГ. В основном на территорию страны приезжают беженцы. Причины, по которым эти люди бегут из своих стран: отсутствие стабильности политической ситуации во многих странах, национальные конфликты, вооруженные против</w:t>
      </w:r>
      <w:r w:rsidRPr="00EC1A78">
        <w:rPr>
          <w:rFonts w:eastAsiaTheme="minorHAnsi"/>
          <w:sz w:val="22"/>
          <w:szCs w:val="22"/>
          <w:lang w:eastAsia="en-US"/>
        </w:rPr>
        <w:t>о</w:t>
      </w:r>
      <w:r w:rsidRPr="00EC1A78">
        <w:rPr>
          <w:rFonts w:eastAsiaTheme="minorHAnsi"/>
          <w:sz w:val="22"/>
          <w:szCs w:val="22"/>
          <w:lang w:eastAsia="en-US"/>
        </w:rPr>
        <w:t>стояния.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Важным шагом в решении вопроса вынужденной миграции можно считать принятие в 1993 году Законов «О беженцах» [1] и «О вынужденных переселенцах» [2]. В них был определен правовой статус беженцев и вынужденных переселенцев, порядок признания ими, закреплены основные гарантии защиты прав лиц, покинувших свою страну по объективным причинам.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январь 2014 насчитывалось около 240 тыс. вынужденных переселенцев и 58 беженцев [3] (такое количество связано с тем, что получение статуса беженца представляет большую сложность).</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У правового статуса беженцев есть ряд особенностей: они не являются гражданами РФ, не могут быть насильно возвращены в государство, гражданами которого они являются. Одной из самых важных особенностей беженцев, является то, что они не могут во</w:t>
      </w:r>
      <w:r w:rsidRPr="00EC1A78">
        <w:rPr>
          <w:rFonts w:eastAsiaTheme="minorHAnsi"/>
          <w:sz w:val="22"/>
          <w:szCs w:val="22"/>
          <w:lang w:eastAsia="en-US"/>
        </w:rPr>
        <w:t>с</w:t>
      </w:r>
      <w:r w:rsidRPr="00EC1A78">
        <w:rPr>
          <w:rFonts w:eastAsiaTheme="minorHAnsi"/>
          <w:sz w:val="22"/>
          <w:szCs w:val="22"/>
          <w:lang w:eastAsia="en-US"/>
        </w:rPr>
        <w:t>пользоваться защитой своего государства, остаются отрезанными от него. Также необходимо упомянуть тот факт, что в связи с весьма трудным и длительным процессом получения статуса беженца в РФ, люди во время периода ожидания получения свидетельства не имеют должных документов и считаются приезжими «нелегалами». Поэтому их права в это время недостаточно  защищены.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Другой категорией мигрантов являются вынужденные перес</w:t>
      </w:r>
      <w:r w:rsidRPr="00EC1A78">
        <w:rPr>
          <w:rFonts w:eastAsiaTheme="minorHAnsi"/>
          <w:sz w:val="22"/>
          <w:szCs w:val="22"/>
          <w:lang w:eastAsia="en-US"/>
        </w:rPr>
        <w:t>е</w:t>
      </w:r>
      <w:r w:rsidRPr="00EC1A78">
        <w:rPr>
          <w:rFonts w:eastAsiaTheme="minorHAnsi"/>
          <w:sz w:val="22"/>
          <w:szCs w:val="22"/>
          <w:lang w:eastAsia="en-US"/>
        </w:rPr>
        <w:t>ленцы. Россия была первым государством, которое ввело понятие «вынужденный переселенец», означающее вынужденных мигра</w:t>
      </w:r>
      <w:r w:rsidRPr="00EC1A78">
        <w:rPr>
          <w:rFonts w:eastAsiaTheme="minorHAnsi"/>
          <w:sz w:val="22"/>
          <w:szCs w:val="22"/>
          <w:lang w:eastAsia="en-US"/>
        </w:rPr>
        <w:t>н</w:t>
      </w:r>
      <w:r w:rsidRPr="00EC1A78">
        <w:rPr>
          <w:rFonts w:eastAsiaTheme="minorHAnsi"/>
          <w:sz w:val="22"/>
          <w:szCs w:val="22"/>
          <w:lang w:eastAsia="en-US"/>
        </w:rPr>
        <w:t>тов, перемещающихся в пределах их собственного государства. В 1993г. в Бишкеке были подписаны соглашения странами СНГ о п</w:t>
      </w:r>
      <w:r w:rsidRPr="00EC1A78">
        <w:rPr>
          <w:rFonts w:eastAsiaTheme="minorHAnsi"/>
          <w:sz w:val="22"/>
          <w:szCs w:val="22"/>
          <w:lang w:eastAsia="en-US"/>
        </w:rPr>
        <w:t>о</w:t>
      </w:r>
      <w:r w:rsidRPr="00EC1A78">
        <w:rPr>
          <w:rFonts w:eastAsiaTheme="minorHAnsi"/>
          <w:sz w:val="22"/>
          <w:szCs w:val="22"/>
          <w:lang w:eastAsia="en-US"/>
        </w:rPr>
        <w:t>мощи беженцам и вынужденным переселенцам, правовая категория «вынужденный переселенец» приобрела международный статус.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Еще один механизм защиты мигрантов в РФ – это предоставл</w:t>
      </w:r>
      <w:r w:rsidRPr="00EC1A78">
        <w:rPr>
          <w:rFonts w:eastAsiaTheme="minorHAnsi"/>
          <w:sz w:val="22"/>
          <w:szCs w:val="22"/>
          <w:lang w:eastAsia="en-US"/>
        </w:rPr>
        <w:t>е</w:t>
      </w:r>
      <w:r w:rsidRPr="00EC1A78">
        <w:rPr>
          <w:rFonts w:eastAsiaTheme="minorHAnsi"/>
          <w:sz w:val="22"/>
          <w:szCs w:val="22"/>
          <w:lang w:eastAsia="en-US"/>
        </w:rPr>
        <w:t>ние временной защиты людям, которые по определенным причинам не попадают под определение беженцев, но нуждаются в опеке го</w:t>
      </w:r>
      <w:r w:rsidRPr="00EC1A78">
        <w:rPr>
          <w:rFonts w:eastAsiaTheme="minorHAnsi"/>
          <w:sz w:val="22"/>
          <w:szCs w:val="22"/>
          <w:lang w:eastAsia="en-US"/>
        </w:rPr>
        <w:t>с</w:t>
      </w:r>
      <w:r w:rsidRPr="00EC1A78">
        <w:rPr>
          <w:rFonts w:eastAsiaTheme="minorHAnsi"/>
          <w:sz w:val="22"/>
          <w:szCs w:val="22"/>
          <w:lang w:eastAsia="en-US"/>
        </w:rPr>
        <w:t>ударства. Этот статус мигранта называется «гуманитарным», то есть статус лица, которое по гуманным основаниям не выдворяют из страны. Право получения политического убежища состоит в г</w:t>
      </w:r>
      <w:r w:rsidRPr="00EC1A78">
        <w:rPr>
          <w:rFonts w:eastAsiaTheme="minorHAnsi"/>
          <w:sz w:val="22"/>
          <w:szCs w:val="22"/>
          <w:lang w:eastAsia="en-US"/>
        </w:rPr>
        <w:t>а</w:t>
      </w:r>
      <w:r w:rsidRPr="00EC1A78">
        <w:rPr>
          <w:rFonts w:eastAsiaTheme="minorHAnsi"/>
          <w:sz w:val="22"/>
          <w:szCs w:val="22"/>
          <w:lang w:eastAsia="en-US"/>
        </w:rPr>
        <w:t>рантии безопасности пребывания лица в РФ, предоставлении ему основных прав и свобод человека, невыдаче и невысылке его гос</w:t>
      </w:r>
      <w:r w:rsidRPr="00EC1A78">
        <w:rPr>
          <w:rFonts w:eastAsiaTheme="minorHAnsi"/>
          <w:sz w:val="22"/>
          <w:szCs w:val="22"/>
          <w:lang w:eastAsia="en-US"/>
        </w:rPr>
        <w:t>у</w:t>
      </w:r>
      <w:r w:rsidRPr="00EC1A78">
        <w:rPr>
          <w:rFonts w:eastAsiaTheme="minorHAnsi"/>
          <w:sz w:val="22"/>
          <w:szCs w:val="22"/>
          <w:lang w:eastAsia="en-US"/>
        </w:rPr>
        <w:t>дарству, где человек может подвергаться преследованиям.</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Главные критерии получения статуса «трудящийся мигрант» —отсутствие гражданства Российской Федерации, допуск в РФ для осуществления трудовой деятельности и физическое ее осущест</w:t>
      </w:r>
      <w:r w:rsidRPr="00EC1A78">
        <w:rPr>
          <w:rFonts w:eastAsiaTheme="minorHAnsi"/>
          <w:sz w:val="22"/>
          <w:szCs w:val="22"/>
          <w:lang w:eastAsia="en-US"/>
        </w:rPr>
        <w:t>в</w:t>
      </w:r>
      <w:r w:rsidRPr="00EC1A78">
        <w:rPr>
          <w:rFonts w:eastAsiaTheme="minorHAnsi"/>
          <w:sz w:val="22"/>
          <w:szCs w:val="22"/>
          <w:lang w:eastAsia="en-US"/>
        </w:rPr>
        <w:t>ление. Невозможно сводить проблему регулирования прав труд</w:t>
      </w:r>
      <w:r w:rsidRPr="00EC1A78">
        <w:rPr>
          <w:rFonts w:eastAsiaTheme="minorHAnsi"/>
          <w:sz w:val="22"/>
          <w:szCs w:val="22"/>
          <w:lang w:eastAsia="en-US"/>
        </w:rPr>
        <w:t>я</w:t>
      </w:r>
      <w:r w:rsidRPr="00EC1A78">
        <w:rPr>
          <w:rFonts w:eastAsiaTheme="minorHAnsi"/>
          <w:sz w:val="22"/>
          <w:szCs w:val="22"/>
          <w:lang w:eastAsia="en-US"/>
        </w:rPr>
        <w:t>щихся–мигрантов к выделению людей, работающих по трудовым договорам, нужно распространить понятие «трудящийся– мигрант» на рабочих, которые проживают в РФ.</w:t>
      </w:r>
    </w:p>
    <w:p w:rsid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заключение, хотелось бы отметить, что иммиграция в Россию должна быть ограничена по общим основаниям (судимость, опа</w:t>
      </w:r>
      <w:r w:rsidRPr="00EC1A78">
        <w:rPr>
          <w:rFonts w:eastAsiaTheme="minorHAnsi"/>
          <w:sz w:val="22"/>
          <w:szCs w:val="22"/>
          <w:lang w:eastAsia="en-US"/>
        </w:rPr>
        <w:t>с</w:t>
      </w:r>
      <w:r w:rsidRPr="00EC1A78">
        <w:rPr>
          <w:rFonts w:eastAsiaTheme="minorHAnsi"/>
          <w:sz w:val="22"/>
          <w:szCs w:val="22"/>
          <w:lang w:eastAsia="en-US"/>
        </w:rPr>
        <w:t>ные болезни, участие в экстремистских организациях, ведение шп</w:t>
      </w:r>
      <w:r w:rsidRPr="00EC1A78">
        <w:rPr>
          <w:rFonts w:eastAsiaTheme="minorHAnsi"/>
          <w:sz w:val="22"/>
          <w:szCs w:val="22"/>
          <w:lang w:eastAsia="en-US"/>
        </w:rPr>
        <w:t>и</w:t>
      </w:r>
      <w:r w:rsidRPr="00EC1A78">
        <w:rPr>
          <w:rFonts w:eastAsiaTheme="minorHAnsi"/>
          <w:sz w:val="22"/>
          <w:szCs w:val="22"/>
          <w:lang w:eastAsia="en-US"/>
        </w:rPr>
        <w:t xml:space="preserve">онажа против России) и по основаниям, меняющимся в зависимости </w:t>
      </w:r>
      <w:r w:rsidRPr="00EC1A78">
        <w:rPr>
          <w:rFonts w:eastAsiaTheme="minorHAnsi"/>
          <w:sz w:val="22"/>
          <w:szCs w:val="22"/>
          <w:lang w:eastAsia="en-US"/>
        </w:rPr>
        <w:lastRenderedPageBreak/>
        <w:t>от социально–экономического и политического положения, сл</w:t>
      </w:r>
      <w:r w:rsidRPr="00EC1A78">
        <w:rPr>
          <w:rFonts w:eastAsiaTheme="minorHAnsi"/>
          <w:sz w:val="22"/>
          <w:szCs w:val="22"/>
          <w:lang w:eastAsia="en-US"/>
        </w:rPr>
        <w:t>о</w:t>
      </w:r>
      <w:r w:rsidRPr="00EC1A78">
        <w:rPr>
          <w:rFonts w:eastAsiaTheme="minorHAnsi"/>
          <w:sz w:val="22"/>
          <w:szCs w:val="22"/>
          <w:lang w:eastAsia="en-US"/>
        </w:rPr>
        <w:t>жившегося на территории РФ.</w:t>
      </w:r>
    </w:p>
    <w:p w:rsidR="003A6F86" w:rsidRPr="00EC1A78" w:rsidRDefault="003A6F86" w:rsidP="00EC1A78">
      <w:pPr>
        <w:ind w:firstLine="426"/>
        <w:jc w:val="both"/>
        <w:rPr>
          <w:rFonts w:eastAsiaTheme="minorHAnsi"/>
          <w:sz w:val="22"/>
          <w:szCs w:val="22"/>
          <w:lang w:eastAsia="en-US"/>
        </w:rPr>
      </w:pPr>
    </w:p>
    <w:p w:rsidR="00EC1A78" w:rsidRPr="00EC1A78" w:rsidRDefault="00EC1A78" w:rsidP="00EC1A78">
      <w:pPr>
        <w:ind w:firstLine="426"/>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1. О беженцах :</w:t>
      </w:r>
      <w:r w:rsidRPr="00EC1A78">
        <w:rPr>
          <w:rFonts w:eastAsiaTheme="minorHAnsi"/>
          <w:color w:val="333333"/>
          <w:sz w:val="22"/>
          <w:szCs w:val="22"/>
          <w:lang w:eastAsia="en-US"/>
        </w:rPr>
        <w:t xml:space="preserve"> федер. закон от</w:t>
      </w:r>
      <w:r w:rsidRPr="00EC1A78">
        <w:rPr>
          <w:rFonts w:eastAsiaTheme="minorHAnsi"/>
          <w:sz w:val="22"/>
          <w:szCs w:val="22"/>
          <w:lang w:eastAsia="en-US"/>
        </w:rPr>
        <w:t xml:space="preserve"> 19.02.1993 № 4528–1 (ред. от 22.12.2014) //</w:t>
      </w:r>
      <w:r w:rsidRPr="00EC1A78">
        <w:rPr>
          <w:sz w:val="21"/>
          <w:szCs w:val="21"/>
        </w:rPr>
        <w:t xml:space="preserve"> </w:t>
      </w:r>
      <w:r w:rsidRPr="00EC1A78">
        <w:rPr>
          <w:rFonts w:eastAsiaTheme="minorHAnsi"/>
          <w:sz w:val="22"/>
          <w:szCs w:val="22"/>
          <w:lang w:eastAsia="en-US"/>
        </w:rPr>
        <w:t>Российская газета, № 126, 03.06.1997; http://www.pravo.gov.ru – 23.12.2014.</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2. О вынужденных переселенцах : Закон РФ от 19.02.1993 № 4530–1 (ред. от 30.12.2015) //</w:t>
      </w:r>
      <w:r w:rsidRPr="00EC1A78">
        <w:rPr>
          <w:sz w:val="21"/>
          <w:szCs w:val="21"/>
        </w:rPr>
        <w:t xml:space="preserve"> </w:t>
      </w:r>
      <w:r w:rsidRPr="00EC1A78">
        <w:rPr>
          <w:rFonts w:eastAsiaTheme="minorHAnsi"/>
          <w:sz w:val="22"/>
          <w:szCs w:val="22"/>
          <w:lang w:eastAsia="en-US"/>
        </w:rPr>
        <w:t>Ведомости СНД и ВС РФ, 25.03.1993, № 12, ст. 427; http://www.pravo.gov.ru – 30.12.2015.</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3. Балашова Т.Н. «Миграция в современной России: констит</w:t>
      </w:r>
      <w:r w:rsidRPr="00EC1A78">
        <w:rPr>
          <w:rFonts w:eastAsiaTheme="minorHAnsi"/>
          <w:sz w:val="22"/>
          <w:szCs w:val="22"/>
          <w:lang w:eastAsia="en-US"/>
        </w:rPr>
        <w:t>у</w:t>
      </w:r>
      <w:r w:rsidRPr="00EC1A78">
        <w:rPr>
          <w:rFonts w:eastAsiaTheme="minorHAnsi"/>
          <w:sz w:val="22"/>
          <w:szCs w:val="22"/>
          <w:lang w:eastAsia="en-US"/>
        </w:rPr>
        <w:t>ционно–правовой анализ: монография», Елец, 2010. С. 92.</w:t>
      </w:r>
    </w:p>
    <w:p w:rsidR="00EC1A78" w:rsidRDefault="00EC1A78" w:rsidP="00EC1A78">
      <w:pPr>
        <w:rPr>
          <w:rFonts w:eastAsiaTheme="minorHAnsi"/>
          <w:sz w:val="22"/>
          <w:szCs w:val="22"/>
          <w:lang w:eastAsia="en-US"/>
        </w:rPr>
      </w:pPr>
    </w:p>
    <w:p w:rsidR="003A6F86" w:rsidRDefault="003A6F86" w:rsidP="00EC1A78">
      <w:pPr>
        <w:rPr>
          <w:rFonts w:eastAsiaTheme="minorHAnsi"/>
          <w:sz w:val="22"/>
          <w:szCs w:val="22"/>
          <w:lang w:eastAsia="en-US"/>
        </w:rPr>
      </w:pPr>
    </w:p>
    <w:p w:rsidR="003A6F86" w:rsidRPr="00EC1A78" w:rsidRDefault="003A6F86" w:rsidP="00EC1A78">
      <w:pPr>
        <w:rPr>
          <w:rFonts w:eastAsiaTheme="minorHAnsi"/>
          <w:sz w:val="22"/>
          <w:szCs w:val="22"/>
          <w:lang w:eastAsia="en-US"/>
        </w:rPr>
      </w:pPr>
    </w:p>
    <w:p w:rsidR="00EC1A78" w:rsidRPr="00EC1A78" w:rsidRDefault="00EC1A78" w:rsidP="00EC1A78">
      <w:pPr>
        <w:widowControl w:val="0"/>
        <w:rPr>
          <w:rFonts w:eastAsia="Courier New"/>
          <w:color w:val="000000"/>
          <w:sz w:val="22"/>
          <w:szCs w:val="22"/>
          <w:lang w:eastAsia="en-US"/>
        </w:rPr>
      </w:pPr>
      <w:r w:rsidRPr="00EC1A78">
        <w:rPr>
          <w:rFonts w:eastAsia="Courier New"/>
          <w:color w:val="000000"/>
          <w:sz w:val="22"/>
          <w:szCs w:val="22"/>
          <w:lang w:eastAsia="en-US"/>
        </w:rPr>
        <w:t>УДК 34.07</w:t>
      </w:r>
    </w:p>
    <w:p w:rsidR="00EC1A78" w:rsidRPr="00EC1A78" w:rsidRDefault="00EC1A78" w:rsidP="00EC1A78">
      <w:pPr>
        <w:widowControl w:val="0"/>
        <w:rPr>
          <w:rFonts w:eastAsia="Courier New"/>
          <w:color w:val="000000"/>
          <w:sz w:val="22"/>
          <w:szCs w:val="22"/>
          <w:lang w:eastAsia="en-US"/>
        </w:rPr>
      </w:pPr>
    </w:p>
    <w:p w:rsidR="00EC1A78" w:rsidRPr="00EC1A78" w:rsidRDefault="00EC1A78" w:rsidP="00EC1A78">
      <w:pPr>
        <w:widowControl w:val="0"/>
        <w:jc w:val="center"/>
        <w:rPr>
          <w:rFonts w:eastAsia="Courier New"/>
          <w:b/>
          <w:color w:val="000000"/>
          <w:sz w:val="24"/>
          <w:szCs w:val="24"/>
          <w:lang w:eastAsia="en-US"/>
        </w:rPr>
      </w:pPr>
      <w:r w:rsidRPr="00EC1A78">
        <w:rPr>
          <w:rFonts w:eastAsia="Courier New"/>
          <w:b/>
          <w:color w:val="000000"/>
          <w:sz w:val="24"/>
          <w:szCs w:val="24"/>
          <w:lang w:eastAsia="en-US"/>
        </w:rPr>
        <w:t xml:space="preserve">Актуальные проблемы прокурорского надзора </w:t>
      </w:r>
    </w:p>
    <w:p w:rsidR="00EC1A78" w:rsidRPr="00EC1A78" w:rsidRDefault="00EC1A78" w:rsidP="00EC1A78">
      <w:pPr>
        <w:widowControl w:val="0"/>
        <w:jc w:val="center"/>
        <w:rPr>
          <w:rFonts w:eastAsia="Courier New"/>
          <w:b/>
          <w:color w:val="000000"/>
          <w:sz w:val="24"/>
          <w:szCs w:val="24"/>
          <w:lang w:eastAsia="en-US"/>
        </w:rPr>
      </w:pPr>
      <w:r w:rsidRPr="00EC1A78">
        <w:rPr>
          <w:rFonts w:eastAsia="Courier New"/>
          <w:b/>
          <w:color w:val="000000"/>
          <w:sz w:val="24"/>
          <w:szCs w:val="24"/>
          <w:lang w:eastAsia="en-US"/>
        </w:rPr>
        <w:t xml:space="preserve">в местах лишения свободы </w:t>
      </w:r>
    </w:p>
    <w:p w:rsidR="00EC1A78" w:rsidRPr="00EC1A78" w:rsidRDefault="00EC1A78" w:rsidP="00EC1A78">
      <w:pPr>
        <w:widowControl w:val="0"/>
        <w:jc w:val="center"/>
        <w:rPr>
          <w:rFonts w:eastAsiaTheme="minorHAnsi"/>
          <w:b/>
          <w:sz w:val="24"/>
          <w:szCs w:val="24"/>
          <w:lang w:eastAsia="en-US"/>
        </w:rPr>
      </w:pPr>
      <w:r w:rsidRPr="00EC1A78">
        <w:rPr>
          <w:rFonts w:eastAsiaTheme="minorHAnsi"/>
          <w:b/>
          <w:sz w:val="24"/>
          <w:szCs w:val="24"/>
          <w:lang w:val="en-US" w:eastAsia="en-US"/>
        </w:rPr>
        <w:t>Actual</w:t>
      </w:r>
      <w:r w:rsidRPr="00EC1A78">
        <w:rPr>
          <w:rFonts w:eastAsiaTheme="minorHAnsi"/>
          <w:b/>
          <w:sz w:val="24"/>
          <w:szCs w:val="24"/>
          <w:lang w:eastAsia="en-US"/>
        </w:rPr>
        <w:t xml:space="preserve"> </w:t>
      </w:r>
      <w:r w:rsidRPr="00EC1A78">
        <w:rPr>
          <w:rFonts w:eastAsiaTheme="minorHAnsi"/>
          <w:b/>
          <w:sz w:val="24"/>
          <w:szCs w:val="24"/>
          <w:lang w:val="en-US" w:eastAsia="en-US"/>
        </w:rPr>
        <w:t>issues</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prosecutor</w:t>
      </w:r>
      <w:r w:rsidRPr="00EC1A78">
        <w:rPr>
          <w:rFonts w:eastAsiaTheme="minorHAnsi"/>
          <w:b/>
          <w:sz w:val="24"/>
          <w:szCs w:val="24"/>
          <w:lang w:eastAsia="en-US"/>
        </w:rPr>
        <w:t>’</w:t>
      </w:r>
      <w:r w:rsidRPr="00EC1A78">
        <w:rPr>
          <w:rFonts w:eastAsiaTheme="minorHAnsi"/>
          <w:b/>
          <w:sz w:val="24"/>
          <w:szCs w:val="24"/>
          <w:lang w:val="en-US" w:eastAsia="en-US"/>
        </w:rPr>
        <w:t>s</w:t>
      </w:r>
      <w:r w:rsidRPr="00EC1A78">
        <w:rPr>
          <w:rFonts w:eastAsiaTheme="minorHAnsi"/>
          <w:b/>
          <w:sz w:val="24"/>
          <w:szCs w:val="24"/>
          <w:lang w:eastAsia="en-US"/>
        </w:rPr>
        <w:t xml:space="preserve"> </w:t>
      </w:r>
      <w:r w:rsidRPr="00EC1A78">
        <w:rPr>
          <w:rFonts w:eastAsiaTheme="minorHAnsi"/>
          <w:b/>
          <w:sz w:val="24"/>
          <w:szCs w:val="24"/>
          <w:lang w:val="en-US" w:eastAsia="en-US"/>
        </w:rPr>
        <w:t>supervision</w:t>
      </w:r>
      <w:r w:rsidRPr="00EC1A78">
        <w:rPr>
          <w:rFonts w:eastAsiaTheme="minorHAnsi"/>
          <w:b/>
          <w:sz w:val="24"/>
          <w:szCs w:val="24"/>
          <w:lang w:eastAsia="en-US"/>
        </w:rPr>
        <w:t xml:space="preserve"> </w:t>
      </w:r>
      <w:r w:rsidRPr="00EC1A78">
        <w:rPr>
          <w:rFonts w:eastAsiaTheme="minorHAnsi"/>
          <w:b/>
          <w:sz w:val="24"/>
          <w:szCs w:val="24"/>
          <w:lang w:val="en-US" w:eastAsia="en-US"/>
        </w:rPr>
        <w:t>in</w:t>
      </w:r>
      <w:r w:rsidRPr="00EC1A78">
        <w:rPr>
          <w:rFonts w:eastAsiaTheme="minorHAnsi"/>
          <w:b/>
          <w:sz w:val="24"/>
          <w:szCs w:val="24"/>
          <w:lang w:eastAsia="en-US"/>
        </w:rPr>
        <w:t xml:space="preserve"> </w:t>
      </w:r>
      <w:r w:rsidRPr="00EC1A78">
        <w:rPr>
          <w:rFonts w:eastAsiaTheme="minorHAnsi"/>
          <w:b/>
          <w:sz w:val="24"/>
          <w:szCs w:val="24"/>
          <w:lang w:val="en-US" w:eastAsia="en-US"/>
        </w:rPr>
        <w:t>places</w:t>
      </w:r>
      <w:r w:rsidRPr="00EC1A78">
        <w:rPr>
          <w:rFonts w:eastAsiaTheme="minorHAnsi"/>
          <w:b/>
          <w:sz w:val="24"/>
          <w:szCs w:val="24"/>
          <w:lang w:eastAsia="en-US"/>
        </w:rPr>
        <w:t xml:space="preserve"> </w:t>
      </w:r>
    </w:p>
    <w:p w:rsidR="00EC1A78" w:rsidRPr="00EC1A78" w:rsidRDefault="00EC1A78" w:rsidP="00EC1A78">
      <w:pPr>
        <w:widowControl w:val="0"/>
        <w:jc w:val="center"/>
        <w:rPr>
          <w:rFonts w:eastAsia="Courier New"/>
          <w:b/>
          <w:color w:val="000000"/>
          <w:sz w:val="24"/>
          <w:szCs w:val="24"/>
          <w:lang w:val="en-US" w:eastAsia="en-US"/>
        </w:rPr>
      </w:pPr>
      <w:r w:rsidRPr="00EC1A78">
        <w:rPr>
          <w:rFonts w:eastAsiaTheme="minorHAnsi"/>
          <w:b/>
          <w:sz w:val="24"/>
          <w:szCs w:val="24"/>
          <w:lang w:val="en-US" w:eastAsia="en-US"/>
        </w:rPr>
        <w:t>of deprivation of liberty</w:t>
      </w:r>
    </w:p>
    <w:p w:rsidR="00EC1A78" w:rsidRPr="00EC1A78" w:rsidRDefault="00EC1A78" w:rsidP="00EC1A78">
      <w:pPr>
        <w:widowControl w:val="0"/>
        <w:jc w:val="center"/>
        <w:rPr>
          <w:rFonts w:eastAsia="Courier New"/>
          <w:b/>
          <w:color w:val="000000"/>
          <w:sz w:val="24"/>
          <w:szCs w:val="24"/>
          <w:lang w:val="en-US" w:eastAsia="en-US"/>
        </w:rPr>
      </w:pPr>
    </w:p>
    <w:p w:rsidR="00EC1A78" w:rsidRPr="00EC1A78" w:rsidRDefault="00EC1A78" w:rsidP="00EC1A78">
      <w:pPr>
        <w:widowControl w:val="0"/>
        <w:tabs>
          <w:tab w:val="left" w:pos="8223"/>
        </w:tabs>
        <w:jc w:val="right"/>
        <w:rPr>
          <w:rFonts w:eastAsia="Courier New"/>
          <w:color w:val="000000"/>
          <w:sz w:val="22"/>
          <w:szCs w:val="22"/>
          <w:lang w:val="en-US" w:eastAsia="en-US"/>
        </w:rPr>
      </w:pPr>
      <w:r w:rsidRPr="00EC1A78">
        <w:rPr>
          <w:rFonts w:eastAsia="Courier New"/>
          <w:color w:val="000000"/>
          <w:sz w:val="22"/>
          <w:szCs w:val="22"/>
          <w:lang w:eastAsia="en-US"/>
        </w:rPr>
        <w:t>Гарькавая</w:t>
      </w:r>
      <w:r w:rsidRPr="00EC1A78">
        <w:rPr>
          <w:rFonts w:eastAsia="Courier New"/>
          <w:color w:val="000000"/>
          <w:sz w:val="22"/>
          <w:szCs w:val="22"/>
          <w:lang w:val="en-US" w:eastAsia="en-US"/>
        </w:rPr>
        <w:t xml:space="preserve"> </w:t>
      </w:r>
      <w:r w:rsidRPr="00EC1A78">
        <w:rPr>
          <w:rFonts w:eastAsia="Courier New"/>
          <w:color w:val="000000"/>
          <w:sz w:val="22"/>
          <w:szCs w:val="22"/>
          <w:lang w:eastAsia="en-US"/>
        </w:rPr>
        <w:t>А</w:t>
      </w:r>
      <w:r w:rsidRPr="00EC1A78">
        <w:rPr>
          <w:rFonts w:eastAsia="Courier New"/>
          <w:color w:val="000000"/>
          <w:sz w:val="22"/>
          <w:szCs w:val="22"/>
          <w:lang w:val="en-US" w:eastAsia="en-US"/>
        </w:rPr>
        <w:t xml:space="preserve">. </w:t>
      </w:r>
      <w:r w:rsidRPr="00EC1A78">
        <w:rPr>
          <w:rFonts w:eastAsia="Courier New"/>
          <w:color w:val="000000"/>
          <w:sz w:val="22"/>
          <w:szCs w:val="22"/>
          <w:lang w:eastAsia="en-US"/>
        </w:rPr>
        <w:t>И</w:t>
      </w:r>
      <w:r w:rsidRPr="00EC1A78">
        <w:rPr>
          <w:rFonts w:eastAsia="Courier New"/>
          <w:color w:val="000000"/>
          <w:sz w:val="22"/>
          <w:szCs w:val="22"/>
          <w:lang w:val="en-US" w:eastAsia="en-US"/>
        </w:rPr>
        <w:t>.,</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студент 4–го курса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Малин</w:t>
      </w:r>
      <w:r w:rsidRPr="00EC1A78">
        <w:rPr>
          <w:sz w:val="22"/>
          <w:szCs w:val="22"/>
        </w:rPr>
        <w:t xml:space="preserve"> </w:t>
      </w:r>
      <w:r w:rsidRPr="00EC1A78">
        <w:rPr>
          <w:rFonts w:eastAsia="Courier New"/>
          <w:color w:val="000000"/>
          <w:sz w:val="22"/>
          <w:szCs w:val="22"/>
          <w:lang w:eastAsia="en-US"/>
        </w:rPr>
        <w:t>П. М.,</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доцент кафедры уголовного процесса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3A6F86">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widowControl w:val="0"/>
        <w:tabs>
          <w:tab w:val="left" w:pos="8223"/>
        </w:tabs>
        <w:jc w:val="right"/>
        <w:rPr>
          <w:rFonts w:eastAsia="Courier New"/>
          <w:color w:val="000000"/>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Courier New"/>
          <w:color w:val="000000"/>
          <w:sz w:val="22"/>
          <w:szCs w:val="22"/>
          <w:lang w:eastAsia="en-US"/>
        </w:rPr>
        <w:t xml:space="preserve">АННОТАЦИЯ: </w:t>
      </w:r>
      <w:r w:rsidRPr="00EC1A78">
        <w:rPr>
          <w:rFonts w:eastAsiaTheme="minorHAnsi"/>
          <w:color w:val="000000"/>
          <w:sz w:val="22"/>
          <w:szCs w:val="22"/>
          <w:shd w:val="clear" w:color="auto" w:fill="FFFFFF"/>
          <w:lang w:eastAsia="en-US"/>
        </w:rPr>
        <w:t>Исследованы актуальные проблемы прокуро</w:t>
      </w:r>
      <w:r w:rsidRPr="00EC1A78">
        <w:rPr>
          <w:rFonts w:eastAsiaTheme="minorHAnsi"/>
          <w:color w:val="000000"/>
          <w:sz w:val="22"/>
          <w:szCs w:val="22"/>
          <w:shd w:val="clear" w:color="auto" w:fill="FFFFFF"/>
          <w:lang w:eastAsia="en-US"/>
        </w:rPr>
        <w:t>р</w:t>
      </w:r>
      <w:r w:rsidRPr="00EC1A78">
        <w:rPr>
          <w:rFonts w:eastAsiaTheme="minorHAnsi"/>
          <w:color w:val="000000"/>
          <w:sz w:val="22"/>
          <w:szCs w:val="22"/>
          <w:shd w:val="clear" w:color="auto" w:fill="FFFFFF"/>
          <w:lang w:eastAsia="en-US"/>
        </w:rPr>
        <w:t>ского надзора за соблюдением законности и обоснованности пер</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мещений осуждённых из одного исправительного учреждения в другое</w:t>
      </w:r>
      <w:r w:rsidRPr="00EC1A78">
        <w:rPr>
          <w:rFonts w:eastAsia="Courier New"/>
          <w:color w:val="000000"/>
          <w:sz w:val="22"/>
          <w:szCs w:val="22"/>
          <w:lang w:eastAsia="en-US"/>
        </w:rPr>
        <w:t>. Выработаны</w:t>
      </w:r>
      <w:r w:rsidRPr="00EC1A78">
        <w:rPr>
          <w:rFonts w:eastAsiaTheme="minorHAnsi"/>
          <w:sz w:val="22"/>
          <w:szCs w:val="22"/>
          <w:lang w:eastAsia="en-US"/>
        </w:rPr>
        <w:t xml:space="preserve"> рекомендации и предложения, которые сп</w:t>
      </w:r>
      <w:r w:rsidRPr="00EC1A78">
        <w:rPr>
          <w:rFonts w:eastAsiaTheme="minorHAnsi"/>
          <w:sz w:val="22"/>
          <w:szCs w:val="22"/>
          <w:lang w:eastAsia="en-US"/>
        </w:rPr>
        <w:t>о</w:t>
      </w:r>
      <w:r w:rsidRPr="00EC1A78">
        <w:rPr>
          <w:rFonts w:eastAsiaTheme="minorHAnsi"/>
          <w:sz w:val="22"/>
          <w:szCs w:val="22"/>
          <w:lang w:eastAsia="en-US"/>
        </w:rPr>
        <w:t>собствовали бы совершенствованию законодатель</w:t>
      </w:r>
      <w:r w:rsidRPr="00EC1A78">
        <w:rPr>
          <w:rFonts w:eastAsiaTheme="minorHAnsi"/>
          <w:sz w:val="22"/>
          <w:szCs w:val="22"/>
          <w:lang w:eastAsia="en-US"/>
        </w:rPr>
        <w:softHyphen/>
        <w:t>ства и могли быть использованы в практике  работы прокуратуры</w:t>
      </w:r>
      <w:r w:rsidRPr="00EC1A78">
        <w:rPr>
          <w:rFonts w:eastAsia="Courier New"/>
          <w:color w:val="000000"/>
          <w:sz w:val="22"/>
          <w:szCs w:val="22"/>
          <w:lang w:eastAsia="en-US"/>
        </w:rPr>
        <w:t>.</w:t>
      </w:r>
    </w:p>
    <w:p w:rsidR="00EC1A78" w:rsidRPr="00EC1A78" w:rsidRDefault="00EC1A78" w:rsidP="00EC1A78">
      <w:pPr>
        <w:widowControl w:val="0"/>
        <w:tabs>
          <w:tab w:val="left" w:pos="8223"/>
        </w:tabs>
        <w:ind w:firstLine="425"/>
        <w:jc w:val="both"/>
        <w:rPr>
          <w:rFonts w:eastAsia="Courier New"/>
          <w:color w:val="000000"/>
          <w:sz w:val="22"/>
          <w:szCs w:val="22"/>
          <w:shd w:val="clear" w:color="auto" w:fill="FFFFFF"/>
          <w:lang w:val="en-US" w:eastAsia="en-US"/>
        </w:rPr>
      </w:pPr>
      <w:r w:rsidRPr="00EC1A78">
        <w:rPr>
          <w:rFonts w:eastAsia="Courier New"/>
          <w:color w:val="000000"/>
          <w:sz w:val="22"/>
          <w:szCs w:val="22"/>
          <w:lang w:val="en-US" w:eastAsia="en-US"/>
        </w:rPr>
        <w:t>ABSTRACT:</w:t>
      </w:r>
      <w:r w:rsidRPr="00EC1A78">
        <w:rPr>
          <w:rFonts w:eastAsiaTheme="minorHAnsi"/>
          <w:color w:val="000000"/>
          <w:sz w:val="22"/>
          <w:szCs w:val="22"/>
          <w:shd w:val="clear" w:color="auto" w:fill="FFFFFF"/>
          <w:lang w:val="en-US" w:eastAsia="en-US"/>
        </w:rPr>
        <w:t xml:space="preserve"> The actual problems of the prosecutor's supervision over the observance of the rights and reasonableness of the movement of </w:t>
      </w:r>
      <w:r w:rsidRPr="00EC1A78">
        <w:rPr>
          <w:rFonts w:eastAsiaTheme="minorHAnsi"/>
          <w:color w:val="000000"/>
          <w:sz w:val="22"/>
          <w:szCs w:val="22"/>
          <w:shd w:val="clear" w:color="auto" w:fill="FFFFFF"/>
          <w:lang w:val="en-US" w:eastAsia="en-US"/>
        </w:rPr>
        <w:lastRenderedPageBreak/>
        <w:t>convicts from one detention centre to another have been investigated. Recommendations and suggestions that would contribute to the i</w:t>
      </w:r>
      <w:r w:rsidRPr="00EC1A78">
        <w:rPr>
          <w:rFonts w:eastAsiaTheme="minorHAnsi"/>
          <w:color w:val="000000"/>
          <w:sz w:val="22"/>
          <w:szCs w:val="22"/>
          <w:shd w:val="clear" w:color="auto" w:fill="FFFFFF"/>
          <w:lang w:val="en-US" w:eastAsia="en-US"/>
        </w:rPr>
        <w:t>m</w:t>
      </w:r>
      <w:r w:rsidRPr="00EC1A78">
        <w:rPr>
          <w:rFonts w:eastAsiaTheme="minorHAnsi"/>
          <w:color w:val="000000"/>
          <w:sz w:val="22"/>
          <w:szCs w:val="22"/>
          <w:shd w:val="clear" w:color="auto" w:fill="FFFFFF"/>
          <w:lang w:val="en-US" w:eastAsia="en-US"/>
        </w:rPr>
        <w:t>provement of legislation and could be used in the practice of the pros</w:t>
      </w:r>
      <w:r w:rsidRPr="00EC1A78">
        <w:rPr>
          <w:rFonts w:eastAsiaTheme="minorHAnsi"/>
          <w:color w:val="000000"/>
          <w:sz w:val="22"/>
          <w:szCs w:val="22"/>
          <w:shd w:val="clear" w:color="auto" w:fill="FFFFFF"/>
          <w:lang w:val="en-US" w:eastAsia="en-US"/>
        </w:rPr>
        <w:t>e</w:t>
      </w:r>
      <w:r w:rsidRPr="00EC1A78">
        <w:rPr>
          <w:rFonts w:eastAsiaTheme="minorHAnsi"/>
          <w:color w:val="000000"/>
          <w:sz w:val="22"/>
          <w:szCs w:val="22"/>
          <w:shd w:val="clear" w:color="auto" w:fill="FFFFFF"/>
          <w:lang w:val="en-US" w:eastAsia="en-US"/>
        </w:rPr>
        <w:t>cutor's office have been developed</w:t>
      </w:r>
      <w:r w:rsidRPr="00EC1A78">
        <w:rPr>
          <w:rFonts w:eastAsia="Courier New"/>
          <w:color w:val="000000"/>
          <w:sz w:val="22"/>
          <w:szCs w:val="22"/>
          <w:shd w:val="clear" w:color="auto" w:fill="FFFFFF"/>
          <w:lang w:val="en-US" w:eastAsia="en-US"/>
        </w:rPr>
        <w:t>.</w:t>
      </w:r>
    </w:p>
    <w:p w:rsidR="00EC1A78" w:rsidRPr="00EC1A78" w:rsidRDefault="00EC1A78" w:rsidP="00EC1A78">
      <w:pPr>
        <w:widowControl w:val="0"/>
        <w:tabs>
          <w:tab w:val="left" w:pos="8223"/>
        </w:tabs>
        <w:ind w:firstLine="425"/>
        <w:jc w:val="both"/>
        <w:rPr>
          <w:rFonts w:eastAsia="Courier New"/>
          <w:color w:val="000000"/>
          <w:sz w:val="22"/>
          <w:szCs w:val="22"/>
          <w:lang w:eastAsia="en-US"/>
        </w:rPr>
      </w:pPr>
      <w:r w:rsidRPr="00EC1A78">
        <w:rPr>
          <w:rFonts w:eastAsia="Courier New"/>
          <w:color w:val="000000"/>
          <w:sz w:val="22"/>
          <w:szCs w:val="22"/>
          <w:lang w:eastAsia="en-US"/>
        </w:rPr>
        <w:t>КЛЮЧЕВЫЕ СЛОВА: прокуратура, надзор, место лишения свободы, законность, осужденный.</w:t>
      </w:r>
    </w:p>
    <w:p w:rsidR="00EC1A78" w:rsidRPr="00EC1A78" w:rsidRDefault="00EC1A78" w:rsidP="00EC1A78">
      <w:pPr>
        <w:widowControl w:val="0"/>
        <w:ind w:firstLine="425"/>
        <w:rPr>
          <w:rFonts w:eastAsia="Courier New"/>
          <w:color w:val="000000"/>
          <w:sz w:val="22"/>
          <w:szCs w:val="22"/>
          <w:lang w:val="en-US" w:eastAsia="en-US"/>
        </w:rPr>
      </w:pPr>
      <w:r w:rsidRPr="00EC1A78">
        <w:rPr>
          <w:rFonts w:eastAsia="Courier New"/>
          <w:color w:val="000000"/>
          <w:sz w:val="22"/>
          <w:szCs w:val="22"/>
          <w:lang w:val="en-US" w:eastAsia="en-US"/>
        </w:rPr>
        <w:t>KEYWORDS:</w:t>
      </w:r>
      <w:r w:rsidRPr="00EC1A78">
        <w:rPr>
          <w:rFonts w:eastAsia="Courier New"/>
          <w:color w:val="000000"/>
          <w:sz w:val="22"/>
          <w:szCs w:val="22"/>
          <w:shd w:val="clear" w:color="auto" w:fill="FFFFFF"/>
          <w:lang w:val="en-US" w:eastAsia="en-US"/>
        </w:rPr>
        <w:t xml:space="preserve"> </w:t>
      </w:r>
      <w:r w:rsidRPr="00EC1A78">
        <w:rPr>
          <w:rFonts w:eastAsia="Courier New"/>
          <w:color w:val="000000"/>
          <w:sz w:val="22"/>
          <w:szCs w:val="22"/>
          <w:lang w:val="en-US" w:eastAsia="en-US"/>
        </w:rPr>
        <w:t xml:space="preserve">procuracy, supervision, </w:t>
      </w:r>
      <w:r w:rsidRPr="00EC1A78">
        <w:rPr>
          <w:rFonts w:eastAsiaTheme="minorHAnsi"/>
          <w:sz w:val="22"/>
          <w:szCs w:val="22"/>
          <w:lang w:val="en-US" w:eastAsia="en-US"/>
        </w:rPr>
        <w:t>places of deprivation of li</w:t>
      </w:r>
      <w:r w:rsidRPr="00EC1A78">
        <w:rPr>
          <w:rFonts w:eastAsiaTheme="minorHAnsi"/>
          <w:sz w:val="22"/>
          <w:szCs w:val="22"/>
          <w:lang w:val="en-US" w:eastAsia="en-US"/>
        </w:rPr>
        <w:t>b</w:t>
      </w:r>
      <w:r w:rsidRPr="00EC1A78">
        <w:rPr>
          <w:rFonts w:eastAsiaTheme="minorHAnsi"/>
          <w:sz w:val="22"/>
          <w:szCs w:val="22"/>
          <w:lang w:val="en-US" w:eastAsia="en-US"/>
        </w:rPr>
        <w:t>erty</w:t>
      </w:r>
      <w:r w:rsidRPr="00EC1A78">
        <w:rPr>
          <w:rFonts w:eastAsia="Courier New"/>
          <w:color w:val="000000"/>
          <w:sz w:val="22"/>
          <w:szCs w:val="22"/>
          <w:lang w:val="en-US" w:eastAsia="en-US"/>
        </w:rPr>
        <w:t>, legitimacy,</w:t>
      </w:r>
      <w:r w:rsidRPr="00EC1A78">
        <w:rPr>
          <w:rFonts w:eastAsiaTheme="minorHAnsi"/>
          <w:sz w:val="22"/>
          <w:szCs w:val="22"/>
          <w:lang w:val="en-US" w:eastAsia="en-US"/>
        </w:rPr>
        <w:t xml:space="preserve"> </w:t>
      </w:r>
      <w:r w:rsidRPr="00EC1A78">
        <w:rPr>
          <w:rFonts w:eastAsia="Courier New"/>
          <w:color w:val="000000"/>
          <w:sz w:val="22"/>
          <w:szCs w:val="22"/>
          <w:lang w:val="en-US" w:eastAsia="en-US"/>
        </w:rPr>
        <w:t>convicted .</w:t>
      </w:r>
    </w:p>
    <w:p w:rsidR="00EC1A78" w:rsidRPr="00EC1A78" w:rsidRDefault="00EC1A78" w:rsidP="00EC1A78">
      <w:pPr>
        <w:widowControl w:val="0"/>
        <w:ind w:firstLine="425"/>
        <w:rPr>
          <w:rFonts w:eastAsia="Courier New"/>
          <w:color w:val="000000"/>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Возможной реакцией органов, исполняющих уголовное наказ</w:t>
      </w:r>
      <w:r w:rsidRPr="00EC1A78">
        <w:rPr>
          <w:rFonts w:eastAsiaTheme="minorHAnsi"/>
          <w:sz w:val="22"/>
          <w:szCs w:val="22"/>
          <w:lang w:eastAsia="en-US"/>
        </w:rPr>
        <w:t>а</w:t>
      </w:r>
      <w:r w:rsidRPr="00EC1A78">
        <w:rPr>
          <w:rFonts w:eastAsiaTheme="minorHAnsi"/>
          <w:sz w:val="22"/>
          <w:szCs w:val="22"/>
          <w:lang w:eastAsia="en-US"/>
        </w:rPr>
        <w:t xml:space="preserve">ние, на поведение осужденного в исправительной колонии является изменение вида исправительного учреждения.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Исходя из этого, можно вы</w:t>
      </w:r>
      <w:r w:rsidRPr="00EC1A78">
        <w:rPr>
          <w:rFonts w:eastAsiaTheme="minorHAnsi"/>
          <w:sz w:val="22"/>
          <w:szCs w:val="22"/>
          <w:lang w:eastAsia="en-US"/>
        </w:rPr>
        <w:softHyphen/>
        <w:t>делить следующие виды перевода: перевод в исправительное учреждение с более мягким режимом (ч. 2 ст. 78 УИК РФ), изменение вида исправительного учреждения в сторону усиления режима (ч. 4 ст. 78 УИК РФ) и пере</w:t>
      </w:r>
      <w:r w:rsidRPr="00EC1A78">
        <w:rPr>
          <w:rFonts w:eastAsiaTheme="minorHAnsi"/>
          <w:sz w:val="22"/>
          <w:szCs w:val="22"/>
          <w:lang w:eastAsia="en-US"/>
        </w:rPr>
        <w:softHyphen/>
        <w:t>вод, не изм</w:t>
      </w:r>
      <w:r w:rsidRPr="00EC1A78">
        <w:rPr>
          <w:rFonts w:eastAsiaTheme="minorHAnsi"/>
          <w:sz w:val="22"/>
          <w:szCs w:val="22"/>
          <w:lang w:eastAsia="en-US"/>
        </w:rPr>
        <w:t>е</w:t>
      </w:r>
      <w:r w:rsidRPr="00EC1A78">
        <w:rPr>
          <w:rFonts w:eastAsiaTheme="minorHAnsi"/>
          <w:sz w:val="22"/>
          <w:szCs w:val="22"/>
          <w:lang w:eastAsia="en-US"/>
        </w:rPr>
        <w:t>няющий вида режима (ст. 81 УИК РФ).</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Условно можно выделить три этапа прокурорского надзора в сфере обеспечения законно</w:t>
      </w:r>
      <w:r w:rsidRPr="00EC1A78">
        <w:rPr>
          <w:rFonts w:eastAsiaTheme="minorHAnsi"/>
          <w:sz w:val="22"/>
          <w:szCs w:val="22"/>
          <w:lang w:eastAsia="en-US"/>
        </w:rPr>
        <w:softHyphen/>
        <w:t>сти изменений вида исправительного учреждения. Первый</w:t>
      </w:r>
      <w:r w:rsidRPr="00EC1A78">
        <w:rPr>
          <w:rFonts w:eastAsiaTheme="minorHAnsi"/>
          <w:sz w:val="22"/>
          <w:szCs w:val="22"/>
          <w:shd w:val="clear" w:color="auto" w:fill="FFFFFF"/>
          <w:lang w:eastAsia="en-US"/>
        </w:rPr>
        <w:t xml:space="preserve"> </w:t>
      </w:r>
      <w:r w:rsidRPr="00EC1A78">
        <w:rPr>
          <w:rFonts w:eastAsia="Courier New"/>
          <w:sz w:val="22"/>
          <w:szCs w:val="22"/>
          <w:lang w:eastAsia="en-US"/>
        </w:rPr>
        <w:t xml:space="preserve">– </w:t>
      </w:r>
      <w:r w:rsidRPr="00EC1A78">
        <w:rPr>
          <w:rFonts w:eastAsiaTheme="minorHAnsi"/>
          <w:sz w:val="22"/>
          <w:szCs w:val="22"/>
          <w:lang w:eastAsia="en-US"/>
        </w:rPr>
        <w:t>досудебный, заключающийся в проверке з</w:t>
      </w:r>
      <w:r w:rsidRPr="00EC1A78">
        <w:rPr>
          <w:rFonts w:eastAsiaTheme="minorHAnsi"/>
          <w:sz w:val="22"/>
          <w:szCs w:val="22"/>
          <w:lang w:eastAsia="en-US"/>
        </w:rPr>
        <w:t>а</w:t>
      </w:r>
      <w:r w:rsidRPr="00EC1A78">
        <w:rPr>
          <w:rFonts w:eastAsiaTheme="minorHAnsi"/>
          <w:sz w:val="22"/>
          <w:szCs w:val="22"/>
          <w:lang w:eastAsia="en-US"/>
        </w:rPr>
        <w:t>конности условий перевода, его своевременности, полноты и ко</w:t>
      </w:r>
      <w:r w:rsidRPr="00EC1A78">
        <w:rPr>
          <w:rFonts w:eastAsiaTheme="minorHAnsi"/>
          <w:sz w:val="22"/>
          <w:szCs w:val="22"/>
          <w:lang w:eastAsia="en-US"/>
        </w:rPr>
        <w:t>р</w:t>
      </w:r>
      <w:r w:rsidRPr="00EC1A78">
        <w:rPr>
          <w:rFonts w:eastAsiaTheme="minorHAnsi"/>
          <w:sz w:val="22"/>
          <w:szCs w:val="22"/>
          <w:lang w:eastAsia="en-US"/>
        </w:rPr>
        <w:t>ректности материалов о переводе. Второй</w:t>
      </w:r>
      <w:r w:rsidRPr="00EC1A78">
        <w:rPr>
          <w:rFonts w:eastAsiaTheme="minorHAnsi"/>
          <w:sz w:val="22"/>
          <w:szCs w:val="22"/>
          <w:shd w:val="clear" w:color="auto" w:fill="FFFFFF"/>
          <w:lang w:eastAsia="en-US"/>
        </w:rPr>
        <w:t xml:space="preserve"> </w:t>
      </w:r>
      <w:r w:rsidRPr="00EC1A78">
        <w:rPr>
          <w:rFonts w:eastAsia="Courier New"/>
          <w:sz w:val="22"/>
          <w:szCs w:val="22"/>
          <w:lang w:eastAsia="en-US"/>
        </w:rPr>
        <w:t xml:space="preserve">– </w:t>
      </w:r>
      <w:r w:rsidRPr="00EC1A78">
        <w:rPr>
          <w:rFonts w:eastAsiaTheme="minorHAnsi"/>
          <w:sz w:val="22"/>
          <w:szCs w:val="22"/>
          <w:lang w:eastAsia="en-US"/>
        </w:rPr>
        <w:t>судебный, выража</w:t>
      </w:r>
      <w:r w:rsidRPr="00EC1A78">
        <w:rPr>
          <w:rFonts w:eastAsiaTheme="minorHAnsi"/>
          <w:sz w:val="22"/>
          <w:szCs w:val="22"/>
          <w:lang w:eastAsia="en-US"/>
        </w:rPr>
        <w:t>ю</w:t>
      </w:r>
      <w:r w:rsidRPr="00EC1A78">
        <w:rPr>
          <w:rFonts w:eastAsiaTheme="minorHAnsi"/>
          <w:sz w:val="22"/>
          <w:szCs w:val="22"/>
          <w:lang w:eastAsia="en-US"/>
        </w:rPr>
        <w:t>щийся в участии прокурора в судебных производствах по рассмо</w:t>
      </w:r>
      <w:r w:rsidRPr="00EC1A78">
        <w:rPr>
          <w:rFonts w:eastAsiaTheme="minorHAnsi"/>
          <w:sz w:val="22"/>
          <w:szCs w:val="22"/>
          <w:lang w:eastAsia="en-US"/>
        </w:rPr>
        <w:t>т</w:t>
      </w:r>
      <w:r w:rsidRPr="00EC1A78">
        <w:rPr>
          <w:rFonts w:eastAsiaTheme="minorHAnsi"/>
          <w:sz w:val="22"/>
          <w:szCs w:val="22"/>
          <w:lang w:eastAsia="en-US"/>
        </w:rPr>
        <w:t>рению и разрешению вопросов, связанных с исполнением пригов</w:t>
      </w:r>
      <w:r w:rsidRPr="00EC1A78">
        <w:rPr>
          <w:rFonts w:eastAsiaTheme="minorHAnsi"/>
          <w:sz w:val="22"/>
          <w:szCs w:val="22"/>
          <w:lang w:eastAsia="en-US"/>
        </w:rPr>
        <w:t>о</w:t>
      </w:r>
      <w:r w:rsidRPr="00EC1A78">
        <w:rPr>
          <w:rFonts w:eastAsiaTheme="minorHAnsi"/>
          <w:sz w:val="22"/>
          <w:szCs w:val="22"/>
          <w:lang w:eastAsia="en-US"/>
        </w:rPr>
        <w:t>ра. Третий</w:t>
      </w:r>
      <w:r w:rsidRPr="00EC1A78">
        <w:rPr>
          <w:rFonts w:eastAsiaTheme="minorHAnsi"/>
          <w:sz w:val="22"/>
          <w:szCs w:val="22"/>
          <w:shd w:val="clear" w:color="auto" w:fill="FFFFFF"/>
          <w:lang w:eastAsia="en-US"/>
        </w:rPr>
        <w:t xml:space="preserve"> </w:t>
      </w:r>
      <w:r w:rsidRPr="00EC1A78">
        <w:rPr>
          <w:rFonts w:eastAsia="Courier New"/>
          <w:sz w:val="22"/>
          <w:szCs w:val="22"/>
          <w:lang w:eastAsia="en-US"/>
        </w:rPr>
        <w:t xml:space="preserve">– </w:t>
      </w:r>
      <w:r w:rsidRPr="00EC1A78">
        <w:rPr>
          <w:rFonts w:eastAsiaTheme="minorHAnsi"/>
          <w:sz w:val="22"/>
          <w:szCs w:val="22"/>
          <w:lang w:eastAsia="en-US"/>
        </w:rPr>
        <w:t>исключительный, так как его целью является проверка  законности и обоснованности уже принятого решения о переводе и  его обжалование при выявлении нарушений закона[1].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Основанием перевода как меры поощрения являются обсто</w:t>
      </w:r>
      <w:r w:rsidRPr="00EC1A78">
        <w:rPr>
          <w:rFonts w:eastAsiaTheme="minorHAnsi"/>
          <w:sz w:val="22"/>
          <w:szCs w:val="22"/>
          <w:lang w:eastAsia="en-US"/>
        </w:rPr>
        <w:t>я</w:t>
      </w:r>
      <w:r w:rsidRPr="00EC1A78">
        <w:rPr>
          <w:rFonts w:eastAsiaTheme="minorHAnsi"/>
          <w:sz w:val="22"/>
          <w:szCs w:val="22"/>
          <w:lang w:eastAsia="en-US"/>
        </w:rPr>
        <w:t>тельства, которые подтверждают положительное поведение осу</w:t>
      </w:r>
      <w:r w:rsidRPr="00EC1A78">
        <w:rPr>
          <w:rFonts w:eastAsiaTheme="minorHAnsi"/>
          <w:sz w:val="22"/>
          <w:szCs w:val="22"/>
          <w:lang w:eastAsia="en-US"/>
        </w:rPr>
        <w:t>ж</w:t>
      </w:r>
      <w:r w:rsidRPr="00EC1A78">
        <w:rPr>
          <w:rFonts w:eastAsiaTheme="minorHAnsi"/>
          <w:sz w:val="22"/>
          <w:szCs w:val="22"/>
          <w:lang w:eastAsia="en-US"/>
        </w:rPr>
        <w:t>денного. Но из опросов прокурорских работников следует, что не редки случаи представления к данному переводу лиц, имеющих многочисленные взыскания, свидетельствующих о том, что осуж</w:t>
      </w:r>
      <w:r w:rsidRPr="00EC1A78">
        <w:rPr>
          <w:rFonts w:eastAsiaTheme="minorHAnsi"/>
          <w:sz w:val="22"/>
          <w:szCs w:val="22"/>
          <w:lang w:eastAsia="en-US"/>
        </w:rPr>
        <w:softHyphen/>
        <w:t>денные не исправились и, как следствие, не могут быть переведены в исправительное учреждение с более мягким режимом.</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Процессуальный порядок рассмотрения вопроса о переводе как меры поощрения идентичен с порядком перевода как меры взыск</w:t>
      </w:r>
      <w:r w:rsidRPr="00EC1A78">
        <w:rPr>
          <w:rFonts w:eastAsiaTheme="minorHAnsi"/>
          <w:sz w:val="22"/>
          <w:szCs w:val="22"/>
          <w:lang w:eastAsia="en-US"/>
        </w:rPr>
        <w:t>а</w:t>
      </w:r>
      <w:r w:rsidRPr="00EC1A78">
        <w:rPr>
          <w:rFonts w:eastAsiaTheme="minorHAnsi"/>
          <w:sz w:val="22"/>
          <w:szCs w:val="22"/>
          <w:lang w:eastAsia="en-US"/>
        </w:rPr>
        <w:t xml:space="preserve">ния  и закреплен в статье 399 УПК РФ.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Первая проблема заключается в том, что  прокурор огранич</w:t>
      </w:r>
      <w:r w:rsidRPr="00EC1A78">
        <w:rPr>
          <w:rFonts w:eastAsiaTheme="minorHAnsi"/>
          <w:sz w:val="22"/>
          <w:szCs w:val="22"/>
          <w:lang w:eastAsia="en-US"/>
        </w:rPr>
        <w:t>и</w:t>
      </w:r>
      <w:r w:rsidRPr="00EC1A78">
        <w:rPr>
          <w:rFonts w:eastAsiaTheme="minorHAnsi"/>
          <w:sz w:val="22"/>
          <w:szCs w:val="22"/>
          <w:lang w:eastAsia="en-US"/>
        </w:rPr>
        <w:t>вается в осуществлении надзора за соблюдением законности пер</w:t>
      </w:r>
      <w:r w:rsidRPr="00EC1A78">
        <w:rPr>
          <w:rFonts w:eastAsiaTheme="minorHAnsi"/>
          <w:sz w:val="22"/>
          <w:szCs w:val="22"/>
          <w:lang w:eastAsia="en-US"/>
        </w:rPr>
        <w:t>е</w:t>
      </w:r>
      <w:r w:rsidRPr="00EC1A78">
        <w:rPr>
          <w:rFonts w:eastAsiaTheme="minorHAnsi"/>
          <w:sz w:val="22"/>
          <w:szCs w:val="22"/>
          <w:lang w:eastAsia="en-US"/>
        </w:rPr>
        <w:t>вода, так как возможность ознакомления с материалами о переводе у него появляется только в суде. Предоставив прокурору право ознакомления с материалами перевода для выяснения соблюдения требований закона, законодатель не закрепил гарантий его реализ</w:t>
      </w:r>
      <w:r w:rsidRPr="00EC1A78">
        <w:rPr>
          <w:rFonts w:eastAsiaTheme="minorHAnsi"/>
          <w:sz w:val="22"/>
          <w:szCs w:val="22"/>
          <w:lang w:eastAsia="en-US"/>
        </w:rPr>
        <w:t>а</w:t>
      </w:r>
      <w:r w:rsidRPr="00EC1A78">
        <w:rPr>
          <w:rFonts w:eastAsiaTheme="minorHAnsi"/>
          <w:sz w:val="22"/>
          <w:szCs w:val="22"/>
          <w:lang w:eastAsia="en-US"/>
        </w:rPr>
        <w:t>ции. Так, статьями 33–34 ФЗ «О прокуратуре РФ» не предусмотрена обязан</w:t>
      </w:r>
      <w:r w:rsidRPr="00EC1A78">
        <w:rPr>
          <w:rFonts w:eastAsiaTheme="minorHAnsi"/>
          <w:sz w:val="22"/>
          <w:szCs w:val="22"/>
          <w:lang w:eastAsia="en-US"/>
        </w:rPr>
        <w:softHyphen/>
        <w:t>ность администрации исправительного учреждения напра</w:t>
      </w:r>
      <w:r w:rsidRPr="00EC1A78">
        <w:rPr>
          <w:rFonts w:eastAsiaTheme="minorHAnsi"/>
          <w:sz w:val="22"/>
          <w:szCs w:val="22"/>
          <w:lang w:eastAsia="en-US"/>
        </w:rPr>
        <w:t>в</w:t>
      </w:r>
      <w:r w:rsidRPr="00EC1A78">
        <w:rPr>
          <w:rFonts w:eastAsiaTheme="minorHAnsi"/>
          <w:sz w:val="22"/>
          <w:szCs w:val="22"/>
          <w:lang w:eastAsia="en-US"/>
        </w:rPr>
        <w:t>лять материалы о переводе осужденного прокурору. На практике это проявляется в отказе выполнения администрацией исправител</w:t>
      </w:r>
      <w:r w:rsidRPr="00EC1A78">
        <w:rPr>
          <w:rFonts w:eastAsiaTheme="minorHAnsi"/>
          <w:sz w:val="22"/>
          <w:szCs w:val="22"/>
          <w:lang w:eastAsia="en-US"/>
        </w:rPr>
        <w:t>ь</w:t>
      </w:r>
      <w:r w:rsidRPr="00EC1A78">
        <w:rPr>
          <w:rFonts w:eastAsiaTheme="minorHAnsi"/>
          <w:sz w:val="22"/>
          <w:szCs w:val="22"/>
          <w:lang w:eastAsia="en-US"/>
        </w:rPr>
        <w:t>ного учреждения требований прокурора, ссылаясь на отсутствие финансовых средств для оплаты почтовых услуг по пересылке н</w:t>
      </w:r>
      <w:r w:rsidRPr="00EC1A78">
        <w:rPr>
          <w:rFonts w:eastAsiaTheme="minorHAnsi"/>
          <w:sz w:val="22"/>
          <w:szCs w:val="22"/>
          <w:lang w:eastAsia="en-US"/>
        </w:rPr>
        <w:t>е</w:t>
      </w:r>
      <w:r w:rsidRPr="00EC1A78">
        <w:rPr>
          <w:rFonts w:eastAsiaTheme="minorHAnsi"/>
          <w:sz w:val="22"/>
          <w:szCs w:val="22"/>
          <w:lang w:eastAsia="en-US"/>
        </w:rPr>
        <w:t>обходимых материалов в прокуратуру и обрат</w:t>
      </w:r>
      <w:r w:rsidRPr="00EC1A78">
        <w:rPr>
          <w:rFonts w:eastAsiaTheme="minorHAnsi"/>
          <w:sz w:val="22"/>
          <w:szCs w:val="22"/>
          <w:lang w:eastAsia="en-US"/>
        </w:rPr>
        <w:softHyphen/>
        <w:t>но. На наш взгляд, необходимо ввести норму в УПК РФ, предусматри</w:t>
      </w:r>
      <w:r w:rsidRPr="00EC1A78">
        <w:rPr>
          <w:rFonts w:eastAsiaTheme="minorHAnsi"/>
          <w:sz w:val="22"/>
          <w:szCs w:val="22"/>
          <w:lang w:eastAsia="en-US"/>
        </w:rPr>
        <w:softHyphen/>
        <w:t>вающую во</w:t>
      </w:r>
      <w:r w:rsidRPr="00EC1A78">
        <w:rPr>
          <w:rFonts w:eastAsiaTheme="minorHAnsi"/>
          <w:sz w:val="22"/>
          <w:szCs w:val="22"/>
          <w:lang w:eastAsia="en-US"/>
        </w:rPr>
        <w:t>з</w:t>
      </w:r>
      <w:r w:rsidRPr="00EC1A78">
        <w:rPr>
          <w:rFonts w:eastAsiaTheme="minorHAnsi"/>
          <w:sz w:val="22"/>
          <w:szCs w:val="22"/>
          <w:lang w:eastAsia="en-US"/>
        </w:rPr>
        <w:t>можность прокурору ознакомиться с материалами о переводе осу</w:t>
      </w:r>
      <w:r w:rsidRPr="00EC1A78">
        <w:rPr>
          <w:rFonts w:eastAsiaTheme="minorHAnsi"/>
          <w:sz w:val="22"/>
          <w:szCs w:val="22"/>
          <w:lang w:eastAsia="en-US"/>
        </w:rPr>
        <w:t>ж</w:t>
      </w:r>
      <w:r w:rsidRPr="00EC1A78">
        <w:rPr>
          <w:rFonts w:eastAsiaTheme="minorHAnsi"/>
          <w:sz w:val="22"/>
          <w:szCs w:val="22"/>
          <w:lang w:eastAsia="en-US"/>
        </w:rPr>
        <w:t>денного в суде до начала судебного заседания, это позволит изб</w:t>
      </w:r>
      <w:r w:rsidRPr="00EC1A78">
        <w:rPr>
          <w:rFonts w:eastAsiaTheme="minorHAnsi"/>
          <w:sz w:val="22"/>
          <w:szCs w:val="22"/>
          <w:lang w:eastAsia="en-US"/>
        </w:rPr>
        <w:t>е</w:t>
      </w:r>
      <w:r w:rsidRPr="00EC1A78">
        <w:rPr>
          <w:rFonts w:eastAsiaTheme="minorHAnsi"/>
          <w:sz w:val="22"/>
          <w:szCs w:val="22"/>
          <w:lang w:eastAsia="en-US"/>
        </w:rPr>
        <w:t xml:space="preserve">жать лишней волокиты.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 как ни в ст. 399 УПК РФ, регламентирующей порядок ра</w:t>
      </w:r>
      <w:r w:rsidRPr="00EC1A78">
        <w:rPr>
          <w:rFonts w:eastAsiaTheme="minorHAnsi"/>
          <w:sz w:val="22"/>
          <w:szCs w:val="22"/>
          <w:lang w:eastAsia="en-US"/>
        </w:rPr>
        <w:t>з</w:t>
      </w:r>
      <w:r w:rsidRPr="00EC1A78">
        <w:rPr>
          <w:rFonts w:eastAsiaTheme="minorHAnsi"/>
          <w:sz w:val="22"/>
          <w:szCs w:val="22"/>
          <w:lang w:eastAsia="en-US"/>
        </w:rPr>
        <w:t>решения вопросов, связанных с исполнением приговора, ни в  пр</w:t>
      </w:r>
      <w:r w:rsidRPr="00EC1A78">
        <w:rPr>
          <w:rFonts w:eastAsiaTheme="minorHAnsi"/>
          <w:sz w:val="22"/>
          <w:szCs w:val="22"/>
          <w:lang w:eastAsia="en-US"/>
        </w:rPr>
        <w:t>и</w:t>
      </w:r>
      <w:r w:rsidRPr="00EC1A78">
        <w:rPr>
          <w:rFonts w:eastAsiaTheme="minorHAnsi"/>
          <w:sz w:val="22"/>
          <w:szCs w:val="22"/>
          <w:lang w:eastAsia="en-US"/>
        </w:rPr>
        <w:t>казах Генерального прокурора РФ не закреплена обязательность участия прокурора в судебном заседании, возникает проблема, св</w:t>
      </w:r>
      <w:r w:rsidRPr="00EC1A78">
        <w:rPr>
          <w:rFonts w:eastAsiaTheme="minorHAnsi"/>
          <w:sz w:val="22"/>
          <w:szCs w:val="22"/>
          <w:lang w:eastAsia="en-US"/>
        </w:rPr>
        <w:t>я</w:t>
      </w:r>
      <w:r w:rsidRPr="00EC1A78">
        <w:rPr>
          <w:rFonts w:eastAsiaTheme="minorHAnsi"/>
          <w:sz w:val="22"/>
          <w:szCs w:val="22"/>
          <w:lang w:eastAsia="en-US"/>
        </w:rPr>
        <w:t>занная с возможностью и необходимостью его участия в судебном производстве по рассмотрению данных вопросов[2]. По нашему мнению, следует внести изменения в ч. 1 ст. 396 УПК РФ и изл</w:t>
      </w:r>
      <w:r w:rsidRPr="00EC1A78">
        <w:rPr>
          <w:rFonts w:eastAsiaTheme="minorHAnsi"/>
          <w:sz w:val="22"/>
          <w:szCs w:val="22"/>
          <w:lang w:eastAsia="en-US"/>
        </w:rPr>
        <w:t>о</w:t>
      </w:r>
      <w:r w:rsidRPr="00EC1A78">
        <w:rPr>
          <w:rFonts w:eastAsiaTheme="minorHAnsi"/>
          <w:sz w:val="22"/>
          <w:szCs w:val="22"/>
          <w:lang w:eastAsia="en-US"/>
        </w:rPr>
        <w:t>жить ее в следующей редакции: «</w:t>
      </w:r>
      <w:r w:rsidRPr="00EC1A78">
        <w:rPr>
          <w:rFonts w:eastAsiaTheme="minorHAnsi"/>
          <w:sz w:val="22"/>
          <w:szCs w:val="22"/>
          <w:shd w:val="clear" w:color="auto" w:fill="FFFFFF"/>
          <w:lang w:eastAsia="en-US"/>
        </w:rPr>
        <w:t>Вопросы, указанные в пунктах 1, 2, 9, 10, 11, 14, 15, 16 и 20 статьи 397 и статье 398 настоящего К</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декса, разрешаются судом, постановившим приговор, с обязател</w:t>
      </w:r>
      <w:r w:rsidRPr="00EC1A78">
        <w:rPr>
          <w:rFonts w:eastAsiaTheme="minorHAnsi"/>
          <w:sz w:val="22"/>
          <w:szCs w:val="22"/>
          <w:shd w:val="clear" w:color="auto" w:fill="FFFFFF"/>
          <w:lang w:eastAsia="en-US"/>
        </w:rPr>
        <w:t>ь</w:t>
      </w:r>
      <w:r w:rsidRPr="00EC1A78">
        <w:rPr>
          <w:rFonts w:eastAsiaTheme="minorHAnsi"/>
          <w:sz w:val="22"/>
          <w:szCs w:val="22"/>
          <w:shd w:val="clear" w:color="auto" w:fill="FFFFFF"/>
          <w:lang w:eastAsia="en-US"/>
        </w:rPr>
        <w:t>ным участием прокурора…</w:t>
      </w:r>
      <w:r w:rsidRPr="00EC1A78">
        <w:rPr>
          <w:rFonts w:eastAsiaTheme="minorHAnsi"/>
          <w:sz w:val="22"/>
          <w:szCs w:val="22"/>
          <w:lang w:eastAsia="en-US"/>
        </w:rPr>
        <w:t>».</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widowControl w:val="0"/>
        <w:autoSpaceDE w:val="0"/>
        <w:autoSpaceDN w:val="0"/>
        <w:adjustRightInd w:val="0"/>
        <w:ind w:firstLine="426"/>
        <w:jc w:val="center"/>
        <w:rPr>
          <w:rFonts w:eastAsia="Calibri"/>
          <w:color w:val="000000"/>
          <w:sz w:val="22"/>
          <w:szCs w:val="22"/>
          <w:lang w:eastAsia="en-US"/>
        </w:rPr>
      </w:pPr>
      <w:r w:rsidRPr="00EC1A78">
        <w:rPr>
          <w:rFonts w:eastAsia="Calibri"/>
          <w:color w:val="000000"/>
          <w:sz w:val="22"/>
          <w:szCs w:val="22"/>
          <w:lang w:eastAsia="en-US"/>
        </w:rPr>
        <w:t>Список литературы</w:t>
      </w:r>
    </w:p>
    <w:p w:rsidR="00EC1A78" w:rsidRPr="00EC1A78" w:rsidRDefault="00EC1A78" w:rsidP="00EC1A78">
      <w:pPr>
        <w:widowControl w:val="0"/>
        <w:tabs>
          <w:tab w:val="left" w:pos="851"/>
        </w:tabs>
        <w:autoSpaceDE w:val="0"/>
        <w:autoSpaceDN w:val="0"/>
        <w:adjustRightInd w:val="0"/>
        <w:ind w:firstLine="426"/>
        <w:jc w:val="both"/>
        <w:rPr>
          <w:rFonts w:eastAsiaTheme="minorHAnsi"/>
          <w:sz w:val="22"/>
          <w:szCs w:val="22"/>
          <w:lang w:eastAsia="en-US"/>
        </w:rPr>
      </w:pPr>
      <w:r w:rsidRPr="00EC1A78">
        <w:rPr>
          <w:rFonts w:eastAsiaTheme="minorHAnsi"/>
          <w:sz w:val="22"/>
          <w:szCs w:val="22"/>
          <w:shd w:val="clear" w:color="auto" w:fill="FFFFFF"/>
          <w:lang w:eastAsia="en-US"/>
        </w:rPr>
        <w:t>1. Прокурорский надзор в Российской Федерации: Учебник // под общ. ред. А.Н. Савенкова. М.: Издательско–торговая корпор</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 xml:space="preserve">ция </w:t>
      </w:r>
      <w:r w:rsidRPr="00EC1A78">
        <w:rPr>
          <w:rFonts w:eastAsiaTheme="minorHAnsi"/>
          <w:sz w:val="22"/>
          <w:szCs w:val="22"/>
          <w:lang w:eastAsia="en-US"/>
        </w:rPr>
        <w:t>«</w:t>
      </w:r>
      <w:r w:rsidRPr="00EC1A78">
        <w:rPr>
          <w:rFonts w:eastAsiaTheme="minorHAnsi"/>
          <w:sz w:val="22"/>
          <w:szCs w:val="22"/>
          <w:shd w:val="clear" w:color="auto" w:fill="FFFFFF"/>
          <w:lang w:eastAsia="en-US"/>
        </w:rPr>
        <w:t>Дашков и К</w:t>
      </w:r>
      <w:r w:rsidRPr="00EC1A78">
        <w:rPr>
          <w:rFonts w:eastAsiaTheme="minorHAnsi"/>
          <w:sz w:val="22"/>
          <w:szCs w:val="22"/>
          <w:lang w:eastAsia="en-US"/>
        </w:rPr>
        <w:t>»</w:t>
      </w:r>
      <w:r w:rsidRPr="00EC1A78">
        <w:rPr>
          <w:rFonts w:eastAsiaTheme="minorHAnsi"/>
          <w:sz w:val="22"/>
          <w:szCs w:val="22"/>
          <w:shd w:val="clear" w:color="auto" w:fill="FFFFFF"/>
          <w:lang w:eastAsia="en-US"/>
        </w:rPr>
        <w:t xml:space="preserve">. М., 2010. </w:t>
      </w:r>
      <w:r w:rsidRPr="00EC1A78">
        <w:rPr>
          <w:rFonts w:eastAsia="Courier New"/>
          <w:sz w:val="22"/>
          <w:szCs w:val="22"/>
          <w:lang w:eastAsia="en-US"/>
        </w:rPr>
        <w:t>– С. 139–141.</w:t>
      </w:r>
    </w:p>
    <w:p w:rsidR="00EC1A78" w:rsidRPr="00EC1A78" w:rsidRDefault="00EC1A78" w:rsidP="00EC1A78">
      <w:pPr>
        <w:widowControl w:val="0"/>
        <w:tabs>
          <w:tab w:val="left" w:pos="851"/>
        </w:tabs>
        <w:autoSpaceDE w:val="0"/>
        <w:autoSpaceDN w:val="0"/>
        <w:adjustRightInd w:val="0"/>
        <w:ind w:firstLine="426"/>
        <w:jc w:val="both"/>
        <w:rPr>
          <w:rFonts w:eastAsiaTheme="minorHAnsi"/>
          <w:sz w:val="22"/>
          <w:szCs w:val="22"/>
          <w:shd w:val="clear" w:color="auto" w:fill="FFFFFF"/>
          <w:lang w:eastAsia="en-US"/>
        </w:rPr>
      </w:pPr>
      <w:r w:rsidRPr="00EC1A78">
        <w:rPr>
          <w:rFonts w:eastAsiaTheme="minorHAnsi"/>
          <w:bCs/>
          <w:sz w:val="22"/>
          <w:szCs w:val="22"/>
          <w:shd w:val="clear" w:color="auto" w:fill="FFFFFF"/>
          <w:lang w:eastAsia="en-US"/>
        </w:rPr>
        <w:t>2. Воронин</w:t>
      </w:r>
      <w:r w:rsidRPr="00EC1A78">
        <w:rPr>
          <w:rFonts w:eastAsiaTheme="minorHAnsi"/>
          <w:sz w:val="22"/>
          <w:szCs w:val="22"/>
          <w:shd w:val="clear" w:color="auto" w:fill="FFFFFF"/>
          <w:lang w:eastAsia="en-US"/>
        </w:rPr>
        <w:t> О.В. Современные тенденции </w:t>
      </w:r>
      <w:r w:rsidRPr="00EC1A78">
        <w:rPr>
          <w:rFonts w:eastAsiaTheme="minorHAnsi"/>
          <w:bCs/>
          <w:sz w:val="22"/>
          <w:szCs w:val="22"/>
          <w:shd w:val="clear" w:color="auto" w:fill="FFFFFF"/>
          <w:lang w:eastAsia="en-US"/>
        </w:rPr>
        <w:t>участия прокур</w:t>
      </w:r>
      <w:r w:rsidRPr="00EC1A78">
        <w:rPr>
          <w:rFonts w:eastAsiaTheme="minorHAnsi"/>
          <w:bCs/>
          <w:sz w:val="22"/>
          <w:szCs w:val="22"/>
          <w:shd w:val="clear" w:color="auto" w:fill="FFFFFF"/>
          <w:lang w:eastAsia="en-US"/>
        </w:rPr>
        <w:t>о</w:t>
      </w:r>
      <w:r w:rsidRPr="00EC1A78">
        <w:rPr>
          <w:rFonts w:eastAsiaTheme="minorHAnsi"/>
          <w:bCs/>
          <w:sz w:val="22"/>
          <w:szCs w:val="22"/>
          <w:shd w:val="clear" w:color="auto" w:fill="FFFFFF"/>
          <w:lang w:eastAsia="en-US"/>
        </w:rPr>
        <w:t>ра</w:t>
      </w:r>
      <w:r w:rsidRPr="00EC1A78">
        <w:rPr>
          <w:rFonts w:eastAsiaTheme="minorHAnsi"/>
          <w:sz w:val="22"/>
          <w:szCs w:val="22"/>
          <w:shd w:val="clear" w:color="auto" w:fill="FFFFFF"/>
          <w:lang w:eastAsia="en-US"/>
        </w:rPr>
        <w:t> </w:t>
      </w:r>
      <w:r w:rsidRPr="00EC1A78">
        <w:rPr>
          <w:rFonts w:eastAsiaTheme="minorHAnsi"/>
          <w:bCs/>
          <w:sz w:val="22"/>
          <w:szCs w:val="22"/>
          <w:shd w:val="clear" w:color="auto" w:fill="FFFFFF"/>
          <w:lang w:eastAsia="en-US"/>
        </w:rPr>
        <w:t>в</w:t>
      </w:r>
      <w:r w:rsidRPr="00EC1A78">
        <w:rPr>
          <w:rFonts w:eastAsiaTheme="minorHAnsi"/>
          <w:sz w:val="22"/>
          <w:szCs w:val="22"/>
          <w:shd w:val="clear" w:color="auto" w:fill="FFFFFF"/>
          <w:lang w:eastAsia="en-US"/>
        </w:rPr>
        <w:t> </w:t>
      </w:r>
      <w:r w:rsidRPr="00EC1A78">
        <w:rPr>
          <w:rFonts w:eastAsiaTheme="minorHAnsi"/>
          <w:bCs/>
          <w:sz w:val="22"/>
          <w:szCs w:val="22"/>
          <w:shd w:val="clear" w:color="auto" w:fill="FFFFFF"/>
          <w:lang w:eastAsia="en-US"/>
        </w:rPr>
        <w:t>стадии</w:t>
      </w:r>
      <w:r w:rsidRPr="00EC1A78">
        <w:rPr>
          <w:rFonts w:eastAsiaTheme="minorHAnsi"/>
          <w:sz w:val="22"/>
          <w:szCs w:val="22"/>
          <w:shd w:val="clear" w:color="auto" w:fill="FFFFFF"/>
          <w:lang w:eastAsia="en-US"/>
        </w:rPr>
        <w:t xml:space="preserve"> исполнения приговора. </w:t>
      </w:r>
      <w:r w:rsidRPr="00EC1A78">
        <w:rPr>
          <w:rFonts w:eastAsia="Courier New"/>
          <w:sz w:val="22"/>
          <w:szCs w:val="22"/>
          <w:lang w:eastAsia="en-US"/>
        </w:rPr>
        <w:t>– Вестник</w:t>
      </w:r>
      <w:r w:rsidRPr="00EC1A78">
        <w:rPr>
          <w:rFonts w:eastAsiaTheme="minorHAnsi"/>
          <w:sz w:val="22"/>
          <w:szCs w:val="22"/>
          <w:shd w:val="clear" w:color="auto" w:fill="FFFFFF"/>
          <w:lang w:eastAsia="en-US"/>
        </w:rPr>
        <w:t xml:space="preserve"> РУДН , М., 2011 г.</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AB6A0E" w:rsidRPr="00EC1A78" w:rsidRDefault="00AB6A0E"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343.132.4</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Очная ставка как следственное действие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Intramural bet as an investigative action</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Геворкян Д.</w:t>
      </w:r>
      <w:r w:rsidR="003A6F8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проанализированы понятие, основание и процедура производства очной ставки, выявлены проблемные а</w:t>
      </w:r>
      <w:r w:rsidRPr="00EC1A78">
        <w:rPr>
          <w:rFonts w:eastAsiaTheme="minorHAnsi"/>
          <w:sz w:val="22"/>
          <w:szCs w:val="22"/>
          <w:lang w:eastAsia="en-US"/>
        </w:rPr>
        <w:t>с</w:t>
      </w:r>
      <w:r w:rsidRPr="00EC1A78">
        <w:rPr>
          <w:rFonts w:eastAsiaTheme="minorHAnsi"/>
          <w:sz w:val="22"/>
          <w:szCs w:val="22"/>
          <w:lang w:eastAsia="en-US"/>
        </w:rPr>
        <w:t xml:space="preserve">пекты данного следственного действия.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 xml:space="preserve">ABSTRACT: </w:t>
      </w:r>
      <w:r w:rsidRPr="00EC1A78">
        <w:rPr>
          <w:rFonts w:eastAsiaTheme="minorHAnsi"/>
          <w:sz w:val="22"/>
          <w:szCs w:val="22"/>
          <w:lang w:val="en" w:eastAsia="en-US"/>
        </w:rPr>
        <w:t>The article analyzes the concept, the basis and the procedure for the production of confrontation, identified the problem aspects of this investigative action</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очная ставка, подготовка очной ставки, добросовестное заблуждение, проведение очной ставки.</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 xml:space="preserve">KEY WORDS: </w:t>
      </w:r>
      <w:r w:rsidRPr="00EC1A78">
        <w:rPr>
          <w:rFonts w:eastAsiaTheme="minorHAnsi"/>
          <w:sz w:val="22"/>
          <w:szCs w:val="22"/>
          <w:lang w:val="en" w:eastAsia="en-US"/>
        </w:rPr>
        <w:t>confrontation, face–to–face confrontation, confro</w:t>
      </w:r>
      <w:r w:rsidRPr="00EC1A78">
        <w:rPr>
          <w:rFonts w:eastAsiaTheme="minorHAnsi"/>
          <w:sz w:val="22"/>
          <w:szCs w:val="22"/>
          <w:lang w:val="en" w:eastAsia="en-US"/>
        </w:rPr>
        <w:t>n</w:t>
      </w:r>
      <w:r w:rsidRPr="00EC1A78">
        <w:rPr>
          <w:rFonts w:eastAsiaTheme="minorHAnsi"/>
          <w:sz w:val="22"/>
          <w:szCs w:val="22"/>
          <w:lang w:val="en" w:eastAsia="en-US"/>
        </w:rPr>
        <w:t>tation</w:t>
      </w:r>
      <w:r w:rsidRPr="00EC1A78">
        <w:rPr>
          <w:rFonts w:eastAsiaTheme="minorHAnsi"/>
          <w:sz w:val="22"/>
          <w:szCs w:val="22"/>
          <w:lang w:val="en-US" w:eastAsia="en-US"/>
        </w:rPr>
        <w:t>.</w:t>
      </w:r>
    </w:p>
    <w:p w:rsidR="00EC1A78" w:rsidRPr="00EC1A78" w:rsidRDefault="00EC1A78" w:rsidP="00EC1A78">
      <w:pPr>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Исходя из содержания ч.1 ст. 192 УПК РФ, очная ставка — это одновременный, в присутствии друг друга, допрос двух лиц, прои</w:t>
      </w:r>
      <w:r w:rsidRPr="00EC1A78">
        <w:rPr>
          <w:rFonts w:eastAsiaTheme="minorHAnsi"/>
          <w:sz w:val="22"/>
          <w:szCs w:val="22"/>
          <w:lang w:eastAsia="en-US"/>
        </w:rPr>
        <w:t>з</w:t>
      </w:r>
      <w:r w:rsidRPr="00EC1A78">
        <w:rPr>
          <w:rFonts w:eastAsiaTheme="minorHAnsi"/>
          <w:sz w:val="22"/>
          <w:szCs w:val="22"/>
          <w:lang w:eastAsia="en-US"/>
        </w:rPr>
        <w:t>водимый в целях устранения существенных противоречий, име</w:t>
      </w:r>
      <w:r w:rsidRPr="00EC1A78">
        <w:rPr>
          <w:rFonts w:eastAsiaTheme="minorHAnsi"/>
          <w:sz w:val="22"/>
          <w:szCs w:val="22"/>
          <w:lang w:eastAsia="en-US"/>
        </w:rPr>
        <w:t>ю</w:t>
      </w:r>
      <w:r w:rsidRPr="00EC1A78">
        <w:rPr>
          <w:rFonts w:eastAsiaTheme="minorHAnsi"/>
          <w:sz w:val="22"/>
          <w:szCs w:val="22"/>
          <w:lang w:eastAsia="en-US"/>
        </w:rPr>
        <w:t>щихся в их показаниях [1]. Насколько те или иные противоречия являются существенными определяется исходя из обстоятельств дела. Думается, что прежде всего существенными являются обсто</w:t>
      </w:r>
      <w:r w:rsidRPr="00EC1A78">
        <w:rPr>
          <w:rFonts w:eastAsiaTheme="minorHAnsi"/>
          <w:sz w:val="22"/>
          <w:szCs w:val="22"/>
          <w:lang w:eastAsia="en-US"/>
        </w:rPr>
        <w:t>я</w:t>
      </w:r>
      <w:r w:rsidRPr="00EC1A78">
        <w:rPr>
          <w:rFonts w:eastAsiaTheme="minorHAnsi"/>
          <w:sz w:val="22"/>
          <w:szCs w:val="22"/>
          <w:lang w:eastAsia="en-US"/>
        </w:rPr>
        <w:t xml:space="preserve">тельства, подлежащие доказыванию в соответствии со ст.73 УПК РФ.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Следует иметь ввиду, что противоречия могут быть вызваны добросовестным заблуждением допрашиваемого, которое является следствием его восприятия ситуации исходя из индивидуальных особенностей, либо ошибками в запоминании и воспроизводстве событий.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Основными приемами преодоления на очной ставке доброс</w:t>
      </w:r>
      <w:r w:rsidRPr="00EC1A78">
        <w:rPr>
          <w:rFonts w:eastAsiaTheme="minorHAnsi"/>
          <w:sz w:val="22"/>
          <w:szCs w:val="22"/>
          <w:lang w:eastAsia="en-US"/>
        </w:rPr>
        <w:t>о</w:t>
      </w:r>
      <w:r w:rsidRPr="00EC1A78">
        <w:rPr>
          <w:rFonts w:eastAsiaTheme="minorHAnsi"/>
          <w:sz w:val="22"/>
          <w:szCs w:val="22"/>
          <w:lang w:eastAsia="en-US"/>
        </w:rPr>
        <w:t>вестного заблуждения являются: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 рассмотрение вопросов, активизирующих у допрашиваемых ассоциативные связи;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предъявление различных доказательств;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 проведение очной ставки на месте происшествия с целью оживления памяти [2].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Инициировать очную ставку могут как следователь, так и о</w:t>
      </w:r>
      <w:r w:rsidRPr="00EC1A78">
        <w:rPr>
          <w:rFonts w:eastAsiaTheme="minorHAnsi"/>
          <w:sz w:val="22"/>
          <w:szCs w:val="22"/>
          <w:lang w:eastAsia="en-US"/>
        </w:rPr>
        <w:t>б</w:t>
      </w:r>
      <w:r w:rsidRPr="00EC1A78">
        <w:rPr>
          <w:rFonts w:eastAsiaTheme="minorHAnsi"/>
          <w:sz w:val="22"/>
          <w:szCs w:val="22"/>
          <w:lang w:eastAsia="en-US"/>
        </w:rPr>
        <w:t>виняемый, его защитник, подозреваемый или потерпевший.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Проводится данной следственное действие между любыми раннее допрошенными лицами (но только двумя), чьи показания по каким–то обстоятельствам существенно противоречат друг другу и необходимо установить достоверность слов этих лиц. Закон также допускает производство очной ставки с участием несовершенн</w:t>
      </w:r>
      <w:r w:rsidRPr="00EC1A78">
        <w:rPr>
          <w:rFonts w:eastAsiaTheme="minorHAnsi"/>
          <w:sz w:val="22"/>
          <w:szCs w:val="22"/>
          <w:lang w:eastAsia="en-US"/>
        </w:rPr>
        <w:t>о</w:t>
      </w:r>
      <w:r w:rsidRPr="00EC1A78">
        <w:rPr>
          <w:rFonts w:eastAsiaTheme="minorHAnsi"/>
          <w:sz w:val="22"/>
          <w:szCs w:val="22"/>
          <w:lang w:eastAsia="en-US"/>
        </w:rPr>
        <w:t>летнего. При этом, основываясь на том, что очная ставка является разновидностью допроса, необходимо соблюдать правила относ</w:t>
      </w:r>
      <w:r w:rsidRPr="00EC1A78">
        <w:rPr>
          <w:rFonts w:eastAsiaTheme="minorHAnsi"/>
          <w:sz w:val="22"/>
          <w:szCs w:val="22"/>
          <w:lang w:eastAsia="en-US"/>
        </w:rPr>
        <w:t>и</w:t>
      </w:r>
      <w:r w:rsidRPr="00EC1A78">
        <w:rPr>
          <w:rFonts w:eastAsiaTheme="minorHAnsi"/>
          <w:sz w:val="22"/>
          <w:szCs w:val="22"/>
          <w:lang w:eastAsia="en-US"/>
        </w:rPr>
        <w:t xml:space="preserve">тельно круга лиц, участвующих в допросе несовершеннолетнего (ст. 191 УПК РФ).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Итак, основными задачами очной ставки являются установл</w:t>
      </w:r>
      <w:r w:rsidRPr="00EC1A78">
        <w:rPr>
          <w:rFonts w:eastAsiaTheme="minorHAnsi"/>
          <w:sz w:val="22"/>
          <w:szCs w:val="22"/>
          <w:lang w:eastAsia="en-US"/>
        </w:rPr>
        <w:t>е</w:t>
      </w:r>
      <w:r w:rsidRPr="00EC1A78">
        <w:rPr>
          <w:rFonts w:eastAsiaTheme="minorHAnsi"/>
          <w:sz w:val="22"/>
          <w:szCs w:val="22"/>
          <w:lang w:eastAsia="en-US"/>
        </w:rPr>
        <w:t>ние истины по конкретным обстоятельствам, разоблачение лжи о</w:t>
      </w:r>
      <w:r w:rsidRPr="00EC1A78">
        <w:rPr>
          <w:rFonts w:eastAsiaTheme="minorHAnsi"/>
          <w:sz w:val="22"/>
          <w:szCs w:val="22"/>
          <w:lang w:eastAsia="en-US"/>
        </w:rPr>
        <w:t>д</w:t>
      </w:r>
      <w:r w:rsidRPr="00EC1A78">
        <w:rPr>
          <w:rFonts w:eastAsiaTheme="minorHAnsi"/>
          <w:sz w:val="22"/>
          <w:szCs w:val="22"/>
          <w:lang w:eastAsia="en-US"/>
        </w:rPr>
        <w:t>ного из допрашиваемых либо преодоление добросовестного з</w:t>
      </w:r>
      <w:r w:rsidRPr="00EC1A78">
        <w:rPr>
          <w:rFonts w:eastAsiaTheme="minorHAnsi"/>
          <w:sz w:val="22"/>
          <w:szCs w:val="22"/>
          <w:lang w:eastAsia="en-US"/>
        </w:rPr>
        <w:t>а</w:t>
      </w:r>
      <w:r w:rsidRPr="00EC1A78">
        <w:rPr>
          <w:rFonts w:eastAsiaTheme="minorHAnsi"/>
          <w:sz w:val="22"/>
          <w:szCs w:val="22"/>
          <w:lang w:eastAsia="en-US"/>
        </w:rPr>
        <w:t>блуждения.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Подготовка к очной ставки начинается с принятия следоват</w:t>
      </w:r>
      <w:r w:rsidRPr="00EC1A78">
        <w:rPr>
          <w:rFonts w:eastAsiaTheme="minorHAnsi"/>
          <w:sz w:val="22"/>
          <w:szCs w:val="22"/>
          <w:lang w:eastAsia="en-US"/>
        </w:rPr>
        <w:t>е</w:t>
      </w:r>
      <w:r w:rsidRPr="00EC1A78">
        <w:rPr>
          <w:rFonts w:eastAsiaTheme="minorHAnsi"/>
          <w:sz w:val="22"/>
          <w:szCs w:val="22"/>
          <w:lang w:eastAsia="en-US"/>
        </w:rPr>
        <w:t>лем решения о ее проведении, которое не требует процессуального оформления в виде постановления. Далее следователю необходимо выбрать время и место проведения очной ставки, сформулировать вопросы. Так как к очной ставке применяются общие правила д</w:t>
      </w:r>
      <w:r w:rsidRPr="00EC1A78">
        <w:rPr>
          <w:rFonts w:eastAsiaTheme="minorHAnsi"/>
          <w:sz w:val="22"/>
          <w:szCs w:val="22"/>
          <w:lang w:eastAsia="en-US"/>
        </w:rPr>
        <w:t>о</w:t>
      </w:r>
      <w:r w:rsidRPr="00EC1A78">
        <w:rPr>
          <w:rFonts w:eastAsiaTheme="minorHAnsi"/>
          <w:sz w:val="22"/>
          <w:szCs w:val="22"/>
          <w:lang w:eastAsia="en-US"/>
        </w:rPr>
        <w:t>проса, участники вызываются туда повесткой и имеют право явит</w:t>
      </w:r>
      <w:r w:rsidRPr="00EC1A78">
        <w:rPr>
          <w:rFonts w:eastAsiaTheme="minorHAnsi"/>
          <w:sz w:val="22"/>
          <w:szCs w:val="22"/>
          <w:lang w:eastAsia="en-US"/>
        </w:rPr>
        <w:t>ь</w:t>
      </w:r>
      <w:r w:rsidRPr="00EC1A78">
        <w:rPr>
          <w:rFonts w:eastAsiaTheme="minorHAnsi"/>
          <w:sz w:val="22"/>
          <w:szCs w:val="22"/>
          <w:lang w:eastAsia="en-US"/>
        </w:rPr>
        <w:t>ся с адвокатом.</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Непосредственно сам процесс допроса (после разъяснения участникам их прав и предупреждения об уголовной ответственн</w:t>
      </w:r>
      <w:r w:rsidRPr="00EC1A78">
        <w:rPr>
          <w:rFonts w:eastAsiaTheme="minorHAnsi"/>
          <w:sz w:val="22"/>
          <w:szCs w:val="22"/>
          <w:lang w:eastAsia="en-US"/>
        </w:rPr>
        <w:t>о</w:t>
      </w:r>
      <w:r w:rsidRPr="00EC1A78">
        <w:rPr>
          <w:rFonts w:eastAsiaTheme="minorHAnsi"/>
          <w:sz w:val="22"/>
          <w:szCs w:val="22"/>
          <w:lang w:eastAsia="en-US"/>
        </w:rPr>
        <w:t>сти за отказ или уклонение от дачи показаний и за дачу заведомо ложных показаний), как правило, начинается с вопроса следователя к лицам, между которыми проводится очная ставка, знают ли они друг другу и в каких находятся отношениях. Далее допрашиваемым предлагается поочередно дать показания по тем обстоятельствам, для выяснения которых проводится очная ставка. Вопрос перве</w:t>
      </w:r>
      <w:r w:rsidRPr="00EC1A78">
        <w:rPr>
          <w:rFonts w:eastAsiaTheme="minorHAnsi"/>
          <w:sz w:val="22"/>
          <w:szCs w:val="22"/>
          <w:lang w:eastAsia="en-US"/>
        </w:rPr>
        <w:t>н</w:t>
      </w:r>
      <w:r w:rsidRPr="00EC1A78">
        <w:rPr>
          <w:rFonts w:eastAsiaTheme="minorHAnsi"/>
          <w:sz w:val="22"/>
          <w:szCs w:val="22"/>
          <w:lang w:eastAsia="en-US"/>
        </w:rPr>
        <w:t>ства дачи показаний тем или иным лицом законодательно не урег</w:t>
      </w:r>
      <w:r w:rsidRPr="00EC1A78">
        <w:rPr>
          <w:rFonts w:eastAsiaTheme="minorHAnsi"/>
          <w:sz w:val="22"/>
          <w:szCs w:val="22"/>
          <w:lang w:eastAsia="en-US"/>
        </w:rPr>
        <w:t>у</w:t>
      </w:r>
      <w:r w:rsidRPr="00EC1A78">
        <w:rPr>
          <w:rFonts w:eastAsiaTheme="minorHAnsi"/>
          <w:sz w:val="22"/>
          <w:szCs w:val="22"/>
          <w:lang w:eastAsia="en-US"/>
        </w:rPr>
        <w:t xml:space="preserve">лирован и находится на усмотрении следователя. Следственная практика показывает, что в подавляющем большинстве случаев </w:t>
      </w:r>
      <w:r w:rsidRPr="00EC1A78">
        <w:rPr>
          <w:rFonts w:eastAsiaTheme="minorHAnsi"/>
          <w:sz w:val="22"/>
          <w:szCs w:val="22"/>
          <w:lang w:eastAsia="en-US"/>
        </w:rPr>
        <w:lastRenderedPageBreak/>
        <w:t>следователь предоставляет первое слово тому, кто, по его мнению, говорит правду. В данном случае допрашиваемое лицо подтвердит правдивость своих показаний и не изменит их под влиянием втор</w:t>
      </w:r>
      <w:r w:rsidRPr="00EC1A78">
        <w:rPr>
          <w:rFonts w:eastAsiaTheme="minorHAnsi"/>
          <w:sz w:val="22"/>
          <w:szCs w:val="22"/>
          <w:lang w:eastAsia="en-US"/>
        </w:rPr>
        <w:t>о</w:t>
      </w:r>
      <w:r w:rsidRPr="00EC1A78">
        <w:rPr>
          <w:rFonts w:eastAsiaTheme="minorHAnsi"/>
          <w:sz w:val="22"/>
          <w:szCs w:val="22"/>
          <w:lang w:eastAsia="en-US"/>
        </w:rPr>
        <w:t>го участника очной ставки.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Ввиду значительной эмоциональной напряженности, поведение недобросовестного участника модифицируется — он ориентируется на взаимодействие присутствующих, его поведение становится с</w:t>
      </w:r>
      <w:r w:rsidRPr="00EC1A78">
        <w:rPr>
          <w:rFonts w:eastAsiaTheme="minorHAnsi"/>
          <w:sz w:val="22"/>
          <w:szCs w:val="22"/>
          <w:lang w:eastAsia="en-US"/>
        </w:rPr>
        <w:t>и</w:t>
      </w:r>
      <w:r w:rsidRPr="00EC1A78">
        <w:rPr>
          <w:rFonts w:eastAsiaTheme="minorHAnsi"/>
          <w:sz w:val="22"/>
          <w:szCs w:val="22"/>
          <w:lang w:eastAsia="en-US"/>
        </w:rPr>
        <w:t xml:space="preserve">туативно–реактивным, при этом возможны различные проговорки, просчеты, прорывы в защитной позиции [3].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Из–за необходимости введения протокола одновременно с д</w:t>
      </w:r>
      <w:r w:rsidRPr="00EC1A78">
        <w:rPr>
          <w:rFonts w:eastAsiaTheme="minorHAnsi"/>
          <w:sz w:val="22"/>
          <w:szCs w:val="22"/>
          <w:lang w:eastAsia="en-US"/>
        </w:rPr>
        <w:t>о</w:t>
      </w:r>
      <w:r w:rsidRPr="00EC1A78">
        <w:rPr>
          <w:rFonts w:eastAsiaTheme="minorHAnsi"/>
          <w:sz w:val="22"/>
          <w:szCs w:val="22"/>
          <w:lang w:eastAsia="en-US"/>
        </w:rPr>
        <w:t>просом у следователя теряется психологический контакт с допр</w:t>
      </w:r>
      <w:r w:rsidRPr="00EC1A78">
        <w:rPr>
          <w:rFonts w:eastAsiaTheme="minorHAnsi"/>
          <w:sz w:val="22"/>
          <w:szCs w:val="22"/>
          <w:lang w:eastAsia="en-US"/>
        </w:rPr>
        <w:t>а</w:t>
      </w:r>
      <w:r w:rsidRPr="00EC1A78">
        <w:rPr>
          <w:rFonts w:eastAsiaTheme="minorHAnsi"/>
          <w:sz w:val="22"/>
          <w:szCs w:val="22"/>
          <w:lang w:eastAsia="en-US"/>
        </w:rPr>
        <w:t>шиваемыми, у которых появляется возможность обменяться усло</w:t>
      </w:r>
      <w:r w:rsidRPr="00EC1A78">
        <w:rPr>
          <w:rFonts w:eastAsiaTheme="minorHAnsi"/>
          <w:sz w:val="22"/>
          <w:szCs w:val="22"/>
          <w:lang w:eastAsia="en-US"/>
        </w:rPr>
        <w:t>в</w:t>
      </w:r>
      <w:r w:rsidRPr="00EC1A78">
        <w:rPr>
          <w:rFonts w:eastAsiaTheme="minorHAnsi"/>
          <w:sz w:val="22"/>
          <w:szCs w:val="22"/>
          <w:lang w:eastAsia="en-US"/>
        </w:rPr>
        <w:t xml:space="preserve">ными знаками в то время, когда следователь фиксирует показания; допрашиваемый, который дает ложные показания, получает время на обдумывание своих ответов с учетом полученных сведений [4].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Следственная практика уже пошла по пути обязательного пр</w:t>
      </w:r>
      <w:r w:rsidRPr="00EC1A78">
        <w:rPr>
          <w:rFonts w:eastAsiaTheme="minorHAnsi"/>
          <w:sz w:val="22"/>
          <w:szCs w:val="22"/>
          <w:lang w:eastAsia="en-US"/>
        </w:rPr>
        <w:t>и</w:t>
      </w:r>
      <w:r w:rsidRPr="00EC1A78">
        <w:rPr>
          <w:rFonts w:eastAsiaTheme="minorHAnsi"/>
          <w:sz w:val="22"/>
          <w:szCs w:val="22"/>
          <w:lang w:eastAsia="en-US"/>
        </w:rPr>
        <w:t>менения видеосъемки во время проведения очной ставки, что дает возможность следователю оформить протокол следственного де</w:t>
      </w:r>
      <w:r w:rsidRPr="00EC1A78">
        <w:rPr>
          <w:rFonts w:eastAsiaTheme="minorHAnsi"/>
          <w:sz w:val="22"/>
          <w:szCs w:val="22"/>
          <w:lang w:eastAsia="en-US"/>
        </w:rPr>
        <w:t>й</w:t>
      </w:r>
      <w:r w:rsidRPr="00EC1A78">
        <w:rPr>
          <w:rFonts w:eastAsiaTheme="minorHAnsi"/>
          <w:sz w:val="22"/>
          <w:szCs w:val="22"/>
          <w:lang w:eastAsia="en-US"/>
        </w:rPr>
        <w:t>ствия уже после его проведения на основе полученной видеозаписи. Думается, что такой подход к проведению очной ставки является безусловно правильным, так как в ходе допроса неизбежно возник</w:t>
      </w:r>
      <w:r w:rsidRPr="00EC1A78">
        <w:rPr>
          <w:rFonts w:eastAsiaTheme="minorHAnsi"/>
          <w:sz w:val="22"/>
          <w:szCs w:val="22"/>
          <w:lang w:eastAsia="en-US"/>
        </w:rPr>
        <w:t>а</w:t>
      </w:r>
      <w:r w:rsidRPr="00EC1A78">
        <w:rPr>
          <w:rFonts w:eastAsiaTheme="minorHAnsi"/>
          <w:sz w:val="22"/>
          <w:szCs w:val="22"/>
          <w:lang w:eastAsia="en-US"/>
        </w:rPr>
        <w:t>ет сложная психологическая обстановка, обусловленная возде</w:t>
      </w:r>
      <w:r w:rsidRPr="00EC1A78">
        <w:rPr>
          <w:rFonts w:eastAsiaTheme="minorHAnsi"/>
          <w:sz w:val="22"/>
          <w:szCs w:val="22"/>
          <w:lang w:eastAsia="en-US"/>
        </w:rPr>
        <w:t>й</w:t>
      </w:r>
      <w:r w:rsidRPr="00EC1A78">
        <w:rPr>
          <w:rFonts w:eastAsiaTheme="minorHAnsi"/>
          <w:sz w:val="22"/>
          <w:szCs w:val="22"/>
          <w:lang w:eastAsia="en-US"/>
        </w:rPr>
        <w:t>ствием допрашиваемых лиц и следователя друг на друга. Задачей следователя помимо гласного проведения допроса, по нашему мн</w:t>
      </w:r>
      <w:r w:rsidRPr="00EC1A78">
        <w:rPr>
          <w:rFonts w:eastAsiaTheme="minorHAnsi"/>
          <w:sz w:val="22"/>
          <w:szCs w:val="22"/>
          <w:lang w:eastAsia="en-US"/>
        </w:rPr>
        <w:t>е</w:t>
      </w:r>
      <w:r w:rsidRPr="00EC1A78">
        <w:rPr>
          <w:rFonts w:eastAsiaTheme="minorHAnsi"/>
          <w:sz w:val="22"/>
          <w:szCs w:val="22"/>
          <w:lang w:eastAsia="en-US"/>
        </w:rPr>
        <w:t>нию, является также тщательное визуальное наблюдение за допр</w:t>
      </w:r>
      <w:r w:rsidRPr="00EC1A78">
        <w:rPr>
          <w:rFonts w:eastAsiaTheme="minorHAnsi"/>
          <w:sz w:val="22"/>
          <w:szCs w:val="22"/>
          <w:lang w:eastAsia="en-US"/>
        </w:rPr>
        <w:t>а</w:t>
      </w:r>
      <w:r w:rsidRPr="00EC1A78">
        <w:rPr>
          <w:rFonts w:eastAsiaTheme="minorHAnsi"/>
          <w:sz w:val="22"/>
          <w:szCs w:val="22"/>
          <w:lang w:eastAsia="en-US"/>
        </w:rPr>
        <w:t>шиваемыми. Это необходимо чтобы не допустить возможность во</w:t>
      </w:r>
      <w:r w:rsidRPr="00EC1A78">
        <w:rPr>
          <w:rFonts w:eastAsiaTheme="minorHAnsi"/>
          <w:sz w:val="22"/>
          <w:szCs w:val="22"/>
          <w:lang w:eastAsia="en-US"/>
        </w:rPr>
        <w:t>з</w:t>
      </w:r>
      <w:r w:rsidRPr="00EC1A78">
        <w:rPr>
          <w:rFonts w:eastAsiaTheme="minorHAnsi"/>
          <w:sz w:val="22"/>
          <w:szCs w:val="22"/>
          <w:lang w:eastAsia="en-US"/>
        </w:rPr>
        <w:t>действия одного лица на другого с целью склонить добросовестного участника к даче выгодных для недобросовестных показаний.</w:t>
      </w:r>
    </w:p>
    <w:p w:rsidR="00EC1A78" w:rsidRPr="00EC1A78" w:rsidRDefault="00EC1A78" w:rsidP="00AB6A0E">
      <w:pPr>
        <w:ind w:firstLine="425"/>
        <w:jc w:val="both"/>
        <w:rPr>
          <w:rFonts w:eastAsiaTheme="minorHAnsi"/>
          <w:sz w:val="22"/>
          <w:szCs w:val="22"/>
          <w:lang w:eastAsia="en-US"/>
        </w:rPr>
      </w:pPr>
      <w:r w:rsidRPr="00EC1A78">
        <w:rPr>
          <w:rFonts w:eastAsiaTheme="minorHAnsi"/>
          <w:sz w:val="22"/>
          <w:szCs w:val="22"/>
          <w:lang w:eastAsia="en-US"/>
        </w:rPr>
        <w:t>Как уже отмечалось, процедура проведения очной ставки оформляется протоколом. В нем отражаются показания допрашив</w:t>
      </w:r>
      <w:r w:rsidRPr="00EC1A78">
        <w:rPr>
          <w:rFonts w:eastAsiaTheme="minorHAnsi"/>
          <w:sz w:val="22"/>
          <w:szCs w:val="22"/>
          <w:lang w:eastAsia="en-US"/>
        </w:rPr>
        <w:t>а</w:t>
      </w:r>
      <w:r w:rsidRPr="00EC1A78">
        <w:rPr>
          <w:rFonts w:eastAsiaTheme="minorHAnsi"/>
          <w:sz w:val="22"/>
          <w:szCs w:val="22"/>
          <w:lang w:eastAsia="en-US"/>
        </w:rPr>
        <w:t>емых в той очередности, в которой они давались, а также их вопр</w:t>
      </w:r>
      <w:r w:rsidRPr="00EC1A78">
        <w:rPr>
          <w:rFonts w:eastAsiaTheme="minorHAnsi"/>
          <w:sz w:val="22"/>
          <w:szCs w:val="22"/>
          <w:lang w:eastAsia="en-US"/>
        </w:rPr>
        <w:t>о</w:t>
      </w:r>
      <w:r w:rsidRPr="00EC1A78">
        <w:rPr>
          <w:rFonts w:eastAsiaTheme="minorHAnsi"/>
          <w:sz w:val="22"/>
          <w:szCs w:val="22"/>
          <w:lang w:eastAsia="en-US"/>
        </w:rPr>
        <w:t>сы друг к другу и ответы на них. Протокол предъявляется участн</w:t>
      </w:r>
      <w:r w:rsidRPr="00EC1A78">
        <w:rPr>
          <w:rFonts w:eastAsiaTheme="minorHAnsi"/>
          <w:sz w:val="22"/>
          <w:szCs w:val="22"/>
          <w:lang w:eastAsia="en-US"/>
        </w:rPr>
        <w:t>и</w:t>
      </w:r>
      <w:r w:rsidRPr="00EC1A78">
        <w:rPr>
          <w:rFonts w:eastAsiaTheme="minorHAnsi"/>
          <w:sz w:val="22"/>
          <w:szCs w:val="22"/>
          <w:lang w:eastAsia="en-US"/>
        </w:rPr>
        <w:t>кам для ознакомления. Каждый участник подписывает свои показ</w:t>
      </w:r>
      <w:r w:rsidRPr="00EC1A78">
        <w:rPr>
          <w:rFonts w:eastAsiaTheme="minorHAnsi"/>
          <w:sz w:val="22"/>
          <w:szCs w:val="22"/>
          <w:lang w:eastAsia="en-US"/>
        </w:rPr>
        <w:t>а</w:t>
      </w:r>
      <w:r w:rsidRPr="00EC1A78">
        <w:rPr>
          <w:rFonts w:eastAsiaTheme="minorHAnsi"/>
          <w:sz w:val="22"/>
          <w:szCs w:val="22"/>
          <w:lang w:eastAsia="en-US"/>
        </w:rPr>
        <w:t>ния и каждую страницу отдельно.</w:t>
      </w: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Безлепкин Б.Т. Комментарий к уголовно–процессуальному кодексу Российской Федерации (постатейный). — 14–е изд–е. — М.: Проспект, 2018. — 607 с.</w:t>
      </w:r>
    </w:p>
    <w:p w:rsidR="00EC1A78" w:rsidRPr="00EC1A78" w:rsidRDefault="00EC1A78" w:rsidP="00EC1A78">
      <w:pPr>
        <w:ind w:firstLine="425"/>
        <w:rPr>
          <w:rFonts w:eastAsiaTheme="minorHAnsi"/>
          <w:sz w:val="22"/>
          <w:szCs w:val="22"/>
          <w:lang w:eastAsia="en-US"/>
        </w:rPr>
      </w:pPr>
      <w:r w:rsidRPr="00EC1A78">
        <w:rPr>
          <w:rFonts w:eastAsiaTheme="minorHAnsi"/>
          <w:sz w:val="22"/>
          <w:szCs w:val="22"/>
          <w:lang w:eastAsia="en-US"/>
        </w:rPr>
        <w:lastRenderedPageBreak/>
        <w:t>2. Карнеева Л.М., Ордынский С.С., Розенблит С.Я. Тактика д</w:t>
      </w:r>
      <w:r w:rsidRPr="00EC1A78">
        <w:rPr>
          <w:rFonts w:eastAsiaTheme="minorHAnsi"/>
          <w:sz w:val="22"/>
          <w:szCs w:val="22"/>
          <w:lang w:eastAsia="en-US"/>
        </w:rPr>
        <w:t>о</w:t>
      </w:r>
      <w:r w:rsidRPr="00EC1A78">
        <w:rPr>
          <w:rFonts w:eastAsiaTheme="minorHAnsi"/>
          <w:sz w:val="22"/>
          <w:szCs w:val="22"/>
          <w:lang w:eastAsia="en-US"/>
        </w:rPr>
        <w:t>проса на предварительном следствии. – М., 1958. – С.72</w:t>
      </w:r>
    </w:p>
    <w:p w:rsidR="00EC1A78" w:rsidRPr="00EC1A78" w:rsidRDefault="00EC1A78" w:rsidP="00EC1A78">
      <w:pPr>
        <w:ind w:firstLine="425"/>
        <w:rPr>
          <w:rFonts w:eastAsiaTheme="minorHAnsi"/>
          <w:sz w:val="22"/>
          <w:szCs w:val="22"/>
          <w:lang w:eastAsia="en-US"/>
        </w:rPr>
      </w:pPr>
      <w:r w:rsidRPr="00EC1A78">
        <w:rPr>
          <w:rFonts w:eastAsiaTheme="minorHAnsi"/>
          <w:sz w:val="22"/>
          <w:szCs w:val="22"/>
          <w:lang w:eastAsia="en-US"/>
        </w:rPr>
        <w:t xml:space="preserve">3. Шиханцов Г.Г. Юридическая психология / учебник для вузов – 2–е издание. – М.: Зерцало–М, 2006. </w:t>
      </w:r>
    </w:p>
    <w:p w:rsidR="00EC1A78" w:rsidRPr="00EC1A78" w:rsidRDefault="00EC1A78" w:rsidP="00EC1A78">
      <w:pPr>
        <w:ind w:firstLine="425"/>
        <w:rPr>
          <w:rFonts w:eastAsiaTheme="minorHAnsi"/>
          <w:sz w:val="22"/>
          <w:szCs w:val="22"/>
          <w:lang w:eastAsia="en-US"/>
        </w:rPr>
      </w:pPr>
      <w:r w:rsidRPr="00EC1A78">
        <w:rPr>
          <w:rFonts w:eastAsiaTheme="minorHAnsi"/>
          <w:sz w:val="22"/>
          <w:szCs w:val="22"/>
          <w:lang w:eastAsia="en-US"/>
        </w:rPr>
        <w:t>4. Головин М.В. Тактика очной ставки.  — Научный журнал КубГАУ, №114(10) —  2015 г. С. 13</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AB6A0E" w:rsidRPr="00EC1A78" w:rsidRDefault="00AB6A0E"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342.71</w:t>
      </w:r>
    </w:p>
    <w:p w:rsidR="00EC1A78" w:rsidRPr="00EC1A78" w:rsidRDefault="00EC1A78" w:rsidP="00EC1A78">
      <w:pPr>
        <w:jc w:val="center"/>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Особенности приобретения гражданства РФ по рождению</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Features of the adoption of Russian citizenship by birth</w:t>
      </w:r>
    </w:p>
    <w:p w:rsidR="00EC1A78" w:rsidRPr="00EC1A78" w:rsidRDefault="00EC1A78" w:rsidP="00EC1A78">
      <w:pPr>
        <w:jc w:val="right"/>
        <w:rPr>
          <w:rFonts w:eastAsia="Calibri"/>
          <w:sz w:val="22"/>
          <w:szCs w:val="22"/>
          <w:lang w:val="en-US" w:eastAsia="en-US"/>
        </w:rPr>
      </w:pP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Головина Е.</w:t>
      </w:r>
      <w:r w:rsidR="003A6F86">
        <w:rPr>
          <w:rFonts w:eastAsia="Calibri"/>
          <w:sz w:val="22"/>
          <w:szCs w:val="22"/>
          <w:lang w:eastAsia="en-US"/>
        </w:rPr>
        <w:t xml:space="preserve"> </w:t>
      </w:r>
      <w:r w:rsidRPr="00EC1A78">
        <w:rPr>
          <w:rFonts w:eastAsia="Calibri"/>
          <w:sz w:val="22"/>
          <w:szCs w:val="22"/>
          <w:lang w:eastAsia="en-US"/>
        </w:rPr>
        <w:t>В.,</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 xml:space="preserve">студентка 2–го курса магистратуры </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юридического факультета</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 xml:space="preserve">Кубанский государственный аграрный </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университет И.</w:t>
      </w:r>
      <w:r w:rsidR="003A6F86">
        <w:rPr>
          <w:rFonts w:eastAsia="Calibri"/>
          <w:sz w:val="22"/>
          <w:szCs w:val="22"/>
          <w:lang w:eastAsia="en-US"/>
        </w:rPr>
        <w:t xml:space="preserve"> </w:t>
      </w:r>
      <w:r w:rsidRPr="00EC1A78">
        <w:rPr>
          <w:rFonts w:eastAsia="Calibri"/>
          <w:sz w:val="22"/>
          <w:szCs w:val="22"/>
          <w:lang w:eastAsia="en-US"/>
        </w:rPr>
        <w:t xml:space="preserve">Т.Трубилина </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условиях глобализации и развития миграц</w:t>
      </w:r>
      <w:r w:rsidRPr="00EC1A78">
        <w:rPr>
          <w:rFonts w:eastAsiaTheme="minorHAnsi"/>
          <w:sz w:val="22"/>
          <w:szCs w:val="22"/>
          <w:lang w:eastAsia="en-US"/>
        </w:rPr>
        <w:t>и</w:t>
      </w:r>
      <w:r w:rsidRPr="00EC1A78">
        <w:rPr>
          <w:rFonts w:eastAsiaTheme="minorHAnsi"/>
          <w:sz w:val="22"/>
          <w:szCs w:val="22"/>
          <w:lang w:eastAsia="en-US"/>
        </w:rPr>
        <w:t>онных процессов, остро стоит вопрос гражданства во многих стр</w:t>
      </w:r>
      <w:r w:rsidRPr="00EC1A78">
        <w:rPr>
          <w:rFonts w:eastAsiaTheme="minorHAnsi"/>
          <w:sz w:val="22"/>
          <w:szCs w:val="22"/>
          <w:lang w:eastAsia="en-US"/>
        </w:rPr>
        <w:t>а</w:t>
      </w:r>
      <w:r w:rsidRPr="00EC1A78">
        <w:rPr>
          <w:rFonts w:eastAsiaTheme="minorHAnsi"/>
          <w:sz w:val="22"/>
          <w:szCs w:val="22"/>
          <w:lang w:eastAsia="en-US"/>
        </w:rPr>
        <w:t>нах мира. В данной статье рассматриваются теоретические основы и особенности приобретения  гражданства Российской Федерации по рождению.</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 xml:space="preserve">ABSTRACT: In the context of globalization and the development of migration processes, the issue of citizenship in many countries of the world. This article examines the theoretical foundations and features of the acquisition of citizenship of the Russian Federation by birth. </w:t>
      </w:r>
    </w:p>
    <w:p w:rsidR="00EC1A78" w:rsidRPr="00EC1A78" w:rsidRDefault="00EC1A78" w:rsidP="00EC1A78">
      <w:pPr>
        <w:ind w:firstLine="426"/>
        <w:jc w:val="both"/>
        <w:rPr>
          <w:rFonts w:eastAsiaTheme="minorHAnsi"/>
          <w:b/>
          <w:sz w:val="22"/>
          <w:szCs w:val="22"/>
          <w:lang w:eastAsia="en-US"/>
        </w:rPr>
      </w:pPr>
      <w:r w:rsidRPr="00EC1A78">
        <w:rPr>
          <w:rFonts w:eastAsiaTheme="minorHAnsi"/>
          <w:sz w:val="22"/>
          <w:szCs w:val="22"/>
          <w:lang w:eastAsia="en-US"/>
        </w:rPr>
        <w:t>КЛЮЧЕВЫЕ СЛОВА: Российская Федерация, рождаемость, гражданство,</w:t>
      </w:r>
      <w:r w:rsidRPr="00EC1A78">
        <w:rPr>
          <w:rFonts w:eastAsiaTheme="minorHAnsi"/>
          <w:b/>
          <w:sz w:val="22"/>
          <w:szCs w:val="22"/>
          <w:lang w:eastAsia="en-US"/>
        </w:rPr>
        <w:t xml:space="preserve"> </w:t>
      </w:r>
      <w:r w:rsidRPr="00EC1A78">
        <w:rPr>
          <w:rFonts w:eastAsiaTheme="minorHAnsi"/>
          <w:sz w:val="22"/>
          <w:szCs w:val="22"/>
          <w:lang w:eastAsia="en-US"/>
        </w:rPr>
        <w:t>гражданин, права, обязанности, принцип гражданства.</w:t>
      </w:r>
      <w:r w:rsidRPr="00EC1A78">
        <w:rPr>
          <w:rFonts w:eastAsiaTheme="minorHAnsi"/>
          <w:b/>
          <w:sz w:val="22"/>
          <w:szCs w:val="22"/>
          <w:lang w:eastAsia="en-US"/>
        </w:rPr>
        <w:t xml:space="preserve">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Russian Federation, birth rate, citizenship, citizen, rights, duties, principle of citizenship.</w:t>
      </w:r>
    </w:p>
    <w:p w:rsidR="00EC1A78" w:rsidRPr="00EC1A78" w:rsidRDefault="00EC1A78" w:rsidP="00EC1A78">
      <w:pPr>
        <w:ind w:firstLine="426"/>
        <w:jc w:val="both"/>
        <w:rPr>
          <w:rFonts w:eastAsiaTheme="minorHAnsi"/>
          <w:sz w:val="22"/>
          <w:szCs w:val="22"/>
          <w:shd w:val="clear" w:color="auto" w:fill="FFFFFF"/>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современном этапе в условиях обострения геополитической ситуации происходит процесс трансформации института гражда</w:t>
      </w:r>
      <w:r w:rsidRPr="00EC1A78">
        <w:rPr>
          <w:rFonts w:eastAsiaTheme="minorHAnsi"/>
          <w:sz w:val="22"/>
          <w:szCs w:val="22"/>
          <w:lang w:eastAsia="en-US"/>
        </w:rPr>
        <w:t>н</w:t>
      </w:r>
      <w:r w:rsidRPr="00EC1A78">
        <w:rPr>
          <w:rFonts w:eastAsiaTheme="minorHAnsi"/>
          <w:sz w:val="22"/>
          <w:szCs w:val="22"/>
          <w:lang w:eastAsia="en-US"/>
        </w:rPr>
        <w:t xml:space="preserve">ства в Российской Федерации. В связи с этим видится необходимым </w:t>
      </w:r>
      <w:r w:rsidRPr="00EC1A78">
        <w:rPr>
          <w:rFonts w:eastAsiaTheme="minorHAnsi"/>
          <w:sz w:val="22"/>
          <w:szCs w:val="22"/>
          <w:lang w:eastAsia="en-US"/>
        </w:rPr>
        <w:lastRenderedPageBreak/>
        <w:t>осуществлять эффективное правовое регулирование указанного и</w:t>
      </w:r>
      <w:r w:rsidRPr="00EC1A78">
        <w:rPr>
          <w:rFonts w:eastAsiaTheme="minorHAnsi"/>
          <w:sz w:val="22"/>
          <w:szCs w:val="22"/>
          <w:lang w:eastAsia="en-US"/>
        </w:rPr>
        <w:t>н</w:t>
      </w:r>
      <w:r w:rsidRPr="00EC1A78">
        <w:rPr>
          <w:rFonts w:eastAsiaTheme="minorHAnsi"/>
          <w:sz w:val="22"/>
          <w:szCs w:val="22"/>
          <w:lang w:eastAsia="en-US"/>
        </w:rPr>
        <w:t>ститута.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Согласно п.2. ст. 62 Конституции РФ, н</w:t>
      </w:r>
      <w:r w:rsidRPr="00EC1A78">
        <w:rPr>
          <w:rFonts w:eastAsiaTheme="minorHAnsi"/>
          <w:sz w:val="22"/>
          <w:szCs w:val="22"/>
          <w:shd w:val="clear" w:color="auto" w:fill="FFFFFF"/>
          <w:lang w:eastAsia="en-US"/>
        </w:rPr>
        <w:t>аличие у гражданина Российской Федерации гражданства иностранного государства не умаляет его прав и свобод и не освобождает от обязанностей, выт</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кающих из российского гражданства, если иное не предусмотрено федеральным законом или международным договором Российской Федерации.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связи с возрастанием мобильности населения, увеличиваются и смежные с ней проблемы определения статуса личности, устано</w:t>
      </w:r>
      <w:r w:rsidRPr="00EC1A78">
        <w:rPr>
          <w:rFonts w:eastAsiaTheme="minorHAnsi"/>
          <w:sz w:val="22"/>
          <w:szCs w:val="22"/>
          <w:lang w:eastAsia="en-US"/>
        </w:rPr>
        <w:t>в</w:t>
      </w:r>
      <w:r w:rsidRPr="00EC1A78">
        <w:rPr>
          <w:rFonts w:eastAsiaTheme="minorHAnsi"/>
          <w:sz w:val="22"/>
          <w:szCs w:val="22"/>
          <w:lang w:eastAsia="en-US"/>
        </w:rPr>
        <w:t>ления характера ее связи с государством. Все это требует углубле</w:t>
      </w:r>
      <w:r w:rsidRPr="00EC1A78">
        <w:rPr>
          <w:rFonts w:eastAsiaTheme="minorHAnsi"/>
          <w:sz w:val="22"/>
          <w:szCs w:val="22"/>
          <w:lang w:eastAsia="en-US"/>
        </w:rPr>
        <w:t>н</w:t>
      </w:r>
      <w:r w:rsidRPr="00EC1A78">
        <w:rPr>
          <w:rFonts w:eastAsiaTheme="minorHAnsi"/>
          <w:sz w:val="22"/>
          <w:szCs w:val="22"/>
          <w:lang w:eastAsia="en-US"/>
        </w:rPr>
        <w:t>ной разработки вопроса о взаимоотношениях личности и госуда</w:t>
      </w:r>
      <w:r w:rsidRPr="00EC1A78">
        <w:rPr>
          <w:rFonts w:eastAsiaTheme="minorHAnsi"/>
          <w:sz w:val="22"/>
          <w:szCs w:val="22"/>
          <w:lang w:eastAsia="en-US"/>
        </w:rPr>
        <w:t>р</w:t>
      </w:r>
      <w:r w:rsidRPr="00EC1A78">
        <w:rPr>
          <w:rFonts w:eastAsiaTheme="minorHAnsi"/>
          <w:sz w:val="22"/>
          <w:szCs w:val="22"/>
          <w:lang w:eastAsia="en-US"/>
        </w:rPr>
        <w:t>ства. Главным показателем этих взаимоотношений является инст</w:t>
      </w:r>
      <w:r w:rsidRPr="00EC1A78">
        <w:rPr>
          <w:rFonts w:eastAsiaTheme="minorHAnsi"/>
          <w:sz w:val="22"/>
          <w:szCs w:val="22"/>
          <w:lang w:eastAsia="en-US"/>
        </w:rPr>
        <w:t>и</w:t>
      </w:r>
      <w:r w:rsidRPr="00EC1A78">
        <w:rPr>
          <w:rFonts w:eastAsiaTheme="minorHAnsi"/>
          <w:sz w:val="22"/>
          <w:szCs w:val="22"/>
          <w:lang w:eastAsia="en-US"/>
        </w:rPr>
        <w:t>тут гражданства.[4]</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Очевидно, что перечень прав гражданина весьма широк как и  перечень прав человека. Вместе с правами, гражданин приобретает ряд обязанностей по отношению к государству, так, например, гражданин государства обязан соблюдать законы, которые де</w:t>
      </w:r>
      <w:r w:rsidRPr="00EC1A78">
        <w:rPr>
          <w:rFonts w:eastAsiaTheme="minorHAnsi"/>
          <w:sz w:val="22"/>
          <w:szCs w:val="22"/>
          <w:shd w:val="clear" w:color="auto" w:fill="FFFFFF"/>
          <w:lang w:eastAsia="en-US"/>
        </w:rPr>
        <w:t>й</w:t>
      </w:r>
      <w:r w:rsidRPr="00EC1A78">
        <w:rPr>
          <w:rFonts w:eastAsiaTheme="minorHAnsi"/>
          <w:sz w:val="22"/>
          <w:szCs w:val="22"/>
          <w:shd w:val="clear" w:color="auto" w:fill="FFFFFF"/>
          <w:lang w:eastAsia="en-US"/>
        </w:rPr>
        <w:t>ствуют на территории данного государства.</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Все это сводится к тому, что связь между государством и гра</w:t>
      </w:r>
      <w:r w:rsidRPr="00EC1A78">
        <w:rPr>
          <w:rFonts w:eastAsiaTheme="minorHAnsi"/>
          <w:sz w:val="22"/>
          <w:szCs w:val="22"/>
          <w:shd w:val="clear" w:color="auto" w:fill="FFFFFF"/>
          <w:lang w:eastAsia="en-US"/>
        </w:rPr>
        <w:t>ж</w:t>
      </w:r>
      <w:r w:rsidRPr="00EC1A78">
        <w:rPr>
          <w:rFonts w:eastAsiaTheme="minorHAnsi"/>
          <w:sz w:val="22"/>
          <w:szCs w:val="22"/>
          <w:shd w:val="clear" w:color="auto" w:fill="FFFFFF"/>
          <w:lang w:eastAsia="en-US"/>
        </w:rPr>
        <w:t xml:space="preserve">данами двусторонняя, с одной стороны государство гарантирует своим гражданам права и свободы, а гражданин в свою очередь, действует в рамках закона.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Гражданство по рождению или, иными словами, филиация з</w:t>
      </w:r>
      <w:r w:rsidRPr="00EC1A78">
        <w:rPr>
          <w:rFonts w:eastAsiaTheme="minorHAnsi"/>
          <w:sz w:val="22"/>
          <w:szCs w:val="22"/>
          <w:lang w:eastAsia="en-US"/>
        </w:rPr>
        <w:t>а</w:t>
      </w:r>
      <w:r w:rsidRPr="00EC1A78">
        <w:rPr>
          <w:rFonts w:eastAsiaTheme="minorHAnsi"/>
          <w:sz w:val="22"/>
          <w:szCs w:val="22"/>
          <w:lang w:eastAsia="en-US"/>
        </w:rPr>
        <w:t>креплена на конституционном уровне во многих государствах, включая Россию. Основные положения приобретения гражданства по рождению установлены законодателем в ст.12 Федерального з</w:t>
      </w:r>
      <w:r w:rsidRPr="00EC1A78">
        <w:rPr>
          <w:rFonts w:eastAsiaTheme="minorHAnsi"/>
          <w:sz w:val="22"/>
          <w:szCs w:val="22"/>
          <w:lang w:eastAsia="en-US"/>
        </w:rPr>
        <w:t>а</w:t>
      </w:r>
      <w:r w:rsidRPr="00EC1A78">
        <w:rPr>
          <w:rFonts w:eastAsiaTheme="minorHAnsi"/>
          <w:sz w:val="22"/>
          <w:szCs w:val="22"/>
          <w:lang w:eastAsia="en-US"/>
        </w:rPr>
        <w:t>кона от 31.05.2002 N 62–ФЗ (ред. от 29.07.2017) «О гражданстве Российской Федерации»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При этом данный способ приобретения гражданской прина</w:t>
      </w:r>
      <w:r w:rsidRPr="00EC1A78">
        <w:rPr>
          <w:rFonts w:eastAsiaTheme="minorHAnsi"/>
          <w:sz w:val="22"/>
          <w:szCs w:val="22"/>
          <w:lang w:eastAsia="en-US"/>
        </w:rPr>
        <w:t>д</w:t>
      </w:r>
      <w:r w:rsidRPr="00EC1A78">
        <w:rPr>
          <w:rFonts w:eastAsiaTheme="minorHAnsi"/>
          <w:sz w:val="22"/>
          <w:szCs w:val="22"/>
          <w:lang w:eastAsia="en-US"/>
        </w:rPr>
        <w:t>лежности представляет собой всего лишь один из возможных вар</w:t>
      </w:r>
      <w:r w:rsidRPr="00EC1A78">
        <w:rPr>
          <w:rFonts w:eastAsiaTheme="minorHAnsi"/>
          <w:sz w:val="22"/>
          <w:szCs w:val="22"/>
          <w:lang w:eastAsia="en-US"/>
        </w:rPr>
        <w:t>и</w:t>
      </w:r>
      <w:r w:rsidRPr="00EC1A78">
        <w:rPr>
          <w:rFonts w:eastAsiaTheme="minorHAnsi"/>
          <w:sz w:val="22"/>
          <w:szCs w:val="22"/>
          <w:lang w:eastAsia="en-US"/>
        </w:rPr>
        <w:t xml:space="preserve">антов.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Весьма важно где территориально родился ребенок, на терр</w:t>
      </w:r>
      <w:r w:rsidRPr="00EC1A78">
        <w:rPr>
          <w:rFonts w:eastAsiaTheme="minorHAnsi"/>
          <w:sz w:val="22"/>
          <w:szCs w:val="22"/>
          <w:lang w:eastAsia="en-US"/>
        </w:rPr>
        <w:t>и</w:t>
      </w:r>
      <w:r w:rsidRPr="00EC1A78">
        <w:rPr>
          <w:rFonts w:eastAsiaTheme="minorHAnsi"/>
          <w:sz w:val="22"/>
          <w:szCs w:val="22"/>
          <w:lang w:eastAsia="en-US"/>
        </w:rPr>
        <w:t>тории России или на территории другого государства. Однако если один из родителей — подданный другого государства, и ребенок родился не на территории РФ, то ребенок не сможет считаться гражданином РФ, и для приобретения такого статуса потребуется проходить процедуру оформления гражданства.</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lastRenderedPageBreak/>
        <w:t>Таким образом, можно выделить следующие основания для п</w:t>
      </w:r>
      <w:r w:rsidRPr="00EC1A78">
        <w:rPr>
          <w:rFonts w:eastAsiaTheme="minorHAnsi"/>
          <w:sz w:val="22"/>
          <w:szCs w:val="22"/>
          <w:lang w:eastAsia="en-US"/>
        </w:rPr>
        <w:t>о</w:t>
      </w:r>
      <w:r w:rsidRPr="00EC1A78">
        <w:rPr>
          <w:rFonts w:eastAsiaTheme="minorHAnsi"/>
          <w:sz w:val="22"/>
          <w:szCs w:val="22"/>
          <w:lang w:eastAsia="en-US"/>
        </w:rPr>
        <w:t>лучения гражданства в РФ [5]:</w:t>
      </w:r>
    </w:p>
    <w:p w:rsidR="00EC1A78" w:rsidRPr="00EC1A78" w:rsidRDefault="00EC1A78" w:rsidP="003A6F86">
      <w:pPr>
        <w:numPr>
          <w:ilvl w:val="0"/>
          <w:numId w:val="109"/>
        </w:numPr>
        <w:shd w:val="clear" w:color="auto" w:fill="FFFFFF"/>
        <w:ind w:left="0" w:firstLine="426"/>
        <w:jc w:val="both"/>
        <w:rPr>
          <w:sz w:val="22"/>
          <w:szCs w:val="22"/>
        </w:rPr>
      </w:pPr>
      <w:r w:rsidRPr="00EC1A78">
        <w:rPr>
          <w:sz w:val="22"/>
          <w:szCs w:val="22"/>
        </w:rPr>
        <w:t>Родители новорожденного (оба или только один из них) я</w:t>
      </w:r>
      <w:r w:rsidRPr="00EC1A78">
        <w:rPr>
          <w:sz w:val="22"/>
          <w:szCs w:val="22"/>
        </w:rPr>
        <w:t>в</w:t>
      </w:r>
      <w:r w:rsidRPr="00EC1A78">
        <w:rPr>
          <w:sz w:val="22"/>
          <w:szCs w:val="22"/>
        </w:rPr>
        <w:t xml:space="preserve">лялись гражданами РФ. </w:t>
      </w:r>
    </w:p>
    <w:p w:rsidR="00EC1A78" w:rsidRPr="00EC1A78" w:rsidRDefault="00EC1A78" w:rsidP="003A6F86">
      <w:pPr>
        <w:numPr>
          <w:ilvl w:val="0"/>
          <w:numId w:val="109"/>
        </w:numPr>
        <w:shd w:val="clear" w:color="auto" w:fill="FFFFFF"/>
        <w:ind w:left="0" w:firstLine="426"/>
        <w:jc w:val="both"/>
        <w:rPr>
          <w:sz w:val="22"/>
          <w:szCs w:val="22"/>
        </w:rPr>
      </w:pPr>
      <w:r w:rsidRPr="00EC1A78">
        <w:rPr>
          <w:sz w:val="22"/>
          <w:szCs w:val="22"/>
        </w:rPr>
        <w:t>Один родитель – гражданин России, а второй имеет гра</w:t>
      </w:r>
      <w:r w:rsidRPr="00EC1A78">
        <w:rPr>
          <w:sz w:val="22"/>
          <w:szCs w:val="22"/>
        </w:rPr>
        <w:t>ж</w:t>
      </w:r>
      <w:r w:rsidRPr="00EC1A78">
        <w:rPr>
          <w:sz w:val="22"/>
          <w:szCs w:val="22"/>
        </w:rPr>
        <w:t>данство в другой стране. В этой ситуации, если место рождения – Россия, то ребенок получает российское гражданство, если же он рожден в другой стране, то он считается лицом, не имеющим гра</w:t>
      </w:r>
      <w:r w:rsidRPr="00EC1A78">
        <w:rPr>
          <w:sz w:val="22"/>
          <w:szCs w:val="22"/>
        </w:rPr>
        <w:t>ж</w:t>
      </w:r>
      <w:r w:rsidRPr="00EC1A78">
        <w:rPr>
          <w:sz w:val="22"/>
          <w:szCs w:val="22"/>
        </w:rPr>
        <w:t>данства.</w:t>
      </w:r>
    </w:p>
    <w:p w:rsidR="00EC1A78" w:rsidRPr="00EC1A78" w:rsidRDefault="00EC1A78" w:rsidP="003A6F86">
      <w:pPr>
        <w:numPr>
          <w:ilvl w:val="0"/>
          <w:numId w:val="109"/>
        </w:numPr>
        <w:shd w:val="clear" w:color="auto" w:fill="FFFFFF"/>
        <w:ind w:left="0" w:firstLine="426"/>
        <w:jc w:val="both"/>
        <w:rPr>
          <w:sz w:val="22"/>
          <w:szCs w:val="22"/>
        </w:rPr>
      </w:pPr>
      <w:r w:rsidRPr="00EC1A78">
        <w:rPr>
          <w:sz w:val="22"/>
          <w:szCs w:val="22"/>
        </w:rPr>
        <w:t>Один родитель является гражданином РФ, второй гражда</w:t>
      </w:r>
      <w:r w:rsidRPr="00EC1A78">
        <w:rPr>
          <w:sz w:val="22"/>
          <w:szCs w:val="22"/>
        </w:rPr>
        <w:t>н</w:t>
      </w:r>
      <w:r w:rsidRPr="00EC1A78">
        <w:rPr>
          <w:sz w:val="22"/>
          <w:szCs w:val="22"/>
        </w:rPr>
        <w:t>ства не имеет или не известно его местонахождение (к этой же кат</w:t>
      </w:r>
      <w:r w:rsidRPr="00EC1A78">
        <w:rPr>
          <w:sz w:val="22"/>
          <w:szCs w:val="22"/>
        </w:rPr>
        <w:t>е</w:t>
      </w:r>
      <w:r w:rsidRPr="00EC1A78">
        <w:rPr>
          <w:sz w:val="22"/>
          <w:szCs w:val="22"/>
        </w:rPr>
        <w:t xml:space="preserve">гории относятся случаи, когда родитель пропал без вести). </w:t>
      </w:r>
    </w:p>
    <w:p w:rsidR="00EC1A78" w:rsidRPr="00EC1A78" w:rsidRDefault="00EC1A78" w:rsidP="003A6F86">
      <w:pPr>
        <w:numPr>
          <w:ilvl w:val="0"/>
          <w:numId w:val="109"/>
        </w:numPr>
        <w:shd w:val="clear" w:color="auto" w:fill="FFFFFF"/>
        <w:ind w:left="0" w:firstLine="426"/>
        <w:jc w:val="both"/>
        <w:rPr>
          <w:sz w:val="22"/>
          <w:szCs w:val="22"/>
        </w:rPr>
      </w:pPr>
      <w:r w:rsidRPr="00EC1A78">
        <w:rPr>
          <w:sz w:val="22"/>
          <w:szCs w:val="22"/>
        </w:rPr>
        <w:t>Оба родителя находятся на территории России, являясь при этом или иностранцами или лицами, гражданства не имеющими. В случае, если ребенок при этом родился на территории РФ, а другое государство по законодательным причинам не может дать ребенку гражданства, он становится гражданином России.</w:t>
      </w:r>
    </w:p>
    <w:p w:rsidR="00EC1A78" w:rsidRPr="00EC1A78" w:rsidRDefault="00EC1A78" w:rsidP="003A6F86">
      <w:pPr>
        <w:numPr>
          <w:ilvl w:val="0"/>
          <w:numId w:val="109"/>
        </w:numPr>
        <w:shd w:val="clear" w:color="auto" w:fill="FFFFFF"/>
        <w:ind w:left="0" w:firstLine="426"/>
        <w:jc w:val="both"/>
        <w:rPr>
          <w:sz w:val="22"/>
          <w:szCs w:val="22"/>
        </w:rPr>
      </w:pPr>
      <w:r w:rsidRPr="00EC1A78">
        <w:rPr>
          <w:sz w:val="22"/>
          <w:szCs w:val="22"/>
        </w:rPr>
        <w:t>Ребенок до совершеннолетия полностью зависит от своих родителей, соответственно, если родители сменят свою гражда</w:t>
      </w:r>
      <w:r w:rsidRPr="00EC1A78">
        <w:rPr>
          <w:sz w:val="22"/>
          <w:szCs w:val="22"/>
        </w:rPr>
        <w:t>н</w:t>
      </w:r>
      <w:r w:rsidRPr="00EC1A78">
        <w:rPr>
          <w:sz w:val="22"/>
          <w:szCs w:val="22"/>
        </w:rPr>
        <w:t xml:space="preserve">скую принадлежность, ребенок не сможет оставаться гражданином РФ. </w:t>
      </w:r>
    </w:p>
    <w:p w:rsidR="00EC1A78" w:rsidRPr="00EC1A78" w:rsidRDefault="00EC1A78" w:rsidP="003A6F86">
      <w:pPr>
        <w:ind w:firstLine="426"/>
        <w:jc w:val="both"/>
        <w:rPr>
          <w:sz w:val="22"/>
          <w:szCs w:val="22"/>
        </w:rPr>
      </w:pPr>
      <w:r w:rsidRPr="00EC1A78">
        <w:rPr>
          <w:sz w:val="22"/>
          <w:szCs w:val="22"/>
        </w:rPr>
        <w:t>Таким образом, следует констатировать, что принятие гра</w:t>
      </w:r>
      <w:r w:rsidRPr="00EC1A78">
        <w:rPr>
          <w:sz w:val="22"/>
          <w:szCs w:val="22"/>
        </w:rPr>
        <w:t>ж</w:t>
      </w:r>
      <w:r w:rsidRPr="00EC1A78">
        <w:rPr>
          <w:sz w:val="22"/>
          <w:szCs w:val="22"/>
        </w:rPr>
        <w:t>данства России по рождению – это самый быстрый и простой сп</w:t>
      </w:r>
      <w:r w:rsidRPr="00EC1A78">
        <w:rPr>
          <w:sz w:val="22"/>
          <w:szCs w:val="22"/>
        </w:rPr>
        <w:t>о</w:t>
      </w:r>
      <w:r w:rsidRPr="00EC1A78">
        <w:rPr>
          <w:sz w:val="22"/>
          <w:szCs w:val="22"/>
        </w:rPr>
        <w:t>соб получения гражданства, который не зависит от воли новоро</w:t>
      </w:r>
      <w:r w:rsidRPr="00EC1A78">
        <w:rPr>
          <w:sz w:val="22"/>
          <w:szCs w:val="22"/>
        </w:rPr>
        <w:t>ж</w:t>
      </w:r>
      <w:r w:rsidRPr="00EC1A78">
        <w:rPr>
          <w:sz w:val="22"/>
          <w:szCs w:val="22"/>
        </w:rPr>
        <w:t>денного, т.к. статус гражданина в данном случае устанавливается автоматически.</w:t>
      </w:r>
    </w:p>
    <w:p w:rsidR="00EC1A78" w:rsidRPr="00EC1A78" w:rsidRDefault="00EC1A78" w:rsidP="003A6F86">
      <w:pPr>
        <w:ind w:firstLine="426"/>
        <w:rPr>
          <w:rFonts w:eastAsiaTheme="minorHAnsi"/>
          <w:sz w:val="22"/>
          <w:szCs w:val="22"/>
          <w:lang w:eastAsia="en-US"/>
        </w:rPr>
      </w:pPr>
    </w:p>
    <w:p w:rsidR="00EC1A78" w:rsidRPr="00EC1A78" w:rsidRDefault="00EC1A78" w:rsidP="003A6F86">
      <w:pPr>
        <w:jc w:val="center"/>
        <w:rPr>
          <w:rFonts w:eastAsiaTheme="minorHAnsi"/>
          <w:b/>
          <w:sz w:val="22"/>
          <w:szCs w:val="22"/>
          <w:lang w:eastAsia="en-US"/>
        </w:rPr>
      </w:pPr>
      <w:r w:rsidRPr="00EC1A78">
        <w:rPr>
          <w:rFonts w:eastAsiaTheme="minorHAnsi"/>
          <w:sz w:val="22"/>
          <w:szCs w:val="22"/>
          <w:lang w:eastAsia="en-US"/>
        </w:rPr>
        <w:t>Список литературы</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1. «Конституция Российской Федерации» (принята всенаро</w:t>
      </w:r>
      <w:r w:rsidRPr="00EC1A78">
        <w:rPr>
          <w:rFonts w:eastAsiaTheme="minorHAnsi"/>
          <w:sz w:val="22"/>
          <w:szCs w:val="22"/>
          <w:lang w:eastAsia="en-US"/>
        </w:rPr>
        <w:t>д</w:t>
      </w:r>
      <w:r w:rsidRPr="00EC1A78">
        <w:rPr>
          <w:rFonts w:eastAsiaTheme="minorHAnsi"/>
          <w:sz w:val="22"/>
          <w:szCs w:val="22"/>
          <w:lang w:eastAsia="en-US"/>
        </w:rPr>
        <w:t>ным голосованием 12.12.1993) (с учетом поправок, внесенных З</w:t>
      </w:r>
      <w:r w:rsidRPr="00EC1A78">
        <w:rPr>
          <w:rFonts w:eastAsiaTheme="minorHAnsi"/>
          <w:sz w:val="22"/>
          <w:szCs w:val="22"/>
          <w:lang w:eastAsia="en-US"/>
        </w:rPr>
        <w:t>а</w:t>
      </w:r>
      <w:r w:rsidRPr="00EC1A78">
        <w:rPr>
          <w:rFonts w:eastAsiaTheme="minorHAnsi"/>
          <w:sz w:val="22"/>
          <w:szCs w:val="22"/>
          <w:lang w:eastAsia="en-US"/>
        </w:rPr>
        <w:t>конами РФ о поправках к Конституции РФ от 30.12.2008 N 6–ФКЗ, от 30.12.2008 N 7–ФКЗ, от 05.02.2014 N 2–ФКЗ, от 21.07.2014 N 11–ФКЗ)</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Федеральный закон от 31.05.2002 N 62–ФЗ (ред. от 29.07.2017) «О гражданстве Российской Федерации»//»Российская газета», N 100, 05.06.2002.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3. Иванов С. Д. Законодательное регулирование процедуры п</w:t>
      </w:r>
      <w:r w:rsidRPr="00EC1A78">
        <w:rPr>
          <w:rFonts w:eastAsiaTheme="minorHAnsi"/>
          <w:sz w:val="22"/>
          <w:szCs w:val="22"/>
          <w:lang w:eastAsia="en-US"/>
        </w:rPr>
        <w:t>о</w:t>
      </w:r>
      <w:r w:rsidRPr="00EC1A78">
        <w:rPr>
          <w:rFonts w:eastAsiaTheme="minorHAnsi"/>
          <w:sz w:val="22"/>
          <w:szCs w:val="22"/>
          <w:lang w:eastAsia="en-US"/>
        </w:rPr>
        <w:t>лучения гражданства РФ и проблемы его правоприменения // М</w:t>
      </w:r>
      <w:r w:rsidRPr="00EC1A78">
        <w:rPr>
          <w:rFonts w:eastAsiaTheme="minorHAnsi"/>
          <w:sz w:val="22"/>
          <w:szCs w:val="22"/>
          <w:lang w:eastAsia="en-US"/>
        </w:rPr>
        <w:t>о</w:t>
      </w:r>
      <w:r w:rsidRPr="00EC1A78">
        <w:rPr>
          <w:rFonts w:eastAsiaTheme="minorHAnsi"/>
          <w:sz w:val="22"/>
          <w:szCs w:val="22"/>
          <w:lang w:eastAsia="en-US"/>
        </w:rPr>
        <w:t>лодой ученый. — 2017. — №9. — С. 217–221.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Кикоят  В.Я., Смородина Н.М.  Российское гражданство: Учебное пособие для студентов вузов , 4– е изд., перераб. и доп., Изд–во «Юнити–Дана», 2010г., С.78.</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Остапец О.Г. Новеллы законодательства о гражданстве Ро</w:t>
      </w:r>
      <w:r w:rsidRPr="00EC1A78">
        <w:rPr>
          <w:rFonts w:eastAsiaTheme="minorHAnsi"/>
          <w:sz w:val="22"/>
          <w:szCs w:val="22"/>
          <w:lang w:eastAsia="en-US"/>
        </w:rPr>
        <w:t>с</w:t>
      </w:r>
      <w:r w:rsidRPr="00EC1A78">
        <w:rPr>
          <w:rFonts w:eastAsiaTheme="minorHAnsi"/>
          <w:sz w:val="22"/>
          <w:szCs w:val="22"/>
          <w:lang w:eastAsia="en-US"/>
        </w:rPr>
        <w:t>сийской Федерации: за и против // «Актуальные проблемы росси</w:t>
      </w:r>
      <w:r w:rsidRPr="00EC1A78">
        <w:rPr>
          <w:rFonts w:eastAsiaTheme="minorHAnsi"/>
          <w:sz w:val="22"/>
          <w:szCs w:val="22"/>
          <w:lang w:eastAsia="en-US"/>
        </w:rPr>
        <w:t>й</w:t>
      </w:r>
      <w:r w:rsidRPr="00EC1A78">
        <w:rPr>
          <w:rFonts w:eastAsiaTheme="minorHAnsi"/>
          <w:sz w:val="22"/>
          <w:szCs w:val="22"/>
          <w:lang w:eastAsia="en-US"/>
        </w:rPr>
        <w:t xml:space="preserve">ского права», N 3, март 2016 г. С. 108. </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342.511.5</w:t>
      </w:r>
    </w:p>
    <w:p w:rsidR="00EC1A78" w:rsidRPr="00EC1A78" w:rsidRDefault="00EC1A78" w:rsidP="00EC1A78">
      <w:pPr>
        <w:ind w:firstLine="425"/>
        <w:jc w:val="center"/>
        <w:rPr>
          <w:rFonts w:eastAsiaTheme="minorHAnsi"/>
          <w:sz w:val="22"/>
          <w:szCs w:val="22"/>
          <w:lang w:eastAsia="en-US"/>
        </w:rPr>
      </w:pPr>
    </w:p>
    <w:p w:rsidR="00EC1A78" w:rsidRPr="00EC1A78" w:rsidRDefault="00EC1A78" w:rsidP="00EC1A78">
      <w:pPr>
        <w:ind w:firstLine="425"/>
        <w:jc w:val="center"/>
        <w:rPr>
          <w:rFonts w:eastAsiaTheme="minorHAnsi"/>
          <w:b/>
          <w:sz w:val="24"/>
          <w:szCs w:val="22"/>
          <w:lang w:eastAsia="en-US"/>
        </w:rPr>
      </w:pPr>
      <w:r w:rsidRPr="00EC1A78">
        <w:rPr>
          <w:rFonts w:eastAsiaTheme="minorHAnsi"/>
          <w:b/>
          <w:sz w:val="24"/>
          <w:szCs w:val="22"/>
          <w:lang w:eastAsia="en-US"/>
        </w:rPr>
        <w:t xml:space="preserve">Политическая ответственность главы государства: </w:t>
      </w:r>
      <w:r w:rsidR="003A6F86">
        <w:rPr>
          <w:rFonts w:eastAsiaTheme="minorHAnsi"/>
          <w:b/>
          <w:sz w:val="24"/>
          <w:szCs w:val="22"/>
          <w:lang w:eastAsia="en-US"/>
        </w:rPr>
        <w:br/>
      </w:r>
      <w:r w:rsidRPr="00EC1A78">
        <w:rPr>
          <w:rFonts w:eastAsiaTheme="minorHAnsi"/>
          <w:b/>
          <w:sz w:val="24"/>
          <w:szCs w:val="22"/>
          <w:lang w:eastAsia="en-US"/>
        </w:rPr>
        <w:t>история и современная практика</w:t>
      </w:r>
    </w:p>
    <w:p w:rsidR="00EC1A78" w:rsidRPr="00EC1A78" w:rsidRDefault="00EC1A78" w:rsidP="00EC1A78">
      <w:pPr>
        <w:jc w:val="right"/>
        <w:rPr>
          <w:rFonts w:eastAsiaTheme="minorHAnsi"/>
          <w:sz w:val="22"/>
          <w:szCs w:val="22"/>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Гончаров О.</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2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Галкин А.</w:t>
      </w:r>
      <w:r w:rsidR="003A6F86">
        <w:rPr>
          <w:rFonts w:eastAsiaTheme="minorHAnsi"/>
          <w:sz w:val="22"/>
          <w:szCs w:val="22"/>
          <w:lang w:eastAsia="en-US"/>
        </w:rPr>
        <w:t xml:space="preserve"> </w:t>
      </w:r>
      <w:r w:rsidRPr="00EC1A78">
        <w:rPr>
          <w:rFonts w:eastAsiaTheme="minorHAnsi"/>
          <w:sz w:val="22"/>
          <w:szCs w:val="22"/>
          <w:lang w:eastAsia="en-US"/>
        </w:rPr>
        <w:t>Г.,</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и теории и истории государства и прав</w:t>
      </w:r>
      <w:r w:rsidR="00EB59EF">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w:t>
      </w:r>
      <w:r w:rsidR="003A6F86">
        <w:rPr>
          <w:rFonts w:eastAsiaTheme="minorHAnsi"/>
          <w:sz w:val="22"/>
          <w:szCs w:val="22"/>
          <w:lang w:eastAsia="en-US"/>
        </w:rPr>
        <w:t xml:space="preserve">татье рассматривается эволюция </w:t>
      </w:r>
      <w:r w:rsidRPr="00EC1A78">
        <w:rPr>
          <w:rFonts w:eastAsiaTheme="minorHAnsi"/>
          <w:sz w:val="22"/>
          <w:szCs w:val="22"/>
          <w:lang w:eastAsia="en-US"/>
        </w:rPr>
        <w:t>становл</w:t>
      </w:r>
      <w:r w:rsidRPr="00EC1A78">
        <w:rPr>
          <w:rFonts w:eastAsiaTheme="minorHAnsi"/>
          <w:sz w:val="22"/>
          <w:szCs w:val="22"/>
          <w:lang w:eastAsia="en-US"/>
        </w:rPr>
        <w:t>е</w:t>
      </w:r>
      <w:r w:rsidRPr="00EC1A78">
        <w:rPr>
          <w:rFonts w:eastAsiaTheme="minorHAnsi"/>
          <w:sz w:val="22"/>
          <w:szCs w:val="22"/>
          <w:lang w:eastAsia="en-US"/>
        </w:rPr>
        <w:t>ния института политической ответственност</w:t>
      </w:r>
      <w:r w:rsidR="003A6F86">
        <w:rPr>
          <w:rFonts w:eastAsiaTheme="minorHAnsi"/>
          <w:sz w:val="22"/>
          <w:szCs w:val="22"/>
          <w:lang w:eastAsia="en-US"/>
        </w:rPr>
        <w:t xml:space="preserve">и главы государства, ее формах </w:t>
      </w:r>
      <w:r w:rsidRPr="00EC1A78">
        <w:rPr>
          <w:rFonts w:eastAsiaTheme="minorHAnsi"/>
          <w:sz w:val="22"/>
          <w:szCs w:val="22"/>
          <w:lang w:eastAsia="en-US"/>
        </w:rPr>
        <w:t>с учетом, факторах, оказывающих влияние на развитие и совершенствование взаимоотношений  общества и власти  в конте</w:t>
      </w:r>
      <w:r w:rsidRPr="00EC1A78">
        <w:rPr>
          <w:rFonts w:eastAsiaTheme="minorHAnsi"/>
          <w:sz w:val="22"/>
          <w:szCs w:val="22"/>
          <w:lang w:eastAsia="en-US"/>
        </w:rPr>
        <w:t>к</w:t>
      </w:r>
      <w:r w:rsidRPr="00EC1A78">
        <w:rPr>
          <w:rFonts w:eastAsiaTheme="minorHAnsi"/>
          <w:sz w:val="22"/>
          <w:szCs w:val="22"/>
          <w:lang w:eastAsia="en-US"/>
        </w:rPr>
        <w:t>сте ответственности последней.</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describes the evolution of the formation of the Institute of political responsibility of the head of State, its forms, ta</w:t>
      </w:r>
      <w:r w:rsidRPr="00EC1A78">
        <w:rPr>
          <w:rFonts w:eastAsiaTheme="minorHAnsi"/>
          <w:sz w:val="22"/>
          <w:szCs w:val="22"/>
          <w:lang w:val="en-US" w:eastAsia="en-US"/>
        </w:rPr>
        <w:t>k</w:t>
      </w:r>
      <w:r w:rsidRPr="00EC1A78">
        <w:rPr>
          <w:rFonts w:eastAsiaTheme="minorHAnsi"/>
          <w:sz w:val="22"/>
          <w:szCs w:val="22"/>
          <w:lang w:val="en-US" w:eastAsia="en-US"/>
        </w:rPr>
        <w:t>ing into account the factors that influence the development and i</w:t>
      </w:r>
      <w:r w:rsidRPr="00EC1A78">
        <w:rPr>
          <w:rFonts w:eastAsiaTheme="minorHAnsi"/>
          <w:sz w:val="22"/>
          <w:szCs w:val="22"/>
          <w:lang w:val="en-US" w:eastAsia="en-US"/>
        </w:rPr>
        <w:t>m</w:t>
      </w:r>
      <w:r w:rsidRPr="00EC1A78">
        <w:rPr>
          <w:rFonts w:eastAsiaTheme="minorHAnsi"/>
          <w:sz w:val="22"/>
          <w:szCs w:val="22"/>
          <w:lang w:val="en-US" w:eastAsia="en-US"/>
        </w:rPr>
        <w:t>provement of society and power relations in the context of responsibility latest.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глава государства, ответственность, р</w:t>
      </w:r>
      <w:r w:rsidRPr="00EC1A78">
        <w:rPr>
          <w:rFonts w:eastAsiaTheme="minorHAnsi"/>
          <w:sz w:val="22"/>
          <w:szCs w:val="22"/>
          <w:lang w:eastAsia="en-US"/>
        </w:rPr>
        <w:t>е</w:t>
      </w:r>
      <w:r w:rsidRPr="00EC1A78">
        <w:rPr>
          <w:rFonts w:eastAsiaTheme="minorHAnsi"/>
          <w:sz w:val="22"/>
          <w:szCs w:val="22"/>
          <w:lang w:eastAsia="en-US"/>
        </w:rPr>
        <w:t>лигия, политические традиции, избиратели, политическая элита.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the head of State, responsibility, religion, political traditions, the voters, the political elite.</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Отсутствие ясности относительно ответственности различных субъектов и их смешение приводит к подмене одних отношений ответственности отношениями другого рода. В частности, юрид</w:t>
      </w:r>
      <w:r w:rsidRPr="00EC1A78">
        <w:rPr>
          <w:rFonts w:eastAsiaTheme="minorHAnsi"/>
          <w:sz w:val="22"/>
          <w:szCs w:val="22"/>
          <w:lang w:eastAsia="en-US"/>
        </w:rPr>
        <w:t>и</w:t>
      </w:r>
      <w:r w:rsidRPr="00EC1A78">
        <w:rPr>
          <w:rFonts w:eastAsiaTheme="minorHAnsi"/>
          <w:sz w:val="22"/>
          <w:szCs w:val="22"/>
          <w:lang w:eastAsia="en-US"/>
        </w:rPr>
        <w:t>ческая ответственность, ответственность перед обществом, зач</w:t>
      </w:r>
      <w:r w:rsidRPr="00EC1A78">
        <w:rPr>
          <w:rFonts w:eastAsiaTheme="minorHAnsi"/>
          <w:sz w:val="22"/>
          <w:szCs w:val="22"/>
          <w:lang w:eastAsia="en-US"/>
        </w:rPr>
        <w:t>а</w:t>
      </w:r>
      <w:r w:rsidRPr="00EC1A78">
        <w:rPr>
          <w:rFonts w:eastAsiaTheme="minorHAnsi"/>
          <w:sz w:val="22"/>
          <w:szCs w:val="22"/>
          <w:lang w:eastAsia="en-US"/>
        </w:rPr>
        <w:t>стую заменяется ответственностью перед руководителем страны [1], ответственность перед избирателями заменяется ответственн</w:t>
      </w:r>
      <w:r w:rsidRPr="00EC1A78">
        <w:rPr>
          <w:rFonts w:eastAsiaTheme="minorHAnsi"/>
          <w:sz w:val="22"/>
          <w:szCs w:val="22"/>
          <w:lang w:eastAsia="en-US"/>
        </w:rPr>
        <w:t>о</w:t>
      </w:r>
      <w:r w:rsidRPr="00EC1A78">
        <w:rPr>
          <w:rFonts w:eastAsiaTheme="minorHAnsi"/>
          <w:sz w:val="22"/>
          <w:szCs w:val="22"/>
          <w:lang w:eastAsia="en-US"/>
        </w:rPr>
        <w:t>стью перед политической партией, что  ни в коей мере не укрепляет доверие граждан к властным структурам, порождает сомнения о</w:t>
      </w:r>
      <w:r w:rsidRPr="00EC1A78">
        <w:rPr>
          <w:rFonts w:eastAsiaTheme="minorHAnsi"/>
          <w:sz w:val="22"/>
          <w:szCs w:val="22"/>
          <w:lang w:eastAsia="en-US"/>
        </w:rPr>
        <w:t>б</w:t>
      </w:r>
      <w:r w:rsidRPr="00EC1A78">
        <w:rPr>
          <w:rFonts w:eastAsiaTheme="minorHAnsi"/>
          <w:sz w:val="22"/>
          <w:szCs w:val="22"/>
          <w:lang w:eastAsia="en-US"/>
        </w:rPr>
        <w:t xml:space="preserve">щества в ее легитимности.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России традиционно политическая ответственность ставится во главу угла взаимоотношений власти и общества. С учетом ме</w:t>
      </w:r>
      <w:r w:rsidRPr="00EC1A78">
        <w:rPr>
          <w:rFonts w:eastAsiaTheme="minorHAnsi"/>
          <w:sz w:val="22"/>
          <w:szCs w:val="22"/>
          <w:lang w:eastAsia="en-US"/>
        </w:rPr>
        <w:t>н</w:t>
      </w:r>
      <w:r w:rsidRPr="00EC1A78">
        <w:rPr>
          <w:rFonts w:eastAsiaTheme="minorHAnsi"/>
          <w:sz w:val="22"/>
          <w:szCs w:val="22"/>
          <w:lang w:eastAsia="en-US"/>
        </w:rPr>
        <w:t>талитета отдельных народов, политической и правовой практики, сложившейся исторически копировать западные образцы слепо не стоит. Под политической ответственностью в западной науке пр</w:t>
      </w:r>
      <w:r w:rsidRPr="00EC1A78">
        <w:rPr>
          <w:rFonts w:eastAsiaTheme="minorHAnsi"/>
          <w:sz w:val="22"/>
          <w:szCs w:val="22"/>
          <w:lang w:eastAsia="en-US"/>
        </w:rPr>
        <w:t>и</w:t>
      </w:r>
      <w:r w:rsidRPr="00EC1A78">
        <w:rPr>
          <w:rFonts w:eastAsiaTheme="minorHAnsi"/>
          <w:sz w:val="22"/>
          <w:szCs w:val="22"/>
          <w:lang w:eastAsia="en-US"/>
        </w:rPr>
        <w:t>нято понимать  наступление каких–либо неблагоприятных после</w:t>
      </w:r>
      <w:r w:rsidRPr="00EC1A78">
        <w:rPr>
          <w:rFonts w:eastAsiaTheme="minorHAnsi"/>
          <w:sz w:val="22"/>
          <w:szCs w:val="22"/>
          <w:lang w:eastAsia="en-US"/>
        </w:rPr>
        <w:t>д</w:t>
      </w:r>
      <w:r w:rsidRPr="00EC1A78">
        <w:rPr>
          <w:rFonts w:eastAsiaTheme="minorHAnsi"/>
          <w:sz w:val="22"/>
          <w:szCs w:val="22"/>
          <w:lang w:eastAsia="en-US"/>
        </w:rPr>
        <w:t>ствий для руководителя страны в связи с его политическими де</w:t>
      </w:r>
      <w:r w:rsidRPr="00EC1A78">
        <w:rPr>
          <w:rFonts w:eastAsiaTheme="minorHAnsi"/>
          <w:sz w:val="22"/>
          <w:szCs w:val="22"/>
          <w:lang w:eastAsia="en-US"/>
        </w:rPr>
        <w:t>й</w:t>
      </w:r>
      <w:r w:rsidRPr="00EC1A78">
        <w:rPr>
          <w:rFonts w:eastAsiaTheme="minorHAnsi"/>
          <w:sz w:val="22"/>
          <w:szCs w:val="22"/>
          <w:lang w:eastAsia="en-US"/>
        </w:rPr>
        <w:t xml:space="preserve">ствиями и решениями, не соответствующими господствующим и определяющим его должное поведение нормам.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истории становления института политической ответственн</w:t>
      </w:r>
      <w:r w:rsidRPr="00EC1A78">
        <w:rPr>
          <w:rFonts w:eastAsiaTheme="minorHAnsi"/>
          <w:sz w:val="22"/>
          <w:szCs w:val="22"/>
          <w:lang w:eastAsia="en-US"/>
        </w:rPr>
        <w:t>о</w:t>
      </w:r>
      <w:r w:rsidRPr="00EC1A78">
        <w:rPr>
          <w:rFonts w:eastAsiaTheme="minorHAnsi"/>
          <w:sz w:val="22"/>
          <w:szCs w:val="22"/>
          <w:lang w:eastAsia="en-US"/>
        </w:rPr>
        <w:t xml:space="preserve">сти немалую роль </w:t>
      </w:r>
      <w:r w:rsidR="003A6F86">
        <w:rPr>
          <w:rFonts w:eastAsiaTheme="minorHAnsi"/>
          <w:sz w:val="22"/>
          <w:szCs w:val="22"/>
          <w:lang w:eastAsia="en-US"/>
        </w:rPr>
        <w:t xml:space="preserve">играли религиозные традиции. </w:t>
      </w:r>
      <w:r w:rsidRPr="00EC1A78">
        <w:rPr>
          <w:rFonts w:eastAsiaTheme="minorHAnsi"/>
          <w:sz w:val="22"/>
          <w:szCs w:val="22"/>
          <w:lang w:eastAsia="en-US"/>
        </w:rPr>
        <w:t>В одном из  ра</w:t>
      </w:r>
      <w:r w:rsidRPr="00EC1A78">
        <w:rPr>
          <w:rFonts w:eastAsiaTheme="minorHAnsi"/>
          <w:sz w:val="22"/>
          <w:szCs w:val="22"/>
          <w:lang w:eastAsia="en-US"/>
        </w:rPr>
        <w:t>н</w:t>
      </w:r>
      <w:r w:rsidR="003A6F86">
        <w:rPr>
          <w:rFonts w:eastAsiaTheme="minorHAnsi"/>
          <w:sz w:val="22"/>
          <w:szCs w:val="22"/>
          <w:lang w:eastAsia="en-US"/>
        </w:rPr>
        <w:t xml:space="preserve">них примеров, отражающих, </w:t>
      </w:r>
      <w:r w:rsidRPr="00EC1A78">
        <w:rPr>
          <w:rFonts w:eastAsiaTheme="minorHAnsi"/>
          <w:sz w:val="22"/>
          <w:szCs w:val="22"/>
          <w:lang w:eastAsia="en-US"/>
        </w:rPr>
        <w:t>в том числе христианские представл</w:t>
      </w:r>
      <w:r w:rsidRPr="00EC1A78">
        <w:rPr>
          <w:rFonts w:eastAsiaTheme="minorHAnsi"/>
          <w:sz w:val="22"/>
          <w:szCs w:val="22"/>
          <w:lang w:eastAsia="en-US"/>
        </w:rPr>
        <w:t>е</w:t>
      </w:r>
      <w:r w:rsidRPr="00EC1A78">
        <w:rPr>
          <w:rFonts w:eastAsiaTheme="minorHAnsi"/>
          <w:sz w:val="22"/>
          <w:szCs w:val="22"/>
          <w:lang w:eastAsia="en-US"/>
        </w:rPr>
        <w:t>ния о взаимоотношении церкви и государства император Феодосий за подавление восстания в Салониках, по инициативе церкви в</w:t>
      </w:r>
      <w:r w:rsidRPr="00EC1A78">
        <w:rPr>
          <w:rFonts w:eastAsiaTheme="minorHAnsi"/>
          <w:sz w:val="22"/>
          <w:szCs w:val="22"/>
          <w:lang w:eastAsia="en-US"/>
        </w:rPr>
        <w:t>ы</w:t>
      </w:r>
      <w:r w:rsidRPr="00EC1A78">
        <w:rPr>
          <w:rFonts w:eastAsiaTheme="minorHAnsi"/>
          <w:sz w:val="22"/>
          <w:szCs w:val="22"/>
          <w:lang w:eastAsia="en-US"/>
        </w:rPr>
        <w:t>нужден был публично покаяться за свои действия.  Не меньшим авторитетом и влиянием на политическую деятельность пользов</w:t>
      </w:r>
      <w:r w:rsidRPr="00EC1A78">
        <w:rPr>
          <w:rFonts w:eastAsiaTheme="minorHAnsi"/>
          <w:sz w:val="22"/>
          <w:szCs w:val="22"/>
          <w:lang w:eastAsia="en-US"/>
        </w:rPr>
        <w:t>а</w:t>
      </w:r>
      <w:r w:rsidRPr="00EC1A78">
        <w:rPr>
          <w:rFonts w:eastAsiaTheme="minorHAnsi"/>
          <w:sz w:val="22"/>
          <w:szCs w:val="22"/>
          <w:lang w:eastAsia="en-US"/>
        </w:rPr>
        <w:t xml:space="preserve">лась церковь и в Средние века (Григорий </w:t>
      </w:r>
      <w:r w:rsidRPr="00EC1A78">
        <w:rPr>
          <w:rFonts w:eastAsiaTheme="minorHAnsi"/>
          <w:sz w:val="22"/>
          <w:szCs w:val="22"/>
          <w:lang w:val="en-US" w:eastAsia="en-US"/>
        </w:rPr>
        <w:t>VII</w:t>
      </w:r>
      <w:r w:rsidRPr="00EC1A78">
        <w:rPr>
          <w:rFonts w:eastAsiaTheme="minorHAnsi"/>
          <w:sz w:val="22"/>
          <w:szCs w:val="22"/>
          <w:lang w:eastAsia="en-US"/>
        </w:rPr>
        <w: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те времена, когда на Руси еще сохранялись пережитки перв</w:t>
      </w:r>
      <w:r w:rsidRPr="00EC1A78">
        <w:rPr>
          <w:rFonts w:eastAsiaTheme="minorHAnsi"/>
          <w:sz w:val="22"/>
          <w:szCs w:val="22"/>
          <w:lang w:eastAsia="en-US"/>
        </w:rPr>
        <w:t>о</w:t>
      </w:r>
      <w:r w:rsidRPr="00EC1A78">
        <w:rPr>
          <w:rFonts w:eastAsiaTheme="minorHAnsi"/>
          <w:sz w:val="22"/>
          <w:szCs w:val="22"/>
          <w:lang w:eastAsia="en-US"/>
        </w:rPr>
        <w:t>бытнообщинной демократии (в виде вечевых собраний), а власть князя не была абсолютной, за неисполнение князьями их обязанн</w:t>
      </w:r>
      <w:r w:rsidRPr="00EC1A78">
        <w:rPr>
          <w:rFonts w:eastAsiaTheme="minorHAnsi"/>
          <w:sz w:val="22"/>
          <w:szCs w:val="22"/>
          <w:lang w:eastAsia="en-US"/>
        </w:rPr>
        <w:t>о</w:t>
      </w:r>
      <w:r w:rsidRPr="00EC1A78">
        <w:rPr>
          <w:rFonts w:eastAsiaTheme="minorHAnsi"/>
          <w:sz w:val="22"/>
          <w:szCs w:val="22"/>
          <w:lang w:eastAsia="en-US"/>
        </w:rPr>
        <w:t>стей, предусмотренных договорами, правителей изгоняли. Так, в 1136 г. из Новгорода, по свидетельству историка был изгнан Всев</w:t>
      </w:r>
      <w:r w:rsidRPr="00EC1A78">
        <w:rPr>
          <w:rFonts w:eastAsiaTheme="minorHAnsi"/>
          <w:sz w:val="22"/>
          <w:szCs w:val="22"/>
          <w:lang w:eastAsia="en-US"/>
        </w:rPr>
        <w:t>о</w:t>
      </w:r>
      <w:r w:rsidRPr="00EC1A78">
        <w:rPr>
          <w:rFonts w:eastAsiaTheme="minorHAnsi"/>
          <w:sz w:val="22"/>
          <w:szCs w:val="22"/>
          <w:lang w:eastAsia="en-US"/>
        </w:rPr>
        <w:t xml:space="preserve">лод Мстиславич из Новгорода [2]. Таким образом, очевидно, что речь идет именно о форме политической ответственности.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отличии от России западноевропейские политические деят</w:t>
      </w:r>
      <w:r w:rsidRPr="00EC1A78">
        <w:rPr>
          <w:rFonts w:eastAsiaTheme="minorHAnsi"/>
          <w:sz w:val="22"/>
          <w:szCs w:val="22"/>
          <w:lang w:eastAsia="en-US"/>
        </w:rPr>
        <w:t>е</w:t>
      </w:r>
      <w:r w:rsidRPr="00EC1A78">
        <w:rPr>
          <w:rFonts w:eastAsiaTheme="minorHAnsi"/>
          <w:sz w:val="22"/>
          <w:szCs w:val="22"/>
          <w:lang w:eastAsia="en-US"/>
        </w:rPr>
        <w:t>ли в Средние века и Новое время  находились под сильным влиян</w:t>
      </w:r>
      <w:r w:rsidRPr="00EC1A78">
        <w:rPr>
          <w:rFonts w:eastAsiaTheme="minorHAnsi"/>
          <w:sz w:val="22"/>
          <w:szCs w:val="22"/>
          <w:lang w:eastAsia="en-US"/>
        </w:rPr>
        <w:t>и</w:t>
      </w:r>
      <w:r w:rsidRPr="00EC1A78">
        <w:rPr>
          <w:rFonts w:eastAsiaTheme="minorHAnsi"/>
          <w:sz w:val="22"/>
          <w:szCs w:val="22"/>
          <w:lang w:eastAsia="en-US"/>
        </w:rPr>
        <w:t xml:space="preserve">ем церкви.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Монархическая власть, кроме того была вынуждена считаться с порождением теории общественного договора понятием «нации», отражавшем систему взаимоотношений между монархом и разли</w:t>
      </w:r>
      <w:r w:rsidRPr="00EC1A78">
        <w:rPr>
          <w:rFonts w:eastAsiaTheme="minorHAnsi"/>
          <w:sz w:val="22"/>
          <w:szCs w:val="22"/>
          <w:lang w:eastAsia="en-US"/>
        </w:rPr>
        <w:t>ч</w:t>
      </w:r>
      <w:r w:rsidRPr="00EC1A78">
        <w:rPr>
          <w:rFonts w:eastAsiaTheme="minorHAnsi"/>
          <w:sz w:val="22"/>
          <w:szCs w:val="22"/>
          <w:lang w:eastAsia="en-US"/>
        </w:rPr>
        <w:t>ными сословиями. Политические мыслители Нового времени по</w:t>
      </w:r>
      <w:r w:rsidRPr="00EC1A78">
        <w:rPr>
          <w:rFonts w:eastAsiaTheme="minorHAnsi"/>
          <w:sz w:val="22"/>
          <w:szCs w:val="22"/>
          <w:lang w:eastAsia="en-US"/>
        </w:rPr>
        <w:t>д</w:t>
      </w:r>
      <w:r w:rsidRPr="00EC1A78">
        <w:rPr>
          <w:rFonts w:eastAsiaTheme="minorHAnsi"/>
          <w:sz w:val="22"/>
          <w:szCs w:val="22"/>
          <w:lang w:eastAsia="en-US"/>
        </w:rPr>
        <w:t>разумевали под политической ответственностью соответствие де</w:t>
      </w:r>
      <w:r w:rsidRPr="00EC1A78">
        <w:rPr>
          <w:rFonts w:eastAsiaTheme="minorHAnsi"/>
          <w:sz w:val="22"/>
          <w:szCs w:val="22"/>
          <w:lang w:eastAsia="en-US"/>
        </w:rPr>
        <w:t>й</w:t>
      </w:r>
      <w:r w:rsidRPr="00EC1A78">
        <w:rPr>
          <w:rFonts w:eastAsiaTheme="minorHAnsi"/>
          <w:sz w:val="22"/>
          <w:szCs w:val="22"/>
          <w:lang w:eastAsia="en-US"/>
        </w:rPr>
        <w:t>ствий власти основополагающим принципам государственного устройства, вытекающим, как уже было сказано ранее и определя</w:t>
      </w:r>
      <w:r w:rsidRPr="00EC1A78">
        <w:rPr>
          <w:rFonts w:eastAsiaTheme="minorHAnsi"/>
          <w:sz w:val="22"/>
          <w:szCs w:val="22"/>
          <w:lang w:eastAsia="en-US"/>
        </w:rPr>
        <w:t>е</w:t>
      </w:r>
      <w:r w:rsidRPr="00EC1A78">
        <w:rPr>
          <w:rFonts w:eastAsiaTheme="minorHAnsi"/>
          <w:sz w:val="22"/>
          <w:szCs w:val="22"/>
          <w:lang w:eastAsia="en-US"/>
        </w:rPr>
        <w:t xml:space="preserve">мым  идеей общественного договора.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Возникновение политической ответственности в общепринятом ее понимании связано с формированием парламента</w:t>
      </w:r>
      <w:r w:rsidR="00EB59EF">
        <w:rPr>
          <w:rFonts w:eastAsiaTheme="minorHAnsi"/>
          <w:sz w:val="22"/>
          <w:szCs w:val="22"/>
          <w:lang w:eastAsia="en-US"/>
        </w:rPr>
        <w:t xml:space="preserve">ризма в Англии и, в частности, </w:t>
      </w:r>
      <w:r w:rsidRPr="00EC1A78">
        <w:rPr>
          <w:rFonts w:eastAsiaTheme="minorHAnsi"/>
          <w:sz w:val="22"/>
          <w:szCs w:val="22"/>
          <w:lang w:eastAsia="en-US"/>
        </w:rPr>
        <w:t>ответственности министров перед парламентом. А</w:t>
      </w:r>
      <w:r w:rsidRPr="00EC1A78">
        <w:rPr>
          <w:rFonts w:eastAsiaTheme="minorHAnsi"/>
          <w:sz w:val="22"/>
          <w:szCs w:val="22"/>
          <w:lang w:eastAsia="en-US"/>
        </w:rPr>
        <w:t>н</w:t>
      </w:r>
      <w:r w:rsidRPr="00EC1A78">
        <w:rPr>
          <w:rFonts w:eastAsiaTheme="minorHAnsi"/>
          <w:sz w:val="22"/>
          <w:szCs w:val="22"/>
          <w:lang w:eastAsia="en-US"/>
        </w:rPr>
        <w:t>глийские политические традиции явились поводом для дискуссий на тему министерской ответственности и в других европейских го</w:t>
      </w:r>
      <w:r w:rsidRPr="00EC1A78">
        <w:rPr>
          <w:rFonts w:eastAsiaTheme="minorHAnsi"/>
          <w:sz w:val="22"/>
          <w:szCs w:val="22"/>
          <w:lang w:eastAsia="en-US"/>
        </w:rPr>
        <w:t>с</w:t>
      </w:r>
      <w:r w:rsidRPr="00EC1A78">
        <w:rPr>
          <w:rFonts w:eastAsiaTheme="minorHAnsi"/>
          <w:sz w:val="22"/>
          <w:szCs w:val="22"/>
          <w:lang w:eastAsia="en-US"/>
        </w:rPr>
        <w:t>ударствах. Сущность их сводилась к тому, что зачастую «закон</w:t>
      </w:r>
      <w:r w:rsidRPr="00EC1A78">
        <w:rPr>
          <w:rFonts w:eastAsiaTheme="minorHAnsi"/>
          <w:sz w:val="22"/>
          <w:szCs w:val="22"/>
          <w:lang w:eastAsia="en-US"/>
        </w:rPr>
        <w:t>о</w:t>
      </w:r>
      <w:r w:rsidRPr="00EC1A78">
        <w:rPr>
          <w:rFonts w:eastAsiaTheme="minorHAnsi"/>
          <w:sz w:val="22"/>
          <w:szCs w:val="22"/>
          <w:lang w:eastAsia="en-US"/>
        </w:rPr>
        <w:t>мерные» действия исполнительной власти могут причинить не меньше вреда, чем противозаконные, а посему действия и решения исполнительной власти подлежат контролю со стороны парламе</w:t>
      </w:r>
      <w:r w:rsidRPr="00EC1A78">
        <w:rPr>
          <w:rFonts w:eastAsiaTheme="minorHAnsi"/>
          <w:sz w:val="22"/>
          <w:szCs w:val="22"/>
          <w:lang w:eastAsia="en-US"/>
        </w:rPr>
        <w:t>н</w:t>
      </w:r>
      <w:r w:rsidRPr="00EC1A78">
        <w:rPr>
          <w:rFonts w:eastAsiaTheme="minorHAnsi"/>
          <w:sz w:val="22"/>
          <w:szCs w:val="22"/>
          <w:lang w:eastAsia="en-US"/>
        </w:rPr>
        <w:t>та[3].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периоды монархического прав</w:t>
      </w:r>
      <w:r w:rsidR="00EB59EF">
        <w:rPr>
          <w:rFonts w:eastAsiaTheme="minorHAnsi"/>
          <w:sz w:val="22"/>
          <w:szCs w:val="22"/>
          <w:lang w:eastAsia="en-US"/>
        </w:rPr>
        <w:t>ления, и в Западной Европе, и в</w:t>
      </w:r>
      <w:r w:rsidRPr="00EC1A78">
        <w:rPr>
          <w:rFonts w:eastAsiaTheme="minorHAnsi"/>
          <w:sz w:val="22"/>
          <w:szCs w:val="22"/>
          <w:lang w:eastAsia="en-US"/>
        </w:rPr>
        <w:t xml:space="preserve"> России, в силу придания монарху статуса миропомазанника бож</w:t>
      </w:r>
      <w:r w:rsidRPr="00EC1A78">
        <w:rPr>
          <w:rFonts w:eastAsiaTheme="minorHAnsi"/>
          <w:sz w:val="22"/>
          <w:szCs w:val="22"/>
          <w:lang w:eastAsia="en-US"/>
        </w:rPr>
        <w:t>ь</w:t>
      </w:r>
      <w:r w:rsidRPr="00EC1A78">
        <w:rPr>
          <w:rFonts w:eastAsiaTheme="minorHAnsi"/>
          <w:sz w:val="22"/>
          <w:szCs w:val="22"/>
          <w:lang w:eastAsia="en-US"/>
        </w:rPr>
        <w:t>его, политическая теория исходила из невозможности причинения мо</w:t>
      </w:r>
      <w:r w:rsidR="00EB59EF">
        <w:rPr>
          <w:rFonts w:eastAsiaTheme="minorHAnsi"/>
          <w:sz w:val="22"/>
          <w:szCs w:val="22"/>
          <w:lang w:eastAsia="en-US"/>
        </w:rPr>
        <w:t xml:space="preserve">нархом </w:t>
      </w:r>
      <w:r w:rsidRPr="00EC1A78">
        <w:rPr>
          <w:rFonts w:eastAsiaTheme="minorHAnsi"/>
          <w:sz w:val="22"/>
          <w:szCs w:val="22"/>
          <w:lang w:eastAsia="en-US"/>
        </w:rPr>
        <w:t xml:space="preserve">вреда своим подданым. Фокус ответственности, таким образом, переносился с монарха на его приближенных министров.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Преобразование монархий в конституционные, либо их  све</w:t>
      </w:r>
      <w:r w:rsidRPr="00EC1A78">
        <w:rPr>
          <w:rFonts w:eastAsiaTheme="minorHAnsi"/>
          <w:sz w:val="22"/>
          <w:szCs w:val="22"/>
          <w:lang w:eastAsia="en-US"/>
        </w:rPr>
        <w:t>р</w:t>
      </w:r>
      <w:r w:rsidRPr="00EC1A78">
        <w:rPr>
          <w:rFonts w:eastAsiaTheme="minorHAnsi"/>
          <w:sz w:val="22"/>
          <w:szCs w:val="22"/>
          <w:lang w:eastAsia="en-US"/>
        </w:rPr>
        <w:t>жение и установление республиканских форм, по–новому постав</w:t>
      </w:r>
      <w:r w:rsidRPr="00EC1A78">
        <w:rPr>
          <w:rFonts w:eastAsiaTheme="minorHAnsi"/>
          <w:sz w:val="22"/>
          <w:szCs w:val="22"/>
          <w:lang w:eastAsia="en-US"/>
        </w:rPr>
        <w:t>и</w:t>
      </w:r>
      <w:r w:rsidRPr="00EC1A78">
        <w:rPr>
          <w:rFonts w:eastAsiaTheme="minorHAnsi"/>
          <w:sz w:val="22"/>
          <w:szCs w:val="22"/>
          <w:lang w:eastAsia="en-US"/>
        </w:rPr>
        <w:t>ло вопросы об ответственности главы государства. В постановл</w:t>
      </w:r>
      <w:r w:rsidRPr="00EC1A78">
        <w:rPr>
          <w:rFonts w:eastAsiaTheme="minorHAnsi"/>
          <w:sz w:val="22"/>
          <w:szCs w:val="22"/>
          <w:lang w:eastAsia="en-US"/>
        </w:rPr>
        <w:t>е</w:t>
      </w:r>
      <w:r w:rsidRPr="00EC1A78">
        <w:rPr>
          <w:rFonts w:eastAsiaTheme="minorHAnsi"/>
          <w:sz w:val="22"/>
          <w:szCs w:val="22"/>
          <w:lang w:eastAsia="en-US"/>
        </w:rPr>
        <w:t>нии Президиума ЦК КПСС говорилось об ошибках и неправильных действиях т. Хрущева, нарушающих ленинские принципы колле</w:t>
      </w:r>
      <w:r w:rsidRPr="00EC1A78">
        <w:rPr>
          <w:rFonts w:eastAsiaTheme="minorHAnsi"/>
          <w:sz w:val="22"/>
          <w:szCs w:val="22"/>
          <w:lang w:eastAsia="en-US"/>
        </w:rPr>
        <w:t>к</w:t>
      </w:r>
      <w:r w:rsidRPr="00EC1A78">
        <w:rPr>
          <w:rFonts w:eastAsiaTheme="minorHAnsi"/>
          <w:sz w:val="22"/>
          <w:szCs w:val="22"/>
          <w:lang w:eastAsia="en-US"/>
        </w:rPr>
        <w:t>тивного руководства, в результате чего создалась ненормальная о</w:t>
      </w:r>
      <w:r w:rsidRPr="00EC1A78">
        <w:rPr>
          <w:rFonts w:eastAsiaTheme="minorHAnsi"/>
          <w:sz w:val="22"/>
          <w:szCs w:val="22"/>
          <w:lang w:eastAsia="en-US"/>
        </w:rPr>
        <w:t>б</w:t>
      </w:r>
      <w:r w:rsidRPr="00EC1A78">
        <w:rPr>
          <w:rFonts w:eastAsiaTheme="minorHAnsi"/>
          <w:sz w:val="22"/>
          <w:szCs w:val="22"/>
          <w:lang w:eastAsia="en-US"/>
        </w:rPr>
        <w:t>становка, затрудняющая выполнение членами Президиума ЦК о</w:t>
      </w:r>
      <w:r w:rsidRPr="00EC1A78">
        <w:rPr>
          <w:rFonts w:eastAsiaTheme="minorHAnsi"/>
          <w:sz w:val="22"/>
          <w:szCs w:val="22"/>
          <w:lang w:eastAsia="en-US"/>
        </w:rPr>
        <w:t>т</w:t>
      </w:r>
      <w:r w:rsidRPr="00EC1A78">
        <w:rPr>
          <w:rFonts w:eastAsiaTheme="minorHAnsi"/>
          <w:sz w:val="22"/>
          <w:szCs w:val="22"/>
          <w:lang w:eastAsia="en-US"/>
        </w:rPr>
        <w:t xml:space="preserve">ветственных обязанностей по руководству партией и страной[4].   </w:t>
      </w:r>
    </w:p>
    <w:p w:rsidR="00EC1A78" w:rsidRPr="00EC1A78" w:rsidRDefault="00EC1A78" w:rsidP="00AB6A0E">
      <w:pPr>
        <w:ind w:firstLine="425"/>
        <w:jc w:val="both"/>
        <w:rPr>
          <w:rFonts w:eastAsiaTheme="minorHAnsi"/>
          <w:sz w:val="22"/>
          <w:szCs w:val="22"/>
          <w:lang w:eastAsia="en-US"/>
        </w:rPr>
      </w:pPr>
      <w:r w:rsidRPr="00EC1A78">
        <w:rPr>
          <w:rFonts w:eastAsiaTheme="minorHAnsi"/>
          <w:sz w:val="22"/>
          <w:szCs w:val="22"/>
          <w:lang w:eastAsia="en-US"/>
        </w:rPr>
        <w:t>Сегодня в качестве основного носителя суверенитета и еди</w:t>
      </w:r>
      <w:r w:rsidRPr="00EC1A78">
        <w:rPr>
          <w:rFonts w:eastAsiaTheme="minorHAnsi"/>
          <w:sz w:val="22"/>
          <w:szCs w:val="22"/>
          <w:lang w:eastAsia="en-US"/>
        </w:rPr>
        <w:t>н</w:t>
      </w:r>
      <w:r w:rsidRPr="00EC1A78">
        <w:rPr>
          <w:rFonts w:eastAsiaTheme="minorHAnsi"/>
          <w:sz w:val="22"/>
          <w:szCs w:val="22"/>
          <w:lang w:eastAsia="en-US"/>
        </w:rPr>
        <w:t>ственного источника власти в большинстве современных гос</w:t>
      </w:r>
      <w:r w:rsidRPr="00EC1A78">
        <w:rPr>
          <w:rFonts w:eastAsiaTheme="minorHAnsi"/>
          <w:sz w:val="22"/>
          <w:szCs w:val="22"/>
          <w:lang w:eastAsia="en-US"/>
        </w:rPr>
        <w:t>у</w:t>
      </w:r>
      <w:r w:rsidRPr="00EC1A78">
        <w:rPr>
          <w:rFonts w:eastAsiaTheme="minorHAnsi"/>
          <w:sz w:val="22"/>
          <w:szCs w:val="22"/>
          <w:lang w:eastAsia="en-US"/>
        </w:rPr>
        <w:t>дарств выступает народ</w:t>
      </w:r>
      <w:r w:rsidR="00EB59EF">
        <w:rPr>
          <w:rFonts w:eastAsiaTheme="minorHAnsi"/>
          <w:sz w:val="22"/>
          <w:szCs w:val="22"/>
          <w:lang w:eastAsia="en-US"/>
        </w:rPr>
        <w:t xml:space="preserve">. Исходя из этого, например, </w:t>
      </w:r>
      <w:r w:rsidRPr="00EC1A78">
        <w:rPr>
          <w:rFonts w:eastAsiaTheme="minorHAnsi"/>
          <w:sz w:val="22"/>
          <w:szCs w:val="22"/>
          <w:lang w:eastAsia="en-US"/>
        </w:rPr>
        <w:t>в немецком государственном праве сформировалась теория «персональной л</w:t>
      </w:r>
      <w:r w:rsidRPr="00EC1A78">
        <w:rPr>
          <w:rFonts w:eastAsiaTheme="minorHAnsi"/>
          <w:sz w:val="22"/>
          <w:szCs w:val="22"/>
          <w:lang w:eastAsia="en-US"/>
        </w:rPr>
        <w:t>е</w:t>
      </w:r>
      <w:r w:rsidRPr="00EC1A78">
        <w:rPr>
          <w:rFonts w:eastAsiaTheme="minorHAnsi"/>
          <w:sz w:val="22"/>
          <w:szCs w:val="22"/>
          <w:lang w:eastAsia="en-US"/>
        </w:rPr>
        <w:t>гитимации», заключающаяся в том, что власть каждого руковод</w:t>
      </w:r>
      <w:r w:rsidRPr="00EC1A78">
        <w:rPr>
          <w:rFonts w:eastAsiaTheme="minorHAnsi"/>
          <w:sz w:val="22"/>
          <w:szCs w:val="22"/>
          <w:lang w:eastAsia="en-US"/>
        </w:rPr>
        <w:t>я</w:t>
      </w:r>
      <w:r w:rsidRPr="00EC1A78">
        <w:rPr>
          <w:rFonts w:eastAsiaTheme="minorHAnsi"/>
          <w:sz w:val="22"/>
          <w:szCs w:val="22"/>
          <w:lang w:eastAsia="en-US"/>
        </w:rPr>
        <w:t>щего политика осн</w:t>
      </w:r>
      <w:r w:rsidR="00EB59EF">
        <w:rPr>
          <w:rFonts w:eastAsiaTheme="minorHAnsi"/>
          <w:sz w:val="22"/>
          <w:szCs w:val="22"/>
          <w:lang w:eastAsia="en-US"/>
        </w:rPr>
        <w:t>овывается на цепочке назначений</w:t>
      </w:r>
      <w:r w:rsidRPr="00EC1A78">
        <w:rPr>
          <w:rFonts w:eastAsiaTheme="minorHAnsi"/>
          <w:sz w:val="22"/>
          <w:szCs w:val="22"/>
          <w:lang w:eastAsia="en-US"/>
        </w:rPr>
        <w:t xml:space="preserve"> восходящей к воле народа. Исходя из этого, каждое решение снабженного вл</w:t>
      </w:r>
      <w:r w:rsidRPr="00EC1A78">
        <w:rPr>
          <w:rFonts w:eastAsiaTheme="minorHAnsi"/>
          <w:sz w:val="22"/>
          <w:szCs w:val="22"/>
          <w:lang w:eastAsia="en-US"/>
        </w:rPr>
        <w:t>а</w:t>
      </w:r>
      <w:r w:rsidRPr="00EC1A78">
        <w:rPr>
          <w:rFonts w:eastAsiaTheme="minorHAnsi"/>
          <w:sz w:val="22"/>
          <w:szCs w:val="22"/>
          <w:lang w:eastAsia="en-US"/>
        </w:rPr>
        <w:lastRenderedPageBreak/>
        <w:t xml:space="preserve">стью субъекта абсолютно свободно в его общественной оценке и является основанием для соответствующей ответственности [5]. </w:t>
      </w: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Морозова А. Семь отставок за три года: почему губернаторы теряют доверие Владимира Путина// https://66.ru/news/politic/195996/ Дата обращения 5.04.2017.</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Соловьев С. История России с древнейших времен [Эле</w:t>
      </w:r>
      <w:r w:rsidRPr="00EC1A78">
        <w:rPr>
          <w:rFonts w:eastAsiaTheme="minorHAnsi"/>
          <w:sz w:val="22"/>
          <w:szCs w:val="22"/>
          <w:lang w:eastAsia="en-US"/>
        </w:rPr>
        <w:t>к</w:t>
      </w:r>
      <w:r w:rsidRPr="00EC1A78">
        <w:rPr>
          <w:rFonts w:eastAsiaTheme="minorHAnsi"/>
          <w:sz w:val="22"/>
          <w:szCs w:val="22"/>
          <w:lang w:eastAsia="en-US"/>
        </w:rPr>
        <w:t>тронный ресурс] https:// profilib. net/ chtenie/ 14878/ sergey–solovev–istoriya–rossii–s–drevneyshikh–vremen–tom–2–lib–26.php</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3. Епифанова Е.В., Павлисова Т.Е. Государственно–правовые концепции: история и современность: учебное пособие. – М.,  2012.  – С.155.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Выписка из протокола № 164 заседания Президиума ЦК КПСС от 13−14 октября 1964 года//ФКУ «Российский госуда</w:t>
      </w:r>
      <w:r w:rsidRPr="00EC1A78">
        <w:rPr>
          <w:rFonts w:eastAsiaTheme="minorHAnsi"/>
          <w:sz w:val="22"/>
          <w:szCs w:val="22"/>
          <w:lang w:eastAsia="en-US"/>
        </w:rPr>
        <w:t>р</w:t>
      </w:r>
      <w:r w:rsidRPr="00EC1A78">
        <w:rPr>
          <w:rFonts w:eastAsiaTheme="minorHAnsi"/>
          <w:sz w:val="22"/>
          <w:szCs w:val="22"/>
          <w:lang w:eastAsia="en-US"/>
        </w:rPr>
        <w:t>ственный архив новейшей истории» (РГАНИ). Ф.2. Оп.1. Д. 749. Л.3−4.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Конституционное право государств Европы: учеб. пособие для студентов юрид. вузов и фак. / Отв. ред. Д.А. Ковачев. М. – 2005. – С. 292.</w:t>
      </w:r>
    </w:p>
    <w:p w:rsidR="00EC1A78" w:rsidRDefault="00EC1A78" w:rsidP="00EC1A78">
      <w:pPr>
        <w:jc w:val="both"/>
        <w:rPr>
          <w:rFonts w:eastAsiaTheme="minorHAnsi"/>
          <w:sz w:val="22"/>
          <w:szCs w:val="22"/>
          <w:lang w:eastAsia="en-US"/>
        </w:rPr>
      </w:pPr>
    </w:p>
    <w:p w:rsidR="003A6F86" w:rsidRPr="00EC1A78" w:rsidRDefault="003A6F86" w:rsidP="00EB59EF">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УДК343.3</w:t>
      </w:r>
    </w:p>
    <w:p w:rsidR="00EC1A78" w:rsidRPr="00EC1A78" w:rsidRDefault="00EC1A78" w:rsidP="00EC1A78">
      <w:pPr>
        <w:ind w:firstLine="425"/>
        <w:jc w:val="center"/>
        <w:rPr>
          <w:rFonts w:eastAsiaTheme="minorHAnsi"/>
          <w:sz w:val="22"/>
          <w:szCs w:val="22"/>
          <w:lang w:eastAsia="en-US"/>
        </w:rPr>
      </w:pP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 xml:space="preserve">Ослабление государственной власти, как фактор, </w:t>
      </w:r>
      <w:r w:rsidR="003A6F86">
        <w:rPr>
          <w:rFonts w:eastAsiaTheme="minorHAnsi"/>
          <w:b/>
          <w:sz w:val="24"/>
          <w:szCs w:val="24"/>
          <w:lang w:eastAsia="en-US"/>
        </w:rPr>
        <w:br/>
      </w:r>
      <w:r w:rsidRPr="00EC1A78">
        <w:rPr>
          <w:rFonts w:eastAsiaTheme="minorHAnsi"/>
          <w:b/>
          <w:sz w:val="24"/>
          <w:szCs w:val="24"/>
          <w:lang w:eastAsia="en-US"/>
        </w:rPr>
        <w:t>определяющий рост организованной преступности</w:t>
      </w:r>
    </w:p>
    <w:p w:rsidR="00EC1A78" w:rsidRPr="00E62E4B" w:rsidRDefault="00EC1A78" w:rsidP="00EC1A78">
      <w:pPr>
        <w:ind w:firstLine="425"/>
        <w:jc w:val="center"/>
        <w:rPr>
          <w:rFonts w:eastAsiaTheme="minorHAnsi"/>
          <w:sz w:val="24"/>
          <w:szCs w:val="24"/>
          <w:lang w:val="en-US" w:eastAsia="en-US"/>
        </w:rPr>
      </w:pPr>
      <w:r w:rsidRPr="00EC1A78">
        <w:rPr>
          <w:rFonts w:eastAsiaTheme="minorHAnsi"/>
          <w:b/>
          <w:sz w:val="24"/>
          <w:szCs w:val="24"/>
          <w:lang w:val="en-US" w:eastAsia="en-US"/>
        </w:rPr>
        <w:t>Weakening</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state</w:t>
      </w:r>
      <w:r w:rsidRPr="00E62E4B">
        <w:rPr>
          <w:rFonts w:eastAsiaTheme="minorHAnsi"/>
          <w:b/>
          <w:sz w:val="24"/>
          <w:szCs w:val="24"/>
          <w:lang w:val="en-US" w:eastAsia="en-US"/>
        </w:rPr>
        <w:t xml:space="preserve"> </w:t>
      </w:r>
      <w:r w:rsidRPr="00EC1A78">
        <w:rPr>
          <w:rFonts w:eastAsiaTheme="minorHAnsi"/>
          <w:b/>
          <w:sz w:val="24"/>
          <w:szCs w:val="24"/>
          <w:lang w:val="en-US" w:eastAsia="en-US"/>
        </w:rPr>
        <w:t>power</w:t>
      </w:r>
      <w:r w:rsidRPr="00E62E4B">
        <w:rPr>
          <w:rFonts w:eastAsiaTheme="minorHAnsi"/>
          <w:b/>
          <w:sz w:val="24"/>
          <w:szCs w:val="24"/>
          <w:lang w:val="en-US" w:eastAsia="en-US"/>
        </w:rPr>
        <w:t xml:space="preserve">, </w:t>
      </w:r>
      <w:r w:rsidRPr="00EC1A78">
        <w:rPr>
          <w:rFonts w:eastAsiaTheme="minorHAnsi"/>
          <w:b/>
          <w:sz w:val="24"/>
          <w:szCs w:val="24"/>
          <w:lang w:val="en-US" w:eastAsia="en-US"/>
        </w:rPr>
        <w:t>as</w:t>
      </w:r>
      <w:r w:rsidRPr="00E62E4B">
        <w:rPr>
          <w:rFonts w:eastAsiaTheme="minorHAnsi"/>
          <w:b/>
          <w:sz w:val="24"/>
          <w:szCs w:val="24"/>
          <w:lang w:val="en-US" w:eastAsia="en-US"/>
        </w:rPr>
        <w:t xml:space="preserve"> </w:t>
      </w:r>
      <w:r w:rsidRPr="00EC1A78">
        <w:rPr>
          <w:rFonts w:eastAsiaTheme="minorHAnsi"/>
          <w:b/>
          <w:sz w:val="24"/>
          <w:szCs w:val="24"/>
          <w:lang w:val="en-US" w:eastAsia="en-US"/>
        </w:rPr>
        <w:t>a</w:t>
      </w:r>
      <w:r w:rsidRPr="00E62E4B">
        <w:rPr>
          <w:rFonts w:eastAsiaTheme="minorHAnsi"/>
          <w:b/>
          <w:sz w:val="24"/>
          <w:szCs w:val="24"/>
          <w:lang w:val="en-US" w:eastAsia="en-US"/>
        </w:rPr>
        <w:t xml:space="preserve"> </w:t>
      </w:r>
      <w:r w:rsidRPr="00EC1A78">
        <w:rPr>
          <w:rFonts w:eastAsiaTheme="minorHAnsi"/>
          <w:b/>
          <w:sz w:val="24"/>
          <w:szCs w:val="24"/>
          <w:lang w:val="en-US" w:eastAsia="en-US"/>
        </w:rPr>
        <w:t>factor</w:t>
      </w:r>
      <w:r w:rsidRPr="00E62E4B">
        <w:rPr>
          <w:rFonts w:eastAsiaTheme="minorHAnsi"/>
          <w:b/>
          <w:sz w:val="24"/>
          <w:szCs w:val="24"/>
          <w:lang w:val="en-US" w:eastAsia="en-US"/>
        </w:rPr>
        <w:t xml:space="preserve"> </w:t>
      </w:r>
      <w:r w:rsidRPr="00EC1A78">
        <w:rPr>
          <w:rFonts w:eastAsiaTheme="minorHAnsi"/>
          <w:b/>
          <w:sz w:val="24"/>
          <w:szCs w:val="24"/>
          <w:lang w:val="en-US" w:eastAsia="en-US"/>
        </w:rPr>
        <w:t>determining</w:t>
      </w:r>
      <w:r w:rsidRPr="00E62E4B">
        <w:rPr>
          <w:rFonts w:eastAsiaTheme="minorHAnsi"/>
          <w:b/>
          <w:sz w:val="24"/>
          <w:szCs w:val="24"/>
          <w:lang w:val="en-US" w:eastAsia="en-US"/>
        </w:rPr>
        <w:t xml:space="preserve"> </w:t>
      </w:r>
      <w:r w:rsidRPr="00EC1A78">
        <w:rPr>
          <w:rFonts w:eastAsiaTheme="minorHAnsi"/>
          <w:b/>
          <w:sz w:val="24"/>
          <w:szCs w:val="24"/>
          <w:lang w:val="en-US" w:eastAsia="en-US"/>
        </w:rPr>
        <w:t>the</w:t>
      </w:r>
      <w:r w:rsidRPr="00E62E4B">
        <w:rPr>
          <w:rFonts w:eastAsiaTheme="minorHAnsi"/>
          <w:b/>
          <w:sz w:val="24"/>
          <w:szCs w:val="24"/>
          <w:lang w:val="en-US" w:eastAsia="en-US"/>
        </w:rPr>
        <w:t xml:space="preserve"> </w:t>
      </w:r>
      <w:r w:rsidRPr="00EC1A78">
        <w:rPr>
          <w:rFonts w:eastAsiaTheme="minorHAnsi"/>
          <w:b/>
          <w:sz w:val="24"/>
          <w:szCs w:val="24"/>
          <w:lang w:val="en-US" w:eastAsia="en-US"/>
        </w:rPr>
        <w:t>growth</w:t>
      </w:r>
      <w:r w:rsidRPr="00E62E4B">
        <w:rPr>
          <w:rFonts w:eastAsiaTheme="minorHAnsi"/>
          <w:b/>
          <w:sz w:val="24"/>
          <w:szCs w:val="24"/>
          <w:lang w:val="en-US" w:eastAsia="en-US"/>
        </w:rPr>
        <w:t xml:space="preserve"> </w:t>
      </w:r>
      <w:r w:rsidRPr="00EC1A78">
        <w:rPr>
          <w:rFonts w:eastAsiaTheme="minorHAnsi"/>
          <w:b/>
          <w:sz w:val="24"/>
          <w:szCs w:val="24"/>
          <w:lang w:val="en-US" w:eastAsia="en-US"/>
        </w:rPr>
        <w:t>of</w:t>
      </w:r>
      <w:r w:rsidRPr="00E62E4B">
        <w:rPr>
          <w:rFonts w:eastAsiaTheme="minorHAnsi"/>
          <w:b/>
          <w:sz w:val="24"/>
          <w:szCs w:val="24"/>
          <w:lang w:val="en-US" w:eastAsia="en-US"/>
        </w:rPr>
        <w:t xml:space="preserve"> </w:t>
      </w:r>
      <w:r w:rsidRPr="00EC1A78">
        <w:rPr>
          <w:rFonts w:eastAsiaTheme="minorHAnsi"/>
          <w:b/>
          <w:sz w:val="24"/>
          <w:szCs w:val="24"/>
          <w:lang w:val="en-US" w:eastAsia="en-US"/>
        </w:rPr>
        <w:t>organized</w:t>
      </w:r>
      <w:r w:rsidRPr="00E62E4B">
        <w:rPr>
          <w:rFonts w:eastAsiaTheme="minorHAnsi"/>
          <w:b/>
          <w:sz w:val="24"/>
          <w:szCs w:val="24"/>
          <w:lang w:val="en-US" w:eastAsia="en-US"/>
        </w:rPr>
        <w:t xml:space="preserve"> </w:t>
      </w:r>
      <w:r w:rsidRPr="00EC1A78">
        <w:rPr>
          <w:rFonts w:eastAsiaTheme="minorHAnsi"/>
          <w:b/>
          <w:sz w:val="24"/>
          <w:szCs w:val="24"/>
          <w:lang w:val="en-US" w:eastAsia="en-US"/>
        </w:rPr>
        <w:t>crime</w:t>
      </w:r>
    </w:p>
    <w:p w:rsidR="00EC1A78" w:rsidRPr="00E62E4B" w:rsidRDefault="00EC1A78" w:rsidP="00EC1A78">
      <w:pPr>
        <w:ind w:firstLine="425"/>
        <w:jc w:val="right"/>
        <w:rPr>
          <w:rFonts w:eastAsiaTheme="minorHAnsi"/>
          <w:sz w:val="22"/>
          <w:szCs w:val="22"/>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Горбенко Д.</w:t>
      </w:r>
      <w:r w:rsidR="003A6F86">
        <w:rPr>
          <w:rFonts w:eastAsiaTheme="minorHAnsi"/>
          <w:sz w:val="22"/>
          <w:szCs w:val="22"/>
          <w:lang w:eastAsia="en-US"/>
        </w:rPr>
        <w:t xml:space="preserve"> </w:t>
      </w:r>
      <w:r w:rsidRPr="00EC1A78">
        <w:rPr>
          <w:rFonts w:eastAsiaTheme="minorHAnsi"/>
          <w:sz w:val="22"/>
          <w:szCs w:val="22"/>
          <w:lang w:eastAsia="en-US"/>
        </w:rPr>
        <w:t xml:space="preserve">И.,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магистрант 2–го курса юридического факультета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Картавченко В. В.,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доцент кафедры уголовного права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eastAsia="en-US"/>
        </w:rPr>
        <w:t>АННОТАЦИЯ: Рассматриваются аспекты ослабления госуда</w:t>
      </w:r>
      <w:r w:rsidRPr="00EC1A78">
        <w:rPr>
          <w:rFonts w:eastAsiaTheme="minorHAnsi"/>
          <w:sz w:val="22"/>
          <w:szCs w:val="22"/>
          <w:lang w:eastAsia="en-US"/>
        </w:rPr>
        <w:t>р</w:t>
      </w:r>
      <w:r w:rsidRPr="00EC1A78">
        <w:rPr>
          <w:rFonts w:eastAsiaTheme="minorHAnsi"/>
          <w:sz w:val="22"/>
          <w:szCs w:val="22"/>
          <w:lang w:eastAsia="en-US"/>
        </w:rPr>
        <w:t>ственной власти, как одного из факторов, определяющих рост орг</w:t>
      </w:r>
      <w:r w:rsidRPr="00EC1A78">
        <w:rPr>
          <w:rFonts w:eastAsiaTheme="minorHAnsi"/>
          <w:sz w:val="22"/>
          <w:szCs w:val="22"/>
          <w:lang w:eastAsia="en-US"/>
        </w:rPr>
        <w:t>а</w:t>
      </w:r>
      <w:r w:rsidRPr="00EC1A78">
        <w:rPr>
          <w:rFonts w:eastAsiaTheme="minorHAnsi"/>
          <w:sz w:val="22"/>
          <w:szCs w:val="22"/>
          <w:lang w:eastAsia="en-US"/>
        </w:rPr>
        <w:lastRenderedPageBreak/>
        <w:t>низованной преступности. Рассматривается</w:t>
      </w:r>
      <w:r w:rsidRPr="00EC1A78">
        <w:rPr>
          <w:rFonts w:eastAsiaTheme="minorHAnsi"/>
          <w:sz w:val="22"/>
          <w:szCs w:val="22"/>
          <w:lang w:val="en-US" w:eastAsia="en-US"/>
        </w:rPr>
        <w:t xml:space="preserve"> </w:t>
      </w:r>
      <w:r w:rsidRPr="00EC1A78">
        <w:rPr>
          <w:rFonts w:eastAsiaTheme="minorHAnsi"/>
          <w:sz w:val="22"/>
          <w:szCs w:val="22"/>
          <w:lang w:eastAsia="en-US"/>
        </w:rPr>
        <w:t>оценка</w:t>
      </w:r>
      <w:r w:rsidRPr="00EC1A78">
        <w:rPr>
          <w:rFonts w:eastAsiaTheme="minorHAnsi"/>
          <w:sz w:val="22"/>
          <w:szCs w:val="22"/>
          <w:lang w:val="en-US" w:eastAsia="en-US"/>
        </w:rPr>
        <w:t xml:space="preserve"> </w:t>
      </w:r>
      <w:r w:rsidRPr="00EC1A78">
        <w:rPr>
          <w:rFonts w:eastAsiaTheme="minorHAnsi"/>
          <w:sz w:val="22"/>
          <w:szCs w:val="22"/>
          <w:lang w:eastAsia="en-US"/>
        </w:rPr>
        <w:t>условий</w:t>
      </w:r>
      <w:r w:rsidRPr="00EC1A78">
        <w:rPr>
          <w:rFonts w:eastAsiaTheme="minorHAnsi"/>
          <w:sz w:val="22"/>
          <w:szCs w:val="22"/>
          <w:lang w:val="en-US" w:eastAsia="en-US"/>
        </w:rPr>
        <w:t xml:space="preserve"> </w:t>
      </w:r>
      <w:r w:rsidRPr="00EC1A78">
        <w:rPr>
          <w:rFonts w:eastAsiaTheme="minorHAnsi"/>
          <w:sz w:val="22"/>
          <w:szCs w:val="22"/>
          <w:lang w:eastAsia="en-US"/>
        </w:rPr>
        <w:t>возни</w:t>
      </w:r>
      <w:r w:rsidRPr="00EC1A78">
        <w:rPr>
          <w:rFonts w:eastAsiaTheme="minorHAnsi"/>
          <w:sz w:val="22"/>
          <w:szCs w:val="22"/>
          <w:lang w:eastAsia="en-US"/>
        </w:rPr>
        <w:t>к</w:t>
      </w:r>
      <w:r w:rsidRPr="00EC1A78">
        <w:rPr>
          <w:rFonts w:eastAsiaTheme="minorHAnsi"/>
          <w:sz w:val="22"/>
          <w:szCs w:val="22"/>
          <w:lang w:eastAsia="en-US"/>
        </w:rPr>
        <w:t>новения</w:t>
      </w:r>
      <w:r w:rsidRPr="00EC1A78">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val="en-US" w:eastAsia="en-US"/>
        </w:rPr>
        <w:t xml:space="preserve"> </w:t>
      </w:r>
      <w:r w:rsidRPr="00EC1A78">
        <w:rPr>
          <w:rFonts w:eastAsiaTheme="minorHAnsi"/>
          <w:sz w:val="22"/>
          <w:szCs w:val="22"/>
          <w:lang w:eastAsia="en-US"/>
        </w:rPr>
        <w:t>функционирования</w:t>
      </w:r>
      <w:r w:rsidRPr="00EC1A78">
        <w:rPr>
          <w:rFonts w:eastAsiaTheme="minorHAnsi"/>
          <w:sz w:val="22"/>
          <w:szCs w:val="22"/>
          <w:lang w:val="en-US" w:eastAsia="en-US"/>
        </w:rPr>
        <w:t xml:space="preserve"> </w:t>
      </w:r>
      <w:r w:rsidRPr="00EC1A78">
        <w:rPr>
          <w:rFonts w:eastAsiaTheme="minorHAnsi"/>
          <w:sz w:val="22"/>
          <w:szCs w:val="22"/>
          <w:lang w:eastAsia="en-US"/>
        </w:rPr>
        <w:t>организованных</w:t>
      </w:r>
      <w:r w:rsidRPr="00EC1A78">
        <w:rPr>
          <w:rFonts w:eastAsiaTheme="minorHAnsi"/>
          <w:sz w:val="22"/>
          <w:szCs w:val="22"/>
          <w:lang w:val="en-US" w:eastAsia="en-US"/>
        </w:rPr>
        <w:t xml:space="preserve"> </w:t>
      </w:r>
      <w:r w:rsidRPr="00EC1A78">
        <w:rPr>
          <w:rFonts w:eastAsiaTheme="minorHAnsi"/>
          <w:sz w:val="22"/>
          <w:szCs w:val="22"/>
          <w:lang w:eastAsia="en-US"/>
        </w:rPr>
        <w:t>преступных</w:t>
      </w:r>
      <w:r w:rsidRPr="00EC1A78">
        <w:rPr>
          <w:rFonts w:eastAsiaTheme="minorHAnsi"/>
          <w:sz w:val="22"/>
          <w:szCs w:val="22"/>
          <w:lang w:val="en-US" w:eastAsia="en-US"/>
        </w:rPr>
        <w:t xml:space="preserve"> </w:t>
      </w:r>
      <w:r w:rsidRPr="00EC1A78">
        <w:rPr>
          <w:rFonts w:eastAsiaTheme="minorHAnsi"/>
          <w:sz w:val="22"/>
          <w:szCs w:val="22"/>
          <w:lang w:eastAsia="en-US"/>
        </w:rPr>
        <w:t>стру</w:t>
      </w:r>
      <w:r w:rsidRPr="00EC1A78">
        <w:rPr>
          <w:rFonts w:eastAsiaTheme="minorHAnsi"/>
          <w:sz w:val="22"/>
          <w:szCs w:val="22"/>
          <w:lang w:eastAsia="en-US"/>
        </w:rPr>
        <w:t>к</w:t>
      </w:r>
      <w:r w:rsidRPr="00EC1A78">
        <w:rPr>
          <w:rFonts w:eastAsiaTheme="minorHAnsi"/>
          <w:sz w:val="22"/>
          <w:szCs w:val="22"/>
          <w:lang w:eastAsia="en-US"/>
        </w:rPr>
        <w:t>тур</w:t>
      </w:r>
      <w:r w:rsidRPr="00EC1A78">
        <w:rPr>
          <w:rFonts w:eastAsiaTheme="minorHAnsi"/>
          <w:sz w:val="22"/>
          <w:szCs w:val="22"/>
          <w:lang w:val="en-US" w:eastAsia="en-US"/>
        </w:rPr>
        <w:t xml:space="preserve">.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aspects of the weakening of state power are co</w:t>
      </w:r>
      <w:r w:rsidRPr="00EC1A78">
        <w:rPr>
          <w:rFonts w:eastAsiaTheme="minorHAnsi"/>
          <w:sz w:val="22"/>
          <w:szCs w:val="22"/>
          <w:lang w:val="en-US" w:eastAsia="en-US"/>
        </w:rPr>
        <w:t>n</w:t>
      </w:r>
      <w:r w:rsidRPr="00EC1A78">
        <w:rPr>
          <w:rFonts w:eastAsiaTheme="minorHAnsi"/>
          <w:sz w:val="22"/>
          <w:szCs w:val="22"/>
          <w:lang w:val="en-US" w:eastAsia="en-US"/>
        </w:rPr>
        <w:t xml:space="preserve">sidered as one of the factors determining the growth of organized crime. An assessment of the conditions for the emergence and functioning of organized criminal structures.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организованная преступность, условия возникновения и функционирования организованной преступности, преступное сообщество.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 WORDS: organized crime, the conditions for the emergence and functioning of organized crime, the criminal community.</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Анализируя развитие социально–политической и экономич</w:t>
      </w:r>
      <w:r w:rsidRPr="00EC1A78">
        <w:rPr>
          <w:rFonts w:eastAsiaTheme="minorHAnsi"/>
          <w:sz w:val="22"/>
          <w:szCs w:val="22"/>
          <w:lang w:eastAsia="en-US"/>
        </w:rPr>
        <w:t>е</w:t>
      </w:r>
      <w:r w:rsidRPr="00EC1A78">
        <w:rPr>
          <w:rFonts w:eastAsiaTheme="minorHAnsi"/>
          <w:sz w:val="22"/>
          <w:szCs w:val="22"/>
          <w:lang w:eastAsia="en-US"/>
        </w:rPr>
        <w:t>ской ситуации в стране, мы выделили ряд факторов, благоприятно влияющих на рост организованной преступности. К наиболее сер</w:t>
      </w:r>
      <w:r w:rsidRPr="00EC1A78">
        <w:rPr>
          <w:rFonts w:eastAsiaTheme="minorHAnsi"/>
          <w:sz w:val="22"/>
          <w:szCs w:val="22"/>
          <w:lang w:eastAsia="en-US"/>
        </w:rPr>
        <w:t>ь</w:t>
      </w:r>
      <w:r w:rsidRPr="00EC1A78">
        <w:rPr>
          <w:rFonts w:eastAsiaTheme="minorHAnsi"/>
          <w:sz w:val="22"/>
          <w:szCs w:val="22"/>
          <w:lang w:eastAsia="en-US"/>
        </w:rPr>
        <w:t>ёзному фактору, по нашему мнению, относится именно ослабление государственной власти.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Как считает Е.А. Мохов, ослабление организующего возде</w:t>
      </w:r>
      <w:r w:rsidRPr="00EC1A78">
        <w:rPr>
          <w:rFonts w:eastAsiaTheme="minorHAnsi"/>
          <w:sz w:val="22"/>
          <w:szCs w:val="22"/>
          <w:lang w:eastAsia="en-US"/>
        </w:rPr>
        <w:t>й</w:t>
      </w:r>
      <w:r w:rsidRPr="00EC1A78">
        <w:rPr>
          <w:rFonts w:eastAsiaTheme="minorHAnsi"/>
          <w:sz w:val="22"/>
          <w:szCs w:val="22"/>
          <w:lang w:eastAsia="en-US"/>
        </w:rPr>
        <w:t>ствия государства на общество усугубляется усилением влияния чиновничьего аппарата (зараженного коррупцией) при резком сн</w:t>
      </w:r>
      <w:r w:rsidRPr="00EC1A78">
        <w:rPr>
          <w:rFonts w:eastAsiaTheme="minorHAnsi"/>
          <w:sz w:val="22"/>
          <w:szCs w:val="22"/>
          <w:lang w:eastAsia="en-US"/>
        </w:rPr>
        <w:t>и</w:t>
      </w:r>
      <w:r w:rsidRPr="00EC1A78">
        <w:rPr>
          <w:rFonts w:eastAsiaTheme="minorHAnsi"/>
          <w:sz w:val="22"/>
          <w:szCs w:val="22"/>
          <w:lang w:eastAsia="en-US"/>
        </w:rPr>
        <w:t>жении доверия населения к государственным органам, призванным обеспечивать безопасность общества и самого государства [1].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Общее ослабление государственной власти, влияющее на рост организованной преступности, можно раскрыть через следующие аспекты: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Принятие законов и иных нормативно–правовых актов без полного и планомерного изучения криминологических и статист</w:t>
      </w:r>
      <w:r w:rsidRPr="00EC1A78">
        <w:rPr>
          <w:rFonts w:eastAsiaTheme="minorHAnsi"/>
          <w:sz w:val="22"/>
          <w:szCs w:val="22"/>
          <w:lang w:eastAsia="en-US"/>
        </w:rPr>
        <w:t>и</w:t>
      </w:r>
      <w:r w:rsidRPr="00EC1A78">
        <w:rPr>
          <w:rFonts w:eastAsiaTheme="minorHAnsi"/>
          <w:sz w:val="22"/>
          <w:szCs w:val="22"/>
          <w:lang w:eastAsia="en-US"/>
        </w:rPr>
        <w:t>ческих данных о причинах появления организованной преступн</w:t>
      </w:r>
      <w:r w:rsidRPr="00EC1A78">
        <w:rPr>
          <w:rFonts w:eastAsiaTheme="minorHAnsi"/>
          <w:sz w:val="22"/>
          <w:szCs w:val="22"/>
          <w:lang w:eastAsia="en-US"/>
        </w:rPr>
        <w:t>о</w:t>
      </w:r>
      <w:r w:rsidRPr="00EC1A78">
        <w:rPr>
          <w:rFonts w:eastAsiaTheme="minorHAnsi"/>
          <w:sz w:val="22"/>
          <w:szCs w:val="22"/>
          <w:lang w:eastAsia="en-US"/>
        </w:rPr>
        <w:t xml:space="preserve">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Существенной базой для воспроизводства и укрепления о</w:t>
      </w:r>
      <w:r w:rsidRPr="00EC1A78">
        <w:rPr>
          <w:rFonts w:eastAsiaTheme="minorHAnsi"/>
          <w:sz w:val="22"/>
          <w:szCs w:val="22"/>
          <w:lang w:eastAsia="en-US"/>
        </w:rPr>
        <w:t>р</w:t>
      </w:r>
      <w:r w:rsidRPr="00EC1A78">
        <w:rPr>
          <w:rFonts w:eastAsiaTheme="minorHAnsi"/>
          <w:sz w:val="22"/>
          <w:szCs w:val="22"/>
          <w:lang w:eastAsia="en-US"/>
        </w:rPr>
        <w:t>ганизованной преступности служит разрастание коррупции на всех уровнях как государственной, так и муниципальной власти;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Отсутствие на практике реально действующего механизма декларирования доходов;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4. Участие самых разных уровней государственных служащих в масштабных коррупционных схемах, а от того и отсутствие реал</w:t>
      </w:r>
      <w:r w:rsidRPr="00EC1A78">
        <w:rPr>
          <w:rFonts w:eastAsiaTheme="minorHAnsi"/>
          <w:sz w:val="22"/>
          <w:szCs w:val="22"/>
          <w:lang w:eastAsia="en-US"/>
        </w:rPr>
        <w:t>ь</w:t>
      </w:r>
      <w:r w:rsidRPr="00EC1A78">
        <w:rPr>
          <w:rFonts w:eastAsiaTheme="minorHAnsi"/>
          <w:sz w:val="22"/>
          <w:szCs w:val="22"/>
          <w:lang w:eastAsia="en-US"/>
        </w:rPr>
        <w:lastRenderedPageBreak/>
        <w:t>ной заинтересованности в проведении политики, направленной на борьбу с организованной преступностью;</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5. Неэффективность, а в некоторых случаях и полное отсу</w:t>
      </w:r>
      <w:r w:rsidRPr="00EC1A78">
        <w:rPr>
          <w:rFonts w:eastAsiaTheme="minorHAnsi"/>
          <w:sz w:val="22"/>
          <w:szCs w:val="22"/>
          <w:lang w:eastAsia="en-US"/>
        </w:rPr>
        <w:t>т</w:t>
      </w:r>
      <w:r w:rsidRPr="00EC1A78">
        <w:rPr>
          <w:rFonts w:eastAsiaTheme="minorHAnsi"/>
          <w:sz w:val="22"/>
          <w:szCs w:val="22"/>
          <w:lang w:eastAsia="en-US"/>
        </w:rPr>
        <w:t>ствие механизма контроля за выделяемыми льготными госуда</w:t>
      </w:r>
      <w:r w:rsidRPr="00EC1A78">
        <w:rPr>
          <w:rFonts w:eastAsiaTheme="minorHAnsi"/>
          <w:sz w:val="22"/>
          <w:szCs w:val="22"/>
          <w:lang w:eastAsia="en-US"/>
        </w:rPr>
        <w:t>р</w:t>
      </w:r>
      <w:r w:rsidRPr="00EC1A78">
        <w:rPr>
          <w:rFonts w:eastAsiaTheme="minorHAnsi"/>
          <w:sz w:val="22"/>
          <w:szCs w:val="22"/>
          <w:lang w:eastAsia="en-US"/>
        </w:rPr>
        <w:t>ственными кредитами, дотациями, а также контроля за их целевым использованием. Несовершенство финансового и уголовного зак</w:t>
      </w:r>
      <w:r w:rsidRPr="00EC1A78">
        <w:rPr>
          <w:rFonts w:eastAsiaTheme="minorHAnsi"/>
          <w:sz w:val="22"/>
          <w:szCs w:val="22"/>
          <w:lang w:eastAsia="en-US"/>
        </w:rPr>
        <w:t>о</w:t>
      </w:r>
      <w:r w:rsidRPr="00EC1A78">
        <w:rPr>
          <w:rFonts w:eastAsiaTheme="minorHAnsi"/>
          <w:sz w:val="22"/>
          <w:szCs w:val="22"/>
          <w:lang w:eastAsia="en-US"/>
        </w:rPr>
        <w:t>нодательства в данной сфере;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6. Чрезмерно высокое налогообложение предпринимателей толкает их на сокрытие реальных доходов, а также на сокрытие численности работников и их реальной заработной платы;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7. Путаница, вызванная постоянными реорганизациями органов правопорядка и безопасности, упразднением одних и появлением других.</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8. Непроработанная и недальновидная миграционная политика государства, приводящая к появлению этнических преступных с</w:t>
      </w:r>
      <w:r w:rsidRPr="00EC1A78">
        <w:rPr>
          <w:rFonts w:eastAsiaTheme="minorHAnsi"/>
          <w:sz w:val="22"/>
          <w:szCs w:val="22"/>
          <w:lang w:eastAsia="en-US"/>
        </w:rPr>
        <w:t>о</w:t>
      </w:r>
      <w:r w:rsidRPr="00EC1A78">
        <w:rPr>
          <w:rFonts w:eastAsiaTheme="minorHAnsi"/>
          <w:sz w:val="22"/>
          <w:szCs w:val="22"/>
          <w:lang w:eastAsia="en-US"/>
        </w:rPr>
        <w:t>обществ, выходящих за рамки одного государства;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9. Также, Ю.Н. Адашкевич выделял как аспект ослабления го</w:t>
      </w:r>
      <w:r w:rsidRPr="00EC1A78">
        <w:rPr>
          <w:rFonts w:eastAsiaTheme="minorHAnsi"/>
          <w:sz w:val="22"/>
          <w:szCs w:val="22"/>
          <w:lang w:eastAsia="en-US"/>
        </w:rPr>
        <w:t>с</w:t>
      </w:r>
      <w:r w:rsidRPr="00EC1A78">
        <w:rPr>
          <w:rFonts w:eastAsiaTheme="minorHAnsi"/>
          <w:sz w:val="22"/>
          <w:szCs w:val="22"/>
          <w:lang w:eastAsia="en-US"/>
        </w:rPr>
        <w:t>ударственной власти несформированность института российского гражданства в 90–е годы прошлого столетия, что, по его мнению, ослабляло борьбу с организованной преступностью и способствов</w:t>
      </w:r>
      <w:r w:rsidRPr="00EC1A78">
        <w:rPr>
          <w:rFonts w:eastAsiaTheme="minorHAnsi"/>
          <w:sz w:val="22"/>
          <w:szCs w:val="22"/>
          <w:lang w:eastAsia="en-US"/>
        </w:rPr>
        <w:t>а</w:t>
      </w:r>
      <w:r w:rsidRPr="00EC1A78">
        <w:rPr>
          <w:rFonts w:eastAsiaTheme="minorHAnsi"/>
          <w:sz w:val="22"/>
          <w:szCs w:val="22"/>
          <w:lang w:eastAsia="en-US"/>
        </w:rPr>
        <w:t>ло ее дальнейшему распространению, результаты которой мы ощ</w:t>
      </w:r>
      <w:r w:rsidRPr="00EC1A78">
        <w:rPr>
          <w:rFonts w:eastAsiaTheme="minorHAnsi"/>
          <w:sz w:val="22"/>
          <w:szCs w:val="22"/>
          <w:lang w:eastAsia="en-US"/>
        </w:rPr>
        <w:t>у</w:t>
      </w:r>
      <w:r w:rsidRPr="00EC1A78">
        <w:rPr>
          <w:rFonts w:eastAsiaTheme="minorHAnsi"/>
          <w:sz w:val="22"/>
          <w:szCs w:val="22"/>
          <w:lang w:eastAsia="en-US"/>
        </w:rPr>
        <w:t>щаем до сих пор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Движущей силой деятельности преступных сообществ является стремление к получению неконтролируемой государством прибыли в сравнительно короткие сроки. Наличие потенциальных источн</w:t>
      </w:r>
      <w:r w:rsidRPr="00EC1A78">
        <w:rPr>
          <w:rFonts w:eastAsiaTheme="minorHAnsi"/>
          <w:sz w:val="22"/>
          <w:szCs w:val="22"/>
          <w:lang w:eastAsia="en-US"/>
        </w:rPr>
        <w:t>и</w:t>
      </w:r>
      <w:r w:rsidRPr="00EC1A78">
        <w:rPr>
          <w:rFonts w:eastAsiaTheme="minorHAnsi"/>
          <w:sz w:val="22"/>
          <w:szCs w:val="22"/>
          <w:lang w:eastAsia="en-US"/>
        </w:rPr>
        <w:t>ков сверхдоходов, отсутствие реального противодействия (а в нек</w:t>
      </w:r>
      <w:r w:rsidRPr="00EC1A78">
        <w:rPr>
          <w:rFonts w:eastAsiaTheme="minorHAnsi"/>
          <w:sz w:val="22"/>
          <w:szCs w:val="22"/>
          <w:lang w:eastAsia="en-US"/>
        </w:rPr>
        <w:t>о</w:t>
      </w:r>
      <w:r w:rsidRPr="00EC1A78">
        <w:rPr>
          <w:rFonts w:eastAsiaTheme="minorHAnsi"/>
          <w:sz w:val="22"/>
          <w:szCs w:val="22"/>
          <w:lang w:eastAsia="en-US"/>
        </w:rPr>
        <w:t xml:space="preserve">торых случаях и способствование) и стали одним из </w:t>
      </w:r>
      <w:bookmarkStart w:id="14" w:name="_Hlk507058483"/>
      <w:r w:rsidRPr="00EC1A78">
        <w:rPr>
          <w:rFonts w:eastAsiaTheme="minorHAnsi"/>
          <w:sz w:val="22"/>
          <w:szCs w:val="22"/>
          <w:lang w:eastAsia="en-US"/>
        </w:rPr>
        <w:t>условий во</w:t>
      </w:r>
      <w:r w:rsidRPr="00EC1A78">
        <w:rPr>
          <w:rFonts w:eastAsiaTheme="minorHAnsi"/>
          <w:sz w:val="22"/>
          <w:szCs w:val="22"/>
          <w:lang w:eastAsia="en-US"/>
        </w:rPr>
        <w:t>з</w:t>
      </w:r>
      <w:r w:rsidRPr="00EC1A78">
        <w:rPr>
          <w:rFonts w:eastAsiaTheme="minorHAnsi"/>
          <w:sz w:val="22"/>
          <w:szCs w:val="22"/>
          <w:lang w:eastAsia="en-US"/>
        </w:rPr>
        <w:t>никновения и функционирования организованных преступных структур</w:t>
      </w:r>
      <w:bookmarkEnd w:id="14"/>
      <w:r w:rsidRPr="00EC1A78">
        <w:rPr>
          <w:rFonts w:eastAsiaTheme="minorHAnsi"/>
          <w:sz w:val="22"/>
          <w:szCs w:val="22"/>
          <w:lang w:eastAsia="en-US"/>
        </w:rPr>
        <w: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Недостаточно эффективный социальный контроль за организ</w:t>
      </w:r>
      <w:r w:rsidRPr="00EC1A78">
        <w:rPr>
          <w:rFonts w:eastAsiaTheme="minorHAnsi"/>
          <w:sz w:val="22"/>
          <w:szCs w:val="22"/>
          <w:lang w:eastAsia="en-US"/>
        </w:rPr>
        <w:t>о</w:t>
      </w:r>
      <w:r w:rsidRPr="00EC1A78">
        <w:rPr>
          <w:rFonts w:eastAsiaTheme="minorHAnsi"/>
          <w:sz w:val="22"/>
          <w:szCs w:val="22"/>
          <w:lang w:eastAsia="en-US"/>
        </w:rPr>
        <w:t>ванной преступностью вследствие отмеченных выше нерешенных проблем позволяет ей полностью реализовывать свои интересы, в</w:t>
      </w:r>
      <w:r w:rsidRPr="00EC1A78">
        <w:rPr>
          <w:rFonts w:eastAsiaTheme="minorHAnsi"/>
          <w:sz w:val="22"/>
          <w:szCs w:val="22"/>
          <w:lang w:eastAsia="en-US"/>
        </w:rPr>
        <w:t>ы</w:t>
      </w:r>
      <w:r w:rsidRPr="00EC1A78">
        <w:rPr>
          <w:rFonts w:eastAsiaTheme="minorHAnsi"/>
          <w:sz w:val="22"/>
          <w:szCs w:val="22"/>
          <w:lang w:eastAsia="en-US"/>
        </w:rPr>
        <w:t>текающие из ее криминальной и экономической природы.</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Мохов Е.А. Организованная преступность и национальная безопасность России. М., 2002. С.7.</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2. Адашкевич Ю.Н. Движущая сила организованной престу</w:t>
      </w:r>
      <w:r w:rsidRPr="00EC1A78">
        <w:rPr>
          <w:rFonts w:eastAsiaTheme="minorHAnsi"/>
          <w:sz w:val="22"/>
          <w:szCs w:val="22"/>
          <w:lang w:eastAsia="en-US"/>
        </w:rPr>
        <w:t>п</w:t>
      </w:r>
      <w:r w:rsidRPr="00EC1A78">
        <w:rPr>
          <w:rFonts w:eastAsiaTheme="minorHAnsi"/>
          <w:sz w:val="22"/>
          <w:szCs w:val="22"/>
          <w:lang w:eastAsia="en-US"/>
        </w:rPr>
        <w:t>ности // Организованная преступность – 3 / Под ред. А.И. Долговой, С.В. Дьякова. М., 1996. С. 93–98.</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3. Уголовный кодекс Российской федерации. </w:t>
      </w:r>
      <w:hyperlink r:id="rId368" w:history="1">
        <w:r w:rsidRPr="00EC1A78">
          <w:rPr>
            <w:rFonts w:eastAsiaTheme="minorHAnsi"/>
            <w:sz w:val="22"/>
            <w:szCs w:val="22"/>
            <w:lang w:eastAsia="en-US"/>
          </w:rPr>
          <w:t>http://www.consultant.ru/</w:t>
        </w:r>
      </w:hyperlink>
      <w:r w:rsidRPr="00EC1A78">
        <w:rPr>
          <w:rFonts w:eastAsiaTheme="minorHAnsi"/>
          <w:sz w:val="22"/>
          <w:szCs w:val="22"/>
          <w:lang w:eastAsia="en-US"/>
        </w:rPr>
        <w:t>document/cons_doc_LAW_10699/.</w:t>
      </w:r>
    </w:p>
    <w:p w:rsidR="00EC1A78" w:rsidRDefault="00EC1A78"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rPr>
          <w:sz w:val="22"/>
          <w:szCs w:val="22"/>
          <w:lang w:eastAsia="en-US"/>
        </w:rPr>
      </w:pPr>
      <w:r w:rsidRPr="00EC1A78">
        <w:rPr>
          <w:sz w:val="22"/>
          <w:szCs w:val="22"/>
          <w:lang w:eastAsia="en-US"/>
        </w:rPr>
        <w:t>УДК 343.2</w:t>
      </w:r>
    </w:p>
    <w:p w:rsidR="00EC1A78" w:rsidRPr="00EC1A78" w:rsidRDefault="00EC1A78" w:rsidP="00EC1A78">
      <w:pPr>
        <w:rPr>
          <w:sz w:val="22"/>
          <w:szCs w:val="22"/>
          <w:lang w:eastAsia="en-US"/>
        </w:rPr>
      </w:pPr>
    </w:p>
    <w:p w:rsidR="00EC1A78" w:rsidRPr="00EC1A78" w:rsidRDefault="00EC1A78" w:rsidP="00EC1A78">
      <w:pPr>
        <w:jc w:val="center"/>
        <w:rPr>
          <w:b/>
          <w:sz w:val="24"/>
          <w:szCs w:val="24"/>
          <w:lang w:eastAsia="en-US"/>
        </w:rPr>
      </w:pPr>
      <w:r w:rsidRPr="00EC1A78">
        <w:rPr>
          <w:b/>
          <w:sz w:val="24"/>
          <w:szCs w:val="24"/>
          <w:lang w:eastAsia="en-US"/>
        </w:rPr>
        <w:t xml:space="preserve">Животные как особые вид орудия и средства </w:t>
      </w:r>
      <w:r w:rsidR="00560F00">
        <w:rPr>
          <w:b/>
          <w:sz w:val="24"/>
          <w:szCs w:val="24"/>
          <w:lang w:eastAsia="en-US"/>
        </w:rPr>
        <w:br/>
      </w:r>
      <w:r w:rsidRPr="00EC1A78">
        <w:rPr>
          <w:b/>
          <w:sz w:val="24"/>
          <w:szCs w:val="24"/>
          <w:lang w:eastAsia="en-US"/>
        </w:rPr>
        <w:t>преступления</w:t>
      </w:r>
    </w:p>
    <w:p w:rsidR="00EC1A78" w:rsidRPr="00EC1A78" w:rsidRDefault="00EC1A78" w:rsidP="00EC1A78">
      <w:pPr>
        <w:jc w:val="center"/>
        <w:rPr>
          <w:b/>
          <w:sz w:val="24"/>
          <w:szCs w:val="24"/>
          <w:lang w:val="en-US" w:eastAsia="en-US"/>
        </w:rPr>
      </w:pPr>
      <w:r w:rsidRPr="00EC1A78">
        <w:rPr>
          <w:b/>
          <w:sz w:val="24"/>
          <w:szCs w:val="24"/>
          <w:lang w:val="en-US" w:eastAsia="en-US"/>
        </w:rPr>
        <w:t>Animals as a special kind of tools and means of crime</w:t>
      </w:r>
    </w:p>
    <w:p w:rsidR="00EC1A78" w:rsidRPr="00EC1A78" w:rsidRDefault="00EC1A78" w:rsidP="00EC1A78">
      <w:pPr>
        <w:jc w:val="center"/>
        <w:rPr>
          <w:b/>
          <w:sz w:val="24"/>
          <w:szCs w:val="24"/>
          <w:lang w:val="en-US" w:eastAsia="en-US"/>
        </w:rPr>
      </w:pPr>
    </w:p>
    <w:p w:rsidR="00EC1A78" w:rsidRPr="00EC1A78" w:rsidRDefault="00EC1A78" w:rsidP="00EC1A78">
      <w:pPr>
        <w:jc w:val="right"/>
        <w:rPr>
          <w:sz w:val="22"/>
          <w:szCs w:val="22"/>
          <w:lang w:eastAsia="en-US"/>
        </w:rPr>
      </w:pPr>
      <w:r w:rsidRPr="00EC1A78">
        <w:rPr>
          <w:sz w:val="22"/>
          <w:szCs w:val="22"/>
          <w:lang w:eastAsia="en-US"/>
        </w:rPr>
        <w:t>Градинар Э.</w:t>
      </w:r>
      <w:r w:rsidR="003A6F86">
        <w:rPr>
          <w:sz w:val="22"/>
          <w:szCs w:val="22"/>
          <w:lang w:eastAsia="en-US"/>
        </w:rPr>
        <w:t xml:space="preserve"> </w:t>
      </w:r>
      <w:r w:rsidRPr="00EC1A78">
        <w:rPr>
          <w:sz w:val="22"/>
          <w:szCs w:val="22"/>
          <w:lang w:eastAsia="en-US"/>
        </w:rPr>
        <w:t>В.,</w:t>
      </w:r>
    </w:p>
    <w:p w:rsidR="00EC1A78" w:rsidRPr="00EC1A78" w:rsidRDefault="00EC1A78" w:rsidP="00EC1A78">
      <w:pPr>
        <w:jc w:val="right"/>
        <w:rPr>
          <w:sz w:val="22"/>
          <w:szCs w:val="22"/>
          <w:lang w:eastAsia="en-US"/>
        </w:rPr>
      </w:pPr>
      <w:r w:rsidRPr="00EC1A78">
        <w:rPr>
          <w:sz w:val="22"/>
          <w:szCs w:val="22"/>
          <w:lang w:eastAsia="en-US"/>
        </w:rPr>
        <w:t>студент 2–го курса юридического факультета</w:t>
      </w:r>
    </w:p>
    <w:p w:rsidR="00EC1A78" w:rsidRPr="00EC1A78" w:rsidRDefault="00EC1A78" w:rsidP="00EC1A78">
      <w:pPr>
        <w:jc w:val="right"/>
        <w:rPr>
          <w:sz w:val="22"/>
          <w:szCs w:val="22"/>
          <w:lang w:eastAsia="en-US"/>
        </w:rPr>
      </w:pPr>
      <w:r w:rsidRPr="00EC1A78">
        <w:rPr>
          <w:sz w:val="22"/>
          <w:szCs w:val="22"/>
          <w:lang w:eastAsia="en-US"/>
        </w:rPr>
        <w:t>Картавченко В.</w:t>
      </w:r>
      <w:r w:rsidR="003A6F86">
        <w:rPr>
          <w:sz w:val="22"/>
          <w:szCs w:val="22"/>
          <w:lang w:eastAsia="en-US"/>
        </w:rPr>
        <w:t xml:space="preserve"> </w:t>
      </w:r>
      <w:r w:rsidRPr="00EC1A78">
        <w:rPr>
          <w:sz w:val="22"/>
          <w:szCs w:val="22"/>
          <w:lang w:eastAsia="en-US"/>
        </w:rPr>
        <w:t>В.,</w:t>
      </w:r>
    </w:p>
    <w:p w:rsidR="00EC1A78" w:rsidRPr="00EC1A78" w:rsidRDefault="00EC1A78" w:rsidP="00EC1A78">
      <w:pPr>
        <w:jc w:val="right"/>
        <w:rPr>
          <w:sz w:val="22"/>
          <w:szCs w:val="22"/>
          <w:lang w:eastAsia="en-US"/>
        </w:rPr>
      </w:pPr>
      <w:r w:rsidRPr="00EC1A78">
        <w:rPr>
          <w:sz w:val="22"/>
          <w:szCs w:val="22"/>
          <w:lang w:eastAsia="en-US"/>
        </w:rPr>
        <w:t>доцент кафедры уголовного права</w:t>
      </w:r>
    </w:p>
    <w:p w:rsidR="00EC1A78" w:rsidRPr="00EC1A78" w:rsidRDefault="00EC1A78" w:rsidP="00EC1A78">
      <w:pPr>
        <w:jc w:val="right"/>
        <w:rPr>
          <w:sz w:val="22"/>
          <w:szCs w:val="22"/>
          <w:lang w:eastAsia="en-US"/>
        </w:rPr>
      </w:pPr>
      <w:r w:rsidRPr="00EC1A78">
        <w:rPr>
          <w:sz w:val="22"/>
          <w:szCs w:val="22"/>
          <w:lang w:eastAsia="en-US"/>
        </w:rPr>
        <w:t xml:space="preserve">Кубанский государственный аграрный </w:t>
      </w:r>
    </w:p>
    <w:p w:rsidR="00EC1A78" w:rsidRPr="00EC1A78" w:rsidRDefault="00EC1A78" w:rsidP="00EC1A78">
      <w:pPr>
        <w:jc w:val="right"/>
        <w:rPr>
          <w:sz w:val="22"/>
          <w:szCs w:val="22"/>
          <w:lang w:eastAsia="en-US"/>
        </w:rPr>
      </w:pPr>
      <w:r w:rsidRPr="00EC1A78">
        <w:rPr>
          <w:sz w:val="22"/>
          <w:szCs w:val="22"/>
          <w:lang w:eastAsia="en-US"/>
        </w:rPr>
        <w:t>университет имени И.</w:t>
      </w:r>
      <w:r w:rsidR="003A6F86">
        <w:rPr>
          <w:sz w:val="22"/>
          <w:szCs w:val="22"/>
          <w:lang w:eastAsia="en-US"/>
        </w:rPr>
        <w:t xml:space="preserve"> </w:t>
      </w:r>
      <w:r w:rsidRPr="00EC1A78">
        <w:rPr>
          <w:sz w:val="22"/>
          <w:szCs w:val="22"/>
          <w:lang w:eastAsia="en-US"/>
        </w:rPr>
        <w:t>Т. Трубилина</w:t>
      </w:r>
    </w:p>
    <w:p w:rsidR="00EC1A78" w:rsidRPr="00EC1A78" w:rsidRDefault="00EC1A78" w:rsidP="00EC1A78">
      <w:pPr>
        <w:jc w:val="right"/>
        <w:rPr>
          <w:sz w:val="22"/>
          <w:szCs w:val="22"/>
          <w:lang w:eastAsia="en-US"/>
        </w:rPr>
      </w:pPr>
    </w:p>
    <w:p w:rsidR="00EC1A78" w:rsidRPr="00EC1A78" w:rsidRDefault="00EC1A78" w:rsidP="00EC1A78">
      <w:pPr>
        <w:ind w:firstLine="426"/>
        <w:jc w:val="both"/>
        <w:rPr>
          <w:sz w:val="22"/>
          <w:szCs w:val="22"/>
          <w:highlight w:val="white"/>
          <w:lang w:eastAsia="en-US"/>
        </w:rPr>
      </w:pPr>
      <w:r w:rsidRPr="00EC1A78">
        <w:rPr>
          <w:sz w:val="22"/>
          <w:szCs w:val="22"/>
          <w:lang w:eastAsia="en-US"/>
        </w:rPr>
        <w:t>АННОТАЦИЯ: Рассмотрены наиболее популярные способы использования животных в качестве орудия и средства преступл</w:t>
      </w:r>
      <w:r w:rsidRPr="00EC1A78">
        <w:rPr>
          <w:sz w:val="22"/>
          <w:szCs w:val="22"/>
          <w:lang w:eastAsia="en-US"/>
        </w:rPr>
        <w:t>е</w:t>
      </w:r>
      <w:r w:rsidRPr="00EC1A78">
        <w:rPr>
          <w:sz w:val="22"/>
          <w:szCs w:val="22"/>
          <w:lang w:eastAsia="en-US"/>
        </w:rPr>
        <w:t>ния. Проведен правовой анализ норм Российского законодательства на предмет наличия норм, устанавливающих наказание за ненадл</w:t>
      </w:r>
      <w:r w:rsidRPr="00EC1A78">
        <w:rPr>
          <w:sz w:val="22"/>
          <w:szCs w:val="22"/>
          <w:lang w:eastAsia="en-US"/>
        </w:rPr>
        <w:t>е</w:t>
      </w:r>
      <w:r w:rsidRPr="00EC1A78">
        <w:rPr>
          <w:sz w:val="22"/>
          <w:szCs w:val="22"/>
          <w:lang w:eastAsia="en-US"/>
        </w:rPr>
        <w:t>жащее обращение с животными.</w:t>
      </w:r>
    </w:p>
    <w:p w:rsidR="00EC1A78" w:rsidRPr="00EC1A78" w:rsidRDefault="00EC1A78" w:rsidP="00EC1A78">
      <w:pPr>
        <w:ind w:firstLine="426"/>
        <w:jc w:val="both"/>
        <w:rPr>
          <w:sz w:val="22"/>
          <w:szCs w:val="22"/>
          <w:lang w:val="en-US" w:eastAsia="en-US"/>
        </w:rPr>
      </w:pPr>
      <w:r w:rsidRPr="00EC1A78">
        <w:rPr>
          <w:sz w:val="22"/>
          <w:szCs w:val="22"/>
          <w:highlight w:val="white"/>
          <w:lang w:val="en-US" w:eastAsia="en-US"/>
        </w:rPr>
        <w:t>ABSTRACT: The most popular ways of using animals as tools and means of crime are considered. A legal analysis of the norms of the Ru</w:t>
      </w:r>
      <w:r w:rsidRPr="00EC1A78">
        <w:rPr>
          <w:sz w:val="22"/>
          <w:szCs w:val="22"/>
          <w:highlight w:val="white"/>
          <w:lang w:val="en-US" w:eastAsia="en-US"/>
        </w:rPr>
        <w:t>s</w:t>
      </w:r>
      <w:r w:rsidRPr="00EC1A78">
        <w:rPr>
          <w:sz w:val="22"/>
          <w:szCs w:val="22"/>
          <w:highlight w:val="white"/>
          <w:lang w:val="en-US" w:eastAsia="en-US"/>
        </w:rPr>
        <w:t>sian legislation is carried out for the existence of norms, forbidden pu</w:t>
      </w:r>
      <w:r w:rsidRPr="00EC1A78">
        <w:rPr>
          <w:sz w:val="22"/>
          <w:szCs w:val="22"/>
          <w:highlight w:val="white"/>
          <w:lang w:val="en-US" w:eastAsia="en-US"/>
        </w:rPr>
        <w:t>n</w:t>
      </w:r>
      <w:r w:rsidRPr="00EC1A78">
        <w:rPr>
          <w:sz w:val="22"/>
          <w:szCs w:val="22"/>
          <w:highlight w:val="white"/>
          <w:lang w:val="en-US" w:eastAsia="en-US"/>
        </w:rPr>
        <w:t>ishments for improper handling of animals.</w:t>
      </w:r>
    </w:p>
    <w:p w:rsidR="00EC1A78" w:rsidRPr="00EC1A78" w:rsidRDefault="00EC1A78" w:rsidP="00EC1A78">
      <w:pPr>
        <w:ind w:firstLine="426"/>
        <w:jc w:val="both"/>
        <w:rPr>
          <w:sz w:val="22"/>
          <w:szCs w:val="22"/>
          <w:lang w:eastAsia="en-US"/>
        </w:rPr>
      </w:pPr>
      <w:r w:rsidRPr="00EC1A78">
        <w:rPr>
          <w:sz w:val="22"/>
          <w:szCs w:val="22"/>
          <w:lang w:eastAsia="en-US"/>
        </w:rPr>
        <w:t>КЛЮЧЕВЫЕ СЛОВА: орудие преступления, средства пр</w:t>
      </w:r>
      <w:r w:rsidRPr="00EC1A78">
        <w:rPr>
          <w:sz w:val="22"/>
          <w:szCs w:val="22"/>
          <w:lang w:eastAsia="en-US"/>
        </w:rPr>
        <w:t>е</w:t>
      </w:r>
      <w:r w:rsidRPr="00EC1A78">
        <w:rPr>
          <w:sz w:val="22"/>
          <w:szCs w:val="22"/>
          <w:lang w:eastAsia="en-US"/>
        </w:rPr>
        <w:t>ступления, уголовное право, преступник, животные, жестокое о</w:t>
      </w:r>
      <w:r w:rsidRPr="00EC1A78">
        <w:rPr>
          <w:sz w:val="22"/>
          <w:szCs w:val="22"/>
          <w:lang w:eastAsia="en-US"/>
        </w:rPr>
        <w:t>б</w:t>
      </w:r>
      <w:r w:rsidRPr="00EC1A78">
        <w:rPr>
          <w:sz w:val="22"/>
          <w:szCs w:val="22"/>
          <w:lang w:eastAsia="en-US"/>
        </w:rPr>
        <w:t>ращение с животными, модернизация законодательства.</w:t>
      </w:r>
    </w:p>
    <w:p w:rsidR="00EC1A78" w:rsidRPr="003A6F86" w:rsidRDefault="00EC1A78" w:rsidP="00EC1A78">
      <w:pPr>
        <w:ind w:firstLine="426"/>
        <w:jc w:val="both"/>
        <w:rPr>
          <w:sz w:val="22"/>
          <w:szCs w:val="22"/>
          <w:highlight w:val="white"/>
          <w:lang w:val="en-US" w:eastAsia="en-US"/>
        </w:rPr>
      </w:pPr>
      <w:r w:rsidRPr="00EC1A78">
        <w:rPr>
          <w:sz w:val="22"/>
          <w:szCs w:val="22"/>
          <w:highlight w:val="white"/>
          <w:lang w:val="en-US" w:eastAsia="en-US"/>
        </w:rPr>
        <w:t>KEYWORDS: instrument of crime, means of crime, criminal law, criminal, animals, cruel treatment of animals, modernization of legisl</w:t>
      </w:r>
      <w:r w:rsidRPr="00EC1A78">
        <w:rPr>
          <w:sz w:val="22"/>
          <w:szCs w:val="22"/>
          <w:highlight w:val="white"/>
          <w:lang w:val="en-US" w:eastAsia="en-US"/>
        </w:rPr>
        <w:t>a</w:t>
      </w:r>
      <w:r w:rsidRPr="00EC1A78">
        <w:rPr>
          <w:sz w:val="22"/>
          <w:szCs w:val="22"/>
          <w:highlight w:val="white"/>
          <w:lang w:val="en-US" w:eastAsia="en-US"/>
        </w:rPr>
        <w:t>tion</w:t>
      </w:r>
      <w:r w:rsidR="003A6F86" w:rsidRPr="003A6F86">
        <w:rPr>
          <w:sz w:val="22"/>
          <w:szCs w:val="22"/>
          <w:highlight w:val="white"/>
          <w:lang w:val="en-US" w:eastAsia="en-US"/>
        </w:rPr>
        <w:t>.</w:t>
      </w:r>
    </w:p>
    <w:p w:rsidR="00EC1A78" w:rsidRPr="00EC1A78" w:rsidRDefault="00EC1A78" w:rsidP="00EC1A78">
      <w:pPr>
        <w:ind w:firstLine="426"/>
        <w:jc w:val="both"/>
        <w:rPr>
          <w:sz w:val="22"/>
          <w:szCs w:val="22"/>
          <w:lang w:val="en-US" w:eastAsia="en-US"/>
        </w:rPr>
      </w:pPr>
    </w:p>
    <w:p w:rsidR="00EC1A78" w:rsidRPr="00EC1A78" w:rsidRDefault="00EC1A78" w:rsidP="00EC1A78">
      <w:pPr>
        <w:ind w:firstLine="426"/>
        <w:jc w:val="both"/>
        <w:rPr>
          <w:sz w:val="22"/>
          <w:szCs w:val="22"/>
          <w:lang w:eastAsia="en-US"/>
        </w:rPr>
      </w:pPr>
      <w:r w:rsidRPr="00EC1A78">
        <w:rPr>
          <w:sz w:val="22"/>
          <w:szCs w:val="22"/>
          <w:lang w:eastAsia="en-US"/>
        </w:rPr>
        <w:lastRenderedPageBreak/>
        <w:t>Братья наши меньшие. Для кого–то животное может стать х</w:t>
      </w:r>
      <w:r w:rsidRPr="00EC1A78">
        <w:rPr>
          <w:sz w:val="22"/>
          <w:szCs w:val="22"/>
          <w:lang w:eastAsia="en-US"/>
        </w:rPr>
        <w:t>о</w:t>
      </w:r>
      <w:r w:rsidRPr="00EC1A78">
        <w:rPr>
          <w:sz w:val="22"/>
          <w:szCs w:val="22"/>
          <w:lang w:eastAsia="en-US"/>
        </w:rPr>
        <w:t>рошим другом или даже членом семьи, а для кого–то верным напарником, как, например, собака–поводырь. Говорят, что пито</w:t>
      </w:r>
      <w:r w:rsidRPr="00EC1A78">
        <w:rPr>
          <w:sz w:val="22"/>
          <w:szCs w:val="22"/>
          <w:lang w:eastAsia="en-US"/>
        </w:rPr>
        <w:t>м</w:t>
      </w:r>
      <w:r w:rsidRPr="00EC1A78">
        <w:rPr>
          <w:sz w:val="22"/>
          <w:szCs w:val="22"/>
          <w:lang w:eastAsia="en-US"/>
        </w:rPr>
        <w:t>цы похожи на своих хозяев. Нельзя не согласиться с этим. Искл</w:t>
      </w:r>
      <w:r w:rsidRPr="00EC1A78">
        <w:rPr>
          <w:sz w:val="22"/>
          <w:szCs w:val="22"/>
          <w:lang w:eastAsia="en-US"/>
        </w:rPr>
        <w:t>ю</w:t>
      </w:r>
      <w:r w:rsidRPr="00EC1A78">
        <w:rPr>
          <w:sz w:val="22"/>
          <w:szCs w:val="22"/>
          <w:lang w:eastAsia="en-US"/>
        </w:rPr>
        <w:t>чением не стали и преступники, приобщающие к своему ремеслу своих домашних животных, которые “помогают” своим хозяевам совершать правонарушения.</w:t>
      </w:r>
    </w:p>
    <w:p w:rsidR="00EC1A78" w:rsidRPr="00EC1A78" w:rsidRDefault="00EC1A78" w:rsidP="00EC1A78">
      <w:pPr>
        <w:ind w:firstLine="426"/>
        <w:jc w:val="both"/>
        <w:rPr>
          <w:sz w:val="22"/>
          <w:szCs w:val="22"/>
          <w:lang w:eastAsia="en-US"/>
        </w:rPr>
      </w:pPr>
      <w:r w:rsidRPr="00EC1A78">
        <w:rPr>
          <w:sz w:val="22"/>
          <w:szCs w:val="22"/>
          <w:lang w:eastAsia="en-US"/>
        </w:rPr>
        <w:t>Для более легкого достижения преступного результата прав</w:t>
      </w:r>
      <w:r w:rsidRPr="00EC1A78">
        <w:rPr>
          <w:sz w:val="22"/>
          <w:szCs w:val="22"/>
          <w:lang w:eastAsia="en-US"/>
        </w:rPr>
        <w:t>о</w:t>
      </w:r>
      <w:r w:rsidRPr="00EC1A78">
        <w:rPr>
          <w:sz w:val="22"/>
          <w:szCs w:val="22"/>
          <w:lang w:eastAsia="en-US"/>
        </w:rPr>
        <w:t>нарушители пользуются разнообразными средствами и орудиями. Отечественная и мировая практика полна примеров того, как ж</w:t>
      </w:r>
      <w:r w:rsidRPr="00EC1A78">
        <w:rPr>
          <w:sz w:val="22"/>
          <w:szCs w:val="22"/>
          <w:lang w:eastAsia="en-US"/>
        </w:rPr>
        <w:t>и</w:t>
      </w:r>
      <w:r w:rsidRPr="00EC1A78">
        <w:rPr>
          <w:sz w:val="22"/>
          <w:szCs w:val="22"/>
          <w:lang w:eastAsia="en-US"/>
        </w:rPr>
        <w:t>вотные используются человеком, в качестве “помощника” в дост</w:t>
      </w:r>
      <w:r w:rsidRPr="00EC1A78">
        <w:rPr>
          <w:sz w:val="22"/>
          <w:szCs w:val="22"/>
          <w:lang w:eastAsia="en-US"/>
        </w:rPr>
        <w:t>и</w:t>
      </w:r>
      <w:r w:rsidRPr="00EC1A78">
        <w:rPr>
          <w:sz w:val="22"/>
          <w:szCs w:val="22"/>
          <w:lang w:eastAsia="en-US"/>
        </w:rPr>
        <w:t>жении своих корыстных целей.</w:t>
      </w:r>
    </w:p>
    <w:p w:rsidR="00EC1A78" w:rsidRPr="00EC1A78" w:rsidRDefault="00EC1A78" w:rsidP="00EC1A78">
      <w:pPr>
        <w:ind w:firstLine="426"/>
        <w:jc w:val="both"/>
        <w:rPr>
          <w:sz w:val="22"/>
          <w:szCs w:val="22"/>
          <w:lang w:eastAsia="en-US"/>
        </w:rPr>
      </w:pPr>
      <w:r w:rsidRPr="00EC1A78">
        <w:rPr>
          <w:sz w:val="22"/>
          <w:szCs w:val="22"/>
          <w:lang w:eastAsia="en-US"/>
        </w:rPr>
        <w:t>Так, например, некоторые граждане, натренировав своих п</w:t>
      </w:r>
      <w:r w:rsidRPr="00EC1A78">
        <w:rPr>
          <w:sz w:val="22"/>
          <w:szCs w:val="22"/>
          <w:lang w:eastAsia="en-US"/>
        </w:rPr>
        <w:t>и</w:t>
      </w:r>
      <w:r w:rsidRPr="00EC1A78">
        <w:rPr>
          <w:sz w:val="22"/>
          <w:szCs w:val="22"/>
          <w:lang w:eastAsia="en-US"/>
        </w:rPr>
        <w:t>томцев на совершение карманных краж, остаются в стороне, пока происходит само правонарушение. Наиболее распространены в этой сфере обезьяны из–за их физиологической близости к человеку – их пальцы, также легко, как и человеческие, могут расстегнуть цепо</w:t>
      </w:r>
      <w:r w:rsidRPr="00EC1A78">
        <w:rPr>
          <w:sz w:val="22"/>
          <w:szCs w:val="22"/>
          <w:lang w:eastAsia="en-US"/>
        </w:rPr>
        <w:t>ч</w:t>
      </w:r>
      <w:r w:rsidRPr="00EC1A78">
        <w:rPr>
          <w:sz w:val="22"/>
          <w:szCs w:val="22"/>
          <w:lang w:eastAsia="en-US"/>
        </w:rPr>
        <w:t>ку, залезть в сумку или карман.[5] Хотя и встречались случаи, когда на кражу ювелирных украшений обучали собак.</w:t>
      </w:r>
    </w:p>
    <w:p w:rsidR="00EC1A78" w:rsidRPr="00EC1A78" w:rsidRDefault="00EC1A78" w:rsidP="00EC1A78">
      <w:pPr>
        <w:ind w:firstLine="426"/>
        <w:jc w:val="both"/>
        <w:rPr>
          <w:sz w:val="22"/>
          <w:szCs w:val="22"/>
          <w:lang w:eastAsia="en-US"/>
        </w:rPr>
      </w:pPr>
      <w:r w:rsidRPr="00EC1A78">
        <w:rPr>
          <w:sz w:val="22"/>
          <w:szCs w:val="22"/>
          <w:lang w:eastAsia="en-US"/>
        </w:rPr>
        <w:t>Кстати о собаках: это прирожденные хищники. Дрессировщики могут обучить их на совершение агрессивных действий в отнош</w:t>
      </w:r>
      <w:r w:rsidRPr="00EC1A78">
        <w:rPr>
          <w:sz w:val="22"/>
          <w:szCs w:val="22"/>
          <w:lang w:eastAsia="en-US"/>
        </w:rPr>
        <w:t>е</w:t>
      </w:r>
      <w:r w:rsidRPr="00EC1A78">
        <w:rPr>
          <w:sz w:val="22"/>
          <w:szCs w:val="22"/>
          <w:lang w:eastAsia="en-US"/>
        </w:rPr>
        <w:t>нии указанной цели, услышав определенную команду. Бойцовские породы собак могут причинить серьезные увечья человеку, а порой даже привести к летальному исходу.[6]</w:t>
      </w:r>
    </w:p>
    <w:p w:rsidR="00EC1A78" w:rsidRPr="00EC1A78" w:rsidRDefault="00EC1A78" w:rsidP="00EC1A78">
      <w:pPr>
        <w:ind w:firstLine="426"/>
        <w:jc w:val="both"/>
        <w:rPr>
          <w:sz w:val="22"/>
          <w:szCs w:val="22"/>
          <w:lang w:eastAsia="en-US"/>
        </w:rPr>
      </w:pPr>
      <w:r w:rsidRPr="00EC1A78">
        <w:rPr>
          <w:sz w:val="22"/>
          <w:szCs w:val="22"/>
          <w:lang w:eastAsia="en-US"/>
        </w:rPr>
        <w:t>Другой довольно серьезной сферой применения животных, скорее как средства, а не как орудия совершения преступления, я</w:t>
      </w:r>
      <w:r w:rsidRPr="00EC1A78">
        <w:rPr>
          <w:sz w:val="22"/>
          <w:szCs w:val="22"/>
          <w:lang w:eastAsia="en-US"/>
        </w:rPr>
        <w:t>в</w:t>
      </w:r>
      <w:r w:rsidRPr="00EC1A78">
        <w:rPr>
          <w:sz w:val="22"/>
          <w:szCs w:val="22"/>
          <w:lang w:eastAsia="en-US"/>
        </w:rPr>
        <w:t>ляется контрабанда запрещенных товаров[7]: зачастую наркотиков, но это может быть оружие, лекарственные средства и другие тов</w:t>
      </w:r>
      <w:r w:rsidRPr="00EC1A78">
        <w:rPr>
          <w:sz w:val="22"/>
          <w:szCs w:val="22"/>
          <w:lang w:eastAsia="en-US"/>
        </w:rPr>
        <w:t>а</w:t>
      </w:r>
      <w:r w:rsidRPr="00EC1A78">
        <w:rPr>
          <w:sz w:val="22"/>
          <w:szCs w:val="22"/>
          <w:lang w:eastAsia="en-US"/>
        </w:rPr>
        <w:t>ры, свободный оборот которых ограничен или запрещен на терр</w:t>
      </w:r>
      <w:r w:rsidRPr="00EC1A78">
        <w:rPr>
          <w:sz w:val="22"/>
          <w:szCs w:val="22"/>
          <w:lang w:eastAsia="en-US"/>
        </w:rPr>
        <w:t>и</w:t>
      </w:r>
      <w:r w:rsidRPr="00EC1A78">
        <w:rPr>
          <w:sz w:val="22"/>
          <w:szCs w:val="22"/>
          <w:lang w:eastAsia="en-US"/>
        </w:rPr>
        <w:t>тории Российской Федерации. В таких ситуациях имеет место быть жестокое обращение с животными, наказание за которое пред</w:t>
      </w:r>
      <w:r w:rsidRPr="00EC1A78">
        <w:rPr>
          <w:sz w:val="22"/>
          <w:szCs w:val="22"/>
          <w:lang w:eastAsia="en-US"/>
        </w:rPr>
        <w:t>у</w:t>
      </w:r>
      <w:r w:rsidRPr="00EC1A78">
        <w:rPr>
          <w:sz w:val="22"/>
          <w:szCs w:val="22"/>
          <w:lang w:eastAsia="en-US"/>
        </w:rPr>
        <w:t>сматривает Уголовный кодекс.</w:t>
      </w:r>
    </w:p>
    <w:p w:rsidR="00EC1A78" w:rsidRPr="00EC1A78" w:rsidRDefault="00EC1A78" w:rsidP="00EC1A78">
      <w:pPr>
        <w:ind w:firstLine="426"/>
        <w:jc w:val="both"/>
        <w:rPr>
          <w:sz w:val="22"/>
          <w:szCs w:val="22"/>
          <w:lang w:eastAsia="en-US"/>
        </w:rPr>
      </w:pPr>
      <w:r w:rsidRPr="00EC1A78">
        <w:rPr>
          <w:sz w:val="22"/>
          <w:szCs w:val="22"/>
          <w:lang w:eastAsia="en-US"/>
        </w:rPr>
        <w:t>«Мы в ответе за тех, кого приручили». Эта фраза справедлива и актуальна во все времена. И она нашла своё отражение в нормах Кодекса Российской Федерации об административных правонар</w:t>
      </w:r>
      <w:r w:rsidRPr="00EC1A78">
        <w:rPr>
          <w:sz w:val="22"/>
          <w:szCs w:val="22"/>
          <w:lang w:eastAsia="en-US"/>
        </w:rPr>
        <w:t>у</w:t>
      </w:r>
      <w:r w:rsidRPr="00EC1A78">
        <w:rPr>
          <w:sz w:val="22"/>
          <w:szCs w:val="22"/>
          <w:lang w:eastAsia="en-US"/>
        </w:rPr>
        <w:t>шениях[2][3], этот принцип, несомненно, ляжет в основу будущих нормативных актов[4]. Но также следует закрепить этот принцип и в уголовном праве.</w:t>
      </w:r>
    </w:p>
    <w:p w:rsidR="00EC1A78" w:rsidRPr="00EC1A78" w:rsidRDefault="00EC1A78" w:rsidP="00EC1A78">
      <w:pPr>
        <w:ind w:firstLine="426"/>
        <w:jc w:val="both"/>
        <w:rPr>
          <w:sz w:val="22"/>
          <w:szCs w:val="22"/>
          <w:lang w:eastAsia="en-US"/>
        </w:rPr>
      </w:pPr>
      <w:r w:rsidRPr="00EC1A78">
        <w:rPr>
          <w:sz w:val="22"/>
          <w:szCs w:val="22"/>
          <w:lang w:eastAsia="en-US"/>
        </w:rPr>
        <w:lastRenderedPageBreak/>
        <w:t>Поэтому мы считаем, что необходимо дополнить часть 1 статьи 63 общей части Уголовного Кодекса[1] пунктом, на который суды смогут ссылаться при рассмотрении дел с участием “особого” ор</w:t>
      </w:r>
      <w:r w:rsidRPr="00EC1A78">
        <w:rPr>
          <w:sz w:val="22"/>
          <w:szCs w:val="22"/>
          <w:lang w:eastAsia="en-US"/>
        </w:rPr>
        <w:t>у</w:t>
      </w:r>
      <w:r w:rsidRPr="00EC1A78">
        <w:rPr>
          <w:sz w:val="22"/>
          <w:szCs w:val="22"/>
          <w:lang w:eastAsia="en-US"/>
        </w:rPr>
        <w:t>дия преступления. такая норма должна ужесточать наказание за и</w:t>
      </w:r>
      <w:r w:rsidRPr="00EC1A78">
        <w:rPr>
          <w:sz w:val="22"/>
          <w:szCs w:val="22"/>
          <w:lang w:eastAsia="en-US"/>
        </w:rPr>
        <w:t>с</w:t>
      </w:r>
      <w:r w:rsidRPr="00EC1A78">
        <w:rPr>
          <w:sz w:val="22"/>
          <w:szCs w:val="22"/>
          <w:lang w:eastAsia="en-US"/>
        </w:rPr>
        <w:t>пользование животного в качестве орудия совершения преступл</w:t>
      </w:r>
      <w:r w:rsidRPr="00EC1A78">
        <w:rPr>
          <w:sz w:val="22"/>
          <w:szCs w:val="22"/>
          <w:lang w:eastAsia="en-US"/>
        </w:rPr>
        <w:t>е</w:t>
      </w:r>
      <w:r w:rsidRPr="00EC1A78">
        <w:rPr>
          <w:sz w:val="22"/>
          <w:szCs w:val="22"/>
          <w:lang w:eastAsia="en-US"/>
        </w:rPr>
        <w:t>ния. А для самих животных, с помощью которых было совершено преступление предусматривать прохождение курса реабилитации за счет хозяина–правонарушителя</w:t>
      </w:r>
    </w:p>
    <w:p w:rsidR="00EC1A78" w:rsidRPr="00EC1A78" w:rsidRDefault="00EC1A78" w:rsidP="00EC1A78">
      <w:pPr>
        <w:ind w:firstLine="426"/>
        <w:jc w:val="both"/>
        <w:rPr>
          <w:sz w:val="22"/>
          <w:szCs w:val="22"/>
          <w:lang w:eastAsia="en-US"/>
        </w:rPr>
      </w:pPr>
    </w:p>
    <w:p w:rsidR="00EC1A78" w:rsidRPr="00EC1A78" w:rsidRDefault="00EC1A78" w:rsidP="00EC1A78">
      <w:pPr>
        <w:jc w:val="center"/>
        <w:rPr>
          <w:sz w:val="22"/>
          <w:szCs w:val="22"/>
          <w:lang w:eastAsia="en-US"/>
        </w:rPr>
      </w:pPr>
      <w:r w:rsidRPr="00EC1A78">
        <w:rPr>
          <w:sz w:val="22"/>
          <w:szCs w:val="22"/>
          <w:lang w:eastAsia="en-US"/>
        </w:rPr>
        <w:t>Список литературы</w:t>
      </w:r>
    </w:p>
    <w:p w:rsidR="00EC1A78" w:rsidRPr="00EC1A78" w:rsidRDefault="00EC1A78" w:rsidP="00EC1A78">
      <w:pPr>
        <w:ind w:firstLine="426"/>
        <w:jc w:val="both"/>
        <w:rPr>
          <w:sz w:val="22"/>
          <w:szCs w:val="22"/>
          <w:lang w:eastAsia="en-US"/>
        </w:rPr>
      </w:pPr>
      <w:r w:rsidRPr="00EC1A78">
        <w:rPr>
          <w:sz w:val="22"/>
          <w:szCs w:val="22"/>
          <w:lang w:eastAsia="en-US"/>
        </w:rPr>
        <w:t>1. Уголовный кодекс Российской Федерации от 13.06.1996 N 63–ФЗ (ред. от 19.02.2018) // Собрание законодательства РФ. – 17.06.1996. – № 25. – Ст. 2954.</w:t>
      </w:r>
    </w:p>
    <w:p w:rsidR="00EC1A78" w:rsidRPr="00EC1A78" w:rsidRDefault="00EC1A78" w:rsidP="00EC1A78">
      <w:pPr>
        <w:ind w:firstLine="426"/>
        <w:jc w:val="both"/>
        <w:rPr>
          <w:sz w:val="22"/>
          <w:szCs w:val="22"/>
          <w:lang w:eastAsia="en-US"/>
        </w:rPr>
      </w:pPr>
      <w:r w:rsidRPr="00EC1A78">
        <w:rPr>
          <w:sz w:val="22"/>
          <w:szCs w:val="22"/>
          <w:lang w:eastAsia="en-US"/>
        </w:rPr>
        <w:t>2. Кодекс Российской Федерации об административных прав</w:t>
      </w:r>
      <w:r w:rsidRPr="00EC1A78">
        <w:rPr>
          <w:sz w:val="22"/>
          <w:szCs w:val="22"/>
          <w:lang w:eastAsia="en-US"/>
        </w:rPr>
        <w:t>о</w:t>
      </w:r>
      <w:r w:rsidRPr="00EC1A78">
        <w:rPr>
          <w:sz w:val="22"/>
          <w:szCs w:val="22"/>
          <w:lang w:eastAsia="en-US"/>
        </w:rPr>
        <w:t>нарушениях от 30.12.2001 (ред. от 05.02.2018) // Российская газета. – № 256. – 31.12.2001.</w:t>
      </w:r>
    </w:p>
    <w:p w:rsidR="00EC1A78" w:rsidRPr="00EC1A78" w:rsidRDefault="00EC1A78" w:rsidP="00EC1A78">
      <w:pPr>
        <w:ind w:firstLine="426"/>
        <w:jc w:val="both"/>
        <w:rPr>
          <w:sz w:val="22"/>
          <w:szCs w:val="22"/>
          <w:lang w:eastAsia="en-US"/>
        </w:rPr>
      </w:pPr>
      <w:r w:rsidRPr="00EC1A78">
        <w:rPr>
          <w:sz w:val="22"/>
          <w:szCs w:val="22"/>
          <w:lang w:eastAsia="en-US"/>
        </w:rPr>
        <w:t xml:space="preserve">3. Об административных правонарушениях </w:t>
      </w:r>
      <w:r w:rsidRPr="00EC1A78">
        <w:rPr>
          <w:color w:val="222222"/>
          <w:sz w:val="22"/>
          <w:szCs w:val="22"/>
          <w:highlight w:val="white"/>
          <w:lang w:eastAsia="en-US"/>
        </w:rPr>
        <w:t>Закон Краснода</w:t>
      </w:r>
      <w:r w:rsidRPr="00EC1A78">
        <w:rPr>
          <w:color w:val="222222"/>
          <w:sz w:val="22"/>
          <w:szCs w:val="22"/>
          <w:highlight w:val="white"/>
          <w:lang w:eastAsia="en-US"/>
        </w:rPr>
        <w:t>р</w:t>
      </w:r>
      <w:r w:rsidRPr="00EC1A78">
        <w:rPr>
          <w:color w:val="222222"/>
          <w:sz w:val="22"/>
          <w:szCs w:val="22"/>
          <w:highlight w:val="white"/>
          <w:lang w:eastAsia="en-US"/>
        </w:rPr>
        <w:t>ского края от 31.03.2014 N 2936–КЗ //</w:t>
      </w:r>
      <w:r w:rsidRPr="00EC1A78">
        <w:rPr>
          <w:sz w:val="22"/>
          <w:szCs w:val="22"/>
          <w:highlight w:val="white"/>
          <w:lang w:eastAsia="en-US"/>
        </w:rPr>
        <w:t xml:space="preserve"> </w:t>
      </w:r>
      <w:hyperlink r:id="rId369">
        <w:r w:rsidRPr="00EC1A78">
          <w:rPr>
            <w:sz w:val="22"/>
            <w:szCs w:val="22"/>
            <w:highlight w:val="white"/>
            <w:lang w:eastAsia="en-US"/>
          </w:rPr>
          <w:t>http://docs.cntd.ru/document/461606550</w:t>
        </w:r>
      </w:hyperlink>
      <w:r w:rsidRPr="00EC1A78">
        <w:rPr>
          <w:sz w:val="22"/>
          <w:szCs w:val="22"/>
          <w:highlight w:val="white"/>
          <w:lang w:eastAsia="en-US"/>
        </w:rPr>
        <w:t xml:space="preserve"> </w:t>
      </w:r>
      <w:r w:rsidRPr="00EC1A78">
        <w:rPr>
          <w:color w:val="222222"/>
          <w:sz w:val="22"/>
          <w:szCs w:val="22"/>
          <w:highlight w:val="white"/>
          <w:lang w:eastAsia="en-US"/>
        </w:rPr>
        <w:t>(Дата обращения 28.02.2018)</w:t>
      </w:r>
    </w:p>
    <w:p w:rsidR="00EC1A78" w:rsidRPr="00EC1A78" w:rsidRDefault="00EC1A78" w:rsidP="00EC1A78">
      <w:pPr>
        <w:ind w:firstLine="426"/>
        <w:jc w:val="both"/>
        <w:rPr>
          <w:sz w:val="22"/>
          <w:szCs w:val="22"/>
          <w:lang w:eastAsia="en-US"/>
        </w:rPr>
      </w:pPr>
      <w:r w:rsidRPr="00EC1A78">
        <w:rPr>
          <w:sz w:val="22"/>
          <w:szCs w:val="22"/>
          <w:lang w:eastAsia="en-US"/>
        </w:rPr>
        <w:t>4. Проект Федерального закона N 458458–5 «Об ответственном обращении с животными и о внесении изменений в отдельные зак</w:t>
      </w:r>
      <w:r w:rsidRPr="00EC1A78">
        <w:rPr>
          <w:sz w:val="22"/>
          <w:szCs w:val="22"/>
          <w:lang w:eastAsia="en-US"/>
        </w:rPr>
        <w:t>о</w:t>
      </w:r>
      <w:r w:rsidRPr="00EC1A78">
        <w:rPr>
          <w:sz w:val="22"/>
          <w:szCs w:val="22"/>
          <w:lang w:eastAsia="en-US"/>
        </w:rPr>
        <w:t>нодательные акты Российской Федерации» (текст ко второму чт</w:t>
      </w:r>
      <w:r w:rsidRPr="00EC1A78">
        <w:rPr>
          <w:sz w:val="22"/>
          <w:szCs w:val="22"/>
          <w:lang w:eastAsia="en-US"/>
        </w:rPr>
        <w:t>е</w:t>
      </w:r>
      <w:r w:rsidRPr="00EC1A78">
        <w:rPr>
          <w:sz w:val="22"/>
          <w:szCs w:val="22"/>
          <w:lang w:eastAsia="en-US"/>
        </w:rPr>
        <w:t xml:space="preserve">нию) // </w:t>
      </w:r>
      <w:hyperlink r:id="rId370">
        <w:r w:rsidRPr="00EC1A78">
          <w:rPr>
            <w:sz w:val="22"/>
            <w:szCs w:val="22"/>
            <w:lang w:eastAsia="en-US"/>
          </w:rPr>
          <w:t>static.consultant.ru/obj/file/doc/pr_fz130617.rtf</w:t>
        </w:r>
      </w:hyperlink>
      <w:r w:rsidRPr="00EC1A78">
        <w:rPr>
          <w:sz w:val="22"/>
          <w:szCs w:val="22"/>
          <w:lang w:eastAsia="en-US"/>
        </w:rPr>
        <w:t xml:space="preserve"> (Дата обращ</w:t>
      </w:r>
      <w:r w:rsidRPr="00EC1A78">
        <w:rPr>
          <w:sz w:val="22"/>
          <w:szCs w:val="22"/>
          <w:lang w:eastAsia="en-US"/>
        </w:rPr>
        <w:t>е</w:t>
      </w:r>
      <w:r w:rsidRPr="00EC1A78">
        <w:rPr>
          <w:sz w:val="22"/>
          <w:szCs w:val="22"/>
          <w:lang w:eastAsia="en-US"/>
        </w:rPr>
        <w:t>ния 28.02.2018)</w:t>
      </w:r>
    </w:p>
    <w:p w:rsidR="00EC1A78" w:rsidRPr="00EC1A78" w:rsidRDefault="00EC1A78" w:rsidP="00EC1A78">
      <w:pPr>
        <w:ind w:firstLine="426"/>
        <w:jc w:val="both"/>
        <w:rPr>
          <w:sz w:val="22"/>
          <w:szCs w:val="22"/>
          <w:lang w:eastAsia="en-US"/>
        </w:rPr>
      </w:pPr>
      <w:r w:rsidRPr="00EC1A78">
        <w:rPr>
          <w:sz w:val="22"/>
          <w:szCs w:val="22"/>
          <w:lang w:eastAsia="en-US"/>
        </w:rPr>
        <w:t xml:space="preserve">5. Полицейские проверяют обезьяну из Нижнего Новгорода на причастность к краже мобильного телефона через открытое окно // </w:t>
      </w:r>
      <w:hyperlink r:id="rId371">
        <w:r w:rsidRPr="00EC1A78">
          <w:rPr>
            <w:sz w:val="22"/>
            <w:szCs w:val="22"/>
            <w:lang w:eastAsia="en-US"/>
          </w:rPr>
          <w:t>http://www.ntv.ru/novosti/630813/</w:t>
        </w:r>
      </w:hyperlink>
      <w:r w:rsidRPr="00EC1A78">
        <w:rPr>
          <w:sz w:val="22"/>
          <w:szCs w:val="22"/>
          <w:lang w:eastAsia="en-US"/>
        </w:rPr>
        <w:t xml:space="preserve"> (Дата обращения 28.02.2018)</w:t>
      </w:r>
    </w:p>
    <w:p w:rsidR="00EC1A78" w:rsidRPr="00EC1A78" w:rsidRDefault="00EC1A78" w:rsidP="00EC1A78">
      <w:pPr>
        <w:ind w:firstLine="426"/>
        <w:jc w:val="both"/>
        <w:rPr>
          <w:sz w:val="22"/>
          <w:szCs w:val="22"/>
          <w:lang w:eastAsia="en-US"/>
        </w:rPr>
      </w:pPr>
      <w:r w:rsidRPr="00EC1A78">
        <w:rPr>
          <w:sz w:val="22"/>
          <w:szCs w:val="22"/>
          <w:lang w:eastAsia="en-US"/>
        </w:rPr>
        <w:t>6. Хозяин натравил питбуля на прохожих // 63.ru/text/gorod/708012 (Дата обращения 28.02.2018)</w:t>
      </w:r>
    </w:p>
    <w:p w:rsidR="00EC1A78" w:rsidRPr="00EC1A78" w:rsidRDefault="00EC1A78" w:rsidP="00EC1A78">
      <w:pPr>
        <w:ind w:firstLine="426"/>
        <w:jc w:val="both"/>
        <w:rPr>
          <w:b/>
          <w:lang w:eastAsia="en-US"/>
        </w:rPr>
      </w:pPr>
      <w:r w:rsidRPr="00EC1A78">
        <w:rPr>
          <w:sz w:val="22"/>
          <w:szCs w:val="22"/>
          <w:lang w:eastAsia="en-US"/>
        </w:rPr>
        <w:t>7. Контрабанда наркотиков внутри собак // bigpicture.ru/?p=384217 (Дата обращения 28.02.2018)</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Pr="00EC1A78" w:rsidRDefault="00560F00" w:rsidP="00EC1A78">
      <w:pPr>
        <w:jc w:val="both"/>
        <w:rPr>
          <w:rFonts w:eastAsiaTheme="minorHAnsi"/>
          <w:sz w:val="22"/>
          <w:szCs w:val="22"/>
          <w:lang w:eastAsia="en-US"/>
        </w:rPr>
      </w:pPr>
    </w:p>
    <w:p w:rsidR="00EC1A78" w:rsidRPr="00EC1A78" w:rsidRDefault="00EC1A78" w:rsidP="00EC1A78">
      <w:pPr>
        <w:rPr>
          <w:rFonts w:eastAsiaTheme="minorHAnsi"/>
          <w:color w:val="000000"/>
          <w:sz w:val="22"/>
          <w:szCs w:val="22"/>
          <w:shd w:val="clear" w:color="auto" w:fill="FFFFFF"/>
          <w:lang w:eastAsia="en-US"/>
        </w:rPr>
      </w:pPr>
      <w:r w:rsidRPr="00EC1A78">
        <w:rPr>
          <w:rFonts w:eastAsiaTheme="minorHAnsi"/>
          <w:color w:val="000000"/>
          <w:sz w:val="22"/>
          <w:szCs w:val="22"/>
          <w:lang w:eastAsia="en-US"/>
        </w:rPr>
        <w:lastRenderedPageBreak/>
        <w:t xml:space="preserve">УДК </w:t>
      </w:r>
      <w:r w:rsidRPr="00EC1A78">
        <w:rPr>
          <w:rFonts w:eastAsiaTheme="minorHAnsi"/>
          <w:color w:val="000000"/>
          <w:sz w:val="22"/>
          <w:szCs w:val="22"/>
          <w:shd w:val="clear" w:color="auto" w:fill="FFFFFF"/>
          <w:lang w:eastAsia="en-US"/>
        </w:rPr>
        <w:t>343</w:t>
      </w:r>
    </w:p>
    <w:p w:rsidR="00EC1A78" w:rsidRPr="00EC1A78" w:rsidRDefault="00EC1A78" w:rsidP="00EC1A78">
      <w:pPr>
        <w:ind w:firstLine="425"/>
        <w:jc w:val="center"/>
        <w:rPr>
          <w:rFonts w:eastAsiaTheme="minorHAnsi"/>
          <w:b/>
          <w:color w:val="000000"/>
          <w:sz w:val="24"/>
          <w:szCs w:val="24"/>
          <w:shd w:val="clear" w:color="auto" w:fill="FFFFFF"/>
          <w:lang w:eastAsia="en-US"/>
        </w:rPr>
      </w:pPr>
    </w:p>
    <w:p w:rsidR="00EC1A78" w:rsidRPr="00EC1A78" w:rsidRDefault="00EC1A78" w:rsidP="00EC1A78">
      <w:pPr>
        <w:jc w:val="center"/>
        <w:rPr>
          <w:rFonts w:eastAsiaTheme="minorHAnsi"/>
          <w:b/>
          <w:color w:val="000000"/>
          <w:sz w:val="24"/>
          <w:szCs w:val="24"/>
          <w:shd w:val="clear" w:color="auto" w:fill="FFFFFF"/>
          <w:lang w:eastAsia="en-US"/>
        </w:rPr>
      </w:pPr>
      <w:r w:rsidRPr="00EC1A78">
        <w:rPr>
          <w:rFonts w:eastAsiaTheme="minorHAnsi"/>
          <w:b/>
          <w:color w:val="000000"/>
          <w:sz w:val="24"/>
          <w:szCs w:val="24"/>
          <w:shd w:val="clear" w:color="auto" w:fill="FFFFFF"/>
          <w:lang w:eastAsia="en-US"/>
        </w:rPr>
        <w:t>Некоторые проблемы применения условно</w:t>
      </w:r>
      <w:r w:rsidRPr="00EC1A78">
        <w:rPr>
          <w:rFonts w:eastAsiaTheme="minorHAnsi"/>
          <w:b/>
          <w:sz w:val="24"/>
          <w:szCs w:val="24"/>
          <w:lang w:eastAsia="en-US"/>
        </w:rPr>
        <w:t>–</w:t>
      </w:r>
      <w:r w:rsidRPr="00EC1A78">
        <w:rPr>
          <w:rFonts w:eastAsiaTheme="minorHAnsi"/>
          <w:b/>
          <w:color w:val="000000"/>
          <w:sz w:val="24"/>
          <w:szCs w:val="24"/>
          <w:shd w:val="clear" w:color="auto" w:fill="FFFFFF"/>
          <w:lang w:eastAsia="en-US"/>
        </w:rPr>
        <w:t>досрочного освобождения от наказания</w:t>
      </w:r>
    </w:p>
    <w:p w:rsidR="00EC1A78" w:rsidRPr="00EC1A78" w:rsidRDefault="00EC1A78" w:rsidP="00EC1A78">
      <w:pPr>
        <w:jc w:val="center"/>
        <w:rPr>
          <w:rFonts w:eastAsiaTheme="minorHAnsi"/>
          <w:b/>
          <w:color w:val="000000"/>
          <w:sz w:val="24"/>
          <w:szCs w:val="24"/>
          <w:shd w:val="clear" w:color="auto" w:fill="FFFFFF"/>
          <w:lang w:val="en-US" w:eastAsia="en-US"/>
        </w:rPr>
      </w:pPr>
      <w:r w:rsidRPr="00EC1A78">
        <w:rPr>
          <w:rFonts w:eastAsiaTheme="minorHAnsi"/>
          <w:b/>
          <w:color w:val="000000"/>
          <w:sz w:val="24"/>
          <w:szCs w:val="24"/>
          <w:shd w:val="clear" w:color="auto" w:fill="FFFFFF"/>
          <w:lang w:val="en-US" w:eastAsia="en-US"/>
        </w:rPr>
        <w:t>Some problems of applying conditional early release</w:t>
      </w:r>
    </w:p>
    <w:p w:rsidR="00EC1A78" w:rsidRPr="00E62E4B" w:rsidRDefault="00EC1A78" w:rsidP="00EC1A78">
      <w:pPr>
        <w:jc w:val="center"/>
        <w:rPr>
          <w:rFonts w:eastAsiaTheme="minorHAnsi"/>
          <w:b/>
          <w:color w:val="000000"/>
          <w:sz w:val="24"/>
          <w:szCs w:val="24"/>
          <w:shd w:val="clear" w:color="auto" w:fill="FFFFFF"/>
          <w:lang w:val="en-US" w:eastAsia="en-US"/>
        </w:rPr>
      </w:pPr>
      <w:r w:rsidRPr="00EC1A78">
        <w:rPr>
          <w:rFonts w:eastAsiaTheme="minorHAnsi"/>
          <w:b/>
          <w:color w:val="000000"/>
          <w:sz w:val="24"/>
          <w:szCs w:val="24"/>
          <w:shd w:val="clear" w:color="auto" w:fill="FFFFFF"/>
          <w:lang w:val="en-US" w:eastAsia="en-US"/>
        </w:rPr>
        <w:t>from</w:t>
      </w:r>
      <w:r w:rsidRPr="00E62E4B">
        <w:rPr>
          <w:rFonts w:eastAsiaTheme="minorHAnsi"/>
          <w:b/>
          <w:color w:val="000000"/>
          <w:sz w:val="24"/>
          <w:szCs w:val="24"/>
          <w:shd w:val="clear" w:color="auto" w:fill="FFFFFF"/>
          <w:lang w:val="en-US" w:eastAsia="en-US"/>
        </w:rPr>
        <w:t xml:space="preserve"> </w:t>
      </w:r>
      <w:r w:rsidRPr="00EC1A78">
        <w:rPr>
          <w:rFonts w:eastAsiaTheme="minorHAnsi"/>
          <w:b/>
          <w:color w:val="000000"/>
          <w:sz w:val="24"/>
          <w:szCs w:val="24"/>
          <w:shd w:val="clear" w:color="auto" w:fill="FFFFFF"/>
          <w:lang w:val="en-US" w:eastAsia="en-US"/>
        </w:rPr>
        <w:t>punishment</w:t>
      </w:r>
    </w:p>
    <w:p w:rsidR="00EC1A78" w:rsidRPr="00E62E4B" w:rsidRDefault="00EC1A78" w:rsidP="00EC1A78">
      <w:pPr>
        <w:ind w:firstLine="425"/>
        <w:jc w:val="right"/>
        <w:rPr>
          <w:color w:val="000000"/>
          <w:sz w:val="22"/>
          <w:szCs w:val="22"/>
          <w:lang w:val="en-US"/>
        </w:rPr>
      </w:pPr>
    </w:p>
    <w:p w:rsidR="00EC1A78" w:rsidRPr="00E62E4B" w:rsidRDefault="00EC1A78" w:rsidP="00EC1A78">
      <w:pPr>
        <w:ind w:firstLine="425"/>
        <w:jc w:val="right"/>
        <w:rPr>
          <w:color w:val="000000"/>
          <w:sz w:val="22"/>
          <w:szCs w:val="22"/>
          <w:lang w:val="en-US"/>
        </w:rPr>
      </w:pPr>
      <w:r w:rsidRPr="00EC1A78">
        <w:rPr>
          <w:color w:val="000000"/>
          <w:sz w:val="22"/>
          <w:szCs w:val="22"/>
        </w:rPr>
        <w:t>Григоращенко</w:t>
      </w:r>
      <w:r w:rsidRPr="00E62E4B">
        <w:rPr>
          <w:color w:val="000000"/>
          <w:sz w:val="22"/>
          <w:szCs w:val="22"/>
          <w:lang w:val="en-US"/>
        </w:rPr>
        <w:t xml:space="preserve"> </w:t>
      </w:r>
      <w:r w:rsidRPr="00EC1A78">
        <w:rPr>
          <w:color w:val="000000"/>
          <w:sz w:val="22"/>
          <w:szCs w:val="22"/>
        </w:rPr>
        <w:t>И</w:t>
      </w:r>
      <w:r w:rsidRPr="00E62E4B">
        <w:rPr>
          <w:color w:val="000000"/>
          <w:sz w:val="22"/>
          <w:szCs w:val="22"/>
          <w:lang w:val="en-US"/>
        </w:rPr>
        <w:t>.</w:t>
      </w:r>
      <w:r w:rsidR="003A6F86" w:rsidRPr="00E62E4B">
        <w:rPr>
          <w:color w:val="000000"/>
          <w:sz w:val="22"/>
          <w:szCs w:val="22"/>
          <w:lang w:val="en-US"/>
        </w:rPr>
        <w:t xml:space="preserve"> </w:t>
      </w:r>
      <w:r w:rsidRPr="00EC1A78">
        <w:rPr>
          <w:color w:val="000000"/>
          <w:sz w:val="22"/>
          <w:szCs w:val="22"/>
        </w:rPr>
        <w:t>В</w:t>
      </w:r>
      <w:r w:rsidRPr="00E62E4B">
        <w:rPr>
          <w:color w:val="000000"/>
          <w:sz w:val="22"/>
          <w:szCs w:val="22"/>
          <w:lang w:val="en-US"/>
        </w:rPr>
        <w:t>.,</w:t>
      </w:r>
    </w:p>
    <w:p w:rsidR="00EC1A78" w:rsidRPr="00EC1A78" w:rsidRDefault="00EC1A78" w:rsidP="00EC1A78">
      <w:pPr>
        <w:ind w:firstLine="425"/>
        <w:jc w:val="right"/>
        <w:rPr>
          <w:color w:val="000000"/>
          <w:sz w:val="22"/>
          <w:szCs w:val="22"/>
        </w:rPr>
      </w:pPr>
      <w:r w:rsidRPr="00EC1A78">
        <w:rPr>
          <w:color w:val="000000"/>
          <w:sz w:val="22"/>
          <w:szCs w:val="22"/>
        </w:rPr>
        <w:t>студент 4–го курса юридического факультета</w:t>
      </w:r>
    </w:p>
    <w:p w:rsidR="00EC1A78" w:rsidRPr="00EC1A78" w:rsidRDefault="00EC1A78" w:rsidP="00EC1A78">
      <w:pPr>
        <w:ind w:firstLine="425"/>
        <w:jc w:val="right"/>
        <w:rPr>
          <w:color w:val="000000"/>
          <w:sz w:val="22"/>
          <w:szCs w:val="22"/>
        </w:rPr>
      </w:pPr>
      <w:r w:rsidRPr="00EC1A78">
        <w:rPr>
          <w:color w:val="000000"/>
          <w:sz w:val="22"/>
          <w:szCs w:val="22"/>
        </w:rPr>
        <w:t>Малин П.</w:t>
      </w:r>
      <w:r w:rsidR="003A6F86">
        <w:rPr>
          <w:color w:val="000000"/>
          <w:sz w:val="22"/>
          <w:szCs w:val="22"/>
        </w:rPr>
        <w:t xml:space="preserve"> </w:t>
      </w:r>
      <w:r w:rsidRPr="00EC1A78">
        <w:rPr>
          <w:color w:val="000000"/>
          <w:sz w:val="22"/>
          <w:szCs w:val="22"/>
        </w:rPr>
        <w:t>М.,</w:t>
      </w:r>
    </w:p>
    <w:p w:rsidR="00EC1A78" w:rsidRPr="00EC1A78" w:rsidRDefault="00EC1A78" w:rsidP="00EC1A78">
      <w:pPr>
        <w:ind w:firstLine="425"/>
        <w:jc w:val="right"/>
        <w:rPr>
          <w:color w:val="000000"/>
          <w:sz w:val="22"/>
          <w:szCs w:val="22"/>
        </w:rPr>
      </w:pPr>
      <w:r w:rsidRPr="00EC1A78">
        <w:rPr>
          <w:color w:val="000000"/>
          <w:sz w:val="22"/>
          <w:szCs w:val="22"/>
        </w:rPr>
        <w:t>доцент кафедры уголовного процесса</w:t>
      </w:r>
    </w:p>
    <w:p w:rsidR="00EC1A78" w:rsidRPr="00EC1A78" w:rsidRDefault="00EC1A78" w:rsidP="00EC1A78">
      <w:pPr>
        <w:ind w:firstLine="425"/>
        <w:jc w:val="right"/>
        <w:rPr>
          <w:color w:val="000000"/>
          <w:sz w:val="22"/>
          <w:szCs w:val="22"/>
        </w:rPr>
      </w:pPr>
      <w:r w:rsidRPr="00EC1A78">
        <w:rPr>
          <w:color w:val="000000"/>
          <w:sz w:val="22"/>
          <w:szCs w:val="22"/>
        </w:rPr>
        <w:t>Кубанский государственный аграрный</w:t>
      </w:r>
    </w:p>
    <w:p w:rsidR="00EC1A78" w:rsidRPr="00EC1A78" w:rsidRDefault="00EC1A78" w:rsidP="00EC1A78">
      <w:pPr>
        <w:ind w:firstLine="425"/>
        <w:jc w:val="right"/>
        <w:rPr>
          <w:color w:val="000000"/>
          <w:sz w:val="22"/>
          <w:szCs w:val="22"/>
        </w:rPr>
      </w:pPr>
      <w:r w:rsidRPr="00EC1A78">
        <w:rPr>
          <w:color w:val="000000"/>
          <w:sz w:val="22"/>
          <w:szCs w:val="22"/>
        </w:rPr>
        <w:t>университет имени И.</w:t>
      </w:r>
      <w:r w:rsidR="003A6F86">
        <w:rPr>
          <w:color w:val="000000"/>
          <w:sz w:val="22"/>
          <w:szCs w:val="22"/>
        </w:rPr>
        <w:t xml:space="preserve"> </w:t>
      </w:r>
      <w:r w:rsidRPr="00EC1A78">
        <w:rPr>
          <w:color w:val="000000"/>
          <w:sz w:val="22"/>
          <w:szCs w:val="22"/>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color w:val="000000"/>
          <w:sz w:val="22"/>
          <w:szCs w:val="22"/>
          <w:shd w:val="clear" w:color="auto" w:fill="FFFFFF"/>
          <w:lang w:eastAsia="en-US"/>
        </w:rPr>
        <w:t>АННОТАЦИЯ: Рассматриваются теоретические и практич</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 xml:space="preserve">ские вопросы условно–досрочного освобождения при отбывании уголовного наказания в виде пожизненного лишения свободы. </w:t>
      </w:r>
      <w:r w:rsidRPr="00EC1A78">
        <w:rPr>
          <w:rFonts w:eastAsiaTheme="minorHAnsi"/>
          <w:sz w:val="22"/>
          <w:szCs w:val="22"/>
          <w:lang w:val="en-US" w:eastAsia="en-US"/>
        </w:rPr>
        <w:t>A</w:t>
      </w:r>
      <w:r w:rsidRPr="00EC1A78">
        <w:rPr>
          <w:rFonts w:eastAsiaTheme="minorHAnsi"/>
          <w:sz w:val="22"/>
          <w:szCs w:val="22"/>
          <w:lang w:val="en-US" w:eastAsia="en-US"/>
        </w:rPr>
        <w:t>N</w:t>
      </w:r>
      <w:r w:rsidRPr="00EC1A78">
        <w:rPr>
          <w:rFonts w:eastAsiaTheme="minorHAnsi"/>
          <w:sz w:val="22"/>
          <w:szCs w:val="22"/>
          <w:lang w:val="en-US" w:eastAsia="en-US"/>
        </w:rPr>
        <w:t xml:space="preserve">NOTATION: Theoretical and practical issues of parole are considered when serving a criminal punishment in the form of life imprisonment.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пожизненное лишение свободы, усло</w:t>
      </w:r>
      <w:r w:rsidRPr="00EC1A78">
        <w:rPr>
          <w:rFonts w:eastAsiaTheme="minorHAnsi"/>
          <w:sz w:val="22"/>
          <w:szCs w:val="22"/>
          <w:lang w:eastAsia="en-US"/>
        </w:rPr>
        <w:t>в</w:t>
      </w:r>
      <w:r w:rsidRPr="00EC1A78">
        <w:rPr>
          <w:rFonts w:eastAsiaTheme="minorHAnsi"/>
          <w:sz w:val="22"/>
          <w:szCs w:val="22"/>
          <w:lang w:eastAsia="en-US"/>
        </w:rPr>
        <w:t>но–досрочное освобождение.</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life imprisonment, grant of parole.</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 данным ФСИН, 200 арестантов в этом году могут претенд</w:t>
      </w:r>
      <w:r w:rsidRPr="00EC1A78">
        <w:rPr>
          <w:rFonts w:eastAsiaTheme="minorHAnsi"/>
          <w:sz w:val="22"/>
          <w:szCs w:val="22"/>
          <w:lang w:eastAsia="en-US"/>
        </w:rPr>
        <w:t>о</w:t>
      </w:r>
      <w:r w:rsidR="00EB59EF">
        <w:rPr>
          <w:rFonts w:eastAsiaTheme="minorHAnsi"/>
          <w:sz w:val="22"/>
          <w:szCs w:val="22"/>
          <w:lang w:eastAsia="en-US"/>
        </w:rPr>
        <w:t>вать на</w:t>
      </w:r>
      <w:r w:rsidRPr="00EC1A78">
        <w:rPr>
          <w:rFonts w:eastAsiaTheme="minorHAnsi"/>
          <w:sz w:val="22"/>
          <w:szCs w:val="22"/>
          <w:lang w:eastAsia="en-US"/>
        </w:rPr>
        <w:t xml:space="preserve"> условно – досрочное освобождение, отбывающих пожи</w:t>
      </w:r>
      <w:r w:rsidRPr="00EC1A78">
        <w:rPr>
          <w:rFonts w:eastAsiaTheme="minorHAnsi"/>
          <w:sz w:val="22"/>
          <w:szCs w:val="22"/>
          <w:lang w:eastAsia="en-US"/>
        </w:rPr>
        <w:t>з</w:t>
      </w:r>
      <w:r w:rsidRPr="00EC1A78">
        <w:rPr>
          <w:rFonts w:eastAsiaTheme="minorHAnsi"/>
          <w:sz w:val="22"/>
          <w:szCs w:val="22"/>
          <w:lang w:eastAsia="en-US"/>
        </w:rPr>
        <w:t>ненное наказание. Для тех лиц, которые совершили особо тяжкие преступления, закон предоставляет шанс на досрочное освобожд</w:t>
      </w:r>
      <w:r w:rsidRPr="00EC1A78">
        <w:rPr>
          <w:rFonts w:eastAsiaTheme="minorHAnsi"/>
          <w:sz w:val="22"/>
          <w:szCs w:val="22"/>
          <w:lang w:eastAsia="en-US"/>
        </w:rPr>
        <w:t>е</w:t>
      </w:r>
      <w:r w:rsidRPr="00EC1A78">
        <w:rPr>
          <w:rFonts w:eastAsiaTheme="minorHAnsi"/>
          <w:sz w:val="22"/>
          <w:szCs w:val="22"/>
          <w:lang w:eastAsia="en-US"/>
        </w:rPr>
        <w:t>ние. Однако вероятность их выхода на свободу крайне мала: норма, согласно которой преступники могут выйти из тюрьмы при жизни, еще ни разу не была воплощена. Эксперты скептически оценили ее перспективы. Согласно части 5 статьи 79 Уголовного кодекса РФ, осуждённые на пожизненный срок заключённые могут рассчит</w:t>
      </w:r>
      <w:r w:rsidRPr="00EC1A78">
        <w:rPr>
          <w:rFonts w:eastAsiaTheme="minorHAnsi"/>
          <w:sz w:val="22"/>
          <w:szCs w:val="22"/>
          <w:lang w:eastAsia="en-US"/>
        </w:rPr>
        <w:t>ы</w:t>
      </w:r>
      <w:r w:rsidRPr="00EC1A78">
        <w:rPr>
          <w:rFonts w:eastAsiaTheme="minorHAnsi"/>
          <w:sz w:val="22"/>
          <w:szCs w:val="22"/>
          <w:lang w:eastAsia="en-US"/>
        </w:rPr>
        <w:t>вать на условно–досрочное освобождение по истечении 25 лет с того момента, когда они были арестованы. На данный момент пр</w:t>
      </w:r>
      <w:r w:rsidRPr="00EC1A78">
        <w:rPr>
          <w:rFonts w:eastAsiaTheme="minorHAnsi"/>
          <w:sz w:val="22"/>
          <w:szCs w:val="22"/>
          <w:lang w:eastAsia="en-US"/>
        </w:rPr>
        <w:t>о</w:t>
      </w:r>
      <w:r w:rsidRPr="00EC1A78">
        <w:rPr>
          <w:rFonts w:eastAsiaTheme="minorHAnsi"/>
          <w:sz w:val="22"/>
          <w:szCs w:val="22"/>
          <w:lang w:eastAsia="en-US"/>
        </w:rPr>
        <w:t>шения такого рода имеют право подавать осужденные,  чье закл</w:t>
      </w:r>
      <w:r w:rsidRPr="00EC1A78">
        <w:rPr>
          <w:rFonts w:eastAsiaTheme="minorHAnsi"/>
          <w:sz w:val="22"/>
          <w:szCs w:val="22"/>
          <w:lang w:eastAsia="en-US"/>
        </w:rPr>
        <w:t>ю</w:t>
      </w:r>
      <w:r w:rsidRPr="00EC1A78">
        <w:rPr>
          <w:rFonts w:eastAsiaTheme="minorHAnsi"/>
          <w:sz w:val="22"/>
          <w:szCs w:val="22"/>
          <w:lang w:eastAsia="en-US"/>
        </w:rPr>
        <w:t>чение было совершено до 1992 года.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1896 приговоренных – именно такая цифра осужденных к п</w:t>
      </w:r>
      <w:r w:rsidRPr="00EC1A78">
        <w:rPr>
          <w:rFonts w:eastAsiaTheme="minorHAnsi"/>
          <w:sz w:val="22"/>
          <w:szCs w:val="22"/>
          <w:lang w:eastAsia="en-US"/>
        </w:rPr>
        <w:t>о</w:t>
      </w:r>
      <w:r w:rsidRPr="00EC1A78">
        <w:rPr>
          <w:rFonts w:eastAsiaTheme="minorHAnsi"/>
          <w:sz w:val="22"/>
          <w:szCs w:val="22"/>
          <w:lang w:eastAsia="en-US"/>
        </w:rPr>
        <w:t>жизненному лишению свободы имелась к началу 2017 года, однако только 200 таких заключённых получили право подать ходатайство об условно–досрочном освобождении.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Необходимо уделить внимание процедуре подачи ходатайства. Ход последовательных действий определен ст. 175 УИК РФ. В этой статье говорится о том, что осужденный, его адвокат (либо другой законный представитель), может обратиться в суд с предоставлен</w:t>
      </w:r>
      <w:r w:rsidRPr="00EC1A78">
        <w:rPr>
          <w:rFonts w:eastAsiaTheme="minorHAnsi"/>
          <w:sz w:val="22"/>
          <w:szCs w:val="22"/>
          <w:lang w:eastAsia="en-US"/>
        </w:rPr>
        <w:t>и</w:t>
      </w:r>
      <w:r w:rsidRPr="00EC1A78">
        <w:rPr>
          <w:rFonts w:eastAsiaTheme="minorHAnsi"/>
          <w:sz w:val="22"/>
          <w:szCs w:val="22"/>
          <w:lang w:eastAsia="en-US"/>
        </w:rPr>
        <w:t>ем ходатайства. В нем должен быть соблюден ряд условий, позв</w:t>
      </w:r>
      <w:r w:rsidRPr="00EC1A78">
        <w:rPr>
          <w:rFonts w:eastAsiaTheme="minorHAnsi"/>
          <w:sz w:val="22"/>
          <w:szCs w:val="22"/>
          <w:lang w:eastAsia="en-US"/>
        </w:rPr>
        <w:t>о</w:t>
      </w:r>
      <w:r w:rsidRPr="00EC1A78">
        <w:rPr>
          <w:rFonts w:eastAsiaTheme="minorHAnsi"/>
          <w:sz w:val="22"/>
          <w:szCs w:val="22"/>
          <w:lang w:eastAsia="en-US"/>
        </w:rPr>
        <w:t>ляющих получить условно–досрочное освобождение. Необходимо указать на факты, свидетельствующие о том, что заключенный, в период отбывания наказания, полностью исправился и больше не нуждается в дальнейшем пребывании в местах лишения свободы. Так же, он возместил причиненный вред (полностью или частично). Помимо этого он должен раскаяться в совершенном деянии. Так же, при наличии, должны присутствовать иные сведения об исправл</w:t>
      </w:r>
      <w:r w:rsidRPr="00EC1A78">
        <w:rPr>
          <w:rFonts w:eastAsiaTheme="minorHAnsi"/>
          <w:sz w:val="22"/>
          <w:szCs w:val="22"/>
          <w:lang w:eastAsia="en-US"/>
        </w:rPr>
        <w:t>е</w:t>
      </w:r>
      <w:r w:rsidRPr="00EC1A78">
        <w:rPr>
          <w:rFonts w:eastAsiaTheme="minorHAnsi"/>
          <w:sz w:val="22"/>
          <w:szCs w:val="22"/>
          <w:lang w:eastAsia="en-US"/>
        </w:rPr>
        <w:t xml:space="preserve">нии осужденного[2].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Ходатайство об условно–досрочном освобождении от отбыв</w:t>
      </w:r>
      <w:r w:rsidRPr="00EC1A78">
        <w:rPr>
          <w:rFonts w:eastAsiaTheme="minorHAnsi"/>
          <w:sz w:val="22"/>
          <w:szCs w:val="22"/>
          <w:lang w:eastAsia="en-US"/>
        </w:rPr>
        <w:t>а</w:t>
      </w:r>
      <w:r w:rsidRPr="00EC1A78">
        <w:rPr>
          <w:rFonts w:eastAsiaTheme="minorHAnsi"/>
          <w:sz w:val="22"/>
          <w:szCs w:val="22"/>
          <w:lang w:eastAsia="en-US"/>
        </w:rPr>
        <w:t>ния наказания осужденный подает через администрацию учрежд</w:t>
      </w:r>
      <w:r w:rsidRPr="00EC1A78">
        <w:rPr>
          <w:rFonts w:eastAsiaTheme="minorHAnsi"/>
          <w:sz w:val="22"/>
          <w:szCs w:val="22"/>
          <w:lang w:eastAsia="en-US"/>
        </w:rPr>
        <w:t>е</w:t>
      </w:r>
      <w:r w:rsidRPr="00EC1A78">
        <w:rPr>
          <w:rFonts w:eastAsiaTheme="minorHAnsi"/>
          <w:sz w:val="22"/>
          <w:szCs w:val="22"/>
          <w:lang w:eastAsia="en-US"/>
        </w:rPr>
        <w:t xml:space="preserve">ния или органа, исполняющего наказание, в котором осужденный отбывает наказание.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Далее, соблюдая процедуру предоставления УДО, заключе</w:t>
      </w:r>
      <w:r w:rsidRPr="00EC1A78">
        <w:rPr>
          <w:rFonts w:eastAsiaTheme="minorHAnsi"/>
          <w:sz w:val="22"/>
          <w:szCs w:val="22"/>
          <w:lang w:eastAsia="en-US"/>
        </w:rPr>
        <w:t>н</w:t>
      </w:r>
      <w:r w:rsidRPr="00EC1A78">
        <w:rPr>
          <w:rFonts w:eastAsiaTheme="minorHAnsi"/>
          <w:sz w:val="22"/>
          <w:szCs w:val="22"/>
          <w:lang w:eastAsia="en-US"/>
        </w:rPr>
        <w:t>ный (либо его законный представитель) направляет ходатайство в администрацию исправительного учреждения, а она, в свою оч</w:t>
      </w:r>
      <w:r w:rsidRPr="00EC1A78">
        <w:rPr>
          <w:rFonts w:eastAsiaTheme="minorHAnsi"/>
          <w:sz w:val="22"/>
          <w:szCs w:val="22"/>
          <w:lang w:eastAsia="en-US"/>
        </w:rPr>
        <w:t>е</w:t>
      </w:r>
      <w:r w:rsidRPr="00EC1A78">
        <w:rPr>
          <w:rFonts w:eastAsiaTheme="minorHAnsi"/>
          <w:sz w:val="22"/>
          <w:szCs w:val="22"/>
          <w:lang w:eastAsia="en-US"/>
        </w:rPr>
        <w:t>редь, обязана рассмотреть его и, приложив характеристику на осужденного, отправить документы в суд. Характеристика соде</w:t>
      </w:r>
      <w:r w:rsidRPr="00EC1A78">
        <w:rPr>
          <w:rFonts w:eastAsiaTheme="minorHAnsi"/>
          <w:sz w:val="22"/>
          <w:szCs w:val="22"/>
          <w:lang w:eastAsia="en-US"/>
        </w:rPr>
        <w:t>р</w:t>
      </w:r>
      <w:r w:rsidRPr="00EC1A78">
        <w:rPr>
          <w:rFonts w:eastAsiaTheme="minorHAnsi"/>
          <w:sz w:val="22"/>
          <w:szCs w:val="22"/>
          <w:lang w:eastAsia="en-US"/>
        </w:rPr>
        <w:t>жит сведения о заключенном, в ней указывается информация об отношении заключенного к труду и учебе на протяжении всего ср</w:t>
      </w:r>
      <w:r w:rsidRPr="00EC1A78">
        <w:rPr>
          <w:rFonts w:eastAsiaTheme="minorHAnsi"/>
          <w:sz w:val="22"/>
          <w:szCs w:val="22"/>
          <w:lang w:eastAsia="en-US"/>
        </w:rPr>
        <w:t>о</w:t>
      </w:r>
      <w:r w:rsidRPr="00EC1A78">
        <w:rPr>
          <w:rFonts w:eastAsiaTheme="minorHAnsi"/>
          <w:sz w:val="22"/>
          <w:szCs w:val="22"/>
          <w:lang w:eastAsia="en-US"/>
        </w:rPr>
        <w:t xml:space="preserve">ка отбывания наказания.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«Случаи обращения с подобными ходатайствами были, но п</w:t>
      </w:r>
      <w:r w:rsidRPr="00EC1A78">
        <w:rPr>
          <w:rFonts w:eastAsiaTheme="minorHAnsi"/>
          <w:sz w:val="22"/>
          <w:szCs w:val="22"/>
          <w:lang w:eastAsia="en-US"/>
        </w:rPr>
        <w:t>о</w:t>
      </w:r>
      <w:r w:rsidRPr="00EC1A78">
        <w:rPr>
          <w:rFonts w:eastAsiaTheme="minorHAnsi"/>
          <w:sz w:val="22"/>
          <w:szCs w:val="22"/>
          <w:lang w:eastAsia="en-US"/>
        </w:rPr>
        <w:t>ложительных решений судом принято не было. Некоторым закл</w:t>
      </w:r>
      <w:r w:rsidRPr="00EC1A78">
        <w:rPr>
          <w:rFonts w:eastAsiaTheme="minorHAnsi"/>
          <w:sz w:val="22"/>
          <w:szCs w:val="22"/>
          <w:lang w:eastAsia="en-US"/>
        </w:rPr>
        <w:t>ю</w:t>
      </w:r>
      <w:r w:rsidRPr="00EC1A78">
        <w:rPr>
          <w:rFonts w:eastAsiaTheme="minorHAnsi"/>
          <w:sz w:val="22"/>
          <w:szCs w:val="22"/>
          <w:lang w:eastAsia="en-US"/>
        </w:rPr>
        <w:t>ченным просто некуда идти после 25–летнего заключения, многих просто никто не ждёт – мир за это время сильно изменился. Из–за этого некоторые заключённые могут не планировать подавать пр</w:t>
      </w:r>
      <w:r w:rsidRPr="00EC1A78">
        <w:rPr>
          <w:rFonts w:eastAsiaTheme="minorHAnsi"/>
          <w:sz w:val="22"/>
          <w:szCs w:val="22"/>
          <w:lang w:eastAsia="en-US"/>
        </w:rPr>
        <w:t>о</w:t>
      </w:r>
      <w:r w:rsidRPr="00EC1A78">
        <w:rPr>
          <w:rFonts w:eastAsiaTheme="minorHAnsi"/>
          <w:sz w:val="22"/>
          <w:szCs w:val="22"/>
          <w:lang w:eastAsia="en-US"/>
        </w:rPr>
        <w:t>шения», – отметил представитель ФСИН.</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первой половине 1990–х пожизненное заключение примен</w:t>
      </w:r>
      <w:r w:rsidRPr="00EC1A78">
        <w:rPr>
          <w:rFonts w:eastAsiaTheme="minorHAnsi"/>
          <w:sz w:val="22"/>
          <w:szCs w:val="22"/>
          <w:lang w:eastAsia="en-US"/>
        </w:rPr>
        <w:t>я</w:t>
      </w:r>
      <w:r w:rsidRPr="00EC1A78">
        <w:rPr>
          <w:rFonts w:eastAsiaTheme="minorHAnsi"/>
          <w:sz w:val="22"/>
          <w:szCs w:val="22"/>
          <w:lang w:eastAsia="en-US"/>
        </w:rPr>
        <w:t>лось как альтернатива смертной казни при рассмотрении прошений о помиловании. Суды не могли приговорить подсудимого к пожи</w:t>
      </w:r>
      <w:r w:rsidRPr="00EC1A78">
        <w:rPr>
          <w:rFonts w:eastAsiaTheme="minorHAnsi"/>
          <w:sz w:val="22"/>
          <w:szCs w:val="22"/>
          <w:lang w:eastAsia="en-US"/>
        </w:rPr>
        <w:t>з</w:t>
      </w:r>
      <w:r w:rsidRPr="00EC1A78">
        <w:rPr>
          <w:rFonts w:eastAsiaTheme="minorHAnsi"/>
          <w:sz w:val="22"/>
          <w:szCs w:val="22"/>
          <w:lang w:eastAsia="en-US"/>
        </w:rPr>
        <w:lastRenderedPageBreak/>
        <w:t>ненному заключению. Как самостоятельная санкция пожизненное лишение свободы было введено в 1996 году, когда Россия вступила в Совет Европы и обязалась в течение года ратифицировать Евр</w:t>
      </w:r>
      <w:r w:rsidRPr="00EC1A78">
        <w:rPr>
          <w:rFonts w:eastAsiaTheme="minorHAnsi"/>
          <w:sz w:val="22"/>
          <w:szCs w:val="22"/>
          <w:lang w:eastAsia="en-US"/>
        </w:rPr>
        <w:t>о</w:t>
      </w:r>
      <w:r w:rsidRPr="00EC1A78">
        <w:rPr>
          <w:rFonts w:eastAsiaTheme="minorHAnsi"/>
          <w:sz w:val="22"/>
          <w:szCs w:val="22"/>
          <w:lang w:eastAsia="en-US"/>
        </w:rPr>
        <w:t>пейскую конвенцию о защите прав человека и основных свобод. Отметим, что протокол №6 Конвенции «об отмене смертной казни» до сих пор не ратифицирован Российской Федерацией[1].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Хотя формально осуждённые на пожизненное заключение имеют право просить о досрочном освобождении, пока ни один из таких арестантов не вышел из тюрьмы.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2015 году с просьбой об условно–досрочном освобождении в суд обратился 70–летний Пётр Стаховцев, приговорённый к пожизненному заключению. Он был осуждён в 1991 году за орг</w:t>
      </w:r>
      <w:r w:rsidRPr="00EC1A78">
        <w:rPr>
          <w:rFonts w:eastAsiaTheme="minorHAnsi"/>
          <w:sz w:val="22"/>
          <w:szCs w:val="22"/>
          <w:lang w:eastAsia="en-US"/>
        </w:rPr>
        <w:t>а</w:t>
      </w:r>
      <w:r w:rsidRPr="00EC1A78">
        <w:rPr>
          <w:rFonts w:eastAsiaTheme="minorHAnsi"/>
          <w:sz w:val="22"/>
          <w:szCs w:val="22"/>
          <w:lang w:eastAsia="en-US"/>
        </w:rPr>
        <w:t xml:space="preserve">низацию банды из пяти человек, которая занималась вооружёнными налётами и убийствами.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марте 2016 года Зубово–Полянский суд Мордовии отклонил ходатайство Стаховцева из–за одного дисциплинарного взыскания: осуждённый, страдающий недержанием мочи, вышел ночью в ту</w:t>
      </w:r>
      <w:r w:rsidRPr="00EC1A78">
        <w:rPr>
          <w:rFonts w:eastAsiaTheme="minorHAnsi"/>
          <w:sz w:val="22"/>
          <w:szCs w:val="22"/>
          <w:lang w:eastAsia="en-US"/>
        </w:rPr>
        <w:t>а</w:t>
      </w:r>
      <w:r w:rsidRPr="00EC1A78">
        <w:rPr>
          <w:rFonts w:eastAsiaTheme="minorHAnsi"/>
          <w:sz w:val="22"/>
          <w:szCs w:val="22"/>
          <w:lang w:eastAsia="en-US"/>
        </w:rPr>
        <w:t>лет, не одевшись по форме.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При этом решение об УДО принимает суд, и ФСИН не оказ</w:t>
      </w:r>
      <w:r w:rsidRPr="00EC1A78">
        <w:rPr>
          <w:rFonts w:eastAsiaTheme="minorHAnsi"/>
          <w:sz w:val="22"/>
          <w:szCs w:val="22"/>
          <w:lang w:eastAsia="en-US"/>
        </w:rPr>
        <w:t>ы</w:t>
      </w:r>
      <w:r w:rsidRPr="00EC1A78">
        <w:rPr>
          <w:rFonts w:eastAsiaTheme="minorHAnsi"/>
          <w:sz w:val="22"/>
          <w:szCs w:val="22"/>
          <w:lang w:eastAsia="en-US"/>
        </w:rPr>
        <w:t>вает на него никакого влияния, говорят представители пенитенц</w:t>
      </w:r>
      <w:r w:rsidRPr="00EC1A78">
        <w:rPr>
          <w:rFonts w:eastAsiaTheme="minorHAnsi"/>
          <w:sz w:val="22"/>
          <w:szCs w:val="22"/>
          <w:lang w:eastAsia="en-US"/>
        </w:rPr>
        <w:t>и</w:t>
      </w:r>
      <w:r w:rsidRPr="00EC1A78">
        <w:rPr>
          <w:rFonts w:eastAsiaTheme="minorHAnsi"/>
          <w:sz w:val="22"/>
          <w:szCs w:val="22"/>
          <w:lang w:eastAsia="en-US"/>
        </w:rPr>
        <w:t>арной системы[3].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теории, возможность освобождения из пожизненного закл</w:t>
      </w:r>
      <w:r w:rsidRPr="00EC1A78">
        <w:rPr>
          <w:rFonts w:eastAsiaTheme="minorHAnsi"/>
          <w:sz w:val="22"/>
          <w:szCs w:val="22"/>
          <w:lang w:eastAsia="en-US"/>
        </w:rPr>
        <w:t>ю</w:t>
      </w:r>
      <w:r w:rsidRPr="00EC1A78">
        <w:rPr>
          <w:rFonts w:eastAsiaTheme="minorHAnsi"/>
          <w:sz w:val="22"/>
          <w:szCs w:val="22"/>
          <w:lang w:eastAsia="en-US"/>
        </w:rPr>
        <w:t>чения по УДО должна быть. В жизни бывают разные ситуации, и могут возникнуть разные обстоятельства. Но поскольку это искл</w:t>
      </w:r>
      <w:r w:rsidRPr="00EC1A78">
        <w:rPr>
          <w:rFonts w:eastAsiaTheme="minorHAnsi"/>
          <w:sz w:val="22"/>
          <w:szCs w:val="22"/>
          <w:lang w:eastAsia="en-US"/>
        </w:rPr>
        <w:t>ю</w:t>
      </w:r>
      <w:r w:rsidRPr="00EC1A78">
        <w:rPr>
          <w:rFonts w:eastAsiaTheme="minorHAnsi"/>
          <w:sz w:val="22"/>
          <w:szCs w:val="22"/>
          <w:lang w:eastAsia="en-US"/>
        </w:rPr>
        <w:t>чительная мера наказания, то и освобождение от неё тоже должно быть случаем исключительным и оговариваться множеством усл</w:t>
      </w:r>
      <w:r w:rsidRPr="00EC1A78">
        <w:rPr>
          <w:rFonts w:eastAsiaTheme="minorHAnsi"/>
          <w:sz w:val="22"/>
          <w:szCs w:val="22"/>
          <w:lang w:eastAsia="en-US"/>
        </w:rPr>
        <w:t>о</w:t>
      </w:r>
      <w:r w:rsidRPr="00EC1A78">
        <w:rPr>
          <w:rFonts w:eastAsiaTheme="minorHAnsi"/>
          <w:sz w:val="22"/>
          <w:szCs w:val="22"/>
          <w:lang w:eastAsia="en-US"/>
        </w:rPr>
        <w:t>вий.</w:t>
      </w:r>
    </w:p>
    <w:p w:rsidR="00EC1A78" w:rsidRPr="00EC1A78" w:rsidRDefault="00EC1A78" w:rsidP="00EC1A78">
      <w:pPr>
        <w:ind w:firstLine="425"/>
        <w:jc w:val="center"/>
        <w:rPr>
          <w:rFonts w:eastAsiaTheme="minorHAnsi"/>
          <w:color w:val="000000"/>
          <w:sz w:val="22"/>
          <w:szCs w:val="22"/>
          <w:lang w:eastAsia="en-US"/>
        </w:rPr>
      </w:pPr>
    </w:p>
    <w:p w:rsidR="00EC1A78" w:rsidRPr="00EC1A78" w:rsidRDefault="00EC1A78" w:rsidP="00EC1A78">
      <w:pPr>
        <w:ind w:firstLine="425"/>
        <w:jc w:val="center"/>
        <w:rPr>
          <w:rFonts w:eastAsiaTheme="minorHAnsi"/>
          <w:color w:val="000000"/>
          <w:sz w:val="22"/>
          <w:szCs w:val="22"/>
          <w:lang w:eastAsia="en-US"/>
        </w:rPr>
      </w:pPr>
      <w:r w:rsidRPr="00EC1A78">
        <w:rPr>
          <w:rFonts w:eastAsiaTheme="minorHAnsi"/>
          <w:color w:val="000000"/>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Протокол N 6 к Конвенции о защите прав человека и осно</w:t>
      </w:r>
      <w:r w:rsidRPr="00EC1A78">
        <w:rPr>
          <w:rFonts w:eastAsiaTheme="minorHAnsi"/>
          <w:sz w:val="22"/>
          <w:szCs w:val="22"/>
          <w:lang w:eastAsia="en-US"/>
        </w:rPr>
        <w:t>в</w:t>
      </w:r>
      <w:r w:rsidRPr="00EC1A78">
        <w:rPr>
          <w:rFonts w:eastAsiaTheme="minorHAnsi"/>
          <w:sz w:val="22"/>
          <w:szCs w:val="22"/>
          <w:lang w:eastAsia="en-US"/>
        </w:rPr>
        <w:t>ных свобод относительно отмены смертной казни (Страсбург, 28 апреля 1983 г.) (с изменениями от 11 мая 1994 г.) ETS N 114</w:t>
      </w:r>
    </w:p>
    <w:p w:rsidR="00EC1A78" w:rsidRPr="00EC1A78" w:rsidRDefault="00EC1A78" w:rsidP="00EC1A78">
      <w:pPr>
        <w:shd w:val="clear" w:color="auto" w:fill="FFFFFF"/>
        <w:ind w:firstLine="426"/>
        <w:jc w:val="both"/>
        <w:textAlignment w:val="top"/>
        <w:rPr>
          <w:color w:val="333333"/>
          <w:sz w:val="22"/>
          <w:szCs w:val="22"/>
        </w:rPr>
      </w:pPr>
      <w:r w:rsidRPr="00EC1A78">
        <w:rPr>
          <w:sz w:val="24"/>
          <w:szCs w:val="24"/>
        </w:rPr>
        <w:t xml:space="preserve">2. </w:t>
      </w:r>
      <w:hyperlink r:id="rId372" w:history="1">
        <w:r w:rsidRPr="00EC1A78">
          <w:rPr>
            <w:color w:val="000000"/>
            <w:sz w:val="22"/>
            <w:szCs w:val="22"/>
          </w:rPr>
          <w:t>Малинин В.Б., Смирнов Л.Б. Уголовно–исполнительное пр</w:t>
        </w:r>
        <w:r w:rsidRPr="00EC1A78">
          <w:rPr>
            <w:color w:val="000000"/>
            <w:sz w:val="22"/>
            <w:szCs w:val="22"/>
          </w:rPr>
          <w:t>а</w:t>
        </w:r>
        <w:r w:rsidRPr="00EC1A78">
          <w:rPr>
            <w:color w:val="000000"/>
            <w:sz w:val="22"/>
            <w:szCs w:val="22"/>
          </w:rPr>
          <w:t>во: Учебник. — М.: Межрегиональный институт экономики и пр</w:t>
        </w:r>
        <w:r w:rsidRPr="00EC1A78">
          <w:rPr>
            <w:color w:val="000000"/>
            <w:sz w:val="22"/>
            <w:szCs w:val="22"/>
          </w:rPr>
          <w:t>а</w:t>
        </w:r>
        <w:r w:rsidRPr="00EC1A78">
          <w:rPr>
            <w:color w:val="000000"/>
            <w:sz w:val="22"/>
            <w:szCs w:val="22"/>
          </w:rPr>
          <w:t>ва, Юридическая фирма «КОНТРАКТ», Волтерс Клувер, 2009.</w:t>
        </w:r>
      </w:hyperlink>
    </w:p>
    <w:p w:rsidR="00EC1A78" w:rsidRPr="00EC1A78" w:rsidRDefault="00EC1A78" w:rsidP="00EC1A78">
      <w:pPr>
        <w:shd w:val="clear" w:color="auto" w:fill="FFFFFF"/>
        <w:ind w:firstLine="426"/>
        <w:jc w:val="both"/>
        <w:textAlignment w:val="top"/>
        <w:rPr>
          <w:sz w:val="24"/>
          <w:szCs w:val="24"/>
        </w:rPr>
      </w:pPr>
      <w:r w:rsidRPr="00EC1A78">
        <w:rPr>
          <w:color w:val="333333"/>
          <w:sz w:val="22"/>
          <w:szCs w:val="22"/>
        </w:rPr>
        <w:t xml:space="preserve">3. </w:t>
      </w:r>
      <w:r w:rsidRPr="00EC1A78">
        <w:rPr>
          <w:sz w:val="22"/>
          <w:szCs w:val="22"/>
        </w:rPr>
        <w:t>Курс уголовного процесса / Под ред. д.ю.н., проф. Л.В. Г</w:t>
      </w:r>
      <w:r w:rsidRPr="00EC1A78">
        <w:rPr>
          <w:sz w:val="22"/>
          <w:szCs w:val="22"/>
        </w:rPr>
        <w:t>о</w:t>
      </w:r>
      <w:r w:rsidRPr="00EC1A78">
        <w:rPr>
          <w:sz w:val="22"/>
          <w:szCs w:val="22"/>
        </w:rPr>
        <w:t>ловко. – 2–е изд., испр. – М.: Статут, 2017.</w:t>
      </w:r>
    </w:p>
    <w:p w:rsidR="003A6F86" w:rsidRPr="00EC1A78" w:rsidRDefault="003A6F86" w:rsidP="00EC1A78">
      <w:pPr>
        <w:jc w:val="both"/>
        <w:rPr>
          <w:rFonts w:eastAsiaTheme="minorHAnsi"/>
          <w:sz w:val="22"/>
          <w:szCs w:val="22"/>
          <w:lang w:eastAsia="en-US"/>
        </w:rPr>
      </w:pPr>
    </w:p>
    <w:p w:rsidR="00EC1A78" w:rsidRPr="00E62E4B" w:rsidRDefault="00EC1A78" w:rsidP="00EC1A78">
      <w:pPr>
        <w:rPr>
          <w:rFonts w:eastAsiaTheme="minorHAnsi"/>
          <w:color w:val="181818"/>
          <w:sz w:val="22"/>
          <w:szCs w:val="22"/>
          <w:lang w:eastAsia="en-US"/>
        </w:rPr>
      </w:pPr>
      <w:r w:rsidRPr="00EC1A78">
        <w:rPr>
          <w:rFonts w:eastAsiaTheme="minorHAnsi"/>
          <w:color w:val="181818"/>
          <w:sz w:val="22"/>
          <w:szCs w:val="22"/>
          <w:lang w:eastAsia="en-US"/>
        </w:rPr>
        <w:lastRenderedPageBreak/>
        <w:t>УДК</w:t>
      </w:r>
      <w:r w:rsidRPr="00E62E4B">
        <w:rPr>
          <w:rFonts w:eastAsiaTheme="minorHAnsi"/>
          <w:color w:val="181818"/>
          <w:sz w:val="22"/>
          <w:szCs w:val="22"/>
          <w:lang w:eastAsia="en-US"/>
        </w:rPr>
        <w:t xml:space="preserve"> 343.3/.7</w:t>
      </w:r>
    </w:p>
    <w:p w:rsidR="00EC1A78" w:rsidRPr="00E62E4B" w:rsidRDefault="00EC1A78" w:rsidP="00EC1A78">
      <w:pPr>
        <w:ind w:firstLine="425"/>
        <w:rPr>
          <w:rFonts w:eastAsiaTheme="minorHAnsi"/>
          <w:color w:val="181818"/>
          <w:sz w:val="22"/>
          <w:szCs w:val="22"/>
          <w:lang w:eastAsia="en-US"/>
        </w:rPr>
      </w:pPr>
    </w:p>
    <w:p w:rsidR="00EC1A78" w:rsidRPr="00E62E4B"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Особенности</w:t>
      </w:r>
      <w:r w:rsidRPr="00E62E4B">
        <w:rPr>
          <w:rFonts w:eastAsiaTheme="minorHAnsi"/>
          <w:b/>
          <w:sz w:val="24"/>
          <w:szCs w:val="24"/>
          <w:lang w:eastAsia="en-US"/>
        </w:rPr>
        <w:t xml:space="preserve"> </w:t>
      </w:r>
      <w:r w:rsidRPr="00EC1A78">
        <w:rPr>
          <w:rFonts w:eastAsiaTheme="minorHAnsi"/>
          <w:b/>
          <w:sz w:val="24"/>
          <w:szCs w:val="24"/>
          <w:lang w:eastAsia="en-US"/>
        </w:rPr>
        <w:t>квалификации</w:t>
      </w:r>
      <w:r w:rsidRPr="00E62E4B">
        <w:rPr>
          <w:rFonts w:eastAsiaTheme="minorHAnsi"/>
          <w:b/>
          <w:sz w:val="24"/>
          <w:szCs w:val="24"/>
          <w:lang w:eastAsia="en-US"/>
        </w:rPr>
        <w:t xml:space="preserve"> </w:t>
      </w:r>
      <w:r w:rsidRPr="00EC1A78">
        <w:rPr>
          <w:rFonts w:eastAsiaTheme="minorHAnsi"/>
          <w:b/>
          <w:sz w:val="24"/>
          <w:szCs w:val="24"/>
          <w:lang w:eastAsia="en-US"/>
        </w:rPr>
        <w:t>преступлений</w:t>
      </w:r>
      <w:r w:rsidRPr="00E62E4B">
        <w:rPr>
          <w:rFonts w:eastAsiaTheme="minorHAnsi"/>
          <w:b/>
          <w:sz w:val="24"/>
          <w:szCs w:val="24"/>
          <w:lang w:eastAsia="en-US"/>
        </w:rPr>
        <w:t xml:space="preserve"> </w:t>
      </w:r>
      <w:r w:rsidR="003A6F86" w:rsidRPr="00E62E4B">
        <w:rPr>
          <w:rFonts w:eastAsiaTheme="minorHAnsi"/>
          <w:b/>
          <w:sz w:val="24"/>
          <w:szCs w:val="24"/>
          <w:lang w:eastAsia="en-US"/>
        </w:rPr>
        <w:br/>
      </w:r>
      <w:r w:rsidRPr="00EC1A78">
        <w:rPr>
          <w:rFonts w:eastAsiaTheme="minorHAnsi"/>
          <w:b/>
          <w:sz w:val="24"/>
          <w:szCs w:val="24"/>
          <w:lang w:eastAsia="en-US"/>
        </w:rPr>
        <w:t>по</w:t>
      </w:r>
      <w:r w:rsidRPr="00E62E4B">
        <w:rPr>
          <w:rFonts w:eastAsiaTheme="minorHAnsi"/>
          <w:b/>
          <w:sz w:val="24"/>
          <w:szCs w:val="24"/>
          <w:lang w:eastAsia="en-US"/>
        </w:rPr>
        <w:t xml:space="preserve"> </w:t>
      </w:r>
      <w:r w:rsidRPr="00EC1A78">
        <w:rPr>
          <w:rFonts w:eastAsiaTheme="minorHAnsi"/>
          <w:b/>
          <w:sz w:val="24"/>
          <w:szCs w:val="24"/>
          <w:lang w:eastAsia="en-US"/>
        </w:rPr>
        <w:t>статье</w:t>
      </w:r>
      <w:r w:rsidRPr="00E62E4B">
        <w:rPr>
          <w:rFonts w:eastAsiaTheme="minorHAnsi"/>
          <w:b/>
          <w:sz w:val="24"/>
          <w:szCs w:val="24"/>
          <w:lang w:eastAsia="en-US"/>
        </w:rPr>
        <w:t xml:space="preserve"> 212.1 </w:t>
      </w:r>
      <w:r w:rsidRPr="00EC1A78">
        <w:rPr>
          <w:rFonts w:eastAsiaTheme="minorHAnsi"/>
          <w:b/>
          <w:sz w:val="24"/>
          <w:szCs w:val="24"/>
          <w:lang w:eastAsia="en-US"/>
        </w:rPr>
        <w:t>УК</w:t>
      </w:r>
      <w:r w:rsidRPr="00E62E4B">
        <w:rPr>
          <w:rFonts w:eastAsiaTheme="minorHAnsi"/>
          <w:b/>
          <w:sz w:val="24"/>
          <w:szCs w:val="24"/>
          <w:lang w:eastAsia="en-US"/>
        </w:rPr>
        <w:t xml:space="preserve"> </w:t>
      </w:r>
      <w:r w:rsidRPr="00EC1A78">
        <w:rPr>
          <w:rFonts w:eastAsiaTheme="minorHAnsi"/>
          <w:b/>
          <w:sz w:val="24"/>
          <w:szCs w:val="24"/>
          <w:lang w:eastAsia="en-US"/>
        </w:rPr>
        <w:t>РФ</w:t>
      </w:r>
    </w:p>
    <w:p w:rsidR="00EC1A78" w:rsidRPr="003A6F86" w:rsidRDefault="00EC1A78" w:rsidP="00EC1A78">
      <w:pPr>
        <w:ind w:firstLine="425"/>
        <w:jc w:val="center"/>
        <w:rPr>
          <w:rFonts w:eastAsiaTheme="minorHAnsi"/>
          <w:b/>
          <w:color w:val="181818"/>
          <w:sz w:val="24"/>
          <w:szCs w:val="24"/>
          <w:lang w:val="en-US" w:eastAsia="en-US"/>
        </w:rPr>
      </w:pPr>
      <w:r w:rsidRPr="003A6F86">
        <w:rPr>
          <w:rFonts w:eastAsiaTheme="minorHAnsi"/>
          <w:b/>
          <w:color w:val="181818"/>
          <w:sz w:val="24"/>
          <w:szCs w:val="24"/>
          <w:lang w:val="en" w:eastAsia="en-US"/>
        </w:rPr>
        <w:t>Features of the qualification of crimes under Article 212.1 of the Criminal Code of the Russian Federation</w:t>
      </w:r>
    </w:p>
    <w:p w:rsidR="00EC1A78" w:rsidRPr="00EC1A78" w:rsidRDefault="00EC1A78" w:rsidP="00EC1A78">
      <w:pPr>
        <w:ind w:firstLine="425"/>
        <w:jc w:val="center"/>
        <w:rPr>
          <w:rFonts w:eastAsiaTheme="minorHAnsi"/>
          <w:b/>
          <w:color w:val="181818"/>
          <w:sz w:val="22"/>
          <w:szCs w:val="22"/>
          <w:lang w:val="en-US" w:eastAsia="en-US"/>
        </w:rPr>
      </w:pPr>
    </w:p>
    <w:p w:rsidR="00EC1A78" w:rsidRPr="00E62E4B" w:rsidRDefault="00EC1A78" w:rsidP="00EC1A78">
      <w:pPr>
        <w:ind w:firstLine="425"/>
        <w:jc w:val="right"/>
        <w:rPr>
          <w:rFonts w:eastAsiaTheme="minorHAnsi"/>
          <w:color w:val="181818"/>
          <w:sz w:val="22"/>
          <w:szCs w:val="22"/>
          <w:lang w:eastAsia="en-US"/>
        </w:rPr>
      </w:pPr>
      <w:r w:rsidRPr="00EC1A78">
        <w:rPr>
          <w:rFonts w:eastAsiaTheme="minorHAnsi"/>
          <w:color w:val="181818"/>
          <w:sz w:val="22"/>
          <w:szCs w:val="22"/>
          <w:lang w:eastAsia="en-US"/>
        </w:rPr>
        <w:t>Гусева</w:t>
      </w:r>
      <w:r w:rsidRPr="00E62E4B">
        <w:rPr>
          <w:rFonts w:eastAsiaTheme="minorHAnsi"/>
          <w:color w:val="181818"/>
          <w:sz w:val="22"/>
          <w:szCs w:val="22"/>
          <w:lang w:eastAsia="en-US"/>
        </w:rPr>
        <w:t xml:space="preserve"> </w:t>
      </w:r>
      <w:r w:rsidRPr="00EC1A78">
        <w:rPr>
          <w:rFonts w:eastAsiaTheme="minorHAnsi"/>
          <w:color w:val="181818"/>
          <w:sz w:val="22"/>
          <w:szCs w:val="22"/>
          <w:lang w:eastAsia="en-US"/>
        </w:rPr>
        <w:t>О</w:t>
      </w:r>
      <w:r w:rsidRPr="00E62E4B">
        <w:rPr>
          <w:rFonts w:eastAsiaTheme="minorHAnsi"/>
          <w:color w:val="181818"/>
          <w:sz w:val="22"/>
          <w:szCs w:val="22"/>
          <w:lang w:eastAsia="en-US"/>
        </w:rPr>
        <w:t>.</w:t>
      </w:r>
      <w:r w:rsidR="003A6F86" w:rsidRPr="00E62E4B">
        <w:rPr>
          <w:rFonts w:eastAsiaTheme="minorHAnsi"/>
          <w:color w:val="181818"/>
          <w:sz w:val="22"/>
          <w:szCs w:val="22"/>
          <w:lang w:eastAsia="en-US"/>
        </w:rPr>
        <w:t xml:space="preserve"> </w:t>
      </w:r>
      <w:r w:rsidRPr="00EC1A78">
        <w:rPr>
          <w:rFonts w:eastAsiaTheme="minorHAnsi"/>
          <w:color w:val="181818"/>
          <w:sz w:val="22"/>
          <w:szCs w:val="22"/>
          <w:lang w:eastAsia="en-US"/>
        </w:rPr>
        <w:t>Н</w:t>
      </w:r>
      <w:r w:rsidRPr="00E62E4B">
        <w:rPr>
          <w:rFonts w:eastAsiaTheme="minorHAnsi"/>
          <w:color w:val="181818"/>
          <w:sz w:val="22"/>
          <w:szCs w:val="22"/>
          <w:lang w:eastAsia="en-US"/>
        </w:rPr>
        <w:t>.,</w:t>
      </w:r>
    </w:p>
    <w:p w:rsidR="00EC1A78" w:rsidRPr="00EC1A78" w:rsidRDefault="00EC1A78" w:rsidP="00EC1A78">
      <w:pPr>
        <w:ind w:firstLine="425"/>
        <w:jc w:val="right"/>
        <w:rPr>
          <w:rFonts w:eastAsiaTheme="minorHAnsi"/>
          <w:color w:val="181818"/>
          <w:sz w:val="22"/>
          <w:szCs w:val="22"/>
          <w:lang w:eastAsia="en-US"/>
        </w:rPr>
      </w:pPr>
      <w:r w:rsidRPr="00EC1A78">
        <w:rPr>
          <w:rFonts w:eastAsiaTheme="minorHAnsi"/>
          <w:color w:val="181818"/>
          <w:sz w:val="22"/>
          <w:szCs w:val="22"/>
          <w:lang w:eastAsia="en-US"/>
        </w:rPr>
        <w:t>студентка 3–го курса юридического факультета</w:t>
      </w:r>
    </w:p>
    <w:p w:rsidR="00EC1A78" w:rsidRPr="00EC1A78" w:rsidRDefault="00EC1A78" w:rsidP="00EC1A78">
      <w:pPr>
        <w:ind w:firstLine="425"/>
        <w:jc w:val="right"/>
        <w:rPr>
          <w:rFonts w:eastAsiaTheme="minorHAnsi"/>
          <w:color w:val="181818"/>
          <w:sz w:val="22"/>
          <w:szCs w:val="22"/>
          <w:lang w:eastAsia="en-US"/>
        </w:rPr>
      </w:pPr>
      <w:r w:rsidRPr="00EC1A78">
        <w:rPr>
          <w:rFonts w:eastAsiaTheme="minorHAnsi"/>
          <w:color w:val="181818"/>
          <w:sz w:val="22"/>
          <w:szCs w:val="22"/>
          <w:lang w:eastAsia="en-US"/>
        </w:rPr>
        <w:t>Шищенко Е.</w:t>
      </w:r>
      <w:r w:rsidR="003A6F86">
        <w:rPr>
          <w:rFonts w:eastAsiaTheme="minorHAnsi"/>
          <w:color w:val="181818"/>
          <w:sz w:val="22"/>
          <w:szCs w:val="22"/>
          <w:lang w:eastAsia="en-US"/>
        </w:rPr>
        <w:t xml:space="preserve"> </w:t>
      </w:r>
      <w:r w:rsidRPr="00EC1A78">
        <w:rPr>
          <w:rFonts w:eastAsiaTheme="minorHAnsi"/>
          <w:color w:val="181818"/>
          <w:sz w:val="22"/>
          <w:szCs w:val="22"/>
          <w:lang w:eastAsia="en-US"/>
        </w:rPr>
        <w:t xml:space="preserve">А.,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ind w:firstLine="425"/>
        <w:jc w:val="right"/>
        <w:rPr>
          <w:rFonts w:eastAsiaTheme="minorHAnsi"/>
          <w:color w:val="181818"/>
          <w:sz w:val="22"/>
          <w:szCs w:val="22"/>
          <w:lang w:eastAsia="en-US"/>
        </w:rPr>
      </w:pPr>
      <w:r w:rsidRPr="00EC1A78">
        <w:rPr>
          <w:rFonts w:eastAsiaTheme="minorHAnsi"/>
          <w:color w:val="181818"/>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color w:val="181818"/>
          <w:sz w:val="22"/>
          <w:szCs w:val="22"/>
          <w:lang w:eastAsia="en-US"/>
        </w:rPr>
      </w:pPr>
      <w:r w:rsidRPr="00EC1A78">
        <w:rPr>
          <w:rFonts w:eastAsiaTheme="minorHAnsi"/>
          <w:color w:val="181818"/>
          <w:sz w:val="22"/>
          <w:szCs w:val="22"/>
          <w:lang w:eastAsia="en-US"/>
        </w:rPr>
        <w:t>университет имени И. Т. Трубилина</w:t>
      </w:r>
    </w:p>
    <w:p w:rsidR="00EC1A78" w:rsidRPr="00EC1A78" w:rsidRDefault="00EC1A78" w:rsidP="00EC1A78">
      <w:pPr>
        <w:ind w:firstLine="425"/>
        <w:rPr>
          <w:rFonts w:eastAsiaTheme="minorHAnsi"/>
          <w:b/>
          <w:color w:val="181818"/>
          <w:sz w:val="22"/>
          <w:szCs w:val="22"/>
          <w:lang w:eastAsia="en-US"/>
        </w:rPr>
      </w:pPr>
    </w:p>
    <w:p w:rsidR="00EC1A78" w:rsidRPr="00EC1A78" w:rsidRDefault="00EC1A78" w:rsidP="00EC1A78">
      <w:pPr>
        <w:ind w:firstLine="425"/>
        <w:jc w:val="both"/>
        <w:rPr>
          <w:rFonts w:eastAsiaTheme="minorHAnsi"/>
          <w:color w:val="181818"/>
          <w:sz w:val="22"/>
          <w:szCs w:val="22"/>
          <w:lang w:eastAsia="en-US"/>
        </w:rPr>
      </w:pPr>
      <w:r w:rsidRPr="00EC1A78">
        <w:rPr>
          <w:rFonts w:eastAsiaTheme="minorHAnsi"/>
          <w:color w:val="181818"/>
          <w:sz w:val="22"/>
          <w:szCs w:val="22"/>
          <w:lang w:eastAsia="en-US"/>
        </w:rPr>
        <w:t>АННОТАЦИЯ: В статье дается правовая  характеристика пр</w:t>
      </w:r>
      <w:r w:rsidRPr="00EC1A78">
        <w:rPr>
          <w:rFonts w:eastAsiaTheme="minorHAnsi"/>
          <w:color w:val="181818"/>
          <w:sz w:val="22"/>
          <w:szCs w:val="22"/>
          <w:lang w:eastAsia="en-US"/>
        </w:rPr>
        <w:t>е</w:t>
      </w:r>
      <w:r w:rsidRPr="00EC1A78">
        <w:rPr>
          <w:rFonts w:eastAsiaTheme="minorHAnsi"/>
          <w:color w:val="181818"/>
          <w:sz w:val="22"/>
          <w:szCs w:val="22"/>
          <w:lang w:eastAsia="en-US"/>
        </w:rPr>
        <w:t>ступления, предусмотренного ст. 212.1 УК РФ, которая введена Ф</w:t>
      </w:r>
      <w:r w:rsidRPr="00EC1A78">
        <w:rPr>
          <w:rFonts w:eastAsiaTheme="minorHAnsi"/>
          <w:color w:val="181818"/>
          <w:sz w:val="22"/>
          <w:szCs w:val="22"/>
          <w:lang w:eastAsia="en-US"/>
        </w:rPr>
        <w:t>е</w:t>
      </w:r>
      <w:r w:rsidRPr="00EC1A78">
        <w:rPr>
          <w:rFonts w:eastAsiaTheme="minorHAnsi"/>
          <w:color w:val="181818"/>
          <w:sz w:val="22"/>
          <w:szCs w:val="22"/>
          <w:lang w:eastAsia="en-US"/>
        </w:rPr>
        <w:t>деральным законом от 21.07.2014 № 258–ФЗ. Рассматривается в</w:t>
      </w:r>
      <w:r w:rsidRPr="00EC1A78">
        <w:rPr>
          <w:rFonts w:eastAsiaTheme="minorHAnsi"/>
          <w:color w:val="181818"/>
          <w:sz w:val="22"/>
          <w:szCs w:val="22"/>
          <w:lang w:eastAsia="en-US"/>
        </w:rPr>
        <w:t>о</w:t>
      </w:r>
      <w:r w:rsidRPr="00EC1A78">
        <w:rPr>
          <w:rFonts w:eastAsiaTheme="minorHAnsi"/>
          <w:color w:val="181818"/>
          <w:sz w:val="22"/>
          <w:szCs w:val="22"/>
          <w:lang w:eastAsia="en-US"/>
        </w:rPr>
        <w:t>прос о необходимости внесения законодателем поправок в данную норму Уголовного кодекса.</w:t>
      </w:r>
    </w:p>
    <w:p w:rsidR="00EC1A78" w:rsidRPr="00EC1A78" w:rsidRDefault="00EC1A78" w:rsidP="00EC1A78">
      <w:pPr>
        <w:ind w:firstLine="425"/>
        <w:jc w:val="both"/>
        <w:rPr>
          <w:rFonts w:eastAsiaTheme="minorHAnsi"/>
          <w:color w:val="181818"/>
          <w:sz w:val="22"/>
          <w:szCs w:val="22"/>
          <w:lang w:val="en-US" w:eastAsia="en-US"/>
        </w:rPr>
      </w:pPr>
      <w:r w:rsidRPr="00EC1A78">
        <w:rPr>
          <w:color w:val="181818"/>
          <w:sz w:val="22"/>
          <w:szCs w:val="22"/>
          <w:lang w:val="en"/>
        </w:rPr>
        <w:t>ABSTRACT: The article gives a legal description of the crime pr</w:t>
      </w:r>
      <w:r w:rsidRPr="00EC1A78">
        <w:rPr>
          <w:color w:val="181818"/>
          <w:sz w:val="22"/>
          <w:szCs w:val="22"/>
          <w:lang w:val="en"/>
        </w:rPr>
        <w:t>o</w:t>
      </w:r>
      <w:r w:rsidRPr="00EC1A78">
        <w:rPr>
          <w:color w:val="181818"/>
          <w:sz w:val="22"/>
          <w:szCs w:val="22"/>
          <w:lang w:val="en"/>
        </w:rPr>
        <w:t xml:space="preserve">vided for in Art. 212.1 of the Criminal Code of the Russian Federation, which was introduced by Federal Law </w:t>
      </w:r>
      <w:r w:rsidRPr="00EC1A78">
        <w:rPr>
          <w:color w:val="181818"/>
          <w:sz w:val="22"/>
          <w:szCs w:val="22"/>
          <w:lang w:val="en-US"/>
        </w:rPr>
        <w:t>№</w:t>
      </w:r>
      <w:r w:rsidRPr="00EC1A78">
        <w:rPr>
          <w:color w:val="181818"/>
          <w:sz w:val="22"/>
          <w:szCs w:val="22"/>
          <w:lang w:val="en"/>
        </w:rPr>
        <w:t xml:space="preserve"> 258–FZ of July 21, 2014. The issue of the need for the legislator to amend this provision of the Crim</w:t>
      </w:r>
      <w:r w:rsidRPr="00EC1A78">
        <w:rPr>
          <w:color w:val="181818"/>
          <w:sz w:val="22"/>
          <w:szCs w:val="22"/>
          <w:lang w:val="en"/>
        </w:rPr>
        <w:t>i</w:t>
      </w:r>
      <w:r w:rsidRPr="00EC1A78">
        <w:rPr>
          <w:color w:val="181818"/>
          <w:sz w:val="22"/>
          <w:szCs w:val="22"/>
          <w:lang w:val="en"/>
        </w:rPr>
        <w:t>nal Code is being considered.</w:t>
      </w:r>
    </w:p>
    <w:p w:rsidR="00EC1A78" w:rsidRPr="00EC1A78" w:rsidRDefault="00EC1A78" w:rsidP="00EC1A78">
      <w:pPr>
        <w:ind w:firstLine="425"/>
        <w:jc w:val="both"/>
        <w:rPr>
          <w:rFonts w:eastAsiaTheme="minorHAnsi"/>
          <w:color w:val="181818"/>
          <w:sz w:val="22"/>
          <w:szCs w:val="22"/>
          <w:lang w:eastAsia="en-US"/>
        </w:rPr>
      </w:pPr>
      <w:r w:rsidRPr="00EC1A78">
        <w:rPr>
          <w:rFonts w:eastAsiaTheme="minorHAnsi"/>
          <w:color w:val="181818"/>
          <w:sz w:val="22"/>
          <w:szCs w:val="22"/>
          <w:lang w:eastAsia="en-US"/>
        </w:rPr>
        <w:t>КЛЮЧЕВЫЕ СЛОВА: публичные мероприятия,  собрание, м</w:t>
      </w:r>
      <w:r w:rsidRPr="00EC1A78">
        <w:rPr>
          <w:rFonts w:eastAsiaTheme="minorHAnsi"/>
          <w:color w:val="181818"/>
          <w:sz w:val="22"/>
          <w:szCs w:val="22"/>
          <w:lang w:eastAsia="en-US"/>
        </w:rPr>
        <w:t>и</w:t>
      </w:r>
      <w:r w:rsidRPr="00EC1A78">
        <w:rPr>
          <w:rFonts w:eastAsiaTheme="minorHAnsi"/>
          <w:color w:val="181818"/>
          <w:sz w:val="22"/>
          <w:szCs w:val="22"/>
          <w:lang w:eastAsia="en-US"/>
        </w:rPr>
        <w:t>тинг, демонстрация, шествие, пикетирование, неоднократное нар</w:t>
      </w:r>
      <w:r w:rsidRPr="00EC1A78">
        <w:rPr>
          <w:rFonts w:eastAsiaTheme="minorHAnsi"/>
          <w:color w:val="181818"/>
          <w:sz w:val="22"/>
          <w:szCs w:val="22"/>
          <w:lang w:eastAsia="en-US"/>
        </w:rPr>
        <w:t>у</w:t>
      </w:r>
      <w:r w:rsidRPr="00EC1A78">
        <w:rPr>
          <w:rFonts w:eastAsiaTheme="minorHAnsi"/>
          <w:color w:val="181818"/>
          <w:sz w:val="22"/>
          <w:szCs w:val="22"/>
          <w:lang w:eastAsia="en-US"/>
        </w:rPr>
        <w:t>шение, уголовный закон.</w:t>
      </w:r>
    </w:p>
    <w:p w:rsidR="00EC1A78" w:rsidRPr="00EC1A78" w:rsidRDefault="00EC1A78" w:rsidP="00EC1A78">
      <w:pPr>
        <w:ind w:firstLine="425"/>
        <w:jc w:val="both"/>
        <w:rPr>
          <w:rFonts w:eastAsiaTheme="minorHAnsi"/>
          <w:color w:val="181818"/>
          <w:sz w:val="22"/>
          <w:szCs w:val="22"/>
          <w:lang w:val="en-US" w:eastAsia="en-US"/>
        </w:rPr>
      </w:pPr>
      <w:r w:rsidRPr="00EC1A78">
        <w:rPr>
          <w:rFonts w:eastAsiaTheme="minorHAnsi"/>
          <w:color w:val="181818"/>
          <w:sz w:val="22"/>
          <w:szCs w:val="22"/>
          <w:lang w:val="en" w:eastAsia="en-US"/>
        </w:rPr>
        <w:t>KEYWORDS: public events, meeting, rally, demonstration, proce</w:t>
      </w:r>
      <w:r w:rsidRPr="00EC1A78">
        <w:rPr>
          <w:rFonts w:eastAsiaTheme="minorHAnsi"/>
          <w:color w:val="181818"/>
          <w:sz w:val="22"/>
          <w:szCs w:val="22"/>
          <w:lang w:val="en" w:eastAsia="en-US"/>
        </w:rPr>
        <w:t>s</w:t>
      </w:r>
      <w:r w:rsidRPr="00EC1A78">
        <w:rPr>
          <w:rFonts w:eastAsiaTheme="minorHAnsi"/>
          <w:color w:val="181818"/>
          <w:sz w:val="22"/>
          <w:szCs w:val="22"/>
          <w:lang w:val="en" w:eastAsia="en-US"/>
        </w:rPr>
        <w:t>sion, picketing, repeated violation</w:t>
      </w:r>
      <w:r w:rsidRPr="00EC1A78">
        <w:rPr>
          <w:rFonts w:eastAsiaTheme="minorHAnsi"/>
          <w:color w:val="181818"/>
          <w:sz w:val="22"/>
          <w:szCs w:val="22"/>
          <w:lang w:val="en-US" w:eastAsia="en-US"/>
        </w:rPr>
        <w:t>, criminal law.</w:t>
      </w:r>
    </w:p>
    <w:p w:rsidR="00EC1A78" w:rsidRPr="00EC1A78" w:rsidRDefault="00EC1A78" w:rsidP="00EC1A78">
      <w:pPr>
        <w:ind w:firstLine="425"/>
        <w:jc w:val="both"/>
        <w:rPr>
          <w:rFonts w:eastAsiaTheme="minorHAnsi"/>
          <w:color w:val="181818"/>
          <w:sz w:val="22"/>
          <w:szCs w:val="22"/>
          <w:lang w:val="en-US" w:eastAsia="en-US"/>
        </w:rPr>
      </w:pP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Увеличение количества проводимых публичных мероприятий, особенно в последние годы, и допускаемых в процессе их организ</w:t>
      </w:r>
      <w:r w:rsidRPr="00EC1A78">
        <w:rPr>
          <w:rFonts w:eastAsiaTheme="minorHAnsi"/>
          <w:color w:val="000000"/>
          <w:sz w:val="22"/>
          <w:szCs w:val="22"/>
          <w:lang w:eastAsia="en-US"/>
        </w:rPr>
        <w:t>а</w:t>
      </w:r>
      <w:r w:rsidRPr="00EC1A78">
        <w:rPr>
          <w:rFonts w:eastAsiaTheme="minorHAnsi"/>
          <w:color w:val="000000"/>
          <w:sz w:val="22"/>
          <w:szCs w:val="22"/>
          <w:lang w:eastAsia="en-US"/>
        </w:rPr>
        <w:t>ции и проведения нарушений общественного порядка создало в п</w:t>
      </w:r>
      <w:r w:rsidRPr="00EC1A78">
        <w:rPr>
          <w:rFonts w:eastAsiaTheme="minorHAnsi"/>
          <w:color w:val="000000"/>
          <w:sz w:val="22"/>
          <w:szCs w:val="22"/>
          <w:lang w:eastAsia="en-US"/>
        </w:rPr>
        <w:t>о</w:t>
      </w:r>
      <w:r w:rsidRPr="00EC1A78">
        <w:rPr>
          <w:rFonts w:eastAsiaTheme="minorHAnsi"/>
          <w:color w:val="000000"/>
          <w:sz w:val="22"/>
          <w:szCs w:val="22"/>
          <w:lang w:eastAsia="en-US"/>
        </w:rPr>
        <w:t>следние годы благоприятную почву для дискуссии относительно необходимости ужесточения юридической ответственности в этой сфере, что нашло свое законодательное отражение в 2014 г. С пр</w:t>
      </w:r>
      <w:r w:rsidRPr="00EC1A78">
        <w:rPr>
          <w:rFonts w:eastAsiaTheme="minorHAnsi"/>
          <w:color w:val="000000"/>
          <w:sz w:val="22"/>
          <w:szCs w:val="22"/>
          <w:lang w:eastAsia="en-US"/>
        </w:rPr>
        <w:t>и</w:t>
      </w:r>
      <w:r w:rsidRPr="00EC1A78">
        <w:rPr>
          <w:rFonts w:eastAsiaTheme="minorHAnsi"/>
          <w:color w:val="000000"/>
          <w:sz w:val="22"/>
          <w:szCs w:val="22"/>
          <w:lang w:eastAsia="en-US"/>
        </w:rPr>
        <w:t xml:space="preserve">нятием Федерального закона от 21.07.2014 № 258–ФЗ «О внесении </w:t>
      </w:r>
      <w:r w:rsidRPr="00EC1A78">
        <w:rPr>
          <w:rFonts w:eastAsiaTheme="minorHAnsi"/>
          <w:color w:val="000000"/>
          <w:sz w:val="22"/>
          <w:szCs w:val="22"/>
          <w:lang w:eastAsia="en-US"/>
        </w:rPr>
        <w:lastRenderedPageBreak/>
        <w:t>изменений в отдельные законодательные акты Российской Федер</w:t>
      </w:r>
      <w:r w:rsidRPr="00EC1A78">
        <w:rPr>
          <w:rFonts w:eastAsiaTheme="minorHAnsi"/>
          <w:color w:val="000000"/>
          <w:sz w:val="22"/>
          <w:szCs w:val="22"/>
          <w:lang w:eastAsia="en-US"/>
        </w:rPr>
        <w:t>а</w:t>
      </w:r>
      <w:r w:rsidRPr="00EC1A78">
        <w:rPr>
          <w:rFonts w:eastAsiaTheme="minorHAnsi"/>
          <w:color w:val="000000"/>
          <w:sz w:val="22"/>
          <w:szCs w:val="22"/>
          <w:lang w:eastAsia="en-US"/>
        </w:rPr>
        <w:t>ции» в части совершенствования законодательства о публичных мероприятиях в УК РФ появилась принципиально новая ст. 212.1 УК [1]. До этого момента в УК РФ было только два состава (ст. ст. 149, 212) связанных с нарушением закрепленного в ст. 31 Конст</w:t>
      </w:r>
      <w:r w:rsidRPr="00EC1A78">
        <w:rPr>
          <w:rFonts w:eastAsiaTheme="minorHAnsi"/>
          <w:color w:val="000000"/>
          <w:sz w:val="22"/>
          <w:szCs w:val="22"/>
          <w:lang w:eastAsia="en-US"/>
        </w:rPr>
        <w:t>и</w:t>
      </w:r>
      <w:r w:rsidRPr="00EC1A78">
        <w:rPr>
          <w:rFonts w:eastAsiaTheme="minorHAnsi"/>
          <w:color w:val="000000"/>
          <w:sz w:val="22"/>
          <w:szCs w:val="22"/>
          <w:lang w:eastAsia="en-US"/>
        </w:rPr>
        <w:t xml:space="preserve">туции Российской Федерации права каждого человека [2; 3]. Вместе с тем, неизбежно возникает вопрос, а насколько необходима была данная статья именно в уголовном законодательстве? </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Первый осужденный по данной статье – гражданский активист Ильдар Дадин. 22 февраля 2016 года Верховный суд освободил Дадина  после того как Постановлением от 10 февраля 2017 г. № 2–П Конституционный Суд признал оспариваемые положения статьи 212.1 Уголовного кодекса РФ не противоречащими Конституции РФ и  </w:t>
      </w:r>
      <w:hyperlink r:id="rId373" w:tgtFrame="_blank" w:history="1">
        <w:r w:rsidRPr="003A6F86">
          <w:rPr>
            <w:rFonts w:eastAsiaTheme="minorHAnsi"/>
            <w:color w:val="000000"/>
            <w:sz w:val="22"/>
            <w:szCs w:val="22"/>
            <w:lang w:eastAsia="en-US"/>
          </w:rPr>
          <w:t>постановил</w:t>
        </w:r>
      </w:hyperlink>
      <w:r w:rsidRPr="00EC1A78">
        <w:rPr>
          <w:rFonts w:eastAsiaTheme="minorHAnsi"/>
          <w:color w:val="000000"/>
          <w:sz w:val="22"/>
          <w:szCs w:val="22"/>
          <w:lang w:eastAsia="en-US"/>
        </w:rPr>
        <w:t>, что статья должна быть скорректирована: при рассмотрении дел сторона обвинения должна будет доказать, что у подсудимого был преступный умысел, а его действия причинили вред или несли угрозу вреда оказавшимся рядом людям или имущ</w:t>
      </w:r>
      <w:r w:rsidRPr="00EC1A78">
        <w:rPr>
          <w:rFonts w:eastAsiaTheme="minorHAnsi"/>
          <w:color w:val="000000"/>
          <w:sz w:val="22"/>
          <w:szCs w:val="22"/>
          <w:lang w:eastAsia="en-US"/>
        </w:rPr>
        <w:t>е</w:t>
      </w:r>
      <w:r w:rsidRPr="00EC1A78">
        <w:rPr>
          <w:rFonts w:eastAsiaTheme="minorHAnsi"/>
          <w:color w:val="000000"/>
          <w:sz w:val="22"/>
          <w:szCs w:val="22"/>
          <w:lang w:eastAsia="en-US"/>
        </w:rPr>
        <w:t>ству. Кроме того, назначать лишение свободы по этой статье можно будет только в том случае, если публичные мероприятия перестали быть мирными и нарушали общественный порядок.</w:t>
      </w:r>
      <w:r w:rsidRPr="00EC1A78">
        <w:rPr>
          <w:rFonts w:eastAsiaTheme="minorHAnsi"/>
          <w:color w:val="000000"/>
          <w:sz w:val="22"/>
          <w:szCs w:val="22"/>
          <w:lang w:eastAsia="en-US"/>
        </w:rPr>
        <w:br/>
        <w:t xml:space="preserve">Сущность  жалобы Ильдара Дадина сводилась к тому, что </w:t>
      </w:r>
      <w:hyperlink r:id="rId374" w:anchor="block_2121" w:tgtFrame="_blank" w:history="1">
        <w:r w:rsidRPr="003A6F86">
          <w:rPr>
            <w:rFonts w:eastAsiaTheme="minorHAnsi"/>
            <w:color w:val="000000"/>
            <w:sz w:val="22"/>
            <w:szCs w:val="22"/>
            <w:lang w:eastAsia="en-US"/>
          </w:rPr>
          <w:t>ст. 212.1</w:t>
        </w:r>
      </w:hyperlink>
      <w:r w:rsidRPr="003A6F86">
        <w:rPr>
          <w:rFonts w:eastAsiaTheme="minorHAnsi"/>
          <w:color w:val="000000"/>
          <w:sz w:val="22"/>
          <w:szCs w:val="22"/>
          <w:lang w:eastAsia="en-US"/>
        </w:rPr>
        <w:t xml:space="preserve"> </w:t>
      </w:r>
      <w:r w:rsidRPr="00EC1A78">
        <w:rPr>
          <w:rFonts w:eastAsiaTheme="minorHAnsi"/>
          <w:color w:val="000000"/>
          <w:sz w:val="22"/>
          <w:szCs w:val="22"/>
          <w:lang w:eastAsia="en-US"/>
        </w:rPr>
        <w:t>УК позволяет привлекать к ответственности за сам факт неодн</w:t>
      </w:r>
      <w:r w:rsidRPr="00EC1A78">
        <w:rPr>
          <w:rFonts w:eastAsiaTheme="minorHAnsi"/>
          <w:color w:val="000000"/>
          <w:sz w:val="22"/>
          <w:szCs w:val="22"/>
          <w:lang w:eastAsia="en-US"/>
        </w:rPr>
        <w:t>о</w:t>
      </w:r>
      <w:r w:rsidRPr="00EC1A78">
        <w:rPr>
          <w:rFonts w:eastAsiaTheme="minorHAnsi"/>
          <w:color w:val="000000"/>
          <w:sz w:val="22"/>
          <w:szCs w:val="22"/>
          <w:lang w:eastAsia="en-US"/>
        </w:rPr>
        <w:t xml:space="preserve">кратного нарушения порядка проведения мероприятий без учета общественной опасности деяния. Статья позволяет лишать </w:t>
      </w:r>
      <w:r w:rsidRPr="00EC1A78">
        <w:rPr>
          <w:rFonts w:eastAsiaTheme="minorHAnsi"/>
          <w:color w:val="000000"/>
          <w:sz w:val="22"/>
          <w:szCs w:val="22"/>
          <w:lang w:eastAsia="en-US"/>
        </w:rPr>
        <w:br/>
        <w:t>свободы за деяние, которое не угрожает населению.</w:t>
      </w:r>
      <w:r w:rsidRPr="00EC1A78">
        <w:rPr>
          <w:rFonts w:eastAsiaTheme="minorHAnsi"/>
          <w:color w:val="000000"/>
          <w:sz w:val="22"/>
          <w:szCs w:val="22"/>
          <w:lang w:eastAsia="en-US"/>
        </w:rPr>
        <w:br/>
        <w:t xml:space="preserve">Ведь как можно справедливо заметить, что  ни в диспозиции, ни в санкции </w:t>
      </w:r>
      <w:hyperlink r:id="rId375" w:anchor="block_2121" w:tgtFrame="_blank" w:history="1">
        <w:r w:rsidRPr="00EC1A78">
          <w:rPr>
            <w:rFonts w:eastAsiaTheme="minorHAnsi"/>
            <w:color w:val="000000"/>
            <w:sz w:val="22"/>
            <w:szCs w:val="22"/>
            <w:lang w:eastAsia="en-US"/>
          </w:rPr>
          <w:t>ст. 212.1</w:t>
        </w:r>
      </w:hyperlink>
      <w:r w:rsidRPr="00EC1A78">
        <w:rPr>
          <w:rFonts w:eastAsiaTheme="minorHAnsi"/>
          <w:color w:val="000000"/>
          <w:sz w:val="22"/>
          <w:szCs w:val="22"/>
          <w:lang w:eastAsia="en-US"/>
        </w:rPr>
        <w:t xml:space="preserve"> УК нет дифференциации между различными де</w:t>
      </w:r>
      <w:r w:rsidRPr="00EC1A78">
        <w:rPr>
          <w:rFonts w:eastAsiaTheme="minorHAnsi"/>
          <w:color w:val="000000"/>
          <w:sz w:val="22"/>
          <w:szCs w:val="22"/>
          <w:lang w:eastAsia="en-US"/>
        </w:rPr>
        <w:t>я</w:t>
      </w:r>
      <w:r w:rsidRPr="00EC1A78">
        <w:rPr>
          <w:rFonts w:eastAsiaTheme="minorHAnsi"/>
          <w:color w:val="000000"/>
          <w:sz w:val="22"/>
          <w:szCs w:val="22"/>
          <w:lang w:eastAsia="en-US"/>
        </w:rPr>
        <w:t xml:space="preserve">ниями. Ведь по </w:t>
      </w:r>
      <w:hyperlink r:id="rId376" w:anchor="block_202" w:tgtFrame="_blank" w:history="1">
        <w:r w:rsidRPr="00EC1A78">
          <w:rPr>
            <w:rFonts w:eastAsiaTheme="minorHAnsi"/>
            <w:color w:val="000000"/>
            <w:sz w:val="22"/>
            <w:szCs w:val="22"/>
            <w:lang w:eastAsia="en-US"/>
          </w:rPr>
          <w:t>ст. 20.2</w:t>
        </w:r>
      </w:hyperlink>
      <w:r w:rsidRPr="00EC1A78">
        <w:rPr>
          <w:rFonts w:eastAsiaTheme="minorHAnsi"/>
          <w:color w:val="000000"/>
          <w:sz w:val="22"/>
          <w:szCs w:val="22"/>
          <w:lang w:eastAsia="en-US"/>
        </w:rPr>
        <w:t xml:space="preserve"> КоАП нарушение может быть в разном в</w:t>
      </w:r>
      <w:r w:rsidRPr="00EC1A78">
        <w:rPr>
          <w:rFonts w:eastAsiaTheme="minorHAnsi"/>
          <w:color w:val="000000"/>
          <w:sz w:val="22"/>
          <w:szCs w:val="22"/>
          <w:lang w:eastAsia="en-US"/>
        </w:rPr>
        <w:t>и</w:t>
      </w:r>
      <w:r w:rsidRPr="00EC1A78">
        <w:rPr>
          <w:rFonts w:eastAsiaTheme="minorHAnsi"/>
          <w:color w:val="000000"/>
          <w:sz w:val="22"/>
          <w:szCs w:val="22"/>
          <w:lang w:eastAsia="en-US"/>
        </w:rPr>
        <w:t>де: от несоблюдения порядка проведения до участия в несанкци</w:t>
      </w:r>
      <w:r w:rsidRPr="00EC1A78">
        <w:rPr>
          <w:rFonts w:eastAsiaTheme="minorHAnsi"/>
          <w:color w:val="000000"/>
          <w:sz w:val="22"/>
          <w:szCs w:val="22"/>
          <w:lang w:eastAsia="en-US"/>
        </w:rPr>
        <w:t>о</w:t>
      </w:r>
      <w:r w:rsidRPr="00EC1A78">
        <w:rPr>
          <w:rFonts w:eastAsiaTheme="minorHAnsi"/>
          <w:color w:val="000000"/>
          <w:sz w:val="22"/>
          <w:szCs w:val="22"/>
          <w:lang w:eastAsia="en-US"/>
        </w:rPr>
        <w:t>нированном мероприятии, нарушившем доступ к объектам инфр</w:t>
      </w:r>
      <w:r w:rsidRPr="00EC1A78">
        <w:rPr>
          <w:rFonts w:eastAsiaTheme="minorHAnsi"/>
          <w:color w:val="000000"/>
          <w:sz w:val="22"/>
          <w:szCs w:val="22"/>
          <w:lang w:eastAsia="en-US"/>
        </w:rPr>
        <w:t>а</w:t>
      </w:r>
      <w:r w:rsidRPr="00EC1A78">
        <w:rPr>
          <w:rFonts w:eastAsiaTheme="minorHAnsi"/>
          <w:color w:val="000000"/>
          <w:sz w:val="22"/>
          <w:szCs w:val="22"/>
          <w:lang w:eastAsia="en-US"/>
        </w:rPr>
        <w:t>структуры.</w:t>
      </w:r>
      <w:r w:rsidRPr="00EC1A78">
        <w:rPr>
          <w:rFonts w:eastAsiaTheme="minorHAnsi"/>
          <w:b/>
          <w:color w:val="000000"/>
          <w:sz w:val="22"/>
          <w:szCs w:val="22"/>
          <w:lang w:eastAsia="en-US"/>
        </w:rPr>
        <w:t xml:space="preserve"> </w:t>
      </w:r>
      <w:r w:rsidRPr="00EC1A78">
        <w:rPr>
          <w:rFonts w:eastAsiaTheme="minorHAnsi"/>
          <w:color w:val="000000"/>
          <w:sz w:val="22"/>
          <w:szCs w:val="22"/>
          <w:lang w:eastAsia="en-US"/>
        </w:rPr>
        <w:t>Спорная статья УК эти варианты не учитывает, а только делает отсылку к КоАП.</w:t>
      </w:r>
    </w:p>
    <w:p w:rsidR="00EC1A78" w:rsidRPr="00EC1A78" w:rsidRDefault="00EC1A78" w:rsidP="00EC1A78">
      <w:pPr>
        <w:ind w:firstLine="425"/>
        <w:jc w:val="both"/>
        <w:rPr>
          <w:color w:val="000000"/>
          <w:sz w:val="22"/>
          <w:szCs w:val="22"/>
        </w:rPr>
      </w:pPr>
      <w:r w:rsidRPr="00EC1A78">
        <w:rPr>
          <w:color w:val="000000"/>
          <w:sz w:val="22"/>
          <w:szCs w:val="22"/>
        </w:rPr>
        <w:t>Особого внимания заслуживает конст</w:t>
      </w:r>
      <w:r w:rsidR="003A6F86">
        <w:rPr>
          <w:color w:val="000000"/>
          <w:sz w:val="22"/>
          <w:szCs w:val="22"/>
        </w:rPr>
        <w:t xml:space="preserve">рукция рассматриваемой статьи. </w:t>
      </w:r>
      <w:r w:rsidRPr="00EC1A78">
        <w:rPr>
          <w:color w:val="000000"/>
          <w:sz w:val="22"/>
          <w:szCs w:val="22"/>
        </w:rPr>
        <w:t>Непонятно, какое наказание будет назначено человеку,  к</w:t>
      </w:r>
      <w:r w:rsidRPr="00EC1A78">
        <w:rPr>
          <w:color w:val="000000"/>
          <w:sz w:val="22"/>
          <w:szCs w:val="22"/>
        </w:rPr>
        <w:t>о</w:t>
      </w:r>
      <w:r w:rsidRPr="00EC1A78">
        <w:rPr>
          <w:color w:val="000000"/>
          <w:sz w:val="22"/>
          <w:szCs w:val="22"/>
        </w:rPr>
        <w:t xml:space="preserve">торый ранее был привлечен по </w:t>
      </w:r>
      <w:hyperlink r:id="rId377" w:anchor="block_2121" w:tgtFrame="_blank" w:history="1">
        <w:r w:rsidRPr="00EC1A78">
          <w:rPr>
            <w:color w:val="000000"/>
            <w:sz w:val="22"/>
            <w:szCs w:val="22"/>
          </w:rPr>
          <w:t>ст. 212.1</w:t>
        </w:r>
      </w:hyperlink>
      <w:r w:rsidRPr="00EC1A78">
        <w:rPr>
          <w:color w:val="000000"/>
          <w:sz w:val="22"/>
          <w:szCs w:val="22"/>
        </w:rPr>
        <w:t xml:space="preserve"> УК РФ. По этой же статье УК привлечь не получится, так как не будет соблюдено требование о привлечении к административной ответственности ранее. Также встает вопрос, как считать срок 180 дней — должны ли они истечь </w:t>
      </w:r>
      <w:r w:rsidRPr="00EC1A78">
        <w:rPr>
          <w:color w:val="000000"/>
          <w:sz w:val="22"/>
          <w:szCs w:val="22"/>
        </w:rPr>
        <w:lastRenderedPageBreak/>
        <w:t>непосредственно перед новым деянием или этот срок не привязан к нему?</w:t>
      </w:r>
    </w:p>
    <w:p w:rsidR="00EC1A78" w:rsidRPr="00EC1A78" w:rsidRDefault="00EC1A78" w:rsidP="00EC1A78">
      <w:pPr>
        <w:ind w:firstLine="425"/>
        <w:jc w:val="both"/>
        <w:textAlignment w:val="top"/>
        <w:rPr>
          <w:color w:val="000000"/>
          <w:spacing w:val="3"/>
          <w:sz w:val="22"/>
          <w:szCs w:val="22"/>
        </w:rPr>
      </w:pPr>
      <w:r w:rsidRPr="00EC1A78">
        <w:rPr>
          <w:color w:val="000000"/>
          <w:spacing w:val="3"/>
          <w:sz w:val="22"/>
          <w:szCs w:val="22"/>
        </w:rPr>
        <w:t xml:space="preserve">В начале февраля в Госдуму уже был </w:t>
      </w:r>
      <w:hyperlink r:id="rId378" w:tgtFrame="_blank" w:history="1">
        <w:r w:rsidRPr="00EC1A78">
          <w:rPr>
            <w:color w:val="000000"/>
            <w:spacing w:val="3"/>
            <w:sz w:val="22"/>
            <w:szCs w:val="22"/>
          </w:rPr>
          <w:t>внесен</w:t>
        </w:r>
      </w:hyperlink>
      <w:r w:rsidRPr="00EC1A78">
        <w:rPr>
          <w:color w:val="000000"/>
          <w:spacing w:val="3"/>
          <w:sz w:val="22"/>
          <w:szCs w:val="22"/>
        </w:rPr>
        <w:t xml:space="preserve"> законопроект, предлагающий вычеркнуть статью 212.1 из УК. Инициаторы пр</w:t>
      </w:r>
      <w:r w:rsidRPr="00EC1A78">
        <w:rPr>
          <w:color w:val="000000"/>
          <w:spacing w:val="3"/>
          <w:sz w:val="22"/>
          <w:szCs w:val="22"/>
        </w:rPr>
        <w:t>о</w:t>
      </w:r>
      <w:r w:rsidRPr="00EC1A78">
        <w:rPr>
          <w:color w:val="000000"/>
          <w:spacing w:val="3"/>
          <w:sz w:val="22"/>
          <w:szCs w:val="22"/>
        </w:rPr>
        <w:t>екта, помимо прочего, обратили внимание, что по данной статье человек может быть наказан, независимо от того, кем он является – участником или организатором публичного мероприятия. Такое положение авторы внесенной в парламент инициативы также п</w:t>
      </w:r>
      <w:r w:rsidRPr="00EC1A78">
        <w:rPr>
          <w:color w:val="000000"/>
          <w:spacing w:val="3"/>
          <w:sz w:val="22"/>
          <w:szCs w:val="22"/>
        </w:rPr>
        <w:t>о</w:t>
      </w:r>
      <w:r w:rsidRPr="00EC1A78">
        <w:rPr>
          <w:color w:val="000000"/>
          <w:spacing w:val="3"/>
          <w:sz w:val="22"/>
          <w:szCs w:val="22"/>
        </w:rPr>
        <w:t>считали несправедливым.</w:t>
      </w:r>
    </w:p>
    <w:p w:rsidR="00EC1A78" w:rsidRPr="00EC1A78" w:rsidRDefault="00EC1A78" w:rsidP="00EC1A78">
      <w:pPr>
        <w:ind w:firstLine="425"/>
        <w:jc w:val="both"/>
        <w:rPr>
          <w:rFonts w:eastAsiaTheme="minorHAnsi"/>
          <w:color w:val="181818"/>
          <w:sz w:val="22"/>
          <w:szCs w:val="22"/>
          <w:lang w:eastAsia="en-US"/>
        </w:rPr>
      </w:pPr>
      <w:r w:rsidRPr="00EC1A78">
        <w:rPr>
          <w:rFonts w:eastAsiaTheme="minorHAnsi"/>
          <w:color w:val="181818"/>
          <w:sz w:val="22"/>
          <w:szCs w:val="22"/>
          <w:lang w:eastAsia="en-US"/>
        </w:rPr>
        <w:t>Подводя итог анализу ст. 212.1 УК РФ, можно прийти к выв</w:t>
      </w:r>
      <w:r w:rsidRPr="00EC1A78">
        <w:rPr>
          <w:rFonts w:eastAsiaTheme="minorHAnsi"/>
          <w:color w:val="181818"/>
          <w:sz w:val="22"/>
          <w:szCs w:val="22"/>
          <w:lang w:eastAsia="en-US"/>
        </w:rPr>
        <w:t>о</w:t>
      </w:r>
      <w:r w:rsidRPr="00EC1A78">
        <w:rPr>
          <w:rFonts w:eastAsiaTheme="minorHAnsi"/>
          <w:color w:val="181818"/>
          <w:sz w:val="22"/>
          <w:szCs w:val="22"/>
          <w:lang w:eastAsia="en-US"/>
        </w:rPr>
        <w:t>ду, что подобное законодательное решение не было достаточно продуманным.</w:t>
      </w:r>
      <w:r w:rsidRPr="00EC1A78">
        <w:rPr>
          <w:rFonts w:eastAsiaTheme="minorHAnsi"/>
          <w:sz w:val="22"/>
          <w:szCs w:val="22"/>
          <w:lang w:eastAsia="en-US"/>
        </w:rPr>
        <w:t xml:space="preserve"> </w:t>
      </w:r>
      <w:r w:rsidRPr="00EC1A78">
        <w:rPr>
          <w:rFonts w:eastAsiaTheme="minorHAnsi"/>
          <w:color w:val="000000"/>
          <w:sz w:val="22"/>
          <w:szCs w:val="22"/>
          <w:lang w:eastAsia="en-US"/>
        </w:rPr>
        <w:t>Представляется, что противоречия, которые появя</w:t>
      </w:r>
      <w:r w:rsidRPr="00EC1A78">
        <w:rPr>
          <w:rFonts w:eastAsiaTheme="minorHAnsi"/>
          <w:color w:val="000000"/>
          <w:sz w:val="22"/>
          <w:szCs w:val="22"/>
          <w:lang w:eastAsia="en-US"/>
        </w:rPr>
        <w:t>т</w:t>
      </w:r>
      <w:r w:rsidRPr="00EC1A78">
        <w:rPr>
          <w:rFonts w:eastAsiaTheme="minorHAnsi"/>
          <w:color w:val="000000"/>
          <w:sz w:val="22"/>
          <w:szCs w:val="22"/>
          <w:lang w:eastAsia="en-US"/>
        </w:rPr>
        <w:t>ся на практике, можно было бы разрешить постановлением Плен</w:t>
      </w:r>
      <w:r w:rsidRPr="00EC1A78">
        <w:rPr>
          <w:rFonts w:eastAsiaTheme="minorHAnsi"/>
          <w:color w:val="000000"/>
          <w:sz w:val="22"/>
          <w:szCs w:val="22"/>
          <w:lang w:eastAsia="en-US"/>
        </w:rPr>
        <w:t>у</w:t>
      </w:r>
      <w:r w:rsidRPr="00EC1A78">
        <w:rPr>
          <w:rFonts w:eastAsiaTheme="minorHAnsi"/>
          <w:color w:val="000000"/>
          <w:sz w:val="22"/>
          <w:szCs w:val="22"/>
          <w:lang w:eastAsia="en-US"/>
        </w:rPr>
        <w:t>ма Верховного суда РФ. Более точная формулировка данной статьи в Уголовном кодексе также помогла бы избежать двоякого поним</w:t>
      </w:r>
      <w:r w:rsidRPr="00EC1A78">
        <w:rPr>
          <w:rFonts w:eastAsiaTheme="minorHAnsi"/>
          <w:color w:val="000000"/>
          <w:sz w:val="22"/>
          <w:szCs w:val="22"/>
          <w:lang w:eastAsia="en-US"/>
        </w:rPr>
        <w:t>а</w:t>
      </w:r>
      <w:r w:rsidRPr="00EC1A78">
        <w:rPr>
          <w:rFonts w:eastAsiaTheme="minorHAnsi"/>
          <w:color w:val="000000"/>
          <w:sz w:val="22"/>
          <w:szCs w:val="22"/>
          <w:lang w:eastAsia="en-US"/>
        </w:rPr>
        <w:t>ния текста нормы. На наш взгляд, законодателю необходимо внести корректировку следующих положений: у</w:t>
      </w:r>
      <w:r w:rsidRPr="00EC1A78">
        <w:rPr>
          <w:rFonts w:eastAsiaTheme="minorHAnsi"/>
          <w:color w:val="181818"/>
          <w:sz w:val="22"/>
          <w:szCs w:val="22"/>
          <w:lang w:eastAsia="en-US"/>
        </w:rPr>
        <w:t>казать дифференциацию между деяниями, которые будут подпадать под данную норму, ук</w:t>
      </w:r>
      <w:r w:rsidRPr="00EC1A78">
        <w:rPr>
          <w:rFonts w:eastAsiaTheme="minorHAnsi"/>
          <w:color w:val="181818"/>
          <w:sz w:val="22"/>
          <w:szCs w:val="22"/>
          <w:lang w:eastAsia="en-US"/>
        </w:rPr>
        <w:t>а</w:t>
      </w:r>
      <w:r w:rsidRPr="00EC1A78">
        <w:rPr>
          <w:rFonts w:eastAsiaTheme="minorHAnsi"/>
          <w:color w:val="181818"/>
          <w:sz w:val="22"/>
          <w:szCs w:val="22"/>
          <w:lang w:eastAsia="en-US"/>
        </w:rPr>
        <w:t xml:space="preserve">зать тяжесть общественной опасности, указать момент, с которого будет считаться срок 180 дней. Иначе, если не решить возникшие на практике проблемы, то придется, как заявил </w:t>
      </w:r>
      <w:r w:rsidRPr="00EC1A78">
        <w:rPr>
          <w:bCs/>
          <w:color w:val="181818"/>
          <w:spacing w:val="3"/>
          <w:sz w:val="22"/>
          <w:szCs w:val="22"/>
        </w:rPr>
        <w:t xml:space="preserve">Уполномоченный по правам человека в РФ Татьяна Москалькова </w:t>
      </w:r>
      <w:r w:rsidRPr="00EC1A78">
        <w:rPr>
          <w:color w:val="181818"/>
          <w:spacing w:val="3"/>
          <w:sz w:val="22"/>
          <w:szCs w:val="22"/>
        </w:rPr>
        <w:t>«Мне кажется, было бы логичным рассмотреть вопрос об исключении ее из админ</w:t>
      </w:r>
      <w:r w:rsidRPr="00EC1A78">
        <w:rPr>
          <w:color w:val="181818"/>
          <w:spacing w:val="3"/>
          <w:sz w:val="22"/>
          <w:szCs w:val="22"/>
        </w:rPr>
        <w:t>и</w:t>
      </w:r>
      <w:r w:rsidRPr="00EC1A78">
        <w:rPr>
          <w:color w:val="181818"/>
          <w:spacing w:val="3"/>
          <w:sz w:val="22"/>
          <w:szCs w:val="22"/>
        </w:rPr>
        <w:t>стративной преюдиции».</w:t>
      </w:r>
    </w:p>
    <w:p w:rsidR="00EC1A78" w:rsidRPr="00EC1A78" w:rsidRDefault="00EC1A78" w:rsidP="00EC1A78">
      <w:pPr>
        <w:ind w:firstLine="425"/>
        <w:jc w:val="center"/>
        <w:rPr>
          <w:rFonts w:eastAsiaTheme="minorHAnsi"/>
          <w:color w:val="181818"/>
          <w:sz w:val="22"/>
          <w:szCs w:val="22"/>
          <w:lang w:eastAsia="en-US"/>
        </w:rPr>
      </w:pPr>
    </w:p>
    <w:p w:rsidR="00EC1A78" w:rsidRPr="00EC1A78" w:rsidRDefault="00EC1A78" w:rsidP="00EC1A78">
      <w:pPr>
        <w:ind w:firstLine="425"/>
        <w:jc w:val="center"/>
        <w:rPr>
          <w:rFonts w:eastAsiaTheme="minorHAnsi"/>
          <w:color w:val="181818"/>
          <w:sz w:val="22"/>
          <w:szCs w:val="22"/>
          <w:lang w:eastAsia="en-US"/>
        </w:rPr>
      </w:pPr>
      <w:r w:rsidRPr="00EC1A78">
        <w:rPr>
          <w:rFonts w:eastAsiaTheme="minorHAnsi"/>
          <w:color w:val="181818"/>
          <w:sz w:val="22"/>
          <w:szCs w:val="22"/>
          <w:lang w:eastAsia="en-US"/>
        </w:rPr>
        <w:t>Список литературы</w:t>
      </w:r>
    </w:p>
    <w:p w:rsidR="00EC1A78" w:rsidRPr="00EC1A78" w:rsidRDefault="00EC1A78" w:rsidP="00EC1A78">
      <w:pPr>
        <w:ind w:firstLine="425"/>
        <w:jc w:val="both"/>
        <w:rPr>
          <w:color w:val="181818"/>
          <w:sz w:val="22"/>
          <w:szCs w:val="22"/>
        </w:rPr>
      </w:pPr>
      <w:r w:rsidRPr="00EC1A78">
        <w:rPr>
          <w:rFonts w:eastAsiaTheme="minorHAnsi"/>
          <w:color w:val="181818"/>
          <w:sz w:val="22"/>
          <w:szCs w:val="22"/>
          <w:lang w:eastAsia="en-US"/>
        </w:rPr>
        <w:t>1. Уголовный кодекс РФ от 13 июня 1996 г. № 63–ФЗ // Собр</w:t>
      </w:r>
      <w:r w:rsidRPr="00EC1A78">
        <w:rPr>
          <w:rFonts w:eastAsiaTheme="minorHAnsi"/>
          <w:color w:val="181818"/>
          <w:sz w:val="22"/>
          <w:szCs w:val="22"/>
          <w:lang w:eastAsia="en-US"/>
        </w:rPr>
        <w:t>а</w:t>
      </w:r>
      <w:r w:rsidRPr="00EC1A78">
        <w:rPr>
          <w:rFonts w:eastAsiaTheme="minorHAnsi"/>
          <w:color w:val="181818"/>
          <w:sz w:val="22"/>
          <w:szCs w:val="22"/>
          <w:lang w:eastAsia="en-US"/>
        </w:rPr>
        <w:t>ние законодательства Российской Федерации – 17 июня 1996 г. – № 25 – Ст. 2954.</w:t>
      </w:r>
    </w:p>
    <w:p w:rsidR="00EC1A78" w:rsidRPr="00EC1A78" w:rsidRDefault="00EC1A78" w:rsidP="00EC1A78">
      <w:pPr>
        <w:ind w:firstLine="425"/>
        <w:jc w:val="both"/>
        <w:rPr>
          <w:color w:val="181818"/>
          <w:sz w:val="22"/>
          <w:szCs w:val="22"/>
        </w:rPr>
      </w:pPr>
      <w:r w:rsidRPr="00EC1A78">
        <w:rPr>
          <w:color w:val="181818"/>
          <w:sz w:val="22"/>
          <w:szCs w:val="22"/>
        </w:rPr>
        <w:t>2. Вдовиченко К.Г. Особенности квалификации преступлений в сфере организации и проведения публичных массовых мероприятий // Юристъ–Правоведъ. 2014. № 4. С. 120–125.</w:t>
      </w:r>
    </w:p>
    <w:p w:rsidR="00EC1A78" w:rsidRPr="00EC1A78" w:rsidRDefault="00EC1A78" w:rsidP="00EC1A78">
      <w:pPr>
        <w:ind w:firstLine="425"/>
        <w:jc w:val="both"/>
        <w:rPr>
          <w:rFonts w:eastAsiaTheme="minorHAnsi"/>
          <w:sz w:val="22"/>
          <w:szCs w:val="22"/>
          <w:lang w:val="en-US" w:eastAsia="en-US"/>
        </w:rPr>
      </w:pPr>
      <w:r w:rsidRPr="00EC1A78">
        <w:rPr>
          <w:color w:val="181818"/>
          <w:sz w:val="22"/>
          <w:szCs w:val="22"/>
        </w:rPr>
        <w:t xml:space="preserve">3. Меркурьев В.В., Агапов П.В. Ответственность за массовые беспорядки: вопросы квалификации и доказывания // Законность. </w:t>
      </w:r>
      <w:r w:rsidRPr="00EC1A78">
        <w:rPr>
          <w:color w:val="181818"/>
          <w:sz w:val="22"/>
          <w:szCs w:val="22"/>
          <w:lang w:val="en-US"/>
        </w:rPr>
        <w:t xml:space="preserve">2015. № 1. </w:t>
      </w:r>
      <w:r w:rsidRPr="00EC1A78">
        <w:rPr>
          <w:color w:val="181818"/>
          <w:sz w:val="22"/>
          <w:szCs w:val="22"/>
        </w:rPr>
        <w:t>С</w:t>
      </w:r>
      <w:r w:rsidRPr="00EC1A78">
        <w:rPr>
          <w:color w:val="181818"/>
          <w:sz w:val="22"/>
          <w:szCs w:val="22"/>
          <w:lang w:val="en-US"/>
        </w:rPr>
        <w:t>. 54–56.</w:t>
      </w:r>
    </w:p>
    <w:p w:rsidR="00EC1A78" w:rsidRPr="00E62E4B" w:rsidRDefault="00EC1A78" w:rsidP="00EC1A78">
      <w:pPr>
        <w:jc w:val="both"/>
        <w:rPr>
          <w:rFonts w:eastAsiaTheme="minorHAnsi"/>
          <w:sz w:val="22"/>
          <w:szCs w:val="22"/>
          <w:lang w:val="en-US" w:eastAsia="en-US"/>
        </w:rPr>
      </w:pPr>
    </w:p>
    <w:p w:rsidR="003A6F86" w:rsidRPr="00E62E4B" w:rsidRDefault="003A6F86" w:rsidP="00EC1A78">
      <w:pPr>
        <w:jc w:val="both"/>
        <w:rPr>
          <w:rFonts w:eastAsiaTheme="minorHAnsi"/>
          <w:sz w:val="22"/>
          <w:szCs w:val="22"/>
          <w:lang w:val="en-US" w:eastAsia="en-US"/>
        </w:rPr>
      </w:pPr>
    </w:p>
    <w:p w:rsidR="003A6F86" w:rsidRPr="00E62E4B" w:rsidRDefault="003A6F86" w:rsidP="00EC1A78">
      <w:pPr>
        <w:jc w:val="both"/>
        <w:rPr>
          <w:rFonts w:eastAsiaTheme="minorHAnsi"/>
          <w:sz w:val="22"/>
          <w:szCs w:val="22"/>
          <w:lang w:val="en-US" w:eastAsia="en-US"/>
        </w:rPr>
      </w:pPr>
    </w:p>
    <w:p w:rsidR="00EC1A78" w:rsidRPr="00EC1A78" w:rsidRDefault="00EC1A78" w:rsidP="00EC1A78">
      <w:pPr>
        <w:jc w:val="both"/>
        <w:rPr>
          <w:rFonts w:eastAsiaTheme="minorHAnsi"/>
          <w:sz w:val="22"/>
          <w:szCs w:val="22"/>
          <w:lang w:val="en-US" w:eastAsia="en-US"/>
        </w:rPr>
      </w:pPr>
      <w:r w:rsidRPr="00EC1A78">
        <w:rPr>
          <w:rFonts w:eastAsiaTheme="minorHAnsi"/>
          <w:sz w:val="22"/>
          <w:szCs w:val="22"/>
          <w:lang w:eastAsia="en-US"/>
        </w:rPr>
        <w:lastRenderedPageBreak/>
        <w:t>УДК</w:t>
      </w:r>
      <w:r w:rsidRPr="00EC1A78">
        <w:rPr>
          <w:rFonts w:eastAsiaTheme="minorHAnsi"/>
          <w:sz w:val="22"/>
          <w:szCs w:val="22"/>
          <w:lang w:val="en-US" w:eastAsia="en-US"/>
        </w:rPr>
        <w:t xml:space="preserve"> 342.565.2</w:t>
      </w:r>
    </w:p>
    <w:p w:rsidR="00EC1A78" w:rsidRPr="00EC1A78" w:rsidRDefault="00EC1A78" w:rsidP="00EC1A78">
      <w:pPr>
        <w:ind w:firstLine="283"/>
        <w:jc w:val="both"/>
        <w:rPr>
          <w:rFonts w:eastAsiaTheme="minorHAnsi"/>
          <w:sz w:val="22"/>
          <w:szCs w:val="22"/>
          <w:lang w:val="en-US" w:eastAsia="en-US"/>
        </w:rPr>
      </w:pPr>
    </w:p>
    <w:p w:rsidR="00EC1A78" w:rsidRPr="00EC1A78" w:rsidRDefault="00EC1A78" w:rsidP="00EC1A78">
      <w:pPr>
        <w:ind w:firstLine="283"/>
        <w:jc w:val="center"/>
        <w:rPr>
          <w:rFonts w:eastAsiaTheme="minorHAnsi"/>
          <w:b/>
          <w:sz w:val="24"/>
          <w:szCs w:val="24"/>
          <w:lang w:val="en-US" w:eastAsia="en-US"/>
        </w:rPr>
      </w:pPr>
      <w:r w:rsidRPr="00EC1A78">
        <w:rPr>
          <w:rFonts w:eastAsiaTheme="minorHAnsi"/>
          <w:b/>
          <w:sz w:val="24"/>
          <w:szCs w:val="24"/>
          <w:lang w:eastAsia="en-US"/>
        </w:rPr>
        <w:t>Проблемы</w:t>
      </w:r>
      <w:r w:rsidRPr="00EC1A78">
        <w:rPr>
          <w:rFonts w:eastAsiaTheme="minorHAnsi"/>
          <w:b/>
          <w:sz w:val="24"/>
          <w:szCs w:val="24"/>
          <w:lang w:val="en-US" w:eastAsia="en-US"/>
        </w:rPr>
        <w:t xml:space="preserve"> </w:t>
      </w:r>
      <w:r w:rsidRPr="00EC1A78">
        <w:rPr>
          <w:rFonts w:eastAsiaTheme="minorHAnsi"/>
          <w:b/>
          <w:sz w:val="24"/>
          <w:szCs w:val="24"/>
          <w:lang w:eastAsia="en-US"/>
        </w:rPr>
        <w:t>исполнения</w:t>
      </w:r>
      <w:r w:rsidRPr="00EC1A78">
        <w:rPr>
          <w:rFonts w:eastAsiaTheme="minorHAnsi"/>
          <w:b/>
          <w:sz w:val="24"/>
          <w:szCs w:val="24"/>
          <w:lang w:val="en-US" w:eastAsia="en-US"/>
        </w:rPr>
        <w:t xml:space="preserve"> </w:t>
      </w:r>
      <w:r w:rsidRPr="00EC1A78">
        <w:rPr>
          <w:rFonts w:eastAsiaTheme="minorHAnsi"/>
          <w:b/>
          <w:sz w:val="24"/>
          <w:szCs w:val="24"/>
          <w:lang w:eastAsia="en-US"/>
        </w:rPr>
        <w:t>решений</w:t>
      </w:r>
      <w:r w:rsidRPr="00EC1A78">
        <w:rPr>
          <w:rFonts w:eastAsiaTheme="minorHAnsi"/>
          <w:b/>
          <w:sz w:val="24"/>
          <w:szCs w:val="24"/>
          <w:lang w:val="en-US" w:eastAsia="en-US"/>
        </w:rPr>
        <w:t xml:space="preserve"> </w:t>
      </w:r>
      <w:r w:rsidRPr="00EC1A78">
        <w:rPr>
          <w:rFonts w:eastAsiaTheme="minorHAnsi"/>
          <w:b/>
          <w:sz w:val="24"/>
          <w:szCs w:val="24"/>
          <w:lang w:eastAsia="en-US"/>
        </w:rPr>
        <w:t>Конституционного</w:t>
      </w:r>
      <w:r w:rsidRPr="00EC1A78">
        <w:rPr>
          <w:rFonts w:eastAsiaTheme="minorHAnsi"/>
          <w:b/>
          <w:sz w:val="24"/>
          <w:szCs w:val="24"/>
          <w:lang w:val="en-US" w:eastAsia="en-US"/>
        </w:rPr>
        <w:t xml:space="preserve"> </w:t>
      </w:r>
    </w:p>
    <w:p w:rsidR="00EC1A78" w:rsidRPr="00EC1A78" w:rsidRDefault="00EC1A78" w:rsidP="00EC1A78">
      <w:pPr>
        <w:ind w:firstLine="283"/>
        <w:jc w:val="center"/>
        <w:rPr>
          <w:rFonts w:eastAsiaTheme="minorHAnsi"/>
          <w:b/>
          <w:sz w:val="24"/>
          <w:szCs w:val="24"/>
          <w:lang w:val="en-US" w:eastAsia="en-US"/>
        </w:rPr>
      </w:pPr>
      <w:r w:rsidRPr="00EC1A78">
        <w:rPr>
          <w:rFonts w:eastAsiaTheme="minorHAnsi"/>
          <w:b/>
          <w:sz w:val="24"/>
          <w:szCs w:val="24"/>
          <w:lang w:eastAsia="en-US"/>
        </w:rPr>
        <w:t>Суда</w:t>
      </w:r>
      <w:r w:rsidRPr="00EC1A78">
        <w:rPr>
          <w:rFonts w:eastAsiaTheme="minorHAnsi"/>
          <w:b/>
          <w:sz w:val="24"/>
          <w:szCs w:val="24"/>
          <w:lang w:val="en-US" w:eastAsia="en-US"/>
        </w:rPr>
        <w:t xml:space="preserve"> </w:t>
      </w:r>
      <w:r w:rsidRPr="00EC1A78">
        <w:rPr>
          <w:rFonts w:eastAsiaTheme="minorHAnsi"/>
          <w:b/>
          <w:sz w:val="24"/>
          <w:szCs w:val="24"/>
          <w:lang w:eastAsia="en-US"/>
        </w:rPr>
        <w:t>Российской</w:t>
      </w:r>
      <w:r w:rsidRPr="00EC1A78">
        <w:rPr>
          <w:rFonts w:eastAsiaTheme="minorHAnsi"/>
          <w:b/>
          <w:sz w:val="24"/>
          <w:szCs w:val="24"/>
          <w:lang w:val="en-US" w:eastAsia="en-US"/>
        </w:rPr>
        <w:t xml:space="preserve"> </w:t>
      </w:r>
      <w:r w:rsidRPr="00EC1A78">
        <w:rPr>
          <w:rFonts w:eastAsiaTheme="minorHAnsi"/>
          <w:b/>
          <w:sz w:val="24"/>
          <w:szCs w:val="24"/>
          <w:lang w:eastAsia="en-US"/>
        </w:rPr>
        <w:t>Федерации</w:t>
      </w:r>
    </w:p>
    <w:p w:rsidR="00EC1A78" w:rsidRPr="00EC1A78" w:rsidRDefault="00EC1A78" w:rsidP="00EC1A78">
      <w:pPr>
        <w:ind w:firstLine="283"/>
        <w:jc w:val="center"/>
        <w:rPr>
          <w:rFonts w:eastAsiaTheme="minorHAnsi"/>
          <w:b/>
          <w:sz w:val="24"/>
          <w:szCs w:val="24"/>
          <w:lang w:val="en-US" w:eastAsia="en-US"/>
        </w:rPr>
      </w:pPr>
      <w:r w:rsidRPr="00EC1A78">
        <w:rPr>
          <w:rFonts w:eastAsiaTheme="minorHAnsi"/>
          <w:b/>
          <w:sz w:val="24"/>
          <w:szCs w:val="24"/>
          <w:lang w:val="en-US" w:eastAsia="en-US"/>
        </w:rPr>
        <w:t>Problems of execution of decisions of the Constitution of the Russian Federation</w:t>
      </w:r>
    </w:p>
    <w:p w:rsidR="00EC1A78" w:rsidRPr="00EC1A78" w:rsidRDefault="00EC1A78" w:rsidP="00EC1A78">
      <w:pPr>
        <w:ind w:firstLine="283"/>
        <w:jc w:val="right"/>
        <w:rPr>
          <w:rFonts w:eastAsiaTheme="minorHAnsi"/>
          <w:sz w:val="22"/>
          <w:szCs w:val="22"/>
          <w:lang w:val="en-US" w:eastAsia="en-US"/>
        </w:rPr>
      </w:pP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Данилова А.</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 xml:space="preserve">студентка 2 курса магистратуры </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юридического факультета</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Безуглов С.</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 xml:space="preserve">доцент кафедры государственного </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и международного права</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283"/>
        <w:jc w:val="right"/>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Обоснована актуальность проблем, возника</w:t>
      </w:r>
      <w:r w:rsidRPr="00EC1A78">
        <w:rPr>
          <w:rFonts w:eastAsiaTheme="minorHAnsi"/>
          <w:sz w:val="22"/>
          <w:szCs w:val="22"/>
          <w:lang w:eastAsia="en-US"/>
        </w:rPr>
        <w:t>ю</w:t>
      </w:r>
      <w:r w:rsidRPr="00EC1A78">
        <w:rPr>
          <w:rFonts w:eastAsiaTheme="minorHAnsi"/>
          <w:sz w:val="22"/>
          <w:szCs w:val="22"/>
          <w:lang w:eastAsia="en-US"/>
        </w:rPr>
        <w:t>щих при исполнении решений Конституционного Суда Российской Федерации. Перечислены и раскрыты основные проблемы исполн</w:t>
      </w:r>
      <w:r w:rsidRPr="00EC1A78">
        <w:rPr>
          <w:rFonts w:eastAsiaTheme="minorHAnsi"/>
          <w:sz w:val="22"/>
          <w:szCs w:val="22"/>
          <w:lang w:eastAsia="en-US"/>
        </w:rPr>
        <w:t>е</w:t>
      </w:r>
      <w:r w:rsidRPr="00EC1A78">
        <w:rPr>
          <w:rFonts w:eastAsiaTheme="minorHAnsi"/>
          <w:sz w:val="22"/>
          <w:szCs w:val="22"/>
          <w:lang w:eastAsia="en-US"/>
        </w:rPr>
        <w:t>ния указанных решений. Найдены возможные пути их разрешения.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val="en-US" w:eastAsia="en-US"/>
        </w:rPr>
        <w:t>ABSTRACT: The urgency of problems arising in the execution of decisions of the constitutional Court of the Russian Federation is Su</w:t>
      </w:r>
      <w:r w:rsidRPr="00EC1A78">
        <w:rPr>
          <w:rFonts w:eastAsiaTheme="minorHAnsi"/>
          <w:sz w:val="22"/>
          <w:szCs w:val="22"/>
          <w:lang w:val="en-US" w:eastAsia="en-US"/>
        </w:rPr>
        <w:t>b</w:t>
      </w:r>
      <w:r w:rsidRPr="00EC1A78">
        <w:rPr>
          <w:rFonts w:eastAsiaTheme="minorHAnsi"/>
          <w:sz w:val="22"/>
          <w:szCs w:val="22"/>
          <w:lang w:val="en-US" w:eastAsia="en-US"/>
        </w:rPr>
        <w:t>stantiated. The main problems of the implementation of these decisions are listed and disclosed. Possible</w:t>
      </w:r>
      <w:r w:rsidRPr="00EC1A78">
        <w:rPr>
          <w:rFonts w:eastAsiaTheme="minorHAnsi"/>
          <w:sz w:val="22"/>
          <w:szCs w:val="22"/>
          <w:lang w:eastAsia="en-US"/>
        </w:rPr>
        <w:t xml:space="preserve"> </w:t>
      </w:r>
      <w:r w:rsidRPr="00EC1A78">
        <w:rPr>
          <w:rFonts w:eastAsiaTheme="minorHAnsi"/>
          <w:sz w:val="22"/>
          <w:szCs w:val="22"/>
          <w:lang w:val="en-US" w:eastAsia="en-US"/>
        </w:rPr>
        <w:t>ways</w:t>
      </w:r>
      <w:r w:rsidRPr="00EC1A78">
        <w:rPr>
          <w:rFonts w:eastAsiaTheme="minorHAnsi"/>
          <w:sz w:val="22"/>
          <w:szCs w:val="22"/>
          <w:lang w:eastAsia="en-US"/>
        </w:rPr>
        <w:t xml:space="preserve"> </w:t>
      </w:r>
      <w:r w:rsidRPr="00EC1A78">
        <w:rPr>
          <w:rFonts w:eastAsiaTheme="minorHAnsi"/>
          <w:sz w:val="22"/>
          <w:szCs w:val="22"/>
          <w:lang w:val="en-US" w:eastAsia="en-US"/>
        </w:rPr>
        <w:t>of</w:t>
      </w:r>
      <w:r w:rsidRPr="00EC1A78">
        <w:rPr>
          <w:rFonts w:eastAsiaTheme="minorHAnsi"/>
          <w:sz w:val="22"/>
          <w:szCs w:val="22"/>
          <w:lang w:eastAsia="en-US"/>
        </w:rPr>
        <w:t xml:space="preserve"> </w:t>
      </w:r>
      <w:r w:rsidRPr="00EC1A78">
        <w:rPr>
          <w:rFonts w:eastAsiaTheme="minorHAnsi"/>
          <w:sz w:val="22"/>
          <w:szCs w:val="22"/>
          <w:lang w:val="en-US" w:eastAsia="en-US"/>
        </w:rPr>
        <w:t>their</w:t>
      </w:r>
      <w:r w:rsidRPr="00EC1A78">
        <w:rPr>
          <w:rFonts w:eastAsiaTheme="minorHAnsi"/>
          <w:sz w:val="22"/>
          <w:szCs w:val="22"/>
          <w:lang w:eastAsia="en-US"/>
        </w:rPr>
        <w:t xml:space="preserve"> </w:t>
      </w:r>
      <w:r w:rsidRPr="00EC1A78">
        <w:rPr>
          <w:rFonts w:eastAsiaTheme="minorHAnsi"/>
          <w:sz w:val="22"/>
          <w:szCs w:val="22"/>
          <w:lang w:val="en-US" w:eastAsia="en-US"/>
        </w:rPr>
        <w:t>resolution</w:t>
      </w:r>
      <w:r w:rsidRPr="00EC1A78">
        <w:rPr>
          <w:rFonts w:eastAsiaTheme="minorHAnsi"/>
          <w:sz w:val="22"/>
          <w:szCs w:val="22"/>
          <w:lang w:eastAsia="en-US"/>
        </w:rPr>
        <w:t xml:space="preserve"> </w:t>
      </w:r>
      <w:r w:rsidRPr="00EC1A78">
        <w:rPr>
          <w:rFonts w:eastAsiaTheme="minorHAnsi"/>
          <w:sz w:val="22"/>
          <w:szCs w:val="22"/>
          <w:lang w:val="en-US" w:eastAsia="en-US"/>
        </w:rPr>
        <w:t>are</w:t>
      </w:r>
      <w:r w:rsidRPr="00EC1A78">
        <w:rPr>
          <w:rFonts w:eastAsiaTheme="minorHAnsi"/>
          <w:sz w:val="22"/>
          <w:szCs w:val="22"/>
          <w:lang w:eastAsia="en-US"/>
        </w:rPr>
        <w:t xml:space="preserve"> </w:t>
      </w:r>
      <w:r w:rsidRPr="00EC1A78">
        <w:rPr>
          <w:rFonts w:eastAsiaTheme="minorHAnsi"/>
          <w:sz w:val="22"/>
          <w:szCs w:val="22"/>
          <w:lang w:val="en-US" w:eastAsia="en-US"/>
        </w:rPr>
        <w:t>found</w:t>
      </w:r>
      <w:r w:rsidRPr="00EC1A78">
        <w:rPr>
          <w:rFonts w:eastAsiaTheme="minorHAnsi"/>
          <w:sz w:val="22"/>
          <w:szCs w:val="22"/>
          <w:lang w:eastAsia="en-US"/>
        </w:rPr>
        <w:t>.</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Конституционный Суд РФ, решения, Конституция РФ, проблемы исполнения, ответственность, правовой механизм.</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Constitutional Court of the Russian Federation, d</w:t>
      </w:r>
      <w:r w:rsidRPr="00EC1A78">
        <w:rPr>
          <w:rFonts w:eastAsiaTheme="minorHAnsi"/>
          <w:sz w:val="22"/>
          <w:szCs w:val="22"/>
          <w:lang w:val="en-US" w:eastAsia="en-US"/>
        </w:rPr>
        <w:t>e</w:t>
      </w:r>
      <w:r w:rsidRPr="00EC1A78">
        <w:rPr>
          <w:rFonts w:eastAsiaTheme="minorHAnsi"/>
          <w:sz w:val="22"/>
          <w:szCs w:val="22"/>
          <w:lang w:val="en-US" w:eastAsia="en-US"/>
        </w:rPr>
        <w:t>cisions, Constitution, problems of execution, responsibility, legal mec</w:t>
      </w:r>
      <w:r w:rsidRPr="00EC1A78">
        <w:rPr>
          <w:rFonts w:eastAsiaTheme="minorHAnsi"/>
          <w:sz w:val="22"/>
          <w:szCs w:val="22"/>
          <w:lang w:val="en-US" w:eastAsia="en-US"/>
        </w:rPr>
        <w:t>h</w:t>
      </w:r>
      <w:r w:rsidRPr="00EC1A78">
        <w:rPr>
          <w:rFonts w:eastAsiaTheme="minorHAnsi"/>
          <w:sz w:val="22"/>
          <w:szCs w:val="22"/>
          <w:lang w:val="en-US" w:eastAsia="en-US"/>
        </w:rPr>
        <w:t>anism.</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Согласно ст. 1 Конституции РФ Россия есть правовое госуда</w:t>
      </w:r>
      <w:r w:rsidRPr="00EC1A78">
        <w:rPr>
          <w:rFonts w:eastAsiaTheme="minorHAnsi"/>
          <w:sz w:val="22"/>
          <w:szCs w:val="22"/>
          <w:lang w:eastAsia="en-US"/>
        </w:rPr>
        <w:t>р</w:t>
      </w:r>
      <w:r w:rsidRPr="00EC1A78">
        <w:rPr>
          <w:rFonts w:eastAsiaTheme="minorHAnsi"/>
          <w:sz w:val="22"/>
          <w:szCs w:val="22"/>
          <w:lang w:eastAsia="en-US"/>
        </w:rPr>
        <w:t>ство. А что лучше характеризует государство как правовое, если не эффективность исполнения решений судов, в том числе Констит</w:t>
      </w:r>
      <w:r w:rsidRPr="00EC1A78">
        <w:rPr>
          <w:rFonts w:eastAsiaTheme="minorHAnsi"/>
          <w:sz w:val="22"/>
          <w:szCs w:val="22"/>
          <w:lang w:eastAsia="en-US"/>
        </w:rPr>
        <w:t>у</w:t>
      </w:r>
      <w:r w:rsidRPr="00EC1A78">
        <w:rPr>
          <w:rFonts w:eastAsiaTheme="minorHAnsi"/>
          <w:sz w:val="22"/>
          <w:szCs w:val="22"/>
          <w:lang w:eastAsia="en-US"/>
        </w:rPr>
        <w:t>ционного Суда РФ? Ведь именно он является основным органом в России, осуществляющим конституционный контроль и обеспеч</w:t>
      </w:r>
      <w:r w:rsidRPr="00EC1A78">
        <w:rPr>
          <w:rFonts w:eastAsiaTheme="minorHAnsi"/>
          <w:sz w:val="22"/>
          <w:szCs w:val="22"/>
          <w:lang w:eastAsia="en-US"/>
        </w:rPr>
        <w:t>и</w:t>
      </w:r>
      <w:r w:rsidRPr="00EC1A78">
        <w:rPr>
          <w:rFonts w:eastAsiaTheme="minorHAnsi"/>
          <w:sz w:val="22"/>
          <w:szCs w:val="22"/>
          <w:lang w:eastAsia="en-US"/>
        </w:rPr>
        <w:t xml:space="preserve">вающим конституционную законность. В некоторых случаях он </w:t>
      </w:r>
      <w:r w:rsidRPr="00EC1A78">
        <w:rPr>
          <w:rFonts w:eastAsiaTheme="minorHAnsi"/>
          <w:sz w:val="22"/>
          <w:szCs w:val="22"/>
          <w:lang w:eastAsia="en-US"/>
        </w:rPr>
        <w:lastRenderedPageBreak/>
        <w:t>также является создателем «позитивного» или «негативного» права [1]. Однако на сегодняшний день проблема исполнения его реш</w:t>
      </w:r>
      <w:r w:rsidRPr="00EC1A78">
        <w:rPr>
          <w:rFonts w:eastAsiaTheme="minorHAnsi"/>
          <w:sz w:val="22"/>
          <w:szCs w:val="22"/>
          <w:lang w:eastAsia="en-US"/>
        </w:rPr>
        <w:t>е</w:t>
      </w:r>
      <w:r w:rsidRPr="00EC1A78">
        <w:rPr>
          <w:rFonts w:eastAsiaTheme="minorHAnsi"/>
          <w:sz w:val="22"/>
          <w:szCs w:val="22"/>
          <w:lang w:eastAsia="en-US"/>
        </w:rPr>
        <w:t xml:space="preserve">ний не решена, хотя стоит в повестке дня научного мира уже много лет.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Среди причин, по которым не все решения Конституционного Суда РФ реализуются на практике, по нашему мнению, на первое место можно выдвинуть отсутствие надлежащего механизма пр</w:t>
      </w:r>
      <w:r w:rsidRPr="00EC1A78">
        <w:rPr>
          <w:rFonts w:eastAsiaTheme="minorHAnsi"/>
          <w:sz w:val="22"/>
          <w:szCs w:val="22"/>
          <w:lang w:eastAsia="en-US"/>
        </w:rPr>
        <w:t>и</w:t>
      </w:r>
      <w:r w:rsidRPr="00EC1A78">
        <w:rPr>
          <w:rFonts w:eastAsiaTheme="minorHAnsi"/>
          <w:sz w:val="22"/>
          <w:szCs w:val="22"/>
          <w:lang w:eastAsia="en-US"/>
        </w:rPr>
        <w:t>влечения к ответственности соответствующих субъектов, на кот</w:t>
      </w:r>
      <w:r w:rsidRPr="00EC1A78">
        <w:rPr>
          <w:rFonts w:eastAsiaTheme="minorHAnsi"/>
          <w:sz w:val="22"/>
          <w:szCs w:val="22"/>
          <w:lang w:eastAsia="en-US"/>
        </w:rPr>
        <w:t>о</w:t>
      </w:r>
      <w:r w:rsidRPr="00EC1A78">
        <w:rPr>
          <w:rFonts w:eastAsiaTheme="minorHAnsi"/>
          <w:sz w:val="22"/>
          <w:szCs w:val="22"/>
          <w:lang w:eastAsia="en-US"/>
        </w:rPr>
        <w:t>рые законодательством возложена обязанность по исполнению с</w:t>
      </w:r>
      <w:r w:rsidRPr="00EC1A78">
        <w:rPr>
          <w:rFonts w:eastAsiaTheme="minorHAnsi"/>
          <w:sz w:val="22"/>
          <w:szCs w:val="22"/>
          <w:lang w:eastAsia="en-US"/>
        </w:rPr>
        <w:t>у</w:t>
      </w:r>
      <w:r w:rsidRPr="00EC1A78">
        <w:rPr>
          <w:rFonts w:eastAsiaTheme="minorHAnsi"/>
          <w:sz w:val="22"/>
          <w:szCs w:val="22"/>
          <w:lang w:eastAsia="en-US"/>
        </w:rPr>
        <w:t>дебных актов. Так, в ст. 81 Федерального конституционного закона «О Конституционном Суде РФ» (далее – ФКЗ о Конституционном Суде) формально закреплено, что воспрепятствование исполнению, неисполнение или ненадлежащее исполнение решения Конституц</w:t>
      </w:r>
      <w:r w:rsidRPr="00EC1A78">
        <w:rPr>
          <w:rFonts w:eastAsiaTheme="minorHAnsi"/>
          <w:sz w:val="22"/>
          <w:szCs w:val="22"/>
          <w:lang w:eastAsia="en-US"/>
        </w:rPr>
        <w:t>и</w:t>
      </w:r>
      <w:r w:rsidRPr="00EC1A78">
        <w:rPr>
          <w:rFonts w:eastAsiaTheme="minorHAnsi"/>
          <w:sz w:val="22"/>
          <w:szCs w:val="22"/>
          <w:lang w:eastAsia="en-US"/>
        </w:rPr>
        <w:t>онного Суда РФ влечет ответственность, предусмотренную фед</w:t>
      </w:r>
      <w:r w:rsidRPr="00EC1A78">
        <w:rPr>
          <w:rFonts w:eastAsiaTheme="minorHAnsi"/>
          <w:sz w:val="22"/>
          <w:szCs w:val="22"/>
          <w:lang w:eastAsia="en-US"/>
        </w:rPr>
        <w:t>е</w:t>
      </w:r>
      <w:r w:rsidRPr="00EC1A78">
        <w:rPr>
          <w:rFonts w:eastAsiaTheme="minorHAnsi"/>
          <w:sz w:val="22"/>
          <w:szCs w:val="22"/>
          <w:lang w:eastAsia="en-US"/>
        </w:rPr>
        <w:t>ральным законом. Однако данная норма приводит нас к Уголовн</w:t>
      </w:r>
      <w:r w:rsidRPr="00EC1A78">
        <w:rPr>
          <w:rFonts w:eastAsiaTheme="minorHAnsi"/>
          <w:sz w:val="22"/>
          <w:szCs w:val="22"/>
          <w:lang w:eastAsia="en-US"/>
        </w:rPr>
        <w:t>о</w:t>
      </w:r>
      <w:r w:rsidRPr="00EC1A78">
        <w:rPr>
          <w:rFonts w:eastAsiaTheme="minorHAnsi"/>
          <w:sz w:val="22"/>
          <w:szCs w:val="22"/>
          <w:lang w:eastAsia="en-US"/>
        </w:rPr>
        <w:t>му кодексу РФ, субъектом ответственности по которому могут быть только физические лица.</w:t>
      </w:r>
      <w:r w:rsidRPr="00EC1A78">
        <w:rPr>
          <w:rFonts w:eastAsiaTheme="minorHAnsi"/>
          <w:color w:val="FF0000"/>
          <w:sz w:val="22"/>
          <w:szCs w:val="22"/>
          <w:lang w:eastAsia="en-US"/>
        </w:rPr>
        <w:t xml:space="preserve"> </w:t>
      </w:r>
      <w:r w:rsidRPr="00EC1A78">
        <w:rPr>
          <w:rFonts w:eastAsiaTheme="minorHAnsi"/>
          <w:sz w:val="22"/>
          <w:szCs w:val="22"/>
          <w:lang w:eastAsia="en-US"/>
        </w:rPr>
        <w:t>Проблема привлечения к юридической ответственности за неисполнение решений Конституционного Суда РФ органов власти, выступающих в качестве нарушителей, до сих пор не решена. На практике не зафиксировано ни одного случая привлечения каких–либо лиц к ответственности за неисполнение решений Конституционного Суда РФ на основании ст. 315 УК РФ [4]. Решение сложившейся проблемы мы видим в изменении фед</w:t>
      </w:r>
      <w:r w:rsidRPr="00EC1A78">
        <w:rPr>
          <w:rFonts w:eastAsiaTheme="minorHAnsi"/>
          <w:sz w:val="22"/>
          <w:szCs w:val="22"/>
          <w:lang w:eastAsia="en-US"/>
        </w:rPr>
        <w:t>е</w:t>
      </w:r>
      <w:r w:rsidRPr="00EC1A78">
        <w:rPr>
          <w:rFonts w:eastAsiaTheme="minorHAnsi"/>
          <w:sz w:val="22"/>
          <w:szCs w:val="22"/>
          <w:lang w:eastAsia="en-US"/>
        </w:rPr>
        <w:t>рального законодательства, а именно в дополнении его нормами о мерах ответственности для каждого органа власти за неисполнение решений Конституционного Суда РФ. Что касается вида отве</w:t>
      </w:r>
      <w:r w:rsidRPr="00EC1A78">
        <w:rPr>
          <w:rFonts w:eastAsiaTheme="minorHAnsi"/>
          <w:sz w:val="22"/>
          <w:szCs w:val="22"/>
          <w:lang w:eastAsia="en-US"/>
        </w:rPr>
        <w:t>т</w:t>
      </w:r>
      <w:r w:rsidRPr="00EC1A78">
        <w:rPr>
          <w:rFonts w:eastAsiaTheme="minorHAnsi"/>
          <w:sz w:val="22"/>
          <w:szCs w:val="22"/>
          <w:lang w:eastAsia="en-US"/>
        </w:rPr>
        <w:t>ственности, к которому следует привлекать виновных лиц, то по данному вопросу мнения ученых расходятся, но преобладающим является тезис, что акцент должен быть сделан на меры политич</w:t>
      </w:r>
      <w:r w:rsidRPr="00EC1A78">
        <w:rPr>
          <w:rFonts w:eastAsiaTheme="minorHAnsi"/>
          <w:sz w:val="22"/>
          <w:szCs w:val="22"/>
          <w:lang w:eastAsia="en-US"/>
        </w:rPr>
        <w:t>е</w:t>
      </w:r>
      <w:r w:rsidRPr="00EC1A78">
        <w:rPr>
          <w:rFonts w:eastAsiaTheme="minorHAnsi"/>
          <w:sz w:val="22"/>
          <w:szCs w:val="22"/>
          <w:lang w:eastAsia="en-US"/>
        </w:rPr>
        <w:t>ской ответственности, связанные с установлением ограничений в дальнейшем доступе к госслужбе в РФ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Еще одной проблемой является отсутствие правового механи</w:t>
      </w:r>
      <w:r w:rsidRPr="00EC1A78">
        <w:rPr>
          <w:rFonts w:eastAsiaTheme="minorHAnsi"/>
          <w:sz w:val="22"/>
          <w:szCs w:val="22"/>
          <w:lang w:eastAsia="en-US"/>
        </w:rPr>
        <w:t>з</w:t>
      </w:r>
      <w:r w:rsidRPr="00EC1A78">
        <w:rPr>
          <w:rFonts w:eastAsiaTheme="minorHAnsi"/>
          <w:sz w:val="22"/>
          <w:szCs w:val="22"/>
          <w:lang w:eastAsia="en-US"/>
        </w:rPr>
        <w:t>ма принудительного исполнения решений. Большинство ученых сходятся во мнении, что данная процедура до сих пор отсутствует, так как в силу ст. 79 ФКЗ о Конституционном Суде решения Ко</w:t>
      </w:r>
      <w:r w:rsidRPr="00EC1A78">
        <w:rPr>
          <w:rFonts w:eastAsiaTheme="minorHAnsi"/>
          <w:sz w:val="22"/>
          <w:szCs w:val="22"/>
          <w:lang w:eastAsia="en-US"/>
        </w:rPr>
        <w:t>н</w:t>
      </w:r>
      <w:r w:rsidRPr="00EC1A78">
        <w:rPr>
          <w:rFonts w:eastAsiaTheme="minorHAnsi"/>
          <w:sz w:val="22"/>
          <w:szCs w:val="22"/>
          <w:lang w:eastAsia="en-US"/>
        </w:rPr>
        <w:t>ституционного Суда РФ являются непосредственно действующими  и не требуют подтверждения другими органами власти или дол</w:t>
      </w:r>
      <w:r w:rsidRPr="00EC1A78">
        <w:rPr>
          <w:rFonts w:eastAsiaTheme="minorHAnsi"/>
          <w:sz w:val="22"/>
          <w:szCs w:val="22"/>
          <w:lang w:eastAsia="en-US"/>
        </w:rPr>
        <w:t>ж</w:t>
      </w:r>
      <w:r w:rsidRPr="00EC1A78">
        <w:rPr>
          <w:rFonts w:eastAsiaTheme="minorHAnsi"/>
          <w:sz w:val="22"/>
          <w:szCs w:val="22"/>
          <w:lang w:eastAsia="en-US"/>
        </w:rPr>
        <w:t xml:space="preserve">ностными лицами. Однако специфика этих решений такова, что для </w:t>
      </w:r>
      <w:r w:rsidRPr="00EC1A78">
        <w:rPr>
          <w:rFonts w:eastAsiaTheme="minorHAnsi"/>
          <w:sz w:val="22"/>
          <w:szCs w:val="22"/>
          <w:lang w:eastAsia="en-US"/>
        </w:rPr>
        <w:lastRenderedPageBreak/>
        <w:t>их исполнения органам власти необходимо совершить определе</w:t>
      </w:r>
      <w:r w:rsidRPr="00EC1A78">
        <w:rPr>
          <w:rFonts w:eastAsiaTheme="minorHAnsi"/>
          <w:sz w:val="22"/>
          <w:szCs w:val="22"/>
          <w:lang w:eastAsia="en-US"/>
        </w:rPr>
        <w:t>н</w:t>
      </w:r>
      <w:r w:rsidRPr="00EC1A78">
        <w:rPr>
          <w:rFonts w:eastAsiaTheme="minorHAnsi"/>
          <w:sz w:val="22"/>
          <w:szCs w:val="22"/>
          <w:lang w:eastAsia="en-US"/>
        </w:rPr>
        <w:t>ные действия, имеющий интеллектуальный характер. Некоторые ученые, например, A.M. Кальяк, считают, что вместо принудител</w:t>
      </w:r>
      <w:r w:rsidRPr="00EC1A78">
        <w:rPr>
          <w:rFonts w:eastAsiaTheme="minorHAnsi"/>
          <w:sz w:val="22"/>
          <w:szCs w:val="22"/>
          <w:lang w:eastAsia="en-US"/>
        </w:rPr>
        <w:t>ь</w:t>
      </w:r>
      <w:r w:rsidRPr="00EC1A78">
        <w:rPr>
          <w:rFonts w:eastAsiaTheme="minorHAnsi"/>
          <w:sz w:val="22"/>
          <w:szCs w:val="22"/>
          <w:lang w:eastAsia="en-US"/>
        </w:rPr>
        <w:t>ного исполнения необходимо зафиксировать нормы, позволяющие Конституционному Суду РФ контролировать процесс исполнения собственных решений, а также привлекать к ответственности орг</w:t>
      </w:r>
      <w:r w:rsidRPr="00EC1A78">
        <w:rPr>
          <w:rFonts w:eastAsiaTheme="minorHAnsi"/>
          <w:sz w:val="22"/>
          <w:szCs w:val="22"/>
          <w:lang w:eastAsia="en-US"/>
        </w:rPr>
        <w:t>а</w:t>
      </w:r>
      <w:r w:rsidRPr="00EC1A78">
        <w:rPr>
          <w:rFonts w:eastAsiaTheme="minorHAnsi"/>
          <w:sz w:val="22"/>
          <w:szCs w:val="22"/>
          <w:lang w:eastAsia="en-US"/>
        </w:rPr>
        <w:t>ны публичной власти и должностных лиц, нарушающих сроки и</w:t>
      </w:r>
      <w:r w:rsidRPr="00EC1A78">
        <w:rPr>
          <w:rFonts w:eastAsiaTheme="minorHAnsi"/>
          <w:sz w:val="22"/>
          <w:szCs w:val="22"/>
          <w:lang w:eastAsia="en-US"/>
        </w:rPr>
        <w:t>с</w:t>
      </w:r>
      <w:r w:rsidRPr="00EC1A78">
        <w:rPr>
          <w:rFonts w:eastAsiaTheme="minorHAnsi"/>
          <w:sz w:val="22"/>
          <w:szCs w:val="22"/>
          <w:lang w:eastAsia="en-US"/>
        </w:rPr>
        <w:t>полнения решений или уклоняющихся от их исполнения. Надлеж</w:t>
      </w:r>
      <w:r w:rsidRPr="00EC1A78">
        <w:rPr>
          <w:rFonts w:eastAsiaTheme="minorHAnsi"/>
          <w:sz w:val="22"/>
          <w:szCs w:val="22"/>
          <w:lang w:eastAsia="en-US"/>
        </w:rPr>
        <w:t>а</w:t>
      </w:r>
      <w:r w:rsidRPr="00EC1A78">
        <w:rPr>
          <w:rFonts w:eastAsiaTheme="minorHAnsi"/>
          <w:sz w:val="22"/>
          <w:szCs w:val="22"/>
          <w:lang w:eastAsia="en-US"/>
        </w:rPr>
        <w:t>щее исполнение рассматриваемых решений сильно зависит от о</w:t>
      </w:r>
      <w:r w:rsidRPr="00EC1A78">
        <w:rPr>
          <w:rFonts w:eastAsiaTheme="minorHAnsi"/>
          <w:sz w:val="22"/>
          <w:szCs w:val="22"/>
          <w:lang w:eastAsia="en-US"/>
        </w:rPr>
        <w:t>т</w:t>
      </w:r>
      <w:r w:rsidRPr="00EC1A78">
        <w:rPr>
          <w:rFonts w:eastAsiaTheme="minorHAnsi"/>
          <w:sz w:val="22"/>
          <w:szCs w:val="22"/>
          <w:lang w:eastAsia="en-US"/>
        </w:rPr>
        <w:t>ношений Конституционного Суда РФ с иными органами исполн</w:t>
      </w:r>
      <w:r w:rsidRPr="00EC1A78">
        <w:rPr>
          <w:rFonts w:eastAsiaTheme="minorHAnsi"/>
          <w:sz w:val="22"/>
          <w:szCs w:val="22"/>
          <w:lang w:eastAsia="en-US"/>
        </w:rPr>
        <w:t>и</w:t>
      </w:r>
      <w:r w:rsidRPr="00EC1A78">
        <w:rPr>
          <w:rFonts w:eastAsiaTheme="minorHAnsi"/>
          <w:sz w:val="22"/>
          <w:szCs w:val="22"/>
          <w:lang w:eastAsia="en-US"/>
        </w:rPr>
        <w:t>тельной и судебной власти, а там, где исполнение заключается в изменении законодательства, — и с законодателем [3]. Так, по св</w:t>
      </w:r>
      <w:r w:rsidRPr="00EC1A78">
        <w:rPr>
          <w:rFonts w:eastAsiaTheme="minorHAnsi"/>
          <w:sz w:val="22"/>
          <w:szCs w:val="22"/>
          <w:lang w:eastAsia="en-US"/>
        </w:rPr>
        <w:t>е</w:t>
      </w:r>
      <w:r w:rsidRPr="00EC1A78">
        <w:rPr>
          <w:rFonts w:eastAsiaTheme="minorHAnsi"/>
          <w:sz w:val="22"/>
          <w:szCs w:val="22"/>
          <w:lang w:eastAsia="en-US"/>
        </w:rPr>
        <w:t>дениям информационно–аналитического отчета об исполнении р</w:t>
      </w:r>
      <w:r w:rsidRPr="00EC1A78">
        <w:rPr>
          <w:rFonts w:eastAsiaTheme="minorHAnsi"/>
          <w:sz w:val="22"/>
          <w:szCs w:val="22"/>
          <w:lang w:eastAsia="en-US"/>
        </w:rPr>
        <w:t>е</w:t>
      </w:r>
      <w:r w:rsidRPr="00EC1A78">
        <w:rPr>
          <w:rFonts w:eastAsiaTheme="minorHAnsi"/>
          <w:sz w:val="22"/>
          <w:szCs w:val="22"/>
          <w:lang w:eastAsia="en-US"/>
        </w:rPr>
        <w:t>шений Конституционного Суда РФ в 2016 году, парламентом Ро</w:t>
      </w:r>
      <w:r w:rsidRPr="00EC1A78">
        <w:rPr>
          <w:rFonts w:eastAsiaTheme="minorHAnsi"/>
          <w:sz w:val="22"/>
          <w:szCs w:val="22"/>
          <w:lang w:eastAsia="en-US"/>
        </w:rPr>
        <w:t>с</w:t>
      </w:r>
      <w:r w:rsidRPr="00EC1A78">
        <w:rPr>
          <w:rFonts w:eastAsiaTheme="minorHAnsi"/>
          <w:sz w:val="22"/>
          <w:szCs w:val="22"/>
          <w:lang w:eastAsia="en-US"/>
        </w:rPr>
        <w:t>сии не было исполнено 35 постановлений  Конституционного Суда РФ, подлежащих исполнению в порядке статьи 80 ФКЗ о Констит</w:t>
      </w:r>
      <w:r w:rsidRPr="00EC1A78">
        <w:rPr>
          <w:rFonts w:eastAsiaTheme="minorHAnsi"/>
          <w:sz w:val="22"/>
          <w:szCs w:val="22"/>
          <w:lang w:eastAsia="en-US"/>
        </w:rPr>
        <w:t>у</w:t>
      </w:r>
      <w:r w:rsidRPr="00EC1A78">
        <w:rPr>
          <w:rFonts w:eastAsiaTheme="minorHAnsi"/>
          <w:sz w:val="22"/>
          <w:szCs w:val="22"/>
          <w:lang w:eastAsia="en-US"/>
        </w:rPr>
        <w:t xml:space="preserve">ционном Суде, из которых двенадцать были за 2016 год.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рассматриваемой сфере существуют и другие проблемы, например, отсутствие надлежащей дисциплины в органах публи</w:t>
      </w:r>
      <w:r w:rsidRPr="00EC1A78">
        <w:rPr>
          <w:rFonts w:eastAsiaTheme="minorHAnsi"/>
          <w:sz w:val="22"/>
          <w:szCs w:val="22"/>
          <w:lang w:eastAsia="en-US"/>
        </w:rPr>
        <w:t>ч</w:t>
      </w:r>
      <w:r w:rsidRPr="00EC1A78">
        <w:rPr>
          <w:rFonts w:eastAsiaTheme="minorHAnsi"/>
          <w:sz w:val="22"/>
          <w:szCs w:val="22"/>
          <w:lang w:eastAsia="en-US"/>
        </w:rPr>
        <w:t>ной власти, дискуссионность в вопросе о месте решений Констит</w:t>
      </w:r>
      <w:r w:rsidRPr="00EC1A78">
        <w:rPr>
          <w:rFonts w:eastAsiaTheme="minorHAnsi"/>
          <w:sz w:val="22"/>
          <w:szCs w:val="22"/>
          <w:lang w:eastAsia="en-US"/>
        </w:rPr>
        <w:t>у</w:t>
      </w:r>
      <w:r w:rsidRPr="00EC1A78">
        <w:rPr>
          <w:rFonts w:eastAsiaTheme="minorHAnsi"/>
          <w:sz w:val="22"/>
          <w:szCs w:val="22"/>
          <w:lang w:eastAsia="en-US"/>
        </w:rPr>
        <w:t>ционного Суда РФ в системе актов органов власти, которые нео</w:t>
      </w:r>
      <w:r w:rsidRPr="00EC1A78">
        <w:rPr>
          <w:rFonts w:eastAsiaTheme="minorHAnsi"/>
          <w:sz w:val="22"/>
          <w:szCs w:val="22"/>
          <w:lang w:eastAsia="en-US"/>
        </w:rPr>
        <w:t>б</w:t>
      </w:r>
      <w:r w:rsidRPr="00EC1A78">
        <w:rPr>
          <w:rFonts w:eastAsiaTheme="minorHAnsi"/>
          <w:sz w:val="22"/>
          <w:szCs w:val="22"/>
          <w:lang w:eastAsia="en-US"/>
        </w:rPr>
        <w:t>ходимо решить в будущем.</w:t>
      </w:r>
    </w:p>
    <w:p w:rsidR="00EC1A78" w:rsidRPr="00EC1A78" w:rsidRDefault="00EC1A78" w:rsidP="00EC1A78">
      <w:pPr>
        <w:ind w:firstLine="283"/>
        <w:jc w:val="both"/>
        <w:rPr>
          <w:rFonts w:eastAsiaTheme="minorHAnsi"/>
          <w:sz w:val="22"/>
          <w:szCs w:val="22"/>
          <w:lang w:eastAsia="en-US"/>
        </w:rPr>
      </w:pPr>
    </w:p>
    <w:p w:rsidR="00EC1A78" w:rsidRPr="00EC1A78" w:rsidRDefault="00EC1A78" w:rsidP="00EC1A78">
      <w:pPr>
        <w:ind w:firstLine="283"/>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 xml:space="preserve">1. Безуглов, С.В. </w:t>
      </w:r>
      <w:r w:rsidRPr="00EC1A78">
        <w:rPr>
          <w:rFonts w:eastAsiaTheme="minorHAnsi"/>
          <w:bCs/>
          <w:sz w:val="22"/>
          <w:szCs w:val="22"/>
          <w:lang w:eastAsia="en-US"/>
        </w:rPr>
        <w:t>О некоторых проблемах признания актов Ве</w:t>
      </w:r>
      <w:r w:rsidRPr="00EC1A78">
        <w:rPr>
          <w:rFonts w:eastAsiaTheme="minorHAnsi"/>
          <w:bCs/>
          <w:sz w:val="22"/>
          <w:szCs w:val="22"/>
          <w:lang w:eastAsia="en-US"/>
        </w:rPr>
        <w:t>р</w:t>
      </w:r>
      <w:r w:rsidRPr="00EC1A78">
        <w:rPr>
          <w:rFonts w:eastAsiaTheme="minorHAnsi"/>
          <w:bCs/>
          <w:sz w:val="22"/>
          <w:szCs w:val="22"/>
          <w:lang w:eastAsia="en-US"/>
        </w:rPr>
        <w:t>ховного Суда Российской Федерации источниками конституцио</w:t>
      </w:r>
      <w:r w:rsidRPr="00EC1A78">
        <w:rPr>
          <w:rFonts w:eastAsiaTheme="minorHAnsi"/>
          <w:bCs/>
          <w:sz w:val="22"/>
          <w:szCs w:val="22"/>
          <w:lang w:eastAsia="en-US"/>
        </w:rPr>
        <w:t>н</w:t>
      </w:r>
      <w:r w:rsidRPr="00EC1A78">
        <w:rPr>
          <w:rFonts w:eastAsiaTheme="minorHAnsi"/>
          <w:bCs/>
          <w:sz w:val="22"/>
          <w:szCs w:val="22"/>
          <w:lang w:eastAsia="en-US"/>
        </w:rPr>
        <w:t>ного права России / С.В. Безуглов. – Актуальные проблемы права и правоприменительной деятельности на современном этапе: матер</w:t>
      </w:r>
      <w:r w:rsidRPr="00EC1A78">
        <w:rPr>
          <w:rFonts w:eastAsiaTheme="minorHAnsi"/>
          <w:bCs/>
          <w:sz w:val="22"/>
          <w:szCs w:val="22"/>
          <w:lang w:eastAsia="en-US"/>
        </w:rPr>
        <w:t>и</w:t>
      </w:r>
      <w:r w:rsidRPr="00EC1A78">
        <w:rPr>
          <w:rFonts w:eastAsiaTheme="minorHAnsi"/>
          <w:bCs/>
          <w:sz w:val="22"/>
          <w:szCs w:val="22"/>
          <w:lang w:eastAsia="en-US"/>
        </w:rPr>
        <w:t>алы Международной научно–практической конференции.</w:t>
      </w:r>
      <w:r w:rsidRPr="00EC1A78">
        <w:rPr>
          <w:rFonts w:eastAsiaTheme="minorHAnsi"/>
          <w:sz w:val="22"/>
          <w:szCs w:val="22"/>
          <w:lang w:eastAsia="en-US"/>
        </w:rPr>
        <w:t xml:space="preserve"> –</w:t>
      </w:r>
      <w:r w:rsidRPr="00EC1A78">
        <w:rPr>
          <w:rFonts w:eastAsiaTheme="minorHAnsi"/>
          <w:bCs/>
          <w:sz w:val="22"/>
          <w:szCs w:val="22"/>
          <w:lang w:eastAsia="en-US"/>
        </w:rPr>
        <w:t xml:space="preserve"> Красн</w:t>
      </w:r>
      <w:r w:rsidRPr="00EC1A78">
        <w:rPr>
          <w:rFonts w:eastAsiaTheme="minorHAnsi"/>
          <w:bCs/>
          <w:sz w:val="22"/>
          <w:szCs w:val="22"/>
          <w:lang w:eastAsia="en-US"/>
        </w:rPr>
        <w:t>о</w:t>
      </w:r>
      <w:r w:rsidRPr="00EC1A78">
        <w:rPr>
          <w:rFonts w:eastAsiaTheme="minorHAnsi"/>
          <w:bCs/>
          <w:sz w:val="22"/>
          <w:szCs w:val="22"/>
          <w:lang w:eastAsia="en-US"/>
        </w:rPr>
        <w:t xml:space="preserve">дар, Краснодарский университет  МВД России, 2012. </w:t>
      </w:r>
      <w:r w:rsidRPr="00EC1A78">
        <w:rPr>
          <w:rFonts w:eastAsiaTheme="minorHAnsi"/>
          <w:sz w:val="22"/>
          <w:szCs w:val="22"/>
          <w:lang w:eastAsia="en-US"/>
        </w:rPr>
        <w:t xml:space="preserve">– </w:t>
      </w:r>
      <w:r w:rsidRPr="00EC1A78">
        <w:rPr>
          <w:rFonts w:eastAsiaTheme="minorHAnsi"/>
          <w:bCs/>
          <w:sz w:val="22"/>
          <w:szCs w:val="22"/>
          <w:lang w:eastAsia="en-US"/>
        </w:rPr>
        <w:t>С. 497.</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2. Лучин, В.О. Конституция Российской Федерации. Проблемы реализации / В.О. Лучин. – М.: ЮНИТИ–ДАНА, 2015. – С. 608.</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t>3. Малинина, Ю. В. Проблемы обеспечения исполнения реш</w:t>
      </w:r>
      <w:r w:rsidRPr="00EC1A78">
        <w:rPr>
          <w:rFonts w:eastAsiaTheme="minorHAnsi"/>
          <w:sz w:val="22"/>
          <w:szCs w:val="22"/>
          <w:lang w:eastAsia="en-US"/>
        </w:rPr>
        <w:t>е</w:t>
      </w:r>
      <w:r w:rsidRPr="00EC1A78">
        <w:rPr>
          <w:rFonts w:eastAsiaTheme="minorHAnsi"/>
          <w:sz w:val="22"/>
          <w:szCs w:val="22"/>
          <w:lang w:eastAsia="en-US"/>
        </w:rPr>
        <w:t>ний Конституционного Суда РФ // Юридические науки: проблемы и перспективы: материалы IV Междунар. науч. конф. – Казань: Бук, 2016. – С. 60.</w:t>
      </w:r>
    </w:p>
    <w:p w:rsidR="00EC1A78" w:rsidRPr="00EC1A78" w:rsidRDefault="00EC1A78" w:rsidP="003A6F86">
      <w:pPr>
        <w:ind w:firstLine="426"/>
        <w:jc w:val="both"/>
        <w:rPr>
          <w:rFonts w:eastAsiaTheme="minorHAnsi"/>
          <w:sz w:val="22"/>
          <w:szCs w:val="22"/>
          <w:lang w:eastAsia="en-US"/>
        </w:rPr>
      </w:pPr>
      <w:r w:rsidRPr="00EC1A78">
        <w:rPr>
          <w:rFonts w:eastAsiaTheme="minorHAnsi"/>
          <w:sz w:val="22"/>
          <w:szCs w:val="22"/>
          <w:lang w:eastAsia="en-US"/>
        </w:rPr>
        <w:lastRenderedPageBreak/>
        <w:t>4. Маркова, А. Ю. Исполнение решений Конституционного с</w:t>
      </w:r>
      <w:r w:rsidRPr="00EC1A78">
        <w:rPr>
          <w:rFonts w:eastAsiaTheme="minorHAnsi"/>
          <w:sz w:val="22"/>
          <w:szCs w:val="22"/>
          <w:lang w:eastAsia="en-US"/>
        </w:rPr>
        <w:t>у</w:t>
      </w:r>
      <w:r w:rsidRPr="00EC1A78">
        <w:rPr>
          <w:rFonts w:eastAsiaTheme="minorHAnsi"/>
          <w:sz w:val="22"/>
          <w:szCs w:val="22"/>
          <w:lang w:eastAsia="en-US"/>
        </w:rPr>
        <w:t>да Российской Федерации: проблемы и ответственность за их неи</w:t>
      </w:r>
      <w:r w:rsidRPr="00EC1A78">
        <w:rPr>
          <w:rFonts w:eastAsiaTheme="minorHAnsi"/>
          <w:sz w:val="22"/>
          <w:szCs w:val="22"/>
          <w:lang w:eastAsia="en-US"/>
        </w:rPr>
        <w:t>с</w:t>
      </w:r>
      <w:r w:rsidRPr="00EC1A78">
        <w:rPr>
          <w:rFonts w:eastAsiaTheme="minorHAnsi"/>
          <w:sz w:val="22"/>
          <w:szCs w:val="22"/>
          <w:lang w:eastAsia="en-US"/>
        </w:rPr>
        <w:t xml:space="preserve">полнение // Молодой ученый. – 2015. – №11. – С. 1081. </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Правовое регулирование правотворчества субъектов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Российской Федерации</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Legal regulation of law–making of subjects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of the Russian Federation</w:t>
      </w:r>
    </w:p>
    <w:p w:rsidR="00EC1A78" w:rsidRPr="00EC1A78" w:rsidRDefault="00EC1A78" w:rsidP="00EC1A78">
      <w:pPr>
        <w:jc w:val="right"/>
        <w:rPr>
          <w:sz w:val="22"/>
          <w:szCs w:val="22"/>
          <w:lang w:val="en-US"/>
        </w:rPr>
      </w:pPr>
    </w:p>
    <w:p w:rsidR="00EC1A78" w:rsidRPr="00EC1A78" w:rsidRDefault="00EC1A78" w:rsidP="00EC1A78">
      <w:pPr>
        <w:jc w:val="right"/>
        <w:rPr>
          <w:sz w:val="22"/>
          <w:szCs w:val="22"/>
          <w:lang w:val="en-US"/>
        </w:rPr>
      </w:pPr>
      <w:r w:rsidRPr="00EC1A78">
        <w:rPr>
          <w:sz w:val="22"/>
          <w:szCs w:val="22"/>
        </w:rPr>
        <w:t>Денесюк</w:t>
      </w:r>
      <w:r w:rsidRPr="00EC1A78">
        <w:rPr>
          <w:sz w:val="22"/>
          <w:szCs w:val="22"/>
          <w:lang w:val="en-US"/>
        </w:rPr>
        <w:t xml:space="preserve"> </w:t>
      </w:r>
      <w:r w:rsidRPr="00EC1A78">
        <w:rPr>
          <w:sz w:val="22"/>
          <w:szCs w:val="22"/>
        </w:rPr>
        <w:t>А</w:t>
      </w:r>
      <w:r w:rsidRPr="00EC1A78">
        <w:rPr>
          <w:sz w:val="22"/>
          <w:szCs w:val="22"/>
          <w:lang w:val="en-US"/>
        </w:rPr>
        <w:t>.</w:t>
      </w:r>
      <w:r w:rsidR="003A6F86" w:rsidRPr="00E62E4B">
        <w:rPr>
          <w:sz w:val="22"/>
          <w:szCs w:val="22"/>
          <w:lang w:val="en-US"/>
        </w:rPr>
        <w:t xml:space="preserve"> </w:t>
      </w:r>
      <w:r w:rsidRPr="00EC1A78">
        <w:rPr>
          <w:sz w:val="22"/>
          <w:szCs w:val="22"/>
        </w:rPr>
        <w:t>В</w:t>
      </w:r>
      <w:r w:rsidRPr="00EC1A78">
        <w:rPr>
          <w:sz w:val="22"/>
          <w:szCs w:val="22"/>
          <w:lang w:val="en-US"/>
        </w:rPr>
        <w:t>.,</w:t>
      </w:r>
    </w:p>
    <w:p w:rsidR="00EC1A78" w:rsidRPr="00EC1A78" w:rsidRDefault="00EC1A78" w:rsidP="00EC1A78">
      <w:pPr>
        <w:jc w:val="right"/>
        <w:rPr>
          <w:sz w:val="22"/>
          <w:szCs w:val="22"/>
        </w:rPr>
      </w:pPr>
      <w:r w:rsidRPr="00EC1A78">
        <w:rPr>
          <w:sz w:val="22"/>
          <w:szCs w:val="22"/>
        </w:rPr>
        <w:t>магистрант 2–го курса юридического факультета</w:t>
      </w:r>
    </w:p>
    <w:p w:rsidR="00EC1A78" w:rsidRPr="00EC1A78" w:rsidRDefault="00EC1A78" w:rsidP="00EC1A78">
      <w:pPr>
        <w:jc w:val="right"/>
        <w:rPr>
          <w:sz w:val="22"/>
          <w:szCs w:val="22"/>
        </w:rPr>
      </w:pPr>
      <w:r w:rsidRPr="00EC1A78">
        <w:rPr>
          <w:sz w:val="22"/>
          <w:szCs w:val="22"/>
        </w:rPr>
        <w:t>Савченко М.</w:t>
      </w:r>
      <w:r w:rsidR="003A6F86">
        <w:rPr>
          <w:sz w:val="22"/>
          <w:szCs w:val="22"/>
        </w:rPr>
        <w:t xml:space="preserve"> </w:t>
      </w:r>
      <w:r w:rsidRPr="00EC1A78">
        <w:rPr>
          <w:sz w:val="22"/>
          <w:szCs w:val="22"/>
        </w:rPr>
        <w:t>С.,</w:t>
      </w:r>
    </w:p>
    <w:p w:rsidR="00EC1A78" w:rsidRPr="00EC1A78" w:rsidRDefault="00EC1A78" w:rsidP="00EC1A78">
      <w:pPr>
        <w:jc w:val="right"/>
        <w:rPr>
          <w:sz w:val="22"/>
          <w:szCs w:val="22"/>
        </w:rPr>
      </w:pPr>
      <w:r w:rsidRPr="00EC1A78">
        <w:rPr>
          <w:sz w:val="22"/>
          <w:szCs w:val="22"/>
        </w:rPr>
        <w:t xml:space="preserve">д. ю. н., профессор, </w:t>
      </w:r>
    </w:p>
    <w:p w:rsidR="00EC1A78" w:rsidRPr="00EC1A78" w:rsidRDefault="00EC1A78" w:rsidP="00EC1A78">
      <w:pPr>
        <w:jc w:val="right"/>
        <w:rPr>
          <w:sz w:val="22"/>
          <w:szCs w:val="22"/>
        </w:rPr>
      </w:pPr>
      <w:r w:rsidRPr="00EC1A78">
        <w:rPr>
          <w:sz w:val="22"/>
          <w:szCs w:val="22"/>
        </w:rPr>
        <w:t xml:space="preserve">Кубанский государственный аграрный </w:t>
      </w:r>
    </w:p>
    <w:p w:rsidR="00EC1A78" w:rsidRPr="00EC1A78" w:rsidRDefault="00EC1A78" w:rsidP="00EC1A78">
      <w:pPr>
        <w:jc w:val="right"/>
        <w:rPr>
          <w:sz w:val="22"/>
          <w:szCs w:val="22"/>
        </w:rPr>
      </w:pPr>
      <w:r w:rsidRPr="00EC1A78">
        <w:rPr>
          <w:sz w:val="22"/>
          <w:szCs w:val="22"/>
        </w:rPr>
        <w:t>университет имени И.</w:t>
      </w:r>
      <w:r w:rsidR="003A6F86">
        <w:rPr>
          <w:sz w:val="22"/>
          <w:szCs w:val="22"/>
        </w:rPr>
        <w:t xml:space="preserve"> </w:t>
      </w:r>
      <w:r w:rsidRPr="00EC1A78">
        <w:rPr>
          <w:sz w:val="22"/>
          <w:szCs w:val="22"/>
        </w:rPr>
        <w:t>Т. Трубилина</w:t>
      </w:r>
    </w:p>
    <w:p w:rsidR="00EC1A78" w:rsidRPr="00EC1A78" w:rsidRDefault="00EC1A78" w:rsidP="00EC1A78">
      <w:pPr>
        <w:ind w:firstLine="426"/>
        <w:jc w:val="right"/>
        <w:rPr>
          <w:sz w:val="24"/>
          <w:szCs w:val="24"/>
        </w:rPr>
      </w:pPr>
    </w:p>
    <w:p w:rsidR="00EC1A78" w:rsidRPr="00EC1A78" w:rsidRDefault="00EC1A78" w:rsidP="00EC1A78">
      <w:pPr>
        <w:ind w:firstLine="426"/>
        <w:jc w:val="both"/>
        <w:rPr>
          <w:sz w:val="22"/>
          <w:szCs w:val="22"/>
        </w:rPr>
      </w:pPr>
      <w:r w:rsidRPr="00EC1A78">
        <w:rPr>
          <w:sz w:val="22"/>
          <w:szCs w:val="22"/>
        </w:rPr>
        <w:t>АННОТАЦИЯ: В статье проанализировано федеральное и р</w:t>
      </w:r>
      <w:r w:rsidRPr="00EC1A78">
        <w:rPr>
          <w:sz w:val="22"/>
          <w:szCs w:val="22"/>
        </w:rPr>
        <w:t>е</w:t>
      </w:r>
      <w:r w:rsidRPr="00EC1A78">
        <w:rPr>
          <w:sz w:val="22"/>
          <w:szCs w:val="22"/>
        </w:rPr>
        <w:t>гиональное законодательство, регламентирующее правотворческий процесс в субъектах РФ. Доказана необходимость принятия фед</w:t>
      </w:r>
      <w:r w:rsidRPr="00EC1A78">
        <w:rPr>
          <w:sz w:val="22"/>
          <w:szCs w:val="22"/>
        </w:rPr>
        <w:t>е</w:t>
      </w:r>
      <w:r w:rsidRPr="00EC1A78">
        <w:rPr>
          <w:sz w:val="22"/>
          <w:szCs w:val="22"/>
        </w:rPr>
        <w:t>рального закона о нормативно правовых актах в Российской Фед</w:t>
      </w:r>
      <w:r w:rsidRPr="00EC1A78">
        <w:rPr>
          <w:sz w:val="22"/>
          <w:szCs w:val="22"/>
        </w:rPr>
        <w:t>е</w:t>
      </w:r>
      <w:r w:rsidRPr="00EC1A78">
        <w:rPr>
          <w:sz w:val="22"/>
          <w:szCs w:val="22"/>
        </w:rPr>
        <w:t>рации</w:t>
      </w:r>
    </w:p>
    <w:p w:rsidR="00EC1A78" w:rsidRPr="00EC1A78" w:rsidRDefault="00EC1A78" w:rsidP="00EC1A78">
      <w:pPr>
        <w:shd w:val="clear" w:color="auto" w:fill="FFFFFF"/>
        <w:ind w:firstLine="426"/>
        <w:jc w:val="both"/>
        <w:rPr>
          <w:sz w:val="22"/>
          <w:szCs w:val="22"/>
          <w:lang w:val="en-US"/>
        </w:rPr>
      </w:pPr>
      <w:r w:rsidRPr="00EC1A78">
        <w:rPr>
          <w:sz w:val="22"/>
          <w:szCs w:val="22"/>
          <w:lang w:val="en-US"/>
        </w:rPr>
        <w:t>ABSTRACT: The article analyzes the federal and regional legisl</w:t>
      </w:r>
      <w:r w:rsidRPr="00EC1A78">
        <w:rPr>
          <w:sz w:val="22"/>
          <w:szCs w:val="22"/>
          <w:lang w:val="en-US"/>
        </w:rPr>
        <w:t>a</w:t>
      </w:r>
      <w:r w:rsidRPr="00EC1A78">
        <w:rPr>
          <w:sz w:val="22"/>
          <w:szCs w:val="22"/>
          <w:lang w:val="en-US"/>
        </w:rPr>
        <w:t>tion regulating the law–making process in the Russian regions. The n</w:t>
      </w:r>
      <w:r w:rsidRPr="00EC1A78">
        <w:rPr>
          <w:sz w:val="22"/>
          <w:szCs w:val="22"/>
          <w:lang w:val="en-US"/>
        </w:rPr>
        <w:t>e</w:t>
      </w:r>
      <w:r w:rsidRPr="00EC1A78">
        <w:rPr>
          <w:sz w:val="22"/>
          <w:szCs w:val="22"/>
          <w:lang w:val="en-US"/>
        </w:rPr>
        <w:t>cessity of adopting a federal law on normative legal acts in the Russian Federation</w:t>
      </w:r>
    </w:p>
    <w:p w:rsidR="00EC1A78" w:rsidRPr="00EC1A78" w:rsidRDefault="00EC1A78" w:rsidP="00EC1A78">
      <w:pPr>
        <w:ind w:firstLine="426"/>
        <w:jc w:val="both"/>
        <w:rPr>
          <w:sz w:val="22"/>
          <w:szCs w:val="22"/>
        </w:rPr>
      </w:pPr>
      <w:r w:rsidRPr="00EC1A78">
        <w:rPr>
          <w:sz w:val="22"/>
          <w:szCs w:val="22"/>
        </w:rPr>
        <w:t>КЛЮЧЕВЫЕ СЛОВА: правотворчество субъектов РФ, норм</w:t>
      </w:r>
      <w:r w:rsidRPr="00EC1A78">
        <w:rPr>
          <w:sz w:val="22"/>
          <w:szCs w:val="22"/>
        </w:rPr>
        <w:t>а</w:t>
      </w:r>
      <w:r w:rsidRPr="00EC1A78">
        <w:rPr>
          <w:sz w:val="22"/>
          <w:szCs w:val="22"/>
        </w:rPr>
        <w:t>тивно–правовые акты.</w:t>
      </w:r>
    </w:p>
    <w:p w:rsidR="00EC1A78" w:rsidRPr="00EC1A78" w:rsidRDefault="00EC1A78" w:rsidP="00EC1A78">
      <w:pPr>
        <w:ind w:firstLine="426"/>
        <w:jc w:val="both"/>
        <w:rPr>
          <w:sz w:val="22"/>
          <w:szCs w:val="22"/>
          <w:lang w:val="en-US"/>
        </w:rPr>
      </w:pPr>
      <w:r w:rsidRPr="00EC1A78">
        <w:rPr>
          <w:sz w:val="22"/>
          <w:szCs w:val="22"/>
          <w:lang w:val="en-US"/>
        </w:rPr>
        <w:t>KEYWORDS: law–making of the subjects of the Russian Feder</w:t>
      </w:r>
      <w:r w:rsidRPr="00EC1A78">
        <w:rPr>
          <w:sz w:val="22"/>
          <w:szCs w:val="22"/>
          <w:lang w:val="en-US"/>
        </w:rPr>
        <w:t>a</w:t>
      </w:r>
      <w:r w:rsidRPr="00EC1A78">
        <w:rPr>
          <w:sz w:val="22"/>
          <w:szCs w:val="22"/>
          <w:lang w:val="en-US"/>
        </w:rPr>
        <w:t>tion, normative legal acts.</w:t>
      </w:r>
    </w:p>
    <w:p w:rsidR="00EC1A78" w:rsidRPr="00EC1A78" w:rsidRDefault="00EC1A78" w:rsidP="00EC1A78">
      <w:pPr>
        <w:ind w:firstLine="426"/>
        <w:jc w:val="both"/>
        <w:rPr>
          <w:sz w:val="22"/>
          <w:szCs w:val="22"/>
          <w:lang w:val="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Основой деятельности правотворчество субъектов Российской Федерации является принятие, издание, а также официальное опу</w:t>
      </w:r>
      <w:r w:rsidRPr="00EC1A78">
        <w:rPr>
          <w:rFonts w:eastAsiaTheme="minorHAnsi"/>
          <w:sz w:val="22"/>
          <w:szCs w:val="22"/>
          <w:lang w:eastAsia="en-US"/>
        </w:rPr>
        <w:t>б</w:t>
      </w:r>
      <w:r w:rsidRPr="00EC1A78">
        <w:rPr>
          <w:rFonts w:eastAsiaTheme="minorHAnsi"/>
          <w:sz w:val="22"/>
          <w:szCs w:val="22"/>
          <w:lang w:eastAsia="en-US"/>
        </w:rPr>
        <w:lastRenderedPageBreak/>
        <w:t xml:space="preserve">ликование и введение в действие нормативных правовых актов субъектов Российской Федерации.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Нормативную правовую базу правотворчества субъектов фед</w:t>
      </w:r>
      <w:r w:rsidRPr="00EC1A78">
        <w:rPr>
          <w:rFonts w:eastAsiaTheme="minorHAnsi"/>
          <w:sz w:val="22"/>
          <w:szCs w:val="22"/>
          <w:lang w:eastAsia="en-US"/>
        </w:rPr>
        <w:t>е</w:t>
      </w:r>
      <w:r w:rsidRPr="00EC1A78">
        <w:rPr>
          <w:rFonts w:eastAsiaTheme="minorHAnsi"/>
          <w:sz w:val="22"/>
          <w:szCs w:val="22"/>
          <w:lang w:eastAsia="en-US"/>
        </w:rPr>
        <w:t xml:space="preserve">рации составляют, прежде всего, статьи 72, 73 и 76 Конституции РФ, которые устанавливают, перечень вопросов, относящихся к совместному ведению Российской Федерации и ее субъектов, а также вопросов, относящихся к собственному ведению субъектов федерации.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Основным федеральным законом, регулирующим правотворч</w:t>
      </w:r>
      <w:r w:rsidRPr="00EC1A78">
        <w:rPr>
          <w:rFonts w:eastAsiaTheme="minorHAnsi"/>
          <w:sz w:val="22"/>
          <w:szCs w:val="22"/>
          <w:lang w:eastAsia="en-US"/>
        </w:rPr>
        <w:t>е</w:t>
      </w:r>
      <w:r w:rsidRPr="00EC1A78">
        <w:rPr>
          <w:rFonts w:eastAsiaTheme="minorHAnsi"/>
          <w:sz w:val="22"/>
          <w:szCs w:val="22"/>
          <w:lang w:eastAsia="en-US"/>
        </w:rPr>
        <w:t>ство в субъектах Федерации, является ФЗ № 184–ФЗ от 6 октября 1999 г. (ред. от 05.02.2018) «Об общих принципах организации з</w:t>
      </w:r>
      <w:r w:rsidRPr="00EC1A78">
        <w:rPr>
          <w:rFonts w:eastAsiaTheme="minorHAnsi"/>
          <w:sz w:val="22"/>
          <w:szCs w:val="22"/>
          <w:lang w:eastAsia="en-US"/>
        </w:rPr>
        <w:t>а</w:t>
      </w:r>
      <w:r w:rsidRPr="00EC1A78">
        <w:rPr>
          <w:rFonts w:eastAsiaTheme="minorHAnsi"/>
          <w:sz w:val="22"/>
          <w:szCs w:val="22"/>
          <w:lang w:eastAsia="en-US"/>
        </w:rPr>
        <w:t>конодательных (представительных) и исполнительных органов го</w:t>
      </w:r>
      <w:r w:rsidRPr="00EC1A78">
        <w:rPr>
          <w:rFonts w:eastAsiaTheme="minorHAnsi"/>
          <w:sz w:val="22"/>
          <w:szCs w:val="22"/>
          <w:lang w:eastAsia="en-US"/>
        </w:rPr>
        <w:t>с</w:t>
      </w:r>
      <w:r w:rsidRPr="00EC1A78">
        <w:rPr>
          <w:rFonts w:eastAsiaTheme="minorHAnsi"/>
          <w:sz w:val="22"/>
          <w:szCs w:val="22"/>
          <w:lang w:eastAsia="en-US"/>
        </w:rPr>
        <w:t>ударственной власти субъектов Российской Федерации» регламе</w:t>
      </w:r>
      <w:r w:rsidRPr="00EC1A78">
        <w:rPr>
          <w:rFonts w:eastAsiaTheme="minorHAnsi"/>
          <w:sz w:val="22"/>
          <w:szCs w:val="22"/>
          <w:lang w:eastAsia="en-US"/>
        </w:rPr>
        <w:t>н</w:t>
      </w:r>
      <w:r w:rsidRPr="00EC1A78">
        <w:rPr>
          <w:rFonts w:eastAsiaTheme="minorHAnsi"/>
          <w:sz w:val="22"/>
          <w:szCs w:val="22"/>
          <w:lang w:eastAsia="en-US"/>
        </w:rPr>
        <w:t xml:space="preserve">тирующий правотворческую деятельность законодательного органа субъекта РФ и участие в правотворческом процессе региональных органов исполнительной власти.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Вместе с тем, как отмечает Я.В. Гайворонская «остается нера</w:t>
      </w:r>
      <w:r w:rsidRPr="00EC1A78">
        <w:rPr>
          <w:rFonts w:eastAsiaTheme="minorHAnsi"/>
          <w:sz w:val="22"/>
          <w:szCs w:val="22"/>
          <w:lang w:eastAsia="en-US"/>
        </w:rPr>
        <w:t>з</w:t>
      </w:r>
      <w:r w:rsidRPr="00EC1A78">
        <w:rPr>
          <w:rFonts w:eastAsiaTheme="minorHAnsi"/>
          <w:sz w:val="22"/>
          <w:szCs w:val="22"/>
          <w:lang w:eastAsia="en-US"/>
        </w:rPr>
        <w:t>решенной проблема законодательной регламентации деятельности федерального законодателя, глубины и степени федерального пр</w:t>
      </w:r>
      <w:r w:rsidRPr="00EC1A78">
        <w:rPr>
          <w:rFonts w:eastAsiaTheme="minorHAnsi"/>
          <w:sz w:val="22"/>
          <w:szCs w:val="22"/>
          <w:lang w:eastAsia="en-US"/>
        </w:rPr>
        <w:t>а</w:t>
      </w:r>
      <w:r w:rsidRPr="00EC1A78">
        <w:rPr>
          <w:rFonts w:eastAsiaTheme="minorHAnsi"/>
          <w:sz w:val="22"/>
          <w:szCs w:val="22"/>
          <w:lang w:eastAsia="en-US"/>
        </w:rPr>
        <w:t>вового регулирования в сфере совместного ведения РФ и ее субъе</w:t>
      </w:r>
      <w:r w:rsidRPr="00EC1A78">
        <w:rPr>
          <w:rFonts w:eastAsiaTheme="minorHAnsi"/>
          <w:sz w:val="22"/>
          <w:szCs w:val="22"/>
          <w:lang w:eastAsia="en-US"/>
        </w:rPr>
        <w:t>к</w:t>
      </w:r>
      <w:r w:rsidRPr="00EC1A78">
        <w:rPr>
          <w:rFonts w:eastAsiaTheme="minorHAnsi"/>
          <w:sz w:val="22"/>
          <w:szCs w:val="22"/>
          <w:lang w:eastAsia="en-US"/>
        </w:rPr>
        <w:t>тов, в связи с чем в федеральных законах, принимаемых по предм</w:t>
      </w:r>
      <w:r w:rsidRPr="00EC1A78">
        <w:rPr>
          <w:rFonts w:eastAsiaTheme="minorHAnsi"/>
          <w:sz w:val="22"/>
          <w:szCs w:val="22"/>
          <w:lang w:eastAsia="en-US"/>
        </w:rPr>
        <w:t>е</w:t>
      </w:r>
      <w:r w:rsidRPr="00EC1A78">
        <w:rPr>
          <w:rFonts w:eastAsiaTheme="minorHAnsi"/>
          <w:sz w:val="22"/>
          <w:szCs w:val="22"/>
          <w:lang w:eastAsia="en-US"/>
        </w:rPr>
        <w:t>там совместного ведения, зачастую осуществляется перераспред</w:t>
      </w:r>
      <w:r w:rsidRPr="00EC1A78">
        <w:rPr>
          <w:rFonts w:eastAsiaTheme="minorHAnsi"/>
          <w:sz w:val="22"/>
          <w:szCs w:val="22"/>
          <w:lang w:eastAsia="en-US"/>
        </w:rPr>
        <w:t>е</w:t>
      </w:r>
      <w:r w:rsidRPr="00EC1A78">
        <w:rPr>
          <w:rFonts w:eastAsiaTheme="minorHAnsi"/>
          <w:sz w:val="22"/>
          <w:szCs w:val="22"/>
          <w:lang w:eastAsia="en-US"/>
        </w:rPr>
        <w:t xml:space="preserve">ление полномочий в пользу федеральных органов государственной власти»[1].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Значительное влияние на правотворческую деятельность суб</w:t>
      </w:r>
      <w:r w:rsidRPr="00EC1A78">
        <w:rPr>
          <w:rFonts w:eastAsiaTheme="minorHAnsi"/>
          <w:sz w:val="22"/>
          <w:szCs w:val="22"/>
          <w:lang w:eastAsia="en-US"/>
        </w:rPr>
        <w:t>ъ</w:t>
      </w:r>
      <w:r w:rsidRPr="00EC1A78">
        <w:rPr>
          <w:rFonts w:eastAsiaTheme="minorHAnsi"/>
          <w:sz w:val="22"/>
          <w:szCs w:val="22"/>
          <w:lang w:eastAsia="en-US"/>
        </w:rPr>
        <w:t>ектов федерации оказывает современное антикоррупционное зак</w:t>
      </w:r>
      <w:r w:rsidRPr="00EC1A78">
        <w:rPr>
          <w:rFonts w:eastAsiaTheme="minorHAnsi"/>
          <w:sz w:val="22"/>
          <w:szCs w:val="22"/>
          <w:lang w:eastAsia="en-US"/>
        </w:rPr>
        <w:t>о</w:t>
      </w:r>
      <w:r w:rsidRPr="00EC1A78">
        <w:rPr>
          <w:rFonts w:eastAsiaTheme="minorHAnsi"/>
          <w:sz w:val="22"/>
          <w:szCs w:val="22"/>
          <w:lang w:eastAsia="en-US"/>
        </w:rPr>
        <w:t>нодательство, в частности Федеральный закон от 17.07.2009 № 172–ФЗ (ред. от 21.10.2013) «Об антикоррупционной экспертизе норм</w:t>
      </w:r>
      <w:r w:rsidRPr="00EC1A78">
        <w:rPr>
          <w:rFonts w:eastAsiaTheme="minorHAnsi"/>
          <w:sz w:val="22"/>
          <w:szCs w:val="22"/>
          <w:lang w:eastAsia="en-US"/>
        </w:rPr>
        <w:t>а</w:t>
      </w:r>
      <w:r w:rsidRPr="00EC1A78">
        <w:rPr>
          <w:rFonts w:eastAsiaTheme="minorHAnsi"/>
          <w:sz w:val="22"/>
          <w:szCs w:val="22"/>
          <w:lang w:eastAsia="en-US"/>
        </w:rPr>
        <w:t>тивных правовых актов и проектов нормативных правовых актов», который устанавливает организационно–правовые основы провед</w:t>
      </w:r>
      <w:r w:rsidRPr="00EC1A78">
        <w:rPr>
          <w:rFonts w:eastAsiaTheme="minorHAnsi"/>
          <w:sz w:val="22"/>
          <w:szCs w:val="22"/>
          <w:lang w:eastAsia="en-US"/>
        </w:rPr>
        <w:t>е</w:t>
      </w:r>
      <w:r w:rsidRPr="00EC1A78">
        <w:rPr>
          <w:rFonts w:eastAsiaTheme="minorHAnsi"/>
          <w:sz w:val="22"/>
          <w:szCs w:val="22"/>
          <w:lang w:eastAsia="en-US"/>
        </w:rPr>
        <w:t xml:space="preserve">ния антикоррупционной экспертизы нормативных правовых актов, а также их проектов с целью выявления в них коррупционно–опасных факторов и их устранения.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Правовое регулирование правотворческой деятельности на р</w:t>
      </w:r>
      <w:r w:rsidRPr="00EC1A78">
        <w:rPr>
          <w:rFonts w:eastAsiaTheme="minorHAnsi"/>
          <w:sz w:val="22"/>
          <w:szCs w:val="22"/>
          <w:lang w:eastAsia="en-US"/>
        </w:rPr>
        <w:t>е</w:t>
      </w:r>
      <w:r w:rsidRPr="00EC1A78">
        <w:rPr>
          <w:rFonts w:eastAsiaTheme="minorHAnsi"/>
          <w:sz w:val="22"/>
          <w:szCs w:val="22"/>
          <w:lang w:eastAsia="en-US"/>
        </w:rPr>
        <w:t>гиональном уровне осуществляется посредством уставов (конст</w:t>
      </w:r>
      <w:r w:rsidRPr="00EC1A78">
        <w:rPr>
          <w:rFonts w:eastAsiaTheme="minorHAnsi"/>
          <w:sz w:val="22"/>
          <w:szCs w:val="22"/>
          <w:lang w:eastAsia="en-US"/>
        </w:rPr>
        <w:t>и</w:t>
      </w:r>
      <w:r w:rsidRPr="00EC1A78">
        <w:rPr>
          <w:rFonts w:eastAsiaTheme="minorHAnsi"/>
          <w:sz w:val="22"/>
          <w:szCs w:val="22"/>
          <w:lang w:eastAsia="en-US"/>
        </w:rPr>
        <w:t>туций) субъектов РФ, а также законов и иных нормативных актов субъектов федерации. Отсутствие комплексного правового регул</w:t>
      </w:r>
      <w:r w:rsidRPr="00EC1A78">
        <w:rPr>
          <w:rFonts w:eastAsiaTheme="minorHAnsi"/>
          <w:sz w:val="22"/>
          <w:szCs w:val="22"/>
          <w:lang w:eastAsia="en-US"/>
        </w:rPr>
        <w:t>и</w:t>
      </w:r>
      <w:r w:rsidRPr="00EC1A78">
        <w:rPr>
          <w:rFonts w:eastAsiaTheme="minorHAnsi"/>
          <w:sz w:val="22"/>
          <w:szCs w:val="22"/>
          <w:lang w:eastAsia="en-US"/>
        </w:rPr>
        <w:t xml:space="preserve">рования правотворчества на федеральном уровне способствовало </w:t>
      </w:r>
      <w:r w:rsidRPr="00EC1A78">
        <w:rPr>
          <w:rFonts w:eastAsiaTheme="minorHAnsi"/>
          <w:sz w:val="22"/>
          <w:szCs w:val="22"/>
          <w:lang w:eastAsia="en-US"/>
        </w:rPr>
        <w:lastRenderedPageBreak/>
        <w:t>принятию субъектами федерации региональных законов, регламе</w:t>
      </w:r>
      <w:r w:rsidRPr="00EC1A78">
        <w:rPr>
          <w:rFonts w:eastAsiaTheme="minorHAnsi"/>
          <w:sz w:val="22"/>
          <w:szCs w:val="22"/>
          <w:lang w:eastAsia="en-US"/>
        </w:rPr>
        <w:t>н</w:t>
      </w:r>
      <w:r w:rsidRPr="00EC1A78">
        <w:rPr>
          <w:rFonts w:eastAsiaTheme="minorHAnsi"/>
          <w:sz w:val="22"/>
          <w:szCs w:val="22"/>
          <w:lang w:eastAsia="en-US"/>
        </w:rPr>
        <w:t>тирующих вопросы правотворчества и , порядок принятия реги</w:t>
      </w:r>
      <w:r w:rsidRPr="00EC1A78">
        <w:rPr>
          <w:rFonts w:eastAsiaTheme="minorHAnsi"/>
          <w:sz w:val="22"/>
          <w:szCs w:val="22"/>
          <w:lang w:eastAsia="en-US"/>
        </w:rPr>
        <w:t>о</w:t>
      </w:r>
      <w:r w:rsidRPr="00EC1A78">
        <w:rPr>
          <w:rFonts w:eastAsiaTheme="minorHAnsi"/>
          <w:sz w:val="22"/>
          <w:szCs w:val="22"/>
          <w:lang w:eastAsia="en-US"/>
        </w:rPr>
        <w:t>нальными органами власти различных правовых актов. Так, напр</w:t>
      </w:r>
      <w:r w:rsidRPr="00EC1A78">
        <w:rPr>
          <w:rFonts w:eastAsiaTheme="minorHAnsi"/>
          <w:sz w:val="22"/>
          <w:szCs w:val="22"/>
          <w:lang w:eastAsia="en-US"/>
        </w:rPr>
        <w:t>и</w:t>
      </w:r>
      <w:r w:rsidRPr="00EC1A78">
        <w:rPr>
          <w:rFonts w:eastAsiaTheme="minorHAnsi"/>
          <w:sz w:val="22"/>
          <w:szCs w:val="22"/>
          <w:lang w:eastAsia="en-US"/>
        </w:rPr>
        <w:t>мер, правовой основой правотворческой деятельности в Краснода</w:t>
      </w:r>
      <w:r w:rsidRPr="00EC1A78">
        <w:rPr>
          <w:rFonts w:eastAsiaTheme="minorHAnsi"/>
          <w:sz w:val="22"/>
          <w:szCs w:val="22"/>
          <w:lang w:eastAsia="en-US"/>
        </w:rPr>
        <w:t>р</w:t>
      </w:r>
      <w:r w:rsidRPr="00EC1A78">
        <w:rPr>
          <w:rFonts w:eastAsiaTheme="minorHAnsi"/>
          <w:sz w:val="22"/>
          <w:szCs w:val="22"/>
          <w:lang w:eastAsia="en-US"/>
        </w:rPr>
        <w:t>ском крае являются следующие акты: Устав Краснодарского края, Законы Краснодарского края «О правотворчестве и нормативных правовых актах Краснодарского края», «О Законодательном Собр</w:t>
      </w:r>
      <w:r w:rsidRPr="00EC1A78">
        <w:rPr>
          <w:rFonts w:eastAsiaTheme="minorHAnsi"/>
          <w:sz w:val="22"/>
          <w:szCs w:val="22"/>
          <w:lang w:eastAsia="en-US"/>
        </w:rPr>
        <w:t>а</w:t>
      </w:r>
      <w:r w:rsidRPr="00EC1A78">
        <w:rPr>
          <w:rFonts w:eastAsiaTheme="minorHAnsi"/>
          <w:sz w:val="22"/>
          <w:szCs w:val="22"/>
          <w:lang w:eastAsia="en-US"/>
        </w:rPr>
        <w:t>нии Краснодарского края», «О выборах депутатов Законодательн</w:t>
      </w:r>
      <w:r w:rsidRPr="00EC1A78">
        <w:rPr>
          <w:rFonts w:eastAsiaTheme="minorHAnsi"/>
          <w:sz w:val="22"/>
          <w:szCs w:val="22"/>
          <w:lang w:eastAsia="en-US"/>
        </w:rPr>
        <w:t>о</w:t>
      </w:r>
      <w:r w:rsidRPr="00EC1A78">
        <w:rPr>
          <w:rFonts w:eastAsiaTheme="minorHAnsi"/>
          <w:sz w:val="22"/>
          <w:szCs w:val="22"/>
          <w:lang w:eastAsia="en-US"/>
        </w:rPr>
        <w:t>го Собрания Краснодарского края», «О статусе депутата Законод</w:t>
      </w:r>
      <w:r w:rsidRPr="00EC1A78">
        <w:rPr>
          <w:rFonts w:eastAsiaTheme="minorHAnsi"/>
          <w:sz w:val="22"/>
          <w:szCs w:val="22"/>
          <w:lang w:eastAsia="en-US"/>
        </w:rPr>
        <w:t>а</w:t>
      </w:r>
      <w:r w:rsidRPr="00EC1A78">
        <w:rPr>
          <w:rFonts w:eastAsiaTheme="minorHAnsi"/>
          <w:sz w:val="22"/>
          <w:szCs w:val="22"/>
          <w:lang w:eastAsia="en-US"/>
        </w:rPr>
        <w:t>тельного Собрания Краснодарского края», «О порядке осуществл</w:t>
      </w:r>
      <w:r w:rsidRPr="00EC1A78">
        <w:rPr>
          <w:rFonts w:eastAsiaTheme="minorHAnsi"/>
          <w:sz w:val="22"/>
          <w:szCs w:val="22"/>
          <w:lang w:eastAsia="en-US"/>
        </w:rPr>
        <w:t>е</w:t>
      </w:r>
      <w:r w:rsidRPr="00EC1A78">
        <w:rPr>
          <w:rFonts w:eastAsiaTheme="minorHAnsi"/>
          <w:sz w:val="22"/>
          <w:szCs w:val="22"/>
          <w:lang w:eastAsia="en-US"/>
        </w:rPr>
        <w:t>ния права законодательной инициативы представительными орг</w:t>
      </w:r>
      <w:r w:rsidRPr="00EC1A78">
        <w:rPr>
          <w:rFonts w:eastAsiaTheme="minorHAnsi"/>
          <w:sz w:val="22"/>
          <w:szCs w:val="22"/>
          <w:lang w:eastAsia="en-US"/>
        </w:rPr>
        <w:t>а</w:t>
      </w:r>
      <w:r w:rsidRPr="00EC1A78">
        <w:rPr>
          <w:rFonts w:eastAsiaTheme="minorHAnsi"/>
          <w:sz w:val="22"/>
          <w:szCs w:val="22"/>
          <w:lang w:eastAsia="en-US"/>
        </w:rPr>
        <w:t>нами местного самоуправления в Краснодарском крае», Регламент Законодательного Собрания Краснодарского края.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Практика принятия региональных законов устраняет пробелы федерального правотворчества, укрепляет законность, соверше</w:t>
      </w:r>
      <w:r w:rsidRPr="00EC1A78">
        <w:rPr>
          <w:rFonts w:eastAsiaTheme="minorHAnsi"/>
          <w:sz w:val="22"/>
          <w:szCs w:val="22"/>
          <w:lang w:eastAsia="en-US"/>
        </w:rPr>
        <w:t>н</w:t>
      </w:r>
      <w:r w:rsidRPr="00EC1A78">
        <w:rPr>
          <w:rFonts w:eastAsiaTheme="minorHAnsi"/>
          <w:sz w:val="22"/>
          <w:szCs w:val="22"/>
          <w:lang w:eastAsia="en-US"/>
        </w:rPr>
        <w:t>ствует участие представительных органов в создании права. Вместе с тем, анализ регионального правотворчества в данной сфере свид</w:t>
      </w:r>
      <w:r w:rsidRPr="00EC1A78">
        <w:rPr>
          <w:rFonts w:eastAsiaTheme="minorHAnsi"/>
          <w:sz w:val="22"/>
          <w:szCs w:val="22"/>
          <w:lang w:eastAsia="en-US"/>
        </w:rPr>
        <w:t>е</w:t>
      </w:r>
      <w:r w:rsidRPr="00EC1A78">
        <w:rPr>
          <w:rFonts w:eastAsiaTheme="minorHAnsi"/>
          <w:sz w:val="22"/>
          <w:szCs w:val="22"/>
          <w:lang w:eastAsia="en-US"/>
        </w:rPr>
        <w:t>тельствует о том, что наименования законов, регулирующих изд</w:t>
      </w:r>
      <w:r w:rsidRPr="00EC1A78">
        <w:rPr>
          <w:rFonts w:eastAsiaTheme="minorHAnsi"/>
          <w:sz w:val="22"/>
          <w:szCs w:val="22"/>
          <w:lang w:eastAsia="en-US"/>
        </w:rPr>
        <w:t>а</w:t>
      </w:r>
      <w:r w:rsidRPr="00EC1A78">
        <w:rPr>
          <w:rFonts w:eastAsiaTheme="minorHAnsi"/>
          <w:sz w:val="22"/>
          <w:szCs w:val="22"/>
          <w:lang w:eastAsia="en-US"/>
        </w:rPr>
        <w:t>ние правовых актов, их количество и сфера регулирования в разных субъектах федерации существенно отличаются. В частности, в Ку</w:t>
      </w:r>
      <w:r w:rsidRPr="00EC1A78">
        <w:rPr>
          <w:rFonts w:eastAsiaTheme="minorHAnsi"/>
          <w:sz w:val="22"/>
          <w:szCs w:val="22"/>
          <w:lang w:eastAsia="en-US"/>
        </w:rPr>
        <w:t>р</w:t>
      </w:r>
      <w:r w:rsidRPr="00EC1A78">
        <w:rPr>
          <w:rFonts w:eastAsiaTheme="minorHAnsi"/>
          <w:sz w:val="22"/>
          <w:szCs w:val="22"/>
          <w:lang w:eastAsia="en-US"/>
        </w:rPr>
        <w:t>ганской, Новосибирской, Томской, Челябинской областях приняты законы «О нормативных правовых актах», в Свердловской и Яр</w:t>
      </w:r>
      <w:r w:rsidRPr="00EC1A78">
        <w:rPr>
          <w:rFonts w:eastAsiaTheme="minorHAnsi"/>
          <w:sz w:val="22"/>
          <w:szCs w:val="22"/>
          <w:lang w:eastAsia="en-US"/>
        </w:rPr>
        <w:t>о</w:t>
      </w:r>
      <w:r w:rsidRPr="00EC1A78">
        <w:rPr>
          <w:rFonts w:eastAsiaTheme="minorHAnsi"/>
          <w:sz w:val="22"/>
          <w:szCs w:val="22"/>
          <w:lang w:eastAsia="en-US"/>
        </w:rPr>
        <w:t>славской – «О правовых актах», в Приморском крае – «О законод</w:t>
      </w:r>
      <w:r w:rsidRPr="00EC1A78">
        <w:rPr>
          <w:rFonts w:eastAsiaTheme="minorHAnsi"/>
          <w:sz w:val="22"/>
          <w:szCs w:val="22"/>
          <w:lang w:eastAsia="en-US"/>
        </w:rPr>
        <w:t>а</w:t>
      </w:r>
      <w:r w:rsidRPr="00EC1A78">
        <w:rPr>
          <w:rFonts w:eastAsiaTheme="minorHAnsi"/>
          <w:sz w:val="22"/>
          <w:szCs w:val="22"/>
          <w:lang w:eastAsia="en-US"/>
        </w:rPr>
        <w:t xml:space="preserve">тельной деятельности в Приморском крае».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Ряд  регионов принял акты об официальном толковании, им</w:t>
      </w:r>
      <w:r w:rsidRPr="00EC1A78">
        <w:rPr>
          <w:rFonts w:eastAsiaTheme="minorHAnsi"/>
          <w:sz w:val="22"/>
          <w:szCs w:val="22"/>
          <w:lang w:eastAsia="en-US"/>
        </w:rPr>
        <w:t>е</w:t>
      </w:r>
      <w:r w:rsidRPr="00EC1A78">
        <w:rPr>
          <w:rFonts w:eastAsiaTheme="minorHAnsi"/>
          <w:sz w:val="22"/>
          <w:szCs w:val="22"/>
          <w:lang w:eastAsia="en-US"/>
        </w:rPr>
        <w:t>ющие непосредственное отношение к системе правовых актов субъектов федерации, например, Закон Санкт–Петербурга «Об официальном толковании законов Санкт–Петербурга». .Кроме того, такие акты приняты не во всех субъектах, а только в 53. Все это не позволяет обеспечить единообразное правовое регулирование правотворчества субъектов на всей территории государства и сфо</w:t>
      </w:r>
      <w:r w:rsidRPr="00EC1A78">
        <w:rPr>
          <w:rFonts w:eastAsiaTheme="minorHAnsi"/>
          <w:sz w:val="22"/>
          <w:szCs w:val="22"/>
          <w:lang w:eastAsia="en-US"/>
        </w:rPr>
        <w:t>р</w:t>
      </w:r>
      <w:r w:rsidRPr="00EC1A78">
        <w:rPr>
          <w:rFonts w:eastAsiaTheme="minorHAnsi"/>
          <w:sz w:val="22"/>
          <w:szCs w:val="22"/>
          <w:lang w:eastAsia="en-US"/>
        </w:rPr>
        <w:t xml:space="preserve">мировать единое правовое пространство в стране..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Одним из направлений в решении имеющихся проблем могла бы стать разработка и принятие федерального закона о нормати</w:t>
      </w:r>
      <w:r w:rsidRPr="00EC1A78">
        <w:rPr>
          <w:rFonts w:eastAsiaTheme="minorHAnsi"/>
          <w:sz w:val="22"/>
          <w:szCs w:val="22"/>
          <w:lang w:eastAsia="en-US"/>
        </w:rPr>
        <w:t>в</w:t>
      </w:r>
      <w:r w:rsidRPr="00EC1A78">
        <w:rPr>
          <w:rFonts w:eastAsiaTheme="minorHAnsi"/>
          <w:sz w:val="22"/>
          <w:szCs w:val="22"/>
          <w:lang w:eastAsia="en-US"/>
        </w:rPr>
        <w:t>ных правовых актах в Российской Федерации. Для того чтобы обе</w:t>
      </w:r>
      <w:r w:rsidRPr="00EC1A78">
        <w:rPr>
          <w:rFonts w:eastAsiaTheme="minorHAnsi"/>
          <w:sz w:val="22"/>
          <w:szCs w:val="22"/>
          <w:lang w:eastAsia="en-US"/>
        </w:rPr>
        <w:t>с</w:t>
      </w:r>
      <w:r w:rsidRPr="00EC1A78">
        <w:rPr>
          <w:rFonts w:eastAsiaTheme="minorHAnsi"/>
          <w:sz w:val="22"/>
          <w:szCs w:val="22"/>
          <w:lang w:eastAsia="en-US"/>
        </w:rPr>
        <w:t>печить согласованное и эффективное правовое регулирование, необходимо обеспечить согласованность и эффективность прав</w:t>
      </w:r>
      <w:r w:rsidRPr="00EC1A78">
        <w:rPr>
          <w:rFonts w:eastAsiaTheme="minorHAnsi"/>
          <w:sz w:val="22"/>
          <w:szCs w:val="22"/>
          <w:lang w:eastAsia="en-US"/>
        </w:rPr>
        <w:t>о</w:t>
      </w:r>
      <w:r w:rsidRPr="00EC1A78">
        <w:rPr>
          <w:rFonts w:eastAsiaTheme="minorHAnsi"/>
          <w:sz w:val="22"/>
          <w:szCs w:val="22"/>
          <w:lang w:eastAsia="en-US"/>
        </w:rPr>
        <w:lastRenderedPageBreak/>
        <w:t>вых средств, при помощи которых это регулирование осуществл</w:t>
      </w:r>
      <w:r w:rsidRPr="00EC1A78">
        <w:rPr>
          <w:rFonts w:eastAsiaTheme="minorHAnsi"/>
          <w:sz w:val="22"/>
          <w:szCs w:val="22"/>
          <w:lang w:eastAsia="en-US"/>
        </w:rPr>
        <w:t>я</w:t>
      </w:r>
      <w:r w:rsidRPr="00EC1A78">
        <w:rPr>
          <w:rFonts w:eastAsiaTheme="minorHAnsi"/>
          <w:sz w:val="22"/>
          <w:szCs w:val="22"/>
          <w:lang w:eastAsia="en-US"/>
        </w:rPr>
        <w:t>ется.</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540"/>
        <w:jc w:val="center"/>
        <w:rPr>
          <w:sz w:val="22"/>
          <w:szCs w:val="22"/>
        </w:rPr>
      </w:pPr>
      <w:r w:rsidRPr="00EC1A78">
        <w:rPr>
          <w:sz w:val="22"/>
          <w:szCs w:val="22"/>
        </w:rPr>
        <w:t>Список литературы</w:t>
      </w:r>
    </w:p>
    <w:p w:rsidR="00EC1A78" w:rsidRPr="00EC1A78" w:rsidRDefault="00EC1A78" w:rsidP="00EC1A78">
      <w:pPr>
        <w:ind w:firstLine="426"/>
        <w:jc w:val="both"/>
        <w:rPr>
          <w:rFonts w:eastAsiaTheme="minorHAnsi"/>
          <w:sz w:val="22"/>
          <w:szCs w:val="22"/>
          <w:lang w:eastAsia="en-US"/>
        </w:rPr>
      </w:pPr>
      <w:r w:rsidRPr="00EC1A78">
        <w:rPr>
          <w:sz w:val="22"/>
          <w:szCs w:val="22"/>
        </w:rPr>
        <w:t>1</w:t>
      </w:r>
      <w:r w:rsidRPr="00EC1A78">
        <w:rPr>
          <w:rFonts w:eastAsiaTheme="minorHAnsi"/>
          <w:sz w:val="22"/>
          <w:szCs w:val="22"/>
          <w:lang w:eastAsia="en-US"/>
        </w:rPr>
        <w:t xml:space="preserve">. </w:t>
      </w:r>
      <w:r w:rsidR="003A6F86">
        <w:rPr>
          <w:bCs/>
          <w:sz w:val="22"/>
          <w:szCs w:val="22"/>
        </w:rPr>
        <w:t xml:space="preserve">Гайворонская, </w:t>
      </w:r>
      <w:r w:rsidRPr="00EC1A78">
        <w:rPr>
          <w:bCs/>
          <w:sz w:val="22"/>
          <w:szCs w:val="22"/>
        </w:rPr>
        <w:t>Я.В. Региональное правотворчество: понятие, принципы, правовое регулирование / Я.В. Гайворонская // Азиа</w:t>
      </w:r>
      <w:r w:rsidRPr="00EC1A78">
        <w:rPr>
          <w:bCs/>
          <w:sz w:val="22"/>
          <w:szCs w:val="22"/>
        </w:rPr>
        <w:t>т</w:t>
      </w:r>
      <w:r w:rsidRPr="00EC1A78">
        <w:rPr>
          <w:bCs/>
          <w:sz w:val="22"/>
          <w:szCs w:val="22"/>
        </w:rPr>
        <w:t xml:space="preserve">ско–тихоокеанский регион: Экономика, политика, право. 2015. № 2 (35). </w:t>
      </w:r>
      <w:r w:rsidRPr="00EC1A78">
        <w:rPr>
          <w:rFonts w:eastAsia="Courier New"/>
          <w:sz w:val="22"/>
          <w:szCs w:val="22"/>
          <w:lang w:eastAsia="en-US"/>
        </w:rPr>
        <w:t xml:space="preserve"> – </w:t>
      </w:r>
      <w:r w:rsidRPr="00EC1A78">
        <w:rPr>
          <w:bCs/>
          <w:sz w:val="22"/>
          <w:szCs w:val="22"/>
        </w:rPr>
        <w:t>С. 120–137.</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342.72/.73</w:t>
      </w:r>
    </w:p>
    <w:p w:rsidR="00EC1A78" w:rsidRPr="00EC1A78" w:rsidRDefault="00EC1A78" w:rsidP="00EC1A78">
      <w:pP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 вопросу о реализации права на квалифицированную юридическую помощь в судебном процессе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On the issue of the realization of the right to qualified legal </w:t>
      </w:r>
      <w:r w:rsidR="00560F00" w:rsidRPr="00560F00">
        <w:rPr>
          <w:rFonts w:eastAsiaTheme="minorHAnsi"/>
          <w:b/>
          <w:sz w:val="24"/>
          <w:szCs w:val="24"/>
          <w:lang w:val="en-US" w:eastAsia="en-US"/>
        </w:rPr>
        <w:br/>
      </w:r>
      <w:r w:rsidRPr="00EC1A78">
        <w:rPr>
          <w:rFonts w:eastAsiaTheme="minorHAnsi"/>
          <w:b/>
          <w:sz w:val="24"/>
          <w:szCs w:val="24"/>
          <w:lang w:val="en-US" w:eastAsia="en-US"/>
        </w:rPr>
        <w:t>assistance in the judicial process</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Джадан Е. И.,</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Красницкая А. 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государственного 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рассмотрены условия реализации пр</w:t>
      </w:r>
      <w:r w:rsidRPr="00EC1A78">
        <w:rPr>
          <w:rFonts w:eastAsiaTheme="minorHAnsi"/>
          <w:sz w:val="22"/>
          <w:szCs w:val="22"/>
          <w:lang w:eastAsia="en-US"/>
        </w:rPr>
        <w:t>а</w:t>
      </w:r>
      <w:r w:rsidRPr="00EC1A78">
        <w:rPr>
          <w:rFonts w:eastAsiaTheme="minorHAnsi"/>
          <w:sz w:val="22"/>
          <w:szCs w:val="22"/>
          <w:lang w:eastAsia="en-US"/>
        </w:rPr>
        <w:t>ва на квалифицированную юридическую помощь в РФ. Исследов</w:t>
      </w:r>
      <w:r w:rsidRPr="00EC1A78">
        <w:rPr>
          <w:rFonts w:eastAsiaTheme="minorHAnsi"/>
          <w:sz w:val="22"/>
          <w:szCs w:val="22"/>
          <w:lang w:eastAsia="en-US"/>
        </w:rPr>
        <w:t>а</w:t>
      </w:r>
      <w:r w:rsidRPr="00EC1A78">
        <w:rPr>
          <w:rFonts w:eastAsiaTheme="minorHAnsi"/>
          <w:sz w:val="22"/>
          <w:szCs w:val="22"/>
          <w:lang w:eastAsia="en-US"/>
        </w:rPr>
        <w:t>ны некоторые актуальные проблемы реализации указанного права, а также предложены способы их решения.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considers the conditions for the realization of the right to qualified legal assistance in the Russian Federation. Some actual problems of the realization of this right have been explored, and ways of their solution have been suggested.</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юридическая помощь, судебный пр</w:t>
      </w:r>
      <w:r w:rsidRPr="00EC1A78">
        <w:rPr>
          <w:rFonts w:eastAsiaTheme="minorHAnsi"/>
          <w:sz w:val="22"/>
          <w:szCs w:val="22"/>
          <w:lang w:eastAsia="en-US"/>
        </w:rPr>
        <w:t>о</w:t>
      </w:r>
      <w:r w:rsidRPr="00EC1A78">
        <w:rPr>
          <w:rFonts w:eastAsiaTheme="minorHAnsi"/>
          <w:sz w:val="22"/>
          <w:szCs w:val="22"/>
          <w:lang w:eastAsia="en-US"/>
        </w:rPr>
        <w:t>цесс, адвокатская монополия, представительство.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legal aid, judicial process, lawyer's monopoly, repr</w:t>
      </w:r>
      <w:r w:rsidRPr="00EC1A78">
        <w:rPr>
          <w:rFonts w:eastAsiaTheme="minorHAnsi"/>
          <w:sz w:val="22"/>
          <w:szCs w:val="22"/>
          <w:lang w:val="en-US" w:eastAsia="en-US"/>
        </w:rPr>
        <w:t>e</w:t>
      </w:r>
      <w:r w:rsidRPr="00EC1A78">
        <w:rPr>
          <w:rFonts w:eastAsiaTheme="minorHAnsi"/>
          <w:sz w:val="22"/>
          <w:szCs w:val="22"/>
          <w:lang w:val="en-US" w:eastAsia="en-US"/>
        </w:rPr>
        <w:t>sentation.</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протяжении последних двадцати лет сфера профессионал</w:t>
      </w:r>
      <w:r w:rsidRPr="00EC1A78">
        <w:rPr>
          <w:rFonts w:eastAsiaTheme="minorHAnsi"/>
          <w:sz w:val="22"/>
          <w:szCs w:val="22"/>
          <w:lang w:eastAsia="en-US"/>
        </w:rPr>
        <w:t>ь</w:t>
      </w:r>
      <w:r w:rsidRPr="00EC1A78">
        <w:rPr>
          <w:rFonts w:eastAsiaTheme="minorHAnsi"/>
          <w:sz w:val="22"/>
          <w:szCs w:val="22"/>
          <w:lang w:eastAsia="en-US"/>
        </w:rPr>
        <w:t>ной юридической помощи развивалась стихийно в условиях мин</w:t>
      </w:r>
      <w:r w:rsidRPr="00EC1A78">
        <w:rPr>
          <w:rFonts w:eastAsiaTheme="minorHAnsi"/>
          <w:sz w:val="22"/>
          <w:szCs w:val="22"/>
          <w:lang w:eastAsia="en-US"/>
        </w:rPr>
        <w:t>и</w:t>
      </w:r>
      <w:r w:rsidRPr="00EC1A78">
        <w:rPr>
          <w:rFonts w:eastAsiaTheme="minorHAnsi"/>
          <w:sz w:val="22"/>
          <w:szCs w:val="22"/>
          <w:lang w:eastAsia="en-US"/>
        </w:rPr>
        <w:t>мального государственного регулирования, в результате чего сфо</w:t>
      </w:r>
      <w:r w:rsidRPr="00EC1A78">
        <w:rPr>
          <w:rFonts w:eastAsiaTheme="minorHAnsi"/>
          <w:sz w:val="22"/>
          <w:szCs w:val="22"/>
          <w:lang w:eastAsia="en-US"/>
        </w:rPr>
        <w:t>р</w:t>
      </w:r>
      <w:r w:rsidRPr="00EC1A78">
        <w:rPr>
          <w:rFonts w:eastAsiaTheme="minorHAnsi"/>
          <w:sz w:val="22"/>
          <w:szCs w:val="22"/>
          <w:lang w:eastAsia="en-US"/>
        </w:rPr>
        <w:t>мировалась группа самостоятельных юридических консультантов, не обладающих адвокатским статусом. На указанных консультантов не распространяются профессиональные и этические стандарты предоставления юридической помощи, их невозможно привлечь к дисциплинарной или иной ответственности за некачественную ко</w:t>
      </w:r>
      <w:r w:rsidRPr="00EC1A78">
        <w:rPr>
          <w:rFonts w:eastAsiaTheme="minorHAnsi"/>
          <w:sz w:val="22"/>
          <w:szCs w:val="22"/>
          <w:lang w:eastAsia="en-US"/>
        </w:rPr>
        <w:t>н</w:t>
      </w:r>
      <w:r w:rsidRPr="00EC1A78">
        <w:rPr>
          <w:rFonts w:eastAsiaTheme="minorHAnsi"/>
          <w:sz w:val="22"/>
          <w:szCs w:val="22"/>
          <w:lang w:eastAsia="en-US"/>
        </w:rPr>
        <w:t>сультацию. С целью решения указанной проблемы Минюстом Ро</w:t>
      </w:r>
      <w:r w:rsidRPr="00EC1A78">
        <w:rPr>
          <w:rFonts w:eastAsiaTheme="minorHAnsi"/>
          <w:sz w:val="22"/>
          <w:szCs w:val="22"/>
          <w:lang w:eastAsia="en-US"/>
        </w:rPr>
        <w:t>с</w:t>
      </w:r>
      <w:r w:rsidRPr="00EC1A78">
        <w:rPr>
          <w:rFonts w:eastAsiaTheme="minorHAnsi"/>
          <w:sz w:val="22"/>
          <w:szCs w:val="22"/>
          <w:lang w:eastAsia="en-US"/>
        </w:rPr>
        <w:t>сии был разработан проект концепции регулирования рынка пр</w:t>
      </w:r>
      <w:r w:rsidRPr="00EC1A78">
        <w:rPr>
          <w:rFonts w:eastAsiaTheme="minorHAnsi"/>
          <w:sz w:val="22"/>
          <w:szCs w:val="22"/>
          <w:lang w:eastAsia="en-US"/>
        </w:rPr>
        <w:t>о</w:t>
      </w:r>
      <w:r w:rsidRPr="00EC1A78">
        <w:rPr>
          <w:rFonts w:eastAsiaTheme="minorHAnsi"/>
          <w:sz w:val="22"/>
          <w:szCs w:val="22"/>
          <w:lang w:eastAsia="en-US"/>
        </w:rPr>
        <w:t>фессиональной юридической помощи[1]. Документ предполагает поэтапное обновление адвокатуры и построение на ее базе системы профессиональной юридической помощи. Так, к 2023 году план</w:t>
      </w:r>
      <w:r w:rsidRPr="00EC1A78">
        <w:rPr>
          <w:rFonts w:eastAsiaTheme="minorHAnsi"/>
          <w:sz w:val="22"/>
          <w:szCs w:val="22"/>
          <w:lang w:eastAsia="en-US"/>
        </w:rPr>
        <w:t>и</w:t>
      </w:r>
      <w:r w:rsidRPr="00EC1A78">
        <w:rPr>
          <w:rFonts w:eastAsiaTheme="minorHAnsi"/>
          <w:sz w:val="22"/>
          <w:szCs w:val="22"/>
          <w:lang w:eastAsia="en-US"/>
        </w:rPr>
        <w:t>руется установление адвокатской монополии на услуги по оказанию возмездной юридической помощи, а также на представительство в судебном процессе. Для определения масштабов реформирования следует рассмотреть степень реализации права на профессионал</w:t>
      </w:r>
      <w:r w:rsidRPr="00EC1A78">
        <w:rPr>
          <w:rFonts w:eastAsiaTheme="minorHAnsi"/>
          <w:sz w:val="22"/>
          <w:szCs w:val="22"/>
          <w:lang w:eastAsia="en-US"/>
        </w:rPr>
        <w:t>ь</w:t>
      </w:r>
      <w:r w:rsidRPr="00EC1A78">
        <w:rPr>
          <w:rFonts w:eastAsiaTheme="minorHAnsi"/>
          <w:sz w:val="22"/>
          <w:szCs w:val="22"/>
          <w:lang w:eastAsia="en-US"/>
        </w:rPr>
        <w:t>ное представительство в различных видах судопроизводства.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Закрепленный в УПК РФ механизм обеспечения лица квалиф</w:t>
      </w:r>
      <w:r w:rsidRPr="00EC1A78">
        <w:rPr>
          <w:rFonts w:eastAsiaTheme="minorHAnsi"/>
          <w:sz w:val="22"/>
          <w:szCs w:val="22"/>
          <w:lang w:eastAsia="en-US"/>
        </w:rPr>
        <w:t>и</w:t>
      </w:r>
      <w:r w:rsidRPr="00EC1A78">
        <w:rPr>
          <w:rFonts w:eastAsiaTheme="minorHAnsi"/>
          <w:sz w:val="22"/>
          <w:szCs w:val="22"/>
          <w:lang w:eastAsia="en-US"/>
        </w:rPr>
        <w:t>цированной юридической помощью является образцовым: в кач</w:t>
      </w:r>
      <w:r w:rsidRPr="00EC1A78">
        <w:rPr>
          <w:rFonts w:eastAsiaTheme="minorHAnsi"/>
          <w:sz w:val="22"/>
          <w:szCs w:val="22"/>
          <w:lang w:eastAsia="en-US"/>
        </w:rPr>
        <w:t>е</w:t>
      </w:r>
      <w:r w:rsidRPr="00EC1A78">
        <w:rPr>
          <w:rFonts w:eastAsiaTheme="minorHAnsi"/>
          <w:sz w:val="22"/>
          <w:szCs w:val="22"/>
          <w:lang w:eastAsia="en-US"/>
        </w:rPr>
        <w:t>стве защитника по уголовному делу выступает адвокат (ч. 2 ст. 49 УПК РФ), причем подозреваемый, обвиняемый обеспечивается з</w:t>
      </w:r>
      <w:r w:rsidRPr="00EC1A78">
        <w:rPr>
          <w:rFonts w:eastAsiaTheme="minorHAnsi"/>
          <w:sz w:val="22"/>
          <w:szCs w:val="22"/>
          <w:lang w:eastAsia="en-US"/>
        </w:rPr>
        <w:t>а</w:t>
      </w:r>
      <w:r w:rsidRPr="00EC1A78">
        <w:rPr>
          <w:rFonts w:eastAsiaTheme="minorHAnsi"/>
          <w:sz w:val="22"/>
          <w:szCs w:val="22"/>
          <w:lang w:eastAsia="en-US"/>
        </w:rPr>
        <w:t>щитником во всех случаях, за исключением случая отказа от защи</w:t>
      </w:r>
      <w:r w:rsidRPr="00EC1A78">
        <w:rPr>
          <w:rFonts w:eastAsiaTheme="minorHAnsi"/>
          <w:sz w:val="22"/>
          <w:szCs w:val="22"/>
          <w:lang w:eastAsia="en-US"/>
        </w:rPr>
        <w:t>т</w:t>
      </w:r>
      <w:r w:rsidRPr="00EC1A78">
        <w:rPr>
          <w:rFonts w:eastAsiaTheme="minorHAnsi"/>
          <w:sz w:val="22"/>
          <w:szCs w:val="22"/>
          <w:lang w:eastAsia="en-US"/>
        </w:rPr>
        <w:t>ника. Подобная модель в полной мере обеспечивает реализацию конституционного права на квалифицированную юридическую п</w:t>
      </w:r>
      <w:r w:rsidRPr="00EC1A78">
        <w:rPr>
          <w:rFonts w:eastAsiaTheme="minorHAnsi"/>
          <w:sz w:val="22"/>
          <w:szCs w:val="22"/>
          <w:lang w:eastAsia="en-US"/>
        </w:rPr>
        <w:t>о</w:t>
      </w:r>
      <w:r w:rsidRPr="00EC1A78">
        <w:rPr>
          <w:rFonts w:eastAsiaTheme="minorHAnsi"/>
          <w:sz w:val="22"/>
          <w:szCs w:val="22"/>
          <w:lang w:eastAsia="en-US"/>
        </w:rPr>
        <w:t>мощь и потому не требует реформирования.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Первая попытка внедрения системы профессионального пре</w:t>
      </w:r>
      <w:r w:rsidRPr="00EC1A78">
        <w:rPr>
          <w:rFonts w:eastAsiaTheme="minorHAnsi"/>
          <w:sz w:val="22"/>
          <w:szCs w:val="22"/>
          <w:lang w:eastAsia="en-US"/>
        </w:rPr>
        <w:t>д</w:t>
      </w:r>
      <w:r w:rsidRPr="00EC1A78">
        <w:rPr>
          <w:rFonts w:eastAsiaTheme="minorHAnsi"/>
          <w:sz w:val="22"/>
          <w:szCs w:val="22"/>
          <w:lang w:eastAsia="en-US"/>
        </w:rPr>
        <w:t>ставительства в иные виды судопроизводства была предпринята с введением ст. 55 КАС РФ. Причем по некоторым категориям адм</w:t>
      </w:r>
      <w:r w:rsidRPr="00EC1A78">
        <w:rPr>
          <w:rFonts w:eastAsiaTheme="minorHAnsi"/>
          <w:sz w:val="22"/>
          <w:szCs w:val="22"/>
          <w:lang w:eastAsia="en-US"/>
        </w:rPr>
        <w:t>и</w:t>
      </w:r>
      <w:r w:rsidRPr="00EC1A78">
        <w:rPr>
          <w:rFonts w:eastAsiaTheme="minorHAnsi"/>
          <w:sz w:val="22"/>
          <w:szCs w:val="22"/>
          <w:lang w:eastAsia="en-US"/>
        </w:rPr>
        <w:t>нистративных дел граждане, не имеющие высшего юридического образования, могут участвовать в судебном процессе только через представителя (ч. 9 ст. 208 КАС РФ). Таким образом, возможность судебной защиты прав граждан ставится в зависимость от уровня их образования, а также имущественного положения.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Уполномоченный по правам человека в РФ оспорил констит</w:t>
      </w:r>
      <w:r w:rsidRPr="00EC1A78">
        <w:rPr>
          <w:rFonts w:eastAsiaTheme="minorHAnsi"/>
          <w:sz w:val="22"/>
          <w:szCs w:val="22"/>
          <w:lang w:eastAsia="en-US"/>
        </w:rPr>
        <w:t>у</w:t>
      </w:r>
      <w:r w:rsidRPr="00EC1A78">
        <w:rPr>
          <w:rFonts w:eastAsiaTheme="minorHAnsi"/>
          <w:sz w:val="22"/>
          <w:szCs w:val="22"/>
          <w:lang w:eastAsia="en-US"/>
        </w:rPr>
        <w:t>ционность указанных положений закона в Конституционном Суде РФ. Суд пришел к выводу, что законодатель при установлении п</w:t>
      </w:r>
      <w:r w:rsidRPr="00EC1A78">
        <w:rPr>
          <w:rFonts w:eastAsiaTheme="minorHAnsi"/>
          <w:sz w:val="22"/>
          <w:szCs w:val="22"/>
          <w:lang w:eastAsia="en-US"/>
        </w:rPr>
        <w:t>о</w:t>
      </w:r>
      <w:r w:rsidRPr="00EC1A78">
        <w:rPr>
          <w:rFonts w:eastAsiaTheme="minorHAnsi"/>
          <w:sz w:val="22"/>
          <w:szCs w:val="22"/>
          <w:lang w:eastAsia="en-US"/>
        </w:rPr>
        <w:lastRenderedPageBreak/>
        <w:t>добных требований не выходит за пределы своих полномочий. В определении об отказе в принятии к рассмотрению жалобы Конст</w:t>
      </w:r>
      <w:r w:rsidRPr="00EC1A78">
        <w:rPr>
          <w:rFonts w:eastAsiaTheme="minorHAnsi"/>
          <w:sz w:val="22"/>
          <w:szCs w:val="22"/>
          <w:lang w:eastAsia="en-US"/>
        </w:rPr>
        <w:t>и</w:t>
      </w:r>
      <w:r w:rsidRPr="00EC1A78">
        <w:rPr>
          <w:rFonts w:eastAsiaTheme="minorHAnsi"/>
          <w:sz w:val="22"/>
          <w:szCs w:val="22"/>
          <w:lang w:eastAsia="en-US"/>
        </w:rPr>
        <w:t>туционный Суд определяет право граждан на оспаривание в суде</w:t>
      </w:r>
      <w:r w:rsidRPr="00EC1A78">
        <w:rPr>
          <w:rFonts w:eastAsiaTheme="minorHAnsi"/>
          <w:sz w:val="22"/>
          <w:szCs w:val="22"/>
          <w:lang w:eastAsia="en-US"/>
        </w:rPr>
        <w:t>б</w:t>
      </w:r>
      <w:r w:rsidRPr="00EC1A78">
        <w:rPr>
          <w:rFonts w:eastAsiaTheme="minorHAnsi"/>
          <w:sz w:val="22"/>
          <w:szCs w:val="22"/>
          <w:lang w:eastAsia="en-US"/>
        </w:rPr>
        <w:t>ном порядке нормативных правовых актов органов публичной вл</w:t>
      </w:r>
      <w:r w:rsidRPr="00EC1A78">
        <w:rPr>
          <w:rFonts w:eastAsiaTheme="minorHAnsi"/>
          <w:sz w:val="22"/>
          <w:szCs w:val="22"/>
          <w:lang w:eastAsia="en-US"/>
        </w:rPr>
        <w:t>а</w:t>
      </w:r>
      <w:r w:rsidRPr="00EC1A78">
        <w:rPr>
          <w:rFonts w:eastAsiaTheme="minorHAnsi"/>
          <w:sz w:val="22"/>
          <w:szCs w:val="22"/>
          <w:lang w:eastAsia="en-US"/>
        </w:rPr>
        <w:t>сти и должностных лиц в качестве «дополнительной (по отнош</w:t>
      </w:r>
      <w:r w:rsidRPr="00EC1A78">
        <w:rPr>
          <w:rFonts w:eastAsiaTheme="minorHAnsi"/>
          <w:sz w:val="22"/>
          <w:szCs w:val="22"/>
          <w:lang w:eastAsia="en-US"/>
        </w:rPr>
        <w:t>е</w:t>
      </w:r>
      <w:r w:rsidRPr="00EC1A78">
        <w:rPr>
          <w:rFonts w:eastAsiaTheme="minorHAnsi"/>
          <w:sz w:val="22"/>
          <w:szCs w:val="22"/>
          <w:lang w:eastAsia="en-US"/>
        </w:rPr>
        <w:t>нию к праву граждан и суда обращаться в Конституционный Суд РФ) возможности защиты их (граждан) прав с использованием с</w:t>
      </w:r>
      <w:r w:rsidRPr="00EC1A78">
        <w:rPr>
          <w:rFonts w:eastAsiaTheme="minorHAnsi"/>
          <w:sz w:val="22"/>
          <w:szCs w:val="22"/>
          <w:lang w:eastAsia="en-US"/>
        </w:rPr>
        <w:t>у</w:t>
      </w:r>
      <w:r w:rsidRPr="00EC1A78">
        <w:rPr>
          <w:rFonts w:eastAsiaTheme="minorHAnsi"/>
          <w:sz w:val="22"/>
          <w:szCs w:val="22"/>
          <w:lang w:eastAsia="en-US"/>
        </w:rPr>
        <w:t>дебного механизма» [2]. Однако стоит отметить, что Конституцией РФ в статье 118 все виды судопроизводства определены в качестве равных, а значит, на них в равной степени распространяется треб</w:t>
      </w:r>
      <w:r w:rsidRPr="00EC1A78">
        <w:rPr>
          <w:rFonts w:eastAsiaTheme="minorHAnsi"/>
          <w:sz w:val="22"/>
          <w:szCs w:val="22"/>
          <w:lang w:eastAsia="en-US"/>
        </w:rPr>
        <w:t>о</w:t>
      </w:r>
      <w:r w:rsidRPr="00EC1A78">
        <w:rPr>
          <w:rFonts w:eastAsiaTheme="minorHAnsi"/>
          <w:sz w:val="22"/>
          <w:szCs w:val="22"/>
          <w:lang w:eastAsia="en-US"/>
        </w:rPr>
        <w:t>вание ст. 46 Конституции РФ и ст. 6 Европейской Конвенции о д</w:t>
      </w:r>
      <w:r w:rsidRPr="00EC1A78">
        <w:rPr>
          <w:rFonts w:eastAsiaTheme="minorHAnsi"/>
          <w:sz w:val="22"/>
          <w:szCs w:val="22"/>
          <w:lang w:eastAsia="en-US"/>
        </w:rPr>
        <w:t>о</w:t>
      </w:r>
      <w:r w:rsidRPr="00EC1A78">
        <w:rPr>
          <w:rFonts w:eastAsiaTheme="minorHAnsi"/>
          <w:sz w:val="22"/>
          <w:szCs w:val="22"/>
          <w:lang w:eastAsia="en-US"/>
        </w:rPr>
        <w:t>ступности правосудия.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 Очевидно, что стремление законодателя поднять уровень юр</w:t>
      </w:r>
      <w:r w:rsidRPr="00EC1A78">
        <w:rPr>
          <w:rFonts w:eastAsiaTheme="minorHAnsi"/>
          <w:sz w:val="22"/>
          <w:szCs w:val="22"/>
          <w:lang w:eastAsia="en-US"/>
        </w:rPr>
        <w:t>и</w:t>
      </w:r>
      <w:r w:rsidRPr="00EC1A78">
        <w:rPr>
          <w:rFonts w:eastAsiaTheme="minorHAnsi"/>
          <w:sz w:val="22"/>
          <w:szCs w:val="22"/>
          <w:lang w:eastAsia="en-US"/>
        </w:rPr>
        <w:t>дической помощи привело к ограничению иного конституционного права – на доступность судебной защиты. Для устранения препя</w:t>
      </w:r>
      <w:r w:rsidRPr="00EC1A78">
        <w:rPr>
          <w:rFonts w:eastAsiaTheme="minorHAnsi"/>
          <w:sz w:val="22"/>
          <w:szCs w:val="22"/>
          <w:lang w:eastAsia="en-US"/>
        </w:rPr>
        <w:t>т</w:t>
      </w:r>
      <w:r w:rsidRPr="00EC1A78">
        <w:rPr>
          <w:rFonts w:eastAsiaTheme="minorHAnsi"/>
          <w:sz w:val="22"/>
          <w:szCs w:val="22"/>
          <w:lang w:eastAsia="en-US"/>
        </w:rPr>
        <w:t>ствий при доступе к правосудию по административным делам необходимо исключить из КАС РФ положения, предусматрива</w:t>
      </w:r>
      <w:r w:rsidRPr="00EC1A78">
        <w:rPr>
          <w:rFonts w:eastAsiaTheme="minorHAnsi"/>
          <w:sz w:val="22"/>
          <w:szCs w:val="22"/>
          <w:lang w:eastAsia="en-US"/>
        </w:rPr>
        <w:t>ю</w:t>
      </w:r>
      <w:r w:rsidRPr="00EC1A78">
        <w:rPr>
          <w:rFonts w:eastAsiaTheme="minorHAnsi"/>
          <w:sz w:val="22"/>
          <w:szCs w:val="22"/>
          <w:lang w:eastAsia="en-US"/>
        </w:rPr>
        <w:t>щие обязательное представительство (ч. 9 ст. 208 КАС РФ), а также обеспечить возможность личного участия граждан при рассмотр</w:t>
      </w:r>
      <w:r w:rsidRPr="00EC1A78">
        <w:rPr>
          <w:rFonts w:eastAsiaTheme="minorHAnsi"/>
          <w:sz w:val="22"/>
          <w:szCs w:val="22"/>
          <w:lang w:eastAsia="en-US"/>
        </w:rPr>
        <w:t>е</w:t>
      </w:r>
      <w:r w:rsidRPr="00EC1A78">
        <w:rPr>
          <w:rFonts w:eastAsiaTheme="minorHAnsi"/>
          <w:sz w:val="22"/>
          <w:szCs w:val="22"/>
          <w:lang w:eastAsia="en-US"/>
        </w:rPr>
        <w:t>нии любых категорий административных дел. При этом законод</w:t>
      </w:r>
      <w:r w:rsidRPr="00EC1A78">
        <w:rPr>
          <w:rFonts w:eastAsiaTheme="minorHAnsi"/>
          <w:sz w:val="22"/>
          <w:szCs w:val="22"/>
          <w:lang w:eastAsia="en-US"/>
        </w:rPr>
        <w:t>а</w:t>
      </w:r>
      <w:r w:rsidRPr="00EC1A78">
        <w:rPr>
          <w:rFonts w:eastAsiaTheme="minorHAnsi"/>
          <w:sz w:val="22"/>
          <w:szCs w:val="22"/>
          <w:lang w:eastAsia="en-US"/>
        </w:rPr>
        <w:t>телю надлежит учитывать не самый удачный опыт КАС РФ при дальнейшем реформировании процессуального законодательства.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судопроизводствах иных видов специальных требований к представителям не установлено. Например, в гражданском суд</w:t>
      </w:r>
      <w:r w:rsidRPr="00EC1A78">
        <w:rPr>
          <w:rFonts w:eastAsiaTheme="minorHAnsi"/>
          <w:sz w:val="22"/>
          <w:szCs w:val="22"/>
          <w:lang w:eastAsia="en-US"/>
        </w:rPr>
        <w:t>о</w:t>
      </w:r>
      <w:r w:rsidRPr="00EC1A78">
        <w:rPr>
          <w:rFonts w:eastAsiaTheme="minorHAnsi"/>
          <w:sz w:val="22"/>
          <w:szCs w:val="22"/>
          <w:lang w:eastAsia="en-US"/>
        </w:rPr>
        <w:t>производстве представителем может быть дееспособное лицо, им</w:t>
      </w:r>
      <w:r w:rsidRPr="00EC1A78">
        <w:rPr>
          <w:rFonts w:eastAsiaTheme="minorHAnsi"/>
          <w:sz w:val="22"/>
          <w:szCs w:val="22"/>
          <w:lang w:eastAsia="en-US"/>
        </w:rPr>
        <w:t>е</w:t>
      </w:r>
      <w:r w:rsidRPr="00EC1A78">
        <w:rPr>
          <w:rFonts w:eastAsiaTheme="minorHAnsi"/>
          <w:sz w:val="22"/>
          <w:szCs w:val="22"/>
          <w:lang w:eastAsia="en-US"/>
        </w:rPr>
        <w:t>ющее надлежащим образом оформленные полномочия на ведение дела (ст. 49 ГПК РФ). Подобная модель не гарантирует лицу пред</w:t>
      </w:r>
      <w:r w:rsidRPr="00EC1A78">
        <w:rPr>
          <w:rFonts w:eastAsiaTheme="minorHAnsi"/>
          <w:sz w:val="22"/>
          <w:szCs w:val="22"/>
          <w:lang w:eastAsia="en-US"/>
        </w:rPr>
        <w:t>о</w:t>
      </w:r>
      <w:r w:rsidRPr="00EC1A78">
        <w:rPr>
          <w:rFonts w:eastAsiaTheme="minorHAnsi"/>
          <w:sz w:val="22"/>
          <w:szCs w:val="22"/>
          <w:lang w:eastAsia="en-US"/>
        </w:rPr>
        <w:t xml:space="preserve">ставление квалифицированной юридической помощи.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настоящее время предпринимаются меры по внедрению пр</w:t>
      </w:r>
      <w:r w:rsidRPr="00EC1A78">
        <w:rPr>
          <w:rFonts w:eastAsiaTheme="minorHAnsi"/>
          <w:sz w:val="22"/>
          <w:szCs w:val="22"/>
          <w:lang w:eastAsia="en-US"/>
        </w:rPr>
        <w:t>о</w:t>
      </w:r>
      <w:r w:rsidRPr="00EC1A78">
        <w:rPr>
          <w:rFonts w:eastAsiaTheme="minorHAnsi"/>
          <w:sz w:val="22"/>
          <w:szCs w:val="22"/>
          <w:lang w:eastAsia="en-US"/>
        </w:rPr>
        <w:t>фессионального представительства в гражданский, а также в арби</w:t>
      </w:r>
      <w:r w:rsidRPr="00EC1A78">
        <w:rPr>
          <w:rFonts w:eastAsiaTheme="minorHAnsi"/>
          <w:sz w:val="22"/>
          <w:szCs w:val="22"/>
          <w:lang w:eastAsia="en-US"/>
        </w:rPr>
        <w:t>т</w:t>
      </w:r>
      <w:r w:rsidRPr="00EC1A78">
        <w:rPr>
          <w:rFonts w:eastAsiaTheme="minorHAnsi"/>
          <w:sz w:val="22"/>
          <w:szCs w:val="22"/>
          <w:lang w:eastAsia="en-US"/>
        </w:rPr>
        <w:t>ражный процесс: в Государственную Думу РФ было внесено н</w:t>
      </w:r>
      <w:r w:rsidRPr="00EC1A78">
        <w:rPr>
          <w:rFonts w:eastAsiaTheme="minorHAnsi"/>
          <w:sz w:val="22"/>
          <w:szCs w:val="22"/>
          <w:lang w:eastAsia="en-US"/>
        </w:rPr>
        <w:t>е</w:t>
      </w:r>
      <w:r w:rsidRPr="00EC1A78">
        <w:rPr>
          <w:rFonts w:eastAsiaTheme="minorHAnsi"/>
          <w:sz w:val="22"/>
          <w:szCs w:val="22"/>
          <w:lang w:eastAsia="en-US"/>
        </w:rPr>
        <w:t>сколько законопроектов о профессиональном представительстве («законопроект Крашенинникова», законопроект Верховного Суда РФ). Авторы рассматриваемых документов предлагают допустить в судебный процесс в качестве представителей исключительно лиц, имеющих высшее юридическое образование. При этом инициаторы обошли стороной вопрос участия в гражданском и арбитражном процессе адвокатов. Такой подход способствует сохранению ди</w:t>
      </w:r>
      <w:r w:rsidRPr="00EC1A78">
        <w:rPr>
          <w:rFonts w:eastAsiaTheme="minorHAnsi"/>
          <w:sz w:val="22"/>
          <w:szCs w:val="22"/>
          <w:lang w:eastAsia="en-US"/>
        </w:rPr>
        <w:t>ф</w:t>
      </w:r>
      <w:r w:rsidRPr="00EC1A78">
        <w:rPr>
          <w:rFonts w:eastAsiaTheme="minorHAnsi"/>
          <w:sz w:val="22"/>
          <w:szCs w:val="22"/>
          <w:lang w:eastAsia="en-US"/>
        </w:rPr>
        <w:lastRenderedPageBreak/>
        <w:t>ференциации статуса лиц, оказывающих юридическую помощь. В этой связи рассматриваемые нормы в случае их принятия позволили бы поднять уровень юридической помощи, но подобные проекты нельзя считать окончательным решением проблем в отрасли.</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Проект концепции регулирования рынка профессиональной юридической помощи // Режим доступа: http://minjust.ru/deyatelnost–v–sfere–advokatury/koncepciya–regulirovaniya–rynka–professionalnoy–yuridicheskoy</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Определение Конституционного Суда РФ от 27.09.2016 № 1782–О // СПС «КонсультантПлюс»</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343.135</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Прекращение уголовного преследования (дела) вследствие акта об амнистии</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Termination of criminal prosecution (case) as a result of the Amnesty act</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Дмитриева В.</w:t>
      </w:r>
      <w:r w:rsidR="003A6F8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Современная уголовно–правовая политика идет по пути гуманизации уголовного законодательства. Одной из форм проявления гуманизма является институт амнистии. В данной нау</w:t>
      </w:r>
      <w:r w:rsidRPr="00EC1A78">
        <w:rPr>
          <w:rFonts w:eastAsiaTheme="minorHAnsi"/>
          <w:sz w:val="22"/>
          <w:szCs w:val="22"/>
          <w:lang w:eastAsia="en-US"/>
        </w:rPr>
        <w:t>ч</w:t>
      </w:r>
      <w:r w:rsidRPr="00EC1A78">
        <w:rPr>
          <w:rFonts w:eastAsiaTheme="minorHAnsi"/>
          <w:sz w:val="22"/>
          <w:szCs w:val="22"/>
          <w:lang w:eastAsia="en-US"/>
        </w:rPr>
        <w:t>ной статье мы рассмотрим акт об амнистии как одно из оснований прекращения уголовного преследования (дела), вопросы ее прим</w:t>
      </w:r>
      <w:r w:rsidRPr="00EC1A78">
        <w:rPr>
          <w:rFonts w:eastAsiaTheme="minorHAnsi"/>
          <w:sz w:val="22"/>
          <w:szCs w:val="22"/>
          <w:lang w:eastAsia="en-US"/>
        </w:rPr>
        <w:t>е</w:t>
      </w:r>
      <w:r w:rsidRPr="00EC1A78">
        <w:rPr>
          <w:rFonts w:eastAsiaTheme="minorHAnsi"/>
          <w:sz w:val="22"/>
          <w:szCs w:val="22"/>
          <w:lang w:eastAsia="en-US"/>
        </w:rPr>
        <w:t xml:space="preserve">нения и законодательного регулирования.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Modern criminal law policy follows the path of h</w:t>
      </w:r>
      <w:r w:rsidRPr="00EC1A78">
        <w:rPr>
          <w:rFonts w:eastAsiaTheme="minorHAnsi"/>
          <w:sz w:val="22"/>
          <w:szCs w:val="22"/>
          <w:lang w:val="en-US" w:eastAsia="en-US"/>
        </w:rPr>
        <w:t>u</w:t>
      </w:r>
      <w:r w:rsidRPr="00EC1A78">
        <w:rPr>
          <w:rFonts w:eastAsiaTheme="minorHAnsi"/>
          <w:sz w:val="22"/>
          <w:szCs w:val="22"/>
          <w:lang w:val="en-US" w:eastAsia="en-US"/>
        </w:rPr>
        <w:t>manization of criminal law. One of the forms of humanism is the instit</w:t>
      </w:r>
      <w:r w:rsidRPr="00EC1A78">
        <w:rPr>
          <w:rFonts w:eastAsiaTheme="minorHAnsi"/>
          <w:sz w:val="22"/>
          <w:szCs w:val="22"/>
          <w:lang w:val="en-US" w:eastAsia="en-US"/>
        </w:rPr>
        <w:t>u</w:t>
      </w:r>
      <w:r w:rsidRPr="00EC1A78">
        <w:rPr>
          <w:rFonts w:eastAsiaTheme="minorHAnsi"/>
          <w:sz w:val="22"/>
          <w:szCs w:val="22"/>
          <w:lang w:val="en-US" w:eastAsia="en-US"/>
        </w:rPr>
        <w:t xml:space="preserve">tion of Amnesty. In this scientific article we will consider the Amnesty </w:t>
      </w:r>
      <w:r w:rsidRPr="00EC1A78">
        <w:rPr>
          <w:rFonts w:eastAsiaTheme="minorHAnsi"/>
          <w:sz w:val="22"/>
          <w:szCs w:val="22"/>
          <w:lang w:val="en-US" w:eastAsia="en-US"/>
        </w:rPr>
        <w:lastRenderedPageBreak/>
        <w:t>act as one of the grounds for termination of criminal prosecution (case), questions of its application and legislative regulation</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амнистия, наказание, прекращение уг</w:t>
      </w:r>
      <w:r w:rsidRPr="00EC1A78">
        <w:rPr>
          <w:rFonts w:eastAsiaTheme="minorHAnsi"/>
          <w:sz w:val="22"/>
          <w:szCs w:val="22"/>
          <w:lang w:eastAsia="en-US"/>
        </w:rPr>
        <w:t>о</w:t>
      </w:r>
      <w:r w:rsidRPr="00EC1A78">
        <w:rPr>
          <w:rFonts w:eastAsiaTheme="minorHAnsi"/>
          <w:sz w:val="22"/>
          <w:szCs w:val="22"/>
          <w:lang w:eastAsia="en-US"/>
        </w:rPr>
        <w:t>ловного преследования.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 WORDS: Amnesty, punishment, termination of criminal pro</w:t>
      </w:r>
      <w:r w:rsidRPr="00EC1A78">
        <w:rPr>
          <w:rFonts w:eastAsiaTheme="minorHAnsi"/>
          <w:sz w:val="22"/>
          <w:szCs w:val="22"/>
          <w:lang w:val="en-US" w:eastAsia="en-US"/>
        </w:rPr>
        <w:t>s</w:t>
      </w:r>
      <w:r w:rsidRPr="00EC1A78">
        <w:rPr>
          <w:rFonts w:eastAsiaTheme="minorHAnsi"/>
          <w:sz w:val="22"/>
          <w:szCs w:val="22"/>
          <w:lang w:val="en-US" w:eastAsia="en-US"/>
        </w:rPr>
        <w:t>ecution.</w:t>
      </w:r>
    </w:p>
    <w:p w:rsidR="00EC1A78" w:rsidRPr="00EC1A78" w:rsidRDefault="00EC1A78" w:rsidP="00EC1A78">
      <w:pPr>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соответствии с п.3 ч.1 ст.27 УПК РФ одним из оснований прекращения уголовного преследования в отношении подозрева</w:t>
      </w:r>
      <w:r w:rsidRPr="00EC1A78">
        <w:rPr>
          <w:rFonts w:eastAsiaTheme="minorHAnsi"/>
          <w:sz w:val="22"/>
          <w:szCs w:val="22"/>
          <w:lang w:eastAsia="en-US"/>
        </w:rPr>
        <w:t>е</w:t>
      </w:r>
      <w:r w:rsidRPr="00EC1A78">
        <w:rPr>
          <w:rFonts w:eastAsiaTheme="minorHAnsi"/>
          <w:sz w:val="22"/>
          <w:szCs w:val="22"/>
          <w:lang w:eastAsia="en-US"/>
        </w:rPr>
        <w:t>мого или обвиняемого является акт амнистии, т.е. акт высшего о</w:t>
      </w:r>
      <w:r w:rsidRPr="00EC1A78">
        <w:rPr>
          <w:rFonts w:eastAsiaTheme="minorHAnsi"/>
          <w:sz w:val="22"/>
          <w:szCs w:val="22"/>
          <w:lang w:eastAsia="en-US"/>
        </w:rPr>
        <w:t>р</w:t>
      </w:r>
      <w:r w:rsidRPr="00EC1A78">
        <w:rPr>
          <w:rFonts w:eastAsiaTheme="minorHAnsi"/>
          <w:sz w:val="22"/>
          <w:szCs w:val="22"/>
          <w:lang w:eastAsia="en-US"/>
        </w:rPr>
        <w:t>гана государственной власти (согласно Конституции РФ, объявл</w:t>
      </w:r>
      <w:r w:rsidRPr="00EC1A78">
        <w:rPr>
          <w:rFonts w:eastAsiaTheme="minorHAnsi"/>
          <w:sz w:val="22"/>
          <w:szCs w:val="22"/>
          <w:lang w:eastAsia="en-US"/>
        </w:rPr>
        <w:t>е</w:t>
      </w:r>
      <w:r w:rsidRPr="00EC1A78">
        <w:rPr>
          <w:rFonts w:eastAsiaTheme="minorHAnsi"/>
          <w:sz w:val="22"/>
          <w:szCs w:val="22"/>
          <w:lang w:eastAsia="en-US"/>
        </w:rPr>
        <w:t>ние амнистии относится к ведению Государственной Думы) в о</w:t>
      </w:r>
      <w:r w:rsidRPr="00EC1A78">
        <w:rPr>
          <w:rFonts w:eastAsiaTheme="minorHAnsi"/>
          <w:sz w:val="22"/>
          <w:szCs w:val="22"/>
          <w:lang w:eastAsia="en-US"/>
        </w:rPr>
        <w:t>т</w:t>
      </w:r>
      <w:r w:rsidRPr="00EC1A78">
        <w:rPr>
          <w:rFonts w:eastAsiaTheme="minorHAnsi"/>
          <w:sz w:val="22"/>
          <w:szCs w:val="22"/>
          <w:lang w:eastAsia="en-US"/>
        </w:rPr>
        <w:t>ношении индивидуально не определенного круга лиц. Амнистия предполагает несколько способов улучшения правового положения лица в зависимости от стадии реализации уголовной ответственн</w:t>
      </w:r>
      <w:r w:rsidRPr="00EC1A78">
        <w:rPr>
          <w:rFonts w:eastAsiaTheme="minorHAnsi"/>
          <w:sz w:val="22"/>
          <w:szCs w:val="22"/>
          <w:lang w:eastAsia="en-US"/>
        </w:rPr>
        <w:t>о</w:t>
      </w:r>
      <w:r w:rsidRPr="00EC1A78">
        <w:rPr>
          <w:rFonts w:eastAsiaTheme="minorHAnsi"/>
          <w:sz w:val="22"/>
          <w:szCs w:val="22"/>
          <w:lang w:eastAsia="en-US"/>
        </w:rPr>
        <w:t>сти.  Вынесение такого решения может предписать замену назн</w:t>
      </w:r>
      <w:r w:rsidRPr="00EC1A78">
        <w:rPr>
          <w:rFonts w:eastAsiaTheme="minorHAnsi"/>
          <w:sz w:val="22"/>
          <w:szCs w:val="22"/>
          <w:lang w:eastAsia="en-US"/>
        </w:rPr>
        <w:t>а</w:t>
      </w:r>
      <w:r w:rsidRPr="00EC1A78">
        <w:rPr>
          <w:rFonts w:eastAsiaTheme="minorHAnsi"/>
          <w:sz w:val="22"/>
          <w:szCs w:val="22"/>
          <w:lang w:eastAsia="en-US"/>
        </w:rPr>
        <w:t>ченного судом наказания более мягким, прекращение уголовное преследования, либо отказ в возбуждении уголовного дела, а с лиц, отбывших наказание, может быть снята судимость.</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амнистия — это комплексный вид освобожд</w:t>
      </w:r>
      <w:r w:rsidRPr="00EC1A78">
        <w:rPr>
          <w:rFonts w:eastAsiaTheme="minorHAnsi"/>
          <w:sz w:val="22"/>
          <w:szCs w:val="22"/>
          <w:lang w:eastAsia="en-US"/>
        </w:rPr>
        <w:t>е</w:t>
      </w:r>
      <w:r w:rsidRPr="00EC1A78">
        <w:rPr>
          <w:rFonts w:eastAsiaTheme="minorHAnsi"/>
          <w:sz w:val="22"/>
          <w:szCs w:val="22"/>
          <w:lang w:eastAsia="en-US"/>
        </w:rPr>
        <w:t>ния, поскольку он может предусматривать все известные уголовн</w:t>
      </w:r>
      <w:r w:rsidRPr="00EC1A78">
        <w:rPr>
          <w:rFonts w:eastAsiaTheme="minorHAnsi"/>
          <w:sz w:val="22"/>
          <w:szCs w:val="22"/>
          <w:lang w:eastAsia="en-US"/>
        </w:rPr>
        <w:t>о</w:t>
      </w:r>
      <w:r w:rsidRPr="00EC1A78">
        <w:rPr>
          <w:rFonts w:eastAsiaTheme="minorHAnsi"/>
          <w:sz w:val="22"/>
          <w:szCs w:val="22"/>
          <w:lang w:eastAsia="en-US"/>
        </w:rPr>
        <w:t xml:space="preserve">му праву виды освобождения — как от уголовной ответственности, так и от наказания или его правовых последствий — судимости.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Следует согласиться с позицией Белоусовой Е.А., которая ук</w:t>
      </w:r>
      <w:r w:rsidRPr="00EC1A78">
        <w:rPr>
          <w:rFonts w:eastAsiaTheme="minorHAnsi"/>
          <w:sz w:val="22"/>
          <w:szCs w:val="22"/>
          <w:lang w:eastAsia="en-US"/>
        </w:rPr>
        <w:t>а</w:t>
      </w:r>
      <w:r w:rsidRPr="00EC1A78">
        <w:rPr>
          <w:rFonts w:eastAsiaTheme="minorHAnsi"/>
          <w:sz w:val="22"/>
          <w:szCs w:val="22"/>
          <w:lang w:eastAsia="en-US"/>
        </w:rPr>
        <w:t xml:space="preserve">зывает на социальную и правовую сущность применения амнистии [1].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Анализируя ч.4 ст.133 УПК РФ можно сделать вывод, что акт об амнистии является нереабилитирующим основанием прекращ</w:t>
      </w:r>
      <w:r w:rsidRPr="00EC1A78">
        <w:rPr>
          <w:rFonts w:eastAsiaTheme="minorHAnsi"/>
          <w:sz w:val="22"/>
          <w:szCs w:val="22"/>
          <w:lang w:eastAsia="en-US"/>
        </w:rPr>
        <w:t>е</w:t>
      </w:r>
      <w:r w:rsidRPr="00EC1A78">
        <w:rPr>
          <w:rFonts w:eastAsiaTheme="minorHAnsi"/>
          <w:sz w:val="22"/>
          <w:szCs w:val="22"/>
          <w:lang w:eastAsia="en-US"/>
        </w:rPr>
        <w:t>ния уголовного преследования. Это означает, что лицо, освобо</w:t>
      </w:r>
      <w:r w:rsidRPr="00EC1A78">
        <w:rPr>
          <w:rFonts w:eastAsiaTheme="minorHAnsi"/>
          <w:sz w:val="22"/>
          <w:szCs w:val="22"/>
          <w:lang w:eastAsia="en-US"/>
        </w:rPr>
        <w:t>ж</w:t>
      </w:r>
      <w:r w:rsidRPr="00EC1A78">
        <w:rPr>
          <w:rFonts w:eastAsiaTheme="minorHAnsi"/>
          <w:sz w:val="22"/>
          <w:szCs w:val="22"/>
          <w:lang w:eastAsia="en-US"/>
        </w:rPr>
        <w:t>денное от преследования правоохранительными органами, не имеет права на возмещение имущественного, морального вреда и восст</w:t>
      </w:r>
      <w:r w:rsidRPr="00EC1A78">
        <w:rPr>
          <w:rFonts w:eastAsiaTheme="minorHAnsi"/>
          <w:sz w:val="22"/>
          <w:szCs w:val="22"/>
          <w:lang w:eastAsia="en-US"/>
        </w:rPr>
        <w:t>а</w:t>
      </w:r>
      <w:r w:rsidRPr="00EC1A78">
        <w:rPr>
          <w:rFonts w:eastAsiaTheme="minorHAnsi"/>
          <w:sz w:val="22"/>
          <w:szCs w:val="22"/>
          <w:lang w:eastAsia="en-US"/>
        </w:rPr>
        <w:t>новления в трудовых, жилищных и иных правах, т.к. вопрос о его виновности остается открытым, а прекращение уголовного пресл</w:t>
      </w:r>
      <w:r w:rsidRPr="00EC1A78">
        <w:rPr>
          <w:rFonts w:eastAsiaTheme="minorHAnsi"/>
          <w:sz w:val="22"/>
          <w:szCs w:val="22"/>
          <w:lang w:eastAsia="en-US"/>
        </w:rPr>
        <w:t>е</w:t>
      </w:r>
      <w:r w:rsidRPr="00EC1A78">
        <w:rPr>
          <w:rFonts w:eastAsiaTheme="minorHAnsi"/>
          <w:sz w:val="22"/>
          <w:szCs w:val="22"/>
          <w:lang w:eastAsia="en-US"/>
        </w:rPr>
        <w:t>дования вследствие акта об амнистии означает отказ от ее дальне</w:t>
      </w:r>
      <w:r w:rsidRPr="00EC1A78">
        <w:rPr>
          <w:rFonts w:eastAsiaTheme="minorHAnsi"/>
          <w:sz w:val="22"/>
          <w:szCs w:val="22"/>
          <w:lang w:eastAsia="en-US"/>
        </w:rPr>
        <w:t>й</w:t>
      </w:r>
      <w:r w:rsidRPr="00EC1A78">
        <w:rPr>
          <w:rFonts w:eastAsiaTheme="minorHAnsi"/>
          <w:sz w:val="22"/>
          <w:szCs w:val="22"/>
          <w:lang w:eastAsia="en-US"/>
        </w:rPr>
        <w:t>шего доказывания. При этом, помимо лишения права на реабилит</w:t>
      </w:r>
      <w:r w:rsidRPr="00EC1A78">
        <w:rPr>
          <w:rFonts w:eastAsiaTheme="minorHAnsi"/>
          <w:sz w:val="22"/>
          <w:szCs w:val="22"/>
          <w:lang w:eastAsia="en-US"/>
        </w:rPr>
        <w:t>а</w:t>
      </w:r>
      <w:r w:rsidRPr="00EC1A78">
        <w:rPr>
          <w:rFonts w:eastAsiaTheme="minorHAnsi"/>
          <w:sz w:val="22"/>
          <w:szCs w:val="22"/>
          <w:lang w:eastAsia="en-US"/>
        </w:rPr>
        <w:t>цию, применение амнистии влечет и другие неблагоприятные п</w:t>
      </w:r>
      <w:r w:rsidRPr="00EC1A78">
        <w:rPr>
          <w:rFonts w:eastAsiaTheme="minorHAnsi"/>
          <w:sz w:val="22"/>
          <w:szCs w:val="22"/>
          <w:lang w:eastAsia="en-US"/>
        </w:rPr>
        <w:t>о</w:t>
      </w:r>
      <w:r w:rsidRPr="00EC1A78">
        <w:rPr>
          <w:rFonts w:eastAsiaTheme="minorHAnsi"/>
          <w:sz w:val="22"/>
          <w:szCs w:val="22"/>
          <w:lang w:eastAsia="en-US"/>
        </w:rPr>
        <w:t>следствия.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В определении Конституционного Суда РФ указано, что, отк</w:t>
      </w:r>
      <w:r w:rsidRPr="00EC1A78">
        <w:rPr>
          <w:rFonts w:eastAsiaTheme="minorHAnsi"/>
          <w:sz w:val="22"/>
          <w:szCs w:val="22"/>
          <w:lang w:eastAsia="en-US"/>
        </w:rPr>
        <w:t>а</w:t>
      </w:r>
      <w:r w:rsidRPr="00EC1A78">
        <w:rPr>
          <w:rFonts w:eastAsiaTheme="minorHAnsi"/>
          <w:sz w:val="22"/>
          <w:szCs w:val="22"/>
          <w:lang w:eastAsia="en-US"/>
        </w:rPr>
        <w:t>зываясь от уголовного преследования отдельных категорий лиц п</w:t>
      </w:r>
      <w:r w:rsidRPr="00EC1A78">
        <w:rPr>
          <w:rFonts w:eastAsiaTheme="minorHAnsi"/>
          <w:sz w:val="22"/>
          <w:szCs w:val="22"/>
          <w:lang w:eastAsia="en-US"/>
        </w:rPr>
        <w:t>о</w:t>
      </w:r>
      <w:r w:rsidRPr="00EC1A78">
        <w:rPr>
          <w:rFonts w:eastAsiaTheme="minorHAnsi"/>
          <w:sz w:val="22"/>
          <w:szCs w:val="22"/>
          <w:lang w:eastAsia="en-US"/>
        </w:rPr>
        <w:t>средством издания акта об амнистии, государство не освобождается от необходимости гарантировать защиту прав и законных интересов лиц, пострадавших от преступных посягательств, обеспечивая всем потерпевшим процессуальные гарантии осуществления прав на д</w:t>
      </w:r>
      <w:r w:rsidRPr="00EC1A78">
        <w:rPr>
          <w:rFonts w:eastAsiaTheme="minorHAnsi"/>
          <w:sz w:val="22"/>
          <w:szCs w:val="22"/>
          <w:lang w:eastAsia="en-US"/>
        </w:rPr>
        <w:t>о</w:t>
      </w:r>
      <w:r w:rsidRPr="00EC1A78">
        <w:rPr>
          <w:rFonts w:eastAsiaTheme="minorHAnsi"/>
          <w:sz w:val="22"/>
          <w:szCs w:val="22"/>
          <w:lang w:eastAsia="en-US"/>
        </w:rPr>
        <w:t>ступ к правосудию и компенсацию причиненного преступлением ущерба [2]. Соответственно, у лиц, пострадавших от преступления, сохраняется право на защиту своих законных прав и интересов в порядке гражданского судопроизводства.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обеспечении прав участников уголовного судопроизводства, законодатель в ч.2 ст. 27 УПК РФ предусмотрел необходимость п</w:t>
      </w:r>
      <w:r w:rsidRPr="00EC1A78">
        <w:rPr>
          <w:rFonts w:eastAsiaTheme="minorHAnsi"/>
          <w:sz w:val="22"/>
          <w:szCs w:val="22"/>
          <w:lang w:eastAsia="en-US"/>
        </w:rPr>
        <w:t>о</w:t>
      </w:r>
      <w:r w:rsidRPr="00EC1A78">
        <w:rPr>
          <w:rFonts w:eastAsiaTheme="minorHAnsi"/>
          <w:sz w:val="22"/>
          <w:szCs w:val="22"/>
          <w:lang w:eastAsia="en-US"/>
        </w:rPr>
        <w:t>лучения согласия подозреваемого или обвиняемого в прекращении в отношении него уголовного преследования (дела) по данному о</w:t>
      </w:r>
      <w:r w:rsidRPr="00EC1A78">
        <w:rPr>
          <w:rFonts w:eastAsiaTheme="minorHAnsi"/>
          <w:sz w:val="22"/>
          <w:szCs w:val="22"/>
          <w:lang w:eastAsia="en-US"/>
        </w:rPr>
        <w:t>с</w:t>
      </w:r>
      <w:r w:rsidRPr="00EC1A78">
        <w:rPr>
          <w:rFonts w:eastAsiaTheme="minorHAnsi"/>
          <w:sz w:val="22"/>
          <w:szCs w:val="22"/>
          <w:lang w:eastAsia="en-US"/>
        </w:rPr>
        <w:t>нованию, если тот сам не ходатайствовал о принятии такого реш</w:t>
      </w:r>
      <w:r w:rsidRPr="00EC1A78">
        <w:rPr>
          <w:rFonts w:eastAsiaTheme="minorHAnsi"/>
          <w:sz w:val="22"/>
          <w:szCs w:val="22"/>
          <w:lang w:eastAsia="en-US"/>
        </w:rPr>
        <w:t>е</w:t>
      </w:r>
      <w:r w:rsidRPr="00EC1A78">
        <w:rPr>
          <w:rFonts w:eastAsiaTheme="minorHAnsi"/>
          <w:sz w:val="22"/>
          <w:szCs w:val="22"/>
          <w:lang w:eastAsia="en-US"/>
        </w:rPr>
        <w:t>ния. В противном случае производство по уголовного делу продо</w:t>
      </w:r>
      <w:r w:rsidRPr="00EC1A78">
        <w:rPr>
          <w:rFonts w:eastAsiaTheme="minorHAnsi"/>
          <w:sz w:val="22"/>
          <w:szCs w:val="22"/>
          <w:lang w:eastAsia="en-US"/>
        </w:rPr>
        <w:t>л</w:t>
      </w:r>
      <w:r w:rsidRPr="00EC1A78">
        <w:rPr>
          <w:rFonts w:eastAsiaTheme="minorHAnsi"/>
          <w:sz w:val="22"/>
          <w:szCs w:val="22"/>
          <w:lang w:eastAsia="en-US"/>
        </w:rPr>
        <w:t>жается в обычном порядке. Прекращение уголовного дела всле</w:t>
      </w:r>
      <w:r w:rsidRPr="00EC1A78">
        <w:rPr>
          <w:rFonts w:eastAsiaTheme="minorHAnsi"/>
          <w:sz w:val="22"/>
          <w:szCs w:val="22"/>
          <w:lang w:eastAsia="en-US"/>
        </w:rPr>
        <w:t>д</w:t>
      </w:r>
      <w:r w:rsidRPr="00EC1A78">
        <w:rPr>
          <w:rFonts w:eastAsiaTheme="minorHAnsi"/>
          <w:sz w:val="22"/>
          <w:szCs w:val="22"/>
          <w:lang w:eastAsia="en-US"/>
        </w:rPr>
        <w:t>ствие акта об амнистии процессуально оформляется в виде пост</w:t>
      </w:r>
      <w:r w:rsidRPr="00EC1A78">
        <w:rPr>
          <w:rFonts w:eastAsiaTheme="minorHAnsi"/>
          <w:sz w:val="22"/>
          <w:szCs w:val="22"/>
          <w:lang w:eastAsia="en-US"/>
        </w:rPr>
        <w:t>а</w:t>
      </w:r>
      <w:r w:rsidRPr="00EC1A78">
        <w:rPr>
          <w:rFonts w:eastAsiaTheme="minorHAnsi"/>
          <w:sz w:val="22"/>
          <w:szCs w:val="22"/>
          <w:lang w:eastAsia="en-US"/>
        </w:rPr>
        <w:t>новления.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Также следует отметить, что если в рамках одного уголовного дела осуществляется уголовного преследование нескольких лиц, а правила амнистии распространяются на действия некоторых из них (либо одного лица), то уголовное преследование прекращается только в отношении этих лиц. В отношении иных фигурантов уг</w:t>
      </w:r>
      <w:r w:rsidRPr="00EC1A78">
        <w:rPr>
          <w:rFonts w:eastAsiaTheme="minorHAnsi"/>
          <w:sz w:val="22"/>
          <w:szCs w:val="22"/>
          <w:lang w:eastAsia="en-US"/>
        </w:rPr>
        <w:t>о</w:t>
      </w:r>
      <w:r w:rsidRPr="00EC1A78">
        <w:rPr>
          <w:rFonts w:eastAsiaTheme="minorHAnsi"/>
          <w:sz w:val="22"/>
          <w:szCs w:val="22"/>
          <w:lang w:eastAsia="en-US"/>
        </w:rPr>
        <w:t>ловное дело расследуется в общем порядке.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контексте данной статьи также хотелось бы затронуть пр</w:t>
      </w:r>
      <w:r w:rsidRPr="00EC1A78">
        <w:rPr>
          <w:rFonts w:eastAsiaTheme="minorHAnsi"/>
          <w:sz w:val="22"/>
          <w:szCs w:val="22"/>
          <w:lang w:eastAsia="en-US"/>
        </w:rPr>
        <w:t>о</w:t>
      </w:r>
      <w:r w:rsidRPr="00EC1A78">
        <w:rPr>
          <w:rFonts w:eastAsiaTheme="minorHAnsi"/>
          <w:sz w:val="22"/>
          <w:szCs w:val="22"/>
          <w:lang w:eastAsia="en-US"/>
        </w:rPr>
        <w:t xml:space="preserve">блему статуса нормативно–правового акта, регулирующего вопросы амнистии.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Постановления об объявлении амнистии и порядке применения амнистии вносятся в Государственную Думу и рассматриваются ею в порядке, установленном для законопроектов. Формально решение об объявлении амнистии является подзаконным актом, хотя регл</w:t>
      </w:r>
      <w:r w:rsidRPr="00EC1A78">
        <w:rPr>
          <w:rFonts w:eastAsiaTheme="minorHAnsi"/>
          <w:sz w:val="22"/>
          <w:szCs w:val="22"/>
          <w:lang w:eastAsia="en-US"/>
        </w:rPr>
        <w:t>а</w:t>
      </w:r>
      <w:r w:rsidRPr="00EC1A78">
        <w:rPr>
          <w:rFonts w:eastAsiaTheme="minorHAnsi"/>
          <w:sz w:val="22"/>
          <w:szCs w:val="22"/>
          <w:lang w:eastAsia="en-US"/>
        </w:rPr>
        <w:t>ментирует уголовно–правовые отношения, которые должны рег</w:t>
      </w:r>
      <w:r w:rsidRPr="00EC1A78">
        <w:rPr>
          <w:rFonts w:eastAsiaTheme="minorHAnsi"/>
          <w:sz w:val="22"/>
          <w:szCs w:val="22"/>
          <w:lang w:eastAsia="en-US"/>
        </w:rPr>
        <w:t>у</w:t>
      </w:r>
      <w:r w:rsidRPr="00EC1A78">
        <w:rPr>
          <w:rFonts w:eastAsiaTheme="minorHAnsi"/>
          <w:sz w:val="22"/>
          <w:szCs w:val="22"/>
          <w:lang w:eastAsia="en-US"/>
        </w:rPr>
        <w:t>лироваться законом [3].</w:t>
      </w:r>
    </w:p>
    <w:p w:rsidR="00EC1A78" w:rsidRDefault="00EC1A78" w:rsidP="006478C4">
      <w:pPr>
        <w:ind w:firstLine="425"/>
        <w:jc w:val="both"/>
        <w:rPr>
          <w:rFonts w:eastAsiaTheme="minorHAnsi"/>
          <w:sz w:val="22"/>
          <w:szCs w:val="22"/>
          <w:lang w:eastAsia="en-US"/>
        </w:rPr>
      </w:pPr>
      <w:r w:rsidRPr="00EC1A78">
        <w:rPr>
          <w:rFonts w:eastAsiaTheme="minorHAnsi"/>
          <w:sz w:val="22"/>
          <w:szCs w:val="22"/>
          <w:lang w:eastAsia="en-US"/>
        </w:rPr>
        <w:t xml:space="preserve">Представляется необходимым усложнить процедуру принятия актов об амнистии. </w:t>
      </w:r>
      <w:proofErr w:type="gramStart"/>
      <w:r w:rsidRPr="00EC1A78">
        <w:rPr>
          <w:rFonts w:eastAsiaTheme="minorHAnsi"/>
          <w:sz w:val="22"/>
          <w:szCs w:val="22"/>
          <w:lang w:eastAsia="en-US"/>
        </w:rPr>
        <w:t xml:space="preserve">В частности, осознавая важность данной сферы общественных отношений, можно привлечь к принятию решения об издании акта амнистии Генеральную Прокуратуру РФ, которая бы </w:t>
      </w:r>
      <w:r w:rsidRPr="00EC1A78">
        <w:rPr>
          <w:rFonts w:eastAsiaTheme="minorHAnsi"/>
          <w:sz w:val="22"/>
          <w:szCs w:val="22"/>
          <w:lang w:eastAsia="en-US"/>
        </w:rPr>
        <w:lastRenderedPageBreak/>
        <w:t>давала свое оценочное заключение по поводу целесообразности принятия данного акта исходя из анализа правовой статистики и оценки возможных негативных последствий для общества, связа</w:t>
      </w:r>
      <w:r w:rsidRPr="00EC1A78">
        <w:rPr>
          <w:rFonts w:eastAsiaTheme="minorHAnsi"/>
          <w:sz w:val="22"/>
          <w:szCs w:val="22"/>
          <w:lang w:eastAsia="en-US"/>
        </w:rPr>
        <w:t>н</w:t>
      </w:r>
      <w:r w:rsidRPr="00EC1A78">
        <w:rPr>
          <w:rFonts w:eastAsiaTheme="minorHAnsi"/>
          <w:sz w:val="22"/>
          <w:szCs w:val="22"/>
          <w:lang w:eastAsia="en-US"/>
        </w:rPr>
        <w:t>ных с преступным поведением лиц, на действия которых будет ра</w:t>
      </w:r>
      <w:r w:rsidRPr="00EC1A78">
        <w:rPr>
          <w:rFonts w:eastAsiaTheme="minorHAnsi"/>
          <w:sz w:val="22"/>
          <w:szCs w:val="22"/>
          <w:lang w:eastAsia="en-US"/>
        </w:rPr>
        <w:t>с</w:t>
      </w:r>
      <w:r w:rsidRPr="00EC1A78">
        <w:rPr>
          <w:rFonts w:eastAsiaTheme="minorHAnsi"/>
          <w:sz w:val="22"/>
          <w:szCs w:val="22"/>
          <w:lang w:eastAsia="en-US"/>
        </w:rPr>
        <w:t>пространяться данный акт.</w:t>
      </w:r>
      <w:proofErr w:type="gramEnd"/>
    </w:p>
    <w:p w:rsidR="00560F00" w:rsidRPr="00EC1A78" w:rsidRDefault="00560F00" w:rsidP="006478C4">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Белоусова Е.А. Прекращение уголовного преследования в стадии предварительного расследования: Дис. ... канд. юрид. наук. СПб., 2004. С. 93.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Определение Конституционного Суда РФ от 15.01.2016 N 4–О «По жалобе гражданина Шефлера Юрия Викторовича на наруш</w:t>
      </w:r>
      <w:r w:rsidRPr="00EC1A78">
        <w:rPr>
          <w:rFonts w:eastAsiaTheme="minorHAnsi"/>
          <w:sz w:val="22"/>
          <w:szCs w:val="22"/>
          <w:lang w:eastAsia="en-US"/>
        </w:rPr>
        <w:t>е</w:t>
      </w:r>
      <w:r w:rsidRPr="00EC1A78">
        <w:rPr>
          <w:rFonts w:eastAsiaTheme="minorHAnsi"/>
          <w:sz w:val="22"/>
          <w:szCs w:val="22"/>
          <w:lang w:eastAsia="en-US"/>
        </w:rPr>
        <w:t>ние его конституционных прав пунктом 5 постановления Госуда</w:t>
      </w:r>
      <w:r w:rsidRPr="00EC1A78">
        <w:rPr>
          <w:rFonts w:eastAsiaTheme="minorHAnsi"/>
          <w:sz w:val="22"/>
          <w:szCs w:val="22"/>
          <w:lang w:eastAsia="en-US"/>
        </w:rPr>
        <w:t>р</w:t>
      </w:r>
      <w:r w:rsidRPr="00EC1A78">
        <w:rPr>
          <w:rFonts w:eastAsiaTheme="minorHAnsi"/>
          <w:sz w:val="22"/>
          <w:szCs w:val="22"/>
          <w:lang w:eastAsia="en-US"/>
        </w:rPr>
        <w:t>ственной Думы от 2 июля 2013 года N 2559–6 ГД «Об объявлении амнистии»// ЭПС «Система ГАРАНТ»</w:t>
      </w: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3. Скутина Е.В. Амнистия в уголовном судопроизводстве: Автореф. дис. …канд. юр. наук: 12.00.09 / Екатеринбург, 2008 г.</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633.854.78:631.559 (470.620)</w:t>
      </w:r>
    </w:p>
    <w:p w:rsidR="00EC1A78" w:rsidRPr="00EC1A78" w:rsidRDefault="00EC1A78" w:rsidP="00EC1A78">
      <w:pPr>
        <w:ind w:firstLine="425"/>
        <w:jc w:val="both"/>
        <w:rPr>
          <w:rFonts w:eastAsiaTheme="minorHAnsi"/>
          <w:sz w:val="22"/>
          <w:szCs w:val="22"/>
          <w:lang w:eastAsia="en-US"/>
        </w:rPr>
      </w:pPr>
    </w:p>
    <w:p w:rsidR="00EC1A78" w:rsidRPr="003A6F86" w:rsidRDefault="00EC1A78" w:rsidP="00EC1A78">
      <w:pPr>
        <w:ind w:firstLine="425"/>
        <w:jc w:val="center"/>
        <w:rPr>
          <w:rFonts w:eastAsiaTheme="minorHAnsi"/>
          <w:b/>
          <w:bCs/>
          <w:sz w:val="24"/>
          <w:szCs w:val="24"/>
          <w:lang w:eastAsia="en-US"/>
        </w:rPr>
      </w:pPr>
      <w:r w:rsidRPr="003A6F86">
        <w:rPr>
          <w:rFonts w:eastAsiaTheme="minorHAnsi"/>
          <w:b/>
          <w:bCs/>
          <w:sz w:val="24"/>
          <w:szCs w:val="24"/>
          <w:lang w:eastAsia="en-US"/>
        </w:rPr>
        <w:t xml:space="preserve">Основные направления деятельности </w:t>
      </w:r>
      <w:r w:rsidR="00560F00">
        <w:rPr>
          <w:rFonts w:eastAsiaTheme="minorHAnsi"/>
          <w:b/>
          <w:bCs/>
          <w:sz w:val="24"/>
          <w:szCs w:val="24"/>
          <w:lang w:eastAsia="en-US"/>
        </w:rPr>
        <w:br/>
      </w:r>
      <w:r w:rsidRPr="003A6F86">
        <w:rPr>
          <w:rFonts w:eastAsiaTheme="minorHAnsi"/>
          <w:b/>
          <w:bCs/>
          <w:sz w:val="24"/>
          <w:szCs w:val="24"/>
          <w:lang w:eastAsia="en-US"/>
        </w:rPr>
        <w:t>Общероссийской общественной организации «Ассоциации юристов России»</w:t>
      </w:r>
    </w:p>
    <w:p w:rsidR="00EC1A78" w:rsidRPr="003A6F86" w:rsidRDefault="00EC1A78" w:rsidP="00EC1A78">
      <w:pPr>
        <w:ind w:firstLine="425"/>
        <w:jc w:val="center"/>
        <w:rPr>
          <w:rFonts w:eastAsiaTheme="minorHAnsi"/>
          <w:sz w:val="24"/>
          <w:szCs w:val="24"/>
          <w:lang w:val="en-US" w:eastAsia="en-US"/>
        </w:rPr>
      </w:pPr>
      <w:r w:rsidRPr="003A6F86">
        <w:rPr>
          <w:rFonts w:eastAsiaTheme="minorHAnsi"/>
          <w:b/>
          <w:bCs/>
          <w:sz w:val="24"/>
          <w:szCs w:val="24"/>
          <w:lang w:val="en-US" w:eastAsia="en-US"/>
        </w:rPr>
        <w:t>The main activities of the All–Russian Public Organization «Association of Lawyers of Russia»</w:t>
      </w:r>
      <w:bookmarkStart w:id="15" w:name="tw-target-text"/>
      <w:bookmarkEnd w:id="15"/>
    </w:p>
    <w:p w:rsidR="00EC1A78" w:rsidRPr="003A6F86" w:rsidRDefault="00EC1A78" w:rsidP="00EC1A78">
      <w:pPr>
        <w:ind w:firstLine="425"/>
        <w:jc w:val="both"/>
        <w:rPr>
          <w:rFonts w:eastAsiaTheme="minorHAnsi"/>
          <w:sz w:val="24"/>
          <w:szCs w:val="24"/>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Евтушенко А.</w:t>
      </w:r>
      <w:r w:rsidR="003A6F86">
        <w:rPr>
          <w:rFonts w:eastAsiaTheme="minorHAnsi"/>
          <w:sz w:val="22"/>
          <w:szCs w:val="22"/>
          <w:lang w:eastAsia="en-US"/>
        </w:rPr>
        <w:t xml:space="preserve"> </w:t>
      </w:r>
      <w:r w:rsidRPr="00EC1A78">
        <w:rPr>
          <w:rFonts w:eastAsiaTheme="minorHAnsi"/>
          <w:sz w:val="22"/>
          <w:szCs w:val="22"/>
          <w:lang w:eastAsia="en-US"/>
        </w:rPr>
        <w:t>Э.,</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 4–го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Каленский П.</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кандидат юридических наук</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АННОТАЦИЯ: В данной статье затрагивается продуктивность работы Общероссийской общественной организации «Ассоциация </w:t>
      </w:r>
      <w:r w:rsidRPr="00EC1A78">
        <w:rPr>
          <w:rFonts w:eastAsiaTheme="minorHAnsi"/>
          <w:sz w:val="22"/>
          <w:szCs w:val="22"/>
          <w:lang w:eastAsia="en-US"/>
        </w:rPr>
        <w:lastRenderedPageBreak/>
        <w:t>юристов России». В рассматриваемой статье поднимаются наиболее важные направления деятельности соответствующей организации, которые предоставляются без сомнения безусловными и важными в настоящее время.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This article concerns the productivity of the All–Russian Public Organization «Association of Lawyers of Russia». In this article, the most important areas of activity of the relevant organization are raised, which are undoubtedly unconditional and important at the present time.</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общественные объединения, направл</w:t>
      </w:r>
      <w:r w:rsidRPr="00EC1A78">
        <w:rPr>
          <w:rFonts w:eastAsiaTheme="minorHAnsi"/>
          <w:sz w:val="22"/>
          <w:szCs w:val="22"/>
          <w:lang w:eastAsia="en-US"/>
        </w:rPr>
        <w:t>е</w:t>
      </w:r>
      <w:r w:rsidRPr="00EC1A78">
        <w:rPr>
          <w:rFonts w:eastAsiaTheme="minorHAnsi"/>
          <w:sz w:val="22"/>
          <w:szCs w:val="22"/>
          <w:lang w:eastAsia="en-US"/>
        </w:rPr>
        <w:t>ния деятельности, Ассоциация юристов России, развитие юридич</w:t>
      </w:r>
      <w:r w:rsidRPr="00EC1A78">
        <w:rPr>
          <w:rFonts w:eastAsiaTheme="minorHAnsi"/>
          <w:sz w:val="22"/>
          <w:szCs w:val="22"/>
          <w:lang w:eastAsia="en-US"/>
        </w:rPr>
        <w:t>е</w:t>
      </w:r>
      <w:r w:rsidRPr="00EC1A78">
        <w:rPr>
          <w:rFonts w:eastAsiaTheme="minorHAnsi"/>
          <w:sz w:val="22"/>
          <w:szCs w:val="22"/>
          <w:lang w:eastAsia="en-US"/>
        </w:rPr>
        <w:t>ского сообщества.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public associations, directions of activity, Associ</w:t>
      </w:r>
      <w:r w:rsidRPr="00EC1A78">
        <w:rPr>
          <w:rFonts w:eastAsiaTheme="minorHAnsi"/>
          <w:sz w:val="22"/>
          <w:szCs w:val="22"/>
          <w:lang w:val="en-US" w:eastAsia="en-US"/>
        </w:rPr>
        <w:t>a</w:t>
      </w:r>
      <w:r w:rsidRPr="00EC1A78">
        <w:rPr>
          <w:rFonts w:eastAsiaTheme="minorHAnsi"/>
          <w:sz w:val="22"/>
          <w:szCs w:val="22"/>
          <w:lang w:val="en-US" w:eastAsia="en-US"/>
        </w:rPr>
        <w:t>tion of Lawyers of Russia, development of the legal community.</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конце 2005 года произошло выдающееся событие в истории российского юридического сообщества. Так, 22 декабря 2005 года на Учредительном Съезде в Колонном зале Дома Союзов, 725 участников от всех субъектов Российской Федерации приняли р</w:t>
      </w:r>
      <w:r w:rsidRPr="00EC1A78">
        <w:rPr>
          <w:rFonts w:eastAsiaTheme="minorHAnsi"/>
          <w:sz w:val="22"/>
          <w:szCs w:val="22"/>
          <w:lang w:eastAsia="en-US"/>
        </w:rPr>
        <w:t>е</w:t>
      </w:r>
      <w:r w:rsidRPr="00EC1A78">
        <w:rPr>
          <w:rFonts w:eastAsiaTheme="minorHAnsi"/>
          <w:sz w:val="22"/>
          <w:szCs w:val="22"/>
          <w:lang w:eastAsia="en-US"/>
        </w:rPr>
        <w:t>шение об одобрении основных направлениях деятельности, созд</w:t>
      </w:r>
      <w:r w:rsidRPr="00EC1A78">
        <w:rPr>
          <w:rFonts w:eastAsiaTheme="minorHAnsi"/>
          <w:sz w:val="22"/>
          <w:szCs w:val="22"/>
          <w:lang w:eastAsia="en-US"/>
        </w:rPr>
        <w:t>а</w:t>
      </w:r>
      <w:r w:rsidRPr="00EC1A78">
        <w:rPr>
          <w:rFonts w:eastAsiaTheme="minorHAnsi"/>
          <w:sz w:val="22"/>
          <w:szCs w:val="22"/>
          <w:lang w:eastAsia="en-US"/>
        </w:rPr>
        <w:t>нии Общероссийской общественной организации «Ассоциация юристов России» и утверждении Устава организации[1].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Общероссийская общественная организация «Ассоциация юр</w:t>
      </w:r>
      <w:r w:rsidRPr="00EC1A78">
        <w:rPr>
          <w:rFonts w:eastAsiaTheme="minorHAnsi"/>
          <w:sz w:val="22"/>
          <w:szCs w:val="22"/>
          <w:lang w:eastAsia="en-US"/>
        </w:rPr>
        <w:t>и</w:t>
      </w:r>
      <w:r w:rsidRPr="00EC1A78">
        <w:rPr>
          <w:rFonts w:eastAsiaTheme="minorHAnsi"/>
          <w:sz w:val="22"/>
          <w:szCs w:val="22"/>
          <w:lang w:eastAsia="en-US"/>
        </w:rPr>
        <w:t>стов России» (именуемая в дальнейшем – «организация») является основанным на членстве добровольным самоуправляемым общ</w:t>
      </w:r>
      <w:r w:rsidRPr="00EC1A78">
        <w:rPr>
          <w:rFonts w:eastAsiaTheme="minorHAnsi"/>
          <w:sz w:val="22"/>
          <w:szCs w:val="22"/>
          <w:lang w:eastAsia="en-US"/>
        </w:rPr>
        <w:t>е</w:t>
      </w:r>
      <w:r w:rsidRPr="00EC1A78">
        <w:rPr>
          <w:rFonts w:eastAsiaTheme="minorHAnsi"/>
          <w:sz w:val="22"/>
          <w:szCs w:val="22"/>
          <w:lang w:eastAsia="en-US"/>
        </w:rPr>
        <w:t>ственным объединением, созданным по инициативе граждан, об</w:t>
      </w:r>
      <w:r w:rsidRPr="00EC1A78">
        <w:rPr>
          <w:rFonts w:eastAsiaTheme="minorHAnsi"/>
          <w:sz w:val="22"/>
          <w:szCs w:val="22"/>
          <w:lang w:eastAsia="en-US"/>
        </w:rPr>
        <w:t>ъ</w:t>
      </w:r>
      <w:r w:rsidRPr="00EC1A78">
        <w:rPr>
          <w:rFonts w:eastAsiaTheme="minorHAnsi"/>
          <w:sz w:val="22"/>
          <w:szCs w:val="22"/>
          <w:lang w:eastAsia="en-US"/>
        </w:rPr>
        <w:t>единившихся на основе общности интересов для реализации общих целей, определенных настоящим Уставом[2].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Проанализировав достаточный аспект научной и нормативно–правовой базы, выделяются основные направления деятельности данной организации: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Важнейшим аспектом деятельности является сотрудничество с государственными органами, общественными объединениями, международными правительственными и неправительственными организациямии для содействия в составление правовых проектов решаемых ряд проблем и вопросов, возникающих в современном обществе.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2. Осуществляет научную разработку программ, проводит ко</w:t>
      </w:r>
      <w:r w:rsidRPr="00EC1A78">
        <w:rPr>
          <w:rFonts w:eastAsiaTheme="minorHAnsi"/>
          <w:sz w:val="22"/>
          <w:szCs w:val="22"/>
          <w:lang w:eastAsia="en-US"/>
        </w:rPr>
        <w:t>н</w:t>
      </w:r>
      <w:r w:rsidRPr="00EC1A78">
        <w:rPr>
          <w:rFonts w:eastAsiaTheme="minorHAnsi"/>
          <w:sz w:val="22"/>
          <w:szCs w:val="22"/>
          <w:lang w:eastAsia="en-US"/>
        </w:rPr>
        <w:t>грессы, семинары, круглые столы, дискуссии, конференции, ра</w:t>
      </w:r>
      <w:r w:rsidRPr="00EC1A78">
        <w:rPr>
          <w:rFonts w:eastAsiaTheme="minorHAnsi"/>
          <w:sz w:val="22"/>
          <w:szCs w:val="22"/>
          <w:lang w:eastAsia="en-US"/>
        </w:rPr>
        <w:t>с</w:t>
      </w:r>
      <w:r w:rsidRPr="00EC1A78">
        <w:rPr>
          <w:rFonts w:eastAsiaTheme="minorHAnsi"/>
          <w:sz w:val="22"/>
          <w:szCs w:val="22"/>
          <w:lang w:eastAsia="en-US"/>
        </w:rPr>
        <w:t>сматривая актуальные проблемы развития и практики применения российского законодательства, раскрывая этим ясность и досту</w:t>
      </w:r>
      <w:r w:rsidRPr="00EC1A78">
        <w:rPr>
          <w:rFonts w:eastAsiaTheme="minorHAnsi"/>
          <w:sz w:val="22"/>
          <w:szCs w:val="22"/>
          <w:lang w:eastAsia="en-US"/>
        </w:rPr>
        <w:t>п</w:t>
      </w:r>
      <w:r w:rsidRPr="00EC1A78">
        <w:rPr>
          <w:rFonts w:eastAsiaTheme="minorHAnsi"/>
          <w:sz w:val="22"/>
          <w:szCs w:val="22"/>
          <w:lang w:eastAsia="en-US"/>
        </w:rPr>
        <w:t>ность содержания нормативно–правовой базы для всех и каждого. Таким действием, заполучает ожидаемое неуклонное исполнение и уважение к праву и закону от граждан, что является немало важным в нынешнее время.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Обрабатывая научно–обоснованные рекомендации по пр</w:t>
      </w:r>
      <w:r w:rsidRPr="00EC1A78">
        <w:rPr>
          <w:rFonts w:eastAsiaTheme="minorHAnsi"/>
          <w:sz w:val="22"/>
          <w:szCs w:val="22"/>
          <w:lang w:eastAsia="en-US"/>
        </w:rPr>
        <w:t>о</w:t>
      </w:r>
      <w:r w:rsidRPr="00EC1A78">
        <w:rPr>
          <w:rFonts w:eastAsiaTheme="minorHAnsi"/>
          <w:sz w:val="22"/>
          <w:szCs w:val="22"/>
          <w:lang w:eastAsia="en-US"/>
        </w:rPr>
        <w:t>блемным вопросам обеспечения защиты прав и законных интересов граждан, осуществляет мониторинг текущего прогнозирования пе</w:t>
      </w:r>
      <w:r w:rsidRPr="00EC1A78">
        <w:rPr>
          <w:rFonts w:eastAsiaTheme="minorHAnsi"/>
          <w:sz w:val="22"/>
          <w:szCs w:val="22"/>
          <w:lang w:eastAsia="en-US"/>
        </w:rPr>
        <w:t>р</w:t>
      </w:r>
      <w:r w:rsidRPr="00EC1A78">
        <w:rPr>
          <w:rFonts w:eastAsiaTheme="minorHAnsi"/>
          <w:sz w:val="22"/>
          <w:szCs w:val="22"/>
          <w:lang w:eastAsia="en-US"/>
        </w:rPr>
        <w:t>спективных потребностей, а также предварительную проработку существующих профессиональных и действенных подходов к раб</w:t>
      </w:r>
      <w:r w:rsidRPr="00EC1A78">
        <w:rPr>
          <w:rFonts w:eastAsiaTheme="minorHAnsi"/>
          <w:sz w:val="22"/>
          <w:szCs w:val="22"/>
          <w:lang w:eastAsia="en-US"/>
        </w:rPr>
        <w:t>о</w:t>
      </w:r>
      <w:r w:rsidRPr="00EC1A78">
        <w:rPr>
          <w:rFonts w:eastAsiaTheme="minorHAnsi"/>
          <w:sz w:val="22"/>
          <w:szCs w:val="22"/>
          <w:lang w:eastAsia="en-US"/>
        </w:rPr>
        <w:t>те, включая и международную арену, гарантирует обеспечение ед</w:t>
      </w:r>
      <w:r w:rsidRPr="00EC1A78">
        <w:rPr>
          <w:rFonts w:eastAsiaTheme="minorHAnsi"/>
          <w:sz w:val="22"/>
          <w:szCs w:val="22"/>
          <w:lang w:eastAsia="en-US"/>
        </w:rPr>
        <w:t>и</w:t>
      </w:r>
      <w:r w:rsidRPr="00EC1A78">
        <w:rPr>
          <w:rFonts w:eastAsiaTheme="minorHAnsi"/>
          <w:sz w:val="22"/>
          <w:szCs w:val="22"/>
          <w:lang w:eastAsia="en-US"/>
        </w:rPr>
        <w:t>ных стандартов юридической защищенности граждан на всей те</w:t>
      </w:r>
      <w:r w:rsidRPr="00EC1A78">
        <w:rPr>
          <w:rFonts w:eastAsiaTheme="minorHAnsi"/>
          <w:sz w:val="22"/>
          <w:szCs w:val="22"/>
          <w:lang w:eastAsia="en-US"/>
        </w:rPr>
        <w:t>р</w:t>
      </w:r>
      <w:r w:rsidRPr="00EC1A78">
        <w:rPr>
          <w:rFonts w:eastAsiaTheme="minorHAnsi"/>
          <w:sz w:val="22"/>
          <w:szCs w:val="22"/>
          <w:lang w:eastAsia="en-US"/>
        </w:rPr>
        <w:t>ритории страны.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Изучая опыт в области права различных стран, распростр</w:t>
      </w:r>
      <w:r w:rsidRPr="00EC1A78">
        <w:rPr>
          <w:rFonts w:eastAsiaTheme="minorHAnsi"/>
          <w:sz w:val="22"/>
          <w:szCs w:val="22"/>
          <w:lang w:eastAsia="en-US"/>
        </w:rPr>
        <w:t>а</w:t>
      </w:r>
      <w:r w:rsidRPr="00EC1A78">
        <w:rPr>
          <w:rFonts w:eastAsiaTheme="minorHAnsi"/>
          <w:sz w:val="22"/>
          <w:szCs w:val="22"/>
          <w:lang w:eastAsia="en-US"/>
        </w:rPr>
        <w:t>няет его на проведениях юридических консультациях, а также раз</w:t>
      </w:r>
      <w:r w:rsidRPr="00EC1A78">
        <w:rPr>
          <w:rFonts w:eastAsiaTheme="minorHAnsi"/>
          <w:sz w:val="22"/>
          <w:szCs w:val="22"/>
          <w:lang w:eastAsia="en-US"/>
        </w:rPr>
        <w:t>ъ</w:t>
      </w:r>
      <w:r w:rsidRPr="00EC1A78">
        <w:rPr>
          <w:rFonts w:eastAsiaTheme="minorHAnsi"/>
          <w:sz w:val="22"/>
          <w:szCs w:val="22"/>
          <w:lang w:eastAsia="en-US"/>
        </w:rPr>
        <w:t>ясняет действующее законодательство в доступной форме для граждан, оказывает консультативную и информационную помощь членам организации, что выражает действенные процедуры де</w:t>
      </w:r>
      <w:r w:rsidRPr="00EC1A78">
        <w:rPr>
          <w:rFonts w:eastAsiaTheme="minorHAnsi"/>
          <w:sz w:val="22"/>
          <w:szCs w:val="22"/>
          <w:lang w:eastAsia="en-US"/>
        </w:rPr>
        <w:t>я</w:t>
      </w:r>
      <w:r w:rsidRPr="00EC1A78">
        <w:rPr>
          <w:rFonts w:eastAsiaTheme="minorHAnsi"/>
          <w:sz w:val="22"/>
          <w:szCs w:val="22"/>
          <w:lang w:eastAsia="en-US"/>
        </w:rPr>
        <w:t>тельности по оказанию бесплатной юридической помощи насел</w:t>
      </w:r>
      <w:r w:rsidRPr="00EC1A78">
        <w:rPr>
          <w:rFonts w:eastAsiaTheme="minorHAnsi"/>
          <w:sz w:val="22"/>
          <w:szCs w:val="22"/>
          <w:lang w:eastAsia="en-US"/>
        </w:rPr>
        <w:t>е</w:t>
      </w:r>
      <w:r w:rsidRPr="00EC1A78">
        <w:rPr>
          <w:rFonts w:eastAsiaTheme="minorHAnsi"/>
          <w:sz w:val="22"/>
          <w:szCs w:val="22"/>
          <w:lang w:eastAsia="en-US"/>
        </w:rPr>
        <w:t>нию нашей страны.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Осуществляет и реализует информационную деятельность в электронных и печатных средствах массовой информации, инфо</w:t>
      </w:r>
      <w:r w:rsidRPr="00EC1A78">
        <w:rPr>
          <w:rFonts w:eastAsiaTheme="minorHAnsi"/>
          <w:sz w:val="22"/>
          <w:szCs w:val="22"/>
          <w:lang w:eastAsia="en-US"/>
        </w:rPr>
        <w:t>р</w:t>
      </w:r>
      <w:r w:rsidRPr="00EC1A78">
        <w:rPr>
          <w:rFonts w:eastAsiaTheme="minorHAnsi"/>
          <w:sz w:val="22"/>
          <w:szCs w:val="22"/>
          <w:lang w:eastAsia="en-US"/>
        </w:rPr>
        <w:t>мационных сетях придавая при этом огромное значение вопросам соотношения морали, нравственности и права, отстаивая их ва</w:t>
      </w:r>
      <w:r w:rsidRPr="00EC1A78">
        <w:rPr>
          <w:rFonts w:eastAsiaTheme="minorHAnsi"/>
          <w:sz w:val="22"/>
          <w:szCs w:val="22"/>
          <w:lang w:eastAsia="en-US"/>
        </w:rPr>
        <w:t>ж</w:t>
      </w:r>
      <w:r w:rsidRPr="00EC1A78">
        <w:rPr>
          <w:rFonts w:eastAsiaTheme="minorHAnsi"/>
          <w:sz w:val="22"/>
          <w:szCs w:val="22"/>
          <w:lang w:eastAsia="en-US"/>
        </w:rPr>
        <w:t>ность в правовой и законодательной области.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6. Не малое значения для весомого повышения качества де</w:t>
      </w:r>
      <w:r w:rsidRPr="00EC1A78">
        <w:rPr>
          <w:rFonts w:eastAsiaTheme="minorHAnsi"/>
          <w:sz w:val="22"/>
          <w:szCs w:val="22"/>
          <w:lang w:eastAsia="en-US"/>
        </w:rPr>
        <w:t>я</w:t>
      </w:r>
      <w:r w:rsidRPr="00EC1A78">
        <w:rPr>
          <w:rFonts w:eastAsiaTheme="minorHAnsi"/>
          <w:sz w:val="22"/>
          <w:szCs w:val="22"/>
          <w:lang w:eastAsia="en-US"/>
        </w:rPr>
        <w:t>тельности имеет определенное участие в конкурсах на получение государственной поддержки.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из выше изложенного следует, что Общеро</w:t>
      </w:r>
      <w:r w:rsidRPr="00EC1A78">
        <w:rPr>
          <w:rFonts w:eastAsiaTheme="minorHAnsi"/>
          <w:sz w:val="22"/>
          <w:szCs w:val="22"/>
          <w:lang w:eastAsia="en-US"/>
        </w:rPr>
        <w:t>с</w:t>
      </w:r>
      <w:r w:rsidRPr="00EC1A78">
        <w:rPr>
          <w:rFonts w:eastAsiaTheme="minorHAnsi"/>
          <w:sz w:val="22"/>
          <w:szCs w:val="22"/>
          <w:lang w:eastAsia="en-US"/>
        </w:rPr>
        <w:t>сийская общественная организация «Ассоциация юристов России» являясь наиболее крупным межкорпоративным объединением юр</w:t>
      </w:r>
      <w:r w:rsidRPr="00EC1A78">
        <w:rPr>
          <w:rFonts w:eastAsiaTheme="minorHAnsi"/>
          <w:sz w:val="22"/>
          <w:szCs w:val="22"/>
          <w:lang w:eastAsia="en-US"/>
        </w:rPr>
        <w:t>и</w:t>
      </w:r>
      <w:r w:rsidRPr="00EC1A78">
        <w:rPr>
          <w:rFonts w:eastAsiaTheme="minorHAnsi"/>
          <w:sz w:val="22"/>
          <w:szCs w:val="22"/>
          <w:lang w:eastAsia="en-US"/>
        </w:rPr>
        <w:t>стов в Российской Федерации, на сегодняшний день эффективно преодолевает существующие ведомственные разобщенности и ко</w:t>
      </w:r>
      <w:r w:rsidRPr="00EC1A78">
        <w:rPr>
          <w:rFonts w:eastAsiaTheme="minorHAnsi"/>
          <w:sz w:val="22"/>
          <w:szCs w:val="22"/>
          <w:lang w:eastAsia="en-US"/>
        </w:rPr>
        <w:t>н</w:t>
      </w:r>
      <w:r w:rsidRPr="00EC1A78">
        <w:rPr>
          <w:rFonts w:eastAsiaTheme="minorHAnsi"/>
          <w:sz w:val="22"/>
          <w:szCs w:val="22"/>
          <w:lang w:eastAsia="en-US"/>
        </w:rPr>
        <w:t>солидации юридической общественности страны. Продуктивность деятельности определяет благоприятный рост в решение значител</w:t>
      </w:r>
      <w:r w:rsidRPr="00EC1A78">
        <w:rPr>
          <w:rFonts w:eastAsiaTheme="minorHAnsi"/>
          <w:sz w:val="22"/>
          <w:szCs w:val="22"/>
          <w:lang w:eastAsia="en-US"/>
        </w:rPr>
        <w:t>ь</w:t>
      </w:r>
      <w:r w:rsidRPr="00EC1A78">
        <w:rPr>
          <w:rFonts w:eastAsiaTheme="minorHAnsi"/>
          <w:sz w:val="22"/>
          <w:szCs w:val="22"/>
          <w:lang w:eastAsia="en-US"/>
        </w:rPr>
        <w:lastRenderedPageBreak/>
        <w:t>ного круга вопросов поступающих при оказании бесплатной юр</w:t>
      </w:r>
      <w:r w:rsidRPr="00EC1A78">
        <w:rPr>
          <w:rFonts w:eastAsiaTheme="minorHAnsi"/>
          <w:sz w:val="22"/>
          <w:szCs w:val="22"/>
          <w:lang w:eastAsia="en-US"/>
        </w:rPr>
        <w:t>и</w:t>
      </w:r>
      <w:r w:rsidRPr="00EC1A78">
        <w:rPr>
          <w:rFonts w:eastAsiaTheme="minorHAnsi"/>
          <w:sz w:val="22"/>
          <w:szCs w:val="22"/>
          <w:lang w:eastAsia="en-US"/>
        </w:rPr>
        <w:t>дической помощи. Из этого следует, что существование данной о</w:t>
      </w:r>
      <w:r w:rsidRPr="00EC1A78">
        <w:rPr>
          <w:rFonts w:eastAsiaTheme="minorHAnsi"/>
          <w:sz w:val="22"/>
          <w:szCs w:val="22"/>
          <w:lang w:eastAsia="en-US"/>
        </w:rPr>
        <w:t>р</w:t>
      </w:r>
      <w:r w:rsidRPr="00EC1A78">
        <w:rPr>
          <w:rFonts w:eastAsiaTheme="minorHAnsi"/>
          <w:sz w:val="22"/>
          <w:szCs w:val="22"/>
          <w:lang w:eastAsia="en-US"/>
        </w:rPr>
        <w:t>ганизации занимает определенно важное место в правовой культуре общества.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val="en-US" w:eastAsia="en-US"/>
        </w:rPr>
        <w:t>C</w:t>
      </w:r>
      <w:r w:rsidRPr="00EC1A78">
        <w:rPr>
          <w:rFonts w:eastAsiaTheme="minorHAnsi"/>
          <w:sz w:val="22"/>
          <w:szCs w:val="22"/>
          <w:lang w:eastAsia="en-US"/>
        </w:rPr>
        <w:t>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1. </w:t>
      </w:r>
      <w:r w:rsidRPr="00EC1A78">
        <w:rPr>
          <w:rFonts w:eastAsiaTheme="minorHAnsi"/>
          <w:sz w:val="22"/>
          <w:szCs w:val="22"/>
          <w:lang w:val="en-US" w:eastAsia="en-US"/>
        </w:rPr>
        <w:t>URL</w:t>
      </w:r>
      <w:r w:rsidRPr="00EC1A78">
        <w:rPr>
          <w:rFonts w:eastAsiaTheme="minorHAnsi"/>
          <w:sz w:val="22"/>
          <w:szCs w:val="22"/>
          <w:lang w:eastAsia="en-US"/>
        </w:rPr>
        <w:t xml:space="preserve">: </w:t>
      </w:r>
      <w:r w:rsidRPr="00EC1A78">
        <w:rPr>
          <w:rFonts w:eastAsiaTheme="minorHAnsi"/>
          <w:sz w:val="22"/>
          <w:szCs w:val="22"/>
          <w:lang w:val="en-US" w:eastAsia="en-US"/>
        </w:rPr>
        <w:t>https</w:t>
      </w:r>
      <w:r w:rsidRPr="00EC1A78">
        <w:rPr>
          <w:rFonts w:eastAsiaTheme="minorHAnsi"/>
          <w:sz w:val="22"/>
          <w:szCs w:val="22"/>
          <w:lang w:eastAsia="en-US"/>
        </w:rPr>
        <w:t>://</w:t>
      </w:r>
      <w:r w:rsidRPr="00EC1A78">
        <w:rPr>
          <w:rFonts w:eastAsiaTheme="minorHAnsi"/>
          <w:sz w:val="22"/>
          <w:szCs w:val="22"/>
          <w:lang w:val="en-US" w:eastAsia="en-US"/>
        </w:rPr>
        <w:t>cyberleninka</w:t>
      </w:r>
      <w:r w:rsidRPr="00EC1A78">
        <w:rPr>
          <w:rFonts w:eastAsiaTheme="minorHAnsi"/>
          <w:sz w:val="22"/>
          <w:szCs w:val="22"/>
          <w:lang w:eastAsia="en-US"/>
        </w:rPr>
        <w:t>.</w:t>
      </w:r>
      <w:r w:rsidRPr="00EC1A78">
        <w:rPr>
          <w:rFonts w:eastAsiaTheme="minorHAnsi"/>
          <w:sz w:val="22"/>
          <w:szCs w:val="22"/>
          <w:lang w:val="en-US" w:eastAsia="en-US"/>
        </w:rPr>
        <w:t>ru</w:t>
      </w:r>
      <w:r w:rsidRPr="00EC1A78">
        <w:rPr>
          <w:rFonts w:eastAsiaTheme="minorHAnsi"/>
          <w:sz w:val="22"/>
          <w:szCs w:val="22"/>
          <w:lang w:eastAsia="en-US"/>
        </w:rPr>
        <w:t>/</w:t>
      </w:r>
      <w:r w:rsidRPr="00EC1A78">
        <w:rPr>
          <w:rFonts w:eastAsiaTheme="minorHAnsi"/>
          <w:sz w:val="22"/>
          <w:szCs w:val="22"/>
          <w:lang w:val="en-US" w:eastAsia="en-US"/>
        </w:rPr>
        <w:t>article</w:t>
      </w:r>
      <w:r w:rsidRPr="00EC1A78">
        <w:rPr>
          <w:rFonts w:eastAsiaTheme="minorHAnsi"/>
          <w:sz w:val="22"/>
          <w:szCs w:val="22"/>
          <w:lang w:eastAsia="en-US"/>
        </w:rPr>
        <w:t>/</w:t>
      </w:r>
      <w:r w:rsidRPr="00EC1A78">
        <w:rPr>
          <w:rFonts w:eastAsiaTheme="minorHAnsi"/>
          <w:sz w:val="22"/>
          <w:szCs w:val="22"/>
          <w:lang w:val="en-US" w:eastAsia="en-US"/>
        </w:rPr>
        <w:t>n</w:t>
      </w:r>
      <w:r w:rsidRPr="00EC1A78">
        <w:rPr>
          <w:rFonts w:eastAsiaTheme="minorHAnsi"/>
          <w:sz w:val="22"/>
          <w:szCs w:val="22"/>
          <w:lang w:eastAsia="en-US"/>
        </w:rPr>
        <w:t>/</w:t>
      </w:r>
      <w:r w:rsidRPr="00EC1A78">
        <w:rPr>
          <w:rFonts w:eastAsiaTheme="minorHAnsi"/>
          <w:sz w:val="22"/>
          <w:szCs w:val="22"/>
          <w:lang w:val="en-US" w:eastAsia="en-US"/>
        </w:rPr>
        <w:t>assotsiatsiya</w:t>
      </w:r>
      <w:r w:rsidRPr="00EC1A78">
        <w:rPr>
          <w:rFonts w:eastAsiaTheme="minorHAnsi"/>
          <w:sz w:val="22"/>
          <w:szCs w:val="22"/>
          <w:lang w:eastAsia="en-US"/>
        </w:rPr>
        <w:t>–</w:t>
      </w:r>
      <w:r w:rsidRPr="00EC1A78">
        <w:rPr>
          <w:rFonts w:eastAsiaTheme="minorHAnsi"/>
          <w:sz w:val="22"/>
          <w:szCs w:val="22"/>
          <w:lang w:val="en-US" w:eastAsia="en-US"/>
        </w:rPr>
        <w:t>yuristov</w:t>
      </w:r>
      <w:r w:rsidRPr="00EC1A78">
        <w:rPr>
          <w:rFonts w:eastAsiaTheme="minorHAnsi"/>
          <w:sz w:val="22"/>
          <w:szCs w:val="22"/>
          <w:lang w:eastAsia="en-US"/>
        </w:rPr>
        <w:t>–</w:t>
      </w:r>
      <w:r w:rsidRPr="00EC1A78">
        <w:rPr>
          <w:rFonts w:eastAsiaTheme="minorHAnsi"/>
          <w:sz w:val="22"/>
          <w:szCs w:val="22"/>
          <w:lang w:val="en-US" w:eastAsia="en-US"/>
        </w:rPr>
        <w:t>rossii</w:t>
      </w:r>
      <w:r w:rsidRPr="00EC1A78">
        <w:rPr>
          <w:rFonts w:eastAsiaTheme="minorHAnsi"/>
          <w:sz w:val="22"/>
          <w:szCs w:val="22"/>
          <w:lang w:eastAsia="en-US"/>
        </w:rPr>
        <w:t>–</w:t>
      </w:r>
      <w:r w:rsidRPr="00EC1A78">
        <w:rPr>
          <w:rFonts w:eastAsiaTheme="minorHAnsi"/>
          <w:sz w:val="22"/>
          <w:szCs w:val="22"/>
          <w:lang w:val="en-US" w:eastAsia="en-US"/>
        </w:rPr>
        <w:t>istoriya</w:t>
      </w:r>
      <w:r w:rsidRPr="00EC1A78">
        <w:rPr>
          <w:rFonts w:eastAsiaTheme="minorHAnsi"/>
          <w:sz w:val="22"/>
          <w:szCs w:val="22"/>
          <w:lang w:eastAsia="en-US"/>
        </w:rPr>
        <w:t>–</w:t>
      </w:r>
      <w:r w:rsidRPr="00EC1A78">
        <w:rPr>
          <w:rFonts w:eastAsiaTheme="minorHAnsi"/>
          <w:sz w:val="22"/>
          <w:szCs w:val="22"/>
          <w:lang w:val="en-US" w:eastAsia="en-US"/>
        </w:rPr>
        <w:t>sozdaniya</w:t>
      </w:r>
      <w:r w:rsidRPr="00EC1A78">
        <w:rPr>
          <w:rFonts w:eastAsiaTheme="minorHAnsi"/>
          <w:sz w:val="22"/>
          <w:szCs w:val="22"/>
          <w:lang w:eastAsia="en-US"/>
        </w:rPr>
        <w:t>–</w:t>
      </w:r>
      <w:r w:rsidRPr="00EC1A78">
        <w:rPr>
          <w:rFonts w:eastAsiaTheme="minorHAnsi"/>
          <w:sz w:val="22"/>
          <w:szCs w:val="22"/>
          <w:lang w:val="en-US" w:eastAsia="en-US"/>
        </w:rPr>
        <w:t>i</w:t>
      </w:r>
      <w:r w:rsidRPr="00EC1A78">
        <w:rPr>
          <w:rFonts w:eastAsiaTheme="minorHAnsi"/>
          <w:sz w:val="22"/>
          <w:szCs w:val="22"/>
          <w:lang w:eastAsia="en-US"/>
        </w:rPr>
        <w:t>–</w:t>
      </w:r>
      <w:r w:rsidRPr="00EC1A78">
        <w:rPr>
          <w:rFonts w:eastAsiaTheme="minorHAnsi"/>
          <w:sz w:val="22"/>
          <w:szCs w:val="22"/>
          <w:lang w:val="en-US" w:eastAsia="en-US"/>
        </w:rPr>
        <w:t>osobennosti</w:t>
      </w:r>
      <w:r w:rsidRPr="00EC1A78">
        <w:rPr>
          <w:rFonts w:eastAsiaTheme="minorHAnsi"/>
          <w:sz w:val="22"/>
          <w:szCs w:val="22"/>
          <w:lang w:eastAsia="en-US"/>
        </w:rPr>
        <w:t>–</w:t>
      </w:r>
      <w:r w:rsidRPr="00EC1A78">
        <w:rPr>
          <w:rFonts w:eastAsiaTheme="minorHAnsi"/>
          <w:sz w:val="22"/>
          <w:szCs w:val="22"/>
          <w:lang w:val="en-US" w:eastAsia="en-US"/>
        </w:rPr>
        <w:t>pravovogo</w:t>
      </w:r>
      <w:r w:rsidRPr="00EC1A78">
        <w:rPr>
          <w:rFonts w:eastAsiaTheme="minorHAnsi"/>
          <w:sz w:val="22"/>
          <w:szCs w:val="22"/>
          <w:lang w:eastAsia="en-US"/>
        </w:rPr>
        <w:t>–</w:t>
      </w:r>
      <w:r w:rsidRPr="00EC1A78">
        <w:rPr>
          <w:rFonts w:eastAsiaTheme="minorHAnsi"/>
          <w:sz w:val="22"/>
          <w:szCs w:val="22"/>
          <w:lang w:val="en-US" w:eastAsia="en-US"/>
        </w:rPr>
        <w:t>statusa</w:t>
      </w:r>
      <w:r w:rsidRPr="00EC1A78">
        <w:rPr>
          <w:rFonts w:eastAsiaTheme="minorHAnsi"/>
          <w:sz w:val="22"/>
          <w:szCs w:val="22"/>
          <w:lang w:eastAsia="en-US"/>
        </w:rPr>
        <w:t>.</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Устав Общероссийской общественной организации «Асс</w:t>
      </w:r>
      <w:r w:rsidRPr="00EC1A78">
        <w:rPr>
          <w:rFonts w:eastAsiaTheme="minorHAnsi"/>
          <w:sz w:val="22"/>
          <w:szCs w:val="22"/>
          <w:lang w:eastAsia="en-US"/>
        </w:rPr>
        <w:t>о</w:t>
      </w:r>
      <w:r w:rsidRPr="00EC1A78">
        <w:rPr>
          <w:rFonts w:eastAsiaTheme="minorHAnsi"/>
          <w:sz w:val="22"/>
          <w:szCs w:val="22"/>
          <w:lang w:eastAsia="en-US"/>
        </w:rPr>
        <w:t xml:space="preserve">циация юристов России» от 22.12.2005 (ред от 3.12.2016) </w:t>
      </w:r>
      <w:r w:rsidRPr="00EC1A78">
        <w:rPr>
          <w:rFonts w:eastAsiaTheme="minorHAnsi"/>
          <w:sz w:val="22"/>
          <w:szCs w:val="22"/>
          <w:lang w:val="en-US" w:eastAsia="en-US"/>
        </w:rPr>
        <w:t>URL</w:t>
      </w:r>
      <w:r w:rsidRPr="00EC1A78">
        <w:rPr>
          <w:rFonts w:eastAsiaTheme="minorHAnsi"/>
          <w:sz w:val="22"/>
          <w:szCs w:val="22"/>
          <w:lang w:eastAsia="en-US"/>
        </w:rPr>
        <w:t>: http://alrf.ru/upload/doc/Устав–2016–новая–редакция.pdf.</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343.98.067</w:t>
      </w:r>
    </w:p>
    <w:p w:rsidR="00EC1A78" w:rsidRPr="00EC1A78" w:rsidRDefault="00EC1A78" w:rsidP="00EC1A78">
      <w:pPr>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b/>
          <w:sz w:val="24"/>
          <w:szCs w:val="24"/>
          <w:lang w:eastAsia="en-US"/>
        </w:rPr>
        <w:t>Уголовная ответст</w:t>
      </w:r>
      <w:r w:rsidR="003A6F86">
        <w:rPr>
          <w:rFonts w:eastAsiaTheme="minorHAnsi"/>
          <w:b/>
          <w:sz w:val="24"/>
          <w:szCs w:val="24"/>
          <w:lang w:eastAsia="en-US"/>
        </w:rPr>
        <w:t>венность за неоказание</w:t>
      </w:r>
      <w:r w:rsidR="003A6F86">
        <w:rPr>
          <w:rFonts w:eastAsiaTheme="minorHAnsi"/>
          <w:b/>
          <w:sz w:val="24"/>
          <w:szCs w:val="24"/>
          <w:lang w:eastAsia="en-US"/>
        </w:rPr>
        <w:br/>
        <w:t xml:space="preserve"> помощи </w:t>
      </w:r>
      <w:r w:rsidRPr="00EC1A78">
        <w:rPr>
          <w:rFonts w:eastAsiaTheme="minorHAnsi"/>
          <w:b/>
          <w:sz w:val="24"/>
          <w:szCs w:val="24"/>
          <w:lang w:eastAsia="en-US"/>
        </w:rPr>
        <w:t>лицу</w:t>
      </w:r>
      <w:r w:rsidRPr="00EC1A78">
        <w:rPr>
          <w:rFonts w:eastAsiaTheme="minorHAnsi"/>
          <w:sz w:val="22"/>
          <w:szCs w:val="22"/>
          <w:lang w:eastAsia="en-US"/>
        </w:rPr>
        <w:t xml:space="preserve"> </w:t>
      </w:r>
    </w:p>
    <w:p w:rsidR="00EC1A78" w:rsidRPr="00E62E4B" w:rsidRDefault="00EC1A78" w:rsidP="00EC1A78">
      <w:pPr>
        <w:ind w:firstLine="425"/>
        <w:jc w:val="center"/>
        <w:rPr>
          <w:rFonts w:eastAsiaTheme="minorHAnsi"/>
          <w:b/>
          <w:sz w:val="24"/>
          <w:szCs w:val="24"/>
          <w:lang w:val="en-US" w:eastAsia="en-US"/>
        </w:rPr>
      </w:pPr>
      <w:r w:rsidRPr="00EC1A78">
        <w:rPr>
          <w:rFonts w:eastAsiaTheme="minorHAnsi"/>
          <w:b/>
          <w:sz w:val="24"/>
          <w:szCs w:val="24"/>
          <w:lang w:val="en-US" w:eastAsia="en-US"/>
        </w:rPr>
        <w:t>Criminal</w:t>
      </w:r>
      <w:r w:rsidRPr="00E62E4B">
        <w:rPr>
          <w:rFonts w:eastAsiaTheme="minorHAnsi"/>
          <w:b/>
          <w:sz w:val="24"/>
          <w:szCs w:val="24"/>
          <w:lang w:val="en-US" w:eastAsia="en-US"/>
        </w:rPr>
        <w:t xml:space="preserve"> </w:t>
      </w:r>
      <w:r w:rsidRPr="00EC1A78">
        <w:rPr>
          <w:rFonts w:eastAsiaTheme="minorHAnsi"/>
          <w:b/>
          <w:sz w:val="24"/>
          <w:szCs w:val="24"/>
          <w:lang w:val="en-US" w:eastAsia="en-US"/>
        </w:rPr>
        <w:t>liability</w:t>
      </w:r>
      <w:r w:rsidRPr="00E62E4B">
        <w:rPr>
          <w:rFonts w:eastAsiaTheme="minorHAnsi"/>
          <w:b/>
          <w:sz w:val="24"/>
          <w:szCs w:val="24"/>
          <w:lang w:val="en-US" w:eastAsia="en-US"/>
        </w:rPr>
        <w:t xml:space="preserve"> </w:t>
      </w:r>
      <w:r w:rsidRPr="00EC1A78">
        <w:rPr>
          <w:rFonts w:eastAsiaTheme="minorHAnsi"/>
          <w:b/>
          <w:sz w:val="24"/>
          <w:szCs w:val="24"/>
          <w:lang w:val="en-US" w:eastAsia="en-US"/>
        </w:rPr>
        <w:t>for</w:t>
      </w:r>
      <w:r w:rsidRPr="00E62E4B">
        <w:rPr>
          <w:rFonts w:eastAsiaTheme="minorHAnsi"/>
          <w:b/>
          <w:sz w:val="24"/>
          <w:szCs w:val="24"/>
          <w:lang w:val="en-US" w:eastAsia="en-US"/>
        </w:rPr>
        <w:t xml:space="preserve"> </w:t>
      </w:r>
      <w:r w:rsidRPr="00EC1A78">
        <w:rPr>
          <w:rFonts w:eastAsiaTheme="minorHAnsi"/>
          <w:b/>
          <w:sz w:val="24"/>
          <w:szCs w:val="24"/>
          <w:lang w:val="en-US" w:eastAsia="en-US"/>
        </w:rPr>
        <w:t>failure</w:t>
      </w:r>
      <w:r w:rsidRPr="00E62E4B">
        <w:rPr>
          <w:rFonts w:eastAsiaTheme="minorHAnsi"/>
          <w:b/>
          <w:sz w:val="24"/>
          <w:szCs w:val="24"/>
          <w:lang w:val="en-US" w:eastAsia="en-US"/>
        </w:rPr>
        <w:t xml:space="preserve"> </w:t>
      </w:r>
      <w:r w:rsidRPr="00EC1A78">
        <w:rPr>
          <w:rFonts w:eastAsiaTheme="minorHAnsi"/>
          <w:b/>
          <w:sz w:val="24"/>
          <w:szCs w:val="24"/>
          <w:lang w:val="en-US" w:eastAsia="en-US"/>
        </w:rPr>
        <w:t>to</w:t>
      </w:r>
      <w:r w:rsidRPr="00E62E4B">
        <w:rPr>
          <w:rFonts w:eastAsiaTheme="minorHAnsi"/>
          <w:b/>
          <w:sz w:val="24"/>
          <w:szCs w:val="24"/>
          <w:lang w:val="en-US" w:eastAsia="en-US"/>
        </w:rPr>
        <w:t xml:space="preserve"> </w:t>
      </w:r>
      <w:r w:rsidRPr="00EC1A78">
        <w:rPr>
          <w:rFonts w:eastAsiaTheme="minorHAnsi"/>
          <w:b/>
          <w:sz w:val="24"/>
          <w:szCs w:val="24"/>
          <w:lang w:val="en-US" w:eastAsia="en-US"/>
        </w:rPr>
        <w:t>provide</w:t>
      </w:r>
      <w:r w:rsidRPr="00E62E4B">
        <w:rPr>
          <w:rFonts w:eastAsiaTheme="minorHAnsi"/>
          <w:b/>
          <w:sz w:val="24"/>
          <w:szCs w:val="24"/>
          <w:lang w:val="en-US" w:eastAsia="en-US"/>
        </w:rPr>
        <w:t xml:space="preserve"> </w:t>
      </w:r>
      <w:r w:rsidRPr="00EC1A78">
        <w:rPr>
          <w:rFonts w:eastAsiaTheme="minorHAnsi"/>
          <w:b/>
          <w:sz w:val="24"/>
          <w:szCs w:val="24"/>
          <w:lang w:val="en-US" w:eastAsia="en-US"/>
        </w:rPr>
        <w:t>assistance</w:t>
      </w:r>
      <w:r w:rsidRPr="00E62E4B">
        <w:rPr>
          <w:rFonts w:eastAsiaTheme="minorHAnsi"/>
          <w:b/>
          <w:sz w:val="24"/>
          <w:szCs w:val="24"/>
          <w:lang w:val="en-US" w:eastAsia="en-US"/>
        </w:rPr>
        <w:t xml:space="preserve"> </w:t>
      </w:r>
    </w:p>
    <w:p w:rsidR="00EC1A78" w:rsidRPr="00E62E4B" w:rsidRDefault="00EC1A78" w:rsidP="00EC1A78">
      <w:pPr>
        <w:ind w:firstLine="425"/>
        <w:jc w:val="center"/>
        <w:rPr>
          <w:rFonts w:eastAsiaTheme="minorHAnsi"/>
          <w:b/>
          <w:sz w:val="24"/>
          <w:szCs w:val="24"/>
          <w:lang w:val="en-US" w:eastAsia="en-US"/>
        </w:rPr>
      </w:pPr>
      <w:r w:rsidRPr="00EC1A78">
        <w:rPr>
          <w:rFonts w:eastAsiaTheme="minorHAnsi"/>
          <w:b/>
          <w:sz w:val="24"/>
          <w:szCs w:val="24"/>
          <w:lang w:val="en-US" w:eastAsia="en-US"/>
        </w:rPr>
        <w:t>to</w:t>
      </w:r>
      <w:r w:rsidRPr="00E62E4B">
        <w:rPr>
          <w:rFonts w:eastAsiaTheme="minorHAnsi"/>
          <w:b/>
          <w:sz w:val="24"/>
          <w:szCs w:val="24"/>
          <w:lang w:val="en-US" w:eastAsia="en-US"/>
        </w:rPr>
        <w:t xml:space="preserve"> </w:t>
      </w:r>
      <w:r w:rsidRPr="00EC1A78">
        <w:rPr>
          <w:rFonts w:eastAsiaTheme="minorHAnsi"/>
          <w:b/>
          <w:sz w:val="24"/>
          <w:szCs w:val="24"/>
          <w:lang w:val="en-US" w:eastAsia="en-US"/>
        </w:rPr>
        <w:t>a</w:t>
      </w:r>
      <w:r w:rsidRPr="00E62E4B">
        <w:rPr>
          <w:rFonts w:eastAsiaTheme="minorHAnsi"/>
          <w:b/>
          <w:sz w:val="24"/>
          <w:szCs w:val="24"/>
          <w:lang w:val="en-US" w:eastAsia="en-US"/>
        </w:rPr>
        <w:t xml:space="preserve"> </w:t>
      </w:r>
      <w:r w:rsidRPr="00EC1A78">
        <w:rPr>
          <w:rFonts w:eastAsiaTheme="minorHAnsi"/>
          <w:b/>
          <w:sz w:val="24"/>
          <w:szCs w:val="24"/>
          <w:lang w:val="en-US" w:eastAsia="en-US"/>
        </w:rPr>
        <w:t>person</w:t>
      </w:r>
    </w:p>
    <w:p w:rsidR="00EC1A78" w:rsidRPr="00E62E4B" w:rsidRDefault="00EC1A78" w:rsidP="00EC1A78">
      <w:pPr>
        <w:ind w:firstLine="425"/>
        <w:jc w:val="center"/>
        <w:rPr>
          <w:rFonts w:eastAsiaTheme="minorHAnsi"/>
          <w:b/>
          <w:sz w:val="24"/>
          <w:szCs w:val="24"/>
          <w:lang w:val="en-US" w:eastAsia="en-US"/>
        </w:rPr>
      </w:pPr>
    </w:p>
    <w:p w:rsidR="00EC1A78" w:rsidRPr="00E62E4B" w:rsidRDefault="00EC1A78" w:rsidP="00EC1A78">
      <w:pPr>
        <w:jc w:val="right"/>
        <w:rPr>
          <w:rFonts w:eastAsiaTheme="minorHAnsi"/>
          <w:sz w:val="22"/>
          <w:szCs w:val="22"/>
          <w:lang w:val="en-US" w:eastAsia="en-US"/>
        </w:rPr>
      </w:pPr>
      <w:r w:rsidRPr="00EC1A78">
        <w:rPr>
          <w:rFonts w:eastAsiaTheme="minorHAnsi"/>
          <w:sz w:val="22"/>
          <w:szCs w:val="22"/>
          <w:lang w:eastAsia="en-US"/>
        </w:rPr>
        <w:t>Жаркова</w:t>
      </w:r>
      <w:r w:rsidRPr="00E62E4B">
        <w:rPr>
          <w:rFonts w:eastAsiaTheme="minorHAnsi"/>
          <w:sz w:val="22"/>
          <w:szCs w:val="22"/>
          <w:lang w:val="en-US" w:eastAsia="en-US"/>
        </w:rPr>
        <w:t xml:space="preserve"> </w:t>
      </w:r>
      <w:r w:rsidRPr="00EC1A78">
        <w:rPr>
          <w:rFonts w:eastAsiaTheme="minorHAnsi"/>
          <w:sz w:val="22"/>
          <w:szCs w:val="22"/>
          <w:lang w:eastAsia="en-US"/>
        </w:rPr>
        <w:t>Н</w:t>
      </w:r>
      <w:r w:rsidRPr="00E62E4B">
        <w:rPr>
          <w:rFonts w:eastAsiaTheme="minorHAnsi"/>
          <w:sz w:val="22"/>
          <w:szCs w:val="22"/>
          <w:lang w:val="en-US" w:eastAsia="en-US"/>
        </w:rPr>
        <w:t>.</w:t>
      </w:r>
      <w:r w:rsidR="003A6F86" w:rsidRPr="00E62E4B">
        <w:rPr>
          <w:rFonts w:eastAsiaTheme="minorHAnsi"/>
          <w:sz w:val="22"/>
          <w:szCs w:val="22"/>
          <w:lang w:val="en-US" w:eastAsia="en-US"/>
        </w:rPr>
        <w:t xml:space="preserve"> </w:t>
      </w:r>
      <w:r w:rsidRPr="00EC1A78">
        <w:rPr>
          <w:rFonts w:eastAsiaTheme="minorHAnsi"/>
          <w:sz w:val="22"/>
          <w:szCs w:val="22"/>
          <w:lang w:eastAsia="en-US"/>
        </w:rPr>
        <w:t>В</w:t>
      </w:r>
      <w:r w:rsidRPr="00E62E4B">
        <w:rPr>
          <w:rFonts w:eastAsiaTheme="minorHAnsi"/>
          <w:sz w:val="22"/>
          <w:szCs w:val="22"/>
          <w:lang w:val="en-US"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Агеев Н.</w:t>
      </w:r>
      <w:r w:rsidR="003A6F8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преподаватель кафедры уголовного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3A6F8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center"/>
        <w:rPr>
          <w:rFonts w:eastAsiaTheme="minorHAnsi"/>
          <w:b/>
          <w:sz w:val="24"/>
          <w:szCs w:val="24"/>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w:t>
      </w:r>
      <w:r w:rsidRPr="00EC1A78">
        <w:rPr>
          <w:rFonts w:eastAsiaTheme="minorHAnsi"/>
          <w:b/>
          <w:i/>
          <w:sz w:val="22"/>
          <w:szCs w:val="22"/>
          <w:lang w:eastAsia="en-US"/>
        </w:rPr>
        <w:t>:</w:t>
      </w:r>
      <w:r w:rsidRPr="00EC1A78">
        <w:rPr>
          <w:rFonts w:eastAsiaTheme="minorHAnsi"/>
          <w:b/>
          <w:sz w:val="22"/>
          <w:szCs w:val="22"/>
          <w:lang w:eastAsia="en-US"/>
        </w:rPr>
        <w:t xml:space="preserve"> </w:t>
      </w:r>
      <w:r w:rsidRPr="00EC1A78">
        <w:rPr>
          <w:rFonts w:eastAsiaTheme="minorHAnsi"/>
          <w:sz w:val="22"/>
          <w:szCs w:val="22"/>
          <w:lang w:eastAsia="en-US"/>
        </w:rPr>
        <w:t>В данной статье рассмотрены проблемы оста</w:t>
      </w:r>
      <w:r w:rsidRPr="00EC1A78">
        <w:rPr>
          <w:rFonts w:eastAsiaTheme="minorHAnsi"/>
          <w:sz w:val="22"/>
          <w:szCs w:val="22"/>
          <w:lang w:eastAsia="en-US"/>
        </w:rPr>
        <w:t>в</w:t>
      </w:r>
      <w:r w:rsidRPr="00EC1A78">
        <w:rPr>
          <w:rFonts w:eastAsiaTheme="minorHAnsi"/>
          <w:sz w:val="22"/>
          <w:szCs w:val="22"/>
          <w:lang w:eastAsia="en-US"/>
        </w:rPr>
        <w:t>ления в опасности по УК РФ. Проанализированы характерные ос</w:t>
      </w:r>
      <w:r w:rsidRPr="00EC1A78">
        <w:rPr>
          <w:rFonts w:eastAsiaTheme="minorHAnsi"/>
          <w:sz w:val="22"/>
          <w:szCs w:val="22"/>
          <w:lang w:eastAsia="en-US"/>
        </w:rPr>
        <w:t>о</w:t>
      </w:r>
      <w:r w:rsidRPr="00EC1A78">
        <w:rPr>
          <w:rFonts w:eastAsiaTheme="minorHAnsi"/>
          <w:sz w:val="22"/>
          <w:szCs w:val="22"/>
          <w:lang w:eastAsia="en-US"/>
        </w:rPr>
        <w:t>бенности объективных и субъективных признаков. Выявлена и обоснована необходимость реформирования данной нормы. Пров</w:t>
      </w:r>
      <w:r w:rsidRPr="00EC1A78">
        <w:rPr>
          <w:rFonts w:eastAsiaTheme="minorHAnsi"/>
          <w:sz w:val="22"/>
          <w:szCs w:val="22"/>
          <w:lang w:eastAsia="en-US"/>
        </w:rPr>
        <w:t>е</w:t>
      </w:r>
      <w:r w:rsidRPr="00EC1A78">
        <w:rPr>
          <w:rFonts w:eastAsiaTheme="minorHAnsi"/>
          <w:sz w:val="22"/>
          <w:szCs w:val="22"/>
          <w:lang w:eastAsia="en-US"/>
        </w:rPr>
        <w:t>дено сравнение с соответствующими нормами иностранных гос</w:t>
      </w:r>
      <w:r w:rsidRPr="00EC1A78">
        <w:rPr>
          <w:rFonts w:eastAsiaTheme="minorHAnsi"/>
          <w:sz w:val="22"/>
          <w:szCs w:val="22"/>
          <w:lang w:eastAsia="en-US"/>
        </w:rPr>
        <w:t>у</w:t>
      </w:r>
      <w:r w:rsidRPr="00EC1A78">
        <w:rPr>
          <w:rFonts w:eastAsiaTheme="minorHAnsi"/>
          <w:sz w:val="22"/>
          <w:szCs w:val="22"/>
          <w:lang w:eastAsia="en-US"/>
        </w:rPr>
        <w:t>дарств. На основе проведенного исследования автором предлагается внесение поправок в ч.3 ст. 41 Конституции РФ за неоказание п</w:t>
      </w:r>
      <w:r w:rsidRPr="00EC1A78">
        <w:rPr>
          <w:rFonts w:eastAsiaTheme="minorHAnsi"/>
          <w:sz w:val="22"/>
          <w:szCs w:val="22"/>
          <w:lang w:eastAsia="en-US"/>
        </w:rPr>
        <w:t>о</w:t>
      </w:r>
      <w:r w:rsidRPr="00EC1A78">
        <w:rPr>
          <w:rFonts w:eastAsiaTheme="minorHAnsi"/>
          <w:sz w:val="22"/>
          <w:szCs w:val="22"/>
          <w:lang w:eastAsia="en-US"/>
        </w:rPr>
        <w:t>мощи лицу, находящемся в опасном для жизни и здоровья состо</w:t>
      </w:r>
      <w:r w:rsidRPr="00EC1A78">
        <w:rPr>
          <w:rFonts w:eastAsiaTheme="minorHAnsi"/>
          <w:sz w:val="22"/>
          <w:szCs w:val="22"/>
          <w:lang w:eastAsia="en-US"/>
        </w:rPr>
        <w:t>я</w:t>
      </w:r>
      <w:r w:rsidRPr="00EC1A78">
        <w:rPr>
          <w:rFonts w:eastAsiaTheme="minorHAnsi"/>
          <w:sz w:val="22"/>
          <w:szCs w:val="22"/>
          <w:lang w:eastAsia="en-US"/>
        </w:rPr>
        <w:t>нии.</w:t>
      </w: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
        </w:rPr>
      </w:pPr>
      <w:r w:rsidRPr="00EC1A78">
        <w:rPr>
          <w:sz w:val="22"/>
          <w:szCs w:val="22"/>
          <w:lang w:val="en"/>
        </w:rPr>
        <w:lastRenderedPageBreak/>
        <w:t>A</w:t>
      </w:r>
      <w:r w:rsidRPr="00EC1A78">
        <w:rPr>
          <w:sz w:val="22"/>
          <w:szCs w:val="22"/>
          <w:lang w:val="en-US"/>
        </w:rPr>
        <w:t>BSTRACT</w:t>
      </w:r>
      <w:r w:rsidRPr="00EC1A78">
        <w:rPr>
          <w:b/>
          <w:sz w:val="22"/>
          <w:szCs w:val="22"/>
          <w:lang w:val="en"/>
        </w:rPr>
        <w:t>:</w:t>
      </w:r>
      <w:r w:rsidRPr="00EC1A78">
        <w:rPr>
          <w:sz w:val="22"/>
          <w:szCs w:val="22"/>
          <w:lang w:val="en"/>
        </w:rPr>
        <w:t xml:space="preserve"> in this article problems of leaving in danger under the Criminal Code of the Russian Federation are considered. Characteristic features of objective and subjective signs are analyzed. Revealed and justified the need to reform this rule. Comparison with the relevant norms of foreign countries is made. Based on the study, the author pr</w:t>
      </w:r>
      <w:r w:rsidRPr="00EC1A78">
        <w:rPr>
          <w:sz w:val="22"/>
          <w:szCs w:val="22"/>
          <w:lang w:val="en"/>
        </w:rPr>
        <w:t>o</w:t>
      </w:r>
      <w:r w:rsidRPr="00EC1A78">
        <w:rPr>
          <w:sz w:val="22"/>
          <w:szCs w:val="22"/>
          <w:lang w:val="en"/>
        </w:rPr>
        <w:t>poses the introduction of amendments to Part 3 of Art. 41 of the Const</w:t>
      </w:r>
      <w:r w:rsidRPr="00EC1A78">
        <w:rPr>
          <w:sz w:val="22"/>
          <w:szCs w:val="22"/>
          <w:lang w:val="en"/>
        </w:rPr>
        <w:t>i</w:t>
      </w:r>
      <w:r w:rsidRPr="00EC1A78">
        <w:rPr>
          <w:sz w:val="22"/>
          <w:szCs w:val="22"/>
          <w:lang w:val="en"/>
        </w:rPr>
        <w:t>tution of the Russian Federation for refusing to provide assistance to a person who is in a state dangerous to life and health.</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w:t>
      </w:r>
      <w:r w:rsidRPr="00EC1A78">
        <w:rPr>
          <w:rFonts w:eastAsiaTheme="minorHAnsi"/>
          <w:b/>
          <w:i/>
          <w:sz w:val="22"/>
          <w:szCs w:val="22"/>
          <w:lang w:eastAsia="en-US"/>
        </w:rPr>
        <w:t>:</w:t>
      </w:r>
      <w:r w:rsidRPr="00EC1A78">
        <w:rPr>
          <w:rFonts w:eastAsiaTheme="minorHAnsi"/>
          <w:sz w:val="22"/>
          <w:szCs w:val="22"/>
          <w:lang w:eastAsia="en-US"/>
        </w:rPr>
        <w:t xml:space="preserve"> оставление в опасности, неоказание п</w:t>
      </w:r>
      <w:r w:rsidRPr="00EC1A78">
        <w:rPr>
          <w:rFonts w:eastAsiaTheme="minorHAnsi"/>
          <w:sz w:val="22"/>
          <w:szCs w:val="22"/>
          <w:lang w:eastAsia="en-US"/>
        </w:rPr>
        <w:t>о</w:t>
      </w:r>
      <w:r w:rsidRPr="00EC1A78">
        <w:rPr>
          <w:rFonts w:eastAsiaTheme="minorHAnsi"/>
          <w:sz w:val="22"/>
          <w:szCs w:val="22"/>
          <w:lang w:eastAsia="en-US"/>
        </w:rPr>
        <w:t>мощи лицу, субъект ответственности, конституционная обяза</w:t>
      </w:r>
      <w:r w:rsidRPr="00EC1A78">
        <w:rPr>
          <w:rFonts w:eastAsiaTheme="minorHAnsi"/>
          <w:sz w:val="22"/>
          <w:szCs w:val="22"/>
          <w:lang w:eastAsia="en-US"/>
        </w:rPr>
        <w:t>н</w:t>
      </w:r>
      <w:r w:rsidRPr="00EC1A78">
        <w:rPr>
          <w:rFonts w:eastAsiaTheme="minorHAnsi"/>
          <w:sz w:val="22"/>
          <w:szCs w:val="22"/>
          <w:lang w:eastAsia="en-US"/>
        </w:rPr>
        <w:t>ность.</w:t>
      </w:r>
    </w:p>
    <w:p w:rsidR="00EC1A78" w:rsidRPr="00EC1A78" w:rsidRDefault="00EC1A78" w:rsidP="00EC1A78">
      <w:pPr>
        <w:ind w:firstLine="425"/>
        <w:jc w:val="both"/>
        <w:rPr>
          <w:sz w:val="22"/>
          <w:szCs w:val="22"/>
          <w:lang w:val="en-US"/>
        </w:rPr>
      </w:pPr>
      <w:r w:rsidRPr="00EC1A78">
        <w:rPr>
          <w:sz w:val="22"/>
          <w:szCs w:val="22"/>
          <w:lang w:val="en-US"/>
        </w:rPr>
        <w:t>KEYWORDS</w:t>
      </w:r>
      <w:r w:rsidRPr="00EC1A78">
        <w:rPr>
          <w:b/>
          <w:sz w:val="22"/>
          <w:szCs w:val="22"/>
          <w:lang w:val="en"/>
        </w:rPr>
        <w:t>:</w:t>
      </w:r>
      <w:r w:rsidRPr="00EC1A78">
        <w:rPr>
          <w:sz w:val="22"/>
          <w:szCs w:val="22"/>
          <w:lang w:val="en"/>
        </w:rPr>
        <w:t xml:space="preserve"> abandonment in danger, failure to provide assistance to a person, subject of responsibility, constitutional duty</w:t>
      </w:r>
      <w:r w:rsidRPr="00EC1A78">
        <w:rPr>
          <w:sz w:val="22"/>
          <w:szCs w:val="22"/>
          <w:lang w:val="en-US"/>
        </w:rPr>
        <w:t>.</w:t>
      </w:r>
    </w:p>
    <w:p w:rsidR="00EC1A78" w:rsidRPr="00EC1A78" w:rsidRDefault="00EC1A78" w:rsidP="00EC1A78">
      <w:pPr>
        <w:ind w:firstLine="425"/>
        <w:jc w:val="both"/>
        <w:rPr>
          <w:sz w:val="22"/>
          <w:szCs w:val="22"/>
          <w:lang w:val="en-US"/>
        </w:rPr>
      </w:pPr>
    </w:p>
    <w:p w:rsidR="00EC1A78" w:rsidRPr="00EC1A78" w:rsidRDefault="00EC1A78" w:rsidP="00EC1A78">
      <w:pPr>
        <w:ind w:firstLine="425"/>
        <w:jc w:val="both"/>
        <w:rPr>
          <w:sz w:val="22"/>
          <w:szCs w:val="22"/>
        </w:rPr>
      </w:pPr>
      <w:r w:rsidRPr="00EC1A78">
        <w:rPr>
          <w:rFonts w:eastAsiaTheme="minorHAnsi"/>
          <w:sz w:val="22"/>
          <w:szCs w:val="22"/>
          <w:lang w:eastAsia="en-US"/>
        </w:rPr>
        <w:t>Жизнь и здоровье человека относятся к важнейшим общечел</w:t>
      </w:r>
      <w:r w:rsidRPr="00EC1A78">
        <w:rPr>
          <w:rFonts w:eastAsiaTheme="minorHAnsi"/>
          <w:sz w:val="22"/>
          <w:szCs w:val="22"/>
          <w:lang w:eastAsia="en-US"/>
        </w:rPr>
        <w:t>о</w:t>
      </w:r>
      <w:r w:rsidRPr="00EC1A78">
        <w:rPr>
          <w:rFonts w:eastAsiaTheme="minorHAnsi"/>
          <w:sz w:val="22"/>
          <w:szCs w:val="22"/>
          <w:lang w:eastAsia="en-US"/>
        </w:rPr>
        <w:t>веческим ценностям. Однако закрепить в документе права человека на жизнь недостаточно, необходимо обеспечить меры по ее защите. В данной статье анализируются и сравниваются нормы Констит</w:t>
      </w:r>
      <w:r w:rsidRPr="00EC1A78">
        <w:rPr>
          <w:rFonts w:eastAsiaTheme="minorHAnsi"/>
          <w:sz w:val="22"/>
          <w:szCs w:val="22"/>
          <w:lang w:eastAsia="en-US"/>
        </w:rPr>
        <w:t>у</w:t>
      </w:r>
      <w:r w:rsidRPr="00EC1A78">
        <w:rPr>
          <w:rFonts w:eastAsiaTheme="minorHAnsi"/>
          <w:sz w:val="22"/>
          <w:szCs w:val="22"/>
          <w:lang w:eastAsia="en-US"/>
        </w:rPr>
        <w:t>ции России, с другими странами, а также рассматриваются основ</w:t>
      </w:r>
      <w:r w:rsidRPr="00EC1A78">
        <w:rPr>
          <w:rFonts w:eastAsiaTheme="minorHAnsi"/>
          <w:sz w:val="22"/>
          <w:szCs w:val="22"/>
          <w:lang w:eastAsia="en-US"/>
        </w:rPr>
        <w:t>а</w:t>
      </w:r>
      <w:r w:rsidRPr="00EC1A78">
        <w:rPr>
          <w:rFonts w:eastAsiaTheme="minorHAnsi"/>
          <w:sz w:val="22"/>
          <w:szCs w:val="22"/>
          <w:lang w:eastAsia="en-US"/>
        </w:rPr>
        <w:t>ния привлечения виновного лица к уголовной ответственности за совершение преступления.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уголовном кодексе РФ существует статья, посвященная ок</w:t>
      </w:r>
      <w:r w:rsidRPr="00EC1A78">
        <w:rPr>
          <w:rFonts w:eastAsiaTheme="minorHAnsi"/>
          <w:sz w:val="22"/>
          <w:szCs w:val="22"/>
          <w:lang w:eastAsia="en-US"/>
        </w:rPr>
        <w:t>а</w:t>
      </w:r>
      <w:r w:rsidRPr="00EC1A78">
        <w:rPr>
          <w:rFonts w:eastAsiaTheme="minorHAnsi"/>
          <w:sz w:val="22"/>
          <w:szCs w:val="22"/>
          <w:lang w:eastAsia="en-US"/>
        </w:rPr>
        <w:t>занию помощи человеку [1]. Статья 125 УК РФ «Оставление в опасности», подразумевает ответственность гражданина за оставл</w:t>
      </w:r>
      <w:r w:rsidRPr="00EC1A78">
        <w:rPr>
          <w:rFonts w:eastAsiaTheme="minorHAnsi"/>
          <w:sz w:val="22"/>
          <w:szCs w:val="22"/>
          <w:lang w:eastAsia="en-US"/>
        </w:rPr>
        <w:t>е</w:t>
      </w:r>
      <w:r w:rsidRPr="00EC1A78">
        <w:rPr>
          <w:rFonts w:eastAsiaTheme="minorHAnsi"/>
          <w:sz w:val="22"/>
          <w:szCs w:val="22"/>
          <w:lang w:eastAsia="en-US"/>
        </w:rPr>
        <w:t>ние в опасности беспомощного лица.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Потерпевшим в данном преступлении является лицо, наход</w:t>
      </w:r>
      <w:r w:rsidRPr="00EC1A78">
        <w:rPr>
          <w:rFonts w:eastAsiaTheme="minorHAnsi"/>
          <w:sz w:val="22"/>
          <w:szCs w:val="22"/>
          <w:lang w:eastAsia="en-US"/>
        </w:rPr>
        <w:t>я</w:t>
      </w:r>
      <w:r w:rsidRPr="00EC1A78">
        <w:rPr>
          <w:rFonts w:eastAsiaTheme="minorHAnsi"/>
          <w:sz w:val="22"/>
          <w:szCs w:val="22"/>
          <w:lang w:eastAsia="en-US"/>
        </w:rPr>
        <w:t>щееся в опасном для жизни или здоровья состоянии, которое лиш</w:t>
      </w:r>
      <w:r w:rsidRPr="00EC1A78">
        <w:rPr>
          <w:rFonts w:eastAsiaTheme="minorHAnsi"/>
          <w:sz w:val="22"/>
          <w:szCs w:val="22"/>
          <w:lang w:eastAsia="en-US"/>
        </w:rPr>
        <w:t>е</w:t>
      </w:r>
      <w:r w:rsidRPr="00EC1A78">
        <w:rPr>
          <w:rFonts w:eastAsiaTheme="minorHAnsi"/>
          <w:sz w:val="22"/>
          <w:szCs w:val="22"/>
          <w:lang w:eastAsia="en-US"/>
        </w:rPr>
        <w:t>но по ряду причин возможности принять меры к самосохранению.</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Обязательным условием наступления уголовной ответственн</w:t>
      </w:r>
      <w:r w:rsidRPr="00EC1A78">
        <w:rPr>
          <w:rFonts w:eastAsiaTheme="minorHAnsi"/>
          <w:sz w:val="22"/>
          <w:szCs w:val="22"/>
          <w:lang w:eastAsia="en-US"/>
        </w:rPr>
        <w:t>о</w:t>
      </w:r>
      <w:r w:rsidRPr="00EC1A78">
        <w:rPr>
          <w:rFonts w:eastAsiaTheme="minorHAnsi"/>
          <w:sz w:val="22"/>
          <w:szCs w:val="22"/>
          <w:lang w:eastAsia="en-US"/>
        </w:rPr>
        <w:t>сти по данной статье является наличие одного из следующих обст</w:t>
      </w:r>
      <w:r w:rsidRPr="00EC1A78">
        <w:rPr>
          <w:rFonts w:eastAsiaTheme="minorHAnsi"/>
          <w:sz w:val="22"/>
          <w:szCs w:val="22"/>
          <w:lang w:eastAsia="en-US"/>
        </w:rPr>
        <w:t>о</w:t>
      </w:r>
      <w:r w:rsidRPr="00EC1A78">
        <w:rPr>
          <w:rFonts w:eastAsiaTheme="minorHAnsi"/>
          <w:sz w:val="22"/>
          <w:szCs w:val="22"/>
          <w:lang w:eastAsia="en-US"/>
        </w:rPr>
        <w:t>ятельств: 1) виновный имел возможность оказать помощь лицу и был обязан иметь о нем заботу; 2) виновный сам поставил лицо в опасное для жизни и здоровья состояние. То есть для наличия да</w:t>
      </w:r>
      <w:r w:rsidRPr="00EC1A78">
        <w:rPr>
          <w:rFonts w:eastAsiaTheme="minorHAnsi"/>
          <w:sz w:val="22"/>
          <w:szCs w:val="22"/>
          <w:lang w:eastAsia="en-US"/>
        </w:rPr>
        <w:t>н</w:t>
      </w:r>
      <w:r w:rsidRPr="00EC1A78">
        <w:rPr>
          <w:rFonts w:eastAsiaTheme="minorHAnsi"/>
          <w:sz w:val="22"/>
          <w:szCs w:val="22"/>
          <w:lang w:eastAsia="en-US"/>
        </w:rPr>
        <w:t>ного состава преступления необходимо установить, как возмо</w:t>
      </w:r>
      <w:r w:rsidRPr="00EC1A78">
        <w:rPr>
          <w:rFonts w:eastAsiaTheme="minorHAnsi"/>
          <w:sz w:val="22"/>
          <w:szCs w:val="22"/>
          <w:lang w:eastAsia="en-US"/>
        </w:rPr>
        <w:t>ж</w:t>
      </w:r>
      <w:r w:rsidRPr="00EC1A78">
        <w:rPr>
          <w:rFonts w:eastAsiaTheme="minorHAnsi"/>
          <w:sz w:val="22"/>
          <w:szCs w:val="22"/>
          <w:lang w:eastAsia="en-US"/>
        </w:rPr>
        <w:t>ность оказания помощи лицу, находящемуся в опасности, так и об</w:t>
      </w:r>
      <w:r w:rsidRPr="00EC1A78">
        <w:rPr>
          <w:rFonts w:eastAsiaTheme="minorHAnsi"/>
          <w:sz w:val="22"/>
          <w:szCs w:val="22"/>
          <w:lang w:eastAsia="en-US"/>
        </w:rPr>
        <w:t>я</w:t>
      </w:r>
      <w:r w:rsidRPr="00EC1A78">
        <w:rPr>
          <w:rFonts w:eastAsiaTheme="minorHAnsi"/>
          <w:sz w:val="22"/>
          <w:szCs w:val="22"/>
          <w:lang w:eastAsia="en-US"/>
        </w:rPr>
        <w:t>занность иметь о данном лице заботу. Соответственно, в случае, если предполагаемый виновный мог оказать помощь лицу, наход</w:t>
      </w:r>
      <w:r w:rsidRPr="00EC1A78">
        <w:rPr>
          <w:rFonts w:eastAsiaTheme="minorHAnsi"/>
          <w:sz w:val="22"/>
          <w:szCs w:val="22"/>
          <w:lang w:eastAsia="en-US"/>
        </w:rPr>
        <w:t>я</w:t>
      </w:r>
      <w:r w:rsidRPr="00EC1A78">
        <w:rPr>
          <w:rFonts w:eastAsiaTheme="minorHAnsi"/>
          <w:sz w:val="22"/>
          <w:szCs w:val="22"/>
          <w:lang w:eastAsia="en-US"/>
        </w:rPr>
        <w:t>щемуся в опасности, но не был обременен заботой о нем, он не м</w:t>
      </w:r>
      <w:r w:rsidRPr="00EC1A78">
        <w:rPr>
          <w:rFonts w:eastAsiaTheme="minorHAnsi"/>
          <w:sz w:val="22"/>
          <w:szCs w:val="22"/>
          <w:lang w:eastAsia="en-US"/>
        </w:rPr>
        <w:t>о</w:t>
      </w:r>
      <w:r w:rsidRPr="00EC1A78">
        <w:rPr>
          <w:rFonts w:eastAsiaTheme="minorHAnsi"/>
          <w:sz w:val="22"/>
          <w:szCs w:val="22"/>
          <w:lang w:eastAsia="en-US"/>
        </w:rPr>
        <w:lastRenderedPageBreak/>
        <w:t>жет быть признан субъектом данного преступления, и избежит уг</w:t>
      </w:r>
      <w:r w:rsidRPr="00EC1A78">
        <w:rPr>
          <w:rFonts w:eastAsiaTheme="minorHAnsi"/>
          <w:sz w:val="22"/>
          <w:szCs w:val="22"/>
          <w:lang w:eastAsia="en-US"/>
        </w:rPr>
        <w:t>о</w:t>
      </w:r>
      <w:r w:rsidRPr="00EC1A78">
        <w:rPr>
          <w:rFonts w:eastAsiaTheme="minorHAnsi"/>
          <w:sz w:val="22"/>
          <w:szCs w:val="22"/>
          <w:lang w:eastAsia="en-US"/>
        </w:rPr>
        <w:t>ловной ответственности.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Иными словами, прохожий на улице, прошедший мимо упа</w:t>
      </w:r>
      <w:r w:rsidRPr="00EC1A78">
        <w:rPr>
          <w:rFonts w:eastAsiaTheme="minorHAnsi"/>
          <w:sz w:val="22"/>
          <w:szCs w:val="22"/>
          <w:lang w:eastAsia="en-US"/>
        </w:rPr>
        <w:t>в</w:t>
      </w:r>
      <w:r w:rsidRPr="00EC1A78">
        <w:rPr>
          <w:rFonts w:eastAsiaTheme="minorHAnsi"/>
          <w:sz w:val="22"/>
          <w:szCs w:val="22"/>
          <w:lang w:eastAsia="en-US"/>
        </w:rPr>
        <w:t>шего на тротуар человека с признаками опасного для жизни и зд</w:t>
      </w:r>
      <w:r w:rsidRPr="00EC1A78">
        <w:rPr>
          <w:rFonts w:eastAsiaTheme="minorHAnsi"/>
          <w:sz w:val="22"/>
          <w:szCs w:val="22"/>
          <w:lang w:eastAsia="en-US"/>
        </w:rPr>
        <w:t>о</w:t>
      </w:r>
      <w:r w:rsidRPr="00EC1A78">
        <w:rPr>
          <w:rFonts w:eastAsiaTheme="minorHAnsi"/>
          <w:sz w:val="22"/>
          <w:szCs w:val="22"/>
          <w:lang w:eastAsia="en-US"/>
        </w:rPr>
        <w:t>ровья состояния, полностью бездействуя не рискует быть привлечен к уголовной ответственности по ст. 125УК РФ, так как не обрем</w:t>
      </w:r>
      <w:r w:rsidRPr="00EC1A78">
        <w:rPr>
          <w:rFonts w:eastAsiaTheme="minorHAnsi"/>
          <w:sz w:val="22"/>
          <w:szCs w:val="22"/>
          <w:lang w:eastAsia="en-US"/>
        </w:rPr>
        <w:t>е</w:t>
      </w:r>
      <w:r w:rsidRPr="00EC1A78">
        <w:rPr>
          <w:rFonts w:eastAsiaTheme="minorHAnsi"/>
          <w:sz w:val="22"/>
          <w:szCs w:val="22"/>
          <w:lang w:eastAsia="en-US"/>
        </w:rPr>
        <w:t>нен заботой о незнакомом человеке.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Актуальность данной темы состоит в том, что многие люди, видя, что человек находится в опасном состоянии для жизни и зд</w:t>
      </w:r>
      <w:r w:rsidRPr="00EC1A78">
        <w:rPr>
          <w:rFonts w:eastAsiaTheme="minorHAnsi"/>
          <w:sz w:val="22"/>
          <w:szCs w:val="22"/>
          <w:lang w:eastAsia="en-US"/>
        </w:rPr>
        <w:t>о</w:t>
      </w:r>
      <w:r w:rsidRPr="00EC1A78">
        <w:rPr>
          <w:rFonts w:eastAsiaTheme="minorHAnsi"/>
          <w:sz w:val="22"/>
          <w:szCs w:val="22"/>
          <w:lang w:eastAsia="en-US"/>
        </w:rPr>
        <w:t>ровья и лишенного принять меры к самосохранению, бездействуют, не оказывая ему должную помощь. Такие ситуации не укладываю</w:t>
      </w:r>
      <w:r w:rsidRPr="00EC1A78">
        <w:rPr>
          <w:rFonts w:eastAsiaTheme="minorHAnsi"/>
          <w:sz w:val="22"/>
          <w:szCs w:val="22"/>
          <w:lang w:eastAsia="en-US"/>
        </w:rPr>
        <w:t>т</w:t>
      </w:r>
      <w:r w:rsidRPr="00EC1A78">
        <w:rPr>
          <w:rFonts w:eastAsiaTheme="minorHAnsi"/>
          <w:sz w:val="22"/>
          <w:szCs w:val="22"/>
          <w:lang w:eastAsia="en-US"/>
        </w:rPr>
        <w:t>ся в рамки нормальной человеческой морали.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качестве примера обратимся к уголовному кодексу Украины ст. 136, «Неоказание помощи лицу, находящемуся в опасном для жизни состоянии», в которой сказано, что «Неоказание помощи л</w:t>
      </w:r>
      <w:r w:rsidRPr="00EC1A78">
        <w:rPr>
          <w:rFonts w:eastAsiaTheme="minorHAnsi"/>
          <w:sz w:val="22"/>
          <w:szCs w:val="22"/>
          <w:lang w:eastAsia="en-US"/>
        </w:rPr>
        <w:t>и</w:t>
      </w:r>
      <w:r w:rsidRPr="00EC1A78">
        <w:rPr>
          <w:rFonts w:eastAsiaTheme="minorHAnsi"/>
          <w:sz w:val="22"/>
          <w:szCs w:val="22"/>
          <w:lang w:eastAsia="en-US"/>
        </w:rPr>
        <w:t>цу, находящемуся в опасном для жизни состоянии, при возможн</w:t>
      </w:r>
      <w:r w:rsidRPr="00EC1A78">
        <w:rPr>
          <w:rFonts w:eastAsiaTheme="minorHAnsi"/>
          <w:sz w:val="22"/>
          <w:szCs w:val="22"/>
          <w:lang w:eastAsia="en-US"/>
        </w:rPr>
        <w:t>о</w:t>
      </w:r>
      <w:r w:rsidRPr="00EC1A78">
        <w:rPr>
          <w:rFonts w:eastAsiaTheme="minorHAnsi"/>
          <w:sz w:val="22"/>
          <w:szCs w:val="22"/>
          <w:lang w:eastAsia="en-US"/>
        </w:rPr>
        <w:t>сти оказать такую помощь или несообщение о таком состоянии л</w:t>
      </w:r>
      <w:r w:rsidRPr="00EC1A78">
        <w:rPr>
          <w:rFonts w:eastAsiaTheme="minorHAnsi"/>
          <w:sz w:val="22"/>
          <w:szCs w:val="22"/>
          <w:lang w:eastAsia="en-US"/>
        </w:rPr>
        <w:t>и</w:t>
      </w:r>
      <w:r w:rsidRPr="00EC1A78">
        <w:rPr>
          <w:rFonts w:eastAsiaTheme="minorHAnsi"/>
          <w:sz w:val="22"/>
          <w:szCs w:val="22"/>
          <w:lang w:eastAsia="en-US"/>
        </w:rPr>
        <w:t>ца надлежащим учреждениям либо лицам, если это повлекло тя</w:t>
      </w:r>
      <w:r w:rsidRPr="00EC1A78">
        <w:rPr>
          <w:rFonts w:eastAsiaTheme="minorHAnsi"/>
          <w:sz w:val="22"/>
          <w:szCs w:val="22"/>
          <w:lang w:eastAsia="en-US"/>
        </w:rPr>
        <w:t>ж</w:t>
      </w:r>
      <w:r w:rsidRPr="00EC1A78">
        <w:rPr>
          <w:rFonts w:eastAsiaTheme="minorHAnsi"/>
          <w:sz w:val="22"/>
          <w:szCs w:val="22"/>
          <w:lang w:eastAsia="en-US"/>
        </w:rPr>
        <w:t>кие телесные повреждения» – наказуемо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Субъектом ответственности в указанной статье, за неоказание помощи, являются лица, которым исполнилось шестнадцать лет, которые не были обязаны заботится о потерпевшем и сами не п</w:t>
      </w:r>
      <w:r w:rsidRPr="00EC1A78">
        <w:rPr>
          <w:rFonts w:eastAsiaTheme="minorHAnsi"/>
          <w:sz w:val="22"/>
          <w:szCs w:val="22"/>
          <w:lang w:eastAsia="en-US"/>
        </w:rPr>
        <w:t>о</w:t>
      </w:r>
      <w:r w:rsidRPr="00EC1A78">
        <w:rPr>
          <w:rFonts w:eastAsiaTheme="minorHAnsi"/>
          <w:sz w:val="22"/>
          <w:szCs w:val="22"/>
          <w:lang w:eastAsia="en-US"/>
        </w:rPr>
        <w:t>ставили его в опасное для жизни положение.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То есть, данная статья гласит, что обычный гражданин, не з</w:t>
      </w:r>
      <w:r w:rsidRPr="00EC1A78">
        <w:rPr>
          <w:rFonts w:eastAsiaTheme="minorHAnsi"/>
          <w:sz w:val="22"/>
          <w:szCs w:val="22"/>
          <w:lang w:eastAsia="en-US"/>
        </w:rPr>
        <w:t>а</w:t>
      </w:r>
      <w:r w:rsidRPr="00EC1A78">
        <w:rPr>
          <w:rFonts w:eastAsiaTheme="minorHAnsi"/>
          <w:sz w:val="22"/>
          <w:szCs w:val="22"/>
          <w:lang w:eastAsia="en-US"/>
        </w:rPr>
        <w:t>нимающий должностей в специализированных службах и не об</w:t>
      </w:r>
      <w:r w:rsidRPr="00EC1A78">
        <w:rPr>
          <w:rFonts w:eastAsiaTheme="minorHAnsi"/>
          <w:sz w:val="22"/>
          <w:szCs w:val="22"/>
          <w:lang w:eastAsia="en-US"/>
        </w:rPr>
        <w:t>я</w:t>
      </w:r>
      <w:r w:rsidRPr="00EC1A78">
        <w:rPr>
          <w:rFonts w:eastAsiaTheme="minorHAnsi"/>
          <w:sz w:val="22"/>
          <w:szCs w:val="22"/>
          <w:lang w:eastAsia="en-US"/>
        </w:rPr>
        <w:t>занный заботится о потерпевшем, все равно будет нести отве</w:t>
      </w:r>
      <w:r w:rsidRPr="00EC1A78">
        <w:rPr>
          <w:rFonts w:eastAsiaTheme="minorHAnsi"/>
          <w:sz w:val="22"/>
          <w:szCs w:val="22"/>
          <w:lang w:eastAsia="en-US"/>
        </w:rPr>
        <w:t>т</w:t>
      </w:r>
      <w:r w:rsidRPr="00EC1A78">
        <w:rPr>
          <w:rFonts w:eastAsiaTheme="minorHAnsi"/>
          <w:sz w:val="22"/>
          <w:szCs w:val="22"/>
          <w:lang w:eastAsia="en-US"/>
        </w:rPr>
        <w:t>ственность при неоказании должной помощи человеку или не с</w:t>
      </w:r>
      <w:r w:rsidRPr="00EC1A78">
        <w:rPr>
          <w:rFonts w:eastAsiaTheme="minorHAnsi"/>
          <w:sz w:val="22"/>
          <w:szCs w:val="22"/>
          <w:lang w:eastAsia="en-US"/>
        </w:rPr>
        <w:t>о</w:t>
      </w:r>
      <w:r w:rsidRPr="00EC1A78">
        <w:rPr>
          <w:rFonts w:eastAsiaTheme="minorHAnsi"/>
          <w:sz w:val="22"/>
          <w:szCs w:val="22"/>
          <w:lang w:eastAsia="en-US"/>
        </w:rPr>
        <w:t>общении о необходимости в ней надлежащим службам или лица.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На основании выше изложенного можно сделать вывод, о том, что в Российском законодательстве существует огромный пробел в этой области в связи с чем необходимо провести реформирование по данному вопросу. А также необходимо закрепить данную норму в конституции Российской Федерации.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Мы хотели бы предложить внести поправки в ч.3 ст. 41 Ко</w:t>
      </w:r>
      <w:r w:rsidRPr="00EC1A78">
        <w:rPr>
          <w:rFonts w:eastAsiaTheme="minorHAnsi"/>
          <w:sz w:val="22"/>
          <w:szCs w:val="22"/>
          <w:lang w:eastAsia="en-US"/>
        </w:rPr>
        <w:t>н</w:t>
      </w:r>
      <w:r w:rsidRPr="00EC1A78">
        <w:rPr>
          <w:rFonts w:eastAsiaTheme="minorHAnsi"/>
          <w:sz w:val="22"/>
          <w:szCs w:val="22"/>
          <w:lang w:eastAsia="en-US"/>
        </w:rPr>
        <w:t xml:space="preserve">ституции РФ, связанные с тем, что лицо, наблюдая, что гражданин находится в опасном для жизни или здоровья состоянии, обязан предпринять попытки оказания помощи этому лицу [3]. Если же у человека имеется данная возможность и средства для помощи лицу, </w:t>
      </w:r>
      <w:r w:rsidRPr="00EC1A78">
        <w:rPr>
          <w:rFonts w:eastAsiaTheme="minorHAnsi"/>
          <w:sz w:val="22"/>
          <w:szCs w:val="22"/>
          <w:lang w:eastAsia="en-US"/>
        </w:rPr>
        <w:lastRenderedPageBreak/>
        <w:t>но он не предпринял никаких действий для оказания помощи, то этот человек должен нести ответственность перед уголовным зак</w:t>
      </w:r>
      <w:r w:rsidRPr="00EC1A78">
        <w:rPr>
          <w:rFonts w:eastAsiaTheme="minorHAnsi"/>
          <w:sz w:val="22"/>
          <w:szCs w:val="22"/>
          <w:lang w:eastAsia="en-US"/>
        </w:rPr>
        <w:t>о</w:t>
      </w:r>
      <w:r w:rsidRPr="00EC1A78">
        <w:rPr>
          <w:rFonts w:eastAsiaTheme="minorHAnsi"/>
          <w:sz w:val="22"/>
          <w:szCs w:val="22"/>
          <w:lang w:eastAsia="en-US"/>
        </w:rPr>
        <w:t>нодательством, не только в случае наступления смерти, но и в сл</w:t>
      </w:r>
      <w:r w:rsidRPr="00EC1A78">
        <w:rPr>
          <w:rFonts w:eastAsiaTheme="minorHAnsi"/>
          <w:sz w:val="22"/>
          <w:szCs w:val="22"/>
          <w:lang w:eastAsia="en-US"/>
        </w:rPr>
        <w:t>у</w:t>
      </w:r>
      <w:r w:rsidRPr="00EC1A78">
        <w:rPr>
          <w:rFonts w:eastAsiaTheme="minorHAnsi"/>
          <w:sz w:val="22"/>
          <w:szCs w:val="22"/>
          <w:lang w:eastAsia="en-US"/>
        </w:rPr>
        <w:t>чае причинения тяжкого и средней тяжести вреда здоровью.</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Уголовный кодекс Российской Федерации» от 13.06.1996 N 63–ФЗ (ред. от 29.07.2017) (с изм. и доп., вступ. в силу с 26.08.2017).</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Уголовный кодекс Украины от 5 апреля 2001 года № 2341–III (с изм. и доп. по состоянию на 03.10.2017 г.)</w:t>
      </w:r>
    </w:p>
    <w:p w:rsidR="00EC1A78" w:rsidRPr="00EC1A78" w:rsidRDefault="00EC1A78" w:rsidP="00EC1A78">
      <w:pPr>
        <w:ind w:firstLine="425"/>
        <w:jc w:val="both"/>
        <w:rPr>
          <w:rFonts w:eastAsiaTheme="minorHAnsi"/>
          <w:sz w:val="22"/>
          <w:szCs w:val="22"/>
          <w:lang w:eastAsia="en-US"/>
        </w:rPr>
      </w:pPr>
      <w:r w:rsidRPr="00EC1A78">
        <w:rPr>
          <w:rFonts w:eastAsiaTheme="minorHAnsi"/>
          <w:color w:val="000000" w:themeColor="text1"/>
          <w:sz w:val="22"/>
          <w:szCs w:val="22"/>
          <w:lang w:eastAsia="en-US"/>
        </w:rPr>
        <w:t xml:space="preserve">3. </w:t>
      </w:r>
      <w:r w:rsidRPr="00EC1A78">
        <w:rPr>
          <w:rFonts w:eastAsiaTheme="minorHAnsi"/>
          <w:color w:val="000000" w:themeColor="text1"/>
          <w:sz w:val="22"/>
          <w:szCs w:val="22"/>
          <w:shd w:val="clear" w:color="auto" w:fill="FFFFFF"/>
          <w:lang w:eastAsia="en-US"/>
        </w:rPr>
        <w:t>Конституция Российской Федерации: принята всенародным голосованием 12 декабря 1993 г. (с изм. и доп. от 21.07.2014) // Собр. законодательства РФ. – 2014. – N 31. – Ст. 4398.</w:t>
      </w:r>
    </w:p>
    <w:p w:rsidR="00EC1A78" w:rsidRDefault="00EC1A78" w:rsidP="00EC1A78">
      <w:pPr>
        <w:jc w:val="both"/>
        <w:rPr>
          <w:rFonts w:eastAsiaTheme="minorHAnsi"/>
          <w:sz w:val="22"/>
          <w:szCs w:val="22"/>
          <w:lang w:eastAsia="en-US"/>
        </w:rPr>
      </w:pPr>
    </w:p>
    <w:p w:rsidR="003A6F86" w:rsidRDefault="003A6F86"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autoSpaceDE w:val="0"/>
        <w:autoSpaceDN w:val="0"/>
        <w:adjustRightInd w:val="0"/>
        <w:jc w:val="both"/>
        <w:rPr>
          <w:rFonts w:eastAsiaTheme="minorHAnsi"/>
          <w:bCs/>
          <w:iCs/>
          <w:sz w:val="22"/>
          <w:szCs w:val="22"/>
          <w:lang w:eastAsia="en-US"/>
        </w:rPr>
      </w:pPr>
      <w:r w:rsidRPr="00EC1A78">
        <w:rPr>
          <w:rFonts w:eastAsiaTheme="minorHAnsi"/>
          <w:bCs/>
          <w:iCs/>
          <w:sz w:val="22"/>
          <w:szCs w:val="22"/>
          <w:lang w:eastAsia="en-US"/>
        </w:rPr>
        <w:t>УДК 342.7</w:t>
      </w:r>
    </w:p>
    <w:p w:rsidR="00EC1A78" w:rsidRPr="00EC1A78" w:rsidRDefault="00EC1A78" w:rsidP="00EC1A78">
      <w:pPr>
        <w:autoSpaceDE w:val="0"/>
        <w:autoSpaceDN w:val="0"/>
        <w:adjustRightInd w:val="0"/>
        <w:jc w:val="both"/>
        <w:rPr>
          <w:rFonts w:eastAsiaTheme="minorHAnsi"/>
          <w:bCs/>
          <w:iCs/>
          <w:sz w:val="22"/>
          <w:szCs w:val="22"/>
          <w:lang w:eastAsia="en-US"/>
        </w:rPr>
      </w:pPr>
    </w:p>
    <w:p w:rsidR="00EC1A78" w:rsidRPr="00EC1A78" w:rsidRDefault="00EC1A78" w:rsidP="00EC1A78">
      <w:pPr>
        <w:autoSpaceDE w:val="0"/>
        <w:autoSpaceDN w:val="0"/>
        <w:adjustRightInd w:val="0"/>
        <w:ind w:firstLine="425"/>
        <w:jc w:val="center"/>
        <w:rPr>
          <w:rFonts w:eastAsiaTheme="minorHAnsi"/>
          <w:b/>
          <w:bCs/>
          <w:sz w:val="24"/>
          <w:szCs w:val="24"/>
          <w:lang w:eastAsia="en-US"/>
        </w:rPr>
      </w:pPr>
      <w:r w:rsidRPr="00EC1A78">
        <w:rPr>
          <w:rFonts w:eastAsiaTheme="minorHAnsi"/>
          <w:b/>
          <w:bCs/>
          <w:sz w:val="24"/>
          <w:szCs w:val="24"/>
          <w:lang w:eastAsia="en-US"/>
        </w:rPr>
        <w:t>Проблема правового регулирования эвтаназии</w:t>
      </w:r>
    </w:p>
    <w:p w:rsidR="00EC1A78" w:rsidRPr="00EC1A78" w:rsidRDefault="00EC1A78" w:rsidP="00EC1A78">
      <w:pPr>
        <w:autoSpaceDE w:val="0"/>
        <w:autoSpaceDN w:val="0"/>
        <w:adjustRightInd w:val="0"/>
        <w:ind w:firstLine="425"/>
        <w:jc w:val="center"/>
        <w:rPr>
          <w:rFonts w:eastAsiaTheme="minorHAnsi"/>
          <w:b/>
          <w:bCs/>
          <w:sz w:val="24"/>
          <w:szCs w:val="24"/>
          <w:lang w:eastAsia="en-US"/>
        </w:rPr>
      </w:pPr>
      <w:r w:rsidRPr="00EC1A78">
        <w:rPr>
          <w:rFonts w:eastAsiaTheme="minorHAnsi"/>
          <w:b/>
          <w:bCs/>
          <w:sz w:val="24"/>
          <w:szCs w:val="24"/>
          <w:lang w:eastAsia="en-US"/>
        </w:rPr>
        <w:t>в свете реализации права на жизнь</w:t>
      </w:r>
    </w:p>
    <w:p w:rsidR="00EC1A78" w:rsidRPr="00EC1A78" w:rsidRDefault="00EC1A78" w:rsidP="00EC1A78">
      <w:pPr>
        <w:autoSpaceDE w:val="0"/>
        <w:autoSpaceDN w:val="0"/>
        <w:adjustRightInd w:val="0"/>
        <w:ind w:firstLine="425"/>
        <w:jc w:val="center"/>
        <w:rPr>
          <w:rFonts w:eastAsiaTheme="minorHAnsi"/>
          <w:b/>
          <w:bCs/>
          <w:sz w:val="24"/>
          <w:szCs w:val="24"/>
          <w:lang w:val="en-US" w:eastAsia="en-US"/>
        </w:rPr>
      </w:pPr>
      <w:r w:rsidRPr="00EC1A78">
        <w:rPr>
          <w:rFonts w:eastAsiaTheme="minorHAnsi"/>
          <w:b/>
          <w:bCs/>
          <w:sz w:val="24"/>
          <w:szCs w:val="24"/>
          <w:lang w:val="en-US" w:eastAsia="en-US"/>
        </w:rPr>
        <w:t>The problem of legal regulation of euthanasia</w:t>
      </w:r>
    </w:p>
    <w:p w:rsidR="00EC1A78" w:rsidRPr="00EC1A78" w:rsidRDefault="00EC1A78" w:rsidP="00EC1A78">
      <w:pPr>
        <w:autoSpaceDE w:val="0"/>
        <w:autoSpaceDN w:val="0"/>
        <w:adjustRightInd w:val="0"/>
        <w:ind w:firstLine="425"/>
        <w:jc w:val="center"/>
        <w:rPr>
          <w:rFonts w:eastAsiaTheme="minorHAnsi"/>
          <w:b/>
          <w:bCs/>
          <w:sz w:val="24"/>
          <w:szCs w:val="24"/>
          <w:lang w:val="en-US" w:eastAsia="en-US"/>
        </w:rPr>
      </w:pPr>
      <w:r w:rsidRPr="00EC1A78">
        <w:rPr>
          <w:rFonts w:eastAsiaTheme="minorHAnsi"/>
          <w:b/>
          <w:bCs/>
          <w:sz w:val="24"/>
          <w:szCs w:val="24"/>
          <w:lang w:val="en-US" w:eastAsia="en-US"/>
        </w:rPr>
        <w:t>in the light of the realization of the right to life</w:t>
      </w:r>
    </w:p>
    <w:p w:rsidR="00EC1A78" w:rsidRPr="00EC1A78" w:rsidRDefault="00EC1A78" w:rsidP="00EC1A78">
      <w:pPr>
        <w:autoSpaceDE w:val="0"/>
        <w:autoSpaceDN w:val="0"/>
        <w:adjustRightInd w:val="0"/>
        <w:ind w:firstLine="425"/>
        <w:jc w:val="center"/>
        <w:rPr>
          <w:rFonts w:eastAsiaTheme="minorHAnsi"/>
          <w:b/>
          <w:bCs/>
          <w:sz w:val="22"/>
          <w:szCs w:val="22"/>
          <w:lang w:val="en-US" w:eastAsia="en-US"/>
        </w:rPr>
      </w:pPr>
    </w:p>
    <w:p w:rsidR="00EC1A78" w:rsidRPr="00EC1A78" w:rsidRDefault="00EC1A78" w:rsidP="00EC1A78">
      <w:pPr>
        <w:autoSpaceDE w:val="0"/>
        <w:autoSpaceDN w:val="0"/>
        <w:adjustRightInd w:val="0"/>
        <w:ind w:firstLine="425"/>
        <w:jc w:val="right"/>
        <w:rPr>
          <w:rFonts w:eastAsiaTheme="minorHAnsi"/>
          <w:bCs/>
          <w:iCs/>
          <w:sz w:val="22"/>
          <w:szCs w:val="22"/>
          <w:lang w:eastAsia="en-US"/>
        </w:rPr>
      </w:pPr>
      <w:r w:rsidRPr="00EC1A78">
        <w:rPr>
          <w:rFonts w:eastAsiaTheme="minorHAnsi"/>
          <w:bCs/>
          <w:iCs/>
          <w:sz w:val="22"/>
          <w:szCs w:val="22"/>
          <w:lang w:eastAsia="en-US"/>
        </w:rPr>
        <w:t>Заболотная А.</w:t>
      </w:r>
      <w:r w:rsidR="003A6F86">
        <w:rPr>
          <w:rFonts w:eastAsiaTheme="minorHAnsi"/>
          <w:bCs/>
          <w:iCs/>
          <w:sz w:val="22"/>
          <w:szCs w:val="22"/>
          <w:lang w:eastAsia="en-US"/>
        </w:rPr>
        <w:t xml:space="preserve"> </w:t>
      </w:r>
      <w:r w:rsidRPr="00EC1A78">
        <w:rPr>
          <w:rFonts w:eastAsiaTheme="minorHAnsi"/>
          <w:bCs/>
          <w:iCs/>
          <w:sz w:val="22"/>
          <w:szCs w:val="22"/>
          <w:lang w:eastAsia="en-US"/>
        </w:rPr>
        <w:t>Е.,</w:t>
      </w:r>
    </w:p>
    <w:p w:rsidR="00EC1A78" w:rsidRPr="00EC1A78" w:rsidRDefault="00EC1A78" w:rsidP="00EC1A78">
      <w:pPr>
        <w:autoSpaceDE w:val="0"/>
        <w:autoSpaceDN w:val="0"/>
        <w:adjustRightInd w:val="0"/>
        <w:ind w:firstLine="425"/>
        <w:jc w:val="right"/>
        <w:rPr>
          <w:rFonts w:eastAsiaTheme="minorHAnsi"/>
          <w:iCs/>
          <w:sz w:val="22"/>
          <w:szCs w:val="22"/>
          <w:lang w:eastAsia="en-US"/>
        </w:rPr>
      </w:pPr>
      <w:r w:rsidRPr="00EC1A78">
        <w:rPr>
          <w:rFonts w:eastAsiaTheme="minorHAnsi"/>
          <w:iCs/>
          <w:sz w:val="22"/>
          <w:szCs w:val="22"/>
          <w:lang w:eastAsia="en-US"/>
        </w:rPr>
        <w:t>студентка 4–го курса юридического факультета</w:t>
      </w:r>
    </w:p>
    <w:p w:rsidR="00EC1A78" w:rsidRPr="00EC1A78" w:rsidRDefault="00EC1A78" w:rsidP="00EC1A78">
      <w:pPr>
        <w:autoSpaceDE w:val="0"/>
        <w:autoSpaceDN w:val="0"/>
        <w:adjustRightInd w:val="0"/>
        <w:ind w:firstLine="425"/>
        <w:jc w:val="right"/>
        <w:rPr>
          <w:rFonts w:eastAsiaTheme="minorHAnsi"/>
          <w:iCs/>
          <w:sz w:val="22"/>
          <w:szCs w:val="22"/>
          <w:lang w:eastAsia="en-US"/>
        </w:rPr>
      </w:pPr>
      <w:r w:rsidRPr="00EC1A78">
        <w:rPr>
          <w:rFonts w:eastAsiaTheme="minorHAnsi"/>
          <w:iCs/>
          <w:sz w:val="22"/>
          <w:szCs w:val="22"/>
          <w:lang w:eastAsia="en-US"/>
        </w:rPr>
        <w:t>Ембулаева Н.</w:t>
      </w:r>
      <w:r w:rsidR="003A6F86">
        <w:rPr>
          <w:rFonts w:eastAsiaTheme="minorHAnsi"/>
          <w:iCs/>
          <w:sz w:val="22"/>
          <w:szCs w:val="22"/>
          <w:lang w:eastAsia="en-US"/>
        </w:rPr>
        <w:t xml:space="preserve"> </w:t>
      </w:r>
      <w:r w:rsidRPr="00EC1A78">
        <w:rPr>
          <w:rFonts w:eastAsiaTheme="minorHAnsi"/>
          <w:iCs/>
          <w:sz w:val="22"/>
          <w:szCs w:val="22"/>
          <w:lang w:eastAsia="en-US"/>
        </w:rPr>
        <w:t>Ю.,</w:t>
      </w:r>
    </w:p>
    <w:p w:rsidR="00EC1A78" w:rsidRPr="00EC1A78" w:rsidRDefault="00EC1A78" w:rsidP="00EC1A78">
      <w:pPr>
        <w:autoSpaceDE w:val="0"/>
        <w:autoSpaceDN w:val="0"/>
        <w:adjustRightInd w:val="0"/>
        <w:ind w:firstLine="425"/>
        <w:jc w:val="right"/>
        <w:rPr>
          <w:rFonts w:eastAsiaTheme="minorHAnsi"/>
          <w:iCs/>
          <w:sz w:val="22"/>
          <w:szCs w:val="22"/>
          <w:lang w:eastAsia="en-US"/>
        </w:rPr>
      </w:pPr>
      <w:r w:rsidRPr="00EC1A78">
        <w:rPr>
          <w:rFonts w:eastAsiaTheme="minorHAnsi"/>
          <w:iCs/>
          <w:sz w:val="22"/>
          <w:szCs w:val="22"/>
          <w:lang w:eastAsia="en-US"/>
        </w:rPr>
        <w:t>доцент кафедры теории и истории государства и права</w:t>
      </w:r>
    </w:p>
    <w:p w:rsidR="00EC1A78" w:rsidRPr="00EC1A78" w:rsidRDefault="00EC1A78" w:rsidP="00EC1A78">
      <w:pPr>
        <w:autoSpaceDE w:val="0"/>
        <w:autoSpaceDN w:val="0"/>
        <w:adjustRightInd w:val="0"/>
        <w:ind w:firstLine="425"/>
        <w:jc w:val="right"/>
        <w:rPr>
          <w:rFonts w:eastAsiaTheme="minorHAnsi"/>
          <w:iCs/>
          <w:sz w:val="22"/>
          <w:szCs w:val="22"/>
          <w:lang w:eastAsia="en-US"/>
        </w:rPr>
      </w:pPr>
      <w:r w:rsidRPr="00EC1A78">
        <w:rPr>
          <w:rFonts w:eastAsiaTheme="minorHAnsi"/>
          <w:iCs/>
          <w:sz w:val="22"/>
          <w:szCs w:val="22"/>
          <w:lang w:eastAsia="en-US"/>
        </w:rPr>
        <w:t>Кубанский государственный аграрный</w:t>
      </w:r>
    </w:p>
    <w:p w:rsidR="00EC1A78" w:rsidRPr="00EC1A78" w:rsidRDefault="00EC1A78" w:rsidP="00EC1A78">
      <w:pPr>
        <w:autoSpaceDE w:val="0"/>
        <w:autoSpaceDN w:val="0"/>
        <w:adjustRightInd w:val="0"/>
        <w:ind w:firstLine="425"/>
        <w:jc w:val="right"/>
        <w:rPr>
          <w:rFonts w:eastAsiaTheme="minorHAnsi"/>
          <w:iCs/>
          <w:sz w:val="22"/>
          <w:szCs w:val="22"/>
          <w:lang w:eastAsia="en-US"/>
        </w:rPr>
      </w:pPr>
      <w:r w:rsidRPr="00EC1A78">
        <w:rPr>
          <w:rFonts w:eastAsiaTheme="minorHAnsi"/>
          <w:iCs/>
          <w:sz w:val="22"/>
          <w:szCs w:val="22"/>
          <w:lang w:eastAsia="en-US"/>
        </w:rPr>
        <w:t>университет имени И.</w:t>
      </w:r>
      <w:r w:rsidR="003A6F86">
        <w:rPr>
          <w:rFonts w:eastAsiaTheme="minorHAnsi"/>
          <w:iCs/>
          <w:sz w:val="22"/>
          <w:szCs w:val="22"/>
          <w:lang w:eastAsia="en-US"/>
        </w:rPr>
        <w:t xml:space="preserve"> </w:t>
      </w:r>
      <w:r w:rsidRPr="00EC1A78">
        <w:rPr>
          <w:rFonts w:eastAsiaTheme="minorHAnsi"/>
          <w:iCs/>
          <w:sz w:val="22"/>
          <w:szCs w:val="22"/>
          <w:lang w:eastAsia="en-US"/>
        </w:rPr>
        <w:t>Т. Трубилина</w:t>
      </w:r>
    </w:p>
    <w:p w:rsidR="00EC1A78" w:rsidRPr="00EC1A78" w:rsidRDefault="00EC1A78" w:rsidP="00EC1A78">
      <w:pPr>
        <w:autoSpaceDE w:val="0"/>
        <w:autoSpaceDN w:val="0"/>
        <w:adjustRightInd w:val="0"/>
        <w:ind w:firstLine="425"/>
        <w:jc w:val="both"/>
        <w:rPr>
          <w:rFonts w:eastAsiaTheme="minorHAnsi"/>
          <w:sz w:val="22"/>
          <w:szCs w:val="22"/>
          <w:shd w:val="clear" w:color="auto" w:fill="FFFFFF"/>
          <w:lang w:eastAsia="en-US"/>
        </w:rPr>
      </w:pPr>
    </w:p>
    <w:p w:rsidR="00EC1A78" w:rsidRPr="00EC1A78" w:rsidRDefault="00EC1A78" w:rsidP="00EC1A78">
      <w:pPr>
        <w:autoSpaceDE w:val="0"/>
        <w:autoSpaceDN w:val="0"/>
        <w:adjustRightInd w:val="0"/>
        <w:ind w:firstLine="425"/>
        <w:jc w:val="both"/>
        <w:rPr>
          <w:rFonts w:eastAsiaTheme="minorHAnsi"/>
          <w:iCs/>
          <w:sz w:val="22"/>
          <w:szCs w:val="22"/>
          <w:lang w:val="en-US" w:eastAsia="en-US"/>
        </w:rPr>
      </w:pPr>
      <w:r w:rsidRPr="00EC1A78">
        <w:rPr>
          <w:rFonts w:eastAsiaTheme="minorHAnsi"/>
          <w:sz w:val="22"/>
          <w:szCs w:val="22"/>
          <w:lang w:eastAsia="en-US"/>
        </w:rPr>
        <w:t>АННОТАЦИЯ:</w:t>
      </w:r>
      <w:r w:rsidRPr="00EC1A78">
        <w:rPr>
          <w:rFonts w:eastAsiaTheme="minorHAnsi"/>
          <w:b/>
          <w:bCs/>
          <w:i/>
          <w:iCs/>
          <w:sz w:val="22"/>
          <w:szCs w:val="22"/>
          <w:lang w:eastAsia="en-US"/>
        </w:rPr>
        <w:t xml:space="preserve"> </w:t>
      </w:r>
      <w:r w:rsidRPr="00EC1A78">
        <w:rPr>
          <w:rFonts w:eastAsiaTheme="minorHAnsi"/>
          <w:iCs/>
          <w:sz w:val="22"/>
          <w:szCs w:val="22"/>
          <w:lang w:eastAsia="en-US"/>
        </w:rPr>
        <w:t>в статье исследуется вопрос о закреплении в нормативных правовых актах вопроса об эвтаназии на междунаро</w:t>
      </w:r>
      <w:r w:rsidRPr="00EC1A78">
        <w:rPr>
          <w:rFonts w:eastAsiaTheme="minorHAnsi"/>
          <w:iCs/>
          <w:sz w:val="22"/>
          <w:szCs w:val="22"/>
          <w:lang w:eastAsia="en-US"/>
        </w:rPr>
        <w:t>д</w:t>
      </w:r>
      <w:r w:rsidRPr="00EC1A78">
        <w:rPr>
          <w:rFonts w:eastAsiaTheme="minorHAnsi"/>
          <w:iCs/>
          <w:sz w:val="22"/>
          <w:szCs w:val="22"/>
          <w:lang w:eastAsia="en-US"/>
        </w:rPr>
        <w:t>ном уровне, а также в национальном законодательстве. Сформул</w:t>
      </w:r>
      <w:r w:rsidRPr="00EC1A78">
        <w:rPr>
          <w:rFonts w:eastAsiaTheme="minorHAnsi"/>
          <w:iCs/>
          <w:sz w:val="22"/>
          <w:szCs w:val="22"/>
          <w:lang w:eastAsia="en-US"/>
        </w:rPr>
        <w:t>и</w:t>
      </w:r>
      <w:r w:rsidRPr="00EC1A78">
        <w:rPr>
          <w:rFonts w:eastAsiaTheme="minorHAnsi"/>
          <w:iCs/>
          <w:sz w:val="22"/>
          <w:szCs w:val="22"/>
          <w:lang w:eastAsia="en-US"/>
        </w:rPr>
        <w:t>рованы</w:t>
      </w:r>
      <w:r w:rsidRPr="00EC1A78">
        <w:rPr>
          <w:rFonts w:eastAsiaTheme="minorHAnsi"/>
          <w:iCs/>
          <w:sz w:val="22"/>
          <w:szCs w:val="22"/>
          <w:lang w:val="en-US" w:eastAsia="en-US"/>
        </w:rPr>
        <w:t xml:space="preserve"> </w:t>
      </w:r>
      <w:r w:rsidRPr="00EC1A78">
        <w:rPr>
          <w:rFonts w:eastAsiaTheme="minorHAnsi"/>
          <w:iCs/>
          <w:sz w:val="22"/>
          <w:szCs w:val="22"/>
          <w:lang w:eastAsia="en-US"/>
        </w:rPr>
        <w:t>предложения</w:t>
      </w:r>
      <w:r w:rsidRPr="00EC1A78">
        <w:rPr>
          <w:rFonts w:eastAsiaTheme="minorHAnsi"/>
          <w:iCs/>
          <w:sz w:val="22"/>
          <w:szCs w:val="22"/>
          <w:lang w:val="en-US" w:eastAsia="en-US"/>
        </w:rPr>
        <w:t xml:space="preserve"> </w:t>
      </w:r>
      <w:r w:rsidRPr="00EC1A78">
        <w:rPr>
          <w:rFonts w:eastAsiaTheme="minorHAnsi"/>
          <w:iCs/>
          <w:sz w:val="22"/>
          <w:szCs w:val="22"/>
          <w:lang w:eastAsia="en-US"/>
        </w:rPr>
        <w:t>о</w:t>
      </w:r>
      <w:r w:rsidRPr="00EC1A78">
        <w:rPr>
          <w:rFonts w:eastAsiaTheme="minorHAnsi"/>
          <w:iCs/>
          <w:sz w:val="22"/>
          <w:szCs w:val="22"/>
          <w:lang w:val="en-US" w:eastAsia="en-US"/>
        </w:rPr>
        <w:t xml:space="preserve"> правовом </w:t>
      </w:r>
      <w:r w:rsidRPr="00EC1A78">
        <w:rPr>
          <w:rFonts w:eastAsiaTheme="minorHAnsi"/>
          <w:iCs/>
          <w:sz w:val="22"/>
          <w:szCs w:val="22"/>
          <w:lang w:eastAsia="en-US"/>
        </w:rPr>
        <w:t>регулировании</w:t>
      </w:r>
      <w:r w:rsidRPr="00EC1A78">
        <w:rPr>
          <w:rFonts w:eastAsiaTheme="minorHAnsi"/>
          <w:iCs/>
          <w:sz w:val="22"/>
          <w:szCs w:val="22"/>
          <w:lang w:val="en-US" w:eastAsia="en-US"/>
        </w:rPr>
        <w:t xml:space="preserve"> </w:t>
      </w:r>
      <w:r w:rsidRPr="00EC1A78">
        <w:rPr>
          <w:rFonts w:eastAsiaTheme="minorHAnsi"/>
          <w:iCs/>
          <w:sz w:val="22"/>
          <w:szCs w:val="22"/>
          <w:lang w:eastAsia="en-US"/>
        </w:rPr>
        <w:t>эвтаназии</w:t>
      </w:r>
      <w:r w:rsidRPr="00EC1A78">
        <w:rPr>
          <w:rFonts w:eastAsiaTheme="minorHAnsi"/>
          <w:iCs/>
          <w:sz w:val="22"/>
          <w:szCs w:val="22"/>
          <w:lang w:val="en-US" w:eastAsia="en-US"/>
        </w:rPr>
        <w:t>.</w:t>
      </w:r>
    </w:p>
    <w:p w:rsidR="00EC1A78" w:rsidRPr="00EC1A78" w:rsidRDefault="00EC1A78" w:rsidP="00EC1A78">
      <w:pPr>
        <w:shd w:val="clear" w:color="auto" w:fill="FFFFFF"/>
        <w:ind w:firstLine="425"/>
        <w:jc w:val="both"/>
        <w:rPr>
          <w:sz w:val="22"/>
          <w:szCs w:val="22"/>
          <w:lang w:val="en-US"/>
        </w:rPr>
      </w:pPr>
      <w:r w:rsidRPr="00EC1A78">
        <w:rPr>
          <w:sz w:val="22"/>
          <w:szCs w:val="22"/>
          <w:lang w:val="en-US"/>
        </w:rPr>
        <w:t>ABSTRACT: the article explores the issue of fixing the issue of e</w:t>
      </w:r>
      <w:r w:rsidRPr="00EC1A78">
        <w:rPr>
          <w:sz w:val="22"/>
          <w:szCs w:val="22"/>
          <w:lang w:val="en-US"/>
        </w:rPr>
        <w:t>u</w:t>
      </w:r>
      <w:r w:rsidRPr="00EC1A78">
        <w:rPr>
          <w:sz w:val="22"/>
          <w:szCs w:val="22"/>
          <w:lang w:val="en-US"/>
        </w:rPr>
        <w:t xml:space="preserve">thanasia in national legislation, as well as at the international level, in </w:t>
      </w:r>
      <w:r w:rsidRPr="00EC1A78">
        <w:rPr>
          <w:sz w:val="22"/>
          <w:szCs w:val="22"/>
          <w:lang w:val="en-US"/>
        </w:rPr>
        <w:lastRenderedPageBreak/>
        <w:t>normative legal acts. Proposals on the regulation of euthanasia are fo</w:t>
      </w:r>
      <w:r w:rsidRPr="00EC1A78">
        <w:rPr>
          <w:sz w:val="22"/>
          <w:szCs w:val="22"/>
          <w:lang w:val="en-US"/>
        </w:rPr>
        <w:t>r</w:t>
      </w:r>
      <w:r w:rsidRPr="00EC1A78">
        <w:rPr>
          <w:sz w:val="22"/>
          <w:szCs w:val="22"/>
          <w:lang w:val="en-US"/>
        </w:rPr>
        <w:t>mulated.</w:t>
      </w:r>
    </w:p>
    <w:p w:rsidR="00EC1A78" w:rsidRPr="00EC1A78" w:rsidRDefault="00EC1A78" w:rsidP="00EC1A78">
      <w:pPr>
        <w:shd w:val="clear" w:color="auto" w:fill="FFFFFF"/>
        <w:ind w:firstLine="425"/>
        <w:jc w:val="both"/>
        <w:rPr>
          <w:sz w:val="22"/>
          <w:szCs w:val="22"/>
          <w:lang w:val="en-US"/>
        </w:rPr>
      </w:pPr>
      <w:r w:rsidRPr="00EC1A78">
        <w:rPr>
          <w:sz w:val="22"/>
          <w:szCs w:val="22"/>
        </w:rPr>
        <w:t>КЛЮЧЕВЫЕ</w:t>
      </w:r>
      <w:r w:rsidRPr="00EC1A78">
        <w:rPr>
          <w:sz w:val="22"/>
          <w:szCs w:val="22"/>
          <w:lang w:val="en-US"/>
        </w:rPr>
        <w:t xml:space="preserve"> </w:t>
      </w:r>
      <w:r w:rsidRPr="00EC1A78">
        <w:rPr>
          <w:sz w:val="22"/>
          <w:szCs w:val="22"/>
        </w:rPr>
        <w:t>СЛОВА</w:t>
      </w:r>
      <w:r w:rsidRPr="00EC1A78">
        <w:rPr>
          <w:sz w:val="22"/>
          <w:szCs w:val="22"/>
          <w:lang w:val="en-US"/>
        </w:rPr>
        <w:t xml:space="preserve">: </w:t>
      </w:r>
      <w:r w:rsidRPr="00EC1A78">
        <w:rPr>
          <w:iCs/>
          <w:sz w:val="22"/>
          <w:szCs w:val="22"/>
        </w:rPr>
        <w:t>жизнь</w:t>
      </w:r>
      <w:r w:rsidRPr="00EC1A78">
        <w:rPr>
          <w:iCs/>
          <w:sz w:val="22"/>
          <w:szCs w:val="22"/>
          <w:lang w:val="en-US"/>
        </w:rPr>
        <w:t xml:space="preserve">, </w:t>
      </w:r>
      <w:r w:rsidRPr="00EC1A78">
        <w:rPr>
          <w:iCs/>
          <w:sz w:val="22"/>
          <w:szCs w:val="22"/>
        </w:rPr>
        <w:t>эвтаназия</w:t>
      </w:r>
      <w:r w:rsidRPr="00EC1A78">
        <w:rPr>
          <w:iCs/>
          <w:sz w:val="22"/>
          <w:szCs w:val="22"/>
          <w:lang w:val="en-US"/>
        </w:rPr>
        <w:t xml:space="preserve">, </w:t>
      </w:r>
      <w:r w:rsidRPr="00EC1A78">
        <w:rPr>
          <w:iCs/>
          <w:sz w:val="22"/>
          <w:szCs w:val="22"/>
        </w:rPr>
        <w:t>активная</w:t>
      </w:r>
      <w:r w:rsidRPr="00EC1A78">
        <w:rPr>
          <w:iCs/>
          <w:sz w:val="22"/>
          <w:szCs w:val="22"/>
          <w:lang w:val="en-US"/>
        </w:rPr>
        <w:t xml:space="preserve"> </w:t>
      </w:r>
      <w:r w:rsidRPr="00EC1A78">
        <w:rPr>
          <w:iCs/>
          <w:sz w:val="22"/>
          <w:szCs w:val="22"/>
        </w:rPr>
        <w:t>эвтаназия</w:t>
      </w:r>
      <w:r w:rsidRPr="00EC1A78">
        <w:rPr>
          <w:iCs/>
          <w:sz w:val="22"/>
          <w:szCs w:val="22"/>
          <w:lang w:val="en-US"/>
        </w:rPr>
        <w:t xml:space="preserve">, </w:t>
      </w:r>
      <w:r w:rsidRPr="00EC1A78">
        <w:rPr>
          <w:iCs/>
          <w:sz w:val="22"/>
          <w:szCs w:val="22"/>
        </w:rPr>
        <w:t>пассивная</w:t>
      </w:r>
      <w:r w:rsidRPr="00EC1A78">
        <w:rPr>
          <w:iCs/>
          <w:sz w:val="22"/>
          <w:szCs w:val="22"/>
          <w:lang w:val="en-US"/>
        </w:rPr>
        <w:t xml:space="preserve"> </w:t>
      </w:r>
      <w:r w:rsidRPr="00EC1A78">
        <w:rPr>
          <w:iCs/>
          <w:sz w:val="22"/>
          <w:szCs w:val="22"/>
        </w:rPr>
        <w:t>эвтаназия</w:t>
      </w:r>
      <w:r w:rsidRPr="00EC1A78">
        <w:rPr>
          <w:iCs/>
          <w:sz w:val="22"/>
          <w:szCs w:val="22"/>
          <w:lang w:val="en-US"/>
        </w:rPr>
        <w:t xml:space="preserve">, </w:t>
      </w:r>
      <w:r w:rsidRPr="00EC1A78">
        <w:rPr>
          <w:iCs/>
          <w:sz w:val="22"/>
          <w:szCs w:val="22"/>
        </w:rPr>
        <w:t>убийство</w:t>
      </w:r>
      <w:r w:rsidRPr="00EC1A78">
        <w:rPr>
          <w:iCs/>
          <w:sz w:val="22"/>
          <w:szCs w:val="22"/>
          <w:lang w:val="en-US"/>
        </w:rPr>
        <w:t>.</w:t>
      </w:r>
    </w:p>
    <w:p w:rsidR="00EC1A78" w:rsidRPr="00EC1A78" w:rsidRDefault="00EC1A78" w:rsidP="00EC1A78">
      <w:pPr>
        <w:autoSpaceDE w:val="0"/>
        <w:autoSpaceDN w:val="0"/>
        <w:adjustRightInd w:val="0"/>
        <w:ind w:firstLine="425"/>
        <w:jc w:val="both"/>
        <w:rPr>
          <w:rFonts w:eastAsiaTheme="minorHAnsi"/>
          <w:sz w:val="22"/>
          <w:szCs w:val="22"/>
          <w:lang w:val="en-US" w:eastAsia="en-US"/>
        </w:rPr>
      </w:pPr>
      <w:r w:rsidRPr="00EC1A78">
        <w:rPr>
          <w:rFonts w:eastAsiaTheme="minorHAnsi"/>
          <w:sz w:val="22"/>
          <w:szCs w:val="22"/>
          <w:lang w:val="en-US" w:eastAsia="en-US"/>
        </w:rPr>
        <w:t>KEYWORDS: life, euthanasia, active euthanasia, passive euthan</w:t>
      </w:r>
      <w:r w:rsidRPr="00EC1A78">
        <w:rPr>
          <w:rFonts w:eastAsiaTheme="minorHAnsi"/>
          <w:sz w:val="22"/>
          <w:szCs w:val="22"/>
          <w:lang w:val="en-US" w:eastAsia="en-US"/>
        </w:rPr>
        <w:t>a</w:t>
      </w:r>
      <w:r w:rsidRPr="00EC1A78">
        <w:rPr>
          <w:rFonts w:eastAsiaTheme="minorHAnsi"/>
          <w:sz w:val="22"/>
          <w:szCs w:val="22"/>
          <w:lang w:val="en-US" w:eastAsia="en-US"/>
        </w:rPr>
        <w:t>sia, murder.</w:t>
      </w:r>
    </w:p>
    <w:p w:rsidR="00EC1A78" w:rsidRPr="00EC1A78" w:rsidRDefault="00EC1A78" w:rsidP="00EC1A78">
      <w:pPr>
        <w:autoSpaceDE w:val="0"/>
        <w:autoSpaceDN w:val="0"/>
        <w:adjustRightInd w:val="0"/>
        <w:ind w:firstLine="425"/>
        <w:jc w:val="both"/>
        <w:rPr>
          <w:rFonts w:eastAsiaTheme="minorHAnsi"/>
          <w:sz w:val="22"/>
          <w:szCs w:val="22"/>
          <w:lang w:val="en-US" w:eastAsia="en-US"/>
        </w:rPr>
      </w:pP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Жизнь – это важнейшее и наиболее ценное нематериальное благо, являющееся необходимым условием для возникновения у лица всех иных субъективных прав. Одним из острых вопросов о жизни человека является ее окончание. Будет ли нарушение права на жизнь если будет совершена эвтаназия. Согласно Новой фил</w:t>
      </w:r>
      <w:r w:rsidRPr="00EC1A78">
        <w:rPr>
          <w:rFonts w:eastAsiaTheme="minorHAnsi"/>
          <w:sz w:val="22"/>
          <w:szCs w:val="22"/>
          <w:lang w:eastAsia="en-US"/>
        </w:rPr>
        <w:t>о</w:t>
      </w:r>
      <w:r w:rsidRPr="00EC1A78">
        <w:rPr>
          <w:rFonts w:eastAsiaTheme="minorHAnsi"/>
          <w:sz w:val="22"/>
          <w:szCs w:val="22"/>
          <w:lang w:eastAsia="en-US"/>
        </w:rPr>
        <w:t xml:space="preserve">софской энциклопедии «эвтаназия» от греческого «благая, хорошая смерть» </w:t>
      </w:r>
      <w:r w:rsidRPr="00EC1A78">
        <w:rPr>
          <w:rFonts w:eastAsiaTheme="minorHAnsi"/>
          <w:sz w:val="22"/>
          <w:szCs w:val="22"/>
          <w:shd w:val="clear" w:color="auto" w:fill="FFFFFF"/>
          <w:lang w:eastAsia="en-US"/>
        </w:rPr>
        <w:t>[1].</w:t>
      </w:r>
    </w:p>
    <w:p w:rsidR="00EC1A78" w:rsidRPr="00EC1A78" w:rsidRDefault="00EC1A78" w:rsidP="00EC1A78">
      <w:pPr>
        <w:autoSpaceDE w:val="0"/>
        <w:autoSpaceDN w:val="0"/>
        <w:adjustRightInd w:val="0"/>
        <w:ind w:firstLine="425"/>
        <w:jc w:val="both"/>
        <w:rPr>
          <w:rFonts w:eastAsiaTheme="minorHAnsi"/>
          <w:sz w:val="22"/>
          <w:szCs w:val="22"/>
          <w:shd w:val="clear" w:color="auto" w:fill="FFFFFF"/>
          <w:lang w:eastAsia="en-US"/>
        </w:rPr>
      </w:pPr>
      <w:r w:rsidRPr="00EC1A78">
        <w:rPr>
          <w:rFonts w:eastAsiaTheme="minorHAnsi"/>
          <w:sz w:val="22"/>
          <w:szCs w:val="22"/>
          <w:lang w:eastAsia="en-US"/>
        </w:rPr>
        <w:t>Различают пассивную и активную эвтаназию. Пассивная эвт</w:t>
      </w:r>
      <w:r w:rsidRPr="00EC1A78">
        <w:rPr>
          <w:rFonts w:eastAsiaTheme="minorHAnsi"/>
          <w:sz w:val="22"/>
          <w:szCs w:val="22"/>
          <w:lang w:eastAsia="en-US"/>
        </w:rPr>
        <w:t>а</w:t>
      </w:r>
      <w:r w:rsidRPr="00EC1A78">
        <w:rPr>
          <w:rFonts w:eastAsiaTheme="minorHAnsi"/>
          <w:sz w:val="22"/>
          <w:szCs w:val="22"/>
          <w:lang w:eastAsia="en-US"/>
        </w:rPr>
        <w:t>назия – это отказ от жизнеподдерживающего лечения, когда оно либо прекращается, либо вообще не начинается. Активная эвтан</w:t>
      </w:r>
      <w:r w:rsidRPr="00EC1A78">
        <w:rPr>
          <w:rFonts w:eastAsiaTheme="minorHAnsi"/>
          <w:sz w:val="22"/>
          <w:szCs w:val="22"/>
          <w:lang w:eastAsia="en-US"/>
        </w:rPr>
        <w:t>а</w:t>
      </w:r>
      <w:r w:rsidRPr="00EC1A78">
        <w:rPr>
          <w:rFonts w:eastAsiaTheme="minorHAnsi"/>
          <w:sz w:val="22"/>
          <w:szCs w:val="22"/>
          <w:lang w:eastAsia="en-US"/>
        </w:rPr>
        <w:t>зия означает преднамеренное действие с целью прервать жизнь п</w:t>
      </w:r>
      <w:r w:rsidRPr="00EC1A78">
        <w:rPr>
          <w:rFonts w:eastAsiaTheme="minorHAnsi"/>
          <w:sz w:val="22"/>
          <w:szCs w:val="22"/>
          <w:lang w:eastAsia="en-US"/>
        </w:rPr>
        <w:t>а</w:t>
      </w:r>
      <w:r w:rsidRPr="00EC1A78">
        <w:rPr>
          <w:rFonts w:eastAsiaTheme="minorHAnsi"/>
          <w:sz w:val="22"/>
          <w:szCs w:val="22"/>
          <w:lang w:eastAsia="en-US"/>
        </w:rPr>
        <w:t xml:space="preserve">циента, например путем инъекции средства, вызывающего смерть </w:t>
      </w:r>
      <w:r w:rsidRPr="00EC1A78">
        <w:rPr>
          <w:rFonts w:eastAsiaTheme="minorHAnsi"/>
          <w:sz w:val="22"/>
          <w:szCs w:val="22"/>
          <w:shd w:val="clear" w:color="auto" w:fill="FFFFFF"/>
          <w:lang w:eastAsia="en-US"/>
        </w:rPr>
        <w:t>[1].</w:t>
      </w:r>
    </w:p>
    <w:p w:rsidR="00EC1A78" w:rsidRPr="00EC1A78" w:rsidRDefault="00EC1A78" w:rsidP="00EC1A78">
      <w:pPr>
        <w:ind w:firstLine="425"/>
        <w:jc w:val="both"/>
        <w:rPr>
          <w:color w:val="000000"/>
          <w:sz w:val="22"/>
          <w:szCs w:val="22"/>
          <w:shd w:val="clear" w:color="auto" w:fill="FFFFFF"/>
        </w:rPr>
      </w:pPr>
      <w:bookmarkStart w:id="16" w:name="681"/>
      <w:r w:rsidRPr="00EC1A78">
        <w:rPr>
          <w:color w:val="000000"/>
          <w:sz w:val="22"/>
          <w:szCs w:val="22"/>
          <w:shd w:val="clear" w:color="auto" w:fill="FFFFFF"/>
        </w:rPr>
        <w:t>К числу международных правовых актов, регулирующих право на жизнь и тем самым невольно имеющим отношение к эвтаназии, относятся «Всеобщая декларация прав человека» 1948 г., «Межд</w:t>
      </w:r>
      <w:r w:rsidRPr="00EC1A78">
        <w:rPr>
          <w:color w:val="000000"/>
          <w:sz w:val="22"/>
          <w:szCs w:val="22"/>
          <w:shd w:val="clear" w:color="auto" w:fill="FFFFFF"/>
        </w:rPr>
        <w:t>у</w:t>
      </w:r>
      <w:r w:rsidRPr="00EC1A78">
        <w:rPr>
          <w:color w:val="000000"/>
          <w:sz w:val="22"/>
          <w:szCs w:val="22"/>
          <w:shd w:val="clear" w:color="auto" w:fill="FFFFFF"/>
        </w:rPr>
        <w:t>народный пакт о гражданских и политических правах» 1966  г., «Европейская конвенция по защите прав человека и основных св</w:t>
      </w:r>
      <w:r w:rsidRPr="00EC1A78">
        <w:rPr>
          <w:color w:val="000000"/>
          <w:sz w:val="22"/>
          <w:szCs w:val="22"/>
          <w:shd w:val="clear" w:color="auto" w:fill="FFFFFF"/>
        </w:rPr>
        <w:t>о</w:t>
      </w:r>
      <w:r w:rsidRPr="00EC1A78">
        <w:rPr>
          <w:color w:val="000000"/>
          <w:sz w:val="22"/>
          <w:szCs w:val="22"/>
          <w:shd w:val="clear" w:color="auto" w:fill="FFFFFF"/>
        </w:rPr>
        <w:t>бод» 1950 г. и другие нормативные правовые акты. Однако напр</w:t>
      </w:r>
      <w:r w:rsidRPr="00EC1A78">
        <w:rPr>
          <w:color w:val="000000"/>
          <w:sz w:val="22"/>
          <w:szCs w:val="22"/>
          <w:shd w:val="clear" w:color="auto" w:fill="FFFFFF"/>
        </w:rPr>
        <w:t>я</w:t>
      </w:r>
      <w:r w:rsidRPr="00EC1A78">
        <w:rPr>
          <w:color w:val="000000"/>
          <w:sz w:val="22"/>
          <w:szCs w:val="22"/>
          <w:shd w:val="clear" w:color="auto" w:fill="FFFFFF"/>
        </w:rPr>
        <w:t>мую в нормах международного права вопрос об эвтаназии не урег</w:t>
      </w:r>
      <w:r w:rsidRPr="00EC1A78">
        <w:rPr>
          <w:color w:val="000000"/>
          <w:sz w:val="22"/>
          <w:szCs w:val="22"/>
          <w:shd w:val="clear" w:color="auto" w:fill="FFFFFF"/>
        </w:rPr>
        <w:t>у</w:t>
      </w:r>
      <w:r w:rsidRPr="00EC1A78">
        <w:rPr>
          <w:color w:val="000000"/>
          <w:sz w:val="22"/>
          <w:szCs w:val="22"/>
          <w:shd w:val="clear" w:color="auto" w:fill="FFFFFF"/>
        </w:rPr>
        <w:t>лирован и по сей день.</w:t>
      </w:r>
      <w:bookmarkEnd w:id="16"/>
      <w:r w:rsidRPr="00EC1A78">
        <w:rPr>
          <w:color w:val="000000"/>
          <w:sz w:val="22"/>
          <w:szCs w:val="22"/>
          <w:shd w:val="clear" w:color="auto" w:fill="FFFFFF"/>
        </w:rPr>
        <w:t xml:space="preserve"> В настоящее время пассивная эвтаназия з</w:t>
      </w:r>
      <w:r w:rsidRPr="00EC1A78">
        <w:rPr>
          <w:color w:val="000000"/>
          <w:sz w:val="22"/>
          <w:szCs w:val="22"/>
          <w:shd w:val="clear" w:color="auto" w:fill="FFFFFF"/>
        </w:rPr>
        <w:t>а</w:t>
      </w:r>
      <w:r w:rsidRPr="00EC1A78">
        <w:rPr>
          <w:color w:val="000000"/>
          <w:sz w:val="22"/>
          <w:szCs w:val="22"/>
          <w:shd w:val="clear" w:color="auto" w:fill="FFFFFF"/>
        </w:rPr>
        <w:t>конодательно разрешена более чем в 40 государствах м</w:t>
      </w:r>
      <w:r w:rsidRPr="00EC1A78">
        <w:rPr>
          <w:color w:val="000000"/>
          <w:sz w:val="22"/>
          <w:szCs w:val="22"/>
          <w:shd w:val="clear" w:color="auto" w:fill="FFFFFF"/>
        </w:rPr>
        <w:t>и</w:t>
      </w:r>
      <w:r w:rsidRPr="00EC1A78">
        <w:rPr>
          <w:color w:val="000000"/>
          <w:sz w:val="22"/>
          <w:szCs w:val="22"/>
          <w:shd w:val="clear" w:color="auto" w:fill="FFFFFF"/>
        </w:rPr>
        <w:t>ра. </w:t>
      </w:r>
      <w:r w:rsidRPr="00EC1A78">
        <w:rPr>
          <w:sz w:val="22"/>
          <w:szCs w:val="22"/>
        </w:rPr>
        <w:t>Эвтаназия разрешена в Нидерландах, Бельгии, Голландии, Швейцарии, Люксембурге, Канаде, в некоторых штатах США.</w:t>
      </w:r>
    </w:p>
    <w:p w:rsidR="00EC1A78" w:rsidRPr="00EC1A78" w:rsidRDefault="00EC1A78" w:rsidP="00EC1A78">
      <w:pPr>
        <w:autoSpaceDE w:val="0"/>
        <w:autoSpaceDN w:val="0"/>
        <w:adjustRightInd w:val="0"/>
        <w:ind w:firstLine="425"/>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Такие государства, как Нидерланды и Бельгия, легализовали эвтаназию одними из первых. В Нидерландах с 2001 года действует Закон о прекращении жизни по собственной просьбе и об ассист</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руемом суициде, согласно которому врач может подвергнуть пац</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 xml:space="preserve">ента процедуре эвтаназии при соблюдении определенных условий. Актом отдельно регулируются ситуации применения эвтаназии к детям от шестнадцати до восемнадцати лет и от двенадцати до </w:t>
      </w:r>
      <w:r w:rsidRPr="00EC1A78">
        <w:rPr>
          <w:rFonts w:eastAsiaTheme="minorHAnsi"/>
          <w:sz w:val="22"/>
          <w:szCs w:val="22"/>
          <w:shd w:val="clear" w:color="auto" w:fill="FFFFFF"/>
          <w:lang w:eastAsia="en-US"/>
        </w:rPr>
        <w:lastRenderedPageBreak/>
        <w:t>шестнадцати лет. В Бельгии с 2002 года эвтаназия может быть пр</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менена к пациентам, испытывающим длительные и постоянные страдания вследствие заболевания или травмы. На проведение пр</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цедуры требуется согласие пациента.</w:t>
      </w:r>
    </w:p>
    <w:p w:rsidR="00EC1A78" w:rsidRPr="00EC1A78" w:rsidRDefault="00EC1A78" w:rsidP="00EC1A78">
      <w:pPr>
        <w:tabs>
          <w:tab w:val="left" w:pos="851"/>
        </w:tabs>
        <w:ind w:firstLine="425"/>
        <w:jc w:val="both"/>
        <w:rPr>
          <w:rFonts w:eastAsiaTheme="minorHAnsi"/>
          <w:sz w:val="22"/>
          <w:szCs w:val="22"/>
          <w:lang w:eastAsia="en-US"/>
        </w:rPr>
      </w:pPr>
      <w:r w:rsidRPr="00EC1A78">
        <w:rPr>
          <w:rFonts w:eastAsiaTheme="minorHAnsi"/>
          <w:sz w:val="22"/>
          <w:szCs w:val="22"/>
          <w:shd w:val="clear" w:color="auto" w:fill="FFFFFF"/>
          <w:lang w:eastAsia="en-US"/>
        </w:rPr>
        <w:t>Однако законодательство об эвтаназии эволюционирует, ра</w:t>
      </w:r>
      <w:r w:rsidRPr="00EC1A78">
        <w:rPr>
          <w:rFonts w:eastAsiaTheme="minorHAnsi"/>
          <w:sz w:val="22"/>
          <w:szCs w:val="22"/>
          <w:shd w:val="clear" w:color="auto" w:fill="FFFFFF"/>
          <w:lang w:eastAsia="en-US"/>
        </w:rPr>
        <w:t>с</w:t>
      </w:r>
      <w:r w:rsidRPr="00EC1A78">
        <w:rPr>
          <w:rFonts w:eastAsiaTheme="minorHAnsi"/>
          <w:sz w:val="22"/>
          <w:szCs w:val="22"/>
          <w:shd w:val="clear" w:color="auto" w:fill="FFFFFF"/>
          <w:lang w:eastAsia="en-US"/>
        </w:rPr>
        <w:t xml:space="preserve">ширяется предмет его регулирования. В 2014 году в Бельгии был принят закон, </w:t>
      </w:r>
      <w:r w:rsidRPr="00EC1A78">
        <w:rPr>
          <w:rFonts w:eastAsiaTheme="minorHAnsi"/>
          <w:sz w:val="22"/>
          <w:szCs w:val="22"/>
          <w:lang w:eastAsia="en-US"/>
        </w:rPr>
        <w:t>снимающий ограничение на применение этой проц</w:t>
      </w:r>
      <w:r w:rsidRPr="00EC1A78">
        <w:rPr>
          <w:rFonts w:eastAsiaTheme="minorHAnsi"/>
          <w:sz w:val="22"/>
          <w:szCs w:val="22"/>
          <w:lang w:eastAsia="en-US"/>
        </w:rPr>
        <w:t>е</w:t>
      </w:r>
      <w:r w:rsidRPr="00EC1A78">
        <w:rPr>
          <w:rFonts w:eastAsiaTheme="minorHAnsi"/>
          <w:sz w:val="22"/>
          <w:szCs w:val="22"/>
          <w:lang w:eastAsia="en-US"/>
        </w:rPr>
        <w:t>дуры в отношении несовершеннолетних, и спустя два</w:t>
      </w:r>
      <w:r w:rsidRPr="00EC1A78">
        <w:rPr>
          <w:rFonts w:eastAsiaTheme="minorHAnsi"/>
          <w:sz w:val="22"/>
          <w:szCs w:val="22"/>
          <w:shd w:val="clear" w:color="auto" w:fill="FFFFFF"/>
          <w:lang w:eastAsia="en-US"/>
        </w:rPr>
        <w:t xml:space="preserve"> года в 2016 году п</w:t>
      </w:r>
      <w:r w:rsidRPr="00EC1A78">
        <w:rPr>
          <w:rFonts w:eastAsiaTheme="minorHAnsi"/>
          <w:sz w:val="22"/>
          <w:szCs w:val="22"/>
          <w:lang w:eastAsia="en-US"/>
        </w:rPr>
        <w:t>ервый неизлечимо больной ребенок подвергся эвтаназии.</w:t>
      </w:r>
      <w:r w:rsidRPr="00EC1A78">
        <w:rPr>
          <w:rFonts w:eastAsiaTheme="minorHAnsi"/>
          <w:b/>
          <w:bCs/>
          <w:sz w:val="22"/>
          <w:szCs w:val="22"/>
          <w:lang w:eastAsia="en-US"/>
        </w:rPr>
        <w:t xml:space="preserve"> </w:t>
      </w:r>
      <w:r w:rsidRPr="00EC1A78">
        <w:rPr>
          <w:rFonts w:eastAsiaTheme="minorHAnsi"/>
          <w:sz w:val="22"/>
          <w:szCs w:val="22"/>
          <w:shd w:val="clear" w:color="auto" w:fill="FFFFFF"/>
          <w:lang w:eastAsia="en-US"/>
        </w:rPr>
        <w:t>В Нидерландах в данный момент обсуждается возможность примен</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ния эвтаназии к здоровым пожилым людям по их просьбе.</w:t>
      </w:r>
    </w:p>
    <w:p w:rsidR="00EC1A78" w:rsidRPr="00EC1A78" w:rsidRDefault="00EC1A78" w:rsidP="00EC1A78">
      <w:pPr>
        <w:ind w:firstLine="425"/>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В России существует запрет на осуществление эвтаназии, что, однако, не избавляет государство от необходимости решать пр</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блемы, возникающие в сфере нормативно–правового регулирования данных отношений.. При этом, несмотря на то, что понятие «эвт</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назия» получило нормативное закрепление, его объем и содержание нуждаются в уточнении. В статье 45 ФЗ 2011 года «Об основах охраны здоровья граждан в Российской Федерации» под эвтаназией понимается «</w:t>
      </w:r>
      <w:r w:rsidRPr="00EC1A78">
        <w:rPr>
          <w:rFonts w:eastAsiaTheme="minorHAnsi"/>
          <w:sz w:val="22"/>
          <w:szCs w:val="22"/>
          <w:lang w:eastAsia="en-US"/>
        </w:rPr>
        <w:t>ускорение по просьбе пациента его смерти какими–либо действиями (бездействием) или средствами, в том числе пр</w:t>
      </w:r>
      <w:r w:rsidRPr="00EC1A78">
        <w:rPr>
          <w:rFonts w:eastAsiaTheme="minorHAnsi"/>
          <w:sz w:val="22"/>
          <w:szCs w:val="22"/>
          <w:lang w:eastAsia="en-US"/>
        </w:rPr>
        <w:t>е</w:t>
      </w:r>
      <w:r w:rsidRPr="00EC1A78">
        <w:rPr>
          <w:rFonts w:eastAsiaTheme="minorHAnsi"/>
          <w:sz w:val="22"/>
          <w:szCs w:val="22"/>
          <w:lang w:eastAsia="en-US"/>
        </w:rPr>
        <w:t>кращение искусственных мероприятий по поддержанию жизни п</w:t>
      </w:r>
      <w:r w:rsidRPr="00EC1A78">
        <w:rPr>
          <w:rFonts w:eastAsiaTheme="minorHAnsi"/>
          <w:sz w:val="22"/>
          <w:szCs w:val="22"/>
          <w:lang w:eastAsia="en-US"/>
        </w:rPr>
        <w:t>а</w:t>
      </w:r>
      <w:r w:rsidRPr="00EC1A78">
        <w:rPr>
          <w:rFonts w:eastAsiaTheme="minorHAnsi"/>
          <w:sz w:val="22"/>
          <w:szCs w:val="22"/>
          <w:lang w:eastAsia="en-US"/>
        </w:rPr>
        <w:t>циента</w:t>
      </w:r>
      <w:r w:rsidRPr="00EC1A78">
        <w:rPr>
          <w:rFonts w:eastAsiaTheme="minorHAnsi"/>
          <w:sz w:val="22"/>
          <w:szCs w:val="22"/>
          <w:shd w:val="clear" w:color="auto" w:fill="FFFFFF"/>
          <w:lang w:eastAsia="en-US"/>
        </w:rPr>
        <w:t>» [2]. Данная статья устанавливает запрет на проведение э</w:t>
      </w:r>
      <w:r w:rsidRPr="00EC1A78">
        <w:rPr>
          <w:rFonts w:eastAsiaTheme="minorHAnsi"/>
          <w:sz w:val="22"/>
          <w:szCs w:val="22"/>
          <w:shd w:val="clear" w:color="auto" w:fill="FFFFFF"/>
          <w:lang w:eastAsia="en-US"/>
        </w:rPr>
        <w:t>в</w:t>
      </w:r>
      <w:r w:rsidRPr="00EC1A78">
        <w:rPr>
          <w:rFonts w:eastAsiaTheme="minorHAnsi"/>
          <w:sz w:val="22"/>
          <w:szCs w:val="22"/>
          <w:shd w:val="clear" w:color="auto" w:fill="FFFFFF"/>
          <w:lang w:eastAsia="en-US"/>
        </w:rPr>
        <w:t>таназии, из чего следует, что пациент не имеет права просить о с</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вершении действий, которые приведут к его смерти, так же как не имеет права отказаться от мероприятий, поддерживающих его жизнь. Однако возникает вопрос, каким образом положения статьи 45 соотносятся с частью 3 статьи 20 ФЗ, которая закрепляет за гражданином право отказаться от медицинского вмешательства или потребовать его прекращения.</w:t>
      </w:r>
    </w:p>
    <w:p w:rsidR="00EC1A78" w:rsidRPr="00EC1A78" w:rsidRDefault="00EC1A78" w:rsidP="00EC1A78">
      <w:pPr>
        <w:shd w:val="clear" w:color="auto" w:fill="FFFFFF"/>
        <w:ind w:firstLine="425"/>
        <w:jc w:val="both"/>
        <w:textAlignment w:val="baseline"/>
        <w:rPr>
          <w:sz w:val="22"/>
          <w:szCs w:val="22"/>
          <w:shd w:val="clear" w:color="auto" w:fill="FFFFFF"/>
          <w:lang w:eastAsia="en-US"/>
        </w:rPr>
      </w:pPr>
      <w:r w:rsidRPr="00EC1A78">
        <w:rPr>
          <w:sz w:val="22"/>
          <w:szCs w:val="22"/>
          <w:shd w:val="clear" w:color="auto" w:fill="FFFFFF"/>
          <w:lang w:eastAsia="en-US"/>
        </w:rPr>
        <w:t>Сегодня проблема эвтаназии в мире, в том числе и в России стоит очень серьезно. На наш взгляд, необходимо:</w:t>
      </w:r>
    </w:p>
    <w:p w:rsidR="00EC1A78" w:rsidRPr="00EC1A78" w:rsidRDefault="00EC1A78" w:rsidP="00EC1A78">
      <w:pPr>
        <w:shd w:val="clear" w:color="auto" w:fill="FFFFFF"/>
        <w:ind w:firstLine="425"/>
        <w:jc w:val="both"/>
        <w:textAlignment w:val="baseline"/>
        <w:rPr>
          <w:sz w:val="22"/>
          <w:szCs w:val="22"/>
          <w:shd w:val="clear" w:color="auto" w:fill="FFFFFF"/>
          <w:lang w:eastAsia="en-US"/>
        </w:rPr>
      </w:pPr>
      <w:r w:rsidRPr="00EC1A78">
        <w:rPr>
          <w:sz w:val="22"/>
          <w:szCs w:val="22"/>
          <w:shd w:val="clear" w:color="auto" w:fill="FFFFFF"/>
          <w:lang w:eastAsia="en-US"/>
        </w:rPr>
        <w:t>– разработать Медицинский Кодекс РФ, в котором закрепить в качестве отдельного правового института институт эвтаназии;</w:t>
      </w:r>
    </w:p>
    <w:p w:rsidR="00EC1A78" w:rsidRPr="00EC1A78" w:rsidRDefault="00EC1A78" w:rsidP="00EC1A78">
      <w:pPr>
        <w:shd w:val="clear" w:color="auto" w:fill="FFFFFF"/>
        <w:ind w:firstLine="425"/>
        <w:jc w:val="both"/>
        <w:textAlignment w:val="baseline"/>
        <w:rPr>
          <w:sz w:val="22"/>
          <w:szCs w:val="22"/>
          <w:shd w:val="clear" w:color="auto" w:fill="FFFFFF"/>
          <w:lang w:eastAsia="en-US"/>
        </w:rPr>
      </w:pPr>
      <w:r w:rsidRPr="00EC1A78">
        <w:rPr>
          <w:sz w:val="22"/>
          <w:szCs w:val="22"/>
          <w:shd w:val="clear" w:color="auto" w:fill="FFFFFF"/>
          <w:lang w:eastAsia="en-US"/>
        </w:rPr>
        <w:t>– на законодательном уровне закрепить возможность эвтан</w:t>
      </w:r>
      <w:r w:rsidRPr="00EC1A78">
        <w:rPr>
          <w:sz w:val="22"/>
          <w:szCs w:val="22"/>
          <w:shd w:val="clear" w:color="auto" w:fill="FFFFFF"/>
          <w:lang w:eastAsia="en-US"/>
        </w:rPr>
        <w:t>а</w:t>
      </w:r>
      <w:r w:rsidRPr="00EC1A78">
        <w:rPr>
          <w:sz w:val="22"/>
          <w:szCs w:val="22"/>
          <w:shd w:val="clear" w:color="auto" w:fill="FFFFFF"/>
          <w:lang w:eastAsia="en-US"/>
        </w:rPr>
        <w:t>зии, при обязательном соблюдении ряда условий (–предоставление паллиативной помощи; – проведение медицинского консилиума для определения степени боли и страданий пациента);</w:t>
      </w:r>
    </w:p>
    <w:p w:rsidR="00EC1A78" w:rsidRPr="00EC1A78" w:rsidRDefault="00EC1A78" w:rsidP="00EC1A78">
      <w:pPr>
        <w:shd w:val="clear" w:color="auto" w:fill="FFFFFF"/>
        <w:ind w:firstLine="425"/>
        <w:jc w:val="both"/>
        <w:textAlignment w:val="baseline"/>
        <w:rPr>
          <w:sz w:val="22"/>
          <w:szCs w:val="22"/>
          <w:shd w:val="clear" w:color="auto" w:fill="FFFFFF"/>
          <w:lang w:eastAsia="en-US"/>
        </w:rPr>
      </w:pPr>
      <w:r w:rsidRPr="00EC1A78">
        <w:rPr>
          <w:sz w:val="22"/>
          <w:szCs w:val="22"/>
          <w:shd w:val="clear" w:color="auto" w:fill="FFFFFF"/>
          <w:lang w:eastAsia="en-US"/>
        </w:rPr>
        <w:lastRenderedPageBreak/>
        <w:t>– обеспечить достаточное государственное финансирование паллиативных учреждений, увеличить их количество.</w:t>
      </w:r>
    </w:p>
    <w:p w:rsidR="00EC1A78" w:rsidRPr="00EC1A78" w:rsidRDefault="00EC1A78" w:rsidP="00EC1A78">
      <w:pPr>
        <w:shd w:val="clear" w:color="auto" w:fill="FFFFFF"/>
        <w:ind w:firstLine="425"/>
        <w:jc w:val="both"/>
        <w:textAlignment w:val="baseline"/>
        <w:rPr>
          <w:sz w:val="22"/>
          <w:szCs w:val="22"/>
        </w:rPr>
      </w:pPr>
      <w:r w:rsidRPr="00EC1A78">
        <w:rPr>
          <w:sz w:val="22"/>
          <w:szCs w:val="22"/>
        </w:rPr>
        <w:t>Подводя итоги, можно сказать, что причины, приводящие ч</w:t>
      </w:r>
      <w:r w:rsidRPr="00EC1A78">
        <w:rPr>
          <w:sz w:val="22"/>
          <w:szCs w:val="22"/>
        </w:rPr>
        <w:t>е</w:t>
      </w:r>
      <w:r w:rsidRPr="00EC1A78">
        <w:rPr>
          <w:sz w:val="22"/>
          <w:szCs w:val="22"/>
        </w:rPr>
        <w:t>ловека к принятию решения об эвтаназии, разнообразны, однако многие люди сохранили бы жизнь себе или своим родственникам, в случае получения достаточной бесплатной (входящей в ОМС) по</w:t>
      </w:r>
      <w:r w:rsidRPr="00EC1A78">
        <w:rPr>
          <w:sz w:val="22"/>
          <w:szCs w:val="22"/>
        </w:rPr>
        <w:t>д</w:t>
      </w:r>
      <w:r w:rsidRPr="00EC1A78">
        <w:rPr>
          <w:sz w:val="22"/>
          <w:szCs w:val="22"/>
        </w:rPr>
        <w:t>держки (в том числе психологической) от государства.</w:t>
      </w:r>
    </w:p>
    <w:p w:rsidR="00EC1A78" w:rsidRPr="00EC1A78" w:rsidRDefault="00EC1A78" w:rsidP="00EC1A78">
      <w:pPr>
        <w:ind w:firstLine="425"/>
        <w:jc w:val="both"/>
        <w:rPr>
          <w:rFonts w:eastAsiaTheme="minorHAnsi"/>
          <w:bCs/>
          <w:iCs/>
          <w:color w:val="000000"/>
          <w:sz w:val="22"/>
          <w:szCs w:val="22"/>
          <w:lang w:eastAsia="en-US"/>
        </w:rPr>
      </w:pPr>
    </w:p>
    <w:p w:rsidR="00EC1A78" w:rsidRPr="00EC1A78" w:rsidRDefault="00EC1A78" w:rsidP="00EC1A78">
      <w:pPr>
        <w:ind w:firstLine="425"/>
        <w:jc w:val="center"/>
        <w:rPr>
          <w:rFonts w:eastAsiaTheme="minorHAnsi"/>
          <w:b/>
          <w:color w:val="000000"/>
          <w:sz w:val="22"/>
          <w:szCs w:val="22"/>
          <w:lang w:eastAsia="en-US"/>
        </w:rPr>
      </w:pPr>
      <w:r w:rsidRPr="00EC1A78">
        <w:rPr>
          <w:rFonts w:eastAsiaTheme="minorHAnsi"/>
          <w:bCs/>
          <w:iCs/>
          <w:color w:val="000000"/>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Новая философская энциклопедия: В 4 томах. Ред. с</w:t>
      </w:r>
      <w:r w:rsidRPr="00EC1A78">
        <w:rPr>
          <w:rFonts w:eastAsiaTheme="minorHAnsi"/>
          <w:sz w:val="22"/>
          <w:szCs w:val="22"/>
          <w:lang w:eastAsia="en-US"/>
        </w:rPr>
        <w:t>о</w:t>
      </w:r>
      <w:r w:rsidRPr="00EC1A78">
        <w:rPr>
          <w:rFonts w:eastAsiaTheme="minorHAnsi"/>
          <w:sz w:val="22"/>
          <w:szCs w:val="22"/>
          <w:lang w:eastAsia="en-US"/>
        </w:rPr>
        <w:t xml:space="preserve">вет: Степин В.С., Гусейнов А.А., Семигин Г.Ю., Огурцов А.П. и др.// [Эл. ресурс]:   </w:t>
      </w:r>
      <w:hyperlink r:id="rId379" w:history="1">
        <w:r w:rsidRPr="00EC1A78">
          <w:rPr>
            <w:rFonts w:eastAsiaTheme="minorHAnsi"/>
            <w:sz w:val="22"/>
            <w:szCs w:val="22"/>
            <w:lang w:eastAsia="en-US"/>
          </w:rPr>
          <w:t>https://gufo.me/dict/philosophy_encyclopedia</w:t>
        </w:r>
      </w:hyperlink>
    </w:p>
    <w:p w:rsidR="00EC1A78" w:rsidRPr="00EC1A78" w:rsidRDefault="00EC1A78" w:rsidP="00EC1A78">
      <w:pPr>
        <w:ind w:firstLine="425"/>
        <w:jc w:val="both"/>
        <w:rPr>
          <w:rFonts w:eastAsiaTheme="minorHAnsi"/>
          <w:sz w:val="22"/>
          <w:szCs w:val="22"/>
          <w:shd w:val="clear" w:color="auto" w:fill="FFFFFF"/>
          <w:lang w:eastAsia="en-US"/>
        </w:rPr>
      </w:pPr>
      <w:r w:rsidRPr="00EC1A78">
        <w:rPr>
          <w:rFonts w:eastAsiaTheme="minorHAnsi"/>
          <w:sz w:val="22"/>
          <w:szCs w:val="22"/>
          <w:lang w:eastAsia="en-US"/>
        </w:rPr>
        <w:t xml:space="preserve">2. </w:t>
      </w:r>
      <w:r w:rsidRPr="00EC1A78">
        <w:rPr>
          <w:rFonts w:eastAsiaTheme="minorHAnsi"/>
          <w:sz w:val="22"/>
          <w:szCs w:val="22"/>
          <w:shd w:val="clear" w:color="auto" w:fill="FFFFFF"/>
          <w:lang w:eastAsia="en-US"/>
        </w:rPr>
        <w:t>Об основах охраны здоровья граждан в Российской Федер</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 xml:space="preserve">ции: Федеральный закон от 21 ноября 2011 года № 323–ФЗ (ред. </w:t>
      </w:r>
      <w:r w:rsidRPr="00EC1A78">
        <w:rPr>
          <w:rFonts w:eastAsiaTheme="minorHAnsi"/>
          <w:sz w:val="22"/>
          <w:szCs w:val="22"/>
          <w:lang w:eastAsia="en-US"/>
        </w:rPr>
        <w:t xml:space="preserve">от 29.12.2017 </w:t>
      </w:r>
      <w:r w:rsidRPr="00EC1A78">
        <w:rPr>
          <w:rFonts w:eastAsiaTheme="minorHAnsi"/>
          <w:sz w:val="22"/>
          <w:szCs w:val="22"/>
          <w:shd w:val="clear" w:color="auto" w:fill="FFFFFF"/>
          <w:lang w:eastAsia="en-US"/>
        </w:rPr>
        <w:t>г.)// Собрание законодательства Российской Федерации. 2011. № 48. Ст. 6724.</w:t>
      </w:r>
    </w:p>
    <w:p w:rsidR="00EC1A78" w:rsidRDefault="00EC1A78"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shd w:val="clear" w:color="auto" w:fill="FFFFFF"/>
        <w:outlineLvl w:val="0"/>
        <w:rPr>
          <w:bCs/>
          <w:kern w:val="36"/>
          <w:sz w:val="22"/>
          <w:szCs w:val="22"/>
          <w:lang w:eastAsia="en-US"/>
        </w:rPr>
      </w:pPr>
      <w:r w:rsidRPr="00EC1A78">
        <w:rPr>
          <w:bCs/>
          <w:kern w:val="36"/>
          <w:sz w:val="22"/>
          <w:szCs w:val="22"/>
          <w:lang w:eastAsia="en-US"/>
        </w:rPr>
        <w:t>УДК 349.41</w:t>
      </w:r>
    </w:p>
    <w:p w:rsidR="00EC1A78" w:rsidRPr="00EC1A78" w:rsidRDefault="00EC1A78" w:rsidP="00EC1A78">
      <w:pPr>
        <w:ind w:firstLine="426"/>
        <w:jc w:val="center"/>
        <w:rPr>
          <w:rFonts w:eastAsiaTheme="minorHAnsi"/>
          <w:b/>
          <w:sz w:val="24"/>
          <w:szCs w:val="22"/>
          <w:lang w:eastAsia="en-US"/>
        </w:rPr>
      </w:pPr>
    </w:p>
    <w:p w:rsidR="00EC1A78" w:rsidRPr="00EC1A78" w:rsidRDefault="00EC1A78" w:rsidP="00EC1A78">
      <w:pPr>
        <w:ind w:firstLine="426"/>
        <w:jc w:val="center"/>
        <w:rPr>
          <w:rFonts w:eastAsiaTheme="minorHAnsi"/>
          <w:b/>
          <w:sz w:val="24"/>
          <w:szCs w:val="22"/>
          <w:lang w:eastAsia="en-US"/>
        </w:rPr>
      </w:pPr>
      <w:r w:rsidRPr="00EC1A78">
        <w:rPr>
          <w:rFonts w:eastAsiaTheme="minorHAnsi"/>
          <w:b/>
          <w:sz w:val="24"/>
          <w:szCs w:val="22"/>
          <w:lang w:eastAsia="en-US"/>
        </w:rPr>
        <w:t xml:space="preserve">Сравнительная характеристика земельного налога </w:t>
      </w:r>
    </w:p>
    <w:p w:rsidR="00EC1A78" w:rsidRPr="00EC1A78" w:rsidRDefault="00EC1A78" w:rsidP="00EC1A78">
      <w:pPr>
        <w:ind w:firstLine="426"/>
        <w:jc w:val="center"/>
        <w:rPr>
          <w:rFonts w:eastAsiaTheme="minorHAnsi"/>
          <w:b/>
          <w:sz w:val="24"/>
          <w:szCs w:val="22"/>
          <w:lang w:eastAsia="en-US"/>
        </w:rPr>
      </w:pPr>
      <w:r w:rsidRPr="00EC1A78">
        <w:rPr>
          <w:rFonts w:eastAsiaTheme="minorHAnsi"/>
          <w:b/>
          <w:sz w:val="24"/>
          <w:szCs w:val="22"/>
          <w:lang w:eastAsia="en-US"/>
        </w:rPr>
        <w:t>в РФ и зарубежных странах</w:t>
      </w:r>
    </w:p>
    <w:p w:rsidR="00EC1A78" w:rsidRPr="00EC1A78" w:rsidRDefault="00EC1A78" w:rsidP="00EC1A78">
      <w:pPr>
        <w:ind w:firstLine="425"/>
        <w:jc w:val="center"/>
        <w:rPr>
          <w:rFonts w:eastAsiaTheme="minorHAnsi"/>
          <w:b/>
          <w:sz w:val="24"/>
          <w:szCs w:val="22"/>
          <w:lang w:val="en-US" w:eastAsia="en-US"/>
        </w:rPr>
      </w:pPr>
      <w:r w:rsidRPr="00EC1A78">
        <w:rPr>
          <w:rFonts w:eastAsiaTheme="minorHAnsi"/>
          <w:b/>
          <w:sz w:val="24"/>
          <w:szCs w:val="22"/>
          <w:lang w:val="en-US" w:eastAsia="en-US"/>
        </w:rPr>
        <w:t>Comparative characteristics of land–tax in the Russian Federation and foreign countries</w:t>
      </w:r>
    </w:p>
    <w:p w:rsidR="00EC1A78" w:rsidRPr="00EC1A78" w:rsidRDefault="00EC1A78" w:rsidP="00EC1A78">
      <w:pPr>
        <w:ind w:firstLine="426"/>
        <w:jc w:val="right"/>
        <w:rPr>
          <w:rFonts w:eastAsiaTheme="minorHAnsi"/>
          <w:sz w:val="22"/>
          <w:szCs w:val="22"/>
          <w:lang w:val="en-US" w:eastAsia="en-US"/>
        </w:rPr>
      </w:pPr>
    </w:p>
    <w:p w:rsidR="00EC1A78" w:rsidRPr="00EC1A78" w:rsidRDefault="00EC1A78" w:rsidP="00EC1A78">
      <w:pPr>
        <w:ind w:firstLine="426"/>
        <w:jc w:val="right"/>
        <w:rPr>
          <w:rFonts w:eastAsiaTheme="minorHAnsi"/>
          <w:sz w:val="22"/>
          <w:szCs w:val="22"/>
          <w:lang w:eastAsia="en-US"/>
        </w:rPr>
      </w:pPr>
      <w:r w:rsidRPr="00EC1A78">
        <w:rPr>
          <w:rFonts w:eastAsiaTheme="minorHAnsi"/>
          <w:sz w:val="22"/>
          <w:szCs w:val="22"/>
          <w:lang w:eastAsia="en-US"/>
        </w:rPr>
        <w:t>Задорожная К.</w:t>
      </w:r>
      <w:r w:rsidR="003A6F8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Мустафина С.</w:t>
      </w:r>
      <w:r w:rsidR="003A6F8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старший преподаватель кафедры земельного,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трудового и экологического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 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статье приводится сравнительная х</w:t>
      </w:r>
      <w:r w:rsidRPr="00EC1A78">
        <w:rPr>
          <w:rFonts w:eastAsiaTheme="minorHAnsi"/>
          <w:sz w:val="22"/>
          <w:szCs w:val="22"/>
          <w:lang w:eastAsia="en-US"/>
        </w:rPr>
        <w:t>а</w:t>
      </w:r>
      <w:r w:rsidRPr="00EC1A78">
        <w:rPr>
          <w:rFonts w:eastAsiaTheme="minorHAnsi"/>
          <w:sz w:val="22"/>
          <w:szCs w:val="22"/>
          <w:lang w:eastAsia="en-US"/>
        </w:rPr>
        <w:t>рактеристика порядка и особенностей взимания земельного налога в Российской Федерации, Германии, Франции и США.</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lastRenderedPageBreak/>
        <w:t xml:space="preserve">ABCTRACT: </w:t>
      </w:r>
      <w:r w:rsidRPr="00EC1A78">
        <w:rPr>
          <w:rFonts w:eastAsiaTheme="minorHAnsi"/>
          <w:sz w:val="22"/>
          <w:szCs w:val="22"/>
          <w:shd w:val="clear" w:color="auto" w:fill="FFFFFF"/>
          <w:lang w:val="en-US" w:eastAsia="en-US"/>
        </w:rPr>
        <w:t>in this article comparative characteristics of the order and peculiarities of land tax collection in the Russian Federation, Ge</w:t>
      </w:r>
      <w:r w:rsidRPr="00EC1A78">
        <w:rPr>
          <w:rFonts w:eastAsiaTheme="minorHAnsi"/>
          <w:sz w:val="22"/>
          <w:szCs w:val="22"/>
          <w:shd w:val="clear" w:color="auto" w:fill="FFFFFF"/>
          <w:lang w:val="en-US" w:eastAsia="en-US"/>
        </w:rPr>
        <w:t>r</w:t>
      </w:r>
      <w:r w:rsidRPr="00EC1A78">
        <w:rPr>
          <w:rFonts w:eastAsiaTheme="minorHAnsi"/>
          <w:sz w:val="22"/>
          <w:szCs w:val="22"/>
          <w:shd w:val="clear" w:color="auto" w:fill="FFFFFF"/>
          <w:lang w:val="en-US" w:eastAsia="en-US"/>
        </w:rPr>
        <w:t>many, France and the USA</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земельное право, земельный участок, земельная собственность, налоговое право, земельный налог.</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 xml:space="preserve">KEYWORDS: </w:t>
      </w:r>
      <w:r w:rsidRPr="00EC1A78">
        <w:rPr>
          <w:rFonts w:eastAsiaTheme="minorHAnsi"/>
          <w:sz w:val="22"/>
          <w:szCs w:val="22"/>
          <w:shd w:val="clear" w:color="auto" w:fill="FFFFFF"/>
          <w:lang w:val="en-US" w:eastAsia="en-US"/>
        </w:rPr>
        <w:t>land law, land plot, land ownership, tax law, land tax</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Конституция РФ закрепила положение о том, что земля и др</w:t>
      </w:r>
      <w:r w:rsidRPr="00EC1A78">
        <w:rPr>
          <w:rFonts w:eastAsiaTheme="minorHAnsi"/>
          <w:sz w:val="22"/>
          <w:szCs w:val="22"/>
          <w:lang w:eastAsia="en-US"/>
        </w:rPr>
        <w:t>у</w:t>
      </w:r>
      <w:r w:rsidRPr="00EC1A78">
        <w:rPr>
          <w:rFonts w:eastAsiaTheme="minorHAnsi"/>
          <w:sz w:val="22"/>
          <w:szCs w:val="22"/>
          <w:lang w:eastAsia="en-US"/>
        </w:rPr>
        <w:t>гие природные ресурсы используются и охраняются в РФ как осн</w:t>
      </w:r>
      <w:r w:rsidRPr="00EC1A78">
        <w:rPr>
          <w:rFonts w:eastAsiaTheme="minorHAnsi"/>
          <w:sz w:val="22"/>
          <w:szCs w:val="22"/>
          <w:lang w:eastAsia="en-US"/>
        </w:rPr>
        <w:t>о</w:t>
      </w:r>
      <w:r w:rsidRPr="00EC1A78">
        <w:rPr>
          <w:rFonts w:eastAsiaTheme="minorHAnsi"/>
          <w:sz w:val="22"/>
          <w:szCs w:val="22"/>
          <w:lang w:eastAsia="en-US"/>
        </w:rPr>
        <w:t>ва жизни и деятельности народов, проживающих на соответству</w:t>
      </w:r>
      <w:r w:rsidRPr="00EC1A78">
        <w:rPr>
          <w:rFonts w:eastAsiaTheme="minorHAnsi"/>
          <w:sz w:val="22"/>
          <w:szCs w:val="22"/>
          <w:lang w:eastAsia="en-US"/>
        </w:rPr>
        <w:t>ю</w:t>
      </w:r>
      <w:r w:rsidRPr="00EC1A78">
        <w:rPr>
          <w:rFonts w:eastAsiaTheme="minorHAnsi"/>
          <w:sz w:val="22"/>
          <w:szCs w:val="22"/>
          <w:lang w:eastAsia="en-US"/>
        </w:rPr>
        <w:t>щей территории. Как отмечали С.А. Мустафина, Д.А. Анисочкина: «Земля – первый и, можно сказать, ключевой объект земельных о</w:t>
      </w:r>
      <w:r w:rsidRPr="00EC1A78">
        <w:rPr>
          <w:rFonts w:eastAsiaTheme="minorHAnsi"/>
          <w:sz w:val="22"/>
          <w:szCs w:val="22"/>
          <w:lang w:eastAsia="en-US"/>
        </w:rPr>
        <w:t>т</w:t>
      </w:r>
      <w:r w:rsidRPr="00EC1A78">
        <w:rPr>
          <w:rFonts w:eastAsiaTheme="minorHAnsi"/>
          <w:sz w:val="22"/>
          <w:szCs w:val="22"/>
          <w:lang w:eastAsia="en-US"/>
        </w:rPr>
        <w:t>ношений, определения которого в настоящее время, в силу опред</w:t>
      </w:r>
      <w:r w:rsidRPr="00EC1A78">
        <w:rPr>
          <w:rFonts w:eastAsiaTheme="minorHAnsi"/>
          <w:sz w:val="22"/>
          <w:szCs w:val="22"/>
          <w:lang w:eastAsia="en-US"/>
        </w:rPr>
        <w:t>е</w:t>
      </w:r>
      <w:r w:rsidRPr="00EC1A78">
        <w:rPr>
          <w:rFonts w:eastAsiaTheme="minorHAnsi"/>
          <w:sz w:val="22"/>
          <w:szCs w:val="22"/>
          <w:lang w:eastAsia="en-US"/>
        </w:rPr>
        <w:t>ленных обстоятельств, не закреплено в Земельном Кодексе Росси</w:t>
      </w:r>
      <w:r w:rsidRPr="00EC1A78">
        <w:rPr>
          <w:rFonts w:eastAsiaTheme="minorHAnsi"/>
          <w:sz w:val="22"/>
          <w:szCs w:val="22"/>
          <w:lang w:eastAsia="en-US"/>
        </w:rPr>
        <w:t>й</w:t>
      </w:r>
      <w:r w:rsidRPr="00EC1A78">
        <w:rPr>
          <w:rFonts w:eastAsiaTheme="minorHAnsi"/>
          <w:sz w:val="22"/>
          <w:szCs w:val="22"/>
          <w:lang w:eastAsia="en-US"/>
        </w:rPr>
        <w:t>ской Федерации» [1, с. 61]</w:t>
      </w:r>
      <w:r w:rsidRPr="00EC1A78">
        <w:rPr>
          <w:rFonts w:eastAsiaTheme="minorHAnsi"/>
          <w:sz w:val="22"/>
          <w:szCs w:val="22"/>
          <w:shd w:val="clear" w:color="auto" w:fill="FFFFFF"/>
          <w:lang w:eastAsia="en-US"/>
        </w:rPr>
        <w:t xml:space="preserve">. </w:t>
      </w:r>
      <w:r w:rsidRPr="00EC1A78">
        <w:rPr>
          <w:rFonts w:eastAsiaTheme="minorHAnsi"/>
          <w:sz w:val="22"/>
          <w:szCs w:val="22"/>
          <w:lang w:eastAsia="en-US"/>
        </w:rPr>
        <w:t>В большинстве государств главной з</w:t>
      </w:r>
      <w:r w:rsidRPr="00EC1A78">
        <w:rPr>
          <w:rFonts w:eastAsiaTheme="minorHAnsi"/>
          <w:sz w:val="22"/>
          <w:szCs w:val="22"/>
          <w:lang w:eastAsia="en-US"/>
        </w:rPr>
        <w:t>а</w:t>
      </w:r>
      <w:r w:rsidRPr="00EC1A78">
        <w:rPr>
          <w:rFonts w:eastAsiaTheme="minorHAnsi"/>
          <w:sz w:val="22"/>
          <w:szCs w:val="22"/>
          <w:lang w:eastAsia="en-US"/>
        </w:rPr>
        <w:t>дачей обложения налогами земельных участков, находящихся в собственности является то, что доход от данного вида налогов сч</w:t>
      </w:r>
      <w:r w:rsidRPr="00EC1A78">
        <w:rPr>
          <w:rFonts w:eastAsiaTheme="minorHAnsi"/>
          <w:sz w:val="22"/>
          <w:szCs w:val="22"/>
          <w:lang w:eastAsia="en-US"/>
        </w:rPr>
        <w:t>и</w:t>
      </w:r>
      <w:r w:rsidRPr="00EC1A78">
        <w:rPr>
          <w:rFonts w:eastAsiaTheme="minorHAnsi"/>
          <w:sz w:val="22"/>
          <w:szCs w:val="22"/>
          <w:lang w:eastAsia="en-US"/>
        </w:rPr>
        <w:t>тается основным источником пополнения местного бюджета. Сл</w:t>
      </w:r>
      <w:r w:rsidRPr="00EC1A78">
        <w:rPr>
          <w:rFonts w:eastAsiaTheme="minorHAnsi"/>
          <w:sz w:val="22"/>
          <w:szCs w:val="22"/>
          <w:lang w:eastAsia="en-US"/>
        </w:rPr>
        <w:t>е</w:t>
      </w:r>
      <w:r w:rsidRPr="00EC1A78">
        <w:rPr>
          <w:rFonts w:eastAsiaTheme="minorHAnsi"/>
          <w:sz w:val="22"/>
          <w:szCs w:val="22"/>
          <w:lang w:eastAsia="en-US"/>
        </w:rPr>
        <w:t>довательно, земельный налог следует относить к местным налогам. Доход от налогообложения земельных участков составляет бол</w:t>
      </w:r>
      <w:r w:rsidRPr="00EC1A78">
        <w:rPr>
          <w:rFonts w:eastAsiaTheme="minorHAnsi"/>
          <w:sz w:val="22"/>
          <w:szCs w:val="22"/>
          <w:lang w:eastAsia="en-US"/>
        </w:rPr>
        <w:t>ь</w:t>
      </w:r>
      <w:r w:rsidRPr="00EC1A78">
        <w:rPr>
          <w:rFonts w:eastAsiaTheme="minorHAnsi"/>
          <w:sz w:val="22"/>
          <w:szCs w:val="22"/>
          <w:lang w:eastAsia="en-US"/>
        </w:rPr>
        <w:t>шую часть поступлений от налогов в местный бюджет во многих странах, в том числе и в Российской Федерации. В странах Европы такой доход составляет около 75%, в США – 95%, в Канаде – 81%, в Австралии.</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lang w:eastAsia="en-US"/>
        </w:rPr>
        <w:t xml:space="preserve">В Российской Федерации порядок взимания земельного налога определен в 31 главе Налогового Кодекса РФ [2]. </w:t>
      </w:r>
      <w:r w:rsidRPr="00EC1A78">
        <w:rPr>
          <w:rFonts w:eastAsiaTheme="minorHAnsi"/>
          <w:sz w:val="22"/>
          <w:szCs w:val="22"/>
          <w:shd w:val="clear" w:color="auto" w:fill="FFFFFF"/>
          <w:lang w:eastAsia="en-US"/>
        </w:rPr>
        <w:t>Налогоплател</w:t>
      </w:r>
      <w:r w:rsidRPr="00EC1A78">
        <w:rPr>
          <w:rFonts w:eastAsiaTheme="minorHAnsi"/>
          <w:sz w:val="22"/>
          <w:szCs w:val="22"/>
          <w:shd w:val="clear" w:color="auto" w:fill="FFFFFF"/>
          <w:lang w:eastAsia="en-US"/>
        </w:rPr>
        <w:t>ь</w:t>
      </w:r>
      <w:r w:rsidRPr="00EC1A78">
        <w:rPr>
          <w:rFonts w:eastAsiaTheme="minorHAnsi"/>
          <w:sz w:val="22"/>
          <w:szCs w:val="22"/>
          <w:shd w:val="clear" w:color="auto" w:fill="FFFFFF"/>
          <w:lang w:eastAsia="en-US"/>
        </w:rPr>
        <w:t>щиками здесь признаются организации и физические лица, облад</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ющие земельными участками, признаваемыми объектом налогоо</w:t>
      </w:r>
      <w:r w:rsidRPr="00EC1A78">
        <w:rPr>
          <w:rFonts w:eastAsiaTheme="minorHAnsi"/>
          <w:sz w:val="22"/>
          <w:szCs w:val="22"/>
          <w:shd w:val="clear" w:color="auto" w:fill="FFFFFF"/>
          <w:lang w:eastAsia="en-US"/>
        </w:rPr>
        <w:t>б</w:t>
      </w:r>
      <w:r w:rsidRPr="00EC1A78">
        <w:rPr>
          <w:rFonts w:eastAsiaTheme="minorHAnsi"/>
          <w:sz w:val="22"/>
          <w:szCs w:val="22"/>
          <w:shd w:val="clear" w:color="auto" w:fill="FFFFFF"/>
          <w:lang w:eastAsia="en-US"/>
        </w:rPr>
        <w:t>ложения, а также управляющие компании. Не являются плательщ</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ками налога физические и юридические лица, у которых земельные участки находятся на праве безвозмездного пользования или бе</w:t>
      </w:r>
      <w:r w:rsidRPr="00EC1A78">
        <w:rPr>
          <w:rFonts w:eastAsiaTheme="minorHAnsi"/>
          <w:sz w:val="22"/>
          <w:szCs w:val="22"/>
          <w:shd w:val="clear" w:color="auto" w:fill="FFFFFF"/>
          <w:lang w:eastAsia="en-US"/>
        </w:rPr>
        <w:t>з</w:t>
      </w:r>
      <w:r w:rsidRPr="00EC1A78">
        <w:rPr>
          <w:rFonts w:eastAsiaTheme="minorHAnsi"/>
          <w:sz w:val="22"/>
          <w:szCs w:val="22"/>
          <w:shd w:val="clear" w:color="auto" w:fill="FFFFFF"/>
          <w:lang w:eastAsia="en-US"/>
        </w:rPr>
        <w:t>возмездного срочного пользования. Объектом налогообложения являются земельные участки, расположенные на территории мун</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ципального образования. Налогооблагаемой базой земельного нал</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га является его кадастровая стоимость. Ставка по земельному нал</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 xml:space="preserve">гу не может превышать 0,3–1,5% кадастровой стоимости. Размер ставки зависит от вида земельного участка. Что касается порядка взимания налогообложения земельных участков в зарубежных </w:t>
      </w:r>
      <w:r w:rsidRPr="00EC1A78">
        <w:rPr>
          <w:rFonts w:eastAsiaTheme="minorHAnsi"/>
          <w:sz w:val="22"/>
          <w:szCs w:val="22"/>
          <w:shd w:val="clear" w:color="auto" w:fill="FFFFFF"/>
          <w:lang w:eastAsia="en-US"/>
        </w:rPr>
        <w:lastRenderedPageBreak/>
        <w:t xml:space="preserve">странах, то следует отметить, что между РФ и другими странами имеется ряд отличий в порядке взимания данного налога </w:t>
      </w:r>
      <w:r w:rsidRPr="00EC1A78">
        <w:rPr>
          <w:rFonts w:eastAsiaTheme="minorHAnsi"/>
          <w:sz w:val="22"/>
          <w:szCs w:val="22"/>
          <w:lang w:eastAsia="en-US"/>
        </w:rPr>
        <w:t>[3, с. 278]</w:t>
      </w:r>
      <w:r w:rsidRPr="00EC1A78">
        <w:rPr>
          <w:rFonts w:eastAsiaTheme="minorHAnsi"/>
          <w:sz w:val="22"/>
          <w:szCs w:val="22"/>
          <w:shd w:val="clear" w:color="auto" w:fill="FFFFFF"/>
          <w:lang w:eastAsia="en-US"/>
        </w:rPr>
        <w:t>. Приведем краткую характеристику порядка налогообложения з</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мельных участков в некоторых зарубежных странах. Так, объектами налогообложения по земельному налогу в Германии являются з</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мельные участки, находящиеся в собственности у предприятий АПК, а также земельные участки физических и юридических лиц. Ставка составляет 1,2% Она не зависит от вида и результатов де</w:t>
      </w:r>
      <w:r w:rsidRPr="00EC1A78">
        <w:rPr>
          <w:rFonts w:eastAsiaTheme="minorHAnsi"/>
          <w:sz w:val="22"/>
          <w:szCs w:val="22"/>
          <w:shd w:val="clear" w:color="auto" w:fill="FFFFFF"/>
          <w:lang w:eastAsia="en-US"/>
        </w:rPr>
        <w:t>я</w:t>
      </w:r>
      <w:r w:rsidRPr="00EC1A78">
        <w:rPr>
          <w:rFonts w:eastAsiaTheme="minorHAnsi"/>
          <w:sz w:val="22"/>
          <w:szCs w:val="22"/>
          <w:shd w:val="clear" w:color="auto" w:fill="FFFFFF"/>
          <w:lang w:eastAsia="en-US"/>
        </w:rPr>
        <w:t>тельности предприятия. Ставка земельного налога состоит из 2 эл</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ментов: базовая часть, устанавливаемая государством на всей те</w:t>
      </w:r>
      <w:r w:rsidRPr="00EC1A78">
        <w:rPr>
          <w:rFonts w:eastAsiaTheme="minorHAnsi"/>
          <w:sz w:val="22"/>
          <w:szCs w:val="22"/>
          <w:shd w:val="clear" w:color="auto" w:fill="FFFFFF"/>
          <w:lang w:eastAsia="en-US"/>
        </w:rPr>
        <w:t>р</w:t>
      </w:r>
      <w:r w:rsidRPr="00EC1A78">
        <w:rPr>
          <w:rFonts w:eastAsiaTheme="minorHAnsi"/>
          <w:sz w:val="22"/>
          <w:szCs w:val="22"/>
          <w:shd w:val="clear" w:color="auto" w:fill="FFFFFF"/>
          <w:lang w:eastAsia="en-US"/>
        </w:rPr>
        <w:t>ритории, и надбавки общины. Земельным налогом не облагаются земельные участки, используемые в научных и исследовательских целях, земельные участки, находящиеся в собственности у госуда</w:t>
      </w:r>
      <w:r w:rsidRPr="00EC1A78">
        <w:rPr>
          <w:rFonts w:eastAsiaTheme="minorHAnsi"/>
          <w:sz w:val="22"/>
          <w:szCs w:val="22"/>
          <w:shd w:val="clear" w:color="auto" w:fill="FFFFFF"/>
          <w:lang w:eastAsia="en-US"/>
        </w:rPr>
        <w:t>р</w:t>
      </w:r>
      <w:r w:rsidRPr="00EC1A78">
        <w:rPr>
          <w:rFonts w:eastAsiaTheme="minorHAnsi"/>
          <w:sz w:val="22"/>
          <w:szCs w:val="22"/>
          <w:shd w:val="clear" w:color="auto" w:fill="FFFFFF"/>
          <w:lang w:eastAsia="en-US"/>
        </w:rPr>
        <w:t>ственных предприятий и религиозных учреждений. Во Франции в последние годы прослеживается тенденция к увеличению местных налогов при возрастании потребности органов местного самоупра</w:t>
      </w:r>
      <w:r w:rsidRPr="00EC1A78">
        <w:rPr>
          <w:rFonts w:eastAsiaTheme="minorHAnsi"/>
          <w:sz w:val="22"/>
          <w:szCs w:val="22"/>
          <w:shd w:val="clear" w:color="auto" w:fill="FFFFFF"/>
          <w:lang w:eastAsia="en-US"/>
        </w:rPr>
        <w:t>в</w:t>
      </w:r>
      <w:r w:rsidRPr="00EC1A78">
        <w:rPr>
          <w:rFonts w:eastAsiaTheme="minorHAnsi"/>
          <w:sz w:val="22"/>
          <w:szCs w:val="22"/>
          <w:shd w:val="clear" w:color="auto" w:fill="FFFFFF"/>
          <w:lang w:eastAsia="en-US"/>
        </w:rPr>
        <w:t>ления в доходах. В общей сумме доходов от взимания местных налогов доход от взимания земельного налога составляет около 40%</w:t>
      </w:r>
      <w:r w:rsidRPr="00EC1A78">
        <w:rPr>
          <w:rFonts w:eastAsiaTheme="minorHAnsi"/>
          <w:sz w:val="22"/>
          <w:szCs w:val="22"/>
          <w:lang w:eastAsia="en-US"/>
        </w:rPr>
        <w:t>[4,с.26]</w:t>
      </w:r>
      <w:r w:rsidRPr="00EC1A78">
        <w:rPr>
          <w:rFonts w:eastAsiaTheme="minorHAnsi"/>
          <w:sz w:val="22"/>
          <w:szCs w:val="22"/>
          <w:shd w:val="clear" w:color="auto" w:fill="FFFFFF"/>
          <w:lang w:eastAsia="en-US"/>
        </w:rPr>
        <w:t xml:space="preserve"> . Как и в России, налоговой базой по земельному налогу является его кадастровая стоимость. Налог взимается и с застрое</w:t>
      </w:r>
      <w:r w:rsidRPr="00EC1A78">
        <w:rPr>
          <w:rFonts w:eastAsiaTheme="minorHAnsi"/>
          <w:sz w:val="22"/>
          <w:szCs w:val="22"/>
          <w:shd w:val="clear" w:color="auto" w:fill="FFFFFF"/>
          <w:lang w:eastAsia="en-US"/>
        </w:rPr>
        <w:t>н</w:t>
      </w:r>
      <w:r w:rsidRPr="00EC1A78">
        <w:rPr>
          <w:rFonts w:eastAsiaTheme="minorHAnsi"/>
          <w:sz w:val="22"/>
          <w:szCs w:val="22"/>
          <w:shd w:val="clear" w:color="auto" w:fill="FFFFFF"/>
          <w:lang w:eastAsia="en-US"/>
        </w:rPr>
        <w:t>ных земель, сюда относится вся недвижимость: здания, сооружения и т.д. Не облагаются земельным налогом земельные участки, нах</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дящиеся в государственной собственности, и используемые в сел</w:t>
      </w:r>
      <w:r w:rsidRPr="00EC1A78">
        <w:rPr>
          <w:rFonts w:eastAsiaTheme="minorHAnsi"/>
          <w:sz w:val="22"/>
          <w:szCs w:val="22"/>
          <w:shd w:val="clear" w:color="auto" w:fill="FFFFFF"/>
          <w:lang w:eastAsia="en-US"/>
        </w:rPr>
        <w:t>ь</w:t>
      </w:r>
      <w:r w:rsidRPr="00EC1A78">
        <w:rPr>
          <w:rFonts w:eastAsiaTheme="minorHAnsi"/>
          <w:sz w:val="22"/>
          <w:szCs w:val="22"/>
          <w:shd w:val="clear" w:color="auto" w:fill="FFFFFF"/>
          <w:lang w:eastAsia="en-US"/>
        </w:rPr>
        <w:t>скохозяйственных целях. В США земельный налог входит в состав налога на недвижимость (</w:t>
      </w:r>
      <w:r w:rsidRPr="00EC1A78">
        <w:rPr>
          <w:rFonts w:eastAsiaTheme="minorHAnsi"/>
          <w:sz w:val="22"/>
          <w:szCs w:val="22"/>
          <w:shd w:val="clear" w:color="auto" w:fill="FFFFFF"/>
          <w:lang w:val="en-US" w:eastAsia="en-US"/>
        </w:rPr>
        <w:t>Property</w:t>
      </w:r>
      <w:r w:rsidRPr="00EC1A78">
        <w:rPr>
          <w:rFonts w:eastAsiaTheme="minorHAnsi"/>
          <w:sz w:val="22"/>
          <w:szCs w:val="22"/>
          <w:shd w:val="clear" w:color="auto" w:fill="FFFFFF"/>
          <w:lang w:eastAsia="en-US"/>
        </w:rPr>
        <w:t xml:space="preserve"> </w:t>
      </w:r>
      <w:r w:rsidRPr="00EC1A78">
        <w:rPr>
          <w:rFonts w:eastAsiaTheme="minorHAnsi"/>
          <w:sz w:val="22"/>
          <w:szCs w:val="22"/>
          <w:shd w:val="clear" w:color="auto" w:fill="FFFFFF"/>
          <w:lang w:val="en-US" w:eastAsia="en-US"/>
        </w:rPr>
        <w:t>tax</w:t>
      </w:r>
      <w:r w:rsidRPr="00EC1A78">
        <w:rPr>
          <w:rFonts w:eastAsiaTheme="minorHAnsi"/>
          <w:sz w:val="22"/>
          <w:szCs w:val="22"/>
          <w:shd w:val="clear" w:color="auto" w:fill="FFFFFF"/>
          <w:lang w:eastAsia="en-US"/>
        </w:rPr>
        <w:t>). Налоговый период данного налога составляет один год. Налоговая ставка в среднем составляет 1% от стоимости недвижимого имущества, но может меняться в зависимости от штата. Например, владелец недвижимого имущ</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ства в Калифорнии платит в среднем 2839 долларов в год, в Нью–Йорке – 3755 долларов, а в Аризоне 1356 долларов. Земля облагае</w:t>
      </w:r>
      <w:r w:rsidRPr="00EC1A78">
        <w:rPr>
          <w:rFonts w:eastAsiaTheme="minorHAnsi"/>
          <w:sz w:val="22"/>
          <w:szCs w:val="22"/>
          <w:shd w:val="clear" w:color="auto" w:fill="FFFFFF"/>
          <w:lang w:eastAsia="en-US"/>
        </w:rPr>
        <w:t>т</w:t>
      </w:r>
      <w:r w:rsidRPr="00EC1A78">
        <w:rPr>
          <w:rFonts w:eastAsiaTheme="minorHAnsi"/>
          <w:sz w:val="22"/>
          <w:szCs w:val="22"/>
          <w:shd w:val="clear" w:color="auto" w:fill="FFFFFF"/>
          <w:lang w:eastAsia="en-US"/>
        </w:rPr>
        <w:t>ся в составе данного налога также в Нидерландах, Италии и Шв</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 xml:space="preserve">ции </w:t>
      </w:r>
      <w:r w:rsidRPr="00EC1A78">
        <w:rPr>
          <w:rFonts w:eastAsiaTheme="minorHAnsi"/>
          <w:sz w:val="22"/>
          <w:szCs w:val="22"/>
          <w:lang w:eastAsia="en-US"/>
        </w:rPr>
        <w:t>[5, с.46]</w:t>
      </w:r>
      <w:r w:rsidRPr="00EC1A78">
        <w:rPr>
          <w:rFonts w:eastAsiaTheme="minorHAnsi"/>
          <w:sz w:val="22"/>
          <w:szCs w:val="22"/>
          <w:shd w:val="clear" w:color="auto" w:fill="FFFFFF"/>
          <w:lang w:eastAsia="en-US"/>
        </w:rPr>
        <w:t>. Таким образом, на основе изучения опыта налогоо</w:t>
      </w:r>
      <w:r w:rsidRPr="00EC1A78">
        <w:rPr>
          <w:rFonts w:eastAsiaTheme="minorHAnsi"/>
          <w:sz w:val="22"/>
          <w:szCs w:val="22"/>
          <w:shd w:val="clear" w:color="auto" w:fill="FFFFFF"/>
          <w:lang w:eastAsia="en-US"/>
        </w:rPr>
        <w:t>б</w:t>
      </w:r>
      <w:r w:rsidRPr="00EC1A78">
        <w:rPr>
          <w:rFonts w:eastAsiaTheme="minorHAnsi"/>
          <w:sz w:val="22"/>
          <w:szCs w:val="22"/>
          <w:shd w:val="clear" w:color="auto" w:fill="FFFFFF"/>
          <w:lang w:eastAsia="en-US"/>
        </w:rPr>
        <w:t>ложения зарубежных стран мы можем сделать вывод о том, что т</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кой анализ зарубежного порядка налогообложения земельных участков поможет в формировании направлений по совершенств</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ванию налогообложения земельных участков в России. Такой опыт других стран, безусловно, должен быть учтен для повышения нал</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гового регулирования в Российской Федерации. Также следует уч</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lastRenderedPageBreak/>
        <w:t xml:space="preserve">тывать и опыт самой России в данной области, накопленный не за одно столетие.  </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shd w:val="clear" w:color="auto" w:fill="F5F5F5"/>
          <w:lang w:eastAsia="en-US"/>
        </w:rPr>
      </w:pPr>
      <w:r w:rsidRPr="00EC1A78">
        <w:rPr>
          <w:rFonts w:eastAsiaTheme="minorHAnsi"/>
          <w:sz w:val="22"/>
          <w:szCs w:val="22"/>
          <w:lang w:eastAsia="en-US"/>
        </w:rPr>
        <w:t>1. Мустафина С.А., Анисочкина Д.А. Объекты земельных пр</w:t>
      </w:r>
      <w:r w:rsidRPr="00EC1A78">
        <w:rPr>
          <w:rFonts w:eastAsiaTheme="minorHAnsi"/>
          <w:sz w:val="22"/>
          <w:szCs w:val="22"/>
          <w:lang w:eastAsia="en-US"/>
        </w:rPr>
        <w:t>а</w:t>
      </w:r>
      <w:r w:rsidRPr="00EC1A78">
        <w:rPr>
          <w:rFonts w:eastAsiaTheme="minorHAnsi"/>
          <w:sz w:val="22"/>
          <w:szCs w:val="22"/>
          <w:lang w:eastAsia="en-US"/>
        </w:rPr>
        <w:t>воотношений.</w:t>
      </w:r>
      <w:r w:rsidRPr="00EC1A78">
        <w:rPr>
          <w:rFonts w:eastAsiaTheme="minorHAnsi"/>
          <w:color w:val="00008F"/>
          <w:sz w:val="16"/>
          <w:szCs w:val="16"/>
          <w:lang w:eastAsia="en-US"/>
        </w:rPr>
        <w:t xml:space="preserve"> </w:t>
      </w:r>
      <w:r w:rsidRPr="00EC1A78">
        <w:rPr>
          <w:rFonts w:eastAsiaTheme="minorHAnsi"/>
          <w:sz w:val="22"/>
          <w:szCs w:val="22"/>
          <w:lang w:eastAsia="en-US"/>
        </w:rPr>
        <w:t>В сборнике: </w:t>
      </w:r>
      <w:hyperlink r:id="rId380" w:history="1">
        <w:r w:rsidRPr="00EC1A78">
          <w:rPr>
            <w:rFonts w:eastAsiaTheme="minorHAnsi"/>
            <w:sz w:val="22"/>
            <w:szCs w:val="22"/>
            <w:lang w:eastAsia="en-US"/>
          </w:rPr>
          <w:t>Научный форум: инновационная наука</w:t>
        </w:r>
      </w:hyperlink>
      <w:r w:rsidRPr="00EC1A78">
        <w:rPr>
          <w:rFonts w:eastAsiaTheme="minorHAnsi"/>
          <w:sz w:val="22"/>
          <w:szCs w:val="22"/>
          <w:lang w:eastAsia="en-US"/>
        </w:rPr>
        <w:t> сборник статей по материалам III международной заочной научно–практической конференции. 2017. С. 61–64.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Налоговый Кодекс Российской Федерации// СЗ РФ. 1998. №146–ФЗ.</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3. Бриксов В.В. 375 актуальных вопросов практики применения земельного законодательства: научно–практическое пособие / В.В.Бриксов. 3–е изд., перераб. и доп.– М.: Юрайт, 2011. – 872 с.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Папцов А.Г. Некоторые аспекты налогообложения в сел</w:t>
      </w:r>
      <w:r w:rsidRPr="00EC1A78">
        <w:rPr>
          <w:rFonts w:eastAsiaTheme="minorHAnsi"/>
          <w:sz w:val="22"/>
          <w:szCs w:val="22"/>
          <w:lang w:eastAsia="en-US"/>
        </w:rPr>
        <w:t>ь</w:t>
      </w:r>
      <w:r w:rsidRPr="00EC1A78">
        <w:rPr>
          <w:rFonts w:eastAsiaTheme="minorHAnsi"/>
          <w:sz w:val="22"/>
          <w:szCs w:val="22"/>
          <w:lang w:eastAsia="en-US"/>
        </w:rPr>
        <w:t>ском хозяйстве зарубежом: обзорная информ. / А.Г. Папцов. ВНИИТЭИагропром. М., 2000. 61 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Оверчук А.Л. Система управления земельными ресурсами, ограничение прав собственности на недвижимость и простра</w:t>
      </w:r>
      <w:r w:rsidRPr="00EC1A78">
        <w:rPr>
          <w:rFonts w:eastAsiaTheme="minorHAnsi"/>
          <w:sz w:val="22"/>
          <w:szCs w:val="22"/>
          <w:lang w:eastAsia="en-US"/>
        </w:rPr>
        <w:t>н</w:t>
      </w:r>
      <w:r w:rsidRPr="00EC1A78">
        <w:rPr>
          <w:rFonts w:eastAsiaTheme="minorHAnsi"/>
          <w:sz w:val="22"/>
          <w:szCs w:val="22"/>
          <w:lang w:eastAsia="en-US"/>
        </w:rPr>
        <w:t>ственное планирование в Нидерландах // Земельный вестник Ро</w:t>
      </w:r>
      <w:r w:rsidRPr="00EC1A78">
        <w:rPr>
          <w:rFonts w:eastAsiaTheme="minorHAnsi"/>
          <w:sz w:val="22"/>
          <w:szCs w:val="22"/>
          <w:lang w:eastAsia="en-US"/>
        </w:rPr>
        <w:t>с</w:t>
      </w:r>
      <w:r w:rsidRPr="00EC1A78">
        <w:rPr>
          <w:rFonts w:eastAsiaTheme="minorHAnsi"/>
          <w:sz w:val="22"/>
          <w:szCs w:val="22"/>
          <w:lang w:eastAsia="en-US"/>
        </w:rPr>
        <w:t>сии. 2003. № 3. С. 46–60. </w:t>
      </w:r>
    </w:p>
    <w:p w:rsidR="00EC1A78" w:rsidRDefault="00EC1A78"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EC1A78" w:rsidRDefault="00EC1A78" w:rsidP="00EC1A78">
      <w:pPr>
        <w:suppressAutoHyphens/>
        <w:jc w:val="both"/>
        <w:rPr>
          <w:rFonts w:eastAsia="Andale Sans UI"/>
          <w:color w:val="000000"/>
          <w:kern w:val="1"/>
          <w:sz w:val="22"/>
          <w:szCs w:val="24"/>
          <w:lang w:eastAsia="en-US"/>
        </w:rPr>
      </w:pPr>
      <w:r w:rsidRPr="00EC1A78">
        <w:rPr>
          <w:rFonts w:eastAsia="Andale Sans UI"/>
          <w:color w:val="000000"/>
          <w:kern w:val="1"/>
          <w:sz w:val="22"/>
          <w:szCs w:val="24"/>
          <w:lang w:eastAsia="en-US"/>
        </w:rPr>
        <w:t>УДК 349.3</w:t>
      </w:r>
    </w:p>
    <w:p w:rsidR="00EC1A78" w:rsidRPr="00EC1A78" w:rsidRDefault="00EC1A78" w:rsidP="00EC1A78">
      <w:pPr>
        <w:suppressAutoHyphens/>
        <w:ind w:firstLine="709"/>
        <w:jc w:val="center"/>
        <w:rPr>
          <w:rFonts w:eastAsia="Andale Sans UI"/>
          <w:color w:val="000000"/>
          <w:kern w:val="1"/>
          <w:sz w:val="22"/>
          <w:szCs w:val="24"/>
          <w:lang w:eastAsia="en-US"/>
        </w:rPr>
      </w:pPr>
    </w:p>
    <w:p w:rsidR="00EC1A78" w:rsidRPr="00EC1A78" w:rsidRDefault="00EC1A78" w:rsidP="00EC1A78">
      <w:pPr>
        <w:suppressAutoHyphens/>
        <w:jc w:val="center"/>
        <w:rPr>
          <w:rFonts w:eastAsia="Andale Sans UI"/>
          <w:b/>
          <w:color w:val="000000"/>
          <w:kern w:val="1"/>
          <w:sz w:val="24"/>
          <w:szCs w:val="24"/>
          <w:lang w:eastAsia="en-US"/>
        </w:rPr>
      </w:pPr>
      <w:r w:rsidRPr="00EC1A78">
        <w:rPr>
          <w:rFonts w:eastAsia="Andale Sans UI"/>
          <w:b/>
          <w:color w:val="000000"/>
          <w:kern w:val="1"/>
          <w:sz w:val="24"/>
          <w:szCs w:val="24"/>
          <w:lang w:eastAsia="en-US"/>
        </w:rPr>
        <w:t>К вопросу о более позднем выходе на пенсию по старости</w:t>
      </w:r>
    </w:p>
    <w:p w:rsidR="00EC1A78" w:rsidRPr="00EC1A78" w:rsidRDefault="00EC1A78" w:rsidP="00EC1A78">
      <w:pPr>
        <w:suppressAutoHyphens/>
        <w:jc w:val="center"/>
        <w:rPr>
          <w:rFonts w:eastAsia="Andale Sans UI"/>
          <w:b/>
          <w:color w:val="000000"/>
          <w:kern w:val="1"/>
          <w:sz w:val="24"/>
          <w:szCs w:val="24"/>
          <w:lang w:val="en-US" w:eastAsia="en-US"/>
        </w:rPr>
      </w:pPr>
      <w:r w:rsidRPr="00EC1A78">
        <w:rPr>
          <w:rFonts w:eastAsia="Andale Sans UI"/>
          <w:b/>
          <w:color w:val="000000"/>
          <w:kern w:val="1"/>
          <w:sz w:val="24"/>
          <w:szCs w:val="24"/>
          <w:lang w:val="en-US" w:eastAsia="en-US"/>
        </w:rPr>
        <w:t>To the question on late retirement in old age</w:t>
      </w:r>
    </w:p>
    <w:p w:rsidR="00EC1A78" w:rsidRPr="00EC1A78" w:rsidRDefault="00EC1A78" w:rsidP="00EC1A78">
      <w:pPr>
        <w:suppressAutoHyphens/>
        <w:ind w:firstLine="709"/>
        <w:jc w:val="right"/>
        <w:rPr>
          <w:rFonts w:eastAsia="Andale Sans UI"/>
          <w:color w:val="000000"/>
          <w:kern w:val="1"/>
          <w:sz w:val="22"/>
          <w:szCs w:val="24"/>
          <w:lang w:val="en-US" w:eastAsia="en-US"/>
        </w:rPr>
      </w:pPr>
    </w:p>
    <w:p w:rsidR="00EC1A78" w:rsidRPr="00EC1A78" w:rsidRDefault="00EC1A78" w:rsidP="00EC1A78">
      <w:pPr>
        <w:suppressAutoHyphens/>
        <w:ind w:firstLine="709"/>
        <w:jc w:val="right"/>
        <w:rPr>
          <w:rFonts w:eastAsia="Andale Sans UI"/>
          <w:color w:val="000000"/>
          <w:kern w:val="1"/>
          <w:sz w:val="22"/>
          <w:szCs w:val="24"/>
          <w:lang w:eastAsia="en-US"/>
        </w:rPr>
      </w:pPr>
      <w:r w:rsidRPr="00EC1A78">
        <w:rPr>
          <w:rFonts w:eastAsia="Andale Sans UI"/>
          <w:color w:val="000000"/>
          <w:kern w:val="1"/>
          <w:sz w:val="22"/>
          <w:szCs w:val="24"/>
          <w:lang w:eastAsia="en-US"/>
        </w:rPr>
        <w:t>Зеленская Е.</w:t>
      </w:r>
      <w:r w:rsidR="003A6F86">
        <w:rPr>
          <w:rFonts w:eastAsia="Andale Sans UI"/>
          <w:color w:val="000000"/>
          <w:kern w:val="1"/>
          <w:sz w:val="22"/>
          <w:szCs w:val="24"/>
          <w:lang w:eastAsia="en-US"/>
        </w:rPr>
        <w:t xml:space="preserve"> </w:t>
      </w:r>
      <w:r w:rsidRPr="00EC1A78">
        <w:rPr>
          <w:rFonts w:eastAsia="Andale Sans UI"/>
          <w:color w:val="000000"/>
          <w:kern w:val="1"/>
          <w:sz w:val="22"/>
          <w:szCs w:val="24"/>
          <w:lang w:eastAsia="en-US"/>
        </w:rPr>
        <w:t>Д.,</w:t>
      </w:r>
    </w:p>
    <w:p w:rsidR="00EC1A78" w:rsidRPr="00EC1A78" w:rsidRDefault="00EC1A78" w:rsidP="00EC1A78">
      <w:pPr>
        <w:suppressAutoHyphens/>
        <w:ind w:firstLine="709"/>
        <w:jc w:val="right"/>
        <w:rPr>
          <w:rFonts w:eastAsia="Andale Sans UI"/>
          <w:color w:val="000000"/>
          <w:kern w:val="1"/>
          <w:sz w:val="22"/>
          <w:szCs w:val="24"/>
          <w:lang w:eastAsia="en-US"/>
        </w:rPr>
      </w:pPr>
      <w:r w:rsidRPr="00EC1A78">
        <w:rPr>
          <w:rFonts w:eastAsia="Andale Sans UI"/>
          <w:color w:val="000000"/>
          <w:kern w:val="1"/>
          <w:sz w:val="22"/>
          <w:szCs w:val="24"/>
          <w:lang w:eastAsia="en-US"/>
        </w:rPr>
        <w:t xml:space="preserve">студентка 2–го курса юридического факультета </w:t>
      </w:r>
    </w:p>
    <w:p w:rsidR="00EC1A78" w:rsidRPr="00EC1A78" w:rsidRDefault="00EC1A78" w:rsidP="00EC1A78">
      <w:pPr>
        <w:suppressAutoHyphens/>
        <w:ind w:firstLine="709"/>
        <w:jc w:val="right"/>
        <w:rPr>
          <w:rFonts w:eastAsia="Andale Sans UI"/>
          <w:color w:val="000000"/>
          <w:kern w:val="1"/>
          <w:sz w:val="22"/>
          <w:szCs w:val="24"/>
          <w:lang w:eastAsia="en-US"/>
        </w:rPr>
      </w:pPr>
      <w:r w:rsidRPr="00EC1A78">
        <w:rPr>
          <w:rFonts w:eastAsia="Andale Sans UI"/>
          <w:color w:val="000000"/>
          <w:kern w:val="1"/>
          <w:sz w:val="22"/>
          <w:szCs w:val="24"/>
          <w:lang w:eastAsia="en-US"/>
        </w:rPr>
        <w:t xml:space="preserve">Кубанский государственный аграрный </w:t>
      </w:r>
    </w:p>
    <w:p w:rsidR="00EC1A78" w:rsidRPr="00EC1A78" w:rsidRDefault="00EC1A78" w:rsidP="00EC1A78">
      <w:pPr>
        <w:suppressAutoHyphens/>
        <w:ind w:firstLine="709"/>
        <w:jc w:val="right"/>
        <w:rPr>
          <w:rFonts w:eastAsia="Andale Sans UI"/>
          <w:color w:val="000000"/>
          <w:kern w:val="1"/>
          <w:sz w:val="22"/>
          <w:szCs w:val="24"/>
          <w:lang w:eastAsia="en-US"/>
        </w:rPr>
      </w:pPr>
      <w:r w:rsidRPr="00EC1A78">
        <w:rPr>
          <w:rFonts w:eastAsia="Andale Sans UI"/>
          <w:color w:val="000000"/>
          <w:kern w:val="1"/>
          <w:sz w:val="22"/>
          <w:szCs w:val="24"/>
          <w:lang w:eastAsia="en-US"/>
        </w:rPr>
        <w:t>университет имени И.</w:t>
      </w:r>
      <w:r w:rsidR="003A6F86">
        <w:rPr>
          <w:rFonts w:eastAsia="Andale Sans UI"/>
          <w:color w:val="000000"/>
          <w:kern w:val="1"/>
          <w:sz w:val="22"/>
          <w:szCs w:val="24"/>
          <w:lang w:eastAsia="en-US"/>
        </w:rPr>
        <w:t xml:space="preserve"> </w:t>
      </w:r>
      <w:r w:rsidRPr="00EC1A78">
        <w:rPr>
          <w:rFonts w:eastAsia="Andale Sans UI"/>
          <w:color w:val="000000"/>
          <w:kern w:val="1"/>
          <w:sz w:val="22"/>
          <w:szCs w:val="24"/>
          <w:lang w:eastAsia="en-US"/>
        </w:rPr>
        <w:t>Т.Трубилина</w:t>
      </w:r>
    </w:p>
    <w:p w:rsidR="00EC1A78" w:rsidRPr="00EC1A78" w:rsidRDefault="00EC1A78" w:rsidP="00EC1A78">
      <w:pPr>
        <w:suppressAutoHyphens/>
        <w:ind w:firstLine="709"/>
        <w:jc w:val="both"/>
        <w:rPr>
          <w:rFonts w:eastAsia="Andale Sans UI"/>
          <w:color w:val="000000"/>
          <w:kern w:val="1"/>
          <w:sz w:val="22"/>
          <w:szCs w:val="24"/>
          <w:lang w:eastAsia="en-US"/>
        </w:rPr>
      </w:pP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АННОТАЦИЯ: Одним из путей решения проблемы, связанной с ростом числа пенсионеров и поддержания финансовой устойчивости пенсионной системы РФ, может быть стимулирование более позднего выхода на пенсию. В статье приведены преимущества и недостатки новой реформы, а также пути повышения ее эффективности. </w:t>
      </w:r>
    </w:p>
    <w:p w:rsidR="00EC1A78" w:rsidRPr="00EC1A78" w:rsidRDefault="00EC1A78" w:rsidP="00EC1A78">
      <w:pPr>
        <w:suppressAutoHyphens/>
        <w:ind w:firstLine="425"/>
        <w:jc w:val="both"/>
        <w:rPr>
          <w:rFonts w:eastAsia="Andale Sans UI"/>
          <w:color w:val="000000"/>
          <w:kern w:val="1"/>
          <w:sz w:val="22"/>
          <w:szCs w:val="24"/>
          <w:lang w:val="en-US" w:eastAsia="en-US"/>
        </w:rPr>
      </w:pPr>
      <w:r w:rsidRPr="00EC1A78">
        <w:rPr>
          <w:rFonts w:eastAsia="Andale Sans UI"/>
          <w:color w:val="000000"/>
          <w:kern w:val="1"/>
          <w:sz w:val="22"/>
          <w:szCs w:val="24"/>
          <w:lang w:val="en-US" w:eastAsia="en-US"/>
        </w:rPr>
        <w:lastRenderedPageBreak/>
        <w:t xml:space="preserve">ABSTRACT: One of the ways of solving of problem, connected with growth of numbers of pensioners and maintaining of financial sustainability of pension system of the Russian Federation, may be a stimulating of more late retirement. In the article given the advantages and limitations of new reform, as well as growth of its efficiency.    </w:t>
      </w: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КЛЮЧЕВЫЕ СЛОВА: пенсионный возраст, пенсионные выплаты, Пенсионный Фонд РФ, поздний выход на пенсию</w:t>
      </w:r>
    </w:p>
    <w:p w:rsidR="00EC1A78" w:rsidRPr="008002DE" w:rsidRDefault="00EC1A78" w:rsidP="00EC1A78">
      <w:pPr>
        <w:suppressAutoHyphens/>
        <w:ind w:firstLine="425"/>
        <w:jc w:val="both"/>
        <w:rPr>
          <w:rFonts w:eastAsia="Andale Sans UI"/>
          <w:color w:val="000000"/>
          <w:kern w:val="1"/>
          <w:sz w:val="22"/>
          <w:szCs w:val="24"/>
          <w:lang w:val="en-US" w:eastAsia="en-US"/>
        </w:rPr>
      </w:pPr>
      <w:r w:rsidRPr="00EC1A78">
        <w:rPr>
          <w:rFonts w:eastAsia="Andale Sans UI"/>
          <w:color w:val="000000"/>
          <w:kern w:val="1"/>
          <w:sz w:val="22"/>
          <w:szCs w:val="24"/>
          <w:lang w:val="en-US" w:eastAsia="en-US"/>
        </w:rPr>
        <w:t>KEYWORDS: retirement age, retirement  payments, Pension Fund of the Russian Federation, late retirement.</w:t>
      </w:r>
    </w:p>
    <w:p w:rsidR="006478C4" w:rsidRPr="008002DE" w:rsidRDefault="006478C4" w:rsidP="00EC1A78">
      <w:pPr>
        <w:suppressAutoHyphens/>
        <w:ind w:firstLine="425"/>
        <w:jc w:val="both"/>
        <w:rPr>
          <w:rFonts w:eastAsia="Andale Sans UI"/>
          <w:color w:val="000000"/>
          <w:kern w:val="1"/>
          <w:sz w:val="22"/>
          <w:szCs w:val="24"/>
          <w:lang w:val="en-US" w:eastAsia="en-US"/>
        </w:rPr>
      </w:pP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Условия и правила выхода на пенсию различны во всех странах мира. Важно отметить, законодатели большинства социально–ориентированных стран прилагают все усилия по обеспечению и повышению достойного уровня жизни граждан пенсионного возраста. </w:t>
      </w:r>
    </w:p>
    <w:p w:rsidR="00EC1A78" w:rsidRPr="00EC1A78" w:rsidRDefault="00EC1A78" w:rsidP="00EC1A78">
      <w:pPr>
        <w:suppressAutoHyphens/>
        <w:ind w:firstLine="425"/>
        <w:jc w:val="both"/>
        <w:rPr>
          <w:rFonts w:eastAsia="Andale Sans UI"/>
          <w:bCs/>
          <w:color w:val="000000"/>
          <w:kern w:val="1"/>
          <w:sz w:val="22"/>
          <w:szCs w:val="24"/>
          <w:lang w:eastAsia="en-US"/>
        </w:rPr>
      </w:pPr>
      <w:r w:rsidRPr="00EC1A78">
        <w:rPr>
          <w:rFonts w:eastAsia="Andale Sans UI"/>
          <w:color w:val="000000"/>
          <w:kern w:val="1"/>
          <w:sz w:val="22"/>
          <w:szCs w:val="24"/>
          <w:lang w:eastAsia="en-US"/>
        </w:rPr>
        <w:t xml:space="preserve">По количеству нововведений в пенсионной системе Российская Федерация не отстает, но являются ли они действительно выгодными и для государства и, главное, для самих пенсионеров? Одна из идей, появившаяся в связи с введением 1 января 2015 г. новых пенсионных правил, звучит так – </w:t>
      </w:r>
      <w:r w:rsidRPr="00EC1A78">
        <w:rPr>
          <w:rFonts w:eastAsia="Andale Sans UI"/>
          <w:bCs/>
          <w:color w:val="000000"/>
          <w:kern w:val="1"/>
          <w:sz w:val="22"/>
          <w:szCs w:val="24"/>
          <w:lang w:eastAsia="en-US"/>
        </w:rPr>
        <w:t>Выходить на пенсию позже установленного срока будет выгодно[1].</w:t>
      </w:r>
    </w:p>
    <w:p w:rsidR="00EC1A78" w:rsidRPr="00EC1A78" w:rsidRDefault="00EC1A78" w:rsidP="00EC1A78">
      <w:pPr>
        <w:suppressAutoHyphens/>
        <w:ind w:firstLine="425"/>
        <w:jc w:val="both"/>
        <w:rPr>
          <w:rFonts w:eastAsia="Andale Sans UI"/>
          <w:bCs/>
          <w:color w:val="000000"/>
          <w:kern w:val="1"/>
          <w:sz w:val="22"/>
          <w:szCs w:val="24"/>
          <w:lang w:eastAsia="en-US"/>
        </w:rPr>
      </w:pPr>
      <w:r w:rsidRPr="00EC1A78">
        <w:rPr>
          <w:rFonts w:eastAsia="Andale Sans UI"/>
          <w:bCs/>
          <w:color w:val="000000"/>
          <w:kern w:val="1"/>
          <w:sz w:val="22"/>
          <w:szCs w:val="24"/>
          <w:lang w:eastAsia="en-US"/>
        </w:rPr>
        <w:t xml:space="preserve">Стимулирование более позднего ухода на пенсию в данный момент является приоритетным в государственной политике в России. Это объясняется ростом численности пенсионеров и сокращением числа трудящегося населения. </w:t>
      </w:r>
    </w:p>
    <w:p w:rsidR="00EC1A78" w:rsidRPr="00EC1A78" w:rsidRDefault="00EC1A78" w:rsidP="00EC1A78">
      <w:pPr>
        <w:suppressAutoHyphens/>
        <w:ind w:firstLine="425"/>
        <w:jc w:val="both"/>
        <w:rPr>
          <w:rFonts w:eastAsia="Andale Sans UI"/>
          <w:bCs/>
          <w:color w:val="000000"/>
          <w:kern w:val="1"/>
          <w:sz w:val="22"/>
          <w:szCs w:val="24"/>
          <w:lang w:eastAsia="en-US"/>
        </w:rPr>
      </w:pPr>
      <w:r w:rsidRPr="00EC1A78">
        <w:rPr>
          <w:rFonts w:eastAsia="Andale Sans UI"/>
          <w:bCs/>
          <w:color w:val="000000"/>
          <w:kern w:val="1"/>
          <w:sz w:val="22"/>
          <w:szCs w:val="24"/>
          <w:lang w:eastAsia="en-US"/>
        </w:rPr>
        <w:t xml:space="preserve">Однако, взяв во внимание такой аспект, как продолжительность жизни граждан в России, стоит задуматься, нужно ли откладывать свой заслуженный отдых и оформление выплат? </w:t>
      </w: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Проверяя данную информацию, достаточно лишь провести небольшие подсчеты. </w:t>
      </w: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Возьмем для примера двух мужчин, достигших 01 января 2015 г. возраста 60 лет и заработавших право на пенсию[2]. Пусть оба трудились одинаково хорошо и размер страховой пенсии по старости, полагающийся им по достижении пенсионного возраста, составил одинаковую сумму – 10 000 рублей. Оба решили продолжать трудиться. Предположим ближайшие 5 лет наличие трудовых отношений с одинаковой зарплатой – 20 000 рублей в месяц. Используя исходные данные, рассчитаем и проанализируем </w:t>
      </w:r>
      <w:r w:rsidRPr="00EC1A78">
        <w:rPr>
          <w:rFonts w:eastAsia="Andale Sans UI"/>
          <w:color w:val="000000"/>
          <w:kern w:val="1"/>
          <w:sz w:val="22"/>
          <w:szCs w:val="24"/>
          <w:lang w:eastAsia="en-US"/>
        </w:rPr>
        <w:lastRenderedPageBreak/>
        <w:t>два варианта поведения: первый пенсионер по достижении пенсионного возраста оформляет положенную ему страховую  пенсию по старости, а второй откладывает ее оформление на 5 лет, решив, что получать более высокую пенсию через 5 лет выгодно.</w:t>
      </w: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Не стоит забывать, все это время «оформивший сразу» ежемесячно получал по 10000руб., что в сумме за первый год составило 120000руб., одновременно с этим тот, кто отложил оформление пенсии, не получил ничего. </w:t>
      </w:r>
    </w:p>
    <w:p w:rsidR="00EC1A78" w:rsidRPr="00EC1A78" w:rsidRDefault="00EC1A78" w:rsidP="00EC1A78">
      <w:pPr>
        <w:suppressAutoHyphens/>
        <w:ind w:firstLine="425"/>
        <w:jc w:val="both"/>
        <w:rPr>
          <w:rFonts w:eastAsia="Andale Sans UI"/>
          <w:color w:val="000000"/>
          <w:kern w:val="1"/>
          <w:sz w:val="22"/>
          <w:szCs w:val="24"/>
          <w:lang w:eastAsia="en-US"/>
        </w:rPr>
      </w:pPr>
      <w:r w:rsidRPr="00EC1A78">
        <w:rPr>
          <w:rFonts w:eastAsia="Andale Sans UI"/>
          <w:color w:val="000000"/>
          <w:kern w:val="1"/>
          <w:sz w:val="22"/>
          <w:szCs w:val="24"/>
          <w:lang w:eastAsia="en-US"/>
        </w:rPr>
        <w:t xml:space="preserve">Ну и когда же ожидать выгоды принятого им решения? Как показывают несложные подсчеты, – в первые десять лет этого не произойдет. К 70–летнему юбилею он придет с результатом </w:t>
      </w:r>
      <w:r w:rsidRPr="00EC1A78">
        <w:rPr>
          <w:rFonts w:eastAsia="Andale Sans UI"/>
          <w:bCs/>
          <w:color w:val="000000"/>
          <w:kern w:val="1"/>
          <w:sz w:val="22"/>
          <w:szCs w:val="24"/>
          <w:lang w:eastAsia="en-US"/>
        </w:rPr>
        <w:t>минус 313 209 рублей.</w:t>
      </w:r>
      <w:r w:rsidRPr="00EC1A78">
        <w:rPr>
          <w:rFonts w:eastAsia="Andale Sans UI"/>
          <w:color w:val="000000"/>
          <w:kern w:val="1"/>
          <w:sz w:val="22"/>
          <w:szCs w:val="24"/>
          <w:lang w:eastAsia="en-US"/>
        </w:rPr>
        <w:t xml:space="preserve"> На такую величину его пенсионные выплаты будут меньше, чем у первого: 1 533 552 – 1 220 343 = 313 209 рублей.</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И все–таки, когда же он, хотя бы теоретически, догонит и пер</w:t>
      </w:r>
      <w:r w:rsidRPr="00EC1A78">
        <w:rPr>
          <w:rFonts w:eastAsiaTheme="minorHAnsi"/>
          <w:color w:val="000000"/>
          <w:sz w:val="22"/>
          <w:szCs w:val="22"/>
          <w:lang w:eastAsia="en-US"/>
        </w:rPr>
        <w:t>е</w:t>
      </w:r>
      <w:r w:rsidRPr="00EC1A78">
        <w:rPr>
          <w:rFonts w:eastAsiaTheme="minorHAnsi"/>
          <w:color w:val="000000"/>
          <w:sz w:val="22"/>
          <w:szCs w:val="22"/>
          <w:lang w:eastAsia="en-US"/>
        </w:rPr>
        <w:t>гонит первого? Как показывают расчеты – догонит. Они «сравняю</w:t>
      </w:r>
      <w:r w:rsidRPr="00EC1A78">
        <w:rPr>
          <w:rFonts w:eastAsiaTheme="minorHAnsi"/>
          <w:color w:val="000000"/>
          <w:sz w:val="22"/>
          <w:szCs w:val="22"/>
          <w:lang w:eastAsia="en-US"/>
        </w:rPr>
        <w:t>т</w:t>
      </w:r>
      <w:r w:rsidRPr="00EC1A78">
        <w:rPr>
          <w:rFonts w:eastAsiaTheme="minorHAnsi"/>
          <w:color w:val="000000"/>
          <w:sz w:val="22"/>
          <w:szCs w:val="22"/>
          <w:lang w:eastAsia="en-US"/>
        </w:rPr>
        <w:t>ся» только на 74 году жизни – через 14  лет после достижения пе</w:t>
      </w:r>
      <w:r w:rsidRPr="00EC1A78">
        <w:rPr>
          <w:rFonts w:eastAsiaTheme="minorHAnsi"/>
          <w:color w:val="000000"/>
          <w:sz w:val="22"/>
          <w:szCs w:val="22"/>
          <w:lang w:eastAsia="en-US"/>
        </w:rPr>
        <w:t>н</w:t>
      </w:r>
      <w:r w:rsidRPr="00EC1A78">
        <w:rPr>
          <w:rFonts w:eastAsiaTheme="minorHAnsi"/>
          <w:color w:val="000000"/>
          <w:sz w:val="22"/>
          <w:szCs w:val="22"/>
          <w:lang w:eastAsia="en-US"/>
        </w:rPr>
        <w:t>сионного возраста. А вот после 75 лет наступит долгожданная в</w:t>
      </w:r>
      <w:r w:rsidRPr="00EC1A78">
        <w:rPr>
          <w:rFonts w:eastAsiaTheme="minorHAnsi"/>
          <w:color w:val="000000"/>
          <w:sz w:val="22"/>
          <w:szCs w:val="22"/>
          <w:lang w:eastAsia="en-US"/>
        </w:rPr>
        <w:t>ы</w:t>
      </w:r>
      <w:r w:rsidRPr="00EC1A78">
        <w:rPr>
          <w:rFonts w:eastAsiaTheme="minorHAnsi"/>
          <w:color w:val="000000"/>
          <w:sz w:val="22"/>
          <w:szCs w:val="22"/>
          <w:lang w:eastAsia="en-US"/>
        </w:rPr>
        <w:t>года.</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В результате проведенного и представленного нами исследов</w:t>
      </w:r>
      <w:r w:rsidRPr="00EC1A78">
        <w:rPr>
          <w:rFonts w:eastAsiaTheme="minorHAnsi"/>
          <w:color w:val="000000"/>
          <w:sz w:val="22"/>
          <w:szCs w:val="22"/>
          <w:lang w:eastAsia="en-US"/>
        </w:rPr>
        <w:t>а</w:t>
      </w:r>
      <w:r w:rsidRPr="00EC1A78">
        <w:rPr>
          <w:rFonts w:eastAsiaTheme="minorHAnsi"/>
          <w:color w:val="000000"/>
          <w:sz w:val="22"/>
          <w:szCs w:val="22"/>
          <w:lang w:eastAsia="en-US"/>
        </w:rPr>
        <w:t>ния, можно сделать вывод о том, что  нововведение в пенсионном законодательстве, стимулирующее более поздний выход на пенсию на данный момент является нецелесообразным, поскольку выгода для пенсионера, отложившего получение пенсии по старости с</w:t>
      </w:r>
      <w:r w:rsidRPr="00EC1A78">
        <w:rPr>
          <w:rFonts w:eastAsiaTheme="minorHAnsi"/>
          <w:color w:val="000000"/>
          <w:sz w:val="22"/>
          <w:szCs w:val="22"/>
          <w:lang w:eastAsia="en-US"/>
        </w:rPr>
        <w:t>о</w:t>
      </w:r>
      <w:r w:rsidRPr="00EC1A78">
        <w:rPr>
          <w:rFonts w:eastAsiaTheme="minorHAnsi"/>
          <w:color w:val="000000"/>
          <w:sz w:val="22"/>
          <w:szCs w:val="22"/>
          <w:lang w:eastAsia="en-US"/>
        </w:rPr>
        <w:t>мнительна. Обосновывая этот вывод, следует всего лишь вспомнить среднюю продолжительность жизни жителей Российской Федер</w:t>
      </w:r>
      <w:r w:rsidRPr="00EC1A78">
        <w:rPr>
          <w:rFonts w:eastAsiaTheme="minorHAnsi"/>
          <w:color w:val="000000"/>
          <w:sz w:val="22"/>
          <w:szCs w:val="22"/>
          <w:lang w:eastAsia="en-US"/>
        </w:rPr>
        <w:t>а</w:t>
      </w:r>
      <w:r w:rsidRPr="00EC1A78">
        <w:rPr>
          <w:rFonts w:eastAsiaTheme="minorHAnsi"/>
          <w:color w:val="000000"/>
          <w:sz w:val="22"/>
          <w:szCs w:val="22"/>
          <w:lang w:eastAsia="en-US"/>
        </w:rPr>
        <w:t>ции. Он является ниже, чем возраст, когда наступает желанная в</w:t>
      </w:r>
      <w:r w:rsidRPr="00EC1A78">
        <w:rPr>
          <w:rFonts w:eastAsiaTheme="minorHAnsi"/>
          <w:color w:val="000000"/>
          <w:sz w:val="22"/>
          <w:szCs w:val="22"/>
          <w:lang w:eastAsia="en-US"/>
        </w:rPr>
        <w:t>ы</w:t>
      </w:r>
      <w:r w:rsidRPr="00EC1A78">
        <w:rPr>
          <w:rFonts w:eastAsiaTheme="minorHAnsi"/>
          <w:color w:val="000000"/>
          <w:sz w:val="22"/>
          <w:szCs w:val="22"/>
          <w:lang w:eastAsia="en-US"/>
        </w:rPr>
        <w:t xml:space="preserve">года «отложенной» пенсии. </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В связи с этим предлагаем увеличить премиальные  коэффиц</w:t>
      </w:r>
      <w:r w:rsidRPr="00EC1A78">
        <w:rPr>
          <w:rFonts w:eastAsiaTheme="minorHAnsi"/>
          <w:color w:val="000000"/>
          <w:sz w:val="22"/>
          <w:szCs w:val="22"/>
          <w:lang w:eastAsia="en-US"/>
        </w:rPr>
        <w:t>и</w:t>
      </w:r>
      <w:r w:rsidRPr="00EC1A78">
        <w:rPr>
          <w:rFonts w:eastAsiaTheme="minorHAnsi"/>
          <w:color w:val="000000"/>
          <w:sz w:val="22"/>
          <w:szCs w:val="22"/>
          <w:lang w:eastAsia="en-US"/>
        </w:rPr>
        <w:t>енты за более поздний выход на пенсию, но не за счет пенсий лиц, оформивших пенсию по старости сразу по достижении пенсионного возраста. Ведь недопустимо, чтобы в случае, если гражданин пр</w:t>
      </w:r>
      <w:r w:rsidRPr="00EC1A78">
        <w:rPr>
          <w:rFonts w:eastAsiaTheme="minorHAnsi"/>
          <w:color w:val="000000"/>
          <w:sz w:val="22"/>
          <w:szCs w:val="22"/>
          <w:lang w:eastAsia="en-US"/>
        </w:rPr>
        <w:t>и</w:t>
      </w:r>
      <w:r w:rsidRPr="00EC1A78">
        <w:rPr>
          <w:rFonts w:eastAsiaTheme="minorHAnsi"/>
          <w:color w:val="000000"/>
          <w:sz w:val="22"/>
          <w:szCs w:val="22"/>
          <w:lang w:eastAsia="en-US"/>
        </w:rPr>
        <w:t>мет решение о начале получения пенсии по достижении пенсионн</w:t>
      </w:r>
      <w:r w:rsidRPr="00EC1A78">
        <w:rPr>
          <w:rFonts w:eastAsiaTheme="minorHAnsi"/>
          <w:color w:val="000000"/>
          <w:sz w:val="22"/>
          <w:szCs w:val="22"/>
          <w:lang w:eastAsia="en-US"/>
        </w:rPr>
        <w:t>о</w:t>
      </w:r>
      <w:r w:rsidRPr="00EC1A78">
        <w:rPr>
          <w:rFonts w:eastAsiaTheme="minorHAnsi"/>
          <w:color w:val="000000"/>
          <w:sz w:val="22"/>
          <w:szCs w:val="22"/>
          <w:lang w:eastAsia="en-US"/>
        </w:rPr>
        <w:t xml:space="preserve">го возраста, ее размер оказался настолько мал, что такой гражданин будет вынужден продолжить трудовую деятельность. </w:t>
      </w:r>
    </w:p>
    <w:p w:rsidR="00EC1A78" w:rsidRPr="00EC1A78" w:rsidRDefault="00EC1A78" w:rsidP="00EC1A78">
      <w:pPr>
        <w:jc w:val="center"/>
        <w:rPr>
          <w:rFonts w:eastAsiaTheme="minorHAnsi"/>
          <w:color w:val="000000"/>
          <w:sz w:val="22"/>
          <w:szCs w:val="22"/>
          <w:lang w:eastAsia="en-US"/>
        </w:rPr>
      </w:pPr>
    </w:p>
    <w:p w:rsidR="00EC1A78" w:rsidRPr="00EC1A78" w:rsidRDefault="00EC1A78" w:rsidP="00EC1A78">
      <w:pPr>
        <w:jc w:val="center"/>
        <w:rPr>
          <w:rFonts w:eastAsiaTheme="minorHAnsi"/>
          <w:color w:val="000000"/>
          <w:sz w:val="22"/>
          <w:szCs w:val="22"/>
          <w:lang w:eastAsia="en-US"/>
        </w:rPr>
      </w:pPr>
      <w:r w:rsidRPr="00EC1A78">
        <w:rPr>
          <w:rFonts w:eastAsiaTheme="minorHAnsi"/>
          <w:color w:val="000000"/>
          <w:sz w:val="22"/>
          <w:szCs w:val="22"/>
          <w:lang w:eastAsia="en-US"/>
        </w:rPr>
        <w:t>Список литературы</w:t>
      </w:r>
    </w:p>
    <w:p w:rsidR="00EC1A78" w:rsidRPr="006478C4" w:rsidRDefault="00EC1A78" w:rsidP="00EC1A78">
      <w:pPr>
        <w:ind w:firstLine="426"/>
        <w:jc w:val="both"/>
        <w:rPr>
          <w:rFonts w:eastAsiaTheme="minorHAnsi"/>
          <w:sz w:val="22"/>
          <w:szCs w:val="22"/>
          <w:lang w:eastAsia="en-US"/>
        </w:rPr>
      </w:pPr>
      <w:r w:rsidRPr="00EC1A78">
        <w:rPr>
          <w:rFonts w:eastAsiaTheme="minorHAnsi"/>
          <w:sz w:val="22"/>
          <w:szCs w:val="22"/>
          <w:lang w:eastAsia="en-US"/>
        </w:rPr>
        <w:t>1. Официальный сайт Пенсионного фонда России [Электро</w:t>
      </w:r>
      <w:r w:rsidRPr="00EC1A78">
        <w:rPr>
          <w:rFonts w:eastAsiaTheme="minorHAnsi"/>
          <w:sz w:val="22"/>
          <w:szCs w:val="22"/>
          <w:lang w:eastAsia="en-US"/>
        </w:rPr>
        <w:t>н</w:t>
      </w:r>
      <w:r w:rsidRPr="00EC1A78">
        <w:rPr>
          <w:rFonts w:eastAsiaTheme="minorHAnsi"/>
          <w:sz w:val="22"/>
          <w:szCs w:val="22"/>
          <w:lang w:eastAsia="en-US"/>
        </w:rPr>
        <w:t>ный ресурс]. URL</w:t>
      </w:r>
      <w:r w:rsidRPr="006478C4">
        <w:rPr>
          <w:rFonts w:eastAsiaTheme="minorHAnsi"/>
          <w:sz w:val="22"/>
          <w:szCs w:val="22"/>
          <w:lang w:eastAsia="en-US"/>
        </w:rPr>
        <w:t xml:space="preserve">: </w:t>
      </w:r>
      <w:hyperlink r:id="rId381" w:history="1">
        <w:r w:rsidRPr="006478C4">
          <w:rPr>
            <w:rFonts w:eastAsiaTheme="minorHAnsi"/>
            <w:sz w:val="22"/>
            <w:szCs w:val="22"/>
            <w:lang w:eastAsia="en-US"/>
          </w:rPr>
          <w:t>http://www.pfrf.ru</w:t>
        </w:r>
      </w:hyperlink>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2. Серебрякова Е. А., Козлова Е. В. Повышение пенсионного возраста как возможность дополнительного источника доходов пе</w:t>
      </w:r>
      <w:r w:rsidRPr="00EC1A78">
        <w:rPr>
          <w:rFonts w:eastAsiaTheme="minorHAnsi"/>
          <w:sz w:val="22"/>
          <w:szCs w:val="22"/>
          <w:lang w:eastAsia="en-US"/>
        </w:rPr>
        <w:t>н</w:t>
      </w:r>
      <w:r w:rsidRPr="00EC1A78">
        <w:rPr>
          <w:rFonts w:eastAsiaTheme="minorHAnsi"/>
          <w:sz w:val="22"/>
          <w:szCs w:val="22"/>
          <w:lang w:eastAsia="en-US"/>
        </w:rPr>
        <w:t>сионного фонда России // Вестник Северо–Кавказского федеральн</w:t>
      </w:r>
      <w:r w:rsidRPr="00EC1A78">
        <w:rPr>
          <w:rFonts w:eastAsiaTheme="minorHAnsi"/>
          <w:sz w:val="22"/>
          <w:szCs w:val="22"/>
          <w:lang w:eastAsia="en-US"/>
        </w:rPr>
        <w:t>о</w:t>
      </w:r>
      <w:r w:rsidRPr="00EC1A78">
        <w:rPr>
          <w:rFonts w:eastAsiaTheme="minorHAnsi"/>
          <w:sz w:val="22"/>
          <w:szCs w:val="22"/>
          <w:lang w:eastAsia="en-US"/>
        </w:rPr>
        <w:t>го университета. 2015. № 6(51) с. 156–160.</w:t>
      </w:r>
    </w:p>
    <w:p w:rsidR="00EC1A78" w:rsidRDefault="00EC1A78" w:rsidP="00EC1A78">
      <w:pPr>
        <w:jc w:val="both"/>
        <w:rPr>
          <w:rFonts w:eastAsiaTheme="minorHAnsi"/>
          <w:sz w:val="22"/>
          <w:szCs w:val="22"/>
          <w:lang w:eastAsia="en-US"/>
        </w:rPr>
      </w:pPr>
    </w:p>
    <w:p w:rsidR="003A6F86" w:rsidRPr="00EC1A78" w:rsidRDefault="003A6F86" w:rsidP="00EC1A78">
      <w:pPr>
        <w:jc w:val="both"/>
        <w:rPr>
          <w:rFonts w:eastAsiaTheme="minorHAnsi"/>
          <w:sz w:val="22"/>
          <w:szCs w:val="22"/>
          <w:lang w:eastAsia="en-US"/>
        </w:rPr>
      </w:pPr>
    </w:p>
    <w:p w:rsidR="00EC1A78" w:rsidRPr="003A6F86" w:rsidRDefault="00EC1A78" w:rsidP="00EC1A78">
      <w:pPr>
        <w:rPr>
          <w:rFonts w:eastAsiaTheme="minorHAnsi"/>
          <w:sz w:val="22"/>
          <w:szCs w:val="22"/>
          <w:lang w:eastAsia="en-US"/>
        </w:rPr>
      </w:pPr>
      <w:r w:rsidRPr="003A6F86">
        <w:rPr>
          <w:rFonts w:eastAsiaTheme="minorHAnsi"/>
          <w:sz w:val="22"/>
          <w:szCs w:val="22"/>
          <w:lang w:eastAsia="en-US"/>
        </w:rPr>
        <w:t>УДК 347.12</w:t>
      </w:r>
    </w:p>
    <w:p w:rsidR="00EC1A78" w:rsidRPr="00EC1A78" w:rsidRDefault="00EC1A78" w:rsidP="00EC1A78">
      <w:pPr>
        <w:rPr>
          <w:rFonts w:eastAsiaTheme="minorHAnsi"/>
          <w:sz w:val="24"/>
          <w:szCs w:val="24"/>
          <w:lang w:eastAsia="en-US"/>
        </w:rPr>
      </w:pP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Самозащита в гражданском праве России</w:t>
      </w: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val="en-US" w:eastAsia="en-US"/>
        </w:rPr>
        <w:t>Self</w:t>
      </w:r>
      <w:r w:rsidRPr="00EC1A78">
        <w:rPr>
          <w:rFonts w:eastAsiaTheme="minorHAnsi"/>
          <w:b/>
          <w:sz w:val="24"/>
          <w:szCs w:val="24"/>
          <w:lang w:eastAsia="en-US"/>
        </w:rPr>
        <w:t>–</w:t>
      </w:r>
      <w:r w:rsidRPr="00EC1A78">
        <w:rPr>
          <w:rFonts w:eastAsiaTheme="minorHAnsi"/>
          <w:b/>
          <w:sz w:val="24"/>
          <w:szCs w:val="24"/>
          <w:lang w:val="en-US" w:eastAsia="en-US"/>
        </w:rPr>
        <w:t>defense</w:t>
      </w:r>
      <w:r w:rsidRPr="00EC1A78">
        <w:rPr>
          <w:rFonts w:eastAsiaTheme="minorHAnsi"/>
          <w:b/>
          <w:sz w:val="24"/>
          <w:szCs w:val="24"/>
          <w:lang w:eastAsia="en-US"/>
        </w:rPr>
        <w:t xml:space="preserve"> </w:t>
      </w:r>
      <w:r w:rsidRPr="00EC1A78">
        <w:rPr>
          <w:rFonts w:eastAsiaTheme="minorHAnsi"/>
          <w:b/>
          <w:sz w:val="24"/>
          <w:szCs w:val="24"/>
          <w:lang w:val="en-US" w:eastAsia="en-US"/>
        </w:rPr>
        <w:t>in</w:t>
      </w:r>
      <w:r w:rsidRPr="00EC1A78">
        <w:rPr>
          <w:rFonts w:eastAsiaTheme="minorHAnsi"/>
          <w:b/>
          <w:sz w:val="24"/>
          <w:szCs w:val="24"/>
          <w:lang w:eastAsia="en-US"/>
        </w:rPr>
        <w:t xml:space="preserve"> </w:t>
      </w:r>
      <w:r w:rsidRPr="00EC1A78">
        <w:rPr>
          <w:rFonts w:eastAsiaTheme="minorHAnsi"/>
          <w:b/>
          <w:sz w:val="24"/>
          <w:szCs w:val="24"/>
          <w:lang w:val="en-US" w:eastAsia="en-US"/>
        </w:rPr>
        <w:t>civil</w:t>
      </w:r>
      <w:r w:rsidRPr="00EC1A78">
        <w:rPr>
          <w:rFonts w:eastAsiaTheme="minorHAnsi"/>
          <w:b/>
          <w:sz w:val="24"/>
          <w:szCs w:val="24"/>
          <w:lang w:eastAsia="en-US"/>
        </w:rPr>
        <w:t xml:space="preserve"> </w:t>
      </w:r>
      <w:r w:rsidRPr="00EC1A78">
        <w:rPr>
          <w:rFonts w:eastAsiaTheme="minorHAnsi"/>
          <w:b/>
          <w:sz w:val="24"/>
          <w:szCs w:val="24"/>
          <w:lang w:val="en-US" w:eastAsia="en-US"/>
        </w:rPr>
        <w:t>law</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Russia</w:t>
      </w:r>
    </w:p>
    <w:p w:rsidR="00EC1A78" w:rsidRPr="00EC1A78" w:rsidRDefault="00EC1A78" w:rsidP="00EC1A78">
      <w:pPr>
        <w:ind w:firstLine="425"/>
        <w:jc w:val="center"/>
        <w:rPr>
          <w:rFonts w:eastAsiaTheme="minorHAnsi"/>
          <w:b/>
          <w:sz w:val="24"/>
          <w:szCs w:val="24"/>
          <w:lang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Зидириду М.,</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студентка 2–го курса юридического факультета</w:t>
      </w:r>
    </w:p>
    <w:p w:rsidR="00EB2EB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 университет имени И.</w:t>
      </w:r>
      <w:r w:rsidR="00EB2EB8">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eastAsia="en-US"/>
        </w:rPr>
        <w:t>АННОТАЦИЯ: В статье анализируется сущность самозащиты как института гражданского права. Предпринята попытка выявл</w:t>
      </w:r>
      <w:r w:rsidRPr="00EC1A78">
        <w:rPr>
          <w:rFonts w:eastAsiaTheme="minorHAnsi"/>
          <w:sz w:val="22"/>
          <w:szCs w:val="22"/>
          <w:lang w:eastAsia="en-US"/>
        </w:rPr>
        <w:t>е</w:t>
      </w:r>
      <w:r w:rsidRPr="00EC1A78">
        <w:rPr>
          <w:rFonts w:eastAsiaTheme="minorHAnsi"/>
          <w:sz w:val="22"/>
          <w:szCs w:val="22"/>
          <w:lang w:eastAsia="en-US"/>
        </w:rPr>
        <w:t>ния некоторых признаков самозащиты на основе анализа научных трудов ученых и нормативных актов. Обнаружено</w:t>
      </w:r>
      <w:r w:rsidRPr="00EC1A78">
        <w:rPr>
          <w:rFonts w:eastAsiaTheme="minorHAnsi"/>
          <w:sz w:val="22"/>
          <w:szCs w:val="22"/>
          <w:lang w:val="en-US" w:eastAsia="en-US"/>
        </w:rPr>
        <w:t xml:space="preserve"> </w:t>
      </w:r>
      <w:r w:rsidRPr="00EC1A78">
        <w:rPr>
          <w:rFonts w:eastAsiaTheme="minorHAnsi"/>
          <w:sz w:val="22"/>
          <w:szCs w:val="22"/>
          <w:lang w:eastAsia="en-US"/>
        </w:rPr>
        <w:t>отсутствие</w:t>
      </w:r>
      <w:r w:rsidRPr="00EC1A78">
        <w:rPr>
          <w:rFonts w:eastAsiaTheme="minorHAnsi"/>
          <w:sz w:val="22"/>
          <w:szCs w:val="22"/>
          <w:lang w:val="en-US" w:eastAsia="en-US"/>
        </w:rPr>
        <w:t xml:space="preserve"> </w:t>
      </w:r>
      <w:r w:rsidRPr="00EC1A78">
        <w:rPr>
          <w:rFonts w:eastAsiaTheme="minorHAnsi"/>
          <w:sz w:val="22"/>
          <w:szCs w:val="22"/>
          <w:lang w:eastAsia="en-US"/>
        </w:rPr>
        <w:t>пон</w:t>
      </w:r>
      <w:r w:rsidRPr="00EC1A78">
        <w:rPr>
          <w:rFonts w:eastAsiaTheme="minorHAnsi"/>
          <w:sz w:val="22"/>
          <w:szCs w:val="22"/>
          <w:lang w:eastAsia="en-US"/>
        </w:rPr>
        <w:t>я</w:t>
      </w:r>
      <w:r w:rsidRPr="00EC1A78">
        <w:rPr>
          <w:rFonts w:eastAsiaTheme="minorHAnsi"/>
          <w:sz w:val="22"/>
          <w:szCs w:val="22"/>
          <w:lang w:eastAsia="en-US"/>
        </w:rPr>
        <w:t>тия</w:t>
      </w:r>
      <w:r w:rsidRPr="00EC1A78">
        <w:rPr>
          <w:rFonts w:eastAsiaTheme="minorHAnsi"/>
          <w:sz w:val="22"/>
          <w:szCs w:val="22"/>
          <w:lang w:val="en-US" w:eastAsia="en-US"/>
        </w:rPr>
        <w:t xml:space="preserve"> </w:t>
      </w:r>
      <w:r w:rsidRPr="00EC1A78">
        <w:rPr>
          <w:rFonts w:eastAsiaTheme="minorHAnsi"/>
          <w:sz w:val="22"/>
          <w:szCs w:val="22"/>
          <w:lang w:eastAsia="en-US"/>
        </w:rPr>
        <w:t>самозащиты</w:t>
      </w:r>
      <w:r w:rsidRPr="00EC1A78">
        <w:rPr>
          <w:rFonts w:eastAsiaTheme="minorHAnsi"/>
          <w:sz w:val="22"/>
          <w:szCs w:val="22"/>
          <w:lang w:val="en-US" w:eastAsia="en-US"/>
        </w:rPr>
        <w:t xml:space="preserve">, </w:t>
      </w:r>
      <w:r w:rsidRPr="00EC1A78">
        <w:rPr>
          <w:rFonts w:eastAsiaTheme="minorHAnsi"/>
          <w:sz w:val="22"/>
          <w:szCs w:val="22"/>
          <w:lang w:eastAsia="en-US"/>
        </w:rPr>
        <w:t>закрепленное</w:t>
      </w:r>
      <w:r w:rsidRPr="00EC1A78">
        <w:rPr>
          <w:rFonts w:eastAsiaTheme="minorHAnsi"/>
          <w:sz w:val="22"/>
          <w:szCs w:val="22"/>
          <w:lang w:val="en-US" w:eastAsia="en-US"/>
        </w:rPr>
        <w:t xml:space="preserve"> </w:t>
      </w:r>
      <w:r w:rsidRPr="00EC1A78">
        <w:rPr>
          <w:rFonts w:eastAsiaTheme="minorHAnsi"/>
          <w:sz w:val="22"/>
          <w:szCs w:val="22"/>
          <w:lang w:eastAsia="en-US"/>
        </w:rPr>
        <w:t>на</w:t>
      </w:r>
      <w:r w:rsidRPr="00EC1A78">
        <w:rPr>
          <w:rFonts w:eastAsiaTheme="minorHAnsi"/>
          <w:sz w:val="22"/>
          <w:szCs w:val="22"/>
          <w:lang w:val="en-US" w:eastAsia="en-US"/>
        </w:rPr>
        <w:t xml:space="preserve"> </w:t>
      </w:r>
      <w:r w:rsidRPr="00EC1A78">
        <w:rPr>
          <w:rFonts w:eastAsiaTheme="minorHAnsi"/>
          <w:sz w:val="22"/>
          <w:szCs w:val="22"/>
          <w:lang w:eastAsia="en-US"/>
        </w:rPr>
        <w:t>законодательном</w:t>
      </w:r>
      <w:r w:rsidRPr="00EC1A78">
        <w:rPr>
          <w:rFonts w:eastAsiaTheme="minorHAnsi"/>
          <w:sz w:val="22"/>
          <w:szCs w:val="22"/>
          <w:lang w:val="en-US" w:eastAsia="en-US"/>
        </w:rPr>
        <w:t xml:space="preserve"> </w:t>
      </w:r>
      <w:r w:rsidRPr="00EC1A78">
        <w:rPr>
          <w:rFonts w:eastAsiaTheme="minorHAnsi"/>
          <w:sz w:val="22"/>
          <w:szCs w:val="22"/>
          <w:lang w:eastAsia="en-US"/>
        </w:rPr>
        <w:t>уровне</w:t>
      </w:r>
      <w:r w:rsidRPr="00EC1A78">
        <w:rPr>
          <w:rFonts w:eastAsiaTheme="minorHAnsi"/>
          <w:sz w:val="22"/>
          <w:szCs w:val="22"/>
          <w:lang w:val="en-US" w:eastAsia="en-US"/>
        </w:rPr>
        <w:t>.</w:t>
      </w:r>
      <w:r w:rsidRPr="00EC1A78">
        <w:rPr>
          <w:rFonts w:eastAsiaTheme="minorHAnsi"/>
          <w:color w:val="C00000"/>
          <w:sz w:val="22"/>
          <w:szCs w:val="22"/>
          <w:lang w:val="en-US" w:eastAsia="en-US"/>
        </w:rPr>
        <w:t xml:space="preserve">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analyzes the essence of self–defense as an institution of civil law. An attempt is made to identify some signs of self–defense on the basis of the analysis of scientific works of scientists and regulations. The absence of the concept of self–defense, enshrined at the legislative level.</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самозащита гражданских прав и интер</w:t>
      </w:r>
      <w:r w:rsidRPr="00EC1A78">
        <w:rPr>
          <w:rFonts w:eastAsiaTheme="minorHAnsi"/>
          <w:sz w:val="22"/>
          <w:szCs w:val="22"/>
          <w:lang w:eastAsia="en-US"/>
        </w:rPr>
        <w:t>е</w:t>
      </w:r>
      <w:r w:rsidRPr="00EC1A78">
        <w:rPr>
          <w:rFonts w:eastAsiaTheme="minorHAnsi"/>
          <w:sz w:val="22"/>
          <w:szCs w:val="22"/>
          <w:lang w:eastAsia="en-US"/>
        </w:rPr>
        <w:t>сов, способы самозащиты, гражданское законодательство, наруш</w:t>
      </w:r>
      <w:r w:rsidRPr="00EC1A78">
        <w:rPr>
          <w:rFonts w:eastAsiaTheme="minorHAnsi"/>
          <w:sz w:val="22"/>
          <w:szCs w:val="22"/>
          <w:lang w:eastAsia="en-US"/>
        </w:rPr>
        <w:t>е</w:t>
      </w:r>
      <w:r w:rsidRPr="00EC1A78">
        <w:rPr>
          <w:rFonts w:eastAsiaTheme="minorHAnsi"/>
          <w:sz w:val="22"/>
          <w:szCs w:val="22"/>
          <w:lang w:eastAsia="en-US"/>
        </w:rPr>
        <w:t>ние гражданских прав.</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 xml:space="preserve">KEYWORDS: self–defense of civil rights and interests, methods of self–defense, civil legislation, a violation of civil rights. </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Российской Федерации гарантируется возможность защ</w:t>
      </w:r>
      <w:r w:rsidRPr="00EC1A78">
        <w:rPr>
          <w:rFonts w:eastAsiaTheme="minorHAnsi"/>
          <w:sz w:val="22"/>
          <w:szCs w:val="22"/>
          <w:lang w:eastAsia="en-US"/>
        </w:rPr>
        <w:t>и</w:t>
      </w:r>
      <w:r w:rsidRPr="00EC1A78">
        <w:rPr>
          <w:rFonts w:eastAsiaTheme="minorHAnsi"/>
          <w:sz w:val="22"/>
          <w:szCs w:val="22"/>
          <w:lang w:eastAsia="en-US"/>
        </w:rPr>
        <w:t>щать свои права и свободы всеми способами, не противоречащими законодательству. Кроме этого, гражданское законодательство з</w:t>
      </w:r>
      <w:r w:rsidRPr="00EC1A78">
        <w:rPr>
          <w:rFonts w:eastAsiaTheme="minorHAnsi"/>
          <w:sz w:val="22"/>
          <w:szCs w:val="22"/>
          <w:lang w:eastAsia="en-US"/>
        </w:rPr>
        <w:t>а</w:t>
      </w:r>
      <w:r w:rsidRPr="00EC1A78">
        <w:rPr>
          <w:rFonts w:eastAsiaTheme="minorHAnsi"/>
          <w:sz w:val="22"/>
          <w:szCs w:val="22"/>
          <w:lang w:eastAsia="en-US"/>
        </w:rPr>
        <w:t xml:space="preserve">крепляет определенные способы защиты гражданских прав, среди которых стоит выделить самозащиту права. В ст.14 Гражданского </w:t>
      </w:r>
      <w:r w:rsidRPr="00EC1A78">
        <w:rPr>
          <w:rFonts w:eastAsiaTheme="minorHAnsi"/>
          <w:sz w:val="22"/>
          <w:szCs w:val="22"/>
          <w:lang w:eastAsia="en-US"/>
        </w:rPr>
        <w:lastRenderedPageBreak/>
        <w:t>Кодекса Российской Федерации (далее – ГК РФ) назван данный способ защиты гражданских прав, однако законодатель не пред</w:t>
      </w:r>
      <w:r w:rsidRPr="00EC1A78">
        <w:rPr>
          <w:rFonts w:eastAsiaTheme="minorHAnsi"/>
          <w:sz w:val="22"/>
          <w:szCs w:val="22"/>
          <w:lang w:eastAsia="en-US"/>
        </w:rPr>
        <w:t>о</w:t>
      </w:r>
      <w:r w:rsidRPr="00EC1A78">
        <w:rPr>
          <w:rFonts w:eastAsiaTheme="minorHAnsi"/>
          <w:sz w:val="22"/>
          <w:szCs w:val="22"/>
          <w:lang w:eastAsia="en-US"/>
        </w:rPr>
        <w:t>ставляет дополнительную информацию о нем, кроме как о его наличии.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уголовном законодательстве также существует схожий и</w:t>
      </w:r>
      <w:r w:rsidRPr="00EC1A78">
        <w:rPr>
          <w:rFonts w:eastAsiaTheme="minorHAnsi"/>
          <w:sz w:val="22"/>
          <w:szCs w:val="22"/>
          <w:lang w:eastAsia="en-US"/>
        </w:rPr>
        <w:t>н</w:t>
      </w:r>
      <w:r w:rsidRPr="00EC1A78">
        <w:rPr>
          <w:rFonts w:eastAsiaTheme="minorHAnsi"/>
          <w:sz w:val="22"/>
          <w:szCs w:val="22"/>
          <w:lang w:eastAsia="en-US"/>
        </w:rPr>
        <w:t>ститут, именуемый самообороной. Кроме того, в Уголовном Коде</w:t>
      </w:r>
      <w:r w:rsidRPr="00EC1A78">
        <w:rPr>
          <w:rFonts w:eastAsiaTheme="minorHAnsi"/>
          <w:sz w:val="22"/>
          <w:szCs w:val="22"/>
          <w:lang w:eastAsia="en-US"/>
        </w:rPr>
        <w:t>к</w:t>
      </w:r>
      <w:r w:rsidRPr="00EC1A78">
        <w:rPr>
          <w:rFonts w:eastAsiaTheme="minorHAnsi"/>
          <w:sz w:val="22"/>
          <w:szCs w:val="22"/>
          <w:lang w:eastAsia="en-US"/>
        </w:rPr>
        <w:t>се Российской Федерации дается его определение. Однако, проан</w:t>
      </w:r>
      <w:r w:rsidRPr="00EC1A78">
        <w:rPr>
          <w:rFonts w:eastAsiaTheme="minorHAnsi"/>
          <w:sz w:val="22"/>
          <w:szCs w:val="22"/>
          <w:lang w:eastAsia="en-US"/>
        </w:rPr>
        <w:t>а</w:t>
      </w:r>
      <w:r w:rsidRPr="00EC1A78">
        <w:rPr>
          <w:rFonts w:eastAsiaTheme="minorHAnsi"/>
          <w:sz w:val="22"/>
          <w:szCs w:val="22"/>
          <w:lang w:eastAsia="en-US"/>
        </w:rPr>
        <w:t xml:space="preserve">лизировав гражданское законодательство, приходим к выводу, что не устанавливается единое понятие самозащиты гражданских прав.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При определении сущности самозащиты необходимо разгран</w:t>
      </w:r>
      <w:r w:rsidRPr="00EC1A78">
        <w:rPr>
          <w:rFonts w:eastAsiaTheme="minorHAnsi"/>
          <w:sz w:val="22"/>
          <w:szCs w:val="22"/>
          <w:lang w:eastAsia="en-US"/>
        </w:rPr>
        <w:t>и</w:t>
      </w:r>
      <w:r w:rsidRPr="00EC1A78">
        <w:rPr>
          <w:rFonts w:eastAsiaTheme="minorHAnsi"/>
          <w:sz w:val="22"/>
          <w:szCs w:val="22"/>
          <w:lang w:eastAsia="en-US"/>
        </w:rPr>
        <w:t>чивать понятия «защита» и «охрана» прав, так как второе из них предполагает действия, направленные на предупреждение наруш</w:t>
      </w:r>
      <w:r w:rsidRPr="00EC1A78">
        <w:rPr>
          <w:rFonts w:eastAsiaTheme="minorHAnsi"/>
          <w:sz w:val="22"/>
          <w:szCs w:val="22"/>
          <w:lang w:eastAsia="en-US"/>
        </w:rPr>
        <w:t>е</w:t>
      </w:r>
      <w:r w:rsidRPr="00EC1A78">
        <w:rPr>
          <w:rFonts w:eastAsiaTheme="minorHAnsi"/>
          <w:sz w:val="22"/>
          <w:szCs w:val="22"/>
          <w:lang w:eastAsia="en-US"/>
        </w:rPr>
        <w:t>ний. Самозащита же выражается в действиях, направленных на во</w:t>
      </w:r>
      <w:r w:rsidRPr="00EC1A78">
        <w:rPr>
          <w:rFonts w:eastAsiaTheme="minorHAnsi"/>
          <w:sz w:val="22"/>
          <w:szCs w:val="22"/>
          <w:lang w:eastAsia="en-US"/>
        </w:rPr>
        <w:t>с</w:t>
      </w:r>
      <w:r w:rsidRPr="00EC1A78">
        <w:rPr>
          <w:rFonts w:eastAsiaTheme="minorHAnsi"/>
          <w:sz w:val="22"/>
          <w:szCs w:val="22"/>
          <w:lang w:eastAsia="en-US"/>
        </w:rPr>
        <w:t>становление уже нарушенных прав и интересов. Таким образом, самозащитой, в первую очередь, является действие лица по защите его гражданских прав в случае их нарушения.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Важно, что такие действия должны соответствовать способу и характеру нарушения, то есть причиненный вред не может являться более значительным, чем предотвращенный. Выход субъекта за пределы субъективного права при его осуществлении приводит к возложению на него ответственности [1].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Характеристику института самозащиты можно получить, о</w:t>
      </w:r>
      <w:r w:rsidRPr="00EC1A78">
        <w:rPr>
          <w:rFonts w:eastAsiaTheme="minorHAnsi"/>
          <w:sz w:val="22"/>
          <w:szCs w:val="22"/>
          <w:lang w:eastAsia="en-US"/>
        </w:rPr>
        <w:t>б</w:t>
      </w:r>
      <w:r w:rsidRPr="00EC1A78">
        <w:rPr>
          <w:rFonts w:eastAsiaTheme="minorHAnsi"/>
          <w:sz w:val="22"/>
          <w:szCs w:val="22"/>
          <w:lang w:eastAsia="en-US"/>
        </w:rPr>
        <w:t>ращаясь к гражданско–правовой доктрине, изучая мнения ученых. По мнению С.Н. Веретенниковой, самозащита определяется как и</w:t>
      </w:r>
      <w:r w:rsidRPr="00EC1A78">
        <w:rPr>
          <w:rFonts w:eastAsiaTheme="minorHAnsi"/>
          <w:sz w:val="22"/>
          <w:szCs w:val="22"/>
          <w:lang w:eastAsia="en-US"/>
        </w:rPr>
        <w:t>н</w:t>
      </w:r>
      <w:r w:rsidRPr="00EC1A78">
        <w:rPr>
          <w:rFonts w:eastAsiaTheme="minorHAnsi"/>
          <w:sz w:val="22"/>
          <w:szCs w:val="22"/>
          <w:lang w:eastAsia="en-US"/>
        </w:rPr>
        <w:t>дивидуальное волевое действие как физических, так и юридических лиц, в отношении которых были совершены правонарушения или была создана реальная угроза такого нарушения, направленное на защиту гражданских прав и охраняемых законом интересов, учит</w:t>
      </w:r>
      <w:r w:rsidRPr="00EC1A78">
        <w:rPr>
          <w:rFonts w:eastAsiaTheme="minorHAnsi"/>
          <w:sz w:val="22"/>
          <w:szCs w:val="22"/>
          <w:lang w:eastAsia="en-US"/>
        </w:rPr>
        <w:t>ы</w:t>
      </w:r>
      <w:r w:rsidRPr="00EC1A78">
        <w:rPr>
          <w:rFonts w:eastAsiaTheme="minorHAnsi"/>
          <w:sz w:val="22"/>
          <w:szCs w:val="22"/>
          <w:lang w:eastAsia="en-US"/>
        </w:rPr>
        <w:t xml:space="preserve">вая при этом соблюдение предусмотренных законом пределов ее правомерности [4, с. 11].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В.С. Ем под самозащитой гражданских прав понимает сове</w:t>
      </w:r>
      <w:r w:rsidRPr="00EC1A78">
        <w:rPr>
          <w:rFonts w:eastAsiaTheme="minorHAnsi"/>
          <w:sz w:val="22"/>
          <w:szCs w:val="22"/>
          <w:lang w:eastAsia="en-US"/>
        </w:rPr>
        <w:t>р</w:t>
      </w:r>
      <w:r w:rsidRPr="00EC1A78">
        <w:rPr>
          <w:rFonts w:eastAsiaTheme="minorHAnsi"/>
          <w:sz w:val="22"/>
          <w:szCs w:val="22"/>
          <w:lang w:eastAsia="en-US"/>
        </w:rPr>
        <w:t xml:space="preserve">шение управомоченным лицом не запрещенных законом действий фактического порядка, направленных на охрану его личных или имущественных прав, интересов других лиц и государств [2, с. 563].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Б.М. Гонгало выделяет несколько признаков самозащиты, х</w:t>
      </w:r>
      <w:r w:rsidRPr="00EC1A78">
        <w:rPr>
          <w:rFonts w:eastAsiaTheme="minorHAnsi"/>
          <w:sz w:val="22"/>
          <w:szCs w:val="22"/>
          <w:lang w:eastAsia="en-US"/>
        </w:rPr>
        <w:t>а</w:t>
      </w:r>
      <w:r w:rsidRPr="00EC1A78">
        <w:rPr>
          <w:rFonts w:eastAsiaTheme="minorHAnsi"/>
          <w:sz w:val="22"/>
          <w:szCs w:val="22"/>
          <w:lang w:eastAsia="en-US"/>
        </w:rPr>
        <w:t xml:space="preserve">рактеризуя ее как действие по защите права, совершенное лицом, чье право было нарушено, и направленное на пресечение этого нарушения, в случае если невозможно использовать иной порядок </w:t>
      </w:r>
      <w:r w:rsidRPr="00EC1A78">
        <w:rPr>
          <w:rFonts w:eastAsiaTheme="minorHAnsi"/>
          <w:sz w:val="22"/>
          <w:szCs w:val="22"/>
          <w:lang w:eastAsia="en-US"/>
        </w:rPr>
        <w:lastRenderedPageBreak/>
        <w:t>защиты права, при этом, соблюдая пределы действий, необходимых для пресечения нарушения [3, с. 100].</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самозащиту можно определить, как действия лица, направленные на защиту нарушенных принадлежащих ему прав с целью их восстановления, при этом не обращаясь в юри</w:t>
      </w:r>
      <w:r w:rsidRPr="00EC1A78">
        <w:rPr>
          <w:rFonts w:eastAsiaTheme="minorHAnsi"/>
          <w:sz w:val="22"/>
          <w:szCs w:val="22"/>
          <w:lang w:eastAsia="en-US"/>
        </w:rPr>
        <w:t>с</w:t>
      </w:r>
      <w:r w:rsidRPr="00EC1A78">
        <w:rPr>
          <w:rFonts w:eastAsiaTheme="minorHAnsi"/>
          <w:sz w:val="22"/>
          <w:szCs w:val="22"/>
          <w:lang w:eastAsia="en-US"/>
        </w:rPr>
        <w:t>дикционные органы, и учитывая соблюдение пределов правомерн</w:t>
      </w:r>
      <w:r w:rsidRPr="00EC1A78">
        <w:rPr>
          <w:rFonts w:eastAsiaTheme="minorHAnsi"/>
          <w:sz w:val="22"/>
          <w:szCs w:val="22"/>
          <w:lang w:eastAsia="en-US"/>
        </w:rPr>
        <w:t>о</w:t>
      </w:r>
      <w:r w:rsidRPr="00EC1A78">
        <w:rPr>
          <w:rFonts w:eastAsiaTheme="minorHAnsi"/>
          <w:sz w:val="22"/>
          <w:szCs w:val="22"/>
          <w:lang w:eastAsia="en-US"/>
        </w:rPr>
        <w:t>сти таких действий согласно законодательству. Например, при п</w:t>
      </w:r>
      <w:r w:rsidRPr="00EC1A78">
        <w:rPr>
          <w:rFonts w:eastAsiaTheme="minorHAnsi"/>
          <w:sz w:val="22"/>
          <w:szCs w:val="22"/>
          <w:lang w:eastAsia="en-US"/>
        </w:rPr>
        <w:t>е</w:t>
      </w:r>
      <w:r w:rsidRPr="00EC1A78">
        <w:rPr>
          <w:rFonts w:eastAsiaTheme="minorHAnsi"/>
          <w:sz w:val="22"/>
          <w:szCs w:val="22"/>
          <w:lang w:eastAsia="en-US"/>
        </w:rPr>
        <w:t>редачи продавцом покупателю товар ненадлежащего качества, вт</w:t>
      </w:r>
      <w:r w:rsidRPr="00EC1A78">
        <w:rPr>
          <w:rFonts w:eastAsiaTheme="minorHAnsi"/>
          <w:sz w:val="22"/>
          <w:szCs w:val="22"/>
          <w:lang w:eastAsia="en-US"/>
        </w:rPr>
        <w:t>о</w:t>
      </w:r>
      <w:r w:rsidRPr="00EC1A78">
        <w:rPr>
          <w:rFonts w:eastAsiaTheme="minorHAnsi"/>
          <w:sz w:val="22"/>
          <w:szCs w:val="22"/>
          <w:lang w:eastAsia="en-US"/>
        </w:rPr>
        <w:t>рой имеет право потребовать соразмерного уменьшения покупной цены или безвозмездного устранения недостатков товара в разу</w:t>
      </w:r>
      <w:r w:rsidRPr="00EC1A78">
        <w:rPr>
          <w:rFonts w:eastAsiaTheme="minorHAnsi"/>
          <w:sz w:val="22"/>
          <w:szCs w:val="22"/>
          <w:lang w:eastAsia="en-US"/>
        </w:rPr>
        <w:t>м</w:t>
      </w:r>
      <w:r w:rsidRPr="00EC1A78">
        <w:rPr>
          <w:rFonts w:eastAsiaTheme="minorHAnsi"/>
          <w:sz w:val="22"/>
          <w:szCs w:val="22"/>
          <w:lang w:eastAsia="en-US"/>
        </w:rPr>
        <w:t>ный срок или возмещения своих расходов на устранение недоста</w:t>
      </w:r>
      <w:r w:rsidRPr="00EC1A78">
        <w:rPr>
          <w:rFonts w:eastAsiaTheme="minorHAnsi"/>
          <w:sz w:val="22"/>
          <w:szCs w:val="22"/>
          <w:lang w:eastAsia="en-US"/>
        </w:rPr>
        <w:t>т</w:t>
      </w:r>
      <w:r w:rsidRPr="00EC1A78">
        <w:rPr>
          <w:rFonts w:eastAsiaTheme="minorHAnsi"/>
          <w:sz w:val="22"/>
          <w:szCs w:val="22"/>
          <w:lang w:eastAsia="en-US"/>
        </w:rPr>
        <w:t>ков товара.</w:t>
      </w:r>
    </w:p>
    <w:p w:rsidR="00EC1A78" w:rsidRPr="00EC1A78" w:rsidRDefault="00EC1A78" w:rsidP="00EC1A78">
      <w:pPr>
        <w:ind w:firstLine="425"/>
        <w:jc w:val="both"/>
        <w:rPr>
          <w:rFonts w:eastAsiaTheme="minorHAnsi"/>
          <w:color w:val="FF0000"/>
          <w:sz w:val="22"/>
          <w:szCs w:val="22"/>
          <w:lang w:eastAsia="en-US"/>
        </w:rPr>
      </w:pPr>
      <w:r w:rsidRPr="00EC1A78">
        <w:rPr>
          <w:rFonts w:eastAsiaTheme="minorHAnsi"/>
          <w:sz w:val="22"/>
          <w:szCs w:val="22"/>
          <w:lang w:eastAsia="en-US"/>
        </w:rPr>
        <w:t>Проблемы возникают при отнесении тех или иных действий к способам самозащиты. Уполномоченные органы, определяя сора</w:t>
      </w:r>
      <w:r w:rsidRPr="00EC1A78">
        <w:rPr>
          <w:rFonts w:eastAsiaTheme="minorHAnsi"/>
          <w:sz w:val="22"/>
          <w:szCs w:val="22"/>
          <w:lang w:eastAsia="en-US"/>
        </w:rPr>
        <w:t>з</w:t>
      </w:r>
      <w:r w:rsidRPr="00EC1A78">
        <w:rPr>
          <w:rFonts w:eastAsiaTheme="minorHAnsi"/>
          <w:sz w:val="22"/>
          <w:szCs w:val="22"/>
          <w:lang w:eastAsia="en-US"/>
        </w:rPr>
        <w:t>мерность действий, принятых для предотвращения нарушения, д</w:t>
      </w:r>
      <w:r w:rsidRPr="00EC1A78">
        <w:rPr>
          <w:rFonts w:eastAsiaTheme="minorHAnsi"/>
          <w:sz w:val="22"/>
          <w:szCs w:val="22"/>
          <w:lang w:eastAsia="en-US"/>
        </w:rPr>
        <w:t>а</w:t>
      </w:r>
      <w:r w:rsidRPr="00EC1A78">
        <w:rPr>
          <w:rFonts w:eastAsiaTheme="minorHAnsi"/>
          <w:sz w:val="22"/>
          <w:szCs w:val="22"/>
          <w:lang w:eastAsia="en-US"/>
        </w:rPr>
        <w:t>ют им оценку и определяют их допустимость или же наоборот н</w:t>
      </w:r>
      <w:r w:rsidRPr="00EC1A78">
        <w:rPr>
          <w:rFonts w:eastAsiaTheme="minorHAnsi"/>
          <w:sz w:val="22"/>
          <w:szCs w:val="22"/>
          <w:lang w:eastAsia="en-US"/>
        </w:rPr>
        <w:t>е</w:t>
      </w:r>
      <w:r w:rsidRPr="00EC1A78">
        <w:rPr>
          <w:rFonts w:eastAsiaTheme="minorHAnsi"/>
          <w:sz w:val="22"/>
          <w:szCs w:val="22"/>
          <w:lang w:eastAsia="en-US"/>
        </w:rPr>
        <w:t xml:space="preserve">правомерность. Однако отсутствие понятия данного института не позволяет четко определить критерии оценки действий по защите прав.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Изучая институт самозащиты в гражданском праве, мы пришли к выводу, что в гражданском законодательстве отсутствуют пол</w:t>
      </w:r>
      <w:r w:rsidRPr="00EC1A78">
        <w:rPr>
          <w:rFonts w:eastAsiaTheme="minorHAnsi"/>
          <w:sz w:val="22"/>
          <w:szCs w:val="22"/>
          <w:lang w:eastAsia="en-US"/>
        </w:rPr>
        <w:t>о</w:t>
      </w:r>
      <w:r w:rsidRPr="00EC1A78">
        <w:rPr>
          <w:rFonts w:eastAsiaTheme="minorHAnsi"/>
          <w:sz w:val="22"/>
          <w:szCs w:val="22"/>
          <w:lang w:eastAsia="en-US"/>
        </w:rPr>
        <w:t>жения, закрепляющие, понятие такого способа защиты гражданских прав, а также способы его реализации и критерии, по которым мо</w:t>
      </w:r>
      <w:r w:rsidRPr="00EC1A78">
        <w:rPr>
          <w:rFonts w:eastAsiaTheme="minorHAnsi"/>
          <w:sz w:val="22"/>
          <w:szCs w:val="22"/>
          <w:lang w:eastAsia="en-US"/>
        </w:rPr>
        <w:t>ж</w:t>
      </w:r>
      <w:r w:rsidRPr="00EC1A78">
        <w:rPr>
          <w:rFonts w:eastAsiaTheme="minorHAnsi"/>
          <w:sz w:val="22"/>
          <w:szCs w:val="22"/>
          <w:lang w:eastAsia="en-US"/>
        </w:rPr>
        <w:t xml:space="preserve">но четко определить допустимость и правомерность конкретных действии в случае самостоятельной защиты прав и интересов. </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Гражданский кодекс Российской Федерации (часть первая): Федеральный закон от 30 ноября 1994 г. № 51–ФЗ // Собрание З</w:t>
      </w:r>
      <w:r w:rsidRPr="00EC1A78">
        <w:rPr>
          <w:rFonts w:eastAsiaTheme="minorHAnsi"/>
          <w:sz w:val="22"/>
          <w:szCs w:val="22"/>
          <w:lang w:eastAsia="en-US"/>
        </w:rPr>
        <w:t>а</w:t>
      </w:r>
      <w:r w:rsidRPr="00EC1A78">
        <w:rPr>
          <w:rFonts w:eastAsiaTheme="minorHAnsi"/>
          <w:sz w:val="22"/>
          <w:szCs w:val="22"/>
          <w:lang w:eastAsia="en-US"/>
        </w:rPr>
        <w:t>конодательства РФ. 1994. № 32. Ст. 3301.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Гражданское право. В 4 т. Т. 1: Общая часть: учеб. / Ем В.С. и др.; отв. ред. — Е.А. Суханов. — 3–е изд., перераб. и доп. — М.: Волтерс Клувер, 2006. — 720 с.</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Гражданское право. В 2 т.: учеб. /Алексеев С.С. и др.; Под ред. Б.М. Гонгало. – 2–е изд. перераб. и доп.– М.: Статут, 2017. – 511 с.</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4. Веретенникова С.Н. Меры самозащиты в российском гра</w:t>
      </w:r>
      <w:r w:rsidRPr="00EC1A78">
        <w:rPr>
          <w:rFonts w:eastAsiaTheme="minorHAnsi"/>
          <w:sz w:val="22"/>
          <w:szCs w:val="22"/>
          <w:lang w:eastAsia="en-US"/>
        </w:rPr>
        <w:t>ж</w:t>
      </w:r>
      <w:r w:rsidRPr="00EC1A78">
        <w:rPr>
          <w:rFonts w:eastAsiaTheme="minorHAnsi"/>
          <w:sz w:val="22"/>
          <w:szCs w:val="22"/>
          <w:lang w:eastAsia="en-US"/>
        </w:rPr>
        <w:t>данском праве: Автореф. дис</w:t>
      </w:r>
      <w:r w:rsidRPr="00EC1A78">
        <w:rPr>
          <w:rFonts w:eastAsiaTheme="minorHAnsi"/>
          <w:bCs/>
          <w:sz w:val="22"/>
          <w:szCs w:val="22"/>
          <w:lang w:eastAsia="en-US"/>
        </w:rPr>
        <w:t>. канд. юр. наук</w:t>
      </w:r>
      <w:r w:rsidRPr="00EC1A78">
        <w:rPr>
          <w:rFonts w:eastAsiaTheme="minorHAnsi"/>
          <w:sz w:val="22"/>
          <w:szCs w:val="22"/>
          <w:lang w:eastAsia="en-US"/>
        </w:rPr>
        <w:t xml:space="preserve">: </w:t>
      </w:r>
      <w:r w:rsidRPr="00EC1A78">
        <w:rPr>
          <w:rFonts w:eastAsiaTheme="minorHAnsi"/>
          <w:bCs/>
          <w:sz w:val="22"/>
          <w:szCs w:val="22"/>
          <w:lang w:eastAsia="en-US"/>
        </w:rPr>
        <w:t xml:space="preserve">12.00.03. – </w:t>
      </w:r>
      <w:r w:rsidRPr="00EC1A78">
        <w:rPr>
          <w:rFonts w:eastAsiaTheme="minorHAnsi"/>
          <w:sz w:val="22"/>
          <w:szCs w:val="22"/>
          <w:lang w:eastAsia="en-US"/>
        </w:rPr>
        <w:t>Екатери</w:t>
      </w:r>
      <w:r w:rsidRPr="00EC1A78">
        <w:rPr>
          <w:rFonts w:eastAsiaTheme="minorHAnsi"/>
          <w:sz w:val="22"/>
          <w:szCs w:val="22"/>
          <w:lang w:eastAsia="en-US"/>
        </w:rPr>
        <w:t>н</w:t>
      </w:r>
      <w:r w:rsidRPr="00EC1A78">
        <w:rPr>
          <w:rFonts w:eastAsiaTheme="minorHAnsi"/>
          <w:sz w:val="22"/>
          <w:szCs w:val="22"/>
          <w:lang w:eastAsia="en-US"/>
        </w:rPr>
        <w:t>бург.: Изд–во Уральск. Гос. Юридич. Академия, 2004. – 20 с.</w:t>
      </w:r>
    </w:p>
    <w:p w:rsidR="00EC1A78" w:rsidRDefault="00EC1A78" w:rsidP="00EC1A78">
      <w:pPr>
        <w:ind w:firstLine="425"/>
        <w:jc w:val="both"/>
        <w:rPr>
          <w:rFonts w:eastAsiaTheme="minorHAnsi"/>
          <w:sz w:val="22"/>
          <w:szCs w:val="22"/>
          <w:lang w:eastAsia="en-US"/>
        </w:rPr>
      </w:pPr>
    </w:p>
    <w:p w:rsidR="00EB2EB8" w:rsidRDefault="00EB2EB8" w:rsidP="00EC1A78">
      <w:pPr>
        <w:ind w:firstLine="425"/>
        <w:jc w:val="both"/>
        <w:rPr>
          <w:rFonts w:eastAsiaTheme="minorHAnsi"/>
          <w:sz w:val="22"/>
          <w:szCs w:val="22"/>
          <w:lang w:eastAsia="en-US"/>
        </w:rPr>
      </w:pPr>
    </w:p>
    <w:p w:rsidR="00EB2EB8" w:rsidRPr="00EC1A78" w:rsidRDefault="00EB2EB8" w:rsidP="00EC1A78">
      <w:pPr>
        <w:ind w:firstLine="425"/>
        <w:jc w:val="both"/>
        <w:rPr>
          <w:rFonts w:eastAsiaTheme="minorHAnsi"/>
          <w:sz w:val="22"/>
          <w:szCs w:val="22"/>
          <w:lang w:eastAsia="en-US"/>
        </w:rPr>
      </w:pPr>
    </w:p>
    <w:p w:rsidR="00EC1A78" w:rsidRPr="00EC1A78" w:rsidRDefault="00EC1A78" w:rsidP="00EC1A78">
      <w:pPr>
        <w:jc w:val="both"/>
        <w:rPr>
          <w:sz w:val="22"/>
          <w:szCs w:val="22"/>
          <w:lang w:eastAsia="en-US"/>
        </w:rPr>
      </w:pPr>
      <w:r w:rsidRPr="00EC1A78">
        <w:rPr>
          <w:sz w:val="22"/>
          <w:szCs w:val="22"/>
          <w:lang w:eastAsia="en-US"/>
        </w:rPr>
        <w:t>УДК 343.61</w:t>
      </w:r>
    </w:p>
    <w:p w:rsidR="00EC1A78" w:rsidRPr="00EC1A78" w:rsidRDefault="00EC1A78" w:rsidP="00EC1A78">
      <w:pPr>
        <w:jc w:val="center"/>
        <w:rPr>
          <w:b/>
          <w:sz w:val="22"/>
          <w:szCs w:val="22"/>
          <w:lang w:eastAsia="en-US"/>
        </w:rPr>
      </w:pPr>
    </w:p>
    <w:p w:rsidR="00EC1A78" w:rsidRPr="00EC1A78" w:rsidRDefault="00EC1A78" w:rsidP="00EC1A78">
      <w:pPr>
        <w:jc w:val="center"/>
        <w:rPr>
          <w:b/>
          <w:sz w:val="24"/>
          <w:szCs w:val="22"/>
          <w:lang w:eastAsia="en-US"/>
        </w:rPr>
      </w:pPr>
      <w:r w:rsidRPr="00EC1A78">
        <w:rPr>
          <w:b/>
          <w:sz w:val="24"/>
          <w:szCs w:val="22"/>
          <w:lang w:eastAsia="en-US"/>
        </w:rPr>
        <w:t>Проблемы правового регулирования презумпция согласия в трансплантологии</w:t>
      </w:r>
    </w:p>
    <w:p w:rsidR="00EC1A78" w:rsidRPr="00EC1A78" w:rsidRDefault="00EC1A78" w:rsidP="00EC1A78">
      <w:pPr>
        <w:jc w:val="center"/>
        <w:rPr>
          <w:b/>
          <w:sz w:val="24"/>
          <w:szCs w:val="22"/>
          <w:lang w:val="en-US" w:eastAsia="en-US"/>
        </w:rPr>
      </w:pPr>
      <w:r w:rsidRPr="00EC1A78">
        <w:rPr>
          <w:b/>
          <w:sz w:val="24"/>
          <w:szCs w:val="22"/>
          <w:lang w:val="en-US" w:eastAsia="en-US"/>
        </w:rPr>
        <w:t xml:space="preserve">Problems of legal regulation of presumed consent </w:t>
      </w:r>
      <w:r w:rsidR="00EB2EB8" w:rsidRPr="00EB2EB8">
        <w:rPr>
          <w:b/>
          <w:sz w:val="24"/>
          <w:szCs w:val="22"/>
          <w:lang w:val="en-US" w:eastAsia="en-US"/>
        </w:rPr>
        <w:br/>
      </w:r>
      <w:r w:rsidRPr="00EC1A78">
        <w:rPr>
          <w:b/>
          <w:sz w:val="24"/>
          <w:szCs w:val="22"/>
          <w:lang w:val="en-US" w:eastAsia="en-US"/>
        </w:rPr>
        <w:t>to transplantation</w:t>
      </w:r>
    </w:p>
    <w:p w:rsidR="00EC1A78" w:rsidRPr="00EC1A78" w:rsidRDefault="00EC1A78" w:rsidP="00EC1A78">
      <w:pPr>
        <w:ind w:firstLine="567"/>
        <w:jc w:val="right"/>
        <w:rPr>
          <w:sz w:val="22"/>
          <w:szCs w:val="22"/>
          <w:lang w:val="en-US" w:eastAsia="en-US"/>
        </w:rPr>
      </w:pPr>
    </w:p>
    <w:p w:rsidR="00EC1A78" w:rsidRPr="00EC1A78" w:rsidRDefault="00EC1A78" w:rsidP="00EC1A78">
      <w:pPr>
        <w:ind w:firstLine="567"/>
        <w:jc w:val="right"/>
        <w:rPr>
          <w:sz w:val="22"/>
          <w:szCs w:val="22"/>
          <w:lang w:eastAsia="en-US"/>
        </w:rPr>
      </w:pPr>
      <w:r w:rsidRPr="00EC1A78">
        <w:rPr>
          <w:sz w:val="22"/>
          <w:szCs w:val="22"/>
          <w:lang w:eastAsia="en-US"/>
        </w:rPr>
        <w:t>Зуева К.</w:t>
      </w:r>
      <w:r w:rsidR="00EB2EB8">
        <w:rPr>
          <w:sz w:val="22"/>
          <w:szCs w:val="22"/>
          <w:lang w:eastAsia="en-US"/>
        </w:rPr>
        <w:t xml:space="preserve"> А.,</w:t>
      </w:r>
    </w:p>
    <w:p w:rsidR="00EB2EB8" w:rsidRDefault="00EC1A78" w:rsidP="00EC1A78">
      <w:pPr>
        <w:ind w:firstLine="567"/>
        <w:jc w:val="right"/>
        <w:rPr>
          <w:rFonts w:eastAsiaTheme="minorHAnsi"/>
          <w:sz w:val="22"/>
          <w:szCs w:val="22"/>
          <w:lang w:eastAsia="en-US"/>
        </w:rPr>
      </w:pPr>
      <w:r w:rsidRPr="00EC1A78">
        <w:rPr>
          <w:rFonts w:eastAsiaTheme="minorHAnsi"/>
          <w:sz w:val="22"/>
          <w:szCs w:val="22"/>
          <w:lang w:eastAsia="en-US"/>
        </w:rPr>
        <w:t>студентка 2 кур</w:t>
      </w:r>
      <w:r w:rsidR="00EB2EB8">
        <w:rPr>
          <w:rFonts w:eastAsiaTheme="minorHAnsi"/>
          <w:sz w:val="22"/>
          <w:szCs w:val="22"/>
          <w:lang w:eastAsia="en-US"/>
        </w:rPr>
        <w:t>са факультета заочного обучения</w:t>
      </w:r>
    </w:p>
    <w:p w:rsidR="00EC1A78" w:rsidRPr="00EC1A78" w:rsidRDefault="00EC1A78" w:rsidP="00EC1A78">
      <w:pPr>
        <w:ind w:firstLine="567"/>
        <w:jc w:val="right"/>
        <w:rPr>
          <w:sz w:val="22"/>
          <w:szCs w:val="22"/>
          <w:lang w:eastAsia="en-US"/>
        </w:rPr>
      </w:pPr>
      <w:r w:rsidRPr="00EC1A78">
        <w:rPr>
          <w:rFonts w:eastAsiaTheme="minorHAnsi"/>
          <w:sz w:val="22"/>
          <w:szCs w:val="22"/>
          <w:lang w:eastAsia="en-US"/>
        </w:rPr>
        <w:t xml:space="preserve"> </w:t>
      </w:r>
      <w:r w:rsidRPr="00EC1A78">
        <w:rPr>
          <w:sz w:val="22"/>
          <w:szCs w:val="22"/>
          <w:lang w:eastAsia="en-US"/>
        </w:rPr>
        <w:t>Картавченко В.</w:t>
      </w:r>
      <w:r w:rsidR="00EB2EB8">
        <w:rPr>
          <w:sz w:val="22"/>
          <w:szCs w:val="22"/>
          <w:lang w:eastAsia="en-US"/>
        </w:rPr>
        <w:t xml:space="preserve"> </w:t>
      </w:r>
      <w:r w:rsidRPr="00EC1A78">
        <w:rPr>
          <w:sz w:val="22"/>
          <w:szCs w:val="22"/>
          <w:lang w:eastAsia="en-US"/>
        </w:rPr>
        <w:t xml:space="preserve">В., </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доцент кафедры уголовного права, </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567"/>
        <w:jc w:val="right"/>
        <w:rPr>
          <w:sz w:val="22"/>
          <w:szCs w:val="22"/>
          <w:lang w:eastAsia="en-US"/>
        </w:rPr>
      </w:pPr>
      <w:r w:rsidRPr="00EC1A78">
        <w:rPr>
          <w:rFonts w:eastAsiaTheme="minorHAnsi"/>
          <w:sz w:val="22"/>
          <w:szCs w:val="22"/>
          <w:lang w:eastAsia="en-US"/>
        </w:rPr>
        <w:t>университет имени И.</w:t>
      </w:r>
      <w:r w:rsidR="00EB2EB8">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jc w:val="both"/>
        <w:rPr>
          <w:sz w:val="22"/>
          <w:szCs w:val="22"/>
          <w:lang w:eastAsia="en-US"/>
        </w:rPr>
      </w:pPr>
    </w:p>
    <w:p w:rsidR="00EC1A78" w:rsidRPr="00EC1A78" w:rsidRDefault="00EC1A78" w:rsidP="00EC1A78">
      <w:pPr>
        <w:ind w:firstLine="426"/>
        <w:jc w:val="both"/>
        <w:rPr>
          <w:color w:val="000000"/>
          <w:sz w:val="22"/>
          <w:szCs w:val="22"/>
          <w:lang w:eastAsia="en-US"/>
        </w:rPr>
      </w:pPr>
      <w:r w:rsidRPr="00EC1A78">
        <w:rPr>
          <w:sz w:val="22"/>
          <w:szCs w:val="22"/>
          <w:lang w:eastAsia="en-US"/>
        </w:rPr>
        <w:t>АННОТАЦИЯ: В данной статье рассмотрены проблемы толк</w:t>
      </w:r>
      <w:r w:rsidRPr="00EC1A78">
        <w:rPr>
          <w:sz w:val="22"/>
          <w:szCs w:val="22"/>
          <w:lang w:eastAsia="en-US"/>
        </w:rPr>
        <w:t>о</w:t>
      </w:r>
      <w:r w:rsidRPr="00EC1A78">
        <w:rPr>
          <w:sz w:val="22"/>
          <w:szCs w:val="22"/>
          <w:lang w:eastAsia="en-US"/>
        </w:rPr>
        <w:t>вания положений Закона РФ от 22.12.1992 N 4180-1 «О транспла</w:t>
      </w:r>
      <w:r w:rsidRPr="00EC1A78">
        <w:rPr>
          <w:sz w:val="22"/>
          <w:szCs w:val="22"/>
          <w:lang w:eastAsia="en-US"/>
        </w:rPr>
        <w:t>н</w:t>
      </w:r>
      <w:r w:rsidRPr="00EC1A78">
        <w:rPr>
          <w:sz w:val="22"/>
          <w:szCs w:val="22"/>
          <w:lang w:eastAsia="en-US"/>
        </w:rPr>
        <w:t xml:space="preserve">тации органов и (или) тканей человека». Также были затронуты проблемы понимания презумпции согласия, реализации прав </w:t>
      </w:r>
      <w:r w:rsidRPr="00EC1A78">
        <w:rPr>
          <w:color w:val="000000"/>
          <w:sz w:val="22"/>
          <w:szCs w:val="22"/>
          <w:lang w:eastAsia="en-US"/>
        </w:rPr>
        <w:t>ка</w:t>
      </w:r>
      <w:r w:rsidRPr="00EC1A78">
        <w:rPr>
          <w:color w:val="000000"/>
          <w:sz w:val="22"/>
          <w:szCs w:val="22"/>
          <w:lang w:eastAsia="en-US"/>
        </w:rPr>
        <w:t>ж</w:t>
      </w:r>
      <w:r w:rsidRPr="00EC1A78">
        <w:rPr>
          <w:color w:val="000000"/>
          <w:sz w:val="22"/>
          <w:szCs w:val="22"/>
          <w:lang w:eastAsia="en-US"/>
        </w:rPr>
        <w:t>дого на собственное волеизъявление о достойном отношении к его телу после смерти</w:t>
      </w:r>
      <w:r w:rsidRPr="00EC1A78">
        <w:rPr>
          <w:sz w:val="22"/>
          <w:szCs w:val="22"/>
          <w:lang w:eastAsia="en-US"/>
        </w:rPr>
        <w:t xml:space="preserve">, а также </w:t>
      </w:r>
      <w:r w:rsidRPr="00EC1A78">
        <w:rPr>
          <w:color w:val="000000"/>
          <w:sz w:val="22"/>
          <w:szCs w:val="22"/>
          <w:lang w:eastAsia="en-US"/>
        </w:rPr>
        <w:t>посмертного уважения к телам умерших, воплощением которого видится в праве родственников на получ</w:t>
      </w:r>
      <w:r w:rsidRPr="00EC1A78">
        <w:rPr>
          <w:color w:val="000000"/>
          <w:sz w:val="22"/>
          <w:szCs w:val="22"/>
          <w:lang w:eastAsia="en-US"/>
        </w:rPr>
        <w:t>е</w:t>
      </w:r>
      <w:r w:rsidRPr="00EC1A78">
        <w:rPr>
          <w:color w:val="000000"/>
          <w:sz w:val="22"/>
          <w:szCs w:val="22"/>
          <w:lang w:eastAsia="en-US"/>
        </w:rPr>
        <w:t>ние достоверной информации о том, что в действительности пр</w:t>
      </w:r>
      <w:r w:rsidRPr="00EC1A78">
        <w:rPr>
          <w:color w:val="000000"/>
          <w:sz w:val="22"/>
          <w:szCs w:val="22"/>
          <w:lang w:eastAsia="en-US"/>
        </w:rPr>
        <w:t>о</w:t>
      </w:r>
      <w:r w:rsidRPr="00EC1A78">
        <w:rPr>
          <w:color w:val="000000"/>
          <w:sz w:val="22"/>
          <w:szCs w:val="22"/>
          <w:lang w:eastAsia="en-US"/>
        </w:rPr>
        <w:t xml:space="preserve">изошло с трупом. </w:t>
      </w:r>
    </w:p>
    <w:p w:rsidR="00EC1A78" w:rsidRPr="00EC1A78" w:rsidRDefault="00EC1A78" w:rsidP="00EC1A78">
      <w:pPr>
        <w:ind w:firstLine="426"/>
        <w:jc w:val="both"/>
        <w:rPr>
          <w:sz w:val="22"/>
          <w:szCs w:val="22"/>
          <w:lang w:val="en-US" w:eastAsia="en-US"/>
        </w:rPr>
      </w:pPr>
      <w:r w:rsidRPr="00EC1A78">
        <w:rPr>
          <w:sz w:val="22"/>
          <w:szCs w:val="22"/>
          <w:lang w:val="en-US" w:eastAsia="en-US"/>
        </w:rPr>
        <w:t>ABSTRACT</w:t>
      </w:r>
      <w:r w:rsidRPr="00EC1A78">
        <w:rPr>
          <w:b/>
          <w:sz w:val="22"/>
          <w:szCs w:val="22"/>
          <w:lang w:val="en-US" w:eastAsia="en-US"/>
        </w:rPr>
        <w:t xml:space="preserve">: </w:t>
      </w:r>
      <w:r w:rsidRPr="00EC1A78">
        <w:rPr>
          <w:sz w:val="22"/>
          <w:szCs w:val="22"/>
          <w:lang w:val="en-US" w:eastAsia="en-US"/>
        </w:rPr>
        <w:t>In this article the interpretation issues of Russian Federation’s Federal Act from 22.12.1992 No. 4180-1 "On transplant</w:t>
      </w:r>
      <w:r w:rsidRPr="00EC1A78">
        <w:rPr>
          <w:sz w:val="22"/>
          <w:szCs w:val="22"/>
          <w:lang w:val="en-US" w:eastAsia="en-US"/>
        </w:rPr>
        <w:t>a</w:t>
      </w:r>
      <w:r w:rsidRPr="00EC1A78">
        <w:rPr>
          <w:sz w:val="22"/>
          <w:szCs w:val="22"/>
          <w:lang w:val="en-US" w:eastAsia="en-US"/>
        </w:rPr>
        <w:t xml:space="preserve">tion of human organs and (or) tissues" are considered. Moreover, there were discussed the problems of presumed consent understanding, the realization of the everyone’s rights to their own will for a worthy attitude to his body after death, as well as posthumous respect for the bodies of the deceased person, embodied in the relatives’ right to receive reliable information on what has really happened to the corpse. </w:t>
      </w:r>
    </w:p>
    <w:p w:rsidR="00EC1A78" w:rsidRPr="00EC1A78" w:rsidRDefault="00EC1A78" w:rsidP="00EC1A78">
      <w:pPr>
        <w:ind w:firstLine="426"/>
        <w:jc w:val="both"/>
        <w:rPr>
          <w:sz w:val="22"/>
          <w:szCs w:val="22"/>
          <w:lang w:eastAsia="en-US"/>
        </w:rPr>
      </w:pPr>
      <w:r w:rsidRPr="00EC1A78">
        <w:rPr>
          <w:sz w:val="22"/>
          <w:szCs w:val="22"/>
          <w:lang w:eastAsia="en-US"/>
        </w:rPr>
        <w:lastRenderedPageBreak/>
        <w:t>КЛЮЧЕВЫЕ СЛОВА: трансплантация, трансплантация с то</w:t>
      </w:r>
      <w:r w:rsidRPr="00EC1A78">
        <w:rPr>
          <w:sz w:val="22"/>
          <w:szCs w:val="22"/>
          <w:lang w:eastAsia="en-US"/>
        </w:rPr>
        <w:t>ч</w:t>
      </w:r>
      <w:r w:rsidRPr="00EC1A78">
        <w:rPr>
          <w:sz w:val="22"/>
          <w:szCs w:val="22"/>
          <w:lang w:eastAsia="en-US"/>
        </w:rPr>
        <w:t xml:space="preserve">ки зрения юриспруденции, презумпция согласия, </w:t>
      </w:r>
      <w:r w:rsidRPr="00EC1A78">
        <w:rPr>
          <w:color w:val="000000"/>
          <w:sz w:val="22"/>
          <w:szCs w:val="22"/>
          <w:lang w:eastAsia="en-US"/>
        </w:rPr>
        <w:t>распоряжение о</w:t>
      </w:r>
      <w:r w:rsidRPr="00EC1A78">
        <w:rPr>
          <w:color w:val="000000"/>
          <w:sz w:val="22"/>
          <w:szCs w:val="22"/>
          <w:lang w:eastAsia="en-US"/>
        </w:rPr>
        <w:t>р</w:t>
      </w:r>
      <w:r w:rsidRPr="00EC1A78">
        <w:rPr>
          <w:color w:val="000000"/>
          <w:sz w:val="22"/>
          <w:szCs w:val="22"/>
          <w:lang w:eastAsia="en-US"/>
        </w:rPr>
        <w:t>ганами и тканями умершего человека.</w:t>
      </w:r>
    </w:p>
    <w:p w:rsidR="00EC1A78" w:rsidRPr="008002DE" w:rsidRDefault="00EC1A78" w:rsidP="00EC1A78">
      <w:pPr>
        <w:ind w:firstLine="426"/>
        <w:jc w:val="both"/>
        <w:rPr>
          <w:sz w:val="22"/>
          <w:szCs w:val="22"/>
          <w:lang w:val="en-US" w:eastAsia="en-US"/>
        </w:rPr>
      </w:pPr>
      <w:r w:rsidRPr="00EC1A78">
        <w:rPr>
          <w:sz w:val="22"/>
          <w:szCs w:val="22"/>
          <w:lang w:val="en-US" w:eastAsia="en-US"/>
        </w:rPr>
        <w:t>KEY WORDS</w:t>
      </w:r>
      <w:r w:rsidRPr="00EC1A78">
        <w:rPr>
          <w:b/>
          <w:sz w:val="22"/>
          <w:szCs w:val="22"/>
          <w:lang w:val="en-US" w:eastAsia="en-US"/>
        </w:rPr>
        <w:t xml:space="preserve">: </w:t>
      </w:r>
      <w:r w:rsidRPr="00EC1A78">
        <w:rPr>
          <w:sz w:val="22"/>
          <w:szCs w:val="22"/>
          <w:lang w:val="en-US" w:eastAsia="en-US"/>
        </w:rPr>
        <w:t>transplantation, transplantation for jurisprudence purposes, presumed consent, disposal of deceased person’s organs and tissues.</w:t>
      </w:r>
    </w:p>
    <w:p w:rsidR="006478C4" w:rsidRPr="008002DE" w:rsidRDefault="006478C4" w:rsidP="00EC1A78">
      <w:pPr>
        <w:ind w:firstLine="426"/>
        <w:jc w:val="both"/>
        <w:rPr>
          <w:sz w:val="22"/>
          <w:szCs w:val="22"/>
          <w:lang w:val="en-US" w:eastAsia="en-US"/>
        </w:rPr>
      </w:pPr>
    </w:p>
    <w:p w:rsidR="00EC1A78" w:rsidRPr="00EC1A78" w:rsidRDefault="00EC1A78" w:rsidP="00EC1A78">
      <w:pPr>
        <w:ind w:firstLine="426"/>
        <w:jc w:val="both"/>
        <w:rPr>
          <w:color w:val="000000"/>
          <w:sz w:val="22"/>
          <w:szCs w:val="22"/>
          <w:lang w:eastAsia="en-US"/>
        </w:rPr>
      </w:pPr>
      <w:r w:rsidRPr="00EC1A78">
        <w:rPr>
          <w:sz w:val="22"/>
          <w:szCs w:val="22"/>
          <w:lang w:eastAsia="en-US"/>
        </w:rPr>
        <w:t xml:space="preserve">В законодательстве Российской Федерации, в </w:t>
      </w:r>
      <w:r w:rsidRPr="00EB2EB8">
        <w:rPr>
          <w:sz w:val="22"/>
          <w:szCs w:val="22"/>
          <w:lang w:eastAsia="en-US"/>
        </w:rPr>
        <w:t>законе</w:t>
      </w:r>
      <w:hyperlink r:id="rId382" w:history="1">
        <w:r w:rsidRPr="00EB2EB8">
          <w:rPr>
            <w:rFonts w:eastAsiaTheme="minorHAnsi"/>
            <w:sz w:val="22"/>
            <w:szCs w:val="22"/>
            <w:lang w:eastAsia="en-US"/>
          </w:rPr>
          <w:t xml:space="preserve"> от 22 д</w:t>
        </w:r>
        <w:r w:rsidRPr="00EB2EB8">
          <w:rPr>
            <w:rFonts w:eastAsiaTheme="minorHAnsi"/>
            <w:sz w:val="22"/>
            <w:szCs w:val="22"/>
            <w:lang w:eastAsia="en-US"/>
          </w:rPr>
          <w:t>е</w:t>
        </w:r>
        <w:r w:rsidRPr="00EB2EB8">
          <w:rPr>
            <w:rFonts w:eastAsiaTheme="minorHAnsi"/>
            <w:sz w:val="22"/>
            <w:szCs w:val="22"/>
            <w:lang w:eastAsia="en-US"/>
          </w:rPr>
          <w:t>кабря 1992 г. № 4180-I «О трансплантации органов и (или) тканей человека»</w:t>
        </w:r>
      </w:hyperlink>
      <w:r w:rsidRPr="00EC1A78">
        <w:rPr>
          <w:rFonts w:eastAsiaTheme="minorHAnsi"/>
          <w:sz w:val="22"/>
          <w:szCs w:val="22"/>
          <w:lang w:eastAsia="en-US"/>
        </w:rPr>
        <w:t xml:space="preserve"> закреплен</w:t>
      </w:r>
      <w:r w:rsidRPr="00EC1A78">
        <w:rPr>
          <w:color w:val="000000"/>
          <w:sz w:val="22"/>
          <w:szCs w:val="22"/>
          <w:lang w:eastAsia="en-US"/>
        </w:rPr>
        <w:t xml:space="preserve"> порядок и условия получения трупных биол</w:t>
      </w:r>
      <w:r w:rsidRPr="00EC1A78">
        <w:rPr>
          <w:color w:val="000000"/>
          <w:sz w:val="22"/>
          <w:szCs w:val="22"/>
          <w:lang w:eastAsia="en-US"/>
        </w:rPr>
        <w:t>о</w:t>
      </w:r>
      <w:r w:rsidRPr="00EC1A78">
        <w:rPr>
          <w:color w:val="000000"/>
          <w:sz w:val="22"/>
          <w:szCs w:val="22"/>
          <w:lang w:eastAsia="en-US"/>
        </w:rPr>
        <w:t xml:space="preserve">гических материалов. В соответствии со ст. 9 вышеуказанного </w:t>
      </w:r>
      <w:r w:rsidRPr="00EC1A78">
        <w:rPr>
          <w:sz w:val="22"/>
          <w:szCs w:val="22"/>
          <w:lang w:eastAsia="en-US"/>
        </w:rPr>
        <w:t>з</w:t>
      </w:r>
      <w:r w:rsidRPr="00EC1A78">
        <w:rPr>
          <w:sz w:val="22"/>
          <w:szCs w:val="22"/>
          <w:lang w:eastAsia="en-US"/>
        </w:rPr>
        <w:t>а</w:t>
      </w:r>
      <w:r w:rsidRPr="00EC1A78">
        <w:rPr>
          <w:sz w:val="22"/>
          <w:szCs w:val="22"/>
          <w:lang w:eastAsia="en-US"/>
        </w:rPr>
        <w:t xml:space="preserve">кона </w:t>
      </w:r>
      <w:r w:rsidRPr="00EC1A78">
        <w:rPr>
          <w:color w:val="000000"/>
          <w:sz w:val="22"/>
          <w:szCs w:val="22"/>
          <w:lang w:eastAsia="en-US"/>
        </w:rPr>
        <w:t>в целях трансплантации органы и ткани могут быть изъяты у трупа, если факт смерти, зафиксирован консилиумом врачей-специалистов.</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Права родственников распоряжаться органами и тканями умершего, как правило, в действительности не реализуются. Ди</w:t>
      </w:r>
      <w:r w:rsidRPr="00EC1A78">
        <w:rPr>
          <w:color w:val="000000"/>
          <w:sz w:val="22"/>
          <w:szCs w:val="22"/>
          <w:lang w:eastAsia="en-US"/>
        </w:rPr>
        <w:t>с</w:t>
      </w:r>
      <w:r w:rsidRPr="00EC1A78">
        <w:rPr>
          <w:color w:val="000000"/>
          <w:sz w:val="22"/>
          <w:szCs w:val="22"/>
          <w:lang w:eastAsia="en-US"/>
        </w:rPr>
        <w:t>куссионным остается вопрос о правовой регламентации данных о</w:t>
      </w:r>
      <w:r w:rsidRPr="00EC1A78">
        <w:rPr>
          <w:color w:val="000000"/>
          <w:sz w:val="22"/>
          <w:szCs w:val="22"/>
          <w:lang w:eastAsia="en-US"/>
        </w:rPr>
        <w:t>т</w:t>
      </w:r>
      <w:r w:rsidRPr="00EC1A78">
        <w:rPr>
          <w:color w:val="000000"/>
          <w:sz w:val="22"/>
          <w:szCs w:val="22"/>
          <w:lang w:eastAsia="en-US"/>
        </w:rPr>
        <w:t>ношений, так как затягивание времени процедуры пересадки орг</w:t>
      </w:r>
      <w:r w:rsidRPr="00EC1A78">
        <w:rPr>
          <w:color w:val="000000"/>
          <w:sz w:val="22"/>
          <w:szCs w:val="22"/>
          <w:lang w:eastAsia="en-US"/>
        </w:rPr>
        <w:t>а</w:t>
      </w:r>
      <w:r w:rsidRPr="00EC1A78">
        <w:rPr>
          <w:color w:val="000000"/>
          <w:sz w:val="22"/>
          <w:szCs w:val="22"/>
          <w:lang w:eastAsia="en-US"/>
        </w:rPr>
        <w:t>нов может влиять на качество и пригодность трансплантата[1].</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На сегодняшний день в России действуют правила, согласно которым жизнь человека ставится выше аргументации какой либо религии, выступающей против трансплантации. Статья 8 вышеук</w:t>
      </w:r>
      <w:r w:rsidRPr="00EC1A78">
        <w:rPr>
          <w:color w:val="000000"/>
          <w:sz w:val="22"/>
          <w:szCs w:val="22"/>
          <w:lang w:eastAsia="en-US"/>
        </w:rPr>
        <w:t>а</w:t>
      </w:r>
      <w:r w:rsidRPr="00EC1A78">
        <w:rPr>
          <w:color w:val="000000"/>
          <w:sz w:val="22"/>
          <w:szCs w:val="22"/>
          <w:lang w:eastAsia="en-US"/>
        </w:rPr>
        <w:t>занного закона носит название «Презумпция согласия на изъятие органов и (или) тканей» и закрепляет, что изъятие объектов у трупа не допускается, если учреждение здравоохранения на момент изъ</w:t>
      </w:r>
      <w:r w:rsidRPr="00EC1A78">
        <w:rPr>
          <w:color w:val="000000"/>
          <w:sz w:val="22"/>
          <w:szCs w:val="22"/>
          <w:lang w:eastAsia="en-US"/>
        </w:rPr>
        <w:t>я</w:t>
      </w:r>
      <w:r w:rsidRPr="00EC1A78">
        <w:rPr>
          <w:color w:val="000000"/>
          <w:sz w:val="22"/>
          <w:szCs w:val="22"/>
          <w:lang w:eastAsia="en-US"/>
        </w:rPr>
        <w:t xml:space="preserve">тия поставлено в известность о прижизненном несогласии лица быть донором либо его близких. </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Указанное положение закреплено и в ст. 5 Федерального закона «О погребении и похоронном деле»[2]. В ней закреплено право каждого на собственное волеизъявление о достойном отношении к его телу после смерти. В соответствии с ч. 6 ст. 47 совершенноле</w:t>
      </w:r>
      <w:r w:rsidRPr="00EC1A78">
        <w:rPr>
          <w:color w:val="000000"/>
          <w:sz w:val="22"/>
          <w:szCs w:val="22"/>
          <w:lang w:eastAsia="en-US"/>
        </w:rPr>
        <w:t>т</w:t>
      </w:r>
      <w:r w:rsidRPr="00EC1A78">
        <w:rPr>
          <w:color w:val="000000"/>
          <w:sz w:val="22"/>
          <w:szCs w:val="22"/>
          <w:lang w:eastAsia="en-US"/>
        </w:rPr>
        <w:t>нее, дееспособное лицо может выразить свое волеизъявление на изъятие органов и тканей из своего тела после смерти для тран</w:t>
      </w:r>
      <w:r w:rsidRPr="00EC1A78">
        <w:rPr>
          <w:color w:val="000000"/>
          <w:sz w:val="22"/>
          <w:szCs w:val="22"/>
          <w:lang w:eastAsia="en-US"/>
        </w:rPr>
        <w:t>с</w:t>
      </w:r>
      <w:r w:rsidRPr="00EC1A78">
        <w:rPr>
          <w:color w:val="000000"/>
          <w:sz w:val="22"/>
          <w:szCs w:val="22"/>
          <w:lang w:eastAsia="en-US"/>
        </w:rPr>
        <w:t>плантации в порядке, установленном законодательством Росси</w:t>
      </w:r>
      <w:r w:rsidRPr="00EC1A78">
        <w:rPr>
          <w:color w:val="000000"/>
          <w:sz w:val="22"/>
          <w:szCs w:val="22"/>
          <w:lang w:eastAsia="en-US"/>
        </w:rPr>
        <w:t>й</w:t>
      </w:r>
      <w:r w:rsidRPr="00EC1A78">
        <w:rPr>
          <w:color w:val="000000"/>
          <w:sz w:val="22"/>
          <w:szCs w:val="22"/>
          <w:lang w:eastAsia="en-US"/>
        </w:rPr>
        <w:t xml:space="preserve">ской Федерации. </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 xml:space="preserve">С учетом изложенного, считаем необходимым создать базу данных, доступную медицинским учреждениям, в которой будут содержаться сведения о волеизъявлении граждан о согласии или </w:t>
      </w:r>
      <w:r w:rsidRPr="00EC1A78">
        <w:rPr>
          <w:color w:val="000000"/>
          <w:sz w:val="22"/>
          <w:szCs w:val="22"/>
          <w:lang w:eastAsia="en-US"/>
        </w:rPr>
        <w:lastRenderedPageBreak/>
        <w:t>несогласии быть донором. Также можно перенять практику зар</w:t>
      </w:r>
      <w:r w:rsidRPr="00EC1A78">
        <w:rPr>
          <w:color w:val="000000"/>
          <w:sz w:val="22"/>
          <w:szCs w:val="22"/>
          <w:lang w:eastAsia="en-US"/>
        </w:rPr>
        <w:t>у</w:t>
      </w:r>
      <w:r w:rsidRPr="00EC1A78">
        <w:rPr>
          <w:color w:val="000000"/>
          <w:sz w:val="22"/>
          <w:szCs w:val="22"/>
          <w:lang w:eastAsia="en-US"/>
        </w:rPr>
        <w:t>бежных стран, где информация о согласии конкретного лица стать донором отражается в документе, так, например, в США таким д</w:t>
      </w:r>
      <w:r w:rsidRPr="00EC1A78">
        <w:rPr>
          <w:color w:val="000000"/>
          <w:sz w:val="22"/>
          <w:szCs w:val="22"/>
          <w:lang w:eastAsia="en-US"/>
        </w:rPr>
        <w:t>о</w:t>
      </w:r>
      <w:r w:rsidRPr="00EC1A78">
        <w:rPr>
          <w:color w:val="000000"/>
          <w:sz w:val="22"/>
          <w:szCs w:val="22"/>
          <w:lang w:eastAsia="en-US"/>
        </w:rPr>
        <w:t xml:space="preserve">кументом является водительском удостоверение. </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Считаем необходимым законодательно закрепить обязанность сообщения родственникам умершего о свершившемся факте изъ</w:t>
      </w:r>
      <w:r w:rsidRPr="00EC1A78">
        <w:rPr>
          <w:color w:val="000000"/>
          <w:sz w:val="22"/>
          <w:szCs w:val="22"/>
          <w:lang w:eastAsia="en-US"/>
        </w:rPr>
        <w:t>я</w:t>
      </w:r>
      <w:r w:rsidRPr="00EC1A78">
        <w:rPr>
          <w:color w:val="000000"/>
          <w:sz w:val="22"/>
          <w:szCs w:val="22"/>
          <w:lang w:eastAsia="en-US"/>
        </w:rPr>
        <w:t>тия у трупа объектов для трансплантации, так как, по нашему мн</w:t>
      </w:r>
      <w:r w:rsidRPr="00EC1A78">
        <w:rPr>
          <w:color w:val="000000"/>
          <w:sz w:val="22"/>
          <w:szCs w:val="22"/>
          <w:lang w:eastAsia="en-US"/>
        </w:rPr>
        <w:t>е</w:t>
      </w:r>
      <w:r w:rsidRPr="00EC1A78">
        <w:rPr>
          <w:color w:val="000000"/>
          <w:sz w:val="22"/>
          <w:szCs w:val="22"/>
          <w:lang w:eastAsia="en-US"/>
        </w:rPr>
        <w:t>нию, требование посмертного уважения к телам умерших должно воплощаться, в том числе и в праве родственников на получение достоверной информации о том, что в действительности произошло с трупом.</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Таким образом, считаем необходимым закрепить в Законе РФ «О трансплантации органов и (или) тканей человека» отдельную статью, которая предусматривала бы обязанность медицинских учреждений, проводящих изъятие органов или тканей у трупа, с</w:t>
      </w:r>
      <w:r w:rsidRPr="00EC1A78">
        <w:rPr>
          <w:color w:val="000000"/>
          <w:sz w:val="22"/>
          <w:szCs w:val="22"/>
          <w:lang w:eastAsia="en-US"/>
        </w:rPr>
        <w:t>о</w:t>
      </w:r>
      <w:r w:rsidRPr="00EC1A78">
        <w:rPr>
          <w:color w:val="000000"/>
          <w:sz w:val="22"/>
          <w:szCs w:val="22"/>
          <w:lang w:eastAsia="en-US"/>
        </w:rPr>
        <w:t>общать о факте изъятия биоматериала родственникам покойного. Как правильно указывают отдельные исследователи, сам факт с</w:t>
      </w:r>
      <w:r w:rsidRPr="00EC1A78">
        <w:rPr>
          <w:color w:val="000000"/>
          <w:sz w:val="22"/>
          <w:szCs w:val="22"/>
          <w:lang w:eastAsia="en-US"/>
        </w:rPr>
        <w:t>у</w:t>
      </w:r>
      <w:r w:rsidRPr="00EC1A78">
        <w:rPr>
          <w:color w:val="000000"/>
          <w:sz w:val="22"/>
          <w:szCs w:val="22"/>
          <w:lang w:eastAsia="en-US"/>
        </w:rPr>
        <w:t>ществования презумпции согласия донорства, требует определе</w:t>
      </w:r>
      <w:r w:rsidRPr="00EC1A78">
        <w:rPr>
          <w:color w:val="000000"/>
          <w:sz w:val="22"/>
          <w:szCs w:val="22"/>
          <w:lang w:eastAsia="en-US"/>
        </w:rPr>
        <w:t>н</w:t>
      </w:r>
      <w:r w:rsidRPr="00EC1A78">
        <w:rPr>
          <w:color w:val="000000"/>
          <w:sz w:val="22"/>
          <w:szCs w:val="22"/>
          <w:lang w:eastAsia="en-US"/>
        </w:rPr>
        <w:t>ных гарантий прав родственников (даже в отсутствие их разреш</w:t>
      </w:r>
      <w:r w:rsidRPr="00EC1A78">
        <w:rPr>
          <w:color w:val="000000"/>
          <w:sz w:val="22"/>
          <w:szCs w:val="22"/>
          <w:lang w:eastAsia="en-US"/>
        </w:rPr>
        <w:t>е</w:t>
      </w:r>
      <w:r w:rsidRPr="00EC1A78">
        <w:rPr>
          <w:color w:val="000000"/>
          <w:sz w:val="22"/>
          <w:szCs w:val="22"/>
          <w:lang w:eastAsia="en-US"/>
        </w:rPr>
        <w:t>ния)[3].</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Главной целью трансплантации является продление жизни ч</w:t>
      </w:r>
      <w:r w:rsidRPr="00EC1A78">
        <w:rPr>
          <w:color w:val="000000"/>
          <w:sz w:val="22"/>
          <w:szCs w:val="22"/>
          <w:lang w:eastAsia="en-US"/>
        </w:rPr>
        <w:t>е</w:t>
      </w:r>
      <w:r w:rsidRPr="00EC1A78">
        <w:rPr>
          <w:color w:val="000000"/>
          <w:sz w:val="22"/>
          <w:szCs w:val="22"/>
          <w:lang w:eastAsia="en-US"/>
        </w:rPr>
        <w:t>ловека. Но достижение этой цели задействует смерть другого чел</w:t>
      </w:r>
      <w:r w:rsidRPr="00EC1A78">
        <w:rPr>
          <w:color w:val="000000"/>
          <w:sz w:val="22"/>
          <w:szCs w:val="22"/>
          <w:lang w:eastAsia="en-US"/>
        </w:rPr>
        <w:t>о</w:t>
      </w:r>
      <w:r w:rsidRPr="00EC1A78">
        <w:rPr>
          <w:color w:val="000000"/>
          <w:sz w:val="22"/>
          <w:szCs w:val="22"/>
          <w:lang w:eastAsia="en-US"/>
        </w:rPr>
        <w:t>века. Думается, люди боятся, что жизнь одного человека будет пр</w:t>
      </w:r>
      <w:r w:rsidRPr="00EC1A78">
        <w:rPr>
          <w:color w:val="000000"/>
          <w:sz w:val="22"/>
          <w:szCs w:val="22"/>
          <w:lang w:eastAsia="en-US"/>
        </w:rPr>
        <w:t>о</w:t>
      </w:r>
      <w:r w:rsidRPr="00EC1A78">
        <w:rPr>
          <w:color w:val="000000"/>
          <w:sz w:val="22"/>
          <w:szCs w:val="22"/>
          <w:lang w:eastAsia="en-US"/>
        </w:rPr>
        <w:t xml:space="preserve">длена за счет жизни другого. </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Анализируя все вышеперечисленное, считаем, что  презумпция согласия наглядно демонстрирует численный перевес аргументов «за» над «против». Единственный аргумент против презумпции в</w:t>
      </w:r>
      <w:r w:rsidRPr="00EC1A78">
        <w:rPr>
          <w:color w:val="000000"/>
          <w:sz w:val="22"/>
          <w:szCs w:val="22"/>
          <w:lang w:eastAsia="en-US"/>
        </w:rPr>
        <w:t>ы</w:t>
      </w:r>
      <w:r w:rsidRPr="00EC1A78">
        <w:rPr>
          <w:color w:val="000000"/>
          <w:sz w:val="22"/>
          <w:szCs w:val="22"/>
          <w:lang w:eastAsia="en-US"/>
        </w:rPr>
        <w:t>ступает необходимость защиты достоинства личности и соблюд</w:t>
      </w:r>
      <w:r w:rsidRPr="00EC1A78">
        <w:rPr>
          <w:color w:val="000000"/>
          <w:sz w:val="22"/>
          <w:szCs w:val="22"/>
          <w:lang w:eastAsia="en-US"/>
        </w:rPr>
        <w:t>е</w:t>
      </w:r>
      <w:r w:rsidRPr="00EC1A78">
        <w:rPr>
          <w:color w:val="000000"/>
          <w:sz w:val="22"/>
          <w:szCs w:val="22"/>
          <w:lang w:eastAsia="en-US"/>
        </w:rPr>
        <w:t xml:space="preserve">ния прав будущего донора. </w:t>
      </w:r>
    </w:p>
    <w:p w:rsidR="00EC1A78" w:rsidRPr="00EC1A78" w:rsidRDefault="00EC1A78" w:rsidP="00EC1A78">
      <w:pPr>
        <w:ind w:firstLine="426"/>
        <w:jc w:val="both"/>
        <w:rPr>
          <w:color w:val="000000"/>
          <w:sz w:val="22"/>
          <w:szCs w:val="22"/>
          <w:lang w:eastAsia="en-US"/>
        </w:rPr>
      </w:pPr>
    </w:p>
    <w:p w:rsidR="00EC1A78" w:rsidRPr="00EC1A78" w:rsidRDefault="00EC1A78" w:rsidP="00EC1A78">
      <w:pPr>
        <w:jc w:val="center"/>
        <w:rPr>
          <w:color w:val="000000"/>
          <w:sz w:val="22"/>
          <w:szCs w:val="22"/>
          <w:lang w:eastAsia="en-US"/>
        </w:rPr>
      </w:pPr>
      <w:r w:rsidRPr="00EC1A78">
        <w:rPr>
          <w:color w:val="000000"/>
          <w:sz w:val="22"/>
          <w:szCs w:val="22"/>
          <w:lang w:eastAsia="en-US"/>
        </w:rPr>
        <w:t>Список литературы</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 xml:space="preserve">1. Аполинская Н. В. Вновь к вопросу о посмертном донорстве органов, тканей человека // Сибирский юридический вестник. 2007. </w:t>
      </w:r>
      <w:r w:rsidRPr="00EC1A78">
        <w:rPr>
          <w:rFonts w:eastAsia="Segoe UI Symbol"/>
          <w:color w:val="000000"/>
          <w:sz w:val="22"/>
          <w:szCs w:val="22"/>
          <w:lang w:eastAsia="en-US"/>
        </w:rPr>
        <w:t>№</w:t>
      </w:r>
      <w:r w:rsidRPr="00EC1A78">
        <w:rPr>
          <w:color w:val="000000"/>
          <w:sz w:val="22"/>
          <w:szCs w:val="22"/>
          <w:lang w:eastAsia="en-US"/>
        </w:rPr>
        <w:t xml:space="preserve"> 3. С. 23.</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 xml:space="preserve">2. Комашко М. Н. Проблема презумпции согласия на изъятие органов и (или) тканей для трансплантации // Медицинское право. 2006. </w:t>
      </w:r>
      <w:r w:rsidRPr="00EC1A78">
        <w:rPr>
          <w:rFonts w:eastAsia="Segoe UI Symbol"/>
          <w:color w:val="000000"/>
          <w:sz w:val="22"/>
          <w:szCs w:val="22"/>
          <w:lang w:eastAsia="en-US"/>
        </w:rPr>
        <w:t>№</w:t>
      </w:r>
      <w:r w:rsidRPr="00EC1A78">
        <w:rPr>
          <w:color w:val="000000"/>
          <w:sz w:val="22"/>
          <w:szCs w:val="22"/>
          <w:lang w:eastAsia="en-US"/>
        </w:rPr>
        <w:t xml:space="preserve"> 3. С. 21 [1].</w:t>
      </w:r>
    </w:p>
    <w:p w:rsidR="00EC1A78" w:rsidRPr="00EC1A78" w:rsidRDefault="00EC1A78" w:rsidP="00EC1A78">
      <w:pPr>
        <w:ind w:firstLine="426"/>
        <w:jc w:val="both"/>
        <w:rPr>
          <w:sz w:val="22"/>
          <w:szCs w:val="22"/>
          <w:lang w:eastAsia="en-US"/>
        </w:rPr>
      </w:pPr>
      <w:r w:rsidRPr="00EC1A78">
        <w:rPr>
          <w:color w:val="000000"/>
          <w:sz w:val="22"/>
          <w:szCs w:val="22"/>
          <w:lang w:eastAsia="en-US"/>
        </w:rPr>
        <w:lastRenderedPageBreak/>
        <w:t>3. Кудашова Т. Г., Кудашов А. Н. К вопросу о праве родстве</w:t>
      </w:r>
      <w:r w:rsidRPr="00EC1A78">
        <w:rPr>
          <w:color w:val="000000"/>
          <w:sz w:val="22"/>
          <w:szCs w:val="22"/>
          <w:lang w:eastAsia="en-US"/>
        </w:rPr>
        <w:t>н</w:t>
      </w:r>
      <w:r w:rsidRPr="00EC1A78">
        <w:rPr>
          <w:color w:val="000000"/>
          <w:sz w:val="22"/>
          <w:szCs w:val="22"/>
          <w:lang w:eastAsia="en-US"/>
        </w:rPr>
        <w:t xml:space="preserve">ников распоряжаться органами и тканями умершего человека для трансплантации // Вестник ОГУ. 2012. </w:t>
      </w:r>
      <w:r w:rsidRPr="00EC1A78">
        <w:rPr>
          <w:rFonts w:eastAsia="Segoe UI Symbol"/>
          <w:color w:val="000000"/>
          <w:sz w:val="22"/>
          <w:szCs w:val="22"/>
          <w:lang w:eastAsia="en-US"/>
        </w:rPr>
        <w:t>№</w:t>
      </w:r>
      <w:r w:rsidRPr="00EC1A78">
        <w:rPr>
          <w:color w:val="000000"/>
          <w:sz w:val="22"/>
          <w:szCs w:val="22"/>
          <w:lang w:eastAsia="en-US"/>
        </w:rPr>
        <w:t xml:space="preserve"> 3. С. 87[2].</w:t>
      </w:r>
    </w:p>
    <w:p w:rsidR="00EC1A78" w:rsidRPr="00EC1A78" w:rsidRDefault="00EC1A78" w:rsidP="00EC1A78">
      <w:pPr>
        <w:ind w:firstLine="426"/>
        <w:jc w:val="both"/>
        <w:rPr>
          <w:color w:val="000000"/>
          <w:sz w:val="22"/>
          <w:szCs w:val="22"/>
          <w:lang w:eastAsia="en-US"/>
        </w:rPr>
      </w:pPr>
      <w:r w:rsidRPr="00EC1A78">
        <w:rPr>
          <w:color w:val="000000"/>
          <w:sz w:val="22"/>
          <w:szCs w:val="22"/>
          <w:lang w:eastAsia="en-US"/>
        </w:rPr>
        <w:t>4. Тихонова С. С. Уголовно-правовое регулирование посмер</w:t>
      </w:r>
      <w:r w:rsidRPr="00EC1A78">
        <w:rPr>
          <w:color w:val="000000"/>
          <w:sz w:val="22"/>
          <w:szCs w:val="22"/>
          <w:lang w:eastAsia="en-US"/>
        </w:rPr>
        <w:t>т</w:t>
      </w:r>
      <w:r w:rsidRPr="00EC1A78">
        <w:rPr>
          <w:color w:val="000000"/>
          <w:sz w:val="22"/>
          <w:szCs w:val="22"/>
          <w:lang w:eastAsia="en-US"/>
        </w:rPr>
        <w:t>ного и прижизненного донорства в Российской Федерации: дис. … канд. юрид. наук. Нижний Новгород, 2000. С. 50[3].</w:t>
      </w:r>
    </w:p>
    <w:p w:rsidR="00EC1A78" w:rsidRDefault="00EC1A78" w:rsidP="00EC1A78">
      <w:pPr>
        <w:jc w:val="both"/>
        <w:rPr>
          <w:rFonts w:eastAsiaTheme="minorHAnsi"/>
          <w:sz w:val="22"/>
          <w:szCs w:val="22"/>
          <w:lang w:eastAsia="en-US"/>
        </w:rPr>
      </w:pPr>
    </w:p>
    <w:p w:rsidR="00EB2EB8" w:rsidRPr="00EC1A78" w:rsidRDefault="00EB2EB8"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Правовое регулирование предвыборной агитации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в советском государстве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Legal regulation of pre–election campaign in the Soviet state</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ind w:firstLine="425"/>
        <w:jc w:val="right"/>
        <w:rPr>
          <w:sz w:val="22"/>
          <w:szCs w:val="22"/>
        </w:rPr>
      </w:pPr>
      <w:r w:rsidRPr="00EC1A78">
        <w:rPr>
          <w:sz w:val="22"/>
          <w:szCs w:val="22"/>
        </w:rPr>
        <w:t>Искандарова А. А.,</w:t>
      </w:r>
    </w:p>
    <w:p w:rsidR="00EC1A78" w:rsidRPr="00EC1A78" w:rsidRDefault="00EC1A78" w:rsidP="00EC1A78">
      <w:pPr>
        <w:ind w:firstLine="425"/>
        <w:jc w:val="right"/>
        <w:rPr>
          <w:sz w:val="22"/>
          <w:szCs w:val="22"/>
        </w:rPr>
      </w:pPr>
      <w:r w:rsidRPr="00EC1A78">
        <w:rPr>
          <w:sz w:val="22"/>
          <w:szCs w:val="22"/>
        </w:rPr>
        <w:t>магистрант 2–го курса юридического факультета</w:t>
      </w:r>
    </w:p>
    <w:p w:rsidR="00EC1A78" w:rsidRPr="00EC1A78" w:rsidRDefault="00EC1A78" w:rsidP="00EC1A78">
      <w:pPr>
        <w:ind w:firstLine="425"/>
        <w:jc w:val="right"/>
        <w:rPr>
          <w:sz w:val="22"/>
          <w:szCs w:val="22"/>
        </w:rPr>
      </w:pPr>
      <w:r w:rsidRPr="00EC1A78">
        <w:rPr>
          <w:sz w:val="22"/>
          <w:szCs w:val="22"/>
        </w:rPr>
        <w:t xml:space="preserve">Кубанский государственный аграрный </w:t>
      </w:r>
    </w:p>
    <w:p w:rsidR="00EC1A78" w:rsidRPr="00EC1A78" w:rsidRDefault="00EC1A78" w:rsidP="00EC1A78">
      <w:pPr>
        <w:ind w:firstLine="425"/>
        <w:jc w:val="right"/>
        <w:rPr>
          <w:sz w:val="22"/>
          <w:szCs w:val="22"/>
        </w:rPr>
      </w:pPr>
      <w:r w:rsidRPr="00EC1A78">
        <w:rPr>
          <w:sz w:val="22"/>
          <w:szCs w:val="22"/>
        </w:rPr>
        <w:t>университет имени И.</w:t>
      </w:r>
      <w:r w:rsidR="00EB2EB8">
        <w:rPr>
          <w:sz w:val="22"/>
          <w:szCs w:val="22"/>
        </w:rPr>
        <w:t xml:space="preserve"> </w:t>
      </w:r>
      <w:r w:rsidRPr="00EC1A78">
        <w:rPr>
          <w:sz w:val="22"/>
          <w:szCs w:val="22"/>
        </w:rPr>
        <w:t>Т. Трубилина</w:t>
      </w:r>
    </w:p>
    <w:p w:rsidR="00EC1A78" w:rsidRPr="00EC1A78" w:rsidRDefault="00EC1A78" w:rsidP="00EC1A78">
      <w:pPr>
        <w:ind w:firstLine="425"/>
        <w:jc w:val="right"/>
        <w:rPr>
          <w:sz w:val="24"/>
          <w:szCs w:val="24"/>
        </w:rPr>
      </w:pPr>
    </w:p>
    <w:p w:rsidR="00EC1A78" w:rsidRPr="00EC1A78" w:rsidRDefault="00EC1A78" w:rsidP="00EC1A78">
      <w:pPr>
        <w:ind w:firstLine="425"/>
        <w:jc w:val="both"/>
        <w:rPr>
          <w:sz w:val="22"/>
          <w:szCs w:val="22"/>
        </w:rPr>
      </w:pPr>
      <w:r w:rsidRPr="00EC1A78">
        <w:rPr>
          <w:sz w:val="22"/>
          <w:szCs w:val="22"/>
        </w:rPr>
        <w:t>АННОТАЦИЯ: В статье проанализированы изменения норм</w:t>
      </w:r>
      <w:r w:rsidRPr="00EC1A78">
        <w:rPr>
          <w:sz w:val="22"/>
          <w:szCs w:val="22"/>
        </w:rPr>
        <w:t>а</w:t>
      </w:r>
      <w:r w:rsidRPr="00EC1A78">
        <w:rPr>
          <w:sz w:val="22"/>
          <w:szCs w:val="22"/>
        </w:rPr>
        <w:t>тивной базы проведения предвыборной агитации в советский пер</w:t>
      </w:r>
      <w:r w:rsidRPr="00EC1A78">
        <w:rPr>
          <w:sz w:val="22"/>
          <w:szCs w:val="22"/>
        </w:rPr>
        <w:t>и</w:t>
      </w:r>
      <w:r w:rsidRPr="00EC1A78">
        <w:rPr>
          <w:sz w:val="22"/>
          <w:szCs w:val="22"/>
        </w:rPr>
        <w:t>од. Раскрыты особенности предвыборной агитации как института и как стадии избирательного процесса.</w:t>
      </w:r>
    </w:p>
    <w:p w:rsidR="00EC1A78" w:rsidRPr="00EC1A78" w:rsidRDefault="00EC1A78" w:rsidP="00EC1A78">
      <w:pPr>
        <w:shd w:val="clear" w:color="auto" w:fill="FFFFFF"/>
        <w:ind w:firstLine="425"/>
        <w:jc w:val="both"/>
        <w:rPr>
          <w:sz w:val="22"/>
          <w:szCs w:val="22"/>
          <w:lang w:val="en-US"/>
        </w:rPr>
      </w:pPr>
      <w:r w:rsidRPr="00EC1A78">
        <w:rPr>
          <w:sz w:val="22"/>
          <w:szCs w:val="22"/>
          <w:lang w:val="en-US"/>
        </w:rPr>
        <w:t>ABSTRACT: The article analyzes the changes in the regulatory framework for conducting pre–election campaigning in the Soviet per</w:t>
      </w:r>
      <w:r w:rsidRPr="00EC1A78">
        <w:rPr>
          <w:sz w:val="22"/>
          <w:szCs w:val="22"/>
          <w:lang w:val="en-US"/>
        </w:rPr>
        <w:t>i</w:t>
      </w:r>
      <w:r w:rsidRPr="00EC1A78">
        <w:rPr>
          <w:sz w:val="22"/>
          <w:szCs w:val="22"/>
          <w:lang w:val="en-US"/>
        </w:rPr>
        <w:t>od. Features of pre–election agitation as an institution and as a stage of the election process are disclosed.</w:t>
      </w:r>
    </w:p>
    <w:p w:rsidR="00EC1A78" w:rsidRPr="00EC1A78" w:rsidRDefault="00EC1A78" w:rsidP="00EC1A78">
      <w:pPr>
        <w:ind w:firstLine="425"/>
        <w:jc w:val="both"/>
        <w:rPr>
          <w:sz w:val="22"/>
          <w:szCs w:val="22"/>
        </w:rPr>
      </w:pPr>
      <w:r w:rsidRPr="00EC1A78">
        <w:rPr>
          <w:sz w:val="22"/>
          <w:szCs w:val="22"/>
        </w:rPr>
        <w:t>КЛЮЧЕВЫЕ СЛОВА: кандидат, избиратели, предвыборная агитация.</w:t>
      </w:r>
    </w:p>
    <w:p w:rsidR="00EC1A78" w:rsidRPr="00EC1A78" w:rsidRDefault="00EC1A78" w:rsidP="00EC1A78">
      <w:pPr>
        <w:ind w:firstLine="425"/>
        <w:jc w:val="both"/>
        <w:rPr>
          <w:sz w:val="22"/>
          <w:szCs w:val="22"/>
          <w:lang w:val="en-US"/>
        </w:rPr>
      </w:pPr>
      <w:r w:rsidRPr="00EC1A78">
        <w:rPr>
          <w:sz w:val="22"/>
          <w:szCs w:val="22"/>
          <w:lang w:val="en-US"/>
        </w:rPr>
        <w:t>KEYWORDS:</w:t>
      </w:r>
      <w:r w:rsidRPr="00EC1A78">
        <w:rPr>
          <w:rFonts w:eastAsiaTheme="minorHAnsi"/>
          <w:sz w:val="22"/>
          <w:szCs w:val="22"/>
          <w:lang w:val="en-US" w:eastAsia="en-US"/>
        </w:rPr>
        <w:t xml:space="preserve"> </w:t>
      </w:r>
      <w:r w:rsidRPr="00EC1A78">
        <w:rPr>
          <w:sz w:val="22"/>
          <w:szCs w:val="22"/>
          <w:lang w:val="en-US"/>
        </w:rPr>
        <w:t>candidate, voters, pre–election campaign.</w:t>
      </w:r>
    </w:p>
    <w:p w:rsidR="00EC1A78" w:rsidRPr="00EC1A78" w:rsidRDefault="00EC1A78" w:rsidP="00EC1A78">
      <w:pPr>
        <w:ind w:firstLine="425"/>
        <w:jc w:val="both"/>
        <w:rPr>
          <w:sz w:val="22"/>
          <w:szCs w:val="22"/>
          <w:lang w:val="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Одной из важнейших задач отечественной юридической науки является всесторонняя разработка положений, посвященных пре</w:t>
      </w:r>
      <w:r w:rsidRPr="00EC1A78">
        <w:rPr>
          <w:rFonts w:eastAsiaTheme="minorHAnsi"/>
          <w:sz w:val="22"/>
          <w:szCs w:val="22"/>
          <w:lang w:eastAsia="en-US"/>
        </w:rPr>
        <w:t>д</w:t>
      </w:r>
      <w:r w:rsidRPr="00EC1A78">
        <w:rPr>
          <w:rFonts w:eastAsiaTheme="minorHAnsi"/>
          <w:sz w:val="22"/>
          <w:szCs w:val="22"/>
          <w:lang w:eastAsia="en-US"/>
        </w:rPr>
        <w:t>выборной агитации при формировании выборных институтов вл</w:t>
      </w:r>
      <w:r w:rsidRPr="00EC1A78">
        <w:rPr>
          <w:rFonts w:eastAsiaTheme="minorHAnsi"/>
          <w:sz w:val="22"/>
          <w:szCs w:val="22"/>
          <w:lang w:eastAsia="en-US"/>
        </w:rPr>
        <w:t>а</w:t>
      </w:r>
      <w:r w:rsidR="006478C4">
        <w:rPr>
          <w:rFonts w:eastAsiaTheme="minorHAnsi"/>
          <w:sz w:val="22"/>
          <w:szCs w:val="22"/>
          <w:lang w:eastAsia="en-US"/>
        </w:rPr>
        <w:t>сти.</w:t>
      </w:r>
      <w:r w:rsidRPr="00EC1A78">
        <w:rPr>
          <w:rFonts w:eastAsiaTheme="minorHAnsi"/>
          <w:sz w:val="22"/>
          <w:szCs w:val="22"/>
          <w:lang w:eastAsia="en-US"/>
        </w:rPr>
        <w:t xml:space="preserve"> На каждом этапе развития общества предвыборная агитация имеет особые черты, которые определяются как политическими и социальными факторами, так и  правом предшествующих эпох.</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 xml:space="preserve">Конституция СССР, принятая 5 декабря </w:t>
      </w:r>
      <w:smartTag w:uri="urn:schemas-microsoft-com:office:smarttags" w:element="metricconverter">
        <w:smartTagPr>
          <w:attr w:name="ProductID" w:val="1936 г"/>
        </w:smartTagPr>
        <w:r w:rsidRPr="00EC1A78">
          <w:rPr>
            <w:rFonts w:eastAsiaTheme="minorHAnsi"/>
            <w:sz w:val="22"/>
            <w:szCs w:val="22"/>
            <w:lang w:eastAsia="en-US"/>
          </w:rPr>
          <w:t>1936 г</w:t>
        </w:r>
      </w:smartTag>
      <w:r w:rsidRPr="00EC1A78">
        <w:rPr>
          <w:rFonts w:eastAsiaTheme="minorHAnsi"/>
          <w:sz w:val="22"/>
          <w:szCs w:val="22"/>
          <w:lang w:eastAsia="en-US"/>
        </w:rPr>
        <w:t>. установила н</w:t>
      </w:r>
      <w:r w:rsidRPr="00EC1A78">
        <w:rPr>
          <w:rFonts w:eastAsiaTheme="minorHAnsi"/>
          <w:sz w:val="22"/>
          <w:szCs w:val="22"/>
          <w:lang w:eastAsia="en-US"/>
        </w:rPr>
        <w:t>о</w:t>
      </w:r>
      <w:r w:rsidRPr="00EC1A78">
        <w:rPr>
          <w:rFonts w:eastAsiaTheme="minorHAnsi"/>
          <w:sz w:val="22"/>
          <w:szCs w:val="22"/>
          <w:lang w:eastAsia="en-US"/>
        </w:rPr>
        <w:t>вую избирательную систему, которая была приближена к станда</w:t>
      </w:r>
      <w:r w:rsidRPr="00EC1A78">
        <w:rPr>
          <w:rFonts w:eastAsiaTheme="minorHAnsi"/>
          <w:sz w:val="22"/>
          <w:szCs w:val="22"/>
          <w:lang w:eastAsia="en-US"/>
        </w:rPr>
        <w:t>р</w:t>
      </w:r>
      <w:r w:rsidRPr="00EC1A78">
        <w:rPr>
          <w:rFonts w:eastAsiaTheme="minorHAnsi"/>
          <w:sz w:val="22"/>
          <w:szCs w:val="22"/>
          <w:lang w:eastAsia="en-US"/>
        </w:rPr>
        <w:t>там зарубежных стран. Основой правового регулирования предв</w:t>
      </w:r>
      <w:r w:rsidRPr="00EC1A78">
        <w:rPr>
          <w:rFonts w:eastAsiaTheme="minorHAnsi"/>
          <w:sz w:val="22"/>
          <w:szCs w:val="22"/>
          <w:lang w:eastAsia="en-US"/>
        </w:rPr>
        <w:t>ы</w:t>
      </w:r>
      <w:r w:rsidRPr="00EC1A78">
        <w:rPr>
          <w:rFonts w:eastAsiaTheme="minorHAnsi"/>
          <w:sz w:val="22"/>
          <w:szCs w:val="22"/>
          <w:lang w:eastAsia="en-US"/>
        </w:rPr>
        <w:t>борной агитации стала статья 125, гарантирующая гражданам св</w:t>
      </w:r>
      <w:r w:rsidRPr="00EC1A78">
        <w:rPr>
          <w:rFonts w:eastAsiaTheme="minorHAnsi"/>
          <w:sz w:val="22"/>
          <w:szCs w:val="22"/>
          <w:lang w:eastAsia="en-US"/>
        </w:rPr>
        <w:t>о</w:t>
      </w:r>
      <w:r w:rsidRPr="00EC1A78">
        <w:rPr>
          <w:rFonts w:eastAsiaTheme="minorHAnsi"/>
          <w:sz w:val="22"/>
          <w:szCs w:val="22"/>
          <w:lang w:eastAsia="en-US"/>
        </w:rPr>
        <w:t>боду слова, печати, собраний и митингов, демонстраций и шествий.</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числе первых нормативных актов, закрепляющих порядок проведения предвыборной агитации, были Положения о выборах в Верховный Совет СССР от 9 июля 1937 г. и от 9 января 1950 г. В соответствие со ст. 70 Положений, цель агитации состояла в побу</w:t>
      </w:r>
      <w:r w:rsidRPr="00EC1A78">
        <w:rPr>
          <w:rFonts w:eastAsiaTheme="minorHAnsi"/>
          <w:sz w:val="22"/>
          <w:szCs w:val="22"/>
          <w:lang w:eastAsia="en-US"/>
        </w:rPr>
        <w:t>ж</w:t>
      </w:r>
      <w:r w:rsidRPr="00EC1A78">
        <w:rPr>
          <w:rFonts w:eastAsiaTheme="minorHAnsi"/>
          <w:sz w:val="22"/>
          <w:szCs w:val="22"/>
          <w:lang w:eastAsia="en-US"/>
        </w:rPr>
        <w:t>дении избирателей голосовать за кандидата. Этой же статьей к субъектам предвыборной агитации были отнесены организации, которые выдвинули своего кандидата дата окружной избирател</w:t>
      </w:r>
      <w:r w:rsidRPr="00EC1A78">
        <w:rPr>
          <w:rFonts w:eastAsiaTheme="minorHAnsi"/>
          <w:sz w:val="22"/>
          <w:szCs w:val="22"/>
          <w:lang w:eastAsia="en-US"/>
        </w:rPr>
        <w:t>ь</w:t>
      </w:r>
      <w:r w:rsidRPr="00EC1A78">
        <w:rPr>
          <w:rFonts w:eastAsiaTheme="minorHAnsi"/>
          <w:sz w:val="22"/>
          <w:szCs w:val="22"/>
          <w:lang w:eastAsia="en-US"/>
        </w:rPr>
        <w:t>ной, и граждане СССР: Важнейшая роль в предвыборной агитации принадлежала партийным органам, которые осуществляли контроль за ее проведением, назначали и инструктировали заведующих агитпунктами, обучали агитаторов, организовывали семинары и т.д.</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Основным методом советской предвыборной агитации была деятельность агитаторов, главная функция которых состояла в ознакомлении избирателей с биографией кандидатов и убеждении проголосовать за конкретного кандидата. Эта работа проводилась по месту жительства избирателей и заключалась в разъяснении смысла участия в выборах и поставленных партией задач.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 1937 года была широко распространена деятельность агит</w:t>
      </w:r>
      <w:r w:rsidRPr="00EC1A78">
        <w:rPr>
          <w:rFonts w:eastAsiaTheme="minorHAnsi"/>
          <w:sz w:val="22"/>
          <w:szCs w:val="22"/>
          <w:lang w:eastAsia="en-US"/>
        </w:rPr>
        <w:t>а</w:t>
      </w:r>
      <w:r w:rsidRPr="00EC1A78">
        <w:rPr>
          <w:rFonts w:eastAsiaTheme="minorHAnsi"/>
          <w:sz w:val="22"/>
          <w:szCs w:val="22"/>
          <w:lang w:eastAsia="en-US"/>
        </w:rPr>
        <w:t>ционных пунктов, которыми руководили заведующие, утвержда</w:t>
      </w:r>
      <w:r w:rsidRPr="00EC1A78">
        <w:rPr>
          <w:rFonts w:eastAsiaTheme="minorHAnsi"/>
          <w:sz w:val="22"/>
          <w:szCs w:val="22"/>
          <w:lang w:eastAsia="en-US"/>
        </w:rPr>
        <w:t>е</w:t>
      </w:r>
      <w:r w:rsidRPr="00EC1A78">
        <w:rPr>
          <w:rFonts w:eastAsiaTheme="minorHAnsi"/>
          <w:sz w:val="22"/>
          <w:szCs w:val="22"/>
          <w:lang w:eastAsia="en-US"/>
        </w:rPr>
        <w:t>мые райкомом партии. В таких пунктах кандидаты проводили с</w:t>
      </w:r>
      <w:r w:rsidRPr="00EC1A78">
        <w:rPr>
          <w:rFonts w:eastAsiaTheme="minorHAnsi"/>
          <w:sz w:val="22"/>
          <w:szCs w:val="22"/>
          <w:lang w:eastAsia="en-US"/>
        </w:rPr>
        <w:t>о</w:t>
      </w:r>
      <w:r w:rsidRPr="00EC1A78">
        <w:rPr>
          <w:rFonts w:eastAsiaTheme="minorHAnsi"/>
          <w:sz w:val="22"/>
          <w:szCs w:val="22"/>
          <w:lang w:eastAsia="en-US"/>
        </w:rPr>
        <w:t>брания с избирателями, распространялись агитационные матери</w:t>
      </w:r>
      <w:r w:rsidRPr="00EC1A78">
        <w:rPr>
          <w:rFonts w:eastAsiaTheme="minorHAnsi"/>
          <w:sz w:val="22"/>
          <w:szCs w:val="22"/>
          <w:lang w:eastAsia="en-US"/>
        </w:rPr>
        <w:t>а</w:t>
      </w:r>
      <w:r w:rsidRPr="00EC1A78">
        <w:rPr>
          <w:rFonts w:eastAsiaTheme="minorHAnsi"/>
          <w:sz w:val="22"/>
          <w:szCs w:val="22"/>
          <w:lang w:eastAsia="en-US"/>
        </w:rPr>
        <w:t>лы. Начиная с 40–х годов XX в. главным и наиболее эффективным инструментом предвыборной агитации стали средства массовой информации: газеты «Правда», «Известия», «Труд», «Комсомол</w:t>
      </w:r>
      <w:r w:rsidRPr="00EC1A78">
        <w:rPr>
          <w:rFonts w:eastAsiaTheme="minorHAnsi"/>
          <w:sz w:val="22"/>
          <w:szCs w:val="22"/>
          <w:lang w:eastAsia="en-US"/>
        </w:rPr>
        <w:t>ь</w:t>
      </w:r>
      <w:r w:rsidRPr="00EC1A78">
        <w:rPr>
          <w:rFonts w:eastAsiaTheme="minorHAnsi"/>
          <w:sz w:val="22"/>
          <w:szCs w:val="22"/>
          <w:lang w:eastAsia="en-US"/>
        </w:rPr>
        <w:t>ская правда», организации радиовещания, а с 70–х годов — телев</w:t>
      </w:r>
      <w:r w:rsidRPr="00EC1A78">
        <w:rPr>
          <w:rFonts w:eastAsiaTheme="minorHAnsi"/>
          <w:sz w:val="22"/>
          <w:szCs w:val="22"/>
          <w:lang w:eastAsia="en-US"/>
        </w:rPr>
        <w:t>и</w:t>
      </w:r>
      <w:r w:rsidRPr="00EC1A78">
        <w:rPr>
          <w:rFonts w:eastAsiaTheme="minorHAnsi"/>
          <w:sz w:val="22"/>
          <w:szCs w:val="22"/>
          <w:lang w:eastAsia="en-US"/>
        </w:rPr>
        <w:t>дение. Избиратели подробно информировались о проводимых с</w:t>
      </w:r>
      <w:r w:rsidRPr="00EC1A78">
        <w:rPr>
          <w:rFonts w:eastAsiaTheme="minorHAnsi"/>
          <w:sz w:val="22"/>
          <w:szCs w:val="22"/>
          <w:lang w:eastAsia="en-US"/>
        </w:rPr>
        <w:t>о</w:t>
      </w:r>
      <w:r w:rsidRPr="00EC1A78">
        <w:rPr>
          <w:rFonts w:eastAsiaTheme="minorHAnsi"/>
          <w:sz w:val="22"/>
          <w:szCs w:val="22"/>
          <w:lang w:eastAsia="en-US"/>
        </w:rPr>
        <w:t>браниях по выдвижению кандидатов, встречах кандидатов с изб</w:t>
      </w:r>
      <w:r w:rsidRPr="00EC1A78">
        <w:rPr>
          <w:rFonts w:eastAsiaTheme="minorHAnsi"/>
          <w:sz w:val="22"/>
          <w:szCs w:val="22"/>
          <w:lang w:eastAsia="en-US"/>
        </w:rPr>
        <w:t>и</w:t>
      </w:r>
      <w:r w:rsidRPr="00EC1A78">
        <w:rPr>
          <w:rFonts w:eastAsiaTheme="minorHAnsi"/>
          <w:sz w:val="22"/>
          <w:szCs w:val="22"/>
          <w:lang w:eastAsia="en-US"/>
        </w:rPr>
        <w:t xml:space="preserve">рателями, работе агитаторов, работе агитационных пунктов и т.д.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ч. 2 ст. 100 Конституции СССР 1977 года было впервые з</w:t>
      </w:r>
      <w:r w:rsidRPr="00EC1A78">
        <w:rPr>
          <w:rFonts w:eastAsiaTheme="minorHAnsi"/>
          <w:sz w:val="22"/>
          <w:szCs w:val="22"/>
          <w:lang w:eastAsia="en-US"/>
        </w:rPr>
        <w:t>а</w:t>
      </w:r>
      <w:r w:rsidRPr="00EC1A78">
        <w:rPr>
          <w:rFonts w:eastAsiaTheme="minorHAnsi"/>
          <w:sz w:val="22"/>
          <w:szCs w:val="22"/>
          <w:lang w:eastAsia="en-US"/>
        </w:rPr>
        <w:t>креплено право на проведение агитации: «Гражданам СССР и о</w:t>
      </w:r>
      <w:r w:rsidRPr="00EC1A78">
        <w:rPr>
          <w:rFonts w:eastAsiaTheme="minorHAnsi"/>
          <w:sz w:val="22"/>
          <w:szCs w:val="22"/>
          <w:lang w:eastAsia="en-US"/>
        </w:rPr>
        <w:t>б</w:t>
      </w:r>
      <w:r w:rsidRPr="00EC1A78">
        <w:rPr>
          <w:rFonts w:eastAsiaTheme="minorHAnsi"/>
          <w:sz w:val="22"/>
          <w:szCs w:val="22"/>
          <w:lang w:eastAsia="en-US"/>
        </w:rPr>
        <w:t>щественным организациям гарантируется свободное и всестороннее обсуждение политических, деловых и личных качеств кандидатов в депутаты, а также право агитации на собраниях, в печати, по тел</w:t>
      </w:r>
      <w:r w:rsidRPr="00EC1A78">
        <w:rPr>
          <w:rFonts w:eastAsiaTheme="minorHAnsi"/>
          <w:sz w:val="22"/>
          <w:szCs w:val="22"/>
          <w:lang w:eastAsia="en-US"/>
        </w:rPr>
        <w:t>е</w:t>
      </w:r>
      <w:r w:rsidRPr="00EC1A78">
        <w:rPr>
          <w:rFonts w:eastAsiaTheme="minorHAnsi"/>
          <w:sz w:val="22"/>
          <w:szCs w:val="22"/>
          <w:lang w:eastAsia="en-US"/>
        </w:rPr>
        <w:lastRenderedPageBreak/>
        <w:t>видению, радио». Позже Конституция СССР была дополнена пол</w:t>
      </w:r>
      <w:r w:rsidRPr="00EC1A78">
        <w:rPr>
          <w:rFonts w:eastAsiaTheme="minorHAnsi"/>
          <w:sz w:val="22"/>
          <w:szCs w:val="22"/>
          <w:lang w:eastAsia="en-US"/>
        </w:rPr>
        <w:t>о</w:t>
      </w:r>
      <w:r w:rsidRPr="00EC1A78">
        <w:rPr>
          <w:rFonts w:eastAsiaTheme="minorHAnsi"/>
          <w:sz w:val="22"/>
          <w:szCs w:val="22"/>
          <w:lang w:eastAsia="en-US"/>
        </w:rPr>
        <w:t>жением, согласно которому агитация стала возможна не только «за», но и «против» кандидата.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в советский период предвыборная агитация стала важнейшей стадией избирательного процесса. Ее существе</w:t>
      </w:r>
      <w:r w:rsidRPr="00EC1A78">
        <w:rPr>
          <w:rFonts w:eastAsiaTheme="minorHAnsi"/>
          <w:sz w:val="22"/>
          <w:szCs w:val="22"/>
          <w:lang w:eastAsia="en-US"/>
        </w:rPr>
        <w:t>н</w:t>
      </w:r>
      <w:r w:rsidRPr="00EC1A78">
        <w:rPr>
          <w:rFonts w:eastAsiaTheme="minorHAnsi"/>
          <w:sz w:val="22"/>
          <w:szCs w:val="22"/>
          <w:lang w:eastAsia="en-US"/>
        </w:rPr>
        <w:t>ная особенность заключалась в том, что она исходила не от канд</w:t>
      </w:r>
      <w:r w:rsidRPr="00EC1A78">
        <w:rPr>
          <w:rFonts w:eastAsiaTheme="minorHAnsi"/>
          <w:sz w:val="22"/>
          <w:szCs w:val="22"/>
          <w:lang w:eastAsia="en-US"/>
        </w:rPr>
        <w:t>и</w:t>
      </w:r>
      <w:r w:rsidRPr="00EC1A78">
        <w:rPr>
          <w:rFonts w:eastAsiaTheme="minorHAnsi"/>
          <w:sz w:val="22"/>
          <w:szCs w:val="22"/>
          <w:lang w:eastAsia="en-US"/>
        </w:rPr>
        <w:t xml:space="preserve">датов и избирателей, а от партийных органов, и представляя собой инструмент идеологического воздействия на избирателей. </w:t>
      </w:r>
    </w:p>
    <w:p w:rsidR="00EC1A78" w:rsidRDefault="00EC1A78" w:rsidP="00EC1A78">
      <w:pPr>
        <w:jc w:val="both"/>
        <w:rPr>
          <w:rFonts w:eastAsiaTheme="minorHAnsi"/>
          <w:sz w:val="22"/>
          <w:szCs w:val="22"/>
          <w:lang w:eastAsia="en-US"/>
        </w:rPr>
      </w:pPr>
    </w:p>
    <w:p w:rsidR="00EB2EB8" w:rsidRPr="00EC1A78" w:rsidRDefault="00EB2EB8" w:rsidP="00EC1A78">
      <w:pPr>
        <w:jc w:val="both"/>
        <w:rPr>
          <w:rFonts w:eastAsiaTheme="minorHAnsi"/>
          <w:sz w:val="22"/>
          <w:szCs w:val="22"/>
          <w:lang w:eastAsia="en-US"/>
        </w:rPr>
      </w:pPr>
    </w:p>
    <w:p w:rsidR="00EC1A78" w:rsidRPr="00EC1A78" w:rsidRDefault="00EC1A78" w:rsidP="00EC1A78">
      <w:pPr>
        <w:jc w:val="both"/>
        <w:rPr>
          <w:rFonts w:eastAsiaTheme="minorHAnsi"/>
          <w:sz w:val="22"/>
          <w:szCs w:val="24"/>
          <w:lang w:eastAsia="en-US"/>
        </w:rPr>
      </w:pPr>
      <w:r w:rsidRPr="00EC1A78">
        <w:rPr>
          <w:rFonts w:eastAsiaTheme="minorHAnsi"/>
          <w:sz w:val="22"/>
          <w:szCs w:val="24"/>
          <w:lang w:eastAsia="en-US"/>
        </w:rPr>
        <w:t>УДК 342.565</w:t>
      </w:r>
    </w:p>
    <w:p w:rsidR="00EC1A78" w:rsidRPr="00EC1A78" w:rsidRDefault="00EC1A78" w:rsidP="00EC1A78">
      <w:pPr>
        <w:ind w:firstLine="425"/>
        <w:jc w:val="center"/>
        <w:rPr>
          <w:rFonts w:eastAsiaTheme="minorHAnsi"/>
          <w:sz w:val="22"/>
          <w:szCs w:val="24"/>
          <w:lang w:eastAsia="en-US"/>
        </w:rPr>
      </w:pP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Суды по интеллектуальным правам в механизме</w:t>
      </w:r>
      <w:r w:rsidR="00EB2EB8">
        <w:rPr>
          <w:rFonts w:eastAsiaTheme="minorHAnsi"/>
          <w:b/>
          <w:sz w:val="24"/>
          <w:szCs w:val="24"/>
          <w:lang w:eastAsia="en-US"/>
        </w:rPr>
        <w:br/>
      </w:r>
      <w:r w:rsidRPr="00EC1A78">
        <w:rPr>
          <w:rFonts w:eastAsiaTheme="minorHAnsi"/>
          <w:b/>
          <w:sz w:val="24"/>
          <w:szCs w:val="24"/>
          <w:lang w:eastAsia="en-US"/>
        </w:rPr>
        <w:t xml:space="preserve"> современного российского государства</w:t>
      </w:r>
    </w:p>
    <w:p w:rsidR="006478C4" w:rsidRPr="006478C4" w:rsidRDefault="00EC1A78" w:rsidP="006478C4">
      <w:pPr>
        <w:ind w:firstLine="425"/>
        <w:jc w:val="center"/>
        <w:rPr>
          <w:rFonts w:eastAsiaTheme="minorHAnsi"/>
          <w:b/>
          <w:sz w:val="24"/>
          <w:szCs w:val="24"/>
          <w:lang w:val="en" w:eastAsia="en-US"/>
        </w:rPr>
      </w:pPr>
      <w:r w:rsidRPr="00EC1A78">
        <w:rPr>
          <w:rFonts w:eastAsiaTheme="minorHAnsi"/>
          <w:b/>
          <w:sz w:val="24"/>
          <w:szCs w:val="24"/>
          <w:lang w:val="en" w:eastAsia="en-US"/>
        </w:rPr>
        <w:t>Courts on Intellectual Rights in the Mechanism of the Modern Russian State</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Карслиев И.</w:t>
      </w:r>
      <w:r w:rsidR="00EB2EB8">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2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Галкин А.</w:t>
      </w:r>
      <w:r w:rsidR="00EB2EB8">
        <w:rPr>
          <w:rFonts w:eastAsiaTheme="minorHAnsi"/>
          <w:sz w:val="22"/>
          <w:szCs w:val="22"/>
          <w:lang w:eastAsia="en-US"/>
        </w:rPr>
        <w:t xml:space="preserve"> </w:t>
      </w:r>
      <w:r w:rsidRPr="00EC1A78">
        <w:rPr>
          <w:rFonts w:eastAsiaTheme="minorHAnsi"/>
          <w:sz w:val="22"/>
          <w:szCs w:val="22"/>
          <w:lang w:eastAsia="en-US"/>
        </w:rPr>
        <w:t>Г.,</w:t>
      </w:r>
    </w:p>
    <w:p w:rsidR="00EB2EB8" w:rsidRDefault="00EB2EB8" w:rsidP="00EC1A78">
      <w:pPr>
        <w:jc w:val="right"/>
        <w:rPr>
          <w:rFonts w:eastAsiaTheme="minorHAnsi"/>
          <w:sz w:val="22"/>
          <w:szCs w:val="22"/>
          <w:lang w:eastAsia="en-US"/>
        </w:rPr>
      </w:pPr>
      <w:r>
        <w:rPr>
          <w:rFonts w:eastAsiaTheme="minorHAnsi"/>
          <w:sz w:val="22"/>
          <w:szCs w:val="22"/>
          <w:lang w:eastAsia="en-US"/>
        </w:rPr>
        <w:t>доцент кафедры</w:t>
      </w:r>
      <w:r w:rsidR="00EC1A78" w:rsidRPr="00EC1A78">
        <w:rPr>
          <w:rFonts w:eastAsiaTheme="minorHAnsi"/>
          <w:sz w:val="22"/>
          <w:szCs w:val="22"/>
          <w:lang w:eastAsia="en-US"/>
        </w:rPr>
        <w:t xml:space="preserve"> теори</w:t>
      </w:r>
      <w:r>
        <w:rPr>
          <w:rFonts w:eastAsiaTheme="minorHAnsi"/>
          <w:sz w:val="22"/>
          <w:szCs w:val="22"/>
          <w:lang w:eastAsia="en-US"/>
        </w:rPr>
        <w:t>и и истории государства и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  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ind w:firstLine="425"/>
        <w:jc w:val="both"/>
        <w:rPr>
          <w:rFonts w:eastAsiaTheme="minorHAnsi"/>
          <w:b/>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Статья посвящена роли созданных в системе арбитражных судов специализированных судов по интеллектуал</w:t>
      </w:r>
      <w:r w:rsidRPr="00EC1A78">
        <w:rPr>
          <w:rFonts w:eastAsiaTheme="minorHAnsi"/>
          <w:sz w:val="22"/>
          <w:szCs w:val="22"/>
          <w:lang w:eastAsia="en-US"/>
        </w:rPr>
        <w:t>ь</w:t>
      </w:r>
      <w:r w:rsidRPr="00EC1A78">
        <w:rPr>
          <w:rFonts w:eastAsiaTheme="minorHAnsi"/>
          <w:sz w:val="22"/>
          <w:szCs w:val="22"/>
          <w:lang w:eastAsia="en-US"/>
        </w:rPr>
        <w:t>ным правам в механизме государства и проблемам их функцион</w:t>
      </w:r>
      <w:r w:rsidRPr="00EC1A78">
        <w:rPr>
          <w:rFonts w:eastAsiaTheme="minorHAnsi"/>
          <w:sz w:val="22"/>
          <w:szCs w:val="22"/>
          <w:lang w:eastAsia="en-US"/>
        </w:rPr>
        <w:t>и</w:t>
      </w:r>
      <w:r w:rsidRPr="00EC1A78">
        <w:rPr>
          <w:rFonts w:eastAsiaTheme="minorHAnsi"/>
          <w:sz w:val="22"/>
          <w:szCs w:val="22"/>
          <w:lang w:eastAsia="en-US"/>
        </w:rPr>
        <w:t>рования.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is devoted to the role of the established system of arbitration courts specialized courts for intellectual property rights in the mechanism of legal regulation and problems of their fun</w:t>
      </w:r>
      <w:r w:rsidRPr="00EC1A78">
        <w:rPr>
          <w:rFonts w:eastAsiaTheme="minorHAnsi"/>
          <w:sz w:val="22"/>
          <w:szCs w:val="22"/>
          <w:lang w:val="en-US" w:eastAsia="en-US"/>
        </w:rPr>
        <w:t>c</w:t>
      </w:r>
      <w:r w:rsidRPr="00EC1A78">
        <w:rPr>
          <w:rFonts w:eastAsiaTheme="minorHAnsi"/>
          <w:sz w:val="22"/>
          <w:szCs w:val="22"/>
          <w:lang w:val="en-US" w:eastAsia="en-US"/>
        </w:rPr>
        <w:t>tioning.</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специализация судов, механизм гос</w:t>
      </w:r>
      <w:r w:rsidRPr="00EC1A78">
        <w:rPr>
          <w:rFonts w:eastAsiaTheme="minorHAnsi"/>
          <w:sz w:val="22"/>
          <w:szCs w:val="22"/>
          <w:lang w:eastAsia="en-US"/>
        </w:rPr>
        <w:t>у</w:t>
      </w:r>
      <w:r w:rsidRPr="00EC1A78">
        <w:rPr>
          <w:rFonts w:eastAsiaTheme="minorHAnsi"/>
          <w:sz w:val="22"/>
          <w:szCs w:val="22"/>
          <w:lang w:eastAsia="en-US"/>
        </w:rPr>
        <w:t>дарства, проблемы правового регулирования, компетенция.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specialization of the courts, the State mechanism, the problems of legal regulation, competence.</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Судебные органы являются важнейшей частью механизма го</w:t>
      </w:r>
      <w:r w:rsidRPr="00EC1A78">
        <w:rPr>
          <w:rFonts w:eastAsiaTheme="minorHAnsi"/>
          <w:sz w:val="22"/>
          <w:szCs w:val="22"/>
          <w:lang w:eastAsia="en-US"/>
        </w:rPr>
        <w:t>с</w:t>
      </w:r>
      <w:r w:rsidRPr="00EC1A78">
        <w:rPr>
          <w:rFonts w:eastAsiaTheme="minorHAnsi"/>
          <w:sz w:val="22"/>
          <w:szCs w:val="22"/>
          <w:lang w:eastAsia="en-US"/>
        </w:rPr>
        <w:t>ударства, обеспечивающими реализацию норм права. Положение судов в механизме государства таково, что с одной стороны испо</w:t>
      </w:r>
      <w:r w:rsidRPr="00EC1A78">
        <w:rPr>
          <w:rFonts w:eastAsiaTheme="minorHAnsi"/>
          <w:sz w:val="22"/>
          <w:szCs w:val="22"/>
          <w:lang w:eastAsia="en-US"/>
        </w:rPr>
        <w:t>л</w:t>
      </w:r>
      <w:r w:rsidRPr="00EC1A78">
        <w:rPr>
          <w:rFonts w:eastAsiaTheme="minorHAnsi"/>
          <w:sz w:val="22"/>
          <w:szCs w:val="22"/>
          <w:lang w:eastAsia="en-US"/>
        </w:rPr>
        <w:t>нительная власть должна создать необходимые условия для но</w:t>
      </w:r>
      <w:r w:rsidRPr="00EC1A78">
        <w:rPr>
          <w:rFonts w:eastAsiaTheme="minorHAnsi"/>
          <w:sz w:val="22"/>
          <w:szCs w:val="22"/>
          <w:lang w:eastAsia="en-US"/>
        </w:rPr>
        <w:t>р</w:t>
      </w:r>
      <w:r w:rsidRPr="00EC1A78">
        <w:rPr>
          <w:rFonts w:eastAsiaTheme="minorHAnsi"/>
          <w:sz w:val="22"/>
          <w:szCs w:val="22"/>
          <w:lang w:eastAsia="en-US"/>
        </w:rPr>
        <w:t>мального функционирования судебной системы, с другой судебная власть сама  контролирует законность актов и действий исполн</w:t>
      </w:r>
      <w:r w:rsidRPr="00EC1A78">
        <w:rPr>
          <w:rFonts w:eastAsiaTheme="minorHAnsi"/>
          <w:sz w:val="22"/>
          <w:szCs w:val="22"/>
          <w:lang w:eastAsia="en-US"/>
        </w:rPr>
        <w:t>и</w:t>
      </w:r>
      <w:r w:rsidRPr="00EC1A78">
        <w:rPr>
          <w:rFonts w:eastAsiaTheme="minorHAnsi"/>
          <w:sz w:val="22"/>
          <w:szCs w:val="22"/>
          <w:lang w:eastAsia="en-US"/>
        </w:rPr>
        <w:t xml:space="preserve">тельной власти, обеспечивая защиту прав и интересов граждан.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Механизм современного российского государства постоянно совершенствуется. Одним из направлений совершенствования, в частности судебной системы, является специализация судов. В частности не первый год обсуждается проблема создания админ</w:t>
      </w:r>
      <w:r w:rsidRPr="00EC1A78">
        <w:rPr>
          <w:rFonts w:eastAsiaTheme="minorHAnsi"/>
          <w:sz w:val="22"/>
          <w:szCs w:val="22"/>
          <w:lang w:eastAsia="en-US"/>
        </w:rPr>
        <w:t>и</w:t>
      </w:r>
      <w:r w:rsidRPr="00EC1A78">
        <w:rPr>
          <w:rFonts w:eastAsiaTheme="minorHAnsi"/>
          <w:sz w:val="22"/>
          <w:szCs w:val="22"/>
          <w:lang w:eastAsia="en-US"/>
        </w:rPr>
        <w:t>стративных судов. Из тех направлений судебной реформы, которые на сегодняшний день удалось реализовать, следует отметить созд</w:t>
      </w:r>
      <w:r w:rsidRPr="00EC1A78">
        <w:rPr>
          <w:rFonts w:eastAsiaTheme="minorHAnsi"/>
          <w:sz w:val="22"/>
          <w:szCs w:val="22"/>
          <w:lang w:eastAsia="en-US"/>
        </w:rPr>
        <w:t>а</w:t>
      </w:r>
      <w:r w:rsidRPr="00EC1A78">
        <w:rPr>
          <w:rFonts w:eastAsiaTheme="minorHAnsi"/>
          <w:sz w:val="22"/>
          <w:szCs w:val="22"/>
          <w:lang w:eastAsia="en-US"/>
        </w:rPr>
        <w:t xml:space="preserve">ние судов по интеллектуальным правам. На сегодняшний день практика этих судов уже  весьма обширна.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рамках судебной реформы,  в том числе по специализации судов в литературе иногда предлагается подбор судебных кадров осуществлять из лиц, обладающих соответствующим образованием, в том числе техническим [1]. В целом поддерживая идею создания специализированных судов [2] отметим, что,  как известно, разд</w:t>
      </w:r>
      <w:r w:rsidRPr="00EC1A78">
        <w:rPr>
          <w:rFonts w:eastAsiaTheme="minorHAnsi"/>
          <w:sz w:val="22"/>
          <w:szCs w:val="22"/>
          <w:lang w:eastAsia="en-US"/>
        </w:rPr>
        <w:t>е</w:t>
      </w:r>
      <w:r w:rsidRPr="00EC1A78">
        <w:rPr>
          <w:rFonts w:eastAsiaTheme="minorHAnsi"/>
          <w:sz w:val="22"/>
          <w:szCs w:val="22"/>
          <w:lang w:eastAsia="en-US"/>
        </w:rPr>
        <w:t>ление труда стало источником общественного прогресса, и поэтому гораздо более продуктивным все же является привлечение к пров</w:t>
      </w:r>
      <w:r w:rsidRPr="00EC1A78">
        <w:rPr>
          <w:rFonts w:eastAsiaTheme="minorHAnsi"/>
          <w:sz w:val="22"/>
          <w:szCs w:val="22"/>
          <w:lang w:eastAsia="en-US"/>
        </w:rPr>
        <w:t>е</w:t>
      </w:r>
      <w:r w:rsidRPr="00EC1A78">
        <w:rPr>
          <w:rFonts w:eastAsiaTheme="minorHAnsi"/>
          <w:sz w:val="22"/>
          <w:szCs w:val="22"/>
          <w:lang w:eastAsia="en-US"/>
        </w:rPr>
        <w:t>дению соответствующих исследований узких, но квалифицирова</w:t>
      </w:r>
      <w:r w:rsidRPr="00EC1A78">
        <w:rPr>
          <w:rFonts w:eastAsiaTheme="minorHAnsi"/>
          <w:sz w:val="22"/>
          <w:szCs w:val="22"/>
          <w:lang w:eastAsia="en-US"/>
        </w:rPr>
        <w:t>н</w:t>
      </w:r>
      <w:r w:rsidRPr="00EC1A78">
        <w:rPr>
          <w:rFonts w:eastAsiaTheme="minorHAnsi"/>
          <w:sz w:val="22"/>
          <w:szCs w:val="22"/>
          <w:lang w:eastAsia="en-US"/>
        </w:rPr>
        <w:t>ных специалистов, судья же должен заботиться о соответствующей юридической квалификации, как своей, так и дела, которое он ра</w:t>
      </w:r>
      <w:r w:rsidRPr="00EC1A78">
        <w:rPr>
          <w:rFonts w:eastAsiaTheme="minorHAnsi"/>
          <w:sz w:val="22"/>
          <w:szCs w:val="22"/>
          <w:lang w:eastAsia="en-US"/>
        </w:rPr>
        <w:t>с</w:t>
      </w:r>
      <w:r w:rsidRPr="00EC1A78">
        <w:rPr>
          <w:rFonts w:eastAsiaTheme="minorHAnsi"/>
          <w:sz w:val="22"/>
          <w:szCs w:val="22"/>
          <w:lang w:eastAsia="en-US"/>
        </w:rPr>
        <w:t xml:space="preserve">сматривает.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Поскольку участие так называемых судей–техников в арби</w:t>
      </w:r>
      <w:r w:rsidRPr="00EC1A78">
        <w:rPr>
          <w:rFonts w:eastAsiaTheme="minorHAnsi"/>
          <w:sz w:val="22"/>
          <w:szCs w:val="22"/>
          <w:lang w:eastAsia="en-US"/>
        </w:rPr>
        <w:t>т</w:t>
      </w:r>
      <w:r w:rsidRPr="00EC1A78">
        <w:rPr>
          <w:rFonts w:eastAsiaTheme="minorHAnsi"/>
          <w:sz w:val="22"/>
          <w:szCs w:val="22"/>
          <w:lang w:eastAsia="en-US"/>
        </w:rPr>
        <w:t xml:space="preserve">ражном судопроизводстве не предусмотрено, большое значение имеет привлечение специалистов в соответствующих областях при разрешении дел, связанных с интеллектуальной собственностью. На </w:t>
      </w:r>
      <w:r w:rsidR="006478C4">
        <w:rPr>
          <w:rFonts w:eastAsiaTheme="minorHAnsi"/>
          <w:sz w:val="22"/>
          <w:szCs w:val="22"/>
          <w:lang w:eastAsia="en-US"/>
        </w:rPr>
        <w:t xml:space="preserve">сегодняшний день </w:t>
      </w:r>
      <w:r w:rsidRPr="00EC1A78">
        <w:rPr>
          <w:rFonts w:eastAsiaTheme="minorHAnsi"/>
          <w:sz w:val="22"/>
          <w:szCs w:val="22"/>
          <w:lang w:eastAsia="en-US"/>
        </w:rPr>
        <w:t>не все вопросы, связанные с участием специал</w:t>
      </w:r>
      <w:r w:rsidRPr="00EC1A78">
        <w:rPr>
          <w:rFonts w:eastAsiaTheme="minorHAnsi"/>
          <w:sz w:val="22"/>
          <w:szCs w:val="22"/>
          <w:lang w:eastAsia="en-US"/>
        </w:rPr>
        <w:t>и</w:t>
      </w:r>
      <w:r w:rsidR="006478C4">
        <w:rPr>
          <w:rFonts w:eastAsiaTheme="minorHAnsi"/>
          <w:sz w:val="22"/>
          <w:szCs w:val="22"/>
          <w:lang w:eastAsia="en-US"/>
        </w:rPr>
        <w:t xml:space="preserve">ста разрешены законодателем, </w:t>
      </w:r>
      <w:r w:rsidRPr="00EC1A78">
        <w:rPr>
          <w:rFonts w:eastAsiaTheme="minorHAnsi"/>
          <w:sz w:val="22"/>
          <w:szCs w:val="22"/>
          <w:lang w:eastAsia="en-US"/>
        </w:rPr>
        <w:t>в частности неясным остается вопрос о вознаграждении такому специалисту, четко не определен порядок привлечения специалиста к участию в деле (имеет ли право суд привлечь его по собственной инициативе или только по ходата</w:t>
      </w:r>
      <w:r w:rsidRPr="00EC1A78">
        <w:rPr>
          <w:rFonts w:eastAsiaTheme="minorHAnsi"/>
          <w:sz w:val="22"/>
          <w:szCs w:val="22"/>
          <w:lang w:eastAsia="en-US"/>
        </w:rPr>
        <w:t>й</w:t>
      </w:r>
      <w:r w:rsidRPr="00EC1A78">
        <w:rPr>
          <w:rFonts w:eastAsiaTheme="minorHAnsi"/>
          <w:sz w:val="22"/>
          <w:szCs w:val="22"/>
          <w:lang w:eastAsia="en-US"/>
        </w:rPr>
        <w:t>ству одной из сторон).</w:t>
      </w:r>
    </w:p>
    <w:p w:rsidR="00EC1A78" w:rsidRPr="00EC1A78" w:rsidRDefault="00EC1A78" w:rsidP="00EC1A78">
      <w:pPr>
        <w:ind w:firstLine="425"/>
        <w:jc w:val="both"/>
        <w:rPr>
          <w:rFonts w:eastAsiaTheme="minorHAnsi"/>
          <w:sz w:val="22"/>
          <w:szCs w:val="22"/>
          <w:lang w:eastAsia="en-US"/>
        </w:rPr>
      </w:pPr>
      <w:r w:rsidRPr="00EC1A78">
        <w:rPr>
          <w:rFonts w:eastAsiaTheme="minorHAnsi"/>
          <w:iCs/>
          <w:sz w:val="22"/>
          <w:szCs w:val="22"/>
          <w:lang w:eastAsia="en-US"/>
        </w:rPr>
        <w:t>В компетенцию суда по интеллектуальным правам в качеств</w:t>
      </w:r>
      <w:r w:rsidR="006478C4">
        <w:rPr>
          <w:rFonts w:eastAsiaTheme="minorHAnsi"/>
          <w:iCs/>
          <w:sz w:val="22"/>
          <w:szCs w:val="22"/>
          <w:lang w:eastAsia="en-US"/>
        </w:rPr>
        <w:t xml:space="preserve">е суда первой инстанции входят </w:t>
      </w:r>
      <w:r w:rsidRPr="00EC1A78">
        <w:rPr>
          <w:rFonts w:eastAsiaTheme="minorHAnsi"/>
          <w:iCs/>
          <w:sz w:val="22"/>
          <w:szCs w:val="22"/>
          <w:lang w:eastAsia="en-US"/>
        </w:rPr>
        <w:t xml:space="preserve">дела об оспаривании нормативных </w:t>
      </w:r>
      <w:r w:rsidRPr="00EC1A78">
        <w:rPr>
          <w:rFonts w:eastAsiaTheme="minorHAnsi"/>
          <w:iCs/>
          <w:sz w:val="22"/>
          <w:szCs w:val="22"/>
          <w:lang w:eastAsia="en-US"/>
        </w:rPr>
        <w:lastRenderedPageBreak/>
        <w:t>правовых актов</w:t>
      </w:r>
      <w:r w:rsidRPr="00EC1A78">
        <w:rPr>
          <w:rFonts w:eastAsiaTheme="minorHAnsi"/>
          <w:sz w:val="22"/>
          <w:szCs w:val="22"/>
          <w:lang w:eastAsia="en-US"/>
        </w:rPr>
        <w:t>, касающихся правовой охраны результатов инте</w:t>
      </w:r>
      <w:r w:rsidRPr="00EC1A78">
        <w:rPr>
          <w:rFonts w:eastAsiaTheme="minorHAnsi"/>
          <w:sz w:val="22"/>
          <w:szCs w:val="22"/>
          <w:lang w:eastAsia="en-US"/>
        </w:rPr>
        <w:t>л</w:t>
      </w:r>
      <w:r w:rsidRPr="00EC1A78">
        <w:rPr>
          <w:rFonts w:eastAsiaTheme="minorHAnsi"/>
          <w:sz w:val="22"/>
          <w:szCs w:val="22"/>
          <w:lang w:eastAsia="en-US"/>
        </w:rPr>
        <w:t>лектуальной деятельности, в сфере патентных прав и прав на селе</w:t>
      </w:r>
      <w:r w:rsidRPr="00EC1A78">
        <w:rPr>
          <w:rFonts w:eastAsiaTheme="minorHAnsi"/>
          <w:sz w:val="22"/>
          <w:szCs w:val="22"/>
          <w:lang w:eastAsia="en-US"/>
        </w:rPr>
        <w:t>к</w:t>
      </w:r>
      <w:r w:rsidRPr="00EC1A78">
        <w:rPr>
          <w:rFonts w:eastAsiaTheme="minorHAnsi"/>
          <w:sz w:val="22"/>
          <w:szCs w:val="22"/>
          <w:lang w:eastAsia="en-US"/>
        </w:rPr>
        <w:t>ционные достижения, права на топологии интегральных микросхем, права на секреты производства (ноу–хау), права на средства инд</w:t>
      </w:r>
      <w:r w:rsidRPr="00EC1A78">
        <w:rPr>
          <w:rFonts w:eastAsiaTheme="minorHAnsi"/>
          <w:sz w:val="22"/>
          <w:szCs w:val="22"/>
          <w:lang w:eastAsia="en-US"/>
        </w:rPr>
        <w:t>и</w:t>
      </w:r>
      <w:r w:rsidRPr="00EC1A78">
        <w:rPr>
          <w:rFonts w:eastAsiaTheme="minorHAnsi"/>
          <w:sz w:val="22"/>
          <w:szCs w:val="22"/>
          <w:lang w:eastAsia="en-US"/>
        </w:rPr>
        <w:t>видуализации юридических лиц, товаров, работ, услуг и предпри</w:t>
      </w:r>
      <w:r w:rsidRPr="00EC1A78">
        <w:rPr>
          <w:rFonts w:eastAsiaTheme="minorHAnsi"/>
          <w:sz w:val="22"/>
          <w:szCs w:val="22"/>
          <w:lang w:eastAsia="en-US"/>
        </w:rPr>
        <w:t>я</w:t>
      </w:r>
      <w:r w:rsidRPr="00EC1A78">
        <w:rPr>
          <w:rFonts w:eastAsiaTheme="minorHAnsi"/>
          <w:sz w:val="22"/>
          <w:szCs w:val="22"/>
          <w:lang w:eastAsia="en-US"/>
        </w:rPr>
        <w:t xml:space="preserve">тий; </w:t>
      </w:r>
      <w:r w:rsidRPr="00EC1A78">
        <w:rPr>
          <w:rFonts w:eastAsiaTheme="minorHAnsi"/>
          <w:iCs/>
          <w:sz w:val="22"/>
          <w:szCs w:val="22"/>
          <w:lang w:eastAsia="en-US"/>
        </w:rPr>
        <w:t>дела по спорам о предоставлении или прекращении правовой охраны результатов интеллектуальной деятельности</w:t>
      </w:r>
      <w:r w:rsidRPr="00EC1A78">
        <w:rPr>
          <w:rFonts w:eastAsiaTheme="minorHAnsi"/>
          <w:sz w:val="22"/>
          <w:szCs w:val="22"/>
          <w:lang w:eastAsia="en-US"/>
        </w:rPr>
        <w:t> и приравне</w:t>
      </w:r>
      <w:r w:rsidRPr="00EC1A78">
        <w:rPr>
          <w:rFonts w:eastAsiaTheme="minorHAnsi"/>
          <w:sz w:val="22"/>
          <w:szCs w:val="22"/>
          <w:lang w:eastAsia="en-US"/>
        </w:rPr>
        <w:t>н</w:t>
      </w:r>
      <w:r w:rsidRPr="00EC1A78">
        <w:rPr>
          <w:rFonts w:eastAsiaTheme="minorHAnsi"/>
          <w:sz w:val="22"/>
          <w:szCs w:val="22"/>
          <w:lang w:eastAsia="en-US"/>
        </w:rPr>
        <w:t>ных к ним средств индивидуализации юридических лиц, товаров, работ, услуг и предприятий (за исключением объектов авторских и смежных прав, топо</w:t>
      </w:r>
      <w:r w:rsidR="006478C4">
        <w:rPr>
          <w:rFonts w:eastAsiaTheme="minorHAnsi"/>
          <w:sz w:val="22"/>
          <w:szCs w:val="22"/>
          <w:lang w:eastAsia="en-US"/>
        </w:rPr>
        <w:t xml:space="preserve">логий интегральных микросхем), </w:t>
      </w:r>
      <w:r w:rsidRPr="00EC1A78">
        <w:rPr>
          <w:rFonts w:eastAsiaTheme="minorHAnsi"/>
          <w:sz w:val="22"/>
          <w:szCs w:val="22"/>
          <w:lang w:eastAsia="en-US"/>
        </w:rPr>
        <w:t>об оспарив</w:t>
      </w:r>
      <w:r w:rsidRPr="00EC1A78">
        <w:rPr>
          <w:rFonts w:eastAsiaTheme="minorHAnsi"/>
          <w:sz w:val="22"/>
          <w:szCs w:val="22"/>
          <w:lang w:eastAsia="en-US"/>
        </w:rPr>
        <w:t>а</w:t>
      </w:r>
      <w:r w:rsidRPr="00EC1A78">
        <w:rPr>
          <w:rFonts w:eastAsiaTheme="minorHAnsi"/>
          <w:sz w:val="22"/>
          <w:szCs w:val="22"/>
          <w:lang w:eastAsia="en-US"/>
        </w:rPr>
        <w:t xml:space="preserve">нии ненормативных правовых актов, решений и действий органов исполнительной власти по интеллектуальной собственности [3]. </w:t>
      </w:r>
      <w:r w:rsidR="00EB2EB8">
        <w:rPr>
          <w:rFonts w:eastAsiaTheme="minorHAnsi"/>
          <w:sz w:val="22"/>
          <w:szCs w:val="22"/>
          <w:lang w:eastAsia="en-US"/>
        </w:rPr>
        <w:t>Заявителями по указанным</w:t>
      </w:r>
      <w:r w:rsidRPr="00EC1A78">
        <w:rPr>
          <w:rFonts w:eastAsiaTheme="minorHAnsi"/>
          <w:sz w:val="22"/>
          <w:szCs w:val="22"/>
          <w:lang w:eastAsia="en-US"/>
        </w:rPr>
        <w:t xml:space="preserve"> категориям дел могут быть как физич</w:t>
      </w:r>
      <w:r w:rsidRPr="00EC1A78">
        <w:rPr>
          <w:rFonts w:eastAsiaTheme="minorHAnsi"/>
          <w:sz w:val="22"/>
          <w:szCs w:val="22"/>
          <w:lang w:eastAsia="en-US"/>
        </w:rPr>
        <w:t>е</w:t>
      </w:r>
      <w:r w:rsidRPr="00EC1A78">
        <w:rPr>
          <w:rFonts w:eastAsiaTheme="minorHAnsi"/>
          <w:sz w:val="22"/>
          <w:szCs w:val="22"/>
          <w:lang w:eastAsia="en-US"/>
        </w:rPr>
        <w:t>ские, так и  юридические лица.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суде по интеллектуальным правам могут быть также оспор</w:t>
      </w:r>
      <w:r w:rsidRPr="00EC1A78">
        <w:rPr>
          <w:rFonts w:eastAsiaTheme="minorHAnsi"/>
          <w:sz w:val="22"/>
          <w:szCs w:val="22"/>
          <w:lang w:eastAsia="en-US"/>
        </w:rPr>
        <w:t>е</w:t>
      </w:r>
      <w:r w:rsidRPr="00EC1A78">
        <w:rPr>
          <w:rFonts w:eastAsiaTheme="minorHAnsi"/>
          <w:sz w:val="22"/>
          <w:szCs w:val="22"/>
          <w:lang w:eastAsia="en-US"/>
        </w:rPr>
        <w:t>ны акты ФАС РФ о признании недобросовестной конкуренцией действий, связанных с приобретением вышеуказанных прав, дела о признании недействительными патента на изобретение и другие указанные объекты; решений о предоставлении правовой охраны товарному знаку, наименованию места происхождения товара и о предоставлении исключительного права на такое наименование; дела о досрочном прекращении правовой охраны товарного знака вследствие его неиспользования.</w:t>
      </w:r>
    </w:p>
    <w:p w:rsidR="00EC1A78" w:rsidRPr="00EC1A78" w:rsidRDefault="006478C4" w:rsidP="00EC1A78">
      <w:pPr>
        <w:ind w:firstLine="425"/>
        <w:jc w:val="both"/>
        <w:rPr>
          <w:rFonts w:eastAsiaTheme="minorHAnsi"/>
          <w:sz w:val="22"/>
          <w:szCs w:val="22"/>
          <w:lang w:eastAsia="en-US"/>
        </w:rPr>
      </w:pPr>
      <w:r>
        <w:rPr>
          <w:rFonts w:eastAsiaTheme="minorHAnsi"/>
          <w:sz w:val="22"/>
          <w:szCs w:val="22"/>
          <w:lang w:eastAsia="en-US"/>
        </w:rPr>
        <w:t xml:space="preserve">В силу положений ст. 33 </w:t>
      </w:r>
      <w:r w:rsidR="00EC1A78" w:rsidRPr="00EC1A78">
        <w:rPr>
          <w:rFonts w:eastAsiaTheme="minorHAnsi"/>
          <w:sz w:val="22"/>
          <w:szCs w:val="22"/>
          <w:lang w:eastAsia="en-US"/>
        </w:rPr>
        <w:t>АПК РФ, ст. 43.4 ФКЗ «Об арбитра</w:t>
      </w:r>
      <w:r w:rsidR="00EC1A78" w:rsidRPr="00EC1A78">
        <w:rPr>
          <w:rFonts w:eastAsiaTheme="minorHAnsi"/>
          <w:sz w:val="22"/>
          <w:szCs w:val="22"/>
          <w:lang w:eastAsia="en-US"/>
        </w:rPr>
        <w:t>ж</w:t>
      </w:r>
      <w:r w:rsidR="00EC1A78" w:rsidRPr="00EC1A78">
        <w:rPr>
          <w:rFonts w:eastAsiaTheme="minorHAnsi"/>
          <w:sz w:val="22"/>
          <w:szCs w:val="22"/>
          <w:lang w:eastAsia="en-US"/>
        </w:rPr>
        <w:t>ных</w:t>
      </w:r>
      <w:r>
        <w:rPr>
          <w:rFonts w:eastAsiaTheme="minorHAnsi"/>
          <w:sz w:val="22"/>
          <w:szCs w:val="22"/>
          <w:lang w:eastAsia="en-US"/>
        </w:rPr>
        <w:t xml:space="preserve"> судах в Российской Федерации» </w:t>
      </w:r>
      <w:r w:rsidR="00EC1A78" w:rsidRPr="00EC1A78">
        <w:rPr>
          <w:rFonts w:eastAsiaTheme="minorHAnsi"/>
          <w:sz w:val="22"/>
          <w:szCs w:val="22"/>
          <w:lang w:eastAsia="en-US"/>
        </w:rPr>
        <w:t>и ст. 1069 ГК РФ подсудность СИП включает дела о возме</w:t>
      </w:r>
      <w:r w:rsidR="00EC1A78" w:rsidRPr="00EC1A78">
        <w:rPr>
          <w:rFonts w:eastAsiaTheme="minorHAnsi"/>
          <w:iCs/>
          <w:sz w:val="22"/>
          <w:szCs w:val="22"/>
          <w:lang w:eastAsia="en-US"/>
        </w:rPr>
        <w:t>щении вреда, причиненного нормати</w:t>
      </w:r>
      <w:r w:rsidR="00EC1A78" w:rsidRPr="00EC1A78">
        <w:rPr>
          <w:rFonts w:eastAsiaTheme="minorHAnsi"/>
          <w:iCs/>
          <w:sz w:val="22"/>
          <w:szCs w:val="22"/>
          <w:lang w:eastAsia="en-US"/>
        </w:rPr>
        <w:t>в</w:t>
      </w:r>
      <w:r w:rsidR="00EC1A78" w:rsidRPr="00EC1A78">
        <w:rPr>
          <w:rFonts w:eastAsiaTheme="minorHAnsi"/>
          <w:iCs/>
          <w:sz w:val="22"/>
          <w:szCs w:val="22"/>
          <w:lang w:eastAsia="en-US"/>
        </w:rPr>
        <w:t xml:space="preserve">ными правовыми актами органов, уполномоченных осуществлять охрану интеллектуальной собственности, а также решениями </w:t>
      </w:r>
      <w:r w:rsidR="00EC1A78" w:rsidRPr="00EC1A78">
        <w:rPr>
          <w:rFonts w:eastAsiaTheme="minorHAnsi"/>
          <w:sz w:val="22"/>
          <w:szCs w:val="22"/>
          <w:lang w:eastAsia="en-US"/>
        </w:rPr>
        <w:t>фед</w:t>
      </w:r>
      <w:r w:rsidR="00EC1A78" w:rsidRPr="00EC1A78">
        <w:rPr>
          <w:rFonts w:eastAsiaTheme="minorHAnsi"/>
          <w:sz w:val="22"/>
          <w:szCs w:val="22"/>
          <w:lang w:eastAsia="en-US"/>
        </w:rPr>
        <w:t>е</w:t>
      </w:r>
      <w:r w:rsidR="00EC1A78" w:rsidRPr="00EC1A78">
        <w:rPr>
          <w:rFonts w:eastAsiaTheme="minorHAnsi"/>
          <w:sz w:val="22"/>
          <w:szCs w:val="22"/>
          <w:lang w:eastAsia="en-US"/>
        </w:rPr>
        <w:t>рального антимонопольного органа о признании недобросовестной конкуренцией действий, связанных с приобретением исключител</w:t>
      </w:r>
      <w:r w:rsidR="00EC1A78" w:rsidRPr="00EC1A78">
        <w:rPr>
          <w:rFonts w:eastAsiaTheme="minorHAnsi"/>
          <w:sz w:val="22"/>
          <w:szCs w:val="22"/>
          <w:lang w:eastAsia="en-US"/>
        </w:rPr>
        <w:t>ь</w:t>
      </w:r>
      <w:r w:rsidR="00EC1A78" w:rsidRPr="00EC1A78">
        <w:rPr>
          <w:rFonts w:eastAsiaTheme="minorHAnsi"/>
          <w:sz w:val="22"/>
          <w:szCs w:val="22"/>
          <w:lang w:eastAsia="en-US"/>
        </w:rPr>
        <w:t>ного права на средства индивидуализации юридического лица, т</w:t>
      </w:r>
      <w:r w:rsidR="00EC1A78" w:rsidRPr="00EC1A78">
        <w:rPr>
          <w:rFonts w:eastAsiaTheme="minorHAnsi"/>
          <w:sz w:val="22"/>
          <w:szCs w:val="22"/>
          <w:lang w:eastAsia="en-US"/>
        </w:rPr>
        <w:t>о</w:t>
      </w:r>
      <w:r w:rsidR="00EC1A78" w:rsidRPr="00EC1A78">
        <w:rPr>
          <w:rFonts w:eastAsiaTheme="minorHAnsi"/>
          <w:sz w:val="22"/>
          <w:szCs w:val="22"/>
          <w:lang w:eastAsia="en-US"/>
        </w:rPr>
        <w:t>варов, работ, услуг и предприятий.</w:t>
      </w:r>
    </w:p>
    <w:p w:rsidR="00EC1A78" w:rsidRPr="00EC1A78" w:rsidRDefault="006478C4" w:rsidP="006478C4">
      <w:pPr>
        <w:ind w:firstLine="425"/>
        <w:jc w:val="both"/>
        <w:rPr>
          <w:rFonts w:eastAsiaTheme="minorHAnsi"/>
          <w:sz w:val="22"/>
          <w:szCs w:val="22"/>
          <w:lang w:eastAsia="en-US"/>
        </w:rPr>
      </w:pPr>
      <w:r>
        <w:rPr>
          <w:rFonts w:eastAsiaTheme="minorHAnsi"/>
          <w:sz w:val="22"/>
          <w:szCs w:val="22"/>
          <w:lang w:eastAsia="en-US"/>
        </w:rPr>
        <w:t xml:space="preserve">В то же время, </w:t>
      </w:r>
      <w:r w:rsidR="00EC1A78" w:rsidRPr="00EC1A78">
        <w:rPr>
          <w:rFonts w:eastAsiaTheme="minorHAnsi"/>
          <w:sz w:val="22"/>
          <w:szCs w:val="22"/>
          <w:lang w:eastAsia="en-US"/>
        </w:rPr>
        <w:t xml:space="preserve">остаются в ведении судов общей юрисдикции </w:t>
      </w:r>
      <w:r w:rsidR="00EC1A78" w:rsidRPr="00EC1A78">
        <w:rPr>
          <w:rFonts w:eastAsiaTheme="minorHAnsi"/>
          <w:bCs/>
          <w:sz w:val="22"/>
          <w:szCs w:val="22"/>
          <w:lang w:eastAsia="en-US"/>
        </w:rPr>
        <w:t>дела, связанные с защитой прав на результаты интеллектуальной деятельности. Это в частности</w:t>
      </w:r>
      <w:r w:rsidR="00EC1A78" w:rsidRPr="00EC1A78">
        <w:rPr>
          <w:rFonts w:eastAsiaTheme="minorHAnsi"/>
          <w:b/>
          <w:bCs/>
          <w:sz w:val="22"/>
          <w:szCs w:val="22"/>
          <w:lang w:eastAsia="en-US"/>
        </w:rPr>
        <w:t xml:space="preserve">, </w:t>
      </w:r>
      <w:r w:rsidR="00EC1A78" w:rsidRPr="00EC1A78">
        <w:rPr>
          <w:rFonts w:eastAsiaTheme="minorHAnsi"/>
          <w:sz w:val="22"/>
          <w:szCs w:val="22"/>
          <w:lang w:eastAsia="en-US"/>
        </w:rPr>
        <w:t>споры об установлении авторства изобретения или промышленного образца, полезной модели), а н</w:t>
      </w:r>
      <w:r w:rsidR="00EC1A78" w:rsidRPr="00EC1A78">
        <w:rPr>
          <w:rFonts w:eastAsiaTheme="minorHAnsi"/>
          <w:sz w:val="22"/>
          <w:szCs w:val="22"/>
          <w:lang w:eastAsia="en-US"/>
        </w:rPr>
        <w:t>е</w:t>
      </w:r>
      <w:r w:rsidR="00EC1A78" w:rsidRPr="00EC1A78">
        <w:rPr>
          <w:rFonts w:eastAsiaTheme="minorHAnsi"/>
          <w:sz w:val="22"/>
          <w:szCs w:val="22"/>
          <w:lang w:eastAsia="en-US"/>
        </w:rPr>
        <w:t>которые категории  споров рассматривается Судом по интеллект</w:t>
      </w:r>
      <w:r w:rsidR="00EC1A78" w:rsidRPr="00EC1A78">
        <w:rPr>
          <w:rFonts w:eastAsiaTheme="minorHAnsi"/>
          <w:sz w:val="22"/>
          <w:szCs w:val="22"/>
          <w:lang w:eastAsia="en-US"/>
        </w:rPr>
        <w:t>у</w:t>
      </w:r>
      <w:r w:rsidR="00EC1A78" w:rsidRPr="00EC1A78">
        <w:rPr>
          <w:rFonts w:eastAsiaTheme="minorHAnsi"/>
          <w:sz w:val="22"/>
          <w:szCs w:val="22"/>
          <w:lang w:eastAsia="en-US"/>
        </w:rPr>
        <w:t>альным правам исключительно в кассационном порядке.</w:t>
      </w: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lastRenderedPageBreak/>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Попов С.С. Проблемы становления Суда по интеллектуал</w:t>
      </w:r>
      <w:r w:rsidRPr="00EC1A78">
        <w:rPr>
          <w:rFonts w:eastAsiaTheme="minorHAnsi"/>
          <w:sz w:val="22"/>
          <w:szCs w:val="22"/>
          <w:lang w:eastAsia="en-US"/>
        </w:rPr>
        <w:t>ь</w:t>
      </w:r>
      <w:r w:rsidRPr="00EC1A78">
        <w:rPr>
          <w:rFonts w:eastAsiaTheme="minorHAnsi"/>
          <w:sz w:val="22"/>
          <w:szCs w:val="22"/>
          <w:lang w:eastAsia="en-US"/>
        </w:rPr>
        <w:t xml:space="preserve">ным правам в России [1] </w:t>
      </w:r>
      <w:r w:rsidRPr="00EC1A78">
        <w:rPr>
          <w:rFonts w:eastAsiaTheme="minorHAnsi"/>
          <w:sz w:val="22"/>
          <w:szCs w:val="22"/>
          <w:lang w:val="en-US" w:eastAsia="en-US"/>
        </w:rPr>
        <w:t>URL</w:t>
      </w:r>
      <w:r w:rsidRPr="00EC1A78">
        <w:rPr>
          <w:rFonts w:eastAsiaTheme="minorHAnsi"/>
          <w:sz w:val="22"/>
          <w:szCs w:val="22"/>
          <w:lang w:eastAsia="en-US"/>
        </w:rPr>
        <w:t>: https: // cyberleninka.ru/article/n/problemy–stanovleniya–suda–po–ntellektualnym –pravam– v–rossii</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Руднев В. Специализированные федеральные суды [Эле</w:t>
      </w:r>
      <w:r w:rsidRPr="00EC1A78">
        <w:rPr>
          <w:rFonts w:eastAsiaTheme="minorHAnsi"/>
          <w:sz w:val="22"/>
          <w:szCs w:val="22"/>
          <w:lang w:eastAsia="en-US"/>
        </w:rPr>
        <w:t>к</w:t>
      </w:r>
      <w:r w:rsidRPr="00EC1A78">
        <w:rPr>
          <w:rFonts w:eastAsiaTheme="minorHAnsi"/>
          <w:sz w:val="22"/>
          <w:szCs w:val="22"/>
          <w:lang w:eastAsia="en-US"/>
        </w:rPr>
        <w:t>тронный ресурс ]//</w:t>
      </w:r>
      <w:r w:rsidRPr="00EC1A78">
        <w:rPr>
          <w:rFonts w:eastAsiaTheme="minorHAnsi"/>
          <w:sz w:val="22"/>
          <w:szCs w:val="22"/>
          <w:lang w:val="en-US" w:eastAsia="en-US"/>
        </w:rPr>
        <w:t>URL</w:t>
      </w:r>
      <w:r w:rsidRPr="00EC1A78">
        <w:rPr>
          <w:rFonts w:eastAsiaTheme="minorHAnsi"/>
          <w:sz w:val="22"/>
          <w:szCs w:val="22"/>
          <w:lang w:eastAsia="en-US"/>
        </w:rPr>
        <w:t>: https://www.lawmix.ru/comm/6980</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w:t>
      </w:r>
      <w:r w:rsidRPr="00EC1A78">
        <w:rPr>
          <w:sz w:val="21"/>
          <w:szCs w:val="21"/>
        </w:rPr>
        <w:t xml:space="preserve"> </w:t>
      </w:r>
      <w:r w:rsidRPr="00EC1A78">
        <w:rPr>
          <w:rFonts w:eastAsiaTheme="minorHAnsi"/>
          <w:sz w:val="22"/>
          <w:szCs w:val="22"/>
          <w:lang w:eastAsia="en-US"/>
        </w:rPr>
        <w:t>Федеральный конституционный закон от 28.04.1995 N 1–ФКЗ Об арбитражных судах в Российской Федерации  (ред. от 15.02.2016)//[Электронный ресурс] Официальный интернет–портал правовой информации http://www.pravo.gov.ru – 28.03.2017.</w:t>
      </w:r>
    </w:p>
    <w:p w:rsidR="00EC1A78" w:rsidRDefault="00EC1A78" w:rsidP="00EC1A78">
      <w:pPr>
        <w:jc w:val="both"/>
        <w:rPr>
          <w:rFonts w:eastAsiaTheme="minorHAnsi"/>
          <w:sz w:val="22"/>
          <w:szCs w:val="22"/>
          <w:lang w:eastAsia="en-US"/>
        </w:rPr>
      </w:pPr>
    </w:p>
    <w:p w:rsidR="00EB2EB8" w:rsidRPr="00EC1A78" w:rsidRDefault="00EB2EB8" w:rsidP="00EC1A78">
      <w:pPr>
        <w:jc w:val="both"/>
        <w:rPr>
          <w:rFonts w:eastAsiaTheme="minorHAnsi"/>
          <w:sz w:val="22"/>
          <w:szCs w:val="22"/>
          <w:lang w:eastAsia="en-US"/>
        </w:rPr>
      </w:pPr>
    </w:p>
    <w:p w:rsidR="00EC1A78" w:rsidRPr="00EB2EB8" w:rsidRDefault="00EC1A78" w:rsidP="00EC1A78">
      <w:pPr>
        <w:jc w:val="both"/>
        <w:rPr>
          <w:rFonts w:eastAsia="Calibri"/>
          <w:b/>
          <w:sz w:val="22"/>
          <w:szCs w:val="22"/>
          <w:lang w:eastAsia="en-US"/>
        </w:rPr>
      </w:pPr>
      <w:r w:rsidRPr="00EB2EB8">
        <w:rPr>
          <w:rFonts w:eastAsia="Calibri"/>
          <w:sz w:val="22"/>
          <w:szCs w:val="22"/>
          <w:lang w:eastAsia="en-US"/>
        </w:rPr>
        <w:t>УДК 342.33</w:t>
      </w:r>
    </w:p>
    <w:p w:rsidR="00EC1A78" w:rsidRPr="00EC1A78" w:rsidRDefault="00EC1A78" w:rsidP="00EC1A78">
      <w:pPr>
        <w:rPr>
          <w:rFonts w:eastAsia="Calibri"/>
          <w:b/>
          <w:sz w:val="24"/>
          <w:szCs w:val="24"/>
          <w:lang w:eastAsia="en-US"/>
        </w:rPr>
      </w:pPr>
    </w:p>
    <w:p w:rsidR="00EC1A78" w:rsidRPr="00EC1A78" w:rsidRDefault="00EC1A78" w:rsidP="00EC1A78">
      <w:pPr>
        <w:jc w:val="center"/>
        <w:rPr>
          <w:rFonts w:eastAsia="Calibri"/>
          <w:b/>
          <w:sz w:val="24"/>
          <w:szCs w:val="24"/>
          <w:lang w:eastAsia="en-US"/>
        </w:rPr>
      </w:pPr>
      <w:r w:rsidRPr="00EC1A78">
        <w:rPr>
          <w:rFonts w:eastAsia="Calibri"/>
          <w:b/>
          <w:sz w:val="24"/>
          <w:szCs w:val="24"/>
          <w:lang w:eastAsia="en-US"/>
        </w:rPr>
        <w:t>Принцип разделения властей как основа конституционн</w:t>
      </w:r>
      <w:r w:rsidRPr="00EC1A78">
        <w:rPr>
          <w:rFonts w:eastAsia="Calibri"/>
          <w:b/>
          <w:sz w:val="24"/>
          <w:szCs w:val="24"/>
          <w:lang w:eastAsia="en-US"/>
        </w:rPr>
        <w:t>о</w:t>
      </w:r>
      <w:r w:rsidRPr="00EC1A78">
        <w:rPr>
          <w:rFonts w:eastAsia="Calibri"/>
          <w:b/>
          <w:sz w:val="24"/>
          <w:szCs w:val="24"/>
          <w:lang w:eastAsia="en-US"/>
        </w:rPr>
        <w:t>го строя Российской Федерации</w:t>
      </w:r>
    </w:p>
    <w:p w:rsidR="00EC1A78" w:rsidRPr="00EC1A78" w:rsidRDefault="00EC1A78" w:rsidP="00EC1A78">
      <w:pPr>
        <w:jc w:val="center"/>
        <w:rPr>
          <w:rFonts w:eastAsia="Calibri"/>
          <w:b/>
          <w:sz w:val="24"/>
          <w:szCs w:val="24"/>
          <w:lang w:val="en-US" w:eastAsia="en-US"/>
        </w:rPr>
      </w:pPr>
      <w:r w:rsidRPr="00EC1A78">
        <w:rPr>
          <w:rFonts w:eastAsia="Calibri"/>
          <w:b/>
          <w:sz w:val="24"/>
          <w:szCs w:val="24"/>
          <w:lang w:val="en-US" w:eastAsia="en-US"/>
        </w:rPr>
        <w:t xml:space="preserve">The principle of separation of powers as a basis </w:t>
      </w:r>
      <w:r w:rsidR="00EB2EB8" w:rsidRPr="00EB2EB8">
        <w:rPr>
          <w:rFonts w:eastAsia="Calibri"/>
          <w:b/>
          <w:sz w:val="24"/>
          <w:szCs w:val="24"/>
          <w:lang w:val="en-US" w:eastAsia="en-US"/>
        </w:rPr>
        <w:br/>
      </w:r>
      <w:r w:rsidRPr="00EC1A78">
        <w:rPr>
          <w:rFonts w:eastAsia="Calibri"/>
          <w:b/>
          <w:sz w:val="24"/>
          <w:szCs w:val="24"/>
          <w:lang w:val="en" w:eastAsia="en-US"/>
        </w:rPr>
        <w:t>of the constitutional system of the Russian Federation</w:t>
      </w:r>
    </w:p>
    <w:p w:rsidR="00EC1A78" w:rsidRPr="00EC1A78" w:rsidRDefault="00EC1A78" w:rsidP="00EC1A78">
      <w:pPr>
        <w:jc w:val="right"/>
        <w:rPr>
          <w:rFonts w:eastAsia="Calibri"/>
          <w:sz w:val="22"/>
          <w:szCs w:val="22"/>
          <w:lang w:val="en-US" w:eastAsia="en-US"/>
        </w:rPr>
      </w:pP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Кинякин В.</w:t>
      </w:r>
      <w:r w:rsidR="00EB2EB8">
        <w:rPr>
          <w:rFonts w:eastAsia="Calibri"/>
          <w:sz w:val="22"/>
          <w:szCs w:val="22"/>
          <w:lang w:eastAsia="en-US"/>
        </w:rPr>
        <w:t xml:space="preserve"> </w:t>
      </w:r>
      <w:r w:rsidRPr="00EC1A78">
        <w:rPr>
          <w:rFonts w:eastAsia="Calibri"/>
          <w:sz w:val="22"/>
          <w:szCs w:val="22"/>
          <w:lang w:eastAsia="en-US"/>
        </w:rPr>
        <w:t>Д.,</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студент 1-го курса юридического факультета</w:t>
      </w:r>
    </w:p>
    <w:p w:rsidR="00EC1A78" w:rsidRPr="00EC1A78" w:rsidRDefault="00EC1A78" w:rsidP="00EC1A78">
      <w:pPr>
        <w:jc w:val="right"/>
        <w:rPr>
          <w:rFonts w:eastAsia="Calibri"/>
          <w:sz w:val="22"/>
          <w:szCs w:val="24"/>
          <w:lang w:eastAsia="en-US"/>
        </w:rPr>
      </w:pPr>
      <w:r w:rsidRPr="00EC1A78">
        <w:rPr>
          <w:rFonts w:eastAsia="Calibri"/>
          <w:sz w:val="22"/>
          <w:szCs w:val="24"/>
          <w:lang w:eastAsia="en-US"/>
        </w:rPr>
        <w:t>Бутурлина Е.</w:t>
      </w:r>
      <w:r w:rsidR="00EB2EB8">
        <w:rPr>
          <w:rFonts w:eastAsia="Calibri"/>
          <w:sz w:val="22"/>
          <w:szCs w:val="24"/>
          <w:lang w:eastAsia="en-US"/>
        </w:rPr>
        <w:t xml:space="preserve"> </w:t>
      </w:r>
      <w:r w:rsidRPr="00EC1A78">
        <w:rPr>
          <w:rFonts w:eastAsia="Calibri"/>
          <w:sz w:val="22"/>
          <w:szCs w:val="24"/>
          <w:lang w:eastAsia="en-US"/>
        </w:rPr>
        <w:t>С.,</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доцент кафедры государственного</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 xml:space="preserve"> и международного права</w:t>
      </w:r>
    </w:p>
    <w:p w:rsidR="00EC1A78" w:rsidRPr="00EC1A78" w:rsidRDefault="00EC1A78" w:rsidP="00EC1A78">
      <w:pPr>
        <w:widowControl w:val="0"/>
        <w:tabs>
          <w:tab w:val="left" w:pos="8223"/>
        </w:tabs>
        <w:jc w:val="right"/>
        <w:rPr>
          <w:rFonts w:eastAsia="Calibri"/>
          <w:sz w:val="22"/>
          <w:szCs w:val="22"/>
          <w:lang w:eastAsia="en-US"/>
        </w:rPr>
      </w:pPr>
      <w:r w:rsidRPr="00EC1A78">
        <w:rPr>
          <w:rFonts w:eastAsia="Calibri"/>
          <w:sz w:val="22"/>
          <w:szCs w:val="22"/>
          <w:lang w:eastAsia="en-US"/>
        </w:rPr>
        <w:t>Кубанский государственный аграрный</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alibri"/>
          <w:sz w:val="22"/>
          <w:szCs w:val="22"/>
          <w:lang w:eastAsia="en-US"/>
        </w:rPr>
        <w:t>университет</w:t>
      </w:r>
      <w:r w:rsidRPr="00EC1A78">
        <w:rPr>
          <w:rFonts w:eastAsia="Courier New"/>
          <w:color w:val="000000"/>
          <w:sz w:val="22"/>
          <w:szCs w:val="22"/>
          <w:lang w:eastAsia="en-US"/>
        </w:rPr>
        <w:t xml:space="preserve"> имени И.</w:t>
      </w:r>
      <w:r w:rsidR="00EB2EB8">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jc w:val="right"/>
        <w:rPr>
          <w:rFonts w:eastAsia="Calibri"/>
          <w:sz w:val="22"/>
          <w:szCs w:val="22"/>
          <w:lang w:eastAsia="en-US"/>
        </w:rPr>
      </w:pP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АННОТАЦИЯ. Рассмотрена роль принципа разделения властей в структуре конституционного строя Российской Федерации. Пр</w:t>
      </w:r>
      <w:r w:rsidRPr="00EC1A78">
        <w:rPr>
          <w:rFonts w:eastAsia="Calibri"/>
          <w:sz w:val="22"/>
          <w:szCs w:val="24"/>
          <w:lang w:eastAsia="en-US"/>
        </w:rPr>
        <w:t>о</w:t>
      </w:r>
      <w:r w:rsidRPr="00EC1A78">
        <w:rPr>
          <w:rFonts w:eastAsia="Calibri"/>
          <w:sz w:val="22"/>
          <w:szCs w:val="24"/>
          <w:lang w:eastAsia="en-US"/>
        </w:rPr>
        <w:t>анализированы полномочия ветвей власти и их компетенция по р</w:t>
      </w:r>
      <w:r w:rsidRPr="00EC1A78">
        <w:rPr>
          <w:rFonts w:eastAsia="Calibri"/>
          <w:sz w:val="22"/>
          <w:szCs w:val="24"/>
          <w:lang w:eastAsia="en-US"/>
        </w:rPr>
        <w:t>е</w:t>
      </w:r>
      <w:r w:rsidRPr="00EC1A78">
        <w:rPr>
          <w:rFonts w:eastAsia="Calibri"/>
          <w:sz w:val="22"/>
          <w:szCs w:val="24"/>
          <w:lang w:eastAsia="en-US"/>
        </w:rPr>
        <w:t>ализации основ конституционного строя Российской Федерации.</w:t>
      </w:r>
    </w:p>
    <w:p w:rsidR="00EC1A78" w:rsidRPr="00EC1A78" w:rsidRDefault="00EC1A78" w:rsidP="00EC1A78">
      <w:pPr>
        <w:ind w:firstLine="425"/>
        <w:jc w:val="both"/>
        <w:rPr>
          <w:rFonts w:eastAsia="Calibri"/>
          <w:sz w:val="22"/>
          <w:szCs w:val="24"/>
          <w:lang w:val="en-US" w:eastAsia="en-US"/>
        </w:rPr>
      </w:pPr>
      <w:r w:rsidRPr="00EC1A78">
        <w:rPr>
          <w:rFonts w:eastAsia="Calibri"/>
          <w:sz w:val="22"/>
          <w:szCs w:val="24"/>
          <w:lang w:val="en-US" w:eastAsia="en-US"/>
        </w:rPr>
        <w:t>ABSTRACT. The role of separation principles in the structure of the constitutional system of the Russian Federation is considered. The powers of the branches of power and their competence in implementing the foundations of the constitutional system of the Russian Federation are analyzed.</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lastRenderedPageBreak/>
        <w:t>КЛЮЧЕВЫЕ СЛОВА: разделение властей, государство, Пр</w:t>
      </w:r>
      <w:r w:rsidRPr="00EC1A78">
        <w:rPr>
          <w:rFonts w:eastAsia="Calibri"/>
          <w:sz w:val="22"/>
          <w:szCs w:val="24"/>
          <w:lang w:eastAsia="en-US"/>
        </w:rPr>
        <w:t>е</w:t>
      </w:r>
      <w:r w:rsidRPr="00EC1A78">
        <w:rPr>
          <w:rFonts w:eastAsia="Calibri"/>
          <w:sz w:val="22"/>
          <w:szCs w:val="24"/>
          <w:lang w:eastAsia="en-US"/>
        </w:rPr>
        <w:t>зидент РФ, конституция, законодательная власть, судебная власть, исполнительная власть, ветвь власти.</w:t>
      </w:r>
    </w:p>
    <w:p w:rsidR="00EC1A78" w:rsidRPr="00EC1A78" w:rsidRDefault="00EC1A78" w:rsidP="00EC1A78">
      <w:pPr>
        <w:ind w:firstLine="425"/>
        <w:jc w:val="both"/>
        <w:rPr>
          <w:rFonts w:eastAsia="Calibri"/>
          <w:sz w:val="22"/>
          <w:szCs w:val="24"/>
          <w:lang w:val="en-US" w:eastAsia="en-US"/>
        </w:rPr>
      </w:pPr>
      <w:r w:rsidRPr="00EC1A78">
        <w:rPr>
          <w:rFonts w:eastAsia="Calibri"/>
          <w:sz w:val="22"/>
          <w:szCs w:val="24"/>
          <w:lang w:val="en-US" w:eastAsia="en-US"/>
        </w:rPr>
        <w:t>KEYWORDS: separation of powers, the state, the President of</w:t>
      </w:r>
    </w:p>
    <w:p w:rsidR="00EC1A78" w:rsidRPr="00EC1A78" w:rsidRDefault="00EC1A78" w:rsidP="00EC1A78">
      <w:pPr>
        <w:ind w:firstLine="425"/>
        <w:jc w:val="both"/>
        <w:rPr>
          <w:rFonts w:eastAsia="Calibri"/>
          <w:sz w:val="22"/>
          <w:szCs w:val="24"/>
          <w:lang w:val="en-US" w:eastAsia="en-US"/>
        </w:rPr>
      </w:pPr>
      <w:r w:rsidRPr="00EC1A78">
        <w:rPr>
          <w:rFonts w:eastAsia="Calibri"/>
          <w:sz w:val="22"/>
          <w:szCs w:val="24"/>
          <w:lang w:val="en-US" w:eastAsia="en-US"/>
        </w:rPr>
        <w:t>the Russian Federation, the constitution, the legislative branch, the judiciary, the executive branch, the branch of power.</w:t>
      </w:r>
    </w:p>
    <w:p w:rsidR="00EC1A78" w:rsidRPr="00EC1A78" w:rsidRDefault="00EC1A78" w:rsidP="00EC1A78">
      <w:pPr>
        <w:ind w:firstLine="425"/>
        <w:jc w:val="both"/>
        <w:rPr>
          <w:rFonts w:eastAsia="Calibri"/>
          <w:sz w:val="22"/>
          <w:szCs w:val="24"/>
          <w:lang w:val="en-US" w:eastAsia="en-US"/>
        </w:rPr>
      </w:pP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Принцип разделения властей – это один из основных и ва</w:t>
      </w:r>
      <w:r w:rsidRPr="00EC1A78">
        <w:rPr>
          <w:rFonts w:eastAsia="Calibri"/>
          <w:sz w:val="22"/>
          <w:szCs w:val="24"/>
          <w:lang w:eastAsia="en-US"/>
        </w:rPr>
        <w:t>ж</w:t>
      </w:r>
      <w:r w:rsidRPr="00EC1A78">
        <w:rPr>
          <w:rFonts w:eastAsia="Calibri"/>
          <w:sz w:val="22"/>
          <w:szCs w:val="24"/>
          <w:lang w:eastAsia="en-US"/>
        </w:rPr>
        <w:t>нейших принципов или основ конституционного строя, содержан</w:t>
      </w:r>
      <w:r w:rsidRPr="00EC1A78">
        <w:rPr>
          <w:rFonts w:eastAsia="Calibri"/>
          <w:sz w:val="22"/>
          <w:szCs w:val="24"/>
          <w:lang w:eastAsia="en-US"/>
        </w:rPr>
        <w:t>и</w:t>
      </w:r>
      <w:r w:rsidRPr="00EC1A78">
        <w:rPr>
          <w:rFonts w:eastAsia="Calibri"/>
          <w:sz w:val="22"/>
          <w:szCs w:val="24"/>
          <w:lang w:eastAsia="en-US"/>
        </w:rPr>
        <w:t>ем которого является деление государственной  власти на три с</w:t>
      </w:r>
      <w:r w:rsidRPr="00EC1A78">
        <w:rPr>
          <w:rFonts w:eastAsia="Calibri"/>
          <w:sz w:val="22"/>
          <w:szCs w:val="24"/>
          <w:lang w:eastAsia="en-US"/>
        </w:rPr>
        <w:t>о</w:t>
      </w:r>
      <w:r w:rsidRPr="00EC1A78">
        <w:rPr>
          <w:rFonts w:eastAsia="Calibri"/>
          <w:sz w:val="22"/>
          <w:szCs w:val="24"/>
          <w:lang w:eastAsia="en-US"/>
        </w:rPr>
        <w:t>ставляющие, то есть три самостоятельные ветви: законодательную, исполнительную и судебную. В Российской Федерации данный принцип установлен статьей 10 Конституции Российский Федер</w:t>
      </w:r>
      <w:r w:rsidRPr="00EC1A78">
        <w:rPr>
          <w:rFonts w:eastAsia="Calibri"/>
          <w:sz w:val="22"/>
          <w:szCs w:val="24"/>
          <w:lang w:eastAsia="en-US"/>
        </w:rPr>
        <w:t>а</w:t>
      </w:r>
      <w:r w:rsidRPr="00EC1A78">
        <w:rPr>
          <w:rFonts w:eastAsia="Calibri"/>
          <w:sz w:val="22"/>
          <w:szCs w:val="24"/>
          <w:lang w:eastAsia="en-US"/>
        </w:rPr>
        <w:t xml:space="preserve">ции (далее – Конституция РФ). </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Закрепление данного принципа необходимо для поддержания целостности государства, невозможности сосредоточения всей по</w:t>
      </w:r>
      <w:r w:rsidRPr="00EC1A78">
        <w:rPr>
          <w:rFonts w:eastAsia="Calibri"/>
          <w:sz w:val="22"/>
          <w:szCs w:val="24"/>
          <w:lang w:eastAsia="en-US"/>
        </w:rPr>
        <w:t>л</w:t>
      </w:r>
      <w:r w:rsidRPr="00EC1A78">
        <w:rPr>
          <w:rFonts w:eastAsia="Calibri"/>
          <w:sz w:val="22"/>
          <w:szCs w:val="24"/>
          <w:lang w:eastAsia="en-US"/>
        </w:rPr>
        <w:t>ноты власти в руках одного лица или органа, гарантирования с</w:t>
      </w:r>
      <w:r w:rsidRPr="00EC1A78">
        <w:rPr>
          <w:rFonts w:eastAsia="Calibri"/>
          <w:sz w:val="22"/>
          <w:szCs w:val="24"/>
          <w:lang w:eastAsia="en-US"/>
        </w:rPr>
        <w:t>о</w:t>
      </w:r>
      <w:r w:rsidRPr="00EC1A78">
        <w:rPr>
          <w:rFonts w:eastAsia="Calibri"/>
          <w:sz w:val="22"/>
          <w:szCs w:val="24"/>
          <w:lang w:eastAsia="en-US"/>
        </w:rPr>
        <w:t xml:space="preserve">блюдения прав и свобод человека и гражданина. </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Основополагающей особенностью данного принципа является тот факт, что все  государственные органы, осуществляющие гос</w:t>
      </w:r>
      <w:r w:rsidRPr="00EC1A78">
        <w:rPr>
          <w:rFonts w:eastAsia="Calibri"/>
          <w:sz w:val="22"/>
          <w:szCs w:val="24"/>
          <w:lang w:eastAsia="en-US"/>
        </w:rPr>
        <w:t>у</w:t>
      </w:r>
      <w:r w:rsidRPr="00EC1A78">
        <w:rPr>
          <w:rFonts w:eastAsia="Calibri"/>
          <w:sz w:val="22"/>
          <w:szCs w:val="24"/>
          <w:lang w:eastAsia="en-US"/>
        </w:rPr>
        <w:t xml:space="preserve">дарственную власть функционируют исключительно в рамках своей собственной компетенции, но при условии тесной взаимосвязи с целью достижения общих целей. И именно поэтому они составляют единый государственный организм. </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Для понимания разберем общее понятие каждой из ветвей вл</w:t>
      </w:r>
      <w:r w:rsidRPr="00EC1A78">
        <w:rPr>
          <w:rFonts w:eastAsia="Calibri"/>
          <w:sz w:val="22"/>
          <w:szCs w:val="24"/>
          <w:lang w:eastAsia="en-US"/>
        </w:rPr>
        <w:t>а</w:t>
      </w:r>
      <w:r w:rsidRPr="00EC1A78">
        <w:rPr>
          <w:rFonts w:eastAsia="Calibri"/>
          <w:sz w:val="22"/>
          <w:szCs w:val="24"/>
          <w:lang w:eastAsia="en-US"/>
        </w:rPr>
        <w:t xml:space="preserve">сти: </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а) законодательная власть, в которой  Федеральное Собрание – это высший, постоянно действующий орган государства, имеющий возможность путём использования своих полномочий издавать о</w:t>
      </w:r>
      <w:r w:rsidRPr="00EC1A78">
        <w:rPr>
          <w:rFonts w:eastAsia="Calibri"/>
          <w:sz w:val="22"/>
          <w:szCs w:val="24"/>
          <w:lang w:eastAsia="en-US"/>
        </w:rPr>
        <w:t>б</w:t>
      </w:r>
      <w:r w:rsidRPr="00EC1A78">
        <w:rPr>
          <w:rFonts w:eastAsia="Calibri"/>
          <w:sz w:val="22"/>
          <w:szCs w:val="24"/>
          <w:lang w:eastAsia="en-US"/>
        </w:rPr>
        <w:t>ладающие вышей юридической силой нормативно-правовые акты – законы, таким образом, создавая нормативную базу для деятельн</w:t>
      </w:r>
      <w:r w:rsidRPr="00EC1A78">
        <w:rPr>
          <w:rFonts w:eastAsia="Calibri"/>
          <w:sz w:val="22"/>
          <w:szCs w:val="24"/>
          <w:lang w:eastAsia="en-US"/>
        </w:rPr>
        <w:t>о</w:t>
      </w:r>
      <w:r w:rsidRPr="00EC1A78">
        <w:rPr>
          <w:rFonts w:eastAsia="Calibri"/>
          <w:sz w:val="22"/>
          <w:szCs w:val="24"/>
          <w:lang w:eastAsia="en-US"/>
        </w:rPr>
        <w:t>сти всех органов государственной власти. Также, имеется возмо</w:t>
      </w:r>
      <w:r w:rsidRPr="00EC1A78">
        <w:rPr>
          <w:rFonts w:eastAsia="Calibri"/>
          <w:sz w:val="22"/>
          <w:szCs w:val="24"/>
          <w:lang w:eastAsia="en-US"/>
        </w:rPr>
        <w:t>ж</w:t>
      </w:r>
      <w:r w:rsidRPr="00EC1A78">
        <w:rPr>
          <w:rFonts w:eastAsia="Calibri"/>
          <w:sz w:val="22"/>
          <w:szCs w:val="24"/>
          <w:lang w:eastAsia="en-US"/>
        </w:rPr>
        <w:t xml:space="preserve">ность влиять парламентскими методами на органы исполнительной власти (постановка вопроса о доверии Правительству; ежегодный отчет Правительства перед Госдумой); </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б) исполнительная власть – это ветвь государственной власти осуществляющая деятельность по обеспечению реализации законов и подзаконных актов в различных сферах жизнедеятельности общ</w:t>
      </w:r>
      <w:r w:rsidRPr="00EC1A78">
        <w:rPr>
          <w:rFonts w:eastAsia="Calibri"/>
          <w:sz w:val="22"/>
          <w:szCs w:val="24"/>
          <w:lang w:eastAsia="en-US"/>
        </w:rPr>
        <w:t>е</w:t>
      </w:r>
      <w:r w:rsidRPr="00EC1A78">
        <w:rPr>
          <w:rFonts w:eastAsia="Calibri"/>
          <w:sz w:val="22"/>
          <w:szCs w:val="24"/>
          <w:lang w:eastAsia="en-US"/>
        </w:rPr>
        <w:lastRenderedPageBreak/>
        <w:t>ства и государства. Однако, существует право законодательной инициативы, обязательность участия Правительства РФ в разрабо</w:t>
      </w:r>
      <w:r w:rsidRPr="00EC1A78">
        <w:rPr>
          <w:rFonts w:eastAsia="Calibri"/>
          <w:sz w:val="22"/>
          <w:szCs w:val="24"/>
          <w:lang w:eastAsia="en-US"/>
        </w:rPr>
        <w:t>т</w:t>
      </w:r>
      <w:r w:rsidRPr="00EC1A78">
        <w:rPr>
          <w:rFonts w:eastAsia="Calibri"/>
          <w:sz w:val="22"/>
          <w:szCs w:val="24"/>
          <w:lang w:eastAsia="en-US"/>
        </w:rPr>
        <w:t>ке так называемых финансово ёмких законопроектов, требующих привлечения дополнительных средств из федерального бюджета. Взаимодействие законодательной и исполнительной власти проя</w:t>
      </w:r>
      <w:r w:rsidRPr="00EC1A78">
        <w:rPr>
          <w:rFonts w:eastAsia="Calibri"/>
          <w:sz w:val="22"/>
          <w:szCs w:val="24"/>
          <w:lang w:eastAsia="en-US"/>
        </w:rPr>
        <w:t>в</w:t>
      </w:r>
      <w:r w:rsidRPr="00EC1A78">
        <w:rPr>
          <w:rFonts w:eastAsia="Calibri"/>
          <w:sz w:val="22"/>
          <w:szCs w:val="24"/>
          <w:lang w:eastAsia="en-US"/>
        </w:rPr>
        <w:t>ляется в возможности выражения Госдумой недоверия Правител</w:t>
      </w:r>
      <w:r w:rsidRPr="00EC1A78">
        <w:rPr>
          <w:rFonts w:eastAsia="Calibri"/>
          <w:sz w:val="22"/>
          <w:szCs w:val="24"/>
          <w:lang w:eastAsia="en-US"/>
        </w:rPr>
        <w:t>ь</w:t>
      </w:r>
      <w:r w:rsidRPr="00EC1A78">
        <w:rPr>
          <w:rFonts w:eastAsia="Calibri"/>
          <w:sz w:val="22"/>
          <w:szCs w:val="24"/>
          <w:lang w:eastAsia="en-US"/>
        </w:rPr>
        <w:t>ству РФ. В свою очередь  это право сбалансировано правом роспу</w:t>
      </w:r>
      <w:r w:rsidRPr="00EC1A78">
        <w:rPr>
          <w:rFonts w:eastAsia="Calibri"/>
          <w:sz w:val="22"/>
          <w:szCs w:val="24"/>
          <w:lang w:eastAsia="en-US"/>
        </w:rPr>
        <w:t>с</w:t>
      </w:r>
      <w:r w:rsidRPr="00EC1A78">
        <w:rPr>
          <w:rFonts w:eastAsia="Calibri"/>
          <w:sz w:val="22"/>
          <w:szCs w:val="24"/>
          <w:lang w:eastAsia="en-US"/>
        </w:rPr>
        <w:t>ка законодательного органа главой государства;</w:t>
      </w:r>
    </w:p>
    <w:p w:rsidR="00EC1A78" w:rsidRPr="00EC1A78" w:rsidRDefault="00EC1A78" w:rsidP="00EC1A78">
      <w:pPr>
        <w:ind w:firstLine="425"/>
        <w:jc w:val="both"/>
        <w:rPr>
          <w:rFonts w:eastAsia="Calibri"/>
          <w:sz w:val="22"/>
          <w:szCs w:val="24"/>
          <w:lang w:eastAsia="en-US"/>
        </w:rPr>
      </w:pPr>
      <w:r w:rsidRPr="00EC1A78">
        <w:rPr>
          <w:rFonts w:eastAsia="Calibri"/>
          <w:sz w:val="22"/>
          <w:szCs w:val="24"/>
          <w:lang w:eastAsia="en-US"/>
        </w:rPr>
        <w:t>в) судебная власть – это самостоятельная и независимая ветвь власти, осуществляемая судами в установленном законом порядке, посредством установленного судопроизводства.  В системе разд</w:t>
      </w:r>
      <w:r w:rsidRPr="00EC1A78">
        <w:rPr>
          <w:rFonts w:eastAsia="Calibri"/>
          <w:sz w:val="22"/>
          <w:szCs w:val="24"/>
          <w:lang w:eastAsia="en-US"/>
        </w:rPr>
        <w:t>е</w:t>
      </w:r>
      <w:r w:rsidRPr="00EC1A78">
        <w:rPr>
          <w:rFonts w:eastAsia="Calibri"/>
          <w:sz w:val="22"/>
          <w:szCs w:val="24"/>
          <w:lang w:eastAsia="en-US"/>
        </w:rPr>
        <w:t>ления властей особое место занимает Конституционный Суд РФ, так как ему принадлежат такие полномочия как разрешение вопр</w:t>
      </w:r>
      <w:r w:rsidRPr="00EC1A78">
        <w:rPr>
          <w:rFonts w:eastAsia="Calibri"/>
          <w:sz w:val="22"/>
          <w:szCs w:val="24"/>
          <w:lang w:eastAsia="en-US"/>
        </w:rPr>
        <w:t>о</w:t>
      </w:r>
      <w:r w:rsidRPr="00EC1A78">
        <w:rPr>
          <w:rFonts w:eastAsia="Calibri"/>
          <w:sz w:val="22"/>
          <w:szCs w:val="24"/>
          <w:lang w:eastAsia="en-US"/>
        </w:rPr>
        <w:t>сов о соответствии федеральных законов, указов Президента, п</w:t>
      </w:r>
      <w:r w:rsidRPr="00EC1A78">
        <w:rPr>
          <w:rFonts w:eastAsia="Calibri"/>
          <w:sz w:val="22"/>
          <w:szCs w:val="24"/>
          <w:lang w:eastAsia="en-US"/>
        </w:rPr>
        <w:t>о</w:t>
      </w:r>
      <w:r w:rsidRPr="00EC1A78">
        <w:rPr>
          <w:rFonts w:eastAsia="Calibri"/>
          <w:sz w:val="22"/>
          <w:szCs w:val="24"/>
          <w:lang w:eastAsia="en-US"/>
        </w:rPr>
        <w:t>становлений Правительства Конституции РФ, разрешение споров о компетенции между федеральными органами государственной вл</w:t>
      </w:r>
      <w:r w:rsidRPr="00EC1A78">
        <w:rPr>
          <w:rFonts w:eastAsia="Calibri"/>
          <w:sz w:val="22"/>
          <w:szCs w:val="24"/>
          <w:lang w:eastAsia="en-US"/>
        </w:rPr>
        <w:t>а</w:t>
      </w:r>
      <w:r w:rsidRPr="00EC1A78">
        <w:rPr>
          <w:rFonts w:eastAsia="Calibri"/>
          <w:sz w:val="22"/>
          <w:szCs w:val="24"/>
          <w:lang w:eastAsia="en-US"/>
        </w:rPr>
        <w:t>сти, а также толкование Конституции РФ.</w:t>
      </w:r>
    </w:p>
    <w:p w:rsidR="00EC1A78" w:rsidRPr="00EC1A78" w:rsidRDefault="00EC1A78" w:rsidP="00EB2EB8">
      <w:pPr>
        <w:ind w:firstLine="425"/>
        <w:jc w:val="both"/>
        <w:rPr>
          <w:rFonts w:eastAsia="Calibri"/>
          <w:sz w:val="22"/>
          <w:szCs w:val="24"/>
          <w:lang w:eastAsia="en-US"/>
        </w:rPr>
      </w:pPr>
      <w:r w:rsidRPr="00EC1A78">
        <w:rPr>
          <w:rFonts w:eastAsia="Calibri"/>
          <w:sz w:val="22"/>
          <w:szCs w:val="24"/>
          <w:lang w:eastAsia="en-US"/>
        </w:rPr>
        <w:t>Таким образом, можно сделать вывод о следующих чертах принципа разделения властей как основы конституционного строя Российской Федерации:</w:t>
      </w:r>
    </w:p>
    <w:p w:rsidR="00EC1A78" w:rsidRPr="00EC1A78" w:rsidRDefault="00EC1A78" w:rsidP="00EB2EB8">
      <w:pPr>
        <w:numPr>
          <w:ilvl w:val="0"/>
          <w:numId w:val="111"/>
        </w:numPr>
        <w:ind w:left="0" w:firstLine="425"/>
        <w:contextualSpacing/>
        <w:jc w:val="both"/>
        <w:rPr>
          <w:rFonts w:eastAsia="Calibri"/>
          <w:sz w:val="22"/>
          <w:szCs w:val="24"/>
          <w:lang w:eastAsia="en-US"/>
        </w:rPr>
      </w:pPr>
      <w:r w:rsidRPr="00EC1A78">
        <w:rPr>
          <w:rFonts w:eastAsia="Calibri"/>
          <w:sz w:val="22"/>
          <w:szCs w:val="24"/>
          <w:lang w:eastAsia="en-US"/>
        </w:rPr>
        <w:t>нормативные акты, обладающие высшей юридической с</w:t>
      </w:r>
      <w:r w:rsidRPr="00EC1A78">
        <w:rPr>
          <w:rFonts w:eastAsia="Calibri"/>
          <w:sz w:val="22"/>
          <w:szCs w:val="24"/>
          <w:lang w:eastAsia="en-US"/>
        </w:rPr>
        <w:t>и</w:t>
      </w:r>
      <w:r w:rsidRPr="00EC1A78">
        <w:rPr>
          <w:rFonts w:eastAsia="Calibri"/>
          <w:sz w:val="22"/>
          <w:szCs w:val="24"/>
          <w:lang w:eastAsia="en-US"/>
        </w:rPr>
        <w:t>лой должны издаваться только законодательным органом власти;</w:t>
      </w:r>
    </w:p>
    <w:p w:rsidR="00EC1A78" w:rsidRPr="00EC1A78" w:rsidRDefault="00EC1A78" w:rsidP="00EB2EB8">
      <w:pPr>
        <w:numPr>
          <w:ilvl w:val="0"/>
          <w:numId w:val="111"/>
        </w:numPr>
        <w:ind w:left="0" w:firstLine="425"/>
        <w:contextualSpacing/>
        <w:jc w:val="both"/>
        <w:rPr>
          <w:rFonts w:eastAsia="Calibri"/>
          <w:sz w:val="22"/>
          <w:szCs w:val="24"/>
          <w:lang w:eastAsia="en-US"/>
        </w:rPr>
      </w:pPr>
      <w:r w:rsidRPr="00EC1A78">
        <w:rPr>
          <w:rFonts w:eastAsia="Calibri"/>
          <w:sz w:val="22"/>
          <w:szCs w:val="24"/>
          <w:lang w:eastAsia="en-US"/>
        </w:rPr>
        <w:t>исполнительная власть должна заниматься в большей части исполнением законов, быть подотчетной главе государства;</w:t>
      </w:r>
    </w:p>
    <w:p w:rsidR="00EC1A78" w:rsidRPr="00EC1A78" w:rsidRDefault="00EC1A78" w:rsidP="00EB2EB8">
      <w:pPr>
        <w:numPr>
          <w:ilvl w:val="0"/>
          <w:numId w:val="111"/>
        </w:numPr>
        <w:ind w:left="0" w:firstLine="425"/>
        <w:contextualSpacing/>
        <w:jc w:val="both"/>
        <w:rPr>
          <w:rFonts w:eastAsia="Calibri"/>
          <w:sz w:val="22"/>
          <w:szCs w:val="24"/>
          <w:lang w:eastAsia="en-US"/>
        </w:rPr>
      </w:pPr>
      <w:r w:rsidRPr="00EC1A78">
        <w:rPr>
          <w:rFonts w:eastAsia="Calibri"/>
          <w:sz w:val="22"/>
          <w:szCs w:val="24"/>
          <w:lang w:eastAsia="en-US"/>
        </w:rPr>
        <w:t>между законодательным и исполнительным органом должен существовать баланс полномочий, исключающий слияние этих ве</w:t>
      </w:r>
      <w:r w:rsidRPr="00EC1A78">
        <w:rPr>
          <w:rFonts w:eastAsia="Calibri"/>
          <w:sz w:val="22"/>
          <w:szCs w:val="24"/>
          <w:lang w:eastAsia="en-US"/>
        </w:rPr>
        <w:t>т</w:t>
      </w:r>
      <w:r w:rsidRPr="00EC1A78">
        <w:rPr>
          <w:rFonts w:eastAsia="Calibri"/>
          <w:sz w:val="22"/>
          <w:szCs w:val="24"/>
          <w:lang w:eastAsia="en-US"/>
        </w:rPr>
        <w:t>вей власти;</w:t>
      </w:r>
    </w:p>
    <w:p w:rsidR="00EC1A78" w:rsidRPr="00EC1A78" w:rsidRDefault="00EC1A78" w:rsidP="00EB2EB8">
      <w:pPr>
        <w:numPr>
          <w:ilvl w:val="0"/>
          <w:numId w:val="111"/>
        </w:numPr>
        <w:ind w:left="0" w:firstLine="425"/>
        <w:contextualSpacing/>
        <w:jc w:val="both"/>
        <w:rPr>
          <w:rFonts w:eastAsia="Calibri"/>
          <w:sz w:val="22"/>
          <w:szCs w:val="24"/>
          <w:lang w:eastAsia="en-US"/>
        </w:rPr>
      </w:pPr>
      <w:r w:rsidRPr="00EC1A78">
        <w:rPr>
          <w:rFonts w:eastAsia="Calibri"/>
          <w:sz w:val="22"/>
          <w:szCs w:val="24"/>
          <w:lang w:eastAsia="en-US"/>
        </w:rPr>
        <w:t>судебная власть независима и действует в пределах своей компетенции;</w:t>
      </w:r>
    </w:p>
    <w:p w:rsidR="00EB2EB8" w:rsidRPr="006478C4" w:rsidRDefault="00EC1A78" w:rsidP="00EC1A78">
      <w:pPr>
        <w:numPr>
          <w:ilvl w:val="0"/>
          <w:numId w:val="111"/>
        </w:numPr>
        <w:ind w:left="0" w:firstLine="425"/>
        <w:contextualSpacing/>
        <w:jc w:val="both"/>
        <w:rPr>
          <w:rFonts w:eastAsia="Calibri"/>
          <w:sz w:val="22"/>
          <w:szCs w:val="24"/>
          <w:lang w:eastAsia="en-US"/>
        </w:rPr>
      </w:pPr>
      <w:r w:rsidRPr="00EC1A78">
        <w:rPr>
          <w:rFonts w:eastAsia="Calibri"/>
          <w:sz w:val="22"/>
          <w:szCs w:val="24"/>
          <w:lang w:eastAsia="en-US"/>
        </w:rPr>
        <w:t>ни одна из ветвей власти не должна вмешиваться в пределы компетенции других.</w:t>
      </w:r>
    </w:p>
    <w:p w:rsidR="00560F00" w:rsidRDefault="00560F00" w:rsidP="00EC1A78">
      <w:pPr>
        <w:rPr>
          <w:color w:val="000000"/>
          <w:sz w:val="22"/>
          <w:szCs w:val="22"/>
        </w:rPr>
      </w:pPr>
    </w:p>
    <w:p w:rsidR="00560F00" w:rsidRDefault="00560F00" w:rsidP="00EC1A78">
      <w:pPr>
        <w:rPr>
          <w:color w:val="000000"/>
          <w:sz w:val="22"/>
          <w:szCs w:val="22"/>
        </w:rPr>
      </w:pPr>
    </w:p>
    <w:p w:rsidR="00560F00" w:rsidRDefault="00560F00" w:rsidP="00EC1A78">
      <w:pPr>
        <w:rPr>
          <w:color w:val="000000"/>
          <w:sz w:val="22"/>
          <w:szCs w:val="22"/>
        </w:rPr>
      </w:pPr>
    </w:p>
    <w:p w:rsidR="00560F00" w:rsidRDefault="00560F00" w:rsidP="00EC1A78">
      <w:pPr>
        <w:rPr>
          <w:color w:val="000000"/>
          <w:sz w:val="22"/>
          <w:szCs w:val="22"/>
        </w:rPr>
      </w:pPr>
    </w:p>
    <w:p w:rsidR="00560F00" w:rsidRDefault="00560F00" w:rsidP="00EC1A78">
      <w:pPr>
        <w:rPr>
          <w:color w:val="000000"/>
          <w:sz w:val="22"/>
          <w:szCs w:val="22"/>
        </w:rPr>
      </w:pPr>
    </w:p>
    <w:p w:rsidR="00560F00" w:rsidRDefault="00560F00" w:rsidP="00EC1A78">
      <w:pPr>
        <w:rPr>
          <w:color w:val="000000"/>
          <w:sz w:val="22"/>
          <w:szCs w:val="22"/>
        </w:rPr>
      </w:pPr>
    </w:p>
    <w:p w:rsidR="00EC1A78" w:rsidRPr="00EC1A78" w:rsidRDefault="00EC1A78" w:rsidP="00EC1A78">
      <w:pPr>
        <w:rPr>
          <w:color w:val="000000"/>
          <w:sz w:val="22"/>
          <w:szCs w:val="22"/>
        </w:rPr>
      </w:pPr>
      <w:r w:rsidRPr="00EC1A78">
        <w:rPr>
          <w:color w:val="000000"/>
          <w:sz w:val="22"/>
          <w:szCs w:val="22"/>
        </w:rPr>
        <w:lastRenderedPageBreak/>
        <w:t xml:space="preserve">УДК 343.10 </w:t>
      </w:r>
    </w:p>
    <w:p w:rsidR="00EC1A78" w:rsidRPr="00EC1A78" w:rsidRDefault="00EC1A78" w:rsidP="00EC1A78">
      <w:pPr>
        <w:rPr>
          <w:color w:val="000000"/>
          <w:sz w:val="22"/>
          <w:szCs w:val="22"/>
        </w:rPr>
      </w:pPr>
    </w:p>
    <w:p w:rsidR="00EC1A78" w:rsidRPr="00EC1A78" w:rsidRDefault="00EC1A78" w:rsidP="00EC1A78">
      <w:pPr>
        <w:jc w:val="center"/>
        <w:rPr>
          <w:b/>
          <w:color w:val="000000"/>
          <w:sz w:val="24"/>
          <w:szCs w:val="24"/>
        </w:rPr>
      </w:pPr>
      <w:r w:rsidRPr="00EC1A78">
        <w:rPr>
          <w:b/>
          <w:color w:val="000000"/>
          <w:sz w:val="24"/>
          <w:szCs w:val="24"/>
        </w:rPr>
        <w:t xml:space="preserve">Понятие и содержание заключения эксперта </w:t>
      </w:r>
    </w:p>
    <w:p w:rsidR="00EC1A78" w:rsidRPr="00EC1A78" w:rsidRDefault="00EC1A78" w:rsidP="00EC1A78">
      <w:pPr>
        <w:jc w:val="center"/>
        <w:rPr>
          <w:b/>
          <w:color w:val="000000"/>
          <w:sz w:val="24"/>
          <w:szCs w:val="24"/>
          <w:lang w:val="en-US"/>
        </w:rPr>
      </w:pPr>
      <w:r w:rsidRPr="00EC1A78">
        <w:rPr>
          <w:b/>
          <w:color w:val="000000"/>
          <w:sz w:val="24"/>
          <w:szCs w:val="24"/>
        </w:rPr>
        <w:t>в</w:t>
      </w:r>
      <w:r w:rsidRPr="00EC1A78">
        <w:rPr>
          <w:b/>
          <w:color w:val="000000"/>
          <w:sz w:val="24"/>
          <w:szCs w:val="24"/>
          <w:lang w:val="en-US"/>
        </w:rPr>
        <w:t xml:space="preserve"> </w:t>
      </w:r>
      <w:r w:rsidRPr="00EC1A78">
        <w:rPr>
          <w:b/>
          <w:color w:val="000000"/>
          <w:sz w:val="24"/>
          <w:szCs w:val="24"/>
        </w:rPr>
        <w:t>уголовном</w:t>
      </w:r>
      <w:r w:rsidRPr="00EC1A78">
        <w:rPr>
          <w:b/>
          <w:color w:val="000000"/>
          <w:sz w:val="24"/>
          <w:szCs w:val="24"/>
          <w:lang w:val="en-US"/>
        </w:rPr>
        <w:t xml:space="preserve"> </w:t>
      </w:r>
      <w:r w:rsidRPr="00EC1A78">
        <w:rPr>
          <w:b/>
          <w:color w:val="000000"/>
          <w:sz w:val="24"/>
          <w:szCs w:val="24"/>
        </w:rPr>
        <w:t>процессе</w:t>
      </w:r>
    </w:p>
    <w:p w:rsidR="00EC1A78" w:rsidRPr="00EC1A78" w:rsidRDefault="00EC1A78" w:rsidP="00EC1A78">
      <w:pPr>
        <w:jc w:val="center"/>
        <w:rPr>
          <w:b/>
          <w:color w:val="000000"/>
          <w:sz w:val="24"/>
          <w:szCs w:val="24"/>
          <w:lang w:val="en-US"/>
        </w:rPr>
      </w:pPr>
      <w:r w:rsidRPr="00EC1A78">
        <w:rPr>
          <w:b/>
          <w:color w:val="000000"/>
          <w:sz w:val="24"/>
          <w:szCs w:val="24"/>
          <w:lang w:val="en-US"/>
        </w:rPr>
        <w:t xml:space="preserve">The concept and content of expert opinion </w:t>
      </w:r>
    </w:p>
    <w:p w:rsidR="00EC1A78" w:rsidRPr="00EC1A78" w:rsidRDefault="00EC1A78" w:rsidP="00EC1A78">
      <w:pPr>
        <w:jc w:val="center"/>
        <w:rPr>
          <w:b/>
          <w:color w:val="000000"/>
          <w:sz w:val="24"/>
          <w:szCs w:val="24"/>
          <w:lang w:val="en-US"/>
        </w:rPr>
      </w:pPr>
      <w:r w:rsidRPr="00EC1A78">
        <w:rPr>
          <w:b/>
          <w:color w:val="000000"/>
          <w:sz w:val="24"/>
          <w:szCs w:val="24"/>
          <w:lang w:val="en-US"/>
        </w:rPr>
        <w:t>in criminal proceedings</w:t>
      </w:r>
    </w:p>
    <w:p w:rsidR="00EC1A78" w:rsidRPr="00EC1A78" w:rsidRDefault="00EC1A78" w:rsidP="00EC1A78">
      <w:pPr>
        <w:jc w:val="center"/>
        <w:rPr>
          <w:b/>
          <w:color w:val="000000"/>
          <w:sz w:val="24"/>
          <w:szCs w:val="24"/>
          <w:lang w:val="en-US"/>
        </w:rPr>
      </w:pPr>
    </w:p>
    <w:p w:rsidR="00EC1A78" w:rsidRPr="00EC1A78" w:rsidRDefault="00EC1A78" w:rsidP="00EC1A78">
      <w:pPr>
        <w:jc w:val="right"/>
        <w:rPr>
          <w:color w:val="000000"/>
          <w:sz w:val="22"/>
          <w:szCs w:val="22"/>
          <w:lang w:val="en-US"/>
        </w:rPr>
      </w:pPr>
      <w:r w:rsidRPr="00EC1A78">
        <w:rPr>
          <w:color w:val="000000"/>
          <w:sz w:val="22"/>
          <w:szCs w:val="22"/>
        </w:rPr>
        <w:t>Кирдин</w:t>
      </w:r>
      <w:r w:rsidRPr="00EC1A78">
        <w:rPr>
          <w:color w:val="000000"/>
          <w:sz w:val="22"/>
          <w:szCs w:val="22"/>
          <w:lang w:val="en-US"/>
        </w:rPr>
        <w:t xml:space="preserve"> </w:t>
      </w:r>
      <w:r w:rsidRPr="00EC1A78">
        <w:rPr>
          <w:color w:val="000000"/>
          <w:sz w:val="22"/>
          <w:szCs w:val="22"/>
        </w:rPr>
        <w:t>В</w:t>
      </w:r>
      <w:r w:rsidRPr="00EC1A78">
        <w:rPr>
          <w:color w:val="000000"/>
          <w:sz w:val="22"/>
          <w:szCs w:val="22"/>
          <w:lang w:val="en-US"/>
        </w:rPr>
        <w:t>.</w:t>
      </w:r>
      <w:r w:rsidR="00EB2EB8" w:rsidRPr="00E62E4B">
        <w:rPr>
          <w:color w:val="000000"/>
          <w:sz w:val="22"/>
          <w:szCs w:val="22"/>
          <w:lang w:val="en-US"/>
        </w:rPr>
        <w:t xml:space="preserve"> </w:t>
      </w:r>
      <w:r w:rsidRPr="00EC1A78">
        <w:rPr>
          <w:color w:val="000000"/>
          <w:sz w:val="22"/>
          <w:szCs w:val="22"/>
        </w:rPr>
        <w:t>А</w:t>
      </w:r>
      <w:r w:rsidRPr="00EC1A78">
        <w:rPr>
          <w:color w:val="000000"/>
          <w:sz w:val="22"/>
          <w:szCs w:val="22"/>
          <w:lang w:val="en-US"/>
        </w:rPr>
        <w:t>.,</w:t>
      </w:r>
    </w:p>
    <w:p w:rsidR="00EC1A78" w:rsidRPr="00EC1A78" w:rsidRDefault="00EC1A78" w:rsidP="00EC1A78">
      <w:pPr>
        <w:jc w:val="right"/>
        <w:rPr>
          <w:color w:val="000000"/>
          <w:sz w:val="22"/>
          <w:szCs w:val="22"/>
        </w:rPr>
      </w:pPr>
      <w:r w:rsidRPr="00EC1A78">
        <w:rPr>
          <w:color w:val="000000"/>
          <w:sz w:val="22"/>
          <w:szCs w:val="22"/>
        </w:rPr>
        <w:t>магистрант 2-го курса юридического факультета</w:t>
      </w:r>
    </w:p>
    <w:p w:rsidR="00EC1A78" w:rsidRPr="00EC1A78" w:rsidRDefault="00EC1A78" w:rsidP="00EC1A78">
      <w:pPr>
        <w:jc w:val="right"/>
        <w:rPr>
          <w:color w:val="000000"/>
          <w:sz w:val="22"/>
          <w:szCs w:val="22"/>
        </w:rPr>
      </w:pPr>
      <w:r w:rsidRPr="00EC1A78">
        <w:rPr>
          <w:color w:val="000000"/>
          <w:sz w:val="22"/>
          <w:szCs w:val="22"/>
        </w:rPr>
        <w:t>Савельева Н.</w:t>
      </w:r>
      <w:r w:rsidR="00EB2EB8">
        <w:rPr>
          <w:color w:val="000000"/>
          <w:sz w:val="22"/>
          <w:szCs w:val="22"/>
        </w:rPr>
        <w:t xml:space="preserve"> </w:t>
      </w:r>
      <w:r w:rsidRPr="00EC1A78">
        <w:rPr>
          <w:color w:val="000000"/>
          <w:sz w:val="22"/>
          <w:szCs w:val="22"/>
        </w:rPr>
        <w:t>В.,</w:t>
      </w:r>
    </w:p>
    <w:p w:rsidR="00EC1A78" w:rsidRPr="00EC1A78" w:rsidRDefault="00EC1A78" w:rsidP="00EC1A78">
      <w:pPr>
        <w:jc w:val="right"/>
        <w:rPr>
          <w:color w:val="000000"/>
          <w:sz w:val="22"/>
          <w:szCs w:val="22"/>
        </w:rPr>
      </w:pPr>
      <w:r w:rsidRPr="00EC1A78">
        <w:rPr>
          <w:color w:val="000000"/>
          <w:sz w:val="22"/>
          <w:szCs w:val="22"/>
        </w:rPr>
        <w:t>доцент кафедры уголовного процесса</w:t>
      </w:r>
    </w:p>
    <w:p w:rsidR="00EC1A78" w:rsidRPr="00EC1A78" w:rsidRDefault="00EC1A78" w:rsidP="00EC1A78">
      <w:pPr>
        <w:jc w:val="right"/>
        <w:rPr>
          <w:color w:val="000000"/>
          <w:sz w:val="22"/>
          <w:szCs w:val="22"/>
        </w:rPr>
      </w:pPr>
      <w:r w:rsidRPr="00EC1A78">
        <w:rPr>
          <w:color w:val="000000"/>
          <w:sz w:val="22"/>
          <w:szCs w:val="22"/>
        </w:rPr>
        <w:t>Кубанский государственный аграрный</w:t>
      </w:r>
    </w:p>
    <w:p w:rsidR="00EC1A78" w:rsidRPr="00EC1A78" w:rsidRDefault="00EC1A78" w:rsidP="00EC1A78">
      <w:pPr>
        <w:jc w:val="right"/>
        <w:rPr>
          <w:color w:val="000000"/>
          <w:sz w:val="22"/>
          <w:szCs w:val="22"/>
        </w:rPr>
      </w:pPr>
      <w:r w:rsidRPr="00EC1A78">
        <w:rPr>
          <w:color w:val="000000"/>
          <w:sz w:val="22"/>
          <w:szCs w:val="22"/>
        </w:rPr>
        <w:t>университет имени И.</w:t>
      </w:r>
      <w:r w:rsidR="00EB2EB8">
        <w:rPr>
          <w:color w:val="000000"/>
          <w:sz w:val="22"/>
          <w:szCs w:val="22"/>
        </w:rPr>
        <w:t xml:space="preserve"> </w:t>
      </w:r>
      <w:r w:rsidRPr="00EC1A78">
        <w:rPr>
          <w:color w:val="000000"/>
          <w:sz w:val="22"/>
          <w:szCs w:val="22"/>
        </w:rPr>
        <w:t>Т. Трубилина</w:t>
      </w:r>
    </w:p>
    <w:p w:rsidR="00EC1A78" w:rsidRPr="00EC1A78" w:rsidRDefault="00EC1A78" w:rsidP="00EC1A78">
      <w:pPr>
        <w:ind w:firstLine="426"/>
        <w:jc w:val="both"/>
        <w:rPr>
          <w:color w:val="000000"/>
          <w:sz w:val="22"/>
          <w:szCs w:val="22"/>
        </w:rPr>
      </w:pPr>
    </w:p>
    <w:p w:rsidR="00EC1A78" w:rsidRPr="00EC1A78" w:rsidRDefault="00EC1A78" w:rsidP="00EC1A78">
      <w:pPr>
        <w:ind w:firstLine="426"/>
        <w:jc w:val="both"/>
        <w:rPr>
          <w:color w:val="000000"/>
          <w:sz w:val="22"/>
          <w:szCs w:val="22"/>
        </w:rPr>
      </w:pPr>
      <w:r w:rsidRPr="00EC1A78">
        <w:rPr>
          <w:color w:val="000000"/>
          <w:sz w:val="22"/>
          <w:szCs w:val="22"/>
        </w:rPr>
        <w:t>АННОТАЦИЯ: в основе заключения эксперта должно соде</w:t>
      </w:r>
      <w:r w:rsidRPr="00EC1A78">
        <w:rPr>
          <w:color w:val="000000"/>
          <w:sz w:val="22"/>
          <w:szCs w:val="22"/>
        </w:rPr>
        <w:t>р</w:t>
      </w:r>
      <w:r w:rsidRPr="00EC1A78">
        <w:rPr>
          <w:color w:val="000000"/>
          <w:sz w:val="22"/>
          <w:szCs w:val="22"/>
        </w:rPr>
        <w:t>жаться научное исследование, которое проводится в соответствии с утвержденными и прошедшими апробацию на практике методик</w:t>
      </w:r>
      <w:r w:rsidRPr="00EC1A78">
        <w:rPr>
          <w:color w:val="000000"/>
          <w:sz w:val="22"/>
          <w:szCs w:val="22"/>
        </w:rPr>
        <w:t>а</w:t>
      </w:r>
      <w:r w:rsidRPr="00EC1A78">
        <w:rPr>
          <w:color w:val="000000"/>
          <w:sz w:val="22"/>
          <w:szCs w:val="22"/>
        </w:rPr>
        <w:t>ми.</w:t>
      </w:r>
    </w:p>
    <w:p w:rsidR="00EC1A78" w:rsidRPr="00EC1A78" w:rsidRDefault="00EC1A78" w:rsidP="00EC1A78">
      <w:pPr>
        <w:ind w:firstLine="426"/>
        <w:jc w:val="both"/>
        <w:rPr>
          <w:color w:val="000000"/>
          <w:sz w:val="22"/>
          <w:szCs w:val="22"/>
          <w:lang w:val="en-US"/>
        </w:rPr>
      </w:pPr>
      <w:r w:rsidRPr="00EC1A78">
        <w:rPr>
          <w:sz w:val="22"/>
          <w:szCs w:val="22"/>
          <w:lang w:val="en-US"/>
        </w:rPr>
        <w:t>ANNOTATION</w:t>
      </w:r>
      <w:r w:rsidRPr="00EC1A78">
        <w:rPr>
          <w:color w:val="000000"/>
          <w:sz w:val="22"/>
          <w:szCs w:val="22"/>
          <w:lang w:val="en-US"/>
        </w:rPr>
        <w:t xml:space="preserve">: </w:t>
      </w:r>
      <w:r w:rsidRPr="00EC1A78">
        <w:rPr>
          <w:sz w:val="22"/>
          <w:szCs w:val="22"/>
          <w:shd w:val="clear" w:color="auto" w:fill="FFFFFF"/>
          <w:lang w:val="en-US"/>
        </w:rPr>
        <w:t>the basis of the expert's report should contain a scientific study that is conducted in accordance with approved and have been tested in practice methods</w:t>
      </w:r>
      <w:r w:rsidRPr="00EC1A78">
        <w:rPr>
          <w:color w:val="333333"/>
          <w:sz w:val="22"/>
          <w:szCs w:val="22"/>
          <w:shd w:val="clear" w:color="auto" w:fill="FFFFFF"/>
          <w:lang w:val="en-US"/>
        </w:rPr>
        <w:t>.</w:t>
      </w:r>
    </w:p>
    <w:p w:rsidR="00EC1A78" w:rsidRPr="00EC1A78" w:rsidRDefault="00EC1A78" w:rsidP="00EC1A78">
      <w:pPr>
        <w:ind w:firstLine="426"/>
        <w:jc w:val="both"/>
        <w:rPr>
          <w:color w:val="000000"/>
          <w:sz w:val="22"/>
          <w:szCs w:val="22"/>
        </w:rPr>
      </w:pPr>
      <w:r w:rsidRPr="00EC1A78">
        <w:rPr>
          <w:color w:val="000000"/>
          <w:sz w:val="22"/>
          <w:szCs w:val="22"/>
        </w:rPr>
        <w:t>КЛЮЧЕВЫЕ СЛОВА: судебная экспертиза, заключение эк</w:t>
      </w:r>
      <w:r w:rsidRPr="00EC1A78">
        <w:rPr>
          <w:color w:val="000000"/>
          <w:sz w:val="22"/>
          <w:szCs w:val="22"/>
        </w:rPr>
        <w:t>с</w:t>
      </w:r>
      <w:r w:rsidRPr="00EC1A78">
        <w:rPr>
          <w:color w:val="000000"/>
          <w:sz w:val="22"/>
          <w:szCs w:val="22"/>
        </w:rPr>
        <w:t>перта, научное исследование, судебная методика, выводы эксперта</w:t>
      </w:r>
    </w:p>
    <w:p w:rsidR="00EC1A78" w:rsidRPr="00EC1A78" w:rsidRDefault="00EC1A78" w:rsidP="00EC1A78">
      <w:pPr>
        <w:ind w:firstLine="426"/>
        <w:jc w:val="both"/>
        <w:rPr>
          <w:sz w:val="22"/>
          <w:szCs w:val="22"/>
          <w:shd w:val="clear" w:color="auto" w:fill="FFFFFF"/>
          <w:lang w:val="en-US"/>
        </w:rPr>
      </w:pPr>
      <w:r w:rsidRPr="00EC1A78">
        <w:rPr>
          <w:color w:val="000000"/>
          <w:sz w:val="22"/>
          <w:szCs w:val="22"/>
          <w:lang w:val="en-US"/>
        </w:rPr>
        <w:t xml:space="preserve">KEY WORDS: </w:t>
      </w:r>
      <w:r w:rsidRPr="00EC1A78">
        <w:rPr>
          <w:sz w:val="22"/>
          <w:szCs w:val="22"/>
          <w:shd w:val="clear" w:color="auto" w:fill="FFFFFF"/>
          <w:lang w:val="en-US"/>
        </w:rPr>
        <w:t>forensic examination, expert opinion, scientific r</w:t>
      </w:r>
      <w:r w:rsidRPr="00EC1A78">
        <w:rPr>
          <w:sz w:val="22"/>
          <w:szCs w:val="22"/>
          <w:shd w:val="clear" w:color="auto" w:fill="FFFFFF"/>
          <w:lang w:val="en-US"/>
        </w:rPr>
        <w:t>e</w:t>
      </w:r>
      <w:r w:rsidRPr="00EC1A78">
        <w:rPr>
          <w:sz w:val="22"/>
          <w:szCs w:val="22"/>
          <w:shd w:val="clear" w:color="auto" w:fill="FFFFFF"/>
          <w:lang w:val="en-US"/>
        </w:rPr>
        <w:t>search, judicial methodology, expert conclusions</w:t>
      </w:r>
    </w:p>
    <w:p w:rsidR="00EC1A78" w:rsidRPr="00EC1A78" w:rsidRDefault="00EC1A78" w:rsidP="00EC1A78">
      <w:pPr>
        <w:ind w:firstLine="426"/>
        <w:rPr>
          <w:sz w:val="22"/>
          <w:szCs w:val="22"/>
          <w:lang w:val="en-US"/>
        </w:rPr>
      </w:pPr>
    </w:p>
    <w:p w:rsidR="00EC1A78" w:rsidRPr="00EC1A78" w:rsidRDefault="00EC1A78" w:rsidP="00EC1A78">
      <w:pPr>
        <w:ind w:firstLine="426"/>
        <w:jc w:val="both"/>
        <w:rPr>
          <w:sz w:val="22"/>
          <w:szCs w:val="22"/>
        </w:rPr>
      </w:pPr>
      <w:r w:rsidRPr="00EC1A78">
        <w:rPr>
          <w:sz w:val="22"/>
          <w:szCs w:val="22"/>
        </w:rPr>
        <w:t>Не смотря на нормативное закрепление в УПК  РФ понятия «заключение эксперта»,  в науке уголовного процесса, встречаются различные мнения о понятии и содержании заключения эксперта, его специфике и отличии от заключения специалиста. В настоящее время и ученые и практики единодушны в том, что в основе прои</w:t>
      </w:r>
      <w:r w:rsidRPr="00EC1A78">
        <w:rPr>
          <w:sz w:val="22"/>
          <w:szCs w:val="22"/>
        </w:rPr>
        <w:t>з</w:t>
      </w:r>
      <w:r w:rsidRPr="00EC1A78">
        <w:rPr>
          <w:sz w:val="22"/>
          <w:szCs w:val="22"/>
        </w:rPr>
        <w:t>водства судебной экспертизы, лежит научное исследование, пров</w:t>
      </w:r>
      <w:r w:rsidRPr="00EC1A78">
        <w:rPr>
          <w:sz w:val="22"/>
          <w:szCs w:val="22"/>
        </w:rPr>
        <w:t>о</w:t>
      </w:r>
      <w:r w:rsidRPr="00EC1A78">
        <w:rPr>
          <w:sz w:val="22"/>
          <w:szCs w:val="22"/>
        </w:rPr>
        <w:t>димое непосредственно экспертом, на основе специальных знаний. На это указывает и Верховный Суд в своем постановлении[1].</w:t>
      </w:r>
    </w:p>
    <w:p w:rsidR="00EC1A78" w:rsidRPr="00EC1A78" w:rsidRDefault="00EC1A78" w:rsidP="00EC1A78">
      <w:pPr>
        <w:ind w:firstLine="426"/>
        <w:jc w:val="both"/>
        <w:rPr>
          <w:sz w:val="22"/>
          <w:szCs w:val="22"/>
        </w:rPr>
      </w:pPr>
      <w:r w:rsidRPr="00EC1A78">
        <w:rPr>
          <w:sz w:val="22"/>
          <w:szCs w:val="22"/>
        </w:rPr>
        <w:t>Причина в разграничении понятий заключение эксперта и з</w:t>
      </w:r>
      <w:r w:rsidRPr="00EC1A78">
        <w:rPr>
          <w:sz w:val="22"/>
          <w:szCs w:val="22"/>
        </w:rPr>
        <w:t>а</w:t>
      </w:r>
      <w:r w:rsidRPr="00EC1A78">
        <w:rPr>
          <w:sz w:val="22"/>
          <w:szCs w:val="22"/>
        </w:rPr>
        <w:t>ключение специалиста по нашему мнению заключается в том, что отсутствует единое понимание, что такое научное исследование.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Под научным исследованием в философии понимается процесс выработки новых знаний, который определяется, как принято, об</w:t>
      </w:r>
      <w:r w:rsidRPr="00EC1A78">
        <w:rPr>
          <w:rFonts w:eastAsiaTheme="minorHAnsi"/>
          <w:sz w:val="22"/>
          <w:szCs w:val="22"/>
          <w:lang w:eastAsia="en-US"/>
        </w:rPr>
        <w:t>ъ</w:t>
      </w:r>
      <w:r w:rsidRPr="00EC1A78">
        <w:rPr>
          <w:rFonts w:eastAsiaTheme="minorHAnsi"/>
          <w:sz w:val="22"/>
          <w:szCs w:val="22"/>
          <w:lang w:eastAsia="en-US"/>
        </w:rPr>
        <w:t>ективностью, воспроизводимостью, доказательственностью, точн</w:t>
      </w:r>
      <w:r w:rsidRPr="00EC1A78">
        <w:rPr>
          <w:rFonts w:eastAsiaTheme="minorHAnsi"/>
          <w:sz w:val="22"/>
          <w:szCs w:val="22"/>
          <w:lang w:eastAsia="en-US"/>
        </w:rPr>
        <w:t>о</w:t>
      </w:r>
      <w:r w:rsidRPr="00EC1A78">
        <w:rPr>
          <w:rFonts w:eastAsiaTheme="minorHAnsi"/>
          <w:sz w:val="22"/>
          <w:szCs w:val="22"/>
          <w:lang w:eastAsia="en-US"/>
        </w:rPr>
        <w:t>стью[2].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Процесс экспертного исследования, как и любого другого научного исследования сложен и многогранен. Он включает в себя несколько логически взаимосвязанных, последовательных этапов, каждый из них несет в себе определенную информацию, которая в течение всего исследования постоянно пополняется и в конечном счете трансформируется в новое знание[3].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Научное исследование  эксперта, осуществляется не в любом порядке, а в соответствии с разработанными, утвержденными и прошедшими апробацию на практике методиками. В этом на наш взгляд и состоит главное отличие научного исследования от позн</w:t>
      </w:r>
      <w:r w:rsidRPr="00EC1A78">
        <w:rPr>
          <w:rFonts w:eastAsiaTheme="minorHAnsi"/>
          <w:sz w:val="22"/>
          <w:szCs w:val="22"/>
          <w:lang w:eastAsia="en-US"/>
        </w:rPr>
        <w:t>а</w:t>
      </w:r>
      <w:r w:rsidRPr="00EC1A78">
        <w:rPr>
          <w:rFonts w:eastAsiaTheme="minorHAnsi"/>
          <w:sz w:val="22"/>
          <w:szCs w:val="22"/>
          <w:lang w:eastAsia="en-US"/>
        </w:rPr>
        <w:t>вательной деятельности специалиста в ходе формирования им су</w:t>
      </w:r>
      <w:r w:rsidRPr="00EC1A78">
        <w:rPr>
          <w:rFonts w:eastAsiaTheme="minorHAnsi"/>
          <w:sz w:val="22"/>
          <w:szCs w:val="22"/>
          <w:lang w:eastAsia="en-US"/>
        </w:rPr>
        <w:t>ж</w:t>
      </w:r>
      <w:r w:rsidRPr="00EC1A78">
        <w:rPr>
          <w:rFonts w:eastAsiaTheme="minorHAnsi"/>
          <w:sz w:val="22"/>
          <w:szCs w:val="22"/>
          <w:lang w:eastAsia="en-US"/>
        </w:rPr>
        <w:t xml:space="preserve">дения, которое лежит в основе заключения специалиста.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Под экспертной методикой А.Р.Шляхов понимает следующее: «Методика каждого вида судебной экспертизы – это система мет</w:t>
      </w:r>
      <w:r w:rsidRPr="00EC1A78">
        <w:rPr>
          <w:rFonts w:eastAsiaTheme="minorHAnsi"/>
          <w:sz w:val="22"/>
          <w:szCs w:val="22"/>
          <w:lang w:eastAsia="en-US"/>
        </w:rPr>
        <w:t>о</w:t>
      </w:r>
      <w:r w:rsidRPr="00EC1A78">
        <w:rPr>
          <w:rFonts w:eastAsiaTheme="minorHAnsi"/>
          <w:sz w:val="22"/>
          <w:szCs w:val="22"/>
          <w:lang w:eastAsia="en-US"/>
        </w:rPr>
        <w:t>дов, приемов и технических средств, применяемых для решения конкретных задач в определенной последовательности и учитыв</w:t>
      </w:r>
      <w:r w:rsidRPr="00EC1A78">
        <w:rPr>
          <w:rFonts w:eastAsiaTheme="minorHAnsi"/>
          <w:sz w:val="22"/>
          <w:szCs w:val="22"/>
          <w:lang w:eastAsia="en-US"/>
        </w:rPr>
        <w:t>а</w:t>
      </w:r>
      <w:r w:rsidRPr="00EC1A78">
        <w:rPr>
          <w:rFonts w:eastAsiaTheme="minorHAnsi"/>
          <w:sz w:val="22"/>
          <w:szCs w:val="22"/>
          <w:lang w:eastAsia="en-US"/>
        </w:rPr>
        <w:t>ющая специфику решаемых вопросов и исследуемых вещественных доказательств»[4].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Многими учеными справедливо поднималась проблема отсу</w:t>
      </w:r>
      <w:r w:rsidRPr="00EC1A78">
        <w:rPr>
          <w:rFonts w:eastAsiaTheme="minorHAnsi"/>
          <w:sz w:val="22"/>
          <w:szCs w:val="22"/>
          <w:lang w:eastAsia="en-US"/>
        </w:rPr>
        <w:t>т</w:t>
      </w:r>
      <w:r w:rsidRPr="00EC1A78">
        <w:rPr>
          <w:rFonts w:eastAsiaTheme="minorHAnsi"/>
          <w:sz w:val="22"/>
          <w:szCs w:val="22"/>
          <w:lang w:eastAsia="en-US"/>
        </w:rPr>
        <w:t>ствия возможности проверить и оценить достоверность заключения эксперта.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Одной из причин этого, на наш взгляд является не полное и не точное описание в заключении эксперта хода своего исследования и применение всех методов исследования.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Статья 204 УПК РФ только в общем виде содержит требования, предъявляемые к содержанию заключении эксперта. Более подро</w:t>
      </w:r>
      <w:r w:rsidRPr="00EC1A78">
        <w:rPr>
          <w:rFonts w:eastAsiaTheme="minorHAnsi"/>
          <w:sz w:val="22"/>
          <w:szCs w:val="22"/>
          <w:lang w:eastAsia="en-US"/>
        </w:rPr>
        <w:t>б</w:t>
      </w:r>
      <w:r w:rsidRPr="00EC1A78">
        <w:rPr>
          <w:rFonts w:eastAsiaTheme="minorHAnsi"/>
          <w:sz w:val="22"/>
          <w:szCs w:val="22"/>
          <w:lang w:eastAsia="en-US"/>
        </w:rPr>
        <w:t>но такие требования содержатся в инструкциях и правилах, регл</w:t>
      </w:r>
      <w:r w:rsidRPr="00EC1A78">
        <w:rPr>
          <w:rFonts w:eastAsiaTheme="minorHAnsi"/>
          <w:sz w:val="22"/>
          <w:szCs w:val="22"/>
          <w:lang w:eastAsia="en-US"/>
        </w:rPr>
        <w:t>а</w:t>
      </w:r>
      <w:r w:rsidRPr="00EC1A78">
        <w:rPr>
          <w:rFonts w:eastAsiaTheme="minorHAnsi"/>
          <w:sz w:val="22"/>
          <w:szCs w:val="22"/>
          <w:lang w:eastAsia="en-US"/>
        </w:rPr>
        <w:t>ментирующих  производство конкретного вида судебной эксперт</w:t>
      </w:r>
      <w:r w:rsidRPr="00EC1A78">
        <w:rPr>
          <w:rFonts w:eastAsiaTheme="minorHAnsi"/>
          <w:sz w:val="22"/>
          <w:szCs w:val="22"/>
          <w:lang w:eastAsia="en-US"/>
        </w:rPr>
        <w:t>и</w:t>
      </w:r>
      <w:r w:rsidRPr="00EC1A78">
        <w:rPr>
          <w:rFonts w:eastAsiaTheme="minorHAnsi"/>
          <w:sz w:val="22"/>
          <w:szCs w:val="22"/>
          <w:lang w:eastAsia="en-US"/>
        </w:rPr>
        <w:t>зы.</w:t>
      </w:r>
    </w:p>
    <w:p w:rsidR="00EC1A78" w:rsidRPr="00EC1A78" w:rsidRDefault="00EC1A78" w:rsidP="00EC1A78">
      <w:pPr>
        <w:ind w:firstLine="257"/>
        <w:jc w:val="both"/>
        <w:rPr>
          <w:rFonts w:eastAsiaTheme="minorHAnsi"/>
          <w:sz w:val="22"/>
          <w:szCs w:val="22"/>
          <w:lang w:eastAsia="en-US"/>
        </w:rPr>
      </w:pPr>
      <w:r w:rsidRPr="00EC1A78">
        <w:rPr>
          <w:rFonts w:eastAsiaTheme="minorHAnsi"/>
          <w:sz w:val="22"/>
          <w:szCs w:val="22"/>
          <w:lang w:eastAsia="en-US"/>
        </w:rPr>
        <w:t>Тем не менее, существуют общие требования, которые учитыв</w:t>
      </w:r>
      <w:r w:rsidRPr="00EC1A78">
        <w:rPr>
          <w:rFonts w:eastAsiaTheme="minorHAnsi"/>
          <w:sz w:val="22"/>
          <w:szCs w:val="22"/>
          <w:lang w:eastAsia="en-US"/>
        </w:rPr>
        <w:t>а</w:t>
      </w:r>
      <w:r w:rsidRPr="00EC1A78">
        <w:rPr>
          <w:rFonts w:eastAsiaTheme="minorHAnsi"/>
          <w:sz w:val="22"/>
          <w:szCs w:val="22"/>
          <w:lang w:eastAsia="en-US"/>
        </w:rPr>
        <w:t>ются при разработке нормативно–методических указаний примен</w:t>
      </w:r>
      <w:r w:rsidRPr="00EC1A78">
        <w:rPr>
          <w:rFonts w:eastAsiaTheme="minorHAnsi"/>
          <w:sz w:val="22"/>
          <w:szCs w:val="22"/>
          <w:lang w:eastAsia="en-US"/>
        </w:rPr>
        <w:t>и</w:t>
      </w:r>
      <w:r w:rsidRPr="00EC1A78">
        <w:rPr>
          <w:rFonts w:eastAsiaTheme="minorHAnsi"/>
          <w:sz w:val="22"/>
          <w:szCs w:val="22"/>
          <w:lang w:eastAsia="en-US"/>
        </w:rPr>
        <w:t>тельно к каждому виду (роду) судебных экспертиз. К ним можно отнести следующее: «краткое описание исследуемых объектов; применяемые при исследования средства и методы, методики и п</w:t>
      </w:r>
      <w:r w:rsidRPr="00EC1A78">
        <w:rPr>
          <w:rFonts w:eastAsiaTheme="minorHAnsi"/>
          <w:sz w:val="22"/>
          <w:szCs w:val="22"/>
          <w:lang w:eastAsia="en-US"/>
        </w:rPr>
        <w:t>о</w:t>
      </w:r>
      <w:r w:rsidRPr="00EC1A78">
        <w:rPr>
          <w:rFonts w:eastAsiaTheme="minorHAnsi"/>
          <w:sz w:val="22"/>
          <w:szCs w:val="22"/>
          <w:lang w:eastAsia="en-US"/>
        </w:rPr>
        <w:lastRenderedPageBreak/>
        <w:t>лученные результаты, выявленные в результате исследования сущ</w:t>
      </w:r>
      <w:r w:rsidRPr="00EC1A78">
        <w:rPr>
          <w:rFonts w:eastAsiaTheme="minorHAnsi"/>
          <w:sz w:val="22"/>
          <w:szCs w:val="22"/>
          <w:lang w:eastAsia="en-US"/>
        </w:rPr>
        <w:t>е</w:t>
      </w:r>
      <w:r w:rsidRPr="00EC1A78">
        <w:rPr>
          <w:rFonts w:eastAsiaTheme="minorHAnsi"/>
          <w:sz w:val="22"/>
          <w:szCs w:val="22"/>
          <w:lang w:eastAsia="en-US"/>
        </w:rPr>
        <w:t>ственные признаки и свойства объектов; проведенные экспериме</w:t>
      </w:r>
      <w:r w:rsidRPr="00EC1A78">
        <w:rPr>
          <w:rFonts w:eastAsiaTheme="minorHAnsi"/>
          <w:sz w:val="22"/>
          <w:szCs w:val="22"/>
          <w:lang w:eastAsia="en-US"/>
        </w:rPr>
        <w:t>н</w:t>
      </w:r>
      <w:r w:rsidRPr="00EC1A78">
        <w:rPr>
          <w:rFonts w:eastAsiaTheme="minorHAnsi"/>
          <w:sz w:val="22"/>
          <w:szCs w:val="22"/>
          <w:lang w:eastAsia="en-US"/>
        </w:rPr>
        <w:t>ты, их цель, содержание, условия, использованные для этого сре</w:t>
      </w:r>
      <w:r w:rsidRPr="00EC1A78">
        <w:rPr>
          <w:rFonts w:eastAsiaTheme="minorHAnsi"/>
          <w:sz w:val="22"/>
          <w:szCs w:val="22"/>
          <w:lang w:eastAsia="en-US"/>
        </w:rPr>
        <w:t>д</w:t>
      </w:r>
      <w:r w:rsidRPr="00EC1A78">
        <w:rPr>
          <w:rFonts w:eastAsiaTheme="minorHAnsi"/>
          <w:sz w:val="22"/>
          <w:szCs w:val="22"/>
          <w:lang w:eastAsia="en-US"/>
        </w:rPr>
        <w:t xml:space="preserve">ства и методы; способы и приемы сравнительного исследования выявленных признаков, результаты оценки установленных между ними совпадений и различий. </w:t>
      </w:r>
    </w:p>
    <w:p w:rsidR="00EC1A78" w:rsidRPr="00EC1A78" w:rsidRDefault="00EC1A78" w:rsidP="006478C4">
      <w:pPr>
        <w:ind w:firstLine="426"/>
        <w:jc w:val="both"/>
        <w:rPr>
          <w:sz w:val="22"/>
          <w:szCs w:val="22"/>
        </w:rPr>
      </w:pPr>
      <w:r w:rsidRPr="00EC1A78">
        <w:rPr>
          <w:sz w:val="22"/>
          <w:szCs w:val="22"/>
        </w:rPr>
        <w:t>Выводы должны содержать оптимально краткие, четкие, н</w:t>
      </w:r>
      <w:r w:rsidRPr="00EC1A78">
        <w:rPr>
          <w:sz w:val="22"/>
          <w:szCs w:val="22"/>
        </w:rPr>
        <w:t>е</w:t>
      </w:r>
      <w:r w:rsidRPr="00EC1A78">
        <w:rPr>
          <w:sz w:val="22"/>
          <w:szCs w:val="22"/>
        </w:rPr>
        <w:t>двусмысленно трактуемые и обоснованные ответы на все поста</w:t>
      </w:r>
      <w:r w:rsidRPr="00EC1A78">
        <w:rPr>
          <w:sz w:val="22"/>
          <w:szCs w:val="22"/>
        </w:rPr>
        <w:t>в</w:t>
      </w:r>
      <w:r w:rsidRPr="00EC1A78">
        <w:rPr>
          <w:sz w:val="22"/>
          <w:szCs w:val="22"/>
        </w:rPr>
        <w:t xml:space="preserve">ленные перед экспертом вопросы и установленные в порядке его личной инициативы значимые для дела результаты экспертизы. </w:t>
      </w:r>
    </w:p>
    <w:p w:rsidR="00560F00" w:rsidRDefault="00560F00" w:rsidP="00EC1A78">
      <w:pPr>
        <w:jc w:val="cente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color w:val="000000"/>
          <w:sz w:val="22"/>
          <w:szCs w:val="22"/>
          <w:lang w:eastAsia="en-US"/>
        </w:rPr>
        <w:t>1.  Постановление Пленума Верховного суда РФ от 21 декабря 2010 г. «О судебной экспертизе по уголовным делам» //http://www.garant.ru/products/ipo/prime/doc/12081630/</w:t>
      </w:r>
    </w:p>
    <w:p w:rsidR="00EC1A78" w:rsidRPr="00EC1A78" w:rsidRDefault="00EC1A78" w:rsidP="00EC1A78">
      <w:pPr>
        <w:ind w:firstLine="426"/>
        <w:jc w:val="both"/>
        <w:rPr>
          <w:sz w:val="22"/>
          <w:szCs w:val="22"/>
        </w:rPr>
      </w:pPr>
      <w:r w:rsidRPr="00EC1A78">
        <w:rPr>
          <w:sz w:val="22"/>
          <w:szCs w:val="22"/>
        </w:rPr>
        <w:t>2. Философский энциклопедический словарь под гл. ред. Л.Ф.Ильичева, П.Н.Федосеева, С.М.Ковалева, В.Г.Панова.  М., 1983. С. 226.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Савельева Н.В. Оценка заключения эксперта : монография / Н.В.Савельева. Краснодар: КубГАУ, 2018. С.137–138.</w:t>
      </w:r>
    </w:p>
    <w:p w:rsidR="00EC1A78" w:rsidRPr="00EC1A78" w:rsidRDefault="00EC1A78" w:rsidP="00EC1A78">
      <w:pPr>
        <w:ind w:firstLine="426"/>
        <w:jc w:val="both"/>
        <w:rPr>
          <w:sz w:val="22"/>
          <w:szCs w:val="22"/>
        </w:rPr>
      </w:pPr>
      <w:r w:rsidRPr="00EC1A78">
        <w:rPr>
          <w:sz w:val="22"/>
          <w:szCs w:val="22"/>
        </w:rPr>
        <w:t>4. Шляхов А.Р.Предмет и система криминалистической экспе</w:t>
      </w:r>
      <w:r w:rsidRPr="00EC1A78">
        <w:rPr>
          <w:sz w:val="22"/>
          <w:szCs w:val="22"/>
        </w:rPr>
        <w:t>р</w:t>
      </w:r>
      <w:r w:rsidRPr="00EC1A78">
        <w:rPr>
          <w:sz w:val="22"/>
          <w:szCs w:val="22"/>
        </w:rPr>
        <w:t>тизы //Тр.ВНИИСЭ.  М., 1971. Вып.3.  С.–17.</w:t>
      </w:r>
    </w:p>
    <w:p w:rsidR="00EC1A78" w:rsidRPr="00EC1A78" w:rsidRDefault="00EC1A78" w:rsidP="00EC1A78">
      <w:pPr>
        <w:tabs>
          <w:tab w:val="left" w:pos="426"/>
        </w:tabs>
        <w:ind w:firstLine="426"/>
        <w:jc w:val="both"/>
        <w:rPr>
          <w:sz w:val="22"/>
          <w:szCs w:val="22"/>
        </w:rPr>
      </w:pPr>
      <w:r w:rsidRPr="00EC1A78">
        <w:rPr>
          <w:sz w:val="22"/>
          <w:szCs w:val="22"/>
        </w:rPr>
        <w:t>5. Приказ Министерства здравоохранения и социального разв</w:t>
      </w:r>
      <w:r w:rsidRPr="00EC1A78">
        <w:rPr>
          <w:sz w:val="22"/>
          <w:szCs w:val="22"/>
        </w:rPr>
        <w:t>и</w:t>
      </w:r>
      <w:r w:rsidRPr="00EC1A78">
        <w:rPr>
          <w:sz w:val="22"/>
          <w:szCs w:val="22"/>
        </w:rPr>
        <w:t>тия Российской Федерации от 12 мая 2010 г. № 346 и приложение к нему Порядок организации и производства судебно–медицинских экспертиз в государственных судебно–экспертных учреждениях. //Информационно–правовая система «Консультант Плюс».</w:t>
      </w:r>
    </w:p>
    <w:p w:rsidR="00EC1A78" w:rsidRDefault="00EC1A78" w:rsidP="00EC1A78">
      <w:pPr>
        <w:jc w:val="both"/>
        <w:rPr>
          <w:rFonts w:eastAsiaTheme="minorHAnsi"/>
          <w:sz w:val="22"/>
          <w:szCs w:val="22"/>
          <w:lang w:eastAsia="en-US"/>
        </w:rPr>
      </w:pPr>
    </w:p>
    <w:p w:rsidR="00EB2EB8" w:rsidRDefault="00EB2EB8"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Default="00560F00" w:rsidP="00EC1A78">
      <w:pPr>
        <w:jc w:val="both"/>
        <w:rPr>
          <w:rFonts w:eastAsiaTheme="minorHAnsi"/>
          <w:sz w:val="22"/>
          <w:szCs w:val="22"/>
          <w:lang w:eastAsia="en-US"/>
        </w:rPr>
      </w:pPr>
    </w:p>
    <w:p w:rsidR="00560F00" w:rsidRPr="00EC1A78" w:rsidRDefault="00560F00"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349.2</w:t>
      </w:r>
    </w:p>
    <w:p w:rsidR="00EC1A78" w:rsidRPr="00EC1A78" w:rsidRDefault="00EC1A78" w:rsidP="00EC1A78">
      <w:pPr>
        <w:jc w:val="center"/>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Необоснованный отказ при приеме на работу: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eastAsia="en-US"/>
        </w:rPr>
        <w:t>некоторые</w:t>
      </w:r>
      <w:r w:rsidRPr="00EC1A78">
        <w:rPr>
          <w:rFonts w:eastAsiaTheme="minorHAnsi"/>
          <w:b/>
          <w:sz w:val="24"/>
          <w:szCs w:val="24"/>
          <w:lang w:val="en-US" w:eastAsia="en-US"/>
        </w:rPr>
        <w:t xml:space="preserve"> </w:t>
      </w:r>
      <w:r w:rsidRPr="00EC1A78">
        <w:rPr>
          <w:rFonts w:eastAsiaTheme="minorHAnsi"/>
          <w:b/>
          <w:sz w:val="24"/>
          <w:szCs w:val="24"/>
          <w:lang w:eastAsia="en-US"/>
        </w:rPr>
        <w:t>проблемы</w:t>
      </w:r>
    </w:p>
    <w:p w:rsidR="00EC1A78" w:rsidRPr="00EC1A78" w:rsidRDefault="00EC1A78" w:rsidP="00EC1A78">
      <w:pPr>
        <w:jc w:val="center"/>
        <w:rPr>
          <w:rFonts w:eastAsiaTheme="minorHAnsi"/>
          <w:b/>
          <w:sz w:val="24"/>
          <w:szCs w:val="24"/>
          <w:lang w:val="en-US" w:eastAsia="en-US"/>
        </w:rPr>
      </w:pPr>
      <w:r w:rsidRPr="00EC1A78">
        <w:rPr>
          <w:rFonts w:eastAsiaTheme="minorHAnsi"/>
          <w:b/>
          <w:color w:val="212121"/>
          <w:sz w:val="24"/>
          <w:szCs w:val="24"/>
          <w:shd w:val="clear" w:color="auto" w:fill="FFFFFF"/>
          <w:lang w:val="en-US" w:eastAsia="en-US"/>
        </w:rPr>
        <w:t>Unreasonable refusal in employment: some problems</w:t>
      </w:r>
    </w:p>
    <w:p w:rsidR="00EC1A78" w:rsidRPr="00EC1A78" w:rsidRDefault="00EC1A78" w:rsidP="00EC1A78">
      <w:pPr>
        <w:jc w:val="right"/>
        <w:rPr>
          <w:rFonts w:eastAsiaTheme="minorHAnsi"/>
          <w:b/>
          <w:sz w:val="22"/>
          <w:szCs w:val="22"/>
          <w:lang w:val="en-US" w:eastAsia="en-US"/>
        </w:rPr>
      </w:pPr>
    </w:p>
    <w:p w:rsidR="00EC1A78" w:rsidRPr="00EC1A78" w:rsidRDefault="00EC1A78" w:rsidP="00EB2EB8">
      <w:pPr>
        <w:jc w:val="right"/>
        <w:rPr>
          <w:rFonts w:eastAsiaTheme="minorHAnsi"/>
          <w:sz w:val="22"/>
          <w:szCs w:val="22"/>
          <w:lang w:eastAsia="en-US"/>
        </w:rPr>
      </w:pPr>
      <w:r w:rsidRPr="00EC1A78">
        <w:rPr>
          <w:rFonts w:eastAsiaTheme="minorHAnsi"/>
          <w:sz w:val="22"/>
          <w:szCs w:val="22"/>
          <w:lang w:eastAsia="en-US"/>
        </w:rPr>
        <w:t>Коваленко А.</w:t>
      </w:r>
      <w:r w:rsidR="00EB2EB8">
        <w:rPr>
          <w:rFonts w:eastAsiaTheme="minorHAnsi"/>
          <w:sz w:val="22"/>
          <w:szCs w:val="22"/>
          <w:lang w:eastAsia="en-US"/>
        </w:rPr>
        <w:t xml:space="preserve"> </w:t>
      </w:r>
      <w:r w:rsidRPr="00EC1A78">
        <w:rPr>
          <w:rFonts w:eastAsiaTheme="minorHAnsi"/>
          <w:sz w:val="22"/>
          <w:szCs w:val="22"/>
          <w:lang w:eastAsia="en-US"/>
        </w:rPr>
        <w:t>Н.,</w:t>
      </w:r>
      <w:r w:rsidR="00EB2EB8">
        <w:rPr>
          <w:rFonts w:eastAsiaTheme="minorHAnsi"/>
          <w:sz w:val="22"/>
          <w:szCs w:val="22"/>
          <w:lang w:eastAsia="en-US"/>
        </w:rPr>
        <w:t xml:space="preserve"> </w:t>
      </w:r>
      <w:r w:rsidRPr="00EC1A78">
        <w:rPr>
          <w:rFonts w:eastAsiaTheme="minorHAnsi"/>
          <w:sz w:val="22"/>
          <w:szCs w:val="22"/>
          <w:lang w:eastAsia="en-US"/>
        </w:rPr>
        <w:t>Павлова А.</w:t>
      </w:r>
      <w:r w:rsidR="00EB2EB8">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B2EB8" w:rsidP="00EC1A78">
      <w:pPr>
        <w:widowControl w:val="0"/>
        <w:tabs>
          <w:tab w:val="left" w:pos="8223"/>
        </w:tabs>
        <w:jc w:val="right"/>
        <w:rPr>
          <w:rFonts w:eastAsiaTheme="minorHAnsi"/>
          <w:sz w:val="22"/>
          <w:szCs w:val="22"/>
          <w:lang w:eastAsia="en-US"/>
        </w:rPr>
      </w:pPr>
      <w:r>
        <w:rPr>
          <w:rFonts w:eastAsiaTheme="minorHAnsi"/>
          <w:sz w:val="22"/>
          <w:szCs w:val="22"/>
          <w:lang w:eastAsia="en-US"/>
        </w:rPr>
        <w:t>студентки</w:t>
      </w:r>
      <w:r w:rsidR="00EC1A78" w:rsidRPr="00EC1A78">
        <w:rPr>
          <w:rFonts w:eastAsiaTheme="minorHAnsi"/>
          <w:sz w:val="22"/>
          <w:szCs w:val="22"/>
          <w:lang w:eastAsia="en-US"/>
        </w:rPr>
        <w:t xml:space="preserve"> 2-го курса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И.Т. Трубилина</w:t>
      </w:r>
    </w:p>
    <w:p w:rsidR="00EC1A78" w:rsidRPr="00EC1A78" w:rsidRDefault="00EC1A78" w:rsidP="00EC1A78">
      <w:pPr>
        <w:tabs>
          <w:tab w:val="left" w:pos="5954"/>
        </w:tabs>
        <w:ind w:firstLine="425"/>
        <w:jc w:val="both"/>
        <w:rPr>
          <w:rFonts w:eastAsiaTheme="minorHAnsi"/>
          <w:b/>
          <w:sz w:val="22"/>
          <w:szCs w:val="22"/>
          <w:lang w:eastAsia="en-US"/>
        </w:rPr>
      </w:pPr>
    </w:p>
    <w:p w:rsidR="00EC1A78" w:rsidRPr="00EC1A78" w:rsidRDefault="00EC1A78" w:rsidP="00EC1A78">
      <w:pPr>
        <w:tabs>
          <w:tab w:val="left" w:pos="5954"/>
        </w:tabs>
        <w:ind w:firstLine="425"/>
        <w:jc w:val="both"/>
        <w:rPr>
          <w:rFonts w:eastAsiaTheme="minorHAnsi"/>
          <w:sz w:val="22"/>
          <w:szCs w:val="22"/>
          <w:lang w:eastAsia="en-US"/>
        </w:rPr>
      </w:pPr>
      <w:r w:rsidRPr="00EC1A78">
        <w:rPr>
          <w:rFonts w:eastAsiaTheme="minorHAnsi"/>
          <w:sz w:val="22"/>
          <w:szCs w:val="22"/>
          <w:lang w:eastAsia="en-US"/>
        </w:rPr>
        <w:t>АННОТАЦИЯ: авторы рассматривают случаи обоснованного и необоснованного отказов в приеме на работу, отмечая некоторые неудобства действующего трудового законодательства в практике правоприменения.</w:t>
      </w:r>
    </w:p>
    <w:p w:rsidR="00EC1A78" w:rsidRPr="00EC1A78" w:rsidRDefault="00EC1A78" w:rsidP="00EC1A78">
      <w:pPr>
        <w:tabs>
          <w:tab w:val="left" w:pos="5954"/>
        </w:tabs>
        <w:ind w:firstLine="425"/>
        <w:jc w:val="both"/>
        <w:rPr>
          <w:rFonts w:eastAsiaTheme="minorHAnsi"/>
          <w:sz w:val="22"/>
          <w:szCs w:val="22"/>
          <w:shd w:val="clear" w:color="auto" w:fill="FFFFFF"/>
          <w:lang w:val="en-US" w:eastAsia="en-US"/>
        </w:rPr>
      </w:pPr>
      <w:r w:rsidRPr="00EC1A78">
        <w:rPr>
          <w:rFonts w:eastAsiaTheme="minorHAnsi"/>
          <w:sz w:val="22"/>
          <w:szCs w:val="22"/>
          <w:shd w:val="clear" w:color="auto" w:fill="FFFFFF"/>
          <w:lang w:val="en-US" w:eastAsia="en-US"/>
        </w:rPr>
        <w:t>ABSTRACT: the authors consider cases of justified and unreason</w:t>
      </w:r>
      <w:r w:rsidRPr="00EC1A78">
        <w:rPr>
          <w:rFonts w:eastAsiaTheme="minorHAnsi"/>
          <w:sz w:val="22"/>
          <w:szCs w:val="22"/>
          <w:shd w:val="clear" w:color="auto" w:fill="FFFFFF"/>
          <w:lang w:val="en-US" w:eastAsia="en-US"/>
        </w:rPr>
        <w:t>a</w:t>
      </w:r>
      <w:r w:rsidRPr="00EC1A78">
        <w:rPr>
          <w:rFonts w:eastAsiaTheme="minorHAnsi"/>
          <w:sz w:val="22"/>
          <w:szCs w:val="22"/>
          <w:shd w:val="clear" w:color="auto" w:fill="FFFFFF"/>
          <w:lang w:val="en-US" w:eastAsia="en-US"/>
        </w:rPr>
        <w:t>ble refusals to hire, noting some inconveniences of the current labor le</w:t>
      </w:r>
      <w:r w:rsidRPr="00EC1A78">
        <w:rPr>
          <w:rFonts w:eastAsiaTheme="minorHAnsi"/>
          <w:sz w:val="22"/>
          <w:szCs w:val="22"/>
          <w:shd w:val="clear" w:color="auto" w:fill="FFFFFF"/>
          <w:lang w:val="en-US" w:eastAsia="en-US"/>
        </w:rPr>
        <w:t>g</w:t>
      </w:r>
      <w:r w:rsidRPr="00EC1A78">
        <w:rPr>
          <w:rFonts w:eastAsiaTheme="minorHAnsi"/>
          <w:sz w:val="22"/>
          <w:szCs w:val="22"/>
          <w:shd w:val="clear" w:color="auto" w:fill="FFFFFF"/>
          <w:lang w:val="en-US" w:eastAsia="en-US"/>
        </w:rPr>
        <w:t>islation in the practice of law enforcement.</w:t>
      </w:r>
    </w:p>
    <w:p w:rsidR="00EC1A78" w:rsidRPr="00EC1A78" w:rsidRDefault="00EC1A78" w:rsidP="00EC1A78">
      <w:pPr>
        <w:tabs>
          <w:tab w:val="left" w:pos="5954"/>
        </w:tabs>
        <w:ind w:firstLine="425"/>
        <w:jc w:val="both"/>
        <w:rPr>
          <w:rFonts w:eastAsiaTheme="minorHAnsi"/>
          <w:sz w:val="22"/>
          <w:szCs w:val="22"/>
          <w:lang w:eastAsia="en-US"/>
        </w:rPr>
      </w:pPr>
      <w:r w:rsidRPr="00EC1A78">
        <w:rPr>
          <w:rFonts w:eastAsiaTheme="minorHAnsi"/>
          <w:sz w:val="22"/>
          <w:szCs w:val="22"/>
          <w:lang w:eastAsia="en-US"/>
        </w:rPr>
        <w:t>КЛЮЧЕВЫЕ СЛОВА: работодатель, необоснованный отказ, запрет, трудовой договор.</w:t>
      </w:r>
    </w:p>
    <w:p w:rsidR="00EC1A78" w:rsidRPr="00EC1A78" w:rsidRDefault="00EC1A78" w:rsidP="00EC1A78">
      <w:pPr>
        <w:tabs>
          <w:tab w:val="left" w:pos="5954"/>
        </w:tabs>
        <w:ind w:firstLine="425"/>
        <w:jc w:val="both"/>
        <w:rPr>
          <w:rFonts w:eastAsiaTheme="minorHAnsi"/>
          <w:sz w:val="22"/>
          <w:szCs w:val="22"/>
          <w:shd w:val="clear" w:color="auto" w:fill="FFFFFF"/>
          <w:lang w:val="en-US" w:eastAsia="en-US"/>
        </w:rPr>
      </w:pPr>
      <w:r w:rsidRPr="00EC1A78">
        <w:rPr>
          <w:rFonts w:eastAsiaTheme="minorHAnsi"/>
          <w:sz w:val="22"/>
          <w:szCs w:val="22"/>
          <w:shd w:val="clear" w:color="auto" w:fill="FFFFFF"/>
          <w:lang w:val="en-US" w:eastAsia="en-US"/>
        </w:rPr>
        <w:t>KEYWORDS: employer, unreasonable refusal, prosecution, labor contract.</w:t>
      </w:r>
    </w:p>
    <w:p w:rsidR="00EC1A78" w:rsidRPr="00EC1A78" w:rsidRDefault="00EC1A78" w:rsidP="00EC1A78">
      <w:pPr>
        <w:tabs>
          <w:tab w:val="left" w:pos="5954"/>
        </w:tabs>
        <w:ind w:firstLine="425"/>
        <w:jc w:val="both"/>
        <w:rPr>
          <w:rFonts w:eastAsiaTheme="minorHAnsi"/>
          <w:sz w:val="22"/>
          <w:szCs w:val="22"/>
          <w:shd w:val="clear" w:color="auto" w:fill="FFFFFF"/>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соответствии со ст. 64 ТК РФ, необоснованный отказ при з</w:t>
      </w:r>
      <w:r w:rsidRPr="00EC1A78">
        <w:rPr>
          <w:rFonts w:eastAsiaTheme="minorHAnsi"/>
          <w:sz w:val="22"/>
          <w:szCs w:val="22"/>
          <w:lang w:eastAsia="en-US"/>
        </w:rPr>
        <w:t>а</w:t>
      </w:r>
      <w:r w:rsidRPr="00EC1A78">
        <w:rPr>
          <w:rFonts w:eastAsiaTheme="minorHAnsi"/>
          <w:sz w:val="22"/>
          <w:szCs w:val="22"/>
          <w:lang w:eastAsia="en-US"/>
        </w:rPr>
        <w:t>ключении трудового договора запрещается. В этой же статье указ</w:t>
      </w:r>
      <w:r w:rsidRPr="00EC1A78">
        <w:rPr>
          <w:rFonts w:eastAsiaTheme="minorHAnsi"/>
          <w:sz w:val="22"/>
          <w:szCs w:val="22"/>
          <w:lang w:eastAsia="en-US"/>
        </w:rPr>
        <w:t>а</w:t>
      </w:r>
      <w:r w:rsidRPr="00EC1A78">
        <w:rPr>
          <w:rFonts w:eastAsiaTheme="minorHAnsi"/>
          <w:sz w:val="22"/>
          <w:szCs w:val="22"/>
          <w:lang w:eastAsia="en-US"/>
        </w:rPr>
        <w:t>ны некоторые, но не все случаи запрещения отказа в приеме на р</w:t>
      </w:r>
      <w:r w:rsidRPr="00EC1A78">
        <w:rPr>
          <w:rFonts w:eastAsiaTheme="minorHAnsi"/>
          <w:sz w:val="22"/>
          <w:szCs w:val="22"/>
          <w:lang w:eastAsia="en-US"/>
        </w:rPr>
        <w:t>а</w:t>
      </w:r>
      <w:r w:rsidRPr="00EC1A78">
        <w:rPr>
          <w:rFonts w:eastAsiaTheme="minorHAnsi"/>
          <w:sz w:val="22"/>
          <w:szCs w:val="22"/>
          <w:lang w:eastAsia="en-US"/>
        </w:rPr>
        <w:t>боту. Так, в ч.2 ст.64 ТК РФ говорится о запрете отказа по мотивам пола, расы, цвета кожи, национальности, языка, происхождения, имущественного, семейного, социального и должностного полож</w:t>
      </w:r>
      <w:r w:rsidRPr="00EC1A78">
        <w:rPr>
          <w:rFonts w:eastAsiaTheme="minorHAnsi"/>
          <w:sz w:val="22"/>
          <w:szCs w:val="22"/>
          <w:lang w:eastAsia="en-US"/>
        </w:rPr>
        <w:t>е</w:t>
      </w:r>
      <w:r w:rsidRPr="00EC1A78">
        <w:rPr>
          <w:rFonts w:eastAsiaTheme="minorHAnsi"/>
          <w:sz w:val="22"/>
          <w:szCs w:val="22"/>
          <w:lang w:eastAsia="en-US"/>
        </w:rPr>
        <w:t>ния, возраста, места жительства, отношения к религии, убеждений, принадлежности или непринадлежности к общественным объед</w:t>
      </w:r>
      <w:r w:rsidRPr="00EC1A78">
        <w:rPr>
          <w:rFonts w:eastAsiaTheme="minorHAnsi"/>
          <w:sz w:val="22"/>
          <w:szCs w:val="22"/>
          <w:lang w:eastAsia="en-US"/>
        </w:rPr>
        <w:t>и</w:t>
      </w:r>
      <w:r w:rsidRPr="00EC1A78">
        <w:rPr>
          <w:rFonts w:eastAsiaTheme="minorHAnsi"/>
          <w:sz w:val="22"/>
          <w:szCs w:val="22"/>
          <w:lang w:eastAsia="en-US"/>
        </w:rPr>
        <w:t>нениям или каким–либо социальным группам. Если работодатель откажет в приеме на работу по данным основаниям, это будет кв</w:t>
      </w:r>
      <w:r w:rsidRPr="00EC1A78">
        <w:rPr>
          <w:rFonts w:eastAsiaTheme="minorHAnsi"/>
          <w:sz w:val="22"/>
          <w:szCs w:val="22"/>
          <w:lang w:eastAsia="en-US"/>
        </w:rPr>
        <w:t>а</w:t>
      </w:r>
      <w:r w:rsidRPr="00EC1A78">
        <w:rPr>
          <w:rFonts w:eastAsiaTheme="minorHAnsi"/>
          <w:sz w:val="22"/>
          <w:szCs w:val="22"/>
          <w:lang w:eastAsia="en-US"/>
        </w:rPr>
        <w:t>лифицироваться как дискриминация, что запрещено не только тр</w:t>
      </w:r>
      <w:r w:rsidRPr="00EC1A78">
        <w:rPr>
          <w:rFonts w:eastAsiaTheme="minorHAnsi"/>
          <w:sz w:val="22"/>
          <w:szCs w:val="22"/>
          <w:lang w:eastAsia="en-US"/>
        </w:rPr>
        <w:t>у</w:t>
      </w:r>
      <w:r w:rsidRPr="00EC1A78">
        <w:rPr>
          <w:rFonts w:eastAsiaTheme="minorHAnsi"/>
          <w:sz w:val="22"/>
          <w:szCs w:val="22"/>
          <w:lang w:eastAsia="en-US"/>
        </w:rPr>
        <w:t>довым законодательством, но и ст.19 Конституции РФ, которая устанавливает, что государство гарантирует равенство прав и св</w:t>
      </w:r>
      <w:r w:rsidRPr="00EC1A78">
        <w:rPr>
          <w:rFonts w:eastAsiaTheme="minorHAnsi"/>
          <w:sz w:val="22"/>
          <w:szCs w:val="22"/>
          <w:lang w:eastAsia="en-US"/>
        </w:rPr>
        <w:t>о</w:t>
      </w:r>
      <w:r w:rsidRPr="00EC1A78">
        <w:rPr>
          <w:rFonts w:eastAsiaTheme="minorHAnsi"/>
          <w:sz w:val="22"/>
          <w:szCs w:val="22"/>
          <w:lang w:eastAsia="en-US"/>
        </w:rPr>
        <w:t xml:space="preserve">бод независимо от вышеперечисленных признаков.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В ч. 4 ст.64 ТК РФ определяется, что запрещено отказывать в заключении трудового договора гражданам, которые приглашены на работу в порядке перевода от другого работодателя, при условии, что приглашение оформлено письменно. Проявляя особую заботу о беременных женщинах и детях, законодатель запрещает отказывать в заключении трудового договора по мотиву беременности и нал</w:t>
      </w:r>
      <w:r w:rsidRPr="00EC1A78">
        <w:rPr>
          <w:rFonts w:eastAsiaTheme="minorHAnsi"/>
          <w:sz w:val="22"/>
          <w:szCs w:val="22"/>
          <w:lang w:eastAsia="en-US"/>
        </w:rPr>
        <w:t>и</w:t>
      </w:r>
      <w:r w:rsidRPr="00EC1A78">
        <w:rPr>
          <w:rFonts w:eastAsiaTheme="minorHAnsi"/>
          <w:sz w:val="22"/>
          <w:szCs w:val="22"/>
          <w:lang w:eastAsia="en-US"/>
        </w:rPr>
        <w:t>чия детей (ч.3 ст.64 ТК РФ).</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Другие запреты мы находим в ТК РФ в значительном колич</w:t>
      </w:r>
      <w:r w:rsidRPr="00EC1A78">
        <w:rPr>
          <w:rFonts w:eastAsiaTheme="minorHAnsi"/>
          <w:sz w:val="22"/>
          <w:szCs w:val="22"/>
          <w:lang w:eastAsia="en-US"/>
        </w:rPr>
        <w:t>е</w:t>
      </w:r>
      <w:r w:rsidRPr="00EC1A78">
        <w:rPr>
          <w:rFonts w:eastAsiaTheme="minorHAnsi"/>
          <w:sz w:val="22"/>
          <w:szCs w:val="22"/>
          <w:lang w:eastAsia="en-US"/>
        </w:rPr>
        <w:t>стве. Например, если лицо было избрано на должность, работод</w:t>
      </w:r>
      <w:r w:rsidRPr="00EC1A78">
        <w:rPr>
          <w:rFonts w:eastAsiaTheme="minorHAnsi"/>
          <w:sz w:val="22"/>
          <w:szCs w:val="22"/>
          <w:lang w:eastAsia="en-US"/>
        </w:rPr>
        <w:t>а</w:t>
      </w:r>
      <w:r w:rsidRPr="00EC1A78">
        <w:rPr>
          <w:rFonts w:eastAsiaTheme="minorHAnsi"/>
          <w:sz w:val="22"/>
          <w:szCs w:val="22"/>
          <w:lang w:eastAsia="en-US"/>
        </w:rPr>
        <w:t>тель обязан заключить с ним трудовой договор, то есть отказ в этом случае запрещается (</w:t>
      </w:r>
      <w:hyperlink r:id="rId383" w:history="1">
        <w:r w:rsidRPr="00EC1A78">
          <w:rPr>
            <w:rFonts w:eastAsiaTheme="minorHAnsi"/>
            <w:sz w:val="22"/>
            <w:szCs w:val="22"/>
            <w:lang w:eastAsia="en-US"/>
          </w:rPr>
          <w:t xml:space="preserve"> ч. 2 ст. 16</w:t>
        </w:r>
      </w:hyperlink>
      <w:r w:rsidRPr="00EC1A78">
        <w:rPr>
          <w:rFonts w:eastAsiaTheme="minorHAnsi"/>
          <w:sz w:val="22"/>
          <w:szCs w:val="22"/>
          <w:lang w:eastAsia="en-US"/>
        </w:rPr>
        <w:t xml:space="preserve">, </w:t>
      </w:r>
      <w:hyperlink r:id="rId384" w:history="1">
        <w:r w:rsidRPr="00EC1A78">
          <w:rPr>
            <w:rFonts w:eastAsiaTheme="minorHAnsi"/>
            <w:sz w:val="22"/>
            <w:szCs w:val="22"/>
            <w:lang w:eastAsia="en-US"/>
          </w:rPr>
          <w:t>ст. 17</w:t>
        </w:r>
      </w:hyperlink>
      <w:r w:rsidRPr="00EC1A78">
        <w:rPr>
          <w:rFonts w:eastAsiaTheme="minorHAnsi"/>
          <w:sz w:val="22"/>
          <w:szCs w:val="22"/>
          <w:lang w:eastAsia="en-US"/>
        </w:rPr>
        <w:t xml:space="preserve"> ТК РФ). Аналогичное прав</w:t>
      </w:r>
      <w:r w:rsidRPr="00EC1A78">
        <w:rPr>
          <w:rFonts w:eastAsiaTheme="minorHAnsi"/>
          <w:sz w:val="22"/>
          <w:szCs w:val="22"/>
          <w:lang w:eastAsia="en-US"/>
        </w:rPr>
        <w:t>и</w:t>
      </w:r>
      <w:r w:rsidRPr="00EC1A78">
        <w:rPr>
          <w:rFonts w:eastAsiaTheme="minorHAnsi"/>
          <w:sz w:val="22"/>
          <w:szCs w:val="22"/>
          <w:lang w:eastAsia="en-US"/>
        </w:rPr>
        <w:t>ло действует в отношении лиц, которые избраны по конкурсу для замещения должности (</w:t>
      </w:r>
      <w:hyperlink r:id="rId385" w:history="1">
        <w:r w:rsidRPr="00EC1A78">
          <w:rPr>
            <w:rFonts w:eastAsiaTheme="minorHAnsi"/>
            <w:sz w:val="22"/>
            <w:szCs w:val="22"/>
            <w:lang w:eastAsia="en-US"/>
          </w:rPr>
          <w:t xml:space="preserve"> ч. 2 ст. 16</w:t>
        </w:r>
      </w:hyperlink>
      <w:r w:rsidRPr="00EC1A78">
        <w:rPr>
          <w:rFonts w:eastAsiaTheme="minorHAnsi"/>
          <w:sz w:val="22"/>
          <w:szCs w:val="22"/>
          <w:lang w:eastAsia="en-US"/>
        </w:rPr>
        <w:t xml:space="preserve">, </w:t>
      </w:r>
      <w:hyperlink r:id="rId386" w:history="1">
        <w:r w:rsidRPr="00EC1A78">
          <w:rPr>
            <w:rFonts w:eastAsiaTheme="minorHAnsi"/>
            <w:sz w:val="22"/>
            <w:szCs w:val="22"/>
            <w:lang w:eastAsia="en-US"/>
          </w:rPr>
          <w:t>ст. 18</w:t>
        </w:r>
      </w:hyperlink>
      <w:r w:rsidRPr="00EC1A78">
        <w:rPr>
          <w:rFonts w:eastAsiaTheme="minorHAnsi"/>
          <w:sz w:val="22"/>
          <w:szCs w:val="22"/>
          <w:lang w:eastAsia="en-US"/>
        </w:rPr>
        <w:t xml:space="preserve">, </w:t>
      </w:r>
      <w:hyperlink r:id="rId387" w:history="1">
        <w:r w:rsidRPr="00EC1A78">
          <w:rPr>
            <w:rFonts w:eastAsiaTheme="minorHAnsi"/>
            <w:sz w:val="22"/>
            <w:szCs w:val="22"/>
            <w:lang w:eastAsia="en-US"/>
          </w:rPr>
          <w:t>ч. 1</w:t>
        </w:r>
      </w:hyperlink>
      <w:r w:rsidRPr="00EC1A78">
        <w:rPr>
          <w:rFonts w:eastAsiaTheme="minorHAnsi"/>
          <w:sz w:val="22"/>
          <w:szCs w:val="22"/>
          <w:lang w:eastAsia="en-US"/>
        </w:rPr>
        <w:t xml:space="preserve">, </w:t>
      </w:r>
      <w:hyperlink r:id="rId388" w:history="1">
        <w:r w:rsidRPr="00EC1A78">
          <w:rPr>
            <w:rFonts w:eastAsiaTheme="minorHAnsi"/>
            <w:sz w:val="22"/>
            <w:szCs w:val="22"/>
            <w:lang w:eastAsia="en-US"/>
          </w:rPr>
          <w:t>2 ст. 332</w:t>
        </w:r>
      </w:hyperlink>
      <w:r w:rsidRPr="00EC1A78">
        <w:rPr>
          <w:rFonts w:eastAsiaTheme="minorHAnsi"/>
          <w:sz w:val="22"/>
          <w:szCs w:val="22"/>
          <w:lang w:eastAsia="en-US"/>
        </w:rPr>
        <w:t xml:space="preserve"> ТК РФ). Е</w:t>
      </w:r>
      <w:r w:rsidRPr="00EC1A78">
        <w:rPr>
          <w:rFonts w:eastAsiaTheme="minorHAnsi"/>
          <w:sz w:val="22"/>
          <w:szCs w:val="22"/>
          <w:lang w:eastAsia="en-US"/>
        </w:rPr>
        <w:t>с</w:t>
      </w:r>
      <w:r w:rsidRPr="00EC1A78">
        <w:rPr>
          <w:rFonts w:eastAsiaTheme="minorHAnsi"/>
          <w:sz w:val="22"/>
          <w:szCs w:val="22"/>
          <w:lang w:eastAsia="en-US"/>
        </w:rPr>
        <w:t>ли имеется решение суда, которое обязывает работодателя закл</w:t>
      </w:r>
      <w:r w:rsidRPr="00EC1A78">
        <w:rPr>
          <w:rFonts w:eastAsiaTheme="minorHAnsi"/>
          <w:sz w:val="22"/>
          <w:szCs w:val="22"/>
          <w:lang w:eastAsia="en-US"/>
        </w:rPr>
        <w:t>ю</w:t>
      </w:r>
      <w:r w:rsidRPr="00EC1A78">
        <w:rPr>
          <w:rFonts w:eastAsiaTheme="minorHAnsi"/>
          <w:sz w:val="22"/>
          <w:szCs w:val="22"/>
          <w:lang w:eastAsia="en-US"/>
        </w:rPr>
        <w:t>чить трудовой договор, отказ будет неправомерным (</w:t>
      </w:r>
      <w:hyperlink r:id="rId389" w:history="1">
        <w:r w:rsidRPr="00EC1A78">
          <w:rPr>
            <w:rFonts w:eastAsiaTheme="minorHAnsi"/>
            <w:sz w:val="22"/>
            <w:szCs w:val="22"/>
            <w:lang w:eastAsia="en-US"/>
          </w:rPr>
          <w:t xml:space="preserve"> ч. 2 ст. 16</w:t>
        </w:r>
      </w:hyperlink>
      <w:r w:rsidRPr="00EC1A78">
        <w:rPr>
          <w:rFonts w:eastAsiaTheme="minorHAnsi"/>
          <w:sz w:val="22"/>
          <w:szCs w:val="22"/>
          <w:lang w:eastAsia="en-US"/>
        </w:rPr>
        <w:t xml:space="preserve"> ТК РФ). В отдельных случаях запреты установлены в федеральных з</w:t>
      </w:r>
      <w:r w:rsidRPr="00EC1A78">
        <w:rPr>
          <w:rFonts w:eastAsiaTheme="minorHAnsi"/>
          <w:sz w:val="22"/>
          <w:szCs w:val="22"/>
          <w:lang w:eastAsia="en-US"/>
        </w:rPr>
        <w:t>а</w:t>
      </w:r>
      <w:r w:rsidRPr="00EC1A78">
        <w:rPr>
          <w:rFonts w:eastAsiaTheme="minorHAnsi"/>
          <w:sz w:val="22"/>
          <w:szCs w:val="22"/>
          <w:lang w:eastAsia="en-US"/>
        </w:rPr>
        <w:t>конах. Например, это касается инвалидов, для которых установлены квоты для приема на работу (</w:t>
      </w:r>
      <w:hyperlink r:id="rId390" w:history="1">
        <w:r w:rsidRPr="00EC1A78">
          <w:rPr>
            <w:rFonts w:eastAsiaTheme="minorHAnsi"/>
            <w:sz w:val="22"/>
            <w:szCs w:val="22"/>
            <w:lang w:eastAsia="en-US"/>
          </w:rPr>
          <w:t>п. п. 1</w:t>
        </w:r>
      </w:hyperlink>
      <w:r w:rsidRPr="00EC1A78">
        <w:rPr>
          <w:rFonts w:eastAsiaTheme="minorHAnsi"/>
          <w:sz w:val="22"/>
          <w:szCs w:val="22"/>
          <w:lang w:eastAsia="en-US"/>
        </w:rPr>
        <w:t xml:space="preserve">, </w:t>
      </w:r>
      <w:hyperlink r:id="rId391" w:history="1">
        <w:r w:rsidRPr="00EC1A78">
          <w:rPr>
            <w:rFonts w:eastAsiaTheme="minorHAnsi"/>
            <w:sz w:val="22"/>
            <w:szCs w:val="22"/>
            <w:lang w:eastAsia="en-US"/>
          </w:rPr>
          <w:t>2 ст. 13</w:t>
        </w:r>
      </w:hyperlink>
      <w:r w:rsidRPr="00EC1A78">
        <w:rPr>
          <w:rFonts w:eastAsiaTheme="minorHAnsi"/>
          <w:sz w:val="22"/>
          <w:szCs w:val="22"/>
          <w:lang w:eastAsia="en-US"/>
        </w:rPr>
        <w:t xml:space="preserve"> Закона РФ от 19.04.1991 № 1032–1 [1]). Работодатель не имеет право отказать и</w:t>
      </w:r>
      <w:r w:rsidRPr="00EC1A78">
        <w:rPr>
          <w:rFonts w:eastAsiaTheme="minorHAnsi"/>
          <w:sz w:val="22"/>
          <w:szCs w:val="22"/>
          <w:lang w:eastAsia="en-US"/>
        </w:rPr>
        <w:t>н</w:t>
      </w:r>
      <w:r w:rsidRPr="00EC1A78">
        <w:rPr>
          <w:rFonts w:eastAsiaTheme="minorHAnsi"/>
          <w:sz w:val="22"/>
          <w:szCs w:val="22"/>
          <w:lang w:eastAsia="en-US"/>
        </w:rPr>
        <w:t xml:space="preserve">валиду в заключении трудового договора. ВИЧ–инфицированным гражданам нельзя отказывать в приеме на работу по мотивам их заболевания [2]. </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В законодательстве имеются и другие случаи запретов. Это с</w:t>
      </w:r>
      <w:r w:rsidRPr="00EC1A78">
        <w:rPr>
          <w:rFonts w:eastAsiaTheme="minorHAnsi"/>
          <w:sz w:val="22"/>
          <w:szCs w:val="22"/>
          <w:lang w:eastAsia="en-US"/>
        </w:rPr>
        <w:t>о</w:t>
      </w:r>
      <w:r w:rsidRPr="00EC1A78">
        <w:rPr>
          <w:rFonts w:eastAsiaTheme="minorHAnsi"/>
          <w:sz w:val="22"/>
          <w:szCs w:val="22"/>
          <w:lang w:eastAsia="en-US"/>
        </w:rPr>
        <w:t>здает, на наш взгляд, определенные проблемы правоприменения, и было бы целесообразно собрать все случаи в одном месте, напр</w:t>
      </w:r>
      <w:r w:rsidRPr="00EC1A78">
        <w:rPr>
          <w:rFonts w:eastAsiaTheme="minorHAnsi"/>
          <w:sz w:val="22"/>
          <w:szCs w:val="22"/>
          <w:lang w:eastAsia="en-US"/>
        </w:rPr>
        <w:t>и</w:t>
      </w:r>
      <w:r w:rsidRPr="00EC1A78">
        <w:rPr>
          <w:rFonts w:eastAsiaTheme="minorHAnsi"/>
          <w:sz w:val="22"/>
          <w:szCs w:val="22"/>
          <w:lang w:eastAsia="en-US"/>
        </w:rPr>
        <w:t>мер, в отдельной главе ТК РФ.</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В некоторых случаях работодатель обязан отказать в заключ</w:t>
      </w:r>
      <w:r w:rsidRPr="00EC1A78">
        <w:rPr>
          <w:rFonts w:eastAsiaTheme="minorHAnsi"/>
          <w:sz w:val="22"/>
          <w:szCs w:val="22"/>
          <w:lang w:eastAsia="en-US"/>
        </w:rPr>
        <w:t>е</w:t>
      </w:r>
      <w:r w:rsidRPr="00EC1A78">
        <w:rPr>
          <w:rFonts w:eastAsiaTheme="minorHAnsi"/>
          <w:sz w:val="22"/>
          <w:szCs w:val="22"/>
          <w:lang w:eastAsia="en-US"/>
        </w:rPr>
        <w:t>нии трудового договора, например, беременной женщине и это не будет незаконным. Например, если беременная женщина хочет устроиться на вредную или опасную работу, которая может прич</w:t>
      </w:r>
      <w:r w:rsidRPr="00EC1A78">
        <w:rPr>
          <w:rFonts w:eastAsiaTheme="minorHAnsi"/>
          <w:sz w:val="22"/>
          <w:szCs w:val="22"/>
          <w:lang w:eastAsia="en-US"/>
        </w:rPr>
        <w:t>и</w:t>
      </w:r>
      <w:r w:rsidRPr="00EC1A78">
        <w:rPr>
          <w:rFonts w:eastAsiaTheme="minorHAnsi"/>
          <w:sz w:val="22"/>
          <w:szCs w:val="22"/>
          <w:lang w:eastAsia="en-US"/>
        </w:rPr>
        <w:t>нить вред осуществлению ее детородной функции и которая запр</w:t>
      </w:r>
      <w:r w:rsidRPr="00EC1A78">
        <w:rPr>
          <w:rFonts w:eastAsiaTheme="minorHAnsi"/>
          <w:sz w:val="22"/>
          <w:szCs w:val="22"/>
          <w:lang w:eastAsia="en-US"/>
        </w:rPr>
        <w:t>е</w:t>
      </w:r>
      <w:r w:rsidRPr="00EC1A78">
        <w:rPr>
          <w:rFonts w:eastAsiaTheme="minorHAnsi"/>
          <w:sz w:val="22"/>
          <w:szCs w:val="22"/>
          <w:lang w:eastAsia="en-US"/>
        </w:rPr>
        <w:t>щена для нее законодательством.  Пленум Верховного Суда РФ от 28.01.2014 № 1[3] разъяснил, что такой отказ не будет считаться дискриминацией, если работодатель не создал безопасных условий для труда. Этот факт должен быть подтвержден результатами сп</w:t>
      </w:r>
      <w:r w:rsidRPr="00EC1A78">
        <w:rPr>
          <w:rFonts w:eastAsiaTheme="minorHAnsi"/>
          <w:sz w:val="22"/>
          <w:szCs w:val="22"/>
          <w:lang w:eastAsia="en-US"/>
        </w:rPr>
        <w:t>е</w:t>
      </w:r>
      <w:r w:rsidRPr="00EC1A78">
        <w:rPr>
          <w:rFonts w:eastAsiaTheme="minorHAnsi"/>
          <w:sz w:val="22"/>
          <w:szCs w:val="22"/>
          <w:lang w:eastAsia="en-US"/>
        </w:rPr>
        <w:t>циальной оценки условий труда. Порядок проведения этой спец</w:t>
      </w:r>
      <w:r w:rsidRPr="00EC1A78">
        <w:rPr>
          <w:rFonts w:eastAsiaTheme="minorHAnsi"/>
          <w:sz w:val="22"/>
          <w:szCs w:val="22"/>
          <w:lang w:eastAsia="en-US"/>
        </w:rPr>
        <w:t>и</w:t>
      </w:r>
      <w:r w:rsidRPr="00EC1A78">
        <w:rPr>
          <w:rFonts w:eastAsiaTheme="minorHAnsi"/>
          <w:sz w:val="22"/>
          <w:szCs w:val="22"/>
          <w:lang w:eastAsia="en-US"/>
        </w:rPr>
        <w:t>альной оценки установлен федеральным законом [4]. Такие же пр</w:t>
      </w:r>
      <w:r w:rsidRPr="00EC1A78">
        <w:rPr>
          <w:rFonts w:eastAsiaTheme="minorHAnsi"/>
          <w:sz w:val="22"/>
          <w:szCs w:val="22"/>
          <w:lang w:eastAsia="en-US"/>
        </w:rPr>
        <w:t>а</w:t>
      </w:r>
      <w:r w:rsidRPr="00EC1A78">
        <w:rPr>
          <w:rFonts w:eastAsiaTheme="minorHAnsi"/>
          <w:sz w:val="22"/>
          <w:szCs w:val="22"/>
          <w:lang w:eastAsia="en-US"/>
        </w:rPr>
        <w:t>вила действуют относительно приема на вредную или опасную р</w:t>
      </w:r>
      <w:r w:rsidRPr="00EC1A78">
        <w:rPr>
          <w:rFonts w:eastAsiaTheme="minorHAnsi"/>
          <w:sz w:val="22"/>
          <w:szCs w:val="22"/>
          <w:lang w:eastAsia="en-US"/>
        </w:rPr>
        <w:t>а</w:t>
      </w:r>
      <w:r w:rsidRPr="00EC1A78">
        <w:rPr>
          <w:rFonts w:eastAsiaTheme="minorHAnsi"/>
          <w:sz w:val="22"/>
          <w:szCs w:val="22"/>
          <w:lang w:eastAsia="en-US"/>
        </w:rPr>
        <w:lastRenderedPageBreak/>
        <w:t>боту несовершеннолетних (ст.265 ТК РФ). Следует заметить, что все сказанное относится только к трудоустройству граждан РФ в России. Если гражданин выезжает для работы за границу, действ</w:t>
      </w:r>
      <w:r w:rsidRPr="00EC1A78">
        <w:rPr>
          <w:rFonts w:eastAsiaTheme="minorHAnsi"/>
          <w:sz w:val="22"/>
          <w:szCs w:val="22"/>
          <w:lang w:eastAsia="en-US"/>
        </w:rPr>
        <w:t>у</w:t>
      </w:r>
      <w:r w:rsidRPr="00EC1A78">
        <w:rPr>
          <w:rFonts w:eastAsiaTheme="minorHAnsi"/>
          <w:sz w:val="22"/>
          <w:szCs w:val="22"/>
          <w:lang w:eastAsia="en-US"/>
        </w:rPr>
        <w:t>ют уже другие правила. Труд граждан РФ за границей может опр</w:t>
      </w:r>
      <w:r w:rsidRPr="00EC1A78">
        <w:rPr>
          <w:rFonts w:eastAsiaTheme="minorHAnsi"/>
          <w:sz w:val="22"/>
          <w:szCs w:val="22"/>
          <w:lang w:eastAsia="en-US"/>
        </w:rPr>
        <w:t>е</w:t>
      </w:r>
      <w:r w:rsidRPr="00EC1A78">
        <w:rPr>
          <w:rFonts w:eastAsiaTheme="minorHAnsi"/>
          <w:sz w:val="22"/>
          <w:szCs w:val="22"/>
          <w:lang w:eastAsia="en-US"/>
        </w:rPr>
        <w:t>деляться как нормами российского права, так и нормами права страны, в которой осуществляется трудовая деятельность, в завис</w:t>
      </w:r>
      <w:r w:rsidRPr="00EC1A78">
        <w:rPr>
          <w:rFonts w:eastAsiaTheme="minorHAnsi"/>
          <w:sz w:val="22"/>
          <w:szCs w:val="22"/>
          <w:lang w:eastAsia="en-US"/>
        </w:rPr>
        <w:t>и</w:t>
      </w:r>
      <w:r w:rsidRPr="00EC1A78">
        <w:rPr>
          <w:rFonts w:eastAsiaTheme="minorHAnsi"/>
          <w:sz w:val="22"/>
          <w:szCs w:val="22"/>
          <w:lang w:eastAsia="en-US"/>
        </w:rPr>
        <w:t xml:space="preserve">мости от имеющегося правового статуса у работодателя, а также от содержания договора, который заключается [5, с.41].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можно утверждать, что законодателем урег</w:t>
      </w:r>
      <w:r w:rsidRPr="00EC1A78">
        <w:rPr>
          <w:rFonts w:eastAsiaTheme="minorHAnsi"/>
          <w:sz w:val="22"/>
          <w:szCs w:val="22"/>
          <w:lang w:eastAsia="en-US"/>
        </w:rPr>
        <w:t>у</w:t>
      </w:r>
      <w:r w:rsidRPr="00EC1A78">
        <w:rPr>
          <w:rFonts w:eastAsiaTheme="minorHAnsi"/>
          <w:sz w:val="22"/>
          <w:szCs w:val="22"/>
          <w:lang w:eastAsia="en-US"/>
        </w:rPr>
        <w:t>лированы вопросы, связанные как с необоснованными, так и с обоснованными отказами в приеме на работу, необходимо только четко их соблюдать. Некоторые неудобства создает разбросанность подлежащих применению норм в ТК РФ и по различным нормати</w:t>
      </w:r>
      <w:r w:rsidRPr="00EC1A78">
        <w:rPr>
          <w:rFonts w:eastAsiaTheme="minorHAnsi"/>
          <w:sz w:val="22"/>
          <w:szCs w:val="22"/>
          <w:lang w:eastAsia="en-US"/>
        </w:rPr>
        <w:t>в</w:t>
      </w:r>
      <w:r w:rsidRPr="00EC1A78">
        <w:rPr>
          <w:rFonts w:eastAsiaTheme="minorHAnsi"/>
          <w:sz w:val="22"/>
          <w:szCs w:val="22"/>
          <w:lang w:eastAsia="en-US"/>
        </w:rPr>
        <w:t>ным актам, но при дальнейшей доработке, действующие нормы вполне могут стать эффективными и помочь искоренить проблему необоснованного отказа при приеме на работу.</w:t>
      </w:r>
    </w:p>
    <w:p w:rsidR="00EC1A78" w:rsidRPr="00EC1A78" w:rsidRDefault="00EC1A78" w:rsidP="00EC1A78">
      <w:pPr>
        <w:ind w:firstLine="425"/>
        <w:jc w:val="both"/>
        <w:rPr>
          <w:rFonts w:eastAsiaTheme="minorHAnsi"/>
          <w:sz w:val="22"/>
          <w:szCs w:val="22"/>
          <w:lang w:eastAsia="en-US"/>
        </w:rPr>
      </w:pPr>
    </w:p>
    <w:p w:rsidR="00EC1A78" w:rsidRPr="00EC1A78" w:rsidRDefault="00EB2EB8" w:rsidP="00EC1A78">
      <w:pPr>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1. О занятости населения в Российской Федерации: Закон РФ от 19.04.1991 № 1032–1 (ред. от 29.07.2017) //СЗ РФ. 1996. № 17. Ст.1915.</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2. О предупреждении распространения в Российской Федер</w:t>
      </w:r>
      <w:r w:rsidRPr="00EC1A78">
        <w:rPr>
          <w:rFonts w:eastAsiaTheme="minorHAnsi"/>
          <w:sz w:val="22"/>
          <w:szCs w:val="22"/>
          <w:lang w:eastAsia="en-US"/>
        </w:rPr>
        <w:t>а</w:t>
      </w:r>
      <w:r w:rsidRPr="00EC1A78">
        <w:rPr>
          <w:rFonts w:eastAsiaTheme="minorHAnsi"/>
          <w:sz w:val="22"/>
          <w:szCs w:val="22"/>
          <w:lang w:eastAsia="en-US"/>
        </w:rPr>
        <w:t>ции заболевания, вызываемого вирусом иммунодефицита человека (ВИЧ–инфекции): Федеральный закон от 30.03.1995 № 38–ФЗ (ред. от 23.05.2016) // СЗ РФ. 1995. № 14. Ст.1212.</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3. О применении законодательства, регулирующего труд же</w:t>
      </w:r>
      <w:r w:rsidRPr="00EC1A78">
        <w:rPr>
          <w:rFonts w:eastAsiaTheme="minorHAnsi"/>
          <w:sz w:val="22"/>
          <w:szCs w:val="22"/>
          <w:lang w:eastAsia="en-US"/>
        </w:rPr>
        <w:t>н</w:t>
      </w:r>
      <w:r w:rsidRPr="00EC1A78">
        <w:rPr>
          <w:rFonts w:eastAsiaTheme="minorHAnsi"/>
          <w:sz w:val="22"/>
          <w:szCs w:val="22"/>
          <w:lang w:eastAsia="en-US"/>
        </w:rPr>
        <w:t>щин, лиц с семейными обязанностями и несовершеннолетних: П</w:t>
      </w:r>
      <w:r w:rsidRPr="00EC1A78">
        <w:rPr>
          <w:rFonts w:eastAsiaTheme="minorHAnsi"/>
          <w:sz w:val="22"/>
          <w:szCs w:val="22"/>
          <w:lang w:eastAsia="en-US"/>
        </w:rPr>
        <w:t>о</w:t>
      </w:r>
      <w:r w:rsidRPr="00EC1A78">
        <w:rPr>
          <w:rFonts w:eastAsiaTheme="minorHAnsi"/>
          <w:sz w:val="22"/>
          <w:szCs w:val="22"/>
          <w:lang w:eastAsia="en-US"/>
        </w:rPr>
        <w:t>становление Пленума Верховного Суда РФ от 28.01.2014 № 1 // Бюллетень Верховного Суда РФ. 2014. № 4.</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 xml:space="preserve">4. О специальной оценке условий труда: Федеральный закон от 28.12.2013 № 426–ФЗ (ред. от 01.05.2016) // СЗ РФ. 2013. № 52 (часть </w:t>
      </w:r>
      <w:r w:rsidRPr="00EC1A78">
        <w:rPr>
          <w:rFonts w:eastAsiaTheme="minorHAnsi"/>
          <w:sz w:val="22"/>
          <w:szCs w:val="22"/>
          <w:lang w:val="en-US" w:eastAsia="en-US"/>
        </w:rPr>
        <w:t>I</w:t>
      </w:r>
      <w:r w:rsidRPr="00EC1A78">
        <w:rPr>
          <w:rFonts w:eastAsiaTheme="minorHAnsi"/>
          <w:sz w:val="22"/>
          <w:szCs w:val="22"/>
          <w:lang w:eastAsia="en-US"/>
        </w:rPr>
        <w:t>). Ст.6991.</w:t>
      </w:r>
    </w:p>
    <w:p w:rsidR="00EC1A78" w:rsidRPr="00EC1A78" w:rsidRDefault="00EC1A78" w:rsidP="00EC1A78">
      <w:pPr>
        <w:ind w:firstLine="425"/>
        <w:jc w:val="both"/>
        <w:rPr>
          <w:sz w:val="22"/>
          <w:szCs w:val="22"/>
        </w:rPr>
      </w:pPr>
      <w:r w:rsidRPr="00EC1A78">
        <w:rPr>
          <w:sz w:val="22"/>
          <w:szCs w:val="22"/>
        </w:rPr>
        <w:t>5. Адриановская Т.Л. Работа за рубежом: проблемы труд</w:t>
      </w:r>
      <w:r w:rsidRPr="00EC1A78">
        <w:rPr>
          <w:sz w:val="22"/>
          <w:szCs w:val="22"/>
        </w:rPr>
        <w:t>о</w:t>
      </w:r>
      <w:r w:rsidRPr="00EC1A78">
        <w:rPr>
          <w:sz w:val="22"/>
          <w:szCs w:val="22"/>
        </w:rPr>
        <w:t xml:space="preserve">устройства, особенности заключения, изменения и прекращения трудового договора //Очерки новейшей камералистики. 2014. №1. </w:t>
      </w:r>
    </w:p>
    <w:p w:rsidR="00EC1A78" w:rsidRDefault="00EC1A78" w:rsidP="00EC1A78">
      <w:pPr>
        <w:jc w:val="both"/>
        <w:rPr>
          <w:rFonts w:eastAsiaTheme="minorHAnsi"/>
          <w:sz w:val="22"/>
          <w:szCs w:val="22"/>
          <w:lang w:eastAsia="en-US"/>
        </w:rPr>
      </w:pPr>
    </w:p>
    <w:p w:rsidR="00EB2EB8" w:rsidRDefault="00EB2EB8" w:rsidP="00EC1A78">
      <w:pPr>
        <w:jc w:val="both"/>
        <w:rPr>
          <w:rFonts w:eastAsiaTheme="minorHAnsi"/>
          <w:sz w:val="22"/>
          <w:szCs w:val="22"/>
          <w:lang w:eastAsia="en-US"/>
        </w:rPr>
      </w:pPr>
    </w:p>
    <w:p w:rsidR="00560F00" w:rsidRPr="00EC1A78" w:rsidRDefault="00560F00" w:rsidP="00EC1A78">
      <w:pPr>
        <w:jc w:val="both"/>
        <w:rPr>
          <w:rFonts w:eastAsiaTheme="minorHAnsi"/>
          <w:sz w:val="22"/>
          <w:szCs w:val="22"/>
          <w:lang w:eastAsia="en-US"/>
        </w:rPr>
      </w:pPr>
    </w:p>
    <w:p w:rsidR="00EC1A78" w:rsidRPr="00EC1A78" w:rsidRDefault="00EC1A78" w:rsidP="00EC1A78">
      <w:pPr>
        <w:shd w:val="clear" w:color="auto" w:fill="FFFFFF"/>
        <w:outlineLvl w:val="0"/>
        <w:rPr>
          <w:rFonts w:eastAsiaTheme="minorHAnsi"/>
          <w:color w:val="000000"/>
          <w:kern w:val="36"/>
          <w:sz w:val="22"/>
          <w:szCs w:val="22"/>
        </w:rPr>
      </w:pPr>
      <w:r w:rsidRPr="00EC1A78">
        <w:rPr>
          <w:rFonts w:eastAsiaTheme="minorHAnsi"/>
          <w:color w:val="000000"/>
          <w:kern w:val="36"/>
          <w:sz w:val="22"/>
          <w:szCs w:val="22"/>
        </w:rPr>
        <w:lastRenderedPageBreak/>
        <w:t>УДК 343.98</w:t>
      </w:r>
    </w:p>
    <w:p w:rsidR="00EC1A78" w:rsidRPr="00EC1A78" w:rsidRDefault="00EC1A78" w:rsidP="00EC1A78">
      <w:pPr>
        <w:ind w:firstLine="425"/>
        <w:jc w:val="center"/>
        <w:rPr>
          <w:rFonts w:eastAsiaTheme="minorHAnsi"/>
          <w:bCs/>
          <w:sz w:val="22"/>
          <w:szCs w:val="22"/>
          <w:lang w:eastAsia="en-US"/>
        </w:rPr>
      </w:pPr>
    </w:p>
    <w:p w:rsidR="00EC1A78" w:rsidRPr="00EC1A78" w:rsidRDefault="00EC1A78" w:rsidP="00EC1A78">
      <w:pPr>
        <w:widowControl w:val="0"/>
        <w:tabs>
          <w:tab w:val="left" w:pos="8223"/>
        </w:tabs>
        <w:ind w:firstLine="425"/>
        <w:jc w:val="center"/>
        <w:rPr>
          <w:rFonts w:eastAsiaTheme="minorHAnsi"/>
          <w:b/>
          <w:bCs/>
          <w:sz w:val="24"/>
          <w:szCs w:val="24"/>
          <w:lang w:eastAsia="en-US"/>
        </w:rPr>
      </w:pPr>
      <w:r w:rsidRPr="00EC1A78">
        <w:rPr>
          <w:rFonts w:eastAsiaTheme="minorHAnsi"/>
          <w:b/>
          <w:bCs/>
          <w:sz w:val="24"/>
          <w:szCs w:val="24"/>
          <w:lang w:eastAsia="en-US"/>
        </w:rPr>
        <w:t>Особенности личности преступника,</w:t>
      </w:r>
    </w:p>
    <w:p w:rsidR="00EC1A78" w:rsidRPr="00EC1A78" w:rsidRDefault="00EC1A78" w:rsidP="00EC1A78">
      <w:pPr>
        <w:widowControl w:val="0"/>
        <w:tabs>
          <w:tab w:val="left" w:pos="8223"/>
        </w:tabs>
        <w:ind w:firstLine="425"/>
        <w:jc w:val="center"/>
        <w:rPr>
          <w:rFonts w:eastAsiaTheme="minorHAnsi"/>
          <w:b/>
          <w:bCs/>
          <w:sz w:val="24"/>
          <w:szCs w:val="24"/>
          <w:lang w:eastAsia="en-US"/>
        </w:rPr>
      </w:pPr>
      <w:r w:rsidRPr="00EC1A78">
        <w:rPr>
          <w:rFonts w:eastAsiaTheme="minorHAnsi"/>
          <w:b/>
          <w:bCs/>
          <w:sz w:val="24"/>
          <w:szCs w:val="24"/>
          <w:lang w:eastAsia="en-US"/>
        </w:rPr>
        <w:t>совершившего убийство с особой жестокостью</w:t>
      </w:r>
    </w:p>
    <w:p w:rsidR="00EC1A78" w:rsidRPr="00EC1A78" w:rsidRDefault="00EC1A78" w:rsidP="00EC1A78">
      <w:pPr>
        <w:widowControl w:val="0"/>
        <w:tabs>
          <w:tab w:val="left" w:pos="8223"/>
        </w:tabs>
        <w:ind w:firstLine="425"/>
        <w:jc w:val="center"/>
        <w:rPr>
          <w:rFonts w:eastAsiaTheme="minorHAnsi"/>
          <w:b/>
          <w:bCs/>
          <w:color w:val="000000"/>
          <w:sz w:val="24"/>
          <w:szCs w:val="24"/>
          <w:lang w:eastAsia="en-US"/>
        </w:rPr>
      </w:pPr>
      <w:r w:rsidRPr="00EC1A78">
        <w:rPr>
          <w:rFonts w:eastAsiaTheme="minorHAnsi"/>
          <w:b/>
          <w:bCs/>
          <w:color w:val="000000"/>
          <w:sz w:val="24"/>
          <w:szCs w:val="24"/>
          <w:lang w:val="en-US" w:eastAsia="en-US"/>
        </w:rPr>
        <w:t>Features</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of</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the</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identity</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of</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the</w:t>
      </w:r>
      <w:r w:rsidRPr="00EC1A78">
        <w:rPr>
          <w:rFonts w:eastAsiaTheme="minorHAnsi"/>
          <w:b/>
          <w:bCs/>
          <w:color w:val="000000"/>
          <w:sz w:val="24"/>
          <w:szCs w:val="24"/>
          <w:lang w:eastAsia="en-US"/>
        </w:rPr>
        <w:t xml:space="preserve"> </w:t>
      </w:r>
      <w:r w:rsidRPr="00EC1A78">
        <w:rPr>
          <w:rFonts w:eastAsiaTheme="minorHAnsi"/>
          <w:b/>
          <w:bCs/>
          <w:color w:val="000000"/>
          <w:sz w:val="24"/>
          <w:szCs w:val="24"/>
          <w:lang w:val="en-US" w:eastAsia="en-US"/>
        </w:rPr>
        <w:t>offender</w:t>
      </w:r>
      <w:r w:rsidRPr="00EC1A78">
        <w:rPr>
          <w:rFonts w:eastAsiaTheme="minorHAnsi"/>
          <w:b/>
          <w:bCs/>
          <w:color w:val="000000"/>
          <w:sz w:val="24"/>
          <w:szCs w:val="24"/>
          <w:lang w:eastAsia="en-US"/>
        </w:rPr>
        <w:t>,</w:t>
      </w:r>
    </w:p>
    <w:p w:rsidR="00EC1A78" w:rsidRPr="00EC1A78" w:rsidRDefault="00EC1A78" w:rsidP="00EC1A78">
      <w:pPr>
        <w:widowControl w:val="0"/>
        <w:tabs>
          <w:tab w:val="left" w:pos="8223"/>
        </w:tabs>
        <w:ind w:firstLine="425"/>
        <w:jc w:val="center"/>
        <w:rPr>
          <w:rFonts w:eastAsiaTheme="minorHAnsi"/>
          <w:b/>
          <w:bCs/>
          <w:color w:val="000000"/>
          <w:sz w:val="24"/>
          <w:szCs w:val="24"/>
          <w:lang w:val="en-US" w:eastAsia="en-US"/>
        </w:rPr>
      </w:pPr>
      <w:r w:rsidRPr="00EC1A78">
        <w:rPr>
          <w:rFonts w:eastAsiaTheme="minorHAnsi"/>
          <w:b/>
          <w:bCs/>
          <w:color w:val="000000"/>
          <w:sz w:val="24"/>
          <w:szCs w:val="24"/>
          <w:lang w:val="en-US" w:eastAsia="en-US"/>
        </w:rPr>
        <w:t>who committed murder with extreme cruelty</w:t>
      </w:r>
    </w:p>
    <w:p w:rsidR="00EC1A78" w:rsidRPr="00EC1A78" w:rsidRDefault="00EC1A78" w:rsidP="00EC1A78">
      <w:pPr>
        <w:widowControl w:val="0"/>
        <w:tabs>
          <w:tab w:val="left" w:pos="8223"/>
        </w:tabs>
        <w:ind w:firstLine="425"/>
        <w:jc w:val="right"/>
        <w:rPr>
          <w:rFonts w:eastAsiaTheme="minorHAnsi"/>
          <w:color w:val="000000"/>
          <w:sz w:val="22"/>
          <w:szCs w:val="22"/>
          <w:lang w:val="en-US" w:eastAsia="en-US"/>
        </w:rPr>
      </w:pP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lang w:eastAsia="en-US"/>
        </w:rPr>
        <w:t>Козлов Ю.</w:t>
      </w:r>
      <w:r w:rsidR="00EB2EB8">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lang w:eastAsia="en-US"/>
        </w:rPr>
        <w:t>магистрант 2–го курса юридического факультета</w:t>
      </w: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rPr>
        <w:t>Грицаев С</w:t>
      </w:r>
      <w:r w:rsidRPr="00EC1A78">
        <w:rPr>
          <w:rFonts w:eastAsiaTheme="minorHAnsi"/>
          <w:sz w:val="22"/>
          <w:szCs w:val="22"/>
          <w:lang w:eastAsia="en-US"/>
        </w:rPr>
        <w:t>.</w:t>
      </w:r>
      <w:r w:rsidR="00EB2EB8">
        <w:rPr>
          <w:rFonts w:eastAsiaTheme="minorHAnsi"/>
          <w:sz w:val="22"/>
          <w:szCs w:val="22"/>
          <w:lang w:eastAsia="en-US"/>
        </w:rPr>
        <w:t xml:space="preserve"> </w:t>
      </w:r>
      <w:r w:rsidRPr="00EC1A78">
        <w:rPr>
          <w:rFonts w:eastAsiaTheme="minorHAnsi"/>
          <w:sz w:val="22"/>
          <w:szCs w:val="22"/>
          <w:lang w:eastAsia="en-US"/>
        </w:rPr>
        <w:t>И.,</w:t>
      </w: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lang w:eastAsia="en-US"/>
        </w:rPr>
        <w:t>доцент кафедры криминалистики</w:t>
      </w: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widowControl w:val="0"/>
        <w:tabs>
          <w:tab w:val="left" w:pos="8223"/>
        </w:tabs>
        <w:ind w:firstLine="425"/>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widowControl w:val="0"/>
        <w:tabs>
          <w:tab w:val="left" w:pos="8223"/>
        </w:tabs>
        <w:ind w:firstLine="425"/>
        <w:jc w:val="right"/>
        <w:rPr>
          <w:rFonts w:eastAsiaTheme="minorHAnsi"/>
          <w:sz w:val="22"/>
          <w:szCs w:val="22"/>
          <w:lang w:eastAsia="en-US"/>
        </w:rPr>
      </w:pPr>
    </w:p>
    <w:p w:rsidR="00EC1A78" w:rsidRPr="00EC1A78" w:rsidRDefault="00EC1A78" w:rsidP="00EC1A78">
      <w:pPr>
        <w:widowControl w:val="0"/>
        <w:tabs>
          <w:tab w:val="left" w:pos="8223"/>
        </w:tabs>
        <w:ind w:firstLine="425"/>
        <w:jc w:val="both"/>
        <w:rPr>
          <w:rFonts w:eastAsiaTheme="minorHAnsi"/>
          <w:sz w:val="22"/>
          <w:szCs w:val="22"/>
          <w:lang w:val="en-US" w:eastAsia="en-US"/>
        </w:rPr>
      </w:pPr>
      <w:r w:rsidRPr="00EC1A78">
        <w:rPr>
          <w:rFonts w:eastAsiaTheme="minorHAnsi"/>
          <w:sz w:val="22"/>
          <w:szCs w:val="22"/>
          <w:lang w:eastAsia="en-US"/>
        </w:rPr>
        <w:t>АННОТАЦИЯ: Изучены личности преступников, соверши</w:t>
      </w:r>
      <w:r w:rsidRPr="00EC1A78">
        <w:rPr>
          <w:rFonts w:eastAsiaTheme="minorHAnsi"/>
          <w:sz w:val="22"/>
          <w:szCs w:val="22"/>
          <w:lang w:eastAsia="en-US"/>
        </w:rPr>
        <w:t>в</w:t>
      </w:r>
      <w:r w:rsidRPr="00EC1A78">
        <w:rPr>
          <w:rFonts w:eastAsiaTheme="minorHAnsi"/>
          <w:sz w:val="22"/>
          <w:szCs w:val="22"/>
          <w:lang w:eastAsia="en-US"/>
        </w:rPr>
        <w:t>ших убийство с особой жестокостью. Предложена</w:t>
      </w:r>
      <w:r w:rsidRPr="00EC1A78">
        <w:rPr>
          <w:rFonts w:eastAsiaTheme="minorHAnsi"/>
          <w:sz w:val="22"/>
          <w:szCs w:val="22"/>
          <w:lang w:val="en-US" w:eastAsia="en-US"/>
        </w:rPr>
        <w:t xml:space="preserve"> </w:t>
      </w:r>
      <w:r w:rsidRPr="00EC1A78">
        <w:rPr>
          <w:rFonts w:eastAsiaTheme="minorHAnsi"/>
          <w:sz w:val="22"/>
          <w:szCs w:val="22"/>
          <w:lang w:eastAsia="en-US"/>
        </w:rPr>
        <w:t>их</w:t>
      </w:r>
      <w:r w:rsidRPr="00EC1A78">
        <w:rPr>
          <w:rFonts w:eastAsiaTheme="minorHAnsi"/>
          <w:sz w:val="22"/>
          <w:szCs w:val="22"/>
          <w:lang w:val="en-US" w:eastAsia="en-US"/>
        </w:rPr>
        <w:t xml:space="preserve"> </w:t>
      </w:r>
      <w:r w:rsidRPr="00EC1A78">
        <w:rPr>
          <w:rFonts w:eastAsiaTheme="minorHAnsi"/>
          <w:sz w:val="22"/>
          <w:szCs w:val="22"/>
          <w:lang w:eastAsia="en-US"/>
        </w:rPr>
        <w:t>типология</w:t>
      </w:r>
      <w:r w:rsidRPr="00EC1A78">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val="en-US" w:eastAsia="en-US"/>
        </w:rPr>
        <w:t xml:space="preserve"> </w:t>
      </w:r>
      <w:r w:rsidRPr="00EC1A78">
        <w:rPr>
          <w:rFonts w:eastAsiaTheme="minorHAnsi"/>
          <w:sz w:val="22"/>
          <w:szCs w:val="22"/>
          <w:lang w:eastAsia="en-US"/>
        </w:rPr>
        <w:t>дана</w:t>
      </w:r>
      <w:r w:rsidRPr="00EC1A78">
        <w:rPr>
          <w:rFonts w:eastAsiaTheme="minorHAnsi"/>
          <w:sz w:val="22"/>
          <w:szCs w:val="22"/>
          <w:lang w:val="en-US" w:eastAsia="en-US"/>
        </w:rPr>
        <w:t xml:space="preserve"> </w:t>
      </w:r>
      <w:r w:rsidRPr="00EC1A78">
        <w:rPr>
          <w:rFonts w:eastAsiaTheme="minorHAnsi"/>
          <w:sz w:val="22"/>
          <w:szCs w:val="22"/>
          <w:lang w:eastAsia="en-US"/>
        </w:rPr>
        <w:t>характеристика</w:t>
      </w:r>
      <w:r w:rsidRPr="00EC1A78">
        <w:rPr>
          <w:rFonts w:eastAsiaTheme="minorHAnsi"/>
          <w:sz w:val="22"/>
          <w:szCs w:val="22"/>
          <w:lang w:val="en-US" w:eastAsia="en-US"/>
        </w:rPr>
        <w:t xml:space="preserve"> </w:t>
      </w:r>
      <w:r w:rsidRPr="00EC1A78">
        <w:rPr>
          <w:rFonts w:eastAsiaTheme="minorHAnsi"/>
          <w:sz w:val="22"/>
          <w:szCs w:val="22"/>
          <w:lang w:eastAsia="en-US"/>
        </w:rPr>
        <w:t>личностных</w:t>
      </w:r>
      <w:r w:rsidRPr="00EC1A78">
        <w:rPr>
          <w:rFonts w:eastAsiaTheme="minorHAnsi"/>
          <w:sz w:val="22"/>
          <w:szCs w:val="22"/>
          <w:lang w:val="en-US" w:eastAsia="en-US"/>
        </w:rPr>
        <w:t xml:space="preserve"> </w:t>
      </w:r>
      <w:r w:rsidRPr="00EC1A78">
        <w:rPr>
          <w:rFonts w:eastAsiaTheme="minorHAnsi"/>
          <w:sz w:val="22"/>
          <w:szCs w:val="22"/>
          <w:lang w:eastAsia="en-US"/>
        </w:rPr>
        <w:t>особенностей</w:t>
      </w:r>
      <w:r w:rsidRPr="00EC1A78">
        <w:rPr>
          <w:rFonts w:eastAsiaTheme="minorHAnsi"/>
          <w:sz w:val="22"/>
          <w:szCs w:val="22"/>
          <w:lang w:val="en-US" w:eastAsia="en-US"/>
        </w:rPr>
        <w:t xml:space="preserve">. </w:t>
      </w:r>
    </w:p>
    <w:p w:rsidR="00EC1A78" w:rsidRPr="00EC1A78" w:rsidRDefault="00EC1A78" w:rsidP="00EC1A78">
      <w:pPr>
        <w:widowControl w:val="0"/>
        <w:tabs>
          <w:tab w:val="left" w:pos="8223"/>
        </w:tabs>
        <w:ind w:firstLine="425"/>
        <w:jc w:val="both"/>
        <w:rPr>
          <w:rFonts w:eastAsiaTheme="minorHAnsi"/>
          <w:sz w:val="22"/>
          <w:szCs w:val="22"/>
          <w:lang w:val="en-US" w:eastAsia="en-US"/>
        </w:rPr>
      </w:pPr>
      <w:r w:rsidRPr="00EC1A78">
        <w:rPr>
          <w:rFonts w:eastAsiaTheme="minorHAnsi"/>
          <w:sz w:val="22"/>
          <w:szCs w:val="22"/>
          <w:lang w:val="en-US" w:eastAsia="en-US"/>
        </w:rPr>
        <w:t>ABSTRACT: Studied the identity of criminals who committed murder with extreme cruelty. Proposed their typology and characteristics are given for personal characteristics.</w:t>
      </w:r>
    </w:p>
    <w:p w:rsidR="00EC1A78" w:rsidRPr="00EC1A78" w:rsidRDefault="00EC1A78" w:rsidP="00EC1A78">
      <w:pPr>
        <w:widowControl w:val="0"/>
        <w:tabs>
          <w:tab w:val="left" w:pos="8223"/>
        </w:tabs>
        <w:ind w:firstLine="425"/>
        <w:jc w:val="both"/>
        <w:rPr>
          <w:rFonts w:eastAsiaTheme="minorHAnsi"/>
          <w:sz w:val="22"/>
          <w:szCs w:val="22"/>
          <w:lang w:eastAsia="en-US"/>
        </w:rPr>
      </w:pPr>
      <w:r w:rsidRPr="00EC1A78">
        <w:rPr>
          <w:rFonts w:eastAsiaTheme="minorHAnsi"/>
          <w:sz w:val="22"/>
          <w:szCs w:val="22"/>
          <w:lang w:eastAsia="en-US"/>
        </w:rPr>
        <w:t>КЛЮЧЕВЫЕ СЛОВА: убийство, личность преступника, ж</w:t>
      </w:r>
      <w:r w:rsidRPr="00EC1A78">
        <w:rPr>
          <w:rFonts w:eastAsiaTheme="minorHAnsi"/>
          <w:sz w:val="22"/>
          <w:szCs w:val="22"/>
          <w:lang w:eastAsia="en-US"/>
        </w:rPr>
        <w:t>е</w:t>
      </w:r>
      <w:r w:rsidRPr="00EC1A78">
        <w:rPr>
          <w:rFonts w:eastAsiaTheme="minorHAnsi"/>
          <w:sz w:val="22"/>
          <w:szCs w:val="22"/>
          <w:lang w:eastAsia="en-US"/>
        </w:rPr>
        <w:t>стокость, агрессивность, криминалистическая характеристика убийств.</w:t>
      </w:r>
    </w:p>
    <w:p w:rsidR="00EC1A78" w:rsidRPr="00EC1A78" w:rsidRDefault="00EC1A78" w:rsidP="00EC1A78">
      <w:pPr>
        <w:widowControl w:val="0"/>
        <w:tabs>
          <w:tab w:val="left" w:pos="8223"/>
        </w:tabs>
        <w:ind w:firstLine="425"/>
        <w:jc w:val="both"/>
        <w:rPr>
          <w:rFonts w:eastAsiaTheme="minorHAnsi"/>
          <w:sz w:val="22"/>
          <w:szCs w:val="22"/>
          <w:lang w:val="en-US" w:eastAsia="en-US"/>
        </w:rPr>
      </w:pPr>
      <w:r w:rsidRPr="00EC1A78">
        <w:rPr>
          <w:rFonts w:eastAsiaTheme="minorHAnsi"/>
          <w:sz w:val="22"/>
          <w:szCs w:val="22"/>
          <w:lang w:val="en-US" w:eastAsia="en-US"/>
        </w:rPr>
        <w:t>KEYWORDS: murder, the identity of the offender, cruelty, aggre</w:t>
      </w:r>
      <w:r w:rsidRPr="00EC1A78">
        <w:rPr>
          <w:rFonts w:eastAsiaTheme="minorHAnsi"/>
          <w:sz w:val="22"/>
          <w:szCs w:val="22"/>
          <w:lang w:val="en-US" w:eastAsia="en-US"/>
        </w:rPr>
        <w:t>s</w:t>
      </w:r>
      <w:r w:rsidRPr="00EC1A78">
        <w:rPr>
          <w:rFonts w:eastAsiaTheme="minorHAnsi"/>
          <w:sz w:val="22"/>
          <w:szCs w:val="22"/>
          <w:lang w:val="en-US" w:eastAsia="en-US"/>
        </w:rPr>
        <w:t>sion, criminalistic characteristics of the murders.</w:t>
      </w:r>
    </w:p>
    <w:p w:rsidR="00EC1A78" w:rsidRPr="00EC1A78" w:rsidRDefault="00EC1A78" w:rsidP="00EC1A78">
      <w:pPr>
        <w:widowControl w:val="0"/>
        <w:ind w:firstLine="425"/>
        <w:jc w:val="center"/>
        <w:rPr>
          <w:rFonts w:eastAsiaTheme="minorHAnsi"/>
          <w:sz w:val="22"/>
          <w:szCs w:val="22"/>
          <w:lang w:val="en-US" w:eastAsia="en-US"/>
        </w:rPr>
      </w:pP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Под особой жестокостью понимается:</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1) причинение физических страданий (мучений) до убийства или в момент, совершения непосредственных действий, направле</w:t>
      </w:r>
      <w:r w:rsidRPr="00EC1A78">
        <w:rPr>
          <w:rFonts w:eastAsiaTheme="minorHAnsi"/>
          <w:sz w:val="22"/>
          <w:szCs w:val="22"/>
          <w:lang w:eastAsia="en-US"/>
        </w:rPr>
        <w:t>н</w:t>
      </w:r>
      <w:r w:rsidRPr="00EC1A78">
        <w:rPr>
          <w:rFonts w:eastAsiaTheme="minorHAnsi"/>
          <w:sz w:val="22"/>
          <w:szCs w:val="22"/>
          <w:lang w:eastAsia="en-US"/>
        </w:rPr>
        <w:t xml:space="preserve">ных на лишение жизни (пытки, истязания, мучительный способ убийства и т. д.) [3. С. 21]; </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2) причинение психических мучений (глумление над жертвой, убийство в присутствии близких потерпевшему лицу) [2. С. 229]. Например, в июне 2016 года Данилов Д.И., находясь в доме поте</w:t>
      </w:r>
      <w:r w:rsidRPr="00EC1A78">
        <w:rPr>
          <w:rFonts w:eastAsiaTheme="minorHAnsi"/>
          <w:sz w:val="22"/>
          <w:szCs w:val="22"/>
          <w:lang w:eastAsia="en-US"/>
        </w:rPr>
        <w:t>р</w:t>
      </w:r>
      <w:r w:rsidRPr="00EC1A78">
        <w:rPr>
          <w:rFonts w:eastAsiaTheme="minorHAnsi"/>
          <w:sz w:val="22"/>
          <w:szCs w:val="22"/>
          <w:lang w:eastAsia="en-US"/>
        </w:rPr>
        <w:t>певших, увидев, что на крики Ф. на порог дома пришли малолетние Л., Я. и К., последовательно убил их на глазах друг друга, нанося им имеющимися у него в руках кинжалом и топором множестве</w:t>
      </w:r>
      <w:r w:rsidRPr="00EC1A78">
        <w:rPr>
          <w:rFonts w:eastAsiaTheme="minorHAnsi"/>
          <w:sz w:val="22"/>
          <w:szCs w:val="22"/>
          <w:lang w:eastAsia="en-US"/>
        </w:rPr>
        <w:t>н</w:t>
      </w:r>
      <w:r w:rsidRPr="00EC1A78">
        <w:rPr>
          <w:rFonts w:eastAsiaTheme="minorHAnsi"/>
          <w:sz w:val="22"/>
          <w:szCs w:val="22"/>
          <w:lang w:eastAsia="en-US"/>
        </w:rPr>
        <w:lastRenderedPageBreak/>
        <w:t>ные удары в жизненно важные органы [5].</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Агрессивность – это свойство личности, заключающееся в г</w:t>
      </w:r>
      <w:r w:rsidRPr="00EC1A78">
        <w:rPr>
          <w:sz w:val="22"/>
          <w:szCs w:val="22"/>
        </w:rPr>
        <w:t>о</w:t>
      </w:r>
      <w:r w:rsidRPr="00EC1A78">
        <w:rPr>
          <w:sz w:val="22"/>
          <w:szCs w:val="22"/>
        </w:rPr>
        <w:t>товности и предпочтении применения насильственных методов для осуществления своих целей. Она присуща всем людям, но степень агрессивности у всех разная. В максимальной точке агрессивность перестает быть рационально–избирательной и становиться привы</w:t>
      </w:r>
      <w:r w:rsidRPr="00EC1A78">
        <w:rPr>
          <w:sz w:val="22"/>
          <w:szCs w:val="22"/>
        </w:rPr>
        <w:t>ч</w:t>
      </w:r>
      <w:r w:rsidRPr="00EC1A78">
        <w:rPr>
          <w:sz w:val="22"/>
          <w:szCs w:val="22"/>
        </w:rPr>
        <w:t>ным способом поведения (неоправданная жестокость, враждебность и т. д.) [4. С. 442]. Жестокость – свойство личности, сущность кот</w:t>
      </w:r>
      <w:r w:rsidRPr="00EC1A78">
        <w:rPr>
          <w:sz w:val="22"/>
          <w:szCs w:val="22"/>
        </w:rPr>
        <w:t>о</w:t>
      </w:r>
      <w:r w:rsidRPr="00EC1A78">
        <w:rPr>
          <w:sz w:val="22"/>
          <w:szCs w:val="22"/>
        </w:rPr>
        <w:t>рого состоит в безразличии к страданиям людей, либо в желании причинения им мучений для достижения своей цели или самоуд</w:t>
      </w:r>
      <w:r w:rsidRPr="00EC1A78">
        <w:rPr>
          <w:sz w:val="22"/>
          <w:szCs w:val="22"/>
        </w:rPr>
        <w:t>о</w:t>
      </w:r>
      <w:r w:rsidRPr="00EC1A78">
        <w:rPr>
          <w:sz w:val="22"/>
          <w:szCs w:val="22"/>
        </w:rPr>
        <w:t xml:space="preserve">влетворения. Поэтому при изучении материалов уголовных дел нами в первую очередь подвергалась анализу </w:t>
      </w:r>
      <w:r w:rsidRPr="00EC1A78">
        <w:rPr>
          <w:sz w:val="22"/>
          <w:szCs w:val="22"/>
          <w:bdr w:val="none" w:sz="0" w:space="0" w:color="auto" w:frame="1"/>
        </w:rPr>
        <w:t>потребностно–мотивационная сфера преступников, совершивших убийство с ос</w:t>
      </w:r>
      <w:r w:rsidRPr="00EC1A78">
        <w:rPr>
          <w:sz w:val="22"/>
          <w:szCs w:val="22"/>
          <w:bdr w:val="none" w:sz="0" w:space="0" w:color="auto" w:frame="1"/>
        </w:rPr>
        <w:t>о</w:t>
      </w:r>
      <w:r w:rsidRPr="00EC1A78">
        <w:rPr>
          <w:sz w:val="22"/>
          <w:szCs w:val="22"/>
          <w:bdr w:val="none" w:sz="0" w:space="0" w:color="auto" w:frame="1"/>
        </w:rPr>
        <w:t xml:space="preserve">бой жестокостью. </w:t>
      </w:r>
      <w:r w:rsidRPr="00EC1A78">
        <w:rPr>
          <w:sz w:val="22"/>
          <w:szCs w:val="22"/>
        </w:rPr>
        <w:t>Следует отметить, что мотивы, заявленные в м</w:t>
      </w:r>
      <w:r w:rsidRPr="00EC1A78">
        <w:rPr>
          <w:sz w:val="22"/>
          <w:szCs w:val="22"/>
        </w:rPr>
        <w:t>а</w:t>
      </w:r>
      <w:r w:rsidRPr="00EC1A78">
        <w:rPr>
          <w:sz w:val="22"/>
          <w:szCs w:val="22"/>
        </w:rPr>
        <w:t>териалах уголовных дел (корыстные, хулиганские, личная непр</w:t>
      </w:r>
      <w:r w:rsidRPr="00EC1A78">
        <w:rPr>
          <w:sz w:val="22"/>
          <w:szCs w:val="22"/>
        </w:rPr>
        <w:t>и</w:t>
      </w:r>
      <w:r w:rsidRPr="00EC1A78">
        <w:rPr>
          <w:sz w:val="22"/>
          <w:szCs w:val="22"/>
        </w:rPr>
        <w:t>язнь, ревность, месть и т. д.) – есть частные формы проявления сл</w:t>
      </w:r>
      <w:r w:rsidRPr="00EC1A78">
        <w:rPr>
          <w:sz w:val="22"/>
          <w:szCs w:val="22"/>
        </w:rPr>
        <w:t>е</w:t>
      </w:r>
      <w:r w:rsidRPr="00EC1A78">
        <w:rPr>
          <w:sz w:val="22"/>
          <w:szCs w:val="22"/>
        </w:rPr>
        <w:t>дующих случаев мотивации жестокости, где особая жестокость:</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1) своеобразный способ психологической разрядки (перенос агрессии, замещение блокированной потребности; убийство прои</w:t>
      </w:r>
      <w:r w:rsidRPr="00EC1A78">
        <w:rPr>
          <w:sz w:val="22"/>
          <w:szCs w:val="22"/>
        </w:rPr>
        <w:t>с</w:t>
      </w:r>
      <w:r w:rsidRPr="00EC1A78">
        <w:rPr>
          <w:sz w:val="22"/>
          <w:szCs w:val="22"/>
        </w:rPr>
        <w:t>ходит в определенной ситуации с внезапно возникшим умыслом);</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2) средство достижения конкретной цели (заранее обдуманный умысел на причинение страданий, чаще до убийства обеспечивают решение определенной задачи (например, получение материальной выгоды));</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3) самоцель (заранее обдуманный умысел на причинение стр</w:t>
      </w:r>
      <w:r w:rsidRPr="00EC1A78">
        <w:rPr>
          <w:sz w:val="22"/>
          <w:szCs w:val="22"/>
        </w:rPr>
        <w:t>а</w:t>
      </w:r>
      <w:r w:rsidRPr="00EC1A78">
        <w:rPr>
          <w:sz w:val="22"/>
          <w:szCs w:val="22"/>
        </w:rPr>
        <w:t>даний до убийства и (или) в момент его совершения является с то</w:t>
      </w:r>
      <w:r w:rsidRPr="00EC1A78">
        <w:rPr>
          <w:sz w:val="22"/>
          <w:szCs w:val="22"/>
        </w:rPr>
        <w:t>ч</w:t>
      </w:r>
      <w:r w:rsidRPr="00EC1A78">
        <w:rPr>
          <w:sz w:val="22"/>
          <w:szCs w:val="22"/>
        </w:rPr>
        <w:t>ки зрения преступником «актом справедливости» за предыдущие поступки жертвы; причинение страданий жертве для удовлетвор</w:t>
      </w:r>
      <w:r w:rsidRPr="00EC1A78">
        <w:rPr>
          <w:sz w:val="22"/>
          <w:szCs w:val="22"/>
        </w:rPr>
        <w:t>е</w:t>
      </w:r>
      <w:r w:rsidRPr="00EC1A78">
        <w:rPr>
          <w:sz w:val="22"/>
          <w:szCs w:val="22"/>
        </w:rPr>
        <w:t>ния сексуальной потребности);</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4) средство удовлетворения потребности в самоутверждении и самореализации (в основном проявляется среди групп подростков, совершающих убийство, желающих утвердиться в ней, получить одобрение остальных членов группы);</w:t>
      </w:r>
    </w:p>
    <w:p w:rsidR="00EC1A78" w:rsidRPr="00EC1A78" w:rsidRDefault="00EC1A78" w:rsidP="00EC1A78">
      <w:pPr>
        <w:widowControl w:val="0"/>
        <w:shd w:val="clear" w:color="auto" w:fill="FFFFFF"/>
        <w:ind w:firstLine="425"/>
        <w:jc w:val="both"/>
        <w:textAlignment w:val="baseline"/>
        <w:rPr>
          <w:sz w:val="22"/>
          <w:szCs w:val="22"/>
        </w:rPr>
      </w:pPr>
      <w:r w:rsidRPr="00EC1A78">
        <w:rPr>
          <w:sz w:val="22"/>
          <w:szCs w:val="22"/>
        </w:rPr>
        <w:t>5) бессмысленная и импульсивная агрессивных психопатов (лица с определенными дисфункциями головного мозга, дефектами сознания, выражающихся в несформированности системы регул</w:t>
      </w:r>
      <w:r w:rsidRPr="00EC1A78">
        <w:rPr>
          <w:sz w:val="22"/>
          <w:szCs w:val="22"/>
        </w:rPr>
        <w:t>и</w:t>
      </w:r>
      <w:r w:rsidRPr="00EC1A78">
        <w:rPr>
          <w:sz w:val="22"/>
          <w:szCs w:val="22"/>
        </w:rPr>
        <w:t>рования своего поведения, дефиците эмпатии, сострадания, чувства вины, невозможности полноценно переживать ни положитель</w:t>
      </w:r>
      <w:r w:rsidRPr="00EC1A78">
        <w:rPr>
          <w:sz w:val="22"/>
          <w:szCs w:val="22"/>
        </w:rPr>
        <w:softHyphen/>
        <w:t xml:space="preserve">ные, </w:t>
      </w:r>
      <w:r w:rsidRPr="00EC1A78">
        <w:rPr>
          <w:sz w:val="22"/>
          <w:szCs w:val="22"/>
        </w:rPr>
        <w:lastRenderedPageBreak/>
        <w:t>ни отрицательные эмоции [1. С. 98].</w:t>
      </w:r>
    </w:p>
    <w:p w:rsidR="00EC1A78" w:rsidRPr="00EC1A78" w:rsidRDefault="00EC1A78" w:rsidP="00EC1A78">
      <w:pPr>
        <w:widowControl w:val="0"/>
        <w:shd w:val="clear" w:color="auto" w:fill="FFFFFF"/>
        <w:ind w:firstLine="425"/>
        <w:jc w:val="both"/>
        <w:textAlignment w:val="baseline"/>
        <w:rPr>
          <w:sz w:val="22"/>
          <w:szCs w:val="22"/>
          <w:bdr w:val="none" w:sz="0" w:space="0" w:color="auto" w:frame="1"/>
        </w:rPr>
      </w:pPr>
      <w:r w:rsidRPr="00EC1A78">
        <w:rPr>
          <w:sz w:val="22"/>
          <w:szCs w:val="22"/>
        </w:rPr>
        <w:t>Среди характерных особенностей личности</w:t>
      </w:r>
      <w:r w:rsidRPr="00EC1A78">
        <w:rPr>
          <w:sz w:val="22"/>
          <w:szCs w:val="22"/>
          <w:bdr w:val="none" w:sz="0" w:space="0" w:color="auto" w:frame="1"/>
        </w:rPr>
        <w:t xml:space="preserve"> преступников, с</w:t>
      </w:r>
      <w:r w:rsidRPr="00EC1A78">
        <w:rPr>
          <w:sz w:val="22"/>
          <w:szCs w:val="22"/>
          <w:bdr w:val="none" w:sz="0" w:space="0" w:color="auto" w:frame="1"/>
        </w:rPr>
        <w:t>о</w:t>
      </w:r>
      <w:r w:rsidRPr="00EC1A78">
        <w:rPr>
          <w:sz w:val="22"/>
          <w:szCs w:val="22"/>
          <w:bdr w:val="none" w:sz="0" w:space="0" w:color="auto" w:frame="1"/>
        </w:rPr>
        <w:t>вершивших убийство с особой жестокостью, отметим следующие:</w:t>
      </w:r>
    </w:p>
    <w:p w:rsidR="00EC1A78" w:rsidRPr="00EC1A78" w:rsidRDefault="00EC1A78" w:rsidP="00EC1A78">
      <w:pPr>
        <w:widowControl w:val="0"/>
        <w:shd w:val="clear" w:color="auto" w:fill="FFFFFF"/>
        <w:ind w:firstLine="425"/>
        <w:jc w:val="both"/>
        <w:textAlignment w:val="baseline"/>
        <w:rPr>
          <w:b/>
          <w:sz w:val="22"/>
          <w:szCs w:val="22"/>
          <w:bdr w:val="none" w:sz="0" w:space="0" w:color="auto" w:frame="1"/>
        </w:rPr>
      </w:pPr>
      <w:r w:rsidRPr="00EC1A78">
        <w:rPr>
          <w:sz w:val="22"/>
          <w:szCs w:val="22"/>
          <w:bdr w:val="none" w:sz="0" w:space="0" w:color="auto" w:frame="1"/>
        </w:rPr>
        <w:t>1) подструктура направленности и характер</w:t>
      </w:r>
      <w:r w:rsidRPr="00EC1A78">
        <w:rPr>
          <w:b/>
          <w:sz w:val="22"/>
          <w:szCs w:val="22"/>
          <w:bdr w:val="none" w:sz="0" w:space="0" w:color="auto" w:frame="1"/>
        </w:rPr>
        <w:t>:</w:t>
      </w:r>
      <w:r w:rsidRPr="00EC1A78">
        <w:rPr>
          <w:b/>
          <w:sz w:val="22"/>
          <w:szCs w:val="22"/>
        </w:rPr>
        <w:t xml:space="preserve"> </w:t>
      </w:r>
      <w:r w:rsidRPr="00EC1A78">
        <w:rPr>
          <w:sz w:val="22"/>
          <w:szCs w:val="22"/>
        </w:rPr>
        <w:t>эмоциональная неустойчивость; стремление к признанию;</w:t>
      </w:r>
      <w:r w:rsidRPr="00EC1A78">
        <w:rPr>
          <w:b/>
          <w:sz w:val="22"/>
          <w:szCs w:val="22"/>
        </w:rPr>
        <w:t xml:space="preserve"> </w:t>
      </w:r>
      <w:r w:rsidRPr="00EC1A78">
        <w:rPr>
          <w:sz w:val="22"/>
          <w:szCs w:val="22"/>
        </w:rPr>
        <w:t>самооценка заниженная или завышенная,</w:t>
      </w:r>
      <w:r w:rsidRPr="00EC1A78">
        <w:rPr>
          <w:b/>
          <w:sz w:val="22"/>
          <w:szCs w:val="22"/>
        </w:rPr>
        <w:t xml:space="preserve"> </w:t>
      </w:r>
      <w:r w:rsidRPr="00EC1A78">
        <w:rPr>
          <w:sz w:val="22"/>
          <w:szCs w:val="22"/>
        </w:rPr>
        <w:t>сочетающаяся с недовольством своим социальным статусом;</w:t>
      </w:r>
      <w:r w:rsidRPr="00EC1A78">
        <w:rPr>
          <w:b/>
          <w:sz w:val="22"/>
          <w:szCs w:val="22"/>
        </w:rPr>
        <w:t xml:space="preserve"> </w:t>
      </w:r>
      <w:r w:rsidRPr="00EC1A78">
        <w:rPr>
          <w:sz w:val="22"/>
          <w:szCs w:val="22"/>
        </w:rPr>
        <w:t>ригидность (косность) мировоззрения; высокий уровень тревожности;</w:t>
      </w:r>
      <w:r w:rsidRPr="00EC1A78">
        <w:rPr>
          <w:b/>
          <w:sz w:val="22"/>
          <w:szCs w:val="22"/>
        </w:rPr>
        <w:t xml:space="preserve"> </w:t>
      </w:r>
      <w:r w:rsidRPr="00EC1A78">
        <w:rPr>
          <w:sz w:val="22"/>
          <w:szCs w:val="22"/>
        </w:rPr>
        <w:t>наличие акцентуации (возбудимой</w:t>
      </w:r>
      <w:r w:rsidRPr="00EC1A78">
        <w:rPr>
          <w:b/>
          <w:sz w:val="22"/>
          <w:szCs w:val="22"/>
        </w:rPr>
        <w:t xml:space="preserve">, </w:t>
      </w:r>
      <w:r w:rsidRPr="00EC1A78">
        <w:rPr>
          <w:sz w:val="22"/>
          <w:szCs w:val="22"/>
        </w:rPr>
        <w:t>застревающей, демонстративной); завистливость; подозрительность</w:t>
      </w:r>
      <w:r w:rsidRPr="00EC1A78">
        <w:rPr>
          <w:b/>
          <w:sz w:val="22"/>
          <w:szCs w:val="22"/>
        </w:rPr>
        <w:t xml:space="preserve">; </w:t>
      </w:r>
      <w:r w:rsidRPr="00EC1A78">
        <w:rPr>
          <w:sz w:val="22"/>
          <w:szCs w:val="22"/>
        </w:rPr>
        <w:t>обидчивость; раздражительность; конфликтность;</w:t>
      </w:r>
      <w:r w:rsidRPr="00EC1A78">
        <w:rPr>
          <w:b/>
          <w:sz w:val="22"/>
          <w:szCs w:val="22"/>
        </w:rPr>
        <w:t xml:space="preserve"> </w:t>
      </w:r>
      <w:r w:rsidRPr="00EC1A78">
        <w:rPr>
          <w:sz w:val="22"/>
          <w:szCs w:val="22"/>
        </w:rPr>
        <w:t>дезадаптация, проявляющаяся в нарушении норм общежития и трудовой дисциплины</w:t>
      </w:r>
      <w:r w:rsidRPr="00EC1A78">
        <w:rPr>
          <w:b/>
          <w:sz w:val="22"/>
          <w:szCs w:val="22"/>
        </w:rPr>
        <w:t>;</w:t>
      </w:r>
      <w:r w:rsidRPr="00EC1A78">
        <w:t xml:space="preserve"> </w:t>
      </w:r>
      <w:r w:rsidRPr="00EC1A78">
        <w:rPr>
          <w:sz w:val="22"/>
          <w:szCs w:val="22"/>
        </w:rPr>
        <w:t>склонность к внешнеобвиняющим реакциям</w:t>
      </w:r>
      <w:r w:rsidRPr="00EC1A78">
        <w:rPr>
          <w:b/>
          <w:sz w:val="22"/>
          <w:szCs w:val="22"/>
        </w:rPr>
        <w:t>.</w:t>
      </w:r>
    </w:p>
    <w:p w:rsidR="00EC1A78" w:rsidRPr="00EC1A78" w:rsidRDefault="00EC1A78" w:rsidP="00EC1A78">
      <w:pPr>
        <w:shd w:val="clear" w:color="auto" w:fill="FFFFFF"/>
        <w:ind w:firstLine="425"/>
        <w:jc w:val="both"/>
        <w:textAlignment w:val="baseline"/>
        <w:rPr>
          <w:sz w:val="22"/>
          <w:szCs w:val="22"/>
        </w:rPr>
      </w:pPr>
      <w:r w:rsidRPr="00EC1A78">
        <w:rPr>
          <w:sz w:val="22"/>
          <w:szCs w:val="22"/>
          <w:bdr w:val="none" w:sz="0" w:space="0" w:color="auto" w:frame="1"/>
        </w:rPr>
        <w:t>3) подструктура опыта:</w:t>
      </w:r>
      <w:r w:rsidRPr="00EC1A78">
        <w:rPr>
          <w:sz w:val="22"/>
          <w:szCs w:val="22"/>
        </w:rPr>
        <w:t xml:space="preserve"> неполное среднее образование – 53 %; 30,1 % – среднее образование; 12 % – среднее профессиональное; 3,2 % – неоконченное высшее; 1,7 % – высшее образование.</w:t>
      </w:r>
    </w:p>
    <w:p w:rsidR="00EC1A78" w:rsidRPr="00EC1A78" w:rsidRDefault="00EC1A78" w:rsidP="00EC1A78">
      <w:pPr>
        <w:shd w:val="clear" w:color="auto" w:fill="FFFFFF"/>
        <w:ind w:firstLine="425"/>
        <w:jc w:val="both"/>
        <w:textAlignment w:val="baseline"/>
        <w:rPr>
          <w:sz w:val="22"/>
          <w:szCs w:val="22"/>
        </w:rPr>
      </w:pPr>
      <w:r w:rsidRPr="00EC1A78">
        <w:rPr>
          <w:sz w:val="22"/>
          <w:szCs w:val="22"/>
          <w:bdr w:val="none" w:sz="0" w:space="0" w:color="auto" w:frame="1"/>
        </w:rPr>
        <w:t>4) биологическая подструктура: 85 % – мужчины; 15 % – же</w:t>
      </w:r>
      <w:r w:rsidRPr="00EC1A78">
        <w:rPr>
          <w:sz w:val="22"/>
          <w:szCs w:val="22"/>
          <w:bdr w:val="none" w:sz="0" w:space="0" w:color="auto" w:frame="1"/>
        </w:rPr>
        <w:t>н</w:t>
      </w:r>
      <w:r w:rsidRPr="00EC1A78">
        <w:rPr>
          <w:sz w:val="22"/>
          <w:szCs w:val="22"/>
          <w:bdr w:val="none" w:sz="0" w:space="0" w:color="auto" w:frame="1"/>
        </w:rPr>
        <w:t xml:space="preserve">щины; возраст: </w:t>
      </w:r>
      <w:r w:rsidRPr="00EC1A78">
        <w:rPr>
          <w:sz w:val="22"/>
          <w:szCs w:val="22"/>
        </w:rPr>
        <w:t>14–18 лет – 12 %; 18–29 лет – 67, 6 %; 30–49 лет – 18,3 %; 50–60 лет – 2,1 %; сильный тип высшей нервной деятельн</w:t>
      </w:r>
      <w:r w:rsidRPr="00EC1A78">
        <w:rPr>
          <w:sz w:val="22"/>
          <w:szCs w:val="22"/>
        </w:rPr>
        <w:t>о</w:t>
      </w:r>
      <w:r w:rsidRPr="00EC1A78">
        <w:rPr>
          <w:sz w:val="22"/>
          <w:szCs w:val="22"/>
        </w:rPr>
        <w:t xml:space="preserve">сти; имеют признаки умственной отсталости – 18 %. </w:t>
      </w:r>
    </w:p>
    <w:p w:rsidR="00EC1A78" w:rsidRPr="00EC1A78" w:rsidRDefault="00EC1A78" w:rsidP="00560F00">
      <w:pPr>
        <w:shd w:val="clear" w:color="auto" w:fill="FFFFFF"/>
        <w:ind w:firstLine="425"/>
        <w:jc w:val="both"/>
        <w:textAlignment w:val="baseline"/>
        <w:rPr>
          <w:sz w:val="22"/>
          <w:szCs w:val="22"/>
          <w:bdr w:val="none" w:sz="0" w:space="0" w:color="auto" w:frame="1"/>
        </w:rPr>
      </w:pPr>
      <w:r w:rsidRPr="00EC1A78">
        <w:rPr>
          <w:sz w:val="22"/>
          <w:szCs w:val="22"/>
          <w:bdr w:val="none" w:sz="0" w:space="0" w:color="auto" w:frame="1"/>
        </w:rPr>
        <w:t>Указанные личностные особенности присущи большей части лиц, совершивших убийство с особой жестокостью. Таким образом, эти данные могут использоваться следователем, во–первых, для</w:t>
      </w:r>
      <w:r w:rsidRPr="00EC1A78">
        <w:rPr>
          <w:sz w:val="22"/>
          <w:szCs w:val="22"/>
        </w:rPr>
        <w:t xml:space="preserve"> проверки версии в отношении причастности к преступлению ко</w:t>
      </w:r>
      <w:r w:rsidRPr="00EC1A78">
        <w:rPr>
          <w:sz w:val="22"/>
          <w:szCs w:val="22"/>
        </w:rPr>
        <w:t>н</w:t>
      </w:r>
      <w:r w:rsidRPr="00EC1A78">
        <w:rPr>
          <w:sz w:val="22"/>
          <w:szCs w:val="22"/>
        </w:rPr>
        <w:t>кретного субъекта</w:t>
      </w:r>
      <w:r w:rsidRPr="00EC1A78">
        <w:rPr>
          <w:sz w:val="22"/>
          <w:szCs w:val="22"/>
          <w:bdr w:val="none" w:sz="0" w:space="0" w:color="auto" w:frame="1"/>
        </w:rPr>
        <w:t xml:space="preserve">, во–вторых, для </w:t>
      </w:r>
      <w:r w:rsidRPr="00EC1A78">
        <w:rPr>
          <w:sz w:val="22"/>
          <w:szCs w:val="22"/>
        </w:rPr>
        <w:t>избрания оптимальной тактики производства следственных действий с ним.</w:t>
      </w:r>
      <w:r w:rsidRPr="00EC1A78">
        <w:rPr>
          <w:sz w:val="22"/>
          <w:szCs w:val="22"/>
          <w:bdr w:val="none" w:sz="0" w:space="0" w:color="auto" w:frame="1"/>
        </w:rPr>
        <w:t xml:space="preserve"> </w:t>
      </w:r>
    </w:p>
    <w:p w:rsidR="00EC1A78" w:rsidRPr="00EC1A78" w:rsidRDefault="00EC1A78" w:rsidP="00EC1A78">
      <w:pPr>
        <w:shd w:val="clear" w:color="auto" w:fill="FFFFFF"/>
        <w:ind w:firstLine="425"/>
        <w:jc w:val="center"/>
        <w:textAlignment w:val="baseline"/>
        <w:rPr>
          <w:sz w:val="22"/>
          <w:szCs w:val="22"/>
        </w:rPr>
      </w:pPr>
      <w:r w:rsidRPr="00EC1A78">
        <w:rPr>
          <w:sz w:val="22"/>
          <w:szCs w:val="22"/>
        </w:rPr>
        <w:t>Список литературы</w:t>
      </w:r>
    </w:p>
    <w:p w:rsidR="00EC1A78" w:rsidRPr="00EC1A78" w:rsidRDefault="00EC1A78" w:rsidP="00EC1A78">
      <w:pPr>
        <w:widowControl w:val="0"/>
        <w:ind w:firstLine="425"/>
        <w:jc w:val="both"/>
        <w:rPr>
          <w:sz w:val="22"/>
          <w:szCs w:val="22"/>
        </w:rPr>
      </w:pPr>
      <w:r w:rsidRPr="00EC1A78">
        <w:rPr>
          <w:sz w:val="22"/>
          <w:szCs w:val="22"/>
        </w:rPr>
        <w:t>1. Бартол, К. Психология криминального поведения / Курт Ба</w:t>
      </w:r>
      <w:r w:rsidRPr="00EC1A78">
        <w:rPr>
          <w:sz w:val="22"/>
          <w:szCs w:val="22"/>
        </w:rPr>
        <w:t>р</w:t>
      </w:r>
      <w:r w:rsidRPr="00EC1A78">
        <w:rPr>
          <w:sz w:val="22"/>
          <w:szCs w:val="22"/>
        </w:rPr>
        <w:t>тол</w:t>
      </w:r>
      <w:r w:rsidRPr="00EC1A78">
        <w:rPr>
          <w:sz w:val="22"/>
          <w:szCs w:val="22"/>
          <w:shd w:val="clear" w:color="auto" w:fill="FFFFFF"/>
        </w:rPr>
        <w:t>; перевод с англ. А. Боричев, А. Можаев, Л. Ордановская, М. Парсаданова</w:t>
      </w:r>
      <w:r w:rsidRPr="00EC1A78">
        <w:rPr>
          <w:sz w:val="22"/>
          <w:szCs w:val="22"/>
        </w:rPr>
        <w:t>. – СПб., 2004.</w:t>
      </w:r>
    </w:p>
    <w:p w:rsidR="00EC1A78" w:rsidRPr="00EC1A78" w:rsidRDefault="00EC1A78" w:rsidP="00EC1A78">
      <w:pPr>
        <w:widowControl w:val="0"/>
        <w:ind w:firstLine="425"/>
        <w:jc w:val="both"/>
        <w:rPr>
          <w:sz w:val="22"/>
          <w:szCs w:val="22"/>
        </w:rPr>
      </w:pPr>
      <w:r w:rsidRPr="00EC1A78">
        <w:rPr>
          <w:sz w:val="22"/>
          <w:szCs w:val="22"/>
        </w:rPr>
        <w:t>2. Комментарий к Уголовному кодексу Российской Федерации / под. общ. ред. Ю. И. Скуратова, В. М. Лебедева. – М., 1996.</w:t>
      </w:r>
    </w:p>
    <w:p w:rsidR="00EC1A78" w:rsidRPr="00EC1A78" w:rsidRDefault="00EC1A78" w:rsidP="00EC1A78">
      <w:pPr>
        <w:widowControl w:val="0"/>
        <w:ind w:firstLine="425"/>
        <w:jc w:val="both"/>
        <w:rPr>
          <w:sz w:val="22"/>
          <w:szCs w:val="22"/>
        </w:rPr>
      </w:pPr>
      <w:r w:rsidRPr="00EC1A78">
        <w:rPr>
          <w:sz w:val="22"/>
          <w:szCs w:val="22"/>
        </w:rPr>
        <w:t>3. Настольная книга следователя. Расследование преступлений против личности (убийство, торговля людьми) : науч.–метод. пос</w:t>
      </w:r>
      <w:r w:rsidRPr="00EC1A78">
        <w:rPr>
          <w:sz w:val="22"/>
          <w:szCs w:val="22"/>
        </w:rPr>
        <w:t>о</w:t>
      </w:r>
      <w:r w:rsidRPr="00EC1A78">
        <w:rPr>
          <w:sz w:val="22"/>
          <w:szCs w:val="22"/>
        </w:rPr>
        <w:t>бие / под. ред. А. И. Дворкина, А. Б. Соловьева. – М., 2007.</w:t>
      </w:r>
    </w:p>
    <w:p w:rsidR="00EC1A78" w:rsidRPr="00EC1A78" w:rsidRDefault="00EC1A78" w:rsidP="00EC1A78">
      <w:pPr>
        <w:widowControl w:val="0"/>
        <w:ind w:firstLine="425"/>
        <w:jc w:val="both"/>
        <w:rPr>
          <w:sz w:val="22"/>
          <w:szCs w:val="22"/>
        </w:rPr>
      </w:pPr>
      <w:r w:rsidRPr="00EC1A78">
        <w:rPr>
          <w:sz w:val="22"/>
          <w:szCs w:val="22"/>
        </w:rPr>
        <w:t xml:space="preserve">4. Столяренко, Л. Д. Психология : учебник для вузов / Л. Д. Столяренко. – СПб., 2006. </w:t>
      </w:r>
    </w:p>
    <w:p w:rsidR="00EB2EB8" w:rsidRPr="00560F00" w:rsidRDefault="00EC1A78" w:rsidP="00560F00">
      <w:pPr>
        <w:widowControl w:val="0"/>
        <w:ind w:firstLine="425"/>
        <w:jc w:val="both"/>
        <w:rPr>
          <w:sz w:val="22"/>
          <w:szCs w:val="22"/>
        </w:rPr>
      </w:pPr>
      <w:r w:rsidRPr="00EC1A78">
        <w:rPr>
          <w:sz w:val="22"/>
          <w:szCs w:val="22"/>
        </w:rPr>
        <w:t>5. Архив Краснодарского краевого суда. Уголовное дело № 16900566.</w:t>
      </w: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343.352.4</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Исторические аспекты посредничества во взяточничестве</w:t>
      </w:r>
    </w:p>
    <w:p w:rsidR="00EC1A78" w:rsidRPr="00EB2EB8" w:rsidRDefault="00EC1A78" w:rsidP="00EC1A78">
      <w:pPr>
        <w:jc w:val="center"/>
        <w:rPr>
          <w:rFonts w:eastAsiaTheme="minorHAnsi"/>
          <w:b/>
          <w:sz w:val="24"/>
          <w:szCs w:val="24"/>
          <w:lang w:val="en-US" w:eastAsia="en-US"/>
        </w:rPr>
      </w:pPr>
      <w:r w:rsidRPr="00EB2EB8">
        <w:rPr>
          <w:rFonts w:eastAsiaTheme="minorHAnsi"/>
          <w:b/>
          <w:sz w:val="24"/>
          <w:szCs w:val="24"/>
          <w:lang w:val="en-CA" w:eastAsia="en-US"/>
        </w:rPr>
        <w:t>Historical</w:t>
      </w:r>
      <w:r w:rsidRPr="00EB2EB8">
        <w:rPr>
          <w:rFonts w:eastAsiaTheme="minorHAnsi"/>
          <w:b/>
          <w:sz w:val="24"/>
          <w:szCs w:val="24"/>
          <w:lang w:val="en-US" w:eastAsia="en-US"/>
        </w:rPr>
        <w:t xml:space="preserve"> </w:t>
      </w:r>
      <w:r w:rsidRPr="00EB2EB8">
        <w:rPr>
          <w:rFonts w:eastAsiaTheme="minorHAnsi"/>
          <w:b/>
          <w:sz w:val="24"/>
          <w:szCs w:val="24"/>
          <w:lang w:val="en-CA" w:eastAsia="en-US"/>
        </w:rPr>
        <w:t>aspects</w:t>
      </w:r>
      <w:r w:rsidRPr="00EB2EB8">
        <w:rPr>
          <w:rFonts w:eastAsiaTheme="minorHAnsi"/>
          <w:b/>
          <w:sz w:val="24"/>
          <w:szCs w:val="24"/>
          <w:lang w:val="en-US" w:eastAsia="en-US"/>
        </w:rPr>
        <w:t xml:space="preserve"> </w:t>
      </w:r>
      <w:r w:rsidRPr="00EB2EB8">
        <w:rPr>
          <w:rFonts w:eastAsiaTheme="minorHAnsi"/>
          <w:b/>
          <w:sz w:val="24"/>
          <w:szCs w:val="24"/>
          <w:lang w:val="en-CA" w:eastAsia="en-US"/>
        </w:rPr>
        <w:t>of</w:t>
      </w:r>
      <w:r w:rsidRPr="00EB2EB8">
        <w:rPr>
          <w:rFonts w:eastAsiaTheme="minorHAnsi"/>
          <w:b/>
          <w:sz w:val="24"/>
          <w:szCs w:val="24"/>
          <w:lang w:val="en-US" w:eastAsia="en-US"/>
        </w:rPr>
        <w:t xml:space="preserve"> </w:t>
      </w:r>
      <w:r w:rsidRPr="00EB2EB8">
        <w:rPr>
          <w:rFonts w:eastAsiaTheme="minorHAnsi"/>
          <w:b/>
          <w:sz w:val="24"/>
          <w:szCs w:val="24"/>
          <w:lang w:val="en-CA" w:eastAsia="en-US"/>
        </w:rPr>
        <w:t>surety</w:t>
      </w:r>
      <w:r w:rsidRPr="00EB2EB8">
        <w:rPr>
          <w:rFonts w:eastAsiaTheme="minorHAnsi"/>
          <w:b/>
          <w:sz w:val="24"/>
          <w:szCs w:val="24"/>
          <w:lang w:val="en-US" w:eastAsia="en-US"/>
        </w:rPr>
        <w:t xml:space="preserve"> </w:t>
      </w:r>
      <w:r w:rsidRPr="00EB2EB8">
        <w:rPr>
          <w:rFonts w:eastAsiaTheme="minorHAnsi"/>
          <w:b/>
          <w:sz w:val="24"/>
          <w:szCs w:val="24"/>
          <w:lang w:val="en-CA" w:eastAsia="en-US"/>
        </w:rPr>
        <w:t>in</w:t>
      </w:r>
      <w:r w:rsidRPr="00EB2EB8">
        <w:rPr>
          <w:rFonts w:eastAsiaTheme="minorHAnsi"/>
          <w:b/>
          <w:sz w:val="24"/>
          <w:szCs w:val="24"/>
          <w:lang w:val="en-US" w:eastAsia="en-US"/>
        </w:rPr>
        <w:t xml:space="preserve"> </w:t>
      </w:r>
      <w:r w:rsidRPr="00EB2EB8">
        <w:rPr>
          <w:rFonts w:eastAsiaTheme="minorHAnsi"/>
          <w:b/>
          <w:sz w:val="24"/>
          <w:szCs w:val="24"/>
          <w:lang w:val="en-CA" w:eastAsia="en-US"/>
        </w:rPr>
        <w:t>bribery</w:t>
      </w:r>
    </w:p>
    <w:p w:rsidR="00EC1A78" w:rsidRPr="00EB2EB8" w:rsidRDefault="00EC1A78" w:rsidP="00EC1A78">
      <w:pPr>
        <w:jc w:val="both"/>
        <w:rPr>
          <w:rFonts w:eastAsiaTheme="minorHAnsi"/>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Колодкина А.</w:t>
      </w:r>
      <w:r w:rsidR="00EB2EB8">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Чапурко Т.</w:t>
      </w:r>
      <w:r w:rsidR="00EB2EB8">
        <w:rPr>
          <w:rFonts w:eastAsiaTheme="minorHAnsi"/>
          <w:sz w:val="22"/>
          <w:szCs w:val="22"/>
          <w:lang w:eastAsia="en-US"/>
        </w:rPr>
        <w:t xml:space="preserve"> </w:t>
      </w:r>
      <w:r w:rsidRPr="00EC1A78">
        <w:rPr>
          <w:rFonts w:eastAsiaTheme="minorHAnsi"/>
          <w:sz w:val="22"/>
          <w:szCs w:val="22"/>
          <w:lang w:eastAsia="en-US"/>
        </w:rPr>
        <w:t xml:space="preserve">М., </w:t>
      </w:r>
    </w:p>
    <w:p w:rsidR="00EC1A78" w:rsidRPr="00EC1A78" w:rsidRDefault="00EB2EB8" w:rsidP="00EC1A78">
      <w:pPr>
        <w:jc w:val="right"/>
        <w:rPr>
          <w:rFonts w:eastAsiaTheme="minorHAnsi"/>
          <w:sz w:val="22"/>
          <w:szCs w:val="22"/>
          <w:lang w:eastAsia="en-US"/>
        </w:rPr>
      </w:pPr>
      <w:r>
        <w:rPr>
          <w:rFonts w:eastAsiaTheme="minorHAnsi"/>
          <w:sz w:val="22"/>
          <w:szCs w:val="22"/>
          <w:lang w:eastAsia="en-US"/>
        </w:rPr>
        <w:t>п</w:t>
      </w:r>
      <w:r w:rsidR="00EC1A78" w:rsidRPr="00EC1A78">
        <w:rPr>
          <w:rFonts w:eastAsiaTheme="minorHAnsi"/>
          <w:sz w:val="22"/>
          <w:szCs w:val="22"/>
          <w:lang w:eastAsia="en-US"/>
        </w:rPr>
        <w:t>рофессор кафедры уголовного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EB2EB8">
        <w:rPr>
          <w:rFonts w:eastAsiaTheme="minorHAnsi"/>
          <w:sz w:val="22"/>
          <w:szCs w:val="22"/>
          <w:lang w:eastAsia="en-US"/>
        </w:rPr>
        <w:t xml:space="preserve"> </w:t>
      </w:r>
      <w:r w:rsidRPr="00EC1A78">
        <w:rPr>
          <w:rFonts w:eastAsiaTheme="minorHAnsi"/>
          <w:sz w:val="22"/>
          <w:szCs w:val="22"/>
          <w:lang w:eastAsia="en-US"/>
        </w:rPr>
        <w:t>Т.Трубилина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Данная статья посвящена такому способу как обеспечение посредничества во взяточничестве. В рассматриваемой статье поднимаются наиболее важные исторические аспекты, кот</w:t>
      </w:r>
      <w:r w:rsidRPr="00EC1A78">
        <w:rPr>
          <w:rFonts w:eastAsiaTheme="minorHAnsi"/>
          <w:sz w:val="22"/>
          <w:szCs w:val="22"/>
          <w:lang w:eastAsia="en-US"/>
        </w:rPr>
        <w:t>о</w:t>
      </w:r>
      <w:r w:rsidRPr="00EC1A78">
        <w:rPr>
          <w:rFonts w:eastAsiaTheme="minorHAnsi"/>
          <w:sz w:val="22"/>
          <w:szCs w:val="22"/>
          <w:lang w:eastAsia="en-US"/>
        </w:rPr>
        <w:t>рые представляются наиболее безусловными и важными в насто</w:t>
      </w:r>
      <w:r w:rsidRPr="00EC1A78">
        <w:rPr>
          <w:rFonts w:eastAsiaTheme="minorHAnsi"/>
          <w:sz w:val="22"/>
          <w:szCs w:val="22"/>
          <w:lang w:eastAsia="en-US"/>
        </w:rPr>
        <w:t>я</w:t>
      </w:r>
      <w:r w:rsidRPr="00EC1A78">
        <w:rPr>
          <w:rFonts w:eastAsiaTheme="minorHAnsi"/>
          <w:sz w:val="22"/>
          <w:szCs w:val="22"/>
          <w:lang w:eastAsia="en-US"/>
        </w:rPr>
        <w:t>щее время.</w:t>
      </w:r>
    </w:p>
    <w:p w:rsidR="00EC1A78" w:rsidRPr="00EC1A78" w:rsidRDefault="00EC1A78" w:rsidP="00EC1A78">
      <w:pPr>
        <w:ind w:firstLine="426"/>
        <w:jc w:val="both"/>
        <w:rPr>
          <w:rFonts w:eastAsiaTheme="minorHAnsi"/>
          <w:sz w:val="22"/>
          <w:szCs w:val="22"/>
          <w:lang w:val="en-CA" w:eastAsia="en-US"/>
        </w:rPr>
      </w:pPr>
      <w:r w:rsidRPr="00EC1A78">
        <w:rPr>
          <w:rFonts w:eastAsiaTheme="minorHAnsi"/>
          <w:sz w:val="22"/>
          <w:szCs w:val="22"/>
          <w:lang w:val="en-CA" w:eastAsia="en-US"/>
        </w:rPr>
        <w:t>ABSTRACT</w:t>
      </w:r>
      <w:r w:rsidRPr="00EC1A78">
        <w:rPr>
          <w:rFonts w:eastAsiaTheme="minorHAnsi"/>
          <w:sz w:val="22"/>
          <w:szCs w:val="22"/>
          <w:lang w:val="en-US" w:eastAsia="en-US"/>
        </w:rPr>
        <w:t>:</w:t>
      </w:r>
      <w:r w:rsidRPr="00EC1A78">
        <w:rPr>
          <w:rFonts w:eastAsiaTheme="minorHAnsi"/>
          <w:sz w:val="22"/>
          <w:szCs w:val="22"/>
          <w:lang w:val="en-CA" w:eastAsia="en-US"/>
        </w:rPr>
        <w:t xml:space="preserve"> This article is devoted to such a method as providing surety in bribery. In this article, the most important historical aspects are raised, which seem most unconditional and important at the present time.</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история, посредничество во взяточнич</w:t>
      </w:r>
      <w:r w:rsidRPr="00EC1A78">
        <w:rPr>
          <w:rFonts w:eastAsiaTheme="minorHAnsi"/>
          <w:sz w:val="22"/>
          <w:szCs w:val="22"/>
          <w:lang w:eastAsia="en-US"/>
        </w:rPr>
        <w:t>е</w:t>
      </w:r>
      <w:r w:rsidRPr="00EC1A78">
        <w:rPr>
          <w:rFonts w:eastAsiaTheme="minorHAnsi"/>
          <w:sz w:val="22"/>
          <w:szCs w:val="22"/>
          <w:lang w:eastAsia="en-US"/>
        </w:rPr>
        <w:t>стве, взяточничество, проблемы квалификации преступлений.</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CA" w:eastAsia="en-US"/>
        </w:rPr>
        <w:t>KEYWORDS: history, mediation in bribery, corrupt practices, problems of qualification of crimes.</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Обратимся к рассмотрению темы посредничества во взяточн</w:t>
      </w:r>
      <w:r w:rsidRPr="00EC1A78">
        <w:rPr>
          <w:rFonts w:eastAsiaTheme="minorHAnsi"/>
          <w:sz w:val="22"/>
          <w:szCs w:val="22"/>
          <w:lang w:eastAsia="en-US"/>
        </w:rPr>
        <w:t>и</w:t>
      </w:r>
      <w:r w:rsidRPr="00EC1A78">
        <w:rPr>
          <w:rFonts w:eastAsiaTheme="minorHAnsi"/>
          <w:sz w:val="22"/>
          <w:szCs w:val="22"/>
          <w:lang w:eastAsia="en-US"/>
        </w:rPr>
        <w:t>честве, которая в настоящее время занимает особое место и являе</w:t>
      </w:r>
      <w:r w:rsidRPr="00EC1A78">
        <w:rPr>
          <w:rFonts w:eastAsiaTheme="minorHAnsi"/>
          <w:sz w:val="22"/>
          <w:szCs w:val="22"/>
          <w:lang w:eastAsia="en-US"/>
        </w:rPr>
        <w:t>т</w:t>
      </w:r>
      <w:r w:rsidRPr="00EC1A78">
        <w:rPr>
          <w:rFonts w:eastAsiaTheme="minorHAnsi"/>
          <w:sz w:val="22"/>
          <w:szCs w:val="22"/>
          <w:lang w:eastAsia="en-US"/>
        </w:rPr>
        <w:t>ся весьма актуальной, как поиск способа ухода от непосредственной ответственности должностного лица. Исследованию подвергнем социально-исторические и историко-правовые аспекты посреднич</w:t>
      </w:r>
      <w:r w:rsidRPr="00EC1A78">
        <w:rPr>
          <w:rFonts w:eastAsiaTheme="minorHAnsi"/>
          <w:sz w:val="22"/>
          <w:szCs w:val="22"/>
          <w:lang w:eastAsia="en-US"/>
        </w:rPr>
        <w:t>е</w:t>
      </w:r>
      <w:r w:rsidRPr="00EC1A78">
        <w:rPr>
          <w:rFonts w:eastAsiaTheme="minorHAnsi"/>
          <w:sz w:val="22"/>
          <w:szCs w:val="22"/>
          <w:lang w:eastAsia="en-US"/>
        </w:rPr>
        <w:t>ства во взяточничестве, которые позволят оценить не только вопр</w:t>
      </w:r>
      <w:r w:rsidRPr="00EC1A78">
        <w:rPr>
          <w:rFonts w:eastAsiaTheme="minorHAnsi"/>
          <w:sz w:val="22"/>
          <w:szCs w:val="22"/>
          <w:lang w:eastAsia="en-US"/>
        </w:rPr>
        <w:t>о</w:t>
      </w:r>
      <w:r w:rsidRPr="00EC1A78">
        <w:rPr>
          <w:rFonts w:eastAsiaTheme="minorHAnsi"/>
          <w:sz w:val="22"/>
          <w:szCs w:val="22"/>
          <w:lang w:eastAsia="en-US"/>
        </w:rPr>
        <w:t xml:space="preserve">сы общественной опасности такого способа совершения деяния, но и главное соозмеримости ее уголовной ответственности.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Взяточничество – одно из наиболее распространенных и риск</w:t>
      </w:r>
      <w:r w:rsidRPr="00EC1A78">
        <w:rPr>
          <w:rFonts w:eastAsiaTheme="minorHAnsi"/>
          <w:sz w:val="22"/>
          <w:szCs w:val="22"/>
          <w:lang w:eastAsia="en-US"/>
        </w:rPr>
        <w:t>о</w:t>
      </w:r>
      <w:r w:rsidRPr="00EC1A78">
        <w:rPr>
          <w:rFonts w:eastAsiaTheme="minorHAnsi"/>
          <w:sz w:val="22"/>
          <w:szCs w:val="22"/>
          <w:lang w:eastAsia="en-US"/>
        </w:rPr>
        <w:t>ванных видов коррупционных преступлений, имеющие в России основательные социально-исторические начала. В источнике сам</w:t>
      </w:r>
      <w:r w:rsidRPr="00EC1A78">
        <w:rPr>
          <w:rFonts w:eastAsiaTheme="minorHAnsi"/>
          <w:sz w:val="22"/>
          <w:szCs w:val="22"/>
          <w:lang w:eastAsia="en-US"/>
        </w:rPr>
        <w:t>о</w:t>
      </w:r>
      <w:r w:rsidRPr="00EC1A78">
        <w:rPr>
          <w:rFonts w:eastAsiaTheme="minorHAnsi"/>
          <w:sz w:val="22"/>
          <w:szCs w:val="22"/>
          <w:lang w:eastAsia="en-US"/>
        </w:rPr>
        <w:t xml:space="preserve">стоятельного преступления «посредничество во взяточничестве» </w:t>
      </w:r>
      <w:r w:rsidRPr="00EC1A78">
        <w:rPr>
          <w:rFonts w:eastAsiaTheme="minorHAnsi"/>
          <w:sz w:val="22"/>
          <w:szCs w:val="22"/>
          <w:lang w:eastAsia="en-US"/>
        </w:rPr>
        <w:lastRenderedPageBreak/>
        <w:t>упоминалось по Уголовному кодексу РСФСР 1922 г. и Уголовному кодексу РСФСР 1926 г. Стоит отметить, что в редакции Уголовного кодекса РСФСР 1960 г. ответственность за посредничество во вз</w:t>
      </w:r>
      <w:r w:rsidRPr="00EC1A78">
        <w:rPr>
          <w:rFonts w:eastAsiaTheme="minorHAnsi"/>
          <w:sz w:val="22"/>
          <w:szCs w:val="22"/>
          <w:lang w:eastAsia="en-US"/>
        </w:rPr>
        <w:t>я</w:t>
      </w:r>
      <w:r w:rsidRPr="00EC1A78">
        <w:rPr>
          <w:rFonts w:eastAsiaTheme="minorHAnsi"/>
          <w:sz w:val="22"/>
          <w:szCs w:val="22"/>
          <w:lang w:eastAsia="en-US"/>
        </w:rPr>
        <w:t>точничестве не была предусмотрена. Но в Постановлении Пленума Верховного Суда СССР от 31 июля 1962 г. «О судебной практике по делам о взяточничестве» полагалось, что посредник будет то, кто поступает по просьбе или по поручению взяткодателя или взятк</w:t>
      </w:r>
      <w:r w:rsidRPr="00EC1A78">
        <w:rPr>
          <w:rFonts w:eastAsiaTheme="minorHAnsi"/>
          <w:sz w:val="22"/>
          <w:szCs w:val="22"/>
          <w:lang w:eastAsia="en-US"/>
        </w:rPr>
        <w:t>о</w:t>
      </w:r>
      <w:r w:rsidRPr="00EC1A78">
        <w:rPr>
          <w:rFonts w:eastAsiaTheme="minorHAnsi"/>
          <w:sz w:val="22"/>
          <w:szCs w:val="22"/>
          <w:lang w:eastAsia="en-US"/>
        </w:rPr>
        <w:t>получателя, содействует достижению или реализации соглашения о даче, а именно получение взятки[1]. В Постановлении Пленума Верховного Суда СССР от 23 сентября 1977 г. «О судебной практ</w:t>
      </w:r>
      <w:r w:rsidRPr="00EC1A78">
        <w:rPr>
          <w:rFonts w:eastAsiaTheme="minorHAnsi"/>
          <w:sz w:val="22"/>
          <w:szCs w:val="22"/>
          <w:lang w:eastAsia="en-US"/>
        </w:rPr>
        <w:t>и</w:t>
      </w:r>
      <w:r w:rsidRPr="00EC1A78">
        <w:rPr>
          <w:rFonts w:eastAsiaTheme="minorHAnsi"/>
          <w:sz w:val="22"/>
          <w:szCs w:val="22"/>
          <w:lang w:eastAsia="en-US"/>
        </w:rPr>
        <w:t>ке по делам о взяточничестве», было узкое понятие посредничества, которое было заменено таким же Постановлением от 31 июля 1962 г[2]. В юридической литературе предполагалось мнение о рассмо</w:t>
      </w:r>
      <w:r w:rsidRPr="00EC1A78">
        <w:rPr>
          <w:rFonts w:eastAsiaTheme="minorHAnsi"/>
          <w:sz w:val="22"/>
          <w:szCs w:val="22"/>
          <w:lang w:eastAsia="en-US"/>
        </w:rPr>
        <w:t>т</w:t>
      </w:r>
      <w:r w:rsidRPr="00EC1A78">
        <w:rPr>
          <w:rFonts w:eastAsiaTheme="minorHAnsi"/>
          <w:sz w:val="22"/>
          <w:szCs w:val="22"/>
          <w:lang w:eastAsia="en-US"/>
        </w:rPr>
        <w:t>рении конкретных обстоятельств посредника во взяточничестве как исполнителя дачи взятки, потому как они действовали как в интер</w:t>
      </w:r>
      <w:r w:rsidRPr="00EC1A78">
        <w:rPr>
          <w:rFonts w:eastAsiaTheme="minorHAnsi"/>
          <w:sz w:val="22"/>
          <w:szCs w:val="22"/>
          <w:lang w:eastAsia="en-US"/>
        </w:rPr>
        <w:t>е</w:t>
      </w:r>
      <w:r w:rsidRPr="00EC1A78">
        <w:rPr>
          <w:rFonts w:eastAsiaTheme="minorHAnsi"/>
          <w:sz w:val="22"/>
          <w:szCs w:val="22"/>
          <w:lang w:eastAsia="en-US"/>
        </w:rPr>
        <w:t>сах, так и по сговору «представляемым им лицам». Такие юридич</w:t>
      </w:r>
      <w:r w:rsidRPr="00EC1A78">
        <w:rPr>
          <w:rFonts w:eastAsiaTheme="minorHAnsi"/>
          <w:sz w:val="22"/>
          <w:szCs w:val="22"/>
          <w:lang w:eastAsia="en-US"/>
        </w:rPr>
        <w:t>е</w:t>
      </w:r>
      <w:r w:rsidRPr="00EC1A78">
        <w:rPr>
          <w:rFonts w:eastAsiaTheme="minorHAnsi"/>
          <w:sz w:val="22"/>
          <w:szCs w:val="22"/>
          <w:lang w:eastAsia="en-US"/>
        </w:rPr>
        <w:t>ские препятствия как действия соисполнителя отсутствуют для кв</w:t>
      </w:r>
      <w:r w:rsidRPr="00EC1A78">
        <w:rPr>
          <w:rFonts w:eastAsiaTheme="minorHAnsi"/>
          <w:sz w:val="22"/>
          <w:szCs w:val="22"/>
          <w:lang w:eastAsia="en-US"/>
        </w:rPr>
        <w:t>а</w:t>
      </w:r>
      <w:r w:rsidRPr="00EC1A78">
        <w:rPr>
          <w:rFonts w:eastAsiaTheme="minorHAnsi"/>
          <w:sz w:val="22"/>
          <w:szCs w:val="22"/>
          <w:lang w:eastAsia="en-US"/>
        </w:rPr>
        <w:t>лификации. Поэтому посредничество в даче взятки следует квал</w:t>
      </w:r>
      <w:r w:rsidRPr="00EC1A78">
        <w:rPr>
          <w:rFonts w:eastAsiaTheme="minorHAnsi"/>
          <w:sz w:val="22"/>
          <w:szCs w:val="22"/>
          <w:lang w:eastAsia="en-US"/>
        </w:rPr>
        <w:t>и</w:t>
      </w:r>
      <w:r w:rsidRPr="00EC1A78">
        <w:rPr>
          <w:rFonts w:eastAsiaTheme="minorHAnsi"/>
          <w:sz w:val="22"/>
          <w:szCs w:val="22"/>
          <w:lang w:eastAsia="en-US"/>
        </w:rPr>
        <w:t xml:space="preserve">фицировать по статье 291 УК РФ, не ссылаясь на статью 33 УК РФ.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 в действующий УК РФ самостоятельный состав престу</w:t>
      </w:r>
      <w:r w:rsidRPr="00EC1A78">
        <w:rPr>
          <w:rFonts w:eastAsiaTheme="minorHAnsi"/>
          <w:sz w:val="22"/>
          <w:szCs w:val="22"/>
          <w:lang w:eastAsia="en-US"/>
        </w:rPr>
        <w:t>п</w:t>
      </w:r>
      <w:r w:rsidRPr="00EC1A78">
        <w:rPr>
          <w:rFonts w:eastAsiaTheme="minorHAnsi"/>
          <w:sz w:val="22"/>
          <w:szCs w:val="22"/>
          <w:lang w:eastAsia="en-US"/>
        </w:rPr>
        <w:t>ления за посредничество во взяточничестве был введен в 2011 г. До 2011 г. уголовная ответственность посредника во взяточничестве в зависимости от конкретных обстоятельств по делу и его роли, де</w:t>
      </w:r>
      <w:r w:rsidRPr="00EC1A78">
        <w:rPr>
          <w:rFonts w:eastAsiaTheme="minorHAnsi"/>
          <w:sz w:val="22"/>
          <w:szCs w:val="22"/>
          <w:lang w:eastAsia="en-US"/>
        </w:rPr>
        <w:t>й</w:t>
      </w:r>
      <w:r w:rsidRPr="00EC1A78">
        <w:rPr>
          <w:rFonts w:eastAsiaTheme="minorHAnsi"/>
          <w:sz w:val="22"/>
          <w:szCs w:val="22"/>
          <w:lang w:eastAsia="en-US"/>
        </w:rPr>
        <w:t>ствовала лишь в моментах, предусмотренных в статье 33 УК РФ[4]. Другими словами, в качестве организатора, подстрекателя или п</w:t>
      </w:r>
      <w:r w:rsidRPr="00EC1A78">
        <w:rPr>
          <w:rFonts w:eastAsiaTheme="minorHAnsi"/>
          <w:sz w:val="22"/>
          <w:szCs w:val="22"/>
          <w:lang w:eastAsia="en-US"/>
        </w:rPr>
        <w:t>о</w:t>
      </w:r>
      <w:r w:rsidRPr="00EC1A78">
        <w:rPr>
          <w:rFonts w:eastAsiaTheme="minorHAnsi"/>
          <w:sz w:val="22"/>
          <w:szCs w:val="22"/>
          <w:lang w:eastAsia="en-US"/>
        </w:rPr>
        <w:t>собника в даче или получении взятки. Основная проблема в соо</w:t>
      </w:r>
      <w:r w:rsidRPr="00EC1A78">
        <w:rPr>
          <w:rFonts w:eastAsiaTheme="minorHAnsi"/>
          <w:sz w:val="22"/>
          <w:szCs w:val="22"/>
          <w:lang w:eastAsia="en-US"/>
        </w:rPr>
        <w:t>т</w:t>
      </w:r>
      <w:r w:rsidRPr="00EC1A78">
        <w:rPr>
          <w:rFonts w:eastAsiaTheme="minorHAnsi"/>
          <w:sz w:val="22"/>
          <w:szCs w:val="22"/>
          <w:lang w:eastAsia="en-US"/>
        </w:rPr>
        <w:t>ветствии с ч.1 ст.291.1 УК РФ заключается в том, что посреднич</w:t>
      </w:r>
      <w:r w:rsidRPr="00EC1A78">
        <w:rPr>
          <w:rFonts w:eastAsiaTheme="minorHAnsi"/>
          <w:sz w:val="22"/>
          <w:szCs w:val="22"/>
          <w:lang w:eastAsia="en-US"/>
        </w:rPr>
        <w:t>е</w:t>
      </w:r>
      <w:r w:rsidRPr="00EC1A78">
        <w:rPr>
          <w:rFonts w:eastAsiaTheme="minorHAnsi"/>
          <w:sz w:val="22"/>
          <w:szCs w:val="22"/>
          <w:lang w:eastAsia="en-US"/>
        </w:rPr>
        <w:t>ство во взяточничестве представляется, когда речь зайдет о взятке в значительном размере[4]. Значительный размер взятки, согласно примечанию к статье 290 УК РФ та сумма денег, стоимость ценных бумаг, иного имущества или услуг имущественного характера, к</w:t>
      </w:r>
      <w:r w:rsidRPr="00EC1A78">
        <w:rPr>
          <w:rFonts w:eastAsiaTheme="minorHAnsi"/>
          <w:sz w:val="22"/>
          <w:szCs w:val="22"/>
          <w:lang w:eastAsia="en-US"/>
        </w:rPr>
        <w:t>о</w:t>
      </w:r>
      <w:r w:rsidRPr="00EC1A78">
        <w:rPr>
          <w:rFonts w:eastAsiaTheme="minorHAnsi"/>
          <w:sz w:val="22"/>
          <w:szCs w:val="22"/>
          <w:lang w:eastAsia="en-US"/>
        </w:rPr>
        <w:t>торая превышает 25 тыс. рублей. Возникает вопрос, как следует квалифицировать действия лица, которые проявились в передаче взятки или в совершении тех или иных действий, которые напра</w:t>
      </w:r>
      <w:r w:rsidRPr="00EC1A78">
        <w:rPr>
          <w:rFonts w:eastAsiaTheme="minorHAnsi"/>
          <w:sz w:val="22"/>
          <w:szCs w:val="22"/>
          <w:lang w:eastAsia="en-US"/>
        </w:rPr>
        <w:t>в</w:t>
      </w:r>
      <w:r w:rsidRPr="00EC1A78">
        <w:rPr>
          <w:rFonts w:eastAsiaTheme="minorHAnsi"/>
          <w:sz w:val="22"/>
          <w:szCs w:val="22"/>
          <w:lang w:eastAsia="en-US"/>
        </w:rPr>
        <w:t>лены на способствование взяткодателю и (или) взяткополучателю. Действия посредника по способствованию в достижении или самой реализации соглашения расцениваются как приготовление к даче или к получению взятки. Приготовление к преступлениям, пред</w:t>
      </w:r>
      <w:r w:rsidRPr="00EC1A78">
        <w:rPr>
          <w:rFonts w:eastAsiaTheme="minorHAnsi"/>
          <w:sz w:val="22"/>
          <w:szCs w:val="22"/>
          <w:lang w:eastAsia="en-US"/>
        </w:rPr>
        <w:t>у</w:t>
      </w:r>
      <w:r w:rsidRPr="00EC1A78">
        <w:rPr>
          <w:rFonts w:eastAsiaTheme="minorHAnsi"/>
          <w:sz w:val="22"/>
          <w:szCs w:val="22"/>
          <w:lang w:eastAsia="en-US"/>
        </w:rPr>
        <w:lastRenderedPageBreak/>
        <w:t>смотренным ч.1 ст.290 УК РФ, ч.ч.1-2 ст.291 УК РФ в соответствии с ч.2 ст.30 УК РФ является уголовно ненаказуемым[4]. Таким обр</w:t>
      </w:r>
      <w:r w:rsidRPr="00EC1A78">
        <w:rPr>
          <w:rFonts w:eastAsiaTheme="minorHAnsi"/>
          <w:sz w:val="22"/>
          <w:szCs w:val="22"/>
          <w:lang w:eastAsia="en-US"/>
        </w:rPr>
        <w:t>а</w:t>
      </w:r>
      <w:r w:rsidRPr="00EC1A78">
        <w:rPr>
          <w:rFonts w:eastAsiaTheme="minorHAnsi"/>
          <w:sz w:val="22"/>
          <w:szCs w:val="22"/>
          <w:lang w:eastAsia="en-US"/>
        </w:rPr>
        <w:t>зом, посредник должен быть привлечен к уголовной ответственн</w:t>
      </w:r>
      <w:r w:rsidRPr="00EC1A78">
        <w:rPr>
          <w:rFonts w:eastAsiaTheme="minorHAnsi"/>
          <w:sz w:val="22"/>
          <w:szCs w:val="22"/>
          <w:lang w:eastAsia="en-US"/>
        </w:rPr>
        <w:t>о</w:t>
      </w:r>
      <w:r w:rsidRPr="00EC1A78">
        <w:rPr>
          <w:rFonts w:eastAsiaTheme="minorHAnsi"/>
          <w:sz w:val="22"/>
          <w:szCs w:val="22"/>
          <w:lang w:eastAsia="en-US"/>
        </w:rPr>
        <w:t xml:space="preserve">сти как пособник в покушении на получение взятки или как на дачу взятки. </w:t>
      </w:r>
    </w:p>
    <w:p w:rsidR="00EC1A78" w:rsidRDefault="00EC1A78" w:rsidP="006478C4">
      <w:pPr>
        <w:ind w:firstLine="426"/>
        <w:jc w:val="both"/>
        <w:rPr>
          <w:rFonts w:eastAsiaTheme="minorHAnsi"/>
          <w:sz w:val="22"/>
          <w:szCs w:val="22"/>
          <w:lang w:eastAsia="en-US"/>
        </w:rPr>
      </w:pPr>
      <w:r w:rsidRPr="00EC1A78">
        <w:rPr>
          <w:rFonts w:eastAsiaTheme="minorHAnsi"/>
          <w:sz w:val="22"/>
          <w:szCs w:val="22"/>
          <w:lang w:eastAsia="en-US"/>
        </w:rPr>
        <w:t>Подводя итоги вышеизложенному, следует отметить, что в юридической литературе отмечается трактовка, которая порождает серьезные проблемы в правоприменении. Считаем, что в ведении данной нормы в Уголовном кодексе РФ обоснованно, более пол</w:t>
      </w:r>
      <w:r w:rsidRPr="00EC1A78">
        <w:rPr>
          <w:rFonts w:eastAsiaTheme="minorHAnsi"/>
          <w:sz w:val="22"/>
          <w:szCs w:val="22"/>
          <w:lang w:eastAsia="en-US"/>
        </w:rPr>
        <w:t>и</w:t>
      </w:r>
      <w:r w:rsidRPr="00EC1A78">
        <w:rPr>
          <w:rFonts w:eastAsiaTheme="minorHAnsi"/>
          <w:sz w:val="22"/>
          <w:szCs w:val="22"/>
          <w:lang w:eastAsia="en-US"/>
        </w:rPr>
        <w:t>тически, нежели криминологически. Ведь за отсутствие научного обоснования законодательных инициатив и игнорирование полож</w:t>
      </w:r>
      <w:r w:rsidRPr="00EC1A78">
        <w:rPr>
          <w:rFonts w:eastAsiaTheme="minorHAnsi"/>
          <w:sz w:val="22"/>
          <w:szCs w:val="22"/>
          <w:lang w:eastAsia="en-US"/>
        </w:rPr>
        <w:t>е</w:t>
      </w:r>
      <w:r w:rsidRPr="00EC1A78">
        <w:rPr>
          <w:rFonts w:eastAsiaTheme="minorHAnsi"/>
          <w:sz w:val="22"/>
          <w:szCs w:val="22"/>
          <w:lang w:eastAsia="en-US"/>
        </w:rPr>
        <w:t>ний научного сообщества приводит к видимым и системным сбоям законодательной сферы, что может вызвать определенные сложн</w:t>
      </w:r>
      <w:r w:rsidRPr="00EC1A78">
        <w:rPr>
          <w:rFonts w:eastAsiaTheme="minorHAnsi"/>
          <w:sz w:val="22"/>
          <w:szCs w:val="22"/>
          <w:lang w:eastAsia="en-US"/>
        </w:rPr>
        <w:t>о</w:t>
      </w:r>
      <w:r w:rsidRPr="00EC1A78">
        <w:rPr>
          <w:rFonts w:eastAsiaTheme="minorHAnsi"/>
          <w:sz w:val="22"/>
          <w:szCs w:val="22"/>
          <w:lang w:eastAsia="en-US"/>
        </w:rPr>
        <w:t xml:space="preserve">сти в правоприменительной практике. </w:t>
      </w:r>
    </w:p>
    <w:p w:rsidR="006478C4" w:rsidRPr="00EC1A78" w:rsidRDefault="006478C4" w:rsidP="00560F00">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Постановление Пленума Верховного Суда СССР от 30 июня 1970 г.№6 «О внесений дополнений в постановление Пленума Ве</w:t>
      </w:r>
      <w:r w:rsidRPr="00EC1A78">
        <w:rPr>
          <w:rFonts w:eastAsiaTheme="minorHAnsi"/>
          <w:sz w:val="22"/>
          <w:szCs w:val="22"/>
          <w:lang w:eastAsia="en-US"/>
        </w:rPr>
        <w:t>р</w:t>
      </w:r>
      <w:r w:rsidRPr="00EC1A78">
        <w:rPr>
          <w:rFonts w:eastAsiaTheme="minorHAnsi"/>
          <w:sz w:val="22"/>
          <w:szCs w:val="22"/>
          <w:lang w:eastAsia="en-US"/>
        </w:rPr>
        <w:t>ховного Суда СССР от 31 июля 1962 г. «О судебной практике по делам о взяточничестве». (утратил силу).</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Постановление Пленума Верховного Суда СССР от 23 се</w:t>
      </w:r>
      <w:r w:rsidRPr="00EC1A78">
        <w:rPr>
          <w:rFonts w:eastAsiaTheme="minorHAnsi"/>
          <w:sz w:val="22"/>
          <w:szCs w:val="22"/>
          <w:lang w:eastAsia="en-US"/>
        </w:rPr>
        <w:t>н</w:t>
      </w:r>
      <w:r w:rsidRPr="00EC1A78">
        <w:rPr>
          <w:rFonts w:eastAsiaTheme="minorHAnsi"/>
          <w:sz w:val="22"/>
          <w:szCs w:val="22"/>
          <w:lang w:eastAsia="en-US"/>
        </w:rPr>
        <w:t>тября 1977 г.№16 «О судебной практике по делам о взяточнич</w:t>
      </w:r>
      <w:r w:rsidRPr="00EC1A78">
        <w:rPr>
          <w:rFonts w:eastAsiaTheme="minorHAnsi"/>
          <w:sz w:val="22"/>
          <w:szCs w:val="22"/>
          <w:lang w:eastAsia="en-US"/>
        </w:rPr>
        <w:t>е</w:t>
      </w:r>
      <w:r w:rsidRPr="00EC1A78">
        <w:rPr>
          <w:rFonts w:eastAsiaTheme="minorHAnsi"/>
          <w:sz w:val="22"/>
          <w:szCs w:val="22"/>
          <w:lang w:eastAsia="en-US"/>
        </w:rPr>
        <w:t>стве». (утратил силу).</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Постановление Пленума Верховного Суда СССР от 30 марта 1990 г.№3 «О судебной практике по делам о взяточничестве». (утратил силу).</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Уголовный кодекс Российской Федерации от 13.06.1996 №63-ФЗ (ред. от 29.07.2017) // Собрание законодательства РФ. 1996. №25. Ст. 2954.</w:t>
      </w:r>
    </w:p>
    <w:p w:rsidR="00EC1A78" w:rsidRDefault="00EC1A78" w:rsidP="00EC1A78">
      <w:pPr>
        <w:jc w:val="both"/>
        <w:rPr>
          <w:rFonts w:eastAsiaTheme="minorHAnsi"/>
          <w:sz w:val="22"/>
          <w:szCs w:val="22"/>
          <w:lang w:eastAsia="en-US"/>
        </w:rPr>
      </w:pPr>
    </w:p>
    <w:p w:rsidR="00EB2EB8" w:rsidRDefault="00EB2EB8" w:rsidP="00EC1A78">
      <w:pPr>
        <w:jc w:val="both"/>
        <w:rPr>
          <w:rFonts w:eastAsiaTheme="minorHAnsi"/>
          <w:sz w:val="22"/>
          <w:szCs w:val="22"/>
          <w:lang w:eastAsia="en-US"/>
        </w:rPr>
      </w:pPr>
    </w:p>
    <w:p w:rsidR="00EB2EB8" w:rsidRPr="00EC1A78" w:rsidRDefault="00560F00" w:rsidP="00560F00">
      <w:pPr>
        <w:rPr>
          <w:rFonts w:eastAsiaTheme="minorHAnsi"/>
          <w:sz w:val="22"/>
          <w:szCs w:val="22"/>
          <w:lang w:eastAsia="en-US"/>
        </w:rPr>
      </w:pPr>
      <w:r>
        <w:rPr>
          <w:rFonts w:eastAsiaTheme="minorHAnsi"/>
          <w:sz w:val="22"/>
          <w:szCs w:val="22"/>
          <w:lang w:eastAsia="en-US"/>
        </w:rPr>
        <w:br w:type="page"/>
      </w:r>
    </w:p>
    <w:p w:rsidR="00D81B7C" w:rsidRPr="00D81B7C" w:rsidRDefault="00EC1A78" w:rsidP="00EC1A78">
      <w:pPr>
        <w:rPr>
          <w:rFonts w:eastAsiaTheme="minorHAnsi"/>
          <w:sz w:val="22"/>
          <w:szCs w:val="22"/>
          <w:lang w:eastAsia="en-US"/>
        </w:rPr>
      </w:pPr>
      <w:r w:rsidRPr="00EC1A78">
        <w:rPr>
          <w:rFonts w:eastAsiaTheme="minorHAnsi"/>
          <w:sz w:val="22"/>
          <w:szCs w:val="22"/>
          <w:lang w:eastAsia="en-US"/>
        </w:rPr>
        <w:lastRenderedPageBreak/>
        <w:t>УДК</w:t>
      </w:r>
      <w:r w:rsidRPr="00E62E4B">
        <w:rPr>
          <w:rFonts w:eastAsiaTheme="minorHAnsi"/>
          <w:sz w:val="22"/>
          <w:szCs w:val="22"/>
          <w:lang w:eastAsia="en-US"/>
        </w:rPr>
        <w:t xml:space="preserve"> 342.8</w:t>
      </w:r>
    </w:p>
    <w:p w:rsidR="00EC1A78" w:rsidRPr="00E62E4B" w:rsidRDefault="00EC1A78" w:rsidP="00EC1A78">
      <w:pPr>
        <w:ind w:left="425"/>
        <w:jc w:val="center"/>
        <w:rPr>
          <w:b/>
          <w:sz w:val="24"/>
          <w:szCs w:val="24"/>
        </w:rPr>
      </w:pPr>
      <w:r w:rsidRPr="00EC1A78">
        <w:rPr>
          <w:b/>
          <w:sz w:val="24"/>
          <w:szCs w:val="24"/>
        </w:rPr>
        <w:t>Реализация</w:t>
      </w:r>
      <w:r w:rsidRPr="00E62E4B">
        <w:rPr>
          <w:b/>
          <w:sz w:val="24"/>
          <w:szCs w:val="24"/>
        </w:rPr>
        <w:t xml:space="preserve"> </w:t>
      </w:r>
      <w:r w:rsidRPr="00EC1A78">
        <w:rPr>
          <w:b/>
          <w:sz w:val="24"/>
          <w:szCs w:val="24"/>
        </w:rPr>
        <w:t>права</w:t>
      </w:r>
      <w:r w:rsidRPr="00E62E4B">
        <w:rPr>
          <w:b/>
          <w:sz w:val="24"/>
          <w:szCs w:val="24"/>
        </w:rPr>
        <w:t xml:space="preserve"> </w:t>
      </w:r>
      <w:r w:rsidRPr="00EC1A78">
        <w:rPr>
          <w:b/>
          <w:sz w:val="24"/>
          <w:szCs w:val="24"/>
        </w:rPr>
        <w:t>избирать</w:t>
      </w:r>
      <w:r w:rsidRPr="00E62E4B">
        <w:rPr>
          <w:b/>
          <w:sz w:val="24"/>
          <w:szCs w:val="24"/>
        </w:rPr>
        <w:t xml:space="preserve"> </w:t>
      </w:r>
      <w:r w:rsidRPr="00EC1A78">
        <w:rPr>
          <w:b/>
          <w:sz w:val="24"/>
          <w:szCs w:val="24"/>
        </w:rPr>
        <w:t>и</w:t>
      </w:r>
      <w:r w:rsidRPr="00E62E4B">
        <w:rPr>
          <w:b/>
          <w:sz w:val="24"/>
          <w:szCs w:val="24"/>
        </w:rPr>
        <w:t xml:space="preserve"> </w:t>
      </w:r>
      <w:r w:rsidRPr="00EC1A78">
        <w:rPr>
          <w:b/>
          <w:sz w:val="24"/>
          <w:szCs w:val="24"/>
        </w:rPr>
        <w:t>быть</w:t>
      </w:r>
      <w:r w:rsidRPr="00E62E4B">
        <w:rPr>
          <w:b/>
          <w:sz w:val="24"/>
          <w:szCs w:val="24"/>
        </w:rPr>
        <w:t xml:space="preserve"> </w:t>
      </w:r>
      <w:r w:rsidRPr="00EC1A78">
        <w:rPr>
          <w:b/>
          <w:sz w:val="24"/>
          <w:szCs w:val="24"/>
        </w:rPr>
        <w:t>избранными</w:t>
      </w:r>
      <w:r w:rsidRPr="00E62E4B">
        <w:rPr>
          <w:b/>
          <w:sz w:val="24"/>
          <w:szCs w:val="24"/>
        </w:rPr>
        <w:t xml:space="preserve"> </w:t>
      </w:r>
      <w:r w:rsidR="00EB2EB8" w:rsidRPr="00E62E4B">
        <w:rPr>
          <w:b/>
          <w:sz w:val="24"/>
          <w:szCs w:val="24"/>
        </w:rPr>
        <w:br/>
      </w:r>
      <w:r w:rsidRPr="00EC1A78">
        <w:rPr>
          <w:b/>
          <w:sz w:val="24"/>
          <w:szCs w:val="24"/>
        </w:rPr>
        <w:t>иностранными</w:t>
      </w:r>
      <w:r w:rsidRPr="00E62E4B">
        <w:rPr>
          <w:b/>
          <w:sz w:val="24"/>
          <w:szCs w:val="24"/>
        </w:rPr>
        <w:t xml:space="preserve"> </w:t>
      </w:r>
      <w:r w:rsidRPr="00EC1A78">
        <w:rPr>
          <w:b/>
          <w:sz w:val="24"/>
          <w:szCs w:val="24"/>
        </w:rPr>
        <w:t>гражданами</w:t>
      </w:r>
      <w:r w:rsidRPr="00E62E4B">
        <w:rPr>
          <w:b/>
          <w:sz w:val="24"/>
          <w:szCs w:val="24"/>
        </w:rPr>
        <w:t xml:space="preserve"> </w:t>
      </w:r>
      <w:r w:rsidRPr="00EC1A78">
        <w:rPr>
          <w:b/>
          <w:sz w:val="24"/>
          <w:szCs w:val="24"/>
        </w:rPr>
        <w:t>на</w:t>
      </w:r>
      <w:r w:rsidRPr="00E62E4B">
        <w:rPr>
          <w:b/>
          <w:sz w:val="24"/>
          <w:szCs w:val="24"/>
        </w:rPr>
        <w:t xml:space="preserve"> </w:t>
      </w:r>
      <w:r w:rsidRPr="00EC1A78">
        <w:rPr>
          <w:b/>
          <w:sz w:val="24"/>
          <w:szCs w:val="24"/>
        </w:rPr>
        <w:t>территории</w:t>
      </w:r>
      <w:r w:rsidRPr="00E62E4B">
        <w:rPr>
          <w:b/>
          <w:sz w:val="24"/>
          <w:szCs w:val="24"/>
        </w:rPr>
        <w:t xml:space="preserve"> </w:t>
      </w:r>
    </w:p>
    <w:p w:rsidR="00EC1A78" w:rsidRPr="00EC1A78" w:rsidRDefault="00EC1A78" w:rsidP="00EC1A78">
      <w:pPr>
        <w:ind w:left="425"/>
        <w:jc w:val="center"/>
        <w:rPr>
          <w:rFonts w:eastAsiaTheme="minorHAnsi"/>
          <w:b/>
          <w:sz w:val="24"/>
          <w:szCs w:val="24"/>
          <w:lang w:val="en-US" w:eastAsia="en-US"/>
        </w:rPr>
      </w:pPr>
      <w:r w:rsidRPr="00EC1A78">
        <w:rPr>
          <w:b/>
          <w:sz w:val="24"/>
          <w:szCs w:val="24"/>
        </w:rPr>
        <w:t>Российской</w:t>
      </w:r>
      <w:r w:rsidRPr="00EC1A78">
        <w:rPr>
          <w:b/>
          <w:sz w:val="24"/>
          <w:szCs w:val="24"/>
          <w:lang w:val="en-US"/>
        </w:rPr>
        <w:t xml:space="preserve"> </w:t>
      </w:r>
      <w:r w:rsidRPr="00EC1A78">
        <w:rPr>
          <w:b/>
          <w:sz w:val="24"/>
          <w:szCs w:val="24"/>
        </w:rPr>
        <w:t>Федерации</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Realization of the right to elect and be elected by foreign </w:t>
      </w:r>
      <w:r w:rsidR="00EB2EB8" w:rsidRPr="00EB2EB8">
        <w:rPr>
          <w:rFonts w:eastAsiaTheme="minorHAnsi"/>
          <w:b/>
          <w:sz w:val="24"/>
          <w:szCs w:val="24"/>
          <w:lang w:val="en-US" w:eastAsia="en-US"/>
        </w:rPr>
        <w:br/>
      </w:r>
      <w:r w:rsidRPr="00EC1A78">
        <w:rPr>
          <w:rFonts w:eastAsiaTheme="minorHAnsi"/>
          <w:b/>
          <w:sz w:val="24"/>
          <w:szCs w:val="24"/>
          <w:lang w:val="en-US" w:eastAsia="en-US"/>
        </w:rPr>
        <w:t>citizens on the territory of the Russian Federation</w:t>
      </w:r>
    </w:p>
    <w:p w:rsidR="00EC1A78" w:rsidRPr="00EC1A78" w:rsidRDefault="00EC1A78" w:rsidP="00EC1A78">
      <w:pPr>
        <w:jc w:val="right"/>
        <w:rPr>
          <w:rFonts w:eastAsiaTheme="minorHAnsi"/>
          <w:sz w:val="22"/>
          <w:szCs w:val="22"/>
          <w:lang w:val="en-US" w:eastAsia="en-US"/>
        </w:rPr>
      </w:pPr>
    </w:p>
    <w:p w:rsidR="00EC1A78" w:rsidRPr="00EC1A78" w:rsidRDefault="00EB2EB8" w:rsidP="00EC1A78">
      <w:pPr>
        <w:jc w:val="right"/>
        <w:rPr>
          <w:rFonts w:eastAsiaTheme="minorHAnsi"/>
          <w:sz w:val="22"/>
          <w:szCs w:val="24"/>
          <w:lang w:eastAsia="en-US"/>
        </w:rPr>
      </w:pPr>
      <w:r>
        <w:rPr>
          <w:rFonts w:eastAsiaTheme="minorHAnsi"/>
          <w:sz w:val="22"/>
          <w:szCs w:val="24"/>
          <w:lang w:eastAsia="en-US"/>
        </w:rPr>
        <w:t>Кондратьев</w:t>
      </w:r>
      <w:r w:rsidR="00EC1A78" w:rsidRPr="00EC1A78">
        <w:rPr>
          <w:rFonts w:eastAsiaTheme="minorHAnsi"/>
          <w:sz w:val="22"/>
          <w:szCs w:val="24"/>
          <w:lang w:eastAsia="en-US"/>
        </w:rPr>
        <w:t xml:space="preserve"> Б.</w:t>
      </w:r>
      <w:r>
        <w:rPr>
          <w:rFonts w:eastAsiaTheme="minorHAnsi"/>
          <w:sz w:val="22"/>
          <w:szCs w:val="24"/>
          <w:lang w:eastAsia="en-US"/>
        </w:rPr>
        <w:t xml:space="preserve"> </w:t>
      </w:r>
      <w:r w:rsidR="00EC1A78" w:rsidRPr="00EC1A78">
        <w:rPr>
          <w:rFonts w:eastAsiaTheme="minorHAnsi"/>
          <w:sz w:val="22"/>
          <w:szCs w:val="24"/>
          <w:lang w:eastAsia="en-US"/>
        </w:rPr>
        <w:t xml:space="preserve">П., </w:t>
      </w:r>
    </w:p>
    <w:p w:rsidR="00EB2EB8" w:rsidRDefault="00EC1A78" w:rsidP="00EC1A78">
      <w:pPr>
        <w:jc w:val="right"/>
        <w:rPr>
          <w:rFonts w:eastAsiaTheme="minorHAnsi"/>
          <w:sz w:val="22"/>
          <w:szCs w:val="24"/>
          <w:lang w:eastAsia="en-US"/>
        </w:rPr>
      </w:pPr>
      <w:r w:rsidRPr="00EC1A78">
        <w:rPr>
          <w:rFonts w:eastAsiaTheme="minorHAnsi"/>
          <w:sz w:val="22"/>
          <w:szCs w:val="24"/>
          <w:lang w:eastAsia="en-US"/>
        </w:rPr>
        <w:t>студент 2- го курса магистратуры</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  юридического факультета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Бутурлина Е.</w:t>
      </w:r>
      <w:r w:rsidR="00EB2EB8">
        <w:rPr>
          <w:rFonts w:eastAsiaTheme="minorHAnsi"/>
          <w:sz w:val="22"/>
          <w:szCs w:val="24"/>
          <w:lang w:eastAsia="en-US"/>
        </w:rPr>
        <w:t xml:space="preserve"> </w:t>
      </w:r>
      <w:r w:rsidRPr="00EC1A78">
        <w:rPr>
          <w:rFonts w:eastAsiaTheme="minorHAnsi"/>
          <w:sz w:val="22"/>
          <w:szCs w:val="24"/>
          <w:lang w:eastAsia="en-US"/>
        </w:rPr>
        <w:t>С.,</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доцент кафедры государственного и международного права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Кубанский государственный аграрный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университет имени И.</w:t>
      </w:r>
      <w:r w:rsidR="00EB2EB8">
        <w:rPr>
          <w:rFonts w:eastAsiaTheme="minorHAnsi"/>
          <w:sz w:val="22"/>
          <w:szCs w:val="24"/>
          <w:lang w:eastAsia="en-US"/>
        </w:rPr>
        <w:t xml:space="preserve"> </w:t>
      </w:r>
      <w:r w:rsidRPr="00EC1A78">
        <w:rPr>
          <w:rFonts w:eastAsiaTheme="minorHAnsi"/>
          <w:sz w:val="22"/>
          <w:szCs w:val="24"/>
          <w:lang w:eastAsia="en-US"/>
        </w:rPr>
        <w:t>Т. Трубилина</w:t>
      </w:r>
    </w:p>
    <w:p w:rsidR="00EC1A78" w:rsidRPr="00EC1A78" w:rsidRDefault="00EC1A78" w:rsidP="00EC1A78">
      <w:pPr>
        <w:jc w:val="right"/>
        <w:rPr>
          <w:rFonts w:eastAsiaTheme="minorHAnsi"/>
          <w:sz w:val="22"/>
          <w:szCs w:val="24"/>
          <w:lang w:eastAsia="en-US"/>
        </w:rPr>
      </w:pPr>
    </w:p>
    <w:p w:rsidR="00EC1A78" w:rsidRPr="00EB2EB8" w:rsidRDefault="00EC1A78" w:rsidP="00EC1A78">
      <w:pPr>
        <w:ind w:firstLine="426"/>
        <w:jc w:val="both"/>
        <w:rPr>
          <w:rFonts w:eastAsiaTheme="minorHAnsi"/>
          <w:sz w:val="22"/>
          <w:szCs w:val="22"/>
          <w:lang w:eastAsia="en-US"/>
        </w:rPr>
      </w:pPr>
      <w:r w:rsidRPr="00EB2EB8">
        <w:rPr>
          <w:rFonts w:eastAsiaTheme="minorHAnsi"/>
          <w:sz w:val="22"/>
          <w:szCs w:val="22"/>
          <w:lang w:eastAsia="en-US"/>
        </w:rPr>
        <w:t xml:space="preserve">АННОТАЦИЯ: в статье проанализированы правовые основы и практику реализации </w:t>
      </w:r>
      <w:r w:rsidRPr="00EB2EB8">
        <w:rPr>
          <w:sz w:val="22"/>
          <w:szCs w:val="22"/>
        </w:rPr>
        <w:t>права избирать и быть избранными иностра</w:t>
      </w:r>
      <w:r w:rsidRPr="00EB2EB8">
        <w:rPr>
          <w:sz w:val="22"/>
          <w:szCs w:val="22"/>
        </w:rPr>
        <w:t>н</w:t>
      </w:r>
      <w:r w:rsidRPr="00EB2EB8">
        <w:rPr>
          <w:sz w:val="22"/>
          <w:szCs w:val="22"/>
        </w:rPr>
        <w:t>ными гражданами на территории Российской Федерации</w:t>
      </w:r>
      <w:r w:rsidR="006478C4">
        <w:rPr>
          <w:sz w:val="22"/>
          <w:szCs w:val="22"/>
        </w:rPr>
        <w:t>.</w:t>
      </w:r>
    </w:p>
    <w:p w:rsidR="00EC1A78" w:rsidRPr="006478C4" w:rsidRDefault="00EC1A78" w:rsidP="00EC1A78">
      <w:pPr>
        <w:ind w:firstLine="426"/>
        <w:jc w:val="both"/>
        <w:rPr>
          <w:rFonts w:eastAsiaTheme="minorHAnsi"/>
          <w:sz w:val="22"/>
          <w:szCs w:val="22"/>
          <w:lang w:val="en-US" w:eastAsia="en-US"/>
        </w:rPr>
      </w:pPr>
      <w:r w:rsidRPr="00EB2EB8">
        <w:rPr>
          <w:rFonts w:eastAsiaTheme="minorHAnsi"/>
          <w:sz w:val="22"/>
          <w:szCs w:val="22"/>
          <w:lang w:val="en-US" w:eastAsia="en-US"/>
        </w:rPr>
        <w:t>ABSTRACT: the article analyzes the legal basis and practice of the right to elect and be elected by foreign citizens on the territory of the Russian Federation</w:t>
      </w:r>
      <w:r w:rsidR="006478C4" w:rsidRPr="006478C4">
        <w:rPr>
          <w:rFonts w:eastAsiaTheme="minorHAnsi"/>
          <w:sz w:val="22"/>
          <w:szCs w:val="22"/>
          <w:lang w:val="en-US" w:eastAsia="en-US"/>
        </w:rPr>
        <w:t>.</w:t>
      </w:r>
    </w:p>
    <w:p w:rsidR="00EC1A78" w:rsidRPr="00EB2EB8" w:rsidRDefault="00EC1A78" w:rsidP="00EC1A78">
      <w:pPr>
        <w:ind w:firstLine="426"/>
        <w:jc w:val="both"/>
        <w:rPr>
          <w:rFonts w:eastAsiaTheme="minorHAnsi"/>
          <w:sz w:val="22"/>
          <w:szCs w:val="22"/>
          <w:lang w:eastAsia="en-US"/>
        </w:rPr>
      </w:pPr>
      <w:r w:rsidRPr="00EB2EB8">
        <w:rPr>
          <w:rFonts w:eastAsiaTheme="minorHAnsi"/>
          <w:sz w:val="22"/>
          <w:szCs w:val="22"/>
          <w:lang w:eastAsia="en-US"/>
        </w:rPr>
        <w:t>КЛЮЧЕВЫЕ СЛОВА: иностранные граждане, избирательные права,  право избирать и быть избранным</w:t>
      </w:r>
      <w:r w:rsidR="006478C4">
        <w:rPr>
          <w:rFonts w:eastAsiaTheme="minorHAnsi"/>
          <w:sz w:val="22"/>
          <w:szCs w:val="22"/>
          <w:lang w:eastAsia="en-US"/>
        </w:rPr>
        <w:t>.</w:t>
      </w:r>
      <w:r w:rsidRPr="00EB2EB8">
        <w:rPr>
          <w:rFonts w:eastAsiaTheme="minorHAnsi"/>
          <w:sz w:val="22"/>
          <w:szCs w:val="22"/>
          <w:lang w:eastAsia="en-US"/>
        </w:rPr>
        <w:t xml:space="preserve"> </w:t>
      </w:r>
    </w:p>
    <w:p w:rsidR="00EC1A78" w:rsidRPr="006478C4" w:rsidRDefault="00EC1A78" w:rsidP="00EC1A78">
      <w:pPr>
        <w:ind w:firstLine="426"/>
        <w:jc w:val="both"/>
        <w:rPr>
          <w:rFonts w:eastAsiaTheme="minorHAnsi"/>
          <w:sz w:val="22"/>
          <w:szCs w:val="22"/>
          <w:lang w:val="en-US" w:eastAsia="en-US"/>
        </w:rPr>
      </w:pPr>
      <w:r w:rsidRPr="00EB2EB8">
        <w:rPr>
          <w:rFonts w:eastAsiaTheme="minorHAnsi"/>
          <w:sz w:val="22"/>
          <w:szCs w:val="22"/>
          <w:lang w:val="en-US" w:eastAsia="en-US"/>
        </w:rPr>
        <w:t>KEYWORDS: foreign citizens, electoral rights, the right to vote and to be elected</w:t>
      </w:r>
      <w:r w:rsidR="006478C4" w:rsidRPr="006478C4">
        <w:rPr>
          <w:rFonts w:eastAsiaTheme="minorHAnsi"/>
          <w:sz w:val="22"/>
          <w:szCs w:val="22"/>
          <w:lang w:val="en-US" w:eastAsia="en-US"/>
        </w:rPr>
        <w:t>.</w:t>
      </w:r>
    </w:p>
    <w:p w:rsidR="00EC1A78" w:rsidRPr="00EB2EB8" w:rsidRDefault="00EC1A78" w:rsidP="00EC1A78">
      <w:pPr>
        <w:ind w:firstLine="426"/>
        <w:jc w:val="both"/>
        <w:rPr>
          <w:rFonts w:eastAsiaTheme="minorHAnsi"/>
          <w:sz w:val="22"/>
          <w:szCs w:val="22"/>
          <w:lang w:val="en-US" w:eastAsia="en-US"/>
        </w:rPr>
      </w:pP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Глава 2 Российской Конституции звучит «Права и свободы ч</w:t>
      </w:r>
      <w:r w:rsidRPr="00EC1A78">
        <w:rPr>
          <w:rFonts w:eastAsiaTheme="minorEastAsia"/>
          <w:sz w:val="22"/>
          <w:szCs w:val="22"/>
        </w:rPr>
        <w:t>е</w:t>
      </w:r>
      <w:r w:rsidRPr="00EC1A78">
        <w:rPr>
          <w:rFonts w:eastAsiaTheme="minorEastAsia"/>
          <w:sz w:val="22"/>
          <w:szCs w:val="22"/>
        </w:rPr>
        <w:t>ловека и гражданина», что с правовой точки зрения означает гара</w:t>
      </w:r>
      <w:r w:rsidRPr="00EC1A78">
        <w:rPr>
          <w:rFonts w:eastAsiaTheme="minorEastAsia"/>
          <w:sz w:val="22"/>
          <w:szCs w:val="22"/>
        </w:rPr>
        <w:t>н</w:t>
      </w:r>
      <w:r w:rsidRPr="00EC1A78">
        <w:rPr>
          <w:rFonts w:eastAsiaTheme="minorEastAsia"/>
          <w:sz w:val="22"/>
          <w:szCs w:val="22"/>
        </w:rPr>
        <w:t xml:space="preserve">тии соблюдения и реализацию прав  на территории государства не только россиянами, но и иностранными гражданами. </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 xml:space="preserve">В науке конституционного права высказывается точка зрения, что текст российской Конституции различает права граждан и права личности, безотносительно принадлежности к гражданству. В том случае, когда встречается  формулировка «каждый имеет право» следует понимать, что речь идет о правах человека. В случае, когда формулировка права начинается со слова «граждане», понятно, что данное право предоставляется исключительно лицам, имеющим </w:t>
      </w:r>
      <w:r w:rsidRPr="00EC1A78">
        <w:rPr>
          <w:rFonts w:eastAsiaTheme="minorEastAsia"/>
          <w:sz w:val="22"/>
          <w:szCs w:val="22"/>
        </w:rPr>
        <w:lastRenderedPageBreak/>
        <w:t>устойчивую правовую связь с государством.</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Анализ конституционных положений показывает, что личные права относятся и реализуются именно человеком. Политические и социальные права напрямую зависят от наличия гражданства.</w:t>
      </w:r>
    </w:p>
    <w:p w:rsidR="00EC1A78" w:rsidRPr="00EC1A78" w:rsidRDefault="00EC1A78" w:rsidP="00EC1A78">
      <w:pPr>
        <w:ind w:firstLine="426"/>
        <w:jc w:val="both"/>
        <w:rPr>
          <w:color w:val="000000"/>
          <w:sz w:val="22"/>
          <w:szCs w:val="22"/>
        </w:rPr>
      </w:pPr>
      <w:r w:rsidRPr="00EC1A78">
        <w:rPr>
          <w:rFonts w:eastAsiaTheme="minorHAnsi"/>
          <w:sz w:val="22"/>
          <w:szCs w:val="22"/>
          <w:lang w:eastAsia="en-US"/>
        </w:rPr>
        <w:t>Право избирать и быть избранным относится к числу полит</w:t>
      </w:r>
      <w:r w:rsidRPr="00EC1A78">
        <w:rPr>
          <w:rFonts w:eastAsiaTheme="minorHAnsi"/>
          <w:sz w:val="22"/>
          <w:szCs w:val="22"/>
          <w:lang w:eastAsia="en-US"/>
        </w:rPr>
        <w:t>и</w:t>
      </w:r>
      <w:r w:rsidRPr="00EC1A78">
        <w:rPr>
          <w:rFonts w:eastAsiaTheme="minorHAnsi"/>
          <w:sz w:val="22"/>
          <w:szCs w:val="22"/>
          <w:lang w:eastAsia="en-US"/>
        </w:rPr>
        <w:t>ческих прав и закреплено в ст. 32 Конституции Российской Федер</w:t>
      </w:r>
      <w:r w:rsidRPr="00EC1A78">
        <w:rPr>
          <w:rFonts w:eastAsiaTheme="minorHAnsi"/>
          <w:sz w:val="22"/>
          <w:szCs w:val="22"/>
          <w:lang w:eastAsia="en-US"/>
        </w:rPr>
        <w:t>а</w:t>
      </w:r>
      <w:r w:rsidRPr="00EC1A78">
        <w:rPr>
          <w:rFonts w:eastAsiaTheme="minorHAnsi"/>
          <w:sz w:val="22"/>
          <w:szCs w:val="22"/>
          <w:lang w:eastAsia="en-US"/>
        </w:rPr>
        <w:t>ции: «</w:t>
      </w:r>
      <w:r w:rsidRPr="00EC1A78">
        <w:rPr>
          <w:color w:val="000000"/>
          <w:sz w:val="22"/>
          <w:szCs w:val="22"/>
        </w:rPr>
        <w:t>граждане Российской Федерации имеют право избирать и быть избранными в органы государственной власти и органы мес</w:t>
      </w:r>
      <w:r w:rsidRPr="00EC1A78">
        <w:rPr>
          <w:color w:val="000000"/>
          <w:sz w:val="22"/>
          <w:szCs w:val="22"/>
        </w:rPr>
        <w:t>т</w:t>
      </w:r>
      <w:r w:rsidRPr="00EC1A78">
        <w:rPr>
          <w:color w:val="000000"/>
          <w:sz w:val="22"/>
          <w:szCs w:val="22"/>
        </w:rPr>
        <w:t>ного самоуправления, а также участвовать в референдуме. Не им</w:t>
      </w:r>
      <w:r w:rsidRPr="00EC1A78">
        <w:rPr>
          <w:color w:val="000000"/>
          <w:sz w:val="22"/>
          <w:szCs w:val="22"/>
        </w:rPr>
        <w:t>е</w:t>
      </w:r>
      <w:r w:rsidRPr="00EC1A78">
        <w:rPr>
          <w:color w:val="000000"/>
          <w:sz w:val="22"/>
          <w:szCs w:val="22"/>
        </w:rPr>
        <w:t>ют права избирать и быть избранными граждане, признанные судом недееспособными, а также содержащиеся в местах лишения своб</w:t>
      </w:r>
      <w:r w:rsidRPr="00EC1A78">
        <w:rPr>
          <w:color w:val="000000"/>
          <w:sz w:val="22"/>
          <w:szCs w:val="22"/>
        </w:rPr>
        <w:t>о</w:t>
      </w:r>
      <w:r w:rsidRPr="00EC1A78">
        <w:rPr>
          <w:color w:val="000000"/>
          <w:sz w:val="22"/>
          <w:szCs w:val="22"/>
        </w:rPr>
        <w:t>ды по приговору суда».</w:t>
      </w:r>
    </w:p>
    <w:p w:rsidR="00EC1A78" w:rsidRPr="00EC1A78" w:rsidRDefault="00EC1A78" w:rsidP="00EC1A78">
      <w:pPr>
        <w:ind w:firstLine="426"/>
        <w:jc w:val="both"/>
        <w:rPr>
          <w:color w:val="000000"/>
          <w:sz w:val="22"/>
          <w:szCs w:val="22"/>
        </w:rPr>
      </w:pPr>
      <w:r w:rsidRPr="00EC1A78">
        <w:rPr>
          <w:color w:val="000000"/>
          <w:sz w:val="22"/>
          <w:szCs w:val="22"/>
        </w:rPr>
        <w:t>Очевидно, что основной закон нашего государства прямо уст</w:t>
      </w:r>
      <w:r w:rsidRPr="00EC1A78">
        <w:rPr>
          <w:color w:val="000000"/>
          <w:sz w:val="22"/>
          <w:szCs w:val="22"/>
        </w:rPr>
        <w:t>а</w:t>
      </w:r>
      <w:r w:rsidRPr="00EC1A78">
        <w:rPr>
          <w:color w:val="000000"/>
          <w:sz w:val="22"/>
          <w:szCs w:val="22"/>
        </w:rPr>
        <w:t>навливает, что только граждане Российской Федерации имеют пр</w:t>
      </w:r>
      <w:r w:rsidRPr="00EC1A78">
        <w:rPr>
          <w:color w:val="000000"/>
          <w:sz w:val="22"/>
          <w:szCs w:val="22"/>
        </w:rPr>
        <w:t>а</w:t>
      </w:r>
      <w:r w:rsidRPr="00EC1A78">
        <w:rPr>
          <w:color w:val="000000"/>
          <w:sz w:val="22"/>
          <w:szCs w:val="22"/>
        </w:rPr>
        <w:t>во реализовывать избирательные права на территории России.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Более того, если у гражданина России есть гражданство ин</w:t>
      </w:r>
      <w:r w:rsidRPr="00EC1A78">
        <w:rPr>
          <w:rFonts w:eastAsiaTheme="minorHAnsi"/>
          <w:sz w:val="22"/>
          <w:szCs w:val="22"/>
          <w:lang w:eastAsia="en-US"/>
        </w:rPr>
        <w:t>о</w:t>
      </w:r>
      <w:r w:rsidRPr="00EC1A78">
        <w:rPr>
          <w:rFonts w:eastAsiaTheme="minorHAnsi"/>
          <w:sz w:val="22"/>
          <w:szCs w:val="22"/>
          <w:lang w:eastAsia="en-US"/>
        </w:rPr>
        <w:t xml:space="preserve">странного государства, он лишается возможности избираться на выборах в органы государственной власти Российской Федерации и в органы государственной власти субъектов Российской Федерации.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органы местного самоуправления россияне, у которых есть гражданство иностранного государства, могут избираться только при наличии соответствующего международного договора. В настоящий момент такие договоры отсутствуют.</w:t>
      </w:r>
    </w:p>
    <w:p w:rsidR="00EC1A78" w:rsidRPr="00EC1A78" w:rsidRDefault="00EC1A78" w:rsidP="00EC1A78">
      <w:pPr>
        <w:widowControl w:val="0"/>
        <w:autoSpaceDE w:val="0"/>
        <w:autoSpaceDN w:val="0"/>
        <w:adjustRightInd w:val="0"/>
        <w:ind w:firstLine="426"/>
        <w:jc w:val="both"/>
        <w:rPr>
          <w:rFonts w:eastAsiaTheme="minorEastAsia"/>
          <w:sz w:val="22"/>
          <w:szCs w:val="22"/>
        </w:rPr>
      </w:pPr>
      <w:r w:rsidRPr="00EC1A78">
        <w:rPr>
          <w:rFonts w:eastAsiaTheme="minorEastAsia"/>
          <w:sz w:val="22"/>
          <w:szCs w:val="22"/>
        </w:rPr>
        <w:t>Принятие этой нормы было обосновано национальными и го</w:t>
      </w:r>
      <w:r w:rsidRPr="00EC1A78">
        <w:rPr>
          <w:rFonts w:eastAsiaTheme="minorEastAsia"/>
          <w:sz w:val="22"/>
          <w:szCs w:val="22"/>
        </w:rPr>
        <w:t>с</w:t>
      </w:r>
      <w:r w:rsidRPr="00EC1A78">
        <w:rPr>
          <w:rFonts w:eastAsiaTheme="minorEastAsia"/>
          <w:sz w:val="22"/>
          <w:szCs w:val="22"/>
        </w:rPr>
        <w:t>ударственными интересами Российской Федерации. Однако не все восприняли данное изменение Федерального закона «Об основных гарантиях избирательных прав граждан и права на участие в реф</w:t>
      </w:r>
      <w:r w:rsidRPr="00EC1A78">
        <w:rPr>
          <w:rFonts w:eastAsiaTheme="minorEastAsia"/>
          <w:sz w:val="22"/>
          <w:szCs w:val="22"/>
        </w:rPr>
        <w:t>е</w:t>
      </w:r>
      <w:r w:rsidRPr="00EC1A78">
        <w:rPr>
          <w:rFonts w:eastAsiaTheme="minorEastAsia"/>
          <w:sz w:val="22"/>
          <w:szCs w:val="22"/>
        </w:rPr>
        <w:t>рендуме граждан Российской Федерации» от 12 июня 2002 г. анал</w:t>
      </w:r>
      <w:r w:rsidRPr="00EC1A78">
        <w:rPr>
          <w:rFonts w:eastAsiaTheme="minorEastAsia"/>
          <w:sz w:val="22"/>
          <w:szCs w:val="22"/>
        </w:rPr>
        <w:t>о</w:t>
      </w:r>
      <w:r w:rsidRPr="00EC1A78">
        <w:rPr>
          <w:rFonts w:eastAsiaTheme="minorEastAsia"/>
          <w:sz w:val="22"/>
          <w:szCs w:val="22"/>
        </w:rPr>
        <w:t>гичным образом.</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Кара-Мурзы В. В. обратился с заявлением в  Конституционный Суд  Российской  Федерации </w:t>
      </w:r>
      <w:bookmarkStart w:id="17" w:name="100008"/>
      <w:bookmarkEnd w:id="17"/>
      <w:r w:rsidRPr="00EC1A78">
        <w:rPr>
          <w:rFonts w:eastAsiaTheme="minorHAnsi"/>
          <w:sz w:val="22"/>
          <w:szCs w:val="22"/>
          <w:lang w:eastAsia="en-US"/>
        </w:rPr>
        <w:t>на нарушение его конституционных прав путем его исключения из списка кандидатов в депутаты Мо</w:t>
      </w:r>
      <w:r w:rsidRPr="00EC1A78">
        <w:rPr>
          <w:rFonts w:eastAsiaTheme="minorHAnsi"/>
          <w:sz w:val="22"/>
          <w:szCs w:val="22"/>
          <w:lang w:eastAsia="en-US"/>
        </w:rPr>
        <w:t>с</w:t>
      </w:r>
      <w:r w:rsidRPr="00EC1A78">
        <w:rPr>
          <w:rFonts w:eastAsiaTheme="minorHAnsi"/>
          <w:sz w:val="22"/>
          <w:szCs w:val="22"/>
          <w:lang w:eastAsia="en-US"/>
        </w:rPr>
        <w:t>ковской областной Думы на основании того, что у него имеется о</w:t>
      </w:r>
      <w:r w:rsidRPr="00EC1A78">
        <w:rPr>
          <w:rFonts w:eastAsiaTheme="minorHAnsi"/>
          <w:sz w:val="22"/>
          <w:szCs w:val="22"/>
          <w:lang w:eastAsia="en-US"/>
        </w:rPr>
        <w:t>д</w:t>
      </w:r>
      <w:r w:rsidRPr="00EC1A78">
        <w:rPr>
          <w:rFonts w:eastAsiaTheme="minorHAnsi"/>
          <w:sz w:val="22"/>
          <w:szCs w:val="22"/>
          <w:lang w:eastAsia="en-US"/>
        </w:rPr>
        <w:t xml:space="preserve">новременно с гражданством Российской Федерации гражданство Соединенного Королевства Великобритании и Северной Ирландии.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Рассмотрев его жалобу, Конституционный Суд РФ, отказал в ее рассмотрение и принял определение от 04 декабря 2007 г. № 797-О-</w:t>
      </w:r>
      <w:r w:rsidRPr="00EC1A78">
        <w:rPr>
          <w:rFonts w:eastAsiaTheme="minorHAnsi"/>
          <w:sz w:val="22"/>
          <w:szCs w:val="22"/>
          <w:lang w:eastAsia="en-US"/>
        </w:rPr>
        <w:lastRenderedPageBreak/>
        <w:t>О, которым признал норму закона соответствующей Конституции Российской Федерации.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то же время, на основании двусторонних соглашений, закл</w:t>
      </w:r>
      <w:r w:rsidRPr="00EC1A78">
        <w:rPr>
          <w:rFonts w:eastAsiaTheme="minorHAnsi"/>
          <w:sz w:val="22"/>
          <w:szCs w:val="22"/>
          <w:lang w:eastAsia="en-US"/>
        </w:rPr>
        <w:t>ю</w:t>
      </w:r>
      <w:r w:rsidRPr="00EC1A78">
        <w:rPr>
          <w:rFonts w:eastAsiaTheme="minorHAnsi"/>
          <w:sz w:val="22"/>
          <w:szCs w:val="22"/>
          <w:lang w:eastAsia="en-US"/>
        </w:rPr>
        <w:t>ченных Российской Федерацией с иными государствами, граждане этих государств, в случае их постоянного проживания на террит</w:t>
      </w:r>
      <w:r w:rsidRPr="00EC1A78">
        <w:rPr>
          <w:rFonts w:eastAsiaTheme="minorHAnsi"/>
          <w:sz w:val="22"/>
          <w:szCs w:val="22"/>
          <w:lang w:eastAsia="en-US"/>
        </w:rPr>
        <w:t>о</w:t>
      </w:r>
      <w:r w:rsidRPr="00EC1A78">
        <w:rPr>
          <w:rFonts w:eastAsiaTheme="minorHAnsi"/>
          <w:sz w:val="22"/>
          <w:szCs w:val="22"/>
          <w:lang w:eastAsia="en-US"/>
        </w:rPr>
        <w:t>рии РФ, имеют право на участие в выборах в органы местного с</w:t>
      </w:r>
      <w:r w:rsidRPr="00EC1A78">
        <w:rPr>
          <w:rFonts w:eastAsiaTheme="minorHAnsi"/>
          <w:sz w:val="22"/>
          <w:szCs w:val="22"/>
          <w:lang w:eastAsia="en-US"/>
        </w:rPr>
        <w:t>а</w:t>
      </w:r>
      <w:r w:rsidRPr="00EC1A78">
        <w:rPr>
          <w:rFonts w:eastAsiaTheme="minorHAnsi"/>
          <w:sz w:val="22"/>
          <w:szCs w:val="22"/>
          <w:lang w:eastAsia="en-US"/>
        </w:rPr>
        <w:t>моуправления по месту жительства. Аналогичное право есть у ро</w:t>
      </w:r>
      <w:r w:rsidRPr="00EC1A78">
        <w:rPr>
          <w:rFonts w:eastAsiaTheme="minorHAnsi"/>
          <w:sz w:val="22"/>
          <w:szCs w:val="22"/>
          <w:lang w:eastAsia="en-US"/>
        </w:rPr>
        <w:t>с</w:t>
      </w:r>
      <w:r w:rsidRPr="00EC1A78">
        <w:rPr>
          <w:rFonts w:eastAsiaTheme="minorHAnsi"/>
          <w:sz w:val="22"/>
          <w:szCs w:val="22"/>
          <w:lang w:eastAsia="en-US"/>
        </w:rPr>
        <w:t>сиян, проживающих на территории государств – партнеров России по данным соглашениям. Соответствующие соглашения в насто</w:t>
      </w:r>
      <w:r w:rsidRPr="00EC1A78">
        <w:rPr>
          <w:rFonts w:eastAsiaTheme="minorHAnsi"/>
          <w:sz w:val="22"/>
          <w:szCs w:val="22"/>
          <w:lang w:eastAsia="en-US"/>
        </w:rPr>
        <w:t>я</w:t>
      </w:r>
      <w:r w:rsidRPr="00EC1A78">
        <w:rPr>
          <w:rFonts w:eastAsiaTheme="minorHAnsi"/>
          <w:sz w:val="22"/>
          <w:szCs w:val="22"/>
          <w:lang w:eastAsia="en-US"/>
        </w:rPr>
        <w:t>щее время действуют с республиками Беларусь, Кыргызстан и Туркменистан.</w:t>
      </w:r>
    </w:p>
    <w:p w:rsidR="00EC1A78" w:rsidRPr="00EC1A78" w:rsidRDefault="00EC1A78" w:rsidP="00D81B7C">
      <w:pPr>
        <w:ind w:firstLine="426"/>
        <w:jc w:val="both"/>
        <w:rPr>
          <w:rFonts w:eastAsiaTheme="minorHAnsi"/>
          <w:sz w:val="22"/>
          <w:szCs w:val="22"/>
          <w:lang w:eastAsia="en-US"/>
        </w:rPr>
      </w:pPr>
      <w:r w:rsidRPr="00EC1A78">
        <w:rPr>
          <w:rFonts w:eastAsiaTheme="minorHAnsi"/>
          <w:sz w:val="22"/>
          <w:szCs w:val="22"/>
          <w:lang w:eastAsia="en-US"/>
        </w:rPr>
        <w:t>Таким образом, Российская Федерация последовательно обе</w:t>
      </w:r>
      <w:r w:rsidRPr="00EC1A78">
        <w:rPr>
          <w:rFonts w:eastAsiaTheme="minorHAnsi"/>
          <w:sz w:val="22"/>
          <w:szCs w:val="22"/>
          <w:lang w:eastAsia="en-US"/>
        </w:rPr>
        <w:t>с</w:t>
      </w:r>
      <w:r w:rsidRPr="00EC1A78">
        <w:rPr>
          <w:rFonts w:eastAsiaTheme="minorHAnsi"/>
          <w:sz w:val="22"/>
          <w:szCs w:val="22"/>
          <w:lang w:eastAsia="en-US"/>
        </w:rPr>
        <w:t>печивает национальные интересы и свою безопасность, исключая малейшую возможность влиять иностранному элементу на ос</w:t>
      </w:r>
      <w:r w:rsidRPr="00EC1A78">
        <w:rPr>
          <w:rFonts w:eastAsiaTheme="minorHAnsi"/>
          <w:sz w:val="22"/>
          <w:szCs w:val="22"/>
          <w:lang w:eastAsia="en-US"/>
        </w:rPr>
        <w:t>у</w:t>
      </w:r>
      <w:r w:rsidRPr="00EC1A78">
        <w:rPr>
          <w:rFonts w:eastAsiaTheme="minorHAnsi"/>
          <w:sz w:val="22"/>
          <w:szCs w:val="22"/>
          <w:lang w:eastAsia="en-US"/>
        </w:rPr>
        <w:t xml:space="preserve">ществление народовластия своим многонациональным народом. </w:t>
      </w:r>
    </w:p>
    <w:p w:rsidR="00EC1A78" w:rsidRPr="00EC1A78" w:rsidRDefault="00EB2EB8" w:rsidP="00EC1A78">
      <w:pPr>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cstheme="minorBidi"/>
          <w:sz w:val="22"/>
          <w:szCs w:val="22"/>
          <w:lang w:eastAsia="en-US"/>
        </w:rPr>
        <w:t>1. Конституция Российской Федерации. М., 2014.</w:t>
      </w:r>
    </w:p>
    <w:p w:rsidR="00EC1A78" w:rsidRPr="00EC1A78" w:rsidRDefault="00EC1A78" w:rsidP="00EC1A78">
      <w:pPr>
        <w:ind w:firstLine="425"/>
        <w:jc w:val="both"/>
        <w:rPr>
          <w:rFonts w:eastAsiaTheme="minorHAnsi"/>
          <w:sz w:val="22"/>
          <w:szCs w:val="22"/>
          <w:lang w:eastAsia="en-US"/>
        </w:rPr>
      </w:pPr>
      <w:r w:rsidRPr="00EC1A78">
        <w:rPr>
          <w:rFonts w:eastAsiaTheme="minorHAnsi" w:cstheme="minorBidi"/>
          <w:sz w:val="22"/>
          <w:szCs w:val="22"/>
          <w:lang w:eastAsia="en-US"/>
        </w:rPr>
        <w:t>2. Об основных гарантиях избирательных прав и права на уч</w:t>
      </w:r>
      <w:r w:rsidRPr="00EC1A78">
        <w:rPr>
          <w:rFonts w:eastAsiaTheme="minorHAnsi" w:cstheme="minorBidi"/>
          <w:sz w:val="22"/>
          <w:szCs w:val="22"/>
          <w:lang w:eastAsia="en-US"/>
        </w:rPr>
        <w:t>а</w:t>
      </w:r>
      <w:r w:rsidRPr="00EC1A78">
        <w:rPr>
          <w:rFonts w:eastAsiaTheme="minorHAnsi" w:cstheme="minorBidi"/>
          <w:sz w:val="22"/>
          <w:szCs w:val="22"/>
          <w:lang w:eastAsia="en-US"/>
        </w:rPr>
        <w:t>стие в референдуме граждан Российской Федерации: Федеральный закон от 12 июня 2002 г. N 67-ФЗ (ред. от 01.06.2017) //base.garant.ru</w:t>
      </w:r>
    </w:p>
    <w:p w:rsidR="00EC1A78" w:rsidRPr="00EC1A78" w:rsidRDefault="00EC1A78" w:rsidP="00EC1A78">
      <w:pPr>
        <w:ind w:firstLine="425"/>
        <w:contextualSpacing/>
        <w:jc w:val="both"/>
        <w:outlineLvl w:val="0"/>
        <w:rPr>
          <w:rFonts w:eastAsiaTheme="minorHAnsi"/>
          <w:sz w:val="22"/>
          <w:szCs w:val="22"/>
          <w:lang w:eastAsia="en-US"/>
        </w:rPr>
      </w:pPr>
      <w:r w:rsidRPr="00EC1A78">
        <w:rPr>
          <w:bCs/>
          <w:color w:val="000000"/>
          <w:spacing w:val="3"/>
          <w:kern w:val="36"/>
          <w:sz w:val="22"/>
          <w:szCs w:val="22"/>
        </w:rPr>
        <w:t>3. Определение Конституционного Суда Российской Федер</w:t>
      </w:r>
      <w:r w:rsidRPr="00EC1A78">
        <w:rPr>
          <w:bCs/>
          <w:color w:val="000000"/>
          <w:spacing w:val="3"/>
          <w:kern w:val="36"/>
          <w:sz w:val="22"/>
          <w:szCs w:val="22"/>
        </w:rPr>
        <w:t>а</w:t>
      </w:r>
      <w:r w:rsidRPr="00EC1A78">
        <w:rPr>
          <w:bCs/>
          <w:color w:val="000000"/>
          <w:spacing w:val="3"/>
          <w:kern w:val="36"/>
          <w:sz w:val="22"/>
          <w:szCs w:val="22"/>
        </w:rPr>
        <w:t>ции от 4 декабря 2007 г. N 797-О-О.</w:t>
      </w:r>
    </w:p>
    <w:p w:rsidR="00EC1A78" w:rsidRDefault="00EC1A78" w:rsidP="00EC1A78">
      <w:pPr>
        <w:jc w:val="both"/>
        <w:rPr>
          <w:rFonts w:eastAsiaTheme="minorHAnsi"/>
          <w:sz w:val="22"/>
          <w:szCs w:val="22"/>
          <w:lang w:eastAsia="en-US"/>
        </w:rPr>
      </w:pPr>
    </w:p>
    <w:p w:rsidR="00EB2EB8" w:rsidRPr="00EC1A78" w:rsidRDefault="00EB2EB8" w:rsidP="00EC1A78">
      <w:pPr>
        <w:jc w:val="both"/>
        <w:rPr>
          <w:rFonts w:eastAsiaTheme="minorHAnsi"/>
          <w:sz w:val="22"/>
          <w:szCs w:val="22"/>
          <w:lang w:eastAsia="en-US"/>
        </w:rPr>
      </w:pPr>
    </w:p>
    <w:p w:rsidR="00EC1A78" w:rsidRPr="00D81B7C" w:rsidRDefault="00EC1A78" w:rsidP="00D81B7C">
      <w:pPr>
        <w:rPr>
          <w:rFonts w:eastAsiaTheme="minorHAnsi"/>
          <w:color w:val="000000"/>
          <w:sz w:val="22"/>
          <w:szCs w:val="22"/>
          <w:lang w:eastAsia="en-US"/>
        </w:rPr>
      </w:pPr>
      <w:r w:rsidRPr="00EC1A78">
        <w:rPr>
          <w:rFonts w:eastAsiaTheme="minorHAnsi"/>
          <w:color w:val="000000"/>
          <w:sz w:val="22"/>
          <w:szCs w:val="22"/>
          <w:lang w:eastAsia="en-US"/>
        </w:rPr>
        <w:t>УДК 349.6</w:t>
      </w:r>
    </w:p>
    <w:p w:rsidR="00EC1A78" w:rsidRPr="00EC1A78" w:rsidRDefault="00EC1A78" w:rsidP="00EC1A78">
      <w:pPr>
        <w:jc w:val="center"/>
        <w:rPr>
          <w:rFonts w:eastAsiaTheme="minorHAnsi"/>
          <w:b/>
          <w:color w:val="000000"/>
          <w:sz w:val="24"/>
          <w:szCs w:val="24"/>
          <w:lang w:eastAsia="en-US"/>
        </w:rPr>
      </w:pPr>
      <w:r w:rsidRPr="00EC1A78">
        <w:rPr>
          <w:rFonts w:eastAsiaTheme="minorHAnsi"/>
          <w:b/>
          <w:color w:val="000000"/>
          <w:sz w:val="24"/>
          <w:szCs w:val="24"/>
          <w:lang w:eastAsia="en-US"/>
        </w:rPr>
        <w:t xml:space="preserve">Послания Президента как источники </w:t>
      </w:r>
    </w:p>
    <w:p w:rsidR="00EC1A78" w:rsidRPr="00EC1A78" w:rsidRDefault="00EC1A78" w:rsidP="00EC1A78">
      <w:pPr>
        <w:jc w:val="center"/>
        <w:rPr>
          <w:rFonts w:eastAsiaTheme="minorHAnsi"/>
          <w:b/>
          <w:color w:val="000000"/>
          <w:sz w:val="24"/>
          <w:szCs w:val="24"/>
          <w:lang w:eastAsia="en-US"/>
        </w:rPr>
      </w:pPr>
      <w:r w:rsidRPr="00EC1A78">
        <w:rPr>
          <w:rFonts w:eastAsiaTheme="minorHAnsi"/>
          <w:b/>
          <w:color w:val="000000"/>
          <w:sz w:val="24"/>
          <w:szCs w:val="24"/>
          <w:lang w:eastAsia="en-US"/>
        </w:rPr>
        <w:t>конституционного права</w:t>
      </w:r>
    </w:p>
    <w:p w:rsidR="00EC1A78" w:rsidRPr="008D33CB" w:rsidRDefault="00EC1A78" w:rsidP="00D81B7C">
      <w:pPr>
        <w:ind w:firstLine="425"/>
        <w:jc w:val="center"/>
        <w:rPr>
          <w:rFonts w:eastAsiaTheme="minorHAnsi"/>
          <w:b/>
          <w:color w:val="000000"/>
          <w:sz w:val="24"/>
          <w:szCs w:val="24"/>
          <w:lang w:val="en-US" w:eastAsia="en-US"/>
        </w:rPr>
      </w:pPr>
      <w:r w:rsidRPr="00EB2EB8">
        <w:rPr>
          <w:rFonts w:eastAsiaTheme="minorHAnsi"/>
          <w:b/>
          <w:color w:val="000000"/>
          <w:sz w:val="24"/>
          <w:szCs w:val="24"/>
          <w:lang w:val="en-US" w:eastAsia="en-US"/>
        </w:rPr>
        <w:t>The President's message as a source</w:t>
      </w:r>
      <w:r w:rsidR="00D81B7C" w:rsidRPr="00D81B7C">
        <w:rPr>
          <w:rFonts w:eastAsiaTheme="minorHAnsi"/>
          <w:b/>
          <w:color w:val="000000"/>
          <w:sz w:val="24"/>
          <w:szCs w:val="24"/>
          <w:lang w:val="en-US" w:eastAsia="en-US"/>
        </w:rPr>
        <w:t xml:space="preserve"> </w:t>
      </w:r>
      <w:r w:rsidRPr="00EB2EB8">
        <w:rPr>
          <w:rFonts w:eastAsiaTheme="minorHAnsi"/>
          <w:b/>
          <w:color w:val="000000"/>
          <w:sz w:val="24"/>
          <w:szCs w:val="24"/>
          <w:lang w:val="en-US" w:eastAsia="en-US"/>
        </w:rPr>
        <w:t>of constitutional law</w:t>
      </w:r>
    </w:p>
    <w:p w:rsidR="00D81B7C" w:rsidRPr="008D33CB" w:rsidRDefault="00D81B7C" w:rsidP="00D81B7C">
      <w:pPr>
        <w:ind w:firstLine="425"/>
        <w:jc w:val="center"/>
        <w:rPr>
          <w:rFonts w:eastAsiaTheme="minorHAnsi"/>
          <w:b/>
          <w:color w:val="000000"/>
          <w:sz w:val="24"/>
          <w:szCs w:val="24"/>
          <w:lang w:val="en-US" w:eastAsia="en-US"/>
        </w:rPr>
      </w:pPr>
    </w:p>
    <w:p w:rsidR="00EC1A78" w:rsidRPr="00D81B7C" w:rsidRDefault="00EC1A78" w:rsidP="00EB2EB8">
      <w:pPr>
        <w:ind w:firstLine="425"/>
        <w:jc w:val="right"/>
        <w:rPr>
          <w:rFonts w:eastAsiaTheme="minorHAnsi"/>
          <w:color w:val="000000"/>
          <w:sz w:val="22"/>
          <w:szCs w:val="22"/>
          <w:lang w:eastAsia="en-US"/>
        </w:rPr>
      </w:pPr>
      <w:r w:rsidRPr="00EC1A78">
        <w:rPr>
          <w:rFonts w:eastAsiaTheme="minorHAnsi"/>
          <w:color w:val="000000"/>
          <w:sz w:val="22"/>
          <w:szCs w:val="22"/>
          <w:lang w:eastAsia="en-US"/>
        </w:rPr>
        <w:t>Кононова</w:t>
      </w:r>
      <w:r w:rsidRPr="00D81B7C">
        <w:rPr>
          <w:rFonts w:eastAsiaTheme="minorHAnsi"/>
          <w:color w:val="000000"/>
          <w:sz w:val="22"/>
          <w:szCs w:val="22"/>
          <w:lang w:eastAsia="en-US"/>
        </w:rPr>
        <w:t xml:space="preserve"> </w:t>
      </w:r>
      <w:r w:rsidRPr="00EC1A78">
        <w:rPr>
          <w:rFonts w:eastAsiaTheme="minorHAnsi"/>
          <w:color w:val="000000"/>
          <w:sz w:val="22"/>
          <w:szCs w:val="22"/>
          <w:lang w:eastAsia="en-US"/>
        </w:rPr>
        <w:t>Н</w:t>
      </w:r>
      <w:r w:rsidRPr="00D81B7C">
        <w:rPr>
          <w:rFonts w:eastAsiaTheme="minorHAnsi"/>
          <w:color w:val="000000"/>
          <w:sz w:val="22"/>
          <w:szCs w:val="22"/>
          <w:lang w:eastAsia="en-US"/>
        </w:rPr>
        <w:t>.</w:t>
      </w:r>
      <w:r w:rsidR="00EB2EB8" w:rsidRPr="00D81B7C">
        <w:rPr>
          <w:rFonts w:eastAsiaTheme="minorHAnsi"/>
          <w:color w:val="000000"/>
          <w:sz w:val="22"/>
          <w:szCs w:val="22"/>
          <w:lang w:eastAsia="en-US"/>
        </w:rPr>
        <w:t xml:space="preserve"> </w:t>
      </w:r>
      <w:r w:rsidRPr="00EC1A78">
        <w:rPr>
          <w:rFonts w:eastAsiaTheme="minorHAnsi"/>
          <w:color w:val="000000"/>
          <w:sz w:val="22"/>
          <w:szCs w:val="22"/>
          <w:lang w:eastAsia="en-US"/>
        </w:rPr>
        <w:t>А</w:t>
      </w:r>
      <w:r w:rsidRPr="00D81B7C">
        <w:rPr>
          <w:rFonts w:eastAsiaTheme="minorHAnsi"/>
          <w:color w:val="000000"/>
          <w:sz w:val="22"/>
          <w:szCs w:val="22"/>
          <w:lang w:eastAsia="en-US"/>
        </w:rPr>
        <w:t>.,</w:t>
      </w:r>
      <w:r w:rsidR="00EB2EB8" w:rsidRPr="00D81B7C">
        <w:rPr>
          <w:rFonts w:eastAsiaTheme="minorHAnsi"/>
          <w:color w:val="000000"/>
          <w:sz w:val="22"/>
          <w:szCs w:val="22"/>
          <w:lang w:eastAsia="en-US"/>
        </w:rPr>
        <w:t xml:space="preserve"> </w:t>
      </w:r>
      <w:r w:rsidRPr="00EC1A78">
        <w:rPr>
          <w:rFonts w:eastAsiaTheme="minorHAnsi"/>
          <w:sz w:val="22"/>
          <w:szCs w:val="22"/>
          <w:lang w:eastAsia="en-US"/>
        </w:rPr>
        <w:t>Петренко</w:t>
      </w:r>
      <w:r w:rsidRPr="00D81B7C">
        <w:rPr>
          <w:rFonts w:eastAsiaTheme="minorHAnsi"/>
          <w:sz w:val="22"/>
          <w:szCs w:val="22"/>
          <w:lang w:eastAsia="en-US"/>
        </w:rPr>
        <w:t xml:space="preserve"> </w:t>
      </w:r>
      <w:r w:rsidRPr="00EC1A78">
        <w:rPr>
          <w:rFonts w:eastAsiaTheme="minorHAnsi"/>
          <w:sz w:val="22"/>
          <w:szCs w:val="22"/>
          <w:lang w:eastAsia="en-US"/>
        </w:rPr>
        <w:t>Е</w:t>
      </w:r>
      <w:r w:rsidRPr="00D81B7C">
        <w:rPr>
          <w:rFonts w:eastAsiaTheme="minorHAnsi"/>
          <w:sz w:val="22"/>
          <w:szCs w:val="22"/>
          <w:lang w:eastAsia="en-US"/>
        </w:rPr>
        <w:t>.</w:t>
      </w:r>
      <w:r w:rsidR="00EB2EB8" w:rsidRPr="00D81B7C">
        <w:rPr>
          <w:rFonts w:eastAsiaTheme="minorHAnsi"/>
          <w:sz w:val="22"/>
          <w:szCs w:val="22"/>
          <w:lang w:eastAsia="en-US"/>
        </w:rPr>
        <w:t xml:space="preserve"> </w:t>
      </w:r>
      <w:r w:rsidRPr="00EC1A78">
        <w:rPr>
          <w:rFonts w:eastAsiaTheme="minorHAnsi"/>
          <w:sz w:val="22"/>
          <w:szCs w:val="22"/>
          <w:lang w:eastAsia="en-US"/>
        </w:rPr>
        <w:t>А</w:t>
      </w:r>
      <w:r w:rsidRPr="00D81B7C">
        <w:rPr>
          <w:rFonts w:eastAsiaTheme="minorHAnsi"/>
          <w:sz w:val="22"/>
          <w:szCs w:val="22"/>
          <w:lang w:eastAsia="en-US"/>
        </w:rPr>
        <w:t>.,</w:t>
      </w:r>
    </w:p>
    <w:p w:rsidR="00EC1A78" w:rsidRPr="00EC1A78" w:rsidRDefault="00EC1A78" w:rsidP="00EC1A78">
      <w:pPr>
        <w:ind w:firstLine="426"/>
        <w:jc w:val="right"/>
        <w:rPr>
          <w:rFonts w:eastAsiaTheme="minorHAnsi"/>
          <w:sz w:val="22"/>
          <w:szCs w:val="22"/>
          <w:lang w:eastAsia="en-US"/>
        </w:rPr>
      </w:pPr>
      <w:r w:rsidRPr="00EC1A78">
        <w:rPr>
          <w:rFonts w:eastAsiaTheme="minorHAnsi"/>
          <w:sz w:val="22"/>
          <w:szCs w:val="22"/>
          <w:lang w:eastAsia="en-US"/>
        </w:rPr>
        <w:t>студент</w:t>
      </w:r>
      <w:r w:rsidR="00EB2EB8">
        <w:rPr>
          <w:rFonts w:eastAsiaTheme="minorHAnsi"/>
          <w:sz w:val="22"/>
          <w:szCs w:val="22"/>
          <w:lang w:eastAsia="en-US"/>
        </w:rPr>
        <w:t>ы</w:t>
      </w:r>
      <w:r w:rsidRPr="00EC1A78">
        <w:rPr>
          <w:rFonts w:eastAsiaTheme="minorHAnsi"/>
          <w:sz w:val="22"/>
          <w:szCs w:val="22"/>
          <w:lang w:eastAsia="en-US"/>
        </w:rPr>
        <w:t xml:space="preserve"> 1–го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EB2EB8">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ind w:firstLine="425"/>
        <w:jc w:val="both"/>
        <w:rPr>
          <w:rFonts w:eastAsiaTheme="minorHAnsi"/>
          <w:color w:val="000000"/>
          <w:sz w:val="22"/>
          <w:szCs w:val="22"/>
          <w:lang w:eastAsia="en-US"/>
        </w:rPr>
      </w:pPr>
    </w:p>
    <w:p w:rsidR="00EC1A78" w:rsidRPr="00EC1A78" w:rsidRDefault="00EC1A78" w:rsidP="00EC1A78">
      <w:pPr>
        <w:ind w:firstLine="425"/>
        <w:jc w:val="both"/>
        <w:rPr>
          <w:rFonts w:eastAsiaTheme="minorHAnsi"/>
          <w:color w:val="000000"/>
          <w:sz w:val="22"/>
          <w:szCs w:val="22"/>
          <w:lang w:val="en-US" w:eastAsia="en-US"/>
        </w:rPr>
      </w:pPr>
      <w:r w:rsidRPr="00EC1A78">
        <w:rPr>
          <w:rFonts w:eastAsiaTheme="minorHAnsi"/>
          <w:color w:val="000000"/>
          <w:sz w:val="22"/>
          <w:szCs w:val="22"/>
          <w:lang w:eastAsia="en-US"/>
        </w:rPr>
        <w:t>АННОТАЦИЯ: Рассматриваются обращения Президента как источник конституционного права. Выявлено</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значение</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посланий</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в</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развитии</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российского</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государства</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и</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права</w:t>
      </w:r>
      <w:r w:rsidR="00D81B7C" w:rsidRPr="008D33CB">
        <w:rPr>
          <w:rFonts w:eastAsiaTheme="minorHAnsi"/>
          <w:color w:val="000000"/>
          <w:sz w:val="22"/>
          <w:szCs w:val="22"/>
          <w:lang w:val="en-US" w:eastAsia="en-US"/>
        </w:rPr>
        <w:t>.</w:t>
      </w:r>
    </w:p>
    <w:p w:rsidR="00EC1A78" w:rsidRPr="00EC1A78" w:rsidRDefault="00EC1A78" w:rsidP="00EC1A78">
      <w:pPr>
        <w:ind w:firstLine="425"/>
        <w:jc w:val="both"/>
        <w:rPr>
          <w:rFonts w:eastAsiaTheme="minorHAnsi"/>
          <w:sz w:val="22"/>
          <w:szCs w:val="22"/>
          <w:lang w:val="en-US" w:eastAsia="en-US"/>
        </w:rPr>
      </w:pPr>
      <w:r w:rsidRPr="00EC1A78">
        <w:rPr>
          <w:rFonts w:eastAsiaTheme="minorHAnsi"/>
          <w:color w:val="000000"/>
          <w:sz w:val="22"/>
          <w:szCs w:val="22"/>
          <w:lang w:val="en-US" w:eastAsia="en-US"/>
        </w:rPr>
        <w:lastRenderedPageBreak/>
        <w:t xml:space="preserve">ABSTRACT: In this article, the author considers the President's Message as a source of Constitutional law. The meaning of the messages in development of the Russian state and law had been revealed. </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color w:val="000000"/>
          <w:sz w:val="22"/>
          <w:szCs w:val="22"/>
          <w:lang w:eastAsia="en-US"/>
        </w:rPr>
        <w:t>КЛЮЧЕВЫЕ СЛОВА: Президент; Послание Президента; Ко</w:t>
      </w:r>
      <w:r w:rsidRPr="00EC1A78">
        <w:rPr>
          <w:rFonts w:eastAsiaTheme="minorHAnsi"/>
          <w:color w:val="000000"/>
          <w:sz w:val="22"/>
          <w:szCs w:val="22"/>
          <w:lang w:eastAsia="en-US"/>
        </w:rPr>
        <w:t>н</w:t>
      </w:r>
      <w:r w:rsidRPr="00EC1A78">
        <w:rPr>
          <w:rFonts w:eastAsiaTheme="minorHAnsi"/>
          <w:color w:val="000000"/>
          <w:sz w:val="22"/>
          <w:szCs w:val="22"/>
          <w:lang w:eastAsia="en-US"/>
        </w:rPr>
        <w:t>ституция; закон.</w:t>
      </w:r>
    </w:p>
    <w:p w:rsidR="00EC1A78" w:rsidRPr="00EC1A78" w:rsidRDefault="00EC1A78" w:rsidP="00EC1A78">
      <w:pPr>
        <w:ind w:firstLine="425"/>
        <w:jc w:val="both"/>
        <w:rPr>
          <w:rFonts w:eastAsiaTheme="minorHAnsi"/>
          <w:color w:val="000000"/>
          <w:sz w:val="22"/>
          <w:szCs w:val="22"/>
          <w:lang w:val="en-US" w:eastAsia="en-US"/>
        </w:rPr>
      </w:pPr>
      <w:r w:rsidRPr="00EC1A78">
        <w:rPr>
          <w:rFonts w:eastAsiaTheme="minorHAnsi"/>
          <w:color w:val="000000"/>
          <w:sz w:val="22"/>
          <w:szCs w:val="22"/>
          <w:lang w:val="en-US" w:eastAsia="en-US"/>
        </w:rPr>
        <w:t>KEY WORDS: President; President's message, Constitution; Law.</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val="en-US" w:eastAsia="en-US"/>
        </w:rPr>
      </w:pP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Важнейшим источником конституционного права является п</w:t>
      </w:r>
      <w:r w:rsidRPr="00EC1A78">
        <w:rPr>
          <w:rFonts w:eastAsiaTheme="minorEastAsia"/>
          <w:color w:val="000000"/>
          <w:sz w:val="22"/>
          <w:szCs w:val="22"/>
          <w:lang w:eastAsia="en-US"/>
        </w:rPr>
        <w:t>о</w:t>
      </w:r>
      <w:r w:rsidRPr="00EC1A78">
        <w:rPr>
          <w:rFonts w:eastAsiaTheme="minorEastAsia"/>
          <w:color w:val="000000"/>
          <w:sz w:val="22"/>
          <w:szCs w:val="22"/>
          <w:lang w:eastAsia="en-US"/>
        </w:rPr>
        <w:t>слание Президента РФ к Федеральному Собранию РФ.</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Согласно ст. 84 п. е Конституции РФ Президент России еж</w:t>
      </w:r>
      <w:r w:rsidRPr="00EC1A78">
        <w:rPr>
          <w:rFonts w:eastAsiaTheme="minorEastAsia"/>
          <w:color w:val="000000"/>
          <w:sz w:val="22"/>
          <w:szCs w:val="22"/>
          <w:lang w:eastAsia="en-US"/>
        </w:rPr>
        <w:t>е</w:t>
      </w:r>
      <w:r w:rsidRPr="00EC1A78">
        <w:rPr>
          <w:rFonts w:eastAsiaTheme="minorEastAsia"/>
          <w:color w:val="000000"/>
          <w:sz w:val="22"/>
          <w:szCs w:val="22"/>
          <w:lang w:eastAsia="en-US"/>
        </w:rPr>
        <w:t>годно обращается к Федеральному Собранию с посланием о пол</w:t>
      </w:r>
      <w:r w:rsidRPr="00EC1A78">
        <w:rPr>
          <w:rFonts w:eastAsiaTheme="minorEastAsia"/>
          <w:color w:val="000000"/>
          <w:sz w:val="22"/>
          <w:szCs w:val="22"/>
          <w:lang w:eastAsia="en-US"/>
        </w:rPr>
        <w:t>о</w:t>
      </w:r>
      <w:r w:rsidRPr="00EC1A78">
        <w:rPr>
          <w:rFonts w:eastAsiaTheme="minorEastAsia"/>
          <w:color w:val="000000"/>
          <w:sz w:val="22"/>
          <w:szCs w:val="22"/>
          <w:lang w:eastAsia="en-US"/>
        </w:rPr>
        <w:t>жении в стране и об основных направлениях внутренней и внешней политики.</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На оглашении послания обязательно присутствуют депутаты обеих палат Федерального Собрания, члены Правительства, Пре</w:t>
      </w:r>
      <w:r w:rsidRPr="00EC1A78">
        <w:rPr>
          <w:rFonts w:eastAsiaTheme="minorEastAsia"/>
          <w:color w:val="000000"/>
          <w:sz w:val="22"/>
          <w:szCs w:val="22"/>
          <w:lang w:eastAsia="en-US"/>
        </w:rPr>
        <w:t>д</w:t>
      </w:r>
      <w:r w:rsidRPr="00EC1A78">
        <w:rPr>
          <w:rFonts w:eastAsiaTheme="minorEastAsia"/>
          <w:color w:val="000000"/>
          <w:sz w:val="22"/>
          <w:szCs w:val="22"/>
          <w:lang w:eastAsia="en-US"/>
        </w:rPr>
        <w:t>седатели Конституционного и Верховного судов, Генпрокурор, члены Центризбиркома, глава Счетной палаты, члены Госуда</w:t>
      </w:r>
      <w:r w:rsidRPr="00EC1A78">
        <w:rPr>
          <w:rFonts w:eastAsiaTheme="minorEastAsia"/>
          <w:color w:val="000000"/>
          <w:sz w:val="22"/>
          <w:szCs w:val="22"/>
          <w:lang w:eastAsia="en-US"/>
        </w:rPr>
        <w:t>р</w:t>
      </w:r>
      <w:r w:rsidRPr="00EC1A78">
        <w:rPr>
          <w:rFonts w:eastAsiaTheme="minorEastAsia"/>
          <w:color w:val="000000"/>
          <w:sz w:val="22"/>
          <w:szCs w:val="22"/>
          <w:lang w:eastAsia="en-US"/>
        </w:rPr>
        <w:t xml:space="preserve">ственного Совета и представители общественной палаты. </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Первым с посланием к Федеральному Собранию обратился Президент Ельцин 24 февраля 1994 года. Его послание было посв</w:t>
      </w:r>
      <w:r w:rsidRPr="00EC1A78">
        <w:rPr>
          <w:rFonts w:eastAsiaTheme="minorEastAsia"/>
          <w:color w:val="000000"/>
          <w:sz w:val="22"/>
          <w:szCs w:val="22"/>
          <w:lang w:eastAsia="en-US"/>
        </w:rPr>
        <w:t>я</w:t>
      </w:r>
      <w:r w:rsidRPr="00EC1A78">
        <w:rPr>
          <w:rFonts w:eastAsiaTheme="minorEastAsia"/>
          <w:color w:val="000000"/>
          <w:sz w:val="22"/>
          <w:szCs w:val="22"/>
          <w:lang w:eastAsia="en-US"/>
        </w:rPr>
        <w:t>щено становлению правового государства, защите прав граждан, развитию рыночных реформ и неприемлемости возвращения в эк</w:t>
      </w:r>
      <w:r w:rsidRPr="00EC1A78">
        <w:rPr>
          <w:rFonts w:eastAsiaTheme="minorEastAsia"/>
          <w:color w:val="000000"/>
          <w:sz w:val="22"/>
          <w:szCs w:val="22"/>
          <w:lang w:eastAsia="en-US"/>
        </w:rPr>
        <w:t>о</w:t>
      </w:r>
      <w:r w:rsidRPr="00EC1A78">
        <w:rPr>
          <w:rFonts w:eastAsiaTheme="minorEastAsia"/>
          <w:color w:val="000000"/>
          <w:sz w:val="22"/>
          <w:szCs w:val="22"/>
          <w:lang w:eastAsia="en-US"/>
        </w:rPr>
        <w:t>номике к плановой системе. Следующие послания Ельцина были посвящены проблемам в экономической, политической и социал</w:t>
      </w:r>
      <w:r w:rsidRPr="00EC1A78">
        <w:rPr>
          <w:rFonts w:eastAsiaTheme="minorEastAsia"/>
          <w:color w:val="000000"/>
          <w:sz w:val="22"/>
          <w:szCs w:val="22"/>
          <w:lang w:eastAsia="en-US"/>
        </w:rPr>
        <w:t>ь</w:t>
      </w:r>
      <w:r w:rsidRPr="00EC1A78">
        <w:rPr>
          <w:rFonts w:eastAsiaTheme="minorEastAsia"/>
          <w:color w:val="000000"/>
          <w:sz w:val="22"/>
          <w:szCs w:val="22"/>
          <w:lang w:eastAsia="en-US"/>
        </w:rPr>
        <w:t>ной сферах жизни общества. Последнее Послание Президента Ел</w:t>
      </w:r>
      <w:r w:rsidRPr="00EC1A78">
        <w:rPr>
          <w:rFonts w:eastAsiaTheme="minorEastAsia"/>
          <w:color w:val="000000"/>
          <w:sz w:val="22"/>
          <w:szCs w:val="22"/>
          <w:lang w:eastAsia="en-US"/>
        </w:rPr>
        <w:t>ь</w:t>
      </w:r>
      <w:r w:rsidRPr="00EC1A78">
        <w:rPr>
          <w:rFonts w:eastAsiaTheme="minorEastAsia"/>
          <w:color w:val="000000"/>
          <w:sz w:val="22"/>
          <w:szCs w:val="22"/>
          <w:lang w:eastAsia="en-US"/>
        </w:rPr>
        <w:t xml:space="preserve">цина состоялось 30 марта 1999 года. </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8 июля 2000 года в своем первом программном документе, оз</w:t>
      </w:r>
      <w:r w:rsidRPr="00EC1A78">
        <w:rPr>
          <w:rFonts w:eastAsiaTheme="minorEastAsia"/>
          <w:color w:val="000000"/>
          <w:sz w:val="22"/>
          <w:szCs w:val="22"/>
          <w:lang w:eastAsia="en-US"/>
        </w:rPr>
        <w:t>а</w:t>
      </w:r>
      <w:r w:rsidRPr="00EC1A78">
        <w:rPr>
          <w:rFonts w:eastAsiaTheme="minorEastAsia"/>
          <w:color w:val="000000"/>
          <w:sz w:val="22"/>
          <w:szCs w:val="22"/>
          <w:lang w:eastAsia="en-US"/>
        </w:rPr>
        <w:t>главленном как «Государство Россия. Путь к эффективному гос</w:t>
      </w:r>
      <w:r w:rsidRPr="00EC1A78">
        <w:rPr>
          <w:rFonts w:eastAsiaTheme="minorEastAsia"/>
          <w:color w:val="000000"/>
          <w:sz w:val="22"/>
          <w:szCs w:val="22"/>
          <w:lang w:eastAsia="en-US"/>
        </w:rPr>
        <w:t>у</w:t>
      </w:r>
      <w:r w:rsidRPr="00EC1A78">
        <w:rPr>
          <w:rFonts w:eastAsiaTheme="minorEastAsia"/>
          <w:color w:val="000000"/>
          <w:sz w:val="22"/>
          <w:szCs w:val="22"/>
          <w:lang w:eastAsia="en-US"/>
        </w:rPr>
        <w:t>дарству» Владимир Владимирович Путин заявил о необходимости преобразовать Россию в сильное и эффективное государство, об</w:t>
      </w:r>
      <w:r w:rsidRPr="00EC1A78">
        <w:rPr>
          <w:rFonts w:eastAsiaTheme="minorEastAsia"/>
          <w:color w:val="000000"/>
          <w:sz w:val="22"/>
          <w:szCs w:val="22"/>
          <w:lang w:eastAsia="en-US"/>
        </w:rPr>
        <w:t>о</w:t>
      </w:r>
      <w:r w:rsidRPr="00EC1A78">
        <w:rPr>
          <w:rFonts w:eastAsiaTheme="minorEastAsia"/>
          <w:color w:val="000000"/>
          <w:sz w:val="22"/>
          <w:szCs w:val="22"/>
          <w:lang w:eastAsia="en-US"/>
        </w:rPr>
        <w:t>значив основные угрозы российскому обществу: его демографич</w:t>
      </w:r>
      <w:r w:rsidRPr="00EC1A78">
        <w:rPr>
          <w:rFonts w:eastAsiaTheme="minorEastAsia"/>
          <w:color w:val="000000"/>
          <w:sz w:val="22"/>
          <w:szCs w:val="22"/>
          <w:lang w:eastAsia="en-US"/>
        </w:rPr>
        <w:t>е</w:t>
      </w:r>
      <w:r w:rsidRPr="00EC1A78">
        <w:rPr>
          <w:rFonts w:eastAsiaTheme="minorEastAsia"/>
          <w:color w:val="000000"/>
          <w:sz w:val="22"/>
          <w:szCs w:val="22"/>
          <w:lang w:eastAsia="en-US"/>
        </w:rPr>
        <w:t>ский кризис, проблемы экономики, отсутствие в государстве ед</w:t>
      </w:r>
      <w:r w:rsidRPr="00EC1A78">
        <w:rPr>
          <w:rFonts w:eastAsiaTheme="minorEastAsia"/>
          <w:color w:val="000000"/>
          <w:sz w:val="22"/>
          <w:szCs w:val="22"/>
          <w:lang w:eastAsia="en-US"/>
        </w:rPr>
        <w:t>и</w:t>
      </w:r>
      <w:r w:rsidRPr="00EC1A78">
        <w:rPr>
          <w:rFonts w:eastAsiaTheme="minorEastAsia"/>
          <w:color w:val="000000"/>
          <w:sz w:val="22"/>
          <w:szCs w:val="22"/>
          <w:lang w:eastAsia="en-US"/>
        </w:rPr>
        <w:t>ной, эффективной, вертикальной власти. Данные положения нашли свое отражение в новых федеральных законах. Так, например, ФЗ «О дополнительных мерах государственной поддержки семей им</w:t>
      </w:r>
      <w:r w:rsidRPr="00EC1A78">
        <w:rPr>
          <w:rFonts w:eastAsiaTheme="minorEastAsia"/>
          <w:color w:val="000000"/>
          <w:sz w:val="22"/>
          <w:szCs w:val="22"/>
          <w:lang w:eastAsia="en-US"/>
        </w:rPr>
        <w:t>е</w:t>
      </w:r>
      <w:r w:rsidRPr="00EC1A78">
        <w:rPr>
          <w:rFonts w:eastAsiaTheme="minorEastAsia"/>
          <w:color w:val="000000"/>
          <w:sz w:val="22"/>
          <w:szCs w:val="22"/>
          <w:lang w:eastAsia="en-US"/>
        </w:rPr>
        <w:t>ющих детей» от 29.12.2006 г. № 256–ФЗ], повлиял на развитие д</w:t>
      </w:r>
      <w:r w:rsidRPr="00EC1A78">
        <w:rPr>
          <w:rFonts w:eastAsiaTheme="minorEastAsia"/>
          <w:color w:val="000000"/>
          <w:sz w:val="22"/>
          <w:szCs w:val="22"/>
          <w:lang w:eastAsia="en-US"/>
        </w:rPr>
        <w:t>е</w:t>
      </w:r>
      <w:r w:rsidRPr="00EC1A78">
        <w:rPr>
          <w:rFonts w:eastAsiaTheme="minorEastAsia"/>
          <w:color w:val="000000"/>
          <w:sz w:val="22"/>
          <w:szCs w:val="22"/>
          <w:lang w:eastAsia="en-US"/>
        </w:rPr>
        <w:t>мографического роста: к 2007 численность населения увеличилась на 13%.</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lastRenderedPageBreak/>
        <w:t>5 ноября 2008 года Президент  Д.А. Медведев обратился с п</w:t>
      </w:r>
      <w:r w:rsidRPr="00EC1A78">
        <w:rPr>
          <w:rFonts w:eastAsiaTheme="minorEastAsia"/>
          <w:color w:val="000000"/>
          <w:sz w:val="22"/>
          <w:szCs w:val="22"/>
          <w:lang w:eastAsia="en-US"/>
        </w:rPr>
        <w:t>о</w:t>
      </w:r>
      <w:r w:rsidRPr="00EC1A78">
        <w:rPr>
          <w:rFonts w:eastAsiaTheme="minorEastAsia"/>
          <w:color w:val="000000"/>
          <w:sz w:val="22"/>
          <w:szCs w:val="22"/>
          <w:lang w:eastAsia="en-US"/>
        </w:rPr>
        <w:t>сланием к Федеральному Собранию, в котором уделил внимание вопросам обороны и безопасности, принятию антикризисных мер, борьбе с коррупцией. На основании Послания был принят Фед</w:t>
      </w:r>
      <w:r w:rsidRPr="00EC1A78">
        <w:rPr>
          <w:rFonts w:eastAsiaTheme="minorEastAsia"/>
          <w:color w:val="000000"/>
          <w:sz w:val="22"/>
          <w:szCs w:val="22"/>
          <w:lang w:eastAsia="en-US"/>
        </w:rPr>
        <w:t>е</w:t>
      </w:r>
      <w:r w:rsidRPr="00EC1A78">
        <w:rPr>
          <w:rFonts w:eastAsiaTheme="minorEastAsia"/>
          <w:color w:val="000000"/>
          <w:sz w:val="22"/>
          <w:szCs w:val="22"/>
          <w:lang w:eastAsia="en-US"/>
        </w:rPr>
        <w:t>ральный закон от 25 декабря 2008 года №273–ФЗ «О противоде</w:t>
      </w:r>
      <w:r w:rsidRPr="00EC1A78">
        <w:rPr>
          <w:rFonts w:eastAsiaTheme="minorEastAsia"/>
          <w:color w:val="000000"/>
          <w:sz w:val="22"/>
          <w:szCs w:val="22"/>
          <w:lang w:eastAsia="en-US"/>
        </w:rPr>
        <w:t>й</w:t>
      </w:r>
      <w:r w:rsidRPr="00EC1A78">
        <w:rPr>
          <w:rFonts w:eastAsiaTheme="minorEastAsia"/>
          <w:color w:val="000000"/>
          <w:sz w:val="22"/>
          <w:szCs w:val="22"/>
          <w:lang w:eastAsia="en-US"/>
        </w:rPr>
        <w:t>ствии коррупции»], в результате реализации которого количество коррупционных правонарушений значительно снизилось.</w:t>
      </w:r>
    </w:p>
    <w:p w:rsidR="00EC1A78" w:rsidRPr="00EC1A78" w:rsidRDefault="00EC1A78" w:rsidP="00EC1A78">
      <w:pPr>
        <w:widowControl w:val="0"/>
        <w:autoSpaceDE w:val="0"/>
        <w:autoSpaceDN w:val="0"/>
        <w:adjustRightInd w:val="0"/>
        <w:ind w:firstLine="425"/>
        <w:jc w:val="both"/>
        <w:rPr>
          <w:rFonts w:eastAsiaTheme="minorEastAsia"/>
          <w:color w:val="000000"/>
          <w:sz w:val="22"/>
          <w:szCs w:val="22"/>
          <w:lang w:eastAsia="en-US"/>
        </w:rPr>
      </w:pPr>
      <w:r w:rsidRPr="00EC1A78">
        <w:rPr>
          <w:rFonts w:eastAsiaTheme="minorEastAsia"/>
          <w:color w:val="000000"/>
          <w:sz w:val="22"/>
          <w:szCs w:val="22"/>
          <w:lang w:eastAsia="en-US"/>
        </w:rPr>
        <w:t>С 2012 года по настоящее время к Федеральному Собранию Президент Путин обратился 7 раз.  На основании Посланий были внесены изменения Уголовный кодекс, Уголовно–Процессуальный кодекс, в ФЗ «О прокуратуре Российской Федерации»«.</w:t>
      </w:r>
    </w:p>
    <w:p w:rsidR="00EC1A78" w:rsidRPr="00EC1A78" w:rsidRDefault="00EC1A78" w:rsidP="00EC1A78">
      <w:pPr>
        <w:widowControl w:val="0"/>
        <w:autoSpaceDE w:val="0"/>
        <w:autoSpaceDN w:val="0"/>
        <w:adjustRightInd w:val="0"/>
        <w:ind w:firstLine="425"/>
        <w:jc w:val="both"/>
        <w:rPr>
          <w:rFonts w:eastAsiaTheme="minorEastAsia"/>
          <w:sz w:val="22"/>
          <w:szCs w:val="22"/>
        </w:rPr>
      </w:pPr>
      <w:r w:rsidRPr="00EC1A78">
        <w:rPr>
          <w:rFonts w:eastAsiaTheme="minorEastAsia"/>
          <w:color w:val="000000"/>
          <w:sz w:val="22"/>
          <w:szCs w:val="22"/>
          <w:lang w:eastAsia="en-US"/>
        </w:rPr>
        <w:t>В этом году послание Федеральному Собранию РФ состоялось 1 марта 2018 года, в котором Президент Российской Федерации в</w:t>
      </w:r>
      <w:r w:rsidRPr="00EC1A78">
        <w:rPr>
          <w:rFonts w:eastAsiaTheme="minorEastAsia"/>
          <w:color w:val="000000"/>
          <w:sz w:val="22"/>
          <w:szCs w:val="22"/>
          <w:lang w:eastAsia="en-US"/>
        </w:rPr>
        <w:t>ы</w:t>
      </w:r>
      <w:r w:rsidRPr="00EC1A78">
        <w:rPr>
          <w:rFonts w:eastAsiaTheme="minorEastAsia"/>
          <w:color w:val="000000"/>
          <w:sz w:val="22"/>
          <w:szCs w:val="22"/>
          <w:lang w:eastAsia="en-US"/>
        </w:rPr>
        <w:t>делил следующие задачи: обеспечение благополучия граждан; обеспечение доступности современной, качественной медицинской помощи и удвоение расходов на здравоохранение. Владимир Путин намерен запустить общенациональную программу, направленную на борьбу с онкологическими заболеваниями; поддержка начина</w:t>
      </w:r>
      <w:r w:rsidRPr="00EC1A78">
        <w:rPr>
          <w:rFonts w:eastAsiaTheme="minorEastAsia"/>
          <w:color w:val="000000"/>
          <w:sz w:val="22"/>
          <w:szCs w:val="22"/>
          <w:lang w:eastAsia="en-US"/>
        </w:rPr>
        <w:t>ю</w:t>
      </w:r>
      <w:r w:rsidRPr="00EC1A78">
        <w:rPr>
          <w:rFonts w:eastAsiaTheme="minorEastAsia"/>
          <w:color w:val="000000"/>
          <w:sz w:val="22"/>
          <w:szCs w:val="22"/>
          <w:lang w:eastAsia="en-US"/>
        </w:rPr>
        <w:t>щих предпринимателей; развитие цифровой экономики; развитие новых вооружений. Можно сделать вывод, что послания Президе</w:t>
      </w:r>
      <w:r w:rsidRPr="00EC1A78">
        <w:rPr>
          <w:rFonts w:eastAsiaTheme="minorEastAsia"/>
          <w:color w:val="000000"/>
          <w:sz w:val="22"/>
          <w:szCs w:val="22"/>
          <w:lang w:eastAsia="en-US"/>
        </w:rPr>
        <w:t>н</w:t>
      </w:r>
      <w:r w:rsidRPr="00EC1A78">
        <w:rPr>
          <w:rFonts w:eastAsiaTheme="minorEastAsia"/>
          <w:color w:val="000000"/>
          <w:sz w:val="22"/>
          <w:szCs w:val="22"/>
          <w:lang w:eastAsia="en-US"/>
        </w:rPr>
        <w:t>та – это главный программный документ, являющийся одним из важнейших источников конституционного права, от которого зав</w:t>
      </w:r>
      <w:r w:rsidRPr="00EC1A78">
        <w:rPr>
          <w:rFonts w:eastAsiaTheme="minorEastAsia"/>
          <w:color w:val="000000"/>
          <w:sz w:val="22"/>
          <w:szCs w:val="22"/>
          <w:lang w:eastAsia="en-US"/>
        </w:rPr>
        <w:t>и</w:t>
      </w:r>
      <w:r w:rsidRPr="00EC1A78">
        <w:rPr>
          <w:rFonts w:eastAsiaTheme="minorEastAsia"/>
          <w:color w:val="000000"/>
          <w:sz w:val="22"/>
          <w:szCs w:val="22"/>
          <w:lang w:eastAsia="en-US"/>
        </w:rPr>
        <w:t>сит вектор развития страны и российского права на несколько лет вперед.</w:t>
      </w:r>
    </w:p>
    <w:p w:rsidR="00EC1A78" w:rsidRDefault="00EC1A78" w:rsidP="00EC1A78">
      <w:pPr>
        <w:jc w:val="both"/>
        <w:rPr>
          <w:rFonts w:eastAsiaTheme="minorHAnsi"/>
          <w:sz w:val="22"/>
          <w:szCs w:val="22"/>
          <w:lang w:eastAsia="en-US"/>
        </w:rPr>
      </w:pPr>
    </w:p>
    <w:p w:rsidR="008F16B1" w:rsidRPr="00EC1A78" w:rsidRDefault="00D81B7C" w:rsidP="00D81B7C">
      <w:pPr>
        <w:rPr>
          <w:rFonts w:eastAsiaTheme="minorHAnsi"/>
          <w:sz w:val="22"/>
          <w:szCs w:val="22"/>
          <w:lang w:eastAsia="en-US"/>
        </w:rPr>
      </w:pPr>
      <w:r>
        <w:rPr>
          <w:rFonts w:eastAsiaTheme="minorHAnsi"/>
          <w:sz w:val="22"/>
          <w:szCs w:val="22"/>
          <w:lang w:eastAsia="en-US"/>
        </w:rPr>
        <w:br w:type="page"/>
      </w:r>
    </w:p>
    <w:p w:rsidR="00EC1A78" w:rsidRDefault="00EC1A78" w:rsidP="00D81B7C">
      <w:pPr>
        <w:shd w:val="clear" w:color="auto" w:fill="FFFFFF"/>
        <w:outlineLvl w:val="0"/>
        <w:rPr>
          <w:rFonts w:eastAsiaTheme="minorHAnsi"/>
          <w:color w:val="000000"/>
          <w:kern w:val="36"/>
          <w:sz w:val="22"/>
          <w:szCs w:val="22"/>
        </w:rPr>
      </w:pPr>
      <w:r w:rsidRPr="00EC1A78">
        <w:rPr>
          <w:rFonts w:eastAsiaTheme="minorHAnsi"/>
          <w:color w:val="000000"/>
          <w:kern w:val="36"/>
          <w:sz w:val="22"/>
          <w:szCs w:val="22"/>
        </w:rPr>
        <w:lastRenderedPageBreak/>
        <w:t>УДК 343.98</w:t>
      </w:r>
    </w:p>
    <w:p w:rsidR="00D81B7C" w:rsidRPr="00D81B7C" w:rsidRDefault="00D81B7C" w:rsidP="00D81B7C">
      <w:pPr>
        <w:shd w:val="clear" w:color="auto" w:fill="FFFFFF"/>
        <w:outlineLvl w:val="0"/>
        <w:rPr>
          <w:rFonts w:eastAsiaTheme="minorHAnsi"/>
          <w:color w:val="000000"/>
          <w:kern w:val="36"/>
          <w:sz w:val="22"/>
          <w:szCs w:val="22"/>
        </w:rPr>
      </w:pPr>
    </w:p>
    <w:p w:rsidR="00EC1A78" w:rsidRPr="00EC1A78" w:rsidRDefault="00EC1A78" w:rsidP="00EC1A78">
      <w:pPr>
        <w:jc w:val="center"/>
        <w:rPr>
          <w:rFonts w:eastAsiaTheme="minorHAnsi"/>
          <w:b/>
          <w:bCs/>
          <w:sz w:val="24"/>
          <w:szCs w:val="24"/>
          <w:lang w:eastAsia="en-US"/>
        </w:rPr>
      </w:pPr>
      <w:r w:rsidRPr="00EC1A78">
        <w:rPr>
          <w:rFonts w:eastAsiaTheme="minorHAnsi"/>
          <w:b/>
          <w:bCs/>
          <w:sz w:val="24"/>
          <w:szCs w:val="24"/>
          <w:lang w:eastAsia="en-US"/>
        </w:rPr>
        <w:t xml:space="preserve">Проведение следственных действий с участием </w:t>
      </w:r>
      <w:r w:rsidR="008F16B1">
        <w:rPr>
          <w:rFonts w:eastAsiaTheme="minorHAnsi"/>
          <w:b/>
          <w:bCs/>
          <w:sz w:val="24"/>
          <w:szCs w:val="24"/>
          <w:lang w:eastAsia="en-US"/>
        </w:rPr>
        <w:br/>
      </w:r>
      <w:r w:rsidRPr="00EC1A78">
        <w:rPr>
          <w:rFonts w:eastAsiaTheme="minorHAnsi"/>
          <w:b/>
          <w:bCs/>
          <w:sz w:val="24"/>
          <w:szCs w:val="24"/>
          <w:lang w:eastAsia="en-US"/>
        </w:rPr>
        <w:t>иностранцев</w:t>
      </w:r>
    </w:p>
    <w:p w:rsidR="00EC1A78" w:rsidRPr="00E62E4B" w:rsidRDefault="00EC1A78" w:rsidP="00EC1A78">
      <w:pPr>
        <w:widowControl w:val="0"/>
        <w:tabs>
          <w:tab w:val="left" w:pos="8223"/>
        </w:tabs>
        <w:jc w:val="center"/>
        <w:rPr>
          <w:rFonts w:eastAsiaTheme="minorHAnsi"/>
          <w:b/>
          <w:bCs/>
          <w:color w:val="000000"/>
          <w:sz w:val="24"/>
          <w:szCs w:val="24"/>
          <w:lang w:val="en-US" w:eastAsia="en-US"/>
        </w:rPr>
      </w:pPr>
      <w:r w:rsidRPr="00EC1A78">
        <w:rPr>
          <w:rFonts w:eastAsiaTheme="minorHAnsi"/>
          <w:b/>
          <w:bCs/>
          <w:color w:val="000000"/>
          <w:sz w:val="24"/>
          <w:szCs w:val="24"/>
          <w:lang w:val="en-US" w:eastAsia="en-US"/>
        </w:rPr>
        <w:t>The</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prospect</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of</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polygraph</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in</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the</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investigation</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of</w:t>
      </w:r>
      <w:r w:rsidRPr="00E62E4B">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crimes</w:t>
      </w:r>
    </w:p>
    <w:p w:rsidR="00EC1A78" w:rsidRPr="00E62E4B" w:rsidRDefault="00EC1A78" w:rsidP="00EC1A78">
      <w:pPr>
        <w:widowControl w:val="0"/>
        <w:tabs>
          <w:tab w:val="left" w:pos="8223"/>
        </w:tabs>
        <w:ind w:firstLine="425"/>
        <w:jc w:val="right"/>
        <w:rPr>
          <w:rFonts w:eastAsiaTheme="minorHAnsi"/>
          <w:color w:val="000000"/>
          <w:sz w:val="22"/>
          <w:szCs w:val="22"/>
          <w:lang w:val="en-US" w:eastAsia="en-US"/>
        </w:rPr>
      </w:pPr>
    </w:p>
    <w:p w:rsidR="00EC1A78" w:rsidRPr="008F16B1" w:rsidRDefault="00EC1A78" w:rsidP="00EC1A78">
      <w:pPr>
        <w:ind w:firstLine="425"/>
        <w:jc w:val="right"/>
        <w:rPr>
          <w:sz w:val="22"/>
          <w:szCs w:val="22"/>
        </w:rPr>
      </w:pPr>
      <w:r w:rsidRPr="008F16B1">
        <w:rPr>
          <w:sz w:val="22"/>
          <w:szCs w:val="22"/>
        </w:rPr>
        <w:t>Коротков А. В.,</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студент 4–го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sz w:val="22"/>
          <w:szCs w:val="22"/>
        </w:rPr>
        <w:t>Помазанов В</w:t>
      </w:r>
      <w:r w:rsidRPr="00EC1A78">
        <w:rPr>
          <w:rFonts w:eastAsiaTheme="minorHAnsi"/>
          <w:color w:val="000000"/>
          <w:sz w:val="22"/>
          <w:szCs w:val="22"/>
          <w:lang w:eastAsia="en-US"/>
        </w:rPr>
        <w:t>. В.,</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доцент кафедры криминалистики</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8F16B1">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p>
    <w:p w:rsidR="00EC1A78" w:rsidRPr="00EC1A78" w:rsidRDefault="00EC1A78" w:rsidP="00EC1A78">
      <w:pPr>
        <w:widowControl w:val="0"/>
        <w:tabs>
          <w:tab w:val="left" w:pos="8223"/>
        </w:tabs>
        <w:ind w:firstLine="425"/>
        <w:jc w:val="both"/>
        <w:rPr>
          <w:rFonts w:eastAsiaTheme="minorHAnsi"/>
          <w:iCs/>
          <w:color w:val="000000"/>
          <w:sz w:val="22"/>
          <w:szCs w:val="22"/>
          <w:lang w:eastAsia="en-US"/>
        </w:rPr>
      </w:pPr>
      <w:r w:rsidRPr="00EC1A78">
        <w:rPr>
          <w:rFonts w:eastAsiaTheme="minorHAnsi"/>
          <w:color w:val="000000"/>
          <w:sz w:val="22"/>
          <w:szCs w:val="22"/>
          <w:lang w:eastAsia="en-US"/>
        </w:rPr>
        <w:t xml:space="preserve">АННОТАЦИЯ: </w:t>
      </w:r>
      <w:r w:rsidRPr="00EC1A78">
        <w:rPr>
          <w:rFonts w:eastAsiaTheme="minorHAnsi"/>
          <w:iCs/>
          <w:color w:val="000000"/>
          <w:sz w:val="22"/>
          <w:szCs w:val="22"/>
          <w:lang w:eastAsia="en-US"/>
        </w:rPr>
        <w:t>Изучены факторы</w:t>
      </w:r>
      <w:r w:rsidRPr="00EC1A78">
        <w:rPr>
          <w:rFonts w:eastAsiaTheme="minorHAnsi"/>
          <w:sz w:val="22"/>
          <w:szCs w:val="22"/>
          <w:lang w:eastAsia="en-US"/>
        </w:rPr>
        <w:t xml:space="preserve"> </w:t>
      </w:r>
      <w:r w:rsidRPr="00EC1A78">
        <w:rPr>
          <w:rFonts w:eastAsiaTheme="minorHAnsi"/>
          <w:iCs/>
          <w:sz w:val="22"/>
          <w:szCs w:val="22"/>
          <w:lang w:eastAsia="en-US"/>
        </w:rPr>
        <w:t>которые оказывают влияние на организацию и проведении следственных действий с участием иностранных лиц</w:t>
      </w:r>
      <w:r w:rsidRPr="00EC1A78">
        <w:rPr>
          <w:rFonts w:eastAsiaTheme="minorHAnsi"/>
          <w:iCs/>
          <w:color w:val="000000"/>
          <w:sz w:val="22"/>
          <w:szCs w:val="22"/>
          <w:lang w:eastAsia="en-US"/>
        </w:rPr>
        <w:t>.</w:t>
      </w:r>
    </w:p>
    <w:p w:rsidR="00EC1A78" w:rsidRPr="00EC1A78" w:rsidRDefault="00EC1A78" w:rsidP="00EC1A78">
      <w:pPr>
        <w:widowControl w:val="0"/>
        <w:tabs>
          <w:tab w:val="left" w:pos="8223"/>
        </w:tabs>
        <w:ind w:firstLine="425"/>
        <w:jc w:val="both"/>
        <w:rPr>
          <w:rFonts w:eastAsiaTheme="minorHAnsi"/>
          <w:iCs/>
          <w:sz w:val="22"/>
          <w:szCs w:val="22"/>
          <w:lang w:val="en-US" w:eastAsia="en-US"/>
        </w:rPr>
      </w:pPr>
      <w:r w:rsidRPr="00EC1A78">
        <w:rPr>
          <w:rFonts w:eastAsiaTheme="minorHAnsi"/>
          <w:color w:val="000000"/>
          <w:sz w:val="22"/>
          <w:szCs w:val="22"/>
          <w:lang w:val="en-US" w:eastAsia="en-US"/>
        </w:rPr>
        <w:t>ABSTRACT: </w:t>
      </w:r>
      <w:r w:rsidRPr="00EC1A78">
        <w:rPr>
          <w:rFonts w:eastAsiaTheme="minorHAnsi"/>
          <w:iCs/>
          <w:color w:val="000000"/>
          <w:sz w:val="22"/>
          <w:szCs w:val="22"/>
          <w:lang w:val="en-US" w:eastAsia="en-US"/>
        </w:rPr>
        <w:t>The factors that influence the organization and co</w:t>
      </w:r>
      <w:r w:rsidRPr="00EC1A78">
        <w:rPr>
          <w:rFonts w:eastAsiaTheme="minorHAnsi"/>
          <w:iCs/>
          <w:color w:val="000000"/>
          <w:sz w:val="22"/>
          <w:szCs w:val="22"/>
          <w:lang w:val="en-US" w:eastAsia="en-US"/>
        </w:rPr>
        <w:t>n</w:t>
      </w:r>
      <w:r w:rsidRPr="00EC1A78">
        <w:rPr>
          <w:rFonts w:eastAsiaTheme="minorHAnsi"/>
          <w:iCs/>
          <w:color w:val="000000"/>
          <w:sz w:val="22"/>
          <w:szCs w:val="22"/>
          <w:lang w:val="en-US" w:eastAsia="en-US"/>
        </w:rPr>
        <w:t>duct of investigative actions with the participation of foreign persons are studied</w:t>
      </w:r>
      <w:r w:rsidRPr="00EC1A78">
        <w:rPr>
          <w:rFonts w:eastAsiaTheme="minorHAnsi"/>
          <w:iCs/>
          <w:sz w:val="22"/>
          <w:szCs w:val="22"/>
          <w:lang w:val="en-US" w:eastAsia="en-US"/>
        </w:rPr>
        <w:t>.</w:t>
      </w:r>
    </w:p>
    <w:p w:rsidR="00EC1A78" w:rsidRPr="00EC1A78" w:rsidRDefault="00EC1A78" w:rsidP="00EC1A78">
      <w:pPr>
        <w:widowControl w:val="0"/>
        <w:tabs>
          <w:tab w:val="left" w:pos="8223"/>
        </w:tabs>
        <w:ind w:firstLine="425"/>
        <w:jc w:val="both"/>
        <w:rPr>
          <w:rFonts w:eastAsiaTheme="minorHAnsi"/>
          <w:iCs/>
          <w:color w:val="000000"/>
          <w:sz w:val="22"/>
          <w:szCs w:val="22"/>
          <w:lang w:eastAsia="en-US"/>
        </w:rPr>
      </w:pPr>
      <w:r w:rsidRPr="00EC1A78">
        <w:rPr>
          <w:rFonts w:eastAsiaTheme="minorHAnsi"/>
          <w:color w:val="000000"/>
          <w:sz w:val="22"/>
          <w:szCs w:val="22"/>
          <w:lang w:eastAsia="en-US"/>
        </w:rPr>
        <w:t xml:space="preserve">КЛЮЧЕВЫЕ СЛОВА: </w:t>
      </w:r>
      <w:r w:rsidRPr="00EC1A78">
        <w:rPr>
          <w:rFonts w:eastAsiaTheme="minorHAnsi"/>
          <w:iCs/>
          <w:color w:val="000000"/>
          <w:sz w:val="22"/>
          <w:szCs w:val="22"/>
          <w:lang w:eastAsia="en-US"/>
        </w:rPr>
        <w:t>Следственные действия,</w:t>
      </w:r>
      <w:r w:rsidRPr="00EC1A78">
        <w:rPr>
          <w:rFonts w:eastAsiaTheme="minorHAnsi"/>
          <w:iCs/>
          <w:sz w:val="22"/>
          <w:szCs w:val="22"/>
          <w:lang w:eastAsia="en-US"/>
        </w:rPr>
        <w:t xml:space="preserve"> </w:t>
      </w:r>
      <w:r w:rsidRPr="00EC1A78">
        <w:rPr>
          <w:rFonts w:eastAsiaTheme="minorHAnsi"/>
          <w:iCs/>
          <w:color w:val="000000"/>
          <w:sz w:val="22"/>
          <w:szCs w:val="22"/>
          <w:lang w:eastAsia="en-US"/>
        </w:rPr>
        <w:t>языковый б</w:t>
      </w:r>
      <w:r w:rsidRPr="00EC1A78">
        <w:rPr>
          <w:rFonts w:eastAsiaTheme="minorHAnsi"/>
          <w:iCs/>
          <w:color w:val="000000"/>
          <w:sz w:val="22"/>
          <w:szCs w:val="22"/>
          <w:lang w:eastAsia="en-US"/>
        </w:rPr>
        <w:t>а</w:t>
      </w:r>
      <w:r w:rsidRPr="00EC1A78">
        <w:rPr>
          <w:rFonts w:eastAsiaTheme="minorHAnsi"/>
          <w:iCs/>
          <w:color w:val="000000"/>
          <w:sz w:val="22"/>
          <w:szCs w:val="22"/>
          <w:lang w:eastAsia="en-US"/>
        </w:rPr>
        <w:t>рьер,</w:t>
      </w:r>
      <w:r w:rsidRPr="00EC1A78">
        <w:rPr>
          <w:rFonts w:eastAsiaTheme="minorHAnsi"/>
          <w:sz w:val="22"/>
          <w:szCs w:val="22"/>
          <w:lang w:eastAsia="en-US"/>
        </w:rPr>
        <w:t xml:space="preserve"> </w:t>
      </w:r>
      <w:r w:rsidRPr="00EC1A78">
        <w:rPr>
          <w:rFonts w:eastAsiaTheme="minorHAnsi"/>
          <w:iCs/>
          <w:color w:val="000000"/>
          <w:sz w:val="22"/>
          <w:szCs w:val="22"/>
          <w:lang w:eastAsia="en-US"/>
        </w:rPr>
        <w:t>иностранные граждане.</w:t>
      </w:r>
    </w:p>
    <w:p w:rsidR="00EC1A78" w:rsidRPr="00EC1A78" w:rsidRDefault="00EC1A78" w:rsidP="00EC1A78">
      <w:pPr>
        <w:widowControl w:val="0"/>
        <w:tabs>
          <w:tab w:val="left" w:pos="8223"/>
        </w:tabs>
        <w:ind w:firstLine="425"/>
        <w:jc w:val="both"/>
        <w:rPr>
          <w:rFonts w:eastAsiaTheme="minorHAnsi"/>
          <w:iCs/>
          <w:color w:val="000000"/>
          <w:sz w:val="22"/>
          <w:szCs w:val="22"/>
          <w:lang w:val="en-US" w:eastAsia="en-US"/>
        </w:rPr>
      </w:pPr>
      <w:r w:rsidRPr="00EC1A78">
        <w:rPr>
          <w:rFonts w:eastAsiaTheme="minorHAnsi"/>
          <w:color w:val="000000"/>
          <w:sz w:val="22"/>
          <w:szCs w:val="22"/>
          <w:lang w:val="en-US" w:eastAsia="en-US"/>
        </w:rPr>
        <w:t>KEYWORDS:</w:t>
      </w:r>
      <w:r w:rsidRPr="00EC1A78">
        <w:rPr>
          <w:rFonts w:eastAsiaTheme="minorHAnsi"/>
          <w:sz w:val="22"/>
          <w:szCs w:val="22"/>
          <w:lang w:val="en-US" w:eastAsia="en-US"/>
        </w:rPr>
        <w:t xml:space="preserve"> </w:t>
      </w:r>
      <w:r w:rsidRPr="00EC1A78">
        <w:rPr>
          <w:rFonts w:eastAsiaTheme="minorHAnsi"/>
          <w:iCs/>
          <w:sz w:val="22"/>
          <w:szCs w:val="22"/>
          <w:lang w:val="en-US" w:eastAsia="en-US"/>
        </w:rPr>
        <w:t>I</w:t>
      </w:r>
      <w:r w:rsidRPr="00EC1A78">
        <w:rPr>
          <w:rFonts w:eastAsiaTheme="minorHAnsi"/>
          <w:iCs/>
          <w:color w:val="000000"/>
          <w:sz w:val="22"/>
          <w:szCs w:val="22"/>
          <w:lang w:val="en-US" w:eastAsia="en-US"/>
        </w:rPr>
        <w:t>nvestigative actions, language barrier, foreign cit</w:t>
      </w:r>
      <w:r w:rsidRPr="00EC1A78">
        <w:rPr>
          <w:rFonts w:eastAsiaTheme="minorHAnsi"/>
          <w:iCs/>
          <w:color w:val="000000"/>
          <w:sz w:val="22"/>
          <w:szCs w:val="22"/>
          <w:lang w:val="en-US" w:eastAsia="en-US"/>
        </w:rPr>
        <w:t>i</w:t>
      </w:r>
      <w:r w:rsidRPr="00EC1A78">
        <w:rPr>
          <w:rFonts w:eastAsiaTheme="minorHAnsi"/>
          <w:iCs/>
          <w:color w:val="000000"/>
          <w:sz w:val="22"/>
          <w:szCs w:val="22"/>
          <w:lang w:val="en-US" w:eastAsia="en-US"/>
        </w:rPr>
        <w:t>zens</w:t>
      </w:r>
      <w:r w:rsidRPr="00EC1A78">
        <w:rPr>
          <w:rFonts w:eastAsiaTheme="minorHAnsi"/>
          <w:iCs/>
          <w:color w:val="000000"/>
          <w:sz w:val="22"/>
          <w:szCs w:val="22"/>
          <w:shd w:val="clear" w:color="auto" w:fill="FFFFFF"/>
          <w:lang w:val="en-US" w:eastAsia="en-US"/>
        </w:rPr>
        <w:t>.</w:t>
      </w:r>
    </w:p>
    <w:p w:rsidR="00EC1A78" w:rsidRPr="00EC1A78" w:rsidRDefault="00EC1A78" w:rsidP="00EC1A78">
      <w:pPr>
        <w:widowControl w:val="0"/>
        <w:ind w:firstLine="425"/>
        <w:jc w:val="both"/>
        <w:rPr>
          <w:rFonts w:eastAsiaTheme="minorHAnsi"/>
          <w:sz w:val="22"/>
          <w:szCs w:val="22"/>
          <w:lang w:val="en-US" w:eastAsia="en-US"/>
        </w:rPr>
      </w:pP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 xml:space="preserve">Свободное </w:t>
      </w:r>
      <w:r w:rsidRPr="008F16B1">
        <w:rPr>
          <w:rFonts w:eastAsiaTheme="minorHAnsi"/>
          <w:sz w:val="22"/>
          <w:szCs w:val="22"/>
          <w:lang w:eastAsia="en-US"/>
        </w:rPr>
        <w:t>перемещение</w:t>
      </w:r>
      <w:r w:rsidRPr="00EC1A78">
        <w:rPr>
          <w:rFonts w:eastAsiaTheme="minorHAnsi"/>
          <w:sz w:val="22"/>
          <w:szCs w:val="22"/>
          <w:lang w:eastAsia="en-US"/>
        </w:rPr>
        <w:t xml:space="preserve"> иностранных граждан через госуда</w:t>
      </w:r>
      <w:r w:rsidRPr="00EC1A78">
        <w:rPr>
          <w:rFonts w:eastAsiaTheme="minorHAnsi"/>
          <w:sz w:val="22"/>
          <w:szCs w:val="22"/>
          <w:lang w:eastAsia="en-US"/>
        </w:rPr>
        <w:t>р</w:t>
      </w:r>
      <w:r w:rsidRPr="00EC1A78">
        <w:rPr>
          <w:rFonts w:eastAsiaTheme="minorHAnsi"/>
          <w:sz w:val="22"/>
          <w:szCs w:val="22"/>
          <w:lang w:eastAsia="en-US"/>
        </w:rPr>
        <w:t>ственные границы ведет к увеличению вовлечения их в сферу уг</w:t>
      </w:r>
      <w:r w:rsidRPr="00EC1A78">
        <w:rPr>
          <w:rFonts w:eastAsiaTheme="minorHAnsi"/>
          <w:sz w:val="22"/>
          <w:szCs w:val="22"/>
          <w:lang w:eastAsia="en-US"/>
        </w:rPr>
        <w:t>о</w:t>
      </w:r>
      <w:r w:rsidRPr="00EC1A78">
        <w:rPr>
          <w:rFonts w:eastAsiaTheme="minorHAnsi"/>
          <w:sz w:val="22"/>
          <w:szCs w:val="22"/>
          <w:lang w:eastAsia="en-US"/>
        </w:rPr>
        <w:t>ловного судопроизводства РФ. Поэтому, в связи с данным факт</w:t>
      </w:r>
      <w:r w:rsidRPr="00EC1A78">
        <w:rPr>
          <w:rFonts w:eastAsiaTheme="minorHAnsi"/>
          <w:sz w:val="22"/>
          <w:szCs w:val="22"/>
          <w:lang w:eastAsia="en-US"/>
        </w:rPr>
        <w:t>о</w:t>
      </w:r>
      <w:r w:rsidRPr="00EC1A78">
        <w:rPr>
          <w:rFonts w:eastAsiaTheme="minorHAnsi"/>
          <w:sz w:val="22"/>
          <w:szCs w:val="22"/>
          <w:lang w:eastAsia="en-US"/>
        </w:rPr>
        <w:t>ром, появляется необходимость более тщательнее подойти к изуч</w:t>
      </w:r>
      <w:r w:rsidRPr="00EC1A78">
        <w:rPr>
          <w:rFonts w:eastAsiaTheme="minorHAnsi"/>
          <w:sz w:val="22"/>
          <w:szCs w:val="22"/>
          <w:lang w:eastAsia="en-US"/>
        </w:rPr>
        <w:t>е</w:t>
      </w:r>
      <w:r w:rsidRPr="00EC1A78">
        <w:rPr>
          <w:rFonts w:eastAsiaTheme="minorHAnsi"/>
          <w:sz w:val="22"/>
          <w:szCs w:val="22"/>
          <w:lang w:eastAsia="en-US"/>
        </w:rPr>
        <w:t>нию проблем участия иностранных граждан при расследовании преступлений в уголовном процессе, а так же применения тактич</w:t>
      </w:r>
      <w:r w:rsidRPr="00EC1A78">
        <w:rPr>
          <w:rFonts w:eastAsiaTheme="minorHAnsi"/>
          <w:sz w:val="22"/>
          <w:szCs w:val="22"/>
          <w:lang w:eastAsia="en-US"/>
        </w:rPr>
        <w:t>е</w:t>
      </w:r>
      <w:r w:rsidRPr="00EC1A78">
        <w:rPr>
          <w:rFonts w:eastAsiaTheme="minorHAnsi"/>
          <w:sz w:val="22"/>
          <w:szCs w:val="22"/>
          <w:lang w:eastAsia="en-US"/>
        </w:rPr>
        <w:t>ских приемов при проведении различного рода следственных де</w:t>
      </w:r>
      <w:r w:rsidRPr="00EC1A78">
        <w:rPr>
          <w:rFonts w:eastAsiaTheme="minorHAnsi"/>
          <w:sz w:val="22"/>
          <w:szCs w:val="22"/>
          <w:lang w:eastAsia="en-US"/>
        </w:rPr>
        <w:t>й</w:t>
      </w:r>
      <w:r w:rsidRPr="00EC1A78">
        <w:rPr>
          <w:rFonts w:eastAsiaTheme="minorHAnsi"/>
          <w:sz w:val="22"/>
          <w:szCs w:val="22"/>
          <w:lang w:eastAsia="en-US"/>
        </w:rPr>
        <w:t>ствий с участием данных лиц.</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При рассмотрении особенностей расследования преступлений с участием иностранных лиц ученые указывают различные факторы, влияющие на организацию и тактику проведения следственных действий с участием иностранных граждан. Например, Е. К. Остр</w:t>
      </w:r>
      <w:r w:rsidRPr="00EC1A78">
        <w:rPr>
          <w:rFonts w:eastAsiaTheme="minorHAnsi"/>
          <w:sz w:val="22"/>
          <w:szCs w:val="22"/>
          <w:lang w:eastAsia="en-US"/>
        </w:rPr>
        <w:t>о</w:t>
      </w:r>
      <w:r w:rsidRPr="00EC1A78">
        <w:rPr>
          <w:rFonts w:eastAsiaTheme="minorHAnsi"/>
          <w:sz w:val="22"/>
          <w:szCs w:val="22"/>
          <w:lang w:eastAsia="en-US"/>
        </w:rPr>
        <w:t xml:space="preserve">га выделяет специфику процессуального положения иностранцев и </w:t>
      </w:r>
      <w:r w:rsidRPr="00EC1A78">
        <w:rPr>
          <w:rFonts w:eastAsiaTheme="minorHAnsi"/>
          <w:sz w:val="22"/>
          <w:szCs w:val="22"/>
          <w:lang w:eastAsia="en-US"/>
        </w:rPr>
        <w:lastRenderedPageBreak/>
        <w:t>психологические факторы в качестве основопологающих условий, которые влияют на тактику и организацию следственных действий с иностранцами [5. С. 72]. Советские ученые А. Г. Крамарев и В. П. Лавров считали основными четыре фактора имеющее существенное значение для процесса организации и расследования уголовных дел с участием иностранных граждан: психологические факторы; яз</w:t>
      </w:r>
      <w:r w:rsidRPr="00EC1A78">
        <w:rPr>
          <w:rFonts w:eastAsiaTheme="minorHAnsi"/>
          <w:sz w:val="22"/>
          <w:szCs w:val="22"/>
          <w:lang w:eastAsia="en-US"/>
        </w:rPr>
        <w:t>ы</w:t>
      </w:r>
      <w:r w:rsidRPr="00EC1A78">
        <w:rPr>
          <w:rFonts w:eastAsiaTheme="minorHAnsi"/>
          <w:sz w:val="22"/>
          <w:szCs w:val="22"/>
          <w:lang w:eastAsia="en-US"/>
        </w:rPr>
        <w:t>ковой барьер; правовое положение; недлительное время пребыв</w:t>
      </w:r>
      <w:r w:rsidRPr="00EC1A78">
        <w:rPr>
          <w:rFonts w:eastAsiaTheme="minorHAnsi"/>
          <w:sz w:val="22"/>
          <w:szCs w:val="22"/>
          <w:lang w:eastAsia="en-US"/>
        </w:rPr>
        <w:t>а</w:t>
      </w:r>
      <w:r w:rsidRPr="00EC1A78">
        <w:rPr>
          <w:rFonts w:eastAsiaTheme="minorHAnsi"/>
          <w:sz w:val="22"/>
          <w:szCs w:val="22"/>
          <w:lang w:eastAsia="en-US"/>
        </w:rPr>
        <w:t>ния на территории страны, где проводится расследование по фактам наличия преступления [3. С. 40].</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Указанные выше факторы значительно оказывают влияние на тактику проведения вербальных следственных действий. Исходя из мнения ученых можно выделить ряд основных условий влияющих на организацию и тактику проведения следственных действий с участием иностранцев, а именно: правовой статус иностранца; пр</w:t>
      </w:r>
      <w:r w:rsidRPr="00EC1A78">
        <w:rPr>
          <w:rFonts w:eastAsiaTheme="minorHAnsi"/>
          <w:sz w:val="22"/>
          <w:szCs w:val="22"/>
          <w:lang w:eastAsia="en-US"/>
        </w:rPr>
        <w:t>о</w:t>
      </w:r>
      <w:r w:rsidRPr="00EC1A78">
        <w:rPr>
          <w:rFonts w:eastAsiaTheme="minorHAnsi"/>
          <w:sz w:val="22"/>
          <w:szCs w:val="22"/>
          <w:lang w:eastAsia="en-US"/>
        </w:rPr>
        <w:t>цессуальный статус иностранного гражданина; языковой барьер; психологические факторы; срок пребывания иностранного гражд</w:t>
      </w:r>
      <w:r w:rsidRPr="00EC1A78">
        <w:rPr>
          <w:rFonts w:eastAsiaTheme="minorHAnsi"/>
          <w:sz w:val="22"/>
          <w:szCs w:val="22"/>
          <w:lang w:eastAsia="en-US"/>
        </w:rPr>
        <w:t>а</w:t>
      </w:r>
      <w:r w:rsidRPr="00EC1A78">
        <w:rPr>
          <w:rFonts w:eastAsiaTheme="minorHAnsi"/>
          <w:sz w:val="22"/>
          <w:szCs w:val="22"/>
          <w:lang w:eastAsia="en-US"/>
        </w:rPr>
        <w:t>нина в государстве, где проводится расследование по фактам нал</w:t>
      </w:r>
      <w:r w:rsidRPr="00EC1A78">
        <w:rPr>
          <w:rFonts w:eastAsiaTheme="minorHAnsi"/>
          <w:sz w:val="22"/>
          <w:szCs w:val="22"/>
          <w:lang w:eastAsia="en-US"/>
        </w:rPr>
        <w:t>и</w:t>
      </w:r>
      <w:r w:rsidRPr="00EC1A78">
        <w:rPr>
          <w:rFonts w:eastAsiaTheme="minorHAnsi"/>
          <w:sz w:val="22"/>
          <w:szCs w:val="22"/>
          <w:lang w:eastAsia="en-US"/>
        </w:rPr>
        <w:t>чия преступления. Перечисленные выше условия наглядно указ</w:t>
      </w:r>
      <w:r w:rsidRPr="00EC1A78">
        <w:rPr>
          <w:rFonts w:eastAsiaTheme="minorHAnsi"/>
          <w:sz w:val="22"/>
          <w:szCs w:val="22"/>
          <w:lang w:eastAsia="en-US"/>
        </w:rPr>
        <w:t>ы</w:t>
      </w:r>
      <w:r w:rsidRPr="00EC1A78">
        <w:rPr>
          <w:rFonts w:eastAsiaTheme="minorHAnsi"/>
          <w:sz w:val="22"/>
          <w:szCs w:val="22"/>
          <w:lang w:eastAsia="en-US"/>
        </w:rPr>
        <w:t>вают на наличие специфических особенностей процесса расслед</w:t>
      </w:r>
      <w:r w:rsidRPr="00EC1A78">
        <w:rPr>
          <w:rFonts w:eastAsiaTheme="minorHAnsi"/>
          <w:sz w:val="22"/>
          <w:szCs w:val="22"/>
          <w:lang w:eastAsia="en-US"/>
        </w:rPr>
        <w:t>о</w:t>
      </w:r>
      <w:r w:rsidRPr="00EC1A78">
        <w:rPr>
          <w:rFonts w:eastAsiaTheme="minorHAnsi"/>
          <w:sz w:val="22"/>
          <w:szCs w:val="22"/>
          <w:lang w:eastAsia="en-US"/>
        </w:rPr>
        <w:t>вания преступлений с участием иностранных граждан. Так, к сож</w:t>
      </w:r>
      <w:r w:rsidRPr="00EC1A78">
        <w:rPr>
          <w:rFonts w:eastAsiaTheme="minorHAnsi"/>
          <w:sz w:val="22"/>
          <w:szCs w:val="22"/>
          <w:lang w:eastAsia="en-US"/>
        </w:rPr>
        <w:t>а</w:t>
      </w:r>
      <w:r w:rsidRPr="00EC1A78">
        <w:rPr>
          <w:rFonts w:eastAsiaTheme="minorHAnsi"/>
          <w:sz w:val="22"/>
          <w:szCs w:val="22"/>
          <w:lang w:eastAsia="en-US"/>
        </w:rPr>
        <w:t>лению, в теории и практике уголовного процесса до сих пор не найдено единого подхода к тактике и организации проведения сле</w:t>
      </w:r>
      <w:r w:rsidRPr="00EC1A78">
        <w:rPr>
          <w:rFonts w:eastAsiaTheme="minorHAnsi"/>
          <w:sz w:val="22"/>
          <w:szCs w:val="22"/>
          <w:lang w:eastAsia="en-US"/>
        </w:rPr>
        <w:t>д</w:t>
      </w:r>
      <w:r w:rsidRPr="00EC1A78">
        <w:rPr>
          <w:rFonts w:eastAsiaTheme="minorHAnsi"/>
          <w:sz w:val="22"/>
          <w:szCs w:val="22"/>
          <w:lang w:eastAsia="en-US"/>
        </w:rPr>
        <w:t>ственных действий, их необходимому количеству и смысловой нагрузке, не определены те действия, которые являются существе</w:t>
      </w:r>
      <w:r w:rsidRPr="00EC1A78">
        <w:rPr>
          <w:rFonts w:eastAsiaTheme="minorHAnsi"/>
          <w:sz w:val="22"/>
          <w:szCs w:val="22"/>
          <w:lang w:eastAsia="en-US"/>
        </w:rPr>
        <w:t>н</w:t>
      </w:r>
      <w:r w:rsidRPr="00EC1A78">
        <w:rPr>
          <w:rFonts w:eastAsiaTheme="minorHAnsi"/>
          <w:sz w:val="22"/>
          <w:szCs w:val="22"/>
          <w:lang w:eastAsia="en-US"/>
        </w:rPr>
        <w:t>ными при организации следственных действий данного вида.</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Правовой статус иностранных лиц изучен в большем объеме, определенно, что иностранные лица обладают тем же количеством прав и обязанностей, что и граждане страны, где проводится разб</w:t>
      </w:r>
      <w:r w:rsidRPr="00EC1A78">
        <w:rPr>
          <w:rFonts w:eastAsiaTheme="minorHAnsi"/>
          <w:sz w:val="22"/>
          <w:szCs w:val="22"/>
          <w:lang w:eastAsia="en-US"/>
        </w:rPr>
        <w:t>и</w:t>
      </w:r>
      <w:r w:rsidRPr="00EC1A78">
        <w:rPr>
          <w:rFonts w:eastAsiaTheme="minorHAnsi"/>
          <w:sz w:val="22"/>
          <w:szCs w:val="22"/>
          <w:lang w:eastAsia="en-US"/>
        </w:rPr>
        <w:t>рательство [2. С. 21]. Исключение составляют те лица, которые имеют правовой «иммунитет» от уголовной ответственности, и для них предусмотрен особый порядок ведения производства по уг</w:t>
      </w:r>
      <w:r w:rsidRPr="00EC1A78">
        <w:rPr>
          <w:rFonts w:eastAsiaTheme="minorHAnsi"/>
          <w:sz w:val="22"/>
          <w:szCs w:val="22"/>
          <w:lang w:eastAsia="en-US"/>
        </w:rPr>
        <w:t>о</w:t>
      </w:r>
      <w:r w:rsidRPr="00EC1A78">
        <w:rPr>
          <w:rFonts w:eastAsiaTheme="minorHAnsi"/>
          <w:sz w:val="22"/>
          <w:szCs w:val="22"/>
          <w:lang w:eastAsia="en-US"/>
        </w:rPr>
        <w:t>ловным делам. Таким образом следователю необходимо учитывать социально–психологические факторы и наличие языкового барьера. В связи с данной проблемой этот вопрос был описан многими уч</w:t>
      </w:r>
      <w:r w:rsidRPr="00EC1A78">
        <w:rPr>
          <w:rFonts w:eastAsiaTheme="minorHAnsi"/>
          <w:sz w:val="22"/>
          <w:szCs w:val="22"/>
          <w:lang w:eastAsia="en-US"/>
        </w:rPr>
        <w:t>е</w:t>
      </w:r>
      <w:r w:rsidRPr="00EC1A78">
        <w:rPr>
          <w:rFonts w:eastAsiaTheme="minorHAnsi"/>
          <w:sz w:val="22"/>
          <w:szCs w:val="22"/>
          <w:lang w:eastAsia="en-US"/>
        </w:rPr>
        <w:t>ными, такими как: М. А. Джаваркулиев, О. Ю. Кузнецов и т.д., к</w:t>
      </w:r>
      <w:r w:rsidRPr="00EC1A78">
        <w:rPr>
          <w:rFonts w:eastAsiaTheme="minorHAnsi"/>
          <w:sz w:val="22"/>
          <w:szCs w:val="22"/>
          <w:lang w:eastAsia="en-US"/>
        </w:rPr>
        <w:t>о</w:t>
      </w:r>
      <w:r w:rsidRPr="00EC1A78">
        <w:rPr>
          <w:rFonts w:eastAsiaTheme="minorHAnsi"/>
          <w:sz w:val="22"/>
          <w:szCs w:val="22"/>
          <w:lang w:eastAsia="en-US"/>
        </w:rPr>
        <w:t>торые отмечают, что для решения этой ситуации (языкового ко</w:t>
      </w:r>
      <w:r w:rsidRPr="00EC1A78">
        <w:rPr>
          <w:rFonts w:eastAsiaTheme="minorHAnsi"/>
          <w:sz w:val="22"/>
          <w:szCs w:val="22"/>
          <w:lang w:eastAsia="en-US"/>
        </w:rPr>
        <w:t>н</w:t>
      </w:r>
      <w:r w:rsidRPr="00EC1A78">
        <w:rPr>
          <w:rFonts w:eastAsiaTheme="minorHAnsi"/>
          <w:sz w:val="22"/>
          <w:szCs w:val="22"/>
          <w:lang w:eastAsia="en-US"/>
        </w:rPr>
        <w:t xml:space="preserve">фликта) необходим переводчик [1. С. 280; 4. С. 256]. </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Следует отметить, что наряду с языковым барьером необход</w:t>
      </w:r>
      <w:r w:rsidRPr="00EC1A78">
        <w:rPr>
          <w:rFonts w:eastAsiaTheme="minorHAnsi"/>
          <w:sz w:val="22"/>
          <w:szCs w:val="22"/>
          <w:lang w:eastAsia="en-US"/>
        </w:rPr>
        <w:t>и</w:t>
      </w:r>
      <w:r w:rsidRPr="00EC1A78">
        <w:rPr>
          <w:rFonts w:eastAsiaTheme="minorHAnsi"/>
          <w:sz w:val="22"/>
          <w:szCs w:val="22"/>
          <w:lang w:eastAsia="en-US"/>
        </w:rPr>
        <w:lastRenderedPageBreak/>
        <w:t>мо принимать во внимание психологические особенности ин</w:t>
      </w:r>
      <w:r w:rsidRPr="00EC1A78">
        <w:rPr>
          <w:rFonts w:eastAsiaTheme="minorHAnsi"/>
          <w:sz w:val="22"/>
          <w:szCs w:val="22"/>
          <w:lang w:eastAsia="en-US"/>
        </w:rPr>
        <w:t>о</w:t>
      </w:r>
      <w:r w:rsidRPr="00EC1A78">
        <w:rPr>
          <w:rFonts w:eastAsiaTheme="minorHAnsi"/>
          <w:sz w:val="22"/>
          <w:szCs w:val="22"/>
          <w:lang w:eastAsia="en-US"/>
        </w:rPr>
        <w:t>странцев при проведении следственных действий. Ученые А. Г. Крамарев и В. П. Лавров писали, что следователю необходимо уч</w:t>
      </w:r>
      <w:r w:rsidRPr="00EC1A78">
        <w:rPr>
          <w:rFonts w:eastAsiaTheme="minorHAnsi"/>
          <w:sz w:val="22"/>
          <w:szCs w:val="22"/>
          <w:lang w:eastAsia="en-US"/>
        </w:rPr>
        <w:t>и</w:t>
      </w:r>
      <w:r w:rsidRPr="00EC1A78">
        <w:rPr>
          <w:rFonts w:eastAsiaTheme="minorHAnsi"/>
          <w:sz w:val="22"/>
          <w:szCs w:val="22"/>
          <w:lang w:eastAsia="en-US"/>
        </w:rPr>
        <w:t>тывать психологическое состояние иностранца [3]. Н. В. Софийчук в своей работе основывается на том, что принадлежность человека к определенной национальности и его вероисповедание оказывают влияние на поведение участников уголовного процесса [6. С. 40].</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Подводя итоги, при организации и проведении следственных действий с участием иностранных лиц необходимо учитывать все выше перечисленные факторы, а так же необходимо учитывать ур</w:t>
      </w:r>
      <w:r w:rsidRPr="00EC1A78">
        <w:rPr>
          <w:rFonts w:eastAsiaTheme="minorHAnsi"/>
          <w:sz w:val="22"/>
          <w:szCs w:val="22"/>
          <w:lang w:eastAsia="en-US"/>
        </w:rPr>
        <w:t>о</w:t>
      </w:r>
      <w:r w:rsidRPr="00EC1A78">
        <w:rPr>
          <w:rFonts w:eastAsiaTheme="minorHAnsi"/>
          <w:sz w:val="22"/>
          <w:szCs w:val="22"/>
          <w:lang w:eastAsia="en-US"/>
        </w:rPr>
        <w:t>вень подготовки следователя к осуществлению следственных де</w:t>
      </w:r>
      <w:r w:rsidRPr="00EC1A78">
        <w:rPr>
          <w:rFonts w:eastAsiaTheme="minorHAnsi"/>
          <w:sz w:val="22"/>
          <w:szCs w:val="22"/>
          <w:lang w:eastAsia="en-US"/>
        </w:rPr>
        <w:t>й</w:t>
      </w:r>
      <w:r w:rsidRPr="00EC1A78">
        <w:rPr>
          <w:rFonts w:eastAsiaTheme="minorHAnsi"/>
          <w:sz w:val="22"/>
          <w:szCs w:val="22"/>
          <w:lang w:eastAsia="en-US"/>
        </w:rPr>
        <w:t>ствий с участием иностранных граждан. Именно плохую подгото</w:t>
      </w:r>
      <w:r w:rsidRPr="00EC1A78">
        <w:rPr>
          <w:rFonts w:eastAsiaTheme="minorHAnsi"/>
          <w:sz w:val="22"/>
          <w:szCs w:val="22"/>
          <w:lang w:eastAsia="en-US"/>
        </w:rPr>
        <w:t>в</w:t>
      </w:r>
      <w:r w:rsidRPr="00EC1A78">
        <w:rPr>
          <w:rFonts w:eastAsiaTheme="minorHAnsi"/>
          <w:sz w:val="22"/>
          <w:szCs w:val="22"/>
          <w:lang w:eastAsia="en-US"/>
        </w:rPr>
        <w:t>ку следует считать причиной проведения неполных и поверхнос</w:t>
      </w:r>
      <w:r w:rsidRPr="00EC1A78">
        <w:rPr>
          <w:rFonts w:eastAsiaTheme="minorHAnsi"/>
          <w:sz w:val="22"/>
          <w:szCs w:val="22"/>
          <w:lang w:eastAsia="en-US"/>
        </w:rPr>
        <w:t>т</w:t>
      </w:r>
      <w:r w:rsidRPr="00EC1A78">
        <w:rPr>
          <w:rFonts w:eastAsiaTheme="minorHAnsi"/>
          <w:sz w:val="22"/>
          <w:szCs w:val="22"/>
          <w:lang w:eastAsia="en-US"/>
        </w:rPr>
        <w:t>ных следственных действий.</w:t>
      </w:r>
    </w:p>
    <w:p w:rsidR="00EC1A78" w:rsidRPr="00641206" w:rsidRDefault="00EC1A78" w:rsidP="00641206">
      <w:pPr>
        <w:widowControl w:val="0"/>
        <w:ind w:firstLine="425"/>
        <w:jc w:val="both"/>
        <w:rPr>
          <w:rFonts w:eastAsiaTheme="minorHAnsi"/>
          <w:sz w:val="22"/>
          <w:szCs w:val="22"/>
          <w:lang w:eastAsia="en-US"/>
        </w:rPr>
      </w:pPr>
      <w:r w:rsidRPr="00EC1A78">
        <w:rPr>
          <w:rFonts w:eastAsiaTheme="minorHAnsi"/>
          <w:sz w:val="22"/>
          <w:szCs w:val="22"/>
          <w:lang w:eastAsia="en-US"/>
        </w:rPr>
        <w:t>По нашему мнению, именно с учетом приведенных выше ос</w:t>
      </w:r>
      <w:r w:rsidRPr="00EC1A78">
        <w:rPr>
          <w:rFonts w:eastAsiaTheme="minorHAnsi"/>
          <w:sz w:val="22"/>
          <w:szCs w:val="22"/>
          <w:lang w:eastAsia="en-US"/>
        </w:rPr>
        <w:t>о</w:t>
      </w:r>
      <w:r w:rsidRPr="00EC1A78">
        <w:rPr>
          <w:rFonts w:eastAsiaTheme="minorHAnsi"/>
          <w:sz w:val="22"/>
          <w:szCs w:val="22"/>
          <w:lang w:eastAsia="en-US"/>
        </w:rPr>
        <w:t>бенностей следует применять тактические приемы в ходе процесс</w:t>
      </w:r>
      <w:r w:rsidRPr="00EC1A78">
        <w:rPr>
          <w:rFonts w:eastAsiaTheme="minorHAnsi"/>
          <w:sz w:val="22"/>
          <w:szCs w:val="22"/>
          <w:lang w:eastAsia="en-US"/>
        </w:rPr>
        <w:t>у</w:t>
      </w:r>
      <w:r w:rsidRPr="00EC1A78">
        <w:rPr>
          <w:rFonts w:eastAsiaTheme="minorHAnsi"/>
          <w:sz w:val="22"/>
          <w:szCs w:val="22"/>
          <w:lang w:eastAsia="en-US"/>
        </w:rPr>
        <w:t>альных действий, осуществляемых в отношении иностранных граждан.</w:t>
      </w:r>
    </w:p>
    <w:p w:rsidR="00EC1A78" w:rsidRPr="00EC1A78" w:rsidRDefault="00EC1A78" w:rsidP="00EC1A78">
      <w:pPr>
        <w:widowControl w:val="0"/>
        <w:autoSpaceDE w:val="0"/>
        <w:autoSpaceDN w:val="0"/>
        <w:adjustRightInd w:val="0"/>
        <w:ind w:firstLine="425"/>
        <w:jc w:val="center"/>
        <w:rPr>
          <w:rFonts w:eastAsiaTheme="minorHAnsi"/>
          <w:color w:val="000000"/>
          <w:sz w:val="22"/>
          <w:szCs w:val="22"/>
          <w:lang w:eastAsia="en-US"/>
        </w:rPr>
      </w:pPr>
      <w:r w:rsidRPr="00EC1A78">
        <w:rPr>
          <w:rFonts w:eastAsiaTheme="minorHAnsi"/>
          <w:color w:val="000000"/>
          <w:sz w:val="22"/>
          <w:szCs w:val="22"/>
          <w:lang w:eastAsia="en-US"/>
        </w:rPr>
        <w:t>Список литературы</w:t>
      </w:r>
    </w:p>
    <w:p w:rsidR="00EC1A78" w:rsidRPr="00EC1A78" w:rsidRDefault="00EC1A78" w:rsidP="00EC1A78">
      <w:pPr>
        <w:widowControl w:val="0"/>
        <w:ind w:firstLine="425"/>
        <w:jc w:val="both"/>
        <w:rPr>
          <w:sz w:val="22"/>
          <w:szCs w:val="22"/>
        </w:rPr>
      </w:pPr>
      <w:r w:rsidRPr="00EC1A78">
        <w:rPr>
          <w:sz w:val="22"/>
          <w:szCs w:val="22"/>
        </w:rPr>
        <w:t>1. Джаваркулиев, М. А. Язык судопроизводства в многонаци</w:t>
      </w:r>
      <w:r w:rsidRPr="00EC1A78">
        <w:rPr>
          <w:sz w:val="22"/>
          <w:szCs w:val="22"/>
        </w:rPr>
        <w:t>о</w:t>
      </w:r>
      <w:r w:rsidRPr="00EC1A78">
        <w:rPr>
          <w:sz w:val="22"/>
          <w:szCs w:val="22"/>
        </w:rPr>
        <w:t xml:space="preserve">нальном государстве : монография / М. А. Джаваркулиев. – М., 1992.  </w:t>
      </w:r>
    </w:p>
    <w:p w:rsidR="00EC1A78" w:rsidRPr="00EC1A78" w:rsidRDefault="00EC1A78" w:rsidP="00EC1A78">
      <w:pPr>
        <w:widowControl w:val="0"/>
        <w:ind w:firstLine="425"/>
        <w:jc w:val="both"/>
        <w:rPr>
          <w:sz w:val="22"/>
          <w:szCs w:val="22"/>
        </w:rPr>
      </w:pPr>
      <w:r w:rsidRPr="00EC1A78">
        <w:rPr>
          <w:sz w:val="22"/>
          <w:szCs w:val="22"/>
        </w:rPr>
        <w:t xml:space="preserve">2. Жукова, Н.А. Производство по уголовным делам с участием иностранных граждан в досудебных стадиях в РФ : автореф. дисс. …канд. юрид. наук / Н.А. Жукова. – СПб., 2003. </w:t>
      </w:r>
    </w:p>
    <w:p w:rsidR="00EC1A78" w:rsidRPr="00EC1A78" w:rsidRDefault="00EC1A78" w:rsidP="00EC1A78">
      <w:pPr>
        <w:ind w:firstLine="425"/>
        <w:jc w:val="both"/>
        <w:rPr>
          <w:sz w:val="22"/>
          <w:szCs w:val="22"/>
        </w:rPr>
      </w:pPr>
      <w:r w:rsidRPr="00EC1A78">
        <w:rPr>
          <w:sz w:val="22"/>
          <w:szCs w:val="22"/>
        </w:rPr>
        <w:t xml:space="preserve">3. Крамарев, А. Г. Особенности допроса граждан иностранных государств / А. Г. Крамарев, В. П. Лавров. – М., 1976. </w:t>
      </w:r>
    </w:p>
    <w:p w:rsidR="00EC1A78" w:rsidRPr="00EC1A78" w:rsidRDefault="00EC1A78" w:rsidP="00EC1A78">
      <w:pPr>
        <w:ind w:firstLine="425"/>
        <w:jc w:val="both"/>
        <w:rPr>
          <w:sz w:val="22"/>
          <w:szCs w:val="22"/>
        </w:rPr>
      </w:pPr>
      <w:r w:rsidRPr="00EC1A78">
        <w:rPr>
          <w:sz w:val="22"/>
          <w:szCs w:val="22"/>
        </w:rPr>
        <w:t>4. Кузнецов, О. Ю. Переводчик в Российском уголовном суд</w:t>
      </w:r>
      <w:r w:rsidRPr="00EC1A78">
        <w:rPr>
          <w:sz w:val="22"/>
          <w:szCs w:val="22"/>
        </w:rPr>
        <w:t>о</w:t>
      </w:r>
      <w:r w:rsidRPr="00EC1A78">
        <w:rPr>
          <w:sz w:val="22"/>
          <w:szCs w:val="22"/>
        </w:rPr>
        <w:t xml:space="preserve">производстве : монография / О. Ю. Кузнецов. – М., 2016. </w:t>
      </w:r>
    </w:p>
    <w:p w:rsidR="00EC1A78" w:rsidRPr="00EC1A78" w:rsidRDefault="00EC1A78" w:rsidP="00EC1A78">
      <w:pPr>
        <w:ind w:firstLine="425"/>
        <w:jc w:val="both"/>
        <w:rPr>
          <w:sz w:val="22"/>
          <w:szCs w:val="22"/>
        </w:rPr>
      </w:pPr>
      <w:r w:rsidRPr="00EC1A78">
        <w:rPr>
          <w:sz w:val="22"/>
          <w:szCs w:val="22"/>
        </w:rPr>
        <w:t xml:space="preserve">5. Острога, Е. К. Особенности возбуждения и расследования уголовных дел с участием иностранных граждан : учеб. пособие / Е. К. Острога. – Минск, 1987. </w:t>
      </w:r>
    </w:p>
    <w:p w:rsidR="00EC1A78" w:rsidRPr="00EC1A78" w:rsidRDefault="00EC1A78" w:rsidP="00EC1A78">
      <w:pPr>
        <w:ind w:firstLine="425"/>
        <w:jc w:val="both"/>
        <w:rPr>
          <w:sz w:val="22"/>
          <w:szCs w:val="22"/>
        </w:rPr>
      </w:pPr>
      <w:r w:rsidRPr="00EC1A78">
        <w:rPr>
          <w:sz w:val="22"/>
          <w:szCs w:val="22"/>
        </w:rPr>
        <w:t>6. Софийчук, Н. В. Производство следственных действий  с участием иностранных граждан стран СНГ (по материалам Ирку</w:t>
      </w:r>
      <w:r w:rsidRPr="00EC1A78">
        <w:rPr>
          <w:sz w:val="22"/>
          <w:szCs w:val="22"/>
        </w:rPr>
        <w:t>т</w:t>
      </w:r>
      <w:r w:rsidRPr="00EC1A78">
        <w:rPr>
          <w:sz w:val="22"/>
          <w:szCs w:val="22"/>
        </w:rPr>
        <w:t xml:space="preserve">ской области) : дисс. …канд. юрид. наук / Н. В. Софийчук. </w:t>
      </w:r>
      <w:r w:rsidRPr="00EC1A78">
        <w:rPr>
          <w:sz w:val="22"/>
          <w:szCs w:val="22"/>
        </w:rPr>
        <w:softHyphen/>
        <w:t xml:space="preserve">–Иркутск, 2005. </w:t>
      </w:r>
    </w:p>
    <w:p w:rsidR="00EC1A78" w:rsidRDefault="00EC1A78" w:rsidP="00EC1A78">
      <w:pPr>
        <w:ind w:firstLine="425"/>
        <w:jc w:val="both"/>
        <w:rPr>
          <w:rFonts w:eastAsiaTheme="minorHAnsi"/>
          <w:sz w:val="22"/>
          <w:szCs w:val="22"/>
          <w:lang w:eastAsia="en-US"/>
        </w:rPr>
      </w:pPr>
    </w:p>
    <w:p w:rsidR="008F16B1" w:rsidRPr="00EC1A78" w:rsidRDefault="008F16B1" w:rsidP="00641206">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bookmarkStart w:id="18" w:name="_Hlk507878899"/>
      <w:r w:rsidRPr="00EC1A78">
        <w:rPr>
          <w:rFonts w:eastAsiaTheme="minorHAnsi"/>
          <w:sz w:val="22"/>
          <w:szCs w:val="22"/>
          <w:lang w:eastAsia="en-US"/>
        </w:rPr>
        <w:lastRenderedPageBreak/>
        <w:t>УДК 159.99 + 340.140.01</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Психологические аспекты проверки следователем </w:t>
      </w:r>
      <w:r w:rsidR="008F16B1">
        <w:rPr>
          <w:rFonts w:eastAsiaTheme="minorHAnsi"/>
          <w:b/>
          <w:sz w:val="24"/>
          <w:szCs w:val="24"/>
          <w:lang w:eastAsia="en-US"/>
        </w:rPr>
        <w:br/>
      </w:r>
      <w:r w:rsidRPr="00EC1A78">
        <w:rPr>
          <w:rFonts w:eastAsiaTheme="minorHAnsi"/>
          <w:b/>
          <w:sz w:val="24"/>
          <w:szCs w:val="24"/>
          <w:lang w:eastAsia="en-US"/>
        </w:rPr>
        <w:t>сообщений и заявлений о преступлении</w:t>
      </w:r>
    </w:p>
    <w:p w:rsidR="00EC1A78" w:rsidRPr="00E62E4B" w:rsidRDefault="00EC1A78" w:rsidP="00EC1A78">
      <w:pPr>
        <w:jc w:val="center"/>
        <w:rPr>
          <w:rFonts w:eastAsiaTheme="minorHAnsi"/>
          <w:b/>
          <w:sz w:val="24"/>
          <w:szCs w:val="24"/>
          <w:lang w:val="en-US" w:eastAsia="en-US"/>
        </w:rPr>
      </w:pPr>
      <w:r w:rsidRPr="00EC1A78">
        <w:rPr>
          <w:rFonts w:eastAsiaTheme="minorHAnsi"/>
          <w:b/>
          <w:sz w:val="24"/>
          <w:szCs w:val="24"/>
          <w:lang w:val="en" w:eastAsia="en-US"/>
        </w:rPr>
        <w:t>Psychological</w:t>
      </w:r>
      <w:r w:rsidRPr="00E62E4B">
        <w:rPr>
          <w:rFonts w:eastAsiaTheme="minorHAnsi"/>
          <w:b/>
          <w:sz w:val="24"/>
          <w:szCs w:val="24"/>
          <w:lang w:val="en-US" w:eastAsia="en-US"/>
        </w:rPr>
        <w:t xml:space="preserve"> </w:t>
      </w:r>
      <w:r w:rsidRPr="00EC1A78">
        <w:rPr>
          <w:rFonts w:eastAsiaTheme="minorHAnsi"/>
          <w:b/>
          <w:sz w:val="24"/>
          <w:szCs w:val="24"/>
          <w:lang w:val="en" w:eastAsia="en-US"/>
        </w:rPr>
        <w:t>aspects</w:t>
      </w:r>
      <w:r w:rsidRPr="00E62E4B">
        <w:rPr>
          <w:rFonts w:eastAsiaTheme="minorHAnsi"/>
          <w:b/>
          <w:sz w:val="24"/>
          <w:szCs w:val="24"/>
          <w:lang w:val="en-US" w:eastAsia="en-US"/>
        </w:rPr>
        <w:t xml:space="preserve"> </w:t>
      </w:r>
      <w:r w:rsidRPr="00EC1A78">
        <w:rPr>
          <w:rFonts w:eastAsiaTheme="minorHAnsi"/>
          <w:b/>
          <w:sz w:val="24"/>
          <w:szCs w:val="24"/>
          <w:lang w:val="en" w:eastAsia="en-US"/>
        </w:rPr>
        <w:t>of</w:t>
      </w:r>
      <w:r w:rsidRPr="00E62E4B">
        <w:rPr>
          <w:rFonts w:eastAsiaTheme="minorHAnsi"/>
          <w:b/>
          <w:sz w:val="24"/>
          <w:szCs w:val="24"/>
          <w:lang w:val="en-US" w:eastAsia="en-US"/>
        </w:rPr>
        <w:t xml:space="preserve"> </w:t>
      </w:r>
      <w:r w:rsidRPr="00EC1A78">
        <w:rPr>
          <w:rFonts w:eastAsiaTheme="minorHAnsi"/>
          <w:b/>
          <w:sz w:val="24"/>
          <w:szCs w:val="24"/>
          <w:lang w:val="en" w:eastAsia="en-US"/>
        </w:rPr>
        <w:t>the</w:t>
      </w:r>
      <w:r w:rsidRPr="00E62E4B">
        <w:rPr>
          <w:rFonts w:eastAsiaTheme="minorHAnsi"/>
          <w:b/>
          <w:sz w:val="24"/>
          <w:szCs w:val="24"/>
          <w:lang w:val="en-US" w:eastAsia="en-US"/>
        </w:rPr>
        <w:t xml:space="preserve"> </w:t>
      </w:r>
      <w:r w:rsidRPr="00EC1A78">
        <w:rPr>
          <w:rFonts w:eastAsiaTheme="minorHAnsi"/>
          <w:b/>
          <w:sz w:val="24"/>
          <w:szCs w:val="24"/>
          <w:lang w:val="en" w:eastAsia="en-US"/>
        </w:rPr>
        <w:t>investigator</w:t>
      </w:r>
      <w:r w:rsidRPr="00E62E4B">
        <w:rPr>
          <w:rFonts w:eastAsiaTheme="minorHAnsi"/>
          <w:b/>
          <w:sz w:val="24"/>
          <w:szCs w:val="24"/>
          <w:lang w:val="en-US" w:eastAsia="en-US"/>
        </w:rPr>
        <w:t>'</w:t>
      </w:r>
      <w:r w:rsidRPr="00EC1A78">
        <w:rPr>
          <w:rFonts w:eastAsiaTheme="minorHAnsi"/>
          <w:b/>
          <w:sz w:val="24"/>
          <w:szCs w:val="24"/>
          <w:lang w:val="en" w:eastAsia="en-US"/>
        </w:rPr>
        <w:t>s</w:t>
      </w:r>
      <w:r w:rsidRPr="00E62E4B">
        <w:rPr>
          <w:rFonts w:eastAsiaTheme="minorHAnsi"/>
          <w:b/>
          <w:sz w:val="24"/>
          <w:szCs w:val="24"/>
          <w:lang w:val="en-US" w:eastAsia="en-US"/>
        </w:rPr>
        <w:t xml:space="preserve"> </w:t>
      </w:r>
      <w:r w:rsidRPr="00EC1A78">
        <w:rPr>
          <w:rFonts w:eastAsiaTheme="minorHAnsi"/>
          <w:b/>
          <w:sz w:val="24"/>
          <w:szCs w:val="24"/>
          <w:lang w:val="en" w:eastAsia="en-US"/>
        </w:rPr>
        <w:t>checking</w:t>
      </w:r>
      <w:r w:rsidRPr="00E62E4B">
        <w:rPr>
          <w:rFonts w:eastAsiaTheme="minorHAnsi"/>
          <w:b/>
          <w:sz w:val="24"/>
          <w:szCs w:val="24"/>
          <w:lang w:val="en-US" w:eastAsia="en-US"/>
        </w:rPr>
        <w:t xml:space="preserve"> </w:t>
      </w:r>
      <w:r w:rsidRPr="00EC1A78">
        <w:rPr>
          <w:rFonts w:eastAsiaTheme="minorHAnsi"/>
          <w:b/>
          <w:sz w:val="24"/>
          <w:szCs w:val="24"/>
          <w:lang w:val="en" w:eastAsia="en-US"/>
        </w:rPr>
        <w:t>messages</w:t>
      </w:r>
      <w:r w:rsidRPr="00E62E4B">
        <w:rPr>
          <w:rFonts w:eastAsiaTheme="minorHAnsi"/>
          <w:b/>
          <w:sz w:val="24"/>
          <w:szCs w:val="24"/>
          <w:lang w:val="en-US" w:eastAsia="en-US"/>
        </w:rPr>
        <w:t xml:space="preserve"> </w:t>
      </w:r>
      <w:r w:rsidRPr="00EC1A78">
        <w:rPr>
          <w:rFonts w:eastAsiaTheme="minorHAnsi"/>
          <w:b/>
          <w:sz w:val="24"/>
          <w:szCs w:val="24"/>
          <w:lang w:val="en" w:eastAsia="en-US"/>
        </w:rPr>
        <w:t>and</w:t>
      </w:r>
      <w:r w:rsidRPr="00E62E4B">
        <w:rPr>
          <w:rFonts w:eastAsiaTheme="minorHAnsi"/>
          <w:b/>
          <w:sz w:val="24"/>
          <w:szCs w:val="24"/>
          <w:lang w:val="en-US" w:eastAsia="en-US"/>
        </w:rPr>
        <w:t xml:space="preserve"> </w:t>
      </w:r>
      <w:r w:rsidRPr="00EC1A78">
        <w:rPr>
          <w:rFonts w:eastAsiaTheme="minorHAnsi"/>
          <w:b/>
          <w:sz w:val="24"/>
          <w:szCs w:val="24"/>
          <w:lang w:val="en" w:eastAsia="en-US"/>
        </w:rPr>
        <w:t>statements</w:t>
      </w:r>
      <w:r w:rsidRPr="00E62E4B">
        <w:rPr>
          <w:rFonts w:eastAsiaTheme="minorHAnsi"/>
          <w:b/>
          <w:sz w:val="24"/>
          <w:szCs w:val="24"/>
          <w:lang w:val="en-US" w:eastAsia="en-US"/>
        </w:rPr>
        <w:t xml:space="preserve"> </w:t>
      </w:r>
      <w:r w:rsidRPr="00EC1A78">
        <w:rPr>
          <w:rFonts w:eastAsiaTheme="minorHAnsi"/>
          <w:b/>
          <w:sz w:val="24"/>
          <w:szCs w:val="24"/>
          <w:lang w:val="en" w:eastAsia="en-US"/>
        </w:rPr>
        <w:t>about</w:t>
      </w:r>
      <w:r w:rsidRPr="00E62E4B">
        <w:rPr>
          <w:rFonts w:eastAsiaTheme="minorHAnsi"/>
          <w:b/>
          <w:sz w:val="24"/>
          <w:szCs w:val="24"/>
          <w:lang w:val="en-US" w:eastAsia="en-US"/>
        </w:rPr>
        <w:t xml:space="preserve"> </w:t>
      </w:r>
      <w:r w:rsidRPr="00EC1A78">
        <w:rPr>
          <w:rFonts w:eastAsiaTheme="minorHAnsi"/>
          <w:b/>
          <w:sz w:val="24"/>
          <w:szCs w:val="24"/>
          <w:lang w:val="en" w:eastAsia="en-US"/>
        </w:rPr>
        <w:t>the</w:t>
      </w:r>
      <w:r w:rsidRPr="00E62E4B">
        <w:rPr>
          <w:rFonts w:eastAsiaTheme="minorHAnsi"/>
          <w:b/>
          <w:sz w:val="24"/>
          <w:szCs w:val="24"/>
          <w:lang w:val="en-US" w:eastAsia="en-US"/>
        </w:rPr>
        <w:t xml:space="preserve"> </w:t>
      </w:r>
      <w:r w:rsidRPr="00EC1A78">
        <w:rPr>
          <w:rFonts w:eastAsiaTheme="minorHAnsi"/>
          <w:b/>
          <w:sz w:val="24"/>
          <w:szCs w:val="24"/>
          <w:lang w:val="en" w:eastAsia="en-US"/>
        </w:rPr>
        <w:t>crime</w:t>
      </w:r>
    </w:p>
    <w:p w:rsidR="00EC1A78" w:rsidRPr="00E62E4B" w:rsidRDefault="00EC1A78" w:rsidP="00EC1A78">
      <w:pPr>
        <w:jc w:val="center"/>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Кочур И.</w:t>
      </w:r>
      <w:r w:rsidR="008F16B1">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4–го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b/>
          <w:sz w:val="22"/>
          <w:szCs w:val="22"/>
          <w:lang w:eastAsia="en-US"/>
        </w:rPr>
      </w:pPr>
      <w:r w:rsidRPr="00EC1A78">
        <w:rPr>
          <w:rFonts w:eastAsiaTheme="minorHAnsi"/>
          <w:color w:val="000000"/>
          <w:sz w:val="22"/>
          <w:szCs w:val="22"/>
          <w:lang w:eastAsia="en-US"/>
        </w:rPr>
        <w:t>университет имени И.</w:t>
      </w:r>
      <w:r w:rsidR="008F16B1">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jc w:val="center"/>
        <w:rPr>
          <w:rFonts w:eastAsiaTheme="minorHAnsi"/>
          <w:b/>
          <w:sz w:val="22"/>
          <w:szCs w:val="22"/>
          <w:lang w:eastAsia="en-US"/>
        </w:rPr>
      </w:pPr>
    </w:p>
    <w:p w:rsidR="00EC1A78" w:rsidRPr="00EC1A78" w:rsidRDefault="00EC1A78" w:rsidP="00EC1A78">
      <w:pPr>
        <w:ind w:firstLine="426"/>
        <w:jc w:val="both"/>
        <w:rPr>
          <w:rFonts w:eastAsiaTheme="minorHAnsi"/>
          <w:color w:val="000000"/>
          <w:sz w:val="22"/>
          <w:szCs w:val="22"/>
          <w:lang w:eastAsia="en-US"/>
        </w:rPr>
      </w:pPr>
      <w:r w:rsidRPr="00EC1A78">
        <w:rPr>
          <w:rFonts w:eastAsiaTheme="minorHAnsi"/>
          <w:color w:val="000000"/>
          <w:sz w:val="22"/>
          <w:szCs w:val="22"/>
          <w:lang w:eastAsia="en-US"/>
        </w:rPr>
        <w:t>АННОТАЦИЯ: В статье рассматривается деятельность след</w:t>
      </w:r>
      <w:r w:rsidRPr="00EC1A78">
        <w:rPr>
          <w:rFonts w:eastAsiaTheme="minorHAnsi"/>
          <w:color w:val="000000"/>
          <w:sz w:val="22"/>
          <w:szCs w:val="22"/>
          <w:lang w:eastAsia="en-US"/>
        </w:rPr>
        <w:t>о</w:t>
      </w:r>
      <w:r w:rsidRPr="00EC1A78">
        <w:rPr>
          <w:rFonts w:eastAsiaTheme="minorHAnsi"/>
          <w:color w:val="000000"/>
          <w:sz w:val="22"/>
          <w:szCs w:val="22"/>
          <w:lang w:eastAsia="en-US"/>
        </w:rPr>
        <w:t>вателя по проверке сообщений и заявлении о преступлениях в ра</w:t>
      </w:r>
      <w:r w:rsidRPr="00EC1A78">
        <w:rPr>
          <w:rFonts w:eastAsiaTheme="minorHAnsi"/>
          <w:color w:val="000000"/>
          <w:sz w:val="22"/>
          <w:szCs w:val="22"/>
          <w:lang w:eastAsia="en-US"/>
        </w:rPr>
        <w:t>з</w:t>
      </w:r>
      <w:r w:rsidRPr="00EC1A78">
        <w:rPr>
          <w:rFonts w:eastAsiaTheme="minorHAnsi"/>
          <w:color w:val="000000"/>
          <w:sz w:val="22"/>
          <w:szCs w:val="22"/>
          <w:lang w:eastAsia="en-US"/>
        </w:rPr>
        <w:t>резе психологической подготовленности следователя к этому.</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 xml:space="preserve">ABSTRACT: </w:t>
      </w:r>
      <w:r w:rsidRPr="00EC1A78">
        <w:rPr>
          <w:rFonts w:eastAsiaTheme="minorHAnsi"/>
          <w:sz w:val="22"/>
          <w:szCs w:val="22"/>
          <w:lang w:val="en" w:eastAsia="en-US"/>
        </w:rPr>
        <w:t>The article examines the activities of the investigator in the verification of communications and the statement of crimes in the context of the psychological preparedness of the investigator for this</w:t>
      </w:r>
      <w:r w:rsidRPr="00EC1A78">
        <w:rPr>
          <w:rFonts w:eastAsiaTheme="minorHAnsi"/>
          <w:sz w:val="22"/>
          <w:szCs w:val="22"/>
          <w:lang w:val="en-US" w:eastAsia="en-US"/>
        </w:rPr>
        <w:t>.</w:t>
      </w:r>
    </w:p>
    <w:p w:rsidR="00EC1A78" w:rsidRPr="00EC1A78" w:rsidRDefault="00EC1A78" w:rsidP="00EC1A78">
      <w:pPr>
        <w:ind w:firstLine="426"/>
        <w:jc w:val="both"/>
        <w:rPr>
          <w:rFonts w:eastAsia="Courier New"/>
          <w:color w:val="000000"/>
          <w:sz w:val="22"/>
          <w:szCs w:val="22"/>
          <w:lang w:eastAsia="en-US"/>
        </w:rPr>
      </w:pPr>
      <w:r w:rsidRPr="00EC1A78">
        <w:rPr>
          <w:rFonts w:eastAsia="Courier New"/>
          <w:color w:val="000000"/>
          <w:sz w:val="22"/>
          <w:szCs w:val="22"/>
          <w:lang w:eastAsia="en-US"/>
        </w:rPr>
        <w:t>КЛЮЧЕВЫЕ СЛОВА: следователь, психология следователя, проверка сообщений и заявлений о преступлении.</w:t>
      </w:r>
    </w:p>
    <w:p w:rsidR="00EC1A78" w:rsidRPr="00EC1A78" w:rsidRDefault="00EC1A78" w:rsidP="00EC1A78">
      <w:pPr>
        <w:ind w:firstLine="426"/>
        <w:jc w:val="both"/>
        <w:rPr>
          <w:rFonts w:eastAsiaTheme="minorHAnsi"/>
          <w:b/>
          <w:sz w:val="22"/>
          <w:szCs w:val="22"/>
          <w:lang w:val="en-US" w:eastAsia="en-US"/>
        </w:rPr>
      </w:pPr>
      <w:r w:rsidRPr="00EC1A78">
        <w:rPr>
          <w:rFonts w:eastAsiaTheme="minorHAnsi"/>
          <w:sz w:val="22"/>
          <w:szCs w:val="22"/>
          <w:lang w:val="en-US" w:eastAsia="en-US"/>
        </w:rPr>
        <w:t xml:space="preserve">KEYWORDS: </w:t>
      </w:r>
      <w:r w:rsidRPr="00EC1A78">
        <w:rPr>
          <w:rFonts w:eastAsiaTheme="minorHAnsi"/>
          <w:sz w:val="22"/>
          <w:szCs w:val="22"/>
          <w:lang w:val="en" w:eastAsia="en-US"/>
        </w:rPr>
        <w:t>investigator, psychology of the investigator, verific</w:t>
      </w:r>
      <w:r w:rsidRPr="00EC1A78">
        <w:rPr>
          <w:rFonts w:eastAsiaTheme="minorHAnsi"/>
          <w:sz w:val="22"/>
          <w:szCs w:val="22"/>
          <w:lang w:val="en" w:eastAsia="en-US"/>
        </w:rPr>
        <w:t>a</w:t>
      </w:r>
      <w:r w:rsidRPr="00EC1A78">
        <w:rPr>
          <w:rFonts w:eastAsiaTheme="minorHAnsi"/>
          <w:sz w:val="22"/>
          <w:szCs w:val="22"/>
          <w:lang w:val="en" w:eastAsia="en-US"/>
        </w:rPr>
        <w:t>tion of reports and statements about the crime</w:t>
      </w:r>
      <w:r w:rsidRPr="00EC1A78">
        <w:rPr>
          <w:rFonts w:eastAsiaTheme="minorHAnsi"/>
          <w:sz w:val="22"/>
          <w:szCs w:val="22"/>
          <w:lang w:val="en-US" w:eastAsia="en-US"/>
        </w:rPr>
        <w:t>.</w:t>
      </w:r>
    </w:p>
    <w:p w:rsidR="00EC1A78" w:rsidRPr="00EC1A78" w:rsidRDefault="00EC1A78" w:rsidP="00EC1A78">
      <w:pPr>
        <w:jc w:val="center"/>
        <w:rPr>
          <w:rFonts w:eastAsiaTheme="minorHAnsi"/>
          <w:b/>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Следователь в системе Следственного комитета Российской Федерации – фигура с теоретической и практической стороны д</w:t>
      </w:r>
      <w:r w:rsidRPr="00EC1A78">
        <w:rPr>
          <w:rFonts w:eastAsiaTheme="minorHAnsi"/>
          <w:sz w:val="22"/>
          <w:szCs w:val="22"/>
          <w:lang w:eastAsia="en-US"/>
        </w:rPr>
        <w:t>о</w:t>
      </w:r>
      <w:r w:rsidRPr="00EC1A78">
        <w:rPr>
          <w:rFonts w:eastAsiaTheme="minorHAnsi"/>
          <w:sz w:val="22"/>
          <w:szCs w:val="22"/>
          <w:lang w:eastAsia="en-US"/>
        </w:rPr>
        <w:t>вольно спорная, неоднозначная, имеющая смысл для уголовно–правовой системы нашего государства, но в то же время отличается своей необычной трагической противоречивостью.</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процессе многолетнего изучения и исследования психолог</w:t>
      </w:r>
      <w:r w:rsidRPr="00EC1A78">
        <w:rPr>
          <w:rFonts w:eastAsiaTheme="minorHAnsi"/>
          <w:sz w:val="22"/>
          <w:szCs w:val="22"/>
          <w:lang w:eastAsia="en-US"/>
        </w:rPr>
        <w:t>и</w:t>
      </w:r>
      <w:r w:rsidRPr="00EC1A78">
        <w:rPr>
          <w:rFonts w:eastAsiaTheme="minorHAnsi"/>
          <w:sz w:val="22"/>
          <w:szCs w:val="22"/>
          <w:lang w:eastAsia="en-US"/>
        </w:rPr>
        <w:t>ческих закономерностей и криминалистических особенностей лиц, участвующих на стадии проверки сообщения о преступлении, ст</w:t>
      </w:r>
      <w:r w:rsidRPr="00EC1A78">
        <w:rPr>
          <w:rFonts w:eastAsiaTheme="minorHAnsi"/>
          <w:sz w:val="22"/>
          <w:szCs w:val="22"/>
          <w:lang w:eastAsia="en-US"/>
        </w:rPr>
        <w:t>и</w:t>
      </w:r>
      <w:r w:rsidRPr="00EC1A78">
        <w:rPr>
          <w:rFonts w:eastAsiaTheme="minorHAnsi"/>
          <w:sz w:val="22"/>
          <w:szCs w:val="22"/>
          <w:lang w:eastAsia="en-US"/>
        </w:rPr>
        <w:t>ралось понятие о характерных общепсихологических качествах, знаниях и навыков следователя, необходимых для всестороннего и полного исследования и восприятия поступивших данных на стадии приема и регистрации сообщения или заявления о преступлении.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Данные особенности все так же оставались и остаются не и</w:t>
      </w:r>
      <w:r w:rsidRPr="00EC1A78">
        <w:rPr>
          <w:rFonts w:eastAsiaTheme="minorHAnsi"/>
          <w:sz w:val="22"/>
          <w:szCs w:val="22"/>
          <w:lang w:eastAsia="en-US"/>
        </w:rPr>
        <w:t>с</w:t>
      </w:r>
      <w:r w:rsidRPr="00EC1A78">
        <w:rPr>
          <w:rFonts w:eastAsiaTheme="minorHAnsi"/>
          <w:sz w:val="22"/>
          <w:szCs w:val="22"/>
          <w:lang w:eastAsia="en-US"/>
        </w:rPr>
        <w:t xml:space="preserve">следованными в полной мере, хотя играют значительную роль при </w:t>
      </w:r>
      <w:r w:rsidRPr="00EC1A78">
        <w:rPr>
          <w:rFonts w:eastAsiaTheme="minorHAnsi"/>
          <w:sz w:val="22"/>
          <w:szCs w:val="22"/>
          <w:lang w:eastAsia="en-US"/>
        </w:rPr>
        <w:lastRenderedPageBreak/>
        <w:t>использовании объективных психологических закономерностей, проявляющихся у следователя непосредственно в период выполн</w:t>
      </w:r>
      <w:r w:rsidRPr="00EC1A78">
        <w:rPr>
          <w:rFonts w:eastAsiaTheme="minorHAnsi"/>
          <w:sz w:val="22"/>
          <w:szCs w:val="22"/>
          <w:lang w:eastAsia="en-US"/>
        </w:rPr>
        <w:t>е</w:t>
      </w:r>
      <w:r w:rsidRPr="00EC1A78">
        <w:rPr>
          <w:rFonts w:eastAsiaTheme="minorHAnsi"/>
          <w:sz w:val="22"/>
          <w:szCs w:val="22"/>
          <w:lang w:eastAsia="en-US"/>
        </w:rPr>
        <w:t>нии им своих должностных обязанностей, а также при возникнов</w:t>
      </w:r>
      <w:r w:rsidRPr="00EC1A78">
        <w:rPr>
          <w:rFonts w:eastAsiaTheme="minorHAnsi"/>
          <w:sz w:val="22"/>
          <w:szCs w:val="22"/>
          <w:lang w:eastAsia="en-US"/>
        </w:rPr>
        <w:t>е</w:t>
      </w:r>
      <w:r w:rsidRPr="00EC1A78">
        <w:rPr>
          <w:rFonts w:eastAsiaTheme="minorHAnsi"/>
          <w:sz w:val="22"/>
          <w:szCs w:val="22"/>
          <w:lang w:eastAsia="en-US"/>
        </w:rPr>
        <w:t>нии проблемных ситуаций, связанных с поступившими сообщени</w:t>
      </w:r>
      <w:r w:rsidRPr="00EC1A78">
        <w:rPr>
          <w:rFonts w:eastAsiaTheme="minorHAnsi"/>
          <w:sz w:val="22"/>
          <w:szCs w:val="22"/>
          <w:lang w:eastAsia="en-US"/>
        </w:rPr>
        <w:t>я</w:t>
      </w:r>
      <w:r w:rsidRPr="00EC1A78">
        <w:rPr>
          <w:rFonts w:eastAsiaTheme="minorHAnsi"/>
          <w:sz w:val="22"/>
          <w:szCs w:val="22"/>
          <w:lang w:eastAsia="en-US"/>
        </w:rPr>
        <w:t>ми и заявлениями о преступлении. Что также было замечено еще в 20 веке советским юристом, писателем, драматургом и работником в то время действовавшей Прокуратуры СССР, Л.Р. Шейнином, к</w:t>
      </w:r>
      <w:r w:rsidRPr="00EC1A78">
        <w:rPr>
          <w:rFonts w:eastAsiaTheme="minorHAnsi"/>
          <w:sz w:val="22"/>
          <w:szCs w:val="22"/>
          <w:lang w:eastAsia="en-US"/>
        </w:rPr>
        <w:t>о</w:t>
      </w:r>
      <w:r w:rsidRPr="00EC1A78">
        <w:rPr>
          <w:rFonts w:eastAsiaTheme="minorHAnsi"/>
          <w:sz w:val="22"/>
          <w:szCs w:val="22"/>
          <w:lang w:eastAsia="en-US"/>
        </w:rPr>
        <w:t>торый сказал: «Наша криминалистическая наука всегда уделяла большое внимание изучению психологии преступника, и это хор</w:t>
      </w:r>
      <w:r w:rsidRPr="00EC1A78">
        <w:rPr>
          <w:rFonts w:eastAsiaTheme="minorHAnsi"/>
          <w:sz w:val="22"/>
          <w:szCs w:val="22"/>
          <w:lang w:eastAsia="en-US"/>
        </w:rPr>
        <w:t>о</w:t>
      </w:r>
      <w:r w:rsidRPr="00EC1A78">
        <w:rPr>
          <w:rFonts w:eastAsiaTheme="minorHAnsi"/>
          <w:sz w:val="22"/>
          <w:szCs w:val="22"/>
          <w:lang w:eastAsia="en-US"/>
        </w:rPr>
        <w:t>шо. Но она почти не занималась изучением психологии следоват</w:t>
      </w:r>
      <w:r w:rsidRPr="00EC1A78">
        <w:rPr>
          <w:rFonts w:eastAsiaTheme="minorHAnsi"/>
          <w:sz w:val="22"/>
          <w:szCs w:val="22"/>
          <w:lang w:eastAsia="en-US"/>
        </w:rPr>
        <w:t>е</w:t>
      </w:r>
      <w:r w:rsidRPr="00EC1A78">
        <w:rPr>
          <w:rFonts w:eastAsiaTheme="minorHAnsi"/>
          <w:sz w:val="22"/>
          <w:szCs w:val="22"/>
          <w:lang w:eastAsia="en-US"/>
        </w:rPr>
        <w:t xml:space="preserve">ля, – и это плохо» [1]. </w:t>
      </w:r>
    </w:p>
    <w:p w:rsidR="00EC1A78" w:rsidRPr="00EC1A78" w:rsidRDefault="00EC1A78" w:rsidP="00641206">
      <w:pPr>
        <w:ind w:firstLine="426"/>
        <w:jc w:val="both"/>
        <w:rPr>
          <w:rFonts w:eastAsiaTheme="minorHAnsi"/>
          <w:sz w:val="22"/>
          <w:szCs w:val="22"/>
          <w:lang w:eastAsia="en-US"/>
        </w:rPr>
      </w:pPr>
      <w:r w:rsidRPr="00EC1A78">
        <w:rPr>
          <w:rFonts w:eastAsiaTheme="minorHAnsi"/>
          <w:sz w:val="22"/>
          <w:szCs w:val="22"/>
          <w:lang w:eastAsia="en-US"/>
        </w:rPr>
        <w:t>В связи с этим, у следователя Следственного комитета РФ з</w:t>
      </w:r>
      <w:r w:rsidRPr="00EC1A78">
        <w:rPr>
          <w:rFonts w:eastAsiaTheme="minorHAnsi"/>
          <w:sz w:val="22"/>
          <w:szCs w:val="22"/>
          <w:lang w:eastAsia="en-US"/>
        </w:rPr>
        <w:t>а</w:t>
      </w:r>
      <w:r w:rsidRPr="00EC1A78">
        <w:rPr>
          <w:rFonts w:eastAsiaTheme="minorHAnsi"/>
          <w:sz w:val="22"/>
          <w:szCs w:val="22"/>
          <w:lang w:eastAsia="en-US"/>
        </w:rPr>
        <w:t>частую могут возникать проблемные ситуации, связанные с выб</w:t>
      </w:r>
      <w:r w:rsidRPr="00EC1A78">
        <w:rPr>
          <w:rFonts w:eastAsiaTheme="minorHAnsi"/>
          <w:sz w:val="22"/>
          <w:szCs w:val="22"/>
          <w:lang w:eastAsia="en-US"/>
        </w:rPr>
        <w:t>о</w:t>
      </w:r>
      <w:r w:rsidRPr="00EC1A78">
        <w:rPr>
          <w:rFonts w:eastAsiaTheme="minorHAnsi"/>
          <w:sz w:val="22"/>
          <w:szCs w:val="22"/>
          <w:lang w:eastAsia="en-US"/>
        </w:rPr>
        <w:t>ром своих дальнейших действий с момента получения информации от заявителя или иных источников, до принятия процессуального решения в соответствии с ч. 1 ст. 145 УПК РФ. Одной из таких пр</w:t>
      </w:r>
      <w:r w:rsidRPr="00EC1A78">
        <w:rPr>
          <w:rFonts w:eastAsiaTheme="minorHAnsi"/>
          <w:sz w:val="22"/>
          <w:szCs w:val="22"/>
          <w:lang w:eastAsia="en-US"/>
        </w:rPr>
        <w:t>о</w:t>
      </w:r>
      <w:r w:rsidRPr="00EC1A78">
        <w:rPr>
          <w:rFonts w:eastAsiaTheme="minorHAnsi"/>
          <w:sz w:val="22"/>
          <w:szCs w:val="22"/>
          <w:lang w:eastAsia="en-US"/>
        </w:rPr>
        <w:t>блем может явиться оценка полученной информации, на стадии проверки. На наш взгляд в таких случаях проверка приобретает особую форму, когда необходимо не только четкое соблюдение норм права и уголовного процессуального законодательства, но и личных качеств следователя, как самостоятельного процессуальн</w:t>
      </w:r>
      <w:r w:rsidRPr="00EC1A78">
        <w:rPr>
          <w:rFonts w:eastAsiaTheme="minorHAnsi"/>
          <w:sz w:val="22"/>
          <w:szCs w:val="22"/>
          <w:lang w:eastAsia="en-US"/>
        </w:rPr>
        <w:t>о</w:t>
      </w:r>
      <w:r w:rsidRPr="00EC1A78">
        <w:rPr>
          <w:rFonts w:eastAsiaTheme="minorHAnsi"/>
          <w:sz w:val="22"/>
          <w:szCs w:val="22"/>
          <w:lang w:eastAsia="en-US"/>
        </w:rPr>
        <w:t>го лица. Зачастую в таких ситуациях принято руководствоваться актом, который непосредственно регламентирует внутренний пор</w:t>
      </w:r>
      <w:r w:rsidRPr="00EC1A78">
        <w:rPr>
          <w:rFonts w:eastAsiaTheme="minorHAnsi"/>
          <w:sz w:val="22"/>
          <w:szCs w:val="22"/>
          <w:lang w:eastAsia="en-US"/>
        </w:rPr>
        <w:t>я</w:t>
      </w:r>
      <w:r w:rsidRPr="00EC1A78">
        <w:rPr>
          <w:rFonts w:eastAsiaTheme="minorHAnsi"/>
          <w:sz w:val="22"/>
          <w:szCs w:val="22"/>
          <w:lang w:eastAsia="en-US"/>
        </w:rPr>
        <w:t>док и процесс по осуществлению деятельности всех лиц, осущест</w:t>
      </w:r>
      <w:r w:rsidRPr="00EC1A78">
        <w:rPr>
          <w:rFonts w:eastAsiaTheme="minorHAnsi"/>
          <w:sz w:val="22"/>
          <w:szCs w:val="22"/>
          <w:lang w:eastAsia="en-US"/>
        </w:rPr>
        <w:t>в</w:t>
      </w:r>
      <w:r w:rsidRPr="00EC1A78">
        <w:rPr>
          <w:rFonts w:eastAsiaTheme="minorHAnsi"/>
          <w:sz w:val="22"/>
          <w:szCs w:val="22"/>
          <w:lang w:eastAsia="en-US"/>
        </w:rPr>
        <w:t>ляющих прием, регистрацию и проверку сообщений о преступлении в системе Следственного комитета РФ, а именно, «Приказ Сле</w:t>
      </w:r>
      <w:r w:rsidRPr="00EC1A78">
        <w:rPr>
          <w:rFonts w:eastAsiaTheme="minorHAnsi"/>
          <w:sz w:val="22"/>
          <w:szCs w:val="22"/>
          <w:lang w:eastAsia="en-US"/>
        </w:rPr>
        <w:t>д</w:t>
      </w:r>
      <w:r w:rsidRPr="00EC1A78">
        <w:rPr>
          <w:rFonts w:eastAsiaTheme="minorHAnsi"/>
          <w:sz w:val="22"/>
          <w:szCs w:val="22"/>
          <w:lang w:eastAsia="en-US"/>
        </w:rPr>
        <w:t>ственного комитета России от 11 октября 2012 г. N 72 «Об орган</w:t>
      </w:r>
      <w:r w:rsidRPr="00EC1A78">
        <w:rPr>
          <w:rFonts w:eastAsiaTheme="minorHAnsi"/>
          <w:sz w:val="22"/>
          <w:szCs w:val="22"/>
          <w:lang w:eastAsia="en-US"/>
        </w:rPr>
        <w:t>и</w:t>
      </w:r>
      <w:r w:rsidRPr="00EC1A78">
        <w:rPr>
          <w:rFonts w:eastAsiaTheme="minorHAnsi"/>
          <w:sz w:val="22"/>
          <w:szCs w:val="22"/>
          <w:lang w:eastAsia="en-US"/>
        </w:rPr>
        <w:t>зации приема, регистрации и проверки сообщений о преступлении в следственных органах (следственных подразделениях) системы Следственного комитета Российской Федерации»«.</w:t>
      </w:r>
      <w:bookmarkEnd w:id="18"/>
    </w:p>
    <w:p w:rsidR="00D81B7C" w:rsidRDefault="00D81B7C" w:rsidP="00EC1A78">
      <w:pPr>
        <w:jc w:val="cente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8F16B1" w:rsidRPr="00EC1A78" w:rsidRDefault="00EC1A78" w:rsidP="00641206">
      <w:pPr>
        <w:ind w:firstLine="426"/>
        <w:jc w:val="both"/>
        <w:rPr>
          <w:rFonts w:eastAsiaTheme="minorHAnsi"/>
          <w:sz w:val="22"/>
          <w:szCs w:val="22"/>
          <w:lang w:eastAsia="en-US"/>
        </w:rPr>
      </w:pPr>
      <w:r w:rsidRPr="00EC1A78">
        <w:rPr>
          <w:rFonts w:eastAsiaTheme="minorHAnsi"/>
          <w:sz w:val="22"/>
          <w:szCs w:val="22"/>
          <w:lang w:eastAsia="en-US"/>
        </w:rPr>
        <w:t>1. Шейнин Л.Р. Исчезновение / http://www.rulit.me/books/ischeznovenie–read–132633–1.html</w:t>
      </w:r>
    </w:p>
    <w:p w:rsidR="00D81B7C" w:rsidRDefault="00D81B7C" w:rsidP="00EC1A78">
      <w:pPr>
        <w:jc w:val="both"/>
        <w:rPr>
          <w:rFonts w:eastAsiaTheme="minorHAnsi"/>
          <w:sz w:val="22"/>
          <w:szCs w:val="22"/>
          <w:lang w:eastAsia="en-US"/>
        </w:rPr>
      </w:pPr>
    </w:p>
    <w:p w:rsidR="00D81B7C" w:rsidRDefault="00D81B7C" w:rsidP="00EC1A78">
      <w:pPr>
        <w:jc w:val="both"/>
        <w:rPr>
          <w:rFonts w:eastAsiaTheme="minorHAnsi"/>
          <w:sz w:val="22"/>
          <w:szCs w:val="22"/>
          <w:lang w:eastAsia="en-US"/>
        </w:rPr>
      </w:pPr>
    </w:p>
    <w:p w:rsidR="00D81B7C" w:rsidRDefault="00D81B7C" w:rsidP="00EC1A78">
      <w:pPr>
        <w:jc w:val="both"/>
        <w:rPr>
          <w:rFonts w:eastAsiaTheme="minorHAnsi"/>
          <w:sz w:val="22"/>
          <w:szCs w:val="22"/>
          <w:lang w:eastAsia="en-US"/>
        </w:rPr>
      </w:pPr>
    </w:p>
    <w:p w:rsidR="00D81B7C" w:rsidRDefault="00D81B7C"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343.152</w:t>
      </w:r>
    </w:p>
    <w:p w:rsidR="00EC1A78" w:rsidRPr="00EC1A78" w:rsidRDefault="00EC1A78" w:rsidP="00EC1A78">
      <w:pPr>
        <w:ind w:firstLine="426"/>
        <w:jc w:val="both"/>
        <w:rPr>
          <w:rFonts w:eastAsiaTheme="minorHAnsi"/>
          <w:sz w:val="22"/>
          <w:szCs w:val="22"/>
          <w:lang w:eastAsia="en-US"/>
        </w:rPr>
      </w:pPr>
    </w:p>
    <w:p w:rsidR="00EC1A78" w:rsidRPr="008F16B1" w:rsidRDefault="00EC1A78" w:rsidP="00EC1A78">
      <w:pPr>
        <w:ind w:firstLine="1"/>
        <w:jc w:val="center"/>
        <w:rPr>
          <w:rFonts w:eastAsiaTheme="minorHAnsi"/>
          <w:b/>
          <w:sz w:val="24"/>
          <w:szCs w:val="24"/>
          <w:lang w:eastAsia="en-US"/>
        </w:rPr>
      </w:pPr>
      <w:r w:rsidRPr="008F16B1">
        <w:rPr>
          <w:rFonts w:eastAsiaTheme="minorHAnsi"/>
          <w:b/>
          <w:sz w:val="24"/>
          <w:szCs w:val="24"/>
          <w:lang w:eastAsia="en-US"/>
        </w:rPr>
        <w:t>Проблемы обращения приговора к исполнению</w:t>
      </w:r>
    </w:p>
    <w:p w:rsidR="00EC1A78" w:rsidRPr="008F16B1" w:rsidRDefault="00EC1A78" w:rsidP="00EC1A78">
      <w:pPr>
        <w:ind w:firstLine="1"/>
        <w:jc w:val="center"/>
        <w:rPr>
          <w:rFonts w:eastAsiaTheme="minorHAnsi"/>
          <w:b/>
          <w:color w:val="000000"/>
          <w:sz w:val="24"/>
          <w:szCs w:val="24"/>
          <w:shd w:val="clear" w:color="auto" w:fill="FFFFFF"/>
          <w:lang w:val="en-US" w:eastAsia="en-US"/>
        </w:rPr>
      </w:pPr>
      <w:r w:rsidRPr="008F16B1">
        <w:rPr>
          <w:rFonts w:eastAsiaTheme="minorHAnsi"/>
          <w:b/>
          <w:color w:val="000000"/>
          <w:sz w:val="24"/>
          <w:szCs w:val="24"/>
          <w:shd w:val="clear" w:color="auto" w:fill="FFFFFF"/>
          <w:lang w:val="en-US" w:eastAsia="en-US"/>
        </w:rPr>
        <w:t>Problems of the verdict appeal to execution</w:t>
      </w:r>
    </w:p>
    <w:p w:rsidR="00EC1A78" w:rsidRPr="00EC1A78" w:rsidRDefault="00EC1A78" w:rsidP="00EC1A78">
      <w:pPr>
        <w:ind w:firstLine="1"/>
        <w:jc w:val="both"/>
        <w:rPr>
          <w:rFonts w:eastAsiaTheme="minorHAnsi"/>
          <w:color w:val="000000"/>
          <w:sz w:val="22"/>
          <w:szCs w:val="22"/>
          <w:shd w:val="clear" w:color="auto" w:fill="FFFFFF"/>
          <w:lang w:val="en-US" w:eastAsia="en-US"/>
        </w:rPr>
      </w:pPr>
    </w:p>
    <w:p w:rsidR="00EC1A78" w:rsidRPr="00EC1A78" w:rsidRDefault="00EC1A78" w:rsidP="00EC1A78">
      <w:pPr>
        <w:jc w:val="both"/>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Кузнецова Л. Д.,</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Малин П.</w:t>
      </w:r>
      <w:r w:rsidR="008F16B1">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уголовного процесса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8F16B1">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АННОТАЦИЯ: Изучена проблематичность обращения приг</w:t>
      </w:r>
      <w:r w:rsidRPr="00EC1A78">
        <w:rPr>
          <w:rFonts w:eastAsiaTheme="minorHAnsi"/>
          <w:sz w:val="22"/>
          <w:szCs w:val="22"/>
          <w:lang w:eastAsia="en-US"/>
        </w:rPr>
        <w:t>о</w:t>
      </w:r>
      <w:r w:rsidRPr="00EC1A78">
        <w:rPr>
          <w:rFonts w:eastAsiaTheme="minorHAnsi"/>
          <w:sz w:val="22"/>
          <w:szCs w:val="22"/>
          <w:lang w:eastAsia="en-US"/>
        </w:rPr>
        <w:t>вора к исполнению по пути применения альтернативных лишению свободы мер наказания, на примере обязательных и исправител</w:t>
      </w:r>
      <w:r w:rsidRPr="00EC1A78">
        <w:rPr>
          <w:rFonts w:eastAsiaTheme="minorHAnsi"/>
          <w:sz w:val="22"/>
          <w:szCs w:val="22"/>
          <w:lang w:eastAsia="en-US"/>
        </w:rPr>
        <w:t>ь</w:t>
      </w:r>
      <w:r w:rsidRPr="00EC1A78">
        <w:rPr>
          <w:rFonts w:eastAsiaTheme="minorHAnsi"/>
          <w:sz w:val="22"/>
          <w:szCs w:val="22"/>
          <w:lang w:eastAsia="en-US"/>
        </w:rPr>
        <w:t>ных работ. Подняты вопросы эффективности работы органов мес</w:t>
      </w:r>
      <w:r w:rsidRPr="00EC1A78">
        <w:rPr>
          <w:rFonts w:eastAsiaTheme="minorHAnsi"/>
          <w:sz w:val="22"/>
          <w:szCs w:val="22"/>
          <w:lang w:eastAsia="en-US"/>
        </w:rPr>
        <w:t>т</w:t>
      </w:r>
      <w:r w:rsidRPr="00EC1A78">
        <w:rPr>
          <w:rFonts w:eastAsiaTheme="minorHAnsi"/>
          <w:sz w:val="22"/>
          <w:szCs w:val="22"/>
          <w:lang w:eastAsia="en-US"/>
        </w:rPr>
        <w:t>ного управления и уголовно исправительной инспекции. Предлож</w:t>
      </w:r>
      <w:r w:rsidRPr="00EC1A78">
        <w:rPr>
          <w:rFonts w:eastAsiaTheme="minorHAnsi"/>
          <w:sz w:val="22"/>
          <w:szCs w:val="22"/>
          <w:lang w:eastAsia="en-US"/>
        </w:rPr>
        <w:t>е</w:t>
      </w:r>
      <w:r w:rsidRPr="00EC1A78">
        <w:rPr>
          <w:rFonts w:eastAsiaTheme="minorHAnsi"/>
          <w:sz w:val="22"/>
          <w:szCs w:val="22"/>
          <w:lang w:eastAsia="en-US"/>
        </w:rPr>
        <w:t>ны</w:t>
      </w:r>
      <w:r w:rsidRPr="00EC1A78">
        <w:rPr>
          <w:rFonts w:eastAsiaTheme="minorHAnsi"/>
          <w:sz w:val="22"/>
          <w:szCs w:val="22"/>
          <w:lang w:val="en-US" w:eastAsia="en-US"/>
        </w:rPr>
        <w:t xml:space="preserve"> </w:t>
      </w:r>
      <w:r w:rsidRPr="00EC1A78">
        <w:rPr>
          <w:rFonts w:eastAsiaTheme="minorHAnsi"/>
          <w:sz w:val="22"/>
          <w:szCs w:val="22"/>
          <w:lang w:eastAsia="en-US"/>
        </w:rPr>
        <w:t>пути</w:t>
      </w:r>
      <w:r w:rsidRPr="00EC1A78">
        <w:rPr>
          <w:rFonts w:eastAsiaTheme="minorHAnsi"/>
          <w:sz w:val="22"/>
          <w:szCs w:val="22"/>
          <w:lang w:val="en-US" w:eastAsia="en-US"/>
        </w:rPr>
        <w:t xml:space="preserve"> </w:t>
      </w:r>
      <w:r w:rsidRPr="00EC1A78">
        <w:rPr>
          <w:rFonts w:eastAsiaTheme="minorHAnsi"/>
          <w:sz w:val="22"/>
          <w:szCs w:val="22"/>
          <w:lang w:eastAsia="en-US"/>
        </w:rPr>
        <w:t>заполнения</w:t>
      </w:r>
      <w:r w:rsidRPr="00EC1A78">
        <w:rPr>
          <w:rFonts w:eastAsiaTheme="minorHAnsi"/>
          <w:sz w:val="22"/>
          <w:szCs w:val="22"/>
          <w:lang w:val="en-US" w:eastAsia="en-US"/>
        </w:rPr>
        <w:t xml:space="preserve"> </w:t>
      </w:r>
      <w:r w:rsidRPr="00EC1A78">
        <w:rPr>
          <w:rFonts w:eastAsiaTheme="minorHAnsi"/>
          <w:sz w:val="22"/>
          <w:szCs w:val="22"/>
          <w:lang w:eastAsia="en-US"/>
        </w:rPr>
        <w:t>пробелов</w:t>
      </w:r>
      <w:r w:rsidRPr="00EC1A78">
        <w:rPr>
          <w:rFonts w:eastAsiaTheme="minorHAnsi"/>
          <w:sz w:val="22"/>
          <w:szCs w:val="22"/>
          <w:lang w:val="en-US" w:eastAsia="en-US"/>
        </w:rPr>
        <w:t xml:space="preserve"> </w:t>
      </w:r>
      <w:r w:rsidRPr="00EC1A78">
        <w:rPr>
          <w:rFonts w:eastAsiaTheme="minorHAnsi"/>
          <w:sz w:val="22"/>
          <w:szCs w:val="22"/>
          <w:lang w:eastAsia="en-US"/>
        </w:rPr>
        <w:t>законодательства</w:t>
      </w:r>
      <w:r w:rsidRPr="00EC1A78">
        <w:rPr>
          <w:rFonts w:eastAsiaTheme="minorHAnsi"/>
          <w:sz w:val="22"/>
          <w:szCs w:val="22"/>
          <w:lang w:val="en-US"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val="en-US" w:eastAsia="en-US"/>
        </w:rPr>
        <w:t xml:space="preserve">ABSTRACT: </w:t>
      </w:r>
      <w:r w:rsidRPr="00EC1A78">
        <w:rPr>
          <w:rFonts w:eastAsiaTheme="minorHAnsi"/>
          <w:color w:val="000000"/>
          <w:sz w:val="22"/>
          <w:szCs w:val="22"/>
          <w:shd w:val="clear" w:color="auto" w:fill="FFFFFF"/>
          <w:lang w:val="en-US" w:eastAsia="en-US"/>
        </w:rPr>
        <w:t>The problematic appeal of the verdict to execution on the way of alternative measures of imprisonment for punishment measures was studied, with the example of compulsory and corrective works. Issues of the effectiveness of the work of the local government and the penitentiary inspectorate were raised.</w:t>
      </w:r>
      <w:r w:rsidRPr="00EC1A78">
        <w:rPr>
          <w:rFonts w:eastAsiaTheme="minorHAnsi"/>
          <w:sz w:val="22"/>
          <w:szCs w:val="22"/>
          <w:lang w:val="en-US" w:eastAsia="en-US"/>
        </w:rPr>
        <w:t xml:space="preserve"> </w:t>
      </w:r>
      <w:r w:rsidRPr="00EC1A78">
        <w:rPr>
          <w:rFonts w:eastAsiaTheme="minorHAnsi"/>
          <w:color w:val="000000"/>
          <w:sz w:val="22"/>
          <w:szCs w:val="22"/>
          <w:shd w:val="clear" w:color="auto" w:fill="FFFFFF"/>
          <w:lang w:val="en-US" w:eastAsia="en-US"/>
        </w:rPr>
        <w:t>Ways</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of</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filling</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the</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gaps</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in</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legislation</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are</w:t>
      </w:r>
      <w:r w:rsidRPr="00EC1A78">
        <w:rPr>
          <w:rFonts w:eastAsiaTheme="minorHAnsi"/>
          <w:color w:val="000000"/>
          <w:sz w:val="22"/>
          <w:szCs w:val="22"/>
          <w:shd w:val="clear" w:color="auto" w:fill="FFFFFF"/>
          <w:lang w:eastAsia="en-US"/>
        </w:rPr>
        <w:t xml:space="preserve"> </w:t>
      </w:r>
      <w:r w:rsidRPr="00EC1A78">
        <w:rPr>
          <w:rFonts w:eastAsiaTheme="minorHAnsi"/>
          <w:color w:val="000000"/>
          <w:sz w:val="22"/>
          <w:szCs w:val="22"/>
          <w:shd w:val="clear" w:color="auto" w:fill="FFFFFF"/>
          <w:lang w:val="en-US" w:eastAsia="en-US"/>
        </w:rPr>
        <w:t>suggested</w:t>
      </w:r>
      <w:r w:rsidRPr="00EC1A78">
        <w:rPr>
          <w:rFonts w:eastAsiaTheme="minorHAnsi"/>
          <w:color w:val="000000"/>
          <w:sz w:val="22"/>
          <w:szCs w:val="22"/>
          <w:shd w:val="clear" w:color="auto" w:fill="FFFFFF"/>
          <w:lang w:eastAsia="en-US"/>
        </w:rPr>
        <w:t>.</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приговор, места отбывания наказания, осужденные, обязательные и исправительные работы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 xml:space="preserve">KEYWORDS: </w:t>
      </w:r>
      <w:r w:rsidRPr="00EC1A78">
        <w:rPr>
          <w:rFonts w:eastAsiaTheme="minorHAnsi"/>
          <w:color w:val="000000"/>
          <w:sz w:val="22"/>
          <w:szCs w:val="22"/>
          <w:shd w:val="clear" w:color="auto" w:fill="FFFFFF"/>
          <w:lang w:val="en-US" w:eastAsia="en-US"/>
        </w:rPr>
        <w:t>sentence, place of serving sentence, convicts, co</w:t>
      </w:r>
      <w:r w:rsidRPr="00EC1A78">
        <w:rPr>
          <w:rFonts w:eastAsiaTheme="minorHAnsi"/>
          <w:color w:val="000000"/>
          <w:sz w:val="22"/>
          <w:szCs w:val="22"/>
          <w:shd w:val="clear" w:color="auto" w:fill="FFFFFF"/>
          <w:lang w:val="en-US" w:eastAsia="en-US"/>
        </w:rPr>
        <w:t>m</w:t>
      </w:r>
      <w:r w:rsidRPr="00EC1A78">
        <w:rPr>
          <w:rFonts w:eastAsiaTheme="minorHAnsi"/>
          <w:color w:val="000000"/>
          <w:sz w:val="22"/>
          <w:szCs w:val="22"/>
          <w:shd w:val="clear" w:color="auto" w:fill="FFFFFF"/>
          <w:lang w:val="en-US" w:eastAsia="en-US"/>
        </w:rPr>
        <w:t>pulsory and correctional labor.</w:t>
      </w:r>
    </w:p>
    <w:p w:rsidR="00EC1A78" w:rsidRPr="00E62E4B"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Прежде всего стоит сказать, что же такое обращение к испо</w:t>
      </w:r>
      <w:r w:rsidRPr="00EC1A78">
        <w:rPr>
          <w:rFonts w:eastAsiaTheme="minorHAnsi"/>
          <w:sz w:val="22"/>
          <w:szCs w:val="22"/>
          <w:lang w:eastAsia="en-US"/>
        </w:rPr>
        <w:t>л</w:t>
      </w:r>
      <w:r w:rsidRPr="00EC1A78">
        <w:rPr>
          <w:rFonts w:eastAsiaTheme="minorHAnsi"/>
          <w:sz w:val="22"/>
          <w:szCs w:val="22"/>
          <w:lang w:eastAsia="en-US"/>
        </w:rPr>
        <w:t>нению приговора суда — это непосредственное направление судьей распоряжения об его исполнении тому органу, на который была возложена обязанность приведения приговора к исполнению [1]. На примере уголовных наказаний в виде обязательных и исправител</w:t>
      </w:r>
      <w:r w:rsidRPr="00EC1A78">
        <w:rPr>
          <w:rFonts w:eastAsiaTheme="minorHAnsi"/>
          <w:sz w:val="22"/>
          <w:szCs w:val="22"/>
          <w:lang w:eastAsia="en-US"/>
        </w:rPr>
        <w:t>ь</w:t>
      </w:r>
      <w:r w:rsidRPr="00EC1A78">
        <w:rPr>
          <w:rFonts w:eastAsiaTheme="minorHAnsi"/>
          <w:sz w:val="22"/>
          <w:szCs w:val="22"/>
          <w:lang w:eastAsia="en-US"/>
        </w:rPr>
        <w:t>ных работ попытаемся выявить как осуществляется обращение пр</w:t>
      </w:r>
      <w:r w:rsidRPr="00EC1A78">
        <w:rPr>
          <w:rFonts w:eastAsiaTheme="minorHAnsi"/>
          <w:sz w:val="22"/>
          <w:szCs w:val="22"/>
          <w:lang w:eastAsia="en-US"/>
        </w:rPr>
        <w:t>и</w:t>
      </w:r>
      <w:r w:rsidRPr="00EC1A78">
        <w:rPr>
          <w:rFonts w:eastAsiaTheme="minorHAnsi"/>
          <w:sz w:val="22"/>
          <w:szCs w:val="22"/>
          <w:lang w:eastAsia="en-US"/>
        </w:rPr>
        <w:t>говора к исполнению. Итак, под обязательными работами подраз</w:t>
      </w:r>
      <w:r w:rsidRPr="00EC1A78">
        <w:rPr>
          <w:rFonts w:eastAsiaTheme="minorHAnsi"/>
          <w:sz w:val="22"/>
          <w:szCs w:val="22"/>
          <w:lang w:eastAsia="en-US"/>
        </w:rPr>
        <w:t>у</w:t>
      </w:r>
      <w:r w:rsidRPr="00EC1A78">
        <w:rPr>
          <w:rFonts w:eastAsiaTheme="minorHAnsi"/>
          <w:sz w:val="22"/>
          <w:szCs w:val="22"/>
          <w:lang w:eastAsia="en-US"/>
        </w:rPr>
        <w:t xml:space="preserve">мевается выполнение осужденным в свободное от трудовой или </w:t>
      </w:r>
      <w:r w:rsidRPr="00EC1A78">
        <w:rPr>
          <w:rFonts w:eastAsiaTheme="minorHAnsi"/>
          <w:sz w:val="22"/>
          <w:szCs w:val="22"/>
          <w:lang w:eastAsia="en-US"/>
        </w:rPr>
        <w:lastRenderedPageBreak/>
        <w:t>учебной деятельности время общественно полезных работ. Росси</w:t>
      </w:r>
      <w:r w:rsidRPr="00EC1A78">
        <w:rPr>
          <w:rFonts w:eastAsiaTheme="minorHAnsi"/>
          <w:sz w:val="22"/>
          <w:szCs w:val="22"/>
          <w:lang w:eastAsia="en-US"/>
        </w:rPr>
        <w:t>й</w:t>
      </w:r>
      <w:r w:rsidRPr="00EC1A78">
        <w:rPr>
          <w:rFonts w:eastAsiaTheme="minorHAnsi"/>
          <w:sz w:val="22"/>
          <w:szCs w:val="22"/>
          <w:lang w:eastAsia="en-US"/>
        </w:rPr>
        <w:t>ское уголовное законодательство определяет продолжительность выполнения данного вида наказания, а именно от 60–и до 480–и часов, а дневная норма отбывания наказание должна быть не более 4–х часов [2]. Органами, которыми направляется распоряжение непосредственного исполнения приговора, являются органы мес</w:t>
      </w:r>
      <w:r w:rsidRPr="00EC1A78">
        <w:rPr>
          <w:rFonts w:eastAsiaTheme="minorHAnsi"/>
          <w:sz w:val="22"/>
          <w:szCs w:val="22"/>
          <w:lang w:eastAsia="en-US"/>
        </w:rPr>
        <w:t>т</w:t>
      </w:r>
      <w:r w:rsidRPr="00EC1A78">
        <w:rPr>
          <w:rFonts w:eastAsiaTheme="minorHAnsi"/>
          <w:sz w:val="22"/>
          <w:szCs w:val="22"/>
          <w:lang w:eastAsia="en-US"/>
        </w:rPr>
        <w:t>ного самоуправления по месту проживания осужденного лица и уголовно–исполнительные инспекции. Именно органы местного самоуправления выбирают вид обязательных работ и место, где данные виды наказаний будут отбываться. Чаще всего для ос</w:t>
      </w:r>
      <w:r w:rsidRPr="00EC1A78">
        <w:rPr>
          <w:rFonts w:eastAsiaTheme="minorHAnsi"/>
          <w:sz w:val="22"/>
          <w:szCs w:val="22"/>
          <w:lang w:eastAsia="en-US"/>
        </w:rPr>
        <w:t>у</w:t>
      </w:r>
      <w:r w:rsidRPr="00EC1A78">
        <w:rPr>
          <w:rFonts w:eastAsiaTheme="minorHAnsi"/>
          <w:sz w:val="22"/>
          <w:szCs w:val="22"/>
          <w:lang w:eastAsia="en-US"/>
        </w:rPr>
        <w:t>ществления данных действий у местных администраций просто не хватает дополнительных денежных средств, что во многом снижает эффективность исполнения данного вида наказания. Еще одной значительной проблемой является то, что многие осуждённые укл</w:t>
      </w:r>
      <w:r w:rsidRPr="00EC1A78">
        <w:rPr>
          <w:rFonts w:eastAsiaTheme="minorHAnsi"/>
          <w:sz w:val="22"/>
          <w:szCs w:val="22"/>
          <w:lang w:eastAsia="en-US"/>
        </w:rPr>
        <w:t>о</w:t>
      </w:r>
      <w:r w:rsidRPr="00EC1A78">
        <w:rPr>
          <w:rFonts w:eastAsiaTheme="minorHAnsi"/>
          <w:sz w:val="22"/>
          <w:szCs w:val="22"/>
          <w:lang w:eastAsia="en-US"/>
        </w:rPr>
        <w:t>няются от отбывания наказания. По опросам представителей уг</w:t>
      </w:r>
      <w:r w:rsidRPr="00EC1A78">
        <w:rPr>
          <w:rFonts w:eastAsiaTheme="minorHAnsi"/>
          <w:sz w:val="22"/>
          <w:szCs w:val="22"/>
          <w:lang w:eastAsia="en-US"/>
        </w:rPr>
        <w:t>о</w:t>
      </w:r>
      <w:r w:rsidRPr="00EC1A78">
        <w:rPr>
          <w:rFonts w:eastAsiaTheme="minorHAnsi"/>
          <w:sz w:val="22"/>
          <w:szCs w:val="22"/>
          <w:lang w:eastAsia="en-US"/>
        </w:rPr>
        <w:t>ловно–исполнительной инспекции, среди них граждане иностра</w:t>
      </w:r>
      <w:r w:rsidRPr="00EC1A78">
        <w:rPr>
          <w:rFonts w:eastAsiaTheme="minorHAnsi"/>
          <w:sz w:val="22"/>
          <w:szCs w:val="22"/>
          <w:lang w:eastAsia="en-US"/>
        </w:rPr>
        <w:t>н</w:t>
      </w:r>
      <w:r w:rsidRPr="00EC1A78">
        <w:rPr>
          <w:rFonts w:eastAsiaTheme="minorHAnsi"/>
          <w:sz w:val="22"/>
          <w:szCs w:val="22"/>
          <w:lang w:eastAsia="en-US"/>
        </w:rPr>
        <w:t>ных государств. В связи с этим, УИИ сталкивается с такой пробл</w:t>
      </w:r>
      <w:r w:rsidRPr="00EC1A78">
        <w:rPr>
          <w:rFonts w:eastAsiaTheme="minorHAnsi"/>
          <w:sz w:val="22"/>
          <w:szCs w:val="22"/>
          <w:lang w:eastAsia="en-US"/>
        </w:rPr>
        <w:t>е</w:t>
      </w:r>
      <w:r w:rsidRPr="00EC1A78">
        <w:rPr>
          <w:rFonts w:eastAsiaTheme="minorHAnsi"/>
          <w:sz w:val="22"/>
          <w:szCs w:val="22"/>
          <w:lang w:eastAsia="en-US"/>
        </w:rPr>
        <w:t>мой как сбор всей необходимой информации (место нахождения осужденного, рапорт о проведении первоначальных следственных действий, справки из миграционной службы, медицинские справки и т.д.), то есть сбор всей информации занимает много времени, в особенности, со дня установления уклонения (исчезновения) осу</w:t>
      </w:r>
      <w:r w:rsidRPr="00EC1A78">
        <w:rPr>
          <w:rFonts w:eastAsiaTheme="minorHAnsi"/>
          <w:sz w:val="22"/>
          <w:szCs w:val="22"/>
          <w:lang w:eastAsia="en-US"/>
        </w:rPr>
        <w:t>ж</w:t>
      </w:r>
      <w:r w:rsidRPr="00EC1A78">
        <w:rPr>
          <w:rFonts w:eastAsiaTheme="minorHAnsi"/>
          <w:sz w:val="22"/>
          <w:szCs w:val="22"/>
          <w:lang w:eastAsia="en-US"/>
        </w:rPr>
        <w:t>денного от отбывания наказания. На наш взгляд, необходимо вн</w:t>
      </w:r>
      <w:r w:rsidRPr="00EC1A78">
        <w:rPr>
          <w:rFonts w:eastAsiaTheme="minorHAnsi"/>
          <w:sz w:val="22"/>
          <w:szCs w:val="22"/>
          <w:lang w:eastAsia="en-US"/>
        </w:rPr>
        <w:t>е</w:t>
      </w:r>
      <w:r w:rsidRPr="00EC1A78">
        <w:rPr>
          <w:rFonts w:eastAsiaTheme="minorHAnsi"/>
          <w:sz w:val="22"/>
          <w:szCs w:val="22"/>
          <w:lang w:eastAsia="en-US"/>
        </w:rPr>
        <w:t>сти некоторые изменения в действующее законодательство, учит</w:t>
      </w:r>
      <w:r w:rsidRPr="00EC1A78">
        <w:rPr>
          <w:rFonts w:eastAsiaTheme="minorHAnsi"/>
          <w:sz w:val="22"/>
          <w:szCs w:val="22"/>
          <w:lang w:eastAsia="en-US"/>
        </w:rPr>
        <w:t>ы</w:t>
      </w:r>
      <w:r w:rsidRPr="00EC1A78">
        <w:rPr>
          <w:rFonts w:eastAsiaTheme="minorHAnsi"/>
          <w:sz w:val="22"/>
          <w:szCs w:val="22"/>
          <w:lang w:eastAsia="en-US"/>
        </w:rPr>
        <w:t>вающего особенности личности осужденных. Что касается исправ</w:t>
      </w:r>
      <w:r w:rsidRPr="00EC1A78">
        <w:rPr>
          <w:rFonts w:eastAsiaTheme="minorHAnsi"/>
          <w:sz w:val="22"/>
          <w:szCs w:val="22"/>
          <w:lang w:eastAsia="en-US"/>
        </w:rPr>
        <w:t>и</w:t>
      </w:r>
      <w:r w:rsidRPr="00EC1A78">
        <w:rPr>
          <w:rFonts w:eastAsiaTheme="minorHAnsi"/>
          <w:sz w:val="22"/>
          <w:szCs w:val="22"/>
          <w:lang w:eastAsia="en-US"/>
        </w:rPr>
        <w:t>тельных работ, то под данным видом наказания понимается отб</w:t>
      </w:r>
      <w:r w:rsidRPr="00EC1A78">
        <w:rPr>
          <w:rFonts w:eastAsiaTheme="minorHAnsi"/>
          <w:sz w:val="22"/>
          <w:szCs w:val="22"/>
          <w:lang w:eastAsia="en-US"/>
        </w:rPr>
        <w:t>ы</w:t>
      </w:r>
      <w:r w:rsidRPr="00EC1A78">
        <w:rPr>
          <w:rFonts w:eastAsiaTheme="minorHAnsi"/>
          <w:sz w:val="22"/>
          <w:szCs w:val="22"/>
          <w:lang w:eastAsia="en-US"/>
        </w:rPr>
        <w:t>вание осуждённым на месте своей официальной работе или на м</w:t>
      </w:r>
      <w:r w:rsidRPr="00EC1A78">
        <w:rPr>
          <w:rFonts w:eastAsiaTheme="minorHAnsi"/>
          <w:sz w:val="22"/>
          <w:szCs w:val="22"/>
          <w:lang w:eastAsia="en-US"/>
        </w:rPr>
        <w:t>е</w:t>
      </w:r>
      <w:r w:rsidRPr="00EC1A78">
        <w:rPr>
          <w:rFonts w:eastAsiaTheme="minorHAnsi"/>
          <w:sz w:val="22"/>
          <w:szCs w:val="22"/>
          <w:lang w:eastAsia="en-US"/>
        </w:rPr>
        <w:t>сте, предоставленном органом местного самоуправления по месту проживания лица. Данный вид наказания назначается на срок от 2–х месяцев до 2–х лет. То есть, вышеуказанная характерная ситуация, присущая обязательным работам, типична и для этого вида наказ</w:t>
      </w:r>
      <w:r w:rsidRPr="00EC1A78">
        <w:rPr>
          <w:rFonts w:eastAsiaTheme="minorHAnsi"/>
          <w:sz w:val="22"/>
          <w:szCs w:val="22"/>
          <w:lang w:eastAsia="en-US"/>
        </w:rPr>
        <w:t>а</w:t>
      </w:r>
      <w:r w:rsidRPr="00EC1A78">
        <w:rPr>
          <w:rFonts w:eastAsiaTheme="minorHAnsi"/>
          <w:sz w:val="22"/>
          <w:szCs w:val="22"/>
          <w:lang w:eastAsia="en-US"/>
        </w:rPr>
        <w:t>ния. Но что делать если мест, которые обязана предоставить органы МСУ просто не хватает? Закон об этом нам ничего не говорит. Еще одна проблема заключается в том, что многие осужденные допу</w:t>
      </w:r>
      <w:r w:rsidRPr="00EC1A78">
        <w:rPr>
          <w:rFonts w:eastAsiaTheme="minorHAnsi"/>
          <w:sz w:val="22"/>
          <w:szCs w:val="22"/>
          <w:lang w:eastAsia="en-US"/>
        </w:rPr>
        <w:t>с</w:t>
      </w:r>
      <w:r w:rsidRPr="00EC1A78">
        <w:rPr>
          <w:rFonts w:eastAsiaTheme="minorHAnsi"/>
          <w:sz w:val="22"/>
          <w:szCs w:val="22"/>
          <w:lang w:eastAsia="en-US"/>
        </w:rPr>
        <w:t>кают пропуски по состоянию здоровья и т.д., и это время не будет включаться в срок отбывания наказания [3]. Нередко осужденные устраиваются на работу самостоятельно, то есть без какой–либо помощи со стороны местной администрации, что приводит к не п</w:t>
      </w:r>
      <w:r w:rsidRPr="00EC1A78">
        <w:rPr>
          <w:rFonts w:eastAsiaTheme="minorHAnsi"/>
          <w:sz w:val="22"/>
          <w:szCs w:val="22"/>
          <w:lang w:eastAsia="en-US"/>
        </w:rPr>
        <w:t>о</w:t>
      </w:r>
      <w:r w:rsidRPr="00EC1A78">
        <w:rPr>
          <w:rFonts w:eastAsiaTheme="minorHAnsi"/>
          <w:sz w:val="22"/>
          <w:szCs w:val="22"/>
          <w:lang w:eastAsia="en-US"/>
        </w:rPr>
        <w:lastRenderedPageBreak/>
        <w:t>ступлению денежных средств в соответствующие фонды, опред</w:t>
      </w:r>
      <w:r w:rsidRPr="00EC1A78">
        <w:rPr>
          <w:rFonts w:eastAsiaTheme="minorHAnsi"/>
          <w:sz w:val="22"/>
          <w:szCs w:val="22"/>
          <w:lang w:eastAsia="en-US"/>
        </w:rPr>
        <w:t>е</w:t>
      </w:r>
      <w:r w:rsidRPr="00EC1A78">
        <w:rPr>
          <w:rFonts w:eastAsiaTheme="minorHAnsi"/>
          <w:sz w:val="22"/>
          <w:szCs w:val="22"/>
          <w:lang w:eastAsia="en-US"/>
        </w:rPr>
        <w:t xml:space="preserve">ленные приговором суда. </w:t>
      </w:r>
      <w:r w:rsidRPr="00EC1A78">
        <w:rPr>
          <w:rFonts w:eastAsiaTheme="minorHAnsi"/>
          <w:sz w:val="22"/>
          <w:szCs w:val="22"/>
          <w:lang w:val="en-US" w:eastAsia="en-US"/>
        </w:rPr>
        <w:t>C</w:t>
      </w:r>
      <w:r w:rsidRPr="00EC1A78">
        <w:rPr>
          <w:rFonts w:eastAsiaTheme="minorHAnsi"/>
          <w:sz w:val="22"/>
          <w:szCs w:val="22"/>
          <w:lang w:eastAsia="en-US"/>
        </w:rPr>
        <w:t xml:space="preserve"> учетом изложенного, мы считаем, что было бы целесообразным внести дополнения в пункт 5 статьи 393 УПК РФ, в котором говорится, что учреждения или орган, на кот</w:t>
      </w:r>
      <w:r w:rsidRPr="00EC1A78">
        <w:rPr>
          <w:rFonts w:eastAsiaTheme="minorHAnsi"/>
          <w:sz w:val="22"/>
          <w:szCs w:val="22"/>
          <w:lang w:eastAsia="en-US"/>
        </w:rPr>
        <w:t>о</w:t>
      </w:r>
      <w:r w:rsidRPr="00EC1A78">
        <w:rPr>
          <w:rFonts w:eastAsiaTheme="minorHAnsi"/>
          <w:sz w:val="22"/>
          <w:szCs w:val="22"/>
          <w:lang w:eastAsia="en-US"/>
        </w:rPr>
        <w:t>рые возложено исполнение наказания, должны немедленно изв</w:t>
      </w:r>
      <w:r w:rsidRPr="00EC1A78">
        <w:rPr>
          <w:rFonts w:eastAsiaTheme="minorHAnsi"/>
          <w:sz w:val="22"/>
          <w:szCs w:val="22"/>
          <w:lang w:eastAsia="en-US"/>
        </w:rPr>
        <w:t>е</w:t>
      </w:r>
      <w:r w:rsidRPr="00EC1A78">
        <w:rPr>
          <w:rFonts w:eastAsiaTheme="minorHAnsi"/>
          <w:sz w:val="22"/>
          <w:szCs w:val="22"/>
          <w:lang w:eastAsia="en-US"/>
        </w:rPr>
        <w:t>щать суд не только о исполнении приговора, но так же и о его о</w:t>
      </w:r>
      <w:r w:rsidRPr="00EC1A78">
        <w:rPr>
          <w:rFonts w:eastAsiaTheme="minorHAnsi"/>
          <w:sz w:val="22"/>
          <w:szCs w:val="22"/>
          <w:lang w:eastAsia="en-US"/>
        </w:rPr>
        <w:t>т</w:t>
      </w:r>
      <w:r w:rsidRPr="00EC1A78">
        <w:rPr>
          <w:rFonts w:eastAsiaTheme="minorHAnsi"/>
          <w:sz w:val="22"/>
          <w:szCs w:val="22"/>
          <w:lang w:eastAsia="en-US"/>
        </w:rPr>
        <w:t xml:space="preserve">бывании. </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Рябцева Е.В Исполнение приговора в уголовном процессе России. /Е. В. Рябцева–Ростов н/Д: Феникс 2007–с.31.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Уголовный кодекс Российской Федерации от 13.06.1996 № 63–ФЗ (ред. от 19.02.2018) /Собрание Законодательства Российской Федерации 1996 № 25– ст.49.</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Рахмаев Э. Р. Исполнение наказаний, не связанных с лиш</w:t>
      </w:r>
      <w:r w:rsidRPr="00EC1A78">
        <w:rPr>
          <w:rFonts w:eastAsiaTheme="minorHAnsi"/>
          <w:sz w:val="22"/>
          <w:szCs w:val="22"/>
          <w:lang w:eastAsia="en-US"/>
        </w:rPr>
        <w:t>е</w:t>
      </w:r>
      <w:r w:rsidRPr="00EC1A78">
        <w:rPr>
          <w:rFonts w:eastAsiaTheme="minorHAnsi"/>
          <w:sz w:val="22"/>
          <w:szCs w:val="22"/>
          <w:lang w:eastAsia="en-US"/>
        </w:rPr>
        <w:t>нием свободы/Журнал Преступление и наказание 2009–№5– с. 8.</w:t>
      </w:r>
    </w:p>
    <w:p w:rsidR="00EC1A78" w:rsidRDefault="00EC1A78" w:rsidP="00EC1A78">
      <w:pPr>
        <w:jc w:val="both"/>
        <w:rPr>
          <w:rFonts w:eastAsiaTheme="minorHAnsi"/>
          <w:sz w:val="22"/>
          <w:szCs w:val="22"/>
          <w:lang w:eastAsia="en-US"/>
        </w:rPr>
      </w:pPr>
    </w:p>
    <w:p w:rsidR="008F16B1" w:rsidRPr="00EC1A78" w:rsidRDefault="008F16B1" w:rsidP="00EC1A78">
      <w:pPr>
        <w:jc w:val="both"/>
        <w:rPr>
          <w:rFonts w:eastAsiaTheme="minorHAnsi"/>
          <w:sz w:val="22"/>
          <w:szCs w:val="22"/>
          <w:lang w:eastAsia="en-US"/>
        </w:rPr>
      </w:pPr>
    </w:p>
    <w:p w:rsidR="00EC1A78" w:rsidRPr="008002DE" w:rsidRDefault="00EC1A78" w:rsidP="00EC1A78">
      <w:pPr>
        <w:jc w:val="both"/>
        <w:rPr>
          <w:rFonts w:eastAsiaTheme="minorHAnsi"/>
          <w:sz w:val="22"/>
          <w:szCs w:val="22"/>
          <w:lang w:val="en-US" w:eastAsia="en-US"/>
        </w:rPr>
      </w:pPr>
      <w:r w:rsidRPr="00EC1A78">
        <w:rPr>
          <w:rFonts w:eastAsiaTheme="minorHAnsi"/>
          <w:sz w:val="22"/>
          <w:szCs w:val="22"/>
          <w:lang w:eastAsia="en-US"/>
        </w:rPr>
        <w:t>УДК</w:t>
      </w:r>
      <w:r w:rsidRPr="00EC1A78">
        <w:rPr>
          <w:rFonts w:eastAsiaTheme="minorHAnsi"/>
          <w:sz w:val="22"/>
          <w:szCs w:val="22"/>
          <w:lang w:val="en-US" w:eastAsia="en-US"/>
        </w:rPr>
        <w:t xml:space="preserve"> 342</w:t>
      </w:r>
    </w:p>
    <w:p w:rsidR="00641206" w:rsidRPr="008002DE" w:rsidRDefault="00641206" w:rsidP="00EC1A78">
      <w:pPr>
        <w:jc w:val="both"/>
        <w:rPr>
          <w:rFonts w:eastAsiaTheme="minorHAnsi"/>
          <w:sz w:val="22"/>
          <w:szCs w:val="22"/>
          <w:lang w:val="en-US" w:eastAsia="en-US"/>
        </w:rPr>
      </w:pPr>
    </w:p>
    <w:p w:rsidR="00EC1A78" w:rsidRPr="00EC1A78" w:rsidRDefault="00EC1A78" w:rsidP="00EC1A78">
      <w:pPr>
        <w:jc w:val="center"/>
        <w:rPr>
          <w:rFonts w:eastAsiaTheme="minorHAnsi"/>
          <w:sz w:val="24"/>
          <w:szCs w:val="24"/>
          <w:lang w:val="en-US" w:eastAsia="en-US"/>
        </w:rPr>
      </w:pPr>
      <w:r w:rsidRPr="00EC1A78">
        <w:rPr>
          <w:rFonts w:eastAsiaTheme="minorHAnsi"/>
          <w:b/>
          <w:sz w:val="24"/>
          <w:szCs w:val="24"/>
          <w:lang w:eastAsia="en-US"/>
        </w:rPr>
        <w:t>Развитие</w:t>
      </w:r>
      <w:r w:rsidRPr="00EC1A78">
        <w:rPr>
          <w:rFonts w:eastAsiaTheme="minorHAnsi"/>
          <w:b/>
          <w:sz w:val="24"/>
          <w:szCs w:val="24"/>
          <w:lang w:val="en-US" w:eastAsia="en-US"/>
        </w:rPr>
        <w:t xml:space="preserve"> </w:t>
      </w:r>
      <w:r w:rsidRPr="00EC1A78">
        <w:rPr>
          <w:rFonts w:eastAsiaTheme="minorHAnsi"/>
          <w:b/>
          <w:sz w:val="24"/>
          <w:szCs w:val="24"/>
          <w:lang w:eastAsia="en-US"/>
        </w:rPr>
        <w:t>идеи</w:t>
      </w:r>
      <w:r w:rsidRPr="00EC1A78">
        <w:rPr>
          <w:rFonts w:eastAsiaTheme="minorHAnsi"/>
          <w:b/>
          <w:sz w:val="24"/>
          <w:szCs w:val="24"/>
          <w:lang w:val="en-US" w:eastAsia="en-US"/>
        </w:rPr>
        <w:t xml:space="preserve"> </w:t>
      </w:r>
      <w:r w:rsidRPr="00EC1A78">
        <w:rPr>
          <w:rFonts w:eastAsiaTheme="minorHAnsi"/>
          <w:b/>
          <w:sz w:val="24"/>
          <w:szCs w:val="24"/>
          <w:lang w:eastAsia="en-US"/>
        </w:rPr>
        <w:t>правового</w:t>
      </w:r>
      <w:r w:rsidRPr="00EC1A78">
        <w:rPr>
          <w:rFonts w:eastAsiaTheme="minorHAnsi"/>
          <w:b/>
          <w:sz w:val="24"/>
          <w:szCs w:val="24"/>
          <w:lang w:val="en-US" w:eastAsia="en-US"/>
        </w:rPr>
        <w:t xml:space="preserve"> </w:t>
      </w:r>
      <w:r w:rsidRPr="00EC1A78">
        <w:rPr>
          <w:rFonts w:eastAsiaTheme="minorHAnsi"/>
          <w:b/>
          <w:sz w:val="24"/>
          <w:szCs w:val="24"/>
          <w:lang w:eastAsia="en-US"/>
        </w:rPr>
        <w:t>государства</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Development of the idea of the rule of law</w:t>
      </w:r>
    </w:p>
    <w:p w:rsidR="00EC1A78" w:rsidRPr="00EC1A78" w:rsidRDefault="00EC1A78" w:rsidP="00EC1A78">
      <w:pPr>
        <w:jc w:val="both"/>
        <w:rPr>
          <w:rFonts w:eastAsiaTheme="minorHAnsi"/>
          <w:b/>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Кулешова Е.</w:t>
      </w:r>
      <w:r w:rsidR="008F16B1">
        <w:rPr>
          <w:rFonts w:eastAsiaTheme="minorHAnsi"/>
          <w:sz w:val="22"/>
          <w:szCs w:val="22"/>
          <w:lang w:eastAsia="en-US"/>
        </w:rPr>
        <w:t xml:space="preserve"> </w:t>
      </w:r>
      <w:r w:rsidRPr="00EC1A78">
        <w:rPr>
          <w:rFonts w:eastAsiaTheme="minorHAnsi"/>
          <w:sz w:val="22"/>
          <w:szCs w:val="22"/>
          <w:lang w:eastAsia="en-US"/>
        </w:rPr>
        <w:t>Д.,</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8F16B1">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jc w:val="both"/>
        <w:rPr>
          <w:rFonts w:eastAsiaTheme="minorHAnsi"/>
          <w:b/>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статье рассматривается развитие идеи правового государства, его краткая характеристика, а также особе</w:t>
      </w:r>
      <w:r w:rsidRPr="00EC1A78">
        <w:rPr>
          <w:rFonts w:eastAsiaTheme="minorHAnsi"/>
          <w:sz w:val="22"/>
          <w:szCs w:val="22"/>
          <w:lang w:eastAsia="en-US"/>
        </w:rPr>
        <w:t>н</w:t>
      </w:r>
      <w:r w:rsidRPr="00EC1A78">
        <w:rPr>
          <w:rFonts w:eastAsiaTheme="minorHAnsi"/>
          <w:sz w:val="22"/>
          <w:szCs w:val="22"/>
          <w:lang w:eastAsia="en-US"/>
        </w:rPr>
        <w:t>ности развития идеи  на разных этапах становления.</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In this article, the development of the idea of the rule of law, its brief description, as well as the features of the development of the idea at different stages of formation.</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государство, разделение властей, идея правового государства, верховенство закона.</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state, separation of powers, the idea of the rule of law, the rule of law.</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Идея правового государства всегда являлась одной из самых гуманных государственно–правовых идей. Именно поэтому пр</w:t>
      </w:r>
      <w:r w:rsidRPr="00EC1A78">
        <w:rPr>
          <w:rFonts w:eastAsiaTheme="minorHAnsi"/>
          <w:sz w:val="22"/>
          <w:szCs w:val="22"/>
          <w:lang w:eastAsia="en-US"/>
        </w:rPr>
        <w:t>о</w:t>
      </w:r>
      <w:r w:rsidRPr="00EC1A78">
        <w:rPr>
          <w:rFonts w:eastAsiaTheme="minorHAnsi"/>
          <w:sz w:val="22"/>
          <w:szCs w:val="22"/>
          <w:lang w:eastAsia="en-US"/>
        </w:rPr>
        <w:t>блема становления  правового государства волнует множество л</w:t>
      </w:r>
      <w:r w:rsidRPr="00EC1A78">
        <w:rPr>
          <w:rFonts w:eastAsiaTheme="minorHAnsi"/>
          <w:sz w:val="22"/>
          <w:szCs w:val="22"/>
          <w:lang w:eastAsia="en-US"/>
        </w:rPr>
        <w:t>ю</w:t>
      </w:r>
      <w:r w:rsidRPr="00EC1A78">
        <w:rPr>
          <w:rFonts w:eastAsiaTheme="minorHAnsi"/>
          <w:sz w:val="22"/>
          <w:szCs w:val="22"/>
          <w:lang w:eastAsia="en-US"/>
        </w:rPr>
        <w:t>дей–мыслителей средневековья и деятелей  современности. Вопрос о том, что же такое правовое государство, общественные деятели и политологи рассматривают по–разному, но, несмотря на это, прав</w:t>
      </w:r>
      <w:r w:rsidRPr="00EC1A78">
        <w:rPr>
          <w:rFonts w:eastAsiaTheme="minorHAnsi"/>
          <w:sz w:val="22"/>
          <w:szCs w:val="22"/>
          <w:lang w:eastAsia="en-US"/>
        </w:rPr>
        <w:t>о</w:t>
      </w:r>
      <w:r w:rsidRPr="00EC1A78">
        <w:rPr>
          <w:rFonts w:eastAsiaTheme="minorHAnsi"/>
          <w:sz w:val="22"/>
          <w:szCs w:val="22"/>
          <w:lang w:eastAsia="en-US"/>
        </w:rPr>
        <w:t>вое государство всегда ассоциируется с гуманизмом, законом и з</w:t>
      </w:r>
      <w:r w:rsidRPr="00EC1A78">
        <w:rPr>
          <w:rFonts w:eastAsiaTheme="minorHAnsi"/>
          <w:sz w:val="22"/>
          <w:szCs w:val="22"/>
          <w:lang w:eastAsia="en-US"/>
        </w:rPr>
        <w:t>а</w:t>
      </w:r>
      <w:r w:rsidRPr="00EC1A78">
        <w:rPr>
          <w:rFonts w:eastAsiaTheme="minorHAnsi"/>
          <w:sz w:val="22"/>
          <w:szCs w:val="22"/>
          <w:lang w:eastAsia="en-US"/>
        </w:rPr>
        <w:t>конностью, добром и справедливостью.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Характеризуя правовое государство, можно выделить его сл</w:t>
      </w:r>
      <w:r w:rsidRPr="00EC1A78">
        <w:rPr>
          <w:rFonts w:eastAsiaTheme="minorHAnsi"/>
          <w:sz w:val="22"/>
          <w:szCs w:val="22"/>
          <w:lang w:eastAsia="en-US"/>
        </w:rPr>
        <w:t>е</w:t>
      </w:r>
      <w:r w:rsidRPr="00EC1A78">
        <w:rPr>
          <w:rFonts w:eastAsiaTheme="minorHAnsi"/>
          <w:sz w:val="22"/>
          <w:szCs w:val="22"/>
          <w:lang w:eastAsia="en-US"/>
        </w:rPr>
        <w:t>дующие особенности: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верховенство закона. Согласно с данным признаком, ни один государственный орган или же должностное лицо, ни один человек не отстраняется от обязанности подчиняться закону;</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полная гарантированность и незыблемость прав и свобод граждан, сохранение принципа взаимной ответственности граждан и государства. Как граждане несут ответственность перед госуда</w:t>
      </w:r>
      <w:r w:rsidRPr="00EC1A78">
        <w:rPr>
          <w:rFonts w:eastAsiaTheme="minorHAnsi"/>
          <w:sz w:val="22"/>
          <w:szCs w:val="22"/>
          <w:lang w:eastAsia="en-US"/>
        </w:rPr>
        <w:t>р</w:t>
      </w:r>
      <w:r w:rsidRPr="00EC1A78">
        <w:rPr>
          <w:rFonts w:eastAsiaTheme="minorHAnsi"/>
          <w:sz w:val="22"/>
          <w:szCs w:val="22"/>
          <w:lang w:eastAsia="en-US"/>
        </w:rPr>
        <w:t>ством, так и государство должно нести ответственность перед св</w:t>
      </w:r>
      <w:r w:rsidRPr="00EC1A78">
        <w:rPr>
          <w:rFonts w:eastAsiaTheme="minorHAnsi"/>
          <w:sz w:val="22"/>
          <w:szCs w:val="22"/>
          <w:lang w:eastAsia="en-US"/>
        </w:rPr>
        <w:t>о</w:t>
      </w:r>
      <w:r w:rsidRPr="00EC1A78">
        <w:rPr>
          <w:rFonts w:eastAsiaTheme="minorHAnsi"/>
          <w:sz w:val="22"/>
          <w:szCs w:val="22"/>
          <w:lang w:eastAsia="en-US"/>
        </w:rPr>
        <w:t>ими гражданами;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принцип разделения властей, как важная особенность прав</w:t>
      </w:r>
      <w:r w:rsidRPr="00EC1A78">
        <w:rPr>
          <w:rFonts w:eastAsiaTheme="minorHAnsi"/>
          <w:sz w:val="22"/>
          <w:szCs w:val="22"/>
          <w:lang w:eastAsia="en-US"/>
        </w:rPr>
        <w:t>о</w:t>
      </w:r>
      <w:r w:rsidRPr="00EC1A78">
        <w:rPr>
          <w:rFonts w:eastAsiaTheme="minorHAnsi"/>
          <w:sz w:val="22"/>
          <w:szCs w:val="22"/>
          <w:lang w:eastAsia="en-US"/>
        </w:rPr>
        <w:t>вого государства. Суть этого принципа заключается в том, что для разумного  функционирования государства в нем должны сущ</w:t>
      </w:r>
      <w:r w:rsidRPr="00EC1A78">
        <w:rPr>
          <w:rFonts w:eastAsiaTheme="minorHAnsi"/>
          <w:sz w:val="22"/>
          <w:szCs w:val="22"/>
          <w:lang w:eastAsia="en-US"/>
        </w:rPr>
        <w:t>е</w:t>
      </w:r>
      <w:r w:rsidRPr="00EC1A78">
        <w:rPr>
          <w:rFonts w:eastAsiaTheme="minorHAnsi"/>
          <w:sz w:val="22"/>
          <w:szCs w:val="22"/>
          <w:lang w:eastAsia="en-US"/>
        </w:rPr>
        <w:t>ствовать более или мене самостоятельные друг от друга ветви вл</w:t>
      </w:r>
      <w:r w:rsidRPr="00EC1A78">
        <w:rPr>
          <w:rFonts w:eastAsiaTheme="minorHAnsi"/>
          <w:sz w:val="22"/>
          <w:szCs w:val="22"/>
          <w:lang w:eastAsia="en-US"/>
        </w:rPr>
        <w:t>а</w:t>
      </w:r>
      <w:r w:rsidRPr="00EC1A78">
        <w:rPr>
          <w:rFonts w:eastAsiaTheme="minorHAnsi"/>
          <w:sz w:val="22"/>
          <w:szCs w:val="22"/>
          <w:lang w:eastAsia="en-US"/>
        </w:rPr>
        <w:t>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режим демократии, конституционности  и законности , устраняющий попытки узурпации власти;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5) наличие гражданского общества [3, </w:t>
      </w:r>
      <w:r w:rsidRPr="00EC1A78">
        <w:rPr>
          <w:rFonts w:eastAsiaTheme="minorHAnsi"/>
          <w:sz w:val="22"/>
          <w:szCs w:val="22"/>
          <w:lang w:val="en-US" w:eastAsia="en-US"/>
        </w:rPr>
        <w:t>c</w:t>
      </w:r>
      <w:r w:rsidRPr="00EC1A78">
        <w:rPr>
          <w:rFonts w:eastAsiaTheme="minorHAnsi"/>
          <w:sz w:val="22"/>
          <w:szCs w:val="22"/>
          <w:lang w:eastAsia="en-US"/>
        </w:rPr>
        <w:t>. 83].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этих особенностей, можно сделать вывод, что прав</w:t>
      </w:r>
      <w:r w:rsidRPr="00EC1A78">
        <w:rPr>
          <w:rFonts w:eastAsiaTheme="minorHAnsi"/>
          <w:sz w:val="22"/>
          <w:szCs w:val="22"/>
          <w:lang w:eastAsia="en-US"/>
        </w:rPr>
        <w:t>о</w:t>
      </w:r>
      <w:r w:rsidRPr="00EC1A78">
        <w:rPr>
          <w:rFonts w:eastAsiaTheme="minorHAnsi"/>
          <w:sz w:val="22"/>
          <w:szCs w:val="22"/>
          <w:lang w:eastAsia="en-US"/>
        </w:rPr>
        <w:t>вое государство – это государство, вся деятельность которого по</w:t>
      </w:r>
      <w:r w:rsidRPr="00EC1A78">
        <w:rPr>
          <w:rFonts w:eastAsiaTheme="minorHAnsi"/>
          <w:sz w:val="22"/>
          <w:szCs w:val="22"/>
          <w:lang w:eastAsia="en-US"/>
        </w:rPr>
        <w:t>д</w:t>
      </w:r>
      <w:r w:rsidRPr="00EC1A78">
        <w:rPr>
          <w:rFonts w:eastAsiaTheme="minorHAnsi"/>
          <w:sz w:val="22"/>
          <w:szCs w:val="22"/>
          <w:lang w:eastAsia="en-US"/>
        </w:rPr>
        <w:t>властна законам, фундаментальным правовым принципам, напра</w:t>
      </w:r>
      <w:r w:rsidRPr="00EC1A78">
        <w:rPr>
          <w:rFonts w:eastAsiaTheme="minorHAnsi"/>
          <w:sz w:val="22"/>
          <w:szCs w:val="22"/>
          <w:lang w:eastAsia="en-US"/>
        </w:rPr>
        <w:t>в</w:t>
      </w:r>
      <w:r w:rsidRPr="00EC1A78">
        <w:rPr>
          <w:rFonts w:eastAsiaTheme="minorHAnsi"/>
          <w:sz w:val="22"/>
          <w:szCs w:val="22"/>
          <w:lang w:eastAsia="en-US"/>
        </w:rPr>
        <w:t>ленным на обеспечение чести и достоинства человека и граждан</w:t>
      </w:r>
      <w:r w:rsidRPr="00EC1A78">
        <w:rPr>
          <w:rFonts w:eastAsiaTheme="minorHAnsi"/>
          <w:sz w:val="22"/>
          <w:szCs w:val="22"/>
          <w:lang w:eastAsia="en-US"/>
        </w:rPr>
        <w:t>и</w:t>
      </w:r>
      <w:r w:rsidRPr="00EC1A78">
        <w:rPr>
          <w:rFonts w:eastAsiaTheme="minorHAnsi"/>
          <w:sz w:val="22"/>
          <w:szCs w:val="22"/>
          <w:lang w:eastAsia="en-US"/>
        </w:rPr>
        <w:t>на.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Серьезный вклад в развитие идеи правового государства внес афинский политик Солон, который  провел реформы с помощью «власти закона», объединив силу с правом. Именно с законодател</w:t>
      </w:r>
      <w:r w:rsidRPr="00EC1A78">
        <w:rPr>
          <w:rFonts w:eastAsiaTheme="minorHAnsi"/>
          <w:sz w:val="22"/>
          <w:szCs w:val="22"/>
          <w:lang w:eastAsia="en-US"/>
        </w:rPr>
        <w:t>ь</w:t>
      </w:r>
      <w:r w:rsidRPr="00EC1A78">
        <w:rPr>
          <w:rFonts w:eastAsiaTheme="minorHAnsi"/>
          <w:sz w:val="22"/>
          <w:szCs w:val="22"/>
          <w:lang w:eastAsia="en-US"/>
        </w:rPr>
        <w:t>ных реформ Солона, по мнению Аристотеля, в Афинах «началась демократия» [2].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Также большой интерес в этом плане представляет взгляд Ц</w:t>
      </w:r>
      <w:r w:rsidRPr="00EC1A78">
        <w:rPr>
          <w:rFonts w:eastAsiaTheme="minorHAnsi"/>
          <w:sz w:val="22"/>
          <w:szCs w:val="22"/>
          <w:lang w:eastAsia="en-US"/>
        </w:rPr>
        <w:t>и</w:t>
      </w:r>
      <w:r w:rsidRPr="00EC1A78">
        <w:rPr>
          <w:rFonts w:eastAsiaTheme="minorHAnsi"/>
          <w:sz w:val="22"/>
          <w:szCs w:val="22"/>
          <w:lang w:eastAsia="en-US"/>
        </w:rPr>
        <w:t>церона, считавшего, что «государство есть достояние народа, св</w:t>
      </w:r>
      <w:r w:rsidRPr="00EC1A78">
        <w:rPr>
          <w:rFonts w:eastAsiaTheme="minorHAnsi"/>
          <w:sz w:val="22"/>
          <w:szCs w:val="22"/>
          <w:lang w:eastAsia="en-US"/>
        </w:rPr>
        <w:t>я</w:t>
      </w:r>
      <w:r w:rsidRPr="00EC1A78">
        <w:rPr>
          <w:rFonts w:eastAsiaTheme="minorHAnsi"/>
          <w:sz w:val="22"/>
          <w:szCs w:val="22"/>
          <w:lang w:eastAsia="en-US"/>
        </w:rPr>
        <w:t>занное между собой согласием в вопросах права и общностью инт</w:t>
      </w:r>
      <w:r w:rsidRPr="00EC1A78">
        <w:rPr>
          <w:rFonts w:eastAsiaTheme="minorHAnsi"/>
          <w:sz w:val="22"/>
          <w:szCs w:val="22"/>
          <w:lang w:eastAsia="en-US"/>
        </w:rPr>
        <w:t>е</w:t>
      </w:r>
      <w:r w:rsidRPr="00EC1A78">
        <w:rPr>
          <w:rFonts w:eastAsiaTheme="minorHAnsi"/>
          <w:sz w:val="22"/>
          <w:szCs w:val="22"/>
          <w:lang w:eastAsia="en-US"/>
        </w:rPr>
        <w:t>ресов». Тем не менее, требуется отметить, что идеи древнеримских и древнегреческих мыслителей не имели логически завершенной формы, поэтому не следует говорить о становлении концепции пр</w:t>
      </w:r>
      <w:r w:rsidRPr="00EC1A78">
        <w:rPr>
          <w:rFonts w:eastAsiaTheme="minorHAnsi"/>
          <w:sz w:val="22"/>
          <w:szCs w:val="22"/>
          <w:lang w:eastAsia="en-US"/>
        </w:rPr>
        <w:t>а</w:t>
      </w:r>
      <w:r w:rsidRPr="00EC1A78">
        <w:rPr>
          <w:rFonts w:eastAsiaTheme="minorHAnsi"/>
          <w:sz w:val="22"/>
          <w:szCs w:val="22"/>
          <w:lang w:eastAsia="en-US"/>
        </w:rPr>
        <w:t>вового государства во времена Античности.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Идея правового государства приобретает свое развитие в новое время. Значительный вклад в этот процесс внес Г. Гроций, опред</w:t>
      </w:r>
      <w:r w:rsidRPr="00EC1A78">
        <w:rPr>
          <w:rFonts w:eastAsiaTheme="minorHAnsi"/>
          <w:sz w:val="22"/>
          <w:szCs w:val="22"/>
          <w:lang w:eastAsia="en-US"/>
        </w:rPr>
        <w:t>е</w:t>
      </w:r>
      <w:r w:rsidRPr="00EC1A78">
        <w:rPr>
          <w:rFonts w:eastAsiaTheme="minorHAnsi"/>
          <w:sz w:val="22"/>
          <w:szCs w:val="22"/>
          <w:lang w:eastAsia="en-US"/>
        </w:rPr>
        <w:t>лявший государство как «совершенный союз свободных людей, з</w:t>
      </w:r>
      <w:r w:rsidRPr="00EC1A78">
        <w:rPr>
          <w:rFonts w:eastAsiaTheme="minorHAnsi"/>
          <w:sz w:val="22"/>
          <w:szCs w:val="22"/>
          <w:lang w:eastAsia="en-US"/>
        </w:rPr>
        <w:t>а</w:t>
      </w:r>
      <w:r w:rsidRPr="00EC1A78">
        <w:rPr>
          <w:rFonts w:eastAsiaTheme="minorHAnsi"/>
          <w:sz w:val="22"/>
          <w:szCs w:val="22"/>
          <w:lang w:eastAsia="en-US"/>
        </w:rPr>
        <w:t>ключенный ради соблюдения права и общей пользы».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Также большой вклад в формирование правового государства внесли такие мыслители, как Дж. Локк, Ж.–Ж. Руссо, А.Н. Радищев и др. Дж. Локк аргументировал идею необходимости разделения властей и несокрушимость естественных прав человека. Он разр</w:t>
      </w:r>
      <w:r w:rsidRPr="00EC1A78">
        <w:rPr>
          <w:rFonts w:eastAsiaTheme="minorHAnsi"/>
          <w:sz w:val="22"/>
          <w:szCs w:val="22"/>
          <w:lang w:eastAsia="en-US"/>
        </w:rPr>
        <w:t>а</w:t>
      </w:r>
      <w:r w:rsidRPr="00EC1A78">
        <w:rPr>
          <w:rFonts w:eastAsiaTheme="minorHAnsi"/>
          <w:sz w:val="22"/>
          <w:szCs w:val="22"/>
          <w:lang w:eastAsia="en-US"/>
        </w:rPr>
        <w:t>ботал концепции общественного договора, законности права народа на восстания против тирана, а также выработал концепцию наро</w:t>
      </w:r>
      <w:r w:rsidRPr="00EC1A78">
        <w:rPr>
          <w:rFonts w:eastAsiaTheme="minorHAnsi"/>
          <w:sz w:val="22"/>
          <w:szCs w:val="22"/>
          <w:lang w:eastAsia="en-US"/>
        </w:rPr>
        <w:t>д</w:t>
      </w:r>
      <w:r w:rsidRPr="00EC1A78">
        <w:rPr>
          <w:rFonts w:eastAsiaTheme="minorHAnsi"/>
          <w:sz w:val="22"/>
          <w:szCs w:val="22"/>
          <w:lang w:eastAsia="en-US"/>
        </w:rPr>
        <w:t>ного суверенитета.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В России идея правового государства впервые появилась при Екатерине </w:t>
      </w:r>
      <w:r w:rsidRPr="00EC1A78">
        <w:rPr>
          <w:rFonts w:eastAsiaTheme="minorHAnsi"/>
          <w:sz w:val="22"/>
          <w:szCs w:val="22"/>
          <w:lang w:val="en-US" w:eastAsia="en-US"/>
        </w:rPr>
        <w:t>II</w:t>
      </w:r>
      <w:r w:rsidRPr="00EC1A78">
        <w:rPr>
          <w:rFonts w:eastAsiaTheme="minorHAnsi"/>
          <w:sz w:val="22"/>
          <w:szCs w:val="22"/>
          <w:lang w:eastAsia="en-US"/>
        </w:rPr>
        <w:t>, но, с течением времени, значительных изменений, к</w:t>
      </w:r>
      <w:r w:rsidRPr="00EC1A78">
        <w:rPr>
          <w:rFonts w:eastAsiaTheme="minorHAnsi"/>
          <w:sz w:val="22"/>
          <w:szCs w:val="22"/>
          <w:lang w:eastAsia="en-US"/>
        </w:rPr>
        <w:t>а</w:t>
      </w:r>
      <w:r w:rsidRPr="00EC1A78">
        <w:rPr>
          <w:rFonts w:eastAsiaTheme="minorHAnsi"/>
          <w:sz w:val="22"/>
          <w:szCs w:val="22"/>
          <w:lang w:eastAsia="en-US"/>
        </w:rPr>
        <w:t>сательно данного вопроса, не происходило. Интенсивное развитие идей правового государства в России произошло в период с 1985 года и продолжается по настоящее время. В это время были расш</w:t>
      </w:r>
      <w:r w:rsidRPr="00EC1A78">
        <w:rPr>
          <w:rFonts w:eastAsiaTheme="minorHAnsi"/>
          <w:sz w:val="22"/>
          <w:szCs w:val="22"/>
          <w:lang w:eastAsia="en-US"/>
        </w:rPr>
        <w:t>и</w:t>
      </w:r>
      <w:r w:rsidRPr="00EC1A78">
        <w:rPr>
          <w:rFonts w:eastAsiaTheme="minorHAnsi"/>
          <w:sz w:val="22"/>
          <w:szCs w:val="22"/>
          <w:lang w:eastAsia="en-US"/>
        </w:rPr>
        <w:t>рены политические права и свободы российских граждан, упраз</w:t>
      </w:r>
      <w:r w:rsidRPr="00EC1A78">
        <w:rPr>
          <w:rFonts w:eastAsiaTheme="minorHAnsi"/>
          <w:sz w:val="22"/>
          <w:szCs w:val="22"/>
          <w:lang w:eastAsia="en-US"/>
        </w:rPr>
        <w:t>д</w:t>
      </w:r>
      <w:r w:rsidRPr="00EC1A78">
        <w:rPr>
          <w:rFonts w:eastAsiaTheme="minorHAnsi"/>
          <w:sz w:val="22"/>
          <w:szCs w:val="22"/>
          <w:lang w:eastAsia="en-US"/>
        </w:rPr>
        <w:t>нена политическая цензура. В Конституции Российской Федерации, принятой на всенародном референдуме 1993 года, были закреплены такие принципы и положения, как: принцип плюрализма в полит</w:t>
      </w:r>
      <w:r w:rsidRPr="00EC1A78">
        <w:rPr>
          <w:rFonts w:eastAsiaTheme="minorHAnsi"/>
          <w:sz w:val="22"/>
          <w:szCs w:val="22"/>
          <w:lang w:eastAsia="en-US"/>
        </w:rPr>
        <w:t>и</w:t>
      </w:r>
      <w:r w:rsidRPr="00EC1A78">
        <w:rPr>
          <w:rFonts w:eastAsiaTheme="minorHAnsi"/>
          <w:sz w:val="22"/>
          <w:szCs w:val="22"/>
          <w:lang w:eastAsia="en-US"/>
        </w:rPr>
        <w:t>ческой жизни и идеологии, разделение законодательной, исполн</w:t>
      </w:r>
      <w:r w:rsidRPr="00EC1A78">
        <w:rPr>
          <w:rFonts w:eastAsiaTheme="minorHAnsi"/>
          <w:sz w:val="22"/>
          <w:szCs w:val="22"/>
          <w:lang w:eastAsia="en-US"/>
        </w:rPr>
        <w:t>и</w:t>
      </w:r>
      <w:r w:rsidRPr="00EC1A78">
        <w:rPr>
          <w:rFonts w:eastAsiaTheme="minorHAnsi"/>
          <w:sz w:val="22"/>
          <w:szCs w:val="22"/>
          <w:lang w:eastAsia="en-US"/>
        </w:rPr>
        <w:t>тельной и судебной власти, а также верховенство закона. Констит</w:t>
      </w:r>
      <w:r w:rsidRPr="00EC1A78">
        <w:rPr>
          <w:rFonts w:eastAsiaTheme="minorHAnsi"/>
          <w:sz w:val="22"/>
          <w:szCs w:val="22"/>
          <w:lang w:eastAsia="en-US"/>
        </w:rPr>
        <w:t>у</w:t>
      </w:r>
      <w:r w:rsidRPr="00EC1A78">
        <w:rPr>
          <w:rFonts w:eastAsiaTheme="minorHAnsi"/>
          <w:sz w:val="22"/>
          <w:szCs w:val="22"/>
          <w:lang w:eastAsia="en-US"/>
        </w:rPr>
        <w:t>ция  РФ  1993 года в ст.1 впервые закрепила положение, согласно которому Российская Федерация является социальным, правовым государством [1]. </w:t>
      </w:r>
    </w:p>
    <w:p w:rsidR="00EC1A78" w:rsidRDefault="00EC1A78" w:rsidP="00D81B7C">
      <w:pPr>
        <w:ind w:firstLine="426"/>
        <w:jc w:val="both"/>
        <w:rPr>
          <w:rFonts w:eastAsiaTheme="minorHAnsi"/>
          <w:sz w:val="22"/>
          <w:szCs w:val="22"/>
          <w:lang w:eastAsia="en-US"/>
        </w:rPr>
      </w:pPr>
      <w:r w:rsidRPr="00EC1A78">
        <w:rPr>
          <w:rFonts w:eastAsiaTheme="minorHAnsi"/>
          <w:sz w:val="22"/>
          <w:szCs w:val="22"/>
          <w:lang w:eastAsia="en-US"/>
        </w:rPr>
        <w:t>Следует отметить, что процесс становления правовой госуда</w:t>
      </w:r>
      <w:r w:rsidRPr="00EC1A78">
        <w:rPr>
          <w:rFonts w:eastAsiaTheme="minorHAnsi"/>
          <w:sz w:val="22"/>
          <w:szCs w:val="22"/>
          <w:lang w:eastAsia="en-US"/>
        </w:rPr>
        <w:t>р</w:t>
      </w:r>
      <w:r w:rsidRPr="00EC1A78">
        <w:rPr>
          <w:rFonts w:eastAsiaTheme="minorHAnsi"/>
          <w:sz w:val="22"/>
          <w:szCs w:val="22"/>
          <w:lang w:eastAsia="en-US"/>
        </w:rPr>
        <w:t>ственности занимает длительное время и требует создания сове</w:t>
      </w:r>
      <w:r w:rsidRPr="00EC1A78">
        <w:rPr>
          <w:rFonts w:eastAsiaTheme="minorHAnsi"/>
          <w:sz w:val="22"/>
          <w:szCs w:val="22"/>
          <w:lang w:eastAsia="en-US"/>
        </w:rPr>
        <w:t>р</w:t>
      </w:r>
      <w:r w:rsidRPr="00EC1A78">
        <w:rPr>
          <w:rFonts w:eastAsiaTheme="minorHAnsi"/>
          <w:sz w:val="22"/>
          <w:szCs w:val="22"/>
          <w:lang w:eastAsia="en-US"/>
        </w:rPr>
        <w:t>шенной законодательной системы, осуществления преобразований в социально–экономической и политической системе.</w:t>
      </w:r>
    </w:p>
    <w:p w:rsidR="00D81B7C" w:rsidRDefault="00D81B7C" w:rsidP="00D81B7C">
      <w:pPr>
        <w:ind w:firstLine="426"/>
        <w:jc w:val="both"/>
        <w:rPr>
          <w:rFonts w:eastAsiaTheme="minorHAnsi"/>
          <w:sz w:val="22"/>
          <w:szCs w:val="22"/>
          <w:lang w:eastAsia="en-US"/>
        </w:rPr>
      </w:pPr>
    </w:p>
    <w:p w:rsidR="00D81B7C" w:rsidRPr="00EC1A78" w:rsidRDefault="00D81B7C" w:rsidP="00D81B7C">
      <w:pPr>
        <w:ind w:firstLine="426"/>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lastRenderedPageBreak/>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«Конституция Российской Федерации» (принята всенаро</w:t>
      </w:r>
      <w:r w:rsidRPr="00EC1A78">
        <w:rPr>
          <w:rFonts w:eastAsiaTheme="minorHAnsi"/>
          <w:sz w:val="22"/>
          <w:szCs w:val="22"/>
          <w:lang w:eastAsia="en-US"/>
        </w:rPr>
        <w:t>д</w:t>
      </w:r>
      <w:r w:rsidRPr="00EC1A78">
        <w:rPr>
          <w:rFonts w:eastAsiaTheme="minorHAnsi"/>
          <w:sz w:val="22"/>
          <w:szCs w:val="22"/>
          <w:lang w:eastAsia="en-US"/>
        </w:rPr>
        <w:t>ным голосованием 12.12.1993) (с учетом поправок, внесенных З</w:t>
      </w:r>
      <w:r w:rsidRPr="00EC1A78">
        <w:rPr>
          <w:rFonts w:eastAsiaTheme="minorHAnsi"/>
          <w:sz w:val="22"/>
          <w:szCs w:val="22"/>
          <w:lang w:eastAsia="en-US"/>
        </w:rPr>
        <w:t>а</w:t>
      </w:r>
      <w:r w:rsidRPr="00EC1A78">
        <w:rPr>
          <w:rFonts w:eastAsiaTheme="minorHAnsi"/>
          <w:sz w:val="22"/>
          <w:szCs w:val="22"/>
          <w:lang w:eastAsia="en-US"/>
        </w:rPr>
        <w:t>конами РФ о поправках к Конституции РФ от 30.12.2008 N 6–ФКЗ, от 30.12.2008 N 7–ФКЗ, от 05.02.2014 N 2–ФКЗ, от 21.07.2014 N 11–ФКЗ).</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Аристотель Афинская полития. 2–е изд. Государственное с</w:t>
      </w:r>
      <w:r w:rsidRPr="00EC1A78">
        <w:rPr>
          <w:rFonts w:eastAsiaTheme="minorHAnsi"/>
          <w:sz w:val="22"/>
          <w:szCs w:val="22"/>
          <w:lang w:eastAsia="en-US"/>
        </w:rPr>
        <w:t>о</w:t>
      </w:r>
      <w:r w:rsidRPr="00EC1A78">
        <w:rPr>
          <w:rFonts w:eastAsiaTheme="minorHAnsi"/>
          <w:sz w:val="22"/>
          <w:szCs w:val="22"/>
          <w:lang w:eastAsia="en-US"/>
        </w:rPr>
        <w:t>циально–экономическое издательство. М.,1937. С. 5–131.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Ембулаева Н.Ю., Михайлик А.А. Теоретико–правовой анализ отдельных аспектов правовой государственности в России// Власть закона. 2017. № 4 (32). С. 82–92.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4. История отечественного государства и права. Ч.1: Учебник/ Под ред. О.И. Чистякова.–4–е изд.,перераб. и доп.– М.:Юристъ,2006.–478с.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Рассказов Л.П. Основы теории государства и права: Учебник для вузов. – Краснодар: КубГАУ, 2014. – 261с .</w:t>
      </w:r>
    </w:p>
    <w:p w:rsidR="00EC1A78" w:rsidRDefault="00EC1A78" w:rsidP="00EC1A78">
      <w:pPr>
        <w:jc w:val="both"/>
        <w:rPr>
          <w:rFonts w:eastAsiaTheme="minorHAnsi"/>
          <w:sz w:val="22"/>
          <w:szCs w:val="22"/>
          <w:lang w:eastAsia="en-US"/>
        </w:rPr>
      </w:pPr>
    </w:p>
    <w:p w:rsidR="008F16B1" w:rsidRPr="00EC1A78" w:rsidRDefault="008F16B1" w:rsidP="00EC1A78">
      <w:pPr>
        <w:jc w:val="both"/>
        <w:rPr>
          <w:rFonts w:eastAsiaTheme="minorHAnsi"/>
          <w:sz w:val="22"/>
          <w:szCs w:val="22"/>
          <w:lang w:eastAsia="en-US"/>
        </w:rPr>
      </w:pPr>
    </w:p>
    <w:p w:rsidR="00EC1A78" w:rsidRPr="00EC1A78" w:rsidRDefault="00EC1A78" w:rsidP="00EC1A78">
      <w:pPr>
        <w:rPr>
          <w:sz w:val="22"/>
          <w:szCs w:val="22"/>
        </w:rPr>
      </w:pPr>
      <w:r w:rsidRPr="00EC1A78">
        <w:rPr>
          <w:rFonts w:eastAsiaTheme="minorHAnsi"/>
          <w:sz w:val="22"/>
          <w:szCs w:val="22"/>
          <w:lang w:eastAsia="en-US"/>
        </w:rPr>
        <w:t>УДК 342.413</w:t>
      </w:r>
    </w:p>
    <w:p w:rsidR="00EC1A78" w:rsidRPr="00EC1A78" w:rsidRDefault="00EC1A78" w:rsidP="00EC1A78">
      <w:pPr>
        <w:jc w:val="center"/>
        <w:rPr>
          <w:rFonts w:eastAsiaTheme="minorHAnsi"/>
          <w:b/>
          <w:sz w:val="22"/>
          <w:szCs w:val="22"/>
          <w:lang w:eastAsia="en-US"/>
        </w:rPr>
      </w:pPr>
    </w:p>
    <w:p w:rsidR="00EC1A78" w:rsidRPr="00D81B7C" w:rsidRDefault="00EC1A78" w:rsidP="00EC1A78">
      <w:pPr>
        <w:jc w:val="center"/>
        <w:rPr>
          <w:rFonts w:eastAsiaTheme="minorHAnsi"/>
          <w:sz w:val="24"/>
          <w:szCs w:val="24"/>
          <w:lang w:eastAsia="en-US"/>
        </w:rPr>
      </w:pPr>
      <w:r w:rsidRPr="00EC1A78">
        <w:rPr>
          <w:rFonts w:eastAsiaTheme="minorHAnsi"/>
          <w:b/>
          <w:sz w:val="24"/>
          <w:szCs w:val="24"/>
          <w:lang w:eastAsia="en-US"/>
        </w:rPr>
        <w:t xml:space="preserve">К вопросу о пробелах в Конституции </w:t>
      </w:r>
      <w:r w:rsidR="00D81B7C">
        <w:rPr>
          <w:rFonts w:eastAsiaTheme="minorHAnsi"/>
          <w:b/>
          <w:sz w:val="24"/>
          <w:szCs w:val="24"/>
          <w:lang w:eastAsia="en-US"/>
        </w:rPr>
        <w:t>РФ</w:t>
      </w:r>
      <w:r w:rsidRPr="00D81B7C">
        <w:rPr>
          <w:rFonts w:eastAsiaTheme="minorHAnsi"/>
          <w:sz w:val="24"/>
          <w:szCs w:val="24"/>
          <w:lang w:eastAsia="en-US"/>
        </w:rPr>
        <w:t xml:space="preserve">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On the issue of gaps in the Constitution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of the Russian Federation</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val="en-US" w:eastAsia="en-US"/>
        </w:rPr>
      </w:pPr>
      <w:r w:rsidRPr="00EC1A78">
        <w:rPr>
          <w:rFonts w:eastAsiaTheme="minorHAnsi"/>
          <w:sz w:val="22"/>
          <w:szCs w:val="22"/>
          <w:lang w:eastAsia="en-US"/>
        </w:rPr>
        <w:t>Латыш</w:t>
      </w:r>
      <w:r w:rsidRPr="00EC1A78">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val="en-US" w:eastAsia="en-US"/>
        </w:rPr>
        <w:t>.</w:t>
      </w:r>
      <w:r w:rsidR="008F16B1" w:rsidRPr="00E62E4B">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val="en-US"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2 курса юридического факультета,</w:t>
      </w:r>
    </w:p>
    <w:p w:rsidR="00EC1A78" w:rsidRPr="00EC1A78" w:rsidRDefault="00EC1A78" w:rsidP="00EC1A78">
      <w:pPr>
        <w:ind w:firstLine="708"/>
        <w:jc w:val="right"/>
        <w:rPr>
          <w:rFonts w:eastAsiaTheme="minorHAnsi"/>
          <w:sz w:val="22"/>
          <w:szCs w:val="22"/>
          <w:lang w:eastAsia="en-US"/>
        </w:rPr>
      </w:pPr>
      <w:r w:rsidRPr="00EC1A78">
        <w:rPr>
          <w:rFonts w:eastAsiaTheme="minorHAnsi"/>
          <w:sz w:val="22"/>
          <w:szCs w:val="22"/>
          <w:lang w:eastAsia="en-US"/>
        </w:rPr>
        <w:t>Безуглов С.</w:t>
      </w:r>
      <w:r w:rsidR="008F16B1">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708"/>
        <w:jc w:val="right"/>
        <w:rPr>
          <w:rFonts w:eastAsiaTheme="minorHAnsi"/>
          <w:sz w:val="22"/>
          <w:szCs w:val="22"/>
          <w:lang w:eastAsia="en-US"/>
        </w:rPr>
      </w:pPr>
      <w:r w:rsidRPr="00EC1A78">
        <w:rPr>
          <w:rFonts w:eastAsiaTheme="minorHAnsi"/>
          <w:sz w:val="22"/>
          <w:szCs w:val="22"/>
          <w:lang w:eastAsia="en-US"/>
        </w:rPr>
        <w:t>доцент кафедры государственного</w:t>
      </w:r>
    </w:p>
    <w:p w:rsidR="00EC1A78" w:rsidRPr="00EC1A78" w:rsidRDefault="00EC1A78" w:rsidP="00EC1A78">
      <w:pPr>
        <w:ind w:firstLine="708"/>
        <w:jc w:val="right"/>
        <w:rPr>
          <w:rFonts w:eastAsiaTheme="minorHAnsi"/>
          <w:sz w:val="22"/>
          <w:szCs w:val="22"/>
          <w:lang w:eastAsia="en-US"/>
        </w:rPr>
      </w:pPr>
      <w:r w:rsidRPr="00EC1A78">
        <w:rPr>
          <w:rFonts w:eastAsiaTheme="minorHAnsi"/>
          <w:sz w:val="22"/>
          <w:szCs w:val="22"/>
          <w:lang w:eastAsia="en-US"/>
        </w:rPr>
        <w:t>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8F16B1">
        <w:rPr>
          <w:rFonts w:eastAsiaTheme="minorHAnsi"/>
          <w:sz w:val="22"/>
          <w:szCs w:val="22"/>
          <w:lang w:eastAsia="en-US"/>
        </w:rPr>
        <w:t xml:space="preserve"> </w:t>
      </w:r>
      <w:r w:rsidRPr="00EC1A78">
        <w:rPr>
          <w:rFonts w:eastAsiaTheme="minorHAnsi"/>
          <w:sz w:val="22"/>
          <w:szCs w:val="22"/>
          <w:lang w:eastAsia="en-US"/>
        </w:rPr>
        <w:t>Т.Трубилина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Конституция РФ особый правовой акт, име</w:t>
      </w:r>
      <w:r w:rsidRPr="00EC1A78">
        <w:rPr>
          <w:rFonts w:eastAsiaTheme="minorHAnsi"/>
          <w:sz w:val="22"/>
          <w:szCs w:val="22"/>
          <w:lang w:eastAsia="en-US"/>
        </w:rPr>
        <w:t>ю</w:t>
      </w:r>
      <w:r w:rsidRPr="00EC1A78">
        <w:rPr>
          <w:rFonts w:eastAsiaTheme="minorHAnsi"/>
          <w:sz w:val="22"/>
          <w:szCs w:val="22"/>
          <w:lang w:eastAsia="en-US"/>
        </w:rPr>
        <w:t>щий высшую юридическую силу на всей территории РФ. Однако в Основном законе имеются пробелы, что создает препятствия в по</w:t>
      </w:r>
      <w:r w:rsidRPr="00EC1A78">
        <w:rPr>
          <w:rFonts w:eastAsiaTheme="minorHAnsi"/>
          <w:sz w:val="22"/>
          <w:szCs w:val="22"/>
          <w:lang w:eastAsia="en-US"/>
        </w:rPr>
        <w:t>л</w:t>
      </w:r>
      <w:r w:rsidRPr="00EC1A78">
        <w:rPr>
          <w:rFonts w:eastAsiaTheme="minorHAnsi"/>
          <w:sz w:val="22"/>
          <w:szCs w:val="22"/>
          <w:lang w:eastAsia="en-US"/>
        </w:rPr>
        <w:t>ной реализации Конституции РФ.</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lastRenderedPageBreak/>
        <w:t>ABSTRACT: The Constitution of the Russian Federation is a sp</w:t>
      </w:r>
      <w:r w:rsidRPr="00EC1A78">
        <w:rPr>
          <w:rFonts w:eastAsiaTheme="minorHAnsi"/>
          <w:sz w:val="22"/>
          <w:szCs w:val="22"/>
          <w:lang w:val="en-US" w:eastAsia="en-US"/>
        </w:rPr>
        <w:t>e</w:t>
      </w:r>
      <w:r w:rsidRPr="00EC1A78">
        <w:rPr>
          <w:rFonts w:eastAsiaTheme="minorHAnsi"/>
          <w:sz w:val="22"/>
          <w:szCs w:val="22"/>
          <w:lang w:val="en-US" w:eastAsia="en-US"/>
        </w:rPr>
        <w:t>cial legal act that has the highest legal force in the entire territory of the Russian Federation. However, the Basic Law has gaps, which makes it impossible to implement the Constitution of the Russian Federation in full.</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пробелы, Конституция РФ, классифик</w:t>
      </w:r>
      <w:r w:rsidRPr="00EC1A78">
        <w:rPr>
          <w:rFonts w:eastAsiaTheme="minorHAnsi"/>
          <w:sz w:val="22"/>
          <w:szCs w:val="22"/>
          <w:lang w:eastAsia="en-US"/>
        </w:rPr>
        <w:t>а</w:t>
      </w:r>
      <w:r w:rsidRPr="00EC1A78">
        <w:rPr>
          <w:rFonts w:eastAsiaTheme="minorHAnsi"/>
          <w:sz w:val="22"/>
          <w:szCs w:val="22"/>
          <w:lang w:eastAsia="en-US"/>
        </w:rPr>
        <w:t>ция пробелов.</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gaps, the Constitution of the Russian Federation, the classification of gaps.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общетеоретических и отраслевых юридических науках сущ</w:t>
      </w:r>
      <w:r w:rsidRPr="00EC1A78">
        <w:rPr>
          <w:rFonts w:eastAsiaTheme="minorHAnsi"/>
          <w:sz w:val="22"/>
          <w:szCs w:val="22"/>
          <w:lang w:eastAsia="en-US"/>
        </w:rPr>
        <w:t>е</w:t>
      </w:r>
      <w:r w:rsidRPr="00EC1A78">
        <w:rPr>
          <w:rFonts w:eastAsiaTheme="minorHAnsi"/>
          <w:sz w:val="22"/>
          <w:szCs w:val="22"/>
          <w:lang w:eastAsia="en-US"/>
        </w:rPr>
        <w:t>ствуют различные дефиниции и характеристики такого феномена, как пробел в праве или законе. Так, В.В. Лазарев пишет: «Пробел в законе – это полное или частичное отсутствие норм, необходимость которых обусловлена развитием общественных отношений и п</w:t>
      </w:r>
      <w:r w:rsidRPr="00EC1A78">
        <w:rPr>
          <w:rFonts w:eastAsiaTheme="minorHAnsi"/>
          <w:sz w:val="22"/>
          <w:szCs w:val="22"/>
          <w:lang w:eastAsia="en-US"/>
        </w:rPr>
        <w:t>о</w:t>
      </w:r>
      <w:r w:rsidRPr="00EC1A78">
        <w:rPr>
          <w:rFonts w:eastAsiaTheme="minorHAnsi"/>
          <w:sz w:val="22"/>
          <w:szCs w:val="22"/>
          <w:lang w:eastAsia="en-US"/>
        </w:rPr>
        <w:t>требностями практического решения дел, основными принципами, политикой, смыслом и содержанием действующего законодател</w:t>
      </w:r>
      <w:r w:rsidRPr="00EC1A78">
        <w:rPr>
          <w:rFonts w:eastAsiaTheme="minorHAnsi"/>
          <w:sz w:val="22"/>
          <w:szCs w:val="22"/>
          <w:lang w:eastAsia="en-US"/>
        </w:rPr>
        <w:t>ь</w:t>
      </w:r>
      <w:r w:rsidRPr="00EC1A78">
        <w:rPr>
          <w:rFonts w:eastAsiaTheme="minorHAnsi"/>
          <w:sz w:val="22"/>
          <w:szCs w:val="22"/>
          <w:lang w:eastAsia="en-US"/>
        </w:rPr>
        <w:t>ства, а также иными проявлениями государственной воли, напра</w:t>
      </w:r>
      <w:r w:rsidRPr="00EC1A78">
        <w:rPr>
          <w:rFonts w:eastAsiaTheme="minorHAnsi"/>
          <w:sz w:val="22"/>
          <w:szCs w:val="22"/>
          <w:lang w:eastAsia="en-US"/>
        </w:rPr>
        <w:t>в</w:t>
      </w:r>
      <w:r w:rsidRPr="00EC1A78">
        <w:rPr>
          <w:rFonts w:eastAsiaTheme="minorHAnsi"/>
          <w:sz w:val="22"/>
          <w:szCs w:val="22"/>
          <w:lang w:eastAsia="en-US"/>
        </w:rPr>
        <w:t>ленной на регулирование жизненных фактов в сфере правового во</w:t>
      </w:r>
      <w:r w:rsidRPr="00EC1A78">
        <w:rPr>
          <w:rFonts w:eastAsiaTheme="minorHAnsi"/>
          <w:sz w:val="22"/>
          <w:szCs w:val="22"/>
          <w:lang w:eastAsia="en-US"/>
        </w:rPr>
        <w:t>з</w:t>
      </w:r>
      <w:r w:rsidRPr="00EC1A78">
        <w:rPr>
          <w:rFonts w:eastAsiaTheme="minorHAnsi"/>
          <w:sz w:val="22"/>
          <w:szCs w:val="22"/>
          <w:lang w:eastAsia="en-US"/>
        </w:rPr>
        <w:t xml:space="preserve">действия [3]. При всем уважении к автору, на наш взгляд, данное определение является несколько «перегруженным».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С.А. Авакьян полагает, что «пробелом можно назвать отсу</w:t>
      </w:r>
      <w:r w:rsidRPr="00EC1A78">
        <w:rPr>
          <w:rFonts w:eastAsiaTheme="minorHAnsi"/>
          <w:sz w:val="22"/>
          <w:szCs w:val="22"/>
          <w:lang w:eastAsia="en-US"/>
        </w:rPr>
        <w:t>т</w:t>
      </w:r>
      <w:r w:rsidRPr="00EC1A78">
        <w:rPr>
          <w:rFonts w:eastAsiaTheme="minorHAnsi"/>
          <w:sz w:val="22"/>
          <w:szCs w:val="22"/>
          <w:lang w:eastAsia="en-US"/>
        </w:rPr>
        <w:t>ствие соответствующих конституционных норм, что выглядит как невключение отдельных предписаний, взаимосвязанных их групп в существующие нормативные правовые акты, так и непринятие ц</w:t>
      </w:r>
      <w:r w:rsidRPr="00EC1A78">
        <w:rPr>
          <w:rFonts w:eastAsiaTheme="minorHAnsi"/>
          <w:sz w:val="22"/>
          <w:szCs w:val="22"/>
          <w:lang w:eastAsia="en-US"/>
        </w:rPr>
        <w:t>е</w:t>
      </w:r>
      <w:r w:rsidRPr="00EC1A78">
        <w:rPr>
          <w:rFonts w:eastAsiaTheme="minorHAnsi"/>
          <w:sz w:val="22"/>
          <w:szCs w:val="22"/>
          <w:lang w:eastAsia="en-US"/>
        </w:rPr>
        <w:t>лых актов, предназначенных для регулирования соответствующих общественных отношений» [1].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 учетом высказанных в юридической литературе точек зр</w:t>
      </w:r>
      <w:r w:rsidRPr="00EC1A78">
        <w:rPr>
          <w:rFonts w:eastAsiaTheme="minorHAnsi"/>
          <w:sz w:val="22"/>
          <w:szCs w:val="22"/>
          <w:lang w:eastAsia="en-US"/>
        </w:rPr>
        <w:t>е</w:t>
      </w:r>
      <w:r w:rsidRPr="00EC1A78">
        <w:rPr>
          <w:rFonts w:eastAsiaTheme="minorHAnsi"/>
          <w:sz w:val="22"/>
          <w:szCs w:val="22"/>
          <w:lang w:eastAsia="en-US"/>
        </w:rPr>
        <w:t>ния, полагаем, что пробелом в Конституции РФ следует считать отсутствие в ее юридическом содержании нормативно–правовых предписаний применительно к определенным общественным отн</w:t>
      </w:r>
      <w:r w:rsidRPr="00EC1A78">
        <w:rPr>
          <w:rFonts w:eastAsiaTheme="minorHAnsi"/>
          <w:sz w:val="22"/>
          <w:szCs w:val="22"/>
          <w:lang w:eastAsia="en-US"/>
        </w:rPr>
        <w:t>о</w:t>
      </w:r>
      <w:r w:rsidRPr="00EC1A78">
        <w:rPr>
          <w:rFonts w:eastAsiaTheme="minorHAnsi"/>
          <w:sz w:val="22"/>
          <w:szCs w:val="22"/>
          <w:lang w:eastAsia="en-US"/>
        </w:rPr>
        <w:t>шениям, социально–правовым ситуациям и обстоятельствам, кот</w:t>
      </w:r>
      <w:r w:rsidRPr="00EC1A78">
        <w:rPr>
          <w:rFonts w:eastAsiaTheme="minorHAnsi"/>
          <w:sz w:val="22"/>
          <w:szCs w:val="22"/>
          <w:lang w:eastAsia="en-US"/>
        </w:rPr>
        <w:t>о</w:t>
      </w:r>
      <w:r w:rsidRPr="00EC1A78">
        <w:rPr>
          <w:rFonts w:eastAsiaTheme="minorHAnsi"/>
          <w:sz w:val="22"/>
          <w:szCs w:val="22"/>
          <w:lang w:eastAsia="en-US"/>
        </w:rPr>
        <w:t>рые находятся в сфере (в пределах) конституционной регламент</w:t>
      </w:r>
      <w:r w:rsidRPr="00EC1A78">
        <w:rPr>
          <w:rFonts w:eastAsiaTheme="minorHAnsi"/>
          <w:sz w:val="22"/>
          <w:szCs w:val="22"/>
          <w:lang w:eastAsia="en-US"/>
        </w:rPr>
        <w:t>а</w:t>
      </w:r>
      <w:r w:rsidRPr="00EC1A78">
        <w:rPr>
          <w:rFonts w:eastAsiaTheme="minorHAnsi"/>
          <w:sz w:val="22"/>
          <w:szCs w:val="22"/>
          <w:lang w:eastAsia="en-US"/>
        </w:rPr>
        <w:t>ции и требуют юридического воздействия.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Можно говорить о пробелах в отдельных институтах и суби</w:t>
      </w:r>
      <w:r w:rsidRPr="00EC1A78">
        <w:rPr>
          <w:rFonts w:eastAsiaTheme="minorHAnsi"/>
          <w:sz w:val="22"/>
          <w:szCs w:val="22"/>
          <w:lang w:eastAsia="en-US"/>
        </w:rPr>
        <w:t>н</w:t>
      </w:r>
      <w:r w:rsidRPr="00EC1A78">
        <w:rPr>
          <w:rFonts w:eastAsiaTheme="minorHAnsi"/>
          <w:sz w:val="22"/>
          <w:szCs w:val="22"/>
          <w:lang w:eastAsia="en-US"/>
        </w:rPr>
        <w:t>ститутах Конституции РФ. Так, она не содержит главу, посвяще</w:t>
      </w:r>
      <w:r w:rsidRPr="00EC1A78">
        <w:rPr>
          <w:rFonts w:eastAsiaTheme="minorHAnsi"/>
          <w:sz w:val="22"/>
          <w:szCs w:val="22"/>
          <w:lang w:eastAsia="en-US"/>
        </w:rPr>
        <w:t>н</w:t>
      </w:r>
      <w:r w:rsidRPr="00EC1A78">
        <w:rPr>
          <w:rFonts w:eastAsiaTheme="minorHAnsi"/>
          <w:sz w:val="22"/>
          <w:szCs w:val="22"/>
          <w:lang w:eastAsia="en-US"/>
        </w:rPr>
        <w:t>ную субъектам РФ, их статус раскрывается в рамках главы 3 «Ф</w:t>
      </w:r>
      <w:r w:rsidRPr="00EC1A78">
        <w:rPr>
          <w:rFonts w:eastAsiaTheme="minorHAnsi"/>
          <w:sz w:val="22"/>
          <w:szCs w:val="22"/>
          <w:lang w:eastAsia="en-US"/>
        </w:rPr>
        <w:t>е</w:t>
      </w:r>
      <w:r w:rsidRPr="00EC1A78">
        <w:rPr>
          <w:rFonts w:eastAsiaTheme="minorHAnsi"/>
          <w:sz w:val="22"/>
          <w:szCs w:val="22"/>
          <w:lang w:eastAsia="en-US"/>
        </w:rPr>
        <w:t xml:space="preserve">деративное устройство». В то же время, существует глава восьмая, </w:t>
      </w:r>
      <w:r w:rsidRPr="00EC1A78">
        <w:rPr>
          <w:rFonts w:eastAsiaTheme="minorHAnsi"/>
          <w:sz w:val="22"/>
          <w:szCs w:val="22"/>
          <w:lang w:eastAsia="en-US"/>
        </w:rPr>
        <w:lastRenderedPageBreak/>
        <w:t>закрепляющая правовой статус местного самоуправления. В Ко</w:t>
      </w:r>
      <w:r w:rsidRPr="00EC1A78">
        <w:rPr>
          <w:rFonts w:eastAsiaTheme="minorHAnsi"/>
          <w:sz w:val="22"/>
          <w:szCs w:val="22"/>
          <w:lang w:eastAsia="en-US"/>
        </w:rPr>
        <w:t>н</w:t>
      </w:r>
      <w:r w:rsidRPr="00EC1A78">
        <w:rPr>
          <w:rFonts w:eastAsiaTheme="minorHAnsi"/>
          <w:sz w:val="22"/>
          <w:szCs w:val="22"/>
          <w:lang w:eastAsia="en-US"/>
        </w:rPr>
        <w:t>ституции РФ не нашлось также места российской избирательной системе, которая по своей сути составляет подотрасль конституц</w:t>
      </w:r>
      <w:r w:rsidRPr="00EC1A78">
        <w:rPr>
          <w:rFonts w:eastAsiaTheme="minorHAnsi"/>
          <w:sz w:val="22"/>
          <w:szCs w:val="22"/>
          <w:lang w:eastAsia="en-US"/>
        </w:rPr>
        <w:t>и</w:t>
      </w:r>
      <w:r w:rsidRPr="00EC1A78">
        <w:rPr>
          <w:rFonts w:eastAsiaTheme="minorHAnsi"/>
          <w:sz w:val="22"/>
          <w:szCs w:val="22"/>
          <w:lang w:eastAsia="en-US"/>
        </w:rPr>
        <w:t>онного права. Н.А. Боброва в этом плане справедливо предлагает дополнить Конституцию РФ отдельной главой: «Избирательная с</w:t>
      </w:r>
      <w:r w:rsidRPr="00EC1A78">
        <w:rPr>
          <w:rFonts w:eastAsiaTheme="minorHAnsi"/>
          <w:sz w:val="22"/>
          <w:szCs w:val="22"/>
          <w:lang w:eastAsia="en-US"/>
        </w:rPr>
        <w:t>и</w:t>
      </w:r>
      <w:r w:rsidRPr="00EC1A78">
        <w:rPr>
          <w:rFonts w:eastAsiaTheme="minorHAnsi"/>
          <w:sz w:val="22"/>
          <w:szCs w:val="22"/>
          <w:lang w:eastAsia="en-US"/>
        </w:rPr>
        <w:t xml:space="preserve">стема и представительство в РФ» [2]. Также не нашло структурного обособления в Конституции РФ конституционное правосудие [4].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действующей Конституции РФ мы не найдем права каждого человека на критику, хотя в предшествующей Конституции РФ это было закреплено. Данный пробел является примером отсутствия преемственности в конституционном развитии и в определенной степени ущемляет правовой статус любой личности (а не только граждан), проживающей на территории России.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зависимости от значимости, юридических и иных социал</w:t>
      </w:r>
      <w:r w:rsidRPr="00EC1A78">
        <w:rPr>
          <w:rFonts w:eastAsiaTheme="minorHAnsi"/>
          <w:sz w:val="22"/>
          <w:szCs w:val="22"/>
          <w:lang w:eastAsia="en-US"/>
        </w:rPr>
        <w:t>ь</w:t>
      </w:r>
      <w:r w:rsidRPr="00EC1A78">
        <w:rPr>
          <w:rFonts w:eastAsiaTheme="minorHAnsi"/>
          <w:sz w:val="22"/>
          <w:szCs w:val="22"/>
          <w:lang w:eastAsia="en-US"/>
        </w:rPr>
        <w:t>ных последствий, следует выделять существенные и несуществе</w:t>
      </w:r>
      <w:r w:rsidRPr="00EC1A78">
        <w:rPr>
          <w:rFonts w:eastAsiaTheme="minorHAnsi"/>
          <w:sz w:val="22"/>
          <w:szCs w:val="22"/>
          <w:lang w:eastAsia="en-US"/>
        </w:rPr>
        <w:t>н</w:t>
      </w:r>
      <w:r w:rsidRPr="00EC1A78">
        <w:rPr>
          <w:rFonts w:eastAsiaTheme="minorHAnsi"/>
          <w:sz w:val="22"/>
          <w:szCs w:val="22"/>
          <w:lang w:eastAsia="en-US"/>
        </w:rPr>
        <w:t>ные пробелы в Конституции РФ. Например, к первым следует отн</w:t>
      </w:r>
      <w:r w:rsidRPr="00EC1A78">
        <w:rPr>
          <w:rFonts w:eastAsiaTheme="minorHAnsi"/>
          <w:sz w:val="22"/>
          <w:szCs w:val="22"/>
          <w:lang w:eastAsia="en-US"/>
        </w:rPr>
        <w:t>е</w:t>
      </w:r>
      <w:r w:rsidRPr="00EC1A78">
        <w:rPr>
          <w:rFonts w:eastAsiaTheme="minorHAnsi"/>
          <w:sz w:val="22"/>
          <w:szCs w:val="22"/>
          <w:lang w:eastAsia="en-US"/>
        </w:rPr>
        <w:t>сти отсутствие федерального конституционного закона о Констит</w:t>
      </w:r>
      <w:r w:rsidRPr="00EC1A78">
        <w:rPr>
          <w:rFonts w:eastAsiaTheme="minorHAnsi"/>
          <w:sz w:val="22"/>
          <w:szCs w:val="22"/>
          <w:lang w:eastAsia="en-US"/>
        </w:rPr>
        <w:t>у</w:t>
      </w:r>
      <w:r w:rsidRPr="00EC1A78">
        <w:rPr>
          <w:rFonts w:eastAsiaTheme="minorHAnsi"/>
          <w:sz w:val="22"/>
          <w:szCs w:val="22"/>
          <w:lang w:eastAsia="en-US"/>
        </w:rPr>
        <w:t>ционном Собрании. Так, в ст. 135 действующей Конституции РФ указывается, если предложения о пересмотре глав 1, 2 и 9 будет поддержано тремя пятыми голосов от общего числа членов Совета Федерации и депутатов Государственной Думы, то в соответствии с федеральным конституционным законом должно созываться Ко</w:t>
      </w:r>
      <w:r w:rsidRPr="00EC1A78">
        <w:rPr>
          <w:rFonts w:eastAsiaTheme="minorHAnsi"/>
          <w:sz w:val="22"/>
          <w:szCs w:val="22"/>
          <w:lang w:eastAsia="en-US"/>
        </w:rPr>
        <w:t>н</w:t>
      </w:r>
      <w:r w:rsidRPr="00EC1A78">
        <w:rPr>
          <w:rFonts w:eastAsiaTheme="minorHAnsi"/>
          <w:sz w:val="22"/>
          <w:szCs w:val="22"/>
          <w:lang w:eastAsia="en-US"/>
        </w:rPr>
        <w:t>ституционное Собрание. Однако этот закон не принят, что делает невозможным процедуру пересмотра Конституции РФ. К несущ</w:t>
      </w:r>
      <w:r w:rsidRPr="00EC1A78">
        <w:rPr>
          <w:rFonts w:eastAsiaTheme="minorHAnsi"/>
          <w:sz w:val="22"/>
          <w:szCs w:val="22"/>
          <w:lang w:eastAsia="en-US"/>
        </w:rPr>
        <w:t>е</w:t>
      </w:r>
      <w:r w:rsidRPr="00EC1A78">
        <w:rPr>
          <w:rFonts w:eastAsiaTheme="minorHAnsi"/>
          <w:sz w:val="22"/>
          <w:szCs w:val="22"/>
          <w:lang w:eastAsia="en-US"/>
        </w:rPr>
        <w:t>ственным, по нашему мнению, относится пробел в ст. 75 Констит</w:t>
      </w:r>
      <w:r w:rsidRPr="00EC1A78">
        <w:rPr>
          <w:rFonts w:eastAsiaTheme="minorHAnsi"/>
          <w:sz w:val="22"/>
          <w:szCs w:val="22"/>
          <w:lang w:eastAsia="en-US"/>
        </w:rPr>
        <w:t>у</w:t>
      </w:r>
      <w:r w:rsidRPr="00EC1A78">
        <w:rPr>
          <w:rFonts w:eastAsiaTheme="minorHAnsi"/>
          <w:sz w:val="22"/>
          <w:szCs w:val="22"/>
          <w:lang w:eastAsia="en-US"/>
        </w:rPr>
        <w:t>ции РФ, связанный с определением правового положения Це</w:t>
      </w:r>
      <w:r w:rsidRPr="00EC1A78">
        <w:rPr>
          <w:rFonts w:eastAsiaTheme="minorHAnsi"/>
          <w:sz w:val="22"/>
          <w:szCs w:val="22"/>
          <w:lang w:eastAsia="en-US"/>
        </w:rPr>
        <w:t>н</w:t>
      </w:r>
      <w:r w:rsidRPr="00EC1A78">
        <w:rPr>
          <w:rFonts w:eastAsiaTheme="minorHAnsi"/>
          <w:sz w:val="22"/>
          <w:szCs w:val="22"/>
          <w:lang w:eastAsia="en-US"/>
        </w:rPr>
        <w:t>трального Банка РФ. Правовой статус, полномочия, цели деятел</w:t>
      </w:r>
      <w:r w:rsidRPr="00EC1A78">
        <w:rPr>
          <w:rFonts w:eastAsiaTheme="minorHAnsi"/>
          <w:sz w:val="22"/>
          <w:szCs w:val="22"/>
          <w:lang w:eastAsia="en-US"/>
        </w:rPr>
        <w:t>ь</w:t>
      </w:r>
      <w:r w:rsidRPr="00EC1A78">
        <w:rPr>
          <w:rFonts w:eastAsiaTheme="minorHAnsi"/>
          <w:sz w:val="22"/>
          <w:szCs w:val="22"/>
          <w:lang w:eastAsia="en-US"/>
        </w:rPr>
        <w:t>ности и функции Центрального банка РФ определяется, как извес</w:t>
      </w:r>
      <w:r w:rsidRPr="00EC1A78">
        <w:rPr>
          <w:rFonts w:eastAsiaTheme="minorHAnsi"/>
          <w:sz w:val="22"/>
          <w:szCs w:val="22"/>
          <w:lang w:eastAsia="en-US"/>
        </w:rPr>
        <w:t>т</w:t>
      </w:r>
      <w:r w:rsidRPr="00EC1A78">
        <w:rPr>
          <w:rFonts w:eastAsiaTheme="minorHAnsi"/>
          <w:sz w:val="22"/>
          <w:szCs w:val="22"/>
          <w:lang w:eastAsia="en-US"/>
        </w:rPr>
        <w:t xml:space="preserve">но, Конституцией РФ и федеральным законом от 10 июля 2002 №86–ФЗ «О Центральном банке РФ (Банке России)», но ни в одном документе нет прямого указания на то, что Центральный Банк РФ является государственным органом.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 пробелам Конституции РФ относятся также существующие в ней логические противоречия. В ст. 10 Конституции РФ отмечается: «Государственная власть в РФ осуществляется на основе раздел</w:t>
      </w:r>
      <w:r w:rsidRPr="00EC1A78">
        <w:rPr>
          <w:rFonts w:eastAsiaTheme="minorHAnsi"/>
          <w:sz w:val="22"/>
          <w:szCs w:val="22"/>
          <w:lang w:eastAsia="en-US"/>
        </w:rPr>
        <w:t>е</w:t>
      </w:r>
      <w:r w:rsidRPr="00EC1A78">
        <w:rPr>
          <w:rFonts w:eastAsiaTheme="minorHAnsi"/>
          <w:sz w:val="22"/>
          <w:szCs w:val="22"/>
          <w:lang w:eastAsia="en-US"/>
        </w:rPr>
        <w:t xml:space="preserve">ния на законодательную, исполнительную и судебную…». Однако из анализа иных норм очевидным становится фактическое наличие в России и иных ветвей государственной власти. </w:t>
      </w:r>
    </w:p>
    <w:p w:rsidR="00EC1A78" w:rsidRPr="00641206" w:rsidRDefault="00EC1A78" w:rsidP="00641206">
      <w:pPr>
        <w:ind w:firstLine="425"/>
        <w:jc w:val="both"/>
        <w:rPr>
          <w:rFonts w:eastAsiaTheme="minorHAnsi"/>
          <w:sz w:val="22"/>
          <w:szCs w:val="22"/>
          <w:lang w:eastAsia="en-US"/>
        </w:rPr>
      </w:pPr>
      <w:r w:rsidRPr="00EC1A78">
        <w:rPr>
          <w:rFonts w:eastAsiaTheme="minorHAnsi"/>
          <w:sz w:val="22"/>
          <w:szCs w:val="22"/>
          <w:lang w:eastAsia="en-US"/>
        </w:rPr>
        <w:lastRenderedPageBreak/>
        <w:t>Существуют и другие пробелы в Конституции РФ, которые требуют дальнейшего научного анализа.</w:t>
      </w:r>
    </w:p>
    <w:p w:rsidR="00D81B7C" w:rsidRDefault="00D81B7C" w:rsidP="00EC1A78">
      <w:pPr>
        <w:ind w:firstLine="425"/>
        <w:jc w:val="center"/>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360"/>
        <w:jc w:val="both"/>
        <w:rPr>
          <w:rFonts w:eastAsiaTheme="minorHAnsi"/>
          <w:sz w:val="22"/>
          <w:szCs w:val="22"/>
          <w:lang w:eastAsia="en-US"/>
        </w:rPr>
      </w:pPr>
      <w:r w:rsidRPr="00EC1A78">
        <w:rPr>
          <w:rFonts w:eastAsiaTheme="minorHAnsi"/>
          <w:sz w:val="22"/>
          <w:szCs w:val="22"/>
          <w:lang w:eastAsia="en-US"/>
        </w:rPr>
        <w:t>1. Авакьян, С. А. Пробелы и дефекты в конституционном праве и пути их устранения / С.А. Авакьян. – Материалы международной научной конференции. Юридический факультет МГУ им. М.В. Л</w:t>
      </w:r>
      <w:r w:rsidRPr="00EC1A78">
        <w:rPr>
          <w:rFonts w:eastAsiaTheme="minorHAnsi"/>
          <w:sz w:val="22"/>
          <w:szCs w:val="22"/>
          <w:lang w:eastAsia="en-US"/>
        </w:rPr>
        <w:t>о</w:t>
      </w:r>
      <w:r w:rsidRPr="00EC1A78">
        <w:rPr>
          <w:rFonts w:eastAsiaTheme="minorHAnsi"/>
          <w:sz w:val="22"/>
          <w:szCs w:val="22"/>
          <w:lang w:eastAsia="en-US"/>
        </w:rPr>
        <w:t>моносова, 28–31 2007 года. – М.: Изд–во Моск. ун–та, 2008. – С. 11–36.</w:t>
      </w:r>
    </w:p>
    <w:p w:rsidR="00EC1A78" w:rsidRPr="00EC1A78" w:rsidRDefault="00EC1A78" w:rsidP="00EC1A78">
      <w:pPr>
        <w:ind w:firstLine="360"/>
        <w:jc w:val="both"/>
        <w:rPr>
          <w:rFonts w:eastAsiaTheme="minorHAnsi"/>
          <w:sz w:val="22"/>
          <w:szCs w:val="22"/>
          <w:lang w:eastAsia="en-US"/>
        </w:rPr>
      </w:pPr>
      <w:r w:rsidRPr="00EC1A78">
        <w:rPr>
          <w:rFonts w:eastAsiaTheme="minorHAnsi"/>
          <w:sz w:val="22"/>
          <w:szCs w:val="22"/>
          <w:lang w:eastAsia="en-US"/>
        </w:rPr>
        <w:t>2. Боброва, Н. А. 20 лет и 20 недостатков Конституции Росси</w:t>
      </w:r>
      <w:r w:rsidRPr="00EC1A78">
        <w:rPr>
          <w:rFonts w:eastAsiaTheme="minorHAnsi"/>
          <w:sz w:val="22"/>
          <w:szCs w:val="22"/>
          <w:lang w:eastAsia="en-US"/>
        </w:rPr>
        <w:t>й</w:t>
      </w:r>
      <w:r w:rsidRPr="00EC1A78">
        <w:rPr>
          <w:rFonts w:eastAsiaTheme="minorHAnsi"/>
          <w:sz w:val="22"/>
          <w:szCs w:val="22"/>
          <w:lang w:eastAsia="en-US"/>
        </w:rPr>
        <w:t>ской Федерации / Н. А. Боброва // Конституционное и муниципал</w:t>
      </w:r>
      <w:r w:rsidRPr="00EC1A78">
        <w:rPr>
          <w:rFonts w:eastAsiaTheme="minorHAnsi"/>
          <w:sz w:val="22"/>
          <w:szCs w:val="22"/>
          <w:lang w:eastAsia="en-US"/>
        </w:rPr>
        <w:t>ь</w:t>
      </w:r>
      <w:r w:rsidRPr="00EC1A78">
        <w:rPr>
          <w:rFonts w:eastAsiaTheme="minorHAnsi"/>
          <w:sz w:val="22"/>
          <w:szCs w:val="22"/>
          <w:lang w:eastAsia="en-US"/>
        </w:rPr>
        <w:t>ное право. – 2013. – № 3. – С. 33–37.</w:t>
      </w:r>
      <w:r w:rsidRPr="00EC1A78">
        <w:rPr>
          <w:rFonts w:eastAsiaTheme="minorHAnsi"/>
          <w:sz w:val="22"/>
          <w:szCs w:val="22"/>
          <w:lang w:eastAsia="en-US"/>
        </w:rPr>
        <w:tab/>
      </w:r>
    </w:p>
    <w:p w:rsidR="00EC1A78" w:rsidRPr="00EC1A78" w:rsidRDefault="00EC1A78" w:rsidP="00EC1A78">
      <w:pPr>
        <w:ind w:firstLine="360"/>
        <w:jc w:val="both"/>
        <w:rPr>
          <w:rFonts w:eastAsiaTheme="minorHAnsi"/>
          <w:sz w:val="22"/>
          <w:szCs w:val="22"/>
          <w:lang w:eastAsia="en-US"/>
        </w:rPr>
      </w:pPr>
      <w:r w:rsidRPr="00EC1A78">
        <w:rPr>
          <w:rFonts w:eastAsiaTheme="minorHAnsi"/>
          <w:sz w:val="22"/>
          <w:szCs w:val="22"/>
          <w:lang w:eastAsia="en-US"/>
        </w:rPr>
        <w:t>3. Лазарев, В. В. Пробелы в праве и пути их устранения / В.В. Лазарев. – М.: Юрид. Лит., 1974. – С. 1–74.</w:t>
      </w:r>
    </w:p>
    <w:p w:rsidR="00EC1A78" w:rsidRPr="00EC1A78" w:rsidRDefault="00EC1A78" w:rsidP="00EC1A78">
      <w:pPr>
        <w:ind w:firstLine="360"/>
        <w:jc w:val="both"/>
        <w:rPr>
          <w:rFonts w:eastAsiaTheme="minorHAnsi"/>
          <w:sz w:val="22"/>
          <w:szCs w:val="22"/>
          <w:lang w:eastAsia="en-US"/>
        </w:rPr>
      </w:pPr>
      <w:r w:rsidRPr="00EC1A78">
        <w:rPr>
          <w:rFonts w:eastAsiaTheme="minorHAnsi"/>
          <w:sz w:val="22"/>
          <w:szCs w:val="22"/>
          <w:lang w:eastAsia="en-US"/>
        </w:rPr>
        <w:t xml:space="preserve">4. Безуглов, С. В. </w:t>
      </w:r>
      <w:r w:rsidRPr="00EC1A78">
        <w:rPr>
          <w:rFonts w:eastAsiaTheme="minorHAnsi"/>
          <w:color w:val="000000"/>
          <w:sz w:val="22"/>
          <w:szCs w:val="22"/>
          <w:lang w:eastAsia="en-US"/>
        </w:rPr>
        <w:t xml:space="preserve">О некоторых проблемах определения системы конституционного права России как отрасли права / С.В. Безуглов. </w:t>
      </w:r>
      <w:r w:rsidRPr="00EC1A78">
        <w:rPr>
          <w:rFonts w:eastAsiaTheme="minorHAnsi"/>
          <w:sz w:val="22"/>
          <w:szCs w:val="22"/>
          <w:lang w:eastAsia="en-US"/>
        </w:rPr>
        <w:t xml:space="preserve">– </w:t>
      </w:r>
      <w:r w:rsidRPr="00EC1A78">
        <w:rPr>
          <w:rFonts w:eastAsiaTheme="minorHAnsi"/>
          <w:color w:val="000000"/>
          <w:sz w:val="22"/>
          <w:szCs w:val="22"/>
          <w:lang w:eastAsia="en-US"/>
        </w:rPr>
        <w:t>Актуальные проблемы права и правоприменительной деятельн</w:t>
      </w:r>
      <w:r w:rsidRPr="00EC1A78">
        <w:rPr>
          <w:rFonts w:eastAsiaTheme="minorHAnsi"/>
          <w:color w:val="000000"/>
          <w:sz w:val="22"/>
          <w:szCs w:val="22"/>
          <w:lang w:eastAsia="en-US"/>
        </w:rPr>
        <w:t>о</w:t>
      </w:r>
      <w:r w:rsidRPr="00EC1A78">
        <w:rPr>
          <w:rFonts w:eastAsiaTheme="minorHAnsi"/>
          <w:color w:val="000000"/>
          <w:sz w:val="22"/>
          <w:szCs w:val="22"/>
          <w:lang w:eastAsia="en-US"/>
        </w:rPr>
        <w:t>сти на современном этапе: материалы Междунар. науч.–практ. конф., 19–20 сентября 2013 г./М–во внутр. дел РФ, Краснодар. ун–т МВД России, Новорос. фил. Краснодар. ун–та МВД России: . Кра</w:t>
      </w:r>
      <w:r w:rsidRPr="00EC1A78">
        <w:rPr>
          <w:rFonts w:eastAsiaTheme="minorHAnsi"/>
          <w:color w:val="000000"/>
          <w:sz w:val="22"/>
          <w:szCs w:val="22"/>
          <w:lang w:eastAsia="en-US"/>
        </w:rPr>
        <w:t>с</w:t>
      </w:r>
      <w:r w:rsidRPr="00EC1A78">
        <w:rPr>
          <w:rFonts w:eastAsiaTheme="minorHAnsi"/>
          <w:color w:val="000000"/>
          <w:sz w:val="22"/>
          <w:szCs w:val="22"/>
          <w:lang w:eastAsia="en-US"/>
        </w:rPr>
        <w:t>нодар: Издательский Дом –Юг, 2013. С. 521.</w:t>
      </w:r>
    </w:p>
    <w:p w:rsidR="00EC1A78" w:rsidRDefault="00EC1A78" w:rsidP="00EC1A78">
      <w:pPr>
        <w:jc w:val="both"/>
        <w:rPr>
          <w:rFonts w:eastAsiaTheme="minorHAnsi"/>
          <w:sz w:val="22"/>
          <w:szCs w:val="22"/>
          <w:lang w:eastAsia="en-US"/>
        </w:rPr>
      </w:pPr>
    </w:p>
    <w:p w:rsidR="008F16B1" w:rsidRPr="00EC1A78" w:rsidRDefault="008F16B1" w:rsidP="00EC1A78">
      <w:pPr>
        <w:jc w:val="both"/>
        <w:rPr>
          <w:rFonts w:eastAsiaTheme="minorHAnsi"/>
          <w:sz w:val="22"/>
          <w:szCs w:val="22"/>
          <w:lang w:eastAsia="en-US"/>
        </w:rPr>
      </w:pPr>
    </w:p>
    <w:p w:rsidR="00D81B7C" w:rsidRPr="00EC1A78" w:rsidRDefault="00EC1A78" w:rsidP="00EC1A78">
      <w:pPr>
        <w:widowControl w:val="0"/>
        <w:tabs>
          <w:tab w:val="left" w:pos="708"/>
        </w:tabs>
        <w:suppressAutoHyphens/>
        <w:rPr>
          <w:rFonts w:eastAsia="SimSun"/>
          <w:sz w:val="22"/>
          <w:szCs w:val="22"/>
          <w:lang w:eastAsia="zh-CN" w:bidi="hi-IN"/>
        </w:rPr>
      </w:pPr>
      <w:r w:rsidRPr="00EC1A78">
        <w:rPr>
          <w:rFonts w:eastAsia="SimSun"/>
          <w:sz w:val="22"/>
          <w:szCs w:val="22"/>
          <w:lang w:eastAsia="zh-CN" w:bidi="hi-IN"/>
        </w:rPr>
        <w:t>УДК 330.821</w:t>
      </w:r>
    </w:p>
    <w:p w:rsidR="00EC1A78" w:rsidRPr="00EC1A78" w:rsidRDefault="00EC1A78" w:rsidP="00EC1A78">
      <w:pPr>
        <w:widowControl w:val="0"/>
        <w:tabs>
          <w:tab w:val="left" w:pos="708"/>
        </w:tabs>
        <w:suppressAutoHyphens/>
        <w:jc w:val="center"/>
        <w:rPr>
          <w:rFonts w:eastAsia="SimSun"/>
          <w:b/>
          <w:sz w:val="24"/>
          <w:szCs w:val="24"/>
          <w:lang w:eastAsia="zh-CN" w:bidi="hi-IN"/>
        </w:rPr>
      </w:pPr>
      <w:r w:rsidRPr="00EC1A78">
        <w:rPr>
          <w:rFonts w:eastAsia="SimSun"/>
          <w:b/>
          <w:sz w:val="24"/>
          <w:szCs w:val="24"/>
          <w:lang w:eastAsia="zh-CN" w:bidi="hi-IN"/>
        </w:rPr>
        <w:t xml:space="preserve">Домарксистская и марксисткая </w:t>
      </w:r>
    </w:p>
    <w:p w:rsidR="00EC1A78" w:rsidRPr="00EC1A78" w:rsidRDefault="00EC1A78" w:rsidP="00EC1A78">
      <w:pPr>
        <w:widowControl w:val="0"/>
        <w:tabs>
          <w:tab w:val="left" w:pos="708"/>
        </w:tabs>
        <w:suppressAutoHyphens/>
        <w:jc w:val="center"/>
        <w:rPr>
          <w:rFonts w:eastAsia="SimSun"/>
          <w:b/>
          <w:sz w:val="24"/>
          <w:szCs w:val="24"/>
          <w:lang w:eastAsia="zh-CN" w:bidi="hi-IN"/>
        </w:rPr>
      </w:pPr>
      <w:r w:rsidRPr="00EC1A78">
        <w:rPr>
          <w:rFonts w:eastAsia="SimSun"/>
          <w:b/>
          <w:sz w:val="24"/>
          <w:szCs w:val="24"/>
          <w:lang w:eastAsia="zh-CN" w:bidi="hi-IN"/>
        </w:rPr>
        <w:t>политическая экономика</w:t>
      </w:r>
      <w:r w:rsidRPr="00EC1A78">
        <w:rPr>
          <w:rFonts w:eastAsia="SimSun"/>
          <w:sz w:val="24"/>
          <w:szCs w:val="24"/>
          <w:lang w:eastAsia="zh-CN" w:bidi="hi-IN"/>
        </w:rPr>
        <w:br/>
      </w:r>
      <w:r w:rsidRPr="00EC1A78">
        <w:rPr>
          <w:rFonts w:eastAsia="SimSun"/>
          <w:b/>
          <w:sz w:val="24"/>
          <w:szCs w:val="24"/>
          <w:lang w:val="en-US" w:eastAsia="zh-CN" w:bidi="hi-IN"/>
        </w:rPr>
        <w:t>Domarkis</w:t>
      </w:r>
      <w:r w:rsidRPr="00EC1A78">
        <w:rPr>
          <w:rFonts w:eastAsia="SimSun"/>
          <w:b/>
          <w:sz w:val="24"/>
          <w:szCs w:val="24"/>
          <w:lang w:eastAsia="zh-CN" w:bidi="hi-IN"/>
        </w:rPr>
        <w:t xml:space="preserve"> </w:t>
      </w:r>
      <w:r w:rsidRPr="00EC1A78">
        <w:rPr>
          <w:rFonts w:eastAsia="SimSun"/>
          <w:b/>
          <w:sz w:val="24"/>
          <w:szCs w:val="24"/>
          <w:lang w:val="en-US" w:eastAsia="zh-CN" w:bidi="hi-IN"/>
        </w:rPr>
        <w:t>and</w:t>
      </w:r>
      <w:r w:rsidRPr="00EC1A78">
        <w:rPr>
          <w:rFonts w:eastAsia="SimSun"/>
          <w:b/>
          <w:sz w:val="24"/>
          <w:szCs w:val="24"/>
          <w:lang w:eastAsia="zh-CN" w:bidi="hi-IN"/>
        </w:rPr>
        <w:t xml:space="preserve"> </w:t>
      </w:r>
      <w:r w:rsidRPr="00EC1A78">
        <w:rPr>
          <w:rFonts w:eastAsia="SimSun"/>
          <w:b/>
          <w:sz w:val="24"/>
          <w:szCs w:val="24"/>
          <w:lang w:val="en-US" w:eastAsia="zh-CN" w:bidi="hi-IN"/>
        </w:rPr>
        <w:t>marxist</w:t>
      </w:r>
      <w:r w:rsidRPr="00EC1A78">
        <w:rPr>
          <w:rFonts w:eastAsia="SimSun"/>
          <w:b/>
          <w:sz w:val="24"/>
          <w:szCs w:val="24"/>
          <w:lang w:eastAsia="zh-CN" w:bidi="hi-IN"/>
        </w:rPr>
        <w:t xml:space="preserve"> </w:t>
      </w:r>
      <w:r w:rsidRPr="00EC1A78">
        <w:rPr>
          <w:rFonts w:eastAsia="SimSun"/>
          <w:b/>
          <w:sz w:val="24"/>
          <w:szCs w:val="24"/>
          <w:lang w:val="en-US" w:eastAsia="zh-CN" w:bidi="hi-IN"/>
        </w:rPr>
        <w:t>political</w:t>
      </w:r>
      <w:r w:rsidRPr="00EC1A78">
        <w:rPr>
          <w:rFonts w:eastAsia="SimSun"/>
          <w:b/>
          <w:sz w:val="24"/>
          <w:szCs w:val="24"/>
          <w:lang w:eastAsia="zh-CN" w:bidi="hi-IN"/>
        </w:rPr>
        <w:t xml:space="preserve"> </w:t>
      </w:r>
      <w:r w:rsidRPr="00EC1A78">
        <w:rPr>
          <w:rFonts w:eastAsia="SimSun"/>
          <w:b/>
          <w:sz w:val="24"/>
          <w:szCs w:val="24"/>
          <w:lang w:val="en-US" w:eastAsia="zh-CN" w:bidi="hi-IN"/>
        </w:rPr>
        <w:t>economy</w:t>
      </w:r>
    </w:p>
    <w:p w:rsidR="00EC1A78" w:rsidRPr="00EC1A78" w:rsidRDefault="00EC1A78" w:rsidP="00EC1A78">
      <w:pPr>
        <w:jc w:val="right"/>
        <w:rPr>
          <w:rFonts w:eastAsiaTheme="minorHAnsi"/>
          <w:sz w:val="22"/>
          <w:szCs w:val="22"/>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Лейба И.</w:t>
      </w:r>
      <w:r w:rsidR="008F16B1">
        <w:rPr>
          <w:rFonts w:eastAsiaTheme="minorHAnsi"/>
          <w:sz w:val="22"/>
          <w:szCs w:val="22"/>
          <w:lang w:eastAsia="en-US"/>
        </w:rPr>
        <w:t xml:space="preserve"> </w:t>
      </w:r>
      <w:r w:rsidRPr="00EC1A78">
        <w:rPr>
          <w:rFonts w:eastAsiaTheme="minorHAnsi"/>
          <w:sz w:val="22"/>
          <w:szCs w:val="22"/>
          <w:lang w:eastAsia="en-US"/>
        </w:rPr>
        <w:t>П.,</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Климовских Н.</w:t>
      </w:r>
      <w:r w:rsidR="008F16B1">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экономической теории</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8F16B1">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widowControl w:val="0"/>
        <w:tabs>
          <w:tab w:val="left" w:pos="708"/>
        </w:tabs>
        <w:suppressAutoHyphens/>
        <w:jc w:val="center"/>
        <w:rPr>
          <w:rFonts w:eastAsia="SimSun"/>
          <w:b/>
          <w:sz w:val="22"/>
          <w:szCs w:val="22"/>
          <w:lang w:eastAsia="zh-CN" w:bidi="hi-IN"/>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 xml:space="preserve">АННОТАЦИЯ: Статья посвящена вопросу сравнения точек зрения на экономику домарксистской политической экономики и </w:t>
      </w:r>
      <w:r w:rsidRPr="00EC1A78">
        <w:rPr>
          <w:rFonts w:eastAsiaTheme="minorHAnsi"/>
          <w:sz w:val="22"/>
          <w:szCs w:val="22"/>
          <w:lang w:eastAsia="en-US"/>
        </w:rPr>
        <w:lastRenderedPageBreak/>
        <w:t>марксистской. В особенности выделяется определенные экономич</w:t>
      </w:r>
      <w:r w:rsidRPr="00EC1A78">
        <w:rPr>
          <w:rFonts w:eastAsiaTheme="minorHAnsi"/>
          <w:sz w:val="22"/>
          <w:szCs w:val="22"/>
          <w:lang w:eastAsia="en-US"/>
        </w:rPr>
        <w:t>е</w:t>
      </w:r>
      <w:r w:rsidRPr="00EC1A78">
        <w:rPr>
          <w:rFonts w:eastAsiaTheme="minorHAnsi"/>
          <w:sz w:val="22"/>
          <w:szCs w:val="22"/>
          <w:lang w:eastAsia="en-US"/>
        </w:rPr>
        <w:t>ские аспекты Адама Смита, Джона Милля и Карла Маркса, которые играли решающую роль в формировании целостной теории экон</w:t>
      </w:r>
      <w:r w:rsidRPr="00EC1A78">
        <w:rPr>
          <w:rFonts w:eastAsiaTheme="minorHAnsi"/>
          <w:sz w:val="22"/>
          <w:szCs w:val="22"/>
          <w:lang w:eastAsia="en-US"/>
        </w:rPr>
        <w:t>о</w:t>
      </w:r>
      <w:r w:rsidRPr="00EC1A78">
        <w:rPr>
          <w:rFonts w:eastAsiaTheme="minorHAnsi"/>
          <w:sz w:val="22"/>
          <w:szCs w:val="22"/>
          <w:lang w:eastAsia="en-US"/>
        </w:rPr>
        <w:t>мики. Также</w:t>
      </w:r>
      <w:r w:rsidRPr="00EC1A78">
        <w:rPr>
          <w:rFonts w:eastAsiaTheme="minorHAnsi"/>
          <w:sz w:val="22"/>
          <w:szCs w:val="22"/>
          <w:lang w:val="en-US" w:eastAsia="en-US"/>
        </w:rPr>
        <w:t xml:space="preserve"> </w:t>
      </w:r>
      <w:r w:rsidRPr="00EC1A78">
        <w:rPr>
          <w:rFonts w:eastAsiaTheme="minorHAnsi"/>
          <w:sz w:val="22"/>
          <w:szCs w:val="22"/>
          <w:lang w:eastAsia="en-US"/>
        </w:rPr>
        <w:t>раскрываются</w:t>
      </w:r>
      <w:r w:rsidRPr="00EC1A78">
        <w:rPr>
          <w:rFonts w:eastAsiaTheme="minorHAnsi"/>
          <w:sz w:val="22"/>
          <w:szCs w:val="22"/>
          <w:lang w:val="en-US" w:eastAsia="en-US"/>
        </w:rPr>
        <w:t xml:space="preserve"> </w:t>
      </w:r>
      <w:r w:rsidRPr="00EC1A78">
        <w:rPr>
          <w:rFonts w:eastAsiaTheme="minorHAnsi"/>
          <w:sz w:val="22"/>
          <w:szCs w:val="22"/>
          <w:lang w:eastAsia="en-US"/>
        </w:rPr>
        <w:t>экономические</w:t>
      </w:r>
      <w:r w:rsidRPr="00EC1A78">
        <w:rPr>
          <w:rFonts w:eastAsiaTheme="minorHAnsi"/>
          <w:sz w:val="22"/>
          <w:szCs w:val="22"/>
          <w:lang w:val="en-US" w:eastAsia="en-US"/>
        </w:rPr>
        <w:t xml:space="preserve">  </w:t>
      </w:r>
      <w:r w:rsidRPr="00EC1A78">
        <w:rPr>
          <w:rFonts w:eastAsiaTheme="minorHAnsi"/>
          <w:sz w:val="22"/>
          <w:szCs w:val="22"/>
          <w:lang w:eastAsia="en-US"/>
        </w:rPr>
        <w:t>аспекты</w:t>
      </w:r>
      <w:r w:rsidRPr="00EC1A78">
        <w:rPr>
          <w:rFonts w:eastAsiaTheme="minorHAnsi"/>
          <w:sz w:val="22"/>
          <w:szCs w:val="22"/>
          <w:lang w:val="en-US" w:eastAsia="en-US"/>
        </w:rPr>
        <w:t xml:space="preserve">, </w:t>
      </w:r>
      <w:r w:rsidRPr="00EC1A78">
        <w:rPr>
          <w:rFonts w:eastAsiaTheme="minorHAnsi"/>
          <w:sz w:val="22"/>
          <w:szCs w:val="22"/>
          <w:lang w:eastAsia="en-US"/>
        </w:rPr>
        <w:t>давшие</w:t>
      </w:r>
      <w:r w:rsidRPr="00EC1A78">
        <w:rPr>
          <w:rFonts w:eastAsiaTheme="minorHAnsi"/>
          <w:sz w:val="22"/>
          <w:szCs w:val="22"/>
          <w:lang w:val="en-US" w:eastAsia="en-US"/>
        </w:rPr>
        <w:t xml:space="preserve"> </w:t>
      </w:r>
      <w:r w:rsidRPr="00EC1A78">
        <w:rPr>
          <w:rFonts w:eastAsiaTheme="minorHAnsi"/>
          <w:sz w:val="22"/>
          <w:szCs w:val="22"/>
          <w:lang w:eastAsia="en-US"/>
        </w:rPr>
        <w:t>кл</w:t>
      </w:r>
      <w:r w:rsidRPr="00EC1A78">
        <w:rPr>
          <w:rFonts w:eastAsiaTheme="minorHAnsi"/>
          <w:sz w:val="22"/>
          <w:szCs w:val="22"/>
          <w:lang w:eastAsia="en-US"/>
        </w:rPr>
        <w:t>ю</w:t>
      </w:r>
      <w:r w:rsidRPr="00EC1A78">
        <w:rPr>
          <w:rFonts w:eastAsiaTheme="minorHAnsi"/>
          <w:sz w:val="22"/>
          <w:szCs w:val="22"/>
          <w:lang w:eastAsia="en-US"/>
        </w:rPr>
        <w:t>чевой</w:t>
      </w:r>
      <w:r w:rsidRPr="00EC1A78">
        <w:rPr>
          <w:rFonts w:eastAsiaTheme="minorHAnsi"/>
          <w:sz w:val="22"/>
          <w:szCs w:val="22"/>
          <w:lang w:val="en-US" w:eastAsia="en-US"/>
        </w:rPr>
        <w:t xml:space="preserve"> </w:t>
      </w:r>
      <w:r w:rsidRPr="00EC1A78">
        <w:rPr>
          <w:rFonts w:eastAsiaTheme="minorHAnsi"/>
          <w:sz w:val="22"/>
          <w:szCs w:val="22"/>
          <w:lang w:eastAsia="en-US"/>
        </w:rPr>
        <w:t>толчок</w:t>
      </w:r>
      <w:r w:rsidRPr="00EC1A78">
        <w:rPr>
          <w:rFonts w:eastAsiaTheme="minorHAnsi"/>
          <w:sz w:val="22"/>
          <w:szCs w:val="22"/>
          <w:lang w:val="en-US" w:eastAsia="en-US"/>
        </w:rPr>
        <w:t xml:space="preserve"> </w:t>
      </w:r>
      <w:r w:rsidRPr="00EC1A78">
        <w:rPr>
          <w:rFonts w:eastAsiaTheme="minorHAnsi"/>
          <w:sz w:val="22"/>
          <w:szCs w:val="22"/>
          <w:lang w:eastAsia="en-US"/>
        </w:rPr>
        <w:t>развития</w:t>
      </w:r>
      <w:r w:rsidRPr="00EC1A78">
        <w:rPr>
          <w:rFonts w:eastAsiaTheme="minorHAnsi"/>
          <w:sz w:val="22"/>
          <w:szCs w:val="22"/>
          <w:lang w:val="en-US" w:eastAsia="en-US"/>
        </w:rPr>
        <w:t xml:space="preserve"> </w:t>
      </w:r>
      <w:r w:rsidRPr="00EC1A78">
        <w:rPr>
          <w:rFonts w:eastAsiaTheme="minorHAnsi"/>
          <w:sz w:val="22"/>
          <w:szCs w:val="22"/>
          <w:lang w:eastAsia="en-US"/>
        </w:rPr>
        <w:t>экономики</w:t>
      </w:r>
      <w:r w:rsidRPr="00EC1A78">
        <w:rPr>
          <w:rFonts w:eastAsiaTheme="minorHAnsi"/>
          <w:sz w:val="22"/>
          <w:szCs w:val="22"/>
          <w:lang w:val="en-US" w:eastAsia="en-US"/>
        </w:rPr>
        <w:t>.</w:t>
      </w:r>
    </w:p>
    <w:p w:rsidR="00EC1A78" w:rsidRPr="00EC1A78" w:rsidRDefault="00EC1A78" w:rsidP="00EC1A78">
      <w:pPr>
        <w:ind w:firstLine="426"/>
        <w:jc w:val="both"/>
        <w:rPr>
          <w:rFonts w:eastAsiaTheme="minorHAnsi"/>
          <w:sz w:val="22"/>
          <w:szCs w:val="22"/>
          <w:lang w:val="en-US" w:eastAsia="en-US"/>
        </w:rPr>
      </w:pPr>
      <w:r w:rsidRPr="00EC1A78">
        <w:rPr>
          <w:rFonts w:eastAsiaTheme="minorHAnsi"/>
          <w:color w:val="000000" w:themeColor="text1"/>
          <w:sz w:val="22"/>
          <w:szCs w:val="22"/>
          <w:lang w:val="en-US" w:eastAsia="en-US"/>
        </w:rPr>
        <w:t xml:space="preserve">ABSTRACT: </w:t>
      </w:r>
      <w:r w:rsidRPr="00EC1A78">
        <w:rPr>
          <w:rFonts w:eastAsiaTheme="minorHAnsi"/>
          <w:sz w:val="22"/>
          <w:szCs w:val="22"/>
          <w:lang w:val="en-US" w:eastAsia="en-US"/>
        </w:rPr>
        <w:t>The article is devoted to the question of comparing points of view on the economy of the pre–Marxist political economy and the Marxist one. In particular, there are certain economic aspects of A</w:t>
      </w:r>
      <w:r w:rsidRPr="00EC1A78">
        <w:rPr>
          <w:rFonts w:eastAsiaTheme="minorHAnsi"/>
          <w:sz w:val="22"/>
          <w:szCs w:val="22"/>
          <w:lang w:val="en-US" w:eastAsia="en-US"/>
        </w:rPr>
        <w:t>d</w:t>
      </w:r>
      <w:r w:rsidRPr="00EC1A78">
        <w:rPr>
          <w:rFonts w:eastAsiaTheme="minorHAnsi"/>
          <w:sz w:val="22"/>
          <w:szCs w:val="22"/>
          <w:lang w:val="en-US" w:eastAsia="en-US"/>
        </w:rPr>
        <w:t>am Smith, John Mill and Karl Marx, which played a decisive role in the formation of a coherent theory of economics. Economic aspects that gave a key impetus to the development of the economy are also di</w:t>
      </w:r>
      <w:r w:rsidRPr="00EC1A78">
        <w:rPr>
          <w:rFonts w:eastAsiaTheme="minorHAnsi"/>
          <w:sz w:val="22"/>
          <w:szCs w:val="22"/>
          <w:lang w:val="en-US" w:eastAsia="en-US"/>
        </w:rPr>
        <w:t>s</w:t>
      </w:r>
      <w:r w:rsidRPr="00EC1A78">
        <w:rPr>
          <w:rFonts w:eastAsiaTheme="minorHAnsi"/>
          <w:sz w:val="22"/>
          <w:szCs w:val="22"/>
          <w:lang w:val="en-US" w:eastAsia="en-US"/>
        </w:rPr>
        <w:t>closed.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классическая политическая экономика, формация, технологический прогресс, труд, капитал.</w:t>
      </w:r>
    </w:p>
    <w:p w:rsidR="00EC1A78" w:rsidRPr="00EC1A78" w:rsidRDefault="00EC1A78" w:rsidP="00EC1A78">
      <w:pPr>
        <w:shd w:val="clear" w:color="auto" w:fill="FFFFFF"/>
        <w:ind w:firstLine="426"/>
        <w:jc w:val="both"/>
        <w:rPr>
          <w:rFonts w:eastAsiaTheme="minorHAnsi"/>
          <w:color w:val="212121"/>
          <w:sz w:val="22"/>
          <w:szCs w:val="22"/>
          <w:lang w:val="en-US" w:eastAsia="en-US"/>
        </w:rPr>
      </w:pPr>
      <w:r w:rsidRPr="00EC1A78">
        <w:rPr>
          <w:rFonts w:eastAsiaTheme="minorHAnsi"/>
          <w:sz w:val="22"/>
          <w:szCs w:val="22"/>
          <w:lang w:val="en-US" w:eastAsia="en-US"/>
        </w:rPr>
        <w:t>KEYWORDS: classical political economy, formation, technological progress, work, capital.</w:t>
      </w:r>
    </w:p>
    <w:p w:rsidR="00EC1A78" w:rsidRPr="00EC1A78" w:rsidRDefault="00EC1A78" w:rsidP="00EC1A78">
      <w:pPr>
        <w:ind w:firstLine="851"/>
        <w:rPr>
          <w:rFonts w:eastAsiaTheme="minorHAnsi"/>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Анализируя лишь частичные аспекты классической политич</w:t>
      </w:r>
      <w:r w:rsidRPr="00EC1A78">
        <w:rPr>
          <w:rFonts w:eastAsiaTheme="minorHAnsi"/>
          <w:sz w:val="22"/>
          <w:szCs w:val="22"/>
          <w:lang w:eastAsia="en-US"/>
        </w:rPr>
        <w:t>е</w:t>
      </w:r>
      <w:r w:rsidRPr="00EC1A78">
        <w:rPr>
          <w:rFonts w:eastAsiaTheme="minorHAnsi"/>
          <w:sz w:val="22"/>
          <w:szCs w:val="22"/>
          <w:lang w:eastAsia="en-US"/>
        </w:rPr>
        <w:t>ской экономики, можно педалировать, что она стремилась к откр</w:t>
      </w:r>
      <w:r w:rsidRPr="00EC1A78">
        <w:rPr>
          <w:rFonts w:eastAsiaTheme="minorHAnsi"/>
          <w:sz w:val="22"/>
          <w:szCs w:val="22"/>
          <w:lang w:eastAsia="en-US"/>
        </w:rPr>
        <w:t>ы</w:t>
      </w:r>
      <w:r w:rsidRPr="00EC1A78">
        <w:rPr>
          <w:rFonts w:eastAsiaTheme="minorHAnsi"/>
          <w:sz w:val="22"/>
          <w:szCs w:val="22"/>
          <w:lang w:eastAsia="en-US"/>
        </w:rPr>
        <w:t>тию естественных и объективных законов развития общества. Упор ставился именно на такую часть, как неизменность человеческой природы и стимулов в производстве, обмене, потреблении, распр</w:t>
      </w:r>
      <w:r w:rsidRPr="00EC1A78">
        <w:rPr>
          <w:rFonts w:eastAsiaTheme="minorHAnsi"/>
          <w:sz w:val="22"/>
          <w:szCs w:val="22"/>
          <w:lang w:eastAsia="en-US"/>
        </w:rPr>
        <w:t>е</w:t>
      </w:r>
      <w:r w:rsidRPr="00EC1A78">
        <w:rPr>
          <w:rFonts w:eastAsiaTheme="minorHAnsi"/>
          <w:sz w:val="22"/>
          <w:szCs w:val="22"/>
          <w:lang w:eastAsia="en-US"/>
        </w:rPr>
        <w:t>делении товаров. Значительное отличие преподнесла марксистская политическая экономика, приписывавшая объективные экономич</w:t>
      </w:r>
      <w:r w:rsidRPr="00EC1A78">
        <w:rPr>
          <w:rFonts w:eastAsiaTheme="minorHAnsi"/>
          <w:sz w:val="22"/>
          <w:szCs w:val="22"/>
          <w:lang w:eastAsia="en-US"/>
        </w:rPr>
        <w:t>е</w:t>
      </w:r>
      <w:r w:rsidRPr="00EC1A78">
        <w:rPr>
          <w:rFonts w:eastAsiaTheme="minorHAnsi"/>
          <w:sz w:val="22"/>
          <w:szCs w:val="22"/>
          <w:lang w:eastAsia="en-US"/>
        </w:rPr>
        <w:t xml:space="preserve">ские законы к определенным стадиям развития человечества </w:t>
      </w:r>
      <w:r w:rsidRPr="00EC1A78">
        <w:rPr>
          <w:rFonts w:eastAsiaTheme="minorHAnsi"/>
          <w:color w:val="000000"/>
          <w:sz w:val="22"/>
          <w:szCs w:val="22"/>
          <w:lang w:eastAsia="en-US"/>
        </w:rPr>
        <w:t>–</w:t>
      </w:r>
      <w:r w:rsidRPr="00EC1A78">
        <w:rPr>
          <w:rFonts w:eastAsiaTheme="minorHAnsi"/>
          <w:sz w:val="22"/>
          <w:szCs w:val="22"/>
          <w:lang w:eastAsia="en-US"/>
        </w:rPr>
        <w:t xml:space="preserve"> фо</w:t>
      </w:r>
      <w:r w:rsidRPr="00EC1A78">
        <w:rPr>
          <w:rFonts w:eastAsiaTheme="minorHAnsi"/>
          <w:sz w:val="22"/>
          <w:szCs w:val="22"/>
          <w:lang w:eastAsia="en-US"/>
        </w:rPr>
        <w:t>р</w:t>
      </w:r>
      <w:r w:rsidRPr="00EC1A78">
        <w:rPr>
          <w:rFonts w:eastAsiaTheme="minorHAnsi"/>
          <w:sz w:val="22"/>
          <w:szCs w:val="22"/>
          <w:lang w:eastAsia="en-US"/>
        </w:rPr>
        <w:t>мациям, которые, в свою очередь, сменяли друг друга. Отличител</w:t>
      </w:r>
      <w:r w:rsidRPr="00EC1A78">
        <w:rPr>
          <w:rFonts w:eastAsiaTheme="minorHAnsi"/>
          <w:sz w:val="22"/>
          <w:szCs w:val="22"/>
          <w:lang w:eastAsia="en-US"/>
        </w:rPr>
        <w:t>ь</w:t>
      </w:r>
      <w:r w:rsidRPr="00EC1A78">
        <w:rPr>
          <w:rFonts w:eastAsiaTheme="minorHAnsi"/>
          <w:sz w:val="22"/>
          <w:szCs w:val="22"/>
          <w:lang w:eastAsia="en-US"/>
        </w:rPr>
        <w:t>ными чертами стадий развития были: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Связанные между собой законы экономического развития характерные для определенной формации;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Система институтов, которые фактически осуществляли де</w:t>
      </w:r>
      <w:r w:rsidRPr="00EC1A78">
        <w:rPr>
          <w:rFonts w:eastAsiaTheme="minorHAnsi"/>
          <w:sz w:val="22"/>
          <w:szCs w:val="22"/>
          <w:lang w:eastAsia="en-US"/>
        </w:rPr>
        <w:t>я</w:t>
      </w:r>
      <w:r w:rsidRPr="00EC1A78">
        <w:rPr>
          <w:rFonts w:eastAsiaTheme="minorHAnsi"/>
          <w:sz w:val="22"/>
          <w:szCs w:val="22"/>
          <w:lang w:eastAsia="en-US"/>
        </w:rPr>
        <w:t>тельность законов экономического развития.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Выделяя центральные позиции классической и марксистской теорий, можно обратить внимание, что технический прогресс у К. Маркса играл главнейшую роль, в то время классическая экон</w:t>
      </w:r>
      <w:r w:rsidRPr="00EC1A78">
        <w:rPr>
          <w:rFonts w:eastAsiaTheme="minorHAnsi"/>
          <w:sz w:val="22"/>
          <w:szCs w:val="22"/>
          <w:lang w:eastAsia="en-US"/>
        </w:rPr>
        <w:t>о</w:t>
      </w:r>
      <w:r w:rsidRPr="00EC1A78">
        <w:rPr>
          <w:rFonts w:eastAsiaTheme="minorHAnsi"/>
          <w:sz w:val="22"/>
          <w:szCs w:val="22"/>
          <w:lang w:eastAsia="en-US"/>
        </w:rPr>
        <w:t>мика отстаивала позицию несущественности данной категории. Джон Стюарт Милль в своих трудах уделял внимание технологич</w:t>
      </w:r>
      <w:r w:rsidRPr="00EC1A78">
        <w:rPr>
          <w:rFonts w:eastAsiaTheme="minorHAnsi"/>
          <w:sz w:val="22"/>
          <w:szCs w:val="22"/>
          <w:lang w:eastAsia="en-US"/>
        </w:rPr>
        <w:t>е</w:t>
      </w:r>
      <w:r w:rsidRPr="00EC1A78">
        <w:rPr>
          <w:rFonts w:eastAsiaTheme="minorHAnsi"/>
          <w:sz w:val="22"/>
          <w:szCs w:val="22"/>
          <w:lang w:eastAsia="en-US"/>
        </w:rPr>
        <w:t>скому прогрессу, но в сочетании с социальным прогрессом, т.е. и</w:t>
      </w:r>
      <w:r w:rsidRPr="00EC1A78">
        <w:rPr>
          <w:rFonts w:eastAsiaTheme="minorHAnsi"/>
          <w:sz w:val="22"/>
          <w:szCs w:val="22"/>
          <w:lang w:eastAsia="en-US"/>
        </w:rPr>
        <w:t>н</w:t>
      </w:r>
      <w:r w:rsidRPr="00EC1A78">
        <w:rPr>
          <w:rFonts w:eastAsiaTheme="minorHAnsi"/>
          <w:sz w:val="22"/>
          <w:szCs w:val="22"/>
          <w:lang w:eastAsia="en-US"/>
        </w:rPr>
        <w:lastRenderedPageBreak/>
        <w:t xml:space="preserve">ституциональными факторами [1]. Идея Маркса имела совершенно иной контекст: технологический прогресс является первичным по отношению к институтам, – что, как показывает время, является верной мыслью.  Из материалов </w:t>
      </w:r>
      <w:r w:rsidRPr="00EC1A78">
        <w:rPr>
          <w:rFonts w:eastAsiaTheme="minorHAnsi"/>
          <w:sz w:val="22"/>
          <w:szCs w:val="22"/>
          <w:lang w:val="en-US" w:eastAsia="en-US"/>
        </w:rPr>
        <w:t>XXIV</w:t>
      </w:r>
      <w:r w:rsidRPr="00EC1A78">
        <w:rPr>
          <w:rFonts w:eastAsiaTheme="minorHAnsi"/>
          <w:sz w:val="22"/>
          <w:szCs w:val="22"/>
          <w:lang w:eastAsia="en-US"/>
        </w:rPr>
        <w:t xml:space="preserve"> съезда КПСС: «Научно–технический прогресс служит основой социального прогресса...». Опыт показывал, что ничто не может стоять над техническим пр</w:t>
      </w:r>
      <w:r w:rsidRPr="00EC1A78">
        <w:rPr>
          <w:rFonts w:eastAsiaTheme="minorHAnsi"/>
          <w:sz w:val="22"/>
          <w:szCs w:val="22"/>
          <w:lang w:eastAsia="en-US"/>
        </w:rPr>
        <w:t>о</w:t>
      </w:r>
      <w:r w:rsidRPr="00EC1A78">
        <w:rPr>
          <w:rFonts w:eastAsiaTheme="minorHAnsi"/>
          <w:sz w:val="22"/>
          <w:szCs w:val="22"/>
          <w:lang w:eastAsia="en-US"/>
        </w:rPr>
        <w:t>грессом [2]. Уходя в историю, можно вспомнить, что данная кат</w:t>
      </w:r>
      <w:r w:rsidRPr="00EC1A78">
        <w:rPr>
          <w:rFonts w:eastAsiaTheme="minorHAnsi"/>
          <w:sz w:val="22"/>
          <w:szCs w:val="22"/>
          <w:lang w:eastAsia="en-US"/>
        </w:rPr>
        <w:t>е</w:t>
      </w:r>
      <w:r w:rsidRPr="00EC1A78">
        <w:rPr>
          <w:rFonts w:eastAsiaTheme="minorHAnsi"/>
          <w:sz w:val="22"/>
          <w:szCs w:val="22"/>
          <w:lang w:eastAsia="en-US"/>
        </w:rPr>
        <w:t xml:space="preserve">гория закрепила лидирующее место ещё в 18 веке, после создания Дж. Уаттом первой паровой машины, именно тогда приложения человеческого труда в основном базировалось на научно–техническом прогрессе.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 стороны Маркса происходила бурная критика в отношении классической политической экономики. Адам Смит трактовал зар</w:t>
      </w:r>
      <w:r w:rsidRPr="00EC1A78">
        <w:rPr>
          <w:rFonts w:eastAsiaTheme="minorHAnsi"/>
          <w:sz w:val="22"/>
          <w:szCs w:val="22"/>
          <w:lang w:eastAsia="en-US"/>
        </w:rPr>
        <w:t>а</w:t>
      </w:r>
      <w:r w:rsidRPr="00EC1A78">
        <w:rPr>
          <w:rFonts w:eastAsiaTheme="minorHAnsi"/>
          <w:sz w:val="22"/>
          <w:szCs w:val="22"/>
          <w:lang w:eastAsia="en-US"/>
        </w:rPr>
        <w:t>ботную плату, как плату за труд, но Карл Маркс утверждал обра</w:t>
      </w:r>
      <w:r w:rsidRPr="00EC1A78">
        <w:rPr>
          <w:rFonts w:eastAsiaTheme="minorHAnsi"/>
          <w:sz w:val="22"/>
          <w:szCs w:val="22"/>
          <w:lang w:eastAsia="en-US"/>
        </w:rPr>
        <w:t>т</w:t>
      </w:r>
      <w:r w:rsidRPr="00EC1A78">
        <w:rPr>
          <w:rFonts w:eastAsiaTheme="minorHAnsi"/>
          <w:sz w:val="22"/>
          <w:szCs w:val="22"/>
          <w:lang w:eastAsia="en-US"/>
        </w:rPr>
        <w:t>ное – рабочий продаёт не труд, а способность к труду. Адам Смит, по мнению многих ученых постклассического периода, допускал огромную ошибку, объявляя заработную плату ценой труда, хотя труд является только лишь процессом.</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Также разногласия были в делении капитала. Адам Смит по</w:t>
      </w:r>
      <w:r w:rsidRPr="00EC1A78">
        <w:rPr>
          <w:rFonts w:eastAsiaTheme="minorHAnsi"/>
          <w:sz w:val="22"/>
          <w:szCs w:val="22"/>
          <w:lang w:eastAsia="en-US"/>
        </w:rPr>
        <w:t>д</w:t>
      </w:r>
      <w:r w:rsidRPr="00EC1A78">
        <w:rPr>
          <w:rFonts w:eastAsiaTheme="minorHAnsi"/>
          <w:sz w:val="22"/>
          <w:szCs w:val="22"/>
          <w:lang w:eastAsia="en-US"/>
        </w:rPr>
        <w:t>разделял на основной и оборотный. Оборотный покидал владельца в одной форме, а возвращался в другой. Основной же вкладывался в орудия труда(здания, машины) приносил прибыль без дальнейшего обращения. Стоит отметить, что основной капитал не стоит на м</w:t>
      </w:r>
      <w:r w:rsidRPr="00EC1A78">
        <w:rPr>
          <w:rFonts w:eastAsiaTheme="minorHAnsi"/>
          <w:sz w:val="22"/>
          <w:szCs w:val="22"/>
          <w:lang w:eastAsia="en-US"/>
        </w:rPr>
        <w:t>е</w:t>
      </w:r>
      <w:r w:rsidRPr="00EC1A78">
        <w:rPr>
          <w:rFonts w:eastAsiaTheme="minorHAnsi"/>
          <w:sz w:val="22"/>
          <w:szCs w:val="22"/>
          <w:lang w:eastAsia="en-US"/>
        </w:rPr>
        <w:t>сте, но темп обращения гораздо медленнее, нежели у оборотного.</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Маркс же подразделил капитал на постоянный  и переменный. Постоянный капитал превращается в средства производства, а п</w:t>
      </w:r>
      <w:r w:rsidRPr="00EC1A78">
        <w:rPr>
          <w:rFonts w:eastAsiaTheme="minorHAnsi"/>
          <w:sz w:val="22"/>
          <w:szCs w:val="22"/>
          <w:lang w:eastAsia="en-US"/>
        </w:rPr>
        <w:t>е</w:t>
      </w:r>
      <w:r w:rsidRPr="00EC1A78">
        <w:rPr>
          <w:rFonts w:eastAsiaTheme="minorHAnsi"/>
          <w:sz w:val="22"/>
          <w:szCs w:val="22"/>
          <w:lang w:eastAsia="en-US"/>
        </w:rPr>
        <w:t>ременный расходуется на покупку рабочей силы, изменяя в проце</w:t>
      </w:r>
      <w:r w:rsidRPr="00EC1A78">
        <w:rPr>
          <w:rFonts w:eastAsiaTheme="minorHAnsi"/>
          <w:sz w:val="22"/>
          <w:szCs w:val="22"/>
          <w:lang w:eastAsia="en-US"/>
        </w:rPr>
        <w:t>с</w:t>
      </w:r>
      <w:r w:rsidRPr="00EC1A78">
        <w:rPr>
          <w:rFonts w:eastAsiaTheme="minorHAnsi"/>
          <w:sz w:val="22"/>
          <w:szCs w:val="22"/>
          <w:lang w:eastAsia="en-US"/>
        </w:rPr>
        <w:t xml:space="preserve">се производства свою стоимость, что и является причиной создания излишка </w:t>
      </w:r>
      <w:r w:rsidRPr="00EC1A78">
        <w:rPr>
          <w:rFonts w:eastAsiaTheme="minorHAnsi"/>
          <w:color w:val="000000"/>
          <w:sz w:val="22"/>
          <w:szCs w:val="22"/>
          <w:lang w:eastAsia="en-US"/>
        </w:rPr>
        <w:t xml:space="preserve">– </w:t>
      </w:r>
      <w:r w:rsidRPr="00EC1A78">
        <w:rPr>
          <w:rFonts w:eastAsiaTheme="minorHAnsi"/>
          <w:sz w:val="22"/>
          <w:szCs w:val="22"/>
          <w:lang w:eastAsia="en-US"/>
        </w:rPr>
        <w:t xml:space="preserve"> прибавочной стоимости. Категории, который вывел Карл Маркс сравнивались также с делением А.Смита, что всле</w:t>
      </w:r>
      <w:r w:rsidRPr="00EC1A78">
        <w:rPr>
          <w:rFonts w:eastAsiaTheme="minorHAnsi"/>
          <w:sz w:val="22"/>
          <w:szCs w:val="22"/>
          <w:lang w:eastAsia="en-US"/>
        </w:rPr>
        <w:t>д</w:t>
      </w:r>
      <w:r w:rsidRPr="00EC1A78">
        <w:rPr>
          <w:rFonts w:eastAsiaTheme="minorHAnsi"/>
          <w:sz w:val="22"/>
          <w:szCs w:val="22"/>
          <w:lang w:eastAsia="en-US"/>
        </w:rPr>
        <w:t xml:space="preserve">ствие дало вывод о том, что основной и оборотный капитал </w:t>
      </w:r>
      <w:r w:rsidRPr="00EC1A78">
        <w:rPr>
          <w:rFonts w:eastAsiaTheme="minorHAnsi"/>
          <w:color w:val="000000"/>
          <w:sz w:val="22"/>
          <w:szCs w:val="22"/>
          <w:lang w:eastAsia="en-US"/>
        </w:rPr>
        <w:t xml:space="preserve">– </w:t>
      </w:r>
      <w:r w:rsidRPr="00EC1A78">
        <w:rPr>
          <w:rFonts w:eastAsiaTheme="minorHAnsi"/>
          <w:sz w:val="22"/>
          <w:szCs w:val="22"/>
          <w:lang w:eastAsia="en-US"/>
        </w:rPr>
        <w:t>это превращенные формы постоянного и переменного капитала, име</w:t>
      </w:r>
      <w:r w:rsidRPr="00EC1A78">
        <w:rPr>
          <w:rFonts w:eastAsiaTheme="minorHAnsi"/>
          <w:sz w:val="22"/>
          <w:szCs w:val="22"/>
          <w:lang w:eastAsia="en-US"/>
        </w:rPr>
        <w:t>ю</w:t>
      </w:r>
      <w:r w:rsidRPr="00EC1A78">
        <w:rPr>
          <w:rFonts w:eastAsiaTheme="minorHAnsi"/>
          <w:sz w:val="22"/>
          <w:szCs w:val="22"/>
          <w:lang w:eastAsia="en-US"/>
        </w:rPr>
        <w:t>щий в себе замаскированный источник прибавочной стоимости.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Классическая политическая экономика дала толчок для разв</w:t>
      </w:r>
      <w:r w:rsidRPr="00EC1A78">
        <w:rPr>
          <w:rFonts w:eastAsiaTheme="minorHAnsi"/>
          <w:sz w:val="22"/>
          <w:szCs w:val="22"/>
          <w:lang w:eastAsia="en-US"/>
        </w:rPr>
        <w:t>и</w:t>
      </w:r>
      <w:r w:rsidRPr="00EC1A78">
        <w:rPr>
          <w:rFonts w:eastAsiaTheme="minorHAnsi"/>
          <w:sz w:val="22"/>
          <w:szCs w:val="22"/>
          <w:lang w:eastAsia="en-US"/>
        </w:rPr>
        <w:t>тия постклассической. Имело место преемственности ряда ключ</w:t>
      </w:r>
      <w:r w:rsidRPr="00EC1A78">
        <w:rPr>
          <w:rFonts w:eastAsiaTheme="minorHAnsi"/>
          <w:sz w:val="22"/>
          <w:szCs w:val="22"/>
          <w:lang w:eastAsia="en-US"/>
        </w:rPr>
        <w:t>е</w:t>
      </w:r>
      <w:r w:rsidRPr="00EC1A78">
        <w:rPr>
          <w:rFonts w:eastAsiaTheme="minorHAnsi"/>
          <w:sz w:val="22"/>
          <w:szCs w:val="22"/>
          <w:lang w:eastAsia="en-US"/>
        </w:rPr>
        <w:t>вых идей домарксистской политической экономики, но не обошлось и без критики Карла Маркса в сторону классической политической экономики, основананной на аргументированных фактах. Классич</w:t>
      </w:r>
      <w:r w:rsidRPr="00EC1A78">
        <w:rPr>
          <w:rFonts w:eastAsiaTheme="minorHAnsi"/>
          <w:sz w:val="22"/>
          <w:szCs w:val="22"/>
          <w:lang w:eastAsia="en-US"/>
        </w:rPr>
        <w:t>е</w:t>
      </w:r>
      <w:r w:rsidRPr="00EC1A78">
        <w:rPr>
          <w:rFonts w:eastAsiaTheme="minorHAnsi"/>
          <w:sz w:val="22"/>
          <w:szCs w:val="22"/>
          <w:lang w:eastAsia="en-US"/>
        </w:rPr>
        <w:lastRenderedPageBreak/>
        <w:t>ская политическая экономика  имела внеисторический подход к изучению капитализма, выраженный в том, что капиталистический строй являлся абсолютной конечной формой общественного прои</w:t>
      </w:r>
      <w:r w:rsidRPr="00EC1A78">
        <w:rPr>
          <w:rFonts w:eastAsiaTheme="minorHAnsi"/>
          <w:sz w:val="22"/>
          <w:szCs w:val="22"/>
          <w:lang w:eastAsia="en-US"/>
        </w:rPr>
        <w:t>з</w:t>
      </w:r>
      <w:r w:rsidRPr="00EC1A78">
        <w:rPr>
          <w:rFonts w:eastAsiaTheme="minorHAnsi"/>
          <w:sz w:val="22"/>
          <w:szCs w:val="22"/>
          <w:lang w:eastAsia="en-US"/>
        </w:rPr>
        <w:t>водства, которая, как предполагали творцы домарксистской пол</w:t>
      </w:r>
      <w:r w:rsidRPr="00EC1A78">
        <w:rPr>
          <w:rFonts w:eastAsiaTheme="minorHAnsi"/>
          <w:sz w:val="22"/>
          <w:szCs w:val="22"/>
          <w:lang w:eastAsia="en-US"/>
        </w:rPr>
        <w:t>и</w:t>
      </w:r>
      <w:r w:rsidRPr="00EC1A78">
        <w:rPr>
          <w:rFonts w:eastAsiaTheme="minorHAnsi"/>
          <w:sz w:val="22"/>
          <w:szCs w:val="22"/>
          <w:lang w:eastAsia="en-US"/>
        </w:rPr>
        <w:t>тической экономики, будет существовать вечно.</w:t>
      </w:r>
    </w:p>
    <w:p w:rsidR="00EC1A78" w:rsidRPr="00EC1A78" w:rsidRDefault="00EC1A78" w:rsidP="00EC1A78">
      <w:pPr>
        <w:ind w:firstLine="426"/>
        <w:jc w:val="center"/>
        <w:rPr>
          <w:rFonts w:eastAsiaTheme="minorHAnsi"/>
          <w:sz w:val="22"/>
          <w:szCs w:val="22"/>
          <w:lang w:eastAsia="en-US"/>
        </w:rPr>
      </w:pPr>
    </w:p>
    <w:p w:rsidR="00EC1A78" w:rsidRPr="008F16B1" w:rsidRDefault="00EC1A78" w:rsidP="00EC1A78">
      <w:pPr>
        <w:ind w:firstLine="426"/>
        <w:jc w:val="center"/>
        <w:rPr>
          <w:rFonts w:eastAsiaTheme="minorHAnsi"/>
          <w:sz w:val="22"/>
          <w:szCs w:val="22"/>
          <w:lang w:eastAsia="en-US"/>
        </w:rPr>
      </w:pPr>
      <w:r w:rsidRPr="008F16B1">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1. Волков Г.Н. Материалы </w:t>
      </w:r>
      <w:r w:rsidRPr="00EC1A78">
        <w:rPr>
          <w:rFonts w:eastAsiaTheme="minorHAnsi"/>
          <w:sz w:val="22"/>
          <w:szCs w:val="22"/>
          <w:lang w:val="en-US" w:eastAsia="en-US"/>
        </w:rPr>
        <w:t>XXIV</w:t>
      </w:r>
      <w:r w:rsidRPr="00EC1A78">
        <w:rPr>
          <w:rFonts w:eastAsiaTheme="minorHAnsi"/>
          <w:sz w:val="22"/>
          <w:szCs w:val="22"/>
          <w:lang w:eastAsia="en-US"/>
        </w:rPr>
        <w:t xml:space="preserve"> съезда КПСС / 1971.  </w:t>
      </w:r>
      <w:r w:rsidRPr="00EC1A78">
        <w:rPr>
          <w:rFonts w:eastAsiaTheme="minorHAnsi"/>
          <w:sz w:val="22"/>
          <w:szCs w:val="22"/>
          <w:lang w:val="en-US" w:eastAsia="en-US"/>
        </w:rPr>
        <w:t>C</w:t>
      </w:r>
      <w:r w:rsidRPr="00EC1A78">
        <w:rPr>
          <w:rFonts w:eastAsiaTheme="minorHAnsi"/>
          <w:sz w:val="22"/>
          <w:szCs w:val="22"/>
          <w:lang w:eastAsia="en-US"/>
        </w:rPr>
        <w:t xml:space="preserve">. 59 </w:t>
      </w:r>
      <w:r w:rsidRPr="00EC1A78">
        <w:rPr>
          <w:rFonts w:eastAsiaTheme="minorHAnsi"/>
          <w:color w:val="000000"/>
          <w:sz w:val="22"/>
          <w:szCs w:val="22"/>
          <w:lang w:eastAsia="en-US"/>
        </w:rPr>
        <w:t xml:space="preserve">– </w:t>
      </w:r>
      <w:r w:rsidRPr="00EC1A78">
        <w:rPr>
          <w:rFonts w:eastAsiaTheme="minorHAnsi"/>
          <w:color w:val="000000"/>
          <w:sz w:val="22"/>
          <w:szCs w:val="22"/>
          <w:lang w:val="en-US" w:eastAsia="en-US"/>
        </w:rPr>
        <w:t>C</w:t>
      </w:r>
      <w:r w:rsidRPr="00EC1A78">
        <w:rPr>
          <w:rFonts w:eastAsiaTheme="minorHAnsi"/>
          <w:color w:val="000000"/>
          <w:sz w:val="22"/>
          <w:szCs w:val="22"/>
          <w:lang w:eastAsia="en-US"/>
        </w:rPr>
        <w:t>. 55.</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2. Клисторин В.И. История и новые направления экономич</w:t>
      </w:r>
      <w:r w:rsidRPr="00EC1A78">
        <w:rPr>
          <w:rFonts w:eastAsiaTheme="minorHAnsi"/>
          <w:sz w:val="22"/>
          <w:szCs w:val="22"/>
          <w:lang w:eastAsia="en-US"/>
        </w:rPr>
        <w:t>е</w:t>
      </w:r>
      <w:r w:rsidRPr="00EC1A78">
        <w:rPr>
          <w:rFonts w:eastAsiaTheme="minorHAnsi"/>
          <w:sz w:val="22"/>
          <w:szCs w:val="22"/>
          <w:lang w:eastAsia="en-US"/>
        </w:rPr>
        <w:t>ских исследований</w:t>
      </w:r>
      <w:r w:rsidRPr="00EC1A78">
        <w:rPr>
          <w:rFonts w:eastAsiaTheme="minorHAnsi"/>
          <w:sz w:val="22"/>
          <w:szCs w:val="22"/>
          <w:lang w:eastAsia="en-US"/>
        </w:rPr>
        <w:tab/>
        <w:t xml:space="preserve">/  Социально–экономические науки / Вестник  НГУ / 2014.  </w:t>
      </w:r>
      <w:r w:rsidRPr="00EC1A78">
        <w:rPr>
          <w:rFonts w:eastAsiaTheme="minorHAnsi"/>
          <w:color w:val="000000"/>
          <w:sz w:val="22"/>
          <w:szCs w:val="22"/>
          <w:lang w:val="en-US" w:eastAsia="en-US"/>
        </w:rPr>
        <w:t>– C. 140.</w:t>
      </w:r>
    </w:p>
    <w:p w:rsidR="008F16B1" w:rsidRPr="00E62E4B" w:rsidRDefault="008F16B1" w:rsidP="00EC1A78">
      <w:pPr>
        <w:shd w:val="clear" w:color="auto" w:fill="FFFFFF"/>
        <w:outlineLvl w:val="0"/>
        <w:rPr>
          <w:rFonts w:eastAsiaTheme="minorHAnsi"/>
          <w:sz w:val="22"/>
          <w:szCs w:val="22"/>
          <w:lang w:val="en-US" w:eastAsia="en-US"/>
        </w:rPr>
      </w:pPr>
    </w:p>
    <w:p w:rsidR="008F16B1" w:rsidRPr="00E62E4B" w:rsidRDefault="008F16B1" w:rsidP="00EC1A78">
      <w:pPr>
        <w:shd w:val="clear" w:color="auto" w:fill="FFFFFF"/>
        <w:outlineLvl w:val="0"/>
        <w:rPr>
          <w:rFonts w:eastAsiaTheme="minorHAnsi"/>
          <w:sz w:val="22"/>
          <w:szCs w:val="22"/>
          <w:lang w:val="en-US" w:eastAsia="en-US"/>
        </w:rPr>
      </w:pPr>
    </w:p>
    <w:p w:rsidR="008F16B1" w:rsidRPr="00E62E4B" w:rsidRDefault="008F16B1" w:rsidP="00EC1A78">
      <w:pPr>
        <w:shd w:val="clear" w:color="auto" w:fill="FFFFFF"/>
        <w:outlineLvl w:val="0"/>
        <w:rPr>
          <w:rFonts w:eastAsiaTheme="minorHAnsi"/>
          <w:sz w:val="22"/>
          <w:szCs w:val="22"/>
          <w:lang w:val="en-US" w:eastAsia="en-US"/>
        </w:rPr>
      </w:pPr>
    </w:p>
    <w:p w:rsidR="00EC1A78" w:rsidRPr="00EC1A78" w:rsidRDefault="00EC1A78" w:rsidP="00EC1A78">
      <w:pPr>
        <w:shd w:val="clear" w:color="auto" w:fill="FFFFFF"/>
        <w:outlineLvl w:val="0"/>
        <w:rPr>
          <w:bCs/>
          <w:color w:val="000000"/>
          <w:kern w:val="36"/>
          <w:sz w:val="22"/>
          <w:szCs w:val="20"/>
          <w:lang w:val="en-US"/>
        </w:rPr>
      </w:pPr>
      <w:r w:rsidRPr="00EC1A78">
        <w:rPr>
          <w:bCs/>
          <w:kern w:val="36"/>
          <w:sz w:val="22"/>
          <w:szCs w:val="20"/>
        </w:rPr>
        <w:t>УДК</w:t>
      </w:r>
      <w:r w:rsidRPr="00EC1A78">
        <w:rPr>
          <w:bCs/>
          <w:kern w:val="36"/>
          <w:sz w:val="22"/>
          <w:szCs w:val="20"/>
          <w:lang w:val="en-US"/>
        </w:rPr>
        <w:t xml:space="preserve"> </w:t>
      </w:r>
      <w:r w:rsidRPr="00EC1A78">
        <w:rPr>
          <w:bCs/>
          <w:color w:val="000000"/>
          <w:kern w:val="36"/>
          <w:sz w:val="22"/>
          <w:szCs w:val="20"/>
          <w:lang w:val="en-US"/>
        </w:rPr>
        <w:t>342.849</w:t>
      </w:r>
    </w:p>
    <w:p w:rsidR="00EC1A78" w:rsidRPr="00EC1A78" w:rsidRDefault="00EC1A78" w:rsidP="00EC1A78">
      <w:pPr>
        <w:shd w:val="clear" w:color="auto" w:fill="FFFFFF"/>
        <w:outlineLvl w:val="0"/>
        <w:rPr>
          <w:bCs/>
          <w:color w:val="000000"/>
          <w:kern w:val="36"/>
          <w:sz w:val="22"/>
          <w:szCs w:val="20"/>
          <w:lang w:val="en-US"/>
        </w:rPr>
      </w:pP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eastAsia="en-US"/>
        </w:rPr>
        <w:t>О</w:t>
      </w:r>
      <w:r w:rsidRPr="00EC1A78">
        <w:rPr>
          <w:rFonts w:eastAsiaTheme="minorHAnsi"/>
          <w:b/>
          <w:sz w:val="24"/>
          <w:szCs w:val="22"/>
          <w:lang w:val="en-US" w:eastAsia="en-US"/>
        </w:rPr>
        <w:t xml:space="preserve"> </w:t>
      </w:r>
      <w:r w:rsidRPr="00EC1A78">
        <w:rPr>
          <w:rFonts w:eastAsiaTheme="minorHAnsi"/>
          <w:b/>
          <w:sz w:val="24"/>
          <w:szCs w:val="22"/>
          <w:lang w:eastAsia="en-US"/>
        </w:rPr>
        <w:t>порядке</w:t>
      </w:r>
      <w:r w:rsidRPr="00EC1A78">
        <w:rPr>
          <w:rFonts w:eastAsiaTheme="minorHAnsi"/>
          <w:b/>
          <w:sz w:val="24"/>
          <w:szCs w:val="22"/>
          <w:lang w:val="en-US" w:eastAsia="en-US"/>
        </w:rPr>
        <w:t xml:space="preserve"> </w:t>
      </w:r>
      <w:r w:rsidRPr="00EC1A78">
        <w:rPr>
          <w:rFonts w:eastAsiaTheme="minorHAnsi"/>
          <w:b/>
          <w:sz w:val="24"/>
          <w:szCs w:val="22"/>
          <w:lang w:eastAsia="en-US"/>
        </w:rPr>
        <w:t>избрания</w:t>
      </w:r>
      <w:r w:rsidRPr="00EC1A78">
        <w:rPr>
          <w:rFonts w:eastAsiaTheme="minorHAnsi"/>
          <w:b/>
          <w:sz w:val="24"/>
          <w:szCs w:val="22"/>
          <w:lang w:val="en-US" w:eastAsia="en-US"/>
        </w:rPr>
        <w:t xml:space="preserve"> </w:t>
      </w:r>
      <w:r w:rsidRPr="00EC1A78">
        <w:rPr>
          <w:rFonts w:eastAsiaTheme="minorHAnsi"/>
          <w:b/>
          <w:sz w:val="24"/>
          <w:szCs w:val="22"/>
          <w:lang w:eastAsia="en-US"/>
        </w:rPr>
        <w:t>главы</w:t>
      </w:r>
      <w:r w:rsidRPr="00EC1A78">
        <w:rPr>
          <w:rFonts w:eastAsiaTheme="minorHAnsi"/>
          <w:b/>
          <w:sz w:val="24"/>
          <w:szCs w:val="22"/>
          <w:lang w:val="en-US" w:eastAsia="en-US"/>
        </w:rPr>
        <w:t xml:space="preserve"> </w:t>
      </w:r>
      <w:r w:rsidRPr="00EC1A78">
        <w:rPr>
          <w:rFonts w:eastAsiaTheme="minorHAnsi"/>
          <w:b/>
          <w:sz w:val="24"/>
          <w:szCs w:val="22"/>
          <w:lang w:eastAsia="en-US"/>
        </w:rPr>
        <w:t>муниципального</w:t>
      </w:r>
      <w:r w:rsidRPr="00EC1A78">
        <w:rPr>
          <w:rFonts w:eastAsiaTheme="minorHAnsi"/>
          <w:b/>
          <w:sz w:val="24"/>
          <w:szCs w:val="22"/>
          <w:lang w:val="en-US" w:eastAsia="en-US"/>
        </w:rPr>
        <w:t xml:space="preserve"> </w:t>
      </w:r>
      <w:r w:rsidRPr="00EC1A78">
        <w:rPr>
          <w:rFonts w:eastAsiaTheme="minorHAnsi"/>
          <w:b/>
          <w:sz w:val="24"/>
          <w:szCs w:val="22"/>
          <w:lang w:eastAsia="en-US"/>
        </w:rPr>
        <w:t>образования</w:t>
      </w:r>
      <w:r w:rsidRPr="00EC1A78">
        <w:rPr>
          <w:rFonts w:eastAsiaTheme="minorHAnsi"/>
          <w:b/>
          <w:sz w:val="24"/>
          <w:szCs w:val="22"/>
          <w:lang w:val="en-US" w:eastAsia="en-US"/>
        </w:rPr>
        <w:t xml:space="preserve"> </w:t>
      </w:r>
      <w:r w:rsidRPr="00EC1A78">
        <w:rPr>
          <w:rFonts w:eastAsiaTheme="minorHAnsi"/>
          <w:b/>
          <w:sz w:val="24"/>
          <w:szCs w:val="22"/>
          <w:lang w:eastAsia="en-US"/>
        </w:rPr>
        <w:t>конкурсным</w:t>
      </w:r>
      <w:r w:rsidRPr="00EC1A78">
        <w:rPr>
          <w:rFonts w:eastAsiaTheme="minorHAnsi"/>
          <w:b/>
          <w:sz w:val="24"/>
          <w:szCs w:val="22"/>
          <w:lang w:val="en-US" w:eastAsia="en-US"/>
        </w:rPr>
        <w:t xml:space="preserve"> </w:t>
      </w:r>
      <w:r w:rsidRPr="00EC1A78">
        <w:rPr>
          <w:rFonts w:eastAsiaTheme="minorHAnsi"/>
          <w:b/>
          <w:sz w:val="24"/>
          <w:szCs w:val="22"/>
          <w:lang w:eastAsia="en-US"/>
        </w:rPr>
        <w:t>способом</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About the order of election of the head of municipality the competitive method</w:t>
      </w:r>
    </w:p>
    <w:p w:rsidR="00EC1A78" w:rsidRPr="00EC1A78" w:rsidRDefault="00EC1A78" w:rsidP="00EC1A78">
      <w:pPr>
        <w:jc w:val="center"/>
        <w:rPr>
          <w:rFonts w:eastAsiaTheme="minorHAnsi"/>
          <w:b/>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Лихолатов Г.</w:t>
      </w:r>
      <w:r w:rsidR="008F16B1">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EC2599">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статье рассматривается актуальный в настоящее время институт главы муниципального образования. В частности, порядок избрания данного должностного лица, который назначается на должность по конкурсу. В работе указаны и проан</w:t>
      </w:r>
      <w:r w:rsidRPr="00EC1A78">
        <w:rPr>
          <w:rFonts w:eastAsiaTheme="minorHAnsi"/>
          <w:sz w:val="22"/>
          <w:szCs w:val="22"/>
          <w:lang w:eastAsia="en-US"/>
        </w:rPr>
        <w:t>а</w:t>
      </w:r>
      <w:r w:rsidRPr="00EC1A78">
        <w:rPr>
          <w:rFonts w:eastAsiaTheme="minorHAnsi"/>
          <w:sz w:val="22"/>
          <w:szCs w:val="22"/>
          <w:lang w:eastAsia="en-US"/>
        </w:rPr>
        <w:t>лизированы основные особенности конкурсного способа избрания.</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This article is relevant to the present, the institution of the head of the municipality. In particular, the order of election of this official who is appointed to a position on competition. The paper ident</w:t>
      </w:r>
      <w:r w:rsidRPr="00EC1A78">
        <w:rPr>
          <w:rFonts w:eastAsiaTheme="minorHAnsi"/>
          <w:sz w:val="22"/>
          <w:szCs w:val="22"/>
          <w:lang w:val="en-US" w:eastAsia="en-US"/>
        </w:rPr>
        <w:t>i</w:t>
      </w:r>
      <w:r w:rsidRPr="00EC1A78">
        <w:rPr>
          <w:rFonts w:eastAsiaTheme="minorHAnsi"/>
          <w:sz w:val="22"/>
          <w:szCs w:val="22"/>
          <w:lang w:val="en-US" w:eastAsia="en-US"/>
        </w:rPr>
        <w:t>fies and analyzes the main features of the competitive method of ele</w:t>
      </w:r>
      <w:r w:rsidRPr="00EC1A78">
        <w:rPr>
          <w:rFonts w:eastAsiaTheme="minorHAnsi"/>
          <w:sz w:val="22"/>
          <w:szCs w:val="22"/>
          <w:lang w:val="en-US" w:eastAsia="en-US"/>
        </w:rPr>
        <w:t>c</w:t>
      </w:r>
      <w:r w:rsidRPr="00EC1A78">
        <w:rPr>
          <w:rFonts w:eastAsiaTheme="minorHAnsi"/>
          <w:sz w:val="22"/>
          <w:szCs w:val="22"/>
          <w:lang w:val="en-US" w:eastAsia="en-US"/>
        </w:rPr>
        <w:t>tion.</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КЛЮЧЕВЫЕ СЛОВА: Глава, муниципальное образование, гражданин, конкурс.</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Head, municipality, citizen, competition.</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shd w:val="clear" w:color="auto" w:fill="FFFFFF"/>
          <w:lang w:eastAsia="en-US"/>
        </w:rPr>
        <w:t xml:space="preserve">Федеральным законом </w:t>
      </w:r>
      <w:hyperlink r:id="rId392" w:history="1">
        <w:r w:rsidRPr="00EC2599">
          <w:rPr>
            <w:rFonts w:eastAsiaTheme="minorHAnsi"/>
            <w:bCs/>
            <w:sz w:val="22"/>
            <w:szCs w:val="22"/>
            <w:shd w:val="clear" w:color="auto" w:fill="FFFFFF"/>
            <w:lang w:eastAsia="en-US"/>
          </w:rPr>
          <w:t xml:space="preserve"> от 06.10.2003 N 131–ФЗ  «Об общих принципах организации местного самоуправления в Российской Федерации»</w:t>
        </w:r>
      </w:hyperlink>
      <w:r w:rsidRPr="00EC2599">
        <w:rPr>
          <w:rFonts w:eastAsiaTheme="minorHAnsi"/>
          <w:sz w:val="22"/>
          <w:szCs w:val="22"/>
          <w:lang w:eastAsia="en-US"/>
        </w:rPr>
        <w:t xml:space="preserve"> </w:t>
      </w:r>
      <w:r w:rsidRPr="00EC1A78">
        <w:rPr>
          <w:rFonts w:eastAsiaTheme="minorHAnsi"/>
          <w:sz w:val="22"/>
          <w:szCs w:val="22"/>
          <w:lang w:eastAsia="en-US"/>
        </w:rPr>
        <w:t>устанавливается перечень возможных способов избр</w:t>
      </w:r>
      <w:r w:rsidRPr="00EC1A78">
        <w:rPr>
          <w:rFonts w:eastAsiaTheme="minorHAnsi"/>
          <w:sz w:val="22"/>
          <w:szCs w:val="22"/>
          <w:lang w:eastAsia="en-US"/>
        </w:rPr>
        <w:t>а</w:t>
      </w:r>
      <w:r w:rsidRPr="00EC1A78">
        <w:rPr>
          <w:rFonts w:eastAsiaTheme="minorHAnsi"/>
          <w:sz w:val="22"/>
          <w:szCs w:val="22"/>
          <w:lang w:eastAsia="en-US"/>
        </w:rPr>
        <w:t>ния главы муниципального образования к которым закон относит: возможность  избираться на муниципальных выборах, либо пре</w:t>
      </w:r>
      <w:r w:rsidRPr="00EC1A78">
        <w:rPr>
          <w:rFonts w:eastAsiaTheme="minorHAnsi"/>
          <w:sz w:val="22"/>
          <w:szCs w:val="22"/>
          <w:lang w:eastAsia="en-US"/>
        </w:rPr>
        <w:t>д</w:t>
      </w:r>
      <w:r w:rsidRPr="00EC1A78">
        <w:rPr>
          <w:rFonts w:eastAsiaTheme="minorHAnsi"/>
          <w:sz w:val="22"/>
          <w:szCs w:val="22"/>
          <w:lang w:eastAsia="en-US"/>
        </w:rPr>
        <w:t>ставительным органом муниципального образования из своего с</w:t>
      </w:r>
      <w:r w:rsidRPr="00EC1A78">
        <w:rPr>
          <w:rFonts w:eastAsiaTheme="minorHAnsi"/>
          <w:sz w:val="22"/>
          <w:szCs w:val="22"/>
          <w:lang w:eastAsia="en-US"/>
        </w:rPr>
        <w:t>о</w:t>
      </w:r>
      <w:r w:rsidRPr="00EC1A78">
        <w:rPr>
          <w:rFonts w:eastAsiaTheme="minorHAnsi"/>
          <w:sz w:val="22"/>
          <w:szCs w:val="22"/>
          <w:lang w:eastAsia="en-US"/>
        </w:rPr>
        <w:t>става, либо представительным органом муниципального образов</w:t>
      </w:r>
      <w:r w:rsidRPr="00EC1A78">
        <w:rPr>
          <w:rFonts w:eastAsiaTheme="minorHAnsi"/>
          <w:sz w:val="22"/>
          <w:szCs w:val="22"/>
          <w:lang w:eastAsia="en-US"/>
        </w:rPr>
        <w:t>а</w:t>
      </w:r>
      <w:r w:rsidRPr="00EC1A78">
        <w:rPr>
          <w:rFonts w:eastAsiaTheme="minorHAnsi"/>
          <w:sz w:val="22"/>
          <w:szCs w:val="22"/>
          <w:lang w:eastAsia="en-US"/>
        </w:rPr>
        <w:t>ния из числа кандидатов, представленных конкурсной комиссией по результатам конкурса[1].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Гарантом надежности и стабильности муниципального образ</w:t>
      </w:r>
      <w:r w:rsidRPr="00EC1A78">
        <w:rPr>
          <w:rFonts w:eastAsiaTheme="minorHAnsi"/>
          <w:sz w:val="22"/>
          <w:szCs w:val="22"/>
          <w:lang w:eastAsia="en-US"/>
        </w:rPr>
        <w:t>о</w:t>
      </w:r>
      <w:r w:rsidRPr="00EC1A78">
        <w:rPr>
          <w:rFonts w:eastAsiaTheme="minorHAnsi"/>
          <w:sz w:val="22"/>
          <w:szCs w:val="22"/>
          <w:lang w:eastAsia="en-US"/>
        </w:rPr>
        <w:t>вания является глава, который избирается одним из предусмотре</w:t>
      </w:r>
      <w:r w:rsidRPr="00EC1A78">
        <w:rPr>
          <w:rFonts w:eastAsiaTheme="minorHAnsi"/>
          <w:sz w:val="22"/>
          <w:szCs w:val="22"/>
          <w:lang w:eastAsia="en-US"/>
        </w:rPr>
        <w:t>н</w:t>
      </w:r>
      <w:r w:rsidRPr="00EC1A78">
        <w:rPr>
          <w:rFonts w:eastAsiaTheme="minorHAnsi"/>
          <w:sz w:val="22"/>
          <w:szCs w:val="22"/>
          <w:lang w:eastAsia="en-US"/>
        </w:rPr>
        <w:t>ных в законе способов.  Исходя из диспозитивного многообразия  предусмотренных законом способов избрания главы муниципал</w:t>
      </w:r>
      <w:r w:rsidRPr="00EC1A78">
        <w:rPr>
          <w:rFonts w:eastAsiaTheme="minorHAnsi"/>
          <w:sz w:val="22"/>
          <w:szCs w:val="22"/>
          <w:lang w:eastAsia="en-US"/>
        </w:rPr>
        <w:t>ь</w:t>
      </w:r>
      <w:r w:rsidRPr="00EC1A78">
        <w:rPr>
          <w:rFonts w:eastAsiaTheme="minorHAnsi"/>
          <w:sz w:val="22"/>
          <w:szCs w:val="22"/>
          <w:lang w:eastAsia="en-US"/>
        </w:rPr>
        <w:t xml:space="preserve">ного образования, наш интерес вызвал именно способ избрания главы муниципального образования </w:t>
      </w:r>
      <w:r w:rsidRPr="00EC1A78">
        <w:rPr>
          <w:rFonts w:eastAsiaTheme="minorHAnsi"/>
          <w:sz w:val="22"/>
          <w:szCs w:val="22"/>
          <w:shd w:val="clear" w:color="auto" w:fill="FFFFFF"/>
          <w:lang w:eastAsia="en-US"/>
        </w:rPr>
        <w:t>представительным органом муниципального образования из числа кандидатов, представленных конкурсной комиссией по результатам конкурса.</w:t>
      </w:r>
      <w:r w:rsidRPr="00EC1A78">
        <w:rPr>
          <w:rFonts w:eastAsiaTheme="minorHAnsi"/>
          <w:sz w:val="22"/>
          <w:szCs w:val="22"/>
          <w:lang w:eastAsia="en-US"/>
        </w:rPr>
        <w:t xml:space="preserve"> </w:t>
      </w:r>
    </w:p>
    <w:p w:rsidR="00EC1A78" w:rsidRPr="00EC1A78" w:rsidRDefault="00EC1A78" w:rsidP="00EC1A78">
      <w:pPr>
        <w:ind w:firstLine="425"/>
        <w:jc w:val="both"/>
        <w:rPr>
          <w:rFonts w:eastAsiaTheme="minorHAnsi"/>
          <w:color w:val="000000"/>
          <w:sz w:val="22"/>
          <w:szCs w:val="22"/>
          <w:lang w:eastAsia="en-US"/>
        </w:rPr>
      </w:pPr>
      <w:r w:rsidRPr="00EC1A78">
        <w:rPr>
          <w:rFonts w:eastAsiaTheme="minorHAnsi"/>
          <w:sz w:val="22"/>
          <w:szCs w:val="22"/>
          <w:lang w:eastAsia="en-US"/>
        </w:rPr>
        <w:t xml:space="preserve">Порядок избрания главы муниципального образования </w:t>
      </w:r>
      <w:r w:rsidRPr="00EC1A78">
        <w:rPr>
          <w:rFonts w:eastAsiaTheme="minorHAnsi"/>
          <w:sz w:val="22"/>
          <w:szCs w:val="22"/>
          <w:shd w:val="clear" w:color="auto" w:fill="FFFFFF"/>
          <w:lang w:eastAsia="en-US"/>
        </w:rPr>
        <w:t>по ко</w:t>
      </w:r>
      <w:r w:rsidRPr="00EC1A78">
        <w:rPr>
          <w:rFonts w:eastAsiaTheme="minorHAnsi"/>
          <w:sz w:val="22"/>
          <w:szCs w:val="22"/>
          <w:shd w:val="clear" w:color="auto" w:fill="FFFFFF"/>
          <w:lang w:eastAsia="en-US"/>
        </w:rPr>
        <w:t>н</w:t>
      </w:r>
      <w:r w:rsidRPr="00EC1A78">
        <w:rPr>
          <w:rFonts w:eastAsiaTheme="minorHAnsi"/>
          <w:sz w:val="22"/>
          <w:szCs w:val="22"/>
          <w:shd w:val="clear" w:color="auto" w:fill="FFFFFF"/>
          <w:lang w:eastAsia="en-US"/>
        </w:rPr>
        <w:t xml:space="preserve">курсу закреплен в </w:t>
      </w:r>
      <w:hyperlink r:id="rId393" w:history="1">
        <w:r w:rsidRPr="00EC1A78">
          <w:rPr>
            <w:rFonts w:eastAsiaTheme="minorHAnsi"/>
            <w:sz w:val="22"/>
            <w:szCs w:val="22"/>
            <w:lang w:eastAsia="en-US"/>
          </w:rPr>
          <w:t>Федеральном законе  «Об общих принципах о</w:t>
        </w:r>
        <w:r w:rsidRPr="00EC1A78">
          <w:rPr>
            <w:rFonts w:eastAsiaTheme="minorHAnsi"/>
            <w:sz w:val="22"/>
            <w:szCs w:val="22"/>
            <w:lang w:eastAsia="en-US"/>
          </w:rPr>
          <w:t>р</w:t>
        </w:r>
        <w:r w:rsidRPr="00EC1A78">
          <w:rPr>
            <w:rFonts w:eastAsiaTheme="minorHAnsi"/>
            <w:sz w:val="22"/>
            <w:szCs w:val="22"/>
            <w:lang w:eastAsia="en-US"/>
          </w:rPr>
          <w:t>ганизации местного самоуправления в Российской Федерации»</w:t>
        </w:r>
      </w:hyperlink>
      <w:r w:rsidRPr="00EC1A78">
        <w:rPr>
          <w:rFonts w:eastAsiaTheme="minorHAnsi"/>
          <w:sz w:val="22"/>
          <w:szCs w:val="22"/>
          <w:lang w:eastAsia="en-US"/>
        </w:rPr>
        <w:t xml:space="preserve">, а именно в статье 36. </w:t>
      </w:r>
      <w:r w:rsidRPr="00EC1A78">
        <w:rPr>
          <w:rFonts w:eastAsiaTheme="minorHAnsi"/>
          <w:color w:val="000000"/>
          <w:sz w:val="22"/>
          <w:szCs w:val="22"/>
          <w:lang w:eastAsia="en-US"/>
        </w:rPr>
        <w:t>В муниципальном районе, городском округе, городском округе с внутригородским делением, во внутригоро</w:t>
      </w:r>
      <w:r w:rsidRPr="00EC1A78">
        <w:rPr>
          <w:rFonts w:eastAsiaTheme="minorHAnsi"/>
          <w:color w:val="000000"/>
          <w:sz w:val="22"/>
          <w:szCs w:val="22"/>
          <w:lang w:eastAsia="en-US"/>
        </w:rPr>
        <w:t>д</w:t>
      </w:r>
      <w:r w:rsidRPr="00EC1A78">
        <w:rPr>
          <w:rFonts w:eastAsiaTheme="minorHAnsi"/>
          <w:color w:val="000000"/>
          <w:sz w:val="22"/>
          <w:szCs w:val="22"/>
          <w:lang w:eastAsia="en-US"/>
        </w:rPr>
        <w:t>ском муниципальном образовании города федерального значения половина членов конкурсной комиссии назначается представител</w:t>
      </w:r>
      <w:r w:rsidRPr="00EC1A78">
        <w:rPr>
          <w:rFonts w:eastAsiaTheme="minorHAnsi"/>
          <w:color w:val="000000"/>
          <w:sz w:val="22"/>
          <w:szCs w:val="22"/>
          <w:lang w:eastAsia="en-US"/>
        </w:rPr>
        <w:t>ь</w:t>
      </w:r>
      <w:r w:rsidRPr="00EC1A78">
        <w:rPr>
          <w:rFonts w:eastAsiaTheme="minorHAnsi"/>
          <w:color w:val="000000"/>
          <w:sz w:val="22"/>
          <w:szCs w:val="22"/>
          <w:lang w:eastAsia="en-US"/>
        </w:rPr>
        <w:t>ным органом соответствующего муниципального образования, а другая половина – высшим должностным лицом субъекта Росси</w:t>
      </w:r>
      <w:r w:rsidRPr="00EC1A78">
        <w:rPr>
          <w:rFonts w:eastAsiaTheme="minorHAnsi"/>
          <w:color w:val="000000"/>
          <w:sz w:val="22"/>
          <w:szCs w:val="22"/>
          <w:lang w:eastAsia="en-US"/>
        </w:rPr>
        <w:t>й</w:t>
      </w:r>
      <w:r w:rsidRPr="00EC1A78">
        <w:rPr>
          <w:rFonts w:eastAsiaTheme="minorHAnsi"/>
          <w:color w:val="000000"/>
          <w:sz w:val="22"/>
          <w:szCs w:val="22"/>
          <w:lang w:eastAsia="en-US"/>
        </w:rPr>
        <w:t>ской Федерации.</w:t>
      </w:r>
      <w:r w:rsidRPr="00EC1A78">
        <w:rPr>
          <w:rFonts w:eastAsiaTheme="minorHAnsi"/>
          <w:color w:val="000000"/>
          <w:sz w:val="22"/>
          <w:szCs w:val="22"/>
          <w:shd w:val="clear" w:color="auto" w:fill="FFFFFF"/>
          <w:lang w:eastAsia="en-US"/>
        </w:rPr>
        <w:t xml:space="preserve"> При формировании конкурсной комиссии в мун</w:t>
      </w:r>
      <w:r w:rsidRPr="00EC1A78">
        <w:rPr>
          <w:rFonts w:eastAsiaTheme="minorHAnsi"/>
          <w:color w:val="000000"/>
          <w:sz w:val="22"/>
          <w:szCs w:val="22"/>
          <w:shd w:val="clear" w:color="auto" w:fill="FFFFFF"/>
          <w:lang w:eastAsia="en-US"/>
        </w:rPr>
        <w:t>и</w:t>
      </w:r>
      <w:r w:rsidRPr="00EC1A78">
        <w:rPr>
          <w:rFonts w:eastAsiaTheme="minorHAnsi"/>
          <w:color w:val="000000"/>
          <w:sz w:val="22"/>
          <w:szCs w:val="22"/>
          <w:shd w:val="clear" w:color="auto" w:fill="FFFFFF"/>
          <w:lang w:eastAsia="en-US"/>
        </w:rPr>
        <w:t>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гося административным центром муниципального района, а пол</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вина – высшим должностным лицом субъекта Российской Федер</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ции.</w:t>
      </w:r>
      <w:r w:rsidRPr="00EC1A78">
        <w:rPr>
          <w:rFonts w:eastAsiaTheme="minorHAnsi"/>
          <w:color w:val="000000"/>
          <w:sz w:val="22"/>
          <w:szCs w:val="22"/>
          <w:lang w:eastAsia="en-US"/>
        </w:rPr>
        <w:t xml:space="preserve">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 xml:space="preserve">Говоря о практическом применении, хотелось бы отметить тот факт, что </w:t>
      </w:r>
      <w:r w:rsidRPr="00EC1A78">
        <w:rPr>
          <w:rFonts w:eastAsiaTheme="minorHAnsi"/>
          <w:sz w:val="22"/>
          <w:szCs w:val="22"/>
          <w:shd w:val="clear" w:color="auto" w:fill="FFFFFF"/>
          <w:lang w:eastAsia="en-US"/>
        </w:rPr>
        <w:t>в 2016 году прошла серия избраний глав по конкурсу. Ч</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рез новую процедуру наделения полномочиями прошли 344 главы муниципальных образований. Следовательно</w:t>
      </w:r>
      <w:r w:rsidRPr="00EC1A78">
        <w:rPr>
          <w:rFonts w:eastAsiaTheme="minorHAnsi"/>
          <w:sz w:val="22"/>
          <w:szCs w:val="22"/>
          <w:lang w:eastAsia="en-US"/>
        </w:rPr>
        <w:t xml:space="preserve"> вопрос об актуальн</w:t>
      </w:r>
      <w:r w:rsidRPr="00EC1A78">
        <w:rPr>
          <w:rFonts w:eastAsiaTheme="minorHAnsi"/>
          <w:sz w:val="22"/>
          <w:szCs w:val="22"/>
          <w:lang w:eastAsia="en-US"/>
        </w:rPr>
        <w:t>о</w:t>
      </w:r>
      <w:r w:rsidRPr="00EC1A78">
        <w:rPr>
          <w:rFonts w:eastAsiaTheme="minorHAnsi"/>
          <w:sz w:val="22"/>
          <w:szCs w:val="22"/>
          <w:lang w:eastAsia="en-US"/>
        </w:rPr>
        <w:t>сти данной проблемы и способа избрания главы муниципального образования по конкурсным спискам не вызывает сомнений. Пол</w:t>
      </w:r>
      <w:r w:rsidRPr="00EC1A78">
        <w:rPr>
          <w:rFonts w:eastAsiaTheme="minorHAnsi"/>
          <w:sz w:val="22"/>
          <w:szCs w:val="22"/>
          <w:lang w:eastAsia="en-US"/>
        </w:rPr>
        <w:t>о</w:t>
      </w:r>
      <w:r w:rsidRPr="00EC1A78">
        <w:rPr>
          <w:rFonts w:eastAsiaTheme="minorHAnsi"/>
          <w:sz w:val="22"/>
          <w:szCs w:val="22"/>
          <w:lang w:eastAsia="en-US"/>
        </w:rPr>
        <w:t>жительным в данном способе избрания является финансовая с</w:t>
      </w:r>
      <w:r w:rsidRPr="00EC1A78">
        <w:rPr>
          <w:rFonts w:eastAsiaTheme="minorHAnsi"/>
          <w:sz w:val="22"/>
          <w:szCs w:val="22"/>
          <w:lang w:eastAsia="en-US"/>
        </w:rPr>
        <w:t>о</w:t>
      </w:r>
      <w:r w:rsidRPr="00EC1A78">
        <w:rPr>
          <w:rFonts w:eastAsiaTheme="minorHAnsi"/>
          <w:sz w:val="22"/>
          <w:szCs w:val="22"/>
          <w:lang w:eastAsia="en-US"/>
        </w:rPr>
        <w:t>ставляющая. Как известно, выборы – весьма дорогостоящая проц</w:t>
      </w:r>
      <w:r w:rsidRPr="00EC1A78">
        <w:rPr>
          <w:rFonts w:eastAsiaTheme="minorHAnsi"/>
          <w:sz w:val="22"/>
          <w:szCs w:val="22"/>
          <w:lang w:eastAsia="en-US"/>
        </w:rPr>
        <w:t>е</w:t>
      </w:r>
      <w:r w:rsidRPr="00EC1A78">
        <w:rPr>
          <w:rFonts w:eastAsiaTheme="minorHAnsi"/>
          <w:sz w:val="22"/>
          <w:szCs w:val="22"/>
          <w:lang w:eastAsia="en-US"/>
        </w:rPr>
        <w:t>дура, начиная от предвыборной агитации, регистрации кандидатов. Для муниципальных образований  выборы явно «бьют по карману». Во–вторых, применение данного конкурсного способа приведет к увеличению «авторитета» представительного органа муниципал</w:t>
      </w:r>
      <w:r w:rsidRPr="00EC1A78">
        <w:rPr>
          <w:rFonts w:eastAsiaTheme="minorHAnsi"/>
          <w:sz w:val="22"/>
          <w:szCs w:val="22"/>
          <w:lang w:eastAsia="en-US"/>
        </w:rPr>
        <w:t>ь</w:t>
      </w:r>
      <w:r w:rsidRPr="00EC1A78">
        <w:rPr>
          <w:rFonts w:eastAsiaTheme="minorHAnsi"/>
          <w:sz w:val="22"/>
          <w:szCs w:val="22"/>
          <w:lang w:eastAsia="en-US"/>
        </w:rPr>
        <w:t>ного образования Население будет прямо заинтересованно в том, кого избирать в представительный орган, так как именно эти деп</w:t>
      </w:r>
      <w:r w:rsidRPr="00EC1A78">
        <w:rPr>
          <w:rFonts w:eastAsiaTheme="minorHAnsi"/>
          <w:sz w:val="22"/>
          <w:szCs w:val="22"/>
          <w:lang w:eastAsia="en-US"/>
        </w:rPr>
        <w:t>у</w:t>
      </w:r>
      <w:r w:rsidRPr="00EC1A78">
        <w:rPr>
          <w:rFonts w:eastAsiaTheme="minorHAnsi"/>
          <w:sz w:val="22"/>
          <w:szCs w:val="22"/>
          <w:lang w:eastAsia="en-US"/>
        </w:rPr>
        <w:t xml:space="preserve">таты вскоре будут избирать главу муниципального образования.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Но на наш взгляд механизм не до конца разработан и имеет ряд отрицательных моментов, на которые мы хотели бы обратить ваше внимание. В частности, прямое недопущение местного населения к избранию главы муниципального образования, что тем самым огр</w:t>
      </w:r>
      <w:r w:rsidRPr="00EC1A78">
        <w:rPr>
          <w:rFonts w:eastAsiaTheme="minorHAnsi"/>
          <w:sz w:val="22"/>
          <w:szCs w:val="22"/>
          <w:lang w:eastAsia="en-US"/>
        </w:rPr>
        <w:t>а</w:t>
      </w:r>
      <w:r w:rsidRPr="00EC1A78">
        <w:rPr>
          <w:rFonts w:eastAsiaTheme="minorHAnsi"/>
          <w:sz w:val="22"/>
          <w:szCs w:val="22"/>
          <w:lang w:eastAsia="en-US"/>
        </w:rPr>
        <w:t xml:space="preserve">ничивает конституционные права граждан. Невозможно оставить без внимания особое мнение судьи Конституционного суда РФ  А.Н. Кокотова, который  </w:t>
      </w:r>
      <w:r w:rsidRPr="00EC1A78">
        <w:rPr>
          <w:rFonts w:eastAsiaTheme="minorHAnsi"/>
          <w:bCs/>
          <w:sz w:val="22"/>
          <w:szCs w:val="22"/>
          <w:shd w:val="clear" w:color="auto" w:fill="FFFFFF"/>
          <w:lang w:eastAsia="en-US"/>
        </w:rPr>
        <w:t xml:space="preserve">заявил, что «одобренная отмена выборов глав муниципалитетов противоречит Конституции»[2]. </w:t>
      </w:r>
    </w:p>
    <w:p w:rsidR="00EC1A78" w:rsidRDefault="00EC1A78" w:rsidP="00D81B7C">
      <w:pPr>
        <w:shd w:val="clear" w:color="auto" w:fill="FFFFFF"/>
        <w:ind w:firstLine="425"/>
        <w:jc w:val="both"/>
        <w:rPr>
          <w:sz w:val="22"/>
          <w:szCs w:val="22"/>
          <w:shd w:val="clear" w:color="auto" w:fill="FFFFFF"/>
        </w:rPr>
      </w:pPr>
      <w:r w:rsidRPr="00EC1A78">
        <w:rPr>
          <w:sz w:val="22"/>
          <w:szCs w:val="22"/>
          <w:shd w:val="clear" w:color="auto" w:fill="FFFFFF"/>
        </w:rPr>
        <w:t>Мы предлагаем законодателю принять соответствующие п</w:t>
      </w:r>
      <w:r w:rsidRPr="00EC1A78">
        <w:rPr>
          <w:sz w:val="22"/>
          <w:szCs w:val="22"/>
          <w:shd w:val="clear" w:color="auto" w:fill="FFFFFF"/>
        </w:rPr>
        <w:t>о</w:t>
      </w:r>
      <w:r w:rsidRPr="00EC1A78">
        <w:rPr>
          <w:sz w:val="22"/>
          <w:szCs w:val="22"/>
          <w:shd w:val="clear" w:color="auto" w:fill="FFFFFF"/>
        </w:rPr>
        <w:t>правки в статье 36 Федерального закона «Об общих принципах о</w:t>
      </w:r>
      <w:r w:rsidRPr="00EC1A78">
        <w:rPr>
          <w:sz w:val="22"/>
          <w:szCs w:val="22"/>
          <w:shd w:val="clear" w:color="auto" w:fill="FFFFFF"/>
        </w:rPr>
        <w:t>р</w:t>
      </w:r>
      <w:r w:rsidRPr="00EC1A78">
        <w:rPr>
          <w:sz w:val="22"/>
          <w:szCs w:val="22"/>
          <w:shd w:val="clear" w:color="auto" w:fill="FFFFFF"/>
        </w:rPr>
        <w:t xml:space="preserve">ганизации местного самоуправления в Российской Федерации» от 06.10.2003 N 131–ФЗ, которые будут касаться механизма избрания </w:t>
      </w:r>
      <w:r w:rsidRPr="00EC1A78">
        <w:rPr>
          <w:sz w:val="22"/>
          <w:szCs w:val="22"/>
        </w:rPr>
        <w:t>главы муниципального образования «конкурсным» способом</w:t>
      </w:r>
      <w:r w:rsidRPr="00EC1A78">
        <w:rPr>
          <w:sz w:val="22"/>
          <w:szCs w:val="22"/>
          <w:shd w:val="clear" w:color="auto" w:fill="FFFFFF"/>
        </w:rPr>
        <w:t>. А именно, с целью включения заинтересованной части местного нас</w:t>
      </w:r>
      <w:r w:rsidRPr="00EC1A78">
        <w:rPr>
          <w:sz w:val="22"/>
          <w:szCs w:val="22"/>
          <w:shd w:val="clear" w:color="auto" w:fill="FFFFFF"/>
        </w:rPr>
        <w:t>е</w:t>
      </w:r>
      <w:r w:rsidRPr="00EC1A78">
        <w:rPr>
          <w:sz w:val="22"/>
          <w:szCs w:val="22"/>
          <w:shd w:val="clear" w:color="auto" w:fill="FFFFFF"/>
        </w:rPr>
        <w:t>ления в процесс избрания главы муниципалитета  по конкурсу утверждать список кандидатов на пост главы муниципального обр</w:t>
      </w:r>
      <w:r w:rsidRPr="00EC1A78">
        <w:rPr>
          <w:sz w:val="22"/>
          <w:szCs w:val="22"/>
          <w:shd w:val="clear" w:color="auto" w:fill="FFFFFF"/>
        </w:rPr>
        <w:t>а</w:t>
      </w:r>
      <w:r w:rsidRPr="00EC1A78">
        <w:rPr>
          <w:sz w:val="22"/>
          <w:szCs w:val="22"/>
          <w:shd w:val="clear" w:color="auto" w:fill="FFFFFF"/>
        </w:rPr>
        <w:t xml:space="preserve">зования на сходе граждан непосредственно местным населением. На наш взгляд это небольшое дополнение в норму 36 Федерального закона № 131–ФЗ отразит те основные принципы демократичности, гарантом которых в нашем государстве является Конституция и Президент. </w:t>
      </w:r>
    </w:p>
    <w:p w:rsidR="00D81B7C" w:rsidRDefault="00D81B7C" w:rsidP="00D81B7C">
      <w:pPr>
        <w:shd w:val="clear" w:color="auto" w:fill="FFFFFF"/>
        <w:ind w:firstLine="425"/>
        <w:jc w:val="both"/>
        <w:rPr>
          <w:sz w:val="22"/>
          <w:szCs w:val="22"/>
          <w:shd w:val="clear" w:color="auto" w:fill="FFFFFF"/>
        </w:rPr>
      </w:pPr>
    </w:p>
    <w:p w:rsidR="00D81B7C" w:rsidRPr="00EC1A78" w:rsidRDefault="00D81B7C" w:rsidP="00D81B7C">
      <w:pPr>
        <w:shd w:val="clear" w:color="auto" w:fill="FFFFFF"/>
        <w:ind w:firstLine="425"/>
        <w:jc w:val="both"/>
        <w:rPr>
          <w:sz w:val="22"/>
          <w:szCs w:val="22"/>
          <w:shd w:val="clear" w:color="auto" w:fill="FFFFFF"/>
        </w:rPr>
      </w:pPr>
    </w:p>
    <w:p w:rsidR="00EC1A78" w:rsidRPr="00EC1A78" w:rsidRDefault="00EC1A78" w:rsidP="00EC1A78">
      <w:pPr>
        <w:shd w:val="clear" w:color="auto" w:fill="FFFFFF"/>
        <w:ind w:firstLine="425"/>
        <w:jc w:val="center"/>
        <w:rPr>
          <w:sz w:val="22"/>
          <w:szCs w:val="22"/>
          <w:shd w:val="clear" w:color="auto" w:fill="FFFFFF"/>
        </w:rPr>
      </w:pPr>
      <w:r w:rsidRPr="00EC1A78">
        <w:rPr>
          <w:sz w:val="22"/>
          <w:szCs w:val="22"/>
          <w:shd w:val="clear" w:color="auto" w:fill="FFFFFF"/>
        </w:rPr>
        <w:lastRenderedPageBreak/>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1. Федеральный закон </w:t>
      </w:r>
      <w:hyperlink r:id="rId394" w:history="1">
        <w:r w:rsidRPr="00EC1A78">
          <w:rPr>
            <w:rFonts w:eastAsiaTheme="minorHAnsi"/>
            <w:sz w:val="22"/>
            <w:szCs w:val="22"/>
            <w:lang w:eastAsia="en-US"/>
          </w:rPr>
          <w:t xml:space="preserve"> от 06.10.2003 № 131–ФЗ  «Об общих принципах организации местного самоуправления в Российской Федерации»</w:t>
        </w:r>
      </w:hyperlink>
      <w:r w:rsidRPr="00EC1A78">
        <w:rPr>
          <w:rFonts w:eastAsiaTheme="minorHAnsi"/>
          <w:sz w:val="22"/>
          <w:szCs w:val="22"/>
          <w:lang w:eastAsia="en-US"/>
        </w:rPr>
        <w: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Особое мнение судьи Конституционного суда: «отмена в</w:t>
      </w:r>
      <w:r w:rsidRPr="00EC1A78">
        <w:rPr>
          <w:rFonts w:eastAsiaTheme="minorHAnsi"/>
          <w:sz w:val="22"/>
          <w:szCs w:val="22"/>
          <w:lang w:eastAsia="en-US"/>
        </w:rPr>
        <w:t>ы</w:t>
      </w:r>
      <w:r w:rsidRPr="00EC1A78">
        <w:rPr>
          <w:rFonts w:eastAsiaTheme="minorHAnsi"/>
          <w:sz w:val="22"/>
          <w:szCs w:val="22"/>
          <w:lang w:eastAsia="en-US"/>
        </w:rPr>
        <w:t>боров мэров не соответствует Конституции» // [электронный р</w:t>
      </w:r>
      <w:r w:rsidRPr="00EC1A78">
        <w:rPr>
          <w:rFonts w:eastAsiaTheme="minorHAnsi"/>
          <w:sz w:val="22"/>
          <w:szCs w:val="22"/>
          <w:lang w:eastAsia="en-US"/>
        </w:rPr>
        <w:t>е</w:t>
      </w:r>
      <w:r w:rsidRPr="00EC1A78">
        <w:rPr>
          <w:rFonts w:eastAsiaTheme="minorHAnsi"/>
          <w:sz w:val="22"/>
          <w:szCs w:val="22"/>
          <w:lang w:eastAsia="en-US"/>
        </w:rPr>
        <w:t xml:space="preserve">сурс]: </w:t>
      </w:r>
      <w:hyperlink r:id="rId395" w:history="1">
        <w:r w:rsidRPr="00EC1A78">
          <w:rPr>
            <w:rFonts w:eastAsiaTheme="minorHAnsi"/>
            <w:sz w:val="22"/>
            <w:szCs w:val="22"/>
            <w:lang w:eastAsia="en-US"/>
          </w:rPr>
          <w:t>https://newdaynews.ru/northwest/551908.html</w:t>
        </w:r>
      </w:hyperlink>
    </w:p>
    <w:p w:rsidR="00EC1A78" w:rsidRDefault="00EC1A78" w:rsidP="00EC1A78">
      <w:pPr>
        <w:jc w:val="both"/>
        <w:rPr>
          <w:rFonts w:eastAsiaTheme="minorHAnsi"/>
          <w:sz w:val="22"/>
          <w:szCs w:val="22"/>
          <w:lang w:eastAsia="en-US"/>
        </w:rPr>
      </w:pPr>
    </w:p>
    <w:p w:rsidR="00EC2599" w:rsidRDefault="00EC2599" w:rsidP="00EC1A78">
      <w:pPr>
        <w:jc w:val="both"/>
        <w:rPr>
          <w:rFonts w:eastAsiaTheme="minorHAnsi"/>
          <w:sz w:val="22"/>
          <w:szCs w:val="22"/>
          <w:lang w:eastAsia="en-US"/>
        </w:rPr>
      </w:pPr>
    </w:p>
    <w:p w:rsidR="00641206" w:rsidRPr="00EC1A78" w:rsidRDefault="00641206" w:rsidP="00EC1A78">
      <w:pPr>
        <w:jc w:val="both"/>
        <w:rPr>
          <w:rFonts w:eastAsiaTheme="minorHAnsi"/>
          <w:sz w:val="22"/>
          <w:szCs w:val="22"/>
          <w:lang w:eastAsia="en-US"/>
        </w:rPr>
      </w:pPr>
    </w:p>
    <w:p w:rsidR="00EC1A78" w:rsidRPr="00EC1A78" w:rsidRDefault="00EC1A78" w:rsidP="00EC1A78">
      <w:pPr>
        <w:jc w:val="both"/>
        <w:rPr>
          <w:sz w:val="22"/>
          <w:szCs w:val="22"/>
        </w:rPr>
      </w:pPr>
      <w:r w:rsidRPr="00EC1A78">
        <w:rPr>
          <w:sz w:val="22"/>
          <w:szCs w:val="22"/>
        </w:rPr>
        <w:t>УДК 930.23</w:t>
      </w:r>
    </w:p>
    <w:p w:rsidR="00EC1A78" w:rsidRPr="00EC1A78" w:rsidRDefault="00EC1A78" w:rsidP="00EC1A78">
      <w:pPr>
        <w:jc w:val="both"/>
        <w:rPr>
          <w:sz w:val="22"/>
          <w:szCs w:val="22"/>
        </w:rPr>
      </w:pPr>
    </w:p>
    <w:p w:rsidR="00EC1A78" w:rsidRPr="00EC1A78" w:rsidRDefault="00EC1A78" w:rsidP="00EC1A78">
      <w:pPr>
        <w:jc w:val="center"/>
        <w:rPr>
          <w:b/>
          <w:sz w:val="24"/>
          <w:szCs w:val="24"/>
        </w:rPr>
      </w:pPr>
      <w:r w:rsidRPr="00EC1A78">
        <w:rPr>
          <w:b/>
          <w:sz w:val="24"/>
          <w:szCs w:val="24"/>
        </w:rPr>
        <w:t xml:space="preserve">Влияние реформ Солона на развитие </w:t>
      </w:r>
    </w:p>
    <w:p w:rsidR="00EC1A78" w:rsidRPr="00EC1A78" w:rsidRDefault="00EC1A78" w:rsidP="00EC1A78">
      <w:pPr>
        <w:jc w:val="center"/>
        <w:rPr>
          <w:b/>
          <w:sz w:val="24"/>
          <w:szCs w:val="24"/>
          <w:lang w:val="en-US"/>
        </w:rPr>
      </w:pPr>
      <w:r w:rsidRPr="00EC1A78">
        <w:rPr>
          <w:b/>
          <w:sz w:val="24"/>
          <w:szCs w:val="24"/>
        </w:rPr>
        <w:t>афинской</w:t>
      </w:r>
      <w:r w:rsidRPr="00EC1A78">
        <w:rPr>
          <w:b/>
          <w:sz w:val="24"/>
          <w:szCs w:val="24"/>
          <w:lang w:val="en-US"/>
        </w:rPr>
        <w:t xml:space="preserve"> </w:t>
      </w:r>
      <w:r w:rsidRPr="00EC1A78">
        <w:rPr>
          <w:b/>
          <w:sz w:val="24"/>
          <w:szCs w:val="24"/>
        </w:rPr>
        <w:t>демократии</w:t>
      </w:r>
    </w:p>
    <w:p w:rsidR="00EC1A78" w:rsidRPr="00EC1A78" w:rsidRDefault="00EC1A78" w:rsidP="00EC1A78">
      <w:pPr>
        <w:jc w:val="center"/>
        <w:rPr>
          <w:rFonts w:eastAsiaTheme="minorHAnsi"/>
          <w:b/>
          <w:sz w:val="24"/>
          <w:szCs w:val="24"/>
          <w:shd w:val="clear" w:color="auto" w:fill="FFFFFF"/>
          <w:lang w:val="en-US" w:eastAsia="en-US"/>
        </w:rPr>
      </w:pPr>
      <w:r w:rsidRPr="00EC1A78">
        <w:rPr>
          <w:rFonts w:eastAsiaTheme="minorHAnsi"/>
          <w:b/>
          <w:sz w:val="24"/>
          <w:szCs w:val="24"/>
          <w:shd w:val="clear" w:color="auto" w:fill="FFFFFF"/>
          <w:lang w:val="en-US" w:eastAsia="en-US"/>
        </w:rPr>
        <w:t xml:space="preserve">The impact of the reform of salt on the development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shd w:val="clear" w:color="auto" w:fill="FFFFFF"/>
          <w:lang w:val="en-US" w:eastAsia="en-US"/>
        </w:rPr>
        <w:t>of Athenian democracy</w:t>
      </w:r>
    </w:p>
    <w:p w:rsidR="00EC1A78" w:rsidRPr="00EC1A78" w:rsidRDefault="00EC1A78" w:rsidP="00EC1A78">
      <w:pPr>
        <w:jc w:val="both"/>
        <w:rPr>
          <w:rFonts w:eastAsiaTheme="minorHAnsi"/>
          <w:sz w:val="20"/>
          <w:szCs w:val="20"/>
          <w:shd w:val="clear" w:color="auto" w:fill="FFFFFF"/>
          <w:lang w:val="en-US" w:eastAsia="en-US"/>
        </w:rPr>
      </w:pPr>
    </w:p>
    <w:p w:rsidR="00EC1A78" w:rsidRPr="00EC1A78" w:rsidRDefault="00EC1A78" w:rsidP="00EC1A78">
      <w:pPr>
        <w:jc w:val="right"/>
        <w:rPr>
          <w:rFonts w:eastAsiaTheme="minorHAnsi"/>
          <w:sz w:val="22"/>
          <w:szCs w:val="22"/>
          <w:shd w:val="clear" w:color="auto" w:fill="FFFFFF"/>
          <w:lang w:val="en-US" w:eastAsia="en-US"/>
        </w:rPr>
      </w:pPr>
      <w:r w:rsidRPr="00EC1A78">
        <w:rPr>
          <w:rFonts w:eastAsiaTheme="minorHAnsi"/>
          <w:sz w:val="22"/>
          <w:szCs w:val="22"/>
          <w:shd w:val="clear" w:color="auto" w:fill="FFFFFF"/>
          <w:lang w:eastAsia="en-US"/>
        </w:rPr>
        <w:t>Мазепа</w:t>
      </w:r>
      <w:r w:rsidRPr="00EC1A78">
        <w:rPr>
          <w:rFonts w:eastAsiaTheme="minorHAnsi"/>
          <w:sz w:val="22"/>
          <w:szCs w:val="22"/>
          <w:shd w:val="clear" w:color="auto" w:fill="FFFFFF"/>
          <w:lang w:val="en-US" w:eastAsia="en-US"/>
        </w:rPr>
        <w:t xml:space="preserve"> </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val="en-US" w:eastAsia="en-US"/>
        </w:rPr>
        <w:t>.</w:t>
      </w:r>
      <w:r w:rsidR="00EC2599" w:rsidRPr="00E62E4B">
        <w:rPr>
          <w:rFonts w:eastAsiaTheme="minorHAnsi"/>
          <w:sz w:val="22"/>
          <w:szCs w:val="22"/>
          <w:shd w:val="clear" w:color="auto" w:fill="FFFFFF"/>
          <w:lang w:val="en-US" w:eastAsia="en-US"/>
        </w:rPr>
        <w:t xml:space="preserve"> </w:t>
      </w:r>
      <w:r w:rsidRPr="00EC1A78">
        <w:rPr>
          <w:rFonts w:eastAsiaTheme="minorHAnsi"/>
          <w:sz w:val="22"/>
          <w:szCs w:val="22"/>
          <w:shd w:val="clear" w:color="auto" w:fill="FFFFFF"/>
          <w:lang w:eastAsia="en-US"/>
        </w:rPr>
        <w:t>С</w:t>
      </w:r>
      <w:r w:rsidRPr="00EC1A78">
        <w:rPr>
          <w:rFonts w:eastAsiaTheme="minorHAnsi"/>
          <w:sz w:val="22"/>
          <w:szCs w:val="22"/>
          <w:shd w:val="clear" w:color="auto" w:fill="FFFFFF"/>
          <w:lang w:val="en-US" w:eastAsia="en-US"/>
        </w:rPr>
        <w:t>.,</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студентка 1–го курса юридического факультета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Михайлик А.</w:t>
      </w:r>
      <w:r w:rsidR="00EC2599">
        <w:rPr>
          <w:rFonts w:eastAsiaTheme="minorHAnsi"/>
          <w:sz w:val="22"/>
          <w:szCs w:val="22"/>
          <w:shd w:val="clear" w:color="auto" w:fill="FFFFFF"/>
          <w:lang w:eastAsia="en-US"/>
        </w:rPr>
        <w:t xml:space="preserve"> </w:t>
      </w:r>
      <w:r w:rsidRPr="00EC1A78">
        <w:rPr>
          <w:rFonts w:eastAsiaTheme="minorHAnsi"/>
          <w:sz w:val="22"/>
          <w:szCs w:val="22"/>
          <w:shd w:val="clear" w:color="auto" w:fill="FFFFFF"/>
          <w:lang w:eastAsia="en-US"/>
        </w:rPr>
        <w:t>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доцент кафедры теории и истории</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государства и права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shd w:val="clear" w:color="auto" w:fill="FFFFFF"/>
          <w:lang w:eastAsia="en-US"/>
        </w:rPr>
        <w:t>университет имени И.</w:t>
      </w:r>
      <w:r w:rsidR="00641206">
        <w:rPr>
          <w:rFonts w:eastAsiaTheme="minorHAnsi"/>
          <w:sz w:val="22"/>
          <w:szCs w:val="22"/>
          <w:shd w:val="clear" w:color="auto" w:fill="FFFFFF"/>
          <w:lang w:eastAsia="en-US"/>
        </w:rPr>
        <w:t xml:space="preserve"> </w:t>
      </w:r>
      <w:r w:rsidRPr="00EC1A78">
        <w:rPr>
          <w:rFonts w:eastAsiaTheme="minorHAnsi"/>
          <w:sz w:val="22"/>
          <w:szCs w:val="22"/>
          <w:shd w:val="clear" w:color="auto" w:fill="FFFFFF"/>
          <w:lang w:eastAsia="en-US"/>
        </w:rPr>
        <w:t>Т. Трубилина</w:t>
      </w:r>
    </w:p>
    <w:p w:rsidR="00EC1A78" w:rsidRPr="00EC1A78" w:rsidRDefault="00EC1A78" w:rsidP="00EC1A78">
      <w:pPr>
        <w:jc w:val="both"/>
        <w:rPr>
          <w:rFonts w:eastAsiaTheme="minorHAnsi"/>
          <w:bCs/>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bCs/>
          <w:sz w:val="22"/>
          <w:szCs w:val="22"/>
          <w:lang w:eastAsia="en-US"/>
        </w:rPr>
        <w:t xml:space="preserve">АННОТАЦИЯ: </w:t>
      </w:r>
      <w:r w:rsidRPr="00EC1A78">
        <w:rPr>
          <w:rFonts w:eastAsiaTheme="minorHAnsi"/>
          <w:sz w:val="22"/>
          <w:szCs w:val="22"/>
          <w:lang w:eastAsia="en-US"/>
        </w:rPr>
        <w:t>В статье дается характеристика реформ пров</w:t>
      </w:r>
      <w:r w:rsidRPr="00EC1A78">
        <w:rPr>
          <w:rFonts w:eastAsiaTheme="minorHAnsi"/>
          <w:sz w:val="22"/>
          <w:szCs w:val="22"/>
          <w:lang w:eastAsia="en-US"/>
        </w:rPr>
        <w:t>о</w:t>
      </w:r>
      <w:r w:rsidRPr="00EC1A78">
        <w:rPr>
          <w:rFonts w:eastAsiaTheme="minorHAnsi"/>
          <w:sz w:val="22"/>
          <w:szCs w:val="22"/>
          <w:lang w:eastAsia="en-US"/>
        </w:rPr>
        <w:t>димых Солоном и проводится их анализ. Затрагиваютс</w:t>
      </w:r>
      <w:r w:rsidR="00641206">
        <w:rPr>
          <w:rFonts w:eastAsiaTheme="minorHAnsi"/>
          <w:sz w:val="22"/>
          <w:szCs w:val="22"/>
          <w:lang w:eastAsia="en-US"/>
        </w:rPr>
        <w:t xml:space="preserve">я основные реформы, повлиявшие </w:t>
      </w:r>
      <w:r w:rsidRPr="00EC1A78">
        <w:rPr>
          <w:rFonts w:eastAsiaTheme="minorHAnsi"/>
          <w:sz w:val="22"/>
          <w:szCs w:val="22"/>
          <w:lang w:eastAsia="en-US"/>
        </w:rPr>
        <w:t>на развитие демократии в Афинах: отмена долгового рабства, деление граждан по имущественному цензу, с</w:t>
      </w:r>
      <w:r w:rsidRPr="00EC1A78">
        <w:rPr>
          <w:rFonts w:eastAsiaTheme="minorHAnsi"/>
          <w:sz w:val="22"/>
          <w:szCs w:val="22"/>
          <w:lang w:eastAsia="en-US"/>
        </w:rPr>
        <w:t>о</w:t>
      </w:r>
      <w:r w:rsidRPr="00EC1A78">
        <w:rPr>
          <w:rFonts w:eastAsiaTheme="minorHAnsi"/>
          <w:sz w:val="22"/>
          <w:szCs w:val="22"/>
          <w:lang w:eastAsia="en-US"/>
        </w:rPr>
        <w:t xml:space="preserve">здание новых государственных органов. </w:t>
      </w:r>
    </w:p>
    <w:p w:rsidR="00EC1A78" w:rsidRPr="00EC1A78" w:rsidRDefault="00EC1A78" w:rsidP="00EC1A78">
      <w:pPr>
        <w:ind w:firstLine="426"/>
        <w:jc w:val="both"/>
        <w:rPr>
          <w:sz w:val="22"/>
          <w:szCs w:val="22"/>
          <w:lang w:val="en-US" w:eastAsia="en-US"/>
        </w:rPr>
      </w:pPr>
      <w:r w:rsidRPr="00EC1A78">
        <w:rPr>
          <w:rFonts w:eastAsiaTheme="minorHAnsi"/>
          <w:sz w:val="22"/>
          <w:szCs w:val="22"/>
          <w:shd w:val="clear" w:color="auto" w:fill="FFFFFF"/>
          <w:lang w:val="en-US" w:eastAsia="en-US"/>
        </w:rPr>
        <w:t>ABSTRACT</w:t>
      </w:r>
      <w:r w:rsidRPr="00EC1A78">
        <w:rPr>
          <w:sz w:val="22"/>
          <w:szCs w:val="22"/>
          <w:lang w:val="en-US" w:eastAsia="en-US"/>
        </w:rPr>
        <w:t xml:space="preserve">: </w:t>
      </w:r>
      <w:r w:rsidRPr="00EC1A78">
        <w:rPr>
          <w:rFonts w:eastAsiaTheme="minorHAnsi"/>
          <w:sz w:val="22"/>
          <w:szCs w:val="22"/>
          <w:shd w:val="clear" w:color="auto" w:fill="FFFFFF"/>
          <w:lang w:val="en-US" w:eastAsia="en-US"/>
        </w:rPr>
        <w:t>The article describes the reforms carried out by Solon and analyzes them. The main reforms that influenced the development of democracy in Athens: the abolition of debt slavery, the division of cit</w:t>
      </w:r>
      <w:r w:rsidRPr="00EC1A78">
        <w:rPr>
          <w:rFonts w:eastAsiaTheme="minorHAnsi"/>
          <w:sz w:val="22"/>
          <w:szCs w:val="22"/>
          <w:shd w:val="clear" w:color="auto" w:fill="FFFFFF"/>
          <w:lang w:val="en-US" w:eastAsia="en-US"/>
        </w:rPr>
        <w:t>i</w:t>
      </w:r>
      <w:r w:rsidRPr="00EC1A78">
        <w:rPr>
          <w:rFonts w:eastAsiaTheme="minorHAnsi"/>
          <w:sz w:val="22"/>
          <w:szCs w:val="22"/>
          <w:shd w:val="clear" w:color="auto" w:fill="FFFFFF"/>
          <w:lang w:val="en-US" w:eastAsia="en-US"/>
        </w:rPr>
        <w:t>zens by property price, the creation of new state bodies are touched u</w:t>
      </w:r>
      <w:r w:rsidRPr="00EC1A78">
        <w:rPr>
          <w:rFonts w:eastAsiaTheme="minorHAnsi"/>
          <w:sz w:val="22"/>
          <w:szCs w:val="22"/>
          <w:shd w:val="clear" w:color="auto" w:fill="FFFFFF"/>
          <w:lang w:val="en-US" w:eastAsia="en-US"/>
        </w:rPr>
        <w:t>p</w:t>
      </w:r>
      <w:r w:rsidRPr="00EC1A78">
        <w:rPr>
          <w:rFonts w:eastAsiaTheme="minorHAnsi"/>
          <w:sz w:val="22"/>
          <w:szCs w:val="22"/>
          <w:shd w:val="clear" w:color="auto" w:fill="FFFFFF"/>
          <w:lang w:val="en-US" w:eastAsia="en-US"/>
        </w:rPr>
        <w:t>on.</w:t>
      </w:r>
    </w:p>
    <w:p w:rsidR="00EC1A78" w:rsidRPr="00EC1A78" w:rsidRDefault="00EC1A78" w:rsidP="00EC1A78">
      <w:pPr>
        <w:ind w:firstLine="426"/>
        <w:jc w:val="both"/>
        <w:rPr>
          <w:rFonts w:eastAsiaTheme="minorHAnsi"/>
          <w:sz w:val="22"/>
          <w:szCs w:val="22"/>
          <w:lang w:eastAsia="en-US"/>
        </w:rPr>
      </w:pPr>
      <w:r w:rsidRPr="00EC1A78">
        <w:rPr>
          <w:rFonts w:eastAsiaTheme="minorHAnsi"/>
          <w:bCs/>
          <w:color w:val="000000"/>
          <w:sz w:val="22"/>
          <w:szCs w:val="22"/>
          <w:lang w:eastAsia="en-US"/>
        </w:rPr>
        <w:t xml:space="preserve">КЛЮЧЕВЫЕ: </w:t>
      </w:r>
      <w:r w:rsidRPr="00EC1A78">
        <w:rPr>
          <w:rFonts w:eastAsiaTheme="minorHAnsi"/>
          <w:sz w:val="22"/>
          <w:szCs w:val="22"/>
          <w:lang w:eastAsia="en-US"/>
        </w:rPr>
        <w:t>Сисахфия, буле, экклесия, гелиэя, ареопаг, э</w:t>
      </w:r>
      <w:r w:rsidRPr="00EC1A78">
        <w:rPr>
          <w:rFonts w:eastAsiaTheme="minorHAnsi"/>
          <w:sz w:val="22"/>
          <w:szCs w:val="22"/>
          <w:lang w:eastAsia="en-US"/>
        </w:rPr>
        <w:t>в</w:t>
      </w:r>
      <w:r w:rsidRPr="00EC1A78">
        <w:rPr>
          <w:rFonts w:eastAsiaTheme="minorHAnsi"/>
          <w:sz w:val="22"/>
          <w:szCs w:val="22"/>
          <w:lang w:eastAsia="en-US"/>
        </w:rPr>
        <w:t xml:space="preserve">патрид, реформа, Солон, право, государство, медимн . </w:t>
      </w:r>
    </w:p>
    <w:p w:rsidR="00EC1A78" w:rsidRPr="00EC1A78" w:rsidRDefault="00EC1A78" w:rsidP="00EC1A78">
      <w:pPr>
        <w:ind w:firstLine="426"/>
        <w:jc w:val="both"/>
        <w:rPr>
          <w:rFonts w:eastAsiaTheme="minorHAnsi"/>
          <w:b/>
          <w:sz w:val="22"/>
          <w:szCs w:val="22"/>
          <w:u w:val="single"/>
          <w:lang w:val="en-US" w:eastAsia="en-US"/>
        </w:rPr>
      </w:pPr>
      <w:r w:rsidRPr="00EC1A78">
        <w:rPr>
          <w:rFonts w:eastAsiaTheme="minorHAnsi"/>
          <w:sz w:val="22"/>
          <w:szCs w:val="22"/>
          <w:shd w:val="clear" w:color="auto" w:fill="FFFFFF"/>
          <w:lang w:val="en-US" w:eastAsia="en-US"/>
        </w:rPr>
        <w:lastRenderedPageBreak/>
        <w:t>KEYWORD: Sisakhti, the boule, the ekklesia, helium, areopagus, eupatrid, reform, salty, law, government, medimn.</w:t>
      </w:r>
    </w:p>
    <w:p w:rsidR="00EC1A78" w:rsidRPr="00EC1A78" w:rsidRDefault="00EC1A78" w:rsidP="00EC1A78">
      <w:pPr>
        <w:ind w:firstLine="426"/>
        <w:jc w:val="both"/>
        <w:rPr>
          <w:sz w:val="22"/>
          <w:szCs w:val="22"/>
          <w:lang w:val="en-US"/>
        </w:rPr>
      </w:pPr>
    </w:p>
    <w:p w:rsidR="00EC1A78" w:rsidRPr="00EC1A78" w:rsidRDefault="00EC1A78" w:rsidP="00EC1A78">
      <w:pPr>
        <w:ind w:firstLine="426"/>
        <w:jc w:val="both"/>
        <w:rPr>
          <w:b/>
          <w:sz w:val="22"/>
          <w:szCs w:val="22"/>
          <w:u w:val="single"/>
        </w:rPr>
      </w:pPr>
      <w:r w:rsidRPr="00EC1A78">
        <w:rPr>
          <w:sz w:val="22"/>
          <w:szCs w:val="22"/>
        </w:rPr>
        <w:t>Господствующая в Греции аристократия оказывала отриц</w:t>
      </w:r>
      <w:r w:rsidRPr="00EC1A78">
        <w:rPr>
          <w:sz w:val="22"/>
          <w:szCs w:val="22"/>
        </w:rPr>
        <w:t>а</w:t>
      </w:r>
      <w:r w:rsidRPr="00EC1A78">
        <w:rPr>
          <w:sz w:val="22"/>
          <w:szCs w:val="22"/>
        </w:rPr>
        <w:t>тельное влияние на положение народа, «...Бедные, находились в порабощении не только сами, но также их дети и жены. Назывались они... шестидольниками, потому что на таких арендных условиях обрабатывали поля богачей (т.е.получали за свой труд одну шестую урожая». «Вся же вообще земля была в руках немногих. При этом если бедняки не отдавали арендной платы, можно было увезти в кабалу и их самих и детей». Многие поля были заложены за долги. Всеобщее недовольств вылилось в «великую смуту» – как писал Аристотель.[1] Это способствовало тому, что люди решили объед</w:t>
      </w:r>
      <w:r w:rsidRPr="00EC1A78">
        <w:rPr>
          <w:sz w:val="22"/>
          <w:szCs w:val="22"/>
        </w:rPr>
        <w:t>и</w:t>
      </w:r>
      <w:r w:rsidRPr="00EC1A78">
        <w:rPr>
          <w:sz w:val="22"/>
          <w:szCs w:val="22"/>
        </w:rPr>
        <w:t>ниться и освободить должников, которые пропустили срок уплаты, землю разделить и изменить государственный строй. Было принято решение, что воплотить это в жизнь, получится у Солона, избранн</w:t>
      </w:r>
      <w:r w:rsidRPr="00EC1A78">
        <w:rPr>
          <w:sz w:val="22"/>
          <w:szCs w:val="22"/>
        </w:rPr>
        <w:t>о</w:t>
      </w:r>
      <w:r w:rsidRPr="00EC1A78">
        <w:rPr>
          <w:sz w:val="22"/>
          <w:szCs w:val="22"/>
        </w:rPr>
        <w:t>го архонтом и обладающего чрезвычайными полномочиями, а та</w:t>
      </w:r>
      <w:r w:rsidRPr="00EC1A78">
        <w:rPr>
          <w:sz w:val="22"/>
          <w:szCs w:val="22"/>
        </w:rPr>
        <w:t>к</w:t>
      </w:r>
      <w:r w:rsidRPr="00EC1A78">
        <w:rPr>
          <w:sz w:val="22"/>
          <w:szCs w:val="22"/>
        </w:rPr>
        <w:t>же правом законодателя.[2]Целью проведения реформ Солоном стало : формирование третьего сословия, которое бы было расп</w:t>
      </w:r>
      <w:r w:rsidRPr="00EC1A78">
        <w:rPr>
          <w:sz w:val="22"/>
          <w:szCs w:val="22"/>
        </w:rPr>
        <w:t>о</w:t>
      </w:r>
      <w:r w:rsidRPr="00EC1A78">
        <w:rPr>
          <w:sz w:val="22"/>
          <w:szCs w:val="22"/>
        </w:rPr>
        <w:t>ложено между привилегированным сословием богатых, знатных землевладельцев и бесправною, обедневшею, подавленной долгами массою, и имеющего интересы, совпадающие с общим благом.[3] Благодаря своему политическому таланту, Солон сумел доказать эвпатридам, что они должны сделать большие уступки народу, чт</w:t>
      </w:r>
      <w:r w:rsidRPr="00EC1A78">
        <w:rPr>
          <w:sz w:val="22"/>
          <w:szCs w:val="22"/>
        </w:rPr>
        <w:t>о</w:t>
      </w:r>
      <w:r w:rsidRPr="00EC1A78">
        <w:rPr>
          <w:sz w:val="22"/>
          <w:szCs w:val="22"/>
        </w:rPr>
        <w:t>бы не лишиться всего. Аристократия  согласилась  пожертвовать частью своих выгод ради необходимых реформ</w:t>
      </w:r>
      <w:r w:rsidRPr="00EC1A78">
        <w:rPr>
          <w:color w:val="333333"/>
          <w:sz w:val="22"/>
          <w:szCs w:val="22"/>
        </w:rPr>
        <w:t xml:space="preserve">. </w:t>
      </w:r>
      <w:r w:rsidRPr="00EC1A78">
        <w:rPr>
          <w:sz w:val="22"/>
          <w:szCs w:val="22"/>
        </w:rPr>
        <w:t>Солоном было о</w:t>
      </w:r>
      <w:r w:rsidRPr="00EC1A78">
        <w:rPr>
          <w:sz w:val="22"/>
          <w:szCs w:val="22"/>
        </w:rPr>
        <w:t>т</w:t>
      </w:r>
      <w:r w:rsidRPr="00EC1A78">
        <w:rPr>
          <w:sz w:val="22"/>
          <w:szCs w:val="22"/>
        </w:rPr>
        <w:t>менено</w:t>
      </w:r>
      <w:r w:rsidRPr="00EC1A78">
        <w:rPr>
          <w:color w:val="333333"/>
          <w:sz w:val="22"/>
          <w:szCs w:val="22"/>
        </w:rPr>
        <w:t xml:space="preserve"> </w:t>
      </w:r>
      <w:r w:rsidRPr="00EC1A78">
        <w:rPr>
          <w:sz w:val="22"/>
          <w:szCs w:val="22"/>
        </w:rPr>
        <w:t>долговое рабство и эта реформа получила название  с</w:t>
      </w:r>
      <w:r w:rsidRPr="00EC1A78">
        <w:rPr>
          <w:sz w:val="22"/>
          <w:szCs w:val="22"/>
        </w:rPr>
        <w:t>и</w:t>
      </w:r>
      <w:r w:rsidRPr="00EC1A78">
        <w:rPr>
          <w:sz w:val="22"/>
          <w:szCs w:val="22"/>
        </w:rPr>
        <w:t>сахфия (стряхивание бремени). Долговая кабала была отменена  и аннулированы все поземельные долги. Городских жителей, которые стали рабами за долги,  отпустили, а тех, кого продали за границу, выкупили за счет государства.[4] Еще одной реформой Солона, ст</w:t>
      </w:r>
      <w:r w:rsidRPr="00EC1A78">
        <w:rPr>
          <w:sz w:val="22"/>
          <w:szCs w:val="22"/>
        </w:rPr>
        <w:t>а</w:t>
      </w:r>
      <w:r w:rsidRPr="00EC1A78">
        <w:rPr>
          <w:sz w:val="22"/>
          <w:szCs w:val="22"/>
        </w:rPr>
        <w:t>ло разделение граждан на четыре имущественных класса.[5] Ва</w:t>
      </w:r>
      <w:r w:rsidRPr="00EC1A78">
        <w:rPr>
          <w:sz w:val="22"/>
          <w:szCs w:val="22"/>
        </w:rPr>
        <w:t>ж</w:t>
      </w:r>
      <w:r w:rsidRPr="00EC1A78">
        <w:rPr>
          <w:sz w:val="22"/>
          <w:szCs w:val="22"/>
        </w:rPr>
        <w:t>ным политическим преобразованием Солона было установление имущественного ценза. Он разделил население Афин, в зависим</w:t>
      </w:r>
      <w:r w:rsidRPr="00EC1A78">
        <w:rPr>
          <w:sz w:val="22"/>
          <w:szCs w:val="22"/>
        </w:rPr>
        <w:t>о</w:t>
      </w:r>
      <w:r w:rsidRPr="00EC1A78">
        <w:rPr>
          <w:sz w:val="22"/>
          <w:szCs w:val="22"/>
        </w:rPr>
        <w:t>сти от имущественного ценза на четыре разряда. Единицей измер</w:t>
      </w:r>
      <w:r w:rsidRPr="00EC1A78">
        <w:rPr>
          <w:sz w:val="22"/>
          <w:szCs w:val="22"/>
        </w:rPr>
        <w:t>е</w:t>
      </w:r>
      <w:r w:rsidRPr="00EC1A78">
        <w:rPr>
          <w:sz w:val="22"/>
          <w:szCs w:val="22"/>
        </w:rPr>
        <w:t>ния богатства стал медимн, то есть мера сыпучих тел (примерно 52 литра ). Первые два разряда получили право замещения всех ва</w:t>
      </w:r>
      <w:r w:rsidRPr="00EC1A78">
        <w:rPr>
          <w:sz w:val="22"/>
          <w:szCs w:val="22"/>
        </w:rPr>
        <w:t>ж</w:t>
      </w:r>
      <w:r w:rsidRPr="00EC1A78">
        <w:rPr>
          <w:sz w:val="22"/>
          <w:szCs w:val="22"/>
        </w:rPr>
        <w:t xml:space="preserve">ных постов в  государственном аппарате. Данная реформа ослабила </w:t>
      </w:r>
      <w:r w:rsidRPr="00EC1A78">
        <w:rPr>
          <w:sz w:val="22"/>
          <w:szCs w:val="22"/>
        </w:rPr>
        <w:lastRenderedPageBreak/>
        <w:t>влияние родовой аристократии на развитие государства. Солоном были введены новые органы государственные власти – совет чет</w:t>
      </w:r>
      <w:r w:rsidRPr="00EC1A78">
        <w:rPr>
          <w:sz w:val="22"/>
          <w:szCs w:val="22"/>
        </w:rPr>
        <w:t>ы</w:t>
      </w:r>
      <w:r w:rsidRPr="00EC1A78">
        <w:rPr>
          <w:sz w:val="22"/>
          <w:szCs w:val="22"/>
        </w:rPr>
        <w:t>рехсот (буле) и народное собрание (экклексия). В  совет четырехсот избиралось, соответственно, четыресто граждан Афин, только му</w:t>
      </w:r>
      <w:r w:rsidRPr="00EC1A78">
        <w:rPr>
          <w:sz w:val="22"/>
          <w:szCs w:val="22"/>
        </w:rPr>
        <w:t>ж</w:t>
      </w:r>
      <w:r w:rsidRPr="00EC1A78">
        <w:rPr>
          <w:sz w:val="22"/>
          <w:szCs w:val="22"/>
        </w:rPr>
        <w:t>чины, достигшие двадцати одного года, на срок полномочий – один год. По истечении срока полномочий, они отчитывались перед с</w:t>
      </w:r>
      <w:r w:rsidRPr="00EC1A78">
        <w:rPr>
          <w:sz w:val="22"/>
          <w:szCs w:val="22"/>
        </w:rPr>
        <w:t>о</w:t>
      </w:r>
      <w:r w:rsidRPr="00EC1A78">
        <w:rPr>
          <w:sz w:val="22"/>
          <w:szCs w:val="22"/>
        </w:rPr>
        <w:t>бранием, что указывает на развитие принципа должностной отве</w:t>
      </w:r>
      <w:r w:rsidRPr="00EC1A78">
        <w:rPr>
          <w:sz w:val="22"/>
          <w:szCs w:val="22"/>
        </w:rPr>
        <w:t>т</w:t>
      </w:r>
      <w:r w:rsidRPr="00EC1A78">
        <w:rPr>
          <w:sz w:val="22"/>
          <w:szCs w:val="22"/>
        </w:rPr>
        <w:t>ственности. Совет четырехсот участвовал в законодательной проц</w:t>
      </w:r>
      <w:r w:rsidRPr="00EC1A78">
        <w:rPr>
          <w:sz w:val="22"/>
          <w:szCs w:val="22"/>
        </w:rPr>
        <w:t>е</w:t>
      </w:r>
      <w:r w:rsidRPr="00EC1A78">
        <w:rPr>
          <w:sz w:val="22"/>
          <w:szCs w:val="22"/>
        </w:rPr>
        <w:t>дуре, ограничивая власть ареопага – политического и судебного о</w:t>
      </w:r>
      <w:r w:rsidRPr="00EC1A78">
        <w:rPr>
          <w:sz w:val="22"/>
          <w:szCs w:val="22"/>
        </w:rPr>
        <w:t>р</w:t>
      </w:r>
      <w:r w:rsidRPr="00EC1A78">
        <w:rPr>
          <w:sz w:val="22"/>
          <w:szCs w:val="22"/>
        </w:rPr>
        <w:t>гана. Итогом проведения реформы стало установление имущ</w:t>
      </w:r>
      <w:r w:rsidRPr="00EC1A78">
        <w:rPr>
          <w:sz w:val="22"/>
          <w:szCs w:val="22"/>
        </w:rPr>
        <w:t>е</w:t>
      </w:r>
      <w:r w:rsidRPr="00EC1A78">
        <w:rPr>
          <w:sz w:val="22"/>
          <w:szCs w:val="22"/>
        </w:rPr>
        <w:t>ственного принципа, вместо аристократического.[6] Пожалуй одной из самых важных реформ для изучения юристами, является введ</w:t>
      </w:r>
      <w:r w:rsidRPr="00EC1A78">
        <w:rPr>
          <w:sz w:val="22"/>
          <w:szCs w:val="22"/>
        </w:rPr>
        <w:t>е</w:t>
      </w:r>
      <w:r w:rsidRPr="00EC1A78">
        <w:rPr>
          <w:sz w:val="22"/>
          <w:szCs w:val="22"/>
        </w:rPr>
        <w:t>ния Солоном высшего судебного органа – гелиэи, прообраза суда присяжных. В этот судебный орган входило шесть тысяч судей, и</w:t>
      </w:r>
      <w:r w:rsidRPr="00EC1A78">
        <w:rPr>
          <w:sz w:val="22"/>
          <w:szCs w:val="22"/>
        </w:rPr>
        <w:t>з</w:t>
      </w:r>
      <w:r w:rsidRPr="00EC1A78">
        <w:rPr>
          <w:sz w:val="22"/>
          <w:szCs w:val="22"/>
        </w:rPr>
        <w:t>бираемых сроком на один год по жребию. Принципы организации деятельности данного судебного органа позволили избежать зл</w:t>
      </w:r>
      <w:r w:rsidRPr="00EC1A78">
        <w:rPr>
          <w:sz w:val="22"/>
          <w:szCs w:val="22"/>
        </w:rPr>
        <w:t>о</w:t>
      </w:r>
      <w:r w:rsidRPr="00EC1A78">
        <w:rPr>
          <w:sz w:val="22"/>
          <w:szCs w:val="22"/>
        </w:rPr>
        <w:t>употреблений властью, фактически невозможным стал подкуп с</w:t>
      </w:r>
      <w:r w:rsidRPr="00EC1A78">
        <w:rPr>
          <w:sz w:val="22"/>
          <w:szCs w:val="22"/>
        </w:rPr>
        <w:t>у</w:t>
      </w:r>
      <w:r w:rsidRPr="00EC1A78">
        <w:rPr>
          <w:sz w:val="22"/>
          <w:szCs w:val="22"/>
        </w:rPr>
        <w:t>дей. Более того, все сомнения трактовались в пользу обвиняемого, что является прообразом принципа презумпции невиновности, сч</w:t>
      </w:r>
      <w:r w:rsidRPr="00EC1A78">
        <w:rPr>
          <w:sz w:val="22"/>
          <w:szCs w:val="22"/>
        </w:rPr>
        <w:t>и</w:t>
      </w:r>
      <w:r w:rsidRPr="00EC1A78">
        <w:rPr>
          <w:sz w:val="22"/>
          <w:szCs w:val="22"/>
        </w:rPr>
        <w:t>тающегося наивысшим достижением демократии. Реформы Солона, несомненно, оказали большое влияние на родовую организацию однако, вследствие их компромиссного характера, не произошло разрешение острых противоречий, борьба демоса с родовой знатью не прекратилась, противостояние аристократии и демоса продолж</w:t>
      </w:r>
      <w:r w:rsidRPr="00EC1A78">
        <w:rPr>
          <w:sz w:val="22"/>
          <w:szCs w:val="22"/>
        </w:rPr>
        <w:t>а</w:t>
      </w:r>
      <w:r w:rsidRPr="00EC1A78">
        <w:rPr>
          <w:sz w:val="22"/>
          <w:szCs w:val="22"/>
        </w:rPr>
        <w:t xml:space="preserve">лось. </w:t>
      </w:r>
    </w:p>
    <w:p w:rsidR="00EC1A78" w:rsidRPr="00EC1A78" w:rsidRDefault="00EC1A78" w:rsidP="00EC1A78">
      <w:pPr>
        <w:jc w:val="both"/>
        <w:rPr>
          <w:sz w:val="22"/>
          <w:szCs w:val="22"/>
        </w:rPr>
      </w:pPr>
    </w:p>
    <w:p w:rsidR="00EC1A78" w:rsidRPr="00EC1A78" w:rsidRDefault="00EC1A78" w:rsidP="00EC1A78">
      <w:pPr>
        <w:jc w:val="center"/>
        <w:rPr>
          <w:sz w:val="22"/>
          <w:szCs w:val="22"/>
        </w:rPr>
      </w:pPr>
      <w:r w:rsidRPr="00EC1A78">
        <w:rPr>
          <w:sz w:val="22"/>
          <w:szCs w:val="22"/>
        </w:rPr>
        <w:t>Список литературы</w:t>
      </w:r>
      <w:bookmarkStart w:id="19" w:name="section_1"/>
      <w:bookmarkEnd w:id="19"/>
    </w:p>
    <w:p w:rsidR="00EC1A78" w:rsidRPr="00EC1A78" w:rsidRDefault="00EC1A78" w:rsidP="00EC1A78">
      <w:pPr>
        <w:ind w:firstLine="426"/>
        <w:jc w:val="both"/>
        <w:rPr>
          <w:sz w:val="22"/>
          <w:szCs w:val="22"/>
        </w:rPr>
      </w:pPr>
      <w:r w:rsidRPr="00EC1A78">
        <w:rPr>
          <w:sz w:val="22"/>
          <w:szCs w:val="22"/>
        </w:rPr>
        <w:t>1. Аристотель Афинская полития. 2–е изд. Государственное с</w:t>
      </w:r>
      <w:r w:rsidRPr="00EC1A78">
        <w:rPr>
          <w:sz w:val="22"/>
          <w:szCs w:val="22"/>
        </w:rPr>
        <w:t>о</w:t>
      </w:r>
      <w:r w:rsidRPr="00EC1A78">
        <w:rPr>
          <w:sz w:val="22"/>
          <w:szCs w:val="22"/>
        </w:rPr>
        <w:t>циально–экономическое издательство. М., 1937. С. 5—131.</w:t>
      </w:r>
    </w:p>
    <w:p w:rsidR="00EC1A78" w:rsidRPr="00EC1A78" w:rsidRDefault="00EC1A78" w:rsidP="00EC1A78">
      <w:pPr>
        <w:ind w:firstLine="426"/>
        <w:jc w:val="both"/>
        <w:rPr>
          <w:sz w:val="22"/>
          <w:szCs w:val="22"/>
        </w:rPr>
      </w:pPr>
      <w:r w:rsidRPr="00EC1A78">
        <w:rPr>
          <w:sz w:val="22"/>
          <w:szCs w:val="22"/>
        </w:rPr>
        <w:t>2. Черниловский З.М. Всеобщая история государства и права — М.1983.с. 40–44</w:t>
      </w:r>
    </w:p>
    <w:p w:rsidR="00EC1A78" w:rsidRPr="00EC1A78" w:rsidRDefault="00EC1A78" w:rsidP="00EC1A78">
      <w:pPr>
        <w:ind w:firstLine="426"/>
        <w:jc w:val="both"/>
        <w:rPr>
          <w:sz w:val="22"/>
          <w:szCs w:val="22"/>
        </w:rPr>
      </w:pPr>
      <w:r w:rsidRPr="00EC1A78">
        <w:rPr>
          <w:sz w:val="22"/>
          <w:szCs w:val="22"/>
        </w:rPr>
        <w:t>3. Чибиряев С.А. История государства и права зарубежных стран — М.2002.с.32</w:t>
      </w:r>
    </w:p>
    <w:p w:rsidR="00EC1A78" w:rsidRPr="00EC1A78" w:rsidRDefault="00EC1A78" w:rsidP="00EC1A78">
      <w:pPr>
        <w:ind w:firstLine="426"/>
        <w:jc w:val="both"/>
        <w:rPr>
          <w:sz w:val="22"/>
          <w:szCs w:val="22"/>
        </w:rPr>
      </w:pPr>
      <w:r w:rsidRPr="00EC1A78">
        <w:rPr>
          <w:sz w:val="22"/>
          <w:szCs w:val="22"/>
        </w:rPr>
        <w:t>4. Прудников М.Н. История государства и права зарубежных стран — М.2013.с.145–147</w:t>
      </w:r>
    </w:p>
    <w:p w:rsidR="00EC1A78" w:rsidRPr="00EC1A78" w:rsidRDefault="00EC1A78" w:rsidP="00EC1A78">
      <w:pPr>
        <w:ind w:firstLine="426"/>
        <w:jc w:val="both"/>
        <w:rPr>
          <w:sz w:val="22"/>
          <w:szCs w:val="22"/>
        </w:rPr>
      </w:pPr>
      <w:r w:rsidRPr="00EC1A78">
        <w:rPr>
          <w:sz w:val="22"/>
          <w:szCs w:val="22"/>
        </w:rPr>
        <w:t>5. Иванов А.А. История государства и права зарубежных стран. 2012. учебник – М.2012.с.37</w:t>
      </w:r>
    </w:p>
    <w:p w:rsidR="00EC2599" w:rsidRPr="00D81B7C" w:rsidRDefault="00EC1A78" w:rsidP="00D81B7C">
      <w:pPr>
        <w:ind w:firstLine="426"/>
        <w:jc w:val="both"/>
        <w:rPr>
          <w:sz w:val="22"/>
          <w:szCs w:val="22"/>
        </w:rPr>
      </w:pPr>
      <w:r w:rsidRPr="00EC1A78">
        <w:rPr>
          <w:sz w:val="22"/>
          <w:szCs w:val="22"/>
        </w:rPr>
        <w:t xml:space="preserve">6. </w:t>
      </w:r>
      <w:r w:rsidRPr="00EC1A78">
        <w:rPr>
          <w:sz w:val="22"/>
          <w:szCs w:val="22"/>
          <w:lang w:val="en-US"/>
        </w:rPr>
        <w:t>studopedia</w:t>
      </w:r>
      <w:r w:rsidRPr="00EC1A78">
        <w:rPr>
          <w:sz w:val="22"/>
          <w:szCs w:val="22"/>
        </w:rPr>
        <w:t>.</w:t>
      </w:r>
      <w:r w:rsidRPr="00EC1A78">
        <w:rPr>
          <w:sz w:val="22"/>
          <w:szCs w:val="22"/>
          <w:lang w:val="en-US"/>
        </w:rPr>
        <w:t>ru</w:t>
      </w:r>
      <w:r w:rsidRPr="00EC1A78">
        <w:rPr>
          <w:sz w:val="22"/>
          <w:szCs w:val="22"/>
        </w:rPr>
        <w:t xml:space="preserve"> Реформы Солона.</w:t>
      </w: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341.22</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Понятия, </w:t>
      </w:r>
      <w:bookmarkStart w:id="20" w:name="_Hlk509218127"/>
      <w:r w:rsidRPr="00EC1A78">
        <w:rPr>
          <w:rFonts w:eastAsiaTheme="minorHAnsi"/>
          <w:b/>
          <w:sz w:val="24"/>
          <w:szCs w:val="22"/>
          <w:lang w:eastAsia="en-US"/>
        </w:rPr>
        <w:t>используемые Конвенцией ООН о морском пр</w:t>
      </w:r>
      <w:r w:rsidRPr="00EC1A78">
        <w:rPr>
          <w:rFonts w:eastAsiaTheme="minorHAnsi"/>
          <w:b/>
          <w:sz w:val="24"/>
          <w:szCs w:val="22"/>
          <w:lang w:eastAsia="en-US"/>
        </w:rPr>
        <w:t>а</w:t>
      </w:r>
      <w:r w:rsidRPr="00EC1A78">
        <w:rPr>
          <w:rFonts w:eastAsiaTheme="minorHAnsi"/>
          <w:b/>
          <w:sz w:val="24"/>
          <w:szCs w:val="22"/>
          <w:lang w:eastAsia="en-US"/>
        </w:rPr>
        <w:t xml:space="preserve">ве 1982 года для обозначения </w:t>
      </w:r>
      <w:bookmarkEnd w:id="20"/>
      <w:r w:rsidRPr="00EC1A78">
        <w:rPr>
          <w:rFonts w:eastAsiaTheme="minorHAnsi"/>
          <w:b/>
          <w:sz w:val="24"/>
          <w:szCs w:val="22"/>
          <w:lang w:eastAsia="en-US"/>
        </w:rPr>
        <w:t xml:space="preserve">искусственных объектов, </w:t>
      </w:r>
      <w:r w:rsidR="00EC2599">
        <w:rPr>
          <w:rFonts w:eastAsiaTheme="minorHAnsi"/>
          <w:b/>
          <w:sz w:val="24"/>
          <w:szCs w:val="22"/>
          <w:lang w:eastAsia="en-US"/>
        </w:rPr>
        <w:br/>
      </w:r>
      <w:r w:rsidRPr="00EC1A78">
        <w:rPr>
          <w:rFonts w:eastAsiaTheme="minorHAnsi"/>
          <w:b/>
          <w:sz w:val="24"/>
          <w:szCs w:val="22"/>
          <w:lang w:eastAsia="en-US"/>
        </w:rPr>
        <w:t>находящихся в морских пространствах</w:t>
      </w:r>
    </w:p>
    <w:p w:rsidR="00EC1A78" w:rsidRPr="00E62E4B"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Terms</w:t>
      </w:r>
      <w:r w:rsidRPr="00EC2599">
        <w:rPr>
          <w:rFonts w:eastAsiaTheme="minorHAnsi"/>
          <w:b/>
          <w:sz w:val="24"/>
          <w:szCs w:val="22"/>
          <w:lang w:val="en-US" w:eastAsia="en-US"/>
        </w:rPr>
        <w:t xml:space="preserve"> </w:t>
      </w:r>
      <w:r w:rsidRPr="00EC1A78">
        <w:rPr>
          <w:rFonts w:eastAsiaTheme="minorHAnsi"/>
          <w:b/>
          <w:sz w:val="24"/>
          <w:szCs w:val="22"/>
          <w:lang w:val="en-US" w:eastAsia="en-US"/>
        </w:rPr>
        <w:t>used</w:t>
      </w:r>
      <w:r w:rsidRPr="00EC2599">
        <w:rPr>
          <w:rFonts w:eastAsiaTheme="minorHAnsi"/>
          <w:b/>
          <w:sz w:val="24"/>
          <w:szCs w:val="22"/>
          <w:lang w:val="en-US" w:eastAsia="en-US"/>
        </w:rPr>
        <w:t xml:space="preserve"> </w:t>
      </w:r>
      <w:r w:rsidRPr="00EC1A78">
        <w:rPr>
          <w:rFonts w:eastAsiaTheme="minorHAnsi"/>
          <w:b/>
          <w:sz w:val="24"/>
          <w:szCs w:val="22"/>
          <w:lang w:val="en-US" w:eastAsia="en-US"/>
        </w:rPr>
        <w:t>by</w:t>
      </w:r>
      <w:r w:rsidRPr="00EC2599">
        <w:rPr>
          <w:rFonts w:eastAsiaTheme="minorHAnsi"/>
          <w:b/>
          <w:sz w:val="24"/>
          <w:szCs w:val="22"/>
          <w:lang w:val="en-US" w:eastAsia="en-US"/>
        </w:rPr>
        <w:t xml:space="preserve"> </w:t>
      </w:r>
      <w:r w:rsidRPr="00EC1A78">
        <w:rPr>
          <w:rFonts w:eastAsiaTheme="minorHAnsi"/>
          <w:b/>
          <w:sz w:val="24"/>
          <w:szCs w:val="22"/>
          <w:lang w:val="en-US" w:eastAsia="en-US"/>
        </w:rPr>
        <w:t>the</w:t>
      </w:r>
      <w:r w:rsidRPr="00EC2599">
        <w:rPr>
          <w:rFonts w:eastAsiaTheme="minorHAnsi"/>
          <w:b/>
          <w:sz w:val="24"/>
          <w:szCs w:val="22"/>
          <w:lang w:val="en-US" w:eastAsia="en-US"/>
        </w:rPr>
        <w:t xml:space="preserve"> </w:t>
      </w:r>
      <w:r w:rsidRPr="00EC1A78">
        <w:rPr>
          <w:rFonts w:eastAsiaTheme="minorHAnsi"/>
          <w:b/>
          <w:sz w:val="24"/>
          <w:szCs w:val="22"/>
          <w:lang w:val="en-US" w:eastAsia="en-US"/>
        </w:rPr>
        <w:t>UN</w:t>
      </w:r>
      <w:r w:rsidRPr="00EC2599">
        <w:rPr>
          <w:rFonts w:eastAsiaTheme="minorHAnsi"/>
          <w:b/>
          <w:sz w:val="24"/>
          <w:szCs w:val="22"/>
          <w:lang w:val="en-US" w:eastAsia="en-US"/>
        </w:rPr>
        <w:t xml:space="preserve"> </w:t>
      </w:r>
      <w:r w:rsidRPr="00EC1A78">
        <w:rPr>
          <w:rFonts w:eastAsiaTheme="minorHAnsi"/>
          <w:b/>
          <w:sz w:val="24"/>
          <w:szCs w:val="22"/>
          <w:lang w:val="en-US" w:eastAsia="en-US"/>
        </w:rPr>
        <w:t>Convention</w:t>
      </w:r>
      <w:r w:rsidRPr="00EC2599">
        <w:rPr>
          <w:rFonts w:eastAsiaTheme="minorHAnsi"/>
          <w:b/>
          <w:sz w:val="24"/>
          <w:szCs w:val="22"/>
          <w:lang w:val="en-US" w:eastAsia="en-US"/>
        </w:rPr>
        <w:t xml:space="preserve"> </w:t>
      </w:r>
      <w:r w:rsidRPr="00EC1A78">
        <w:rPr>
          <w:rFonts w:eastAsiaTheme="minorHAnsi"/>
          <w:b/>
          <w:sz w:val="24"/>
          <w:szCs w:val="22"/>
          <w:lang w:val="en-US" w:eastAsia="en-US"/>
        </w:rPr>
        <w:t>on</w:t>
      </w:r>
      <w:r w:rsidRPr="00EC2599">
        <w:rPr>
          <w:rFonts w:eastAsiaTheme="minorHAnsi"/>
          <w:b/>
          <w:sz w:val="24"/>
          <w:szCs w:val="22"/>
          <w:lang w:val="en-US" w:eastAsia="en-US"/>
        </w:rPr>
        <w:t xml:space="preserve"> </w:t>
      </w:r>
      <w:r w:rsidRPr="00EC1A78">
        <w:rPr>
          <w:rFonts w:eastAsiaTheme="minorHAnsi"/>
          <w:b/>
          <w:sz w:val="24"/>
          <w:szCs w:val="22"/>
          <w:lang w:val="en-US" w:eastAsia="en-US"/>
        </w:rPr>
        <w:t>the</w:t>
      </w:r>
      <w:r w:rsidRPr="00EC2599">
        <w:rPr>
          <w:rFonts w:eastAsiaTheme="minorHAnsi"/>
          <w:b/>
          <w:sz w:val="24"/>
          <w:szCs w:val="22"/>
          <w:lang w:val="en-US" w:eastAsia="en-US"/>
        </w:rPr>
        <w:t xml:space="preserve"> </w:t>
      </w:r>
      <w:r w:rsidRPr="00EC1A78">
        <w:rPr>
          <w:rFonts w:eastAsiaTheme="minorHAnsi"/>
          <w:b/>
          <w:sz w:val="24"/>
          <w:szCs w:val="22"/>
          <w:lang w:val="en-US" w:eastAsia="en-US"/>
        </w:rPr>
        <w:t>Law</w:t>
      </w:r>
      <w:r w:rsidRPr="00EC2599">
        <w:rPr>
          <w:rFonts w:eastAsiaTheme="minorHAnsi"/>
          <w:b/>
          <w:sz w:val="24"/>
          <w:szCs w:val="22"/>
          <w:lang w:val="en-US" w:eastAsia="en-US"/>
        </w:rPr>
        <w:t xml:space="preserve"> </w:t>
      </w:r>
      <w:r w:rsidRPr="00EC1A78">
        <w:rPr>
          <w:rFonts w:eastAsiaTheme="minorHAnsi"/>
          <w:b/>
          <w:sz w:val="24"/>
          <w:szCs w:val="22"/>
          <w:lang w:val="en-US" w:eastAsia="en-US"/>
        </w:rPr>
        <w:t>of</w:t>
      </w:r>
      <w:r w:rsidRPr="00EC2599">
        <w:rPr>
          <w:rFonts w:eastAsiaTheme="minorHAnsi"/>
          <w:b/>
          <w:sz w:val="24"/>
          <w:szCs w:val="22"/>
          <w:lang w:val="en-US" w:eastAsia="en-US"/>
        </w:rPr>
        <w:t xml:space="preserve"> </w:t>
      </w:r>
      <w:r w:rsidRPr="00EC1A78">
        <w:rPr>
          <w:rFonts w:eastAsiaTheme="minorHAnsi"/>
          <w:b/>
          <w:sz w:val="24"/>
          <w:szCs w:val="22"/>
          <w:lang w:val="en-US" w:eastAsia="en-US"/>
        </w:rPr>
        <w:t>the</w:t>
      </w:r>
      <w:r w:rsidRPr="00EC2599">
        <w:rPr>
          <w:rFonts w:eastAsiaTheme="minorHAnsi"/>
          <w:b/>
          <w:sz w:val="24"/>
          <w:szCs w:val="22"/>
          <w:lang w:val="en-US" w:eastAsia="en-US"/>
        </w:rPr>
        <w:t xml:space="preserve"> </w:t>
      </w:r>
      <w:r w:rsidRPr="00EC1A78">
        <w:rPr>
          <w:rFonts w:eastAsiaTheme="minorHAnsi"/>
          <w:b/>
          <w:sz w:val="24"/>
          <w:szCs w:val="22"/>
          <w:lang w:val="en-US" w:eastAsia="en-US"/>
        </w:rPr>
        <w:t>Sea</w:t>
      </w:r>
      <w:r w:rsidRPr="00EC2599">
        <w:rPr>
          <w:rFonts w:eastAsiaTheme="minorHAnsi"/>
          <w:b/>
          <w:sz w:val="24"/>
          <w:szCs w:val="22"/>
          <w:lang w:val="en-US" w:eastAsia="en-US"/>
        </w:rPr>
        <w:t xml:space="preserve"> 1982 </w:t>
      </w:r>
      <w:r w:rsidRPr="00EC1A78">
        <w:rPr>
          <w:rFonts w:eastAsiaTheme="minorHAnsi"/>
          <w:b/>
          <w:sz w:val="24"/>
          <w:szCs w:val="22"/>
          <w:lang w:val="en-US" w:eastAsia="en-US"/>
        </w:rPr>
        <w:t>for</w:t>
      </w:r>
      <w:r w:rsidRPr="00EC2599">
        <w:rPr>
          <w:rFonts w:eastAsiaTheme="minorHAnsi"/>
          <w:b/>
          <w:sz w:val="24"/>
          <w:szCs w:val="22"/>
          <w:lang w:val="en-US" w:eastAsia="en-US"/>
        </w:rPr>
        <w:t xml:space="preserve"> </w:t>
      </w:r>
      <w:r w:rsidRPr="00EC1A78">
        <w:rPr>
          <w:rFonts w:eastAsiaTheme="minorHAnsi"/>
          <w:b/>
          <w:sz w:val="24"/>
          <w:szCs w:val="22"/>
          <w:lang w:val="en" w:eastAsia="en-US"/>
        </w:rPr>
        <w:t>designation</w:t>
      </w:r>
      <w:r w:rsidRPr="00EC2599">
        <w:rPr>
          <w:rFonts w:eastAsiaTheme="minorHAnsi"/>
          <w:b/>
          <w:sz w:val="24"/>
          <w:szCs w:val="22"/>
          <w:lang w:val="en-US" w:eastAsia="en-US"/>
        </w:rPr>
        <w:t xml:space="preserve"> </w:t>
      </w:r>
      <w:r w:rsidRPr="00EC1A78">
        <w:rPr>
          <w:rFonts w:eastAsiaTheme="minorHAnsi"/>
          <w:b/>
          <w:sz w:val="24"/>
          <w:szCs w:val="22"/>
          <w:lang w:val="en-US" w:eastAsia="en-US"/>
        </w:rPr>
        <w:t>of</w:t>
      </w:r>
      <w:r w:rsidRPr="00EC2599">
        <w:rPr>
          <w:rFonts w:eastAsiaTheme="minorHAnsi"/>
          <w:b/>
          <w:sz w:val="24"/>
          <w:szCs w:val="22"/>
          <w:lang w:val="en-US" w:eastAsia="en-US"/>
        </w:rPr>
        <w:t xml:space="preserve"> </w:t>
      </w:r>
      <w:r w:rsidRPr="00EC1A78">
        <w:rPr>
          <w:rFonts w:eastAsiaTheme="minorHAnsi"/>
          <w:b/>
          <w:sz w:val="24"/>
          <w:szCs w:val="22"/>
          <w:lang w:val="en-US" w:eastAsia="en-US"/>
        </w:rPr>
        <w:t>artificial</w:t>
      </w:r>
      <w:r w:rsidRPr="00EC2599">
        <w:rPr>
          <w:rFonts w:eastAsiaTheme="minorHAnsi"/>
          <w:b/>
          <w:sz w:val="24"/>
          <w:szCs w:val="22"/>
          <w:lang w:val="en-US" w:eastAsia="en-US"/>
        </w:rPr>
        <w:t xml:space="preserve"> </w:t>
      </w:r>
      <w:r w:rsidRPr="00EC1A78">
        <w:rPr>
          <w:rFonts w:eastAsiaTheme="minorHAnsi"/>
          <w:b/>
          <w:sz w:val="24"/>
          <w:szCs w:val="22"/>
          <w:lang w:val="en-US" w:eastAsia="en-US"/>
        </w:rPr>
        <w:t>objects</w:t>
      </w:r>
      <w:r w:rsidRPr="00EC2599">
        <w:rPr>
          <w:rFonts w:eastAsiaTheme="minorHAnsi"/>
          <w:b/>
          <w:sz w:val="24"/>
          <w:szCs w:val="22"/>
          <w:lang w:val="en-US" w:eastAsia="en-US"/>
        </w:rPr>
        <w:t xml:space="preserve">, </w:t>
      </w:r>
      <w:r w:rsidRPr="00EC1A78">
        <w:rPr>
          <w:rFonts w:eastAsiaTheme="minorHAnsi"/>
          <w:b/>
          <w:sz w:val="24"/>
          <w:szCs w:val="22"/>
          <w:lang w:val="en-US" w:eastAsia="en-US"/>
        </w:rPr>
        <w:t>that</w:t>
      </w:r>
      <w:r w:rsidRPr="00EC2599">
        <w:rPr>
          <w:rFonts w:eastAsiaTheme="minorHAnsi"/>
          <w:b/>
          <w:sz w:val="24"/>
          <w:szCs w:val="22"/>
          <w:lang w:val="en-US" w:eastAsia="en-US"/>
        </w:rPr>
        <w:t xml:space="preserve"> </w:t>
      </w:r>
      <w:r w:rsidRPr="00EC1A78">
        <w:rPr>
          <w:rFonts w:eastAsiaTheme="minorHAnsi"/>
          <w:b/>
          <w:sz w:val="24"/>
          <w:szCs w:val="22"/>
          <w:lang w:val="en-US" w:eastAsia="en-US"/>
        </w:rPr>
        <w:t>are</w:t>
      </w:r>
      <w:r w:rsidRPr="00EC2599">
        <w:rPr>
          <w:rFonts w:eastAsiaTheme="minorHAnsi"/>
          <w:b/>
          <w:sz w:val="24"/>
          <w:szCs w:val="22"/>
          <w:lang w:val="en-US" w:eastAsia="en-US"/>
        </w:rPr>
        <w:t xml:space="preserve"> </w:t>
      </w:r>
      <w:r w:rsidRPr="00EC1A78">
        <w:rPr>
          <w:rFonts w:eastAsiaTheme="minorHAnsi"/>
          <w:b/>
          <w:sz w:val="24"/>
          <w:szCs w:val="22"/>
          <w:lang w:val="en-US" w:eastAsia="en-US"/>
        </w:rPr>
        <w:t>situated</w:t>
      </w:r>
      <w:r w:rsidRPr="00EC2599">
        <w:rPr>
          <w:rFonts w:eastAsiaTheme="minorHAnsi"/>
          <w:b/>
          <w:sz w:val="24"/>
          <w:szCs w:val="22"/>
          <w:lang w:val="en-US" w:eastAsia="en-US"/>
        </w:rPr>
        <w:t xml:space="preserve"> </w:t>
      </w:r>
      <w:r w:rsidR="00EC2599" w:rsidRPr="00EC2599">
        <w:rPr>
          <w:rFonts w:eastAsiaTheme="minorHAnsi"/>
          <w:b/>
          <w:sz w:val="24"/>
          <w:szCs w:val="22"/>
          <w:lang w:val="en-US" w:eastAsia="en-US"/>
        </w:rPr>
        <w:br/>
      </w:r>
      <w:r w:rsidRPr="00EC1A78">
        <w:rPr>
          <w:rFonts w:eastAsiaTheme="minorHAnsi"/>
          <w:b/>
          <w:sz w:val="24"/>
          <w:szCs w:val="22"/>
          <w:lang w:val="en-US" w:eastAsia="en-US"/>
        </w:rPr>
        <w:t>in</w:t>
      </w:r>
      <w:r w:rsidRPr="00EC2599">
        <w:rPr>
          <w:rFonts w:eastAsiaTheme="minorHAnsi"/>
          <w:b/>
          <w:sz w:val="24"/>
          <w:szCs w:val="22"/>
          <w:lang w:val="en-US" w:eastAsia="en-US"/>
        </w:rPr>
        <w:t xml:space="preserve"> </w:t>
      </w:r>
      <w:r w:rsidRPr="00EC1A78">
        <w:rPr>
          <w:rFonts w:eastAsiaTheme="minorHAnsi"/>
          <w:b/>
          <w:sz w:val="24"/>
          <w:szCs w:val="22"/>
          <w:lang w:val="en-US" w:eastAsia="en-US"/>
        </w:rPr>
        <w:t>the</w:t>
      </w:r>
      <w:r w:rsidRPr="00EC2599">
        <w:rPr>
          <w:rFonts w:eastAsiaTheme="minorHAnsi"/>
          <w:b/>
          <w:sz w:val="24"/>
          <w:szCs w:val="22"/>
          <w:lang w:val="en-US" w:eastAsia="en-US"/>
        </w:rPr>
        <w:t xml:space="preserve"> </w:t>
      </w:r>
      <w:r w:rsidRPr="00EC1A78">
        <w:rPr>
          <w:rFonts w:eastAsiaTheme="minorHAnsi"/>
          <w:b/>
          <w:sz w:val="24"/>
          <w:szCs w:val="22"/>
          <w:lang w:val="en-US" w:eastAsia="en-US"/>
        </w:rPr>
        <w:t>maritime space</w:t>
      </w:r>
    </w:p>
    <w:p w:rsidR="00EC2599" w:rsidRPr="00E62E4B" w:rsidRDefault="00EC2599" w:rsidP="00EC1A78">
      <w:pPr>
        <w:jc w:val="center"/>
        <w:rPr>
          <w:rFonts w:eastAsiaTheme="minorHAnsi"/>
          <w:b/>
          <w:sz w:val="24"/>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Малимонова А.</w:t>
      </w:r>
      <w:r w:rsidR="00EC2599">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2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Гринь Е.</w:t>
      </w:r>
      <w:r w:rsidR="00EC2599">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трудового, земельного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и экологического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ind w:firstLine="425"/>
        <w:jc w:val="both"/>
        <w:rPr>
          <w:rFonts w:eastAsiaTheme="minorHAnsi"/>
          <w:sz w:val="20"/>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Авторы приходят к выводу о том, то Конвенция «О морском праве» содержит однотипные и, в ряде случаев, вза</w:t>
      </w:r>
      <w:r w:rsidRPr="00EC1A78">
        <w:rPr>
          <w:rFonts w:eastAsiaTheme="minorHAnsi"/>
          <w:sz w:val="22"/>
          <w:szCs w:val="22"/>
          <w:lang w:eastAsia="en-US"/>
        </w:rPr>
        <w:t>и</w:t>
      </w:r>
      <w:r w:rsidRPr="00EC1A78">
        <w:rPr>
          <w:rFonts w:eastAsiaTheme="minorHAnsi"/>
          <w:sz w:val="22"/>
          <w:szCs w:val="22"/>
          <w:lang w:eastAsia="en-US"/>
        </w:rPr>
        <w:t>мозаменяемые термины такие, как например, искусственный ос</w:t>
      </w:r>
      <w:r w:rsidRPr="00EC1A78">
        <w:rPr>
          <w:rFonts w:eastAsiaTheme="minorHAnsi"/>
          <w:sz w:val="22"/>
          <w:szCs w:val="22"/>
          <w:lang w:eastAsia="en-US"/>
        </w:rPr>
        <w:t>т</w:t>
      </w:r>
      <w:r w:rsidRPr="00EC1A78">
        <w:rPr>
          <w:rFonts w:eastAsiaTheme="minorHAnsi"/>
          <w:sz w:val="22"/>
          <w:szCs w:val="22"/>
          <w:lang w:eastAsia="en-US"/>
        </w:rPr>
        <w:t>ров, установки, сооружения, устройства и конструкции.</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authors come up with that the convention i</w:t>
      </w:r>
      <w:r w:rsidRPr="00EC1A78">
        <w:rPr>
          <w:rFonts w:eastAsiaTheme="minorHAnsi"/>
          <w:sz w:val="22"/>
          <w:szCs w:val="22"/>
          <w:lang w:val="en-US" w:eastAsia="en-US"/>
        </w:rPr>
        <w:t>n</w:t>
      </w:r>
      <w:r w:rsidRPr="00EC1A78">
        <w:rPr>
          <w:rFonts w:eastAsiaTheme="minorHAnsi"/>
          <w:sz w:val="22"/>
          <w:szCs w:val="22"/>
          <w:lang w:val="en-US" w:eastAsia="en-US"/>
        </w:rPr>
        <w:t>cludes terms of the same nature, for example, artificial island, install</w:t>
      </w:r>
      <w:r w:rsidRPr="00EC1A78">
        <w:rPr>
          <w:rFonts w:eastAsiaTheme="minorHAnsi"/>
          <w:sz w:val="22"/>
          <w:szCs w:val="22"/>
          <w:lang w:val="en-US" w:eastAsia="en-US"/>
        </w:rPr>
        <w:t>a</w:t>
      </w:r>
      <w:r w:rsidRPr="00EC1A78">
        <w:rPr>
          <w:rFonts w:eastAsiaTheme="minorHAnsi"/>
          <w:sz w:val="22"/>
          <w:szCs w:val="22"/>
          <w:lang w:val="en-US" w:eastAsia="en-US"/>
        </w:rPr>
        <w:t>tions, structures, devices and constructions.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искусственный земельный участок, и</w:t>
      </w:r>
      <w:r w:rsidRPr="00EC1A78">
        <w:rPr>
          <w:rFonts w:eastAsiaTheme="minorHAnsi"/>
          <w:sz w:val="22"/>
          <w:szCs w:val="22"/>
          <w:lang w:eastAsia="en-US"/>
        </w:rPr>
        <w:t>с</w:t>
      </w:r>
      <w:r w:rsidRPr="00EC1A78">
        <w:rPr>
          <w:rFonts w:eastAsiaTheme="minorHAnsi"/>
          <w:sz w:val="22"/>
          <w:szCs w:val="22"/>
          <w:lang w:eastAsia="en-US"/>
        </w:rPr>
        <w:t>кусственный остров, морское право, международное право.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an artificial plot of land, an artificial island, the law of the sea, international law.</w:t>
      </w:r>
    </w:p>
    <w:p w:rsidR="00EC1A78" w:rsidRPr="00EC1A78" w:rsidRDefault="00EC1A78" w:rsidP="00EC1A78">
      <w:pPr>
        <w:ind w:firstLine="425"/>
        <w:rPr>
          <w:rFonts w:eastAsiaTheme="minorHAnsi"/>
          <w:b/>
          <w:sz w:val="24"/>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Конвенция ООН о морском праве 1982 года использует такое понятие, как «искусственный остров». Но наряду с ним в тексте есть и иные понятия: установки, сооружения, устройства, констру</w:t>
      </w:r>
      <w:r w:rsidRPr="00EC1A78">
        <w:rPr>
          <w:rFonts w:eastAsiaTheme="minorHAnsi"/>
          <w:sz w:val="22"/>
          <w:szCs w:val="22"/>
          <w:lang w:eastAsia="en-US"/>
        </w:rPr>
        <w:t>к</w:t>
      </w:r>
      <w:r w:rsidRPr="00EC1A78">
        <w:rPr>
          <w:rFonts w:eastAsiaTheme="minorHAnsi"/>
          <w:sz w:val="22"/>
          <w:szCs w:val="22"/>
          <w:lang w:eastAsia="en-US"/>
        </w:rPr>
        <w:t>ции. Ф. Гали считает, что все эти термины являются взаимозамен</w:t>
      </w:r>
      <w:r w:rsidRPr="00EC1A78">
        <w:rPr>
          <w:rFonts w:eastAsiaTheme="minorHAnsi"/>
          <w:sz w:val="22"/>
          <w:szCs w:val="22"/>
          <w:lang w:eastAsia="en-US"/>
        </w:rPr>
        <w:t>я</w:t>
      </w:r>
      <w:r w:rsidRPr="00EC1A78">
        <w:rPr>
          <w:rFonts w:eastAsiaTheme="minorHAnsi"/>
          <w:sz w:val="22"/>
          <w:szCs w:val="22"/>
          <w:lang w:eastAsia="en-US"/>
        </w:rPr>
        <w:t xml:space="preserve">емыми, и все они в разных контекстах связаны с искусственными островами [1]. С ее мнением трудно не согласиться, учитывая тот факт, что в Конвенции не дано дефиниции ни одного из указанных терминов.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Следующим доводом в поддержку тезиса, высказанного Ф. Г</w:t>
      </w:r>
      <w:r w:rsidRPr="00EC1A78">
        <w:rPr>
          <w:rFonts w:eastAsiaTheme="minorHAnsi"/>
          <w:sz w:val="22"/>
          <w:szCs w:val="22"/>
          <w:lang w:eastAsia="en-US"/>
        </w:rPr>
        <w:t>а</w:t>
      </w:r>
      <w:r w:rsidRPr="00EC1A78">
        <w:rPr>
          <w:rFonts w:eastAsiaTheme="minorHAnsi"/>
          <w:sz w:val="22"/>
          <w:szCs w:val="22"/>
          <w:lang w:eastAsia="en-US"/>
        </w:rPr>
        <w:t>ли, является тот факт, что в Конвенции неоднократно указывается, что устройства, сооружения, искусственные острова, возводимые в исключительной экономической зоне, на континентальном шельфе, в Районе («дно морей и океанов и его недра за пределами наци</w:t>
      </w:r>
      <w:r w:rsidRPr="00EC1A78">
        <w:rPr>
          <w:rFonts w:eastAsiaTheme="minorHAnsi"/>
          <w:sz w:val="22"/>
          <w:szCs w:val="22"/>
          <w:lang w:eastAsia="en-US"/>
        </w:rPr>
        <w:t>о</w:t>
      </w:r>
      <w:r w:rsidRPr="00EC1A78">
        <w:rPr>
          <w:rFonts w:eastAsiaTheme="minorHAnsi"/>
          <w:sz w:val="22"/>
          <w:szCs w:val="22"/>
          <w:lang w:eastAsia="en-US"/>
        </w:rPr>
        <w:t>нальной юрисдикции» [2]) не имеют статуса островов, а также сво</w:t>
      </w:r>
      <w:r w:rsidRPr="00EC1A78">
        <w:rPr>
          <w:rFonts w:eastAsiaTheme="minorHAnsi"/>
          <w:sz w:val="22"/>
          <w:szCs w:val="22"/>
          <w:lang w:eastAsia="en-US"/>
        </w:rPr>
        <w:t>е</w:t>
      </w:r>
      <w:r w:rsidRPr="00EC1A78">
        <w:rPr>
          <w:rFonts w:eastAsiaTheme="minorHAnsi"/>
          <w:sz w:val="22"/>
          <w:szCs w:val="22"/>
          <w:lang w:eastAsia="en-US"/>
        </w:rPr>
        <w:t xml:space="preserve">го территориального моря, и их наличие не влияет на определение границ территориального моря, исключительной экономической зоны или континентального шельфа [2].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Еще один аргумент – в первой статье Конвенции все рукотво</w:t>
      </w:r>
      <w:r w:rsidRPr="00EC1A78">
        <w:rPr>
          <w:rFonts w:eastAsiaTheme="minorHAnsi"/>
          <w:sz w:val="22"/>
          <w:szCs w:val="22"/>
          <w:lang w:eastAsia="en-US"/>
        </w:rPr>
        <w:t>р</w:t>
      </w:r>
      <w:r w:rsidRPr="00EC1A78">
        <w:rPr>
          <w:rFonts w:eastAsiaTheme="minorHAnsi"/>
          <w:sz w:val="22"/>
          <w:szCs w:val="22"/>
          <w:lang w:eastAsia="en-US"/>
        </w:rPr>
        <w:t>ные сооружения объединены в одну группу так называемых «и</w:t>
      </w:r>
      <w:r w:rsidRPr="00EC1A78">
        <w:rPr>
          <w:rFonts w:eastAsiaTheme="minorHAnsi"/>
          <w:sz w:val="22"/>
          <w:szCs w:val="22"/>
          <w:lang w:eastAsia="en-US"/>
        </w:rPr>
        <w:t>с</w:t>
      </w:r>
      <w:r w:rsidRPr="00EC1A78">
        <w:rPr>
          <w:rFonts w:eastAsiaTheme="minorHAnsi"/>
          <w:sz w:val="22"/>
          <w:szCs w:val="22"/>
          <w:lang w:eastAsia="en-US"/>
        </w:rPr>
        <w:t>кусственно сооруженных в море конструкций» [2]. Таким образом, по смыслу Конвенции термин «конструкции» является собирател</w:t>
      </w:r>
      <w:r w:rsidRPr="00EC1A78">
        <w:rPr>
          <w:rFonts w:eastAsiaTheme="minorHAnsi"/>
          <w:sz w:val="22"/>
          <w:szCs w:val="22"/>
          <w:lang w:eastAsia="en-US"/>
        </w:rPr>
        <w:t>ь</w:t>
      </w:r>
      <w:r w:rsidRPr="00EC1A78">
        <w:rPr>
          <w:rFonts w:eastAsiaTheme="minorHAnsi"/>
          <w:sz w:val="22"/>
          <w:szCs w:val="22"/>
          <w:lang w:eastAsia="en-US"/>
        </w:rPr>
        <w:t>ным для всех объектов, появившихся на морских пространствах благодаря человеческой деятельности.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При этом в документе проводятся и разграничения между н</w:t>
      </w:r>
      <w:r w:rsidRPr="00EC1A78">
        <w:rPr>
          <w:rFonts w:eastAsiaTheme="minorHAnsi"/>
          <w:sz w:val="22"/>
          <w:szCs w:val="22"/>
          <w:lang w:eastAsia="en-US"/>
        </w:rPr>
        <w:t>е</w:t>
      </w:r>
      <w:r w:rsidRPr="00EC1A78">
        <w:rPr>
          <w:rFonts w:eastAsiaTheme="minorHAnsi"/>
          <w:sz w:val="22"/>
          <w:szCs w:val="22"/>
          <w:lang w:eastAsia="en-US"/>
        </w:rPr>
        <w:t>которыми видами искусственно созданных сооружений. Так, ст. 11 четко отделяет порты от искусственных островов и сооружений: они не считаются постоянными портовыми сооружениями. Испол</w:t>
      </w:r>
      <w:r w:rsidRPr="00EC1A78">
        <w:rPr>
          <w:rFonts w:eastAsiaTheme="minorHAnsi"/>
          <w:sz w:val="22"/>
          <w:szCs w:val="22"/>
          <w:lang w:eastAsia="en-US"/>
        </w:rPr>
        <w:t>ь</w:t>
      </w:r>
      <w:r w:rsidRPr="00EC1A78">
        <w:rPr>
          <w:rFonts w:eastAsiaTheme="minorHAnsi"/>
          <w:sz w:val="22"/>
          <w:szCs w:val="22"/>
          <w:lang w:eastAsia="en-US"/>
        </w:rPr>
        <w:t>зование признака «постоянности» является важным, так как позв</w:t>
      </w:r>
      <w:r w:rsidRPr="00EC1A78">
        <w:rPr>
          <w:rFonts w:eastAsiaTheme="minorHAnsi"/>
          <w:sz w:val="22"/>
          <w:szCs w:val="22"/>
          <w:lang w:eastAsia="en-US"/>
        </w:rPr>
        <w:t>о</w:t>
      </w:r>
      <w:r w:rsidRPr="00EC1A78">
        <w:rPr>
          <w:rFonts w:eastAsiaTheme="minorHAnsi"/>
          <w:sz w:val="22"/>
          <w:szCs w:val="22"/>
          <w:lang w:eastAsia="en-US"/>
        </w:rPr>
        <w:t>ляет сделать вывод о признании международным сообществом с</w:t>
      </w:r>
      <w:r w:rsidRPr="00EC1A78">
        <w:rPr>
          <w:rFonts w:eastAsiaTheme="minorHAnsi"/>
          <w:sz w:val="22"/>
          <w:szCs w:val="22"/>
          <w:lang w:eastAsia="en-US"/>
        </w:rPr>
        <w:t>у</w:t>
      </w:r>
      <w:r w:rsidRPr="00EC1A78">
        <w:rPr>
          <w:rFonts w:eastAsiaTheme="minorHAnsi"/>
          <w:sz w:val="22"/>
          <w:szCs w:val="22"/>
          <w:lang w:eastAsia="en-US"/>
        </w:rPr>
        <w:t>ществования и временных сооружений. Но трудно представить с</w:t>
      </w:r>
      <w:r w:rsidRPr="00EC1A78">
        <w:rPr>
          <w:rFonts w:eastAsiaTheme="minorHAnsi"/>
          <w:sz w:val="22"/>
          <w:szCs w:val="22"/>
          <w:lang w:eastAsia="en-US"/>
        </w:rPr>
        <w:t>и</w:t>
      </w:r>
      <w:r w:rsidRPr="00EC1A78">
        <w:rPr>
          <w:rFonts w:eastAsiaTheme="minorHAnsi"/>
          <w:sz w:val="22"/>
          <w:szCs w:val="22"/>
          <w:lang w:eastAsia="en-US"/>
        </w:rPr>
        <w:t xml:space="preserve">туацию, когда кто–нибудь решит построить искусственный остров на ограниченный срок, так как его возведение требует вложения больших средств, и это будет просто нерентабельно.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Также Конвенция однозначно отделяет платформы от </w:t>
      </w:r>
      <w:bookmarkStart w:id="21" w:name="_Hlk509218148"/>
      <w:r w:rsidRPr="00EC1A78">
        <w:rPr>
          <w:rFonts w:eastAsiaTheme="minorHAnsi"/>
          <w:sz w:val="22"/>
          <w:szCs w:val="22"/>
          <w:lang w:eastAsia="en-US"/>
        </w:rPr>
        <w:t>иску</w:t>
      </w:r>
      <w:r w:rsidRPr="00EC1A78">
        <w:rPr>
          <w:rFonts w:eastAsiaTheme="minorHAnsi"/>
          <w:sz w:val="22"/>
          <w:szCs w:val="22"/>
          <w:lang w:eastAsia="en-US"/>
        </w:rPr>
        <w:t>с</w:t>
      </w:r>
      <w:r w:rsidRPr="00EC1A78">
        <w:rPr>
          <w:rFonts w:eastAsiaTheme="minorHAnsi"/>
          <w:sz w:val="22"/>
          <w:szCs w:val="22"/>
          <w:lang w:eastAsia="en-US"/>
        </w:rPr>
        <w:t xml:space="preserve">ственно сооруженных в море конструкций </w:t>
      </w:r>
      <w:bookmarkEnd w:id="21"/>
      <w:r w:rsidRPr="00EC1A78">
        <w:rPr>
          <w:rFonts w:eastAsiaTheme="minorHAnsi"/>
          <w:sz w:val="22"/>
          <w:szCs w:val="22"/>
          <w:lang w:eastAsia="en-US"/>
        </w:rPr>
        <w:t>[2]. Представляется, что причиной тому является различный характер этих конструкций. Так, платформа на море помещается с конкретной целью, связанной с промышленной деятельностью человека. Например, существуют буровые, нефтяные, плавучие и иные платформы, и они не имеют ничего общего ни с искусственными, ни с естественными остров</w:t>
      </w:r>
      <w:r w:rsidRPr="00EC1A78">
        <w:rPr>
          <w:rFonts w:eastAsiaTheme="minorHAnsi"/>
          <w:sz w:val="22"/>
          <w:szCs w:val="22"/>
          <w:lang w:eastAsia="en-US"/>
        </w:rPr>
        <w:t>а</w:t>
      </w:r>
      <w:r w:rsidRPr="00EC1A78">
        <w:rPr>
          <w:rFonts w:eastAsiaTheme="minorHAnsi"/>
          <w:sz w:val="22"/>
          <w:szCs w:val="22"/>
          <w:lang w:eastAsia="en-US"/>
        </w:rPr>
        <w:t>ми.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 Хоссейн считает, что теоретически категория «искусстве</w:t>
      </w:r>
      <w:r w:rsidRPr="00EC1A78">
        <w:rPr>
          <w:rFonts w:eastAsiaTheme="minorHAnsi"/>
          <w:sz w:val="22"/>
          <w:szCs w:val="22"/>
          <w:lang w:eastAsia="en-US"/>
        </w:rPr>
        <w:t>н</w:t>
      </w:r>
      <w:r w:rsidRPr="00EC1A78">
        <w:rPr>
          <w:rFonts w:eastAsiaTheme="minorHAnsi"/>
          <w:sz w:val="22"/>
          <w:szCs w:val="22"/>
          <w:lang w:eastAsia="en-US"/>
        </w:rPr>
        <w:t xml:space="preserve">ные острова» шире, чем «прибрежные установки» [3]. Объясняется это тем, что возведение установок возможно лишь для достижения конкретной цели, такой как изучение, эксплуатация, сохранение и управление живыми и неживыми морскими ресурсами, ресурсами </w:t>
      </w:r>
      <w:r w:rsidRPr="00EC1A78">
        <w:rPr>
          <w:rFonts w:eastAsiaTheme="minorHAnsi"/>
          <w:sz w:val="22"/>
          <w:szCs w:val="22"/>
          <w:lang w:eastAsia="en-US"/>
        </w:rPr>
        <w:lastRenderedPageBreak/>
        <w:t>морского дна, а также в иных экономических целях. В то время, как возможность создания искусственных островов не зависит от целей их эксплуатации.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Что касается термина «устройство», то он часто используется вместе с термином «установки» в нормах, регулирующих отнош</w:t>
      </w:r>
      <w:r w:rsidRPr="00EC1A78">
        <w:rPr>
          <w:rFonts w:eastAsiaTheme="minorHAnsi"/>
          <w:sz w:val="22"/>
          <w:szCs w:val="22"/>
          <w:lang w:eastAsia="en-US"/>
        </w:rPr>
        <w:t>е</w:t>
      </w:r>
      <w:r w:rsidRPr="00EC1A78">
        <w:rPr>
          <w:rFonts w:eastAsiaTheme="minorHAnsi"/>
          <w:sz w:val="22"/>
          <w:szCs w:val="22"/>
          <w:lang w:eastAsia="en-US"/>
        </w:rPr>
        <w:t>ния, связанные с защитой морской среды от загрязнений. При этом Конвенция проводит различие между устройствами и установками, предназначенными для разведки и разработки природных ресурсов. Так, толковый словарь дает следующее определение понятия «устройство» – механизм, машина, прибор [4]. То есть это термин, означающий объекты, имеющие механическое назначение. Причем, по–видимому, данные вещи обладают признаками мобильности, т.е. легко перемещаемые, чего нельзя сказать об установках и тем более об искусственных островах.</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Под понятием «сооружение» понимается объект недвижимого имущества: группа в классификации основных средств, предста</w:t>
      </w:r>
      <w:r w:rsidRPr="00EC1A78">
        <w:rPr>
          <w:rFonts w:eastAsiaTheme="minorHAnsi"/>
          <w:sz w:val="22"/>
          <w:szCs w:val="22"/>
          <w:lang w:eastAsia="en-US"/>
        </w:rPr>
        <w:t>в</w:t>
      </w:r>
      <w:r w:rsidRPr="00EC1A78">
        <w:rPr>
          <w:rFonts w:eastAsiaTheme="minorHAnsi"/>
          <w:sz w:val="22"/>
          <w:szCs w:val="22"/>
          <w:lang w:eastAsia="en-US"/>
        </w:rPr>
        <w:t>ляющих собой инженерно–строительные объекты, предназначе</w:t>
      </w:r>
      <w:r w:rsidRPr="00EC1A78">
        <w:rPr>
          <w:rFonts w:eastAsiaTheme="minorHAnsi"/>
          <w:sz w:val="22"/>
          <w:szCs w:val="22"/>
          <w:lang w:eastAsia="en-US"/>
        </w:rPr>
        <w:t>н</w:t>
      </w:r>
      <w:r w:rsidRPr="00EC1A78">
        <w:rPr>
          <w:rFonts w:eastAsiaTheme="minorHAnsi"/>
          <w:sz w:val="22"/>
          <w:szCs w:val="22"/>
          <w:lang w:eastAsia="en-US"/>
        </w:rPr>
        <w:t>ные для выполнения общих функций процесса производства [4]. Иными словами, это предмет, тесно связанный с землей, а в случае с морскими сооружениями – дном. Получается, что сооружениями являются всякие рукотворные объекты, не способные к перемещ</w:t>
      </w:r>
      <w:r w:rsidRPr="00EC1A78">
        <w:rPr>
          <w:rFonts w:eastAsiaTheme="minorHAnsi"/>
          <w:sz w:val="22"/>
          <w:szCs w:val="22"/>
          <w:lang w:eastAsia="en-US"/>
        </w:rPr>
        <w:t>е</w:t>
      </w:r>
      <w:r w:rsidRPr="00EC1A78">
        <w:rPr>
          <w:rFonts w:eastAsiaTheme="minorHAnsi"/>
          <w:sz w:val="22"/>
          <w:szCs w:val="22"/>
          <w:lang w:eastAsia="en-US"/>
        </w:rPr>
        <w:t>нию без соразмерного ущерба.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Итак, из всего вышесказанного можно сделать вывод о том, что в Конвенции ООН по морскому праву 1982 года нет определения искусственных островов, должным образом не определен их статус. Представляется, что во избежание путаницы и недопонимания, необходимо четко разграничить все взаимозаменяемые термины, используемые Конвенцией. </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jc w:val="center"/>
        <w:rPr>
          <w:rFonts w:eastAsiaTheme="minorHAnsi"/>
          <w:sz w:val="22"/>
          <w:szCs w:val="22"/>
          <w:lang w:val="en-US" w:eastAsia="en-US"/>
        </w:rPr>
      </w:pPr>
      <w:r w:rsidRPr="00EC1A78">
        <w:rPr>
          <w:rFonts w:eastAsiaTheme="minorHAnsi"/>
          <w:sz w:val="22"/>
          <w:szCs w:val="22"/>
          <w:lang w:eastAsia="en-US"/>
        </w:rPr>
        <w:t>Список</w:t>
      </w:r>
      <w:r w:rsidRPr="00EC1A78">
        <w:rPr>
          <w:rFonts w:eastAsiaTheme="minorHAnsi"/>
          <w:sz w:val="22"/>
          <w:szCs w:val="22"/>
          <w:lang w:val="en-US" w:eastAsia="en-US"/>
        </w:rPr>
        <w:t xml:space="preserve"> </w:t>
      </w:r>
      <w:r w:rsidRPr="00EC1A78">
        <w:rPr>
          <w:rFonts w:eastAsiaTheme="minorHAnsi"/>
          <w:sz w:val="22"/>
          <w:szCs w:val="22"/>
          <w:lang w:eastAsia="en-US"/>
        </w:rPr>
        <w:t>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val="en-US" w:eastAsia="en-US"/>
        </w:rPr>
        <w:t xml:space="preserve">1. Galea F., Artificial islands in The Law of the Sea. </w:t>
      </w:r>
      <w:r w:rsidRPr="00EC1A78">
        <w:rPr>
          <w:rFonts w:eastAsiaTheme="minorHAnsi"/>
          <w:sz w:val="22"/>
          <w:szCs w:val="22"/>
          <w:lang w:eastAsia="en-US"/>
        </w:rPr>
        <w:t>Malta. 2009.</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eastAsia="en-US"/>
        </w:rPr>
        <w:t xml:space="preserve">2. Конвенция Организации Объединенных Наций по морскому праву (UNCLOS) (заключена в г. Монтего–Бее 10.12.1982) с изм. от 23.07.1994г. // СЗ РФ. 1997. </w:t>
      </w:r>
      <w:r w:rsidRPr="00EC1A78">
        <w:rPr>
          <w:rFonts w:eastAsiaTheme="minorHAnsi"/>
          <w:sz w:val="22"/>
          <w:szCs w:val="22"/>
          <w:lang w:val="en-US" w:eastAsia="en-US"/>
        </w:rPr>
        <w:t xml:space="preserve">№ 48. </w:t>
      </w:r>
      <w:r w:rsidRPr="00EC1A78">
        <w:rPr>
          <w:rFonts w:eastAsiaTheme="minorHAnsi"/>
          <w:sz w:val="22"/>
          <w:szCs w:val="22"/>
          <w:lang w:eastAsia="en-US"/>
        </w:rPr>
        <w:t>Ст</w:t>
      </w:r>
      <w:r w:rsidRPr="00EC1A78">
        <w:rPr>
          <w:rFonts w:eastAsiaTheme="minorHAnsi"/>
          <w:sz w:val="22"/>
          <w:szCs w:val="22"/>
          <w:lang w:val="en-US" w:eastAsia="en-US"/>
        </w:rPr>
        <w:t>. 5493.</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3. Hossein E., The Legal Regime of Offshore Oil rigs in Intern</w:t>
      </w:r>
      <w:r w:rsidRPr="00EC1A78">
        <w:rPr>
          <w:rFonts w:eastAsiaTheme="minorHAnsi"/>
          <w:sz w:val="22"/>
          <w:szCs w:val="22"/>
          <w:lang w:val="en-US" w:eastAsia="en-US"/>
        </w:rPr>
        <w:t>a</w:t>
      </w:r>
      <w:r w:rsidRPr="00EC1A78">
        <w:rPr>
          <w:rFonts w:eastAsiaTheme="minorHAnsi"/>
          <w:sz w:val="22"/>
          <w:szCs w:val="22"/>
          <w:lang w:val="en-US" w:eastAsia="en-US"/>
        </w:rPr>
        <w:t xml:space="preserve">tional Law. Dartmouth Publishers. 2001.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val="en-US" w:eastAsia="en-US"/>
        </w:rPr>
        <w:lastRenderedPageBreak/>
        <w:t xml:space="preserve">4. </w:t>
      </w:r>
      <w:r w:rsidRPr="00EC1A78">
        <w:rPr>
          <w:rFonts w:eastAsiaTheme="minorHAnsi"/>
          <w:sz w:val="22"/>
          <w:szCs w:val="22"/>
          <w:lang w:eastAsia="en-US"/>
        </w:rPr>
        <w:t>Ожегов</w:t>
      </w:r>
      <w:r w:rsidRPr="00EC1A78">
        <w:rPr>
          <w:rFonts w:eastAsiaTheme="minorHAnsi"/>
          <w:sz w:val="22"/>
          <w:szCs w:val="22"/>
          <w:lang w:val="en-US" w:eastAsia="en-US"/>
        </w:rPr>
        <w:t xml:space="preserve"> </w:t>
      </w:r>
      <w:r w:rsidRPr="00EC1A78">
        <w:rPr>
          <w:rFonts w:eastAsiaTheme="minorHAnsi"/>
          <w:sz w:val="22"/>
          <w:szCs w:val="22"/>
          <w:lang w:eastAsia="en-US"/>
        </w:rPr>
        <w:t>С</w:t>
      </w:r>
      <w:r w:rsidRPr="00EC1A78">
        <w:rPr>
          <w:rFonts w:eastAsiaTheme="minorHAnsi"/>
          <w:sz w:val="22"/>
          <w:szCs w:val="22"/>
          <w:lang w:val="en-US" w:eastAsia="en-US"/>
        </w:rPr>
        <w:t>.</w:t>
      </w:r>
      <w:r w:rsidRPr="00EC1A78">
        <w:rPr>
          <w:rFonts w:eastAsiaTheme="minorHAnsi"/>
          <w:sz w:val="22"/>
          <w:szCs w:val="22"/>
          <w:lang w:eastAsia="en-US"/>
        </w:rPr>
        <w:t>И</w:t>
      </w:r>
      <w:r w:rsidRPr="00EC1A78">
        <w:rPr>
          <w:rFonts w:eastAsiaTheme="minorHAnsi"/>
          <w:sz w:val="22"/>
          <w:szCs w:val="22"/>
          <w:lang w:val="en-US" w:eastAsia="en-US"/>
        </w:rPr>
        <w:t xml:space="preserve">. </w:t>
      </w:r>
      <w:r w:rsidRPr="00EC1A78">
        <w:rPr>
          <w:rFonts w:eastAsiaTheme="minorHAnsi"/>
          <w:sz w:val="22"/>
          <w:szCs w:val="22"/>
          <w:lang w:eastAsia="en-US"/>
        </w:rPr>
        <w:t>Словарь</w:t>
      </w:r>
      <w:r w:rsidRPr="00EC1A78">
        <w:rPr>
          <w:rFonts w:eastAsiaTheme="minorHAnsi"/>
          <w:sz w:val="22"/>
          <w:szCs w:val="22"/>
          <w:lang w:val="en-US" w:eastAsia="en-US"/>
        </w:rPr>
        <w:t xml:space="preserve"> </w:t>
      </w:r>
      <w:r w:rsidRPr="00EC1A78">
        <w:rPr>
          <w:rFonts w:eastAsiaTheme="minorHAnsi"/>
          <w:sz w:val="22"/>
          <w:szCs w:val="22"/>
          <w:lang w:eastAsia="en-US"/>
        </w:rPr>
        <w:t>русского</w:t>
      </w:r>
      <w:r w:rsidRPr="00EC1A78">
        <w:rPr>
          <w:rFonts w:eastAsiaTheme="minorHAnsi"/>
          <w:sz w:val="22"/>
          <w:szCs w:val="22"/>
          <w:lang w:val="en-US" w:eastAsia="en-US"/>
        </w:rPr>
        <w:t xml:space="preserve"> </w:t>
      </w:r>
      <w:r w:rsidRPr="00EC1A78">
        <w:rPr>
          <w:rFonts w:eastAsiaTheme="minorHAnsi"/>
          <w:sz w:val="22"/>
          <w:szCs w:val="22"/>
          <w:lang w:eastAsia="en-US"/>
        </w:rPr>
        <w:t>языка</w:t>
      </w:r>
      <w:r w:rsidRPr="00EC1A78">
        <w:rPr>
          <w:rFonts w:eastAsiaTheme="minorHAnsi"/>
          <w:sz w:val="22"/>
          <w:szCs w:val="22"/>
          <w:lang w:val="en-US" w:eastAsia="en-US"/>
        </w:rPr>
        <w:t xml:space="preserve"> / </w:t>
      </w:r>
      <w:r w:rsidRPr="00EC1A78">
        <w:rPr>
          <w:rFonts w:eastAsiaTheme="minorHAnsi"/>
          <w:sz w:val="22"/>
          <w:szCs w:val="22"/>
          <w:lang w:eastAsia="en-US"/>
        </w:rPr>
        <w:t>Под</w:t>
      </w:r>
      <w:r w:rsidRPr="00EC1A78">
        <w:rPr>
          <w:rFonts w:eastAsiaTheme="minorHAnsi"/>
          <w:sz w:val="22"/>
          <w:szCs w:val="22"/>
          <w:lang w:val="en-US" w:eastAsia="en-US"/>
        </w:rPr>
        <w:t>.</w:t>
      </w:r>
      <w:r w:rsidRPr="00EC1A78">
        <w:rPr>
          <w:rFonts w:eastAsiaTheme="minorHAnsi"/>
          <w:sz w:val="22"/>
          <w:szCs w:val="22"/>
          <w:lang w:eastAsia="en-US"/>
        </w:rPr>
        <w:t>ред</w:t>
      </w:r>
      <w:r w:rsidRPr="00EC1A78">
        <w:rPr>
          <w:rFonts w:eastAsiaTheme="minorHAnsi"/>
          <w:sz w:val="22"/>
          <w:szCs w:val="22"/>
          <w:lang w:val="en-US" w:eastAsia="en-US"/>
        </w:rPr>
        <w:t xml:space="preserve">. </w:t>
      </w:r>
      <w:r w:rsidRPr="00EC1A78">
        <w:rPr>
          <w:rFonts w:eastAsiaTheme="minorHAnsi"/>
          <w:sz w:val="22"/>
          <w:szCs w:val="22"/>
          <w:lang w:eastAsia="en-US"/>
        </w:rPr>
        <w:t>Н</w:t>
      </w:r>
      <w:r w:rsidRPr="00EC1A78">
        <w:rPr>
          <w:rFonts w:eastAsiaTheme="minorHAnsi"/>
          <w:sz w:val="22"/>
          <w:szCs w:val="22"/>
          <w:lang w:val="en-US" w:eastAsia="en-US"/>
        </w:rPr>
        <w:t>.</w:t>
      </w:r>
      <w:r w:rsidRPr="00EC1A78">
        <w:rPr>
          <w:rFonts w:eastAsiaTheme="minorHAnsi"/>
          <w:sz w:val="22"/>
          <w:szCs w:val="22"/>
          <w:lang w:eastAsia="en-US"/>
        </w:rPr>
        <w:t>Ю</w:t>
      </w:r>
      <w:r w:rsidRPr="00EC1A78">
        <w:rPr>
          <w:rFonts w:eastAsiaTheme="minorHAnsi"/>
          <w:sz w:val="22"/>
          <w:szCs w:val="22"/>
          <w:lang w:val="en-US" w:eastAsia="en-US"/>
        </w:rPr>
        <w:t xml:space="preserve">. </w:t>
      </w:r>
      <w:r w:rsidRPr="00EC1A78">
        <w:rPr>
          <w:rFonts w:eastAsiaTheme="minorHAnsi"/>
          <w:sz w:val="22"/>
          <w:szCs w:val="22"/>
          <w:lang w:eastAsia="en-US"/>
        </w:rPr>
        <w:t>Шв</w:t>
      </w:r>
      <w:r w:rsidRPr="00EC1A78">
        <w:rPr>
          <w:rFonts w:eastAsiaTheme="minorHAnsi"/>
          <w:sz w:val="22"/>
          <w:szCs w:val="22"/>
          <w:lang w:eastAsia="en-US"/>
        </w:rPr>
        <w:t>е</w:t>
      </w:r>
      <w:r w:rsidRPr="00EC1A78">
        <w:rPr>
          <w:rFonts w:eastAsiaTheme="minorHAnsi"/>
          <w:sz w:val="22"/>
          <w:szCs w:val="22"/>
          <w:lang w:eastAsia="en-US"/>
        </w:rPr>
        <w:t>довой</w:t>
      </w:r>
      <w:r w:rsidRPr="00EC1A78">
        <w:rPr>
          <w:rFonts w:eastAsiaTheme="minorHAnsi"/>
          <w:sz w:val="22"/>
          <w:szCs w:val="22"/>
          <w:lang w:val="en-US" w:eastAsia="en-US"/>
        </w:rPr>
        <w:t xml:space="preserve">. </w:t>
      </w:r>
      <w:r w:rsidRPr="00EC1A78">
        <w:rPr>
          <w:rFonts w:eastAsiaTheme="minorHAnsi"/>
          <w:sz w:val="22"/>
          <w:szCs w:val="22"/>
          <w:lang w:eastAsia="en-US"/>
        </w:rPr>
        <w:t>М., 1988. / URL:http://www.endic.ru/ozhegov/Sooruzhenie–33301.html (дата обращения: 23.06.2017).</w:t>
      </w:r>
    </w:p>
    <w:p w:rsidR="00EC1A78" w:rsidRDefault="00EC1A78" w:rsidP="00EC1A78">
      <w:pPr>
        <w:ind w:firstLine="425"/>
        <w:jc w:val="both"/>
        <w:rPr>
          <w:rFonts w:eastAsiaTheme="minorHAnsi"/>
          <w:sz w:val="22"/>
          <w:szCs w:val="22"/>
          <w:lang w:eastAsia="en-US"/>
        </w:rPr>
      </w:pPr>
    </w:p>
    <w:p w:rsidR="00EC2599" w:rsidRPr="00EC1A78" w:rsidRDefault="00EC2599" w:rsidP="00641206">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349.2</w:t>
      </w:r>
    </w:p>
    <w:p w:rsidR="00EC1A78" w:rsidRPr="00EC1A78" w:rsidRDefault="00EC1A78" w:rsidP="00EC1A78">
      <w:pPr>
        <w:jc w:val="center"/>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Трудовая правосубъектность иностранных граждан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в сфере сельского хозяйства</w:t>
      </w:r>
    </w:p>
    <w:p w:rsidR="00EC1A78" w:rsidRPr="00EC2599" w:rsidRDefault="00EC1A78" w:rsidP="00EC1A78">
      <w:pPr>
        <w:jc w:val="center"/>
        <w:rPr>
          <w:rFonts w:eastAsiaTheme="minorHAnsi"/>
          <w:b/>
          <w:sz w:val="24"/>
          <w:szCs w:val="24"/>
          <w:shd w:val="clear" w:color="auto" w:fill="FFFFFF"/>
          <w:lang w:val="en-US" w:eastAsia="en-US"/>
        </w:rPr>
      </w:pPr>
      <w:r w:rsidRPr="00EC2599">
        <w:rPr>
          <w:rFonts w:eastAsiaTheme="minorHAnsi"/>
          <w:b/>
          <w:sz w:val="24"/>
          <w:szCs w:val="24"/>
          <w:shd w:val="clear" w:color="auto" w:fill="FFFFFF"/>
          <w:lang w:val="en-US" w:eastAsia="en-US"/>
        </w:rPr>
        <w:t xml:space="preserve">Labor legal personality of foreign citizens </w:t>
      </w:r>
    </w:p>
    <w:p w:rsidR="00EC1A78" w:rsidRPr="00EC2599" w:rsidRDefault="00EC1A78" w:rsidP="00EC1A78">
      <w:pPr>
        <w:jc w:val="center"/>
        <w:rPr>
          <w:rFonts w:eastAsiaTheme="minorHAnsi"/>
          <w:b/>
          <w:sz w:val="24"/>
          <w:szCs w:val="24"/>
          <w:lang w:val="en-US" w:eastAsia="en-US"/>
        </w:rPr>
      </w:pPr>
      <w:r w:rsidRPr="00EC2599">
        <w:rPr>
          <w:rFonts w:eastAsiaTheme="minorHAnsi"/>
          <w:b/>
          <w:sz w:val="24"/>
          <w:szCs w:val="24"/>
          <w:shd w:val="clear" w:color="auto" w:fill="FFFFFF"/>
          <w:lang w:val="en-US" w:eastAsia="en-US"/>
        </w:rPr>
        <w:t>in the sphere of agriculture</w:t>
      </w:r>
    </w:p>
    <w:p w:rsidR="00EC1A78" w:rsidRPr="00EC1A78" w:rsidRDefault="00EC1A78" w:rsidP="00EC1A78">
      <w:pPr>
        <w:jc w:val="right"/>
        <w:rPr>
          <w:rFonts w:eastAsiaTheme="minorHAnsi"/>
          <w:b/>
          <w:sz w:val="22"/>
          <w:szCs w:val="22"/>
          <w:lang w:val="en-US" w:eastAsia="en-US"/>
        </w:rPr>
      </w:pPr>
    </w:p>
    <w:p w:rsidR="00EC1A78" w:rsidRPr="00E62E4B" w:rsidRDefault="00EC1A78" w:rsidP="00EC1A78">
      <w:pPr>
        <w:jc w:val="right"/>
        <w:rPr>
          <w:rFonts w:eastAsiaTheme="minorHAnsi"/>
          <w:sz w:val="22"/>
          <w:szCs w:val="22"/>
          <w:lang w:val="en-US" w:eastAsia="en-US"/>
        </w:rPr>
      </w:pPr>
      <w:r w:rsidRPr="00EC1A78">
        <w:rPr>
          <w:rFonts w:eastAsiaTheme="minorHAnsi"/>
          <w:sz w:val="22"/>
          <w:szCs w:val="22"/>
          <w:lang w:eastAsia="en-US"/>
        </w:rPr>
        <w:t>Мануйлопойло</w:t>
      </w:r>
      <w:r w:rsidRPr="00EC1A78">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w:t>
      </w:r>
      <w:r w:rsidR="00EC2599" w:rsidRPr="00E62E4B">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w:t>
      </w:r>
      <w:r w:rsidR="00EC2599" w:rsidRPr="00E62E4B">
        <w:rPr>
          <w:rFonts w:eastAsiaTheme="minorHAnsi"/>
          <w:sz w:val="22"/>
          <w:szCs w:val="22"/>
          <w:lang w:val="en-US"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2 курса юридического факультета</w:t>
      </w:r>
    </w:p>
    <w:p w:rsidR="00EC1A78" w:rsidRPr="00EC1A78" w:rsidRDefault="00EC1A78" w:rsidP="00EC1A78">
      <w:pPr>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EC2599">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автор анализируют особенности правового р</w:t>
      </w:r>
      <w:r w:rsidRPr="00EC1A78">
        <w:rPr>
          <w:rFonts w:eastAsiaTheme="minorHAnsi"/>
          <w:sz w:val="22"/>
          <w:szCs w:val="22"/>
          <w:lang w:eastAsia="en-US"/>
        </w:rPr>
        <w:t>е</w:t>
      </w:r>
      <w:r w:rsidRPr="00EC1A78">
        <w:rPr>
          <w:rFonts w:eastAsiaTheme="minorHAnsi"/>
          <w:sz w:val="22"/>
          <w:szCs w:val="22"/>
          <w:lang w:eastAsia="en-US"/>
        </w:rPr>
        <w:t>гулирования труда иностранных работников в России и, в частн</w:t>
      </w:r>
      <w:r w:rsidRPr="00EC1A78">
        <w:rPr>
          <w:rFonts w:eastAsiaTheme="minorHAnsi"/>
          <w:sz w:val="22"/>
          <w:szCs w:val="22"/>
          <w:lang w:eastAsia="en-US"/>
        </w:rPr>
        <w:t>о</w:t>
      </w:r>
      <w:r w:rsidRPr="00EC1A78">
        <w:rPr>
          <w:rFonts w:eastAsiaTheme="minorHAnsi"/>
          <w:sz w:val="22"/>
          <w:szCs w:val="22"/>
          <w:lang w:eastAsia="en-US"/>
        </w:rPr>
        <w:t>сти, в сельском хозяйстве.</w:t>
      </w:r>
    </w:p>
    <w:p w:rsidR="00EC1A78" w:rsidRPr="00EC2599"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r w:rsidRPr="00EC2599">
        <w:rPr>
          <w:sz w:val="22"/>
          <w:szCs w:val="22"/>
          <w:lang w:val="en"/>
        </w:rPr>
        <w:t>ABSTRACT: The author analyzes the peculiarities of the legal re</w:t>
      </w:r>
      <w:r w:rsidRPr="00EC2599">
        <w:rPr>
          <w:sz w:val="22"/>
          <w:szCs w:val="22"/>
          <w:lang w:val="en"/>
        </w:rPr>
        <w:t>g</w:t>
      </w:r>
      <w:r w:rsidRPr="00EC2599">
        <w:rPr>
          <w:sz w:val="22"/>
          <w:szCs w:val="22"/>
          <w:lang w:val="en"/>
        </w:rPr>
        <w:t>ulation of labor of foreign workers in Russia and in agriculture.</w:t>
      </w:r>
    </w:p>
    <w:p w:rsidR="00EC1A78" w:rsidRPr="00EC2599" w:rsidRDefault="00EC1A78" w:rsidP="00EC1A78">
      <w:pPr>
        <w:ind w:firstLine="425"/>
        <w:jc w:val="both"/>
        <w:rPr>
          <w:rFonts w:eastAsiaTheme="minorHAnsi"/>
          <w:sz w:val="22"/>
          <w:szCs w:val="22"/>
          <w:lang w:eastAsia="en-US"/>
        </w:rPr>
      </w:pPr>
      <w:r w:rsidRPr="00EC2599">
        <w:rPr>
          <w:rFonts w:eastAsiaTheme="minorHAnsi"/>
          <w:sz w:val="22"/>
          <w:szCs w:val="22"/>
          <w:lang w:eastAsia="en-US"/>
        </w:rPr>
        <w:t>КЛЮЧЕВЫЕ СЛОВА: труд, трудовые отношения, иностра</w:t>
      </w:r>
      <w:r w:rsidRPr="00EC2599">
        <w:rPr>
          <w:rFonts w:eastAsiaTheme="minorHAnsi"/>
          <w:sz w:val="22"/>
          <w:szCs w:val="22"/>
          <w:lang w:eastAsia="en-US"/>
        </w:rPr>
        <w:t>н</w:t>
      </w:r>
      <w:r w:rsidRPr="00EC2599">
        <w:rPr>
          <w:rFonts w:eastAsiaTheme="minorHAnsi"/>
          <w:sz w:val="22"/>
          <w:szCs w:val="22"/>
          <w:lang w:eastAsia="en-US"/>
        </w:rPr>
        <w:t>ные работники, сельское хозяйство.</w:t>
      </w:r>
    </w:p>
    <w:p w:rsidR="00EC1A78" w:rsidRPr="00EC2599" w:rsidRDefault="00EC1A78" w:rsidP="00EC1A78">
      <w:pPr>
        <w:autoSpaceDE w:val="0"/>
        <w:autoSpaceDN w:val="0"/>
        <w:adjustRightInd w:val="0"/>
        <w:ind w:firstLine="425"/>
        <w:jc w:val="both"/>
        <w:rPr>
          <w:rFonts w:eastAsiaTheme="minorHAnsi"/>
          <w:sz w:val="22"/>
          <w:szCs w:val="22"/>
          <w:lang w:val="en-US" w:eastAsia="en-US"/>
        </w:rPr>
      </w:pPr>
      <w:r w:rsidRPr="00EC2599">
        <w:rPr>
          <w:rFonts w:eastAsiaTheme="minorHAnsi"/>
          <w:sz w:val="22"/>
          <w:szCs w:val="22"/>
          <w:shd w:val="clear" w:color="auto" w:fill="FFFFFF"/>
          <w:lang w:val="en-US" w:eastAsia="en-US"/>
        </w:rPr>
        <w:t>KEY WORDS: labor, labor relations, foreign workers, agriculture.</w:t>
      </w:r>
    </w:p>
    <w:p w:rsidR="00EC1A78" w:rsidRPr="00EC1A78" w:rsidRDefault="00EC1A78" w:rsidP="00EC1A78">
      <w:pPr>
        <w:autoSpaceDE w:val="0"/>
        <w:autoSpaceDN w:val="0"/>
        <w:adjustRightInd w:val="0"/>
        <w:ind w:firstLine="709"/>
        <w:jc w:val="both"/>
        <w:rPr>
          <w:rFonts w:eastAsiaTheme="minorHAnsi"/>
          <w:sz w:val="22"/>
          <w:szCs w:val="22"/>
          <w:lang w:val="en-US" w:eastAsia="en-US"/>
        </w:rPr>
      </w:pP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Расширение международных связей России обусловили нео</w:t>
      </w:r>
      <w:r w:rsidRPr="00EC1A78">
        <w:rPr>
          <w:rFonts w:eastAsiaTheme="minorHAnsi"/>
          <w:sz w:val="22"/>
          <w:szCs w:val="22"/>
          <w:lang w:eastAsia="en-US"/>
        </w:rPr>
        <w:t>б</w:t>
      </w:r>
      <w:r w:rsidRPr="00EC1A78">
        <w:rPr>
          <w:rFonts w:eastAsiaTheme="minorHAnsi"/>
          <w:sz w:val="22"/>
          <w:szCs w:val="22"/>
          <w:lang w:eastAsia="en-US"/>
        </w:rPr>
        <w:t>ходимость определения правосубъектности иностранных граждан и, в частности, их трудовой правосубъектности. В соответствии с де</w:t>
      </w:r>
      <w:r w:rsidRPr="00EC1A78">
        <w:rPr>
          <w:rFonts w:eastAsiaTheme="minorHAnsi"/>
          <w:sz w:val="22"/>
          <w:szCs w:val="22"/>
          <w:lang w:eastAsia="en-US"/>
        </w:rPr>
        <w:t>й</w:t>
      </w:r>
      <w:r w:rsidRPr="00EC1A78">
        <w:rPr>
          <w:rFonts w:eastAsiaTheme="minorHAnsi"/>
          <w:sz w:val="22"/>
          <w:szCs w:val="22"/>
          <w:lang w:eastAsia="en-US"/>
        </w:rPr>
        <w:t>ствующим российским законодательством иностранцам в России предоставляется национальный режим, который предполагает ура</w:t>
      </w:r>
      <w:r w:rsidRPr="00EC1A78">
        <w:rPr>
          <w:rFonts w:eastAsiaTheme="minorHAnsi"/>
          <w:sz w:val="22"/>
          <w:szCs w:val="22"/>
          <w:lang w:eastAsia="en-US"/>
        </w:rPr>
        <w:t>в</w:t>
      </w:r>
      <w:r w:rsidRPr="00EC1A78">
        <w:rPr>
          <w:rFonts w:eastAsiaTheme="minorHAnsi"/>
          <w:sz w:val="22"/>
          <w:szCs w:val="22"/>
          <w:lang w:eastAsia="en-US"/>
        </w:rPr>
        <w:t>нивание иностранцев в правах и обязанностях с российскими гра</w:t>
      </w:r>
      <w:r w:rsidRPr="00EC1A78">
        <w:rPr>
          <w:rFonts w:eastAsiaTheme="minorHAnsi"/>
          <w:sz w:val="22"/>
          <w:szCs w:val="22"/>
          <w:lang w:eastAsia="en-US"/>
        </w:rPr>
        <w:t>ж</w:t>
      </w:r>
      <w:r w:rsidRPr="00EC1A78">
        <w:rPr>
          <w:rFonts w:eastAsiaTheme="minorHAnsi"/>
          <w:sz w:val="22"/>
          <w:szCs w:val="22"/>
          <w:lang w:eastAsia="en-US"/>
        </w:rPr>
        <w:t>данами. Применительно к иностранным работникам, следует гов</w:t>
      </w:r>
      <w:r w:rsidRPr="00EC1A78">
        <w:rPr>
          <w:rFonts w:eastAsiaTheme="minorHAnsi"/>
          <w:sz w:val="22"/>
          <w:szCs w:val="22"/>
          <w:lang w:eastAsia="en-US"/>
        </w:rPr>
        <w:t>о</w:t>
      </w:r>
      <w:r w:rsidRPr="00EC1A78">
        <w:rPr>
          <w:rFonts w:eastAsiaTheme="minorHAnsi"/>
          <w:sz w:val="22"/>
          <w:szCs w:val="22"/>
          <w:lang w:eastAsia="en-US"/>
        </w:rPr>
        <w:t>рить, на наш взгляд, о специальной трудовой правосубъектности, так как для них установлены на законодательном уровне различные особенности при труда–устройстве и расторжении трудового дог</w:t>
      </w:r>
      <w:r w:rsidRPr="00EC1A78">
        <w:rPr>
          <w:rFonts w:eastAsiaTheme="minorHAnsi"/>
          <w:sz w:val="22"/>
          <w:szCs w:val="22"/>
          <w:lang w:eastAsia="en-US"/>
        </w:rPr>
        <w:t>о</w:t>
      </w:r>
      <w:r w:rsidRPr="00EC1A78">
        <w:rPr>
          <w:rFonts w:eastAsiaTheme="minorHAnsi"/>
          <w:sz w:val="22"/>
          <w:szCs w:val="22"/>
          <w:lang w:eastAsia="en-US"/>
        </w:rPr>
        <w:t xml:space="preserve">вора. </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lastRenderedPageBreak/>
        <w:t>Требуется учитывать при этом, что Российским законодател</w:t>
      </w:r>
      <w:r w:rsidRPr="00EC1A78">
        <w:rPr>
          <w:rFonts w:eastAsiaTheme="minorHAnsi"/>
          <w:sz w:val="22"/>
          <w:szCs w:val="22"/>
          <w:lang w:eastAsia="en-US"/>
        </w:rPr>
        <w:t>ь</w:t>
      </w:r>
      <w:r w:rsidRPr="00EC1A78">
        <w:rPr>
          <w:rFonts w:eastAsiaTheme="minorHAnsi"/>
          <w:sz w:val="22"/>
          <w:szCs w:val="22"/>
          <w:lang w:eastAsia="en-US"/>
        </w:rPr>
        <w:t>ством не признаются ограничения, имеющиеся в той стране, из к</w:t>
      </w:r>
      <w:r w:rsidRPr="00EC1A78">
        <w:rPr>
          <w:rFonts w:eastAsiaTheme="minorHAnsi"/>
          <w:sz w:val="22"/>
          <w:szCs w:val="22"/>
          <w:lang w:eastAsia="en-US"/>
        </w:rPr>
        <w:t>о</w:t>
      </w:r>
      <w:r w:rsidRPr="00EC1A78">
        <w:rPr>
          <w:rFonts w:eastAsiaTheme="minorHAnsi"/>
          <w:sz w:val="22"/>
          <w:szCs w:val="22"/>
          <w:lang w:eastAsia="en-US"/>
        </w:rPr>
        <w:t>торой прибыл иностранец в вопросах трудовой деятельности. Зак</w:t>
      </w:r>
      <w:r w:rsidRPr="00EC1A78">
        <w:rPr>
          <w:rFonts w:eastAsiaTheme="minorHAnsi"/>
          <w:sz w:val="22"/>
          <w:szCs w:val="22"/>
          <w:lang w:eastAsia="en-US"/>
        </w:rPr>
        <w:t>о</w:t>
      </w:r>
      <w:r w:rsidRPr="00EC1A78">
        <w:rPr>
          <w:rFonts w:eastAsiaTheme="minorHAnsi"/>
          <w:sz w:val="22"/>
          <w:szCs w:val="22"/>
          <w:lang w:eastAsia="en-US"/>
        </w:rPr>
        <w:t>нодательство, которое регулирует правовое положение иностранцев в России, основано на Конституции РФ и на Федеральном законе от 25 июля 2002 г. № 115–ФЗ [1], а также на иных федеральных зак</w:t>
      </w:r>
      <w:r w:rsidRPr="00EC1A78">
        <w:rPr>
          <w:rFonts w:eastAsiaTheme="minorHAnsi"/>
          <w:sz w:val="22"/>
          <w:szCs w:val="22"/>
          <w:lang w:eastAsia="en-US"/>
        </w:rPr>
        <w:t>о</w:t>
      </w:r>
      <w:r w:rsidRPr="00EC1A78">
        <w:rPr>
          <w:rFonts w:eastAsiaTheme="minorHAnsi"/>
          <w:sz w:val="22"/>
          <w:szCs w:val="22"/>
          <w:lang w:eastAsia="en-US"/>
        </w:rPr>
        <w:t xml:space="preserve">нах и международных актах. </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Трудовая деятельность, которую осуществляет иностранный гражданин, – это работа либо на основании трудового договора, л</w:t>
      </w:r>
      <w:r w:rsidRPr="00EC1A78">
        <w:rPr>
          <w:rFonts w:eastAsiaTheme="minorHAnsi"/>
          <w:sz w:val="22"/>
          <w:szCs w:val="22"/>
          <w:lang w:eastAsia="en-US"/>
        </w:rPr>
        <w:t>и</w:t>
      </w:r>
      <w:r w:rsidRPr="00EC1A78">
        <w:rPr>
          <w:rFonts w:eastAsiaTheme="minorHAnsi"/>
          <w:sz w:val="22"/>
          <w:szCs w:val="22"/>
          <w:lang w:eastAsia="en-US"/>
        </w:rPr>
        <w:t>бо на основании гражданско–правового договора. Данный подход к регулированию соответствует международным нормам, где осно</w:t>
      </w:r>
      <w:r w:rsidRPr="00EC1A78">
        <w:rPr>
          <w:rFonts w:eastAsiaTheme="minorHAnsi"/>
          <w:sz w:val="22"/>
          <w:szCs w:val="22"/>
          <w:lang w:eastAsia="en-US"/>
        </w:rPr>
        <w:t>в</w:t>
      </w:r>
      <w:r w:rsidRPr="00EC1A78">
        <w:rPr>
          <w:rFonts w:eastAsiaTheme="minorHAnsi"/>
          <w:sz w:val="22"/>
          <w:szCs w:val="22"/>
          <w:lang w:eastAsia="en-US"/>
        </w:rPr>
        <w:t>ным признаком трудящегося–мигранта является занятие оплачив</w:t>
      </w:r>
      <w:r w:rsidRPr="00EC1A78">
        <w:rPr>
          <w:rFonts w:eastAsiaTheme="minorHAnsi"/>
          <w:sz w:val="22"/>
          <w:szCs w:val="22"/>
          <w:lang w:eastAsia="en-US"/>
        </w:rPr>
        <w:t>а</w:t>
      </w:r>
      <w:r w:rsidRPr="00EC1A78">
        <w:rPr>
          <w:rFonts w:eastAsiaTheme="minorHAnsi"/>
          <w:sz w:val="22"/>
          <w:szCs w:val="22"/>
          <w:lang w:eastAsia="en-US"/>
        </w:rPr>
        <w:t>емой деятельностью, и не уточняется характер такой деятельности: трудовой или гражданско–правовой [2]. Следует согласиться, на наш взгляд, с мнением ученых [3, с.39], считающих необходимым терминологически разделить иностранных работников, которые осуществляют оплачиваемую деятельность по трудовому договору, и иностранных работников, заключивших гражданско–правовой договор для выполнения работ или оказания услуг. Труд иностра</w:t>
      </w:r>
      <w:r w:rsidRPr="00EC1A78">
        <w:rPr>
          <w:rFonts w:eastAsiaTheme="minorHAnsi"/>
          <w:sz w:val="22"/>
          <w:szCs w:val="22"/>
          <w:lang w:eastAsia="en-US"/>
        </w:rPr>
        <w:t>н</w:t>
      </w:r>
      <w:r w:rsidRPr="00EC1A78">
        <w:rPr>
          <w:rFonts w:eastAsiaTheme="minorHAnsi"/>
          <w:sz w:val="22"/>
          <w:szCs w:val="22"/>
          <w:lang w:eastAsia="en-US"/>
        </w:rPr>
        <w:t>цев в России связывается с необходимостью получения разрешения. Если иностранец принят на работу в России в то подразделение, которое находится также в России, он может выезжать к себе на родину или в третью страну в командировку и в этом случае ему требуется специальное разрешение. Но если местом работы являе</w:t>
      </w:r>
      <w:r w:rsidRPr="00EC1A78">
        <w:rPr>
          <w:rFonts w:eastAsiaTheme="minorHAnsi"/>
          <w:sz w:val="22"/>
          <w:szCs w:val="22"/>
          <w:lang w:eastAsia="en-US"/>
        </w:rPr>
        <w:t>т</w:t>
      </w:r>
      <w:r w:rsidRPr="00EC1A78">
        <w:rPr>
          <w:rFonts w:eastAsiaTheme="minorHAnsi"/>
          <w:sz w:val="22"/>
          <w:szCs w:val="22"/>
          <w:lang w:eastAsia="en-US"/>
        </w:rPr>
        <w:t>ся иностранное государство, разрешение на работу в России не тр</w:t>
      </w:r>
      <w:r w:rsidRPr="00EC1A78">
        <w:rPr>
          <w:rFonts w:eastAsiaTheme="minorHAnsi"/>
          <w:sz w:val="22"/>
          <w:szCs w:val="22"/>
          <w:lang w:eastAsia="en-US"/>
        </w:rPr>
        <w:t>е</w:t>
      </w:r>
      <w:r w:rsidRPr="00EC1A78">
        <w:rPr>
          <w:rFonts w:eastAsiaTheme="minorHAnsi"/>
          <w:sz w:val="22"/>
          <w:szCs w:val="22"/>
          <w:lang w:eastAsia="en-US"/>
        </w:rPr>
        <w:t>буется [4, с.43].</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В российском законодательстве отсутствует единое унифиц</w:t>
      </w:r>
      <w:r w:rsidRPr="00EC1A78">
        <w:rPr>
          <w:rFonts w:eastAsiaTheme="minorHAnsi"/>
          <w:sz w:val="22"/>
          <w:szCs w:val="22"/>
          <w:lang w:eastAsia="en-US"/>
        </w:rPr>
        <w:t>и</w:t>
      </w:r>
      <w:r w:rsidRPr="00EC1A78">
        <w:rPr>
          <w:rFonts w:eastAsiaTheme="minorHAnsi"/>
          <w:sz w:val="22"/>
          <w:szCs w:val="22"/>
          <w:lang w:eastAsia="en-US"/>
        </w:rPr>
        <w:t>рованное регулирование, касающееся трудовых отношений рабо</w:t>
      </w:r>
      <w:r w:rsidRPr="00EC1A78">
        <w:rPr>
          <w:rFonts w:eastAsiaTheme="minorHAnsi"/>
          <w:sz w:val="22"/>
          <w:szCs w:val="22"/>
          <w:lang w:eastAsia="en-US"/>
        </w:rPr>
        <w:t>т</w:t>
      </w:r>
      <w:r w:rsidRPr="00EC1A78">
        <w:rPr>
          <w:rFonts w:eastAsiaTheme="minorHAnsi"/>
          <w:sz w:val="22"/>
          <w:szCs w:val="22"/>
          <w:lang w:eastAsia="en-US"/>
        </w:rPr>
        <w:t>ников для всех отраслей хозяйства и для всех форм собственности на средства производства. Так, правовое регулирование в сельском хозяйстве применительно к трудовым отношениям,  осуществляется следующими тремя способами: на основе трудового договора, (р</w:t>
      </w:r>
      <w:r w:rsidRPr="00EC1A78">
        <w:rPr>
          <w:rFonts w:eastAsiaTheme="minorHAnsi"/>
          <w:sz w:val="22"/>
          <w:szCs w:val="22"/>
          <w:lang w:eastAsia="en-US"/>
        </w:rPr>
        <w:t>е</w:t>
      </w:r>
      <w:r w:rsidRPr="00EC1A78">
        <w:rPr>
          <w:rFonts w:eastAsiaTheme="minorHAnsi"/>
          <w:sz w:val="22"/>
          <w:szCs w:val="22"/>
          <w:lang w:eastAsia="en-US"/>
        </w:rPr>
        <w:t>гулируется законодательством о труде); основанное на членстве в хозяйственном товариществе или  сельскохозяйственном коопер</w:t>
      </w:r>
      <w:r w:rsidRPr="00EC1A78">
        <w:rPr>
          <w:rFonts w:eastAsiaTheme="minorHAnsi"/>
          <w:sz w:val="22"/>
          <w:szCs w:val="22"/>
          <w:lang w:eastAsia="en-US"/>
        </w:rPr>
        <w:t>а</w:t>
      </w:r>
      <w:r w:rsidRPr="00EC1A78">
        <w:rPr>
          <w:rFonts w:eastAsiaTheme="minorHAnsi"/>
          <w:sz w:val="22"/>
          <w:szCs w:val="22"/>
          <w:lang w:eastAsia="en-US"/>
        </w:rPr>
        <w:t>тиве (регулируются аграрным законодательством и учредительн</w:t>
      </w:r>
      <w:r w:rsidRPr="00EC1A78">
        <w:rPr>
          <w:rFonts w:eastAsiaTheme="minorHAnsi"/>
          <w:sz w:val="22"/>
          <w:szCs w:val="22"/>
          <w:lang w:eastAsia="en-US"/>
        </w:rPr>
        <w:t>ы</w:t>
      </w:r>
      <w:r w:rsidRPr="00EC1A78">
        <w:rPr>
          <w:rFonts w:eastAsiaTheme="minorHAnsi"/>
          <w:sz w:val="22"/>
          <w:szCs w:val="22"/>
          <w:lang w:eastAsia="en-US"/>
        </w:rPr>
        <w:t>ми документами товарищества, кооператива); в крестьянском х</w:t>
      </w:r>
      <w:r w:rsidRPr="00EC1A78">
        <w:rPr>
          <w:rFonts w:eastAsiaTheme="minorHAnsi"/>
          <w:sz w:val="22"/>
          <w:szCs w:val="22"/>
          <w:lang w:eastAsia="en-US"/>
        </w:rPr>
        <w:t>о</w:t>
      </w:r>
      <w:r w:rsidRPr="00EC1A78">
        <w:rPr>
          <w:rFonts w:eastAsiaTheme="minorHAnsi"/>
          <w:sz w:val="22"/>
          <w:szCs w:val="22"/>
          <w:lang w:eastAsia="en-US"/>
        </w:rPr>
        <w:t>зяйстве – это трудовые отношения, которые  определяются и рег</w:t>
      </w:r>
      <w:r w:rsidRPr="00EC1A78">
        <w:rPr>
          <w:rFonts w:eastAsiaTheme="minorHAnsi"/>
          <w:sz w:val="22"/>
          <w:szCs w:val="22"/>
          <w:lang w:eastAsia="en-US"/>
        </w:rPr>
        <w:t>у</w:t>
      </w:r>
      <w:r w:rsidRPr="00EC1A78">
        <w:rPr>
          <w:rFonts w:eastAsiaTheme="minorHAnsi"/>
          <w:sz w:val="22"/>
          <w:szCs w:val="22"/>
          <w:lang w:eastAsia="en-US"/>
        </w:rPr>
        <w:t>лируются Законом о крестьянском (фермерском) хозяйстве) [5].</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lastRenderedPageBreak/>
        <w:t>Государство может ограничить трудовые права иностранцев, работающих в России на основании принципа приоритетного и</w:t>
      </w:r>
      <w:r w:rsidRPr="00EC1A78">
        <w:rPr>
          <w:rFonts w:eastAsiaTheme="minorHAnsi"/>
          <w:sz w:val="22"/>
          <w:szCs w:val="22"/>
          <w:lang w:eastAsia="en-US"/>
        </w:rPr>
        <w:t>с</w:t>
      </w:r>
      <w:r w:rsidRPr="00EC1A78">
        <w:rPr>
          <w:rFonts w:eastAsiaTheme="minorHAnsi"/>
          <w:sz w:val="22"/>
          <w:szCs w:val="22"/>
          <w:lang w:eastAsia="en-US"/>
        </w:rPr>
        <w:t>пользования национальных трудовых ресурсов, а также с учетом сложившейся ситуации на рынке труда. Данный принцип не нашел закрепления в федеральных законах, но он, на наш взгляд, вытекает из установления квот на привлечение в Россию иностранной раб</w:t>
      </w:r>
      <w:r w:rsidRPr="00EC1A78">
        <w:rPr>
          <w:rFonts w:eastAsiaTheme="minorHAnsi"/>
          <w:sz w:val="22"/>
          <w:szCs w:val="22"/>
          <w:lang w:eastAsia="en-US"/>
        </w:rPr>
        <w:t>о</w:t>
      </w:r>
      <w:r w:rsidRPr="00EC1A78">
        <w:rPr>
          <w:rFonts w:eastAsiaTheme="minorHAnsi"/>
          <w:sz w:val="22"/>
          <w:szCs w:val="22"/>
          <w:lang w:eastAsia="en-US"/>
        </w:rPr>
        <w:t>чей силы. Имеются определенные ограничения для иностранных работников, которые распространяются и на сферу сельского хозя</w:t>
      </w:r>
      <w:r w:rsidRPr="00EC1A78">
        <w:rPr>
          <w:rFonts w:eastAsiaTheme="minorHAnsi"/>
          <w:sz w:val="22"/>
          <w:szCs w:val="22"/>
          <w:lang w:eastAsia="en-US"/>
        </w:rPr>
        <w:t>й</w:t>
      </w:r>
      <w:r w:rsidRPr="00EC1A78">
        <w:rPr>
          <w:rFonts w:eastAsiaTheme="minorHAnsi"/>
          <w:sz w:val="22"/>
          <w:szCs w:val="22"/>
          <w:lang w:eastAsia="en-US"/>
        </w:rPr>
        <w:t>ства. Например, ограничение, связанное с возрастом иностранного гражданина. Иностранный гражданин вправе осуществлять труд</w:t>
      </w:r>
      <w:r w:rsidRPr="00EC1A78">
        <w:rPr>
          <w:rFonts w:eastAsiaTheme="minorHAnsi"/>
          <w:sz w:val="22"/>
          <w:szCs w:val="22"/>
          <w:lang w:eastAsia="en-US"/>
        </w:rPr>
        <w:t>о</w:t>
      </w:r>
      <w:r w:rsidRPr="00EC1A78">
        <w:rPr>
          <w:rFonts w:eastAsiaTheme="minorHAnsi"/>
          <w:sz w:val="22"/>
          <w:szCs w:val="22"/>
          <w:lang w:eastAsia="en-US"/>
        </w:rPr>
        <w:t>вую деятельность, если он достиг определенного возраста, то есть, возраста 18 лет (п.4 ст.13 ФЗ от 25 июля 2002 г. № 115–ФЗ).</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Данные правила не распространяются на лиц, которые имеют гражданство России и одновременно гражданство другого госуда</w:t>
      </w:r>
      <w:r w:rsidRPr="00EC1A78">
        <w:rPr>
          <w:rFonts w:eastAsiaTheme="minorHAnsi"/>
          <w:sz w:val="22"/>
          <w:szCs w:val="22"/>
          <w:lang w:eastAsia="en-US"/>
        </w:rPr>
        <w:t>р</w:t>
      </w:r>
      <w:r w:rsidRPr="00EC1A78">
        <w:rPr>
          <w:rFonts w:eastAsiaTheme="minorHAnsi"/>
          <w:sz w:val="22"/>
          <w:szCs w:val="22"/>
          <w:lang w:eastAsia="en-US"/>
        </w:rPr>
        <w:t>ства, если оно не прекращено по не зависящим от них причинам. Требуется соблюдать условие о добровольности отказа от имеющ</w:t>
      </w:r>
      <w:r w:rsidRPr="00EC1A78">
        <w:rPr>
          <w:rFonts w:eastAsiaTheme="minorHAnsi"/>
          <w:sz w:val="22"/>
          <w:szCs w:val="22"/>
          <w:lang w:eastAsia="en-US"/>
        </w:rPr>
        <w:t>е</w:t>
      </w:r>
      <w:r w:rsidRPr="00EC1A78">
        <w:rPr>
          <w:rFonts w:eastAsiaTheme="minorHAnsi"/>
          <w:sz w:val="22"/>
          <w:szCs w:val="22"/>
          <w:lang w:eastAsia="en-US"/>
        </w:rPr>
        <w:t>гося у них гражданства иностранного государства, а также они должны передать основные документы иностранного государства, удостоверяющие их личность, в федеральный орган исполнител</w:t>
      </w:r>
      <w:r w:rsidRPr="00EC1A78">
        <w:rPr>
          <w:rFonts w:eastAsiaTheme="minorHAnsi"/>
          <w:sz w:val="22"/>
          <w:szCs w:val="22"/>
          <w:lang w:eastAsia="en-US"/>
        </w:rPr>
        <w:t>ь</w:t>
      </w:r>
      <w:r w:rsidRPr="00EC1A78">
        <w:rPr>
          <w:rFonts w:eastAsiaTheme="minorHAnsi"/>
          <w:sz w:val="22"/>
          <w:szCs w:val="22"/>
          <w:lang w:eastAsia="en-US"/>
        </w:rPr>
        <w:t>ной власти в сфере миграции. Порядок определяется Правител</w:t>
      </w:r>
      <w:r w:rsidRPr="00EC1A78">
        <w:rPr>
          <w:rFonts w:eastAsiaTheme="minorHAnsi"/>
          <w:sz w:val="22"/>
          <w:szCs w:val="22"/>
          <w:lang w:eastAsia="en-US"/>
        </w:rPr>
        <w:t>ь</w:t>
      </w:r>
      <w:r w:rsidRPr="00EC1A78">
        <w:rPr>
          <w:rFonts w:eastAsiaTheme="minorHAnsi"/>
          <w:sz w:val="22"/>
          <w:szCs w:val="22"/>
          <w:lang w:eastAsia="en-US"/>
        </w:rPr>
        <w:t>ством Российской Федерации.</w:t>
      </w:r>
    </w:p>
    <w:p w:rsidR="00EC1A78" w:rsidRPr="00EC1A78" w:rsidRDefault="00EC1A78" w:rsidP="00EC1A78">
      <w:pPr>
        <w:autoSpaceDE w:val="0"/>
        <w:autoSpaceDN w:val="0"/>
        <w:adjustRightInd w:val="0"/>
        <w:ind w:firstLine="709"/>
        <w:jc w:val="center"/>
        <w:rPr>
          <w:rFonts w:eastAsiaTheme="minorHAnsi"/>
          <w:sz w:val="22"/>
          <w:szCs w:val="22"/>
          <w:lang w:eastAsia="en-US"/>
        </w:rPr>
      </w:pPr>
    </w:p>
    <w:p w:rsidR="00EC1A78" w:rsidRPr="00EC1A78" w:rsidRDefault="00EC1A78" w:rsidP="00EC1A78">
      <w:pPr>
        <w:autoSpaceDE w:val="0"/>
        <w:autoSpaceDN w:val="0"/>
        <w:adjustRightInd w:val="0"/>
        <w:ind w:firstLine="709"/>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О правовом положении иностранных граждан в Российской Федерации: Федеральный закон от 25.07.2002 № 115–ФЗ (ред. от 29.07.2017) //СЗ РФ. 2002. № 30. Ст. 3032.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Особенности правового регулирования трудовых отношений отдельных категорий работников: научно–практическое пособие / Е.Г. Азарова, М.А. Бочарникова, Л.А. Егошина и др.; отв. ред. Т.Ю. Коршунова. М.: Институт законодательства и сравнительного пр</w:t>
      </w:r>
      <w:r w:rsidRPr="00EC1A78">
        <w:rPr>
          <w:rFonts w:eastAsiaTheme="minorHAnsi"/>
          <w:sz w:val="22"/>
          <w:szCs w:val="22"/>
          <w:lang w:eastAsia="en-US"/>
        </w:rPr>
        <w:t>а</w:t>
      </w:r>
      <w:r w:rsidRPr="00EC1A78">
        <w:rPr>
          <w:rFonts w:eastAsiaTheme="minorHAnsi"/>
          <w:sz w:val="22"/>
          <w:szCs w:val="22"/>
          <w:lang w:eastAsia="en-US"/>
        </w:rPr>
        <w:t>воведения при Правительстве РФ, 2015. 400 с. // СПС «Консул</w:t>
      </w:r>
      <w:r w:rsidRPr="00EC1A78">
        <w:rPr>
          <w:rFonts w:eastAsiaTheme="minorHAnsi"/>
          <w:sz w:val="22"/>
          <w:szCs w:val="22"/>
          <w:lang w:eastAsia="en-US"/>
        </w:rPr>
        <w:t>ь</w:t>
      </w:r>
      <w:r w:rsidRPr="00EC1A78">
        <w:rPr>
          <w:rFonts w:eastAsiaTheme="minorHAnsi"/>
          <w:sz w:val="22"/>
          <w:szCs w:val="22"/>
          <w:lang w:eastAsia="en-US"/>
        </w:rPr>
        <w:t>тантПлюс».</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3. Жильцова Ю.В. </w:t>
      </w:r>
      <w:hyperlink r:id="rId396" w:history="1">
        <w:r w:rsidRPr="00EC1A78">
          <w:rPr>
            <w:rFonts w:eastAsiaTheme="minorHAnsi"/>
            <w:sz w:val="22"/>
            <w:szCs w:val="22"/>
            <w:lang w:eastAsia="en-US"/>
          </w:rPr>
          <w:t>Регулирование труда мигрантов</w:t>
        </w:r>
      </w:hyperlink>
      <w:r w:rsidRPr="00EC1A78">
        <w:rPr>
          <w:rFonts w:eastAsiaTheme="minorHAnsi"/>
          <w:sz w:val="22"/>
          <w:szCs w:val="22"/>
          <w:lang w:eastAsia="en-US"/>
        </w:rPr>
        <w:t>: пробелы трудового законодательства // Трудовое право в России и за руб</w:t>
      </w:r>
      <w:r w:rsidRPr="00EC1A78">
        <w:rPr>
          <w:rFonts w:eastAsiaTheme="minorHAnsi"/>
          <w:sz w:val="22"/>
          <w:szCs w:val="22"/>
          <w:lang w:eastAsia="en-US"/>
        </w:rPr>
        <w:t>е</w:t>
      </w:r>
      <w:r w:rsidRPr="00EC1A78">
        <w:rPr>
          <w:rFonts w:eastAsiaTheme="minorHAnsi"/>
          <w:sz w:val="22"/>
          <w:szCs w:val="22"/>
          <w:lang w:eastAsia="en-US"/>
        </w:rPr>
        <w:t xml:space="preserve">жом. 2010. № 3. </w:t>
      </w:r>
    </w:p>
    <w:p w:rsidR="00EC1A78" w:rsidRPr="00EC1A78" w:rsidRDefault="00EC1A78" w:rsidP="00EC1A78">
      <w:pPr>
        <w:ind w:firstLine="425"/>
        <w:jc w:val="both"/>
        <w:rPr>
          <w:sz w:val="22"/>
          <w:szCs w:val="22"/>
        </w:rPr>
      </w:pPr>
      <w:r w:rsidRPr="00EC1A78">
        <w:rPr>
          <w:sz w:val="22"/>
          <w:szCs w:val="22"/>
        </w:rPr>
        <w:t>4. Адриановская Т.Л. Работа за рубежом: проблемы труд</w:t>
      </w:r>
      <w:r w:rsidRPr="00EC1A78">
        <w:rPr>
          <w:sz w:val="22"/>
          <w:szCs w:val="22"/>
        </w:rPr>
        <w:t>о</w:t>
      </w:r>
      <w:r w:rsidRPr="00EC1A78">
        <w:rPr>
          <w:sz w:val="22"/>
          <w:szCs w:val="22"/>
        </w:rPr>
        <w:t xml:space="preserve">устройства, особенности заключения, изменения и прекращения трудового договора // Основы новейшей камералистики. 2014. № 1.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 xml:space="preserve">5. О крестьянском (фермерском) хозяйстве: Федеральный закон от 11.06.2003 № 74–Ф (ред. от 23.06.2014) //   СЗ РФ. 2003. № 24. Ст.2249.              </w:t>
      </w:r>
    </w:p>
    <w:p w:rsidR="00EC1A78" w:rsidRDefault="00EC1A78" w:rsidP="00EC1A78">
      <w:pPr>
        <w:jc w:val="both"/>
        <w:rPr>
          <w:rFonts w:eastAsiaTheme="minorHAnsi"/>
          <w:sz w:val="22"/>
          <w:szCs w:val="22"/>
          <w:lang w:eastAsia="en-US"/>
        </w:rPr>
      </w:pPr>
    </w:p>
    <w:p w:rsidR="00641206" w:rsidRDefault="00641206" w:rsidP="00EC1A78">
      <w:pPr>
        <w:jc w:val="both"/>
        <w:rPr>
          <w:rFonts w:eastAsiaTheme="minorHAnsi"/>
          <w:sz w:val="22"/>
          <w:szCs w:val="22"/>
          <w:lang w:eastAsia="en-US"/>
        </w:rPr>
      </w:pPr>
    </w:p>
    <w:p w:rsidR="00D81B7C" w:rsidRPr="00EC1A78" w:rsidRDefault="00D81B7C" w:rsidP="00EC1A78">
      <w:pPr>
        <w:jc w:val="both"/>
        <w:rPr>
          <w:rFonts w:eastAsiaTheme="minorHAnsi"/>
          <w:sz w:val="22"/>
          <w:szCs w:val="22"/>
          <w:lang w:eastAsia="en-US"/>
        </w:rPr>
      </w:pPr>
    </w:p>
    <w:p w:rsidR="00EC1A78" w:rsidRPr="00EC1A78" w:rsidRDefault="00EC1A78" w:rsidP="00EC1A78">
      <w:pPr>
        <w:rPr>
          <w:color w:val="333333"/>
          <w:sz w:val="22"/>
          <w:szCs w:val="22"/>
          <w:shd w:val="clear" w:color="auto" w:fill="FFFFFF"/>
        </w:rPr>
      </w:pPr>
      <w:r w:rsidRPr="00EC1A78">
        <w:rPr>
          <w:color w:val="000000"/>
          <w:sz w:val="22"/>
          <w:szCs w:val="22"/>
        </w:rPr>
        <w:t xml:space="preserve">УДК </w:t>
      </w:r>
      <w:r w:rsidRPr="00EC1A78">
        <w:rPr>
          <w:color w:val="333333"/>
          <w:sz w:val="22"/>
          <w:szCs w:val="22"/>
          <w:shd w:val="clear" w:color="auto" w:fill="FFFFFF"/>
        </w:rPr>
        <w:t>351.7</w:t>
      </w:r>
    </w:p>
    <w:p w:rsidR="00EC1A78" w:rsidRPr="00EC1A78" w:rsidRDefault="00EC1A78" w:rsidP="00EC1A78">
      <w:pPr>
        <w:jc w:val="center"/>
        <w:rPr>
          <w:color w:val="333333"/>
          <w:sz w:val="22"/>
          <w:szCs w:val="22"/>
          <w:shd w:val="clear" w:color="auto" w:fill="FFFFFF"/>
        </w:rPr>
      </w:pPr>
    </w:p>
    <w:p w:rsidR="00EC1A78" w:rsidRPr="00EC2599" w:rsidRDefault="00EC1A78" w:rsidP="00EC1A78">
      <w:pPr>
        <w:jc w:val="center"/>
        <w:rPr>
          <w:b/>
          <w:sz w:val="24"/>
          <w:szCs w:val="24"/>
        </w:rPr>
      </w:pPr>
      <w:r w:rsidRPr="00EC2599">
        <w:rPr>
          <w:b/>
          <w:sz w:val="24"/>
          <w:szCs w:val="24"/>
          <w:shd w:val="clear" w:color="auto" w:fill="FFFFFF"/>
        </w:rPr>
        <w:t xml:space="preserve">Противодействие внутрисемейных насильственных </w:t>
      </w:r>
      <w:r w:rsidR="00EC2599">
        <w:rPr>
          <w:b/>
          <w:sz w:val="24"/>
          <w:szCs w:val="24"/>
          <w:shd w:val="clear" w:color="auto" w:fill="FFFFFF"/>
        </w:rPr>
        <w:br/>
      </w:r>
      <w:r w:rsidRPr="00EC2599">
        <w:rPr>
          <w:b/>
          <w:sz w:val="24"/>
          <w:szCs w:val="24"/>
          <w:shd w:val="clear" w:color="auto" w:fill="FFFFFF"/>
        </w:rPr>
        <w:t>преступлений</w:t>
      </w:r>
    </w:p>
    <w:p w:rsidR="00EC1A78" w:rsidRPr="00EC1A78" w:rsidRDefault="00EC1A78" w:rsidP="00EC1A78">
      <w:pPr>
        <w:widowControl w:val="0"/>
        <w:tabs>
          <w:tab w:val="left" w:pos="3516"/>
          <w:tab w:val="right" w:pos="9335"/>
        </w:tabs>
        <w:suppressAutoHyphens/>
        <w:jc w:val="center"/>
        <w:rPr>
          <w:rFonts w:eastAsia="Andale Sans UI"/>
          <w:b/>
          <w:kern w:val="1"/>
          <w:sz w:val="24"/>
          <w:szCs w:val="24"/>
          <w:lang w:eastAsia="en-US"/>
        </w:rPr>
      </w:pPr>
      <w:r w:rsidRPr="00EC1A78">
        <w:rPr>
          <w:rFonts w:eastAsia="Andale Sans UI"/>
          <w:b/>
          <w:kern w:val="1"/>
          <w:sz w:val="24"/>
          <w:szCs w:val="24"/>
          <w:lang w:val="en-US" w:eastAsia="en-US"/>
        </w:rPr>
        <w:t>Countering</w:t>
      </w:r>
      <w:r w:rsidRPr="00EC1A78">
        <w:rPr>
          <w:rFonts w:eastAsia="Andale Sans UI"/>
          <w:b/>
          <w:kern w:val="1"/>
          <w:sz w:val="24"/>
          <w:szCs w:val="24"/>
          <w:lang w:eastAsia="en-US"/>
        </w:rPr>
        <w:t xml:space="preserve"> </w:t>
      </w:r>
      <w:r w:rsidRPr="00EC1A78">
        <w:rPr>
          <w:rFonts w:eastAsia="Andale Sans UI"/>
          <w:b/>
          <w:kern w:val="1"/>
          <w:sz w:val="24"/>
          <w:szCs w:val="24"/>
          <w:lang w:val="en-US" w:eastAsia="en-US"/>
        </w:rPr>
        <w:t>domestic</w:t>
      </w:r>
      <w:r w:rsidRPr="00EC1A78">
        <w:rPr>
          <w:rFonts w:eastAsia="Andale Sans UI"/>
          <w:b/>
          <w:kern w:val="1"/>
          <w:sz w:val="24"/>
          <w:szCs w:val="24"/>
          <w:lang w:eastAsia="en-US"/>
        </w:rPr>
        <w:t xml:space="preserve"> </w:t>
      </w:r>
      <w:r w:rsidRPr="00EC1A78">
        <w:rPr>
          <w:rFonts w:eastAsia="Andale Sans UI"/>
          <w:b/>
          <w:kern w:val="1"/>
          <w:sz w:val="24"/>
          <w:szCs w:val="24"/>
          <w:lang w:val="en-US" w:eastAsia="en-US"/>
        </w:rPr>
        <w:t>violent</w:t>
      </w:r>
      <w:r w:rsidRPr="00EC1A78">
        <w:rPr>
          <w:rFonts w:eastAsia="Andale Sans UI"/>
          <w:b/>
          <w:kern w:val="1"/>
          <w:sz w:val="24"/>
          <w:szCs w:val="24"/>
          <w:lang w:eastAsia="en-US"/>
        </w:rPr>
        <w:t xml:space="preserve"> </w:t>
      </w:r>
      <w:r w:rsidRPr="00EC1A78">
        <w:rPr>
          <w:rFonts w:eastAsia="Andale Sans UI"/>
          <w:b/>
          <w:kern w:val="1"/>
          <w:sz w:val="24"/>
          <w:szCs w:val="24"/>
          <w:lang w:val="en-US" w:eastAsia="en-US"/>
        </w:rPr>
        <w:t>crimes</w:t>
      </w:r>
    </w:p>
    <w:p w:rsidR="00EC1A78" w:rsidRPr="00EC1A78" w:rsidRDefault="00EC1A78" w:rsidP="00EC1A78">
      <w:pPr>
        <w:widowControl w:val="0"/>
        <w:tabs>
          <w:tab w:val="left" w:pos="3516"/>
          <w:tab w:val="right" w:pos="9335"/>
        </w:tabs>
        <w:suppressAutoHyphens/>
        <w:jc w:val="center"/>
        <w:rPr>
          <w:rFonts w:eastAsia="Andale Sans UI"/>
          <w:b/>
          <w:kern w:val="1"/>
          <w:sz w:val="22"/>
          <w:szCs w:val="22"/>
          <w:lang w:eastAsia="en-US"/>
        </w:rPr>
      </w:pPr>
    </w:p>
    <w:p w:rsidR="00EC1A78" w:rsidRPr="00EC1A78" w:rsidRDefault="00EC1A78" w:rsidP="00EC1A78">
      <w:pPr>
        <w:widowControl w:val="0"/>
        <w:tabs>
          <w:tab w:val="left" w:pos="3516"/>
          <w:tab w:val="right" w:pos="9335"/>
        </w:tabs>
        <w:suppressAutoHyphens/>
        <w:jc w:val="right"/>
        <w:rPr>
          <w:rFonts w:eastAsia="Andale Sans UI"/>
          <w:kern w:val="1"/>
          <w:sz w:val="22"/>
          <w:szCs w:val="22"/>
          <w:lang w:eastAsia="en-US"/>
        </w:rPr>
      </w:pPr>
      <w:r w:rsidRPr="00EC1A78">
        <w:rPr>
          <w:rFonts w:eastAsia="Andale Sans UI"/>
          <w:kern w:val="1"/>
          <w:sz w:val="22"/>
          <w:szCs w:val="22"/>
          <w:lang w:eastAsia="en-US"/>
        </w:rPr>
        <w:t>Маргарян А.</w:t>
      </w:r>
      <w:r w:rsidR="00EC2599">
        <w:rPr>
          <w:rFonts w:eastAsia="Andale Sans UI"/>
          <w:kern w:val="1"/>
          <w:sz w:val="22"/>
          <w:szCs w:val="22"/>
          <w:lang w:eastAsia="en-US"/>
        </w:rPr>
        <w:t xml:space="preserve"> </w:t>
      </w:r>
      <w:r w:rsidRPr="00EC1A78">
        <w:rPr>
          <w:rFonts w:eastAsia="Andale Sans UI"/>
          <w:kern w:val="1"/>
          <w:sz w:val="22"/>
          <w:szCs w:val="22"/>
          <w:lang w:eastAsia="en-US"/>
        </w:rPr>
        <w:t>А.,</w:t>
      </w:r>
    </w:p>
    <w:p w:rsidR="00EC1A78" w:rsidRPr="00EC1A78" w:rsidRDefault="00EC1A78" w:rsidP="00EC1A78">
      <w:pPr>
        <w:widowControl w:val="0"/>
        <w:tabs>
          <w:tab w:val="left" w:pos="3516"/>
          <w:tab w:val="right" w:pos="9335"/>
        </w:tabs>
        <w:suppressAutoHyphens/>
        <w:jc w:val="right"/>
        <w:rPr>
          <w:rFonts w:eastAsia="Andale Sans UI"/>
          <w:kern w:val="1"/>
          <w:sz w:val="22"/>
          <w:szCs w:val="22"/>
          <w:lang w:eastAsia="en-US"/>
        </w:rPr>
      </w:pPr>
      <w:r w:rsidRPr="00EC1A78">
        <w:rPr>
          <w:rFonts w:eastAsia="Andale Sans UI"/>
          <w:kern w:val="1"/>
          <w:sz w:val="22"/>
          <w:szCs w:val="22"/>
          <w:lang w:eastAsia="en-US"/>
        </w:rPr>
        <w:t>студент 2–го курса юридического факультета</w:t>
      </w:r>
    </w:p>
    <w:p w:rsidR="00EC1A78" w:rsidRPr="00EC1A78" w:rsidRDefault="00EC1A78" w:rsidP="00EC1A78">
      <w:pPr>
        <w:widowControl w:val="0"/>
        <w:tabs>
          <w:tab w:val="left" w:pos="3516"/>
          <w:tab w:val="right" w:pos="9335"/>
        </w:tabs>
        <w:suppressAutoHyphens/>
        <w:jc w:val="right"/>
        <w:rPr>
          <w:rFonts w:eastAsia="Andale Sans UI"/>
          <w:kern w:val="1"/>
          <w:sz w:val="22"/>
          <w:szCs w:val="22"/>
          <w:lang w:eastAsia="en-US"/>
        </w:rPr>
      </w:pPr>
      <w:r w:rsidRPr="00EC1A78">
        <w:rPr>
          <w:rFonts w:eastAsia="Andale Sans UI"/>
          <w:kern w:val="1"/>
          <w:sz w:val="22"/>
          <w:szCs w:val="22"/>
          <w:lang w:eastAsia="en-US"/>
        </w:rPr>
        <w:t>Картавченко В.</w:t>
      </w:r>
      <w:r w:rsidR="00EC2599">
        <w:rPr>
          <w:rFonts w:eastAsia="Andale Sans UI"/>
          <w:kern w:val="1"/>
          <w:sz w:val="22"/>
          <w:szCs w:val="22"/>
          <w:lang w:eastAsia="en-US"/>
        </w:rPr>
        <w:t xml:space="preserve"> </w:t>
      </w:r>
      <w:r w:rsidRPr="00EC1A78">
        <w:rPr>
          <w:rFonts w:eastAsia="Andale Sans UI"/>
          <w:kern w:val="1"/>
          <w:sz w:val="22"/>
          <w:szCs w:val="22"/>
          <w:lang w:eastAsia="en-US"/>
        </w:rPr>
        <w:t>В.,</w:t>
      </w:r>
    </w:p>
    <w:p w:rsidR="00EC1A78" w:rsidRPr="00EC1A78" w:rsidRDefault="00EC1A78" w:rsidP="00EC1A78">
      <w:pPr>
        <w:widowControl w:val="0"/>
        <w:tabs>
          <w:tab w:val="left" w:pos="3516"/>
          <w:tab w:val="right" w:pos="9335"/>
        </w:tabs>
        <w:suppressAutoHyphens/>
        <w:jc w:val="right"/>
        <w:rPr>
          <w:rFonts w:eastAsia="Andale Sans UI"/>
          <w:kern w:val="1"/>
          <w:sz w:val="22"/>
          <w:szCs w:val="22"/>
          <w:lang w:eastAsia="en-US"/>
        </w:rPr>
      </w:pPr>
      <w:r w:rsidRPr="00EC1A78">
        <w:rPr>
          <w:rFonts w:eastAsia="Andale Sans UI"/>
          <w:kern w:val="1"/>
          <w:sz w:val="22"/>
          <w:szCs w:val="22"/>
          <w:lang w:eastAsia="en-US"/>
        </w:rPr>
        <w:t xml:space="preserve">доцент кафедры уголовного права </w:t>
      </w:r>
    </w:p>
    <w:p w:rsidR="00EC1A78" w:rsidRPr="00EC1A78" w:rsidRDefault="00EC1A78" w:rsidP="00EC1A78">
      <w:pPr>
        <w:widowControl w:val="0"/>
        <w:suppressAutoHyphens/>
        <w:jc w:val="right"/>
        <w:rPr>
          <w:rFonts w:eastAsia="Andale Sans UI"/>
          <w:kern w:val="1"/>
          <w:sz w:val="22"/>
          <w:szCs w:val="22"/>
          <w:lang w:eastAsia="en-US"/>
        </w:rPr>
      </w:pPr>
      <w:bookmarkStart w:id="22" w:name="_Hlk500260506"/>
      <w:r w:rsidRPr="00EC1A78">
        <w:rPr>
          <w:rFonts w:eastAsia="Andale Sans UI"/>
          <w:kern w:val="1"/>
          <w:sz w:val="22"/>
          <w:szCs w:val="22"/>
          <w:lang w:eastAsia="en-US"/>
        </w:rPr>
        <w:t xml:space="preserve">Кубанский государственный </w:t>
      </w:r>
    </w:p>
    <w:p w:rsidR="00EC1A78" w:rsidRPr="00EC1A78" w:rsidRDefault="00EC1A78" w:rsidP="00EC1A78">
      <w:pPr>
        <w:widowControl w:val="0"/>
        <w:suppressAutoHyphens/>
        <w:jc w:val="right"/>
        <w:rPr>
          <w:rFonts w:eastAsia="Andale Sans UI"/>
          <w:kern w:val="1"/>
          <w:sz w:val="22"/>
          <w:szCs w:val="22"/>
          <w:lang w:eastAsia="en-US"/>
        </w:rPr>
      </w:pPr>
      <w:r w:rsidRPr="00EC1A78">
        <w:rPr>
          <w:rFonts w:eastAsia="Andale Sans UI"/>
          <w:kern w:val="1"/>
          <w:sz w:val="22"/>
          <w:szCs w:val="22"/>
          <w:lang w:eastAsia="en-US"/>
        </w:rPr>
        <w:t xml:space="preserve">аграрный университет им. </w:t>
      </w:r>
      <w:r w:rsidR="00EC2599">
        <w:rPr>
          <w:rFonts w:eastAsia="Andale Sans UI"/>
          <w:kern w:val="1"/>
          <w:sz w:val="22"/>
          <w:szCs w:val="22"/>
          <w:lang w:eastAsia="en-US"/>
        </w:rPr>
        <w:t xml:space="preserve">И. Т. </w:t>
      </w:r>
      <w:r w:rsidRPr="00EC1A78">
        <w:rPr>
          <w:rFonts w:eastAsia="Andale Sans UI"/>
          <w:kern w:val="1"/>
          <w:sz w:val="22"/>
          <w:szCs w:val="22"/>
          <w:lang w:eastAsia="en-US"/>
        </w:rPr>
        <w:t>Трубилина</w:t>
      </w:r>
      <w:bookmarkEnd w:id="22"/>
      <w:r w:rsidRPr="00EC1A78">
        <w:rPr>
          <w:rFonts w:eastAsia="Andale Sans UI"/>
          <w:color w:val="000000"/>
          <w:kern w:val="1"/>
          <w:sz w:val="22"/>
          <w:szCs w:val="22"/>
          <w:lang w:eastAsia="en-US"/>
        </w:rPr>
        <w:t xml:space="preserve"> </w:t>
      </w:r>
    </w:p>
    <w:p w:rsidR="00EC1A78" w:rsidRPr="00EC1A78" w:rsidRDefault="00EC1A78" w:rsidP="00EC1A78">
      <w:pPr>
        <w:jc w:val="both"/>
        <w:textAlignment w:val="top"/>
        <w:rPr>
          <w:b/>
          <w:color w:val="000000"/>
          <w:sz w:val="22"/>
          <w:szCs w:val="22"/>
        </w:rPr>
      </w:pPr>
    </w:p>
    <w:p w:rsidR="00EC1A78" w:rsidRPr="00EC1A78" w:rsidRDefault="00EC1A78" w:rsidP="00EC1A78">
      <w:pPr>
        <w:ind w:firstLine="426"/>
        <w:jc w:val="both"/>
        <w:textAlignment w:val="top"/>
        <w:rPr>
          <w:color w:val="000000"/>
          <w:sz w:val="22"/>
          <w:szCs w:val="22"/>
        </w:rPr>
      </w:pPr>
      <w:r w:rsidRPr="00EC1A78">
        <w:rPr>
          <w:color w:val="000000"/>
          <w:sz w:val="22"/>
          <w:szCs w:val="22"/>
        </w:rPr>
        <w:t xml:space="preserve">АННОТАЦИЯ: В данной статье рассматривается </w:t>
      </w:r>
      <w:r w:rsidRPr="00EC1A78">
        <w:rPr>
          <w:rFonts w:eastAsiaTheme="minorHAnsi"/>
          <w:sz w:val="22"/>
          <w:szCs w:val="22"/>
          <w:lang w:eastAsia="en-US"/>
        </w:rPr>
        <w:t>суть и предыстория семейной криминологии, бытовые или внутрисеме</w:t>
      </w:r>
      <w:r w:rsidRPr="00EC1A78">
        <w:rPr>
          <w:rFonts w:eastAsiaTheme="minorHAnsi"/>
          <w:sz w:val="22"/>
          <w:szCs w:val="22"/>
          <w:lang w:eastAsia="en-US"/>
        </w:rPr>
        <w:t>й</w:t>
      </w:r>
      <w:r w:rsidRPr="00EC1A78">
        <w:rPr>
          <w:rFonts w:eastAsiaTheme="minorHAnsi"/>
          <w:sz w:val="22"/>
          <w:szCs w:val="22"/>
          <w:lang w:eastAsia="en-US"/>
        </w:rPr>
        <w:t>ные преступления, возрастание преступной активности женщин, теория причинности и криминологическая коррекция семейных о</w:t>
      </w:r>
      <w:r w:rsidRPr="00EC1A78">
        <w:rPr>
          <w:rFonts w:eastAsiaTheme="minorHAnsi"/>
          <w:sz w:val="22"/>
          <w:szCs w:val="22"/>
          <w:lang w:eastAsia="en-US"/>
        </w:rPr>
        <w:t>т</w:t>
      </w:r>
      <w:r w:rsidRPr="00EC1A78">
        <w:rPr>
          <w:rFonts w:eastAsiaTheme="minorHAnsi"/>
          <w:sz w:val="22"/>
          <w:szCs w:val="22"/>
          <w:lang w:eastAsia="en-US"/>
        </w:rPr>
        <w:t>ношений.</w:t>
      </w:r>
    </w:p>
    <w:p w:rsidR="00EC1A78" w:rsidRPr="00EC1A78" w:rsidRDefault="00EC1A78" w:rsidP="00EC1A78">
      <w:pPr>
        <w:ind w:firstLine="426"/>
        <w:jc w:val="both"/>
        <w:textAlignment w:val="top"/>
        <w:rPr>
          <w:color w:val="000000"/>
          <w:sz w:val="22"/>
          <w:szCs w:val="22"/>
          <w:lang w:val="en-US"/>
        </w:rPr>
      </w:pPr>
      <w:r w:rsidRPr="00EC1A78">
        <w:rPr>
          <w:color w:val="000000"/>
          <w:sz w:val="22"/>
          <w:szCs w:val="22"/>
          <w:lang w:val="en-US"/>
        </w:rPr>
        <w:t>ABSTRACT: this article discusses the essence and background family intrafamily or Domestic criminal offences, increased criminal activity of women, theory of causation and criminological correction of family relations.</w:t>
      </w:r>
    </w:p>
    <w:p w:rsidR="00EC1A78" w:rsidRPr="00EC1A78" w:rsidRDefault="00EC1A78" w:rsidP="00EC1A78">
      <w:pPr>
        <w:ind w:firstLine="426"/>
        <w:jc w:val="both"/>
        <w:textAlignment w:val="top"/>
        <w:rPr>
          <w:color w:val="000000"/>
          <w:sz w:val="22"/>
          <w:szCs w:val="22"/>
        </w:rPr>
      </w:pPr>
      <w:r w:rsidRPr="00EC1A78">
        <w:rPr>
          <w:color w:val="000000"/>
          <w:sz w:val="22"/>
          <w:szCs w:val="22"/>
        </w:rPr>
        <w:t>КЛЮЧЕВЫЕ СЛОВА:  семейная криминология,  преступление, супруги.</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Criminology, crime family, wife.</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Семейная криминология ведёт свой отсчёт от начала 70–х г</w:t>
      </w:r>
      <w:r w:rsidRPr="00EC1A78">
        <w:rPr>
          <w:rFonts w:eastAsiaTheme="minorHAnsi"/>
          <w:sz w:val="22"/>
          <w:szCs w:val="22"/>
          <w:lang w:eastAsia="en-US"/>
        </w:rPr>
        <w:t>о</w:t>
      </w:r>
      <w:r w:rsidRPr="00EC1A78">
        <w:rPr>
          <w:rFonts w:eastAsiaTheme="minorHAnsi"/>
          <w:sz w:val="22"/>
          <w:szCs w:val="22"/>
          <w:lang w:eastAsia="en-US"/>
        </w:rPr>
        <w:t>дов. Впервые серьёзные исследования появились в связи с пробл</w:t>
      </w:r>
      <w:r w:rsidRPr="00EC1A78">
        <w:rPr>
          <w:rFonts w:eastAsiaTheme="minorHAnsi"/>
          <w:sz w:val="22"/>
          <w:szCs w:val="22"/>
          <w:lang w:eastAsia="en-US"/>
        </w:rPr>
        <w:t>е</w:t>
      </w:r>
      <w:r w:rsidRPr="00EC1A78">
        <w:rPr>
          <w:rFonts w:eastAsiaTheme="minorHAnsi"/>
          <w:sz w:val="22"/>
          <w:szCs w:val="22"/>
          <w:lang w:eastAsia="en-US"/>
        </w:rPr>
        <w:t>мой преступлений в семье одновременно в США и Советском со</w:t>
      </w:r>
      <w:r w:rsidRPr="00EC1A78">
        <w:rPr>
          <w:rFonts w:eastAsiaTheme="minorHAnsi"/>
          <w:sz w:val="22"/>
          <w:szCs w:val="22"/>
          <w:lang w:eastAsia="en-US"/>
        </w:rPr>
        <w:t>ю</w:t>
      </w:r>
      <w:r w:rsidRPr="00EC1A78">
        <w:rPr>
          <w:rFonts w:eastAsiaTheme="minorHAnsi"/>
          <w:sz w:val="22"/>
          <w:szCs w:val="22"/>
          <w:lang w:eastAsia="en-US"/>
        </w:rPr>
        <w:t>зе. Наиболее известный лидером этих исследований в США являе</w:t>
      </w:r>
      <w:r w:rsidRPr="00EC1A78">
        <w:rPr>
          <w:rFonts w:eastAsiaTheme="minorHAnsi"/>
          <w:sz w:val="22"/>
          <w:szCs w:val="22"/>
          <w:lang w:eastAsia="en-US"/>
        </w:rPr>
        <w:t>т</w:t>
      </w:r>
      <w:r w:rsidRPr="00EC1A78">
        <w:rPr>
          <w:rFonts w:eastAsiaTheme="minorHAnsi"/>
          <w:sz w:val="22"/>
          <w:szCs w:val="22"/>
          <w:lang w:eastAsia="en-US"/>
        </w:rPr>
        <w:lastRenderedPageBreak/>
        <w:t xml:space="preserve">ся Штраус М. В Россия как мы считаем семейная криминология прошла три этапа: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Диалектический (70е – 80е) когда была сформирована теор</w:t>
      </w:r>
      <w:r w:rsidRPr="00EC1A78">
        <w:rPr>
          <w:rFonts w:eastAsiaTheme="minorHAnsi"/>
          <w:sz w:val="22"/>
          <w:szCs w:val="22"/>
          <w:lang w:eastAsia="en-US"/>
        </w:rPr>
        <w:t>е</w:t>
      </w:r>
      <w:r w:rsidRPr="00EC1A78">
        <w:rPr>
          <w:rFonts w:eastAsiaTheme="minorHAnsi"/>
          <w:sz w:val="22"/>
          <w:szCs w:val="22"/>
          <w:lang w:eastAsia="en-US"/>
        </w:rPr>
        <w:t>тическая основа этой отрасли и в частности теория причинности в семейной сфере, суть которой может быть сведена к формуле: если двоя сорятся– значит оба не правы. Или в качестве причины для одной из причин усматривались не совпадающие интересы большой социальной группы, которую образуют мужчины, и другой соц</w:t>
      </w:r>
      <w:r w:rsidRPr="00EC1A78">
        <w:rPr>
          <w:rFonts w:eastAsiaTheme="minorHAnsi"/>
          <w:sz w:val="22"/>
          <w:szCs w:val="22"/>
          <w:lang w:eastAsia="en-US"/>
        </w:rPr>
        <w:t>и</w:t>
      </w:r>
      <w:r w:rsidRPr="00EC1A78">
        <w:rPr>
          <w:rFonts w:eastAsiaTheme="minorHAnsi"/>
          <w:sz w:val="22"/>
          <w:szCs w:val="22"/>
          <w:lang w:eastAsia="en-US"/>
        </w:rPr>
        <w:t xml:space="preserve">альной группы которую образуют женщины.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Феминистский (90–е годы), – характеризуется распростран</w:t>
      </w:r>
      <w:r w:rsidRPr="00EC1A78">
        <w:rPr>
          <w:rFonts w:eastAsiaTheme="minorHAnsi"/>
          <w:sz w:val="22"/>
          <w:szCs w:val="22"/>
          <w:lang w:eastAsia="en-US"/>
        </w:rPr>
        <w:t>е</w:t>
      </w:r>
      <w:r w:rsidRPr="00EC1A78">
        <w:rPr>
          <w:rFonts w:eastAsiaTheme="minorHAnsi"/>
          <w:sz w:val="22"/>
          <w:szCs w:val="22"/>
          <w:lang w:eastAsia="en-US"/>
        </w:rPr>
        <w:t>нием на постсоветском пространстве при финансовой поддержке из США объяснения внутрисемейных преступлений тем, что в общ</w:t>
      </w:r>
      <w:r w:rsidRPr="00EC1A78">
        <w:rPr>
          <w:rFonts w:eastAsiaTheme="minorHAnsi"/>
          <w:sz w:val="22"/>
          <w:szCs w:val="22"/>
          <w:lang w:eastAsia="en-US"/>
        </w:rPr>
        <w:t>е</w:t>
      </w:r>
      <w:r w:rsidRPr="00EC1A78">
        <w:rPr>
          <w:rFonts w:eastAsiaTheme="minorHAnsi"/>
          <w:sz w:val="22"/>
          <w:szCs w:val="22"/>
          <w:lang w:eastAsia="en-US"/>
        </w:rPr>
        <w:t>стве доминируют мужчины.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Интегративный этап – суть этого подхода заключается в том что оставаясь на позициях диалектики мы берём из западной пра</w:t>
      </w:r>
      <w:r w:rsidRPr="00EC1A78">
        <w:rPr>
          <w:rFonts w:eastAsiaTheme="minorHAnsi"/>
          <w:sz w:val="22"/>
          <w:szCs w:val="22"/>
          <w:lang w:eastAsia="en-US"/>
        </w:rPr>
        <w:t>к</w:t>
      </w:r>
      <w:r w:rsidRPr="00EC1A78">
        <w:rPr>
          <w:rFonts w:eastAsiaTheme="minorHAnsi"/>
          <w:sz w:val="22"/>
          <w:szCs w:val="22"/>
          <w:lang w:eastAsia="en-US"/>
        </w:rPr>
        <w:t xml:space="preserve">тики всё то позитивное что там выработано по противодействию семейной криминологии.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Есть основания полагать, что за четыре десятилетия кримин</w:t>
      </w:r>
      <w:r w:rsidRPr="00EC1A78">
        <w:rPr>
          <w:rFonts w:eastAsiaTheme="minorHAnsi"/>
          <w:sz w:val="22"/>
          <w:szCs w:val="22"/>
          <w:lang w:eastAsia="en-US"/>
        </w:rPr>
        <w:t>о</w:t>
      </w:r>
      <w:r w:rsidRPr="00EC1A78">
        <w:rPr>
          <w:rFonts w:eastAsiaTheme="minorHAnsi"/>
          <w:sz w:val="22"/>
          <w:szCs w:val="22"/>
          <w:lang w:eastAsia="en-US"/>
        </w:rPr>
        <w:t>фамилистических исследований этот показатель в России круто и</w:t>
      </w:r>
      <w:r w:rsidRPr="00EC1A78">
        <w:rPr>
          <w:rFonts w:eastAsiaTheme="minorHAnsi"/>
          <w:sz w:val="22"/>
          <w:szCs w:val="22"/>
          <w:lang w:eastAsia="en-US"/>
        </w:rPr>
        <w:t>з</w:t>
      </w:r>
      <w:r w:rsidRPr="00EC1A78">
        <w:rPr>
          <w:rFonts w:eastAsiaTheme="minorHAnsi"/>
          <w:sz w:val="22"/>
          <w:szCs w:val="22"/>
          <w:lang w:eastAsia="en-US"/>
        </w:rPr>
        <w:t>менился – с 7 до 1. В 70–е годы жён, убитых мужьями, было в семь раз  больше, чем мужей, убитых жёнами. А в первом десятил</w:t>
      </w:r>
      <w:r w:rsidRPr="00EC1A78">
        <w:rPr>
          <w:rFonts w:eastAsiaTheme="minorHAnsi"/>
          <w:sz w:val="22"/>
          <w:szCs w:val="22"/>
          <w:lang w:eastAsia="en-US"/>
        </w:rPr>
        <w:t>е</w:t>
      </w:r>
      <w:r w:rsidRPr="00EC1A78">
        <w:rPr>
          <w:rFonts w:eastAsiaTheme="minorHAnsi"/>
          <w:sz w:val="22"/>
          <w:szCs w:val="22"/>
          <w:lang w:eastAsia="en-US"/>
        </w:rPr>
        <w:t>тии XXI века чѝсла потерпевших мужчин и женщин как будто бы сравнялись! Надо сказать, что в отсутствие должного государстве</w:t>
      </w:r>
      <w:r w:rsidRPr="00EC1A78">
        <w:rPr>
          <w:rFonts w:eastAsiaTheme="minorHAnsi"/>
          <w:sz w:val="22"/>
          <w:szCs w:val="22"/>
          <w:lang w:eastAsia="en-US"/>
        </w:rPr>
        <w:t>н</w:t>
      </w:r>
      <w:r w:rsidRPr="00EC1A78">
        <w:rPr>
          <w:rFonts w:eastAsiaTheme="minorHAnsi"/>
          <w:sz w:val="22"/>
          <w:szCs w:val="22"/>
          <w:lang w:eastAsia="en-US"/>
        </w:rPr>
        <w:t>ного учёта приведённые выше данные получены посредством и</w:t>
      </w:r>
      <w:r w:rsidRPr="00EC1A78">
        <w:rPr>
          <w:rFonts w:eastAsiaTheme="minorHAnsi"/>
          <w:sz w:val="22"/>
          <w:szCs w:val="22"/>
          <w:lang w:eastAsia="en-US"/>
        </w:rPr>
        <w:t>с</w:t>
      </w:r>
      <w:r w:rsidRPr="00EC1A78">
        <w:rPr>
          <w:rFonts w:eastAsiaTheme="minorHAnsi"/>
          <w:sz w:val="22"/>
          <w:szCs w:val="22"/>
          <w:lang w:eastAsia="en-US"/>
        </w:rPr>
        <w:t>следований (по большей части выборочных), предпринятых энтуз</w:t>
      </w:r>
      <w:r w:rsidRPr="00EC1A78">
        <w:rPr>
          <w:rFonts w:eastAsiaTheme="minorHAnsi"/>
          <w:sz w:val="22"/>
          <w:szCs w:val="22"/>
          <w:lang w:eastAsia="en-US"/>
        </w:rPr>
        <w:t>и</w:t>
      </w:r>
      <w:r w:rsidRPr="00EC1A78">
        <w:rPr>
          <w:rFonts w:eastAsiaTheme="minorHAnsi"/>
          <w:sz w:val="22"/>
          <w:szCs w:val="22"/>
          <w:lang w:eastAsia="en-US"/>
        </w:rPr>
        <w:t>астами в отдельных российских регионах: Санкт–Петербург, Ба</w:t>
      </w:r>
      <w:r w:rsidRPr="00EC1A78">
        <w:rPr>
          <w:rFonts w:eastAsiaTheme="minorHAnsi"/>
          <w:sz w:val="22"/>
          <w:szCs w:val="22"/>
          <w:lang w:eastAsia="en-US"/>
        </w:rPr>
        <w:t>ш</w:t>
      </w:r>
      <w:r w:rsidRPr="00EC1A78">
        <w:rPr>
          <w:rFonts w:eastAsiaTheme="minorHAnsi"/>
          <w:sz w:val="22"/>
          <w:szCs w:val="22"/>
          <w:lang w:eastAsia="en-US"/>
        </w:rPr>
        <w:t>кортостан, Мордовия и др. Конечно, результаты этих исследований нуждаются в уточнениях, возможно, существенных. Так или иначе благодаря этим разработкам стало очевидным, что не только «бор</w:t>
      </w:r>
      <w:r w:rsidRPr="00EC1A78">
        <w:rPr>
          <w:rFonts w:eastAsiaTheme="minorHAnsi"/>
          <w:sz w:val="22"/>
          <w:szCs w:val="22"/>
          <w:lang w:eastAsia="en-US"/>
        </w:rPr>
        <w:t>ь</w:t>
      </w:r>
      <w:r w:rsidRPr="00EC1A78">
        <w:rPr>
          <w:rFonts w:eastAsiaTheme="minorHAnsi"/>
          <w:sz w:val="22"/>
          <w:szCs w:val="22"/>
          <w:lang w:eastAsia="en-US"/>
        </w:rPr>
        <w:t>ба полов», но наступательность каждой из сторон (мужчины – женщины) этой борьбы, должна отслеживаться криминофамил</w:t>
      </w:r>
      <w:r w:rsidRPr="00EC1A78">
        <w:rPr>
          <w:rFonts w:eastAsiaTheme="minorHAnsi"/>
          <w:sz w:val="22"/>
          <w:szCs w:val="22"/>
          <w:lang w:eastAsia="en-US"/>
        </w:rPr>
        <w:t>и</w:t>
      </w:r>
      <w:r w:rsidRPr="00EC1A78">
        <w:rPr>
          <w:rFonts w:eastAsiaTheme="minorHAnsi"/>
          <w:sz w:val="22"/>
          <w:szCs w:val="22"/>
          <w:lang w:eastAsia="en-US"/>
        </w:rPr>
        <w:t>стами.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Первое препятствие, на которое наталкивались исследователи внутрисемейных преступлений, – это недостаточность госуда</w:t>
      </w:r>
      <w:r w:rsidRPr="00EC1A78">
        <w:rPr>
          <w:rFonts w:eastAsiaTheme="minorHAnsi"/>
          <w:sz w:val="22"/>
          <w:szCs w:val="22"/>
          <w:lang w:eastAsia="en-US"/>
        </w:rPr>
        <w:t>р</w:t>
      </w:r>
      <w:r w:rsidRPr="00EC1A78">
        <w:rPr>
          <w:rFonts w:eastAsiaTheme="minorHAnsi"/>
          <w:sz w:val="22"/>
          <w:szCs w:val="22"/>
          <w:lang w:eastAsia="en-US"/>
        </w:rPr>
        <w:t>ственной статистики. Теперь в Российской Федерации в соотве</w:t>
      </w:r>
      <w:r w:rsidRPr="00EC1A78">
        <w:rPr>
          <w:rFonts w:eastAsiaTheme="minorHAnsi"/>
          <w:sz w:val="22"/>
          <w:szCs w:val="22"/>
          <w:lang w:eastAsia="en-US"/>
        </w:rPr>
        <w:t>т</w:t>
      </w:r>
      <w:r w:rsidRPr="00EC1A78">
        <w:rPr>
          <w:rFonts w:eastAsiaTheme="minorHAnsi"/>
          <w:sz w:val="22"/>
          <w:szCs w:val="22"/>
          <w:lang w:eastAsia="en-US"/>
        </w:rPr>
        <w:t xml:space="preserve">ствии с Положением «О едином порядке… учёта преступлений…» от 29.12.2005 статистическая карточка о потерпевших подразделяет их на знакомых, сожителей, членов семьи, в том числе супругов, </w:t>
      </w:r>
      <w:r w:rsidRPr="00EC1A78">
        <w:rPr>
          <w:rFonts w:eastAsiaTheme="minorHAnsi"/>
          <w:sz w:val="22"/>
          <w:szCs w:val="22"/>
          <w:lang w:eastAsia="en-US"/>
        </w:rPr>
        <w:lastRenderedPageBreak/>
        <w:t>матерей, отцов, сыновей, дочерей, родственников.[1] Но получить эти важные сведения о жертвах внутрисемейных преступлений из официальной российской статистики по–прежнему практически невозможно. Исследователи, кто как может, раздобывают их сам</w:t>
      </w:r>
      <w:r w:rsidRPr="00EC1A78">
        <w:rPr>
          <w:rFonts w:eastAsiaTheme="minorHAnsi"/>
          <w:sz w:val="22"/>
          <w:szCs w:val="22"/>
          <w:lang w:eastAsia="en-US"/>
        </w:rPr>
        <w:t>о</w:t>
      </w:r>
      <w:r w:rsidRPr="00EC1A78">
        <w:rPr>
          <w:rFonts w:eastAsiaTheme="minorHAnsi"/>
          <w:sz w:val="22"/>
          <w:szCs w:val="22"/>
          <w:lang w:eastAsia="en-US"/>
        </w:rPr>
        <w:t>стоятельно.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Правовая сторона противодействия выражена как в криминол</w:t>
      </w:r>
      <w:r w:rsidRPr="00EC1A78">
        <w:rPr>
          <w:rFonts w:eastAsiaTheme="minorHAnsi"/>
          <w:sz w:val="22"/>
          <w:szCs w:val="22"/>
          <w:lang w:eastAsia="en-US"/>
        </w:rPr>
        <w:t>о</w:t>
      </w:r>
      <w:r w:rsidRPr="00EC1A78">
        <w:rPr>
          <w:rFonts w:eastAsiaTheme="minorHAnsi"/>
          <w:sz w:val="22"/>
          <w:szCs w:val="22"/>
          <w:lang w:eastAsia="en-US"/>
        </w:rPr>
        <w:t>гическом, так и уголовном законодательстве.  Среди междунаро</w:t>
      </w:r>
      <w:r w:rsidRPr="00EC1A78">
        <w:rPr>
          <w:rFonts w:eastAsiaTheme="minorHAnsi"/>
          <w:sz w:val="22"/>
          <w:szCs w:val="22"/>
          <w:lang w:eastAsia="en-US"/>
        </w:rPr>
        <w:t>д</w:t>
      </w:r>
      <w:r w:rsidRPr="00EC1A78">
        <w:rPr>
          <w:rFonts w:eastAsiaTheme="minorHAnsi"/>
          <w:sz w:val="22"/>
          <w:szCs w:val="22"/>
          <w:lang w:eastAsia="en-US"/>
        </w:rPr>
        <w:t>но–правовых норм, направленных против внутрисемейных насил</w:t>
      </w:r>
      <w:r w:rsidRPr="00EC1A78">
        <w:rPr>
          <w:rFonts w:eastAsiaTheme="minorHAnsi"/>
          <w:sz w:val="22"/>
          <w:szCs w:val="22"/>
          <w:lang w:eastAsia="en-US"/>
        </w:rPr>
        <w:t>ь</w:t>
      </w:r>
      <w:r w:rsidRPr="00EC1A78">
        <w:rPr>
          <w:rFonts w:eastAsiaTheme="minorHAnsi"/>
          <w:sz w:val="22"/>
          <w:szCs w:val="22"/>
          <w:lang w:eastAsia="en-US"/>
        </w:rPr>
        <w:t>ственных преступлений, надо отметить страдающую значительн</w:t>
      </w:r>
      <w:r w:rsidRPr="00EC1A78">
        <w:rPr>
          <w:rFonts w:eastAsiaTheme="minorHAnsi"/>
          <w:sz w:val="22"/>
          <w:szCs w:val="22"/>
          <w:lang w:eastAsia="en-US"/>
        </w:rPr>
        <w:t>ы</w:t>
      </w:r>
      <w:r w:rsidRPr="00EC1A78">
        <w:rPr>
          <w:rFonts w:eastAsiaTheme="minorHAnsi"/>
          <w:sz w:val="22"/>
          <w:szCs w:val="22"/>
          <w:lang w:eastAsia="en-US"/>
        </w:rPr>
        <w:t>ми недостатками Стамбульскую Конвенцию Совета Европы о предотвращении и борьбе с насилием в отношении женщин и нас</w:t>
      </w:r>
      <w:r w:rsidRPr="00EC1A78">
        <w:rPr>
          <w:rFonts w:eastAsiaTheme="minorHAnsi"/>
          <w:sz w:val="22"/>
          <w:szCs w:val="22"/>
          <w:lang w:eastAsia="en-US"/>
        </w:rPr>
        <w:t>и</w:t>
      </w:r>
      <w:r w:rsidRPr="00EC1A78">
        <w:rPr>
          <w:rFonts w:eastAsiaTheme="minorHAnsi"/>
          <w:sz w:val="22"/>
          <w:szCs w:val="22"/>
          <w:lang w:eastAsia="en-US"/>
        </w:rPr>
        <w:t>лием в семье (2011 г.). Россия в ней не участвует. Следует иметь в виду также Модельное законодательство ООН о насилии в семье</w:t>
      </w:r>
      <w:bookmarkStart w:id="23" w:name="_ftnref6"/>
      <w:r w:rsidRPr="00EC1A78">
        <w:rPr>
          <w:rFonts w:eastAsiaTheme="minorHAnsi"/>
          <w:sz w:val="22"/>
          <w:szCs w:val="22"/>
          <w:lang w:eastAsia="en-US"/>
        </w:rPr>
        <w:t>[</w:t>
      </w:r>
      <w:bookmarkEnd w:id="23"/>
      <w:r w:rsidRPr="00EC1A78">
        <w:rPr>
          <w:rFonts w:eastAsiaTheme="minorHAnsi"/>
          <w:sz w:val="22"/>
          <w:szCs w:val="22"/>
          <w:lang w:eastAsia="en-US"/>
        </w:rPr>
        <w:t>2], определяемом в этом рекомендательном акте как «серьёзное пр</w:t>
      </w:r>
      <w:r w:rsidRPr="00EC1A78">
        <w:rPr>
          <w:rFonts w:eastAsiaTheme="minorHAnsi"/>
          <w:sz w:val="22"/>
          <w:szCs w:val="22"/>
          <w:lang w:eastAsia="en-US"/>
        </w:rPr>
        <w:t>е</w:t>
      </w:r>
      <w:r w:rsidRPr="00EC1A78">
        <w:rPr>
          <w:rFonts w:eastAsiaTheme="minorHAnsi"/>
          <w:sz w:val="22"/>
          <w:szCs w:val="22"/>
          <w:lang w:eastAsia="en-US"/>
        </w:rPr>
        <w:t xml:space="preserve">ступление против личности и общества».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Итак, представляется, что в области противодействия внутр</w:t>
      </w:r>
      <w:r w:rsidRPr="00EC1A78">
        <w:rPr>
          <w:rFonts w:eastAsiaTheme="minorHAnsi"/>
          <w:sz w:val="22"/>
          <w:szCs w:val="22"/>
          <w:lang w:eastAsia="en-US"/>
        </w:rPr>
        <w:t>и</w:t>
      </w:r>
      <w:r w:rsidRPr="00EC1A78">
        <w:rPr>
          <w:rFonts w:eastAsiaTheme="minorHAnsi"/>
          <w:sz w:val="22"/>
          <w:szCs w:val="22"/>
          <w:lang w:eastAsia="en-US"/>
        </w:rPr>
        <w:t>семейным насильственным преступлениям на наш взгляд необх</w:t>
      </w:r>
      <w:r w:rsidRPr="00EC1A78">
        <w:rPr>
          <w:rFonts w:eastAsiaTheme="minorHAnsi"/>
          <w:sz w:val="22"/>
          <w:szCs w:val="22"/>
          <w:lang w:eastAsia="en-US"/>
        </w:rPr>
        <w:t>о</w:t>
      </w:r>
      <w:r w:rsidRPr="00EC1A78">
        <w:rPr>
          <w:rFonts w:eastAsiaTheme="minorHAnsi"/>
          <w:sz w:val="22"/>
          <w:szCs w:val="22"/>
          <w:lang w:eastAsia="en-US"/>
        </w:rPr>
        <w:t>димо:</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иметь подробный статистический учёт внутрисемейных пр</w:t>
      </w:r>
      <w:r w:rsidRPr="00EC1A78">
        <w:rPr>
          <w:rFonts w:eastAsiaTheme="minorHAnsi"/>
          <w:sz w:val="22"/>
          <w:szCs w:val="22"/>
          <w:lang w:eastAsia="en-US"/>
        </w:rPr>
        <w:t>е</w:t>
      </w:r>
      <w:r w:rsidRPr="00EC1A78">
        <w:rPr>
          <w:rFonts w:eastAsiaTheme="minorHAnsi"/>
          <w:sz w:val="22"/>
          <w:szCs w:val="22"/>
          <w:lang w:eastAsia="en-US"/>
        </w:rPr>
        <w:t>ступлений как социального явления;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избегать участия в международных соглашениях, базиру</w:t>
      </w:r>
      <w:r w:rsidRPr="00EC1A78">
        <w:rPr>
          <w:rFonts w:eastAsiaTheme="minorHAnsi"/>
          <w:sz w:val="22"/>
          <w:szCs w:val="22"/>
          <w:lang w:eastAsia="en-US"/>
        </w:rPr>
        <w:t>ю</w:t>
      </w:r>
      <w:r w:rsidRPr="00EC1A78">
        <w:rPr>
          <w:rFonts w:eastAsiaTheme="minorHAnsi"/>
          <w:sz w:val="22"/>
          <w:szCs w:val="22"/>
          <w:lang w:eastAsia="en-US"/>
        </w:rPr>
        <w:t>щихся на односторонних концепциях либо не учитывающих ос</w:t>
      </w:r>
      <w:r w:rsidRPr="00EC1A78">
        <w:rPr>
          <w:rFonts w:eastAsiaTheme="minorHAnsi"/>
          <w:sz w:val="22"/>
          <w:szCs w:val="22"/>
          <w:lang w:eastAsia="en-US"/>
        </w:rPr>
        <w:t>о</w:t>
      </w:r>
      <w:r w:rsidRPr="00EC1A78">
        <w:rPr>
          <w:rFonts w:eastAsiaTheme="minorHAnsi"/>
          <w:sz w:val="22"/>
          <w:szCs w:val="22"/>
          <w:lang w:eastAsia="en-US"/>
        </w:rPr>
        <w:t>бенности государств–участников;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иметь социальную базу помощи семьям в разрешении их конфликтов (центры помощи, стационары для сторон конфликта и др.);</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создать семейную юстицию.</w:t>
      </w:r>
      <w:r w:rsidRPr="00EC1A78">
        <w:rPr>
          <w:rFonts w:eastAsiaTheme="minorHAnsi"/>
          <w:b/>
          <w:sz w:val="22"/>
          <w:szCs w:val="22"/>
          <w:lang w:eastAsia="en-US"/>
        </w:rPr>
        <w:t xml:space="preserve"> </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Штраус М., Имола А. и др. Корреляция преступности и д</w:t>
      </w:r>
      <w:r w:rsidRPr="00EC1A78">
        <w:rPr>
          <w:rFonts w:eastAsiaTheme="minorHAnsi"/>
          <w:sz w:val="22"/>
          <w:szCs w:val="22"/>
          <w:lang w:eastAsia="en-US"/>
        </w:rPr>
        <w:t>о</w:t>
      </w:r>
      <w:r w:rsidRPr="00EC1A78">
        <w:rPr>
          <w:rFonts w:eastAsiaTheme="minorHAnsi"/>
          <w:sz w:val="22"/>
          <w:szCs w:val="22"/>
          <w:lang w:eastAsia="en-US"/>
        </w:rPr>
        <w:t>минирования с нападениями и телесными повреждениями партн</w:t>
      </w:r>
      <w:r w:rsidRPr="00EC1A78">
        <w:rPr>
          <w:rFonts w:eastAsiaTheme="minorHAnsi"/>
          <w:sz w:val="22"/>
          <w:szCs w:val="22"/>
          <w:lang w:eastAsia="en-US"/>
        </w:rPr>
        <w:t>ё</w:t>
      </w:r>
      <w:r w:rsidRPr="00EC1A78">
        <w:rPr>
          <w:rFonts w:eastAsiaTheme="minorHAnsi"/>
          <w:sz w:val="22"/>
          <w:szCs w:val="22"/>
          <w:lang w:eastAsia="en-US"/>
        </w:rPr>
        <w:t>ров // Криминология: вчера, сегодня, завтра. 2008. № 1 (14). С. 157–182.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Модельное законодательство о насилии в семье. Рекоменд</w:t>
      </w:r>
      <w:r w:rsidRPr="00EC1A78">
        <w:rPr>
          <w:rFonts w:eastAsiaTheme="minorHAnsi"/>
          <w:sz w:val="22"/>
          <w:szCs w:val="22"/>
          <w:lang w:eastAsia="en-US"/>
        </w:rPr>
        <w:t>а</w:t>
      </w:r>
      <w:r w:rsidRPr="00EC1A78">
        <w:rPr>
          <w:rFonts w:eastAsiaTheme="minorHAnsi"/>
          <w:sz w:val="22"/>
          <w:szCs w:val="22"/>
          <w:lang w:eastAsia="en-US"/>
        </w:rPr>
        <w:t>ции ООН // Вестник «Новые возможности для женщин». ИЦ НЖФ. М., 1997. № 10. С. 22–31.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3. См.: Забрянский Г.И. Методика статистического изучения преступности (введение в криминологическую статистику). М.: </w:t>
      </w:r>
      <w:r w:rsidRPr="00EC1A78">
        <w:rPr>
          <w:rFonts w:eastAsiaTheme="minorHAnsi"/>
          <w:sz w:val="22"/>
          <w:szCs w:val="22"/>
          <w:lang w:eastAsia="en-US"/>
        </w:rPr>
        <w:lastRenderedPageBreak/>
        <w:t>Граница, 2010. С. 31; Ахматов А.А. Внутрисемейное преступное поведение и противодействие ему в Республике Мордовия. Авт</w:t>
      </w:r>
      <w:r w:rsidRPr="00EC1A78">
        <w:rPr>
          <w:rFonts w:eastAsiaTheme="minorHAnsi"/>
          <w:sz w:val="22"/>
          <w:szCs w:val="22"/>
          <w:lang w:eastAsia="en-US"/>
        </w:rPr>
        <w:t>о</w:t>
      </w:r>
      <w:r w:rsidRPr="00EC1A78">
        <w:rPr>
          <w:rFonts w:eastAsiaTheme="minorHAnsi"/>
          <w:sz w:val="22"/>
          <w:szCs w:val="22"/>
          <w:lang w:eastAsia="en-US"/>
        </w:rPr>
        <w:t>реф. дисс. … канд. юрид. наук. СПб., 2008. С. 22.</w:t>
      </w:r>
    </w:p>
    <w:p w:rsidR="00EC1A78" w:rsidRDefault="00EC1A78" w:rsidP="00EC1A78">
      <w:pPr>
        <w:jc w:val="both"/>
        <w:rPr>
          <w:rFonts w:eastAsiaTheme="minorHAnsi"/>
          <w:sz w:val="22"/>
          <w:szCs w:val="22"/>
          <w:lang w:eastAsia="en-US"/>
        </w:rPr>
      </w:pPr>
    </w:p>
    <w:p w:rsidR="00EC2599" w:rsidRDefault="00EC2599" w:rsidP="00EC1A78">
      <w:pPr>
        <w:jc w:val="both"/>
        <w:rPr>
          <w:rFonts w:eastAsiaTheme="minorHAnsi"/>
          <w:sz w:val="22"/>
          <w:szCs w:val="22"/>
          <w:lang w:eastAsia="en-US"/>
        </w:rPr>
      </w:pPr>
    </w:p>
    <w:p w:rsidR="00EC2599" w:rsidRPr="00EC1A78" w:rsidRDefault="00EC2599" w:rsidP="00641206">
      <w:pPr>
        <w:rPr>
          <w:rFonts w:eastAsiaTheme="minorHAnsi"/>
          <w:sz w:val="22"/>
          <w:szCs w:val="22"/>
          <w:lang w:eastAsia="en-US"/>
        </w:rPr>
      </w:pPr>
    </w:p>
    <w:p w:rsidR="00EC1A78" w:rsidRPr="00EC1A78" w:rsidRDefault="00EC1A78" w:rsidP="00EC1A78">
      <w:pPr>
        <w:autoSpaceDE w:val="0"/>
        <w:autoSpaceDN w:val="0"/>
        <w:adjustRightInd w:val="0"/>
        <w:rPr>
          <w:rFonts w:eastAsiaTheme="minorHAnsi"/>
          <w:color w:val="000000"/>
          <w:sz w:val="22"/>
          <w:szCs w:val="22"/>
          <w:lang w:eastAsia="en-US"/>
        </w:rPr>
      </w:pPr>
      <w:r w:rsidRPr="00EC1A78">
        <w:rPr>
          <w:rFonts w:eastAsiaTheme="minorHAnsi"/>
          <w:color w:val="000000"/>
          <w:sz w:val="22"/>
          <w:szCs w:val="22"/>
          <w:lang w:eastAsia="en-US"/>
        </w:rPr>
        <w:t xml:space="preserve">УДК 349.2 </w:t>
      </w:r>
    </w:p>
    <w:p w:rsidR="00EC1A78" w:rsidRPr="00EC1A78" w:rsidRDefault="00EC1A78" w:rsidP="00EC1A78">
      <w:pPr>
        <w:jc w:val="right"/>
        <w:rPr>
          <w:rFonts w:eastAsiaTheme="minorHAnsi"/>
          <w:color w:val="333333"/>
          <w:sz w:val="22"/>
          <w:szCs w:val="22"/>
          <w:shd w:val="clear" w:color="auto" w:fill="FFFFFF"/>
          <w:lang w:eastAsia="en-US"/>
        </w:rPr>
      </w:pPr>
    </w:p>
    <w:p w:rsidR="00EC1A78" w:rsidRPr="00EC1A78" w:rsidRDefault="00EC1A78" w:rsidP="00EC1A78">
      <w:pPr>
        <w:autoSpaceDE w:val="0"/>
        <w:autoSpaceDN w:val="0"/>
        <w:adjustRightInd w:val="0"/>
        <w:jc w:val="center"/>
        <w:rPr>
          <w:rFonts w:eastAsiaTheme="minorHAnsi"/>
          <w:b/>
          <w:sz w:val="24"/>
          <w:szCs w:val="24"/>
          <w:lang w:eastAsia="en-US"/>
        </w:rPr>
      </w:pPr>
      <w:r w:rsidRPr="00EC1A78">
        <w:rPr>
          <w:rFonts w:eastAsiaTheme="minorHAnsi"/>
          <w:b/>
          <w:sz w:val="24"/>
          <w:szCs w:val="24"/>
          <w:lang w:eastAsia="en-US"/>
        </w:rPr>
        <w:t xml:space="preserve">Запреты и ограничения для женщин в трудовом праве </w:t>
      </w:r>
    </w:p>
    <w:p w:rsidR="00EC1A78" w:rsidRPr="00EC2599" w:rsidRDefault="00EC1A78" w:rsidP="00EC1A78">
      <w:pPr>
        <w:autoSpaceDE w:val="0"/>
        <w:autoSpaceDN w:val="0"/>
        <w:adjustRightInd w:val="0"/>
        <w:jc w:val="center"/>
        <w:rPr>
          <w:rFonts w:eastAsiaTheme="minorHAnsi"/>
          <w:b/>
          <w:sz w:val="24"/>
          <w:szCs w:val="24"/>
          <w:lang w:val="en-US" w:eastAsia="en-US"/>
        </w:rPr>
      </w:pPr>
      <w:r w:rsidRPr="00EC2599">
        <w:rPr>
          <w:rFonts w:eastAsiaTheme="minorHAnsi"/>
          <w:b/>
          <w:sz w:val="24"/>
          <w:szCs w:val="24"/>
          <w:shd w:val="clear" w:color="auto" w:fill="FFFFFF"/>
          <w:lang w:val="en-US" w:eastAsia="en-US"/>
        </w:rPr>
        <w:t>Prohibitions and limitations for women in labor right</w:t>
      </w:r>
    </w:p>
    <w:p w:rsidR="00EC1A78" w:rsidRPr="00EC1A78" w:rsidRDefault="00EC1A78" w:rsidP="00EC1A78">
      <w:pPr>
        <w:autoSpaceDE w:val="0"/>
        <w:autoSpaceDN w:val="0"/>
        <w:adjustRightInd w:val="0"/>
        <w:jc w:val="right"/>
        <w:rPr>
          <w:rFonts w:eastAsiaTheme="minorHAnsi"/>
          <w:b/>
          <w:color w:val="000000"/>
          <w:sz w:val="22"/>
          <w:szCs w:val="22"/>
          <w:lang w:val="en-US" w:eastAsia="en-US"/>
        </w:rPr>
      </w:pPr>
    </w:p>
    <w:p w:rsidR="00EC1A78" w:rsidRPr="00EC1A78" w:rsidRDefault="00EC1A78" w:rsidP="00EC1A78">
      <w:pPr>
        <w:autoSpaceDE w:val="0"/>
        <w:autoSpaceDN w:val="0"/>
        <w:adjustRightInd w:val="0"/>
        <w:jc w:val="right"/>
        <w:rPr>
          <w:rFonts w:eastAsiaTheme="minorHAnsi"/>
          <w:color w:val="000000"/>
          <w:sz w:val="22"/>
          <w:szCs w:val="22"/>
          <w:lang w:eastAsia="en-US"/>
        </w:rPr>
      </w:pPr>
      <w:r w:rsidRPr="00EC1A78">
        <w:rPr>
          <w:rFonts w:eastAsiaTheme="minorHAnsi"/>
          <w:color w:val="000000"/>
          <w:sz w:val="22"/>
          <w:szCs w:val="22"/>
          <w:lang w:eastAsia="en-US"/>
        </w:rPr>
        <w:t>Марунченко А.</w:t>
      </w:r>
      <w:r w:rsidR="00EC2599">
        <w:rPr>
          <w:rFonts w:eastAsiaTheme="minorHAnsi"/>
          <w:color w:val="000000"/>
          <w:sz w:val="22"/>
          <w:szCs w:val="22"/>
          <w:lang w:eastAsia="en-US"/>
        </w:rPr>
        <w:t xml:space="preserve"> </w:t>
      </w:r>
      <w:r w:rsidRPr="00EC1A78">
        <w:rPr>
          <w:rFonts w:eastAsiaTheme="minorHAnsi"/>
          <w:color w:val="000000"/>
          <w:sz w:val="22"/>
          <w:szCs w:val="22"/>
          <w:lang w:eastAsia="en-US"/>
        </w:rPr>
        <w:t>А.</w:t>
      </w:r>
      <w:r w:rsidR="00EC2599">
        <w:rPr>
          <w:rFonts w:eastAsiaTheme="minorHAnsi"/>
          <w:color w:val="000000"/>
          <w:sz w:val="22"/>
          <w:szCs w:val="22"/>
          <w:lang w:eastAsia="en-US"/>
        </w:rPr>
        <w:t>,</w:t>
      </w:r>
    </w:p>
    <w:p w:rsidR="00EC1A78" w:rsidRPr="00EC1A78" w:rsidRDefault="00EC1A78" w:rsidP="00EC1A78">
      <w:pPr>
        <w:widowControl w:val="0"/>
        <w:tabs>
          <w:tab w:val="left" w:pos="8223"/>
        </w:tabs>
        <w:jc w:val="right"/>
        <w:rPr>
          <w:rFonts w:eastAsiaTheme="minorHAnsi"/>
          <w:sz w:val="22"/>
          <w:szCs w:val="22"/>
          <w:lang w:eastAsia="en-US"/>
        </w:rPr>
      </w:pPr>
      <w:r w:rsidRPr="00EC1A78">
        <w:rPr>
          <w:rFonts w:eastAsiaTheme="minorHAnsi"/>
          <w:sz w:val="22"/>
          <w:szCs w:val="22"/>
          <w:lang w:eastAsia="en-US"/>
        </w:rPr>
        <w:t>студент 2 курса юридического факультета</w:t>
      </w:r>
    </w:p>
    <w:p w:rsidR="00EC1A78" w:rsidRPr="00EC2599" w:rsidRDefault="00EC1A78" w:rsidP="00EC1A78">
      <w:pPr>
        <w:jc w:val="right"/>
        <w:rPr>
          <w:rFonts w:eastAsiaTheme="minorHAnsi"/>
          <w:sz w:val="22"/>
          <w:szCs w:val="22"/>
          <w:shd w:val="clear" w:color="auto" w:fill="FFFFFF"/>
          <w:lang w:eastAsia="en-US"/>
        </w:rPr>
      </w:pPr>
      <w:r w:rsidRPr="00EC2599">
        <w:rPr>
          <w:rFonts w:eastAsiaTheme="minorHAnsi"/>
          <w:sz w:val="22"/>
          <w:szCs w:val="22"/>
          <w:shd w:val="clear" w:color="auto" w:fill="FFFFFF"/>
          <w:lang w:eastAsia="en-US"/>
        </w:rPr>
        <w:t>Чайка А.</w:t>
      </w:r>
      <w:r w:rsidR="00EC2599">
        <w:rPr>
          <w:rFonts w:eastAsiaTheme="minorHAnsi"/>
          <w:sz w:val="22"/>
          <w:szCs w:val="22"/>
          <w:shd w:val="clear" w:color="auto" w:fill="FFFFFF"/>
          <w:lang w:eastAsia="en-US"/>
        </w:rPr>
        <w:t xml:space="preserve"> </w:t>
      </w:r>
      <w:r w:rsidRPr="00EC2599">
        <w:rPr>
          <w:rFonts w:eastAsiaTheme="minorHAnsi"/>
          <w:sz w:val="22"/>
          <w:szCs w:val="22"/>
          <w:shd w:val="clear" w:color="auto" w:fill="FFFFFF"/>
          <w:lang w:eastAsia="en-US"/>
        </w:rPr>
        <w:t>Н.</w:t>
      </w:r>
      <w:r w:rsidR="00EC2599">
        <w:rPr>
          <w:rFonts w:eastAsiaTheme="minorHAnsi"/>
          <w:sz w:val="22"/>
          <w:szCs w:val="22"/>
          <w:shd w:val="clear" w:color="auto" w:fill="FFFFFF"/>
          <w:lang w:eastAsia="en-US"/>
        </w:rPr>
        <w:t>,</w:t>
      </w:r>
    </w:p>
    <w:p w:rsidR="00EC1A78" w:rsidRPr="00EC1A78" w:rsidRDefault="00EC1A78" w:rsidP="00EC1A78">
      <w:pPr>
        <w:widowControl w:val="0"/>
        <w:tabs>
          <w:tab w:val="left" w:pos="8223"/>
        </w:tabs>
        <w:jc w:val="right"/>
        <w:rPr>
          <w:rFonts w:eastAsiaTheme="minorHAnsi"/>
          <w:sz w:val="22"/>
          <w:szCs w:val="22"/>
          <w:lang w:eastAsia="en-US"/>
        </w:rPr>
      </w:pPr>
      <w:r w:rsidRPr="00EC1A78">
        <w:rPr>
          <w:rFonts w:eastAsiaTheme="minorHAnsi"/>
          <w:sz w:val="22"/>
          <w:szCs w:val="22"/>
          <w:lang w:eastAsia="en-US"/>
        </w:rPr>
        <w:t>студент 2 курса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EC2599">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autoSpaceDE w:val="0"/>
        <w:autoSpaceDN w:val="0"/>
        <w:adjustRightInd w:val="0"/>
        <w:ind w:firstLine="709"/>
        <w:jc w:val="right"/>
        <w:rPr>
          <w:rFonts w:eastAsiaTheme="minorHAnsi"/>
          <w:sz w:val="22"/>
          <w:szCs w:val="22"/>
          <w:lang w:eastAsia="en-US"/>
        </w:rPr>
      </w:pP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 xml:space="preserve">АННОТАЦИЯ: авторы анализируют запреты и ограничения в трудовом праве, установленные для женщин, которые снижают их конкурентоспособность на рынке труда. </w:t>
      </w: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rFonts w:eastAsiaTheme="minorHAnsi"/>
          <w:sz w:val="22"/>
          <w:szCs w:val="22"/>
          <w:lang w:val="en-US" w:eastAsia="en-US"/>
        </w:rPr>
      </w:pPr>
      <w:r w:rsidRPr="00EC1A78">
        <w:rPr>
          <w:sz w:val="22"/>
          <w:szCs w:val="22"/>
          <w:lang w:val="en-US"/>
        </w:rPr>
        <w:t>ABSTRACT: The authors analyze the prohibitions and restrictions in labor law established for women, which reduce their competitiveness in the labor market.</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КЛЮЧЕВЫЕ СЛОВА: женщины, запреты, ограничения, тр</w:t>
      </w:r>
      <w:r w:rsidRPr="00EC1A78">
        <w:rPr>
          <w:rFonts w:eastAsiaTheme="minorHAnsi"/>
          <w:sz w:val="22"/>
          <w:szCs w:val="22"/>
          <w:lang w:eastAsia="en-US"/>
        </w:rPr>
        <w:t>у</w:t>
      </w:r>
      <w:r w:rsidRPr="00EC1A78">
        <w:rPr>
          <w:rFonts w:eastAsiaTheme="minorHAnsi"/>
          <w:sz w:val="22"/>
          <w:szCs w:val="22"/>
          <w:lang w:eastAsia="en-US"/>
        </w:rPr>
        <w:t>довое право.</w:t>
      </w: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r w:rsidRPr="00EC1A78">
        <w:rPr>
          <w:rFonts w:eastAsiaTheme="minorHAnsi"/>
          <w:sz w:val="22"/>
          <w:szCs w:val="22"/>
          <w:shd w:val="clear" w:color="auto" w:fill="FFFFFF"/>
          <w:lang w:val="en-US" w:eastAsia="en-US"/>
        </w:rPr>
        <w:t>KEY WORDS: women, prohibitions, restrictions, labor law.</w:t>
      </w:r>
    </w:p>
    <w:p w:rsidR="00EC1A78" w:rsidRPr="00EC1A78" w:rsidRDefault="00EC1A78" w:rsidP="00EC1A78">
      <w:pPr>
        <w:autoSpaceDE w:val="0"/>
        <w:autoSpaceDN w:val="0"/>
        <w:adjustRightInd w:val="0"/>
        <w:ind w:firstLine="425"/>
        <w:jc w:val="both"/>
        <w:rPr>
          <w:rFonts w:eastAsiaTheme="minorHAnsi"/>
          <w:sz w:val="22"/>
          <w:szCs w:val="22"/>
          <w:lang w:val="en-US" w:eastAsia="en-US"/>
        </w:rPr>
      </w:pP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Законодательством России признается равенство всех перед з</w:t>
      </w:r>
      <w:r w:rsidRPr="00EC1A78">
        <w:rPr>
          <w:rFonts w:eastAsiaTheme="minorHAnsi"/>
          <w:sz w:val="22"/>
          <w:szCs w:val="22"/>
          <w:lang w:eastAsia="en-US"/>
        </w:rPr>
        <w:t>а</w:t>
      </w:r>
      <w:r w:rsidRPr="00EC1A78">
        <w:rPr>
          <w:rFonts w:eastAsiaTheme="minorHAnsi"/>
          <w:sz w:val="22"/>
          <w:szCs w:val="22"/>
          <w:lang w:eastAsia="en-US"/>
        </w:rPr>
        <w:t>коном и судом (ст.19 Конституции РФ). Трудовым законодател</w:t>
      </w:r>
      <w:r w:rsidRPr="00EC1A78">
        <w:rPr>
          <w:rFonts w:eastAsiaTheme="minorHAnsi"/>
          <w:sz w:val="22"/>
          <w:szCs w:val="22"/>
          <w:lang w:eastAsia="en-US"/>
        </w:rPr>
        <w:t>ь</w:t>
      </w:r>
      <w:r w:rsidRPr="00EC1A78">
        <w:rPr>
          <w:rFonts w:eastAsiaTheme="minorHAnsi"/>
          <w:sz w:val="22"/>
          <w:szCs w:val="22"/>
          <w:lang w:eastAsia="en-US"/>
        </w:rPr>
        <w:t>ством предусмотрена особая охрана труда женщин, которая начин</w:t>
      </w:r>
      <w:r w:rsidRPr="00EC1A78">
        <w:rPr>
          <w:rFonts w:eastAsiaTheme="minorHAnsi"/>
          <w:sz w:val="22"/>
          <w:szCs w:val="22"/>
          <w:lang w:eastAsia="en-US"/>
        </w:rPr>
        <w:t>а</w:t>
      </w:r>
      <w:r w:rsidRPr="00EC1A78">
        <w:rPr>
          <w:rFonts w:eastAsiaTheme="minorHAnsi"/>
          <w:sz w:val="22"/>
          <w:szCs w:val="22"/>
          <w:lang w:eastAsia="en-US"/>
        </w:rPr>
        <w:t>ется с момента приема на работу, например, требования ст.253 ТК РФ, в которой говорится о запретах применять труд женщин не н</w:t>
      </w:r>
      <w:r w:rsidRPr="00EC1A78">
        <w:rPr>
          <w:rFonts w:eastAsiaTheme="minorHAnsi"/>
          <w:sz w:val="22"/>
          <w:szCs w:val="22"/>
          <w:lang w:eastAsia="en-US"/>
        </w:rPr>
        <w:t>е</w:t>
      </w:r>
      <w:r w:rsidRPr="00EC1A78">
        <w:rPr>
          <w:rFonts w:eastAsiaTheme="minorHAnsi"/>
          <w:sz w:val="22"/>
          <w:szCs w:val="22"/>
          <w:lang w:eastAsia="en-US"/>
        </w:rPr>
        <w:t>которых видах работ.</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Запрещается включать в трудовой договор или в дополнител</w:t>
      </w:r>
      <w:r w:rsidRPr="00EC1A78">
        <w:rPr>
          <w:rFonts w:eastAsiaTheme="minorHAnsi"/>
          <w:sz w:val="22"/>
          <w:szCs w:val="22"/>
          <w:lang w:eastAsia="en-US"/>
        </w:rPr>
        <w:t>ь</w:t>
      </w:r>
      <w:r w:rsidRPr="00EC1A78">
        <w:rPr>
          <w:rFonts w:eastAsiaTheme="minorHAnsi"/>
          <w:sz w:val="22"/>
          <w:szCs w:val="22"/>
          <w:lang w:eastAsia="en-US"/>
        </w:rPr>
        <w:t>ное соглашение условия, ухудшающие положение женщины по сравнению с действующим законодательством. Например, если женщина согласна работать на вредной работе, в том числе в пер</w:t>
      </w:r>
      <w:r w:rsidRPr="00EC1A78">
        <w:rPr>
          <w:rFonts w:eastAsiaTheme="minorHAnsi"/>
          <w:sz w:val="22"/>
          <w:szCs w:val="22"/>
          <w:lang w:eastAsia="en-US"/>
        </w:rPr>
        <w:t>и</w:t>
      </w:r>
      <w:r w:rsidRPr="00EC1A78">
        <w:rPr>
          <w:rFonts w:eastAsiaTheme="minorHAnsi"/>
          <w:sz w:val="22"/>
          <w:szCs w:val="22"/>
          <w:lang w:eastAsia="en-US"/>
        </w:rPr>
        <w:lastRenderedPageBreak/>
        <w:t>од беременности, такое условие недопустимо включать в трудовой договор.  В соответствие со ст. 70 ТК РФ запрещается устанавл</w:t>
      </w:r>
      <w:r w:rsidRPr="00EC1A78">
        <w:rPr>
          <w:rFonts w:eastAsiaTheme="minorHAnsi"/>
          <w:sz w:val="22"/>
          <w:szCs w:val="22"/>
          <w:lang w:eastAsia="en-US"/>
        </w:rPr>
        <w:t>и</w:t>
      </w:r>
      <w:r w:rsidRPr="00EC1A78">
        <w:rPr>
          <w:rFonts w:eastAsiaTheme="minorHAnsi"/>
          <w:sz w:val="22"/>
          <w:szCs w:val="22"/>
          <w:lang w:eastAsia="en-US"/>
        </w:rPr>
        <w:t>вать испытание для беременных женщин и для тех женщин, у кот</w:t>
      </w:r>
      <w:r w:rsidRPr="00EC1A78">
        <w:rPr>
          <w:rFonts w:eastAsiaTheme="minorHAnsi"/>
          <w:sz w:val="22"/>
          <w:szCs w:val="22"/>
          <w:lang w:eastAsia="en-US"/>
        </w:rPr>
        <w:t>о</w:t>
      </w:r>
      <w:r w:rsidRPr="00EC1A78">
        <w:rPr>
          <w:rFonts w:eastAsiaTheme="minorHAnsi"/>
          <w:sz w:val="22"/>
          <w:szCs w:val="22"/>
          <w:lang w:eastAsia="en-US"/>
        </w:rPr>
        <w:t>рых есть дети до 1,5 лет.</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В ст. 253 ТК РФ предусматриваются работы, на которых пр</w:t>
      </w:r>
      <w:r w:rsidRPr="00EC1A78">
        <w:rPr>
          <w:rFonts w:eastAsiaTheme="minorHAnsi"/>
          <w:sz w:val="22"/>
          <w:szCs w:val="22"/>
          <w:lang w:eastAsia="en-US"/>
        </w:rPr>
        <w:t>и</w:t>
      </w:r>
      <w:r w:rsidRPr="00EC1A78">
        <w:rPr>
          <w:rFonts w:eastAsiaTheme="minorHAnsi"/>
          <w:sz w:val="22"/>
          <w:szCs w:val="22"/>
          <w:lang w:eastAsia="en-US"/>
        </w:rPr>
        <w:t>менение труда женщин ограничивается. До создания полной бе</w:t>
      </w:r>
      <w:r w:rsidRPr="00EC1A78">
        <w:rPr>
          <w:rFonts w:eastAsiaTheme="minorHAnsi"/>
          <w:sz w:val="22"/>
          <w:szCs w:val="22"/>
          <w:lang w:eastAsia="en-US"/>
        </w:rPr>
        <w:t>з</w:t>
      </w:r>
      <w:r w:rsidRPr="00EC1A78">
        <w:rPr>
          <w:rFonts w:eastAsiaTheme="minorHAnsi"/>
          <w:sz w:val="22"/>
          <w:szCs w:val="22"/>
          <w:lang w:eastAsia="en-US"/>
        </w:rPr>
        <w:t>опасности применение труда женщин ограничивается некоторых видах работ: на тяжелых работах; на работах с вредными и (или) опасными условиями труда; на подземных работах. Запрещается применять труд беременных женщин и женщин, имеющих детей до трех лет на работе вахтовым методом (ст. 298 ТК РФ).</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С 1 января 1992 года запрещено привлечение женщин в во</w:t>
      </w:r>
      <w:r w:rsidRPr="00EC1A78">
        <w:rPr>
          <w:rFonts w:eastAsiaTheme="minorHAnsi"/>
          <w:sz w:val="22"/>
          <w:szCs w:val="22"/>
          <w:lang w:eastAsia="en-US"/>
        </w:rPr>
        <w:t>з</w:t>
      </w:r>
      <w:r w:rsidRPr="00EC1A78">
        <w:rPr>
          <w:rFonts w:eastAsiaTheme="minorHAnsi"/>
          <w:sz w:val="22"/>
          <w:szCs w:val="22"/>
          <w:lang w:eastAsia="en-US"/>
        </w:rPr>
        <w:t>расте до 35 лет к выполнению операций в растениеводстве, живо</w:t>
      </w:r>
      <w:r w:rsidRPr="00EC1A78">
        <w:rPr>
          <w:rFonts w:eastAsiaTheme="minorHAnsi"/>
          <w:sz w:val="22"/>
          <w:szCs w:val="22"/>
          <w:lang w:eastAsia="en-US"/>
        </w:rPr>
        <w:t>т</w:t>
      </w:r>
      <w:r w:rsidRPr="00EC1A78">
        <w:rPr>
          <w:rFonts w:eastAsiaTheme="minorHAnsi"/>
          <w:sz w:val="22"/>
          <w:szCs w:val="22"/>
          <w:lang w:eastAsia="en-US"/>
        </w:rPr>
        <w:t>новодстве, птицеводстве и звероводстве с применением ядохимик</w:t>
      </w:r>
      <w:r w:rsidRPr="00EC1A78">
        <w:rPr>
          <w:rFonts w:eastAsiaTheme="minorHAnsi"/>
          <w:sz w:val="22"/>
          <w:szCs w:val="22"/>
          <w:lang w:eastAsia="en-US"/>
        </w:rPr>
        <w:t>а</w:t>
      </w:r>
      <w:r w:rsidRPr="00EC1A78">
        <w:rPr>
          <w:rFonts w:eastAsiaTheme="minorHAnsi"/>
          <w:sz w:val="22"/>
          <w:szCs w:val="22"/>
          <w:lang w:eastAsia="en-US"/>
        </w:rPr>
        <w:t>тов, пестицидов и дезинфицирующих средств, а также прием на р</w:t>
      </w:r>
      <w:r w:rsidRPr="00EC1A78">
        <w:rPr>
          <w:rFonts w:eastAsiaTheme="minorHAnsi"/>
          <w:sz w:val="22"/>
          <w:szCs w:val="22"/>
          <w:lang w:eastAsia="en-US"/>
        </w:rPr>
        <w:t>а</w:t>
      </w:r>
      <w:r w:rsidRPr="00EC1A78">
        <w:rPr>
          <w:rFonts w:eastAsiaTheme="minorHAnsi"/>
          <w:sz w:val="22"/>
          <w:szCs w:val="22"/>
          <w:lang w:eastAsia="en-US"/>
        </w:rPr>
        <w:t>боту женщин трактористами – машинистами, водителями грузовых автомашин [5].</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Ограничение труда женщин исходя из содержания ч. 1 ст. 253 ТК РФ означает, что их труд на тяжелых работах возможен только в пределах допустимых норм, например, при подъеме и перемещении тяжестей вручную [1]. Из этого правила есть исключение. Разреш</w:t>
      </w:r>
      <w:r w:rsidRPr="00EC1A78">
        <w:rPr>
          <w:rFonts w:eastAsiaTheme="minorHAnsi"/>
          <w:sz w:val="22"/>
          <w:szCs w:val="22"/>
          <w:lang w:eastAsia="en-US"/>
        </w:rPr>
        <w:t>а</w:t>
      </w:r>
      <w:r w:rsidRPr="00EC1A78">
        <w:rPr>
          <w:rFonts w:eastAsiaTheme="minorHAnsi"/>
          <w:sz w:val="22"/>
          <w:szCs w:val="22"/>
          <w:lang w:eastAsia="en-US"/>
        </w:rPr>
        <w:t xml:space="preserve">ется превышать предельно допустимые </w:t>
      </w:r>
      <w:hyperlink r:id="rId397" w:history="1">
        <w:r w:rsidRPr="00EC1A78">
          <w:rPr>
            <w:rFonts w:eastAsiaTheme="minorHAnsi"/>
            <w:sz w:val="22"/>
            <w:szCs w:val="22"/>
            <w:lang w:eastAsia="en-US"/>
          </w:rPr>
          <w:t>нормы</w:t>
        </w:r>
      </w:hyperlink>
      <w:r w:rsidRPr="00EC1A78">
        <w:rPr>
          <w:rFonts w:eastAsiaTheme="minorHAnsi"/>
          <w:sz w:val="22"/>
          <w:szCs w:val="22"/>
          <w:lang w:eastAsia="en-US"/>
        </w:rPr>
        <w:t xml:space="preserve"> нагрузок при под</w:t>
      </w:r>
      <w:r w:rsidRPr="00EC1A78">
        <w:rPr>
          <w:rFonts w:eastAsiaTheme="minorHAnsi"/>
          <w:sz w:val="22"/>
          <w:szCs w:val="22"/>
          <w:lang w:eastAsia="en-US"/>
        </w:rPr>
        <w:t>ъ</w:t>
      </w:r>
      <w:r w:rsidRPr="00EC1A78">
        <w:rPr>
          <w:rFonts w:eastAsiaTheme="minorHAnsi"/>
          <w:sz w:val="22"/>
          <w:szCs w:val="22"/>
          <w:lang w:eastAsia="en-US"/>
        </w:rPr>
        <w:t>еме и перемещении тяжестей вручную во время участия женщины–спортсмена в спортивном мероприятии (ст.348.9 ТК РФ).</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Вредные условия труда могут оказать неблагоприятное возде</w:t>
      </w:r>
      <w:r w:rsidRPr="00EC1A78">
        <w:rPr>
          <w:rFonts w:eastAsiaTheme="minorHAnsi"/>
          <w:sz w:val="22"/>
          <w:szCs w:val="22"/>
          <w:lang w:eastAsia="en-US"/>
        </w:rPr>
        <w:t>й</w:t>
      </w:r>
      <w:r w:rsidRPr="00EC1A78">
        <w:rPr>
          <w:rFonts w:eastAsiaTheme="minorHAnsi"/>
          <w:sz w:val="22"/>
          <w:szCs w:val="22"/>
          <w:lang w:eastAsia="en-US"/>
        </w:rPr>
        <w:t>ствие не только на организм женщины, но и (или) на потомство. Такие рабочие места выявляются с помощью проведения специал</w:t>
      </w:r>
      <w:r w:rsidRPr="00EC1A78">
        <w:rPr>
          <w:rFonts w:eastAsiaTheme="minorHAnsi"/>
          <w:sz w:val="22"/>
          <w:szCs w:val="22"/>
          <w:lang w:eastAsia="en-US"/>
        </w:rPr>
        <w:t>ь</w:t>
      </w:r>
      <w:r w:rsidRPr="00EC1A78">
        <w:rPr>
          <w:rFonts w:eastAsiaTheme="minorHAnsi"/>
          <w:sz w:val="22"/>
          <w:szCs w:val="22"/>
          <w:lang w:eastAsia="en-US"/>
        </w:rPr>
        <w:t>ной оценки рабочих мест [2].</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Некоторые виды работ считаются нежелательными для же</w:t>
      </w:r>
      <w:r w:rsidRPr="00EC1A78">
        <w:rPr>
          <w:rFonts w:eastAsiaTheme="minorHAnsi"/>
          <w:sz w:val="22"/>
          <w:szCs w:val="22"/>
          <w:lang w:eastAsia="en-US"/>
        </w:rPr>
        <w:t>н</w:t>
      </w:r>
      <w:r w:rsidRPr="00EC1A78">
        <w:rPr>
          <w:rFonts w:eastAsiaTheme="minorHAnsi"/>
          <w:sz w:val="22"/>
          <w:szCs w:val="22"/>
          <w:lang w:eastAsia="en-US"/>
        </w:rPr>
        <w:t>щин, так как вызывают дополнительную нагрузку на ее организм. В п. 2.1.3 СанПиН 2.2.0.555–96 [3] предусмотрено, что для женщин постоянная работа «сидя» или «стоя» является нежелательной. Нормирование нагрузок в процессе труда на женщин всегда должно проводиться с учетом их анатомо–физиологических и психологич</w:t>
      </w:r>
      <w:r w:rsidRPr="00EC1A78">
        <w:rPr>
          <w:rFonts w:eastAsiaTheme="minorHAnsi"/>
          <w:sz w:val="22"/>
          <w:szCs w:val="22"/>
          <w:lang w:eastAsia="en-US"/>
        </w:rPr>
        <w:t>е</w:t>
      </w:r>
      <w:r w:rsidRPr="00EC1A78">
        <w:rPr>
          <w:rFonts w:eastAsiaTheme="minorHAnsi"/>
          <w:sz w:val="22"/>
          <w:szCs w:val="22"/>
          <w:lang w:eastAsia="en-US"/>
        </w:rPr>
        <w:t>ских возможностей и соответствовать физиологическим нормам тяжести труда. Адриановская Т.Л. отмечает, что «речь фактически идет не об охране труда женщин, а об охране женщины от труда» [4, с.110].</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lastRenderedPageBreak/>
        <w:t>Несмотря на наличие различных запретов и ограничений с о</w:t>
      </w:r>
      <w:r w:rsidRPr="00EC1A78">
        <w:rPr>
          <w:rFonts w:eastAsiaTheme="minorHAnsi"/>
          <w:sz w:val="22"/>
          <w:szCs w:val="22"/>
          <w:lang w:eastAsia="en-US"/>
        </w:rPr>
        <w:t>д</w:t>
      </w:r>
      <w:r w:rsidRPr="00EC1A78">
        <w:rPr>
          <w:rFonts w:eastAsiaTheme="minorHAnsi"/>
          <w:sz w:val="22"/>
          <w:szCs w:val="22"/>
          <w:lang w:eastAsia="en-US"/>
        </w:rPr>
        <w:t>ной стороны, льгот и преимуществ с другой стороны, в вопросах оплаты труда женщина и мужчина равны. Для женщин должен устанавливаться и гарантироваться в национальном законодател</w:t>
      </w:r>
      <w:r w:rsidRPr="00EC1A78">
        <w:rPr>
          <w:rFonts w:eastAsiaTheme="minorHAnsi"/>
          <w:sz w:val="22"/>
          <w:szCs w:val="22"/>
          <w:lang w:eastAsia="en-US"/>
        </w:rPr>
        <w:t>ь</w:t>
      </w:r>
      <w:r w:rsidRPr="00EC1A78">
        <w:rPr>
          <w:rFonts w:eastAsiaTheme="minorHAnsi"/>
          <w:sz w:val="22"/>
          <w:szCs w:val="22"/>
          <w:lang w:eastAsia="en-US"/>
        </w:rPr>
        <w:t>стве размер заработной платы не ниже, чем мужчинам за равноце</w:t>
      </w:r>
      <w:r w:rsidRPr="00EC1A78">
        <w:rPr>
          <w:rFonts w:eastAsiaTheme="minorHAnsi"/>
          <w:sz w:val="22"/>
          <w:szCs w:val="22"/>
          <w:lang w:eastAsia="en-US"/>
        </w:rPr>
        <w:t>н</w:t>
      </w:r>
      <w:r w:rsidRPr="00EC1A78">
        <w:rPr>
          <w:rFonts w:eastAsiaTheme="minorHAnsi"/>
          <w:sz w:val="22"/>
          <w:szCs w:val="22"/>
          <w:lang w:eastAsia="en-US"/>
        </w:rPr>
        <w:t>ный труд. На практике имеются многочисленные нарушения этого правила.</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 xml:space="preserve">Условия труда, в которых трудятся женщины, не могут быть хуже, чем у мужчин. </w:t>
      </w: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Таким образом, можно сделать вывод, что в отношении же</w:t>
      </w:r>
      <w:r w:rsidRPr="00EC1A78">
        <w:rPr>
          <w:rFonts w:eastAsiaTheme="minorHAnsi"/>
          <w:sz w:val="22"/>
          <w:szCs w:val="22"/>
          <w:lang w:eastAsia="en-US"/>
        </w:rPr>
        <w:t>н</w:t>
      </w:r>
      <w:r w:rsidRPr="00EC1A78">
        <w:rPr>
          <w:rFonts w:eastAsiaTheme="minorHAnsi"/>
          <w:sz w:val="22"/>
          <w:szCs w:val="22"/>
          <w:lang w:eastAsia="en-US"/>
        </w:rPr>
        <w:t>щин в законодательстве установлены запреты и ограничения их права на труд, которые имеют своей целью защиту здоровья и жи</w:t>
      </w:r>
      <w:r w:rsidRPr="00EC1A78">
        <w:rPr>
          <w:rFonts w:eastAsiaTheme="minorHAnsi"/>
          <w:sz w:val="22"/>
          <w:szCs w:val="22"/>
          <w:lang w:eastAsia="en-US"/>
        </w:rPr>
        <w:t>з</w:t>
      </w:r>
      <w:r w:rsidRPr="00EC1A78">
        <w:rPr>
          <w:rFonts w:eastAsiaTheme="minorHAnsi"/>
          <w:sz w:val="22"/>
          <w:szCs w:val="22"/>
          <w:lang w:eastAsia="en-US"/>
        </w:rPr>
        <w:t>ни, но на практике снижают уровень их конкурентоспособности на рынке труда, что требует определенных шагов по совершенствов</w:t>
      </w:r>
      <w:r w:rsidRPr="00EC1A78">
        <w:rPr>
          <w:rFonts w:eastAsiaTheme="minorHAnsi"/>
          <w:sz w:val="22"/>
          <w:szCs w:val="22"/>
          <w:lang w:eastAsia="en-US"/>
        </w:rPr>
        <w:t>а</w:t>
      </w:r>
      <w:r w:rsidRPr="00EC1A78">
        <w:rPr>
          <w:rFonts w:eastAsiaTheme="minorHAnsi"/>
          <w:sz w:val="22"/>
          <w:szCs w:val="22"/>
          <w:lang w:eastAsia="en-US"/>
        </w:rPr>
        <w:t xml:space="preserve">нию механизма реализации прав и гарантий для них. </w:t>
      </w:r>
    </w:p>
    <w:p w:rsidR="00EC1A78" w:rsidRPr="00EC1A78" w:rsidRDefault="00EC1A78" w:rsidP="00EC1A78">
      <w:pPr>
        <w:autoSpaceDE w:val="0"/>
        <w:autoSpaceDN w:val="0"/>
        <w:adjustRightInd w:val="0"/>
        <w:ind w:firstLine="709"/>
        <w:jc w:val="center"/>
        <w:rPr>
          <w:rFonts w:eastAsiaTheme="minorHAnsi"/>
          <w:b/>
          <w:sz w:val="22"/>
          <w:szCs w:val="22"/>
          <w:lang w:eastAsia="en-US"/>
        </w:rPr>
      </w:pPr>
    </w:p>
    <w:p w:rsidR="00EC1A78" w:rsidRPr="00EC1A78" w:rsidRDefault="00EC1A78" w:rsidP="00EC1A78">
      <w:pPr>
        <w:autoSpaceDE w:val="0"/>
        <w:autoSpaceDN w:val="0"/>
        <w:adjustRightInd w:val="0"/>
        <w:ind w:firstLine="709"/>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tabs>
          <w:tab w:val="left" w:pos="1134"/>
        </w:tabs>
        <w:autoSpaceDE w:val="0"/>
        <w:autoSpaceDN w:val="0"/>
        <w:adjustRightInd w:val="0"/>
        <w:ind w:firstLine="426"/>
        <w:jc w:val="both"/>
        <w:rPr>
          <w:rFonts w:eastAsiaTheme="minorHAnsi"/>
          <w:sz w:val="22"/>
          <w:szCs w:val="22"/>
          <w:lang w:eastAsia="en-US"/>
        </w:rPr>
      </w:pPr>
      <w:r w:rsidRPr="00EC1A78">
        <w:rPr>
          <w:rFonts w:eastAsiaTheme="minorHAnsi"/>
          <w:sz w:val="22"/>
          <w:szCs w:val="22"/>
          <w:lang w:eastAsia="en-US"/>
        </w:rPr>
        <w:t>1. Об утверждении перечня тяжелых работ и работ с вредными или опасными условиями труда, при выполнении которых запрещ</w:t>
      </w:r>
      <w:r w:rsidRPr="00EC1A78">
        <w:rPr>
          <w:rFonts w:eastAsiaTheme="minorHAnsi"/>
          <w:sz w:val="22"/>
          <w:szCs w:val="22"/>
          <w:lang w:eastAsia="en-US"/>
        </w:rPr>
        <w:t>а</w:t>
      </w:r>
      <w:r w:rsidRPr="00EC1A78">
        <w:rPr>
          <w:rFonts w:eastAsiaTheme="minorHAnsi"/>
          <w:sz w:val="22"/>
          <w:szCs w:val="22"/>
          <w:lang w:eastAsia="en-US"/>
        </w:rPr>
        <w:t>ется применение труда женщин: Постановление Правительства РФ от 25.02.2000 N 162 // СЗ РФ. 2000. № 10. Ст. 1130.</w:t>
      </w:r>
    </w:p>
    <w:p w:rsidR="00EC1A78" w:rsidRPr="00EC1A78" w:rsidRDefault="00EC1A78" w:rsidP="00EC1A78">
      <w:pPr>
        <w:tabs>
          <w:tab w:val="left" w:pos="1134"/>
        </w:tabs>
        <w:autoSpaceDE w:val="0"/>
        <w:autoSpaceDN w:val="0"/>
        <w:adjustRightInd w:val="0"/>
        <w:ind w:firstLine="426"/>
        <w:jc w:val="both"/>
        <w:rPr>
          <w:rFonts w:eastAsiaTheme="minorHAnsi"/>
          <w:sz w:val="22"/>
          <w:szCs w:val="22"/>
          <w:lang w:eastAsia="en-US"/>
        </w:rPr>
      </w:pPr>
      <w:r w:rsidRPr="00EC1A78">
        <w:rPr>
          <w:rFonts w:eastAsiaTheme="minorHAnsi"/>
          <w:sz w:val="22"/>
          <w:szCs w:val="22"/>
          <w:lang w:eastAsia="en-US"/>
        </w:rPr>
        <w:t xml:space="preserve">2. О специальной оценке условий труда: Федеральный закон от 28.12.2013 № 426–ФЗ (ред. от 01.05.2016) //СЗ РФ. 2013. № 52 (часть </w:t>
      </w:r>
      <w:r w:rsidRPr="00EC1A78">
        <w:rPr>
          <w:rFonts w:eastAsiaTheme="minorHAnsi"/>
          <w:sz w:val="22"/>
          <w:szCs w:val="22"/>
          <w:lang w:val="en-US" w:eastAsia="en-US"/>
        </w:rPr>
        <w:t>I</w:t>
      </w:r>
      <w:r w:rsidRPr="00EC1A78">
        <w:rPr>
          <w:rFonts w:eastAsiaTheme="minorHAnsi"/>
          <w:sz w:val="22"/>
          <w:szCs w:val="22"/>
          <w:lang w:eastAsia="en-US"/>
        </w:rPr>
        <w:t>). Ст.6991.</w:t>
      </w:r>
    </w:p>
    <w:p w:rsidR="00EC1A78" w:rsidRPr="00EC1A78" w:rsidRDefault="00EC1A78" w:rsidP="00EC1A78">
      <w:pPr>
        <w:tabs>
          <w:tab w:val="left" w:pos="1134"/>
        </w:tabs>
        <w:autoSpaceDE w:val="0"/>
        <w:autoSpaceDN w:val="0"/>
        <w:adjustRightInd w:val="0"/>
        <w:ind w:firstLine="426"/>
        <w:jc w:val="both"/>
        <w:rPr>
          <w:rFonts w:eastAsiaTheme="minorHAnsi"/>
          <w:sz w:val="22"/>
          <w:szCs w:val="22"/>
          <w:lang w:eastAsia="en-US"/>
        </w:rPr>
      </w:pPr>
      <w:r w:rsidRPr="00EC1A78">
        <w:rPr>
          <w:rFonts w:eastAsiaTheme="minorHAnsi"/>
          <w:sz w:val="22"/>
          <w:szCs w:val="22"/>
          <w:lang w:eastAsia="en-US"/>
        </w:rPr>
        <w:t>3. СанПиН 2.2.0.555–96. 2.2. Гигиена труда. Гигиенические требования к условиям труда женщин. Санитарные правила и но</w:t>
      </w:r>
      <w:r w:rsidRPr="00EC1A78">
        <w:rPr>
          <w:rFonts w:eastAsiaTheme="minorHAnsi"/>
          <w:sz w:val="22"/>
          <w:szCs w:val="22"/>
          <w:lang w:eastAsia="en-US"/>
        </w:rPr>
        <w:t>р</w:t>
      </w:r>
      <w:r w:rsidRPr="00EC1A78">
        <w:rPr>
          <w:rFonts w:eastAsiaTheme="minorHAnsi"/>
          <w:sz w:val="22"/>
          <w:szCs w:val="22"/>
          <w:lang w:eastAsia="en-US"/>
        </w:rPr>
        <w:t xml:space="preserve">мы (утв. Постановлением Госкомсанэпиднадзора РФ от 28.10.1996 № 32) // Экологический вестник России. 2001. № 3. </w:t>
      </w:r>
    </w:p>
    <w:p w:rsidR="00EC1A78" w:rsidRPr="00EC1A78" w:rsidRDefault="00EC1A78" w:rsidP="00EC1A78">
      <w:pPr>
        <w:tabs>
          <w:tab w:val="left" w:pos="1134"/>
        </w:tabs>
        <w:ind w:firstLine="426"/>
        <w:jc w:val="both"/>
        <w:rPr>
          <w:sz w:val="22"/>
          <w:szCs w:val="22"/>
        </w:rPr>
      </w:pPr>
      <w:r w:rsidRPr="00EC1A78">
        <w:rPr>
          <w:sz w:val="22"/>
          <w:szCs w:val="22"/>
        </w:rPr>
        <w:t>4. Адриановская Т.Л. Современные проблемы правовой защиты женщин в сфере трудовых отношений: Дисс. … канд. юрид. наук. СПб., 2005.</w:t>
      </w:r>
    </w:p>
    <w:p w:rsidR="00EC1A78" w:rsidRPr="00EC1A78" w:rsidRDefault="00EC1A78" w:rsidP="00EC1A78">
      <w:pPr>
        <w:tabs>
          <w:tab w:val="left" w:pos="1134"/>
        </w:tabs>
        <w:ind w:firstLine="426"/>
        <w:jc w:val="both"/>
        <w:rPr>
          <w:sz w:val="22"/>
          <w:szCs w:val="22"/>
        </w:rPr>
      </w:pPr>
      <w:r w:rsidRPr="00EC1A78">
        <w:rPr>
          <w:sz w:val="22"/>
          <w:szCs w:val="22"/>
        </w:rPr>
        <w:t>5. О неотложных мерах по улучшению положения женщин, с</w:t>
      </w:r>
      <w:r w:rsidRPr="00EC1A78">
        <w:rPr>
          <w:sz w:val="22"/>
          <w:szCs w:val="22"/>
        </w:rPr>
        <w:t>е</w:t>
      </w:r>
      <w:r w:rsidRPr="00EC1A78">
        <w:rPr>
          <w:sz w:val="22"/>
          <w:szCs w:val="22"/>
        </w:rPr>
        <w:t>мьи, охраны материнства и детства на селе: Постановление ВС РСФСР от 01.11.1990 N 298/3–1 (ред. от 24.08.1995) // Ведомости СНД и ВС РСФСР. 1990. N 24, ст. 287.</w:t>
      </w:r>
    </w:p>
    <w:p w:rsidR="00EC1A78" w:rsidRDefault="00EC1A78" w:rsidP="00EC1A78">
      <w:pPr>
        <w:tabs>
          <w:tab w:val="left" w:pos="1134"/>
        </w:tabs>
        <w:jc w:val="both"/>
        <w:rPr>
          <w:sz w:val="22"/>
          <w:szCs w:val="22"/>
        </w:rPr>
      </w:pPr>
    </w:p>
    <w:p w:rsidR="00EC2599" w:rsidRDefault="00EC2599" w:rsidP="00EC1A78">
      <w:pPr>
        <w:tabs>
          <w:tab w:val="left" w:pos="1134"/>
        </w:tabs>
        <w:jc w:val="both"/>
        <w:rPr>
          <w:sz w:val="22"/>
          <w:szCs w:val="22"/>
        </w:rPr>
      </w:pPr>
    </w:p>
    <w:p w:rsidR="00641206" w:rsidRPr="00EC1A78" w:rsidRDefault="00641206" w:rsidP="00EC1A78">
      <w:pPr>
        <w:tabs>
          <w:tab w:val="left" w:pos="1134"/>
        </w:tabs>
        <w:jc w:val="both"/>
        <w:rPr>
          <w:sz w:val="22"/>
          <w:szCs w:val="22"/>
        </w:rPr>
      </w:pPr>
    </w:p>
    <w:p w:rsidR="00EC1A78" w:rsidRPr="00EC1A78" w:rsidRDefault="00EC1A78" w:rsidP="00EC1A78">
      <w:pPr>
        <w:tabs>
          <w:tab w:val="left" w:pos="1134"/>
        </w:tabs>
        <w:jc w:val="both"/>
        <w:rPr>
          <w:sz w:val="22"/>
          <w:szCs w:val="22"/>
        </w:rPr>
      </w:pPr>
      <w:r w:rsidRPr="00EC1A78">
        <w:rPr>
          <w:sz w:val="22"/>
          <w:szCs w:val="22"/>
        </w:rPr>
        <w:lastRenderedPageBreak/>
        <w:t>УДК 009</w:t>
      </w:r>
    </w:p>
    <w:p w:rsidR="00EC1A78" w:rsidRPr="00EC1A78" w:rsidRDefault="00EC1A78" w:rsidP="00EC1A78">
      <w:pPr>
        <w:tabs>
          <w:tab w:val="left" w:pos="1134"/>
        </w:tabs>
        <w:jc w:val="both"/>
        <w:rPr>
          <w:b/>
          <w:sz w:val="22"/>
          <w:szCs w:val="22"/>
        </w:rPr>
      </w:pPr>
    </w:p>
    <w:p w:rsidR="00EC1A78" w:rsidRPr="00EC1A78" w:rsidRDefault="00EC1A78" w:rsidP="00EC1A78">
      <w:pPr>
        <w:tabs>
          <w:tab w:val="left" w:pos="1134"/>
        </w:tabs>
        <w:jc w:val="center"/>
        <w:rPr>
          <w:b/>
          <w:sz w:val="24"/>
          <w:szCs w:val="24"/>
        </w:rPr>
      </w:pPr>
      <w:r w:rsidRPr="00EC1A78">
        <w:rPr>
          <w:b/>
          <w:sz w:val="24"/>
          <w:szCs w:val="24"/>
        </w:rPr>
        <w:t>Способствование СМИ распространению терроризма</w:t>
      </w:r>
    </w:p>
    <w:p w:rsidR="00EC1A78" w:rsidRPr="00EC1A78" w:rsidRDefault="00EC1A78" w:rsidP="00EC1A78">
      <w:pPr>
        <w:tabs>
          <w:tab w:val="left" w:pos="1134"/>
        </w:tabs>
        <w:jc w:val="center"/>
        <w:rPr>
          <w:b/>
          <w:sz w:val="24"/>
          <w:szCs w:val="24"/>
        </w:rPr>
      </w:pPr>
      <w:r w:rsidRPr="00EC1A78">
        <w:rPr>
          <w:b/>
          <w:sz w:val="24"/>
          <w:szCs w:val="24"/>
        </w:rPr>
        <w:t>и экстремизма</w:t>
      </w:r>
    </w:p>
    <w:p w:rsidR="00EC1A78" w:rsidRPr="00EC1A78" w:rsidRDefault="00EC1A78" w:rsidP="00EC1A78">
      <w:pPr>
        <w:tabs>
          <w:tab w:val="left" w:pos="1134"/>
        </w:tabs>
        <w:jc w:val="center"/>
        <w:rPr>
          <w:b/>
          <w:sz w:val="24"/>
          <w:szCs w:val="24"/>
        </w:rPr>
      </w:pPr>
      <w:r w:rsidRPr="00EC1A78">
        <w:rPr>
          <w:b/>
          <w:sz w:val="24"/>
          <w:szCs w:val="24"/>
          <w:lang w:val="en-US"/>
        </w:rPr>
        <w:t>Contributing</w:t>
      </w:r>
      <w:r w:rsidRPr="00EC1A78">
        <w:rPr>
          <w:b/>
          <w:sz w:val="24"/>
          <w:szCs w:val="24"/>
        </w:rPr>
        <w:t xml:space="preserve"> </w:t>
      </w:r>
      <w:r w:rsidRPr="00EC1A78">
        <w:rPr>
          <w:b/>
          <w:sz w:val="24"/>
          <w:szCs w:val="24"/>
          <w:lang w:val="en-US"/>
        </w:rPr>
        <w:t>to</w:t>
      </w:r>
      <w:r w:rsidRPr="00EC1A78">
        <w:rPr>
          <w:b/>
          <w:sz w:val="24"/>
          <w:szCs w:val="24"/>
        </w:rPr>
        <w:t xml:space="preserve"> </w:t>
      </w:r>
      <w:r w:rsidRPr="00EC1A78">
        <w:rPr>
          <w:b/>
          <w:sz w:val="24"/>
          <w:szCs w:val="24"/>
          <w:lang w:val="en-US"/>
        </w:rPr>
        <w:t>the</w:t>
      </w:r>
      <w:r w:rsidRPr="00EC1A78">
        <w:rPr>
          <w:b/>
          <w:sz w:val="24"/>
          <w:szCs w:val="24"/>
        </w:rPr>
        <w:t xml:space="preserve"> </w:t>
      </w:r>
      <w:r w:rsidRPr="00EC1A78">
        <w:rPr>
          <w:b/>
          <w:sz w:val="24"/>
          <w:szCs w:val="24"/>
          <w:lang w:val="en-US"/>
        </w:rPr>
        <w:t>media</w:t>
      </w:r>
      <w:r w:rsidRPr="00EC1A78">
        <w:rPr>
          <w:b/>
          <w:sz w:val="24"/>
          <w:szCs w:val="24"/>
        </w:rPr>
        <w:t xml:space="preserve"> </w:t>
      </w:r>
      <w:r w:rsidRPr="00EC1A78">
        <w:rPr>
          <w:b/>
          <w:sz w:val="24"/>
          <w:szCs w:val="24"/>
          <w:lang w:val="en-US"/>
        </w:rPr>
        <w:t>the</w:t>
      </w:r>
      <w:r w:rsidRPr="00EC1A78">
        <w:rPr>
          <w:b/>
          <w:sz w:val="24"/>
          <w:szCs w:val="24"/>
        </w:rPr>
        <w:t xml:space="preserve"> </w:t>
      </w:r>
      <w:r w:rsidRPr="00EC1A78">
        <w:rPr>
          <w:b/>
          <w:sz w:val="24"/>
          <w:szCs w:val="24"/>
          <w:lang w:val="en-US"/>
        </w:rPr>
        <w:t>spread</w:t>
      </w:r>
      <w:r w:rsidRPr="00EC1A78">
        <w:rPr>
          <w:b/>
          <w:sz w:val="24"/>
          <w:szCs w:val="24"/>
        </w:rPr>
        <w:t xml:space="preserve"> </w:t>
      </w:r>
      <w:r w:rsidRPr="00EC1A78">
        <w:rPr>
          <w:b/>
          <w:sz w:val="24"/>
          <w:szCs w:val="24"/>
          <w:lang w:val="en-US"/>
        </w:rPr>
        <w:t>of</w:t>
      </w:r>
      <w:r w:rsidRPr="00EC1A78">
        <w:rPr>
          <w:b/>
          <w:sz w:val="24"/>
          <w:szCs w:val="24"/>
        </w:rPr>
        <w:t xml:space="preserve"> </w:t>
      </w:r>
      <w:r w:rsidRPr="00EC1A78">
        <w:rPr>
          <w:b/>
          <w:sz w:val="24"/>
          <w:szCs w:val="24"/>
          <w:lang w:val="en-US"/>
        </w:rPr>
        <w:t>terrorism</w:t>
      </w:r>
    </w:p>
    <w:p w:rsidR="00EC1A78" w:rsidRPr="00EC1A78" w:rsidRDefault="00EC1A78" w:rsidP="00EC1A78">
      <w:pPr>
        <w:tabs>
          <w:tab w:val="left" w:pos="1134"/>
        </w:tabs>
        <w:jc w:val="center"/>
        <w:rPr>
          <w:b/>
          <w:sz w:val="24"/>
          <w:szCs w:val="24"/>
          <w:lang w:val="en-US"/>
        </w:rPr>
      </w:pPr>
      <w:r w:rsidRPr="00EC1A78">
        <w:rPr>
          <w:b/>
          <w:sz w:val="24"/>
          <w:szCs w:val="24"/>
          <w:lang w:val="en-US"/>
        </w:rPr>
        <w:t>and extremism</w:t>
      </w:r>
    </w:p>
    <w:p w:rsidR="00EC1A78" w:rsidRPr="00EC1A78" w:rsidRDefault="00EC1A78" w:rsidP="00EC1A78">
      <w:pPr>
        <w:tabs>
          <w:tab w:val="left" w:pos="1134"/>
        </w:tabs>
        <w:ind w:firstLine="426"/>
        <w:jc w:val="both"/>
        <w:rPr>
          <w:b/>
          <w:sz w:val="20"/>
          <w:szCs w:val="20"/>
          <w:lang w:val="en-US"/>
        </w:rPr>
      </w:pPr>
    </w:p>
    <w:p w:rsidR="00EC1A78" w:rsidRPr="00EC1A78" w:rsidRDefault="00EC1A78" w:rsidP="00EC1A78">
      <w:pPr>
        <w:tabs>
          <w:tab w:val="left" w:pos="1134"/>
        </w:tabs>
        <w:ind w:firstLine="426"/>
        <w:jc w:val="right"/>
        <w:rPr>
          <w:sz w:val="22"/>
          <w:szCs w:val="22"/>
          <w:lang w:val="en-US"/>
        </w:rPr>
      </w:pPr>
      <w:r w:rsidRPr="00EC1A78">
        <w:rPr>
          <w:sz w:val="22"/>
          <w:szCs w:val="22"/>
        </w:rPr>
        <w:t>Махмутова</w:t>
      </w:r>
      <w:r w:rsidRPr="00EC1A78">
        <w:rPr>
          <w:sz w:val="22"/>
          <w:szCs w:val="22"/>
          <w:lang w:val="en-US"/>
        </w:rPr>
        <w:t xml:space="preserve"> </w:t>
      </w:r>
      <w:r w:rsidRPr="00EC1A78">
        <w:rPr>
          <w:sz w:val="22"/>
          <w:szCs w:val="22"/>
        </w:rPr>
        <w:t>М</w:t>
      </w:r>
      <w:r w:rsidRPr="00EC1A78">
        <w:rPr>
          <w:sz w:val="22"/>
          <w:szCs w:val="22"/>
          <w:lang w:val="en-US"/>
        </w:rPr>
        <w:t>.</w:t>
      </w:r>
      <w:r w:rsidR="00EC2599" w:rsidRPr="00E62E4B">
        <w:rPr>
          <w:sz w:val="22"/>
          <w:szCs w:val="22"/>
          <w:lang w:val="en-US"/>
        </w:rPr>
        <w:t xml:space="preserve"> </w:t>
      </w:r>
      <w:r w:rsidRPr="00EC1A78">
        <w:rPr>
          <w:sz w:val="22"/>
          <w:szCs w:val="22"/>
        </w:rPr>
        <w:t>Р</w:t>
      </w:r>
      <w:r w:rsidRPr="00EC1A78">
        <w:rPr>
          <w:sz w:val="22"/>
          <w:szCs w:val="22"/>
          <w:lang w:val="en-US"/>
        </w:rPr>
        <w:t>.,</w:t>
      </w:r>
    </w:p>
    <w:p w:rsidR="00EC1A78" w:rsidRPr="00EC1A78" w:rsidRDefault="00EC1A78" w:rsidP="00EC1A78">
      <w:pPr>
        <w:tabs>
          <w:tab w:val="left" w:pos="1134"/>
        </w:tabs>
        <w:ind w:firstLine="426"/>
        <w:jc w:val="right"/>
        <w:rPr>
          <w:sz w:val="22"/>
          <w:szCs w:val="22"/>
        </w:rPr>
      </w:pPr>
      <w:r w:rsidRPr="00EC1A78">
        <w:rPr>
          <w:sz w:val="22"/>
          <w:szCs w:val="22"/>
        </w:rPr>
        <w:t>студентка 3–го курса юридического факультета</w:t>
      </w:r>
    </w:p>
    <w:p w:rsidR="00EC1A78" w:rsidRPr="00EC1A78" w:rsidRDefault="00EC1A78" w:rsidP="00EC1A78">
      <w:pPr>
        <w:tabs>
          <w:tab w:val="left" w:pos="1134"/>
        </w:tabs>
        <w:ind w:firstLine="426"/>
        <w:jc w:val="right"/>
        <w:rPr>
          <w:sz w:val="22"/>
          <w:szCs w:val="22"/>
        </w:rPr>
      </w:pPr>
      <w:r w:rsidRPr="00EC1A78">
        <w:rPr>
          <w:sz w:val="22"/>
          <w:szCs w:val="22"/>
        </w:rPr>
        <w:t xml:space="preserve">Кубанский государственный аграрный </w:t>
      </w:r>
    </w:p>
    <w:p w:rsidR="00EC1A78" w:rsidRPr="00EC1A78" w:rsidRDefault="00EC1A78" w:rsidP="00EC1A78">
      <w:pPr>
        <w:tabs>
          <w:tab w:val="left" w:pos="1134"/>
        </w:tabs>
        <w:ind w:firstLine="426"/>
        <w:jc w:val="right"/>
        <w:rPr>
          <w:sz w:val="22"/>
          <w:szCs w:val="22"/>
        </w:rPr>
      </w:pPr>
      <w:r w:rsidRPr="00EC1A78">
        <w:rPr>
          <w:sz w:val="22"/>
          <w:szCs w:val="22"/>
        </w:rPr>
        <w:t>университет имени И.</w:t>
      </w:r>
      <w:r w:rsidR="00EC2599">
        <w:rPr>
          <w:sz w:val="22"/>
          <w:szCs w:val="22"/>
        </w:rPr>
        <w:t xml:space="preserve"> </w:t>
      </w:r>
      <w:r w:rsidRPr="00EC1A78">
        <w:rPr>
          <w:sz w:val="22"/>
          <w:szCs w:val="22"/>
        </w:rPr>
        <w:t>Т. Трубилина</w:t>
      </w:r>
    </w:p>
    <w:p w:rsidR="00EC1A78" w:rsidRPr="00EC1A78" w:rsidRDefault="00EC1A78" w:rsidP="00EC1A78">
      <w:pPr>
        <w:tabs>
          <w:tab w:val="left" w:pos="1134"/>
        </w:tabs>
        <w:ind w:firstLine="426"/>
        <w:jc w:val="both"/>
        <w:rPr>
          <w:sz w:val="22"/>
          <w:szCs w:val="22"/>
        </w:rPr>
      </w:pPr>
    </w:p>
    <w:p w:rsidR="00EC1A78" w:rsidRPr="00EC1A78" w:rsidRDefault="00EC1A78" w:rsidP="00EC1A78">
      <w:pPr>
        <w:tabs>
          <w:tab w:val="left" w:pos="1134"/>
        </w:tabs>
        <w:ind w:firstLine="426"/>
        <w:jc w:val="both"/>
        <w:rPr>
          <w:sz w:val="22"/>
          <w:szCs w:val="22"/>
        </w:rPr>
      </w:pPr>
      <w:r w:rsidRPr="00EC1A78">
        <w:rPr>
          <w:sz w:val="22"/>
          <w:szCs w:val="22"/>
        </w:rPr>
        <w:t>АННОТАЦИЯ: в статье рассмотрена проблема использования возможностей  СМИ в продвижении террористической и экстр</w:t>
      </w:r>
      <w:r w:rsidRPr="00EC1A78">
        <w:rPr>
          <w:sz w:val="22"/>
          <w:szCs w:val="22"/>
        </w:rPr>
        <w:t>е</w:t>
      </w:r>
      <w:r w:rsidRPr="00EC1A78">
        <w:rPr>
          <w:sz w:val="22"/>
          <w:szCs w:val="22"/>
        </w:rPr>
        <w:t>мисткой деятельности, о необходимости усиления юридической ответственности за это.</w:t>
      </w:r>
    </w:p>
    <w:p w:rsidR="00EC1A78" w:rsidRPr="00EC1A78" w:rsidRDefault="00EC1A78" w:rsidP="00EC1A78">
      <w:pPr>
        <w:tabs>
          <w:tab w:val="left" w:pos="1134"/>
        </w:tabs>
        <w:ind w:firstLine="426"/>
        <w:jc w:val="both"/>
        <w:rPr>
          <w:sz w:val="22"/>
          <w:szCs w:val="22"/>
          <w:lang w:val="en-US"/>
        </w:rPr>
      </w:pPr>
      <w:r w:rsidRPr="00EC1A78">
        <w:rPr>
          <w:sz w:val="22"/>
          <w:szCs w:val="22"/>
          <w:lang w:val="en-US"/>
        </w:rPr>
        <w:t>ABSTRACT: the article discusses the problem of using the media's capabilities in promoting terrorist and extremist activities, the need to strengthen legal responsibility for this</w:t>
      </w:r>
    </w:p>
    <w:p w:rsidR="00EC1A78" w:rsidRPr="00EC1A78" w:rsidRDefault="00EC1A78" w:rsidP="00EC1A78">
      <w:pPr>
        <w:tabs>
          <w:tab w:val="left" w:pos="1134"/>
        </w:tabs>
        <w:ind w:firstLine="426"/>
        <w:jc w:val="both"/>
        <w:rPr>
          <w:sz w:val="22"/>
          <w:szCs w:val="22"/>
        </w:rPr>
      </w:pPr>
      <w:r w:rsidRPr="00EC1A78">
        <w:rPr>
          <w:sz w:val="22"/>
          <w:szCs w:val="22"/>
        </w:rPr>
        <w:t>КЛЮЧЕВЫЕ СЛОВА: средства массовой информации, терр</w:t>
      </w:r>
      <w:r w:rsidRPr="00EC1A78">
        <w:rPr>
          <w:sz w:val="22"/>
          <w:szCs w:val="22"/>
        </w:rPr>
        <w:t>о</w:t>
      </w:r>
      <w:r w:rsidRPr="00EC1A78">
        <w:rPr>
          <w:sz w:val="22"/>
          <w:szCs w:val="22"/>
        </w:rPr>
        <w:t>ризм, экстремизм, административная ответственность, уголовная ответственность.</w:t>
      </w:r>
    </w:p>
    <w:p w:rsidR="00EC1A78" w:rsidRPr="00EC1A78" w:rsidRDefault="00EC1A78" w:rsidP="00EC1A78">
      <w:pPr>
        <w:tabs>
          <w:tab w:val="left" w:pos="1134"/>
        </w:tabs>
        <w:ind w:firstLine="426"/>
        <w:jc w:val="both"/>
        <w:rPr>
          <w:sz w:val="22"/>
          <w:szCs w:val="22"/>
          <w:lang w:val="en-US"/>
        </w:rPr>
      </w:pPr>
      <w:r w:rsidRPr="00EC1A78">
        <w:rPr>
          <w:sz w:val="22"/>
          <w:szCs w:val="22"/>
          <w:lang w:val="en-US"/>
        </w:rPr>
        <w:t>KEYWORDS: mass media, terrorism, extremism, administrative r</w:t>
      </w:r>
      <w:r w:rsidRPr="00EC1A78">
        <w:rPr>
          <w:sz w:val="22"/>
          <w:szCs w:val="22"/>
          <w:lang w:val="en-US"/>
        </w:rPr>
        <w:t>e</w:t>
      </w:r>
      <w:r w:rsidRPr="00EC1A78">
        <w:rPr>
          <w:sz w:val="22"/>
          <w:szCs w:val="22"/>
          <w:lang w:val="en-US"/>
        </w:rPr>
        <w:t>sponsibility, criminal responsibility.</w:t>
      </w:r>
    </w:p>
    <w:p w:rsidR="00EC1A78" w:rsidRPr="00EC1A78" w:rsidRDefault="00EC1A78" w:rsidP="00EC1A78">
      <w:pPr>
        <w:tabs>
          <w:tab w:val="left" w:pos="1134"/>
        </w:tabs>
        <w:ind w:firstLine="426"/>
        <w:jc w:val="both"/>
        <w:rPr>
          <w:sz w:val="22"/>
          <w:szCs w:val="22"/>
          <w:lang w:val="en-US"/>
        </w:rPr>
      </w:pPr>
    </w:p>
    <w:p w:rsidR="00EC1A78" w:rsidRPr="00EC1A78" w:rsidRDefault="00EC1A78" w:rsidP="00EC1A78">
      <w:pPr>
        <w:tabs>
          <w:tab w:val="left" w:pos="1134"/>
        </w:tabs>
        <w:ind w:firstLine="426"/>
        <w:jc w:val="both"/>
        <w:rPr>
          <w:sz w:val="22"/>
          <w:szCs w:val="22"/>
        </w:rPr>
      </w:pPr>
      <w:r w:rsidRPr="00EC1A78">
        <w:rPr>
          <w:sz w:val="22"/>
          <w:szCs w:val="22"/>
        </w:rPr>
        <w:t>В 21 веке человек с уверенностью может сказать, что терр</w:t>
      </w:r>
      <w:r w:rsidRPr="00EC1A78">
        <w:rPr>
          <w:sz w:val="22"/>
          <w:szCs w:val="22"/>
        </w:rPr>
        <w:t>о</w:t>
      </w:r>
      <w:r w:rsidRPr="00EC1A78">
        <w:rPr>
          <w:sz w:val="22"/>
          <w:szCs w:val="22"/>
        </w:rPr>
        <w:t>ризм в любой форме его проявления является одной из наиболее опасных проблем, возникших на сегодняшний день. В современном мире проблема терроризма и экстремизма представляет собой р</w:t>
      </w:r>
      <w:r w:rsidRPr="00EC1A78">
        <w:rPr>
          <w:sz w:val="22"/>
          <w:szCs w:val="22"/>
        </w:rPr>
        <w:t>е</w:t>
      </w:r>
      <w:r w:rsidRPr="00EC1A78">
        <w:rPr>
          <w:sz w:val="22"/>
          <w:szCs w:val="22"/>
        </w:rPr>
        <w:t>альную угрозу, которая может поколебать основы политической стабильности и мирового порядка. Терроризм в современной пол</w:t>
      </w:r>
      <w:r w:rsidRPr="00EC1A78">
        <w:rPr>
          <w:sz w:val="22"/>
          <w:szCs w:val="22"/>
        </w:rPr>
        <w:t>и</w:t>
      </w:r>
      <w:r w:rsidRPr="00EC1A78">
        <w:rPr>
          <w:sz w:val="22"/>
          <w:szCs w:val="22"/>
        </w:rPr>
        <w:t>тической практике означает использование негосударственного насилия или угрозы насилия, чтобы вызвать панику в обществе, ослабить и даже свергнуть правительство и вызвать политические изменения в государстве, и потому представляет собой действ</w:t>
      </w:r>
      <w:r w:rsidRPr="00EC1A78">
        <w:rPr>
          <w:sz w:val="22"/>
          <w:szCs w:val="22"/>
        </w:rPr>
        <w:t>и</w:t>
      </w:r>
      <w:r w:rsidRPr="00EC1A78">
        <w:rPr>
          <w:sz w:val="22"/>
          <w:szCs w:val="22"/>
        </w:rPr>
        <w:t>тельную угрозу национальной безопасности страны.</w:t>
      </w:r>
    </w:p>
    <w:p w:rsidR="00EC1A78" w:rsidRPr="00EC1A78" w:rsidRDefault="00EC1A78" w:rsidP="00EC1A78">
      <w:pPr>
        <w:tabs>
          <w:tab w:val="left" w:pos="1134"/>
        </w:tabs>
        <w:ind w:firstLine="426"/>
        <w:jc w:val="both"/>
        <w:rPr>
          <w:sz w:val="22"/>
          <w:szCs w:val="22"/>
        </w:rPr>
      </w:pPr>
      <w:r w:rsidRPr="00EC1A78">
        <w:rPr>
          <w:sz w:val="22"/>
          <w:szCs w:val="22"/>
        </w:rPr>
        <w:lastRenderedPageBreak/>
        <w:t>По–прежнему трудно переоценить влияние телевидения, радио, периодических изданий на общественную мысль, мораль, мирово</w:t>
      </w:r>
      <w:r w:rsidRPr="00EC1A78">
        <w:rPr>
          <w:sz w:val="22"/>
          <w:szCs w:val="22"/>
        </w:rPr>
        <w:t>з</w:t>
      </w:r>
      <w:r w:rsidRPr="00EC1A78">
        <w:rPr>
          <w:sz w:val="22"/>
          <w:szCs w:val="22"/>
        </w:rPr>
        <w:t>зрение сегодня, в эпоху информационного бума. Эта способность средств массовой информации быть эффективным средством фо</w:t>
      </w:r>
      <w:r w:rsidRPr="00EC1A78">
        <w:rPr>
          <w:sz w:val="22"/>
          <w:szCs w:val="22"/>
        </w:rPr>
        <w:t>р</w:t>
      </w:r>
      <w:r w:rsidRPr="00EC1A78">
        <w:rPr>
          <w:sz w:val="22"/>
          <w:szCs w:val="22"/>
        </w:rPr>
        <w:t>мирования социального климата уже давно замечена, оценена и и</w:t>
      </w:r>
      <w:r w:rsidRPr="00EC1A78">
        <w:rPr>
          <w:sz w:val="22"/>
          <w:szCs w:val="22"/>
        </w:rPr>
        <w:t>с</w:t>
      </w:r>
      <w:r w:rsidRPr="00EC1A78">
        <w:rPr>
          <w:sz w:val="22"/>
          <w:szCs w:val="22"/>
        </w:rPr>
        <w:t>пользуется [2].</w:t>
      </w:r>
    </w:p>
    <w:p w:rsidR="00EC1A78" w:rsidRPr="00EC1A78" w:rsidRDefault="00EC1A78" w:rsidP="00EC1A78">
      <w:pPr>
        <w:tabs>
          <w:tab w:val="left" w:pos="1134"/>
        </w:tabs>
        <w:ind w:firstLine="426"/>
        <w:jc w:val="both"/>
        <w:rPr>
          <w:sz w:val="22"/>
          <w:szCs w:val="22"/>
        </w:rPr>
      </w:pPr>
      <w:r w:rsidRPr="00EC1A78">
        <w:rPr>
          <w:sz w:val="22"/>
          <w:szCs w:val="22"/>
        </w:rPr>
        <w:t>Средства массовой информации (СМИ), являющиеся важне</w:t>
      </w:r>
      <w:r w:rsidRPr="00EC1A78">
        <w:rPr>
          <w:sz w:val="22"/>
          <w:szCs w:val="22"/>
        </w:rPr>
        <w:t>й</w:t>
      </w:r>
      <w:r w:rsidRPr="00EC1A78">
        <w:rPr>
          <w:sz w:val="22"/>
          <w:szCs w:val="22"/>
        </w:rPr>
        <w:t>шим средством социальной коммуникации в сфере борьбы с терр</w:t>
      </w:r>
      <w:r w:rsidRPr="00EC1A78">
        <w:rPr>
          <w:sz w:val="22"/>
          <w:szCs w:val="22"/>
        </w:rPr>
        <w:t>о</w:t>
      </w:r>
      <w:r w:rsidRPr="00EC1A78">
        <w:rPr>
          <w:sz w:val="22"/>
          <w:szCs w:val="22"/>
        </w:rPr>
        <w:t>ризмом и экстремизмом, призваны обеспечить своевременную и достоверную информацию о террористических угрозах, о действиях государственных органов и правоохранительных органов для обе</w:t>
      </w:r>
      <w:r w:rsidRPr="00EC1A78">
        <w:rPr>
          <w:sz w:val="22"/>
          <w:szCs w:val="22"/>
        </w:rPr>
        <w:t>с</w:t>
      </w:r>
      <w:r w:rsidRPr="00EC1A78">
        <w:rPr>
          <w:sz w:val="22"/>
          <w:szCs w:val="22"/>
        </w:rPr>
        <w:t>печения безопасности, Однако именно СМИ воспринимаются иде</w:t>
      </w:r>
      <w:r w:rsidRPr="00EC1A78">
        <w:rPr>
          <w:sz w:val="22"/>
          <w:szCs w:val="22"/>
        </w:rPr>
        <w:t>о</w:t>
      </w:r>
      <w:r w:rsidRPr="00EC1A78">
        <w:rPr>
          <w:sz w:val="22"/>
          <w:szCs w:val="22"/>
        </w:rPr>
        <w:t>логами и вдохновителями террора как один из важнейших инстр</w:t>
      </w:r>
      <w:r w:rsidRPr="00EC1A78">
        <w:rPr>
          <w:sz w:val="22"/>
          <w:szCs w:val="22"/>
        </w:rPr>
        <w:t>у</w:t>
      </w:r>
      <w:r w:rsidRPr="00EC1A78">
        <w:rPr>
          <w:sz w:val="22"/>
          <w:szCs w:val="22"/>
        </w:rPr>
        <w:t>ментов для реализации своих преступных намерений, посредством которых они влияют на общество, чтобы запугать, парализовать волю и способность людей сопротивляться, распространять их кр</w:t>
      </w:r>
      <w:r w:rsidRPr="00EC1A78">
        <w:rPr>
          <w:sz w:val="22"/>
          <w:szCs w:val="22"/>
        </w:rPr>
        <w:t>и</w:t>
      </w:r>
      <w:r w:rsidRPr="00EC1A78">
        <w:rPr>
          <w:sz w:val="22"/>
          <w:szCs w:val="22"/>
        </w:rPr>
        <w:t>минальные взгляды и убеждения, набирать сторонников и сооб</w:t>
      </w:r>
      <w:r w:rsidRPr="00EC1A78">
        <w:rPr>
          <w:sz w:val="22"/>
          <w:szCs w:val="22"/>
        </w:rPr>
        <w:t>щ</w:t>
      </w:r>
      <w:r w:rsidRPr="00EC1A78">
        <w:rPr>
          <w:sz w:val="22"/>
          <w:szCs w:val="22"/>
        </w:rPr>
        <w:t>ников. В войне, запущенной террористами против общества и гос</w:t>
      </w:r>
      <w:r w:rsidRPr="00EC1A78">
        <w:rPr>
          <w:sz w:val="22"/>
          <w:szCs w:val="22"/>
        </w:rPr>
        <w:t>у</w:t>
      </w:r>
      <w:r w:rsidRPr="00EC1A78">
        <w:rPr>
          <w:sz w:val="22"/>
          <w:szCs w:val="22"/>
        </w:rPr>
        <w:t>дарства, им часто удается использовать коммуникационные ресу</w:t>
      </w:r>
      <w:r w:rsidRPr="00EC1A78">
        <w:rPr>
          <w:sz w:val="22"/>
          <w:szCs w:val="22"/>
        </w:rPr>
        <w:t>р</w:t>
      </w:r>
      <w:r w:rsidRPr="00EC1A78">
        <w:rPr>
          <w:sz w:val="22"/>
          <w:szCs w:val="22"/>
        </w:rPr>
        <w:t xml:space="preserve">сы, созданные одним и тем же обществом – СМИ, интернет–пространство. </w:t>
      </w:r>
    </w:p>
    <w:p w:rsidR="00EC1A78" w:rsidRPr="00EC1A78" w:rsidRDefault="00EC1A78" w:rsidP="00EC1A78">
      <w:pPr>
        <w:tabs>
          <w:tab w:val="left" w:pos="1134"/>
        </w:tabs>
        <w:ind w:firstLine="426"/>
        <w:jc w:val="both"/>
        <w:rPr>
          <w:sz w:val="22"/>
          <w:szCs w:val="22"/>
        </w:rPr>
      </w:pPr>
      <w:r w:rsidRPr="00EC1A78">
        <w:rPr>
          <w:sz w:val="22"/>
          <w:szCs w:val="22"/>
        </w:rPr>
        <w:t>При планировании и осуществлении политически мотивир</w:t>
      </w:r>
      <w:r w:rsidRPr="00EC1A78">
        <w:rPr>
          <w:sz w:val="22"/>
          <w:szCs w:val="22"/>
        </w:rPr>
        <w:t>о</w:t>
      </w:r>
      <w:r w:rsidRPr="00EC1A78">
        <w:rPr>
          <w:sz w:val="22"/>
          <w:szCs w:val="22"/>
        </w:rPr>
        <w:t>ванных террористических акций их организаторы предусматривают прорыв широкой публичной аудитории. В этой ситуации журнал</w:t>
      </w:r>
      <w:r w:rsidRPr="00EC1A78">
        <w:rPr>
          <w:sz w:val="22"/>
          <w:szCs w:val="22"/>
        </w:rPr>
        <w:t>и</w:t>
      </w:r>
      <w:r w:rsidRPr="00EC1A78">
        <w:rPr>
          <w:sz w:val="22"/>
          <w:szCs w:val="22"/>
        </w:rPr>
        <w:t>сты, освещающие такие события, проходят серьезный тест на гра</w:t>
      </w:r>
      <w:r w:rsidRPr="00EC1A78">
        <w:rPr>
          <w:sz w:val="22"/>
          <w:szCs w:val="22"/>
        </w:rPr>
        <w:t>ж</w:t>
      </w:r>
      <w:r w:rsidRPr="00EC1A78">
        <w:rPr>
          <w:sz w:val="22"/>
          <w:szCs w:val="22"/>
        </w:rPr>
        <w:t>данскую и профессиональную зрелость. В конце концов, журн</w:t>
      </w:r>
      <w:r w:rsidRPr="00EC1A78">
        <w:rPr>
          <w:sz w:val="22"/>
          <w:szCs w:val="22"/>
        </w:rPr>
        <w:t>а</w:t>
      </w:r>
      <w:r w:rsidRPr="00EC1A78">
        <w:rPr>
          <w:sz w:val="22"/>
          <w:szCs w:val="22"/>
        </w:rPr>
        <w:t>лист, освещающий хронологию драматических деталей, связанных с террористическим актом, и операцию по его предотвращению, иногда незаметно, может пересекать тонкую, почти неразличимую черту, за которой он превращается из обычного источника инфо</w:t>
      </w:r>
      <w:r w:rsidRPr="00EC1A78">
        <w:rPr>
          <w:sz w:val="22"/>
          <w:szCs w:val="22"/>
        </w:rPr>
        <w:t>р</w:t>
      </w:r>
      <w:r w:rsidRPr="00EC1A78">
        <w:rPr>
          <w:sz w:val="22"/>
          <w:szCs w:val="22"/>
        </w:rPr>
        <w:t>мации в сообщника в преступление.</w:t>
      </w:r>
    </w:p>
    <w:p w:rsidR="00EC1A78" w:rsidRPr="00EC1A78" w:rsidRDefault="00EC1A78" w:rsidP="00EC1A78">
      <w:pPr>
        <w:tabs>
          <w:tab w:val="left" w:pos="1134"/>
        </w:tabs>
        <w:ind w:firstLine="426"/>
        <w:jc w:val="both"/>
        <w:rPr>
          <w:sz w:val="22"/>
          <w:szCs w:val="22"/>
        </w:rPr>
      </w:pPr>
      <w:r w:rsidRPr="00EC1A78">
        <w:rPr>
          <w:sz w:val="22"/>
          <w:szCs w:val="22"/>
        </w:rPr>
        <w:t>Бывают случаи, когда террористы используют силу экрана т</w:t>
      </w:r>
      <w:r w:rsidRPr="00EC1A78">
        <w:rPr>
          <w:sz w:val="22"/>
          <w:szCs w:val="22"/>
        </w:rPr>
        <w:t>е</w:t>
      </w:r>
      <w:r w:rsidRPr="00EC1A78">
        <w:rPr>
          <w:sz w:val="22"/>
          <w:szCs w:val="22"/>
        </w:rPr>
        <w:t>левизора или телевизионного экрана для общения с сообщниками, недоступными другим средствам связи, а также для получения и</w:t>
      </w:r>
      <w:r w:rsidRPr="00EC1A78">
        <w:rPr>
          <w:sz w:val="22"/>
          <w:szCs w:val="22"/>
        </w:rPr>
        <w:t>н</w:t>
      </w:r>
      <w:r w:rsidRPr="00EC1A78">
        <w:rPr>
          <w:sz w:val="22"/>
          <w:szCs w:val="22"/>
        </w:rPr>
        <w:t>формации о действиях правоохранительных органов в ходе орган</w:t>
      </w:r>
      <w:r w:rsidRPr="00EC1A78">
        <w:rPr>
          <w:sz w:val="22"/>
          <w:szCs w:val="22"/>
        </w:rPr>
        <w:t>и</w:t>
      </w:r>
      <w:r w:rsidRPr="00EC1A78">
        <w:rPr>
          <w:sz w:val="22"/>
          <w:szCs w:val="22"/>
        </w:rPr>
        <w:t>зованного как это имело место в ходе террористических атак в Б</w:t>
      </w:r>
      <w:r w:rsidRPr="00EC1A78">
        <w:rPr>
          <w:sz w:val="22"/>
          <w:szCs w:val="22"/>
        </w:rPr>
        <w:t>у</w:t>
      </w:r>
      <w:r w:rsidRPr="00EC1A78">
        <w:rPr>
          <w:sz w:val="22"/>
          <w:szCs w:val="22"/>
        </w:rPr>
        <w:t>денновске в июне 1995 года и в Культурном центре на Дубровке в октябре 2002 года. Кроме того, широко использовались мнения ра</w:t>
      </w:r>
      <w:r w:rsidRPr="00EC1A78">
        <w:rPr>
          <w:sz w:val="22"/>
          <w:szCs w:val="22"/>
        </w:rPr>
        <w:t>з</w:t>
      </w:r>
      <w:r w:rsidRPr="00EC1A78">
        <w:rPr>
          <w:sz w:val="22"/>
          <w:szCs w:val="22"/>
        </w:rPr>
        <w:lastRenderedPageBreak/>
        <w:t>личных экспертов, в том числе и тех, кто, не имея достаточной и</w:t>
      </w:r>
      <w:r w:rsidRPr="00EC1A78">
        <w:rPr>
          <w:sz w:val="22"/>
          <w:szCs w:val="22"/>
        </w:rPr>
        <w:t>н</w:t>
      </w:r>
      <w:r w:rsidRPr="00EC1A78">
        <w:rPr>
          <w:sz w:val="22"/>
          <w:szCs w:val="22"/>
        </w:rPr>
        <w:t>формации, отрицательно оценил работу федеральных властей и о</w:t>
      </w:r>
      <w:r w:rsidRPr="00EC1A78">
        <w:rPr>
          <w:sz w:val="22"/>
          <w:szCs w:val="22"/>
        </w:rPr>
        <w:t>б</w:t>
      </w:r>
      <w:r w:rsidRPr="00EC1A78">
        <w:rPr>
          <w:sz w:val="22"/>
          <w:szCs w:val="22"/>
        </w:rPr>
        <w:t>винил их в бездействии.</w:t>
      </w:r>
    </w:p>
    <w:p w:rsidR="00EC1A78" w:rsidRPr="00EC1A78" w:rsidRDefault="00EC1A78" w:rsidP="00EC1A78">
      <w:pPr>
        <w:tabs>
          <w:tab w:val="left" w:pos="1134"/>
        </w:tabs>
        <w:ind w:firstLine="426"/>
        <w:jc w:val="both"/>
        <w:rPr>
          <w:sz w:val="22"/>
          <w:szCs w:val="22"/>
        </w:rPr>
      </w:pPr>
      <w:r w:rsidRPr="00EC1A78">
        <w:rPr>
          <w:sz w:val="22"/>
          <w:szCs w:val="22"/>
        </w:rPr>
        <w:t>На сегодняшний день средства массовой информации как м</w:t>
      </w:r>
      <w:r w:rsidRPr="00EC1A78">
        <w:rPr>
          <w:sz w:val="22"/>
          <w:szCs w:val="22"/>
        </w:rPr>
        <w:t>е</w:t>
      </w:r>
      <w:r w:rsidRPr="00EC1A78">
        <w:rPr>
          <w:sz w:val="22"/>
          <w:szCs w:val="22"/>
        </w:rPr>
        <w:t>ханизм неограниченного влияния на общественность, очень важны для терроризма. Террористические сообщества активно используют СМИ для максимально широкого охвата своих действий. Более т</w:t>
      </w:r>
      <w:r w:rsidRPr="00EC1A78">
        <w:rPr>
          <w:sz w:val="22"/>
          <w:szCs w:val="22"/>
        </w:rPr>
        <w:t>о</w:t>
      </w:r>
      <w:r w:rsidRPr="00EC1A78">
        <w:rPr>
          <w:sz w:val="22"/>
          <w:szCs w:val="22"/>
        </w:rPr>
        <w:t>го, они стремятся приобрести свои собственные средства массовой информации – около 80% из них имеют свои собственные веб–сайты, у многих есть радио– и телевизионные станции. В России борьба с терроризмом никого не прекращалась [1] и вследствие чего Государственная Дума РФ на протяжении долгого времени неодн</w:t>
      </w:r>
      <w:r w:rsidRPr="00EC1A78">
        <w:rPr>
          <w:sz w:val="22"/>
          <w:szCs w:val="22"/>
        </w:rPr>
        <w:t>о</w:t>
      </w:r>
      <w:r w:rsidRPr="00EC1A78">
        <w:rPr>
          <w:sz w:val="22"/>
          <w:szCs w:val="22"/>
        </w:rPr>
        <w:t>кратно вносила поправки в законы. Так, теперь все СМИ, согласно Закону РФ от 27.12.1991 № 2124–1 «О средствах массовых инфо</w:t>
      </w:r>
      <w:r w:rsidRPr="00EC1A78">
        <w:rPr>
          <w:sz w:val="22"/>
          <w:szCs w:val="22"/>
        </w:rPr>
        <w:t>р</w:t>
      </w:r>
      <w:r w:rsidRPr="00EC1A78">
        <w:rPr>
          <w:sz w:val="22"/>
          <w:szCs w:val="22"/>
        </w:rPr>
        <w:t>мации», которые призывают к экстремисткой и террористической деятельности, будут наказываться штрафом в размере до 1 млн ру</w:t>
      </w:r>
      <w:r w:rsidRPr="00EC1A78">
        <w:rPr>
          <w:sz w:val="22"/>
          <w:szCs w:val="22"/>
        </w:rPr>
        <w:t>б</w:t>
      </w:r>
      <w:r w:rsidRPr="00EC1A78">
        <w:rPr>
          <w:sz w:val="22"/>
          <w:szCs w:val="22"/>
        </w:rPr>
        <w:t>лей. Также правительство предлагает штрафовать за пропаганду СМИ «культа насилия и жестокости» в размере от 20 до 200 тыс. рублей. Более того, Правительство РФ также внесло поправки и в Кодекс об административных правонарушениях, а в частности в действующую статью 13.15 «Злоупотребление свободы массовой информации», которые тоже увеличивают размер штрафа до 1–го мил рублей, но уже с конфискацией предмета правонарушения.</w:t>
      </w:r>
    </w:p>
    <w:p w:rsidR="00EC1A78" w:rsidRPr="00EC1A78" w:rsidRDefault="00EC1A78" w:rsidP="00EC1A78">
      <w:pPr>
        <w:tabs>
          <w:tab w:val="left" w:pos="1134"/>
        </w:tabs>
        <w:ind w:firstLine="426"/>
        <w:jc w:val="both"/>
        <w:rPr>
          <w:sz w:val="22"/>
          <w:szCs w:val="22"/>
        </w:rPr>
      </w:pPr>
      <w:r w:rsidRPr="00EC1A78">
        <w:rPr>
          <w:sz w:val="22"/>
          <w:szCs w:val="22"/>
        </w:rPr>
        <w:t>В соответствии с новым ФЗ от 26 июля 2017 г. № 203–ФЗ «О внесении изменений в Уголовный кодекс Российской Федерации и статью 31 Уголовно–процессуального кодекса» ужесточается о</w:t>
      </w:r>
      <w:r w:rsidRPr="00EC1A78">
        <w:rPr>
          <w:sz w:val="22"/>
          <w:szCs w:val="22"/>
        </w:rPr>
        <w:t>т</w:t>
      </w:r>
      <w:r w:rsidRPr="00EC1A78">
        <w:rPr>
          <w:sz w:val="22"/>
          <w:szCs w:val="22"/>
        </w:rPr>
        <w:t>ветственность за совершение преступлений террористического х</w:t>
      </w:r>
      <w:r w:rsidRPr="00EC1A78">
        <w:rPr>
          <w:sz w:val="22"/>
          <w:szCs w:val="22"/>
        </w:rPr>
        <w:t>а</w:t>
      </w:r>
      <w:r w:rsidRPr="00EC1A78">
        <w:rPr>
          <w:sz w:val="22"/>
          <w:szCs w:val="22"/>
        </w:rPr>
        <w:t>рактера или экстремистской ориентации. Раньше, если текст эк</w:t>
      </w:r>
      <w:r w:rsidRPr="00EC1A78">
        <w:rPr>
          <w:sz w:val="22"/>
          <w:szCs w:val="22"/>
        </w:rPr>
        <w:t>с</w:t>
      </w:r>
      <w:r w:rsidRPr="00EC1A78">
        <w:rPr>
          <w:sz w:val="22"/>
          <w:szCs w:val="22"/>
        </w:rPr>
        <w:t>тремистского характера был опубликован в Интернете, исполнитель наказывался только принудительным исправительным трудом. Т</w:t>
      </w:r>
      <w:r w:rsidRPr="00EC1A78">
        <w:rPr>
          <w:sz w:val="22"/>
          <w:szCs w:val="22"/>
        </w:rPr>
        <w:t>е</w:t>
      </w:r>
      <w:r w:rsidRPr="00EC1A78">
        <w:rPr>
          <w:sz w:val="22"/>
          <w:szCs w:val="22"/>
        </w:rPr>
        <w:t>перь лица, виновные в таком преступлении, будут лишены свободы на срок до 4 лет.</w:t>
      </w:r>
    </w:p>
    <w:p w:rsidR="00EC1A78" w:rsidRPr="00EC1A78" w:rsidRDefault="00EC1A78" w:rsidP="00EC1A78">
      <w:pPr>
        <w:tabs>
          <w:tab w:val="left" w:pos="1134"/>
        </w:tabs>
        <w:ind w:firstLine="426"/>
        <w:jc w:val="both"/>
        <w:rPr>
          <w:sz w:val="22"/>
          <w:szCs w:val="22"/>
        </w:rPr>
      </w:pPr>
      <w:r w:rsidRPr="00EC1A78">
        <w:rPr>
          <w:sz w:val="22"/>
          <w:szCs w:val="22"/>
        </w:rPr>
        <w:t>Продолжающаяся разработка законодательных актов и допо</w:t>
      </w:r>
      <w:r w:rsidRPr="00EC1A78">
        <w:rPr>
          <w:sz w:val="22"/>
          <w:szCs w:val="22"/>
        </w:rPr>
        <w:t>л</w:t>
      </w:r>
      <w:r w:rsidRPr="00EC1A78">
        <w:rPr>
          <w:sz w:val="22"/>
          <w:szCs w:val="22"/>
        </w:rPr>
        <w:t>нительные разъясняющие ненормативные акты по борьбе с терр</w:t>
      </w:r>
      <w:r w:rsidRPr="00EC1A78">
        <w:rPr>
          <w:sz w:val="22"/>
          <w:szCs w:val="22"/>
        </w:rPr>
        <w:t>о</w:t>
      </w:r>
      <w:r w:rsidRPr="00EC1A78">
        <w:rPr>
          <w:sz w:val="22"/>
          <w:szCs w:val="22"/>
        </w:rPr>
        <w:t>ризмом и экстремизмом показывают, что, несмотря на многолетний опыт борьбы с этими явлениями, террористическая угроза продо</w:t>
      </w:r>
      <w:r w:rsidRPr="00EC1A78">
        <w:rPr>
          <w:sz w:val="22"/>
          <w:szCs w:val="22"/>
        </w:rPr>
        <w:t>л</w:t>
      </w:r>
      <w:r w:rsidRPr="00EC1A78">
        <w:rPr>
          <w:sz w:val="22"/>
          <w:szCs w:val="22"/>
        </w:rPr>
        <w:t>жает оставаться актуальной и признана мировым сообществом.</w:t>
      </w:r>
    </w:p>
    <w:p w:rsidR="00EC1A78" w:rsidRPr="00EC1A78" w:rsidRDefault="00EC1A78" w:rsidP="00641206">
      <w:pPr>
        <w:tabs>
          <w:tab w:val="left" w:pos="1134"/>
        </w:tabs>
        <w:ind w:firstLine="426"/>
        <w:jc w:val="both"/>
        <w:rPr>
          <w:sz w:val="22"/>
          <w:szCs w:val="22"/>
        </w:rPr>
      </w:pPr>
      <w:r w:rsidRPr="00EC1A78">
        <w:rPr>
          <w:sz w:val="22"/>
          <w:szCs w:val="22"/>
        </w:rPr>
        <w:lastRenderedPageBreak/>
        <w:t>В Российской Федерации существует стремление объединить законодательство и искать законодательные меры, которые позв</w:t>
      </w:r>
      <w:r w:rsidRPr="00EC1A78">
        <w:rPr>
          <w:sz w:val="22"/>
          <w:szCs w:val="22"/>
        </w:rPr>
        <w:t>о</w:t>
      </w:r>
      <w:r w:rsidRPr="00EC1A78">
        <w:rPr>
          <w:sz w:val="22"/>
          <w:szCs w:val="22"/>
        </w:rPr>
        <w:t>лят оптимизировать выявление, предотвращение и пресечение те</w:t>
      </w:r>
      <w:r w:rsidRPr="00EC1A78">
        <w:rPr>
          <w:sz w:val="22"/>
          <w:szCs w:val="22"/>
        </w:rPr>
        <w:t>р</w:t>
      </w:r>
      <w:r w:rsidRPr="00EC1A78">
        <w:rPr>
          <w:sz w:val="22"/>
          <w:szCs w:val="22"/>
        </w:rPr>
        <w:t>рористических актов, в том числе в средствах массовой информ</w:t>
      </w:r>
      <w:r w:rsidRPr="00EC1A78">
        <w:rPr>
          <w:sz w:val="22"/>
          <w:szCs w:val="22"/>
        </w:rPr>
        <w:t>а</w:t>
      </w:r>
      <w:r w:rsidRPr="00EC1A78">
        <w:rPr>
          <w:sz w:val="22"/>
          <w:szCs w:val="22"/>
        </w:rPr>
        <w:t>ции.</w:t>
      </w:r>
    </w:p>
    <w:p w:rsidR="00EC1A78" w:rsidRPr="00EC1A78" w:rsidRDefault="00EC1A78" w:rsidP="00EC1A78">
      <w:pPr>
        <w:tabs>
          <w:tab w:val="left" w:pos="1134"/>
        </w:tabs>
        <w:jc w:val="center"/>
        <w:rPr>
          <w:sz w:val="22"/>
          <w:szCs w:val="22"/>
        </w:rPr>
      </w:pPr>
      <w:r w:rsidRPr="00EC1A78">
        <w:rPr>
          <w:sz w:val="22"/>
          <w:szCs w:val="22"/>
        </w:rPr>
        <w:t>Список литературы</w:t>
      </w:r>
    </w:p>
    <w:p w:rsidR="00EC1A78" w:rsidRPr="00EC1A78" w:rsidRDefault="00EC1A78" w:rsidP="00EC1A78">
      <w:pPr>
        <w:tabs>
          <w:tab w:val="left" w:pos="1134"/>
        </w:tabs>
        <w:ind w:firstLine="426"/>
        <w:jc w:val="both"/>
        <w:rPr>
          <w:sz w:val="22"/>
          <w:szCs w:val="22"/>
        </w:rPr>
      </w:pPr>
      <w:r w:rsidRPr="00EC1A78">
        <w:rPr>
          <w:sz w:val="22"/>
          <w:szCs w:val="22"/>
        </w:rPr>
        <w:t>1. Федеральный закон Российской Федерации «О борьбе с те</w:t>
      </w:r>
      <w:r w:rsidRPr="00EC1A78">
        <w:rPr>
          <w:sz w:val="22"/>
          <w:szCs w:val="22"/>
        </w:rPr>
        <w:t>р</w:t>
      </w:r>
      <w:r w:rsidRPr="00EC1A78">
        <w:rPr>
          <w:sz w:val="22"/>
          <w:szCs w:val="22"/>
        </w:rPr>
        <w:t>роризмом» от 25.07.1998 г. № 130–ФЗ. // Собрание Законодател</w:t>
      </w:r>
      <w:r w:rsidRPr="00EC1A78">
        <w:rPr>
          <w:sz w:val="22"/>
          <w:szCs w:val="22"/>
        </w:rPr>
        <w:t>ь</w:t>
      </w:r>
      <w:r w:rsidRPr="00EC1A78">
        <w:rPr>
          <w:sz w:val="22"/>
          <w:szCs w:val="22"/>
        </w:rPr>
        <w:t>ства Российской Федерации, 1998. № 31.</w:t>
      </w:r>
    </w:p>
    <w:p w:rsidR="00EC1A78" w:rsidRPr="00EC1A78" w:rsidRDefault="00EC1A78" w:rsidP="00EC1A78">
      <w:pPr>
        <w:tabs>
          <w:tab w:val="left" w:pos="1134"/>
        </w:tabs>
        <w:ind w:firstLine="426"/>
        <w:jc w:val="both"/>
        <w:rPr>
          <w:b/>
          <w:sz w:val="22"/>
          <w:szCs w:val="22"/>
        </w:rPr>
      </w:pPr>
      <w:r w:rsidRPr="00EC1A78">
        <w:rPr>
          <w:sz w:val="22"/>
          <w:szCs w:val="22"/>
        </w:rPr>
        <w:t>2. Соснин, В. А. Психология современного терроризма / В. А. Соснин. – М.: Форум, 2010. – 159 с.</w:t>
      </w:r>
    </w:p>
    <w:p w:rsidR="00EC1A78" w:rsidRDefault="00EC1A78" w:rsidP="00EC1A78">
      <w:pPr>
        <w:tabs>
          <w:tab w:val="left" w:pos="1134"/>
        </w:tabs>
        <w:ind w:firstLine="426"/>
        <w:jc w:val="both"/>
        <w:rPr>
          <w:sz w:val="22"/>
          <w:szCs w:val="22"/>
        </w:rPr>
      </w:pPr>
    </w:p>
    <w:p w:rsidR="00EC2599" w:rsidRPr="00EC1A78" w:rsidRDefault="00EC2599" w:rsidP="00641206">
      <w:pPr>
        <w:tabs>
          <w:tab w:val="left" w:pos="1134"/>
        </w:tabs>
        <w:jc w:val="both"/>
        <w:rPr>
          <w:sz w:val="22"/>
          <w:szCs w:val="22"/>
        </w:rPr>
      </w:pPr>
    </w:p>
    <w:p w:rsidR="00EC1A78" w:rsidRPr="00E62E4B" w:rsidRDefault="00EC1A78" w:rsidP="00EC1A78">
      <w:pPr>
        <w:rPr>
          <w:rFonts w:eastAsiaTheme="minorHAnsi"/>
          <w:sz w:val="22"/>
          <w:szCs w:val="22"/>
          <w:lang w:eastAsia="en-US"/>
        </w:rPr>
      </w:pPr>
      <w:r w:rsidRPr="00EC1A78">
        <w:rPr>
          <w:rFonts w:eastAsiaTheme="minorHAnsi"/>
          <w:sz w:val="22"/>
          <w:szCs w:val="22"/>
          <w:lang w:eastAsia="en-US"/>
        </w:rPr>
        <w:t>УДК</w:t>
      </w:r>
      <w:r w:rsidRPr="00E62E4B">
        <w:rPr>
          <w:rFonts w:eastAsiaTheme="minorHAnsi"/>
          <w:sz w:val="22"/>
          <w:szCs w:val="22"/>
          <w:lang w:eastAsia="en-US"/>
        </w:rPr>
        <w:t xml:space="preserve"> 347.963</w:t>
      </w:r>
    </w:p>
    <w:p w:rsidR="00EC1A78" w:rsidRPr="00E62E4B" w:rsidRDefault="00EC1A78" w:rsidP="00EC1A78">
      <w:pPr>
        <w:jc w:val="center"/>
        <w:rPr>
          <w:rFonts w:eastAsiaTheme="minorHAnsi"/>
          <w:sz w:val="24"/>
          <w:szCs w:val="24"/>
          <w:lang w:eastAsia="en-US"/>
        </w:rPr>
      </w:pPr>
    </w:p>
    <w:p w:rsidR="00EC1A78" w:rsidRPr="00E62E4B"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Проблема</w:t>
      </w:r>
      <w:r w:rsidRPr="00E62E4B">
        <w:rPr>
          <w:rFonts w:eastAsiaTheme="minorHAnsi"/>
          <w:b/>
          <w:sz w:val="24"/>
          <w:szCs w:val="24"/>
          <w:lang w:eastAsia="en-US"/>
        </w:rPr>
        <w:t xml:space="preserve"> </w:t>
      </w:r>
      <w:r w:rsidRPr="00EC1A78">
        <w:rPr>
          <w:rFonts w:eastAsiaTheme="minorHAnsi"/>
          <w:b/>
          <w:sz w:val="24"/>
          <w:szCs w:val="24"/>
          <w:lang w:eastAsia="en-US"/>
        </w:rPr>
        <w:t>определения</w:t>
      </w:r>
      <w:r w:rsidRPr="00E62E4B">
        <w:rPr>
          <w:rFonts w:eastAsiaTheme="minorHAnsi"/>
          <w:b/>
          <w:sz w:val="24"/>
          <w:szCs w:val="24"/>
          <w:lang w:eastAsia="en-US"/>
        </w:rPr>
        <w:t xml:space="preserve"> </w:t>
      </w:r>
      <w:r w:rsidRPr="00EC1A78">
        <w:rPr>
          <w:rFonts w:eastAsiaTheme="minorHAnsi"/>
          <w:b/>
          <w:sz w:val="24"/>
          <w:szCs w:val="24"/>
          <w:lang w:eastAsia="en-US"/>
        </w:rPr>
        <w:t>границ</w:t>
      </w:r>
      <w:r w:rsidRPr="00E62E4B">
        <w:rPr>
          <w:rFonts w:eastAsiaTheme="minorHAnsi"/>
          <w:b/>
          <w:sz w:val="24"/>
          <w:szCs w:val="24"/>
          <w:lang w:eastAsia="en-US"/>
        </w:rPr>
        <w:t xml:space="preserve"> </w:t>
      </w:r>
      <w:r w:rsidRPr="00EC1A78">
        <w:rPr>
          <w:rFonts w:eastAsiaTheme="minorHAnsi"/>
          <w:b/>
          <w:sz w:val="24"/>
          <w:szCs w:val="24"/>
          <w:lang w:eastAsia="en-US"/>
        </w:rPr>
        <w:t>особо</w:t>
      </w:r>
      <w:r w:rsidRPr="00E62E4B">
        <w:rPr>
          <w:rFonts w:eastAsiaTheme="minorHAnsi"/>
          <w:b/>
          <w:sz w:val="24"/>
          <w:szCs w:val="24"/>
          <w:lang w:eastAsia="en-US"/>
        </w:rPr>
        <w:t xml:space="preserve"> </w:t>
      </w:r>
      <w:r w:rsidRPr="00EC1A78">
        <w:rPr>
          <w:rFonts w:eastAsiaTheme="minorHAnsi"/>
          <w:b/>
          <w:sz w:val="24"/>
          <w:szCs w:val="24"/>
          <w:lang w:eastAsia="en-US"/>
        </w:rPr>
        <w:t>охраняемых</w:t>
      </w:r>
      <w:r w:rsidRPr="00E62E4B">
        <w:rPr>
          <w:rFonts w:eastAsiaTheme="minorHAnsi"/>
          <w:b/>
          <w:sz w:val="24"/>
          <w:szCs w:val="24"/>
          <w:lang w:eastAsia="en-US"/>
        </w:rPr>
        <w:t xml:space="preserve"> </w:t>
      </w:r>
      <w:r w:rsidR="00EC2599" w:rsidRPr="00E62E4B">
        <w:rPr>
          <w:rFonts w:eastAsiaTheme="minorHAnsi"/>
          <w:b/>
          <w:sz w:val="24"/>
          <w:szCs w:val="24"/>
          <w:lang w:eastAsia="en-US"/>
        </w:rPr>
        <w:br/>
      </w:r>
      <w:r w:rsidRPr="00EC1A78">
        <w:rPr>
          <w:rFonts w:eastAsiaTheme="minorHAnsi"/>
          <w:b/>
          <w:sz w:val="24"/>
          <w:szCs w:val="24"/>
          <w:lang w:eastAsia="en-US"/>
        </w:rPr>
        <w:t>природных</w:t>
      </w:r>
      <w:r w:rsidRPr="00E62E4B">
        <w:rPr>
          <w:rFonts w:eastAsiaTheme="minorHAnsi"/>
          <w:b/>
          <w:sz w:val="24"/>
          <w:szCs w:val="24"/>
          <w:lang w:eastAsia="en-US"/>
        </w:rPr>
        <w:t xml:space="preserve"> </w:t>
      </w:r>
      <w:r w:rsidRPr="00EC1A78">
        <w:rPr>
          <w:rFonts w:eastAsiaTheme="minorHAnsi"/>
          <w:b/>
          <w:sz w:val="24"/>
          <w:szCs w:val="24"/>
          <w:lang w:eastAsia="en-US"/>
        </w:rPr>
        <w:t>территорий</w:t>
      </w:r>
      <w:r w:rsidRPr="00E62E4B">
        <w:rPr>
          <w:rFonts w:eastAsiaTheme="minorHAnsi"/>
          <w:b/>
          <w:sz w:val="24"/>
          <w:szCs w:val="24"/>
          <w:lang w:eastAsia="en-US"/>
        </w:rPr>
        <w:t xml:space="preserve">: </w:t>
      </w:r>
      <w:r w:rsidRPr="00EC1A78">
        <w:rPr>
          <w:rFonts w:eastAsiaTheme="minorHAnsi"/>
          <w:b/>
          <w:sz w:val="24"/>
          <w:szCs w:val="24"/>
          <w:lang w:eastAsia="en-US"/>
        </w:rPr>
        <w:t>роль</w:t>
      </w:r>
      <w:r w:rsidRPr="00E62E4B">
        <w:rPr>
          <w:rFonts w:eastAsiaTheme="minorHAnsi"/>
          <w:b/>
          <w:sz w:val="24"/>
          <w:szCs w:val="24"/>
          <w:lang w:eastAsia="en-US"/>
        </w:rPr>
        <w:t xml:space="preserve"> </w:t>
      </w:r>
      <w:r w:rsidRPr="00EC1A78">
        <w:rPr>
          <w:rFonts w:eastAsiaTheme="minorHAnsi"/>
          <w:b/>
          <w:sz w:val="24"/>
          <w:szCs w:val="24"/>
          <w:lang w:eastAsia="en-US"/>
        </w:rPr>
        <w:t>органов</w:t>
      </w:r>
      <w:r w:rsidRPr="00E62E4B">
        <w:rPr>
          <w:rFonts w:eastAsiaTheme="minorHAnsi"/>
          <w:b/>
          <w:sz w:val="24"/>
          <w:szCs w:val="24"/>
          <w:lang w:eastAsia="en-US"/>
        </w:rPr>
        <w:t xml:space="preserve"> </w:t>
      </w:r>
      <w:r w:rsidRPr="00EC1A78">
        <w:rPr>
          <w:rFonts w:eastAsiaTheme="minorHAnsi"/>
          <w:b/>
          <w:sz w:val="24"/>
          <w:szCs w:val="24"/>
          <w:lang w:eastAsia="en-US"/>
        </w:rPr>
        <w:t>прокуратуры</w:t>
      </w:r>
    </w:p>
    <w:p w:rsidR="00EC1A78" w:rsidRPr="00EC1A78" w:rsidRDefault="00EC1A78" w:rsidP="00EC1A78">
      <w:pPr>
        <w:ind w:firstLine="425"/>
        <w:jc w:val="center"/>
        <w:rPr>
          <w:rFonts w:eastAsiaTheme="minorHAnsi"/>
          <w:b/>
          <w:sz w:val="24"/>
          <w:szCs w:val="24"/>
          <w:lang w:val="en-US" w:eastAsia="en-US"/>
        </w:rPr>
      </w:pPr>
      <w:r w:rsidRPr="00EC1A78">
        <w:rPr>
          <w:rFonts w:eastAsiaTheme="minorHAnsi"/>
          <w:b/>
          <w:sz w:val="24"/>
          <w:szCs w:val="24"/>
          <w:lang w:val="en-US" w:eastAsia="en-US"/>
        </w:rPr>
        <w:t>The problem of determining the boundaries of specially protected natural areas: the role of the prosecution authorities</w:t>
      </w:r>
    </w:p>
    <w:p w:rsidR="00EC1A78" w:rsidRPr="00EC1A78" w:rsidRDefault="00EC1A78" w:rsidP="00EC1A78">
      <w:pPr>
        <w:ind w:firstLine="425"/>
        <w:jc w:val="center"/>
        <w:rPr>
          <w:rFonts w:eastAsiaTheme="minorHAnsi"/>
          <w:sz w:val="22"/>
          <w:szCs w:val="24"/>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Машкина Т.</w:t>
      </w:r>
      <w:r w:rsidR="00EC2599">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студентка 4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Ильницкая Л.</w:t>
      </w:r>
      <w:r w:rsidR="00EC2599">
        <w:rPr>
          <w:rFonts w:eastAsiaTheme="minorHAnsi"/>
          <w:sz w:val="22"/>
          <w:szCs w:val="22"/>
          <w:lang w:eastAsia="en-US"/>
        </w:rPr>
        <w:t xml:space="preserve"> </w:t>
      </w:r>
      <w:r w:rsidRPr="00EC1A78">
        <w:rPr>
          <w:rFonts w:eastAsiaTheme="minorHAnsi"/>
          <w:sz w:val="22"/>
          <w:szCs w:val="22"/>
          <w:lang w:eastAsia="en-US"/>
        </w:rPr>
        <w:t>И.,</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уголовного процесса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EC2599">
        <w:rPr>
          <w:rFonts w:eastAsiaTheme="minorHAnsi"/>
          <w:sz w:val="22"/>
          <w:szCs w:val="22"/>
          <w:lang w:eastAsia="en-US"/>
        </w:rPr>
        <w:t xml:space="preserve"> </w:t>
      </w:r>
      <w:r w:rsidRPr="00EC1A78">
        <w:rPr>
          <w:rFonts w:eastAsiaTheme="minorHAnsi"/>
          <w:sz w:val="22"/>
          <w:szCs w:val="22"/>
          <w:lang w:eastAsia="en-US"/>
        </w:rPr>
        <w:t>Т.Трубилина</w:t>
      </w:r>
    </w:p>
    <w:p w:rsidR="00EC1A78" w:rsidRPr="00EC1A78" w:rsidRDefault="00EC1A78" w:rsidP="00EC1A78">
      <w:pPr>
        <w:ind w:firstLine="425"/>
        <w:jc w:val="center"/>
        <w:rPr>
          <w:rFonts w:eastAsiaTheme="minorHAnsi"/>
          <w:sz w:val="22"/>
          <w:szCs w:val="22"/>
          <w:lang w:eastAsia="en-US"/>
        </w:rPr>
      </w:pP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eastAsia="en-US"/>
        </w:rPr>
        <w:t>АННОТАЦИЯ: В статье проведен анализ состояния законности на особо охраняемых природных территориях, а также деятельн</w:t>
      </w:r>
      <w:r w:rsidRPr="00EC1A78">
        <w:rPr>
          <w:rFonts w:eastAsiaTheme="minorHAnsi"/>
          <w:sz w:val="22"/>
          <w:szCs w:val="22"/>
          <w:lang w:eastAsia="en-US"/>
        </w:rPr>
        <w:t>о</w:t>
      </w:r>
      <w:r w:rsidRPr="00EC1A78">
        <w:rPr>
          <w:rFonts w:eastAsiaTheme="minorHAnsi"/>
          <w:sz w:val="22"/>
          <w:szCs w:val="22"/>
          <w:lang w:eastAsia="en-US"/>
        </w:rPr>
        <w:t>сти органов прокуратуры в обеспечении законности. Выявлена</w:t>
      </w:r>
      <w:r w:rsidRPr="00EC1A78">
        <w:rPr>
          <w:rFonts w:eastAsiaTheme="minorHAnsi"/>
          <w:sz w:val="22"/>
          <w:szCs w:val="22"/>
          <w:lang w:val="en-US" w:eastAsia="en-US"/>
        </w:rPr>
        <w:t xml:space="preserve"> </w:t>
      </w:r>
      <w:r w:rsidRPr="00EC1A78">
        <w:rPr>
          <w:rFonts w:eastAsiaTheme="minorHAnsi"/>
          <w:sz w:val="22"/>
          <w:szCs w:val="22"/>
          <w:lang w:eastAsia="en-US"/>
        </w:rPr>
        <w:t>необходимость</w:t>
      </w:r>
      <w:r w:rsidRPr="00EC1A78">
        <w:rPr>
          <w:rFonts w:eastAsiaTheme="minorHAnsi"/>
          <w:sz w:val="22"/>
          <w:szCs w:val="22"/>
          <w:lang w:val="en-US" w:eastAsia="en-US"/>
        </w:rPr>
        <w:t xml:space="preserve"> </w:t>
      </w:r>
      <w:r w:rsidRPr="00EC1A78">
        <w:rPr>
          <w:rFonts w:eastAsiaTheme="minorHAnsi"/>
          <w:sz w:val="22"/>
          <w:szCs w:val="22"/>
          <w:lang w:eastAsia="en-US"/>
        </w:rPr>
        <w:t>повышения</w:t>
      </w:r>
      <w:r w:rsidRPr="00EC1A78">
        <w:rPr>
          <w:rFonts w:eastAsiaTheme="minorHAnsi"/>
          <w:sz w:val="22"/>
          <w:szCs w:val="22"/>
          <w:lang w:val="en-US" w:eastAsia="en-US"/>
        </w:rPr>
        <w:t xml:space="preserve"> </w:t>
      </w:r>
      <w:r w:rsidRPr="00EC1A78">
        <w:rPr>
          <w:rFonts w:eastAsiaTheme="minorHAnsi"/>
          <w:sz w:val="22"/>
          <w:szCs w:val="22"/>
          <w:lang w:eastAsia="en-US"/>
        </w:rPr>
        <w:t>эффективности</w:t>
      </w:r>
      <w:r w:rsidRPr="00EC1A78">
        <w:rPr>
          <w:rFonts w:eastAsiaTheme="minorHAnsi"/>
          <w:sz w:val="22"/>
          <w:szCs w:val="22"/>
          <w:lang w:val="en-US" w:eastAsia="en-US"/>
        </w:rPr>
        <w:t xml:space="preserve"> </w:t>
      </w:r>
      <w:r w:rsidRPr="00EC1A78">
        <w:rPr>
          <w:rFonts w:eastAsiaTheme="minorHAnsi"/>
          <w:sz w:val="22"/>
          <w:szCs w:val="22"/>
          <w:lang w:eastAsia="en-US"/>
        </w:rPr>
        <w:t>организации</w:t>
      </w:r>
      <w:r w:rsidRPr="00EC1A78">
        <w:rPr>
          <w:rFonts w:eastAsiaTheme="minorHAnsi"/>
          <w:sz w:val="22"/>
          <w:szCs w:val="22"/>
          <w:lang w:val="en-US" w:eastAsia="en-US"/>
        </w:rPr>
        <w:t xml:space="preserve"> </w:t>
      </w:r>
      <w:r w:rsidRPr="00EC1A78">
        <w:rPr>
          <w:rFonts w:eastAsiaTheme="minorHAnsi"/>
          <w:sz w:val="22"/>
          <w:szCs w:val="22"/>
          <w:lang w:eastAsia="en-US"/>
        </w:rPr>
        <w:t>прокуро</w:t>
      </w:r>
      <w:r w:rsidRPr="00EC1A78">
        <w:rPr>
          <w:rFonts w:eastAsiaTheme="minorHAnsi"/>
          <w:sz w:val="22"/>
          <w:szCs w:val="22"/>
          <w:lang w:eastAsia="en-US"/>
        </w:rPr>
        <w:t>р</w:t>
      </w:r>
      <w:r w:rsidRPr="00EC1A78">
        <w:rPr>
          <w:rFonts w:eastAsiaTheme="minorHAnsi"/>
          <w:sz w:val="22"/>
          <w:szCs w:val="22"/>
          <w:lang w:eastAsia="en-US"/>
        </w:rPr>
        <w:t>ских</w:t>
      </w:r>
      <w:r w:rsidRPr="00EC1A78">
        <w:rPr>
          <w:rFonts w:eastAsiaTheme="minorHAnsi"/>
          <w:sz w:val="22"/>
          <w:szCs w:val="22"/>
          <w:lang w:val="en-US" w:eastAsia="en-US"/>
        </w:rPr>
        <w:t xml:space="preserve"> </w:t>
      </w:r>
      <w:r w:rsidRPr="00EC1A78">
        <w:rPr>
          <w:rFonts w:eastAsiaTheme="minorHAnsi"/>
          <w:sz w:val="22"/>
          <w:szCs w:val="22"/>
          <w:lang w:eastAsia="en-US"/>
        </w:rPr>
        <w:t>проверок</w:t>
      </w:r>
      <w:r w:rsidRPr="00EC1A78">
        <w:rPr>
          <w:rFonts w:eastAsiaTheme="minorHAnsi"/>
          <w:sz w:val="22"/>
          <w:szCs w:val="22"/>
          <w:lang w:val="en-US" w:eastAsia="en-US"/>
        </w:rPr>
        <w:t xml:space="preserve">.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analyzes the state of legality in specially protected natural areas, as well as the activities of the prosecution a</w:t>
      </w:r>
      <w:r w:rsidRPr="00EC1A78">
        <w:rPr>
          <w:rFonts w:eastAsiaTheme="minorHAnsi"/>
          <w:sz w:val="22"/>
          <w:szCs w:val="22"/>
          <w:lang w:val="en-US" w:eastAsia="en-US"/>
        </w:rPr>
        <w:t>u</w:t>
      </w:r>
      <w:r w:rsidRPr="00EC1A78">
        <w:rPr>
          <w:rFonts w:eastAsiaTheme="minorHAnsi"/>
          <w:sz w:val="22"/>
          <w:szCs w:val="22"/>
          <w:lang w:val="en-US" w:eastAsia="en-US"/>
        </w:rPr>
        <w:t>thorities in ensuring legality. The need to improve the effectiveness of the organization of prosecutorial inspections is revealed.</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КЛЮЧЕВЫЕ СЛОВА: прокуратура, прокурорский надзор, особо охраняемые природные территории</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prosecutor's office, prosecutor's supervision, specia</w:t>
      </w:r>
      <w:r w:rsidRPr="00EC1A78">
        <w:rPr>
          <w:rFonts w:eastAsiaTheme="minorHAnsi"/>
          <w:sz w:val="22"/>
          <w:szCs w:val="22"/>
          <w:lang w:val="en-US" w:eastAsia="en-US"/>
        </w:rPr>
        <w:t>l</w:t>
      </w:r>
      <w:r w:rsidRPr="00EC1A78">
        <w:rPr>
          <w:rFonts w:eastAsiaTheme="minorHAnsi"/>
          <w:sz w:val="22"/>
          <w:szCs w:val="22"/>
          <w:lang w:val="en-US" w:eastAsia="en-US"/>
        </w:rPr>
        <w:t>ly protected natural areas</w:t>
      </w:r>
    </w:p>
    <w:p w:rsidR="00EC1A78" w:rsidRPr="00EC1A78" w:rsidRDefault="00EC1A78" w:rsidP="00EC1A78">
      <w:pPr>
        <w:ind w:firstLine="425"/>
        <w:jc w:val="both"/>
        <w:rPr>
          <w:rFonts w:eastAsiaTheme="minorHAnsi"/>
          <w:sz w:val="24"/>
          <w:szCs w:val="24"/>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Особо охраняемые природные территории [</w:t>
      </w:r>
      <w:r w:rsidRPr="00EC1A78">
        <w:rPr>
          <w:rFonts w:eastAsiaTheme="minorHAnsi"/>
          <w:sz w:val="22"/>
          <w:szCs w:val="22"/>
          <w:lang w:eastAsia="en-US"/>
        </w:rPr>
        <w:fldChar w:fldCharType="begin"/>
      </w:r>
      <w:r w:rsidRPr="00EC1A78">
        <w:rPr>
          <w:rFonts w:eastAsiaTheme="minorHAnsi"/>
          <w:sz w:val="22"/>
          <w:szCs w:val="22"/>
          <w:lang w:eastAsia="en-US"/>
        </w:rPr>
        <w:instrText xml:space="preserve"> REF _Ref509354656 \r \h  \* MERGEFORMAT </w:instrText>
      </w:r>
      <w:r w:rsidRPr="00EC1A78">
        <w:rPr>
          <w:rFonts w:eastAsiaTheme="minorHAnsi"/>
          <w:sz w:val="22"/>
          <w:szCs w:val="22"/>
          <w:lang w:eastAsia="en-US"/>
        </w:rPr>
      </w:r>
      <w:r w:rsidRPr="00EC1A78">
        <w:rPr>
          <w:rFonts w:eastAsiaTheme="minorHAnsi"/>
          <w:sz w:val="22"/>
          <w:szCs w:val="22"/>
          <w:lang w:eastAsia="en-US"/>
        </w:rPr>
        <w:fldChar w:fldCharType="separate"/>
      </w:r>
      <w:r w:rsidR="009D0151">
        <w:rPr>
          <w:rFonts w:eastAsiaTheme="minorHAnsi"/>
          <w:sz w:val="22"/>
          <w:szCs w:val="22"/>
          <w:lang w:eastAsia="en-US"/>
        </w:rPr>
        <w:t>0</w:t>
      </w:r>
      <w:r w:rsidRPr="00EC1A78">
        <w:rPr>
          <w:rFonts w:eastAsiaTheme="minorHAnsi"/>
          <w:sz w:val="22"/>
          <w:szCs w:val="22"/>
          <w:lang w:eastAsia="en-US"/>
        </w:rPr>
        <w:fldChar w:fldCharType="end"/>
      </w:r>
      <w:r w:rsidRPr="00EC1A78">
        <w:rPr>
          <w:rFonts w:eastAsiaTheme="minorHAnsi"/>
          <w:sz w:val="22"/>
          <w:szCs w:val="22"/>
          <w:lang w:eastAsia="en-US"/>
        </w:rPr>
        <w:t>] (далее – ООПТ) предназначены для сохранения уникальных и типичных природных комплексов, разнообразия животного и растительного мира, их г</w:t>
      </w:r>
      <w:r w:rsidRPr="00EC1A78">
        <w:rPr>
          <w:rFonts w:eastAsiaTheme="minorHAnsi"/>
          <w:sz w:val="22"/>
          <w:szCs w:val="22"/>
          <w:lang w:eastAsia="en-US"/>
        </w:rPr>
        <w:t>е</w:t>
      </w:r>
      <w:r w:rsidRPr="00EC1A78">
        <w:rPr>
          <w:rFonts w:eastAsiaTheme="minorHAnsi"/>
          <w:sz w:val="22"/>
          <w:szCs w:val="22"/>
          <w:lang w:eastAsia="en-US"/>
        </w:rPr>
        <w:t>нетического фонда, достопримечательных природных образований. Их существование способствует сохранению уникальных явлений природы, редких видов животных и растений, внесенных в Красные книги Российской Федерации и Краснодарского края. Однако, н</w:t>
      </w:r>
      <w:r w:rsidRPr="00EC1A78">
        <w:rPr>
          <w:rFonts w:eastAsiaTheme="minorHAnsi"/>
          <w:sz w:val="22"/>
          <w:szCs w:val="22"/>
          <w:lang w:eastAsia="en-US"/>
        </w:rPr>
        <w:t>е</w:t>
      </w:r>
      <w:r w:rsidRPr="00EC1A78">
        <w:rPr>
          <w:rFonts w:eastAsiaTheme="minorHAnsi"/>
          <w:sz w:val="22"/>
          <w:szCs w:val="22"/>
          <w:lang w:eastAsia="en-US"/>
        </w:rPr>
        <w:t>смотря на всю важность этих объектов анализ состояния законности на ООПТ свидетельствует о наличии многочисленных нарушений федерального законодательства, допускаемых уполномоченными органами государственной власти всех уровней.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Особую проблему составляет осуществление государственного кадастрового учета земель особо охраняемых природных террит</w:t>
      </w:r>
      <w:r w:rsidRPr="00EC1A78">
        <w:rPr>
          <w:rFonts w:eastAsiaTheme="minorHAnsi"/>
          <w:sz w:val="22"/>
          <w:szCs w:val="22"/>
          <w:lang w:eastAsia="en-US"/>
        </w:rPr>
        <w:t>о</w:t>
      </w:r>
      <w:r w:rsidRPr="00EC1A78">
        <w:rPr>
          <w:rFonts w:eastAsiaTheme="minorHAnsi"/>
          <w:sz w:val="22"/>
          <w:szCs w:val="22"/>
          <w:lang w:eastAsia="en-US"/>
        </w:rPr>
        <w:t xml:space="preserve">рий.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 в настоящее время вне государственного кадастрового учета остаются земельные участки более 5 тыс. ООПТ. В больши</w:t>
      </w:r>
      <w:r w:rsidRPr="00EC1A78">
        <w:rPr>
          <w:rFonts w:eastAsiaTheme="minorHAnsi"/>
          <w:sz w:val="22"/>
          <w:szCs w:val="22"/>
          <w:lang w:eastAsia="en-US"/>
        </w:rPr>
        <w:t>н</w:t>
      </w:r>
      <w:r w:rsidRPr="00EC1A78">
        <w:rPr>
          <w:rFonts w:eastAsiaTheme="minorHAnsi"/>
          <w:sz w:val="22"/>
          <w:szCs w:val="22"/>
          <w:lang w:eastAsia="en-US"/>
        </w:rPr>
        <w:t>стве субъектов РФ региональными органами исполнительной вл</w:t>
      </w:r>
      <w:r w:rsidRPr="00EC1A78">
        <w:rPr>
          <w:rFonts w:eastAsiaTheme="minorHAnsi"/>
          <w:sz w:val="22"/>
          <w:szCs w:val="22"/>
          <w:lang w:eastAsia="en-US"/>
        </w:rPr>
        <w:t>а</w:t>
      </w:r>
      <w:r w:rsidRPr="00EC1A78">
        <w:rPr>
          <w:rFonts w:eastAsiaTheme="minorHAnsi"/>
          <w:sz w:val="22"/>
          <w:szCs w:val="22"/>
          <w:lang w:eastAsia="en-US"/>
        </w:rPr>
        <w:t>сти ненадлежаще организовано управление особо охраняемыми природными территориями, а именно, работа по ведению госуда</w:t>
      </w:r>
      <w:r w:rsidRPr="00EC1A78">
        <w:rPr>
          <w:rFonts w:eastAsiaTheme="minorHAnsi"/>
          <w:sz w:val="22"/>
          <w:szCs w:val="22"/>
          <w:lang w:eastAsia="en-US"/>
        </w:rPr>
        <w:t>р</w:t>
      </w:r>
      <w:r w:rsidRPr="00EC1A78">
        <w:rPr>
          <w:rFonts w:eastAsiaTheme="minorHAnsi"/>
          <w:sz w:val="22"/>
          <w:szCs w:val="22"/>
          <w:lang w:eastAsia="en-US"/>
        </w:rPr>
        <w:t>ственного кадастра ООПТ регионального и местного значения, уч</w:t>
      </w:r>
      <w:r w:rsidRPr="00EC1A78">
        <w:rPr>
          <w:rFonts w:eastAsiaTheme="minorHAnsi"/>
          <w:sz w:val="22"/>
          <w:szCs w:val="22"/>
          <w:lang w:eastAsia="en-US"/>
        </w:rPr>
        <w:t>е</w:t>
      </w:r>
      <w:r w:rsidRPr="00EC1A78">
        <w:rPr>
          <w:rFonts w:eastAsiaTheme="minorHAnsi"/>
          <w:sz w:val="22"/>
          <w:szCs w:val="22"/>
          <w:lang w:eastAsia="en-US"/>
        </w:rPr>
        <w:t>ту данных территорий при планировании социально–экономического развития субъекта.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 примеру, после принятых Волжской межрегиональной пр</w:t>
      </w:r>
      <w:r w:rsidRPr="00EC1A78">
        <w:rPr>
          <w:rFonts w:eastAsiaTheme="minorHAnsi"/>
          <w:sz w:val="22"/>
          <w:szCs w:val="22"/>
          <w:lang w:eastAsia="en-US"/>
        </w:rPr>
        <w:t>и</w:t>
      </w:r>
      <w:r w:rsidRPr="00EC1A78">
        <w:rPr>
          <w:rFonts w:eastAsiaTheme="minorHAnsi"/>
          <w:sz w:val="22"/>
          <w:szCs w:val="22"/>
          <w:lang w:eastAsia="en-US"/>
        </w:rPr>
        <w:t>родоохранной прокуратурой мер в государственный кадастр недв</w:t>
      </w:r>
      <w:r w:rsidRPr="00EC1A78">
        <w:rPr>
          <w:rFonts w:eastAsiaTheme="minorHAnsi"/>
          <w:sz w:val="22"/>
          <w:szCs w:val="22"/>
          <w:lang w:eastAsia="en-US"/>
        </w:rPr>
        <w:t>и</w:t>
      </w:r>
      <w:r w:rsidRPr="00EC1A78">
        <w:rPr>
          <w:rFonts w:eastAsiaTheme="minorHAnsi"/>
          <w:sz w:val="22"/>
          <w:szCs w:val="22"/>
          <w:lang w:eastAsia="en-US"/>
        </w:rPr>
        <w:t>жимости внесены сведения о 112 региональных и местных запове</w:t>
      </w:r>
      <w:r w:rsidRPr="00EC1A78">
        <w:rPr>
          <w:rFonts w:eastAsiaTheme="minorHAnsi"/>
          <w:sz w:val="22"/>
          <w:szCs w:val="22"/>
          <w:lang w:eastAsia="en-US"/>
        </w:rPr>
        <w:t>д</w:t>
      </w:r>
      <w:r w:rsidRPr="00EC1A78">
        <w:rPr>
          <w:rFonts w:eastAsiaTheme="minorHAnsi"/>
          <w:sz w:val="22"/>
          <w:szCs w:val="22"/>
          <w:lang w:eastAsia="en-US"/>
        </w:rPr>
        <w:t>ных территориях. По требованию прокуратуры Республики Алтай в территориальный орган Росреестра направлены документы о пост</w:t>
      </w:r>
      <w:r w:rsidRPr="00EC1A78">
        <w:rPr>
          <w:rFonts w:eastAsiaTheme="minorHAnsi"/>
          <w:sz w:val="22"/>
          <w:szCs w:val="22"/>
          <w:lang w:eastAsia="en-US"/>
        </w:rPr>
        <w:t>а</w:t>
      </w:r>
      <w:r w:rsidRPr="00EC1A78">
        <w:rPr>
          <w:rFonts w:eastAsiaTheme="minorHAnsi"/>
          <w:sz w:val="22"/>
          <w:szCs w:val="22"/>
          <w:lang w:eastAsia="en-US"/>
        </w:rPr>
        <w:t>новке на учет границ 43 ООПТ республиканского значения. В Ив</w:t>
      </w:r>
      <w:r w:rsidRPr="00EC1A78">
        <w:rPr>
          <w:rFonts w:eastAsiaTheme="minorHAnsi"/>
          <w:sz w:val="22"/>
          <w:szCs w:val="22"/>
          <w:lang w:eastAsia="en-US"/>
        </w:rPr>
        <w:t>а</w:t>
      </w:r>
      <w:r w:rsidRPr="00EC1A78">
        <w:rPr>
          <w:rFonts w:eastAsiaTheme="minorHAnsi"/>
          <w:sz w:val="22"/>
          <w:szCs w:val="22"/>
          <w:lang w:eastAsia="en-US"/>
        </w:rPr>
        <w:t>новской области по заявлениям прокуроров на органы местного с</w:t>
      </w:r>
      <w:r w:rsidRPr="00EC1A78">
        <w:rPr>
          <w:rFonts w:eastAsiaTheme="minorHAnsi"/>
          <w:sz w:val="22"/>
          <w:szCs w:val="22"/>
          <w:lang w:eastAsia="en-US"/>
        </w:rPr>
        <w:t>а</w:t>
      </w:r>
      <w:r w:rsidRPr="00EC1A78">
        <w:rPr>
          <w:rFonts w:eastAsiaTheme="minorHAnsi"/>
          <w:sz w:val="22"/>
          <w:szCs w:val="22"/>
          <w:lang w:eastAsia="en-US"/>
        </w:rPr>
        <w:t>моуправления в судебном порядке возложена обязанность по пр</w:t>
      </w:r>
      <w:r w:rsidRPr="00EC1A78">
        <w:rPr>
          <w:rFonts w:eastAsiaTheme="minorHAnsi"/>
          <w:sz w:val="22"/>
          <w:szCs w:val="22"/>
          <w:lang w:eastAsia="en-US"/>
        </w:rPr>
        <w:t>и</w:t>
      </w:r>
      <w:r w:rsidRPr="00EC1A78">
        <w:rPr>
          <w:rFonts w:eastAsiaTheme="minorHAnsi"/>
          <w:sz w:val="22"/>
          <w:szCs w:val="22"/>
          <w:lang w:eastAsia="en-US"/>
        </w:rPr>
        <w:t>нятию мер по постановке на кадастровый учет 160 ООПТ муниц</w:t>
      </w:r>
      <w:r w:rsidRPr="00EC1A78">
        <w:rPr>
          <w:rFonts w:eastAsiaTheme="minorHAnsi"/>
          <w:sz w:val="22"/>
          <w:szCs w:val="22"/>
          <w:lang w:eastAsia="en-US"/>
        </w:rPr>
        <w:t>и</w:t>
      </w:r>
      <w:r w:rsidRPr="00EC1A78">
        <w:rPr>
          <w:rFonts w:eastAsiaTheme="minorHAnsi"/>
          <w:sz w:val="22"/>
          <w:szCs w:val="22"/>
          <w:lang w:eastAsia="en-US"/>
        </w:rPr>
        <w:t>пального уровня.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Такая практика, к сожалению, не распространена по всей те</w:t>
      </w:r>
      <w:r w:rsidRPr="00EC1A78">
        <w:rPr>
          <w:rFonts w:eastAsiaTheme="minorHAnsi"/>
          <w:sz w:val="22"/>
          <w:szCs w:val="22"/>
          <w:lang w:eastAsia="en-US"/>
        </w:rPr>
        <w:t>р</w:t>
      </w:r>
      <w:r w:rsidRPr="00EC1A78">
        <w:rPr>
          <w:rFonts w:eastAsiaTheme="minorHAnsi"/>
          <w:sz w:val="22"/>
          <w:szCs w:val="22"/>
          <w:lang w:eastAsia="en-US"/>
        </w:rPr>
        <w:t>ритории РФ. Например, на территории Краснодарского края до сих пор не решена судьба заказника «Лотос», расположенного в Пр</w:t>
      </w:r>
      <w:r w:rsidRPr="00EC1A78">
        <w:rPr>
          <w:rFonts w:eastAsiaTheme="minorHAnsi"/>
          <w:sz w:val="22"/>
          <w:szCs w:val="22"/>
          <w:lang w:eastAsia="en-US"/>
        </w:rPr>
        <w:t>и</w:t>
      </w:r>
      <w:r w:rsidRPr="00EC1A78">
        <w:rPr>
          <w:rFonts w:eastAsiaTheme="minorHAnsi"/>
          <w:sz w:val="22"/>
          <w:szCs w:val="22"/>
          <w:lang w:eastAsia="en-US"/>
        </w:rPr>
        <w:t>морско–Ахтарском районе. В настоящее время границы водно–болотных угодий, имеющих международное значение, в состав к</w:t>
      </w:r>
      <w:r w:rsidRPr="00EC1A78">
        <w:rPr>
          <w:rFonts w:eastAsiaTheme="minorHAnsi"/>
          <w:sz w:val="22"/>
          <w:szCs w:val="22"/>
          <w:lang w:eastAsia="en-US"/>
        </w:rPr>
        <w:t>о</w:t>
      </w:r>
      <w:r w:rsidRPr="00EC1A78">
        <w:rPr>
          <w:rFonts w:eastAsiaTheme="minorHAnsi"/>
          <w:sz w:val="22"/>
          <w:szCs w:val="22"/>
          <w:lang w:eastAsia="en-US"/>
        </w:rPr>
        <w:t>торых в том числе отнесены Ахтаро– Гривенская система лиманов Восточного Приазовья и группы лиманов между рекой Кубань и рекой Протокой Восточного Приазовья Краснодарского края, не утверждены, что не позволяет органам местного самоуправления поселений муниципального образования распоряжаться земельн</w:t>
      </w:r>
      <w:r w:rsidRPr="00EC1A78">
        <w:rPr>
          <w:rFonts w:eastAsiaTheme="minorHAnsi"/>
          <w:sz w:val="22"/>
          <w:szCs w:val="22"/>
          <w:lang w:eastAsia="en-US"/>
        </w:rPr>
        <w:t>ы</w:t>
      </w:r>
      <w:r w:rsidRPr="00EC1A78">
        <w:rPr>
          <w:rFonts w:eastAsiaTheme="minorHAnsi"/>
          <w:sz w:val="22"/>
          <w:szCs w:val="22"/>
          <w:lang w:eastAsia="en-US"/>
        </w:rPr>
        <w:t>ми участками на территории Приморско–Ахтарского района, так как земельные участки входят в границы особо охраняемых терр</w:t>
      </w:r>
      <w:r w:rsidRPr="00EC1A78">
        <w:rPr>
          <w:rFonts w:eastAsiaTheme="minorHAnsi"/>
          <w:sz w:val="22"/>
          <w:szCs w:val="22"/>
          <w:lang w:eastAsia="en-US"/>
        </w:rPr>
        <w:t>и</w:t>
      </w:r>
      <w:r w:rsidRPr="00EC1A78">
        <w:rPr>
          <w:rFonts w:eastAsiaTheme="minorHAnsi"/>
          <w:sz w:val="22"/>
          <w:szCs w:val="22"/>
          <w:lang w:eastAsia="en-US"/>
        </w:rPr>
        <w:t>торий международного значения и в силу Федерального закона от 14 марта 1995 года № 33–ФЗ «Об особо охраняемых природных территориях», в соответствии со статьей 94, 95 Земельного кодекса Российской Федерации являются федеральной собственностью и находятся в ведении федеральных органов государственной власти.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связи с тем, что органом исполнительной власти Краснода</w:t>
      </w:r>
      <w:r w:rsidRPr="00EC1A78">
        <w:rPr>
          <w:rFonts w:eastAsiaTheme="minorHAnsi"/>
          <w:sz w:val="22"/>
          <w:szCs w:val="22"/>
          <w:lang w:eastAsia="en-US"/>
        </w:rPr>
        <w:t>р</w:t>
      </w:r>
      <w:r w:rsidRPr="00EC1A78">
        <w:rPr>
          <w:rFonts w:eastAsiaTheme="minorHAnsi"/>
          <w:sz w:val="22"/>
          <w:szCs w:val="22"/>
          <w:lang w:eastAsia="en-US"/>
        </w:rPr>
        <w:t>ского края решение о создании ООПТ не принято, границы не утверждены. Данный факт способствует незаконному исключению многих чрезвычайно ценных участков водно–болотных угодий в целях их предоставления в долгосрочную аренду.</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Это лишь один пример отсутствия должного исполнения своих обязанностей органами исполнительной власти субъекта РФ, а по всей России их бесчисленное множество.</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Однако, складывается такая ситуация, что при осуществлении порученных прокуратурами субъектов проверок исполнения зак</w:t>
      </w:r>
      <w:r w:rsidRPr="00EC1A78">
        <w:rPr>
          <w:rFonts w:eastAsiaTheme="minorHAnsi"/>
          <w:sz w:val="22"/>
          <w:szCs w:val="22"/>
          <w:lang w:eastAsia="en-US"/>
        </w:rPr>
        <w:t>о</w:t>
      </w:r>
      <w:r w:rsidRPr="00EC1A78">
        <w:rPr>
          <w:rFonts w:eastAsiaTheme="minorHAnsi"/>
          <w:sz w:val="22"/>
          <w:szCs w:val="22"/>
          <w:lang w:eastAsia="en-US"/>
        </w:rPr>
        <w:t>нодательства об особо охраняемых природных территориях прок</w:t>
      </w:r>
      <w:r w:rsidRPr="00EC1A78">
        <w:rPr>
          <w:rFonts w:eastAsiaTheme="minorHAnsi"/>
          <w:sz w:val="22"/>
          <w:szCs w:val="22"/>
          <w:lang w:eastAsia="en-US"/>
        </w:rPr>
        <w:t>у</w:t>
      </w:r>
      <w:r w:rsidRPr="00EC1A78">
        <w:rPr>
          <w:rFonts w:eastAsiaTheme="minorHAnsi"/>
          <w:sz w:val="22"/>
          <w:szCs w:val="22"/>
          <w:lang w:eastAsia="en-US"/>
        </w:rPr>
        <w:t>рорами районов и городов выявляется большое количество наруш</w:t>
      </w:r>
      <w:r w:rsidRPr="00EC1A78">
        <w:rPr>
          <w:rFonts w:eastAsiaTheme="minorHAnsi"/>
          <w:sz w:val="22"/>
          <w:szCs w:val="22"/>
          <w:lang w:eastAsia="en-US"/>
        </w:rPr>
        <w:t>е</w:t>
      </w:r>
      <w:r w:rsidRPr="00EC1A78">
        <w:rPr>
          <w:rFonts w:eastAsiaTheme="minorHAnsi"/>
          <w:sz w:val="22"/>
          <w:szCs w:val="22"/>
          <w:lang w:eastAsia="en-US"/>
        </w:rPr>
        <w:t>ний, связанных с ООПТ регионального значения, а принять меры реагирования для их устранения не представляется возможным в силу того, что полномочиями по инициированию государственного кадастрового учета ООПТ регионального значения наделены орг</w:t>
      </w:r>
      <w:r w:rsidRPr="00EC1A78">
        <w:rPr>
          <w:rFonts w:eastAsiaTheme="minorHAnsi"/>
          <w:sz w:val="22"/>
          <w:szCs w:val="22"/>
          <w:lang w:eastAsia="en-US"/>
        </w:rPr>
        <w:t>а</w:t>
      </w:r>
      <w:r w:rsidRPr="00EC1A78">
        <w:rPr>
          <w:rFonts w:eastAsiaTheme="minorHAnsi"/>
          <w:sz w:val="22"/>
          <w:szCs w:val="22"/>
          <w:lang w:eastAsia="en-US"/>
        </w:rPr>
        <w:t>ны исполнительной власти субъектов.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деятельность по устранению нарушений з</w:t>
      </w:r>
      <w:r w:rsidRPr="00EC1A78">
        <w:rPr>
          <w:rFonts w:eastAsiaTheme="minorHAnsi"/>
          <w:sz w:val="22"/>
          <w:szCs w:val="22"/>
          <w:lang w:eastAsia="en-US"/>
        </w:rPr>
        <w:t>а</w:t>
      </w:r>
      <w:r w:rsidRPr="00EC1A78">
        <w:rPr>
          <w:rFonts w:eastAsiaTheme="minorHAnsi"/>
          <w:sz w:val="22"/>
          <w:szCs w:val="22"/>
          <w:lang w:eastAsia="en-US"/>
        </w:rPr>
        <w:t>труднена, тем что территориальные органы прокуратуры полном</w:t>
      </w:r>
      <w:r w:rsidRPr="00EC1A78">
        <w:rPr>
          <w:rFonts w:eastAsiaTheme="minorHAnsi"/>
          <w:sz w:val="22"/>
          <w:szCs w:val="22"/>
          <w:lang w:eastAsia="en-US"/>
        </w:rPr>
        <w:t>о</w:t>
      </w:r>
      <w:r w:rsidRPr="00EC1A78">
        <w:rPr>
          <w:rFonts w:eastAsiaTheme="minorHAnsi"/>
          <w:sz w:val="22"/>
          <w:szCs w:val="22"/>
          <w:lang w:eastAsia="en-US"/>
        </w:rPr>
        <w:t>чий для внесения представления об устранении нарушений закон</w:t>
      </w:r>
      <w:r w:rsidRPr="00EC1A78">
        <w:rPr>
          <w:rFonts w:eastAsiaTheme="minorHAnsi"/>
          <w:sz w:val="22"/>
          <w:szCs w:val="22"/>
          <w:lang w:eastAsia="en-US"/>
        </w:rPr>
        <w:t>о</w:t>
      </w:r>
      <w:r w:rsidRPr="00EC1A78">
        <w:rPr>
          <w:rFonts w:eastAsiaTheme="minorHAnsi"/>
          <w:sz w:val="22"/>
          <w:szCs w:val="22"/>
          <w:lang w:eastAsia="en-US"/>
        </w:rPr>
        <w:lastRenderedPageBreak/>
        <w:t>дательства в региональные органы исполнительной власти не им</w:t>
      </w:r>
      <w:r w:rsidRPr="00EC1A78">
        <w:rPr>
          <w:rFonts w:eastAsiaTheme="minorHAnsi"/>
          <w:sz w:val="22"/>
          <w:szCs w:val="22"/>
          <w:lang w:eastAsia="en-US"/>
        </w:rPr>
        <w:t>е</w:t>
      </w:r>
      <w:r w:rsidRPr="00EC1A78">
        <w:rPr>
          <w:rFonts w:eastAsiaTheme="minorHAnsi"/>
          <w:sz w:val="22"/>
          <w:szCs w:val="22"/>
          <w:lang w:eastAsia="en-US"/>
        </w:rPr>
        <w:t>ют.</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При таких обстоятельствах, считаем более эффективным не п</w:t>
      </w:r>
      <w:r w:rsidRPr="00EC1A78">
        <w:rPr>
          <w:rFonts w:eastAsiaTheme="minorHAnsi"/>
          <w:sz w:val="22"/>
          <w:szCs w:val="22"/>
          <w:lang w:eastAsia="en-US"/>
        </w:rPr>
        <w:t>о</w:t>
      </w:r>
      <w:r w:rsidRPr="00EC1A78">
        <w:rPr>
          <w:rFonts w:eastAsiaTheme="minorHAnsi"/>
          <w:sz w:val="22"/>
          <w:szCs w:val="22"/>
          <w:lang w:eastAsia="en-US"/>
        </w:rPr>
        <w:t>ручать проверку исполнения законодательства об ООПТ районным и городским прокурорам, а проводить их непосредственно органами прокуратуры субъектов, которые наделены полномочиями по ре</w:t>
      </w:r>
      <w:r w:rsidRPr="00EC1A78">
        <w:rPr>
          <w:rFonts w:eastAsiaTheme="minorHAnsi"/>
          <w:sz w:val="22"/>
          <w:szCs w:val="22"/>
          <w:lang w:eastAsia="en-US"/>
        </w:rPr>
        <w:t>а</w:t>
      </w:r>
      <w:r w:rsidRPr="00EC1A78">
        <w:rPr>
          <w:rFonts w:eastAsiaTheme="minorHAnsi"/>
          <w:sz w:val="22"/>
          <w:szCs w:val="22"/>
          <w:lang w:eastAsia="en-US"/>
        </w:rPr>
        <w:t>гированию на факты нарушений законодательства, допущенные органами власти субъектов.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завершение следует отметить, что в сложившихся условиях только эффективная надзорная деятельность органов прокуратуры, обладающих широкими полномочиями, сможет обеспечить зако</w:t>
      </w:r>
      <w:r w:rsidRPr="00EC1A78">
        <w:rPr>
          <w:rFonts w:eastAsiaTheme="minorHAnsi"/>
          <w:sz w:val="22"/>
          <w:szCs w:val="22"/>
          <w:lang w:eastAsia="en-US"/>
        </w:rPr>
        <w:t>н</w:t>
      </w:r>
      <w:r w:rsidRPr="00EC1A78">
        <w:rPr>
          <w:rFonts w:eastAsiaTheme="minorHAnsi"/>
          <w:sz w:val="22"/>
          <w:szCs w:val="22"/>
          <w:lang w:eastAsia="en-US"/>
        </w:rPr>
        <w:t>ность на особо охраняемых природных территориях РФ.</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bookmarkStart w:id="24" w:name="_Ref509354656"/>
      <w:r w:rsidRPr="00EC1A78">
        <w:rPr>
          <w:rFonts w:eastAsiaTheme="minorHAnsi"/>
          <w:sz w:val="22"/>
          <w:szCs w:val="22"/>
          <w:lang w:eastAsia="en-US"/>
        </w:rPr>
        <w:t>1. Федеральный закон «Об особо охраняемых природных те</w:t>
      </w:r>
      <w:r w:rsidRPr="00EC1A78">
        <w:rPr>
          <w:rFonts w:eastAsiaTheme="minorHAnsi"/>
          <w:sz w:val="22"/>
          <w:szCs w:val="22"/>
          <w:lang w:eastAsia="en-US"/>
        </w:rPr>
        <w:t>р</w:t>
      </w:r>
      <w:r w:rsidRPr="00EC1A78">
        <w:rPr>
          <w:rFonts w:eastAsiaTheme="minorHAnsi"/>
          <w:sz w:val="22"/>
          <w:szCs w:val="22"/>
          <w:lang w:eastAsia="en-US"/>
        </w:rPr>
        <w:t>риториях» от 14.03.1995 N 33–ФЗ // СПС «КонсультантПлюс»</w:t>
      </w:r>
      <w:bookmarkEnd w:id="24"/>
    </w:p>
    <w:p w:rsidR="00EC1A78" w:rsidRDefault="00EC1A78" w:rsidP="00EC1A78">
      <w:pPr>
        <w:jc w:val="both"/>
        <w:rPr>
          <w:rFonts w:eastAsiaTheme="minorHAnsi"/>
          <w:sz w:val="22"/>
          <w:szCs w:val="22"/>
          <w:lang w:eastAsia="en-US"/>
        </w:rPr>
      </w:pPr>
    </w:p>
    <w:p w:rsidR="00EC2599" w:rsidRPr="00EC1A78" w:rsidRDefault="00EC2599" w:rsidP="00EC1A78">
      <w:pPr>
        <w:jc w:val="both"/>
        <w:rPr>
          <w:rFonts w:eastAsiaTheme="minorHAnsi"/>
          <w:sz w:val="22"/>
          <w:szCs w:val="22"/>
          <w:lang w:eastAsia="en-US"/>
        </w:rPr>
      </w:pPr>
    </w:p>
    <w:p w:rsidR="00EC1A78" w:rsidRPr="00EC1A78" w:rsidRDefault="00EC1A78" w:rsidP="00EC1A78">
      <w:pPr>
        <w:rPr>
          <w:rFonts w:eastAsiaTheme="minorHAnsi"/>
          <w:color w:val="000000" w:themeColor="text1"/>
          <w:sz w:val="22"/>
          <w:szCs w:val="22"/>
          <w:lang w:eastAsia="en-US"/>
        </w:rPr>
      </w:pPr>
      <w:r w:rsidRPr="00EC1A78">
        <w:rPr>
          <w:rFonts w:eastAsiaTheme="minorHAnsi"/>
          <w:sz w:val="22"/>
          <w:szCs w:val="22"/>
          <w:lang w:eastAsia="en-US"/>
        </w:rPr>
        <w:t>УДК 343.12</w:t>
      </w:r>
    </w:p>
    <w:p w:rsidR="00EC1A78" w:rsidRPr="00EC1A78" w:rsidRDefault="00EC1A78" w:rsidP="00EC1A78">
      <w:pPr>
        <w:jc w:val="center"/>
        <w:rPr>
          <w:rFonts w:eastAsiaTheme="minorHAnsi"/>
          <w:bCs/>
          <w:color w:val="000000" w:themeColor="text1"/>
          <w:sz w:val="22"/>
          <w:szCs w:val="22"/>
          <w:lang w:eastAsia="en-US"/>
        </w:rPr>
      </w:pPr>
    </w:p>
    <w:p w:rsidR="00EC1A78" w:rsidRPr="00EC1A78" w:rsidRDefault="00EC1A78" w:rsidP="00EC1A78">
      <w:pPr>
        <w:jc w:val="center"/>
        <w:rPr>
          <w:rFonts w:eastAsiaTheme="minorHAnsi"/>
          <w:b/>
          <w:bCs/>
          <w:color w:val="000000" w:themeColor="text1"/>
          <w:sz w:val="24"/>
          <w:szCs w:val="24"/>
          <w:lang w:eastAsia="en-US"/>
        </w:rPr>
      </w:pPr>
      <w:r w:rsidRPr="00EC1A78">
        <w:rPr>
          <w:rFonts w:eastAsiaTheme="minorHAnsi"/>
          <w:b/>
          <w:bCs/>
          <w:color w:val="000000" w:themeColor="text1"/>
          <w:sz w:val="24"/>
          <w:szCs w:val="24"/>
          <w:lang w:eastAsia="en-US"/>
        </w:rPr>
        <w:t xml:space="preserve">Нормативное регулирование полномочий </w:t>
      </w: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bCs/>
          <w:color w:val="000000" w:themeColor="text1"/>
          <w:sz w:val="24"/>
          <w:szCs w:val="24"/>
          <w:lang w:eastAsia="en-US"/>
        </w:rPr>
        <w:t>военной прокуратуры РФ</w:t>
      </w:r>
    </w:p>
    <w:p w:rsidR="00EC1A78" w:rsidRPr="00EC1A78" w:rsidRDefault="00EC1A78" w:rsidP="00EC1A78">
      <w:pPr>
        <w:jc w:val="center"/>
        <w:rPr>
          <w:rFonts w:eastAsiaTheme="minorHAnsi"/>
          <w:b/>
          <w:color w:val="000000" w:themeColor="text1"/>
          <w:sz w:val="24"/>
          <w:szCs w:val="24"/>
          <w:lang w:val="en-US" w:eastAsia="en-US"/>
        </w:rPr>
      </w:pPr>
      <w:r w:rsidRPr="00EC1A78">
        <w:rPr>
          <w:rFonts w:eastAsiaTheme="minorHAnsi"/>
          <w:b/>
          <w:color w:val="000000" w:themeColor="text1"/>
          <w:sz w:val="24"/>
          <w:szCs w:val="24"/>
          <w:lang w:val="en-US" w:eastAsia="en-US"/>
        </w:rPr>
        <w:t>Normative regulation of powers</w:t>
      </w:r>
    </w:p>
    <w:p w:rsidR="00EC1A78" w:rsidRPr="00EC1A78" w:rsidRDefault="00EC1A78" w:rsidP="00EC1A78">
      <w:pPr>
        <w:jc w:val="center"/>
        <w:rPr>
          <w:rFonts w:eastAsiaTheme="minorHAnsi"/>
          <w:b/>
          <w:color w:val="000000" w:themeColor="text1"/>
          <w:sz w:val="24"/>
          <w:szCs w:val="24"/>
          <w:lang w:val="en-US" w:eastAsia="en-US"/>
        </w:rPr>
      </w:pPr>
      <w:r w:rsidRPr="00EC1A78">
        <w:rPr>
          <w:rFonts w:eastAsiaTheme="minorHAnsi"/>
          <w:b/>
          <w:color w:val="000000" w:themeColor="text1"/>
          <w:sz w:val="24"/>
          <w:szCs w:val="24"/>
          <w:lang w:val="en-US" w:eastAsia="en-US"/>
        </w:rPr>
        <w:t>Russian military Prosecutor's office</w:t>
      </w:r>
    </w:p>
    <w:p w:rsidR="00EC1A78" w:rsidRPr="00EC1A78" w:rsidRDefault="00EC1A78" w:rsidP="00EC1A78">
      <w:pPr>
        <w:jc w:val="right"/>
        <w:rPr>
          <w:rFonts w:eastAsiaTheme="minorHAnsi"/>
          <w:color w:val="000000" w:themeColor="text1"/>
          <w:sz w:val="22"/>
          <w:szCs w:val="22"/>
          <w:lang w:val="en-US" w:eastAsia="en-US"/>
        </w:rPr>
      </w:pP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Мельничук Г.</w:t>
      </w:r>
      <w:r w:rsidR="00EC2599">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Ю.,</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EC2599">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EC2599">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center"/>
        <w:rPr>
          <w:rFonts w:eastAsiaTheme="minorHAnsi"/>
          <w:color w:val="000000" w:themeColor="text1"/>
          <w:lang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АННОТАЦИЯ: В статье исследованы отдельные вопросы но</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eastAsia="en-US"/>
        </w:rPr>
        <w:t>мативно–правового регулирования полномочий военной прокур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туры. Военный прокурор осуществляет контроль за законностью и исполнением законодательных актов РФ в пределах своей комп</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тенции. </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sz w:val="22"/>
          <w:lang w:eastAsia="en-US"/>
        </w:rPr>
        <w:lastRenderedPageBreak/>
        <w:t>А</w:t>
      </w:r>
      <w:r w:rsidRPr="00EC1A78">
        <w:rPr>
          <w:rFonts w:eastAsiaTheme="minorHAnsi"/>
          <w:sz w:val="22"/>
          <w:lang w:val="en-US" w:eastAsia="en-US"/>
        </w:rPr>
        <w:t>NNOTATION</w:t>
      </w:r>
      <w:r w:rsidRPr="00EC1A78">
        <w:rPr>
          <w:rFonts w:eastAsiaTheme="minorHAnsi"/>
          <w:color w:val="000000" w:themeColor="text1"/>
          <w:sz w:val="22"/>
          <w:szCs w:val="22"/>
          <w:lang w:val="en-US" w:eastAsia="en-US"/>
        </w:rPr>
        <w:t>: The article deals with some issues of legal regul</w:t>
      </w:r>
      <w:r w:rsidRPr="00EC1A78">
        <w:rPr>
          <w:rFonts w:eastAsiaTheme="minorHAnsi"/>
          <w:color w:val="000000" w:themeColor="text1"/>
          <w:sz w:val="22"/>
          <w:szCs w:val="22"/>
          <w:lang w:val="en-US" w:eastAsia="en-US"/>
        </w:rPr>
        <w:t>a</w:t>
      </w:r>
      <w:r w:rsidRPr="00EC1A78">
        <w:rPr>
          <w:rFonts w:eastAsiaTheme="minorHAnsi"/>
          <w:color w:val="000000" w:themeColor="text1"/>
          <w:sz w:val="22"/>
          <w:szCs w:val="22"/>
          <w:lang w:val="en-US" w:eastAsia="en-US"/>
        </w:rPr>
        <w:t>tion of the powers of the military Prosecutor's office. The military Pros</w:t>
      </w:r>
      <w:r w:rsidRPr="00EC1A78">
        <w:rPr>
          <w:rFonts w:eastAsiaTheme="minorHAnsi"/>
          <w:color w:val="000000" w:themeColor="text1"/>
          <w:sz w:val="22"/>
          <w:szCs w:val="22"/>
          <w:lang w:val="en-US" w:eastAsia="en-US"/>
        </w:rPr>
        <w:t>e</w:t>
      </w:r>
      <w:r w:rsidRPr="00EC1A78">
        <w:rPr>
          <w:rFonts w:eastAsiaTheme="minorHAnsi"/>
          <w:color w:val="000000" w:themeColor="text1"/>
          <w:sz w:val="22"/>
          <w:szCs w:val="22"/>
          <w:lang w:val="en-US" w:eastAsia="en-US"/>
        </w:rPr>
        <w:t>cutor exercises control over the legality and execution of legislative acts of the Russian Federation within the competence.</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КЛЮЧЕВЫЕ СЛОВА: нарушение прав и свобод военносл</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 xml:space="preserve">жащих, прокурор, военная прокуратура </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KEYWORDS: violation of the rights and freedoms of servicemen, Prosecutor, military Prosecutor's office.</w:t>
      </w:r>
    </w:p>
    <w:p w:rsidR="00EC1A78" w:rsidRPr="00EC1A78" w:rsidRDefault="00EC1A78" w:rsidP="00EC1A78">
      <w:pPr>
        <w:ind w:firstLine="426"/>
        <w:jc w:val="both"/>
        <w:rPr>
          <w:rFonts w:eastAsiaTheme="minorHAnsi"/>
          <w:color w:val="000000" w:themeColor="text1"/>
          <w:sz w:val="22"/>
          <w:szCs w:val="22"/>
          <w:lang w:val="en-US" w:eastAsia="en-US"/>
        </w:rPr>
      </w:pP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Военная прокуратура Российской Федерации представляет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бой специализированную структуру единой централизованной с</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стемы Прокуратуры РФ, которая осуществляет функции надзора за исполнением законов в Вооруженных Силах РФ, в других войсках и воинских формированиях, выполняет функции уголовного пресл</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дования. Работники данной структуры могут осуществлять прок</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рорский надзор, участвовать в рассмотрении дел судами, осущест</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лять координационную деятельность, вести тесное международное сотрудничество.</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Нормативное регулирование, закрепляющее круг полномочий работников военной прокуратуры РФ, составляют нормы права,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держащиеся в различных источниках. С момента основания вое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 xml:space="preserve">ной прокуратуры РФ прошло уже более 140 лет, впоследствии чего, нормативная база совершенствовалась, улучшалась.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настоящее время, основным законом, в соответствии с кот</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рым сотрудники военной прокуратуры осуществляют свою де</w:t>
      </w:r>
      <w:r w:rsidRPr="00EC1A78">
        <w:rPr>
          <w:rFonts w:eastAsiaTheme="minorHAnsi"/>
          <w:color w:val="000000" w:themeColor="text1"/>
          <w:sz w:val="22"/>
          <w:szCs w:val="22"/>
          <w:lang w:eastAsia="en-US"/>
        </w:rPr>
        <w:t>я</w:t>
      </w:r>
      <w:r w:rsidRPr="00EC1A78">
        <w:rPr>
          <w:rFonts w:eastAsiaTheme="minorHAnsi"/>
          <w:color w:val="000000" w:themeColor="text1"/>
          <w:sz w:val="22"/>
          <w:szCs w:val="22"/>
          <w:lang w:eastAsia="en-US"/>
        </w:rPr>
        <w:t>тельность, является федеральный закон № 2202–1 от 17.01.1992 г</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да «О Прокуратуре РФ» [1]. В соответствии со ст. 47 данного зак</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на, военные прокуроры имеют право: участвовать в заседаниях ко</w:t>
      </w:r>
      <w:r w:rsidRPr="00EC1A78">
        <w:rPr>
          <w:rFonts w:eastAsiaTheme="minorHAnsi"/>
          <w:color w:val="000000" w:themeColor="text1"/>
          <w:sz w:val="22"/>
          <w:szCs w:val="22"/>
          <w:lang w:eastAsia="en-US"/>
        </w:rPr>
        <w:t>л</w:t>
      </w:r>
      <w:r w:rsidRPr="00EC1A78">
        <w:rPr>
          <w:rFonts w:eastAsiaTheme="minorHAnsi"/>
          <w:color w:val="000000" w:themeColor="text1"/>
          <w:sz w:val="22"/>
          <w:szCs w:val="22"/>
          <w:lang w:eastAsia="en-US"/>
        </w:rPr>
        <w:t>легий, военных советах, служебных совещаниях органов военного управления; по предоставлению удостоверения, беспрепятственно входить на территорию и в помещения воинских частей, предпри</w:t>
      </w:r>
      <w:r w:rsidRPr="00EC1A78">
        <w:rPr>
          <w:rFonts w:eastAsiaTheme="minorHAnsi"/>
          <w:color w:val="000000" w:themeColor="text1"/>
          <w:sz w:val="22"/>
          <w:szCs w:val="22"/>
          <w:lang w:eastAsia="en-US"/>
        </w:rPr>
        <w:t>я</w:t>
      </w:r>
      <w:r w:rsidRPr="00EC1A78">
        <w:rPr>
          <w:rFonts w:eastAsiaTheme="minorHAnsi"/>
          <w:color w:val="000000" w:themeColor="text1"/>
          <w:sz w:val="22"/>
          <w:szCs w:val="22"/>
          <w:lang w:eastAsia="en-US"/>
        </w:rPr>
        <w:t>тий, учреждений, организаций и штабов, независимо от устано</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ленного в нем режима, иметь доступ ко всем документам и матер</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алам воинских частей; проверять законность содержания осужде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 xml:space="preserve">ных, арестованных и задержанных военнослужащих и др.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Данный принцип закреплен в Международной Конвенции 1950 года (г. Рим) «О защите прав и свобод человека». Исходя из этого, в соответствии с ч.4 ст. 15 Конституции РФ принципы и нормы ме</w:t>
      </w:r>
      <w:r w:rsidRPr="00EC1A78">
        <w:rPr>
          <w:rFonts w:eastAsiaTheme="minorHAnsi"/>
          <w:color w:val="000000" w:themeColor="text1"/>
          <w:sz w:val="22"/>
          <w:szCs w:val="22"/>
          <w:lang w:eastAsia="en-US"/>
        </w:rPr>
        <w:t>ж</w:t>
      </w:r>
      <w:r w:rsidRPr="00EC1A78">
        <w:rPr>
          <w:rFonts w:eastAsiaTheme="minorHAnsi"/>
          <w:color w:val="000000" w:themeColor="text1"/>
          <w:sz w:val="22"/>
          <w:szCs w:val="22"/>
          <w:lang w:eastAsia="en-US"/>
        </w:rPr>
        <w:lastRenderedPageBreak/>
        <w:t>дународного права являются составной частью правовой системы РФ. Международное сотрудничество органов военной прокуратуры РФ регламентирует ведомственный нормативно–правовой акт: Указ Генерального Прокурора РФ от 30 апреля 2009 года № 95 «Об орг</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низации международного сотрудничества в органах военной прок</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ратуры РФ».</w:t>
      </w:r>
      <w:r w:rsidRPr="00EC1A78">
        <w:rPr>
          <w:rFonts w:eastAsiaTheme="minorHAnsi"/>
          <w:sz w:val="22"/>
          <w:szCs w:val="22"/>
          <w:lang w:eastAsia="en-US"/>
        </w:rPr>
        <w:t xml:space="preserve">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соответствии с приказом № 55 «О подследственности уг</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ловных дел», процессуальную деятельность по осуществлению ко</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троля над органами предварительного расследования по уголовным делам о преступлениях, совершенных военнослужащими, гражд</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нами, проходящими военные сборы, а также лицами гражданского персонала Вооруженных Сил РФ, других войск, осуществляет в</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енный прокурор по месту совершения или окончания преступления [2].</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2008 году в силу вступил Приказ Генеральной Прокуратуры РФ № 84. Он разграничил компетенции территориальных, военных и других специализированных прокуратур. В нем с целью улучш</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ния деятельности прокуратур и разграничения между ними полн</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мочий, на военную прокуратуру возлагаются следующие обязанн</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сти: осуществлять надзор за всеми федеральными органами испо</w:t>
      </w:r>
      <w:r w:rsidRPr="00EC1A78">
        <w:rPr>
          <w:rFonts w:eastAsiaTheme="minorHAnsi"/>
          <w:color w:val="000000" w:themeColor="text1"/>
          <w:sz w:val="22"/>
          <w:szCs w:val="22"/>
          <w:lang w:eastAsia="en-US"/>
        </w:rPr>
        <w:t>л</w:t>
      </w:r>
      <w:r w:rsidRPr="00EC1A78">
        <w:rPr>
          <w:rFonts w:eastAsiaTheme="minorHAnsi"/>
          <w:color w:val="000000" w:themeColor="text1"/>
          <w:sz w:val="22"/>
          <w:szCs w:val="22"/>
          <w:lang w:eastAsia="en-US"/>
        </w:rPr>
        <w:t>нительной власти, в которых законом предусмотрена военная слу</w:t>
      </w:r>
      <w:r w:rsidRPr="00EC1A78">
        <w:rPr>
          <w:rFonts w:eastAsiaTheme="minorHAnsi"/>
          <w:color w:val="000000" w:themeColor="text1"/>
          <w:sz w:val="22"/>
          <w:szCs w:val="22"/>
          <w:lang w:eastAsia="en-US"/>
        </w:rPr>
        <w:t>ж</w:t>
      </w:r>
      <w:r w:rsidRPr="00EC1A78">
        <w:rPr>
          <w:rFonts w:eastAsiaTheme="minorHAnsi"/>
          <w:color w:val="000000" w:themeColor="text1"/>
          <w:sz w:val="22"/>
          <w:szCs w:val="22"/>
          <w:lang w:eastAsia="en-US"/>
        </w:rPr>
        <w:t>ба, за исключением Государственной противопожарной службы, а также, финансируемых за счет местных бюджетов региональных поисково–спасательных отрядов и территориальных поисковых спасательных служб МЧС. Генеральная Прокуратура РФ возлагает на военную прокуратуру обеспечение постоянного взаимодействия при осуществлении надзора, принятия мер по борьбе с преступн</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стью, обмен оперативной информацией с прокуратурами субъектов и иными специализированными прокуратурами РФ. Осуществление организационно–методического руководства подчиненными ей прокуратурами, на основе принципа единства системы органов 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куратуры РФ.</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сфере уголовного преследования сотрудники военной прок</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ратуры РФ руководствуются Уголовным и Уголовно–процессуальным кодексом РФ, в административном судопроизво</w:t>
      </w:r>
      <w:r w:rsidRPr="00EC1A78">
        <w:rPr>
          <w:rFonts w:eastAsiaTheme="minorHAnsi"/>
          <w:color w:val="000000" w:themeColor="text1"/>
          <w:sz w:val="22"/>
          <w:szCs w:val="22"/>
          <w:lang w:eastAsia="en-US"/>
        </w:rPr>
        <w:t>д</w:t>
      </w:r>
      <w:r w:rsidRPr="00EC1A78">
        <w:rPr>
          <w:rFonts w:eastAsiaTheme="minorHAnsi"/>
          <w:color w:val="000000" w:themeColor="text1"/>
          <w:sz w:val="22"/>
          <w:szCs w:val="22"/>
          <w:lang w:eastAsia="en-US"/>
        </w:rPr>
        <w:t>стве – КоАП РФ, а в арбитражном судопроизводстве и гражда</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 xml:space="preserve">ском, соответственно Арбитражным процессуальным кодексом (ст. </w:t>
      </w:r>
      <w:r w:rsidRPr="00EC1A78">
        <w:rPr>
          <w:rFonts w:eastAsiaTheme="minorHAnsi"/>
          <w:color w:val="000000" w:themeColor="text1"/>
          <w:sz w:val="22"/>
          <w:szCs w:val="22"/>
          <w:lang w:eastAsia="en-US"/>
        </w:rPr>
        <w:lastRenderedPageBreak/>
        <w:t>45 АПК РФ) и Гражданско–процессуальным кодексом (ст. 45 ГПК РФ).</w:t>
      </w:r>
    </w:p>
    <w:p w:rsidR="00EC1A78" w:rsidRPr="00EC1A78" w:rsidRDefault="00EC1A78" w:rsidP="00163DEF">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Таким образом, полномочия военных прокуроров РФ обширны и тесно связаны со многими сферами жизни человека. Работа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трудников военной прокуратуры РФ широкомасштабна, ведь их полномочия прописаны в одном федеральном законе, а конкретиз</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руются и дополняются многочисленными ведомственными прик</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 xml:space="preserve">зами и инструкциями. </w:t>
      </w:r>
    </w:p>
    <w:p w:rsidR="00EC1A78" w:rsidRPr="00EC1A78" w:rsidRDefault="00EC1A78" w:rsidP="00EC1A78">
      <w:pPr>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1. О прокуратуре Российской Федерации (с изм. и доп., вступ. в силу с 01.02.2018)// СЗ РФ. –1995. –№ 47. – Ст. 4472. </w:t>
      </w:r>
    </w:p>
    <w:p w:rsidR="00EC1A78" w:rsidRPr="00EC1A78" w:rsidRDefault="00EC1A78" w:rsidP="00EC1A78">
      <w:pPr>
        <w:tabs>
          <w:tab w:val="left" w:pos="284"/>
        </w:tabs>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2. О подследственности уголовных дел: приказ Главной вое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ной прокуратуры от 21.03.2003 № 55// Сборник основных организ</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ционно–распорядительных документов Генпрокуратуры РФ», Изд</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 xml:space="preserve">тельский дом «Автограф». –Тула, –2004 (том 1). </w:t>
      </w:r>
    </w:p>
    <w:p w:rsidR="00EC1A78" w:rsidRPr="00EC1A78" w:rsidRDefault="00EC1A78" w:rsidP="00EC1A78">
      <w:pPr>
        <w:tabs>
          <w:tab w:val="left" w:pos="284"/>
        </w:tabs>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3. О разграничении компетенции территориальных, военных и других специализированных прокуратур: приказ Генеральной 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куратуры РФ от 7 мая 2008 года № 84// В данном виде документ опубликован не был.</w:t>
      </w:r>
    </w:p>
    <w:p w:rsidR="00EC1A78" w:rsidRDefault="00EC1A78" w:rsidP="00EC1A78">
      <w:pPr>
        <w:jc w:val="both"/>
        <w:rPr>
          <w:rFonts w:eastAsiaTheme="minorHAnsi"/>
          <w:sz w:val="22"/>
          <w:szCs w:val="22"/>
          <w:lang w:eastAsia="en-US"/>
        </w:rPr>
      </w:pPr>
    </w:p>
    <w:p w:rsidR="005012A5" w:rsidRPr="00EC1A78" w:rsidRDefault="005012A5" w:rsidP="00EC1A78">
      <w:pPr>
        <w:jc w:val="both"/>
        <w:rPr>
          <w:rFonts w:eastAsiaTheme="minorHAnsi"/>
          <w:sz w:val="22"/>
          <w:szCs w:val="22"/>
          <w:lang w:eastAsia="en-US"/>
        </w:rPr>
      </w:pPr>
    </w:p>
    <w:p w:rsidR="00EC1A78" w:rsidRPr="00EC1A78" w:rsidRDefault="00EC1A78" w:rsidP="00EC1A78">
      <w:pPr>
        <w:shd w:val="clear" w:color="auto" w:fill="FFFFFF"/>
        <w:outlineLvl w:val="0"/>
        <w:rPr>
          <w:rFonts w:eastAsiaTheme="minorHAnsi"/>
          <w:color w:val="000000"/>
          <w:kern w:val="36"/>
          <w:sz w:val="22"/>
          <w:szCs w:val="22"/>
        </w:rPr>
      </w:pPr>
      <w:r w:rsidRPr="00EC1A78">
        <w:rPr>
          <w:rFonts w:eastAsiaTheme="minorHAnsi"/>
          <w:color w:val="000000"/>
          <w:kern w:val="36"/>
          <w:sz w:val="22"/>
          <w:szCs w:val="22"/>
        </w:rPr>
        <w:t>УДК 343.98</w:t>
      </w:r>
    </w:p>
    <w:p w:rsidR="00EC1A78" w:rsidRPr="00EC1A78" w:rsidRDefault="00EC1A78" w:rsidP="00EC1A78">
      <w:pPr>
        <w:ind w:firstLine="425"/>
        <w:jc w:val="center"/>
        <w:rPr>
          <w:rFonts w:eastAsiaTheme="minorHAnsi"/>
          <w:b/>
          <w:bCs/>
          <w:sz w:val="22"/>
          <w:szCs w:val="22"/>
          <w:lang w:eastAsia="en-US"/>
        </w:rPr>
      </w:pPr>
    </w:p>
    <w:p w:rsidR="00EC1A78" w:rsidRPr="00EC1A78" w:rsidRDefault="00EC1A78" w:rsidP="00EC1A78">
      <w:pPr>
        <w:widowControl w:val="0"/>
        <w:ind w:firstLine="425"/>
        <w:jc w:val="center"/>
        <w:rPr>
          <w:rFonts w:eastAsiaTheme="minorHAnsi"/>
          <w:b/>
          <w:bCs/>
          <w:sz w:val="24"/>
          <w:szCs w:val="24"/>
          <w:lang w:eastAsia="en-US"/>
        </w:rPr>
      </w:pPr>
      <w:r w:rsidRPr="00EC1A78">
        <w:rPr>
          <w:rFonts w:eastAsiaTheme="minorHAnsi"/>
          <w:b/>
          <w:bCs/>
          <w:sz w:val="24"/>
          <w:szCs w:val="24"/>
          <w:lang w:eastAsia="en-US"/>
        </w:rPr>
        <w:t xml:space="preserve">Перспектива применения полиграфа </w:t>
      </w:r>
    </w:p>
    <w:p w:rsidR="00EC1A78" w:rsidRPr="00EC1A78" w:rsidRDefault="00EC1A78" w:rsidP="00EC1A78">
      <w:pPr>
        <w:widowControl w:val="0"/>
        <w:ind w:firstLine="425"/>
        <w:jc w:val="center"/>
        <w:rPr>
          <w:rFonts w:eastAsiaTheme="minorHAnsi"/>
          <w:b/>
          <w:bCs/>
          <w:sz w:val="24"/>
          <w:szCs w:val="24"/>
          <w:lang w:eastAsia="en-US"/>
        </w:rPr>
      </w:pPr>
      <w:r w:rsidRPr="00EC1A78">
        <w:rPr>
          <w:rFonts w:eastAsiaTheme="minorHAnsi"/>
          <w:b/>
          <w:bCs/>
          <w:sz w:val="24"/>
          <w:szCs w:val="24"/>
          <w:lang w:eastAsia="en-US"/>
        </w:rPr>
        <w:t>в расследовании преступлений</w:t>
      </w:r>
    </w:p>
    <w:p w:rsidR="00EC1A78" w:rsidRPr="00EC1A78" w:rsidRDefault="00EC1A78" w:rsidP="00163DEF">
      <w:pPr>
        <w:widowControl w:val="0"/>
        <w:tabs>
          <w:tab w:val="left" w:pos="8223"/>
        </w:tabs>
        <w:ind w:firstLine="425"/>
        <w:jc w:val="center"/>
        <w:rPr>
          <w:rFonts w:eastAsiaTheme="minorHAnsi"/>
          <w:b/>
          <w:bCs/>
          <w:color w:val="000000"/>
          <w:sz w:val="24"/>
          <w:szCs w:val="24"/>
          <w:lang w:val="en-US" w:eastAsia="en-US"/>
        </w:rPr>
      </w:pPr>
      <w:r w:rsidRPr="00EC1A78">
        <w:rPr>
          <w:rFonts w:eastAsiaTheme="minorHAnsi"/>
          <w:b/>
          <w:bCs/>
          <w:color w:val="000000"/>
          <w:sz w:val="24"/>
          <w:szCs w:val="24"/>
          <w:lang w:val="en-US" w:eastAsia="en-US"/>
        </w:rPr>
        <w:t>The prospect of polygraph</w:t>
      </w:r>
      <w:r w:rsidR="00163DEF" w:rsidRPr="00163DEF">
        <w:rPr>
          <w:rFonts w:eastAsiaTheme="minorHAnsi"/>
          <w:b/>
          <w:bCs/>
          <w:color w:val="000000"/>
          <w:sz w:val="24"/>
          <w:szCs w:val="24"/>
          <w:lang w:val="en-US" w:eastAsia="en-US"/>
        </w:rPr>
        <w:t xml:space="preserve"> </w:t>
      </w:r>
      <w:r w:rsidRPr="00EC1A78">
        <w:rPr>
          <w:rFonts w:eastAsiaTheme="minorHAnsi"/>
          <w:b/>
          <w:bCs/>
          <w:color w:val="000000"/>
          <w:sz w:val="24"/>
          <w:szCs w:val="24"/>
          <w:lang w:val="en-US" w:eastAsia="en-US"/>
        </w:rPr>
        <w:t>in the investigation of crimes</w:t>
      </w:r>
    </w:p>
    <w:p w:rsidR="00EC1A78" w:rsidRPr="00EC1A78" w:rsidRDefault="00EC1A78" w:rsidP="00EC1A78">
      <w:pPr>
        <w:widowControl w:val="0"/>
        <w:tabs>
          <w:tab w:val="left" w:pos="8223"/>
        </w:tabs>
        <w:ind w:firstLine="425"/>
        <w:jc w:val="right"/>
        <w:rPr>
          <w:rFonts w:eastAsiaTheme="minorHAnsi"/>
          <w:color w:val="000000"/>
          <w:sz w:val="22"/>
          <w:szCs w:val="22"/>
          <w:lang w:val="en-US" w:eastAsia="en-US"/>
        </w:rPr>
      </w:pP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Миланко А.</w:t>
      </w:r>
      <w:r w:rsidR="00EC2599">
        <w:rPr>
          <w:rFonts w:eastAsiaTheme="minorHAnsi"/>
          <w:color w:val="000000"/>
          <w:sz w:val="22"/>
          <w:szCs w:val="22"/>
          <w:lang w:eastAsia="en-US"/>
        </w:rPr>
        <w:t xml:space="preserve"> </w:t>
      </w:r>
      <w:r w:rsidRPr="00EC1A78">
        <w:rPr>
          <w:rFonts w:eastAsiaTheme="minorHAnsi"/>
          <w:color w:val="000000"/>
          <w:sz w:val="22"/>
          <w:szCs w:val="22"/>
          <w:lang w:eastAsia="en-US"/>
        </w:rPr>
        <w:t>М.,</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студент 4–го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sz w:val="22"/>
          <w:szCs w:val="22"/>
        </w:rPr>
        <w:t>Грицаев С</w:t>
      </w:r>
      <w:r w:rsidRPr="00EC1A78">
        <w:rPr>
          <w:rFonts w:eastAsiaTheme="minorHAnsi"/>
          <w:color w:val="000000"/>
          <w:sz w:val="22"/>
          <w:szCs w:val="22"/>
          <w:lang w:eastAsia="en-US"/>
        </w:rPr>
        <w:t>.</w:t>
      </w:r>
      <w:r w:rsidR="00EC2599">
        <w:rPr>
          <w:rFonts w:eastAsiaTheme="minorHAnsi"/>
          <w:color w:val="000000"/>
          <w:sz w:val="22"/>
          <w:szCs w:val="22"/>
          <w:lang w:eastAsia="en-US"/>
        </w:rPr>
        <w:t xml:space="preserve"> </w:t>
      </w:r>
      <w:r w:rsidRPr="00EC1A78">
        <w:rPr>
          <w:rFonts w:eastAsiaTheme="minorHAnsi"/>
          <w:color w:val="000000"/>
          <w:sz w:val="22"/>
          <w:szCs w:val="22"/>
          <w:lang w:eastAsia="en-US"/>
        </w:rPr>
        <w:t>И.,</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доцент кафедры криминалистики</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EC2599">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p>
    <w:p w:rsidR="00EC1A78" w:rsidRPr="00EC1A78" w:rsidRDefault="00EC1A78" w:rsidP="00EC1A78">
      <w:pPr>
        <w:widowControl w:val="0"/>
        <w:tabs>
          <w:tab w:val="left" w:pos="8223"/>
        </w:tabs>
        <w:ind w:firstLine="425"/>
        <w:jc w:val="both"/>
        <w:rPr>
          <w:rFonts w:eastAsiaTheme="minorHAnsi"/>
          <w:color w:val="000000"/>
          <w:sz w:val="22"/>
          <w:szCs w:val="22"/>
          <w:lang w:eastAsia="en-US"/>
        </w:rPr>
      </w:pPr>
      <w:r w:rsidRPr="00EC1A78">
        <w:rPr>
          <w:rFonts w:eastAsiaTheme="minorHAnsi"/>
          <w:color w:val="000000"/>
          <w:sz w:val="22"/>
          <w:szCs w:val="22"/>
          <w:lang w:eastAsia="en-US"/>
        </w:rPr>
        <w:t>АННОТАЦИЯ: Изучена возможность проведения</w:t>
      </w:r>
      <w:r w:rsidRPr="00EC1A78">
        <w:rPr>
          <w:rFonts w:eastAsiaTheme="minorHAnsi"/>
          <w:sz w:val="22"/>
          <w:szCs w:val="22"/>
          <w:lang w:eastAsia="en-US"/>
        </w:rPr>
        <w:t xml:space="preserve"> психофизи</w:t>
      </w:r>
      <w:r w:rsidRPr="00EC1A78">
        <w:rPr>
          <w:rFonts w:eastAsiaTheme="minorHAnsi"/>
          <w:sz w:val="22"/>
          <w:szCs w:val="22"/>
          <w:lang w:eastAsia="en-US"/>
        </w:rPr>
        <w:t>о</w:t>
      </w:r>
      <w:r w:rsidRPr="00EC1A78">
        <w:rPr>
          <w:rFonts w:eastAsiaTheme="minorHAnsi"/>
          <w:sz w:val="22"/>
          <w:szCs w:val="22"/>
          <w:lang w:eastAsia="en-US"/>
        </w:rPr>
        <w:t>логической экспертизы с применением полиграфа в процессе ра</w:t>
      </w:r>
      <w:r w:rsidRPr="00EC1A78">
        <w:rPr>
          <w:rFonts w:eastAsiaTheme="minorHAnsi"/>
          <w:sz w:val="22"/>
          <w:szCs w:val="22"/>
          <w:lang w:eastAsia="en-US"/>
        </w:rPr>
        <w:t>с</w:t>
      </w:r>
      <w:r w:rsidRPr="00EC1A78">
        <w:rPr>
          <w:rFonts w:eastAsiaTheme="minorHAnsi"/>
          <w:sz w:val="22"/>
          <w:szCs w:val="22"/>
          <w:lang w:eastAsia="en-US"/>
        </w:rPr>
        <w:t>следования преступлений</w:t>
      </w:r>
      <w:r w:rsidRPr="00EC1A78">
        <w:rPr>
          <w:rFonts w:eastAsiaTheme="minorHAnsi"/>
          <w:color w:val="000000"/>
          <w:sz w:val="22"/>
          <w:szCs w:val="22"/>
          <w:lang w:eastAsia="en-US"/>
        </w:rPr>
        <w:t>. Доказано, что данная экспертиза не явл</w:t>
      </w:r>
      <w:r w:rsidRPr="00EC1A78">
        <w:rPr>
          <w:rFonts w:eastAsiaTheme="minorHAnsi"/>
          <w:color w:val="000000"/>
          <w:sz w:val="22"/>
          <w:szCs w:val="22"/>
          <w:lang w:eastAsia="en-US"/>
        </w:rPr>
        <w:t>я</w:t>
      </w:r>
      <w:r w:rsidRPr="00EC1A78">
        <w:rPr>
          <w:rFonts w:eastAsiaTheme="minorHAnsi"/>
          <w:color w:val="000000"/>
          <w:sz w:val="22"/>
          <w:szCs w:val="22"/>
          <w:lang w:eastAsia="en-US"/>
        </w:rPr>
        <w:lastRenderedPageBreak/>
        <w:t>ется в настоящее время полноценным родом экспертиз.</w:t>
      </w:r>
    </w:p>
    <w:p w:rsidR="00EC1A78" w:rsidRPr="00EC1A78" w:rsidRDefault="00EC1A78" w:rsidP="00EC1A78">
      <w:pPr>
        <w:widowControl w:val="0"/>
        <w:tabs>
          <w:tab w:val="left" w:pos="8223"/>
        </w:tabs>
        <w:ind w:firstLine="425"/>
        <w:jc w:val="both"/>
        <w:rPr>
          <w:rFonts w:eastAsiaTheme="minorHAnsi"/>
          <w:sz w:val="22"/>
          <w:szCs w:val="22"/>
          <w:lang w:val="en-US" w:eastAsia="en-US"/>
        </w:rPr>
      </w:pPr>
      <w:r w:rsidRPr="00EC1A78">
        <w:rPr>
          <w:rFonts w:eastAsiaTheme="minorHAnsi"/>
          <w:color w:val="000000"/>
          <w:sz w:val="22"/>
          <w:szCs w:val="22"/>
          <w:lang w:val="en-US" w:eastAsia="en-US"/>
        </w:rPr>
        <w:t>ABSTRACT: </w:t>
      </w:r>
      <w:r w:rsidRPr="00EC1A78">
        <w:rPr>
          <w:rFonts w:eastAsiaTheme="minorHAnsi"/>
          <w:sz w:val="22"/>
          <w:szCs w:val="22"/>
          <w:lang w:val="en-US" w:eastAsia="en-US"/>
        </w:rPr>
        <w:t>Possibility of carrying out psychophysiological exa</w:t>
      </w:r>
      <w:r w:rsidRPr="00EC1A78">
        <w:rPr>
          <w:rFonts w:eastAsiaTheme="minorHAnsi"/>
          <w:sz w:val="22"/>
          <w:szCs w:val="22"/>
          <w:lang w:val="en-US" w:eastAsia="en-US"/>
        </w:rPr>
        <w:t>m</w:t>
      </w:r>
      <w:r w:rsidRPr="00EC1A78">
        <w:rPr>
          <w:rFonts w:eastAsiaTheme="minorHAnsi"/>
          <w:sz w:val="22"/>
          <w:szCs w:val="22"/>
          <w:lang w:val="en-US" w:eastAsia="en-US"/>
        </w:rPr>
        <w:t>ination with application of a polygraph in the course of investigation of crimes is studied. It is proved that this expertise is not currently a full–fledged genera of examinations.</w:t>
      </w:r>
    </w:p>
    <w:p w:rsidR="00EC1A78" w:rsidRPr="00EC1A78" w:rsidRDefault="00EC1A78" w:rsidP="00EC1A78">
      <w:pPr>
        <w:widowControl w:val="0"/>
        <w:tabs>
          <w:tab w:val="left" w:pos="8223"/>
        </w:tabs>
        <w:ind w:firstLine="425"/>
        <w:jc w:val="both"/>
        <w:rPr>
          <w:rFonts w:eastAsiaTheme="minorHAnsi"/>
          <w:color w:val="000000"/>
          <w:sz w:val="22"/>
          <w:szCs w:val="22"/>
          <w:lang w:eastAsia="en-US"/>
        </w:rPr>
      </w:pPr>
      <w:r w:rsidRPr="00EC1A78">
        <w:rPr>
          <w:rFonts w:eastAsiaTheme="minorHAnsi"/>
          <w:color w:val="000000"/>
          <w:sz w:val="22"/>
          <w:szCs w:val="22"/>
          <w:lang w:eastAsia="en-US"/>
        </w:rPr>
        <w:t>КЛЮЧЕВЫЕ СЛОВА: полиграф, предварительное расследов</w:t>
      </w:r>
      <w:r w:rsidRPr="00EC1A78">
        <w:rPr>
          <w:rFonts w:eastAsiaTheme="minorHAnsi"/>
          <w:color w:val="000000"/>
          <w:sz w:val="22"/>
          <w:szCs w:val="22"/>
          <w:lang w:eastAsia="en-US"/>
        </w:rPr>
        <w:t>а</w:t>
      </w:r>
      <w:r w:rsidRPr="00EC1A78">
        <w:rPr>
          <w:rFonts w:eastAsiaTheme="minorHAnsi"/>
          <w:color w:val="000000"/>
          <w:sz w:val="22"/>
          <w:szCs w:val="22"/>
          <w:lang w:eastAsia="en-US"/>
        </w:rPr>
        <w:t>ние, судебная экспертиза, опрос, ориентирующая информация.</w:t>
      </w:r>
    </w:p>
    <w:p w:rsidR="00EC1A78" w:rsidRPr="00EC1A78" w:rsidRDefault="00EC1A78" w:rsidP="00EC1A78">
      <w:pPr>
        <w:widowControl w:val="0"/>
        <w:tabs>
          <w:tab w:val="left" w:pos="8223"/>
        </w:tabs>
        <w:ind w:firstLine="425"/>
        <w:jc w:val="both"/>
        <w:rPr>
          <w:rFonts w:eastAsiaTheme="minorHAnsi"/>
          <w:color w:val="000000"/>
          <w:sz w:val="22"/>
          <w:szCs w:val="22"/>
          <w:lang w:val="en-US" w:eastAsia="en-US"/>
        </w:rPr>
      </w:pPr>
      <w:r w:rsidRPr="00EC1A78">
        <w:rPr>
          <w:rFonts w:eastAsiaTheme="minorHAnsi"/>
          <w:color w:val="000000"/>
          <w:sz w:val="22"/>
          <w:szCs w:val="22"/>
          <w:lang w:val="en-US" w:eastAsia="en-US"/>
        </w:rPr>
        <w:t>KEYWORDS:</w:t>
      </w:r>
      <w:r w:rsidRPr="00EC1A78">
        <w:rPr>
          <w:rFonts w:eastAsiaTheme="minorHAnsi"/>
          <w:color w:val="000000"/>
          <w:sz w:val="22"/>
          <w:szCs w:val="22"/>
          <w:shd w:val="clear" w:color="auto" w:fill="FFFFFF"/>
          <w:lang w:val="en-US" w:eastAsia="en-US"/>
        </w:rPr>
        <w:t xml:space="preserve"> polygraph, preliminary investigation, forensic exa</w:t>
      </w:r>
      <w:r w:rsidRPr="00EC1A78">
        <w:rPr>
          <w:rFonts w:eastAsiaTheme="minorHAnsi"/>
          <w:color w:val="000000"/>
          <w:sz w:val="22"/>
          <w:szCs w:val="22"/>
          <w:shd w:val="clear" w:color="auto" w:fill="FFFFFF"/>
          <w:lang w:val="en-US" w:eastAsia="en-US"/>
        </w:rPr>
        <w:t>m</w:t>
      </w:r>
      <w:r w:rsidRPr="00EC1A78">
        <w:rPr>
          <w:rFonts w:eastAsiaTheme="minorHAnsi"/>
          <w:color w:val="000000"/>
          <w:sz w:val="22"/>
          <w:szCs w:val="22"/>
          <w:shd w:val="clear" w:color="auto" w:fill="FFFFFF"/>
          <w:lang w:val="en-US" w:eastAsia="en-US"/>
        </w:rPr>
        <w:t>ination, survey, orientation information.</w:t>
      </w:r>
    </w:p>
    <w:p w:rsidR="00EC1A78" w:rsidRPr="00EC1A78" w:rsidRDefault="00EC1A78" w:rsidP="00EC1A78">
      <w:pPr>
        <w:widowControl w:val="0"/>
        <w:ind w:firstLine="425"/>
        <w:jc w:val="center"/>
        <w:rPr>
          <w:rFonts w:eastAsiaTheme="minorHAnsi"/>
          <w:sz w:val="22"/>
          <w:szCs w:val="22"/>
          <w:lang w:val="en-US" w:eastAsia="en-US"/>
        </w:rPr>
      </w:pP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sz w:val="22"/>
          <w:szCs w:val="22"/>
          <w:lang w:eastAsia="en-US"/>
        </w:rPr>
        <w:t>В последнее время получила широкое распространение псих</w:t>
      </w:r>
      <w:r w:rsidRPr="00EC1A78">
        <w:rPr>
          <w:rFonts w:eastAsiaTheme="minorHAnsi"/>
          <w:sz w:val="22"/>
          <w:szCs w:val="22"/>
          <w:lang w:eastAsia="en-US"/>
        </w:rPr>
        <w:t>о</w:t>
      </w:r>
      <w:r w:rsidRPr="00EC1A78">
        <w:rPr>
          <w:rFonts w:eastAsiaTheme="minorHAnsi"/>
          <w:sz w:val="22"/>
          <w:szCs w:val="22"/>
          <w:lang w:eastAsia="en-US"/>
        </w:rPr>
        <w:t>физиологическая экспертиза с применением полиграфа (далее – СПфЭ). Так в России за последние 20 лет данную экспертизу нач</w:t>
      </w:r>
      <w:r w:rsidRPr="00EC1A78">
        <w:rPr>
          <w:rFonts w:eastAsiaTheme="minorHAnsi"/>
          <w:sz w:val="22"/>
          <w:szCs w:val="22"/>
          <w:lang w:eastAsia="en-US"/>
        </w:rPr>
        <w:t>а</w:t>
      </w:r>
      <w:r w:rsidRPr="00EC1A78">
        <w:rPr>
          <w:rFonts w:eastAsiaTheme="minorHAnsi"/>
          <w:sz w:val="22"/>
          <w:szCs w:val="22"/>
          <w:lang w:eastAsia="en-US"/>
        </w:rPr>
        <w:t xml:space="preserve">ли проводить как в государственных экспертных учреждениях </w:t>
      </w:r>
      <w:r w:rsidRPr="00EC1A78">
        <w:rPr>
          <w:rFonts w:eastAsiaTheme="minorHAnsi"/>
          <w:color w:val="000000"/>
          <w:sz w:val="22"/>
          <w:szCs w:val="22"/>
          <w:lang w:eastAsia="en-US"/>
        </w:rPr>
        <w:t>[4.</w:t>
      </w:r>
      <w:r w:rsidRPr="00EC1A78">
        <w:rPr>
          <w:rFonts w:eastAsiaTheme="minorHAnsi"/>
          <w:sz w:val="22"/>
          <w:szCs w:val="22"/>
          <w:lang w:eastAsia="en-US"/>
        </w:rPr>
        <w:t xml:space="preserve"> С. 47</w:t>
      </w:r>
      <w:r w:rsidRPr="00EC1A78">
        <w:rPr>
          <w:rFonts w:eastAsiaTheme="minorHAnsi"/>
          <w:color w:val="000000"/>
          <w:sz w:val="22"/>
          <w:szCs w:val="22"/>
          <w:lang w:eastAsia="en-US"/>
        </w:rPr>
        <w:t>]</w:t>
      </w:r>
      <w:r w:rsidRPr="00EC1A78">
        <w:rPr>
          <w:rFonts w:eastAsiaTheme="minorHAnsi"/>
          <w:sz w:val="22"/>
          <w:szCs w:val="22"/>
          <w:lang w:eastAsia="en-US"/>
        </w:rPr>
        <w:t xml:space="preserve"> так и в негосударственных учреждениях. </w:t>
      </w:r>
      <w:r w:rsidRPr="00EC1A78">
        <w:rPr>
          <w:rFonts w:eastAsiaTheme="minorHAnsi"/>
          <w:color w:val="000000"/>
          <w:sz w:val="22"/>
          <w:szCs w:val="22"/>
          <w:lang w:eastAsia="en-US"/>
        </w:rPr>
        <w:t>Мы считаем, что рано говорить о существовании эффективной СПфЭ, что полиграф до</w:t>
      </w:r>
      <w:r w:rsidRPr="00EC1A78">
        <w:rPr>
          <w:rFonts w:eastAsiaTheme="minorHAnsi"/>
          <w:color w:val="000000"/>
          <w:sz w:val="22"/>
          <w:szCs w:val="22"/>
          <w:lang w:eastAsia="en-US"/>
        </w:rPr>
        <w:t>л</w:t>
      </w:r>
      <w:r w:rsidRPr="00EC1A78">
        <w:rPr>
          <w:rFonts w:eastAsiaTheme="minorHAnsi"/>
          <w:color w:val="000000"/>
          <w:sz w:val="22"/>
          <w:szCs w:val="22"/>
          <w:lang w:eastAsia="en-US"/>
        </w:rPr>
        <w:t>жен применяться при опросе граждан (ОРМ), что заключение сп</w:t>
      </w:r>
      <w:r w:rsidRPr="00EC1A78">
        <w:rPr>
          <w:rFonts w:eastAsiaTheme="minorHAnsi"/>
          <w:color w:val="000000"/>
          <w:sz w:val="22"/>
          <w:szCs w:val="22"/>
          <w:lang w:eastAsia="en-US"/>
        </w:rPr>
        <w:t>е</w:t>
      </w:r>
      <w:r w:rsidRPr="00EC1A78">
        <w:rPr>
          <w:rFonts w:eastAsiaTheme="minorHAnsi"/>
          <w:color w:val="000000"/>
          <w:sz w:val="22"/>
          <w:szCs w:val="22"/>
          <w:lang w:eastAsia="en-US"/>
        </w:rPr>
        <w:t>циалиста–полиграфолога не является доказательством и его следует использовать как ориентирующую информацию.</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color w:val="000000"/>
          <w:sz w:val="22"/>
          <w:szCs w:val="22"/>
          <w:lang w:eastAsia="en-US"/>
        </w:rPr>
        <w:t>Приведем ряд положений обосновывающих нашу точку зрения:</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color w:val="000000"/>
          <w:sz w:val="22"/>
          <w:szCs w:val="22"/>
          <w:lang w:eastAsia="en-US"/>
        </w:rPr>
        <w:t>1. Утверждение, что методика проведения СПфЭ основан</w:t>
      </w:r>
      <w:r w:rsidR="005012A5">
        <w:rPr>
          <w:rFonts w:eastAsiaTheme="minorHAnsi"/>
          <w:color w:val="000000"/>
          <w:sz w:val="22"/>
          <w:szCs w:val="22"/>
          <w:lang w:eastAsia="en-US"/>
        </w:rPr>
        <w:t>а на мировом опыте, адаптирован</w:t>
      </w:r>
      <w:r w:rsidRPr="00EC1A78">
        <w:rPr>
          <w:rFonts w:eastAsiaTheme="minorHAnsi"/>
          <w:color w:val="000000"/>
          <w:sz w:val="22"/>
          <w:szCs w:val="22"/>
          <w:lang w:eastAsia="en-US"/>
        </w:rPr>
        <w:t>ном к отечественной практике и соо</w:t>
      </w:r>
      <w:r w:rsidRPr="00EC1A78">
        <w:rPr>
          <w:rFonts w:eastAsiaTheme="minorHAnsi"/>
          <w:color w:val="000000"/>
          <w:sz w:val="22"/>
          <w:szCs w:val="22"/>
          <w:lang w:eastAsia="en-US"/>
        </w:rPr>
        <w:t>т</w:t>
      </w:r>
      <w:r w:rsidRPr="00EC1A78">
        <w:rPr>
          <w:rFonts w:eastAsiaTheme="minorHAnsi"/>
          <w:color w:val="000000"/>
          <w:sz w:val="22"/>
          <w:szCs w:val="22"/>
          <w:lang w:eastAsia="en-US"/>
        </w:rPr>
        <w:t>ветствует требованию ст. 8 Федерального закона «О государстве</w:t>
      </w:r>
      <w:r w:rsidRPr="00EC1A78">
        <w:rPr>
          <w:rFonts w:eastAsiaTheme="minorHAnsi"/>
          <w:color w:val="000000"/>
          <w:sz w:val="22"/>
          <w:szCs w:val="22"/>
          <w:lang w:eastAsia="en-US"/>
        </w:rPr>
        <w:t>н</w:t>
      </w:r>
      <w:r w:rsidR="005012A5">
        <w:rPr>
          <w:rFonts w:eastAsiaTheme="minorHAnsi"/>
          <w:color w:val="000000"/>
          <w:sz w:val="22"/>
          <w:szCs w:val="22"/>
          <w:lang w:eastAsia="en-US"/>
        </w:rPr>
        <w:t>ной судебно–эксперт</w:t>
      </w:r>
      <w:r w:rsidRPr="00EC1A78">
        <w:rPr>
          <w:rFonts w:eastAsiaTheme="minorHAnsi"/>
          <w:color w:val="000000"/>
          <w:sz w:val="22"/>
          <w:szCs w:val="22"/>
          <w:lang w:eastAsia="en-US"/>
        </w:rPr>
        <w:t>ной деятельности в Российской Федерации» о научной обосно</w:t>
      </w:r>
      <w:r w:rsidRPr="00EC1A78">
        <w:rPr>
          <w:rFonts w:eastAsiaTheme="minorHAnsi"/>
          <w:color w:val="000000"/>
          <w:sz w:val="22"/>
          <w:szCs w:val="22"/>
          <w:lang w:eastAsia="en-US"/>
        </w:rPr>
        <w:softHyphen/>
        <w:t>ванности применяемых экспертных методик не с</w:t>
      </w:r>
      <w:r w:rsidRPr="00EC1A78">
        <w:rPr>
          <w:rFonts w:eastAsiaTheme="minorHAnsi"/>
          <w:color w:val="000000"/>
          <w:sz w:val="22"/>
          <w:szCs w:val="22"/>
          <w:lang w:eastAsia="en-US"/>
        </w:rPr>
        <w:t>о</w:t>
      </w:r>
      <w:r w:rsidRPr="00EC1A78">
        <w:rPr>
          <w:rFonts w:eastAsiaTheme="minorHAnsi"/>
          <w:color w:val="000000"/>
          <w:sz w:val="22"/>
          <w:szCs w:val="22"/>
          <w:lang w:eastAsia="en-US"/>
        </w:rPr>
        <w:t>всем точно. Психофизиологическая экспертиза (вообще) не являе</w:t>
      </w:r>
      <w:r w:rsidRPr="00EC1A78">
        <w:rPr>
          <w:rFonts w:eastAsiaTheme="minorHAnsi"/>
          <w:color w:val="000000"/>
          <w:sz w:val="22"/>
          <w:szCs w:val="22"/>
          <w:lang w:eastAsia="en-US"/>
        </w:rPr>
        <w:t>т</w:t>
      </w:r>
      <w:r w:rsidRPr="00EC1A78">
        <w:rPr>
          <w:rFonts w:eastAsiaTheme="minorHAnsi"/>
          <w:color w:val="000000"/>
          <w:sz w:val="22"/>
          <w:szCs w:val="22"/>
          <w:lang w:eastAsia="en-US"/>
        </w:rPr>
        <w:t>ся в настоящее время полноценным родом экспертиз, т.к. проходит стадию своего становления и не имеет разветвленной классифик</w:t>
      </w:r>
      <w:r w:rsidRPr="00EC1A78">
        <w:rPr>
          <w:rFonts w:eastAsiaTheme="minorHAnsi"/>
          <w:color w:val="000000"/>
          <w:sz w:val="22"/>
          <w:szCs w:val="22"/>
          <w:lang w:eastAsia="en-US"/>
        </w:rPr>
        <w:t>а</w:t>
      </w:r>
      <w:r w:rsidRPr="00EC1A78">
        <w:rPr>
          <w:rFonts w:eastAsiaTheme="minorHAnsi"/>
          <w:color w:val="000000"/>
          <w:sz w:val="22"/>
          <w:szCs w:val="22"/>
          <w:lang w:eastAsia="en-US"/>
        </w:rPr>
        <w:t>ционной структуры, а понятия объекта, предмета и задач этого рода экспертизы требует своего дальнейш</w:t>
      </w:r>
      <w:r w:rsidR="00163DEF">
        <w:rPr>
          <w:rFonts w:eastAsiaTheme="minorHAnsi"/>
          <w:color w:val="000000"/>
          <w:sz w:val="22"/>
          <w:szCs w:val="22"/>
          <w:lang w:eastAsia="en-US"/>
        </w:rPr>
        <w:t>его уточнения [5]. Методика про</w:t>
      </w:r>
      <w:r w:rsidRPr="00EC1A78">
        <w:rPr>
          <w:rFonts w:eastAsiaTheme="minorHAnsi"/>
          <w:color w:val="000000"/>
          <w:sz w:val="22"/>
          <w:szCs w:val="22"/>
          <w:lang w:eastAsia="en-US"/>
        </w:rPr>
        <w:t>ведения СПфЭ (в частности) тоже находиться в процессе ст</w:t>
      </w:r>
      <w:r w:rsidRPr="00EC1A78">
        <w:rPr>
          <w:rFonts w:eastAsiaTheme="minorHAnsi"/>
          <w:color w:val="000000"/>
          <w:sz w:val="22"/>
          <w:szCs w:val="22"/>
          <w:lang w:eastAsia="en-US"/>
        </w:rPr>
        <w:t>а</w:t>
      </w:r>
      <w:r w:rsidRPr="00EC1A78">
        <w:rPr>
          <w:rFonts w:eastAsiaTheme="minorHAnsi"/>
          <w:color w:val="000000"/>
          <w:sz w:val="22"/>
          <w:szCs w:val="22"/>
          <w:lang w:eastAsia="en-US"/>
        </w:rPr>
        <w:t>новления [6]. А как известно наиболее часто причиной экспертной ошибки являются либо отсутствие экспертной методики, либо с</w:t>
      </w:r>
      <w:r w:rsidRPr="00EC1A78">
        <w:rPr>
          <w:rFonts w:eastAsiaTheme="minorHAnsi"/>
          <w:color w:val="000000"/>
          <w:sz w:val="22"/>
          <w:szCs w:val="22"/>
          <w:lang w:eastAsia="en-US"/>
        </w:rPr>
        <w:t>у</w:t>
      </w:r>
      <w:r w:rsidRPr="00EC1A78">
        <w:rPr>
          <w:rFonts w:eastAsiaTheme="minorHAnsi"/>
          <w:color w:val="000000"/>
          <w:sz w:val="22"/>
          <w:szCs w:val="22"/>
          <w:lang w:eastAsia="en-US"/>
        </w:rPr>
        <w:t xml:space="preserve">щественные пробелы в применяемой методики исследования. </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2. Р</w:t>
      </w:r>
      <w:r w:rsidRPr="00EC1A78">
        <w:rPr>
          <w:rFonts w:eastAsiaTheme="minorHAnsi"/>
          <w:color w:val="000000"/>
          <w:sz w:val="22"/>
          <w:szCs w:val="22"/>
          <w:lang w:eastAsia="en-US"/>
        </w:rPr>
        <w:t>ешение психофизиологической задачи напрямую зависит от личностных особенностей испытуемого. Часть насильственных преступников – это лица с психическими аномалиями (в рамках вменяемости). Обследование полутора тысяч сексуальных престу</w:t>
      </w:r>
      <w:r w:rsidRPr="00EC1A78">
        <w:rPr>
          <w:rFonts w:eastAsiaTheme="minorHAnsi"/>
          <w:color w:val="000000"/>
          <w:sz w:val="22"/>
          <w:szCs w:val="22"/>
          <w:lang w:eastAsia="en-US"/>
        </w:rPr>
        <w:t>п</w:t>
      </w:r>
      <w:r w:rsidRPr="00EC1A78">
        <w:rPr>
          <w:rFonts w:eastAsiaTheme="minorHAnsi"/>
          <w:color w:val="000000"/>
          <w:sz w:val="22"/>
          <w:szCs w:val="22"/>
          <w:lang w:eastAsia="en-US"/>
        </w:rPr>
        <w:lastRenderedPageBreak/>
        <w:t>ников показало, что 75% из них – вменяемы, но 75,2% имеют пс</w:t>
      </w:r>
      <w:r w:rsidRPr="00EC1A78">
        <w:rPr>
          <w:rFonts w:eastAsiaTheme="minorHAnsi"/>
          <w:color w:val="000000"/>
          <w:sz w:val="22"/>
          <w:szCs w:val="22"/>
          <w:lang w:eastAsia="en-US"/>
        </w:rPr>
        <w:t>и</w:t>
      </w:r>
      <w:r w:rsidRPr="00EC1A78">
        <w:rPr>
          <w:rFonts w:eastAsiaTheme="minorHAnsi"/>
          <w:color w:val="000000"/>
          <w:sz w:val="22"/>
          <w:szCs w:val="22"/>
          <w:lang w:eastAsia="en-US"/>
        </w:rPr>
        <w:t>хические аномалии (в рамках вменяемости) [1.</w:t>
      </w:r>
      <w:r w:rsidRPr="00EC1A78">
        <w:rPr>
          <w:rFonts w:eastAsiaTheme="minorHAnsi"/>
          <w:sz w:val="22"/>
          <w:szCs w:val="22"/>
          <w:lang w:eastAsia="en-US"/>
        </w:rPr>
        <w:t xml:space="preserve"> С. 50–51</w:t>
      </w:r>
      <w:r w:rsidRPr="00EC1A78">
        <w:rPr>
          <w:rFonts w:eastAsiaTheme="minorHAnsi"/>
          <w:color w:val="000000"/>
          <w:sz w:val="22"/>
          <w:szCs w:val="22"/>
          <w:lang w:eastAsia="en-US"/>
        </w:rPr>
        <w:t>]. Роберт Хеар в своем исследовании отмечает, что от 15 до 20% заключе</w:t>
      </w:r>
      <w:r w:rsidRPr="00EC1A78">
        <w:rPr>
          <w:rFonts w:eastAsiaTheme="minorHAnsi"/>
          <w:color w:val="000000"/>
          <w:sz w:val="22"/>
          <w:szCs w:val="22"/>
          <w:lang w:eastAsia="en-US"/>
        </w:rPr>
        <w:t>н</w:t>
      </w:r>
      <w:r w:rsidRPr="00EC1A78">
        <w:rPr>
          <w:rFonts w:eastAsiaTheme="minorHAnsi"/>
          <w:color w:val="000000"/>
          <w:sz w:val="22"/>
          <w:szCs w:val="22"/>
          <w:lang w:eastAsia="en-US"/>
        </w:rPr>
        <w:t>ных в США и Канаде соответствуют критериям психопатии, причем среди насильственных преступников – психопатов от 33 до 43% [2.</w:t>
      </w:r>
      <w:r w:rsidRPr="00EC1A78">
        <w:rPr>
          <w:rFonts w:eastAsiaTheme="minorHAnsi"/>
          <w:sz w:val="22"/>
          <w:szCs w:val="22"/>
          <w:lang w:eastAsia="en-US"/>
        </w:rPr>
        <w:t xml:space="preserve"> С. 86</w:t>
      </w:r>
      <w:r w:rsidRPr="00EC1A78">
        <w:rPr>
          <w:rFonts w:eastAsiaTheme="minorHAnsi"/>
          <w:color w:val="000000"/>
          <w:sz w:val="22"/>
          <w:szCs w:val="22"/>
          <w:lang w:eastAsia="en-US"/>
        </w:rPr>
        <w:t>]. У психопата имеют место такие особенности личности как недостаток сострадания, отсутствие чувства вины. Ч</w:t>
      </w:r>
      <w:r w:rsidRPr="00EC1A78">
        <w:rPr>
          <w:rFonts w:eastAsiaTheme="minorHAnsi"/>
          <w:sz w:val="22"/>
          <w:szCs w:val="22"/>
          <w:lang w:eastAsia="en-US"/>
        </w:rPr>
        <w:t>асть психоп</w:t>
      </w:r>
      <w:r w:rsidRPr="00EC1A78">
        <w:rPr>
          <w:rFonts w:eastAsiaTheme="minorHAnsi"/>
          <w:sz w:val="22"/>
          <w:szCs w:val="22"/>
          <w:lang w:eastAsia="en-US"/>
        </w:rPr>
        <w:t>а</w:t>
      </w:r>
      <w:r w:rsidRPr="00EC1A78">
        <w:rPr>
          <w:rFonts w:eastAsiaTheme="minorHAnsi"/>
          <w:sz w:val="22"/>
          <w:szCs w:val="22"/>
          <w:lang w:eastAsia="en-US"/>
        </w:rPr>
        <w:t>тов «… испытывают… отвращение к тому, чтобы говорить правду, и их часто называют «патологическими лгунами»«</w:t>
      </w:r>
      <w:r w:rsidRPr="00EC1A78">
        <w:rPr>
          <w:rFonts w:eastAsiaTheme="minorHAnsi"/>
          <w:color w:val="000000"/>
          <w:sz w:val="22"/>
          <w:szCs w:val="22"/>
          <w:lang w:eastAsia="en-US"/>
        </w:rPr>
        <w:t xml:space="preserve"> [2.</w:t>
      </w:r>
      <w:r w:rsidRPr="00EC1A78">
        <w:rPr>
          <w:rFonts w:eastAsiaTheme="minorHAnsi"/>
          <w:sz w:val="22"/>
          <w:szCs w:val="22"/>
          <w:lang w:eastAsia="en-US"/>
        </w:rPr>
        <w:t xml:space="preserve"> С. 83</w:t>
      </w:r>
      <w:r w:rsidRPr="00EC1A78">
        <w:rPr>
          <w:rFonts w:eastAsiaTheme="minorHAnsi"/>
          <w:color w:val="000000"/>
          <w:sz w:val="22"/>
          <w:szCs w:val="22"/>
          <w:lang w:eastAsia="en-US"/>
        </w:rPr>
        <w:t>]</w:t>
      </w:r>
      <w:r w:rsidRPr="00EC1A78">
        <w:rPr>
          <w:rFonts w:eastAsiaTheme="minorHAnsi"/>
          <w:sz w:val="22"/>
          <w:szCs w:val="22"/>
          <w:lang w:eastAsia="en-US"/>
        </w:rPr>
        <w:t>. Кроме того психопаты не могут полноценно переживать ни положител</w:t>
      </w:r>
      <w:r w:rsidRPr="00EC1A78">
        <w:rPr>
          <w:rFonts w:eastAsiaTheme="minorHAnsi"/>
          <w:sz w:val="22"/>
          <w:szCs w:val="22"/>
          <w:lang w:eastAsia="en-US"/>
        </w:rPr>
        <w:t>ь</w:t>
      </w:r>
      <w:r w:rsidRPr="00EC1A78">
        <w:rPr>
          <w:rFonts w:eastAsiaTheme="minorHAnsi"/>
          <w:sz w:val="22"/>
          <w:szCs w:val="22"/>
          <w:lang w:eastAsia="en-US"/>
        </w:rPr>
        <w:t>ные, ни отрицательные эмоции. Исследованиями выявлено, что при тестировании на полиграфе у психопатической личности наблюд</w:t>
      </w:r>
      <w:r w:rsidRPr="00EC1A78">
        <w:rPr>
          <w:rFonts w:eastAsiaTheme="minorHAnsi"/>
          <w:sz w:val="22"/>
          <w:szCs w:val="22"/>
          <w:lang w:eastAsia="en-US"/>
        </w:rPr>
        <w:t>а</w:t>
      </w:r>
      <w:r w:rsidRPr="00EC1A78">
        <w:rPr>
          <w:rFonts w:eastAsiaTheme="minorHAnsi"/>
          <w:sz w:val="22"/>
          <w:szCs w:val="22"/>
          <w:lang w:eastAsia="en-US"/>
        </w:rPr>
        <w:t xml:space="preserve">ются сходные физиологические реакции, вне зависимости от того говорят они правду или обманывают </w:t>
      </w:r>
      <w:r w:rsidRPr="00EC1A78">
        <w:rPr>
          <w:rFonts w:eastAsiaTheme="minorHAnsi"/>
          <w:color w:val="000000"/>
          <w:sz w:val="22"/>
          <w:szCs w:val="22"/>
          <w:lang w:eastAsia="en-US"/>
        </w:rPr>
        <w:t>[2.</w:t>
      </w:r>
      <w:r w:rsidRPr="00EC1A78">
        <w:rPr>
          <w:rFonts w:eastAsiaTheme="minorHAnsi"/>
          <w:sz w:val="22"/>
          <w:szCs w:val="22"/>
          <w:lang w:eastAsia="en-US"/>
        </w:rPr>
        <w:t xml:space="preserve"> С. 98</w:t>
      </w:r>
      <w:r w:rsidRPr="00EC1A78">
        <w:rPr>
          <w:rFonts w:eastAsiaTheme="minorHAnsi"/>
          <w:color w:val="000000"/>
          <w:sz w:val="22"/>
          <w:szCs w:val="22"/>
          <w:lang w:eastAsia="en-US"/>
        </w:rPr>
        <w:t>]</w:t>
      </w:r>
      <w:r w:rsidRPr="00EC1A78">
        <w:rPr>
          <w:rFonts w:eastAsiaTheme="minorHAnsi"/>
          <w:sz w:val="22"/>
          <w:szCs w:val="22"/>
          <w:lang w:eastAsia="en-US"/>
        </w:rPr>
        <w:t>. Возможно это об</w:t>
      </w:r>
      <w:r w:rsidRPr="00EC1A78">
        <w:rPr>
          <w:rFonts w:eastAsiaTheme="minorHAnsi"/>
          <w:sz w:val="22"/>
          <w:szCs w:val="22"/>
          <w:lang w:eastAsia="en-US"/>
        </w:rPr>
        <w:t>у</w:t>
      </w:r>
      <w:r w:rsidRPr="00EC1A78">
        <w:rPr>
          <w:rFonts w:eastAsiaTheme="minorHAnsi"/>
          <w:sz w:val="22"/>
          <w:szCs w:val="22"/>
          <w:lang w:eastAsia="en-US"/>
        </w:rPr>
        <w:t>словлено с одной стороны недостаточным возбуждением коры г</w:t>
      </w:r>
      <w:r w:rsidRPr="00EC1A78">
        <w:rPr>
          <w:rFonts w:eastAsiaTheme="minorHAnsi"/>
          <w:sz w:val="22"/>
          <w:szCs w:val="22"/>
          <w:lang w:eastAsia="en-US"/>
        </w:rPr>
        <w:t>о</w:t>
      </w:r>
      <w:r w:rsidRPr="00EC1A78">
        <w:rPr>
          <w:rFonts w:eastAsiaTheme="minorHAnsi"/>
          <w:sz w:val="22"/>
          <w:szCs w:val="22"/>
          <w:lang w:eastAsia="en-US"/>
        </w:rPr>
        <w:t>ловного мозга и вегетативной нервной, а с другой  не способностью полновесно переживать эмоции. Как известно значительная доля теорий, обосновывающих эффективность применения полиграфа, основывается на мотивационных и эмоциональных факторах (те</w:t>
      </w:r>
      <w:r w:rsidRPr="00EC1A78">
        <w:rPr>
          <w:rFonts w:eastAsiaTheme="minorHAnsi"/>
          <w:sz w:val="22"/>
          <w:szCs w:val="22"/>
          <w:lang w:eastAsia="en-US"/>
        </w:rPr>
        <w:t>о</w:t>
      </w:r>
      <w:r w:rsidRPr="00EC1A78">
        <w:rPr>
          <w:rFonts w:eastAsiaTheme="minorHAnsi"/>
          <w:sz w:val="22"/>
          <w:szCs w:val="22"/>
          <w:lang w:eastAsia="en-US"/>
        </w:rPr>
        <w:t>рия угрозы наказания, теория конфликта и т.д.). Следовательно, необходимо проведение обстоятельных исследований направле</w:t>
      </w:r>
      <w:r w:rsidRPr="00EC1A78">
        <w:rPr>
          <w:rFonts w:eastAsiaTheme="minorHAnsi"/>
          <w:sz w:val="22"/>
          <w:szCs w:val="22"/>
          <w:lang w:eastAsia="en-US"/>
        </w:rPr>
        <w:t>н</w:t>
      </w:r>
      <w:r w:rsidRPr="00EC1A78">
        <w:rPr>
          <w:rFonts w:eastAsiaTheme="minorHAnsi"/>
          <w:sz w:val="22"/>
          <w:szCs w:val="22"/>
          <w:lang w:eastAsia="en-US"/>
        </w:rPr>
        <w:t>ных на определение специфики возникновения и протекания пс</w:t>
      </w:r>
      <w:r w:rsidRPr="00EC1A78">
        <w:rPr>
          <w:rFonts w:eastAsiaTheme="minorHAnsi"/>
          <w:sz w:val="22"/>
          <w:szCs w:val="22"/>
          <w:lang w:eastAsia="en-US"/>
        </w:rPr>
        <w:t>и</w:t>
      </w:r>
      <w:r w:rsidRPr="00EC1A78">
        <w:rPr>
          <w:rFonts w:eastAsiaTheme="minorHAnsi"/>
          <w:sz w:val="22"/>
          <w:szCs w:val="22"/>
          <w:lang w:eastAsia="en-US"/>
        </w:rPr>
        <w:t>хофизиологических реакций у психопатических личностей. Так как без учета этих особенностей результат  тестирования на полиграфе данной категории лиц будет не достоверным.</w:t>
      </w:r>
    </w:p>
    <w:p w:rsidR="00EC1A78" w:rsidRPr="00EC1A78" w:rsidRDefault="00EC1A78" w:rsidP="00163DEF">
      <w:pPr>
        <w:widowControl w:val="0"/>
        <w:ind w:firstLine="425"/>
        <w:jc w:val="both"/>
        <w:rPr>
          <w:rFonts w:eastAsiaTheme="minorHAnsi"/>
          <w:color w:val="000000"/>
          <w:sz w:val="22"/>
          <w:szCs w:val="22"/>
          <w:lang w:eastAsia="en-US"/>
        </w:rPr>
      </w:pPr>
      <w:r w:rsidRPr="00EC1A78">
        <w:rPr>
          <w:rFonts w:eastAsiaTheme="minorHAnsi"/>
          <w:sz w:val="22"/>
          <w:szCs w:val="22"/>
          <w:lang w:eastAsia="en-US"/>
        </w:rPr>
        <w:t>3. Наибольшее число проверок на полиграфе проводиться в США – около миллиона в год.</w:t>
      </w:r>
      <w:r w:rsidRPr="00EC1A78">
        <w:rPr>
          <w:rFonts w:eastAsiaTheme="minorHAnsi"/>
          <w:color w:val="000000"/>
          <w:sz w:val="22"/>
          <w:szCs w:val="22"/>
          <w:lang w:eastAsia="en-US"/>
        </w:rPr>
        <w:t xml:space="preserve"> В большинстве штатов результаты тестирования запрещается оглашать в суде [3]. </w:t>
      </w:r>
      <w:r w:rsidRPr="00EC1A78">
        <w:rPr>
          <w:rFonts w:eastAsiaTheme="minorHAnsi"/>
          <w:sz w:val="22"/>
          <w:szCs w:val="22"/>
          <w:lang w:eastAsia="en-US"/>
        </w:rPr>
        <w:t>Американская ак</w:t>
      </w:r>
      <w:r w:rsidRPr="00EC1A78">
        <w:rPr>
          <w:rFonts w:eastAsiaTheme="minorHAnsi"/>
          <w:sz w:val="22"/>
          <w:szCs w:val="22"/>
          <w:lang w:eastAsia="en-US"/>
        </w:rPr>
        <w:t>а</w:t>
      </w:r>
      <w:r w:rsidRPr="00EC1A78">
        <w:rPr>
          <w:rFonts w:eastAsiaTheme="minorHAnsi"/>
          <w:sz w:val="22"/>
          <w:szCs w:val="22"/>
          <w:lang w:eastAsia="en-US"/>
        </w:rPr>
        <w:t>демия криминалистики поставила под сомнение возможность включения проверок на полиграфе в арсенал национальной крим</w:t>
      </w:r>
      <w:r w:rsidRPr="00EC1A78">
        <w:rPr>
          <w:rFonts w:eastAsiaTheme="minorHAnsi"/>
          <w:sz w:val="22"/>
          <w:szCs w:val="22"/>
          <w:lang w:eastAsia="en-US"/>
        </w:rPr>
        <w:t>и</w:t>
      </w:r>
      <w:r w:rsidRPr="00EC1A78">
        <w:rPr>
          <w:rFonts w:eastAsiaTheme="minorHAnsi"/>
          <w:sz w:val="22"/>
          <w:szCs w:val="22"/>
          <w:lang w:eastAsia="en-US"/>
        </w:rPr>
        <w:t>налистики из–за их «недостаточной научной основы»</w:t>
      </w:r>
      <w:r w:rsidRPr="00EC1A78">
        <w:rPr>
          <w:rFonts w:eastAsiaTheme="minorHAnsi"/>
          <w:color w:val="000000"/>
          <w:sz w:val="22"/>
          <w:szCs w:val="22"/>
          <w:lang w:eastAsia="en-US"/>
        </w:rPr>
        <w:t xml:space="preserve"> [6]</w:t>
      </w:r>
      <w:r w:rsidRPr="00EC1A78">
        <w:rPr>
          <w:rFonts w:eastAsiaTheme="minorHAnsi"/>
          <w:sz w:val="22"/>
          <w:szCs w:val="22"/>
          <w:lang w:eastAsia="en-US"/>
        </w:rPr>
        <w:t xml:space="preserve">. </w:t>
      </w:r>
      <w:r w:rsidRPr="00EC1A78">
        <w:rPr>
          <w:rFonts w:eastAsiaTheme="minorHAnsi"/>
          <w:color w:val="000000"/>
          <w:sz w:val="22"/>
          <w:szCs w:val="22"/>
          <w:lang w:eastAsia="en-US"/>
        </w:rPr>
        <w:t>Дэвид Ликкен – американский психолог и приверженец теста на знание виновного (непрямой метод) является ярым антагонистом техники контрольных вопросов (прямой метод). В свою очередь Д. С. Рэ</w:t>
      </w:r>
      <w:r w:rsidRPr="00EC1A78">
        <w:rPr>
          <w:rFonts w:eastAsiaTheme="minorHAnsi"/>
          <w:color w:val="000000"/>
          <w:sz w:val="22"/>
          <w:szCs w:val="22"/>
          <w:lang w:eastAsia="en-US"/>
        </w:rPr>
        <w:t>с</w:t>
      </w:r>
      <w:r w:rsidRPr="00EC1A78">
        <w:rPr>
          <w:rFonts w:eastAsiaTheme="minorHAnsi"/>
          <w:color w:val="000000"/>
          <w:sz w:val="22"/>
          <w:szCs w:val="22"/>
          <w:lang w:eastAsia="en-US"/>
        </w:rPr>
        <w:t>кин подвергает обстоятельной критике тест на знание виновного. Следовательно, выбор одного из методов, уже порождает диску</w:t>
      </w:r>
      <w:r w:rsidRPr="00EC1A78">
        <w:rPr>
          <w:rFonts w:eastAsiaTheme="minorHAnsi"/>
          <w:color w:val="000000"/>
          <w:sz w:val="22"/>
          <w:szCs w:val="22"/>
          <w:lang w:eastAsia="en-US"/>
        </w:rPr>
        <w:t>с</w:t>
      </w:r>
      <w:r w:rsidRPr="00EC1A78">
        <w:rPr>
          <w:rFonts w:eastAsiaTheme="minorHAnsi"/>
          <w:color w:val="000000"/>
          <w:sz w:val="22"/>
          <w:szCs w:val="22"/>
          <w:lang w:eastAsia="en-US"/>
        </w:rPr>
        <w:t>сию об их научной обоснованности.</w:t>
      </w:r>
    </w:p>
    <w:p w:rsidR="00EC1A78" w:rsidRPr="00EC1A78" w:rsidRDefault="00EC1A78" w:rsidP="00EC1A78">
      <w:pPr>
        <w:widowControl w:val="0"/>
        <w:autoSpaceDE w:val="0"/>
        <w:autoSpaceDN w:val="0"/>
        <w:adjustRightInd w:val="0"/>
        <w:ind w:firstLine="425"/>
        <w:jc w:val="center"/>
        <w:rPr>
          <w:rFonts w:eastAsiaTheme="minorHAnsi"/>
          <w:color w:val="000000"/>
          <w:sz w:val="22"/>
          <w:szCs w:val="22"/>
          <w:lang w:eastAsia="en-US"/>
        </w:rPr>
      </w:pPr>
      <w:r w:rsidRPr="00EC1A78">
        <w:rPr>
          <w:rFonts w:eastAsiaTheme="minorHAnsi"/>
          <w:color w:val="000000"/>
          <w:sz w:val="22"/>
          <w:szCs w:val="22"/>
          <w:lang w:eastAsia="en-US"/>
        </w:rPr>
        <w:t>Список литературы</w:t>
      </w:r>
    </w:p>
    <w:p w:rsidR="00EC1A78" w:rsidRPr="00EC1A78" w:rsidRDefault="00EC1A78" w:rsidP="00EC1A78">
      <w:pPr>
        <w:widowControl w:val="0"/>
        <w:ind w:firstLine="425"/>
        <w:jc w:val="both"/>
        <w:rPr>
          <w:sz w:val="22"/>
          <w:szCs w:val="22"/>
        </w:rPr>
      </w:pPr>
      <w:r w:rsidRPr="00EC1A78">
        <w:rPr>
          <w:sz w:val="22"/>
          <w:szCs w:val="22"/>
        </w:rPr>
        <w:lastRenderedPageBreak/>
        <w:t xml:space="preserve">1. Антонян, Ю. М. Криминальная сексология / Ю. М. Антонян, А. А. Ткаченко, Б. В. Шостакович. – М., 1999.  </w:t>
      </w:r>
    </w:p>
    <w:p w:rsidR="00EC1A78" w:rsidRPr="00EC1A78" w:rsidRDefault="00EC1A78" w:rsidP="00EC1A78">
      <w:pPr>
        <w:widowControl w:val="0"/>
        <w:ind w:firstLine="425"/>
        <w:jc w:val="both"/>
        <w:rPr>
          <w:sz w:val="22"/>
          <w:szCs w:val="22"/>
        </w:rPr>
      </w:pPr>
      <w:r w:rsidRPr="00EC1A78">
        <w:rPr>
          <w:sz w:val="22"/>
          <w:szCs w:val="22"/>
        </w:rPr>
        <w:t>2. Бартол, К. Психология криминального поведения / Курт Ба</w:t>
      </w:r>
      <w:r w:rsidRPr="00EC1A78">
        <w:rPr>
          <w:sz w:val="22"/>
          <w:szCs w:val="22"/>
        </w:rPr>
        <w:t>р</w:t>
      </w:r>
      <w:r w:rsidRPr="00EC1A78">
        <w:rPr>
          <w:sz w:val="22"/>
          <w:szCs w:val="22"/>
        </w:rPr>
        <w:t>тол</w:t>
      </w:r>
      <w:r w:rsidRPr="00EC1A78">
        <w:rPr>
          <w:color w:val="222222"/>
          <w:sz w:val="22"/>
          <w:szCs w:val="22"/>
          <w:shd w:val="clear" w:color="auto" w:fill="FFFFFF"/>
        </w:rPr>
        <w:t>;</w:t>
      </w:r>
      <w:r w:rsidRPr="00EC1A78">
        <w:rPr>
          <w:color w:val="222222"/>
          <w:sz w:val="14"/>
          <w:szCs w:val="14"/>
          <w:shd w:val="clear" w:color="auto" w:fill="FFFFFF"/>
        </w:rPr>
        <w:t xml:space="preserve"> </w:t>
      </w:r>
      <w:r w:rsidRPr="00EC1A78">
        <w:rPr>
          <w:sz w:val="22"/>
          <w:szCs w:val="22"/>
          <w:shd w:val="clear" w:color="auto" w:fill="FFFFFF"/>
        </w:rPr>
        <w:t>перевод с англ. А. Боричев, А. Можаев, Л. Ордановская, М. Парсаданова</w:t>
      </w:r>
      <w:r w:rsidRPr="00EC1A78">
        <w:rPr>
          <w:sz w:val="22"/>
          <w:szCs w:val="22"/>
        </w:rPr>
        <w:t>. – СПб., 2004.</w:t>
      </w:r>
    </w:p>
    <w:p w:rsidR="00EC1A78" w:rsidRPr="00EC1A78" w:rsidRDefault="00EC1A78" w:rsidP="00EC1A78">
      <w:pPr>
        <w:widowControl w:val="0"/>
        <w:ind w:firstLine="425"/>
        <w:jc w:val="both"/>
        <w:rPr>
          <w:sz w:val="22"/>
          <w:szCs w:val="22"/>
        </w:rPr>
      </w:pPr>
      <w:r w:rsidRPr="00EC1A78">
        <w:rPr>
          <w:sz w:val="22"/>
          <w:szCs w:val="22"/>
        </w:rPr>
        <w:t>3. Грицаев, С. И. Проблемы применения полиграфа в расслед</w:t>
      </w:r>
      <w:r w:rsidRPr="00EC1A78">
        <w:rPr>
          <w:sz w:val="22"/>
          <w:szCs w:val="22"/>
        </w:rPr>
        <w:t>о</w:t>
      </w:r>
      <w:r w:rsidRPr="00EC1A78">
        <w:rPr>
          <w:sz w:val="22"/>
          <w:szCs w:val="22"/>
        </w:rPr>
        <w:t xml:space="preserve">вании преступлений / С. И. Грицаев, В. В. Помазанов, Д. В. Шевель // </w:t>
      </w:r>
      <w:r w:rsidRPr="00EC1A78">
        <w:rPr>
          <w:color w:val="000000"/>
          <w:sz w:val="22"/>
          <w:szCs w:val="22"/>
          <w:shd w:val="clear" w:color="auto" w:fill="FFFFFF"/>
        </w:rPr>
        <w:t>Криминалистика: вчера, сегодня, завтра : сб. науч. тр. – Ир</w:t>
      </w:r>
      <w:r w:rsidRPr="00EC1A78">
        <w:rPr>
          <w:color w:val="000000"/>
          <w:sz w:val="22"/>
          <w:szCs w:val="22"/>
          <w:shd w:val="clear" w:color="auto" w:fill="FFFFFF"/>
        </w:rPr>
        <w:softHyphen/>
        <w:t>кутск: ФГКОУ ВПО ВСИ МВД России, 2014. – Вып. 5. – С. 35–41.</w:t>
      </w:r>
    </w:p>
    <w:p w:rsidR="00EC1A78" w:rsidRPr="00EC1A78" w:rsidRDefault="00EC1A78" w:rsidP="00EC1A78">
      <w:pPr>
        <w:widowControl w:val="0"/>
        <w:ind w:firstLine="425"/>
        <w:jc w:val="both"/>
        <w:rPr>
          <w:sz w:val="22"/>
          <w:szCs w:val="22"/>
        </w:rPr>
      </w:pPr>
      <w:r w:rsidRPr="00EC1A78">
        <w:rPr>
          <w:sz w:val="22"/>
          <w:szCs w:val="22"/>
        </w:rPr>
        <w:t>4. Комиссарова, Я. В. Актуальные проблемы использования специальных знаний в области полиграфологии / Я. В. Комиссарова // Вестник криминалистики. – М., 2011. – Вып. 4 (40). – С. 46–49.</w:t>
      </w:r>
    </w:p>
    <w:p w:rsidR="00EC1A78" w:rsidRPr="00EC1A78" w:rsidRDefault="00EC1A78" w:rsidP="00EC1A78">
      <w:pPr>
        <w:widowControl w:val="0"/>
        <w:ind w:firstLine="425"/>
        <w:jc w:val="both"/>
        <w:rPr>
          <w:sz w:val="22"/>
          <w:szCs w:val="22"/>
        </w:rPr>
      </w:pPr>
      <w:r w:rsidRPr="00EC1A78">
        <w:rPr>
          <w:sz w:val="22"/>
          <w:szCs w:val="22"/>
        </w:rPr>
        <w:t>5. Официальный сайт Российского Федерального центра с</w:t>
      </w:r>
      <w:r w:rsidRPr="00EC1A78">
        <w:rPr>
          <w:sz w:val="22"/>
          <w:szCs w:val="22"/>
        </w:rPr>
        <w:t>у</w:t>
      </w:r>
      <w:r w:rsidRPr="00EC1A78">
        <w:rPr>
          <w:sz w:val="22"/>
          <w:szCs w:val="22"/>
        </w:rPr>
        <w:t>дебной экспертизы при Министерстве юстиции Российской Фед</w:t>
      </w:r>
      <w:r w:rsidRPr="00EC1A78">
        <w:rPr>
          <w:sz w:val="22"/>
          <w:szCs w:val="22"/>
        </w:rPr>
        <w:t>е</w:t>
      </w:r>
      <w:r w:rsidRPr="00EC1A78">
        <w:rPr>
          <w:sz w:val="22"/>
          <w:szCs w:val="22"/>
        </w:rPr>
        <w:t>рации [Электронный ресурс].</w:t>
      </w:r>
      <w:r w:rsidRPr="00EC1A78">
        <w:rPr>
          <w:color w:val="000000"/>
          <w:sz w:val="22"/>
          <w:szCs w:val="22"/>
          <w:shd w:val="clear" w:color="auto" w:fill="FFFFFF"/>
        </w:rPr>
        <w:t xml:space="preserve"> – Режим доступа: </w:t>
      </w:r>
      <w:r w:rsidRPr="00EC1A78">
        <w:rPr>
          <w:sz w:val="22"/>
          <w:szCs w:val="22"/>
        </w:rPr>
        <w:t>http://www.sudexpert.ru/possib/psych.php</w:t>
      </w:r>
    </w:p>
    <w:p w:rsidR="00EC1A78" w:rsidRPr="005012A5" w:rsidRDefault="00EC1A78" w:rsidP="005012A5">
      <w:pPr>
        <w:widowControl w:val="0"/>
        <w:ind w:firstLine="425"/>
        <w:jc w:val="both"/>
        <w:rPr>
          <w:sz w:val="22"/>
          <w:szCs w:val="22"/>
        </w:rPr>
      </w:pPr>
      <w:r w:rsidRPr="00EC1A78">
        <w:rPr>
          <w:sz w:val="22"/>
          <w:szCs w:val="22"/>
        </w:rPr>
        <w:t>6. Холодный, Ю. И. Теоретические концепции криминалист</w:t>
      </w:r>
      <w:r w:rsidRPr="00EC1A78">
        <w:rPr>
          <w:sz w:val="22"/>
          <w:szCs w:val="22"/>
        </w:rPr>
        <w:t>и</w:t>
      </w:r>
      <w:r w:rsidRPr="00EC1A78">
        <w:rPr>
          <w:sz w:val="22"/>
          <w:szCs w:val="22"/>
        </w:rPr>
        <w:t>ческих исследований с применением полиграфа: приглашение к дискуссии / Ю. И. Холодный // Вестник криминалистики. – М., 2012. – Вып. 1 (41). – С. 89–98.</w:t>
      </w:r>
    </w:p>
    <w:p w:rsidR="005012A5" w:rsidRDefault="005012A5" w:rsidP="00EC1A78">
      <w:pPr>
        <w:jc w:val="both"/>
        <w:rPr>
          <w:rFonts w:eastAsiaTheme="minorHAnsi"/>
          <w:w w:val="105"/>
          <w:sz w:val="22"/>
          <w:szCs w:val="22"/>
          <w:lang w:eastAsia="en-US"/>
        </w:rPr>
      </w:pPr>
    </w:p>
    <w:p w:rsidR="005012A5" w:rsidRDefault="005012A5" w:rsidP="00EC1A78">
      <w:pPr>
        <w:jc w:val="both"/>
        <w:rPr>
          <w:rFonts w:eastAsiaTheme="minorHAnsi"/>
          <w:w w:val="105"/>
          <w:sz w:val="22"/>
          <w:szCs w:val="22"/>
          <w:lang w:eastAsia="en-US"/>
        </w:rPr>
      </w:pPr>
    </w:p>
    <w:p w:rsidR="00EC1A78" w:rsidRPr="00EC1A78" w:rsidRDefault="00EC1A78" w:rsidP="00EC1A78">
      <w:pPr>
        <w:jc w:val="both"/>
        <w:rPr>
          <w:rFonts w:eastAsiaTheme="minorHAnsi"/>
          <w:w w:val="105"/>
          <w:sz w:val="22"/>
          <w:szCs w:val="22"/>
          <w:lang w:eastAsia="en-US"/>
        </w:rPr>
      </w:pPr>
      <w:r w:rsidRPr="00EC1A78">
        <w:rPr>
          <w:rFonts w:eastAsiaTheme="minorHAnsi"/>
          <w:w w:val="105"/>
          <w:sz w:val="22"/>
          <w:szCs w:val="22"/>
          <w:lang w:eastAsia="en-US"/>
        </w:rPr>
        <w:t>УДК 347.12</w:t>
      </w:r>
    </w:p>
    <w:p w:rsidR="00EC1A78" w:rsidRPr="00EC1A78" w:rsidRDefault="00EC1A78" w:rsidP="00EC1A78">
      <w:pPr>
        <w:jc w:val="both"/>
        <w:rPr>
          <w:rFonts w:eastAsiaTheme="minorHAnsi"/>
          <w:w w:val="105"/>
          <w:sz w:val="22"/>
          <w:szCs w:val="22"/>
          <w:lang w:eastAsia="en-US"/>
        </w:rPr>
      </w:pPr>
    </w:p>
    <w:p w:rsidR="00EC1A78" w:rsidRPr="00EC1A78" w:rsidRDefault="00EC1A78" w:rsidP="00EC1A78">
      <w:pPr>
        <w:ind w:firstLine="426"/>
        <w:jc w:val="center"/>
        <w:rPr>
          <w:rFonts w:eastAsiaTheme="minorHAnsi"/>
          <w:b/>
          <w:sz w:val="24"/>
          <w:szCs w:val="22"/>
          <w:lang w:eastAsia="en-US"/>
        </w:rPr>
      </w:pPr>
      <w:r w:rsidRPr="00EC1A78">
        <w:rPr>
          <w:rFonts w:eastAsiaTheme="minorHAnsi"/>
          <w:b/>
          <w:sz w:val="24"/>
          <w:szCs w:val="22"/>
          <w:lang w:eastAsia="en-US"/>
        </w:rPr>
        <w:t xml:space="preserve">«Потребительский штраф» в пользу субъектов </w:t>
      </w:r>
      <w:r w:rsidR="00EC2599">
        <w:rPr>
          <w:rFonts w:eastAsiaTheme="minorHAnsi"/>
          <w:b/>
          <w:sz w:val="24"/>
          <w:szCs w:val="22"/>
          <w:lang w:eastAsia="en-US"/>
        </w:rPr>
        <w:br/>
      </w:r>
      <w:r w:rsidRPr="00EC1A78">
        <w:rPr>
          <w:rFonts w:eastAsiaTheme="minorHAnsi"/>
          <w:b/>
          <w:sz w:val="24"/>
          <w:szCs w:val="22"/>
          <w:lang w:eastAsia="en-US"/>
        </w:rPr>
        <w:t>предпринимательства?</w:t>
      </w:r>
    </w:p>
    <w:p w:rsidR="00EC1A78" w:rsidRPr="00163DEF" w:rsidRDefault="00EC1A78" w:rsidP="00163DEF">
      <w:pPr>
        <w:ind w:firstLine="426"/>
        <w:jc w:val="center"/>
        <w:rPr>
          <w:rFonts w:eastAsiaTheme="minorHAnsi"/>
          <w:b/>
          <w:sz w:val="24"/>
          <w:szCs w:val="22"/>
          <w:lang w:val="en-US" w:eastAsia="en-US"/>
        </w:rPr>
      </w:pPr>
      <w:proofErr w:type="gramStart"/>
      <w:r w:rsidRPr="00EC1A78">
        <w:rPr>
          <w:rFonts w:eastAsiaTheme="minorHAnsi"/>
          <w:b/>
          <w:sz w:val="24"/>
          <w:szCs w:val="22"/>
          <w:lang w:val="en-US" w:eastAsia="en-US"/>
        </w:rPr>
        <w:t xml:space="preserve">«Consumer penalty» in favor of subject </w:t>
      </w:r>
      <w:r w:rsidR="00163DEF" w:rsidRPr="00163DEF">
        <w:rPr>
          <w:rFonts w:eastAsiaTheme="minorHAnsi"/>
          <w:b/>
          <w:sz w:val="24"/>
          <w:szCs w:val="22"/>
          <w:lang w:val="en-US" w:eastAsia="en-US"/>
        </w:rPr>
        <w:br/>
      </w:r>
      <w:r w:rsidRPr="00EC1A78">
        <w:rPr>
          <w:rFonts w:eastAsiaTheme="minorHAnsi"/>
          <w:b/>
          <w:sz w:val="24"/>
          <w:szCs w:val="22"/>
          <w:lang w:val="en-US" w:eastAsia="en-US"/>
        </w:rPr>
        <w:t>at entre</w:t>
      </w:r>
      <w:r w:rsidRPr="00EC1A78">
        <w:rPr>
          <w:rFonts w:eastAsiaTheme="minorHAnsi"/>
          <w:b/>
          <w:sz w:val="24"/>
          <w:szCs w:val="22"/>
          <w:lang w:eastAsia="en-US"/>
        </w:rPr>
        <w:t>р</w:t>
      </w:r>
      <w:r w:rsidRPr="00EC1A78">
        <w:rPr>
          <w:rFonts w:eastAsiaTheme="minorHAnsi"/>
          <w:b/>
          <w:sz w:val="24"/>
          <w:szCs w:val="22"/>
          <w:lang w:val="en-US" w:eastAsia="en-US"/>
        </w:rPr>
        <w:t>reneurship?</w:t>
      </w:r>
      <w:proofErr w:type="gramEnd"/>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Мирошниченко В.</w:t>
      </w:r>
      <w:r w:rsidR="00EC2599">
        <w:rPr>
          <w:rFonts w:eastAsiaTheme="minorHAnsi"/>
          <w:sz w:val="22"/>
          <w:szCs w:val="22"/>
          <w:lang w:eastAsia="en-US"/>
        </w:rPr>
        <w:t xml:space="preserve"> </w:t>
      </w:r>
      <w:r w:rsidRPr="00EC1A78">
        <w:rPr>
          <w:rFonts w:eastAsiaTheme="minorHAnsi"/>
          <w:sz w:val="22"/>
          <w:szCs w:val="22"/>
          <w:lang w:eastAsia="en-US"/>
        </w:rPr>
        <w:t>А.</w:t>
      </w:r>
      <w:r w:rsidR="00EC2599">
        <w:rPr>
          <w:rFonts w:eastAsiaTheme="minorHAnsi"/>
          <w:sz w:val="22"/>
          <w:szCs w:val="22"/>
          <w:lang w:eastAsia="en-US"/>
        </w:rPr>
        <w:t>,</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студентка 4 курса юридического факультета</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Танага А.</w:t>
      </w:r>
      <w:r w:rsidR="00EC2599">
        <w:rPr>
          <w:rFonts w:eastAsiaTheme="minorHAnsi"/>
          <w:sz w:val="22"/>
          <w:szCs w:val="22"/>
          <w:lang w:eastAsia="en-US"/>
        </w:rPr>
        <w:t xml:space="preserve"> </w:t>
      </w:r>
      <w:r w:rsidRPr="00EC1A78">
        <w:rPr>
          <w:rFonts w:eastAsiaTheme="minorHAnsi"/>
          <w:sz w:val="22"/>
          <w:szCs w:val="22"/>
          <w:lang w:eastAsia="en-US"/>
        </w:rPr>
        <w:t>Н.</w:t>
      </w:r>
      <w:r w:rsidR="00EC2599">
        <w:rPr>
          <w:rFonts w:eastAsiaTheme="minorHAnsi"/>
          <w:sz w:val="22"/>
          <w:szCs w:val="22"/>
          <w:lang w:eastAsia="en-US"/>
        </w:rPr>
        <w:t>,</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зав. кафедрой гражданского процесса</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университет имени И.</w:t>
      </w:r>
      <w:r w:rsidR="00EC2599">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709"/>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актуальные пробл</w:t>
      </w:r>
      <w:r w:rsidRPr="00EC1A78">
        <w:rPr>
          <w:rFonts w:eastAsiaTheme="minorHAnsi"/>
          <w:sz w:val="22"/>
          <w:szCs w:val="22"/>
          <w:lang w:eastAsia="en-US"/>
        </w:rPr>
        <w:t>е</w:t>
      </w:r>
      <w:r w:rsidRPr="00EC1A78">
        <w:rPr>
          <w:rFonts w:eastAsiaTheme="minorHAnsi"/>
          <w:sz w:val="22"/>
          <w:szCs w:val="22"/>
          <w:lang w:eastAsia="en-US"/>
        </w:rPr>
        <w:t>мы правоприменительной практики в части взыскания судами с</w:t>
      </w:r>
      <w:r w:rsidRPr="00EC1A78">
        <w:rPr>
          <w:rFonts w:eastAsiaTheme="minorHAnsi"/>
          <w:sz w:val="22"/>
          <w:szCs w:val="22"/>
          <w:lang w:eastAsia="en-US"/>
        </w:rPr>
        <w:t>у</w:t>
      </w:r>
      <w:r w:rsidRPr="00EC1A78">
        <w:rPr>
          <w:rFonts w:eastAsiaTheme="minorHAnsi"/>
          <w:sz w:val="22"/>
          <w:szCs w:val="22"/>
          <w:lang w:eastAsia="en-US"/>
        </w:rPr>
        <w:lastRenderedPageBreak/>
        <w:t>дебной системы РФ потребительского штрафа в пользу субъектов предпринимательства через уступку прав требования, а также з</w:t>
      </w:r>
      <w:r w:rsidRPr="00EC1A78">
        <w:rPr>
          <w:rFonts w:eastAsiaTheme="minorHAnsi"/>
          <w:sz w:val="22"/>
          <w:szCs w:val="22"/>
          <w:lang w:eastAsia="en-US"/>
        </w:rPr>
        <w:t>а</w:t>
      </w:r>
      <w:r w:rsidRPr="00EC1A78">
        <w:rPr>
          <w:rFonts w:eastAsiaTheme="minorHAnsi"/>
          <w:sz w:val="22"/>
          <w:szCs w:val="22"/>
          <w:lang w:eastAsia="en-US"/>
        </w:rPr>
        <w:t>конные основания для подобного взыскания.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keynote of the article is actual problems of e</w:t>
      </w:r>
      <w:r w:rsidRPr="00EC1A78">
        <w:rPr>
          <w:rFonts w:eastAsiaTheme="minorHAnsi"/>
          <w:sz w:val="22"/>
          <w:szCs w:val="22"/>
          <w:lang w:val="en-US" w:eastAsia="en-US"/>
        </w:rPr>
        <w:t>n</w:t>
      </w:r>
      <w:r w:rsidRPr="00EC1A78">
        <w:rPr>
          <w:rFonts w:eastAsiaTheme="minorHAnsi"/>
          <w:sz w:val="22"/>
          <w:szCs w:val="22"/>
          <w:lang w:val="en-US" w:eastAsia="en-US"/>
        </w:rPr>
        <w:t>forcement practice at the field of judicial recovery of the Russian feder</w:t>
      </w:r>
      <w:r w:rsidRPr="00EC1A78">
        <w:rPr>
          <w:rFonts w:eastAsiaTheme="minorHAnsi"/>
          <w:sz w:val="22"/>
          <w:szCs w:val="22"/>
          <w:lang w:val="en-US" w:eastAsia="en-US"/>
        </w:rPr>
        <w:t>a</w:t>
      </w:r>
      <w:r w:rsidRPr="00EC1A78">
        <w:rPr>
          <w:rFonts w:eastAsiaTheme="minorHAnsi"/>
          <w:sz w:val="22"/>
          <w:szCs w:val="22"/>
          <w:lang w:val="en-US" w:eastAsia="en-US"/>
        </w:rPr>
        <w:t>tion’s judicial system consumer penalty in favor of entrepreneurship’s subject  through  a concession of law requirement and lawful cause for penalty.</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потребитель, штраф, цессия, субъект предпринимательства.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consumer, penalty, cession, entrepreneurship’s su</w:t>
      </w:r>
      <w:r w:rsidRPr="00EC1A78">
        <w:rPr>
          <w:rFonts w:eastAsiaTheme="minorHAnsi"/>
          <w:sz w:val="22"/>
          <w:szCs w:val="22"/>
          <w:lang w:val="en-US" w:eastAsia="en-US"/>
        </w:rPr>
        <w:t>b</w:t>
      </w:r>
      <w:r w:rsidRPr="00EC1A78">
        <w:rPr>
          <w:rFonts w:eastAsiaTheme="minorHAnsi"/>
          <w:sz w:val="22"/>
          <w:szCs w:val="22"/>
          <w:lang w:val="en-US" w:eastAsia="en-US"/>
        </w:rPr>
        <w:t>ject.</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pacing w:val="-4"/>
          <w:sz w:val="22"/>
          <w:szCs w:val="22"/>
          <w:lang w:eastAsia="en-US"/>
        </w:rPr>
        <w:t>Законодательство выделяет значительный блок норм, направле</w:t>
      </w:r>
      <w:r w:rsidRPr="00EC1A78">
        <w:rPr>
          <w:rFonts w:eastAsiaTheme="minorHAnsi"/>
          <w:spacing w:val="-4"/>
          <w:sz w:val="22"/>
          <w:szCs w:val="22"/>
          <w:lang w:eastAsia="en-US"/>
        </w:rPr>
        <w:t>н</w:t>
      </w:r>
      <w:r w:rsidRPr="00EC1A78">
        <w:rPr>
          <w:rFonts w:eastAsiaTheme="minorHAnsi"/>
          <w:spacing w:val="-4"/>
          <w:sz w:val="22"/>
          <w:szCs w:val="22"/>
          <w:lang w:eastAsia="en-US"/>
        </w:rPr>
        <w:t>ных на защиту экономически слабой стороны гражданских правоо</w:t>
      </w:r>
      <w:r w:rsidRPr="00EC1A78">
        <w:rPr>
          <w:rFonts w:eastAsiaTheme="minorHAnsi"/>
          <w:spacing w:val="-4"/>
          <w:sz w:val="22"/>
          <w:szCs w:val="22"/>
          <w:lang w:eastAsia="en-US"/>
        </w:rPr>
        <w:t>т</w:t>
      </w:r>
      <w:r w:rsidRPr="00EC1A78">
        <w:rPr>
          <w:rFonts w:eastAsiaTheme="minorHAnsi"/>
          <w:spacing w:val="-4"/>
          <w:sz w:val="22"/>
          <w:szCs w:val="22"/>
          <w:lang w:eastAsia="en-US"/>
        </w:rPr>
        <w:t>ношений – потребителя. Закон о защите прав потребителей относит к таковым все категории физических лиц, не являющихся предприним</w:t>
      </w:r>
      <w:r w:rsidRPr="00EC1A78">
        <w:rPr>
          <w:rFonts w:eastAsiaTheme="minorHAnsi"/>
          <w:spacing w:val="-4"/>
          <w:sz w:val="22"/>
          <w:szCs w:val="22"/>
          <w:lang w:eastAsia="en-US"/>
        </w:rPr>
        <w:t>а</w:t>
      </w:r>
      <w:r w:rsidRPr="00EC1A78">
        <w:rPr>
          <w:rFonts w:eastAsiaTheme="minorHAnsi"/>
          <w:spacing w:val="-4"/>
          <w:sz w:val="22"/>
          <w:szCs w:val="22"/>
          <w:lang w:eastAsia="en-US"/>
        </w:rPr>
        <w:t>телями (последнее значение условно, поскольку потребителем может выступить и лицо, зарегистрированное в качестве индивидуального предпринимателя, но вступающее в конкретные правоотношения не с предпринимательской целью, а для удовлетворения личных нужд б</w:t>
      </w:r>
      <w:r w:rsidRPr="00EC1A78">
        <w:rPr>
          <w:rFonts w:eastAsiaTheme="minorHAnsi"/>
          <w:spacing w:val="-4"/>
          <w:sz w:val="22"/>
          <w:szCs w:val="22"/>
          <w:lang w:eastAsia="en-US"/>
        </w:rPr>
        <w:t>ы</w:t>
      </w:r>
      <w:r w:rsidRPr="00EC1A78">
        <w:rPr>
          <w:rFonts w:eastAsiaTheme="minorHAnsi"/>
          <w:spacing w:val="-4"/>
          <w:sz w:val="22"/>
          <w:szCs w:val="22"/>
          <w:lang w:eastAsia="en-US"/>
        </w:rPr>
        <w:t xml:space="preserve">тового характера). </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pacing w:val="-4"/>
          <w:sz w:val="22"/>
          <w:szCs w:val="22"/>
          <w:lang w:eastAsia="en-US"/>
        </w:rPr>
        <w:t>Одной из льгот, предоставленной отечественным законодател</w:t>
      </w:r>
      <w:r w:rsidRPr="00EC1A78">
        <w:rPr>
          <w:rFonts w:eastAsiaTheme="minorHAnsi"/>
          <w:spacing w:val="-4"/>
          <w:sz w:val="22"/>
          <w:szCs w:val="22"/>
          <w:lang w:eastAsia="en-US"/>
        </w:rPr>
        <w:t>ь</w:t>
      </w:r>
      <w:r w:rsidRPr="00EC1A78">
        <w:rPr>
          <w:rFonts w:eastAsiaTheme="minorHAnsi"/>
          <w:spacing w:val="-4"/>
          <w:sz w:val="22"/>
          <w:szCs w:val="22"/>
          <w:lang w:eastAsia="en-US"/>
        </w:rPr>
        <w:t>ством для потребителей, является так называемый «потребительский штраф». Суть его состоит в том, что он взыскивается только судом и при определенном условии, а именно: при отказе удовлетворить тр</w:t>
      </w:r>
      <w:r w:rsidRPr="00EC1A78">
        <w:rPr>
          <w:rFonts w:eastAsiaTheme="minorHAnsi"/>
          <w:spacing w:val="-4"/>
          <w:sz w:val="22"/>
          <w:szCs w:val="22"/>
          <w:lang w:eastAsia="en-US"/>
        </w:rPr>
        <w:t>е</w:t>
      </w:r>
      <w:r w:rsidRPr="00EC1A78">
        <w:rPr>
          <w:rFonts w:eastAsiaTheme="minorHAnsi"/>
          <w:spacing w:val="-4"/>
          <w:sz w:val="22"/>
          <w:szCs w:val="22"/>
          <w:lang w:eastAsia="en-US"/>
        </w:rPr>
        <w:t>бования потребителя в добровольном порядке. В соответствии с п. 6 ст. 13 Закона о защите прав потребителей при удовлетворении судом  требований потребителя, суд взыскивает в пользу потребителя штраф в размере пятидесяти процентов от суммы, присужденной судом в пользу потребителя[1].</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z w:val="22"/>
          <w:szCs w:val="22"/>
          <w:lang w:eastAsia="en-US"/>
        </w:rPr>
        <w:t>Целевым назначением приведенной нормы выступает обесп</w:t>
      </w:r>
      <w:r w:rsidRPr="00EC1A78">
        <w:rPr>
          <w:rFonts w:eastAsiaTheme="minorHAnsi"/>
          <w:sz w:val="22"/>
          <w:szCs w:val="22"/>
          <w:lang w:eastAsia="en-US"/>
        </w:rPr>
        <w:t>е</w:t>
      </w:r>
      <w:r w:rsidRPr="00EC1A78">
        <w:rPr>
          <w:rFonts w:eastAsiaTheme="minorHAnsi"/>
          <w:sz w:val="22"/>
          <w:szCs w:val="22"/>
          <w:lang w:eastAsia="en-US"/>
        </w:rPr>
        <w:t>чение интересов граждан в сфере торговли и оказания услуг, усил</w:t>
      </w:r>
      <w:r w:rsidRPr="00EC1A78">
        <w:rPr>
          <w:rFonts w:eastAsiaTheme="minorHAnsi"/>
          <w:sz w:val="22"/>
          <w:szCs w:val="22"/>
          <w:lang w:eastAsia="en-US"/>
        </w:rPr>
        <w:t>е</w:t>
      </w:r>
      <w:r w:rsidRPr="00EC1A78">
        <w:rPr>
          <w:rFonts w:eastAsiaTheme="minorHAnsi"/>
          <w:sz w:val="22"/>
          <w:szCs w:val="22"/>
          <w:lang w:eastAsia="en-US"/>
        </w:rPr>
        <w:t>ние защиты прав потребителей, побуждение изготовителя или пр</w:t>
      </w:r>
      <w:r w:rsidRPr="00EC1A78">
        <w:rPr>
          <w:rFonts w:eastAsiaTheme="minorHAnsi"/>
          <w:sz w:val="22"/>
          <w:szCs w:val="22"/>
          <w:lang w:eastAsia="en-US"/>
        </w:rPr>
        <w:t>о</w:t>
      </w:r>
      <w:r w:rsidRPr="00EC1A78">
        <w:rPr>
          <w:rFonts w:eastAsiaTheme="minorHAnsi"/>
          <w:sz w:val="22"/>
          <w:szCs w:val="22"/>
          <w:lang w:eastAsia="en-US"/>
        </w:rPr>
        <w:t>давца товара как профессионального участника рынка надлежащим образом исполнять свои обязательства в целях защиты прав потр</w:t>
      </w:r>
      <w:r w:rsidRPr="00EC1A78">
        <w:rPr>
          <w:rFonts w:eastAsiaTheme="minorHAnsi"/>
          <w:sz w:val="22"/>
          <w:szCs w:val="22"/>
          <w:lang w:eastAsia="en-US"/>
        </w:rPr>
        <w:t>е</w:t>
      </w:r>
      <w:r w:rsidRPr="00EC1A78">
        <w:rPr>
          <w:rFonts w:eastAsiaTheme="minorHAnsi"/>
          <w:sz w:val="22"/>
          <w:szCs w:val="22"/>
          <w:lang w:eastAsia="en-US"/>
        </w:rPr>
        <w:t>бителя как менее защищенной стороны договора.</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pacing w:val="-4"/>
          <w:sz w:val="22"/>
          <w:szCs w:val="22"/>
          <w:lang w:eastAsia="en-US"/>
        </w:rPr>
        <w:lastRenderedPageBreak/>
        <w:t>Практика работы с «потребительским штрафом» выявила акт</w:t>
      </w:r>
      <w:r w:rsidRPr="00EC1A78">
        <w:rPr>
          <w:rFonts w:eastAsiaTheme="minorHAnsi"/>
          <w:spacing w:val="-4"/>
          <w:sz w:val="22"/>
          <w:szCs w:val="22"/>
          <w:lang w:eastAsia="en-US"/>
        </w:rPr>
        <w:t>у</w:t>
      </w:r>
      <w:r w:rsidRPr="00EC1A78">
        <w:rPr>
          <w:rFonts w:eastAsiaTheme="minorHAnsi"/>
          <w:spacing w:val="-4"/>
          <w:sz w:val="22"/>
          <w:szCs w:val="22"/>
          <w:lang w:eastAsia="en-US"/>
        </w:rPr>
        <w:t>альные проблемы следующего рода: во–первых, потребителям взы</w:t>
      </w:r>
      <w:r w:rsidRPr="00EC1A78">
        <w:rPr>
          <w:rFonts w:eastAsiaTheme="minorHAnsi"/>
          <w:spacing w:val="-4"/>
          <w:sz w:val="22"/>
          <w:szCs w:val="22"/>
          <w:lang w:eastAsia="en-US"/>
        </w:rPr>
        <w:t>с</w:t>
      </w:r>
      <w:r w:rsidRPr="00EC1A78">
        <w:rPr>
          <w:rFonts w:eastAsiaTheme="minorHAnsi"/>
          <w:spacing w:val="-4"/>
          <w:sz w:val="22"/>
          <w:szCs w:val="22"/>
          <w:lang w:eastAsia="en-US"/>
        </w:rPr>
        <w:t>кивают штрафы в судах общей юрисдикции, а затем уступают выт</w:t>
      </w:r>
      <w:r w:rsidRPr="00EC1A78">
        <w:rPr>
          <w:rFonts w:eastAsiaTheme="minorHAnsi"/>
          <w:spacing w:val="-4"/>
          <w:sz w:val="22"/>
          <w:szCs w:val="22"/>
          <w:lang w:eastAsia="en-US"/>
        </w:rPr>
        <w:t>е</w:t>
      </w:r>
      <w:r w:rsidRPr="00EC1A78">
        <w:rPr>
          <w:rFonts w:eastAsiaTheme="minorHAnsi"/>
          <w:spacing w:val="-4"/>
          <w:sz w:val="22"/>
          <w:szCs w:val="22"/>
          <w:lang w:eastAsia="en-US"/>
        </w:rPr>
        <w:t>кающие из судебных решений права требования субъектам предпр</w:t>
      </w:r>
      <w:r w:rsidRPr="00EC1A78">
        <w:rPr>
          <w:rFonts w:eastAsiaTheme="minorHAnsi"/>
          <w:spacing w:val="-4"/>
          <w:sz w:val="22"/>
          <w:szCs w:val="22"/>
          <w:lang w:eastAsia="en-US"/>
        </w:rPr>
        <w:t>и</w:t>
      </w:r>
      <w:r w:rsidRPr="00EC1A78">
        <w:rPr>
          <w:rFonts w:eastAsiaTheme="minorHAnsi"/>
          <w:spacing w:val="-4"/>
          <w:sz w:val="22"/>
          <w:szCs w:val="22"/>
          <w:lang w:eastAsia="en-US"/>
        </w:rPr>
        <w:t>нимательской деятельности; во–вторых, арбитражные суды взыскив</w:t>
      </w:r>
      <w:r w:rsidRPr="00EC1A78">
        <w:rPr>
          <w:rFonts w:eastAsiaTheme="minorHAnsi"/>
          <w:spacing w:val="-4"/>
          <w:sz w:val="22"/>
          <w:szCs w:val="22"/>
          <w:lang w:eastAsia="en-US"/>
        </w:rPr>
        <w:t>а</w:t>
      </w:r>
      <w:r w:rsidRPr="00EC1A78">
        <w:rPr>
          <w:rFonts w:eastAsiaTheme="minorHAnsi"/>
          <w:spacing w:val="-4"/>
          <w:sz w:val="22"/>
          <w:szCs w:val="22"/>
          <w:lang w:eastAsia="en-US"/>
        </w:rPr>
        <w:t>ют штраф, предназначенный для потребителя в пользу субъекта пре</w:t>
      </w:r>
      <w:r w:rsidRPr="00EC1A78">
        <w:rPr>
          <w:rFonts w:eastAsiaTheme="minorHAnsi"/>
          <w:spacing w:val="-4"/>
          <w:sz w:val="22"/>
          <w:szCs w:val="22"/>
          <w:lang w:eastAsia="en-US"/>
        </w:rPr>
        <w:t>д</w:t>
      </w:r>
      <w:r w:rsidRPr="00EC1A78">
        <w:rPr>
          <w:rFonts w:eastAsiaTheme="minorHAnsi"/>
          <w:spacing w:val="-4"/>
          <w:sz w:val="22"/>
          <w:szCs w:val="22"/>
          <w:lang w:eastAsia="en-US"/>
        </w:rPr>
        <w:t>принимательства, заявляющее соответствующее требование, упуская тот факт, что законом определена конкретная правовая фигура– потр</w:t>
      </w:r>
      <w:r w:rsidRPr="00EC1A78">
        <w:rPr>
          <w:rFonts w:eastAsiaTheme="minorHAnsi"/>
          <w:spacing w:val="-4"/>
          <w:sz w:val="22"/>
          <w:szCs w:val="22"/>
          <w:lang w:eastAsia="en-US"/>
        </w:rPr>
        <w:t>е</w:t>
      </w:r>
      <w:r w:rsidRPr="00EC1A78">
        <w:rPr>
          <w:rFonts w:eastAsiaTheme="minorHAnsi"/>
          <w:spacing w:val="-4"/>
          <w:sz w:val="22"/>
          <w:szCs w:val="22"/>
          <w:lang w:eastAsia="en-US"/>
        </w:rPr>
        <w:t>битель, то есть обычный гражданин.</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pacing w:val="-4"/>
          <w:sz w:val="22"/>
          <w:szCs w:val="22"/>
          <w:lang w:eastAsia="en-US"/>
        </w:rPr>
        <w:t>В соответствии с действующим законодательством, под уступкой прав требований понимается переход права от первоначального кред</w:t>
      </w:r>
      <w:r w:rsidRPr="00EC1A78">
        <w:rPr>
          <w:rFonts w:eastAsiaTheme="minorHAnsi"/>
          <w:spacing w:val="-4"/>
          <w:sz w:val="22"/>
          <w:szCs w:val="22"/>
          <w:lang w:eastAsia="en-US"/>
        </w:rPr>
        <w:t>и</w:t>
      </w:r>
      <w:r w:rsidRPr="00EC1A78">
        <w:rPr>
          <w:rFonts w:eastAsiaTheme="minorHAnsi"/>
          <w:spacing w:val="-4"/>
          <w:sz w:val="22"/>
          <w:szCs w:val="22"/>
          <w:lang w:eastAsia="en-US"/>
        </w:rPr>
        <w:t>тора к новому кредитору в том объеме и на тех условиях, которые с</w:t>
      </w:r>
      <w:r w:rsidRPr="00EC1A78">
        <w:rPr>
          <w:rFonts w:eastAsiaTheme="minorHAnsi"/>
          <w:spacing w:val="-4"/>
          <w:sz w:val="22"/>
          <w:szCs w:val="22"/>
          <w:lang w:eastAsia="en-US"/>
        </w:rPr>
        <w:t>у</w:t>
      </w:r>
      <w:r w:rsidRPr="00EC1A78">
        <w:rPr>
          <w:rFonts w:eastAsiaTheme="minorHAnsi"/>
          <w:spacing w:val="-4"/>
          <w:sz w:val="22"/>
          <w:szCs w:val="22"/>
          <w:lang w:eastAsia="en-US"/>
        </w:rPr>
        <w:t>ществовали к моменту перехода права. Можно ли сделать однозна</w:t>
      </w:r>
      <w:r w:rsidRPr="00EC1A78">
        <w:rPr>
          <w:rFonts w:eastAsiaTheme="minorHAnsi"/>
          <w:spacing w:val="-4"/>
          <w:sz w:val="22"/>
          <w:szCs w:val="22"/>
          <w:lang w:eastAsia="en-US"/>
        </w:rPr>
        <w:t>ч</w:t>
      </w:r>
      <w:r w:rsidRPr="00EC1A78">
        <w:rPr>
          <w:rFonts w:eastAsiaTheme="minorHAnsi"/>
          <w:spacing w:val="-4"/>
          <w:sz w:val="22"/>
          <w:szCs w:val="22"/>
          <w:lang w:eastAsia="en-US"/>
        </w:rPr>
        <w:t xml:space="preserve">ный вывод, что при переходе всего объема прав и обязанностей, также переходит право требования штрафных санкций, предусмотренных исключительно для потребителя? </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pacing w:val="-4"/>
          <w:sz w:val="22"/>
          <w:szCs w:val="22"/>
          <w:lang w:eastAsia="en-US"/>
        </w:rPr>
        <w:t>Неоднозначно складывается судебная практика в решении данн</w:t>
      </w:r>
      <w:r w:rsidRPr="00EC1A78">
        <w:rPr>
          <w:rFonts w:eastAsiaTheme="minorHAnsi"/>
          <w:spacing w:val="-4"/>
          <w:sz w:val="22"/>
          <w:szCs w:val="22"/>
          <w:lang w:eastAsia="en-US"/>
        </w:rPr>
        <w:t>о</w:t>
      </w:r>
      <w:r w:rsidRPr="00EC1A78">
        <w:rPr>
          <w:rFonts w:eastAsiaTheme="minorHAnsi"/>
          <w:spacing w:val="-4"/>
          <w:sz w:val="22"/>
          <w:szCs w:val="22"/>
          <w:lang w:eastAsia="en-US"/>
        </w:rPr>
        <w:t>го вопроса. В судах общей юрисдикции взыскание штрафа происходит в пользу потребителя (физического лица) независимо от того, заявл</w:t>
      </w:r>
      <w:r w:rsidRPr="00EC1A78">
        <w:rPr>
          <w:rFonts w:eastAsiaTheme="minorHAnsi"/>
          <w:spacing w:val="-4"/>
          <w:sz w:val="22"/>
          <w:szCs w:val="22"/>
          <w:lang w:eastAsia="en-US"/>
        </w:rPr>
        <w:t>я</w:t>
      </w:r>
      <w:r w:rsidRPr="00EC1A78">
        <w:rPr>
          <w:rFonts w:eastAsiaTheme="minorHAnsi"/>
          <w:spacing w:val="-4"/>
          <w:sz w:val="22"/>
          <w:szCs w:val="22"/>
          <w:lang w:eastAsia="en-US"/>
        </w:rPr>
        <w:t xml:space="preserve">лось ли данное требование. То есть законом предусмотрено не право, а по своей сути обязанность суда взыскать подобный штраф. Здесь все предельно понятно. А как действуют арбитражные суды в подобных ситуациях? </w:t>
      </w:r>
    </w:p>
    <w:p w:rsidR="00EC1A78" w:rsidRPr="00EC1A78" w:rsidRDefault="00EC1A78" w:rsidP="00EC1A78">
      <w:pPr>
        <w:ind w:firstLine="425"/>
        <w:jc w:val="both"/>
        <w:rPr>
          <w:rFonts w:eastAsiaTheme="minorHAnsi"/>
          <w:sz w:val="22"/>
          <w:szCs w:val="22"/>
          <w:lang w:eastAsia="en-US"/>
        </w:rPr>
      </w:pPr>
      <w:r w:rsidRPr="00EC1A78">
        <w:rPr>
          <w:rFonts w:eastAsiaTheme="minorHAnsi"/>
          <w:spacing w:val="-4"/>
          <w:sz w:val="22"/>
          <w:szCs w:val="22"/>
          <w:lang w:eastAsia="en-US"/>
        </w:rPr>
        <w:t>До недавнего времени «потребительский штраф» взыскивался в пользу субъекта предпринимательской деятельности, согласно букве закона, по которой уступка права требования предполагает переход всего объема прав и обязанностей от предыдущего кредитора к нов</w:t>
      </w:r>
      <w:r w:rsidRPr="00EC1A78">
        <w:rPr>
          <w:rFonts w:eastAsiaTheme="minorHAnsi"/>
          <w:spacing w:val="-4"/>
          <w:sz w:val="22"/>
          <w:szCs w:val="22"/>
          <w:lang w:eastAsia="en-US"/>
        </w:rPr>
        <w:t>о</w:t>
      </w:r>
      <w:r w:rsidRPr="00EC1A78">
        <w:rPr>
          <w:rFonts w:eastAsiaTheme="minorHAnsi"/>
          <w:spacing w:val="-4"/>
          <w:sz w:val="22"/>
          <w:szCs w:val="22"/>
          <w:lang w:eastAsia="en-US"/>
        </w:rPr>
        <w:t xml:space="preserve">му. Соответственно, также переходит право требования штрафных санкций. </w:t>
      </w:r>
      <w:r w:rsidRPr="00EC1A78">
        <w:rPr>
          <w:rFonts w:eastAsiaTheme="minorHAnsi"/>
          <w:sz w:val="22"/>
          <w:szCs w:val="22"/>
          <w:lang w:eastAsia="en-US"/>
        </w:rPr>
        <w:t>Однако, в судебной практике произошли значительные изменения, и теперь все чаще арбитражные суды отказывают во взыскании данного штрафа субъектам предпринимательской де</w:t>
      </w:r>
      <w:r w:rsidRPr="00EC1A78">
        <w:rPr>
          <w:rFonts w:eastAsiaTheme="minorHAnsi"/>
          <w:sz w:val="22"/>
          <w:szCs w:val="22"/>
          <w:lang w:eastAsia="en-US"/>
        </w:rPr>
        <w:t>я</w:t>
      </w:r>
      <w:r w:rsidRPr="00EC1A78">
        <w:rPr>
          <w:rFonts w:eastAsiaTheme="minorHAnsi"/>
          <w:sz w:val="22"/>
          <w:szCs w:val="22"/>
          <w:lang w:eastAsia="en-US"/>
        </w:rPr>
        <w:t>тельности.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 В пункте 22 Постановления Пленума Верховного Суда РФ от 29.01.2015 г. № 2 сформулирована позиция, согласно которой, пр</w:t>
      </w:r>
      <w:r w:rsidRPr="00EC1A78">
        <w:rPr>
          <w:rFonts w:eastAsiaTheme="minorHAnsi"/>
          <w:sz w:val="22"/>
          <w:szCs w:val="22"/>
          <w:lang w:eastAsia="en-US"/>
        </w:rPr>
        <w:t>а</w:t>
      </w:r>
      <w:r w:rsidRPr="00EC1A78">
        <w:rPr>
          <w:rFonts w:eastAsiaTheme="minorHAnsi"/>
          <w:sz w:val="22"/>
          <w:szCs w:val="22"/>
          <w:lang w:eastAsia="en-US"/>
        </w:rPr>
        <w:t>во требования взыскания штрафа за неисполнение в добровольном порядке требования потерпевшего – физического лица, не может быть передано юридическому лицу до момента вынесения судом решения о его взыскании</w:t>
      </w:r>
      <w:r w:rsidRPr="00EC1A78">
        <w:rPr>
          <w:rFonts w:eastAsiaTheme="minorHAnsi"/>
          <w:spacing w:val="-4"/>
          <w:sz w:val="22"/>
          <w:szCs w:val="22"/>
          <w:lang w:eastAsia="en-US"/>
        </w:rPr>
        <w:t>[2].</w:t>
      </w:r>
    </w:p>
    <w:p w:rsidR="00EC1A78" w:rsidRPr="00EC1A78" w:rsidRDefault="00EC1A78" w:rsidP="00EC1A78">
      <w:pPr>
        <w:ind w:firstLine="425"/>
        <w:jc w:val="both"/>
        <w:rPr>
          <w:rFonts w:eastAsiaTheme="minorHAnsi"/>
          <w:spacing w:val="-4"/>
          <w:sz w:val="22"/>
          <w:szCs w:val="22"/>
          <w:lang w:eastAsia="en-US"/>
        </w:rPr>
      </w:pPr>
      <w:r w:rsidRPr="00EC1A78">
        <w:rPr>
          <w:rFonts w:eastAsiaTheme="minorHAnsi"/>
          <w:sz w:val="22"/>
          <w:szCs w:val="22"/>
          <w:lang w:eastAsia="en-US"/>
        </w:rPr>
        <w:lastRenderedPageBreak/>
        <w:t>Соответственно, по своей правовой природе уступка права тр</w:t>
      </w:r>
      <w:r w:rsidRPr="00EC1A78">
        <w:rPr>
          <w:rFonts w:eastAsiaTheme="minorHAnsi"/>
          <w:sz w:val="22"/>
          <w:szCs w:val="22"/>
          <w:lang w:eastAsia="en-US"/>
        </w:rPr>
        <w:t>е</w:t>
      </w:r>
      <w:r w:rsidRPr="00EC1A78">
        <w:rPr>
          <w:rFonts w:eastAsiaTheme="minorHAnsi"/>
          <w:sz w:val="22"/>
          <w:szCs w:val="22"/>
          <w:lang w:eastAsia="en-US"/>
        </w:rPr>
        <w:t>бования оплаты штрафа за добровольное неисполнение требования потребителя является уступкой будущего требования, которое во</w:t>
      </w:r>
      <w:r w:rsidRPr="00EC1A78">
        <w:rPr>
          <w:rFonts w:eastAsiaTheme="minorHAnsi"/>
          <w:sz w:val="22"/>
          <w:szCs w:val="22"/>
          <w:lang w:eastAsia="en-US"/>
        </w:rPr>
        <w:t>з</w:t>
      </w:r>
      <w:r w:rsidRPr="00EC1A78">
        <w:rPr>
          <w:rFonts w:eastAsiaTheme="minorHAnsi"/>
          <w:sz w:val="22"/>
          <w:szCs w:val="22"/>
          <w:lang w:eastAsia="en-US"/>
        </w:rPr>
        <w:t>никает после вынесения решения суда о взыскании соответству</w:t>
      </w:r>
      <w:r w:rsidRPr="00EC1A78">
        <w:rPr>
          <w:rFonts w:eastAsiaTheme="minorHAnsi"/>
          <w:sz w:val="22"/>
          <w:szCs w:val="22"/>
          <w:lang w:eastAsia="en-US"/>
        </w:rPr>
        <w:t>ю</w:t>
      </w:r>
      <w:r w:rsidRPr="00EC1A78">
        <w:rPr>
          <w:rFonts w:eastAsiaTheme="minorHAnsi"/>
          <w:sz w:val="22"/>
          <w:szCs w:val="22"/>
          <w:lang w:eastAsia="en-US"/>
        </w:rPr>
        <w:t xml:space="preserve">щего штрафа в пользу потребителя. </w:t>
      </w:r>
    </w:p>
    <w:p w:rsidR="00EC1A78" w:rsidRPr="005012A5" w:rsidRDefault="00EC1A78" w:rsidP="005012A5">
      <w:pPr>
        <w:ind w:firstLine="425"/>
        <w:jc w:val="both"/>
        <w:rPr>
          <w:rFonts w:eastAsiaTheme="minorHAnsi"/>
          <w:spacing w:val="-4"/>
          <w:sz w:val="22"/>
          <w:szCs w:val="22"/>
          <w:lang w:eastAsia="en-US"/>
        </w:rPr>
      </w:pPr>
      <w:r w:rsidRPr="00EC1A78">
        <w:rPr>
          <w:rFonts w:eastAsiaTheme="minorHAnsi"/>
          <w:spacing w:val="-4"/>
          <w:sz w:val="22"/>
          <w:szCs w:val="22"/>
          <w:lang w:eastAsia="en-US"/>
        </w:rPr>
        <w:t>Таким образом, вопрос о взыскании «потребительского штрафа» в пользу субъектов предпринимательства является довольно сложным институтом и окончательно еще не решен. Для его решения законод</w:t>
      </w:r>
      <w:r w:rsidRPr="00EC1A78">
        <w:rPr>
          <w:rFonts w:eastAsiaTheme="minorHAnsi"/>
          <w:spacing w:val="-4"/>
          <w:sz w:val="22"/>
          <w:szCs w:val="22"/>
          <w:lang w:eastAsia="en-US"/>
        </w:rPr>
        <w:t>а</w:t>
      </w:r>
      <w:r w:rsidRPr="00EC1A78">
        <w:rPr>
          <w:rFonts w:eastAsiaTheme="minorHAnsi"/>
          <w:spacing w:val="-4"/>
          <w:sz w:val="22"/>
          <w:szCs w:val="22"/>
          <w:lang w:eastAsia="en-US"/>
        </w:rPr>
        <w:t>телю необходимо внести определенные поправки в Закон о защите прав потребителей, где более подробно будут регламентированы пр</w:t>
      </w:r>
      <w:r w:rsidRPr="00EC1A78">
        <w:rPr>
          <w:rFonts w:eastAsiaTheme="minorHAnsi"/>
          <w:spacing w:val="-4"/>
          <w:sz w:val="22"/>
          <w:szCs w:val="22"/>
          <w:lang w:eastAsia="en-US"/>
        </w:rPr>
        <w:t>е</w:t>
      </w:r>
      <w:r w:rsidRPr="00EC1A78">
        <w:rPr>
          <w:rFonts w:eastAsiaTheme="minorHAnsi"/>
          <w:spacing w:val="-4"/>
          <w:sz w:val="22"/>
          <w:szCs w:val="22"/>
          <w:lang w:eastAsia="en-US"/>
        </w:rPr>
        <w:t>делы столкновения прав физических лиц и субъектов предприним</w:t>
      </w:r>
      <w:r w:rsidRPr="00EC1A78">
        <w:rPr>
          <w:rFonts w:eastAsiaTheme="minorHAnsi"/>
          <w:spacing w:val="-4"/>
          <w:sz w:val="22"/>
          <w:szCs w:val="22"/>
          <w:lang w:eastAsia="en-US"/>
        </w:rPr>
        <w:t>а</w:t>
      </w:r>
      <w:r w:rsidRPr="00EC1A78">
        <w:rPr>
          <w:rFonts w:eastAsiaTheme="minorHAnsi"/>
          <w:spacing w:val="-4"/>
          <w:sz w:val="22"/>
          <w:szCs w:val="22"/>
          <w:lang w:eastAsia="en-US"/>
        </w:rPr>
        <w:t xml:space="preserve">тельской деятельности. </w:t>
      </w:r>
    </w:p>
    <w:p w:rsidR="00EC1A78" w:rsidRPr="00EC1A78" w:rsidRDefault="00EC2599" w:rsidP="00EC1A78">
      <w:pPr>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О защите прав потребителей : федер. закон № 2300–1–ФЗ от 07 февраля 1992 г. в ред. от 05.05.2014 № 383–ФЗ // Собрание зак</w:t>
      </w:r>
      <w:r w:rsidRPr="00EC1A78">
        <w:rPr>
          <w:rFonts w:eastAsiaTheme="minorHAnsi"/>
          <w:sz w:val="22"/>
          <w:szCs w:val="22"/>
          <w:lang w:eastAsia="en-US"/>
        </w:rPr>
        <w:t>о</w:t>
      </w:r>
      <w:r w:rsidRPr="00EC1A78">
        <w:rPr>
          <w:rFonts w:eastAsiaTheme="minorHAnsi"/>
          <w:sz w:val="22"/>
          <w:szCs w:val="22"/>
          <w:lang w:eastAsia="en-US"/>
        </w:rPr>
        <w:t>нодательства РФ. 1996 г. № 3. Ст. 140.</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Постановление Пленума Верховного Суда РФ от 29 января 2015 г. № 2 «О применении судами законодательства об обязател</w:t>
      </w:r>
      <w:r w:rsidRPr="00EC1A78">
        <w:rPr>
          <w:rFonts w:eastAsiaTheme="minorHAnsi"/>
          <w:sz w:val="22"/>
          <w:szCs w:val="22"/>
          <w:lang w:eastAsia="en-US"/>
        </w:rPr>
        <w:t>ь</w:t>
      </w:r>
      <w:r w:rsidRPr="00EC1A78">
        <w:rPr>
          <w:rFonts w:eastAsiaTheme="minorHAnsi"/>
          <w:sz w:val="22"/>
          <w:szCs w:val="22"/>
          <w:lang w:eastAsia="en-US"/>
        </w:rPr>
        <w:t>ном страховании гражданской ответственности владельцев тран</w:t>
      </w:r>
      <w:r w:rsidRPr="00EC1A78">
        <w:rPr>
          <w:rFonts w:eastAsiaTheme="minorHAnsi"/>
          <w:sz w:val="22"/>
          <w:szCs w:val="22"/>
          <w:lang w:eastAsia="en-US"/>
        </w:rPr>
        <w:t>с</w:t>
      </w:r>
      <w:r w:rsidRPr="00EC1A78">
        <w:rPr>
          <w:rFonts w:eastAsiaTheme="minorHAnsi"/>
          <w:sz w:val="22"/>
          <w:szCs w:val="22"/>
          <w:lang w:eastAsia="en-US"/>
        </w:rPr>
        <w:t xml:space="preserve">портных средств» [электронный ресурс] // СПС «Консультант Плюс: Версия Проф». </w:t>
      </w:r>
    </w:p>
    <w:p w:rsidR="00EC1A78" w:rsidRDefault="00EC1A78" w:rsidP="00EC1A78">
      <w:pPr>
        <w:jc w:val="both"/>
        <w:rPr>
          <w:rFonts w:eastAsiaTheme="minorHAnsi"/>
          <w:sz w:val="22"/>
          <w:szCs w:val="22"/>
          <w:lang w:eastAsia="en-US"/>
        </w:rPr>
      </w:pPr>
    </w:p>
    <w:p w:rsidR="005012A5" w:rsidRPr="00EC1A78" w:rsidRDefault="005012A5" w:rsidP="00EC1A78">
      <w:pPr>
        <w:jc w:val="both"/>
        <w:rPr>
          <w:rFonts w:eastAsiaTheme="minorHAnsi"/>
          <w:sz w:val="22"/>
          <w:szCs w:val="22"/>
          <w:lang w:eastAsia="en-US"/>
        </w:rPr>
      </w:pPr>
    </w:p>
    <w:p w:rsidR="00EC1A78" w:rsidRPr="00163DEF" w:rsidRDefault="00EC1A78" w:rsidP="00163DEF">
      <w:pPr>
        <w:rPr>
          <w:rFonts w:eastAsiaTheme="minorHAnsi"/>
          <w:sz w:val="22"/>
          <w:szCs w:val="22"/>
          <w:lang w:eastAsia="en-US"/>
        </w:rPr>
      </w:pPr>
      <w:r w:rsidRPr="00EC1A78">
        <w:rPr>
          <w:rFonts w:eastAsiaTheme="minorHAnsi"/>
          <w:sz w:val="22"/>
          <w:szCs w:val="22"/>
          <w:lang w:eastAsia="en-US"/>
        </w:rPr>
        <w:t>УДК 343.919</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Личность преступника, совершающего тяжкие</w:t>
      </w:r>
      <w:r w:rsidR="00EC2599">
        <w:rPr>
          <w:rFonts w:eastAsiaTheme="minorHAnsi"/>
          <w:b/>
          <w:sz w:val="24"/>
          <w:szCs w:val="24"/>
          <w:lang w:eastAsia="en-US"/>
        </w:rPr>
        <w:br/>
      </w:r>
      <w:r w:rsidRPr="00EC1A78">
        <w:rPr>
          <w:rFonts w:eastAsiaTheme="minorHAnsi"/>
          <w:b/>
          <w:sz w:val="24"/>
          <w:szCs w:val="24"/>
          <w:lang w:eastAsia="en-US"/>
        </w:rPr>
        <w:t xml:space="preserve"> насильственные преступления</w:t>
      </w:r>
    </w:p>
    <w:p w:rsidR="00EC1A78" w:rsidRPr="00EC1A78" w:rsidRDefault="00EC1A78" w:rsidP="00EC1A78">
      <w:pPr>
        <w:rPr>
          <w:rFonts w:eastAsiaTheme="minorHAnsi"/>
          <w:sz w:val="22"/>
          <w:szCs w:val="22"/>
          <w:lang w:val="en-US" w:eastAsia="en-US"/>
        </w:rPr>
      </w:pPr>
      <w:r w:rsidRPr="00EC1A78">
        <w:rPr>
          <w:rFonts w:eastAsiaTheme="minorHAnsi"/>
          <w:b/>
          <w:sz w:val="24"/>
          <w:szCs w:val="24"/>
          <w:lang w:val="en-US" w:eastAsia="en-US"/>
        </w:rPr>
        <w:t>Personality of the criminal committing serious violent crimes</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Мозолевская А.</w:t>
      </w:r>
      <w:r w:rsidR="00EC2599">
        <w:rPr>
          <w:rFonts w:eastAsiaTheme="minorHAnsi"/>
          <w:sz w:val="22"/>
          <w:szCs w:val="22"/>
          <w:lang w:eastAsia="en-US"/>
        </w:rPr>
        <w:t xml:space="preserve"> </w:t>
      </w:r>
      <w:r w:rsidRPr="00EC1A78">
        <w:rPr>
          <w:rFonts w:eastAsiaTheme="minorHAnsi"/>
          <w:sz w:val="22"/>
          <w:szCs w:val="22"/>
          <w:lang w:eastAsia="en-US"/>
        </w:rPr>
        <w:t>Г.,</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 курса магистратуры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Картавченко В.</w:t>
      </w:r>
      <w:r w:rsidR="00EC2599">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jc w:val="right"/>
        <w:rPr>
          <w:color w:val="000000"/>
          <w:sz w:val="22"/>
          <w:szCs w:val="22"/>
        </w:rPr>
      </w:pPr>
      <w:r w:rsidRPr="00EC1A78">
        <w:rPr>
          <w:color w:val="000000"/>
          <w:sz w:val="22"/>
          <w:szCs w:val="22"/>
        </w:rPr>
        <w:t xml:space="preserve">Кубанский государственный аграрный </w:t>
      </w:r>
    </w:p>
    <w:p w:rsidR="00EC1A78" w:rsidRPr="00EC1A78" w:rsidRDefault="00EC1A78" w:rsidP="00EC1A78">
      <w:pPr>
        <w:jc w:val="right"/>
        <w:rPr>
          <w:color w:val="000000"/>
          <w:sz w:val="22"/>
          <w:szCs w:val="22"/>
        </w:rPr>
      </w:pPr>
      <w:r w:rsidRPr="00EC1A78">
        <w:rPr>
          <w:color w:val="000000"/>
          <w:sz w:val="22"/>
          <w:szCs w:val="22"/>
        </w:rPr>
        <w:t>университет имени И.</w:t>
      </w:r>
      <w:r w:rsidR="00EC2599">
        <w:rPr>
          <w:color w:val="000000"/>
          <w:sz w:val="22"/>
          <w:szCs w:val="22"/>
        </w:rPr>
        <w:t xml:space="preserve"> </w:t>
      </w:r>
      <w:r w:rsidRPr="00EC1A78">
        <w:rPr>
          <w:color w:val="000000"/>
          <w:sz w:val="22"/>
          <w:szCs w:val="22"/>
        </w:rPr>
        <w:t>Т. Трубилина</w:t>
      </w:r>
    </w:p>
    <w:p w:rsidR="00EC1A78" w:rsidRPr="00EC1A78" w:rsidRDefault="00EC1A78" w:rsidP="00EC1A78">
      <w:pPr>
        <w:jc w:val="center"/>
        <w:rPr>
          <w:rFonts w:eastAsiaTheme="minorHAnsi"/>
          <w:b/>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АННОТАЦИЯ: В данной статье рассматривается личность пр</w:t>
      </w:r>
      <w:r w:rsidRPr="00EC1A78">
        <w:rPr>
          <w:rFonts w:eastAsiaTheme="minorHAnsi"/>
          <w:sz w:val="22"/>
          <w:szCs w:val="22"/>
          <w:lang w:eastAsia="en-US"/>
        </w:rPr>
        <w:t>е</w:t>
      </w:r>
      <w:r w:rsidRPr="00EC1A78">
        <w:rPr>
          <w:rFonts w:eastAsiaTheme="minorHAnsi"/>
          <w:sz w:val="22"/>
          <w:szCs w:val="22"/>
          <w:lang w:eastAsia="en-US"/>
        </w:rPr>
        <w:t xml:space="preserve">ступника, совершающего тяжкие насильственные преступления. </w:t>
      </w:r>
      <w:r w:rsidRPr="00EC1A78">
        <w:rPr>
          <w:rFonts w:eastAsiaTheme="minorHAnsi"/>
          <w:sz w:val="22"/>
          <w:szCs w:val="22"/>
          <w:lang w:eastAsia="en-US"/>
        </w:rPr>
        <w:lastRenderedPageBreak/>
        <w:t>Рассматриваются проблемные вопросы данного типа преступников и основные черты преступников, совершающих насильственные преступления, а также те обстоятельства, которые толкают их на противодействие закону. Приводятся</w:t>
      </w:r>
      <w:r w:rsidRPr="00EC1A78">
        <w:rPr>
          <w:rFonts w:eastAsiaTheme="minorHAnsi"/>
          <w:sz w:val="22"/>
          <w:szCs w:val="22"/>
          <w:lang w:val="en-US" w:eastAsia="en-US"/>
        </w:rPr>
        <w:t xml:space="preserve"> </w:t>
      </w:r>
      <w:r w:rsidRPr="00EC1A78">
        <w:rPr>
          <w:rFonts w:eastAsiaTheme="minorHAnsi"/>
          <w:sz w:val="22"/>
          <w:szCs w:val="22"/>
          <w:lang w:eastAsia="en-US"/>
        </w:rPr>
        <w:t>полученные</w:t>
      </w:r>
      <w:r w:rsidRPr="00EC1A78">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 xml:space="preserve"> </w:t>
      </w:r>
      <w:r w:rsidRPr="00EC1A78">
        <w:rPr>
          <w:rFonts w:eastAsiaTheme="minorHAnsi"/>
          <w:sz w:val="22"/>
          <w:szCs w:val="22"/>
          <w:lang w:eastAsia="en-US"/>
        </w:rPr>
        <w:t>результате</w:t>
      </w:r>
      <w:r w:rsidRPr="00EC1A78">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eastAsia="en-US"/>
        </w:rPr>
        <w:t>с</w:t>
      </w:r>
      <w:r w:rsidRPr="00EC1A78">
        <w:rPr>
          <w:rFonts w:eastAsiaTheme="minorHAnsi"/>
          <w:sz w:val="22"/>
          <w:szCs w:val="22"/>
          <w:lang w:eastAsia="en-US"/>
        </w:rPr>
        <w:t>следования</w:t>
      </w:r>
      <w:r w:rsidRPr="00EC1A78">
        <w:rPr>
          <w:rFonts w:eastAsiaTheme="minorHAnsi"/>
          <w:sz w:val="22"/>
          <w:szCs w:val="22"/>
          <w:lang w:val="en-US" w:eastAsia="en-US"/>
        </w:rPr>
        <w:t xml:space="preserve"> </w:t>
      </w:r>
      <w:r w:rsidRPr="00EC1A78">
        <w:rPr>
          <w:rFonts w:eastAsiaTheme="minorHAnsi"/>
          <w:sz w:val="22"/>
          <w:szCs w:val="22"/>
          <w:lang w:eastAsia="en-US"/>
        </w:rPr>
        <w:t>выводы</w:t>
      </w:r>
      <w:r w:rsidRPr="00EC1A78">
        <w:rPr>
          <w:rFonts w:eastAsiaTheme="minorHAnsi"/>
          <w:sz w:val="22"/>
          <w:szCs w:val="22"/>
          <w:lang w:val="en-US" w:eastAsia="en-US"/>
        </w:rPr>
        <w:t>.</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ANNOTATION: In this article the identity of the criminal who commits serious violent crimes is considered. The problems of this type of criminals and the main features of criminals committing violent crimes are considered, as well as those circumstances that push them to oppose the law. The conclusions received as a result of research are r</w:t>
      </w:r>
      <w:r w:rsidRPr="00EC1A78">
        <w:rPr>
          <w:rFonts w:eastAsiaTheme="minorHAnsi"/>
          <w:sz w:val="22"/>
          <w:szCs w:val="22"/>
          <w:lang w:val="en-US" w:eastAsia="en-US"/>
        </w:rPr>
        <w:t>e</w:t>
      </w:r>
      <w:r w:rsidRPr="00EC1A78">
        <w:rPr>
          <w:rFonts w:eastAsiaTheme="minorHAnsi"/>
          <w:sz w:val="22"/>
          <w:szCs w:val="22"/>
          <w:lang w:val="en-US" w:eastAsia="en-US"/>
        </w:rPr>
        <w:t>sulted.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преступник, закон, насилие, личность, преступление.</w:t>
      </w:r>
    </w:p>
    <w:p w:rsidR="00EC1A78" w:rsidRPr="00EC1A78" w:rsidRDefault="00EC1A78" w:rsidP="00EC1A78">
      <w:pPr>
        <w:shd w:val="clear" w:color="auto" w:fill="FFFFFF"/>
        <w:ind w:firstLine="426"/>
        <w:textAlignment w:val="baseline"/>
        <w:rPr>
          <w:rFonts w:eastAsia="Calibri"/>
          <w:sz w:val="22"/>
          <w:szCs w:val="22"/>
          <w:lang w:val="en-US" w:eastAsia="en-US"/>
        </w:rPr>
      </w:pPr>
      <w:r w:rsidRPr="00EC1A78">
        <w:rPr>
          <w:rFonts w:eastAsia="Calibri"/>
          <w:sz w:val="22"/>
          <w:szCs w:val="22"/>
          <w:lang w:val="en-US" w:eastAsia="en-US"/>
        </w:rPr>
        <w:t>KEYWORDS: criminal, law, violence, personality, crime.</w:t>
      </w:r>
    </w:p>
    <w:p w:rsidR="00EC1A78" w:rsidRPr="00EC1A78" w:rsidRDefault="00EC1A78" w:rsidP="00EC1A78">
      <w:pPr>
        <w:shd w:val="clear" w:color="auto" w:fill="FFFFFF"/>
        <w:ind w:firstLine="426"/>
        <w:textAlignment w:val="baseline"/>
        <w:rPr>
          <w:sz w:val="22"/>
          <w:szCs w:val="22"/>
          <w:lang w:val="en-US"/>
        </w:rPr>
      </w:pPr>
    </w:p>
    <w:p w:rsidR="00EC1A78" w:rsidRPr="00EC1A78" w:rsidRDefault="00EC1A78" w:rsidP="00EC1A78">
      <w:pPr>
        <w:shd w:val="clear" w:color="auto" w:fill="FFFFFF"/>
        <w:ind w:firstLine="426"/>
        <w:jc w:val="both"/>
        <w:textAlignment w:val="baseline"/>
        <w:rPr>
          <w:sz w:val="22"/>
          <w:szCs w:val="22"/>
        </w:rPr>
      </w:pPr>
      <w:r w:rsidRPr="00EC1A78">
        <w:rPr>
          <w:sz w:val="22"/>
          <w:szCs w:val="22"/>
        </w:rPr>
        <w:t>Мужчины – это основная масса лиц, которые совершают тя</w:t>
      </w:r>
      <w:r w:rsidRPr="00EC1A78">
        <w:rPr>
          <w:sz w:val="22"/>
          <w:szCs w:val="22"/>
        </w:rPr>
        <w:t>ж</w:t>
      </w:r>
      <w:r w:rsidRPr="00EC1A78">
        <w:rPr>
          <w:sz w:val="22"/>
          <w:szCs w:val="22"/>
        </w:rPr>
        <w:t>кие насильственные преступления. Их доля составляет 91 % от о</w:t>
      </w:r>
      <w:r w:rsidRPr="00EC1A78">
        <w:rPr>
          <w:sz w:val="22"/>
          <w:szCs w:val="22"/>
        </w:rPr>
        <w:t>б</w:t>
      </w:r>
      <w:r w:rsidRPr="00EC1A78">
        <w:rPr>
          <w:sz w:val="22"/>
          <w:szCs w:val="22"/>
        </w:rPr>
        <w:t>щего числа совершивших преступления [1].</w:t>
      </w:r>
    </w:p>
    <w:p w:rsidR="00EC1A78" w:rsidRPr="00EC1A78" w:rsidRDefault="00EC1A78" w:rsidP="00EC1A78">
      <w:pPr>
        <w:shd w:val="clear" w:color="auto" w:fill="FFFFFF"/>
        <w:ind w:firstLine="426"/>
        <w:jc w:val="both"/>
        <w:textAlignment w:val="baseline"/>
        <w:rPr>
          <w:sz w:val="22"/>
          <w:szCs w:val="22"/>
        </w:rPr>
      </w:pPr>
      <w:r w:rsidRPr="00EC1A78">
        <w:rPr>
          <w:sz w:val="22"/>
          <w:szCs w:val="22"/>
        </w:rPr>
        <w:t>Острота темы не вызывает сомнения так как количество лиц совершающих тяжкие насильственные преступления растет, кроме того из года в год в тяжкие насильственные преступления втягив</w:t>
      </w:r>
      <w:r w:rsidRPr="00EC1A78">
        <w:rPr>
          <w:sz w:val="22"/>
          <w:szCs w:val="22"/>
        </w:rPr>
        <w:t>а</w:t>
      </w:r>
      <w:r w:rsidRPr="00EC1A78">
        <w:rPr>
          <w:sz w:val="22"/>
          <w:szCs w:val="22"/>
        </w:rPr>
        <w:t xml:space="preserve">ется все больше женщин[2]. </w:t>
      </w:r>
    </w:p>
    <w:p w:rsidR="00EC1A78" w:rsidRPr="00EC1A78" w:rsidRDefault="00EC1A78" w:rsidP="00EC1A78">
      <w:pPr>
        <w:ind w:firstLine="426"/>
        <w:jc w:val="both"/>
        <w:rPr>
          <w:sz w:val="22"/>
          <w:szCs w:val="22"/>
        </w:rPr>
      </w:pPr>
      <w:r w:rsidRPr="00EC1A78">
        <w:rPr>
          <w:sz w:val="22"/>
          <w:szCs w:val="22"/>
        </w:rPr>
        <w:t>Неуклонный рост преступлений такого рода в последние годы не является простой случайностью, женщины стали намного чаще прибегать к преступному насилию[3].</w:t>
      </w:r>
    </w:p>
    <w:p w:rsidR="00EC1A78" w:rsidRPr="00EC1A78" w:rsidRDefault="00EC1A78" w:rsidP="00EC1A78">
      <w:pPr>
        <w:ind w:firstLine="426"/>
        <w:jc w:val="both"/>
        <w:textAlignment w:val="baseline"/>
        <w:rPr>
          <w:sz w:val="22"/>
          <w:szCs w:val="22"/>
        </w:rPr>
      </w:pPr>
      <w:r w:rsidRPr="00EC1A78">
        <w:rPr>
          <w:sz w:val="22"/>
          <w:szCs w:val="22"/>
        </w:rPr>
        <w:t>Возраст тех лиц, которые наносят тяжкие телесные поврежд</w:t>
      </w:r>
      <w:r w:rsidRPr="00EC1A78">
        <w:rPr>
          <w:sz w:val="22"/>
          <w:szCs w:val="22"/>
        </w:rPr>
        <w:t>е</w:t>
      </w:r>
      <w:r w:rsidRPr="00EC1A78">
        <w:rPr>
          <w:sz w:val="22"/>
          <w:szCs w:val="22"/>
        </w:rPr>
        <w:t>ния и совершают умышленные убийства, превышает 30 лет, такую информацию можно извлечь из изучения возрастных характер</w:t>
      </w:r>
      <w:r w:rsidRPr="00EC1A78">
        <w:rPr>
          <w:sz w:val="22"/>
          <w:szCs w:val="22"/>
        </w:rPr>
        <w:t>и</w:t>
      </w:r>
      <w:r w:rsidRPr="00EC1A78">
        <w:rPr>
          <w:sz w:val="22"/>
          <w:szCs w:val="22"/>
        </w:rPr>
        <w:t xml:space="preserve">стик[4]. </w:t>
      </w:r>
    </w:p>
    <w:p w:rsidR="00EC1A78" w:rsidRPr="00EC1A78" w:rsidRDefault="00EC1A78" w:rsidP="00EC1A78">
      <w:pPr>
        <w:ind w:firstLine="426"/>
        <w:jc w:val="both"/>
        <w:textAlignment w:val="baseline"/>
        <w:rPr>
          <w:sz w:val="22"/>
          <w:szCs w:val="22"/>
        </w:rPr>
      </w:pPr>
      <w:r w:rsidRPr="00EC1A78">
        <w:rPr>
          <w:sz w:val="22"/>
          <w:szCs w:val="22"/>
        </w:rPr>
        <w:t>Гораздо ниже образовательный уровень насильственных пр</w:t>
      </w:r>
      <w:r w:rsidRPr="00EC1A78">
        <w:rPr>
          <w:sz w:val="22"/>
          <w:szCs w:val="22"/>
        </w:rPr>
        <w:t>е</w:t>
      </w:r>
      <w:r w:rsidRPr="00EC1A78">
        <w:rPr>
          <w:sz w:val="22"/>
          <w:szCs w:val="22"/>
        </w:rPr>
        <w:t>ступников, по сравнению с уровнем образования населения в ц</w:t>
      </w:r>
      <w:r w:rsidRPr="00EC1A78">
        <w:rPr>
          <w:sz w:val="22"/>
          <w:szCs w:val="22"/>
        </w:rPr>
        <w:t>е</w:t>
      </w:r>
      <w:r w:rsidRPr="00EC1A78">
        <w:rPr>
          <w:sz w:val="22"/>
          <w:szCs w:val="22"/>
        </w:rPr>
        <w:t>лом. Исследования показывают, что такие преступники, только в 2% случаях имеют высшее и незаконченное высшее, незаконченное среднее в 70 % случаев, среднеспециальное и среднее – 17 %, н</w:t>
      </w:r>
      <w:r w:rsidRPr="00EC1A78">
        <w:rPr>
          <w:sz w:val="22"/>
          <w:szCs w:val="22"/>
        </w:rPr>
        <w:t>е</w:t>
      </w:r>
      <w:r w:rsidRPr="00EC1A78">
        <w:rPr>
          <w:sz w:val="22"/>
          <w:szCs w:val="22"/>
        </w:rPr>
        <w:t xml:space="preserve">полное среднее образование – 10 %[5]. </w:t>
      </w:r>
    </w:p>
    <w:p w:rsidR="00EC1A78" w:rsidRPr="00EC1A78" w:rsidRDefault="00EC1A78" w:rsidP="00EC1A78">
      <w:pPr>
        <w:ind w:firstLine="426"/>
        <w:jc w:val="both"/>
        <w:textAlignment w:val="baseline"/>
        <w:rPr>
          <w:sz w:val="22"/>
          <w:szCs w:val="22"/>
        </w:rPr>
      </w:pPr>
      <w:r w:rsidRPr="00EC1A78">
        <w:rPr>
          <w:sz w:val="22"/>
          <w:szCs w:val="22"/>
        </w:rPr>
        <w:t>Семья не является сдерживающим фактором для преступника, так как среди указанных лиц на момент совершения преступления, более половины состояли в браке[6].</w:t>
      </w:r>
    </w:p>
    <w:p w:rsidR="00EC1A78" w:rsidRPr="00EC1A78" w:rsidRDefault="00EC1A78" w:rsidP="00EC1A78">
      <w:pPr>
        <w:ind w:firstLine="426"/>
        <w:jc w:val="both"/>
        <w:textAlignment w:val="baseline"/>
        <w:rPr>
          <w:sz w:val="22"/>
          <w:szCs w:val="22"/>
        </w:rPr>
      </w:pPr>
      <w:r w:rsidRPr="00EC1A78">
        <w:rPr>
          <w:sz w:val="22"/>
          <w:szCs w:val="22"/>
        </w:rPr>
        <w:lastRenderedPageBreak/>
        <w:t>Такие отрицательные привычки, как рукоприкладство, наруш</w:t>
      </w:r>
      <w:r w:rsidRPr="00EC1A78">
        <w:rPr>
          <w:sz w:val="22"/>
          <w:szCs w:val="22"/>
        </w:rPr>
        <w:t>е</w:t>
      </w:r>
      <w:r w:rsidRPr="00EC1A78">
        <w:rPr>
          <w:sz w:val="22"/>
          <w:szCs w:val="22"/>
        </w:rPr>
        <w:t xml:space="preserve">ние общественного порядка, пьянство для лиц, которые совершают насильственные преступления свойственны[7]. </w:t>
      </w:r>
    </w:p>
    <w:p w:rsidR="00EC1A78" w:rsidRPr="00EC1A78" w:rsidRDefault="00EC1A78" w:rsidP="00EC1A78">
      <w:pPr>
        <w:ind w:firstLine="426"/>
        <w:jc w:val="both"/>
        <w:textAlignment w:val="baseline"/>
        <w:rPr>
          <w:sz w:val="22"/>
          <w:szCs w:val="22"/>
        </w:rPr>
      </w:pPr>
      <w:r w:rsidRPr="00EC1A78">
        <w:rPr>
          <w:sz w:val="22"/>
          <w:szCs w:val="22"/>
        </w:rPr>
        <w:t>Доля лиц, судимых ранее за совершение преступлений среди насильственных преступников велика. За совершение антиобщ</w:t>
      </w:r>
      <w:r w:rsidRPr="00EC1A78">
        <w:rPr>
          <w:sz w:val="22"/>
          <w:szCs w:val="22"/>
        </w:rPr>
        <w:t>е</w:t>
      </w:r>
      <w:r w:rsidRPr="00EC1A78">
        <w:rPr>
          <w:sz w:val="22"/>
          <w:szCs w:val="22"/>
        </w:rPr>
        <w:t>ственных проступков к ответственности привлекались две трети насильственных преступников.</w:t>
      </w:r>
    </w:p>
    <w:p w:rsidR="00EC1A78" w:rsidRPr="00EC1A78" w:rsidRDefault="00EC1A78" w:rsidP="00EC1A78">
      <w:pPr>
        <w:ind w:firstLine="426"/>
        <w:jc w:val="both"/>
        <w:textAlignment w:val="baseline"/>
        <w:rPr>
          <w:sz w:val="22"/>
          <w:szCs w:val="22"/>
        </w:rPr>
      </w:pPr>
      <w:r w:rsidRPr="00EC1A78">
        <w:rPr>
          <w:sz w:val="22"/>
          <w:szCs w:val="22"/>
        </w:rPr>
        <w:t>Агрессивность; стереотипы вызывающего, грубого поведения; убежденность в допустимости насильственных способов разреш</w:t>
      </w:r>
      <w:r w:rsidRPr="00EC1A78">
        <w:rPr>
          <w:sz w:val="22"/>
          <w:szCs w:val="22"/>
        </w:rPr>
        <w:t>е</w:t>
      </w:r>
      <w:r w:rsidRPr="00EC1A78">
        <w:rPr>
          <w:sz w:val="22"/>
          <w:szCs w:val="22"/>
        </w:rPr>
        <w:t>ния конфликтов и удовлетворения своих желаний; неуважительное отношение к страданиям, переживаниям, чувствам других людей; эгоцентризм – это нравственно – психологические свойства личн</w:t>
      </w:r>
      <w:r w:rsidRPr="00EC1A78">
        <w:rPr>
          <w:sz w:val="22"/>
          <w:szCs w:val="22"/>
        </w:rPr>
        <w:t>о</w:t>
      </w:r>
      <w:r w:rsidRPr="00EC1A78">
        <w:rPr>
          <w:sz w:val="22"/>
          <w:szCs w:val="22"/>
        </w:rPr>
        <w:t>сти насильственного преступника.</w:t>
      </w:r>
    </w:p>
    <w:p w:rsidR="00EC1A78" w:rsidRPr="00EC1A78" w:rsidRDefault="00EC1A78" w:rsidP="00EC1A78">
      <w:pPr>
        <w:ind w:firstLine="426"/>
        <w:jc w:val="both"/>
        <w:textAlignment w:val="baseline"/>
        <w:rPr>
          <w:sz w:val="22"/>
          <w:szCs w:val="22"/>
        </w:rPr>
      </w:pPr>
      <w:r w:rsidRPr="00EC1A78">
        <w:rPr>
          <w:sz w:val="22"/>
          <w:szCs w:val="22"/>
        </w:rPr>
        <w:t>В целом же нравственно–психологическая характеристика насильственных преступников показывает, что это люди, не име</w:t>
      </w:r>
      <w:r w:rsidRPr="00EC1A78">
        <w:rPr>
          <w:sz w:val="22"/>
          <w:szCs w:val="22"/>
        </w:rPr>
        <w:t>ю</w:t>
      </w:r>
      <w:r w:rsidRPr="00EC1A78">
        <w:rPr>
          <w:sz w:val="22"/>
          <w:szCs w:val="22"/>
        </w:rPr>
        <w:t>щие устойчивых воззрений. Их поведение зачастую зависит от сл</w:t>
      </w:r>
      <w:r w:rsidRPr="00EC1A78">
        <w:rPr>
          <w:sz w:val="22"/>
          <w:szCs w:val="22"/>
        </w:rPr>
        <w:t>у</w:t>
      </w:r>
      <w:r w:rsidRPr="00EC1A78">
        <w:rPr>
          <w:sz w:val="22"/>
          <w:szCs w:val="22"/>
        </w:rPr>
        <w:t>чайно сложившихся ситуаций[8].</w:t>
      </w:r>
    </w:p>
    <w:p w:rsidR="00EC1A78" w:rsidRPr="00EC1A78" w:rsidRDefault="00EC1A78" w:rsidP="00EC1A78">
      <w:pPr>
        <w:ind w:firstLine="426"/>
        <w:jc w:val="both"/>
        <w:textAlignment w:val="baseline"/>
        <w:rPr>
          <w:sz w:val="22"/>
          <w:szCs w:val="22"/>
        </w:rPr>
      </w:pPr>
      <w:r w:rsidRPr="00EC1A78">
        <w:rPr>
          <w:sz w:val="22"/>
          <w:szCs w:val="22"/>
        </w:rPr>
        <w:t>Рассмотрению личности преступника, который совершает тя</w:t>
      </w:r>
      <w:r w:rsidRPr="00EC1A78">
        <w:rPr>
          <w:sz w:val="22"/>
          <w:szCs w:val="22"/>
        </w:rPr>
        <w:t>ж</w:t>
      </w:r>
      <w:r w:rsidRPr="00EC1A78">
        <w:rPr>
          <w:sz w:val="22"/>
          <w:szCs w:val="22"/>
        </w:rPr>
        <w:t>кие насильственные преступления, необходимо уделять как можно больше времени, так как игнорирование личностных черт таких преступников приводит к неуклонному росту таких видов престу</w:t>
      </w:r>
      <w:r w:rsidRPr="00EC1A78">
        <w:rPr>
          <w:sz w:val="22"/>
          <w:szCs w:val="22"/>
        </w:rPr>
        <w:t>п</w:t>
      </w:r>
      <w:r w:rsidRPr="00EC1A78">
        <w:rPr>
          <w:sz w:val="22"/>
          <w:szCs w:val="22"/>
        </w:rPr>
        <w:t>лений.</w:t>
      </w:r>
    </w:p>
    <w:p w:rsidR="00EC1A78" w:rsidRPr="00EC2599" w:rsidRDefault="00EC1A78" w:rsidP="00EC1A78">
      <w:pPr>
        <w:ind w:firstLine="709"/>
        <w:jc w:val="center"/>
        <w:textAlignment w:val="baseline"/>
        <w:rPr>
          <w:sz w:val="22"/>
          <w:szCs w:val="22"/>
        </w:rPr>
      </w:pPr>
      <w:r w:rsidRPr="00EC2599">
        <w:rPr>
          <w:sz w:val="22"/>
          <w:szCs w:val="22"/>
        </w:rPr>
        <w:t>Список литературы</w:t>
      </w:r>
    </w:p>
    <w:p w:rsidR="00EC1A78" w:rsidRPr="00EC1A78" w:rsidRDefault="00EC1A78" w:rsidP="00EC1A78">
      <w:pPr>
        <w:ind w:firstLine="426"/>
        <w:jc w:val="both"/>
        <w:textAlignment w:val="baseline"/>
        <w:rPr>
          <w:sz w:val="22"/>
          <w:szCs w:val="22"/>
        </w:rPr>
      </w:pPr>
      <w:r w:rsidRPr="00EC1A78">
        <w:rPr>
          <w:sz w:val="22"/>
          <w:szCs w:val="22"/>
        </w:rPr>
        <w:t>1. Берн Ш. Гендерная психология. Законы мужского и женск</w:t>
      </w:r>
      <w:r w:rsidRPr="00EC1A78">
        <w:rPr>
          <w:sz w:val="22"/>
          <w:szCs w:val="22"/>
        </w:rPr>
        <w:t>о</w:t>
      </w:r>
      <w:r w:rsidRPr="00EC1A78">
        <w:rPr>
          <w:sz w:val="22"/>
          <w:szCs w:val="22"/>
        </w:rPr>
        <w:t>го поведения. – СПб.: Прайм – ЕВРОЗНАК, 2015. – С. 109–112.</w:t>
      </w:r>
    </w:p>
    <w:p w:rsidR="00EC1A78" w:rsidRPr="00EC1A78" w:rsidRDefault="00EC1A78" w:rsidP="00EC1A78">
      <w:pPr>
        <w:ind w:firstLine="426"/>
        <w:jc w:val="both"/>
        <w:textAlignment w:val="baseline"/>
        <w:rPr>
          <w:sz w:val="22"/>
          <w:szCs w:val="22"/>
        </w:rPr>
      </w:pPr>
      <w:r w:rsidRPr="00EC1A78">
        <w:rPr>
          <w:rFonts w:eastAsiaTheme="minorHAnsi"/>
          <w:sz w:val="22"/>
          <w:szCs w:val="22"/>
          <w:lang w:eastAsia="en-US"/>
        </w:rPr>
        <w:t xml:space="preserve">2. </w:t>
      </w:r>
      <w:r w:rsidRPr="00EC1A78">
        <w:rPr>
          <w:sz w:val="22"/>
          <w:szCs w:val="22"/>
        </w:rPr>
        <w:t>Варыгин А.Н., Яковлев Д.Ю. Преступления против жизни, совершаемые женщинами (криминологический аспект). // Вестник Казанского юридического института МВД России, 2016, Т. 1, № 1 (15). – С. 29–31.</w:t>
      </w:r>
    </w:p>
    <w:p w:rsidR="00EC1A78" w:rsidRPr="00EC1A78" w:rsidRDefault="00EC1A78" w:rsidP="00EC1A78">
      <w:pPr>
        <w:ind w:firstLine="426"/>
        <w:jc w:val="both"/>
        <w:textAlignment w:val="baseline"/>
        <w:rPr>
          <w:sz w:val="22"/>
          <w:szCs w:val="22"/>
        </w:rPr>
      </w:pPr>
      <w:r w:rsidRPr="00EC1A78">
        <w:rPr>
          <w:rFonts w:eastAsiaTheme="minorHAnsi"/>
          <w:sz w:val="22"/>
          <w:szCs w:val="22"/>
          <w:lang w:eastAsia="en-US"/>
        </w:rPr>
        <w:t xml:space="preserve">3. </w:t>
      </w:r>
      <w:r w:rsidRPr="00EC1A78">
        <w:rPr>
          <w:sz w:val="22"/>
          <w:szCs w:val="22"/>
        </w:rPr>
        <w:t>Серебрякова В.А. Криминологическая характеристика же</w:t>
      </w:r>
      <w:r w:rsidRPr="00EC1A78">
        <w:rPr>
          <w:sz w:val="22"/>
          <w:szCs w:val="22"/>
        </w:rPr>
        <w:t>н</w:t>
      </w:r>
      <w:r w:rsidRPr="00EC1A78">
        <w:rPr>
          <w:sz w:val="22"/>
          <w:szCs w:val="22"/>
        </w:rPr>
        <w:t>щин – преступниц. // Вопросы борьбы с преступностью. – М.: Юрид. лит., 2015, №14. – С. 3–16.</w:t>
      </w:r>
    </w:p>
    <w:p w:rsidR="00EC1A78" w:rsidRPr="00EC1A78" w:rsidRDefault="00EC1A78" w:rsidP="00EC1A78">
      <w:pPr>
        <w:ind w:firstLine="426"/>
        <w:jc w:val="both"/>
        <w:textAlignment w:val="baseline"/>
        <w:rPr>
          <w:sz w:val="22"/>
          <w:szCs w:val="22"/>
        </w:rPr>
      </w:pPr>
      <w:r w:rsidRPr="00EC1A78">
        <w:rPr>
          <w:rFonts w:eastAsiaTheme="minorHAnsi"/>
          <w:sz w:val="22"/>
          <w:szCs w:val="22"/>
          <w:lang w:eastAsia="en-US"/>
        </w:rPr>
        <w:t xml:space="preserve">4. </w:t>
      </w:r>
      <w:r w:rsidRPr="00EC1A78">
        <w:rPr>
          <w:sz w:val="22"/>
          <w:szCs w:val="22"/>
        </w:rPr>
        <w:t>Дашиева А.Д. Уголовно–правовая и криминологическая х</w:t>
      </w:r>
      <w:r w:rsidRPr="00EC1A78">
        <w:rPr>
          <w:sz w:val="22"/>
          <w:szCs w:val="22"/>
        </w:rPr>
        <w:t>а</w:t>
      </w:r>
      <w:r w:rsidRPr="00EC1A78">
        <w:rPr>
          <w:sz w:val="22"/>
          <w:szCs w:val="22"/>
        </w:rPr>
        <w:t>рактеристика истязания и его предупреждение: по материалам В</w:t>
      </w:r>
      <w:r w:rsidRPr="00EC1A78">
        <w:rPr>
          <w:sz w:val="22"/>
          <w:szCs w:val="22"/>
        </w:rPr>
        <w:t>о</w:t>
      </w:r>
      <w:r w:rsidRPr="00EC1A78">
        <w:rPr>
          <w:sz w:val="22"/>
          <w:szCs w:val="22"/>
        </w:rPr>
        <w:t>сточно–Сибирского региона: Автореф. дис. … канд. юрид. наук. – Иркутск, 2016. – 25с.</w:t>
      </w:r>
    </w:p>
    <w:p w:rsidR="00EC1A78" w:rsidRPr="00EC1A78" w:rsidRDefault="00EC1A78" w:rsidP="00EC1A78">
      <w:pPr>
        <w:ind w:firstLine="426"/>
        <w:jc w:val="both"/>
        <w:textAlignment w:val="baseline"/>
        <w:rPr>
          <w:sz w:val="22"/>
          <w:szCs w:val="22"/>
        </w:rPr>
      </w:pPr>
      <w:r w:rsidRPr="00EC1A78">
        <w:rPr>
          <w:sz w:val="22"/>
          <w:szCs w:val="22"/>
        </w:rPr>
        <w:t>5. Антонян Ю.М., Кудрявцев В.Н., Эминов В.Е. Личность пр</w:t>
      </w:r>
      <w:r w:rsidRPr="00EC1A78">
        <w:rPr>
          <w:sz w:val="22"/>
          <w:szCs w:val="22"/>
        </w:rPr>
        <w:t>е</w:t>
      </w:r>
      <w:r w:rsidRPr="00EC1A78">
        <w:rPr>
          <w:sz w:val="22"/>
          <w:szCs w:val="22"/>
        </w:rPr>
        <w:t>ступника. – СПб.: «Юридический центр Пресс», 2015. – С. 150–151.</w:t>
      </w:r>
    </w:p>
    <w:p w:rsidR="00EC1A78" w:rsidRPr="00EC1A78" w:rsidRDefault="00EC1A78" w:rsidP="00EC1A78">
      <w:pPr>
        <w:ind w:firstLine="426"/>
        <w:jc w:val="both"/>
        <w:textAlignment w:val="baseline"/>
        <w:rPr>
          <w:sz w:val="22"/>
          <w:szCs w:val="22"/>
        </w:rPr>
      </w:pPr>
      <w:r w:rsidRPr="00EC1A78">
        <w:rPr>
          <w:rFonts w:eastAsiaTheme="minorHAnsi"/>
          <w:sz w:val="22"/>
          <w:szCs w:val="22"/>
          <w:lang w:eastAsia="en-US"/>
        </w:rPr>
        <w:lastRenderedPageBreak/>
        <w:t xml:space="preserve">6. </w:t>
      </w:r>
      <w:r w:rsidRPr="00EC1A78">
        <w:rPr>
          <w:sz w:val="22"/>
          <w:szCs w:val="22"/>
        </w:rPr>
        <w:t>Ильяшенко А.Н. Виктимологические проблемы насил</w:t>
      </w:r>
      <w:r w:rsidRPr="00EC1A78">
        <w:rPr>
          <w:sz w:val="22"/>
          <w:szCs w:val="22"/>
        </w:rPr>
        <w:t>ь</w:t>
      </w:r>
      <w:r w:rsidRPr="00EC1A78">
        <w:rPr>
          <w:sz w:val="22"/>
          <w:szCs w:val="22"/>
        </w:rPr>
        <w:t>ственной преступности в семье. // Право и политика, 2015, № 1. – С. 92.</w:t>
      </w:r>
    </w:p>
    <w:p w:rsidR="00EC1A78" w:rsidRPr="00EC1A78" w:rsidRDefault="00EC1A78" w:rsidP="00EC1A78">
      <w:pPr>
        <w:ind w:firstLine="426"/>
        <w:jc w:val="both"/>
        <w:textAlignment w:val="baseline"/>
        <w:rPr>
          <w:sz w:val="22"/>
          <w:szCs w:val="22"/>
        </w:rPr>
      </w:pPr>
      <w:r w:rsidRPr="00EC1A78">
        <w:rPr>
          <w:sz w:val="22"/>
          <w:szCs w:val="22"/>
        </w:rPr>
        <w:t>7. Корецкий Д.А., Мясникова К.А. Бытовые преступления: прошлое и настоящее: Монография. – Ростов–на–Дону: «Омега – Принт», 2016. – С. 140–141.</w:t>
      </w:r>
    </w:p>
    <w:p w:rsidR="00EC1A78" w:rsidRPr="00EC1A78" w:rsidRDefault="00EC1A78" w:rsidP="00EC1A78">
      <w:pPr>
        <w:ind w:firstLine="426"/>
        <w:jc w:val="both"/>
        <w:textAlignment w:val="baseline"/>
        <w:rPr>
          <w:sz w:val="22"/>
          <w:szCs w:val="22"/>
        </w:rPr>
      </w:pPr>
      <w:r w:rsidRPr="00EC1A78">
        <w:rPr>
          <w:rFonts w:eastAsiaTheme="minorHAnsi"/>
          <w:sz w:val="22"/>
          <w:szCs w:val="22"/>
          <w:lang w:eastAsia="en-US"/>
        </w:rPr>
        <w:t xml:space="preserve">8. </w:t>
      </w:r>
      <w:r w:rsidRPr="00EC1A78">
        <w:rPr>
          <w:sz w:val="22"/>
          <w:szCs w:val="22"/>
        </w:rPr>
        <w:t>Шепелев В.И., Воронова И.В. Правомерное поведение как основа становления правопорядка в гражданском общ</w:t>
      </w:r>
      <w:r w:rsidRPr="00EC1A78">
        <w:rPr>
          <w:sz w:val="22"/>
          <w:szCs w:val="22"/>
        </w:rPr>
        <w:t>е</w:t>
      </w:r>
      <w:r w:rsidRPr="00EC1A78">
        <w:rPr>
          <w:sz w:val="22"/>
          <w:szCs w:val="22"/>
        </w:rPr>
        <w:t>стве</w:t>
      </w:r>
      <w:r w:rsidRPr="00EC1A78">
        <w:rPr>
          <w:b/>
          <w:bCs/>
          <w:sz w:val="22"/>
          <w:szCs w:val="22"/>
          <w:bdr w:val="none" w:sz="0" w:space="0" w:color="auto" w:frame="1"/>
        </w:rPr>
        <w:t> // </w:t>
      </w:r>
      <w:r w:rsidRPr="00EC1A78">
        <w:rPr>
          <w:sz w:val="22"/>
          <w:szCs w:val="22"/>
        </w:rPr>
        <w:t>Гуманитарные и социально–экономические науки. –2015. – №6. – С. 69–75.</w:t>
      </w:r>
    </w:p>
    <w:p w:rsidR="00EC1A78" w:rsidRDefault="00EC1A78" w:rsidP="00EC1A78">
      <w:pPr>
        <w:ind w:firstLine="426"/>
        <w:jc w:val="both"/>
        <w:textAlignment w:val="baseline"/>
        <w:rPr>
          <w:sz w:val="22"/>
          <w:szCs w:val="22"/>
        </w:rPr>
      </w:pPr>
    </w:p>
    <w:p w:rsidR="00EC2599" w:rsidRPr="00EC1A78" w:rsidRDefault="00EC2599" w:rsidP="005012A5">
      <w:pPr>
        <w:jc w:val="both"/>
        <w:textAlignment w:val="baseline"/>
        <w:rPr>
          <w:sz w:val="22"/>
          <w:szCs w:val="22"/>
        </w:rPr>
      </w:pP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t>УДК 343.132</w:t>
      </w:r>
    </w:p>
    <w:p w:rsidR="00EC1A78" w:rsidRPr="00EC1A78" w:rsidRDefault="00EC1A78" w:rsidP="00EC1A78">
      <w:pPr>
        <w:ind w:firstLine="426"/>
        <w:jc w:val="center"/>
        <w:rPr>
          <w:rFonts w:eastAsiaTheme="minorHAnsi"/>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Проблемы назначения и проведения судебной экспертизы</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Problems of appointment and forensic examination</w:t>
      </w:r>
    </w:p>
    <w:p w:rsidR="00EC1A78" w:rsidRPr="00EC1A78" w:rsidRDefault="00EC1A78" w:rsidP="00EC1A78">
      <w:pPr>
        <w:ind w:firstLine="426"/>
        <w:jc w:val="right"/>
        <w:rPr>
          <w:rFonts w:eastAsiaTheme="minorHAnsi"/>
          <w:sz w:val="24"/>
          <w:szCs w:val="24"/>
          <w:lang w:val="en-US" w:eastAsia="en-US"/>
        </w:rPr>
      </w:pPr>
    </w:p>
    <w:p w:rsidR="00EC1A78" w:rsidRPr="00EC1A78" w:rsidRDefault="00EC1A78" w:rsidP="00EC1A78">
      <w:pPr>
        <w:ind w:firstLine="426"/>
        <w:jc w:val="right"/>
        <w:rPr>
          <w:rFonts w:eastAsiaTheme="minorHAnsi"/>
          <w:sz w:val="22"/>
          <w:szCs w:val="24"/>
          <w:lang w:eastAsia="en-US"/>
        </w:rPr>
      </w:pPr>
      <w:r w:rsidRPr="00EC1A78">
        <w:rPr>
          <w:rFonts w:eastAsiaTheme="minorHAnsi"/>
          <w:sz w:val="22"/>
          <w:szCs w:val="24"/>
          <w:lang w:eastAsia="en-US"/>
        </w:rPr>
        <w:t>Негода Н.</w:t>
      </w:r>
      <w:r w:rsidR="00E62E4B">
        <w:rPr>
          <w:rFonts w:eastAsiaTheme="minorHAnsi"/>
          <w:sz w:val="22"/>
          <w:szCs w:val="24"/>
          <w:lang w:eastAsia="en-US"/>
        </w:rPr>
        <w:t xml:space="preserve"> </w:t>
      </w:r>
      <w:r w:rsidRPr="00EC1A78">
        <w:rPr>
          <w:rFonts w:eastAsiaTheme="minorHAnsi"/>
          <w:sz w:val="22"/>
          <w:szCs w:val="24"/>
          <w:lang w:eastAsia="en-US"/>
        </w:rPr>
        <w:t>О.,</w:t>
      </w:r>
    </w:p>
    <w:p w:rsidR="00EC1A78" w:rsidRPr="00EC1A78" w:rsidRDefault="00EC1A78" w:rsidP="00EC1A78">
      <w:pPr>
        <w:ind w:firstLine="426"/>
        <w:jc w:val="right"/>
        <w:rPr>
          <w:rFonts w:eastAsiaTheme="minorHAnsi"/>
          <w:sz w:val="22"/>
          <w:szCs w:val="24"/>
          <w:lang w:eastAsia="en-US"/>
        </w:rPr>
      </w:pPr>
      <w:r w:rsidRPr="00EC1A78">
        <w:rPr>
          <w:rFonts w:eastAsiaTheme="minorHAnsi"/>
          <w:sz w:val="22"/>
          <w:szCs w:val="24"/>
          <w:lang w:eastAsia="en-US"/>
        </w:rPr>
        <w:t>студент 3–го курса юридического факультета,</w:t>
      </w:r>
    </w:p>
    <w:p w:rsidR="00EC1A78" w:rsidRPr="00EC1A78" w:rsidRDefault="00EC1A78" w:rsidP="00EC1A78">
      <w:pPr>
        <w:ind w:firstLine="426"/>
        <w:jc w:val="right"/>
        <w:rPr>
          <w:rFonts w:eastAsiaTheme="minorHAnsi"/>
          <w:sz w:val="22"/>
          <w:szCs w:val="24"/>
          <w:lang w:eastAsia="en-US"/>
        </w:rPr>
      </w:pPr>
      <w:r w:rsidRPr="00EC1A78">
        <w:rPr>
          <w:rFonts w:eastAsiaTheme="minorHAnsi"/>
          <w:sz w:val="22"/>
          <w:szCs w:val="24"/>
          <w:lang w:eastAsia="en-US"/>
        </w:rPr>
        <w:t>Танасиенко И.</w:t>
      </w:r>
      <w:r w:rsidR="00E62E4B">
        <w:rPr>
          <w:rFonts w:eastAsiaTheme="minorHAnsi"/>
          <w:sz w:val="22"/>
          <w:szCs w:val="24"/>
          <w:lang w:eastAsia="en-US"/>
        </w:rPr>
        <w:t xml:space="preserve"> </w:t>
      </w:r>
      <w:r w:rsidRPr="00EC1A78">
        <w:rPr>
          <w:rFonts w:eastAsiaTheme="minorHAnsi"/>
          <w:sz w:val="22"/>
          <w:szCs w:val="24"/>
          <w:lang w:eastAsia="en-US"/>
        </w:rPr>
        <w:t>И.,</w:t>
      </w:r>
    </w:p>
    <w:p w:rsidR="00EC1A78" w:rsidRPr="00EC1A78" w:rsidRDefault="00EC1A78" w:rsidP="00EC1A78">
      <w:pPr>
        <w:ind w:firstLine="426"/>
        <w:jc w:val="right"/>
        <w:rPr>
          <w:rFonts w:eastAsiaTheme="minorHAnsi"/>
          <w:sz w:val="22"/>
          <w:szCs w:val="24"/>
          <w:lang w:eastAsia="en-US"/>
        </w:rPr>
      </w:pPr>
      <w:r w:rsidRPr="00EC1A78">
        <w:rPr>
          <w:rFonts w:eastAsiaTheme="minorHAnsi"/>
          <w:sz w:val="22"/>
          <w:szCs w:val="24"/>
          <w:lang w:eastAsia="en-US"/>
        </w:rPr>
        <w:t>студентка 3–го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ind w:firstLine="426"/>
        <w:jc w:val="right"/>
        <w:rPr>
          <w:rFonts w:eastAsiaTheme="minorHAnsi"/>
          <w:sz w:val="24"/>
          <w:szCs w:val="24"/>
          <w:lang w:eastAsia="en-US"/>
        </w:rPr>
      </w:pPr>
      <w:r w:rsidRPr="00EC1A78">
        <w:rPr>
          <w:rFonts w:eastAsiaTheme="minorHAnsi"/>
          <w:color w:val="000000"/>
          <w:sz w:val="22"/>
          <w:szCs w:val="22"/>
          <w:lang w:eastAsia="en-US"/>
        </w:rPr>
        <w:t>университет имени И.</w:t>
      </w:r>
      <w:r w:rsidR="00E62E4B">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ind w:firstLine="426"/>
        <w:jc w:val="both"/>
        <w:rPr>
          <w:rFonts w:eastAsiaTheme="minorHAnsi"/>
          <w:sz w:val="22"/>
          <w:szCs w:val="24"/>
          <w:lang w:eastAsia="en-US"/>
        </w:rPr>
      </w:pP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АННОТАЦИЯ: В данной статье освещены, на наш взгляд, о</w:t>
      </w:r>
      <w:r w:rsidRPr="00EC1A78">
        <w:rPr>
          <w:rFonts w:eastAsiaTheme="minorHAnsi"/>
          <w:sz w:val="22"/>
          <w:szCs w:val="24"/>
          <w:lang w:eastAsia="en-US"/>
        </w:rPr>
        <w:t>с</w:t>
      </w:r>
      <w:r w:rsidRPr="00EC1A78">
        <w:rPr>
          <w:rFonts w:eastAsiaTheme="minorHAnsi"/>
          <w:sz w:val="22"/>
          <w:szCs w:val="24"/>
          <w:lang w:eastAsia="en-US"/>
        </w:rPr>
        <w:t>новные проблемы при проведении судебной экспертизы, не позв</w:t>
      </w:r>
      <w:r w:rsidRPr="00EC1A78">
        <w:rPr>
          <w:rFonts w:eastAsiaTheme="minorHAnsi"/>
          <w:sz w:val="22"/>
          <w:szCs w:val="24"/>
          <w:lang w:eastAsia="en-US"/>
        </w:rPr>
        <w:t>о</w:t>
      </w:r>
      <w:r w:rsidRPr="00EC1A78">
        <w:rPr>
          <w:rFonts w:eastAsiaTheme="minorHAnsi"/>
          <w:sz w:val="22"/>
          <w:szCs w:val="24"/>
          <w:lang w:eastAsia="en-US"/>
        </w:rPr>
        <w:t xml:space="preserve">ляющие в полной мере провести точное исследование и прийти к верному заключению, которые влияют на исход дела. </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val="en-US" w:eastAsia="en-US"/>
        </w:rPr>
        <w:t>ABSTRACT:</w:t>
      </w:r>
      <w:r w:rsidRPr="00EC1A78">
        <w:rPr>
          <w:rFonts w:eastAsiaTheme="minorHAnsi"/>
          <w:sz w:val="22"/>
          <w:szCs w:val="22"/>
          <w:lang w:val="en-US" w:eastAsia="en-US"/>
        </w:rPr>
        <w:t xml:space="preserve"> </w:t>
      </w:r>
      <w:r w:rsidRPr="00EC1A78">
        <w:rPr>
          <w:rFonts w:eastAsiaTheme="minorHAnsi"/>
          <w:sz w:val="22"/>
          <w:szCs w:val="24"/>
          <w:lang w:val="en-US" w:eastAsia="en-US"/>
        </w:rPr>
        <w:t>This article highlights, in our opinion, the main pro</w:t>
      </w:r>
      <w:r w:rsidRPr="00EC1A78">
        <w:rPr>
          <w:rFonts w:eastAsiaTheme="minorHAnsi"/>
          <w:sz w:val="22"/>
          <w:szCs w:val="24"/>
          <w:lang w:val="en-US" w:eastAsia="en-US"/>
        </w:rPr>
        <w:t>b</w:t>
      </w:r>
      <w:r w:rsidRPr="00EC1A78">
        <w:rPr>
          <w:rFonts w:eastAsiaTheme="minorHAnsi"/>
          <w:sz w:val="22"/>
          <w:szCs w:val="24"/>
          <w:lang w:val="en-US" w:eastAsia="en-US"/>
        </w:rPr>
        <w:t>lems in the conduct of forensic examinations that do not allow full inve</w:t>
      </w:r>
      <w:r w:rsidRPr="00EC1A78">
        <w:rPr>
          <w:rFonts w:eastAsiaTheme="minorHAnsi"/>
          <w:sz w:val="22"/>
          <w:szCs w:val="24"/>
          <w:lang w:val="en-US" w:eastAsia="en-US"/>
        </w:rPr>
        <w:t>s</w:t>
      </w:r>
      <w:r w:rsidRPr="00EC1A78">
        <w:rPr>
          <w:rFonts w:eastAsiaTheme="minorHAnsi"/>
          <w:sz w:val="22"/>
          <w:szCs w:val="24"/>
          <w:lang w:val="en-US" w:eastAsia="en-US"/>
        </w:rPr>
        <w:t>tigation and come to a correct conclusion, which influences the outcome of the case.</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КЛЮЧЕВЫЕ СЛОВА: Судебная экспертиза, проблемы назн</w:t>
      </w:r>
      <w:r w:rsidRPr="00EC1A78">
        <w:rPr>
          <w:rFonts w:eastAsiaTheme="minorHAnsi"/>
          <w:sz w:val="22"/>
          <w:szCs w:val="24"/>
          <w:lang w:eastAsia="en-US"/>
        </w:rPr>
        <w:t>а</w:t>
      </w:r>
      <w:r w:rsidRPr="00EC1A78">
        <w:rPr>
          <w:rFonts w:eastAsiaTheme="minorHAnsi"/>
          <w:sz w:val="22"/>
          <w:szCs w:val="24"/>
          <w:lang w:eastAsia="en-US"/>
        </w:rPr>
        <w:t>чения экспертизы, следственные действия</w:t>
      </w:r>
    </w:p>
    <w:p w:rsidR="00EC1A78" w:rsidRPr="00EC1A78" w:rsidRDefault="00EC1A78" w:rsidP="00EC1A78">
      <w:pPr>
        <w:jc w:val="both"/>
        <w:rPr>
          <w:rFonts w:eastAsiaTheme="minorHAnsi"/>
          <w:sz w:val="22"/>
          <w:szCs w:val="24"/>
          <w:lang w:val="en-US" w:eastAsia="en-US"/>
        </w:rPr>
      </w:pPr>
      <w:r w:rsidRPr="00EC1A78">
        <w:rPr>
          <w:rFonts w:eastAsiaTheme="minorHAnsi"/>
          <w:sz w:val="22"/>
          <w:szCs w:val="24"/>
          <w:lang w:val="en-US" w:eastAsia="en-US"/>
        </w:rPr>
        <w:t>KEYWORDS:</w:t>
      </w:r>
      <w:r w:rsidRPr="00EC1A78">
        <w:rPr>
          <w:rFonts w:eastAsiaTheme="minorHAnsi"/>
          <w:sz w:val="22"/>
          <w:szCs w:val="22"/>
          <w:lang w:val="en-US" w:eastAsia="en-US"/>
        </w:rPr>
        <w:t xml:space="preserve"> </w:t>
      </w:r>
      <w:r w:rsidRPr="00EC1A78">
        <w:rPr>
          <w:rFonts w:eastAsiaTheme="minorHAnsi"/>
          <w:sz w:val="22"/>
          <w:szCs w:val="24"/>
          <w:lang w:val="en-US" w:eastAsia="en-US"/>
        </w:rPr>
        <w:t>Forensic examination, problems of appointment examin</w:t>
      </w:r>
      <w:r w:rsidRPr="00EC1A78">
        <w:rPr>
          <w:rFonts w:eastAsiaTheme="minorHAnsi"/>
          <w:sz w:val="22"/>
          <w:szCs w:val="24"/>
          <w:lang w:val="en-US" w:eastAsia="en-US"/>
        </w:rPr>
        <w:t>a</w:t>
      </w:r>
      <w:r w:rsidRPr="00EC1A78">
        <w:rPr>
          <w:rFonts w:eastAsiaTheme="minorHAnsi"/>
          <w:sz w:val="22"/>
          <w:szCs w:val="24"/>
          <w:lang w:val="en-US" w:eastAsia="en-US"/>
        </w:rPr>
        <w:t>tion,</w:t>
      </w:r>
      <w:r w:rsidRPr="00EC1A78">
        <w:rPr>
          <w:rFonts w:eastAsiaTheme="minorHAnsi"/>
          <w:sz w:val="22"/>
          <w:szCs w:val="22"/>
          <w:lang w:val="en-US" w:eastAsia="en-US"/>
        </w:rPr>
        <w:t xml:space="preserve"> </w:t>
      </w:r>
      <w:r w:rsidRPr="00EC1A78">
        <w:rPr>
          <w:rFonts w:eastAsiaTheme="minorHAnsi"/>
          <w:sz w:val="22"/>
          <w:szCs w:val="24"/>
          <w:lang w:val="en-US" w:eastAsia="en-US"/>
        </w:rPr>
        <w:t>investigative actions</w:t>
      </w:r>
    </w:p>
    <w:p w:rsidR="00EC1A78" w:rsidRPr="00EC1A78" w:rsidRDefault="00EC1A78" w:rsidP="00EC1A78">
      <w:pPr>
        <w:ind w:firstLine="426"/>
        <w:jc w:val="both"/>
        <w:rPr>
          <w:rFonts w:eastAsiaTheme="minorHAnsi"/>
          <w:sz w:val="22"/>
          <w:szCs w:val="24"/>
          <w:lang w:val="en-US" w:eastAsia="en-US"/>
        </w:rPr>
      </w:pP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lastRenderedPageBreak/>
        <w:t>Порядок назначения и проведения судебной экспертизы рег</w:t>
      </w:r>
      <w:r w:rsidRPr="00EC1A78">
        <w:rPr>
          <w:rFonts w:eastAsiaTheme="minorHAnsi"/>
          <w:sz w:val="22"/>
          <w:szCs w:val="24"/>
          <w:lang w:eastAsia="en-US"/>
        </w:rPr>
        <w:t>у</w:t>
      </w:r>
      <w:r w:rsidRPr="00EC1A78">
        <w:rPr>
          <w:rFonts w:eastAsiaTheme="minorHAnsi"/>
          <w:sz w:val="22"/>
          <w:szCs w:val="24"/>
          <w:lang w:eastAsia="en-US"/>
        </w:rPr>
        <w:t>лируется нормами главы 27 УПК РФ [1] и нормами Федерального закона от 31 мая 2001 г. N 73–ФЗ «О государственной судебно–экспертной деятельности в Российской Федерации» [2]. В насто</w:t>
      </w:r>
      <w:r w:rsidRPr="00EC1A78">
        <w:rPr>
          <w:rFonts w:eastAsiaTheme="minorHAnsi"/>
          <w:sz w:val="22"/>
          <w:szCs w:val="24"/>
          <w:lang w:eastAsia="en-US"/>
        </w:rPr>
        <w:t>я</w:t>
      </w:r>
      <w:r w:rsidRPr="00EC1A78">
        <w:rPr>
          <w:rFonts w:eastAsiaTheme="minorHAnsi"/>
          <w:sz w:val="22"/>
          <w:szCs w:val="24"/>
          <w:lang w:eastAsia="en-US"/>
        </w:rPr>
        <w:t>щее время с каждым годом количество проводимых судебных эк</w:t>
      </w:r>
      <w:r w:rsidRPr="00EC1A78">
        <w:rPr>
          <w:rFonts w:eastAsiaTheme="minorHAnsi"/>
          <w:sz w:val="22"/>
          <w:szCs w:val="24"/>
          <w:lang w:eastAsia="en-US"/>
        </w:rPr>
        <w:t>с</w:t>
      </w:r>
      <w:r w:rsidRPr="00EC1A78">
        <w:rPr>
          <w:rFonts w:eastAsiaTheme="minorHAnsi"/>
          <w:sz w:val="22"/>
          <w:szCs w:val="24"/>
          <w:lang w:eastAsia="en-US"/>
        </w:rPr>
        <w:t>пертиз увеличивается. При этом возрастает тенденция к развитию сложных, комплексных экспертиз. Из этого следует, что экспертиза очень важна для предварительного расследования, а так же она п</w:t>
      </w:r>
      <w:r w:rsidRPr="00EC1A78">
        <w:rPr>
          <w:rFonts w:eastAsiaTheme="minorHAnsi"/>
          <w:sz w:val="22"/>
          <w:szCs w:val="24"/>
          <w:lang w:eastAsia="en-US"/>
        </w:rPr>
        <w:t>о</w:t>
      </w:r>
      <w:r w:rsidRPr="00EC1A78">
        <w:rPr>
          <w:rFonts w:eastAsiaTheme="minorHAnsi"/>
          <w:sz w:val="22"/>
          <w:szCs w:val="24"/>
          <w:lang w:eastAsia="en-US"/>
        </w:rPr>
        <w:t>вышает качество судебного разбирательства по уголовным делам. Однако, на наш взгляд, в проведении судебной экспертизы сущ</w:t>
      </w:r>
      <w:r w:rsidRPr="00EC1A78">
        <w:rPr>
          <w:rFonts w:eastAsiaTheme="minorHAnsi"/>
          <w:sz w:val="22"/>
          <w:szCs w:val="24"/>
          <w:lang w:eastAsia="en-US"/>
        </w:rPr>
        <w:t>е</w:t>
      </w:r>
      <w:r w:rsidRPr="00EC1A78">
        <w:rPr>
          <w:rFonts w:eastAsiaTheme="minorHAnsi"/>
          <w:sz w:val="22"/>
          <w:szCs w:val="24"/>
          <w:lang w:eastAsia="en-US"/>
        </w:rPr>
        <w:t xml:space="preserve">ствуют определенные упущения, что в последующем порождают пробелы в доказывании определенных уголовных дел.  </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Проблемы назначения экспертизы иногда возникают на начальном этапе и впоследствии могут нанести ущерб качеству р</w:t>
      </w:r>
      <w:r w:rsidRPr="00EC1A78">
        <w:rPr>
          <w:rFonts w:eastAsiaTheme="minorHAnsi"/>
          <w:sz w:val="22"/>
          <w:szCs w:val="24"/>
          <w:lang w:eastAsia="en-US"/>
        </w:rPr>
        <w:t>е</w:t>
      </w:r>
      <w:r w:rsidRPr="00EC1A78">
        <w:rPr>
          <w:rFonts w:eastAsiaTheme="minorHAnsi"/>
          <w:sz w:val="22"/>
          <w:szCs w:val="24"/>
          <w:lang w:eastAsia="en-US"/>
        </w:rPr>
        <w:t>зультата. Так как назначение экспертизы производит следователь, от его действий зависит дальнейшее ее проведение. Порой от оши</w:t>
      </w:r>
      <w:r w:rsidRPr="00EC1A78">
        <w:rPr>
          <w:rFonts w:eastAsiaTheme="minorHAnsi"/>
          <w:sz w:val="22"/>
          <w:szCs w:val="24"/>
          <w:lang w:eastAsia="en-US"/>
        </w:rPr>
        <w:t>б</w:t>
      </w:r>
      <w:r w:rsidRPr="00EC1A78">
        <w:rPr>
          <w:rFonts w:eastAsiaTheme="minorHAnsi"/>
          <w:sz w:val="22"/>
          <w:szCs w:val="24"/>
          <w:lang w:eastAsia="en-US"/>
        </w:rPr>
        <w:t>ки, совершенной следователем ценность проведения судебной эк</w:t>
      </w:r>
      <w:r w:rsidRPr="00EC1A78">
        <w:rPr>
          <w:rFonts w:eastAsiaTheme="minorHAnsi"/>
          <w:sz w:val="22"/>
          <w:szCs w:val="24"/>
          <w:lang w:eastAsia="en-US"/>
        </w:rPr>
        <w:t>с</w:t>
      </w:r>
      <w:r w:rsidRPr="00EC1A78">
        <w:rPr>
          <w:rFonts w:eastAsiaTheme="minorHAnsi"/>
          <w:sz w:val="22"/>
          <w:szCs w:val="24"/>
          <w:lang w:eastAsia="en-US"/>
        </w:rPr>
        <w:t>пертизы теряется. Эти «ошибки» чаще всего не являются прямым нарушением уголовно–процессуальных норм и в большей степени носят субъективный характер. По статистике проводимых исслед</w:t>
      </w:r>
      <w:r w:rsidRPr="00EC1A78">
        <w:rPr>
          <w:rFonts w:eastAsiaTheme="minorHAnsi"/>
          <w:sz w:val="22"/>
          <w:szCs w:val="24"/>
          <w:lang w:eastAsia="en-US"/>
        </w:rPr>
        <w:t>о</w:t>
      </w:r>
      <w:r w:rsidRPr="00EC1A78">
        <w:rPr>
          <w:rFonts w:eastAsiaTheme="minorHAnsi"/>
          <w:sz w:val="22"/>
          <w:szCs w:val="24"/>
          <w:lang w:eastAsia="en-US"/>
        </w:rPr>
        <w:t>ваний около 15% судебных экспертиз имеют серьезные проблемы на стадии назначения. Мы считаем, что основная «ошибка» – это стандартизация назначения экспертиз, то есть их шаблонность. Следователи порой не применяют индивидуальный подход к ка</w:t>
      </w:r>
      <w:r w:rsidRPr="00EC1A78">
        <w:rPr>
          <w:rFonts w:eastAsiaTheme="minorHAnsi"/>
          <w:sz w:val="22"/>
          <w:szCs w:val="24"/>
          <w:lang w:eastAsia="en-US"/>
        </w:rPr>
        <w:t>ж</w:t>
      </w:r>
      <w:r w:rsidRPr="00EC1A78">
        <w:rPr>
          <w:rFonts w:eastAsiaTheme="minorHAnsi"/>
          <w:sz w:val="22"/>
          <w:szCs w:val="24"/>
          <w:lang w:eastAsia="en-US"/>
        </w:rPr>
        <w:t>дому делу, чтобы грамотно определить цели экспертизы, особенно при большом количестве однотипных дел. Но порой мнение об «однотипности» дел ошибочно, непосредственно каждое дело имеет свои особенности, которые необходимо учесть при решении о назначении экспертизы.</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 xml:space="preserve"> Существуют, как минимум, две проблемы при назначении эк</w:t>
      </w:r>
      <w:r w:rsidRPr="00EC1A78">
        <w:rPr>
          <w:rFonts w:eastAsiaTheme="minorHAnsi"/>
          <w:sz w:val="22"/>
          <w:szCs w:val="24"/>
          <w:lang w:eastAsia="en-US"/>
        </w:rPr>
        <w:t>с</w:t>
      </w:r>
      <w:r w:rsidRPr="00EC1A78">
        <w:rPr>
          <w:rFonts w:eastAsiaTheme="minorHAnsi"/>
          <w:sz w:val="22"/>
          <w:szCs w:val="24"/>
          <w:lang w:eastAsia="en-US"/>
        </w:rPr>
        <w:t>пертизы. Во–первых, неверное определение задач экспертизы и н</w:t>
      </w:r>
      <w:r w:rsidRPr="00EC1A78">
        <w:rPr>
          <w:rFonts w:eastAsiaTheme="minorHAnsi"/>
          <w:sz w:val="22"/>
          <w:szCs w:val="24"/>
          <w:lang w:eastAsia="en-US"/>
        </w:rPr>
        <w:t>е</w:t>
      </w:r>
      <w:r w:rsidRPr="00EC1A78">
        <w:rPr>
          <w:rFonts w:eastAsiaTheme="minorHAnsi"/>
          <w:sz w:val="22"/>
          <w:szCs w:val="24"/>
          <w:lang w:eastAsia="en-US"/>
        </w:rPr>
        <w:t xml:space="preserve">корректная постановка вопросов перед экспертами, которые влияют на суть дела. Во–вторых, трудности, возникающие  во время выбора средств для достижения целей экспертизы. </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 xml:space="preserve">Первая категория часто встречается на практике. Описанные проблемы допускаются из–за неопытности или же недостаточной квалификации следователей. Некорректная формулировка вопросов может значительно усложнить работу эксперта. В итоге эксперту </w:t>
      </w:r>
      <w:r w:rsidRPr="00EC1A78">
        <w:rPr>
          <w:rFonts w:eastAsiaTheme="minorHAnsi"/>
          <w:sz w:val="22"/>
          <w:szCs w:val="24"/>
          <w:lang w:eastAsia="en-US"/>
        </w:rPr>
        <w:lastRenderedPageBreak/>
        <w:t>приходится отвечать на размытые вопросы, либо на те вопросы, к</w:t>
      </w:r>
      <w:r w:rsidRPr="00EC1A78">
        <w:rPr>
          <w:rFonts w:eastAsiaTheme="minorHAnsi"/>
          <w:sz w:val="22"/>
          <w:szCs w:val="24"/>
          <w:lang w:eastAsia="en-US"/>
        </w:rPr>
        <w:t>о</w:t>
      </w:r>
      <w:r w:rsidRPr="00EC1A78">
        <w:rPr>
          <w:rFonts w:eastAsiaTheme="minorHAnsi"/>
          <w:sz w:val="22"/>
          <w:szCs w:val="24"/>
          <w:lang w:eastAsia="en-US"/>
        </w:rPr>
        <w:t>торые только косвенно имеют отношение к делу. Стоит отметить, что близкое взаимодействие в работе эксперта и следователя очень важно, потому что при их взаимодействии поставленные цели будут достигнуты быстрее и качественнее. При назначении судебной эк</w:t>
      </w:r>
      <w:r w:rsidRPr="00EC1A78">
        <w:rPr>
          <w:rFonts w:eastAsiaTheme="minorHAnsi"/>
          <w:sz w:val="22"/>
          <w:szCs w:val="24"/>
          <w:lang w:eastAsia="en-US"/>
        </w:rPr>
        <w:t>с</w:t>
      </w:r>
      <w:r w:rsidRPr="00EC1A78">
        <w:rPr>
          <w:rFonts w:eastAsiaTheme="minorHAnsi"/>
          <w:sz w:val="22"/>
          <w:szCs w:val="24"/>
          <w:lang w:eastAsia="en-US"/>
        </w:rPr>
        <w:t>пертизы нужна детализация информации о предмете или явлении, которое необходимо осветить в экспертизе. Одной фабулы дела н</w:t>
      </w:r>
      <w:r w:rsidRPr="00EC1A78">
        <w:rPr>
          <w:rFonts w:eastAsiaTheme="minorHAnsi"/>
          <w:sz w:val="22"/>
          <w:szCs w:val="24"/>
          <w:lang w:eastAsia="en-US"/>
        </w:rPr>
        <w:t>е</w:t>
      </w:r>
      <w:r w:rsidRPr="00EC1A78">
        <w:rPr>
          <w:rFonts w:eastAsiaTheme="minorHAnsi"/>
          <w:sz w:val="22"/>
          <w:szCs w:val="24"/>
          <w:lang w:eastAsia="en-US"/>
        </w:rPr>
        <w:t xml:space="preserve">достаточно, необходимы конкретные основания.  </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Другая группа проблем состоим в непосредственном выборе средств для проведения экспертизы. Следователь может предост</w:t>
      </w:r>
      <w:r w:rsidRPr="00EC1A78">
        <w:rPr>
          <w:rFonts w:eastAsiaTheme="minorHAnsi"/>
          <w:sz w:val="22"/>
          <w:szCs w:val="24"/>
          <w:lang w:eastAsia="en-US"/>
        </w:rPr>
        <w:t>а</w:t>
      </w:r>
      <w:r w:rsidRPr="00EC1A78">
        <w:rPr>
          <w:rFonts w:eastAsiaTheme="minorHAnsi"/>
          <w:sz w:val="22"/>
          <w:szCs w:val="24"/>
          <w:lang w:eastAsia="en-US"/>
        </w:rPr>
        <w:t>вить не те материалы для оценки, либо предоставить материалы в недостаточном объеме. Сюда же относится неправильное хранение или передача материалов эксперту, в частности связанное со спец</w:t>
      </w:r>
      <w:r w:rsidRPr="00EC1A78">
        <w:rPr>
          <w:rFonts w:eastAsiaTheme="minorHAnsi"/>
          <w:sz w:val="22"/>
          <w:szCs w:val="24"/>
          <w:lang w:eastAsia="en-US"/>
        </w:rPr>
        <w:t>и</w:t>
      </w:r>
      <w:r w:rsidRPr="00EC1A78">
        <w:rPr>
          <w:rFonts w:eastAsiaTheme="minorHAnsi"/>
          <w:sz w:val="22"/>
          <w:szCs w:val="24"/>
          <w:lang w:eastAsia="en-US"/>
        </w:rPr>
        <w:t xml:space="preserve">альной упаковкой материалов, имеющих ценность для экспертизы. </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Еще один фактор, который необходимо учитывать в назнач</w:t>
      </w:r>
      <w:r w:rsidRPr="00EC1A78">
        <w:rPr>
          <w:rFonts w:eastAsiaTheme="minorHAnsi"/>
          <w:sz w:val="22"/>
          <w:szCs w:val="24"/>
          <w:lang w:eastAsia="en-US"/>
        </w:rPr>
        <w:t>е</w:t>
      </w:r>
      <w:r w:rsidRPr="00EC1A78">
        <w:rPr>
          <w:rFonts w:eastAsiaTheme="minorHAnsi"/>
          <w:sz w:val="22"/>
          <w:szCs w:val="24"/>
          <w:lang w:eastAsia="en-US"/>
        </w:rPr>
        <w:t>нии экспертизы – это временной фактор – следователи, которые о</w:t>
      </w:r>
      <w:r w:rsidRPr="00EC1A78">
        <w:rPr>
          <w:rFonts w:eastAsiaTheme="minorHAnsi"/>
          <w:sz w:val="22"/>
          <w:szCs w:val="24"/>
          <w:lang w:eastAsia="en-US"/>
        </w:rPr>
        <w:t>т</w:t>
      </w:r>
      <w:r w:rsidRPr="00EC1A78">
        <w:rPr>
          <w:rFonts w:eastAsiaTheme="minorHAnsi"/>
          <w:sz w:val="22"/>
          <w:szCs w:val="24"/>
          <w:lang w:eastAsia="en-US"/>
        </w:rPr>
        <w:t>кладывают экспертизу могу упустить некоторые детали, влияющие на исход экспертной деятельности. Либо же, временным фактором можно воспользоваться обратным образом и использовать время для специальной утраты деталей. Речь идет о ходатайствах о смене эксперта, либо экспертного учреждения для того, чтобы затянуть организацию экспертизы.</w:t>
      </w:r>
    </w:p>
    <w:p w:rsidR="00EC1A78" w:rsidRPr="00EC1A78" w:rsidRDefault="00EC1A78" w:rsidP="00EC1A78">
      <w:pPr>
        <w:ind w:firstLine="426"/>
        <w:jc w:val="both"/>
        <w:rPr>
          <w:rFonts w:eastAsiaTheme="minorHAnsi"/>
          <w:color w:val="000000" w:themeColor="text1"/>
          <w:sz w:val="22"/>
          <w:szCs w:val="24"/>
          <w:lang w:eastAsia="en-US"/>
        </w:rPr>
      </w:pPr>
      <w:r w:rsidRPr="00EC1A78">
        <w:rPr>
          <w:rFonts w:eastAsiaTheme="minorHAnsi"/>
          <w:color w:val="000000" w:themeColor="text1"/>
          <w:sz w:val="22"/>
          <w:szCs w:val="24"/>
          <w:lang w:eastAsia="en-US"/>
        </w:rPr>
        <w:t>Таким образом, можно отметить, что судебная экспертиза я</w:t>
      </w:r>
      <w:r w:rsidRPr="00EC1A78">
        <w:rPr>
          <w:rFonts w:eastAsiaTheme="minorHAnsi"/>
          <w:color w:val="000000" w:themeColor="text1"/>
          <w:sz w:val="22"/>
          <w:szCs w:val="24"/>
          <w:lang w:eastAsia="en-US"/>
        </w:rPr>
        <w:t>в</w:t>
      </w:r>
      <w:r w:rsidRPr="00EC1A78">
        <w:rPr>
          <w:rFonts w:eastAsiaTheme="minorHAnsi"/>
          <w:color w:val="000000" w:themeColor="text1"/>
          <w:sz w:val="22"/>
          <w:szCs w:val="24"/>
          <w:lang w:eastAsia="en-US"/>
        </w:rPr>
        <w:t>ляется важнейшей процессуальной формой следственных действий, которая имеет кардинальное значение в расследовании преступл</w:t>
      </w:r>
      <w:r w:rsidRPr="00EC1A78">
        <w:rPr>
          <w:rFonts w:eastAsiaTheme="minorHAnsi"/>
          <w:color w:val="000000" w:themeColor="text1"/>
          <w:sz w:val="22"/>
          <w:szCs w:val="24"/>
          <w:lang w:eastAsia="en-US"/>
        </w:rPr>
        <w:t>е</w:t>
      </w:r>
      <w:r w:rsidRPr="00EC1A78">
        <w:rPr>
          <w:rFonts w:eastAsiaTheme="minorHAnsi"/>
          <w:color w:val="000000" w:themeColor="text1"/>
          <w:sz w:val="22"/>
          <w:szCs w:val="24"/>
          <w:lang w:eastAsia="en-US"/>
        </w:rPr>
        <w:t>ний.</w:t>
      </w:r>
      <w:r w:rsidRPr="00EC1A78">
        <w:rPr>
          <w:rFonts w:eastAsiaTheme="minorHAnsi"/>
          <w:sz w:val="22"/>
          <w:szCs w:val="24"/>
          <w:lang w:eastAsia="en-US"/>
        </w:rPr>
        <w:t xml:space="preserve"> Решение вышеперечисленных проблем лежит через </w:t>
      </w:r>
      <w:r w:rsidRPr="00EC1A78">
        <w:rPr>
          <w:rFonts w:eastAsiaTheme="minorHAnsi"/>
          <w:color w:val="000000" w:themeColor="text1"/>
          <w:sz w:val="22"/>
          <w:szCs w:val="24"/>
          <w:lang w:eastAsia="en-US"/>
        </w:rPr>
        <w:t>налажив</w:t>
      </w:r>
      <w:r w:rsidRPr="00EC1A78">
        <w:rPr>
          <w:rFonts w:eastAsiaTheme="minorHAnsi"/>
          <w:color w:val="000000" w:themeColor="text1"/>
          <w:sz w:val="22"/>
          <w:szCs w:val="24"/>
          <w:lang w:eastAsia="en-US"/>
        </w:rPr>
        <w:t>а</w:t>
      </w:r>
      <w:r w:rsidRPr="00EC1A78">
        <w:rPr>
          <w:rFonts w:eastAsiaTheme="minorHAnsi"/>
          <w:color w:val="000000" w:themeColor="text1"/>
          <w:sz w:val="22"/>
          <w:szCs w:val="24"/>
          <w:lang w:eastAsia="en-US"/>
        </w:rPr>
        <w:t>ние конструктивного и взаимного сотрудничества следователей и экспертов. Следователи должны повышать свой уровень знаний о работе экспертов, а в интересах последних всячески помогать сл</w:t>
      </w:r>
      <w:r w:rsidRPr="00EC1A78">
        <w:rPr>
          <w:rFonts w:eastAsiaTheme="minorHAnsi"/>
          <w:color w:val="000000" w:themeColor="text1"/>
          <w:sz w:val="22"/>
          <w:szCs w:val="24"/>
          <w:lang w:eastAsia="en-US"/>
        </w:rPr>
        <w:t>е</w:t>
      </w:r>
      <w:r w:rsidRPr="00EC1A78">
        <w:rPr>
          <w:rFonts w:eastAsiaTheme="minorHAnsi"/>
          <w:color w:val="000000" w:themeColor="text1"/>
          <w:sz w:val="22"/>
          <w:szCs w:val="24"/>
          <w:lang w:eastAsia="en-US"/>
        </w:rPr>
        <w:t>дователям в их стремлении избежать ошибок в процессе назначения судебной экспертизы.</w:t>
      </w:r>
    </w:p>
    <w:p w:rsidR="00EC1A78" w:rsidRPr="00EC1A78" w:rsidRDefault="00EC1A78" w:rsidP="00EC1A78">
      <w:pPr>
        <w:ind w:firstLine="426"/>
        <w:jc w:val="center"/>
        <w:rPr>
          <w:rFonts w:eastAsiaTheme="minorHAnsi"/>
          <w:color w:val="000000" w:themeColor="text1"/>
          <w:sz w:val="22"/>
          <w:szCs w:val="24"/>
          <w:lang w:eastAsia="en-US"/>
        </w:rPr>
      </w:pPr>
    </w:p>
    <w:p w:rsidR="00EC1A78" w:rsidRPr="00EC1A78" w:rsidRDefault="00EC1A78" w:rsidP="00EC1A78">
      <w:pPr>
        <w:ind w:firstLine="426"/>
        <w:jc w:val="center"/>
        <w:rPr>
          <w:rFonts w:eastAsiaTheme="minorHAnsi"/>
          <w:color w:val="000000" w:themeColor="text1"/>
          <w:sz w:val="22"/>
          <w:szCs w:val="24"/>
          <w:lang w:eastAsia="en-US"/>
        </w:rPr>
      </w:pPr>
      <w:r w:rsidRPr="00EC1A78">
        <w:rPr>
          <w:rFonts w:eastAsiaTheme="minorHAnsi"/>
          <w:color w:val="000000" w:themeColor="text1"/>
          <w:sz w:val="22"/>
          <w:szCs w:val="24"/>
          <w:lang w:eastAsia="en-US"/>
        </w:rPr>
        <w:t>Список литературы</w:t>
      </w:r>
    </w:p>
    <w:p w:rsidR="00EC1A78" w:rsidRPr="00EC1A78" w:rsidRDefault="00EC1A78" w:rsidP="00EC1A78">
      <w:pPr>
        <w:ind w:firstLine="426"/>
        <w:jc w:val="both"/>
        <w:rPr>
          <w:color w:val="000000" w:themeColor="text1"/>
          <w:sz w:val="22"/>
          <w:szCs w:val="22"/>
        </w:rPr>
      </w:pPr>
      <w:r w:rsidRPr="00EC1A78">
        <w:rPr>
          <w:rFonts w:eastAsiaTheme="minorHAnsi"/>
          <w:color w:val="000000" w:themeColor="text1"/>
          <w:sz w:val="22"/>
          <w:szCs w:val="22"/>
          <w:lang w:eastAsia="en-US"/>
        </w:rPr>
        <w:t xml:space="preserve">1. </w:t>
      </w:r>
      <w:r w:rsidRPr="00EC1A78">
        <w:rPr>
          <w:color w:val="000000" w:themeColor="text1"/>
          <w:sz w:val="22"/>
          <w:szCs w:val="22"/>
          <w:shd w:val="clear" w:color="auto" w:fill="FFFFFF"/>
        </w:rPr>
        <w:t>Уголовно–процессуальный кодекс РФ от 18 декабря 2001 г. №174–ФЗ // Российская газета. – 22 декабря 2001г. – №249.</w:t>
      </w:r>
    </w:p>
    <w:p w:rsidR="00EC1A78" w:rsidRPr="00EC1A78" w:rsidRDefault="00EC1A78" w:rsidP="00EC1A78">
      <w:pPr>
        <w:ind w:firstLine="426"/>
        <w:jc w:val="both"/>
        <w:rPr>
          <w:rFonts w:eastAsiaTheme="minorHAnsi"/>
          <w:sz w:val="22"/>
          <w:szCs w:val="24"/>
          <w:lang w:eastAsia="en-US"/>
        </w:rPr>
      </w:pPr>
      <w:r w:rsidRPr="00EC1A78">
        <w:rPr>
          <w:rFonts w:eastAsiaTheme="minorHAnsi"/>
          <w:color w:val="000000" w:themeColor="text1"/>
          <w:sz w:val="22"/>
          <w:szCs w:val="22"/>
          <w:lang w:eastAsia="en-US"/>
        </w:rPr>
        <w:t xml:space="preserve">2. </w:t>
      </w:r>
      <w:r w:rsidRPr="00EC1A78">
        <w:rPr>
          <w:color w:val="000000" w:themeColor="text1"/>
          <w:sz w:val="22"/>
          <w:szCs w:val="22"/>
          <w:shd w:val="clear" w:color="auto" w:fill="FFFFFF"/>
        </w:rPr>
        <w:t>Федеральный закон от 31 мая 2001 г. N 73–ФЗ «О госуда</w:t>
      </w:r>
      <w:r w:rsidRPr="00EC1A78">
        <w:rPr>
          <w:color w:val="000000" w:themeColor="text1"/>
          <w:sz w:val="22"/>
          <w:szCs w:val="22"/>
          <w:shd w:val="clear" w:color="auto" w:fill="FFFFFF"/>
        </w:rPr>
        <w:t>р</w:t>
      </w:r>
      <w:r w:rsidRPr="00EC1A78">
        <w:rPr>
          <w:color w:val="000000" w:themeColor="text1"/>
          <w:sz w:val="22"/>
          <w:szCs w:val="22"/>
          <w:shd w:val="clear" w:color="auto" w:fill="FFFFFF"/>
        </w:rPr>
        <w:t>ственной судебно–экспертной деятельности в Российской Федер</w:t>
      </w:r>
      <w:r w:rsidRPr="00EC1A78">
        <w:rPr>
          <w:color w:val="000000" w:themeColor="text1"/>
          <w:sz w:val="22"/>
          <w:szCs w:val="22"/>
          <w:shd w:val="clear" w:color="auto" w:fill="FFFFFF"/>
        </w:rPr>
        <w:t>а</w:t>
      </w:r>
      <w:r w:rsidRPr="00EC1A78">
        <w:rPr>
          <w:color w:val="000000" w:themeColor="text1"/>
          <w:sz w:val="22"/>
          <w:szCs w:val="22"/>
          <w:shd w:val="clear" w:color="auto" w:fill="FFFFFF"/>
        </w:rPr>
        <w:lastRenderedPageBreak/>
        <w:t>ции» (с изменениями от 30 декабря 2001 г., 5 февраля 2007 г.) // «Российская газета» от 5 июня 2001 г.</w:t>
      </w:r>
    </w:p>
    <w:p w:rsidR="00EC1A78" w:rsidRDefault="00EC1A78" w:rsidP="00EC1A78">
      <w:pPr>
        <w:jc w:val="both"/>
        <w:rPr>
          <w:rFonts w:eastAsiaTheme="minorHAnsi"/>
          <w:sz w:val="22"/>
          <w:szCs w:val="22"/>
          <w:lang w:eastAsia="en-US"/>
        </w:rPr>
      </w:pPr>
    </w:p>
    <w:p w:rsidR="00E62E4B" w:rsidRPr="00EC1A78" w:rsidRDefault="00E62E4B" w:rsidP="005012A5">
      <w:pPr>
        <w:rPr>
          <w:rFonts w:eastAsiaTheme="minorHAnsi"/>
          <w:sz w:val="22"/>
          <w:szCs w:val="22"/>
          <w:lang w:eastAsia="en-US"/>
        </w:rPr>
      </w:pPr>
    </w:p>
    <w:p w:rsidR="00EC1A78" w:rsidRPr="00EC1A78" w:rsidRDefault="00EC1A78" w:rsidP="00EC1A78">
      <w:pPr>
        <w:widowControl w:val="0"/>
        <w:suppressAutoHyphens/>
        <w:jc w:val="both"/>
        <w:rPr>
          <w:rFonts w:eastAsia="Andale Sans UI"/>
          <w:kern w:val="1"/>
          <w:sz w:val="24"/>
          <w:szCs w:val="24"/>
          <w:lang w:eastAsia="en-US"/>
        </w:rPr>
      </w:pPr>
      <w:r w:rsidRPr="00EC1A78">
        <w:rPr>
          <w:rFonts w:eastAsia="Andale Sans UI"/>
          <w:kern w:val="1"/>
          <w:sz w:val="22"/>
          <w:szCs w:val="22"/>
          <w:lang w:eastAsia="en-US"/>
        </w:rPr>
        <w:t>УДК 343.16</w:t>
      </w:r>
    </w:p>
    <w:p w:rsidR="00EC1A78" w:rsidRPr="00EC1A78" w:rsidRDefault="00EC1A78" w:rsidP="00EC1A78">
      <w:pPr>
        <w:widowControl w:val="0"/>
        <w:suppressAutoHyphens/>
        <w:jc w:val="both"/>
        <w:rPr>
          <w:rFonts w:eastAsia="Andale Sans UI"/>
          <w:kern w:val="1"/>
          <w:sz w:val="24"/>
          <w:szCs w:val="24"/>
          <w:lang w:eastAsia="en-US"/>
        </w:rPr>
      </w:pPr>
    </w:p>
    <w:p w:rsidR="00EC1A78" w:rsidRPr="00EC1A78" w:rsidRDefault="00EC1A78" w:rsidP="00EC1A78">
      <w:pPr>
        <w:widowControl w:val="0"/>
        <w:suppressAutoHyphens/>
        <w:jc w:val="center"/>
        <w:rPr>
          <w:rFonts w:eastAsia="Andale Sans UI"/>
          <w:b/>
          <w:kern w:val="1"/>
          <w:sz w:val="24"/>
          <w:szCs w:val="24"/>
          <w:lang w:eastAsia="en-US"/>
        </w:rPr>
      </w:pPr>
      <w:r w:rsidRPr="00EC1A78">
        <w:rPr>
          <w:rFonts w:eastAsia="Andale Sans UI"/>
          <w:b/>
          <w:kern w:val="1"/>
          <w:sz w:val="24"/>
          <w:szCs w:val="24"/>
          <w:lang w:eastAsia="en-US"/>
        </w:rPr>
        <w:t>К вопросу о полномочиях прокурора в сфере уголовного судопроизводства</w:t>
      </w:r>
    </w:p>
    <w:p w:rsidR="00EC1A78" w:rsidRPr="00EC1A78" w:rsidRDefault="00EC1A78" w:rsidP="00EC1A78">
      <w:pPr>
        <w:widowControl w:val="0"/>
        <w:suppressAutoHyphens/>
        <w:jc w:val="center"/>
        <w:rPr>
          <w:rFonts w:eastAsia="Andale Sans UI"/>
          <w:kern w:val="1"/>
          <w:sz w:val="22"/>
          <w:szCs w:val="22"/>
          <w:lang w:val="en-US" w:eastAsia="en-US"/>
        </w:rPr>
      </w:pPr>
      <w:r w:rsidRPr="00EC1A78">
        <w:rPr>
          <w:rFonts w:eastAsia="Andale Sans UI"/>
          <w:b/>
          <w:kern w:val="1"/>
          <w:sz w:val="24"/>
          <w:szCs w:val="24"/>
          <w:lang w:val="en-US" w:eastAsia="en-US"/>
        </w:rPr>
        <w:t>On the question of the credentials of the prosecutor in the sphere of criminal proceedings</w:t>
      </w:r>
    </w:p>
    <w:p w:rsidR="00EC1A78" w:rsidRPr="00EC1A78" w:rsidRDefault="00EC1A78" w:rsidP="00EC1A78">
      <w:pPr>
        <w:widowControl w:val="0"/>
        <w:suppressAutoHyphens/>
        <w:ind w:firstLine="425"/>
        <w:jc w:val="right"/>
        <w:rPr>
          <w:rFonts w:eastAsia="Andale Sans UI"/>
          <w:kern w:val="1"/>
          <w:sz w:val="22"/>
          <w:szCs w:val="22"/>
          <w:lang w:val="en-US" w:eastAsia="en-US"/>
        </w:rPr>
      </w:pPr>
    </w:p>
    <w:p w:rsidR="00EC1A78" w:rsidRPr="00EC1A78" w:rsidRDefault="00EC1A78" w:rsidP="00EC1A78">
      <w:pPr>
        <w:widowControl w:val="0"/>
        <w:suppressAutoHyphens/>
        <w:ind w:firstLine="425"/>
        <w:jc w:val="right"/>
        <w:rPr>
          <w:rFonts w:eastAsia="Andale Sans UI"/>
          <w:kern w:val="1"/>
          <w:sz w:val="22"/>
          <w:szCs w:val="22"/>
          <w:lang w:eastAsia="en-US"/>
        </w:rPr>
      </w:pPr>
      <w:r w:rsidRPr="00EC1A78">
        <w:rPr>
          <w:rFonts w:eastAsia="Andale Sans UI"/>
          <w:kern w:val="1"/>
          <w:sz w:val="22"/>
          <w:szCs w:val="22"/>
          <w:lang w:eastAsia="en-US"/>
        </w:rPr>
        <w:t>Немтин А.</w:t>
      </w:r>
      <w:r w:rsidR="00E62E4B">
        <w:rPr>
          <w:rFonts w:eastAsia="Andale Sans UI"/>
          <w:kern w:val="1"/>
          <w:sz w:val="22"/>
          <w:szCs w:val="22"/>
          <w:lang w:eastAsia="en-US"/>
        </w:rPr>
        <w:t xml:space="preserve"> </w:t>
      </w:r>
      <w:r w:rsidRPr="00EC1A78">
        <w:rPr>
          <w:rFonts w:eastAsia="Andale Sans UI"/>
          <w:kern w:val="1"/>
          <w:sz w:val="22"/>
          <w:szCs w:val="22"/>
          <w:lang w:eastAsia="en-US"/>
        </w:rPr>
        <w:t>Д.,</w:t>
      </w:r>
    </w:p>
    <w:p w:rsidR="00EC1A78" w:rsidRPr="00EC1A78" w:rsidRDefault="00EC1A78" w:rsidP="00EC1A78">
      <w:pPr>
        <w:widowControl w:val="0"/>
        <w:suppressAutoHyphens/>
        <w:ind w:firstLine="425"/>
        <w:jc w:val="right"/>
        <w:rPr>
          <w:rFonts w:eastAsia="Andale Sans UI"/>
          <w:kern w:val="1"/>
          <w:sz w:val="22"/>
          <w:szCs w:val="22"/>
          <w:lang w:eastAsia="en-US"/>
        </w:rPr>
      </w:pPr>
      <w:r w:rsidRPr="00EC1A78">
        <w:rPr>
          <w:rFonts w:eastAsia="Andale Sans UI"/>
          <w:kern w:val="1"/>
          <w:sz w:val="22"/>
          <w:szCs w:val="22"/>
          <w:lang w:eastAsia="en-US"/>
        </w:rPr>
        <w:t>студент 4 курса юридического факультета</w:t>
      </w:r>
    </w:p>
    <w:p w:rsidR="00EC1A78" w:rsidRPr="00EC1A78" w:rsidRDefault="00EC1A78" w:rsidP="00EC1A78">
      <w:pPr>
        <w:widowControl w:val="0"/>
        <w:suppressAutoHyphens/>
        <w:ind w:firstLine="425"/>
        <w:jc w:val="right"/>
        <w:rPr>
          <w:rFonts w:eastAsia="Andale Sans UI"/>
          <w:kern w:val="1"/>
          <w:sz w:val="22"/>
          <w:szCs w:val="22"/>
          <w:lang w:eastAsia="en-US"/>
        </w:rPr>
      </w:pPr>
      <w:r w:rsidRPr="00EC1A78">
        <w:rPr>
          <w:rFonts w:eastAsia="Andale Sans UI"/>
          <w:kern w:val="1"/>
          <w:sz w:val="22"/>
          <w:szCs w:val="22"/>
          <w:lang w:eastAsia="en-US"/>
        </w:rPr>
        <w:t>Филь В.</w:t>
      </w:r>
      <w:r w:rsidR="00E62E4B">
        <w:rPr>
          <w:rFonts w:eastAsia="Andale Sans UI"/>
          <w:kern w:val="1"/>
          <w:sz w:val="22"/>
          <w:szCs w:val="22"/>
          <w:lang w:eastAsia="en-US"/>
        </w:rPr>
        <w:t xml:space="preserve"> </w:t>
      </w:r>
      <w:r w:rsidRPr="00EC1A78">
        <w:rPr>
          <w:rFonts w:eastAsia="Andale Sans UI"/>
          <w:kern w:val="1"/>
          <w:sz w:val="22"/>
          <w:szCs w:val="22"/>
          <w:lang w:eastAsia="en-US"/>
        </w:rPr>
        <w:t>С.,</w:t>
      </w:r>
    </w:p>
    <w:p w:rsidR="00EC1A78" w:rsidRPr="00EC1A78" w:rsidRDefault="00EC1A78" w:rsidP="00EC1A78">
      <w:pPr>
        <w:widowControl w:val="0"/>
        <w:suppressAutoHyphens/>
        <w:ind w:firstLine="425"/>
        <w:jc w:val="right"/>
        <w:rPr>
          <w:rFonts w:eastAsia="Andale Sans UI"/>
          <w:kern w:val="1"/>
          <w:sz w:val="22"/>
          <w:szCs w:val="22"/>
          <w:lang w:eastAsia="en-US"/>
        </w:rPr>
      </w:pPr>
      <w:r w:rsidRPr="00EC1A78">
        <w:rPr>
          <w:rFonts w:eastAsia="Andale Sans UI"/>
          <w:kern w:val="1"/>
          <w:sz w:val="22"/>
          <w:szCs w:val="22"/>
          <w:lang w:eastAsia="en-US"/>
        </w:rPr>
        <w:t>ст. преподаватель кафедры уголовного процесса</w:t>
      </w:r>
    </w:p>
    <w:p w:rsidR="00EC1A78" w:rsidRPr="00EC1A78" w:rsidRDefault="00EC1A78" w:rsidP="00EC1A78">
      <w:pPr>
        <w:widowControl w:val="0"/>
        <w:suppressAutoHyphens/>
        <w:ind w:firstLine="425"/>
        <w:jc w:val="right"/>
        <w:rPr>
          <w:rFonts w:eastAsia="Andale Sans UI"/>
          <w:kern w:val="1"/>
          <w:sz w:val="22"/>
          <w:szCs w:val="22"/>
          <w:lang w:eastAsia="en-US"/>
        </w:rPr>
      </w:pPr>
      <w:r w:rsidRPr="00EC1A78">
        <w:rPr>
          <w:rFonts w:eastAsia="Andale Sans UI"/>
          <w:kern w:val="1"/>
          <w:sz w:val="22"/>
          <w:szCs w:val="22"/>
          <w:lang w:eastAsia="en-US"/>
        </w:rPr>
        <w:t xml:space="preserve">Кубанский государственный аграрный </w:t>
      </w:r>
    </w:p>
    <w:p w:rsidR="00EC1A78" w:rsidRPr="00EC1A78" w:rsidRDefault="00EC1A78" w:rsidP="00EC1A78">
      <w:pPr>
        <w:widowControl w:val="0"/>
        <w:suppressAutoHyphens/>
        <w:ind w:firstLine="425"/>
        <w:jc w:val="right"/>
        <w:rPr>
          <w:rFonts w:eastAsia="Andale Sans UI"/>
          <w:kern w:val="1"/>
          <w:sz w:val="24"/>
          <w:szCs w:val="24"/>
          <w:lang w:eastAsia="en-US"/>
        </w:rPr>
      </w:pPr>
      <w:r w:rsidRPr="00EC1A78">
        <w:rPr>
          <w:rFonts w:eastAsia="Andale Sans UI"/>
          <w:kern w:val="1"/>
          <w:sz w:val="22"/>
          <w:szCs w:val="22"/>
          <w:lang w:eastAsia="en-US"/>
        </w:rPr>
        <w:t>университет имени И.</w:t>
      </w:r>
      <w:r w:rsidR="00E62E4B">
        <w:rPr>
          <w:rFonts w:eastAsia="Andale Sans UI"/>
          <w:kern w:val="1"/>
          <w:sz w:val="22"/>
          <w:szCs w:val="22"/>
          <w:lang w:eastAsia="en-US"/>
        </w:rPr>
        <w:t xml:space="preserve"> </w:t>
      </w:r>
      <w:r w:rsidRPr="00EC1A78">
        <w:rPr>
          <w:rFonts w:eastAsia="Andale Sans UI"/>
          <w:kern w:val="1"/>
          <w:sz w:val="22"/>
          <w:szCs w:val="22"/>
          <w:lang w:eastAsia="en-US"/>
        </w:rPr>
        <w:t>Т. Трубилина.</w:t>
      </w:r>
    </w:p>
    <w:p w:rsidR="00EC1A78" w:rsidRPr="00EC1A78" w:rsidRDefault="00EC1A78" w:rsidP="00EC1A78">
      <w:pPr>
        <w:widowControl w:val="0"/>
        <w:suppressAutoHyphens/>
        <w:ind w:firstLine="425"/>
        <w:jc w:val="both"/>
        <w:rPr>
          <w:rFonts w:eastAsia="Andale Sans UI"/>
          <w:kern w:val="1"/>
          <w:sz w:val="24"/>
          <w:szCs w:val="24"/>
          <w:lang w:eastAsia="en-US"/>
        </w:rPr>
      </w:pP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АННОТАЦИЯ</w:t>
      </w:r>
      <w:r w:rsidRPr="00EC1A78">
        <w:rPr>
          <w:rFonts w:eastAsia="Andale Sans UI"/>
          <w:b/>
          <w:kern w:val="1"/>
          <w:sz w:val="22"/>
          <w:szCs w:val="22"/>
          <w:lang w:eastAsia="en-US"/>
        </w:rPr>
        <w:t xml:space="preserve">: </w:t>
      </w:r>
      <w:r w:rsidRPr="00EC1A78">
        <w:rPr>
          <w:rFonts w:eastAsia="Andale Sans UI"/>
          <w:kern w:val="1"/>
          <w:sz w:val="22"/>
          <w:szCs w:val="22"/>
          <w:lang w:eastAsia="en-US"/>
        </w:rPr>
        <w:t xml:space="preserve">На сегодняшний день, в научной литературе остается спорным вопрос о положении прокурора в различных стадиях уголовного процесса. В статье рассмотрены последствия уголовно–процессуальной реформы, приведен опыт зарубежных стран по данному вопросу. В ходе исследования выявляется негативный результат ограничений полномочий прокурора, который проявляется в снижении эффективности осуществления прокурором надзорных полномочий. </w:t>
      </w:r>
    </w:p>
    <w:p w:rsidR="00EC1A78" w:rsidRPr="00EC1A78" w:rsidRDefault="00EC1A78" w:rsidP="00EC1A78">
      <w:pPr>
        <w:widowControl w:val="0"/>
        <w:suppressAutoHyphens/>
        <w:ind w:firstLine="425"/>
        <w:jc w:val="both"/>
        <w:rPr>
          <w:rFonts w:eastAsia="Andale Sans UI"/>
          <w:kern w:val="1"/>
          <w:sz w:val="22"/>
          <w:szCs w:val="22"/>
          <w:lang w:val="en-US" w:eastAsia="en-US"/>
        </w:rPr>
      </w:pPr>
      <w:r w:rsidRPr="00EC1A78">
        <w:rPr>
          <w:rFonts w:eastAsia="Andale Sans UI"/>
          <w:kern w:val="1"/>
          <w:sz w:val="22"/>
          <w:szCs w:val="22"/>
          <w:lang w:val="en-US" w:eastAsia="en-US"/>
        </w:rPr>
        <w:t>ABSTRACT: To date, the issue of the prosecutor's position in various stages of the criminal process remains controversial in the scientific literature. The article reviews the consequences of the criminal procedural reform, gives the experience of foreign countries on this issue. From the study, the negative result of limiting the powers of the prosecutor's office in the Russian Federation is clearly visible.</w:t>
      </w:r>
    </w:p>
    <w:p w:rsidR="00EC1A78" w:rsidRPr="00EC1A78" w:rsidRDefault="00EC1A78" w:rsidP="00EC1A78">
      <w:pPr>
        <w:widowControl w:val="0"/>
        <w:suppressAutoHyphens/>
        <w:ind w:firstLine="425"/>
        <w:jc w:val="both"/>
        <w:rPr>
          <w:rFonts w:eastAsia="Andale Sans UI"/>
          <w:b/>
          <w:bCs/>
          <w:kern w:val="1"/>
          <w:sz w:val="22"/>
          <w:szCs w:val="22"/>
          <w:lang w:eastAsia="en-US"/>
        </w:rPr>
      </w:pPr>
      <w:r w:rsidRPr="00EC1A78">
        <w:rPr>
          <w:rFonts w:eastAsia="Andale Sans UI"/>
          <w:kern w:val="1"/>
          <w:sz w:val="22"/>
          <w:szCs w:val="22"/>
          <w:lang w:eastAsia="en-US"/>
        </w:rPr>
        <w:t>КЛЮЧЕВЫЕ СЛОВА</w:t>
      </w:r>
      <w:r w:rsidRPr="00EC1A78">
        <w:rPr>
          <w:rFonts w:eastAsia="Andale Sans UI"/>
          <w:b/>
          <w:kern w:val="1"/>
          <w:sz w:val="22"/>
          <w:szCs w:val="22"/>
          <w:lang w:eastAsia="en-US"/>
        </w:rPr>
        <w:t xml:space="preserve">: </w:t>
      </w:r>
      <w:r w:rsidRPr="00EC1A78">
        <w:rPr>
          <w:rFonts w:eastAsia="Andale Sans UI"/>
          <w:kern w:val="1"/>
          <w:sz w:val="22"/>
          <w:szCs w:val="22"/>
          <w:lang w:eastAsia="en-US"/>
        </w:rPr>
        <w:t>прокурор, полномочия, деятельность, реформа, надзор.</w:t>
      </w:r>
    </w:p>
    <w:p w:rsidR="00EC1A78" w:rsidRPr="00EC1A78" w:rsidRDefault="00EC1A78" w:rsidP="00EC1A78">
      <w:pPr>
        <w:widowControl w:val="0"/>
        <w:suppressAutoHyphens/>
        <w:ind w:firstLine="425"/>
        <w:jc w:val="both"/>
        <w:rPr>
          <w:rFonts w:eastAsia="Andale Sans UI"/>
          <w:kern w:val="1"/>
          <w:sz w:val="22"/>
          <w:szCs w:val="22"/>
          <w:lang w:val="en-US" w:eastAsia="en-US"/>
        </w:rPr>
      </w:pPr>
      <w:r w:rsidRPr="00EC1A78">
        <w:rPr>
          <w:rFonts w:eastAsia="Andale Sans UI"/>
          <w:bCs/>
          <w:kern w:val="1"/>
          <w:sz w:val="22"/>
          <w:szCs w:val="22"/>
          <w:lang w:val="en-US" w:eastAsia="en-US"/>
        </w:rPr>
        <w:t>KEY WORDS:</w:t>
      </w:r>
      <w:r w:rsidRPr="00EC1A78">
        <w:rPr>
          <w:rFonts w:eastAsia="Andale Sans UI"/>
          <w:b/>
          <w:bCs/>
          <w:kern w:val="1"/>
          <w:sz w:val="22"/>
          <w:szCs w:val="22"/>
          <w:lang w:val="en-US" w:eastAsia="en-US"/>
        </w:rPr>
        <w:t xml:space="preserve"> </w:t>
      </w:r>
      <w:r w:rsidRPr="00EC1A78">
        <w:rPr>
          <w:rFonts w:eastAsia="Andale Sans UI"/>
          <w:kern w:val="1"/>
          <w:sz w:val="22"/>
          <w:szCs w:val="22"/>
          <w:lang w:val="en-US" w:eastAsia="en-US"/>
        </w:rPr>
        <w:t>public prosecutor, powers, activity, reform, supervision</w:t>
      </w:r>
    </w:p>
    <w:p w:rsidR="00EC1A78" w:rsidRPr="00EC1A78" w:rsidRDefault="00EC1A78" w:rsidP="00EC1A78">
      <w:pPr>
        <w:widowControl w:val="0"/>
        <w:suppressAutoHyphens/>
        <w:ind w:firstLine="425"/>
        <w:jc w:val="both"/>
        <w:rPr>
          <w:rFonts w:eastAsia="Andale Sans UI"/>
          <w:kern w:val="1"/>
          <w:sz w:val="22"/>
          <w:szCs w:val="22"/>
          <w:lang w:val="en-US" w:eastAsia="en-US"/>
        </w:rPr>
      </w:pP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lastRenderedPageBreak/>
        <w:t>Прокуратура в Российской Федерации является особо важным органом, который осуществляет надзор за всеми сферами жизнедеятельности государства на предмет реализации принципа законности. Согласно действующему законодательству, именно на прокуратуру возложены наиболее важные функции по обеспечению законности</w:t>
      </w:r>
      <w:r w:rsidRPr="00EC1A78">
        <w:rPr>
          <w:rFonts w:eastAsia="Andale Sans UI"/>
          <w:color w:val="FF0000"/>
          <w:kern w:val="1"/>
          <w:sz w:val="22"/>
          <w:szCs w:val="22"/>
          <w:lang w:eastAsia="en-US"/>
        </w:rPr>
        <w:t xml:space="preserve"> </w:t>
      </w:r>
      <w:r w:rsidRPr="00EC1A78">
        <w:rPr>
          <w:rFonts w:eastAsia="Andale Sans UI"/>
          <w:kern w:val="1"/>
          <w:sz w:val="22"/>
          <w:szCs w:val="22"/>
          <w:lang w:eastAsia="en-US"/>
        </w:rPr>
        <w:t>в государстве.</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 xml:space="preserve">Федеральный закон «О прокуратуре РФ» [1] выделяет следующие пять основных отраслей надзора: </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1. Надзор за соблюдением законов органами исполнительной власти на федеральном уровне;</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2. Надзор за реализацией прав и свобод человека и гражданина органами исполнительной власти на федеральном уровне;</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3. Надзор за подчинением законодательству органов, которые осуществляют оперативно–розыскную деятельность, предварительное расследование;</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4. Надзор за подчинением законодательству судебных приставов;</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5. Надзор за подчинением законодательству администраций исправительных учреждений.</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Важно отметить, что ФЗ «О прокуратуре РФ» содержит положение, согласно которому полномочия прокуратуры в Российской Федерации при осуществлении надзорных функций в уголовном судопроизводстве реализуются не в вышеуказанном ФЗ, а в УПК РФ [2], что, безусловно, является целесообразным, т.к. закон был бы перегружен специализированными нормами, что видится не верным.</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 xml:space="preserve">В уголовном судопроизводстве РФ прокурор – единственное должностное лицо, реализующее свои полномочия во всех стадиях. Органы прокуратуры обеспечивают законность не только на стадии предварительного расследования, но также и судебного разбирательства. </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Практика показывает, что проводимая реформа снизила эффективность осуществления прокурором надзорных полномочий, т.к. органы прокуратуры были лишены права</w:t>
      </w:r>
      <w:r w:rsidRPr="00EC1A78">
        <w:rPr>
          <w:rFonts w:eastAsia="Andale Sans UI"/>
          <w:color w:val="FF0000"/>
          <w:kern w:val="1"/>
          <w:sz w:val="22"/>
          <w:szCs w:val="22"/>
          <w:lang w:eastAsia="en-US"/>
        </w:rPr>
        <w:t xml:space="preserve"> </w:t>
      </w:r>
      <w:r w:rsidRPr="00EC1A78">
        <w:rPr>
          <w:rFonts w:eastAsia="Andale Sans UI"/>
          <w:kern w:val="1"/>
          <w:sz w:val="22"/>
          <w:szCs w:val="22"/>
          <w:lang w:eastAsia="en-US"/>
        </w:rPr>
        <w:t>возбуждать уголовные дела.</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Для наиболее детального изучения появившейся проблемы целесообразно обратится к опыту Франции и Украины.</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 xml:space="preserve">Так в законодательстве Франции в Ордонансе №59–1 </w:t>
      </w:r>
      <w:r w:rsidRPr="00EC1A78">
        <w:rPr>
          <w:rFonts w:eastAsia="Andale Sans UI"/>
          <w:kern w:val="1"/>
          <w:sz w:val="22"/>
          <w:szCs w:val="22"/>
          <w:lang w:eastAsia="en-US"/>
        </w:rPr>
        <w:lastRenderedPageBreak/>
        <w:t>закреплено, что можно давать указания и направлять ход расследования по средствам «применения закона».</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Согласно ст. 36 УПК Украины прокурор наделен правом поручать следователю проведение необходимых следственных действий, а также давать необходимые указания об их проведении.</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На сегодняшний день, в научной литературе остается спорным вопрос о положении прокурора в различных стадиях уголовного процесса. Часть ученых, например, О.С. Капинус, считают, что, несмотря на то, что прокурор является стороной обвинения и одновременно осуществляет функцию уголовного преследования, все же является представителем государства, защищающим публичные интересы [3, с.4].</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Другая часть ученых, например, А.А. Тушев, считают, что прокурор, который обязан осуществлять уголовное преследование не должен не только ее осуществлять, но даже способствовать ее осуществлению [4].</w:t>
      </w:r>
    </w:p>
    <w:p w:rsidR="00EC1A78" w:rsidRPr="00EC1A78" w:rsidRDefault="00EC1A78" w:rsidP="00EC1A78">
      <w:pPr>
        <w:widowControl w:val="0"/>
        <w:suppressAutoHyphens/>
        <w:ind w:firstLine="425"/>
        <w:jc w:val="both"/>
        <w:rPr>
          <w:rFonts w:eastAsia="Andale Sans UI"/>
          <w:kern w:val="1"/>
          <w:sz w:val="22"/>
          <w:szCs w:val="22"/>
          <w:lang w:eastAsia="en-US"/>
        </w:rPr>
      </w:pPr>
      <w:r w:rsidRPr="00EC1A78">
        <w:rPr>
          <w:rFonts w:eastAsia="Andale Sans UI"/>
          <w:kern w:val="1"/>
          <w:sz w:val="22"/>
          <w:szCs w:val="22"/>
          <w:lang w:eastAsia="en-US"/>
        </w:rPr>
        <w:t>А.</w:t>
      </w:r>
      <w:r w:rsidR="00E62E4B">
        <w:rPr>
          <w:rFonts w:eastAsia="Andale Sans UI"/>
          <w:kern w:val="1"/>
          <w:sz w:val="22"/>
          <w:szCs w:val="22"/>
          <w:lang w:eastAsia="en-US"/>
        </w:rPr>
        <w:t xml:space="preserve"> </w:t>
      </w:r>
      <w:r w:rsidRPr="00EC1A78">
        <w:rPr>
          <w:rFonts w:eastAsia="Andale Sans UI"/>
          <w:kern w:val="1"/>
          <w:sz w:val="22"/>
          <w:szCs w:val="22"/>
          <w:lang w:eastAsia="en-US"/>
        </w:rPr>
        <w:t>В. Спирин, считает, что необходимо предоставлять прокурору право дачи следователю указаний, в тех случаях, когда были выявлены нарушения закона данным следователем по конкретному уголовному делу [5].</w:t>
      </w:r>
    </w:p>
    <w:p w:rsidR="00EC1A78" w:rsidRPr="00EC1A78" w:rsidRDefault="00EC1A78" w:rsidP="005012A5">
      <w:pPr>
        <w:widowControl w:val="0"/>
        <w:suppressAutoHyphens/>
        <w:ind w:firstLine="425"/>
        <w:jc w:val="both"/>
        <w:rPr>
          <w:rFonts w:eastAsia="Andale Sans UI"/>
          <w:b/>
          <w:kern w:val="1"/>
          <w:sz w:val="22"/>
          <w:szCs w:val="22"/>
          <w:lang w:eastAsia="en-US"/>
        </w:rPr>
      </w:pPr>
      <w:r w:rsidRPr="00EC1A78">
        <w:rPr>
          <w:rFonts w:eastAsia="Andale Sans UI"/>
          <w:kern w:val="1"/>
          <w:sz w:val="22"/>
          <w:szCs w:val="22"/>
          <w:lang w:eastAsia="en-US"/>
        </w:rPr>
        <w:t>На наш взгляд, необходимо наделить прокурора более широким кругом полномочий в рамках уголовного процесса. Учитывая сложившуюся ситуацию, в которой прокурор не имеет инструментов для воздействия на следственные органы в целях соблюдения законодательства в ходе расследования уголовных дел, целесообразно расширить полномочия прокурора для обеспечения законности на стадии предварительного расследования.</w:t>
      </w:r>
    </w:p>
    <w:p w:rsidR="00EC1A78" w:rsidRPr="00EC1A78" w:rsidRDefault="00EC1A78" w:rsidP="00EC1A78">
      <w:pPr>
        <w:widowControl w:val="0"/>
        <w:suppressAutoHyphens/>
        <w:jc w:val="center"/>
        <w:rPr>
          <w:rFonts w:eastAsia="Andale Sans UI"/>
          <w:kern w:val="1"/>
          <w:sz w:val="22"/>
          <w:szCs w:val="22"/>
          <w:lang w:eastAsia="en-US"/>
        </w:rPr>
      </w:pPr>
      <w:r w:rsidRPr="00EC1A78">
        <w:rPr>
          <w:rFonts w:eastAsia="Andale Sans UI"/>
          <w:kern w:val="1"/>
          <w:sz w:val="22"/>
          <w:szCs w:val="22"/>
          <w:lang w:eastAsia="en-US"/>
        </w:rPr>
        <w:t>Список литературы</w:t>
      </w:r>
    </w:p>
    <w:p w:rsidR="00EC1A78" w:rsidRPr="00EC1A78" w:rsidRDefault="00EC1A78" w:rsidP="00EC1A78">
      <w:pPr>
        <w:widowControl w:val="0"/>
        <w:suppressAutoHyphens/>
        <w:ind w:firstLine="426"/>
        <w:jc w:val="both"/>
        <w:rPr>
          <w:rFonts w:eastAsia="Andale Sans UI"/>
          <w:kern w:val="1"/>
          <w:sz w:val="22"/>
          <w:szCs w:val="22"/>
          <w:lang w:eastAsia="en-US"/>
        </w:rPr>
      </w:pPr>
      <w:r w:rsidRPr="00EC1A78">
        <w:rPr>
          <w:rFonts w:eastAsia="Andale Sans UI"/>
          <w:kern w:val="1"/>
          <w:sz w:val="22"/>
          <w:szCs w:val="22"/>
          <w:lang w:eastAsia="en-US"/>
        </w:rPr>
        <w:t xml:space="preserve">1. Федеральный закон «О прокуратуре РФ» от 17.01.1992 № 2202–1 // Собрание законодательства РФ от 24 декабря 2001г. №52 ст. 4921. </w:t>
      </w:r>
    </w:p>
    <w:p w:rsidR="00EC1A78" w:rsidRPr="00EC1A78" w:rsidRDefault="00EC1A78" w:rsidP="00EC1A78">
      <w:pPr>
        <w:widowControl w:val="0"/>
        <w:suppressAutoHyphens/>
        <w:ind w:firstLine="426"/>
        <w:jc w:val="both"/>
        <w:rPr>
          <w:rFonts w:eastAsia="Andale Sans UI"/>
          <w:kern w:val="1"/>
          <w:sz w:val="22"/>
          <w:szCs w:val="22"/>
          <w:lang w:eastAsia="en-US"/>
        </w:rPr>
      </w:pPr>
      <w:r w:rsidRPr="00EC1A78">
        <w:rPr>
          <w:rFonts w:eastAsia="Andale Sans UI"/>
          <w:kern w:val="1"/>
          <w:sz w:val="22"/>
          <w:szCs w:val="22"/>
          <w:lang w:eastAsia="en-US"/>
        </w:rPr>
        <w:t>2. «Уголовно–процессуальный кодекс РФ от 18.12.2001 № 174–ФЗ // Собрание законодательства РФ от 24 декабря 2001г. №52 ст. 4921.</w:t>
      </w:r>
    </w:p>
    <w:p w:rsidR="00EC1A78" w:rsidRPr="00EC1A78" w:rsidRDefault="00EC1A78" w:rsidP="00EC1A78">
      <w:pPr>
        <w:widowControl w:val="0"/>
        <w:suppressAutoHyphens/>
        <w:ind w:firstLine="426"/>
        <w:jc w:val="both"/>
        <w:rPr>
          <w:rFonts w:eastAsia="Andale Sans UI"/>
          <w:kern w:val="1"/>
          <w:sz w:val="22"/>
          <w:szCs w:val="22"/>
          <w:lang w:eastAsia="en-US"/>
        </w:rPr>
      </w:pPr>
      <w:r w:rsidRPr="00EC1A78">
        <w:rPr>
          <w:rFonts w:eastAsia="Andale Sans UI"/>
          <w:kern w:val="1"/>
          <w:sz w:val="22"/>
          <w:szCs w:val="22"/>
          <w:lang w:eastAsia="en-US"/>
        </w:rPr>
        <w:t>3. Капинус О.С. К вопросу о процессуальном положении прокурора в стадии возбуждения уголовного дела// Прокурор. 2017. №2. С. 50–58.</w:t>
      </w:r>
    </w:p>
    <w:p w:rsidR="00EC1A78" w:rsidRPr="00EC1A78" w:rsidRDefault="00EC1A78" w:rsidP="00EC1A78">
      <w:pPr>
        <w:widowControl w:val="0"/>
        <w:suppressAutoHyphens/>
        <w:ind w:firstLine="426"/>
        <w:jc w:val="both"/>
        <w:rPr>
          <w:rFonts w:eastAsia="Andale Sans UI"/>
          <w:kern w:val="1"/>
          <w:sz w:val="22"/>
          <w:szCs w:val="22"/>
          <w:lang w:eastAsia="en-US"/>
        </w:rPr>
      </w:pPr>
      <w:r w:rsidRPr="00EC1A78">
        <w:rPr>
          <w:rFonts w:eastAsia="Andale Sans UI"/>
          <w:kern w:val="1"/>
          <w:sz w:val="22"/>
          <w:szCs w:val="22"/>
          <w:lang w:eastAsia="en-US"/>
        </w:rPr>
        <w:t xml:space="preserve">4. Тушев А.А. Обеспечение прокурором законности в стадии </w:t>
      </w:r>
      <w:r w:rsidRPr="00EC1A78">
        <w:rPr>
          <w:rFonts w:eastAsia="Andale Sans UI"/>
          <w:kern w:val="1"/>
          <w:sz w:val="22"/>
          <w:szCs w:val="22"/>
          <w:lang w:eastAsia="en-US"/>
        </w:rPr>
        <w:lastRenderedPageBreak/>
        <w:t>возбуждения уголовного дела // Юридические науки. 2013. №17 С. 122–127.</w:t>
      </w:r>
    </w:p>
    <w:p w:rsidR="00E62E4B" w:rsidRPr="005012A5" w:rsidRDefault="00EC1A78" w:rsidP="005012A5">
      <w:pPr>
        <w:widowControl w:val="0"/>
        <w:suppressAutoHyphens/>
        <w:ind w:firstLine="426"/>
        <w:jc w:val="both"/>
        <w:rPr>
          <w:rFonts w:eastAsia="Andale Sans UI"/>
          <w:kern w:val="1"/>
          <w:sz w:val="22"/>
          <w:szCs w:val="22"/>
          <w:lang w:eastAsia="en-US"/>
        </w:rPr>
      </w:pPr>
      <w:r w:rsidRPr="00EC1A78">
        <w:rPr>
          <w:rFonts w:eastAsia="Andale Sans UI"/>
          <w:kern w:val="1"/>
          <w:sz w:val="22"/>
          <w:szCs w:val="22"/>
          <w:lang w:eastAsia="en-US"/>
        </w:rPr>
        <w:t>5. Спирин А.В. О необходимости предоставления прокурору права давать указания следователю // Юридические науки. 2016. №6. С. 153–156.</w:t>
      </w:r>
    </w:p>
    <w:p w:rsidR="00163DEF" w:rsidRDefault="00163DEF" w:rsidP="00EC1A78">
      <w:pPr>
        <w:rPr>
          <w:rFonts w:eastAsiaTheme="minorHAnsi"/>
          <w:sz w:val="22"/>
          <w:szCs w:val="22"/>
          <w:lang w:eastAsia="en-US"/>
        </w:rPr>
      </w:pPr>
    </w:p>
    <w:p w:rsidR="00163DEF" w:rsidRDefault="00163DEF" w:rsidP="00EC1A78">
      <w:pPr>
        <w:rPr>
          <w:rFonts w:eastAsiaTheme="minorHAnsi"/>
          <w:sz w:val="22"/>
          <w:szCs w:val="22"/>
          <w:lang w:eastAsia="en-US"/>
        </w:rPr>
      </w:pPr>
    </w:p>
    <w:p w:rsidR="00163DEF" w:rsidRDefault="00163DEF" w:rsidP="00EC1A78">
      <w:pPr>
        <w:rPr>
          <w:rFonts w:eastAsiaTheme="minorHAnsi"/>
          <w:sz w:val="22"/>
          <w:szCs w:val="22"/>
          <w:lang w:eastAsia="en-US"/>
        </w:rPr>
      </w:pPr>
    </w:p>
    <w:p w:rsidR="00EC1A78" w:rsidRPr="00EC1A78" w:rsidRDefault="00EC1A78" w:rsidP="00EC1A78">
      <w:pPr>
        <w:rPr>
          <w:rFonts w:eastAsiaTheme="minorHAnsi"/>
          <w:color w:val="000000" w:themeColor="text1"/>
          <w:sz w:val="22"/>
          <w:szCs w:val="24"/>
          <w:lang w:eastAsia="en-US"/>
        </w:rPr>
      </w:pPr>
      <w:r w:rsidRPr="00EC1A78">
        <w:rPr>
          <w:rFonts w:eastAsiaTheme="minorHAnsi"/>
          <w:sz w:val="22"/>
          <w:szCs w:val="22"/>
          <w:lang w:eastAsia="en-US"/>
        </w:rPr>
        <w:t>УДК 347.963</w:t>
      </w:r>
    </w:p>
    <w:p w:rsidR="00EC1A78" w:rsidRPr="00EC1A78" w:rsidRDefault="00EC1A78" w:rsidP="00EC1A78">
      <w:pPr>
        <w:jc w:val="center"/>
        <w:rPr>
          <w:rFonts w:eastAsiaTheme="minorHAnsi"/>
          <w:color w:val="000000" w:themeColor="text1"/>
          <w:sz w:val="22"/>
          <w:szCs w:val="24"/>
          <w:lang w:eastAsia="en-US"/>
        </w:rPr>
      </w:pP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color w:val="000000" w:themeColor="text1"/>
          <w:sz w:val="24"/>
          <w:szCs w:val="24"/>
          <w:lang w:eastAsia="en-US"/>
        </w:rPr>
        <w:t xml:space="preserve">Прокурорский надзор при производстве </w:t>
      </w: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color w:val="000000" w:themeColor="text1"/>
          <w:sz w:val="24"/>
          <w:szCs w:val="24"/>
          <w:lang w:eastAsia="en-US"/>
        </w:rPr>
        <w:t>предварительного расследования</w:t>
      </w:r>
    </w:p>
    <w:p w:rsidR="00EC1A78" w:rsidRPr="008D33CB" w:rsidRDefault="00EC1A78" w:rsidP="00EC1A78">
      <w:pPr>
        <w:jc w:val="center"/>
        <w:rPr>
          <w:rFonts w:eastAsiaTheme="minorHAnsi"/>
          <w:b/>
          <w:color w:val="000000" w:themeColor="text1"/>
          <w:sz w:val="24"/>
          <w:szCs w:val="24"/>
          <w:lang w:eastAsia="en-US"/>
        </w:rPr>
      </w:pPr>
      <w:r w:rsidRPr="00EC1A78">
        <w:rPr>
          <w:rFonts w:eastAsiaTheme="minorHAnsi"/>
          <w:b/>
          <w:color w:val="000000" w:themeColor="text1"/>
          <w:sz w:val="24"/>
          <w:szCs w:val="24"/>
          <w:lang w:val="en-US" w:eastAsia="en-US"/>
        </w:rPr>
        <w:t>Prosecutor</w:t>
      </w:r>
      <w:r w:rsidRPr="008D33CB">
        <w:rPr>
          <w:rFonts w:eastAsiaTheme="minorHAnsi"/>
          <w:b/>
          <w:color w:val="000000" w:themeColor="text1"/>
          <w:sz w:val="24"/>
          <w:szCs w:val="24"/>
          <w:lang w:eastAsia="en-US"/>
        </w:rPr>
        <w:t>'</w:t>
      </w:r>
      <w:r w:rsidRPr="00EC1A78">
        <w:rPr>
          <w:rFonts w:eastAsiaTheme="minorHAnsi"/>
          <w:b/>
          <w:color w:val="000000" w:themeColor="text1"/>
          <w:sz w:val="24"/>
          <w:szCs w:val="24"/>
          <w:lang w:val="en-US" w:eastAsia="en-US"/>
        </w:rPr>
        <w:t>s</w:t>
      </w:r>
      <w:r w:rsidRPr="008D33CB">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supervision</w:t>
      </w:r>
      <w:r w:rsidRPr="008D33CB">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during</w:t>
      </w:r>
      <w:r w:rsidRPr="008D33CB">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the</w:t>
      </w:r>
      <w:r w:rsidRPr="008D33CB">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work</w:t>
      </w:r>
    </w:p>
    <w:p w:rsidR="00EC1A78" w:rsidRPr="00EC1A78" w:rsidRDefault="00EC1A78" w:rsidP="00EC1A78">
      <w:pPr>
        <w:jc w:val="center"/>
        <w:rPr>
          <w:rFonts w:eastAsiaTheme="minorHAnsi"/>
          <w:b/>
          <w:color w:val="000000" w:themeColor="text1"/>
          <w:sz w:val="24"/>
          <w:szCs w:val="24"/>
          <w:lang w:val="en-US" w:eastAsia="en-US"/>
        </w:rPr>
      </w:pPr>
      <w:proofErr w:type="gramStart"/>
      <w:r w:rsidRPr="00EC1A78">
        <w:rPr>
          <w:rFonts w:eastAsiaTheme="minorHAnsi"/>
          <w:b/>
          <w:color w:val="000000" w:themeColor="text1"/>
          <w:sz w:val="24"/>
          <w:szCs w:val="24"/>
          <w:lang w:val="en-US" w:eastAsia="en-US"/>
        </w:rPr>
        <w:t>before</w:t>
      </w:r>
      <w:proofErr w:type="gramEnd"/>
      <w:r w:rsidRPr="00EC1A78">
        <w:rPr>
          <w:rFonts w:eastAsiaTheme="minorHAnsi"/>
          <w:b/>
          <w:color w:val="000000" w:themeColor="text1"/>
          <w:sz w:val="24"/>
          <w:szCs w:val="24"/>
          <w:lang w:val="en-US" w:eastAsia="en-US"/>
        </w:rPr>
        <w:t xml:space="preserve"> the investigation</w:t>
      </w:r>
    </w:p>
    <w:p w:rsidR="00EC1A78" w:rsidRPr="00EC1A78" w:rsidRDefault="00EC1A78" w:rsidP="00EC1A78">
      <w:pPr>
        <w:jc w:val="right"/>
        <w:rPr>
          <w:rFonts w:eastAsiaTheme="minorHAnsi"/>
          <w:color w:val="000000" w:themeColor="text1"/>
          <w:sz w:val="22"/>
          <w:szCs w:val="22"/>
          <w:lang w:val="en-US" w:eastAsia="en-US"/>
        </w:rPr>
      </w:pPr>
    </w:p>
    <w:p w:rsidR="00EC1A78" w:rsidRPr="00EC1A78" w:rsidRDefault="00EC1A78" w:rsidP="00EC1A78">
      <w:pPr>
        <w:jc w:val="right"/>
        <w:rPr>
          <w:rFonts w:eastAsiaTheme="minorHAnsi"/>
          <w:color w:val="000000" w:themeColor="text1"/>
          <w:sz w:val="22"/>
          <w:szCs w:val="22"/>
          <w:lang w:val="en-US" w:eastAsia="en-US"/>
        </w:rPr>
      </w:pPr>
      <w:r w:rsidRPr="00EC1A78">
        <w:rPr>
          <w:rFonts w:eastAsiaTheme="minorHAnsi"/>
          <w:color w:val="000000" w:themeColor="text1"/>
          <w:sz w:val="22"/>
          <w:szCs w:val="22"/>
          <w:lang w:eastAsia="en-US"/>
        </w:rPr>
        <w:t>Николаенко</w:t>
      </w:r>
      <w:r w:rsidRPr="00EC1A78">
        <w:rPr>
          <w:rFonts w:eastAsiaTheme="minorHAnsi"/>
          <w:color w:val="000000" w:themeColor="text1"/>
          <w:sz w:val="22"/>
          <w:szCs w:val="22"/>
          <w:lang w:val="en-US" w:eastAsia="en-US"/>
        </w:rPr>
        <w:t xml:space="preserve"> </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val="en-US" w:eastAsia="en-US"/>
        </w:rPr>
        <w:t>.</w:t>
      </w:r>
      <w:r w:rsidR="00E62E4B" w:rsidRPr="001C6F5C">
        <w:rPr>
          <w:rFonts w:eastAsiaTheme="minorHAnsi"/>
          <w:color w:val="000000" w:themeColor="text1"/>
          <w:sz w:val="22"/>
          <w:szCs w:val="22"/>
          <w:lang w:val="en-US" w:eastAsia="en-US"/>
        </w:rPr>
        <w:t xml:space="preserve"> </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val="en-US" w:eastAsia="en-US"/>
        </w:rPr>
        <w:t>.,</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E62E4B">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E62E4B">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center"/>
        <w:rPr>
          <w:rFonts w:eastAsiaTheme="minorHAnsi"/>
          <w:color w:val="000000" w:themeColor="text1"/>
          <w:lang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АННОТАЦИЯ: В статье исследованы отдельные вопросы ос</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ществления прокурорского надзора при производстве предвар</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тельного расследования. Прокуратура РФ обеспечивает верхове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ство закона, единство и укрепление законности, защиту прав и св</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бод человека и гражданина.</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sz w:val="22"/>
          <w:lang w:eastAsia="en-US"/>
        </w:rPr>
        <w:t>А</w:t>
      </w:r>
      <w:r w:rsidRPr="00EC1A78">
        <w:rPr>
          <w:rFonts w:eastAsiaTheme="minorHAnsi"/>
          <w:sz w:val="22"/>
          <w:lang w:val="en-US" w:eastAsia="en-US"/>
        </w:rPr>
        <w:t>NNOTATION</w:t>
      </w:r>
      <w:r w:rsidRPr="00EC1A78">
        <w:rPr>
          <w:rFonts w:eastAsiaTheme="minorHAnsi"/>
          <w:color w:val="000000" w:themeColor="text1"/>
          <w:sz w:val="22"/>
          <w:szCs w:val="22"/>
          <w:lang w:val="en-US" w:eastAsia="en-US"/>
        </w:rPr>
        <w:t>: The article studies certain issues in the impleme</w:t>
      </w:r>
      <w:r w:rsidRPr="00EC1A78">
        <w:rPr>
          <w:rFonts w:eastAsiaTheme="minorHAnsi"/>
          <w:color w:val="000000" w:themeColor="text1"/>
          <w:sz w:val="22"/>
          <w:szCs w:val="22"/>
          <w:lang w:val="en-US" w:eastAsia="en-US"/>
        </w:rPr>
        <w:t>n</w:t>
      </w:r>
      <w:r w:rsidRPr="00EC1A78">
        <w:rPr>
          <w:rFonts w:eastAsiaTheme="minorHAnsi"/>
          <w:color w:val="000000" w:themeColor="text1"/>
          <w:sz w:val="22"/>
          <w:szCs w:val="22"/>
          <w:lang w:val="en-US" w:eastAsia="en-US"/>
        </w:rPr>
        <w:t>tation of prosecutorial supervision over the preliminary investigation. The Russian Prosecutor's office ensures the rule of law, unity and strengthening of the rule of law, protection of human and civil rights and freedoms.</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КЛЮЧЕВЫЕ СЛОВА: надзор, предварительное расследование, нарушение прав и свобод человека и гражданина.</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KEYWORDS: supervision, preliminary investigation, violation of human and civil rights and freedoms.</w:t>
      </w:r>
    </w:p>
    <w:p w:rsidR="00EC1A78" w:rsidRPr="00EC1A78" w:rsidRDefault="00EC1A78" w:rsidP="00EC1A78">
      <w:pPr>
        <w:ind w:firstLine="426"/>
        <w:jc w:val="both"/>
        <w:rPr>
          <w:rFonts w:eastAsiaTheme="minorHAnsi"/>
          <w:color w:val="000000" w:themeColor="text1"/>
          <w:sz w:val="22"/>
          <w:szCs w:val="22"/>
          <w:lang w:val="en-US"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lastRenderedPageBreak/>
        <w:t>Прокуратура РФ – это едина централизованная система орг</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нов, коротая осуществляет надзорную деятельность от имени РФ за безукоризненным соблюдением норм основного закона РФ и иных нормативно–правовых актов, регламентирующих реализацию прав и свобод человека и гражданина [1]. Осуществляя надзорную де</w:t>
      </w:r>
      <w:r w:rsidRPr="00EC1A78">
        <w:rPr>
          <w:rFonts w:eastAsiaTheme="minorHAnsi"/>
          <w:color w:val="000000" w:themeColor="text1"/>
          <w:sz w:val="22"/>
          <w:szCs w:val="22"/>
          <w:lang w:eastAsia="en-US"/>
        </w:rPr>
        <w:t>я</w:t>
      </w:r>
      <w:r w:rsidRPr="00EC1A78">
        <w:rPr>
          <w:rFonts w:eastAsiaTheme="minorHAnsi"/>
          <w:color w:val="000000" w:themeColor="text1"/>
          <w:sz w:val="22"/>
          <w:szCs w:val="22"/>
          <w:lang w:eastAsia="en-US"/>
        </w:rPr>
        <w:t>тельность, органы прокуратуры независимы. В соответствии с ФЗ «О Прокуратуре РФ», органы Прокуратуры РФ выполняют ко</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троль за исполнением законов, которые действуют на всей террит</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рии РФ органами, осуществляющими ОРД, дознание и предвар</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тельное следствие [2].</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Комплекс прав и свобод человека и гражданина на стадии предварительного расследования при проведении прокурорского надзора возможно охарактеризовать как совокупность установле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ных Конституцией РФ социальных и личностных прав и свобод ч</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ловека и гражданина. Согласно приказу Генпрокуратуры России от 26.01.2017 №33 прокурор обязан осуществлять защиту прав и з</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конных интересов участников уголовного судопроизводства, чьи права и законные интересы нарушены. Прокурор обязан незамедл</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тельно принимать меры по восстановлению нарушенных прав граждан, возмещению причиненного вреда.</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Предмет прокурорского надзора на стадии предварительного расследования составляет соблюдение прав и свобод человека и гражданина, порядок рассмотрения заявлений и сообщений о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вершенных и готовящихся преступлениях, законность принима</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мых решений органами дознания и предварительного следствия. В частности, прокурор дает свое согласие дознавателю на возбужд</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ние перед судом ходатайства об избрании, отмене или изменении меры пресечения. Если речь идет о заключении под стражу, след</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ватель получает разрешение руководителя следственного органа, а дознаватель – согласие прокурора, и после этого возбуждают перед судом ходатайство о заключении под стражу. </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Прокурор осуществляет контроль за обеспечением констит</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ционных прав задержанного или арестованного подозреваемого и обвиняемого на помощь адвоката (защитника) в рамках статьи 49 Конституции РФ, согласно которой на обвиняемого не распростр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няется обязанность по доказыванию своей невиновности. Все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мнения в невиновности обвиняемого должны трактоваться в его пользу.  В рамках ч. 2 ст. 10 УПК РФ прокурор имеет право своим </w:t>
      </w:r>
      <w:r w:rsidRPr="00EC1A78">
        <w:rPr>
          <w:rFonts w:eastAsiaTheme="minorHAnsi"/>
          <w:color w:val="000000" w:themeColor="text1"/>
          <w:sz w:val="22"/>
          <w:szCs w:val="22"/>
          <w:lang w:eastAsia="en-US"/>
        </w:rPr>
        <w:lastRenderedPageBreak/>
        <w:t>постановлением освободить от незаконного задержания или лиш</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ния свободы, незаконного помещения в медицинскую организацию для оказания медицинской или психиатрической помощи, или от содержания под стражей свыше установленного срока [3]. </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Прокуроры районов наделены полномочиями по проведению ежедневной проверки условий содержания лиц, находящихся под стражей в специальных приемниках и изоляторах временного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держания ОВД. При получении сведений или жалоб о нарушении прав проверка проводится прокурором незамедлительно [4]. </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Прокурор дает свое согласие на производство процессуальных действий, которые затрагивают основные конституционные права и свободы граждан и проводятся на основании решения суда. В первую очередь, речь идет о проведении осмотра жилища при о</w:t>
      </w:r>
      <w:r w:rsidRPr="00EC1A78">
        <w:rPr>
          <w:rFonts w:eastAsiaTheme="minorHAnsi"/>
          <w:color w:val="000000" w:themeColor="text1"/>
          <w:sz w:val="22"/>
          <w:szCs w:val="22"/>
          <w:lang w:eastAsia="en-US"/>
        </w:rPr>
        <w:t>т</w:t>
      </w:r>
      <w:r w:rsidRPr="00EC1A78">
        <w:rPr>
          <w:rFonts w:eastAsiaTheme="minorHAnsi"/>
          <w:color w:val="000000" w:themeColor="text1"/>
          <w:sz w:val="22"/>
          <w:szCs w:val="22"/>
          <w:lang w:eastAsia="en-US"/>
        </w:rPr>
        <w:t xml:space="preserve">сутствии согласия проживающих в нем лиц. </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Разрешение суда требуется на проведение обыска или выемки в жилище, на проведение личного обыска, наложения ареста на им</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 xml:space="preserve">щество, проведение контроля и записи телефонных переговоров. В случае возникновения угрозы совершения насилия, вымогательства данное следственное действие может проводиться по письменному заявлению лица, а при отсутствии заявления– по решению суда.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Таким образом, при осуществлении надзорной деятельности за исполнением законов органами, осуществляющими оперативно–розыскную деятельность, дознание и предварительное следствие, контрольные функции прокурора имеют важное значение, поскол</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ку обеспечивают всесторонность, полноту и объективность рассл</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дования.  </w:t>
      </w:r>
    </w:p>
    <w:p w:rsidR="00EC1A78" w:rsidRPr="00EC1A78" w:rsidRDefault="00EC1A78" w:rsidP="00EC1A78">
      <w:pPr>
        <w:ind w:firstLine="425"/>
        <w:jc w:val="center"/>
        <w:rPr>
          <w:rFonts w:eastAsiaTheme="minorHAnsi"/>
          <w:color w:val="000000" w:themeColor="text1"/>
          <w:sz w:val="22"/>
          <w:szCs w:val="22"/>
          <w:lang w:eastAsia="en-US"/>
        </w:rPr>
      </w:pPr>
    </w:p>
    <w:p w:rsidR="00EC1A78" w:rsidRPr="00EC1A78" w:rsidRDefault="00EC1A78" w:rsidP="00EC1A78">
      <w:pPr>
        <w:ind w:firstLine="425"/>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1. Степанов В.А. Полномочия прокурора по надзору за испо</w:t>
      </w:r>
      <w:r w:rsidRPr="00EC1A78">
        <w:rPr>
          <w:rFonts w:eastAsiaTheme="minorHAnsi"/>
          <w:color w:val="000000" w:themeColor="text1"/>
          <w:sz w:val="22"/>
          <w:szCs w:val="22"/>
          <w:lang w:eastAsia="en-US"/>
        </w:rPr>
        <w:t>л</w:t>
      </w:r>
      <w:r w:rsidRPr="00EC1A78">
        <w:rPr>
          <w:rFonts w:eastAsiaTheme="minorHAnsi"/>
          <w:color w:val="000000" w:themeColor="text1"/>
          <w:sz w:val="22"/>
          <w:szCs w:val="22"/>
          <w:lang w:eastAsia="en-US"/>
        </w:rPr>
        <w:t>нением законов органами предварительного расследования // Новая наука: Современное состояние и пути развития. – 2016.– № 4–3. – С. 216–221.</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2. О прокуратуре Российской Федерации (с изм. и доп., вступ. в силу с 01.02.2018)// СЗ РФ. –1995. –№ 47. – Ст. 4472. </w:t>
      </w:r>
    </w:p>
    <w:p w:rsidR="00EC1A78" w:rsidRPr="00EC1A78" w:rsidRDefault="00EC1A78" w:rsidP="00EC1A78">
      <w:pPr>
        <w:tabs>
          <w:tab w:val="left" w:pos="284"/>
        </w:tabs>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3. Об организации прокурорского надзора за процессуальной деятельностью органов дознания: приказ Генпрокуратуры России от 26.01.2017 N 33// Законность. – N 5. – 2017. </w:t>
      </w:r>
    </w:p>
    <w:p w:rsidR="00EC1A78" w:rsidRPr="00EC1A78" w:rsidRDefault="00EC1A78" w:rsidP="00EC1A78">
      <w:pPr>
        <w:tabs>
          <w:tab w:val="left" w:pos="284"/>
        </w:tabs>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lastRenderedPageBreak/>
        <w:t>4. Об организации прокурорского надзора за соблюдением з</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конодательства при содержании подозреваемых и обвиняемых в изоляторах временного содержания органов внутренних дел, погр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ничных органов ФСБ России, на гауптвахтах, в конвойных помещ</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ниях судов (военных судов)//Законность. – 2011. – № 12.</w:t>
      </w:r>
    </w:p>
    <w:p w:rsidR="00EC1A78" w:rsidRDefault="00EC1A78" w:rsidP="00EC1A78">
      <w:pPr>
        <w:jc w:val="both"/>
        <w:rPr>
          <w:rFonts w:eastAsiaTheme="minorHAnsi"/>
          <w:sz w:val="22"/>
          <w:szCs w:val="22"/>
          <w:lang w:eastAsia="en-US"/>
        </w:rPr>
      </w:pPr>
    </w:p>
    <w:p w:rsidR="005012A5" w:rsidRDefault="005012A5" w:rsidP="00EC1A78">
      <w:pPr>
        <w:jc w:val="both"/>
        <w:rPr>
          <w:rFonts w:eastAsiaTheme="minorHAnsi"/>
          <w:sz w:val="22"/>
          <w:szCs w:val="22"/>
          <w:lang w:eastAsia="en-US"/>
        </w:rPr>
      </w:pPr>
    </w:p>
    <w:p w:rsidR="00163DEF" w:rsidRPr="00EC1A78" w:rsidRDefault="00163DEF" w:rsidP="00EC1A78">
      <w:pPr>
        <w:jc w:val="both"/>
        <w:rPr>
          <w:rFonts w:eastAsiaTheme="minorHAnsi"/>
          <w:sz w:val="22"/>
          <w:szCs w:val="22"/>
          <w:lang w:eastAsia="en-US"/>
        </w:rPr>
      </w:pPr>
    </w:p>
    <w:p w:rsidR="00EC1A78" w:rsidRPr="00EC1A78" w:rsidRDefault="00EC1A78" w:rsidP="00EC1A78">
      <w:pPr>
        <w:jc w:val="both"/>
        <w:rPr>
          <w:rFonts w:eastAsiaTheme="minorHAnsi"/>
          <w:sz w:val="22"/>
          <w:szCs w:val="24"/>
          <w:lang w:eastAsia="en-US"/>
        </w:rPr>
      </w:pPr>
      <w:r w:rsidRPr="00EC1A78">
        <w:rPr>
          <w:rFonts w:eastAsiaTheme="minorHAnsi"/>
          <w:sz w:val="22"/>
          <w:szCs w:val="24"/>
          <w:lang w:eastAsia="en-US"/>
        </w:rPr>
        <w:t>УДК 340.628.2</w:t>
      </w:r>
    </w:p>
    <w:p w:rsidR="00EC1A78" w:rsidRPr="00EC1A78" w:rsidRDefault="00EC1A78" w:rsidP="00EC1A78">
      <w:pPr>
        <w:jc w:val="both"/>
        <w:rPr>
          <w:rFonts w:eastAsiaTheme="minorHAnsi"/>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Современные проблемы производства судебно–медицинской экспертизы трупа с термическим </w:t>
      </w:r>
      <w:r w:rsidR="00163DEF">
        <w:rPr>
          <w:rFonts w:eastAsiaTheme="minorHAnsi"/>
          <w:b/>
          <w:sz w:val="24"/>
          <w:szCs w:val="24"/>
          <w:lang w:eastAsia="en-US"/>
        </w:rPr>
        <w:br/>
      </w:r>
      <w:r w:rsidRPr="00EC1A78">
        <w:rPr>
          <w:rFonts w:eastAsiaTheme="minorHAnsi"/>
          <w:b/>
          <w:sz w:val="24"/>
          <w:szCs w:val="24"/>
          <w:lang w:eastAsia="en-US"/>
        </w:rPr>
        <w:t>поражением</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Modern problems of forensic medical examination of a corpse with thermal damage</w:t>
      </w:r>
    </w:p>
    <w:p w:rsidR="00EC1A78" w:rsidRPr="00EC1A78" w:rsidRDefault="00EC1A78" w:rsidP="00EC1A78">
      <w:pPr>
        <w:jc w:val="center"/>
        <w:rPr>
          <w:rFonts w:eastAsiaTheme="minorHAnsi"/>
          <w:b/>
          <w:sz w:val="24"/>
          <w:szCs w:val="24"/>
          <w:lang w:val="en-US" w:eastAsia="en-US"/>
        </w:rPr>
      </w:pP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Нордлунд К.</w:t>
      </w:r>
      <w:r w:rsidR="00E62E4B">
        <w:rPr>
          <w:rFonts w:eastAsiaTheme="minorHAnsi"/>
          <w:sz w:val="22"/>
          <w:szCs w:val="24"/>
          <w:lang w:eastAsia="en-US"/>
        </w:rPr>
        <w:t xml:space="preserve"> </w:t>
      </w:r>
      <w:r w:rsidRPr="00EC1A78">
        <w:rPr>
          <w:rFonts w:eastAsiaTheme="minorHAnsi"/>
          <w:sz w:val="22"/>
          <w:szCs w:val="24"/>
          <w:lang w:eastAsia="en-US"/>
        </w:rPr>
        <w:t>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студент 4–ого курса юридического факультета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Влезько Д.</w:t>
      </w:r>
      <w:r w:rsidR="00E62E4B">
        <w:rPr>
          <w:rFonts w:eastAsiaTheme="minorHAnsi"/>
          <w:sz w:val="22"/>
          <w:szCs w:val="24"/>
          <w:lang w:eastAsia="en-US"/>
        </w:rPr>
        <w:t xml:space="preserve"> </w:t>
      </w:r>
      <w:r w:rsidRPr="00EC1A78">
        <w:rPr>
          <w:rFonts w:eastAsiaTheme="minorHAnsi"/>
          <w:sz w:val="22"/>
          <w:szCs w:val="24"/>
          <w:lang w:eastAsia="en-US"/>
        </w:rPr>
        <w:t>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доцент кафедры криминалистики</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Кубанский государственный аграрный</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университет имени И.</w:t>
      </w:r>
      <w:r w:rsidR="00E62E4B">
        <w:rPr>
          <w:rFonts w:eastAsiaTheme="minorHAnsi"/>
          <w:sz w:val="22"/>
          <w:szCs w:val="24"/>
          <w:lang w:eastAsia="en-US"/>
        </w:rPr>
        <w:t xml:space="preserve"> </w:t>
      </w:r>
      <w:r w:rsidRPr="00EC1A78">
        <w:rPr>
          <w:rFonts w:eastAsiaTheme="minorHAnsi"/>
          <w:sz w:val="22"/>
          <w:szCs w:val="24"/>
          <w:lang w:eastAsia="en-US"/>
        </w:rPr>
        <w:t>Т. Трубилина</w:t>
      </w:r>
    </w:p>
    <w:p w:rsidR="00EC1A78" w:rsidRPr="00EC1A78" w:rsidRDefault="00EC1A78" w:rsidP="00EC1A78">
      <w:pPr>
        <w:rPr>
          <w:rFonts w:eastAsiaTheme="minorHAnsi"/>
          <w:sz w:val="22"/>
          <w:szCs w:val="24"/>
          <w:lang w:eastAsia="en-US"/>
        </w:rPr>
      </w:pP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eastAsia="en-US"/>
        </w:rPr>
        <w:t>АННОТАЦИЯ: Рассматриваются понятие судебно–медицинской экспертизы при исследовании трупа с термическим поражением, ее подготовка и назначение. Изучение</w:t>
      </w:r>
      <w:r w:rsidRPr="00EC1A78">
        <w:rPr>
          <w:rFonts w:eastAsiaTheme="minorHAnsi"/>
          <w:sz w:val="22"/>
          <w:szCs w:val="24"/>
          <w:lang w:val="en-US" w:eastAsia="en-US"/>
        </w:rPr>
        <w:t xml:space="preserve"> </w:t>
      </w:r>
      <w:r w:rsidRPr="00EC1A78">
        <w:rPr>
          <w:rFonts w:eastAsiaTheme="minorHAnsi"/>
          <w:sz w:val="22"/>
          <w:szCs w:val="24"/>
          <w:lang w:eastAsia="en-US"/>
        </w:rPr>
        <w:t>оценки</w:t>
      </w:r>
      <w:r w:rsidRPr="00EC1A78">
        <w:rPr>
          <w:rFonts w:eastAsiaTheme="minorHAnsi"/>
          <w:sz w:val="22"/>
          <w:szCs w:val="24"/>
          <w:lang w:val="en-US" w:eastAsia="en-US"/>
        </w:rPr>
        <w:t xml:space="preserve"> </w:t>
      </w:r>
      <w:r w:rsidRPr="00EC1A78">
        <w:rPr>
          <w:rFonts w:eastAsiaTheme="minorHAnsi"/>
          <w:sz w:val="22"/>
          <w:szCs w:val="24"/>
          <w:lang w:eastAsia="en-US"/>
        </w:rPr>
        <w:t>эк</w:t>
      </w:r>
      <w:r w:rsidRPr="00EC1A78">
        <w:rPr>
          <w:rFonts w:eastAsiaTheme="minorHAnsi"/>
          <w:sz w:val="22"/>
          <w:szCs w:val="24"/>
          <w:lang w:eastAsia="en-US"/>
        </w:rPr>
        <w:t>с</w:t>
      </w:r>
      <w:r w:rsidRPr="00EC1A78">
        <w:rPr>
          <w:rFonts w:eastAsiaTheme="minorHAnsi"/>
          <w:sz w:val="22"/>
          <w:szCs w:val="24"/>
          <w:lang w:eastAsia="en-US"/>
        </w:rPr>
        <w:t>пертного</w:t>
      </w:r>
      <w:r w:rsidRPr="00EC1A78">
        <w:rPr>
          <w:rFonts w:eastAsiaTheme="minorHAnsi"/>
          <w:sz w:val="22"/>
          <w:szCs w:val="24"/>
          <w:lang w:val="en-US" w:eastAsia="en-US"/>
        </w:rPr>
        <w:t xml:space="preserve"> </w:t>
      </w:r>
      <w:r w:rsidRPr="00EC1A78">
        <w:rPr>
          <w:rFonts w:eastAsiaTheme="minorHAnsi"/>
          <w:sz w:val="22"/>
          <w:szCs w:val="24"/>
          <w:lang w:eastAsia="en-US"/>
        </w:rPr>
        <w:t>заключения</w:t>
      </w:r>
      <w:r w:rsidRPr="00EC1A78">
        <w:rPr>
          <w:rFonts w:eastAsiaTheme="minorHAnsi"/>
          <w:sz w:val="22"/>
          <w:szCs w:val="24"/>
          <w:lang w:val="en-US" w:eastAsia="en-US"/>
        </w:rPr>
        <w:t xml:space="preserve"> </w:t>
      </w:r>
      <w:r w:rsidRPr="00EC1A78">
        <w:rPr>
          <w:rFonts w:eastAsiaTheme="minorHAnsi"/>
          <w:sz w:val="22"/>
          <w:szCs w:val="24"/>
          <w:lang w:eastAsia="en-US"/>
        </w:rPr>
        <w:t>по</w:t>
      </w:r>
      <w:r w:rsidRPr="00EC1A78">
        <w:rPr>
          <w:rFonts w:eastAsiaTheme="minorHAnsi"/>
          <w:sz w:val="22"/>
          <w:szCs w:val="24"/>
          <w:lang w:val="en-US" w:eastAsia="en-US"/>
        </w:rPr>
        <w:t xml:space="preserve"> </w:t>
      </w:r>
      <w:r w:rsidRPr="00EC1A78">
        <w:rPr>
          <w:rFonts w:eastAsiaTheme="minorHAnsi"/>
          <w:sz w:val="22"/>
          <w:szCs w:val="24"/>
          <w:lang w:eastAsia="en-US"/>
        </w:rPr>
        <w:t>данному</w:t>
      </w:r>
      <w:r w:rsidRPr="00EC1A78">
        <w:rPr>
          <w:rFonts w:eastAsiaTheme="minorHAnsi"/>
          <w:sz w:val="22"/>
          <w:szCs w:val="24"/>
          <w:lang w:val="en-US" w:eastAsia="en-US"/>
        </w:rPr>
        <w:t xml:space="preserve"> </w:t>
      </w:r>
      <w:r w:rsidRPr="00EC1A78">
        <w:rPr>
          <w:rFonts w:eastAsiaTheme="minorHAnsi"/>
          <w:sz w:val="22"/>
          <w:szCs w:val="24"/>
          <w:lang w:eastAsia="en-US"/>
        </w:rPr>
        <w:t>виду</w:t>
      </w:r>
      <w:r w:rsidRPr="00EC1A78">
        <w:rPr>
          <w:rFonts w:eastAsiaTheme="minorHAnsi"/>
          <w:sz w:val="22"/>
          <w:szCs w:val="24"/>
          <w:lang w:val="en-US" w:eastAsia="en-US"/>
        </w:rPr>
        <w:t xml:space="preserve"> </w:t>
      </w:r>
      <w:r w:rsidRPr="00EC1A78">
        <w:rPr>
          <w:rFonts w:eastAsiaTheme="minorHAnsi"/>
          <w:sz w:val="22"/>
          <w:szCs w:val="24"/>
          <w:lang w:eastAsia="en-US"/>
        </w:rPr>
        <w:t>экспертизы</w:t>
      </w:r>
      <w:r w:rsidRPr="00EC1A78">
        <w:rPr>
          <w:rFonts w:eastAsiaTheme="minorHAnsi"/>
          <w:sz w:val="22"/>
          <w:szCs w:val="24"/>
          <w:lang w:val="en-US" w:eastAsia="en-US"/>
        </w:rPr>
        <w:t>.</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val="en-US" w:eastAsia="en-US"/>
        </w:rPr>
        <w:t>ABSTRACT: The concept of forensic medical examination in the study of a corpse with a thermal lesion, its preparation and purpose is considered. Study of the evaluation of the expert opinion on this type of examination.</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КЛЮЧЕВЫЕ СЛОВА: осмотр, экспертиза, термическое во</w:t>
      </w:r>
      <w:r w:rsidRPr="00EC1A78">
        <w:rPr>
          <w:rFonts w:eastAsiaTheme="minorHAnsi"/>
          <w:sz w:val="22"/>
          <w:szCs w:val="24"/>
          <w:lang w:eastAsia="en-US"/>
        </w:rPr>
        <w:t>з</w:t>
      </w:r>
      <w:r w:rsidRPr="00EC1A78">
        <w:rPr>
          <w:rFonts w:eastAsiaTheme="minorHAnsi"/>
          <w:sz w:val="22"/>
          <w:szCs w:val="24"/>
          <w:lang w:eastAsia="en-US"/>
        </w:rPr>
        <w:t>действие, заключение.</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val="en-US" w:eastAsia="en-US"/>
        </w:rPr>
        <w:t>KEYWORDS: inspection, expertise, thermal impact, conclusion.</w:t>
      </w:r>
    </w:p>
    <w:p w:rsidR="00EC1A78" w:rsidRPr="00EC1A78" w:rsidRDefault="00EC1A78" w:rsidP="00EC1A78">
      <w:pPr>
        <w:jc w:val="both"/>
        <w:rPr>
          <w:rFonts w:eastAsiaTheme="minorHAnsi"/>
          <w:sz w:val="22"/>
          <w:szCs w:val="24"/>
          <w:lang w:val="en-US" w:eastAsia="en-US"/>
        </w:rPr>
      </w:pPr>
    </w:p>
    <w:p w:rsidR="00EC1A78" w:rsidRPr="00EC1A78" w:rsidRDefault="00EC1A78" w:rsidP="00EC1A78">
      <w:pPr>
        <w:ind w:firstLine="425"/>
        <w:jc w:val="both"/>
        <w:rPr>
          <w:rFonts w:eastAsiaTheme="minorHAnsi"/>
          <w:sz w:val="22"/>
          <w:szCs w:val="24"/>
          <w:lang w:eastAsia="en-US"/>
        </w:rPr>
      </w:pPr>
      <w:r w:rsidRPr="00EC1A78">
        <w:rPr>
          <w:rFonts w:eastAsiaTheme="minorHAnsi"/>
          <w:sz w:val="22"/>
          <w:szCs w:val="24"/>
          <w:lang w:eastAsia="en-US"/>
        </w:rPr>
        <w:t>Необходимым этапом для комплексного анализа причин сме</w:t>
      </w:r>
      <w:r w:rsidRPr="00EC1A78">
        <w:rPr>
          <w:rFonts w:eastAsiaTheme="minorHAnsi"/>
          <w:sz w:val="22"/>
          <w:szCs w:val="24"/>
          <w:lang w:eastAsia="en-US"/>
        </w:rPr>
        <w:t>р</w:t>
      </w:r>
      <w:r w:rsidRPr="00EC1A78">
        <w:rPr>
          <w:rFonts w:eastAsiaTheme="minorHAnsi"/>
          <w:sz w:val="22"/>
          <w:szCs w:val="24"/>
          <w:lang w:eastAsia="en-US"/>
        </w:rPr>
        <w:t>ти потерпевшего традиционно выступает осмотр места происш</w:t>
      </w:r>
      <w:r w:rsidRPr="00EC1A78">
        <w:rPr>
          <w:rFonts w:eastAsiaTheme="minorHAnsi"/>
          <w:sz w:val="22"/>
          <w:szCs w:val="24"/>
          <w:lang w:eastAsia="en-US"/>
        </w:rPr>
        <w:t>е</w:t>
      </w:r>
      <w:r w:rsidRPr="00EC1A78">
        <w:rPr>
          <w:rFonts w:eastAsiaTheme="minorHAnsi"/>
          <w:sz w:val="22"/>
          <w:szCs w:val="24"/>
          <w:lang w:eastAsia="en-US"/>
        </w:rPr>
        <w:lastRenderedPageBreak/>
        <w:t>ствия. Законодатель установил, что осмотр места происшествия – это неотложное следственное действие, заключающееся в обнар</w:t>
      </w:r>
      <w:r w:rsidRPr="00EC1A78">
        <w:rPr>
          <w:rFonts w:eastAsiaTheme="minorHAnsi"/>
          <w:sz w:val="22"/>
          <w:szCs w:val="24"/>
          <w:lang w:eastAsia="en-US"/>
        </w:rPr>
        <w:t>у</w:t>
      </w:r>
      <w:r w:rsidRPr="00EC1A78">
        <w:rPr>
          <w:rFonts w:eastAsiaTheme="minorHAnsi"/>
          <w:sz w:val="22"/>
          <w:szCs w:val="24"/>
          <w:lang w:eastAsia="en-US"/>
        </w:rPr>
        <w:t>жении, восприятии, изучении и фиксации обстановки места прои</w:t>
      </w:r>
      <w:r w:rsidRPr="00EC1A78">
        <w:rPr>
          <w:rFonts w:eastAsiaTheme="minorHAnsi"/>
          <w:sz w:val="22"/>
          <w:szCs w:val="24"/>
          <w:lang w:eastAsia="en-US"/>
        </w:rPr>
        <w:t>с</w:t>
      </w:r>
      <w:r w:rsidRPr="00EC1A78">
        <w:rPr>
          <w:rFonts w:eastAsiaTheme="minorHAnsi"/>
          <w:sz w:val="22"/>
          <w:szCs w:val="24"/>
          <w:lang w:eastAsia="en-US"/>
        </w:rPr>
        <w:t>шествия, следов преступления и иных данных, позволяющих уя</w:t>
      </w:r>
      <w:r w:rsidRPr="00EC1A78">
        <w:rPr>
          <w:rFonts w:eastAsiaTheme="minorHAnsi"/>
          <w:sz w:val="22"/>
          <w:szCs w:val="24"/>
          <w:lang w:eastAsia="en-US"/>
        </w:rPr>
        <w:t>с</w:t>
      </w:r>
      <w:r w:rsidRPr="00EC1A78">
        <w:rPr>
          <w:rFonts w:eastAsiaTheme="minorHAnsi"/>
          <w:sz w:val="22"/>
          <w:szCs w:val="24"/>
          <w:lang w:eastAsia="en-US"/>
        </w:rPr>
        <w:t>нить механизм произошедшего события и установить обстоятел</w:t>
      </w:r>
      <w:r w:rsidRPr="00EC1A78">
        <w:rPr>
          <w:rFonts w:eastAsiaTheme="minorHAnsi"/>
          <w:sz w:val="22"/>
          <w:szCs w:val="24"/>
          <w:lang w:eastAsia="en-US"/>
        </w:rPr>
        <w:t>ь</w:t>
      </w:r>
      <w:r w:rsidRPr="00EC1A78">
        <w:rPr>
          <w:rFonts w:eastAsiaTheme="minorHAnsi"/>
          <w:sz w:val="22"/>
          <w:szCs w:val="24"/>
          <w:lang w:eastAsia="en-US"/>
        </w:rPr>
        <w:t>ства, имеющие значение для правильного разрешения дела [1].</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Судебно–медицинскому эксперту при осмотре трупа необх</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димо пытаться обратить внимание на возможные следы, которые не связаны с воздействием пламени. Нередко эксперты обнаруживают на обгоревших телах нехарактерные для термического поражения повреждения: странгуляционную борозду, колото–резаные раны и огнестрельные ранения.</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При судебно–медицинском исследовании трупа с признаками термического воздействия возникают проблемы, которые препя</w:t>
      </w:r>
      <w:r w:rsidRPr="00EC1A78">
        <w:rPr>
          <w:rFonts w:eastAsiaTheme="minorHAnsi"/>
          <w:color w:val="000000" w:themeColor="text1"/>
          <w:sz w:val="22"/>
          <w:szCs w:val="22"/>
          <w:shd w:val="clear" w:color="auto" w:fill="FFFFFF"/>
          <w:lang w:eastAsia="en-US"/>
        </w:rPr>
        <w:t>т</w:t>
      </w:r>
      <w:r w:rsidRPr="00EC1A78">
        <w:rPr>
          <w:rFonts w:eastAsiaTheme="minorHAnsi"/>
          <w:color w:val="000000" w:themeColor="text1"/>
          <w:sz w:val="22"/>
          <w:szCs w:val="22"/>
          <w:shd w:val="clear" w:color="auto" w:fill="FFFFFF"/>
          <w:lang w:eastAsia="en-US"/>
        </w:rPr>
        <w:t>ствуют получению объективных и наиболее полных результатов исследования. Одной из таких проблем выступает наличие части</w:t>
      </w:r>
      <w:r w:rsidRPr="00EC1A78">
        <w:rPr>
          <w:rFonts w:eastAsiaTheme="minorHAnsi"/>
          <w:color w:val="000000" w:themeColor="text1"/>
          <w:sz w:val="22"/>
          <w:szCs w:val="22"/>
          <w:shd w:val="clear" w:color="auto" w:fill="FFFFFF"/>
          <w:lang w:eastAsia="en-US"/>
        </w:rPr>
        <w:t>ч</w:t>
      </w:r>
      <w:r w:rsidRPr="00EC1A78">
        <w:rPr>
          <w:rFonts w:eastAsiaTheme="minorHAnsi"/>
          <w:color w:val="000000" w:themeColor="text1"/>
          <w:sz w:val="22"/>
          <w:szCs w:val="22"/>
          <w:shd w:val="clear" w:color="auto" w:fill="FFFFFF"/>
          <w:lang w:eastAsia="en-US"/>
        </w:rPr>
        <w:t>ного разрушения тканей возникающее при пожарах. Это затрудняет процесс исследования трупа, препятствует эксперту в получении наиболее полного представления о причинах смерти человека. Практика свидетельствует о том, что обгорание трупа нередко н</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сит неслучайный характер: судебно–медицинские эксперты и кр</w:t>
      </w:r>
      <w:r w:rsidRPr="00EC1A78">
        <w:rPr>
          <w:rFonts w:eastAsiaTheme="minorHAnsi"/>
          <w:color w:val="000000" w:themeColor="text1"/>
          <w:sz w:val="22"/>
          <w:szCs w:val="22"/>
          <w:shd w:val="clear" w:color="auto" w:fill="FFFFFF"/>
          <w:lang w:eastAsia="en-US"/>
        </w:rPr>
        <w:t>и</w:t>
      </w:r>
      <w:r w:rsidRPr="00EC1A78">
        <w:rPr>
          <w:rFonts w:eastAsiaTheme="minorHAnsi"/>
          <w:color w:val="000000" w:themeColor="text1"/>
          <w:sz w:val="22"/>
          <w:szCs w:val="22"/>
          <w:shd w:val="clear" w:color="auto" w:fill="FFFFFF"/>
          <w:lang w:eastAsia="en-US"/>
        </w:rPr>
        <w:t>миналисты часто говорят о попытках сожжения трупов с целью с</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крыть следы совершения преступления.</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Так же проблемой при исследовании трупа является устано</w:t>
      </w:r>
      <w:r w:rsidRPr="00EC1A78">
        <w:rPr>
          <w:rFonts w:eastAsiaTheme="minorHAnsi"/>
          <w:color w:val="000000" w:themeColor="text1"/>
          <w:sz w:val="22"/>
          <w:szCs w:val="22"/>
          <w:shd w:val="clear" w:color="auto" w:fill="FFFFFF"/>
          <w:lang w:eastAsia="en-US"/>
        </w:rPr>
        <w:t>в</w:t>
      </w:r>
      <w:r w:rsidRPr="00EC1A78">
        <w:rPr>
          <w:rFonts w:eastAsiaTheme="minorHAnsi"/>
          <w:color w:val="000000" w:themeColor="text1"/>
          <w:sz w:val="22"/>
          <w:szCs w:val="22"/>
          <w:shd w:val="clear" w:color="auto" w:fill="FFFFFF"/>
          <w:lang w:eastAsia="en-US"/>
        </w:rPr>
        <w:t>ление возможности прижизненного воздействия пламени, поскол</w:t>
      </w:r>
      <w:r w:rsidRPr="00EC1A78">
        <w:rPr>
          <w:rFonts w:eastAsiaTheme="minorHAnsi"/>
          <w:color w:val="000000" w:themeColor="text1"/>
          <w:sz w:val="22"/>
          <w:szCs w:val="22"/>
          <w:shd w:val="clear" w:color="auto" w:fill="FFFFFF"/>
          <w:lang w:eastAsia="en-US"/>
        </w:rPr>
        <w:t>ь</w:t>
      </w:r>
      <w:r w:rsidRPr="00EC1A78">
        <w:rPr>
          <w:rFonts w:eastAsiaTheme="minorHAnsi"/>
          <w:color w:val="000000" w:themeColor="text1"/>
          <w:sz w:val="22"/>
          <w:szCs w:val="22"/>
          <w:shd w:val="clear" w:color="auto" w:fill="FFFFFF"/>
          <w:lang w:eastAsia="en-US"/>
        </w:rPr>
        <w:t>ку изучение изменений, возникающих в органах и тканях при ож</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гах, полученных непосредственно перед смертью и сочетающихся с воздействием на организм дыма, горячего воздуха и окиси углер</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 xml:space="preserve">да, является весьма затруднительным и длительным процессом [2]. К тому же при обгорании трупа признаки реагирования органов и тканей на травму частично или полностью уничтожаются огнем, что делает исследование невозможным. </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Важность нахождения путей решения данных проблем для с</w:t>
      </w:r>
      <w:r w:rsidRPr="00EC1A78">
        <w:rPr>
          <w:rFonts w:eastAsiaTheme="minorHAnsi"/>
          <w:color w:val="000000" w:themeColor="text1"/>
          <w:sz w:val="22"/>
          <w:szCs w:val="22"/>
          <w:shd w:val="clear" w:color="auto" w:fill="FFFFFF"/>
          <w:lang w:eastAsia="en-US"/>
        </w:rPr>
        <w:t>у</w:t>
      </w:r>
      <w:r w:rsidRPr="00EC1A78">
        <w:rPr>
          <w:rFonts w:eastAsiaTheme="minorHAnsi"/>
          <w:color w:val="000000" w:themeColor="text1"/>
          <w:sz w:val="22"/>
          <w:szCs w:val="22"/>
          <w:shd w:val="clear" w:color="auto" w:fill="FFFFFF"/>
          <w:lang w:eastAsia="en-US"/>
        </w:rPr>
        <w:t>дебно–медицинской практики актуализируется; данные о диагн</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 xml:space="preserve">стических признаках прижизненности ожогов позволяют указать методы и варианты исследования, с помощью которых эксперт успешно справится со стоящей перед ним задачей. </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lastRenderedPageBreak/>
        <w:t>Подготовительный этап исследования трупа является важным элементом организации судебно–медицинского исследования. Эк</w:t>
      </w:r>
      <w:r w:rsidRPr="00EC1A78">
        <w:rPr>
          <w:rFonts w:eastAsiaTheme="minorHAnsi"/>
          <w:color w:val="000000" w:themeColor="text1"/>
          <w:sz w:val="22"/>
          <w:szCs w:val="22"/>
          <w:shd w:val="clear" w:color="auto" w:fill="FFFFFF"/>
          <w:lang w:eastAsia="en-US"/>
        </w:rPr>
        <w:t>с</w:t>
      </w:r>
      <w:r w:rsidRPr="00EC1A78">
        <w:rPr>
          <w:rFonts w:eastAsiaTheme="minorHAnsi"/>
          <w:color w:val="000000" w:themeColor="text1"/>
          <w:sz w:val="22"/>
          <w:szCs w:val="22"/>
          <w:shd w:val="clear" w:color="auto" w:fill="FFFFFF"/>
          <w:lang w:eastAsia="en-US"/>
        </w:rPr>
        <w:t>перт вырабатывает программу своих действий в рамках конкретных обстоятельств, так как каждое исследование трупа имеет свои ос</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 xml:space="preserve">бенности. </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Перед тем как приступить к наружному и внутреннему иссл</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дованию трупа, эксперту необходимо изучить представленные м</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териалы, информирующие его о происшествии. Практика показыв</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ет, что наиболее качественные результаты исследования получаю</w:t>
      </w:r>
      <w:r w:rsidRPr="00EC1A78">
        <w:rPr>
          <w:rFonts w:eastAsiaTheme="minorHAnsi"/>
          <w:color w:val="000000" w:themeColor="text1"/>
          <w:sz w:val="22"/>
          <w:szCs w:val="22"/>
          <w:shd w:val="clear" w:color="auto" w:fill="FFFFFF"/>
          <w:lang w:eastAsia="en-US"/>
        </w:rPr>
        <w:t>т</w:t>
      </w:r>
      <w:r w:rsidRPr="00EC1A78">
        <w:rPr>
          <w:rFonts w:eastAsiaTheme="minorHAnsi"/>
          <w:color w:val="000000" w:themeColor="text1"/>
          <w:sz w:val="22"/>
          <w:szCs w:val="22"/>
          <w:shd w:val="clear" w:color="auto" w:fill="FFFFFF"/>
          <w:lang w:eastAsia="en-US"/>
        </w:rPr>
        <w:t>ся экспертом при исследовании трупа в морге и в тех случаях, когда у него есть возможность участвовать в осмотре трупа на месте пр</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исшествия лично [3].</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Так же важнейшим элементом является определение комп</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 xml:space="preserve">тентности эксперта. Вопросы компетентности возникают не только на стадии назначения экспертизы, но и при оценке вынесенного им заключения. </w:t>
      </w:r>
    </w:p>
    <w:p w:rsidR="00EC1A78" w:rsidRPr="00EC1A78" w:rsidRDefault="00EC1A78" w:rsidP="00EC1A78">
      <w:pPr>
        <w:ind w:firstLine="425"/>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Зачастую эксперты наделяются несвойственными им функци</w:t>
      </w:r>
      <w:r w:rsidRPr="00EC1A78">
        <w:rPr>
          <w:rFonts w:eastAsiaTheme="minorHAnsi"/>
          <w:color w:val="000000" w:themeColor="text1"/>
          <w:sz w:val="22"/>
          <w:szCs w:val="22"/>
          <w:shd w:val="clear" w:color="auto" w:fill="FFFFFF"/>
          <w:lang w:eastAsia="en-US"/>
        </w:rPr>
        <w:t>я</w:t>
      </w:r>
      <w:r w:rsidRPr="00EC1A78">
        <w:rPr>
          <w:rFonts w:eastAsiaTheme="minorHAnsi"/>
          <w:color w:val="000000" w:themeColor="text1"/>
          <w:sz w:val="22"/>
          <w:szCs w:val="22"/>
          <w:shd w:val="clear" w:color="auto" w:fill="FFFFFF"/>
          <w:lang w:eastAsia="en-US"/>
        </w:rPr>
        <w:t>ми и знаниями в определенной области при даче заключения. Это является абсолютно некорректным, поскольку заключение является доказательством по делу, а такой подход несет в себе угрозу пол</w:t>
      </w:r>
      <w:r w:rsidRPr="00EC1A78">
        <w:rPr>
          <w:rFonts w:eastAsiaTheme="minorHAnsi"/>
          <w:color w:val="000000" w:themeColor="text1"/>
          <w:sz w:val="22"/>
          <w:szCs w:val="22"/>
          <w:shd w:val="clear" w:color="auto" w:fill="FFFFFF"/>
          <w:lang w:eastAsia="en-US"/>
        </w:rPr>
        <w:t>у</w:t>
      </w:r>
      <w:r w:rsidRPr="00EC1A78">
        <w:rPr>
          <w:rFonts w:eastAsiaTheme="minorHAnsi"/>
          <w:color w:val="000000" w:themeColor="text1"/>
          <w:sz w:val="22"/>
          <w:szCs w:val="22"/>
          <w:shd w:val="clear" w:color="auto" w:fill="FFFFFF"/>
          <w:lang w:eastAsia="en-US"/>
        </w:rPr>
        <w:t>чения доказательства с нарушениями.</w:t>
      </w:r>
    </w:p>
    <w:p w:rsidR="00EC1A78" w:rsidRPr="00EC1A78" w:rsidRDefault="00EC1A78" w:rsidP="00EC1A78">
      <w:pPr>
        <w:ind w:firstLine="425"/>
        <w:jc w:val="both"/>
        <w:rPr>
          <w:rFonts w:eastAsiaTheme="minorHAnsi"/>
          <w:color w:val="000000"/>
          <w:sz w:val="22"/>
          <w:szCs w:val="19"/>
          <w:shd w:val="clear" w:color="auto" w:fill="FFFFFF"/>
          <w:lang w:eastAsia="en-US"/>
        </w:rPr>
      </w:pPr>
      <w:r w:rsidRPr="00EC1A78">
        <w:rPr>
          <w:rFonts w:eastAsiaTheme="minorHAnsi"/>
          <w:color w:val="000000" w:themeColor="text1"/>
          <w:sz w:val="22"/>
          <w:szCs w:val="22"/>
          <w:shd w:val="clear" w:color="auto" w:fill="FFFFFF"/>
          <w:lang w:eastAsia="en-US"/>
        </w:rPr>
        <w:t xml:space="preserve">Важный элемент заключения </w:t>
      </w:r>
      <w:r w:rsidRPr="00EC1A78">
        <w:rPr>
          <w:rFonts w:eastAsiaTheme="minorHAnsi"/>
          <w:color w:val="000000"/>
          <w:sz w:val="22"/>
          <w:szCs w:val="19"/>
          <w:shd w:val="clear" w:color="auto" w:fill="FFFFFF"/>
          <w:lang w:eastAsia="en-US"/>
        </w:rPr>
        <w:t>– его формальная и содержател</w:t>
      </w:r>
      <w:r w:rsidRPr="00EC1A78">
        <w:rPr>
          <w:rFonts w:eastAsiaTheme="minorHAnsi"/>
          <w:color w:val="000000"/>
          <w:sz w:val="22"/>
          <w:szCs w:val="19"/>
          <w:shd w:val="clear" w:color="auto" w:fill="FFFFFF"/>
          <w:lang w:eastAsia="en-US"/>
        </w:rPr>
        <w:t>ь</w:t>
      </w:r>
      <w:r w:rsidRPr="00EC1A78">
        <w:rPr>
          <w:rFonts w:eastAsiaTheme="minorHAnsi"/>
          <w:color w:val="000000"/>
          <w:sz w:val="22"/>
          <w:szCs w:val="19"/>
          <w:shd w:val="clear" w:color="auto" w:fill="FFFFFF"/>
          <w:lang w:eastAsia="en-US"/>
        </w:rPr>
        <w:t>ная части. Оценка заключения эксперта носит субъективный хара</w:t>
      </w:r>
      <w:r w:rsidRPr="00EC1A78">
        <w:rPr>
          <w:rFonts w:eastAsiaTheme="minorHAnsi"/>
          <w:color w:val="000000"/>
          <w:sz w:val="22"/>
          <w:szCs w:val="19"/>
          <w:shd w:val="clear" w:color="auto" w:fill="FFFFFF"/>
          <w:lang w:eastAsia="en-US"/>
        </w:rPr>
        <w:t>к</w:t>
      </w:r>
      <w:r w:rsidRPr="00EC1A78">
        <w:rPr>
          <w:rFonts w:eastAsiaTheme="minorHAnsi"/>
          <w:color w:val="000000"/>
          <w:sz w:val="22"/>
          <w:szCs w:val="19"/>
          <w:shd w:val="clear" w:color="auto" w:fill="FFFFFF"/>
          <w:lang w:eastAsia="en-US"/>
        </w:rPr>
        <w:t>тер и напрямую зависит от степени профессионализма следователя. Результат оценки содержательной стороны может свидетельств</w:t>
      </w:r>
      <w:r w:rsidRPr="00EC1A78">
        <w:rPr>
          <w:rFonts w:eastAsiaTheme="minorHAnsi"/>
          <w:color w:val="000000"/>
          <w:sz w:val="22"/>
          <w:szCs w:val="19"/>
          <w:shd w:val="clear" w:color="auto" w:fill="FFFFFF"/>
          <w:lang w:eastAsia="en-US"/>
        </w:rPr>
        <w:t>о</w:t>
      </w:r>
      <w:r w:rsidRPr="00EC1A78">
        <w:rPr>
          <w:rFonts w:eastAsiaTheme="minorHAnsi"/>
          <w:color w:val="000000"/>
          <w:sz w:val="22"/>
          <w:szCs w:val="19"/>
          <w:shd w:val="clear" w:color="auto" w:fill="FFFFFF"/>
          <w:lang w:eastAsia="en-US"/>
        </w:rPr>
        <w:t>вать о том, что им были изучены ненадлежащие объекты и, таким образом, само заключение не будет носить объективный характер, поскольку не будет базироваться на фактических данных.</w:t>
      </w:r>
    </w:p>
    <w:p w:rsidR="00EC1A78" w:rsidRPr="00EC1A78" w:rsidRDefault="00EC1A78" w:rsidP="00EC1A78">
      <w:pPr>
        <w:ind w:firstLine="425"/>
        <w:jc w:val="both"/>
        <w:rPr>
          <w:rFonts w:eastAsiaTheme="minorHAnsi"/>
          <w:color w:val="000000"/>
          <w:sz w:val="22"/>
          <w:szCs w:val="19"/>
          <w:shd w:val="clear" w:color="auto" w:fill="FFFFFF"/>
          <w:lang w:eastAsia="en-US"/>
        </w:rPr>
      </w:pPr>
      <w:r w:rsidRPr="00EC1A78">
        <w:rPr>
          <w:rFonts w:eastAsiaTheme="minorHAnsi"/>
          <w:color w:val="000000"/>
          <w:sz w:val="22"/>
          <w:szCs w:val="19"/>
          <w:shd w:val="clear" w:color="auto" w:fill="FFFFFF"/>
          <w:lang w:eastAsia="en-US"/>
        </w:rPr>
        <w:t>В некоторых случаях следователи не обращают внимание на заключение судебно–медицинского эксперта, а основывают свои суждения только на выводах, которые им были даны. Следователю необходимо иметь чёткое представление о процессе производства судебно–медицинского исследования.</w:t>
      </w:r>
    </w:p>
    <w:p w:rsidR="00EC1A78" w:rsidRPr="00EC1A78" w:rsidRDefault="00EC1A78" w:rsidP="00EC1A78">
      <w:pPr>
        <w:jc w:val="both"/>
        <w:rPr>
          <w:rFonts w:eastAsiaTheme="minorHAnsi"/>
          <w:color w:val="000000"/>
          <w:sz w:val="22"/>
          <w:szCs w:val="19"/>
          <w:shd w:val="clear" w:color="auto" w:fill="FFFFFF"/>
          <w:lang w:eastAsia="en-US"/>
        </w:rPr>
      </w:pPr>
    </w:p>
    <w:p w:rsidR="00EC1A78" w:rsidRPr="00EC1A78" w:rsidRDefault="00EC1A78" w:rsidP="00EC1A78">
      <w:pPr>
        <w:jc w:val="center"/>
        <w:rPr>
          <w:rFonts w:eastAsiaTheme="minorHAnsi"/>
          <w:color w:val="000000"/>
          <w:sz w:val="22"/>
          <w:szCs w:val="19"/>
          <w:shd w:val="clear" w:color="auto" w:fill="FFFFFF"/>
          <w:lang w:eastAsia="en-US"/>
        </w:rPr>
      </w:pPr>
      <w:r w:rsidRPr="00EC1A78">
        <w:rPr>
          <w:rFonts w:eastAsiaTheme="minorHAnsi"/>
          <w:color w:val="000000"/>
          <w:sz w:val="22"/>
          <w:szCs w:val="19"/>
          <w:shd w:val="clear" w:color="auto" w:fill="FFFFFF"/>
          <w:lang w:eastAsia="en-US"/>
        </w:rPr>
        <w:t>Список литературы</w:t>
      </w:r>
    </w:p>
    <w:p w:rsidR="00EC1A78" w:rsidRPr="00EC1A78" w:rsidRDefault="00EC1A78" w:rsidP="00EC1A78">
      <w:pPr>
        <w:ind w:firstLine="426"/>
        <w:jc w:val="both"/>
        <w:rPr>
          <w:rFonts w:eastAsiaTheme="minorHAnsi"/>
          <w:color w:val="000000"/>
          <w:sz w:val="22"/>
          <w:szCs w:val="19"/>
          <w:shd w:val="clear" w:color="auto" w:fill="FFFFFF"/>
          <w:lang w:eastAsia="en-US"/>
        </w:rPr>
      </w:pPr>
      <w:r w:rsidRPr="00EC1A78">
        <w:rPr>
          <w:rFonts w:eastAsiaTheme="minorHAnsi"/>
          <w:color w:val="000000"/>
          <w:sz w:val="22"/>
          <w:szCs w:val="19"/>
          <w:shd w:val="clear" w:color="auto" w:fill="FFFFFF"/>
          <w:lang w:eastAsia="en-US"/>
        </w:rPr>
        <w:t xml:space="preserve">1. Зеленский, В. Д., Меретуков, Г.М. Криминалистика / СПб.: Юридический центр–Пресс, 2015. </w:t>
      </w:r>
      <w:r w:rsidRPr="00EC1A78">
        <w:rPr>
          <w:rFonts w:eastAsiaTheme="minorHAnsi"/>
          <w:sz w:val="22"/>
          <w:szCs w:val="24"/>
          <w:lang w:eastAsia="en-US"/>
        </w:rPr>
        <w:t xml:space="preserve">– </w:t>
      </w:r>
      <w:r w:rsidRPr="00EC1A78">
        <w:rPr>
          <w:rFonts w:eastAsiaTheme="minorHAnsi"/>
          <w:color w:val="000000"/>
          <w:sz w:val="22"/>
          <w:szCs w:val="19"/>
          <w:shd w:val="clear" w:color="auto" w:fill="FFFFFF"/>
          <w:lang w:eastAsia="en-US"/>
        </w:rPr>
        <w:t>С. 234.</w:t>
      </w:r>
    </w:p>
    <w:p w:rsidR="00EC1A78" w:rsidRPr="00EC1A78" w:rsidRDefault="00EC1A78" w:rsidP="00EC1A78">
      <w:pPr>
        <w:ind w:firstLine="426"/>
        <w:jc w:val="both"/>
        <w:rPr>
          <w:rFonts w:eastAsiaTheme="minorHAnsi"/>
          <w:color w:val="000000"/>
          <w:sz w:val="22"/>
          <w:szCs w:val="19"/>
          <w:shd w:val="clear" w:color="auto" w:fill="FFFFFF"/>
          <w:lang w:eastAsia="en-US"/>
        </w:rPr>
      </w:pPr>
      <w:r w:rsidRPr="00EC1A78">
        <w:rPr>
          <w:rFonts w:eastAsiaTheme="minorHAnsi"/>
          <w:color w:val="000000"/>
          <w:sz w:val="22"/>
          <w:szCs w:val="19"/>
          <w:shd w:val="clear" w:color="auto" w:fill="FFFFFF"/>
          <w:lang w:eastAsia="en-US"/>
        </w:rPr>
        <w:lastRenderedPageBreak/>
        <w:t>2. Осипова, М. С. Актуальные проблемы проведения судебно–медицинской экспертизы трупа с термическим воздействием / XXIII Международная научно–практическая конференция «Научное с</w:t>
      </w:r>
      <w:r w:rsidRPr="00EC1A78">
        <w:rPr>
          <w:rFonts w:eastAsiaTheme="minorHAnsi"/>
          <w:color w:val="000000"/>
          <w:sz w:val="22"/>
          <w:szCs w:val="19"/>
          <w:shd w:val="clear" w:color="auto" w:fill="FFFFFF"/>
          <w:lang w:eastAsia="en-US"/>
        </w:rPr>
        <w:t>о</w:t>
      </w:r>
      <w:r w:rsidRPr="00EC1A78">
        <w:rPr>
          <w:rFonts w:eastAsiaTheme="minorHAnsi"/>
          <w:color w:val="000000"/>
          <w:sz w:val="22"/>
          <w:szCs w:val="19"/>
          <w:shd w:val="clear" w:color="auto" w:fill="FFFFFF"/>
          <w:lang w:eastAsia="en-US"/>
        </w:rPr>
        <w:t>общество студентов: междисциплинарные исследования» / Россия, г. Новосибирск, 15 июня 2017 г.</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sz w:val="22"/>
          <w:szCs w:val="19"/>
          <w:shd w:val="clear" w:color="auto" w:fill="FFFFFF"/>
          <w:lang w:eastAsia="en-US"/>
        </w:rPr>
        <w:t>3. Акопов, В. И. Судебная медицина: учебник для бакалавров 3–е издание, переработанное и дополненное. / М.: Издательство ЮРАЙТ, 2016. – 478 с.</w:t>
      </w:r>
    </w:p>
    <w:p w:rsidR="00EC1A78" w:rsidRDefault="00EC1A78" w:rsidP="00EC1A78">
      <w:pPr>
        <w:jc w:val="both"/>
        <w:rPr>
          <w:rFonts w:eastAsiaTheme="minorHAnsi"/>
          <w:sz w:val="22"/>
          <w:szCs w:val="22"/>
          <w:lang w:eastAsia="en-US"/>
        </w:rPr>
      </w:pPr>
    </w:p>
    <w:p w:rsidR="00E62E4B" w:rsidRDefault="00E62E4B" w:rsidP="00EC1A78">
      <w:pPr>
        <w:jc w:val="both"/>
        <w:rPr>
          <w:rFonts w:eastAsiaTheme="minorHAnsi"/>
          <w:sz w:val="22"/>
          <w:szCs w:val="22"/>
          <w:lang w:eastAsia="en-US"/>
        </w:rPr>
      </w:pPr>
    </w:p>
    <w:p w:rsidR="00E62E4B" w:rsidRPr="00EC1A78" w:rsidRDefault="00E62E4B"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342.7</w:t>
      </w:r>
    </w:p>
    <w:p w:rsidR="00EC1A78" w:rsidRPr="00EC1A78" w:rsidRDefault="00EC1A78" w:rsidP="00EC1A78">
      <w:pPr>
        <w:ind w:firstLine="426"/>
        <w:jc w:val="center"/>
        <w:rPr>
          <w:rFonts w:eastAsiaTheme="minorHAnsi"/>
          <w:b/>
          <w:sz w:val="24"/>
          <w:szCs w:val="24"/>
          <w:lang w:eastAsia="en-US"/>
        </w:rPr>
      </w:pPr>
    </w:p>
    <w:p w:rsidR="00EC1A78" w:rsidRPr="00EC1A78" w:rsidRDefault="00EC1A78" w:rsidP="00EC1A78">
      <w:pPr>
        <w:ind w:firstLine="426"/>
        <w:jc w:val="center"/>
        <w:rPr>
          <w:rFonts w:eastAsiaTheme="minorHAnsi"/>
          <w:b/>
          <w:sz w:val="24"/>
          <w:szCs w:val="24"/>
          <w:lang w:eastAsia="en-US"/>
        </w:rPr>
      </w:pPr>
      <w:r w:rsidRPr="00EC1A78">
        <w:rPr>
          <w:rFonts w:eastAsiaTheme="minorHAnsi"/>
          <w:b/>
          <w:sz w:val="24"/>
          <w:szCs w:val="24"/>
          <w:lang w:eastAsia="en-US"/>
        </w:rPr>
        <w:t>Понятие конституционно–правового статуса беженцев и вынужденных переселенцев</w:t>
      </w:r>
    </w:p>
    <w:p w:rsidR="00EC1A78" w:rsidRPr="00EC1A78"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b/>
          <w:color w:val="212121"/>
          <w:sz w:val="24"/>
          <w:szCs w:val="24"/>
          <w:lang w:val="en-US"/>
        </w:rPr>
      </w:pPr>
      <w:r w:rsidRPr="00EC1A78">
        <w:rPr>
          <w:b/>
          <w:color w:val="212121"/>
          <w:sz w:val="24"/>
          <w:szCs w:val="24"/>
          <w:lang w:val="en"/>
        </w:rPr>
        <w:t xml:space="preserve">The concept of the constitutional and legal status </w:t>
      </w:r>
      <w:r w:rsidR="00E62E4B" w:rsidRPr="00E62E4B">
        <w:rPr>
          <w:b/>
          <w:color w:val="212121"/>
          <w:sz w:val="24"/>
          <w:szCs w:val="24"/>
          <w:lang w:val="en-US"/>
        </w:rPr>
        <w:br/>
      </w:r>
      <w:r w:rsidRPr="00EC1A78">
        <w:rPr>
          <w:b/>
          <w:color w:val="212121"/>
          <w:sz w:val="24"/>
          <w:szCs w:val="24"/>
          <w:lang w:val="en"/>
        </w:rPr>
        <w:t>of refugees and internally displaced persons</w:t>
      </w:r>
    </w:p>
    <w:p w:rsidR="00EC1A78" w:rsidRPr="00EC1A78" w:rsidRDefault="00EC1A78" w:rsidP="00EC1A78">
      <w:pPr>
        <w:ind w:firstLine="426"/>
        <w:jc w:val="right"/>
        <w:rPr>
          <w:sz w:val="22"/>
          <w:szCs w:val="22"/>
          <w:lang w:val="en-US"/>
        </w:rPr>
      </w:pPr>
    </w:p>
    <w:p w:rsidR="00EC1A78" w:rsidRPr="00EC1A78" w:rsidRDefault="00EC1A78" w:rsidP="00EC1A78">
      <w:pPr>
        <w:ind w:firstLine="426"/>
        <w:jc w:val="right"/>
        <w:rPr>
          <w:sz w:val="22"/>
          <w:szCs w:val="22"/>
        </w:rPr>
      </w:pPr>
      <w:r w:rsidRPr="00EC1A78">
        <w:rPr>
          <w:sz w:val="22"/>
          <w:szCs w:val="22"/>
        </w:rPr>
        <w:t>Носов Д.</w:t>
      </w:r>
      <w:r w:rsidR="00E62E4B">
        <w:rPr>
          <w:sz w:val="22"/>
          <w:szCs w:val="22"/>
        </w:rPr>
        <w:t xml:space="preserve"> </w:t>
      </w:r>
      <w:r w:rsidRPr="00EC1A78">
        <w:rPr>
          <w:sz w:val="22"/>
          <w:szCs w:val="22"/>
        </w:rPr>
        <w:t>С.,</w:t>
      </w:r>
    </w:p>
    <w:p w:rsidR="00EC1A78" w:rsidRPr="00EC1A78" w:rsidRDefault="00EC1A78" w:rsidP="00EC1A78">
      <w:pPr>
        <w:ind w:firstLine="426"/>
        <w:jc w:val="right"/>
        <w:rPr>
          <w:sz w:val="22"/>
          <w:szCs w:val="22"/>
        </w:rPr>
      </w:pPr>
      <w:r w:rsidRPr="00EC1A78">
        <w:rPr>
          <w:sz w:val="22"/>
          <w:szCs w:val="22"/>
        </w:rPr>
        <w:t>магистрант 2–го курса юридического факультета</w:t>
      </w:r>
    </w:p>
    <w:p w:rsidR="00EC1A78" w:rsidRPr="00EC1A78" w:rsidRDefault="00EC1A78" w:rsidP="00EC1A78">
      <w:pPr>
        <w:ind w:firstLine="426"/>
        <w:jc w:val="right"/>
        <w:rPr>
          <w:sz w:val="22"/>
          <w:szCs w:val="22"/>
        </w:rPr>
      </w:pPr>
      <w:r w:rsidRPr="00EC1A78">
        <w:rPr>
          <w:sz w:val="22"/>
          <w:szCs w:val="22"/>
        </w:rPr>
        <w:t xml:space="preserve">Кубанский государственный аграрный </w:t>
      </w:r>
    </w:p>
    <w:p w:rsidR="00EC1A78" w:rsidRPr="00EC1A78" w:rsidRDefault="00EC1A78" w:rsidP="00EC1A78">
      <w:pPr>
        <w:ind w:firstLine="426"/>
        <w:jc w:val="right"/>
        <w:rPr>
          <w:sz w:val="22"/>
          <w:szCs w:val="22"/>
        </w:rPr>
      </w:pPr>
      <w:r w:rsidRPr="00EC1A78">
        <w:rPr>
          <w:sz w:val="22"/>
          <w:szCs w:val="22"/>
        </w:rPr>
        <w:t>университет имени И.</w:t>
      </w:r>
      <w:r w:rsidR="00E62E4B">
        <w:rPr>
          <w:sz w:val="22"/>
          <w:szCs w:val="22"/>
        </w:rPr>
        <w:t xml:space="preserve"> </w:t>
      </w:r>
      <w:r w:rsidRPr="00EC1A78">
        <w:rPr>
          <w:sz w:val="22"/>
          <w:szCs w:val="22"/>
        </w:rPr>
        <w:t>Т. Трубилина</w:t>
      </w:r>
    </w:p>
    <w:p w:rsidR="00EC1A78" w:rsidRPr="00EC1A78" w:rsidRDefault="00EC1A78" w:rsidP="00EC1A78">
      <w:pPr>
        <w:ind w:firstLine="426"/>
        <w:jc w:val="right"/>
        <w:rPr>
          <w:sz w:val="24"/>
          <w:szCs w:val="24"/>
        </w:rPr>
      </w:pPr>
    </w:p>
    <w:p w:rsidR="00EC1A78" w:rsidRPr="00EC1A78" w:rsidRDefault="00EC1A78" w:rsidP="00EC1A78">
      <w:pPr>
        <w:ind w:firstLine="426"/>
        <w:jc w:val="both"/>
        <w:rPr>
          <w:sz w:val="22"/>
          <w:szCs w:val="22"/>
          <w:lang w:val="en-US"/>
        </w:rPr>
      </w:pPr>
      <w:r w:rsidRPr="00EC1A78">
        <w:rPr>
          <w:sz w:val="22"/>
          <w:szCs w:val="22"/>
        </w:rPr>
        <w:t>АННОТАЦИЯ: Рассмотрены понятия конституционно–правового статуса беженцев и вынужденных переселенцев в Ро</w:t>
      </w:r>
      <w:r w:rsidRPr="00EC1A78">
        <w:rPr>
          <w:sz w:val="22"/>
          <w:szCs w:val="22"/>
        </w:rPr>
        <w:t>с</w:t>
      </w:r>
      <w:r w:rsidRPr="00EC1A78">
        <w:rPr>
          <w:sz w:val="22"/>
          <w:szCs w:val="22"/>
        </w:rPr>
        <w:t>сийской Федерации. Рассмотрено</w:t>
      </w:r>
      <w:r w:rsidRPr="00EC1A78">
        <w:rPr>
          <w:sz w:val="22"/>
          <w:szCs w:val="22"/>
          <w:lang w:val="en-US"/>
        </w:rPr>
        <w:t xml:space="preserve"> </w:t>
      </w:r>
      <w:r w:rsidRPr="00EC1A78">
        <w:rPr>
          <w:sz w:val="22"/>
          <w:szCs w:val="22"/>
        </w:rPr>
        <w:t>содержание</w:t>
      </w:r>
      <w:r w:rsidRPr="00EC1A78">
        <w:rPr>
          <w:sz w:val="22"/>
          <w:szCs w:val="22"/>
          <w:lang w:val="en-US"/>
        </w:rPr>
        <w:t xml:space="preserve"> </w:t>
      </w:r>
      <w:r w:rsidRPr="00EC1A78">
        <w:rPr>
          <w:sz w:val="22"/>
          <w:szCs w:val="22"/>
        </w:rPr>
        <w:t>обязанностей</w:t>
      </w:r>
      <w:r w:rsidRPr="00EC1A78">
        <w:rPr>
          <w:sz w:val="22"/>
          <w:szCs w:val="22"/>
          <w:lang w:val="en-US"/>
        </w:rPr>
        <w:t xml:space="preserve"> </w:t>
      </w:r>
      <w:r w:rsidRPr="00EC1A78">
        <w:rPr>
          <w:sz w:val="22"/>
          <w:szCs w:val="22"/>
        </w:rPr>
        <w:t>и</w:t>
      </w:r>
      <w:r w:rsidRPr="00EC1A78">
        <w:rPr>
          <w:sz w:val="22"/>
          <w:szCs w:val="22"/>
          <w:lang w:val="en-US"/>
        </w:rPr>
        <w:t xml:space="preserve"> </w:t>
      </w:r>
      <w:r w:rsidRPr="00EC1A78">
        <w:rPr>
          <w:sz w:val="22"/>
          <w:szCs w:val="22"/>
        </w:rPr>
        <w:t>г</w:t>
      </w:r>
      <w:r w:rsidRPr="00EC1A78">
        <w:rPr>
          <w:sz w:val="22"/>
          <w:szCs w:val="22"/>
        </w:rPr>
        <w:t>а</w:t>
      </w:r>
      <w:r w:rsidRPr="00EC1A78">
        <w:rPr>
          <w:sz w:val="22"/>
          <w:szCs w:val="22"/>
        </w:rPr>
        <w:t>рантий</w:t>
      </w:r>
      <w:r w:rsidRPr="00EC1A78">
        <w:rPr>
          <w:sz w:val="22"/>
          <w:szCs w:val="22"/>
          <w:lang w:val="en-US"/>
        </w:rPr>
        <w:t xml:space="preserve"> </w:t>
      </w:r>
      <w:r w:rsidRPr="00EC1A78">
        <w:rPr>
          <w:sz w:val="22"/>
          <w:szCs w:val="22"/>
        </w:rPr>
        <w:t>беженцев</w:t>
      </w:r>
      <w:r w:rsidRPr="00EC1A78">
        <w:rPr>
          <w:sz w:val="22"/>
          <w:szCs w:val="22"/>
          <w:lang w:val="en-US"/>
        </w:rPr>
        <w:t xml:space="preserve"> </w:t>
      </w:r>
      <w:r w:rsidRPr="00EC1A78">
        <w:rPr>
          <w:sz w:val="22"/>
          <w:szCs w:val="22"/>
        </w:rPr>
        <w:t>и</w:t>
      </w:r>
      <w:r w:rsidRPr="00EC1A78">
        <w:rPr>
          <w:sz w:val="22"/>
          <w:szCs w:val="22"/>
          <w:lang w:val="en-US"/>
        </w:rPr>
        <w:t xml:space="preserve"> </w:t>
      </w:r>
      <w:r w:rsidRPr="00EC1A78">
        <w:rPr>
          <w:sz w:val="22"/>
          <w:szCs w:val="22"/>
        </w:rPr>
        <w:t>вынужденных</w:t>
      </w:r>
      <w:r w:rsidRPr="00EC1A78">
        <w:rPr>
          <w:sz w:val="22"/>
          <w:szCs w:val="22"/>
          <w:lang w:val="en-US"/>
        </w:rPr>
        <w:t xml:space="preserve"> </w:t>
      </w:r>
      <w:r w:rsidRPr="00EC1A78">
        <w:rPr>
          <w:sz w:val="22"/>
          <w:szCs w:val="22"/>
        </w:rPr>
        <w:t>переселенцев</w:t>
      </w:r>
      <w:r w:rsidRPr="00EC1A78">
        <w:rPr>
          <w:sz w:val="22"/>
          <w:szCs w:val="22"/>
          <w:lang w:val="en-US"/>
        </w:rPr>
        <w:t>.</w:t>
      </w:r>
    </w:p>
    <w:p w:rsidR="00EC1A78" w:rsidRPr="00EC1A78" w:rsidRDefault="00EC1A78" w:rsidP="00EC1A78">
      <w:pPr>
        <w:shd w:val="clear" w:color="auto" w:fill="FFFFFF"/>
        <w:ind w:firstLine="426"/>
        <w:jc w:val="both"/>
        <w:rPr>
          <w:sz w:val="22"/>
          <w:szCs w:val="22"/>
          <w:lang w:val="en-US"/>
        </w:rPr>
      </w:pPr>
      <w:r w:rsidRPr="00EC1A78">
        <w:rPr>
          <w:sz w:val="22"/>
          <w:szCs w:val="22"/>
          <w:lang w:val="en-US"/>
        </w:rPr>
        <w:t xml:space="preserve">ABSTRACT: </w:t>
      </w:r>
      <w:r w:rsidRPr="00EC1A78">
        <w:rPr>
          <w:sz w:val="22"/>
          <w:szCs w:val="22"/>
        </w:rPr>
        <w:t>Т</w:t>
      </w:r>
      <w:r w:rsidRPr="00EC1A78">
        <w:rPr>
          <w:sz w:val="22"/>
          <w:szCs w:val="22"/>
          <w:lang w:val="en"/>
        </w:rPr>
        <w:t>he concepts of the constitutional and legal status of refugees and internally displaced persons in the Russian Federation</w:t>
      </w:r>
      <w:r w:rsidRPr="00EC1A78">
        <w:rPr>
          <w:sz w:val="22"/>
          <w:szCs w:val="22"/>
          <w:lang w:val="en-US"/>
        </w:rPr>
        <w:t xml:space="preserve">. </w:t>
      </w:r>
      <w:r w:rsidRPr="00EC1A78">
        <w:rPr>
          <w:rFonts w:eastAsiaTheme="minorHAnsi"/>
          <w:sz w:val="22"/>
          <w:szCs w:val="22"/>
          <w:lang w:val="en-US" w:eastAsia="en-US"/>
        </w:rPr>
        <w:br/>
      </w:r>
      <w:r w:rsidRPr="00EC1A78">
        <w:rPr>
          <w:rFonts w:eastAsiaTheme="minorHAnsi"/>
          <w:sz w:val="22"/>
          <w:szCs w:val="22"/>
          <w:shd w:val="clear" w:color="auto" w:fill="FFFFFF"/>
          <w:lang w:val="en-US" w:eastAsia="en-US"/>
        </w:rPr>
        <w:t>The contents of the duties and guarantees of refugees and internally di</w:t>
      </w:r>
      <w:r w:rsidRPr="00EC1A78">
        <w:rPr>
          <w:rFonts w:eastAsiaTheme="minorHAnsi"/>
          <w:sz w:val="22"/>
          <w:szCs w:val="22"/>
          <w:shd w:val="clear" w:color="auto" w:fill="FFFFFF"/>
          <w:lang w:val="en-US" w:eastAsia="en-US"/>
        </w:rPr>
        <w:t>s</w:t>
      </w:r>
      <w:r w:rsidRPr="00EC1A78">
        <w:rPr>
          <w:rFonts w:eastAsiaTheme="minorHAnsi"/>
          <w:sz w:val="22"/>
          <w:szCs w:val="22"/>
          <w:shd w:val="clear" w:color="auto" w:fill="FFFFFF"/>
          <w:lang w:val="en-US" w:eastAsia="en-US"/>
        </w:rPr>
        <w:t>placed persons are disclosed.</w:t>
      </w:r>
    </w:p>
    <w:p w:rsidR="00EC1A78" w:rsidRPr="00EC1A78" w:rsidRDefault="00EC1A78" w:rsidP="00EC1A78">
      <w:pPr>
        <w:ind w:firstLine="426"/>
        <w:jc w:val="both"/>
        <w:rPr>
          <w:sz w:val="22"/>
          <w:szCs w:val="22"/>
        </w:rPr>
      </w:pPr>
      <w:r w:rsidRPr="00EC1A78">
        <w:rPr>
          <w:sz w:val="22"/>
          <w:szCs w:val="22"/>
        </w:rPr>
        <w:t>КЛЮЧЕВЫЕ СЛОВА: конституционно–правовой статус, эл</w:t>
      </w:r>
      <w:r w:rsidRPr="00EC1A78">
        <w:rPr>
          <w:sz w:val="22"/>
          <w:szCs w:val="22"/>
        </w:rPr>
        <w:t>е</w:t>
      </w:r>
      <w:r w:rsidRPr="00EC1A78">
        <w:rPr>
          <w:sz w:val="22"/>
          <w:szCs w:val="22"/>
        </w:rPr>
        <w:t>менты конституционно–правового статуса, беженцы, вынужденные переселенцы.</w:t>
      </w:r>
    </w:p>
    <w:p w:rsidR="00EC1A78" w:rsidRPr="00EC1A78" w:rsidRDefault="00EC1A78" w:rsidP="00EC1A78">
      <w:pPr>
        <w:shd w:val="clear" w:color="auto" w:fill="FFFFFF"/>
        <w:ind w:firstLine="426"/>
        <w:jc w:val="both"/>
        <w:rPr>
          <w:sz w:val="22"/>
          <w:szCs w:val="22"/>
          <w:lang w:val="en-US"/>
        </w:rPr>
      </w:pPr>
      <w:r w:rsidRPr="00EC1A78">
        <w:rPr>
          <w:sz w:val="22"/>
          <w:szCs w:val="22"/>
          <w:lang w:val="en-US"/>
        </w:rPr>
        <w:t xml:space="preserve">KEYWORDS: </w:t>
      </w:r>
      <w:r w:rsidRPr="00EC1A78">
        <w:rPr>
          <w:sz w:val="22"/>
          <w:szCs w:val="22"/>
          <w:lang w:val="en"/>
        </w:rPr>
        <w:t>constitutional and legal status, elements of the co</w:t>
      </w:r>
      <w:r w:rsidRPr="00EC1A78">
        <w:rPr>
          <w:sz w:val="22"/>
          <w:szCs w:val="22"/>
          <w:lang w:val="en"/>
        </w:rPr>
        <w:t>n</w:t>
      </w:r>
      <w:r w:rsidRPr="00EC1A78">
        <w:rPr>
          <w:sz w:val="22"/>
          <w:szCs w:val="22"/>
          <w:lang w:val="en"/>
        </w:rPr>
        <w:t>stitutional and legal status, refugees, internally displaced persons.</w:t>
      </w:r>
    </w:p>
    <w:p w:rsidR="00EC1A78" w:rsidRPr="00EC1A78" w:rsidRDefault="00EC1A78" w:rsidP="00EC1A78">
      <w:pPr>
        <w:shd w:val="clear" w:color="auto" w:fill="FFFFFF"/>
        <w:ind w:firstLine="426"/>
        <w:jc w:val="both"/>
        <w:rPr>
          <w:sz w:val="22"/>
          <w:szCs w:val="22"/>
          <w:lang w:val="en-US"/>
        </w:rPr>
      </w:pPr>
    </w:p>
    <w:p w:rsidR="00EC1A78" w:rsidRPr="00EC1A78" w:rsidRDefault="00EC1A78" w:rsidP="00EC1A78">
      <w:pPr>
        <w:ind w:firstLine="426"/>
        <w:jc w:val="both"/>
        <w:rPr>
          <w:rFonts w:eastAsia="Calibri"/>
          <w:sz w:val="22"/>
          <w:szCs w:val="22"/>
        </w:rPr>
      </w:pPr>
      <w:r w:rsidRPr="00EC1A78">
        <w:rPr>
          <w:rFonts w:eastAsia="Calibri"/>
          <w:sz w:val="22"/>
          <w:szCs w:val="22"/>
        </w:rPr>
        <w:lastRenderedPageBreak/>
        <w:t>Конституционно–правовой статус беженцев и вынужденных переселенцев представляет собой совокупность таких элементов как права, обязанности, ответственность и гарантии прав и свобод[2].</w:t>
      </w:r>
    </w:p>
    <w:p w:rsidR="00EC1A78" w:rsidRPr="00EC1A78" w:rsidRDefault="00EC1A78" w:rsidP="00EC1A78">
      <w:pPr>
        <w:ind w:firstLine="426"/>
        <w:jc w:val="both"/>
        <w:rPr>
          <w:rFonts w:eastAsia="Calibri"/>
          <w:sz w:val="22"/>
          <w:szCs w:val="22"/>
        </w:rPr>
      </w:pPr>
      <w:r w:rsidRPr="00EC1A78">
        <w:rPr>
          <w:rFonts w:eastAsia="Calibri"/>
          <w:sz w:val="22"/>
          <w:szCs w:val="22"/>
        </w:rPr>
        <w:t>Исходя из понятия беженец, закрепленного в ст. 1 Федеральн</w:t>
      </w:r>
      <w:r w:rsidRPr="00EC1A78">
        <w:rPr>
          <w:rFonts w:eastAsia="Calibri"/>
          <w:sz w:val="22"/>
          <w:szCs w:val="22"/>
        </w:rPr>
        <w:t>о</w:t>
      </w:r>
      <w:r w:rsidRPr="00EC1A78">
        <w:rPr>
          <w:rFonts w:eastAsia="Calibri"/>
          <w:sz w:val="22"/>
          <w:szCs w:val="22"/>
        </w:rPr>
        <w:t>го закона «О беженцах», под конституционно–правовым статусом беженцев понимается совокупность прав и обязанностей иностра</w:t>
      </w:r>
      <w:r w:rsidRPr="00EC1A78">
        <w:rPr>
          <w:rFonts w:eastAsia="Calibri"/>
          <w:sz w:val="22"/>
          <w:szCs w:val="22"/>
        </w:rPr>
        <w:t>н</w:t>
      </w:r>
      <w:r w:rsidRPr="00EC1A78">
        <w:rPr>
          <w:rFonts w:eastAsia="Calibri"/>
          <w:sz w:val="22"/>
          <w:szCs w:val="22"/>
        </w:rPr>
        <w:t>ного гражданина и лица без гражданства, который был вынужден покинуть место постоянного проживания и прибыть на территорию Российской Федерации, ответственности, гарантии прав и свобод.</w:t>
      </w:r>
    </w:p>
    <w:p w:rsidR="00EC1A78" w:rsidRPr="00EC1A78" w:rsidRDefault="00EC1A78" w:rsidP="00EC1A78">
      <w:pPr>
        <w:ind w:firstLine="426"/>
        <w:jc w:val="both"/>
        <w:rPr>
          <w:rFonts w:eastAsia="Calibri"/>
          <w:sz w:val="22"/>
          <w:szCs w:val="22"/>
        </w:rPr>
      </w:pPr>
      <w:r w:rsidRPr="00EC1A78">
        <w:rPr>
          <w:rFonts w:eastAsia="Calibri"/>
          <w:sz w:val="22"/>
          <w:szCs w:val="22"/>
        </w:rPr>
        <w:t>Конституционно–правовой статус вынужденного переселенца</w:t>
      </w:r>
    </w:p>
    <w:p w:rsidR="00EC1A78" w:rsidRPr="00EC1A78" w:rsidRDefault="00EC1A78" w:rsidP="00EC1A78">
      <w:pPr>
        <w:jc w:val="both"/>
        <w:rPr>
          <w:rFonts w:eastAsia="Calibri"/>
          <w:sz w:val="22"/>
          <w:szCs w:val="22"/>
        </w:rPr>
      </w:pPr>
      <w:r w:rsidRPr="00EC1A78">
        <w:rPr>
          <w:rFonts w:eastAsia="Calibri"/>
          <w:sz w:val="22"/>
          <w:szCs w:val="22"/>
        </w:rPr>
        <w:t>также представляет собой совокупность прав, обязанностей, отве</w:t>
      </w:r>
      <w:r w:rsidRPr="00EC1A78">
        <w:rPr>
          <w:rFonts w:eastAsia="Calibri"/>
          <w:sz w:val="22"/>
          <w:szCs w:val="22"/>
        </w:rPr>
        <w:t>т</w:t>
      </w:r>
      <w:r w:rsidRPr="00EC1A78">
        <w:rPr>
          <w:rFonts w:eastAsia="Calibri"/>
          <w:sz w:val="22"/>
          <w:szCs w:val="22"/>
        </w:rPr>
        <w:t>ственности, но только уже российского гражданина, а также допо</w:t>
      </w:r>
      <w:r w:rsidRPr="00EC1A78">
        <w:rPr>
          <w:rFonts w:eastAsia="Calibri"/>
          <w:sz w:val="22"/>
          <w:szCs w:val="22"/>
        </w:rPr>
        <w:t>л</w:t>
      </w:r>
      <w:r w:rsidRPr="00EC1A78">
        <w:rPr>
          <w:rFonts w:eastAsia="Calibri"/>
          <w:sz w:val="22"/>
          <w:szCs w:val="22"/>
        </w:rPr>
        <w:t>нительные гарантии, предоставленные лицу российским законод</w:t>
      </w:r>
      <w:r w:rsidRPr="00EC1A78">
        <w:rPr>
          <w:rFonts w:eastAsia="Calibri"/>
          <w:sz w:val="22"/>
          <w:szCs w:val="22"/>
        </w:rPr>
        <w:t>а</w:t>
      </w:r>
      <w:r w:rsidRPr="00EC1A78">
        <w:rPr>
          <w:rFonts w:eastAsia="Calibri"/>
          <w:sz w:val="22"/>
          <w:szCs w:val="22"/>
        </w:rPr>
        <w:t>телем, в том случае, если данное лицо признано вынужденным п</w:t>
      </w:r>
      <w:r w:rsidRPr="00EC1A78">
        <w:rPr>
          <w:rFonts w:eastAsia="Calibri"/>
          <w:sz w:val="22"/>
          <w:szCs w:val="22"/>
        </w:rPr>
        <w:t>е</w:t>
      </w:r>
      <w:r w:rsidRPr="00EC1A78">
        <w:rPr>
          <w:rFonts w:eastAsia="Calibri"/>
          <w:sz w:val="22"/>
          <w:szCs w:val="22"/>
        </w:rPr>
        <w:t>реселенцем[1].</w:t>
      </w:r>
    </w:p>
    <w:p w:rsidR="00EC1A78" w:rsidRPr="00EC1A78" w:rsidRDefault="00EC1A78" w:rsidP="00EC1A78">
      <w:pPr>
        <w:ind w:firstLine="426"/>
        <w:jc w:val="both"/>
        <w:rPr>
          <w:sz w:val="22"/>
          <w:szCs w:val="22"/>
          <w:shd w:val="clear" w:color="auto" w:fill="FFFFFF"/>
        </w:rPr>
      </w:pPr>
      <w:r w:rsidRPr="00EC1A78">
        <w:rPr>
          <w:rFonts w:eastAsia="Calibri"/>
          <w:sz w:val="22"/>
          <w:szCs w:val="22"/>
        </w:rPr>
        <w:t>В юридической литературе можно встретить авторов, которые статус беженцев и вынужденных переселенцев рассматривают б</w:t>
      </w:r>
      <w:r w:rsidRPr="00EC1A78">
        <w:rPr>
          <w:rFonts w:eastAsia="Calibri"/>
          <w:sz w:val="22"/>
          <w:szCs w:val="22"/>
        </w:rPr>
        <w:t>о</w:t>
      </w:r>
      <w:r w:rsidRPr="00EC1A78">
        <w:rPr>
          <w:rFonts w:eastAsia="Calibri"/>
          <w:sz w:val="22"/>
          <w:szCs w:val="22"/>
        </w:rPr>
        <w:t xml:space="preserve">лее широко. Например, </w:t>
      </w:r>
      <w:r w:rsidRPr="00EC1A78">
        <w:rPr>
          <w:sz w:val="22"/>
          <w:szCs w:val="22"/>
          <w:shd w:val="clear" w:color="auto" w:fill="FFFFFF"/>
        </w:rPr>
        <w:t>А.Е. Юрицин в конституционно–правовой статус беженцев и вынужденных переселенцев помимо вышеук</w:t>
      </w:r>
      <w:r w:rsidRPr="00EC1A78">
        <w:rPr>
          <w:sz w:val="22"/>
          <w:szCs w:val="22"/>
          <w:shd w:val="clear" w:color="auto" w:fill="FFFFFF"/>
        </w:rPr>
        <w:t>а</w:t>
      </w:r>
      <w:r w:rsidRPr="00EC1A78">
        <w:rPr>
          <w:sz w:val="22"/>
          <w:szCs w:val="22"/>
          <w:shd w:val="clear" w:color="auto" w:fill="FFFFFF"/>
        </w:rPr>
        <w:t>занных элементов включает принципы, правоспособность и гра</w:t>
      </w:r>
      <w:r w:rsidRPr="00EC1A78">
        <w:rPr>
          <w:sz w:val="22"/>
          <w:szCs w:val="22"/>
          <w:shd w:val="clear" w:color="auto" w:fill="FFFFFF"/>
        </w:rPr>
        <w:t>ж</w:t>
      </w:r>
      <w:r w:rsidRPr="00EC1A78">
        <w:rPr>
          <w:sz w:val="22"/>
          <w:szCs w:val="22"/>
          <w:shd w:val="clear" w:color="auto" w:fill="FFFFFF"/>
        </w:rPr>
        <w:t>данство[3].</w:t>
      </w:r>
    </w:p>
    <w:p w:rsidR="00EC1A78" w:rsidRPr="00EC1A78" w:rsidRDefault="00EC1A78" w:rsidP="00EC1A78">
      <w:pPr>
        <w:ind w:firstLine="426"/>
        <w:jc w:val="both"/>
        <w:rPr>
          <w:rFonts w:eastAsia="Calibri"/>
          <w:sz w:val="22"/>
          <w:szCs w:val="22"/>
        </w:rPr>
      </w:pPr>
      <w:r w:rsidRPr="00EC1A78">
        <w:rPr>
          <w:rFonts w:eastAsia="Calibri"/>
          <w:sz w:val="22"/>
          <w:szCs w:val="22"/>
        </w:rPr>
        <w:t>Ряд ученых склоняются к общему мнению, что гарантии явл</w:t>
      </w:r>
      <w:r w:rsidRPr="00EC1A78">
        <w:rPr>
          <w:rFonts w:eastAsia="Calibri"/>
          <w:sz w:val="22"/>
          <w:szCs w:val="22"/>
        </w:rPr>
        <w:t>я</w:t>
      </w:r>
      <w:r w:rsidRPr="00EC1A78">
        <w:rPr>
          <w:rFonts w:eastAsia="Calibri"/>
          <w:sz w:val="22"/>
          <w:szCs w:val="22"/>
        </w:rPr>
        <w:t>ются определяющей частью статуса беженца и вынужденного пер</w:t>
      </w:r>
      <w:r w:rsidRPr="00EC1A78">
        <w:rPr>
          <w:rFonts w:eastAsia="Calibri"/>
          <w:sz w:val="22"/>
          <w:szCs w:val="22"/>
        </w:rPr>
        <w:t>е</w:t>
      </w:r>
      <w:r w:rsidRPr="00EC1A78">
        <w:rPr>
          <w:rFonts w:eastAsia="Calibri"/>
          <w:sz w:val="22"/>
          <w:szCs w:val="22"/>
        </w:rPr>
        <w:t>селенца и напрямую зависят от наличия или отсутствия российск</w:t>
      </w:r>
      <w:r w:rsidRPr="00EC1A78">
        <w:rPr>
          <w:rFonts w:eastAsia="Calibri"/>
          <w:sz w:val="22"/>
          <w:szCs w:val="22"/>
        </w:rPr>
        <w:t>о</w:t>
      </w:r>
      <w:r w:rsidRPr="00EC1A78">
        <w:rPr>
          <w:rFonts w:eastAsia="Calibri"/>
          <w:sz w:val="22"/>
          <w:szCs w:val="22"/>
        </w:rPr>
        <w:t>го гражданства.</w:t>
      </w:r>
    </w:p>
    <w:p w:rsidR="00EC1A78" w:rsidRPr="00EC1A78" w:rsidRDefault="00EC1A78" w:rsidP="00EC1A78">
      <w:pPr>
        <w:ind w:firstLine="426"/>
        <w:jc w:val="both"/>
        <w:rPr>
          <w:sz w:val="22"/>
          <w:szCs w:val="22"/>
        </w:rPr>
      </w:pPr>
      <w:r w:rsidRPr="00EC1A78">
        <w:rPr>
          <w:rFonts w:eastAsiaTheme="minorHAnsi"/>
          <w:sz w:val="22"/>
          <w:szCs w:val="22"/>
          <w:lang w:eastAsia="en-US"/>
        </w:rPr>
        <w:t>В настоящее время беженцы и вынужденные переселенцы наделены комплексом прав и обязанностей в различных сферах: социальной, экономической, культурной. Они имеют право на с</w:t>
      </w:r>
      <w:r w:rsidRPr="00EC1A78">
        <w:rPr>
          <w:rFonts w:eastAsiaTheme="minorHAnsi"/>
          <w:sz w:val="22"/>
          <w:szCs w:val="22"/>
          <w:lang w:eastAsia="en-US"/>
        </w:rPr>
        <w:t>о</w:t>
      </w:r>
      <w:r w:rsidRPr="00EC1A78">
        <w:rPr>
          <w:rFonts w:eastAsiaTheme="minorHAnsi"/>
          <w:sz w:val="22"/>
          <w:szCs w:val="22"/>
          <w:lang w:eastAsia="en-US"/>
        </w:rPr>
        <w:t xml:space="preserve">циальную защиту, на труд, на образование, могут </w:t>
      </w:r>
      <w:r w:rsidRPr="00EC1A78">
        <w:rPr>
          <w:sz w:val="22"/>
          <w:szCs w:val="22"/>
        </w:rPr>
        <w:t>обращаться к Уполномоченному по правам человека, в органы местного сам</w:t>
      </w:r>
      <w:r w:rsidRPr="00EC1A78">
        <w:rPr>
          <w:sz w:val="22"/>
          <w:szCs w:val="22"/>
        </w:rPr>
        <w:t>о</w:t>
      </w:r>
      <w:r w:rsidRPr="00EC1A78">
        <w:rPr>
          <w:sz w:val="22"/>
          <w:szCs w:val="22"/>
        </w:rPr>
        <w:t>управления.</w:t>
      </w:r>
    </w:p>
    <w:p w:rsidR="00EC1A78" w:rsidRPr="00EC1A78" w:rsidRDefault="00EC1A78" w:rsidP="00EC1A78">
      <w:pPr>
        <w:ind w:firstLine="426"/>
        <w:jc w:val="both"/>
        <w:rPr>
          <w:sz w:val="22"/>
          <w:szCs w:val="22"/>
        </w:rPr>
      </w:pPr>
      <w:r w:rsidRPr="00EC1A78">
        <w:rPr>
          <w:sz w:val="22"/>
          <w:szCs w:val="22"/>
        </w:rPr>
        <w:t>К основным обязанностям беженцев и вынужденных перес</w:t>
      </w:r>
      <w:r w:rsidRPr="00EC1A78">
        <w:rPr>
          <w:sz w:val="22"/>
          <w:szCs w:val="22"/>
        </w:rPr>
        <w:t>е</w:t>
      </w:r>
      <w:r w:rsidRPr="00EC1A78">
        <w:rPr>
          <w:sz w:val="22"/>
          <w:szCs w:val="22"/>
        </w:rPr>
        <w:t>ленцев законодательством отнесены: соблюдение законодательства Российской Федерации, соблюдение установленного порядка пр</w:t>
      </w:r>
      <w:r w:rsidRPr="00EC1A78">
        <w:rPr>
          <w:sz w:val="22"/>
          <w:szCs w:val="22"/>
        </w:rPr>
        <w:t>о</w:t>
      </w:r>
      <w:r w:rsidRPr="00EC1A78">
        <w:rPr>
          <w:sz w:val="22"/>
          <w:szCs w:val="22"/>
        </w:rPr>
        <w:t>живания, своевременно сообщать в компетентные органы сведения о смене места пребывания на территории России и другие.</w:t>
      </w:r>
    </w:p>
    <w:p w:rsidR="00EC1A78" w:rsidRPr="00163DEF" w:rsidRDefault="00EC1A78" w:rsidP="00163DEF">
      <w:pPr>
        <w:ind w:firstLine="426"/>
        <w:jc w:val="both"/>
        <w:rPr>
          <w:rFonts w:eastAsia="Calibri"/>
          <w:sz w:val="22"/>
          <w:szCs w:val="22"/>
        </w:rPr>
      </w:pPr>
      <w:r w:rsidRPr="00EC1A78">
        <w:rPr>
          <w:rFonts w:eastAsiaTheme="minorHAnsi"/>
          <w:sz w:val="22"/>
          <w:szCs w:val="22"/>
          <w:lang w:eastAsia="en-US"/>
        </w:rPr>
        <w:t>Стоит отметить, что данные права и обязанности должны быть подкреплены надлежащими гарантиями их реализации и защиты.</w:t>
      </w:r>
    </w:p>
    <w:p w:rsidR="00EC1A78" w:rsidRPr="00EC1A78" w:rsidRDefault="00EC1A78" w:rsidP="00EC1A78">
      <w:pPr>
        <w:ind w:firstLine="540"/>
        <w:jc w:val="center"/>
        <w:rPr>
          <w:sz w:val="22"/>
          <w:szCs w:val="22"/>
        </w:rPr>
      </w:pPr>
      <w:r w:rsidRPr="00EC1A78">
        <w:rPr>
          <w:sz w:val="22"/>
          <w:szCs w:val="22"/>
        </w:rPr>
        <w:lastRenderedPageBreak/>
        <w:t>Список литературы</w:t>
      </w:r>
    </w:p>
    <w:p w:rsidR="00EC1A78" w:rsidRPr="00EC1A78" w:rsidRDefault="00EC1A78" w:rsidP="00EC1A78">
      <w:pPr>
        <w:ind w:firstLine="426"/>
        <w:jc w:val="both"/>
        <w:rPr>
          <w:sz w:val="22"/>
          <w:szCs w:val="22"/>
        </w:rPr>
      </w:pPr>
      <w:r w:rsidRPr="00EC1A78">
        <w:rPr>
          <w:sz w:val="22"/>
          <w:szCs w:val="22"/>
        </w:rPr>
        <w:t xml:space="preserve">1. Аванесова А.А. </w:t>
      </w:r>
      <w:r w:rsidRPr="00EC1A78">
        <w:rPr>
          <w:bCs/>
          <w:sz w:val="22"/>
          <w:szCs w:val="22"/>
        </w:rPr>
        <w:t>Конституционно–правовой статус беженцев и вынужденных переселенцев и проблемы его реализации в субъе</w:t>
      </w:r>
      <w:r w:rsidRPr="00EC1A78">
        <w:rPr>
          <w:bCs/>
          <w:sz w:val="22"/>
          <w:szCs w:val="22"/>
        </w:rPr>
        <w:t>к</w:t>
      </w:r>
      <w:r w:rsidRPr="00EC1A78">
        <w:rPr>
          <w:bCs/>
          <w:sz w:val="22"/>
          <w:szCs w:val="22"/>
        </w:rPr>
        <w:t xml:space="preserve">тах Российской Федерации, расположенных на территории </w:t>
      </w:r>
      <w:r w:rsidRPr="00EC1A78">
        <w:rPr>
          <w:sz w:val="22"/>
          <w:szCs w:val="22"/>
        </w:rPr>
        <w:t>Южного федерального округа: дис. канд. юр. наук / А.А. Аванесова. – Москва, 2009.</w:t>
      </w:r>
    </w:p>
    <w:p w:rsidR="00EC1A78" w:rsidRPr="00EC1A78" w:rsidRDefault="00EC1A78" w:rsidP="00EC1A78">
      <w:pPr>
        <w:ind w:firstLine="426"/>
        <w:jc w:val="both"/>
        <w:rPr>
          <w:sz w:val="22"/>
          <w:szCs w:val="22"/>
        </w:rPr>
      </w:pPr>
      <w:r w:rsidRPr="00EC1A78">
        <w:rPr>
          <w:sz w:val="22"/>
          <w:szCs w:val="22"/>
        </w:rPr>
        <w:t>2. Шахрай С.М. Конституционное право Российской Федер</w:t>
      </w:r>
      <w:r w:rsidRPr="00EC1A78">
        <w:rPr>
          <w:sz w:val="22"/>
          <w:szCs w:val="22"/>
        </w:rPr>
        <w:t>а</w:t>
      </w:r>
      <w:r w:rsidRPr="00EC1A78">
        <w:rPr>
          <w:sz w:val="22"/>
          <w:szCs w:val="22"/>
        </w:rPr>
        <w:t>ции: учебник / С.М. Шахрай. – М.: Статут, 2017.</w:t>
      </w:r>
    </w:p>
    <w:p w:rsidR="00EC1A78" w:rsidRPr="00EC1A78" w:rsidRDefault="00EC1A78" w:rsidP="00EC1A78">
      <w:pPr>
        <w:ind w:firstLine="426"/>
        <w:jc w:val="both"/>
        <w:rPr>
          <w:sz w:val="22"/>
          <w:szCs w:val="22"/>
        </w:rPr>
      </w:pPr>
      <w:r w:rsidRPr="00EC1A78">
        <w:rPr>
          <w:sz w:val="22"/>
          <w:szCs w:val="22"/>
        </w:rPr>
        <w:t>3. Юрицин А.Е. Административно–правовой статус беженцев и вынужденных переселенцев в Российской Федерации: дис. … канд. юр. наук / А.Е. Юрицин. – Омск, 2005.</w:t>
      </w:r>
    </w:p>
    <w:p w:rsidR="00EC1A78" w:rsidRDefault="00EC1A78" w:rsidP="00EC1A78">
      <w:pPr>
        <w:jc w:val="both"/>
        <w:rPr>
          <w:rFonts w:eastAsiaTheme="minorHAnsi"/>
          <w:sz w:val="22"/>
          <w:szCs w:val="22"/>
          <w:lang w:eastAsia="en-US"/>
        </w:rPr>
      </w:pPr>
    </w:p>
    <w:p w:rsidR="00E62E4B" w:rsidRPr="00EC1A78" w:rsidRDefault="00E62E4B" w:rsidP="00EC1A78">
      <w:pPr>
        <w:jc w:val="both"/>
        <w:rPr>
          <w:rFonts w:eastAsiaTheme="minorHAnsi"/>
          <w:sz w:val="22"/>
          <w:szCs w:val="22"/>
          <w:lang w:eastAsia="en-US"/>
        </w:rPr>
      </w:pPr>
    </w:p>
    <w:p w:rsidR="00EC1A78" w:rsidRPr="00EC1A78" w:rsidRDefault="00EC1A78" w:rsidP="00EC1A78">
      <w:pPr>
        <w:tabs>
          <w:tab w:val="left" w:pos="1605"/>
        </w:tabs>
        <w:rPr>
          <w:rFonts w:eastAsiaTheme="minorHAnsi"/>
          <w:sz w:val="22"/>
          <w:szCs w:val="22"/>
          <w:lang w:eastAsia="en-US"/>
        </w:rPr>
      </w:pPr>
      <w:r w:rsidRPr="00EC1A78">
        <w:rPr>
          <w:rFonts w:eastAsiaTheme="minorHAnsi"/>
          <w:sz w:val="22"/>
          <w:szCs w:val="22"/>
          <w:lang w:eastAsia="en-US"/>
        </w:rPr>
        <w:t>УДК 34.03</w:t>
      </w:r>
    </w:p>
    <w:p w:rsidR="00EC1A78" w:rsidRPr="00EC1A78" w:rsidRDefault="00EC1A78" w:rsidP="00EC1A78">
      <w:pPr>
        <w:jc w:val="center"/>
        <w:rPr>
          <w:rFonts w:eastAsiaTheme="minorHAnsi"/>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Упразднение бухгалтерий в бюджетных учреждениях</w:t>
      </w:r>
      <w:r w:rsidR="00E62E4B">
        <w:rPr>
          <w:rFonts w:eastAsiaTheme="minorHAnsi"/>
          <w:b/>
          <w:sz w:val="24"/>
          <w:szCs w:val="24"/>
          <w:lang w:eastAsia="en-US"/>
        </w:rPr>
        <w:br/>
      </w:r>
      <w:r w:rsidRPr="00EC1A78">
        <w:rPr>
          <w:rFonts w:eastAsiaTheme="minorHAnsi"/>
          <w:b/>
          <w:sz w:val="24"/>
          <w:szCs w:val="24"/>
          <w:lang w:eastAsia="en-US"/>
        </w:rPr>
        <w:t xml:space="preserve"> в цел</w:t>
      </w:r>
      <w:r w:rsidR="00E62E4B">
        <w:rPr>
          <w:rFonts w:eastAsiaTheme="minorHAnsi"/>
          <w:b/>
          <w:sz w:val="24"/>
          <w:szCs w:val="24"/>
          <w:lang w:eastAsia="en-US"/>
        </w:rPr>
        <w:t>ях оптимизации: цели и проблемы</w:t>
      </w:r>
    </w:p>
    <w:p w:rsidR="00EC1A78" w:rsidRPr="00E62E4B"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Abolition of bookkeeping in budgetary institutions </w:t>
      </w:r>
      <w:r w:rsidR="00E62E4B" w:rsidRPr="00E62E4B">
        <w:rPr>
          <w:rFonts w:eastAsiaTheme="minorHAnsi"/>
          <w:b/>
          <w:sz w:val="24"/>
          <w:szCs w:val="24"/>
          <w:lang w:val="en-US" w:eastAsia="en-US"/>
        </w:rPr>
        <w:br/>
      </w:r>
      <w:r w:rsidRPr="00EC1A78">
        <w:rPr>
          <w:rFonts w:eastAsiaTheme="minorHAnsi"/>
          <w:b/>
          <w:sz w:val="24"/>
          <w:szCs w:val="24"/>
          <w:lang w:val="en-US" w:eastAsia="en-US"/>
        </w:rPr>
        <w:t>for optimizati</w:t>
      </w:r>
      <w:r w:rsidR="00E62E4B">
        <w:rPr>
          <w:rFonts w:eastAsiaTheme="minorHAnsi"/>
          <w:b/>
          <w:sz w:val="24"/>
          <w:szCs w:val="24"/>
          <w:lang w:val="en-US" w:eastAsia="en-US"/>
        </w:rPr>
        <w:t>on purposes: goals and problems</w:t>
      </w:r>
    </w:p>
    <w:p w:rsidR="00EC1A78" w:rsidRPr="00EC1A78" w:rsidRDefault="00EC1A78" w:rsidP="00EC1A78">
      <w:pPr>
        <w:ind w:firstLine="567"/>
        <w:jc w:val="right"/>
        <w:rPr>
          <w:rFonts w:eastAsiaTheme="minorHAnsi"/>
          <w:sz w:val="22"/>
          <w:szCs w:val="22"/>
          <w:lang w:val="en-US" w:eastAsia="en-US"/>
        </w:rPr>
      </w:pP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Олейников А.</w:t>
      </w:r>
      <w:r w:rsidR="00E62E4B">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widowControl w:val="0"/>
        <w:autoSpaceDE w:val="0"/>
        <w:autoSpaceDN w:val="0"/>
        <w:adjustRightInd w:val="0"/>
        <w:ind w:firstLine="567"/>
        <w:jc w:val="right"/>
        <w:rPr>
          <w:rFonts w:eastAsiaTheme="minorHAnsi"/>
          <w:sz w:val="22"/>
          <w:szCs w:val="22"/>
          <w:lang w:eastAsia="en-US"/>
        </w:rPr>
      </w:pPr>
      <w:r w:rsidRPr="00EC1A78">
        <w:rPr>
          <w:rFonts w:eastAsiaTheme="minorHAnsi"/>
          <w:sz w:val="22"/>
          <w:szCs w:val="22"/>
          <w:lang w:eastAsia="en-US"/>
        </w:rPr>
        <w:t>Очаковский В.</w:t>
      </w:r>
      <w:r w:rsidR="00E62E4B">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widowControl w:val="0"/>
        <w:autoSpaceDE w:val="0"/>
        <w:autoSpaceDN w:val="0"/>
        <w:adjustRightInd w:val="0"/>
        <w:jc w:val="right"/>
        <w:rPr>
          <w:rFonts w:eastAsiaTheme="minorHAnsi"/>
          <w:sz w:val="22"/>
          <w:szCs w:val="22"/>
          <w:lang w:eastAsia="en-US"/>
        </w:rPr>
      </w:pPr>
      <w:r w:rsidRPr="00EC1A78">
        <w:rPr>
          <w:rFonts w:eastAsiaTheme="minorHAnsi"/>
          <w:sz w:val="22"/>
          <w:szCs w:val="22"/>
          <w:lang w:eastAsia="en-US"/>
        </w:rPr>
        <w:t>доцент кафедры административного и финансового права</w:t>
      </w:r>
    </w:p>
    <w:p w:rsidR="00EC1A78" w:rsidRPr="00EC1A78" w:rsidRDefault="00EC1A78" w:rsidP="00EC1A78">
      <w:pPr>
        <w:widowControl w:val="0"/>
        <w:autoSpaceDE w:val="0"/>
        <w:autoSpaceDN w:val="0"/>
        <w:adjustRightInd w:val="0"/>
        <w:ind w:firstLine="567"/>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widowControl w:val="0"/>
        <w:autoSpaceDE w:val="0"/>
        <w:autoSpaceDN w:val="0"/>
        <w:adjustRightInd w:val="0"/>
        <w:ind w:firstLine="567"/>
        <w:jc w:val="right"/>
        <w:rPr>
          <w:rFonts w:eastAsiaTheme="minorHAnsi"/>
          <w:sz w:val="22"/>
          <w:szCs w:val="22"/>
          <w:lang w:eastAsia="en-US"/>
        </w:rPr>
      </w:pPr>
      <w:r w:rsidRPr="00EC1A78">
        <w:rPr>
          <w:rFonts w:eastAsiaTheme="minorHAnsi"/>
          <w:sz w:val="22"/>
          <w:szCs w:val="22"/>
          <w:lang w:eastAsia="en-US"/>
        </w:rPr>
        <w:t>университет имени И.</w:t>
      </w:r>
      <w:r w:rsidR="00E62E4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widowControl w:val="0"/>
        <w:autoSpaceDE w:val="0"/>
        <w:autoSpaceDN w:val="0"/>
        <w:adjustRightInd w:val="0"/>
        <w:ind w:firstLine="567"/>
        <w:jc w:val="both"/>
        <w:rPr>
          <w:rFonts w:eastAsiaTheme="minorHAnsi"/>
          <w:sz w:val="22"/>
          <w:szCs w:val="22"/>
          <w:lang w:eastAsia="en-US"/>
        </w:rPr>
      </w:pPr>
    </w:p>
    <w:p w:rsidR="00EC1A78" w:rsidRPr="00EC1A78" w:rsidRDefault="00EC1A78" w:rsidP="00EC1A78">
      <w:pPr>
        <w:widowControl w:val="0"/>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рассматривается недавно проведенная реформа ведения бухгалтерского учета, ее и цели и проблемы пр</w:t>
      </w:r>
      <w:r w:rsidRPr="00EC1A78">
        <w:rPr>
          <w:rFonts w:eastAsiaTheme="minorHAnsi"/>
          <w:sz w:val="22"/>
          <w:szCs w:val="22"/>
          <w:lang w:eastAsia="en-US"/>
        </w:rPr>
        <w:t>и</w:t>
      </w:r>
      <w:r w:rsidRPr="00EC1A78">
        <w:rPr>
          <w:rFonts w:eastAsiaTheme="minorHAnsi"/>
          <w:sz w:val="22"/>
          <w:szCs w:val="22"/>
          <w:lang w:eastAsia="en-US"/>
        </w:rPr>
        <w:t>менения на практике. Изложено мнение практиков по данной пр</w:t>
      </w:r>
      <w:r w:rsidRPr="00EC1A78">
        <w:rPr>
          <w:rFonts w:eastAsiaTheme="minorHAnsi"/>
          <w:sz w:val="22"/>
          <w:szCs w:val="22"/>
          <w:lang w:eastAsia="en-US"/>
        </w:rPr>
        <w:t>о</w:t>
      </w:r>
      <w:r w:rsidRPr="00EC1A78">
        <w:rPr>
          <w:rFonts w:eastAsiaTheme="minorHAnsi"/>
          <w:sz w:val="22"/>
          <w:szCs w:val="22"/>
          <w:lang w:eastAsia="en-US"/>
        </w:rPr>
        <w:t>блеме. Приводятся аргументы против использования новой системы ведения бухгалтерского учета.</w:t>
      </w:r>
    </w:p>
    <w:p w:rsidR="00EC1A78" w:rsidRPr="00EC1A78" w:rsidRDefault="00EC1A78" w:rsidP="00EC1A78">
      <w:pPr>
        <w:shd w:val="clear" w:color="auto" w:fill="FFFFFF"/>
        <w:ind w:firstLine="425"/>
        <w:jc w:val="both"/>
        <w:rPr>
          <w:rFonts w:eastAsiaTheme="minorHAnsi"/>
          <w:color w:val="212121"/>
          <w:sz w:val="22"/>
          <w:szCs w:val="22"/>
          <w:lang w:val="en-US" w:eastAsia="en-US"/>
        </w:rPr>
      </w:pPr>
      <w:r w:rsidRPr="00EC1A78">
        <w:rPr>
          <w:rFonts w:eastAsiaTheme="minorHAnsi"/>
          <w:sz w:val="22"/>
          <w:szCs w:val="22"/>
          <w:lang w:val="en-US" w:eastAsia="en-US"/>
        </w:rPr>
        <w:t xml:space="preserve">ABSTRACT: </w:t>
      </w:r>
      <w:r w:rsidRPr="00EC1A78">
        <w:rPr>
          <w:rFonts w:eastAsiaTheme="minorHAnsi"/>
          <w:color w:val="212121"/>
          <w:sz w:val="22"/>
          <w:szCs w:val="22"/>
          <w:lang w:val="en-US" w:eastAsia="en-US"/>
        </w:rPr>
        <w:t>The article examines the recent reform of accounting, its objectives and problems of application in practice. The opinion of practitioners on this issue is stated. Arguments are brought against the use of the new accounting system.</w:t>
      </w:r>
    </w:p>
    <w:p w:rsidR="00EC1A78" w:rsidRPr="00EC1A78" w:rsidRDefault="00EC1A78" w:rsidP="00EC1A78">
      <w:pPr>
        <w:widowControl w:val="0"/>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КЛЮЧЕВЫЕ СЛОВА: бухгалтерский учет, казначейство, м</w:t>
      </w:r>
      <w:r w:rsidRPr="00EC1A78">
        <w:rPr>
          <w:rFonts w:eastAsiaTheme="minorHAnsi"/>
          <w:sz w:val="22"/>
          <w:szCs w:val="22"/>
          <w:lang w:eastAsia="en-US"/>
        </w:rPr>
        <w:t>у</w:t>
      </w:r>
      <w:r w:rsidRPr="00EC1A78">
        <w:rPr>
          <w:rFonts w:eastAsiaTheme="minorHAnsi"/>
          <w:sz w:val="22"/>
          <w:szCs w:val="22"/>
          <w:lang w:eastAsia="en-US"/>
        </w:rPr>
        <w:lastRenderedPageBreak/>
        <w:t>ниципальная бухгалтерия, школа, бухгалтер, управление.</w:t>
      </w:r>
      <w:r w:rsidRPr="00EC1A78">
        <w:rPr>
          <w:rFonts w:eastAsiaTheme="minorHAnsi"/>
          <w:b/>
          <w:sz w:val="22"/>
          <w:szCs w:val="22"/>
          <w:lang w:eastAsia="en-US"/>
        </w:rPr>
        <w:tab/>
      </w:r>
    </w:p>
    <w:p w:rsidR="00EC1A78" w:rsidRPr="00EC1A78" w:rsidRDefault="00EC1A78" w:rsidP="00EC1A78">
      <w:pPr>
        <w:ind w:firstLine="425"/>
        <w:jc w:val="both"/>
        <w:rPr>
          <w:sz w:val="22"/>
          <w:szCs w:val="22"/>
          <w:lang w:val="en-US"/>
        </w:rPr>
      </w:pPr>
      <w:r w:rsidRPr="00EC1A78">
        <w:rPr>
          <w:sz w:val="22"/>
          <w:szCs w:val="22"/>
          <w:lang w:val="en-US"/>
        </w:rPr>
        <w:t>KEYWORDS: accounting, treasury, municipal accounting, school, accountant, management.</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Согласно статье 162 Бюджетного кодекса Российской Федер</w:t>
      </w:r>
      <w:r w:rsidRPr="00EC1A78">
        <w:rPr>
          <w:rFonts w:eastAsiaTheme="minorHAnsi"/>
          <w:sz w:val="22"/>
          <w:szCs w:val="22"/>
          <w:lang w:eastAsia="en-US"/>
        </w:rPr>
        <w:t>а</w:t>
      </w:r>
      <w:r w:rsidRPr="00EC1A78">
        <w:rPr>
          <w:rFonts w:eastAsiaTheme="minorHAnsi"/>
          <w:sz w:val="22"/>
          <w:szCs w:val="22"/>
          <w:lang w:eastAsia="en-US"/>
        </w:rPr>
        <w:t>ции одним из полномочий получателя бюджетных средств (в нашем случае – МБОУ) является ведение бюджетного учета либо передача на основании соглашения этого полномочия иному государстве</w:t>
      </w:r>
      <w:r w:rsidRPr="00EC1A78">
        <w:rPr>
          <w:rFonts w:eastAsiaTheme="minorHAnsi"/>
          <w:sz w:val="22"/>
          <w:szCs w:val="22"/>
          <w:lang w:eastAsia="en-US"/>
        </w:rPr>
        <w:t>н</w:t>
      </w:r>
      <w:r w:rsidRPr="00EC1A78">
        <w:rPr>
          <w:rFonts w:eastAsiaTheme="minorHAnsi"/>
          <w:sz w:val="22"/>
          <w:szCs w:val="22"/>
          <w:lang w:eastAsia="en-US"/>
        </w:rPr>
        <w:t>ному (муниципальному) учреждению (централизованной бухгалт</w:t>
      </w:r>
      <w:r w:rsidRPr="00EC1A78">
        <w:rPr>
          <w:rFonts w:eastAsiaTheme="minorHAnsi"/>
          <w:sz w:val="22"/>
          <w:szCs w:val="22"/>
          <w:lang w:eastAsia="en-US"/>
        </w:rPr>
        <w:t>е</w:t>
      </w:r>
      <w:r w:rsidRPr="00EC1A78">
        <w:rPr>
          <w:rFonts w:eastAsiaTheme="minorHAnsi"/>
          <w:sz w:val="22"/>
          <w:szCs w:val="22"/>
          <w:lang w:eastAsia="en-US"/>
        </w:rPr>
        <w:t>рии).</w:t>
      </w:r>
      <w:r w:rsidRPr="00EC1A78">
        <w:rPr>
          <w:rFonts w:eastAsiaTheme="minorHAnsi"/>
          <w:sz w:val="22"/>
          <w:szCs w:val="22"/>
          <w:vertAlign w:val="superscript"/>
          <w:lang w:eastAsia="en-US"/>
        </w:rPr>
        <w:t>[1]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2016 году в районах Краснодарского края, где бухгалтерия муниципальных бюджетных общеобразовательных учреждений находилась непосредственно в школах, а не была централизова</w:t>
      </w:r>
      <w:r w:rsidRPr="00EC1A78">
        <w:rPr>
          <w:rFonts w:eastAsiaTheme="minorHAnsi"/>
          <w:sz w:val="22"/>
          <w:szCs w:val="22"/>
          <w:lang w:eastAsia="en-US"/>
        </w:rPr>
        <w:t>н</w:t>
      </w:r>
      <w:r w:rsidRPr="00EC1A78">
        <w:rPr>
          <w:rFonts w:eastAsiaTheme="minorHAnsi"/>
          <w:sz w:val="22"/>
          <w:szCs w:val="22"/>
          <w:lang w:eastAsia="en-US"/>
        </w:rPr>
        <w:t>ной, как, например, в Краснодаре, перешла под управление райо</w:t>
      </w:r>
      <w:r w:rsidRPr="00EC1A78">
        <w:rPr>
          <w:rFonts w:eastAsiaTheme="minorHAnsi"/>
          <w:sz w:val="22"/>
          <w:szCs w:val="22"/>
          <w:lang w:eastAsia="en-US"/>
        </w:rPr>
        <w:t>н</w:t>
      </w:r>
      <w:r w:rsidRPr="00EC1A78">
        <w:rPr>
          <w:rFonts w:eastAsiaTheme="minorHAnsi"/>
          <w:sz w:val="22"/>
          <w:szCs w:val="22"/>
          <w:lang w:eastAsia="en-US"/>
        </w:rPr>
        <w:t>ных казначейств, централизованных бухгалтерий.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центрах муниципальных образований стали создаваться межведомственные централизованные бухгалтерии, которые о</w:t>
      </w:r>
      <w:r w:rsidRPr="00EC1A78">
        <w:rPr>
          <w:rFonts w:eastAsiaTheme="minorHAnsi"/>
          <w:sz w:val="22"/>
          <w:szCs w:val="22"/>
          <w:lang w:eastAsia="en-US"/>
        </w:rPr>
        <w:t>б</w:t>
      </w:r>
      <w:r w:rsidRPr="00EC1A78">
        <w:rPr>
          <w:rFonts w:eastAsiaTheme="minorHAnsi"/>
          <w:sz w:val="22"/>
          <w:szCs w:val="22"/>
          <w:lang w:eastAsia="en-US"/>
        </w:rPr>
        <w:t>служивают все учреждения (или большинство) независимо от сф</w:t>
      </w:r>
      <w:r w:rsidRPr="00EC1A78">
        <w:rPr>
          <w:rFonts w:eastAsiaTheme="minorHAnsi"/>
          <w:sz w:val="22"/>
          <w:szCs w:val="22"/>
          <w:lang w:eastAsia="en-US"/>
        </w:rPr>
        <w:t>е</w:t>
      </w:r>
      <w:r w:rsidRPr="00EC1A78">
        <w:rPr>
          <w:rFonts w:eastAsiaTheme="minorHAnsi"/>
          <w:sz w:val="22"/>
          <w:szCs w:val="22"/>
          <w:lang w:eastAsia="en-US"/>
        </w:rPr>
        <w:t>ры их деятельности, выполняя функцию учетного центра. Подлеж</w:t>
      </w:r>
      <w:r w:rsidRPr="00EC1A78">
        <w:rPr>
          <w:rFonts w:eastAsiaTheme="minorHAnsi"/>
          <w:sz w:val="22"/>
          <w:szCs w:val="22"/>
          <w:lang w:eastAsia="en-US"/>
        </w:rPr>
        <w:t>а</w:t>
      </w:r>
      <w:r w:rsidRPr="00EC1A78">
        <w:rPr>
          <w:rFonts w:eastAsiaTheme="minorHAnsi"/>
          <w:sz w:val="22"/>
          <w:szCs w:val="22"/>
          <w:lang w:eastAsia="en-US"/>
        </w:rPr>
        <w:t>ли ликвидации существующие ведомственные централизованные бухгалтерии, бухгалтерские службы в администрации Муниципал</w:t>
      </w:r>
      <w:r w:rsidRPr="00EC1A78">
        <w:rPr>
          <w:rFonts w:eastAsiaTheme="minorHAnsi"/>
          <w:sz w:val="22"/>
          <w:szCs w:val="22"/>
          <w:lang w:eastAsia="en-US"/>
        </w:rPr>
        <w:t>ь</w:t>
      </w:r>
      <w:r w:rsidRPr="00EC1A78">
        <w:rPr>
          <w:rFonts w:eastAsiaTheme="minorHAnsi"/>
          <w:sz w:val="22"/>
          <w:szCs w:val="22"/>
          <w:lang w:eastAsia="en-US"/>
        </w:rPr>
        <w:t>ных образований, в бюджетных учреждениях.</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Данный шаг был обусловлен тем, что в последние годы выро</w:t>
      </w:r>
      <w:r w:rsidRPr="00EC1A78">
        <w:rPr>
          <w:rFonts w:eastAsiaTheme="minorHAnsi"/>
          <w:sz w:val="22"/>
          <w:szCs w:val="22"/>
          <w:lang w:eastAsia="en-US"/>
        </w:rPr>
        <w:t>с</w:t>
      </w:r>
      <w:r w:rsidRPr="00EC1A78">
        <w:rPr>
          <w:rFonts w:eastAsiaTheme="minorHAnsi"/>
          <w:sz w:val="22"/>
          <w:szCs w:val="22"/>
          <w:lang w:eastAsia="en-US"/>
        </w:rPr>
        <w:t>ла стоимость бухучета на местах, включающая в себя расходы на специальное программное обеспечение, заработную плату сотру</w:t>
      </w:r>
      <w:r w:rsidRPr="00EC1A78">
        <w:rPr>
          <w:rFonts w:eastAsiaTheme="minorHAnsi"/>
          <w:sz w:val="22"/>
          <w:szCs w:val="22"/>
          <w:lang w:eastAsia="en-US"/>
        </w:rPr>
        <w:t>д</w:t>
      </w:r>
      <w:r w:rsidRPr="00EC1A78">
        <w:rPr>
          <w:rFonts w:eastAsiaTheme="minorHAnsi"/>
          <w:sz w:val="22"/>
          <w:szCs w:val="22"/>
          <w:lang w:eastAsia="en-US"/>
        </w:rPr>
        <w:t>ников, а также плату за пользование справочно–правовых систем вроде Консультант, 1С и Гарант.</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Власти посчитали, что одним из возможных вариантов оптим</w:t>
      </w:r>
      <w:r w:rsidRPr="00EC1A78">
        <w:rPr>
          <w:rFonts w:eastAsiaTheme="minorHAnsi"/>
          <w:sz w:val="22"/>
          <w:szCs w:val="22"/>
          <w:lang w:eastAsia="en-US"/>
        </w:rPr>
        <w:t>и</w:t>
      </w:r>
      <w:r w:rsidRPr="00EC1A78">
        <w:rPr>
          <w:rFonts w:eastAsiaTheme="minorHAnsi"/>
          <w:sz w:val="22"/>
          <w:szCs w:val="22"/>
          <w:lang w:eastAsia="en-US"/>
        </w:rPr>
        <w:t>зации структуры бюджетных учреждений является передача фун</w:t>
      </w:r>
      <w:r w:rsidRPr="00EC1A78">
        <w:rPr>
          <w:rFonts w:eastAsiaTheme="minorHAnsi"/>
          <w:sz w:val="22"/>
          <w:szCs w:val="22"/>
          <w:lang w:eastAsia="en-US"/>
        </w:rPr>
        <w:t>к</w:t>
      </w:r>
      <w:r w:rsidRPr="00EC1A78">
        <w:rPr>
          <w:rFonts w:eastAsiaTheme="minorHAnsi"/>
          <w:sz w:val="22"/>
          <w:szCs w:val="22"/>
          <w:lang w:eastAsia="en-US"/>
        </w:rPr>
        <w:t xml:space="preserve">ций бухгалтерского учета централизованным бухгалтериям, однако, опираясь на отзывы практиков –руководителей учреждений, можно с уверенностью сказать, что подобный подход не только усложнил их работу, но и вернул процесс ведений бухгалтерии на 15 лет назад.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 же, одной из проблем, выделяемых властями, называлась нехватка квалифицированных кадров, но мало кто задумывался, что упразднение бухгалтерий в бюджетных учреждениях сделает оставшиеся кадры безработными. Следует задуматься о людях, к</w:t>
      </w:r>
      <w:r w:rsidRPr="00EC1A78">
        <w:rPr>
          <w:rFonts w:eastAsiaTheme="minorHAnsi"/>
          <w:sz w:val="22"/>
          <w:szCs w:val="22"/>
          <w:lang w:eastAsia="en-US"/>
        </w:rPr>
        <w:t>о</w:t>
      </w:r>
      <w:r w:rsidRPr="00EC1A78">
        <w:rPr>
          <w:rFonts w:eastAsiaTheme="minorHAnsi"/>
          <w:sz w:val="22"/>
          <w:szCs w:val="22"/>
          <w:lang w:eastAsia="en-US"/>
        </w:rPr>
        <w:lastRenderedPageBreak/>
        <w:t>торых сократили из–за данной реформы. Этим вопросом наиболее обеспокоены профсоюзы бухгалтеров. Так, например, в одном только Санкт–Петербурге работы лишились 500 человек.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Централизация объясняется тем, что имелась цель снизить ур</w:t>
      </w:r>
      <w:r w:rsidRPr="00EC1A78">
        <w:rPr>
          <w:rFonts w:eastAsiaTheme="minorHAnsi"/>
          <w:sz w:val="22"/>
          <w:szCs w:val="22"/>
          <w:lang w:eastAsia="en-US"/>
        </w:rPr>
        <w:t>о</w:t>
      </w:r>
      <w:r w:rsidRPr="00EC1A78">
        <w:rPr>
          <w:rFonts w:eastAsiaTheme="minorHAnsi"/>
          <w:sz w:val="22"/>
          <w:szCs w:val="22"/>
          <w:lang w:eastAsia="en-US"/>
        </w:rPr>
        <w:t>вень коррупции в учреждениях, однако, никто не гарантирует, что она не будет проявляться в централизованных бухгалтериях. Так, в городе Новороссийске в 2014 году главный бухгалтер управления образования была осуждена за хищение 500 000 рублей бюджетных средств. Преступница используя своё служебное положение изг</w:t>
      </w:r>
      <w:r w:rsidRPr="00EC1A78">
        <w:rPr>
          <w:rFonts w:eastAsiaTheme="minorHAnsi"/>
          <w:sz w:val="22"/>
          <w:szCs w:val="22"/>
          <w:lang w:eastAsia="en-US"/>
        </w:rPr>
        <w:t>о</w:t>
      </w:r>
      <w:r w:rsidRPr="00EC1A78">
        <w:rPr>
          <w:rFonts w:eastAsiaTheme="minorHAnsi"/>
          <w:sz w:val="22"/>
          <w:szCs w:val="22"/>
          <w:lang w:eastAsia="en-US"/>
        </w:rPr>
        <w:t>тавливала документы для начисления заработной платы на имена ранее уволенных работников, после чего денежные средства обн</w:t>
      </w:r>
      <w:r w:rsidRPr="00EC1A78">
        <w:rPr>
          <w:rFonts w:eastAsiaTheme="minorHAnsi"/>
          <w:sz w:val="22"/>
          <w:szCs w:val="22"/>
          <w:lang w:eastAsia="en-US"/>
        </w:rPr>
        <w:t>а</w:t>
      </w:r>
      <w:r w:rsidRPr="00EC1A78">
        <w:rPr>
          <w:rFonts w:eastAsiaTheme="minorHAnsi"/>
          <w:sz w:val="22"/>
          <w:szCs w:val="22"/>
          <w:lang w:eastAsia="en-US"/>
        </w:rPr>
        <w:t>личивались в банкоматах города.[3]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Без учета усложнения системы бухучета и дополнительной нагрузки на администрацию школ и казначейств муниципальных образований. В некоторых регионах на такую систему перешли не только МБОУ, но и дома творчества, спортивные школы, детские сады. Краснодарский край является одним из таких регионов.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Данная система явилась чем–то неизвестным для администр</w:t>
      </w:r>
      <w:r w:rsidRPr="00EC1A78">
        <w:rPr>
          <w:rFonts w:eastAsiaTheme="minorHAnsi"/>
          <w:sz w:val="22"/>
          <w:szCs w:val="22"/>
          <w:lang w:eastAsia="en-US"/>
        </w:rPr>
        <w:t>а</w:t>
      </w:r>
      <w:r w:rsidRPr="00EC1A78">
        <w:rPr>
          <w:rFonts w:eastAsiaTheme="minorHAnsi"/>
          <w:sz w:val="22"/>
          <w:szCs w:val="22"/>
          <w:lang w:eastAsia="en-US"/>
        </w:rPr>
        <w:t>цией школ, теперь обязанности бухгалтеров выполняют директора, которые в большинстве своем пришли на эту должность в после</w:t>
      </w:r>
      <w:r w:rsidRPr="00EC1A78">
        <w:rPr>
          <w:rFonts w:eastAsiaTheme="minorHAnsi"/>
          <w:sz w:val="22"/>
          <w:szCs w:val="22"/>
          <w:lang w:eastAsia="en-US"/>
        </w:rPr>
        <w:t>д</w:t>
      </w:r>
      <w:r w:rsidRPr="00EC1A78">
        <w:rPr>
          <w:rFonts w:eastAsiaTheme="minorHAnsi"/>
          <w:sz w:val="22"/>
          <w:szCs w:val="22"/>
          <w:lang w:eastAsia="en-US"/>
        </w:rPr>
        <w:t>ние 5 лет, а ведь бюджетная сфера в плане тонкостей расчетов явл</w:t>
      </w:r>
      <w:r w:rsidRPr="00EC1A78">
        <w:rPr>
          <w:rFonts w:eastAsiaTheme="minorHAnsi"/>
          <w:sz w:val="22"/>
          <w:szCs w:val="22"/>
          <w:lang w:eastAsia="en-US"/>
        </w:rPr>
        <w:t>я</w:t>
      </w:r>
      <w:r w:rsidRPr="00EC1A78">
        <w:rPr>
          <w:rFonts w:eastAsiaTheme="minorHAnsi"/>
          <w:sz w:val="22"/>
          <w:szCs w:val="22"/>
          <w:lang w:eastAsia="en-US"/>
        </w:rPr>
        <w:t>ется довольно сложной. Штат казначейств вряд ли сможет выпо</w:t>
      </w:r>
      <w:r w:rsidRPr="00EC1A78">
        <w:rPr>
          <w:rFonts w:eastAsiaTheme="minorHAnsi"/>
          <w:sz w:val="22"/>
          <w:szCs w:val="22"/>
          <w:lang w:eastAsia="en-US"/>
        </w:rPr>
        <w:t>л</w:t>
      </w:r>
      <w:r w:rsidRPr="00EC1A78">
        <w:rPr>
          <w:rFonts w:eastAsiaTheme="minorHAnsi"/>
          <w:sz w:val="22"/>
          <w:szCs w:val="22"/>
          <w:lang w:eastAsia="en-US"/>
        </w:rPr>
        <w:t>нить работу школьных бухгалтеров, к тому же, как указано выше, для этого требуются специальные умения, нарабатываемые годами.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Да, возможно, упразднение бухгалтерий в детских садах и школах сократит некоторые затраты, что вряд ли, но эти средства пойдут не на содержание указанных учреждений, а на содержание ЦМБ. Также, не стоит забывать, что уволенным работникам бухга</w:t>
      </w:r>
      <w:r w:rsidRPr="00EC1A78">
        <w:rPr>
          <w:rFonts w:eastAsiaTheme="minorHAnsi"/>
          <w:sz w:val="22"/>
          <w:szCs w:val="22"/>
          <w:lang w:eastAsia="en-US"/>
        </w:rPr>
        <w:t>л</w:t>
      </w:r>
      <w:r w:rsidRPr="00EC1A78">
        <w:rPr>
          <w:rFonts w:eastAsiaTheme="minorHAnsi"/>
          <w:sz w:val="22"/>
          <w:szCs w:val="22"/>
          <w:lang w:eastAsia="en-US"/>
        </w:rPr>
        <w:t>терий придется выплачивать пособия по увольнению без бюджета, что является существенной затратой, отталкиваясь от заработной платы по отношению к другим работников. В масштабах крупного города цифра выплачиваемых пособий будет ощутима для бюджета.</w:t>
      </w:r>
    </w:p>
    <w:p w:rsidR="00EC1A78" w:rsidRDefault="00EC1A78" w:rsidP="00163DEF">
      <w:pPr>
        <w:ind w:firstLine="425"/>
        <w:jc w:val="both"/>
        <w:rPr>
          <w:rFonts w:eastAsiaTheme="minorHAnsi"/>
          <w:sz w:val="22"/>
          <w:szCs w:val="22"/>
          <w:lang w:eastAsia="en-US"/>
        </w:rPr>
      </w:pPr>
      <w:r w:rsidRPr="00EC1A78">
        <w:rPr>
          <w:rFonts w:eastAsiaTheme="minorHAnsi"/>
          <w:sz w:val="22"/>
          <w:szCs w:val="22"/>
          <w:lang w:eastAsia="en-US"/>
        </w:rPr>
        <w:t>Таким образом, приходим к выводу, что оптимизация пока не достигла своих целей и вряд ли достигнет. Практика показывает, что ведение бухучета усложнилось, затраты на него увеличились, а система вернулась на 10–15 лет назад.</w:t>
      </w:r>
    </w:p>
    <w:p w:rsidR="00163DEF" w:rsidRDefault="00163DEF" w:rsidP="00163DEF">
      <w:pPr>
        <w:ind w:firstLine="425"/>
        <w:jc w:val="both"/>
        <w:rPr>
          <w:rFonts w:eastAsiaTheme="minorHAnsi"/>
          <w:sz w:val="22"/>
          <w:szCs w:val="22"/>
          <w:lang w:eastAsia="en-US"/>
        </w:rPr>
      </w:pPr>
    </w:p>
    <w:p w:rsidR="00163DEF" w:rsidRPr="00EC1A78" w:rsidRDefault="00163DEF" w:rsidP="00163DEF">
      <w:pPr>
        <w:ind w:firstLine="425"/>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lastRenderedPageBreak/>
        <w:t>Список литературы</w:t>
      </w:r>
    </w:p>
    <w:p w:rsidR="00EC1A78" w:rsidRPr="00E62E4B" w:rsidRDefault="00EC1A78" w:rsidP="00EC1A78">
      <w:pPr>
        <w:ind w:firstLine="425"/>
        <w:jc w:val="both"/>
        <w:rPr>
          <w:sz w:val="22"/>
          <w:szCs w:val="22"/>
        </w:rPr>
      </w:pPr>
      <w:r w:rsidRPr="00EC1A78">
        <w:rPr>
          <w:sz w:val="22"/>
          <w:szCs w:val="22"/>
        </w:rPr>
        <w:t xml:space="preserve">1. Ответ: передача ведения бухучета // bujet.ru. URL: </w:t>
      </w:r>
      <w:hyperlink r:id="rId398" w:history="1">
        <w:r w:rsidRPr="00E62E4B">
          <w:rPr>
            <w:sz w:val="22"/>
            <w:szCs w:val="22"/>
          </w:rPr>
          <w:t>http://bujet.ru/answers/89420/</w:t>
        </w:r>
      </w:hyperlink>
    </w:p>
    <w:p w:rsidR="00EC1A78" w:rsidRPr="00EC1A78" w:rsidRDefault="00EC1A78" w:rsidP="00EC1A78">
      <w:pPr>
        <w:ind w:firstLine="425"/>
        <w:jc w:val="both"/>
        <w:rPr>
          <w:sz w:val="22"/>
          <w:szCs w:val="22"/>
        </w:rPr>
      </w:pPr>
      <w:r w:rsidRPr="00EC1A78">
        <w:rPr>
          <w:sz w:val="22"/>
          <w:szCs w:val="22"/>
        </w:rPr>
        <w:t>2. Тысячи школьных бухгалтеров останутся без работы // fontanka.ru. URL: http://www.fontanka.ru/2016/02/03/209/</w:t>
      </w:r>
    </w:p>
    <w:p w:rsidR="00EC1A78" w:rsidRPr="00EC1A78" w:rsidRDefault="00EC1A78" w:rsidP="00EC1A78">
      <w:pPr>
        <w:ind w:firstLine="425"/>
        <w:jc w:val="both"/>
        <w:rPr>
          <w:sz w:val="22"/>
          <w:szCs w:val="22"/>
        </w:rPr>
      </w:pPr>
      <w:r w:rsidRPr="00EC1A78">
        <w:rPr>
          <w:sz w:val="22"/>
          <w:szCs w:val="22"/>
        </w:rPr>
        <w:t>3. Бухгалтер Управления образования города Новороссийска пойдет под суд // novorossportal.ru. URL: http://novorossportal.ru/news/buhgalter–upravleniya–obrazovaniya–goroda–novorossiyska–poydet–pod–sud/</w:t>
      </w:r>
    </w:p>
    <w:p w:rsidR="00EC1A78" w:rsidRDefault="00EC1A78" w:rsidP="00EC1A78">
      <w:pPr>
        <w:jc w:val="both"/>
        <w:rPr>
          <w:rFonts w:eastAsiaTheme="minorHAnsi"/>
          <w:sz w:val="22"/>
          <w:szCs w:val="22"/>
          <w:lang w:eastAsia="en-US"/>
        </w:rPr>
      </w:pPr>
    </w:p>
    <w:p w:rsidR="00E62E4B" w:rsidRDefault="00E62E4B" w:rsidP="00EC1A78">
      <w:pPr>
        <w:jc w:val="both"/>
        <w:rPr>
          <w:rFonts w:eastAsiaTheme="minorHAnsi"/>
          <w:sz w:val="22"/>
          <w:szCs w:val="22"/>
          <w:lang w:eastAsia="en-US"/>
        </w:rPr>
      </w:pPr>
    </w:p>
    <w:p w:rsidR="005012A5" w:rsidRPr="00EC1A78" w:rsidRDefault="005012A5" w:rsidP="00EC1A78">
      <w:pPr>
        <w:jc w:val="both"/>
        <w:rPr>
          <w:rFonts w:eastAsiaTheme="minorHAnsi"/>
          <w:sz w:val="22"/>
          <w:szCs w:val="22"/>
          <w:lang w:eastAsia="en-US"/>
        </w:rPr>
      </w:pPr>
    </w:p>
    <w:p w:rsidR="00EC1A78" w:rsidRPr="00EC1A78" w:rsidRDefault="00EC1A78" w:rsidP="00EC1A78">
      <w:pPr>
        <w:widowControl w:val="0"/>
        <w:suppressAutoHyphens/>
        <w:autoSpaceDN w:val="0"/>
        <w:jc w:val="both"/>
        <w:textAlignment w:val="baseline"/>
        <w:rPr>
          <w:rFonts w:eastAsia="SimSun"/>
          <w:kern w:val="3"/>
          <w:sz w:val="22"/>
          <w:szCs w:val="22"/>
        </w:rPr>
      </w:pPr>
      <w:r w:rsidRPr="00EC1A78">
        <w:rPr>
          <w:rFonts w:eastAsia="SimSun"/>
          <w:kern w:val="3"/>
          <w:sz w:val="22"/>
          <w:szCs w:val="22"/>
        </w:rPr>
        <w:t xml:space="preserve">УДК 343.3 </w:t>
      </w:r>
    </w:p>
    <w:p w:rsidR="00EC1A78" w:rsidRPr="00EC1A78" w:rsidRDefault="00EC1A78" w:rsidP="00EC1A78">
      <w:pPr>
        <w:widowControl w:val="0"/>
        <w:suppressAutoHyphens/>
        <w:autoSpaceDN w:val="0"/>
        <w:ind w:firstLine="425"/>
        <w:jc w:val="center"/>
        <w:textAlignment w:val="baseline"/>
        <w:rPr>
          <w:rFonts w:eastAsia="SimSun"/>
          <w:b/>
          <w:kern w:val="3"/>
          <w:sz w:val="24"/>
          <w:szCs w:val="22"/>
        </w:rPr>
      </w:pPr>
      <w:r w:rsidRPr="00EC1A78">
        <w:rPr>
          <w:rFonts w:eastAsia="SimSun"/>
          <w:b/>
          <w:kern w:val="3"/>
          <w:sz w:val="24"/>
          <w:szCs w:val="22"/>
        </w:rPr>
        <w:t>Исторический аспект развития понятия терроризм</w:t>
      </w:r>
    </w:p>
    <w:p w:rsidR="00EC1A78" w:rsidRPr="00EC1A78" w:rsidRDefault="00EC1A78" w:rsidP="00EC1A78">
      <w:pPr>
        <w:widowControl w:val="0"/>
        <w:suppressAutoHyphens/>
        <w:autoSpaceDN w:val="0"/>
        <w:ind w:firstLine="425"/>
        <w:jc w:val="center"/>
        <w:textAlignment w:val="baseline"/>
        <w:rPr>
          <w:rFonts w:eastAsia="SimSun"/>
          <w:kern w:val="3"/>
          <w:sz w:val="22"/>
          <w:szCs w:val="22"/>
          <w:lang w:val="en-US"/>
        </w:rPr>
      </w:pPr>
      <w:r w:rsidRPr="00EC1A78">
        <w:rPr>
          <w:rFonts w:eastAsia="SimSun"/>
          <w:b/>
          <w:kern w:val="3"/>
          <w:sz w:val="24"/>
          <w:szCs w:val="22"/>
          <w:lang w:val="en-US"/>
        </w:rPr>
        <w:t>The historical aspect of the concept of terrorism</w:t>
      </w:r>
    </w:p>
    <w:p w:rsidR="00EC1A78" w:rsidRPr="00EC1A78" w:rsidRDefault="00EC1A78" w:rsidP="00EC1A78">
      <w:pPr>
        <w:widowControl w:val="0"/>
        <w:suppressAutoHyphens/>
        <w:autoSpaceDN w:val="0"/>
        <w:ind w:firstLine="425"/>
        <w:jc w:val="center"/>
        <w:textAlignment w:val="baseline"/>
        <w:rPr>
          <w:rFonts w:eastAsia="SimSun"/>
          <w:b/>
          <w:kern w:val="3"/>
          <w:sz w:val="22"/>
          <w:szCs w:val="22"/>
          <w:lang w:val="en-US"/>
        </w:rPr>
      </w:pPr>
    </w:p>
    <w:p w:rsidR="00EC1A78" w:rsidRPr="00EC1A78" w:rsidRDefault="00EC1A78" w:rsidP="00EC1A78">
      <w:pPr>
        <w:widowControl w:val="0"/>
        <w:suppressAutoHyphens/>
        <w:autoSpaceDN w:val="0"/>
        <w:ind w:firstLine="425"/>
        <w:jc w:val="right"/>
        <w:textAlignment w:val="baseline"/>
        <w:rPr>
          <w:rFonts w:eastAsia="SimSun"/>
          <w:kern w:val="3"/>
          <w:sz w:val="22"/>
          <w:szCs w:val="22"/>
        </w:rPr>
      </w:pPr>
      <w:r w:rsidRPr="00EC1A78">
        <w:rPr>
          <w:rFonts w:eastAsia="SimSun"/>
          <w:kern w:val="3"/>
          <w:sz w:val="22"/>
          <w:szCs w:val="22"/>
        </w:rPr>
        <w:t>Панасенко В.</w:t>
      </w:r>
      <w:r w:rsidR="00E62E4B">
        <w:rPr>
          <w:rFonts w:eastAsia="SimSun"/>
          <w:kern w:val="3"/>
          <w:sz w:val="22"/>
          <w:szCs w:val="22"/>
        </w:rPr>
        <w:t xml:space="preserve"> </w:t>
      </w:r>
      <w:r w:rsidRPr="00EC1A78">
        <w:rPr>
          <w:rFonts w:eastAsia="SimSun"/>
          <w:kern w:val="3"/>
          <w:sz w:val="22"/>
          <w:szCs w:val="22"/>
        </w:rPr>
        <w:t>С.,</w:t>
      </w:r>
    </w:p>
    <w:p w:rsidR="00EC1A78" w:rsidRPr="00EC1A78" w:rsidRDefault="00EC1A78" w:rsidP="00EC1A78">
      <w:pPr>
        <w:suppressAutoHyphens/>
        <w:autoSpaceDN w:val="0"/>
        <w:ind w:firstLine="425"/>
        <w:jc w:val="right"/>
        <w:textAlignment w:val="baseline"/>
        <w:rPr>
          <w:rFonts w:eastAsia="SimSun"/>
          <w:kern w:val="3"/>
          <w:sz w:val="22"/>
          <w:szCs w:val="22"/>
        </w:rPr>
      </w:pPr>
      <w:r w:rsidRPr="00EC1A78">
        <w:rPr>
          <w:rFonts w:eastAsia="SimSun"/>
          <w:kern w:val="3"/>
          <w:sz w:val="22"/>
          <w:szCs w:val="22"/>
        </w:rPr>
        <w:t xml:space="preserve">студент 4–го курса юридического факультета </w:t>
      </w:r>
    </w:p>
    <w:p w:rsidR="00EC1A78" w:rsidRPr="00EC1A78" w:rsidRDefault="00EC1A78" w:rsidP="00EC1A78">
      <w:pPr>
        <w:suppressAutoHyphens/>
        <w:autoSpaceDN w:val="0"/>
        <w:ind w:firstLine="425"/>
        <w:jc w:val="right"/>
        <w:textAlignment w:val="baseline"/>
        <w:rPr>
          <w:rFonts w:eastAsia="SimSun"/>
          <w:kern w:val="3"/>
          <w:sz w:val="22"/>
          <w:szCs w:val="22"/>
        </w:rPr>
      </w:pPr>
      <w:r w:rsidRPr="00EC1A78">
        <w:rPr>
          <w:rFonts w:eastAsia="SimSun"/>
          <w:kern w:val="3"/>
          <w:sz w:val="22"/>
          <w:szCs w:val="22"/>
        </w:rPr>
        <w:t>Картавченко В.</w:t>
      </w:r>
      <w:r w:rsidR="00E62E4B">
        <w:rPr>
          <w:rFonts w:eastAsia="SimSun"/>
          <w:kern w:val="3"/>
          <w:sz w:val="22"/>
          <w:szCs w:val="22"/>
        </w:rPr>
        <w:t xml:space="preserve"> </w:t>
      </w:r>
      <w:r w:rsidRPr="00EC1A78">
        <w:rPr>
          <w:rFonts w:eastAsia="SimSun"/>
          <w:kern w:val="3"/>
          <w:sz w:val="22"/>
          <w:szCs w:val="22"/>
        </w:rPr>
        <w:t>В.,</w:t>
      </w:r>
    </w:p>
    <w:p w:rsidR="00EC1A78" w:rsidRPr="00EC1A78" w:rsidRDefault="00EC1A78" w:rsidP="00EC1A78">
      <w:pPr>
        <w:suppressAutoHyphens/>
        <w:autoSpaceDN w:val="0"/>
        <w:ind w:firstLine="425"/>
        <w:jc w:val="right"/>
        <w:textAlignment w:val="baseline"/>
        <w:rPr>
          <w:rFonts w:eastAsia="SimSun"/>
          <w:kern w:val="3"/>
          <w:sz w:val="22"/>
          <w:szCs w:val="22"/>
        </w:rPr>
      </w:pPr>
      <w:r w:rsidRPr="00EC1A78">
        <w:rPr>
          <w:rFonts w:eastAsia="SimSun"/>
          <w:kern w:val="3"/>
          <w:sz w:val="22"/>
          <w:szCs w:val="22"/>
        </w:rPr>
        <w:t>доцент кафедры уголовного права</w:t>
      </w:r>
    </w:p>
    <w:p w:rsidR="00EC1A78" w:rsidRPr="00EC1A78" w:rsidRDefault="00EC1A78" w:rsidP="00EC1A78">
      <w:pPr>
        <w:widowControl w:val="0"/>
        <w:suppressAutoHyphens/>
        <w:autoSpaceDN w:val="0"/>
        <w:ind w:firstLine="425"/>
        <w:jc w:val="right"/>
        <w:textAlignment w:val="baseline"/>
        <w:rPr>
          <w:rFonts w:eastAsia="SimSun"/>
          <w:kern w:val="3"/>
          <w:sz w:val="22"/>
          <w:szCs w:val="22"/>
        </w:rPr>
      </w:pPr>
      <w:r w:rsidRPr="00EC1A78">
        <w:rPr>
          <w:rFonts w:eastAsia="SimSun"/>
          <w:kern w:val="3"/>
          <w:sz w:val="22"/>
          <w:szCs w:val="22"/>
        </w:rPr>
        <w:t xml:space="preserve">Кубанский государственный аграрный </w:t>
      </w:r>
    </w:p>
    <w:p w:rsidR="00EC1A78" w:rsidRPr="00EC1A78" w:rsidRDefault="00EC1A78" w:rsidP="00EC1A78">
      <w:pPr>
        <w:widowControl w:val="0"/>
        <w:suppressAutoHyphens/>
        <w:autoSpaceDN w:val="0"/>
        <w:ind w:firstLine="425"/>
        <w:jc w:val="right"/>
        <w:textAlignment w:val="baseline"/>
        <w:rPr>
          <w:rFonts w:eastAsia="SimSun"/>
          <w:kern w:val="3"/>
          <w:sz w:val="22"/>
          <w:szCs w:val="22"/>
        </w:rPr>
      </w:pPr>
      <w:r w:rsidRPr="00EC1A78">
        <w:rPr>
          <w:rFonts w:eastAsia="SimSun"/>
          <w:kern w:val="3"/>
          <w:sz w:val="22"/>
          <w:szCs w:val="22"/>
        </w:rPr>
        <w:t>университет имени И.</w:t>
      </w:r>
      <w:r w:rsidR="00E62E4B">
        <w:rPr>
          <w:rFonts w:eastAsia="SimSun"/>
          <w:kern w:val="3"/>
          <w:sz w:val="22"/>
          <w:szCs w:val="22"/>
        </w:rPr>
        <w:t xml:space="preserve"> </w:t>
      </w:r>
      <w:r w:rsidRPr="00EC1A78">
        <w:rPr>
          <w:rFonts w:eastAsia="SimSun"/>
          <w:kern w:val="3"/>
          <w:sz w:val="22"/>
          <w:szCs w:val="22"/>
        </w:rPr>
        <w:t>Т. Трубилина</w:t>
      </w:r>
    </w:p>
    <w:p w:rsidR="00EC1A78" w:rsidRPr="00EC1A78" w:rsidRDefault="00EC1A78" w:rsidP="00EC1A78">
      <w:pPr>
        <w:widowControl w:val="0"/>
        <w:suppressAutoHyphens/>
        <w:autoSpaceDN w:val="0"/>
        <w:ind w:firstLine="425"/>
        <w:jc w:val="right"/>
        <w:textAlignment w:val="baseline"/>
        <w:rPr>
          <w:rFonts w:eastAsia="SimSun"/>
          <w:kern w:val="3"/>
          <w:sz w:val="22"/>
          <w:szCs w:val="22"/>
        </w:rPr>
      </w:pP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АННОТАЦИЯ: Изучено многообразие подходов к пониманию понятия терроризм. Рассмотрены основные понятия, которые используются при изучении террористических преступлений. Дана оценка данным понятиям.</w:t>
      </w:r>
    </w:p>
    <w:p w:rsidR="00EC1A78" w:rsidRPr="00EC1A78" w:rsidRDefault="00EC1A78" w:rsidP="00EC1A78">
      <w:pPr>
        <w:widowControl w:val="0"/>
        <w:suppressAutoHyphens/>
        <w:autoSpaceDN w:val="0"/>
        <w:ind w:firstLine="425"/>
        <w:jc w:val="both"/>
        <w:textAlignment w:val="baseline"/>
        <w:rPr>
          <w:rFonts w:eastAsia="SimSun"/>
          <w:kern w:val="3"/>
          <w:sz w:val="22"/>
          <w:szCs w:val="22"/>
          <w:lang w:val="en-US"/>
        </w:rPr>
      </w:pPr>
      <w:r w:rsidRPr="00EC1A78">
        <w:rPr>
          <w:rFonts w:eastAsia="SimSun"/>
          <w:kern w:val="3"/>
          <w:sz w:val="22"/>
          <w:szCs w:val="22"/>
          <w:lang w:val="en-US"/>
        </w:rPr>
        <w:t>ABSTRACT: The diversity of ways of concept terrorism was studied. Basic meanings which are used to learn terroristic crime were considered. The evaluation of these notions was given.</w:t>
      </w:r>
    </w:p>
    <w:p w:rsidR="00EC1A78" w:rsidRPr="00EC1A78" w:rsidRDefault="00EC1A78" w:rsidP="00EC1A78">
      <w:pPr>
        <w:widowControl w:val="0"/>
        <w:suppressAutoHyphens/>
        <w:autoSpaceDN w:val="0"/>
        <w:ind w:firstLine="425"/>
        <w:jc w:val="both"/>
        <w:textAlignment w:val="baseline"/>
        <w:rPr>
          <w:rFonts w:eastAsia="SimSun"/>
          <w:kern w:val="3"/>
          <w:sz w:val="22"/>
          <w:szCs w:val="22"/>
          <w:lang w:val="en-US"/>
        </w:rPr>
      </w:pPr>
      <w:r w:rsidRPr="00EC1A78">
        <w:rPr>
          <w:rFonts w:eastAsia="SimSun"/>
          <w:kern w:val="3"/>
          <w:sz w:val="22"/>
          <w:szCs w:val="22"/>
        </w:rPr>
        <w:t>КЛЮЧЕВЫЕ</w:t>
      </w:r>
      <w:r w:rsidRPr="00EC1A78">
        <w:rPr>
          <w:rFonts w:eastAsia="SimSun"/>
          <w:kern w:val="3"/>
          <w:sz w:val="22"/>
          <w:szCs w:val="22"/>
          <w:lang w:val="en-US"/>
        </w:rPr>
        <w:t xml:space="preserve"> </w:t>
      </w:r>
      <w:r w:rsidRPr="00EC1A78">
        <w:rPr>
          <w:rFonts w:eastAsia="SimSun"/>
          <w:kern w:val="3"/>
          <w:sz w:val="22"/>
          <w:szCs w:val="22"/>
        </w:rPr>
        <w:t>СЛОВА</w:t>
      </w:r>
      <w:r w:rsidRPr="00EC1A78">
        <w:rPr>
          <w:rFonts w:eastAsia="SimSun"/>
          <w:kern w:val="3"/>
          <w:sz w:val="22"/>
          <w:szCs w:val="22"/>
          <w:lang w:val="en-US"/>
        </w:rPr>
        <w:t xml:space="preserve">: </w:t>
      </w:r>
      <w:r w:rsidRPr="00EC1A78">
        <w:rPr>
          <w:rFonts w:eastAsia="SimSun"/>
          <w:kern w:val="3"/>
          <w:sz w:val="22"/>
          <w:szCs w:val="22"/>
        </w:rPr>
        <w:t>терроризм</w:t>
      </w:r>
      <w:r w:rsidRPr="00EC1A78">
        <w:rPr>
          <w:rFonts w:eastAsia="SimSun"/>
          <w:kern w:val="3"/>
          <w:sz w:val="22"/>
          <w:szCs w:val="22"/>
          <w:lang w:val="en-US"/>
        </w:rPr>
        <w:t xml:space="preserve">, </w:t>
      </w:r>
      <w:r w:rsidRPr="00EC1A78">
        <w:rPr>
          <w:rFonts w:eastAsia="SimSun"/>
          <w:kern w:val="3"/>
          <w:sz w:val="22"/>
          <w:szCs w:val="22"/>
        </w:rPr>
        <w:t>террористический</w:t>
      </w:r>
      <w:r w:rsidRPr="00EC1A78">
        <w:rPr>
          <w:rFonts w:eastAsia="SimSun"/>
          <w:kern w:val="3"/>
          <w:sz w:val="22"/>
          <w:szCs w:val="22"/>
          <w:lang w:val="en-US"/>
        </w:rPr>
        <w:t xml:space="preserve"> </w:t>
      </w:r>
      <w:r w:rsidRPr="00EC1A78">
        <w:rPr>
          <w:rFonts w:eastAsia="SimSun"/>
          <w:kern w:val="3"/>
          <w:sz w:val="22"/>
          <w:szCs w:val="22"/>
        </w:rPr>
        <w:t>акт</w:t>
      </w:r>
      <w:r w:rsidRPr="00EC1A78">
        <w:rPr>
          <w:rFonts w:eastAsia="SimSun"/>
          <w:kern w:val="3"/>
          <w:sz w:val="22"/>
          <w:szCs w:val="22"/>
          <w:lang w:val="en-US"/>
        </w:rPr>
        <w:t xml:space="preserve">, </w:t>
      </w:r>
      <w:r w:rsidRPr="00EC1A78">
        <w:rPr>
          <w:rFonts w:eastAsia="SimSun"/>
          <w:kern w:val="3"/>
          <w:sz w:val="22"/>
          <w:szCs w:val="22"/>
        </w:rPr>
        <w:t>террор</w:t>
      </w:r>
      <w:r w:rsidRPr="00EC1A78">
        <w:rPr>
          <w:rFonts w:eastAsia="SimSun"/>
          <w:kern w:val="3"/>
          <w:sz w:val="22"/>
          <w:szCs w:val="22"/>
          <w:lang w:val="en-US"/>
        </w:rPr>
        <w:t>.</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lang w:val="en-US"/>
        </w:rPr>
        <w:t>KEYWORDS</w:t>
      </w:r>
      <w:r w:rsidRPr="00EC1A78">
        <w:rPr>
          <w:rFonts w:eastAsia="SimSun"/>
          <w:kern w:val="3"/>
          <w:sz w:val="22"/>
          <w:szCs w:val="22"/>
        </w:rPr>
        <w:t xml:space="preserve">: </w:t>
      </w:r>
      <w:r w:rsidRPr="00EC1A78">
        <w:rPr>
          <w:rFonts w:eastAsia="SimSun"/>
          <w:kern w:val="3"/>
          <w:sz w:val="22"/>
          <w:szCs w:val="22"/>
          <w:lang w:val="en-US"/>
        </w:rPr>
        <w:t>terrorism</w:t>
      </w:r>
      <w:r w:rsidRPr="00EC1A78">
        <w:rPr>
          <w:rFonts w:eastAsia="SimSun"/>
          <w:kern w:val="3"/>
          <w:sz w:val="22"/>
          <w:szCs w:val="22"/>
        </w:rPr>
        <w:t xml:space="preserve">, </w:t>
      </w:r>
      <w:r w:rsidRPr="00EC1A78">
        <w:rPr>
          <w:rFonts w:eastAsia="SimSun"/>
          <w:kern w:val="3"/>
          <w:sz w:val="22"/>
          <w:szCs w:val="22"/>
          <w:lang w:val="en-US"/>
        </w:rPr>
        <w:t>terrorist</w:t>
      </w:r>
      <w:r w:rsidRPr="00EC1A78">
        <w:rPr>
          <w:rFonts w:eastAsia="SimSun"/>
          <w:kern w:val="3"/>
          <w:sz w:val="22"/>
          <w:szCs w:val="22"/>
        </w:rPr>
        <w:t xml:space="preserve"> </w:t>
      </w:r>
      <w:r w:rsidRPr="00EC1A78">
        <w:rPr>
          <w:rFonts w:eastAsia="SimSun"/>
          <w:kern w:val="3"/>
          <w:sz w:val="22"/>
          <w:szCs w:val="22"/>
          <w:lang w:val="en-US"/>
        </w:rPr>
        <w:t>act</w:t>
      </w:r>
      <w:r w:rsidRPr="00EC1A78">
        <w:rPr>
          <w:rFonts w:eastAsia="SimSun"/>
          <w:kern w:val="3"/>
          <w:sz w:val="22"/>
          <w:szCs w:val="22"/>
        </w:rPr>
        <w:t xml:space="preserve">, </w:t>
      </w:r>
      <w:r w:rsidRPr="00EC1A78">
        <w:rPr>
          <w:rFonts w:eastAsia="SimSun"/>
          <w:kern w:val="3"/>
          <w:sz w:val="22"/>
          <w:szCs w:val="22"/>
          <w:lang w:val="en-US"/>
        </w:rPr>
        <w:t>terror</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 xml:space="preserve">Сегодня все мировое сообщество согласно с признанием терроризма – важнейшей угрозой современного миропорядка. Ведь деятельность современных варваров действительно угрожает всем сферам жизни общества. </w:t>
      </w:r>
      <w:r w:rsidRPr="00EC1A78">
        <w:rPr>
          <w:rFonts w:eastAsia="SimSun"/>
          <w:color w:val="000000"/>
          <w:kern w:val="3"/>
          <w:sz w:val="22"/>
          <w:szCs w:val="22"/>
        </w:rPr>
        <w:t xml:space="preserve">Вследствие этого возникает необходимость </w:t>
      </w:r>
      <w:r w:rsidRPr="00EC1A78">
        <w:rPr>
          <w:rFonts w:eastAsia="SimSun"/>
          <w:color w:val="000000"/>
          <w:kern w:val="3"/>
          <w:sz w:val="22"/>
          <w:szCs w:val="22"/>
        </w:rPr>
        <w:lastRenderedPageBreak/>
        <w:t>исследовать терроризм как социально–политическое явление, а для этого необходимо разобраться в системе терминов, употребляемых по отношению к происходящим событиям.</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Для исследования данного вопроса необходимо рассмотреть этимологию слова «терроризм». Впервые данный термин встречается в литературных произведениях древнего Рима и носит скорее эмоциональное восклицание, обозначающее современное понятие «страх» или «ужас». В дальнейшем «терроризм» трансформируется в определение деятельности направленной на убийство персоналия или использования жестких политических методов, однако не носит в себе отрицательное значение, а скорее «террорист» олицетворяет борца за свободу против угнетения. И только в середине 19 века слово терроризм приобретает то фундаментальное значение, которое используется по сей день.</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 xml:space="preserve">Даль В.И определяет терроризм как: «устрашивание, устрашение смертными казнями, убийствами и всеми ужасами неистовства». </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color w:val="000000"/>
          <w:kern w:val="3"/>
          <w:sz w:val="22"/>
          <w:szCs w:val="22"/>
        </w:rPr>
        <w:t xml:space="preserve">Чудинов А.Н определяет  как: «Политики, стремящиеся к достижению цели, устрашением всякими ужасами, введением </w:t>
      </w:r>
      <w:proofErr w:type="gramStart"/>
      <w:r w:rsidRPr="00EC1A78">
        <w:rPr>
          <w:rFonts w:eastAsia="SimSun"/>
          <w:color w:val="000000"/>
          <w:kern w:val="3"/>
          <w:sz w:val="22"/>
          <w:szCs w:val="22"/>
        </w:rPr>
        <w:t>жестоких</w:t>
      </w:r>
      <w:proofErr w:type="gramEnd"/>
      <w:r w:rsidRPr="00EC1A78">
        <w:rPr>
          <w:rFonts w:eastAsia="SimSun"/>
          <w:color w:val="000000"/>
          <w:kern w:val="3"/>
          <w:sz w:val="22"/>
          <w:szCs w:val="22"/>
        </w:rPr>
        <w:t xml:space="preserve"> указанений и прочее». </w:t>
      </w:r>
      <w:r w:rsidRPr="00EC1A78">
        <w:rPr>
          <w:rFonts w:eastAsia="Arial CYR"/>
          <w:color w:val="000000"/>
          <w:kern w:val="3"/>
          <w:sz w:val="22"/>
          <w:szCs w:val="22"/>
        </w:rPr>
        <w:t>В словаре Ожегова С.И. дается такое токование террору – Устрашение своих политических противников, выражающееся в физическом насилии, вплоть до уничтожения</w:t>
      </w:r>
      <w:r w:rsidRPr="00EC1A78">
        <w:rPr>
          <w:rFonts w:eastAsia="SimSun"/>
          <w:color w:val="2C2B2B"/>
          <w:kern w:val="3"/>
          <w:sz w:val="22"/>
          <w:szCs w:val="22"/>
          <w:shd w:val="clear" w:color="auto" w:fill="FFFFFF"/>
        </w:rPr>
        <w:t>.</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color w:val="000000"/>
          <w:kern w:val="3"/>
          <w:sz w:val="22"/>
          <w:szCs w:val="22"/>
        </w:rPr>
        <w:t xml:space="preserve">Сухарева А.Я. и Крутских В.Е. определяют  </w:t>
      </w:r>
      <w:r w:rsidRPr="00EC1A78">
        <w:rPr>
          <w:rFonts w:eastAsia="SimSun"/>
          <w:kern w:val="3"/>
          <w:sz w:val="22"/>
          <w:szCs w:val="22"/>
        </w:rPr>
        <w:t>термин «терроризм» в трех значениях: а) в широком смысле – как политика и практика террора, вид насильственной преступности; б) в законодательстве РФ – диспозиция статьи 205 УК РФ; в) в уголовном праве РФ – как преступление против общественной безопасности, предусмотренное уголовным законодательством.</w:t>
      </w:r>
    </w:p>
    <w:p w:rsidR="00EC1A78" w:rsidRPr="00EC1A78" w:rsidRDefault="00EC1A78" w:rsidP="005012A5">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Таким образом, терроризм — вид насильственной деятельности, направленной на возникновение паники в обществе с целью достижения своих политических целей — разрушения основ государственного строя.</w:t>
      </w:r>
      <w:r w:rsidR="005012A5">
        <w:rPr>
          <w:rFonts w:eastAsia="SimSun"/>
          <w:kern w:val="3"/>
          <w:sz w:val="22"/>
          <w:szCs w:val="22"/>
        </w:rPr>
        <w:t xml:space="preserve"> </w:t>
      </w:r>
      <w:r w:rsidRPr="00EC1A78">
        <w:rPr>
          <w:rFonts w:eastAsia="SimSun"/>
          <w:kern w:val="3"/>
          <w:sz w:val="22"/>
          <w:szCs w:val="22"/>
        </w:rPr>
        <w:t xml:space="preserve">Наиболее близким по значению к термину «терроризм» употребляется «террор», однако по своему смысловому наполнению данный термин следует употреблять по отношению в длительно длящейся деятельности, использующей террористические методы. Такого мнения придерживаются такие учены как Антонян Ю.М., Заикова В.И., Ильчуков М.З., кроме того </w:t>
      </w:r>
      <w:r w:rsidRPr="00EC1A78">
        <w:rPr>
          <w:rFonts w:eastAsia="SimSun"/>
          <w:kern w:val="3"/>
          <w:sz w:val="22"/>
          <w:szCs w:val="22"/>
        </w:rPr>
        <w:lastRenderedPageBreak/>
        <w:t>последние выделяют еще и специального субъекта использования террора — государство</w:t>
      </w:r>
      <w:r w:rsidRPr="00EC1A78">
        <w:rPr>
          <w:rFonts w:eastAsia="SimSun"/>
          <w:color w:val="000000"/>
          <w:kern w:val="3"/>
          <w:sz w:val="22"/>
          <w:szCs w:val="22"/>
        </w:rPr>
        <w:t>»</w:t>
      </w:r>
    </w:p>
    <w:p w:rsidR="00EC1A78" w:rsidRPr="00EC1A78" w:rsidRDefault="00EC1A78" w:rsidP="005012A5">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Таким образом, «террор» это многократно применяющийся террористический акт, нацеленный на ма</w:t>
      </w:r>
      <w:r w:rsidR="005012A5">
        <w:rPr>
          <w:rFonts w:eastAsia="SimSun"/>
          <w:kern w:val="3"/>
          <w:sz w:val="22"/>
          <w:szCs w:val="22"/>
        </w:rPr>
        <w:t xml:space="preserve">ссовое воздействие, чаще всего </w:t>
      </w:r>
      <w:r w:rsidRPr="00EC1A78">
        <w:rPr>
          <w:rFonts w:eastAsia="SimSun"/>
          <w:kern w:val="3"/>
          <w:sz w:val="22"/>
          <w:szCs w:val="22"/>
        </w:rPr>
        <w:t>на всю территорию государства, имеющей своей целью устрашение неопределенного круга лиц, либо их насильственное устранение.</w:t>
      </w:r>
      <w:r w:rsidR="005012A5">
        <w:rPr>
          <w:rFonts w:eastAsia="SimSun"/>
          <w:kern w:val="3"/>
          <w:sz w:val="22"/>
          <w:szCs w:val="22"/>
        </w:rPr>
        <w:t xml:space="preserve"> </w:t>
      </w:r>
      <w:r w:rsidRPr="00EC1A78">
        <w:rPr>
          <w:rFonts w:eastAsia="SimSun"/>
          <w:kern w:val="3"/>
          <w:sz w:val="22"/>
          <w:szCs w:val="22"/>
        </w:rPr>
        <w:t xml:space="preserve">Что касается понятия «террористический акт», то под ним надо понимать конкретное преступление имеющее объектом посягательства общественную безопасность. Он, несомненно, является составной частью более общего понятия «терроризм», </w:t>
      </w:r>
      <w:r w:rsidRPr="00EC1A78">
        <w:rPr>
          <w:rFonts w:eastAsia="SimSun"/>
          <w:color w:val="000000"/>
          <w:kern w:val="3"/>
          <w:sz w:val="22"/>
          <w:szCs w:val="22"/>
        </w:rPr>
        <w:t>законодатель в статье 205 УК РФ  выводит такое понятие «террористическому акту»: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w:t>
      </w:r>
    </w:p>
    <w:p w:rsidR="00EC1A78" w:rsidRPr="00EC1A78" w:rsidRDefault="00EC1A78" w:rsidP="005012A5">
      <w:pPr>
        <w:widowControl w:val="0"/>
        <w:suppressAutoHyphens/>
        <w:autoSpaceDN w:val="0"/>
        <w:ind w:firstLine="425"/>
        <w:jc w:val="both"/>
        <w:textAlignment w:val="baseline"/>
        <w:rPr>
          <w:rFonts w:eastAsia="SimSun"/>
          <w:color w:val="000000"/>
          <w:kern w:val="3"/>
          <w:sz w:val="22"/>
          <w:szCs w:val="22"/>
        </w:rPr>
      </w:pPr>
      <w:r w:rsidRPr="00EC1A78">
        <w:rPr>
          <w:rFonts w:eastAsia="SimSun"/>
          <w:color w:val="000000"/>
          <w:kern w:val="3"/>
          <w:sz w:val="22"/>
          <w:szCs w:val="22"/>
        </w:rPr>
        <w:t>Хоть эти термины имеют довольно разное значение, однако они характеризуют такое опасное явление, которое имеет своей целью разрушение деятельности органов государственной власти, общественных структур и создающее опасность для жизни и здоровья людей. Данное явление необходимо исследовать, анализировать и на основании полученных сведений вырабатывать приемы и способы борьбы с терроризмом.</w:t>
      </w:r>
    </w:p>
    <w:p w:rsidR="00163DEF" w:rsidRDefault="00163DEF" w:rsidP="00EC1A78">
      <w:pPr>
        <w:widowControl w:val="0"/>
        <w:suppressAutoHyphens/>
        <w:autoSpaceDN w:val="0"/>
        <w:ind w:firstLine="425"/>
        <w:jc w:val="center"/>
        <w:textAlignment w:val="baseline"/>
        <w:rPr>
          <w:rFonts w:eastAsia="SimSun"/>
          <w:color w:val="000000"/>
          <w:kern w:val="3"/>
          <w:sz w:val="22"/>
          <w:szCs w:val="22"/>
        </w:rPr>
      </w:pPr>
    </w:p>
    <w:p w:rsidR="00EC1A78" w:rsidRPr="00EC1A78" w:rsidRDefault="00E62E4B" w:rsidP="00EC1A78">
      <w:pPr>
        <w:widowControl w:val="0"/>
        <w:suppressAutoHyphens/>
        <w:autoSpaceDN w:val="0"/>
        <w:ind w:firstLine="425"/>
        <w:jc w:val="center"/>
        <w:textAlignment w:val="baseline"/>
        <w:rPr>
          <w:rFonts w:eastAsia="SimSun"/>
          <w:color w:val="000000"/>
          <w:kern w:val="3"/>
          <w:sz w:val="22"/>
          <w:szCs w:val="22"/>
        </w:rPr>
      </w:pPr>
      <w:r>
        <w:rPr>
          <w:rFonts w:eastAsia="SimSun"/>
          <w:color w:val="000000"/>
          <w:kern w:val="3"/>
          <w:sz w:val="22"/>
          <w:szCs w:val="22"/>
        </w:rPr>
        <w:t>Список литературы</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color w:val="000000"/>
          <w:kern w:val="3"/>
          <w:sz w:val="22"/>
          <w:szCs w:val="22"/>
        </w:rPr>
        <w:t>1.</w:t>
      </w:r>
      <w:r w:rsidRPr="00EC1A78">
        <w:rPr>
          <w:rFonts w:eastAsia="SimSun"/>
          <w:kern w:val="3"/>
          <w:sz w:val="22"/>
          <w:szCs w:val="22"/>
        </w:rPr>
        <w:t xml:space="preserve"> Даль В.И. Толковый словарь живого великорусского языка. М. 1995. С. 401.</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2. Чудинов А.Н. Словарь иностранных слов, вошедших в состав русского языка.1910. с. 192.</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3. Ожегов С.И. Словарь русского языка. М., 1989. С.649.</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4. Сухарева А.Я., Крутских В.Е. Большой юридический словарь 2–е изд., перераб. и доп. М.: ИНФРА–М, 2000. С. 621.</w:t>
      </w:r>
    </w:p>
    <w:p w:rsidR="00EC1A78" w:rsidRPr="00EC1A78" w:rsidRDefault="00EC1A78" w:rsidP="00EC1A78">
      <w:pPr>
        <w:widowControl w:val="0"/>
        <w:suppressAutoHyphens/>
        <w:autoSpaceDN w:val="0"/>
        <w:ind w:firstLine="425"/>
        <w:jc w:val="both"/>
        <w:textAlignment w:val="baseline"/>
        <w:rPr>
          <w:rFonts w:eastAsia="SimSun"/>
          <w:kern w:val="3"/>
          <w:sz w:val="22"/>
          <w:szCs w:val="22"/>
        </w:rPr>
      </w:pPr>
      <w:r w:rsidRPr="00EC1A78">
        <w:rPr>
          <w:rFonts w:eastAsia="SimSun"/>
          <w:kern w:val="3"/>
          <w:sz w:val="22"/>
          <w:szCs w:val="22"/>
        </w:rPr>
        <w:t>5. Емельянов В.П. Понятие терроризма в уголовном законодательстве России и Украины. Сравнительный анализ. М., 1999. С.124.</w:t>
      </w:r>
    </w:p>
    <w:p w:rsidR="00EC1A78" w:rsidRDefault="00EC1A78" w:rsidP="00EC1A78">
      <w:pPr>
        <w:rPr>
          <w:rFonts w:eastAsiaTheme="minorHAnsi"/>
          <w:sz w:val="22"/>
          <w:szCs w:val="22"/>
          <w:lang w:eastAsia="en-US"/>
        </w:rPr>
      </w:pPr>
    </w:p>
    <w:p w:rsidR="00E62E4B" w:rsidRDefault="00E62E4B" w:rsidP="00EC1A78">
      <w:pPr>
        <w:rPr>
          <w:rFonts w:eastAsiaTheme="minorHAnsi"/>
          <w:sz w:val="22"/>
          <w:szCs w:val="22"/>
          <w:lang w:eastAsia="en-US"/>
        </w:rPr>
      </w:pPr>
    </w:p>
    <w:p w:rsidR="00163DEF" w:rsidRDefault="00163DEF" w:rsidP="00EC1A78">
      <w:pPr>
        <w:rPr>
          <w:rFonts w:eastAsiaTheme="minorHAnsi"/>
          <w:sz w:val="22"/>
          <w:szCs w:val="22"/>
          <w:lang w:eastAsia="en-US"/>
        </w:rPr>
      </w:pPr>
    </w:p>
    <w:p w:rsidR="00163DEF" w:rsidRPr="00EC1A78" w:rsidRDefault="00163DEF"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342.7</w:t>
      </w:r>
    </w:p>
    <w:p w:rsidR="00EC1A78" w:rsidRPr="00EC1A78" w:rsidRDefault="00EC1A78" w:rsidP="00EC1A78">
      <w:pPr>
        <w:ind w:firstLine="426"/>
        <w:jc w:val="center"/>
        <w:rPr>
          <w:rFonts w:eastAsiaTheme="minorHAnsi"/>
          <w:b/>
          <w:sz w:val="24"/>
          <w:szCs w:val="24"/>
          <w:lang w:eastAsia="en-US"/>
        </w:rPr>
      </w:pPr>
    </w:p>
    <w:p w:rsidR="00EC1A78" w:rsidRPr="00EC1A78" w:rsidRDefault="00EC1A78" w:rsidP="00EC1A78">
      <w:pPr>
        <w:ind w:firstLine="426"/>
        <w:jc w:val="center"/>
        <w:rPr>
          <w:rFonts w:eastAsiaTheme="minorHAnsi"/>
          <w:b/>
          <w:sz w:val="24"/>
          <w:szCs w:val="24"/>
          <w:lang w:eastAsia="en-US"/>
        </w:rPr>
      </w:pPr>
      <w:r w:rsidRPr="00EC1A78">
        <w:rPr>
          <w:rFonts w:eastAsiaTheme="minorHAnsi"/>
          <w:b/>
          <w:sz w:val="24"/>
          <w:szCs w:val="24"/>
          <w:lang w:eastAsia="en-US"/>
        </w:rPr>
        <w:t xml:space="preserve">Правовые основы реализации правотворческой </w:t>
      </w:r>
    </w:p>
    <w:p w:rsidR="00EC1A78" w:rsidRPr="00EC1A78" w:rsidRDefault="00EC1A78" w:rsidP="00EC1A78">
      <w:pPr>
        <w:ind w:firstLine="426"/>
        <w:jc w:val="center"/>
        <w:rPr>
          <w:rFonts w:eastAsiaTheme="minorHAnsi"/>
          <w:b/>
          <w:sz w:val="24"/>
          <w:szCs w:val="24"/>
          <w:lang w:eastAsia="en-US"/>
        </w:rPr>
      </w:pPr>
      <w:r w:rsidRPr="00EC1A78">
        <w:rPr>
          <w:rFonts w:eastAsiaTheme="minorHAnsi"/>
          <w:b/>
          <w:sz w:val="24"/>
          <w:szCs w:val="24"/>
          <w:lang w:eastAsia="en-US"/>
        </w:rPr>
        <w:t>инициативы граждан в субъектах РФ</w:t>
      </w:r>
    </w:p>
    <w:p w:rsidR="00EC1A78" w:rsidRPr="00EC1A78" w:rsidRDefault="00EC1A78" w:rsidP="00EC1A78">
      <w:pPr>
        <w:ind w:firstLine="426"/>
        <w:jc w:val="center"/>
        <w:rPr>
          <w:rFonts w:eastAsiaTheme="minorHAnsi"/>
          <w:b/>
          <w:sz w:val="24"/>
          <w:szCs w:val="24"/>
          <w:lang w:val="en-US" w:eastAsia="en-US"/>
        </w:rPr>
      </w:pPr>
      <w:r w:rsidRPr="00EC1A78">
        <w:rPr>
          <w:rFonts w:eastAsiaTheme="minorHAnsi"/>
          <w:b/>
          <w:sz w:val="24"/>
          <w:szCs w:val="24"/>
          <w:lang w:val="en-US" w:eastAsia="en-US"/>
        </w:rPr>
        <w:t xml:space="preserve">Legal bases of realization law–making </w:t>
      </w:r>
    </w:p>
    <w:p w:rsidR="00EC1A78" w:rsidRPr="00EC1A78" w:rsidRDefault="00EC1A78" w:rsidP="00EC1A78">
      <w:pPr>
        <w:ind w:firstLine="426"/>
        <w:jc w:val="center"/>
        <w:rPr>
          <w:rFonts w:eastAsiaTheme="minorHAnsi"/>
          <w:b/>
          <w:sz w:val="24"/>
          <w:szCs w:val="24"/>
          <w:lang w:val="en-US" w:eastAsia="en-US"/>
        </w:rPr>
      </w:pPr>
      <w:r w:rsidRPr="00EC1A78">
        <w:rPr>
          <w:rFonts w:eastAsiaTheme="minorHAnsi"/>
          <w:b/>
          <w:sz w:val="24"/>
          <w:szCs w:val="24"/>
          <w:lang w:val="en-US" w:eastAsia="en-US"/>
        </w:rPr>
        <w:t xml:space="preserve">initiatives of citizens in territorial subjects </w:t>
      </w:r>
    </w:p>
    <w:p w:rsidR="00EC1A78" w:rsidRPr="008D33CB" w:rsidRDefault="00EC1A78" w:rsidP="005012A5">
      <w:pPr>
        <w:ind w:firstLine="426"/>
        <w:jc w:val="center"/>
        <w:rPr>
          <w:rFonts w:eastAsiaTheme="minorHAnsi"/>
          <w:b/>
          <w:sz w:val="24"/>
          <w:szCs w:val="24"/>
          <w:lang w:val="en-US" w:eastAsia="en-US"/>
        </w:rPr>
      </w:pPr>
      <w:proofErr w:type="gramStart"/>
      <w:r w:rsidRPr="00EC1A78">
        <w:rPr>
          <w:rFonts w:eastAsiaTheme="minorHAnsi"/>
          <w:b/>
          <w:sz w:val="24"/>
          <w:szCs w:val="24"/>
          <w:lang w:val="en-US" w:eastAsia="en-US"/>
        </w:rPr>
        <w:t>of</w:t>
      </w:r>
      <w:proofErr w:type="gramEnd"/>
      <w:r w:rsidRPr="00EC1A78">
        <w:rPr>
          <w:rFonts w:eastAsiaTheme="minorHAnsi"/>
          <w:b/>
          <w:sz w:val="24"/>
          <w:szCs w:val="24"/>
          <w:lang w:val="en-US" w:eastAsia="en-US"/>
        </w:rPr>
        <w:t xml:space="preserve"> the Russian Federation</w:t>
      </w:r>
    </w:p>
    <w:p w:rsidR="00163DEF" w:rsidRPr="008D33CB" w:rsidRDefault="00163DEF" w:rsidP="005012A5">
      <w:pPr>
        <w:ind w:firstLine="426"/>
        <w:jc w:val="center"/>
        <w:rPr>
          <w:rFonts w:eastAsiaTheme="minorHAnsi"/>
          <w:b/>
          <w:sz w:val="24"/>
          <w:szCs w:val="24"/>
          <w:lang w:val="en-US" w:eastAsia="en-US"/>
        </w:rPr>
      </w:pPr>
    </w:p>
    <w:p w:rsidR="00EC1A78" w:rsidRPr="00EC1A78" w:rsidRDefault="00EC1A78" w:rsidP="00EC1A78">
      <w:pPr>
        <w:ind w:firstLine="426"/>
        <w:jc w:val="right"/>
        <w:rPr>
          <w:sz w:val="22"/>
          <w:szCs w:val="22"/>
          <w:lang w:val="en-US"/>
        </w:rPr>
      </w:pPr>
      <w:r w:rsidRPr="00EC1A78">
        <w:rPr>
          <w:sz w:val="22"/>
          <w:szCs w:val="22"/>
        </w:rPr>
        <w:t>Пантелей</w:t>
      </w:r>
      <w:r w:rsidRPr="00EC1A78">
        <w:rPr>
          <w:sz w:val="22"/>
          <w:szCs w:val="22"/>
          <w:lang w:val="en-US"/>
        </w:rPr>
        <w:t xml:space="preserve"> </w:t>
      </w:r>
      <w:r w:rsidRPr="00EC1A78">
        <w:rPr>
          <w:sz w:val="22"/>
          <w:szCs w:val="22"/>
        </w:rPr>
        <w:t>Д</w:t>
      </w:r>
      <w:r w:rsidRPr="00EC1A78">
        <w:rPr>
          <w:sz w:val="22"/>
          <w:szCs w:val="22"/>
          <w:lang w:val="en-US"/>
        </w:rPr>
        <w:t>.</w:t>
      </w:r>
      <w:r w:rsidR="00E62E4B" w:rsidRPr="001C6F5C">
        <w:rPr>
          <w:sz w:val="22"/>
          <w:szCs w:val="22"/>
          <w:lang w:val="en-US"/>
        </w:rPr>
        <w:t xml:space="preserve"> </w:t>
      </w:r>
      <w:r w:rsidRPr="00EC1A78">
        <w:rPr>
          <w:sz w:val="22"/>
          <w:szCs w:val="22"/>
        </w:rPr>
        <w:t>Г</w:t>
      </w:r>
      <w:r w:rsidRPr="00EC1A78">
        <w:rPr>
          <w:sz w:val="22"/>
          <w:szCs w:val="22"/>
          <w:lang w:val="en-US"/>
        </w:rPr>
        <w:t>.,</w:t>
      </w:r>
    </w:p>
    <w:p w:rsidR="00EC1A78" w:rsidRPr="00EC1A78" w:rsidRDefault="00EC1A78" w:rsidP="00EC1A78">
      <w:pPr>
        <w:ind w:firstLine="426"/>
        <w:jc w:val="right"/>
        <w:rPr>
          <w:sz w:val="22"/>
          <w:szCs w:val="22"/>
        </w:rPr>
      </w:pPr>
      <w:r w:rsidRPr="00EC1A78">
        <w:rPr>
          <w:sz w:val="22"/>
          <w:szCs w:val="22"/>
        </w:rPr>
        <w:t>магистрант 2–го курса юридического факультета</w:t>
      </w:r>
    </w:p>
    <w:p w:rsidR="00EC1A78" w:rsidRPr="00EC1A78" w:rsidRDefault="00EC1A78" w:rsidP="00EC1A78">
      <w:pPr>
        <w:ind w:firstLine="426"/>
        <w:jc w:val="right"/>
        <w:rPr>
          <w:sz w:val="22"/>
          <w:szCs w:val="22"/>
        </w:rPr>
      </w:pPr>
      <w:r w:rsidRPr="00EC1A78">
        <w:rPr>
          <w:sz w:val="22"/>
          <w:szCs w:val="22"/>
        </w:rPr>
        <w:t xml:space="preserve">Кубанский государственный аграрный </w:t>
      </w:r>
    </w:p>
    <w:p w:rsidR="00EC1A78" w:rsidRPr="00EC1A78" w:rsidRDefault="00EC1A78" w:rsidP="00EC1A78">
      <w:pPr>
        <w:ind w:firstLine="426"/>
        <w:jc w:val="right"/>
        <w:rPr>
          <w:sz w:val="22"/>
          <w:szCs w:val="22"/>
        </w:rPr>
      </w:pPr>
      <w:r w:rsidRPr="00EC1A78">
        <w:rPr>
          <w:sz w:val="22"/>
          <w:szCs w:val="22"/>
        </w:rPr>
        <w:t>университет имени И.</w:t>
      </w:r>
      <w:r w:rsidR="00E62E4B">
        <w:rPr>
          <w:sz w:val="22"/>
          <w:szCs w:val="22"/>
        </w:rPr>
        <w:t xml:space="preserve"> </w:t>
      </w:r>
      <w:r w:rsidRPr="00EC1A78">
        <w:rPr>
          <w:sz w:val="22"/>
          <w:szCs w:val="22"/>
        </w:rPr>
        <w:t>Т. Трубилина</w:t>
      </w:r>
    </w:p>
    <w:p w:rsidR="00EC1A78" w:rsidRPr="00EC1A78" w:rsidRDefault="00EC1A78" w:rsidP="00EC1A78">
      <w:pPr>
        <w:ind w:firstLine="426"/>
        <w:jc w:val="right"/>
        <w:rPr>
          <w:sz w:val="24"/>
          <w:szCs w:val="24"/>
        </w:rPr>
      </w:pPr>
    </w:p>
    <w:p w:rsidR="00EC1A78" w:rsidRPr="00EC1A78" w:rsidRDefault="00EC1A78" w:rsidP="00EC1A78">
      <w:pPr>
        <w:ind w:firstLine="426"/>
        <w:jc w:val="both"/>
        <w:rPr>
          <w:sz w:val="22"/>
          <w:szCs w:val="22"/>
        </w:rPr>
      </w:pPr>
      <w:r w:rsidRPr="00EC1A78">
        <w:rPr>
          <w:sz w:val="22"/>
          <w:szCs w:val="22"/>
        </w:rPr>
        <w:t>АННОТАЦИЯ: На основе анализа конституций (уставов) суб</w:t>
      </w:r>
      <w:r w:rsidRPr="00EC1A78">
        <w:rPr>
          <w:sz w:val="22"/>
          <w:szCs w:val="22"/>
        </w:rPr>
        <w:t>ъ</w:t>
      </w:r>
      <w:r w:rsidRPr="00EC1A78">
        <w:rPr>
          <w:sz w:val="22"/>
          <w:szCs w:val="22"/>
        </w:rPr>
        <w:t xml:space="preserve">ектов РФ рассмотрены подходы к правовому регулированию </w:t>
      </w:r>
      <w:r w:rsidRPr="00EC1A78">
        <w:rPr>
          <w:rFonts w:eastAsiaTheme="minorHAnsi"/>
          <w:sz w:val="22"/>
          <w:szCs w:val="22"/>
          <w:lang w:eastAsia="en-US"/>
        </w:rPr>
        <w:t>прав</w:t>
      </w:r>
      <w:r w:rsidRPr="00EC1A78">
        <w:rPr>
          <w:rFonts w:eastAsiaTheme="minorHAnsi"/>
          <w:sz w:val="22"/>
          <w:szCs w:val="22"/>
          <w:lang w:eastAsia="en-US"/>
        </w:rPr>
        <w:t>о</w:t>
      </w:r>
      <w:r w:rsidRPr="00EC1A78">
        <w:rPr>
          <w:rFonts w:eastAsiaTheme="minorHAnsi"/>
          <w:sz w:val="22"/>
          <w:szCs w:val="22"/>
          <w:lang w:eastAsia="en-US"/>
        </w:rPr>
        <w:t>творческой инициативы граждан в субъектах РФ</w:t>
      </w:r>
      <w:r w:rsidRPr="00EC1A78">
        <w:rPr>
          <w:sz w:val="22"/>
          <w:szCs w:val="22"/>
        </w:rPr>
        <w:t>.</w:t>
      </w:r>
    </w:p>
    <w:p w:rsidR="00EC1A78" w:rsidRPr="00EC1A78" w:rsidRDefault="00EC1A78" w:rsidP="00EC1A78">
      <w:pPr>
        <w:shd w:val="clear" w:color="auto" w:fill="FFFFFF"/>
        <w:ind w:firstLine="426"/>
        <w:jc w:val="both"/>
        <w:rPr>
          <w:sz w:val="22"/>
          <w:szCs w:val="22"/>
          <w:lang w:val="en-US"/>
        </w:rPr>
      </w:pPr>
      <w:r w:rsidRPr="00EC1A78">
        <w:rPr>
          <w:sz w:val="22"/>
          <w:szCs w:val="22"/>
          <w:lang w:val="en-US"/>
        </w:rPr>
        <w:t>ABSTRACT: On the basis of the analysis of constitutions (charters) of territorial subjects of the Russian Federation approaches to legal reg</w:t>
      </w:r>
      <w:r w:rsidRPr="00EC1A78">
        <w:rPr>
          <w:sz w:val="22"/>
          <w:szCs w:val="22"/>
          <w:lang w:val="en-US"/>
        </w:rPr>
        <w:t>u</w:t>
      </w:r>
      <w:r w:rsidRPr="00EC1A78">
        <w:rPr>
          <w:sz w:val="22"/>
          <w:szCs w:val="22"/>
          <w:lang w:val="en-US"/>
        </w:rPr>
        <w:t>lation of a law–making initiative of citizens in territorial subjects of the Russian Federation are considered.</w:t>
      </w:r>
    </w:p>
    <w:p w:rsidR="00EC1A78" w:rsidRPr="00EC1A78" w:rsidRDefault="00EC1A78" w:rsidP="00EC1A78">
      <w:pPr>
        <w:tabs>
          <w:tab w:val="left" w:pos="708"/>
        </w:tabs>
        <w:ind w:firstLine="426"/>
        <w:jc w:val="both"/>
        <w:rPr>
          <w:sz w:val="22"/>
          <w:szCs w:val="22"/>
        </w:rPr>
      </w:pPr>
      <w:r w:rsidRPr="00EC1A78">
        <w:rPr>
          <w:sz w:val="22"/>
          <w:szCs w:val="22"/>
        </w:rPr>
        <w:t>КЛЮЧЕВЫЕ СЛОВА: народовластие, правотворческая иниц</w:t>
      </w:r>
      <w:r w:rsidRPr="00EC1A78">
        <w:rPr>
          <w:sz w:val="22"/>
          <w:szCs w:val="22"/>
        </w:rPr>
        <w:t>и</w:t>
      </w:r>
      <w:r w:rsidRPr="00EC1A78">
        <w:rPr>
          <w:sz w:val="22"/>
          <w:szCs w:val="22"/>
        </w:rPr>
        <w:t>атива, конституции (уставы) субъектов</w:t>
      </w:r>
    </w:p>
    <w:p w:rsidR="00EC1A78" w:rsidRPr="00EC1A78" w:rsidRDefault="00EC1A78" w:rsidP="00EC1A78">
      <w:pPr>
        <w:tabs>
          <w:tab w:val="left" w:pos="708"/>
        </w:tabs>
        <w:ind w:firstLine="426"/>
        <w:jc w:val="both"/>
        <w:rPr>
          <w:sz w:val="22"/>
          <w:szCs w:val="22"/>
          <w:lang w:val="en-US"/>
        </w:rPr>
      </w:pPr>
      <w:r w:rsidRPr="00EC1A78">
        <w:rPr>
          <w:sz w:val="22"/>
          <w:szCs w:val="22"/>
          <w:lang w:val="en-US"/>
        </w:rPr>
        <w:t>KEYWORDS: democracy, law–making initiative, constitutions (charters) of subjects</w:t>
      </w:r>
    </w:p>
    <w:p w:rsidR="00EC1A78" w:rsidRPr="00EC1A78" w:rsidRDefault="00EC1A78" w:rsidP="00EC1A78">
      <w:pPr>
        <w:tabs>
          <w:tab w:val="left" w:pos="708"/>
        </w:tabs>
        <w:ind w:firstLine="426"/>
        <w:jc w:val="both"/>
        <w:rPr>
          <w:rFonts w:eastAsiaTheme="minorHAnsi"/>
          <w:sz w:val="22"/>
          <w:szCs w:val="22"/>
          <w:lang w:val="en-US" w:eastAsia="en-US"/>
        </w:rPr>
      </w:pPr>
    </w:p>
    <w:p w:rsidR="00EC1A78" w:rsidRPr="00EC1A78" w:rsidRDefault="00EC1A78" w:rsidP="00EC1A78">
      <w:pPr>
        <w:tabs>
          <w:tab w:val="left" w:pos="708"/>
        </w:tabs>
        <w:ind w:firstLine="426"/>
        <w:jc w:val="both"/>
        <w:rPr>
          <w:rFonts w:eastAsiaTheme="minorHAnsi"/>
          <w:sz w:val="22"/>
          <w:szCs w:val="22"/>
          <w:lang w:eastAsia="en-US"/>
        </w:rPr>
      </w:pPr>
      <w:r w:rsidRPr="00EC1A78">
        <w:rPr>
          <w:rFonts w:eastAsiaTheme="minorHAnsi"/>
          <w:sz w:val="22"/>
          <w:szCs w:val="22"/>
          <w:lang w:eastAsia="en-US"/>
        </w:rPr>
        <w:t>Правовая основа реализации правотворческой инициативы в субъектах РФ закреплена в ст. 3 Конституции РФ, в которой уст</w:t>
      </w:r>
      <w:r w:rsidRPr="00EC1A78">
        <w:rPr>
          <w:rFonts w:eastAsiaTheme="minorHAnsi"/>
          <w:sz w:val="22"/>
          <w:szCs w:val="22"/>
          <w:lang w:eastAsia="en-US"/>
        </w:rPr>
        <w:t>а</w:t>
      </w:r>
      <w:r w:rsidRPr="00EC1A78">
        <w:rPr>
          <w:rFonts w:eastAsiaTheme="minorHAnsi"/>
          <w:sz w:val="22"/>
          <w:szCs w:val="22"/>
          <w:lang w:eastAsia="en-US"/>
        </w:rPr>
        <w:t>новлено, что народ как носитель суверенитета и единственный и</w:t>
      </w:r>
      <w:r w:rsidRPr="00EC1A78">
        <w:rPr>
          <w:rFonts w:eastAsiaTheme="minorHAnsi"/>
          <w:sz w:val="22"/>
          <w:szCs w:val="22"/>
          <w:lang w:eastAsia="en-US"/>
        </w:rPr>
        <w:t>с</w:t>
      </w:r>
      <w:r w:rsidRPr="00EC1A78">
        <w:rPr>
          <w:rFonts w:eastAsiaTheme="minorHAnsi"/>
          <w:sz w:val="22"/>
          <w:szCs w:val="22"/>
          <w:lang w:eastAsia="en-US"/>
        </w:rPr>
        <w:t>точник власти в Российской Федерации вправе осуществлять свою власть непосредственно, а также через органы государственной власти и органы местного самоуправления. В ст. 32 Конституции РФ, закреплено право граждан РФ участвовать в управлении делами государства как непосредственно, так и через своих представителей. Одной из форм непосредственной демократии является правотво</w:t>
      </w:r>
      <w:r w:rsidRPr="00EC1A78">
        <w:rPr>
          <w:rFonts w:eastAsiaTheme="minorHAnsi"/>
          <w:sz w:val="22"/>
          <w:szCs w:val="22"/>
          <w:lang w:eastAsia="en-US"/>
        </w:rPr>
        <w:t>р</w:t>
      </w:r>
      <w:r w:rsidRPr="00EC1A78">
        <w:rPr>
          <w:rFonts w:eastAsiaTheme="minorHAnsi"/>
          <w:sz w:val="22"/>
          <w:szCs w:val="22"/>
          <w:lang w:eastAsia="en-US"/>
        </w:rPr>
        <w:t xml:space="preserve">ческая инициатива граждан. </w:t>
      </w:r>
    </w:p>
    <w:p w:rsidR="00EC1A78" w:rsidRPr="00EC1A78" w:rsidRDefault="00EC1A78" w:rsidP="00EC1A78">
      <w:pPr>
        <w:tabs>
          <w:tab w:val="left" w:pos="708"/>
        </w:tabs>
        <w:ind w:firstLine="426"/>
        <w:jc w:val="both"/>
        <w:rPr>
          <w:rFonts w:eastAsiaTheme="minorHAnsi"/>
          <w:sz w:val="22"/>
          <w:szCs w:val="22"/>
          <w:lang w:eastAsia="en-US"/>
        </w:rPr>
      </w:pPr>
      <w:r w:rsidRPr="00EC1A78">
        <w:rPr>
          <w:rFonts w:eastAsiaTheme="minorHAnsi"/>
          <w:sz w:val="22"/>
          <w:szCs w:val="22"/>
          <w:lang w:eastAsia="en-US"/>
        </w:rPr>
        <w:t>Положения Конституции РФ развивает Федеральный закон «Об общих принципах организации законодательных (представ</w:t>
      </w:r>
      <w:r w:rsidRPr="00EC1A78">
        <w:rPr>
          <w:rFonts w:eastAsiaTheme="minorHAnsi"/>
          <w:sz w:val="22"/>
          <w:szCs w:val="22"/>
          <w:lang w:eastAsia="en-US"/>
        </w:rPr>
        <w:t>и</w:t>
      </w:r>
      <w:r w:rsidRPr="00EC1A78">
        <w:rPr>
          <w:rFonts w:eastAsiaTheme="minorHAnsi"/>
          <w:sz w:val="22"/>
          <w:szCs w:val="22"/>
          <w:lang w:eastAsia="en-US"/>
        </w:rPr>
        <w:lastRenderedPageBreak/>
        <w:t>тельных) и исполнительных органов государственной власти суб</w:t>
      </w:r>
      <w:r w:rsidRPr="00EC1A78">
        <w:rPr>
          <w:rFonts w:eastAsiaTheme="minorHAnsi"/>
          <w:sz w:val="22"/>
          <w:szCs w:val="22"/>
          <w:lang w:eastAsia="en-US"/>
        </w:rPr>
        <w:t>ъ</w:t>
      </w:r>
      <w:r w:rsidRPr="00EC1A78">
        <w:rPr>
          <w:rFonts w:eastAsiaTheme="minorHAnsi"/>
          <w:sz w:val="22"/>
          <w:szCs w:val="22"/>
          <w:lang w:eastAsia="en-US"/>
        </w:rPr>
        <w:t>ектов Российской Федерации». В ст. 6 Закона закреплено право з</w:t>
      </w:r>
      <w:r w:rsidRPr="00EC1A78">
        <w:rPr>
          <w:rFonts w:eastAsiaTheme="minorHAnsi"/>
          <w:sz w:val="22"/>
          <w:szCs w:val="22"/>
          <w:lang w:eastAsia="en-US"/>
        </w:rPr>
        <w:t>а</w:t>
      </w:r>
      <w:r w:rsidRPr="00EC1A78">
        <w:rPr>
          <w:rFonts w:eastAsiaTheme="minorHAnsi"/>
          <w:sz w:val="22"/>
          <w:szCs w:val="22"/>
          <w:lang w:eastAsia="en-US"/>
        </w:rPr>
        <w:t>конодательной инициативы в законодательном  органе госуда</w:t>
      </w:r>
      <w:r w:rsidRPr="00EC1A78">
        <w:rPr>
          <w:rFonts w:eastAsiaTheme="minorHAnsi"/>
          <w:sz w:val="22"/>
          <w:szCs w:val="22"/>
          <w:lang w:eastAsia="en-US"/>
        </w:rPr>
        <w:t>р</w:t>
      </w:r>
      <w:r w:rsidRPr="00EC1A78">
        <w:rPr>
          <w:rFonts w:eastAsiaTheme="minorHAnsi"/>
          <w:sz w:val="22"/>
          <w:szCs w:val="22"/>
          <w:lang w:eastAsia="en-US"/>
        </w:rPr>
        <w:t>ственной власти субъекта РФ. Данная статья содержит указание на возможность реализации такой инициативы гражданами, прожив</w:t>
      </w:r>
      <w:r w:rsidRPr="00EC1A78">
        <w:rPr>
          <w:rFonts w:eastAsiaTheme="minorHAnsi"/>
          <w:sz w:val="22"/>
          <w:szCs w:val="22"/>
          <w:lang w:eastAsia="en-US"/>
        </w:rPr>
        <w:t>а</w:t>
      </w:r>
      <w:r w:rsidRPr="00EC1A78">
        <w:rPr>
          <w:rFonts w:eastAsiaTheme="minorHAnsi"/>
          <w:sz w:val="22"/>
          <w:szCs w:val="22"/>
          <w:lang w:eastAsia="en-US"/>
        </w:rPr>
        <w:t xml:space="preserve">ющими на территории соответствующего субъекта РФ. </w:t>
      </w:r>
    </w:p>
    <w:p w:rsidR="00EC1A78" w:rsidRPr="00EC1A78" w:rsidRDefault="00EC1A78" w:rsidP="00EC1A78">
      <w:pPr>
        <w:tabs>
          <w:tab w:val="left" w:pos="708"/>
        </w:tabs>
        <w:ind w:firstLine="426"/>
        <w:jc w:val="both"/>
        <w:rPr>
          <w:rFonts w:eastAsiaTheme="minorHAnsi"/>
          <w:sz w:val="22"/>
          <w:szCs w:val="22"/>
          <w:lang w:eastAsia="en-US"/>
        </w:rPr>
      </w:pPr>
      <w:r w:rsidRPr="00EC1A78">
        <w:rPr>
          <w:rFonts w:eastAsiaTheme="minorHAnsi"/>
          <w:sz w:val="22"/>
          <w:szCs w:val="22"/>
          <w:lang w:eastAsia="en-US"/>
        </w:rPr>
        <w:t>Исходя из положений анализируемой статьи, право реализации правотворческой инициативы в субъектах должно закрепляться в Конституции (Уставе) субъекта РФ. Существует несколько подх</w:t>
      </w:r>
      <w:r w:rsidRPr="00EC1A78">
        <w:rPr>
          <w:rFonts w:eastAsiaTheme="minorHAnsi"/>
          <w:sz w:val="22"/>
          <w:szCs w:val="22"/>
          <w:lang w:eastAsia="en-US"/>
        </w:rPr>
        <w:t>о</w:t>
      </w:r>
      <w:r w:rsidRPr="00EC1A78">
        <w:rPr>
          <w:rFonts w:eastAsiaTheme="minorHAnsi"/>
          <w:sz w:val="22"/>
          <w:szCs w:val="22"/>
          <w:lang w:eastAsia="en-US"/>
        </w:rPr>
        <w:t>дов к правовому регулированию этого вопроса. Первый основыв</w:t>
      </w:r>
      <w:r w:rsidRPr="00EC1A78">
        <w:rPr>
          <w:rFonts w:eastAsiaTheme="minorHAnsi"/>
          <w:sz w:val="22"/>
          <w:szCs w:val="22"/>
          <w:lang w:eastAsia="en-US"/>
        </w:rPr>
        <w:t>а</w:t>
      </w:r>
      <w:r w:rsidRPr="00EC1A78">
        <w:rPr>
          <w:rFonts w:eastAsiaTheme="minorHAnsi"/>
          <w:sz w:val="22"/>
          <w:szCs w:val="22"/>
          <w:lang w:eastAsia="en-US"/>
        </w:rPr>
        <w:t>ется на включении отдельного раздела, регламентирующего ос</w:t>
      </w:r>
      <w:r w:rsidRPr="00EC1A78">
        <w:rPr>
          <w:rFonts w:eastAsiaTheme="minorHAnsi"/>
          <w:sz w:val="22"/>
          <w:szCs w:val="22"/>
          <w:lang w:eastAsia="en-US"/>
        </w:rPr>
        <w:t>у</w:t>
      </w:r>
      <w:r w:rsidRPr="00EC1A78">
        <w:rPr>
          <w:rFonts w:eastAsiaTheme="minorHAnsi"/>
          <w:sz w:val="22"/>
          <w:szCs w:val="22"/>
          <w:lang w:eastAsia="en-US"/>
        </w:rPr>
        <w:t>ществление механизмов непосредственного народовластия, в том числе и правотворческую инициативу. Такой подход реализован, в частности в Уставе Краснодарского края. Второй подход заключ</w:t>
      </w:r>
      <w:r w:rsidRPr="00EC1A78">
        <w:rPr>
          <w:rFonts w:eastAsiaTheme="minorHAnsi"/>
          <w:sz w:val="22"/>
          <w:szCs w:val="22"/>
          <w:lang w:eastAsia="en-US"/>
        </w:rPr>
        <w:t>а</w:t>
      </w:r>
      <w:r w:rsidRPr="00EC1A78">
        <w:rPr>
          <w:rFonts w:eastAsiaTheme="minorHAnsi"/>
          <w:sz w:val="22"/>
          <w:szCs w:val="22"/>
          <w:lang w:eastAsia="en-US"/>
        </w:rPr>
        <w:t>ется в закреплении возможности осуществлять непосредственное народовластие при включении граждан в состав субъектов, облад</w:t>
      </w:r>
      <w:r w:rsidRPr="00EC1A78">
        <w:rPr>
          <w:rFonts w:eastAsiaTheme="minorHAnsi"/>
          <w:sz w:val="22"/>
          <w:szCs w:val="22"/>
          <w:lang w:eastAsia="en-US"/>
        </w:rPr>
        <w:t>а</w:t>
      </w:r>
      <w:r w:rsidRPr="00EC1A78">
        <w:rPr>
          <w:rFonts w:eastAsiaTheme="minorHAnsi"/>
          <w:sz w:val="22"/>
          <w:szCs w:val="22"/>
          <w:lang w:eastAsia="en-US"/>
        </w:rPr>
        <w:t>ющих правом законодательной инициативы и установлении гара</w:t>
      </w:r>
      <w:r w:rsidRPr="00EC1A78">
        <w:rPr>
          <w:rFonts w:eastAsiaTheme="minorHAnsi"/>
          <w:sz w:val="22"/>
          <w:szCs w:val="22"/>
          <w:lang w:eastAsia="en-US"/>
        </w:rPr>
        <w:t>н</w:t>
      </w:r>
      <w:r w:rsidRPr="00EC1A78">
        <w:rPr>
          <w:rFonts w:eastAsiaTheme="minorHAnsi"/>
          <w:sz w:val="22"/>
          <w:szCs w:val="22"/>
          <w:lang w:eastAsia="en-US"/>
        </w:rPr>
        <w:t>тий реализации правотворческой инициативы, что предусмотрено, в частности, Уставом Кировской области, Конституцией Удмуртской Республики. Третий подход основан на включении в Конституцию (устав) отдельной статьи, посвященной правотворческой инициат</w:t>
      </w:r>
      <w:r w:rsidRPr="00EC1A78">
        <w:rPr>
          <w:rFonts w:eastAsiaTheme="minorHAnsi"/>
          <w:sz w:val="22"/>
          <w:szCs w:val="22"/>
          <w:lang w:eastAsia="en-US"/>
        </w:rPr>
        <w:t>и</w:t>
      </w:r>
      <w:r w:rsidRPr="00EC1A78">
        <w:rPr>
          <w:rFonts w:eastAsiaTheme="minorHAnsi"/>
          <w:sz w:val="22"/>
          <w:szCs w:val="22"/>
          <w:lang w:eastAsia="en-US"/>
        </w:rPr>
        <w:t>ве. Так, в Конституции Республики Башкортостан установлено пр</w:t>
      </w:r>
      <w:r w:rsidRPr="00EC1A78">
        <w:rPr>
          <w:rFonts w:eastAsiaTheme="minorHAnsi"/>
          <w:sz w:val="22"/>
          <w:szCs w:val="22"/>
          <w:lang w:eastAsia="en-US"/>
        </w:rPr>
        <w:t>а</w:t>
      </w:r>
      <w:r w:rsidRPr="00EC1A78">
        <w:rPr>
          <w:rFonts w:eastAsiaTheme="minorHAnsi"/>
          <w:sz w:val="22"/>
          <w:szCs w:val="22"/>
          <w:lang w:eastAsia="en-US"/>
        </w:rPr>
        <w:t>во на правотворческую инициативу, а также необходимость прин</w:t>
      </w:r>
      <w:r w:rsidRPr="00EC1A78">
        <w:rPr>
          <w:rFonts w:eastAsiaTheme="minorHAnsi"/>
          <w:sz w:val="22"/>
          <w:szCs w:val="22"/>
          <w:lang w:eastAsia="en-US"/>
        </w:rPr>
        <w:t>я</w:t>
      </w:r>
      <w:r w:rsidRPr="00EC1A78">
        <w:rPr>
          <w:rFonts w:eastAsiaTheme="minorHAnsi"/>
          <w:sz w:val="22"/>
          <w:szCs w:val="22"/>
          <w:lang w:eastAsia="en-US"/>
        </w:rPr>
        <w:t>тия закона субъекта, регулирующего особенности и порядок ее ре</w:t>
      </w:r>
      <w:r w:rsidRPr="00EC1A78">
        <w:rPr>
          <w:rFonts w:eastAsiaTheme="minorHAnsi"/>
          <w:sz w:val="22"/>
          <w:szCs w:val="22"/>
          <w:lang w:eastAsia="en-US"/>
        </w:rPr>
        <w:t>а</w:t>
      </w:r>
      <w:r w:rsidRPr="00EC1A78">
        <w:rPr>
          <w:rFonts w:eastAsiaTheme="minorHAnsi"/>
          <w:sz w:val="22"/>
          <w:szCs w:val="22"/>
          <w:lang w:eastAsia="en-US"/>
        </w:rPr>
        <w:t>лизации. Следует отметить, что положения о правотворческой ин</w:t>
      </w:r>
      <w:r w:rsidRPr="00EC1A78">
        <w:rPr>
          <w:rFonts w:eastAsiaTheme="minorHAnsi"/>
          <w:sz w:val="22"/>
          <w:szCs w:val="22"/>
          <w:lang w:eastAsia="en-US"/>
        </w:rPr>
        <w:t>и</w:t>
      </w:r>
      <w:r w:rsidRPr="00EC1A78">
        <w:rPr>
          <w:rFonts w:eastAsiaTheme="minorHAnsi"/>
          <w:sz w:val="22"/>
          <w:szCs w:val="22"/>
          <w:lang w:eastAsia="en-US"/>
        </w:rPr>
        <w:t xml:space="preserve">циативе включены в Конституции (уставы) только 34 субъектов РФ из 85, что препятствует ее реализации. </w:t>
      </w:r>
    </w:p>
    <w:p w:rsidR="00425497" w:rsidRPr="00425497" w:rsidRDefault="00EC1A78" w:rsidP="00425497">
      <w:pPr>
        <w:tabs>
          <w:tab w:val="left" w:pos="708"/>
        </w:tabs>
        <w:ind w:firstLine="426"/>
        <w:jc w:val="both"/>
        <w:rPr>
          <w:rFonts w:eastAsiaTheme="minorHAnsi"/>
          <w:sz w:val="22"/>
          <w:szCs w:val="22"/>
          <w:lang w:eastAsia="en-US"/>
        </w:rPr>
      </w:pPr>
      <w:r w:rsidRPr="00EC1A78">
        <w:rPr>
          <w:rFonts w:eastAsiaTheme="minorHAnsi"/>
          <w:sz w:val="22"/>
          <w:szCs w:val="22"/>
          <w:lang w:eastAsia="en-US"/>
        </w:rPr>
        <w:t>Основную роль в регулировании данных общественных отн</w:t>
      </w:r>
      <w:r w:rsidRPr="00EC1A78">
        <w:rPr>
          <w:rFonts w:eastAsiaTheme="minorHAnsi"/>
          <w:sz w:val="22"/>
          <w:szCs w:val="22"/>
          <w:lang w:eastAsia="en-US"/>
        </w:rPr>
        <w:t>о</w:t>
      </w:r>
      <w:r w:rsidRPr="00EC1A78">
        <w:rPr>
          <w:rFonts w:eastAsiaTheme="minorHAnsi"/>
          <w:sz w:val="22"/>
          <w:szCs w:val="22"/>
          <w:lang w:eastAsia="en-US"/>
        </w:rPr>
        <w:t>шений должен занимать закон субъекта РФ о правотворческой ин</w:t>
      </w:r>
      <w:r w:rsidRPr="00EC1A78">
        <w:rPr>
          <w:rFonts w:eastAsiaTheme="minorHAnsi"/>
          <w:sz w:val="22"/>
          <w:szCs w:val="22"/>
          <w:lang w:eastAsia="en-US"/>
        </w:rPr>
        <w:t>и</w:t>
      </w:r>
      <w:r w:rsidRPr="00EC1A78">
        <w:rPr>
          <w:rFonts w:eastAsiaTheme="minorHAnsi"/>
          <w:sz w:val="22"/>
          <w:szCs w:val="22"/>
          <w:lang w:eastAsia="en-US"/>
        </w:rPr>
        <w:t>циативе граждан, регулирующий порядок осуществления данной формы непосредственного народовластия, что позволит стимулир</w:t>
      </w:r>
      <w:r w:rsidRPr="00EC1A78">
        <w:rPr>
          <w:rFonts w:eastAsiaTheme="minorHAnsi"/>
          <w:sz w:val="22"/>
          <w:szCs w:val="22"/>
          <w:lang w:eastAsia="en-US"/>
        </w:rPr>
        <w:t>о</w:t>
      </w:r>
      <w:r w:rsidRPr="00EC1A78">
        <w:rPr>
          <w:rFonts w:eastAsiaTheme="minorHAnsi"/>
          <w:sz w:val="22"/>
          <w:szCs w:val="22"/>
          <w:lang w:eastAsia="en-US"/>
        </w:rPr>
        <w:t>вать участие граждан в осуществлении государственной власти. При этом механизм реализации правотворческой инициативы «должен быть действенным, чтобы не сложилась ситуация, когда формально порядок закреплен, а реализовать его на практике н</w:t>
      </w:r>
      <w:r w:rsidRPr="00EC1A78">
        <w:rPr>
          <w:rFonts w:eastAsiaTheme="minorHAnsi"/>
          <w:sz w:val="22"/>
          <w:szCs w:val="22"/>
          <w:lang w:eastAsia="en-US"/>
        </w:rPr>
        <w:t>е</w:t>
      </w:r>
      <w:r w:rsidRPr="00EC1A78">
        <w:rPr>
          <w:rFonts w:eastAsiaTheme="minorHAnsi"/>
          <w:sz w:val="22"/>
          <w:szCs w:val="22"/>
          <w:lang w:eastAsia="en-US"/>
        </w:rPr>
        <w:t>возможно»</w:t>
      </w:r>
      <w:r w:rsidRPr="00EC1A78">
        <w:rPr>
          <w:rFonts w:eastAsia="Calibri"/>
          <w:sz w:val="22"/>
          <w:szCs w:val="24"/>
        </w:rPr>
        <w:t>[1]</w:t>
      </w:r>
      <w:r w:rsidRPr="00EC1A78">
        <w:rPr>
          <w:rFonts w:eastAsiaTheme="minorHAnsi"/>
          <w:sz w:val="22"/>
          <w:szCs w:val="22"/>
          <w:lang w:eastAsia="en-US"/>
        </w:rPr>
        <w:t xml:space="preserve">. </w:t>
      </w:r>
    </w:p>
    <w:p w:rsidR="00163DEF" w:rsidRDefault="00163DEF" w:rsidP="00EC1A78">
      <w:pPr>
        <w:tabs>
          <w:tab w:val="left" w:pos="708"/>
        </w:tabs>
        <w:ind w:firstLine="540"/>
        <w:jc w:val="center"/>
        <w:rPr>
          <w:sz w:val="22"/>
          <w:szCs w:val="22"/>
        </w:rPr>
      </w:pPr>
    </w:p>
    <w:p w:rsidR="00163DEF" w:rsidRDefault="00163DEF" w:rsidP="00EC1A78">
      <w:pPr>
        <w:tabs>
          <w:tab w:val="left" w:pos="708"/>
        </w:tabs>
        <w:ind w:firstLine="540"/>
        <w:jc w:val="center"/>
        <w:rPr>
          <w:sz w:val="22"/>
          <w:szCs w:val="22"/>
        </w:rPr>
      </w:pPr>
    </w:p>
    <w:p w:rsidR="00EC1A78" w:rsidRPr="00EC1A78" w:rsidRDefault="00EC1A78" w:rsidP="00EC1A78">
      <w:pPr>
        <w:tabs>
          <w:tab w:val="left" w:pos="708"/>
        </w:tabs>
        <w:ind w:firstLine="540"/>
        <w:jc w:val="center"/>
        <w:rPr>
          <w:sz w:val="22"/>
          <w:szCs w:val="22"/>
        </w:rPr>
      </w:pPr>
      <w:r w:rsidRPr="00EC1A78">
        <w:rPr>
          <w:sz w:val="22"/>
          <w:szCs w:val="22"/>
        </w:rPr>
        <w:lastRenderedPageBreak/>
        <w:t>Список литературы</w:t>
      </w:r>
    </w:p>
    <w:p w:rsidR="00EC1A78" w:rsidRPr="00EC1A78" w:rsidRDefault="00EC1A78" w:rsidP="00EC1A78">
      <w:pPr>
        <w:tabs>
          <w:tab w:val="left" w:pos="708"/>
        </w:tabs>
        <w:ind w:firstLine="426"/>
        <w:jc w:val="both"/>
        <w:rPr>
          <w:rFonts w:eastAsiaTheme="minorHAnsi"/>
          <w:sz w:val="22"/>
          <w:szCs w:val="22"/>
          <w:lang w:eastAsia="en-US"/>
        </w:rPr>
      </w:pPr>
      <w:r w:rsidRPr="00EC1A78">
        <w:rPr>
          <w:sz w:val="22"/>
          <w:szCs w:val="22"/>
        </w:rPr>
        <w:t>1</w:t>
      </w:r>
      <w:r w:rsidRPr="00EC1A78">
        <w:rPr>
          <w:rFonts w:eastAsiaTheme="minorHAnsi"/>
          <w:sz w:val="22"/>
          <w:szCs w:val="22"/>
          <w:lang w:eastAsia="en-US"/>
        </w:rPr>
        <w:t>. Савченко М.С. Правовые основы и особенности реализации населением муниципальных образований форм непосредственной демократии // Ленинградский юридический журнал. 2013. № 4. – С. 196–203.</w:t>
      </w:r>
    </w:p>
    <w:p w:rsidR="00EC1A78" w:rsidRDefault="00EC1A78" w:rsidP="00EC1A78">
      <w:pPr>
        <w:jc w:val="both"/>
        <w:rPr>
          <w:rFonts w:eastAsiaTheme="minorHAnsi"/>
          <w:sz w:val="22"/>
          <w:szCs w:val="22"/>
          <w:lang w:eastAsia="en-US"/>
        </w:rPr>
      </w:pPr>
    </w:p>
    <w:p w:rsidR="00425497" w:rsidRPr="00EC1A78" w:rsidRDefault="00425497" w:rsidP="00EC1A78">
      <w:pPr>
        <w:jc w:val="both"/>
        <w:rPr>
          <w:rFonts w:eastAsiaTheme="minorHAnsi"/>
          <w:sz w:val="22"/>
          <w:szCs w:val="22"/>
          <w:lang w:eastAsia="en-US"/>
        </w:rPr>
      </w:pPr>
    </w:p>
    <w:p w:rsidR="00425497" w:rsidRDefault="00EC1A78" w:rsidP="00425497">
      <w:pPr>
        <w:rPr>
          <w:rFonts w:eastAsiaTheme="minorHAnsi"/>
          <w:sz w:val="22"/>
          <w:szCs w:val="22"/>
          <w:lang w:eastAsia="en-US"/>
        </w:rPr>
      </w:pPr>
      <w:r w:rsidRPr="00EC1A78">
        <w:rPr>
          <w:rFonts w:eastAsiaTheme="minorHAnsi"/>
          <w:sz w:val="22"/>
          <w:szCs w:val="22"/>
          <w:lang w:eastAsia="en-US"/>
        </w:rPr>
        <w:t>УДК 343.9</w:t>
      </w:r>
    </w:p>
    <w:p w:rsidR="00163DEF" w:rsidRPr="00EC1A78" w:rsidRDefault="00163DEF" w:rsidP="00425497">
      <w:pPr>
        <w:rPr>
          <w:rFonts w:eastAsiaTheme="minorHAnsi"/>
          <w:sz w:val="22"/>
          <w:szCs w:val="22"/>
          <w:lang w:eastAsia="en-US"/>
        </w:rPr>
      </w:pPr>
    </w:p>
    <w:p w:rsidR="00EC1A78" w:rsidRPr="00163DEF" w:rsidRDefault="00EC1A78" w:rsidP="00EC1A78">
      <w:pPr>
        <w:jc w:val="center"/>
        <w:rPr>
          <w:rFonts w:eastAsiaTheme="minorHAnsi"/>
          <w:b/>
          <w:sz w:val="24"/>
          <w:szCs w:val="24"/>
          <w:lang w:eastAsia="en-US"/>
        </w:rPr>
      </w:pPr>
      <w:r w:rsidRPr="00163DEF">
        <w:rPr>
          <w:rFonts w:eastAsiaTheme="minorHAnsi"/>
          <w:b/>
          <w:sz w:val="24"/>
          <w:szCs w:val="24"/>
          <w:lang w:eastAsia="en-US"/>
        </w:rPr>
        <w:t xml:space="preserve">О теоретических основах и целях виктимологической </w:t>
      </w:r>
      <w:r w:rsidR="00E62E4B" w:rsidRPr="00163DEF">
        <w:rPr>
          <w:rFonts w:eastAsiaTheme="minorHAnsi"/>
          <w:b/>
          <w:sz w:val="24"/>
          <w:szCs w:val="24"/>
          <w:lang w:eastAsia="en-US"/>
        </w:rPr>
        <w:br/>
      </w:r>
      <w:r w:rsidRPr="00163DEF">
        <w:rPr>
          <w:rFonts w:eastAsiaTheme="minorHAnsi"/>
          <w:b/>
          <w:sz w:val="24"/>
          <w:szCs w:val="24"/>
          <w:lang w:eastAsia="en-US"/>
        </w:rPr>
        <w:t xml:space="preserve">профилактики преступлений </w:t>
      </w:r>
    </w:p>
    <w:p w:rsidR="00EC1A78" w:rsidRPr="00163DEF" w:rsidRDefault="00EC1A78" w:rsidP="00EC1A78">
      <w:pPr>
        <w:jc w:val="center"/>
        <w:rPr>
          <w:rFonts w:eastAsiaTheme="minorHAnsi"/>
          <w:b/>
          <w:bCs/>
          <w:color w:val="000000"/>
          <w:sz w:val="24"/>
          <w:szCs w:val="24"/>
          <w:shd w:val="clear" w:color="auto" w:fill="FFFFFF"/>
          <w:lang w:eastAsia="en-US"/>
        </w:rPr>
      </w:pPr>
      <w:r w:rsidRPr="00163DEF">
        <w:rPr>
          <w:rFonts w:eastAsiaTheme="minorHAnsi"/>
          <w:b/>
          <w:bCs/>
          <w:color w:val="000000"/>
          <w:sz w:val="24"/>
          <w:szCs w:val="24"/>
          <w:shd w:val="clear" w:color="auto" w:fill="FFFFFF"/>
          <w:lang w:val="en-US" w:eastAsia="en-US"/>
        </w:rPr>
        <w:t>On</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the</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theoretical</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basics</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and</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to</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crime</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prevention</w:t>
      </w:r>
      <w:r w:rsidRPr="00163DEF">
        <w:rPr>
          <w:rFonts w:eastAsiaTheme="minorHAnsi"/>
          <w:b/>
          <w:bCs/>
          <w:color w:val="000000"/>
          <w:sz w:val="24"/>
          <w:szCs w:val="24"/>
          <w:shd w:val="clear" w:color="auto" w:fill="FFFFFF"/>
          <w:lang w:eastAsia="en-US"/>
        </w:rPr>
        <w:t xml:space="preserve"> </w:t>
      </w:r>
      <w:r w:rsidRPr="00163DEF">
        <w:rPr>
          <w:rFonts w:eastAsiaTheme="minorHAnsi"/>
          <w:b/>
          <w:bCs/>
          <w:color w:val="000000"/>
          <w:sz w:val="24"/>
          <w:szCs w:val="24"/>
          <w:shd w:val="clear" w:color="auto" w:fill="FFFFFF"/>
          <w:lang w:val="en-US" w:eastAsia="en-US"/>
        </w:rPr>
        <w:t>viktimologic</w:t>
      </w:r>
    </w:p>
    <w:p w:rsidR="00EC1A78" w:rsidRPr="00EC1A78" w:rsidRDefault="00EC1A78" w:rsidP="00EC1A78">
      <w:pPr>
        <w:jc w:val="right"/>
        <w:rPr>
          <w:rFonts w:eastAsiaTheme="minorHAnsi"/>
          <w:bCs/>
          <w:color w:val="000000"/>
          <w:sz w:val="22"/>
          <w:szCs w:val="22"/>
          <w:shd w:val="clear" w:color="auto" w:fill="FFFFFF"/>
          <w:lang w:eastAsia="en-US"/>
        </w:rPr>
      </w:pPr>
    </w:p>
    <w:p w:rsidR="00EC1A78" w:rsidRPr="00425497" w:rsidRDefault="00EC1A78" w:rsidP="00EC1A78">
      <w:pPr>
        <w:jc w:val="right"/>
        <w:rPr>
          <w:rFonts w:eastAsiaTheme="minorHAnsi"/>
          <w:sz w:val="21"/>
          <w:szCs w:val="21"/>
          <w:lang w:eastAsia="en-US"/>
        </w:rPr>
      </w:pPr>
      <w:r w:rsidRPr="00425497">
        <w:rPr>
          <w:rFonts w:eastAsiaTheme="minorHAnsi"/>
          <w:bCs/>
          <w:color w:val="000000"/>
          <w:sz w:val="21"/>
          <w:szCs w:val="21"/>
          <w:shd w:val="clear" w:color="auto" w:fill="FFFFFF"/>
          <w:lang w:eastAsia="en-US"/>
        </w:rPr>
        <w:t>Пастухов М.</w:t>
      </w:r>
      <w:r w:rsidR="00C86D06" w:rsidRPr="00425497">
        <w:rPr>
          <w:rFonts w:eastAsiaTheme="minorHAnsi"/>
          <w:bCs/>
          <w:color w:val="000000"/>
          <w:sz w:val="21"/>
          <w:szCs w:val="21"/>
          <w:shd w:val="clear" w:color="auto" w:fill="FFFFFF"/>
          <w:lang w:eastAsia="en-US"/>
        </w:rPr>
        <w:t xml:space="preserve"> </w:t>
      </w:r>
      <w:r w:rsidRPr="00425497">
        <w:rPr>
          <w:rFonts w:eastAsiaTheme="minorHAnsi"/>
          <w:bCs/>
          <w:color w:val="000000"/>
          <w:sz w:val="21"/>
          <w:szCs w:val="21"/>
          <w:shd w:val="clear" w:color="auto" w:fill="FFFFFF"/>
          <w:lang w:eastAsia="en-US"/>
        </w:rPr>
        <w:t>М.,</w:t>
      </w:r>
    </w:p>
    <w:p w:rsidR="00EC1A78" w:rsidRPr="00425497" w:rsidRDefault="00EC1A78" w:rsidP="00EC1A78">
      <w:pPr>
        <w:jc w:val="right"/>
        <w:rPr>
          <w:rFonts w:eastAsiaTheme="minorHAnsi"/>
          <w:sz w:val="21"/>
          <w:szCs w:val="21"/>
          <w:shd w:val="clear" w:color="auto" w:fill="FFFFFF"/>
          <w:lang w:eastAsia="en-US"/>
        </w:rPr>
      </w:pPr>
      <w:r w:rsidRPr="00425497">
        <w:rPr>
          <w:rFonts w:eastAsiaTheme="minorHAnsi"/>
          <w:sz w:val="21"/>
          <w:szCs w:val="21"/>
          <w:shd w:val="clear" w:color="auto" w:fill="FFFFFF"/>
          <w:lang w:eastAsia="en-US"/>
        </w:rPr>
        <w:t>студент 2–го курса юридического факультета</w:t>
      </w:r>
    </w:p>
    <w:p w:rsidR="00EC1A78" w:rsidRPr="00425497" w:rsidRDefault="00EC1A78" w:rsidP="00EC1A78">
      <w:pPr>
        <w:jc w:val="right"/>
        <w:rPr>
          <w:rFonts w:eastAsiaTheme="minorHAnsi"/>
          <w:bCs/>
          <w:color w:val="000000"/>
          <w:sz w:val="21"/>
          <w:szCs w:val="21"/>
          <w:shd w:val="clear" w:color="auto" w:fill="FFFFFF"/>
          <w:lang w:eastAsia="en-US"/>
        </w:rPr>
      </w:pPr>
      <w:r w:rsidRPr="00425497">
        <w:rPr>
          <w:rFonts w:eastAsiaTheme="minorHAnsi"/>
          <w:bCs/>
          <w:color w:val="000000"/>
          <w:sz w:val="21"/>
          <w:szCs w:val="21"/>
          <w:shd w:val="clear" w:color="auto" w:fill="FFFFFF"/>
          <w:lang w:eastAsia="en-US"/>
        </w:rPr>
        <w:t>Картавченко В.</w:t>
      </w:r>
      <w:r w:rsidR="00C86D06" w:rsidRPr="00425497">
        <w:rPr>
          <w:rFonts w:eastAsiaTheme="minorHAnsi"/>
          <w:bCs/>
          <w:color w:val="000000"/>
          <w:sz w:val="21"/>
          <w:szCs w:val="21"/>
          <w:shd w:val="clear" w:color="auto" w:fill="FFFFFF"/>
          <w:lang w:eastAsia="en-US"/>
        </w:rPr>
        <w:t xml:space="preserve"> </w:t>
      </w:r>
      <w:r w:rsidRPr="00425497">
        <w:rPr>
          <w:rFonts w:eastAsiaTheme="minorHAnsi"/>
          <w:bCs/>
          <w:color w:val="000000"/>
          <w:sz w:val="21"/>
          <w:szCs w:val="21"/>
          <w:shd w:val="clear" w:color="auto" w:fill="FFFFFF"/>
          <w:lang w:eastAsia="en-US"/>
        </w:rPr>
        <w:t>В.,</w:t>
      </w:r>
    </w:p>
    <w:p w:rsidR="00EC1A78" w:rsidRPr="00425497" w:rsidRDefault="00EC1A78" w:rsidP="00EC1A78">
      <w:pPr>
        <w:jc w:val="right"/>
        <w:rPr>
          <w:rFonts w:eastAsiaTheme="minorHAnsi"/>
          <w:sz w:val="21"/>
          <w:szCs w:val="21"/>
          <w:shd w:val="clear" w:color="auto" w:fill="FFFFFF"/>
          <w:lang w:eastAsia="en-US"/>
        </w:rPr>
      </w:pPr>
      <w:r w:rsidRPr="00425497">
        <w:rPr>
          <w:rFonts w:eastAsiaTheme="minorHAnsi"/>
          <w:sz w:val="21"/>
          <w:szCs w:val="21"/>
          <w:shd w:val="clear" w:color="auto" w:fill="FFFFFF"/>
          <w:lang w:eastAsia="en-US"/>
        </w:rPr>
        <w:t>доцент кафедры уголовного права</w:t>
      </w:r>
    </w:p>
    <w:p w:rsidR="00EC1A78" w:rsidRPr="00425497" w:rsidRDefault="00EC1A78" w:rsidP="00EC1A78">
      <w:pPr>
        <w:jc w:val="right"/>
        <w:rPr>
          <w:rFonts w:eastAsiaTheme="minorHAnsi"/>
          <w:sz w:val="21"/>
          <w:szCs w:val="21"/>
          <w:lang w:eastAsia="en-US"/>
        </w:rPr>
      </w:pPr>
      <w:r w:rsidRPr="00425497">
        <w:rPr>
          <w:rFonts w:eastAsiaTheme="minorHAnsi"/>
          <w:sz w:val="21"/>
          <w:szCs w:val="21"/>
          <w:lang w:eastAsia="en-US"/>
        </w:rPr>
        <w:t>Кубанский государственный аграрный</w:t>
      </w:r>
    </w:p>
    <w:p w:rsidR="00EC1A78" w:rsidRPr="00425497" w:rsidRDefault="00EC1A78" w:rsidP="00EC1A78">
      <w:pPr>
        <w:jc w:val="right"/>
        <w:rPr>
          <w:rFonts w:eastAsiaTheme="minorHAnsi"/>
          <w:sz w:val="21"/>
          <w:szCs w:val="21"/>
          <w:shd w:val="clear" w:color="auto" w:fill="FFFFFF"/>
          <w:lang w:eastAsia="en-US"/>
        </w:rPr>
      </w:pPr>
      <w:r w:rsidRPr="00425497">
        <w:rPr>
          <w:rFonts w:eastAsiaTheme="minorHAnsi"/>
          <w:sz w:val="21"/>
          <w:szCs w:val="21"/>
          <w:lang w:eastAsia="en-US"/>
        </w:rPr>
        <w:t xml:space="preserve"> университет имени И.</w:t>
      </w:r>
      <w:r w:rsidR="00C86D06" w:rsidRPr="00425497">
        <w:rPr>
          <w:rFonts w:eastAsiaTheme="minorHAnsi"/>
          <w:sz w:val="21"/>
          <w:szCs w:val="21"/>
          <w:lang w:eastAsia="en-US"/>
        </w:rPr>
        <w:t xml:space="preserve"> </w:t>
      </w:r>
      <w:r w:rsidRPr="00425497">
        <w:rPr>
          <w:rFonts w:eastAsiaTheme="minorHAnsi"/>
          <w:sz w:val="21"/>
          <w:szCs w:val="21"/>
          <w:lang w:eastAsia="en-US"/>
        </w:rPr>
        <w:t>Т. Трубилина</w:t>
      </w:r>
    </w:p>
    <w:p w:rsidR="00EC1A78" w:rsidRPr="00EC1A78" w:rsidRDefault="00EC1A78" w:rsidP="00EC1A78">
      <w:pPr>
        <w:ind w:firstLine="708"/>
        <w:rPr>
          <w:rFonts w:eastAsiaTheme="minorHAnsi"/>
          <w:sz w:val="22"/>
          <w:szCs w:val="22"/>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АННОТАЦИЯ: В данной работе рассматриваются теоретич</w:t>
      </w:r>
      <w:r w:rsidRPr="00EC1A78">
        <w:rPr>
          <w:rFonts w:eastAsiaTheme="minorHAnsi"/>
          <w:sz w:val="22"/>
          <w:szCs w:val="22"/>
          <w:lang w:eastAsia="en-US"/>
        </w:rPr>
        <w:t>е</w:t>
      </w:r>
      <w:r w:rsidRPr="00EC1A78">
        <w:rPr>
          <w:rFonts w:eastAsiaTheme="minorHAnsi"/>
          <w:sz w:val="22"/>
          <w:szCs w:val="22"/>
          <w:lang w:eastAsia="en-US"/>
        </w:rPr>
        <w:t>ские основы и  цели виктимологической профилактики преступл</w:t>
      </w:r>
      <w:r w:rsidRPr="00EC1A78">
        <w:rPr>
          <w:rFonts w:eastAsiaTheme="minorHAnsi"/>
          <w:sz w:val="22"/>
          <w:szCs w:val="22"/>
          <w:lang w:eastAsia="en-US"/>
        </w:rPr>
        <w:t>е</w:t>
      </w:r>
      <w:r w:rsidRPr="00EC1A78">
        <w:rPr>
          <w:rFonts w:eastAsiaTheme="minorHAnsi"/>
          <w:sz w:val="22"/>
          <w:szCs w:val="22"/>
          <w:lang w:eastAsia="en-US"/>
        </w:rPr>
        <w:t>ний, проводится анализ законодательной базы в области предупр</w:t>
      </w:r>
      <w:r w:rsidRPr="00EC1A78">
        <w:rPr>
          <w:rFonts w:eastAsiaTheme="minorHAnsi"/>
          <w:sz w:val="22"/>
          <w:szCs w:val="22"/>
          <w:lang w:eastAsia="en-US"/>
        </w:rPr>
        <w:t>е</w:t>
      </w:r>
      <w:r w:rsidRPr="00EC1A78">
        <w:rPr>
          <w:rFonts w:eastAsiaTheme="minorHAnsi"/>
          <w:sz w:val="22"/>
          <w:szCs w:val="22"/>
          <w:lang w:eastAsia="en-US"/>
        </w:rPr>
        <w:t>ждения преступности. Анализируется</w:t>
      </w:r>
      <w:r w:rsidRPr="00EC1A78">
        <w:rPr>
          <w:rFonts w:eastAsiaTheme="minorHAnsi"/>
          <w:sz w:val="22"/>
          <w:szCs w:val="22"/>
          <w:lang w:val="en-US" w:eastAsia="en-US"/>
        </w:rPr>
        <w:t xml:space="preserve"> </w:t>
      </w:r>
      <w:r w:rsidRPr="00EC1A78">
        <w:rPr>
          <w:rFonts w:eastAsiaTheme="minorHAnsi"/>
          <w:sz w:val="22"/>
          <w:szCs w:val="22"/>
          <w:lang w:eastAsia="en-US"/>
        </w:rPr>
        <w:t>содержание</w:t>
      </w:r>
      <w:r w:rsidRPr="00EC1A78">
        <w:rPr>
          <w:rFonts w:eastAsiaTheme="minorHAnsi"/>
          <w:sz w:val="22"/>
          <w:szCs w:val="22"/>
          <w:lang w:val="en-US" w:eastAsia="en-US"/>
        </w:rPr>
        <w:t xml:space="preserve"> </w:t>
      </w:r>
      <w:r w:rsidRPr="00EC1A78">
        <w:rPr>
          <w:rFonts w:eastAsiaTheme="minorHAnsi"/>
          <w:sz w:val="22"/>
          <w:szCs w:val="22"/>
          <w:lang w:eastAsia="en-US"/>
        </w:rPr>
        <w:t>таких</w:t>
      </w:r>
      <w:r w:rsidRPr="00EC1A78">
        <w:rPr>
          <w:rFonts w:eastAsiaTheme="minorHAnsi"/>
          <w:sz w:val="22"/>
          <w:szCs w:val="22"/>
          <w:lang w:val="en-US" w:eastAsia="en-US"/>
        </w:rPr>
        <w:t xml:space="preserve"> </w:t>
      </w:r>
      <w:r w:rsidRPr="00EC1A78">
        <w:rPr>
          <w:rFonts w:eastAsiaTheme="minorHAnsi"/>
          <w:sz w:val="22"/>
          <w:szCs w:val="22"/>
          <w:lang w:eastAsia="en-US"/>
        </w:rPr>
        <w:t>понятий</w:t>
      </w:r>
      <w:r w:rsidRPr="00EC1A78">
        <w:rPr>
          <w:rFonts w:eastAsiaTheme="minorHAnsi"/>
          <w:sz w:val="22"/>
          <w:szCs w:val="22"/>
          <w:lang w:val="en-US" w:eastAsia="en-US"/>
        </w:rPr>
        <w:t xml:space="preserve"> </w:t>
      </w:r>
      <w:r w:rsidRPr="00EC1A78">
        <w:rPr>
          <w:rFonts w:eastAsiaTheme="minorHAnsi"/>
          <w:sz w:val="22"/>
          <w:szCs w:val="22"/>
          <w:lang w:eastAsia="en-US"/>
        </w:rPr>
        <w:t>как</w:t>
      </w:r>
      <w:r w:rsidRPr="00EC1A78">
        <w:rPr>
          <w:rFonts w:eastAsiaTheme="minorHAnsi"/>
          <w:sz w:val="22"/>
          <w:szCs w:val="22"/>
          <w:lang w:val="en-US" w:eastAsia="en-US"/>
        </w:rPr>
        <w:t xml:space="preserve"> «</w:t>
      </w:r>
      <w:r w:rsidRPr="00EC1A78">
        <w:rPr>
          <w:rFonts w:eastAsiaTheme="minorHAnsi"/>
          <w:sz w:val="22"/>
          <w:szCs w:val="22"/>
          <w:lang w:eastAsia="en-US"/>
        </w:rPr>
        <w:t>жертва</w:t>
      </w:r>
      <w:r w:rsidRPr="00EC1A78">
        <w:rPr>
          <w:rFonts w:eastAsiaTheme="minorHAnsi"/>
          <w:sz w:val="22"/>
          <w:szCs w:val="22"/>
          <w:lang w:val="en-US" w:eastAsia="en-US"/>
        </w:rPr>
        <w:t xml:space="preserve"> </w:t>
      </w:r>
      <w:r w:rsidRPr="00EC1A78">
        <w:rPr>
          <w:rFonts w:eastAsiaTheme="minorHAnsi"/>
          <w:sz w:val="22"/>
          <w:szCs w:val="22"/>
          <w:lang w:eastAsia="en-US"/>
        </w:rPr>
        <w:t>преступления</w:t>
      </w:r>
      <w:r w:rsidRPr="00EC1A78">
        <w:rPr>
          <w:rFonts w:eastAsiaTheme="minorHAnsi"/>
          <w:sz w:val="22"/>
          <w:szCs w:val="22"/>
          <w:lang w:val="en-US" w:eastAsia="en-US"/>
        </w:rPr>
        <w:t xml:space="preserve">» </w:t>
      </w:r>
      <w:r w:rsidRPr="00EC1A78">
        <w:rPr>
          <w:rFonts w:eastAsiaTheme="minorHAnsi"/>
          <w:sz w:val="22"/>
          <w:szCs w:val="22"/>
          <w:lang w:eastAsia="en-US"/>
        </w:rPr>
        <w:t>и</w:t>
      </w:r>
      <w:r w:rsidRPr="00EC1A78">
        <w:rPr>
          <w:rFonts w:eastAsiaTheme="minorHAnsi"/>
          <w:sz w:val="22"/>
          <w:szCs w:val="22"/>
          <w:lang w:val="en-US" w:eastAsia="en-US"/>
        </w:rPr>
        <w:t xml:space="preserve"> «</w:t>
      </w:r>
      <w:r w:rsidRPr="00EC1A78">
        <w:rPr>
          <w:rFonts w:eastAsiaTheme="minorHAnsi"/>
          <w:sz w:val="22"/>
          <w:szCs w:val="22"/>
          <w:lang w:eastAsia="en-US"/>
        </w:rPr>
        <w:t>потерпевший</w:t>
      </w:r>
      <w:r w:rsidRPr="00EC1A78">
        <w:rPr>
          <w:rFonts w:eastAsiaTheme="minorHAnsi"/>
          <w:sz w:val="22"/>
          <w:szCs w:val="22"/>
          <w:lang w:val="en-US" w:eastAsia="en-US"/>
        </w:rPr>
        <w:t>».</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this paper deals with the theoretical foundations and objectives viktimologi</w:t>
      </w:r>
      <w:r w:rsidRPr="00EC1A78">
        <w:rPr>
          <w:rFonts w:eastAsiaTheme="minorHAnsi"/>
          <w:sz w:val="22"/>
          <w:szCs w:val="22"/>
          <w:lang w:eastAsia="en-US"/>
        </w:rPr>
        <w:t>с</w:t>
      </w:r>
      <w:r w:rsidRPr="00EC1A78">
        <w:rPr>
          <w:rFonts w:eastAsiaTheme="minorHAnsi"/>
          <w:sz w:val="22"/>
          <w:szCs w:val="22"/>
          <w:lang w:val="en-US" w:eastAsia="en-US"/>
        </w:rPr>
        <w:t xml:space="preserve"> crime prevention, analyses the legislative framework in the field of crime prevention. Analysing the content of concepts such as «victim of the crime» and «victim».</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преступность, виктимологическая пр</w:t>
      </w:r>
      <w:r w:rsidRPr="00EC1A78">
        <w:rPr>
          <w:rFonts w:eastAsiaTheme="minorHAnsi"/>
          <w:sz w:val="22"/>
          <w:szCs w:val="22"/>
          <w:lang w:eastAsia="en-US"/>
        </w:rPr>
        <w:t>о</w:t>
      </w:r>
      <w:r w:rsidRPr="00EC1A78">
        <w:rPr>
          <w:rFonts w:eastAsiaTheme="minorHAnsi"/>
          <w:sz w:val="22"/>
          <w:szCs w:val="22"/>
          <w:lang w:eastAsia="en-US"/>
        </w:rPr>
        <w:t>филактика, жертва, потерпевший, виктимность, виктимное повед</w:t>
      </w:r>
      <w:r w:rsidRPr="00EC1A78">
        <w:rPr>
          <w:rFonts w:eastAsiaTheme="minorHAnsi"/>
          <w:sz w:val="22"/>
          <w:szCs w:val="22"/>
          <w:lang w:eastAsia="en-US"/>
        </w:rPr>
        <w:t>е</w:t>
      </w:r>
      <w:r w:rsidRPr="00EC1A78">
        <w:rPr>
          <w:rFonts w:eastAsiaTheme="minorHAnsi"/>
          <w:sz w:val="22"/>
          <w:szCs w:val="22"/>
          <w:lang w:eastAsia="en-US"/>
        </w:rPr>
        <w:t xml:space="preserve">ние,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crime prevention, vitktimologic, the victim, the vi</w:t>
      </w:r>
      <w:r w:rsidRPr="00EC1A78">
        <w:rPr>
          <w:rFonts w:eastAsiaTheme="minorHAnsi"/>
          <w:sz w:val="22"/>
          <w:szCs w:val="22"/>
          <w:lang w:val="en-US" w:eastAsia="en-US"/>
        </w:rPr>
        <w:t>c</w:t>
      </w:r>
      <w:r w:rsidRPr="00EC1A78">
        <w:rPr>
          <w:rFonts w:eastAsiaTheme="minorHAnsi"/>
          <w:sz w:val="22"/>
          <w:szCs w:val="22"/>
          <w:lang w:val="en-US" w:eastAsia="en-US"/>
        </w:rPr>
        <w:t>tim, victimization, viktim behaviour,</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Весьма длительный период правоохранительная деятельность являлась приоритетно ориентированной на работу, в большинстве случаев, с преступлением и преступником, без достаточного обр</w:t>
      </w:r>
      <w:r w:rsidRPr="00EC1A78">
        <w:rPr>
          <w:rFonts w:eastAsiaTheme="minorHAnsi"/>
          <w:sz w:val="22"/>
          <w:szCs w:val="22"/>
          <w:lang w:eastAsia="en-US"/>
        </w:rPr>
        <w:t>а</w:t>
      </w:r>
      <w:r w:rsidRPr="00EC1A78">
        <w:rPr>
          <w:rFonts w:eastAsiaTheme="minorHAnsi"/>
          <w:sz w:val="22"/>
          <w:szCs w:val="22"/>
          <w:lang w:eastAsia="en-US"/>
        </w:rPr>
        <w:lastRenderedPageBreak/>
        <w:t>щения внимания к самой жертве преступления. Следствием этого стало то, что криминологической наукой не изучались личные ос</w:t>
      </w:r>
      <w:r w:rsidRPr="00EC1A78">
        <w:rPr>
          <w:rFonts w:eastAsiaTheme="minorHAnsi"/>
          <w:sz w:val="22"/>
          <w:szCs w:val="22"/>
          <w:lang w:eastAsia="en-US"/>
        </w:rPr>
        <w:t>о</w:t>
      </w:r>
      <w:r w:rsidRPr="00EC1A78">
        <w:rPr>
          <w:rFonts w:eastAsiaTheme="minorHAnsi"/>
          <w:sz w:val="22"/>
          <w:szCs w:val="22"/>
          <w:lang w:eastAsia="en-US"/>
        </w:rPr>
        <w:t>бенности потерпевших, не велся их учет, не существовало систе</w:t>
      </w:r>
      <w:r w:rsidRPr="00EC1A78">
        <w:rPr>
          <w:rFonts w:eastAsiaTheme="minorHAnsi"/>
          <w:sz w:val="22"/>
          <w:szCs w:val="22"/>
          <w:lang w:eastAsia="en-US"/>
        </w:rPr>
        <w:t>м</w:t>
      </w:r>
      <w:r w:rsidRPr="00EC1A78">
        <w:rPr>
          <w:rFonts w:eastAsiaTheme="minorHAnsi"/>
          <w:sz w:val="22"/>
          <w:szCs w:val="22"/>
          <w:lang w:eastAsia="en-US"/>
        </w:rPr>
        <w:t>ного, интегративного проведения мероприятий, связанных с викт</w:t>
      </w:r>
      <w:r w:rsidRPr="00EC1A78">
        <w:rPr>
          <w:rFonts w:eastAsiaTheme="minorHAnsi"/>
          <w:sz w:val="22"/>
          <w:szCs w:val="22"/>
          <w:lang w:eastAsia="en-US"/>
        </w:rPr>
        <w:t>и</w:t>
      </w:r>
      <w:r w:rsidRPr="00EC1A78">
        <w:rPr>
          <w:rFonts w:eastAsiaTheme="minorHAnsi"/>
          <w:sz w:val="22"/>
          <w:szCs w:val="22"/>
          <w:lang w:eastAsia="en-US"/>
        </w:rPr>
        <w:t xml:space="preserve">мологической профилактикой.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Виктимологическая профилактика является специальной де</w:t>
      </w:r>
      <w:r w:rsidRPr="00EC1A78">
        <w:rPr>
          <w:rFonts w:eastAsiaTheme="minorHAnsi"/>
          <w:sz w:val="22"/>
          <w:szCs w:val="22"/>
          <w:lang w:eastAsia="en-US"/>
        </w:rPr>
        <w:t>я</w:t>
      </w:r>
      <w:r w:rsidRPr="00EC1A78">
        <w:rPr>
          <w:rFonts w:eastAsiaTheme="minorHAnsi"/>
          <w:sz w:val="22"/>
          <w:szCs w:val="22"/>
          <w:lang w:eastAsia="en-US"/>
        </w:rPr>
        <w:t>тельностью определенных социальных институтов, целью которой является выявление, определение и нейтрализация виктимных фа</w:t>
      </w:r>
      <w:r w:rsidRPr="00EC1A78">
        <w:rPr>
          <w:rFonts w:eastAsiaTheme="minorHAnsi"/>
          <w:sz w:val="22"/>
          <w:szCs w:val="22"/>
          <w:lang w:eastAsia="en-US"/>
        </w:rPr>
        <w:t>к</w:t>
      </w:r>
      <w:r w:rsidRPr="00EC1A78">
        <w:rPr>
          <w:rFonts w:eastAsiaTheme="minorHAnsi"/>
          <w:sz w:val="22"/>
          <w:szCs w:val="22"/>
          <w:lang w:eastAsia="en-US"/>
        </w:rPr>
        <w:t>торов, определенных обстоятельств, формирующих виктимное п</w:t>
      </w:r>
      <w:r w:rsidRPr="00EC1A78">
        <w:rPr>
          <w:rFonts w:eastAsiaTheme="minorHAnsi"/>
          <w:sz w:val="22"/>
          <w:szCs w:val="22"/>
          <w:lang w:eastAsia="en-US"/>
        </w:rPr>
        <w:t>о</w:t>
      </w:r>
      <w:r w:rsidRPr="00EC1A78">
        <w:rPr>
          <w:rFonts w:eastAsiaTheme="minorHAnsi"/>
          <w:sz w:val="22"/>
          <w:szCs w:val="22"/>
          <w:lang w:eastAsia="en-US"/>
        </w:rPr>
        <w:t>ведение и в этой связи определяющих последующее совершение и реа</w:t>
      </w:r>
      <w:r w:rsidR="00C86D06">
        <w:rPr>
          <w:rFonts w:eastAsiaTheme="minorHAnsi"/>
          <w:sz w:val="22"/>
          <w:szCs w:val="22"/>
          <w:lang w:eastAsia="en-US"/>
        </w:rPr>
        <w:t xml:space="preserve">лизацию преступных деяний. </w:t>
      </w:r>
      <w:r w:rsidRPr="00EC1A78">
        <w:rPr>
          <w:rFonts w:eastAsiaTheme="minorHAnsi"/>
          <w:sz w:val="22"/>
          <w:szCs w:val="22"/>
          <w:lang w:eastAsia="en-US"/>
        </w:rPr>
        <w:t>Основной задачей виктимологич</w:t>
      </w:r>
      <w:r w:rsidRPr="00EC1A78">
        <w:rPr>
          <w:rFonts w:eastAsiaTheme="minorHAnsi"/>
          <w:sz w:val="22"/>
          <w:szCs w:val="22"/>
          <w:lang w:eastAsia="en-US"/>
        </w:rPr>
        <w:t>е</w:t>
      </w:r>
      <w:r w:rsidRPr="00EC1A78">
        <w:rPr>
          <w:rFonts w:eastAsiaTheme="minorHAnsi"/>
          <w:sz w:val="22"/>
          <w:szCs w:val="22"/>
          <w:lang w:eastAsia="en-US"/>
        </w:rPr>
        <w:t>ского направления предупреждения преступлений является макс</w:t>
      </w:r>
      <w:r w:rsidRPr="00EC1A78">
        <w:rPr>
          <w:rFonts w:eastAsiaTheme="minorHAnsi"/>
          <w:sz w:val="22"/>
          <w:szCs w:val="22"/>
          <w:lang w:eastAsia="en-US"/>
        </w:rPr>
        <w:t>и</w:t>
      </w:r>
      <w:r w:rsidRPr="00EC1A78">
        <w:rPr>
          <w:rFonts w:eastAsiaTheme="minorHAnsi"/>
          <w:sz w:val="22"/>
          <w:szCs w:val="22"/>
          <w:lang w:eastAsia="en-US"/>
        </w:rPr>
        <w:t>мальная концентрация внутренних резервов личности и направл</w:t>
      </w:r>
      <w:r w:rsidRPr="00EC1A78">
        <w:rPr>
          <w:rFonts w:eastAsiaTheme="minorHAnsi"/>
          <w:sz w:val="22"/>
          <w:szCs w:val="22"/>
          <w:lang w:eastAsia="en-US"/>
        </w:rPr>
        <w:t>е</w:t>
      </w:r>
      <w:r w:rsidRPr="00EC1A78">
        <w:rPr>
          <w:rFonts w:eastAsiaTheme="minorHAnsi"/>
          <w:sz w:val="22"/>
          <w:szCs w:val="22"/>
          <w:lang w:eastAsia="en-US"/>
        </w:rPr>
        <w:t>ние их на обеспечение собственной безопасности, а также нейтр</w:t>
      </w:r>
      <w:r w:rsidRPr="00EC1A78">
        <w:rPr>
          <w:rFonts w:eastAsiaTheme="minorHAnsi"/>
          <w:sz w:val="22"/>
          <w:szCs w:val="22"/>
          <w:lang w:eastAsia="en-US"/>
        </w:rPr>
        <w:t>а</w:t>
      </w:r>
      <w:r w:rsidRPr="00EC1A78">
        <w:rPr>
          <w:rFonts w:eastAsiaTheme="minorHAnsi"/>
          <w:sz w:val="22"/>
          <w:szCs w:val="22"/>
          <w:lang w:eastAsia="en-US"/>
        </w:rPr>
        <w:t>лизация всех факторов, которые определяют повыше</w:t>
      </w:r>
      <w:r w:rsidR="00425497">
        <w:rPr>
          <w:rFonts w:eastAsiaTheme="minorHAnsi"/>
          <w:sz w:val="22"/>
          <w:szCs w:val="22"/>
          <w:lang w:eastAsia="en-US"/>
        </w:rPr>
        <w:t>нную викти</w:t>
      </w:r>
      <w:r w:rsidR="00425497">
        <w:rPr>
          <w:rFonts w:eastAsiaTheme="minorHAnsi"/>
          <w:sz w:val="22"/>
          <w:szCs w:val="22"/>
          <w:lang w:eastAsia="en-US"/>
        </w:rPr>
        <w:t>м</w:t>
      </w:r>
      <w:r w:rsidR="00425497">
        <w:rPr>
          <w:rFonts w:eastAsiaTheme="minorHAnsi"/>
          <w:sz w:val="22"/>
          <w:szCs w:val="22"/>
          <w:lang w:eastAsia="en-US"/>
        </w:rPr>
        <w:t xml:space="preserve">ность данного лица. </w:t>
      </w:r>
      <w:r w:rsidRPr="00EC1A78">
        <w:rPr>
          <w:rFonts w:eastAsiaTheme="minorHAnsi"/>
          <w:sz w:val="22"/>
          <w:szCs w:val="22"/>
          <w:lang w:eastAsia="en-US"/>
        </w:rPr>
        <w:t>Также к наиболее значимым задачам виктим</w:t>
      </w:r>
      <w:r w:rsidRPr="00EC1A78">
        <w:rPr>
          <w:rFonts w:eastAsiaTheme="minorHAnsi"/>
          <w:sz w:val="22"/>
          <w:szCs w:val="22"/>
          <w:lang w:eastAsia="en-US"/>
        </w:rPr>
        <w:t>о</w:t>
      </w:r>
      <w:r w:rsidRPr="00EC1A78">
        <w:rPr>
          <w:rFonts w:eastAsiaTheme="minorHAnsi"/>
          <w:sz w:val="22"/>
          <w:szCs w:val="22"/>
          <w:lang w:eastAsia="en-US"/>
        </w:rPr>
        <w:t>логической профилактики можно отнести следующее: 1) Повыш</w:t>
      </w:r>
      <w:r w:rsidRPr="00EC1A78">
        <w:rPr>
          <w:rFonts w:eastAsiaTheme="minorHAnsi"/>
          <w:sz w:val="22"/>
          <w:szCs w:val="22"/>
          <w:lang w:eastAsia="en-US"/>
        </w:rPr>
        <w:t>е</w:t>
      </w:r>
      <w:r w:rsidRPr="00EC1A78">
        <w:rPr>
          <w:rFonts w:eastAsiaTheme="minorHAnsi"/>
          <w:sz w:val="22"/>
          <w:szCs w:val="22"/>
          <w:lang w:eastAsia="en-US"/>
        </w:rPr>
        <w:t>ние правовой культуры личности (правовое воспитание). Однако, довольно большое число потерпевших имеют весьма низкий ур</w:t>
      </w:r>
      <w:r w:rsidRPr="00EC1A78">
        <w:rPr>
          <w:rFonts w:eastAsiaTheme="minorHAnsi"/>
          <w:sz w:val="22"/>
          <w:szCs w:val="22"/>
          <w:lang w:eastAsia="en-US"/>
        </w:rPr>
        <w:t>о</w:t>
      </w:r>
      <w:r w:rsidRPr="00EC1A78">
        <w:rPr>
          <w:rFonts w:eastAsiaTheme="minorHAnsi"/>
          <w:sz w:val="22"/>
          <w:szCs w:val="22"/>
          <w:lang w:eastAsia="en-US"/>
        </w:rPr>
        <w:t>вень правовых знаний. Исходя из этого необходимо правовое во</w:t>
      </w:r>
      <w:r w:rsidRPr="00EC1A78">
        <w:rPr>
          <w:rFonts w:eastAsiaTheme="minorHAnsi"/>
          <w:sz w:val="22"/>
          <w:szCs w:val="22"/>
          <w:lang w:eastAsia="en-US"/>
        </w:rPr>
        <w:t>с</w:t>
      </w:r>
      <w:r w:rsidRPr="00EC1A78">
        <w:rPr>
          <w:rFonts w:eastAsiaTheme="minorHAnsi"/>
          <w:sz w:val="22"/>
          <w:szCs w:val="22"/>
          <w:lang w:eastAsia="en-US"/>
        </w:rPr>
        <w:t>питание личности, пропаганда правовых знаний о том, как защ</w:t>
      </w:r>
      <w:r w:rsidRPr="00EC1A78">
        <w:rPr>
          <w:rFonts w:eastAsiaTheme="minorHAnsi"/>
          <w:sz w:val="22"/>
          <w:szCs w:val="22"/>
          <w:lang w:eastAsia="en-US"/>
        </w:rPr>
        <w:t>и</w:t>
      </w:r>
      <w:r w:rsidRPr="00EC1A78">
        <w:rPr>
          <w:rFonts w:eastAsiaTheme="minorHAnsi"/>
          <w:sz w:val="22"/>
          <w:szCs w:val="22"/>
          <w:lang w:eastAsia="en-US"/>
        </w:rPr>
        <w:t>титься и не стать жертвой преступления. 2) Теоретическо–познавательная задача. К сожалению большой объем знаний, с</w:t>
      </w:r>
      <w:r w:rsidRPr="00EC1A78">
        <w:rPr>
          <w:rFonts w:eastAsiaTheme="minorHAnsi"/>
          <w:sz w:val="22"/>
          <w:szCs w:val="22"/>
          <w:lang w:eastAsia="en-US"/>
        </w:rPr>
        <w:t>о</w:t>
      </w:r>
      <w:r w:rsidRPr="00EC1A78">
        <w:rPr>
          <w:rFonts w:eastAsiaTheme="minorHAnsi"/>
          <w:sz w:val="22"/>
          <w:szCs w:val="22"/>
          <w:lang w:eastAsia="en-US"/>
        </w:rPr>
        <w:t>бранных отечественными учеными по виктимологической проф</w:t>
      </w:r>
      <w:r w:rsidRPr="00EC1A78">
        <w:rPr>
          <w:rFonts w:eastAsiaTheme="minorHAnsi"/>
          <w:sz w:val="22"/>
          <w:szCs w:val="22"/>
          <w:lang w:eastAsia="en-US"/>
        </w:rPr>
        <w:t>и</w:t>
      </w:r>
      <w:r w:rsidRPr="00EC1A78">
        <w:rPr>
          <w:rFonts w:eastAsiaTheme="minorHAnsi"/>
          <w:sz w:val="22"/>
          <w:szCs w:val="22"/>
          <w:lang w:eastAsia="en-US"/>
        </w:rPr>
        <w:t xml:space="preserve">лактике преступности, известен лишь узкому кругу специалистов, изучающих данный вопрос [4, </w:t>
      </w:r>
      <w:r w:rsidRPr="00EC1A78">
        <w:rPr>
          <w:rFonts w:eastAsiaTheme="minorHAnsi"/>
          <w:sz w:val="22"/>
          <w:szCs w:val="22"/>
          <w:lang w:val="en-US" w:eastAsia="en-US"/>
        </w:rPr>
        <w:t>c</w:t>
      </w:r>
      <w:r w:rsidRPr="00EC1A78">
        <w:rPr>
          <w:rFonts w:eastAsiaTheme="minorHAnsi"/>
          <w:sz w:val="22"/>
          <w:szCs w:val="22"/>
          <w:lang w:eastAsia="en-US"/>
        </w:rPr>
        <w:t>. 271].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Жертва преступления – понятие более широкое и объемное, чем понятие «потерпевший от преступления». Жертва преступления — это любой человек, претерпевший моральный, физический либо имущественный вред в результате противоправного деяния незав</w:t>
      </w:r>
      <w:r w:rsidRPr="00EC1A78">
        <w:rPr>
          <w:rFonts w:eastAsiaTheme="minorHAnsi"/>
          <w:sz w:val="22"/>
          <w:szCs w:val="22"/>
          <w:lang w:eastAsia="en-US"/>
        </w:rPr>
        <w:t>и</w:t>
      </w:r>
      <w:r w:rsidRPr="00EC1A78">
        <w:rPr>
          <w:rFonts w:eastAsiaTheme="minorHAnsi"/>
          <w:sz w:val="22"/>
          <w:szCs w:val="22"/>
          <w:lang w:eastAsia="en-US"/>
        </w:rPr>
        <w:t>симо от того, признан он в установленном законом порядке или нет. Исходя из этого можно сделать вывод о том, что жертва – это пон</w:t>
      </w:r>
      <w:r w:rsidRPr="00EC1A78">
        <w:rPr>
          <w:rFonts w:eastAsiaTheme="minorHAnsi"/>
          <w:sz w:val="22"/>
          <w:szCs w:val="22"/>
          <w:lang w:eastAsia="en-US"/>
        </w:rPr>
        <w:t>я</w:t>
      </w:r>
      <w:r w:rsidRPr="00EC1A78">
        <w:rPr>
          <w:rFonts w:eastAsiaTheme="minorHAnsi"/>
          <w:sz w:val="22"/>
          <w:szCs w:val="22"/>
          <w:lang w:eastAsia="en-US"/>
        </w:rPr>
        <w:t xml:space="preserve">тие виктимологическое, а потерпевший – уголовно–процессуальное [2, </w:t>
      </w:r>
      <w:r w:rsidRPr="00EC1A78">
        <w:rPr>
          <w:rFonts w:eastAsiaTheme="minorHAnsi"/>
          <w:sz w:val="22"/>
          <w:szCs w:val="22"/>
          <w:lang w:val="en-US" w:eastAsia="en-US"/>
        </w:rPr>
        <w:t>c</w:t>
      </w:r>
      <w:r w:rsidRPr="00EC1A78">
        <w:rPr>
          <w:rFonts w:eastAsiaTheme="minorHAnsi"/>
          <w:sz w:val="22"/>
          <w:szCs w:val="22"/>
          <w:lang w:eastAsia="en-US"/>
        </w:rPr>
        <w:t>. 95]. Легальное определение жертвы преступления на межд</w:t>
      </w:r>
      <w:r w:rsidRPr="00EC1A78">
        <w:rPr>
          <w:rFonts w:eastAsiaTheme="minorHAnsi"/>
          <w:sz w:val="22"/>
          <w:szCs w:val="22"/>
          <w:lang w:eastAsia="en-US"/>
        </w:rPr>
        <w:t>у</w:t>
      </w:r>
      <w:r w:rsidRPr="00EC1A78">
        <w:rPr>
          <w:rFonts w:eastAsiaTheme="minorHAnsi"/>
          <w:sz w:val="22"/>
          <w:szCs w:val="22"/>
          <w:lang w:eastAsia="en-US"/>
        </w:rPr>
        <w:t>народном уровне закреплено в «Декларации основных принципов правосудия для жертв преступлений и злоупотреблений властью» Ген. ассамблеи ООН. Она признает необходимым и полезным нап</w:t>
      </w:r>
      <w:r w:rsidRPr="00EC1A78">
        <w:rPr>
          <w:rFonts w:eastAsiaTheme="minorHAnsi"/>
          <w:sz w:val="22"/>
          <w:szCs w:val="22"/>
          <w:lang w:eastAsia="en-US"/>
        </w:rPr>
        <w:t>и</w:t>
      </w:r>
      <w:r w:rsidRPr="00EC1A78">
        <w:rPr>
          <w:rFonts w:eastAsiaTheme="minorHAnsi"/>
          <w:sz w:val="22"/>
          <w:szCs w:val="22"/>
          <w:lang w:eastAsia="en-US"/>
        </w:rPr>
        <w:t>сание руководства, содержащего перечень общих мер для провед</w:t>
      </w:r>
      <w:r w:rsidRPr="00EC1A78">
        <w:rPr>
          <w:rFonts w:eastAsiaTheme="minorHAnsi"/>
          <w:sz w:val="22"/>
          <w:szCs w:val="22"/>
          <w:lang w:eastAsia="en-US"/>
        </w:rPr>
        <w:t>е</w:t>
      </w:r>
      <w:r w:rsidRPr="00EC1A78">
        <w:rPr>
          <w:rFonts w:eastAsiaTheme="minorHAnsi"/>
          <w:sz w:val="22"/>
          <w:szCs w:val="22"/>
          <w:lang w:eastAsia="en-US"/>
        </w:rPr>
        <w:lastRenderedPageBreak/>
        <w:t>ния теоретической и воспитательной работы, а также мер по защ</w:t>
      </w:r>
      <w:r w:rsidRPr="00EC1A78">
        <w:rPr>
          <w:rFonts w:eastAsiaTheme="minorHAnsi"/>
          <w:sz w:val="22"/>
          <w:szCs w:val="22"/>
          <w:lang w:eastAsia="en-US"/>
        </w:rPr>
        <w:t>и</w:t>
      </w:r>
      <w:r w:rsidRPr="00EC1A78">
        <w:rPr>
          <w:rFonts w:eastAsiaTheme="minorHAnsi"/>
          <w:sz w:val="22"/>
          <w:szCs w:val="22"/>
          <w:lang w:eastAsia="en-US"/>
        </w:rPr>
        <w:t>те, оказанию помощи и выплате компенсаций жертвам. Данное р</w:t>
      </w:r>
      <w:r w:rsidRPr="00EC1A78">
        <w:rPr>
          <w:rFonts w:eastAsiaTheme="minorHAnsi"/>
          <w:sz w:val="22"/>
          <w:szCs w:val="22"/>
          <w:lang w:eastAsia="en-US"/>
        </w:rPr>
        <w:t>у</w:t>
      </w:r>
      <w:r w:rsidRPr="00EC1A78">
        <w:rPr>
          <w:rFonts w:eastAsiaTheme="minorHAnsi"/>
          <w:sz w:val="22"/>
          <w:szCs w:val="22"/>
          <w:lang w:eastAsia="en-US"/>
        </w:rPr>
        <w:t>ководство следует использовать с учетом правовых, культурных, соци</w:t>
      </w:r>
      <w:r w:rsidR="00C86D06">
        <w:rPr>
          <w:rFonts w:eastAsiaTheme="minorHAnsi"/>
          <w:sz w:val="22"/>
          <w:szCs w:val="22"/>
          <w:lang w:eastAsia="en-US"/>
        </w:rPr>
        <w:t xml:space="preserve">альных, условий каждой страны. </w:t>
      </w:r>
      <w:r w:rsidRPr="00EC1A78">
        <w:rPr>
          <w:rFonts w:eastAsiaTheme="minorHAnsi"/>
          <w:sz w:val="22"/>
          <w:szCs w:val="22"/>
          <w:lang w:eastAsia="en-US"/>
        </w:rPr>
        <w:t>В Российском законодател</w:t>
      </w:r>
      <w:r w:rsidRPr="00EC1A78">
        <w:rPr>
          <w:rFonts w:eastAsiaTheme="minorHAnsi"/>
          <w:sz w:val="22"/>
          <w:szCs w:val="22"/>
          <w:lang w:eastAsia="en-US"/>
        </w:rPr>
        <w:t>ь</w:t>
      </w:r>
      <w:r w:rsidRPr="00EC1A78">
        <w:rPr>
          <w:rFonts w:eastAsiaTheme="minorHAnsi"/>
          <w:sz w:val="22"/>
          <w:szCs w:val="22"/>
          <w:lang w:eastAsia="en-US"/>
        </w:rPr>
        <w:t>стве, в свою очередь, такого понятия не дано. Следовательно, по законодательству Российской Федерации меры по виктимологич</w:t>
      </w:r>
      <w:r w:rsidRPr="00EC1A78">
        <w:rPr>
          <w:rFonts w:eastAsiaTheme="minorHAnsi"/>
          <w:sz w:val="22"/>
          <w:szCs w:val="22"/>
          <w:lang w:eastAsia="en-US"/>
        </w:rPr>
        <w:t>е</w:t>
      </w:r>
      <w:r w:rsidRPr="00EC1A78">
        <w:rPr>
          <w:rFonts w:eastAsiaTheme="minorHAnsi"/>
          <w:sz w:val="22"/>
          <w:szCs w:val="22"/>
          <w:lang w:eastAsia="en-US"/>
        </w:rPr>
        <w:t>ской профилактике должны проводиться только среди потерпе</w:t>
      </w:r>
      <w:r w:rsidRPr="00EC1A78">
        <w:rPr>
          <w:rFonts w:eastAsiaTheme="minorHAnsi"/>
          <w:sz w:val="22"/>
          <w:szCs w:val="22"/>
          <w:lang w:eastAsia="en-US"/>
        </w:rPr>
        <w:t>в</w:t>
      </w:r>
      <w:r w:rsidRPr="00EC1A78">
        <w:rPr>
          <w:rFonts w:eastAsiaTheme="minorHAnsi"/>
          <w:sz w:val="22"/>
          <w:szCs w:val="22"/>
          <w:lang w:eastAsia="en-US"/>
        </w:rPr>
        <w:t xml:space="preserve">ших, а потенциальные жертвы и пострадавшие в расчет не берутся, что является большим упущением.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Большинство авторов дают следующую классификацию по в</w:t>
      </w:r>
      <w:r w:rsidRPr="00EC1A78">
        <w:rPr>
          <w:rFonts w:eastAsiaTheme="minorHAnsi"/>
          <w:sz w:val="22"/>
          <w:szCs w:val="22"/>
          <w:lang w:eastAsia="en-US"/>
        </w:rPr>
        <w:t>и</w:t>
      </w:r>
      <w:r w:rsidRPr="00EC1A78">
        <w:rPr>
          <w:rFonts w:eastAsiaTheme="minorHAnsi"/>
          <w:sz w:val="22"/>
          <w:szCs w:val="22"/>
          <w:lang w:eastAsia="en-US"/>
        </w:rPr>
        <w:t xml:space="preserve">дам виктимологической профилактики. 1) </w:t>
      </w:r>
      <w:r w:rsidRPr="00EC1A78">
        <w:rPr>
          <w:rFonts w:eastAsiaTheme="minorHAnsi"/>
          <w:i/>
          <w:sz w:val="22"/>
          <w:szCs w:val="22"/>
          <w:lang w:eastAsia="en-US"/>
        </w:rPr>
        <w:t>Общая виктимологич</w:t>
      </w:r>
      <w:r w:rsidRPr="00EC1A78">
        <w:rPr>
          <w:rFonts w:eastAsiaTheme="minorHAnsi"/>
          <w:i/>
          <w:sz w:val="22"/>
          <w:szCs w:val="22"/>
          <w:lang w:eastAsia="en-US"/>
        </w:rPr>
        <w:t>е</w:t>
      </w:r>
      <w:r w:rsidRPr="00EC1A78">
        <w:rPr>
          <w:rFonts w:eastAsiaTheme="minorHAnsi"/>
          <w:i/>
          <w:sz w:val="22"/>
          <w:szCs w:val="22"/>
          <w:lang w:eastAsia="en-US"/>
        </w:rPr>
        <w:t>ская профилактика.</w:t>
      </w:r>
      <w:r w:rsidRPr="00EC1A78">
        <w:rPr>
          <w:rFonts w:eastAsiaTheme="minorHAnsi"/>
          <w:sz w:val="22"/>
          <w:szCs w:val="22"/>
          <w:lang w:eastAsia="en-US"/>
        </w:rPr>
        <w:t xml:space="preserve"> Данный вид заключается в выявлении причин непосредственно самих преступлений и внешних условий, спосо</w:t>
      </w:r>
      <w:r w:rsidRPr="00EC1A78">
        <w:rPr>
          <w:rFonts w:eastAsiaTheme="minorHAnsi"/>
          <w:sz w:val="22"/>
          <w:szCs w:val="22"/>
          <w:lang w:eastAsia="en-US"/>
        </w:rPr>
        <w:t>б</w:t>
      </w:r>
      <w:r w:rsidRPr="00EC1A78">
        <w:rPr>
          <w:rFonts w:eastAsiaTheme="minorHAnsi"/>
          <w:sz w:val="22"/>
          <w:szCs w:val="22"/>
          <w:lang w:eastAsia="en-US"/>
        </w:rPr>
        <w:t>ствующих совершению и реализации преступных деяний в том сл</w:t>
      </w:r>
      <w:r w:rsidRPr="00EC1A78">
        <w:rPr>
          <w:rFonts w:eastAsiaTheme="minorHAnsi"/>
          <w:sz w:val="22"/>
          <w:szCs w:val="22"/>
          <w:lang w:eastAsia="en-US"/>
        </w:rPr>
        <w:t>у</w:t>
      </w:r>
      <w:r w:rsidRPr="00EC1A78">
        <w:rPr>
          <w:rFonts w:eastAsiaTheme="minorHAnsi"/>
          <w:sz w:val="22"/>
          <w:szCs w:val="22"/>
          <w:lang w:eastAsia="en-US"/>
        </w:rPr>
        <w:t>чае, если они связаны с характеристикой личности и поведения п</w:t>
      </w:r>
      <w:r w:rsidRPr="00EC1A78">
        <w:rPr>
          <w:rFonts w:eastAsiaTheme="minorHAnsi"/>
          <w:sz w:val="22"/>
          <w:szCs w:val="22"/>
          <w:lang w:eastAsia="en-US"/>
        </w:rPr>
        <w:t>о</w:t>
      </w:r>
      <w:r w:rsidRPr="00EC1A78">
        <w:rPr>
          <w:rFonts w:eastAsiaTheme="minorHAnsi"/>
          <w:sz w:val="22"/>
          <w:szCs w:val="22"/>
          <w:lang w:eastAsia="en-US"/>
        </w:rPr>
        <w:t xml:space="preserve">терпевших, минимизация, а также полное устранение  этих причин и условий. 2) </w:t>
      </w:r>
      <w:r w:rsidRPr="00EC1A78">
        <w:rPr>
          <w:rFonts w:eastAsiaTheme="minorHAnsi"/>
          <w:i/>
          <w:sz w:val="22"/>
          <w:szCs w:val="22"/>
          <w:lang w:eastAsia="en-US"/>
        </w:rPr>
        <w:t>Видовая виктимологическая профилактика.</w:t>
      </w:r>
      <w:r w:rsidRPr="00EC1A78">
        <w:rPr>
          <w:rFonts w:eastAsiaTheme="minorHAnsi"/>
          <w:sz w:val="22"/>
          <w:szCs w:val="22"/>
          <w:lang w:eastAsia="en-US"/>
        </w:rPr>
        <w:t xml:space="preserve"> Сущность данного вида заключается в том, что она ориентирована непосре</w:t>
      </w:r>
      <w:r w:rsidRPr="00EC1A78">
        <w:rPr>
          <w:rFonts w:eastAsiaTheme="minorHAnsi"/>
          <w:sz w:val="22"/>
          <w:szCs w:val="22"/>
          <w:lang w:eastAsia="en-US"/>
        </w:rPr>
        <w:t>д</w:t>
      </w:r>
      <w:r w:rsidRPr="00EC1A78">
        <w:rPr>
          <w:rFonts w:eastAsiaTheme="minorHAnsi"/>
          <w:sz w:val="22"/>
          <w:szCs w:val="22"/>
          <w:lang w:eastAsia="en-US"/>
        </w:rPr>
        <w:t xml:space="preserve">ственно на работы с жертвами отдельных категорий преступлений (краж, убийств, экстремизм и т.д.). 3) </w:t>
      </w:r>
      <w:r w:rsidRPr="00EC1A78">
        <w:rPr>
          <w:rFonts w:eastAsiaTheme="minorHAnsi"/>
          <w:i/>
          <w:sz w:val="22"/>
          <w:szCs w:val="22"/>
          <w:lang w:eastAsia="en-US"/>
        </w:rPr>
        <w:t>Индивидуальная виктимол</w:t>
      </w:r>
      <w:r w:rsidRPr="00EC1A78">
        <w:rPr>
          <w:rFonts w:eastAsiaTheme="minorHAnsi"/>
          <w:i/>
          <w:sz w:val="22"/>
          <w:szCs w:val="22"/>
          <w:lang w:eastAsia="en-US"/>
        </w:rPr>
        <w:t>о</w:t>
      </w:r>
      <w:r w:rsidRPr="00EC1A78">
        <w:rPr>
          <w:rFonts w:eastAsiaTheme="minorHAnsi"/>
          <w:i/>
          <w:sz w:val="22"/>
          <w:szCs w:val="22"/>
          <w:lang w:eastAsia="en-US"/>
        </w:rPr>
        <w:t>гическая профилактика.</w:t>
      </w:r>
      <w:r w:rsidRPr="00EC1A78">
        <w:rPr>
          <w:rFonts w:eastAsiaTheme="minorHAnsi"/>
          <w:sz w:val="22"/>
          <w:szCs w:val="22"/>
          <w:lang w:eastAsia="en-US"/>
        </w:rPr>
        <w:t xml:space="preserve"> Заключается в выявлении граждан, обл</w:t>
      </w:r>
      <w:r w:rsidRPr="00EC1A78">
        <w:rPr>
          <w:rFonts w:eastAsiaTheme="minorHAnsi"/>
          <w:sz w:val="22"/>
          <w:szCs w:val="22"/>
          <w:lang w:eastAsia="en-US"/>
        </w:rPr>
        <w:t>а</w:t>
      </w:r>
      <w:r w:rsidRPr="00EC1A78">
        <w:rPr>
          <w:rFonts w:eastAsiaTheme="minorHAnsi"/>
          <w:sz w:val="22"/>
          <w:szCs w:val="22"/>
          <w:lang w:eastAsia="en-US"/>
        </w:rPr>
        <w:t>дающих повышенным уровнем виктимности, а также в организации и реализации в отношении данных лиц воспитательных меропри</w:t>
      </w:r>
      <w:r w:rsidRPr="00EC1A78">
        <w:rPr>
          <w:rFonts w:eastAsiaTheme="minorHAnsi"/>
          <w:sz w:val="22"/>
          <w:szCs w:val="22"/>
          <w:lang w:eastAsia="en-US"/>
        </w:rPr>
        <w:t>я</w:t>
      </w:r>
      <w:r w:rsidRPr="00EC1A78">
        <w:rPr>
          <w:rFonts w:eastAsiaTheme="minorHAnsi"/>
          <w:sz w:val="22"/>
          <w:szCs w:val="22"/>
          <w:lang w:eastAsia="en-US"/>
        </w:rPr>
        <w:t xml:space="preserve">тий, обучения, обеспечение личной безопасности [5, </w:t>
      </w:r>
      <w:r w:rsidRPr="00EC1A78">
        <w:rPr>
          <w:rFonts w:eastAsiaTheme="minorHAnsi"/>
          <w:sz w:val="22"/>
          <w:szCs w:val="22"/>
          <w:lang w:val="en-US" w:eastAsia="en-US"/>
        </w:rPr>
        <w:t>c</w:t>
      </w:r>
      <w:r w:rsidRPr="00EC1A78">
        <w:rPr>
          <w:rFonts w:eastAsiaTheme="minorHAnsi"/>
          <w:sz w:val="22"/>
          <w:szCs w:val="22"/>
          <w:lang w:eastAsia="en-US"/>
        </w:rPr>
        <w:t>. 101].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Говоря об анализе законодательной базе, которая является о</w:t>
      </w:r>
      <w:r w:rsidRPr="00EC1A78">
        <w:rPr>
          <w:rFonts w:eastAsiaTheme="minorHAnsi"/>
          <w:sz w:val="22"/>
          <w:szCs w:val="22"/>
          <w:lang w:eastAsia="en-US"/>
        </w:rPr>
        <w:t>с</w:t>
      </w:r>
      <w:r w:rsidRPr="00EC1A78">
        <w:rPr>
          <w:rFonts w:eastAsiaTheme="minorHAnsi"/>
          <w:sz w:val="22"/>
          <w:szCs w:val="22"/>
          <w:lang w:eastAsia="en-US"/>
        </w:rPr>
        <w:t>новой виктимологической профилактики, можно сгруппировать правовые нормы следующим образом: 1) целью которых является обеспечение безопасности потерпевших и возмещение им вреда, причинённого преступным деянием; 2) связанные с необходим</w:t>
      </w:r>
      <w:r w:rsidRPr="00EC1A78">
        <w:rPr>
          <w:rFonts w:eastAsiaTheme="minorHAnsi"/>
          <w:sz w:val="22"/>
          <w:szCs w:val="22"/>
          <w:lang w:eastAsia="en-US"/>
        </w:rPr>
        <w:t>о</w:t>
      </w:r>
      <w:r w:rsidRPr="00EC1A78">
        <w:rPr>
          <w:rFonts w:eastAsiaTheme="minorHAnsi"/>
          <w:sz w:val="22"/>
          <w:szCs w:val="22"/>
          <w:lang w:eastAsia="en-US"/>
        </w:rPr>
        <w:t>стью выявления и определения обстоятельств, способствующих с</w:t>
      </w:r>
      <w:r w:rsidRPr="00EC1A78">
        <w:rPr>
          <w:rFonts w:eastAsiaTheme="minorHAnsi"/>
          <w:sz w:val="22"/>
          <w:szCs w:val="22"/>
          <w:lang w:eastAsia="en-US"/>
        </w:rPr>
        <w:t>о</w:t>
      </w:r>
      <w:r w:rsidRPr="00EC1A78">
        <w:rPr>
          <w:rFonts w:eastAsiaTheme="minorHAnsi"/>
          <w:sz w:val="22"/>
          <w:szCs w:val="22"/>
          <w:lang w:eastAsia="en-US"/>
        </w:rPr>
        <w:t>вершению и реализации преступления, включая исследование, непосредственно роли потерпевшего в механизме преступного с</w:t>
      </w:r>
      <w:r w:rsidRPr="00EC1A78">
        <w:rPr>
          <w:rFonts w:eastAsiaTheme="minorHAnsi"/>
          <w:sz w:val="22"/>
          <w:szCs w:val="22"/>
          <w:lang w:eastAsia="en-US"/>
        </w:rPr>
        <w:t>о</w:t>
      </w:r>
      <w:r w:rsidRPr="00EC1A78">
        <w:rPr>
          <w:rFonts w:eastAsiaTheme="minorHAnsi"/>
          <w:sz w:val="22"/>
          <w:szCs w:val="22"/>
          <w:lang w:eastAsia="en-US"/>
        </w:rPr>
        <w:t>бытия, и принятия мер к их пресечению; 3) регламентирующие др</w:t>
      </w:r>
      <w:r w:rsidRPr="00EC1A78">
        <w:rPr>
          <w:rFonts w:eastAsiaTheme="minorHAnsi"/>
          <w:sz w:val="22"/>
          <w:szCs w:val="22"/>
          <w:lang w:eastAsia="en-US"/>
        </w:rPr>
        <w:t>у</w:t>
      </w:r>
      <w:r w:rsidRPr="00EC1A78">
        <w:rPr>
          <w:rFonts w:eastAsiaTheme="minorHAnsi"/>
          <w:sz w:val="22"/>
          <w:szCs w:val="22"/>
          <w:lang w:eastAsia="en-US"/>
        </w:rPr>
        <w:t xml:space="preserve">гие направления деятельности виктимологической профилактики [3, </w:t>
      </w:r>
      <w:r w:rsidRPr="00EC1A78">
        <w:rPr>
          <w:rFonts w:eastAsiaTheme="minorHAnsi"/>
          <w:sz w:val="22"/>
          <w:szCs w:val="22"/>
          <w:lang w:val="en-US" w:eastAsia="en-US"/>
        </w:rPr>
        <w:t>c</w:t>
      </w:r>
      <w:r w:rsidRPr="00EC1A78">
        <w:rPr>
          <w:rFonts w:eastAsiaTheme="minorHAnsi"/>
          <w:sz w:val="22"/>
          <w:szCs w:val="22"/>
          <w:lang w:eastAsia="en-US"/>
        </w:rPr>
        <w:t>. 402].</w:t>
      </w:r>
    </w:p>
    <w:p w:rsidR="00EC1A78" w:rsidRPr="00EC1A78" w:rsidRDefault="00EC1A78" w:rsidP="00163DEF">
      <w:pPr>
        <w:ind w:firstLine="426"/>
        <w:jc w:val="both"/>
        <w:rPr>
          <w:rFonts w:eastAsiaTheme="minorHAnsi"/>
          <w:sz w:val="22"/>
          <w:szCs w:val="22"/>
          <w:lang w:eastAsia="en-US"/>
        </w:rPr>
      </w:pPr>
      <w:r w:rsidRPr="00EC1A78">
        <w:rPr>
          <w:rFonts w:eastAsiaTheme="minorHAnsi"/>
          <w:sz w:val="22"/>
          <w:szCs w:val="22"/>
          <w:lang w:eastAsia="en-US"/>
        </w:rPr>
        <w:t>На наш взгляд следует упорядочить законодательство в сфере виктимологической профилактики, разработать комплексную с</w:t>
      </w:r>
      <w:r w:rsidRPr="00EC1A78">
        <w:rPr>
          <w:rFonts w:eastAsiaTheme="minorHAnsi"/>
          <w:sz w:val="22"/>
          <w:szCs w:val="22"/>
          <w:lang w:eastAsia="en-US"/>
        </w:rPr>
        <w:t>и</w:t>
      </w:r>
      <w:r w:rsidRPr="00EC1A78">
        <w:rPr>
          <w:rFonts w:eastAsiaTheme="minorHAnsi"/>
          <w:sz w:val="22"/>
          <w:szCs w:val="22"/>
          <w:lang w:eastAsia="en-US"/>
        </w:rPr>
        <w:t xml:space="preserve">стему мер виктимологической профилактики и четко распределить </w:t>
      </w:r>
      <w:r w:rsidRPr="00EC1A78">
        <w:rPr>
          <w:rFonts w:eastAsiaTheme="minorHAnsi"/>
          <w:sz w:val="22"/>
          <w:szCs w:val="22"/>
          <w:lang w:eastAsia="en-US"/>
        </w:rPr>
        <w:lastRenderedPageBreak/>
        <w:t>обязанности по их реализации между должностными лицами и с</w:t>
      </w:r>
      <w:r w:rsidRPr="00EC1A78">
        <w:rPr>
          <w:rFonts w:eastAsiaTheme="minorHAnsi"/>
          <w:sz w:val="22"/>
          <w:szCs w:val="22"/>
          <w:lang w:eastAsia="en-US"/>
        </w:rPr>
        <w:t>о</w:t>
      </w:r>
      <w:r w:rsidRPr="00EC1A78">
        <w:rPr>
          <w:rFonts w:eastAsiaTheme="minorHAnsi"/>
          <w:sz w:val="22"/>
          <w:szCs w:val="22"/>
          <w:lang w:eastAsia="en-US"/>
        </w:rPr>
        <w:t xml:space="preserve">ответствующими компетентными органами. </w:t>
      </w:r>
    </w:p>
    <w:p w:rsidR="00EC1A78" w:rsidRPr="00EC1A78" w:rsidRDefault="00C86D06" w:rsidP="00EC1A78">
      <w:pPr>
        <w:ind w:firstLine="426"/>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Алексеев А.И., Герасимов С.И., Сухарев А.Я. Криминолог</w:t>
      </w:r>
      <w:r w:rsidRPr="00EC1A78">
        <w:rPr>
          <w:rFonts w:eastAsiaTheme="minorHAnsi"/>
          <w:sz w:val="22"/>
          <w:szCs w:val="22"/>
          <w:lang w:eastAsia="en-US"/>
        </w:rPr>
        <w:t>и</w:t>
      </w:r>
      <w:r w:rsidRPr="00EC1A78">
        <w:rPr>
          <w:rFonts w:eastAsiaTheme="minorHAnsi"/>
          <w:sz w:val="22"/>
          <w:szCs w:val="22"/>
          <w:lang w:eastAsia="en-US"/>
        </w:rPr>
        <w:t>ческая профилактика: теория, опыт, проблемы. М., 2001. С. 141.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Войтенко С.Г. Криминологическое исследование виктимн</w:t>
      </w:r>
      <w:r w:rsidRPr="00EC1A78">
        <w:rPr>
          <w:rFonts w:eastAsiaTheme="minorHAnsi"/>
          <w:sz w:val="22"/>
          <w:szCs w:val="22"/>
          <w:lang w:eastAsia="en-US"/>
        </w:rPr>
        <w:t>о</w:t>
      </w:r>
      <w:r w:rsidRPr="00EC1A78">
        <w:rPr>
          <w:rFonts w:eastAsiaTheme="minorHAnsi"/>
          <w:sz w:val="22"/>
          <w:szCs w:val="22"/>
          <w:lang w:eastAsia="en-US"/>
        </w:rPr>
        <w:t>сти потерпевших / С.Г. Войтенко. – Белгород, 2000. 95 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Задорожный В.И. Концептуальные основы виктимологич</w:t>
      </w:r>
      <w:r w:rsidRPr="00EC1A78">
        <w:rPr>
          <w:rFonts w:eastAsiaTheme="minorHAnsi"/>
          <w:sz w:val="22"/>
          <w:szCs w:val="22"/>
          <w:lang w:eastAsia="en-US"/>
        </w:rPr>
        <w:t>е</w:t>
      </w:r>
      <w:r w:rsidRPr="00EC1A78">
        <w:rPr>
          <w:rFonts w:eastAsiaTheme="minorHAnsi"/>
          <w:sz w:val="22"/>
          <w:szCs w:val="22"/>
          <w:lang w:eastAsia="en-US"/>
        </w:rPr>
        <w:t>ской профилактики преступлений : дис. … д–ра юрид. наук / В.И. Задорожный. — М., 2006. — 402 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Ривман Д.Ю. Криминальная виктимология / Д.Ю. Ривман. – СПб., 2002. 271 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Синенко С.А. Обеспечение прав и законных интересов п</w:t>
      </w:r>
      <w:r w:rsidRPr="00EC1A78">
        <w:rPr>
          <w:rFonts w:eastAsiaTheme="minorHAnsi"/>
          <w:sz w:val="22"/>
          <w:szCs w:val="22"/>
          <w:lang w:eastAsia="en-US"/>
        </w:rPr>
        <w:t>о</w:t>
      </w:r>
      <w:r w:rsidRPr="00EC1A78">
        <w:rPr>
          <w:rFonts w:eastAsiaTheme="minorHAnsi"/>
          <w:sz w:val="22"/>
          <w:szCs w:val="22"/>
          <w:lang w:eastAsia="en-US"/>
        </w:rPr>
        <w:t>терпевшего в уголовном судопроизводстве: монография / С.А. С</w:t>
      </w:r>
      <w:r w:rsidRPr="00EC1A78">
        <w:rPr>
          <w:rFonts w:eastAsiaTheme="minorHAnsi"/>
          <w:sz w:val="22"/>
          <w:szCs w:val="22"/>
          <w:lang w:eastAsia="en-US"/>
        </w:rPr>
        <w:t>и</w:t>
      </w:r>
      <w:r w:rsidRPr="00EC1A78">
        <w:rPr>
          <w:rFonts w:eastAsiaTheme="minorHAnsi"/>
          <w:sz w:val="22"/>
          <w:szCs w:val="22"/>
          <w:lang w:eastAsia="en-US"/>
        </w:rPr>
        <w:t>ненко. – Хабаровск, 2013. 101 с.</w:t>
      </w:r>
    </w:p>
    <w:p w:rsidR="00EC1A78" w:rsidRDefault="00EC1A78" w:rsidP="00EC1A78">
      <w:pPr>
        <w:jc w:val="both"/>
        <w:rPr>
          <w:rFonts w:eastAsiaTheme="minorHAnsi"/>
          <w:sz w:val="22"/>
          <w:szCs w:val="22"/>
          <w:lang w:eastAsia="en-US"/>
        </w:rPr>
      </w:pPr>
    </w:p>
    <w:p w:rsidR="00425497" w:rsidRPr="00EC1A78" w:rsidRDefault="00425497"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343.546</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Проблемы законодательной регламентации уголовной</w:t>
      </w:r>
      <w:r w:rsidR="00C86D06">
        <w:rPr>
          <w:rFonts w:eastAsiaTheme="minorHAnsi"/>
          <w:b/>
          <w:sz w:val="24"/>
          <w:szCs w:val="24"/>
          <w:lang w:eastAsia="en-US"/>
        </w:rPr>
        <w:br/>
      </w:r>
      <w:r w:rsidRPr="00EC1A78">
        <w:rPr>
          <w:rFonts w:eastAsiaTheme="minorHAnsi"/>
          <w:b/>
          <w:sz w:val="24"/>
          <w:szCs w:val="24"/>
          <w:lang w:eastAsia="en-US"/>
        </w:rPr>
        <w:t xml:space="preserve"> ответственности за половое сношение и иные действия сексуального характера с лицом, не достигшим </w:t>
      </w:r>
      <w:r w:rsidR="00C86D06">
        <w:rPr>
          <w:rFonts w:eastAsiaTheme="minorHAnsi"/>
          <w:b/>
          <w:sz w:val="24"/>
          <w:szCs w:val="24"/>
          <w:lang w:eastAsia="en-US"/>
        </w:rPr>
        <w:br/>
      </w:r>
      <w:r w:rsidRPr="00EC1A78">
        <w:rPr>
          <w:rFonts w:eastAsiaTheme="minorHAnsi"/>
          <w:b/>
          <w:sz w:val="24"/>
          <w:szCs w:val="24"/>
          <w:lang w:eastAsia="en-US"/>
        </w:rPr>
        <w:t>шестнадцатилетнего возраста (ст. 134 УК РФ)</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Problems</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legislative</w:t>
      </w:r>
      <w:r w:rsidRPr="001C6F5C">
        <w:rPr>
          <w:rFonts w:eastAsiaTheme="minorHAnsi"/>
          <w:b/>
          <w:sz w:val="24"/>
          <w:szCs w:val="24"/>
          <w:lang w:val="en-US" w:eastAsia="en-US"/>
        </w:rPr>
        <w:t xml:space="preserve"> </w:t>
      </w:r>
      <w:r w:rsidRPr="00EC1A78">
        <w:rPr>
          <w:rFonts w:eastAsiaTheme="minorHAnsi"/>
          <w:b/>
          <w:sz w:val="24"/>
          <w:szCs w:val="24"/>
          <w:lang w:val="en-US" w:eastAsia="en-US"/>
        </w:rPr>
        <w:t>regulation</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criminal</w:t>
      </w:r>
      <w:r w:rsidRPr="001C6F5C">
        <w:rPr>
          <w:rFonts w:eastAsiaTheme="minorHAnsi"/>
          <w:b/>
          <w:sz w:val="24"/>
          <w:szCs w:val="24"/>
          <w:lang w:val="en-US" w:eastAsia="en-US"/>
        </w:rPr>
        <w:t xml:space="preserve"> </w:t>
      </w:r>
      <w:r w:rsidRPr="00EC1A78">
        <w:rPr>
          <w:rFonts w:eastAsiaTheme="minorHAnsi"/>
          <w:b/>
          <w:sz w:val="24"/>
          <w:szCs w:val="24"/>
          <w:lang w:val="en-US" w:eastAsia="en-US"/>
        </w:rPr>
        <w:t>liability</w:t>
      </w:r>
      <w:r w:rsidRPr="001C6F5C">
        <w:rPr>
          <w:rFonts w:eastAsiaTheme="minorHAnsi"/>
          <w:b/>
          <w:sz w:val="24"/>
          <w:szCs w:val="24"/>
          <w:lang w:val="en-US" w:eastAsia="en-US"/>
        </w:rPr>
        <w:t xml:space="preserve"> </w:t>
      </w:r>
      <w:r w:rsidRPr="00EC1A78">
        <w:rPr>
          <w:rFonts w:eastAsiaTheme="minorHAnsi"/>
          <w:b/>
          <w:sz w:val="24"/>
          <w:szCs w:val="24"/>
          <w:lang w:val="en-US" w:eastAsia="en-US"/>
        </w:rPr>
        <w:t>sexual</w:t>
      </w:r>
      <w:r w:rsidRPr="001C6F5C">
        <w:rPr>
          <w:rFonts w:eastAsiaTheme="minorHAnsi"/>
          <w:b/>
          <w:sz w:val="24"/>
          <w:szCs w:val="24"/>
          <w:lang w:val="en-US" w:eastAsia="en-US"/>
        </w:rPr>
        <w:t xml:space="preserve"> </w:t>
      </w:r>
      <w:r w:rsidRPr="00EC1A78">
        <w:rPr>
          <w:rFonts w:eastAsiaTheme="minorHAnsi"/>
          <w:b/>
          <w:sz w:val="24"/>
          <w:szCs w:val="24"/>
          <w:lang w:val="en-US" w:eastAsia="en-US"/>
        </w:rPr>
        <w:t>intercourse</w:t>
      </w:r>
      <w:r w:rsidRPr="001C6F5C">
        <w:rPr>
          <w:rFonts w:eastAsiaTheme="minorHAnsi"/>
          <w:b/>
          <w:sz w:val="24"/>
          <w:szCs w:val="24"/>
          <w:lang w:val="en-US" w:eastAsia="en-US"/>
        </w:rPr>
        <w:t xml:space="preserve"> </w:t>
      </w:r>
      <w:r w:rsidRPr="00EC1A78">
        <w:rPr>
          <w:rFonts w:eastAsiaTheme="minorHAnsi"/>
          <w:b/>
          <w:sz w:val="24"/>
          <w:szCs w:val="24"/>
          <w:lang w:val="en-US" w:eastAsia="en-US"/>
        </w:rPr>
        <w:t>and</w:t>
      </w:r>
      <w:r w:rsidRPr="001C6F5C">
        <w:rPr>
          <w:rFonts w:eastAsiaTheme="minorHAnsi"/>
          <w:b/>
          <w:sz w:val="24"/>
          <w:szCs w:val="24"/>
          <w:lang w:val="en-US" w:eastAsia="en-US"/>
        </w:rPr>
        <w:t xml:space="preserve"> </w:t>
      </w:r>
      <w:r w:rsidRPr="00EC1A78">
        <w:rPr>
          <w:rFonts w:eastAsiaTheme="minorHAnsi"/>
          <w:b/>
          <w:sz w:val="24"/>
          <w:szCs w:val="24"/>
          <w:lang w:val="en-US" w:eastAsia="en-US"/>
        </w:rPr>
        <w:t>other</w:t>
      </w:r>
      <w:r w:rsidRPr="001C6F5C">
        <w:rPr>
          <w:rFonts w:eastAsiaTheme="minorHAnsi"/>
          <w:b/>
          <w:sz w:val="24"/>
          <w:szCs w:val="24"/>
          <w:lang w:val="en-US" w:eastAsia="en-US"/>
        </w:rPr>
        <w:t xml:space="preserve"> </w:t>
      </w:r>
      <w:r w:rsidRPr="00EC1A78">
        <w:rPr>
          <w:rFonts w:eastAsiaTheme="minorHAnsi"/>
          <w:b/>
          <w:sz w:val="24"/>
          <w:szCs w:val="24"/>
          <w:lang w:val="en-US" w:eastAsia="en-US"/>
        </w:rPr>
        <w:t>actions</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a</w:t>
      </w:r>
      <w:r w:rsidRPr="001C6F5C">
        <w:rPr>
          <w:rFonts w:eastAsiaTheme="minorHAnsi"/>
          <w:b/>
          <w:sz w:val="24"/>
          <w:szCs w:val="24"/>
          <w:lang w:val="en-US" w:eastAsia="en-US"/>
        </w:rPr>
        <w:t xml:space="preserve"> </w:t>
      </w:r>
      <w:r w:rsidRPr="00EC1A78">
        <w:rPr>
          <w:rFonts w:eastAsiaTheme="minorHAnsi"/>
          <w:b/>
          <w:sz w:val="24"/>
          <w:szCs w:val="24"/>
          <w:lang w:val="en-US" w:eastAsia="en-US"/>
        </w:rPr>
        <w:t>sexually</w:t>
      </w:r>
      <w:r w:rsidRPr="001C6F5C">
        <w:rPr>
          <w:rFonts w:eastAsiaTheme="minorHAnsi"/>
          <w:b/>
          <w:sz w:val="24"/>
          <w:szCs w:val="24"/>
          <w:lang w:val="en-US" w:eastAsia="en-US"/>
        </w:rPr>
        <w:t>–</w:t>
      </w:r>
      <w:r w:rsidRPr="00EC1A78">
        <w:rPr>
          <w:rFonts w:eastAsiaTheme="minorHAnsi"/>
          <w:b/>
          <w:sz w:val="24"/>
          <w:szCs w:val="24"/>
          <w:lang w:val="en-US" w:eastAsia="en-US"/>
        </w:rPr>
        <w:t>th</w:t>
      </w:r>
      <w:r w:rsidRPr="001C6F5C">
        <w:rPr>
          <w:rFonts w:eastAsiaTheme="minorHAnsi"/>
          <w:b/>
          <w:sz w:val="24"/>
          <w:szCs w:val="24"/>
          <w:lang w:val="en-US" w:eastAsia="en-US"/>
        </w:rPr>
        <w:t xml:space="preserve"> </w:t>
      </w:r>
      <w:r w:rsidRPr="00EC1A78">
        <w:rPr>
          <w:rFonts w:eastAsiaTheme="minorHAnsi"/>
          <w:b/>
          <w:sz w:val="24"/>
          <w:szCs w:val="24"/>
          <w:lang w:val="en-US" w:eastAsia="en-US"/>
        </w:rPr>
        <w:t>nature</w:t>
      </w:r>
      <w:r w:rsidRPr="001C6F5C">
        <w:rPr>
          <w:rFonts w:eastAsiaTheme="minorHAnsi"/>
          <w:b/>
          <w:sz w:val="24"/>
          <w:szCs w:val="24"/>
          <w:lang w:val="en-US" w:eastAsia="en-US"/>
        </w:rPr>
        <w:t xml:space="preserve"> </w:t>
      </w:r>
      <w:r w:rsidRPr="00EC1A78">
        <w:rPr>
          <w:rFonts w:eastAsiaTheme="minorHAnsi"/>
          <w:b/>
          <w:sz w:val="24"/>
          <w:szCs w:val="24"/>
          <w:lang w:val="en-US" w:eastAsia="en-US"/>
        </w:rPr>
        <w:t>with</w:t>
      </w:r>
      <w:r w:rsidRPr="001C6F5C">
        <w:rPr>
          <w:rFonts w:eastAsiaTheme="minorHAnsi"/>
          <w:b/>
          <w:sz w:val="24"/>
          <w:szCs w:val="24"/>
          <w:lang w:val="en-US" w:eastAsia="en-US"/>
        </w:rPr>
        <w:t xml:space="preserve"> </w:t>
      </w:r>
      <w:r w:rsidRPr="00EC1A78">
        <w:rPr>
          <w:rFonts w:eastAsiaTheme="minorHAnsi"/>
          <w:b/>
          <w:sz w:val="24"/>
          <w:szCs w:val="24"/>
          <w:lang w:val="en-US" w:eastAsia="en-US"/>
        </w:rPr>
        <w:t>a</w:t>
      </w:r>
      <w:r w:rsidRPr="001C6F5C">
        <w:rPr>
          <w:rFonts w:eastAsiaTheme="minorHAnsi"/>
          <w:b/>
          <w:sz w:val="24"/>
          <w:szCs w:val="24"/>
          <w:lang w:val="en-US" w:eastAsia="en-US"/>
        </w:rPr>
        <w:t xml:space="preserve"> </w:t>
      </w:r>
      <w:r w:rsidRPr="00EC1A78">
        <w:rPr>
          <w:rFonts w:eastAsiaTheme="minorHAnsi"/>
          <w:b/>
          <w:sz w:val="24"/>
          <w:szCs w:val="24"/>
          <w:lang w:val="en-US" w:eastAsia="en-US"/>
        </w:rPr>
        <w:t>person under sixteen years of age (article 134 of the criminal code)</w:t>
      </w:r>
    </w:p>
    <w:p w:rsidR="00EC1A78" w:rsidRPr="00EC1A78" w:rsidRDefault="00EC1A78" w:rsidP="00EC1A78">
      <w:pPr>
        <w:ind w:firstLine="425"/>
        <w:jc w:val="right"/>
        <w:rPr>
          <w:rFonts w:eastAsiaTheme="minorHAnsi"/>
          <w:sz w:val="22"/>
          <w:szCs w:val="22"/>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Пенькова А.</w:t>
      </w:r>
      <w:r w:rsidR="00C86D06">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C86D06" w:rsidP="00EC1A78">
      <w:pPr>
        <w:ind w:firstLine="425"/>
        <w:jc w:val="right"/>
        <w:rPr>
          <w:rFonts w:eastAsiaTheme="minorHAnsi"/>
          <w:sz w:val="22"/>
          <w:szCs w:val="22"/>
          <w:lang w:eastAsia="en-US"/>
        </w:rPr>
      </w:pPr>
      <w:r>
        <w:rPr>
          <w:rFonts w:eastAsiaTheme="minorHAnsi"/>
          <w:sz w:val="22"/>
          <w:szCs w:val="22"/>
          <w:lang w:eastAsia="en-US"/>
        </w:rPr>
        <w:t>с</w:t>
      </w:r>
      <w:r w:rsidR="00EC1A78" w:rsidRPr="00EC1A78">
        <w:rPr>
          <w:rFonts w:eastAsiaTheme="minorHAnsi"/>
          <w:sz w:val="22"/>
          <w:szCs w:val="22"/>
          <w:lang w:eastAsia="en-US"/>
        </w:rPr>
        <w:t>тудентка 3–го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Шищенко Е.</w:t>
      </w:r>
      <w:r w:rsidR="00C86D0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C86D06" w:rsidP="00EC1A78">
      <w:pPr>
        <w:ind w:firstLine="425"/>
        <w:jc w:val="right"/>
        <w:rPr>
          <w:rFonts w:eastAsiaTheme="minorHAnsi"/>
          <w:sz w:val="22"/>
          <w:szCs w:val="22"/>
          <w:lang w:eastAsia="en-US"/>
        </w:rPr>
      </w:pPr>
      <w:r>
        <w:rPr>
          <w:rFonts w:eastAsiaTheme="minorHAnsi"/>
          <w:sz w:val="22"/>
          <w:szCs w:val="22"/>
          <w:lang w:eastAsia="en-US"/>
        </w:rPr>
        <w:t>университет имени</w:t>
      </w:r>
      <w:r w:rsidR="00EC1A78" w:rsidRPr="00EC1A78">
        <w:rPr>
          <w:rFonts w:eastAsiaTheme="minorHAnsi"/>
          <w:sz w:val="22"/>
          <w:szCs w:val="22"/>
          <w:lang w:eastAsia="en-US"/>
        </w:rPr>
        <w:t xml:space="preserve"> И. 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проводится уголовно–правовой анализ преступления против полового сношение и иных действий секс</w:t>
      </w:r>
      <w:r w:rsidRPr="00EC1A78">
        <w:rPr>
          <w:rFonts w:eastAsiaTheme="minorHAnsi"/>
          <w:sz w:val="22"/>
          <w:szCs w:val="22"/>
          <w:lang w:eastAsia="en-US"/>
        </w:rPr>
        <w:t>у</w:t>
      </w:r>
      <w:r w:rsidRPr="00EC1A78">
        <w:rPr>
          <w:rFonts w:eastAsiaTheme="minorHAnsi"/>
          <w:sz w:val="22"/>
          <w:szCs w:val="22"/>
          <w:lang w:eastAsia="en-US"/>
        </w:rPr>
        <w:lastRenderedPageBreak/>
        <w:t>ального характера с лицом, не достигшим шестнадцатилетнего во</w:t>
      </w:r>
      <w:r w:rsidRPr="00EC1A78">
        <w:rPr>
          <w:rFonts w:eastAsiaTheme="minorHAnsi"/>
          <w:sz w:val="22"/>
          <w:szCs w:val="22"/>
          <w:lang w:eastAsia="en-US"/>
        </w:rPr>
        <w:t>з</w:t>
      </w:r>
      <w:r w:rsidRPr="00EC1A78">
        <w:rPr>
          <w:rFonts w:eastAsiaTheme="minorHAnsi"/>
          <w:sz w:val="22"/>
          <w:szCs w:val="22"/>
          <w:lang w:eastAsia="en-US"/>
        </w:rPr>
        <w:t>раста. Выявлены основные проблемы законодательной регламент</w:t>
      </w:r>
      <w:r w:rsidRPr="00EC1A78">
        <w:rPr>
          <w:rFonts w:eastAsiaTheme="minorHAnsi"/>
          <w:sz w:val="22"/>
          <w:szCs w:val="22"/>
          <w:lang w:eastAsia="en-US"/>
        </w:rPr>
        <w:t>а</w:t>
      </w:r>
      <w:r w:rsidRPr="00EC1A78">
        <w:rPr>
          <w:rFonts w:eastAsiaTheme="minorHAnsi"/>
          <w:sz w:val="22"/>
          <w:szCs w:val="22"/>
          <w:lang w:eastAsia="en-US"/>
        </w:rPr>
        <w:t>ции данной нормы. Даны пути решения по указанным проблемам.</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article provides a criminal and legal analysis of the crime against sexual intercourse and other acts of a sexual nature with a person under the age of sixteen. The main problems of legislative regulation of this norm are revealed. Ways of the solution on the spec</w:t>
      </w:r>
      <w:r w:rsidRPr="00EC1A78">
        <w:rPr>
          <w:rFonts w:eastAsiaTheme="minorHAnsi"/>
          <w:sz w:val="22"/>
          <w:szCs w:val="22"/>
          <w:lang w:val="en-US" w:eastAsia="en-US"/>
        </w:rPr>
        <w:t>i</w:t>
      </w:r>
      <w:r w:rsidRPr="00EC1A78">
        <w:rPr>
          <w:rFonts w:eastAsiaTheme="minorHAnsi"/>
          <w:sz w:val="22"/>
          <w:szCs w:val="22"/>
          <w:lang w:val="en-US" w:eastAsia="en-US"/>
        </w:rPr>
        <w:t>fied problems are given.</w:t>
      </w:r>
    </w:p>
    <w:p w:rsidR="00EC1A78" w:rsidRPr="00EC1A78" w:rsidRDefault="00EC1A78" w:rsidP="00EC1A78">
      <w:pPr>
        <w:ind w:firstLine="425"/>
        <w:jc w:val="both"/>
        <w:rPr>
          <w:rFonts w:eastAsia="Courier New"/>
          <w:color w:val="000000"/>
          <w:sz w:val="22"/>
          <w:szCs w:val="22"/>
          <w:lang w:eastAsia="en-US"/>
        </w:rPr>
      </w:pPr>
      <w:r w:rsidRPr="00EC1A78">
        <w:rPr>
          <w:rFonts w:eastAsia="Courier New"/>
          <w:color w:val="000000"/>
          <w:sz w:val="22"/>
          <w:szCs w:val="22"/>
          <w:lang w:eastAsia="en-US"/>
        </w:rPr>
        <w:t>КЛЮЧЕВЫЕ СЛОВА: половая свобода, состав преступления, уголовная ответственность.</w:t>
      </w:r>
    </w:p>
    <w:p w:rsidR="00EC1A78" w:rsidRPr="00EC1A78" w:rsidRDefault="00EC1A78" w:rsidP="00EC1A78">
      <w:pPr>
        <w:ind w:firstLine="425"/>
        <w:jc w:val="both"/>
        <w:rPr>
          <w:rFonts w:eastAsia="Courier New"/>
          <w:color w:val="000000"/>
          <w:sz w:val="22"/>
          <w:szCs w:val="22"/>
          <w:lang w:val="en-US" w:eastAsia="en-US"/>
        </w:rPr>
      </w:pPr>
      <w:r w:rsidRPr="00EC1A78">
        <w:rPr>
          <w:rFonts w:eastAsia="Courier New"/>
          <w:color w:val="000000"/>
          <w:sz w:val="22"/>
          <w:szCs w:val="22"/>
          <w:lang w:val="en-US" w:eastAsia="en-US"/>
        </w:rPr>
        <w:t>KEYWORDS: sexual freedom,</w:t>
      </w:r>
      <w:r w:rsidRPr="00EC1A78">
        <w:rPr>
          <w:rFonts w:eastAsiaTheme="minorHAnsi"/>
          <w:color w:val="333333"/>
          <w:sz w:val="27"/>
          <w:szCs w:val="27"/>
          <w:lang w:val="en-US" w:eastAsia="en-US"/>
        </w:rPr>
        <w:t xml:space="preserve"> </w:t>
      </w:r>
      <w:r w:rsidRPr="00EC1A78">
        <w:rPr>
          <w:rFonts w:eastAsia="Courier New"/>
          <w:color w:val="000000"/>
          <w:sz w:val="22"/>
          <w:szCs w:val="22"/>
          <w:lang w:val="en-US" w:eastAsia="en-US"/>
        </w:rPr>
        <w:t>delicti, criminal liability.</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Половая свобода и половая неприкосновенность относятся к числу естественных и неотъемлемых прав человека. Они являются составной частью прав и свобод, гарантированных Конституцией РФ. Каждый реализует половую свободу по собственному усмотр</w:t>
      </w:r>
      <w:r w:rsidRPr="00EC1A78">
        <w:rPr>
          <w:rFonts w:eastAsiaTheme="minorHAnsi"/>
          <w:sz w:val="22"/>
          <w:szCs w:val="22"/>
          <w:lang w:eastAsia="en-US"/>
        </w:rPr>
        <w:t>е</w:t>
      </w:r>
      <w:r w:rsidRPr="00EC1A78">
        <w:rPr>
          <w:rFonts w:eastAsiaTheme="minorHAnsi"/>
          <w:sz w:val="22"/>
          <w:szCs w:val="22"/>
          <w:lang w:eastAsia="en-US"/>
        </w:rPr>
        <w:t>нию. Данная категория преступлений причиняет вред не только п</w:t>
      </w:r>
      <w:r w:rsidRPr="00EC1A78">
        <w:rPr>
          <w:rFonts w:eastAsiaTheme="minorHAnsi"/>
          <w:sz w:val="22"/>
          <w:szCs w:val="22"/>
          <w:lang w:eastAsia="en-US"/>
        </w:rPr>
        <w:t>о</w:t>
      </w:r>
      <w:r w:rsidRPr="00EC1A78">
        <w:rPr>
          <w:rFonts w:eastAsiaTheme="minorHAnsi"/>
          <w:sz w:val="22"/>
          <w:szCs w:val="22"/>
          <w:lang w:eastAsia="en-US"/>
        </w:rPr>
        <w:t>ловой свободе и половой неприкосновенности личности, но и зд</w:t>
      </w:r>
      <w:r w:rsidRPr="00EC1A78">
        <w:rPr>
          <w:rFonts w:eastAsiaTheme="minorHAnsi"/>
          <w:sz w:val="22"/>
          <w:szCs w:val="22"/>
          <w:lang w:eastAsia="en-US"/>
        </w:rPr>
        <w:t>о</w:t>
      </w:r>
      <w:r w:rsidRPr="00EC1A78">
        <w:rPr>
          <w:rFonts w:eastAsiaTheme="minorHAnsi"/>
          <w:sz w:val="22"/>
          <w:szCs w:val="22"/>
          <w:lang w:eastAsia="en-US"/>
        </w:rPr>
        <w:t>ровью, в том числе и психическому, нарушают моральные и нра</w:t>
      </w:r>
      <w:r w:rsidRPr="00EC1A78">
        <w:rPr>
          <w:rFonts w:eastAsiaTheme="minorHAnsi"/>
          <w:sz w:val="22"/>
          <w:szCs w:val="22"/>
          <w:lang w:eastAsia="en-US"/>
        </w:rPr>
        <w:t>в</w:t>
      </w:r>
      <w:r w:rsidRPr="00EC1A78">
        <w:rPr>
          <w:rFonts w:eastAsiaTheme="minorHAnsi"/>
          <w:sz w:val="22"/>
          <w:szCs w:val="22"/>
          <w:lang w:eastAsia="en-US"/>
        </w:rPr>
        <w:t xml:space="preserve">ственные устои общества. </w:t>
      </w:r>
    </w:p>
    <w:p w:rsidR="00EC1A78" w:rsidRPr="00EC1A78" w:rsidRDefault="00EC1A78" w:rsidP="00EC1A78">
      <w:pPr>
        <w:ind w:firstLine="425"/>
        <w:jc w:val="both"/>
        <w:rPr>
          <w:rFonts w:eastAsiaTheme="minorHAnsi"/>
          <w:color w:val="111111"/>
          <w:sz w:val="22"/>
          <w:szCs w:val="22"/>
          <w:lang w:eastAsia="en-US"/>
        </w:rPr>
      </w:pPr>
      <w:r w:rsidRPr="00EC1A78">
        <w:rPr>
          <w:rFonts w:eastAsiaTheme="minorHAnsi"/>
          <w:sz w:val="22"/>
          <w:szCs w:val="22"/>
          <w:lang w:eastAsia="en-US"/>
        </w:rPr>
        <w:t>Уголовный кодекс РФ предусматривает ответственность за с</w:t>
      </w:r>
      <w:r w:rsidRPr="00EC1A78">
        <w:rPr>
          <w:rFonts w:eastAsiaTheme="minorHAnsi"/>
          <w:sz w:val="22"/>
          <w:szCs w:val="22"/>
          <w:lang w:eastAsia="en-US"/>
        </w:rPr>
        <w:t>о</w:t>
      </w:r>
      <w:r w:rsidRPr="00EC1A78">
        <w:rPr>
          <w:rFonts w:eastAsiaTheme="minorHAnsi"/>
          <w:sz w:val="22"/>
          <w:szCs w:val="22"/>
          <w:lang w:eastAsia="en-US"/>
        </w:rPr>
        <w:t xml:space="preserve">вершение </w:t>
      </w:r>
      <w:r w:rsidRPr="00EC1A78">
        <w:rPr>
          <w:rFonts w:eastAsiaTheme="minorHAnsi"/>
          <w:bCs/>
          <w:sz w:val="22"/>
          <w:szCs w:val="22"/>
          <w:lang w:eastAsia="en-US"/>
        </w:rPr>
        <w:t>полового сношения и иных действий сексуального хара</w:t>
      </w:r>
      <w:r w:rsidRPr="00EC1A78">
        <w:rPr>
          <w:rFonts w:eastAsiaTheme="minorHAnsi"/>
          <w:bCs/>
          <w:sz w:val="22"/>
          <w:szCs w:val="22"/>
          <w:lang w:eastAsia="en-US"/>
        </w:rPr>
        <w:t>к</w:t>
      </w:r>
      <w:r w:rsidRPr="00EC1A78">
        <w:rPr>
          <w:rFonts w:eastAsiaTheme="minorHAnsi"/>
          <w:bCs/>
          <w:sz w:val="22"/>
          <w:szCs w:val="22"/>
          <w:lang w:eastAsia="en-US"/>
        </w:rPr>
        <w:t>тера с лицом, не достигшим шестнадцатилетнего возраста (ст.134 УК РФ) [1]. Данная статья не один раз подвергалась изменениям. Очень часто менялся объект преступления</w:t>
      </w:r>
      <w:r w:rsidRPr="00EC1A78">
        <w:rPr>
          <w:rFonts w:eastAsiaTheme="minorHAnsi"/>
          <w:sz w:val="22"/>
          <w:szCs w:val="22"/>
          <w:lang w:eastAsia="en-US"/>
        </w:rPr>
        <w:t>. На сегодняшний день данная норма далеко не совершенна. Она требует дальнейших д</w:t>
      </w:r>
      <w:r w:rsidRPr="00EC1A78">
        <w:rPr>
          <w:rFonts w:eastAsiaTheme="minorHAnsi"/>
          <w:sz w:val="22"/>
          <w:szCs w:val="22"/>
          <w:lang w:eastAsia="en-US"/>
        </w:rPr>
        <w:t>о</w:t>
      </w:r>
      <w:r w:rsidRPr="00EC1A78">
        <w:rPr>
          <w:rFonts w:eastAsiaTheme="minorHAnsi"/>
          <w:sz w:val="22"/>
          <w:szCs w:val="22"/>
          <w:lang w:eastAsia="en-US"/>
        </w:rPr>
        <w:t>работок и изменений</w:t>
      </w:r>
      <w:r w:rsidRPr="00EC1A78">
        <w:rPr>
          <w:rFonts w:eastAsiaTheme="minorHAnsi"/>
          <w:color w:val="111111"/>
          <w:sz w:val="22"/>
          <w:szCs w:val="22"/>
          <w:lang w:eastAsia="en-US"/>
        </w:rPr>
        <w:t>. Все это связано с изменением самого общ</w:t>
      </w:r>
      <w:r w:rsidRPr="00EC1A78">
        <w:rPr>
          <w:rFonts w:eastAsiaTheme="minorHAnsi"/>
          <w:color w:val="111111"/>
          <w:sz w:val="22"/>
          <w:szCs w:val="22"/>
          <w:lang w:eastAsia="en-US"/>
        </w:rPr>
        <w:t>е</w:t>
      </w:r>
      <w:r w:rsidRPr="00EC1A78">
        <w:rPr>
          <w:rFonts w:eastAsiaTheme="minorHAnsi"/>
          <w:color w:val="111111"/>
          <w:sz w:val="22"/>
          <w:szCs w:val="22"/>
          <w:lang w:eastAsia="en-US"/>
        </w:rPr>
        <w:t>ства, его жизненных укладов.</w:t>
      </w:r>
    </w:p>
    <w:p w:rsidR="00EC1A78" w:rsidRPr="00EC1A78" w:rsidRDefault="00EC1A78" w:rsidP="00EC1A78">
      <w:pPr>
        <w:ind w:firstLine="425"/>
        <w:jc w:val="both"/>
        <w:rPr>
          <w:rFonts w:eastAsiaTheme="minorHAnsi"/>
          <w:bCs/>
          <w:sz w:val="22"/>
          <w:szCs w:val="22"/>
          <w:lang w:eastAsia="en-US"/>
        </w:rPr>
      </w:pPr>
      <w:r w:rsidRPr="00EC1A78">
        <w:rPr>
          <w:rFonts w:eastAsiaTheme="minorHAnsi"/>
          <w:color w:val="111111"/>
          <w:sz w:val="22"/>
          <w:szCs w:val="22"/>
          <w:lang w:eastAsia="en-US"/>
        </w:rPr>
        <w:t>Законодателю стоит обратить внимание на состав преступл</w:t>
      </w:r>
      <w:r w:rsidRPr="00EC1A78">
        <w:rPr>
          <w:rFonts w:eastAsiaTheme="minorHAnsi"/>
          <w:color w:val="111111"/>
          <w:sz w:val="22"/>
          <w:szCs w:val="22"/>
          <w:lang w:eastAsia="en-US"/>
        </w:rPr>
        <w:t>е</w:t>
      </w:r>
      <w:r w:rsidRPr="00EC1A78">
        <w:rPr>
          <w:rFonts w:eastAsiaTheme="minorHAnsi"/>
          <w:color w:val="111111"/>
          <w:sz w:val="22"/>
          <w:szCs w:val="22"/>
          <w:lang w:eastAsia="en-US"/>
        </w:rPr>
        <w:t>ния. Так, относительно действий, не носящих насильственный се</w:t>
      </w:r>
      <w:r w:rsidRPr="00EC1A78">
        <w:rPr>
          <w:rFonts w:eastAsiaTheme="minorHAnsi"/>
          <w:color w:val="111111"/>
          <w:sz w:val="22"/>
          <w:szCs w:val="22"/>
          <w:lang w:eastAsia="en-US"/>
        </w:rPr>
        <w:t>к</w:t>
      </w:r>
      <w:r w:rsidRPr="00EC1A78">
        <w:rPr>
          <w:rFonts w:eastAsiaTheme="minorHAnsi"/>
          <w:color w:val="111111"/>
          <w:sz w:val="22"/>
          <w:szCs w:val="22"/>
          <w:lang w:eastAsia="en-US"/>
        </w:rPr>
        <w:t xml:space="preserve">суальный характер, то есть половое сношение (ч. 1 ст. 134 УК РФ) мужеложство и лесбиянство (ч. 2 ст. </w:t>
      </w:r>
      <w:r w:rsidRPr="00EC1A78">
        <w:rPr>
          <w:rFonts w:eastAsiaTheme="minorHAnsi"/>
          <w:sz w:val="22"/>
          <w:szCs w:val="22"/>
          <w:lang w:eastAsia="en-US"/>
        </w:rPr>
        <w:t>134 УК РФ) законодателем предусмотрена уголовная ответственность [1]. А вот иные действия сексуального характера, о которых говорится в названии ст. 134 УК РФ, не включены в диспозицию. Такое разногласие приводит к т</w:t>
      </w:r>
      <w:r w:rsidRPr="00EC1A78">
        <w:rPr>
          <w:rFonts w:eastAsiaTheme="minorHAnsi"/>
          <w:sz w:val="22"/>
          <w:szCs w:val="22"/>
          <w:lang w:eastAsia="en-US"/>
        </w:rPr>
        <w:t>о</w:t>
      </w:r>
      <w:r w:rsidRPr="00EC1A78">
        <w:rPr>
          <w:rFonts w:eastAsiaTheme="minorHAnsi"/>
          <w:sz w:val="22"/>
          <w:szCs w:val="22"/>
          <w:lang w:eastAsia="en-US"/>
        </w:rPr>
        <w:t xml:space="preserve">му, что </w:t>
      </w:r>
      <w:r w:rsidRPr="00EC1A78">
        <w:rPr>
          <w:rFonts w:eastAsiaTheme="minorHAnsi"/>
          <w:bCs/>
          <w:sz w:val="22"/>
          <w:szCs w:val="22"/>
          <w:lang w:eastAsia="en-US"/>
        </w:rPr>
        <w:t>совершеннолетний может быть привлечен к уголовной о</w:t>
      </w:r>
      <w:r w:rsidRPr="00EC1A78">
        <w:rPr>
          <w:rFonts w:eastAsiaTheme="minorHAnsi"/>
          <w:bCs/>
          <w:sz w:val="22"/>
          <w:szCs w:val="22"/>
          <w:lang w:eastAsia="en-US"/>
        </w:rPr>
        <w:t>т</w:t>
      </w:r>
      <w:r w:rsidRPr="00EC1A78">
        <w:rPr>
          <w:rFonts w:eastAsiaTheme="minorHAnsi"/>
          <w:bCs/>
          <w:sz w:val="22"/>
          <w:szCs w:val="22"/>
          <w:lang w:eastAsia="en-US"/>
        </w:rPr>
        <w:t>ветственности только за действия сексуального характера в отн</w:t>
      </w:r>
      <w:r w:rsidRPr="00EC1A78">
        <w:rPr>
          <w:rFonts w:eastAsiaTheme="minorHAnsi"/>
          <w:bCs/>
          <w:sz w:val="22"/>
          <w:szCs w:val="22"/>
          <w:lang w:eastAsia="en-US"/>
        </w:rPr>
        <w:t>о</w:t>
      </w:r>
      <w:r w:rsidRPr="00EC1A78">
        <w:rPr>
          <w:rFonts w:eastAsiaTheme="minorHAnsi"/>
          <w:bCs/>
          <w:sz w:val="22"/>
          <w:szCs w:val="22"/>
          <w:lang w:eastAsia="en-US"/>
        </w:rPr>
        <w:t>шении лица, не достигшего шестнадцатилетнего возраста, сове</w:t>
      </w:r>
      <w:r w:rsidRPr="00EC1A78">
        <w:rPr>
          <w:rFonts w:eastAsiaTheme="minorHAnsi"/>
          <w:bCs/>
          <w:sz w:val="22"/>
          <w:szCs w:val="22"/>
          <w:lang w:eastAsia="en-US"/>
        </w:rPr>
        <w:t>р</w:t>
      </w:r>
      <w:r w:rsidRPr="00EC1A78">
        <w:rPr>
          <w:rFonts w:eastAsiaTheme="minorHAnsi"/>
          <w:bCs/>
          <w:sz w:val="22"/>
          <w:szCs w:val="22"/>
          <w:lang w:eastAsia="en-US"/>
        </w:rPr>
        <w:lastRenderedPageBreak/>
        <w:t>шенные в форме полового сношения, мужеложства и лесбиянства [2]. На практике создается ситуация, когда «иные действия секс</w:t>
      </w:r>
      <w:r w:rsidRPr="00EC1A78">
        <w:rPr>
          <w:rFonts w:eastAsiaTheme="minorHAnsi"/>
          <w:bCs/>
          <w:sz w:val="22"/>
          <w:szCs w:val="22"/>
          <w:lang w:eastAsia="en-US"/>
        </w:rPr>
        <w:t>у</w:t>
      </w:r>
      <w:r w:rsidRPr="00EC1A78">
        <w:rPr>
          <w:rFonts w:eastAsiaTheme="minorHAnsi"/>
          <w:bCs/>
          <w:sz w:val="22"/>
          <w:szCs w:val="22"/>
          <w:lang w:eastAsia="en-US"/>
        </w:rPr>
        <w:t>ального характера», закрепленные в названии ст. 134 УК РФ, не преследуются законом, выходят за рамки состава преступления.</w:t>
      </w:r>
    </w:p>
    <w:p w:rsidR="00EC1A78" w:rsidRPr="00EC1A78" w:rsidRDefault="00EC1A78" w:rsidP="00EC1A78">
      <w:pPr>
        <w:ind w:firstLine="425"/>
        <w:jc w:val="both"/>
        <w:rPr>
          <w:rFonts w:eastAsiaTheme="minorHAnsi"/>
          <w:bCs/>
          <w:sz w:val="22"/>
          <w:szCs w:val="22"/>
          <w:lang w:eastAsia="en-US"/>
        </w:rPr>
      </w:pPr>
      <w:r w:rsidRPr="00EC1A78">
        <w:rPr>
          <w:rFonts w:eastAsiaTheme="minorHAnsi"/>
          <w:bCs/>
          <w:sz w:val="22"/>
          <w:szCs w:val="22"/>
          <w:lang w:eastAsia="en-US"/>
        </w:rPr>
        <w:t>Особое внимание занимает и субъект данного преступления. Так, в законе прямо указывается, что субъектом может быть только лицо, достигшее возраста 18 лет. Из прямого толкования нормы, следует, что, если, лицо, достигшее возраста 16 – 17 лет совершает половое сношение с лицом, не достигшим шестнадцатилетнего во</w:t>
      </w:r>
      <w:r w:rsidRPr="00EC1A78">
        <w:rPr>
          <w:rFonts w:eastAsiaTheme="minorHAnsi"/>
          <w:bCs/>
          <w:sz w:val="22"/>
          <w:szCs w:val="22"/>
          <w:lang w:eastAsia="en-US"/>
        </w:rPr>
        <w:t>з</w:t>
      </w:r>
      <w:r w:rsidRPr="00EC1A78">
        <w:rPr>
          <w:rFonts w:eastAsiaTheme="minorHAnsi"/>
          <w:bCs/>
          <w:sz w:val="22"/>
          <w:szCs w:val="22"/>
          <w:lang w:eastAsia="en-US"/>
        </w:rPr>
        <w:t>раста, то состава преступления не будет. И лицо не может быть привлечено к уголовной ответственности. Указание на субъект пр</w:t>
      </w:r>
      <w:r w:rsidRPr="00EC1A78">
        <w:rPr>
          <w:rFonts w:eastAsiaTheme="minorHAnsi"/>
          <w:bCs/>
          <w:sz w:val="22"/>
          <w:szCs w:val="22"/>
          <w:lang w:eastAsia="en-US"/>
        </w:rPr>
        <w:t>е</w:t>
      </w:r>
      <w:r w:rsidRPr="00EC1A78">
        <w:rPr>
          <w:rFonts w:eastAsiaTheme="minorHAnsi"/>
          <w:bCs/>
          <w:sz w:val="22"/>
          <w:szCs w:val="22"/>
          <w:lang w:eastAsia="en-US"/>
        </w:rPr>
        <w:t>ступления содержится только в ч. 1 и ч. 2 ст. 134 УК РФ [1]. Посл</w:t>
      </w:r>
      <w:r w:rsidRPr="00EC1A78">
        <w:rPr>
          <w:rFonts w:eastAsiaTheme="minorHAnsi"/>
          <w:bCs/>
          <w:sz w:val="22"/>
          <w:szCs w:val="22"/>
          <w:lang w:eastAsia="en-US"/>
        </w:rPr>
        <w:t>е</w:t>
      </w:r>
      <w:r w:rsidRPr="00EC1A78">
        <w:rPr>
          <w:rFonts w:eastAsiaTheme="minorHAnsi"/>
          <w:bCs/>
          <w:sz w:val="22"/>
          <w:szCs w:val="22"/>
          <w:lang w:eastAsia="en-US"/>
        </w:rPr>
        <w:t>дующие части прямого указания на возраст не содержат. В них только лишь содержится отсылочная норма на предыдущие части. В таком случае возникает вопрос: будет ли охватывать отсылочное положение все элементы его состава, включая субъект?</w:t>
      </w:r>
    </w:p>
    <w:p w:rsidR="00EC1A78" w:rsidRPr="00EC1A78" w:rsidRDefault="00EC1A78" w:rsidP="00EC1A78">
      <w:pPr>
        <w:ind w:firstLine="425"/>
        <w:jc w:val="both"/>
        <w:rPr>
          <w:rFonts w:eastAsiaTheme="minorHAnsi"/>
          <w:bCs/>
          <w:sz w:val="22"/>
          <w:szCs w:val="22"/>
          <w:lang w:eastAsia="en-US"/>
        </w:rPr>
      </w:pPr>
      <w:r w:rsidRPr="00EC1A78">
        <w:rPr>
          <w:rFonts w:eastAsiaTheme="minorHAnsi"/>
          <w:bCs/>
          <w:sz w:val="22"/>
          <w:szCs w:val="22"/>
          <w:lang w:eastAsia="en-US"/>
        </w:rPr>
        <w:t>По нашему мнению, вопрос о возрасте стоит решать с учетом положений статьи 20 УК РФ (Возраст, с которого наступает уг</w:t>
      </w:r>
      <w:r w:rsidRPr="00EC1A78">
        <w:rPr>
          <w:rFonts w:eastAsiaTheme="minorHAnsi"/>
          <w:bCs/>
          <w:sz w:val="22"/>
          <w:szCs w:val="22"/>
          <w:lang w:eastAsia="en-US"/>
        </w:rPr>
        <w:t>о</w:t>
      </w:r>
      <w:r w:rsidRPr="00EC1A78">
        <w:rPr>
          <w:rFonts w:eastAsiaTheme="minorHAnsi"/>
          <w:bCs/>
          <w:sz w:val="22"/>
          <w:szCs w:val="22"/>
          <w:lang w:eastAsia="en-US"/>
        </w:rPr>
        <w:t>ловная ответственность). Опираясь на часть 3, данной нормы, в о</w:t>
      </w:r>
      <w:r w:rsidRPr="00EC1A78">
        <w:rPr>
          <w:rFonts w:eastAsiaTheme="minorHAnsi"/>
          <w:bCs/>
          <w:sz w:val="22"/>
          <w:szCs w:val="22"/>
          <w:lang w:eastAsia="en-US"/>
        </w:rPr>
        <w:t>с</w:t>
      </w:r>
      <w:r w:rsidRPr="00EC1A78">
        <w:rPr>
          <w:rFonts w:eastAsiaTheme="minorHAnsi"/>
          <w:bCs/>
          <w:sz w:val="22"/>
          <w:szCs w:val="22"/>
          <w:lang w:eastAsia="en-US"/>
        </w:rPr>
        <w:t>нову определения возраста лица, которое может быть субъектом соответствующего преступления, положена возможность виновного осознавать фактический характер и общественную опасность своих действий (бездействия) или руководить ими [3]. Анализ ст. 20 УК РФ дает право полагать, что для субъекта преступлений, пред</w:t>
      </w:r>
      <w:r w:rsidRPr="00EC1A78">
        <w:rPr>
          <w:rFonts w:eastAsiaTheme="minorHAnsi"/>
          <w:bCs/>
          <w:sz w:val="22"/>
          <w:szCs w:val="22"/>
          <w:lang w:eastAsia="en-US"/>
        </w:rPr>
        <w:t>у</w:t>
      </w:r>
      <w:r w:rsidRPr="00EC1A78">
        <w:rPr>
          <w:rFonts w:eastAsiaTheme="minorHAnsi"/>
          <w:bCs/>
          <w:sz w:val="22"/>
          <w:szCs w:val="22"/>
          <w:lang w:eastAsia="en-US"/>
        </w:rPr>
        <w:t>смотренных ст. 131 и 132 УК РФ, определен возраст 14 лет, а для субъекта преступлений, предусмотренных ст. 134 и 135 УК – 16 лет. То есть, мы можем говорить о том, что указанный в статье 134 во</w:t>
      </w:r>
      <w:r w:rsidRPr="00EC1A78">
        <w:rPr>
          <w:rFonts w:eastAsiaTheme="minorHAnsi"/>
          <w:bCs/>
          <w:sz w:val="22"/>
          <w:szCs w:val="22"/>
          <w:lang w:eastAsia="en-US"/>
        </w:rPr>
        <w:t>з</w:t>
      </w:r>
      <w:r w:rsidRPr="00EC1A78">
        <w:rPr>
          <w:rFonts w:eastAsiaTheme="minorHAnsi"/>
          <w:bCs/>
          <w:sz w:val="22"/>
          <w:szCs w:val="22"/>
          <w:lang w:eastAsia="en-US"/>
        </w:rPr>
        <w:t>раст уголовной ответственности противоречит основным полож</w:t>
      </w:r>
      <w:r w:rsidRPr="00EC1A78">
        <w:rPr>
          <w:rFonts w:eastAsiaTheme="minorHAnsi"/>
          <w:bCs/>
          <w:sz w:val="22"/>
          <w:szCs w:val="22"/>
          <w:lang w:eastAsia="en-US"/>
        </w:rPr>
        <w:t>е</w:t>
      </w:r>
      <w:r w:rsidRPr="00EC1A78">
        <w:rPr>
          <w:rFonts w:eastAsiaTheme="minorHAnsi"/>
          <w:bCs/>
          <w:sz w:val="22"/>
          <w:szCs w:val="22"/>
          <w:lang w:eastAsia="en-US"/>
        </w:rPr>
        <w:t>ниям Уголовного кодекса, в частности статье 20.</w:t>
      </w:r>
    </w:p>
    <w:p w:rsidR="00EC1A78" w:rsidRPr="00EC1A78" w:rsidRDefault="00EC1A78" w:rsidP="00EC1A78">
      <w:pPr>
        <w:ind w:firstLine="425"/>
        <w:jc w:val="both"/>
        <w:rPr>
          <w:rFonts w:eastAsiaTheme="minorHAnsi"/>
          <w:bCs/>
          <w:sz w:val="22"/>
          <w:szCs w:val="22"/>
          <w:lang w:eastAsia="en-US"/>
        </w:rPr>
      </w:pPr>
      <w:r w:rsidRPr="00EC1A78">
        <w:rPr>
          <w:rFonts w:eastAsiaTheme="minorHAnsi"/>
          <w:bCs/>
          <w:sz w:val="22"/>
          <w:szCs w:val="22"/>
          <w:lang w:eastAsia="en-US"/>
        </w:rPr>
        <w:t>При пересмотре Уголовного кодекса РФ, законодателю стоит обратить внимание на множество противоречий, содержащихся в статьях. Статья 134 УК РФ не является этому исключением. По нашему мнению, она требует больших доработок и исправлений, чтобы у в правоприменительной практике не возникало множество вопросов и нюансов. Так, мы предлагаем, включить в диспозицию данной нормы не только половое сношение, лесбиянство и муж</w:t>
      </w:r>
      <w:r w:rsidRPr="00EC1A78">
        <w:rPr>
          <w:rFonts w:eastAsiaTheme="minorHAnsi"/>
          <w:bCs/>
          <w:sz w:val="22"/>
          <w:szCs w:val="22"/>
          <w:lang w:eastAsia="en-US"/>
        </w:rPr>
        <w:t>е</w:t>
      </w:r>
      <w:r w:rsidRPr="00EC1A78">
        <w:rPr>
          <w:rFonts w:eastAsiaTheme="minorHAnsi"/>
          <w:bCs/>
          <w:sz w:val="22"/>
          <w:szCs w:val="22"/>
          <w:lang w:eastAsia="en-US"/>
        </w:rPr>
        <w:t>ложство, но и иные действия сексуального характера. Еще одним предложением является изменение возраста уголовной ответстве</w:t>
      </w:r>
      <w:r w:rsidRPr="00EC1A78">
        <w:rPr>
          <w:rFonts w:eastAsiaTheme="minorHAnsi"/>
          <w:bCs/>
          <w:sz w:val="22"/>
          <w:szCs w:val="22"/>
          <w:lang w:eastAsia="en-US"/>
        </w:rPr>
        <w:t>н</w:t>
      </w:r>
      <w:r w:rsidRPr="00EC1A78">
        <w:rPr>
          <w:rFonts w:eastAsiaTheme="minorHAnsi"/>
          <w:bCs/>
          <w:sz w:val="22"/>
          <w:szCs w:val="22"/>
          <w:lang w:eastAsia="en-US"/>
        </w:rPr>
        <w:lastRenderedPageBreak/>
        <w:t>ности применительно к данной норме.  По нашему мнению, субъе</w:t>
      </w:r>
      <w:r w:rsidRPr="00EC1A78">
        <w:rPr>
          <w:rFonts w:eastAsiaTheme="minorHAnsi"/>
          <w:bCs/>
          <w:sz w:val="22"/>
          <w:szCs w:val="22"/>
          <w:lang w:eastAsia="en-US"/>
        </w:rPr>
        <w:t>к</w:t>
      </w:r>
      <w:r w:rsidRPr="00EC1A78">
        <w:rPr>
          <w:rFonts w:eastAsiaTheme="minorHAnsi"/>
          <w:bCs/>
          <w:sz w:val="22"/>
          <w:szCs w:val="22"/>
          <w:lang w:eastAsia="en-US"/>
        </w:rPr>
        <w:t>том преступления должен быть физическое, вменяемое лицо, д</w:t>
      </w:r>
      <w:r w:rsidRPr="00EC1A78">
        <w:rPr>
          <w:rFonts w:eastAsiaTheme="minorHAnsi"/>
          <w:bCs/>
          <w:sz w:val="22"/>
          <w:szCs w:val="22"/>
          <w:lang w:eastAsia="en-US"/>
        </w:rPr>
        <w:t>о</w:t>
      </w:r>
      <w:r w:rsidRPr="00EC1A78">
        <w:rPr>
          <w:rFonts w:eastAsiaTheme="minorHAnsi"/>
          <w:bCs/>
          <w:sz w:val="22"/>
          <w:szCs w:val="22"/>
          <w:lang w:eastAsia="en-US"/>
        </w:rPr>
        <w:t>стигшее 16–летнего возраста.</w:t>
      </w:r>
    </w:p>
    <w:p w:rsidR="00EC1A78" w:rsidRPr="00EC1A78" w:rsidRDefault="00EC1A78" w:rsidP="00EC1A78">
      <w:pPr>
        <w:ind w:firstLine="425"/>
        <w:jc w:val="both"/>
        <w:rPr>
          <w:rFonts w:eastAsiaTheme="minorHAnsi"/>
          <w:color w:val="111111"/>
          <w:sz w:val="22"/>
          <w:szCs w:val="22"/>
          <w:lang w:eastAsia="en-US"/>
        </w:rPr>
      </w:pPr>
    </w:p>
    <w:p w:rsidR="00EC1A78" w:rsidRPr="00EC1A78" w:rsidRDefault="00EC1A78" w:rsidP="00EC1A78">
      <w:pPr>
        <w:jc w:val="center"/>
        <w:rPr>
          <w:rFonts w:eastAsiaTheme="minorHAnsi"/>
          <w:bCs/>
          <w:sz w:val="22"/>
          <w:szCs w:val="22"/>
          <w:lang w:eastAsia="en-US"/>
        </w:rPr>
      </w:pPr>
      <w:r w:rsidRPr="00EC1A78">
        <w:rPr>
          <w:rFonts w:eastAsiaTheme="minorHAnsi"/>
          <w:bCs/>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Уголовный кодекс Российской Федерации от 13.06.1996 N 63–ФЗ (ред. от 19.02.2018) // «Собрание законодательства РФ», 17.06.1996, N 25, ст. 2954.</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Бимбинов А.А. Проблемы законодательной регламентации ответственности за совершение действий сексуального характера с лицом, не достигшим шестнадцатилетнего возраста. – Актуальные проблемы российского права. – 2014. – № 12(49). – С. 2806 – 2810.</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eastAsia="en-US"/>
        </w:rPr>
        <w:t xml:space="preserve">3. Аванесян В., Ярославцева Е. Вопросы квалификации ст. 134 УК РФ // Уголовное право. </w:t>
      </w:r>
      <w:r w:rsidRPr="00EC1A78">
        <w:rPr>
          <w:rFonts w:eastAsiaTheme="minorHAnsi"/>
          <w:sz w:val="22"/>
          <w:szCs w:val="22"/>
          <w:lang w:val="en-US" w:eastAsia="en-US"/>
        </w:rPr>
        <w:t xml:space="preserve">2014. N 5. </w:t>
      </w:r>
      <w:r w:rsidRPr="00EC1A78">
        <w:rPr>
          <w:rFonts w:eastAsiaTheme="minorHAnsi"/>
          <w:sz w:val="22"/>
          <w:szCs w:val="22"/>
          <w:lang w:eastAsia="en-US"/>
        </w:rPr>
        <w:t>С</w:t>
      </w:r>
      <w:r w:rsidRPr="00EC1A78">
        <w:rPr>
          <w:rFonts w:eastAsiaTheme="minorHAnsi"/>
          <w:sz w:val="22"/>
          <w:szCs w:val="22"/>
          <w:lang w:val="en-US" w:eastAsia="en-US"/>
        </w:rPr>
        <w:t>. 5 – 7.</w:t>
      </w:r>
    </w:p>
    <w:p w:rsidR="00EC1A78" w:rsidRPr="001C6F5C" w:rsidRDefault="00EC1A78" w:rsidP="00EC1A78">
      <w:pPr>
        <w:jc w:val="both"/>
        <w:rPr>
          <w:rFonts w:eastAsiaTheme="minorHAnsi"/>
          <w:sz w:val="22"/>
          <w:szCs w:val="22"/>
          <w:lang w:val="en-US" w:eastAsia="en-US"/>
        </w:rPr>
      </w:pPr>
    </w:p>
    <w:p w:rsidR="00C86D06" w:rsidRPr="001C6F5C" w:rsidRDefault="00C86D06" w:rsidP="00EC1A78">
      <w:pPr>
        <w:jc w:val="both"/>
        <w:rPr>
          <w:rFonts w:eastAsiaTheme="minorHAnsi"/>
          <w:sz w:val="22"/>
          <w:szCs w:val="22"/>
          <w:lang w:val="en-US" w:eastAsia="en-US"/>
        </w:rPr>
      </w:pPr>
    </w:p>
    <w:p w:rsidR="00425497" w:rsidRPr="008D33CB" w:rsidRDefault="00425497" w:rsidP="00EC1A78">
      <w:pPr>
        <w:jc w:val="both"/>
        <w:rPr>
          <w:rFonts w:eastAsiaTheme="minorHAnsi"/>
          <w:sz w:val="22"/>
          <w:szCs w:val="22"/>
          <w:lang w:val="en-US" w:eastAsia="en-US"/>
        </w:rPr>
      </w:pPr>
    </w:p>
    <w:p w:rsidR="00EC1A78" w:rsidRPr="001C6F5C"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eastAsia="Arial Unicode MS"/>
          <w:color w:val="000000"/>
          <w:sz w:val="22"/>
          <w:szCs w:val="24"/>
          <w:bdr w:val="nil"/>
          <w:lang w:val="en-US"/>
        </w:rPr>
      </w:pPr>
      <w:r w:rsidRPr="00EC1A78">
        <w:rPr>
          <w:rFonts w:eastAsia="Arial Unicode MS"/>
          <w:color w:val="000000"/>
          <w:sz w:val="22"/>
          <w:szCs w:val="24"/>
          <w:bdr w:val="nil"/>
        </w:rPr>
        <w:t>УДК</w:t>
      </w:r>
      <w:r w:rsidRPr="001C6F5C">
        <w:rPr>
          <w:rFonts w:eastAsia="Arial Unicode MS"/>
          <w:color w:val="000000"/>
          <w:sz w:val="22"/>
          <w:szCs w:val="24"/>
          <w:bdr w:val="nil"/>
          <w:lang w:val="en-US"/>
        </w:rPr>
        <w:t xml:space="preserve"> 349.2</w:t>
      </w:r>
    </w:p>
    <w:p w:rsidR="00EC1A78" w:rsidRPr="001C6F5C"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center"/>
        <w:rPr>
          <w:rFonts w:eastAsia="Arial Unicode MS"/>
          <w:color w:val="000000"/>
          <w:sz w:val="22"/>
          <w:szCs w:val="24"/>
          <w:bdr w:val="nil"/>
          <w:lang w:val="en-US"/>
        </w:rPr>
      </w:pPr>
    </w:p>
    <w:p w:rsidR="00EC1A78" w:rsidRPr="001C6F5C" w:rsidRDefault="00EC1A78" w:rsidP="00C86D06">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center"/>
        <w:rPr>
          <w:rFonts w:eastAsia="Arial Unicode MS"/>
          <w:b/>
          <w:color w:val="000000"/>
          <w:sz w:val="24"/>
          <w:szCs w:val="24"/>
          <w:bdr w:val="nil"/>
          <w:lang w:val="en-US"/>
        </w:rPr>
      </w:pPr>
      <w:r w:rsidRPr="00EC1A78">
        <w:rPr>
          <w:rFonts w:eastAsia="Arial Unicode MS"/>
          <w:b/>
          <w:color w:val="000000"/>
          <w:sz w:val="24"/>
          <w:szCs w:val="24"/>
          <w:bdr w:val="nil"/>
        </w:rPr>
        <w:t>Особенности</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приема</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на</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работу</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лиц</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с</w:t>
      </w:r>
      <w:r w:rsidRPr="001C6F5C">
        <w:rPr>
          <w:rFonts w:eastAsia="Arial Unicode MS"/>
          <w:b/>
          <w:color w:val="000000"/>
          <w:sz w:val="24"/>
          <w:szCs w:val="24"/>
          <w:bdr w:val="nil"/>
          <w:lang w:val="en-US"/>
        </w:rPr>
        <w:t xml:space="preserve"> </w:t>
      </w:r>
      <w:r w:rsidRPr="00EC1A78">
        <w:rPr>
          <w:rFonts w:eastAsia="Arial Unicode MS"/>
          <w:b/>
          <w:color w:val="000000"/>
          <w:sz w:val="24"/>
          <w:szCs w:val="24"/>
          <w:bdr w:val="nil"/>
        </w:rPr>
        <w:t>судимостью</w:t>
      </w:r>
    </w:p>
    <w:p w:rsidR="00EC1A78" w:rsidRPr="00C86D06" w:rsidRDefault="00EC1A78" w:rsidP="00C86D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en-US"/>
        </w:rPr>
      </w:pPr>
      <w:r w:rsidRPr="00C86D06">
        <w:rPr>
          <w:b/>
          <w:sz w:val="24"/>
          <w:szCs w:val="24"/>
          <w:lang w:val="en"/>
        </w:rPr>
        <w:t>Features of employment of persons with a criminal record</w:t>
      </w: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center"/>
        <w:rPr>
          <w:color w:val="000000"/>
          <w:sz w:val="22"/>
          <w:szCs w:val="22"/>
          <w:bdr w:val="nil"/>
          <w:lang w:val="en-US"/>
        </w:rPr>
      </w:pPr>
    </w:p>
    <w:p w:rsidR="00EC1A78" w:rsidRPr="00EC1A78" w:rsidRDefault="00EC1A78" w:rsidP="00EC1A78">
      <w:pPr>
        <w:widowControl w:val="0"/>
        <w:tabs>
          <w:tab w:val="left" w:pos="8223"/>
        </w:tabs>
        <w:jc w:val="right"/>
        <w:rPr>
          <w:rFonts w:eastAsiaTheme="minorHAnsi"/>
          <w:sz w:val="22"/>
          <w:szCs w:val="22"/>
          <w:lang w:eastAsia="en-US"/>
        </w:rPr>
      </w:pPr>
      <w:r w:rsidRPr="00EC1A78">
        <w:rPr>
          <w:rFonts w:eastAsiaTheme="minorHAnsi"/>
          <w:sz w:val="22"/>
          <w:szCs w:val="22"/>
          <w:lang w:eastAsia="en-US"/>
        </w:rPr>
        <w:t>Петров А.</w:t>
      </w:r>
      <w:r w:rsidR="00C86D06">
        <w:rPr>
          <w:rFonts w:eastAsiaTheme="minorHAnsi"/>
          <w:sz w:val="22"/>
          <w:szCs w:val="22"/>
          <w:lang w:eastAsia="en-US"/>
        </w:rPr>
        <w:t xml:space="preserve"> </w:t>
      </w:r>
      <w:r w:rsidRPr="00EC1A78">
        <w:rPr>
          <w:rFonts w:eastAsiaTheme="minorHAnsi"/>
          <w:sz w:val="22"/>
          <w:szCs w:val="22"/>
          <w:lang w:eastAsia="en-US"/>
        </w:rPr>
        <w:t>Д.,</w:t>
      </w:r>
    </w:p>
    <w:p w:rsidR="00EC1A78" w:rsidRPr="00EC1A78" w:rsidRDefault="00EC1A78" w:rsidP="00EC1A78">
      <w:pPr>
        <w:widowControl w:val="0"/>
        <w:tabs>
          <w:tab w:val="left" w:pos="8223"/>
        </w:tabs>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jc w:val="right"/>
        <w:rPr>
          <w:rFonts w:eastAsia="Courier New"/>
          <w:color w:val="000000"/>
          <w:sz w:val="22"/>
          <w:szCs w:val="22"/>
          <w:lang w:eastAsia="en-US"/>
        </w:rPr>
      </w:pPr>
      <w:r w:rsidRPr="00EC1A78">
        <w:rPr>
          <w:rFonts w:eastAsia="Courier New"/>
          <w:color w:val="000000"/>
          <w:sz w:val="22"/>
          <w:szCs w:val="22"/>
          <w:lang w:eastAsia="en-US"/>
        </w:rPr>
        <w:t>университет имени И.</w:t>
      </w:r>
      <w:r w:rsidR="00C86D06">
        <w:rPr>
          <w:rFonts w:eastAsia="Courier New"/>
          <w:color w:val="000000"/>
          <w:sz w:val="22"/>
          <w:szCs w:val="22"/>
          <w:lang w:eastAsia="en-US"/>
        </w:rPr>
        <w:t xml:space="preserve"> </w:t>
      </w:r>
      <w:r w:rsidRPr="00EC1A78">
        <w:rPr>
          <w:rFonts w:eastAsia="Courier New"/>
          <w:color w:val="000000"/>
          <w:sz w:val="22"/>
          <w:szCs w:val="22"/>
          <w:lang w:eastAsia="en-US"/>
        </w:rPr>
        <w:t>Т. Трубилина</w:t>
      </w:r>
    </w:p>
    <w:p w:rsidR="00EC1A78" w:rsidRPr="00EC1A78" w:rsidRDefault="00EC1A78" w:rsidP="00EC1A78">
      <w:pPr>
        <w:autoSpaceDE w:val="0"/>
        <w:autoSpaceDN w:val="0"/>
        <w:adjustRightInd w:val="0"/>
        <w:ind w:firstLine="425"/>
        <w:jc w:val="both"/>
        <w:rPr>
          <w:rFonts w:eastAsiaTheme="minorHAnsi"/>
          <w:sz w:val="22"/>
          <w:szCs w:val="22"/>
          <w:lang w:eastAsia="en-US"/>
        </w:rPr>
      </w:pPr>
    </w:p>
    <w:p w:rsidR="00EC1A78" w:rsidRPr="00EC1A78" w:rsidRDefault="00EC1A78" w:rsidP="00EC1A78">
      <w:pPr>
        <w:autoSpaceDE w:val="0"/>
        <w:autoSpaceDN w:val="0"/>
        <w:adjustRightInd w:val="0"/>
        <w:ind w:firstLine="425"/>
        <w:jc w:val="both"/>
        <w:rPr>
          <w:rFonts w:eastAsiaTheme="minorHAnsi"/>
          <w:sz w:val="22"/>
          <w:szCs w:val="22"/>
          <w:lang w:eastAsia="en-US"/>
        </w:rPr>
      </w:pPr>
      <w:r w:rsidRPr="00EC1A78">
        <w:rPr>
          <w:rFonts w:eastAsiaTheme="minorHAnsi"/>
          <w:sz w:val="22"/>
          <w:szCs w:val="22"/>
          <w:lang w:eastAsia="en-US"/>
        </w:rPr>
        <w:t>АННОТАЦИЯ: автор анализируют запреты и ограничения в трудовом законодательстве, установленные для лиц, которые имеют или имели судимость.</w:t>
      </w:r>
    </w:p>
    <w:p w:rsidR="00EC1A78" w:rsidRPr="00425497"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r w:rsidRPr="00425497">
        <w:rPr>
          <w:sz w:val="22"/>
          <w:szCs w:val="22"/>
          <w:lang w:val="en"/>
        </w:rPr>
        <w:t>ABSTRACT: The author analyzes the prohibitions and restrictions in the labor legislation established for persons who have or have been convicted.</w:t>
      </w:r>
    </w:p>
    <w:p w:rsidR="00EC1A78" w:rsidRPr="00425497" w:rsidRDefault="00EC1A78" w:rsidP="00EC1A78">
      <w:pPr>
        <w:autoSpaceDE w:val="0"/>
        <w:autoSpaceDN w:val="0"/>
        <w:adjustRightInd w:val="0"/>
        <w:ind w:firstLine="425"/>
        <w:jc w:val="both"/>
        <w:rPr>
          <w:rFonts w:eastAsiaTheme="minorHAnsi"/>
          <w:sz w:val="22"/>
          <w:szCs w:val="22"/>
          <w:lang w:eastAsia="en-US"/>
        </w:rPr>
      </w:pPr>
      <w:r w:rsidRPr="00425497">
        <w:rPr>
          <w:rFonts w:eastAsiaTheme="minorHAnsi"/>
          <w:sz w:val="22"/>
          <w:szCs w:val="22"/>
          <w:lang w:eastAsia="en-US"/>
        </w:rPr>
        <w:t>КЛЮЧЕВЫЕ СЛОВА: судимость, трудовое право, прием на работу, суд.</w:t>
      </w:r>
    </w:p>
    <w:p w:rsidR="00EC1A78" w:rsidRPr="00425497"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sz w:val="22"/>
          <w:szCs w:val="22"/>
          <w:lang w:val="en-US"/>
        </w:rPr>
      </w:pPr>
      <w:r w:rsidRPr="00425497">
        <w:rPr>
          <w:sz w:val="22"/>
          <w:szCs w:val="22"/>
          <w:lang w:val="en"/>
        </w:rPr>
        <w:t>KEY WORDS: previous conviction, labor law, employment, court.</w:t>
      </w:r>
    </w:p>
    <w:p w:rsidR="00EC1A78" w:rsidRPr="00425497" w:rsidRDefault="00EC1A78" w:rsidP="00EC1A78">
      <w:pPr>
        <w:autoSpaceDE w:val="0"/>
        <w:autoSpaceDN w:val="0"/>
        <w:adjustRightInd w:val="0"/>
        <w:ind w:firstLine="425"/>
        <w:jc w:val="both"/>
        <w:rPr>
          <w:rFonts w:eastAsiaTheme="minorHAnsi"/>
          <w:sz w:val="22"/>
          <w:szCs w:val="22"/>
          <w:lang w:val="en-US" w:eastAsia="en-US"/>
        </w:rPr>
      </w:pP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rPr>
      </w:pPr>
      <w:r w:rsidRPr="00EC1A78">
        <w:rPr>
          <w:rFonts w:eastAsia="Arial Unicode MS"/>
          <w:color w:val="000000"/>
          <w:sz w:val="22"/>
          <w:szCs w:val="22"/>
          <w:bdr w:val="nil"/>
        </w:rPr>
        <w:lastRenderedPageBreak/>
        <w:t>Трудовой кодекс РФ устанавливает запрет на занятие опред</w:t>
      </w:r>
      <w:r w:rsidRPr="00EC1A78">
        <w:rPr>
          <w:rFonts w:eastAsia="Arial Unicode MS"/>
          <w:color w:val="000000"/>
          <w:sz w:val="22"/>
          <w:szCs w:val="22"/>
          <w:bdr w:val="nil"/>
        </w:rPr>
        <w:t>е</w:t>
      </w:r>
      <w:r w:rsidRPr="00EC1A78">
        <w:rPr>
          <w:rFonts w:eastAsia="Arial Unicode MS"/>
          <w:color w:val="000000"/>
          <w:sz w:val="22"/>
          <w:szCs w:val="22"/>
          <w:bdr w:val="nil"/>
        </w:rPr>
        <w:t>ленными видами деятельности лицам, которые имеют или имели судимость (ч.2 ст.331 ТК РФ). Согласно ст. 351.1 ТК РФ устанавл</w:t>
      </w:r>
      <w:r w:rsidRPr="00EC1A78">
        <w:rPr>
          <w:rFonts w:eastAsia="Arial Unicode MS"/>
          <w:color w:val="000000"/>
          <w:sz w:val="22"/>
          <w:szCs w:val="22"/>
          <w:bdr w:val="nil"/>
        </w:rPr>
        <w:t>и</w:t>
      </w:r>
      <w:r w:rsidRPr="00EC1A78">
        <w:rPr>
          <w:rFonts w:eastAsia="Arial Unicode MS"/>
          <w:color w:val="000000"/>
          <w:sz w:val="22"/>
          <w:szCs w:val="22"/>
          <w:bdr w:val="nil"/>
        </w:rPr>
        <w:t>ваются ограничения на занятие педагогической деятельностью для лиц, которые имеют или имели в прошлом судимость. Эти огран</w:t>
      </w:r>
      <w:r w:rsidRPr="00EC1A78">
        <w:rPr>
          <w:rFonts w:eastAsia="Arial Unicode MS"/>
          <w:color w:val="000000"/>
          <w:sz w:val="22"/>
          <w:szCs w:val="22"/>
          <w:bdr w:val="nil"/>
        </w:rPr>
        <w:t>и</w:t>
      </w:r>
      <w:r w:rsidRPr="00EC1A78">
        <w:rPr>
          <w:rFonts w:eastAsia="Arial Unicode MS"/>
          <w:color w:val="000000"/>
          <w:sz w:val="22"/>
          <w:szCs w:val="22"/>
          <w:bdr w:val="nil"/>
        </w:rPr>
        <w:t>чения имеют силу при совершении лицом преступлений против жизни и здоровья, свободы, чести и достоинства, половой непр</w:t>
      </w:r>
      <w:r w:rsidRPr="00EC1A78">
        <w:rPr>
          <w:rFonts w:eastAsia="Arial Unicode MS"/>
          <w:color w:val="000000"/>
          <w:sz w:val="22"/>
          <w:szCs w:val="22"/>
          <w:bdr w:val="nil"/>
        </w:rPr>
        <w:t>и</w:t>
      </w:r>
      <w:r w:rsidRPr="00EC1A78">
        <w:rPr>
          <w:rFonts w:eastAsia="Arial Unicode MS"/>
          <w:color w:val="000000"/>
          <w:sz w:val="22"/>
          <w:szCs w:val="22"/>
          <w:bdr w:val="nil"/>
        </w:rPr>
        <w:t xml:space="preserve">косновенности, общественной нравственности и безопасности. </w:t>
      </w:r>
    </w:p>
    <w:p w:rsidR="00EC1A78" w:rsidRPr="00EC1A78" w:rsidRDefault="00EC1A78" w:rsidP="00EC1A78">
      <w:pPr>
        <w:autoSpaceDE w:val="0"/>
        <w:autoSpaceDN w:val="0"/>
        <w:adjustRightInd w:val="0"/>
        <w:ind w:firstLine="425"/>
        <w:jc w:val="both"/>
        <w:rPr>
          <w:rFonts w:eastAsiaTheme="minorHAnsi"/>
          <w:sz w:val="22"/>
          <w:szCs w:val="22"/>
        </w:rPr>
      </w:pPr>
      <w:r w:rsidRPr="00EC1A78">
        <w:rPr>
          <w:rFonts w:eastAsiaTheme="minorHAnsi"/>
          <w:sz w:val="22"/>
          <w:szCs w:val="22"/>
          <w:lang w:eastAsia="en-US"/>
        </w:rPr>
        <w:t>Имеются проблемы правоприменения: распространяются ли ограничения, например, на воспитателей в детских садах, на нян</w:t>
      </w:r>
      <w:r w:rsidRPr="00EC1A78">
        <w:rPr>
          <w:rFonts w:eastAsiaTheme="minorHAnsi"/>
          <w:sz w:val="22"/>
          <w:szCs w:val="22"/>
          <w:lang w:eastAsia="en-US"/>
        </w:rPr>
        <w:t>е</w:t>
      </w:r>
      <w:r w:rsidRPr="00EC1A78">
        <w:rPr>
          <w:rFonts w:eastAsiaTheme="minorHAnsi"/>
          <w:sz w:val="22"/>
          <w:szCs w:val="22"/>
          <w:lang w:eastAsia="en-US"/>
        </w:rPr>
        <w:t>чек, на сторожей, охранников в школах. Разъяснение на данный в</w:t>
      </w:r>
      <w:r w:rsidRPr="00EC1A78">
        <w:rPr>
          <w:rFonts w:eastAsiaTheme="minorHAnsi"/>
          <w:sz w:val="22"/>
          <w:szCs w:val="22"/>
          <w:lang w:eastAsia="en-US"/>
        </w:rPr>
        <w:t>о</w:t>
      </w:r>
      <w:r w:rsidRPr="00EC1A78">
        <w:rPr>
          <w:rFonts w:eastAsiaTheme="minorHAnsi"/>
          <w:sz w:val="22"/>
          <w:szCs w:val="22"/>
          <w:lang w:eastAsia="en-US"/>
        </w:rPr>
        <w:t>прос дал не законодатель, а Верховный Суд РФ [1] который опред</w:t>
      </w:r>
      <w:r w:rsidRPr="00EC1A78">
        <w:rPr>
          <w:rFonts w:eastAsiaTheme="minorHAnsi"/>
          <w:sz w:val="22"/>
          <w:szCs w:val="22"/>
          <w:lang w:eastAsia="en-US"/>
        </w:rPr>
        <w:t>е</w:t>
      </w:r>
      <w:r w:rsidRPr="00EC1A78">
        <w:rPr>
          <w:rFonts w:eastAsiaTheme="minorHAnsi"/>
          <w:sz w:val="22"/>
          <w:szCs w:val="22"/>
          <w:lang w:eastAsia="en-US"/>
        </w:rPr>
        <w:t>лил свою правовую позицию и указал, что ограничение действует и на административно–управленческий, технический и вспомогател</w:t>
      </w:r>
      <w:r w:rsidRPr="00EC1A78">
        <w:rPr>
          <w:rFonts w:eastAsiaTheme="minorHAnsi"/>
          <w:sz w:val="22"/>
          <w:szCs w:val="22"/>
          <w:lang w:eastAsia="en-US"/>
        </w:rPr>
        <w:t>ь</w:t>
      </w:r>
      <w:r w:rsidRPr="00EC1A78">
        <w:rPr>
          <w:rFonts w:eastAsiaTheme="minorHAnsi"/>
          <w:sz w:val="22"/>
          <w:szCs w:val="22"/>
          <w:lang w:eastAsia="en-US"/>
        </w:rPr>
        <w:t>ный персонал всех организаций сферы образования, воспитания, развития несовершеннолетних. Характерным является дело, ра</w:t>
      </w:r>
      <w:r w:rsidRPr="00EC1A78">
        <w:rPr>
          <w:rFonts w:eastAsiaTheme="minorHAnsi"/>
          <w:sz w:val="22"/>
          <w:szCs w:val="22"/>
          <w:lang w:eastAsia="en-US"/>
        </w:rPr>
        <w:t>с</w:t>
      </w:r>
      <w:r w:rsidRPr="00EC1A78">
        <w:rPr>
          <w:rFonts w:eastAsiaTheme="minorHAnsi"/>
          <w:sz w:val="22"/>
          <w:szCs w:val="22"/>
          <w:lang w:eastAsia="en-US"/>
        </w:rPr>
        <w:t>смотренное Приморским краевым судом по иску о признании увольнения незаконным [2]. Так, С. была принята сторожем в о</w:t>
      </w:r>
      <w:r w:rsidRPr="00EC1A78">
        <w:rPr>
          <w:rFonts w:eastAsiaTheme="minorHAnsi"/>
          <w:sz w:val="22"/>
          <w:szCs w:val="22"/>
          <w:lang w:eastAsia="en-US"/>
        </w:rPr>
        <w:t>б</w:t>
      </w:r>
      <w:r w:rsidRPr="00EC1A78">
        <w:rPr>
          <w:rFonts w:eastAsiaTheme="minorHAnsi"/>
          <w:sz w:val="22"/>
          <w:szCs w:val="22"/>
          <w:lang w:eastAsia="en-US"/>
        </w:rPr>
        <w:t>щеобразовательную школу, имела судимость по ч. 2 ст. 228 УК РФ (</w:t>
      </w:r>
      <w:r w:rsidRPr="00EC1A78">
        <w:rPr>
          <w:rFonts w:eastAsiaTheme="minorHAnsi"/>
          <w:bCs/>
          <w:sz w:val="22"/>
          <w:szCs w:val="22"/>
        </w:rPr>
        <w:t>незаконные приобретение, хранение, перевозка, изготовление, п</w:t>
      </w:r>
      <w:r w:rsidRPr="00EC1A78">
        <w:rPr>
          <w:rFonts w:eastAsiaTheme="minorHAnsi"/>
          <w:bCs/>
          <w:sz w:val="22"/>
          <w:szCs w:val="22"/>
        </w:rPr>
        <w:t>е</w:t>
      </w:r>
      <w:r w:rsidRPr="00EC1A78">
        <w:rPr>
          <w:rFonts w:eastAsiaTheme="minorHAnsi"/>
          <w:bCs/>
          <w:sz w:val="22"/>
          <w:szCs w:val="22"/>
        </w:rPr>
        <w:t>рера</w:t>
      </w:r>
      <w:r w:rsidR="00425497">
        <w:rPr>
          <w:rFonts w:eastAsiaTheme="minorHAnsi"/>
          <w:bCs/>
          <w:sz w:val="22"/>
          <w:szCs w:val="22"/>
        </w:rPr>
        <w:t xml:space="preserve">ботка наркотических средств </w:t>
      </w:r>
      <w:r w:rsidRPr="00EC1A78">
        <w:rPr>
          <w:rFonts w:eastAsiaTheme="minorHAnsi"/>
          <w:bCs/>
          <w:sz w:val="22"/>
          <w:szCs w:val="22"/>
        </w:rPr>
        <w:t>в крупном размере), судимость снята.</w:t>
      </w:r>
      <w:r w:rsidRPr="00EC1A78">
        <w:rPr>
          <w:rFonts w:eastAsiaTheme="minorHAnsi"/>
          <w:sz w:val="22"/>
          <w:szCs w:val="22"/>
        </w:rPr>
        <w:t xml:space="preserve"> С. была уволена со ссылкой на </w:t>
      </w:r>
      <w:hyperlink r:id="rId399" w:history="1">
        <w:r w:rsidRPr="00EC1A78">
          <w:rPr>
            <w:rFonts w:eastAsiaTheme="minorHAnsi"/>
            <w:sz w:val="22"/>
            <w:szCs w:val="22"/>
          </w:rPr>
          <w:t>ст. 331</w:t>
        </w:r>
      </w:hyperlink>
      <w:r w:rsidRPr="00EC1A78">
        <w:rPr>
          <w:rFonts w:eastAsiaTheme="minorHAnsi"/>
          <w:sz w:val="22"/>
          <w:szCs w:val="22"/>
        </w:rPr>
        <w:t xml:space="preserve">, </w:t>
      </w:r>
      <w:hyperlink r:id="rId400" w:history="1">
        <w:r w:rsidRPr="00EC1A78">
          <w:rPr>
            <w:rFonts w:eastAsiaTheme="minorHAnsi"/>
            <w:sz w:val="22"/>
            <w:szCs w:val="22"/>
          </w:rPr>
          <w:t>351.1</w:t>
        </w:r>
      </w:hyperlink>
      <w:r w:rsidRPr="00EC1A78">
        <w:rPr>
          <w:rFonts w:eastAsiaTheme="minorHAnsi"/>
          <w:sz w:val="22"/>
          <w:szCs w:val="22"/>
        </w:rPr>
        <w:t xml:space="preserve"> ТК РФ в связи с наличием у нее судимости. Увольнение считает незаконным, п</w:t>
      </w:r>
      <w:r w:rsidRPr="00EC1A78">
        <w:rPr>
          <w:rFonts w:eastAsiaTheme="minorHAnsi"/>
          <w:sz w:val="22"/>
          <w:szCs w:val="22"/>
        </w:rPr>
        <w:t>о</w:t>
      </w:r>
      <w:r w:rsidRPr="00EC1A78">
        <w:rPr>
          <w:rFonts w:eastAsiaTheme="minorHAnsi"/>
          <w:sz w:val="22"/>
          <w:szCs w:val="22"/>
        </w:rPr>
        <w:t>скольку никакой профессиональной деятельностью, связанной с обучением детей, она не осуществляла. В своем Апелляционном определении суд оставил в силе решение суда первой инстанции и признал увольнение законным.</w:t>
      </w: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rPr>
      </w:pPr>
      <w:r w:rsidRPr="00EC1A78">
        <w:rPr>
          <w:rFonts w:eastAsia="Arial Unicode MS"/>
          <w:color w:val="000000"/>
          <w:sz w:val="22"/>
          <w:szCs w:val="22"/>
          <w:bdr w:val="nil"/>
        </w:rPr>
        <w:t>В соответствии со ст.86 УК РФ погашение или снятие судим</w:t>
      </w:r>
      <w:r w:rsidRPr="00EC1A78">
        <w:rPr>
          <w:rFonts w:eastAsia="Arial Unicode MS"/>
          <w:color w:val="000000"/>
          <w:sz w:val="22"/>
          <w:szCs w:val="22"/>
          <w:bdr w:val="nil"/>
        </w:rPr>
        <w:t>о</w:t>
      </w:r>
      <w:r w:rsidRPr="00EC1A78">
        <w:rPr>
          <w:rFonts w:eastAsia="Arial Unicode MS"/>
          <w:color w:val="000000"/>
          <w:sz w:val="22"/>
          <w:szCs w:val="22"/>
          <w:bdr w:val="nil"/>
        </w:rPr>
        <w:t xml:space="preserve">сти аннулирует все правовые </w:t>
      </w:r>
      <w:hyperlink r:id="rId401" w:anchor="dst100071" w:history="1">
        <w:r w:rsidRPr="00EC1A78">
          <w:rPr>
            <w:rFonts w:eastAsia="Arial Unicode MS"/>
            <w:color w:val="000000"/>
            <w:sz w:val="22"/>
            <w:szCs w:val="22"/>
            <w:bdr w:val="nil"/>
          </w:rPr>
          <w:t>последствия</w:t>
        </w:r>
      </w:hyperlink>
      <w:r w:rsidRPr="00EC1A78">
        <w:rPr>
          <w:rFonts w:eastAsia="Arial Unicode MS"/>
          <w:color w:val="000000"/>
          <w:sz w:val="22"/>
          <w:szCs w:val="22"/>
          <w:bdr w:val="nil"/>
        </w:rPr>
        <w:t>, связанные с судимостью. Если судимость была снята или погашена работники всё равно не имеют права занимать должности, в которых они могут прямо или косвенно контактировать с детьми. Имеется определенное против</w:t>
      </w:r>
      <w:r w:rsidRPr="00EC1A78">
        <w:rPr>
          <w:rFonts w:eastAsia="Arial Unicode MS"/>
          <w:color w:val="000000"/>
          <w:sz w:val="22"/>
          <w:szCs w:val="22"/>
          <w:bdr w:val="nil"/>
        </w:rPr>
        <w:t>о</w:t>
      </w:r>
      <w:r w:rsidRPr="00EC1A78">
        <w:rPr>
          <w:rFonts w:eastAsia="Arial Unicode MS"/>
          <w:color w:val="000000"/>
          <w:sz w:val="22"/>
          <w:szCs w:val="22"/>
          <w:bdr w:val="nil"/>
        </w:rPr>
        <w:t>речие в регулировании вопросов, связанных с наличием судимости в уголовном и трудовом праве. Но на наш взгляд, оно вызвано ос</w:t>
      </w:r>
      <w:r w:rsidRPr="00EC1A78">
        <w:rPr>
          <w:rFonts w:eastAsia="Arial Unicode MS"/>
          <w:color w:val="000000"/>
          <w:sz w:val="22"/>
          <w:szCs w:val="22"/>
          <w:bdr w:val="nil"/>
        </w:rPr>
        <w:t>о</w:t>
      </w:r>
      <w:r w:rsidRPr="00EC1A78">
        <w:rPr>
          <w:rFonts w:eastAsia="Arial Unicode MS"/>
          <w:color w:val="000000"/>
          <w:sz w:val="22"/>
          <w:szCs w:val="22"/>
          <w:bdr w:val="nil"/>
        </w:rPr>
        <w:t>бой заботой о воспитании несовершеннолетних. Работодатель не имеет права принимать на работу, связанную с осуществлением п</w:t>
      </w:r>
      <w:r w:rsidRPr="00EC1A78">
        <w:rPr>
          <w:rFonts w:eastAsia="Arial Unicode MS"/>
          <w:color w:val="000000"/>
          <w:sz w:val="22"/>
          <w:szCs w:val="22"/>
          <w:bdr w:val="nil"/>
        </w:rPr>
        <w:t>е</w:t>
      </w:r>
      <w:r w:rsidRPr="00EC1A78">
        <w:rPr>
          <w:rFonts w:eastAsia="Arial Unicode MS"/>
          <w:color w:val="000000"/>
          <w:sz w:val="22"/>
          <w:szCs w:val="22"/>
          <w:bdr w:val="nil"/>
        </w:rPr>
        <w:t>дагогической деятельности судимых работников. За нарушение з</w:t>
      </w:r>
      <w:r w:rsidRPr="00EC1A78">
        <w:rPr>
          <w:rFonts w:eastAsia="Arial Unicode MS"/>
          <w:color w:val="000000"/>
          <w:sz w:val="22"/>
          <w:szCs w:val="22"/>
          <w:bdr w:val="nil"/>
        </w:rPr>
        <w:t>а</w:t>
      </w:r>
      <w:r w:rsidRPr="00EC1A78">
        <w:rPr>
          <w:rFonts w:eastAsia="Arial Unicode MS"/>
          <w:color w:val="000000"/>
          <w:sz w:val="22"/>
          <w:szCs w:val="22"/>
          <w:bdr w:val="nil"/>
        </w:rPr>
        <w:t>прета он несет ответственность, предусмотренную не только труд</w:t>
      </w:r>
      <w:r w:rsidRPr="00EC1A78">
        <w:rPr>
          <w:rFonts w:eastAsia="Arial Unicode MS"/>
          <w:color w:val="000000"/>
          <w:sz w:val="22"/>
          <w:szCs w:val="22"/>
          <w:bdr w:val="nil"/>
        </w:rPr>
        <w:t>о</w:t>
      </w:r>
      <w:r w:rsidRPr="00EC1A78">
        <w:rPr>
          <w:rFonts w:eastAsia="Arial Unicode MS"/>
          <w:color w:val="000000"/>
          <w:sz w:val="22"/>
          <w:szCs w:val="22"/>
          <w:bdr w:val="nil"/>
        </w:rPr>
        <w:lastRenderedPageBreak/>
        <w:t>вым законодательством, но и административным, что свидетел</w:t>
      </w:r>
      <w:r w:rsidRPr="00EC1A78">
        <w:rPr>
          <w:rFonts w:eastAsia="Arial Unicode MS"/>
          <w:color w:val="000000"/>
          <w:sz w:val="22"/>
          <w:szCs w:val="22"/>
          <w:bdr w:val="nil"/>
        </w:rPr>
        <w:t>ь</w:t>
      </w:r>
      <w:r w:rsidRPr="00EC1A78">
        <w:rPr>
          <w:rFonts w:eastAsia="Arial Unicode MS"/>
          <w:color w:val="000000"/>
          <w:sz w:val="22"/>
          <w:szCs w:val="22"/>
          <w:bdr w:val="nil"/>
        </w:rPr>
        <w:t>ствует о социальной значимости трудовых отношений и опасности неблагоприятных последствий в случае нарушения трудовых прав [3, с.120].</w:t>
      </w: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color w:val="000000"/>
          <w:sz w:val="22"/>
          <w:szCs w:val="22"/>
          <w:bdr w:val="nil"/>
        </w:rPr>
      </w:pPr>
      <w:r w:rsidRPr="00EC1A78">
        <w:rPr>
          <w:rFonts w:eastAsia="Arial Unicode MS"/>
          <w:color w:val="000000"/>
          <w:sz w:val="22"/>
          <w:szCs w:val="22"/>
          <w:bdr w:val="nil"/>
        </w:rPr>
        <w:t>Работодатель имеет право требовать у работника справку о с</w:t>
      </w:r>
      <w:r w:rsidRPr="00EC1A78">
        <w:rPr>
          <w:rFonts w:eastAsia="Arial Unicode MS"/>
          <w:color w:val="000000"/>
          <w:sz w:val="22"/>
          <w:szCs w:val="22"/>
          <w:bdr w:val="nil"/>
        </w:rPr>
        <w:t>у</w:t>
      </w:r>
      <w:r w:rsidRPr="00EC1A78">
        <w:rPr>
          <w:rFonts w:eastAsia="Arial Unicode MS"/>
          <w:color w:val="000000"/>
          <w:sz w:val="22"/>
          <w:szCs w:val="22"/>
          <w:bdr w:val="nil"/>
        </w:rPr>
        <w:t xml:space="preserve">димости, а в случае отказа предоставлять её добровольно, может запросить ее самостоятельно в установленном порядке [4]. </w:t>
      </w: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shd w:val="clear" w:color="auto" w:fill="FFFFFF"/>
        </w:rPr>
      </w:pPr>
      <w:r w:rsidRPr="00EC1A78">
        <w:rPr>
          <w:rFonts w:eastAsia="Arial Unicode MS"/>
          <w:color w:val="000000"/>
          <w:sz w:val="22"/>
          <w:szCs w:val="22"/>
          <w:bdr w:val="nil"/>
        </w:rPr>
        <w:t xml:space="preserve">Лица, </w:t>
      </w:r>
      <w:r w:rsidRPr="00EC1A78">
        <w:rPr>
          <w:rFonts w:eastAsia="Arial Unicode MS"/>
          <w:color w:val="000000"/>
          <w:sz w:val="22"/>
          <w:szCs w:val="22"/>
          <w:bdr w:val="nil"/>
          <w:shd w:val="clear" w:color="auto" w:fill="FFFFFF"/>
        </w:rPr>
        <w:t>имеющие или когда–то имевшие судимость, могут в</w:t>
      </w:r>
      <w:r w:rsidRPr="00EC1A78">
        <w:rPr>
          <w:rFonts w:eastAsia="Arial Unicode MS"/>
          <w:color w:val="000000"/>
          <w:sz w:val="22"/>
          <w:szCs w:val="22"/>
          <w:bdr w:val="nil"/>
          <w:shd w:val="clear" w:color="auto" w:fill="FFFFFF"/>
        </w:rPr>
        <w:t>ы</w:t>
      </w:r>
      <w:r w:rsidRPr="00EC1A78">
        <w:rPr>
          <w:rFonts w:eastAsia="Arial Unicode MS"/>
          <w:color w:val="000000"/>
          <w:sz w:val="22"/>
          <w:szCs w:val="22"/>
          <w:bdr w:val="nil"/>
          <w:shd w:val="clear" w:color="auto" w:fill="FFFFFF"/>
        </w:rPr>
        <w:t>полнять трудовые функции в организациях, осуществляющих обр</w:t>
      </w:r>
      <w:r w:rsidRPr="00EC1A78">
        <w:rPr>
          <w:rFonts w:eastAsia="Arial Unicode MS"/>
          <w:color w:val="000000"/>
          <w:sz w:val="22"/>
          <w:szCs w:val="22"/>
          <w:bdr w:val="nil"/>
          <w:shd w:val="clear" w:color="auto" w:fill="FFFFFF"/>
        </w:rPr>
        <w:t>а</w:t>
      </w:r>
      <w:r w:rsidRPr="00EC1A78">
        <w:rPr>
          <w:rFonts w:eastAsia="Arial Unicode MS"/>
          <w:color w:val="000000"/>
          <w:sz w:val="22"/>
          <w:szCs w:val="22"/>
          <w:bdr w:val="nil"/>
          <w:shd w:val="clear" w:color="auto" w:fill="FFFFFF"/>
        </w:rPr>
        <w:t>зовательную деятельность, если уголовное преследование было прекращено по реабилитирующим основаниям. В соответствии со ст.133 УПК РФ к реабилитирующим основаниям относятся вынес</w:t>
      </w:r>
      <w:r w:rsidRPr="00EC1A78">
        <w:rPr>
          <w:rFonts w:eastAsia="Arial Unicode MS"/>
          <w:color w:val="000000"/>
          <w:sz w:val="22"/>
          <w:szCs w:val="22"/>
          <w:bdr w:val="nil"/>
          <w:shd w:val="clear" w:color="auto" w:fill="FFFFFF"/>
        </w:rPr>
        <w:t>е</w:t>
      </w:r>
      <w:r w:rsidRPr="00EC1A78">
        <w:rPr>
          <w:rFonts w:eastAsia="Arial Unicode MS"/>
          <w:color w:val="000000"/>
          <w:sz w:val="22"/>
          <w:szCs w:val="22"/>
          <w:bdr w:val="nil"/>
          <w:shd w:val="clear" w:color="auto" w:fill="FFFFFF"/>
        </w:rPr>
        <w:t xml:space="preserve">ние оправдательного приговора, отказ государственного обвинителя от обвинения, отмена приговора или прекращение уголовного дела, применение принудительных мер медицинского характера [5]. </w:t>
      </w: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rPr>
      </w:pPr>
      <w:r w:rsidRPr="00EC1A78">
        <w:rPr>
          <w:rFonts w:eastAsia="Arial Unicode MS"/>
          <w:color w:val="000000"/>
          <w:sz w:val="22"/>
          <w:szCs w:val="22"/>
          <w:bdr w:val="nil"/>
        </w:rPr>
        <w:t>Правоведы до сих пор расходятся во мнениях по поводу л</w:t>
      </w:r>
      <w:r w:rsidRPr="00EC1A78">
        <w:rPr>
          <w:rFonts w:eastAsia="Arial Unicode MS"/>
          <w:color w:val="000000"/>
          <w:sz w:val="22"/>
          <w:szCs w:val="22"/>
          <w:bdr w:val="nil"/>
        </w:rPr>
        <w:t>е</w:t>
      </w:r>
      <w:r w:rsidRPr="00EC1A78">
        <w:rPr>
          <w:rFonts w:eastAsia="Arial Unicode MS"/>
          <w:color w:val="000000"/>
          <w:sz w:val="22"/>
          <w:szCs w:val="22"/>
          <w:bdr w:val="nil"/>
        </w:rPr>
        <w:t xml:space="preserve">гальности увольнения лица, имеющего судимость, и это наглядно показывает судебная практика [6]. </w:t>
      </w:r>
    </w:p>
    <w:p w:rsidR="00EC1A78" w:rsidRDefault="00EC1A78" w:rsidP="0042549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rPr>
      </w:pPr>
      <w:r w:rsidRPr="00EC1A78">
        <w:rPr>
          <w:rFonts w:eastAsia="Arial Unicode MS"/>
          <w:color w:val="000000"/>
          <w:sz w:val="22"/>
          <w:szCs w:val="22"/>
          <w:bdr w:val="nil"/>
        </w:rPr>
        <w:t>Имеются некоторые пробелы в законодательстве, не регламе</w:t>
      </w:r>
      <w:r w:rsidRPr="00EC1A78">
        <w:rPr>
          <w:rFonts w:eastAsia="Arial Unicode MS"/>
          <w:color w:val="000000"/>
          <w:sz w:val="22"/>
          <w:szCs w:val="22"/>
          <w:bdr w:val="nil"/>
        </w:rPr>
        <w:t>н</w:t>
      </w:r>
      <w:r w:rsidRPr="00EC1A78">
        <w:rPr>
          <w:rFonts w:eastAsia="Arial Unicode MS"/>
          <w:color w:val="000000"/>
          <w:sz w:val="22"/>
          <w:szCs w:val="22"/>
          <w:bdr w:val="nil"/>
        </w:rPr>
        <w:t>тирован вопрос об установлении ограничений на занятие педагог</w:t>
      </w:r>
      <w:r w:rsidRPr="00EC1A78">
        <w:rPr>
          <w:rFonts w:eastAsia="Arial Unicode MS"/>
          <w:color w:val="000000"/>
          <w:sz w:val="22"/>
          <w:szCs w:val="22"/>
          <w:bdr w:val="nil"/>
        </w:rPr>
        <w:t>и</w:t>
      </w:r>
      <w:r w:rsidRPr="00EC1A78">
        <w:rPr>
          <w:rFonts w:eastAsia="Arial Unicode MS"/>
          <w:color w:val="000000"/>
          <w:sz w:val="22"/>
          <w:szCs w:val="22"/>
          <w:bdr w:val="nil"/>
        </w:rPr>
        <w:t xml:space="preserve">ческой деятельностью в частном порядке по гражданско–правовым договорам для лиц, имеющих судимость (например, репетиторы). </w:t>
      </w:r>
    </w:p>
    <w:p w:rsidR="00425497" w:rsidRPr="00EC1A78" w:rsidRDefault="00425497" w:rsidP="0042549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both"/>
        <w:rPr>
          <w:rFonts w:eastAsia="Arial Unicode MS"/>
          <w:color w:val="000000"/>
          <w:sz w:val="22"/>
          <w:szCs w:val="22"/>
          <w:bdr w:val="nil"/>
        </w:rPr>
      </w:pPr>
    </w:p>
    <w:p w:rsidR="00EC1A78" w:rsidRPr="00EC1A78" w:rsidRDefault="00EC1A78" w:rsidP="00EC1A78">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firstLine="425"/>
        <w:jc w:val="center"/>
        <w:rPr>
          <w:rFonts w:eastAsia="Arial Unicode MS"/>
          <w:color w:val="000000"/>
          <w:sz w:val="22"/>
          <w:szCs w:val="22"/>
          <w:bdr w:val="nil"/>
        </w:rPr>
      </w:pPr>
      <w:r w:rsidRPr="00EC1A78">
        <w:rPr>
          <w:rFonts w:eastAsia="Arial Unicode MS"/>
          <w:color w:val="000000"/>
          <w:sz w:val="22"/>
          <w:szCs w:val="22"/>
          <w:bdr w:val="nil"/>
        </w:rPr>
        <w:t>Список литературы</w:t>
      </w:r>
    </w:p>
    <w:p w:rsidR="00EC1A78" w:rsidRPr="00EC1A78" w:rsidRDefault="00EC1A78" w:rsidP="00EC1A78">
      <w:pPr>
        <w:pBdr>
          <w:top w:val="nil"/>
          <w:left w:val="nil"/>
          <w:bottom w:val="nil"/>
          <w:right w:val="nil"/>
          <w:between w:val="nil"/>
          <w:bar w:val="nil"/>
        </w:pBdr>
        <w:ind w:firstLine="425"/>
        <w:jc w:val="both"/>
        <w:rPr>
          <w:rFonts w:eastAsia="Helvetica Neue"/>
          <w:color w:val="000000"/>
          <w:sz w:val="22"/>
          <w:szCs w:val="22"/>
          <w:bdr w:val="nil"/>
        </w:rPr>
      </w:pPr>
      <w:r w:rsidRPr="00EC1A78">
        <w:rPr>
          <w:rFonts w:eastAsia="Helvetica Neue"/>
          <w:color w:val="000000"/>
          <w:sz w:val="22"/>
          <w:szCs w:val="22"/>
          <w:bdr w:val="nil"/>
        </w:rPr>
        <w:t>1. Определение Верховного Суда РФ от 7 декабря 2012 г. № 52–КГПР12–2. // СПС «КонсультантПлюс».</w:t>
      </w:r>
    </w:p>
    <w:p w:rsidR="00EC1A78" w:rsidRPr="00EC1A78" w:rsidRDefault="00EC1A78" w:rsidP="00EC1A78">
      <w:pPr>
        <w:autoSpaceDE w:val="0"/>
        <w:autoSpaceDN w:val="0"/>
        <w:adjustRightInd w:val="0"/>
        <w:ind w:firstLine="425"/>
        <w:jc w:val="both"/>
        <w:rPr>
          <w:rFonts w:eastAsiaTheme="minorHAnsi"/>
          <w:sz w:val="22"/>
          <w:szCs w:val="22"/>
        </w:rPr>
      </w:pPr>
      <w:r w:rsidRPr="00EC1A78">
        <w:rPr>
          <w:rFonts w:eastAsiaTheme="minorHAnsi"/>
          <w:sz w:val="22"/>
          <w:szCs w:val="22"/>
        </w:rPr>
        <w:t>2. Апелляционное определение Приморского краевого суда от 20.06.2017 по делу 33–6118/2017 // СПС «КонсультантПлюс».</w:t>
      </w:r>
    </w:p>
    <w:p w:rsidR="00EC1A78" w:rsidRPr="00EC1A78" w:rsidRDefault="00EC1A78" w:rsidP="00EC1A78">
      <w:pPr>
        <w:ind w:firstLine="425"/>
        <w:jc w:val="both"/>
        <w:rPr>
          <w:sz w:val="22"/>
          <w:szCs w:val="22"/>
        </w:rPr>
      </w:pPr>
      <w:r w:rsidRPr="00EC1A78">
        <w:rPr>
          <w:sz w:val="22"/>
          <w:szCs w:val="22"/>
        </w:rPr>
        <w:t>3. Адриановская Т.Л. Административная ответственность за нарушения трудового законодательства // Теория и практика общ</w:t>
      </w:r>
      <w:r w:rsidRPr="00EC1A78">
        <w:rPr>
          <w:sz w:val="22"/>
          <w:szCs w:val="22"/>
        </w:rPr>
        <w:t>е</w:t>
      </w:r>
      <w:r w:rsidRPr="00EC1A78">
        <w:rPr>
          <w:sz w:val="22"/>
          <w:szCs w:val="22"/>
        </w:rPr>
        <w:t>ственного развития. 2014. № 16.</w:t>
      </w:r>
    </w:p>
    <w:p w:rsidR="00EC1A78" w:rsidRPr="00EC1A78" w:rsidRDefault="00EC1A78" w:rsidP="00EC1A78">
      <w:pPr>
        <w:pBdr>
          <w:top w:val="nil"/>
          <w:left w:val="nil"/>
          <w:bottom w:val="nil"/>
          <w:right w:val="nil"/>
          <w:between w:val="nil"/>
          <w:bar w:val="nil"/>
        </w:pBdr>
        <w:ind w:firstLine="425"/>
        <w:jc w:val="both"/>
        <w:rPr>
          <w:rFonts w:eastAsia="Helvetica Neue"/>
          <w:color w:val="000000"/>
          <w:sz w:val="22"/>
          <w:szCs w:val="22"/>
          <w:bdr w:val="nil"/>
        </w:rPr>
      </w:pPr>
      <w:r w:rsidRPr="00EC1A78">
        <w:rPr>
          <w:rFonts w:eastAsia="Helvetica Neue"/>
          <w:color w:val="000000"/>
          <w:sz w:val="22"/>
          <w:szCs w:val="22"/>
          <w:bdr w:val="nil"/>
        </w:rPr>
        <w:t>4. Приказ МВД России от 07.11.2011 № 1121 (ред. от 22.08.2017 г.) «Об утверждении Административного регламента Министерства внутренних дел Российской Федерации по пред</w:t>
      </w:r>
      <w:r w:rsidRPr="00EC1A78">
        <w:rPr>
          <w:rFonts w:eastAsia="Helvetica Neue"/>
          <w:color w:val="000000"/>
          <w:sz w:val="22"/>
          <w:szCs w:val="22"/>
          <w:bdr w:val="nil"/>
        </w:rPr>
        <w:t>о</w:t>
      </w:r>
      <w:r w:rsidRPr="00EC1A78">
        <w:rPr>
          <w:rFonts w:eastAsia="Helvetica Neue"/>
          <w:color w:val="000000"/>
          <w:sz w:val="22"/>
          <w:szCs w:val="22"/>
          <w:bdr w:val="nil"/>
        </w:rPr>
        <w:t xml:space="preserve">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(Зарегистрировано </w:t>
      </w:r>
      <w:r w:rsidRPr="00EC1A78">
        <w:rPr>
          <w:rFonts w:eastAsia="Helvetica Neue"/>
          <w:color w:val="000000"/>
          <w:sz w:val="22"/>
          <w:szCs w:val="22"/>
          <w:bdr w:val="nil"/>
        </w:rPr>
        <w:lastRenderedPageBreak/>
        <w:t>в Минюсте России 05.12.2011 № 22509) // «Российская газета».2012. № 2. 11 янв.</w:t>
      </w:r>
    </w:p>
    <w:p w:rsidR="00EC1A78" w:rsidRPr="00EC1A78" w:rsidRDefault="00EC1A78" w:rsidP="00EC1A78">
      <w:pPr>
        <w:pBdr>
          <w:top w:val="nil"/>
          <w:left w:val="nil"/>
          <w:bottom w:val="nil"/>
          <w:right w:val="nil"/>
          <w:between w:val="nil"/>
          <w:bar w:val="nil"/>
        </w:pBdr>
        <w:ind w:firstLine="425"/>
        <w:jc w:val="both"/>
        <w:rPr>
          <w:rFonts w:eastAsia="Helvetica Neue"/>
          <w:color w:val="000000"/>
          <w:sz w:val="22"/>
          <w:szCs w:val="22"/>
          <w:bdr w:val="nil"/>
        </w:rPr>
      </w:pPr>
      <w:r w:rsidRPr="00EC1A78">
        <w:rPr>
          <w:rFonts w:eastAsia="Helvetica Neue"/>
          <w:color w:val="000000"/>
          <w:sz w:val="22"/>
          <w:szCs w:val="22"/>
          <w:bdr w:val="nil"/>
        </w:rPr>
        <w:t>5. Уголовно–процессуальный кодекс Российской Федерации от 18.12.2001 № 174–ФЗ (ред. от 19.02.2018) // Собрание законодател</w:t>
      </w:r>
      <w:r w:rsidRPr="00EC1A78">
        <w:rPr>
          <w:rFonts w:eastAsia="Helvetica Neue"/>
          <w:color w:val="000000"/>
          <w:sz w:val="22"/>
          <w:szCs w:val="22"/>
          <w:bdr w:val="nil"/>
        </w:rPr>
        <w:t>ь</w:t>
      </w:r>
      <w:r w:rsidRPr="00EC1A78">
        <w:rPr>
          <w:rFonts w:eastAsia="Helvetica Neue"/>
          <w:color w:val="000000"/>
          <w:sz w:val="22"/>
          <w:szCs w:val="22"/>
          <w:bdr w:val="nil"/>
        </w:rPr>
        <w:t>ства РФ. 2001.№ 52 (ч. I). Ст. 4921.</w:t>
      </w:r>
    </w:p>
    <w:p w:rsidR="00EC1A78" w:rsidRPr="00EC1A78" w:rsidRDefault="00EC1A78" w:rsidP="00EC1A78">
      <w:pPr>
        <w:autoSpaceDE w:val="0"/>
        <w:autoSpaceDN w:val="0"/>
        <w:adjustRightInd w:val="0"/>
        <w:ind w:firstLine="425"/>
        <w:jc w:val="both"/>
        <w:rPr>
          <w:rFonts w:eastAsiaTheme="minorHAnsi"/>
          <w:sz w:val="22"/>
          <w:szCs w:val="22"/>
        </w:rPr>
      </w:pPr>
      <w:r w:rsidRPr="00EC1A78">
        <w:rPr>
          <w:rFonts w:eastAsiaTheme="minorHAnsi"/>
          <w:sz w:val="22"/>
          <w:szCs w:val="22"/>
        </w:rPr>
        <w:t>6. Апелляционное определение Свердловского областного суда от 28.06.2017 по делу № 33–10345/2017 // СПС «Консультан</w:t>
      </w:r>
      <w:r w:rsidRPr="00EC1A78">
        <w:rPr>
          <w:rFonts w:eastAsiaTheme="minorHAnsi"/>
          <w:sz w:val="22"/>
          <w:szCs w:val="22"/>
        </w:rPr>
        <w:t>т</w:t>
      </w:r>
      <w:r w:rsidRPr="00EC1A78">
        <w:rPr>
          <w:rFonts w:eastAsiaTheme="minorHAnsi"/>
          <w:sz w:val="22"/>
          <w:szCs w:val="22"/>
        </w:rPr>
        <w:t>Плюс».</w:t>
      </w:r>
    </w:p>
    <w:p w:rsidR="00EC1A78" w:rsidRDefault="00EC1A78" w:rsidP="00EC1A78">
      <w:pPr>
        <w:ind w:firstLine="720"/>
        <w:jc w:val="both"/>
        <w:rPr>
          <w:sz w:val="22"/>
          <w:szCs w:val="22"/>
        </w:rPr>
      </w:pPr>
    </w:p>
    <w:p w:rsidR="00C86D06" w:rsidRDefault="00C86D06" w:rsidP="00425497">
      <w:pPr>
        <w:jc w:val="both"/>
        <w:rPr>
          <w:sz w:val="22"/>
          <w:szCs w:val="22"/>
        </w:rPr>
      </w:pPr>
    </w:p>
    <w:p w:rsidR="00425497" w:rsidRPr="00EC1A78" w:rsidRDefault="00425497" w:rsidP="00425497">
      <w:pPr>
        <w:rPr>
          <w:sz w:val="22"/>
          <w:szCs w:val="22"/>
        </w:rPr>
      </w:pPr>
    </w:p>
    <w:p w:rsidR="00EC1A78" w:rsidRPr="00EC1A78" w:rsidRDefault="00C86D06" w:rsidP="00EC1A78">
      <w:pPr>
        <w:rPr>
          <w:rFonts w:eastAsiaTheme="minorHAnsi"/>
          <w:sz w:val="22"/>
          <w:szCs w:val="22"/>
          <w:lang w:eastAsia="en-US"/>
        </w:rPr>
      </w:pPr>
      <w:r>
        <w:rPr>
          <w:rFonts w:eastAsiaTheme="minorHAnsi"/>
          <w:sz w:val="22"/>
          <w:szCs w:val="22"/>
          <w:lang w:eastAsia="en-US"/>
        </w:rPr>
        <w:t xml:space="preserve">УДК </w:t>
      </w:r>
      <w:r w:rsidR="00EC1A78" w:rsidRPr="00EC1A78">
        <w:rPr>
          <w:rFonts w:eastAsiaTheme="minorHAnsi"/>
          <w:sz w:val="22"/>
          <w:szCs w:val="22"/>
          <w:lang w:eastAsia="en-US"/>
        </w:rPr>
        <w:t>342.8</w:t>
      </w:r>
    </w:p>
    <w:p w:rsidR="00EC1A78" w:rsidRPr="00EC1A78" w:rsidRDefault="00EC1A78" w:rsidP="00EC1A78">
      <w:pPr>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Конституционно–правовая ответственность</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за нарушения избирательного законодательства </w:t>
      </w:r>
    </w:p>
    <w:p w:rsidR="00EC1A78" w:rsidRPr="008002DE" w:rsidRDefault="00EC1A78" w:rsidP="00425497">
      <w:pPr>
        <w:jc w:val="center"/>
        <w:rPr>
          <w:rFonts w:eastAsiaTheme="minorHAnsi"/>
          <w:b/>
          <w:sz w:val="24"/>
          <w:szCs w:val="24"/>
          <w:lang w:val="en-US" w:eastAsia="en-US"/>
        </w:rPr>
      </w:pPr>
      <w:r w:rsidRPr="00C86D06">
        <w:rPr>
          <w:rFonts w:eastAsiaTheme="minorHAnsi"/>
          <w:b/>
          <w:sz w:val="24"/>
          <w:szCs w:val="24"/>
          <w:lang w:val="en-US" w:eastAsia="en-US"/>
        </w:rPr>
        <w:t xml:space="preserve">The constitutional–legal responsibility for election law </w:t>
      </w:r>
      <w:r w:rsidR="00C86D06" w:rsidRPr="00C86D06">
        <w:rPr>
          <w:rFonts w:eastAsiaTheme="minorHAnsi"/>
          <w:b/>
          <w:sz w:val="24"/>
          <w:szCs w:val="24"/>
          <w:lang w:val="en-US" w:eastAsia="en-US"/>
        </w:rPr>
        <w:br/>
      </w:r>
      <w:r w:rsidRPr="00C86D06">
        <w:rPr>
          <w:rFonts w:eastAsiaTheme="minorHAnsi"/>
          <w:b/>
          <w:sz w:val="24"/>
          <w:szCs w:val="24"/>
          <w:lang w:val="en-US" w:eastAsia="en-US"/>
        </w:rPr>
        <w:t>violations</w:t>
      </w:r>
    </w:p>
    <w:p w:rsidR="00425497" w:rsidRPr="008002DE" w:rsidRDefault="00425497" w:rsidP="00425497">
      <w:pPr>
        <w:jc w:val="center"/>
        <w:rPr>
          <w:rFonts w:eastAsiaTheme="minorHAnsi"/>
          <w:b/>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Плохотнюк Д.</w:t>
      </w:r>
      <w:r w:rsidR="00C86D06">
        <w:rPr>
          <w:rFonts w:eastAsiaTheme="minorHAnsi"/>
          <w:sz w:val="22"/>
          <w:szCs w:val="22"/>
          <w:lang w:eastAsia="en-US"/>
        </w:rPr>
        <w:t xml:space="preserve"> </w:t>
      </w:r>
      <w:r w:rsidRPr="00EC1A78">
        <w:rPr>
          <w:rFonts w:eastAsiaTheme="minorHAnsi"/>
          <w:sz w:val="22"/>
          <w:szCs w:val="22"/>
          <w:lang w:eastAsia="en-US"/>
        </w:rPr>
        <w:t>О.,</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 курса юридического факультета</w:t>
      </w: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color w:val="000000"/>
          <w:sz w:val="22"/>
          <w:szCs w:val="22"/>
          <w:lang w:eastAsia="en-US"/>
        </w:rPr>
        <w:t>университет имени И.</w:t>
      </w:r>
      <w:r w:rsidR="00C86D06">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Рассмотрены характерные признаки и сформ</w:t>
      </w:r>
      <w:r w:rsidRPr="00EC1A78">
        <w:rPr>
          <w:rFonts w:eastAsiaTheme="minorHAnsi"/>
          <w:sz w:val="22"/>
          <w:szCs w:val="22"/>
          <w:lang w:eastAsia="en-US"/>
        </w:rPr>
        <w:t>у</w:t>
      </w:r>
      <w:r w:rsidRPr="00EC1A78">
        <w:rPr>
          <w:rFonts w:eastAsiaTheme="minorHAnsi"/>
          <w:sz w:val="22"/>
          <w:szCs w:val="22"/>
          <w:lang w:eastAsia="en-US"/>
        </w:rPr>
        <w:t>лировано понятие конституционно–правовой ответственности за нарушения избирательного законодательства.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Considered the characteristics and formulates the concept of constitutional–legal responsibility for violations of electoral laws.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юридическая ответственность, конст</w:t>
      </w:r>
      <w:r w:rsidRPr="00EC1A78">
        <w:rPr>
          <w:rFonts w:eastAsiaTheme="minorHAnsi"/>
          <w:sz w:val="22"/>
          <w:szCs w:val="22"/>
          <w:lang w:eastAsia="en-US"/>
        </w:rPr>
        <w:t>и</w:t>
      </w:r>
      <w:r w:rsidRPr="00EC1A78">
        <w:rPr>
          <w:rFonts w:eastAsiaTheme="minorHAnsi"/>
          <w:sz w:val="22"/>
          <w:szCs w:val="22"/>
          <w:lang w:eastAsia="en-US"/>
        </w:rPr>
        <w:t>туционно–правовая ответственность, нарушения избирательного законодательства.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legal liability, the constitutional–legal responsibility, violations of the electoral legislation.</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Основной вид ответственности за нарушения избирательного законодательства – конституционная–правовая ответственность.</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Конституционно–правовая ответственность за нарушения и</w:t>
      </w:r>
      <w:r w:rsidRPr="00EC1A78">
        <w:rPr>
          <w:rFonts w:eastAsiaTheme="minorHAnsi"/>
          <w:sz w:val="22"/>
          <w:szCs w:val="22"/>
          <w:lang w:eastAsia="en-US"/>
        </w:rPr>
        <w:t>з</w:t>
      </w:r>
      <w:r w:rsidRPr="00EC1A78">
        <w:rPr>
          <w:rFonts w:eastAsiaTheme="minorHAnsi"/>
          <w:sz w:val="22"/>
          <w:szCs w:val="22"/>
          <w:lang w:eastAsia="en-US"/>
        </w:rPr>
        <w:t>бирательного законодательства рассматривается как особый вид юридической ответственности, обладающий как общими признак</w:t>
      </w:r>
      <w:r w:rsidRPr="00EC1A78">
        <w:rPr>
          <w:rFonts w:eastAsiaTheme="minorHAnsi"/>
          <w:sz w:val="22"/>
          <w:szCs w:val="22"/>
          <w:lang w:eastAsia="en-US"/>
        </w:rPr>
        <w:t>а</w:t>
      </w:r>
      <w:r w:rsidRPr="00EC1A78">
        <w:rPr>
          <w:rFonts w:eastAsiaTheme="minorHAnsi"/>
          <w:sz w:val="22"/>
          <w:szCs w:val="22"/>
          <w:lang w:eastAsia="en-US"/>
        </w:rPr>
        <w:t>ми последней, так и отличительными особенностями, обусловле</w:t>
      </w:r>
      <w:r w:rsidRPr="00EC1A78">
        <w:rPr>
          <w:rFonts w:eastAsiaTheme="minorHAnsi"/>
          <w:sz w:val="22"/>
          <w:szCs w:val="22"/>
          <w:lang w:eastAsia="en-US"/>
        </w:rPr>
        <w:t>н</w:t>
      </w:r>
      <w:r w:rsidRPr="00EC1A78">
        <w:rPr>
          <w:rFonts w:eastAsiaTheme="minorHAnsi"/>
          <w:sz w:val="22"/>
          <w:szCs w:val="22"/>
          <w:lang w:eastAsia="en-US"/>
        </w:rPr>
        <w:t>ными ее тесной связью с политической ответственностью и ярко выраженным публично–правовым характером [1].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Конституционная ответственность за нарушения избирательн</w:t>
      </w:r>
      <w:r w:rsidRPr="00EC1A78">
        <w:rPr>
          <w:rFonts w:eastAsiaTheme="minorHAnsi"/>
          <w:sz w:val="22"/>
          <w:szCs w:val="22"/>
          <w:lang w:eastAsia="en-US"/>
        </w:rPr>
        <w:t>о</w:t>
      </w:r>
      <w:r w:rsidRPr="00EC1A78">
        <w:rPr>
          <w:rFonts w:eastAsiaTheme="minorHAnsi"/>
          <w:sz w:val="22"/>
          <w:szCs w:val="22"/>
          <w:lang w:eastAsia="en-US"/>
        </w:rPr>
        <w:t>го законодательства обладает следующими характерными призн</w:t>
      </w:r>
      <w:r w:rsidRPr="00EC1A78">
        <w:rPr>
          <w:rFonts w:eastAsiaTheme="minorHAnsi"/>
          <w:sz w:val="22"/>
          <w:szCs w:val="22"/>
          <w:lang w:eastAsia="en-US"/>
        </w:rPr>
        <w:t>а</w:t>
      </w:r>
      <w:r w:rsidRPr="00EC1A78">
        <w:rPr>
          <w:rFonts w:eastAsiaTheme="minorHAnsi"/>
          <w:sz w:val="22"/>
          <w:szCs w:val="22"/>
          <w:lang w:eastAsia="en-US"/>
        </w:rPr>
        <w:t>ками: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Конституционно–правовая ответственность имеет опред</w:t>
      </w:r>
      <w:r w:rsidRPr="00EC1A78">
        <w:rPr>
          <w:rFonts w:eastAsiaTheme="minorHAnsi"/>
          <w:sz w:val="22"/>
          <w:szCs w:val="22"/>
          <w:lang w:eastAsia="en-US"/>
        </w:rPr>
        <w:t>е</w:t>
      </w:r>
      <w:r w:rsidRPr="00EC1A78">
        <w:rPr>
          <w:rFonts w:eastAsiaTheme="minorHAnsi"/>
          <w:sz w:val="22"/>
          <w:szCs w:val="22"/>
          <w:lang w:eastAsia="en-US"/>
        </w:rPr>
        <w:t>ленные временные рамки. Так, не позднее чем через три месяца п</w:t>
      </w:r>
      <w:r w:rsidRPr="00EC1A78">
        <w:rPr>
          <w:rFonts w:eastAsiaTheme="minorHAnsi"/>
          <w:sz w:val="22"/>
          <w:szCs w:val="22"/>
          <w:lang w:eastAsia="en-US"/>
        </w:rPr>
        <w:t>о</w:t>
      </w:r>
      <w:r w:rsidRPr="00EC1A78">
        <w:rPr>
          <w:rFonts w:eastAsiaTheme="minorHAnsi"/>
          <w:sz w:val="22"/>
          <w:szCs w:val="22"/>
          <w:lang w:eastAsia="en-US"/>
        </w:rPr>
        <w:t>сле окончания избирательной кампании, может быть подано зая</w:t>
      </w:r>
      <w:r w:rsidRPr="00EC1A78">
        <w:rPr>
          <w:rFonts w:eastAsiaTheme="minorHAnsi"/>
          <w:sz w:val="22"/>
          <w:szCs w:val="22"/>
          <w:lang w:eastAsia="en-US"/>
        </w:rPr>
        <w:t>в</w:t>
      </w:r>
      <w:r w:rsidRPr="00EC1A78">
        <w:rPr>
          <w:rFonts w:eastAsiaTheme="minorHAnsi"/>
          <w:sz w:val="22"/>
          <w:szCs w:val="22"/>
          <w:lang w:eastAsia="en-US"/>
        </w:rPr>
        <w:t>ление в суд о расформировании комиссии, которая организует в</w:t>
      </w:r>
      <w:r w:rsidRPr="00EC1A78">
        <w:rPr>
          <w:rFonts w:eastAsiaTheme="minorHAnsi"/>
          <w:sz w:val="22"/>
          <w:szCs w:val="22"/>
          <w:lang w:eastAsia="en-US"/>
        </w:rPr>
        <w:t>ы</w:t>
      </w:r>
      <w:r w:rsidRPr="00EC1A78">
        <w:rPr>
          <w:rFonts w:eastAsiaTheme="minorHAnsi"/>
          <w:sz w:val="22"/>
          <w:szCs w:val="22"/>
          <w:lang w:eastAsia="en-US"/>
        </w:rPr>
        <w:t>боры; заявление в суд о расформировании иной комиссии может быть подано не позднее чем за 30 дней до дня голосования либо п</w:t>
      </w:r>
      <w:r w:rsidRPr="00EC1A78">
        <w:rPr>
          <w:rFonts w:eastAsiaTheme="minorHAnsi"/>
          <w:sz w:val="22"/>
          <w:szCs w:val="22"/>
          <w:lang w:eastAsia="en-US"/>
        </w:rPr>
        <w:t>о</w:t>
      </w:r>
      <w:r w:rsidRPr="00EC1A78">
        <w:rPr>
          <w:rFonts w:eastAsiaTheme="minorHAnsi"/>
          <w:sz w:val="22"/>
          <w:szCs w:val="22"/>
          <w:lang w:eastAsia="en-US"/>
        </w:rPr>
        <w:t>сле окончания избирательной</w:t>
      </w:r>
      <w:r w:rsidRPr="00EC1A78">
        <w:rPr>
          <w:rFonts w:eastAsiaTheme="minorHAnsi"/>
          <w:spacing w:val="6"/>
          <w:sz w:val="22"/>
          <w:szCs w:val="22"/>
          <w:lang w:eastAsia="en-US"/>
        </w:rPr>
        <w:t xml:space="preserve"> </w:t>
      </w:r>
      <w:r w:rsidRPr="00EC1A78">
        <w:rPr>
          <w:rFonts w:eastAsiaTheme="minorHAnsi"/>
          <w:sz w:val="22"/>
          <w:szCs w:val="22"/>
          <w:lang w:eastAsia="en-US"/>
        </w:rPr>
        <w:t>кампании,</w:t>
      </w:r>
      <w:r w:rsidRPr="00EC1A78">
        <w:rPr>
          <w:rFonts w:eastAsiaTheme="minorHAnsi"/>
          <w:spacing w:val="6"/>
          <w:sz w:val="22"/>
          <w:szCs w:val="22"/>
          <w:lang w:eastAsia="en-US"/>
        </w:rPr>
        <w:t xml:space="preserve"> </w:t>
      </w:r>
      <w:r w:rsidRPr="00EC1A78">
        <w:rPr>
          <w:rFonts w:eastAsiaTheme="minorHAnsi"/>
          <w:sz w:val="22"/>
          <w:szCs w:val="22"/>
          <w:lang w:eastAsia="en-US"/>
        </w:rPr>
        <w:t>но</w:t>
      </w:r>
      <w:r w:rsidRPr="00EC1A78">
        <w:rPr>
          <w:rFonts w:eastAsiaTheme="minorHAnsi"/>
          <w:spacing w:val="7"/>
          <w:sz w:val="22"/>
          <w:szCs w:val="22"/>
          <w:lang w:eastAsia="en-US"/>
        </w:rPr>
        <w:t xml:space="preserve"> </w:t>
      </w:r>
      <w:r w:rsidRPr="00EC1A78">
        <w:rPr>
          <w:rFonts w:eastAsiaTheme="minorHAnsi"/>
          <w:sz w:val="22"/>
          <w:szCs w:val="22"/>
          <w:lang w:eastAsia="en-US"/>
        </w:rPr>
        <w:t>не</w:t>
      </w:r>
      <w:r w:rsidRPr="00EC1A78">
        <w:rPr>
          <w:rFonts w:eastAsiaTheme="minorHAnsi"/>
          <w:spacing w:val="5"/>
          <w:sz w:val="22"/>
          <w:szCs w:val="22"/>
          <w:lang w:eastAsia="en-US"/>
        </w:rPr>
        <w:t xml:space="preserve"> </w:t>
      </w:r>
      <w:r w:rsidRPr="00EC1A78">
        <w:rPr>
          <w:rFonts w:eastAsiaTheme="minorHAnsi"/>
          <w:sz w:val="22"/>
          <w:szCs w:val="22"/>
          <w:lang w:eastAsia="en-US"/>
        </w:rPr>
        <w:t>позднее</w:t>
      </w:r>
      <w:r w:rsidRPr="00EC1A78">
        <w:rPr>
          <w:rFonts w:eastAsiaTheme="minorHAnsi"/>
          <w:spacing w:val="7"/>
          <w:sz w:val="22"/>
          <w:szCs w:val="22"/>
          <w:lang w:eastAsia="en-US"/>
        </w:rPr>
        <w:t xml:space="preserve"> </w:t>
      </w:r>
      <w:r w:rsidRPr="00EC1A78">
        <w:rPr>
          <w:rFonts w:eastAsiaTheme="minorHAnsi"/>
          <w:sz w:val="22"/>
          <w:szCs w:val="22"/>
          <w:lang w:eastAsia="en-US"/>
        </w:rPr>
        <w:t>чем</w:t>
      </w:r>
      <w:r w:rsidRPr="00EC1A78">
        <w:rPr>
          <w:rFonts w:eastAsiaTheme="minorHAnsi"/>
          <w:spacing w:val="7"/>
          <w:sz w:val="22"/>
          <w:szCs w:val="22"/>
          <w:lang w:eastAsia="en-US"/>
        </w:rPr>
        <w:t xml:space="preserve"> </w:t>
      </w:r>
      <w:r w:rsidRPr="00EC1A78">
        <w:rPr>
          <w:rFonts w:eastAsiaTheme="minorHAnsi"/>
          <w:sz w:val="22"/>
          <w:szCs w:val="22"/>
          <w:lang w:eastAsia="en-US"/>
        </w:rPr>
        <w:t>через</w:t>
      </w:r>
      <w:r w:rsidRPr="00EC1A78">
        <w:rPr>
          <w:rFonts w:eastAsiaTheme="minorHAnsi"/>
          <w:spacing w:val="6"/>
          <w:sz w:val="22"/>
          <w:szCs w:val="22"/>
          <w:lang w:eastAsia="en-US"/>
        </w:rPr>
        <w:t xml:space="preserve"> </w:t>
      </w:r>
      <w:r w:rsidRPr="00EC1A78">
        <w:rPr>
          <w:rFonts w:eastAsiaTheme="minorHAnsi"/>
          <w:sz w:val="22"/>
          <w:szCs w:val="22"/>
          <w:lang w:eastAsia="en-US"/>
        </w:rPr>
        <w:t>три</w:t>
      </w:r>
      <w:r w:rsidRPr="00EC1A78">
        <w:rPr>
          <w:rFonts w:eastAsiaTheme="minorHAnsi"/>
          <w:spacing w:val="7"/>
          <w:sz w:val="22"/>
          <w:szCs w:val="22"/>
          <w:lang w:eastAsia="en-US"/>
        </w:rPr>
        <w:t xml:space="preserve"> </w:t>
      </w:r>
      <w:r w:rsidRPr="00EC1A78">
        <w:rPr>
          <w:rFonts w:eastAsiaTheme="minorHAnsi"/>
          <w:sz w:val="22"/>
          <w:szCs w:val="22"/>
          <w:lang w:eastAsia="en-US"/>
        </w:rPr>
        <w:t>месяца</w:t>
      </w:r>
      <w:r w:rsidRPr="00EC1A78">
        <w:rPr>
          <w:rFonts w:eastAsiaTheme="minorHAnsi"/>
          <w:spacing w:val="7"/>
          <w:sz w:val="22"/>
          <w:szCs w:val="22"/>
          <w:lang w:eastAsia="en-US"/>
        </w:rPr>
        <w:t xml:space="preserve"> </w:t>
      </w:r>
      <w:r w:rsidRPr="00EC1A78">
        <w:rPr>
          <w:rFonts w:eastAsiaTheme="minorHAnsi"/>
          <w:sz w:val="22"/>
          <w:szCs w:val="22"/>
          <w:lang w:eastAsia="en-US"/>
        </w:rPr>
        <w:t>со</w:t>
      </w:r>
      <w:r w:rsidRPr="00EC1A78">
        <w:rPr>
          <w:rFonts w:eastAsiaTheme="minorHAnsi"/>
          <w:spacing w:val="7"/>
          <w:sz w:val="22"/>
          <w:szCs w:val="22"/>
          <w:lang w:eastAsia="en-US"/>
        </w:rPr>
        <w:t xml:space="preserve"> </w:t>
      </w:r>
      <w:r w:rsidRPr="00EC1A78">
        <w:rPr>
          <w:rFonts w:eastAsiaTheme="minorHAnsi"/>
          <w:sz w:val="22"/>
          <w:szCs w:val="22"/>
          <w:lang w:eastAsia="en-US"/>
        </w:rPr>
        <w:t>дня</w:t>
      </w:r>
      <w:r w:rsidRPr="00EC1A78">
        <w:rPr>
          <w:rFonts w:eastAsiaTheme="minorHAnsi"/>
          <w:spacing w:val="6"/>
          <w:sz w:val="22"/>
          <w:szCs w:val="22"/>
          <w:lang w:eastAsia="en-US"/>
        </w:rPr>
        <w:t xml:space="preserve"> </w:t>
      </w:r>
      <w:r w:rsidRPr="00EC1A78">
        <w:rPr>
          <w:rFonts w:eastAsiaTheme="minorHAnsi"/>
          <w:sz w:val="22"/>
          <w:szCs w:val="22"/>
          <w:lang w:eastAsia="en-US"/>
        </w:rPr>
        <w:t>появления оснований для расформирования к</w:t>
      </w:r>
      <w:r w:rsidRPr="00EC1A78">
        <w:rPr>
          <w:rFonts w:eastAsiaTheme="minorHAnsi"/>
          <w:sz w:val="22"/>
          <w:szCs w:val="22"/>
          <w:lang w:eastAsia="en-US"/>
        </w:rPr>
        <w:t>о</w:t>
      </w:r>
      <w:r w:rsidRPr="00EC1A78">
        <w:rPr>
          <w:rFonts w:eastAsiaTheme="minorHAnsi"/>
          <w:sz w:val="22"/>
          <w:szCs w:val="22"/>
          <w:lang w:eastAsia="en-US"/>
        </w:rPr>
        <w:t>миссии (ч. 5 ст. 31 Федерального закона №67–ФЗ).</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Реализация конституционной ответственности означает для нарушителя избирательного законодательства прекращение статуса как участника избирательных</w:t>
      </w:r>
      <w:r w:rsidRPr="00EC1A78">
        <w:rPr>
          <w:rFonts w:eastAsiaTheme="minorHAnsi"/>
          <w:spacing w:val="-1"/>
          <w:sz w:val="22"/>
          <w:szCs w:val="22"/>
          <w:lang w:eastAsia="en-US"/>
        </w:rPr>
        <w:t xml:space="preserve"> </w:t>
      </w:r>
      <w:r w:rsidRPr="00EC1A78">
        <w:rPr>
          <w:rFonts w:eastAsiaTheme="minorHAnsi"/>
          <w:sz w:val="22"/>
          <w:szCs w:val="22"/>
          <w:lang w:eastAsia="en-US"/>
        </w:rPr>
        <w:t>правоотношений.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Субъектами конституционно–правовой ответственности в</w:t>
      </w:r>
      <w:r w:rsidRPr="00EC1A78">
        <w:rPr>
          <w:rFonts w:eastAsiaTheme="minorHAnsi"/>
          <w:sz w:val="22"/>
          <w:szCs w:val="22"/>
          <w:lang w:eastAsia="en-US"/>
        </w:rPr>
        <w:t>ы</w:t>
      </w:r>
      <w:r w:rsidRPr="00EC1A78">
        <w:rPr>
          <w:rFonts w:eastAsiaTheme="minorHAnsi"/>
          <w:sz w:val="22"/>
          <w:szCs w:val="22"/>
          <w:lang w:eastAsia="en-US"/>
        </w:rPr>
        <w:t>ступают: кандидаты, избирательная комиссия, зарегистрировавшая кандидата, наблюдатели, избирательные объединения, организации, осуществляющие выпуск</w:t>
      </w:r>
      <w:r w:rsidRPr="00EC1A78">
        <w:rPr>
          <w:rFonts w:eastAsiaTheme="minorHAnsi"/>
          <w:spacing w:val="-3"/>
          <w:sz w:val="22"/>
          <w:szCs w:val="22"/>
          <w:lang w:eastAsia="en-US"/>
        </w:rPr>
        <w:t xml:space="preserve"> </w:t>
      </w:r>
      <w:r w:rsidRPr="00EC1A78">
        <w:rPr>
          <w:rFonts w:eastAsiaTheme="minorHAnsi"/>
          <w:sz w:val="22"/>
          <w:szCs w:val="22"/>
          <w:lang w:eastAsia="en-US"/>
        </w:rPr>
        <w:t>СМИ.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4. Санкциями в отношении указанных субъектов могут быть: расформирование комиссии, отмена регистрации кандидата, отмена решения итогов голосования, досрочное прекращение полномочий члена избирательной комиссии, недействительность протокола и</w:t>
      </w:r>
      <w:r w:rsidRPr="00EC1A78">
        <w:rPr>
          <w:rFonts w:eastAsiaTheme="minorHAnsi"/>
          <w:sz w:val="22"/>
          <w:szCs w:val="22"/>
          <w:lang w:eastAsia="en-US"/>
        </w:rPr>
        <w:t>з</w:t>
      </w:r>
      <w:r w:rsidRPr="00EC1A78">
        <w:rPr>
          <w:rFonts w:eastAsiaTheme="minorHAnsi"/>
          <w:sz w:val="22"/>
          <w:szCs w:val="22"/>
          <w:lang w:eastAsia="en-US"/>
        </w:rPr>
        <w:t>бирательной комиссии об итогах голосования</w:t>
      </w:r>
      <w:r w:rsidRPr="00EC1A78">
        <w:rPr>
          <w:rFonts w:eastAsiaTheme="minorHAnsi"/>
          <w:spacing w:val="-7"/>
          <w:sz w:val="22"/>
          <w:szCs w:val="22"/>
          <w:lang w:eastAsia="en-US"/>
        </w:rPr>
        <w: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Основаниями расформирования избирательной комиссии я</w:t>
      </w:r>
      <w:r w:rsidRPr="00EC1A78">
        <w:rPr>
          <w:rFonts w:eastAsiaTheme="minorHAnsi"/>
          <w:sz w:val="22"/>
          <w:szCs w:val="22"/>
          <w:lang w:eastAsia="en-US"/>
        </w:rPr>
        <w:t>в</w:t>
      </w:r>
      <w:r w:rsidRPr="00EC1A78">
        <w:rPr>
          <w:rFonts w:eastAsiaTheme="minorHAnsi"/>
          <w:sz w:val="22"/>
          <w:szCs w:val="22"/>
          <w:lang w:eastAsia="en-US"/>
        </w:rPr>
        <w:t>ляются: признание избирательных прав граждан нарушенными, прав граждан на участие в референдуме, повлекшие за собой пр</w:t>
      </w:r>
      <w:r w:rsidRPr="00EC1A78">
        <w:rPr>
          <w:rFonts w:eastAsiaTheme="minorHAnsi"/>
          <w:sz w:val="22"/>
          <w:szCs w:val="22"/>
          <w:lang w:eastAsia="en-US"/>
        </w:rPr>
        <w:t>и</w:t>
      </w:r>
      <w:r w:rsidRPr="00EC1A78">
        <w:rPr>
          <w:rFonts w:eastAsiaTheme="minorHAnsi"/>
          <w:sz w:val="22"/>
          <w:szCs w:val="22"/>
          <w:lang w:eastAsia="en-US"/>
        </w:rPr>
        <w:t>знание Центральной избирательной комиссией Российской Федер</w:t>
      </w:r>
      <w:r w:rsidRPr="00EC1A78">
        <w:rPr>
          <w:rFonts w:eastAsiaTheme="minorHAnsi"/>
          <w:sz w:val="22"/>
          <w:szCs w:val="22"/>
          <w:lang w:eastAsia="en-US"/>
        </w:rPr>
        <w:t>а</w:t>
      </w:r>
      <w:r w:rsidRPr="00EC1A78">
        <w:rPr>
          <w:rFonts w:eastAsiaTheme="minorHAnsi"/>
          <w:sz w:val="22"/>
          <w:szCs w:val="22"/>
          <w:lang w:eastAsia="en-US"/>
        </w:rPr>
        <w:t>ции, избирательной комиссией субъекта Российской Федерации н</w:t>
      </w:r>
      <w:r w:rsidRPr="00EC1A78">
        <w:rPr>
          <w:rFonts w:eastAsiaTheme="minorHAnsi"/>
          <w:sz w:val="22"/>
          <w:szCs w:val="22"/>
          <w:lang w:eastAsia="en-US"/>
        </w:rPr>
        <w:t>е</w:t>
      </w:r>
      <w:r w:rsidRPr="00EC1A78">
        <w:rPr>
          <w:rFonts w:eastAsiaTheme="minorHAnsi"/>
          <w:sz w:val="22"/>
          <w:szCs w:val="22"/>
          <w:lang w:eastAsia="en-US"/>
        </w:rPr>
        <w:t>действительными итогов голосования на соответствующей терр</w:t>
      </w:r>
      <w:r w:rsidRPr="00EC1A78">
        <w:rPr>
          <w:rFonts w:eastAsiaTheme="minorHAnsi"/>
          <w:sz w:val="22"/>
          <w:szCs w:val="22"/>
          <w:lang w:eastAsia="en-US"/>
        </w:rPr>
        <w:t>и</w:t>
      </w:r>
      <w:r w:rsidRPr="00EC1A78">
        <w:rPr>
          <w:rFonts w:eastAsiaTheme="minorHAnsi"/>
          <w:sz w:val="22"/>
          <w:szCs w:val="22"/>
          <w:lang w:eastAsia="en-US"/>
        </w:rPr>
        <w:t>тории или результатов выборов, референдума, неисполнение к</w:t>
      </w:r>
      <w:r w:rsidRPr="00EC1A78">
        <w:rPr>
          <w:rFonts w:eastAsiaTheme="minorHAnsi"/>
          <w:sz w:val="22"/>
          <w:szCs w:val="22"/>
          <w:lang w:eastAsia="en-US"/>
        </w:rPr>
        <w:t>о</w:t>
      </w:r>
      <w:r w:rsidRPr="00EC1A78">
        <w:rPr>
          <w:rFonts w:eastAsiaTheme="minorHAnsi"/>
          <w:sz w:val="22"/>
          <w:szCs w:val="22"/>
          <w:lang w:eastAsia="en-US"/>
        </w:rPr>
        <w:t>миссией решения суда или вышестоящей комиссии, решений Це</w:t>
      </w:r>
      <w:r w:rsidRPr="00EC1A78">
        <w:rPr>
          <w:rFonts w:eastAsiaTheme="minorHAnsi"/>
          <w:sz w:val="22"/>
          <w:szCs w:val="22"/>
          <w:lang w:eastAsia="en-US"/>
        </w:rPr>
        <w:t>н</w:t>
      </w:r>
      <w:r w:rsidRPr="00EC1A78">
        <w:rPr>
          <w:rFonts w:eastAsiaTheme="minorHAnsi"/>
          <w:sz w:val="22"/>
          <w:szCs w:val="22"/>
          <w:lang w:eastAsia="en-US"/>
        </w:rPr>
        <w:lastRenderedPageBreak/>
        <w:t>тральной избирательной комиссии Российской Федерации, избир</w:t>
      </w:r>
      <w:r w:rsidRPr="00EC1A78">
        <w:rPr>
          <w:rFonts w:eastAsiaTheme="minorHAnsi"/>
          <w:sz w:val="22"/>
          <w:szCs w:val="22"/>
          <w:lang w:eastAsia="en-US"/>
        </w:rPr>
        <w:t>а</w:t>
      </w:r>
      <w:r w:rsidRPr="00EC1A78">
        <w:rPr>
          <w:rFonts w:eastAsiaTheme="minorHAnsi"/>
          <w:sz w:val="22"/>
          <w:szCs w:val="22"/>
          <w:lang w:eastAsia="en-US"/>
        </w:rPr>
        <w:t>тельной комиссии субъекта Российской Федерации, избирательной комиссии муниципального района, принятых в соответствии с зак</w:t>
      </w:r>
      <w:r w:rsidRPr="00EC1A78">
        <w:rPr>
          <w:rFonts w:eastAsiaTheme="minorHAnsi"/>
          <w:sz w:val="22"/>
          <w:szCs w:val="22"/>
          <w:lang w:eastAsia="en-US"/>
        </w:rPr>
        <w:t>о</w:t>
      </w:r>
      <w:r w:rsidRPr="00EC1A78">
        <w:rPr>
          <w:rFonts w:eastAsiaTheme="minorHAnsi"/>
          <w:sz w:val="22"/>
          <w:szCs w:val="22"/>
          <w:lang w:eastAsia="en-US"/>
        </w:rPr>
        <w:t>нодательством, невыполнение обязанности комиссией по назнач</w:t>
      </w:r>
      <w:r w:rsidRPr="00EC1A78">
        <w:rPr>
          <w:rFonts w:eastAsiaTheme="minorHAnsi"/>
          <w:sz w:val="22"/>
          <w:szCs w:val="22"/>
          <w:lang w:eastAsia="en-US"/>
        </w:rPr>
        <w:t>е</w:t>
      </w:r>
      <w:r w:rsidRPr="00EC1A78">
        <w:rPr>
          <w:rFonts w:eastAsiaTheme="minorHAnsi"/>
          <w:sz w:val="22"/>
          <w:szCs w:val="22"/>
          <w:lang w:eastAsia="en-US"/>
        </w:rPr>
        <w:t>нию выборов, которое повлекло за собой назначение выборов вр</w:t>
      </w:r>
      <w:r w:rsidRPr="00EC1A78">
        <w:rPr>
          <w:rFonts w:eastAsiaTheme="minorHAnsi"/>
          <w:sz w:val="22"/>
          <w:szCs w:val="22"/>
          <w:lang w:eastAsia="en-US"/>
        </w:rPr>
        <w:t>е</w:t>
      </w:r>
      <w:r w:rsidRPr="00EC1A78">
        <w:rPr>
          <w:rFonts w:eastAsiaTheme="minorHAnsi"/>
          <w:sz w:val="22"/>
          <w:szCs w:val="22"/>
          <w:lang w:eastAsia="en-US"/>
        </w:rPr>
        <w:t>менной избирательной комиссией в установленном порядке.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Основаниями отмены регистрации кандидата (списка кандид</w:t>
      </w:r>
      <w:r w:rsidRPr="00EC1A78">
        <w:rPr>
          <w:rFonts w:eastAsiaTheme="minorHAnsi"/>
          <w:sz w:val="22"/>
          <w:szCs w:val="22"/>
          <w:lang w:eastAsia="en-US"/>
        </w:rPr>
        <w:t>а</w:t>
      </w:r>
      <w:r w:rsidRPr="00EC1A78">
        <w:rPr>
          <w:rFonts w:eastAsiaTheme="minorHAnsi"/>
          <w:sz w:val="22"/>
          <w:szCs w:val="22"/>
          <w:lang w:eastAsia="en-US"/>
        </w:rPr>
        <w:t>тов) являются: личное заявление кандидата о снятии своей кандид</w:t>
      </w:r>
      <w:r w:rsidRPr="00EC1A78">
        <w:rPr>
          <w:rFonts w:eastAsiaTheme="minorHAnsi"/>
          <w:sz w:val="22"/>
          <w:szCs w:val="22"/>
          <w:lang w:eastAsia="en-US"/>
        </w:rPr>
        <w:t>а</w:t>
      </w:r>
      <w:r w:rsidRPr="00EC1A78">
        <w:rPr>
          <w:rFonts w:eastAsiaTheme="minorHAnsi"/>
          <w:sz w:val="22"/>
          <w:szCs w:val="22"/>
          <w:lang w:eastAsia="en-US"/>
        </w:rPr>
        <w:t>туры; решение суда, вступившее в законную силу о приостановл</w:t>
      </w:r>
      <w:r w:rsidRPr="00EC1A78">
        <w:rPr>
          <w:rFonts w:eastAsiaTheme="minorHAnsi"/>
          <w:sz w:val="22"/>
          <w:szCs w:val="22"/>
          <w:lang w:eastAsia="en-US"/>
        </w:rPr>
        <w:t>е</w:t>
      </w:r>
      <w:r w:rsidRPr="00EC1A78">
        <w:rPr>
          <w:rFonts w:eastAsiaTheme="minorHAnsi"/>
          <w:sz w:val="22"/>
          <w:szCs w:val="22"/>
          <w:lang w:eastAsia="en-US"/>
        </w:rPr>
        <w:t>нии деятельности либо ликвидации политической партии; в случае утраты кандидатом пассивного избирательного права. На основании письменного личного заявления Власенко Д.О., зарегистрированн</w:t>
      </w:r>
      <w:r w:rsidRPr="00EC1A78">
        <w:rPr>
          <w:rFonts w:eastAsiaTheme="minorHAnsi"/>
          <w:sz w:val="22"/>
          <w:szCs w:val="22"/>
          <w:lang w:eastAsia="en-US"/>
        </w:rPr>
        <w:t>о</w:t>
      </w:r>
      <w:r w:rsidRPr="00EC1A78">
        <w:rPr>
          <w:rFonts w:eastAsiaTheme="minorHAnsi"/>
          <w:sz w:val="22"/>
          <w:szCs w:val="22"/>
          <w:lang w:eastAsia="en-US"/>
        </w:rPr>
        <w:t>го кандидатом на выборы в 2017 году в депутаты городской Думы, Красноуральского округа, было принято решение ТИК аннулир</w:t>
      </w:r>
      <w:r w:rsidRPr="00EC1A78">
        <w:rPr>
          <w:rFonts w:eastAsiaTheme="minorHAnsi"/>
          <w:sz w:val="22"/>
          <w:szCs w:val="22"/>
          <w:lang w:eastAsia="en-US"/>
        </w:rPr>
        <w:t>о</w:t>
      </w:r>
      <w:r w:rsidRPr="00EC1A78">
        <w:rPr>
          <w:rFonts w:eastAsiaTheme="minorHAnsi"/>
          <w:sz w:val="22"/>
          <w:szCs w:val="22"/>
          <w:lang w:eastAsia="en-US"/>
        </w:rPr>
        <w:t>вать его регистрацию.</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Основанием отмены решения итогов голосования, определения результатов выборов является: нарушения законодательства о пр</w:t>
      </w:r>
      <w:r w:rsidRPr="00EC1A78">
        <w:rPr>
          <w:rFonts w:eastAsiaTheme="minorHAnsi"/>
          <w:sz w:val="22"/>
          <w:szCs w:val="22"/>
          <w:lang w:eastAsia="en-US"/>
        </w:rPr>
        <w:t>о</w:t>
      </w:r>
      <w:r w:rsidRPr="00EC1A78">
        <w:rPr>
          <w:rFonts w:eastAsiaTheme="minorHAnsi"/>
          <w:sz w:val="22"/>
          <w:szCs w:val="22"/>
          <w:lang w:eastAsia="en-US"/>
        </w:rPr>
        <w:t>ведении выборов; допущенные нарушения в ходе проведения выб</w:t>
      </w:r>
      <w:r w:rsidRPr="00EC1A78">
        <w:rPr>
          <w:rFonts w:eastAsiaTheme="minorHAnsi"/>
          <w:sz w:val="22"/>
          <w:szCs w:val="22"/>
          <w:lang w:eastAsia="en-US"/>
        </w:rPr>
        <w:t>о</w:t>
      </w:r>
      <w:r w:rsidRPr="00EC1A78">
        <w:rPr>
          <w:rFonts w:eastAsiaTheme="minorHAnsi"/>
          <w:sz w:val="22"/>
          <w:szCs w:val="22"/>
          <w:lang w:eastAsia="en-US"/>
        </w:rPr>
        <w:t>ров не позволяют определить достоверность результатов. В частн</w:t>
      </w:r>
      <w:r w:rsidRPr="00EC1A78">
        <w:rPr>
          <w:rFonts w:eastAsiaTheme="minorHAnsi"/>
          <w:sz w:val="22"/>
          <w:szCs w:val="22"/>
          <w:lang w:eastAsia="en-US"/>
        </w:rPr>
        <w:t>о</w:t>
      </w:r>
      <w:r w:rsidRPr="00EC1A78">
        <w:rPr>
          <w:rFonts w:eastAsiaTheme="minorHAnsi"/>
          <w:sz w:val="22"/>
          <w:szCs w:val="22"/>
          <w:lang w:eastAsia="en-US"/>
        </w:rPr>
        <w:t>сти, на муниципальных выборах в Финляндии, Верховный Суд Финляндии постановил признать выборы несостоявшимися и назначить новые выборы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Основанием досрочного прекращения полномочий члена изб</w:t>
      </w:r>
      <w:r w:rsidRPr="00EC1A78">
        <w:rPr>
          <w:rFonts w:eastAsiaTheme="minorHAnsi"/>
          <w:sz w:val="22"/>
          <w:szCs w:val="22"/>
          <w:lang w:eastAsia="en-US"/>
        </w:rPr>
        <w:t>и</w:t>
      </w:r>
      <w:r w:rsidRPr="00EC1A78">
        <w:rPr>
          <w:rFonts w:eastAsiaTheme="minorHAnsi"/>
          <w:sz w:val="22"/>
          <w:szCs w:val="22"/>
          <w:lang w:eastAsia="en-US"/>
        </w:rPr>
        <w:t>рательной комиссии является принятие решения в течении одного месяца органа, назначившего члена комиссии, о досрочном прекр</w:t>
      </w:r>
      <w:r w:rsidRPr="00EC1A78">
        <w:rPr>
          <w:rFonts w:eastAsiaTheme="minorHAnsi"/>
          <w:sz w:val="22"/>
          <w:szCs w:val="22"/>
          <w:lang w:eastAsia="en-US"/>
        </w:rPr>
        <w:t>а</w:t>
      </w:r>
      <w:r w:rsidRPr="00EC1A78">
        <w:rPr>
          <w:rFonts w:eastAsiaTheme="minorHAnsi"/>
          <w:sz w:val="22"/>
          <w:szCs w:val="22"/>
          <w:lang w:eastAsia="en-US"/>
        </w:rPr>
        <w:t>щении его полномочий, а в период избирательно кампании, а также в период со дня назначения референдума и до его окончания – в течении десяти дней со дня поступления заявления в соответств</w:t>
      </w:r>
      <w:r w:rsidRPr="00EC1A78">
        <w:rPr>
          <w:rFonts w:eastAsiaTheme="minorHAnsi"/>
          <w:sz w:val="22"/>
          <w:szCs w:val="22"/>
          <w:lang w:eastAsia="en-US"/>
        </w:rPr>
        <w:t>у</w:t>
      </w:r>
      <w:r w:rsidRPr="00EC1A78">
        <w:rPr>
          <w:rFonts w:eastAsiaTheme="minorHAnsi"/>
          <w:sz w:val="22"/>
          <w:szCs w:val="22"/>
          <w:lang w:eastAsia="en-US"/>
        </w:rPr>
        <w:t>ющий орган члена комиссии о сложении своих полномочий, либо появления иных обстоятельств, препятствующих выполнять свои обязанности. Решение о прекращении полномочий принимается в течении трех дней. На основании личного заявления члена ТИК г</w:t>
      </w:r>
      <w:r w:rsidRPr="00EC1A78">
        <w:rPr>
          <w:rFonts w:eastAsiaTheme="minorHAnsi"/>
          <w:sz w:val="22"/>
          <w:szCs w:val="22"/>
          <w:lang w:eastAsia="en-US"/>
        </w:rPr>
        <w:t>о</w:t>
      </w:r>
      <w:r w:rsidRPr="00EC1A78">
        <w:rPr>
          <w:rFonts w:eastAsiaTheme="minorHAnsi"/>
          <w:sz w:val="22"/>
          <w:szCs w:val="22"/>
          <w:lang w:eastAsia="en-US"/>
        </w:rPr>
        <w:t>рода Байконура В.В. Ревякина было вынесено решение о досрочном прекращении его полномочий.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основании рассмотренных признаков конституционно–правовой ответственности за нарушения избирательного законод</w:t>
      </w:r>
      <w:r w:rsidRPr="00EC1A78">
        <w:rPr>
          <w:rFonts w:eastAsiaTheme="minorHAnsi"/>
          <w:sz w:val="22"/>
          <w:szCs w:val="22"/>
          <w:lang w:eastAsia="en-US"/>
        </w:rPr>
        <w:t>а</w:t>
      </w:r>
      <w:r w:rsidRPr="00EC1A78">
        <w:rPr>
          <w:rFonts w:eastAsiaTheme="minorHAnsi"/>
          <w:sz w:val="22"/>
          <w:szCs w:val="22"/>
          <w:lang w:eastAsia="en-US"/>
        </w:rPr>
        <w:t>тельства можно сформулировать следующее определение. Конст</w:t>
      </w:r>
      <w:r w:rsidRPr="00EC1A78">
        <w:rPr>
          <w:rFonts w:eastAsiaTheme="minorHAnsi"/>
          <w:sz w:val="22"/>
          <w:szCs w:val="22"/>
          <w:lang w:eastAsia="en-US"/>
        </w:rPr>
        <w:t>и</w:t>
      </w:r>
      <w:r w:rsidRPr="00EC1A78">
        <w:rPr>
          <w:rFonts w:eastAsiaTheme="minorHAnsi"/>
          <w:sz w:val="22"/>
          <w:szCs w:val="22"/>
          <w:lang w:eastAsia="en-US"/>
        </w:rPr>
        <w:t xml:space="preserve">туционно–правовая ответственность за нарушения избирательного </w:t>
      </w:r>
      <w:r w:rsidRPr="00EC1A78">
        <w:rPr>
          <w:rFonts w:eastAsiaTheme="minorHAnsi"/>
          <w:sz w:val="22"/>
          <w:szCs w:val="22"/>
          <w:lang w:eastAsia="en-US"/>
        </w:rPr>
        <w:lastRenderedPageBreak/>
        <w:t>законодательства – это особый вид юридической ответственности, которая содержит все характерные признаки, позволяющие отгр</w:t>
      </w:r>
      <w:r w:rsidRPr="00EC1A78">
        <w:rPr>
          <w:rFonts w:eastAsiaTheme="minorHAnsi"/>
          <w:sz w:val="22"/>
          <w:szCs w:val="22"/>
          <w:lang w:eastAsia="en-US"/>
        </w:rPr>
        <w:t>а</w:t>
      </w:r>
      <w:r w:rsidRPr="00EC1A78">
        <w:rPr>
          <w:rFonts w:eastAsiaTheme="minorHAnsi"/>
          <w:sz w:val="22"/>
          <w:szCs w:val="22"/>
          <w:lang w:eastAsia="en-US"/>
        </w:rPr>
        <w:t>ничивать ее от других видов юридической ответственности, также заключающаяся в применении к правонарушителю санкций, уст</w:t>
      </w:r>
      <w:r w:rsidRPr="00EC1A78">
        <w:rPr>
          <w:rFonts w:eastAsiaTheme="minorHAnsi"/>
          <w:sz w:val="22"/>
          <w:szCs w:val="22"/>
          <w:lang w:eastAsia="en-US"/>
        </w:rPr>
        <w:t>а</w:t>
      </w:r>
      <w:r w:rsidRPr="00EC1A78">
        <w:rPr>
          <w:rFonts w:eastAsiaTheme="minorHAnsi"/>
          <w:sz w:val="22"/>
          <w:szCs w:val="22"/>
          <w:lang w:eastAsia="en-US"/>
        </w:rPr>
        <w:t>новленных избирательным</w:t>
      </w:r>
      <w:r w:rsidRPr="00EC1A78">
        <w:rPr>
          <w:rFonts w:eastAsiaTheme="minorHAnsi"/>
          <w:spacing w:val="-1"/>
          <w:sz w:val="22"/>
          <w:szCs w:val="22"/>
          <w:lang w:eastAsia="en-US"/>
        </w:rPr>
        <w:t xml:space="preserve"> </w:t>
      </w:r>
      <w:r w:rsidRPr="00EC1A78">
        <w:rPr>
          <w:rFonts w:eastAsiaTheme="minorHAnsi"/>
          <w:sz w:val="22"/>
          <w:szCs w:val="22"/>
          <w:lang w:eastAsia="en-US"/>
        </w:rPr>
        <w:t>законодательством.</w:t>
      </w:r>
    </w:p>
    <w:p w:rsidR="00EC1A78" w:rsidRPr="00EC1A78" w:rsidRDefault="00EC1A78" w:rsidP="00EC1A78">
      <w:pP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w:t>
      </w:r>
      <w:r w:rsidRPr="00EC1A78">
        <w:rPr>
          <w:rFonts w:eastAsiaTheme="minorHAnsi"/>
          <w:spacing w:val="-3"/>
          <w:sz w:val="22"/>
          <w:szCs w:val="22"/>
          <w:lang w:eastAsia="en-US"/>
        </w:rPr>
        <w:t xml:space="preserve"> </w:t>
      </w:r>
      <w:r w:rsidRPr="00EC1A78">
        <w:rPr>
          <w:rFonts w:eastAsiaTheme="minorHAnsi"/>
          <w:sz w:val="22"/>
          <w:szCs w:val="22"/>
          <w:lang w:eastAsia="en-US"/>
        </w:rPr>
        <w:t>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Основы избирательного права и процесса: учеб. пособие / С.А. Трыканова. Рязань, Ряз. гос. ун–т им. С.А. Есенина,</w:t>
      </w:r>
      <w:r w:rsidRPr="00EC1A78">
        <w:rPr>
          <w:rFonts w:eastAsiaTheme="minorHAnsi"/>
          <w:spacing w:val="-9"/>
          <w:sz w:val="22"/>
          <w:szCs w:val="22"/>
          <w:lang w:eastAsia="en-US"/>
        </w:rPr>
        <w:t xml:space="preserve"> </w:t>
      </w:r>
      <w:r w:rsidRPr="00EC1A78">
        <w:rPr>
          <w:rFonts w:eastAsiaTheme="minorHAnsi"/>
          <w:sz w:val="22"/>
          <w:szCs w:val="22"/>
          <w:lang w:eastAsia="en-US"/>
        </w:rPr>
        <w:t>2010.</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Савченко М.С., Кадлец В.А. Правовое регулирование и пра</w:t>
      </w:r>
      <w:r w:rsidRPr="00EC1A78">
        <w:rPr>
          <w:rFonts w:eastAsiaTheme="minorHAnsi"/>
          <w:sz w:val="22"/>
          <w:szCs w:val="22"/>
          <w:lang w:eastAsia="en-US"/>
        </w:rPr>
        <w:t>к</w:t>
      </w:r>
      <w:r w:rsidRPr="00EC1A78">
        <w:rPr>
          <w:rFonts w:eastAsiaTheme="minorHAnsi"/>
          <w:sz w:val="22"/>
          <w:szCs w:val="22"/>
          <w:lang w:eastAsia="en-US"/>
        </w:rPr>
        <w:t>тика электронного голосования в зарубежных странах // Научный журнал КубГАУ. 2016. №</w:t>
      </w:r>
      <w:r w:rsidRPr="00EC1A78">
        <w:rPr>
          <w:rFonts w:eastAsiaTheme="minorHAnsi"/>
          <w:spacing w:val="-3"/>
          <w:sz w:val="22"/>
          <w:szCs w:val="22"/>
          <w:lang w:eastAsia="en-US"/>
        </w:rPr>
        <w:t xml:space="preserve"> </w:t>
      </w:r>
      <w:r w:rsidRPr="00EC1A78">
        <w:rPr>
          <w:rFonts w:eastAsiaTheme="minorHAnsi"/>
          <w:sz w:val="22"/>
          <w:szCs w:val="22"/>
          <w:lang w:eastAsia="en-US"/>
        </w:rPr>
        <w:t>117(03).</w:t>
      </w:r>
    </w:p>
    <w:p w:rsidR="00C86D06" w:rsidRDefault="00C86D06" w:rsidP="0042549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eastAsia="Arial Unicode MS"/>
          <w:color w:val="000000"/>
          <w:sz w:val="22"/>
          <w:szCs w:val="22"/>
          <w:bdr w:val="nil"/>
        </w:rPr>
      </w:pPr>
    </w:p>
    <w:p w:rsidR="00163DEF" w:rsidRDefault="00163DEF" w:rsidP="0042549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eastAsia="Arial Unicode MS"/>
          <w:color w:val="000000"/>
          <w:sz w:val="22"/>
          <w:szCs w:val="22"/>
          <w:bdr w:val="nil"/>
        </w:rPr>
      </w:pPr>
    </w:p>
    <w:p w:rsidR="00163DEF" w:rsidRPr="00EC1A78" w:rsidRDefault="00163DEF" w:rsidP="0042549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eastAsia="Arial Unicode MS"/>
          <w:color w:val="000000"/>
          <w:sz w:val="22"/>
          <w:szCs w:val="22"/>
          <w:bdr w:val="nil"/>
        </w:rPr>
      </w:pPr>
    </w:p>
    <w:p w:rsidR="00EC1A78" w:rsidRDefault="00EC1A78" w:rsidP="00EC1A78">
      <w:pPr>
        <w:rPr>
          <w:rFonts w:eastAsiaTheme="minorHAnsi"/>
          <w:sz w:val="22"/>
          <w:szCs w:val="22"/>
          <w:lang w:eastAsia="en-US"/>
        </w:rPr>
      </w:pPr>
      <w:r w:rsidRPr="00EC1A78">
        <w:rPr>
          <w:rFonts w:eastAsiaTheme="minorHAnsi"/>
          <w:sz w:val="22"/>
          <w:szCs w:val="22"/>
          <w:lang w:eastAsia="en-US"/>
        </w:rPr>
        <w:t>УДК 343.34</w:t>
      </w:r>
    </w:p>
    <w:p w:rsidR="00425497" w:rsidRPr="00EC1A78" w:rsidRDefault="00425497" w:rsidP="00EC1A78">
      <w:pPr>
        <w:rPr>
          <w:rFonts w:eastAsiaTheme="minorHAnsi"/>
          <w:sz w:val="22"/>
          <w:szCs w:val="22"/>
          <w:lang w:eastAsia="en-US"/>
        </w:rPr>
      </w:pPr>
    </w:p>
    <w:p w:rsidR="00EC1A78" w:rsidRPr="00EC1A78" w:rsidRDefault="00EC1A78" w:rsidP="00C86D06">
      <w:pPr>
        <w:jc w:val="center"/>
        <w:rPr>
          <w:rFonts w:eastAsiaTheme="minorHAnsi"/>
          <w:b/>
          <w:sz w:val="24"/>
          <w:szCs w:val="24"/>
          <w:lang w:eastAsia="en-US"/>
        </w:rPr>
      </w:pPr>
      <w:r w:rsidRPr="00EC1A78">
        <w:rPr>
          <w:rFonts w:eastAsiaTheme="minorHAnsi"/>
          <w:b/>
          <w:sz w:val="24"/>
          <w:szCs w:val="24"/>
          <w:lang w:eastAsia="en-US"/>
        </w:rPr>
        <w:t>Актуальные проблемы квалификации пособничества за преступления террористической направленности</w:t>
      </w:r>
    </w:p>
    <w:p w:rsidR="00EC1A78" w:rsidRPr="001C6F5C" w:rsidRDefault="00EC1A78" w:rsidP="00C86D06">
      <w:pPr>
        <w:jc w:val="center"/>
        <w:rPr>
          <w:rFonts w:eastAsiaTheme="minorHAnsi"/>
          <w:b/>
          <w:sz w:val="24"/>
          <w:szCs w:val="24"/>
          <w:lang w:eastAsia="en-US"/>
        </w:rPr>
      </w:pPr>
      <w:r w:rsidRPr="00EC1A78">
        <w:rPr>
          <w:rFonts w:eastAsiaTheme="minorHAnsi"/>
          <w:b/>
          <w:sz w:val="24"/>
          <w:szCs w:val="24"/>
          <w:lang w:val="en-US" w:eastAsia="en-US"/>
        </w:rPr>
        <w:t>Actual</w:t>
      </w:r>
      <w:r w:rsidRPr="001C6F5C">
        <w:rPr>
          <w:rFonts w:eastAsiaTheme="minorHAnsi"/>
          <w:b/>
          <w:sz w:val="24"/>
          <w:szCs w:val="24"/>
          <w:lang w:eastAsia="en-US"/>
        </w:rPr>
        <w:t xml:space="preserve"> </w:t>
      </w:r>
      <w:r w:rsidRPr="00EC1A78">
        <w:rPr>
          <w:rFonts w:eastAsiaTheme="minorHAnsi"/>
          <w:b/>
          <w:sz w:val="24"/>
          <w:szCs w:val="24"/>
          <w:lang w:val="en-US" w:eastAsia="en-US"/>
        </w:rPr>
        <w:t>problems</w:t>
      </w:r>
      <w:r w:rsidRPr="001C6F5C">
        <w:rPr>
          <w:rFonts w:eastAsiaTheme="minorHAnsi"/>
          <w:b/>
          <w:sz w:val="24"/>
          <w:szCs w:val="24"/>
          <w:lang w:eastAsia="en-US"/>
        </w:rPr>
        <w:t xml:space="preserve"> </w:t>
      </w:r>
      <w:r w:rsidRPr="00EC1A78">
        <w:rPr>
          <w:rFonts w:eastAsiaTheme="minorHAnsi"/>
          <w:b/>
          <w:sz w:val="24"/>
          <w:szCs w:val="24"/>
          <w:lang w:val="en-US" w:eastAsia="en-US"/>
        </w:rPr>
        <w:t>of</w:t>
      </w:r>
      <w:r w:rsidRPr="001C6F5C">
        <w:rPr>
          <w:rFonts w:eastAsiaTheme="minorHAnsi"/>
          <w:b/>
          <w:sz w:val="24"/>
          <w:szCs w:val="24"/>
          <w:lang w:eastAsia="en-US"/>
        </w:rPr>
        <w:t xml:space="preserve"> </w:t>
      </w:r>
      <w:r w:rsidRPr="00EC1A78">
        <w:rPr>
          <w:rFonts w:eastAsiaTheme="minorHAnsi"/>
          <w:b/>
          <w:sz w:val="24"/>
          <w:szCs w:val="24"/>
          <w:lang w:val="en-US" w:eastAsia="en-US"/>
        </w:rPr>
        <w:t>qualification</w:t>
      </w:r>
      <w:r w:rsidRPr="001C6F5C">
        <w:rPr>
          <w:rFonts w:eastAsiaTheme="minorHAnsi"/>
          <w:b/>
          <w:sz w:val="24"/>
          <w:szCs w:val="24"/>
          <w:lang w:eastAsia="en-US"/>
        </w:rPr>
        <w:t xml:space="preserve"> </w:t>
      </w:r>
      <w:r w:rsidRPr="00EC1A78">
        <w:rPr>
          <w:rFonts w:eastAsiaTheme="minorHAnsi"/>
          <w:b/>
          <w:sz w:val="24"/>
          <w:szCs w:val="24"/>
          <w:lang w:val="en-US" w:eastAsia="en-US"/>
        </w:rPr>
        <w:t>of</w:t>
      </w:r>
      <w:r w:rsidRPr="001C6F5C">
        <w:rPr>
          <w:rFonts w:eastAsiaTheme="minorHAnsi"/>
          <w:b/>
          <w:sz w:val="24"/>
          <w:szCs w:val="24"/>
          <w:lang w:eastAsia="en-US"/>
        </w:rPr>
        <w:t xml:space="preserve"> </w:t>
      </w:r>
      <w:r w:rsidRPr="00EC1A78">
        <w:rPr>
          <w:rFonts w:eastAsiaTheme="minorHAnsi"/>
          <w:b/>
          <w:sz w:val="24"/>
          <w:szCs w:val="24"/>
          <w:lang w:val="en-US" w:eastAsia="en-US"/>
        </w:rPr>
        <w:t>complicity</w:t>
      </w:r>
      <w:r w:rsidRPr="001C6F5C">
        <w:rPr>
          <w:rFonts w:eastAsiaTheme="minorHAnsi"/>
          <w:b/>
          <w:sz w:val="24"/>
          <w:szCs w:val="24"/>
          <w:lang w:eastAsia="en-US"/>
        </w:rPr>
        <w:t xml:space="preserve"> </w:t>
      </w:r>
      <w:r w:rsidRPr="00EC1A78">
        <w:rPr>
          <w:rFonts w:eastAsiaTheme="minorHAnsi"/>
          <w:b/>
          <w:sz w:val="24"/>
          <w:szCs w:val="24"/>
          <w:lang w:val="en-US" w:eastAsia="en-US"/>
        </w:rPr>
        <w:t>for</w:t>
      </w:r>
      <w:r w:rsidRPr="001C6F5C">
        <w:rPr>
          <w:rFonts w:eastAsiaTheme="minorHAnsi"/>
          <w:b/>
          <w:sz w:val="24"/>
          <w:szCs w:val="24"/>
          <w:lang w:eastAsia="en-US"/>
        </w:rPr>
        <w:t xml:space="preserve"> </w:t>
      </w:r>
      <w:r w:rsidRPr="00EC1A78">
        <w:rPr>
          <w:rFonts w:eastAsiaTheme="minorHAnsi"/>
          <w:b/>
          <w:sz w:val="24"/>
          <w:szCs w:val="24"/>
          <w:lang w:val="en-US" w:eastAsia="en-US"/>
        </w:rPr>
        <w:t>crimes</w:t>
      </w:r>
      <w:r w:rsidRPr="001C6F5C">
        <w:rPr>
          <w:rFonts w:eastAsiaTheme="minorHAnsi"/>
          <w:b/>
          <w:sz w:val="24"/>
          <w:szCs w:val="24"/>
          <w:lang w:eastAsia="en-US"/>
        </w:rPr>
        <w:t xml:space="preserve"> </w:t>
      </w:r>
      <w:r w:rsidR="00C86D06" w:rsidRPr="001C6F5C">
        <w:rPr>
          <w:rFonts w:eastAsiaTheme="minorHAnsi"/>
          <w:b/>
          <w:sz w:val="24"/>
          <w:szCs w:val="24"/>
          <w:lang w:eastAsia="en-US"/>
        </w:rPr>
        <w:br/>
      </w:r>
      <w:r w:rsidRPr="00EC1A78">
        <w:rPr>
          <w:rFonts w:eastAsiaTheme="minorHAnsi"/>
          <w:b/>
          <w:sz w:val="24"/>
          <w:szCs w:val="24"/>
          <w:lang w:val="en-US" w:eastAsia="en-US"/>
        </w:rPr>
        <w:t>of</w:t>
      </w:r>
      <w:r w:rsidRPr="001C6F5C">
        <w:rPr>
          <w:rFonts w:eastAsiaTheme="minorHAnsi"/>
          <w:b/>
          <w:sz w:val="24"/>
          <w:szCs w:val="24"/>
          <w:lang w:eastAsia="en-US"/>
        </w:rPr>
        <w:t xml:space="preserve"> </w:t>
      </w:r>
      <w:r w:rsidRPr="00EC1A78">
        <w:rPr>
          <w:rFonts w:eastAsiaTheme="minorHAnsi"/>
          <w:b/>
          <w:sz w:val="24"/>
          <w:szCs w:val="24"/>
          <w:lang w:val="en-US" w:eastAsia="en-US"/>
        </w:rPr>
        <w:t>terrorism</w:t>
      </w:r>
    </w:p>
    <w:p w:rsidR="00EC1A78" w:rsidRPr="001C6F5C" w:rsidRDefault="00EC1A78" w:rsidP="00EC1A78">
      <w:pPr>
        <w:ind w:firstLine="425"/>
        <w:jc w:val="center"/>
        <w:rPr>
          <w:rFonts w:eastAsiaTheme="minorHAnsi"/>
          <w:b/>
          <w:sz w:val="24"/>
          <w:szCs w:val="22"/>
          <w:lang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Подолянко А.</w:t>
      </w:r>
      <w:r w:rsidR="00C86D0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 4–го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center"/>
        <w:rPr>
          <w:rFonts w:eastAsiaTheme="minorHAnsi"/>
          <w:b/>
          <w:sz w:val="24"/>
          <w:szCs w:val="22"/>
          <w:lang w:eastAsia="en-US"/>
        </w:rPr>
      </w:pPr>
    </w:p>
    <w:p w:rsidR="00EC1A78" w:rsidRPr="00EC1A78" w:rsidRDefault="00EC1A78" w:rsidP="00EC1A78">
      <w:pPr>
        <w:ind w:firstLine="425"/>
        <w:jc w:val="both"/>
        <w:rPr>
          <w:rFonts w:eastAsiaTheme="minorHAnsi"/>
          <w:b/>
          <w:sz w:val="22"/>
          <w:szCs w:val="22"/>
          <w:lang w:eastAsia="en-US"/>
        </w:rPr>
      </w:pPr>
      <w:r w:rsidRPr="00EC1A78">
        <w:rPr>
          <w:rFonts w:eastAsiaTheme="minorHAnsi"/>
          <w:sz w:val="22"/>
          <w:szCs w:val="22"/>
          <w:lang w:eastAsia="en-US"/>
        </w:rPr>
        <w:t>АННОТАЦИЯ</w:t>
      </w:r>
      <w:r w:rsidRPr="00EC1A78">
        <w:rPr>
          <w:rFonts w:eastAsiaTheme="minorHAnsi"/>
          <w:i/>
          <w:sz w:val="22"/>
          <w:szCs w:val="22"/>
          <w:lang w:eastAsia="en-US"/>
        </w:rPr>
        <w:t>:</w:t>
      </w:r>
      <w:r w:rsidRPr="00EC1A78">
        <w:rPr>
          <w:rFonts w:eastAsiaTheme="minorHAnsi"/>
          <w:b/>
          <w:i/>
          <w:sz w:val="22"/>
          <w:szCs w:val="22"/>
          <w:lang w:eastAsia="en-US"/>
        </w:rPr>
        <w:t xml:space="preserve"> </w:t>
      </w:r>
      <w:r w:rsidR="00C86D06">
        <w:rPr>
          <w:rFonts w:eastAsiaTheme="minorHAnsi"/>
          <w:sz w:val="22"/>
          <w:szCs w:val="22"/>
          <w:lang w:eastAsia="en-US"/>
        </w:rPr>
        <w:t>В</w:t>
      </w:r>
      <w:r w:rsidRPr="00EC1A78">
        <w:rPr>
          <w:rFonts w:eastAsiaTheme="minorHAnsi"/>
          <w:sz w:val="22"/>
          <w:szCs w:val="22"/>
          <w:lang w:eastAsia="en-US"/>
        </w:rPr>
        <w:t xml:space="preserve"> данной статье рассмотрены проблемные в</w:t>
      </w:r>
      <w:r w:rsidRPr="00EC1A78">
        <w:rPr>
          <w:rFonts w:eastAsiaTheme="minorHAnsi"/>
          <w:sz w:val="22"/>
          <w:szCs w:val="22"/>
          <w:lang w:eastAsia="en-US"/>
        </w:rPr>
        <w:t>о</w:t>
      </w:r>
      <w:r w:rsidRPr="00EC1A78">
        <w:rPr>
          <w:rFonts w:eastAsiaTheme="minorHAnsi"/>
          <w:sz w:val="22"/>
          <w:szCs w:val="22"/>
          <w:lang w:eastAsia="en-US"/>
        </w:rPr>
        <w:t>просы применения статьи 205 и 205.1 УК РФ. Выявлена и обосн</w:t>
      </w:r>
      <w:r w:rsidRPr="00EC1A78">
        <w:rPr>
          <w:rFonts w:eastAsiaTheme="minorHAnsi"/>
          <w:sz w:val="22"/>
          <w:szCs w:val="22"/>
          <w:lang w:eastAsia="en-US"/>
        </w:rPr>
        <w:t>о</w:t>
      </w:r>
      <w:r w:rsidRPr="00EC1A78">
        <w:rPr>
          <w:rFonts w:eastAsiaTheme="minorHAnsi"/>
          <w:sz w:val="22"/>
          <w:szCs w:val="22"/>
          <w:lang w:eastAsia="en-US"/>
        </w:rPr>
        <w:t>вана необходимость отмены статьи 205.1 и других составов УК РФ. На основе проведенного исследования автором предлагается внес</w:t>
      </w:r>
      <w:r w:rsidRPr="00EC1A78">
        <w:rPr>
          <w:rFonts w:eastAsiaTheme="minorHAnsi"/>
          <w:sz w:val="22"/>
          <w:szCs w:val="22"/>
          <w:lang w:eastAsia="en-US"/>
        </w:rPr>
        <w:t>е</w:t>
      </w:r>
      <w:r w:rsidRPr="00EC1A78">
        <w:rPr>
          <w:rFonts w:eastAsiaTheme="minorHAnsi"/>
          <w:sz w:val="22"/>
          <w:szCs w:val="22"/>
          <w:lang w:eastAsia="en-US"/>
        </w:rPr>
        <w:t>ние изменений в ч.5 ст. 33 УК РФ и дальнейшая ее реализация на практике.</w:t>
      </w:r>
    </w:p>
    <w:p w:rsidR="00EC1A78" w:rsidRPr="00EC1A78" w:rsidRDefault="00C86D06" w:rsidP="00EC1A78">
      <w:pPr>
        <w:ind w:firstLine="425"/>
        <w:jc w:val="both"/>
        <w:rPr>
          <w:rFonts w:eastAsiaTheme="minorHAnsi"/>
          <w:sz w:val="22"/>
          <w:szCs w:val="22"/>
          <w:lang w:val="en-US" w:eastAsia="en-US"/>
        </w:rPr>
      </w:pPr>
      <w:r>
        <w:rPr>
          <w:rFonts w:eastAsiaTheme="minorHAnsi"/>
          <w:sz w:val="22"/>
          <w:szCs w:val="22"/>
          <w:lang w:val="en-US" w:eastAsia="en-US"/>
        </w:rPr>
        <w:t>ABSTRACT: I</w:t>
      </w:r>
      <w:r w:rsidR="00EC1A78" w:rsidRPr="00EC1A78">
        <w:rPr>
          <w:rFonts w:eastAsiaTheme="minorHAnsi"/>
          <w:sz w:val="22"/>
          <w:szCs w:val="22"/>
          <w:lang w:val="en-US" w:eastAsia="en-US"/>
        </w:rPr>
        <w:t>n this article, the problematic issues of the applic</w:t>
      </w:r>
      <w:r w:rsidR="00EC1A78" w:rsidRPr="00EC1A78">
        <w:rPr>
          <w:rFonts w:eastAsiaTheme="minorHAnsi"/>
          <w:sz w:val="22"/>
          <w:szCs w:val="22"/>
          <w:lang w:val="en-US" w:eastAsia="en-US"/>
        </w:rPr>
        <w:t>a</w:t>
      </w:r>
      <w:r w:rsidR="00EC1A78" w:rsidRPr="00EC1A78">
        <w:rPr>
          <w:rFonts w:eastAsiaTheme="minorHAnsi"/>
          <w:sz w:val="22"/>
          <w:szCs w:val="22"/>
          <w:lang w:val="en-US" w:eastAsia="en-US"/>
        </w:rPr>
        <w:t>tion of articles 205 and 205.1 of the Criminal Code of the Russian Fe</w:t>
      </w:r>
      <w:r w:rsidR="00EC1A78" w:rsidRPr="00EC1A78">
        <w:rPr>
          <w:rFonts w:eastAsiaTheme="minorHAnsi"/>
          <w:sz w:val="22"/>
          <w:szCs w:val="22"/>
          <w:lang w:val="en-US" w:eastAsia="en-US"/>
        </w:rPr>
        <w:t>d</w:t>
      </w:r>
      <w:r w:rsidR="00EC1A78" w:rsidRPr="00EC1A78">
        <w:rPr>
          <w:rFonts w:eastAsiaTheme="minorHAnsi"/>
          <w:sz w:val="22"/>
          <w:szCs w:val="22"/>
          <w:lang w:val="en-US" w:eastAsia="en-US"/>
        </w:rPr>
        <w:t xml:space="preserve">eration are considered. The necessity of repealing Article 205.1 and other components of the Criminal Code of the Russian Federation has been </w:t>
      </w:r>
      <w:r w:rsidR="00EC1A78" w:rsidRPr="00EC1A78">
        <w:rPr>
          <w:rFonts w:eastAsiaTheme="minorHAnsi"/>
          <w:sz w:val="22"/>
          <w:szCs w:val="22"/>
          <w:lang w:val="en-US" w:eastAsia="en-US"/>
        </w:rPr>
        <w:lastRenderedPageBreak/>
        <w:t>identified and substantiated. Based on the study, the author proposes the introduction of changes in Part 5 of Art. 33 of the Criminal Code of the Russian Federation and its further implementation in practice.</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w:t>
      </w:r>
      <w:r w:rsidRPr="00EC1A78">
        <w:rPr>
          <w:rFonts w:eastAsiaTheme="minorHAnsi"/>
          <w:b/>
          <w:i/>
          <w:sz w:val="22"/>
          <w:szCs w:val="22"/>
          <w:lang w:eastAsia="en-US"/>
        </w:rPr>
        <w:t xml:space="preserve"> </w:t>
      </w:r>
      <w:r w:rsidRPr="00EC1A78">
        <w:rPr>
          <w:rFonts w:eastAsiaTheme="minorHAnsi"/>
          <w:sz w:val="22"/>
          <w:szCs w:val="22"/>
          <w:lang w:eastAsia="en-US"/>
        </w:rPr>
        <w:t>пособничество, уголовная ответстве</w:t>
      </w:r>
      <w:r w:rsidRPr="00EC1A78">
        <w:rPr>
          <w:rFonts w:eastAsiaTheme="minorHAnsi"/>
          <w:sz w:val="22"/>
          <w:szCs w:val="22"/>
          <w:lang w:eastAsia="en-US"/>
        </w:rPr>
        <w:t>н</w:t>
      </w:r>
      <w:r w:rsidRPr="00EC1A78">
        <w:rPr>
          <w:rFonts w:eastAsiaTheme="minorHAnsi"/>
          <w:sz w:val="22"/>
          <w:szCs w:val="22"/>
          <w:lang w:eastAsia="en-US"/>
        </w:rPr>
        <w:t>ность, соучастие, террористический акт.</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complicity, criminal responsibility, complicity, te</w:t>
      </w:r>
      <w:r w:rsidRPr="00EC1A78">
        <w:rPr>
          <w:rFonts w:eastAsiaTheme="minorHAnsi"/>
          <w:sz w:val="22"/>
          <w:szCs w:val="22"/>
          <w:lang w:val="en-US" w:eastAsia="en-US"/>
        </w:rPr>
        <w:t>r</w:t>
      </w:r>
      <w:r w:rsidRPr="00EC1A78">
        <w:rPr>
          <w:rFonts w:eastAsiaTheme="minorHAnsi"/>
          <w:sz w:val="22"/>
          <w:szCs w:val="22"/>
          <w:lang w:val="en-US" w:eastAsia="en-US"/>
        </w:rPr>
        <w:t>rorist act.</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Современные преобразования преступности, ее интеграция в рамках отдельных территорий и на международном уровне выз</w:t>
      </w:r>
      <w:r w:rsidRPr="00EC1A78">
        <w:rPr>
          <w:rFonts w:eastAsiaTheme="minorHAnsi"/>
          <w:sz w:val="22"/>
          <w:szCs w:val="22"/>
          <w:lang w:eastAsia="en-US"/>
        </w:rPr>
        <w:t>ы</w:t>
      </w:r>
      <w:r w:rsidRPr="00EC1A78">
        <w:rPr>
          <w:rFonts w:eastAsiaTheme="minorHAnsi"/>
          <w:sz w:val="22"/>
          <w:szCs w:val="22"/>
          <w:lang w:eastAsia="en-US"/>
        </w:rPr>
        <w:t>вают тревогу и общественные переживания по поводу обеспечения государственной и общественной безопасности.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Актуальным считаем рассмотрение вопросов, связанных с применением института соучастия в преступлениях террористич</w:t>
      </w:r>
      <w:r w:rsidRPr="00EC1A78">
        <w:rPr>
          <w:rFonts w:eastAsiaTheme="minorHAnsi"/>
          <w:sz w:val="22"/>
          <w:szCs w:val="22"/>
          <w:lang w:eastAsia="en-US"/>
        </w:rPr>
        <w:t>е</w:t>
      </w:r>
      <w:r w:rsidRPr="00EC1A78">
        <w:rPr>
          <w:rFonts w:eastAsiaTheme="minorHAnsi"/>
          <w:sz w:val="22"/>
          <w:szCs w:val="22"/>
          <w:lang w:eastAsia="en-US"/>
        </w:rPr>
        <w:t>ской направленности, так как совершение таких преступлений начинается со стадии приготовления и участия в нем не менее двух лиц с определенными между ними ролями, один из которых посо</w:t>
      </w:r>
      <w:r w:rsidRPr="00EC1A78">
        <w:rPr>
          <w:rFonts w:eastAsiaTheme="minorHAnsi"/>
          <w:sz w:val="22"/>
          <w:szCs w:val="22"/>
          <w:lang w:eastAsia="en-US"/>
        </w:rPr>
        <w:t>б</w:t>
      </w:r>
      <w:r w:rsidRPr="00EC1A78">
        <w:rPr>
          <w:rFonts w:eastAsiaTheme="minorHAnsi"/>
          <w:sz w:val="22"/>
          <w:szCs w:val="22"/>
          <w:lang w:eastAsia="en-US"/>
        </w:rPr>
        <w:t>ник. Важным является то, что пособничество может реализоваться как в пределах подготовительной части преступной деятельности, так и выходить за эти пределы, обеспечивая, тем самым, реализ</w:t>
      </w:r>
      <w:r w:rsidRPr="00EC1A78">
        <w:rPr>
          <w:rFonts w:eastAsiaTheme="minorHAnsi"/>
          <w:sz w:val="22"/>
          <w:szCs w:val="22"/>
          <w:lang w:eastAsia="en-US"/>
        </w:rPr>
        <w:t>а</w:t>
      </w:r>
      <w:r w:rsidRPr="00EC1A78">
        <w:rPr>
          <w:rFonts w:eastAsiaTheme="minorHAnsi"/>
          <w:sz w:val="22"/>
          <w:szCs w:val="22"/>
          <w:lang w:eastAsia="en-US"/>
        </w:rPr>
        <w:t>цию задуманного соучастниками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Пособничество – это один из видов соучастия в любом умы</w:t>
      </w:r>
      <w:r w:rsidRPr="00EC1A78">
        <w:rPr>
          <w:rFonts w:eastAsiaTheme="minorHAnsi"/>
          <w:sz w:val="22"/>
          <w:szCs w:val="22"/>
          <w:lang w:eastAsia="en-US"/>
        </w:rPr>
        <w:t>ш</w:t>
      </w:r>
      <w:r w:rsidRPr="00EC1A78">
        <w:rPr>
          <w:rFonts w:eastAsiaTheme="minorHAnsi"/>
          <w:sz w:val="22"/>
          <w:szCs w:val="22"/>
          <w:lang w:eastAsia="en-US"/>
        </w:rPr>
        <w:t>ленном преступлении, которое влечет уголовную ответственность независимо от того, выделена она в отдельный состав преступления в статье Особенной части УК РФ или нет.  То есть, раньше, до д</w:t>
      </w:r>
      <w:r w:rsidRPr="00EC1A78">
        <w:rPr>
          <w:rFonts w:eastAsiaTheme="minorHAnsi"/>
          <w:sz w:val="22"/>
          <w:szCs w:val="22"/>
          <w:lang w:eastAsia="en-US"/>
        </w:rPr>
        <w:t>о</w:t>
      </w:r>
      <w:r w:rsidRPr="00EC1A78">
        <w:rPr>
          <w:rFonts w:eastAsiaTheme="minorHAnsi"/>
          <w:sz w:val="22"/>
          <w:szCs w:val="22"/>
          <w:lang w:eastAsia="en-US"/>
        </w:rPr>
        <w:t>полнения ст. 205.1 УК РФ ч.3, ответственность пособника за пр</w:t>
      </w:r>
      <w:r w:rsidRPr="00EC1A78">
        <w:rPr>
          <w:rFonts w:eastAsiaTheme="minorHAnsi"/>
          <w:sz w:val="22"/>
          <w:szCs w:val="22"/>
          <w:lang w:eastAsia="en-US"/>
        </w:rPr>
        <w:t>е</w:t>
      </w:r>
      <w:r w:rsidRPr="00EC1A78">
        <w:rPr>
          <w:rFonts w:eastAsiaTheme="minorHAnsi"/>
          <w:sz w:val="22"/>
          <w:szCs w:val="22"/>
          <w:lang w:eastAsia="en-US"/>
        </w:rPr>
        <w:t>ступление террористического характера квалифицировалась также, как и ответственность исполнителя, но делалась ссылка на ч.5 ст. 33 УК РФ. Такая квалификация позволяла суду, при вынесении приг</w:t>
      </w:r>
      <w:r w:rsidRPr="00EC1A78">
        <w:rPr>
          <w:rFonts w:eastAsiaTheme="minorHAnsi"/>
          <w:sz w:val="22"/>
          <w:szCs w:val="22"/>
          <w:lang w:eastAsia="en-US"/>
        </w:rPr>
        <w:t>о</w:t>
      </w:r>
      <w:r w:rsidRPr="00EC1A78">
        <w:rPr>
          <w:rFonts w:eastAsiaTheme="minorHAnsi"/>
          <w:sz w:val="22"/>
          <w:szCs w:val="22"/>
          <w:lang w:eastAsia="en-US"/>
        </w:rPr>
        <w:t>вора, учесть фактический характер и степень общественной опасн</w:t>
      </w:r>
      <w:r w:rsidRPr="00EC1A78">
        <w:rPr>
          <w:rFonts w:eastAsiaTheme="minorHAnsi"/>
          <w:sz w:val="22"/>
          <w:szCs w:val="22"/>
          <w:lang w:eastAsia="en-US"/>
        </w:rPr>
        <w:t>о</w:t>
      </w:r>
      <w:r w:rsidRPr="00EC1A78">
        <w:rPr>
          <w:rFonts w:eastAsiaTheme="minorHAnsi"/>
          <w:sz w:val="22"/>
          <w:szCs w:val="22"/>
          <w:lang w:eastAsia="en-US"/>
        </w:rPr>
        <w:t>сти действий пособника вместе с конкретным видом террористич</w:t>
      </w:r>
      <w:r w:rsidRPr="00EC1A78">
        <w:rPr>
          <w:rFonts w:eastAsiaTheme="minorHAnsi"/>
          <w:sz w:val="22"/>
          <w:szCs w:val="22"/>
          <w:lang w:eastAsia="en-US"/>
        </w:rPr>
        <w:t>е</w:t>
      </w:r>
      <w:r w:rsidRPr="00EC1A78">
        <w:rPr>
          <w:rFonts w:eastAsiaTheme="minorHAnsi"/>
          <w:sz w:val="22"/>
          <w:szCs w:val="22"/>
          <w:lang w:eastAsia="en-US"/>
        </w:rPr>
        <w:t>ского акта. А в нынешнее время пособничество в совершении пр</w:t>
      </w:r>
      <w:r w:rsidRPr="00EC1A78">
        <w:rPr>
          <w:rFonts w:eastAsiaTheme="minorHAnsi"/>
          <w:sz w:val="22"/>
          <w:szCs w:val="22"/>
          <w:lang w:eastAsia="en-US"/>
        </w:rPr>
        <w:t>е</w:t>
      </w:r>
      <w:r w:rsidRPr="00EC1A78">
        <w:rPr>
          <w:rFonts w:eastAsiaTheme="minorHAnsi"/>
          <w:sz w:val="22"/>
          <w:szCs w:val="22"/>
          <w:lang w:eastAsia="en-US"/>
        </w:rPr>
        <w:t>ступления террористического характера квалифицируется по ч.3 ст. 205.1 УК РФ, что не позволяет суду соотнести ответственность п</w:t>
      </w:r>
      <w:r w:rsidRPr="00EC1A78">
        <w:rPr>
          <w:rFonts w:eastAsiaTheme="minorHAnsi"/>
          <w:sz w:val="22"/>
          <w:szCs w:val="22"/>
          <w:lang w:eastAsia="en-US"/>
        </w:rPr>
        <w:t>о</w:t>
      </w:r>
      <w:r w:rsidRPr="00EC1A78">
        <w:rPr>
          <w:rFonts w:eastAsiaTheme="minorHAnsi"/>
          <w:sz w:val="22"/>
          <w:szCs w:val="22"/>
          <w:lang w:eastAsia="en-US"/>
        </w:rPr>
        <w:t>собника и исполнителя данного преступления.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Пособник в совершении террористического акта, ответстве</w:t>
      </w:r>
      <w:r w:rsidRPr="00EC1A78">
        <w:rPr>
          <w:rFonts w:eastAsiaTheme="minorHAnsi"/>
          <w:sz w:val="22"/>
          <w:szCs w:val="22"/>
          <w:lang w:eastAsia="en-US"/>
        </w:rPr>
        <w:t>н</w:t>
      </w:r>
      <w:r w:rsidRPr="00EC1A78">
        <w:rPr>
          <w:rFonts w:eastAsiaTheme="minorHAnsi"/>
          <w:sz w:val="22"/>
          <w:szCs w:val="22"/>
          <w:lang w:eastAsia="en-US"/>
        </w:rPr>
        <w:t>ность за который предусмотрена ч.1 ст. 205 УК РФ, может понести более суровое наказание, по сравнению с его исполнителем, а п</w:t>
      </w:r>
      <w:r w:rsidRPr="00EC1A78">
        <w:rPr>
          <w:rFonts w:eastAsiaTheme="minorHAnsi"/>
          <w:sz w:val="22"/>
          <w:szCs w:val="22"/>
          <w:lang w:eastAsia="en-US"/>
        </w:rPr>
        <w:t>о</w:t>
      </w:r>
      <w:r w:rsidRPr="00EC1A78">
        <w:rPr>
          <w:rFonts w:eastAsiaTheme="minorHAnsi"/>
          <w:sz w:val="22"/>
          <w:szCs w:val="22"/>
          <w:lang w:eastAsia="en-US"/>
        </w:rPr>
        <w:lastRenderedPageBreak/>
        <w:t>собничество в совершении квалифицированных видов такого пр</w:t>
      </w:r>
      <w:r w:rsidRPr="00EC1A78">
        <w:rPr>
          <w:rFonts w:eastAsiaTheme="minorHAnsi"/>
          <w:sz w:val="22"/>
          <w:szCs w:val="22"/>
          <w:lang w:eastAsia="en-US"/>
        </w:rPr>
        <w:t>е</w:t>
      </w:r>
      <w:r w:rsidRPr="00EC1A78">
        <w:rPr>
          <w:rFonts w:eastAsiaTheme="minorHAnsi"/>
          <w:sz w:val="22"/>
          <w:szCs w:val="22"/>
          <w:lang w:eastAsia="en-US"/>
        </w:rPr>
        <w:t>ступления (имеется в виду ч.2 и ч.3 ст. 205 УК РФ), наоборот, предусматривает более мягкое наказание для пособника. Например, если пособник принимал участие в совершении теракта, повлекш</w:t>
      </w:r>
      <w:r w:rsidRPr="00EC1A78">
        <w:rPr>
          <w:rFonts w:eastAsiaTheme="minorHAnsi"/>
          <w:sz w:val="22"/>
          <w:szCs w:val="22"/>
          <w:lang w:eastAsia="en-US"/>
        </w:rPr>
        <w:t>е</w:t>
      </w:r>
      <w:r w:rsidRPr="00EC1A78">
        <w:rPr>
          <w:rFonts w:eastAsiaTheme="minorHAnsi"/>
          <w:sz w:val="22"/>
          <w:szCs w:val="22"/>
          <w:lang w:eastAsia="en-US"/>
        </w:rPr>
        <w:t>го умышленное причинение смерти человеку, к нему не может быть применено наказание в виде пожизненного лишения свободы, а к исполнителю может быть применено такое наказание.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Установление уголовной ответственности за пособничество в совершении террористического акта в ч.3 ст. 205.1 УК РФ не имеет под собой научной основы, так как противодействие соответств</w:t>
      </w:r>
      <w:r w:rsidRPr="00EC1A78">
        <w:rPr>
          <w:rFonts w:eastAsiaTheme="minorHAnsi"/>
          <w:sz w:val="22"/>
          <w:szCs w:val="22"/>
          <w:lang w:eastAsia="en-US"/>
        </w:rPr>
        <w:t>у</w:t>
      </w:r>
      <w:r w:rsidRPr="00EC1A78">
        <w:rPr>
          <w:rFonts w:eastAsiaTheme="minorHAnsi"/>
          <w:sz w:val="22"/>
          <w:szCs w:val="22"/>
          <w:lang w:eastAsia="en-US"/>
        </w:rPr>
        <w:t>ющим деяниям было более эффективным и без соответствующего дополнения Особенной части УК РФ за счет применения института соучастия в преступлении, который позволяет сравнить и разгран</w:t>
      </w:r>
      <w:r w:rsidRPr="00EC1A78">
        <w:rPr>
          <w:rFonts w:eastAsiaTheme="minorHAnsi"/>
          <w:sz w:val="22"/>
          <w:szCs w:val="22"/>
          <w:lang w:eastAsia="en-US"/>
        </w:rPr>
        <w:t>и</w:t>
      </w:r>
      <w:r w:rsidRPr="00EC1A78">
        <w:rPr>
          <w:rFonts w:eastAsiaTheme="minorHAnsi"/>
          <w:sz w:val="22"/>
          <w:szCs w:val="22"/>
          <w:lang w:eastAsia="en-US"/>
        </w:rPr>
        <w:t>чить ответственность пособника и других соучастников с учетом ответственности исполнителя данного преступления.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Важно отметить, что примечание 1.1 к ст. 205.1 УК РФ и опр</w:t>
      </w:r>
      <w:r w:rsidRPr="00EC1A78">
        <w:rPr>
          <w:rFonts w:eastAsiaTheme="minorHAnsi"/>
          <w:sz w:val="22"/>
          <w:szCs w:val="22"/>
          <w:lang w:eastAsia="en-US"/>
        </w:rPr>
        <w:t>е</w:t>
      </w:r>
      <w:r w:rsidRPr="00EC1A78">
        <w:rPr>
          <w:rFonts w:eastAsiaTheme="minorHAnsi"/>
          <w:sz w:val="22"/>
          <w:szCs w:val="22"/>
          <w:lang w:eastAsia="en-US"/>
        </w:rPr>
        <w:t>деление пособничества в преступлении, содержащееся в ч.5 ст. 33 УК РФ, идентичны. Таким образом дополнение ст. 205.1 УК РФ ч.3, включающей ответственность за пособничество, является бесполе</w:t>
      </w:r>
      <w:r w:rsidRPr="00EC1A78">
        <w:rPr>
          <w:rFonts w:eastAsiaTheme="minorHAnsi"/>
          <w:sz w:val="22"/>
          <w:szCs w:val="22"/>
          <w:lang w:eastAsia="en-US"/>
        </w:rPr>
        <w:t>з</w:t>
      </w:r>
      <w:r w:rsidRPr="00EC1A78">
        <w:rPr>
          <w:rFonts w:eastAsiaTheme="minorHAnsi"/>
          <w:sz w:val="22"/>
          <w:szCs w:val="22"/>
          <w:lang w:eastAsia="en-US"/>
        </w:rPr>
        <w:t>ным уголовно–правовым запретом [1]. Абсолютно то же самое можно сказать о ст. 205.1 УК РФ, так как все указанные в ней де</w:t>
      </w:r>
      <w:r w:rsidRPr="00EC1A78">
        <w:rPr>
          <w:rFonts w:eastAsiaTheme="minorHAnsi"/>
          <w:sz w:val="22"/>
          <w:szCs w:val="22"/>
          <w:lang w:eastAsia="en-US"/>
        </w:rPr>
        <w:t>й</w:t>
      </w:r>
      <w:r w:rsidRPr="00EC1A78">
        <w:rPr>
          <w:rFonts w:eastAsiaTheme="minorHAnsi"/>
          <w:sz w:val="22"/>
          <w:szCs w:val="22"/>
          <w:lang w:eastAsia="en-US"/>
        </w:rPr>
        <w:t>ствия выражаются в виде разновидности соучастия и такие деяния можно квалифицировать по статье Особенной части УК РФ со ссылкой на ч.3, ч.4 или ч.5 ст. 33 УК РФ. Это позволит учесть фа</w:t>
      </w:r>
      <w:r w:rsidRPr="00EC1A78">
        <w:rPr>
          <w:rFonts w:eastAsiaTheme="minorHAnsi"/>
          <w:sz w:val="22"/>
          <w:szCs w:val="22"/>
          <w:lang w:eastAsia="en-US"/>
        </w:rPr>
        <w:t>к</w:t>
      </w:r>
      <w:r w:rsidRPr="00EC1A78">
        <w:rPr>
          <w:rFonts w:eastAsiaTheme="minorHAnsi"/>
          <w:sz w:val="22"/>
          <w:szCs w:val="22"/>
          <w:lang w:eastAsia="en-US"/>
        </w:rPr>
        <w:t>тический характер и степень общественной опасности от соверше</w:t>
      </w:r>
      <w:r w:rsidRPr="00EC1A78">
        <w:rPr>
          <w:rFonts w:eastAsiaTheme="minorHAnsi"/>
          <w:sz w:val="22"/>
          <w:szCs w:val="22"/>
          <w:lang w:eastAsia="en-US"/>
        </w:rPr>
        <w:t>н</w:t>
      </w:r>
      <w:r w:rsidRPr="00EC1A78">
        <w:rPr>
          <w:rFonts w:eastAsiaTheme="minorHAnsi"/>
          <w:sz w:val="22"/>
          <w:szCs w:val="22"/>
          <w:lang w:eastAsia="en-US"/>
        </w:rPr>
        <w:t xml:space="preserve">ного преступления.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основании вышеизложенного правильным будет изложить ч.5 ст. 33 УК РФ так, чтобы перечень видов действий или безде</w:t>
      </w:r>
      <w:r w:rsidRPr="00EC1A78">
        <w:rPr>
          <w:rFonts w:eastAsiaTheme="minorHAnsi"/>
          <w:sz w:val="22"/>
          <w:szCs w:val="22"/>
          <w:lang w:eastAsia="en-US"/>
        </w:rPr>
        <w:t>й</w:t>
      </w:r>
      <w:r w:rsidRPr="00EC1A78">
        <w:rPr>
          <w:rFonts w:eastAsiaTheme="minorHAnsi"/>
          <w:sz w:val="22"/>
          <w:szCs w:val="22"/>
          <w:lang w:eastAsia="en-US"/>
        </w:rPr>
        <w:t>ствий, которые относятся к пособничеству, не являлся исчерпыв</w:t>
      </w:r>
      <w:r w:rsidRPr="00EC1A78">
        <w:rPr>
          <w:rFonts w:eastAsiaTheme="minorHAnsi"/>
          <w:sz w:val="22"/>
          <w:szCs w:val="22"/>
          <w:lang w:eastAsia="en-US"/>
        </w:rPr>
        <w:t>а</w:t>
      </w:r>
      <w:r w:rsidRPr="00EC1A78">
        <w:rPr>
          <w:rFonts w:eastAsiaTheme="minorHAnsi"/>
          <w:sz w:val="22"/>
          <w:szCs w:val="22"/>
          <w:lang w:eastAsia="en-US"/>
        </w:rPr>
        <w:t>ющим. Данное предложение можно воплотить в жизнь посредством дополнения законодательного определения этого вида соучастия в преступлении словосочетанием: «...а равно лицо, иным образом с</w:t>
      </w:r>
      <w:r w:rsidRPr="00EC1A78">
        <w:rPr>
          <w:rFonts w:eastAsiaTheme="minorHAnsi"/>
          <w:sz w:val="22"/>
          <w:szCs w:val="22"/>
          <w:lang w:eastAsia="en-US"/>
        </w:rPr>
        <w:t>у</w:t>
      </w:r>
      <w:r w:rsidRPr="00EC1A78">
        <w:rPr>
          <w:rFonts w:eastAsiaTheme="minorHAnsi"/>
          <w:sz w:val="22"/>
          <w:szCs w:val="22"/>
          <w:lang w:eastAsia="en-US"/>
        </w:rPr>
        <w:t>щественно оказывающее содействие совершению преступления».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Такое дополнение позволит избавиться от избытка специал</w:t>
      </w:r>
      <w:r w:rsidRPr="00EC1A78">
        <w:rPr>
          <w:rFonts w:eastAsiaTheme="minorHAnsi"/>
          <w:sz w:val="22"/>
          <w:szCs w:val="22"/>
          <w:lang w:eastAsia="en-US"/>
        </w:rPr>
        <w:t>ь</w:t>
      </w:r>
      <w:r w:rsidRPr="00EC1A78">
        <w:rPr>
          <w:rFonts w:eastAsiaTheme="minorHAnsi"/>
          <w:sz w:val="22"/>
          <w:szCs w:val="22"/>
          <w:lang w:eastAsia="en-US"/>
        </w:rPr>
        <w:t>ных уголовно–правовых запретов, касающихся пособничества, и позволит соотнести тяжесть ответственности пособника с санкцией статьи Особенной части УК РФ.</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К перечню излишних уголовно–правовых норм на сегодня</w:t>
      </w:r>
      <w:r w:rsidRPr="00EC1A78">
        <w:rPr>
          <w:rFonts w:eastAsiaTheme="minorHAnsi"/>
          <w:sz w:val="22"/>
          <w:szCs w:val="22"/>
          <w:lang w:eastAsia="en-US"/>
        </w:rPr>
        <w:t>ш</w:t>
      </w:r>
      <w:r w:rsidRPr="00EC1A78">
        <w:rPr>
          <w:rFonts w:eastAsiaTheme="minorHAnsi"/>
          <w:sz w:val="22"/>
          <w:szCs w:val="22"/>
          <w:lang w:eastAsia="en-US"/>
        </w:rPr>
        <w:t>ний день можно отнести не только ст. 205.1, но и ч.5 ст. 184, ст. 204.1, 282.3 и 291.1 УК РФ, необходимость в этих статьях отпала бы, если бы внесли дополнение, упомянутое выше в ч.5 ст. 33 УК РФ.</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 xml:space="preserve">1. </w:t>
      </w:r>
      <w:r w:rsidRPr="00EC1A78">
        <w:rPr>
          <w:rFonts w:eastAsiaTheme="minorHAnsi"/>
          <w:color w:val="000000" w:themeColor="text1"/>
          <w:sz w:val="22"/>
          <w:szCs w:val="22"/>
          <w:lang w:eastAsia="en-US"/>
        </w:rPr>
        <w:t xml:space="preserve">Денисюк А.А., Шищенко Е.А., Шульга А.В. </w:t>
      </w:r>
      <w:hyperlink r:id="rId402" w:history="1">
        <w:r w:rsidRPr="00EC1A78">
          <w:rPr>
            <w:rFonts w:eastAsiaTheme="minorHAnsi"/>
            <w:color w:val="000000" w:themeColor="text1"/>
            <w:sz w:val="22"/>
            <w:szCs w:val="22"/>
            <w:lang w:eastAsia="en-US"/>
          </w:rPr>
          <w:t>Проблемы бор</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бы с финансированием</w:t>
        </w:r>
      </w:hyperlink>
      <w:r w:rsidRPr="00EC1A78">
        <w:rPr>
          <w:rFonts w:eastAsiaTheme="minorHAnsi"/>
          <w:color w:val="000000" w:themeColor="text1"/>
          <w:sz w:val="22"/>
          <w:szCs w:val="22"/>
          <w:lang w:eastAsia="en-US"/>
        </w:rPr>
        <w:t xml:space="preserve"> терроризма // </w:t>
      </w:r>
      <w:hyperlink r:id="rId403" w:history="1">
        <w:r w:rsidRPr="00EC1A78">
          <w:rPr>
            <w:rFonts w:eastAsiaTheme="minorHAnsi"/>
            <w:color w:val="000000" w:themeColor="text1"/>
            <w:sz w:val="22"/>
            <w:szCs w:val="22"/>
            <w:lang w:eastAsia="en-US"/>
          </w:rPr>
          <w:t>Электронный научный жу</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eastAsia="en-US"/>
          </w:rPr>
          <w:t>нал</w:t>
        </w:r>
      </w:hyperlink>
      <w:r w:rsidRPr="00EC1A78">
        <w:rPr>
          <w:rFonts w:eastAsiaTheme="minorHAnsi"/>
          <w:color w:val="000000" w:themeColor="text1"/>
          <w:sz w:val="22"/>
          <w:szCs w:val="22"/>
          <w:lang w:eastAsia="en-US"/>
        </w:rPr>
        <w:t>. 2016. </w:t>
      </w:r>
      <w:hyperlink r:id="rId404" w:history="1">
        <w:r w:rsidRPr="00EC1A78">
          <w:rPr>
            <w:rFonts w:eastAsiaTheme="minorHAnsi"/>
            <w:color w:val="000000" w:themeColor="text1"/>
            <w:sz w:val="22"/>
            <w:szCs w:val="22"/>
            <w:lang w:eastAsia="en-US"/>
          </w:rPr>
          <w:t>№ 3 (6)</w:t>
        </w:r>
      </w:hyperlink>
      <w:r w:rsidRPr="00EC1A78">
        <w:rPr>
          <w:rFonts w:eastAsiaTheme="minorHAnsi"/>
          <w:color w:val="000000" w:themeColor="text1"/>
          <w:sz w:val="22"/>
          <w:szCs w:val="22"/>
          <w:lang w:eastAsia="en-US"/>
        </w:rPr>
        <w:t>. С. 334–339.</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2. Сергеев Г.С., Шульга А.В. </w:t>
      </w:r>
      <w:hyperlink r:id="rId405" w:history="1">
        <w:r w:rsidRPr="00EC1A78">
          <w:rPr>
            <w:rFonts w:eastAsiaTheme="minorHAnsi"/>
            <w:color w:val="000000" w:themeColor="text1"/>
            <w:sz w:val="22"/>
            <w:szCs w:val="22"/>
            <w:lang w:eastAsia="en-US"/>
          </w:rPr>
          <w:t>Признаки преступного сообщ</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ства (преступной организации)</w:t>
        </w:r>
      </w:hyperlink>
      <w:r w:rsidRPr="00EC1A78">
        <w:rPr>
          <w:rFonts w:eastAsiaTheme="minorHAnsi"/>
          <w:color w:val="000000" w:themeColor="text1"/>
          <w:sz w:val="22"/>
          <w:szCs w:val="22"/>
          <w:lang w:eastAsia="en-US"/>
        </w:rPr>
        <w:t xml:space="preserve"> // </w:t>
      </w:r>
      <w:hyperlink r:id="rId406" w:history="1">
        <w:r w:rsidRPr="00EC1A78">
          <w:rPr>
            <w:rFonts w:eastAsiaTheme="minorHAnsi"/>
            <w:color w:val="000000" w:themeColor="text1"/>
            <w:sz w:val="22"/>
            <w:szCs w:val="22"/>
            <w:lang w:eastAsia="en-US"/>
          </w:rPr>
          <w:t>Новые информационные технол</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гии в</w:t>
        </w:r>
      </w:hyperlink>
      <w:r w:rsidRPr="00EC1A78">
        <w:rPr>
          <w:rFonts w:eastAsiaTheme="minorHAnsi"/>
          <w:color w:val="000000" w:themeColor="text1"/>
          <w:sz w:val="22"/>
          <w:szCs w:val="22"/>
          <w:lang w:eastAsia="en-US"/>
        </w:rPr>
        <w:t xml:space="preserve"> науке, сборник статей международной научно–практической конференции: в 3 частях. 2017. С. 50–53.</w:t>
      </w:r>
    </w:p>
    <w:p w:rsidR="00EC1A78" w:rsidRPr="00497C98" w:rsidRDefault="00EC1A78" w:rsidP="00EC1A78">
      <w:pPr>
        <w:ind w:firstLine="426"/>
        <w:jc w:val="both"/>
        <w:rPr>
          <w:rFonts w:eastAsiaTheme="minorHAnsi"/>
          <w:color w:val="000000" w:themeColor="text1"/>
          <w:sz w:val="22"/>
          <w:szCs w:val="22"/>
          <w:lang w:eastAsia="en-US"/>
        </w:rPr>
      </w:pPr>
    </w:p>
    <w:p w:rsidR="00C86D06" w:rsidRPr="00497C98" w:rsidRDefault="00C86D06" w:rsidP="00EC1A78">
      <w:pPr>
        <w:ind w:firstLine="426"/>
        <w:jc w:val="both"/>
        <w:rPr>
          <w:rFonts w:eastAsiaTheme="minorHAnsi"/>
          <w:color w:val="000000" w:themeColor="text1"/>
          <w:sz w:val="22"/>
          <w:szCs w:val="22"/>
          <w:lang w:eastAsia="en-US"/>
        </w:rPr>
      </w:pPr>
    </w:p>
    <w:p w:rsidR="00C86D06" w:rsidRPr="00497C98" w:rsidRDefault="00C86D06" w:rsidP="00EC1A78">
      <w:pPr>
        <w:ind w:firstLine="426"/>
        <w:jc w:val="both"/>
        <w:rPr>
          <w:rFonts w:eastAsiaTheme="minorHAnsi"/>
          <w:color w:val="000000" w:themeColor="text1"/>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 xml:space="preserve">УДК 347.1+347.9 </w:t>
      </w:r>
    </w:p>
    <w:p w:rsidR="00EC1A78" w:rsidRPr="00EC1A78" w:rsidRDefault="00EC1A78" w:rsidP="00EC1A78">
      <w:pPr>
        <w:ind w:firstLine="425"/>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Развитие гражданского </w:t>
      </w:r>
      <w:r w:rsidR="00C86D06">
        <w:rPr>
          <w:rFonts w:eastAsiaTheme="minorHAnsi"/>
          <w:b/>
          <w:sz w:val="24"/>
          <w:szCs w:val="24"/>
          <w:lang w:eastAsia="en-US"/>
        </w:rPr>
        <w:t xml:space="preserve">и гражданского процессуального </w:t>
      </w:r>
      <w:r w:rsidRPr="00EC1A78">
        <w:rPr>
          <w:rFonts w:eastAsiaTheme="minorHAnsi"/>
          <w:b/>
          <w:sz w:val="24"/>
          <w:szCs w:val="24"/>
          <w:lang w:eastAsia="en-US"/>
        </w:rPr>
        <w:t xml:space="preserve">права Греции в </w:t>
      </w:r>
      <w:r w:rsidRPr="00EC1A78">
        <w:rPr>
          <w:rFonts w:eastAsiaTheme="minorHAnsi"/>
          <w:b/>
          <w:sz w:val="24"/>
          <w:szCs w:val="24"/>
          <w:lang w:val="en-US" w:eastAsia="en-US"/>
        </w:rPr>
        <w:t>XX</w:t>
      </w:r>
      <w:r w:rsidRPr="00EC1A78">
        <w:rPr>
          <w:rFonts w:eastAsiaTheme="minorHAnsi"/>
          <w:b/>
          <w:sz w:val="24"/>
          <w:szCs w:val="24"/>
          <w:lang w:eastAsia="en-US"/>
        </w:rPr>
        <w:t>–</w:t>
      </w:r>
      <w:r w:rsidRPr="00EC1A78">
        <w:rPr>
          <w:rFonts w:eastAsiaTheme="minorHAnsi"/>
          <w:b/>
          <w:sz w:val="24"/>
          <w:szCs w:val="24"/>
          <w:lang w:val="en-US" w:eastAsia="en-US"/>
        </w:rPr>
        <w:t>XXI</w:t>
      </w:r>
      <w:r w:rsidRPr="00EC1A78">
        <w:rPr>
          <w:rFonts w:eastAsiaTheme="minorHAnsi"/>
          <w:b/>
          <w:sz w:val="24"/>
          <w:szCs w:val="24"/>
          <w:lang w:eastAsia="en-US"/>
        </w:rPr>
        <w:t xml:space="preserve"> в.в.</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Development of civil and civil procedural law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of Greece in the XX–XXI centuries</w:t>
      </w:r>
    </w:p>
    <w:p w:rsidR="00EC1A78" w:rsidRPr="00EC1A78" w:rsidRDefault="00EC1A78" w:rsidP="00EC1A78">
      <w:pPr>
        <w:ind w:firstLine="425"/>
        <w:jc w:val="center"/>
        <w:rPr>
          <w:rFonts w:eastAsiaTheme="minorHAnsi"/>
          <w:b/>
          <w:sz w:val="22"/>
          <w:szCs w:val="22"/>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Позднякова Е.</w:t>
      </w:r>
      <w:r w:rsidR="00C86D06" w:rsidRPr="001C6F5C">
        <w:rPr>
          <w:rFonts w:eastAsiaTheme="minorHAnsi"/>
          <w:sz w:val="22"/>
          <w:szCs w:val="22"/>
          <w:lang w:eastAsia="en-US"/>
        </w:rPr>
        <w:t xml:space="preserve"> </w:t>
      </w:r>
      <w:r w:rsidRPr="00EC1A78">
        <w:rPr>
          <w:rFonts w:eastAsiaTheme="minorHAnsi"/>
          <w:sz w:val="22"/>
          <w:szCs w:val="22"/>
          <w:lang w:eastAsia="en-US"/>
        </w:rPr>
        <w:t>Ю.,</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Михайлик А.</w:t>
      </w:r>
      <w:r w:rsidR="00C86D06" w:rsidRPr="001C6F5C">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доцент кафедры теории и истории государства и права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C86D06" w:rsidRP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rPr>
          <w:rFonts w:eastAsiaTheme="minorHAnsi"/>
          <w:b/>
          <w:sz w:val="22"/>
          <w:szCs w:val="22"/>
          <w:lang w:eastAsia="en-US"/>
        </w:rPr>
      </w:pPr>
    </w:p>
    <w:p w:rsidR="00EC1A78" w:rsidRPr="00EC1A78" w:rsidRDefault="00C86D06" w:rsidP="00EC1A78">
      <w:pPr>
        <w:ind w:firstLine="425"/>
        <w:jc w:val="both"/>
        <w:rPr>
          <w:rFonts w:eastAsiaTheme="minorHAnsi"/>
          <w:sz w:val="22"/>
          <w:szCs w:val="22"/>
          <w:lang w:eastAsia="en-US"/>
        </w:rPr>
      </w:pPr>
      <w:r>
        <w:rPr>
          <w:rFonts w:eastAsiaTheme="minorHAnsi"/>
          <w:sz w:val="22"/>
          <w:szCs w:val="22"/>
          <w:lang w:eastAsia="en-US"/>
        </w:rPr>
        <w:t>АННОТАЦИЯ: С</w:t>
      </w:r>
      <w:r w:rsidR="00EC1A78" w:rsidRPr="00EC1A78">
        <w:rPr>
          <w:rFonts w:eastAsiaTheme="minorHAnsi"/>
          <w:sz w:val="22"/>
          <w:szCs w:val="22"/>
          <w:lang w:eastAsia="en-US"/>
        </w:rPr>
        <w:t xml:space="preserve">татья посвящена современному гражданскому праву Греции и гражданскому процессуальному праву в период </w:t>
      </w:r>
      <w:r w:rsidR="00EC1A78" w:rsidRPr="00EC1A78">
        <w:rPr>
          <w:rFonts w:eastAsiaTheme="minorHAnsi"/>
          <w:sz w:val="22"/>
          <w:szCs w:val="22"/>
          <w:lang w:val="en-US" w:eastAsia="en-US"/>
        </w:rPr>
        <w:t>XX</w:t>
      </w:r>
      <w:r w:rsidR="00EC1A78" w:rsidRPr="00EC1A78">
        <w:rPr>
          <w:rFonts w:eastAsiaTheme="minorHAnsi"/>
          <w:sz w:val="22"/>
          <w:szCs w:val="22"/>
          <w:lang w:eastAsia="en-US"/>
        </w:rPr>
        <w:t>–</w:t>
      </w:r>
      <w:r w:rsidR="00EC1A78" w:rsidRPr="00EC1A78">
        <w:rPr>
          <w:rFonts w:eastAsiaTheme="minorHAnsi"/>
          <w:sz w:val="22"/>
          <w:szCs w:val="22"/>
          <w:lang w:val="en-US" w:eastAsia="en-US"/>
        </w:rPr>
        <w:t>XXI</w:t>
      </w:r>
      <w:r w:rsidR="00EC1A78" w:rsidRPr="00EC1A78">
        <w:rPr>
          <w:rFonts w:eastAsiaTheme="minorHAnsi"/>
          <w:sz w:val="22"/>
          <w:szCs w:val="22"/>
          <w:lang w:eastAsia="en-US"/>
        </w:rPr>
        <w:t xml:space="preserve"> вв. на примере Гражданского кодекса и Гражданского процессуального кодекса Греции. Автором охватывается период с </w:t>
      </w:r>
      <w:smartTag w:uri="urn:schemas-microsoft-com:office:smarttags" w:element="metricconverter">
        <w:smartTagPr>
          <w:attr w:name="ProductID" w:val="1940 г"/>
        </w:smartTagPr>
        <w:r w:rsidR="00EC1A78" w:rsidRPr="00EC1A78">
          <w:rPr>
            <w:rFonts w:eastAsiaTheme="minorHAnsi"/>
            <w:sz w:val="22"/>
            <w:szCs w:val="22"/>
            <w:lang w:eastAsia="en-US"/>
          </w:rPr>
          <w:t>1940 г</w:t>
        </w:r>
      </w:smartTag>
      <w:r w:rsidR="00EC1A78" w:rsidRPr="00EC1A78">
        <w:rPr>
          <w:rFonts w:eastAsiaTheme="minorHAnsi"/>
          <w:sz w:val="22"/>
          <w:szCs w:val="22"/>
          <w:lang w:eastAsia="en-US"/>
        </w:rPr>
        <w:t>. до наших дней. Рассматривается  влияние правовых исто</w:t>
      </w:r>
      <w:r w:rsidR="00EC1A78" w:rsidRPr="00EC1A78">
        <w:rPr>
          <w:rFonts w:eastAsiaTheme="minorHAnsi"/>
          <w:sz w:val="22"/>
          <w:szCs w:val="22"/>
          <w:lang w:eastAsia="en-US"/>
        </w:rPr>
        <w:t>ч</w:t>
      </w:r>
      <w:r w:rsidR="00EC1A78" w:rsidRPr="00EC1A78">
        <w:rPr>
          <w:rFonts w:eastAsiaTheme="minorHAnsi"/>
          <w:sz w:val="22"/>
          <w:szCs w:val="22"/>
          <w:lang w:eastAsia="en-US"/>
        </w:rPr>
        <w:t xml:space="preserve">ников других государств на данные отрасли. </w:t>
      </w:r>
    </w:p>
    <w:p w:rsidR="00EC1A78" w:rsidRPr="00EC1A78" w:rsidRDefault="00C86D06" w:rsidP="00EC1A78">
      <w:pPr>
        <w:ind w:firstLine="425"/>
        <w:jc w:val="both"/>
        <w:rPr>
          <w:rFonts w:eastAsiaTheme="minorHAnsi"/>
          <w:sz w:val="22"/>
          <w:szCs w:val="22"/>
          <w:lang w:val="en-US" w:eastAsia="en-US"/>
        </w:rPr>
      </w:pPr>
      <w:r>
        <w:rPr>
          <w:rFonts w:eastAsiaTheme="minorHAnsi"/>
          <w:sz w:val="22"/>
          <w:szCs w:val="22"/>
          <w:lang w:val="en-US" w:eastAsia="en-US"/>
        </w:rPr>
        <w:lastRenderedPageBreak/>
        <w:t xml:space="preserve">ABSTRACT: </w:t>
      </w:r>
      <w:r w:rsidR="00EC1A78" w:rsidRPr="00EC1A78">
        <w:rPr>
          <w:rFonts w:eastAsiaTheme="minorHAnsi"/>
          <w:sz w:val="22"/>
          <w:szCs w:val="22"/>
          <w:lang w:val="en-US" w:eastAsia="en-US"/>
        </w:rPr>
        <w:t xml:space="preserve">The article is devoted to the modern civil law of </w:t>
      </w:r>
      <w:smartTag w:uri="urn:schemas-microsoft-com:office:smarttags" w:element="country-region">
        <w:smartTag w:uri="urn:schemas-microsoft-com:office:smarttags" w:element="place">
          <w:r w:rsidR="00EC1A78" w:rsidRPr="00EC1A78">
            <w:rPr>
              <w:rFonts w:eastAsiaTheme="minorHAnsi"/>
              <w:sz w:val="22"/>
              <w:szCs w:val="22"/>
              <w:lang w:val="en-US" w:eastAsia="en-US"/>
            </w:rPr>
            <w:t>Greece</w:t>
          </w:r>
        </w:smartTag>
      </w:smartTag>
      <w:r w:rsidR="00EC1A78" w:rsidRPr="00EC1A78">
        <w:rPr>
          <w:rFonts w:eastAsiaTheme="minorHAnsi"/>
          <w:sz w:val="22"/>
          <w:szCs w:val="22"/>
          <w:lang w:val="en-US" w:eastAsia="en-US"/>
        </w:rPr>
        <w:t xml:space="preserve"> and civil procedural law in the period of the XX–XXI centuries on the example of the Civil Code and the Civil Procedure Code of Greece. The author covers the period from 1940 to the present day. The influence of legal sources of other states on these sectors is considered.</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кодекс, гражданское право, гражданское процессуальное право, семейное право, православная церковь, Ко</w:t>
      </w:r>
      <w:r w:rsidRPr="00EC1A78">
        <w:rPr>
          <w:rFonts w:eastAsiaTheme="minorHAnsi"/>
          <w:sz w:val="22"/>
          <w:szCs w:val="22"/>
          <w:lang w:eastAsia="en-US"/>
        </w:rPr>
        <w:t>н</w:t>
      </w:r>
      <w:r w:rsidRPr="00EC1A78">
        <w:rPr>
          <w:rFonts w:eastAsiaTheme="minorHAnsi"/>
          <w:sz w:val="22"/>
          <w:szCs w:val="22"/>
          <w:lang w:eastAsia="en-US"/>
        </w:rPr>
        <w:t>ституция, право, брачно–семейные отношения.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code, civil law, civil procedural law, family law, the Orthodox Church, the Constitution, law, marriage and family relations.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В период с 1821–1829 гг., в результате революции, в Греции начала свое формирование новая правовая система и обусловлено это было тем, что Греция освободилась от турецкого ига и стала самостоятельным государством. Византийское гражданское право действовало в области гражданского права Греции до </w:t>
      </w:r>
      <w:smartTag w:uri="urn:schemas-microsoft-com:office:smarttags" w:element="metricconverter">
        <w:smartTagPr>
          <w:attr w:name="ProductID" w:val="1940 г"/>
        </w:smartTagPr>
        <w:r w:rsidRPr="00EC1A78">
          <w:rPr>
            <w:rFonts w:eastAsiaTheme="minorHAnsi"/>
            <w:sz w:val="22"/>
            <w:szCs w:val="22"/>
            <w:lang w:eastAsia="en-US"/>
          </w:rPr>
          <w:t>1940 г</w:t>
        </w:r>
      </w:smartTag>
      <w:r w:rsidRPr="00EC1A78">
        <w:rPr>
          <w:rFonts w:eastAsiaTheme="minorHAnsi"/>
          <w:sz w:val="22"/>
          <w:szCs w:val="22"/>
          <w:lang w:eastAsia="en-US"/>
        </w:rPr>
        <w:t>., а также  имели силу издававшиеся в это время акты, основанные на законах Франции, Германии и Австрии.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В </w:t>
      </w:r>
      <w:smartTag w:uri="urn:schemas-microsoft-com:office:smarttags" w:element="metricconverter">
        <w:smartTagPr>
          <w:attr w:name="ProductID" w:val="1940 г"/>
        </w:smartTagPr>
        <w:r w:rsidRPr="00EC1A78">
          <w:rPr>
            <w:rFonts w:eastAsiaTheme="minorHAnsi"/>
            <w:sz w:val="22"/>
            <w:szCs w:val="22"/>
            <w:lang w:eastAsia="en-US"/>
          </w:rPr>
          <w:t>1940 г</w:t>
        </w:r>
      </w:smartTag>
      <w:r w:rsidRPr="00EC1A78">
        <w:rPr>
          <w:rFonts w:eastAsiaTheme="minorHAnsi"/>
          <w:sz w:val="22"/>
          <w:szCs w:val="22"/>
          <w:lang w:eastAsia="en-US"/>
        </w:rPr>
        <w:t>. был создан современный Гражданский кодекс, кот</w:t>
      </w:r>
      <w:r w:rsidRPr="00EC1A78">
        <w:rPr>
          <w:rFonts w:eastAsiaTheme="minorHAnsi"/>
          <w:sz w:val="22"/>
          <w:szCs w:val="22"/>
          <w:lang w:eastAsia="en-US"/>
        </w:rPr>
        <w:t>о</w:t>
      </w:r>
      <w:r w:rsidRPr="00EC1A78">
        <w:rPr>
          <w:rFonts w:eastAsiaTheme="minorHAnsi"/>
          <w:sz w:val="22"/>
          <w:szCs w:val="22"/>
          <w:lang w:eastAsia="en-US"/>
        </w:rPr>
        <w:t xml:space="preserve">рый, из–за войны, вступил в силу лишь 23 февраля </w:t>
      </w:r>
      <w:smartTag w:uri="urn:schemas-microsoft-com:office:smarttags" w:element="metricconverter">
        <w:smartTagPr>
          <w:attr w:name="ProductID" w:val="1946 г"/>
        </w:smartTagPr>
        <w:r w:rsidRPr="00EC1A78">
          <w:rPr>
            <w:rFonts w:eastAsiaTheme="minorHAnsi"/>
            <w:sz w:val="22"/>
            <w:szCs w:val="22"/>
            <w:lang w:eastAsia="en-US"/>
          </w:rPr>
          <w:t>1946 г</w:t>
        </w:r>
      </w:smartTag>
      <w:r w:rsidRPr="00EC1A78">
        <w:rPr>
          <w:rFonts w:eastAsiaTheme="minorHAnsi"/>
          <w:sz w:val="22"/>
          <w:szCs w:val="22"/>
          <w:lang w:eastAsia="en-US"/>
        </w:rPr>
        <w:t>. Кодекс закрепляет: принцип свободы договоров; принцип раздельности имущества супругов; регулирует отношения между родителями и детьми, а также правовое положение внебрачный детей и детей, рожденных в браке; процедуру оформления завещания; вину, как общее основание ответственности и прочее. Относительно полож</w:t>
      </w:r>
      <w:r w:rsidRPr="00EC1A78">
        <w:rPr>
          <w:rFonts w:eastAsiaTheme="minorHAnsi"/>
          <w:sz w:val="22"/>
          <w:szCs w:val="22"/>
          <w:lang w:eastAsia="en-US"/>
        </w:rPr>
        <w:t>е</w:t>
      </w:r>
      <w:r w:rsidRPr="00EC1A78">
        <w:rPr>
          <w:rFonts w:eastAsiaTheme="minorHAnsi"/>
          <w:sz w:val="22"/>
          <w:szCs w:val="22"/>
          <w:lang w:eastAsia="en-US"/>
        </w:rPr>
        <w:t>ний, относящихся к семейному праву, следует отметить значител</w:t>
      </w:r>
      <w:r w:rsidRPr="00EC1A78">
        <w:rPr>
          <w:rFonts w:eastAsiaTheme="minorHAnsi"/>
          <w:sz w:val="22"/>
          <w:szCs w:val="22"/>
          <w:lang w:eastAsia="en-US"/>
        </w:rPr>
        <w:t>ь</w:t>
      </w:r>
      <w:r w:rsidRPr="00EC1A78">
        <w:rPr>
          <w:rFonts w:eastAsiaTheme="minorHAnsi"/>
          <w:sz w:val="22"/>
          <w:szCs w:val="22"/>
          <w:lang w:eastAsia="en-US"/>
        </w:rPr>
        <w:t>ное влияние на них греческой православной церкви, являющейся официальной религией. Это проявляется в таких положениях, как запрет брака с нехристианами, заключение брака в церковной фо</w:t>
      </w:r>
      <w:r w:rsidRPr="00EC1A78">
        <w:rPr>
          <w:rFonts w:eastAsiaTheme="minorHAnsi"/>
          <w:sz w:val="22"/>
          <w:szCs w:val="22"/>
          <w:lang w:eastAsia="en-US"/>
        </w:rPr>
        <w:t>р</w:t>
      </w:r>
      <w:r w:rsidRPr="00EC1A78">
        <w:rPr>
          <w:rFonts w:eastAsiaTheme="minorHAnsi"/>
          <w:sz w:val="22"/>
          <w:szCs w:val="22"/>
          <w:lang w:eastAsia="en-US"/>
        </w:rPr>
        <w:t>ме, ограничения в разводе, юридическое оформление института п</w:t>
      </w:r>
      <w:r w:rsidRPr="00EC1A78">
        <w:rPr>
          <w:rFonts w:eastAsiaTheme="minorHAnsi"/>
          <w:sz w:val="22"/>
          <w:szCs w:val="22"/>
          <w:lang w:eastAsia="en-US"/>
        </w:rPr>
        <w:t>о</w:t>
      </w:r>
      <w:r w:rsidRPr="00EC1A78">
        <w:rPr>
          <w:rFonts w:eastAsiaTheme="minorHAnsi"/>
          <w:sz w:val="22"/>
          <w:szCs w:val="22"/>
          <w:lang w:eastAsia="en-US"/>
        </w:rPr>
        <w:t>молвки и другие. Декрет–закон «Об усыновлении несовершенн</w:t>
      </w:r>
      <w:r w:rsidRPr="00EC1A78">
        <w:rPr>
          <w:rFonts w:eastAsiaTheme="minorHAnsi"/>
          <w:sz w:val="22"/>
          <w:szCs w:val="22"/>
          <w:lang w:eastAsia="en-US"/>
        </w:rPr>
        <w:t>о</w:t>
      </w:r>
      <w:r w:rsidRPr="00EC1A78">
        <w:rPr>
          <w:rFonts w:eastAsiaTheme="minorHAnsi"/>
          <w:sz w:val="22"/>
          <w:szCs w:val="22"/>
          <w:lang w:eastAsia="en-US"/>
        </w:rPr>
        <w:t xml:space="preserve">летних в возрасте до 18 лет» был утвержден в </w:t>
      </w:r>
      <w:smartTag w:uri="urn:schemas-microsoft-com:office:smarttags" w:element="metricconverter">
        <w:smartTagPr>
          <w:attr w:name="ProductID" w:val="1970 г"/>
        </w:smartTagPr>
        <w:r w:rsidRPr="00EC1A78">
          <w:rPr>
            <w:rFonts w:eastAsiaTheme="minorHAnsi"/>
            <w:sz w:val="22"/>
            <w:szCs w:val="22"/>
            <w:lang w:eastAsia="en-US"/>
          </w:rPr>
          <w:t>1970 г</w:t>
        </w:r>
      </w:smartTag>
      <w:r w:rsidRPr="00EC1A78">
        <w:rPr>
          <w:rFonts w:eastAsiaTheme="minorHAnsi"/>
          <w:sz w:val="22"/>
          <w:szCs w:val="22"/>
          <w:lang w:eastAsia="en-US"/>
        </w:rPr>
        <w:t xml:space="preserve">., дополняя гражданский кодекс. В </w:t>
      </w:r>
      <w:smartTag w:uri="urn:schemas-microsoft-com:office:smarttags" w:element="metricconverter">
        <w:smartTagPr>
          <w:attr w:name="ProductID" w:val="1975 г"/>
        </w:smartTagPr>
        <w:r w:rsidRPr="00EC1A78">
          <w:rPr>
            <w:rFonts w:eastAsiaTheme="minorHAnsi"/>
            <w:sz w:val="22"/>
            <w:szCs w:val="22"/>
            <w:lang w:eastAsia="en-US"/>
          </w:rPr>
          <w:t>1975 г</w:t>
        </w:r>
      </w:smartTag>
      <w:r w:rsidRPr="00EC1A78">
        <w:rPr>
          <w:rFonts w:eastAsiaTheme="minorHAnsi"/>
          <w:sz w:val="22"/>
          <w:szCs w:val="22"/>
          <w:lang w:eastAsia="en-US"/>
        </w:rPr>
        <w:t>. статьи, регулирующие взаимоотн</w:t>
      </w:r>
      <w:r w:rsidRPr="00EC1A78">
        <w:rPr>
          <w:rFonts w:eastAsiaTheme="minorHAnsi"/>
          <w:sz w:val="22"/>
          <w:szCs w:val="22"/>
          <w:lang w:eastAsia="en-US"/>
        </w:rPr>
        <w:t>о</w:t>
      </w:r>
      <w:r w:rsidRPr="00EC1A78">
        <w:rPr>
          <w:rFonts w:eastAsiaTheme="minorHAnsi"/>
          <w:sz w:val="22"/>
          <w:szCs w:val="22"/>
          <w:lang w:eastAsia="en-US"/>
        </w:rPr>
        <w:t>шения супругов, были отредактированы в связи с закреплением в Конституции Греции  равенства полов [3].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Основным источником для создания Гражданского Кодекса я</w:t>
      </w:r>
      <w:r w:rsidRPr="00EC1A78">
        <w:rPr>
          <w:rFonts w:eastAsiaTheme="minorHAnsi"/>
          <w:sz w:val="22"/>
          <w:szCs w:val="22"/>
          <w:lang w:eastAsia="en-US"/>
        </w:rPr>
        <w:t>в</w:t>
      </w:r>
      <w:r w:rsidRPr="00EC1A78">
        <w:rPr>
          <w:rFonts w:eastAsiaTheme="minorHAnsi"/>
          <w:sz w:val="22"/>
          <w:szCs w:val="22"/>
          <w:lang w:eastAsia="en-US"/>
        </w:rPr>
        <w:t xml:space="preserve">лялось византийское гражданское право, а также заметное влияние на него оказал гражданский кодекс Франции, французская доктрина </w:t>
      </w:r>
      <w:r w:rsidRPr="00EC1A78">
        <w:rPr>
          <w:rFonts w:eastAsiaTheme="minorHAnsi"/>
          <w:sz w:val="22"/>
          <w:szCs w:val="22"/>
          <w:lang w:eastAsia="en-US"/>
        </w:rPr>
        <w:lastRenderedPageBreak/>
        <w:t xml:space="preserve">и судебная практика. Много общего у ГК Греции и с гражданским кодексом Италии </w:t>
      </w:r>
      <w:smartTag w:uri="urn:schemas-microsoft-com:office:smarttags" w:element="metricconverter">
        <w:smartTagPr>
          <w:attr w:name="ProductID" w:val="1942 г"/>
        </w:smartTagPr>
        <w:r w:rsidRPr="00EC1A78">
          <w:rPr>
            <w:rFonts w:eastAsiaTheme="minorHAnsi"/>
            <w:sz w:val="22"/>
            <w:szCs w:val="22"/>
            <w:lang w:eastAsia="en-US"/>
          </w:rPr>
          <w:t>1942 г</w:t>
        </w:r>
      </w:smartTag>
      <w:r w:rsidRPr="00EC1A78">
        <w:rPr>
          <w:rFonts w:eastAsiaTheme="minorHAnsi"/>
          <w:sz w:val="22"/>
          <w:szCs w:val="22"/>
          <w:lang w:eastAsia="en-US"/>
        </w:rPr>
        <w:t>., примером являются статьи, касающиеся гражданской ответственности (ст. 922 «Ответственность работод</w:t>
      </w:r>
      <w:r w:rsidRPr="00EC1A78">
        <w:rPr>
          <w:rFonts w:eastAsiaTheme="minorHAnsi"/>
          <w:sz w:val="22"/>
          <w:szCs w:val="22"/>
          <w:lang w:eastAsia="en-US"/>
        </w:rPr>
        <w:t>а</w:t>
      </w:r>
      <w:r w:rsidRPr="00EC1A78">
        <w:rPr>
          <w:rFonts w:eastAsiaTheme="minorHAnsi"/>
          <w:sz w:val="22"/>
          <w:szCs w:val="22"/>
          <w:lang w:eastAsia="en-US"/>
        </w:rPr>
        <w:t>теля»: «Наниматель или иное лицо, предоставляющее работу, отв</w:t>
      </w:r>
      <w:r w:rsidRPr="00EC1A78">
        <w:rPr>
          <w:rFonts w:eastAsiaTheme="minorHAnsi"/>
          <w:sz w:val="22"/>
          <w:szCs w:val="22"/>
          <w:lang w:eastAsia="en-US"/>
        </w:rPr>
        <w:t>е</w:t>
      </w:r>
      <w:r w:rsidRPr="00EC1A78">
        <w:rPr>
          <w:rFonts w:eastAsiaTheme="minorHAnsi"/>
          <w:sz w:val="22"/>
          <w:szCs w:val="22"/>
          <w:lang w:eastAsia="en-US"/>
        </w:rPr>
        <w:t>чает за вред, причиненный вопреки закону его рабочим или служ</w:t>
      </w:r>
      <w:r w:rsidRPr="00EC1A78">
        <w:rPr>
          <w:rFonts w:eastAsiaTheme="minorHAnsi"/>
          <w:sz w:val="22"/>
          <w:szCs w:val="22"/>
          <w:lang w:eastAsia="en-US"/>
        </w:rPr>
        <w:t>а</w:t>
      </w:r>
      <w:r w:rsidRPr="00EC1A78">
        <w:rPr>
          <w:rFonts w:eastAsiaTheme="minorHAnsi"/>
          <w:sz w:val="22"/>
          <w:szCs w:val="22"/>
          <w:lang w:eastAsia="en-US"/>
        </w:rPr>
        <w:t>щим»). Необходимо отметить также влияние немецкого права, но в редакции на итальянский (простой) манер (пример, ст. 918.: «Лицо, причинившее вред и не несущее ответственности в соответствии со статьями 915–917, может быть приговорено судом, учитывающем положение сторон, к разумному возмещению вреда, если вред не может быть возмещен иным образом»)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16 сентября </w:t>
      </w:r>
      <w:smartTag w:uri="urn:schemas-microsoft-com:office:smarttags" w:element="metricconverter">
        <w:smartTagPr>
          <w:attr w:name="ProductID" w:val="1968 г"/>
        </w:smartTagPr>
        <w:r w:rsidRPr="00EC1A78">
          <w:rPr>
            <w:rFonts w:eastAsiaTheme="minorHAnsi"/>
            <w:sz w:val="22"/>
            <w:szCs w:val="22"/>
            <w:lang w:eastAsia="en-US"/>
          </w:rPr>
          <w:t>1968 г</w:t>
        </w:r>
      </w:smartTag>
      <w:r w:rsidRPr="00EC1A78">
        <w:rPr>
          <w:rFonts w:eastAsiaTheme="minorHAnsi"/>
          <w:sz w:val="22"/>
          <w:szCs w:val="22"/>
          <w:lang w:eastAsia="en-US"/>
        </w:rPr>
        <w:t>. был принят новый кодекс Греции – гра</w:t>
      </w:r>
      <w:r w:rsidRPr="00EC1A78">
        <w:rPr>
          <w:rFonts w:eastAsiaTheme="minorHAnsi"/>
          <w:sz w:val="22"/>
          <w:szCs w:val="22"/>
          <w:lang w:eastAsia="en-US"/>
        </w:rPr>
        <w:t>ж</w:t>
      </w:r>
      <w:r w:rsidRPr="00EC1A78">
        <w:rPr>
          <w:rFonts w:eastAsiaTheme="minorHAnsi"/>
          <w:sz w:val="22"/>
          <w:szCs w:val="22"/>
          <w:lang w:eastAsia="en-US"/>
        </w:rPr>
        <w:t xml:space="preserve">данско–процессуальный кодекс, пришедший на смену ГПК </w:t>
      </w:r>
      <w:smartTag w:uri="urn:schemas-microsoft-com:office:smarttags" w:element="metricconverter">
        <w:smartTagPr>
          <w:attr w:name="ProductID" w:val="1834 г"/>
        </w:smartTagPr>
        <w:r w:rsidRPr="00EC1A78">
          <w:rPr>
            <w:rFonts w:eastAsiaTheme="minorHAnsi"/>
            <w:sz w:val="22"/>
            <w:szCs w:val="22"/>
            <w:lang w:eastAsia="en-US"/>
          </w:rPr>
          <w:t>1834 г</w:t>
        </w:r>
      </w:smartTag>
      <w:r w:rsidRPr="00EC1A78">
        <w:rPr>
          <w:rFonts w:eastAsiaTheme="minorHAnsi"/>
          <w:sz w:val="22"/>
          <w:szCs w:val="22"/>
          <w:lang w:eastAsia="en-US"/>
        </w:rPr>
        <w:t>. Греция относится к странам романо–германской правовой семьи, в связи с этим в различных отраслях права наблюдаются общие х</w:t>
      </w:r>
      <w:r w:rsidRPr="00EC1A78">
        <w:rPr>
          <w:rFonts w:eastAsiaTheme="minorHAnsi"/>
          <w:sz w:val="22"/>
          <w:szCs w:val="22"/>
          <w:lang w:eastAsia="en-US"/>
        </w:rPr>
        <w:t>а</w:t>
      </w:r>
      <w:r w:rsidRPr="00EC1A78">
        <w:rPr>
          <w:rFonts w:eastAsiaTheme="minorHAnsi"/>
          <w:sz w:val="22"/>
          <w:szCs w:val="22"/>
          <w:lang w:eastAsia="en-US"/>
        </w:rPr>
        <w:t>рактерные черты данной правой системы. В этом случае в качестве источников законодателем была использована германская и а</w:t>
      </w:r>
      <w:r w:rsidRPr="00EC1A78">
        <w:rPr>
          <w:rFonts w:eastAsiaTheme="minorHAnsi"/>
          <w:sz w:val="22"/>
          <w:szCs w:val="22"/>
          <w:lang w:eastAsia="en-US"/>
        </w:rPr>
        <w:t>в</w:t>
      </w:r>
      <w:r w:rsidRPr="00EC1A78">
        <w:rPr>
          <w:rFonts w:eastAsiaTheme="minorHAnsi"/>
          <w:sz w:val="22"/>
          <w:szCs w:val="22"/>
          <w:lang w:eastAsia="en-US"/>
        </w:rPr>
        <w:t>стрийская модели судопроизводства. ГПК состоит из восьми книг, которые поделены на главы и статьи.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Гражданский процессуальный кодекс </w:t>
      </w:r>
      <w:smartTag w:uri="urn:schemas-microsoft-com:office:smarttags" w:element="metricconverter">
        <w:smartTagPr>
          <w:attr w:name="ProductID" w:val="1968 г"/>
        </w:smartTagPr>
        <w:r w:rsidRPr="00EC1A78">
          <w:rPr>
            <w:rFonts w:eastAsiaTheme="minorHAnsi"/>
            <w:sz w:val="22"/>
            <w:szCs w:val="22"/>
            <w:lang w:eastAsia="en-US"/>
          </w:rPr>
          <w:t>1968 г</w:t>
        </w:r>
      </w:smartTag>
      <w:r w:rsidRPr="00EC1A78">
        <w:rPr>
          <w:rFonts w:eastAsiaTheme="minorHAnsi"/>
          <w:sz w:val="22"/>
          <w:szCs w:val="22"/>
          <w:lang w:eastAsia="en-US"/>
        </w:rPr>
        <w:t xml:space="preserve">. пришел на смену ГПК </w:t>
      </w:r>
      <w:smartTag w:uri="urn:schemas-microsoft-com:office:smarttags" w:element="metricconverter">
        <w:smartTagPr>
          <w:attr w:name="ProductID" w:val="1834 г"/>
        </w:smartTagPr>
        <w:r w:rsidRPr="00EC1A78">
          <w:rPr>
            <w:rFonts w:eastAsiaTheme="minorHAnsi"/>
            <w:sz w:val="22"/>
            <w:szCs w:val="22"/>
            <w:lang w:eastAsia="en-US"/>
          </w:rPr>
          <w:t>1834 г</w:t>
        </w:r>
      </w:smartTag>
      <w:r w:rsidRPr="00EC1A78">
        <w:rPr>
          <w:rFonts w:eastAsiaTheme="minorHAnsi"/>
          <w:sz w:val="22"/>
          <w:szCs w:val="22"/>
          <w:lang w:eastAsia="en-US"/>
        </w:rPr>
        <w:t>., который был составлен баварским юристом Людвигом фон Маурером. В нем было велико влияние Гражданского проце</w:t>
      </w:r>
      <w:r w:rsidRPr="00EC1A78">
        <w:rPr>
          <w:rFonts w:eastAsiaTheme="minorHAnsi"/>
          <w:sz w:val="22"/>
          <w:szCs w:val="22"/>
          <w:lang w:eastAsia="en-US"/>
        </w:rPr>
        <w:t>с</w:t>
      </w:r>
      <w:r w:rsidRPr="00EC1A78">
        <w:rPr>
          <w:rFonts w:eastAsiaTheme="minorHAnsi"/>
          <w:sz w:val="22"/>
          <w:szCs w:val="22"/>
          <w:lang w:eastAsia="en-US"/>
        </w:rPr>
        <w:t>суального кодекса Франции [3].</w:t>
      </w:r>
    </w:p>
    <w:p w:rsidR="00EC1A78" w:rsidRPr="00EC1A78" w:rsidRDefault="00EC1A78" w:rsidP="00425497">
      <w:pPr>
        <w:ind w:firstLine="425"/>
        <w:jc w:val="both"/>
        <w:rPr>
          <w:rFonts w:eastAsiaTheme="minorHAnsi"/>
          <w:sz w:val="22"/>
          <w:szCs w:val="22"/>
          <w:lang w:eastAsia="en-US"/>
        </w:rPr>
      </w:pPr>
      <w:r w:rsidRPr="00EC1A78">
        <w:rPr>
          <w:rFonts w:eastAsiaTheme="minorHAnsi"/>
          <w:sz w:val="22"/>
          <w:szCs w:val="22"/>
          <w:lang w:eastAsia="en-US"/>
        </w:rPr>
        <w:t xml:space="preserve">В дальнейшем в ГПК </w:t>
      </w:r>
      <w:smartTag w:uri="urn:schemas-microsoft-com:office:smarttags" w:element="metricconverter">
        <w:smartTagPr>
          <w:attr w:name="ProductID" w:val="1968 г"/>
        </w:smartTagPr>
        <w:r w:rsidRPr="00EC1A78">
          <w:rPr>
            <w:rFonts w:eastAsiaTheme="minorHAnsi"/>
            <w:sz w:val="22"/>
            <w:szCs w:val="22"/>
            <w:lang w:eastAsia="en-US"/>
          </w:rPr>
          <w:t>1968 г</w:t>
        </w:r>
      </w:smartTag>
      <w:r w:rsidRPr="00EC1A78">
        <w:rPr>
          <w:rFonts w:eastAsiaTheme="minorHAnsi"/>
          <w:sz w:val="22"/>
          <w:szCs w:val="22"/>
          <w:lang w:eastAsia="en-US"/>
        </w:rPr>
        <w:t xml:space="preserve">. будут происходить изменения. Наиболее важные из них внесены Законом </w:t>
      </w:r>
      <w:smartTag w:uri="urn:schemas-microsoft-com:office:smarttags" w:element="metricconverter">
        <w:smartTagPr>
          <w:attr w:name="ProductID" w:val="1993 г"/>
        </w:smartTagPr>
        <w:r w:rsidRPr="00EC1A78">
          <w:rPr>
            <w:rFonts w:eastAsiaTheme="minorHAnsi"/>
            <w:sz w:val="22"/>
            <w:szCs w:val="22"/>
            <w:lang w:eastAsia="en-US"/>
          </w:rPr>
          <w:t>1993 г</w:t>
        </w:r>
      </w:smartTag>
      <w:r w:rsidRPr="00EC1A78">
        <w:rPr>
          <w:rFonts w:eastAsiaTheme="minorHAnsi"/>
          <w:sz w:val="22"/>
          <w:szCs w:val="22"/>
          <w:lang w:eastAsia="en-US"/>
        </w:rPr>
        <w:t>. (закрепил изм</w:t>
      </w:r>
      <w:r w:rsidRPr="00EC1A78">
        <w:rPr>
          <w:rFonts w:eastAsiaTheme="minorHAnsi"/>
          <w:sz w:val="22"/>
          <w:szCs w:val="22"/>
          <w:lang w:eastAsia="en-US"/>
        </w:rPr>
        <w:t>е</w:t>
      </w:r>
      <w:r w:rsidRPr="00EC1A78">
        <w:rPr>
          <w:rFonts w:eastAsiaTheme="minorHAnsi"/>
          <w:sz w:val="22"/>
          <w:szCs w:val="22"/>
          <w:lang w:eastAsia="en-US"/>
        </w:rPr>
        <w:t>нения в правилах производства в высшей судебной инстанции), З</w:t>
      </w:r>
      <w:r w:rsidRPr="00EC1A78">
        <w:rPr>
          <w:rFonts w:eastAsiaTheme="minorHAnsi"/>
          <w:sz w:val="22"/>
          <w:szCs w:val="22"/>
          <w:lang w:eastAsia="en-US"/>
        </w:rPr>
        <w:t>а</w:t>
      </w:r>
      <w:r w:rsidRPr="00EC1A78">
        <w:rPr>
          <w:rFonts w:eastAsiaTheme="minorHAnsi"/>
          <w:sz w:val="22"/>
          <w:szCs w:val="22"/>
          <w:lang w:eastAsia="en-US"/>
        </w:rPr>
        <w:t xml:space="preserve">коном </w:t>
      </w:r>
      <w:smartTag w:uri="urn:schemas-microsoft-com:office:smarttags" w:element="metricconverter">
        <w:smartTagPr>
          <w:attr w:name="ProductID" w:val="1994 г"/>
        </w:smartTagPr>
        <w:r w:rsidRPr="00EC1A78">
          <w:rPr>
            <w:rFonts w:eastAsiaTheme="minorHAnsi"/>
            <w:sz w:val="22"/>
            <w:szCs w:val="22"/>
            <w:lang w:eastAsia="en-US"/>
          </w:rPr>
          <w:t>1994 г</w:t>
        </w:r>
      </w:smartTag>
      <w:r w:rsidRPr="00EC1A78">
        <w:rPr>
          <w:rFonts w:eastAsiaTheme="minorHAnsi"/>
          <w:sz w:val="22"/>
          <w:szCs w:val="22"/>
          <w:lang w:eastAsia="en-US"/>
        </w:rPr>
        <w:t>. (изменил процедуру апелляционного пересмотра д</w:t>
      </w:r>
      <w:r w:rsidRPr="00EC1A78">
        <w:rPr>
          <w:rFonts w:eastAsiaTheme="minorHAnsi"/>
          <w:sz w:val="22"/>
          <w:szCs w:val="22"/>
          <w:lang w:eastAsia="en-US"/>
        </w:rPr>
        <w:t>е</w:t>
      </w:r>
      <w:r w:rsidRPr="00EC1A78">
        <w:rPr>
          <w:rFonts w:eastAsiaTheme="minorHAnsi"/>
          <w:sz w:val="22"/>
          <w:szCs w:val="22"/>
          <w:lang w:eastAsia="en-US"/>
        </w:rPr>
        <w:t xml:space="preserve">ла, ввел более простые формы коллегиального разбирательства), Законом </w:t>
      </w:r>
      <w:smartTag w:uri="urn:schemas-microsoft-com:office:smarttags" w:element="metricconverter">
        <w:smartTagPr>
          <w:attr w:name="ProductID" w:val="1995 г"/>
        </w:smartTagPr>
        <w:r w:rsidRPr="00EC1A78">
          <w:rPr>
            <w:rFonts w:eastAsiaTheme="minorHAnsi"/>
            <w:sz w:val="22"/>
            <w:szCs w:val="22"/>
            <w:lang w:eastAsia="en-US"/>
          </w:rPr>
          <w:t>1995 г</w:t>
        </w:r>
      </w:smartTag>
      <w:r w:rsidRPr="00EC1A78">
        <w:rPr>
          <w:rFonts w:eastAsiaTheme="minorHAnsi"/>
          <w:sz w:val="22"/>
          <w:szCs w:val="22"/>
          <w:lang w:eastAsia="en-US"/>
        </w:rPr>
        <w:t>., установившем обязательность примирительной процедуры [1].</w:t>
      </w: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Елисеев, Н. Г. Гражданское процессуальное право зарубе</w:t>
      </w:r>
      <w:r w:rsidRPr="00EC1A78">
        <w:rPr>
          <w:rFonts w:eastAsiaTheme="minorHAnsi"/>
          <w:sz w:val="22"/>
          <w:szCs w:val="22"/>
          <w:lang w:eastAsia="en-US"/>
        </w:rPr>
        <w:t>ж</w:t>
      </w:r>
      <w:r w:rsidRPr="00EC1A78">
        <w:rPr>
          <w:rFonts w:eastAsiaTheme="minorHAnsi"/>
          <w:sz w:val="22"/>
          <w:szCs w:val="22"/>
          <w:lang w:eastAsia="en-US"/>
        </w:rPr>
        <w:t>ных стран: Учеб.–2–е изд., перераб. и доп./ Н. Г. Елисеев – М.:ТК Велби, Изд–во Проспект, 2004.– С.41–42.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Леже, Р. Великие правовые системы современности: сравн</w:t>
      </w:r>
      <w:r w:rsidRPr="00EC1A78">
        <w:rPr>
          <w:rFonts w:eastAsiaTheme="minorHAnsi"/>
          <w:sz w:val="22"/>
          <w:szCs w:val="22"/>
          <w:lang w:eastAsia="en-US"/>
        </w:rPr>
        <w:t>и</w:t>
      </w:r>
      <w:r w:rsidRPr="00EC1A78">
        <w:rPr>
          <w:rFonts w:eastAsiaTheme="minorHAnsi"/>
          <w:sz w:val="22"/>
          <w:szCs w:val="22"/>
          <w:lang w:eastAsia="en-US"/>
        </w:rPr>
        <w:t>тельно–правовой подход / Р. Леже – Волтерс Клувер, 2009.– С.170–172.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3. Фрэгистас, С. Греция // Международная энциклопедия сра</w:t>
      </w:r>
      <w:r w:rsidRPr="00EC1A78">
        <w:rPr>
          <w:rFonts w:eastAsiaTheme="minorHAnsi"/>
          <w:sz w:val="22"/>
          <w:szCs w:val="22"/>
          <w:lang w:eastAsia="en-US"/>
        </w:rPr>
        <w:t>в</w:t>
      </w:r>
      <w:r w:rsidRPr="00EC1A78">
        <w:rPr>
          <w:rFonts w:eastAsiaTheme="minorHAnsi"/>
          <w:sz w:val="22"/>
          <w:szCs w:val="22"/>
          <w:lang w:eastAsia="en-US"/>
        </w:rPr>
        <w:t>нительного права. Том. 1. / С. Фрэгистас – 1976.– С.49–62.</w:t>
      </w:r>
    </w:p>
    <w:p w:rsidR="00EC1A78" w:rsidRDefault="00EC1A78" w:rsidP="00EC1A78">
      <w:pPr>
        <w:rPr>
          <w:rFonts w:eastAsiaTheme="minorHAnsi"/>
          <w:sz w:val="22"/>
          <w:szCs w:val="22"/>
          <w:lang w:eastAsia="en-US"/>
        </w:rPr>
      </w:pPr>
    </w:p>
    <w:p w:rsidR="00C86D06" w:rsidRDefault="00C86D06" w:rsidP="00EC1A78">
      <w:pPr>
        <w:rPr>
          <w:rFonts w:eastAsiaTheme="minorHAnsi"/>
          <w:sz w:val="22"/>
          <w:szCs w:val="22"/>
          <w:lang w:eastAsia="en-US"/>
        </w:rPr>
      </w:pPr>
    </w:p>
    <w:p w:rsidR="00163DEF" w:rsidRPr="00EC1A78" w:rsidRDefault="00163DEF" w:rsidP="00EC1A78">
      <w:pPr>
        <w:rPr>
          <w:rFonts w:eastAsiaTheme="minorHAnsi"/>
          <w:sz w:val="22"/>
          <w:szCs w:val="22"/>
          <w:lang w:eastAsia="en-US"/>
        </w:rPr>
      </w:pPr>
    </w:p>
    <w:p w:rsidR="00EC1A78" w:rsidRPr="00EC1A78" w:rsidRDefault="00EC1A78" w:rsidP="00425497">
      <w:pPr>
        <w:rPr>
          <w:rFonts w:eastAsiaTheme="minorHAnsi"/>
          <w:color w:val="000000" w:themeColor="text1"/>
          <w:sz w:val="22"/>
          <w:szCs w:val="24"/>
          <w:lang w:eastAsia="en-US"/>
        </w:rPr>
      </w:pPr>
      <w:r w:rsidRPr="00EC1A78">
        <w:rPr>
          <w:rFonts w:eastAsiaTheme="minorHAnsi"/>
          <w:sz w:val="22"/>
          <w:szCs w:val="22"/>
          <w:lang w:eastAsia="en-US"/>
        </w:rPr>
        <w:t>УДК 343.12</w:t>
      </w: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color w:val="000000" w:themeColor="text1"/>
          <w:sz w:val="24"/>
          <w:szCs w:val="24"/>
          <w:lang w:eastAsia="en-US"/>
        </w:rPr>
        <w:t xml:space="preserve">Права и обязанности адвоката в уголовном </w:t>
      </w:r>
      <w:r w:rsidR="00C86D06">
        <w:rPr>
          <w:rFonts w:eastAsiaTheme="minorHAnsi"/>
          <w:b/>
          <w:color w:val="000000" w:themeColor="text1"/>
          <w:sz w:val="24"/>
          <w:szCs w:val="24"/>
          <w:lang w:eastAsia="en-US"/>
        </w:rPr>
        <w:br/>
      </w:r>
      <w:r w:rsidRPr="00EC1A78">
        <w:rPr>
          <w:rFonts w:eastAsiaTheme="minorHAnsi"/>
          <w:b/>
          <w:color w:val="000000" w:themeColor="text1"/>
          <w:sz w:val="24"/>
          <w:szCs w:val="24"/>
          <w:lang w:eastAsia="en-US"/>
        </w:rPr>
        <w:t>судопроизводстве</w:t>
      </w: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color w:val="000000" w:themeColor="text1"/>
          <w:sz w:val="24"/>
          <w:szCs w:val="24"/>
          <w:lang w:val="en-US" w:eastAsia="en-US"/>
        </w:rPr>
        <w:t>Rights</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and</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duties</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of</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a</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lawyer</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in</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criminal</w:t>
      </w:r>
      <w:r w:rsidRPr="00EC1A78">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jurisdiction</w:t>
      </w:r>
    </w:p>
    <w:p w:rsidR="00EC1A78" w:rsidRPr="00EC1A78" w:rsidRDefault="00EC1A78" w:rsidP="00EC1A78">
      <w:pPr>
        <w:jc w:val="right"/>
        <w:rPr>
          <w:rFonts w:eastAsiaTheme="minorHAnsi"/>
          <w:color w:val="000000" w:themeColor="text1"/>
          <w:sz w:val="22"/>
          <w:szCs w:val="22"/>
          <w:lang w:eastAsia="en-US"/>
        </w:rPr>
      </w:pP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Поляков Я.</w:t>
      </w:r>
      <w:r w:rsidR="00C86D06">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Г.,</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C86D06">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C86D06">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center"/>
        <w:rPr>
          <w:rFonts w:eastAsiaTheme="minorHAnsi"/>
          <w:color w:val="000000" w:themeColor="text1"/>
          <w:lang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АННОТАЦИЯ: В статье рассмотрены отдельные вопросы ос</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ществления прав и обязанностей защитника в уголовном судопр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изводстве. Правоотношения, которые возникают в процессе их ре</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лизации определяют процессуальное положение защитника.</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sz w:val="22"/>
          <w:lang w:eastAsia="en-US"/>
        </w:rPr>
        <w:t>А</w:t>
      </w:r>
      <w:r w:rsidRPr="00EC1A78">
        <w:rPr>
          <w:rFonts w:eastAsiaTheme="minorHAnsi"/>
          <w:sz w:val="22"/>
          <w:lang w:val="en-US" w:eastAsia="en-US"/>
        </w:rPr>
        <w:t>NNOTATION</w:t>
      </w:r>
      <w:r w:rsidRPr="00EC1A78">
        <w:rPr>
          <w:rFonts w:eastAsiaTheme="minorHAnsi"/>
          <w:color w:val="000000" w:themeColor="text1"/>
          <w:sz w:val="22"/>
          <w:szCs w:val="22"/>
          <w:lang w:val="en-US" w:eastAsia="en-US"/>
        </w:rPr>
        <w:t>: The article deals with certain issues of the rights and obligations of a lawyer in criminal proceedings. Legal relations that arise in the course of their implementation determine the procedural p</w:t>
      </w:r>
      <w:r w:rsidRPr="00EC1A78">
        <w:rPr>
          <w:rFonts w:eastAsiaTheme="minorHAnsi"/>
          <w:color w:val="000000" w:themeColor="text1"/>
          <w:sz w:val="22"/>
          <w:szCs w:val="22"/>
          <w:lang w:val="en-US" w:eastAsia="en-US"/>
        </w:rPr>
        <w:t>o</w:t>
      </w:r>
      <w:r w:rsidRPr="00EC1A78">
        <w:rPr>
          <w:rFonts w:eastAsiaTheme="minorHAnsi"/>
          <w:color w:val="000000" w:themeColor="text1"/>
          <w:sz w:val="22"/>
          <w:szCs w:val="22"/>
          <w:lang w:val="en-US" w:eastAsia="en-US"/>
        </w:rPr>
        <w:t>sition of the defender.</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КЛЮЧЕВЫЕ СЛОВА: защитник, уголовный процесс, защита прав, производство следственных действий.</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KEYWORDS: lawyer, criminal proceedings, protection of rights, investigation.</w:t>
      </w:r>
    </w:p>
    <w:p w:rsidR="00EC1A78" w:rsidRPr="00EC1A78" w:rsidRDefault="00EC1A78" w:rsidP="00EC1A78">
      <w:pPr>
        <w:ind w:firstLine="426"/>
        <w:jc w:val="both"/>
        <w:rPr>
          <w:rFonts w:eastAsiaTheme="minorHAnsi"/>
          <w:color w:val="000000" w:themeColor="text1"/>
          <w:sz w:val="22"/>
          <w:szCs w:val="22"/>
          <w:lang w:val="en-US" w:eastAsia="en-US"/>
        </w:rPr>
      </w:pP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рамках уголовного судопроизводства защитник осуществляет защиту прав и интересов подозреваемого и обвиняемого, оказывает им юридическую помощь по находящемуся в производстве уголо</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ному делу. Чтобы получить допуск к участию в уголовном деле в качестве защитника, адвокат должен предъявить удостоверения а</w:t>
      </w:r>
      <w:r w:rsidRPr="00EC1A78">
        <w:rPr>
          <w:rFonts w:eastAsiaTheme="minorHAnsi"/>
          <w:color w:val="000000" w:themeColor="text1"/>
          <w:sz w:val="22"/>
          <w:szCs w:val="22"/>
          <w:lang w:eastAsia="en-US"/>
        </w:rPr>
        <w:t>д</w:t>
      </w:r>
      <w:r w:rsidRPr="00EC1A78">
        <w:rPr>
          <w:rFonts w:eastAsiaTheme="minorHAnsi"/>
          <w:color w:val="000000" w:themeColor="text1"/>
          <w:sz w:val="22"/>
          <w:szCs w:val="22"/>
          <w:lang w:eastAsia="en-US"/>
        </w:rPr>
        <w:t xml:space="preserve">воката и ордер (ч. 4 ст. 49 УПК). Кроме адвоката защитником может выступать один из близких родственников подзащитного или иное </w:t>
      </w:r>
      <w:r w:rsidRPr="00EC1A78">
        <w:rPr>
          <w:rFonts w:eastAsiaTheme="minorHAnsi"/>
          <w:color w:val="000000" w:themeColor="text1"/>
          <w:sz w:val="22"/>
          <w:szCs w:val="22"/>
          <w:lang w:eastAsia="en-US"/>
        </w:rPr>
        <w:lastRenderedPageBreak/>
        <w:t>лицо по ходатайству обвиняемого. При производстве у мировой судьи данное лицо допускается вместо адвоката [1]. Согласно фед</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ральному закону № 63–ФЗ «Об адвокатской деятельности и адвок</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туре в РФ», адвокат выполняет роль независимого профессионал</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ного советника по правовым вопросам [2].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В уголовном процессе процессуальное положение защитника рассматривается с точки зрения его процессуальной самостоятел</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ности; связи его позиции с позицией подзащитного; расхождения его с позицией подзащитного в вопросе о виновности и доказыв</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 xml:space="preserve">нии вины.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Защитник принимает участие в уголовном </w:t>
      </w:r>
      <w:bookmarkStart w:id="25" w:name="dst100462"/>
      <w:bookmarkEnd w:id="25"/>
      <w:r w:rsidRPr="00EC1A78">
        <w:rPr>
          <w:rFonts w:eastAsiaTheme="minorHAnsi"/>
          <w:color w:val="000000" w:themeColor="text1"/>
          <w:sz w:val="22"/>
          <w:szCs w:val="22"/>
          <w:lang w:eastAsia="en-US"/>
        </w:rPr>
        <w:t>деле с момента в</w:t>
      </w:r>
      <w:r w:rsidRPr="00EC1A78">
        <w:rPr>
          <w:rFonts w:eastAsiaTheme="minorHAnsi"/>
          <w:color w:val="000000" w:themeColor="text1"/>
          <w:sz w:val="22"/>
          <w:szCs w:val="22"/>
          <w:lang w:eastAsia="en-US"/>
        </w:rPr>
        <w:t>ы</w:t>
      </w:r>
      <w:r w:rsidRPr="00EC1A78">
        <w:rPr>
          <w:rFonts w:eastAsiaTheme="minorHAnsi"/>
          <w:color w:val="000000" w:themeColor="text1"/>
          <w:sz w:val="22"/>
          <w:szCs w:val="22"/>
          <w:lang w:eastAsia="en-US"/>
        </w:rPr>
        <w:t>несения постановления о привлечении лица в качестве обвиняем</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го; после </w:t>
      </w:r>
      <w:bookmarkStart w:id="26" w:name="dst100463"/>
      <w:bookmarkEnd w:id="26"/>
      <w:r w:rsidRPr="00EC1A78">
        <w:rPr>
          <w:rFonts w:eastAsiaTheme="minorHAnsi"/>
          <w:color w:val="000000" w:themeColor="text1"/>
          <w:sz w:val="22"/>
          <w:szCs w:val="22"/>
          <w:lang w:eastAsia="en-US"/>
        </w:rPr>
        <w:t>возбуждения уголовного дела; после фактического заде</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eastAsia="en-US"/>
        </w:rPr>
        <w:t>жания лица, подозреваемого в совершении преступления; в случае заключения под стражу;</w:t>
      </w:r>
      <w:bookmarkStart w:id="27" w:name="dst100467"/>
      <w:bookmarkEnd w:id="27"/>
      <w:r w:rsidRPr="00EC1A78">
        <w:rPr>
          <w:rFonts w:eastAsiaTheme="minorHAnsi"/>
          <w:color w:val="000000" w:themeColor="text1"/>
          <w:sz w:val="22"/>
          <w:szCs w:val="22"/>
          <w:lang w:eastAsia="en-US"/>
        </w:rPr>
        <w:t xml:space="preserve"> с момента объявления подозреваемому о проведении в отношении него судебно–психиатрической эксперт</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 xml:space="preserve">зы и в других случаях. </w:t>
      </w:r>
    </w:p>
    <w:p w:rsidR="00EC1A78" w:rsidRPr="00EC1A78" w:rsidRDefault="00EC1A78" w:rsidP="00EC1A78">
      <w:pPr>
        <w:ind w:firstLine="425"/>
        <w:jc w:val="both"/>
        <w:rPr>
          <w:rFonts w:eastAsiaTheme="minorHAnsi"/>
          <w:color w:val="000000" w:themeColor="text1"/>
          <w:sz w:val="22"/>
          <w:szCs w:val="22"/>
          <w:lang w:eastAsia="en-US"/>
        </w:rPr>
      </w:pPr>
      <w:bookmarkStart w:id="28" w:name="dst100468"/>
      <w:bookmarkEnd w:id="28"/>
      <w:r w:rsidRPr="00EC1A78">
        <w:rPr>
          <w:rFonts w:eastAsiaTheme="minorHAnsi"/>
          <w:color w:val="000000" w:themeColor="text1"/>
          <w:sz w:val="22"/>
          <w:szCs w:val="22"/>
          <w:lang w:eastAsia="en-US"/>
        </w:rPr>
        <w:t>Согласно ч.1 ст.53 УПК РФ с момента допуска к участию в д</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ле защитник имеет следующие права:</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1. Право на встречу с подозреваемым/обвиняемым;</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2. Право на сбор и предоставление материалов–доказательств, которые в дальнейшем необходимы для оказания юридической п</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мощи;</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3. Право на привлечение специалиста;</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4. Право присутствовать при предъявлении обвинения;</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5. Право принимать участие в допросе подозреваемого, обв</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няемого, а также в других следственных действиях, которые прои</w:t>
      </w:r>
      <w:r w:rsidRPr="00EC1A78">
        <w:rPr>
          <w:rFonts w:eastAsiaTheme="minorHAnsi"/>
          <w:color w:val="000000" w:themeColor="text1"/>
          <w:sz w:val="22"/>
          <w:szCs w:val="22"/>
          <w:lang w:eastAsia="en-US"/>
        </w:rPr>
        <w:t>с</w:t>
      </w:r>
      <w:r w:rsidRPr="00EC1A78">
        <w:rPr>
          <w:rFonts w:eastAsiaTheme="minorHAnsi"/>
          <w:color w:val="000000" w:themeColor="text1"/>
          <w:sz w:val="22"/>
          <w:szCs w:val="22"/>
          <w:lang w:eastAsia="en-US"/>
        </w:rPr>
        <w:t>ходят с участием подозреваемого/обвиняемого;</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6. Право на ознакомление с протоколом задержания, постано</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лениями, протоколами следственных действий и иными документ</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ми, которые могли быть предъявлены или предъявлялись подозр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ваемому/обвиняемому;</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7. Право знакомиться с материалами уголовного дела после окончания предварительного расследования, выписывать из него любые сведения, делать ксерокопии;</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8. Право на заявление о ходатайстве и отводы. Ходатайство может быть подано на любом этапе производства по уголовному </w:t>
      </w:r>
      <w:r w:rsidRPr="00EC1A78">
        <w:rPr>
          <w:rFonts w:eastAsiaTheme="minorHAnsi"/>
          <w:color w:val="000000" w:themeColor="text1"/>
          <w:sz w:val="22"/>
          <w:szCs w:val="22"/>
          <w:lang w:eastAsia="en-US"/>
        </w:rPr>
        <w:lastRenderedPageBreak/>
        <w:t>делу, его можно подать в устной и посменной форме, срок для п</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дачи ходатайства установлен в размере трех суток;</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9. Право принимать участие в судебном разбирательстве уг</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ловного делав судах первой, второй и надзорной инстанции, кроме того в рассмотрении вопросов касательно исполнения приговора;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10. Право составлять жалобы на действия (бездействие) и 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шения дознавателя, следователя, прокурора, суда и участвовать в их рассмотрении судом и др. [2].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Адвокат сам определяет свою позицию по делу, выбирает сре</w:t>
      </w:r>
      <w:r w:rsidRPr="00EC1A78">
        <w:rPr>
          <w:rFonts w:eastAsiaTheme="minorHAnsi"/>
          <w:color w:val="000000" w:themeColor="text1"/>
          <w:sz w:val="22"/>
          <w:szCs w:val="22"/>
          <w:lang w:eastAsia="en-US"/>
        </w:rPr>
        <w:t>д</w:t>
      </w:r>
      <w:r w:rsidRPr="00EC1A78">
        <w:rPr>
          <w:rFonts w:eastAsiaTheme="minorHAnsi"/>
          <w:color w:val="000000" w:themeColor="text1"/>
          <w:sz w:val="22"/>
          <w:szCs w:val="22"/>
          <w:lang w:eastAsia="en-US"/>
        </w:rPr>
        <w:t>ства и методы необходимые ему для защиты. Защитник, приним</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ющий участие в производстве следственных действий, может ок</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зывать краткую консультационную помощь в присутствии следов</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теля, также с разрешения следователя задавать вопросы допрашив</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 xml:space="preserve">емым лицам. Следователь может отклонить вопросы защитника, но должен отразить их в протоколе.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Защитник не имеет права разглашать данные предварительного расследования, которые стали ему известны в связи с оказанием юридической помощи. В противном случае он подлежит наказанию по ст. 310 УК РФ [3].  Адвокат не может отказаться от принятой на себя защиты. Один защитник не может одновременно защищать двух подозреваемых или обвиняемых, имеющих противоречивые интересы.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Кроме наделения особыми правами защитник должен выпо</w:t>
      </w:r>
      <w:r w:rsidRPr="00EC1A78">
        <w:rPr>
          <w:rFonts w:eastAsiaTheme="minorHAnsi"/>
          <w:color w:val="000000" w:themeColor="text1"/>
          <w:sz w:val="22"/>
          <w:szCs w:val="22"/>
          <w:lang w:eastAsia="en-US"/>
        </w:rPr>
        <w:t>л</w:t>
      </w:r>
      <w:r w:rsidRPr="00EC1A78">
        <w:rPr>
          <w:rFonts w:eastAsiaTheme="minorHAnsi"/>
          <w:color w:val="000000" w:themeColor="text1"/>
          <w:sz w:val="22"/>
          <w:szCs w:val="22"/>
          <w:lang w:eastAsia="en-US"/>
        </w:rPr>
        <w:t>нять предписанные ему обязанности: разумно и добросовестно о</w:t>
      </w:r>
      <w:r w:rsidRPr="00EC1A78">
        <w:rPr>
          <w:rFonts w:eastAsiaTheme="minorHAnsi"/>
          <w:color w:val="000000" w:themeColor="text1"/>
          <w:sz w:val="22"/>
          <w:szCs w:val="22"/>
          <w:lang w:eastAsia="en-US"/>
        </w:rPr>
        <w:t>т</w:t>
      </w:r>
      <w:r w:rsidRPr="00EC1A78">
        <w:rPr>
          <w:rFonts w:eastAsiaTheme="minorHAnsi"/>
          <w:color w:val="000000" w:themeColor="text1"/>
          <w:sz w:val="22"/>
          <w:szCs w:val="22"/>
          <w:lang w:eastAsia="en-US"/>
        </w:rPr>
        <w:t>стаивать права и интересы своего доверителя всеми разрешенными законодательством РФ средствами; повышать уровень своих зн</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 xml:space="preserve">ний, а также квалификацию; выполнять требования, предписанные законом об обязательном участии адвоката в качестве защитника в уголовном судопроизводстве; следовать кодексу профессиональной этики адвоката.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Таким образом, несмотря на то, что адвокат–защитник сам</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стоятелен в решении отдельных вопросов, он не обладает  полной процессуальной самостоятельностью.</w:t>
      </w:r>
    </w:p>
    <w:p w:rsidR="00EC1A78" w:rsidRPr="00EC1A78" w:rsidRDefault="00EC1A78" w:rsidP="00EC1A78">
      <w:pPr>
        <w:ind w:firstLine="425"/>
        <w:jc w:val="both"/>
        <w:rPr>
          <w:rFonts w:eastAsiaTheme="minorHAnsi"/>
          <w:color w:val="000000" w:themeColor="text1"/>
          <w:sz w:val="22"/>
          <w:szCs w:val="22"/>
          <w:lang w:eastAsia="en-US"/>
        </w:rPr>
      </w:pPr>
    </w:p>
    <w:p w:rsidR="00EC1A78" w:rsidRPr="00EC1A78" w:rsidRDefault="00EC1A78" w:rsidP="00EC1A78">
      <w:pPr>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EC1A78">
      <w:pPr>
        <w:ind w:firstLine="425"/>
        <w:rPr>
          <w:rFonts w:eastAsiaTheme="minorHAnsi"/>
          <w:color w:val="000000" w:themeColor="text1"/>
          <w:sz w:val="22"/>
          <w:szCs w:val="22"/>
          <w:lang w:eastAsia="en-US"/>
        </w:rPr>
      </w:pPr>
      <w:r w:rsidRPr="00EC1A78">
        <w:rPr>
          <w:rFonts w:eastAsiaTheme="minorHAnsi"/>
          <w:color w:val="000000" w:themeColor="text1"/>
          <w:sz w:val="22"/>
          <w:szCs w:val="22"/>
          <w:lang w:eastAsia="en-US"/>
        </w:rPr>
        <w:t>1. Уголовно–процессуальный кодекс Российской Федерации от 18.12.2001 N 174–ФЗ (ред. от 19.02.2018)//</w:t>
      </w:r>
      <w:r w:rsidRPr="00EC1A78">
        <w:rPr>
          <w:sz w:val="21"/>
          <w:szCs w:val="21"/>
        </w:rPr>
        <w:t xml:space="preserve"> </w:t>
      </w:r>
      <w:r w:rsidRPr="00EC1A78">
        <w:rPr>
          <w:rFonts w:eastAsiaTheme="minorHAnsi"/>
          <w:color w:val="000000" w:themeColor="text1"/>
          <w:sz w:val="22"/>
          <w:szCs w:val="22"/>
          <w:lang w:eastAsia="en-US"/>
        </w:rPr>
        <w:t xml:space="preserve">СЗ. –2001. – № 52 (ч. I). – Ст. 4921.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lastRenderedPageBreak/>
        <w:t>2. Об адвокатской деятельности и адвокатуре в Российской Ф</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дерации: федеральный закон от 31.05.2002 № 63–ФЗ (ред. от 29.07.2017)//СЗ. – 2002. – № 23. – Ст. 2102.</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3. Уголовный кодекс Российской Федерации от 13.06.1996 № 63–ФЗ (ред. от 19.02.2018)// СЗ РФ. – 1996. – № 25. – Ст. 2954. </w:t>
      </w:r>
    </w:p>
    <w:p w:rsidR="00EC1A78" w:rsidRDefault="00EC1A78" w:rsidP="00EC1A78">
      <w:pPr>
        <w:jc w:val="both"/>
        <w:rPr>
          <w:rFonts w:eastAsiaTheme="minorHAnsi"/>
          <w:sz w:val="22"/>
          <w:szCs w:val="22"/>
          <w:lang w:eastAsia="en-US"/>
        </w:rPr>
      </w:pPr>
    </w:p>
    <w:p w:rsidR="00425497" w:rsidRDefault="00425497" w:rsidP="00425497">
      <w:pPr>
        <w:rPr>
          <w:rFonts w:eastAsiaTheme="minorHAnsi"/>
          <w:sz w:val="22"/>
          <w:szCs w:val="22"/>
          <w:lang w:eastAsia="en-US"/>
        </w:rPr>
      </w:pPr>
    </w:p>
    <w:p w:rsidR="00163DEF" w:rsidRPr="00EC1A78" w:rsidRDefault="00163DEF" w:rsidP="00425497">
      <w:pPr>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614.2</w:t>
      </w:r>
    </w:p>
    <w:p w:rsidR="00EC1A78" w:rsidRPr="00EC1A78" w:rsidRDefault="00EC1A78" w:rsidP="00EC1A78">
      <w:pPr>
        <w:ind w:firstLine="425"/>
        <w:jc w:val="center"/>
        <w:rPr>
          <w:rFonts w:eastAsiaTheme="minorHAnsi"/>
          <w:b/>
          <w:sz w:val="24"/>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Актуальные проблемы обеспечения медицинской </w:t>
      </w: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помощи в сельской местности</w:t>
      </w:r>
    </w:p>
    <w:p w:rsidR="00EC1A78" w:rsidRPr="00EC1A78"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Actual problems of providing medical care in rural areas</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Попова В.</w:t>
      </w:r>
      <w:r w:rsidR="00C86D0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Михайлик А.</w:t>
      </w:r>
      <w:r w:rsidR="00C86D0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теории и истории государства и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рассмотрена актуальная проблема обеспечения медицинской помощи гражданам, проживающим в сельской местности. Значительное внимание уделяется необходимо</w:t>
      </w:r>
      <w:r w:rsidRPr="00EC1A78">
        <w:rPr>
          <w:rFonts w:eastAsiaTheme="minorHAnsi"/>
          <w:sz w:val="22"/>
          <w:szCs w:val="22"/>
          <w:lang w:val="en-US" w:eastAsia="en-US"/>
        </w:rPr>
        <w:t>c</w:t>
      </w:r>
      <w:r w:rsidRPr="00EC1A78">
        <w:rPr>
          <w:rFonts w:eastAsiaTheme="minorHAnsi"/>
          <w:sz w:val="22"/>
          <w:szCs w:val="22"/>
          <w:lang w:eastAsia="en-US"/>
        </w:rPr>
        <w:t>ти вмешательства государства в решение данного в</w:t>
      </w:r>
      <w:r w:rsidRPr="00EC1A78">
        <w:rPr>
          <w:rFonts w:eastAsiaTheme="minorHAnsi"/>
          <w:sz w:val="22"/>
          <w:szCs w:val="22"/>
          <w:lang w:eastAsia="en-US"/>
        </w:rPr>
        <w:t>о</w:t>
      </w:r>
      <w:r w:rsidRPr="00EC1A78">
        <w:rPr>
          <w:rFonts w:eastAsiaTheme="minorHAnsi"/>
          <w:sz w:val="22"/>
          <w:szCs w:val="22"/>
          <w:lang w:eastAsia="en-US"/>
        </w:rPr>
        <w:t>проса.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In the article the actual problem of providing medical care to citizens living in rural areas is considered. Considerable attention is paid to the issues of necessary state intervention in resolving this issue.</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медицинская помощь, законодател</w:t>
      </w:r>
      <w:r w:rsidRPr="00EC1A78">
        <w:rPr>
          <w:rFonts w:eastAsiaTheme="minorHAnsi"/>
          <w:sz w:val="22"/>
          <w:szCs w:val="22"/>
          <w:lang w:eastAsia="en-US"/>
        </w:rPr>
        <w:t>ь</w:t>
      </w:r>
      <w:r w:rsidRPr="00EC1A78">
        <w:rPr>
          <w:rFonts w:eastAsiaTheme="minorHAnsi"/>
          <w:sz w:val="22"/>
          <w:szCs w:val="22"/>
          <w:lang w:eastAsia="en-US"/>
        </w:rPr>
        <w:t>ство, государство, реформы, государственная политика.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medical assistance, legislation, the state, reforms, public policy.</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Доступность медицинской помощи – важнейшая ступень орг</w:t>
      </w:r>
      <w:r w:rsidRPr="00EC1A78">
        <w:rPr>
          <w:rFonts w:eastAsiaTheme="minorHAnsi"/>
          <w:sz w:val="22"/>
          <w:szCs w:val="22"/>
          <w:lang w:eastAsia="en-US"/>
        </w:rPr>
        <w:t>а</w:t>
      </w:r>
      <w:r w:rsidRPr="00EC1A78">
        <w:rPr>
          <w:rFonts w:eastAsiaTheme="minorHAnsi"/>
          <w:sz w:val="22"/>
          <w:szCs w:val="22"/>
          <w:lang w:eastAsia="en-US"/>
        </w:rPr>
        <w:t>низации здравоохранения, представляющая собой возможность п</w:t>
      </w:r>
      <w:r w:rsidRPr="00EC1A78">
        <w:rPr>
          <w:rFonts w:eastAsiaTheme="minorHAnsi"/>
          <w:sz w:val="22"/>
          <w:szCs w:val="22"/>
          <w:lang w:eastAsia="en-US"/>
        </w:rPr>
        <w:t>о</w:t>
      </w:r>
      <w:r w:rsidRPr="00EC1A78">
        <w:rPr>
          <w:rFonts w:eastAsiaTheme="minorHAnsi"/>
          <w:sz w:val="22"/>
          <w:szCs w:val="22"/>
          <w:lang w:eastAsia="en-US"/>
        </w:rPr>
        <w:lastRenderedPageBreak/>
        <w:t>лучения пациентом необходимой ему медицинской помощи вне з</w:t>
      </w:r>
      <w:r w:rsidRPr="00EC1A78">
        <w:rPr>
          <w:rFonts w:eastAsiaTheme="minorHAnsi"/>
          <w:sz w:val="22"/>
          <w:szCs w:val="22"/>
          <w:lang w:eastAsia="en-US"/>
        </w:rPr>
        <w:t>а</w:t>
      </w:r>
      <w:r w:rsidRPr="00EC1A78">
        <w:rPr>
          <w:rFonts w:eastAsiaTheme="minorHAnsi"/>
          <w:sz w:val="22"/>
          <w:szCs w:val="22"/>
          <w:lang w:eastAsia="en-US"/>
        </w:rPr>
        <w:t>висимости от уровня благосостояния, статуса и места проживания.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 проблемой недоступности медицинской помощи во многих районах и селах столкнулись граждане России, что зачастую св</w:t>
      </w:r>
      <w:r w:rsidRPr="00EC1A78">
        <w:rPr>
          <w:rFonts w:eastAsiaTheme="minorHAnsi"/>
          <w:sz w:val="22"/>
          <w:szCs w:val="22"/>
          <w:lang w:eastAsia="en-US"/>
        </w:rPr>
        <w:t>я</w:t>
      </w:r>
      <w:r w:rsidRPr="00EC1A78">
        <w:rPr>
          <w:rFonts w:eastAsiaTheme="minorHAnsi"/>
          <w:sz w:val="22"/>
          <w:szCs w:val="22"/>
          <w:lang w:eastAsia="en-US"/>
        </w:rPr>
        <w:t>занно с удаленностью пунктов медицинской помощи на недосяга</w:t>
      </w:r>
      <w:r w:rsidRPr="00EC1A78">
        <w:rPr>
          <w:rFonts w:eastAsiaTheme="minorHAnsi"/>
          <w:sz w:val="22"/>
          <w:szCs w:val="22"/>
          <w:lang w:eastAsia="en-US"/>
        </w:rPr>
        <w:t>е</w:t>
      </w:r>
      <w:r w:rsidRPr="00EC1A78">
        <w:rPr>
          <w:rFonts w:eastAsiaTheme="minorHAnsi"/>
          <w:sz w:val="22"/>
          <w:szCs w:val="22"/>
          <w:lang w:eastAsia="en-US"/>
        </w:rPr>
        <w:t>мое расстояние. Высококвалифицированные медицинские кадры предпочитают оставаться в крупных городах, где вопрос с их тр</w:t>
      </w:r>
      <w:r w:rsidRPr="00EC1A78">
        <w:rPr>
          <w:rFonts w:eastAsiaTheme="minorHAnsi"/>
          <w:sz w:val="22"/>
          <w:szCs w:val="22"/>
          <w:lang w:eastAsia="en-US"/>
        </w:rPr>
        <w:t>у</w:t>
      </w:r>
      <w:r w:rsidRPr="00EC1A78">
        <w:rPr>
          <w:rFonts w:eastAsiaTheme="minorHAnsi"/>
          <w:sz w:val="22"/>
          <w:szCs w:val="22"/>
          <w:lang w:eastAsia="en-US"/>
        </w:rPr>
        <w:t>доустройством решается за счет солидного количества федеральных медицинских центров. В сельской местности в фельдшерских пун</w:t>
      </w:r>
      <w:r w:rsidRPr="00EC1A78">
        <w:rPr>
          <w:rFonts w:eastAsiaTheme="minorHAnsi"/>
          <w:sz w:val="22"/>
          <w:szCs w:val="22"/>
          <w:lang w:eastAsia="en-US"/>
        </w:rPr>
        <w:t>к</w:t>
      </w:r>
      <w:r w:rsidRPr="00EC1A78">
        <w:rPr>
          <w:rFonts w:eastAsiaTheme="minorHAnsi"/>
          <w:sz w:val="22"/>
          <w:szCs w:val="22"/>
          <w:lang w:eastAsia="en-US"/>
        </w:rPr>
        <w:t>тах в основном остаются работать люди уже достигшие пенсионн</w:t>
      </w:r>
      <w:r w:rsidRPr="00EC1A78">
        <w:rPr>
          <w:rFonts w:eastAsiaTheme="minorHAnsi"/>
          <w:sz w:val="22"/>
          <w:szCs w:val="22"/>
          <w:lang w:eastAsia="en-US"/>
        </w:rPr>
        <w:t>о</w:t>
      </w:r>
      <w:r w:rsidRPr="00EC1A78">
        <w:rPr>
          <w:rFonts w:eastAsiaTheme="minorHAnsi"/>
          <w:sz w:val="22"/>
          <w:szCs w:val="22"/>
          <w:lang w:eastAsia="en-US"/>
        </w:rPr>
        <w:t>го возраста. Органы местного управления пытаются самостоятельно решить данную проблему, хотя, на наш взгляд, она является пр</w:t>
      </w:r>
      <w:r w:rsidRPr="00EC1A78">
        <w:rPr>
          <w:rFonts w:eastAsiaTheme="minorHAnsi"/>
          <w:sz w:val="22"/>
          <w:szCs w:val="22"/>
          <w:lang w:eastAsia="en-US"/>
        </w:rPr>
        <w:t>о</w:t>
      </w:r>
      <w:r w:rsidRPr="00EC1A78">
        <w:rPr>
          <w:rFonts w:eastAsiaTheme="minorHAnsi"/>
          <w:sz w:val="22"/>
          <w:szCs w:val="22"/>
          <w:lang w:eastAsia="en-US"/>
        </w:rPr>
        <w:t>блемой государственного масштаба и решить ее локально нево</w:t>
      </w:r>
      <w:r w:rsidRPr="00EC1A78">
        <w:rPr>
          <w:rFonts w:eastAsiaTheme="minorHAnsi"/>
          <w:sz w:val="22"/>
          <w:szCs w:val="22"/>
          <w:lang w:eastAsia="en-US"/>
        </w:rPr>
        <w:t>з</w:t>
      </w:r>
      <w:r w:rsidRPr="00EC1A78">
        <w:rPr>
          <w:rFonts w:eastAsiaTheme="minorHAnsi"/>
          <w:sz w:val="22"/>
          <w:szCs w:val="22"/>
          <w:lang w:eastAsia="en-US"/>
        </w:rPr>
        <w:t>можно. Решением проблемы представляется проведение госуда</w:t>
      </w:r>
      <w:r w:rsidRPr="00EC1A78">
        <w:rPr>
          <w:rFonts w:eastAsiaTheme="minorHAnsi"/>
          <w:sz w:val="22"/>
          <w:szCs w:val="22"/>
          <w:lang w:eastAsia="en-US"/>
        </w:rPr>
        <w:t>р</w:t>
      </w:r>
      <w:r w:rsidRPr="00EC1A78">
        <w:rPr>
          <w:rFonts w:eastAsiaTheme="minorHAnsi"/>
          <w:sz w:val="22"/>
          <w:szCs w:val="22"/>
          <w:lang w:eastAsia="en-US"/>
        </w:rPr>
        <w:t>ством необходимых программ и инвестирование данной отрасли. Например, программа «Земский доктор» создана для привлечения молодых специалистов в отдаленные и малонаселенные районы и повышения уровня медицинского обеспечения жителей деревень [2]. Для этих целей правительством выделяются финансовые сре</w:t>
      </w:r>
      <w:r w:rsidRPr="00EC1A78">
        <w:rPr>
          <w:rFonts w:eastAsiaTheme="minorHAnsi"/>
          <w:sz w:val="22"/>
          <w:szCs w:val="22"/>
          <w:lang w:eastAsia="en-US"/>
        </w:rPr>
        <w:t>д</w:t>
      </w:r>
      <w:r w:rsidRPr="00EC1A78">
        <w:rPr>
          <w:rFonts w:eastAsiaTheme="minorHAnsi"/>
          <w:sz w:val="22"/>
          <w:szCs w:val="22"/>
          <w:lang w:eastAsia="en-US"/>
        </w:rPr>
        <w:t>ства, направляемые на социальное обеспечение специалистов, с</w:t>
      </w:r>
      <w:r w:rsidRPr="00EC1A78">
        <w:rPr>
          <w:rFonts w:eastAsiaTheme="minorHAnsi"/>
          <w:sz w:val="22"/>
          <w:szCs w:val="22"/>
          <w:lang w:eastAsia="en-US"/>
        </w:rPr>
        <w:t>о</w:t>
      </w:r>
      <w:r w:rsidRPr="00EC1A78">
        <w:rPr>
          <w:rFonts w:eastAsiaTheme="minorHAnsi"/>
          <w:sz w:val="22"/>
          <w:szCs w:val="22"/>
          <w:lang w:eastAsia="en-US"/>
        </w:rPr>
        <w:t>гласившихся на работу в сельской местности.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Недоработка в вопросах нормативной и правовой базы в обл</w:t>
      </w:r>
      <w:r w:rsidRPr="00EC1A78">
        <w:rPr>
          <w:rFonts w:eastAsiaTheme="minorHAnsi"/>
          <w:sz w:val="22"/>
          <w:szCs w:val="22"/>
          <w:lang w:eastAsia="en-US"/>
        </w:rPr>
        <w:t>а</w:t>
      </w:r>
      <w:r w:rsidRPr="00EC1A78">
        <w:rPr>
          <w:rFonts w:eastAsiaTheme="minorHAnsi"/>
          <w:sz w:val="22"/>
          <w:szCs w:val="22"/>
          <w:lang w:eastAsia="en-US"/>
        </w:rPr>
        <w:t>сти деления платных медицинских услуг и бесплатной медицинской помощи, является еще одной проблемой в сфере обеспечения мед</w:t>
      </w:r>
      <w:r w:rsidRPr="00EC1A78">
        <w:rPr>
          <w:rFonts w:eastAsiaTheme="minorHAnsi"/>
          <w:sz w:val="22"/>
          <w:szCs w:val="22"/>
          <w:lang w:eastAsia="en-US"/>
        </w:rPr>
        <w:t>и</w:t>
      </w:r>
      <w:r w:rsidRPr="00EC1A78">
        <w:rPr>
          <w:rFonts w:eastAsiaTheme="minorHAnsi"/>
          <w:sz w:val="22"/>
          <w:szCs w:val="22"/>
          <w:lang w:eastAsia="en-US"/>
        </w:rPr>
        <w:t>цинской помощи. Согласно Конституции Российской Федерации, п.1 статьи 41 – медицинская помощь для пациентов должна быть бесплатной [1].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реальной жизни, по результатам статистических исследов</w:t>
      </w:r>
      <w:r w:rsidRPr="00EC1A78">
        <w:rPr>
          <w:rFonts w:eastAsiaTheme="minorHAnsi"/>
          <w:sz w:val="22"/>
          <w:szCs w:val="22"/>
          <w:lang w:eastAsia="en-US"/>
        </w:rPr>
        <w:t>а</w:t>
      </w:r>
      <w:r w:rsidRPr="00EC1A78">
        <w:rPr>
          <w:rFonts w:eastAsiaTheme="minorHAnsi"/>
          <w:sz w:val="22"/>
          <w:szCs w:val="22"/>
          <w:lang w:eastAsia="en-US"/>
        </w:rPr>
        <w:t>ний, уровень удовлетворенности оказываемой медицинской пом</w:t>
      </w:r>
      <w:r w:rsidRPr="00EC1A78">
        <w:rPr>
          <w:rFonts w:eastAsiaTheme="minorHAnsi"/>
          <w:sz w:val="22"/>
          <w:szCs w:val="22"/>
          <w:lang w:eastAsia="en-US"/>
        </w:rPr>
        <w:t>о</w:t>
      </w:r>
      <w:r w:rsidRPr="00EC1A78">
        <w:rPr>
          <w:rFonts w:eastAsiaTheme="minorHAnsi"/>
          <w:sz w:val="22"/>
          <w:szCs w:val="22"/>
          <w:lang w:eastAsia="en-US"/>
        </w:rPr>
        <w:t>щью снижается с каждым годом. Так, по результатам исследования Н.Л. Русиновой, пациенты особенно недовольны длительностью ожидания приема врача (75,8%), ограниченностью знания врачом проблем пациента (74,2%), несвоевременностью помощи «узких специалистов» (73,2 %) [4].</w:t>
      </w:r>
    </w:p>
    <w:p w:rsid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Другие исследования показывают, что от высокого показателя платности медицинской помощи уровень удовлетворенности д</w:t>
      </w:r>
      <w:r w:rsidRPr="00EC1A78">
        <w:rPr>
          <w:rFonts w:eastAsiaTheme="minorHAnsi"/>
          <w:sz w:val="22"/>
          <w:szCs w:val="22"/>
          <w:lang w:eastAsia="en-US"/>
        </w:rPr>
        <w:t>о</w:t>
      </w:r>
      <w:r w:rsidRPr="00EC1A78">
        <w:rPr>
          <w:rFonts w:eastAsiaTheme="minorHAnsi"/>
          <w:sz w:val="22"/>
          <w:szCs w:val="22"/>
          <w:lang w:eastAsia="en-US"/>
        </w:rPr>
        <w:t>ступностью и качеством медицинской помощи снижается. Резул</w:t>
      </w:r>
      <w:r w:rsidRPr="00EC1A78">
        <w:rPr>
          <w:rFonts w:eastAsiaTheme="minorHAnsi"/>
          <w:sz w:val="22"/>
          <w:szCs w:val="22"/>
          <w:lang w:eastAsia="en-US"/>
        </w:rPr>
        <w:t>ь</w:t>
      </w:r>
      <w:r w:rsidRPr="00EC1A78">
        <w:rPr>
          <w:rFonts w:eastAsiaTheme="minorHAnsi"/>
          <w:sz w:val="22"/>
          <w:szCs w:val="22"/>
          <w:lang w:eastAsia="en-US"/>
        </w:rPr>
        <w:t>татами низкой доступности медицинской помощи является де</w:t>
      </w:r>
      <w:r w:rsidRPr="00EC1A78">
        <w:rPr>
          <w:rFonts w:eastAsiaTheme="minorHAnsi"/>
          <w:sz w:val="22"/>
          <w:szCs w:val="22"/>
          <w:lang w:eastAsia="en-US"/>
        </w:rPr>
        <w:t>я</w:t>
      </w:r>
      <w:r w:rsidRPr="00EC1A78">
        <w:rPr>
          <w:rFonts w:eastAsiaTheme="minorHAnsi"/>
          <w:sz w:val="22"/>
          <w:szCs w:val="22"/>
          <w:lang w:eastAsia="en-US"/>
        </w:rPr>
        <w:lastRenderedPageBreak/>
        <w:t>тельность людей, направленная на самолечение, обращение к н</w:t>
      </w:r>
      <w:r w:rsidRPr="00EC1A78">
        <w:rPr>
          <w:rFonts w:eastAsiaTheme="minorHAnsi"/>
          <w:sz w:val="22"/>
          <w:szCs w:val="22"/>
          <w:lang w:eastAsia="en-US"/>
        </w:rPr>
        <w:t>е</w:t>
      </w:r>
      <w:r w:rsidRPr="00EC1A78">
        <w:rPr>
          <w:rFonts w:eastAsiaTheme="minorHAnsi"/>
          <w:sz w:val="22"/>
          <w:szCs w:val="22"/>
          <w:lang w:eastAsia="en-US"/>
        </w:rPr>
        <w:t>традиционной медицине и т.п., вследствие чего человек обращается к квалифицированной медицинской помощи лишь тогда, когда уже заболевание начало прогрессировать. Это все является следствием глубинных проблем здравоохранения, которые нужно решать, с</w:t>
      </w:r>
      <w:r w:rsidRPr="00EC1A78">
        <w:rPr>
          <w:rFonts w:eastAsiaTheme="minorHAnsi"/>
          <w:sz w:val="22"/>
          <w:szCs w:val="22"/>
          <w:lang w:eastAsia="en-US"/>
        </w:rPr>
        <w:t>о</w:t>
      </w:r>
      <w:r w:rsidRPr="00EC1A78">
        <w:rPr>
          <w:rFonts w:eastAsiaTheme="minorHAnsi"/>
          <w:sz w:val="22"/>
          <w:szCs w:val="22"/>
          <w:lang w:eastAsia="en-US"/>
        </w:rPr>
        <w:t>хранив при этом позитивные аспекты в отечественном здравоохр</w:t>
      </w:r>
      <w:r w:rsidRPr="00EC1A78">
        <w:rPr>
          <w:rFonts w:eastAsiaTheme="minorHAnsi"/>
          <w:sz w:val="22"/>
          <w:szCs w:val="22"/>
          <w:lang w:eastAsia="en-US"/>
        </w:rPr>
        <w:t>а</w:t>
      </w:r>
      <w:r w:rsidRPr="00EC1A78">
        <w:rPr>
          <w:rFonts w:eastAsiaTheme="minorHAnsi"/>
          <w:sz w:val="22"/>
          <w:szCs w:val="22"/>
          <w:lang w:eastAsia="en-US"/>
        </w:rPr>
        <w:t>нении. Необходимо создать поэтапно такую его модель, которая максимальным образом соответствовала бы потребностям гражд</w:t>
      </w:r>
      <w:r w:rsidRPr="00EC1A78">
        <w:rPr>
          <w:rFonts w:eastAsiaTheme="minorHAnsi"/>
          <w:sz w:val="22"/>
          <w:szCs w:val="22"/>
          <w:lang w:eastAsia="en-US"/>
        </w:rPr>
        <w:t>а</w:t>
      </w:r>
      <w:r w:rsidRPr="00EC1A78">
        <w:rPr>
          <w:rFonts w:eastAsiaTheme="minorHAnsi"/>
          <w:sz w:val="22"/>
          <w:szCs w:val="22"/>
          <w:lang w:eastAsia="en-US"/>
        </w:rPr>
        <w:t>нина России, упорядочить и урегулировать оказание платных мед</w:t>
      </w:r>
      <w:r w:rsidRPr="00EC1A78">
        <w:rPr>
          <w:rFonts w:eastAsiaTheme="minorHAnsi"/>
          <w:sz w:val="22"/>
          <w:szCs w:val="22"/>
          <w:lang w:eastAsia="en-US"/>
        </w:rPr>
        <w:t>и</w:t>
      </w:r>
      <w:r w:rsidRPr="00EC1A78">
        <w:rPr>
          <w:rFonts w:eastAsiaTheme="minorHAnsi"/>
          <w:sz w:val="22"/>
          <w:szCs w:val="22"/>
          <w:lang w:eastAsia="en-US"/>
        </w:rPr>
        <w:t>цинских услуг прежде всего в государственных и муниципальных учреждениях здравоохранения. Для решения этой  проблемы разр</w:t>
      </w:r>
      <w:r w:rsidRPr="00EC1A78">
        <w:rPr>
          <w:rFonts w:eastAsiaTheme="minorHAnsi"/>
          <w:sz w:val="22"/>
          <w:szCs w:val="22"/>
          <w:lang w:eastAsia="en-US"/>
        </w:rPr>
        <w:t>а</w:t>
      </w:r>
      <w:r w:rsidRPr="00EC1A78">
        <w:rPr>
          <w:rFonts w:eastAsiaTheme="minorHAnsi"/>
          <w:sz w:val="22"/>
          <w:szCs w:val="22"/>
          <w:lang w:eastAsia="en-US"/>
        </w:rPr>
        <w:t>ботанная «Программа государственных гарантий бесплатного ок</w:t>
      </w:r>
      <w:r w:rsidRPr="00EC1A78">
        <w:rPr>
          <w:rFonts w:eastAsiaTheme="minorHAnsi"/>
          <w:sz w:val="22"/>
          <w:szCs w:val="22"/>
          <w:lang w:eastAsia="en-US"/>
        </w:rPr>
        <w:t>а</w:t>
      </w:r>
      <w:r w:rsidRPr="00EC1A78">
        <w:rPr>
          <w:rFonts w:eastAsiaTheme="minorHAnsi"/>
          <w:sz w:val="22"/>
          <w:szCs w:val="22"/>
          <w:lang w:eastAsia="en-US"/>
        </w:rPr>
        <w:t>зания гражданам медицинской помощи на 2016 год и на плановый период 2017 и 2018 годов»  (далее – Программа) устанавливает: п</w:t>
      </w:r>
      <w:r w:rsidRPr="00EC1A78">
        <w:rPr>
          <w:rFonts w:eastAsiaTheme="minorHAnsi"/>
          <w:sz w:val="22"/>
          <w:szCs w:val="22"/>
          <w:lang w:eastAsia="en-US"/>
        </w:rPr>
        <w:t>е</w:t>
      </w:r>
      <w:r w:rsidRPr="00EC1A78">
        <w:rPr>
          <w:rFonts w:eastAsiaTheme="minorHAnsi"/>
          <w:sz w:val="22"/>
          <w:szCs w:val="22"/>
          <w:lang w:eastAsia="en-US"/>
        </w:rPr>
        <w:t>речень видов, форм и условий медицинской помощи, оказание к</w:t>
      </w:r>
      <w:r w:rsidRPr="00EC1A78">
        <w:rPr>
          <w:rFonts w:eastAsiaTheme="minorHAnsi"/>
          <w:sz w:val="22"/>
          <w:szCs w:val="22"/>
          <w:lang w:eastAsia="en-US"/>
        </w:rPr>
        <w:t>о</w:t>
      </w:r>
      <w:r w:rsidRPr="00EC1A78">
        <w:rPr>
          <w:rFonts w:eastAsiaTheme="minorHAnsi"/>
          <w:sz w:val="22"/>
          <w:szCs w:val="22"/>
          <w:lang w:eastAsia="en-US"/>
        </w:rPr>
        <w:t>торой осуществляется бесплатно; перечень заболеваний и состо</w:t>
      </w:r>
      <w:r w:rsidRPr="00EC1A78">
        <w:rPr>
          <w:rFonts w:eastAsiaTheme="minorHAnsi"/>
          <w:sz w:val="22"/>
          <w:szCs w:val="22"/>
          <w:lang w:eastAsia="en-US"/>
        </w:rPr>
        <w:t>я</w:t>
      </w:r>
      <w:r w:rsidRPr="00EC1A78">
        <w:rPr>
          <w:rFonts w:eastAsiaTheme="minorHAnsi"/>
          <w:sz w:val="22"/>
          <w:szCs w:val="22"/>
          <w:lang w:eastAsia="en-US"/>
        </w:rPr>
        <w:t>ний, оказание медицинской помощи при которых осуществляется бесплатно; категории граждан, оказание медицинской помощи к</w:t>
      </w:r>
      <w:r w:rsidRPr="00EC1A78">
        <w:rPr>
          <w:rFonts w:eastAsiaTheme="minorHAnsi"/>
          <w:sz w:val="22"/>
          <w:szCs w:val="22"/>
          <w:lang w:eastAsia="en-US"/>
        </w:rPr>
        <w:t>о</w:t>
      </w:r>
      <w:r w:rsidRPr="00EC1A78">
        <w:rPr>
          <w:rFonts w:eastAsiaTheme="minorHAnsi"/>
          <w:sz w:val="22"/>
          <w:szCs w:val="22"/>
          <w:lang w:eastAsia="en-US"/>
        </w:rPr>
        <w:t>торым осуществляется бесплатно; средние нормативы объема м</w:t>
      </w:r>
      <w:r w:rsidRPr="00EC1A78">
        <w:rPr>
          <w:rFonts w:eastAsiaTheme="minorHAnsi"/>
          <w:sz w:val="22"/>
          <w:szCs w:val="22"/>
          <w:lang w:eastAsia="en-US"/>
        </w:rPr>
        <w:t>е</w:t>
      </w:r>
      <w:r w:rsidRPr="00EC1A78">
        <w:rPr>
          <w:rFonts w:eastAsiaTheme="minorHAnsi"/>
          <w:sz w:val="22"/>
          <w:szCs w:val="22"/>
          <w:lang w:eastAsia="en-US"/>
        </w:rPr>
        <w:t>дицинской помощи; средние нормативы финансовых затрат на ед</w:t>
      </w:r>
      <w:r w:rsidRPr="00EC1A78">
        <w:rPr>
          <w:rFonts w:eastAsiaTheme="minorHAnsi"/>
          <w:sz w:val="22"/>
          <w:szCs w:val="22"/>
          <w:lang w:eastAsia="en-US"/>
        </w:rPr>
        <w:t>и</w:t>
      </w:r>
      <w:r w:rsidRPr="00EC1A78">
        <w:rPr>
          <w:rFonts w:eastAsiaTheme="minorHAnsi"/>
          <w:sz w:val="22"/>
          <w:szCs w:val="22"/>
          <w:lang w:eastAsia="en-US"/>
        </w:rPr>
        <w:t>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требования к террит</w:t>
      </w:r>
      <w:r w:rsidRPr="00EC1A78">
        <w:rPr>
          <w:rFonts w:eastAsiaTheme="minorHAnsi"/>
          <w:sz w:val="22"/>
          <w:szCs w:val="22"/>
          <w:lang w:eastAsia="en-US"/>
        </w:rPr>
        <w:t>о</w:t>
      </w:r>
      <w:r w:rsidRPr="00EC1A78">
        <w:rPr>
          <w:rFonts w:eastAsiaTheme="minorHAnsi"/>
          <w:sz w:val="22"/>
          <w:szCs w:val="22"/>
          <w:lang w:eastAsia="en-US"/>
        </w:rPr>
        <w:t>риальным программам государственных гарантий бесплатного ок</w:t>
      </w:r>
      <w:r w:rsidRPr="00EC1A78">
        <w:rPr>
          <w:rFonts w:eastAsiaTheme="minorHAnsi"/>
          <w:sz w:val="22"/>
          <w:szCs w:val="22"/>
          <w:lang w:eastAsia="en-US"/>
        </w:rPr>
        <w:t>а</w:t>
      </w:r>
      <w:r w:rsidRPr="00EC1A78">
        <w:rPr>
          <w:rFonts w:eastAsiaTheme="minorHAnsi"/>
          <w:sz w:val="22"/>
          <w:szCs w:val="22"/>
          <w:lang w:eastAsia="en-US"/>
        </w:rPr>
        <w:t>зания гражданам медицинской помощи в части определения поря</w:t>
      </w:r>
      <w:r w:rsidRPr="00EC1A78">
        <w:rPr>
          <w:rFonts w:eastAsiaTheme="minorHAnsi"/>
          <w:sz w:val="22"/>
          <w:szCs w:val="22"/>
          <w:lang w:eastAsia="en-US"/>
        </w:rPr>
        <w:t>д</w:t>
      </w:r>
      <w:r w:rsidRPr="00EC1A78">
        <w:rPr>
          <w:rFonts w:eastAsiaTheme="minorHAnsi"/>
          <w:sz w:val="22"/>
          <w:szCs w:val="22"/>
          <w:lang w:eastAsia="en-US"/>
        </w:rPr>
        <w:t>ка и условий предоставления медицинской помощи, критериев д</w:t>
      </w:r>
      <w:r w:rsidRPr="00EC1A78">
        <w:rPr>
          <w:rFonts w:eastAsiaTheme="minorHAnsi"/>
          <w:sz w:val="22"/>
          <w:szCs w:val="22"/>
          <w:lang w:eastAsia="en-US"/>
        </w:rPr>
        <w:t>о</w:t>
      </w:r>
      <w:r w:rsidRPr="00EC1A78">
        <w:rPr>
          <w:rFonts w:eastAsiaTheme="minorHAnsi"/>
          <w:sz w:val="22"/>
          <w:szCs w:val="22"/>
          <w:lang w:eastAsia="en-US"/>
        </w:rPr>
        <w:t>ступности и качества медицинской помощи [3].</w:t>
      </w:r>
    </w:p>
    <w:p w:rsidR="00C86D06" w:rsidRPr="00EC1A78" w:rsidRDefault="00C86D06" w:rsidP="00EC1A78">
      <w:pPr>
        <w:ind w:firstLine="425"/>
        <w:jc w:val="both"/>
        <w:rPr>
          <w:rFonts w:eastAsiaTheme="minorHAnsi"/>
          <w:sz w:val="22"/>
          <w:szCs w:val="22"/>
          <w:lang w:eastAsia="en-US"/>
        </w:rPr>
      </w:pPr>
    </w:p>
    <w:p w:rsidR="00EC1A78" w:rsidRPr="00EC1A78" w:rsidRDefault="00C86D06" w:rsidP="00EC1A78">
      <w:pPr>
        <w:ind w:firstLine="425"/>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bCs/>
          <w:sz w:val="22"/>
          <w:szCs w:val="22"/>
          <w:lang w:eastAsia="en-US"/>
        </w:rPr>
      </w:pPr>
      <w:r w:rsidRPr="00EC1A78">
        <w:rPr>
          <w:rFonts w:eastAsiaTheme="minorHAnsi"/>
          <w:sz w:val="22"/>
          <w:szCs w:val="22"/>
          <w:lang w:eastAsia="en-US"/>
        </w:rPr>
        <w:t>1.</w:t>
      </w:r>
      <w:r w:rsidRPr="00EC1A78">
        <w:rPr>
          <w:b/>
          <w:bCs/>
          <w:color w:val="333333"/>
          <w:kern w:val="36"/>
          <w:sz w:val="24"/>
          <w:szCs w:val="24"/>
        </w:rPr>
        <w:t xml:space="preserve"> </w:t>
      </w:r>
      <w:r w:rsidRPr="00EC1A78">
        <w:rPr>
          <w:rFonts w:eastAsiaTheme="minorHAnsi"/>
          <w:bCs/>
          <w:sz w:val="22"/>
          <w:szCs w:val="22"/>
          <w:lang w:eastAsia="en-US"/>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N 7–ФКЗ, от 05.02.2014 N 2–ФКЗ, от 21.07.2014 N 11–ФКЗ) [2].</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2. Федеральный закон «Об обязательном медицинском страх</w:t>
      </w:r>
      <w:r w:rsidRPr="00EC1A78">
        <w:rPr>
          <w:rFonts w:eastAsiaTheme="minorHAnsi"/>
          <w:bCs/>
          <w:sz w:val="22"/>
          <w:szCs w:val="22"/>
          <w:lang w:eastAsia="en-US"/>
        </w:rPr>
        <w:t>о</w:t>
      </w:r>
      <w:r w:rsidRPr="00EC1A78">
        <w:rPr>
          <w:rFonts w:eastAsiaTheme="minorHAnsi"/>
          <w:bCs/>
          <w:sz w:val="22"/>
          <w:szCs w:val="22"/>
          <w:lang w:eastAsia="en-US"/>
        </w:rPr>
        <w:t>вании в Российской Федерации» от 29.11.2010 N 326–ФЗ. ст.12.</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3.</w:t>
      </w:r>
      <w:r w:rsidRPr="00EC1A78">
        <w:rPr>
          <w:bCs/>
          <w:color w:val="333333"/>
          <w:kern w:val="36"/>
          <w:sz w:val="24"/>
          <w:szCs w:val="24"/>
        </w:rPr>
        <w:t xml:space="preserve"> </w:t>
      </w:r>
      <w:r w:rsidRPr="00EC1A78">
        <w:rPr>
          <w:rFonts w:eastAsiaTheme="minorHAnsi"/>
          <w:bCs/>
          <w:sz w:val="22"/>
          <w:szCs w:val="22"/>
          <w:lang w:eastAsia="en-US"/>
        </w:rPr>
        <w:t>Типовая программа проверки (ревизии) соблюдения закон</w:t>
      </w:r>
      <w:r w:rsidRPr="00EC1A78">
        <w:rPr>
          <w:rFonts w:eastAsiaTheme="minorHAnsi"/>
          <w:bCs/>
          <w:sz w:val="22"/>
          <w:szCs w:val="22"/>
          <w:lang w:eastAsia="en-US"/>
        </w:rPr>
        <w:t>о</w:t>
      </w:r>
      <w:r w:rsidRPr="00EC1A78">
        <w:rPr>
          <w:rFonts w:eastAsiaTheme="minorHAnsi"/>
          <w:bCs/>
          <w:sz w:val="22"/>
          <w:szCs w:val="22"/>
          <w:lang w:eastAsia="en-US"/>
        </w:rPr>
        <w:t>дательства об обязательном медицинском страховании и использ</w:t>
      </w:r>
      <w:r w:rsidRPr="00EC1A78">
        <w:rPr>
          <w:rFonts w:eastAsiaTheme="minorHAnsi"/>
          <w:bCs/>
          <w:sz w:val="22"/>
          <w:szCs w:val="22"/>
          <w:lang w:eastAsia="en-US"/>
        </w:rPr>
        <w:t>о</w:t>
      </w:r>
      <w:r w:rsidRPr="00EC1A78">
        <w:rPr>
          <w:rFonts w:eastAsiaTheme="minorHAnsi"/>
          <w:bCs/>
          <w:sz w:val="22"/>
          <w:szCs w:val="22"/>
          <w:lang w:eastAsia="en-US"/>
        </w:rPr>
        <w:lastRenderedPageBreak/>
        <w:t>вания средств обязательного медицинского страхования территор</w:t>
      </w:r>
      <w:r w:rsidRPr="00EC1A78">
        <w:rPr>
          <w:rFonts w:eastAsiaTheme="minorHAnsi"/>
          <w:bCs/>
          <w:sz w:val="22"/>
          <w:szCs w:val="22"/>
          <w:lang w:eastAsia="en-US"/>
        </w:rPr>
        <w:t>и</w:t>
      </w:r>
      <w:r w:rsidRPr="00EC1A78">
        <w:rPr>
          <w:rFonts w:eastAsiaTheme="minorHAnsi"/>
          <w:bCs/>
          <w:sz w:val="22"/>
          <w:szCs w:val="22"/>
          <w:lang w:eastAsia="en-US"/>
        </w:rPr>
        <w:t>альным фондом обязательного медицинского страхования в 2016 и 2017 годах (утв. ФФОМС 17.01.2017).</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4. Методика анализа удовлетворенности населения качеством медицинской помощи/ Т.Г. Светличная, О.А. Цыганова, Е.Л. Борч</w:t>
      </w:r>
      <w:r w:rsidRPr="00EC1A78">
        <w:rPr>
          <w:rFonts w:eastAsiaTheme="minorHAnsi"/>
          <w:bCs/>
          <w:sz w:val="22"/>
          <w:szCs w:val="22"/>
          <w:lang w:eastAsia="en-US"/>
        </w:rPr>
        <w:t>а</w:t>
      </w:r>
      <w:r w:rsidRPr="00EC1A78">
        <w:rPr>
          <w:rFonts w:eastAsiaTheme="minorHAnsi"/>
          <w:bCs/>
          <w:sz w:val="22"/>
          <w:szCs w:val="22"/>
          <w:lang w:eastAsia="en-US"/>
        </w:rPr>
        <w:t>нинова. Архангельск, 2010.</w:t>
      </w:r>
    </w:p>
    <w:p w:rsidR="00EC1A78" w:rsidRDefault="00EC1A78" w:rsidP="00EC1A78">
      <w:pPr>
        <w:jc w:val="both"/>
        <w:rPr>
          <w:rFonts w:eastAsiaTheme="minorHAnsi"/>
          <w:sz w:val="22"/>
          <w:szCs w:val="22"/>
          <w:lang w:eastAsia="en-US"/>
        </w:rPr>
      </w:pPr>
    </w:p>
    <w:p w:rsidR="00425497" w:rsidRDefault="00425497" w:rsidP="00EC1A78">
      <w:pPr>
        <w:jc w:val="both"/>
        <w:rPr>
          <w:rFonts w:eastAsiaTheme="minorHAnsi"/>
          <w:sz w:val="22"/>
          <w:szCs w:val="22"/>
          <w:lang w:eastAsia="en-US"/>
        </w:rPr>
      </w:pPr>
    </w:p>
    <w:p w:rsidR="00163DEF" w:rsidRPr="00EC1A78" w:rsidRDefault="00163DEF"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343.6</w:t>
      </w:r>
    </w:p>
    <w:p w:rsidR="00EC1A78" w:rsidRPr="00EC1A78" w:rsidRDefault="00EC1A78" w:rsidP="00EC1A78">
      <w:pPr>
        <w:rPr>
          <w:b/>
          <w:color w:val="000000"/>
          <w:kern w:val="36"/>
          <w:sz w:val="22"/>
          <w:szCs w:val="22"/>
        </w:rPr>
      </w:pPr>
    </w:p>
    <w:p w:rsidR="00EC1A78" w:rsidRPr="00EC1A78" w:rsidRDefault="00EC1A78" w:rsidP="00EC1A78">
      <w:pPr>
        <w:jc w:val="center"/>
        <w:rPr>
          <w:b/>
          <w:color w:val="000000"/>
          <w:kern w:val="36"/>
          <w:sz w:val="24"/>
          <w:szCs w:val="22"/>
        </w:rPr>
      </w:pPr>
      <w:r w:rsidRPr="00EC1A78">
        <w:rPr>
          <w:b/>
          <w:color w:val="000000"/>
          <w:kern w:val="36"/>
          <w:sz w:val="24"/>
          <w:szCs w:val="22"/>
        </w:rPr>
        <w:t>Проблема квалификации убийств, совершённых</w:t>
      </w:r>
    </w:p>
    <w:p w:rsidR="00EC1A78" w:rsidRPr="00EC1A78" w:rsidRDefault="00EC1A78" w:rsidP="00EC1A78">
      <w:pPr>
        <w:jc w:val="center"/>
        <w:rPr>
          <w:b/>
          <w:color w:val="000000"/>
          <w:kern w:val="36"/>
          <w:sz w:val="24"/>
          <w:szCs w:val="22"/>
        </w:rPr>
      </w:pPr>
      <w:r w:rsidRPr="00EC1A78">
        <w:rPr>
          <w:b/>
          <w:color w:val="000000"/>
          <w:kern w:val="36"/>
          <w:sz w:val="24"/>
          <w:szCs w:val="22"/>
        </w:rPr>
        <w:t>в состоянии аффекта</w:t>
      </w:r>
    </w:p>
    <w:p w:rsidR="00EC1A78" w:rsidRPr="00C86D06" w:rsidRDefault="00EC1A78" w:rsidP="00EC1A78">
      <w:pPr>
        <w:jc w:val="center"/>
        <w:rPr>
          <w:rFonts w:eastAsiaTheme="minorHAnsi"/>
          <w:b/>
          <w:sz w:val="24"/>
          <w:szCs w:val="22"/>
          <w:shd w:val="clear" w:color="auto" w:fill="FFFFFF"/>
          <w:lang w:eastAsia="en-US"/>
        </w:rPr>
      </w:pPr>
      <w:r w:rsidRPr="00C86D06">
        <w:rPr>
          <w:rFonts w:eastAsiaTheme="minorHAnsi"/>
          <w:b/>
          <w:sz w:val="24"/>
          <w:szCs w:val="22"/>
          <w:shd w:val="clear" w:color="auto" w:fill="FFFFFF"/>
          <w:lang w:val="en-US" w:eastAsia="en-US"/>
        </w:rPr>
        <w:t>The</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problem</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of</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the</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protection</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of</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killings</w:t>
      </w:r>
      <w:r w:rsidRPr="00C86D06">
        <w:rPr>
          <w:rFonts w:eastAsiaTheme="minorHAnsi"/>
          <w:b/>
          <w:sz w:val="24"/>
          <w:szCs w:val="22"/>
          <w:shd w:val="clear" w:color="auto" w:fill="FFFFFF"/>
          <w:lang w:eastAsia="en-US"/>
        </w:rPr>
        <w:t xml:space="preserve"> </w:t>
      </w:r>
      <w:r w:rsidRPr="00C86D06">
        <w:rPr>
          <w:rFonts w:eastAsiaTheme="minorHAnsi"/>
          <w:b/>
          <w:sz w:val="24"/>
          <w:szCs w:val="22"/>
          <w:shd w:val="clear" w:color="auto" w:fill="FFFFFF"/>
          <w:lang w:val="en-US" w:eastAsia="en-US"/>
        </w:rPr>
        <w:t>committed</w:t>
      </w:r>
    </w:p>
    <w:p w:rsidR="00EC1A78" w:rsidRPr="00C86D06" w:rsidRDefault="00EC1A78" w:rsidP="00EC1A78">
      <w:pPr>
        <w:jc w:val="center"/>
        <w:rPr>
          <w:b/>
          <w:kern w:val="36"/>
          <w:sz w:val="24"/>
          <w:szCs w:val="22"/>
          <w:lang w:val="en-US"/>
        </w:rPr>
      </w:pPr>
      <w:r w:rsidRPr="00C86D06">
        <w:rPr>
          <w:rFonts w:eastAsiaTheme="minorHAnsi"/>
          <w:b/>
          <w:sz w:val="24"/>
          <w:szCs w:val="22"/>
          <w:shd w:val="clear" w:color="auto" w:fill="FFFFFF"/>
          <w:lang w:val="en-US" w:eastAsia="en-US"/>
        </w:rPr>
        <w:t>in a state of affect</w:t>
      </w:r>
    </w:p>
    <w:p w:rsidR="00EC1A78" w:rsidRPr="00EC1A78" w:rsidRDefault="00EC1A78" w:rsidP="00EC1A78">
      <w:pPr>
        <w:rPr>
          <w:rFonts w:eastAsiaTheme="minorHAnsi"/>
          <w:sz w:val="22"/>
          <w:szCs w:val="22"/>
          <w:lang w:val="en-US" w:eastAsia="en-US"/>
        </w:rPr>
      </w:pPr>
    </w:p>
    <w:p w:rsidR="00EC1A78" w:rsidRPr="001C6F5C" w:rsidRDefault="00EC1A78" w:rsidP="00EC1A78">
      <w:pPr>
        <w:jc w:val="right"/>
        <w:rPr>
          <w:rFonts w:eastAsiaTheme="minorHAnsi"/>
          <w:sz w:val="22"/>
          <w:szCs w:val="22"/>
          <w:lang w:val="en-US" w:eastAsia="en-US"/>
        </w:rPr>
      </w:pPr>
      <w:r w:rsidRPr="00EC1A78">
        <w:rPr>
          <w:rFonts w:eastAsiaTheme="minorHAnsi"/>
          <w:sz w:val="22"/>
          <w:szCs w:val="22"/>
          <w:lang w:eastAsia="en-US"/>
        </w:rPr>
        <w:t>Радякина</w:t>
      </w:r>
      <w:r w:rsidRPr="001C6F5C">
        <w:rPr>
          <w:rFonts w:eastAsiaTheme="minorHAnsi"/>
          <w:sz w:val="22"/>
          <w:szCs w:val="22"/>
          <w:lang w:val="en-US" w:eastAsia="en-US"/>
        </w:rPr>
        <w:t xml:space="preserve"> </w:t>
      </w:r>
      <w:r w:rsidRPr="00EC1A78">
        <w:rPr>
          <w:rFonts w:eastAsiaTheme="minorHAnsi"/>
          <w:sz w:val="22"/>
          <w:szCs w:val="22"/>
          <w:lang w:eastAsia="en-US"/>
        </w:rPr>
        <w:t>А</w:t>
      </w:r>
      <w:r w:rsidRPr="001C6F5C">
        <w:rPr>
          <w:rFonts w:eastAsiaTheme="minorHAnsi"/>
          <w:sz w:val="22"/>
          <w:szCs w:val="22"/>
          <w:lang w:val="en-US" w:eastAsia="en-US"/>
        </w:rPr>
        <w:t>.</w:t>
      </w:r>
      <w:r w:rsidR="00C86D06" w:rsidRPr="001C6F5C">
        <w:rPr>
          <w:rFonts w:eastAsiaTheme="minorHAnsi"/>
          <w:sz w:val="22"/>
          <w:szCs w:val="22"/>
          <w:lang w:val="en-US" w:eastAsia="en-US"/>
        </w:rPr>
        <w:t xml:space="preserve"> </w:t>
      </w:r>
      <w:r w:rsidRPr="00EC1A78">
        <w:rPr>
          <w:rFonts w:eastAsiaTheme="minorHAnsi"/>
          <w:sz w:val="22"/>
          <w:szCs w:val="22"/>
          <w:lang w:eastAsia="en-US"/>
        </w:rPr>
        <w:t>И</w:t>
      </w:r>
      <w:r w:rsidRPr="001C6F5C">
        <w:rPr>
          <w:rFonts w:eastAsiaTheme="minorHAnsi"/>
          <w:sz w:val="22"/>
          <w:szCs w:val="22"/>
          <w:lang w:val="en-US"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w:t>
      </w:r>
      <w:r w:rsidR="00C86D06">
        <w:rPr>
          <w:rFonts w:eastAsiaTheme="minorHAnsi"/>
          <w:sz w:val="22"/>
          <w:szCs w:val="22"/>
          <w:lang w:eastAsia="en-US"/>
        </w:rPr>
        <w:t>удентка 1–го курса магистратуры</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Картавченко В.</w:t>
      </w:r>
      <w:r w:rsidR="00C86D0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статье затронута тема убийств с</w:t>
      </w:r>
      <w:r w:rsidRPr="00EC1A78">
        <w:rPr>
          <w:rFonts w:eastAsiaTheme="minorHAnsi"/>
          <w:sz w:val="22"/>
          <w:szCs w:val="22"/>
          <w:lang w:eastAsia="en-US"/>
        </w:rPr>
        <w:t>о</w:t>
      </w:r>
      <w:r w:rsidRPr="00EC1A78">
        <w:rPr>
          <w:rFonts w:eastAsiaTheme="minorHAnsi"/>
          <w:sz w:val="22"/>
          <w:szCs w:val="22"/>
          <w:lang w:eastAsia="en-US"/>
        </w:rPr>
        <w:t>вершенных в состоянии аффекта. Рассмотрены труды ученых, м</w:t>
      </w:r>
      <w:r w:rsidRPr="00EC1A78">
        <w:rPr>
          <w:rFonts w:eastAsiaTheme="minorHAnsi"/>
          <w:sz w:val="22"/>
          <w:szCs w:val="22"/>
          <w:lang w:eastAsia="en-US"/>
        </w:rPr>
        <w:t>е</w:t>
      </w:r>
      <w:r w:rsidRPr="00EC1A78">
        <w:rPr>
          <w:rFonts w:eastAsiaTheme="minorHAnsi"/>
          <w:sz w:val="22"/>
          <w:szCs w:val="22"/>
          <w:lang w:eastAsia="en-US"/>
        </w:rPr>
        <w:t>дицинские критерии аффекта, а так же, найдены проблемы, треб</w:t>
      </w:r>
      <w:r w:rsidRPr="00EC1A78">
        <w:rPr>
          <w:rFonts w:eastAsiaTheme="minorHAnsi"/>
          <w:sz w:val="22"/>
          <w:szCs w:val="22"/>
          <w:lang w:eastAsia="en-US"/>
        </w:rPr>
        <w:t>у</w:t>
      </w:r>
      <w:r w:rsidRPr="00EC1A78">
        <w:rPr>
          <w:rFonts w:eastAsiaTheme="minorHAnsi"/>
          <w:sz w:val="22"/>
          <w:szCs w:val="22"/>
          <w:lang w:eastAsia="en-US"/>
        </w:rPr>
        <w:t>ющие своего решения.</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shd w:val="clear" w:color="auto" w:fill="FFFFFF"/>
          <w:lang w:val="en-US" w:eastAsia="en-US"/>
        </w:rPr>
        <w:t>ABSTRACT: This article deals with the topic of killings committed in a state of affect. The works of scientists, medical criteria of affect are considered, as well as problems that require their solution.</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состояние, аффект, насилие, убийство, психотравмирующие действия виновный, потерпевший.</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shd w:val="clear" w:color="auto" w:fill="FFFFFF"/>
          <w:lang w:val="en-US" w:eastAsia="en-US"/>
        </w:rPr>
        <w:t>KEYWORDS: state, affect, violence, murder, psycho–traumatic a</w:t>
      </w:r>
      <w:r w:rsidRPr="00EC1A78">
        <w:rPr>
          <w:rFonts w:eastAsiaTheme="minorHAnsi"/>
          <w:sz w:val="22"/>
          <w:szCs w:val="22"/>
          <w:shd w:val="clear" w:color="auto" w:fill="FFFFFF"/>
          <w:lang w:val="en-US" w:eastAsia="en-US"/>
        </w:rPr>
        <w:t>c</w:t>
      </w:r>
      <w:r w:rsidRPr="00EC1A78">
        <w:rPr>
          <w:rFonts w:eastAsiaTheme="minorHAnsi"/>
          <w:sz w:val="22"/>
          <w:szCs w:val="22"/>
          <w:shd w:val="clear" w:color="auto" w:fill="FFFFFF"/>
          <w:lang w:val="en-US" w:eastAsia="en-US"/>
        </w:rPr>
        <w:t>tions, guilty, injured.</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За последние годы уровень насильственной преступности в России вырос. К данной категории преступлений мы относим одно из самых антиобщественных – убийство. В науке уголовного права данное преступление квалифицируется в зависимости от смягча</w:t>
      </w:r>
      <w:r w:rsidRPr="00EC1A78">
        <w:rPr>
          <w:rFonts w:eastAsiaTheme="minorHAnsi"/>
          <w:sz w:val="22"/>
          <w:szCs w:val="22"/>
          <w:lang w:eastAsia="en-US"/>
        </w:rPr>
        <w:t>ю</w:t>
      </w:r>
      <w:r w:rsidRPr="00EC1A78">
        <w:rPr>
          <w:rFonts w:eastAsiaTheme="minorHAnsi"/>
          <w:sz w:val="22"/>
          <w:szCs w:val="22"/>
          <w:lang w:eastAsia="en-US"/>
        </w:rPr>
        <w:t>щих и с отягчающих обстоятельств. В данной статье хотим ра</w:t>
      </w:r>
      <w:r w:rsidRPr="00EC1A78">
        <w:rPr>
          <w:rFonts w:eastAsiaTheme="minorHAnsi"/>
          <w:sz w:val="22"/>
          <w:szCs w:val="22"/>
          <w:lang w:eastAsia="en-US"/>
        </w:rPr>
        <w:t>с</w:t>
      </w:r>
      <w:r w:rsidRPr="00EC1A78">
        <w:rPr>
          <w:rFonts w:eastAsiaTheme="minorHAnsi"/>
          <w:sz w:val="22"/>
          <w:szCs w:val="22"/>
          <w:lang w:eastAsia="en-US"/>
        </w:rPr>
        <w:t>смотреть убийство в состоянии аффекта.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Состояние аффекта по уголовному праву России является смягчающим обстоятельством. Данный вид преступного деяния имеет основной признак, который в свою очередь указывает на ос</w:t>
      </w:r>
      <w:r w:rsidRPr="00EC1A78">
        <w:rPr>
          <w:rFonts w:eastAsiaTheme="minorHAnsi"/>
          <w:sz w:val="22"/>
          <w:szCs w:val="22"/>
          <w:lang w:eastAsia="en-US"/>
        </w:rPr>
        <w:t>о</w:t>
      </w:r>
      <w:r w:rsidRPr="00EC1A78">
        <w:rPr>
          <w:rFonts w:eastAsiaTheme="minorHAnsi"/>
          <w:sz w:val="22"/>
          <w:szCs w:val="22"/>
          <w:lang w:eastAsia="en-US"/>
        </w:rPr>
        <w:t>бое психическое (душевное) состояние лица совершившего пр</w:t>
      </w:r>
      <w:r w:rsidRPr="00EC1A78">
        <w:rPr>
          <w:rFonts w:eastAsiaTheme="minorHAnsi"/>
          <w:sz w:val="22"/>
          <w:szCs w:val="22"/>
          <w:lang w:eastAsia="en-US"/>
        </w:rPr>
        <w:t>е</w:t>
      </w:r>
      <w:r w:rsidRPr="00EC1A78">
        <w:rPr>
          <w:rFonts w:eastAsiaTheme="minorHAnsi"/>
          <w:sz w:val="22"/>
          <w:szCs w:val="22"/>
          <w:lang w:eastAsia="en-US"/>
        </w:rPr>
        <w:t>ступление. Вышеуказанный признак находится в диспозиции ст. 107 УК РФ, рассмотрев которую мы приходим к выводу, что пон</w:t>
      </w:r>
      <w:r w:rsidRPr="00EC1A78">
        <w:rPr>
          <w:rFonts w:eastAsiaTheme="minorHAnsi"/>
          <w:sz w:val="22"/>
          <w:szCs w:val="22"/>
          <w:lang w:eastAsia="en-US"/>
        </w:rPr>
        <w:t>я</w:t>
      </w:r>
      <w:r w:rsidRPr="00EC1A78">
        <w:rPr>
          <w:rFonts w:eastAsiaTheme="minorHAnsi"/>
          <w:sz w:val="22"/>
          <w:szCs w:val="22"/>
          <w:lang w:eastAsia="en-US"/>
        </w:rPr>
        <w:t>тие «состояние аффекта» и «состояние внезапно возникшего сил</w:t>
      </w:r>
      <w:r w:rsidRPr="00EC1A78">
        <w:rPr>
          <w:rFonts w:eastAsiaTheme="minorHAnsi"/>
          <w:sz w:val="22"/>
          <w:szCs w:val="22"/>
          <w:lang w:eastAsia="en-US"/>
        </w:rPr>
        <w:t>ь</w:t>
      </w:r>
      <w:r w:rsidRPr="00EC1A78">
        <w:rPr>
          <w:rFonts w:eastAsiaTheme="minorHAnsi"/>
          <w:sz w:val="22"/>
          <w:szCs w:val="22"/>
          <w:lang w:eastAsia="en-US"/>
        </w:rPr>
        <w:t>ного душевного волнения» идентичны[1].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Для того чтобы четко отграничить простое убийство и уби</w:t>
      </w:r>
      <w:r w:rsidRPr="00EC1A78">
        <w:rPr>
          <w:rFonts w:eastAsiaTheme="minorHAnsi"/>
          <w:sz w:val="22"/>
          <w:szCs w:val="22"/>
          <w:lang w:eastAsia="en-US"/>
        </w:rPr>
        <w:t>й</w:t>
      </w:r>
      <w:r w:rsidRPr="00EC1A78">
        <w:rPr>
          <w:rFonts w:eastAsiaTheme="minorHAnsi"/>
          <w:sz w:val="22"/>
          <w:szCs w:val="22"/>
          <w:lang w:eastAsia="en-US"/>
        </w:rPr>
        <w:t>ство в состоянии аффекта необходимо рассмотреть объективную сторону преступления, а так же медицинскую характеристику с</w:t>
      </w:r>
      <w:r w:rsidRPr="00EC1A78">
        <w:rPr>
          <w:rFonts w:eastAsiaTheme="minorHAnsi"/>
          <w:sz w:val="22"/>
          <w:szCs w:val="22"/>
          <w:lang w:eastAsia="en-US"/>
        </w:rPr>
        <w:t>о</w:t>
      </w:r>
      <w:r w:rsidRPr="00EC1A78">
        <w:rPr>
          <w:rFonts w:eastAsiaTheme="minorHAnsi"/>
          <w:sz w:val="22"/>
          <w:szCs w:val="22"/>
          <w:lang w:eastAsia="en-US"/>
        </w:rPr>
        <w:t>стояния аффекта.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Объективной стороной такого преступления как убийство в с</w:t>
      </w:r>
      <w:r w:rsidRPr="00EC1A78">
        <w:rPr>
          <w:rFonts w:eastAsiaTheme="minorHAnsi"/>
          <w:sz w:val="22"/>
          <w:szCs w:val="22"/>
          <w:lang w:eastAsia="en-US"/>
        </w:rPr>
        <w:t>о</w:t>
      </w:r>
      <w:r w:rsidRPr="00EC1A78">
        <w:rPr>
          <w:rFonts w:eastAsiaTheme="minorHAnsi"/>
          <w:sz w:val="22"/>
          <w:szCs w:val="22"/>
          <w:lang w:eastAsia="en-US"/>
        </w:rPr>
        <w:t>стоянии аффекта, является психотравмирующее состояние, вызва</w:t>
      </w:r>
      <w:r w:rsidRPr="00EC1A78">
        <w:rPr>
          <w:rFonts w:eastAsiaTheme="minorHAnsi"/>
          <w:sz w:val="22"/>
          <w:szCs w:val="22"/>
          <w:lang w:eastAsia="en-US"/>
        </w:rPr>
        <w:t>н</w:t>
      </w:r>
      <w:r w:rsidRPr="00EC1A78">
        <w:rPr>
          <w:rFonts w:eastAsiaTheme="minorHAnsi"/>
          <w:sz w:val="22"/>
          <w:szCs w:val="22"/>
          <w:lang w:eastAsia="en-US"/>
        </w:rPr>
        <w:t>ное в свою очередь насилием, издевательствами, различными ам</w:t>
      </w:r>
      <w:r w:rsidRPr="00EC1A78">
        <w:rPr>
          <w:rFonts w:eastAsiaTheme="minorHAnsi"/>
          <w:sz w:val="22"/>
          <w:szCs w:val="22"/>
          <w:lang w:eastAsia="en-US"/>
        </w:rPr>
        <w:t>о</w:t>
      </w:r>
      <w:r w:rsidRPr="00EC1A78">
        <w:rPr>
          <w:rFonts w:eastAsiaTheme="minorHAnsi"/>
          <w:sz w:val="22"/>
          <w:szCs w:val="22"/>
          <w:lang w:eastAsia="en-US"/>
        </w:rPr>
        <w:t>ральными действиями со стороны потерпевшего, либо его длител</w:t>
      </w:r>
      <w:r w:rsidRPr="00EC1A78">
        <w:rPr>
          <w:rFonts w:eastAsiaTheme="minorHAnsi"/>
          <w:sz w:val="22"/>
          <w:szCs w:val="22"/>
          <w:lang w:eastAsia="en-US"/>
        </w:rPr>
        <w:t>ь</w:t>
      </w:r>
      <w:r w:rsidRPr="00EC1A78">
        <w:rPr>
          <w:rFonts w:eastAsiaTheme="minorHAnsi"/>
          <w:sz w:val="22"/>
          <w:szCs w:val="22"/>
          <w:lang w:eastAsia="en-US"/>
        </w:rPr>
        <w:t>ным и систематическим давлением и безнравственным поведен</w:t>
      </w:r>
      <w:r w:rsidRPr="00EC1A78">
        <w:rPr>
          <w:rFonts w:eastAsiaTheme="minorHAnsi"/>
          <w:sz w:val="22"/>
          <w:szCs w:val="22"/>
          <w:lang w:eastAsia="en-US"/>
        </w:rPr>
        <w:t>и</w:t>
      </w:r>
      <w:r w:rsidRPr="00EC1A78">
        <w:rPr>
          <w:rFonts w:eastAsiaTheme="minorHAnsi"/>
          <w:sz w:val="22"/>
          <w:szCs w:val="22"/>
          <w:lang w:eastAsia="en-US"/>
        </w:rPr>
        <w:t>ем[2].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Если рассмотреть аффект с медицинской точки зрения, мы м</w:t>
      </w:r>
      <w:r w:rsidRPr="00EC1A78">
        <w:rPr>
          <w:rFonts w:eastAsiaTheme="minorHAnsi"/>
          <w:sz w:val="22"/>
          <w:szCs w:val="22"/>
          <w:lang w:eastAsia="en-US"/>
        </w:rPr>
        <w:t>о</w:t>
      </w:r>
      <w:r w:rsidRPr="00EC1A78">
        <w:rPr>
          <w:rFonts w:eastAsiaTheme="minorHAnsi"/>
          <w:sz w:val="22"/>
          <w:szCs w:val="22"/>
          <w:lang w:eastAsia="en-US"/>
        </w:rPr>
        <w:t>жем заметить некоторые его особенности. В медицине выделяется патологический (симптом психического заболевания) и физиолог</w:t>
      </w:r>
      <w:r w:rsidRPr="00EC1A78">
        <w:rPr>
          <w:rFonts w:eastAsiaTheme="minorHAnsi"/>
          <w:sz w:val="22"/>
          <w:szCs w:val="22"/>
          <w:lang w:eastAsia="en-US"/>
        </w:rPr>
        <w:t>и</w:t>
      </w:r>
      <w:r w:rsidRPr="00EC1A78">
        <w:rPr>
          <w:rFonts w:eastAsiaTheme="minorHAnsi"/>
          <w:sz w:val="22"/>
          <w:szCs w:val="22"/>
          <w:lang w:eastAsia="en-US"/>
        </w:rPr>
        <w:t>ческий (вызвано состоянием травмирующим психику) аффект. Ос</w:t>
      </w:r>
      <w:r w:rsidRPr="00EC1A78">
        <w:rPr>
          <w:rFonts w:eastAsiaTheme="minorHAnsi"/>
          <w:sz w:val="22"/>
          <w:szCs w:val="22"/>
          <w:lang w:eastAsia="en-US"/>
        </w:rPr>
        <w:t>о</w:t>
      </w:r>
      <w:r w:rsidRPr="00EC1A78">
        <w:rPr>
          <w:rFonts w:eastAsiaTheme="minorHAnsi"/>
          <w:sz w:val="22"/>
          <w:szCs w:val="22"/>
          <w:lang w:eastAsia="en-US"/>
        </w:rPr>
        <w:t>бенностью аффекта является его резкое начало и короткая продо</w:t>
      </w:r>
      <w:r w:rsidRPr="00EC1A78">
        <w:rPr>
          <w:rFonts w:eastAsiaTheme="minorHAnsi"/>
          <w:sz w:val="22"/>
          <w:szCs w:val="22"/>
          <w:lang w:eastAsia="en-US"/>
        </w:rPr>
        <w:t>л</w:t>
      </w:r>
      <w:r w:rsidRPr="00EC1A78">
        <w:rPr>
          <w:rFonts w:eastAsiaTheme="minorHAnsi"/>
          <w:sz w:val="22"/>
          <w:szCs w:val="22"/>
          <w:lang w:eastAsia="en-US"/>
        </w:rPr>
        <w:t>жительность. Признак неожиданности характеризует особенность проявления аффекта в виде так называемой «эмоциональной вспышки». В данном случае промежуток времени между провоц</w:t>
      </w:r>
      <w:r w:rsidRPr="00EC1A78">
        <w:rPr>
          <w:rFonts w:eastAsiaTheme="minorHAnsi"/>
          <w:sz w:val="22"/>
          <w:szCs w:val="22"/>
          <w:lang w:eastAsia="en-US"/>
        </w:rPr>
        <w:t>и</w:t>
      </w:r>
      <w:r w:rsidRPr="00EC1A78">
        <w:rPr>
          <w:rFonts w:eastAsiaTheme="minorHAnsi"/>
          <w:sz w:val="22"/>
          <w:szCs w:val="22"/>
          <w:lang w:eastAsia="en-US"/>
        </w:rPr>
        <w:t>рующими действиями (бездействиями) жертвы и возникшим сост</w:t>
      </w:r>
      <w:r w:rsidRPr="00EC1A78">
        <w:rPr>
          <w:rFonts w:eastAsiaTheme="minorHAnsi"/>
          <w:sz w:val="22"/>
          <w:szCs w:val="22"/>
          <w:lang w:eastAsia="en-US"/>
        </w:rPr>
        <w:t>о</w:t>
      </w:r>
      <w:r w:rsidRPr="00EC1A78">
        <w:rPr>
          <w:rFonts w:eastAsiaTheme="minorHAnsi"/>
          <w:sz w:val="22"/>
          <w:szCs w:val="22"/>
          <w:lang w:eastAsia="en-US"/>
        </w:rPr>
        <w:t xml:space="preserve">янием аффекта должен быть незначительным, а так же послужить внешним толчком запустившим процесс эмоционального «взрыва».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Заметим, что между психологическим воздействием жертвы и аффектом должна быть непосредственная связь.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Для применения ст. 107 УК РФ обязательно должно прису</w:t>
      </w:r>
      <w:r w:rsidRPr="00EC1A78">
        <w:rPr>
          <w:rFonts w:eastAsiaTheme="minorHAnsi"/>
          <w:sz w:val="22"/>
          <w:szCs w:val="22"/>
          <w:lang w:eastAsia="en-US"/>
        </w:rPr>
        <w:t>т</w:t>
      </w:r>
      <w:r w:rsidRPr="00EC1A78">
        <w:rPr>
          <w:rFonts w:eastAsiaTheme="minorHAnsi"/>
          <w:sz w:val="22"/>
          <w:szCs w:val="22"/>
          <w:lang w:eastAsia="en-US"/>
        </w:rPr>
        <w:t>ствовать аморальное поведение потерпевшего (оскорбления, нас</w:t>
      </w:r>
      <w:r w:rsidRPr="00EC1A78">
        <w:rPr>
          <w:rFonts w:eastAsiaTheme="minorHAnsi"/>
          <w:sz w:val="22"/>
          <w:szCs w:val="22"/>
          <w:lang w:eastAsia="en-US"/>
        </w:rPr>
        <w:t>и</w:t>
      </w:r>
      <w:r w:rsidRPr="00EC1A78">
        <w:rPr>
          <w:rFonts w:eastAsiaTheme="minorHAnsi"/>
          <w:sz w:val="22"/>
          <w:szCs w:val="22"/>
          <w:lang w:eastAsia="en-US"/>
        </w:rPr>
        <w:t>лие, издевательство), которое направлено на виновного либо  его близких. Если со стороны потерпевшего не происходило никакого давления и психотравмирующих действий, то и аффект в данном случае будет считаться только конструктивным элементов, а уби</w:t>
      </w:r>
      <w:r w:rsidRPr="00EC1A78">
        <w:rPr>
          <w:rFonts w:eastAsiaTheme="minorHAnsi"/>
          <w:sz w:val="22"/>
          <w:szCs w:val="22"/>
          <w:lang w:eastAsia="en-US"/>
        </w:rPr>
        <w:t>й</w:t>
      </w:r>
      <w:r w:rsidRPr="00EC1A78">
        <w:rPr>
          <w:rFonts w:eastAsiaTheme="minorHAnsi"/>
          <w:sz w:val="22"/>
          <w:szCs w:val="22"/>
          <w:lang w:eastAsia="en-US"/>
        </w:rPr>
        <w:t xml:space="preserve">ство квалифицируется по п.1 ст.105 УК РФ. Так же по ст. 105 УК РФ будет рассмотрена ситуация, если провокатором и зачинщиком конфликта будет сам виновный. </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Изучив труды профессора Б.А. Спасенникова, было замечено,   что в рассмотренных им материалах судебной практики не встрет</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лось ни одного случая экспертизы аффекта у ранее судимого за х</w:t>
      </w:r>
      <w:r w:rsidRPr="00EC1A78">
        <w:rPr>
          <w:rFonts w:eastAsiaTheme="minorHAnsi"/>
          <w:sz w:val="22"/>
          <w:szCs w:val="22"/>
          <w:shd w:val="clear" w:color="auto" w:fill="FFFFFF"/>
          <w:lang w:eastAsia="en-US"/>
        </w:rPr>
        <w:t>у</w:t>
      </w:r>
      <w:r w:rsidRPr="00EC1A78">
        <w:rPr>
          <w:rFonts w:eastAsiaTheme="minorHAnsi"/>
          <w:sz w:val="22"/>
          <w:szCs w:val="22"/>
          <w:shd w:val="clear" w:color="auto" w:fill="FFFFFF"/>
          <w:lang w:eastAsia="en-US"/>
        </w:rPr>
        <w:t>лиганство, кражу, вымогательство, в то время как необоснованные попытки поиска совершения деяния в состоянии аффекта часто о</w:t>
      </w:r>
      <w:r w:rsidRPr="00EC1A78">
        <w:rPr>
          <w:rFonts w:eastAsiaTheme="minorHAnsi"/>
          <w:sz w:val="22"/>
          <w:szCs w:val="22"/>
          <w:shd w:val="clear" w:color="auto" w:fill="FFFFFF"/>
          <w:lang w:eastAsia="en-US"/>
        </w:rPr>
        <w:t>т</w:t>
      </w:r>
      <w:r w:rsidRPr="00EC1A78">
        <w:rPr>
          <w:rFonts w:eastAsiaTheme="minorHAnsi"/>
          <w:sz w:val="22"/>
          <w:szCs w:val="22"/>
          <w:shd w:val="clear" w:color="auto" w:fill="FFFFFF"/>
          <w:lang w:eastAsia="en-US"/>
        </w:rPr>
        <w:t>мечались, если на скамье подсудимых оказывались интеллигент, жена алкоголика, оскорбленный супруг и другие «жертвы»[3].</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Рассматривая тему аффекта, нами были замечены проблемы, требующие скорейшего разрешения, путем внесения изменений  в ст. 107 УК РФ. Предлагаем внести в ст. 107 УКРФ уточнения кас</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ющиеся круга лиц, в отношении которых применяется психотра</w:t>
      </w:r>
      <w:r w:rsidRPr="00EC1A78">
        <w:rPr>
          <w:rFonts w:eastAsiaTheme="minorHAnsi"/>
          <w:sz w:val="22"/>
          <w:szCs w:val="22"/>
          <w:shd w:val="clear" w:color="auto" w:fill="FFFFFF"/>
          <w:lang w:eastAsia="en-US"/>
        </w:rPr>
        <w:t>в</w:t>
      </w:r>
      <w:r w:rsidRPr="00EC1A78">
        <w:rPr>
          <w:rFonts w:eastAsiaTheme="minorHAnsi"/>
          <w:sz w:val="22"/>
          <w:szCs w:val="22"/>
          <w:shd w:val="clear" w:color="auto" w:fill="FFFFFF"/>
          <w:lang w:eastAsia="en-US"/>
        </w:rPr>
        <w:t>мирующее насилие со стороны потерпевшего – это не только сам виновный, но и его близкие. Так же стоит подвергнуть изменениям диспозицию ст. 107 УК РФ – исключить из нее понятие «внезапно возникшее сильное душевное волнение», оставив при этом «а</w:t>
      </w:r>
      <w:r w:rsidRPr="00EC1A78">
        <w:rPr>
          <w:rFonts w:eastAsiaTheme="minorHAnsi"/>
          <w:sz w:val="22"/>
          <w:szCs w:val="22"/>
          <w:shd w:val="clear" w:color="auto" w:fill="FFFFFF"/>
          <w:lang w:eastAsia="en-US"/>
        </w:rPr>
        <w:t>ф</w:t>
      </w:r>
      <w:r w:rsidRPr="00EC1A78">
        <w:rPr>
          <w:rFonts w:eastAsiaTheme="minorHAnsi"/>
          <w:sz w:val="22"/>
          <w:szCs w:val="22"/>
          <w:shd w:val="clear" w:color="auto" w:fill="FFFFFF"/>
          <w:lang w:eastAsia="en-US"/>
        </w:rPr>
        <w:t>фект». Ведь, в сущности, понятие аффект шире и включает в себя не один признак. «Душевное волнение» – лишь составляющая часть понятия «аффект».</w:t>
      </w:r>
    </w:p>
    <w:p w:rsidR="00EC1A78" w:rsidRPr="00EC1A78" w:rsidRDefault="00EC1A78" w:rsidP="00EC1A78">
      <w:pPr>
        <w:rPr>
          <w:rFonts w:eastAsiaTheme="minorHAnsi"/>
          <w:sz w:val="22"/>
          <w:szCs w:val="22"/>
          <w:shd w:val="clear" w:color="auto" w:fill="FFFFFF"/>
          <w:lang w:eastAsia="en-US"/>
        </w:rPr>
      </w:pPr>
    </w:p>
    <w:p w:rsidR="00EC1A78" w:rsidRPr="00EC1A78" w:rsidRDefault="00EC1A78" w:rsidP="00EC1A78">
      <w:pPr>
        <w:jc w:val="center"/>
        <w:rPr>
          <w:rFonts w:eastAsiaTheme="minorHAnsi"/>
          <w:sz w:val="22"/>
          <w:szCs w:val="22"/>
          <w:shd w:val="clear" w:color="auto" w:fill="FFFFFF"/>
          <w:lang w:eastAsia="en-US"/>
        </w:rPr>
      </w:pPr>
      <w:r w:rsidRPr="00EC1A78">
        <w:rPr>
          <w:rFonts w:eastAsiaTheme="minorHAnsi"/>
          <w:sz w:val="22"/>
          <w:szCs w:val="22"/>
          <w:shd w:val="clear" w:color="auto" w:fill="FFFFFF"/>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Уголовный кодекс РФ от 13.06.1996г. №63 ФЗ (ред. от 19.02.2018)// Собрание законодательства Российской Федерации от 1996 г., № 25.</w:t>
      </w:r>
    </w:p>
    <w:p w:rsidR="00EC1A78" w:rsidRPr="00EC1A78" w:rsidRDefault="00EC1A78" w:rsidP="00EC1A78">
      <w:pPr>
        <w:ind w:firstLine="426"/>
        <w:jc w:val="both"/>
        <w:rPr>
          <w:rFonts w:eastAsiaTheme="minorHAnsi"/>
          <w:b/>
          <w:sz w:val="22"/>
          <w:szCs w:val="22"/>
          <w:shd w:val="clear" w:color="auto" w:fill="FFFFFF"/>
          <w:lang w:eastAsia="en-US"/>
        </w:rPr>
      </w:pPr>
      <w:r w:rsidRPr="00EC1A78">
        <w:rPr>
          <w:rFonts w:eastAsiaTheme="minorHAnsi"/>
          <w:sz w:val="22"/>
          <w:szCs w:val="22"/>
          <w:lang w:eastAsia="en-US"/>
        </w:rPr>
        <w:t>2. Додонов В.Н. Сравнительное уголовное право. Общая часть. М., 2015.</w:t>
      </w:r>
    </w:p>
    <w:p w:rsidR="00EC1A78" w:rsidRPr="00EC1A78" w:rsidRDefault="00EC1A78" w:rsidP="00EC1A78">
      <w:pPr>
        <w:ind w:firstLine="426"/>
        <w:jc w:val="both"/>
        <w:rPr>
          <w:rFonts w:eastAsiaTheme="minorHAnsi"/>
          <w:b/>
          <w:sz w:val="22"/>
          <w:szCs w:val="22"/>
          <w:lang w:eastAsia="en-US"/>
        </w:rPr>
      </w:pPr>
      <w:r w:rsidRPr="00EC1A78">
        <w:rPr>
          <w:rFonts w:eastAsiaTheme="minorHAnsi"/>
          <w:sz w:val="22"/>
          <w:szCs w:val="22"/>
          <w:shd w:val="clear" w:color="auto" w:fill="FFFFFF"/>
          <w:lang w:eastAsia="en-US"/>
        </w:rPr>
        <w:t>3. Спасенников Б.А. Аффект и уголовная ответственность// З</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кон и право. – 2010. – №9.</w:t>
      </w:r>
    </w:p>
    <w:p w:rsidR="00EC1A78" w:rsidRDefault="00EC1A78" w:rsidP="00EC1A78">
      <w:pPr>
        <w:jc w:val="both"/>
        <w:rPr>
          <w:rFonts w:eastAsiaTheme="minorHAnsi"/>
          <w:sz w:val="22"/>
          <w:szCs w:val="22"/>
          <w:lang w:eastAsia="en-US"/>
        </w:rPr>
      </w:pPr>
    </w:p>
    <w:p w:rsidR="00C86D06" w:rsidRPr="00EC1A78" w:rsidRDefault="00C86D06" w:rsidP="00F253F3">
      <w:pPr>
        <w:rPr>
          <w:rFonts w:eastAsiaTheme="minorHAnsi"/>
          <w:sz w:val="22"/>
          <w:szCs w:val="22"/>
          <w:lang w:eastAsia="en-US"/>
        </w:rPr>
      </w:pPr>
    </w:p>
    <w:p w:rsidR="00EC1A78" w:rsidRPr="00EC1A78" w:rsidRDefault="00EC1A78" w:rsidP="00EC1A78">
      <w:pPr>
        <w:rPr>
          <w:rFonts w:eastAsia="Calibri"/>
          <w:sz w:val="22"/>
          <w:szCs w:val="22"/>
          <w:lang w:eastAsia="en-US"/>
        </w:rPr>
      </w:pPr>
      <w:r w:rsidRPr="00EC1A78">
        <w:rPr>
          <w:rFonts w:eastAsia="Calibri"/>
          <w:sz w:val="22"/>
          <w:szCs w:val="22"/>
          <w:lang w:eastAsia="en-US"/>
        </w:rPr>
        <w:lastRenderedPageBreak/>
        <w:t>УДК 342.726</w:t>
      </w:r>
    </w:p>
    <w:p w:rsidR="00EC1A78" w:rsidRPr="00EC1A78" w:rsidRDefault="00EC1A78" w:rsidP="00EC1A78">
      <w:pPr>
        <w:jc w:val="center"/>
        <w:rPr>
          <w:rFonts w:eastAsia="Calibri"/>
          <w:sz w:val="22"/>
          <w:szCs w:val="24"/>
          <w:lang w:eastAsia="en-US"/>
        </w:rPr>
      </w:pPr>
    </w:p>
    <w:p w:rsidR="00EC1A78" w:rsidRPr="00EC1A78" w:rsidRDefault="00EC1A78" w:rsidP="00EC1A78">
      <w:pPr>
        <w:jc w:val="center"/>
        <w:rPr>
          <w:rFonts w:eastAsia="Calibri"/>
          <w:b/>
          <w:sz w:val="24"/>
          <w:szCs w:val="24"/>
          <w:lang w:eastAsia="en-US"/>
        </w:rPr>
      </w:pPr>
      <w:r w:rsidRPr="00EC1A78">
        <w:rPr>
          <w:rFonts w:eastAsia="Calibri"/>
          <w:b/>
          <w:sz w:val="24"/>
          <w:szCs w:val="24"/>
          <w:lang w:eastAsia="en-US"/>
        </w:rPr>
        <w:t>Институт отзыва выборных лиц в конституционном праве</w:t>
      </w:r>
    </w:p>
    <w:p w:rsidR="00EC1A78" w:rsidRPr="00EC1A78" w:rsidRDefault="00EC1A78" w:rsidP="00EC1A78">
      <w:pPr>
        <w:jc w:val="center"/>
        <w:rPr>
          <w:rFonts w:eastAsia="Calibri"/>
          <w:sz w:val="22"/>
          <w:szCs w:val="22"/>
          <w:lang w:val="en-US" w:eastAsia="en-US"/>
        </w:rPr>
      </w:pPr>
      <w:r w:rsidRPr="00EC1A78">
        <w:rPr>
          <w:rFonts w:eastAsia="Calibri"/>
          <w:b/>
          <w:sz w:val="24"/>
          <w:szCs w:val="24"/>
          <w:lang w:val="en-US" w:eastAsia="en-US"/>
        </w:rPr>
        <w:t>Institute for the election of elected persons in constitutional law</w:t>
      </w:r>
    </w:p>
    <w:p w:rsidR="00EC1A78" w:rsidRPr="00EC1A78" w:rsidRDefault="00EC1A78" w:rsidP="00EC1A78">
      <w:pPr>
        <w:jc w:val="right"/>
        <w:rPr>
          <w:rFonts w:eastAsia="Calibri"/>
          <w:sz w:val="22"/>
          <w:szCs w:val="22"/>
          <w:lang w:val="en-US" w:eastAsia="en-US"/>
        </w:rPr>
      </w:pP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Ракитянский И.</w:t>
      </w:r>
      <w:r w:rsidR="00C86D06">
        <w:rPr>
          <w:rFonts w:eastAsia="Calibri"/>
          <w:sz w:val="22"/>
          <w:szCs w:val="22"/>
          <w:lang w:eastAsia="en-US"/>
        </w:rPr>
        <w:t xml:space="preserve"> </w:t>
      </w:r>
      <w:r w:rsidRPr="00EC1A78">
        <w:rPr>
          <w:rFonts w:eastAsia="Calibri"/>
          <w:sz w:val="22"/>
          <w:szCs w:val="22"/>
          <w:lang w:eastAsia="en-US"/>
        </w:rPr>
        <w:t>А.,</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 xml:space="preserve">студент 1–го курса магистратуры </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юридического факультета</w:t>
      </w:r>
    </w:p>
    <w:p w:rsidR="00EC1A78" w:rsidRPr="00EC1A78" w:rsidRDefault="00EC1A78" w:rsidP="00EC1A78">
      <w:pPr>
        <w:jc w:val="right"/>
        <w:rPr>
          <w:rFonts w:eastAsia="Calibri"/>
          <w:sz w:val="22"/>
          <w:szCs w:val="22"/>
          <w:lang w:eastAsia="en-US"/>
        </w:rPr>
      </w:pPr>
      <w:r w:rsidRPr="00EC1A78">
        <w:rPr>
          <w:rFonts w:eastAsia="Calibri"/>
          <w:sz w:val="22"/>
          <w:szCs w:val="22"/>
          <w:lang w:eastAsia="en-US"/>
        </w:rPr>
        <w:t>Безуглов С.</w:t>
      </w:r>
      <w:r w:rsidR="00C86D06">
        <w:rPr>
          <w:rFonts w:eastAsia="Calibri"/>
          <w:sz w:val="22"/>
          <w:szCs w:val="22"/>
          <w:lang w:eastAsia="en-US"/>
        </w:rPr>
        <w:t xml:space="preserve"> </w:t>
      </w:r>
      <w:r w:rsidRPr="00EC1A78">
        <w:rPr>
          <w:rFonts w:eastAsia="Calibri"/>
          <w:sz w:val="22"/>
          <w:szCs w:val="22"/>
          <w:lang w:eastAsia="en-US"/>
        </w:rPr>
        <w:t>В.,</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 xml:space="preserve">доцент кафедры государственного </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и международного права</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283"/>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jc w:val="both"/>
        <w:rPr>
          <w:rFonts w:eastAsia="Calibri"/>
          <w:sz w:val="22"/>
          <w:szCs w:val="22"/>
          <w:lang w:eastAsia="en-US"/>
        </w:rPr>
      </w:pPr>
    </w:p>
    <w:p w:rsidR="00EC1A78" w:rsidRPr="00EC1A78" w:rsidRDefault="00EC1A78" w:rsidP="00EC1A78">
      <w:pPr>
        <w:ind w:firstLine="426"/>
        <w:jc w:val="both"/>
        <w:rPr>
          <w:rFonts w:eastAsia="Calibri"/>
          <w:sz w:val="22"/>
          <w:szCs w:val="22"/>
          <w:lang w:eastAsia="en-US"/>
        </w:rPr>
      </w:pPr>
      <w:r w:rsidRPr="00EC1A78">
        <w:rPr>
          <w:rFonts w:eastAsia="Calibri"/>
          <w:sz w:val="22"/>
          <w:szCs w:val="22"/>
          <w:lang w:eastAsia="en-US"/>
        </w:rPr>
        <w:t>АННОТАЦИЯ: В данной статье рассматривается институт о</w:t>
      </w:r>
      <w:r w:rsidRPr="00EC1A78">
        <w:rPr>
          <w:rFonts w:eastAsia="Calibri"/>
          <w:sz w:val="22"/>
          <w:szCs w:val="22"/>
          <w:lang w:eastAsia="en-US"/>
        </w:rPr>
        <w:t>т</w:t>
      </w:r>
      <w:r w:rsidRPr="00EC1A78">
        <w:rPr>
          <w:rFonts w:eastAsia="Calibri"/>
          <w:sz w:val="22"/>
          <w:szCs w:val="22"/>
          <w:lang w:eastAsia="en-US"/>
        </w:rPr>
        <w:t>зыва выборных лиц в конституционном праве. Рассматриваются проблемные вопросы данного института и его основные черты. Приводятся полученные в результате исследования выводы.</w:t>
      </w:r>
    </w:p>
    <w:p w:rsidR="00EC1A78" w:rsidRPr="00EC1A78" w:rsidRDefault="00EC1A78" w:rsidP="00EC1A78">
      <w:pPr>
        <w:ind w:firstLine="426"/>
        <w:jc w:val="both"/>
        <w:rPr>
          <w:rFonts w:eastAsia="Calibri"/>
          <w:sz w:val="22"/>
          <w:szCs w:val="22"/>
          <w:lang w:val="en-US" w:eastAsia="en-US"/>
        </w:rPr>
      </w:pPr>
      <w:r w:rsidRPr="00EC1A78">
        <w:rPr>
          <w:rFonts w:eastAsia="Calibri"/>
          <w:sz w:val="22"/>
          <w:szCs w:val="22"/>
          <w:lang w:val="en-US" w:eastAsia="en-US"/>
        </w:rPr>
        <w:t>ANNOTATION: This article deals with the institution of recall of elected representatives in constitutional law. The problems of this inst</w:t>
      </w:r>
      <w:r w:rsidRPr="00EC1A78">
        <w:rPr>
          <w:rFonts w:eastAsia="Calibri"/>
          <w:sz w:val="22"/>
          <w:szCs w:val="22"/>
          <w:lang w:val="en-US" w:eastAsia="en-US"/>
        </w:rPr>
        <w:t>i</w:t>
      </w:r>
      <w:r w:rsidRPr="00EC1A78">
        <w:rPr>
          <w:rFonts w:eastAsia="Calibri"/>
          <w:sz w:val="22"/>
          <w:szCs w:val="22"/>
          <w:lang w:val="en-US" w:eastAsia="en-US"/>
        </w:rPr>
        <w:t>tute and its main features are considered. The conclusions received as a result of research are resulted.</w:t>
      </w:r>
    </w:p>
    <w:p w:rsidR="00EC1A78" w:rsidRPr="00EC1A78" w:rsidRDefault="00EC1A78" w:rsidP="00EC1A78">
      <w:pPr>
        <w:ind w:firstLine="426"/>
        <w:jc w:val="both"/>
        <w:rPr>
          <w:rFonts w:eastAsia="Calibri"/>
          <w:sz w:val="22"/>
          <w:szCs w:val="22"/>
          <w:lang w:eastAsia="en-US"/>
        </w:rPr>
      </w:pPr>
      <w:r w:rsidRPr="00EC1A78">
        <w:rPr>
          <w:rFonts w:eastAsia="Calibri"/>
          <w:sz w:val="22"/>
          <w:szCs w:val="22"/>
          <w:lang w:eastAsia="en-US"/>
        </w:rPr>
        <w:t>КЛЮЧЕВЫЕ СЛОВА: институт отзыва, выборное лицо, ко</w:t>
      </w:r>
      <w:r w:rsidRPr="00EC1A78">
        <w:rPr>
          <w:rFonts w:eastAsia="Calibri"/>
          <w:sz w:val="22"/>
          <w:szCs w:val="22"/>
          <w:lang w:eastAsia="en-US"/>
        </w:rPr>
        <w:t>н</w:t>
      </w:r>
      <w:r w:rsidRPr="00EC1A78">
        <w:rPr>
          <w:rFonts w:eastAsia="Calibri"/>
          <w:sz w:val="22"/>
          <w:szCs w:val="22"/>
          <w:lang w:eastAsia="en-US"/>
        </w:rPr>
        <w:t>ституционное право, отзыв, конституция.</w:t>
      </w:r>
    </w:p>
    <w:p w:rsidR="00EC1A78" w:rsidRPr="00EC1A78" w:rsidRDefault="00EC1A78" w:rsidP="00EC1A78">
      <w:pPr>
        <w:shd w:val="clear" w:color="auto" w:fill="FFFFFF"/>
        <w:ind w:firstLine="426"/>
        <w:textAlignment w:val="baseline"/>
        <w:rPr>
          <w:rFonts w:eastAsia="Calibri"/>
          <w:sz w:val="22"/>
          <w:szCs w:val="22"/>
          <w:lang w:val="en-US" w:eastAsia="en-US"/>
        </w:rPr>
      </w:pPr>
      <w:r w:rsidRPr="00EC1A78">
        <w:rPr>
          <w:rFonts w:eastAsia="Calibri"/>
          <w:sz w:val="22"/>
          <w:szCs w:val="22"/>
          <w:lang w:val="en-US" w:eastAsia="en-US"/>
        </w:rPr>
        <w:t>KEYWORDS: institute of recall, elected person, constitutional law, recall, constitution.</w:t>
      </w:r>
    </w:p>
    <w:p w:rsidR="00EC1A78" w:rsidRPr="00EC1A78" w:rsidRDefault="00EC1A78" w:rsidP="00EC1A78">
      <w:pPr>
        <w:shd w:val="clear" w:color="auto" w:fill="FFFFFF"/>
        <w:ind w:firstLine="426"/>
        <w:textAlignment w:val="baseline"/>
        <w:rPr>
          <w:sz w:val="22"/>
          <w:szCs w:val="22"/>
          <w:lang w:val="en-US"/>
        </w:rPr>
      </w:pPr>
    </w:p>
    <w:p w:rsidR="00EC1A78" w:rsidRPr="00EC1A78" w:rsidRDefault="00EC1A78" w:rsidP="00EC1A78">
      <w:pPr>
        <w:shd w:val="clear" w:color="auto" w:fill="FFFFFF"/>
        <w:ind w:firstLine="426"/>
        <w:jc w:val="both"/>
        <w:textAlignment w:val="baseline"/>
        <w:rPr>
          <w:sz w:val="22"/>
          <w:szCs w:val="22"/>
        </w:rPr>
      </w:pPr>
      <w:r w:rsidRPr="00EC1A78">
        <w:rPr>
          <w:sz w:val="22"/>
          <w:szCs w:val="22"/>
        </w:rPr>
        <w:t>Институт отзыва выборных лиц имеет давнюю историю в ко</w:t>
      </w:r>
      <w:r w:rsidRPr="00EC1A78">
        <w:rPr>
          <w:sz w:val="22"/>
          <w:szCs w:val="22"/>
        </w:rPr>
        <w:t>н</w:t>
      </w:r>
      <w:r w:rsidRPr="00EC1A78">
        <w:rPr>
          <w:sz w:val="22"/>
          <w:szCs w:val="22"/>
        </w:rPr>
        <w:t>ституционном праве. Об отзыве этих лиц начали говорить уже в начале 20 века, когда этот институт был введен в действие и пол</w:t>
      </w:r>
      <w:r w:rsidRPr="00EC1A78">
        <w:rPr>
          <w:sz w:val="22"/>
          <w:szCs w:val="22"/>
        </w:rPr>
        <w:t>у</w:t>
      </w:r>
      <w:r w:rsidRPr="00EC1A78">
        <w:rPr>
          <w:sz w:val="22"/>
          <w:szCs w:val="22"/>
        </w:rPr>
        <w:t>чил юридическую силу благодаря конституциям нескольких штатов США, таких как Луизиана, Канзас и Мичиган [1]. Если рассматр</w:t>
      </w:r>
      <w:r w:rsidRPr="00EC1A78">
        <w:rPr>
          <w:sz w:val="22"/>
          <w:szCs w:val="22"/>
        </w:rPr>
        <w:t>и</w:t>
      </w:r>
      <w:r w:rsidRPr="00EC1A78">
        <w:rPr>
          <w:sz w:val="22"/>
          <w:szCs w:val="22"/>
        </w:rPr>
        <w:t>вать вопрос появления данного института в нашей стране, то мы сможем увидеть, что он появился примерно в тоже время (в 1917 году) и был закреплен декретом «О праве отзыва делегатов» от 23 ноября 1917 года [2].</w:t>
      </w:r>
    </w:p>
    <w:p w:rsidR="00EC1A78" w:rsidRPr="00EC1A78" w:rsidRDefault="00EC1A78" w:rsidP="00EC1A78">
      <w:pPr>
        <w:shd w:val="clear" w:color="auto" w:fill="FFFFFF"/>
        <w:ind w:firstLine="426"/>
        <w:jc w:val="both"/>
        <w:textAlignment w:val="baseline"/>
        <w:rPr>
          <w:sz w:val="22"/>
          <w:szCs w:val="22"/>
        </w:rPr>
      </w:pPr>
      <w:r w:rsidRPr="00EC1A78">
        <w:rPr>
          <w:sz w:val="22"/>
          <w:szCs w:val="22"/>
        </w:rPr>
        <w:lastRenderedPageBreak/>
        <w:t>Не смотря на давнюю историю существования института, при детальном рассмотрении можно обнаружить множество проблем. Одной из основных следует считать отсутствие в Конституции РФ нормы, которая бы регулировала вопросы отзыва выборных дол</w:t>
      </w:r>
      <w:r w:rsidRPr="00EC1A78">
        <w:rPr>
          <w:sz w:val="22"/>
          <w:szCs w:val="22"/>
        </w:rPr>
        <w:t>ж</w:t>
      </w:r>
      <w:r w:rsidRPr="00EC1A78">
        <w:rPr>
          <w:sz w:val="22"/>
          <w:szCs w:val="22"/>
        </w:rPr>
        <w:t>ностных лиц, неоднозначность позиции Конституционного Суда РФ по вопросам отзыва, а также отсутствие в научной юридической теории определения, которое бы полностью характеризовало да</w:t>
      </w:r>
      <w:r w:rsidRPr="00EC1A78">
        <w:rPr>
          <w:sz w:val="22"/>
          <w:szCs w:val="22"/>
        </w:rPr>
        <w:t>н</w:t>
      </w:r>
      <w:r w:rsidRPr="00EC1A78">
        <w:rPr>
          <w:sz w:val="22"/>
          <w:szCs w:val="22"/>
        </w:rPr>
        <w:t>ную процедуру.</w:t>
      </w:r>
    </w:p>
    <w:p w:rsidR="00EC1A78" w:rsidRPr="00EC1A78" w:rsidRDefault="00EC1A78" w:rsidP="00EC1A78">
      <w:pPr>
        <w:shd w:val="clear" w:color="auto" w:fill="FFFFFF"/>
        <w:ind w:firstLine="426"/>
        <w:jc w:val="both"/>
        <w:textAlignment w:val="baseline"/>
        <w:rPr>
          <w:sz w:val="22"/>
          <w:szCs w:val="22"/>
        </w:rPr>
      </w:pPr>
      <w:r w:rsidRPr="00EC1A78">
        <w:rPr>
          <w:sz w:val="22"/>
          <w:szCs w:val="22"/>
        </w:rPr>
        <w:t>Большинство исследователей сходятся в одном, что отзыв в</w:t>
      </w:r>
      <w:r w:rsidRPr="00EC1A78">
        <w:rPr>
          <w:sz w:val="22"/>
          <w:szCs w:val="22"/>
        </w:rPr>
        <w:t>ы</w:t>
      </w:r>
      <w:r w:rsidRPr="00EC1A78">
        <w:rPr>
          <w:sz w:val="22"/>
          <w:szCs w:val="22"/>
        </w:rPr>
        <w:t>борного лица – это на основе специально назначенного голосования досрочное прекращение полномочий этого лица, которое соотве</w:t>
      </w:r>
      <w:r w:rsidRPr="00EC1A78">
        <w:rPr>
          <w:sz w:val="22"/>
          <w:szCs w:val="22"/>
        </w:rPr>
        <w:t>т</w:t>
      </w:r>
      <w:r w:rsidRPr="00EC1A78">
        <w:rPr>
          <w:sz w:val="22"/>
          <w:szCs w:val="22"/>
        </w:rPr>
        <w:t>ствует уставу муниципального образования, закону субъекта РФ и требованиям федеральных законов. Что касается иных аспектов о</w:t>
      </w:r>
      <w:r w:rsidRPr="00EC1A78">
        <w:rPr>
          <w:sz w:val="22"/>
          <w:szCs w:val="22"/>
        </w:rPr>
        <w:t>т</w:t>
      </w:r>
      <w:r w:rsidRPr="00EC1A78">
        <w:rPr>
          <w:sz w:val="22"/>
          <w:szCs w:val="22"/>
        </w:rPr>
        <w:t>зыва, то в них обнаруживается плюрализм научных суждений.</w:t>
      </w:r>
    </w:p>
    <w:p w:rsidR="00EC1A78" w:rsidRPr="00EC1A78" w:rsidRDefault="00EC1A78" w:rsidP="00EC1A78">
      <w:pPr>
        <w:shd w:val="clear" w:color="auto" w:fill="FFFFFF"/>
        <w:ind w:firstLine="426"/>
        <w:jc w:val="both"/>
        <w:textAlignment w:val="baseline"/>
        <w:rPr>
          <w:sz w:val="22"/>
          <w:szCs w:val="22"/>
        </w:rPr>
      </w:pPr>
      <w:r w:rsidRPr="00EC1A78">
        <w:rPr>
          <w:sz w:val="22"/>
          <w:szCs w:val="22"/>
        </w:rPr>
        <w:t>Например, такой ученый, как Е.С. Шугрина, считает, что в определение отзыва следует включать, как признак, указание на связь выборного лица с населением [3]. С.А. Авакьян, не согласен с данным подходом, он считает, что связи между выборным лицом и избирателями нет и не может быть до того момента, когда будут вновь избираться выборные лица, так как они в своей деятельности независимы и любое вмешательство в их деятельность недопустимо [4]. Из приведенных двух суждений, мы считаем возможным по</w:t>
      </w:r>
      <w:r w:rsidRPr="00EC1A78">
        <w:rPr>
          <w:sz w:val="22"/>
          <w:szCs w:val="22"/>
        </w:rPr>
        <w:t>д</w:t>
      </w:r>
      <w:r w:rsidRPr="00EC1A78">
        <w:rPr>
          <w:sz w:val="22"/>
          <w:szCs w:val="22"/>
        </w:rPr>
        <w:t>держать позицию Е.С. Шугриной, так как в демократическом гос</w:t>
      </w:r>
      <w:r w:rsidRPr="00EC1A78">
        <w:rPr>
          <w:sz w:val="22"/>
          <w:szCs w:val="22"/>
        </w:rPr>
        <w:t>у</w:t>
      </w:r>
      <w:r w:rsidRPr="00EC1A78">
        <w:rPr>
          <w:sz w:val="22"/>
          <w:szCs w:val="22"/>
        </w:rPr>
        <w:t>дарстве деятельность выборных лиц непосредственно базируется на воле избирателей по наделению их соответствующими властными полномочиями. Полагаем, что допустимо говорить о независимости выборных органов или должностных лиц только в рамках их вза</w:t>
      </w:r>
      <w:r w:rsidRPr="00EC1A78">
        <w:rPr>
          <w:sz w:val="22"/>
          <w:szCs w:val="22"/>
        </w:rPr>
        <w:t>и</w:t>
      </w:r>
      <w:r w:rsidRPr="00EC1A78">
        <w:rPr>
          <w:sz w:val="22"/>
          <w:szCs w:val="22"/>
        </w:rPr>
        <w:t>моотношений между собой, но не с народом – единственным нос</w:t>
      </w:r>
      <w:r w:rsidRPr="00EC1A78">
        <w:rPr>
          <w:sz w:val="22"/>
          <w:szCs w:val="22"/>
        </w:rPr>
        <w:t>и</w:t>
      </w:r>
      <w:r w:rsidRPr="00EC1A78">
        <w:rPr>
          <w:sz w:val="22"/>
          <w:szCs w:val="22"/>
        </w:rPr>
        <w:t>телем суверенитета и источником все власти в государстве. Исходя из этого, указанный Е.С. Шугриной признак необходимо включать в определение отзыва.</w:t>
      </w:r>
    </w:p>
    <w:p w:rsidR="00EC1A78" w:rsidRPr="00EC1A78" w:rsidRDefault="00EC1A78" w:rsidP="00EC1A78">
      <w:pPr>
        <w:shd w:val="clear" w:color="auto" w:fill="FFFFFF"/>
        <w:ind w:firstLine="426"/>
        <w:jc w:val="both"/>
        <w:textAlignment w:val="baseline"/>
        <w:rPr>
          <w:sz w:val="22"/>
          <w:szCs w:val="22"/>
        </w:rPr>
      </w:pPr>
      <w:r w:rsidRPr="00EC1A78">
        <w:rPr>
          <w:sz w:val="22"/>
          <w:szCs w:val="22"/>
        </w:rPr>
        <w:t>Говоря об отсутствии в Конституции РФ упоминания о проц</w:t>
      </w:r>
      <w:r w:rsidRPr="00EC1A78">
        <w:rPr>
          <w:sz w:val="22"/>
          <w:szCs w:val="22"/>
        </w:rPr>
        <w:t>е</w:t>
      </w:r>
      <w:r w:rsidRPr="00EC1A78">
        <w:rPr>
          <w:sz w:val="22"/>
          <w:szCs w:val="22"/>
        </w:rPr>
        <w:t>дуре отзыва выборных должностных лиц, следует отметить, что данный факт, хотя и является крайне негативным, с нашей точки зрения, не должен рассматриваться как отрицание этой формы пр</w:t>
      </w:r>
      <w:r w:rsidRPr="00EC1A78">
        <w:rPr>
          <w:sz w:val="22"/>
          <w:szCs w:val="22"/>
        </w:rPr>
        <w:t>я</w:t>
      </w:r>
      <w:r w:rsidRPr="00EC1A78">
        <w:rPr>
          <w:sz w:val="22"/>
          <w:szCs w:val="22"/>
        </w:rPr>
        <w:t>мого народовластия и самого демократического политического р</w:t>
      </w:r>
      <w:r w:rsidRPr="00EC1A78">
        <w:rPr>
          <w:sz w:val="22"/>
          <w:szCs w:val="22"/>
        </w:rPr>
        <w:t>е</w:t>
      </w:r>
      <w:r w:rsidRPr="00EC1A78">
        <w:rPr>
          <w:sz w:val="22"/>
          <w:szCs w:val="22"/>
        </w:rPr>
        <w:t>жима. Можно согласиться с А.В. Цагикян и Е.С. Бутурлиной, что если бы в Конституции РФ не было права на референдум и свобо</w:t>
      </w:r>
      <w:r w:rsidRPr="00EC1A78">
        <w:rPr>
          <w:sz w:val="22"/>
          <w:szCs w:val="22"/>
        </w:rPr>
        <w:t>д</w:t>
      </w:r>
      <w:r w:rsidRPr="00EC1A78">
        <w:rPr>
          <w:sz w:val="22"/>
          <w:szCs w:val="22"/>
        </w:rPr>
        <w:lastRenderedPageBreak/>
        <w:t xml:space="preserve">ные выборы, то определение РФ, как государства демократического было бы поставлено под сомнение [5]. Однако, аналогичный вывод, не может быть экстраполирован на право отзыва выборных лиц. </w:t>
      </w:r>
    </w:p>
    <w:p w:rsidR="00EC1A78" w:rsidRPr="00EC1A78" w:rsidRDefault="00EC1A78" w:rsidP="00EC1A78">
      <w:pPr>
        <w:shd w:val="clear" w:color="auto" w:fill="FFFFFF"/>
        <w:ind w:firstLine="426"/>
        <w:jc w:val="both"/>
        <w:textAlignment w:val="baseline"/>
        <w:rPr>
          <w:sz w:val="22"/>
          <w:szCs w:val="22"/>
        </w:rPr>
      </w:pPr>
      <w:r w:rsidRPr="00EC1A78">
        <w:rPr>
          <w:sz w:val="22"/>
          <w:szCs w:val="22"/>
        </w:rPr>
        <w:t>Конституция РФ, как Основной Закон РФ не может закреплять абсолютно все способы непосредственного осуществления власти народом. Исходя из этого, объективная необходимость регулиров</w:t>
      </w:r>
      <w:r w:rsidRPr="00EC1A78">
        <w:rPr>
          <w:sz w:val="22"/>
          <w:szCs w:val="22"/>
        </w:rPr>
        <w:t>а</w:t>
      </w:r>
      <w:r w:rsidRPr="00EC1A78">
        <w:rPr>
          <w:sz w:val="22"/>
          <w:szCs w:val="22"/>
        </w:rPr>
        <w:t>ния процедуры отзыва выборных должностных лиц в текущем ко</w:t>
      </w:r>
      <w:r w:rsidRPr="00EC1A78">
        <w:rPr>
          <w:sz w:val="22"/>
          <w:szCs w:val="22"/>
        </w:rPr>
        <w:t>н</w:t>
      </w:r>
      <w:r w:rsidRPr="00EC1A78">
        <w:rPr>
          <w:sz w:val="22"/>
          <w:szCs w:val="22"/>
        </w:rPr>
        <w:t>ституционном законодательстве получает еще большее обоснов</w:t>
      </w:r>
      <w:r w:rsidRPr="00EC1A78">
        <w:rPr>
          <w:sz w:val="22"/>
          <w:szCs w:val="22"/>
        </w:rPr>
        <w:t>а</w:t>
      </w:r>
      <w:r w:rsidRPr="00EC1A78">
        <w:rPr>
          <w:sz w:val="22"/>
          <w:szCs w:val="22"/>
        </w:rPr>
        <w:t>ние</w:t>
      </w:r>
    </w:p>
    <w:p w:rsidR="00EC1A78" w:rsidRPr="00EC1A78" w:rsidRDefault="00EC1A78" w:rsidP="00EC1A78">
      <w:pPr>
        <w:shd w:val="clear" w:color="auto" w:fill="FFFFFF"/>
        <w:ind w:firstLine="426"/>
        <w:jc w:val="both"/>
        <w:textAlignment w:val="baseline"/>
        <w:rPr>
          <w:sz w:val="24"/>
          <w:szCs w:val="24"/>
        </w:rPr>
      </w:pPr>
      <w:r w:rsidRPr="00EC1A78">
        <w:rPr>
          <w:sz w:val="22"/>
          <w:szCs w:val="22"/>
        </w:rPr>
        <w:t>Невозможно не обратить внимания и на неоднозначность мн</w:t>
      </w:r>
      <w:r w:rsidRPr="00EC1A78">
        <w:rPr>
          <w:sz w:val="22"/>
          <w:szCs w:val="22"/>
        </w:rPr>
        <w:t>е</w:t>
      </w:r>
      <w:r w:rsidRPr="00EC1A78">
        <w:rPr>
          <w:sz w:val="22"/>
          <w:szCs w:val="22"/>
        </w:rPr>
        <w:t>ний судей Конституционного Суда РФ, которые в особых мнениях не могут прийти к одному мнению относительно юридической пр</w:t>
      </w:r>
      <w:r w:rsidRPr="00EC1A78">
        <w:rPr>
          <w:sz w:val="22"/>
          <w:szCs w:val="22"/>
        </w:rPr>
        <w:t>и</w:t>
      </w:r>
      <w:r w:rsidRPr="00EC1A78">
        <w:rPr>
          <w:sz w:val="22"/>
          <w:szCs w:val="22"/>
        </w:rPr>
        <w:t>роды отзыва выборных лиц.</w:t>
      </w:r>
    </w:p>
    <w:p w:rsidR="00EC1A78" w:rsidRPr="00EC1A78" w:rsidRDefault="00EC1A78" w:rsidP="00EC1A78">
      <w:pPr>
        <w:shd w:val="clear" w:color="auto" w:fill="FFFFFF"/>
        <w:ind w:firstLine="426"/>
        <w:jc w:val="both"/>
        <w:textAlignment w:val="baseline"/>
        <w:rPr>
          <w:sz w:val="22"/>
          <w:szCs w:val="22"/>
        </w:rPr>
      </w:pPr>
      <w:r w:rsidRPr="00EC1A78">
        <w:rPr>
          <w:sz w:val="22"/>
          <w:szCs w:val="22"/>
        </w:rPr>
        <w:t>Таким образом, можно прийти к выводу, что институт отзыва выборных лиц в конституционном праве требует проведения дал</w:t>
      </w:r>
      <w:r w:rsidRPr="00EC1A78">
        <w:rPr>
          <w:sz w:val="22"/>
          <w:szCs w:val="22"/>
        </w:rPr>
        <w:t>ь</w:t>
      </w:r>
      <w:r w:rsidRPr="00EC1A78">
        <w:rPr>
          <w:sz w:val="22"/>
          <w:szCs w:val="22"/>
        </w:rPr>
        <w:t>нейшего научного исследования и доработки, в том числе, с учетом опыта зарубежных стран. В связи с этим, с целью усовершенствов</w:t>
      </w:r>
      <w:r w:rsidRPr="00EC1A78">
        <w:rPr>
          <w:sz w:val="22"/>
          <w:szCs w:val="22"/>
        </w:rPr>
        <w:t>а</w:t>
      </w:r>
      <w:r w:rsidRPr="00EC1A78">
        <w:rPr>
          <w:sz w:val="22"/>
          <w:szCs w:val="22"/>
        </w:rPr>
        <w:t>ния действующего конституционного законодательства, следует включить в определение отзыва выборных должностных лиц их связь с населением и отразить сам институт отзыва в Конституции РФ. Данные меры, по нашему мнению, будут способствовать укреплению статуса России как демократического государства.</w:t>
      </w:r>
    </w:p>
    <w:p w:rsidR="00EC1A78" w:rsidRPr="00EC1A78" w:rsidRDefault="00EC1A78" w:rsidP="00EC1A78">
      <w:pPr>
        <w:shd w:val="clear" w:color="auto" w:fill="FFFFFF"/>
        <w:ind w:firstLine="426"/>
        <w:textAlignment w:val="baseline"/>
        <w:rPr>
          <w:sz w:val="22"/>
          <w:szCs w:val="22"/>
        </w:rPr>
      </w:pPr>
    </w:p>
    <w:p w:rsidR="00EC1A78" w:rsidRPr="00EC1A78" w:rsidRDefault="00EC1A78" w:rsidP="00EC1A78">
      <w:pPr>
        <w:jc w:val="center"/>
        <w:textAlignment w:val="baseline"/>
        <w:rPr>
          <w:sz w:val="22"/>
          <w:szCs w:val="22"/>
        </w:rPr>
      </w:pPr>
      <w:r w:rsidRPr="00EC1A78">
        <w:rPr>
          <w:sz w:val="22"/>
          <w:szCs w:val="22"/>
        </w:rPr>
        <w:t>Список литературы</w:t>
      </w:r>
    </w:p>
    <w:p w:rsidR="00EC1A78" w:rsidRPr="00EC1A78" w:rsidRDefault="00EC1A78" w:rsidP="00EC1A78">
      <w:pPr>
        <w:ind w:firstLine="426"/>
        <w:jc w:val="both"/>
        <w:textAlignment w:val="baseline"/>
        <w:rPr>
          <w:sz w:val="22"/>
          <w:szCs w:val="22"/>
          <w:lang w:val="en-US"/>
        </w:rPr>
      </w:pPr>
      <w:r w:rsidRPr="00EC1A78">
        <w:rPr>
          <w:sz w:val="22"/>
          <w:szCs w:val="22"/>
        </w:rPr>
        <w:t xml:space="preserve">1. </w:t>
      </w:r>
      <w:r w:rsidRPr="00EC1A78">
        <w:rPr>
          <w:rFonts w:eastAsiaTheme="minorHAnsi"/>
          <w:sz w:val="22"/>
          <w:szCs w:val="22"/>
          <w:lang w:val="en-US" w:eastAsia="en-US"/>
        </w:rPr>
        <w:t>Tomas</w:t>
      </w:r>
      <w:r w:rsidRPr="00EC1A78">
        <w:rPr>
          <w:rFonts w:eastAsiaTheme="minorHAnsi"/>
          <w:sz w:val="22"/>
          <w:szCs w:val="22"/>
          <w:lang w:eastAsia="en-US"/>
        </w:rPr>
        <w:t xml:space="preserve"> </w:t>
      </w:r>
      <w:r w:rsidRPr="00EC1A78">
        <w:rPr>
          <w:rFonts w:eastAsiaTheme="minorHAnsi"/>
          <w:sz w:val="22"/>
          <w:szCs w:val="22"/>
          <w:lang w:val="en-US" w:eastAsia="en-US"/>
        </w:rPr>
        <w:t>E</w:t>
      </w:r>
      <w:r w:rsidRPr="00EC1A78">
        <w:rPr>
          <w:rFonts w:eastAsiaTheme="minorHAnsi"/>
          <w:sz w:val="22"/>
          <w:szCs w:val="22"/>
          <w:lang w:eastAsia="en-US"/>
        </w:rPr>
        <w:t xml:space="preserve">. </w:t>
      </w:r>
      <w:r w:rsidRPr="00EC1A78">
        <w:rPr>
          <w:rFonts w:eastAsiaTheme="minorHAnsi"/>
          <w:sz w:val="22"/>
          <w:szCs w:val="22"/>
          <w:lang w:val="en-US" w:eastAsia="en-US"/>
        </w:rPr>
        <w:t>Cronin</w:t>
      </w:r>
      <w:r w:rsidRPr="00EC1A78">
        <w:rPr>
          <w:rFonts w:eastAsiaTheme="minorHAnsi"/>
          <w:sz w:val="22"/>
          <w:szCs w:val="22"/>
          <w:lang w:eastAsia="en-US"/>
        </w:rPr>
        <w:t xml:space="preserve">. </w:t>
      </w:r>
      <w:r w:rsidRPr="00EC1A78">
        <w:rPr>
          <w:rFonts w:eastAsiaTheme="minorHAnsi"/>
          <w:sz w:val="22"/>
          <w:szCs w:val="22"/>
          <w:lang w:val="en-US" w:eastAsia="en-US"/>
        </w:rPr>
        <w:t>Direct Democracy. The Politics of Initiative, Referendum, and Recall. Harvard University Press. Cambridge, Mass</w:t>
      </w:r>
      <w:r w:rsidRPr="00EC1A78">
        <w:rPr>
          <w:rFonts w:eastAsiaTheme="minorHAnsi"/>
          <w:sz w:val="22"/>
          <w:szCs w:val="22"/>
          <w:lang w:val="en-US" w:eastAsia="en-US"/>
        </w:rPr>
        <w:t>a</w:t>
      </w:r>
      <w:r w:rsidRPr="00EC1A78">
        <w:rPr>
          <w:rFonts w:eastAsiaTheme="minorHAnsi"/>
          <w:sz w:val="22"/>
          <w:szCs w:val="22"/>
          <w:lang w:val="en-US" w:eastAsia="en-US"/>
        </w:rPr>
        <w:t>chusetts, and London, 2016. – P. 126–127.</w:t>
      </w:r>
    </w:p>
    <w:p w:rsidR="00EC1A78" w:rsidRPr="00EC1A78" w:rsidRDefault="00EC1A78" w:rsidP="00EC1A78">
      <w:pPr>
        <w:ind w:firstLine="426"/>
        <w:jc w:val="both"/>
        <w:rPr>
          <w:sz w:val="22"/>
          <w:szCs w:val="22"/>
        </w:rPr>
      </w:pPr>
      <w:r w:rsidRPr="00EC1A78">
        <w:rPr>
          <w:sz w:val="22"/>
          <w:szCs w:val="22"/>
          <w:lang w:val="en-US"/>
        </w:rPr>
        <w:t xml:space="preserve">2. </w:t>
      </w:r>
      <w:r w:rsidRPr="00EC1A78">
        <w:rPr>
          <w:sz w:val="22"/>
          <w:szCs w:val="22"/>
        </w:rPr>
        <w:t>Декреты</w:t>
      </w:r>
      <w:r w:rsidRPr="00EC1A78">
        <w:rPr>
          <w:sz w:val="22"/>
          <w:szCs w:val="22"/>
          <w:lang w:val="en-US"/>
        </w:rPr>
        <w:t xml:space="preserve"> </w:t>
      </w:r>
      <w:r w:rsidRPr="00EC1A78">
        <w:rPr>
          <w:sz w:val="22"/>
          <w:szCs w:val="22"/>
        </w:rPr>
        <w:t>советской</w:t>
      </w:r>
      <w:r w:rsidRPr="00EC1A78">
        <w:rPr>
          <w:sz w:val="22"/>
          <w:szCs w:val="22"/>
          <w:lang w:val="en-US"/>
        </w:rPr>
        <w:t xml:space="preserve"> </w:t>
      </w:r>
      <w:r w:rsidRPr="00EC1A78">
        <w:rPr>
          <w:sz w:val="22"/>
          <w:szCs w:val="22"/>
        </w:rPr>
        <w:t>власти</w:t>
      </w:r>
      <w:r w:rsidRPr="00EC1A78">
        <w:rPr>
          <w:sz w:val="22"/>
          <w:szCs w:val="22"/>
          <w:lang w:val="en-US"/>
        </w:rPr>
        <w:t xml:space="preserve">. </w:t>
      </w:r>
      <w:r w:rsidRPr="00EC1A78">
        <w:rPr>
          <w:sz w:val="22"/>
          <w:szCs w:val="22"/>
        </w:rPr>
        <w:t>М.: Гос. изд–во полит. лит., 2016. Т. 1. – С. 166–120.</w:t>
      </w:r>
    </w:p>
    <w:p w:rsidR="00EC1A78" w:rsidRPr="00EC1A78" w:rsidRDefault="00EC1A78" w:rsidP="00EC1A78">
      <w:pPr>
        <w:ind w:firstLine="426"/>
        <w:jc w:val="both"/>
        <w:rPr>
          <w:sz w:val="22"/>
          <w:szCs w:val="22"/>
        </w:rPr>
      </w:pPr>
      <w:r w:rsidRPr="00EC1A78">
        <w:rPr>
          <w:sz w:val="22"/>
          <w:szCs w:val="22"/>
        </w:rPr>
        <w:t>3. Шугрина, Е.С. Муниципальное право Е.С. Шугрина. – Нов</w:t>
      </w:r>
      <w:r w:rsidRPr="00EC1A78">
        <w:rPr>
          <w:sz w:val="22"/>
          <w:szCs w:val="22"/>
        </w:rPr>
        <w:t>о</w:t>
      </w:r>
      <w:r w:rsidRPr="00EC1A78">
        <w:rPr>
          <w:sz w:val="22"/>
          <w:szCs w:val="22"/>
        </w:rPr>
        <w:t>сибирск: Изд–во Новисибир. ун– та, 2017. – С. 71.</w:t>
      </w:r>
    </w:p>
    <w:p w:rsidR="00EC1A78" w:rsidRPr="00EC1A78" w:rsidRDefault="00EC1A78" w:rsidP="00EC1A78">
      <w:pPr>
        <w:ind w:firstLine="426"/>
        <w:jc w:val="both"/>
        <w:rPr>
          <w:sz w:val="22"/>
          <w:szCs w:val="22"/>
        </w:rPr>
      </w:pPr>
      <w:r w:rsidRPr="00EC1A78">
        <w:rPr>
          <w:sz w:val="22"/>
          <w:szCs w:val="22"/>
        </w:rPr>
        <w:t>4. Пояснительная записка к модельному закону о порядке о</w:t>
      </w:r>
      <w:r w:rsidRPr="00EC1A78">
        <w:rPr>
          <w:sz w:val="22"/>
          <w:szCs w:val="22"/>
        </w:rPr>
        <w:t>т</w:t>
      </w:r>
      <w:r w:rsidRPr="00EC1A78">
        <w:rPr>
          <w:sz w:val="22"/>
          <w:szCs w:val="22"/>
        </w:rPr>
        <w:t>зыва депутата представительного органа местного самоуправления // Вестник Центральной избирательной комиссии РФ. – 2017. – № 1 (67). – С. 37.</w:t>
      </w:r>
    </w:p>
    <w:p w:rsidR="00C86D06" w:rsidRPr="00EC1A78" w:rsidRDefault="00EC1A78" w:rsidP="00F253F3">
      <w:pPr>
        <w:ind w:firstLine="426"/>
        <w:jc w:val="both"/>
        <w:rPr>
          <w:sz w:val="22"/>
          <w:szCs w:val="22"/>
        </w:rPr>
      </w:pPr>
      <w:r w:rsidRPr="00EC1A78">
        <w:rPr>
          <w:sz w:val="22"/>
          <w:szCs w:val="22"/>
        </w:rPr>
        <w:t xml:space="preserve">5. Цагикян, А.В., Бутурлина, Е.С. Конституционные права и свободы как элемент конституционно–правового статуса личности в РФ / А.В. Цагикян, Е.С. Бутурлина // </w:t>
      </w:r>
      <w:r w:rsidRPr="00EC1A78">
        <w:rPr>
          <w:color w:val="000000"/>
          <w:sz w:val="22"/>
          <w:szCs w:val="22"/>
        </w:rPr>
        <w:t>Научное обеспечение агр</w:t>
      </w:r>
      <w:r w:rsidRPr="00EC1A78">
        <w:rPr>
          <w:color w:val="000000"/>
          <w:sz w:val="22"/>
          <w:szCs w:val="22"/>
        </w:rPr>
        <w:t>о</w:t>
      </w:r>
      <w:r w:rsidRPr="00EC1A78">
        <w:rPr>
          <w:color w:val="000000"/>
          <w:sz w:val="22"/>
          <w:szCs w:val="22"/>
        </w:rPr>
        <w:lastRenderedPageBreak/>
        <w:t xml:space="preserve">промышленного комплекса: сб. ст. по материалам 71–й науч.–практ. конф. </w:t>
      </w:r>
      <w:r w:rsidRPr="00EC1A78">
        <w:rPr>
          <w:sz w:val="22"/>
          <w:szCs w:val="22"/>
        </w:rPr>
        <w:t xml:space="preserve">– </w:t>
      </w:r>
      <w:r w:rsidRPr="00EC1A78">
        <w:rPr>
          <w:color w:val="000000"/>
          <w:sz w:val="22"/>
          <w:szCs w:val="22"/>
        </w:rPr>
        <w:t xml:space="preserve">Краснодар, 12 апреля 2016 г. </w:t>
      </w:r>
      <w:r w:rsidRPr="00EC1A78">
        <w:rPr>
          <w:sz w:val="22"/>
          <w:szCs w:val="22"/>
        </w:rPr>
        <w:t xml:space="preserve">– </w:t>
      </w:r>
      <w:r w:rsidRPr="00EC1A78">
        <w:rPr>
          <w:color w:val="000000"/>
          <w:sz w:val="22"/>
          <w:szCs w:val="22"/>
        </w:rPr>
        <w:t xml:space="preserve">2016. </w:t>
      </w:r>
      <w:r w:rsidRPr="00EC1A78">
        <w:rPr>
          <w:sz w:val="22"/>
          <w:szCs w:val="22"/>
        </w:rPr>
        <w:t xml:space="preserve">– </w:t>
      </w:r>
      <w:r w:rsidRPr="00EC1A78">
        <w:rPr>
          <w:color w:val="000000"/>
          <w:sz w:val="22"/>
          <w:szCs w:val="22"/>
        </w:rPr>
        <w:t>С. 833.</w:t>
      </w:r>
    </w:p>
    <w:p w:rsidR="00163DEF" w:rsidRDefault="00163DEF" w:rsidP="00EC1A78">
      <w:pPr>
        <w:widowControl w:val="0"/>
        <w:shd w:val="clear" w:color="auto" w:fill="FFFFFF"/>
        <w:outlineLvl w:val="0"/>
        <w:rPr>
          <w:rFonts w:eastAsiaTheme="minorHAnsi"/>
          <w:color w:val="000000"/>
          <w:kern w:val="36"/>
          <w:sz w:val="22"/>
          <w:szCs w:val="22"/>
        </w:rPr>
      </w:pPr>
    </w:p>
    <w:p w:rsidR="00163DEF" w:rsidRDefault="00163DEF" w:rsidP="00EC1A78">
      <w:pPr>
        <w:widowControl w:val="0"/>
        <w:shd w:val="clear" w:color="auto" w:fill="FFFFFF"/>
        <w:outlineLvl w:val="0"/>
        <w:rPr>
          <w:rFonts w:eastAsiaTheme="minorHAnsi"/>
          <w:color w:val="000000"/>
          <w:kern w:val="36"/>
          <w:sz w:val="22"/>
          <w:szCs w:val="22"/>
        </w:rPr>
      </w:pPr>
    </w:p>
    <w:p w:rsidR="00163DEF" w:rsidRDefault="00163DEF" w:rsidP="00EC1A78">
      <w:pPr>
        <w:widowControl w:val="0"/>
        <w:shd w:val="clear" w:color="auto" w:fill="FFFFFF"/>
        <w:outlineLvl w:val="0"/>
        <w:rPr>
          <w:rFonts w:eastAsiaTheme="minorHAnsi"/>
          <w:color w:val="000000"/>
          <w:kern w:val="36"/>
          <w:sz w:val="22"/>
          <w:szCs w:val="22"/>
        </w:rPr>
      </w:pPr>
    </w:p>
    <w:p w:rsidR="00EC1A78" w:rsidRPr="00EC1A78" w:rsidRDefault="00EC1A78" w:rsidP="00EC1A78">
      <w:pPr>
        <w:widowControl w:val="0"/>
        <w:shd w:val="clear" w:color="auto" w:fill="FFFFFF"/>
        <w:outlineLvl w:val="0"/>
        <w:rPr>
          <w:rFonts w:eastAsiaTheme="minorHAnsi"/>
          <w:color w:val="000000"/>
          <w:kern w:val="36"/>
          <w:sz w:val="22"/>
          <w:szCs w:val="22"/>
        </w:rPr>
      </w:pPr>
      <w:r w:rsidRPr="00EC1A78">
        <w:rPr>
          <w:rFonts w:eastAsiaTheme="minorHAnsi"/>
          <w:color w:val="000000"/>
          <w:kern w:val="36"/>
          <w:sz w:val="22"/>
          <w:szCs w:val="22"/>
        </w:rPr>
        <w:t>УДК 343.98</w:t>
      </w:r>
    </w:p>
    <w:p w:rsidR="00EC1A78" w:rsidRPr="00EC1A78" w:rsidRDefault="00EC1A78" w:rsidP="00EC1A78">
      <w:pPr>
        <w:widowControl w:val="0"/>
        <w:ind w:firstLine="425"/>
        <w:jc w:val="center"/>
        <w:rPr>
          <w:rFonts w:eastAsiaTheme="minorHAnsi"/>
          <w:b/>
          <w:bCs/>
          <w:sz w:val="22"/>
          <w:szCs w:val="22"/>
          <w:lang w:eastAsia="en-US"/>
        </w:rPr>
      </w:pPr>
    </w:p>
    <w:p w:rsidR="00EC1A78" w:rsidRPr="00EC1A78" w:rsidRDefault="00EC1A78" w:rsidP="00EC1A78">
      <w:pPr>
        <w:widowControl w:val="0"/>
        <w:ind w:firstLine="425"/>
        <w:jc w:val="center"/>
        <w:rPr>
          <w:rFonts w:eastAsiaTheme="minorHAnsi"/>
          <w:b/>
          <w:bCs/>
          <w:sz w:val="24"/>
          <w:szCs w:val="24"/>
          <w:lang w:eastAsia="en-US"/>
        </w:rPr>
      </w:pPr>
      <w:r w:rsidRPr="00EC1A78">
        <w:rPr>
          <w:rFonts w:eastAsiaTheme="minorHAnsi"/>
          <w:b/>
          <w:bCs/>
          <w:sz w:val="24"/>
          <w:szCs w:val="24"/>
          <w:lang w:eastAsia="en-US"/>
        </w:rPr>
        <w:t>Изучение личности преступника:</w:t>
      </w:r>
    </w:p>
    <w:p w:rsidR="00EC1A78" w:rsidRPr="00EC1A78" w:rsidRDefault="00EC1A78" w:rsidP="00EC1A78">
      <w:pPr>
        <w:widowControl w:val="0"/>
        <w:ind w:firstLine="425"/>
        <w:jc w:val="center"/>
        <w:rPr>
          <w:rFonts w:eastAsiaTheme="minorHAnsi"/>
          <w:b/>
          <w:bCs/>
          <w:sz w:val="24"/>
          <w:szCs w:val="24"/>
          <w:lang w:eastAsia="en-US"/>
        </w:rPr>
      </w:pPr>
      <w:r w:rsidRPr="00EC1A78">
        <w:rPr>
          <w:rFonts w:eastAsiaTheme="minorHAnsi"/>
          <w:b/>
          <w:bCs/>
          <w:sz w:val="24"/>
          <w:szCs w:val="24"/>
          <w:lang w:eastAsia="en-US"/>
        </w:rPr>
        <w:t>криминолого–криминалистический аспект</w:t>
      </w:r>
    </w:p>
    <w:p w:rsidR="00EC1A78" w:rsidRPr="00EC1A78" w:rsidRDefault="00EC1A78" w:rsidP="00EC1A78">
      <w:pPr>
        <w:widowControl w:val="0"/>
        <w:tabs>
          <w:tab w:val="left" w:pos="8223"/>
        </w:tabs>
        <w:ind w:firstLine="425"/>
        <w:jc w:val="center"/>
        <w:rPr>
          <w:rFonts w:eastAsiaTheme="minorHAnsi"/>
          <w:b/>
          <w:bCs/>
          <w:color w:val="000000"/>
          <w:sz w:val="24"/>
          <w:szCs w:val="24"/>
          <w:lang w:val="en-US" w:eastAsia="en-US"/>
        </w:rPr>
      </w:pPr>
      <w:r w:rsidRPr="00EC1A78">
        <w:rPr>
          <w:rFonts w:eastAsiaTheme="minorHAnsi"/>
          <w:b/>
          <w:bCs/>
          <w:color w:val="000000"/>
          <w:sz w:val="24"/>
          <w:szCs w:val="24"/>
          <w:lang w:val="en-US" w:eastAsia="en-US"/>
        </w:rPr>
        <w:t>The study of the identity of the offender:</w:t>
      </w:r>
    </w:p>
    <w:p w:rsidR="00EC1A78" w:rsidRPr="00EC1A78" w:rsidRDefault="00EC1A78" w:rsidP="00EC1A78">
      <w:pPr>
        <w:widowControl w:val="0"/>
        <w:tabs>
          <w:tab w:val="left" w:pos="8223"/>
        </w:tabs>
        <w:ind w:firstLine="425"/>
        <w:jc w:val="center"/>
        <w:rPr>
          <w:rFonts w:eastAsiaTheme="minorHAnsi"/>
          <w:b/>
          <w:bCs/>
          <w:color w:val="000000"/>
          <w:sz w:val="24"/>
          <w:szCs w:val="24"/>
          <w:lang w:val="en-US" w:eastAsia="en-US"/>
        </w:rPr>
      </w:pPr>
      <w:r w:rsidRPr="00EC1A78">
        <w:rPr>
          <w:rFonts w:eastAsiaTheme="minorHAnsi"/>
          <w:b/>
          <w:bCs/>
          <w:color w:val="000000"/>
          <w:sz w:val="24"/>
          <w:szCs w:val="24"/>
          <w:lang w:val="en-US" w:eastAsia="en-US"/>
        </w:rPr>
        <w:t>of criminological and forensic aspect</w:t>
      </w:r>
    </w:p>
    <w:p w:rsidR="00EC1A78" w:rsidRPr="00EC1A78" w:rsidRDefault="00EC1A78" w:rsidP="00EC1A78">
      <w:pPr>
        <w:widowControl w:val="0"/>
        <w:tabs>
          <w:tab w:val="left" w:pos="8223"/>
        </w:tabs>
        <w:ind w:firstLine="425"/>
        <w:jc w:val="right"/>
        <w:rPr>
          <w:rFonts w:eastAsiaTheme="minorHAnsi"/>
          <w:color w:val="000000"/>
          <w:sz w:val="22"/>
          <w:szCs w:val="22"/>
          <w:lang w:val="en-US" w:eastAsia="en-US"/>
        </w:rPr>
      </w:pPr>
    </w:p>
    <w:p w:rsidR="00EC1A78" w:rsidRPr="00EC1A78" w:rsidRDefault="00EC1A78" w:rsidP="00EC1A78">
      <w:pPr>
        <w:widowControl w:val="0"/>
        <w:tabs>
          <w:tab w:val="left" w:pos="8223"/>
        </w:tabs>
        <w:ind w:firstLine="425"/>
        <w:jc w:val="right"/>
        <w:rPr>
          <w:rFonts w:eastAsiaTheme="minorHAnsi"/>
          <w:color w:val="000000"/>
          <w:sz w:val="22"/>
          <w:szCs w:val="22"/>
          <w:lang w:val="en-US" w:eastAsia="en-US"/>
        </w:rPr>
      </w:pPr>
      <w:r w:rsidRPr="00EC1A78">
        <w:rPr>
          <w:rFonts w:eastAsiaTheme="minorHAnsi"/>
          <w:color w:val="000000"/>
          <w:sz w:val="22"/>
          <w:szCs w:val="22"/>
          <w:lang w:eastAsia="en-US"/>
        </w:rPr>
        <w:t>Ребенок</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В</w:t>
      </w:r>
      <w:r w:rsidRPr="00EC1A78">
        <w:rPr>
          <w:rFonts w:eastAsiaTheme="minorHAnsi"/>
          <w:color w:val="000000"/>
          <w:sz w:val="22"/>
          <w:szCs w:val="22"/>
          <w:lang w:val="en-US" w:eastAsia="en-US"/>
        </w:rPr>
        <w:t>.,</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студент–магистрант 2–го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sz w:val="22"/>
          <w:szCs w:val="22"/>
        </w:rPr>
        <w:t>Грицаев С</w:t>
      </w:r>
      <w:r w:rsidRPr="00EC1A78">
        <w:rPr>
          <w:rFonts w:eastAsiaTheme="minorHAnsi"/>
          <w:color w:val="000000"/>
          <w:sz w:val="22"/>
          <w:szCs w:val="22"/>
          <w:lang w:eastAsia="en-US"/>
        </w:rPr>
        <w:t>. И.,</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доцент кафедры криминалистики</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C86D06">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p>
    <w:p w:rsidR="00EC1A78" w:rsidRPr="00EC1A78" w:rsidRDefault="00EC1A78" w:rsidP="00EC1A78">
      <w:pPr>
        <w:widowControl w:val="0"/>
        <w:tabs>
          <w:tab w:val="left" w:pos="8223"/>
        </w:tabs>
        <w:ind w:firstLine="425"/>
        <w:jc w:val="both"/>
        <w:rPr>
          <w:rFonts w:eastAsiaTheme="minorHAnsi"/>
          <w:color w:val="000000"/>
          <w:sz w:val="22"/>
          <w:szCs w:val="22"/>
          <w:lang w:val="en-US" w:eastAsia="en-US"/>
        </w:rPr>
      </w:pPr>
      <w:r w:rsidRPr="00EC1A78">
        <w:rPr>
          <w:rFonts w:eastAsiaTheme="minorHAnsi"/>
          <w:color w:val="000000"/>
          <w:sz w:val="22"/>
          <w:szCs w:val="22"/>
          <w:lang w:eastAsia="en-US"/>
        </w:rPr>
        <w:t>АННОТАЦИЯ: Рассмотрены цели и методы изучения личности преступника в криминологии и криминалистике. Определены</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направления</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применения</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типологий</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личности</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преступника</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в</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ра</w:t>
      </w:r>
      <w:r w:rsidRPr="00EC1A78">
        <w:rPr>
          <w:rFonts w:eastAsiaTheme="minorHAnsi"/>
          <w:color w:val="000000"/>
          <w:sz w:val="22"/>
          <w:szCs w:val="22"/>
          <w:lang w:eastAsia="en-US"/>
        </w:rPr>
        <w:t>с</w:t>
      </w:r>
      <w:r w:rsidRPr="00EC1A78">
        <w:rPr>
          <w:rFonts w:eastAsiaTheme="minorHAnsi"/>
          <w:color w:val="000000"/>
          <w:sz w:val="22"/>
          <w:szCs w:val="22"/>
          <w:lang w:eastAsia="en-US"/>
        </w:rPr>
        <w:t>следовании</w:t>
      </w:r>
      <w:r w:rsidRPr="00EC1A78">
        <w:rPr>
          <w:rFonts w:eastAsiaTheme="minorHAnsi"/>
          <w:color w:val="000000"/>
          <w:sz w:val="22"/>
          <w:szCs w:val="22"/>
          <w:lang w:val="en-US" w:eastAsia="en-US"/>
        </w:rPr>
        <w:t xml:space="preserve"> </w:t>
      </w:r>
      <w:r w:rsidRPr="00EC1A78">
        <w:rPr>
          <w:rFonts w:eastAsiaTheme="minorHAnsi"/>
          <w:color w:val="000000"/>
          <w:sz w:val="22"/>
          <w:szCs w:val="22"/>
          <w:lang w:eastAsia="en-US"/>
        </w:rPr>
        <w:t>преступлений</w:t>
      </w:r>
      <w:r w:rsidRPr="00EC1A78">
        <w:rPr>
          <w:rFonts w:eastAsiaTheme="minorHAnsi"/>
          <w:color w:val="000000"/>
          <w:sz w:val="22"/>
          <w:szCs w:val="22"/>
          <w:lang w:val="en-US" w:eastAsia="en-US"/>
        </w:rPr>
        <w:t>.</w:t>
      </w:r>
    </w:p>
    <w:p w:rsidR="00EC1A78" w:rsidRPr="00EC1A78" w:rsidRDefault="00EC1A78" w:rsidP="00EC1A78">
      <w:pPr>
        <w:widowControl w:val="0"/>
        <w:tabs>
          <w:tab w:val="left" w:pos="8223"/>
        </w:tabs>
        <w:ind w:firstLine="425"/>
        <w:jc w:val="both"/>
        <w:rPr>
          <w:rFonts w:eastAsiaTheme="minorHAnsi"/>
          <w:color w:val="000000"/>
          <w:sz w:val="22"/>
          <w:szCs w:val="22"/>
          <w:lang w:val="en-US" w:eastAsia="en-US"/>
        </w:rPr>
      </w:pPr>
      <w:r w:rsidRPr="00EC1A78">
        <w:rPr>
          <w:rFonts w:eastAsiaTheme="minorHAnsi"/>
          <w:color w:val="000000"/>
          <w:sz w:val="22"/>
          <w:szCs w:val="22"/>
          <w:lang w:val="en-US" w:eastAsia="en-US"/>
        </w:rPr>
        <w:t>ABSTRACT: The purposes and methods of studying the criminal's personality in criminology and criminology are considered.</w:t>
      </w:r>
      <w:r w:rsidRPr="00EC1A78">
        <w:rPr>
          <w:rFonts w:eastAsiaTheme="minorHAnsi"/>
          <w:sz w:val="22"/>
          <w:szCs w:val="22"/>
          <w:lang w:val="en-US" w:eastAsia="en-US"/>
        </w:rPr>
        <w:t xml:space="preserve"> </w:t>
      </w:r>
      <w:r w:rsidRPr="00EC1A78">
        <w:rPr>
          <w:rFonts w:eastAsiaTheme="minorHAnsi"/>
          <w:color w:val="000000"/>
          <w:sz w:val="22"/>
          <w:szCs w:val="22"/>
          <w:lang w:val="en-US" w:eastAsia="en-US"/>
        </w:rPr>
        <w:t>Directions of application of typologies of the personality of the criminal in investig</w:t>
      </w:r>
      <w:r w:rsidRPr="00EC1A78">
        <w:rPr>
          <w:rFonts w:eastAsiaTheme="minorHAnsi"/>
          <w:color w:val="000000"/>
          <w:sz w:val="22"/>
          <w:szCs w:val="22"/>
          <w:lang w:val="en-US" w:eastAsia="en-US"/>
        </w:rPr>
        <w:t>a</w:t>
      </w:r>
      <w:r w:rsidRPr="00EC1A78">
        <w:rPr>
          <w:rFonts w:eastAsiaTheme="minorHAnsi"/>
          <w:color w:val="000000"/>
          <w:sz w:val="22"/>
          <w:szCs w:val="22"/>
          <w:lang w:val="en-US" w:eastAsia="en-US"/>
        </w:rPr>
        <w:t>tion of crimes are defined.</w:t>
      </w:r>
    </w:p>
    <w:p w:rsidR="00EC1A78" w:rsidRPr="00EC1A78" w:rsidRDefault="00EC1A78" w:rsidP="00EC1A78">
      <w:pPr>
        <w:widowControl w:val="0"/>
        <w:tabs>
          <w:tab w:val="left" w:pos="8223"/>
        </w:tabs>
        <w:ind w:firstLine="425"/>
        <w:jc w:val="both"/>
        <w:rPr>
          <w:rFonts w:eastAsiaTheme="minorHAnsi"/>
          <w:color w:val="000000"/>
          <w:sz w:val="22"/>
          <w:szCs w:val="22"/>
          <w:lang w:eastAsia="en-US"/>
        </w:rPr>
      </w:pPr>
      <w:r w:rsidRPr="00EC1A78">
        <w:rPr>
          <w:rFonts w:eastAsiaTheme="minorHAnsi"/>
          <w:color w:val="000000"/>
          <w:sz w:val="22"/>
          <w:szCs w:val="22"/>
          <w:lang w:eastAsia="en-US"/>
        </w:rPr>
        <w:t>КЛЮЧЕВЫЕ СЛОВА: личность преступника, предупреждение преступности, расследование, тактика, методы изучения личности преступника.</w:t>
      </w:r>
    </w:p>
    <w:p w:rsidR="00EC1A78" w:rsidRPr="00EC1A78" w:rsidRDefault="00EC1A78" w:rsidP="00EC1A78">
      <w:pPr>
        <w:widowControl w:val="0"/>
        <w:tabs>
          <w:tab w:val="left" w:pos="8223"/>
        </w:tabs>
        <w:ind w:firstLine="425"/>
        <w:jc w:val="both"/>
        <w:rPr>
          <w:rFonts w:eastAsiaTheme="minorHAnsi"/>
          <w:color w:val="000000"/>
          <w:sz w:val="22"/>
          <w:szCs w:val="22"/>
          <w:lang w:val="en-US" w:eastAsia="en-US"/>
        </w:rPr>
      </w:pPr>
      <w:r w:rsidRPr="00EC1A78">
        <w:rPr>
          <w:rFonts w:eastAsiaTheme="minorHAnsi"/>
          <w:color w:val="000000"/>
          <w:sz w:val="22"/>
          <w:szCs w:val="22"/>
          <w:lang w:val="en-US" w:eastAsia="en-US"/>
        </w:rPr>
        <w:t>KEYWORDS: the identity of the offender, crime prevention, inve</w:t>
      </w:r>
      <w:r w:rsidRPr="00EC1A78">
        <w:rPr>
          <w:rFonts w:eastAsiaTheme="minorHAnsi"/>
          <w:color w:val="000000"/>
          <w:sz w:val="22"/>
          <w:szCs w:val="22"/>
          <w:lang w:val="en-US" w:eastAsia="en-US"/>
        </w:rPr>
        <w:t>s</w:t>
      </w:r>
      <w:r w:rsidRPr="00EC1A78">
        <w:rPr>
          <w:rFonts w:eastAsiaTheme="minorHAnsi"/>
          <w:color w:val="000000"/>
          <w:sz w:val="22"/>
          <w:szCs w:val="22"/>
          <w:lang w:val="en-US" w:eastAsia="en-US"/>
        </w:rPr>
        <w:t>tigation, tactics, methods of studying the identity of the offender</w:t>
      </w:r>
      <w:r w:rsidRPr="00EC1A78">
        <w:rPr>
          <w:rFonts w:eastAsiaTheme="minorHAnsi"/>
          <w:color w:val="000000"/>
          <w:sz w:val="22"/>
          <w:szCs w:val="22"/>
          <w:shd w:val="clear" w:color="auto" w:fill="FFFFFF"/>
          <w:lang w:val="en-US" w:eastAsia="en-US"/>
        </w:rPr>
        <w:t>.</w:t>
      </w:r>
    </w:p>
    <w:p w:rsidR="00EC1A78" w:rsidRPr="00EC1A78" w:rsidRDefault="00EC1A78" w:rsidP="00EC1A78">
      <w:pPr>
        <w:widowControl w:val="0"/>
        <w:ind w:firstLine="425"/>
        <w:jc w:val="center"/>
        <w:rPr>
          <w:rFonts w:eastAsiaTheme="minorHAnsi"/>
          <w:sz w:val="22"/>
          <w:szCs w:val="22"/>
          <w:lang w:val="en-US" w:eastAsia="en-US"/>
        </w:rPr>
      </w:pP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Личность преступника является неотъемлемой составной ч</w:t>
      </w:r>
      <w:r w:rsidRPr="00EC1A78">
        <w:rPr>
          <w:rFonts w:eastAsiaTheme="minorHAnsi"/>
          <w:sz w:val="22"/>
          <w:szCs w:val="22"/>
          <w:lang w:eastAsia="en-US"/>
        </w:rPr>
        <w:t>а</w:t>
      </w:r>
      <w:r w:rsidRPr="00EC1A78">
        <w:rPr>
          <w:rFonts w:eastAsiaTheme="minorHAnsi"/>
          <w:sz w:val="22"/>
          <w:szCs w:val="22"/>
          <w:lang w:eastAsia="en-US"/>
        </w:rPr>
        <w:t>стью предмета криминологии («…сама наука криминология нач</w:t>
      </w:r>
      <w:r w:rsidRPr="00EC1A78">
        <w:rPr>
          <w:rFonts w:eastAsiaTheme="minorHAnsi"/>
          <w:sz w:val="22"/>
          <w:szCs w:val="22"/>
          <w:lang w:eastAsia="en-US"/>
        </w:rPr>
        <w:t>а</w:t>
      </w:r>
      <w:r w:rsidRPr="00EC1A78">
        <w:rPr>
          <w:rFonts w:eastAsiaTheme="minorHAnsi"/>
          <w:sz w:val="22"/>
          <w:szCs w:val="22"/>
          <w:lang w:eastAsia="en-US"/>
        </w:rPr>
        <w:t>лась с изучения личности преступника» [3. С. 22]). Криминология, изучая личность человека, совершившего преступление,  разраб</w:t>
      </w:r>
      <w:r w:rsidRPr="00EC1A78">
        <w:rPr>
          <w:rFonts w:eastAsiaTheme="minorHAnsi"/>
          <w:sz w:val="22"/>
          <w:szCs w:val="22"/>
          <w:lang w:eastAsia="en-US"/>
        </w:rPr>
        <w:t>а</w:t>
      </w:r>
      <w:r w:rsidRPr="00EC1A78">
        <w:rPr>
          <w:rFonts w:eastAsiaTheme="minorHAnsi"/>
          <w:sz w:val="22"/>
          <w:szCs w:val="22"/>
          <w:lang w:eastAsia="en-US"/>
        </w:rPr>
        <w:lastRenderedPageBreak/>
        <w:t>тывает классификации и типологии преступников,  преследуя при этом цели:</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1) найти способы и методы их исправления;</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2) выявить наиболее типичные причины, направляющие чел</w:t>
      </w:r>
      <w:r w:rsidRPr="00EC1A78">
        <w:rPr>
          <w:rFonts w:eastAsiaTheme="minorHAnsi"/>
          <w:sz w:val="22"/>
          <w:szCs w:val="22"/>
          <w:lang w:eastAsia="en-US"/>
        </w:rPr>
        <w:t>о</w:t>
      </w:r>
      <w:r w:rsidRPr="00EC1A78">
        <w:rPr>
          <w:rFonts w:eastAsiaTheme="minorHAnsi"/>
          <w:sz w:val="22"/>
          <w:szCs w:val="22"/>
          <w:lang w:eastAsia="en-US"/>
        </w:rPr>
        <w:t>века на совершение преступления.</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Таким образом, изучение личности преступника в криминол</w:t>
      </w:r>
      <w:r w:rsidRPr="00EC1A78">
        <w:rPr>
          <w:rFonts w:eastAsiaTheme="minorHAnsi"/>
          <w:sz w:val="22"/>
          <w:szCs w:val="22"/>
          <w:lang w:eastAsia="en-US"/>
        </w:rPr>
        <w:t>о</w:t>
      </w:r>
      <w:r w:rsidRPr="00EC1A78">
        <w:rPr>
          <w:rFonts w:eastAsiaTheme="minorHAnsi"/>
          <w:sz w:val="22"/>
          <w:szCs w:val="22"/>
          <w:lang w:eastAsia="en-US"/>
        </w:rPr>
        <w:t>гии проводится, прежде всего, в целях разработки комплексных мер по предупреждению преступности.</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Одним из элементов криминалистической характеристики пр</w:t>
      </w:r>
      <w:r w:rsidRPr="00EC1A78">
        <w:rPr>
          <w:rFonts w:eastAsiaTheme="minorHAnsi"/>
          <w:sz w:val="22"/>
          <w:szCs w:val="22"/>
          <w:lang w:eastAsia="en-US"/>
        </w:rPr>
        <w:t>е</w:t>
      </w:r>
      <w:r w:rsidRPr="00EC1A78">
        <w:rPr>
          <w:rFonts w:eastAsiaTheme="minorHAnsi"/>
          <w:sz w:val="22"/>
          <w:szCs w:val="22"/>
          <w:lang w:eastAsia="en-US"/>
        </w:rPr>
        <w:t>ступлений являются сведения об особенностях личности престу</w:t>
      </w:r>
      <w:r w:rsidRPr="00EC1A78">
        <w:rPr>
          <w:rFonts w:eastAsiaTheme="minorHAnsi"/>
          <w:sz w:val="22"/>
          <w:szCs w:val="22"/>
          <w:lang w:eastAsia="en-US"/>
        </w:rPr>
        <w:t>п</w:t>
      </w:r>
      <w:r w:rsidRPr="00EC1A78">
        <w:rPr>
          <w:rFonts w:eastAsiaTheme="minorHAnsi"/>
          <w:sz w:val="22"/>
          <w:szCs w:val="22"/>
          <w:lang w:eastAsia="en-US"/>
        </w:rPr>
        <w:t xml:space="preserve">ника [1, С. 649]. В криминалистике изучение личности преступника производиться в целях разработки действенных способов и методов раскрытия и расследования преступлений. </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sz w:val="22"/>
          <w:szCs w:val="22"/>
          <w:lang w:eastAsia="en-US"/>
        </w:rPr>
        <w:t>Подход к элементам входящим в структуру личности престу</w:t>
      </w:r>
      <w:r w:rsidRPr="00EC1A78">
        <w:rPr>
          <w:rFonts w:eastAsiaTheme="minorHAnsi"/>
          <w:sz w:val="22"/>
          <w:szCs w:val="22"/>
          <w:lang w:eastAsia="en-US"/>
        </w:rPr>
        <w:t>п</w:t>
      </w:r>
      <w:r w:rsidRPr="00EC1A78">
        <w:rPr>
          <w:rFonts w:eastAsiaTheme="minorHAnsi"/>
          <w:sz w:val="22"/>
          <w:szCs w:val="22"/>
          <w:lang w:eastAsia="en-US"/>
        </w:rPr>
        <w:t>ника в криминологии (социально–демографическая; культурно–образовательная; нравственно–психологическая; уголовно–правовая подструктуры [2]) и в криминалистике (социально–демографическая и социально–психологическая (подструктуры: направленности; опыта; психических форм отражения; темпераме</w:t>
      </w:r>
      <w:r w:rsidRPr="00EC1A78">
        <w:rPr>
          <w:rFonts w:eastAsiaTheme="minorHAnsi"/>
          <w:sz w:val="22"/>
          <w:szCs w:val="22"/>
          <w:lang w:eastAsia="en-US"/>
        </w:rPr>
        <w:t>н</w:t>
      </w:r>
      <w:r w:rsidRPr="00EC1A78">
        <w:rPr>
          <w:rFonts w:eastAsiaTheme="minorHAnsi"/>
          <w:sz w:val="22"/>
          <w:szCs w:val="22"/>
          <w:lang w:eastAsia="en-US"/>
        </w:rPr>
        <w:t>та и других биологических свойств) подсистемы) практически  од</w:t>
      </w:r>
      <w:r w:rsidRPr="00EC1A78">
        <w:rPr>
          <w:rFonts w:eastAsiaTheme="minorHAnsi"/>
          <w:sz w:val="22"/>
          <w:szCs w:val="22"/>
          <w:lang w:eastAsia="en-US"/>
        </w:rPr>
        <w:t>и</w:t>
      </w:r>
      <w:r w:rsidRPr="00EC1A78">
        <w:rPr>
          <w:rFonts w:eastAsiaTheme="minorHAnsi"/>
          <w:sz w:val="22"/>
          <w:szCs w:val="22"/>
          <w:lang w:eastAsia="en-US"/>
        </w:rPr>
        <w:t>наков. Соответственно, разрабатываемые криминологами типол</w:t>
      </w:r>
      <w:r w:rsidRPr="00EC1A78">
        <w:rPr>
          <w:rFonts w:eastAsiaTheme="minorHAnsi"/>
          <w:sz w:val="22"/>
          <w:szCs w:val="22"/>
          <w:lang w:eastAsia="en-US"/>
        </w:rPr>
        <w:t>о</w:t>
      </w:r>
      <w:r w:rsidRPr="00EC1A78">
        <w:rPr>
          <w:rFonts w:eastAsiaTheme="minorHAnsi"/>
          <w:sz w:val="22"/>
          <w:szCs w:val="22"/>
          <w:lang w:eastAsia="en-US"/>
        </w:rPr>
        <w:t>гии личности преступников, активно используются в криминал</w:t>
      </w:r>
      <w:r w:rsidRPr="00EC1A78">
        <w:rPr>
          <w:rFonts w:eastAsiaTheme="minorHAnsi"/>
          <w:sz w:val="22"/>
          <w:szCs w:val="22"/>
          <w:lang w:eastAsia="en-US"/>
        </w:rPr>
        <w:t>и</w:t>
      </w:r>
      <w:r w:rsidRPr="00EC1A78">
        <w:rPr>
          <w:rFonts w:eastAsiaTheme="minorHAnsi"/>
          <w:sz w:val="22"/>
          <w:szCs w:val="22"/>
          <w:lang w:eastAsia="en-US"/>
        </w:rPr>
        <w:t>стике. Но следует отметить, что «…некоторые значимые для ра</w:t>
      </w:r>
      <w:r w:rsidRPr="00EC1A78">
        <w:rPr>
          <w:rFonts w:eastAsiaTheme="minorHAnsi"/>
          <w:sz w:val="22"/>
          <w:szCs w:val="22"/>
          <w:lang w:eastAsia="en-US"/>
        </w:rPr>
        <w:t>с</w:t>
      </w:r>
      <w:r w:rsidRPr="00EC1A78">
        <w:rPr>
          <w:rFonts w:eastAsiaTheme="minorHAnsi"/>
          <w:sz w:val="22"/>
          <w:szCs w:val="22"/>
          <w:lang w:eastAsia="en-US"/>
        </w:rPr>
        <w:t>следования личностные качества преступников остаются за пред</w:t>
      </w:r>
      <w:r w:rsidRPr="00EC1A78">
        <w:rPr>
          <w:rFonts w:eastAsiaTheme="minorHAnsi"/>
          <w:sz w:val="22"/>
          <w:szCs w:val="22"/>
          <w:lang w:eastAsia="en-US"/>
        </w:rPr>
        <w:t>е</w:t>
      </w:r>
      <w:r w:rsidRPr="00EC1A78">
        <w:rPr>
          <w:rFonts w:eastAsiaTheme="minorHAnsi"/>
          <w:sz w:val="22"/>
          <w:szCs w:val="22"/>
          <w:lang w:eastAsia="en-US"/>
        </w:rPr>
        <w:t>лами криминологической характеристики» [1, С. 649]. К таким свойствам личности относятся, например, профессиональные кр</w:t>
      </w:r>
      <w:r w:rsidRPr="00EC1A78">
        <w:rPr>
          <w:rFonts w:eastAsiaTheme="minorHAnsi"/>
          <w:sz w:val="22"/>
          <w:szCs w:val="22"/>
          <w:lang w:eastAsia="en-US"/>
        </w:rPr>
        <w:t>и</w:t>
      </w:r>
      <w:r w:rsidRPr="00EC1A78">
        <w:rPr>
          <w:rFonts w:eastAsiaTheme="minorHAnsi"/>
          <w:sz w:val="22"/>
          <w:szCs w:val="22"/>
          <w:lang w:eastAsia="en-US"/>
        </w:rPr>
        <w:t>минальные знания, умения и навыки, проявляющиеся в способе с</w:t>
      </w:r>
      <w:r w:rsidRPr="00EC1A78">
        <w:rPr>
          <w:rFonts w:eastAsiaTheme="minorHAnsi"/>
          <w:sz w:val="22"/>
          <w:szCs w:val="22"/>
          <w:lang w:eastAsia="en-US"/>
        </w:rPr>
        <w:t>о</w:t>
      </w:r>
      <w:r w:rsidRPr="00EC1A78">
        <w:rPr>
          <w:rFonts w:eastAsiaTheme="minorHAnsi"/>
          <w:sz w:val="22"/>
          <w:szCs w:val="22"/>
          <w:lang w:eastAsia="en-US"/>
        </w:rPr>
        <w:t>вершения преступления, а также биологические особенности ли</w:t>
      </w:r>
      <w:r w:rsidRPr="00EC1A78">
        <w:rPr>
          <w:rFonts w:eastAsiaTheme="minorHAnsi"/>
          <w:sz w:val="22"/>
          <w:szCs w:val="22"/>
          <w:lang w:eastAsia="en-US"/>
        </w:rPr>
        <w:t>ч</w:t>
      </w:r>
      <w:r w:rsidRPr="00EC1A78">
        <w:rPr>
          <w:rFonts w:eastAsiaTheme="minorHAnsi"/>
          <w:sz w:val="22"/>
          <w:szCs w:val="22"/>
          <w:lang w:eastAsia="en-US"/>
        </w:rPr>
        <w:t>ности преступника (например, свойства темперамента), которые следователь может и должен  грамотно использовать при определ</w:t>
      </w:r>
      <w:r w:rsidRPr="00EC1A78">
        <w:rPr>
          <w:rFonts w:eastAsiaTheme="minorHAnsi"/>
          <w:sz w:val="22"/>
          <w:szCs w:val="22"/>
          <w:lang w:eastAsia="en-US"/>
        </w:rPr>
        <w:t>е</w:t>
      </w:r>
      <w:r w:rsidRPr="00EC1A78">
        <w:rPr>
          <w:rFonts w:eastAsiaTheme="minorHAnsi"/>
          <w:sz w:val="22"/>
          <w:szCs w:val="22"/>
          <w:lang w:eastAsia="en-US"/>
        </w:rPr>
        <w:t>нии тактики производства следственных действий (например, при проведении допроса подозреваемого (обвиняемого)).</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sz w:val="22"/>
          <w:szCs w:val="22"/>
          <w:lang w:eastAsia="en-US"/>
        </w:rPr>
        <w:t xml:space="preserve"> При изучении личности преступника в криминологии испол</w:t>
      </w:r>
      <w:r w:rsidRPr="00EC1A78">
        <w:rPr>
          <w:rFonts w:eastAsiaTheme="minorHAnsi"/>
          <w:sz w:val="22"/>
          <w:szCs w:val="22"/>
          <w:lang w:eastAsia="en-US"/>
        </w:rPr>
        <w:t>ь</w:t>
      </w:r>
      <w:r w:rsidRPr="00EC1A78">
        <w:rPr>
          <w:rFonts w:eastAsiaTheme="minorHAnsi"/>
          <w:sz w:val="22"/>
          <w:szCs w:val="22"/>
          <w:lang w:eastAsia="en-US"/>
        </w:rPr>
        <w:t>зуется система методов большую часть, из которых составляют ст</w:t>
      </w:r>
      <w:r w:rsidRPr="00EC1A78">
        <w:rPr>
          <w:rFonts w:eastAsiaTheme="minorHAnsi"/>
          <w:sz w:val="22"/>
          <w:szCs w:val="22"/>
          <w:lang w:eastAsia="en-US"/>
        </w:rPr>
        <w:t>а</w:t>
      </w:r>
      <w:r w:rsidRPr="00EC1A78">
        <w:rPr>
          <w:rFonts w:eastAsiaTheme="minorHAnsi"/>
          <w:sz w:val="22"/>
          <w:szCs w:val="22"/>
          <w:lang w:eastAsia="en-US"/>
        </w:rPr>
        <w:t>тистические, социологические и социально–психологические [4, С. 56]. Криминалистика также активно применяет эти методы в целях изучения личности преступника. Следует отметить, что в кримин</w:t>
      </w:r>
      <w:r w:rsidRPr="00EC1A78">
        <w:rPr>
          <w:rFonts w:eastAsiaTheme="minorHAnsi"/>
          <w:sz w:val="22"/>
          <w:szCs w:val="22"/>
          <w:lang w:eastAsia="en-US"/>
        </w:rPr>
        <w:t>а</w:t>
      </w:r>
      <w:r w:rsidRPr="00EC1A78">
        <w:rPr>
          <w:rFonts w:eastAsiaTheme="minorHAnsi"/>
          <w:sz w:val="22"/>
          <w:szCs w:val="22"/>
          <w:lang w:eastAsia="en-US"/>
        </w:rPr>
        <w:t xml:space="preserve">листике активно ведутся исследования по составлению </w:t>
      </w:r>
      <w:r w:rsidRPr="00EC1A78">
        <w:rPr>
          <w:rFonts w:eastAsiaTheme="minorHAnsi"/>
          <w:color w:val="000000"/>
          <w:sz w:val="22"/>
          <w:szCs w:val="22"/>
          <w:lang w:eastAsia="en-US"/>
        </w:rPr>
        <w:t xml:space="preserve">типологий </w:t>
      </w:r>
      <w:r w:rsidRPr="00EC1A78">
        <w:rPr>
          <w:rFonts w:eastAsiaTheme="minorHAnsi"/>
          <w:color w:val="000000"/>
          <w:sz w:val="22"/>
          <w:szCs w:val="22"/>
          <w:lang w:eastAsia="en-US"/>
        </w:rPr>
        <w:lastRenderedPageBreak/>
        <w:t>личности преступника по некоторым категориям преступлений (убийства, изнасилования), которые используются в процессе с</w:t>
      </w:r>
      <w:r w:rsidRPr="00EC1A78">
        <w:rPr>
          <w:rFonts w:eastAsiaTheme="minorHAnsi"/>
          <w:color w:val="000000"/>
          <w:sz w:val="22"/>
          <w:szCs w:val="22"/>
          <w:lang w:eastAsia="en-US"/>
        </w:rPr>
        <w:t>о</w:t>
      </w:r>
      <w:r w:rsidRPr="00EC1A78">
        <w:rPr>
          <w:rFonts w:eastAsiaTheme="minorHAnsi"/>
          <w:color w:val="000000"/>
          <w:sz w:val="22"/>
          <w:szCs w:val="22"/>
          <w:lang w:eastAsia="en-US"/>
        </w:rPr>
        <w:t>ставления поискового психологического портрета преступника</w:t>
      </w:r>
      <w:r w:rsidRPr="00EC1A78">
        <w:rPr>
          <w:rFonts w:eastAsiaTheme="minorHAnsi"/>
          <w:sz w:val="22"/>
          <w:szCs w:val="22"/>
          <w:lang w:eastAsia="en-US"/>
        </w:rPr>
        <w:t xml:space="preserve">. Эти исследования осуществляются </w:t>
      </w:r>
      <w:r w:rsidRPr="00EC1A78">
        <w:rPr>
          <w:rFonts w:eastAsiaTheme="minorHAnsi"/>
          <w:color w:val="000000"/>
          <w:sz w:val="22"/>
          <w:szCs w:val="22"/>
          <w:lang w:eastAsia="en-US"/>
        </w:rPr>
        <w:t>совместно криминалистами, крим</w:t>
      </w:r>
      <w:r w:rsidRPr="00EC1A78">
        <w:rPr>
          <w:rFonts w:eastAsiaTheme="minorHAnsi"/>
          <w:color w:val="000000"/>
          <w:sz w:val="22"/>
          <w:szCs w:val="22"/>
          <w:lang w:eastAsia="en-US"/>
        </w:rPr>
        <w:t>и</w:t>
      </w:r>
      <w:r w:rsidRPr="00EC1A78">
        <w:rPr>
          <w:rFonts w:eastAsiaTheme="minorHAnsi"/>
          <w:color w:val="000000"/>
          <w:sz w:val="22"/>
          <w:szCs w:val="22"/>
          <w:lang w:eastAsia="en-US"/>
        </w:rPr>
        <w:t xml:space="preserve">нологами, психологами и психиатрами с 1992 года </w:t>
      </w:r>
      <w:r w:rsidRPr="00EC1A78">
        <w:rPr>
          <w:rFonts w:eastAsiaTheme="minorHAnsi"/>
          <w:sz w:val="22"/>
          <w:szCs w:val="22"/>
          <w:lang w:eastAsia="en-US"/>
        </w:rPr>
        <w:t>[5, С. 122]</w:t>
      </w:r>
      <w:r w:rsidRPr="00EC1A78">
        <w:rPr>
          <w:rFonts w:eastAsiaTheme="minorHAnsi"/>
          <w:color w:val="000000"/>
          <w:sz w:val="22"/>
          <w:szCs w:val="22"/>
          <w:lang w:eastAsia="en-US"/>
        </w:rPr>
        <w:t>.</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color w:val="000000"/>
          <w:sz w:val="22"/>
          <w:szCs w:val="22"/>
          <w:lang w:eastAsia="en-US"/>
        </w:rPr>
        <w:t>Следователи в ходе расследования также осуществляют де</w:t>
      </w:r>
      <w:r w:rsidRPr="00EC1A78">
        <w:rPr>
          <w:rFonts w:eastAsiaTheme="minorHAnsi"/>
          <w:color w:val="000000"/>
          <w:sz w:val="22"/>
          <w:szCs w:val="22"/>
          <w:lang w:eastAsia="en-US"/>
        </w:rPr>
        <w:t>я</w:t>
      </w:r>
      <w:r w:rsidRPr="00EC1A78">
        <w:rPr>
          <w:rFonts w:eastAsiaTheme="minorHAnsi"/>
          <w:color w:val="000000"/>
          <w:sz w:val="22"/>
          <w:szCs w:val="22"/>
          <w:lang w:eastAsia="en-US"/>
        </w:rPr>
        <w:t>тельность по изучению личности подозреваемого (обвиняемого), но не в научных целях, а для решения практических задач:</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sz w:val="22"/>
          <w:szCs w:val="22"/>
          <w:lang w:eastAsia="en-US"/>
        </w:rPr>
        <w:t>1) </w:t>
      </w:r>
      <w:r w:rsidRPr="00EC1A78">
        <w:rPr>
          <w:rFonts w:eastAsiaTheme="minorHAnsi"/>
          <w:color w:val="000000"/>
          <w:sz w:val="22"/>
          <w:szCs w:val="22"/>
          <w:lang w:eastAsia="en-US"/>
        </w:rPr>
        <w:t>выбора оптимальных тактических решений, тактических ком</w:t>
      </w:r>
      <w:r w:rsidRPr="00EC1A78">
        <w:rPr>
          <w:rFonts w:eastAsiaTheme="minorHAnsi"/>
          <w:color w:val="000000"/>
          <w:sz w:val="22"/>
          <w:szCs w:val="22"/>
          <w:lang w:eastAsia="en-US"/>
        </w:rPr>
        <w:softHyphen/>
        <w:t>бинаций и приемов воздействия на подозреваемого (обвиняем</w:t>
      </w:r>
      <w:r w:rsidRPr="00EC1A78">
        <w:rPr>
          <w:rFonts w:eastAsiaTheme="minorHAnsi"/>
          <w:color w:val="000000"/>
          <w:sz w:val="22"/>
          <w:szCs w:val="22"/>
          <w:lang w:eastAsia="en-US"/>
        </w:rPr>
        <w:t>о</w:t>
      </w:r>
      <w:r w:rsidRPr="00EC1A78">
        <w:rPr>
          <w:rFonts w:eastAsiaTheme="minorHAnsi"/>
          <w:color w:val="000000"/>
          <w:sz w:val="22"/>
          <w:szCs w:val="22"/>
          <w:lang w:eastAsia="en-US"/>
        </w:rPr>
        <w:t>го) в различных следственных ситуациях;</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color w:val="000000"/>
          <w:sz w:val="22"/>
          <w:szCs w:val="22"/>
          <w:lang w:eastAsia="en-US"/>
        </w:rPr>
        <w:t>2) </w:t>
      </w:r>
      <w:r w:rsidRPr="00EC1A78">
        <w:rPr>
          <w:rFonts w:eastAsiaTheme="minorHAnsi"/>
          <w:sz w:val="22"/>
          <w:szCs w:val="22"/>
          <w:lang w:eastAsia="en-US"/>
        </w:rPr>
        <w:t>проверки версии в отношении причастности к преступлению конкретного субъекта;</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sz w:val="22"/>
          <w:szCs w:val="22"/>
          <w:lang w:eastAsia="en-US"/>
        </w:rPr>
        <w:t>3) </w:t>
      </w:r>
      <w:r w:rsidRPr="00EC1A78">
        <w:rPr>
          <w:rFonts w:eastAsiaTheme="minorHAnsi"/>
          <w:color w:val="000000"/>
          <w:sz w:val="22"/>
          <w:szCs w:val="22"/>
          <w:lang w:eastAsia="en-US"/>
        </w:rPr>
        <w:t>установления некоторых обстоятельств, подлежащих до</w:t>
      </w:r>
      <w:r w:rsidRPr="00EC1A78">
        <w:rPr>
          <w:rFonts w:eastAsiaTheme="minorHAnsi"/>
          <w:color w:val="000000"/>
          <w:sz w:val="22"/>
          <w:szCs w:val="22"/>
          <w:lang w:eastAsia="en-US"/>
        </w:rPr>
        <w:softHyphen/>
        <w:t>казыванию (например, мотива преступления);</w:t>
      </w:r>
    </w:p>
    <w:p w:rsidR="00EC1A78" w:rsidRPr="00EC1A78" w:rsidRDefault="00EC1A78" w:rsidP="00EC1A78">
      <w:pPr>
        <w:widowControl w:val="0"/>
        <w:ind w:firstLine="425"/>
        <w:jc w:val="both"/>
        <w:rPr>
          <w:rFonts w:eastAsiaTheme="minorHAnsi"/>
          <w:color w:val="000000"/>
          <w:sz w:val="22"/>
          <w:szCs w:val="22"/>
          <w:lang w:eastAsia="en-US"/>
        </w:rPr>
      </w:pPr>
      <w:r w:rsidRPr="00EC1A78">
        <w:rPr>
          <w:rFonts w:eastAsiaTheme="minorHAnsi"/>
          <w:color w:val="000000"/>
          <w:sz w:val="22"/>
          <w:szCs w:val="22"/>
          <w:lang w:eastAsia="en-US"/>
        </w:rPr>
        <w:t xml:space="preserve">4) составления </w:t>
      </w:r>
      <w:r w:rsidRPr="00EC1A78">
        <w:rPr>
          <w:rFonts w:eastAsiaTheme="minorHAnsi"/>
          <w:sz w:val="22"/>
          <w:szCs w:val="22"/>
          <w:lang w:eastAsia="en-US"/>
        </w:rPr>
        <w:t xml:space="preserve">психологический портрета неустановленного подозреваемого по результатам производства первоначальных следственных действий, оперативно–розыскных мероприятий и иных действий с целью его установления и розыска. </w:t>
      </w:r>
    </w:p>
    <w:p w:rsidR="00EC1A78" w:rsidRPr="00EC1A78" w:rsidRDefault="00EC1A78" w:rsidP="00EC1A78">
      <w:pPr>
        <w:widowControl w:val="0"/>
        <w:ind w:firstLine="425"/>
        <w:jc w:val="both"/>
        <w:rPr>
          <w:rFonts w:eastAsiaTheme="minorHAnsi"/>
          <w:sz w:val="22"/>
          <w:szCs w:val="22"/>
          <w:lang w:eastAsia="en-US"/>
        </w:rPr>
      </w:pPr>
      <w:r w:rsidRPr="00EC1A78">
        <w:rPr>
          <w:rFonts w:eastAsiaTheme="minorHAnsi"/>
          <w:color w:val="000000"/>
          <w:sz w:val="22"/>
          <w:szCs w:val="22"/>
          <w:lang w:eastAsia="en-US"/>
        </w:rPr>
        <w:t>В силу специфики деятельности по расследованию преступл</w:t>
      </w:r>
      <w:r w:rsidRPr="00EC1A78">
        <w:rPr>
          <w:rFonts w:eastAsiaTheme="minorHAnsi"/>
          <w:color w:val="000000"/>
          <w:sz w:val="22"/>
          <w:szCs w:val="22"/>
          <w:lang w:eastAsia="en-US"/>
        </w:rPr>
        <w:t>е</w:t>
      </w:r>
      <w:r w:rsidRPr="00EC1A78">
        <w:rPr>
          <w:rFonts w:eastAsiaTheme="minorHAnsi"/>
          <w:color w:val="000000"/>
          <w:sz w:val="22"/>
          <w:szCs w:val="22"/>
          <w:lang w:eastAsia="en-US"/>
        </w:rPr>
        <w:t>ний объем методов, который следователь использует для изучения личности преступника, будет значительно меньше. Это такие мет</w:t>
      </w:r>
      <w:r w:rsidRPr="00EC1A78">
        <w:rPr>
          <w:rFonts w:eastAsiaTheme="minorHAnsi"/>
          <w:color w:val="000000"/>
          <w:sz w:val="22"/>
          <w:szCs w:val="22"/>
          <w:lang w:eastAsia="en-US"/>
        </w:rPr>
        <w:t>о</w:t>
      </w:r>
      <w:r w:rsidRPr="00EC1A78">
        <w:rPr>
          <w:rFonts w:eastAsiaTheme="minorHAnsi"/>
          <w:color w:val="000000"/>
          <w:sz w:val="22"/>
          <w:szCs w:val="22"/>
          <w:lang w:eastAsia="en-US"/>
        </w:rPr>
        <w:t>ды, как биографический, беседа, наблюдение, обобщение независ</w:t>
      </w:r>
      <w:r w:rsidRPr="00EC1A78">
        <w:rPr>
          <w:rFonts w:eastAsiaTheme="minorHAnsi"/>
          <w:color w:val="000000"/>
          <w:sz w:val="22"/>
          <w:szCs w:val="22"/>
          <w:lang w:eastAsia="en-US"/>
        </w:rPr>
        <w:t>и</w:t>
      </w:r>
      <w:r w:rsidRPr="00EC1A78">
        <w:rPr>
          <w:rFonts w:eastAsiaTheme="minorHAnsi"/>
          <w:color w:val="000000"/>
          <w:sz w:val="22"/>
          <w:szCs w:val="22"/>
          <w:lang w:eastAsia="en-US"/>
        </w:rPr>
        <w:t>мых характеристик, анализ документов (прежде всего материалов уголовного дела), изучение продуктов деятельности (механизм пр</w:t>
      </w:r>
      <w:r w:rsidRPr="00EC1A78">
        <w:rPr>
          <w:rFonts w:eastAsiaTheme="minorHAnsi"/>
          <w:color w:val="000000"/>
          <w:sz w:val="22"/>
          <w:szCs w:val="22"/>
          <w:lang w:eastAsia="en-US"/>
        </w:rPr>
        <w:t>е</w:t>
      </w:r>
      <w:r w:rsidRPr="00EC1A78">
        <w:rPr>
          <w:rFonts w:eastAsiaTheme="minorHAnsi"/>
          <w:color w:val="000000"/>
          <w:sz w:val="22"/>
          <w:szCs w:val="22"/>
          <w:lang w:eastAsia="en-US"/>
        </w:rPr>
        <w:t xml:space="preserve">ступления, следы преступления и т. д.).      </w:t>
      </w:r>
      <w:r w:rsidRPr="00EC1A78">
        <w:rPr>
          <w:rFonts w:eastAsiaTheme="minorHAnsi"/>
          <w:sz w:val="22"/>
          <w:szCs w:val="22"/>
          <w:lang w:eastAsia="en-US"/>
        </w:rPr>
        <w:t xml:space="preserve">     </w:t>
      </w:r>
    </w:p>
    <w:p w:rsidR="00EC1A78" w:rsidRPr="00EC1A78" w:rsidRDefault="00EC1A78" w:rsidP="00EC1A78">
      <w:pPr>
        <w:widowControl w:val="0"/>
        <w:ind w:firstLine="425"/>
        <w:jc w:val="both"/>
        <w:rPr>
          <w:rFonts w:eastAsiaTheme="minorHAnsi"/>
          <w:sz w:val="22"/>
          <w:szCs w:val="22"/>
          <w:lang w:eastAsia="en-US"/>
        </w:rPr>
      </w:pPr>
    </w:p>
    <w:p w:rsidR="00EC1A78" w:rsidRPr="00EC1A78" w:rsidRDefault="00EC1A78" w:rsidP="00EC1A78">
      <w:pPr>
        <w:widowControl w:val="0"/>
        <w:ind w:firstLine="425"/>
        <w:jc w:val="center"/>
        <w:rPr>
          <w:rFonts w:eastAsiaTheme="minorHAnsi"/>
          <w:color w:val="000000"/>
          <w:sz w:val="22"/>
          <w:szCs w:val="22"/>
          <w:lang w:eastAsia="en-US"/>
        </w:rPr>
      </w:pPr>
      <w:r w:rsidRPr="00EC1A78">
        <w:rPr>
          <w:rFonts w:eastAsiaTheme="minorHAnsi"/>
          <w:color w:val="000000"/>
          <w:sz w:val="22"/>
          <w:szCs w:val="22"/>
          <w:lang w:eastAsia="en-US"/>
        </w:rPr>
        <w:t>Список литературы</w:t>
      </w:r>
    </w:p>
    <w:p w:rsidR="00EC1A78" w:rsidRPr="00EC1A78" w:rsidRDefault="00EC1A78" w:rsidP="00EC1A78">
      <w:pPr>
        <w:widowControl w:val="0"/>
        <w:ind w:firstLine="425"/>
        <w:jc w:val="both"/>
        <w:rPr>
          <w:sz w:val="22"/>
          <w:szCs w:val="22"/>
        </w:rPr>
      </w:pPr>
      <w:r w:rsidRPr="00EC1A78">
        <w:rPr>
          <w:sz w:val="22"/>
          <w:szCs w:val="22"/>
        </w:rPr>
        <w:t>1. Влезько, Д. А. Личность преступника как элемент кримин</w:t>
      </w:r>
      <w:r w:rsidRPr="00EC1A78">
        <w:rPr>
          <w:sz w:val="22"/>
          <w:szCs w:val="22"/>
        </w:rPr>
        <w:t>а</w:t>
      </w:r>
      <w:r w:rsidRPr="00EC1A78">
        <w:rPr>
          <w:sz w:val="22"/>
          <w:szCs w:val="22"/>
        </w:rPr>
        <w:t>листической характеристики убийств / Д. А. Влезько // Итоги нау</w:t>
      </w:r>
      <w:r w:rsidRPr="00EC1A78">
        <w:rPr>
          <w:sz w:val="22"/>
          <w:szCs w:val="22"/>
        </w:rPr>
        <w:t>ч</w:t>
      </w:r>
      <w:r w:rsidRPr="00EC1A78">
        <w:rPr>
          <w:sz w:val="22"/>
          <w:szCs w:val="22"/>
        </w:rPr>
        <w:t>но–исследовательской работы за 2017 год: сб. ст. по материалам 73–й  науч.–практ. конф. пре</w:t>
      </w:r>
      <w:r w:rsidRPr="00EC1A78">
        <w:rPr>
          <w:sz w:val="22"/>
          <w:szCs w:val="22"/>
        </w:rPr>
        <w:softHyphen/>
        <w:t>подавателей / отв. за вып. А. Г. Кощаев. – Краснодар: КубГАУ, 2017. – С. 649–650.</w:t>
      </w:r>
    </w:p>
    <w:p w:rsidR="00EC1A78" w:rsidRPr="00EC1A78" w:rsidRDefault="00EC1A78" w:rsidP="00EC1A78">
      <w:pPr>
        <w:widowControl w:val="0"/>
        <w:shd w:val="clear" w:color="auto" w:fill="FFFFFF"/>
        <w:ind w:firstLine="425"/>
        <w:jc w:val="both"/>
        <w:textAlignment w:val="baseline"/>
        <w:rPr>
          <w:sz w:val="22"/>
          <w:szCs w:val="22"/>
        </w:rPr>
      </w:pPr>
      <w:r w:rsidRPr="00EC1A78">
        <w:rPr>
          <w:bCs/>
          <w:sz w:val="22"/>
          <w:szCs w:val="22"/>
          <w:bdr w:val="none" w:sz="0" w:space="0" w:color="auto" w:frame="1"/>
        </w:rPr>
        <w:t>2. Гриценко, Т. В.</w:t>
      </w:r>
      <w:r w:rsidRPr="00EC1A78">
        <w:rPr>
          <w:b/>
          <w:sz w:val="22"/>
          <w:szCs w:val="22"/>
          <w:bdr w:val="none" w:sz="0" w:space="0" w:color="auto" w:frame="1"/>
        </w:rPr>
        <w:t xml:space="preserve"> </w:t>
      </w:r>
      <w:r w:rsidRPr="00EC1A78">
        <w:rPr>
          <w:bCs/>
          <w:sz w:val="22"/>
          <w:szCs w:val="22"/>
          <w:bdr w:val="none" w:sz="0" w:space="0" w:color="auto" w:frame="1"/>
        </w:rPr>
        <w:t>Криминологические особенности лиц, с</w:t>
      </w:r>
      <w:r w:rsidRPr="00EC1A78">
        <w:rPr>
          <w:bCs/>
          <w:sz w:val="22"/>
          <w:szCs w:val="22"/>
          <w:bdr w:val="none" w:sz="0" w:space="0" w:color="auto" w:frame="1"/>
        </w:rPr>
        <w:t>о</w:t>
      </w:r>
      <w:r w:rsidRPr="00EC1A78">
        <w:rPr>
          <w:bCs/>
          <w:sz w:val="22"/>
          <w:szCs w:val="22"/>
          <w:bdr w:val="none" w:sz="0" w:space="0" w:color="auto" w:frame="1"/>
        </w:rPr>
        <w:t>вершающих  преступления с особой жестокостью / Т.В. Гриценко //</w:t>
      </w:r>
      <w:r w:rsidRPr="00EC1A78">
        <w:rPr>
          <w:bCs/>
          <w:kern w:val="36"/>
          <w:sz w:val="22"/>
          <w:szCs w:val="22"/>
          <w:bdr w:val="none" w:sz="0" w:space="0" w:color="auto" w:frame="1"/>
          <w:shd w:val="clear" w:color="auto" w:fill="FFFFFF"/>
        </w:rPr>
        <w:t xml:space="preserve"> </w:t>
      </w:r>
      <w:r w:rsidRPr="00EC1A78">
        <w:rPr>
          <w:bCs/>
          <w:sz w:val="22"/>
          <w:szCs w:val="22"/>
          <w:bdr w:val="none" w:sz="0" w:space="0" w:color="auto" w:frame="1"/>
          <w:shd w:val="clear" w:color="auto" w:fill="FFFFFF"/>
        </w:rPr>
        <w:t>Международный научно–исследовательский журнал. –</w:t>
      </w:r>
      <w:r w:rsidRPr="00EC1A78">
        <w:rPr>
          <w:sz w:val="22"/>
          <w:szCs w:val="22"/>
          <w:shd w:val="clear" w:color="auto" w:fill="FFFFFF"/>
        </w:rPr>
        <w:t xml:space="preserve"> 2016. – Ч. 6. – Вып. № 5 (47) </w:t>
      </w:r>
      <w:r w:rsidRPr="00EC1A78">
        <w:rPr>
          <w:sz w:val="22"/>
          <w:szCs w:val="22"/>
        </w:rPr>
        <w:t>[Электронный ресурс].</w:t>
      </w:r>
      <w:r w:rsidRPr="00EC1A78">
        <w:rPr>
          <w:color w:val="000000"/>
          <w:sz w:val="22"/>
          <w:szCs w:val="22"/>
          <w:shd w:val="clear" w:color="auto" w:fill="FFFFFF"/>
        </w:rPr>
        <w:t xml:space="preserve"> – Режим доступа: </w:t>
      </w:r>
      <w:r w:rsidRPr="00EC1A78">
        <w:rPr>
          <w:sz w:val="22"/>
          <w:szCs w:val="22"/>
        </w:rPr>
        <w:t>https://research–journal.org/law/</w:t>
      </w:r>
    </w:p>
    <w:p w:rsidR="00EC1A78" w:rsidRPr="00EC1A78" w:rsidRDefault="00EC1A78" w:rsidP="00EC1A78">
      <w:pPr>
        <w:widowControl w:val="0"/>
        <w:ind w:firstLine="425"/>
        <w:jc w:val="both"/>
        <w:rPr>
          <w:sz w:val="22"/>
          <w:szCs w:val="22"/>
        </w:rPr>
      </w:pPr>
      <w:r w:rsidRPr="00EC1A78">
        <w:rPr>
          <w:sz w:val="22"/>
          <w:szCs w:val="22"/>
        </w:rPr>
        <w:lastRenderedPageBreak/>
        <w:t>3. Криминология : учебник / под. ред. В. Н. Кудрявцева и В. Е. Эминова. – М.: Норма, 2009.</w:t>
      </w:r>
    </w:p>
    <w:p w:rsidR="00EC1A78" w:rsidRPr="00EC1A78" w:rsidRDefault="00EC1A78" w:rsidP="00EC1A78">
      <w:pPr>
        <w:widowControl w:val="0"/>
        <w:ind w:firstLine="425"/>
        <w:jc w:val="both"/>
        <w:rPr>
          <w:sz w:val="22"/>
          <w:szCs w:val="22"/>
        </w:rPr>
      </w:pPr>
      <w:r w:rsidRPr="00EC1A78">
        <w:rPr>
          <w:sz w:val="22"/>
          <w:szCs w:val="22"/>
        </w:rPr>
        <w:t>4. Криминология : учебник / под. ред. проф. Н. Ф. Кузнецовой, проф. В. В. Лунева. – М., 2004.</w:t>
      </w:r>
    </w:p>
    <w:p w:rsidR="00C86D06" w:rsidRPr="00F253F3" w:rsidRDefault="00EC1A78" w:rsidP="00F253F3">
      <w:pPr>
        <w:widowControl w:val="0"/>
        <w:ind w:firstLine="425"/>
        <w:jc w:val="both"/>
        <w:rPr>
          <w:sz w:val="22"/>
          <w:szCs w:val="22"/>
        </w:rPr>
      </w:pPr>
      <w:r w:rsidRPr="00EC1A78">
        <w:rPr>
          <w:sz w:val="22"/>
          <w:szCs w:val="22"/>
        </w:rPr>
        <w:t>5. Образцов, В. А. Криминалистическая психология : учеб. п</w:t>
      </w:r>
      <w:r w:rsidRPr="00EC1A78">
        <w:rPr>
          <w:sz w:val="22"/>
          <w:szCs w:val="22"/>
        </w:rPr>
        <w:t>о</w:t>
      </w:r>
      <w:r w:rsidRPr="00EC1A78">
        <w:rPr>
          <w:sz w:val="22"/>
          <w:szCs w:val="22"/>
        </w:rPr>
        <w:t xml:space="preserve">собие для вузов / В. А. Образцов, С. Н. Богомолова. – М., 2002. </w:t>
      </w:r>
    </w:p>
    <w:p w:rsidR="00163DEF" w:rsidRDefault="00163DEF" w:rsidP="00EC1A78">
      <w:pPr>
        <w:rPr>
          <w:rFonts w:eastAsiaTheme="minorHAnsi"/>
          <w:sz w:val="22"/>
          <w:szCs w:val="24"/>
          <w:lang w:eastAsia="en-US"/>
        </w:rPr>
      </w:pPr>
    </w:p>
    <w:p w:rsidR="00163DEF" w:rsidRDefault="00163DEF" w:rsidP="00EC1A78">
      <w:pPr>
        <w:rPr>
          <w:rFonts w:eastAsiaTheme="minorHAnsi"/>
          <w:sz w:val="22"/>
          <w:szCs w:val="24"/>
          <w:lang w:eastAsia="en-US"/>
        </w:rPr>
      </w:pPr>
    </w:p>
    <w:p w:rsidR="00163DEF" w:rsidRDefault="00163DEF" w:rsidP="00EC1A78">
      <w:pPr>
        <w:rPr>
          <w:rFonts w:eastAsiaTheme="minorHAnsi"/>
          <w:sz w:val="22"/>
          <w:szCs w:val="24"/>
          <w:lang w:eastAsia="en-US"/>
        </w:rPr>
      </w:pP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t>УДК</w:t>
      </w:r>
      <w:r w:rsidRPr="00EC1A78">
        <w:rPr>
          <w:rFonts w:eastAsiaTheme="minorHAnsi"/>
          <w:sz w:val="20"/>
          <w:szCs w:val="22"/>
          <w:lang w:eastAsia="en-US"/>
        </w:rPr>
        <w:t xml:space="preserve"> </w:t>
      </w:r>
      <w:r w:rsidRPr="00EC1A78">
        <w:rPr>
          <w:rFonts w:eastAsiaTheme="minorHAnsi"/>
          <w:sz w:val="22"/>
          <w:szCs w:val="24"/>
          <w:lang w:eastAsia="en-US"/>
        </w:rPr>
        <w:t>343.98</w:t>
      </w:r>
    </w:p>
    <w:p w:rsidR="00EC1A78" w:rsidRPr="00EC1A78" w:rsidRDefault="00EC1A78" w:rsidP="00EC1A78">
      <w:pPr>
        <w:jc w:val="center"/>
        <w:rPr>
          <w:rFonts w:eastAsiaTheme="minorHAnsi"/>
          <w:b/>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Криминалистические проблемы борьбы с коррупцией</w:t>
      </w:r>
    </w:p>
    <w:p w:rsidR="00EC1A78" w:rsidRPr="00EC1A78" w:rsidRDefault="00EC1A78" w:rsidP="00EC1A78">
      <w:pPr>
        <w:jc w:val="center"/>
        <w:rPr>
          <w:rFonts w:eastAsiaTheme="minorHAnsi"/>
          <w:b/>
          <w:color w:val="212121"/>
          <w:sz w:val="24"/>
          <w:szCs w:val="24"/>
          <w:shd w:val="clear" w:color="auto" w:fill="FFFFFF"/>
          <w:lang w:val="en-US" w:eastAsia="en-US"/>
        </w:rPr>
      </w:pPr>
      <w:r w:rsidRPr="00EC1A78">
        <w:rPr>
          <w:rFonts w:eastAsiaTheme="minorHAnsi"/>
          <w:b/>
          <w:color w:val="212121"/>
          <w:sz w:val="24"/>
          <w:szCs w:val="24"/>
          <w:shd w:val="clear" w:color="auto" w:fill="FFFFFF"/>
          <w:lang w:eastAsia="en-US"/>
        </w:rPr>
        <w:t>С</w:t>
      </w:r>
      <w:r w:rsidRPr="00EC1A78">
        <w:rPr>
          <w:rFonts w:eastAsiaTheme="minorHAnsi"/>
          <w:b/>
          <w:color w:val="212121"/>
          <w:sz w:val="24"/>
          <w:szCs w:val="24"/>
          <w:shd w:val="clear" w:color="auto" w:fill="FFFFFF"/>
          <w:lang w:val="en-US" w:eastAsia="en-US"/>
        </w:rPr>
        <w:t>riminalistic problems of struggle against corruption</w:t>
      </w:r>
    </w:p>
    <w:p w:rsidR="00EC1A78" w:rsidRPr="00EC1A78" w:rsidRDefault="00EC1A78" w:rsidP="00EC1A78">
      <w:pPr>
        <w:jc w:val="center"/>
        <w:rPr>
          <w:rFonts w:eastAsiaTheme="minorHAnsi"/>
          <w:sz w:val="22"/>
          <w:szCs w:val="24"/>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Рожков Д.</w:t>
      </w:r>
      <w:r w:rsidR="00C86D0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 4–го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Влезько Д.</w:t>
      </w:r>
      <w:r w:rsidR="00C86D06">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криминалистики</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проблемы, связа</w:t>
      </w:r>
      <w:r w:rsidRPr="00EC1A78">
        <w:rPr>
          <w:rFonts w:eastAsiaTheme="minorHAnsi"/>
          <w:sz w:val="22"/>
          <w:szCs w:val="22"/>
          <w:lang w:eastAsia="en-US"/>
        </w:rPr>
        <w:t>н</w:t>
      </w:r>
      <w:r w:rsidRPr="00EC1A78">
        <w:rPr>
          <w:rFonts w:eastAsiaTheme="minorHAnsi"/>
          <w:sz w:val="22"/>
          <w:szCs w:val="22"/>
          <w:lang w:eastAsia="en-US"/>
        </w:rPr>
        <w:t>ные с использованием криминалистических средств, в процессе борьбы с коррупцией. Предлагаются возможные меры  по их ра</w:t>
      </w:r>
      <w:r w:rsidRPr="00EC1A78">
        <w:rPr>
          <w:rFonts w:eastAsiaTheme="minorHAnsi"/>
          <w:sz w:val="22"/>
          <w:szCs w:val="22"/>
          <w:lang w:eastAsia="en-US"/>
        </w:rPr>
        <w:t>з</w:t>
      </w:r>
      <w:r w:rsidRPr="00EC1A78">
        <w:rPr>
          <w:rFonts w:eastAsiaTheme="minorHAnsi"/>
          <w:sz w:val="22"/>
          <w:szCs w:val="22"/>
          <w:lang w:eastAsia="en-US"/>
        </w:rPr>
        <w:t>решению путем совершенствования организаторской работы, п</w:t>
      </w:r>
      <w:r w:rsidRPr="00EC1A78">
        <w:rPr>
          <w:rFonts w:eastAsiaTheme="minorHAnsi"/>
          <w:sz w:val="22"/>
          <w:szCs w:val="22"/>
          <w:lang w:eastAsia="en-US"/>
        </w:rPr>
        <w:t>о</w:t>
      </w:r>
      <w:r w:rsidRPr="00EC1A78">
        <w:rPr>
          <w:rFonts w:eastAsiaTheme="minorHAnsi"/>
          <w:sz w:val="22"/>
          <w:szCs w:val="22"/>
          <w:lang w:eastAsia="en-US"/>
        </w:rPr>
        <w:t>вышением профессиональной подготовки сотрудников правоохр</w:t>
      </w:r>
      <w:r w:rsidRPr="00EC1A78">
        <w:rPr>
          <w:rFonts w:eastAsiaTheme="minorHAnsi"/>
          <w:sz w:val="22"/>
          <w:szCs w:val="22"/>
          <w:lang w:eastAsia="en-US"/>
        </w:rPr>
        <w:t>а</w:t>
      </w:r>
      <w:r w:rsidRPr="00EC1A78">
        <w:rPr>
          <w:rFonts w:eastAsiaTheme="minorHAnsi"/>
          <w:sz w:val="22"/>
          <w:szCs w:val="22"/>
          <w:lang w:eastAsia="en-US"/>
        </w:rPr>
        <w:t xml:space="preserve">нительных органов. </w:t>
      </w:r>
    </w:p>
    <w:p w:rsidR="00EC1A78" w:rsidRPr="00EC1A78" w:rsidRDefault="00EC1A78" w:rsidP="00EC1A78">
      <w:pPr>
        <w:ind w:firstLine="425"/>
        <w:jc w:val="both"/>
        <w:rPr>
          <w:rFonts w:eastAsia="Courier New"/>
          <w:color w:val="000000"/>
          <w:sz w:val="22"/>
          <w:szCs w:val="22"/>
          <w:lang w:val="en-US" w:eastAsia="en-US"/>
        </w:rPr>
      </w:pPr>
      <w:r w:rsidRPr="00EC1A78">
        <w:rPr>
          <w:rFonts w:eastAsia="Courier New"/>
          <w:color w:val="000000"/>
          <w:sz w:val="22"/>
          <w:szCs w:val="22"/>
          <w:lang w:val="en-US" w:eastAsia="en-US"/>
        </w:rPr>
        <w:t>ABSTRACT:</w:t>
      </w:r>
      <w:r w:rsidRPr="00EC1A78">
        <w:rPr>
          <w:rFonts w:eastAsiaTheme="minorHAnsi"/>
          <w:sz w:val="22"/>
          <w:szCs w:val="22"/>
          <w:lang w:val="en-US" w:eastAsia="en-US"/>
        </w:rPr>
        <w:t xml:space="preserve"> </w:t>
      </w:r>
      <w:r w:rsidRPr="00EC1A78">
        <w:rPr>
          <w:rFonts w:eastAsia="Courier New"/>
          <w:color w:val="000000"/>
          <w:sz w:val="22"/>
          <w:szCs w:val="22"/>
          <w:lang w:val="en-US" w:eastAsia="en-US"/>
        </w:rPr>
        <w:t>In article the problems connected with use of crim</w:t>
      </w:r>
      <w:r w:rsidRPr="00EC1A78">
        <w:rPr>
          <w:rFonts w:eastAsia="Courier New"/>
          <w:color w:val="000000"/>
          <w:sz w:val="22"/>
          <w:szCs w:val="22"/>
          <w:lang w:val="en-US" w:eastAsia="en-US"/>
        </w:rPr>
        <w:t>i</w:t>
      </w:r>
      <w:r w:rsidRPr="00EC1A78">
        <w:rPr>
          <w:rFonts w:eastAsia="Courier New"/>
          <w:color w:val="000000"/>
          <w:sz w:val="22"/>
          <w:szCs w:val="22"/>
          <w:lang w:val="en-US" w:eastAsia="en-US"/>
        </w:rPr>
        <w:t>nalistic means in the course of fight against corruption are considered. Possible measures for their permission by improvement of organizing work, are proposed by increase in vocational training of law enforcement officers.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w:t>
      </w:r>
      <w:r w:rsidRPr="00EC1A78">
        <w:rPr>
          <w:rFonts w:eastAsiaTheme="minorHAnsi"/>
          <w:b/>
          <w:sz w:val="22"/>
          <w:szCs w:val="22"/>
          <w:lang w:eastAsia="en-US"/>
        </w:rPr>
        <w:t xml:space="preserve"> </w:t>
      </w:r>
      <w:r w:rsidRPr="00EC1A78">
        <w:rPr>
          <w:rFonts w:eastAsiaTheme="minorHAnsi"/>
          <w:sz w:val="22"/>
          <w:szCs w:val="22"/>
          <w:lang w:eastAsia="en-US"/>
        </w:rPr>
        <w:t>коррупция, преступление, граждане, государственная власть, криминалистические средства и методы.</w:t>
      </w:r>
    </w:p>
    <w:p w:rsidR="00EC1A78" w:rsidRPr="00EC1A78" w:rsidRDefault="00EC1A78" w:rsidP="00EC1A78">
      <w:pPr>
        <w:ind w:firstLine="425"/>
        <w:jc w:val="both"/>
        <w:rPr>
          <w:rFonts w:eastAsiaTheme="minorHAnsi"/>
          <w:sz w:val="22"/>
          <w:szCs w:val="22"/>
          <w:lang w:val="en-US" w:eastAsia="en-US"/>
        </w:rPr>
      </w:pPr>
      <w:r w:rsidRPr="00EC1A78">
        <w:rPr>
          <w:rFonts w:eastAsia="Courier New"/>
          <w:color w:val="000000"/>
          <w:sz w:val="22"/>
          <w:szCs w:val="22"/>
          <w:lang w:val="en-US" w:eastAsia="en-US"/>
        </w:rPr>
        <w:t>KEYWORDS: corruption, crime, citizens, government, crimina</w:t>
      </w:r>
      <w:r w:rsidRPr="00EC1A78">
        <w:rPr>
          <w:rFonts w:eastAsia="Courier New"/>
          <w:color w:val="000000"/>
          <w:sz w:val="22"/>
          <w:szCs w:val="22"/>
          <w:lang w:val="en-US" w:eastAsia="en-US"/>
        </w:rPr>
        <w:t>l</w:t>
      </w:r>
      <w:r w:rsidRPr="00EC1A78">
        <w:rPr>
          <w:rFonts w:eastAsia="Courier New"/>
          <w:color w:val="000000"/>
          <w:sz w:val="22"/>
          <w:szCs w:val="22"/>
          <w:lang w:val="en-US" w:eastAsia="en-US"/>
        </w:rPr>
        <w:t>istic means and methods.</w:t>
      </w:r>
    </w:p>
    <w:p w:rsidR="00EC1A78" w:rsidRPr="00EC1A78" w:rsidRDefault="00EC1A78" w:rsidP="00EC1A78">
      <w:pPr>
        <w:ind w:firstLine="425"/>
        <w:jc w:val="both"/>
        <w:rPr>
          <w:rFonts w:eastAsiaTheme="minorHAnsi"/>
          <w:sz w:val="22"/>
          <w:szCs w:val="22"/>
          <w:lang w:val="en-US" w:eastAsia="en-US"/>
        </w:rPr>
      </w:pPr>
    </w:p>
    <w:p w:rsidR="00EC1A78" w:rsidRPr="00EC1A78" w:rsidRDefault="00F253F3" w:rsidP="00EC1A78">
      <w:pPr>
        <w:ind w:firstLine="425"/>
        <w:jc w:val="both"/>
        <w:rPr>
          <w:rFonts w:eastAsiaTheme="minorHAnsi"/>
          <w:sz w:val="22"/>
          <w:szCs w:val="22"/>
          <w:lang w:eastAsia="en-US"/>
        </w:rPr>
      </w:pPr>
      <w:r>
        <w:rPr>
          <w:rFonts w:eastAsiaTheme="minorHAnsi"/>
          <w:sz w:val="22"/>
          <w:szCs w:val="22"/>
          <w:lang w:eastAsia="en-US"/>
        </w:rPr>
        <w:lastRenderedPageBreak/>
        <w:t>Коррупция</w:t>
      </w:r>
      <w:r w:rsidR="00EC1A78" w:rsidRPr="00EC1A78">
        <w:rPr>
          <w:rFonts w:eastAsiaTheme="minorHAnsi"/>
          <w:sz w:val="22"/>
          <w:szCs w:val="22"/>
          <w:lang w:eastAsia="en-US"/>
        </w:rPr>
        <w:t xml:space="preserve"> «порча, подкуп» –  совершение или не совершение каког</w:t>
      </w:r>
      <w:r>
        <w:rPr>
          <w:rFonts w:eastAsiaTheme="minorHAnsi"/>
          <w:sz w:val="22"/>
          <w:szCs w:val="22"/>
          <w:lang w:eastAsia="en-US"/>
        </w:rPr>
        <w:t xml:space="preserve">о–либо действия при исполнении </w:t>
      </w:r>
      <w:r w:rsidR="00EC1A78" w:rsidRPr="00EC1A78">
        <w:rPr>
          <w:rFonts w:eastAsiaTheme="minorHAnsi"/>
          <w:sz w:val="22"/>
          <w:szCs w:val="22"/>
          <w:lang w:eastAsia="en-US"/>
        </w:rPr>
        <w:t>обязанностей или по пр</w:t>
      </w:r>
      <w:r w:rsidR="00EC1A78" w:rsidRPr="00EC1A78">
        <w:rPr>
          <w:rFonts w:eastAsiaTheme="minorHAnsi"/>
          <w:sz w:val="22"/>
          <w:szCs w:val="22"/>
          <w:lang w:eastAsia="en-US"/>
        </w:rPr>
        <w:t>и</w:t>
      </w:r>
      <w:r w:rsidR="00EC1A78" w:rsidRPr="00EC1A78">
        <w:rPr>
          <w:rFonts w:eastAsiaTheme="minorHAnsi"/>
          <w:sz w:val="22"/>
          <w:szCs w:val="22"/>
          <w:lang w:eastAsia="en-US"/>
        </w:rPr>
        <w:t>чине этих обязанностей в результате требуемых или принятых п</w:t>
      </w:r>
      <w:r w:rsidR="00EC1A78" w:rsidRPr="00EC1A78">
        <w:rPr>
          <w:rFonts w:eastAsiaTheme="minorHAnsi"/>
          <w:sz w:val="22"/>
          <w:szCs w:val="22"/>
          <w:lang w:eastAsia="en-US"/>
        </w:rPr>
        <w:t>о</w:t>
      </w:r>
      <w:r w:rsidR="00EC1A78" w:rsidRPr="00EC1A78">
        <w:rPr>
          <w:rFonts w:eastAsiaTheme="minorHAnsi"/>
          <w:sz w:val="22"/>
          <w:szCs w:val="22"/>
          <w:lang w:eastAsia="en-US"/>
        </w:rPr>
        <w:t>дарков, обещаний, их незаконное получение всякий раз, когда им</w:t>
      </w:r>
      <w:r w:rsidR="00EC1A78" w:rsidRPr="00EC1A78">
        <w:rPr>
          <w:rFonts w:eastAsiaTheme="minorHAnsi"/>
          <w:sz w:val="22"/>
          <w:szCs w:val="22"/>
          <w:lang w:eastAsia="en-US"/>
        </w:rPr>
        <w:t>е</w:t>
      </w:r>
      <w:r w:rsidR="00EC1A78" w:rsidRPr="00EC1A78">
        <w:rPr>
          <w:rFonts w:eastAsiaTheme="minorHAnsi"/>
          <w:sz w:val="22"/>
          <w:szCs w:val="22"/>
          <w:lang w:eastAsia="en-US"/>
        </w:rPr>
        <w:t>ет место так</w:t>
      </w:r>
      <w:r>
        <w:rPr>
          <w:rFonts w:eastAsiaTheme="minorHAnsi"/>
          <w:sz w:val="22"/>
          <w:szCs w:val="22"/>
          <w:lang w:eastAsia="en-US"/>
        </w:rPr>
        <w:t>ое действие или бездействие[1].</w:t>
      </w:r>
      <w:r w:rsidR="00EC1A78" w:rsidRPr="00EC1A78">
        <w:rPr>
          <w:rFonts w:eastAsiaTheme="minorHAnsi"/>
          <w:sz w:val="22"/>
          <w:szCs w:val="22"/>
          <w:lang w:eastAsia="en-US"/>
        </w:rPr>
        <w:t xml:space="preserve"> Другими словами ко</w:t>
      </w:r>
      <w:r w:rsidR="00EC1A78" w:rsidRPr="00EC1A78">
        <w:rPr>
          <w:rFonts w:eastAsiaTheme="minorHAnsi"/>
          <w:sz w:val="22"/>
          <w:szCs w:val="22"/>
          <w:lang w:eastAsia="en-US"/>
        </w:rPr>
        <w:t>р</w:t>
      </w:r>
      <w:r w:rsidR="00EC1A78" w:rsidRPr="00EC1A78">
        <w:rPr>
          <w:rFonts w:eastAsiaTheme="minorHAnsi"/>
          <w:sz w:val="22"/>
          <w:szCs w:val="22"/>
          <w:lang w:eastAsia="en-US"/>
        </w:rPr>
        <w:t>рупция – это подкуп должностных лиц в целях достижения опред</w:t>
      </w:r>
      <w:r w:rsidR="00EC1A78" w:rsidRPr="00EC1A78">
        <w:rPr>
          <w:rFonts w:eastAsiaTheme="minorHAnsi"/>
          <w:sz w:val="22"/>
          <w:szCs w:val="22"/>
          <w:lang w:eastAsia="en-US"/>
        </w:rPr>
        <w:t>е</w:t>
      </w:r>
      <w:r w:rsidR="00EC1A78" w:rsidRPr="00EC1A78">
        <w:rPr>
          <w:rFonts w:eastAsiaTheme="minorHAnsi"/>
          <w:sz w:val="22"/>
          <w:szCs w:val="22"/>
          <w:lang w:eastAsia="en-US"/>
        </w:rPr>
        <w:t xml:space="preserve">ленных целей, в связи с получением вознаграждения.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сегодняшний день, тема криминалистических проблем в борьбе с коррупцией весьма актуальна. В настоящее время главным условием эффективности борьбы с коррупцией является как прин</w:t>
      </w:r>
      <w:r w:rsidRPr="00EC1A78">
        <w:rPr>
          <w:rFonts w:eastAsiaTheme="minorHAnsi"/>
          <w:sz w:val="22"/>
          <w:szCs w:val="22"/>
          <w:lang w:eastAsia="en-US"/>
        </w:rPr>
        <w:t>я</w:t>
      </w:r>
      <w:r w:rsidRPr="00EC1A78">
        <w:rPr>
          <w:rFonts w:eastAsiaTheme="minorHAnsi"/>
          <w:sz w:val="22"/>
          <w:szCs w:val="22"/>
          <w:lang w:eastAsia="en-US"/>
        </w:rPr>
        <w:t>тие комплекса законодательных норм, так и разработка криминал</w:t>
      </w:r>
      <w:r w:rsidRPr="00EC1A78">
        <w:rPr>
          <w:rFonts w:eastAsiaTheme="minorHAnsi"/>
          <w:sz w:val="22"/>
          <w:szCs w:val="22"/>
          <w:lang w:eastAsia="en-US"/>
        </w:rPr>
        <w:t>и</w:t>
      </w:r>
      <w:r w:rsidRPr="00EC1A78">
        <w:rPr>
          <w:rFonts w:eastAsiaTheme="minorHAnsi"/>
          <w:sz w:val="22"/>
          <w:szCs w:val="22"/>
          <w:lang w:eastAsia="en-US"/>
        </w:rPr>
        <w:t>стических проблем организации и расследования коррупционных проявлений, что поможет минимизировать ущерб, наносимый этим явлением государству и гражданам.</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 наиболее распространенным преступлениям коррупционной направленности относится: дача взятки, получение взятки, комме</w:t>
      </w:r>
      <w:r w:rsidRPr="00EC1A78">
        <w:rPr>
          <w:rFonts w:eastAsiaTheme="minorHAnsi"/>
          <w:sz w:val="22"/>
          <w:szCs w:val="22"/>
          <w:lang w:eastAsia="en-US"/>
        </w:rPr>
        <w:t>р</w:t>
      </w:r>
      <w:r w:rsidRPr="00EC1A78">
        <w:rPr>
          <w:rFonts w:eastAsiaTheme="minorHAnsi"/>
          <w:sz w:val="22"/>
          <w:szCs w:val="22"/>
          <w:lang w:eastAsia="en-US"/>
        </w:rPr>
        <w:t xml:space="preserve">ческий подкуп, мелкое взяточничество, совершенные с корыстным мотивом.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Коррупция возникает там, где чиновники имеют широкие по</w:t>
      </w:r>
      <w:r w:rsidRPr="00EC1A78">
        <w:rPr>
          <w:rFonts w:eastAsiaTheme="minorHAnsi"/>
          <w:sz w:val="22"/>
          <w:szCs w:val="22"/>
          <w:lang w:eastAsia="en-US"/>
        </w:rPr>
        <w:t>л</w:t>
      </w:r>
      <w:r w:rsidRPr="00EC1A78">
        <w:rPr>
          <w:rFonts w:eastAsiaTheme="minorHAnsi"/>
          <w:sz w:val="22"/>
          <w:szCs w:val="22"/>
          <w:lang w:eastAsia="en-US"/>
        </w:rPr>
        <w:t>номочия при слабом контроле и подотчете. Коррумпированные л</w:t>
      </w:r>
      <w:r w:rsidRPr="00EC1A78">
        <w:rPr>
          <w:rFonts w:eastAsiaTheme="minorHAnsi"/>
          <w:sz w:val="22"/>
          <w:szCs w:val="22"/>
          <w:lang w:eastAsia="en-US"/>
        </w:rPr>
        <w:t>и</w:t>
      </w:r>
      <w:r w:rsidRPr="00EC1A78">
        <w:rPr>
          <w:rFonts w:eastAsiaTheme="minorHAnsi"/>
          <w:sz w:val="22"/>
          <w:szCs w:val="22"/>
          <w:lang w:eastAsia="en-US"/>
        </w:rPr>
        <w:t xml:space="preserve">ца при этом обладают не только организаторскими способностями, но и криминальным опытом, сами проявляют инициативу, </w:t>
      </w:r>
      <w:r w:rsidR="00C86D06">
        <w:rPr>
          <w:rFonts w:eastAsiaTheme="minorHAnsi"/>
          <w:sz w:val="22"/>
          <w:szCs w:val="22"/>
          <w:lang w:eastAsia="en-US"/>
        </w:rPr>
        <w:t>выпо</w:t>
      </w:r>
      <w:r w:rsidR="00C86D06">
        <w:rPr>
          <w:rFonts w:eastAsiaTheme="minorHAnsi"/>
          <w:sz w:val="22"/>
          <w:szCs w:val="22"/>
          <w:lang w:eastAsia="en-US"/>
        </w:rPr>
        <w:t>л</w:t>
      </w:r>
      <w:r w:rsidR="00C86D06">
        <w:rPr>
          <w:rFonts w:eastAsiaTheme="minorHAnsi"/>
          <w:sz w:val="22"/>
          <w:szCs w:val="22"/>
          <w:lang w:eastAsia="en-US"/>
        </w:rPr>
        <w:t xml:space="preserve">няя те или иные действия. </w:t>
      </w:r>
      <w:r w:rsidRPr="00EC1A78">
        <w:rPr>
          <w:rFonts w:eastAsiaTheme="minorHAnsi"/>
          <w:sz w:val="22"/>
          <w:szCs w:val="22"/>
          <w:lang w:eastAsia="en-US"/>
        </w:rPr>
        <w:t>Такие преступления носят организова</w:t>
      </w:r>
      <w:r w:rsidRPr="00EC1A78">
        <w:rPr>
          <w:rFonts w:eastAsiaTheme="minorHAnsi"/>
          <w:sz w:val="22"/>
          <w:szCs w:val="22"/>
          <w:lang w:eastAsia="en-US"/>
        </w:rPr>
        <w:t>н</w:t>
      </w:r>
      <w:r w:rsidRPr="00EC1A78">
        <w:rPr>
          <w:rFonts w:eastAsiaTheme="minorHAnsi"/>
          <w:sz w:val="22"/>
          <w:szCs w:val="22"/>
          <w:lang w:eastAsia="en-US"/>
        </w:rPr>
        <w:t>ный характер, что способствует сокрытию их преступной деятел</w:t>
      </w:r>
      <w:r w:rsidRPr="00EC1A78">
        <w:rPr>
          <w:rFonts w:eastAsiaTheme="minorHAnsi"/>
          <w:sz w:val="22"/>
          <w:szCs w:val="22"/>
          <w:lang w:eastAsia="en-US"/>
        </w:rPr>
        <w:t>ь</w:t>
      </w:r>
      <w:r w:rsidRPr="00EC1A78">
        <w:rPr>
          <w:rFonts w:eastAsiaTheme="minorHAnsi"/>
          <w:sz w:val="22"/>
          <w:szCs w:val="22"/>
          <w:lang w:eastAsia="en-US"/>
        </w:rPr>
        <w:t>ности [2]. Этот факт крайне осложняет выявление, раскрытие и ра</w:t>
      </w:r>
      <w:r w:rsidRPr="00EC1A78">
        <w:rPr>
          <w:rFonts w:eastAsiaTheme="minorHAnsi"/>
          <w:sz w:val="22"/>
          <w:szCs w:val="22"/>
          <w:lang w:eastAsia="en-US"/>
        </w:rPr>
        <w:t>с</w:t>
      </w:r>
      <w:r w:rsidRPr="00EC1A78">
        <w:rPr>
          <w:rFonts w:eastAsiaTheme="minorHAnsi"/>
          <w:sz w:val="22"/>
          <w:szCs w:val="22"/>
          <w:lang w:eastAsia="en-US"/>
        </w:rPr>
        <w:t>следование деятель</w:t>
      </w:r>
      <w:r w:rsidR="00C86D06">
        <w:rPr>
          <w:rFonts w:eastAsiaTheme="minorHAnsi"/>
          <w:sz w:val="22"/>
          <w:szCs w:val="22"/>
          <w:lang w:eastAsia="en-US"/>
        </w:rPr>
        <w:t xml:space="preserve">ности, связанной с коррупцией. </w:t>
      </w:r>
      <w:r w:rsidRPr="00EC1A78">
        <w:rPr>
          <w:rFonts w:eastAsiaTheme="minorHAnsi"/>
          <w:sz w:val="22"/>
          <w:szCs w:val="22"/>
          <w:lang w:eastAsia="en-US"/>
        </w:rPr>
        <w:t>Несмотря на применение преступниками различных способов совершения пр</w:t>
      </w:r>
      <w:r w:rsidRPr="00EC1A78">
        <w:rPr>
          <w:rFonts w:eastAsiaTheme="minorHAnsi"/>
          <w:sz w:val="22"/>
          <w:szCs w:val="22"/>
          <w:lang w:eastAsia="en-US"/>
        </w:rPr>
        <w:t>е</w:t>
      </w:r>
      <w:r w:rsidRPr="00EC1A78">
        <w:rPr>
          <w:rFonts w:eastAsiaTheme="minorHAnsi"/>
          <w:sz w:val="22"/>
          <w:szCs w:val="22"/>
          <w:lang w:eastAsia="en-US"/>
        </w:rPr>
        <w:t>ступления, сокрытия следов преступления, всегда возможно обн</w:t>
      </w:r>
      <w:r w:rsidRPr="00EC1A78">
        <w:rPr>
          <w:rFonts w:eastAsiaTheme="minorHAnsi"/>
          <w:sz w:val="22"/>
          <w:szCs w:val="22"/>
          <w:lang w:eastAsia="en-US"/>
        </w:rPr>
        <w:t>а</w:t>
      </w:r>
      <w:r w:rsidRPr="00EC1A78">
        <w:rPr>
          <w:rFonts w:eastAsiaTheme="minorHAnsi"/>
          <w:sz w:val="22"/>
          <w:szCs w:val="22"/>
          <w:lang w:eastAsia="en-US"/>
        </w:rPr>
        <w:t>ружить следы совершаемых ими противоправных действий. Типи</w:t>
      </w:r>
      <w:r w:rsidRPr="00EC1A78">
        <w:rPr>
          <w:rFonts w:eastAsiaTheme="minorHAnsi"/>
          <w:sz w:val="22"/>
          <w:szCs w:val="22"/>
          <w:lang w:eastAsia="en-US"/>
        </w:rPr>
        <w:t>ч</w:t>
      </w:r>
      <w:r w:rsidRPr="00EC1A78">
        <w:rPr>
          <w:rFonts w:eastAsiaTheme="minorHAnsi"/>
          <w:sz w:val="22"/>
          <w:szCs w:val="22"/>
          <w:lang w:eastAsia="en-US"/>
        </w:rPr>
        <w:t>ными следами являются: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материально фиксированные следы: деньги, ценные предм</w:t>
      </w:r>
      <w:r w:rsidRPr="00EC1A78">
        <w:rPr>
          <w:rFonts w:eastAsiaTheme="minorHAnsi"/>
          <w:sz w:val="22"/>
          <w:szCs w:val="22"/>
          <w:lang w:eastAsia="en-US"/>
        </w:rPr>
        <w:t>е</w:t>
      </w:r>
      <w:r w:rsidRPr="00EC1A78">
        <w:rPr>
          <w:rFonts w:eastAsiaTheme="minorHAnsi"/>
          <w:sz w:val="22"/>
          <w:szCs w:val="22"/>
          <w:lang w:eastAsia="en-US"/>
        </w:rPr>
        <w:t>ты, лицевые счета вкладчика,  квитанции,  фотографии, а также сл</w:t>
      </w:r>
      <w:r w:rsidRPr="00EC1A78">
        <w:rPr>
          <w:rFonts w:eastAsiaTheme="minorHAnsi"/>
          <w:sz w:val="22"/>
          <w:szCs w:val="22"/>
          <w:lang w:eastAsia="en-US"/>
        </w:rPr>
        <w:t>е</w:t>
      </w:r>
      <w:r w:rsidRPr="00EC1A78">
        <w:rPr>
          <w:rFonts w:eastAsiaTheme="minorHAnsi"/>
          <w:sz w:val="22"/>
          <w:szCs w:val="22"/>
          <w:lang w:eastAsia="en-US"/>
        </w:rPr>
        <w:t>ды, образовавшиеся в результате контактного взаимодействия с предметом взятки, следы химического и биологического происхо</w:t>
      </w:r>
      <w:r w:rsidRPr="00EC1A78">
        <w:rPr>
          <w:rFonts w:eastAsiaTheme="minorHAnsi"/>
          <w:sz w:val="22"/>
          <w:szCs w:val="22"/>
          <w:lang w:eastAsia="en-US"/>
        </w:rPr>
        <w:t>ж</w:t>
      </w:r>
      <w:r w:rsidRPr="00EC1A78">
        <w:rPr>
          <w:rFonts w:eastAsiaTheme="minorHAnsi"/>
          <w:sz w:val="22"/>
          <w:szCs w:val="22"/>
          <w:lang w:eastAsia="en-US"/>
        </w:rPr>
        <w:t>дения;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идеальные следы преступления: сведения, полученные от с</w:t>
      </w:r>
      <w:r w:rsidRPr="00EC1A78">
        <w:rPr>
          <w:rFonts w:eastAsiaTheme="minorHAnsi"/>
          <w:sz w:val="22"/>
          <w:szCs w:val="22"/>
          <w:lang w:eastAsia="en-US"/>
        </w:rPr>
        <w:t>о</w:t>
      </w:r>
      <w:r w:rsidRPr="00EC1A78">
        <w:rPr>
          <w:rFonts w:eastAsiaTheme="minorHAnsi"/>
          <w:sz w:val="22"/>
          <w:szCs w:val="22"/>
          <w:lang w:eastAsia="en-US"/>
        </w:rPr>
        <w:t>служивцев должностного лица и других участников коррупции, членов их семей, случайных свидетелей [3].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Современная криминалистическая наука разработала множ</w:t>
      </w:r>
      <w:r w:rsidRPr="00EC1A78">
        <w:rPr>
          <w:rFonts w:eastAsiaTheme="minorHAnsi"/>
          <w:sz w:val="22"/>
          <w:szCs w:val="22"/>
          <w:lang w:eastAsia="en-US"/>
        </w:rPr>
        <w:t>е</w:t>
      </w:r>
      <w:r w:rsidRPr="00EC1A78">
        <w:rPr>
          <w:rFonts w:eastAsiaTheme="minorHAnsi"/>
          <w:sz w:val="22"/>
          <w:szCs w:val="22"/>
          <w:lang w:eastAsia="en-US"/>
        </w:rPr>
        <w:t>ство приемов и средств, использование которых весьма эффективно при расследовании фактов коррупции. Не смотря на все, для выя</w:t>
      </w:r>
      <w:r w:rsidRPr="00EC1A78">
        <w:rPr>
          <w:rFonts w:eastAsiaTheme="minorHAnsi"/>
          <w:sz w:val="22"/>
          <w:szCs w:val="22"/>
          <w:lang w:eastAsia="en-US"/>
        </w:rPr>
        <w:t>в</w:t>
      </w:r>
      <w:r w:rsidRPr="00EC1A78">
        <w:rPr>
          <w:rFonts w:eastAsiaTheme="minorHAnsi"/>
          <w:sz w:val="22"/>
          <w:szCs w:val="22"/>
          <w:lang w:eastAsia="en-US"/>
        </w:rPr>
        <w:t>ления виновных и расследования рассматриваемой категории пр</w:t>
      </w:r>
      <w:r w:rsidRPr="00EC1A78">
        <w:rPr>
          <w:rFonts w:eastAsiaTheme="minorHAnsi"/>
          <w:sz w:val="22"/>
          <w:szCs w:val="22"/>
          <w:lang w:eastAsia="en-US"/>
        </w:rPr>
        <w:t>е</w:t>
      </w:r>
      <w:r w:rsidRPr="00EC1A78">
        <w:rPr>
          <w:rFonts w:eastAsiaTheme="minorHAnsi"/>
          <w:sz w:val="22"/>
          <w:szCs w:val="22"/>
          <w:lang w:eastAsia="en-US"/>
        </w:rPr>
        <w:t>ступлении,  большая часть выявленных коррумпированных дол</w:t>
      </w:r>
      <w:r w:rsidRPr="00EC1A78">
        <w:rPr>
          <w:rFonts w:eastAsiaTheme="minorHAnsi"/>
          <w:sz w:val="22"/>
          <w:szCs w:val="22"/>
          <w:lang w:eastAsia="en-US"/>
        </w:rPr>
        <w:t>ж</w:t>
      </w:r>
      <w:r w:rsidRPr="00EC1A78">
        <w:rPr>
          <w:rFonts w:eastAsiaTheme="minorHAnsi"/>
          <w:sz w:val="22"/>
          <w:szCs w:val="22"/>
          <w:lang w:eastAsia="en-US"/>
        </w:rPr>
        <w:t xml:space="preserve">ностных лиц избегают уголовной ответственности.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сегодняшний день существуют целые криминалистические проблемы в борьбе с коррупцией. Они выражаются:</w:t>
      </w:r>
    </w:p>
    <w:p w:rsidR="00EC1A78" w:rsidRPr="00EC1A78" w:rsidRDefault="00C86D06" w:rsidP="00EC1A78">
      <w:pPr>
        <w:ind w:firstLine="425"/>
        <w:jc w:val="both"/>
        <w:rPr>
          <w:rFonts w:eastAsiaTheme="minorHAnsi"/>
          <w:sz w:val="22"/>
          <w:szCs w:val="22"/>
          <w:lang w:eastAsia="en-US"/>
        </w:rPr>
      </w:pPr>
      <w:r>
        <w:rPr>
          <w:rFonts w:eastAsiaTheme="minorHAnsi"/>
          <w:sz w:val="22"/>
          <w:szCs w:val="22"/>
          <w:lang w:eastAsia="en-US"/>
        </w:rPr>
        <w:t xml:space="preserve">– </w:t>
      </w:r>
      <w:r w:rsidR="00EC1A78" w:rsidRPr="00EC1A78">
        <w:rPr>
          <w:rFonts w:eastAsiaTheme="minorHAnsi"/>
          <w:sz w:val="22"/>
          <w:szCs w:val="22"/>
          <w:lang w:eastAsia="en-US"/>
        </w:rPr>
        <w:t>в неопытности сотрудников правоохранительных органов;</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несвоевременный сбор и реализация достаточно полной и</w:t>
      </w:r>
      <w:r w:rsidRPr="00EC1A78">
        <w:rPr>
          <w:rFonts w:eastAsiaTheme="minorHAnsi"/>
          <w:sz w:val="22"/>
          <w:szCs w:val="22"/>
          <w:lang w:eastAsia="en-US"/>
        </w:rPr>
        <w:t>н</w:t>
      </w:r>
      <w:r w:rsidRPr="00EC1A78">
        <w:rPr>
          <w:rFonts w:eastAsiaTheme="minorHAnsi"/>
          <w:sz w:val="22"/>
          <w:szCs w:val="22"/>
          <w:lang w:eastAsia="en-US"/>
        </w:rPr>
        <w:t>формации о коррумпированной деятельности должностных лиц;</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неполнотой выявления всех эпизодов преступной деятельн</w:t>
      </w:r>
      <w:r w:rsidRPr="00EC1A78">
        <w:rPr>
          <w:rFonts w:eastAsiaTheme="minorHAnsi"/>
          <w:sz w:val="22"/>
          <w:szCs w:val="22"/>
          <w:lang w:eastAsia="en-US"/>
        </w:rPr>
        <w:t>о</w:t>
      </w:r>
      <w:r w:rsidRPr="00EC1A78">
        <w:rPr>
          <w:rFonts w:eastAsiaTheme="minorHAnsi"/>
          <w:sz w:val="22"/>
          <w:szCs w:val="22"/>
          <w:lang w:eastAsia="en-US"/>
        </w:rPr>
        <w:t>сти, несогласованностью оперативных аппаратов и следствия, н</w:t>
      </w:r>
      <w:r w:rsidRPr="00EC1A78">
        <w:rPr>
          <w:rFonts w:eastAsiaTheme="minorHAnsi"/>
          <w:sz w:val="22"/>
          <w:szCs w:val="22"/>
          <w:lang w:eastAsia="en-US"/>
        </w:rPr>
        <w:t>е</w:t>
      </w:r>
      <w:r w:rsidRPr="00EC1A78">
        <w:rPr>
          <w:rFonts w:eastAsiaTheme="minorHAnsi"/>
          <w:sz w:val="22"/>
          <w:szCs w:val="22"/>
          <w:lang w:eastAsia="en-US"/>
        </w:rPr>
        <w:t>своевременностью проведения следственных действий;</w:t>
      </w:r>
    </w:p>
    <w:p w:rsidR="00EC1A78" w:rsidRPr="00EC1A78" w:rsidRDefault="00C86D06" w:rsidP="00EC1A78">
      <w:pPr>
        <w:ind w:firstLine="425"/>
        <w:jc w:val="both"/>
        <w:rPr>
          <w:rFonts w:eastAsiaTheme="minorHAnsi"/>
          <w:sz w:val="22"/>
          <w:szCs w:val="22"/>
          <w:lang w:eastAsia="en-US"/>
        </w:rPr>
      </w:pPr>
      <w:r>
        <w:rPr>
          <w:rFonts w:eastAsiaTheme="minorHAnsi"/>
          <w:sz w:val="22"/>
          <w:szCs w:val="22"/>
          <w:lang w:eastAsia="en-US"/>
        </w:rPr>
        <w:t xml:space="preserve">– в недостаточном уровне </w:t>
      </w:r>
      <w:r w:rsidR="00EC1A78" w:rsidRPr="00EC1A78">
        <w:rPr>
          <w:rFonts w:eastAsiaTheme="minorHAnsi"/>
          <w:sz w:val="22"/>
          <w:szCs w:val="22"/>
          <w:lang w:eastAsia="en-US"/>
        </w:rPr>
        <w:t>организации использования опер</w:t>
      </w:r>
      <w:r w:rsidR="00EC1A78" w:rsidRPr="00EC1A78">
        <w:rPr>
          <w:rFonts w:eastAsiaTheme="minorHAnsi"/>
          <w:sz w:val="22"/>
          <w:szCs w:val="22"/>
          <w:lang w:eastAsia="en-US"/>
        </w:rPr>
        <w:t>а</w:t>
      </w:r>
      <w:r w:rsidR="00EC1A78" w:rsidRPr="00EC1A78">
        <w:rPr>
          <w:rFonts w:eastAsiaTheme="minorHAnsi"/>
          <w:sz w:val="22"/>
          <w:szCs w:val="22"/>
          <w:lang w:eastAsia="en-US"/>
        </w:rPr>
        <w:t>тивно–розыскных данных на всех этапах расследования;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 недостаток оперативной информации в нужном объеме на момент возбуждения уголовного дела о преступлениях.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Коррупция  способна  привести к деградации любую политич</w:t>
      </w:r>
      <w:r w:rsidRPr="00EC1A78">
        <w:rPr>
          <w:rFonts w:eastAsiaTheme="minorHAnsi"/>
          <w:sz w:val="22"/>
          <w:szCs w:val="22"/>
          <w:lang w:eastAsia="en-US"/>
        </w:rPr>
        <w:t>е</w:t>
      </w:r>
      <w:r w:rsidRPr="00EC1A78">
        <w:rPr>
          <w:rFonts w:eastAsiaTheme="minorHAnsi"/>
          <w:sz w:val="22"/>
          <w:szCs w:val="22"/>
          <w:lang w:eastAsia="en-US"/>
        </w:rPr>
        <w:t>скую систему. Государственная власть посредствам правоохран</w:t>
      </w:r>
      <w:r w:rsidRPr="00EC1A78">
        <w:rPr>
          <w:rFonts w:eastAsiaTheme="minorHAnsi"/>
          <w:sz w:val="22"/>
          <w:szCs w:val="22"/>
          <w:lang w:eastAsia="en-US"/>
        </w:rPr>
        <w:t>и</w:t>
      </w:r>
      <w:r w:rsidRPr="00EC1A78">
        <w:rPr>
          <w:rFonts w:eastAsiaTheme="minorHAnsi"/>
          <w:sz w:val="22"/>
          <w:szCs w:val="22"/>
          <w:lang w:eastAsia="en-US"/>
        </w:rPr>
        <w:t>тельных органов, должна как можно быстрее искоренять эту пр</w:t>
      </w:r>
      <w:r w:rsidRPr="00EC1A78">
        <w:rPr>
          <w:rFonts w:eastAsiaTheme="minorHAnsi"/>
          <w:sz w:val="22"/>
          <w:szCs w:val="22"/>
          <w:lang w:eastAsia="en-US"/>
        </w:rPr>
        <w:t>о</w:t>
      </w:r>
      <w:r w:rsidRPr="00EC1A78">
        <w:rPr>
          <w:rFonts w:eastAsiaTheme="minorHAnsi"/>
          <w:sz w:val="22"/>
          <w:szCs w:val="22"/>
          <w:lang w:eastAsia="en-US"/>
        </w:rPr>
        <w:t>блему,  используя современные технико–криминалистические сре</w:t>
      </w:r>
      <w:r w:rsidRPr="00EC1A78">
        <w:rPr>
          <w:rFonts w:eastAsiaTheme="minorHAnsi"/>
          <w:sz w:val="22"/>
          <w:szCs w:val="22"/>
          <w:lang w:eastAsia="en-US"/>
        </w:rPr>
        <w:t>д</w:t>
      </w:r>
      <w:r w:rsidRPr="00EC1A78">
        <w:rPr>
          <w:rFonts w:eastAsiaTheme="minorHAnsi"/>
          <w:sz w:val="22"/>
          <w:szCs w:val="22"/>
          <w:lang w:eastAsia="en-US"/>
        </w:rPr>
        <w:t>ства и фактор внезапности, сочетая оперативно–розыскные мер</w:t>
      </w:r>
      <w:r w:rsidRPr="00EC1A78">
        <w:rPr>
          <w:rFonts w:eastAsiaTheme="minorHAnsi"/>
          <w:sz w:val="22"/>
          <w:szCs w:val="22"/>
          <w:lang w:eastAsia="en-US"/>
        </w:rPr>
        <w:t>о</w:t>
      </w:r>
      <w:r w:rsidRPr="00EC1A78">
        <w:rPr>
          <w:rFonts w:eastAsiaTheme="minorHAnsi"/>
          <w:sz w:val="22"/>
          <w:szCs w:val="22"/>
          <w:lang w:eastAsia="en-US"/>
        </w:rPr>
        <w:t xml:space="preserve">приятия и следственные действия. </w:t>
      </w:r>
    </w:p>
    <w:p w:rsidR="00EC1A78" w:rsidRPr="00EC1A78" w:rsidRDefault="00EC1A78" w:rsidP="00EC1A78">
      <w:pPr>
        <w:ind w:firstLine="425"/>
        <w:jc w:val="both"/>
        <w:rPr>
          <w:color w:val="000000"/>
          <w:sz w:val="22"/>
          <w:szCs w:val="22"/>
          <w:lang w:eastAsia="en-US"/>
        </w:rPr>
      </w:pPr>
      <w:r w:rsidRPr="00EC1A78">
        <w:rPr>
          <w:rFonts w:eastAsiaTheme="minorHAnsi"/>
          <w:sz w:val="22"/>
          <w:szCs w:val="22"/>
          <w:lang w:eastAsia="en-US"/>
        </w:rPr>
        <w:t xml:space="preserve">На основании всего вышесказанного, мы можем сделать вывод, что коррупция уничтожает государственность. </w:t>
      </w:r>
      <w:r w:rsidRPr="00EC1A78">
        <w:rPr>
          <w:color w:val="000000"/>
          <w:sz w:val="22"/>
          <w:szCs w:val="22"/>
          <w:lang w:eastAsia="en-US"/>
        </w:rPr>
        <w:t xml:space="preserve">Трудности в борьбе с коррупцией испытывает не только </w:t>
      </w:r>
      <w:r w:rsidR="00C86D06">
        <w:rPr>
          <w:color w:val="000000"/>
          <w:sz w:val="22"/>
          <w:szCs w:val="22"/>
          <w:lang w:eastAsia="en-US"/>
        </w:rPr>
        <w:t xml:space="preserve">РФ. </w:t>
      </w:r>
      <w:r w:rsidRPr="00EC1A78">
        <w:rPr>
          <w:color w:val="000000"/>
          <w:sz w:val="22"/>
          <w:szCs w:val="22"/>
          <w:lang w:eastAsia="en-US"/>
        </w:rPr>
        <w:t xml:space="preserve">Этот негативный фактор, развивается </w:t>
      </w:r>
      <w:r w:rsidR="00C86D06">
        <w:rPr>
          <w:color w:val="000000"/>
          <w:sz w:val="22"/>
          <w:szCs w:val="22"/>
          <w:lang w:eastAsia="en-US"/>
        </w:rPr>
        <w:t xml:space="preserve">и в других передовых странах. </w:t>
      </w:r>
      <w:r w:rsidRPr="00EC1A78">
        <w:rPr>
          <w:color w:val="000000"/>
          <w:sz w:val="22"/>
          <w:szCs w:val="22"/>
          <w:lang w:eastAsia="en-US"/>
        </w:rPr>
        <w:t>Так или иначе, сле</w:t>
      </w:r>
      <w:r w:rsidRPr="00EC1A78">
        <w:rPr>
          <w:color w:val="000000"/>
          <w:sz w:val="22"/>
          <w:szCs w:val="22"/>
          <w:lang w:eastAsia="en-US"/>
        </w:rPr>
        <w:t>д</w:t>
      </w:r>
      <w:r w:rsidRPr="00EC1A78">
        <w:rPr>
          <w:color w:val="000000"/>
          <w:sz w:val="22"/>
          <w:szCs w:val="22"/>
          <w:lang w:eastAsia="en-US"/>
        </w:rPr>
        <w:t>ствием процветания коррупции являются глубокие криминалист</w:t>
      </w:r>
      <w:r w:rsidRPr="00EC1A78">
        <w:rPr>
          <w:color w:val="000000"/>
          <w:sz w:val="22"/>
          <w:szCs w:val="22"/>
          <w:lang w:eastAsia="en-US"/>
        </w:rPr>
        <w:t>и</w:t>
      </w:r>
      <w:r w:rsidRPr="00EC1A78">
        <w:rPr>
          <w:color w:val="000000"/>
          <w:sz w:val="22"/>
          <w:szCs w:val="22"/>
          <w:lang w:eastAsia="en-US"/>
        </w:rPr>
        <w:t>ческие проблемы. Они находят свое выражение в сложности пров</w:t>
      </w:r>
      <w:r w:rsidRPr="00EC1A78">
        <w:rPr>
          <w:color w:val="000000"/>
          <w:sz w:val="22"/>
          <w:szCs w:val="22"/>
          <w:lang w:eastAsia="en-US"/>
        </w:rPr>
        <w:t>е</w:t>
      </w:r>
      <w:r w:rsidRPr="00EC1A78">
        <w:rPr>
          <w:color w:val="000000"/>
          <w:sz w:val="22"/>
          <w:szCs w:val="22"/>
          <w:lang w:eastAsia="en-US"/>
        </w:rPr>
        <w:t>дения достоверных экспертиз, в нехватке опыт</w:t>
      </w:r>
      <w:r w:rsidR="00C86D06">
        <w:rPr>
          <w:color w:val="000000"/>
          <w:sz w:val="22"/>
          <w:szCs w:val="22"/>
          <w:lang w:eastAsia="en-US"/>
        </w:rPr>
        <w:t xml:space="preserve">ных сотрудников, а </w:t>
      </w:r>
      <w:r w:rsidRPr="00EC1A78">
        <w:rPr>
          <w:color w:val="000000"/>
          <w:sz w:val="22"/>
          <w:szCs w:val="22"/>
          <w:lang w:eastAsia="en-US"/>
        </w:rPr>
        <w:t xml:space="preserve">также в отсутствии соответствующего внутреннего обеспечения.  </w:t>
      </w:r>
    </w:p>
    <w:p w:rsidR="00EC1A78" w:rsidRPr="00EC1A78" w:rsidRDefault="00EC1A78" w:rsidP="00EC1A78">
      <w:pPr>
        <w:ind w:firstLine="425"/>
        <w:jc w:val="both"/>
        <w:rPr>
          <w:color w:val="000000"/>
          <w:sz w:val="22"/>
          <w:szCs w:val="22"/>
          <w:lang w:eastAsia="en-US"/>
        </w:rPr>
      </w:pPr>
    </w:p>
    <w:p w:rsidR="00EC1A78" w:rsidRPr="00EC1A78" w:rsidRDefault="00EC1A78" w:rsidP="00EC1A78">
      <w:pPr>
        <w:tabs>
          <w:tab w:val="left" w:pos="1365"/>
        </w:tabs>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tabs>
          <w:tab w:val="left" w:pos="1365"/>
        </w:tabs>
        <w:ind w:firstLine="426"/>
        <w:jc w:val="both"/>
        <w:rPr>
          <w:rFonts w:eastAsiaTheme="minorHAnsi"/>
          <w:sz w:val="22"/>
          <w:szCs w:val="22"/>
          <w:lang w:eastAsia="en-US"/>
        </w:rPr>
      </w:pPr>
      <w:r w:rsidRPr="00EC1A78">
        <w:rPr>
          <w:rFonts w:eastAsiaTheme="minorHAnsi"/>
          <w:sz w:val="22"/>
          <w:szCs w:val="22"/>
          <w:lang w:eastAsia="en-US"/>
        </w:rPr>
        <w:t>1. Бартошек М. Римское право. Понятие, термины, определ</w:t>
      </w:r>
      <w:r w:rsidRPr="00EC1A78">
        <w:rPr>
          <w:rFonts w:eastAsiaTheme="minorHAnsi"/>
          <w:sz w:val="22"/>
          <w:szCs w:val="22"/>
          <w:lang w:eastAsia="en-US"/>
        </w:rPr>
        <w:t>е</w:t>
      </w:r>
      <w:r w:rsidRPr="00EC1A78">
        <w:rPr>
          <w:rFonts w:eastAsiaTheme="minorHAnsi"/>
          <w:sz w:val="22"/>
          <w:szCs w:val="22"/>
          <w:lang w:eastAsia="en-US"/>
        </w:rPr>
        <w:t xml:space="preserve">ния. – М., 2016. – С. 93. </w:t>
      </w:r>
    </w:p>
    <w:p w:rsidR="00EC1A78" w:rsidRPr="00EC1A78" w:rsidRDefault="00EC1A78" w:rsidP="00EC1A78">
      <w:pPr>
        <w:tabs>
          <w:tab w:val="left" w:pos="1365"/>
        </w:tabs>
        <w:ind w:firstLine="426"/>
        <w:jc w:val="both"/>
        <w:rPr>
          <w:rFonts w:eastAsiaTheme="minorHAnsi"/>
          <w:sz w:val="22"/>
          <w:szCs w:val="22"/>
          <w:lang w:eastAsia="en-US"/>
        </w:rPr>
      </w:pPr>
      <w:r w:rsidRPr="00EC1A78">
        <w:rPr>
          <w:rFonts w:eastAsiaTheme="minorHAnsi"/>
          <w:sz w:val="22"/>
          <w:szCs w:val="22"/>
          <w:lang w:eastAsia="en-US"/>
        </w:rPr>
        <w:t xml:space="preserve">2. Репецкая А.Л. Коррупция в системе государственной службы и российское общество // Современная уголовная политика в сфере </w:t>
      </w:r>
      <w:r w:rsidRPr="00EC1A78">
        <w:rPr>
          <w:rFonts w:eastAsiaTheme="minorHAnsi"/>
          <w:sz w:val="22"/>
          <w:szCs w:val="22"/>
          <w:lang w:eastAsia="en-US"/>
        </w:rPr>
        <w:lastRenderedPageBreak/>
        <w:t>борьбы с транснациональной организованной преступностью и коррупцией: Сб. статей. – М.: АО «Центр ЮрИнфоР», 2015. – С. 158.</w:t>
      </w:r>
    </w:p>
    <w:p w:rsidR="00EC1A78" w:rsidRPr="00EC1A78" w:rsidRDefault="00EC1A78" w:rsidP="00EC1A78">
      <w:pPr>
        <w:tabs>
          <w:tab w:val="left" w:pos="1365"/>
        </w:tabs>
        <w:ind w:firstLine="426"/>
        <w:jc w:val="both"/>
        <w:rPr>
          <w:rFonts w:eastAsiaTheme="minorHAnsi"/>
          <w:sz w:val="22"/>
          <w:szCs w:val="22"/>
          <w:lang w:eastAsia="en-US"/>
        </w:rPr>
      </w:pPr>
      <w:r w:rsidRPr="00EC1A78">
        <w:rPr>
          <w:rFonts w:eastAsiaTheme="minorHAnsi"/>
          <w:sz w:val="22"/>
          <w:szCs w:val="22"/>
          <w:lang w:eastAsia="en-US"/>
        </w:rPr>
        <w:t>3. Криминалистика под ред.: Аверьяновой Т.В., Белкина Р.С., Корухова Ю.Г. М., 2015. – с. 134.</w:t>
      </w:r>
    </w:p>
    <w:p w:rsidR="00EC1A78" w:rsidRDefault="00EC1A78" w:rsidP="00EC1A78">
      <w:pPr>
        <w:jc w:val="both"/>
        <w:rPr>
          <w:rFonts w:eastAsiaTheme="minorHAnsi"/>
          <w:sz w:val="22"/>
          <w:szCs w:val="22"/>
          <w:lang w:eastAsia="en-US"/>
        </w:rPr>
      </w:pPr>
    </w:p>
    <w:p w:rsidR="00C86D06" w:rsidRDefault="00C86D06" w:rsidP="00EC1A78">
      <w:pPr>
        <w:jc w:val="both"/>
        <w:rPr>
          <w:rFonts w:eastAsiaTheme="minorHAnsi"/>
          <w:sz w:val="22"/>
          <w:szCs w:val="22"/>
          <w:lang w:eastAsia="en-US"/>
        </w:rPr>
      </w:pPr>
    </w:p>
    <w:p w:rsidR="00F253F3" w:rsidRPr="00EC1A78" w:rsidRDefault="00F253F3"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342.413 + 340.12</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5"/>
        <w:jc w:val="center"/>
        <w:rPr>
          <w:rFonts w:eastAsiaTheme="minorHAnsi"/>
          <w:b/>
          <w:sz w:val="24"/>
          <w:szCs w:val="24"/>
          <w:lang w:eastAsia="en-US"/>
        </w:rPr>
      </w:pPr>
      <w:r w:rsidRPr="00EC1A78">
        <w:rPr>
          <w:rFonts w:eastAsiaTheme="minorHAnsi"/>
          <w:b/>
          <w:sz w:val="24"/>
          <w:szCs w:val="24"/>
          <w:lang w:eastAsia="en-US"/>
        </w:rPr>
        <w:t xml:space="preserve">Общественный договор как основа </w:t>
      </w:r>
      <w:r w:rsidR="00C86D06">
        <w:rPr>
          <w:rFonts w:eastAsiaTheme="minorHAnsi"/>
          <w:b/>
          <w:sz w:val="24"/>
          <w:szCs w:val="24"/>
          <w:lang w:eastAsia="en-US"/>
        </w:rPr>
        <w:br/>
      </w:r>
      <w:r w:rsidRPr="00EC1A78">
        <w:rPr>
          <w:rFonts w:eastAsiaTheme="minorHAnsi"/>
          <w:b/>
          <w:sz w:val="24"/>
          <w:szCs w:val="24"/>
          <w:lang w:eastAsia="en-US"/>
        </w:rPr>
        <w:t>конституционализма</w:t>
      </w:r>
    </w:p>
    <w:p w:rsidR="00EC1A78" w:rsidRPr="001C6F5C" w:rsidRDefault="00EC1A78" w:rsidP="00EC1A78">
      <w:pPr>
        <w:ind w:firstLine="425"/>
        <w:jc w:val="center"/>
        <w:rPr>
          <w:rFonts w:eastAsiaTheme="minorHAnsi"/>
          <w:b/>
          <w:sz w:val="24"/>
          <w:szCs w:val="24"/>
          <w:lang w:val="en-US" w:eastAsia="en-US"/>
        </w:rPr>
      </w:pPr>
      <w:r w:rsidRPr="00EC1A78">
        <w:rPr>
          <w:rFonts w:eastAsiaTheme="minorHAnsi"/>
          <w:b/>
          <w:sz w:val="24"/>
          <w:szCs w:val="24"/>
          <w:lang w:val="en" w:eastAsia="en-US"/>
        </w:rPr>
        <w:t>Social</w:t>
      </w:r>
      <w:r w:rsidRPr="001C6F5C">
        <w:rPr>
          <w:rFonts w:eastAsiaTheme="minorHAnsi"/>
          <w:b/>
          <w:sz w:val="24"/>
          <w:szCs w:val="24"/>
          <w:lang w:val="en-US" w:eastAsia="en-US"/>
        </w:rPr>
        <w:t xml:space="preserve"> </w:t>
      </w:r>
      <w:r w:rsidRPr="00EC1A78">
        <w:rPr>
          <w:rFonts w:eastAsiaTheme="minorHAnsi"/>
          <w:b/>
          <w:sz w:val="24"/>
          <w:szCs w:val="24"/>
          <w:lang w:val="en" w:eastAsia="en-US"/>
        </w:rPr>
        <w:t>contract</w:t>
      </w:r>
      <w:r w:rsidRPr="001C6F5C">
        <w:rPr>
          <w:rFonts w:eastAsiaTheme="minorHAnsi"/>
          <w:b/>
          <w:sz w:val="24"/>
          <w:szCs w:val="24"/>
          <w:lang w:val="en-US" w:eastAsia="en-US"/>
        </w:rPr>
        <w:t xml:space="preserve"> </w:t>
      </w:r>
      <w:r w:rsidRPr="00EC1A78">
        <w:rPr>
          <w:rFonts w:eastAsiaTheme="minorHAnsi"/>
          <w:b/>
          <w:sz w:val="24"/>
          <w:szCs w:val="24"/>
          <w:lang w:val="en" w:eastAsia="en-US"/>
        </w:rPr>
        <w:t>as</w:t>
      </w:r>
      <w:r w:rsidRPr="001C6F5C">
        <w:rPr>
          <w:rFonts w:eastAsiaTheme="minorHAnsi"/>
          <w:b/>
          <w:sz w:val="24"/>
          <w:szCs w:val="24"/>
          <w:lang w:val="en-US" w:eastAsia="en-US"/>
        </w:rPr>
        <w:t xml:space="preserve"> </w:t>
      </w:r>
      <w:r w:rsidRPr="00EC1A78">
        <w:rPr>
          <w:rFonts w:eastAsiaTheme="minorHAnsi"/>
          <w:b/>
          <w:sz w:val="24"/>
          <w:szCs w:val="24"/>
          <w:lang w:val="en" w:eastAsia="en-US"/>
        </w:rPr>
        <w:t>the</w:t>
      </w:r>
      <w:r w:rsidRPr="001C6F5C">
        <w:rPr>
          <w:rFonts w:eastAsiaTheme="minorHAnsi"/>
          <w:b/>
          <w:sz w:val="24"/>
          <w:szCs w:val="24"/>
          <w:lang w:val="en-US" w:eastAsia="en-US"/>
        </w:rPr>
        <w:t xml:space="preserve"> </w:t>
      </w:r>
      <w:r w:rsidRPr="00EC1A78">
        <w:rPr>
          <w:rFonts w:eastAsiaTheme="minorHAnsi"/>
          <w:b/>
          <w:sz w:val="24"/>
          <w:szCs w:val="24"/>
          <w:lang w:val="en" w:eastAsia="en-US"/>
        </w:rPr>
        <w:t>basis</w:t>
      </w:r>
      <w:r w:rsidRPr="001C6F5C">
        <w:rPr>
          <w:rFonts w:eastAsiaTheme="minorHAnsi"/>
          <w:b/>
          <w:sz w:val="24"/>
          <w:szCs w:val="24"/>
          <w:lang w:val="en-US" w:eastAsia="en-US"/>
        </w:rPr>
        <w:t xml:space="preserve"> </w:t>
      </w:r>
      <w:r w:rsidRPr="00EC1A78">
        <w:rPr>
          <w:rFonts w:eastAsiaTheme="minorHAnsi"/>
          <w:b/>
          <w:sz w:val="24"/>
          <w:szCs w:val="24"/>
          <w:lang w:val="en" w:eastAsia="en-US"/>
        </w:rPr>
        <w:t>of</w:t>
      </w:r>
      <w:r w:rsidRPr="001C6F5C">
        <w:rPr>
          <w:rFonts w:eastAsiaTheme="minorHAnsi"/>
          <w:b/>
          <w:sz w:val="24"/>
          <w:szCs w:val="24"/>
          <w:lang w:val="en-US" w:eastAsia="en-US"/>
        </w:rPr>
        <w:t xml:space="preserve"> </w:t>
      </w:r>
      <w:r w:rsidRPr="00EC1A78">
        <w:rPr>
          <w:rFonts w:eastAsiaTheme="minorHAnsi"/>
          <w:b/>
          <w:sz w:val="24"/>
          <w:szCs w:val="24"/>
          <w:lang w:val="en" w:eastAsia="en-US"/>
        </w:rPr>
        <w:t>constitutionalism</w:t>
      </w:r>
    </w:p>
    <w:p w:rsidR="00EC1A78" w:rsidRPr="001C6F5C" w:rsidRDefault="00EC1A78" w:rsidP="00EC1A78">
      <w:pPr>
        <w:ind w:firstLine="425"/>
        <w:jc w:val="both"/>
        <w:rPr>
          <w:rFonts w:eastAsiaTheme="minorHAnsi"/>
          <w:sz w:val="22"/>
          <w:szCs w:val="22"/>
          <w:lang w:val="en-US" w:eastAsia="en-US"/>
        </w:rPr>
      </w:pPr>
    </w:p>
    <w:p w:rsidR="00EC1A78" w:rsidRPr="00EC1A78" w:rsidRDefault="00C86D06" w:rsidP="00EC1A78">
      <w:pPr>
        <w:jc w:val="right"/>
        <w:rPr>
          <w:rFonts w:eastAsiaTheme="minorHAnsi"/>
          <w:sz w:val="22"/>
          <w:szCs w:val="22"/>
          <w:lang w:eastAsia="en-US"/>
        </w:rPr>
      </w:pPr>
      <w:r>
        <w:rPr>
          <w:rFonts w:eastAsiaTheme="minorHAnsi"/>
          <w:sz w:val="22"/>
          <w:szCs w:val="22"/>
          <w:lang w:eastAsia="en-US"/>
        </w:rPr>
        <w:t>Рябинина</w:t>
      </w:r>
      <w:r w:rsidR="00EC1A78" w:rsidRPr="00EC1A78">
        <w:rPr>
          <w:rFonts w:eastAsiaTheme="minorHAnsi"/>
          <w:sz w:val="22"/>
          <w:szCs w:val="22"/>
          <w:lang w:eastAsia="en-US"/>
        </w:rPr>
        <w:t xml:space="preserve"> Ю.</w:t>
      </w:r>
      <w:r>
        <w:rPr>
          <w:rFonts w:eastAsiaTheme="minorHAnsi"/>
          <w:sz w:val="22"/>
          <w:szCs w:val="22"/>
          <w:lang w:eastAsia="en-US"/>
        </w:rPr>
        <w:t xml:space="preserve"> </w:t>
      </w:r>
      <w:r w:rsidR="00EC1A78"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магистрантка 2–го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Безуглов С.</w:t>
      </w:r>
      <w:r w:rsidR="00C86D0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государственного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и международного права </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color w:val="000000"/>
          <w:sz w:val="22"/>
          <w:szCs w:val="22"/>
          <w:lang w:eastAsia="en-US"/>
        </w:rPr>
        <w:t>университет имени И.</w:t>
      </w:r>
      <w:r w:rsidR="00C86D06">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политические идеи мыслителей Нового времени (общественный договор) как предп</w:t>
      </w:r>
      <w:r w:rsidRPr="00EC1A78">
        <w:rPr>
          <w:rFonts w:eastAsiaTheme="minorHAnsi"/>
          <w:sz w:val="22"/>
          <w:szCs w:val="22"/>
          <w:lang w:eastAsia="en-US"/>
        </w:rPr>
        <w:t>о</w:t>
      </w:r>
      <w:r w:rsidRPr="00EC1A78">
        <w:rPr>
          <w:rFonts w:eastAsiaTheme="minorHAnsi"/>
          <w:sz w:val="22"/>
          <w:szCs w:val="22"/>
          <w:lang w:eastAsia="en-US"/>
        </w:rPr>
        <w:t>сылка возникновения конституций, характер и значение первых учредительных актов.</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This article discusses the political ideas of the thin</w:t>
      </w:r>
      <w:r w:rsidRPr="00EC1A78">
        <w:rPr>
          <w:rFonts w:eastAsiaTheme="minorHAnsi"/>
          <w:sz w:val="22"/>
          <w:szCs w:val="22"/>
          <w:lang w:val="en-US" w:eastAsia="en-US"/>
        </w:rPr>
        <w:t>k</w:t>
      </w:r>
      <w:r w:rsidRPr="00EC1A78">
        <w:rPr>
          <w:rFonts w:eastAsiaTheme="minorHAnsi"/>
          <w:sz w:val="22"/>
          <w:szCs w:val="22"/>
          <w:lang w:val="en-US" w:eastAsia="en-US"/>
        </w:rPr>
        <w:t>ers of modern times (the social contract) as a prerequisite for the eme</w:t>
      </w:r>
      <w:r w:rsidRPr="00EC1A78">
        <w:rPr>
          <w:rFonts w:eastAsiaTheme="minorHAnsi"/>
          <w:sz w:val="22"/>
          <w:szCs w:val="22"/>
          <w:lang w:val="en-US" w:eastAsia="en-US"/>
        </w:rPr>
        <w:t>r</w:t>
      </w:r>
      <w:r w:rsidRPr="00EC1A78">
        <w:rPr>
          <w:rFonts w:eastAsiaTheme="minorHAnsi"/>
          <w:sz w:val="22"/>
          <w:szCs w:val="22"/>
          <w:lang w:val="en-US" w:eastAsia="en-US"/>
        </w:rPr>
        <w:t>gence of the constitutions, the nature and value of the first constituent acts.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конституция, общественный договор, учредительные акты, политические идеи, независимость</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the Constitution, social contract, constitutive acts, political ideas, independence</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Несмотря на то, что корни такого важнейшего учредительного документа как конституция лежат в глубокой древности и известны </w:t>
      </w:r>
      <w:r w:rsidRPr="00EC1A78">
        <w:rPr>
          <w:rFonts w:eastAsiaTheme="minorHAnsi"/>
          <w:sz w:val="22"/>
          <w:szCs w:val="22"/>
          <w:lang w:eastAsia="en-US"/>
        </w:rPr>
        <w:lastRenderedPageBreak/>
        <w:t>со времен полисного устройства в Греции (</w:t>
      </w:r>
      <w:r w:rsidRPr="00EC1A78">
        <w:rPr>
          <w:rFonts w:eastAsiaTheme="minorHAnsi"/>
          <w:sz w:val="22"/>
          <w:szCs w:val="22"/>
          <w:lang w:val="en-US" w:eastAsia="en-US"/>
        </w:rPr>
        <w:t>VI</w:t>
      </w:r>
      <w:r w:rsidRPr="00EC1A78">
        <w:rPr>
          <w:rFonts w:eastAsiaTheme="minorHAnsi"/>
          <w:sz w:val="22"/>
          <w:szCs w:val="22"/>
          <w:lang w:eastAsia="en-US"/>
        </w:rPr>
        <w:t xml:space="preserve"> в.до н.э), императо</w:t>
      </w:r>
      <w:r w:rsidRPr="00EC1A78">
        <w:rPr>
          <w:rFonts w:eastAsiaTheme="minorHAnsi"/>
          <w:sz w:val="22"/>
          <w:szCs w:val="22"/>
          <w:lang w:eastAsia="en-US"/>
        </w:rPr>
        <w:t>р</w:t>
      </w:r>
      <w:r w:rsidRPr="00EC1A78">
        <w:rPr>
          <w:rFonts w:eastAsiaTheme="minorHAnsi"/>
          <w:sz w:val="22"/>
          <w:szCs w:val="22"/>
          <w:lang w:eastAsia="en-US"/>
        </w:rPr>
        <w:t>ской власти в Риме, в общепринятом их в настоящее время  пон</w:t>
      </w:r>
      <w:r w:rsidRPr="00EC1A78">
        <w:rPr>
          <w:rFonts w:eastAsiaTheme="minorHAnsi"/>
          <w:sz w:val="22"/>
          <w:szCs w:val="22"/>
          <w:lang w:eastAsia="en-US"/>
        </w:rPr>
        <w:t>и</w:t>
      </w:r>
      <w:r w:rsidRPr="00EC1A78">
        <w:rPr>
          <w:rFonts w:eastAsiaTheme="minorHAnsi"/>
          <w:sz w:val="22"/>
          <w:szCs w:val="22"/>
          <w:lang w:eastAsia="en-US"/>
        </w:rPr>
        <w:t xml:space="preserve">мании конституций не существовало.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эпоху Средних веков, также не существовало источника, в</w:t>
      </w:r>
      <w:r w:rsidRPr="00EC1A78">
        <w:rPr>
          <w:rFonts w:eastAsiaTheme="minorHAnsi"/>
          <w:sz w:val="22"/>
          <w:szCs w:val="22"/>
          <w:lang w:eastAsia="en-US"/>
        </w:rPr>
        <w:t>ы</w:t>
      </w:r>
      <w:r w:rsidRPr="00EC1A78">
        <w:rPr>
          <w:rFonts w:eastAsiaTheme="minorHAnsi"/>
          <w:sz w:val="22"/>
          <w:szCs w:val="22"/>
          <w:lang w:eastAsia="en-US"/>
        </w:rPr>
        <w:t>полнявшего роль основного закона, поскольку роль такого акта и</w:t>
      </w:r>
      <w:r w:rsidRPr="00EC1A78">
        <w:rPr>
          <w:rFonts w:eastAsiaTheme="minorHAnsi"/>
          <w:sz w:val="22"/>
          <w:szCs w:val="22"/>
          <w:lang w:eastAsia="en-US"/>
        </w:rPr>
        <w:t>г</w:t>
      </w:r>
      <w:r w:rsidRPr="00EC1A78">
        <w:rPr>
          <w:rFonts w:eastAsiaTheme="minorHAnsi"/>
          <w:sz w:val="22"/>
          <w:szCs w:val="22"/>
          <w:lang w:eastAsia="en-US"/>
        </w:rPr>
        <w:t>рала Библия. Некоторые акты действительно носили характер учр</w:t>
      </w:r>
      <w:r w:rsidRPr="00EC1A78">
        <w:rPr>
          <w:rFonts w:eastAsiaTheme="minorHAnsi"/>
          <w:sz w:val="22"/>
          <w:szCs w:val="22"/>
          <w:lang w:eastAsia="en-US"/>
        </w:rPr>
        <w:t>е</w:t>
      </w:r>
      <w:r w:rsidRPr="00EC1A78">
        <w:rPr>
          <w:rFonts w:eastAsiaTheme="minorHAnsi"/>
          <w:sz w:val="22"/>
          <w:szCs w:val="22"/>
          <w:lang w:eastAsia="en-US"/>
        </w:rPr>
        <w:t>дительных, например, касающиеся устройства монашеских орд</w:t>
      </w:r>
      <w:r w:rsidRPr="00EC1A78">
        <w:rPr>
          <w:rFonts w:eastAsiaTheme="minorHAnsi"/>
          <w:sz w:val="22"/>
          <w:szCs w:val="22"/>
          <w:lang w:eastAsia="en-US"/>
        </w:rPr>
        <w:t>е</w:t>
      </w:r>
      <w:r w:rsidRPr="00EC1A78">
        <w:rPr>
          <w:rFonts w:eastAsiaTheme="minorHAnsi"/>
          <w:sz w:val="22"/>
          <w:szCs w:val="22"/>
          <w:lang w:eastAsia="en-US"/>
        </w:rPr>
        <w:t>нов, городских республик, Великая хартия вольностей 121</w:t>
      </w:r>
      <w:r w:rsidR="00C86D06">
        <w:rPr>
          <w:rFonts w:eastAsiaTheme="minorHAnsi"/>
          <w:sz w:val="22"/>
          <w:szCs w:val="22"/>
          <w:lang w:eastAsia="en-US"/>
        </w:rPr>
        <w:t>5 г., З</w:t>
      </w:r>
      <w:r w:rsidR="00C86D06">
        <w:rPr>
          <w:rFonts w:eastAsiaTheme="minorHAnsi"/>
          <w:sz w:val="22"/>
          <w:szCs w:val="22"/>
          <w:lang w:eastAsia="en-US"/>
        </w:rPr>
        <w:t>о</w:t>
      </w:r>
      <w:r w:rsidR="00C86D06">
        <w:rPr>
          <w:rFonts w:eastAsiaTheme="minorHAnsi"/>
          <w:sz w:val="22"/>
          <w:szCs w:val="22"/>
          <w:lang w:eastAsia="en-US"/>
        </w:rPr>
        <w:t>лотая булла 1222 г.</w:t>
      </w:r>
      <w:r w:rsidRPr="00EC1A78">
        <w:rPr>
          <w:rFonts w:eastAsiaTheme="minorHAnsi"/>
          <w:sz w:val="22"/>
          <w:szCs w:val="22"/>
          <w:lang w:eastAsia="en-US"/>
        </w:rPr>
        <w:t xml:space="preserve"> Великий мартовский ордонанс 1357 г. во Фра</w:t>
      </w:r>
      <w:r w:rsidRPr="00EC1A78">
        <w:rPr>
          <w:rFonts w:eastAsiaTheme="minorHAnsi"/>
          <w:sz w:val="22"/>
          <w:szCs w:val="22"/>
          <w:lang w:eastAsia="en-US"/>
        </w:rPr>
        <w:t>н</w:t>
      </w:r>
      <w:r w:rsidRPr="00EC1A78">
        <w:rPr>
          <w:rFonts w:eastAsiaTheme="minorHAnsi"/>
          <w:sz w:val="22"/>
          <w:szCs w:val="22"/>
          <w:lang w:eastAsia="en-US"/>
        </w:rPr>
        <w:t>ции и др.</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Изменения в общественном сознании, вызванные развитием экономических отношений и стремлением буржуазии участвовать в политических делах отразились в творчестве английских, голлан</w:t>
      </w:r>
      <w:r w:rsidRPr="00EC1A78">
        <w:rPr>
          <w:rFonts w:eastAsiaTheme="minorHAnsi"/>
          <w:sz w:val="22"/>
          <w:szCs w:val="22"/>
          <w:lang w:eastAsia="en-US"/>
        </w:rPr>
        <w:t>д</w:t>
      </w:r>
      <w:r w:rsidRPr="00EC1A78">
        <w:rPr>
          <w:rFonts w:eastAsiaTheme="minorHAnsi"/>
          <w:sz w:val="22"/>
          <w:szCs w:val="22"/>
          <w:lang w:eastAsia="en-US"/>
        </w:rPr>
        <w:t>ских и французских мыслителей, выдвинувших идею возникнов</w:t>
      </w:r>
      <w:r w:rsidRPr="00EC1A78">
        <w:rPr>
          <w:rFonts w:eastAsiaTheme="minorHAnsi"/>
          <w:sz w:val="22"/>
          <w:szCs w:val="22"/>
          <w:lang w:eastAsia="en-US"/>
        </w:rPr>
        <w:t>е</w:t>
      </w:r>
      <w:r w:rsidRPr="00EC1A78">
        <w:rPr>
          <w:rFonts w:eastAsiaTheme="minorHAnsi"/>
          <w:sz w:val="22"/>
          <w:szCs w:val="22"/>
          <w:lang w:eastAsia="en-US"/>
        </w:rPr>
        <w:t>ния государства из общественного договора, который и выполнял роль первой конституции.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своем труде «</w:t>
      </w:r>
      <w:r w:rsidR="00C86D06">
        <w:rPr>
          <w:rFonts w:eastAsiaTheme="minorHAnsi"/>
          <w:sz w:val="22"/>
          <w:szCs w:val="22"/>
          <w:lang w:eastAsia="en-US"/>
        </w:rPr>
        <w:t xml:space="preserve">О духе законов» Ш.Л. Монтескье </w:t>
      </w:r>
      <w:r w:rsidRPr="00EC1A78">
        <w:rPr>
          <w:rFonts w:eastAsiaTheme="minorHAnsi"/>
          <w:sz w:val="22"/>
          <w:szCs w:val="22"/>
          <w:lang w:eastAsia="en-US"/>
        </w:rPr>
        <w:t>пишет о р</w:t>
      </w:r>
      <w:r w:rsidRPr="00EC1A78">
        <w:rPr>
          <w:rFonts w:eastAsiaTheme="minorHAnsi"/>
          <w:sz w:val="22"/>
          <w:szCs w:val="22"/>
          <w:lang w:eastAsia="en-US"/>
        </w:rPr>
        <w:t>е</w:t>
      </w:r>
      <w:r w:rsidRPr="00EC1A78">
        <w:rPr>
          <w:rFonts w:eastAsiaTheme="minorHAnsi"/>
          <w:sz w:val="22"/>
          <w:szCs w:val="22"/>
          <w:lang w:eastAsia="en-US"/>
        </w:rPr>
        <w:t>альном порядке организации и осуществления государственного властвования, то есть фактически о конституции [1]. По мнению Руссо, общественный договор и выполняет роль основного закона.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тот же период времени конституция стала рассматриваться как общественный договор между всеми гражданами, а позднее как договор между властвующими и подвластными. Одним из первых идею о том, что конституция и есть договор, на основании которого создается и функционирует государство сформулировал английский мыслитель Т. Гоббс[3].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Несмотря на то, что содержание основного закона в понимании Т.Гоббса сводилось к закреплению естественных прав человека, ограничением абсолютной власти монарха, формирование  высших органов власти из представителей различных сословий, сама идея имела далеко идущие последствия, поскольку предопределила ко</w:t>
      </w:r>
      <w:r w:rsidRPr="00EC1A78">
        <w:rPr>
          <w:rFonts w:eastAsiaTheme="minorHAnsi"/>
          <w:sz w:val="22"/>
          <w:szCs w:val="22"/>
          <w:lang w:eastAsia="en-US"/>
        </w:rPr>
        <w:t>н</w:t>
      </w:r>
      <w:r w:rsidRPr="00EC1A78">
        <w:rPr>
          <w:rFonts w:eastAsiaTheme="minorHAnsi"/>
          <w:sz w:val="22"/>
          <w:szCs w:val="22"/>
          <w:lang w:eastAsia="en-US"/>
        </w:rPr>
        <w:t>ституционное развитие многих передовых европейских стран,   ст</w:t>
      </w:r>
      <w:r w:rsidRPr="00EC1A78">
        <w:rPr>
          <w:rFonts w:eastAsiaTheme="minorHAnsi"/>
          <w:sz w:val="22"/>
          <w:szCs w:val="22"/>
          <w:lang w:eastAsia="en-US"/>
        </w:rPr>
        <w:t>а</w:t>
      </w:r>
      <w:r w:rsidRPr="00EC1A78">
        <w:rPr>
          <w:rFonts w:eastAsiaTheme="minorHAnsi"/>
          <w:sz w:val="22"/>
          <w:szCs w:val="22"/>
          <w:lang w:eastAsia="en-US"/>
        </w:rPr>
        <w:t>ла одной из идей английской революции XVII в., учитывающей в</w:t>
      </w:r>
      <w:r w:rsidRPr="00EC1A78">
        <w:rPr>
          <w:rFonts w:eastAsiaTheme="minorHAnsi"/>
          <w:sz w:val="22"/>
          <w:szCs w:val="22"/>
          <w:lang w:eastAsia="en-US"/>
        </w:rPr>
        <w:t>о</w:t>
      </w:r>
      <w:r w:rsidRPr="00EC1A78">
        <w:rPr>
          <w:rFonts w:eastAsiaTheme="minorHAnsi"/>
          <w:sz w:val="22"/>
          <w:szCs w:val="22"/>
          <w:lang w:eastAsia="en-US"/>
        </w:rPr>
        <w:t>леизъявление народа.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Примечательно, что в России идея общественного договора не получила широкого признания вплоть до начала </w:t>
      </w:r>
      <w:r w:rsidRPr="00EC1A78">
        <w:rPr>
          <w:rFonts w:eastAsiaTheme="minorHAnsi"/>
          <w:sz w:val="22"/>
          <w:szCs w:val="22"/>
          <w:lang w:val="en-US" w:eastAsia="en-US"/>
        </w:rPr>
        <w:t>XIX</w:t>
      </w:r>
      <w:r w:rsidRPr="00EC1A78">
        <w:rPr>
          <w:rFonts w:eastAsiaTheme="minorHAnsi"/>
          <w:sz w:val="22"/>
          <w:szCs w:val="22"/>
          <w:lang w:eastAsia="en-US"/>
        </w:rPr>
        <w:t xml:space="preserve"> века, а посему и о конституции в России не могло идти и речи.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Эпоха буржуазных революций в Западной Европе ознаменов</w:t>
      </w:r>
      <w:r w:rsidRPr="00EC1A78">
        <w:rPr>
          <w:rFonts w:eastAsiaTheme="minorHAnsi"/>
          <w:sz w:val="22"/>
          <w:szCs w:val="22"/>
          <w:lang w:eastAsia="en-US"/>
        </w:rPr>
        <w:t>а</w:t>
      </w:r>
      <w:r w:rsidRPr="00EC1A78">
        <w:rPr>
          <w:rFonts w:eastAsiaTheme="minorHAnsi"/>
          <w:sz w:val="22"/>
          <w:szCs w:val="22"/>
          <w:lang w:eastAsia="en-US"/>
        </w:rPr>
        <w:t>лась принятием целого ряда актов конституционного характера, т</w:t>
      </w:r>
      <w:r w:rsidRPr="00EC1A78">
        <w:rPr>
          <w:rFonts w:eastAsiaTheme="minorHAnsi"/>
          <w:sz w:val="22"/>
          <w:szCs w:val="22"/>
          <w:lang w:eastAsia="en-US"/>
        </w:rPr>
        <w:t>а</w:t>
      </w:r>
      <w:r w:rsidRPr="00EC1A78">
        <w:rPr>
          <w:rFonts w:eastAsiaTheme="minorHAnsi"/>
          <w:sz w:val="22"/>
          <w:szCs w:val="22"/>
          <w:lang w:eastAsia="en-US"/>
        </w:rPr>
        <w:t>ких как «Орудие управления» Кромвеля,  «Форма правления гос</w:t>
      </w:r>
      <w:r w:rsidRPr="00EC1A78">
        <w:rPr>
          <w:rFonts w:eastAsiaTheme="minorHAnsi"/>
          <w:sz w:val="22"/>
          <w:szCs w:val="22"/>
          <w:lang w:eastAsia="en-US"/>
        </w:rPr>
        <w:t>у</w:t>
      </w:r>
      <w:r w:rsidRPr="00EC1A78">
        <w:rPr>
          <w:rFonts w:eastAsiaTheme="minorHAnsi"/>
          <w:sz w:val="22"/>
          <w:szCs w:val="22"/>
          <w:lang w:eastAsia="en-US"/>
        </w:rPr>
        <w:t>дарством общего блага (Commonwealth) Англии, Шотландии и И</w:t>
      </w:r>
      <w:r w:rsidRPr="00EC1A78">
        <w:rPr>
          <w:rFonts w:eastAsiaTheme="minorHAnsi"/>
          <w:sz w:val="22"/>
          <w:szCs w:val="22"/>
          <w:lang w:eastAsia="en-US"/>
        </w:rPr>
        <w:t>р</w:t>
      </w:r>
      <w:r w:rsidRPr="00EC1A78">
        <w:rPr>
          <w:rFonts w:eastAsiaTheme="minorHAnsi"/>
          <w:sz w:val="22"/>
          <w:szCs w:val="22"/>
          <w:lang w:eastAsia="en-US"/>
        </w:rPr>
        <w:t xml:space="preserve">ландии и владениями, им принадлежащими» (1653 г.). Документы содержали  пределы власти и  гарантии прав людей.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то же время, в поисках спасения от преследований на амер</w:t>
      </w:r>
      <w:r w:rsidRPr="00EC1A78">
        <w:rPr>
          <w:rFonts w:eastAsiaTheme="minorHAnsi"/>
          <w:sz w:val="22"/>
          <w:szCs w:val="22"/>
          <w:lang w:eastAsia="en-US"/>
        </w:rPr>
        <w:t>и</w:t>
      </w:r>
      <w:r w:rsidRPr="00EC1A78">
        <w:rPr>
          <w:rFonts w:eastAsiaTheme="minorHAnsi"/>
          <w:sz w:val="22"/>
          <w:szCs w:val="22"/>
          <w:lang w:eastAsia="en-US"/>
        </w:rPr>
        <w:t>канский континент из Британии бежали наиболее прогрессивные мыслители, отцы основатели американской демократии, одержимые идеей ограничить абсолютизм и создавших первую Конституцию [4]. Роль такого акта выполнял «Фундаментальный порядок упра</w:t>
      </w:r>
      <w:r w:rsidRPr="00EC1A78">
        <w:rPr>
          <w:rFonts w:eastAsiaTheme="minorHAnsi"/>
          <w:sz w:val="22"/>
          <w:szCs w:val="22"/>
          <w:lang w:eastAsia="en-US"/>
        </w:rPr>
        <w:t>в</w:t>
      </w:r>
      <w:r w:rsidRPr="00EC1A78">
        <w:rPr>
          <w:rFonts w:eastAsiaTheme="minorHAnsi"/>
          <w:sz w:val="22"/>
          <w:szCs w:val="22"/>
          <w:lang w:eastAsia="en-US"/>
        </w:rPr>
        <w:t>ления» т в 1631 г.</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Их идеи, основанные на политико–правовых воззрениях Т. Гоббса, Дж. Локка, Т. Пейна были положены в основу Декларации независимости  4 июля 1776 г. Не обремененные тесной связью в феодальной знатью и королевской властью свободолюбивые штаты довольно быстро сумели освободиться от опеки британской мона</w:t>
      </w:r>
      <w:r w:rsidRPr="00EC1A78">
        <w:rPr>
          <w:rFonts w:eastAsiaTheme="minorHAnsi"/>
          <w:sz w:val="22"/>
          <w:szCs w:val="22"/>
          <w:lang w:eastAsia="en-US"/>
        </w:rPr>
        <w:t>р</w:t>
      </w:r>
      <w:r w:rsidRPr="00EC1A78">
        <w:rPr>
          <w:rFonts w:eastAsiaTheme="minorHAnsi"/>
          <w:sz w:val="22"/>
          <w:szCs w:val="22"/>
          <w:lang w:eastAsia="en-US"/>
        </w:rPr>
        <w:t>хии.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Еще до ее принятия, некоторые штаты, в частности  Вирдж</w:t>
      </w:r>
      <w:r w:rsidRPr="00EC1A78">
        <w:rPr>
          <w:rFonts w:eastAsiaTheme="minorHAnsi"/>
          <w:sz w:val="22"/>
          <w:szCs w:val="22"/>
          <w:lang w:eastAsia="en-US"/>
        </w:rPr>
        <w:t>и</w:t>
      </w:r>
      <w:r w:rsidRPr="00EC1A78">
        <w:rPr>
          <w:rFonts w:eastAsiaTheme="minorHAnsi"/>
          <w:sz w:val="22"/>
          <w:szCs w:val="22"/>
          <w:lang w:eastAsia="en-US"/>
        </w:rPr>
        <w:t>ния 12 июня 1776 г. приняла Конституцию, и с тех пор она стала  символизировать не только независимость, но и  образование гос</w:t>
      </w:r>
      <w:r w:rsidRPr="00EC1A78">
        <w:rPr>
          <w:rFonts w:eastAsiaTheme="minorHAnsi"/>
          <w:sz w:val="22"/>
          <w:szCs w:val="22"/>
          <w:lang w:eastAsia="en-US"/>
        </w:rPr>
        <w:t>у</w:t>
      </w:r>
      <w:r w:rsidRPr="00EC1A78">
        <w:rPr>
          <w:rFonts w:eastAsiaTheme="minorHAnsi"/>
          <w:sz w:val="22"/>
          <w:szCs w:val="22"/>
          <w:lang w:eastAsia="en-US"/>
        </w:rPr>
        <w:t>дарства.</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Первая писаная Конституция США существует уже  230 лет, и она имела колоссальное значение для  конституционного развития европейских  стран.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 Конституция  США в первоначальном ее варианте имела лишь несколько разделов, касающихся вопросов организации госуда</w:t>
      </w:r>
      <w:r w:rsidRPr="00EC1A78">
        <w:rPr>
          <w:rFonts w:eastAsiaTheme="minorHAnsi"/>
          <w:sz w:val="22"/>
          <w:szCs w:val="22"/>
          <w:lang w:eastAsia="en-US"/>
        </w:rPr>
        <w:t>р</w:t>
      </w:r>
      <w:r w:rsidRPr="00EC1A78">
        <w:rPr>
          <w:rFonts w:eastAsiaTheme="minorHAnsi"/>
          <w:sz w:val="22"/>
          <w:szCs w:val="22"/>
          <w:lang w:eastAsia="en-US"/>
        </w:rPr>
        <w:t xml:space="preserve">ственной власти: структуры и взаимоотношений высших органов государства. Последующее развитие общественных отношений и политической теории привело к формулированию и закреплению ключевой системы политических прав и свобод в Билле о правах. </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Монтескье Ш. О духе законов [Электронный ресурс] http://librebook.me/o_duhe_zakonov/vol1/1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Руссо Ж.Ж. Об общественном договоре. Трактаты [Эле</w:t>
      </w:r>
      <w:r w:rsidRPr="00EC1A78">
        <w:rPr>
          <w:rFonts w:eastAsiaTheme="minorHAnsi"/>
          <w:sz w:val="22"/>
          <w:szCs w:val="22"/>
          <w:lang w:eastAsia="en-US"/>
        </w:rPr>
        <w:t>к</w:t>
      </w:r>
      <w:r w:rsidRPr="00EC1A78">
        <w:rPr>
          <w:rFonts w:eastAsiaTheme="minorHAnsi"/>
          <w:sz w:val="22"/>
          <w:szCs w:val="22"/>
          <w:lang w:eastAsia="en-US"/>
        </w:rPr>
        <w:t>тронный ресурс] http://lib.ru/FILOSOF/RUSSO/prawo.txt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3. Гоббс Т. Левиафан, или Материя, форма и власть госуда</w:t>
      </w:r>
      <w:r w:rsidRPr="00EC1A78">
        <w:rPr>
          <w:rFonts w:eastAsiaTheme="minorHAnsi"/>
          <w:sz w:val="22"/>
          <w:szCs w:val="22"/>
          <w:lang w:eastAsia="en-US"/>
        </w:rPr>
        <w:t>р</w:t>
      </w:r>
      <w:r w:rsidRPr="00EC1A78">
        <w:rPr>
          <w:rFonts w:eastAsiaTheme="minorHAnsi"/>
          <w:sz w:val="22"/>
          <w:szCs w:val="22"/>
          <w:lang w:eastAsia="en-US"/>
        </w:rPr>
        <w:t>ства церковного и гражданского [Электронный ресурс] http://lib.ru/FILOSOF/GOBBS/leviafan.txt</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4. Епифанова Е.В., Павлисова Т.Е. Государственно–правовые концепции: история и современность: учебное пособие. – М.,  2012.  – С.100.</w:t>
      </w:r>
    </w:p>
    <w:p w:rsidR="00EC1A78" w:rsidRDefault="00EC1A78" w:rsidP="00EC1A78">
      <w:pPr>
        <w:jc w:val="both"/>
        <w:rPr>
          <w:rFonts w:eastAsiaTheme="minorHAnsi"/>
          <w:sz w:val="22"/>
          <w:szCs w:val="22"/>
          <w:lang w:eastAsia="en-US"/>
        </w:rPr>
      </w:pPr>
    </w:p>
    <w:p w:rsidR="00C86D06" w:rsidRDefault="00C86D06" w:rsidP="00EC1A78">
      <w:pPr>
        <w:jc w:val="both"/>
        <w:rPr>
          <w:rFonts w:eastAsiaTheme="minorHAnsi"/>
          <w:sz w:val="22"/>
          <w:szCs w:val="22"/>
          <w:lang w:eastAsia="en-US"/>
        </w:rPr>
      </w:pPr>
    </w:p>
    <w:p w:rsidR="00F253F3" w:rsidRPr="00EC1A78" w:rsidRDefault="00F253F3" w:rsidP="00EC1A78">
      <w:pPr>
        <w:jc w:val="both"/>
        <w:rPr>
          <w:rFonts w:eastAsiaTheme="minorHAnsi"/>
          <w:sz w:val="22"/>
          <w:szCs w:val="22"/>
          <w:lang w:eastAsia="en-US"/>
        </w:rPr>
      </w:pPr>
    </w:p>
    <w:p w:rsidR="00EC1A78" w:rsidRPr="00EC1A78" w:rsidRDefault="00EC1A78" w:rsidP="00EC1A78">
      <w:pPr>
        <w:jc w:val="both"/>
        <w:rPr>
          <w:rFonts w:eastAsiaTheme="minorHAnsi"/>
          <w:b/>
          <w:sz w:val="22"/>
          <w:szCs w:val="22"/>
          <w:lang w:eastAsia="en-US"/>
        </w:rPr>
      </w:pPr>
      <w:r w:rsidRPr="00EC1A78">
        <w:rPr>
          <w:rFonts w:eastAsiaTheme="minorHAnsi"/>
          <w:sz w:val="22"/>
          <w:szCs w:val="22"/>
          <w:lang w:eastAsia="en-US"/>
        </w:rPr>
        <w:t>УДК 340</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Правовое регулирование производства лекарственных</w:t>
      </w:r>
      <w:r w:rsidR="00C86D06">
        <w:rPr>
          <w:rFonts w:eastAsiaTheme="minorHAnsi"/>
          <w:b/>
          <w:sz w:val="24"/>
          <w:szCs w:val="24"/>
          <w:lang w:eastAsia="en-US"/>
        </w:rPr>
        <w:br/>
      </w:r>
      <w:r w:rsidRPr="00EC1A78">
        <w:rPr>
          <w:rFonts w:eastAsiaTheme="minorHAnsi"/>
          <w:b/>
          <w:sz w:val="24"/>
          <w:szCs w:val="24"/>
          <w:lang w:eastAsia="en-US"/>
        </w:rPr>
        <w:t xml:space="preserve"> растений</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val="en-US" w:eastAsia="en-US"/>
        </w:rPr>
        <w:t>Legal</w:t>
      </w:r>
      <w:r w:rsidRPr="00EC1A78">
        <w:rPr>
          <w:rFonts w:eastAsiaTheme="minorHAnsi"/>
          <w:b/>
          <w:sz w:val="24"/>
          <w:szCs w:val="24"/>
          <w:lang w:eastAsia="en-US"/>
        </w:rPr>
        <w:t xml:space="preserve"> </w:t>
      </w:r>
      <w:r w:rsidRPr="00EC1A78">
        <w:rPr>
          <w:rFonts w:eastAsiaTheme="minorHAnsi"/>
          <w:b/>
          <w:sz w:val="24"/>
          <w:szCs w:val="24"/>
          <w:lang w:val="en-US" w:eastAsia="en-US"/>
        </w:rPr>
        <w:t>regulation</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production</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medicinal</w:t>
      </w:r>
      <w:r w:rsidRPr="00EC1A78">
        <w:rPr>
          <w:rFonts w:eastAsiaTheme="minorHAnsi"/>
          <w:b/>
          <w:sz w:val="24"/>
          <w:szCs w:val="24"/>
          <w:lang w:eastAsia="en-US"/>
        </w:rPr>
        <w:t xml:space="preserve"> </w:t>
      </w:r>
      <w:r w:rsidRPr="00EC1A78">
        <w:rPr>
          <w:rFonts w:eastAsiaTheme="minorHAnsi"/>
          <w:b/>
          <w:sz w:val="24"/>
          <w:szCs w:val="24"/>
          <w:lang w:val="en-US" w:eastAsia="en-US"/>
        </w:rPr>
        <w:t>plants</w:t>
      </w:r>
    </w:p>
    <w:p w:rsidR="00EC1A78" w:rsidRPr="00EC1A78" w:rsidRDefault="00EC1A78" w:rsidP="00EC1A78">
      <w:pPr>
        <w:jc w:val="right"/>
        <w:rPr>
          <w:rFonts w:eastAsiaTheme="minorHAnsi"/>
          <w:sz w:val="22"/>
          <w:szCs w:val="22"/>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Сазоненко М.</w:t>
      </w:r>
      <w:r w:rsidR="00C86D06">
        <w:rPr>
          <w:rFonts w:eastAsiaTheme="minorHAnsi"/>
          <w:sz w:val="22"/>
          <w:szCs w:val="22"/>
          <w:lang w:eastAsia="en-US"/>
        </w:rPr>
        <w:t xml:space="preserve"> </w:t>
      </w:r>
      <w:r w:rsidRPr="00EC1A78">
        <w:rPr>
          <w:rFonts w:eastAsiaTheme="minorHAnsi"/>
          <w:sz w:val="22"/>
          <w:szCs w:val="22"/>
          <w:lang w:eastAsia="en-US"/>
        </w:rPr>
        <w:t>М.,</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студент 2-го курса факультета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агрономии и экологии</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Лепешкина О.</w:t>
      </w:r>
      <w:r w:rsidR="00C86D06">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теории и истории государства и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Исследование нормативной базы о произво</w:t>
      </w:r>
      <w:r w:rsidRPr="00EC1A78">
        <w:rPr>
          <w:rFonts w:eastAsiaTheme="minorHAnsi"/>
          <w:sz w:val="22"/>
          <w:szCs w:val="22"/>
          <w:lang w:eastAsia="en-US"/>
        </w:rPr>
        <w:t>д</w:t>
      </w:r>
      <w:r w:rsidRPr="00EC1A78">
        <w:rPr>
          <w:rFonts w:eastAsiaTheme="minorHAnsi"/>
          <w:sz w:val="22"/>
          <w:szCs w:val="22"/>
          <w:lang w:eastAsia="en-US"/>
        </w:rPr>
        <w:t>стве и заготовке лекарственных трав, недочеты современных зак</w:t>
      </w:r>
      <w:r w:rsidRPr="00EC1A78">
        <w:rPr>
          <w:rFonts w:eastAsiaTheme="minorHAnsi"/>
          <w:sz w:val="22"/>
          <w:szCs w:val="22"/>
          <w:lang w:eastAsia="en-US"/>
        </w:rPr>
        <w:t>о</w:t>
      </w:r>
      <w:r w:rsidRPr="00EC1A78">
        <w:rPr>
          <w:rFonts w:eastAsiaTheme="minorHAnsi"/>
          <w:sz w:val="22"/>
          <w:szCs w:val="22"/>
          <w:lang w:eastAsia="en-US"/>
        </w:rPr>
        <w:t>нов.</w:t>
      </w:r>
    </w:p>
    <w:p w:rsidR="00EC1A78" w:rsidRPr="00EC1A78" w:rsidRDefault="00EC1A78" w:rsidP="00EC1A78">
      <w:pPr>
        <w:ind w:firstLine="425"/>
        <w:jc w:val="both"/>
        <w:rPr>
          <w:rFonts w:eastAsiaTheme="minorHAnsi"/>
          <w:sz w:val="22"/>
          <w:szCs w:val="22"/>
          <w:lang w:val="en-US" w:eastAsia="en-US"/>
        </w:rPr>
      </w:pPr>
      <w:r w:rsidRPr="00EC1A78">
        <w:rPr>
          <w:rFonts w:eastAsia="Calibri"/>
          <w:sz w:val="22"/>
          <w:szCs w:val="22"/>
          <w:lang w:val="en-US" w:eastAsia="en-US"/>
        </w:rPr>
        <w:t>ABSTRACT:</w:t>
      </w:r>
      <w:r w:rsidRPr="00EC1A78">
        <w:rPr>
          <w:rFonts w:eastAsiaTheme="minorHAnsi"/>
          <w:sz w:val="22"/>
          <w:szCs w:val="22"/>
          <w:lang w:val="en-US" w:eastAsia="en-US"/>
        </w:rPr>
        <w:t xml:space="preserve"> Research of the regulatory framework on the produ</w:t>
      </w:r>
      <w:r w:rsidRPr="00EC1A78">
        <w:rPr>
          <w:rFonts w:eastAsiaTheme="minorHAnsi"/>
          <w:sz w:val="22"/>
          <w:szCs w:val="22"/>
          <w:lang w:val="en-US" w:eastAsia="en-US"/>
        </w:rPr>
        <w:t>c</w:t>
      </w:r>
      <w:r w:rsidRPr="00EC1A78">
        <w:rPr>
          <w:rFonts w:eastAsiaTheme="minorHAnsi"/>
          <w:sz w:val="22"/>
          <w:szCs w:val="22"/>
          <w:lang w:val="en-US" w:eastAsia="en-US"/>
        </w:rPr>
        <w:t>tion and harvesting of medicinal herbs, shortcomings of modern laws.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Лекарственные растения, Красная кн</w:t>
      </w:r>
      <w:r w:rsidRPr="00EC1A78">
        <w:rPr>
          <w:rFonts w:eastAsiaTheme="minorHAnsi"/>
          <w:sz w:val="22"/>
          <w:szCs w:val="22"/>
          <w:lang w:eastAsia="en-US"/>
        </w:rPr>
        <w:t>и</w:t>
      </w:r>
      <w:r w:rsidRPr="00EC1A78">
        <w:rPr>
          <w:rFonts w:eastAsiaTheme="minorHAnsi"/>
          <w:sz w:val="22"/>
          <w:szCs w:val="22"/>
          <w:lang w:eastAsia="en-US"/>
        </w:rPr>
        <w:t>га, законодательство.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caps/>
          <w:sz w:val="22"/>
          <w:szCs w:val="22"/>
          <w:lang w:val="en-US" w:eastAsia="en-US"/>
        </w:rPr>
        <w:t>Key words</w:t>
      </w:r>
      <w:r w:rsidRPr="00EC1A78">
        <w:rPr>
          <w:rFonts w:eastAsiaTheme="minorHAnsi"/>
          <w:sz w:val="22"/>
          <w:szCs w:val="22"/>
          <w:lang w:val="en-US" w:eastAsia="en-US"/>
        </w:rPr>
        <w:t>: Medicinal plants, Red book, legislation.</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Забота о здоровье человека[10] является наиболее важной зад</w:t>
      </w:r>
      <w:r w:rsidRPr="00EC1A78">
        <w:rPr>
          <w:rFonts w:eastAsiaTheme="minorHAnsi"/>
          <w:sz w:val="22"/>
          <w:szCs w:val="22"/>
          <w:lang w:eastAsia="en-US"/>
        </w:rPr>
        <w:t>а</w:t>
      </w:r>
      <w:r w:rsidRPr="00EC1A78">
        <w:rPr>
          <w:rFonts w:eastAsiaTheme="minorHAnsi"/>
          <w:sz w:val="22"/>
          <w:szCs w:val="22"/>
          <w:lang w:eastAsia="en-US"/>
        </w:rPr>
        <w:t>чей развития современного общества и государства, о чем свид</w:t>
      </w:r>
      <w:r w:rsidRPr="00EC1A78">
        <w:rPr>
          <w:rFonts w:eastAsiaTheme="minorHAnsi"/>
          <w:sz w:val="22"/>
          <w:szCs w:val="22"/>
          <w:lang w:eastAsia="en-US"/>
        </w:rPr>
        <w:t>е</w:t>
      </w:r>
      <w:r w:rsidRPr="00EC1A78">
        <w:rPr>
          <w:rFonts w:eastAsiaTheme="minorHAnsi"/>
          <w:sz w:val="22"/>
          <w:szCs w:val="22"/>
          <w:lang w:eastAsia="en-US"/>
        </w:rPr>
        <w:t>тельствует ст. 41 Конституции РФ[9]. За последние два века мед</w:t>
      </w:r>
      <w:r w:rsidRPr="00EC1A78">
        <w:rPr>
          <w:rFonts w:eastAsiaTheme="minorHAnsi"/>
          <w:sz w:val="22"/>
          <w:szCs w:val="22"/>
          <w:lang w:eastAsia="en-US"/>
        </w:rPr>
        <w:t>и</w:t>
      </w:r>
      <w:r w:rsidRPr="00EC1A78">
        <w:rPr>
          <w:rFonts w:eastAsiaTheme="minorHAnsi"/>
          <w:sz w:val="22"/>
          <w:szCs w:val="22"/>
          <w:lang w:eastAsia="en-US"/>
        </w:rPr>
        <w:t>цина сделала колоссальные шаги в своем развитии, она стала выс</w:t>
      </w:r>
      <w:r w:rsidRPr="00EC1A78">
        <w:rPr>
          <w:rFonts w:eastAsiaTheme="minorHAnsi"/>
          <w:sz w:val="22"/>
          <w:szCs w:val="22"/>
          <w:lang w:eastAsia="en-US"/>
        </w:rPr>
        <w:t>о</w:t>
      </w:r>
      <w:r w:rsidRPr="00EC1A78">
        <w:rPr>
          <w:rFonts w:eastAsiaTheme="minorHAnsi"/>
          <w:sz w:val="22"/>
          <w:szCs w:val="22"/>
          <w:lang w:eastAsia="en-US"/>
        </w:rPr>
        <w:t>котехнологичной. Стали излечиваться болезни, которые были сме</w:t>
      </w:r>
      <w:r w:rsidRPr="00EC1A78">
        <w:rPr>
          <w:rFonts w:eastAsiaTheme="minorHAnsi"/>
          <w:sz w:val="22"/>
          <w:szCs w:val="22"/>
          <w:lang w:eastAsia="en-US"/>
        </w:rPr>
        <w:t>р</w:t>
      </w:r>
      <w:r w:rsidRPr="00EC1A78">
        <w:rPr>
          <w:rFonts w:eastAsiaTheme="minorHAnsi"/>
          <w:sz w:val="22"/>
          <w:szCs w:val="22"/>
          <w:lang w:eastAsia="en-US"/>
        </w:rPr>
        <w:lastRenderedPageBreak/>
        <w:t>тельными, появилась развитая система медицинских учреждений, которые обязаны не только оказывать медицинскую помощь в сл</w:t>
      </w:r>
      <w:r w:rsidRPr="00EC1A78">
        <w:rPr>
          <w:rFonts w:eastAsiaTheme="minorHAnsi"/>
          <w:sz w:val="22"/>
          <w:szCs w:val="22"/>
          <w:lang w:eastAsia="en-US"/>
        </w:rPr>
        <w:t>у</w:t>
      </w:r>
      <w:r w:rsidRPr="00EC1A78">
        <w:rPr>
          <w:rFonts w:eastAsiaTheme="minorHAnsi"/>
          <w:sz w:val="22"/>
          <w:szCs w:val="22"/>
          <w:lang w:eastAsia="en-US"/>
        </w:rPr>
        <w:t>чае необходимости[6], но и проводить профилактику заболеваем</w:t>
      </w:r>
      <w:r w:rsidRPr="00EC1A78">
        <w:rPr>
          <w:rFonts w:eastAsiaTheme="minorHAnsi"/>
          <w:sz w:val="22"/>
          <w:szCs w:val="22"/>
          <w:lang w:eastAsia="en-US"/>
        </w:rPr>
        <w:t>о</w:t>
      </w:r>
      <w:r w:rsidRPr="00EC1A78">
        <w:rPr>
          <w:rFonts w:eastAsiaTheme="minorHAnsi"/>
          <w:sz w:val="22"/>
          <w:szCs w:val="22"/>
          <w:lang w:eastAsia="en-US"/>
        </w:rPr>
        <w:t>сти[4]. Так же следует отметить огромное развитие фармацевтич</w:t>
      </w:r>
      <w:r w:rsidRPr="00EC1A78">
        <w:rPr>
          <w:rFonts w:eastAsiaTheme="minorHAnsi"/>
          <w:sz w:val="22"/>
          <w:szCs w:val="22"/>
          <w:lang w:eastAsia="en-US"/>
        </w:rPr>
        <w:t>е</w:t>
      </w:r>
      <w:r w:rsidRPr="00EC1A78">
        <w:rPr>
          <w:rFonts w:eastAsiaTheme="minorHAnsi"/>
          <w:sz w:val="22"/>
          <w:szCs w:val="22"/>
          <w:lang w:eastAsia="en-US"/>
        </w:rPr>
        <w:t>ской промышленности, а фармацевтика является основным инстр</w:t>
      </w:r>
      <w:r w:rsidRPr="00EC1A78">
        <w:rPr>
          <w:rFonts w:eastAsiaTheme="minorHAnsi"/>
          <w:sz w:val="22"/>
          <w:szCs w:val="22"/>
          <w:lang w:eastAsia="en-US"/>
        </w:rPr>
        <w:t>у</w:t>
      </w:r>
      <w:r w:rsidRPr="00EC1A78">
        <w:rPr>
          <w:rFonts w:eastAsiaTheme="minorHAnsi"/>
          <w:sz w:val="22"/>
          <w:szCs w:val="22"/>
          <w:lang w:eastAsia="en-US"/>
        </w:rPr>
        <w:t>ментом современного врача (до 90% назначений врачей приходится на лекарственную терапию). Однако, не следует забывать, что кр</w:t>
      </w:r>
      <w:r w:rsidRPr="00EC1A78">
        <w:rPr>
          <w:rFonts w:eastAsiaTheme="minorHAnsi"/>
          <w:sz w:val="22"/>
          <w:szCs w:val="22"/>
          <w:lang w:eastAsia="en-US"/>
        </w:rPr>
        <w:t>о</w:t>
      </w:r>
      <w:r w:rsidRPr="00EC1A78">
        <w:rPr>
          <w:rFonts w:eastAsiaTheme="minorHAnsi"/>
          <w:sz w:val="22"/>
          <w:szCs w:val="22"/>
          <w:lang w:eastAsia="en-US"/>
        </w:rPr>
        <w:t>ме химических веществ в медицине используются и препараты, о</w:t>
      </w:r>
      <w:r w:rsidRPr="00EC1A78">
        <w:rPr>
          <w:rFonts w:eastAsiaTheme="minorHAnsi"/>
          <w:sz w:val="22"/>
          <w:szCs w:val="22"/>
          <w:lang w:eastAsia="en-US"/>
        </w:rPr>
        <w:t>с</w:t>
      </w:r>
      <w:r w:rsidRPr="00EC1A78">
        <w:rPr>
          <w:rFonts w:eastAsiaTheme="minorHAnsi"/>
          <w:sz w:val="22"/>
          <w:szCs w:val="22"/>
          <w:lang w:eastAsia="en-US"/>
        </w:rPr>
        <w:t xml:space="preserve">нованные на лекарственных растениях. </w:t>
      </w:r>
    </w:p>
    <w:p w:rsidR="00EC1A78" w:rsidRPr="00EC1A78" w:rsidRDefault="00EC1A78" w:rsidP="00EC1A78">
      <w:pPr>
        <w:ind w:firstLine="425"/>
        <w:jc w:val="both"/>
        <w:rPr>
          <w:sz w:val="22"/>
          <w:szCs w:val="22"/>
        </w:rPr>
      </w:pPr>
      <w:r w:rsidRPr="00EC1A78">
        <w:rPr>
          <w:rFonts w:eastAsiaTheme="minorHAnsi"/>
          <w:sz w:val="22"/>
          <w:szCs w:val="22"/>
          <w:lang w:eastAsia="en-US"/>
        </w:rPr>
        <w:t>С 1 января 2010 г. введено государственное регулирование цен на лекарства из перечня жизненно необходимых и важнейших л</w:t>
      </w:r>
      <w:r w:rsidRPr="00EC1A78">
        <w:rPr>
          <w:rFonts w:eastAsiaTheme="minorHAnsi"/>
          <w:sz w:val="22"/>
          <w:szCs w:val="22"/>
          <w:lang w:eastAsia="en-US"/>
        </w:rPr>
        <w:t>е</w:t>
      </w:r>
      <w:r w:rsidRPr="00EC1A78">
        <w:rPr>
          <w:rFonts w:eastAsiaTheme="minorHAnsi"/>
          <w:sz w:val="22"/>
          <w:szCs w:val="22"/>
          <w:lang w:eastAsia="en-US"/>
        </w:rPr>
        <w:t>карственных средств [1],[5].</w:t>
      </w:r>
      <w:r w:rsidRPr="00EC1A78">
        <w:rPr>
          <w:sz w:val="22"/>
          <w:szCs w:val="22"/>
        </w:rPr>
        <w:t xml:space="preserve"> </w:t>
      </w:r>
      <w:r w:rsidRPr="00EC1A78">
        <w:rPr>
          <w:rFonts w:eastAsiaTheme="minorHAnsi"/>
          <w:sz w:val="22"/>
          <w:szCs w:val="22"/>
          <w:lang w:eastAsia="en-US"/>
        </w:rPr>
        <w:t xml:space="preserve">Специфическое регулирование оборота ЛАР в действующем законодательстве направлено на обеспечение санитарно-гигиенических и фармацевтических кондиций сырья [2]. </w:t>
      </w:r>
      <w:r w:rsidRPr="00EC1A78">
        <w:rPr>
          <w:sz w:val="22"/>
          <w:szCs w:val="22"/>
        </w:rPr>
        <w:t>Согласно статье 60 ФЗ «Об охране окружающей среды»[10], запр</w:t>
      </w:r>
      <w:r w:rsidRPr="00EC1A78">
        <w:rPr>
          <w:sz w:val="22"/>
          <w:szCs w:val="22"/>
        </w:rPr>
        <w:t>е</w:t>
      </w:r>
      <w:r w:rsidRPr="00EC1A78">
        <w:rPr>
          <w:sz w:val="22"/>
          <w:szCs w:val="22"/>
        </w:rPr>
        <w:t>щена деятельность, которая ведет к сокращению численности ра</w:t>
      </w:r>
      <w:r w:rsidRPr="00EC1A78">
        <w:rPr>
          <w:sz w:val="22"/>
          <w:szCs w:val="22"/>
        </w:rPr>
        <w:t>с</w:t>
      </w:r>
      <w:r w:rsidRPr="00EC1A78">
        <w:rPr>
          <w:sz w:val="22"/>
          <w:szCs w:val="22"/>
        </w:rPr>
        <w:t>тений, занесенных в Красную книгу РФ и красные книги субъектов РФ. Таким образом, лекарственные растения свободны в обращ</w:t>
      </w:r>
      <w:r w:rsidRPr="00EC1A78">
        <w:rPr>
          <w:sz w:val="22"/>
          <w:szCs w:val="22"/>
        </w:rPr>
        <w:t>е</w:t>
      </w:r>
      <w:r w:rsidRPr="00EC1A78">
        <w:rPr>
          <w:sz w:val="22"/>
          <w:szCs w:val="22"/>
        </w:rPr>
        <w:t>нии, за исключением растений, занесенных в Красную книгу РФ, для сбора и продажи которых необходимо специальное разрешение. Однако в законодательстве РФ отсутствует единая нормативная б</w:t>
      </w:r>
      <w:r w:rsidRPr="00EC1A78">
        <w:rPr>
          <w:sz w:val="22"/>
          <w:szCs w:val="22"/>
        </w:rPr>
        <w:t>а</w:t>
      </w:r>
      <w:r w:rsidRPr="00EC1A78">
        <w:rPr>
          <w:sz w:val="22"/>
          <w:szCs w:val="22"/>
        </w:rPr>
        <w:t>за, содержащая в себе правовое регулирование порядка реализации всех лекарственных трав, растений и сборов. Наличие такого но</w:t>
      </w:r>
      <w:r w:rsidRPr="00EC1A78">
        <w:rPr>
          <w:sz w:val="22"/>
          <w:szCs w:val="22"/>
        </w:rPr>
        <w:t>р</w:t>
      </w:r>
      <w:r w:rsidRPr="00EC1A78">
        <w:rPr>
          <w:sz w:val="22"/>
          <w:szCs w:val="22"/>
        </w:rPr>
        <w:t>мативного акта позволило бы полностью упорядочить торговый оборот всех существующих лекарственных трав, растений и сборов [5].</w:t>
      </w:r>
    </w:p>
    <w:p w:rsidR="00EC1A78" w:rsidRPr="00EC1A78" w:rsidRDefault="00EC1A78" w:rsidP="00EC1A78">
      <w:pPr>
        <w:ind w:firstLine="425"/>
        <w:jc w:val="both"/>
        <w:rPr>
          <w:sz w:val="22"/>
          <w:szCs w:val="22"/>
        </w:rPr>
      </w:pPr>
      <w:r w:rsidRPr="00EC1A78">
        <w:rPr>
          <w:sz w:val="22"/>
          <w:szCs w:val="22"/>
        </w:rPr>
        <w:t>Например, всем известная мята перечная, являющаяся лека</w:t>
      </w:r>
      <w:r w:rsidRPr="00EC1A78">
        <w:rPr>
          <w:sz w:val="22"/>
          <w:szCs w:val="22"/>
        </w:rPr>
        <w:t>р</w:t>
      </w:r>
      <w:r w:rsidRPr="00EC1A78">
        <w:rPr>
          <w:sz w:val="22"/>
          <w:szCs w:val="22"/>
        </w:rPr>
        <w:t>ственным растением, характеризуется целым букетом полезных в</w:t>
      </w:r>
      <w:r w:rsidRPr="00EC1A78">
        <w:rPr>
          <w:sz w:val="22"/>
          <w:szCs w:val="22"/>
        </w:rPr>
        <w:t>е</w:t>
      </w:r>
      <w:r w:rsidRPr="00EC1A78">
        <w:rPr>
          <w:sz w:val="22"/>
          <w:szCs w:val="22"/>
        </w:rPr>
        <w:t>ществ – дубильные вещества, витамин С, бетаин, каротин, рутин горечи, флавониды, а также эфирное масло, в котором содержится ментол. Мята помогает при лечении желудочно-кишечного тракта, обладает противовирусными, антибактериальными, сосудорасш</w:t>
      </w:r>
      <w:r w:rsidRPr="00EC1A78">
        <w:rPr>
          <w:sz w:val="22"/>
          <w:szCs w:val="22"/>
        </w:rPr>
        <w:t>и</w:t>
      </w:r>
      <w:r w:rsidRPr="00EC1A78">
        <w:rPr>
          <w:sz w:val="22"/>
          <w:szCs w:val="22"/>
        </w:rPr>
        <w:t>ряющими, жаропонижающими и противовоспалительными сво</w:t>
      </w:r>
      <w:r w:rsidRPr="00EC1A78">
        <w:rPr>
          <w:sz w:val="22"/>
          <w:szCs w:val="22"/>
        </w:rPr>
        <w:t>й</w:t>
      </w:r>
      <w:r w:rsidRPr="00EC1A78">
        <w:rPr>
          <w:sz w:val="22"/>
          <w:szCs w:val="22"/>
        </w:rPr>
        <w:t>ствами. Мяту можно встретить в составе многих лекарственных средств, однако сырье для их производства чаще всего используется импортное. Хотя в советское время Крым и Краснодарский край обеспечивали мятой всю страну. На сегодняшний день в России возделывается всего 200 га, в то время как во всем мире культив</w:t>
      </w:r>
      <w:r w:rsidRPr="00EC1A78">
        <w:rPr>
          <w:sz w:val="22"/>
          <w:szCs w:val="22"/>
        </w:rPr>
        <w:t>и</w:t>
      </w:r>
      <w:r w:rsidRPr="00EC1A78">
        <w:rPr>
          <w:sz w:val="22"/>
          <w:szCs w:val="22"/>
        </w:rPr>
        <w:lastRenderedPageBreak/>
        <w:t>руется свыше 100 тыс. га. Основным производителем является США. В России используется в основном сырье, произведенное в Польше, т.е. можно сделать вывод, что Россия, обладающая самым большим количеством плодородной земли не может обеспечивать свои потребности в мяте перечной. Какова же причина? В Польше фермерам оказывается серьезная государственная поддержка. Так на 1 га земли Евросоюз выделяет 250 евро, развивается субсидир</w:t>
      </w:r>
      <w:r w:rsidRPr="00EC1A78">
        <w:rPr>
          <w:sz w:val="22"/>
          <w:szCs w:val="22"/>
        </w:rPr>
        <w:t>о</w:t>
      </w:r>
      <w:r w:rsidRPr="00EC1A78">
        <w:rPr>
          <w:sz w:val="22"/>
          <w:szCs w:val="22"/>
        </w:rPr>
        <w:t>вание молодых фермеров и села. К сожалению, в России нет пр</w:t>
      </w:r>
      <w:r w:rsidRPr="00EC1A78">
        <w:rPr>
          <w:sz w:val="22"/>
          <w:szCs w:val="22"/>
        </w:rPr>
        <w:t>о</w:t>
      </w:r>
      <w:r w:rsidRPr="00EC1A78">
        <w:rPr>
          <w:sz w:val="22"/>
          <w:szCs w:val="22"/>
        </w:rPr>
        <w:t>граммы по импортозамещению мяты перечной, поэтому она не в</w:t>
      </w:r>
      <w:r w:rsidRPr="00EC1A78">
        <w:rPr>
          <w:sz w:val="22"/>
          <w:szCs w:val="22"/>
        </w:rPr>
        <w:t>ы</w:t>
      </w:r>
      <w:r w:rsidRPr="00EC1A78">
        <w:rPr>
          <w:sz w:val="22"/>
          <w:szCs w:val="22"/>
        </w:rPr>
        <w:t>ращивается фермерами. Полагаем, что для возрождения фармаце</w:t>
      </w:r>
      <w:r w:rsidRPr="00EC1A78">
        <w:rPr>
          <w:sz w:val="22"/>
          <w:szCs w:val="22"/>
        </w:rPr>
        <w:t>в</w:t>
      </w:r>
      <w:r w:rsidRPr="00EC1A78">
        <w:rPr>
          <w:sz w:val="22"/>
          <w:szCs w:val="22"/>
        </w:rPr>
        <w:t>тической промышленности России, необходимо создание условий для производства лекарственного сырья, а это возможно только при государственной поддержке производителей лекарственных раст</w:t>
      </w:r>
      <w:r w:rsidRPr="00EC1A78">
        <w:rPr>
          <w:sz w:val="22"/>
          <w:szCs w:val="22"/>
        </w:rPr>
        <w:t>е</w:t>
      </w:r>
      <w:r w:rsidRPr="00EC1A78">
        <w:rPr>
          <w:sz w:val="22"/>
          <w:szCs w:val="22"/>
        </w:rPr>
        <w:t>ний, создании государственной программы по развитию произво</w:t>
      </w:r>
      <w:r w:rsidRPr="00EC1A78">
        <w:rPr>
          <w:sz w:val="22"/>
          <w:szCs w:val="22"/>
        </w:rPr>
        <w:t>д</w:t>
      </w:r>
      <w:r w:rsidRPr="00EC1A78">
        <w:rPr>
          <w:sz w:val="22"/>
          <w:szCs w:val="22"/>
        </w:rPr>
        <w:t>ства лекарственных растений в России.</w:t>
      </w:r>
    </w:p>
    <w:p w:rsidR="00EC1A78" w:rsidRPr="00EC1A78" w:rsidRDefault="00EC1A78" w:rsidP="00EC1A78">
      <w:pPr>
        <w:ind w:firstLine="425"/>
        <w:jc w:val="center"/>
        <w:rPr>
          <w:rFonts w:eastAsiaTheme="minorHAnsi"/>
          <w:sz w:val="22"/>
          <w:szCs w:val="22"/>
          <w:lang w:eastAsia="en-US"/>
        </w:rPr>
      </w:pPr>
    </w:p>
    <w:p w:rsidR="00EC1A78" w:rsidRPr="00EC1A78" w:rsidRDefault="00EC1A78" w:rsidP="00EC1A78">
      <w:pPr>
        <w:ind w:firstLine="425"/>
        <w:jc w:val="center"/>
        <w:rPr>
          <w:sz w:val="22"/>
          <w:szCs w:val="22"/>
        </w:rPr>
      </w:pPr>
      <w:r w:rsidRPr="00EC1A78">
        <w:rPr>
          <w:rFonts w:eastAsiaTheme="minorHAnsi"/>
          <w:sz w:val="22"/>
          <w:szCs w:val="22"/>
          <w:lang w:eastAsia="en-US"/>
        </w:rPr>
        <w:t>Список л</w:t>
      </w:r>
      <w:r w:rsidR="00C86D06">
        <w:rPr>
          <w:rFonts w:eastAsiaTheme="minorHAnsi"/>
          <w:sz w:val="22"/>
          <w:szCs w:val="22"/>
          <w:lang w:eastAsia="en-US"/>
        </w:rPr>
        <w:t>итературы</w:t>
      </w:r>
    </w:p>
    <w:p w:rsidR="00EC1A78" w:rsidRPr="00EC1A78" w:rsidRDefault="00EC1A78" w:rsidP="00EC1A78">
      <w:pPr>
        <w:ind w:firstLine="426"/>
        <w:jc w:val="both"/>
        <w:rPr>
          <w:rFonts w:eastAsiaTheme="minorHAnsi"/>
          <w:color w:val="222222"/>
          <w:sz w:val="22"/>
          <w:szCs w:val="22"/>
          <w:lang w:eastAsia="en-US"/>
        </w:rPr>
      </w:pPr>
      <w:r w:rsidRPr="00EC1A78">
        <w:rPr>
          <w:rFonts w:eastAsiaTheme="minorHAnsi"/>
          <w:sz w:val="22"/>
          <w:szCs w:val="22"/>
          <w:lang w:eastAsia="en-US"/>
        </w:rPr>
        <w:t>1. Бахтина В.И. Цивилистические исследования в современном обществе. Россия и мир в XXI веке. 8-я Межвузовская научная ко</w:t>
      </w:r>
      <w:r w:rsidRPr="00EC1A78">
        <w:rPr>
          <w:rFonts w:eastAsiaTheme="minorHAnsi"/>
          <w:sz w:val="22"/>
          <w:szCs w:val="22"/>
          <w:lang w:eastAsia="en-US"/>
        </w:rPr>
        <w:t>н</w:t>
      </w:r>
      <w:r w:rsidRPr="00EC1A78">
        <w:rPr>
          <w:rFonts w:eastAsiaTheme="minorHAnsi"/>
          <w:sz w:val="22"/>
          <w:szCs w:val="22"/>
          <w:lang w:eastAsia="en-US"/>
        </w:rPr>
        <w:t>ференция студентов и аспирантов. М., 2010.</w:t>
      </w:r>
      <w:r w:rsidRPr="00EC1A78">
        <w:rPr>
          <w:rFonts w:eastAsiaTheme="minorHAnsi"/>
          <w:bCs/>
          <w:color w:val="222222"/>
          <w:sz w:val="22"/>
          <w:szCs w:val="22"/>
          <w:lang w:eastAsia="en-US"/>
        </w:rPr>
        <w:t xml:space="preserve"> </w:t>
      </w:r>
    </w:p>
    <w:p w:rsidR="00EC1A78" w:rsidRPr="00EC1A78" w:rsidRDefault="00EC1A78" w:rsidP="00EC1A78">
      <w:pPr>
        <w:shd w:val="clear" w:color="auto" w:fill="FFFFFF"/>
        <w:ind w:firstLine="426"/>
        <w:jc w:val="both"/>
        <w:outlineLvl w:val="0"/>
        <w:rPr>
          <w:i/>
          <w:iCs/>
          <w:spacing w:val="-2"/>
          <w:kern w:val="36"/>
          <w:sz w:val="22"/>
          <w:szCs w:val="22"/>
          <w:shd w:val="clear" w:color="auto" w:fill="FFFFFF"/>
        </w:rPr>
      </w:pPr>
      <w:r w:rsidRPr="00EC1A78">
        <w:rPr>
          <w:bCs/>
          <w:spacing w:val="-2"/>
          <w:kern w:val="36"/>
          <w:sz w:val="22"/>
          <w:szCs w:val="22"/>
        </w:rPr>
        <w:t>2.</w:t>
      </w:r>
      <w:r w:rsidRPr="00EC1A78">
        <w:rPr>
          <w:rFonts w:ascii="Tahoma" w:eastAsiaTheme="minorHAnsi" w:hAnsi="Tahoma" w:cs="Tahoma"/>
          <w:color w:val="464C55"/>
          <w:spacing w:val="-2"/>
          <w:sz w:val="18"/>
          <w:szCs w:val="18"/>
          <w:shd w:val="clear" w:color="auto" w:fill="FFFFFF"/>
          <w:lang w:eastAsia="en-US"/>
        </w:rPr>
        <w:t xml:space="preserve"> </w:t>
      </w:r>
      <w:r w:rsidRPr="00EC1A78">
        <w:rPr>
          <w:bCs/>
          <w:spacing w:val="-2"/>
          <w:kern w:val="36"/>
          <w:sz w:val="22"/>
          <w:szCs w:val="22"/>
        </w:rPr>
        <w:t>Об обращении лекарственных средств: ФЗ от 12 апреля 2010 г. N 61-ФЗ (с изменениями и дополнениями)</w:t>
      </w:r>
      <w:r w:rsidRPr="00EC1A78">
        <w:rPr>
          <w:i/>
          <w:iCs/>
          <w:spacing w:val="-2"/>
          <w:kern w:val="36"/>
          <w:sz w:val="22"/>
          <w:szCs w:val="22"/>
          <w:shd w:val="clear" w:color="auto" w:fill="FFFFFF"/>
        </w:rPr>
        <w:t xml:space="preserve"> // </w:t>
      </w:r>
      <w:r w:rsidRPr="00EC1A78">
        <w:rPr>
          <w:bCs/>
          <w:spacing w:val="-2"/>
          <w:kern w:val="36"/>
          <w:sz w:val="22"/>
          <w:szCs w:val="22"/>
        </w:rPr>
        <w:t>СПС Гарант //</w:t>
      </w:r>
      <w:r w:rsidRPr="00EC1A78">
        <w:rPr>
          <w:b/>
          <w:bCs/>
          <w:spacing w:val="-2"/>
          <w:kern w:val="36"/>
          <w:sz w:val="22"/>
          <w:szCs w:val="22"/>
        </w:rPr>
        <w:t xml:space="preserve"> </w:t>
      </w:r>
      <w:r w:rsidRPr="00EC1A78">
        <w:rPr>
          <w:bCs/>
          <w:spacing w:val="-2"/>
          <w:kern w:val="36"/>
          <w:sz w:val="22"/>
          <w:szCs w:val="22"/>
        </w:rPr>
        <w:t>http://base.garant.ru</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3. О качестве и безопасности пищевых продуктов: ФЗ от 02.01.2000 N 29-ФЗ (с изменениями и дополнениями)</w:t>
      </w:r>
      <w:r w:rsidRPr="00EC1A78">
        <w:rPr>
          <w:i/>
          <w:iCs/>
          <w:spacing w:val="-2"/>
          <w:kern w:val="36"/>
          <w:sz w:val="22"/>
          <w:szCs w:val="22"/>
          <w:shd w:val="clear" w:color="auto" w:fill="FFFFFF"/>
        </w:rPr>
        <w:t xml:space="preserve"> // </w:t>
      </w:r>
      <w:r w:rsidRPr="00EC1A78">
        <w:rPr>
          <w:bCs/>
          <w:spacing w:val="-2"/>
          <w:kern w:val="36"/>
          <w:sz w:val="22"/>
          <w:szCs w:val="22"/>
        </w:rPr>
        <w:t>СПС Гарант // http://base.garant.ru</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t>4. Епифанова Е.В. Становление и развитие медицинского права в России (досоветский период)// В сборнике: Юридическая наука и практика: история и современность сборник материалов I Междун</w:t>
      </w:r>
      <w:r w:rsidRPr="00EC1A78">
        <w:rPr>
          <w:rFonts w:eastAsiaTheme="minorHAnsi"/>
          <w:spacing w:val="-2"/>
          <w:sz w:val="22"/>
          <w:szCs w:val="22"/>
          <w:lang w:eastAsia="en-US"/>
        </w:rPr>
        <w:t>а</w:t>
      </w:r>
      <w:r w:rsidRPr="00EC1A78">
        <w:rPr>
          <w:rFonts w:eastAsiaTheme="minorHAnsi"/>
          <w:spacing w:val="-2"/>
          <w:sz w:val="22"/>
          <w:szCs w:val="22"/>
          <w:lang w:eastAsia="en-US"/>
        </w:rPr>
        <w:t>родной научно-практической конференции. Филиал МИГУП в Р</w:t>
      </w:r>
      <w:r w:rsidRPr="00EC1A78">
        <w:rPr>
          <w:rFonts w:eastAsiaTheme="minorHAnsi"/>
          <w:spacing w:val="-2"/>
          <w:sz w:val="22"/>
          <w:szCs w:val="22"/>
          <w:lang w:eastAsia="en-US"/>
        </w:rPr>
        <w:t>я</w:t>
      </w:r>
      <w:r w:rsidRPr="00EC1A78">
        <w:rPr>
          <w:rFonts w:eastAsiaTheme="minorHAnsi"/>
          <w:spacing w:val="-2"/>
          <w:sz w:val="22"/>
          <w:szCs w:val="22"/>
          <w:lang w:eastAsia="en-US"/>
        </w:rPr>
        <w:t>занской области; Ответственный редактор И.В. Пантюхина. 2013. С. 38-41.</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t>5. Епифанова Е.В. Криминализация деяний представителей ал</w:t>
      </w:r>
      <w:r w:rsidRPr="00EC1A78">
        <w:rPr>
          <w:rFonts w:eastAsiaTheme="minorHAnsi"/>
          <w:spacing w:val="-2"/>
          <w:sz w:val="22"/>
          <w:szCs w:val="22"/>
          <w:lang w:eastAsia="en-US"/>
        </w:rPr>
        <w:t>ь</w:t>
      </w:r>
      <w:r w:rsidRPr="00EC1A78">
        <w:rPr>
          <w:rFonts w:eastAsiaTheme="minorHAnsi"/>
          <w:spacing w:val="-2"/>
          <w:sz w:val="22"/>
          <w:szCs w:val="22"/>
          <w:lang w:eastAsia="en-US"/>
        </w:rPr>
        <w:t>тернативной (неконвенциальной) медицины (с учетом положений ФЗ РФ № 323 от 21.11.2011 «Об основах охраны здоровья граждан в Российской Федерации»)// Медицинское право. 2013. № 5. С. 42-47.</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lastRenderedPageBreak/>
        <w:t>6. Епифанова Е.В. Общественная опасность преступлений в сф</w:t>
      </w:r>
      <w:r w:rsidRPr="00EC1A78">
        <w:rPr>
          <w:rFonts w:eastAsiaTheme="minorHAnsi"/>
          <w:spacing w:val="-2"/>
          <w:sz w:val="22"/>
          <w:szCs w:val="22"/>
          <w:lang w:eastAsia="en-US"/>
        </w:rPr>
        <w:t>е</w:t>
      </w:r>
      <w:r w:rsidRPr="00EC1A78">
        <w:rPr>
          <w:rFonts w:eastAsiaTheme="minorHAnsi"/>
          <w:spacing w:val="-2"/>
          <w:sz w:val="22"/>
          <w:szCs w:val="22"/>
          <w:lang w:eastAsia="en-US"/>
        </w:rPr>
        <w:t>ре медицинского страхования // Ленинградский юридический жу</w:t>
      </w:r>
      <w:r w:rsidRPr="00EC1A78">
        <w:rPr>
          <w:rFonts w:eastAsiaTheme="minorHAnsi"/>
          <w:spacing w:val="-2"/>
          <w:sz w:val="22"/>
          <w:szCs w:val="22"/>
          <w:lang w:eastAsia="en-US"/>
        </w:rPr>
        <w:t>р</w:t>
      </w:r>
      <w:r w:rsidRPr="00EC1A78">
        <w:rPr>
          <w:rFonts w:eastAsiaTheme="minorHAnsi"/>
          <w:spacing w:val="-2"/>
          <w:sz w:val="22"/>
          <w:szCs w:val="22"/>
          <w:lang w:eastAsia="en-US"/>
        </w:rPr>
        <w:t>нал. 2013. № 4 (34). С. 218-225.</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z w:val="22"/>
          <w:szCs w:val="22"/>
          <w:lang w:eastAsia="en-US"/>
        </w:rPr>
        <w:t>7. Коммерческий оборот дикорастущих лекарственных и ар</w:t>
      </w:r>
      <w:r w:rsidRPr="00EC1A78">
        <w:rPr>
          <w:rFonts w:eastAsiaTheme="minorHAnsi"/>
          <w:sz w:val="22"/>
          <w:szCs w:val="22"/>
          <w:lang w:eastAsia="en-US"/>
        </w:rPr>
        <w:t>о</w:t>
      </w:r>
      <w:r w:rsidRPr="00EC1A78">
        <w:rPr>
          <w:rFonts w:eastAsiaTheme="minorHAnsi"/>
          <w:sz w:val="22"/>
          <w:szCs w:val="22"/>
          <w:lang w:eastAsia="en-US"/>
        </w:rPr>
        <w:t>матических растений в российском секторе алтае-саянского экор</w:t>
      </w:r>
      <w:r w:rsidRPr="00EC1A78">
        <w:rPr>
          <w:rFonts w:eastAsiaTheme="minorHAnsi"/>
          <w:sz w:val="22"/>
          <w:szCs w:val="22"/>
          <w:lang w:eastAsia="en-US"/>
        </w:rPr>
        <w:t>е</w:t>
      </w:r>
      <w:r w:rsidRPr="00EC1A78">
        <w:rPr>
          <w:rFonts w:eastAsiaTheme="minorHAnsi"/>
          <w:sz w:val="22"/>
          <w:szCs w:val="22"/>
          <w:lang w:eastAsia="en-US"/>
        </w:rPr>
        <w:t>гиона: природоохранные аспекты. -  Новосибирск, 2009. С.41.</w:t>
      </w:r>
    </w:p>
    <w:p w:rsidR="00EC1A78" w:rsidRPr="00EC1A78" w:rsidRDefault="00EC1A78" w:rsidP="00EC1A78">
      <w:pPr>
        <w:shd w:val="clear" w:color="auto" w:fill="FFFFFF"/>
        <w:ind w:firstLine="426"/>
        <w:jc w:val="both"/>
        <w:rPr>
          <w:spacing w:val="-2"/>
          <w:sz w:val="22"/>
          <w:szCs w:val="22"/>
        </w:rPr>
      </w:pPr>
      <w:r w:rsidRPr="00EC1A78">
        <w:rPr>
          <w:spacing w:val="-2"/>
          <w:sz w:val="22"/>
          <w:szCs w:val="22"/>
        </w:rPr>
        <w:t>8. Основы права. / Гущина Л.И., Ембулаева Н.Ю., Епифанова Е.В., Лепешкина В., Михайлик А.А., Недилько Ю.В., Павлисова Т.Е.</w:t>
      </w:r>
    </w:p>
    <w:p w:rsidR="00EC1A78" w:rsidRPr="00EC1A78" w:rsidRDefault="00EC1A78" w:rsidP="00EC1A78">
      <w:pPr>
        <w:shd w:val="clear" w:color="auto" w:fill="FFFFFF"/>
        <w:ind w:firstLine="426"/>
        <w:jc w:val="both"/>
        <w:rPr>
          <w:spacing w:val="-2"/>
          <w:sz w:val="22"/>
          <w:szCs w:val="22"/>
        </w:rPr>
      </w:pPr>
      <w:r w:rsidRPr="00EC1A78">
        <w:rPr>
          <w:spacing w:val="-2"/>
          <w:sz w:val="22"/>
          <w:szCs w:val="22"/>
        </w:rPr>
        <w:t>Краснодар, 2015.</w:t>
      </w:r>
    </w:p>
    <w:p w:rsidR="00EC1A78" w:rsidRPr="00EC1A78" w:rsidRDefault="00EC1A78" w:rsidP="00EC1A78">
      <w:pPr>
        <w:ind w:firstLine="426"/>
        <w:jc w:val="both"/>
        <w:rPr>
          <w:rFonts w:eastAsiaTheme="minorHAnsi"/>
          <w:spacing w:val="-2"/>
          <w:sz w:val="22"/>
          <w:szCs w:val="22"/>
          <w:lang w:eastAsia="en-US"/>
        </w:rPr>
      </w:pPr>
      <w:r w:rsidRPr="00EC1A78">
        <w:rPr>
          <w:spacing w:val="-2"/>
          <w:sz w:val="22"/>
          <w:szCs w:val="22"/>
        </w:rPr>
        <w:t>9. Правоведение (право, основы права) / Гущина Л.И., Ембулаева Н.Ю., Епифанова Е.В., Лепешкина О.В., Михайлик А.А., Недилько Ю.В., Павлисова Т.Е. учебное пособие / Краснодар, 2015.</w:t>
      </w:r>
    </w:p>
    <w:p w:rsidR="00C86D06" w:rsidRPr="00EC1A78" w:rsidRDefault="00EC1A78" w:rsidP="00F253F3">
      <w:pPr>
        <w:ind w:firstLine="426"/>
        <w:jc w:val="both"/>
        <w:rPr>
          <w:rFonts w:eastAsiaTheme="minorHAnsi"/>
          <w:sz w:val="22"/>
          <w:szCs w:val="22"/>
          <w:lang w:eastAsia="en-US"/>
        </w:rPr>
      </w:pPr>
      <w:r w:rsidRPr="00EC1A78">
        <w:rPr>
          <w:rFonts w:eastAsiaTheme="minorHAnsi"/>
          <w:sz w:val="22"/>
          <w:szCs w:val="22"/>
          <w:lang w:eastAsia="en-US"/>
        </w:rPr>
        <w:t xml:space="preserve">10. Об охране окружающей среды: Федеральный закон от 10.01.2002 </w:t>
      </w:r>
      <w:r w:rsidRPr="00EC1A78">
        <w:rPr>
          <w:rFonts w:eastAsiaTheme="minorHAnsi"/>
          <w:sz w:val="22"/>
          <w:szCs w:val="22"/>
          <w:lang w:val="en-US" w:eastAsia="en-US"/>
        </w:rPr>
        <w:t>N</w:t>
      </w:r>
      <w:r w:rsidRPr="00EC1A78">
        <w:rPr>
          <w:rFonts w:eastAsiaTheme="minorHAnsi"/>
          <w:sz w:val="22"/>
          <w:szCs w:val="22"/>
          <w:lang w:eastAsia="en-US"/>
        </w:rPr>
        <w:t xml:space="preserve"> 7-ФЗ// СПС Гарант</w:t>
      </w:r>
    </w:p>
    <w:p w:rsidR="002B3A7B" w:rsidRDefault="002B3A7B" w:rsidP="00EC1A78">
      <w:pPr>
        <w:rPr>
          <w:rFonts w:eastAsiaTheme="minorHAnsi"/>
          <w:sz w:val="22"/>
          <w:szCs w:val="22"/>
          <w:lang w:eastAsia="en-US"/>
        </w:rPr>
      </w:pPr>
    </w:p>
    <w:p w:rsidR="002B3A7B" w:rsidRDefault="002B3A7B" w:rsidP="00EC1A78">
      <w:pPr>
        <w:rPr>
          <w:rFonts w:eastAsiaTheme="minorHAnsi"/>
          <w:sz w:val="22"/>
          <w:szCs w:val="22"/>
          <w:lang w:eastAsia="en-US"/>
        </w:rPr>
      </w:pPr>
    </w:p>
    <w:p w:rsidR="002B3A7B" w:rsidRDefault="002B3A7B"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 xml:space="preserve">УДК 347.9 </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К вопросу о понятии «неопределенный круг лиц»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eastAsia="en-US"/>
        </w:rPr>
        <w:t>в</w:t>
      </w:r>
      <w:r w:rsidRPr="00EC1A78">
        <w:rPr>
          <w:rFonts w:eastAsiaTheme="minorHAnsi"/>
          <w:b/>
          <w:sz w:val="24"/>
          <w:szCs w:val="24"/>
          <w:lang w:val="en-US" w:eastAsia="en-US"/>
        </w:rPr>
        <w:t xml:space="preserve"> </w:t>
      </w:r>
      <w:r w:rsidRPr="00EC1A78">
        <w:rPr>
          <w:rFonts w:eastAsiaTheme="minorHAnsi"/>
          <w:b/>
          <w:sz w:val="24"/>
          <w:szCs w:val="24"/>
          <w:lang w:eastAsia="en-US"/>
        </w:rPr>
        <w:t>гражданском</w:t>
      </w:r>
      <w:r w:rsidRPr="00EC1A78">
        <w:rPr>
          <w:rFonts w:eastAsiaTheme="minorHAnsi"/>
          <w:b/>
          <w:sz w:val="24"/>
          <w:szCs w:val="24"/>
          <w:lang w:val="en-US" w:eastAsia="en-US"/>
        </w:rPr>
        <w:t xml:space="preserve"> </w:t>
      </w:r>
      <w:r w:rsidRPr="00EC1A78">
        <w:rPr>
          <w:rFonts w:eastAsiaTheme="minorHAnsi"/>
          <w:b/>
          <w:sz w:val="24"/>
          <w:szCs w:val="24"/>
          <w:lang w:eastAsia="en-US"/>
        </w:rPr>
        <w:t>процессе</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On the question of the concept of «general public»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in civil proceeding</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val="en-US" w:eastAsia="en-US"/>
        </w:rPr>
      </w:pPr>
      <w:r w:rsidRPr="00EC1A78">
        <w:rPr>
          <w:rFonts w:eastAsiaTheme="minorHAnsi"/>
          <w:sz w:val="22"/>
          <w:szCs w:val="22"/>
          <w:lang w:eastAsia="en-US"/>
        </w:rPr>
        <w:t>Самойлова</w:t>
      </w:r>
      <w:r w:rsidRPr="00EC1A78">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w:t>
      </w:r>
      <w:r w:rsidR="00C86D06" w:rsidRPr="001C6F5C">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Автором исследуется понятие «неопределе</w:t>
      </w:r>
      <w:r w:rsidRPr="00EC1A78">
        <w:rPr>
          <w:rFonts w:eastAsiaTheme="minorHAnsi"/>
          <w:sz w:val="22"/>
          <w:szCs w:val="22"/>
          <w:lang w:eastAsia="en-US"/>
        </w:rPr>
        <w:t>н</w:t>
      </w:r>
      <w:r w:rsidRPr="00EC1A78">
        <w:rPr>
          <w:rFonts w:eastAsiaTheme="minorHAnsi"/>
          <w:sz w:val="22"/>
          <w:szCs w:val="22"/>
          <w:lang w:eastAsia="en-US"/>
        </w:rPr>
        <w:t>ный круг лиц». Предлагается закрепление рассматриваемого пон</w:t>
      </w:r>
      <w:r w:rsidRPr="00EC1A78">
        <w:rPr>
          <w:rFonts w:eastAsiaTheme="minorHAnsi"/>
          <w:sz w:val="22"/>
          <w:szCs w:val="22"/>
          <w:lang w:eastAsia="en-US"/>
        </w:rPr>
        <w:t>я</w:t>
      </w:r>
      <w:r w:rsidRPr="00EC1A78">
        <w:rPr>
          <w:rFonts w:eastAsiaTheme="minorHAnsi"/>
          <w:sz w:val="22"/>
          <w:szCs w:val="22"/>
          <w:lang w:eastAsia="en-US"/>
        </w:rPr>
        <w:t>тия в гражданском процессуальном законодательстве, с указанием основных его признаков.</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The author analyzes the concept of «general public». In addition to specifying its main features in the article, it is offered to enshrine the concept under consideration in the civil procedural legisl</w:t>
      </w:r>
      <w:r w:rsidRPr="00EC1A78">
        <w:rPr>
          <w:rFonts w:eastAsiaTheme="minorHAnsi"/>
          <w:sz w:val="22"/>
          <w:szCs w:val="22"/>
          <w:lang w:val="en-US" w:eastAsia="en-US"/>
        </w:rPr>
        <w:t>a</w:t>
      </w:r>
      <w:r w:rsidRPr="00EC1A78">
        <w:rPr>
          <w:rFonts w:eastAsiaTheme="minorHAnsi"/>
          <w:sz w:val="22"/>
          <w:szCs w:val="22"/>
          <w:lang w:val="en-US" w:eastAsia="en-US"/>
        </w:rPr>
        <w:t>tion.</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КЛЮЧЕВЫЕ СЛОВА: неопределенный круг лиц, множестве</w:t>
      </w:r>
      <w:r w:rsidRPr="00EC1A78">
        <w:rPr>
          <w:rFonts w:eastAsiaTheme="minorHAnsi"/>
          <w:sz w:val="22"/>
          <w:szCs w:val="22"/>
          <w:lang w:eastAsia="en-US"/>
        </w:rPr>
        <w:t>н</w:t>
      </w:r>
      <w:r w:rsidRPr="00EC1A78">
        <w:rPr>
          <w:rFonts w:eastAsiaTheme="minorHAnsi"/>
          <w:sz w:val="22"/>
          <w:szCs w:val="22"/>
          <w:lang w:eastAsia="en-US"/>
        </w:rPr>
        <w:t>ность лиц, защита интересов.</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an indefinite number of persons, the plurality of persons, protection of interests.</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Российское процессуальное законодательство содержит пон</w:t>
      </w:r>
      <w:r w:rsidRPr="00EC1A78">
        <w:rPr>
          <w:rFonts w:eastAsiaTheme="minorHAnsi"/>
          <w:sz w:val="22"/>
          <w:szCs w:val="22"/>
          <w:lang w:eastAsia="en-US"/>
        </w:rPr>
        <w:t>я</w:t>
      </w:r>
      <w:r w:rsidRPr="00EC1A78">
        <w:rPr>
          <w:rFonts w:eastAsiaTheme="minorHAnsi"/>
          <w:sz w:val="22"/>
          <w:szCs w:val="22"/>
          <w:lang w:eastAsia="en-US"/>
        </w:rPr>
        <w:t>тие «неопределенный круг лиц», которое имеет большое значение для правоприменительной практики. В связи с отсутствием разъя</w:t>
      </w:r>
      <w:r w:rsidRPr="00EC1A78">
        <w:rPr>
          <w:rFonts w:eastAsiaTheme="minorHAnsi"/>
          <w:sz w:val="22"/>
          <w:szCs w:val="22"/>
          <w:lang w:eastAsia="en-US"/>
        </w:rPr>
        <w:t>с</w:t>
      </w:r>
      <w:r w:rsidRPr="00EC1A78">
        <w:rPr>
          <w:rFonts w:eastAsiaTheme="minorHAnsi"/>
          <w:sz w:val="22"/>
          <w:szCs w:val="22"/>
          <w:lang w:eastAsia="en-US"/>
        </w:rPr>
        <w:t>нения и закрепления данного понятия в гражданском процессуал</w:t>
      </w:r>
      <w:r w:rsidRPr="00EC1A78">
        <w:rPr>
          <w:rFonts w:eastAsiaTheme="minorHAnsi"/>
          <w:sz w:val="22"/>
          <w:szCs w:val="22"/>
          <w:lang w:eastAsia="en-US"/>
        </w:rPr>
        <w:t>ь</w:t>
      </w:r>
      <w:r w:rsidRPr="00EC1A78">
        <w:rPr>
          <w:rFonts w:eastAsiaTheme="minorHAnsi"/>
          <w:sz w:val="22"/>
          <w:szCs w:val="22"/>
          <w:lang w:eastAsia="en-US"/>
        </w:rPr>
        <w:t>ном законодательстве на практике возникают проблемы с опред</w:t>
      </w:r>
      <w:r w:rsidRPr="00EC1A78">
        <w:rPr>
          <w:rFonts w:eastAsiaTheme="minorHAnsi"/>
          <w:sz w:val="22"/>
          <w:szCs w:val="22"/>
          <w:lang w:eastAsia="en-US"/>
        </w:rPr>
        <w:t>е</w:t>
      </w:r>
      <w:r w:rsidRPr="00EC1A78">
        <w:rPr>
          <w:rFonts w:eastAsiaTheme="minorHAnsi"/>
          <w:sz w:val="22"/>
          <w:szCs w:val="22"/>
          <w:lang w:eastAsia="en-US"/>
        </w:rPr>
        <w:t>лением</w:t>
      </w:r>
      <w:r w:rsidRPr="00EC1A78">
        <w:rPr>
          <w:rFonts w:eastAsiaTheme="minorHAnsi"/>
          <w:b/>
          <w:color w:val="FF0000"/>
          <w:sz w:val="22"/>
          <w:szCs w:val="22"/>
          <w:lang w:eastAsia="en-US"/>
        </w:rPr>
        <w:t xml:space="preserve"> </w:t>
      </w:r>
      <w:r w:rsidRPr="00EC1A78">
        <w:rPr>
          <w:rFonts w:eastAsiaTheme="minorHAnsi"/>
          <w:color w:val="FF0000"/>
          <w:sz w:val="22"/>
          <w:szCs w:val="22"/>
          <w:lang w:eastAsia="en-US"/>
        </w:rPr>
        <w:t xml:space="preserve"> </w:t>
      </w:r>
      <w:r w:rsidRPr="00EC1A78">
        <w:rPr>
          <w:rFonts w:eastAsiaTheme="minorHAnsi"/>
          <w:sz w:val="22"/>
          <w:szCs w:val="22"/>
          <w:lang w:eastAsia="en-US"/>
        </w:rPr>
        <w:t>категории неопределенного круга лиц.</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ГПК РФ закрепляет право на обращение в суд в защиту н</w:t>
      </w:r>
      <w:r w:rsidRPr="00EC1A78">
        <w:rPr>
          <w:rFonts w:eastAsiaTheme="minorHAnsi"/>
          <w:sz w:val="22"/>
          <w:szCs w:val="22"/>
          <w:lang w:eastAsia="en-US"/>
        </w:rPr>
        <w:t>е</w:t>
      </w:r>
      <w:r w:rsidRPr="00EC1A78">
        <w:rPr>
          <w:rFonts w:eastAsiaTheme="minorHAnsi"/>
          <w:sz w:val="22"/>
          <w:szCs w:val="22"/>
          <w:lang w:eastAsia="en-US"/>
        </w:rPr>
        <w:t>определенного круга лиц наряду с защитой прав граждан и публи</w:t>
      </w:r>
      <w:r w:rsidRPr="00EC1A78">
        <w:rPr>
          <w:rFonts w:eastAsiaTheme="minorHAnsi"/>
          <w:sz w:val="22"/>
          <w:szCs w:val="22"/>
          <w:lang w:eastAsia="en-US"/>
        </w:rPr>
        <w:t>ч</w:t>
      </w:r>
      <w:r w:rsidRPr="00EC1A78">
        <w:rPr>
          <w:rFonts w:eastAsiaTheme="minorHAnsi"/>
          <w:sz w:val="22"/>
          <w:szCs w:val="22"/>
          <w:lang w:eastAsia="en-US"/>
        </w:rPr>
        <w:t>ных интересов[1]. В разъяснении Верховного Суда РФ под неопр</w:t>
      </w:r>
      <w:r w:rsidRPr="00EC1A78">
        <w:rPr>
          <w:rFonts w:eastAsiaTheme="minorHAnsi"/>
          <w:sz w:val="22"/>
          <w:szCs w:val="22"/>
          <w:lang w:eastAsia="en-US"/>
        </w:rPr>
        <w:t>е</w:t>
      </w:r>
      <w:r w:rsidRPr="00EC1A78">
        <w:rPr>
          <w:rFonts w:eastAsiaTheme="minorHAnsi"/>
          <w:sz w:val="22"/>
          <w:szCs w:val="22"/>
          <w:lang w:eastAsia="en-US"/>
        </w:rPr>
        <w:t>деленным кругом лиц понимается «такой круг лиц, который нево</w:t>
      </w:r>
      <w:r w:rsidRPr="00EC1A78">
        <w:rPr>
          <w:rFonts w:eastAsiaTheme="minorHAnsi"/>
          <w:sz w:val="22"/>
          <w:szCs w:val="22"/>
          <w:lang w:eastAsia="en-US"/>
        </w:rPr>
        <w:t>з</w:t>
      </w:r>
      <w:r w:rsidRPr="00EC1A78">
        <w:rPr>
          <w:rFonts w:eastAsiaTheme="minorHAnsi"/>
          <w:sz w:val="22"/>
          <w:szCs w:val="22"/>
          <w:lang w:eastAsia="en-US"/>
        </w:rPr>
        <w:t>можно индивидуализировать (определить), привлечь в процесс в качестве истцов, указать в решении, а также решить вопрос о пр</w:t>
      </w:r>
      <w:r w:rsidRPr="00EC1A78">
        <w:rPr>
          <w:rFonts w:eastAsiaTheme="minorHAnsi"/>
          <w:sz w:val="22"/>
          <w:szCs w:val="22"/>
          <w:lang w:eastAsia="en-US"/>
        </w:rPr>
        <w:t>а</w:t>
      </w:r>
      <w:r w:rsidRPr="00EC1A78">
        <w:rPr>
          <w:rFonts w:eastAsiaTheme="minorHAnsi"/>
          <w:sz w:val="22"/>
          <w:szCs w:val="22"/>
          <w:lang w:eastAsia="en-US"/>
        </w:rPr>
        <w:t>вах и обязанностях каждого из них при разрешении дела»[2]. Но, несмотря на это, суды толкуют понятие «неопределенный круг лиц» по–своему, что в некоторых случаях приводит к отказу в удовл</w:t>
      </w:r>
      <w:r w:rsidRPr="00EC1A78">
        <w:rPr>
          <w:rFonts w:eastAsiaTheme="minorHAnsi"/>
          <w:sz w:val="22"/>
          <w:szCs w:val="22"/>
          <w:lang w:eastAsia="en-US"/>
        </w:rPr>
        <w:t>е</w:t>
      </w:r>
      <w:r w:rsidRPr="00EC1A78">
        <w:rPr>
          <w:rFonts w:eastAsiaTheme="minorHAnsi"/>
          <w:sz w:val="22"/>
          <w:szCs w:val="22"/>
          <w:lang w:eastAsia="en-US"/>
        </w:rPr>
        <w:t>творении требований истца.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Несмотря на отсутствие закрепления понятия «неопределенный круг лиц», данная формулировка встречается во многих федерал</w:t>
      </w:r>
      <w:r w:rsidRPr="00EC1A78">
        <w:rPr>
          <w:rFonts w:eastAsiaTheme="minorHAnsi"/>
          <w:sz w:val="22"/>
          <w:szCs w:val="22"/>
          <w:lang w:eastAsia="en-US"/>
        </w:rPr>
        <w:t>ь</w:t>
      </w:r>
      <w:r w:rsidRPr="00EC1A78">
        <w:rPr>
          <w:rFonts w:eastAsiaTheme="minorHAnsi"/>
          <w:sz w:val="22"/>
          <w:szCs w:val="22"/>
          <w:lang w:eastAsia="en-US"/>
        </w:rPr>
        <w:t>ных законах. Таких как: ФЗ «О персональных данных»[3], ФЗ «О рекламе»[4] и другие.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Как говорилось выше, отсутствие закрепления данного понятия приводит к проблемам на практике. Так, например судья районного суда отказал в принятии искового заявления, поданного прокур</w:t>
      </w:r>
      <w:r w:rsidRPr="00EC1A78">
        <w:rPr>
          <w:rFonts w:eastAsiaTheme="minorHAnsi"/>
          <w:sz w:val="22"/>
          <w:szCs w:val="22"/>
          <w:lang w:eastAsia="en-US"/>
        </w:rPr>
        <w:t>о</w:t>
      </w:r>
      <w:r w:rsidRPr="00EC1A78">
        <w:rPr>
          <w:rFonts w:eastAsiaTheme="minorHAnsi"/>
          <w:sz w:val="22"/>
          <w:szCs w:val="22"/>
          <w:lang w:eastAsia="en-US"/>
        </w:rPr>
        <w:t>ром. В определении судья указал, что иск предъявлен в защиту и</w:t>
      </w:r>
      <w:r w:rsidRPr="00EC1A78">
        <w:rPr>
          <w:rFonts w:eastAsiaTheme="minorHAnsi"/>
          <w:sz w:val="22"/>
          <w:szCs w:val="22"/>
          <w:lang w:eastAsia="en-US"/>
        </w:rPr>
        <w:t>н</w:t>
      </w:r>
      <w:r w:rsidRPr="00EC1A78">
        <w:rPr>
          <w:rFonts w:eastAsiaTheme="minorHAnsi"/>
          <w:sz w:val="22"/>
          <w:szCs w:val="22"/>
          <w:lang w:eastAsia="en-US"/>
        </w:rPr>
        <w:t>тересов одной из школ района, а согласно статье 45 ГПК РФ прок</w:t>
      </w:r>
      <w:r w:rsidRPr="00EC1A78">
        <w:rPr>
          <w:rFonts w:eastAsiaTheme="minorHAnsi"/>
          <w:sz w:val="22"/>
          <w:szCs w:val="22"/>
          <w:lang w:eastAsia="en-US"/>
        </w:rPr>
        <w:t>у</w:t>
      </w:r>
      <w:r w:rsidRPr="00EC1A78">
        <w:rPr>
          <w:rFonts w:eastAsiaTheme="minorHAnsi"/>
          <w:sz w:val="22"/>
          <w:szCs w:val="22"/>
          <w:lang w:eastAsia="en-US"/>
        </w:rPr>
        <w:t>рор не наделен правом на защиту прав и интересов юридических лиц. Судья пояснил, что численность школьников четко определ</w:t>
      </w:r>
      <w:r w:rsidRPr="00EC1A78">
        <w:rPr>
          <w:rFonts w:eastAsiaTheme="minorHAnsi"/>
          <w:sz w:val="22"/>
          <w:szCs w:val="22"/>
          <w:lang w:eastAsia="en-US"/>
        </w:rPr>
        <w:t>е</w:t>
      </w:r>
      <w:r w:rsidRPr="00EC1A78">
        <w:rPr>
          <w:rFonts w:eastAsiaTheme="minorHAnsi"/>
          <w:sz w:val="22"/>
          <w:szCs w:val="22"/>
          <w:lang w:eastAsia="en-US"/>
        </w:rPr>
        <w:t>на, соответственно иск не затрагивает интересы неопределенного круга лиц, а лишь интересы юридического лица. Но, областной суд не согласился с мнением районного суда и отменил определение районного судьи указав, что иск был подан в защиту прав и интер</w:t>
      </w:r>
      <w:r w:rsidRPr="00EC1A78">
        <w:rPr>
          <w:rFonts w:eastAsiaTheme="minorHAnsi"/>
          <w:sz w:val="22"/>
          <w:szCs w:val="22"/>
          <w:lang w:eastAsia="en-US"/>
        </w:rPr>
        <w:t>е</w:t>
      </w:r>
      <w:r w:rsidRPr="00EC1A78">
        <w:rPr>
          <w:rFonts w:eastAsiaTheme="minorHAnsi"/>
          <w:sz w:val="22"/>
          <w:szCs w:val="22"/>
          <w:lang w:eastAsia="en-US"/>
        </w:rPr>
        <w:t>сов неопределенного круга лиц [5]. В данном примере отчетливо прослеживается разный подход судей к пониманию «неопределе</w:t>
      </w:r>
      <w:r w:rsidRPr="00EC1A78">
        <w:rPr>
          <w:rFonts w:eastAsiaTheme="minorHAnsi"/>
          <w:sz w:val="22"/>
          <w:szCs w:val="22"/>
          <w:lang w:eastAsia="en-US"/>
        </w:rPr>
        <w:t>н</w:t>
      </w:r>
      <w:r w:rsidRPr="00EC1A78">
        <w:rPr>
          <w:rFonts w:eastAsiaTheme="minorHAnsi"/>
          <w:sz w:val="22"/>
          <w:szCs w:val="22"/>
          <w:lang w:eastAsia="en-US"/>
        </w:rPr>
        <w:lastRenderedPageBreak/>
        <w:t>ного круга лиц», что порождает двойную работу органов суда, св</w:t>
      </w:r>
      <w:r w:rsidRPr="00EC1A78">
        <w:rPr>
          <w:rFonts w:eastAsiaTheme="minorHAnsi"/>
          <w:sz w:val="22"/>
          <w:szCs w:val="22"/>
          <w:lang w:eastAsia="en-US"/>
        </w:rPr>
        <w:t>я</w:t>
      </w:r>
      <w:r w:rsidRPr="00EC1A78">
        <w:rPr>
          <w:rFonts w:eastAsiaTheme="minorHAnsi"/>
          <w:sz w:val="22"/>
          <w:szCs w:val="22"/>
          <w:lang w:eastAsia="en-US"/>
        </w:rPr>
        <w:t>занную с пересмотрами судебных решений.</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науке существуют различные подходы к пониманию данного термина. Так, Е.Е. Уксусова считает, что иски в защиту неопред</w:t>
      </w:r>
      <w:r w:rsidRPr="00EC1A78">
        <w:rPr>
          <w:rFonts w:eastAsiaTheme="minorHAnsi"/>
          <w:sz w:val="22"/>
          <w:szCs w:val="22"/>
          <w:lang w:eastAsia="en-US"/>
        </w:rPr>
        <w:t>е</w:t>
      </w:r>
      <w:r w:rsidRPr="00EC1A78">
        <w:rPr>
          <w:rFonts w:eastAsiaTheme="minorHAnsi"/>
          <w:sz w:val="22"/>
          <w:szCs w:val="22"/>
          <w:lang w:eastAsia="en-US"/>
        </w:rPr>
        <w:t>ленного круга лиц имеют особый предмет защиты – некие общие блага (ценности). Все, что выходит за пределы интересов конкре</w:t>
      </w:r>
      <w:r w:rsidRPr="00EC1A78">
        <w:rPr>
          <w:rFonts w:eastAsiaTheme="minorHAnsi"/>
          <w:sz w:val="22"/>
          <w:szCs w:val="22"/>
          <w:lang w:eastAsia="en-US"/>
        </w:rPr>
        <w:t>т</w:t>
      </w:r>
      <w:r w:rsidRPr="00EC1A78">
        <w:rPr>
          <w:rFonts w:eastAsiaTheme="minorHAnsi"/>
          <w:sz w:val="22"/>
          <w:szCs w:val="22"/>
          <w:lang w:eastAsia="en-US"/>
        </w:rPr>
        <w:t xml:space="preserve">ного лица является защитой публичного интереса, в том числе и в случаях предъявления исков в интересах неопределенного круга лиц[6].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Батаева И.С. в своей работе характеризует неопределенный круг лиц как «количественно не установленный, но предполож</w:t>
      </w:r>
      <w:r w:rsidRPr="00EC1A78">
        <w:rPr>
          <w:rFonts w:eastAsiaTheme="minorHAnsi"/>
          <w:sz w:val="22"/>
          <w:szCs w:val="22"/>
          <w:lang w:eastAsia="en-US"/>
        </w:rPr>
        <w:t>и</w:t>
      </w:r>
      <w:r w:rsidRPr="00EC1A78">
        <w:rPr>
          <w:rFonts w:eastAsiaTheme="minorHAnsi"/>
          <w:sz w:val="22"/>
          <w:szCs w:val="22"/>
          <w:lang w:eastAsia="en-US"/>
        </w:rPr>
        <w:t>тельно многочисленный состав потенциальных истцов, не позвол</w:t>
      </w:r>
      <w:r w:rsidRPr="00EC1A78">
        <w:rPr>
          <w:rFonts w:eastAsiaTheme="minorHAnsi"/>
          <w:sz w:val="22"/>
          <w:szCs w:val="22"/>
          <w:lang w:eastAsia="en-US"/>
        </w:rPr>
        <w:t>я</w:t>
      </w:r>
      <w:r w:rsidRPr="00EC1A78">
        <w:rPr>
          <w:rFonts w:eastAsiaTheme="minorHAnsi"/>
          <w:sz w:val="22"/>
          <w:szCs w:val="22"/>
          <w:lang w:eastAsia="en-US"/>
        </w:rPr>
        <w:t>ющий привлечь к участию всех пострадавших от действий (безде</w:t>
      </w:r>
      <w:r w:rsidRPr="00EC1A78">
        <w:rPr>
          <w:rFonts w:eastAsiaTheme="minorHAnsi"/>
          <w:sz w:val="22"/>
          <w:szCs w:val="22"/>
          <w:lang w:eastAsia="en-US"/>
        </w:rPr>
        <w:t>й</w:t>
      </w:r>
      <w:r w:rsidRPr="00EC1A78">
        <w:rPr>
          <w:rFonts w:eastAsiaTheme="minorHAnsi"/>
          <w:sz w:val="22"/>
          <w:szCs w:val="22"/>
          <w:lang w:eastAsia="en-US"/>
        </w:rPr>
        <w:t xml:space="preserve">ствий) одного и того же ответчика, объединенных общностью предмета и основанием иска»[7].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вышеизложенного можно выделить признаки н</w:t>
      </w:r>
      <w:r w:rsidRPr="00EC1A78">
        <w:rPr>
          <w:rFonts w:eastAsiaTheme="minorHAnsi"/>
          <w:sz w:val="22"/>
          <w:szCs w:val="22"/>
          <w:lang w:eastAsia="en-US"/>
        </w:rPr>
        <w:t>е</w:t>
      </w:r>
      <w:r w:rsidRPr="00EC1A78">
        <w:rPr>
          <w:rFonts w:eastAsiaTheme="minorHAnsi"/>
          <w:sz w:val="22"/>
          <w:szCs w:val="22"/>
          <w:lang w:eastAsia="en-US"/>
        </w:rPr>
        <w:t>определенного круга лиц. К ним относятся: множественность пре</w:t>
      </w:r>
      <w:r w:rsidRPr="00EC1A78">
        <w:rPr>
          <w:rFonts w:eastAsiaTheme="minorHAnsi"/>
          <w:sz w:val="22"/>
          <w:szCs w:val="22"/>
          <w:lang w:eastAsia="en-US"/>
        </w:rPr>
        <w:t>д</w:t>
      </w:r>
      <w:r w:rsidRPr="00EC1A78">
        <w:rPr>
          <w:rFonts w:eastAsiaTheme="minorHAnsi"/>
          <w:sz w:val="22"/>
          <w:szCs w:val="22"/>
          <w:lang w:eastAsia="en-US"/>
        </w:rPr>
        <w:t>полагаемых истцов; невозможность заранее установить количество граждан; невозможность вынесения решения в отношении каждого конкретного лица.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анализа судебной практики и теоретических пол</w:t>
      </w:r>
      <w:r w:rsidRPr="00EC1A78">
        <w:rPr>
          <w:rFonts w:eastAsiaTheme="minorHAnsi"/>
          <w:sz w:val="22"/>
          <w:szCs w:val="22"/>
          <w:lang w:eastAsia="en-US"/>
        </w:rPr>
        <w:t>о</w:t>
      </w:r>
      <w:r w:rsidRPr="00EC1A78">
        <w:rPr>
          <w:rFonts w:eastAsiaTheme="minorHAnsi"/>
          <w:sz w:val="22"/>
          <w:szCs w:val="22"/>
          <w:lang w:eastAsia="en-US"/>
        </w:rPr>
        <w:t>жений по данному вопросу следует вывод. Для единого понимания данной категории лиц, устранения проблем в правоприменительной практике и, для исключения противоречии в судебных решениях, необходимо закрепление и разъяснение данного понятия в гражда</w:t>
      </w:r>
      <w:r w:rsidRPr="00EC1A78">
        <w:rPr>
          <w:rFonts w:eastAsiaTheme="minorHAnsi"/>
          <w:sz w:val="22"/>
          <w:szCs w:val="22"/>
          <w:lang w:eastAsia="en-US"/>
        </w:rPr>
        <w:t>н</w:t>
      </w:r>
      <w:r w:rsidRPr="00EC1A78">
        <w:rPr>
          <w:rFonts w:eastAsiaTheme="minorHAnsi"/>
          <w:sz w:val="22"/>
          <w:szCs w:val="22"/>
          <w:lang w:eastAsia="en-US"/>
        </w:rPr>
        <w:t>ском процессуальном законодательстве. Таким образом, необход</w:t>
      </w:r>
      <w:r w:rsidRPr="00EC1A78">
        <w:rPr>
          <w:rFonts w:eastAsiaTheme="minorHAnsi"/>
          <w:sz w:val="22"/>
          <w:szCs w:val="22"/>
          <w:lang w:eastAsia="en-US"/>
        </w:rPr>
        <w:t>и</w:t>
      </w:r>
      <w:r w:rsidRPr="00EC1A78">
        <w:rPr>
          <w:rFonts w:eastAsiaTheme="minorHAnsi"/>
          <w:sz w:val="22"/>
          <w:szCs w:val="22"/>
          <w:lang w:eastAsia="en-US"/>
        </w:rPr>
        <w:t>мо внести изменения в ГПК РФ, которые могут быть выражены:  в закреплении понятия «неопределенного круга лиц»;  в указании о</w:t>
      </w:r>
      <w:r w:rsidRPr="00EC1A78">
        <w:rPr>
          <w:rFonts w:eastAsiaTheme="minorHAnsi"/>
          <w:sz w:val="22"/>
          <w:szCs w:val="22"/>
          <w:lang w:eastAsia="en-US"/>
        </w:rPr>
        <w:t>с</w:t>
      </w:r>
      <w:r w:rsidRPr="00EC1A78">
        <w:rPr>
          <w:rFonts w:eastAsiaTheme="minorHAnsi"/>
          <w:sz w:val="22"/>
          <w:szCs w:val="22"/>
          <w:lang w:eastAsia="en-US"/>
        </w:rPr>
        <w:t>новных признаков данного понятия, индивидуализирующих данную категорию лиц.</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Гражданский процессуальный кодекс Российской Федерации от 14.11.2002 N 138–ФЗ// Российская газета, N 220, 20.11.2002.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Обзор судебной практики Верховного Суда РФ  от 23.30.06.2004//КонсультантПлюс</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Федеральный закон «О персональных данных» от 27.07.2006 N 152–ФЗ// Российская газета, N 165, 29.07.2006.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4. Федеральный закон «О рекламе» от 13.03.2006 N 38–ФЗ// Собрание законодательства РФ, 20.03.2006, N 12, ст. 1232.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Эрделевский А.М. О неопределенном круге лиц в гражда</w:t>
      </w:r>
      <w:r w:rsidRPr="00EC1A78">
        <w:rPr>
          <w:rFonts w:eastAsiaTheme="minorHAnsi"/>
          <w:sz w:val="22"/>
          <w:szCs w:val="22"/>
          <w:lang w:eastAsia="en-US"/>
        </w:rPr>
        <w:t>н</w:t>
      </w:r>
      <w:r w:rsidRPr="00EC1A78">
        <w:rPr>
          <w:rFonts w:eastAsiaTheme="minorHAnsi"/>
          <w:sz w:val="22"/>
          <w:szCs w:val="22"/>
          <w:lang w:eastAsia="en-US"/>
        </w:rPr>
        <w:t>ском процессе// Вестник Академии Генеральной прокуратуры Ро</w:t>
      </w:r>
      <w:r w:rsidRPr="00EC1A78">
        <w:rPr>
          <w:rFonts w:eastAsiaTheme="minorHAnsi"/>
          <w:sz w:val="22"/>
          <w:szCs w:val="22"/>
          <w:lang w:eastAsia="en-US"/>
        </w:rPr>
        <w:t>с</w:t>
      </w:r>
      <w:r w:rsidRPr="00EC1A78">
        <w:rPr>
          <w:rFonts w:eastAsiaTheme="minorHAnsi"/>
          <w:sz w:val="22"/>
          <w:szCs w:val="22"/>
          <w:lang w:eastAsia="en-US"/>
        </w:rPr>
        <w:t>сийской Федерации. 2014.–С.12.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6. Уксусова Е.Е. Гражданский процесс. Учебник для бакала</w:t>
      </w:r>
      <w:r w:rsidRPr="00EC1A78">
        <w:rPr>
          <w:rFonts w:eastAsiaTheme="minorHAnsi"/>
          <w:sz w:val="22"/>
          <w:szCs w:val="22"/>
          <w:lang w:eastAsia="en-US"/>
        </w:rPr>
        <w:t>в</w:t>
      </w:r>
      <w:r w:rsidRPr="00EC1A78">
        <w:rPr>
          <w:rFonts w:eastAsiaTheme="minorHAnsi"/>
          <w:sz w:val="22"/>
          <w:szCs w:val="22"/>
          <w:lang w:eastAsia="en-US"/>
        </w:rPr>
        <w:t>ров//Проспект, 2015.–С.103.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7. Батаева Н.С. Судебная защита прав и интересов неопред</w:t>
      </w:r>
      <w:r w:rsidRPr="00EC1A78">
        <w:rPr>
          <w:rFonts w:eastAsiaTheme="minorHAnsi"/>
          <w:sz w:val="22"/>
          <w:szCs w:val="22"/>
          <w:lang w:eastAsia="en-US"/>
        </w:rPr>
        <w:t>е</w:t>
      </w:r>
      <w:r w:rsidRPr="00EC1A78">
        <w:rPr>
          <w:rFonts w:eastAsiaTheme="minorHAnsi"/>
          <w:sz w:val="22"/>
          <w:szCs w:val="22"/>
          <w:lang w:eastAsia="en-US"/>
        </w:rPr>
        <w:t xml:space="preserve">ленного круга лиц: Дис. … канд. юрид. наук. Москва, 2004. – С.164. </w:t>
      </w:r>
    </w:p>
    <w:p w:rsidR="00EC1A78" w:rsidRDefault="00EC1A78" w:rsidP="00EC1A78">
      <w:pPr>
        <w:jc w:val="both"/>
        <w:rPr>
          <w:rFonts w:eastAsiaTheme="minorHAnsi"/>
          <w:sz w:val="22"/>
          <w:szCs w:val="22"/>
          <w:lang w:eastAsia="en-US"/>
        </w:rPr>
      </w:pPr>
    </w:p>
    <w:p w:rsidR="00F253F3" w:rsidRDefault="00F253F3" w:rsidP="00EC1A78">
      <w:pPr>
        <w:jc w:val="both"/>
        <w:rPr>
          <w:rFonts w:eastAsiaTheme="minorHAnsi"/>
          <w:sz w:val="22"/>
          <w:szCs w:val="22"/>
          <w:lang w:eastAsia="en-US"/>
        </w:rPr>
      </w:pPr>
    </w:p>
    <w:p w:rsidR="002B3A7B" w:rsidRPr="00EC1A78" w:rsidRDefault="002B3A7B" w:rsidP="00EC1A78">
      <w:pPr>
        <w:jc w:val="both"/>
        <w:rPr>
          <w:rFonts w:eastAsiaTheme="minorHAnsi"/>
          <w:sz w:val="22"/>
          <w:szCs w:val="22"/>
          <w:lang w:eastAsia="en-US"/>
        </w:rPr>
      </w:pPr>
    </w:p>
    <w:p w:rsidR="00EC1A78" w:rsidRPr="00EC1A78" w:rsidRDefault="00EC1A78" w:rsidP="00EC1A78">
      <w:pPr>
        <w:rPr>
          <w:rFonts w:eastAsiaTheme="minorHAnsi"/>
          <w:color w:val="000000" w:themeColor="text1"/>
          <w:sz w:val="22"/>
          <w:szCs w:val="24"/>
          <w:lang w:eastAsia="en-US"/>
        </w:rPr>
      </w:pPr>
      <w:r w:rsidRPr="00EC1A78">
        <w:rPr>
          <w:rFonts w:eastAsiaTheme="minorHAnsi"/>
          <w:sz w:val="22"/>
          <w:szCs w:val="22"/>
          <w:lang w:eastAsia="en-US"/>
        </w:rPr>
        <w:t>УДК 343.12</w:t>
      </w:r>
    </w:p>
    <w:p w:rsidR="00EC1A78" w:rsidRPr="00EC1A78" w:rsidRDefault="00EC1A78" w:rsidP="00EC1A78">
      <w:pPr>
        <w:jc w:val="center"/>
        <w:rPr>
          <w:rFonts w:eastAsiaTheme="minorHAnsi"/>
          <w:color w:val="000000" w:themeColor="text1"/>
          <w:sz w:val="22"/>
          <w:szCs w:val="24"/>
          <w:lang w:eastAsia="en-US"/>
        </w:rPr>
      </w:pPr>
    </w:p>
    <w:p w:rsidR="00C86D06" w:rsidRDefault="00EC1A78" w:rsidP="00C86D06">
      <w:pPr>
        <w:jc w:val="center"/>
        <w:rPr>
          <w:rFonts w:eastAsiaTheme="minorHAnsi"/>
          <w:b/>
          <w:color w:val="000000" w:themeColor="text1"/>
          <w:sz w:val="24"/>
          <w:szCs w:val="24"/>
          <w:lang w:eastAsia="en-US"/>
        </w:rPr>
      </w:pPr>
      <w:r w:rsidRPr="00EC1A78">
        <w:rPr>
          <w:rFonts w:eastAsiaTheme="minorHAnsi"/>
          <w:b/>
          <w:color w:val="000000" w:themeColor="text1"/>
          <w:sz w:val="24"/>
          <w:szCs w:val="24"/>
          <w:lang w:eastAsia="en-US"/>
        </w:rPr>
        <w:t xml:space="preserve">Участие защитника при производстве следственных </w:t>
      </w:r>
      <w:r w:rsidR="00C86D06">
        <w:rPr>
          <w:rFonts w:eastAsiaTheme="minorHAnsi"/>
          <w:b/>
          <w:color w:val="000000" w:themeColor="text1"/>
          <w:sz w:val="24"/>
          <w:szCs w:val="24"/>
          <w:lang w:eastAsia="en-US"/>
        </w:rPr>
        <w:br/>
      </w:r>
      <w:r w:rsidRPr="00EC1A78">
        <w:rPr>
          <w:rFonts w:eastAsiaTheme="minorHAnsi"/>
          <w:b/>
          <w:color w:val="000000" w:themeColor="text1"/>
          <w:sz w:val="24"/>
          <w:szCs w:val="24"/>
          <w:lang w:eastAsia="en-US"/>
        </w:rPr>
        <w:t xml:space="preserve">действий </w:t>
      </w:r>
    </w:p>
    <w:p w:rsidR="00EC1A78" w:rsidRPr="001C6F5C" w:rsidRDefault="00EC1A78" w:rsidP="00C86D06">
      <w:pPr>
        <w:jc w:val="center"/>
        <w:rPr>
          <w:rFonts w:eastAsiaTheme="minorHAnsi"/>
          <w:b/>
          <w:color w:val="000000" w:themeColor="text1"/>
          <w:sz w:val="24"/>
          <w:szCs w:val="24"/>
          <w:lang w:eastAsia="en-US"/>
        </w:rPr>
      </w:pPr>
      <w:r w:rsidRPr="00EC1A78">
        <w:rPr>
          <w:rFonts w:eastAsiaTheme="minorHAnsi"/>
          <w:b/>
          <w:color w:val="000000" w:themeColor="text1"/>
          <w:sz w:val="24"/>
          <w:szCs w:val="24"/>
          <w:lang w:val="en-US" w:eastAsia="en-US"/>
        </w:rPr>
        <w:t>The</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participation</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of</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defence</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counsel</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in</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investigative</w:t>
      </w:r>
      <w:r w:rsidRPr="001C6F5C">
        <w:rPr>
          <w:rFonts w:eastAsiaTheme="minorHAnsi"/>
          <w:b/>
          <w:color w:val="000000" w:themeColor="text1"/>
          <w:sz w:val="24"/>
          <w:szCs w:val="24"/>
          <w:lang w:eastAsia="en-US"/>
        </w:rPr>
        <w:t xml:space="preserve"> </w:t>
      </w:r>
      <w:r w:rsidRPr="00EC1A78">
        <w:rPr>
          <w:rFonts w:eastAsiaTheme="minorHAnsi"/>
          <w:b/>
          <w:color w:val="000000" w:themeColor="text1"/>
          <w:sz w:val="24"/>
          <w:szCs w:val="24"/>
          <w:lang w:val="en-US" w:eastAsia="en-US"/>
        </w:rPr>
        <w:t>actions</w:t>
      </w:r>
    </w:p>
    <w:p w:rsidR="00EC1A78" w:rsidRPr="001C6F5C" w:rsidRDefault="00EC1A78" w:rsidP="00EC1A78">
      <w:pPr>
        <w:jc w:val="right"/>
        <w:rPr>
          <w:rFonts w:eastAsiaTheme="minorHAnsi"/>
          <w:color w:val="000000" w:themeColor="text1"/>
          <w:sz w:val="22"/>
          <w:szCs w:val="24"/>
          <w:lang w:eastAsia="en-US"/>
        </w:rPr>
      </w:pPr>
    </w:p>
    <w:p w:rsidR="00EC1A78" w:rsidRPr="001C6F5C"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Свинобой</w:t>
      </w:r>
      <w:r w:rsidRPr="001C6F5C">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Н</w:t>
      </w:r>
      <w:r w:rsidRPr="001C6F5C">
        <w:rPr>
          <w:rFonts w:eastAsiaTheme="minorHAnsi"/>
          <w:color w:val="000000" w:themeColor="text1"/>
          <w:sz w:val="22"/>
          <w:szCs w:val="22"/>
          <w:lang w:eastAsia="en-US"/>
        </w:rPr>
        <w:t>.</w:t>
      </w:r>
      <w:r w:rsidR="00C86D06" w:rsidRPr="001C6F5C">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Л</w:t>
      </w:r>
      <w:r w:rsidRPr="001C6F5C">
        <w:rPr>
          <w:rFonts w:eastAsiaTheme="minorHAnsi"/>
          <w:color w:val="000000" w:themeColor="text1"/>
          <w:sz w:val="22"/>
          <w:szCs w:val="22"/>
          <w:lang w:eastAsia="en-US"/>
        </w:rPr>
        <w:t>.,</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C86D06">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C86D06">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center"/>
        <w:rPr>
          <w:rFonts w:eastAsiaTheme="minorHAnsi"/>
          <w:color w:val="000000" w:themeColor="text1"/>
          <w:lang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АННОТАЦИЯ: В статье рассмотрено участие защитника при производстве следственных действий, таких как допрос, предъявл</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ние для опознания, очная ставка. </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sz w:val="22"/>
          <w:lang w:eastAsia="en-US"/>
        </w:rPr>
        <w:t>А</w:t>
      </w:r>
      <w:r w:rsidRPr="00EC1A78">
        <w:rPr>
          <w:rFonts w:eastAsiaTheme="minorHAnsi"/>
          <w:sz w:val="22"/>
          <w:lang w:val="en-US" w:eastAsia="en-US"/>
        </w:rPr>
        <w:t>NNOTATION</w:t>
      </w:r>
      <w:r w:rsidRPr="00EC1A78">
        <w:rPr>
          <w:rFonts w:eastAsiaTheme="minorHAnsi"/>
          <w:color w:val="000000" w:themeColor="text1"/>
          <w:sz w:val="22"/>
          <w:szCs w:val="22"/>
          <w:lang w:val="en-US" w:eastAsia="en-US"/>
        </w:rPr>
        <w:t>: The article deals with certain issues of the rights and obligations of a lawyer in criminal proceedings. Legal relations that arise in the course of their implementation determine the procedural p</w:t>
      </w:r>
      <w:r w:rsidRPr="00EC1A78">
        <w:rPr>
          <w:rFonts w:eastAsiaTheme="minorHAnsi"/>
          <w:color w:val="000000" w:themeColor="text1"/>
          <w:sz w:val="22"/>
          <w:szCs w:val="22"/>
          <w:lang w:val="en-US" w:eastAsia="en-US"/>
        </w:rPr>
        <w:t>o</w:t>
      </w:r>
      <w:r w:rsidRPr="00EC1A78">
        <w:rPr>
          <w:rFonts w:eastAsiaTheme="minorHAnsi"/>
          <w:color w:val="000000" w:themeColor="text1"/>
          <w:sz w:val="22"/>
          <w:szCs w:val="22"/>
          <w:lang w:val="en-US" w:eastAsia="en-US"/>
        </w:rPr>
        <w:t>sition of the defender.</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КЛЮЧЕВЫЕ СЛОВА: защитник, уголовный процесс, защита прав, производство следственных действий.</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KEYWORDS: lawyer, criminal proceedings, protection of rights, investigation.</w:t>
      </w:r>
    </w:p>
    <w:p w:rsidR="00EC1A78" w:rsidRPr="00EC1A78" w:rsidRDefault="00EC1A78" w:rsidP="00EC1A78">
      <w:pPr>
        <w:ind w:firstLine="426"/>
        <w:jc w:val="both"/>
        <w:rPr>
          <w:rFonts w:eastAsiaTheme="minorHAnsi"/>
          <w:color w:val="000000" w:themeColor="text1"/>
          <w:sz w:val="22"/>
          <w:szCs w:val="22"/>
          <w:lang w:val="en-US" w:eastAsia="en-US"/>
        </w:rPr>
      </w:pP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lastRenderedPageBreak/>
        <w:t>При производстве следственных действий с участием подозр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ваемого, обвиняемого обязательное присутствие защитника или а</w:t>
      </w:r>
      <w:r w:rsidRPr="00EC1A78">
        <w:rPr>
          <w:rFonts w:eastAsiaTheme="minorHAnsi"/>
          <w:color w:val="000000" w:themeColor="text1"/>
          <w:sz w:val="22"/>
          <w:szCs w:val="22"/>
          <w:lang w:eastAsia="en-US"/>
        </w:rPr>
        <w:t>д</w:t>
      </w:r>
      <w:r w:rsidRPr="00EC1A78">
        <w:rPr>
          <w:rFonts w:eastAsiaTheme="minorHAnsi"/>
          <w:color w:val="000000" w:themeColor="text1"/>
          <w:sz w:val="22"/>
          <w:szCs w:val="22"/>
          <w:lang w:eastAsia="en-US"/>
        </w:rPr>
        <w:t>воката не требуется. Присутствовать при проведении следственных действий является правом, а не обязанностью адвоката. Однако его участие в следственных действиях может оказать незаменимую п</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мощь его подзащитному. При личной беседе адвоката с обвиня</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мым (подозреваемым), защитник должен принять решение, в каких следственных действиях ему следует принять участие.</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Следователь не должен извещать защитника обо всех провод</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мых им следственных действиях с подозреваемым, обвиняемым, если защитник сам не заявил об этом ходатайство. Для этого после вступления в дело адвокату следует заявить следователю письме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ное ходатайство о заблаговременном извещении ᴇᴦο о дате и месте проведения следственных и процессуальных действий с участием подозреваемого, обвиняемого. Перечень оснований, согласно кот</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 xml:space="preserve">рым участие защитника в деле является обязательным, закреплен в ст. 51 УПК РФ [1].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Участие адвоката в следственных действиях, проводимых с о</w:t>
      </w:r>
      <w:r w:rsidRPr="00EC1A78">
        <w:rPr>
          <w:rFonts w:eastAsiaTheme="minorHAnsi"/>
          <w:color w:val="000000" w:themeColor="text1"/>
          <w:sz w:val="22"/>
          <w:szCs w:val="22"/>
          <w:lang w:eastAsia="en-US"/>
        </w:rPr>
        <w:t>б</w:t>
      </w:r>
      <w:r w:rsidRPr="00EC1A78">
        <w:rPr>
          <w:rFonts w:eastAsiaTheme="minorHAnsi"/>
          <w:color w:val="000000" w:themeColor="text1"/>
          <w:sz w:val="22"/>
          <w:szCs w:val="22"/>
          <w:lang w:eastAsia="en-US"/>
        </w:rPr>
        <w:t>виняемым (подозреваемым) преследует достижение нескольких ц</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лей. В первую очередь, оказание психологической поддержки по</w:t>
      </w:r>
      <w:r w:rsidRPr="00EC1A78">
        <w:rPr>
          <w:rFonts w:eastAsiaTheme="minorHAnsi"/>
          <w:color w:val="000000" w:themeColor="text1"/>
          <w:sz w:val="22"/>
          <w:szCs w:val="22"/>
          <w:lang w:eastAsia="en-US"/>
        </w:rPr>
        <w:t>д</w:t>
      </w:r>
      <w:r w:rsidRPr="00EC1A78">
        <w:rPr>
          <w:rFonts w:eastAsiaTheme="minorHAnsi"/>
          <w:color w:val="000000" w:themeColor="text1"/>
          <w:sz w:val="22"/>
          <w:szCs w:val="22"/>
          <w:lang w:eastAsia="en-US"/>
        </w:rPr>
        <w:t>защитного, а также обеспечение законности проведения следстве</w:t>
      </w:r>
      <w:r w:rsidRPr="00EC1A78">
        <w:rPr>
          <w:rFonts w:eastAsiaTheme="minorHAnsi"/>
          <w:color w:val="000000" w:themeColor="text1"/>
          <w:sz w:val="22"/>
          <w:szCs w:val="22"/>
          <w:lang w:eastAsia="en-US"/>
        </w:rPr>
        <w:t>н</w:t>
      </w:r>
      <w:r w:rsidRPr="00EC1A78">
        <w:rPr>
          <w:rFonts w:eastAsiaTheme="minorHAnsi"/>
          <w:color w:val="000000" w:themeColor="text1"/>
          <w:sz w:val="22"/>
          <w:szCs w:val="22"/>
          <w:lang w:eastAsia="en-US"/>
        </w:rPr>
        <w:t>ного действия, соблюдения прав и законных интересов обвиняем</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го, подозреваемого, установления фактических данных, интерес</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ющих защиту, и т.п.</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Роль защитника зависит от тщательности подготовки к пров</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дению следственного действия. Зная особенности ᴇᴦο производства и круг участников, защитник может наметить вопросы, которые необходимо решить в ходе производства указанный действий.  С разрешения следователя защитник вправе использовать звуко– и видеозапись производства следственных действий.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Наиболее часто защитник присутствует при производстве д</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проса [2]. В соответствии с п. 3 ч. 4 ст. 56 УПК РФ, подозреваемый наделен правом пользоваться помощью защитника и иметь свид</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ние с ним наедине и конфиденциально до первого допроса. В ходе допроса защитник имеет право давать устные консультации своему подзащитному. Целью участия защитника в допросе обвиняемого (подозреваемого) является обеспечение проведения допроса в соо</w:t>
      </w:r>
      <w:r w:rsidRPr="00EC1A78">
        <w:rPr>
          <w:rFonts w:eastAsiaTheme="minorHAnsi"/>
          <w:color w:val="000000" w:themeColor="text1"/>
          <w:sz w:val="22"/>
          <w:szCs w:val="22"/>
          <w:lang w:eastAsia="en-US"/>
        </w:rPr>
        <w:t>т</w:t>
      </w:r>
      <w:r w:rsidRPr="00EC1A78">
        <w:rPr>
          <w:rFonts w:eastAsiaTheme="minorHAnsi"/>
          <w:color w:val="000000" w:themeColor="text1"/>
          <w:sz w:val="22"/>
          <w:szCs w:val="22"/>
          <w:lang w:eastAsia="en-US"/>
        </w:rPr>
        <w:t xml:space="preserve">ветствии с  требованиями закона. Защитник не должен допустить </w:t>
      </w:r>
      <w:r w:rsidRPr="00EC1A78">
        <w:rPr>
          <w:rFonts w:eastAsiaTheme="minorHAnsi"/>
          <w:color w:val="000000" w:themeColor="text1"/>
          <w:sz w:val="22"/>
          <w:szCs w:val="22"/>
          <w:lang w:eastAsia="en-US"/>
        </w:rPr>
        <w:lastRenderedPageBreak/>
        <w:t>применения в ходе допроса угрозы, грубого обращения, физическ</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го или психического воздействия на допрашиваемого. Защищая з</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конные интересы обвиняемого (подозреваемого), он должен сп</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собствовать выявлению достоверных фактов, оправдывающих или смягчающих его наказание.</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О времени и месте проведения допроса обвиняемого (подозр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ваемого) защитник может узнать от следователя, в случае если направил ему соответствующее ходатайство.</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При поведении допроса защитник имеет право задавать вопр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сы допрашиваемому, а также делать письменные замечания по п</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воду правильности и полноты отражения его показаний в проток</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ле. Если следователь откажется от какого–то вопроса, защитник может требовать внесения в протокол этого вопроса с указанием основания для его отвода.  В случае необходимости защитник впр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ве ходатайствовать перед следователем о прерывании допроси с целью предоставления ему свидания с обвиняемым (подозрева</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мым). Перерыв может понадобиться при возникновении конфлик</w:t>
      </w:r>
      <w:r w:rsidRPr="00EC1A78">
        <w:rPr>
          <w:rFonts w:eastAsiaTheme="minorHAnsi"/>
          <w:color w:val="000000" w:themeColor="text1"/>
          <w:sz w:val="22"/>
          <w:szCs w:val="22"/>
          <w:lang w:eastAsia="en-US"/>
        </w:rPr>
        <w:t>т</w:t>
      </w:r>
      <w:r w:rsidRPr="00EC1A78">
        <w:rPr>
          <w:rFonts w:eastAsiaTheme="minorHAnsi"/>
          <w:color w:val="000000" w:themeColor="text1"/>
          <w:sz w:val="22"/>
          <w:szCs w:val="22"/>
          <w:lang w:eastAsia="en-US"/>
        </w:rPr>
        <w:t xml:space="preserve">ной ситуации в ходе допроса. Для снятия нервного напряжения и восстановления психологического контакта со следователем могут применяться тактические приемы.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Защитник не может отвечать на вопросы вместо допрашива</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мого. В противном случае он получает сначала устное, а затем и письменное предупреждение от следователя. Если подобное не пр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кратится, допрос приостанавливается. Так как протокол подпис</w:t>
      </w:r>
      <w:r w:rsidRPr="00EC1A78">
        <w:rPr>
          <w:rFonts w:eastAsiaTheme="minorHAnsi"/>
          <w:color w:val="000000" w:themeColor="text1"/>
          <w:sz w:val="22"/>
          <w:szCs w:val="22"/>
          <w:lang w:eastAsia="en-US"/>
        </w:rPr>
        <w:t>ы</w:t>
      </w:r>
      <w:r w:rsidRPr="00EC1A78">
        <w:rPr>
          <w:rFonts w:eastAsiaTheme="minorHAnsi"/>
          <w:color w:val="000000" w:themeColor="text1"/>
          <w:sz w:val="22"/>
          <w:szCs w:val="22"/>
          <w:lang w:eastAsia="en-US"/>
        </w:rPr>
        <w:t>вают все лица, присутствующие при проведении допроса (ч. 7 ст. 190 УПК РФ), то защитник имеет право делать письменные замеч</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ния по поводу правильности и полноты отражения изложенных фактов. Полноту и правильность записей в протоколе он подтве</w:t>
      </w:r>
      <w:r w:rsidRPr="00EC1A78">
        <w:rPr>
          <w:rFonts w:eastAsiaTheme="minorHAnsi"/>
          <w:color w:val="000000" w:themeColor="text1"/>
          <w:sz w:val="22"/>
          <w:szCs w:val="22"/>
          <w:lang w:eastAsia="en-US"/>
        </w:rPr>
        <w:t>р</w:t>
      </w:r>
      <w:r w:rsidRPr="00EC1A78">
        <w:rPr>
          <w:rFonts w:eastAsiaTheme="minorHAnsi"/>
          <w:color w:val="000000" w:themeColor="text1"/>
          <w:sz w:val="22"/>
          <w:szCs w:val="22"/>
          <w:lang w:eastAsia="en-US"/>
        </w:rPr>
        <w:t>ждает своей подписью. Если по каким–то причинам защитник не укажет в протоколе на допущенные нарушения или неполноту о</w:t>
      </w:r>
      <w:r w:rsidRPr="00EC1A78">
        <w:rPr>
          <w:rFonts w:eastAsiaTheme="minorHAnsi"/>
          <w:color w:val="000000" w:themeColor="text1"/>
          <w:sz w:val="22"/>
          <w:szCs w:val="22"/>
          <w:lang w:eastAsia="en-US"/>
        </w:rPr>
        <w:t>т</w:t>
      </w:r>
      <w:r w:rsidRPr="00EC1A78">
        <w:rPr>
          <w:rFonts w:eastAsiaTheme="minorHAnsi"/>
          <w:color w:val="000000" w:themeColor="text1"/>
          <w:sz w:val="22"/>
          <w:szCs w:val="22"/>
          <w:lang w:eastAsia="en-US"/>
        </w:rPr>
        <w:t>ражённых показаний, в дальнейшем он не сможет оспаривать р</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зультаты допроса с еᴦο участием.</w:t>
      </w:r>
    </w:p>
    <w:p w:rsidR="00C86D06" w:rsidRDefault="00EC1A78" w:rsidP="002B3A7B">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Помимо допроса, адвокат может принимать участие в прои</w:t>
      </w:r>
      <w:r w:rsidRPr="00EC1A78">
        <w:rPr>
          <w:rFonts w:eastAsiaTheme="minorHAnsi"/>
          <w:color w:val="000000" w:themeColor="text1"/>
          <w:sz w:val="22"/>
          <w:szCs w:val="22"/>
          <w:lang w:eastAsia="en-US"/>
        </w:rPr>
        <w:t>з</w:t>
      </w:r>
      <w:r w:rsidRPr="00EC1A78">
        <w:rPr>
          <w:rFonts w:eastAsiaTheme="minorHAnsi"/>
          <w:color w:val="000000" w:themeColor="text1"/>
          <w:sz w:val="22"/>
          <w:szCs w:val="22"/>
          <w:lang w:eastAsia="en-US"/>
        </w:rPr>
        <w:t>водстве очной ставки. Проблема, с которой сталкиваются адвокаты, участвующие в проведении допроса и очной ставки, связана с нед</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стоверным отражением показаний в протоколе следственного де</w:t>
      </w:r>
      <w:r w:rsidRPr="00EC1A78">
        <w:rPr>
          <w:rFonts w:eastAsiaTheme="minorHAnsi"/>
          <w:color w:val="000000" w:themeColor="text1"/>
          <w:sz w:val="22"/>
          <w:szCs w:val="22"/>
          <w:lang w:eastAsia="en-US"/>
        </w:rPr>
        <w:t>й</w:t>
      </w:r>
      <w:r w:rsidRPr="00EC1A78">
        <w:rPr>
          <w:rFonts w:eastAsiaTheme="minorHAnsi"/>
          <w:color w:val="000000" w:themeColor="text1"/>
          <w:sz w:val="22"/>
          <w:szCs w:val="22"/>
          <w:lang w:eastAsia="en-US"/>
        </w:rPr>
        <w:t>ствия. Целью участия защитника в проверке показаний на месте является контроль законности ее проведения. Защитник контрол</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lastRenderedPageBreak/>
        <w:t xml:space="preserve">рует, чтобы </w:t>
      </w:r>
      <w:proofErr w:type="gramStart"/>
      <w:r w:rsidRPr="00EC1A78">
        <w:rPr>
          <w:rFonts w:eastAsiaTheme="minorHAnsi"/>
          <w:color w:val="000000" w:themeColor="text1"/>
          <w:sz w:val="22"/>
          <w:szCs w:val="22"/>
          <w:lang w:eastAsia="en-US"/>
        </w:rPr>
        <w:t>обвиняемому, подозреваемому не задавали</w:t>
      </w:r>
      <w:proofErr w:type="gramEnd"/>
      <w:r w:rsidRPr="00EC1A78">
        <w:rPr>
          <w:rFonts w:eastAsiaTheme="minorHAnsi"/>
          <w:color w:val="000000" w:themeColor="text1"/>
          <w:sz w:val="22"/>
          <w:szCs w:val="22"/>
          <w:lang w:eastAsia="en-US"/>
        </w:rPr>
        <w:t xml:space="preserve"> наводящие вопросы и не превращали проверку показаний на месте в допрос. </w:t>
      </w:r>
    </w:p>
    <w:p w:rsidR="00EC1A78" w:rsidRPr="00EC1A78" w:rsidRDefault="00EC1A78" w:rsidP="00EC1A78">
      <w:pPr>
        <w:ind w:firstLine="425"/>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1. Уголовно–процессуальный кодекс Российской Федерации от 18.12.2001 N 174–ФЗ (ред. от 19.02.2018)//</w:t>
      </w:r>
      <w:r w:rsidRPr="00EC1A78">
        <w:rPr>
          <w:sz w:val="21"/>
          <w:szCs w:val="21"/>
        </w:rPr>
        <w:t xml:space="preserve"> </w:t>
      </w:r>
      <w:r w:rsidRPr="00EC1A78">
        <w:rPr>
          <w:rFonts w:eastAsiaTheme="minorHAnsi"/>
          <w:color w:val="000000" w:themeColor="text1"/>
          <w:sz w:val="22"/>
          <w:szCs w:val="22"/>
          <w:lang w:eastAsia="en-US"/>
        </w:rPr>
        <w:t xml:space="preserve">СЗ. –2001. – № 52 (ч. I). – Ст. 4921.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2. Сапов Е.Ю. Участие адвоката– представителя свидетеля при производстве допроса и других следственных действиях, напра</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ленных на получение показаний // Вестник Самарского университ</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та. История, педагогика, филология. Рубрика: Юриспруденция. –2010. –№ 5 (79). </w:t>
      </w:r>
    </w:p>
    <w:p w:rsidR="00C86D06" w:rsidRDefault="00C86D06" w:rsidP="00EC1A78">
      <w:pPr>
        <w:jc w:val="both"/>
        <w:rPr>
          <w:rFonts w:eastAsiaTheme="minorHAnsi"/>
          <w:sz w:val="22"/>
          <w:szCs w:val="22"/>
          <w:lang w:eastAsia="en-US"/>
        </w:rPr>
      </w:pPr>
    </w:p>
    <w:p w:rsidR="002B3A7B" w:rsidRPr="00EC1A78" w:rsidRDefault="002B3A7B" w:rsidP="00EC1A78">
      <w:pPr>
        <w:jc w:val="both"/>
        <w:rPr>
          <w:rFonts w:eastAsiaTheme="minorHAnsi"/>
          <w:sz w:val="22"/>
          <w:szCs w:val="22"/>
          <w:lang w:eastAsia="en-US"/>
        </w:rPr>
      </w:pPr>
    </w:p>
    <w:p w:rsidR="00EC1A78" w:rsidRPr="00EC1A78" w:rsidRDefault="00EC1A78" w:rsidP="00EC1A78">
      <w:pPr>
        <w:tabs>
          <w:tab w:val="left" w:pos="2268"/>
        </w:tabs>
        <w:rPr>
          <w:sz w:val="22"/>
          <w:szCs w:val="22"/>
        </w:rPr>
      </w:pPr>
      <w:r w:rsidRPr="00EC1A78">
        <w:rPr>
          <w:rFonts w:eastAsia="SimSun"/>
          <w:sz w:val="22"/>
          <w:szCs w:val="22"/>
          <w:lang w:eastAsia="zh-CN"/>
        </w:rPr>
        <w:t xml:space="preserve">УДК 342.565.2 </w:t>
      </w:r>
      <w:r w:rsidRPr="00EC1A78">
        <w:rPr>
          <w:sz w:val="22"/>
          <w:szCs w:val="22"/>
        </w:rPr>
        <w:t>(470+571) (075)</w:t>
      </w:r>
    </w:p>
    <w:p w:rsidR="00EC1A78" w:rsidRPr="00EC1A78" w:rsidRDefault="00EC1A78" w:rsidP="00EC1A78">
      <w:pPr>
        <w:tabs>
          <w:tab w:val="left" w:pos="2268"/>
        </w:tabs>
        <w:jc w:val="center"/>
        <w:rPr>
          <w:rFonts w:eastAsiaTheme="minorHAnsi"/>
          <w:b/>
          <w:sz w:val="22"/>
          <w:szCs w:val="22"/>
          <w:lang w:eastAsia="en-US"/>
        </w:rPr>
      </w:pPr>
      <w:r w:rsidRPr="00EC1A78">
        <w:rPr>
          <w:rFonts w:eastAsiaTheme="minorHAnsi"/>
          <w:b/>
          <w:sz w:val="22"/>
          <w:szCs w:val="22"/>
          <w:lang w:eastAsia="en-US"/>
        </w:rPr>
        <w:t xml:space="preserve"> </w:t>
      </w:r>
    </w:p>
    <w:p w:rsidR="00EC1A78" w:rsidRPr="00EC1A78" w:rsidRDefault="00EC1A78" w:rsidP="00EC1A78">
      <w:pPr>
        <w:tabs>
          <w:tab w:val="left" w:pos="2268"/>
        </w:tabs>
        <w:jc w:val="center"/>
        <w:rPr>
          <w:rFonts w:eastAsiaTheme="minorHAnsi"/>
          <w:b/>
          <w:sz w:val="24"/>
          <w:szCs w:val="24"/>
          <w:lang w:eastAsia="en-US"/>
        </w:rPr>
      </w:pPr>
      <w:r w:rsidRPr="00EC1A78">
        <w:rPr>
          <w:rFonts w:eastAsiaTheme="minorHAnsi"/>
          <w:b/>
          <w:sz w:val="24"/>
          <w:szCs w:val="24"/>
          <w:lang w:eastAsia="en-US"/>
        </w:rPr>
        <w:t>Правовые позиции Конституционного Суда</w:t>
      </w:r>
    </w:p>
    <w:p w:rsidR="00EC1A78" w:rsidRPr="00EC1A78" w:rsidRDefault="00EC1A78" w:rsidP="00EC1A78">
      <w:pPr>
        <w:tabs>
          <w:tab w:val="left" w:pos="2268"/>
        </w:tabs>
        <w:jc w:val="center"/>
        <w:rPr>
          <w:rFonts w:eastAsiaTheme="minorHAnsi"/>
          <w:sz w:val="24"/>
          <w:szCs w:val="24"/>
          <w:lang w:eastAsia="en-US"/>
        </w:rPr>
      </w:pPr>
      <w:r w:rsidRPr="00EC1A78">
        <w:rPr>
          <w:rFonts w:eastAsiaTheme="minorHAnsi"/>
          <w:b/>
          <w:sz w:val="24"/>
          <w:szCs w:val="24"/>
          <w:lang w:eastAsia="en-US"/>
        </w:rPr>
        <w:t>Российской Федерации</w:t>
      </w:r>
    </w:p>
    <w:p w:rsidR="00EC1A78" w:rsidRPr="00EC1A78" w:rsidRDefault="00EC1A78" w:rsidP="00EC1A78">
      <w:pPr>
        <w:tabs>
          <w:tab w:val="left" w:pos="2268"/>
        </w:tabs>
        <w:jc w:val="center"/>
        <w:rPr>
          <w:rFonts w:eastAsiaTheme="minorHAnsi"/>
          <w:b/>
          <w:sz w:val="24"/>
          <w:szCs w:val="24"/>
          <w:lang w:val="en-US" w:eastAsia="en-US"/>
        </w:rPr>
      </w:pPr>
      <w:r w:rsidRPr="00EC1A78">
        <w:rPr>
          <w:rFonts w:eastAsiaTheme="minorHAnsi"/>
          <w:b/>
          <w:sz w:val="24"/>
          <w:szCs w:val="24"/>
          <w:lang w:val="en-US" w:eastAsia="en-US"/>
        </w:rPr>
        <w:t xml:space="preserve">Legal positions of the constitutional Court </w:t>
      </w:r>
      <w:r w:rsidR="00C86D06" w:rsidRPr="00C86D06">
        <w:rPr>
          <w:rFonts w:eastAsiaTheme="minorHAnsi"/>
          <w:b/>
          <w:sz w:val="24"/>
          <w:szCs w:val="24"/>
          <w:lang w:val="en-US" w:eastAsia="en-US"/>
        </w:rPr>
        <w:br/>
      </w:r>
      <w:r w:rsidRPr="00EC1A78">
        <w:rPr>
          <w:rFonts w:eastAsiaTheme="minorHAnsi"/>
          <w:b/>
          <w:sz w:val="24"/>
          <w:szCs w:val="24"/>
          <w:lang w:val="en-US" w:eastAsia="en-US"/>
        </w:rPr>
        <w:t>of the Russian Federation</w:t>
      </w:r>
    </w:p>
    <w:p w:rsidR="00EC1A78" w:rsidRPr="00EC1A78" w:rsidRDefault="00EC1A78" w:rsidP="00EC1A78">
      <w:pPr>
        <w:tabs>
          <w:tab w:val="left" w:pos="2268"/>
        </w:tabs>
        <w:jc w:val="center"/>
        <w:rPr>
          <w:sz w:val="22"/>
          <w:szCs w:val="22"/>
          <w:lang w:val="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Семенов</w:t>
      </w:r>
      <w:r w:rsidR="00F253F3">
        <w:rPr>
          <w:rFonts w:eastAsiaTheme="minorHAnsi"/>
          <w:sz w:val="22"/>
          <w:szCs w:val="22"/>
          <w:lang w:eastAsia="en-US"/>
        </w:rPr>
        <w:t xml:space="preserve"> </w:t>
      </w:r>
      <w:r w:rsidRPr="00EC1A78">
        <w:rPr>
          <w:rFonts w:eastAsiaTheme="minorHAnsi"/>
          <w:sz w:val="22"/>
          <w:szCs w:val="22"/>
          <w:lang w:eastAsia="en-US"/>
        </w:rPr>
        <w:t>Д.</w:t>
      </w:r>
      <w:r w:rsidR="00C86D06">
        <w:rPr>
          <w:rFonts w:eastAsiaTheme="minorHAnsi"/>
          <w:sz w:val="22"/>
          <w:szCs w:val="22"/>
          <w:lang w:eastAsia="en-US"/>
        </w:rPr>
        <w:t xml:space="preserve"> </w:t>
      </w:r>
      <w:r w:rsidRPr="00EC1A78">
        <w:rPr>
          <w:rFonts w:eastAsiaTheme="minorHAnsi"/>
          <w:sz w:val="22"/>
          <w:szCs w:val="22"/>
          <w:lang w:eastAsia="en-US"/>
        </w:rPr>
        <w:t>Ю,</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Бутурлина Е.</w:t>
      </w:r>
      <w:r w:rsidR="00C86D06">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доцент кафедры государственного</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 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C86D06">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723562">
      <w:pPr>
        <w:ind w:firstLine="426"/>
        <w:jc w:val="both"/>
        <w:rPr>
          <w:rFonts w:eastAsiaTheme="minorHAnsi"/>
          <w:sz w:val="22"/>
          <w:szCs w:val="22"/>
          <w:lang w:eastAsia="en-US"/>
        </w:rPr>
      </w:pPr>
      <w:r w:rsidRPr="00EC1A78">
        <w:rPr>
          <w:rFonts w:eastAsiaTheme="minorHAnsi"/>
          <w:sz w:val="22"/>
          <w:szCs w:val="22"/>
          <w:lang w:eastAsia="en-US"/>
        </w:rPr>
        <w:t>АННОТАЦИЯ: Выявлены, изучены и рассмотрены н</w:t>
      </w:r>
      <w:r w:rsidR="00723562">
        <w:rPr>
          <w:rFonts w:eastAsiaTheme="minorHAnsi"/>
          <w:sz w:val="22"/>
          <w:szCs w:val="22"/>
          <w:lang w:eastAsia="en-US"/>
        </w:rPr>
        <w:t xml:space="preserve">екоторые проблемы, связанные с </w:t>
      </w:r>
      <w:r w:rsidRPr="00EC1A78">
        <w:rPr>
          <w:rFonts w:eastAsiaTheme="minorHAnsi"/>
          <w:sz w:val="22"/>
          <w:szCs w:val="22"/>
          <w:lang w:eastAsia="en-US"/>
        </w:rPr>
        <w:t>понятием, содержанием и значением прав</w:t>
      </w:r>
      <w:r w:rsidRPr="00EC1A78">
        <w:rPr>
          <w:rFonts w:eastAsiaTheme="minorHAnsi"/>
          <w:sz w:val="22"/>
          <w:szCs w:val="22"/>
          <w:lang w:eastAsia="en-US"/>
        </w:rPr>
        <w:t>о</w:t>
      </w:r>
      <w:r w:rsidRPr="00EC1A78">
        <w:rPr>
          <w:rFonts w:eastAsiaTheme="minorHAnsi"/>
          <w:sz w:val="22"/>
          <w:szCs w:val="22"/>
          <w:lang w:eastAsia="en-US"/>
        </w:rPr>
        <w:t xml:space="preserve">вых позиций Конституционного Суда Российской Федерации. </w:t>
      </w:r>
    </w:p>
    <w:p w:rsidR="00EC1A78" w:rsidRPr="00EC1A78" w:rsidRDefault="00EC1A78" w:rsidP="00723562">
      <w:pPr>
        <w:ind w:firstLine="426"/>
        <w:jc w:val="both"/>
        <w:rPr>
          <w:rFonts w:eastAsiaTheme="minorHAnsi"/>
          <w:sz w:val="22"/>
          <w:szCs w:val="22"/>
          <w:lang w:val="en-US" w:eastAsia="en-US"/>
        </w:rPr>
      </w:pPr>
      <w:r w:rsidRPr="00EC1A78">
        <w:rPr>
          <w:rFonts w:eastAsiaTheme="minorHAnsi"/>
          <w:sz w:val="22"/>
          <w:szCs w:val="22"/>
          <w:lang w:val="en-US" w:eastAsia="en-US"/>
        </w:rPr>
        <w:t>ABSTRACT: Some problems related to the concept, content and significance of legal positions of the constitutional Court of the Russian Federation are revealed, studied and considered.</w:t>
      </w:r>
    </w:p>
    <w:p w:rsidR="00EC1A78" w:rsidRPr="00EC1A78" w:rsidRDefault="00EC1A78" w:rsidP="00723562">
      <w:pPr>
        <w:ind w:firstLine="426"/>
        <w:jc w:val="both"/>
        <w:rPr>
          <w:rFonts w:eastAsiaTheme="minorHAnsi"/>
          <w:sz w:val="22"/>
          <w:szCs w:val="22"/>
          <w:lang w:eastAsia="en-US"/>
        </w:rPr>
      </w:pPr>
      <w:r w:rsidRPr="00EC1A78">
        <w:rPr>
          <w:rFonts w:eastAsiaTheme="minorHAnsi"/>
          <w:sz w:val="22"/>
          <w:szCs w:val="22"/>
          <w:lang w:eastAsia="en-US"/>
        </w:rPr>
        <w:t>КЛЮЧЕВЫЕ СЛОВА: Конституционный Суд Российской Ф</w:t>
      </w:r>
      <w:r w:rsidRPr="00EC1A78">
        <w:rPr>
          <w:rFonts w:eastAsiaTheme="minorHAnsi"/>
          <w:sz w:val="22"/>
          <w:szCs w:val="22"/>
          <w:lang w:eastAsia="en-US"/>
        </w:rPr>
        <w:t>е</w:t>
      </w:r>
      <w:r w:rsidRPr="00EC1A78">
        <w:rPr>
          <w:rFonts w:eastAsiaTheme="minorHAnsi"/>
          <w:sz w:val="22"/>
          <w:szCs w:val="22"/>
          <w:lang w:eastAsia="en-US"/>
        </w:rPr>
        <w:t>дерации, правовые позиции Конституционного Суда Российской Федерации, судебная власть, судебная система.</w:t>
      </w:r>
    </w:p>
    <w:p w:rsidR="00EC1A78" w:rsidRPr="00EC1A78" w:rsidRDefault="00EC1A78" w:rsidP="00723562">
      <w:pPr>
        <w:ind w:firstLine="426"/>
        <w:jc w:val="both"/>
        <w:rPr>
          <w:rFonts w:eastAsiaTheme="minorHAnsi"/>
          <w:sz w:val="22"/>
          <w:szCs w:val="22"/>
          <w:lang w:val="en-US" w:eastAsia="en-US"/>
        </w:rPr>
      </w:pPr>
      <w:r w:rsidRPr="00EC1A78">
        <w:rPr>
          <w:rFonts w:eastAsiaTheme="minorHAnsi"/>
          <w:sz w:val="22"/>
          <w:szCs w:val="22"/>
          <w:lang w:val="en-US" w:eastAsia="en-US"/>
        </w:rPr>
        <w:lastRenderedPageBreak/>
        <w:t>KEY WORDS: Constitutional Court of the Russian Federation, l</w:t>
      </w:r>
      <w:r w:rsidRPr="00EC1A78">
        <w:rPr>
          <w:rFonts w:eastAsiaTheme="minorHAnsi"/>
          <w:sz w:val="22"/>
          <w:szCs w:val="22"/>
          <w:lang w:val="en-US" w:eastAsia="en-US"/>
        </w:rPr>
        <w:t>e</w:t>
      </w:r>
      <w:r w:rsidRPr="00EC1A78">
        <w:rPr>
          <w:rFonts w:eastAsiaTheme="minorHAnsi"/>
          <w:sz w:val="22"/>
          <w:szCs w:val="22"/>
          <w:lang w:val="en-US" w:eastAsia="en-US"/>
        </w:rPr>
        <w:t>gal positions of the constitutional Court of the Russian Federation, jud</w:t>
      </w:r>
      <w:r w:rsidRPr="00EC1A78">
        <w:rPr>
          <w:rFonts w:eastAsiaTheme="minorHAnsi"/>
          <w:sz w:val="22"/>
          <w:szCs w:val="22"/>
          <w:lang w:val="en-US" w:eastAsia="en-US"/>
        </w:rPr>
        <w:t>i</w:t>
      </w:r>
      <w:r w:rsidRPr="00EC1A78">
        <w:rPr>
          <w:rFonts w:eastAsiaTheme="minorHAnsi"/>
          <w:sz w:val="22"/>
          <w:szCs w:val="22"/>
          <w:lang w:val="en-US" w:eastAsia="en-US"/>
        </w:rPr>
        <w:t>cial power, judicial system.</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Конституционный Суд Российской Федерации представляет собой орган судебной власти, который несомненно занимает важное место в судебной системе России наравне с Верховным Судом Ро</w:t>
      </w:r>
      <w:r w:rsidRPr="00EC1A78">
        <w:rPr>
          <w:rFonts w:eastAsiaTheme="minorHAnsi"/>
          <w:sz w:val="22"/>
          <w:szCs w:val="22"/>
          <w:lang w:eastAsia="en-US"/>
        </w:rPr>
        <w:t>с</w:t>
      </w:r>
      <w:r w:rsidRPr="00EC1A78">
        <w:rPr>
          <w:rFonts w:eastAsiaTheme="minorHAnsi"/>
          <w:sz w:val="22"/>
          <w:szCs w:val="22"/>
          <w:lang w:eastAsia="en-US"/>
        </w:rPr>
        <w:t>сийской Федерации. Вместе с тем Конституционный Суд не являе</w:t>
      </w:r>
      <w:r w:rsidRPr="00EC1A78">
        <w:rPr>
          <w:rFonts w:eastAsiaTheme="minorHAnsi"/>
          <w:sz w:val="22"/>
          <w:szCs w:val="22"/>
          <w:lang w:eastAsia="en-US"/>
        </w:rPr>
        <w:t>т</w:t>
      </w:r>
      <w:r w:rsidRPr="00EC1A78">
        <w:rPr>
          <w:rFonts w:eastAsiaTheme="minorHAnsi"/>
          <w:sz w:val="22"/>
          <w:szCs w:val="22"/>
          <w:lang w:eastAsia="en-US"/>
        </w:rPr>
        <w:t>ся высшим судебным органом. Но его особое место обусловлено не только тем, что он обеспечивает на всей территории Российской Федерации режим конституционной законности, но и оказывает огромное влияние на правотворчество и правоприменение в соо</w:t>
      </w:r>
      <w:r w:rsidRPr="00EC1A78">
        <w:rPr>
          <w:rFonts w:eastAsiaTheme="minorHAnsi"/>
          <w:sz w:val="22"/>
          <w:szCs w:val="22"/>
          <w:lang w:eastAsia="en-US"/>
        </w:rPr>
        <w:t>т</w:t>
      </w:r>
      <w:r w:rsidRPr="00EC1A78">
        <w:rPr>
          <w:rFonts w:eastAsiaTheme="minorHAnsi"/>
          <w:sz w:val="22"/>
          <w:szCs w:val="22"/>
          <w:lang w:eastAsia="en-US"/>
        </w:rPr>
        <w:t>ветстви</w:t>
      </w:r>
      <w:r w:rsidR="00723562">
        <w:rPr>
          <w:rFonts w:eastAsiaTheme="minorHAnsi"/>
          <w:sz w:val="22"/>
          <w:szCs w:val="22"/>
          <w:lang w:eastAsia="en-US"/>
        </w:rPr>
        <w:t>и с Основным законом. Благодаря</w:t>
      </w:r>
      <w:r w:rsidRPr="00EC1A78">
        <w:rPr>
          <w:rFonts w:eastAsiaTheme="minorHAnsi"/>
          <w:sz w:val="22"/>
          <w:szCs w:val="22"/>
          <w:lang w:eastAsia="en-US"/>
        </w:rPr>
        <w:t xml:space="preserve"> ему органы законод</w:t>
      </w:r>
      <w:r w:rsidRPr="00EC1A78">
        <w:rPr>
          <w:rFonts w:eastAsiaTheme="minorHAnsi"/>
          <w:sz w:val="22"/>
          <w:szCs w:val="22"/>
          <w:lang w:eastAsia="en-US"/>
        </w:rPr>
        <w:t>а</w:t>
      </w:r>
      <w:r w:rsidRPr="00EC1A78">
        <w:rPr>
          <w:rFonts w:eastAsiaTheme="minorHAnsi"/>
          <w:sz w:val="22"/>
          <w:szCs w:val="22"/>
          <w:lang w:eastAsia="en-US"/>
        </w:rPr>
        <w:t>тельной и исполнительной власти, а также местного самоуправл</w:t>
      </w:r>
      <w:r w:rsidRPr="00EC1A78">
        <w:rPr>
          <w:rFonts w:eastAsiaTheme="minorHAnsi"/>
          <w:sz w:val="22"/>
          <w:szCs w:val="22"/>
          <w:lang w:eastAsia="en-US"/>
        </w:rPr>
        <w:t>е</w:t>
      </w:r>
      <w:r w:rsidRPr="00EC1A78">
        <w:rPr>
          <w:rFonts w:eastAsiaTheme="minorHAnsi"/>
          <w:sz w:val="22"/>
          <w:szCs w:val="22"/>
          <w:lang w:eastAsia="en-US"/>
        </w:rPr>
        <w:t>ния находятся в рамках Конституции Российской Федерации. Да</w:t>
      </w:r>
      <w:r w:rsidRPr="00EC1A78">
        <w:rPr>
          <w:rFonts w:eastAsiaTheme="minorHAnsi"/>
          <w:sz w:val="22"/>
          <w:szCs w:val="22"/>
          <w:lang w:eastAsia="en-US"/>
        </w:rPr>
        <w:t>н</w:t>
      </w:r>
      <w:r w:rsidRPr="00EC1A78">
        <w:rPr>
          <w:rFonts w:eastAsiaTheme="minorHAnsi"/>
          <w:sz w:val="22"/>
          <w:szCs w:val="22"/>
          <w:lang w:eastAsia="en-US"/>
        </w:rPr>
        <w:t>ный суд осуществляет правотворчество в особых, неповторимых, свойственных только ему формах, а его постановления, имеющие необычные правовые свойства, играют более важную роль, чем иные судебные решения.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Основной задачей Конституционного Суда РФ является опр</w:t>
      </w:r>
      <w:r w:rsidRPr="00EC1A78">
        <w:rPr>
          <w:rFonts w:eastAsiaTheme="minorHAnsi"/>
          <w:sz w:val="22"/>
          <w:szCs w:val="22"/>
          <w:lang w:eastAsia="en-US"/>
        </w:rPr>
        <w:t>е</w:t>
      </w:r>
      <w:r w:rsidRPr="00EC1A78">
        <w:rPr>
          <w:rFonts w:eastAsiaTheme="minorHAnsi"/>
          <w:sz w:val="22"/>
          <w:szCs w:val="22"/>
          <w:lang w:eastAsia="en-US"/>
        </w:rPr>
        <w:t>деление конституционности нормативных правовых актов, а также их отдельных статей. Осуществляя проверку конституционности нормативных правовых актов, занимаясь толкованием Конституции Российской Федерации, разрешая споры о компетенции, а также осуществляя иные различные функции, Конституционный Суд Ро</w:t>
      </w:r>
      <w:r w:rsidRPr="00EC1A78">
        <w:rPr>
          <w:rFonts w:eastAsiaTheme="minorHAnsi"/>
          <w:sz w:val="22"/>
          <w:szCs w:val="22"/>
          <w:lang w:eastAsia="en-US"/>
        </w:rPr>
        <w:t>с</w:t>
      </w:r>
      <w:r w:rsidRPr="00EC1A78">
        <w:rPr>
          <w:rFonts w:eastAsiaTheme="minorHAnsi"/>
          <w:sz w:val="22"/>
          <w:szCs w:val="22"/>
          <w:lang w:eastAsia="en-US"/>
        </w:rPr>
        <w:t>сийской Федерации формирует правовые позиции. Но в тоже время российские исследователи юридической науки и практики так и не пришли к единому мнению касательно определения термина «пр</w:t>
      </w:r>
      <w:r w:rsidRPr="00EC1A78">
        <w:rPr>
          <w:rFonts w:eastAsiaTheme="minorHAnsi"/>
          <w:sz w:val="22"/>
          <w:szCs w:val="22"/>
          <w:lang w:eastAsia="en-US"/>
        </w:rPr>
        <w:t>а</w:t>
      </w:r>
      <w:r w:rsidRPr="00EC1A78">
        <w:rPr>
          <w:rFonts w:eastAsiaTheme="minorHAnsi"/>
          <w:sz w:val="22"/>
          <w:szCs w:val="22"/>
          <w:lang w:eastAsia="en-US"/>
        </w:rPr>
        <w:t>вовые позиции Конституционного Суда». Единственное в чем с</w:t>
      </w:r>
      <w:r w:rsidRPr="00EC1A78">
        <w:rPr>
          <w:rFonts w:eastAsiaTheme="minorHAnsi"/>
          <w:sz w:val="22"/>
          <w:szCs w:val="22"/>
          <w:lang w:eastAsia="en-US"/>
        </w:rPr>
        <w:t>о</w:t>
      </w:r>
      <w:r w:rsidRPr="00EC1A78">
        <w:rPr>
          <w:rFonts w:eastAsiaTheme="minorHAnsi"/>
          <w:sz w:val="22"/>
          <w:szCs w:val="22"/>
          <w:lang w:eastAsia="en-US"/>
        </w:rPr>
        <w:t>шлись взгляды, ученых, так это в том, что правовая позиция и с</w:t>
      </w:r>
      <w:r w:rsidRPr="00EC1A78">
        <w:rPr>
          <w:rFonts w:eastAsiaTheme="minorHAnsi"/>
          <w:sz w:val="22"/>
          <w:szCs w:val="22"/>
          <w:lang w:eastAsia="en-US"/>
        </w:rPr>
        <w:t>у</w:t>
      </w:r>
      <w:r w:rsidRPr="00EC1A78">
        <w:rPr>
          <w:rFonts w:eastAsiaTheme="minorHAnsi"/>
          <w:sz w:val="22"/>
          <w:szCs w:val="22"/>
          <w:lang w:eastAsia="en-US"/>
        </w:rPr>
        <w:t>дебное решение Конституционного Суда – это не тождественные термины.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Такие выводы можно получить исходя из законодательства Российской Федерации, а именно из Федерального конституцио</w:t>
      </w:r>
      <w:r w:rsidRPr="00EC1A78">
        <w:rPr>
          <w:rFonts w:eastAsiaTheme="minorHAnsi"/>
          <w:sz w:val="22"/>
          <w:szCs w:val="22"/>
          <w:lang w:eastAsia="en-US"/>
        </w:rPr>
        <w:t>н</w:t>
      </w:r>
      <w:r w:rsidRPr="00EC1A78">
        <w:rPr>
          <w:rFonts w:eastAsiaTheme="minorHAnsi"/>
          <w:sz w:val="22"/>
          <w:szCs w:val="22"/>
          <w:lang w:eastAsia="en-US"/>
        </w:rPr>
        <w:t>ного закона «О Конституционном Суде Российской Федерации», в статье 29 которого говорится, что постановления, решения, а также иные акты Конституционного Суда Российской Федерации выр</w:t>
      </w:r>
      <w:r w:rsidRPr="00EC1A78">
        <w:rPr>
          <w:rFonts w:eastAsiaTheme="minorHAnsi"/>
          <w:sz w:val="22"/>
          <w:szCs w:val="22"/>
          <w:lang w:eastAsia="en-US"/>
        </w:rPr>
        <w:t>а</w:t>
      </w:r>
      <w:r w:rsidRPr="00EC1A78">
        <w:rPr>
          <w:rFonts w:eastAsiaTheme="minorHAnsi"/>
          <w:sz w:val="22"/>
          <w:szCs w:val="22"/>
          <w:lang w:eastAsia="en-US"/>
        </w:rPr>
        <w:t>жают соответствующую Конституции Российской Федерации пр</w:t>
      </w:r>
      <w:r w:rsidRPr="00EC1A78">
        <w:rPr>
          <w:rFonts w:eastAsiaTheme="minorHAnsi"/>
          <w:sz w:val="22"/>
          <w:szCs w:val="22"/>
          <w:lang w:eastAsia="en-US"/>
        </w:rPr>
        <w:t>а</w:t>
      </w:r>
      <w:r w:rsidRPr="00EC1A78">
        <w:rPr>
          <w:rFonts w:eastAsiaTheme="minorHAnsi"/>
          <w:sz w:val="22"/>
          <w:szCs w:val="22"/>
          <w:lang w:eastAsia="en-US"/>
        </w:rPr>
        <w:lastRenderedPageBreak/>
        <w:t>вовую позицию судей, свободную от политических пристрастий [1]. Проблемы, связанные с правовыми позициями Конституционного Суда Российской Федерации представляют интерес для большого числа ученых и часто является предметом дискуссий. Также хот</w:t>
      </w:r>
      <w:r w:rsidRPr="00EC1A78">
        <w:rPr>
          <w:rFonts w:eastAsiaTheme="minorHAnsi"/>
          <w:sz w:val="22"/>
          <w:szCs w:val="22"/>
          <w:lang w:eastAsia="en-US"/>
        </w:rPr>
        <w:t>е</w:t>
      </w:r>
      <w:r w:rsidRPr="00EC1A78">
        <w:rPr>
          <w:rFonts w:eastAsiaTheme="minorHAnsi"/>
          <w:sz w:val="22"/>
          <w:szCs w:val="22"/>
          <w:lang w:eastAsia="en-US"/>
        </w:rPr>
        <w:t>лось бы отметить, что каждый исследователь по–своему понимает понятие «правовая позиция». Например, Н.С.Волкова и Т.Я. Хабр</w:t>
      </w:r>
      <w:r w:rsidRPr="00EC1A78">
        <w:rPr>
          <w:rFonts w:eastAsiaTheme="minorHAnsi"/>
          <w:sz w:val="22"/>
          <w:szCs w:val="22"/>
          <w:lang w:eastAsia="en-US"/>
        </w:rPr>
        <w:t>и</w:t>
      </w:r>
      <w:r w:rsidRPr="00EC1A78">
        <w:rPr>
          <w:rFonts w:eastAsiaTheme="minorHAnsi"/>
          <w:sz w:val="22"/>
          <w:szCs w:val="22"/>
          <w:lang w:eastAsia="en-US"/>
        </w:rPr>
        <w:t>ева понимают правовую позицию, как результат деятельности Суда по осуществлению толкования конституционных положений и с</w:t>
      </w:r>
      <w:r w:rsidRPr="00EC1A78">
        <w:rPr>
          <w:rFonts w:eastAsiaTheme="minorHAnsi"/>
          <w:sz w:val="22"/>
          <w:szCs w:val="22"/>
          <w:lang w:eastAsia="en-US"/>
        </w:rPr>
        <w:t>о</w:t>
      </w:r>
      <w:r w:rsidRPr="00EC1A78">
        <w:rPr>
          <w:rFonts w:eastAsiaTheme="minorHAnsi"/>
          <w:sz w:val="22"/>
          <w:szCs w:val="22"/>
          <w:lang w:eastAsia="en-US"/>
        </w:rPr>
        <w:t>относимых правовых норм, отражающий аргументированные су</w:t>
      </w:r>
      <w:r w:rsidRPr="00EC1A78">
        <w:rPr>
          <w:rFonts w:eastAsiaTheme="minorHAnsi"/>
          <w:sz w:val="22"/>
          <w:szCs w:val="22"/>
          <w:lang w:eastAsia="en-US"/>
        </w:rPr>
        <w:t>ж</w:t>
      </w:r>
      <w:r w:rsidRPr="00EC1A78">
        <w:rPr>
          <w:rFonts w:eastAsiaTheme="minorHAnsi"/>
          <w:sz w:val="22"/>
          <w:szCs w:val="22"/>
          <w:lang w:eastAsia="en-US"/>
        </w:rPr>
        <w:t>дения и выводы Суда по конкретным конституционно–правовым проблемам, из которых Суд исходит в решениях [3]. Совсем иное мнение имеет Н. С. Бондарь. Автор считает, что это аргументир</w:t>
      </w:r>
      <w:r w:rsidRPr="00EC1A78">
        <w:rPr>
          <w:rFonts w:eastAsiaTheme="minorHAnsi"/>
          <w:sz w:val="22"/>
          <w:szCs w:val="22"/>
          <w:lang w:eastAsia="en-US"/>
        </w:rPr>
        <w:t>о</w:t>
      </w:r>
      <w:r w:rsidRPr="00EC1A78">
        <w:rPr>
          <w:rFonts w:eastAsiaTheme="minorHAnsi"/>
          <w:sz w:val="22"/>
          <w:szCs w:val="22"/>
          <w:lang w:eastAsia="en-US"/>
        </w:rPr>
        <w:t>ванные, получающие обоснование в процедуре конституционного правосудия оценки и интерпретационные представления по вопр</w:t>
      </w:r>
      <w:r w:rsidRPr="00EC1A78">
        <w:rPr>
          <w:rFonts w:eastAsiaTheme="minorHAnsi"/>
          <w:sz w:val="22"/>
          <w:szCs w:val="22"/>
          <w:lang w:eastAsia="en-US"/>
        </w:rPr>
        <w:t>о</w:t>
      </w:r>
      <w:r w:rsidRPr="00EC1A78">
        <w:rPr>
          <w:rFonts w:eastAsiaTheme="minorHAnsi"/>
          <w:sz w:val="22"/>
          <w:szCs w:val="22"/>
          <w:lang w:eastAsia="en-US"/>
        </w:rPr>
        <w:t>сам права в рамках решения Конституционного Суда РФ, принятого по итогам рассмотрения конкретного дела [2]. Считаем, что данное понятие можно назвать наиболее верным, поскольку его автор явл</w:t>
      </w:r>
      <w:r w:rsidRPr="00EC1A78">
        <w:rPr>
          <w:rFonts w:eastAsiaTheme="minorHAnsi"/>
          <w:sz w:val="22"/>
          <w:szCs w:val="22"/>
          <w:lang w:eastAsia="en-US"/>
        </w:rPr>
        <w:t>я</w:t>
      </w:r>
      <w:r w:rsidRPr="00EC1A78">
        <w:rPr>
          <w:rFonts w:eastAsiaTheme="minorHAnsi"/>
          <w:sz w:val="22"/>
          <w:szCs w:val="22"/>
          <w:lang w:eastAsia="en-US"/>
        </w:rPr>
        <w:t>ется судьей Конституционного Суда Российской Федерации. Пр</w:t>
      </w:r>
      <w:r w:rsidRPr="00EC1A78">
        <w:rPr>
          <w:rFonts w:eastAsiaTheme="minorHAnsi"/>
          <w:sz w:val="22"/>
          <w:szCs w:val="22"/>
          <w:lang w:eastAsia="en-US"/>
        </w:rPr>
        <w:t>о</w:t>
      </w:r>
      <w:r w:rsidRPr="00EC1A78">
        <w:rPr>
          <w:rFonts w:eastAsiaTheme="minorHAnsi"/>
          <w:sz w:val="22"/>
          <w:szCs w:val="22"/>
          <w:lang w:eastAsia="en-US"/>
        </w:rPr>
        <w:t>анализировав все выше перечисленные позиции отечественных и</w:t>
      </w:r>
      <w:r w:rsidRPr="00EC1A78">
        <w:rPr>
          <w:rFonts w:eastAsiaTheme="minorHAnsi"/>
          <w:sz w:val="22"/>
          <w:szCs w:val="22"/>
          <w:lang w:eastAsia="en-US"/>
        </w:rPr>
        <w:t>с</w:t>
      </w:r>
      <w:r w:rsidRPr="00EC1A78">
        <w:rPr>
          <w:rFonts w:eastAsiaTheme="minorHAnsi"/>
          <w:sz w:val="22"/>
          <w:szCs w:val="22"/>
          <w:lang w:eastAsia="en-US"/>
        </w:rPr>
        <w:t>следователей по заявленной теме, можно прийти к следующему в</w:t>
      </w:r>
      <w:r w:rsidRPr="00EC1A78">
        <w:rPr>
          <w:rFonts w:eastAsiaTheme="minorHAnsi"/>
          <w:sz w:val="22"/>
          <w:szCs w:val="22"/>
          <w:lang w:eastAsia="en-US"/>
        </w:rPr>
        <w:t>ы</w:t>
      </w:r>
      <w:r w:rsidRPr="00EC1A78">
        <w:rPr>
          <w:rFonts w:eastAsiaTheme="minorHAnsi"/>
          <w:sz w:val="22"/>
          <w:szCs w:val="22"/>
          <w:lang w:eastAsia="en-US"/>
        </w:rPr>
        <w:t>воду: все эти понятия имеют схожие черты, а именно — результ</w:t>
      </w:r>
      <w:r w:rsidRPr="00EC1A78">
        <w:rPr>
          <w:rFonts w:eastAsiaTheme="minorHAnsi"/>
          <w:sz w:val="22"/>
          <w:szCs w:val="22"/>
          <w:lang w:eastAsia="en-US"/>
        </w:rPr>
        <w:t>а</w:t>
      </w:r>
      <w:r w:rsidRPr="00EC1A78">
        <w:rPr>
          <w:rFonts w:eastAsiaTheme="minorHAnsi"/>
          <w:sz w:val="22"/>
          <w:szCs w:val="22"/>
          <w:lang w:eastAsia="en-US"/>
        </w:rPr>
        <w:t>том толкования Конституционным Судом конституционно–правовых норм являются выводы общего характера; логическое, правовое обоснование конечного вывода; система взглядов Конст</w:t>
      </w:r>
      <w:r w:rsidRPr="00EC1A78">
        <w:rPr>
          <w:rFonts w:eastAsiaTheme="minorHAnsi"/>
          <w:sz w:val="22"/>
          <w:szCs w:val="22"/>
          <w:lang w:eastAsia="en-US"/>
        </w:rPr>
        <w:t>и</w:t>
      </w:r>
      <w:r w:rsidRPr="00EC1A78">
        <w:rPr>
          <w:rFonts w:eastAsiaTheme="minorHAnsi"/>
          <w:sz w:val="22"/>
          <w:szCs w:val="22"/>
          <w:lang w:eastAsia="en-US"/>
        </w:rPr>
        <w:t>туционного Суда Российской Федерации на решаемую проблему.</w:t>
      </w:r>
    </w:p>
    <w:p w:rsidR="002B3A7B" w:rsidRPr="00EC1A78" w:rsidRDefault="00EC1A78" w:rsidP="002B3A7B">
      <w:pPr>
        <w:ind w:firstLine="426"/>
        <w:jc w:val="both"/>
        <w:rPr>
          <w:rFonts w:eastAsiaTheme="minorHAnsi"/>
          <w:sz w:val="22"/>
          <w:szCs w:val="22"/>
          <w:lang w:eastAsia="en-US"/>
        </w:rPr>
      </w:pPr>
      <w:proofErr w:type="gramStart"/>
      <w:r w:rsidRPr="00EC1A78">
        <w:rPr>
          <w:rFonts w:eastAsiaTheme="minorHAnsi"/>
          <w:sz w:val="22"/>
          <w:szCs w:val="22"/>
          <w:lang w:eastAsia="en-US"/>
        </w:rPr>
        <w:t>Из этого следует, что правовыми позициями Конституционного Суда Российской Федерации являются различные положения, я</w:t>
      </w:r>
      <w:r w:rsidRPr="00EC1A78">
        <w:rPr>
          <w:rFonts w:eastAsiaTheme="minorHAnsi"/>
          <w:sz w:val="22"/>
          <w:szCs w:val="22"/>
          <w:lang w:eastAsia="en-US"/>
        </w:rPr>
        <w:t>в</w:t>
      </w:r>
      <w:r w:rsidRPr="00EC1A78">
        <w:rPr>
          <w:rFonts w:eastAsiaTheme="minorHAnsi"/>
          <w:sz w:val="22"/>
          <w:szCs w:val="22"/>
          <w:lang w:eastAsia="en-US"/>
        </w:rPr>
        <w:t>ляющиеся выводами из постановлений Конституционного Суда, разъясняющие и уточняющие статьи Конституции Российской Ф</w:t>
      </w:r>
      <w:r w:rsidRPr="00EC1A78">
        <w:rPr>
          <w:rFonts w:eastAsiaTheme="minorHAnsi"/>
          <w:sz w:val="22"/>
          <w:szCs w:val="22"/>
          <w:lang w:eastAsia="en-US"/>
        </w:rPr>
        <w:t>е</w:t>
      </w:r>
      <w:r w:rsidRPr="00EC1A78">
        <w:rPr>
          <w:rFonts w:eastAsiaTheme="minorHAnsi"/>
          <w:sz w:val="22"/>
          <w:szCs w:val="22"/>
          <w:lang w:eastAsia="en-US"/>
        </w:rPr>
        <w:t>дерации, определяющие конституционный смысл различных пол</w:t>
      </w:r>
      <w:r w:rsidRPr="00EC1A78">
        <w:rPr>
          <w:rFonts w:eastAsiaTheme="minorHAnsi"/>
          <w:sz w:val="22"/>
          <w:szCs w:val="22"/>
          <w:lang w:eastAsia="en-US"/>
        </w:rPr>
        <w:t>о</w:t>
      </w:r>
      <w:r w:rsidRPr="00EC1A78">
        <w:rPr>
          <w:rFonts w:eastAsiaTheme="minorHAnsi"/>
          <w:sz w:val="22"/>
          <w:szCs w:val="22"/>
          <w:lang w:eastAsia="en-US"/>
        </w:rPr>
        <w:t>жений нормативных правовых актов в пределах компетенции Ко</w:t>
      </w:r>
      <w:r w:rsidRPr="00EC1A78">
        <w:rPr>
          <w:rFonts w:eastAsiaTheme="minorHAnsi"/>
          <w:sz w:val="22"/>
          <w:szCs w:val="22"/>
          <w:lang w:eastAsia="en-US"/>
        </w:rPr>
        <w:t>н</w:t>
      </w:r>
      <w:r w:rsidRPr="00EC1A78">
        <w:rPr>
          <w:rFonts w:eastAsiaTheme="minorHAnsi"/>
          <w:sz w:val="22"/>
          <w:szCs w:val="22"/>
          <w:lang w:eastAsia="en-US"/>
        </w:rPr>
        <w:t>ституционного Суда.</w:t>
      </w:r>
      <w:proofErr w:type="gramEnd"/>
    </w:p>
    <w:p w:rsidR="00EC1A78" w:rsidRPr="00EC1A78" w:rsidRDefault="00EC1A78" w:rsidP="00EC1A78">
      <w:pPr>
        <w:ind w:firstLine="426"/>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rPr>
          <w:rFonts w:eastAsiaTheme="minorHAnsi"/>
          <w:sz w:val="22"/>
          <w:szCs w:val="22"/>
          <w:lang w:eastAsia="en-US"/>
        </w:rPr>
      </w:pPr>
      <w:r w:rsidRPr="00EC1A78">
        <w:rPr>
          <w:rFonts w:eastAsiaTheme="minorHAnsi"/>
          <w:sz w:val="22"/>
          <w:szCs w:val="22"/>
          <w:lang w:eastAsia="en-US"/>
        </w:rPr>
        <w:t>1. О Конституционном Суде Российской Федерации : федер. конст. закон от 21.07.1994 № 1–ФКЗ (в ред. от 28.12.2016) // СЗ РФ. –1994. – № 13. – Ст. 1447; http://www.pravo.gov.ru – 29.12.2016.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2.Бондарь Н. С. Власть и свобода на весах конституционного правосудия: защита прав человека Конституционным Судом Ро</w:t>
      </w:r>
      <w:r w:rsidRPr="00EC1A78">
        <w:rPr>
          <w:rFonts w:eastAsiaTheme="minorHAnsi"/>
          <w:sz w:val="22"/>
          <w:szCs w:val="22"/>
          <w:lang w:eastAsia="en-US"/>
        </w:rPr>
        <w:t>с</w:t>
      </w:r>
      <w:r w:rsidRPr="00EC1A78">
        <w:rPr>
          <w:rFonts w:eastAsiaTheme="minorHAnsi"/>
          <w:sz w:val="22"/>
          <w:szCs w:val="22"/>
          <w:lang w:eastAsia="en-US"/>
        </w:rPr>
        <w:t xml:space="preserve">сийской Федерации. М.: Юстицинформ, 2011.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3.Волкова Н. С., Хабриева Т. Я. Правовые позиции Констит</w:t>
      </w:r>
      <w:r w:rsidRPr="00EC1A78">
        <w:rPr>
          <w:rFonts w:eastAsiaTheme="minorHAnsi"/>
          <w:sz w:val="22"/>
          <w:szCs w:val="22"/>
          <w:lang w:eastAsia="en-US"/>
        </w:rPr>
        <w:t>у</w:t>
      </w:r>
      <w:r w:rsidRPr="00EC1A78">
        <w:rPr>
          <w:rFonts w:eastAsiaTheme="minorHAnsi"/>
          <w:sz w:val="22"/>
          <w:szCs w:val="22"/>
          <w:lang w:eastAsia="en-US"/>
        </w:rPr>
        <w:t xml:space="preserve">ционного Суда Российской Федерации и парламент. М.: Норма, 2013.  </w:t>
      </w:r>
    </w:p>
    <w:p w:rsidR="00EC1A78" w:rsidRDefault="00EC1A78" w:rsidP="00EC1A78">
      <w:pPr>
        <w:jc w:val="both"/>
        <w:rPr>
          <w:rFonts w:eastAsiaTheme="minorHAnsi"/>
          <w:sz w:val="22"/>
          <w:szCs w:val="22"/>
          <w:lang w:eastAsia="en-US"/>
        </w:rPr>
      </w:pPr>
    </w:p>
    <w:p w:rsidR="00723562" w:rsidRPr="00EC1A78" w:rsidRDefault="00723562" w:rsidP="00F253F3">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343.985.2</w:t>
      </w:r>
    </w:p>
    <w:p w:rsidR="00EC1A78" w:rsidRPr="00EC1A78" w:rsidRDefault="00EC1A78" w:rsidP="00EC1A78">
      <w:pPr>
        <w:jc w:val="center"/>
        <w:rPr>
          <w:rFonts w:eastAsiaTheme="minorHAnsi"/>
          <w:sz w:val="20"/>
          <w:szCs w:val="22"/>
          <w:lang w:eastAsia="en-US"/>
        </w:rPr>
      </w:pPr>
    </w:p>
    <w:p w:rsidR="00EC1A78" w:rsidRPr="00F253F3" w:rsidRDefault="00EC1A78" w:rsidP="00EC1A78">
      <w:pPr>
        <w:jc w:val="center"/>
        <w:rPr>
          <w:rFonts w:eastAsiaTheme="minorHAnsi"/>
          <w:b/>
          <w:sz w:val="24"/>
          <w:szCs w:val="24"/>
          <w:lang w:eastAsia="en-US"/>
        </w:rPr>
      </w:pPr>
      <w:r w:rsidRPr="00F253F3">
        <w:rPr>
          <w:rFonts w:eastAsiaTheme="minorHAnsi"/>
          <w:b/>
          <w:sz w:val="24"/>
          <w:szCs w:val="24"/>
          <w:lang w:eastAsia="en-US"/>
        </w:rPr>
        <w:t>Проблемы назначения и исполнения наказания в виде</w:t>
      </w:r>
    </w:p>
    <w:p w:rsidR="00EC1A78" w:rsidRPr="00F253F3" w:rsidRDefault="00EC1A78" w:rsidP="00EC1A78">
      <w:pPr>
        <w:jc w:val="center"/>
        <w:rPr>
          <w:rFonts w:eastAsiaTheme="minorHAnsi"/>
          <w:b/>
          <w:sz w:val="24"/>
          <w:szCs w:val="24"/>
          <w:lang w:eastAsia="en-US"/>
        </w:rPr>
      </w:pPr>
      <w:r w:rsidRPr="00F253F3">
        <w:rPr>
          <w:rFonts w:eastAsiaTheme="minorHAnsi"/>
          <w:b/>
          <w:sz w:val="24"/>
          <w:szCs w:val="24"/>
          <w:lang w:eastAsia="en-US"/>
        </w:rPr>
        <w:t xml:space="preserve"> исправительных работ</w:t>
      </w:r>
    </w:p>
    <w:p w:rsidR="00EC1A78" w:rsidRPr="00EC1A78" w:rsidRDefault="00EC1A78" w:rsidP="00EC1A78">
      <w:pPr>
        <w:jc w:val="center"/>
        <w:rPr>
          <w:rFonts w:eastAsiaTheme="minorHAnsi"/>
          <w:b/>
          <w:sz w:val="24"/>
          <w:szCs w:val="32"/>
          <w:lang w:val="en-US" w:eastAsia="en-US"/>
        </w:rPr>
      </w:pPr>
      <w:r w:rsidRPr="00F253F3">
        <w:rPr>
          <w:rFonts w:eastAsiaTheme="minorHAnsi"/>
          <w:b/>
          <w:sz w:val="24"/>
          <w:szCs w:val="24"/>
          <w:lang w:val="en-US" w:eastAsia="en-US"/>
        </w:rPr>
        <w:t>Problems of appointment and execution of punishment</w:t>
      </w:r>
      <w:r w:rsidRPr="00EC1A78">
        <w:rPr>
          <w:rFonts w:eastAsiaTheme="minorHAnsi"/>
          <w:b/>
          <w:sz w:val="24"/>
          <w:szCs w:val="32"/>
          <w:lang w:val="en-US" w:eastAsia="en-US"/>
        </w:rPr>
        <w:t xml:space="preserve"> in the form of correctional labor</w:t>
      </w:r>
    </w:p>
    <w:p w:rsidR="00EC1A78" w:rsidRPr="00EC1A78" w:rsidRDefault="00EC1A78" w:rsidP="00EC1A78">
      <w:pPr>
        <w:jc w:val="right"/>
        <w:rPr>
          <w:rFonts w:eastAsiaTheme="minorHAnsi"/>
          <w:sz w:val="22"/>
          <w:szCs w:val="32"/>
          <w:lang w:val="en-US" w:eastAsia="en-US"/>
        </w:rPr>
      </w:pPr>
    </w:p>
    <w:p w:rsidR="00EC1A78" w:rsidRPr="00EC1A78" w:rsidRDefault="00EC1A78" w:rsidP="00EC1A78">
      <w:pPr>
        <w:jc w:val="right"/>
        <w:rPr>
          <w:rFonts w:eastAsiaTheme="minorHAnsi"/>
          <w:sz w:val="22"/>
          <w:szCs w:val="32"/>
          <w:lang w:eastAsia="en-US"/>
        </w:rPr>
      </w:pPr>
      <w:r w:rsidRPr="00EC1A78">
        <w:rPr>
          <w:rFonts w:eastAsiaTheme="minorHAnsi"/>
          <w:sz w:val="22"/>
          <w:szCs w:val="32"/>
          <w:lang w:eastAsia="en-US"/>
        </w:rPr>
        <w:t>Семенова К.</w:t>
      </w:r>
      <w:r w:rsidR="00723562">
        <w:rPr>
          <w:rFonts w:eastAsiaTheme="minorHAnsi"/>
          <w:sz w:val="22"/>
          <w:szCs w:val="32"/>
          <w:lang w:eastAsia="en-US"/>
        </w:rPr>
        <w:t xml:space="preserve"> </w:t>
      </w:r>
      <w:r w:rsidRPr="00EC1A78">
        <w:rPr>
          <w:rFonts w:eastAsiaTheme="minorHAnsi"/>
          <w:sz w:val="22"/>
          <w:szCs w:val="32"/>
          <w:lang w:eastAsia="en-US"/>
        </w:rPr>
        <w:t>Д.,</w:t>
      </w:r>
    </w:p>
    <w:p w:rsidR="00EC1A78" w:rsidRPr="00EC1A78" w:rsidRDefault="00EC1A78" w:rsidP="00EC1A78">
      <w:pPr>
        <w:jc w:val="right"/>
        <w:rPr>
          <w:rFonts w:eastAsiaTheme="minorHAnsi"/>
          <w:sz w:val="22"/>
          <w:szCs w:val="32"/>
          <w:lang w:eastAsia="en-US"/>
        </w:rPr>
      </w:pPr>
      <w:r w:rsidRPr="00EC1A78">
        <w:rPr>
          <w:rFonts w:eastAsiaTheme="minorHAnsi"/>
          <w:sz w:val="22"/>
          <w:szCs w:val="32"/>
          <w:lang w:eastAsia="en-US"/>
        </w:rPr>
        <w:t>студентка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723562">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 xml:space="preserve">М.,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723562">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right"/>
        <w:rPr>
          <w:rFonts w:eastAsiaTheme="minorHAnsi"/>
          <w:color w:val="000000" w:themeColor="text1"/>
          <w:sz w:val="24"/>
          <w:szCs w:val="22"/>
          <w:lang w:eastAsia="en-US"/>
        </w:rPr>
      </w:pPr>
      <w:r w:rsidRPr="00EC1A78">
        <w:rPr>
          <w:rFonts w:eastAsiaTheme="minorHAnsi"/>
          <w:color w:val="000000" w:themeColor="text1"/>
          <w:sz w:val="24"/>
          <w:szCs w:val="22"/>
          <w:lang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Исследованы проблемы назначения и исполн</w:t>
      </w:r>
      <w:r w:rsidRPr="00EC1A78">
        <w:rPr>
          <w:rFonts w:eastAsiaTheme="minorHAnsi"/>
          <w:sz w:val="22"/>
          <w:szCs w:val="22"/>
          <w:lang w:eastAsia="en-US"/>
        </w:rPr>
        <w:t>е</w:t>
      </w:r>
      <w:r w:rsidRPr="00EC1A78">
        <w:rPr>
          <w:rFonts w:eastAsiaTheme="minorHAnsi"/>
          <w:sz w:val="22"/>
          <w:szCs w:val="22"/>
          <w:lang w:eastAsia="en-US"/>
        </w:rPr>
        <w:t>ния наказания в виде исправительных работ. Выяснены пробелы и противоречия в законодательстве по данному вопросу и предлож</w:t>
      </w:r>
      <w:r w:rsidRPr="00EC1A78">
        <w:rPr>
          <w:rFonts w:eastAsiaTheme="minorHAnsi"/>
          <w:sz w:val="22"/>
          <w:szCs w:val="22"/>
          <w:lang w:eastAsia="en-US"/>
        </w:rPr>
        <w:t>е</w:t>
      </w:r>
      <w:r w:rsidRPr="00EC1A78">
        <w:rPr>
          <w:rFonts w:eastAsiaTheme="minorHAnsi"/>
          <w:sz w:val="22"/>
          <w:szCs w:val="22"/>
          <w:lang w:eastAsia="en-US"/>
        </w:rPr>
        <w:t xml:space="preserve">ны варианты их решения.   </w:t>
      </w:r>
    </w:p>
    <w:p w:rsidR="00EC1A78" w:rsidRPr="00EC1A78" w:rsidRDefault="00EC1A78" w:rsidP="00EC1A78">
      <w:pPr>
        <w:ind w:firstLine="426"/>
        <w:jc w:val="both"/>
        <w:rPr>
          <w:rFonts w:eastAsiaTheme="minorHAnsi"/>
          <w:sz w:val="22"/>
          <w:lang w:val="en-US" w:eastAsia="en-US"/>
        </w:rPr>
      </w:pPr>
      <w:r w:rsidRPr="00EC1A78">
        <w:rPr>
          <w:rFonts w:eastAsiaTheme="minorHAnsi"/>
          <w:sz w:val="22"/>
          <w:lang w:eastAsia="en-US"/>
        </w:rPr>
        <w:t>А</w:t>
      </w:r>
      <w:r w:rsidRPr="00EC1A78">
        <w:rPr>
          <w:rFonts w:eastAsiaTheme="minorHAnsi"/>
          <w:sz w:val="22"/>
          <w:lang w:val="en-US" w:eastAsia="en-US"/>
        </w:rPr>
        <w:t>NNOTATION: The problems of appointment and execution of punishment in the form of corrective works are investigated. Gaps and contradictions in the legislation on this issue have been clarified and s</w:t>
      </w:r>
      <w:r w:rsidRPr="00EC1A78">
        <w:rPr>
          <w:rFonts w:eastAsiaTheme="minorHAnsi"/>
          <w:sz w:val="22"/>
          <w:lang w:val="en-US" w:eastAsia="en-US"/>
        </w:rPr>
        <w:t>o</w:t>
      </w:r>
      <w:r w:rsidRPr="00EC1A78">
        <w:rPr>
          <w:rFonts w:eastAsiaTheme="minorHAnsi"/>
          <w:sz w:val="22"/>
          <w:lang w:val="en-US" w:eastAsia="en-US"/>
        </w:rPr>
        <w:t>lutions have been proposed for their solution.</w:t>
      </w:r>
    </w:p>
    <w:p w:rsidR="00EC1A78" w:rsidRPr="00EC1A78" w:rsidRDefault="00EC1A78" w:rsidP="00EC1A78">
      <w:pPr>
        <w:ind w:firstLine="426"/>
        <w:jc w:val="both"/>
        <w:rPr>
          <w:rFonts w:eastAsiaTheme="minorHAnsi"/>
          <w:sz w:val="22"/>
          <w:lang w:eastAsia="en-US"/>
        </w:rPr>
      </w:pPr>
      <w:r w:rsidRPr="00EC1A78">
        <w:rPr>
          <w:rFonts w:eastAsiaTheme="minorHAnsi"/>
          <w:sz w:val="22"/>
          <w:lang w:eastAsia="en-US"/>
        </w:rPr>
        <w:t>КЛЮЧЕВЫЕ СЛОВА: назначение наказания, исправительные работы, осужденный, удержания из заработной платы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 xml:space="preserve">KEYWORDS: imposition of punishment, correctional labor, </w:t>
      </w:r>
      <w:r w:rsidRPr="00EC1A78">
        <w:rPr>
          <w:rFonts w:eastAsiaTheme="minorHAnsi"/>
          <w:sz w:val="22"/>
          <w:szCs w:val="22"/>
          <w:lang w:val="en-US" w:eastAsia="en-US"/>
        </w:rPr>
        <w:br/>
        <w:t>convicted, withholding from wages</w:t>
      </w:r>
    </w:p>
    <w:p w:rsidR="00EC1A78" w:rsidRPr="00EC1A78" w:rsidRDefault="00EC1A78" w:rsidP="00EC1A78">
      <w:pPr>
        <w:ind w:firstLine="709"/>
        <w:jc w:val="both"/>
        <w:rPr>
          <w:rFonts w:eastAsiaTheme="minorHAnsi"/>
          <w:sz w:val="22"/>
          <w:szCs w:val="22"/>
          <w:lang w:val="en-US" w:eastAsia="en-US"/>
        </w:rPr>
      </w:pP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В настоящее время в правоприменительной практике России возрастает роль применения наказаний, не связанных с изоляцией </w:t>
      </w:r>
      <w:r w:rsidRPr="00EC1A78">
        <w:rPr>
          <w:rFonts w:eastAsiaTheme="minorHAnsi"/>
          <w:color w:val="000000" w:themeColor="text1"/>
          <w:sz w:val="22"/>
          <w:szCs w:val="22"/>
          <w:lang w:eastAsia="en-US"/>
        </w:rPr>
        <w:lastRenderedPageBreak/>
        <w:t>от общества осужденных, не представляющих большой опасности для общества, исправление которых возможно без лишения пр</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вычных для них условий жизни. В этой связи возрастает роль из</w:t>
      </w:r>
      <w:r w:rsidRPr="00EC1A78">
        <w:rPr>
          <w:rFonts w:eastAsiaTheme="minorHAnsi"/>
          <w:color w:val="000000" w:themeColor="text1"/>
          <w:sz w:val="22"/>
          <w:szCs w:val="22"/>
          <w:lang w:eastAsia="en-US"/>
        </w:rPr>
        <w:t>у</w:t>
      </w:r>
      <w:r w:rsidRPr="00EC1A78">
        <w:rPr>
          <w:rFonts w:eastAsiaTheme="minorHAnsi"/>
          <w:color w:val="000000" w:themeColor="text1"/>
          <w:sz w:val="22"/>
          <w:szCs w:val="22"/>
          <w:lang w:eastAsia="en-US"/>
        </w:rPr>
        <w:t>чения и исследования вопросов, связанных с назначением наказ</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ния в виде исправительных работ.</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shd w:val="clear" w:color="auto" w:fill="FFFFFF"/>
          <w:lang w:eastAsia="en-US"/>
        </w:rPr>
        <w:t>Суть данного наказания заключается в принудительном пр</w:t>
      </w:r>
      <w:r w:rsidRPr="00EC1A78">
        <w:rPr>
          <w:rFonts w:eastAsiaTheme="minorHAnsi"/>
          <w:color w:val="000000" w:themeColor="text1"/>
          <w:sz w:val="22"/>
          <w:szCs w:val="22"/>
          <w:shd w:val="clear" w:color="auto" w:fill="FFFFFF"/>
          <w:lang w:eastAsia="en-US"/>
        </w:rPr>
        <w:t>и</w:t>
      </w:r>
      <w:r w:rsidRPr="00EC1A78">
        <w:rPr>
          <w:rFonts w:eastAsiaTheme="minorHAnsi"/>
          <w:color w:val="000000" w:themeColor="text1"/>
          <w:sz w:val="22"/>
          <w:szCs w:val="22"/>
          <w:shd w:val="clear" w:color="auto" w:fill="FFFFFF"/>
          <w:lang w:eastAsia="en-US"/>
        </w:rPr>
        <w:t>влечении к труду на определенный срок, с удержанием из зарабо</w:t>
      </w:r>
      <w:r w:rsidRPr="00EC1A78">
        <w:rPr>
          <w:rFonts w:eastAsiaTheme="minorHAnsi"/>
          <w:color w:val="000000" w:themeColor="text1"/>
          <w:sz w:val="22"/>
          <w:szCs w:val="22"/>
          <w:shd w:val="clear" w:color="auto" w:fill="FFFFFF"/>
          <w:lang w:eastAsia="en-US"/>
        </w:rPr>
        <w:t>т</w:t>
      </w:r>
      <w:r w:rsidRPr="00EC1A78">
        <w:rPr>
          <w:rFonts w:eastAsiaTheme="minorHAnsi"/>
          <w:color w:val="000000" w:themeColor="text1"/>
          <w:sz w:val="22"/>
          <w:szCs w:val="22"/>
          <w:shd w:val="clear" w:color="auto" w:fill="FFFFFF"/>
          <w:lang w:eastAsia="en-US"/>
        </w:rPr>
        <w:t>ной платы в доход государства от 5–20 процентов заработка. В настоящее время исправительные работы применяются к лицам как имеющим основного места работы, так и безработным [1]. Во вт</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 xml:space="preserve">ром случае трудоустройством осужденных занимаются органы местного самоуправления по согласованию с органами исполнения наказания по месту жительства. </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Мнения ученых относительно выполнения исправительных 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бот разделились. Одни, в числе которых М. М. Исаев, С.В. Позн</w:t>
      </w:r>
      <w:r w:rsidRPr="00EC1A78">
        <w:rPr>
          <w:rFonts w:eastAsiaTheme="minorHAnsi"/>
          <w:color w:val="000000" w:themeColor="text1"/>
          <w:sz w:val="22"/>
          <w:szCs w:val="22"/>
          <w:lang w:eastAsia="en-US"/>
        </w:rPr>
        <w:t>ы</w:t>
      </w:r>
      <w:r w:rsidRPr="00EC1A78">
        <w:rPr>
          <w:rFonts w:eastAsiaTheme="minorHAnsi"/>
          <w:color w:val="000000" w:themeColor="text1"/>
          <w:sz w:val="22"/>
          <w:szCs w:val="22"/>
          <w:lang w:eastAsia="en-US"/>
        </w:rPr>
        <w:t>шев и другие выступают за то, чтобы исправительные работы назначались только лицам, имеющим основное место работы. Остальные же авторы высказывают точку зрения о применении и</w:t>
      </w:r>
      <w:r w:rsidRPr="00EC1A78">
        <w:rPr>
          <w:rFonts w:eastAsiaTheme="minorHAnsi"/>
          <w:color w:val="000000" w:themeColor="text1"/>
          <w:sz w:val="22"/>
          <w:szCs w:val="22"/>
          <w:lang w:eastAsia="en-US"/>
        </w:rPr>
        <w:t>с</w:t>
      </w:r>
      <w:r w:rsidRPr="00EC1A78">
        <w:rPr>
          <w:rFonts w:eastAsiaTheme="minorHAnsi"/>
          <w:color w:val="000000" w:themeColor="text1"/>
          <w:sz w:val="22"/>
          <w:szCs w:val="22"/>
          <w:lang w:eastAsia="en-US"/>
        </w:rPr>
        <w:t>правительных работ и в отношении лиц, не имеющих места работы. По их мнению, такой способ будет являться действенным механи</w:t>
      </w:r>
      <w:r w:rsidRPr="00EC1A78">
        <w:rPr>
          <w:rFonts w:eastAsiaTheme="minorHAnsi"/>
          <w:color w:val="000000" w:themeColor="text1"/>
          <w:sz w:val="22"/>
          <w:szCs w:val="22"/>
          <w:lang w:eastAsia="en-US"/>
        </w:rPr>
        <w:t>з</w:t>
      </w:r>
      <w:r w:rsidRPr="00EC1A78">
        <w:rPr>
          <w:rFonts w:eastAsiaTheme="minorHAnsi"/>
          <w:color w:val="000000" w:themeColor="text1"/>
          <w:sz w:val="22"/>
          <w:szCs w:val="22"/>
          <w:lang w:eastAsia="en-US"/>
        </w:rPr>
        <w:t>мом для взыскания с этой категории лиц всех задолженностей (например, алиментных обязательств) [2]. Но несмотря на опред</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ленные плюсы такого наказания, существует определенные сло</w:t>
      </w:r>
      <w:r w:rsidRPr="00EC1A78">
        <w:rPr>
          <w:rFonts w:eastAsiaTheme="minorHAnsi"/>
          <w:color w:val="000000" w:themeColor="text1"/>
          <w:sz w:val="22"/>
          <w:szCs w:val="22"/>
          <w:lang w:eastAsia="en-US"/>
        </w:rPr>
        <w:t>ж</w:t>
      </w:r>
      <w:r w:rsidRPr="00EC1A78">
        <w:rPr>
          <w:rFonts w:eastAsiaTheme="minorHAnsi"/>
          <w:color w:val="000000" w:themeColor="text1"/>
          <w:sz w:val="22"/>
          <w:szCs w:val="22"/>
          <w:lang w:eastAsia="en-US"/>
        </w:rPr>
        <w:t>ности его применения. Так, в случаях назначения исправительных работ лицам, имеющим заработок на уровне прожиточного мин</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мума (а таких у нас сейчас большинство), удержания из него могут лишить осужденного возможности удовлетворить основные жи</w:t>
      </w:r>
      <w:r w:rsidRPr="00EC1A78">
        <w:rPr>
          <w:rFonts w:eastAsiaTheme="minorHAnsi"/>
          <w:color w:val="000000" w:themeColor="text1"/>
          <w:sz w:val="22"/>
          <w:szCs w:val="22"/>
          <w:lang w:eastAsia="en-US"/>
        </w:rPr>
        <w:t>з</w:t>
      </w:r>
      <w:r w:rsidRPr="00EC1A78">
        <w:rPr>
          <w:rFonts w:eastAsiaTheme="minorHAnsi"/>
          <w:color w:val="000000" w:themeColor="text1"/>
          <w:sz w:val="22"/>
          <w:szCs w:val="22"/>
          <w:lang w:eastAsia="en-US"/>
        </w:rPr>
        <w:t>ненно важные потребности, связанные с проживанием и пропит</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нием. Сложная ситуация возникает и тогда, когда осужденный 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живает в сельской местности, где нет возможности устроиться на работу в связи с отсутствием предложения вакансий.</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Самая существенная, на наш взгляд, проблема– это нехватка рабочих мест для данной категории граждан. Это объясняется н</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желанием работодателей обременять себя проблемами, связанными с контролем за трудовой деятельностью осужденных работников, а также ведением дополнительной документации.  По мнению авт</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ров, выходом из сложившейся ситуации будет принятие нормати</w:t>
      </w:r>
      <w:r w:rsidRPr="00EC1A78">
        <w:rPr>
          <w:rFonts w:eastAsiaTheme="minorHAnsi"/>
          <w:color w:val="000000" w:themeColor="text1"/>
          <w:sz w:val="22"/>
          <w:szCs w:val="22"/>
          <w:lang w:eastAsia="en-US"/>
        </w:rPr>
        <w:t>в</w:t>
      </w:r>
      <w:r w:rsidRPr="00EC1A78">
        <w:rPr>
          <w:rFonts w:eastAsiaTheme="minorHAnsi"/>
          <w:color w:val="000000" w:themeColor="text1"/>
          <w:sz w:val="22"/>
          <w:szCs w:val="22"/>
          <w:lang w:eastAsia="en-US"/>
        </w:rPr>
        <w:t xml:space="preserve">но правовых актов по налоговому стимулированию организаций, </w:t>
      </w:r>
      <w:r w:rsidRPr="00EC1A78">
        <w:rPr>
          <w:rFonts w:eastAsiaTheme="minorHAnsi"/>
          <w:color w:val="000000" w:themeColor="text1"/>
          <w:sz w:val="22"/>
          <w:szCs w:val="22"/>
          <w:lang w:eastAsia="en-US"/>
        </w:rPr>
        <w:lastRenderedPageBreak/>
        <w:t>предоставивших рабочие места осужденным гражданам, отбыва</w:t>
      </w:r>
      <w:r w:rsidRPr="00EC1A78">
        <w:rPr>
          <w:rFonts w:eastAsiaTheme="minorHAnsi"/>
          <w:color w:val="000000" w:themeColor="text1"/>
          <w:sz w:val="22"/>
          <w:szCs w:val="22"/>
          <w:lang w:eastAsia="en-US"/>
        </w:rPr>
        <w:t>ю</w:t>
      </w:r>
      <w:r w:rsidRPr="00EC1A78">
        <w:rPr>
          <w:rFonts w:eastAsiaTheme="minorHAnsi"/>
          <w:color w:val="000000" w:themeColor="text1"/>
          <w:sz w:val="22"/>
          <w:szCs w:val="22"/>
          <w:lang w:eastAsia="en-US"/>
        </w:rPr>
        <w:t xml:space="preserve">щим наказание в виде исправительных работ.  </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lang w:eastAsia="en-US"/>
        </w:rPr>
        <w:t>Причиной, которая может препятствовать своевременному и</w:t>
      </w:r>
      <w:r w:rsidRPr="00EC1A78">
        <w:rPr>
          <w:rFonts w:eastAsiaTheme="minorHAnsi"/>
          <w:color w:val="000000" w:themeColor="text1"/>
          <w:sz w:val="22"/>
          <w:szCs w:val="22"/>
          <w:lang w:eastAsia="en-US"/>
        </w:rPr>
        <w:t>с</w:t>
      </w:r>
      <w:r w:rsidRPr="00EC1A78">
        <w:rPr>
          <w:rFonts w:eastAsiaTheme="minorHAnsi"/>
          <w:color w:val="000000" w:themeColor="text1"/>
          <w:sz w:val="22"/>
          <w:szCs w:val="22"/>
          <w:lang w:eastAsia="en-US"/>
        </w:rPr>
        <w:t>полнению наказания в виде исправительных работ может стать наличие у осужденных серьезных заболеваний. Уголовно–исполнительные инспекции в силу своей загруженности и специф</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ки деятельности также не имеют возможности осуществлять инд</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t xml:space="preserve">видуальный подход к своим подопечным. Поэтому предлагаем </w:t>
      </w:r>
      <w:r w:rsidRPr="00EC1A78">
        <w:rPr>
          <w:rFonts w:eastAsiaTheme="minorHAnsi"/>
          <w:color w:val="000000" w:themeColor="text1"/>
          <w:sz w:val="22"/>
          <w:szCs w:val="22"/>
          <w:shd w:val="clear" w:color="auto" w:fill="FFFFFF"/>
          <w:lang w:eastAsia="en-US"/>
        </w:rPr>
        <w:t>ув</w:t>
      </w:r>
      <w:r w:rsidRPr="00EC1A78">
        <w:rPr>
          <w:rFonts w:eastAsiaTheme="minorHAnsi"/>
          <w:color w:val="000000" w:themeColor="text1"/>
          <w:sz w:val="22"/>
          <w:szCs w:val="22"/>
          <w:shd w:val="clear" w:color="auto" w:fill="FFFFFF"/>
          <w:lang w:eastAsia="en-US"/>
        </w:rPr>
        <w:t>е</w:t>
      </w:r>
      <w:r w:rsidRPr="00EC1A78">
        <w:rPr>
          <w:rFonts w:eastAsiaTheme="minorHAnsi"/>
          <w:color w:val="000000" w:themeColor="text1"/>
          <w:sz w:val="22"/>
          <w:szCs w:val="22"/>
          <w:shd w:val="clear" w:color="auto" w:fill="FFFFFF"/>
          <w:lang w:eastAsia="en-US"/>
        </w:rPr>
        <w:t>личить штат уголовно–исполнительных инспекций, ввести в штат должность психолога–педагога, учитывающего личностные ос</w:t>
      </w:r>
      <w:r w:rsidRPr="00EC1A78">
        <w:rPr>
          <w:rFonts w:eastAsiaTheme="minorHAnsi"/>
          <w:color w:val="000000" w:themeColor="text1"/>
          <w:sz w:val="22"/>
          <w:szCs w:val="22"/>
          <w:shd w:val="clear" w:color="auto" w:fill="FFFFFF"/>
          <w:lang w:eastAsia="en-US"/>
        </w:rPr>
        <w:t>о</w:t>
      </w:r>
      <w:r w:rsidRPr="00EC1A78">
        <w:rPr>
          <w:rFonts w:eastAsiaTheme="minorHAnsi"/>
          <w:color w:val="000000" w:themeColor="text1"/>
          <w:sz w:val="22"/>
          <w:szCs w:val="22"/>
          <w:shd w:val="clear" w:color="auto" w:fill="FFFFFF"/>
          <w:lang w:eastAsia="en-US"/>
        </w:rPr>
        <w:t>бенности осужденного при выборе способа выполнения исправ</w:t>
      </w:r>
      <w:r w:rsidRPr="00EC1A78">
        <w:rPr>
          <w:rFonts w:eastAsiaTheme="minorHAnsi"/>
          <w:color w:val="000000" w:themeColor="text1"/>
          <w:sz w:val="22"/>
          <w:szCs w:val="22"/>
          <w:shd w:val="clear" w:color="auto" w:fill="FFFFFF"/>
          <w:lang w:eastAsia="en-US"/>
        </w:rPr>
        <w:t>и</w:t>
      </w:r>
      <w:r w:rsidRPr="00EC1A78">
        <w:rPr>
          <w:rFonts w:eastAsiaTheme="minorHAnsi"/>
          <w:color w:val="000000" w:themeColor="text1"/>
          <w:sz w:val="22"/>
          <w:szCs w:val="22"/>
          <w:shd w:val="clear" w:color="auto" w:fill="FFFFFF"/>
          <w:lang w:eastAsia="en-US"/>
        </w:rPr>
        <w:t xml:space="preserve">тельных работ. </w:t>
      </w:r>
    </w:p>
    <w:p w:rsidR="00EC1A78" w:rsidRPr="00EC1A78" w:rsidRDefault="00EC1A78" w:rsidP="00EC1A78">
      <w:pPr>
        <w:ind w:firstLine="426"/>
        <w:jc w:val="both"/>
        <w:rPr>
          <w:color w:val="000000" w:themeColor="text1"/>
          <w:sz w:val="22"/>
          <w:szCs w:val="22"/>
        </w:rPr>
      </w:pPr>
      <w:r w:rsidRPr="00EC1A78">
        <w:rPr>
          <w:rFonts w:eastAsiaTheme="minorHAnsi"/>
          <w:color w:val="000000" w:themeColor="text1"/>
          <w:sz w:val="22"/>
          <w:szCs w:val="22"/>
          <w:lang w:eastAsia="en-US"/>
        </w:rPr>
        <w:t xml:space="preserve">К тому же и сами работники часто уклоняются от выполнения работы и негативно относятся к своим обязанностям. </w:t>
      </w:r>
      <w:r w:rsidRPr="00EC1A78">
        <w:rPr>
          <w:color w:val="000000" w:themeColor="text1"/>
          <w:sz w:val="22"/>
          <w:szCs w:val="22"/>
        </w:rPr>
        <w:t>Чтобы стим</w:t>
      </w:r>
      <w:r w:rsidRPr="00EC1A78">
        <w:rPr>
          <w:color w:val="000000" w:themeColor="text1"/>
          <w:sz w:val="22"/>
          <w:szCs w:val="22"/>
        </w:rPr>
        <w:t>у</w:t>
      </w:r>
      <w:r w:rsidRPr="00EC1A78">
        <w:rPr>
          <w:color w:val="000000" w:themeColor="text1"/>
          <w:sz w:val="22"/>
          <w:szCs w:val="22"/>
        </w:rPr>
        <w:t>лировать у осужденных более ответственное и добросовестное о</w:t>
      </w:r>
      <w:r w:rsidRPr="00EC1A78">
        <w:rPr>
          <w:color w:val="000000" w:themeColor="text1"/>
          <w:sz w:val="22"/>
          <w:szCs w:val="22"/>
        </w:rPr>
        <w:t>т</w:t>
      </w:r>
      <w:r w:rsidRPr="00EC1A78">
        <w:rPr>
          <w:color w:val="000000" w:themeColor="text1"/>
          <w:sz w:val="22"/>
          <w:szCs w:val="22"/>
        </w:rPr>
        <w:t>ношение к труду, предлагаем внести элемент личной заинтерес</w:t>
      </w:r>
      <w:r w:rsidRPr="00EC1A78">
        <w:rPr>
          <w:color w:val="000000" w:themeColor="text1"/>
          <w:sz w:val="22"/>
          <w:szCs w:val="22"/>
        </w:rPr>
        <w:t>о</w:t>
      </w:r>
      <w:r w:rsidRPr="00EC1A78">
        <w:rPr>
          <w:color w:val="000000" w:themeColor="text1"/>
          <w:sz w:val="22"/>
          <w:szCs w:val="22"/>
        </w:rPr>
        <w:t xml:space="preserve">ванности осужденных в исправлении. Им может стать возможность предоставления дополнительных дней к отпуску или понижение размера удержаний из заработной платы осужденного [3]. </w:t>
      </w:r>
    </w:p>
    <w:p w:rsidR="00EC1A78" w:rsidRPr="00EC1A78" w:rsidRDefault="00EC1A78" w:rsidP="00EC1A78">
      <w:pPr>
        <w:ind w:firstLine="426"/>
        <w:jc w:val="both"/>
        <w:rPr>
          <w:rFonts w:eastAsiaTheme="minorHAnsi"/>
          <w:color w:val="000000" w:themeColor="text1"/>
          <w:sz w:val="22"/>
          <w:szCs w:val="22"/>
          <w:shd w:val="clear" w:color="auto" w:fill="FFFFFF"/>
          <w:lang w:eastAsia="en-US"/>
        </w:rPr>
      </w:pPr>
      <w:r w:rsidRPr="00EC1A78">
        <w:rPr>
          <w:rFonts w:eastAsiaTheme="minorHAnsi"/>
          <w:color w:val="000000" w:themeColor="text1"/>
          <w:sz w:val="22"/>
          <w:szCs w:val="22"/>
          <w:lang w:eastAsia="en-US"/>
        </w:rPr>
        <w:t xml:space="preserve">Разделяем точку зрения Абземилова З.Р. о том, что размер удержаний из заработной платы несовершеннолетних осужденных не должен превышать 10 %, </w:t>
      </w:r>
      <w:r w:rsidRPr="00EC1A78">
        <w:rPr>
          <w:rFonts w:eastAsiaTheme="minorHAnsi"/>
          <w:color w:val="000000" w:themeColor="text1"/>
          <w:sz w:val="22"/>
          <w:szCs w:val="22"/>
          <w:shd w:val="clear" w:color="auto" w:fill="FFFFFF"/>
          <w:lang w:eastAsia="en-US"/>
        </w:rPr>
        <w:t>учитывая то обстоятельство, что зар</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ботная плата работающих несовершеннолетних в стране, как пр</w:t>
      </w:r>
      <w:r w:rsidRPr="00EC1A78">
        <w:rPr>
          <w:rFonts w:eastAsiaTheme="minorHAnsi"/>
          <w:color w:val="000000" w:themeColor="text1"/>
          <w:sz w:val="22"/>
          <w:szCs w:val="22"/>
          <w:shd w:val="clear" w:color="auto" w:fill="FFFFFF"/>
          <w:lang w:eastAsia="en-US"/>
        </w:rPr>
        <w:t>а</w:t>
      </w:r>
      <w:r w:rsidRPr="00EC1A78">
        <w:rPr>
          <w:rFonts w:eastAsiaTheme="minorHAnsi"/>
          <w:color w:val="000000" w:themeColor="text1"/>
          <w:sz w:val="22"/>
          <w:szCs w:val="22"/>
          <w:shd w:val="clear" w:color="auto" w:fill="FFFFFF"/>
          <w:lang w:eastAsia="en-US"/>
        </w:rPr>
        <w:t xml:space="preserve">вило, значительно ниже, чем у взрослых граждан [4]. </w:t>
      </w:r>
    </w:p>
    <w:p w:rsidR="00EC1A78" w:rsidRPr="002B3A7B" w:rsidRDefault="00EC1A78" w:rsidP="002B3A7B">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Таким образом, существование противоположных мнений по вопросу назначения и исполнения исправительных работ, а также изменчивость подхода законодателя к данному вопросу свидетел</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ствует о том, что уголовно–правовое регулирование наказания в виде исправительных работ является неэффективным. На наш взгляд, необходимо внести поправки, учитывающие индивидуал</w:t>
      </w:r>
      <w:r w:rsidRPr="00EC1A78">
        <w:rPr>
          <w:rFonts w:eastAsiaTheme="minorHAnsi"/>
          <w:color w:val="000000" w:themeColor="text1"/>
          <w:sz w:val="22"/>
          <w:szCs w:val="22"/>
          <w:lang w:eastAsia="en-US"/>
        </w:rPr>
        <w:t>ь</w:t>
      </w:r>
      <w:r w:rsidRPr="00EC1A78">
        <w:rPr>
          <w:rFonts w:eastAsiaTheme="minorHAnsi"/>
          <w:color w:val="000000" w:themeColor="text1"/>
          <w:sz w:val="22"/>
          <w:szCs w:val="22"/>
          <w:lang w:eastAsia="en-US"/>
        </w:rPr>
        <w:t>ные особенности личности осужденного при выполнении им испр</w:t>
      </w:r>
      <w:r w:rsidRPr="00EC1A78">
        <w:rPr>
          <w:rFonts w:eastAsiaTheme="minorHAnsi"/>
          <w:color w:val="000000" w:themeColor="text1"/>
          <w:sz w:val="22"/>
          <w:szCs w:val="22"/>
          <w:lang w:eastAsia="en-US"/>
        </w:rPr>
        <w:t>а</w:t>
      </w:r>
      <w:r w:rsidRPr="00EC1A78">
        <w:rPr>
          <w:rFonts w:eastAsiaTheme="minorHAnsi"/>
          <w:color w:val="000000" w:themeColor="text1"/>
          <w:sz w:val="22"/>
          <w:szCs w:val="22"/>
          <w:lang w:eastAsia="en-US"/>
        </w:rPr>
        <w:t>вительных работ. Для работодателей, предоставивших рабочие м</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 xml:space="preserve">ста осужденным гражданам, принять систему налоговых льгот. </w:t>
      </w:r>
    </w:p>
    <w:p w:rsidR="00EC1A78" w:rsidRPr="00EC1A78" w:rsidRDefault="00723562" w:rsidP="00EC1A78">
      <w:pPr>
        <w:ind w:firstLine="426"/>
        <w:jc w:val="center"/>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t>Список литературы</w:t>
      </w:r>
    </w:p>
    <w:p w:rsidR="00EC1A78" w:rsidRPr="00EC1A78" w:rsidRDefault="00EC1A78" w:rsidP="00EC1A78">
      <w:pPr>
        <w:ind w:firstLine="425"/>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1. Журавлев М. За правильное применение и исполнение и</w:t>
      </w:r>
      <w:r w:rsidRPr="00EC1A78">
        <w:rPr>
          <w:rFonts w:eastAsiaTheme="minorHAnsi"/>
          <w:color w:val="000000"/>
          <w:sz w:val="22"/>
          <w:szCs w:val="22"/>
          <w:shd w:val="clear" w:color="auto" w:fill="FFFFFF"/>
          <w:lang w:eastAsia="en-US"/>
        </w:rPr>
        <w:t>с</w:t>
      </w:r>
      <w:r w:rsidRPr="00EC1A78">
        <w:rPr>
          <w:rFonts w:eastAsiaTheme="minorHAnsi"/>
          <w:color w:val="000000"/>
          <w:sz w:val="22"/>
          <w:szCs w:val="22"/>
          <w:shd w:val="clear" w:color="auto" w:fill="FFFFFF"/>
          <w:lang w:eastAsia="en-US"/>
        </w:rPr>
        <w:t>правительных работ / М. Журавлев, П. Ильин // Российская юст</w:t>
      </w:r>
      <w:r w:rsidRPr="00EC1A78">
        <w:rPr>
          <w:rFonts w:eastAsiaTheme="minorHAnsi"/>
          <w:color w:val="000000"/>
          <w:sz w:val="22"/>
          <w:szCs w:val="22"/>
          <w:shd w:val="clear" w:color="auto" w:fill="FFFFFF"/>
          <w:lang w:eastAsia="en-US"/>
        </w:rPr>
        <w:t>и</w:t>
      </w:r>
      <w:r w:rsidRPr="00EC1A78">
        <w:rPr>
          <w:rFonts w:eastAsiaTheme="minorHAnsi"/>
          <w:color w:val="000000"/>
          <w:sz w:val="22"/>
          <w:szCs w:val="22"/>
          <w:shd w:val="clear" w:color="auto" w:fill="FFFFFF"/>
          <w:lang w:eastAsia="en-US"/>
        </w:rPr>
        <w:t>ция. – 2015. – № 5. – С. 45</w:t>
      </w:r>
    </w:p>
    <w:p w:rsidR="00EC1A78" w:rsidRPr="00EC1A78" w:rsidRDefault="00EC1A78" w:rsidP="00EC1A78">
      <w:pPr>
        <w:ind w:firstLine="425"/>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lastRenderedPageBreak/>
        <w:t>2. Романова С.В. Актуальные проблемы назначения уголовного наказания в виде исправительных работ//Концепт. –2014. №6. С.61–65.</w:t>
      </w:r>
    </w:p>
    <w:p w:rsidR="00EC1A78" w:rsidRPr="00EC1A78" w:rsidRDefault="00EC1A78" w:rsidP="00EC1A78">
      <w:pPr>
        <w:ind w:firstLine="425"/>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3. Новиков А.В., Габараев А.Ш. Проблемы организации и пр</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вового регулирования исполнения наказания в виде исправител</w:t>
      </w:r>
      <w:r w:rsidRPr="00EC1A78">
        <w:rPr>
          <w:rFonts w:eastAsiaTheme="minorHAnsi"/>
          <w:color w:val="000000"/>
          <w:sz w:val="22"/>
          <w:szCs w:val="22"/>
          <w:shd w:val="clear" w:color="auto" w:fill="FFFFFF"/>
          <w:lang w:eastAsia="en-US"/>
        </w:rPr>
        <w:t>ь</w:t>
      </w:r>
      <w:r w:rsidRPr="00EC1A78">
        <w:rPr>
          <w:rFonts w:eastAsiaTheme="minorHAnsi"/>
          <w:color w:val="000000"/>
          <w:sz w:val="22"/>
          <w:szCs w:val="22"/>
          <w:shd w:val="clear" w:color="auto" w:fill="FFFFFF"/>
          <w:lang w:eastAsia="en-US"/>
        </w:rPr>
        <w:t>ных работ//Современные проблемы науки и образования.– 2015. – № 2–1.</w:t>
      </w:r>
    </w:p>
    <w:p w:rsidR="00723562" w:rsidRPr="00EC1A78" w:rsidRDefault="00EC1A78" w:rsidP="00F253F3">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4. Абземилова З. Р. О применении исправительных работ в о</w:t>
      </w:r>
      <w:r w:rsidRPr="00EC1A78">
        <w:rPr>
          <w:rFonts w:eastAsiaTheme="minorHAnsi"/>
          <w:color w:val="000000"/>
          <w:sz w:val="22"/>
          <w:szCs w:val="22"/>
          <w:shd w:val="clear" w:color="auto" w:fill="FFFFFF"/>
          <w:lang w:eastAsia="en-US"/>
        </w:rPr>
        <w:t>т</w:t>
      </w:r>
      <w:r w:rsidRPr="00EC1A78">
        <w:rPr>
          <w:rFonts w:eastAsiaTheme="minorHAnsi"/>
          <w:color w:val="000000"/>
          <w:sz w:val="22"/>
          <w:szCs w:val="22"/>
          <w:shd w:val="clear" w:color="auto" w:fill="FFFFFF"/>
          <w:lang w:eastAsia="en-US"/>
        </w:rPr>
        <w:t>ношении несовершеннолетних / З. Р. Абземилова, Б. О. Боровиков // Российская юстиция. – 2016. – № 3. – С. 54.</w:t>
      </w:r>
    </w:p>
    <w:p w:rsidR="002B3A7B" w:rsidRDefault="002B3A7B" w:rsidP="00EC1A78">
      <w:pPr>
        <w:shd w:val="clear" w:color="auto" w:fill="FFFFFF"/>
        <w:outlineLvl w:val="0"/>
        <w:rPr>
          <w:bCs/>
          <w:kern w:val="36"/>
          <w:sz w:val="22"/>
          <w:szCs w:val="22"/>
        </w:rPr>
      </w:pPr>
    </w:p>
    <w:p w:rsidR="002B3A7B" w:rsidRDefault="002B3A7B" w:rsidP="00EC1A78">
      <w:pPr>
        <w:shd w:val="clear" w:color="auto" w:fill="FFFFFF"/>
        <w:outlineLvl w:val="0"/>
        <w:rPr>
          <w:bCs/>
          <w:kern w:val="36"/>
          <w:sz w:val="22"/>
          <w:szCs w:val="22"/>
        </w:rPr>
      </w:pPr>
    </w:p>
    <w:p w:rsidR="002B3A7B" w:rsidRDefault="002B3A7B" w:rsidP="00EC1A78">
      <w:pPr>
        <w:shd w:val="clear" w:color="auto" w:fill="FFFFFF"/>
        <w:outlineLvl w:val="0"/>
        <w:rPr>
          <w:bCs/>
          <w:kern w:val="36"/>
          <w:sz w:val="22"/>
          <w:szCs w:val="22"/>
        </w:rPr>
      </w:pPr>
    </w:p>
    <w:p w:rsidR="00EC1A78" w:rsidRPr="00EC1A78" w:rsidRDefault="00EC1A78" w:rsidP="00EC1A78">
      <w:pPr>
        <w:shd w:val="clear" w:color="auto" w:fill="FFFFFF"/>
        <w:outlineLvl w:val="0"/>
        <w:rPr>
          <w:bCs/>
          <w:color w:val="000000"/>
          <w:kern w:val="36"/>
          <w:sz w:val="22"/>
          <w:szCs w:val="22"/>
        </w:rPr>
      </w:pPr>
      <w:r w:rsidRPr="00EC1A78">
        <w:rPr>
          <w:bCs/>
          <w:kern w:val="36"/>
          <w:sz w:val="22"/>
          <w:szCs w:val="22"/>
        </w:rPr>
        <w:t xml:space="preserve">УДК </w:t>
      </w:r>
      <w:r w:rsidRPr="00EC1A78">
        <w:rPr>
          <w:bCs/>
          <w:color w:val="000000"/>
          <w:kern w:val="36"/>
          <w:sz w:val="22"/>
          <w:szCs w:val="22"/>
        </w:rPr>
        <w:t>342.951</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Соотношение понятий «спортивные мероприятия» </w:t>
      </w:r>
      <w:r w:rsidR="00723562">
        <w:rPr>
          <w:rFonts w:eastAsiaTheme="minorHAnsi"/>
          <w:b/>
          <w:sz w:val="24"/>
          <w:szCs w:val="24"/>
          <w:lang w:eastAsia="en-US"/>
        </w:rPr>
        <w:br/>
      </w:r>
      <w:r w:rsidRPr="00EC1A78">
        <w:rPr>
          <w:rFonts w:eastAsiaTheme="minorHAnsi"/>
          <w:b/>
          <w:sz w:val="24"/>
          <w:szCs w:val="24"/>
          <w:lang w:eastAsia="en-US"/>
        </w:rPr>
        <w:t>и «публичные мероприятия»</w:t>
      </w:r>
    </w:p>
    <w:p w:rsidR="00EC1A78" w:rsidRPr="00F253F3" w:rsidRDefault="00EC1A78" w:rsidP="00F253F3">
      <w:pPr>
        <w:jc w:val="center"/>
        <w:rPr>
          <w:rFonts w:eastAsiaTheme="minorHAnsi"/>
          <w:b/>
          <w:sz w:val="24"/>
          <w:szCs w:val="24"/>
          <w:lang w:val="en-US" w:eastAsia="en-US"/>
        </w:rPr>
      </w:pPr>
      <w:r w:rsidRPr="00EC1A78">
        <w:rPr>
          <w:rFonts w:eastAsiaTheme="minorHAnsi"/>
          <w:b/>
          <w:sz w:val="24"/>
          <w:szCs w:val="24"/>
          <w:lang w:val="en-US" w:eastAsia="en-US"/>
        </w:rPr>
        <w:t>Correlation</w:t>
      </w:r>
      <w:r w:rsidRPr="001C6F5C">
        <w:rPr>
          <w:rFonts w:eastAsiaTheme="minorHAnsi"/>
          <w:b/>
          <w:sz w:val="24"/>
          <w:szCs w:val="24"/>
          <w:lang w:val="en-US" w:eastAsia="en-US"/>
        </w:rPr>
        <w:t xml:space="preserve"> </w:t>
      </w:r>
      <w:r w:rsidRPr="00EC1A78">
        <w:rPr>
          <w:rFonts w:eastAsiaTheme="minorHAnsi"/>
          <w:b/>
          <w:sz w:val="24"/>
          <w:szCs w:val="24"/>
          <w:lang w:val="en-US" w:eastAsia="en-US"/>
        </w:rPr>
        <w:t>between</w:t>
      </w:r>
      <w:r w:rsidRPr="001C6F5C">
        <w:rPr>
          <w:rFonts w:eastAsiaTheme="minorHAnsi"/>
          <w:b/>
          <w:sz w:val="24"/>
          <w:szCs w:val="24"/>
          <w:lang w:val="en-US" w:eastAsia="en-US"/>
        </w:rPr>
        <w:t xml:space="preserve"> </w:t>
      </w:r>
      <w:r w:rsidRPr="00EC1A78">
        <w:rPr>
          <w:rFonts w:eastAsiaTheme="minorHAnsi"/>
          <w:b/>
          <w:sz w:val="24"/>
          <w:szCs w:val="24"/>
          <w:lang w:val="en-US" w:eastAsia="en-US"/>
        </w:rPr>
        <w:t>the</w:t>
      </w:r>
      <w:r w:rsidRPr="001C6F5C">
        <w:rPr>
          <w:rFonts w:eastAsiaTheme="minorHAnsi"/>
          <w:b/>
          <w:sz w:val="24"/>
          <w:szCs w:val="24"/>
          <w:lang w:val="en-US" w:eastAsia="en-US"/>
        </w:rPr>
        <w:t xml:space="preserve"> </w:t>
      </w:r>
      <w:r w:rsidRPr="00EC1A78">
        <w:rPr>
          <w:rFonts w:eastAsiaTheme="minorHAnsi"/>
          <w:b/>
          <w:sz w:val="24"/>
          <w:szCs w:val="24"/>
          <w:lang w:val="en-US" w:eastAsia="en-US"/>
        </w:rPr>
        <w:t>concepts</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sporting</w:t>
      </w:r>
      <w:r w:rsidRPr="001C6F5C">
        <w:rPr>
          <w:rFonts w:eastAsiaTheme="minorHAnsi"/>
          <w:b/>
          <w:sz w:val="24"/>
          <w:szCs w:val="24"/>
          <w:lang w:val="en-US" w:eastAsia="en-US"/>
        </w:rPr>
        <w:t xml:space="preserve"> </w:t>
      </w:r>
      <w:r w:rsidRPr="00EC1A78">
        <w:rPr>
          <w:rFonts w:eastAsiaTheme="minorHAnsi"/>
          <w:b/>
          <w:sz w:val="24"/>
          <w:szCs w:val="24"/>
          <w:lang w:val="en-US" w:eastAsia="en-US"/>
        </w:rPr>
        <w:t>events</w:t>
      </w:r>
      <w:r w:rsidRPr="001C6F5C">
        <w:rPr>
          <w:rFonts w:eastAsiaTheme="minorHAnsi"/>
          <w:b/>
          <w:sz w:val="24"/>
          <w:szCs w:val="24"/>
          <w:lang w:val="en-US" w:eastAsia="en-US"/>
        </w:rPr>
        <w:t xml:space="preserve">» </w:t>
      </w:r>
      <w:r w:rsidRPr="00EC1A78">
        <w:rPr>
          <w:rFonts w:eastAsiaTheme="minorHAnsi"/>
          <w:b/>
          <w:sz w:val="24"/>
          <w:szCs w:val="24"/>
          <w:lang w:val="en-US" w:eastAsia="en-US"/>
        </w:rPr>
        <w:t>and</w:t>
      </w:r>
      <w:r w:rsidRPr="001C6F5C">
        <w:rPr>
          <w:rFonts w:eastAsiaTheme="minorHAnsi"/>
          <w:b/>
          <w:sz w:val="24"/>
          <w:szCs w:val="24"/>
          <w:lang w:val="en-US" w:eastAsia="en-US"/>
        </w:rPr>
        <w:t xml:space="preserve"> «</w:t>
      </w:r>
      <w:r w:rsidRPr="00EC1A78">
        <w:rPr>
          <w:rFonts w:eastAsiaTheme="minorHAnsi"/>
          <w:b/>
          <w:sz w:val="24"/>
          <w:szCs w:val="24"/>
          <w:lang w:val="en-US" w:eastAsia="en-US"/>
        </w:rPr>
        <w:t>public</w:t>
      </w:r>
      <w:r w:rsidRPr="001C6F5C">
        <w:rPr>
          <w:rFonts w:eastAsiaTheme="minorHAnsi"/>
          <w:b/>
          <w:sz w:val="24"/>
          <w:szCs w:val="24"/>
          <w:lang w:val="en-US" w:eastAsia="en-US"/>
        </w:rPr>
        <w:t xml:space="preserve"> </w:t>
      </w:r>
      <w:r w:rsidRPr="00EC1A78">
        <w:rPr>
          <w:rFonts w:eastAsiaTheme="minorHAnsi"/>
          <w:b/>
          <w:sz w:val="24"/>
          <w:szCs w:val="24"/>
          <w:lang w:val="en-US" w:eastAsia="en-US"/>
        </w:rPr>
        <w:t>events</w:t>
      </w:r>
      <w:r w:rsidRPr="001C6F5C">
        <w:rPr>
          <w:rFonts w:eastAsiaTheme="minorHAnsi"/>
          <w:b/>
          <w:sz w:val="24"/>
          <w:szCs w:val="24"/>
          <w:lang w:val="en-US" w:eastAsia="en-US"/>
        </w:rPr>
        <w:t>»</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Семенюта В.</w:t>
      </w:r>
      <w:r w:rsidR="00723562">
        <w:rPr>
          <w:rFonts w:eastAsiaTheme="minorHAnsi"/>
          <w:sz w:val="22"/>
          <w:szCs w:val="24"/>
          <w:lang w:eastAsia="en-US"/>
        </w:rPr>
        <w:t xml:space="preserve"> </w:t>
      </w:r>
      <w:r w:rsidRPr="00EC1A78">
        <w:rPr>
          <w:rFonts w:eastAsiaTheme="minorHAnsi"/>
          <w:sz w:val="22"/>
          <w:szCs w:val="24"/>
          <w:lang w:eastAsia="en-US"/>
        </w:rPr>
        <w:t xml:space="preserve">Г.,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студент 4–го курса юридического факультета</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Красницкая А.</w:t>
      </w:r>
      <w:r w:rsidR="00723562">
        <w:rPr>
          <w:rFonts w:eastAsiaTheme="minorHAnsi"/>
          <w:sz w:val="22"/>
          <w:szCs w:val="24"/>
          <w:lang w:eastAsia="en-US"/>
        </w:rPr>
        <w:t xml:space="preserve"> </w:t>
      </w:r>
      <w:r w:rsidRPr="00EC1A78">
        <w:rPr>
          <w:rFonts w:eastAsiaTheme="minorHAnsi"/>
          <w:sz w:val="22"/>
          <w:szCs w:val="24"/>
          <w:lang w:eastAsia="en-US"/>
        </w:rPr>
        <w:t>В.,</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доцент кафедры государственного и международного права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 xml:space="preserve">Кубанский государственный аграрный </w:t>
      </w:r>
    </w:p>
    <w:p w:rsidR="00EC1A78" w:rsidRPr="00EC1A78" w:rsidRDefault="00EC1A78" w:rsidP="00EC1A78">
      <w:pPr>
        <w:jc w:val="right"/>
        <w:rPr>
          <w:rFonts w:eastAsiaTheme="minorHAnsi"/>
          <w:sz w:val="22"/>
          <w:szCs w:val="24"/>
          <w:lang w:eastAsia="en-US"/>
        </w:rPr>
      </w:pPr>
      <w:r w:rsidRPr="00EC1A78">
        <w:rPr>
          <w:rFonts w:eastAsiaTheme="minorHAnsi"/>
          <w:sz w:val="22"/>
          <w:szCs w:val="24"/>
          <w:lang w:eastAsia="en-US"/>
        </w:rPr>
        <w:t>университет имени И.</w:t>
      </w:r>
      <w:r w:rsidR="00723562">
        <w:rPr>
          <w:rFonts w:eastAsiaTheme="minorHAnsi"/>
          <w:sz w:val="22"/>
          <w:szCs w:val="24"/>
          <w:lang w:eastAsia="en-US"/>
        </w:rPr>
        <w:t xml:space="preserve"> </w:t>
      </w:r>
      <w:r w:rsidRPr="00EC1A78">
        <w:rPr>
          <w:rFonts w:eastAsiaTheme="minorHAnsi"/>
          <w:sz w:val="22"/>
          <w:szCs w:val="24"/>
          <w:lang w:eastAsia="en-US"/>
        </w:rPr>
        <w:t>Т. Трубилина</w:t>
      </w:r>
    </w:p>
    <w:p w:rsidR="00EC1A78" w:rsidRPr="00EC1A78" w:rsidRDefault="00EC1A78" w:rsidP="00EC1A78">
      <w:pPr>
        <w:jc w:val="right"/>
        <w:rPr>
          <w:rFonts w:eastAsiaTheme="minorHAnsi"/>
          <w:sz w:val="22"/>
          <w:szCs w:val="24"/>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АННОТАЦИЯ: </w:t>
      </w:r>
      <w:r w:rsidRPr="00EC1A78">
        <w:rPr>
          <w:rFonts w:eastAsiaTheme="minorHAnsi"/>
          <w:color w:val="000000"/>
          <w:sz w:val="22"/>
          <w:szCs w:val="22"/>
          <w:lang w:eastAsia="en-US"/>
        </w:rPr>
        <w:t>В статье рассмотрена терминология, определ</w:t>
      </w:r>
      <w:r w:rsidRPr="00EC1A78">
        <w:rPr>
          <w:rFonts w:eastAsiaTheme="minorHAnsi"/>
          <w:color w:val="000000"/>
          <w:sz w:val="22"/>
          <w:szCs w:val="22"/>
          <w:lang w:eastAsia="en-US"/>
        </w:rPr>
        <w:t>я</w:t>
      </w:r>
      <w:r w:rsidRPr="00EC1A78">
        <w:rPr>
          <w:rFonts w:eastAsiaTheme="minorHAnsi"/>
          <w:color w:val="000000"/>
          <w:sz w:val="22"/>
          <w:szCs w:val="22"/>
          <w:lang w:eastAsia="en-US"/>
        </w:rPr>
        <w:t>ющая возможное и правомерное поведение лиц, посещающих в к</w:t>
      </w:r>
      <w:r w:rsidRPr="00EC1A78">
        <w:rPr>
          <w:rFonts w:eastAsiaTheme="minorHAnsi"/>
          <w:color w:val="000000"/>
          <w:sz w:val="22"/>
          <w:szCs w:val="22"/>
          <w:lang w:eastAsia="en-US"/>
        </w:rPr>
        <w:t>а</w:t>
      </w:r>
      <w:r w:rsidRPr="00EC1A78">
        <w:rPr>
          <w:rFonts w:eastAsiaTheme="minorHAnsi"/>
          <w:color w:val="000000"/>
          <w:sz w:val="22"/>
          <w:szCs w:val="22"/>
          <w:lang w:eastAsia="en-US"/>
        </w:rPr>
        <w:t xml:space="preserve">честве зрителей спортивные мероприятия </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2"/>
          <w:lang w:val="en-US" w:eastAsia="en-US"/>
        </w:rPr>
        <w:t>ABSTRACT: The article deals with the terminology that defines the possible and lawful conduct of persons visiting as spectators of a spor</w:t>
      </w:r>
      <w:r w:rsidRPr="00EC1A78">
        <w:rPr>
          <w:rFonts w:eastAsiaTheme="minorHAnsi"/>
          <w:sz w:val="22"/>
          <w:szCs w:val="22"/>
          <w:lang w:val="en-US" w:eastAsia="en-US"/>
        </w:rPr>
        <w:t>t</w:t>
      </w:r>
      <w:r w:rsidRPr="00EC1A78">
        <w:rPr>
          <w:rFonts w:eastAsiaTheme="minorHAnsi"/>
          <w:sz w:val="22"/>
          <w:szCs w:val="22"/>
          <w:lang w:val="en-US" w:eastAsia="en-US"/>
        </w:rPr>
        <w:t>ing event</w:t>
      </w:r>
      <w:r w:rsidRPr="00EC1A78">
        <w:rPr>
          <w:rFonts w:eastAsiaTheme="minorHAnsi"/>
          <w:sz w:val="22"/>
          <w:szCs w:val="24"/>
          <w:lang w:val="en-US" w:eastAsia="en-US"/>
        </w:rPr>
        <w:t xml:space="preserve"> </w:t>
      </w:r>
    </w:p>
    <w:p w:rsidR="00EC1A78" w:rsidRPr="00EC1A78" w:rsidRDefault="00EC1A78" w:rsidP="00EC1A78">
      <w:pPr>
        <w:ind w:firstLine="426"/>
        <w:jc w:val="both"/>
        <w:rPr>
          <w:rFonts w:eastAsiaTheme="minorHAnsi"/>
          <w:sz w:val="22"/>
          <w:szCs w:val="24"/>
          <w:lang w:eastAsia="en-US"/>
        </w:rPr>
      </w:pPr>
      <w:r w:rsidRPr="00EC1A78">
        <w:rPr>
          <w:rFonts w:eastAsiaTheme="minorHAnsi"/>
          <w:sz w:val="22"/>
          <w:szCs w:val="24"/>
          <w:lang w:eastAsia="en-US"/>
        </w:rPr>
        <w:t>КЛЮЧЕВЫЕ СЛОВА: спортивные мероприятия, публичные мероприятия, общественная безопасность, общественный порядок права и свободы лиц, посещающих спортивные мероприятия, б</w:t>
      </w:r>
      <w:r w:rsidRPr="00EC1A78">
        <w:rPr>
          <w:rFonts w:eastAsiaTheme="minorHAnsi"/>
          <w:sz w:val="22"/>
          <w:szCs w:val="24"/>
          <w:lang w:eastAsia="en-US"/>
        </w:rPr>
        <w:t>о</w:t>
      </w:r>
      <w:r w:rsidRPr="00EC1A78">
        <w:rPr>
          <w:rFonts w:eastAsiaTheme="minorHAnsi"/>
          <w:sz w:val="22"/>
          <w:szCs w:val="24"/>
          <w:lang w:eastAsia="en-US"/>
        </w:rPr>
        <w:t>лельщики.</w:t>
      </w:r>
    </w:p>
    <w:p w:rsidR="00EC1A78" w:rsidRPr="00EC1A78" w:rsidRDefault="00EC1A78" w:rsidP="00EC1A78">
      <w:pPr>
        <w:ind w:firstLine="426"/>
        <w:jc w:val="both"/>
        <w:rPr>
          <w:rFonts w:eastAsiaTheme="minorHAnsi"/>
          <w:sz w:val="22"/>
          <w:szCs w:val="24"/>
          <w:lang w:val="en-US" w:eastAsia="en-US"/>
        </w:rPr>
      </w:pPr>
      <w:r w:rsidRPr="00EC1A78">
        <w:rPr>
          <w:rFonts w:eastAsiaTheme="minorHAnsi"/>
          <w:sz w:val="22"/>
          <w:szCs w:val="24"/>
          <w:lang w:val="en-US" w:eastAsia="en-US"/>
        </w:rPr>
        <w:lastRenderedPageBreak/>
        <w:t xml:space="preserve">KEYWORDS: </w:t>
      </w:r>
      <w:r w:rsidRPr="00EC1A78">
        <w:rPr>
          <w:rFonts w:eastAsiaTheme="minorHAnsi"/>
          <w:sz w:val="22"/>
          <w:szCs w:val="22"/>
          <w:lang w:val="en-US" w:eastAsia="en-US"/>
        </w:rPr>
        <w:t>sporting events, public events, public safety, public order rights and freedoms of persons attending sporting events, fans</w:t>
      </w:r>
      <w:r w:rsidRPr="00EC1A78">
        <w:rPr>
          <w:rFonts w:eastAsiaTheme="minorHAnsi"/>
          <w:sz w:val="22"/>
          <w:szCs w:val="24"/>
          <w:lang w:val="en-US" w:eastAsia="en-US"/>
        </w:rPr>
        <w:t>.</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Реализация прав и свобод личности в момент проведения оф</w:t>
      </w:r>
      <w:r w:rsidRPr="00EC1A78">
        <w:rPr>
          <w:rFonts w:eastAsiaTheme="minorHAnsi"/>
          <w:sz w:val="22"/>
          <w:szCs w:val="22"/>
          <w:lang w:eastAsia="en-US"/>
        </w:rPr>
        <w:t>и</w:t>
      </w:r>
      <w:r w:rsidRPr="00EC1A78">
        <w:rPr>
          <w:rFonts w:eastAsiaTheme="minorHAnsi"/>
          <w:sz w:val="22"/>
          <w:szCs w:val="22"/>
          <w:lang w:eastAsia="en-US"/>
        </w:rPr>
        <w:t>циальных спортивных соревнований достаточно острый вопрос, который начал подниматься в России в преддверии спортивных м</w:t>
      </w:r>
      <w:r w:rsidRPr="00EC1A78">
        <w:rPr>
          <w:rFonts w:eastAsiaTheme="minorHAnsi"/>
          <w:sz w:val="22"/>
          <w:szCs w:val="22"/>
          <w:lang w:eastAsia="en-US"/>
        </w:rPr>
        <w:t>е</w:t>
      </w:r>
      <w:r w:rsidRPr="00EC1A78">
        <w:rPr>
          <w:rFonts w:eastAsiaTheme="minorHAnsi"/>
          <w:sz w:val="22"/>
          <w:szCs w:val="22"/>
          <w:lang w:eastAsia="en-US"/>
        </w:rPr>
        <w:t xml:space="preserve">роприятий мирового уровня – зимняя олимпиада 2014 года, Гран–при Формулы 1, Кубок Конфедераций, Чемпионат мира по футболу 2018. Проблема регулирования поведения зрителей на спортивных мероприятиях имела место быть задолго до вышеперечисленных мероприятий, однако регламентация данной сферы в основе своей произошла лишь в 2013 года.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 именно в 2013 году были приняты основные нормативные акты, устанавливающие правила поведения зрителей на меропри</w:t>
      </w:r>
      <w:r w:rsidRPr="00EC1A78">
        <w:rPr>
          <w:rFonts w:eastAsiaTheme="minorHAnsi"/>
          <w:sz w:val="22"/>
          <w:szCs w:val="22"/>
          <w:lang w:eastAsia="en-US"/>
        </w:rPr>
        <w:t>я</w:t>
      </w:r>
      <w:r w:rsidRPr="00EC1A78">
        <w:rPr>
          <w:rFonts w:eastAsiaTheme="minorHAnsi"/>
          <w:sz w:val="22"/>
          <w:szCs w:val="22"/>
          <w:lang w:eastAsia="en-US"/>
        </w:rPr>
        <w:t>тиях данной категории, требования для организаторов спортивных мероприятий, а также новые меры ответственности администрати</w:t>
      </w:r>
      <w:r w:rsidRPr="00EC1A78">
        <w:rPr>
          <w:rFonts w:eastAsiaTheme="minorHAnsi"/>
          <w:sz w:val="22"/>
          <w:szCs w:val="22"/>
          <w:lang w:eastAsia="en-US"/>
        </w:rPr>
        <w:t>в</w:t>
      </w:r>
      <w:r w:rsidRPr="00EC1A78">
        <w:rPr>
          <w:rFonts w:eastAsiaTheme="minorHAnsi"/>
          <w:sz w:val="22"/>
          <w:szCs w:val="22"/>
          <w:lang w:eastAsia="en-US"/>
        </w:rPr>
        <w:t xml:space="preserve">ного характера для нарушителей.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Вышеуказанные нормативные акты регулируют реализацию прав граждан на участие в культурной жизни, однако зачастую во время реализации данного права участники таковых мероприятий преследуют не только культурные, но и иные цели. К таковым ц</w:t>
      </w:r>
      <w:r w:rsidRPr="00EC1A78">
        <w:rPr>
          <w:rFonts w:eastAsiaTheme="minorHAnsi"/>
          <w:sz w:val="22"/>
          <w:szCs w:val="22"/>
          <w:lang w:eastAsia="en-US"/>
        </w:rPr>
        <w:t>е</w:t>
      </w:r>
      <w:r w:rsidRPr="00EC1A78">
        <w:rPr>
          <w:rFonts w:eastAsiaTheme="minorHAnsi"/>
          <w:sz w:val="22"/>
          <w:szCs w:val="22"/>
          <w:lang w:eastAsia="en-US"/>
        </w:rPr>
        <w:t>лям могут относится политические акции, акции экономического, социального и иного характера. Выражение таких целей может происходить посредством плакатов, растяжек, баннеров, атрибут</w:t>
      </w:r>
      <w:r w:rsidRPr="00EC1A78">
        <w:rPr>
          <w:rFonts w:eastAsiaTheme="minorHAnsi"/>
          <w:sz w:val="22"/>
          <w:szCs w:val="22"/>
          <w:lang w:eastAsia="en-US"/>
        </w:rPr>
        <w:t>и</w:t>
      </w:r>
      <w:r w:rsidRPr="00EC1A78">
        <w:rPr>
          <w:rFonts w:eastAsiaTheme="minorHAnsi"/>
          <w:sz w:val="22"/>
          <w:szCs w:val="22"/>
          <w:lang w:eastAsia="en-US"/>
        </w:rPr>
        <w:t>ки спортивных клубов, коллективного или единоличного исполн</w:t>
      </w:r>
      <w:r w:rsidRPr="00EC1A78">
        <w:rPr>
          <w:rFonts w:eastAsiaTheme="minorHAnsi"/>
          <w:sz w:val="22"/>
          <w:szCs w:val="22"/>
          <w:lang w:eastAsia="en-US"/>
        </w:rPr>
        <w:t>е</w:t>
      </w:r>
      <w:r w:rsidRPr="00EC1A78">
        <w:rPr>
          <w:rFonts w:eastAsiaTheme="minorHAnsi"/>
          <w:sz w:val="22"/>
          <w:szCs w:val="22"/>
          <w:lang w:eastAsia="en-US"/>
        </w:rPr>
        <w:t>ния музыкальных или иных произведений, жестов и так далее. Т</w:t>
      </w:r>
      <w:r w:rsidRPr="00EC1A78">
        <w:rPr>
          <w:rFonts w:eastAsiaTheme="minorHAnsi"/>
          <w:sz w:val="22"/>
          <w:szCs w:val="22"/>
          <w:lang w:eastAsia="en-US"/>
        </w:rPr>
        <w:t>а</w:t>
      </w:r>
      <w:r w:rsidRPr="00EC1A78">
        <w:rPr>
          <w:rFonts w:eastAsiaTheme="minorHAnsi"/>
          <w:sz w:val="22"/>
          <w:szCs w:val="22"/>
          <w:lang w:eastAsia="en-US"/>
        </w:rPr>
        <w:t xml:space="preserve">кое поведение не раз встречалось как со стороны болельщиков, так и непосредственно со стороны спортсменов.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Таким образом, зачастую во время спортивных мероприятий, которые не преследуют своей целью проведение каких–либо пу</w:t>
      </w:r>
      <w:r w:rsidRPr="00EC1A78">
        <w:rPr>
          <w:rFonts w:eastAsiaTheme="minorHAnsi"/>
          <w:sz w:val="22"/>
          <w:szCs w:val="22"/>
          <w:lang w:eastAsia="en-US"/>
        </w:rPr>
        <w:t>б</w:t>
      </w:r>
      <w:r w:rsidRPr="00EC1A78">
        <w:rPr>
          <w:rFonts w:eastAsiaTheme="minorHAnsi"/>
          <w:sz w:val="22"/>
          <w:szCs w:val="22"/>
          <w:lang w:eastAsia="en-US"/>
        </w:rPr>
        <w:t>личных акций, таковые все же имеют место быть. Также, несмотря на прямой запрет многими положениями о правилах посещения стадионов, спортивных площадок, сооружений проведения любых политических акций, выкриков, публичной демонстрации знаков или символики, направленных на унижение человеческого достои</w:t>
      </w:r>
      <w:r w:rsidRPr="00EC1A78">
        <w:rPr>
          <w:rFonts w:eastAsiaTheme="minorHAnsi"/>
          <w:sz w:val="22"/>
          <w:szCs w:val="22"/>
          <w:lang w:eastAsia="en-US"/>
        </w:rPr>
        <w:t>н</w:t>
      </w:r>
      <w:r w:rsidRPr="00EC1A78">
        <w:rPr>
          <w:rFonts w:eastAsiaTheme="minorHAnsi"/>
          <w:sz w:val="22"/>
          <w:szCs w:val="22"/>
          <w:lang w:eastAsia="en-US"/>
        </w:rPr>
        <w:t>ства, данные действия предпринимаются как болельщиками, так иногда и футболистами. В связи с этим следует рассмотреть соо</w:t>
      </w:r>
      <w:r w:rsidRPr="00EC1A78">
        <w:rPr>
          <w:rFonts w:eastAsiaTheme="minorHAnsi"/>
          <w:sz w:val="22"/>
          <w:szCs w:val="22"/>
          <w:lang w:eastAsia="en-US"/>
        </w:rPr>
        <w:t>т</w:t>
      </w:r>
      <w:r w:rsidRPr="00EC1A78">
        <w:rPr>
          <w:rFonts w:eastAsiaTheme="minorHAnsi"/>
          <w:sz w:val="22"/>
          <w:szCs w:val="22"/>
          <w:lang w:eastAsia="en-US"/>
        </w:rPr>
        <w:lastRenderedPageBreak/>
        <w:t>ношение понятий «спортивное мероприятие» и «публичное мер</w:t>
      </w:r>
      <w:r w:rsidRPr="00EC1A78">
        <w:rPr>
          <w:rFonts w:eastAsiaTheme="minorHAnsi"/>
          <w:sz w:val="22"/>
          <w:szCs w:val="22"/>
          <w:lang w:eastAsia="en-US"/>
        </w:rPr>
        <w:t>о</w:t>
      </w:r>
      <w:r w:rsidRPr="00EC1A78">
        <w:rPr>
          <w:rFonts w:eastAsiaTheme="minorHAnsi"/>
          <w:sz w:val="22"/>
          <w:szCs w:val="22"/>
          <w:lang w:eastAsia="en-US"/>
        </w:rPr>
        <w:t>приятие».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Спортивные и публичные мероприятия две похожие категории мероприятий. Между данными категориями можно проследить ко</w:t>
      </w:r>
      <w:r w:rsidRPr="00EC1A78">
        <w:rPr>
          <w:rFonts w:eastAsiaTheme="minorHAnsi"/>
          <w:sz w:val="22"/>
          <w:szCs w:val="22"/>
          <w:lang w:eastAsia="en-US"/>
        </w:rPr>
        <w:t>р</w:t>
      </w:r>
      <w:r w:rsidRPr="00EC1A78">
        <w:rPr>
          <w:rFonts w:eastAsiaTheme="minorHAnsi"/>
          <w:sz w:val="22"/>
          <w:szCs w:val="22"/>
          <w:lang w:eastAsia="en-US"/>
        </w:rPr>
        <w:t>реляцию как в требованиях, предъявляемых при организации п</w:t>
      </w:r>
      <w:r w:rsidRPr="00EC1A78">
        <w:rPr>
          <w:rFonts w:eastAsiaTheme="minorHAnsi"/>
          <w:sz w:val="22"/>
          <w:szCs w:val="22"/>
          <w:lang w:eastAsia="en-US"/>
        </w:rPr>
        <w:t>о</w:t>
      </w:r>
      <w:r w:rsidRPr="00EC1A78">
        <w:rPr>
          <w:rFonts w:eastAsiaTheme="minorHAnsi"/>
          <w:sz w:val="22"/>
          <w:szCs w:val="22"/>
          <w:lang w:eastAsia="en-US"/>
        </w:rPr>
        <w:t>добного рода мероприятий, в полномочиях организаторов, в правах и обязанностях участников. Федеральное законодательство ко</w:t>
      </w:r>
      <w:r w:rsidRPr="00EC1A78">
        <w:rPr>
          <w:rFonts w:eastAsiaTheme="minorHAnsi"/>
          <w:sz w:val="22"/>
          <w:szCs w:val="22"/>
          <w:lang w:eastAsia="en-US"/>
        </w:rPr>
        <w:t>н</w:t>
      </w:r>
      <w:r w:rsidRPr="00EC1A78">
        <w:rPr>
          <w:rFonts w:eastAsiaTheme="minorHAnsi"/>
          <w:sz w:val="22"/>
          <w:szCs w:val="22"/>
          <w:lang w:eastAsia="en-US"/>
        </w:rPr>
        <w:t>кретно не относит спортивное мероприятие к категории публичн</w:t>
      </w:r>
      <w:r w:rsidRPr="00EC1A78">
        <w:rPr>
          <w:rFonts w:eastAsiaTheme="minorHAnsi"/>
          <w:sz w:val="22"/>
          <w:szCs w:val="22"/>
          <w:lang w:eastAsia="en-US"/>
        </w:rPr>
        <w:t>о</w:t>
      </w:r>
      <w:r w:rsidRPr="00EC1A78">
        <w:rPr>
          <w:rFonts w:eastAsiaTheme="minorHAnsi"/>
          <w:sz w:val="22"/>
          <w:szCs w:val="22"/>
          <w:lang w:eastAsia="en-US"/>
        </w:rPr>
        <w:t>го, однако, во время проведения спортивного мероприятия нередки случаи, когда спортивное соревнование становится средством д</w:t>
      </w:r>
      <w:r w:rsidRPr="00EC1A78">
        <w:rPr>
          <w:rFonts w:eastAsiaTheme="minorHAnsi"/>
          <w:sz w:val="22"/>
          <w:szCs w:val="22"/>
          <w:lang w:eastAsia="en-US"/>
        </w:rPr>
        <w:t>о</w:t>
      </w:r>
      <w:r w:rsidRPr="00EC1A78">
        <w:rPr>
          <w:rFonts w:eastAsiaTheme="minorHAnsi"/>
          <w:sz w:val="22"/>
          <w:szCs w:val="22"/>
          <w:lang w:eastAsia="en-US"/>
        </w:rPr>
        <w:t>стижения, реализации, распространения каких–то политических идей, социальных взглядов. Данное действие отдельных участников спортивного соревнования нельзя отнести к какой–то отдельной форме публичного мероприятия – шествие, собрание, пикетиров</w:t>
      </w:r>
      <w:r w:rsidRPr="00EC1A78">
        <w:rPr>
          <w:rFonts w:eastAsiaTheme="minorHAnsi"/>
          <w:sz w:val="22"/>
          <w:szCs w:val="22"/>
          <w:lang w:eastAsia="en-US"/>
        </w:rPr>
        <w:t>а</w:t>
      </w:r>
      <w:r w:rsidRPr="00EC1A78">
        <w:rPr>
          <w:rFonts w:eastAsiaTheme="minorHAnsi"/>
          <w:sz w:val="22"/>
          <w:szCs w:val="22"/>
          <w:lang w:eastAsia="en-US"/>
        </w:rPr>
        <w:t>ние – так как это сублимация нескольких форм. Так, вышеуказа</w:t>
      </w:r>
      <w:r w:rsidRPr="00EC1A78">
        <w:rPr>
          <w:rFonts w:eastAsiaTheme="minorHAnsi"/>
          <w:sz w:val="22"/>
          <w:szCs w:val="22"/>
          <w:lang w:eastAsia="en-US"/>
        </w:rPr>
        <w:t>н</w:t>
      </w:r>
      <w:r w:rsidRPr="00EC1A78">
        <w:rPr>
          <w:rFonts w:eastAsiaTheme="minorHAnsi"/>
          <w:sz w:val="22"/>
          <w:szCs w:val="22"/>
          <w:lang w:eastAsia="en-US"/>
        </w:rPr>
        <w:t>ные акции, организованные в местах проведения спортивных с</w:t>
      </w:r>
      <w:r w:rsidRPr="00EC1A78">
        <w:rPr>
          <w:rFonts w:eastAsiaTheme="minorHAnsi"/>
          <w:sz w:val="22"/>
          <w:szCs w:val="22"/>
          <w:lang w:eastAsia="en-US"/>
        </w:rPr>
        <w:t>о</w:t>
      </w:r>
      <w:r w:rsidRPr="00EC1A78">
        <w:rPr>
          <w:rFonts w:eastAsiaTheme="minorHAnsi"/>
          <w:sz w:val="22"/>
          <w:szCs w:val="22"/>
          <w:lang w:eastAsia="en-US"/>
        </w:rPr>
        <w:t>ревнований, не являются по своей природе демонстрацией, так как не предполагает движение группы граждан. Также не относятся т</w:t>
      </w:r>
      <w:r w:rsidRPr="00EC1A78">
        <w:rPr>
          <w:rFonts w:eastAsiaTheme="minorHAnsi"/>
          <w:sz w:val="22"/>
          <w:szCs w:val="22"/>
          <w:lang w:eastAsia="en-US"/>
        </w:rPr>
        <w:t>а</w:t>
      </w:r>
      <w:r w:rsidRPr="00EC1A78">
        <w:rPr>
          <w:rFonts w:eastAsiaTheme="minorHAnsi"/>
          <w:sz w:val="22"/>
          <w:szCs w:val="22"/>
          <w:lang w:eastAsia="en-US"/>
        </w:rPr>
        <w:t>кие акции и к пикетированию, так как не предполагают размещение участников у пикетируемого объекта. Вследствие этого необходимо предусмотреть новую форму публичного мероприятия, отвечающей требованиям проводимых на стадионах акций, либо изменить кр</w:t>
      </w:r>
      <w:r w:rsidRPr="00EC1A78">
        <w:rPr>
          <w:rFonts w:eastAsiaTheme="minorHAnsi"/>
          <w:sz w:val="22"/>
          <w:szCs w:val="22"/>
          <w:lang w:eastAsia="en-US"/>
        </w:rPr>
        <w:t>и</w:t>
      </w:r>
      <w:r w:rsidRPr="00EC1A78">
        <w:rPr>
          <w:rFonts w:eastAsiaTheme="minorHAnsi"/>
          <w:sz w:val="22"/>
          <w:szCs w:val="22"/>
          <w:lang w:eastAsia="en-US"/>
        </w:rPr>
        <w:t>терии уже существующих в федеральном законе форм публичных мероприятий. Так, представляется необходимым внести поправки в ст.  2 Федерального закона «О собраниях, митингах, демонстрациях, шествиях и пикетированиях», а именно внести новый абзац, пред</w:t>
      </w:r>
      <w:r w:rsidRPr="00EC1A78">
        <w:rPr>
          <w:rFonts w:eastAsiaTheme="minorHAnsi"/>
          <w:sz w:val="22"/>
          <w:szCs w:val="22"/>
          <w:lang w:eastAsia="en-US"/>
        </w:rPr>
        <w:t>у</w:t>
      </w:r>
      <w:r w:rsidRPr="00EC1A78">
        <w:rPr>
          <w:rFonts w:eastAsiaTheme="minorHAnsi"/>
          <w:sz w:val="22"/>
          <w:szCs w:val="22"/>
          <w:lang w:eastAsia="en-US"/>
        </w:rPr>
        <w:t>сматривающий еще одну форму публичных мероприятий – публи</w:t>
      </w:r>
      <w:r w:rsidRPr="00EC1A78">
        <w:rPr>
          <w:rFonts w:eastAsiaTheme="minorHAnsi"/>
          <w:sz w:val="22"/>
          <w:szCs w:val="22"/>
          <w:lang w:eastAsia="en-US"/>
        </w:rPr>
        <w:t>ч</w:t>
      </w:r>
      <w:r w:rsidRPr="00EC1A78">
        <w:rPr>
          <w:rFonts w:eastAsiaTheme="minorHAnsi"/>
          <w:sz w:val="22"/>
          <w:szCs w:val="22"/>
          <w:lang w:eastAsia="en-US"/>
        </w:rPr>
        <w:t>ный поступок, в следующей формулировке. Публичная акция – о</w:t>
      </w:r>
      <w:r w:rsidRPr="00EC1A78">
        <w:rPr>
          <w:rFonts w:eastAsiaTheme="minorHAnsi"/>
          <w:sz w:val="22"/>
          <w:szCs w:val="22"/>
          <w:lang w:eastAsia="en-US"/>
        </w:rPr>
        <w:t>р</w:t>
      </w:r>
      <w:r w:rsidRPr="00EC1A78">
        <w:rPr>
          <w:rFonts w:eastAsiaTheme="minorHAnsi"/>
          <w:sz w:val="22"/>
          <w:szCs w:val="22"/>
          <w:lang w:eastAsia="en-US"/>
        </w:rPr>
        <w:t>ганизованная форма публичного выражения мнений одного или б</w:t>
      </w:r>
      <w:r w:rsidRPr="00EC1A78">
        <w:rPr>
          <w:rFonts w:eastAsiaTheme="minorHAnsi"/>
          <w:sz w:val="22"/>
          <w:szCs w:val="22"/>
          <w:lang w:eastAsia="en-US"/>
        </w:rPr>
        <w:t>о</w:t>
      </w:r>
      <w:r w:rsidRPr="00EC1A78">
        <w:rPr>
          <w:rFonts w:eastAsiaTheme="minorHAnsi"/>
          <w:sz w:val="22"/>
          <w:szCs w:val="22"/>
          <w:lang w:eastAsia="en-US"/>
        </w:rPr>
        <w:t>лее граждан, осуществляемое без передвижения, с использованием плакатов, транспарантов и иных средств наглядной агитации, а та</w:t>
      </w:r>
      <w:r w:rsidRPr="00EC1A78">
        <w:rPr>
          <w:rFonts w:eastAsiaTheme="minorHAnsi"/>
          <w:sz w:val="22"/>
          <w:szCs w:val="22"/>
          <w:lang w:eastAsia="en-US"/>
        </w:rPr>
        <w:t>к</w:t>
      </w:r>
      <w:r w:rsidRPr="00EC1A78">
        <w:rPr>
          <w:rFonts w:eastAsiaTheme="minorHAnsi"/>
          <w:sz w:val="22"/>
          <w:szCs w:val="22"/>
          <w:lang w:eastAsia="en-US"/>
        </w:rPr>
        <w:t>же звукоусиливающих технических средств, не запрещенных зак</w:t>
      </w:r>
      <w:r w:rsidRPr="00EC1A78">
        <w:rPr>
          <w:rFonts w:eastAsiaTheme="minorHAnsi"/>
          <w:sz w:val="22"/>
          <w:szCs w:val="22"/>
          <w:lang w:eastAsia="en-US"/>
        </w:rPr>
        <w:t>о</w:t>
      </w:r>
      <w:r w:rsidRPr="00EC1A78">
        <w:rPr>
          <w:rFonts w:eastAsiaTheme="minorHAnsi"/>
          <w:sz w:val="22"/>
          <w:szCs w:val="22"/>
          <w:lang w:eastAsia="en-US"/>
        </w:rPr>
        <w:t>нодательством. Такая новелла позволит применение предусмотре</w:t>
      </w:r>
      <w:r w:rsidRPr="00EC1A78">
        <w:rPr>
          <w:rFonts w:eastAsiaTheme="minorHAnsi"/>
          <w:sz w:val="22"/>
          <w:szCs w:val="22"/>
          <w:lang w:eastAsia="en-US"/>
        </w:rPr>
        <w:t>н</w:t>
      </w:r>
      <w:r w:rsidRPr="00EC1A78">
        <w:rPr>
          <w:rFonts w:eastAsiaTheme="minorHAnsi"/>
          <w:sz w:val="22"/>
          <w:szCs w:val="22"/>
          <w:lang w:eastAsia="en-US"/>
        </w:rPr>
        <w:t>ных для организуемых в местах проведения спортивных меропри</w:t>
      </w:r>
      <w:r w:rsidRPr="00EC1A78">
        <w:rPr>
          <w:rFonts w:eastAsiaTheme="minorHAnsi"/>
          <w:sz w:val="22"/>
          <w:szCs w:val="22"/>
          <w:lang w:eastAsia="en-US"/>
        </w:rPr>
        <w:t>я</w:t>
      </w:r>
      <w:r w:rsidRPr="00EC1A78">
        <w:rPr>
          <w:rFonts w:eastAsiaTheme="minorHAnsi"/>
          <w:sz w:val="22"/>
          <w:szCs w:val="22"/>
          <w:lang w:eastAsia="en-US"/>
        </w:rPr>
        <w:t xml:space="preserve">тий акций требования, установленные федеральным законом, а именно согласование данной акции, заблаговременное уведомление организаторов и т.д.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Кроме введения новой формы, можно ужесточить ответстве</w:t>
      </w:r>
      <w:r w:rsidRPr="00EC1A78">
        <w:rPr>
          <w:rFonts w:eastAsiaTheme="minorHAnsi"/>
          <w:sz w:val="22"/>
          <w:szCs w:val="22"/>
          <w:lang w:eastAsia="en-US"/>
        </w:rPr>
        <w:t>н</w:t>
      </w:r>
      <w:r w:rsidRPr="00EC1A78">
        <w:rPr>
          <w:rFonts w:eastAsiaTheme="minorHAnsi"/>
          <w:sz w:val="22"/>
          <w:szCs w:val="22"/>
          <w:lang w:eastAsia="en-US"/>
        </w:rPr>
        <w:t>ность за нарушение правил поведения на спортивных мероприят</w:t>
      </w:r>
      <w:r w:rsidRPr="00EC1A78">
        <w:rPr>
          <w:rFonts w:eastAsiaTheme="minorHAnsi"/>
          <w:sz w:val="22"/>
          <w:szCs w:val="22"/>
          <w:lang w:eastAsia="en-US"/>
        </w:rPr>
        <w:t>и</w:t>
      </w:r>
      <w:r w:rsidRPr="00EC1A78">
        <w:rPr>
          <w:rFonts w:eastAsiaTheme="minorHAnsi"/>
          <w:sz w:val="22"/>
          <w:szCs w:val="22"/>
          <w:lang w:eastAsia="en-US"/>
        </w:rPr>
        <w:t>ях. Однако, данное положение не отвечает тенденции законодател</w:t>
      </w:r>
      <w:r w:rsidRPr="00EC1A78">
        <w:rPr>
          <w:rFonts w:eastAsiaTheme="minorHAnsi"/>
          <w:sz w:val="22"/>
          <w:szCs w:val="22"/>
          <w:lang w:eastAsia="en-US"/>
        </w:rPr>
        <w:t>ь</w:t>
      </w:r>
      <w:r w:rsidRPr="00EC1A78">
        <w:rPr>
          <w:rFonts w:eastAsiaTheme="minorHAnsi"/>
          <w:sz w:val="22"/>
          <w:szCs w:val="22"/>
          <w:lang w:eastAsia="en-US"/>
        </w:rPr>
        <w:t>ства, которое в последнее время наоборот активно декриминализ</w:t>
      </w:r>
      <w:r w:rsidRPr="00EC1A78">
        <w:rPr>
          <w:rFonts w:eastAsiaTheme="minorHAnsi"/>
          <w:sz w:val="22"/>
          <w:szCs w:val="22"/>
          <w:lang w:eastAsia="en-US"/>
        </w:rPr>
        <w:t>и</w:t>
      </w:r>
      <w:r w:rsidRPr="00EC1A78">
        <w:rPr>
          <w:rFonts w:eastAsiaTheme="minorHAnsi"/>
          <w:sz w:val="22"/>
          <w:szCs w:val="22"/>
          <w:lang w:eastAsia="en-US"/>
        </w:rPr>
        <w:t>рует некоторые составы.</w:t>
      </w:r>
    </w:p>
    <w:p w:rsidR="00EC1A78" w:rsidRPr="00EC1A78" w:rsidRDefault="00EC1A78" w:rsidP="00EC1A78">
      <w:pPr>
        <w:ind w:firstLine="567"/>
        <w:jc w:val="both"/>
        <w:rPr>
          <w:rFonts w:eastAsiaTheme="minorHAnsi"/>
          <w:sz w:val="22"/>
          <w:szCs w:val="22"/>
          <w:lang w:eastAsia="en-US"/>
        </w:rPr>
      </w:pPr>
    </w:p>
    <w:p w:rsidR="00EC1A78" w:rsidRPr="00EC1A78" w:rsidRDefault="00723562" w:rsidP="00EC1A78">
      <w:pPr>
        <w:ind w:firstLine="567"/>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6"/>
        <w:jc w:val="both"/>
        <w:rPr>
          <w:sz w:val="22"/>
          <w:szCs w:val="24"/>
        </w:rPr>
      </w:pPr>
      <w:r w:rsidRPr="00EC1A78">
        <w:rPr>
          <w:sz w:val="22"/>
          <w:szCs w:val="24"/>
        </w:rPr>
        <w:t>1. О собраниях, митингах, демонстрациях, шествиях и пикет</w:t>
      </w:r>
      <w:r w:rsidRPr="00EC1A78">
        <w:rPr>
          <w:sz w:val="22"/>
          <w:szCs w:val="24"/>
        </w:rPr>
        <w:t>и</w:t>
      </w:r>
      <w:r w:rsidRPr="00EC1A78">
        <w:rPr>
          <w:sz w:val="22"/>
          <w:szCs w:val="24"/>
        </w:rPr>
        <w:t>рованиях: федер. закон № 54–ФЗ от 19 июня 2004 года в ред. от 07.06.2017 г. №107–ФЗ // Собрание Законодательства РФ. 2004 г. № 25. Ст.2485.</w:t>
      </w:r>
    </w:p>
    <w:p w:rsidR="00EC1A78" w:rsidRPr="00EC1A78" w:rsidRDefault="00EC1A78" w:rsidP="00EC1A78">
      <w:pPr>
        <w:ind w:firstLine="426"/>
        <w:jc w:val="both"/>
        <w:rPr>
          <w:sz w:val="22"/>
          <w:szCs w:val="24"/>
        </w:rPr>
      </w:pPr>
      <w:r w:rsidRPr="00EC1A78">
        <w:rPr>
          <w:sz w:val="22"/>
          <w:szCs w:val="24"/>
        </w:rPr>
        <w:t>2. О физической культуре и спорте в Российской Федерации: федер. закон № 329–ФЗ от 04 декабря 2007 г. в ред. от 26.07.2017 № 202–ФЗ // Собрание Законодательства РФ. 2007 г. № 50. Ст. 6242.</w:t>
      </w:r>
    </w:p>
    <w:p w:rsidR="00723562" w:rsidRPr="00EC1A78" w:rsidRDefault="00EC1A78" w:rsidP="00F253F3">
      <w:pPr>
        <w:ind w:firstLine="426"/>
        <w:jc w:val="both"/>
        <w:rPr>
          <w:sz w:val="22"/>
          <w:szCs w:val="24"/>
        </w:rPr>
      </w:pPr>
      <w:r w:rsidRPr="00EC1A78">
        <w:rPr>
          <w:sz w:val="22"/>
          <w:szCs w:val="24"/>
        </w:rPr>
        <w:t>3. Об утверждении правил поведения зрителей при проведении официальных спортивных соревнований: постановление Прав</w:t>
      </w:r>
      <w:r w:rsidRPr="00EC1A78">
        <w:rPr>
          <w:sz w:val="22"/>
          <w:szCs w:val="24"/>
        </w:rPr>
        <w:t>и</w:t>
      </w:r>
      <w:r w:rsidRPr="00EC1A78">
        <w:rPr>
          <w:sz w:val="22"/>
          <w:szCs w:val="24"/>
        </w:rPr>
        <w:t>тельства Российской Федерации №1156 от 16 декабря 2013 г. в ред. от 30.01.2014 № 65 // Собрание Законодательства РФ. 2013 г. № 51. Ст. 6866.</w:t>
      </w:r>
    </w:p>
    <w:p w:rsidR="002B3A7B" w:rsidRDefault="002B3A7B" w:rsidP="00EC1A78">
      <w:pPr>
        <w:rPr>
          <w:rFonts w:eastAsiaTheme="minorHAnsi"/>
          <w:sz w:val="22"/>
          <w:szCs w:val="22"/>
          <w:lang w:eastAsia="en-US"/>
        </w:rPr>
      </w:pPr>
    </w:p>
    <w:p w:rsidR="002B3A7B" w:rsidRDefault="002B3A7B" w:rsidP="00EC1A78">
      <w:pPr>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343.244</w:t>
      </w:r>
    </w:p>
    <w:p w:rsidR="00EC1A78" w:rsidRPr="00EC1A78" w:rsidRDefault="00EC1A78" w:rsidP="00EC1A78">
      <w:pPr>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Проблемы уголовной ответственности </w:t>
      </w:r>
      <w:r w:rsidR="00723562">
        <w:rPr>
          <w:rFonts w:eastAsiaTheme="minorHAnsi"/>
          <w:b/>
          <w:sz w:val="24"/>
          <w:szCs w:val="24"/>
          <w:lang w:eastAsia="en-US"/>
        </w:rPr>
        <w:br/>
      </w:r>
      <w:r w:rsidRPr="00EC1A78">
        <w:rPr>
          <w:rFonts w:eastAsiaTheme="minorHAnsi"/>
          <w:b/>
          <w:sz w:val="24"/>
          <w:szCs w:val="24"/>
          <w:lang w:eastAsia="en-US"/>
        </w:rPr>
        <w:t>несовершеннолетних в РФ и зарубежных странах</w:t>
      </w:r>
    </w:p>
    <w:p w:rsidR="00EC1A78" w:rsidRPr="001C6F5C"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Problems</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criminal</w:t>
      </w:r>
      <w:r w:rsidRPr="001C6F5C">
        <w:rPr>
          <w:rFonts w:eastAsiaTheme="minorHAnsi"/>
          <w:b/>
          <w:sz w:val="24"/>
          <w:szCs w:val="24"/>
          <w:lang w:val="en-US" w:eastAsia="en-US"/>
        </w:rPr>
        <w:t xml:space="preserve"> </w:t>
      </w:r>
      <w:r w:rsidRPr="00EC1A78">
        <w:rPr>
          <w:rFonts w:eastAsiaTheme="minorHAnsi"/>
          <w:b/>
          <w:sz w:val="24"/>
          <w:szCs w:val="24"/>
          <w:lang w:val="en-US" w:eastAsia="en-US"/>
        </w:rPr>
        <w:t>responsibility</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minors</w:t>
      </w:r>
      <w:r w:rsidRPr="001C6F5C">
        <w:rPr>
          <w:rFonts w:eastAsiaTheme="minorHAnsi"/>
          <w:b/>
          <w:sz w:val="24"/>
          <w:szCs w:val="24"/>
          <w:lang w:val="en-US" w:eastAsia="en-US"/>
        </w:rPr>
        <w:t xml:space="preserve"> </w:t>
      </w:r>
      <w:r w:rsidRPr="00EC1A78">
        <w:rPr>
          <w:rFonts w:eastAsiaTheme="minorHAnsi"/>
          <w:b/>
          <w:sz w:val="24"/>
          <w:szCs w:val="24"/>
          <w:lang w:val="en-US" w:eastAsia="en-US"/>
        </w:rPr>
        <w:t>in</w:t>
      </w:r>
      <w:r w:rsidRPr="001C6F5C">
        <w:rPr>
          <w:rFonts w:eastAsiaTheme="minorHAnsi"/>
          <w:b/>
          <w:sz w:val="24"/>
          <w:szCs w:val="24"/>
          <w:lang w:val="en-US" w:eastAsia="en-US"/>
        </w:rPr>
        <w:t xml:space="preserve"> </w:t>
      </w:r>
      <w:r w:rsidRPr="00EC1A78">
        <w:rPr>
          <w:rFonts w:eastAsiaTheme="minorHAnsi"/>
          <w:b/>
          <w:sz w:val="24"/>
          <w:szCs w:val="24"/>
          <w:lang w:val="en-US" w:eastAsia="en-US"/>
        </w:rPr>
        <w:t>the</w:t>
      </w:r>
      <w:r w:rsidRPr="001C6F5C">
        <w:rPr>
          <w:rFonts w:eastAsiaTheme="minorHAnsi"/>
          <w:b/>
          <w:sz w:val="24"/>
          <w:szCs w:val="24"/>
          <w:lang w:val="en-US" w:eastAsia="en-US"/>
        </w:rPr>
        <w:t xml:space="preserve"> </w:t>
      </w:r>
      <w:r w:rsidRPr="00EC1A78">
        <w:rPr>
          <w:rFonts w:eastAsiaTheme="minorHAnsi"/>
          <w:b/>
          <w:sz w:val="24"/>
          <w:szCs w:val="24"/>
          <w:lang w:val="en-US" w:eastAsia="en-US"/>
        </w:rPr>
        <w:t>Russian</w:t>
      </w:r>
      <w:r w:rsidRPr="001C6F5C">
        <w:rPr>
          <w:rFonts w:eastAsiaTheme="minorHAnsi"/>
          <w:b/>
          <w:sz w:val="24"/>
          <w:szCs w:val="24"/>
          <w:lang w:val="en-US" w:eastAsia="en-US"/>
        </w:rPr>
        <w:t xml:space="preserve"> </w:t>
      </w:r>
      <w:r w:rsidRPr="00EC1A78">
        <w:rPr>
          <w:rFonts w:eastAsiaTheme="minorHAnsi"/>
          <w:b/>
          <w:sz w:val="24"/>
          <w:szCs w:val="24"/>
          <w:lang w:val="en-US" w:eastAsia="en-US"/>
        </w:rPr>
        <w:t>Federation</w:t>
      </w:r>
      <w:r w:rsidRPr="001C6F5C">
        <w:rPr>
          <w:rFonts w:eastAsiaTheme="minorHAnsi"/>
          <w:b/>
          <w:sz w:val="24"/>
          <w:szCs w:val="24"/>
          <w:lang w:val="en-US" w:eastAsia="en-US"/>
        </w:rPr>
        <w:t xml:space="preserve"> </w:t>
      </w:r>
      <w:r w:rsidRPr="00EC1A78">
        <w:rPr>
          <w:rFonts w:eastAsiaTheme="minorHAnsi"/>
          <w:b/>
          <w:sz w:val="24"/>
          <w:szCs w:val="24"/>
          <w:lang w:val="en-US" w:eastAsia="en-US"/>
        </w:rPr>
        <w:t>and</w:t>
      </w:r>
      <w:r w:rsidRPr="001C6F5C">
        <w:rPr>
          <w:rFonts w:eastAsiaTheme="minorHAnsi"/>
          <w:b/>
          <w:sz w:val="24"/>
          <w:szCs w:val="24"/>
          <w:lang w:val="en-US" w:eastAsia="en-US"/>
        </w:rPr>
        <w:t xml:space="preserve"> </w:t>
      </w:r>
      <w:r w:rsidRPr="00EC1A78">
        <w:rPr>
          <w:rFonts w:eastAsiaTheme="minorHAnsi"/>
          <w:b/>
          <w:sz w:val="24"/>
          <w:szCs w:val="24"/>
          <w:lang w:val="en-US" w:eastAsia="en-US"/>
        </w:rPr>
        <w:t>foreign</w:t>
      </w:r>
      <w:r w:rsidRPr="001C6F5C">
        <w:rPr>
          <w:rFonts w:eastAsiaTheme="minorHAnsi"/>
          <w:b/>
          <w:sz w:val="24"/>
          <w:szCs w:val="24"/>
          <w:lang w:val="en-US" w:eastAsia="en-US"/>
        </w:rPr>
        <w:t xml:space="preserve"> </w:t>
      </w:r>
      <w:r w:rsidRPr="00EC1A78">
        <w:rPr>
          <w:rFonts w:eastAsiaTheme="minorHAnsi"/>
          <w:b/>
          <w:sz w:val="24"/>
          <w:szCs w:val="24"/>
          <w:lang w:val="en-US" w:eastAsia="en-US"/>
        </w:rPr>
        <w:t>countries</w:t>
      </w:r>
    </w:p>
    <w:p w:rsidR="00EC1A78" w:rsidRPr="001C6F5C"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Соловыхова А.</w:t>
      </w:r>
      <w:r w:rsidR="00723562">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color w:val="000000"/>
          <w:sz w:val="22"/>
          <w:szCs w:val="22"/>
          <w:lang w:eastAsia="en-US"/>
        </w:rPr>
        <w:t>университет имени И.</w:t>
      </w:r>
      <w:r w:rsidR="00723562">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статье проводится сравнительно–правовой анализ норм российского и зарубежного права в отнош</w:t>
      </w:r>
      <w:r w:rsidRPr="00EC1A78">
        <w:rPr>
          <w:rFonts w:eastAsiaTheme="minorHAnsi"/>
          <w:sz w:val="22"/>
          <w:szCs w:val="22"/>
          <w:lang w:eastAsia="en-US"/>
        </w:rPr>
        <w:t>е</w:t>
      </w:r>
      <w:r w:rsidRPr="00EC1A78">
        <w:rPr>
          <w:rFonts w:eastAsiaTheme="minorHAnsi"/>
          <w:sz w:val="22"/>
          <w:szCs w:val="22"/>
          <w:lang w:eastAsia="en-US"/>
        </w:rPr>
        <w:t>нии уголовной ответственности несовершеннолетних. Данная раб</w:t>
      </w:r>
      <w:r w:rsidRPr="00EC1A78">
        <w:rPr>
          <w:rFonts w:eastAsiaTheme="minorHAnsi"/>
          <w:sz w:val="22"/>
          <w:szCs w:val="22"/>
          <w:lang w:eastAsia="en-US"/>
        </w:rPr>
        <w:t>о</w:t>
      </w:r>
      <w:r w:rsidRPr="00EC1A78">
        <w:rPr>
          <w:rFonts w:eastAsiaTheme="minorHAnsi"/>
          <w:sz w:val="22"/>
          <w:szCs w:val="22"/>
          <w:lang w:eastAsia="en-US"/>
        </w:rPr>
        <w:lastRenderedPageBreak/>
        <w:t xml:space="preserve">та содержит в себе сравнение современного состояния правовых норм разных стран.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ANNOTATION: In this article, a comparative legal analysis of the norms of Russian and foreign law regarding the criminal responsibility of minors is conducted. This work contains a comparison of the current state of legislation of different countries.</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преступление, ответственность, нес</w:t>
      </w:r>
      <w:r w:rsidRPr="00EC1A78">
        <w:rPr>
          <w:rFonts w:eastAsiaTheme="minorHAnsi"/>
          <w:sz w:val="22"/>
          <w:szCs w:val="22"/>
          <w:lang w:eastAsia="en-US"/>
        </w:rPr>
        <w:t>о</w:t>
      </w:r>
      <w:r w:rsidRPr="00EC1A78">
        <w:rPr>
          <w:rFonts w:eastAsiaTheme="minorHAnsi"/>
          <w:sz w:val="22"/>
          <w:szCs w:val="22"/>
          <w:lang w:eastAsia="en-US"/>
        </w:rPr>
        <w:t>вершеннолетний, сравнение, уголовное законодательство.</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 WORDS: crime, responsibility, minor,</w:t>
      </w:r>
      <w:r w:rsidRPr="00EC1A78">
        <w:rPr>
          <w:color w:val="212121"/>
          <w:sz w:val="20"/>
          <w:szCs w:val="20"/>
          <w:lang w:val="en"/>
        </w:rPr>
        <w:t xml:space="preserve"> </w:t>
      </w:r>
      <w:r w:rsidRPr="00EC1A78">
        <w:rPr>
          <w:rFonts w:eastAsiaTheme="minorHAnsi"/>
          <w:sz w:val="22"/>
          <w:szCs w:val="22"/>
          <w:lang w:val="en" w:eastAsia="en-US"/>
        </w:rPr>
        <w:t>comparison, criminal legislation</w:t>
      </w:r>
      <w:r w:rsidRPr="00EC1A78">
        <w:rPr>
          <w:rFonts w:eastAsiaTheme="minorHAnsi"/>
          <w:sz w:val="22"/>
          <w:szCs w:val="22"/>
          <w:lang w:val="en-US" w:eastAsia="en-US"/>
        </w:rPr>
        <w:t>.</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Уголовная ответственность несовершеннолетних безусловно является одной из важнейших сфер изучения в современном общ</w:t>
      </w:r>
      <w:r w:rsidRPr="00EC1A78">
        <w:rPr>
          <w:rFonts w:eastAsiaTheme="minorHAnsi"/>
          <w:sz w:val="22"/>
          <w:szCs w:val="22"/>
          <w:lang w:eastAsia="en-US"/>
        </w:rPr>
        <w:t>е</w:t>
      </w:r>
      <w:r w:rsidRPr="00EC1A78">
        <w:rPr>
          <w:rFonts w:eastAsiaTheme="minorHAnsi"/>
          <w:sz w:val="22"/>
          <w:szCs w:val="22"/>
          <w:lang w:eastAsia="en-US"/>
        </w:rPr>
        <w:t>стве. Подростки являются самой незащищенной от преступного м</w:t>
      </w:r>
      <w:r w:rsidRPr="00EC1A78">
        <w:rPr>
          <w:rFonts w:eastAsiaTheme="minorHAnsi"/>
          <w:sz w:val="22"/>
          <w:szCs w:val="22"/>
          <w:lang w:eastAsia="en-US"/>
        </w:rPr>
        <w:t>и</w:t>
      </w:r>
      <w:r w:rsidRPr="00EC1A78">
        <w:rPr>
          <w:rFonts w:eastAsiaTheme="minorHAnsi"/>
          <w:sz w:val="22"/>
          <w:szCs w:val="22"/>
          <w:lang w:eastAsia="en-US"/>
        </w:rPr>
        <w:t xml:space="preserve">ра группой и более подвержены влиянию со стороны.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Проводя сравнительный анализ уголовно–правовых норм ра</w:t>
      </w:r>
      <w:r w:rsidRPr="00EC1A78">
        <w:rPr>
          <w:rFonts w:eastAsiaTheme="minorHAnsi"/>
          <w:sz w:val="22"/>
          <w:szCs w:val="22"/>
          <w:lang w:eastAsia="en-US"/>
        </w:rPr>
        <w:t>з</w:t>
      </w:r>
      <w:r w:rsidRPr="00EC1A78">
        <w:rPr>
          <w:rFonts w:eastAsiaTheme="minorHAnsi"/>
          <w:sz w:val="22"/>
          <w:szCs w:val="22"/>
          <w:lang w:eastAsia="en-US"/>
        </w:rPr>
        <w:t>личных стран, за основной критерий можно взять отношение стр</w:t>
      </w:r>
      <w:r w:rsidRPr="00EC1A78">
        <w:rPr>
          <w:rFonts w:eastAsiaTheme="minorHAnsi"/>
          <w:sz w:val="22"/>
          <w:szCs w:val="22"/>
          <w:lang w:eastAsia="en-US"/>
        </w:rPr>
        <w:t>а</w:t>
      </w:r>
      <w:r w:rsidRPr="00EC1A78">
        <w:rPr>
          <w:rFonts w:eastAsiaTheme="minorHAnsi"/>
          <w:sz w:val="22"/>
          <w:szCs w:val="22"/>
          <w:lang w:eastAsia="en-US"/>
        </w:rPr>
        <w:t>ны к той или иной правовой системе. В современном мире выдел</w:t>
      </w:r>
      <w:r w:rsidRPr="00EC1A78">
        <w:rPr>
          <w:rFonts w:eastAsiaTheme="minorHAnsi"/>
          <w:sz w:val="22"/>
          <w:szCs w:val="22"/>
          <w:lang w:eastAsia="en-US"/>
        </w:rPr>
        <w:t>я</w:t>
      </w:r>
      <w:r w:rsidRPr="00EC1A78">
        <w:rPr>
          <w:rFonts w:eastAsiaTheme="minorHAnsi"/>
          <w:sz w:val="22"/>
          <w:szCs w:val="22"/>
          <w:lang w:eastAsia="en-US"/>
        </w:rPr>
        <w:t>ют несколько правовых систем: романо–германская (ФРГ, Фра</w:t>
      </w:r>
      <w:r w:rsidRPr="00EC1A78">
        <w:rPr>
          <w:rFonts w:eastAsiaTheme="minorHAnsi"/>
          <w:sz w:val="22"/>
          <w:szCs w:val="22"/>
          <w:lang w:eastAsia="en-US"/>
        </w:rPr>
        <w:t>н</w:t>
      </w:r>
      <w:r w:rsidRPr="00EC1A78">
        <w:rPr>
          <w:rFonts w:eastAsiaTheme="minorHAnsi"/>
          <w:sz w:val="22"/>
          <w:szCs w:val="22"/>
          <w:lang w:eastAsia="en-US"/>
        </w:rPr>
        <w:t xml:space="preserve">ция); англо–саксонская (Великобритания, США); мусульманская (ОАЭ, Сирия) и смешанная система (Российская Федерация).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Романо–германская правовая система отличается своим стр</w:t>
      </w:r>
      <w:r w:rsidRPr="00EC1A78">
        <w:rPr>
          <w:rFonts w:eastAsiaTheme="minorHAnsi"/>
          <w:sz w:val="22"/>
          <w:szCs w:val="22"/>
          <w:lang w:eastAsia="en-US"/>
        </w:rPr>
        <w:t>е</w:t>
      </w:r>
      <w:r w:rsidRPr="00EC1A78">
        <w:rPr>
          <w:rFonts w:eastAsiaTheme="minorHAnsi"/>
          <w:sz w:val="22"/>
          <w:szCs w:val="22"/>
          <w:lang w:eastAsia="en-US"/>
        </w:rPr>
        <w:t>мительным развитием в сфере уголовной ответственности несове</w:t>
      </w:r>
      <w:r w:rsidRPr="00EC1A78">
        <w:rPr>
          <w:rFonts w:eastAsiaTheme="minorHAnsi"/>
          <w:sz w:val="22"/>
          <w:szCs w:val="22"/>
          <w:lang w:eastAsia="en-US"/>
        </w:rPr>
        <w:t>р</w:t>
      </w:r>
      <w:r w:rsidRPr="00EC1A78">
        <w:rPr>
          <w:rFonts w:eastAsiaTheme="minorHAnsi"/>
          <w:sz w:val="22"/>
          <w:szCs w:val="22"/>
          <w:lang w:eastAsia="en-US"/>
        </w:rPr>
        <w:t>шеннолетних. О чем может свидетельствовать сравнительный ан</w:t>
      </w:r>
      <w:r w:rsidRPr="00EC1A78">
        <w:rPr>
          <w:rFonts w:eastAsiaTheme="minorHAnsi"/>
          <w:sz w:val="22"/>
          <w:szCs w:val="22"/>
          <w:lang w:eastAsia="en-US"/>
        </w:rPr>
        <w:t>а</w:t>
      </w:r>
      <w:r w:rsidRPr="00EC1A78">
        <w:rPr>
          <w:rFonts w:eastAsiaTheme="minorHAnsi"/>
          <w:sz w:val="22"/>
          <w:szCs w:val="22"/>
          <w:lang w:eastAsia="en-US"/>
        </w:rPr>
        <w:t>лиз истории развития уголовного законодательства ФРГ и РФ. Пе</w:t>
      </w:r>
      <w:r w:rsidRPr="00EC1A78">
        <w:rPr>
          <w:rFonts w:eastAsiaTheme="minorHAnsi"/>
          <w:sz w:val="22"/>
          <w:szCs w:val="22"/>
          <w:lang w:eastAsia="en-US"/>
        </w:rPr>
        <w:t>р</w:t>
      </w:r>
      <w:r w:rsidRPr="00EC1A78">
        <w:rPr>
          <w:rFonts w:eastAsiaTheme="minorHAnsi"/>
          <w:sz w:val="22"/>
          <w:szCs w:val="22"/>
          <w:lang w:eastAsia="en-US"/>
        </w:rPr>
        <w:t>вые попытки обособления норм об уголовной ответственности несовершеннолетних в ФРГ были предприняты на 2–3 века раньше, чем в Российской Федерации. Во Франции тем временем возраст уголовной ответственности не был установлен, но судья при разр</w:t>
      </w:r>
      <w:r w:rsidRPr="00EC1A78">
        <w:rPr>
          <w:rFonts w:eastAsiaTheme="minorHAnsi"/>
          <w:sz w:val="22"/>
          <w:szCs w:val="22"/>
          <w:lang w:eastAsia="en-US"/>
        </w:rPr>
        <w:t>е</w:t>
      </w:r>
      <w:r w:rsidRPr="00EC1A78">
        <w:rPr>
          <w:rFonts w:eastAsiaTheme="minorHAnsi"/>
          <w:sz w:val="22"/>
          <w:szCs w:val="22"/>
          <w:lang w:eastAsia="en-US"/>
        </w:rPr>
        <w:t>шении дела с участием несовершеннолетнего первым делом прин</w:t>
      </w:r>
      <w:r w:rsidRPr="00EC1A78">
        <w:rPr>
          <w:rFonts w:eastAsiaTheme="minorHAnsi"/>
          <w:sz w:val="22"/>
          <w:szCs w:val="22"/>
          <w:lang w:eastAsia="en-US"/>
        </w:rPr>
        <w:t>и</w:t>
      </w:r>
      <w:r w:rsidRPr="00EC1A78">
        <w:rPr>
          <w:rFonts w:eastAsiaTheme="minorHAnsi"/>
          <w:sz w:val="22"/>
          <w:szCs w:val="22"/>
          <w:lang w:eastAsia="en-US"/>
        </w:rPr>
        <w:t>мал решение о том, действовал ли подросток с разумением, т.е. ос</w:t>
      </w:r>
      <w:r w:rsidRPr="00EC1A78">
        <w:rPr>
          <w:rFonts w:eastAsiaTheme="minorHAnsi"/>
          <w:sz w:val="22"/>
          <w:szCs w:val="22"/>
          <w:lang w:eastAsia="en-US"/>
        </w:rPr>
        <w:t>о</w:t>
      </w:r>
      <w:r w:rsidRPr="00EC1A78">
        <w:rPr>
          <w:rFonts w:eastAsiaTheme="minorHAnsi"/>
          <w:sz w:val="22"/>
          <w:szCs w:val="22"/>
          <w:lang w:eastAsia="en-US"/>
        </w:rPr>
        <w:t>знавал ли, что совершает преступное деяние. На современном этапе развития видно, что уголовные нормы стран Западной Европы б</w:t>
      </w:r>
      <w:r w:rsidRPr="00EC1A78">
        <w:rPr>
          <w:rFonts w:eastAsiaTheme="minorHAnsi"/>
          <w:sz w:val="22"/>
          <w:szCs w:val="22"/>
          <w:lang w:eastAsia="en-US"/>
        </w:rPr>
        <w:t>о</w:t>
      </w:r>
      <w:r w:rsidRPr="00EC1A78">
        <w:rPr>
          <w:rFonts w:eastAsiaTheme="minorHAnsi"/>
          <w:sz w:val="22"/>
          <w:szCs w:val="22"/>
          <w:lang w:eastAsia="en-US"/>
        </w:rPr>
        <w:t xml:space="preserve">лее суровы, нежели нормы РФ. Это следует из того, что возраст наступления уголовной ответственности в РФ – 14 лет [1], ФРГ – 12 лет [2], Франция – 13 лет [3].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Главным и самым явным отличием англо–саксонской правовой системы от смешанной системы, к которой принадлежит РФ, явл</w:t>
      </w:r>
      <w:r w:rsidRPr="00EC1A78">
        <w:rPr>
          <w:rFonts w:eastAsiaTheme="minorHAnsi"/>
          <w:sz w:val="22"/>
          <w:szCs w:val="22"/>
          <w:lang w:eastAsia="en-US"/>
        </w:rPr>
        <w:t>я</w:t>
      </w:r>
      <w:r w:rsidRPr="00EC1A78">
        <w:rPr>
          <w:rFonts w:eastAsiaTheme="minorHAnsi"/>
          <w:sz w:val="22"/>
          <w:szCs w:val="22"/>
          <w:lang w:eastAsia="en-US"/>
        </w:rPr>
        <w:lastRenderedPageBreak/>
        <w:t>ется использование судебного прецедента как источника уголовн</w:t>
      </w:r>
      <w:r w:rsidRPr="00EC1A78">
        <w:rPr>
          <w:rFonts w:eastAsiaTheme="minorHAnsi"/>
          <w:sz w:val="22"/>
          <w:szCs w:val="22"/>
          <w:lang w:eastAsia="en-US"/>
        </w:rPr>
        <w:t>о</w:t>
      </w:r>
      <w:r w:rsidRPr="00EC1A78">
        <w:rPr>
          <w:rFonts w:eastAsiaTheme="minorHAnsi"/>
          <w:sz w:val="22"/>
          <w:szCs w:val="22"/>
          <w:lang w:eastAsia="en-US"/>
        </w:rPr>
        <w:t>го права. Уголовное законодательство США, безусловно, можно назвать более строгим и жестким. Например, максимальное наказ</w:t>
      </w:r>
      <w:r w:rsidRPr="00EC1A78">
        <w:rPr>
          <w:rFonts w:eastAsiaTheme="minorHAnsi"/>
          <w:sz w:val="22"/>
          <w:szCs w:val="22"/>
          <w:lang w:eastAsia="en-US"/>
        </w:rPr>
        <w:t>а</w:t>
      </w:r>
      <w:r w:rsidRPr="00EC1A78">
        <w:rPr>
          <w:rFonts w:eastAsiaTheme="minorHAnsi"/>
          <w:sz w:val="22"/>
          <w:szCs w:val="22"/>
          <w:lang w:eastAsia="en-US"/>
        </w:rPr>
        <w:t>ние для несовершеннолетнего в РФ может составить не более 10 лет [1], в свою очередь в США наказание не может превышать срок 20 лет, а так же в некоторых штатах имеет место быть применение смертной казни. Так же отличием от РФ можно считать то, что пр</w:t>
      </w:r>
      <w:r w:rsidRPr="00EC1A78">
        <w:rPr>
          <w:rFonts w:eastAsiaTheme="minorHAnsi"/>
          <w:sz w:val="22"/>
          <w:szCs w:val="22"/>
          <w:lang w:eastAsia="en-US"/>
        </w:rPr>
        <w:t>и</w:t>
      </w:r>
      <w:r w:rsidRPr="00EC1A78">
        <w:rPr>
          <w:rFonts w:eastAsiaTheme="minorHAnsi"/>
          <w:sz w:val="22"/>
          <w:szCs w:val="22"/>
          <w:lang w:eastAsia="en-US"/>
        </w:rPr>
        <w:t>влечение к уголовной ответственности несовершеннолетнего зав</w:t>
      </w:r>
      <w:r w:rsidRPr="00EC1A78">
        <w:rPr>
          <w:rFonts w:eastAsiaTheme="minorHAnsi"/>
          <w:sz w:val="22"/>
          <w:szCs w:val="22"/>
          <w:lang w:eastAsia="en-US"/>
        </w:rPr>
        <w:t>и</w:t>
      </w:r>
      <w:r w:rsidRPr="00EC1A78">
        <w:rPr>
          <w:rFonts w:eastAsiaTheme="minorHAnsi"/>
          <w:sz w:val="22"/>
          <w:szCs w:val="22"/>
          <w:lang w:eastAsia="en-US"/>
        </w:rPr>
        <w:t>сит от усмотрения суда, такое положение существует в 37 штатах. Говоря о Великобритании, можно сказать, что уголовное законод</w:t>
      </w:r>
      <w:r w:rsidRPr="00EC1A78">
        <w:rPr>
          <w:rFonts w:eastAsiaTheme="minorHAnsi"/>
          <w:sz w:val="22"/>
          <w:szCs w:val="22"/>
          <w:lang w:eastAsia="en-US"/>
        </w:rPr>
        <w:t>а</w:t>
      </w:r>
      <w:r w:rsidRPr="00EC1A78">
        <w:rPr>
          <w:rFonts w:eastAsiaTheme="minorHAnsi"/>
          <w:sz w:val="22"/>
          <w:szCs w:val="22"/>
          <w:lang w:eastAsia="en-US"/>
        </w:rPr>
        <w:t>тельство данной страны сложилось из двух частей: нормы обычного права, которые существовали издавна на данной территории и но</w:t>
      </w:r>
      <w:r w:rsidRPr="00EC1A78">
        <w:rPr>
          <w:rFonts w:eastAsiaTheme="minorHAnsi"/>
          <w:sz w:val="22"/>
          <w:szCs w:val="22"/>
          <w:lang w:eastAsia="en-US"/>
        </w:rPr>
        <w:t>р</w:t>
      </w:r>
      <w:r w:rsidRPr="00EC1A78">
        <w:rPr>
          <w:rFonts w:eastAsiaTheme="minorHAnsi"/>
          <w:sz w:val="22"/>
          <w:szCs w:val="22"/>
          <w:lang w:eastAsia="en-US"/>
        </w:rPr>
        <w:t>мы, принесенные на эти земли нормандскими захватчиками. Уг</w:t>
      </w:r>
      <w:r w:rsidRPr="00EC1A78">
        <w:rPr>
          <w:rFonts w:eastAsiaTheme="minorHAnsi"/>
          <w:sz w:val="22"/>
          <w:szCs w:val="22"/>
          <w:lang w:eastAsia="en-US"/>
        </w:rPr>
        <w:t>о</w:t>
      </w:r>
      <w:r w:rsidRPr="00EC1A78">
        <w:rPr>
          <w:rFonts w:eastAsiaTheme="minorHAnsi"/>
          <w:sz w:val="22"/>
          <w:szCs w:val="22"/>
          <w:lang w:eastAsia="en-US"/>
        </w:rPr>
        <w:t xml:space="preserve">ловное законодательство в отношении несовершеннолетних имеет большое сходство с законодательством США.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 самой непохожей на систему Российской Федерации являе</w:t>
      </w:r>
      <w:r w:rsidRPr="00EC1A78">
        <w:rPr>
          <w:rFonts w:eastAsiaTheme="minorHAnsi"/>
          <w:sz w:val="22"/>
          <w:szCs w:val="22"/>
          <w:lang w:eastAsia="en-US"/>
        </w:rPr>
        <w:t>т</w:t>
      </w:r>
      <w:r w:rsidRPr="00EC1A78">
        <w:rPr>
          <w:rFonts w:eastAsiaTheme="minorHAnsi"/>
          <w:sz w:val="22"/>
          <w:szCs w:val="22"/>
          <w:lang w:eastAsia="en-US"/>
        </w:rPr>
        <w:t>ся мусульманская правовая система. Существенным отличием мо</w:t>
      </w:r>
      <w:r w:rsidRPr="00EC1A78">
        <w:rPr>
          <w:rFonts w:eastAsiaTheme="minorHAnsi"/>
          <w:sz w:val="22"/>
          <w:szCs w:val="22"/>
          <w:lang w:eastAsia="en-US"/>
        </w:rPr>
        <w:t>ж</w:t>
      </w:r>
      <w:r w:rsidRPr="00EC1A78">
        <w:rPr>
          <w:rFonts w:eastAsiaTheme="minorHAnsi"/>
          <w:sz w:val="22"/>
          <w:szCs w:val="22"/>
          <w:lang w:eastAsia="en-US"/>
        </w:rPr>
        <w:t>но считать построение мусульманской правовой системы вокруг религии и включение в состав ее источников положений Корана. Данная система весьма жестоко регулирует уголовную ответстве</w:t>
      </w:r>
      <w:r w:rsidRPr="00EC1A78">
        <w:rPr>
          <w:rFonts w:eastAsiaTheme="minorHAnsi"/>
          <w:sz w:val="22"/>
          <w:szCs w:val="22"/>
          <w:lang w:eastAsia="en-US"/>
        </w:rPr>
        <w:t>н</w:t>
      </w:r>
      <w:r w:rsidRPr="00EC1A78">
        <w:rPr>
          <w:rFonts w:eastAsiaTheme="minorHAnsi"/>
          <w:sz w:val="22"/>
          <w:szCs w:val="22"/>
          <w:lang w:eastAsia="en-US"/>
        </w:rPr>
        <w:t>ность несовершеннолетних и уделяет ей достаточно большое вн</w:t>
      </w:r>
      <w:r w:rsidRPr="00EC1A78">
        <w:rPr>
          <w:rFonts w:eastAsiaTheme="minorHAnsi"/>
          <w:sz w:val="22"/>
          <w:szCs w:val="22"/>
          <w:lang w:eastAsia="en-US"/>
        </w:rPr>
        <w:t>и</w:t>
      </w:r>
      <w:r w:rsidRPr="00EC1A78">
        <w:rPr>
          <w:rFonts w:eastAsiaTheme="minorHAnsi"/>
          <w:sz w:val="22"/>
          <w:szCs w:val="22"/>
          <w:lang w:eastAsia="en-US"/>
        </w:rPr>
        <w:t>мание. В странах Востока, где распространена данная правовая с</w:t>
      </w:r>
      <w:r w:rsidRPr="00EC1A78">
        <w:rPr>
          <w:rFonts w:eastAsiaTheme="minorHAnsi"/>
          <w:sz w:val="22"/>
          <w:szCs w:val="22"/>
          <w:lang w:eastAsia="en-US"/>
        </w:rPr>
        <w:t>и</w:t>
      </w:r>
      <w:r w:rsidRPr="00EC1A78">
        <w:rPr>
          <w:rFonts w:eastAsiaTheme="minorHAnsi"/>
          <w:sz w:val="22"/>
          <w:szCs w:val="22"/>
          <w:lang w:eastAsia="en-US"/>
        </w:rPr>
        <w:t xml:space="preserve">стема, весьма широко применяется смертная казнь. </w:t>
      </w:r>
    </w:p>
    <w:p w:rsidR="00EC1A78" w:rsidRPr="00EC1A78" w:rsidRDefault="00EC1A78" w:rsidP="002B3A7B">
      <w:pPr>
        <w:ind w:firstLine="426"/>
        <w:jc w:val="both"/>
        <w:rPr>
          <w:rFonts w:eastAsiaTheme="minorHAnsi"/>
          <w:sz w:val="22"/>
          <w:szCs w:val="22"/>
          <w:lang w:eastAsia="en-US"/>
        </w:rPr>
      </w:pPr>
      <w:r w:rsidRPr="00EC1A78">
        <w:rPr>
          <w:rFonts w:eastAsiaTheme="minorHAnsi"/>
          <w:sz w:val="22"/>
          <w:szCs w:val="22"/>
          <w:lang w:eastAsia="en-US"/>
        </w:rPr>
        <w:t>Подводя итог всего вышесказанного, можно сделать вывод, что правовая система Российской Федерации существенно отличается от других систем, но находит свое большее отражение в романо–германской правовой системе. Нормы российского права более г</w:t>
      </w:r>
      <w:r w:rsidRPr="00EC1A78">
        <w:rPr>
          <w:rFonts w:eastAsiaTheme="minorHAnsi"/>
          <w:sz w:val="22"/>
          <w:szCs w:val="22"/>
          <w:lang w:eastAsia="en-US"/>
        </w:rPr>
        <w:t>у</w:t>
      </w:r>
      <w:r w:rsidRPr="00EC1A78">
        <w:rPr>
          <w:rFonts w:eastAsiaTheme="minorHAnsi"/>
          <w:sz w:val="22"/>
          <w:szCs w:val="22"/>
          <w:lang w:eastAsia="en-US"/>
        </w:rPr>
        <w:t>манны к лицам, не достигшим совершеннолетия, чем в других ра</w:t>
      </w:r>
      <w:r w:rsidRPr="00EC1A78">
        <w:rPr>
          <w:rFonts w:eastAsiaTheme="minorHAnsi"/>
          <w:sz w:val="22"/>
          <w:szCs w:val="22"/>
          <w:lang w:eastAsia="en-US"/>
        </w:rPr>
        <w:t>с</w:t>
      </w:r>
      <w:r w:rsidRPr="00EC1A78">
        <w:rPr>
          <w:rFonts w:eastAsiaTheme="minorHAnsi"/>
          <w:sz w:val="22"/>
          <w:szCs w:val="22"/>
          <w:lang w:eastAsia="en-US"/>
        </w:rPr>
        <w:t xml:space="preserve">смотренных правовых системах. При анализе различных правовых систем были сделаны следующие выводы: смертная казнь широко распространена в 2 из 3 рассматриваемых систем; </w:t>
      </w:r>
      <w:proofErr w:type="gramStart"/>
      <w:r w:rsidRPr="00EC1A78">
        <w:rPr>
          <w:rFonts w:eastAsiaTheme="minorHAnsi"/>
          <w:sz w:val="22"/>
          <w:szCs w:val="22"/>
          <w:lang w:eastAsia="en-US"/>
        </w:rPr>
        <w:t>единственной системой, использующей религиозные устои является</w:t>
      </w:r>
      <w:proofErr w:type="gramEnd"/>
      <w:r w:rsidRPr="00EC1A78">
        <w:rPr>
          <w:rFonts w:eastAsiaTheme="minorHAnsi"/>
          <w:sz w:val="22"/>
          <w:szCs w:val="22"/>
          <w:lang w:eastAsia="en-US"/>
        </w:rPr>
        <w:t xml:space="preserve"> мусульма</w:t>
      </w:r>
      <w:r w:rsidRPr="00EC1A78">
        <w:rPr>
          <w:rFonts w:eastAsiaTheme="minorHAnsi"/>
          <w:sz w:val="22"/>
          <w:szCs w:val="22"/>
          <w:lang w:eastAsia="en-US"/>
        </w:rPr>
        <w:t>н</w:t>
      </w:r>
      <w:r w:rsidRPr="00EC1A78">
        <w:rPr>
          <w:rFonts w:eastAsiaTheme="minorHAnsi"/>
          <w:sz w:val="22"/>
          <w:szCs w:val="22"/>
          <w:lang w:eastAsia="en-US"/>
        </w:rPr>
        <w:t xml:space="preserve">ская; уголовное законодательство РФ объективно считается более гуманным. </w:t>
      </w: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Уголовный кодекс Российской Федерации от 13.06.1996 N 63–ФЗ (ред. от 29.07.2017) (с изм. и доп., вступ. в силу с 26.08.2017) // Собрание законодательства РФ, 17.06.1996, N 25, ст. 2954;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2. Уголовный кодекс Федеративной Республики Германия / Науч. ред. и вступит. статья Д.А. Шестакова; предисл. Г.–Г. Йеш</w:t>
      </w:r>
      <w:r w:rsidRPr="00EC1A78">
        <w:rPr>
          <w:rFonts w:eastAsiaTheme="minorHAnsi"/>
          <w:sz w:val="22"/>
          <w:szCs w:val="22"/>
          <w:lang w:eastAsia="en-US"/>
        </w:rPr>
        <w:t>е</w:t>
      </w:r>
      <w:r w:rsidRPr="00EC1A78">
        <w:rPr>
          <w:rFonts w:eastAsiaTheme="minorHAnsi"/>
          <w:sz w:val="22"/>
          <w:szCs w:val="22"/>
          <w:lang w:eastAsia="en-US"/>
        </w:rPr>
        <w:t>ка; пер. с нем. Н.С. Рачковой: СПб.: Юридический центр Пресс, 2003. С. 320 – 322;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Новый уголовный кодекс Франции. М.: Изд–во Юрид. ко</w:t>
      </w:r>
      <w:r w:rsidRPr="00EC1A78">
        <w:rPr>
          <w:rFonts w:eastAsiaTheme="minorHAnsi"/>
          <w:sz w:val="22"/>
          <w:szCs w:val="22"/>
          <w:lang w:eastAsia="en-US"/>
        </w:rPr>
        <w:t>л</w:t>
      </w:r>
      <w:r w:rsidRPr="00EC1A78">
        <w:rPr>
          <w:rFonts w:eastAsiaTheme="minorHAnsi"/>
          <w:sz w:val="22"/>
          <w:szCs w:val="22"/>
          <w:lang w:eastAsia="en-US"/>
        </w:rPr>
        <w:t>леджа МГУ, 1993. 212 с.</w:t>
      </w:r>
    </w:p>
    <w:p w:rsidR="00EC1A78" w:rsidRDefault="00EC1A78" w:rsidP="00EC1A78">
      <w:pPr>
        <w:ind w:firstLine="708"/>
        <w:jc w:val="both"/>
        <w:rPr>
          <w:rFonts w:eastAsiaTheme="minorHAnsi"/>
          <w:sz w:val="20"/>
          <w:szCs w:val="22"/>
          <w:lang w:eastAsia="en-US"/>
        </w:rPr>
      </w:pPr>
    </w:p>
    <w:p w:rsidR="00723562" w:rsidRDefault="00723562" w:rsidP="00EC1A78">
      <w:pPr>
        <w:ind w:firstLine="708"/>
        <w:jc w:val="both"/>
        <w:rPr>
          <w:rFonts w:eastAsiaTheme="minorHAnsi"/>
          <w:sz w:val="20"/>
          <w:szCs w:val="22"/>
          <w:lang w:eastAsia="en-US"/>
        </w:rPr>
      </w:pPr>
    </w:p>
    <w:p w:rsidR="00723562" w:rsidRPr="00EC1A78" w:rsidRDefault="00723562" w:rsidP="00EC1A78">
      <w:pPr>
        <w:ind w:firstLine="708"/>
        <w:jc w:val="both"/>
        <w:rPr>
          <w:rFonts w:eastAsiaTheme="minorHAnsi"/>
          <w:sz w:val="20"/>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t>УДК 349.2</w:t>
      </w:r>
    </w:p>
    <w:p w:rsidR="00EC1A78" w:rsidRPr="00EC1A78" w:rsidRDefault="00EC1A78" w:rsidP="00EC1A78">
      <w:pPr>
        <w:jc w:val="center"/>
        <w:rPr>
          <w:rFonts w:eastAsiaTheme="minorHAnsi"/>
          <w:b/>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Правовое регулирование труда лиц, инфицированных ВИЧ/СПИДом</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val="en-US" w:eastAsia="en-US"/>
        </w:rPr>
        <w:t>Legal</w:t>
      </w:r>
      <w:r w:rsidRPr="00EC1A78">
        <w:rPr>
          <w:rFonts w:eastAsiaTheme="minorHAnsi"/>
          <w:b/>
          <w:sz w:val="24"/>
          <w:szCs w:val="24"/>
          <w:lang w:eastAsia="en-US"/>
        </w:rPr>
        <w:t xml:space="preserve"> </w:t>
      </w:r>
      <w:r w:rsidRPr="00EC1A78">
        <w:rPr>
          <w:rFonts w:eastAsiaTheme="minorHAnsi"/>
          <w:b/>
          <w:sz w:val="24"/>
          <w:szCs w:val="24"/>
          <w:lang w:val="en-US" w:eastAsia="en-US"/>
        </w:rPr>
        <w:t>regulation</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labor</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persons</w:t>
      </w:r>
      <w:r w:rsidRPr="00EC1A78">
        <w:rPr>
          <w:rFonts w:eastAsiaTheme="minorHAnsi"/>
          <w:b/>
          <w:sz w:val="24"/>
          <w:szCs w:val="24"/>
          <w:lang w:eastAsia="en-US"/>
        </w:rPr>
        <w:t xml:space="preserve"> </w:t>
      </w:r>
      <w:r w:rsidRPr="00EC1A78">
        <w:rPr>
          <w:rFonts w:eastAsiaTheme="minorHAnsi"/>
          <w:b/>
          <w:sz w:val="24"/>
          <w:szCs w:val="24"/>
          <w:lang w:val="en-US" w:eastAsia="en-US"/>
        </w:rPr>
        <w:t>living</w:t>
      </w:r>
      <w:r w:rsidRPr="00EC1A78">
        <w:rPr>
          <w:rFonts w:eastAsiaTheme="minorHAnsi"/>
          <w:b/>
          <w:sz w:val="24"/>
          <w:szCs w:val="24"/>
          <w:lang w:eastAsia="en-US"/>
        </w:rPr>
        <w:t xml:space="preserve"> </w:t>
      </w:r>
      <w:r w:rsidRPr="00EC1A78">
        <w:rPr>
          <w:rFonts w:eastAsiaTheme="minorHAnsi"/>
          <w:b/>
          <w:sz w:val="24"/>
          <w:szCs w:val="24"/>
          <w:lang w:val="en-US" w:eastAsia="en-US"/>
        </w:rPr>
        <w:t>with</w:t>
      </w:r>
      <w:r w:rsidRPr="00EC1A78">
        <w:rPr>
          <w:rFonts w:eastAsiaTheme="minorHAnsi"/>
          <w:b/>
          <w:sz w:val="24"/>
          <w:szCs w:val="24"/>
          <w:lang w:eastAsia="en-US"/>
        </w:rPr>
        <w:t xml:space="preserve"> </w:t>
      </w:r>
      <w:r w:rsidRPr="00EC1A78">
        <w:rPr>
          <w:rFonts w:eastAsiaTheme="minorHAnsi"/>
          <w:b/>
          <w:sz w:val="24"/>
          <w:szCs w:val="24"/>
          <w:lang w:val="en-US" w:eastAsia="en-US"/>
        </w:rPr>
        <w:t>HIV</w:t>
      </w:r>
      <w:r w:rsidRPr="00EC1A78">
        <w:rPr>
          <w:rFonts w:eastAsiaTheme="minorHAnsi"/>
          <w:b/>
          <w:sz w:val="24"/>
          <w:szCs w:val="24"/>
          <w:lang w:eastAsia="en-US"/>
        </w:rPr>
        <w:t>/</w:t>
      </w:r>
      <w:r w:rsidRPr="00EC1A78">
        <w:rPr>
          <w:rFonts w:eastAsiaTheme="minorHAnsi"/>
          <w:b/>
          <w:sz w:val="24"/>
          <w:szCs w:val="24"/>
          <w:lang w:val="en-US" w:eastAsia="en-US"/>
        </w:rPr>
        <w:t>AIDS</w:t>
      </w:r>
    </w:p>
    <w:p w:rsidR="00EC1A78" w:rsidRPr="00EC1A78" w:rsidRDefault="00EC1A78" w:rsidP="00EC1A78">
      <w:pPr>
        <w:jc w:val="right"/>
        <w:rPr>
          <w:rFonts w:eastAsiaTheme="minorHAnsi"/>
          <w:sz w:val="22"/>
          <w:szCs w:val="22"/>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Супереченко Е.</w:t>
      </w:r>
      <w:r w:rsidR="00723562">
        <w:rPr>
          <w:rFonts w:eastAsiaTheme="minorHAnsi"/>
          <w:sz w:val="22"/>
          <w:szCs w:val="22"/>
          <w:lang w:eastAsia="en-US"/>
        </w:rPr>
        <w:t xml:space="preserve"> </w:t>
      </w:r>
      <w:r w:rsidRPr="00EC1A78">
        <w:rPr>
          <w:rFonts w:eastAsiaTheme="minorHAnsi"/>
          <w:sz w:val="22"/>
          <w:szCs w:val="22"/>
          <w:lang w:eastAsia="en-US"/>
        </w:rPr>
        <w:t>Д.,</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color w:val="000000"/>
          <w:sz w:val="22"/>
          <w:szCs w:val="22"/>
          <w:lang w:eastAsia="en-US"/>
        </w:rPr>
      </w:pPr>
      <w:r w:rsidRPr="00EC1A78">
        <w:rPr>
          <w:rFonts w:eastAsiaTheme="minorHAnsi"/>
          <w:color w:val="000000"/>
          <w:sz w:val="22"/>
          <w:szCs w:val="22"/>
          <w:lang w:eastAsia="en-US"/>
        </w:rPr>
        <w:t>университет имени И.</w:t>
      </w:r>
      <w:r w:rsidR="00723562">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jc w:val="right"/>
        <w:rPr>
          <w:rFonts w:eastAsiaTheme="minorHAnsi"/>
          <w:color w:val="000000"/>
          <w:sz w:val="22"/>
          <w:szCs w:val="22"/>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АННОТАЦИЯ: В данной статье ведется речь о положении в сфере труда лиц, инфицированных ВИЧ/СПИДом. В статье указ</w:t>
      </w:r>
      <w:r w:rsidRPr="00EC1A78">
        <w:rPr>
          <w:rFonts w:eastAsiaTheme="minorHAnsi"/>
          <w:sz w:val="22"/>
          <w:szCs w:val="22"/>
          <w:lang w:eastAsia="en-US"/>
        </w:rPr>
        <w:t>ы</w:t>
      </w:r>
      <w:r w:rsidRPr="00EC1A78">
        <w:rPr>
          <w:rFonts w:eastAsiaTheme="minorHAnsi"/>
          <w:sz w:val="22"/>
          <w:szCs w:val="22"/>
          <w:lang w:eastAsia="en-US"/>
        </w:rPr>
        <w:t>вается на явные минусы в регулировании проблемы, на ее главные причины и осуществляется поиск путей ее разрешения.</w:t>
      </w:r>
      <w:r w:rsidRPr="00EC1A78">
        <w:rPr>
          <w:rFonts w:eastAsiaTheme="minorHAnsi"/>
          <w:sz w:val="22"/>
          <w:szCs w:val="22"/>
          <w:lang w:eastAsia="en-US"/>
        </w:rPr>
        <w:br/>
      </w:r>
      <w:r w:rsidRPr="00EC1A78">
        <w:rPr>
          <w:rFonts w:eastAsiaTheme="minorHAnsi"/>
          <w:color w:val="000000"/>
          <w:sz w:val="22"/>
          <w:szCs w:val="22"/>
          <w:lang w:val="en-US" w:eastAsia="en-US"/>
        </w:rPr>
        <w:t>ABSTRACT</w:t>
      </w:r>
      <w:r w:rsidRPr="00EC1A78">
        <w:rPr>
          <w:rFonts w:eastAsiaTheme="minorHAnsi"/>
          <w:sz w:val="22"/>
          <w:szCs w:val="22"/>
          <w:lang w:val="en-US" w:eastAsia="en-US"/>
        </w:rPr>
        <w:t>: This article is talking about the situation in employment of persons living with HIV/AIDS. The article points out the obvious dra</w:t>
      </w:r>
      <w:r w:rsidRPr="00EC1A78">
        <w:rPr>
          <w:rFonts w:eastAsiaTheme="minorHAnsi"/>
          <w:sz w:val="22"/>
          <w:szCs w:val="22"/>
          <w:lang w:val="en-US" w:eastAsia="en-US"/>
        </w:rPr>
        <w:t>w</w:t>
      </w:r>
      <w:r w:rsidRPr="00EC1A78">
        <w:rPr>
          <w:rFonts w:eastAsiaTheme="minorHAnsi"/>
          <w:sz w:val="22"/>
          <w:szCs w:val="22"/>
          <w:lang w:val="en-US" w:eastAsia="en-US"/>
        </w:rPr>
        <w:t>backs in the regulation of the problem, its main reasons and the search for ways to resolve it.</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ВИЧ–инфекция, рабочие места, труд</w:t>
      </w:r>
      <w:r w:rsidRPr="00EC1A78">
        <w:rPr>
          <w:rFonts w:eastAsiaTheme="minorHAnsi"/>
          <w:sz w:val="22"/>
          <w:szCs w:val="22"/>
          <w:lang w:eastAsia="en-US"/>
        </w:rPr>
        <w:t>о</w:t>
      </w:r>
      <w:r w:rsidRPr="00EC1A78">
        <w:rPr>
          <w:rFonts w:eastAsiaTheme="minorHAnsi"/>
          <w:sz w:val="22"/>
          <w:szCs w:val="22"/>
          <w:lang w:eastAsia="en-US"/>
        </w:rPr>
        <w:t xml:space="preserve">вые права. </w:t>
      </w:r>
    </w:p>
    <w:p w:rsidR="00EC1A78" w:rsidRPr="00EC1A78" w:rsidRDefault="00EC1A78" w:rsidP="00EC1A78">
      <w:pPr>
        <w:ind w:firstLine="426"/>
        <w:jc w:val="both"/>
        <w:rPr>
          <w:rFonts w:eastAsiaTheme="minorHAnsi"/>
          <w:lang w:val="en-US" w:eastAsia="en-US"/>
        </w:rPr>
      </w:pPr>
      <w:r w:rsidRPr="00EC1A78">
        <w:rPr>
          <w:rFonts w:eastAsiaTheme="minorHAnsi"/>
          <w:color w:val="000000"/>
          <w:sz w:val="22"/>
          <w:szCs w:val="22"/>
          <w:lang w:val="en-US" w:eastAsia="en-US"/>
        </w:rPr>
        <w:t>KEYWORDS</w:t>
      </w:r>
      <w:r w:rsidRPr="00EC1A78">
        <w:rPr>
          <w:rFonts w:eastAsiaTheme="minorHAnsi"/>
          <w:sz w:val="22"/>
          <w:szCs w:val="22"/>
          <w:lang w:val="en-US" w:eastAsia="en-US"/>
        </w:rPr>
        <w:t>: HIV infection, jobs, and employment law.</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Во все времена благополучие государств зависело от разли</w:t>
      </w:r>
      <w:r w:rsidRPr="00EC1A78">
        <w:rPr>
          <w:rFonts w:eastAsiaTheme="minorHAnsi"/>
          <w:sz w:val="22"/>
          <w:szCs w:val="22"/>
          <w:lang w:eastAsia="en-US"/>
        </w:rPr>
        <w:t>ч</w:t>
      </w:r>
      <w:r w:rsidRPr="00EC1A78">
        <w:rPr>
          <w:rFonts w:eastAsiaTheme="minorHAnsi"/>
          <w:sz w:val="22"/>
          <w:szCs w:val="22"/>
          <w:lang w:eastAsia="en-US"/>
        </w:rPr>
        <w:t>ных факторов. Ими могли выступать: уровень экономического ра</w:t>
      </w:r>
      <w:r w:rsidRPr="00EC1A78">
        <w:rPr>
          <w:rFonts w:eastAsiaTheme="minorHAnsi"/>
          <w:sz w:val="22"/>
          <w:szCs w:val="22"/>
          <w:lang w:eastAsia="en-US"/>
        </w:rPr>
        <w:t>з</w:t>
      </w:r>
      <w:r w:rsidRPr="00EC1A78">
        <w:rPr>
          <w:rFonts w:eastAsiaTheme="minorHAnsi"/>
          <w:sz w:val="22"/>
          <w:szCs w:val="22"/>
          <w:lang w:eastAsia="en-US"/>
        </w:rPr>
        <w:t xml:space="preserve">вития, существующая демографическая ситуация в стране, наличие природных ресурсов, в определенных случаях и климатические условия. Но главным фактором на сегодняшний момент, по нашему мнению, выступает наличие здорового населения, способного к </w:t>
      </w:r>
      <w:r w:rsidRPr="00EC1A78">
        <w:rPr>
          <w:rFonts w:eastAsiaTheme="minorHAnsi"/>
          <w:sz w:val="22"/>
          <w:szCs w:val="22"/>
          <w:lang w:eastAsia="en-US"/>
        </w:rPr>
        <w:lastRenderedPageBreak/>
        <w:t>осуществлению  трудовой деятельности. К сожалению, в последнее время данное положение подвергается большому сомнению. Ведь наша реальность такова, что в двадцать первом веке вот уже на пр</w:t>
      </w:r>
      <w:r w:rsidRPr="00EC1A78">
        <w:rPr>
          <w:rFonts w:eastAsiaTheme="minorHAnsi"/>
          <w:sz w:val="22"/>
          <w:szCs w:val="22"/>
          <w:lang w:eastAsia="en-US"/>
        </w:rPr>
        <w:t>о</w:t>
      </w:r>
      <w:r w:rsidRPr="00EC1A78">
        <w:rPr>
          <w:rFonts w:eastAsiaTheme="minorHAnsi"/>
          <w:sz w:val="22"/>
          <w:szCs w:val="22"/>
          <w:lang w:eastAsia="en-US"/>
        </w:rPr>
        <w:t>тяжении нескольких лет наблюдается снижение показателей здор</w:t>
      </w:r>
      <w:r w:rsidRPr="00EC1A78">
        <w:rPr>
          <w:rFonts w:eastAsiaTheme="minorHAnsi"/>
          <w:sz w:val="22"/>
          <w:szCs w:val="22"/>
          <w:lang w:eastAsia="en-US"/>
        </w:rPr>
        <w:t>о</w:t>
      </w:r>
      <w:r w:rsidRPr="00EC1A78">
        <w:rPr>
          <w:rFonts w:eastAsiaTheme="minorHAnsi"/>
          <w:sz w:val="22"/>
          <w:szCs w:val="22"/>
          <w:lang w:eastAsia="en-US"/>
        </w:rPr>
        <w:t>вья не только в России, но и во всем мире [1, с.21]. Такое полож</w:t>
      </w:r>
      <w:r w:rsidRPr="00EC1A78">
        <w:rPr>
          <w:rFonts w:eastAsiaTheme="minorHAnsi"/>
          <w:sz w:val="22"/>
          <w:szCs w:val="22"/>
          <w:lang w:eastAsia="en-US"/>
        </w:rPr>
        <w:t>е</w:t>
      </w:r>
      <w:r w:rsidRPr="00EC1A78">
        <w:rPr>
          <w:rFonts w:eastAsiaTheme="minorHAnsi"/>
          <w:sz w:val="22"/>
          <w:szCs w:val="22"/>
          <w:lang w:eastAsia="en-US"/>
        </w:rPr>
        <w:t xml:space="preserve">ние, на наш взгляд, связано, в том числе и с распространением смертельного вируса ВИЧ.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По статистическим данным на начало 2017 года общее число заболевших ВИЧ инфекцией граждан в России составило 1 114 815 человек. Согласитесь, это огромная цифра, учитывая тот факт, что с каждым годом она только увеличивается. Так в чем же заключаются  причины такой губительной ситуации для нашей страны? Ведь мн</w:t>
      </w:r>
      <w:r w:rsidRPr="00EC1A78">
        <w:rPr>
          <w:rFonts w:eastAsiaTheme="minorHAnsi"/>
          <w:sz w:val="22"/>
          <w:szCs w:val="22"/>
          <w:lang w:eastAsia="en-US"/>
        </w:rPr>
        <w:t>о</w:t>
      </w:r>
      <w:r w:rsidRPr="00EC1A78">
        <w:rPr>
          <w:rFonts w:eastAsiaTheme="minorHAnsi"/>
          <w:sz w:val="22"/>
          <w:szCs w:val="22"/>
          <w:lang w:eastAsia="en-US"/>
        </w:rPr>
        <w:t>гочисленный международный опыт изрядно показывает нам дост</w:t>
      </w:r>
      <w:r w:rsidRPr="00EC1A78">
        <w:rPr>
          <w:rFonts w:eastAsiaTheme="minorHAnsi"/>
          <w:sz w:val="22"/>
          <w:szCs w:val="22"/>
          <w:lang w:eastAsia="en-US"/>
        </w:rPr>
        <w:t>а</w:t>
      </w:r>
      <w:r w:rsidRPr="00EC1A78">
        <w:rPr>
          <w:rFonts w:eastAsiaTheme="minorHAnsi"/>
          <w:sz w:val="22"/>
          <w:szCs w:val="22"/>
          <w:lang w:eastAsia="en-US"/>
        </w:rPr>
        <w:t>точно высокий уровень осведомленности, в том числе в сфере рег</w:t>
      </w:r>
      <w:r w:rsidRPr="00EC1A78">
        <w:rPr>
          <w:rFonts w:eastAsiaTheme="minorHAnsi"/>
          <w:sz w:val="22"/>
          <w:szCs w:val="22"/>
          <w:lang w:eastAsia="en-US"/>
        </w:rPr>
        <w:t>у</w:t>
      </w:r>
      <w:r w:rsidRPr="00EC1A78">
        <w:rPr>
          <w:rFonts w:eastAsiaTheme="minorHAnsi"/>
          <w:sz w:val="22"/>
          <w:szCs w:val="22"/>
          <w:lang w:eastAsia="en-US"/>
        </w:rPr>
        <w:t>лирования труда лиц, инфицированных ВИЧ/СПИДом. Так, напр</w:t>
      </w:r>
      <w:r w:rsidRPr="00EC1A78">
        <w:rPr>
          <w:rFonts w:eastAsiaTheme="minorHAnsi"/>
          <w:sz w:val="22"/>
          <w:szCs w:val="22"/>
          <w:lang w:eastAsia="en-US"/>
        </w:rPr>
        <w:t>и</w:t>
      </w:r>
      <w:r w:rsidRPr="00EC1A78">
        <w:rPr>
          <w:rFonts w:eastAsiaTheme="minorHAnsi"/>
          <w:sz w:val="22"/>
          <w:szCs w:val="22"/>
          <w:lang w:eastAsia="en-US"/>
        </w:rPr>
        <w:t>мер, Закон Великобритании о дискриминации инвалидов 1995 года, в число которых входят и ВИЧ инфицированные граждане, запр</w:t>
      </w:r>
      <w:r w:rsidRPr="00EC1A78">
        <w:rPr>
          <w:rFonts w:eastAsiaTheme="minorHAnsi"/>
          <w:sz w:val="22"/>
          <w:szCs w:val="22"/>
          <w:lang w:eastAsia="en-US"/>
        </w:rPr>
        <w:t>е</w:t>
      </w:r>
      <w:r w:rsidRPr="00EC1A78">
        <w:rPr>
          <w:rFonts w:eastAsiaTheme="minorHAnsi"/>
          <w:sz w:val="22"/>
          <w:szCs w:val="22"/>
          <w:lang w:eastAsia="en-US"/>
        </w:rPr>
        <w:t>щает дискриминацию в отношении этих лиц. Более того законод</w:t>
      </w:r>
      <w:r w:rsidRPr="00EC1A78">
        <w:rPr>
          <w:rFonts w:eastAsiaTheme="minorHAnsi"/>
          <w:sz w:val="22"/>
          <w:szCs w:val="22"/>
          <w:lang w:eastAsia="en-US"/>
        </w:rPr>
        <w:t>а</w:t>
      </w:r>
      <w:r w:rsidRPr="00EC1A78">
        <w:rPr>
          <w:rFonts w:eastAsiaTheme="minorHAnsi"/>
          <w:sz w:val="22"/>
          <w:szCs w:val="22"/>
          <w:lang w:eastAsia="en-US"/>
        </w:rPr>
        <w:t>тель ставит перед работодателем обязанность принять необходимые меры, чтобы помочь соответствующим работникам остаться на р</w:t>
      </w:r>
      <w:r w:rsidRPr="00EC1A78">
        <w:rPr>
          <w:rFonts w:eastAsiaTheme="minorHAnsi"/>
          <w:sz w:val="22"/>
          <w:szCs w:val="22"/>
          <w:lang w:eastAsia="en-US"/>
        </w:rPr>
        <w:t>а</w:t>
      </w:r>
      <w:r w:rsidRPr="00EC1A78">
        <w:rPr>
          <w:rFonts w:eastAsiaTheme="minorHAnsi"/>
          <w:sz w:val="22"/>
          <w:szCs w:val="22"/>
          <w:lang w:eastAsia="en-US"/>
        </w:rPr>
        <w:t>боте. А именно, он должен переоборудовать рабочие помещения, предоставить дополнительное время на лечение и освободить от некоторых трудовых обязанностей ВИЧ инфицированных граждан. В качестве еще одного примера приведем Закон Китая о дискрим</w:t>
      </w:r>
      <w:r w:rsidRPr="00EC1A78">
        <w:rPr>
          <w:rFonts w:eastAsiaTheme="minorHAnsi"/>
          <w:sz w:val="22"/>
          <w:szCs w:val="22"/>
          <w:lang w:eastAsia="en-US"/>
        </w:rPr>
        <w:t>и</w:t>
      </w:r>
      <w:r w:rsidRPr="00EC1A78">
        <w:rPr>
          <w:rFonts w:eastAsiaTheme="minorHAnsi"/>
          <w:sz w:val="22"/>
          <w:szCs w:val="22"/>
          <w:lang w:eastAsia="en-US"/>
        </w:rPr>
        <w:t>нации инвалидов 1995 года. Данный нормативный правовой акт также запрещает дискриминацию и различные притеснения инв</w:t>
      </w:r>
      <w:r w:rsidRPr="00EC1A78">
        <w:rPr>
          <w:rFonts w:eastAsiaTheme="minorHAnsi"/>
          <w:sz w:val="22"/>
          <w:szCs w:val="22"/>
          <w:lang w:eastAsia="en-US"/>
        </w:rPr>
        <w:t>а</w:t>
      </w:r>
      <w:r w:rsidRPr="00EC1A78">
        <w:rPr>
          <w:rFonts w:eastAsiaTheme="minorHAnsi"/>
          <w:sz w:val="22"/>
          <w:szCs w:val="22"/>
          <w:lang w:eastAsia="en-US"/>
        </w:rPr>
        <w:t>лидов, к которым относится и ВИЧ инфицированное население, в различных областях, включая трудовые отношения.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Законодательную же основу нашей страны в данной сфере с</w:t>
      </w:r>
      <w:r w:rsidRPr="00EC1A78">
        <w:rPr>
          <w:rFonts w:eastAsiaTheme="minorHAnsi"/>
          <w:sz w:val="22"/>
          <w:szCs w:val="22"/>
          <w:lang w:eastAsia="en-US"/>
        </w:rPr>
        <w:t>о</w:t>
      </w:r>
      <w:r w:rsidRPr="00EC1A78">
        <w:rPr>
          <w:rFonts w:eastAsiaTheme="minorHAnsi"/>
          <w:sz w:val="22"/>
          <w:szCs w:val="22"/>
          <w:lang w:eastAsia="en-US"/>
        </w:rPr>
        <w:t>ставляет Федеральный закон от 30.03.1995 №38–ФЗ «О предупр</w:t>
      </w:r>
      <w:r w:rsidRPr="00EC1A78">
        <w:rPr>
          <w:rFonts w:eastAsiaTheme="minorHAnsi"/>
          <w:sz w:val="22"/>
          <w:szCs w:val="22"/>
          <w:lang w:eastAsia="en-US"/>
        </w:rPr>
        <w:t>е</w:t>
      </w:r>
      <w:r w:rsidRPr="00EC1A78">
        <w:rPr>
          <w:rFonts w:eastAsiaTheme="minorHAnsi"/>
          <w:sz w:val="22"/>
          <w:szCs w:val="22"/>
          <w:lang w:eastAsia="en-US"/>
        </w:rPr>
        <w:t>ждении распространения в Российской Федерации заболевания, в</w:t>
      </w:r>
      <w:r w:rsidRPr="00EC1A78">
        <w:rPr>
          <w:rFonts w:eastAsiaTheme="minorHAnsi"/>
          <w:sz w:val="22"/>
          <w:szCs w:val="22"/>
          <w:lang w:eastAsia="en-US"/>
        </w:rPr>
        <w:t>ы</w:t>
      </w:r>
      <w:r w:rsidRPr="00EC1A78">
        <w:rPr>
          <w:rFonts w:eastAsiaTheme="minorHAnsi"/>
          <w:sz w:val="22"/>
          <w:szCs w:val="22"/>
          <w:lang w:eastAsia="en-US"/>
        </w:rPr>
        <w:t>зываемого вирусом иммунодефицита (ВИЧ – инфекции)». В упом</w:t>
      </w:r>
      <w:r w:rsidRPr="00EC1A78">
        <w:rPr>
          <w:rFonts w:eastAsiaTheme="minorHAnsi"/>
          <w:sz w:val="22"/>
          <w:szCs w:val="22"/>
          <w:lang w:eastAsia="en-US"/>
        </w:rPr>
        <w:t>я</w:t>
      </w:r>
      <w:r w:rsidRPr="00EC1A78">
        <w:rPr>
          <w:rFonts w:eastAsiaTheme="minorHAnsi"/>
          <w:sz w:val="22"/>
          <w:szCs w:val="22"/>
          <w:lang w:eastAsia="en-US"/>
        </w:rPr>
        <w:t>нутом нормативном правовом акте в статье 17 закреплено полож</w:t>
      </w:r>
      <w:r w:rsidRPr="00EC1A78">
        <w:rPr>
          <w:rFonts w:eastAsiaTheme="minorHAnsi"/>
          <w:sz w:val="22"/>
          <w:szCs w:val="22"/>
          <w:lang w:eastAsia="en-US"/>
        </w:rPr>
        <w:t>е</w:t>
      </w:r>
      <w:r w:rsidRPr="00EC1A78">
        <w:rPr>
          <w:rFonts w:eastAsiaTheme="minorHAnsi"/>
          <w:sz w:val="22"/>
          <w:szCs w:val="22"/>
          <w:lang w:eastAsia="en-US"/>
        </w:rPr>
        <w:t>ние о запрете ограничения, в том числе и трудовых прав, ВИЧ–инфицированного населения. Но, основываясь на результатах с</w:t>
      </w:r>
      <w:r w:rsidRPr="00EC1A78">
        <w:rPr>
          <w:rFonts w:eastAsiaTheme="minorHAnsi"/>
          <w:sz w:val="22"/>
          <w:szCs w:val="22"/>
          <w:lang w:eastAsia="en-US"/>
        </w:rPr>
        <w:t>о</w:t>
      </w:r>
      <w:r w:rsidRPr="00EC1A78">
        <w:rPr>
          <w:rFonts w:eastAsiaTheme="minorHAnsi"/>
          <w:sz w:val="22"/>
          <w:szCs w:val="22"/>
          <w:lang w:eastAsia="en-US"/>
        </w:rPr>
        <w:t>циологических опросов и практике, указанная норма нарушается. И этой категории людей в жизни очень часто приходится встречаться с различного рода дискриминацией. Их лишают многих прав, в чи</w:t>
      </w:r>
      <w:r w:rsidRPr="00EC1A78">
        <w:rPr>
          <w:rFonts w:eastAsiaTheme="minorHAnsi"/>
          <w:sz w:val="22"/>
          <w:szCs w:val="22"/>
          <w:lang w:eastAsia="en-US"/>
        </w:rPr>
        <w:t>с</w:t>
      </w:r>
      <w:r w:rsidRPr="00EC1A78">
        <w:rPr>
          <w:rFonts w:eastAsiaTheme="minorHAnsi"/>
          <w:sz w:val="22"/>
          <w:szCs w:val="22"/>
          <w:lang w:eastAsia="en-US"/>
        </w:rPr>
        <w:lastRenderedPageBreak/>
        <w:t>ло которых входят социальные, культурные и экономические. Да</w:t>
      </w:r>
      <w:r w:rsidRPr="00EC1A78">
        <w:rPr>
          <w:rFonts w:eastAsiaTheme="minorHAnsi"/>
          <w:sz w:val="22"/>
          <w:szCs w:val="22"/>
          <w:lang w:eastAsia="en-US"/>
        </w:rPr>
        <w:t>н</w:t>
      </w:r>
      <w:r w:rsidRPr="00EC1A78">
        <w:rPr>
          <w:rFonts w:eastAsiaTheme="minorHAnsi"/>
          <w:sz w:val="22"/>
          <w:szCs w:val="22"/>
          <w:lang w:eastAsia="en-US"/>
        </w:rPr>
        <w:t>ную проблему предлагаем решить следующим образом:</w:t>
      </w:r>
    </w:p>
    <w:p w:rsidR="00EC1A78" w:rsidRPr="00EC1A78" w:rsidRDefault="00EC1A78" w:rsidP="00EC1A78">
      <w:pPr>
        <w:ind w:firstLine="425"/>
        <w:jc w:val="both"/>
        <w:rPr>
          <w:sz w:val="22"/>
          <w:szCs w:val="22"/>
        </w:rPr>
      </w:pPr>
      <w:r w:rsidRPr="00EC1A78">
        <w:rPr>
          <w:sz w:val="22"/>
          <w:szCs w:val="22"/>
        </w:rPr>
        <w:t>1) мы предлагаем расширить учрежденный Постановлением Правительства Российской Федерации от 04.09.1995 года № 877 перечень работников отдельных профессий, которые проходят об</w:t>
      </w:r>
      <w:r w:rsidRPr="00EC1A78">
        <w:rPr>
          <w:sz w:val="22"/>
          <w:szCs w:val="22"/>
        </w:rPr>
        <w:t>я</w:t>
      </w:r>
      <w:r w:rsidRPr="00EC1A78">
        <w:rPr>
          <w:sz w:val="22"/>
          <w:szCs w:val="22"/>
        </w:rPr>
        <w:t>зательное медицинское освидетельствование при поступлении на работу. На данный момент в упомянутом нормативном правовом акте содержится запрет на занимание должностей лишь медици</w:t>
      </w:r>
      <w:r w:rsidRPr="00EC1A78">
        <w:rPr>
          <w:sz w:val="22"/>
          <w:szCs w:val="22"/>
        </w:rPr>
        <w:t>н</w:t>
      </w:r>
      <w:r w:rsidRPr="00EC1A78">
        <w:rPr>
          <w:sz w:val="22"/>
          <w:szCs w:val="22"/>
        </w:rPr>
        <w:t>скими работниками. В этом случае возникает вопрос. А разве р</w:t>
      </w:r>
      <w:r w:rsidRPr="00EC1A78">
        <w:rPr>
          <w:sz w:val="22"/>
          <w:szCs w:val="22"/>
        </w:rPr>
        <w:t>а</w:t>
      </w:r>
      <w:r w:rsidRPr="00EC1A78">
        <w:rPr>
          <w:sz w:val="22"/>
          <w:szCs w:val="22"/>
        </w:rPr>
        <w:t>ботники сферы образования и общепита не должны быть включены в соответствующий список? Но при этом, учитывая необходимость соблюдения федерального законодательства, а именно запрета л</w:t>
      </w:r>
      <w:r w:rsidRPr="00EC1A78">
        <w:rPr>
          <w:sz w:val="22"/>
          <w:szCs w:val="22"/>
        </w:rPr>
        <w:t>ю</w:t>
      </w:r>
      <w:r w:rsidRPr="00EC1A78">
        <w:rPr>
          <w:sz w:val="22"/>
          <w:szCs w:val="22"/>
        </w:rPr>
        <w:t>бых видов дискриминации исследуемой категории, предлагаем пр</w:t>
      </w:r>
      <w:r w:rsidRPr="00EC1A78">
        <w:rPr>
          <w:sz w:val="22"/>
          <w:szCs w:val="22"/>
        </w:rPr>
        <w:t>и</w:t>
      </w:r>
      <w:r w:rsidRPr="00EC1A78">
        <w:rPr>
          <w:sz w:val="22"/>
          <w:szCs w:val="22"/>
        </w:rPr>
        <w:t>влекать к обсуждению данного вопроса общественности.</w:t>
      </w:r>
    </w:p>
    <w:p w:rsidR="00EC1A78" w:rsidRPr="00EC1A78" w:rsidRDefault="00EC1A78" w:rsidP="00EC1A78">
      <w:pPr>
        <w:ind w:firstLine="425"/>
        <w:jc w:val="both"/>
        <w:rPr>
          <w:sz w:val="22"/>
          <w:szCs w:val="22"/>
        </w:rPr>
      </w:pPr>
      <w:r w:rsidRPr="00EC1A78">
        <w:rPr>
          <w:sz w:val="22"/>
          <w:szCs w:val="22"/>
        </w:rPr>
        <w:t>2) безусловным выходом из ситуации видим организацию п</w:t>
      </w:r>
      <w:r w:rsidRPr="00EC1A78">
        <w:rPr>
          <w:sz w:val="22"/>
          <w:szCs w:val="22"/>
        </w:rPr>
        <w:t>е</w:t>
      </w:r>
      <w:r w:rsidRPr="00EC1A78">
        <w:rPr>
          <w:sz w:val="22"/>
          <w:szCs w:val="22"/>
        </w:rPr>
        <w:t>реобучения (переподготовки) лиц данной категории с целью труд</w:t>
      </w:r>
      <w:r w:rsidRPr="00EC1A78">
        <w:rPr>
          <w:sz w:val="22"/>
          <w:szCs w:val="22"/>
        </w:rPr>
        <w:t>о</w:t>
      </w:r>
      <w:r w:rsidRPr="00EC1A78">
        <w:rPr>
          <w:sz w:val="22"/>
          <w:szCs w:val="22"/>
        </w:rPr>
        <w:t>устройства с выполнением трудовой функции вне места нахожд</w:t>
      </w:r>
      <w:r w:rsidRPr="00EC1A78">
        <w:rPr>
          <w:sz w:val="22"/>
          <w:szCs w:val="22"/>
        </w:rPr>
        <w:t>е</w:t>
      </w:r>
      <w:r w:rsidRPr="00EC1A78">
        <w:rPr>
          <w:sz w:val="22"/>
          <w:szCs w:val="22"/>
        </w:rPr>
        <w:t>ния работодателя. Речь главным образом идёт о регулировании тр</w:t>
      </w:r>
      <w:r w:rsidRPr="00EC1A78">
        <w:rPr>
          <w:sz w:val="22"/>
          <w:szCs w:val="22"/>
        </w:rPr>
        <w:t>у</w:t>
      </w:r>
      <w:r w:rsidRPr="00EC1A78">
        <w:rPr>
          <w:sz w:val="22"/>
          <w:szCs w:val="22"/>
        </w:rPr>
        <w:t>да дистанционных работников и надомников. Следует закрепить эту обязанность за органами занятости населения в регионах при со</w:t>
      </w:r>
      <w:r w:rsidRPr="00EC1A78">
        <w:rPr>
          <w:sz w:val="22"/>
          <w:szCs w:val="22"/>
        </w:rPr>
        <w:t>в</w:t>
      </w:r>
      <w:r w:rsidRPr="00EC1A78">
        <w:rPr>
          <w:sz w:val="22"/>
          <w:szCs w:val="22"/>
        </w:rPr>
        <w:t xml:space="preserve">местной работе с Клиническими центрами профилактики и борьбы со СПИДом. </w:t>
      </w:r>
    </w:p>
    <w:p w:rsidR="00EC1A78" w:rsidRPr="00EC1A78" w:rsidRDefault="00EC1A78" w:rsidP="00EC1A78">
      <w:pPr>
        <w:ind w:firstLine="425"/>
        <w:jc w:val="both"/>
        <w:rPr>
          <w:sz w:val="22"/>
          <w:szCs w:val="22"/>
        </w:rPr>
      </w:pPr>
      <w:r w:rsidRPr="00EC1A78">
        <w:rPr>
          <w:sz w:val="22"/>
          <w:szCs w:val="22"/>
        </w:rPr>
        <w:t>Считаем данные направления эффективным выходом из непр</w:t>
      </w:r>
      <w:r w:rsidRPr="00EC1A78">
        <w:rPr>
          <w:sz w:val="22"/>
          <w:szCs w:val="22"/>
        </w:rPr>
        <w:t>о</w:t>
      </w:r>
      <w:r w:rsidRPr="00EC1A78">
        <w:rPr>
          <w:sz w:val="22"/>
          <w:szCs w:val="22"/>
        </w:rPr>
        <w:t>стой ситуации с трудоустройством ВИЧ инфицированных.</w:t>
      </w:r>
    </w:p>
    <w:p w:rsidR="00EC1A78" w:rsidRPr="00EC1A78" w:rsidRDefault="00EC1A78" w:rsidP="00EC1A78">
      <w:pPr>
        <w:ind w:firstLine="425"/>
        <w:jc w:val="both"/>
        <w:rPr>
          <w:sz w:val="22"/>
          <w:szCs w:val="22"/>
        </w:rPr>
      </w:pPr>
    </w:p>
    <w:p w:rsidR="00EC1A78" w:rsidRPr="00EC1A78" w:rsidRDefault="00EC1A78" w:rsidP="00EC1A78">
      <w:pPr>
        <w:ind w:firstLine="397"/>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color w:val="000000"/>
          <w:sz w:val="22"/>
          <w:szCs w:val="22"/>
          <w:shd w:val="clear" w:color="auto" w:fill="FFFFFF"/>
          <w:lang w:eastAsia="en-US"/>
        </w:rPr>
      </w:pPr>
      <w:r w:rsidRPr="00EC1A78">
        <w:rPr>
          <w:color w:val="000000"/>
          <w:sz w:val="22"/>
          <w:szCs w:val="22"/>
          <w:shd w:val="clear" w:color="auto" w:fill="FFFFFF"/>
          <w:lang w:eastAsia="en-US"/>
        </w:rPr>
        <w:t xml:space="preserve">1. </w:t>
      </w:r>
      <w:r w:rsidRPr="00EC1A78">
        <w:rPr>
          <w:rFonts w:eastAsiaTheme="minorHAnsi"/>
          <w:sz w:val="22"/>
          <w:szCs w:val="22"/>
          <w:lang w:eastAsia="en-US"/>
        </w:rPr>
        <w:t>Переверзева Э.В., Филиппова С.Н. Актуальные вопросы культуры здоровья: ВИЧ–инфекции и спид // Вестник РМАТ. 2014. №1 (10). С. 21–35.</w:t>
      </w:r>
    </w:p>
    <w:p w:rsidR="00EC1A78" w:rsidRPr="00EC1A78" w:rsidRDefault="00EC1A78" w:rsidP="00EC1A78">
      <w:pPr>
        <w:ind w:firstLine="425"/>
        <w:jc w:val="both"/>
        <w:rPr>
          <w:sz w:val="22"/>
          <w:szCs w:val="22"/>
          <w:lang w:eastAsia="en-US"/>
        </w:rPr>
      </w:pPr>
      <w:r w:rsidRPr="00EC1A78">
        <w:rPr>
          <w:sz w:val="22"/>
          <w:szCs w:val="22"/>
          <w:lang w:eastAsia="en-US"/>
        </w:rPr>
        <w:t>2. Кобылинская С.В., Кобылинский Н.Д. К вопросу о понятие права на достойную жизнь в современном российском законод</w:t>
      </w:r>
      <w:r w:rsidRPr="00EC1A78">
        <w:rPr>
          <w:sz w:val="22"/>
          <w:szCs w:val="22"/>
          <w:lang w:eastAsia="en-US"/>
        </w:rPr>
        <w:t>а</w:t>
      </w:r>
      <w:r w:rsidRPr="00EC1A78">
        <w:rPr>
          <w:sz w:val="22"/>
          <w:szCs w:val="22"/>
          <w:lang w:eastAsia="en-US"/>
        </w:rPr>
        <w:t>тельстве // В сборнике: Актуальные проблемы юридической науки: теория и практика. Сборник материалов VIII Международной нау</w:t>
      </w:r>
      <w:r w:rsidRPr="00EC1A78">
        <w:rPr>
          <w:sz w:val="22"/>
          <w:szCs w:val="22"/>
          <w:lang w:eastAsia="en-US"/>
        </w:rPr>
        <w:t>ч</w:t>
      </w:r>
      <w:r w:rsidRPr="00EC1A78">
        <w:rPr>
          <w:sz w:val="22"/>
          <w:szCs w:val="22"/>
          <w:lang w:eastAsia="en-US"/>
        </w:rPr>
        <w:t>но–практической конференции. – 2014. – С. 11–13.</w:t>
      </w:r>
    </w:p>
    <w:p w:rsidR="00EC1A78" w:rsidRPr="00EC1A78" w:rsidRDefault="00EC1A78" w:rsidP="00EC1A78">
      <w:pPr>
        <w:ind w:firstLine="425"/>
        <w:jc w:val="both"/>
        <w:rPr>
          <w:sz w:val="22"/>
          <w:szCs w:val="22"/>
          <w:lang w:eastAsia="en-US"/>
        </w:rPr>
      </w:pPr>
      <w:r w:rsidRPr="00EC1A78">
        <w:rPr>
          <w:sz w:val="22"/>
          <w:szCs w:val="22"/>
          <w:lang w:eastAsia="en-US"/>
        </w:rPr>
        <w:t xml:space="preserve">3. </w:t>
      </w:r>
      <w:r w:rsidRPr="00EC1A78">
        <w:rPr>
          <w:color w:val="000000"/>
          <w:sz w:val="22"/>
          <w:szCs w:val="22"/>
          <w:shd w:val="clear" w:color="auto" w:fill="FFFFFF"/>
          <w:lang w:eastAsia="en-US"/>
        </w:rPr>
        <w:t>Кобылинская С.В</w:t>
      </w:r>
      <w:r w:rsidRPr="00EC1A78">
        <w:rPr>
          <w:i/>
          <w:iCs/>
          <w:color w:val="000000"/>
          <w:sz w:val="22"/>
          <w:szCs w:val="22"/>
          <w:lang w:eastAsia="en-US"/>
        </w:rPr>
        <w:t xml:space="preserve">. </w:t>
      </w:r>
      <w:r w:rsidRPr="00EC1A78">
        <w:rPr>
          <w:color w:val="000000"/>
          <w:sz w:val="22"/>
          <w:szCs w:val="22"/>
          <w:shd w:val="clear" w:color="auto" w:fill="FFFFFF"/>
          <w:lang w:eastAsia="en-US"/>
        </w:rPr>
        <w:t>Право человека на достойную жизнь как основная ценность социального государства// В сборнике: Научное обеспечение агропромышленного комплекса. Сборник статей по материалам 71–й научно–практической конференции преподават</w:t>
      </w:r>
      <w:r w:rsidRPr="00EC1A78">
        <w:rPr>
          <w:color w:val="000000"/>
          <w:sz w:val="22"/>
          <w:szCs w:val="22"/>
          <w:shd w:val="clear" w:color="auto" w:fill="FFFFFF"/>
          <w:lang w:eastAsia="en-US"/>
        </w:rPr>
        <w:t>е</w:t>
      </w:r>
      <w:r w:rsidRPr="00EC1A78">
        <w:rPr>
          <w:color w:val="000000"/>
          <w:sz w:val="22"/>
          <w:szCs w:val="22"/>
          <w:shd w:val="clear" w:color="auto" w:fill="FFFFFF"/>
          <w:lang w:eastAsia="en-US"/>
        </w:rPr>
        <w:lastRenderedPageBreak/>
        <w:t>лей по итогам НИР за 2015 год. Ответственный за выпуск А. Г. К</w:t>
      </w:r>
      <w:r w:rsidRPr="00EC1A78">
        <w:rPr>
          <w:color w:val="000000"/>
          <w:sz w:val="22"/>
          <w:szCs w:val="22"/>
          <w:shd w:val="clear" w:color="auto" w:fill="FFFFFF"/>
          <w:lang w:eastAsia="en-US"/>
        </w:rPr>
        <w:t>о</w:t>
      </w:r>
      <w:r w:rsidRPr="00EC1A78">
        <w:rPr>
          <w:color w:val="000000"/>
          <w:sz w:val="22"/>
          <w:szCs w:val="22"/>
          <w:shd w:val="clear" w:color="auto" w:fill="FFFFFF"/>
          <w:lang w:eastAsia="en-US"/>
        </w:rPr>
        <w:t>щаев. 2016. С. 386–388.</w:t>
      </w:r>
    </w:p>
    <w:p w:rsidR="00EC1A78" w:rsidRDefault="00EC1A78" w:rsidP="00EC1A78">
      <w:pPr>
        <w:jc w:val="both"/>
        <w:rPr>
          <w:rFonts w:eastAsiaTheme="minorHAnsi"/>
          <w:sz w:val="22"/>
          <w:szCs w:val="22"/>
          <w:lang w:eastAsia="en-US"/>
        </w:rPr>
      </w:pPr>
    </w:p>
    <w:p w:rsidR="00723562" w:rsidRPr="00EC1A78" w:rsidRDefault="00723562" w:rsidP="00EC1A78">
      <w:pPr>
        <w:jc w:val="both"/>
        <w:rPr>
          <w:rFonts w:eastAsiaTheme="minorHAnsi"/>
          <w:sz w:val="22"/>
          <w:szCs w:val="22"/>
          <w:lang w:eastAsia="en-US"/>
        </w:rPr>
      </w:pPr>
    </w:p>
    <w:p w:rsidR="00EC1A78" w:rsidRPr="00EC1A78" w:rsidRDefault="00EC1A78" w:rsidP="00EC1A78">
      <w:pPr>
        <w:jc w:val="both"/>
        <w:rPr>
          <w:rFonts w:eastAsiaTheme="minorHAnsi"/>
          <w:spacing w:val="-2"/>
          <w:sz w:val="22"/>
          <w:szCs w:val="22"/>
          <w:lang w:eastAsia="en-US"/>
        </w:rPr>
      </w:pPr>
      <w:r w:rsidRPr="00EC1A78">
        <w:rPr>
          <w:rFonts w:eastAsiaTheme="minorHAnsi"/>
          <w:spacing w:val="-2"/>
          <w:sz w:val="22"/>
          <w:szCs w:val="22"/>
          <w:lang w:eastAsia="en-US"/>
        </w:rPr>
        <w:t>УДК 340</w:t>
      </w:r>
    </w:p>
    <w:p w:rsidR="00EC1A78" w:rsidRPr="00EC1A78" w:rsidRDefault="00EC1A78" w:rsidP="00EC1A78">
      <w:pPr>
        <w:jc w:val="center"/>
        <w:rPr>
          <w:rFonts w:eastAsiaTheme="minorHAnsi"/>
          <w:b/>
          <w:spacing w:val="-2"/>
          <w:sz w:val="22"/>
          <w:szCs w:val="22"/>
          <w:lang w:eastAsia="en-US"/>
        </w:rPr>
      </w:pPr>
    </w:p>
    <w:p w:rsidR="00EC1A78" w:rsidRPr="00EC1A78" w:rsidRDefault="00EC1A78" w:rsidP="00EC1A78">
      <w:pPr>
        <w:jc w:val="center"/>
        <w:rPr>
          <w:rFonts w:eastAsiaTheme="minorHAnsi"/>
          <w:b/>
          <w:spacing w:val="-2"/>
          <w:sz w:val="24"/>
          <w:szCs w:val="24"/>
          <w:lang w:eastAsia="en-US"/>
        </w:rPr>
      </w:pPr>
      <w:r w:rsidRPr="00EC1A78">
        <w:rPr>
          <w:rFonts w:eastAsiaTheme="minorHAnsi"/>
          <w:b/>
          <w:spacing w:val="-2"/>
          <w:sz w:val="24"/>
          <w:szCs w:val="24"/>
          <w:lang w:eastAsia="en-US"/>
        </w:rPr>
        <w:t>Тенденции развития медицинского права в России</w:t>
      </w:r>
    </w:p>
    <w:p w:rsidR="00EC1A78" w:rsidRPr="00EC1A78" w:rsidRDefault="00EC1A78" w:rsidP="00EC1A78">
      <w:pPr>
        <w:jc w:val="center"/>
        <w:rPr>
          <w:rFonts w:eastAsiaTheme="minorHAnsi"/>
          <w:b/>
          <w:spacing w:val="-2"/>
          <w:sz w:val="24"/>
          <w:szCs w:val="24"/>
          <w:lang w:val="en-US" w:eastAsia="en-US"/>
        </w:rPr>
      </w:pPr>
      <w:r w:rsidRPr="00EC1A78">
        <w:rPr>
          <w:rFonts w:eastAsiaTheme="minorHAnsi"/>
          <w:b/>
          <w:spacing w:val="-2"/>
          <w:sz w:val="24"/>
          <w:szCs w:val="24"/>
          <w:lang w:val="en-US" w:eastAsia="en-US"/>
        </w:rPr>
        <w:t>Trends in the development of medical law in Russia</w:t>
      </w:r>
    </w:p>
    <w:p w:rsidR="00EC1A78" w:rsidRPr="00EC1A78" w:rsidRDefault="00EC1A78" w:rsidP="00EC1A78">
      <w:pPr>
        <w:jc w:val="right"/>
        <w:rPr>
          <w:rFonts w:eastAsiaTheme="minorHAnsi"/>
          <w:spacing w:val="-2"/>
          <w:sz w:val="22"/>
          <w:szCs w:val="22"/>
          <w:lang w:val="en-US" w:eastAsia="en-US"/>
        </w:rPr>
      </w:pP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Тихоиванова А.</w:t>
      </w:r>
      <w:r w:rsidR="00723562">
        <w:rPr>
          <w:rFonts w:eastAsiaTheme="minorHAnsi"/>
          <w:spacing w:val="-2"/>
          <w:sz w:val="22"/>
          <w:szCs w:val="22"/>
          <w:lang w:eastAsia="en-US"/>
        </w:rPr>
        <w:t xml:space="preserve"> </w:t>
      </w:r>
      <w:r w:rsidRPr="00EC1A78">
        <w:rPr>
          <w:rFonts w:eastAsiaTheme="minorHAnsi"/>
          <w:spacing w:val="-2"/>
          <w:sz w:val="22"/>
          <w:szCs w:val="22"/>
          <w:lang w:eastAsia="en-US"/>
        </w:rPr>
        <w:t>С.,</w:t>
      </w: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студентка 2–го курса факультета агрономии и экологии</w:t>
      </w: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Лепешкина О.</w:t>
      </w:r>
      <w:r w:rsidR="00723562">
        <w:rPr>
          <w:rFonts w:eastAsiaTheme="minorHAnsi"/>
          <w:spacing w:val="-2"/>
          <w:sz w:val="22"/>
          <w:szCs w:val="22"/>
          <w:lang w:eastAsia="en-US"/>
        </w:rPr>
        <w:t xml:space="preserve"> </w:t>
      </w:r>
      <w:r w:rsidRPr="00EC1A78">
        <w:rPr>
          <w:rFonts w:eastAsiaTheme="minorHAnsi"/>
          <w:spacing w:val="-2"/>
          <w:sz w:val="22"/>
          <w:szCs w:val="22"/>
          <w:lang w:eastAsia="en-US"/>
        </w:rPr>
        <w:t>В.,</w:t>
      </w: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 xml:space="preserve">доцент кафедры теории и истории государства и права </w:t>
      </w: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 xml:space="preserve">Кубанский государственный аграрный </w:t>
      </w:r>
    </w:p>
    <w:p w:rsidR="00EC1A78" w:rsidRPr="00EC1A78" w:rsidRDefault="00EC1A78" w:rsidP="00EC1A78">
      <w:pPr>
        <w:jc w:val="right"/>
        <w:rPr>
          <w:rFonts w:eastAsiaTheme="minorHAnsi"/>
          <w:spacing w:val="-2"/>
          <w:sz w:val="22"/>
          <w:szCs w:val="22"/>
          <w:lang w:eastAsia="en-US"/>
        </w:rPr>
      </w:pPr>
      <w:r w:rsidRPr="00EC1A78">
        <w:rPr>
          <w:rFonts w:eastAsiaTheme="minorHAnsi"/>
          <w:spacing w:val="-2"/>
          <w:sz w:val="22"/>
          <w:szCs w:val="22"/>
          <w:lang w:eastAsia="en-US"/>
        </w:rPr>
        <w:t>университет имени И.</w:t>
      </w:r>
      <w:r w:rsidR="00723562">
        <w:rPr>
          <w:rFonts w:eastAsiaTheme="minorHAnsi"/>
          <w:spacing w:val="-2"/>
          <w:sz w:val="22"/>
          <w:szCs w:val="22"/>
          <w:lang w:eastAsia="en-US"/>
        </w:rPr>
        <w:t xml:space="preserve"> </w:t>
      </w:r>
      <w:r w:rsidRPr="00EC1A78">
        <w:rPr>
          <w:rFonts w:eastAsiaTheme="minorHAnsi"/>
          <w:spacing w:val="-2"/>
          <w:sz w:val="22"/>
          <w:szCs w:val="22"/>
          <w:lang w:eastAsia="en-US"/>
        </w:rPr>
        <w:t>Т. Трубилина</w:t>
      </w:r>
    </w:p>
    <w:p w:rsidR="00EC1A78" w:rsidRPr="00EC1A78" w:rsidRDefault="00EC1A78" w:rsidP="00EC1A78">
      <w:pPr>
        <w:ind w:firstLine="425"/>
        <w:jc w:val="both"/>
        <w:rPr>
          <w:rFonts w:eastAsiaTheme="minorHAnsi"/>
          <w:spacing w:val="-2"/>
          <w:sz w:val="22"/>
          <w:szCs w:val="22"/>
          <w:lang w:eastAsia="en-US"/>
        </w:rPr>
      </w:pPr>
    </w:p>
    <w:p w:rsidR="00EC1A78" w:rsidRPr="00EC1A78" w:rsidRDefault="00EC1A78" w:rsidP="00EC1A78">
      <w:pPr>
        <w:ind w:firstLine="425"/>
        <w:jc w:val="both"/>
        <w:rPr>
          <w:rFonts w:eastAsiaTheme="minorHAnsi"/>
          <w:color w:val="000000"/>
          <w:spacing w:val="-2"/>
          <w:sz w:val="22"/>
          <w:szCs w:val="22"/>
          <w:shd w:val="clear" w:color="auto" w:fill="FFFFFF"/>
          <w:lang w:eastAsia="en-US"/>
        </w:rPr>
      </w:pPr>
      <w:r w:rsidRPr="00EC1A78">
        <w:rPr>
          <w:rFonts w:eastAsiaTheme="minorHAnsi"/>
          <w:spacing w:val="-2"/>
          <w:sz w:val="22"/>
          <w:szCs w:val="22"/>
          <w:lang w:eastAsia="en-US"/>
        </w:rPr>
        <w:t>АННОТАЦИЯ: статья посвящена и</w:t>
      </w:r>
      <w:r w:rsidRPr="00EC1A78">
        <w:rPr>
          <w:rFonts w:eastAsiaTheme="minorHAnsi"/>
          <w:color w:val="000000"/>
          <w:spacing w:val="-2"/>
          <w:sz w:val="22"/>
          <w:szCs w:val="22"/>
          <w:shd w:val="clear" w:color="auto" w:fill="FFFFFF"/>
          <w:lang w:eastAsia="en-US"/>
        </w:rPr>
        <w:t>зучению динамики и пе</w:t>
      </w:r>
      <w:r w:rsidRPr="00EC1A78">
        <w:rPr>
          <w:rFonts w:eastAsiaTheme="minorHAnsi"/>
          <w:color w:val="000000"/>
          <w:spacing w:val="-2"/>
          <w:sz w:val="22"/>
          <w:szCs w:val="22"/>
          <w:shd w:val="clear" w:color="auto" w:fill="FFFFFF"/>
          <w:lang w:eastAsia="en-US"/>
        </w:rPr>
        <w:t>р</w:t>
      </w:r>
      <w:r w:rsidRPr="00EC1A78">
        <w:rPr>
          <w:rFonts w:eastAsiaTheme="minorHAnsi"/>
          <w:color w:val="000000"/>
          <w:spacing w:val="-2"/>
          <w:sz w:val="22"/>
          <w:szCs w:val="22"/>
          <w:shd w:val="clear" w:color="auto" w:fill="FFFFFF"/>
          <w:lang w:eastAsia="en-US"/>
        </w:rPr>
        <w:t xml:space="preserve">спективы развития государственной системы медицинского права в России. </w:t>
      </w:r>
    </w:p>
    <w:p w:rsidR="00EC1A78" w:rsidRPr="00EC1A78" w:rsidRDefault="00EC1A78" w:rsidP="00EC1A78">
      <w:pPr>
        <w:ind w:firstLine="425"/>
        <w:jc w:val="both"/>
        <w:rPr>
          <w:rFonts w:eastAsiaTheme="minorHAnsi"/>
          <w:spacing w:val="-2"/>
          <w:sz w:val="22"/>
          <w:szCs w:val="22"/>
          <w:lang w:val="en-US" w:eastAsia="en-US"/>
        </w:rPr>
      </w:pPr>
      <w:r w:rsidRPr="00EC1A78">
        <w:rPr>
          <w:rFonts w:eastAsiaTheme="minorHAnsi"/>
          <w:spacing w:val="-2"/>
          <w:sz w:val="22"/>
          <w:szCs w:val="22"/>
          <w:lang w:val="en-US" w:eastAsia="en-US"/>
        </w:rPr>
        <w:t>ABSTRACT: the article is devoted to the study of dynamics and pr</w:t>
      </w:r>
      <w:r w:rsidRPr="00EC1A78">
        <w:rPr>
          <w:rFonts w:eastAsiaTheme="minorHAnsi"/>
          <w:spacing w:val="-2"/>
          <w:sz w:val="22"/>
          <w:szCs w:val="22"/>
          <w:lang w:val="en-US" w:eastAsia="en-US"/>
        </w:rPr>
        <w:t>o</w:t>
      </w:r>
      <w:r w:rsidRPr="00EC1A78">
        <w:rPr>
          <w:rFonts w:eastAsiaTheme="minorHAnsi"/>
          <w:spacing w:val="-2"/>
          <w:sz w:val="22"/>
          <w:szCs w:val="22"/>
          <w:lang w:val="en-US" w:eastAsia="en-US"/>
        </w:rPr>
        <w:t>spects of development of the state system of medical law in Russia.</w:t>
      </w:r>
    </w:p>
    <w:p w:rsidR="00EC1A78" w:rsidRPr="00EC1A78" w:rsidRDefault="00EC1A78" w:rsidP="00EC1A78">
      <w:pPr>
        <w:ind w:firstLine="425"/>
        <w:jc w:val="both"/>
        <w:rPr>
          <w:rFonts w:eastAsiaTheme="minorHAnsi"/>
          <w:spacing w:val="-2"/>
          <w:sz w:val="22"/>
          <w:szCs w:val="22"/>
          <w:lang w:eastAsia="en-US"/>
        </w:rPr>
      </w:pPr>
      <w:r w:rsidRPr="00EC1A78">
        <w:rPr>
          <w:rFonts w:eastAsiaTheme="minorHAnsi"/>
          <w:spacing w:val="-2"/>
          <w:sz w:val="22"/>
          <w:szCs w:val="22"/>
          <w:lang w:eastAsia="en-US"/>
        </w:rPr>
        <w:t>КЛЮЧЕВЫЕ СЛОВА: медицинское право, доктрина, права п</w:t>
      </w:r>
      <w:r w:rsidRPr="00EC1A78">
        <w:rPr>
          <w:rFonts w:eastAsiaTheme="minorHAnsi"/>
          <w:spacing w:val="-2"/>
          <w:sz w:val="22"/>
          <w:szCs w:val="22"/>
          <w:lang w:eastAsia="en-US"/>
        </w:rPr>
        <w:t>а</w:t>
      </w:r>
      <w:r w:rsidRPr="00EC1A78">
        <w:rPr>
          <w:rFonts w:eastAsiaTheme="minorHAnsi"/>
          <w:spacing w:val="-2"/>
          <w:sz w:val="22"/>
          <w:szCs w:val="22"/>
          <w:lang w:eastAsia="en-US"/>
        </w:rPr>
        <w:t>циента.</w:t>
      </w:r>
    </w:p>
    <w:p w:rsidR="00EC1A78" w:rsidRPr="00EC1A78" w:rsidRDefault="00EC1A78" w:rsidP="00EC1A78">
      <w:pPr>
        <w:ind w:firstLine="425"/>
        <w:jc w:val="both"/>
        <w:rPr>
          <w:rFonts w:eastAsiaTheme="minorHAnsi"/>
          <w:spacing w:val="-2"/>
          <w:sz w:val="22"/>
          <w:szCs w:val="22"/>
          <w:lang w:val="en-US" w:eastAsia="en-US"/>
        </w:rPr>
      </w:pPr>
      <w:r w:rsidRPr="00EC1A78">
        <w:rPr>
          <w:rFonts w:eastAsiaTheme="minorHAnsi"/>
          <w:spacing w:val="-2"/>
          <w:sz w:val="22"/>
          <w:szCs w:val="22"/>
          <w:lang w:val="en-US" w:eastAsia="en-US"/>
        </w:rPr>
        <w:t>KEYWORDS: medical law, doctrine, the rights of the patient.</w:t>
      </w:r>
    </w:p>
    <w:p w:rsidR="00EC1A78" w:rsidRPr="00EC1A78" w:rsidRDefault="00EC1A78" w:rsidP="00EC1A78">
      <w:pPr>
        <w:ind w:firstLine="425"/>
        <w:jc w:val="both"/>
        <w:rPr>
          <w:rFonts w:eastAsiaTheme="minorHAnsi"/>
          <w:color w:val="000000"/>
          <w:spacing w:val="-2"/>
          <w:sz w:val="22"/>
          <w:szCs w:val="22"/>
          <w:lang w:val="en-US" w:eastAsia="en-US"/>
        </w:rPr>
      </w:pPr>
    </w:p>
    <w:p w:rsidR="00EC1A78" w:rsidRDefault="00EC1A78" w:rsidP="00F253F3">
      <w:pPr>
        <w:ind w:firstLine="425"/>
        <w:jc w:val="both"/>
        <w:rPr>
          <w:rFonts w:eastAsiaTheme="minorHAnsi"/>
          <w:spacing w:val="-2"/>
          <w:sz w:val="22"/>
          <w:szCs w:val="22"/>
          <w:lang w:eastAsia="en-US"/>
        </w:rPr>
      </w:pPr>
      <w:r w:rsidRPr="00EC1A78">
        <w:rPr>
          <w:rFonts w:eastAsiaTheme="minorHAnsi"/>
          <w:color w:val="000000"/>
          <w:spacing w:val="-2"/>
          <w:sz w:val="22"/>
          <w:szCs w:val="22"/>
          <w:lang w:eastAsia="en-US"/>
        </w:rPr>
        <w:t>Медицинское право определяется как часть законодательной с</w:t>
      </w:r>
      <w:r w:rsidRPr="00EC1A78">
        <w:rPr>
          <w:rFonts w:eastAsiaTheme="minorHAnsi"/>
          <w:color w:val="000000"/>
          <w:spacing w:val="-2"/>
          <w:sz w:val="22"/>
          <w:szCs w:val="22"/>
          <w:lang w:eastAsia="en-US"/>
        </w:rPr>
        <w:t>и</w:t>
      </w:r>
      <w:r w:rsidRPr="00EC1A78">
        <w:rPr>
          <w:rFonts w:eastAsiaTheme="minorHAnsi"/>
          <w:color w:val="000000"/>
          <w:spacing w:val="-2"/>
          <w:sz w:val="22"/>
          <w:szCs w:val="22"/>
          <w:lang w:eastAsia="en-US"/>
        </w:rPr>
        <w:t>стемы [12], которая включает нормы различных отраслей российск</w:t>
      </w:r>
      <w:r w:rsidRPr="00EC1A78">
        <w:rPr>
          <w:rFonts w:eastAsiaTheme="minorHAnsi"/>
          <w:color w:val="000000"/>
          <w:spacing w:val="-2"/>
          <w:sz w:val="22"/>
          <w:szCs w:val="22"/>
          <w:lang w:eastAsia="en-US"/>
        </w:rPr>
        <w:t>о</w:t>
      </w:r>
      <w:r w:rsidRPr="00EC1A78">
        <w:rPr>
          <w:rFonts w:eastAsiaTheme="minorHAnsi"/>
          <w:color w:val="000000"/>
          <w:spacing w:val="-2"/>
          <w:sz w:val="22"/>
          <w:szCs w:val="22"/>
          <w:lang w:eastAsia="en-US"/>
        </w:rPr>
        <w:t>го права [13], регулирующих отношения в разных сферах медици</w:t>
      </w:r>
      <w:r w:rsidRPr="00EC1A78">
        <w:rPr>
          <w:rFonts w:eastAsiaTheme="minorHAnsi"/>
          <w:color w:val="000000"/>
          <w:spacing w:val="-2"/>
          <w:sz w:val="22"/>
          <w:szCs w:val="22"/>
          <w:lang w:eastAsia="en-US"/>
        </w:rPr>
        <w:t>н</w:t>
      </w:r>
      <w:r w:rsidRPr="00EC1A78">
        <w:rPr>
          <w:rFonts w:eastAsiaTheme="minorHAnsi"/>
          <w:color w:val="000000"/>
          <w:spacing w:val="-2"/>
          <w:sz w:val="22"/>
          <w:szCs w:val="22"/>
          <w:lang w:eastAsia="en-US"/>
        </w:rPr>
        <w:t>ской деятельности – от руководства здравоохранением до отношений между ЛПУ и пациентами и страховыми компаниями [9].</w:t>
      </w:r>
      <w:r w:rsidRPr="00EC1A78">
        <w:rPr>
          <w:rFonts w:eastAsiaTheme="minorHAnsi"/>
          <w:spacing w:val="-2"/>
          <w:sz w:val="22"/>
          <w:szCs w:val="22"/>
          <w:lang w:eastAsia="en-US"/>
        </w:rPr>
        <w:t xml:space="preserve"> Существ</w:t>
      </w:r>
      <w:r w:rsidRPr="00EC1A78">
        <w:rPr>
          <w:rFonts w:eastAsiaTheme="minorHAnsi"/>
          <w:spacing w:val="-2"/>
          <w:sz w:val="22"/>
          <w:szCs w:val="22"/>
          <w:lang w:eastAsia="en-US"/>
        </w:rPr>
        <w:t>у</w:t>
      </w:r>
      <w:r w:rsidRPr="00EC1A78">
        <w:rPr>
          <w:rFonts w:eastAsiaTheme="minorHAnsi"/>
          <w:spacing w:val="-2"/>
          <w:sz w:val="22"/>
          <w:szCs w:val="22"/>
          <w:lang w:eastAsia="en-US"/>
        </w:rPr>
        <w:t xml:space="preserve">ет множество важных аспектов, таких как обеспечение плановой профилактики, работы МСЭ, повышение материально–технического обеспечения государственных ЛПУ и многих других. </w:t>
      </w:r>
      <w:r w:rsidRPr="00EC1A78">
        <w:rPr>
          <w:rFonts w:eastAsiaTheme="minorHAnsi"/>
          <w:color w:val="000000"/>
          <w:spacing w:val="-2"/>
          <w:sz w:val="22"/>
          <w:szCs w:val="22"/>
          <w:lang w:eastAsia="en-US"/>
        </w:rPr>
        <w:t>В настоящее время в РФ действует множество законов и указов, определяющих отдельные направления практической медицинской работы, такие</w:t>
      </w:r>
      <w:r w:rsidRPr="00EC1A78">
        <w:rPr>
          <w:rFonts w:eastAsiaTheme="minorHAnsi"/>
          <w:spacing w:val="-2"/>
          <w:sz w:val="22"/>
          <w:szCs w:val="22"/>
          <w:lang w:eastAsia="en-US"/>
        </w:rPr>
        <w:t xml:space="preserve"> как – ФЗ Об обязательном медицинском страховании в Российской Федерации,  Закон РФ О трансплантации органов и тканей человека, ФЗ Об обращении лекарственных средств, и другие [1],[2],[3],[4],[5]. </w:t>
      </w:r>
      <w:r w:rsidRPr="00EC1A78">
        <w:rPr>
          <w:rFonts w:eastAsiaTheme="minorHAnsi"/>
          <w:spacing w:val="-2"/>
          <w:sz w:val="22"/>
          <w:szCs w:val="22"/>
          <w:lang w:eastAsia="en-US"/>
        </w:rPr>
        <w:lastRenderedPageBreak/>
        <w:t>Данные законы при их всеобъемлющем количестве не способны охватить все области медицинского законодательства и его развития. Следует отметить, что из–за несистематизированности медицинского законодательства чаще всего страдают пациенты и их близкие. Ос</w:t>
      </w:r>
      <w:r w:rsidRPr="00EC1A78">
        <w:rPr>
          <w:rFonts w:eastAsiaTheme="minorHAnsi"/>
          <w:spacing w:val="-2"/>
          <w:sz w:val="22"/>
          <w:szCs w:val="22"/>
          <w:lang w:eastAsia="en-US"/>
        </w:rPr>
        <w:t>о</w:t>
      </w:r>
      <w:r w:rsidRPr="00EC1A78">
        <w:rPr>
          <w:rFonts w:eastAsiaTheme="minorHAnsi"/>
          <w:spacing w:val="-2"/>
          <w:sz w:val="22"/>
          <w:szCs w:val="22"/>
          <w:lang w:eastAsia="en-US"/>
        </w:rPr>
        <w:t>бенно это остро ощущается при определении ответственности за н</w:t>
      </w:r>
      <w:r w:rsidRPr="00EC1A78">
        <w:rPr>
          <w:rFonts w:eastAsiaTheme="minorHAnsi"/>
          <w:spacing w:val="-2"/>
          <w:sz w:val="22"/>
          <w:szCs w:val="22"/>
          <w:lang w:eastAsia="en-US"/>
        </w:rPr>
        <w:t>е</w:t>
      </w:r>
      <w:r w:rsidRPr="00EC1A78">
        <w:rPr>
          <w:rFonts w:eastAsiaTheme="minorHAnsi"/>
          <w:spacing w:val="-2"/>
          <w:sz w:val="22"/>
          <w:szCs w:val="22"/>
          <w:lang w:eastAsia="en-US"/>
        </w:rPr>
        <w:t>надлежащее исполнение медицинским персоналом своих обязанн</w:t>
      </w:r>
      <w:r w:rsidRPr="00EC1A78">
        <w:rPr>
          <w:rFonts w:eastAsiaTheme="minorHAnsi"/>
          <w:spacing w:val="-2"/>
          <w:sz w:val="22"/>
          <w:szCs w:val="22"/>
          <w:lang w:eastAsia="en-US"/>
        </w:rPr>
        <w:t>о</w:t>
      </w:r>
      <w:r w:rsidRPr="00EC1A78">
        <w:rPr>
          <w:rFonts w:eastAsiaTheme="minorHAnsi"/>
          <w:spacing w:val="-2"/>
          <w:sz w:val="22"/>
          <w:szCs w:val="22"/>
          <w:lang w:eastAsia="en-US"/>
        </w:rPr>
        <w:t>стей, а также споры со страховыми компаниями[6] при возмещении ущерба и оплате лечения[7]. Кроме того, как известно сфера медиц</w:t>
      </w:r>
      <w:r w:rsidRPr="00EC1A78">
        <w:rPr>
          <w:rFonts w:eastAsiaTheme="minorHAnsi"/>
          <w:spacing w:val="-2"/>
          <w:sz w:val="22"/>
          <w:szCs w:val="22"/>
          <w:lang w:eastAsia="en-US"/>
        </w:rPr>
        <w:t>и</w:t>
      </w:r>
      <w:r w:rsidRPr="00EC1A78">
        <w:rPr>
          <w:rFonts w:eastAsiaTheme="minorHAnsi"/>
          <w:spacing w:val="-2"/>
          <w:sz w:val="22"/>
          <w:szCs w:val="22"/>
          <w:lang w:eastAsia="en-US"/>
        </w:rPr>
        <w:t>ны и образования являются самыми коррумпированными сферами в России[8], [11]. Из–за недостаточного описания определения услуг медицинской деятельности была разработана Концепция развития здравоохранения РФ до 2020 года [10]. В ней определяются понятия, которые касаются неблагоприятных частей современного состояния здравоохранения в РФ. Это демографическая ситуация – она остаётся неблагоприятной, так как происходит сокращение численности нас</w:t>
      </w:r>
      <w:r w:rsidRPr="00EC1A78">
        <w:rPr>
          <w:rFonts w:eastAsiaTheme="minorHAnsi"/>
          <w:spacing w:val="-2"/>
          <w:sz w:val="22"/>
          <w:szCs w:val="22"/>
          <w:lang w:eastAsia="en-US"/>
        </w:rPr>
        <w:t>е</w:t>
      </w:r>
      <w:r w:rsidRPr="00EC1A78">
        <w:rPr>
          <w:rFonts w:eastAsiaTheme="minorHAnsi"/>
          <w:spacing w:val="-2"/>
          <w:sz w:val="22"/>
          <w:szCs w:val="22"/>
          <w:lang w:eastAsia="en-US"/>
        </w:rPr>
        <w:t>ления. Важным пунктом является улучшение показателей здоровья и уменьшения главных факторов риска заболеваемости и смертности населения, а также реализация программы государственных гарантий оказания гражданам РФ бесплатной медицинской помощи и моде</w:t>
      </w:r>
      <w:r w:rsidRPr="00EC1A78">
        <w:rPr>
          <w:rFonts w:eastAsiaTheme="minorHAnsi"/>
          <w:spacing w:val="-2"/>
          <w:sz w:val="22"/>
          <w:szCs w:val="22"/>
          <w:lang w:eastAsia="en-US"/>
        </w:rPr>
        <w:t>р</w:t>
      </w:r>
      <w:r w:rsidRPr="00EC1A78">
        <w:rPr>
          <w:rFonts w:eastAsiaTheme="minorHAnsi"/>
          <w:spacing w:val="-2"/>
          <w:sz w:val="22"/>
          <w:szCs w:val="22"/>
          <w:lang w:eastAsia="en-US"/>
        </w:rPr>
        <w:t>низации системы оказания медицинской помощи населению. В этой концепции развития здравоохранения учитывается инновационное кадровое обеспечение здравоохранения и лекарственное обеспечение граждан в сложных условиях, особенно в малонаселенных пунктах. Реализация данной концепции была достаточно успешной, так как произошло уточнение Федерального законодательства, закрепля</w:t>
      </w:r>
      <w:r w:rsidRPr="00EC1A78">
        <w:rPr>
          <w:rFonts w:eastAsiaTheme="minorHAnsi"/>
          <w:spacing w:val="-2"/>
          <w:sz w:val="22"/>
          <w:szCs w:val="22"/>
          <w:lang w:eastAsia="en-US"/>
        </w:rPr>
        <w:t>ю</w:t>
      </w:r>
      <w:r w:rsidRPr="00EC1A78">
        <w:rPr>
          <w:rFonts w:eastAsiaTheme="minorHAnsi"/>
          <w:spacing w:val="-2"/>
          <w:sz w:val="22"/>
          <w:szCs w:val="22"/>
          <w:lang w:eastAsia="en-US"/>
        </w:rPr>
        <w:t>щего систему организации здравоохранения оказания медицинской помощи в РФ, а также гарантированный механизм реализации этих прав, устанавливающий требования к организации здравоохранения, квалификации медицинских работников, оснащении организаций. Произошла автоматизация мониторинга финансовых потоков, пр</w:t>
      </w:r>
      <w:r w:rsidRPr="00EC1A78">
        <w:rPr>
          <w:rFonts w:eastAsiaTheme="minorHAnsi"/>
          <w:spacing w:val="-2"/>
          <w:sz w:val="22"/>
          <w:szCs w:val="22"/>
          <w:lang w:eastAsia="en-US"/>
        </w:rPr>
        <w:t>о</w:t>
      </w:r>
      <w:r w:rsidRPr="00EC1A78">
        <w:rPr>
          <w:rFonts w:eastAsiaTheme="minorHAnsi"/>
          <w:spacing w:val="-2"/>
          <w:sz w:val="22"/>
          <w:szCs w:val="22"/>
          <w:lang w:eastAsia="en-US"/>
        </w:rPr>
        <w:t>гнозирования потребностей граждан, оценки эффективности де</w:t>
      </w:r>
      <w:r w:rsidRPr="00EC1A78">
        <w:rPr>
          <w:rFonts w:eastAsiaTheme="minorHAnsi"/>
          <w:spacing w:val="-2"/>
          <w:sz w:val="22"/>
          <w:szCs w:val="22"/>
          <w:lang w:eastAsia="en-US"/>
        </w:rPr>
        <w:t>я</w:t>
      </w:r>
      <w:r w:rsidRPr="00EC1A78">
        <w:rPr>
          <w:rFonts w:eastAsiaTheme="minorHAnsi"/>
          <w:spacing w:val="-2"/>
          <w:sz w:val="22"/>
          <w:szCs w:val="22"/>
          <w:lang w:eastAsia="en-US"/>
        </w:rPr>
        <w:t>тельности региональных органов и создание Единой Федеральной Базы сбора и хранения электронных историй болезни на базе наци</w:t>
      </w:r>
      <w:r w:rsidRPr="00EC1A78">
        <w:rPr>
          <w:rFonts w:eastAsiaTheme="minorHAnsi"/>
          <w:spacing w:val="-2"/>
          <w:sz w:val="22"/>
          <w:szCs w:val="22"/>
          <w:lang w:eastAsia="en-US"/>
        </w:rPr>
        <w:t>о</w:t>
      </w:r>
      <w:r w:rsidRPr="00EC1A78">
        <w:rPr>
          <w:rFonts w:eastAsiaTheme="minorHAnsi"/>
          <w:spacing w:val="-2"/>
          <w:sz w:val="22"/>
          <w:szCs w:val="22"/>
          <w:lang w:eastAsia="en-US"/>
        </w:rPr>
        <w:t>нальных стандартов. В целом реализации всех направлений Конце</w:t>
      </w:r>
      <w:r w:rsidRPr="00EC1A78">
        <w:rPr>
          <w:rFonts w:eastAsiaTheme="minorHAnsi"/>
          <w:spacing w:val="-2"/>
          <w:sz w:val="22"/>
          <w:szCs w:val="22"/>
          <w:lang w:eastAsia="en-US"/>
        </w:rPr>
        <w:t>п</w:t>
      </w:r>
      <w:r w:rsidRPr="00EC1A78">
        <w:rPr>
          <w:rFonts w:eastAsiaTheme="minorHAnsi"/>
          <w:spacing w:val="-2"/>
          <w:sz w:val="22"/>
          <w:szCs w:val="22"/>
          <w:lang w:eastAsia="en-US"/>
        </w:rPr>
        <w:t>ция обеспечивает формирование здорового образа жизни населения РФ, а также создает систему здравоохранения, позволяющую оказ</w:t>
      </w:r>
      <w:r w:rsidRPr="00EC1A78">
        <w:rPr>
          <w:rFonts w:eastAsiaTheme="minorHAnsi"/>
          <w:spacing w:val="-2"/>
          <w:sz w:val="22"/>
          <w:szCs w:val="22"/>
          <w:lang w:eastAsia="en-US"/>
        </w:rPr>
        <w:t>ы</w:t>
      </w:r>
      <w:r w:rsidRPr="00EC1A78">
        <w:rPr>
          <w:rFonts w:eastAsiaTheme="minorHAnsi"/>
          <w:spacing w:val="-2"/>
          <w:sz w:val="22"/>
          <w:szCs w:val="22"/>
          <w:lang w:eastAsia="en-US"/>
        </w:rPr>
        <w:t>вать медицинскую помощь на основе единых требований с учетом передовых достижений научно–технического прогресса, которая б</w:t>
      </w:r>
      <w:r w:rsidRPr="00EC1A78">
        <w:rPr>
          <w:rFonts w:eastAsiaTheme="minorHAnsi"/>
          <w:spacing w:val="-2"/>
          <w:sz w:val="22"/>
          <w:szCs w:val="22"/>
          <w:lang w:eastAsia="en-US"/>
        </w:rPr>
        <w:t>у</w:t>
      </w:r>
      <w:r w:rsidRPr="00EC1A78">
        <w:rPr>
          <w:rFonts w:eastAsiaTheme="minorHAnsi"/>
          <w:spacing w:val="-2"/>
          <w:sz w:val="22"/>
          <w:szCs w:val="22"/>
          <w:lang w:eastAsia="en-US"/>
        </w:rPr>
        <w:lastRenderedPageBreak/>
        <w:t>дет являться залогом устойчивого социально–экономического разв</w:t>
      </w:r>
      <w:r w:rsidRPr="00EC1A78">
        <w:rPr>
          <w:rFonts w:eastAsiaTheme="minorHAnsi"/>
          <w:spacing w:val="-2"/>
          <w:sz w:val="22"/>
          <w:szCs w:val="22"/>
          <w:lang w:eastAsia="en-US"/>
        </w:rPr>
        <w:t>и</w:t>
      </w:r>
      <w:r w:rsidRPr="00EC1A78">
        <w:rPr>
          <w:rFonts w:eastAsiaTheme="minorHAnsi"/>
          <w:spacing w:val="-2"/>
          <w:sz w:val="22"/>
          <w:szCs w:val="22"/>
          <w:lang w:eastAsia="en-US"/>
        </w:rPr>
        <w:t>тия Российской Федерации на долгосрочной перспективе.</w:t>
      </w:r>
    </w:p>
    <w:p w:rsidR="00F253F3" w:rsidRPr="00EC1A78" w:rsidRDefault="00F253F3" w:rsidP="00F253F3">
      <w:pPr>
        <w:ind w:firstLine="425"/>
        <w:jc w:val="both"/>
        <w:rPr>
          <w:rFonts w:eastAsiaTheme="minorHAnsi"/>
          <w:spacing w:val="-2"/>
          <w:sz w:val="22"/>
          <w:szCs w:val="22"/>
          <w:lang w:eastAsia="en-US"/>
        </w:rPr>
      </w:pPr>
    </w:p>
    <w:p w:rsidR="00EC1A78" w:rsidRPr="00EC1A78" w:rsidRDefault="00723562" w:rsidP="00EC1A78">
      <w:pPr>
        <w:ind w:firstLine="425"/>
        <w:jc w:val="center"/>
        <w:rPr>
          <w:rFonts w:eastAsiaTheme="minorHAnsi"/>
          <w:spacing w:val="-2"/>
          <w:sz w:val="22"/>
          <w:szCs w:val="22"/>
          <w:lang w:eastAsia="en-US"/>
        </w:rPr>
      </w:pPr>
      <w:r>
        <w:rPr>
          <w:rFonts w:eastAsiaTheme="minorHAnsi"/>
          <w:spacing w:val="-2"/>
          <w:sz w:val="22"/>
          <w:szCs w:val="22"/>
          <w:lang w:eastAsia="en-US"/>
        </w:rPr>
        <w:t>Список литературы</w:t>
      </w:r>
    </w:p>
    <w:p w:rsidR="00EC1A78" w:rsidRPr="00EC1A78" w:rsidRDefault="00EC1A78" w:rsidP="00EC1A78">
      <w:pPr>
        <w:ind w:firstLine="426"/>
        <w:jc w:val="both"/>
        <w:rPr>
          <w:rFonts w:eastAsiaTheme="minorHAnsi"/>
          <w:color w:val="222222"/>
          <w:sz w:val="22"/>
          <w:szCs w:val="22"/>
          <w:lang w:eastAsia="en-US"/>
        </w:rPr>
      </w:pPr>
      <w:r w:rsidRPr="00EC1A78">
        <w:rPr>
          <w:rFonts w:eastAsiaTheme="minorHAnsi"/>
          <w:sz w:val="22"/>
          <w:szCs w:val="22"/>
          <w:lang w:eastAsia="en-US"/>
        </w:rPr>
        <w:t>1.</w:t>
      </w:r>
      <w:r w:rsidRPr="00EC1A78">
        <w:rPr>
          <w:rFonts w:eastAsiaTheme="minorHAnsi"/>
          <w:bCs/>
          <w:color w:val="222222"/>
          <w:sz w:val="22"/>
          <w:szCs w:val="22"/>
          <w:lang w:eastAsia="en-US"/>
        </w:rPr>
        <w:t xml:space="preserve"> </w:t>
      </w:r>
      <w:r w:rsidRPr="00EC1A78">
        <w:rPr>
          <w:rFonts w:eastAsiaTheme="minorHAnsi"/>
          <w:sz w:val="22"/>
          <w:szCs w:val="22"/>
          <w:lang w:eastAsia="en-US"/>
        </w:rPr>
        <w:t xml:space="preserve">О трансплантации органов и тканей человека: </w:t>
      </w:r>
      <w:r w:rsidRPr="00EC1A78">
        <w:rPr>
          <w:rFonts w:eastAsiaTheme="minorHAnsi"/>
          <w:bCs/>
          <w:sz w:val="22"/>
          <w:szCs w:val="22"/>
          <w:lang w:eastAsia="en-US"/>
        </w:rPr>
        <w:t>Закон РФ от 22.12.1992 № 4180–I</w:t>
      </w:r>
      <w:r w:rsidRPr="00EC1A78">
        <w:rPr>
          <w:rFonts w:eastAsiaTheme="minorHAnsi"/>
          <w:sz w:val="22"/>
          <w:szCs w:val="22"/>
          <w:lang w:eastAsia="en-US"/>
        </w:rPr>
        <w:t xml:space="preserve"> // СПС Гарант // http://base.garant.ru</w:t>
      </w:r>
    </w:p>
    <w:p w:rsidR="00EC1A78" w:rsidRPr="00EC1A78" w:rsidRDefault="00EC1A78" w:rsidP="00EC1A78">
      <w:pPr>
        <w:shd w:val="clear" w:color="auto" w:fill="FFFFFF"/>
        <w:ind w:firstLine="426"/>
        <w:jc w:val="both"/>
        <w:outlineLvl w:val="0"/>
        <w:rPr>
          <w:i/>
          <w:iCs/>
          <w:spacing w:val="-2"/>
          <w:kern w:val="36"/>
          <w:sz w:val="22"/>
          <w:szCs w:val="22"/>
          <w:shd w:val="clear" w:color="auto" w:fill="FFFFFF"/>
        </w:rPr>
      </w:pPr>
      <w:r w:rsidRPr="00EC1A78">
        <w:rPr>
          <w:bCs/>
          <w:spacing w:val="-2"/>
          <w:kern w:val="36"/>
          <w:sz w:val="22"/>
          <w:szCs w:val="22"/>
        </w:rPr>
        <w:t>2.</w:t>
      </w:r>
      <w:r w:rsidRPr="00EC1A78">
        <w:rPr>
          <w:rFonts w:eastAsiaTheme="minorHAnsi"/>
          <w:color w:val="464C55"/>
          <w:spacing w:val="-2"/>
          <w:sz w:val="18"/>
          <w:szCs w:val="18"/>
          <w:shd w:val="clear" w:color="auto" w:fill="FFFFFF"/>
          <w:lang w:eastAsia="en-US"/>
        </w:rPr>
        <w:t xml:space="preserve"> </w:t>
      </w:r>
      <w:r w:rsidRPr="00EC1A78">
        <w:rPr>
          <w:bCs/>
          <w:spacing w:val="-2"/>
          <w:kern w:val="36"/>
          <w:sz w:val="22"/>
          <w:szCs w:val="22"/>
        </w:rPr>
        <w:t>Об обращении лекарственных средств:  ФЗ от 12 апреля 2010 г. N 61–ФЗ (с изменениями и дополнениями)</w:t>
      </w:r>
      <w:r w:rsidRPr="00EC1A78">
        <w:rPr>
          <w:i/>
          <w:iCs/>
          <w:spacing w:val="-2"/>
          <w:kern w:val="36"/>
          <w:sz w:val="22"/>
          <w:szCs w:val="22"/>
          <w:shd w:val="clear" w:color="auto" w:fill="FFFFFF"/>
        </w:rPr>
        <w:t xml:space="preserve"> // </w:t>
      </w:r>
      <w:r w:rsidRPr="00EC1A78">
        <w:rPr>
          <w:bCs/>
          <w:spacing w:val="-2"/>
          <w:kern w:val="36"/>
          <w:sz w:val="22"/>
          <w:szCs w:val="22"/>
        </w:rPr>
        <w:t>СПС Гарант //</w:t>
      </w:r>
      <w:r w:rsidRPr="00EC1A78">
        <w:rPr>
          <w:b/>
          <w:bCs/>
          <w:spacing w:val="-2"/>
          <w:kern w:val="36"/>
          <w:sz w:val="22"/>
          <w:szCs w:val="22"/>
        </w:rPr>
        <w:t xml:space="preserve"> </w:t>
      </w:r>
      <w:r w:rsidRPr="00EC1A78">
        <w:rPr>
          <w:bCs/>
          <w:spacing w:val="-2"/>
          <w:kern w:val="36"/>
          <w:sz w:val="22"/>
          <w:szCs w:val="22"/>
        </w:rPr>
        <w:t>http://base.garant.ru</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3. О качестве и безопасности пищевых продуктов: ФЗ от 02.01.2000 N 29–ФЗ (с изменениями и дополнениями)</w:t>
      </w:r>
      <w:r w:rsidRPr="00EC1A78">
        <w:rPr>
          <w:i/>
          <w:iCs/>
          <w:spacing w:val="-2"/>
          <w:kern w:val="36"/>
          <w:sz w:val="22"/>
          <w:szCs w:val="22"/>
          <w:shd w:val="clear" w:color="auto" w:fill="FFFFFF"/>
        </w:rPr>
        <w:t xml:space="preserve"> // </w:t>
      </w:r>
      <w:r w:rsidRPr="00EC1A78">
        <w:rPr>
          <w:bCs/>
          <w:spacing w:val="-2"/>
          <w:kern w:val="36"/>
          <w:sz w:val="22"/>
          <w:szCs w:val="22"/>
        </w:rPr>
        <w:t>СПС Гарант // http://base.garant.ru</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4. Об обязательном медицинском страховании в Российской Ф</w:t>
      </w:r>
      <w:r w:rsidRPr="00EC1A78">
        <w:rPr>
          <w:bCs/>
          <w:spacing w:val="-2"/>
          <w:kern w:val="36"/>
          <w:sz w:val="22"/>
          <w:szCs w:val="22"/>
        </w:rPr>
        <w:t>е</w:t>
      </w:r>
      <w:r w:rsidRPr="00EC1A78">
        <w:rPr>
          <w:bCs/>
          <w:spacing w:val="-2"/>
          <w:kern w:val="36"/>
          <w:sz w:val="22"/>
          <w:szCs w:val="22"/>
        </w:rPr>
        <w:t>дерации: ФЗ от 29 ноября 2010 г. N 326–ФЗ (с изменениями и допо</w:t>
      </w:r>
      <w:r w:rsidRPr="00EC1A78">
        <w:rPr>
          <w:bCs/>
          <w:spacing w:val="-2"/>
          <w:kern w:val="36"/>
          <w:sz w:val="22"/>
          <w:szCs w:val="22"/>
        </w:rPr>
        <w:t>л</w:t>
      </w:r>
      <w:r w:rsidRPr="00EC1A78">
        <w:rPr>
          <w:bCs/>
          <w:spacing w:val="-2"/>
          <w:kern w:val="36"/>
          <w:sz w:val="22"/>
          <w:szCs w:val="22"/>
        </w:rPr>
        <w:t xml:space="preserve">нениями) </w:t>
      </w:r>
      <w:r w:rsidRPr="00EC1A78">
        <w:rPr>
          <w:i/>
          <w:iCs/>
          <w:spacing w:val="-2"/>
          <w:kern w:val="36"/>
          <w:sz w:val="22"/>
          <w:szCs w:val="22"/>
          <w:shd w:val="clear" w:color="auto" w:fill="FFFFFF"/>
        </w:rPr>
        <w:t xml:space="preserve">// </w:t>
      </w:r>
      <w:r w:rsidRPr="00EC1A78">
        <w:rPr>
          <w:bCs/>
          <w:spacing w:val="-2"/>
          <w:kern w:val="36"/>
          <w:sz w:val="22"/>
          <w:szCs w:val="22"/>
        </w:rPr>
        <w:t>СПС Гарант // http://base.garant.ru</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5. О Концепции долгосрочного социально–экономического ра</w:t>
      </w:r>
      <w:r w:rsidRPr="00EC1A78">
        <w:rPr>
          <w:bCs/>
          <w:spacing w:val="-2"/>
          <w:kern w:val="36"/>
          <w:sz w:val="22"/>
          <w:szCs w:val="22"/>
        </w:rPr>
        <w:t>з</w:t>
      </w:r>
      <w:r w:rsidRPr="00EC1A78">
        <w:rPr>
          <w:bCs/>
          <w:spacing w:val="-2"/>
          <w:kern w:val="36"/>
          <w:sz w:val="22"/>
          <w:szCs w:val="22"/>
        </w:rPr>
        <w:t>вития Российской Федерации на период до 2020 года:  Распоряжение Правительства РФ от 17.11.2008 N 1662–р (ред. от 10.02.2017)//  СПС Консультант плюс //http://www.consultant.ru</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6. Епифанова Е.В. Юридическое лицо как субъект преступл</w:t>
      </w:r>
      <w:r w:rsidRPr="00EC1A78">
        <w:rPr>
          <w:bCs/>
          <w:spacing w:val="-2"/>
          <w:kern w:val="36"/>
          <w:sz w:val="22"/>
          <w:szCs w:val="22"/>
        </w:rPr>
        <w:t>е</w:t>
      </w:r>
      <w:r w:rsidRPr="00EC1A78">
        <w:rPr>
          <w:bCs/>
          <w:spacing w:val="-2"/>
          <w:kern w:val="36"/>
          <w:sz w:val="22"/>
          <w:szCs w:val="22"/>
        </w:rPr>
        <w:t>ния// Современное право. 2003. № 2. С. 43.</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7. Епифанова Е.В., Цыганова О.А., Ившин И.В., Мартынов Е.А. Гражданско–правовая и уголовно–правовая ответственность в мед</w:t>
      </w:r>
      <w:r w:rsidRPr="00EC1A78">
        <w:rPr>
          <w:bCs/>
          <w:spacing w:val="-2"/>
          <w:kern w:val="36"/>
          <w:sz w:val="22"/>
          <w:szCs w:val="22"/>
        </w:rPr>
        <w:t>и</w:t>
      </w:r>
      <w:r w:rsidRPr="00EC1A78">
        <w:rPr>
          <w:bCs/>
          <w:spacing w:val="-2"/>
          <w:kern w:val="36"/>
          <w:sz w:val="22"/>
          <w:szCs w:val="22"/>
        </w:rPr>
        <w:t>цине. – Москва, 2011.</w:t>
      </w:r>
    </w:p>
    <w:p w:rsidR="00EC1A78" w:rsidRPr="00EC1A78" w:rsidRDefault="00EC1A78" w:rsidP="00EC1A78">
      <w:pPr>
        <w:shd w:val="clear" w:color="auto" w:fill="FFFFFF"/>
        <w:ind w:firstLine="426"/>
        <w:jc w:val="both"/>
        <w:outlineLvl w:val="0"/>
        <w:rPr>
          <w:bCs/>
          <w:spacing w:val="-2"/>
          <w:kern w:val="36"/>
          <w:sz w:val="22"/>
          <w:szCs w:val="22"/>
        </w:rPr>
      </w:pPr>
      <w:r w:rsidRPr="00EC1A78">
        <w:rPr>
          <w:bCs/>
          <w:spacing w:val="-2"/>
          <w:kern w:val="36"/>
          <w:sz w:val="22"/>
          <w:szCs w:val="22"/>
        </w:rPr>
        <w:t>8. Епифанова Е.В. Подарок, чаевые или взятка?// Медицинское право. 2012. № 5. С. 28–35.</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t>9. Епифанова Е.В. Становление и развитие медицинского права в России (досоветский период)// В сборнике: Юридическая наука и практика: история и современность сборник материалов I Междун</w:t>
      </w:r>
      <w:r w:rsidRPr="00EC1A78">
        <w:rPr>
          <w:rFonts w:eastAsiaTheme="minorHAnsi"/>
          <w:spacing w:val="-2"/>
          <w:sz w:val="22"/>
          <w:szCs w:val="22"/>
          <w:lang w:eastAsia="en-US"/>
        </w:rPr>
        <w:t>а</w:t>
      </w:r>
      <w:r w:rsidRPr="00EC1A78">
        <w:rPr>
          <w:rFonts w:eastAsiaTheme="minorHAnsi"/>
          <w:spacing w:val="-2"/>
          <w:sz w:val="22"/>
          <w:szCs w:val="22"/>
          <w:lang w:eastAsia="en-US"/>
        </w:rPr>
        <w:t>родной научно–практической конференции. Филиал МИГУП в Р</w:t>
      </w:r>
      <w:r w:rsidRPr="00EC1A78">
        <w:rPr>
          <w:rFonts w:eastAsiaTheme="minorHAnsi"/>
          <w:spacing w:val="-2"/>
          <w:sz w:val="22"/>
          <w:szCs w:val="22"/>
          <w:lang w:eastAsia="en-US"/>
        </w:rPr>
        <w:t>я</w:t>
      </w:r>
      <w:r w:rsidRPr="00EC1A78">
        <w:rPr>
          <w:rFonts w:eastAsiaTheme="minorHAnsi"/>
          <w:spacing w:val="-2"/>
          <w:sz w:val="22"/>
          <w:szCs w:val="22"/>
          <w:lang w:eastAsia="en-US"/>
        </w:rPr>
        <w:t>занской области; Ответственный редактор И.В. Пантюхина. 2013. С. 38–41.</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t>10. Епифанова Е.В. Криминализация деяний представителей альтернативной (неконвенциальной) медицины (с учетом положений ФЗ РФ № 323 от 21.11.2011 «Об основах охраны здоровья граждан в Российской Федерации»)// Медицинское право. 2013. № 5. С. 42–47.</w:t>
      </w:r>
    </w:p>
    <w:p w:rsidR="00EC1A78" w:rsidRPr="00EC1A78" w:rsidRDefault="00EC1A78" w:rsidP="00EC1A78">
      <w:pPr>
        <w:ind w:firstLine="426"/>
        <w:jc w:val="both"/>
        <w:rPr>
          <w:rFonts w:eastAsiaTheme="minorHAnsi"/>
          <w:spacing w:val="-2"/>
          <w:sz w:val="22"/>
          <w:szCs w:val="22"/>
          <w:lang w:eastAsia="en-US"/>
        </w:rPr>
      </w:pPr>
      <w:r w:rsidRPr="00EC1A78">
        <w:rPr>
          <w:rFonts w:eastAsiaTheme="minorHAnsi"/>
          <w:spacing w:val="-2"/>
          <w:sz w:val="22"/>
          <w:szCs w:val="22"/>
          <w:lang w:eastAsia="en-US"/>
        </w:rPr>
        <w:lastRenderedPageBreak/>
        <w:t>11. Епифанова Е.В. Общественная опасность преступлений в сфере медицинского страхования // Ленинградский юридический журнал. 2013. № 4 (34). С. 218–225.</w:t>
      </w:r>
    </w:p>
    <w:p w:rsidR="00EC1A78" w:rsidRPr="00EC1A78" w:rsidRDefault="00EC1A78" w:rsidP="00EC1A78">
      <w:pPr>
        <w:shd w:val="clear" w:color="auto" w:fill="FFFFFF"/>
        <w:ind w:firstLine="426"/>
        <w:jc w:val="both"/>
        <w:rPr>
          <w:spacing w:val="-2"/>
          <w:sz w:val="22"/>
          <w:szCs w:val="22"/>
        </w:rPr>
      </w:pPr>
      <w:r w:rsidRPr="00EC1A78">
        <w:rPr>
          <w:spacing w:val="-2"/>
          <w:sz w:val="22"/>
          <w:szCs w:val="22"/>
        </w:rPr>
        <w:t>12. Основы права. / Гущина Л.И., Ембулаева Н.Ю., Епифанова Е.В., Лепешкина В., Михайлик А.А., Недилько Ю.В., Павлисова Т.Е.</w:t>
      </w:r>
    </w:p>
    <w:p w:rsidR="00EC1A78" w:rsidRPr="00EC1A78" w:rsidRDefault="00EC1A78" w:rsidP="00EC1A78">
      <w:pPr>
        <w:shd w:val="clear" w:color="auto" w:fill="FFFFFF"/>
        <w:ind w:firstLine="426"/>
        <w:jc w:val="both"/>
        <w:rPr>
          <w:spacing w:val="-2"/>
          <w:sz w:val="22"/>
          <w:szCs w:val="22"/>
        </w:rPr>
      </w:pPr>
      <w:r w:rsidRPr="00EC1A78">
        <w:rPr>
          <w:spacing w:val="-2"/>
          <w:sz w:val="22"/>
          <w:szCs w:val="22"/>
        </w:rPr>
        <w:t>Краснодар, 2015.</w:t>
      </w:r>
    </w:p>
    <w:p w:rsidR="00EC1A78" w:rsidRPr="00EC1A78" w:rsidRDefault="00EC1A78" w:rsidP="00EC1A78">
      <w:pPr>
        <w:ind w:firstLine="426"/>
        <w:jc w:val="both"/>
        <w:rPr>
          <w:rFonts w:eastAsiaTheme="minorHAnsi"/>
          <w:spacing w:val="-2"/>
          <w:sz w:val="22"/>
          <w:szCs w:val="22"/>
          <w:lang w:eastAsia="en-US"/>
        </w:rPr>
      </w:pPr>
      <w:r w:rsidRPr="00EC1A78">
        <w:rPr>
          <w:spacing w:val="-2"/>
          <w:sz w:val="22"/>
          <w:szCs w:val="22"/>
        </w:rPr>
        <w:t>13. Правоведение (право, основы права) / Гущина Л.И., Ембул</w:t>
      </w:r>
      <w:r w:rsidRPr="00EC1A78">
        <w:rPr>
          <w:spacing w:val="-2"/>
          <w:sz w:val="22"/>
          <w:szCs w:val="22"/>
        </w:rPr>
        <w:t>а</w:t>
      </w:r>
      <w:r w:rsidRPr="00EC1A78">
        <w:rPr>
          <w:spacing w:val="-2"/>
          <w:sz w:val="22"/>
          <w:szCs w:val="22"/>
        </w:rPr>
        <w:t>ева Н.Ю., Епифанова Е.В., Лепешкина О.В., Михайлик А.А., Недил</w:t>
      </w:r>
      <w:r w:rsidRPr="00EC1A78">
        <w:rPr>
          <w:spacing w:val="-2"/>
          <w:sz w:val="22"/>
          <w:szCs w:val="22"/>
        </w:rPr>
        <w:t>ь</w:t>
      </w:r>
      <w:r w:rsidRPr="00EC1A78">
        <w:rPr>
          <w:spacing w:val="-2"/>
          <w:sz w:val="22"/>
          <w:szCs w:val="22"/>
        </w:rPr>
        <w:t>ко Ю.В., Павлисова Т.Е. учебное пособие / Краснодар, 2015.</w:t>
      </w:r>
    </w:p>
    <w:p w:rsidR="00EC1A78" w:rsidRDefault="00EC1A78" w:rsidP="00EC1A78">
      <w:pPr>
        <w:jc w:val="both"/>
        <w:rPr>
          <w:rFonts w:eastAsiaTheme="minorHAnsi"/>
          <w:sz w:val="22"/>
          <w:szCs w:val="22"/>
          <w:lang w:eastAsia="en-US"/>
        </w:rPr>
      </w:pPr>
    </w:p>
    <w:p w:rsidR="00723562" w:rsidRPr="00EC1A78" w:rsidRDefault="00723562" w:rsidP="00F253F3">
      <w:pPr>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340.12</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К вопросу о финансировании сыскной полиции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на Кубани: вторая половина XIX –начало </w:t>
      </w:r>
      <w:r w:rsidRPr="00EC1A78">
        <w:rPr>
          <w:rFonts w:eastAsiaTheme="minorHAnsi"/>
          <w:b/>
          <w:sz w:val="24"/>
          <w:szCs w:val="24"/>
          <w:lang w:val="en-US" w:eastAsia="en-US"/>
        </w:rPr>
        <w:t>XX</w:t>
      </w:r>
      <w:r w:rsidRPr="00EC1A78">
        <w:rPr>
          <w:rFonts w:eastAsiaTheme="minorHAnsi"/>
          <w:b/>
          <w:sz w:val="24"/>
          <w:szCs w:val="24"/>
          <w:lang w:eastAsia="en-US"/>
        </w:rPr>
        <w:t xml:space="preserve"> в.в.</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 xml:space="preserve">The question of funding for police detective in Kuban: </w:t>
      </w:r>
    </w:p>
    <w:p w:rsidR="00EC1A78" w:rsidRPr="008002DE" w:rsidRDefault="00EC1A78" w:rsidP="00F253F3">
      <w:pPr>
        <w:jc w:val="center"/>
        <w:rPr>
          <w:rFonts w:eastAsiaTheme="minorHAnsi"/>
          <w:b/>
          <w:sz w:val="24"/>
          <w:szCs w:val="24"/>
          <w:lang w:val="en-US" w:eastAsia="en-US"/>
        </w:rPr>
      </w:pPr>
      <w:r w:rsidRPr="00EC1A78">
        <w:rPr>
          <w:rFonts w:eastAsiaTheme="minorHAnsi"/>
          <w:b/>
          <w:sz w:val="24"/>
          <w:szCs w:val="24"/>
          <w:lang w:val="en-US" w:eastAsia="en-US"/>
        </w:rPr>
        <w:t>seco</w:t>
      </w:r>
      <w:r w:rsidR="00F253F3">
        <w:rPr>
          <w:rFonts w:eastAsiaTheme="minorHAnsi"/>
          <w:b/>
          <w:sz w:val="24"/>
          <w:szCs w:val="24"/>
          <w:lang w:val="en-US" w:eastAsia="en-US"/>
        </w:rPr>
        <w:t>nd half of XIX –beginning of XX</w:t>
      </w:r>
    </w:p>
    <w:p w:rsidR="00F253F3" w:rsidRPr="008002DE" w:rsidRDefault="00F253F3" w:rsidP="00F253F3">
      <w:pPr>
        <w:jc w:val="center"/>
        <w:rPr>
          <w:rFonts w:eastAsiaTheme="minorHAnsi"/>
          <w:b/>
          <w:sz w:val="24"/>
          <w:szCs w:val="24"/>
          <w:lang w:val="en-US" w:eastAsia="en-US"/>
        </w:rPr>
      </w:pPr>
    </w:p>
    <w:p w:rsidR="00EC1A78" w:rsidRPr="00EC1A78" w:rsidRDefault="00EC1A78" w:rsidP="00EC1A78">
      <w:pPr>
        <w:jc w:val="right"/>
        <w:rPr>
          <w:rFonts w:eastAsiaTheme="minorHAnsi"/>
          <w:b/>
          <w:sz w:val="24"/>
          <w:szCs w:val="24"/>
          <w:lang w:eastAsia="en-US"/>
        </w:rPr>
      </w:pPr>
      <w:r w:rsidRPr="00EC1A78">
        <w:rPr>
          <w:rFonts w:eastAsiaTheme="minorHAnsi"/>
          <w:sz w:val="22"/>
          <w:szCs w:val="22"/>
          <w:lang w:eastAsia="en-US"/>
        </w:rPr>
        <w:t>Федоренко П.</w:t>
      </w:r>
      <w:r w:rsidR="00723562">
        <w:rPr>
          <w:rFonts w:eastAsiaTheme="minorHAnsi"/>
          <w:sz w:val="22"/>
          <w:szCs w:val="22"/>
          <w:lang w:eastAsia="en-US"/>
        </w:rPr>
        <w:t xml:space="preserve"> </w:t>
      </w:r>
      <w:r w:rsidRPr="00EC1A78">
        <w:rPr>
          <w:rFonts w:eastAsiaTheme="minorHAnsi"/>
          <w:sz w:val="22"/>
          <w:szCs w:val="22"/>
          <w:lang w:eastAsia="en-US"/>
        </w:rPr>
        <w:t>М.</w:t>
      </w:r>
      <w:r w:rsidR="00723562">
        <w:rPr>
          <w:rFonts w:eastAsiaTheme="minorHAnsi"/>
          <w:sz w:val="22"/>
          <w:szCs w:val="22"/>
          <w:lang w:eastAsia="en-US"/>
        </w:rPr>
        <w:t>,</w:t>
      </w:r>
      <w:r w:rsidRPr="00EC1A78">
        <w:rPr>
          <w:rFonts w:eastAsiaTheme="minorHAnsi"/>
          <w:sz w:val="22"/>
          <w:szCs w:val="22"/>
          <w:lang w:eastAsia="en-US"/>
        </w:rPr>
        <w:t xml:space="preserve">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widowControl w:val="0"/>
        <w:tabs>
          <w:tab w:val="left" w:pos="8223"/>
        </w:tabs>
        <w:ind w:firstLine="425"/>
        <w:jc w:val="right"/>
        <w:rPr>
          <w:rFonts w:eastAsiaTheme="minorHAnsi"/>
          <w:color w:val="000000"/>
          <w:sz w:val="22"/>
          <w:szCs w:val="22"/>
          <w:lang w:eastAsia="en-US"/>
        </w:rPr>
      </w:pPr>
      <w:r w:rsidRPr="00EC1A78">
        <w:rPr>
          <w:rFonts w:eastAsiaTheme="minorHAnsi"/>
          <w:color w:val="000000"/>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color w:val="000000"/>
          <w:sz w:val="22"/>
          <w:szCs w:val="22"/>
          <w:lang w:eastAsia="en-US"/>
        </w:rPr>
        <w:t>университет имени И.</w:t>
      </w:r>
      <w:r w:rsidR="00723562">
        <w:rPr>
          <w:rFonts w:eastAsiaTheme="minorHAnsi"/>
          <w:color w:val="000000"/>
          <w:sz w:val="22"/>
          <w:szCs w:val="22"/>
          <w:lang w:eastAsia="en-US"/>
        </w:rPr>
        <w:t xml:space="preserve"> </w:t>
      </w:r>
      <w:r w:rsidRPr="00EC1A78">
        <w:rPr>
          <w:rFonts w:eastAsiaTheme="minorHAnsi"/>
          <w:color w:val="000000"/>
          <w:sz w:val="22"/>
          <w:szCs w:val="22"/>
          <w:lang w:eastAsia="en-US"/>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АННОТАЦИЯ: Работа посвящена исследованию финансиров</w:t>
      </w:r>
      <w:r w:rsidRPr="00EC1A78">
        <w:rPr>
          <w:rFonts w:eastAsiaTheme="minorHAnsi"/>
          <w:sz w:val="22"/>
          <w:szCs w:val="22"/>
          <w:lang w:eastAsia="en-US"/>
        </w:rPr>
        <w:t>а</w:t>
      </w:r>
      <w:r w:rsidRPr="00EC1A78">
        <w:rPr>
          <w:rFonts w:eastAsiaTheme="minorHAnsi"/>
          <w:sz w:val="22"/>
          <w:szCs w:val="22"/>
          <w:lang w:eastAsia="en-US"/>
        </w:rPr>
        <w:t>ния сыскной полиции на Кубани после издания закона «Об орган</w:t>
      </w:r>
      <w:r w:rsidRPr="00EC1A78">
        <w:rPr>
          <w:rFonts w:eastAsiaTheme="minorHAnsi"/>
          <w:sz w:val="22"/>
          <w:szCs w:val="22"/>
          <w:lang w:eastAsia="en-US"/>
        </w:rPr>
        <w:t>и</w:t>
      </w:r>
      <w:r w:rsidRPr="00EC1A78">
        <w:rPr>
          <w:rFonts w:eastAsiaTheme="minorHAnsi"/>
          <w:sz w:val="22"/>
          <w:szCs w:val="22"/>
          <w:lang w:eastAsia="en-US"/>
        </w:rPr>
        <w:t>зации сыскной части». Описывается</w:t>
      </w:r>
      <w:r w:rsidRPr="00EC1A78">
        <w:rPr>
          <w:rFonts w:eastAsiaTheme="minorHAnsi"/>
          <w:sz w:val="22"/>
          <w:szCs w:val="22"/>
          <w:lang w:val="en-US" w:eastAsia="en-US"/>
        </w:rPr>
        <w:t xml:space="preserve"> </w:t>
      </w:r>
      <w:r w:rsidRPr="00EC1A78">
        <w:rPr>
          <w:rFonts w:eastAsiaTheme="minorHAnsi"/>
          <w:sz w:val="22"/>
          <w:szCs w:val="22"/>
          <w:lang w:eastAsia="en-US"/>
        </w:rPr>
        <w:t>финансирование</w:t>
      </w:r>
      <w:r w:rsidRPr="00EC1A78">
        <w:rPr>
          <w:rFonts w:eastAsiaTheme="minorHAnsi"/>
          <w:sz w:val="22"/>
          <w:szCs w:val="22"/>
          <w:lang w:val="en-US" w:eastAsia="en-US"/>
        </w:rPr>
        <w:t xml:space="preserve"> </w:t>
      </w:r>
      <w:r w:rsidRPr="00EC1A78">
        <w:rPr>
          <w:rFonts w:eastAsiaTheme="minorHAnsi"/>
          <w:sz w:val="22"/>
          <w:szCs w:val="22"/>
          <w:lang w:eastAsia="en-US"/>
        </w:rPr>
        <w:t>Екатерин</w:t>
      </w:r>
      <w:r w:rsidRPr="00EC1A78">
        <w:rPr>
          <w:rFonts w:eastAsiaTheme="minorHAnsi"/>
          <w:sz w:val="22"/>
          <w:szCs w:val="22"/>
          <w:lang w:eastAsia="en-US"/>
        </w:rPr>
        <w:t>о</w:t>
      </w:r>
      <w:r w:rsidRPr="00EC1A78">
        <w:rPr>
          <w:rFonts w:eastAsiaTheme="minorHAnsi"/>
          <w:sz w:val="22"/>
          <w:szCs w:val="22"/>
          <w:lang w:eastAsia="en-US"/>
        </w:rPr>
        <w:t>дарского</w:t>
      </w:r>
      <w:r w:rsidRPr="00EC1A78">
        <w:rPr>
          <w:rFonts w:eastAsiaTheme="minorHAnsi"/>
          <w:sz w:val="22"/>
          <w:szCs w:val="22"/>
          <w:lang w:val="en-US" w:eastAsia="en-US"/>
        </w:rPr>
        <w:t xml:space="preserve"> </w:t>
      </w:r>
      <w:r w:rsidRPr="00EC1A78">
        <w:rPr>
          <w:rFonts w:eastAsiaTheme="minorHAnsi"/>
          <w:sz w:val="22"/>
          <w:szCs w:val="22"/>
          <w:lang w:eastAsia="en-US"/>
        </w:rPr>
        <w:t>сыскного</w:t>
      </w:r>
      <w:r w:rsidRPr="00EC1A78">
        <w:rPr>
          <w:rFonts w:eastAsiaTheme="minorHAnsi"/>
          <w:sz w:val="22"/>
          <w:szCs w:val="22"/>
          <w:lang w:val="en-US" w:eastAsia="en-US"/>
        </w:rPr>
        <w:t xml:space="preserve"> </w:t>
      </w:r>
      <w:r w:rsidRPr="00EC1A78">
        <w:rPr>
          <w:rFonts w:eastAsiaTheme="minorHAnsi"/>
          <w:sz w:val="22"/>
          <w:szCs w:val="22"/>
          <w:lang w:eastAsia="en-US"/>
        </w:rPr>
        <w:t>отделения</w:t>
      </w:r>
      <w:r w:rsidRPr="00EC1A78">
        <w:rPr>
          <w:rFonts w:eastAsiaTheme="minorHAnsi"/>
          <w:sz w:val="22"/>
          <w:szCs w:val="22"/>
          <w:lang w:val="en-US" w:eastAsia="en-US"/>
        </w:rPr>
        <w:t>.</w:t>
      </w:r>
    </w:p>
    <w:p w:rsidR="00EC1A78" w:rsidRPr="00EC1A78" w:rsidRDefault="00EC1A78" w:rsidP="00EC1A78">
      <w:pPr>
        <w:ind w:firstLine="426"/>
        <w:jc w:val="both"/>
        <w:rPr>
          <w:rFonts w:eastAsiaTheme="minorHAnsi"/>
          <w:b/>
          <w:sz w:val="22"/>
          <w:szCs w:val="22"/>
          <w:lang w:val="en-US" w:eastAsia="en-US"/>
        </w:rPr>
      </w:pPr>
      <w:r w:rsidRPr="00EC1A78">
        <w:rPr>
          <w:rFonts w:eastAsiaTheme="minorHAnsi"/>
          <w:sz w:val="22"/>
          <w:szCs w:val="22"/>
          <w:lang w:val="en-US" w:eastAsia="en-US"/>
        </w:rPr>
        <w:t>ABSTRACT: the Work is devoted to the study of financing the d</w:t>
      </w:r>
      <w:r w:rsidRPr="00EC1A78">
        <w:rPr>
          <w:rFonts w:eastAsiaTheme="minorHAnsi"/>
          <w:sz w:val="22"/>
          <w:szCs w:val="22"/>
          <w:lang w:val="en-US" w:eastAsia="en-US"/>
        </w:rPr>
        <w:t>e</w:t>
      </w:r>
      <w:r w:rsidRPr="00EC1A78">
        <w:rPr>
          <w:rFonts w:eastAsiaTheme="minorHAnsi"/>
          <w:sz w:val="22"/>
          <w:szCs w:val="22"/>
          <w:lang w:val="en-US" w:eastAsia="en-US"/>
        </w:rPr>
        <w:t>tective police in Kuban after the publication of the law «on the organiz</w:t>
      </w:r>
      <w:r w:rsidRPr="00EC1A78">
        <w:rPr>
          <w:rFonts w:eastAsiaTheme="minorHAnsi"/>
          <w:sz w:val="22"/>
          <w:szCs w:val="22"/>
          <w:lang w:val="en-US" w:eastAsia="en-US"/>
        </w:rPr>
        <w:t>a</w:t>
      </w:r>
      <w:r w:rsidRPr="00EC1A78">
        <w:rPr>
          <w:rFonts w:eastAsiaTheme="minorHAnsi"/>
          <w:sz w:val="22"/>
          <w:szCs w:val="22"/>
          <w:lang w:val="en-US" w:eastAsia="en-US"/>
        </w:rPr>
        <w:t>tion of the detective part.» Describes funding Ekaterinodar branch of the detective.</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eastAsia="en-US"/>
        </w:rPr>
        <w:t>КЛЮЧЕВЫЕ</w:t>
      </w:r>
      <w:r w:rsidRPr="00EC1A78">
        <w:rPr>
          <w:rFonts w:eastAsiaTheme="minorHAnsi"/>
          <w:sz w:val="22"/>
          <w:szCs w:val="22"/>
          <w:lang w:val="en-US" w:eastAsia="en-US"/>
        </w:rPr>
        <w:t xml:space="preserve"> </w:t>
      </w:r>
      <w:r w:rsidRPr="00EC1A78">
        <w:rPr>
          <w:rFonts w:eastAsiaTheme="minorHAnsi"/>
          <w:sz w:val="22"/>
          <w:szCs w:val="22"/>
          <w:lang w:eastAsia="en-US"/>
        </w:rPr>
        <w:t>СЛОВА</w:t>
      </w:r>
      <w:r w:rsidRPr="00EC1A78">
        <w:rPr>
          <w:rFonts w:eastAsiaTheme="minorHAnsi"/>
          <w:sz w:val="22"/>
          <w:szCs w:val="22"/>
          <w:lang w:val="en-US" w:eastAsia="en-US"/>
        </w:rPr>
        <w:t xml:space="preserve">: </w:t>
      </w:r>
      <w:r w:rsidRPr="00EC1A78">
        <w:rPr>
          <w:rFonts w:eastAsiaTheme="minorHAnsi"/>
          <w:sz w:val="22"/>
          <w:szCs w:val="22"/>
          <w:lang w:eastAsia="en-US"/>
        </w:rPr>
        <w:t>Российская</w:t>
      </w:r>
      <w:r w:rsidRPr="00EC1A78">
        <w:rPr>
          <w:rFonts w:eastAsiaTheme="minorHAnsi"/>
          <w:sz w:val="22"/>
          <w:szCs w:val="22"/>
          <w:lang w:val="en-US" w:eastAsia="en-US"/>
        </w:rPr>
        <w:t xml:space="preserve"> </w:t>
      </w:r>
      <w:r w:rsidRPr="00EC1A78">
        <w:rPr>
          <w:rFonts w:eastAsiaTheme="minorHAnsi"/>
          <w:sz w:val="22"/>
          <w:szCs w:val="22"/>
          <w:lang w:eastAsia="en-US"/>
        </w:rPr>
        <w:t>империя</w:t>
      </w:r>
      <w:r w:rsidRPr="00EC1A78">
        <w:rPr>
          <w:rFonts w:eastAsiaTheme="minorHAnsi"/>
          <w:sz w:val="22"/>
          <w:szCs w:val="22"/>
          <w:lang w:val="en-US" w:eastAsia="en-US"/>
        </w:rPr>
        <w:t xml:space="preserve">, </w:t>
      </w:r>
      <w:r w:rsidRPr="00EC1A78">
        <w:rPr>
          <w:rFonts w:eastAsiaTheme="minorHAnsi"/>
          <w:sz w:val="22"/>
          <w:szCs w:val="22"/>
          <w:lang w:eastAsia="en-US"/>
        </w:rPr>
        <w:t>сыскная</w:t>
      </w:r>
      <w:r w:rsidRPr="00EC1A78">
        <w:rPr>
          <w:rFonts w:eastAsiaTheme="minorHAnsi"/>
          <w:sz w:val="22"/>
          <w:szCs w:val="22"/>
          <w:lang w:val="en-US" w:eastAsia="en-US"/>
        </w:rPr>
        <w:t xml:space="preserve"> </w:t>
      </w:r>
      <w:r w:rsidRPr="00EC1A78">
        <w:rPr>
          <w:rFonts w:eastAsiaTheme="minorHAnsi"/>
          <w:sz w:val="22"/>
          <w:szCs w:val="22"/>
          <w:lang w:eastAsia="en-US"/>
        </w:rPr>
        <w:t>полиция</w:t>
      </w:r>
      <w:r w:rsidRPr="00EC1A78">
        <w:rPr>
          <w:rFonts w:eastAsiaTheme="minorHAnsi"/>
          <w:sz w:val="22"/>
          <w:szCs w:val="22"/>
          <w:lang w:val="en-US" w:eastAsia="en-US"/>
        </w:rPr>
        <w:t xml:space="preserve">, </w:t>
      </w:r>
      <w:r w:rsidRPr="00EC1A78">
        <w:rPr>
          <w:rFonts w:eastAsiaTheme="minorHAnsi"/>
          <w:sz w:val="22"/>
          <w:szCs w:val="22"/>
          <w:lang w:eastAsia="en-US"/>
        </w:rPr>
        <w:t>уголовный</w:t>
      </w:r>
      <w:r w:rsidRPr="00EC1A78">
        <w:rPr>
          <w:rFonts w:eastAsiaTheme="minorHAnsi"/>
          <w:sz w:val="22"/>
          <w:szCs w:val="22"/>
          <w:lang w:val="en-US" w:eastAsia="en-US"/>
        </w:rPr>
        <w:t xml:space="preserve"> </w:t>
      </w:r>
      <w:r w:rsidRPr="00EC1A78">
        <w:rPr>
          <w:rFonts w:eastAsiaTheme="minorHAnsi"/>
          <w:sz w:val="22"/>
          <w:szCs w:val="22"/>
          <w:lang w:eastAsia="en-US"/>
        </w:rPr>
        <w:t>сыск</w:t>
      </w:r>
      <w:r w:rsidRPr="00EC1A78">
        <w:rPr>
          <w:rFonts w:eastAsiaTheme="minorHAnsi"/>
          <w:sz w:val="22"/>
          <w:szCs w:val="22"/>
          <w:lang w:val="en-US" w:eastAsia="en-US"/>
        </w:rPr>
        <w:t xml:space="preserve">, </w:t>
      </w:r>
      <w:r w:rsidRPr="00EC1A78">
        <w:rPr>
          <w:rFonts w:eastAsiaTheme="minorHAnsi"/>
          <w:sz w:val="22"/>
          <w:szCs w:val="22"/>
          <w:lang w:eastAsia="en-US"/>
        </w:rPr>
        <w:t>финансирование</w:t>
      </w:r>
      <w:r w:rsidRPr="00EC1A78">
        <w:rPr>
          <w:rFonts w:eastAsiaTheme="minorHAnsi"/>
          <w:sz w:val="22"/>
          <w:szCs w:val="22"/>
          <w:lang w:val="en-US" w:eastAsia="en-US"/>
        </w:rPr>
        <w:t xml:space="preserve">, </w:t>
      </w:r>
      <w:r w:rsidRPr="00EC1A78">
        <w:rPr>
          <w:rFonts w:eastAsiaTheme="minorHAnsi"/>
          <w:sz w:val="22"/>
          <w:szCs w:val="22"/>
          <w:lang w:eastAsia="en-US"/>
        </w:rPr>
        <w:t>Екатеринодар</w:t>
      </w:r>
      <w:r w:rsidRPr="00EC1A78">
        <w:rPr>
          <w:rFonts w:eastAsiaTheme="minorHAnsi"/>
          <w:sz w:val="22"/>
          <w:szCs w:val="22"/>
          <w:lang w:val="en-US" w:eastAsia="en-US"/>
        </w:rPr>
        <w:t xml:space="preserve">, </w:t>
      </w:r>
      <w:r w:rsidRPr="00EC1A78">
        <w:rPr>
          <w:rFonts w:eastAsiaTheme="minorHAnsi"/>
          <w:sz w:val="22"/>
          <w:szCs w:val="22"/>
          <w:lang w:eastAsia="en-US"/>
        </w:rPr>
        <w:t>сыскное</w:t>
      </w:r>
      <w:r w:rsidRPr="00EC1A78">
        <w:rPr>
          <w:rFonts w:eastAsiaTheme="minorHAnsi"/>
          <w:sz w:val="22"/>
          <w:szCs w:val="22"/>
          <w:lang w:val="en-US" w:eastAsia="en-US"/>
        </w:rPr>
        <w:t xml:space="preserve"> </w:t>
      </w:r>
      <w:r w:rsidRPr="00EC1A78">
        <w:rPr>
          <w:rFonts w:eastAsiaTheme="minorHAnsi"/>
          <w:sz w:val="22"/>
          <w:szCs w:val="22"/>
          <w:lang w:eastAsia="en-US"/>
        </w:rPr>
        <w:t>отдел</w:t>
      </w:r>
      <w:r w:rsidRPr="00EC1A78">
        <w:rPr>
          <w:rFonts w:eastAsiaTheme="minorHAnsi"/>
          <w:sz w:val="22"/>
          <w:szCs w:val="22"/>
          <w:lang w:eastAsia="en-US"/>
        </w:rPr>
        <w:t>е</w:t>
      </w:r>
      <w:r w:rsidRPr="00EC1A78">
        <w:rPr>
          <w:rFonts w:eastAsiaTheme="minorHAnsi"/>
          <w:sz w:val="22"/>
          <w:szCs w:val="22"/>
          <w:lang w:eastAsia="en-US"/>
        </w:rPr>
        <w:t>ние</w:t>
      </w:r>
      <w:r w:rsidRPr="00EC1A78">
        <w:rPr>
          <w:rFonts w:eastAsiaTheme="minorHAnsi"/>
          <w:sz w:val="22"/>
          <w:szCs w:val="22"/>
          <w:lang w:val="en-US" w:eastAsia="en-US"/>
        </w:rPr>
        <w:t xml:space="preserve">. </w:t>
      </w:r>
    </w:p>
    <w:p w:rsidR="00EC1A78" w:rsidRPr="00EC1A78" w:rsidRDefault="00EC1A78" w:rsidP="00EC1A78">
      <w:pPr>
        <w:ind w:firstLine="426"/>
        <w:jc w:val="both"/>
        <w:rPr>
          <w:rFonts w:eastAsiaTheme="minorHAnsi"/>
          <w:b/>
          <w:sz w:val="22"/>
          <w:szCs w:val="22"/>
          <w:lang w:val="en-US" w:eastAsia="en-US"/>
        </w:rPr>
      </w:pPr>
      <w:r w:rsidRPr="00EC1A78">
        <w:rPr>
          <w:rFonts w:eastAsiaTheme="minorHAnsi"/>
          <w:sz w:val="22"/>
          <w:szCs w:val="22"/>
          <w:lang w:val="en-US" w:eastAsia="en-US"/>
        </w:rPr>
        <w:t>KEY WORDS: Russian Empire, detective police, criminal invest</w:t>
      </w:r>
      <w:r w:rsidRPr="00EC1A78">
        <w:rPr>
          <w:rFonts w:eastAsiaTheme="minorHAnsi"/>
          <w:sz w:val="22"/>
          <w:szCs w:val="22"/>
          <w:lang w:val="en-US" w:eastAsia="en-US"/>
        </w:rPr>
        <w:t>i</w:t>
      </w:r>
      <w:r w:rsidRPr="00EC1A78">
        <w:rPr>
          <w:rFonts w:eastAsiaTheme="minorHAnsi"/>
          <w:sz w:val="22"/>
          <w:szCs w:val="22"/>
          <w:lang w:val="en-US" w:eastAsia="en-US"/>
        </w:rPr>
        <w:t>gation, financing, Ekaterinodar, detective department.</w:t>
      </w:r>
    </w:p>
    <w:p w:rsidR="00EC1A78" w:rsidRPr="00EC1A78" w:rsidRDefault="00EC1A78" w:rsidP="00EC1A78">
      <w:pPr>
        <w:ind w:firstLine="426"/>
        <w:jc w:val="both"/>
        <w:rPr>
          <w:rFonts w:eastAsiaTheme="minorHAnsi"/>
          <w:lang w:val="en-US" w:eastAsia="en-US"/>
        </w:rPr>
      </w:pPr>
      <w:r w:rsidRPr="00EC1A78">
        <w:rPr>
          <w:rFonts w:eastAsiaTheme="minorHAnsi"/>
          <w:lang w:val="en-US" w:eastAsia="en-US"/>
        </w:rPr>
        <w:t xml:space="preserve">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Термин «сыскная полиция» появился в отечественной литер</w:t>
      </w:r>
      <w:r w:rsidRPr="00EC1A78">
        <w:rPr>
          <w:rFonts w:eastAsiaTheme="minorHAnsi"/>
          <w:sz w:val="22"/>
          <w:szCs w:val="22"/>
          <w:lang w:eastAsia="en-US"/>
        </w:rPr>
        <w:t>а</w:t>
      </w:r>
      <w:r w:rsidRPr="00EC1A78">
        <w:rPr>
          <w:rFonts w:eastAsiaTheme="minorHAnsi"/>
          <w:sz w:val="22"/>
          <w:szCs w:val="22"/>
          <w:lang w:eastAsia="en-US"/>
        </w:rPr>
        <w:t xml:space="preserve">туре начиная с 31 декабря 1866 г., когда в Санкт–Петербурге был утвержден штат сыскной части на базе полиции города. Данный штат был призван проводить мероприятия по борьбе с уголовной преступностью. Впоследствии сыскные подразделения появились в других крупных городах России.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Кубани до 1908 г. функцию уголовного сыска выполняла полиция. В 1908 г. в Российской империи произошли изменения. 6 июля Государственной думой Российской империи, был издан з</w:t>
      </w:r>
      <w:r w:rsidRPr="00EC1A78">
        <w:rPr>
          <w:rFonts w:eastAsiaTheme="minorHAnsi"/>
          <w:sz w:val="22"/>
          <w:szCs w:val="22"/>
          <w:lang w:eastAsia="en-US"/>
        </w:rPr>
        <w:t>а</w:t>
      </w:r>
      <w:r w:rsidRPr="00EC1A78">
        <w:rPr>
          <w:rFonts w:eastAsiaTheme="minorHAnsi"/>
          <w:sz w:val="22"/>
          <w:szCs w:val="22"/>
          <w:lang w:eastAsia="en-US"/>
        </w:rPr>
        <w:t>кон «Об организации сыскной части». На основании нового норм</w:t>
      </w:r>
      <w:r w:rsidRPr="00EC1A78">
        <w:rPr>
          <w:rFonts w:eastAsiaTheme="minorHAnsi"/>
          <w:sz w:val="22"/>
          <w:szCs w:val="22"/>
          <w:lang w:eastAsia="en-US"/>
        </w:rPr>
        <w:t>а</w:t>
      </w:r>
      <w:r w:rsidRPr="00EC1A78">
        <w:rPr>
          <w:rFonts w:eastAsiaTheme="minorHAnsi"/>
          <w:sz w:val="22"/>
          <w:szCs w:val="22"/>
          <w:lang w:eastAsia="en-US"/>
        </w:rPr>
        <w:t>тивно–правового акта, предполагалось, что в составе полицейских управлений должны быть созданы сыскные отделения четырех ра</w:t>
      </w:r>
      <w:r w:rsidRPr="00EC1A78">
        <w:rPr>
          <w:rFonts w:eastAsiaTheme="minorHAnsi"/>
          <w:sz w:val="22"/>
          <w:szCs w:val="22"/>
          <w:lang w:eastAsia="en-US"/>
        </w:rPr>
        <w:t>з</w:t>
      </w:r>
      <w:r w:rsidRPr="00EC1A78">
        <w:rPr>
          <w:rFonts w:eastAsiaTheme="minorHAnsi"/>
          <w:sz w:val="22"/>
          <w:szCs w:val="22"/>
          <w:lang w:eastAsia="en-US"/>
        </w:rPr>
        <w:t>рядов для производства розыска по делам общеуголовного характ</w:t>
      </w:r>
      <w:r w:rsidRPr="00EC1A78">
        <w:rPr>
          <w:rFonts w:eastAsiaTheme="minorHAnsi"/>
          <w:sz w:val="22"/>
          <w:szCs w:val="22"/>
          <w:lang w:eastAsia="en-US"/>
        </w:rPr>
        <w:t>е</w:t>
      </w:r>
      <w:r w:rsidRPr="00EC1A78">
        <w:rPr>
          <w:rFonts w:eastAsiaTheme="minorHAnsi"/>
          <w:sz w:val="22"/>
          <w:szCs w:val="22"/>
          <w:lang w:eastAsia="en-US"/>
        </w:rPr>
        <w:t xml:space="preserve">ра как в городах, так и в уездах.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Как отмечает Рассказова В.Л. в статье «Об организации сыс</w:t>
      </w:r>
      <w:r w:rsidRPr="00EC1A78">
        <w:rPr>
          <w:rFonts w:eastAsiaTheme="minorHAnsi"/>
          <w:sz w:val="22"/>
          <w:szCs w:val="22"/>
          <w:lang w:eastAsia="en-US"/>
        </w:rPr>
        <w:t>к</w:t>
      </w:r>
      <w:r w:rsidRPr="00EC1A78">
        <w:rPr>
          <w:rFonts w:eastAsiaTheme="minorHAnsi"/>
          <w:sz w:val="22"/>
          <w:szCs w:val="22"/>
          <w:lang w:eastAsia="en-US"/>
        </w:rPr>
        <w:t xml:space="preserve">ной полиции на Кубани в начале </w:t>
      </w:r>
      <w:r w:rsidRPr="00EC1A78">
        <w:rPr>
          <w:rFonts w:eastAsiaTheme="minorHAnsi"/>
          <w:sz w:val="22"/>
          <w:szCs w:val="22"/>
          <w:lang w:val="en-US" w:eastAsia="en-US"/>
        </w:rPr>
        <w:t>XX</w:t>
      </w:r>
      <w:r w:rsidRPr="00EC1A78">
        <w:rPr>
          <w:rFonts w:eastAsiaTheme="minorHAnsi"/>
          <w:sz w:val="22"/>
          <w:szCs w:val="22"/>
          <w:lang w:eastAsia="en-US"/>
        </w:rPr>
        <w:t xml:space="preserve"> века», создание сыскной пол</w:t>
      </w:r>
      <w:r w:rsidRPr="00EC1A78">
        <w:rPr>
          <w:rFonts w:eastAsiaTheme="minorHAnsi"/>
          <w:sz w:val="22"/>
          <w:szCs w:val="22"/>
          <w:lang w:eastAsia="en-US"/>
        </w:rPr>
        <w:t>и</w:t>
      </w:r>
      <w:r w:rsidRPr="00EC1A78">
        <w:rPr>
          <w:rFonts w:eastAsiaTheme="minorHAnsi"/>
          <w:sz w:val="22"/>
          <w:szCs w:val="22"/>
          <w:lang w:eastAsia="en-US"/>
        </w:rPr>
        <w:t>ции было крайне необходимо, потому как до этого времени в Ек</w:t>
      </w:r>
      <w:r w:rsidRPr="00EC1A78">
        <w:rPr>
          <w:rFonts w:eastAsiaTheme="minorHAnsi"/>
          <w:sz w:val="22"/>
          <w:szCs w:val="22"/>
          <w:lang w:eastAsia="en-US"/>
        </w:rPr>
        <w:t>а</w:t>
      </w:r>
      <w:r w:rsidRPr="00EC1A78">
        <w:rPr>
          <w:rFonts w:eastAsiaTheme="minorHAnsi"/>
          <w:sz w:val="22"/>
          <w:szCs w:val="22"/>
          <w:lang w:eastAsia="en-US"/>
        </w:rPr>
        <w:t xml:space="preserve">теринодаре на сыскную работу из бюджета выделялось скромное финансирование, которое было увеличено в 1907 году во время обострения криминогенной обстановкив регионе и в тот период на наем сыщиков </w:t>
      </w:r>
      <w:r w:rsidR="00723562">
        <w:rPr>
          <w:rFonts w:eastAsiaTheme="minorHAnsi"/>
          <w:sz w:val="22"/>
          <w:szCs w:val="22"/>
          <w:lang w:eastAsia="en-US"/>
        </w:rPr>
        <w:t>в управление полиции выделялось</w:t>
      </w:r>
      <w:r w:rsidRPr="00EC1A78">
        <w:rPr>
          <w:rFonts w:eastAsiaTheme="minorHAnsi"/>
          <w:sz w:val="22"/>
          <w:szCs w:val="22"/>
          <w:lang w:eastAsia="en-US"/>
        </w:rPr>
        <w:t xml:space="preserve"> 5 000 руб. Данная сумма является также не большой.</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основании закона 1908 года «Об организации сыскной п</w:t>
      </w:r>
      <w:r w:rsidRPr="00EC1A78">
        <w:rPr>
          <w:rFonts w:eastAsiaTheme="minorHAnsi"/>
          <w:sz w:val="22"/>
          <w:szCs w:val="22"/>
          <w:lang w:eastAsia="en-US"/>
        </w:rPr>
        <w:t>о</w:t>
      </w:r>
      <w:r w:rsidRPr="00EC1A78">
        <w:rPr>
          <w:rFonts w:eastAsiaTheme="minorHAnsi"/>
          <w:sz w:val="22"/>
          <w:szCs w:val="22"/>
          <w:lang w:eastAsia="en-US"/>
        </w:rPr>
        <w:t>лиции», каждому отделению присваивался определенный разряд, который отражал штатную численность, размер денежного соде</w:t>
      </w:r>
      <w:r w:rsidRPr="00EC1A78">
        <w:rPr>
          <w:rFonts w:eastAsiaTheme="minorHAnsi"/>
          <w:sz w:val="22"/>
          <w:szCs w:val="22"/>
          <w:lang w:eastAsia="en-US"/>
        </w:rPr>
        <w:t>р</w:t>
      </w:r>
      <w:r w:rsidRPr="00EC1A78">
        <w:rPr>
          <w:rFonts w:eastAsiaTheme="minorHAnsi"/>
          <w:sz w:val="22"/>
          <w:szCs w:val="22"/>
          <w:lang w:eastAsia="en-US"/>
        </w:rPr>
        <w:t>жания и классного чина, численность населения подведомственного отделению, а также административное, промышленное,военно–стратегического значения города в котором производилась работа. Екатеринодарскому сыскному отделению был присвоен 3–й ра</w:t>
      </w:r>
      <w:r w:rsidRPr="00EC1A78">
        <w:rPr>
          <w:rFonts w:eastAsiaTheme="minorHAnsi"/>
          <w:sz w:val="22"/>
          <w:szCs w:val="22"/>
          <w:lang w:eastAsia="en-US"/>
        </w:rPr>
        <w:t>з</w:t>
      </w:r>
      <w:r w:rsidRPr="00EC1A78">
        <w:rPr>
          <w:rFonts w:eastAsiaTheme="minorHAnsi"/>
          <w:sz w:val="22"/>
          <w:szCs w:val="22"/>
          <w:lang w:eastAsia="en-US"/>
        </w:rPr>
        <w:t>ряд.Третий разряд предполагал следующее финансирование: начальник отделения с содержанием 1 тыс. руб. в год (жалованье 500 руб. + столовых 500 руб.) и разъездных 200 руб.; 3 полицейских надзирателя с содержанием каждому 550 руб. (жалование 275 руб. + столовых 275 руб.); 4 городовых с жалованием каждому по 360 руб. На сыскные расходы выделялось 2 тыс. руб., на канцелярские – 700 руб. Итого: 6 990 руб. в год[2]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Вместе с тем в тех случаях, когда на территории Кубанской о</w:t>
      </w:r>
      <w:r w:rsidRPr="00EC1A78">
        <w:rPr>
          <w:rFonts w:eastAsiaTheme="minorHAnsi"/>
          <w:sz w:val="22"/>
          <w:szCs w:val="22"/>
          <w:lang w:eastAsia="en-US"/>
        </w:rPr>
        <w:t>б</w:t>
      </w:r>
      <w:r w:rsidRPr="00EC1A78">
        <w:rPr>
          <w:rFonts w:eastAsiaTheme="minorHAnsi"/>
          <w:sz w:val="22"/>
          <w:szCs w:val="22"/>
          <w:lang w:eastAsia="en-US"/>
        </w:rPr>
        <w:t xml:space="preserve">ласти совершались преступления, как бы сейчас сказали, вызвавшие </w:t>
      </w:r>
      <w:r w:rsidRPr="00EC1A78">
        <w:rPr>
          <w:rFonts w:eastAsiaTheme="minorHAnsi"/>
          <w:sz w:val="22"/>
          <w:szCs w:val="22"/>
          <w:lang w:eastAsia="en-US"/>
        </w:rPr>
        <w:lastRenderedPageBreak/>
        <w:t>большой общественный резонанс, на их раскрытие направлялись сыщики Екатеринодарского сыскного отделения в ущерб их де</w:t>
      </w:r>
      <w:r w:rsidRPr="00EC1A78">
        <w:rPr>
          <w:rFonts w:eastAsiaTheme="minorHAnsi"/>
          <w:sz w:val="22"/>
          <w:szCs w:val="22"/>
          <w:lang w:eastAsia="en-US"/>
        </w:rPr>
        <w:t>я</w:t>
      </w:r>
      <w:r w:rsidRPr="00EC1A78">
        <w:rPr>
          <w:rFonts w:eastAsiaTheme="minorHAnsi"/>
          <w:sz w:val="22"/>
          <w:szCs w:val="22"/>
          <w:lang w:eastAsia="en-US"/>
        </w:rPr>
        <w:t>тельности в черте города. Отметим, что штат сыскной полиции был небольшим, это вытекало из–за нехватки финансирования из гос</w:t>
      </w:r>
      <w:r w:rsidRPr="00EC1A78">
        <w:rPr>
          <w:rFonts w:eastAsiaTheme="minorHAnsi"/>
          <w:sz w:val="22"/>
          <w:szCs w:val="22"/>
          <w:lang w:eastAsia="en-US"/>
        </w:rPr>
        <w:t>у</w:t>
      </w:r>
      <w:r w:rsidRPr="00EC1A78">
        <w:rPr>
          <w:rFonts w:eastAsiaTheme="minorHAnsi"/>
          <w:sz w:val="22"/>
          <w:szCs w:val="22"/>
          <w:lang w:eastAsia="en-US"/>
        </w:rPr>
        <w:t>дарственной казны. В связи с этим появился проект создания К</w:t>
      </w:r>
      <w:r w:rsidRPr="00EC1A78">
        <w:rPr>
          <w:rFonts w:eastAsiaTheme="minorHAnsi"/>
          <w:sz w:val="22"/>
          <w:szCs w:val="22"/>
          <w:lang w:eastAsia="en-US"/>
        </w:rPr>
        <w:t>у</w:t>
      </w:r>
      <w:r w:rsidRPr="00EC1A78">
        <w:rPr>
          <w:rFonts w:eastAsiaTheme="minorHAnsi"/>
          <w:sz w:val="22"/>
          <w:szCs w:val="22"/>
          <w:lang w:eastAsia="en-US"/>
        </w:rPr>
        <w:t>банского областного сыскного органа.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Если « Екатеринодарское сыскное отделение финансировалось из казны, то Кубанский областной сыскной орган должен был с</w:t>
      </w:r>
      <w:r w:rsidRPr="00EC1A78">
        <w:rPr>
          <w:rFonts w:eastAsiaTheme="minorHAnsi"/>
          <w:sz w:val="22"/>
          <w:szCs w:val="22"/>
          <w:lang w:eastAsia="en-US"/>
        </w:rPr>
        <w:t>о</w:t>
      </w:r>
      <w:r w:rsidRPr="00EC1A78">
        <w:rPr>
          <w:rFonts w:eastAsiaTheme="minorHAnsi"/>
          <w:sz w:val="22"/>
          <w:szCs w:val="22"/>
          <w:lang w:eastAsia="en-US"/>
        </w:rPr>
        <w:t>держаться за счет «средств» Кубанского казачьего войска. Ввиду того, что деятельность обоих органов фактически была однородна, во избежание дублирования, представлялось необходимым ввести Екатеринодарское сыскное отделение в структуру создаваемого К</w:t>
      </w:r>
      <w:r w:rsidRPr="00EC1A78">
        <w:rPr>
          <w:rFonts w:eastAsiaTheme="minorHAnsi"/>
          <w:sz w:val="22"/>
          <w:szCs w:val="22"/>
          <w:lang w:eastAsia="en-US"/>
        </w:rPr>
        <w:t>у</w:t>
      </w:r>
      <w:r w:rsidRPr="00EC1A78">
        <w:rPr>
          <w:rFonts w:eastAsiaTheme="minorHAnsi"/>
          <w:sz w:val="22"/>
          <w:szCs w:val="22"/>
          <w:lang w:eastAsia="en-US"/>
        </w:rPr>
        <w:t>банского областного органа сыска, причем начальник городского уголовного розыска по своей должности являлся бы помощником начальника областного органа – «заведывающим сыском в Екат</w:t>
      </w:r>
      <w:r w:rsidRPr="00EC1A78">
        <w:rPr>
          <w:rFonts w:eastAsiaTheme="minorHAnsi"/>
          <w:sz w:val="22"/>
          <w:szCs w:val="22"/>
          <w:lang w:eastAsia="en-US"/>
        </w:rPr>
        <w:t>е</w:t>
      </w:r>
      <w:r w:rsidRPr="00EC1A78">
        <w:rPr>
          <w:rFonts w:eastAsiaTheme="minorHAnsi"/>
          <w:sz w:val="22"/>
          <w:szCs w:val="22"/>
          <w:lang w:eastAsia="en-US"/>
        </w:rPr>
        <w:t xml:space="preserve">ринодаре»  [1].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На основании представленного материала мы можем сделать следующие выводы, касающиеся финансирования сыскной полиции на Кубани во второй половине </w:t>
      </w:r>
      <w:r w:rsidRPr="00EC1A78">
        <w:rPr>
          <w:rFonts w:eastAsiaTheme="minorHAnsi"/>
          <w:sz w:val="22"/>
          <w:szCs w:val="22"/>
          <w:lang w:val="en-US" w:eastAsia="en-US"/>
        </w:rPr>
        <w:t>XIX</w:t>
      </w:r>
      <w:r w:rsidRPr="00EC1A78">
        <w:rPr>
          <w:rFonts w:eastAsiaTheme="minorHAnsi"/>
          <w:sz w:val="22"/>
          <w:szCs w:val="22"/>
          <w:lang w:eastAsia="en-US"/>
        </w:rPr>
        <w:t xml:space="preserve">века, начале </w:t>
      </w:r>
      <w:r w:rsidRPr="00EC1A78">
        <w:rPr>
          <w:rFonts w:eastAsiaTheme="minorHAnsi"/>
          <w:sz w:val="22"/>
          <w:szCs w:val="22"/>
          <w:lang w:val="en-US" w:eastAsia="en-US"/>
        </w:rPr>
        <w:t>XX</w:t>
      </w:r>
      <w:r w:rsidRPr="00EC1A78">
        <w:rPr>
          <w:rFonts w:eastAsiaTheme="minorHAnsi"/>
          <w:sz w:val="22"/>
          <w:szCs w:val="22"/>
          <w:lang w:eastAsia="en-US"/>
        </w:rPr>
        <w:t xml:space="preserve"> века.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Финансирование сыскной полиции на Кубани было небол</w:t>
      </w:r>
      <w:r w:rsidRPr="00EC1A78">
        <w:rPr>
          <w:rFonts w:eastAsiaTheme="minorHAnsi"/>
          <w:sz w:val="22"/>
          <w:szCs w:val="22"/>
          <w:lang w:eastAsia="en-US"/>
        </w:rPr>
        <w:t>ь</w:t>
      </w:r>
      <w:r w:rsidRPr="00EC1A78">
        <w:rPr>
          <w:rFonts w:eastAsiaTheme="minorHAnsi"/>
          <w:sz w:val="22"/>
          <w:szCs w:val="22"/>
          <w:lang w:eastAsia="en-US"/>
        </w:rPr>
        <w:t>шим, учитывая, что на наем сыщиков в Екатеринодарском отдел</w:t>
      </w:r>
      <w:r w:rsidRPr="00EC1A78">
        <w:rPr>
          <w:rFonts w:eastAsiaTheme="minorHAnsi"/>
          <w:sz w:val="22"/>
          <w:szCs w:val="22"/>
          <w:lang w:eastAsia="en-US"/>
        </w:rPr>
        <w:t>е</w:t>
      </w:r>
      <w:r w:rsidRPr="00EC1A78">
        <w:rPr>
          <w:rFonts w:eastAsiaTheme="minorHAnsi"/>
          <w:sz w:val="22"/>
          <w:szCs w:val="22"/>
          <w:lang w:eastAsia="en-US"/>
        </w:rPr>
        <w:t>нии полиции до обострения криминогенной ситуации 1907 года в</w:t>
      </w:r>
      <w:r w:rsidRPr="00EC1A78">
        <w:rPr>
          <w:rFonts w:eastAsiaTheme="minorHAnsi"/>
          <w:sz w:val="22"/>
          <w:szCs w:val="22"/>
          <w:lang w:eastAsia="en-US"/>
        </w:rPr>
        <w:t>ы</w:t>
      </w:r>
      <w:r w:rsidRPr="00EC1A78">
        <w:rPr>
          <w:rFonts w:eastAsiaTheme="minorHAnsi"/>
          <w:sz w:val="22"/>
          <w:szCs w:val="22"/>
          <w:lang w:eastAsia="en-US"/>
        </w:rPr>
        <w:t>делялось менее 5000 рублей.</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После закона 1908 года «Об организации сыскной части» в Екатеринодаре была создано отделение третьего разряда, которое предполагало финансирование в размере 6990 рублей в год. При этом зона работы данного отделения при небольшом штате была как в городе, так и в области.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Финансирование сыскной полиции на Кубани осуществлялось как из государственной казны, так и из средств городского бюдж</w:t>
      </w:r>
      <w:r w:rsidRPr="00EC1A78">
        <w:rPr>
          <w:rFonts w:eastAsiaTheme="minorHAnsi"/>
          <w:sz w:val="22"/>
          <w:szCs w:val="22"/>
          <w:lang w:eastAsia="en-US"/>
        </w:rPr>
        <w:t>е</w:t>
      </w:r>
      <w:r w:rsidRPr="00EC1A78">
        <w:rPr>
          <w:rFonts w:eastAsiaTheme="minorHAnsi"/>
          <w:sz w:val="22"/>
          <w:szCs w:val="22"/>
          <w:lang w:eastAsia="en-US"/>
        </w:rPr>
        <w:t>та.</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Рассказов В.Л. Учреждение Екатеринодарского сыскного о</w:t>
      </w:r>
      <w:r w:rsidRPr="00EC1A78">
        <w:rPr>
          <w:rFonts w:eastAsiaTheme="minorHAnsi"/>
          <w:sz w:val="22"/>
          <w:szCs w:val="22"/>
          <w:lang w:eastAsia="en-US"/>
        </w:rPr>
        <w:t>т</w:t>
      </w:r>
      <w:r w:rsidRPr="00EC1A78">
        <w:rPr>
          <w:rFonts w:eastAsiaTheme="minorHAnsi"/>
          <w:sz w:val="22"/>
          <w:szCs w:val="22"/>
          <w:lang w:eastAsia="en-US"/>
        </w:rPr>
        <w:t>деле</w:t>
      </w:r>
      <w:r w:rsidR="00723562">
        <w:rPr>
          <w:rFonts w:eastAsiaTheme="minorHAnsi"/>
          <w:sz w:val="22"/>
          <w:szCs w:val="22"/>
          <w:lang w:eastAsia="en-US"/>
        </w:rPr>
        <w:t xml:space="preserve">ния Философия права </w:t>
      </w:r>
      <w:r w:rsidRPr="00EC1A78">
        <w:rPr>
          <w:rFonts w:eastAsiaTheme="minorHAnsi"/>
          <w:sz w:val="22"/>
          <w:szCs w:val="22"/>
          <w:lang w:eastAsia="en-US"/>
        </w:rPr>
        <w:t>2014 с.111–115</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Рассказов В.Л. Организационно правовые меры по учрежд</w:t>
      </w:r>
      <w:r w:rsidRPr="00EC1A78">
        <w:rPr>
          <w:rFonts w:eastAsiaTheme="minorHAnsi"/>
          <w:sz w:val="22"/>
          <w:szCs w:val="22"/>
          <w:lang w:eastAsia="en-US"/>
        </w:rPr>
        <w:t>е</w:t>
      </w:r>
      <w:r w:rsidRPr="00EC1A78">
        <w:rPr>
          <w:rFonts w:eastAsiaTheme="minorHAnsi"/>
          <w:sz w:val="22"/>
          <w:szCs w:val="22"/>
          <w:lang w:eastAsia="en-US"/>
        </w:rPr>
        <w:t xml:space="preserve">нию на Кубани областной сыскной полиции в 1909–1911 годах Юристъ–Правоведъ 2015 с. 105–109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3. Рассказов В.Л. Историография сыскной полиции Российской Империи Юристъ–Правоведъ 2015 с. 117–120</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4. Ратушняк В.Н. Об организации сыскной полиции на Кубани в начале </w:t>
      </w:r>
      <w:r w:rsidRPr="00EC1A78">
        <w:rPr>
          <w:rFonts w:eastAsiaTheme="minorHAnsi"/>
          <w:sz w:val="22"/>
          <w:szCs w:val="22"/>
          <w:lang w:val="en-US" w:eastAsia="en-US"/>
        </w:rPr>
        <w:t>XX</w:t>
      </w:r>
      <w:r w:rsidRPr="00EC1A78">
        <w:rPr>
          <w:rFonts w:eastAsiaTheme="minorHAnsi"/>
          <w:sz w:val="22"/>
          <w:szCs w:val="22"/>
          <w:lang w:eastAsia="en-US"/>
        </w:rPr>
        <w:t xml:space="preserve"> века Историческая и социально образовательная мысль 2014 с. 90–94</w:t>
      </w:r>
    </w:p>
    <w:p w:rsidR="00EC1A78" w:rsidRDefault="00EC1A78" w:rsidP="00EC1A78">
      <w:pPr>
        <w:jc w:val="both"/>
        <w:rPr>
          <w:rFonts w:eastAsiaTheme="minorHAnsi"/>
          <w:sz w:val="22"/>
          <w:szCs w:val="22"/>
          <w:lang w:eastAsia="en-US"/>
        </w:rPr>
      </w:pPr>
    </w:p>
    <w:p w:rsidR="006A771F" w:rsidRDefault="006A771F" w:rsidP="00EC1A78">
      <w:pPr>
        <w:jc w:val="both"/>
        <w:rPr>
          <w:rFonts w:eastAsiaTheme="minorHAnsi"/>
          <w:sz w:val="22"/>
          <w:szCs w:val="22"/>
          <w:lang w:eastAsia="en-US"/>
        </w:rPr>
      </w:pPr>
    </w:p>
    <w:p w:rsidR="002B3A7B" w:rsidRPr="00EC1A78" w:rsidRDefault="002B3A7B" w:rsidP="00EC1A78">
      <w:pPr>
        <w:jc w:val="both"/>
        <w:rPr>
          <w:rFonts w:eastAsiaTheme="minorHAnsi"/>
          <w:sz w:val="22"/>
          <w:szCs w:val="22"/>
          <w:lang w:eastAsia="en-US"/>
        </w:rPr>
      </w:pPr>
    </w:p>
    <w:p w:rsidR="00EC1A78" w:rsidRPr="00EC1A78" w:rsidRDefault="00EC1A78" w:rsidP="00EC1A78">
      <w:pPr>
        <w:jc w:val="both"/>
        <w:rPr>
          <w:rFonts w:eastAsiaTheme="minorHAnsi"/>
          <w:w w:val="105"/>
          <w:sz w:val="22"/>
          <w:szCs w:val="22"/>
          <w:lang w:eastAsia="en-US"/>
        </w:rPr>
      </w:pPr>
      <w:r w:rsidRPr="00EC1A78">
        <w:rPr>
          <w:rFonts w:eastAsiaTheme="minorHAnsi"/>
          <w:w w:val="105"/>
          <w:sz w:val="22"/>
          <w:szCs w:val="22"/>
          <w:lang w:eastAsia="en-US"/>
        </w:rPr>
        <w:t>УДК 347.535</w:t>
      </w:r>
    </w:p>
    <w:p w:rsidR="00EC1A78" w:rsidRPr="00EC1A78" w:rsidRDefault="00EC1A78" w:rsidP="00EC1A78">
      <w:pPr>
        <w:jc w:val="both"/>
        <w:rPr>
          <w:rFonts w:eastAsiaTheme="minorHAnsi"/>
          <w:w w:val="105"/>
          <w:sz w:val="22"/>
          <w:szCs w:val="22"/>
          <w:lang w:eastAsia="en-US"/>
        </w:rPr>
      </w:pPr>
    </w:p>
    <w:p w:rsidR="00EC1A78" w:rsidRPr="00EC1A78" w:rsidRDefault="00EC1A78" w:rsidP="00EC1A78">
      <w:pPr>
        <w:ind w:firstLine="426"/>
        <w:jc w:val="center"/>
        <w:rPr>
          <w:rFonts w:eastAsiaTheme="minorHAnsi"/>
          <w:b/>
          <w:sz w:val="24"/>
          <w:szCs w:val="22"/>
          <w:lang w:eastAsia="en-US"/>
        </w:rPr>
      </w:pPr>
      <w:r w:rsidRPr="00EC1A78">
        <w:rPr>
          <w:rFonts w:eastAsiaTheme="minorHAnsi"/>
          <w:b/>
          <w:sz w:val="24"/>
          <w:szCs w:val="22"/>
          <w:lang w:eastAsia="en-US"/>
        </w:rPr>
        <w:t>Правовые последствия предъявления требований</w:t>
      </w:r>
      <w:r w:rsidR="00723562">
        <w:rPr>
          <w:rFonts w:eastAsiaTheme="minorHAnsi"/>
          <w:b/>
          <w:sz w:val="24"/>
          <w:szCs w:val="22"/>
          <w:lang w:eastAsia="en-US"/>
        </w:rPr>
        <w:br/>
      </w:r>
      <w:r w:rsidRPr="00EC1A78">
        <w:rPr>
          <w:rFonts w:eastAsiaTheme="minorHAnsi"/>
          <w:b/>
          <w:sz w:val="24"/>
          <w:szCs w:val="22"/>
          <w:lang w:eastAsia="en-US"/>
        </w:rPr>
        <w:t xml:space="preserve"> кредиторов о передаче нежилых помещений</w:t>
      </w:r>
    </w:p>
    <w:p w:rsidR="00EC1A78" w:rsidRPr="001C6F5C" w:rsidRDefault="00EC1A78" w:rsidP="00EC1A78">
      <w:pPr>
        <w:ind w:firstLine="426"/>
        <w:jc w:val="center"/>
        <w:rPr>
          <w:rFonts w:eastAsiaTheme="minorHAnsi"/>
          <w:b/>
          <w:sz w:val="24"/>
          <w:szCs w:val="22"/>
          <w:lang w:val="en-US" w:eastAsia="en-US"/>
        </w:rPr>
      </w:pPr>
      <w:r w:rsidRPr="00EC1A78">
        <w:rPr>
          <w:rFonts w:eastAsiaTheme="minorHAnsi"/>
          <w:b/>
          <w:sz w:val="24"/>
          <w:szCs w:val="22"/>
          <w:lang w:val="en-US" w:eastAsia="en-US"/>
        </w:rPr>
        <w:t>Legal</w:t>
      </w:r>
      <w:r w:rsidRPr="001C6F5C">
        <w:rPr>
          <w:rFonts w:eastAsiaTheme="minorHAnsi"/>
          <w:b/>
          <w:sz w:val="24"/>
          <w:szCs w:val="22"/>
          <w:lang w:val="en-US" w:eastAsia="en-US"/>
        </w:rPr>
        <w:t xml:space="preserve"> </w:t>
      </w:r>
      <w:r w:rsidRPr="00EC1A78">
        <w:rPr>
          <w:rFonts w:eastAsiaTheme="minorHAnsi"/>
          <w:b/>
          <w:sz w:val="24"/>
          <w:szCs w:val="22"/>
          <w:lang w:val="en-US" w:eastAsia="en-US"/>
        </w:rPr>
        <w:t>consequences</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the</w:t>
      </w:r>
      <w:r w:rsidRPr="001C6F5C">
        <w:rPr>
          <w:rFonts w:eastAsiaTheme="minorHAnsi"/>
          <w:b/>
          <w:sz w:val="24"/>
          <w:szCs w:val="22"/>
          <w:lang w:val="en-US" w:eastAsia="en-US"/>
        </w:rPr>
        <w:t xml:space="preserve"> </w:t>
      </w:r>
      <w:r w:rsidRPr="00EC1A78">
        <w:rPr>
          <w:rFonts w:eastAsiaTheme="minorHAnsi"/>
          <w:b/>
          <w:sz w:val="24"/>
          <w:szCs w:val="22"/>
          <w:lang w:val="en-US" w:eastAsia="en-US"/>
        </w:rPr>
        <w:t>presentation</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creditors</w:t>
      </w:r>
      <w:r w:rsidRPr="001C6F5C">
        <w:rPr>
          <w:rFonts w:eastAsiaTheme="minorHAnsi"/>
          <w:b/>
          <w:sz w:val="24"/>
          <w:szCs w:val="22"/>
          <w:lang w:val="en-US" w:eastAsia="en-US"/>
        </w:rPr>
        <w:t xml:space="preserve">' </w:t>
      </w:r>
      <w:r w:rsidRPr="00EC1A78">
        <w:rPr>
          <w:rFonts w:eastAsiaTheme="minorHAnsi"/>
          <w:b/>
          <w:sz w:val="24"/>
          <w:szCs w:val="22"/>
          <w:lang w:val="en-US" w:eastAsia="en-US"/>
        </w:rPr>
        <w:t>claims</w:t>
      </w:r>
      <w:r w:rsidRPr="001C6F5C">
        <w:rPr>
          <w:rFonts w:eastAsiaTheme="minorHAnsi"/>
          <w:b/>
          <w:sz w:val="24"/>
          <w:szCs w:val="22"/>
          <w:lang w:val="en-US" w:eastAsia="en-US"/>
        </w:rPr>
        <w:t xml:space="preserve"> </w:t>
      </w:r>
      <w:r w:rsidRPr="00EC1A78">
        <w:rPr>
          <w:rFonts w:eastAsiaTheme="minorHAnsi"/>
          <w:b/>
          <w:sz w:val="24"/>
          <w:szCs w:val="22"/>
          <w:lang w:val="en-US" w:eastAsia="en-US"/>
        </w:rPr>
        <w:t>for</w:t>
      </w:r>
      <w:r w:rsidRPr="001C6F5C">
        <w:rPr>
          <w:rFonts w:eastAsiaTheme="minorHAnsi"/>
          <w:b/>
          <w:sz w:val="24"/>
          <w:szCs w:val="22"/>
          <w:lang w:val="en-US" w:eastAsia="en-US"/>
        </w:rPr>
        <w:t xml:space="preserve"> </w:t>
      </w:r>
      <w:r w:rsidRPr="00EC1A78">
        <w:rPr>
          <w:rFonts w:eastAsiaTheme="minorHAnsi"/>
          <w:b/>
          <w:sz w:val="24"/>
          <w:szCs w:val="22"/>
          <w:lang w:val="en-US" w:eastAsia="en-US"/>
        </w:rPr>
        <w:t>the</w:t>
      </w:r>
      <w:r w:rsidRPr="001C6F5C">
        <w:rPr>
          <w:rFonts w:eastAsiaTheme="minorHAnsi"/>
          <w:b/>
          <w:sz w:val="24"/>
          <w:szCs w:val="22"/>
          <w:lang w:val="en-US" w:eastAsia="en-US"/>
        </w:rPr>
        <w:t xml:space="preserve"> </w:t>
      </w:r>
      <w:r w:rsidRPr="00EC1A78">
        <w:rPr>
          <w:rFonts w:eastAsiaTheme="minorHAnsi"/>
          <w:b/>
          <w:sz w:val="24"/>
          <w:szCs w:val="22"/>
          <w:lang w:val="en-US" w:eastAsia="en-US"/>
        </w:rPr>
        <w:t>transfer</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non</w:t>
      </w:r>
      <w:r w:rsidRPr="001C6F5C">
        <w:rPr>
          <w:rFonts w:eastAsiaTheme="minorHAnsi"/>
          <w:b/>
          <w:sz w:val="24"/>
          <w:szCs w:val="22"/>
          <w:lang w:val="en-US" w:eastAsia="en-US"/>
        </w:rPr>
        <w:t>–</w:t>
      </w:r>
      <w:r w:rsidRPr="00EC1A78">
        <w:rPr>
          <w:rFonts w:eastAsiaTheme="minorHAnsi"/>
          <w:b/>
          <w:sz w:val="24"/>
          <w:szCs w:val="22"/>
          <w:lang w:val="en-US" w:eastAsia="en-US"/>
        </w:rPr>
        <w:t>residential</w:t>
      </w:r>
      <w:r w:rsidRPr="001C6F5C">
        <w:rPr>
          <w:rFonts w:eastAsiaTheme="minorHAnsi"/>
          <w:b/>
          <w:sz w:val="24"/>
          <w:szCs w:val="22"/>
          <w:lang w:val="en-US" w:eastAsia="en-US"/>
        </w:rPr>
        <w:t xml:space="preserve"> </w:t>
      </w:r>
      <w:r w:rsidRPr="00EC1A78">
        <w:rPr>
          <w:rFonts w:eastAsiaTheme="minorHAnsi"/>
          <w:b/>
          <w:sz w:val="24"/>
          <w:szCs w:val="22"/>
          <w:lang w:val="en-US" w:eastAsia="en-US"/>
        </w:rPr>
        <w:t>premises</w:t>
      </w:r>
    </w:p>
    <w:p w:rsidR="00EC1A78" w:rsidRPr="001C6F5C" w:rsidRDefault="00EC1A78" w:rsidP="00EC1A78">
      <w:pPr>
        <w:ind w:firstLine="709"/>
        <w:jc w:val="right"/>
        <w:rPr>
          <w:rFonts w:eastAsiaTheme="minorHAnsi"/>
          <w:sz w:val="22"/>
          <w:szCs w:val="22"/>
          <w:lang w:val="en-US" w:eastAsia="en-US"/>
        </w:rPr>
      </w:pP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Феронов А.</w:t>
      </w:r>
      <w:r w:rsidR="00723562">
        <w:rPr>
          <w:rFonts w:eastAsiaTheme="minorHAnsi"/>
          <w:sz w:val="22"/>
          <w:szCs w:val="22"/>
          <w:lang w:eastAsia="en-US"/>
        </w:rPr>
        <w:t xml:space="preserve"> </w:t>
      </w:r>
      <w:r w:rsidRPr="00EC1A78">
        <w:rPr>
          <w:rFonts w:eastAsiaTheme="minorHAnsi"/>
          <w:sz w:val="22"/>
          <w:szCs w:val="22"/>
          <w:lang w:eastAsia="en-US"/>
        </w:rPr>
        <w:t>С.</w:t>
      </w:r>
      <w:r w:rsidR="00723562">
        <w:rPr>
          <w:rFonts w:eastAsiaTheme="minorHAnsi"/>
          <w:sz w:val="22"/>
          <w:szCs w:val="22"/>
          <w:lang w:eastAsia="en-US"/>
        </w:rPr>
        <w:t>,</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студент 4–го курса юридического факультета</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Красницкая А.</w:t>
      </w:r>
      <w:r w:rsidR="00723562">
        <w:rPr>
          <w:rFonts w:eastAsiaTheme="minorHAnsi"/>
          <w:sz w:val="22"/>
          <w:szCs w:val="22"/>
          <w:lang w:eastAsia="en-US"/>
        </w:rPr>
        <w:t xml:space="preserve"> </w:t>
      </w:r>
      <w:r w:rsidRPr="00EC1A78">
        <w:rPr>
          <w:rFonts w:eastAsiaTheme="minorHAnsi"/>
          <w:sz w:val="22"/>
          <w:szCs w:val="22"/>
          <w:lang w:eastAsia="en-US"/>
        </w:rPr>
        <w:t>В.,</w:t>
      </w:r>
    </w:p>
    <w:p w:rsidR="00723562" w:rsidRDefault="00EC1A78" w:rsidP="00EC1A78">
      <w:pPr>
        <w:ind w:firstLine="709"/>
        <w:jc w:val="right"/>
        <w:rPr>
          <w:rFonts w:eastAsiaTheme="minorHAnsi"/>
          <w:sz w:val="22"/>
          <w:szCs w:val="22"/>
          <w:lang w:eastAsia="en-US"/>
        </w:rPr>
      </w:pPr>
      <w:r w:rsidRPr="00EC1A78">
        <w:rPr>
          <w:rFonts w:eastAsiaTheme="minorHAnsi"/>
          <w:sz w:val="22"/>
          <w:szCs w:val="22"/>
          <w:lang w:eastAsia="en-US"/>
        </w:rPr>
        <w:t>доцент кафедры международного частного</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 xml:space="preserve"> и предпринимательского права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709"/>
        <w:jc w:val="right"/>
        <w:rPr>
          <w:rFonts w:eastAsiaTheme="minorHAnsi"/>
          <w:sz w:val="22"/>
          <w:szCs w:val="22"/>
          <w:lang w:eastAsia="en-US"/>
        </w:rPr>
      </w:pPr>
      <w:r w:rsidRPr="00EC1A78">
        <w:rPr>
          <w:rFonts w:eastAsiaTheme="minorHAnsi"/>
          <w:sz w:val="22"/>
          <w:szCs w:val="22"/>
          <w:lang w:eastAsia="en-US"/>
        </w:rPr>
        <w:t>университет имени И.</w:t>
      </w:r>
      <w:r w:rsidR="00723562">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709"/>
        <w:jc w:val="right"/>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статье рассматриваются особенности прав</w:t>
      </w:r>
      <w:r w:rsidRPr="00EC1A78">
        <w:rPr>
          <w:rFonts w:eastAsiaTheme="minorHAnsi"/>
          <w:sz w:val="22"/>
          <w:szCs w:val="22"/>
          <w:lang w:eastAsia="en-US"/>
        </w:rPr>
        <w:t>о</w:t>
      </w:r>
      <w:r w:rsidRPr="00EC1A78">
        <w:rPr>
          <w:rFonts w:eastAsiaTheme="minorHAnsi"/>
          <w:sz w:val="22"/>
          <w:szCs w:val="22"/>
          <w:lang w:eastAsia="en-US"/>
        </w:rPr>
        <w:t>вой судьбу нежилых помещений при несостоятельности застро</w:t>
      </w:r>
      <w:r w:rsidRPr="00EC1A78">
        <w:rPr>
          <w:rFonts w:eastAsiaTheme="minorHAnsi"/>
          <w:sz w:val="22"/>
          <w:szCs w:val="22"/>
          <w:lang w:eastAsia="en-US"/>
        </w:rPr>
        <w:t>й</w:t>
      </w:r>
      <w:r w:rsidRPr="00EC1A78">
        <w:rPr>
          <w:rFonts w:eastAsiaTheme="minorHAnsi"/>
          <w:sz w:val="22"/>
          <w:szCs w:val="22"/>
          <w:lang w:eastAsia="en-US"/>
        </w:rPr>
        <w:t>щика, их правовой статус, а также порядок удовлетворения треб</w:t>
      </w:r>
      <w:r w:rsidRPr="00EC1A78">
        <w:rPr>
          <w:rFonts w:eastAsiaTheme="minorHAnsi"/>
          <w:sz w:val="22"/>
          <w:szCs w:val="22"/>
          <w:lang w:eastAsia="en-US"/>
        </w:rPr>
        <w:t>о</w:t>
      </w:r>
      <w:r w:rsidRPr="00EC1A78">
        <w:rPr>
          <w:rFonts w:eastAsiaTheme="minorHAnsi"/>
          <w:sz w:val="22"/>
          <w:szCs w:val="22"/>
          <w:lang w:eastAsia="en-US"/>
        </w:rPr>
        <w:t xml:space="preserve">ваний кредиторов при заявлении соответствующего требования.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The article examines the peculiarities of the legal fate of non–residential premises in case of insolvency of the developer, their legal status, as well as the procedure for satisfying the creditors' claims when the relevant claim is filed.</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банкротство, застройщик, нежилые п</w:t>
      </w:r>
      <w:r w:rsidRPr="00EC1A78">
        <w:rPr>
          <w:rFonts w:eastAsiaTheme="minorHAnsi"/>
          <w:sz w:val="22"/>
          <w:szCs w:val="22"/>
          <w:lang w:eastAsia="en-US"/>
        </w:rPr>
        <w:t>о</w:t>
      </w:r>
      <w:r w:rsidRPr="00EC1A78">
        <w:rPr>
          <w:rFonts w:eastAsiaTheme="minorHAnsi"/>
          <w:sz w:val="22"/>
          <w:szCs w:val="22"/>
          <w:lang w:eastAsia="en-US"/>
        </w:rPr>
        <w:t>мещения, кредитор.</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bankruptcy, developer, non–residential premises, lender.</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Исходя из легального толкования буквы закона, требования кредитора о передачи нежилого помещения не относят данного кредитора к участникам строительства, а значит не предполагают привилегированного положения таких кредиторов и приоритетн</w:t>
      </w:r>
      <w:r w:rsidRPr="00EC1A78">
        <w:rPr>
          <w:rFonts w:eastAsiaTheme="minorHAnsi"/>
          <w:sz w:val="22"/>
          <w:szCs w:val="22"/>
          <w:lang w:eastAsia="en-US"/>
        </w:rPr>
        <w:t>о</w:t>
      </w:r>
      <w:r w:rsidRPr="00EC1A78">
        <w:rPr>
          <w:rFonts w:eastAsiaTheme="minorHAnsi"/>
          <w:sz w:val="22"/>
          <w:szCs w:val="22"/>
          <w:lang w:eastAsia="en-US"/>
        </w:rPr>
        <w:t xml:space="preserve">сти в вопросе погашения таких требований.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Возникает закономерный вопрос о судьбе требований о пер</w:t>
      </w:r>
      <w:r w:rsidRPr="00EC1A78">
        <w:rPr>
          <w:rFonts w:eastAsiaTheme="minorHAnsi"/>
          <w:sz w:val="22"/>
          <w:szCs w:val="22"/>
          <w:lang w:eastAsia="en-US"/>
        </w:rPr>
        <w:t>е</w:t>
      </w:r>
      <w:r w:rsidRPr="00EC1A78">
        <w:rPr>
          <w:rFonts w:eastAsiaTheme="minorHAnsi"/>
          <w:sz w:val="22"/>
          <w:szCs w:val="22"/>
          <w:lang w:eastAsia="en-US"/>
        </w:rPr>
        <w:t>даче нежилого помещения. Данное требование не носит характер денежного требования и также не относится к требованию о пер</w:t>
      </w:r>
      <w:r w:rsidRPr="00EC1A78">
        <w:rPr>
          <w:rFonts w:eastAsiaTheme="minorHAnsi"/>
          <w:sz w:val="22"/>
          <w:szCs w:val="22"/>
          <w:lang w:eastAsia="en-US"/>
        </w:rPr>
        <w:t>е</w:t>
      </w:r>
      <w:r w:rsidRPr="00EC1A78">
        <w:rPr>
          <w:rFonts w:eastAsiaTheme="minorHAnsi"/>
          <w:sz w:val="22"/>
          <w:szCs w:val="22"/>
          <w:lang w:eastAsia="en-US"/>
        </w:rPr>
        <w:t>даче жилых помещений, следовательно правовой статус такого тр</w:t>
      </w:r>
      <w:r w:rsidRPr="00EC1A78">
        <w:rPr>
          <w:rFonts w:eastAsiaTheme="minorHAnsi"/>
          <w:sz w:val="22"/>
          <w:szCs w:val="22"/>
          <w:lang w:eastAsia="en-US"/>
        </w:rPr>
        <w:t>е</w:t>
      </w:r>
      <w:r w:rsidRPr="00EC1A78">
        <w:rPr>
          <w:rFonts w:eastAsiaTheme="minorHAnsi"/>
          <w:sz w:val="22"/>
          <w:szCs w:val="22"/>
          <w:lang w:eastAsia="en-US"/>
        </w:rPr>
        <w:t>бования не устанавливается законодательством о банкротстве з</w:t>
      </w:r>
      <w:r w:rsidRPr="00EC1A78">
        <w:rPr>
          <w:rFonts w:eastAsiaTheme="minorHAnsi"/>
          <w:sz w:val="22"/>
          <w:szCs w:val="22"/>
          <w:lang w:eastAsia="en-US"/>
        </w:rPr>
        <w:t>а</w:t>
      </w:r>
      <w:r w:rsidRPr="00EC1A78">
        <w:rPr>
          <w:rFonts w:eastAsiaTheme="minorHAnsi"/>
          <w:sz w:val="22"/>
          <w:szCs w:val="22"/>
          <w:lang w:eastAsia="en-US"/>
        </w:rPr>
        <w:t>стройщика. Данный вопрос был урегулирован в Постановлении Пленума ВАС РФ № 15961/11 от 27 марта 2012 года. Так, в рамках указанного Постановления рассматривалось требование о призн</w:t>
      </w:r>
      <w:r w:rsidRPr="00EC1A78">
        <w:rPr>
          <w:rFonts w:eastAsiaTheme="minorHAnsi"/>
          <w:sz w:val="22"/>
          <w:szCs w:val="22"/>
          <w:lang w:eastAsia="en-US"/>
        </w:rPr>
        <w:t>а</w:t>
      </w:r>
      <w:r w:rsidRPr="00EC1A78">
        <w:rPr>
          <w:rFonts w:eastAsiaTheme="minorHAnsi"/>
          <w:sz w:val="22"/>
          <w:szCs w:val="22"/>
          <w:lang w:eastAsia="en-US"/>
        </w:rPr>
        <w:t>нии права собственности на нежилое помещение, причем данное требование рассматривалось к лицу, которое находилось в процед</w:t>
      </w:r>
      <w:r w:rsidRPr="00EC1A78">
        <w:rPr>
          <w:rFonts w:eastAsiaTheme="minorHAnsi"/>
          <w:sz w:val="22"/>
          <w:szCs w:val="22"/>
          <w:lang w:eastAsia="en-US"/>
        </w:rPr>
        <w:t>у</w:t>
      </w:r>
      <w:r w:rsidRPr="00EC1A78">
        <w:rPr>
          <w:rFonts w:eastAsiaTheme="minorHAnsi"/>
          <w:sz w:val="22"/>
          <w:szCs w:val="22"/>
          <w:lang w:eastAsia="en-US"/>
        </w:rPr>
        <w:t>ре банкротства. Президиум установил, что данное требование о признании права собственности на нежилое помещение может быть удовлетворено, а следовательно заявитель имеет право претенд</w:t>
      </w:r>
      <w:r w:rsidRPr="00EC1A78">
        <w:rPr>
          <w:rFonts w:eastAsiaTheme="minorHAnsi"/>
          <w:sz w:val="22"/>
          <w:szCs w:val="22"/>
          <w:lang w:eastAsia="en-US"/>
        </w:rPr>
        <w:t>о</w:t>
      </w:r>
      <w:r w:rsidRPr="00EC1A78">
        <w:rPr>
          <w:rFonts w:eastAsiaTheme="minorHAnsi"/>
          <w:sz w:val="22"/>
          <w:szCs w:val="22"/>
          <w:lang w:eastAsia="en-US"/>
        </w:rPr>
        <w:t>вать на указанное недвижимое имущество и вправе требовать вын</w:t>
      </w:r>
      <w:r w:rsidRPr="00EC1A78">
        <w:rPr>
          <w:rFonts w:eastAsiaTheme="minorHAnsi"/>
          <w:sz w:val="22"/>
          <w:szCs w:val="22"/>
          <w:lang w:eastAsia="en-US"/>
        </w:rPr>
        <w:t>е</w:t>
      </w:r>
      <w:r w:rsidRPr="00EC1A78">
        <w:rPr>
          <w:rFonts w:eastAsiaTheme="minorHAnsi"/>
          <w:sz w:val="22"/>
          <w:szCs w:val="22"/>
          <w:lang w:eastAsia="en-US"/>
        </w:rPr>
        <w:t>сения судебного решения о государственной регистрации перехода права собственности. Данное постановление трактовалось судами как аналогия применения норм, установленных к удовлетворению требований о признании права собственности на жилое помещение согласно ст. 201.8 и п. 3 ст. 201.11 ФЗ О банкротстве [1]. Однако стоит отметить важный аспект, при котором признание права со</w:t>
      </w:r>
      <w:r w:rsidRPr="00EC1A78">
        <w:rPr>
          <w:rFonts w:eastAsiaTheme="minorHAnsi"/>
          <w:sz w:val="22"/>
          <w:szCs w:val="22"/>
          <w:lang w:eastAsia="en-US"/>
        </w:rPr>
        <w:t>б</w:t>
      </w:r>
      <w:r w:rsidRPr="00EC1A78">
        <w:rPr>
          <w:rFonts w:eastAsiaTheme="minorHAnsi"/>
          <w:sz w:val="22"/>
          <w:szCs w:val="22"/>
          <w:lang w:eastAsia="en-US"/>
        </w:rPr>
        <w:t xml:space="preserve">ственности на нежилое помещение оказалось возможным в данном деле.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Данная процедура была предусмотрена планом – строительство объекта начиналось во внешнем управлении. Данное обстоятел</w:t>
      </w:r>
      <w:r w:rsidRPr="00EC1A78">
        <w:rPr>
          <w:rFonts w:eastAsiaTheme="minorHAnsi"/>
          <w:sz w:val="22"/>
          <w:szCs w:val="22"/>
          <w:lang w:eastAsia="en-US"/>
        </w:rPr>
        <w:t>ь</w:t>
      </w:r>
      <w:r w:rsidRPr="00EC1A78">
        <w:rPr>
          <w:rFonts w:eastAsiaTheme="minorHAnsi"/>
          <w:sz w:val="22"/>
          <w:szCs w:val="22"/>
          <w:lang w:eastAsia="en-US"/>
        </w:rPr>
        <w:t xml:space="preserve">ство позволяет говорить о том, что характер требований указанного кредитора согласно ст. 5 ФЗ О банкротстве носит характер текущих.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Что касается характера требований о передачи нежилых пом</w:t>
      </w:r>
      <w:r w:rsidRPr="00EC1A78">
        <w:rPr>
          <w:rFonts w:eastAsiaTheme="minorHAnsi"/>
          <w:sz w:val="22"/>
          <w:szCs w:val="22"/>
          <w:lang w:eastAsia="en-US"/>
        </w:rPr>
        <w:t>е</w:t>
      </w:r>
      <w:r w:rsidRPr="00EC1A78">
        <w:rPr>
          <w:rFonts w:eastAsiaTheme="minorHAnsi"/>
          <w:sz w:val="22"/>
          <w:szCs w:val="22"/>
          <w:lang w:eastAsia="en-US"/>
        </w:rPr>
        <w:t>щений при банкротстве застройщика, возникших по обязател</w:t>
      </w:r>
      <w:r w:rsidRPr="00EC1A78">
        <w:rPr>
          <w:rFonts w:eastAsiaTheme="minorHAnsi"/>
          <w:sz w:val="22"/>
          <w:szCs w:val="22"/>
          <w:lang w:eastAsia="en-US"/>
        </w:rPr>
        <w:t>ь</w:t>
      </w:r>
      <w:r w:rsidRPr="00EC1A78">
        <w:rPr>
          <w:rFonts w:eastAsiaTheme="minorHAnsi"/>
          <w:sz w:val="22"/>
          <w:szCs w:val="22"/>
          <w:lang w:eastAsia="en-US"/>
        </w:rPr>
        <w:t>ственным договорам до момента признания застройщика банкр</w:t>
      </w:r>
      <w:r w:rsidRPr="00EC1A78">
        <w:rPr>
          <w:rFonts w:eastAsiaTheme="minorHAnsi"/>
          <w:sz w:val="22"/>
          <w:szCs w:val="22"/>
          <w:lang w:eastAsia="en-US"/>
        </w:rPr>
        <w:t>о</w:t>
      </w:r>
      <w:r w:rsidRPr="00EC1A78">
        <w:rPr>
          <w:rFonts w:eastAsiaTheme="minorHAnsi"/>
          <w:sz w:val="22"/>
          <w:szCs w:val="22"/>
          <w:lang w:eastAsia="en-US"/>
        </w:rPr>
        <w:t>том, то в данном случае необходимо исходить из общих положений ФЗ О банкротстве. Так, еще Постановление Пленума ВАС РФ от 15 декабря 2004 года № 29 установило, что для определения наличия признаков банкротства должника могут учитываться соответств</w:t>
      </w:r>
      <w:r w:rsidRPr="00EC1A78">
        <w:rPr>
          <w:rFonts w:eastAsiaTheme="minorHAnsi"/>
          <w:sz w:val="22"/>
          <w:szCs w:val="22"/>
          <w:lang w:eastAsia="en-US"/>
        </w:rPr>
        <w:t>у</w:t>
      </w:r>
      <w:r w:rsidRPr="00EC1A78">
        <w:rPr>
          <w:rFonts w:eastAsiaTheme="minorHAnsi"/>
          <w:sz w:val="22"/>
          <w:szCs w:val="22"/>
          <w:lang w:eastAsia="en-US"/>
        </w:rPr>
        <w:lastRenderedPageBreak/>
        <w:t>ющие суммы, взысканные судом вместо причитавшегося кредитору исполнения обязательства в натуре. Такие требования кредиторов включаются в реестр требований кредиторов в качестве требований конкурсных кредиторов . Однако проблема возникла в том, что конкурсный кредитор, как лицо, участвующее в деле о банкротстве в силу ст. 2 ФЗ О банкротстве, – это кредитор, имеющий требование денежного характера. Вследствие этого, проблема определения ст</w:t>
      </w:r>
      <w:r w:rsidRPr="00EC1A78">
        <w:rPr>
          <w:rFonts w:eastAsiaTheme="minorHAnsi"/>
          <w:sz w:val="22"/>
          <w:szCs w:val="22"/>
          <w:lang w:eastAsia="en-US"/>
        </w:rPr>
        <w:t>а</w:t>
      </w:r>
      <w:r w:rsidRPr="00EC1A78">
        <w:rPr>
          <w:rFonts w:eastAsiaTheme="minorHAnsi"/>
          <w:sz w:val="22"/>
          <w:szCs w:val="22"/>
          <w:lang w:eastAsia="en-US"/>
        </w:rPr>
        <w:t>туса кредитора с требованиями не денежного характера был дост</w:t>
      </w:r>
      <w:r w:rsidRPr="00EC1A78">
        <w:rPr>
          <w:rFonts w:eastAsiaTheme="minorHAnsi"/>
          <w:sz w:val="22"/>
          <w:szCs w:val="22"/>
          <w:lang w:eastAsia="en-US"/>
        </w:rPr>
        <w:t>а</w:t>
      </w:r>
      <w:r w:rsidRPr="00EC1A78">
        <w:rPr>
          <w:rFonts w:eastAsiaTheme="minorHAnsi"/>
          <w:sz w:val="22"/>
          <w:szCs w:val="22"/>
          <w:lang w:eastAsia="en-US"/>
        </w:rPr>
        <w:t>точно долго не урегулирован ни законодательством, ни судебной практикой. Однако указанное Постановление в то же время уст</w:t>
      </w:r>
      <w:r w:rsidRPr="00EC1A78">
        <w:rPr>
          <w:rFonts w:eastAsiaTheme="minorHAnsi"/>
          <w:sz w:val="22"/>
          <w:szCs w:val="22"/>
          <w:lang w:eastAsia="en-US"/>
        </w:rPr>
        <w:t>а</w:t>
      </w:r>
      <w:r w:rsidRPr="00EC1A78">
        <w:rPr>
          <w:rFonts w:eastAsiaTheme="minorHAnsi"/>
          <w:sz w:val="22"/>
          <w:szCs w:val="22"/>
          <w:lang w:eastAsia="en-US"/>
        </w:rPr>
        <w:t>навливало возможность участия данного кредитора в рамках дела о банкротстве, однако с иным характером требований. Так, чтобы кредитор с требованиями не денежного характера мог участвовать в деле о банкротстве,  ему необходимо в рамках заявленных требов</w:t>
      </w:r>
      <w:r w:rsidRPr="00EC1A78">
        <w:rPr>
          <w:rFonts w:eastAsiaTheme="minorHAnsi"/>
          <w:sz w:val="22"/>
          <w:szCs w:val="22"/>
          <w:lang w:eastAsia="en-US"/>
        </w:rPr>
        <w:t>а</w:t>
      </w:r>
      <w:r w:rsidRPr="00EC1A78">
        <w:rPr>
          <w:rFonts w:eastAsiaTheme="minorHAnsi"/>
          <w:sz w:val="22"/>
          <w:szCs w:val="22"/>
          <w:lang w:eastAsia="en-US"/>
        </w:rPr>
        <w:t xml:space="preserve">ний об исполнении обязательства в натуре, в случае невозможности исполнения таких обязательств в натуре, произвести замену способа исполнения на требования денежного характера.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Однако возникает вопрос, что делать с таким требованием, к</w:t>
      </w:r>
      <w:r w:rsidRPr="00EC1A78">
        <w:rPr>
          <w:rFonts w:eastAsiaTheme="minorHAnsi"/>
          <w:sz w:val="22"/>
          <w:szCs w:val="22"/>
          <w:lang w:eastAsia="en-US"/>
        </w:rPr>
        <w:t>о</w:t>
      </w:r>
      <w:r w:rsidRPr="00EC1A78">
        <w:rPr>
          <w:rFonts w:eastAsiaTheme="minorHAnsi"/>
          <w:sz w:val="22"/>
          <w:szCs w:val="22"/>
          <w:lang w:eastAsia="en-US"/>
        </w:rPr>
        <w:t>гда возможно исполнить обязательство в натуре. Данный вопрос был не урегулированным вплоть до 2012 года, когда Пленум ВАС РФ в своем Постановлении от 22.06.2012 года № 35 «О некоторых процессуальных вопросах, связанных с рассмотрением дел о бан</w:t>
      </w:r>
      <w:r w:rsidRPr="00EC1A78">
        <w:rPr>
          <w:rFonts w:eastAsiaTheme="minorHAnsi"/>
          <w:sz w:val="22"/>
          <w:szCs w:val="22"/>
          <w:lang w:eastAsia="en-US"/>
        </w:rPr>
        <w:t>к</w:t>
      </w:r>
      <w:r w:rsidRPr="00EC1A78">
        <w:rPr>
          <w:rFonts w:eastAsiaTheme="minorHAnsi"/>
          <w:sz w:val="22"/>
          <w:szCs w:val="22"/>
          <w:lang w:eastAsia="en-US"/>
        </w:rPr>
        <w:t>ротстве» определил статус денежных требований кредиторов в ра</w:t>
      </w:r>
      <w:r w:rsidRPr="00EC1A78">
        <w:rPr>
          <w:rFonts w:eastAsiaTheme="minorHAnsi"/>
          <w:sz w:val="22"/>
          <w:szCs w:val="22"/>
          <w:lang w:eastAsia="en-US"/>
        </w:rPr>
        <w:t>м</w:t>
      </w:r>
      <w:r w:rsidRPr="00EC1A78">
        <w:rPr>
          <w:rFonts w:eastAsiaTheme="minorHAnsi"/>
          <w:sz w:val="22"/>
          <w:szCs w:val="22"/>
          <w:lang w:eastAsia="en-US"/>
        </w:rPr>
        <w:t>ках дела о банкротстве. Так, п. 34 соответствующего Постановления регламентирует, что с даты принятия судом решения о признании должника банкротом все требования кредиторов по денежным об</w:t>
      </w:r>
      <w:r w:rsidRPr="00EC1A78">
        <w:rPr>
          <w:rFonts w:eastAsiaTheme="minorHAnsi"/>
          <w:sz w:val="22"/>
          <w:szCs w:val="22"/>
          <w:lang w:eastAsia="en-US"/>
        </w:rPr>
        <w:t>я</w:t>
      </w:r>
      <w:r w:rsidRPr="00EC1A78">
        <w:rPr>
          <w:rFonts w:eastAsiaTheme="minorHAnsi"/>
          <w:sz w:val="22"/>
          <w:szCs w:val="22"/>
          <w:lang w:eastAsia="en-US"/>
        </w:rPr>
        <w:t>зательствам, об уплате обязательных платежей, иные имуществе</w:t>
      </w:r>
      <w:r w:rsidRPr="00EC1A78">
        <w:rPr>
          <w:rFonts w:eastAsiaTheme="minorHAnsi"/>
          <w:sz w:val="22"/>
          <w:szCs w:val="22"/>
          <w:lang w:eastAsia="en-US"/>
        </w:rPr>
        <w:t>н</w:t>
      </w:r>
      <w:r w:rsidRPr="00EC1A78">
        <w:rPr>
          <w:rFonts w:eastAsiaTheme="minorHAnsi"/>
          <w:sz w:val="22"/>
          <w:szCs w:val="22"/>
          <w:lang w:eastAsia="en-US"/>
        </w:rPr>
        <w:t>ные требования &lt;…&gt; могут быть предъявлены только в ходе ко</w:t>
      </w:r>
      <w:r w:rsidRPr="00EC1A78">
        <w:rPr>
          <w:rFonts w:eastAsiaTheme="minorHAnsi"/>
          <w:sz w:val="22"/>
          <w:szCs w:val="22"/>
          <w:lang w:eastAsia="en-US"/>
        </w:rPr>
        <w:t>н</w:t>
      </w:r>
      <w:r w:rsidRPr="00EC1A78">
        <w:rPr>
          <w:rFonts w:eastAsiaTheme="minorHAnsi"/>
          <w:sz w:val="22"/>
          <w:szCs w:val="22"/>
          <w:lang w:eastAsia="en-US"/>
        </w:rPr>
        <w:t>курсного производства. В ходе конкурсного производства подлежат предъявлению только в деле о банкротстве также возникшие до эт</w:t>
      </w:r>
      <w:r w:rsidRPr="00EC1A78">
        <w:rPr>
          <w:rFonts w:eastAsiaTheme="minorHAnsi"/>
          <w:sz w:val="22"/>
          <w:szCs w:val="22"/>
          <w:lang w:eastAsia="en-US"/>
        </w:rPr>
        <w:t>о</w:t>
      </w:r>
      <w:r w:rsidRPr="00EC1A78">
        <w:rPr>
          <w:rFonts w:eastAsiaTheme="minorHAnsi"/>
          <w:sz w:val="22"/>
          <w:szCs w:val="22"/>
          <w:lang w:eastAsia="en-US"/>
        </w:rPr>
        <w:t>го дела требования кредиторов по неденежным обязательствам[2]. Таким образом, п. 1 ст. 126 ФЗ О банкротстве и п. 34 Постановл</w:t>
      </w:r>
      <w:r w:rsidRPr="00EC1A78">
        <w:rPr>
          <w:rFonts w:eastAsiaTheme="minorHAnsi"/>
          <w:sz w:val="22"/>
          <w:szCs w:val="22"/>
          <w:lang w:eastAsia="en-US"/>
        </w:rPr>
        <w:t>е</w:t>
      </w:r>
      <w:r w:rsidRPr="00EC1A78">
        <w:rPr>
          <w:rFonts w:eastAsiaTheme="minorHAnsi"/>
          <w:sz w:val="22"/>
          <w:szCs w:val="22"/>
          <w:lang w:eastAsia="en-US"/>
        </w:rPr>
        <w:t>ния Пленума от 22.06.2012 года № 35 в виде исключения не пред</w:t>
      </w:r>
      <w:r w:rsidRPr="00EC1A78">
        <w:rPr>
          <w:rFonts w:eastAsiaTheme="minorHAnsi"/>
          <w:sz w:val="22"/>
          <w:szCs w:val="22"/>
          <w:lang w:eastAsia="en-US"/>
        </w:rPr>
        <w:t>у</w:t>
      </w:r>
      <w:r w:rsidRPr="00EC1A78">
        <w:rPr>
          <w:rFonts w:eastAsiaTheme="minorHAnsi"/>
          <w:sz w:val="22"/>
          <w:szCs w:val="22"/>
          <w:lang w:eastAsia="en-US"/>
        </w:rPr>
        <w:t>сматривает требований неденежного характера о передаче имущ</w:t>
      </w:r>
      <w:r w:rsidRPr="00EC1A78">
        <w:rPr>
          <w:rFonts w:eastAsiaTheme="minorHAnsi"/>
          <w:sz w:val="22"/>
          <w:szCs w:val="22"/>
          <w:lang w:eastAsia="en-US"/>
        </w:rPr>
        <w:t>е</w:t>
      </w:r>
      <w:r w:rsidRPr="00EC1A78">
        <w:rPr>
          <w:rFonts w:eastAsiaTheme="minorHAnsi"/>
          <w:sz w:val="22"/>
          <w:szCs w:val="22"/>
          <w:lang w:eastAsia="en-US"/>
        </w:rPr>
        <w:t>ства в собственность, а значит такие требования могут и должны быть предъявлены с момента признания должника банкротом  тол</w:t>
      </w:r>
      <w:r w:rsidRPr="00EC1A78">
        <w:rPr>
          <w:rFonts w:eastAsiaTheme="minorHAnsi"/>
          <w:sz w:val="22"/>
          <w:szCs w:val="22"/>
          <w:lang w:eastAsia="en-US"/>
        </w:rPr>
        <w:t>ь</w:t>
      </w:r>
      <w:r w:rsidRPr="00EC1A78">
        <w:rPr>
          <w:rFonts w:eastAsiaTheme="minorHAnsi"/>
          <w:sz w:val="22"/>
          <w:szCs w:val="22"/>
          <w:lang w:eastAsia="en-US"/>
        </w:rPr>
        <w:t>ко в рамках конкурсного производства. Таким образом, законод</w:t>
      </w:r>
      <w:r w:rsidRPr="00EC1A78">
        <w:rPr>
          <w:rFonts w:eastAsiaTheme="minorHAnsi"/>
          <w:sz w:val="22"/>
          <w:szCs w:val="22"/>
          <w:lang w:eastAsia="en-US"/>
        </w:rPr>
        <w:t>а</w:t>
      </w:r>
      <w:r w:rsidRPr="00EC1A78">
        <w:rPr>
          <w:rFonts w:eastAsiaTheme="minorHAnsi"/>
          <w:sz w:val="22"/>
          <w:szCs w:val="22"/>
          <w:lang w:eastAsia="en-US"/>
        </w:rPr>
        <w:lastRenderedPageBreak/>
        <w:t xml:space="preserve">тель решил данную проблему, указав, что с момента конкурсного производства участвуют все требования, в том числе и неденежные. </w:t>
      </w:r>
    </w:p>
    <w:p w:rsidR="00EC1A78" w:rsidRPr="00EC1A78" w:rsidRDefault="00EC1A78" w:rsidP="00EC1A78">
      <w:pPr>
        <w:ind w:firstLine="426"/>
        <w:jc w:val="center"/>
        <w:rPr>
          <w:rFonts w:eastAsiaTheme="minorHAnsi"/>
          <w:sz w:val="22"/>
          <w:szCs w:val="22"/>
          <w:lang w:eastAsia="en-US"/>
        </w:rPr>
      </w:pPr>
    </w:p>
    <w:p w:rsidR="00EC1A78" w:rsidRPr="00EC1A78" w:rsidRDefault="00EC1A78" w:rsidP="00EC1A78">
      <w:pPr>
        <w:ind w:firstLine="426"/>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О несостоятельности (банкротстве) : федер. закон № 127–ФЗ от 26 октября 2002 г. в ред. от 29.07.2017 № 281–ФЗ // Собрание законодательства РФ. 2002 г. № 43. Ст. 4190</w:t>
      </w:r>
      <w:r w:rsidRPr="00EC1A78">
        <w:rPr>
          <w:rFonts w:eastAsiaTheme="minorHAnsi"/>
          <w:sz w:val="22"/>
          <w:szCs w:val="22"/>
          <w:lang w:eastAsia="en-US"/>
        </w:rPr>
        <w:tab/>
        <w:t>.</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Правовое регулирование несостоятельности (банкротства): учебник / под общ. ред. Е.С. Юловой. – М.: Издательство Юрайт, 2018. – 413с.</w:t>
      </w:r>
    </w:p>
    <w:p w:rsidR="00EC1A78" w:rsidRDefault="00EC1A78" w:rsidP="00EC1A78">
      <w:pPr>
        <w:jc w:val="both"/>
        <w:rPr>
          <w:rFonts w:eastAsiaTheme="minorHAnsi"/>
          <w:sz w:val="22"/>
          <w:szCs w:val="22"/>
          <w:lang w:eastAsia="en-US"/>
        </w:rPr>
      </w:pPr>
    </w:p>
    <w:p w:rsidR="00723562" w:rsidRPr="00EC1A78" w:rsidRDefault="00723562"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347.2/.3</w:t>
      </w:r>
    </w:p>
    <w:p w:rsidR="00EC1A78" w:rsidRPr="00EC1A78" w:rsidRDefault="00EC1A78" w:rsidP="00EC1A78">
      <w:pPr>
        <w:jc w:val="both"/>
        <w:rPr>
          <w:rFonts w:eastAsiaTheme="minorHAnsi"/>
          <w:b/>
          <w:bCs/>
          <w:sz w:val="22"/>
          <w:szCs w:val="22"/>
          <w:lang w:eastAsia="en-US"/>
        </w:rPr>
      </w:pPr>
    </w:p>
    <w:p w:rsidR="00EC1A78" w:rsidRPr="00EC1A78" w:rsidRDefault="00EC1A78" w:rsidP="00EC1A78">
      <w:pPr>
        <w:jc w:val="center"/>
        <w:rPr>
          <w:rFonts w:eastAsiaTheme="minorHAnsi"/>
          <w:b/>
          <w:bCs/>
          <w:sz w:val="24"/>
          <w:szCs w:val="24"/>
          <w:lang w:eastAsia="en-US"/>
        </w:rPr>
      </w:pPr>
      <w:r w:rsidRPr="00EC1A78">
        <w:rPr>
          <w:rFonts w:eastAsiaTheme="minorHAnsi"/>
          <w:b/>
          <w:bCs/>
          <w:sz w:val="24"/>
          <w:szCs w:val="24"/>
          <w:lang w:eastAsia="en-US"/>
        </w:rPr>
        <w:t xml:space="preserve">Способы защиты частной собственности на земельный участок в нормах земельного и жилищного </w:t>
      </w:r>
      <w:r w:rsidR="00723562">
        <w:rPr>
          <w:rFonts w:eastAsiaTheme="minorHAnsi"/>
          <w:b/>
          <w:bCs/>
          <w:sz w:val="24"/>
          <w:szCs w:val="24"/>
          <w:lang w:eastAsia="en-US"/>
        </w:rPr>
        <w:br/>
      </w:r>
      <w:r w:rsidRPr="00EC1A78">
        <w:rPr>
          <w:rFonts w:eastAsiaTheme="minorHAnsi"/>
          <w:b/>
          <w:bCs/>
          <w:sz w:val="24"/>
          <w:szCs w:val="24"/>
          <w:lang w:eastAsia="en-US"/>
        </w:rPr>
        <w:t>законодательства</w:t>
      </w:r>
    </w:p>
    <w:p w:rsidR="00EC1A78" w:rsidRPr="001C6F5C" w:rsidRDefault="00EC1A78" w:rsidP="00EC1A78">
      <w:pPr>
        <w:jc w:val="center"/>
        <w:rPr>
          <w:rFonts w:eastAsiaTheme="minorHAnsi"/>
          <w:b/>
          <w:bCs/>
          <w:sz w:val="24"/>
          <w:szCs w:val="24"/>
          <w:lang w:val="en-US" w:eastAsia="en-US"/>
        </w:rPr>
      </w:pPr>
      <w:r w:rsidRPr="00EC1A78">
        <w:rPr>
          <w:rFonts w:eastAsiaTheme="minorHAnsi"/>
          <w:b/>
          <w:bCs/>
          <w:sz w:val="24"/>
          <w:szCs w:val="24"/>
          <w:lang w:val="en-US" w:eastAsia="en-US"/>
        </w:rPr>
        <w:t>Protection</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methods</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of</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private</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land</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ownership</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in</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the</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norms</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of</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land</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and</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housing</w:t>
      </w:r>
      <w:r w:rsidRPr="001C6F5C">
        <w:rPr>
          <w:rFonts w:eastAsiaTheme="minorHAnsi"/>
          <w:b/>
          <w:bCs/>
          <w:sz w:val="24"/>
          <w:szCs w:val="24"/>
          <w:lang w:val="en-US" w:eastAsia="en-US"/>
        </w:rPr>
        <w:t xml:space="preserve"> </w:t>
      </w:r>
      <w:r w:rsidRPr="00EC1A78">
        <w:rPr>
          <w:rFonts w:eastAsiaTheme="minorHAnsi"/>
          <w:b/>
          <w:bCs/>
          <w:sz w:val="24"/>
          <w:szCs w:val="24"/>
          <w:lang w:val="en-US" w:eastAsia="en-US"/>
        </w:rPr>
        <w:t>law</w:t>
      </w:r>
      <w:r w:rsidRPr="001C6F5C">
        <w:rPr>
          <w:rFonts w:eastAsiaTheme="minorHAnsi"/>
          <w:b/>
          <w:bCs/>
          <w:sz w:val="24"/>
          <w:szCs w:val="24"/>
          <w:lang w:val="en-US" w:eastAsia="en-US"/>
        </w:rPr>
        <w:t>/</w:t>
      </w:r>
      <w:r w:rsidRPr="00EC1A78">
        <w:rPr>
          <w:rFonts w:eastAsiaTheme="minorHAnsi"/>
          <w:b/>
          <w:bCs/>
          <w:sz w:val="24"/>
          <w:szCs w:val="24"/>
          <w:lang w:val="en-US" w:eastAsia="en-US"/>
        </w:rPr>
        <w:t>legislation</w:t>
      </w:r>
    </w:p>
    <w:p w:rsidR="00EC1A78" w:rsidRPr="001C6F5C" w:rsidRDefault="00EC1A78" w:rsidP="00EC1A78">
      <w:pPr>
        <w:jc w:val="both"/>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Филимонов О.</w:t>
      </w:r>
      <w:r w:rsidR="00723562">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Мустафина С.</w:t>
      </w:r>
      <w:r w:rsidR="00723562">
        <w:rPr>
          <w:rFonts w:eastAsiaTheme="minorHAnsi"/>
          <w:sz w:val="22"/>
          <w:szCs w:val="22"/>
          <w:lang w:eastAsia="en-US"/>
        </w:rPr>
        <w:t xml:space="preserve"> </w:t>
      </w:r>
      <w:r w:rsidRPr="00EC1A78">
        <w:rPr>
          <w:rFonts w:eastAsiaTheme="minorHAnsi"/>
          <w:sz w:val="22"/>
          <w:szCs w:val="22"/>
          <w:lang w:eastAsia="en-US"/>
        </w:rPr>
        <w:t>А.</w:t>
      </w:r>
      <w:r w:rsidR="00723562">
        <w:rPr>
          <w:rFonts w:eastAsiaTheme="minorHAnsi"/>
          <w:sz w:val="22"/>
          <w:szCs w:val="22"/>
          <w:lang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ст. преподаватель кафедры земельного,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т</w:t>
      </w:r>
      <w:r w:rsidR="00723562">
        <w:rPr>
          <w:rFonts w:eastAsiaTheme="minorHAnsi"/>
          <w:sz w:val="22"/>
          <w:szCs w:val="22"/>
          <w:lang w:eastAsia="en-US"/>
        </w:rPr>
        <w:t>рудового и экологического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В данной работе рассматриваются способы з</w:t>
      </w:r>
      <w:r w:rsidRPr="00EC1A78">
        <w:rPr>
          <w:rFonts w:eastAsiaTheme="minorHAnsi"/>
          <w:sz w:val="22"/>
          <w:szCs w:val="22"/>
          <w:lang w:eastAsia="en-US"/>
        </w:rPr>
        <w:t>а</w:t>
      </w:r>
      <w:r w:rsidRPr="00EC1A78">
        <w:rPr>
          <w:rFonts w:eastAsiaTheme="minorHAnsi"/>
          <w:sz w:val="22"/>
          <w:szCs w:val="22"/>
          <w:lang w:eastAsia="en-US"/>
        </w:rPr>
        <w:t>щиты земельного участка, находящегося в частной собственности, по законодательству РФ. Данный институт защиты является осн</w:t>
      </w:r>
      <w:r w:rsidRPr="00EC1A78">
        <w:rPr>
          <w:rFonts w:eastAsiaTheme="minorHAnsi"/>
          <w:sz w:val="22"/>
          <w:szCs w:val="22"/>
          <w:lang w:eastAsia="en-US"/>
        </w:rPr>
        <w:t>о</w:t>
      </w:r>
      <w:r w:rsidRPr="00EC1A78">
        <w:rPr>
          <w:rFonts w:eastAsiaTheme="minorHAnsi"/>
          <w:sz w:val="22"/>
          <w:szCs w:val="22"/>
          <w:lang w:eastAsia="en-US"/>
        </w:rPr>
        <w:t>вополагающим в условиях рыночной экономической системы.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ANNOTATION: This article reviewed the protection methods of land plot in private property pursuant to the law of Russian Federation.</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защита, земля, жилище, право.</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protection, land, dwelling, law.</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Защита собственности в современной России является одной из главных составляющих для нормального функционирования общ</w:t>
      </w:r>
      <w:r w:rsidRPr="00EC1A78">
        <w:rPr>
          <w:rFonts w:eastAsiaTheme="minorHAnsi"/>
          <w:sz w:val="22"/>
          <w:szCs w:val="22"/>
          <w:lang w:eastAsia="en-US"/>
        </w:rPr>
        <w:t>е</w:t>
      </w:r>
      <w:r w:rsidRPr="00EC1A78">
        <w:rPr>
          <w:rFonts w:eastAsiaTheme="minorHAnsi"/>
          <w:sz w:val="22"/>
          <w:szCs w:val="22"/>
          <w:lang w:eastAsia="en-US"/>
        </w:rPr>
        <w:t>ства в условиях рыночной экономической системы. Именно в тот момент, когда каждый человек понимает, что у него есть собстве</w:t>
      </w:r>
      <w:r w:rsidRPr="00EC1A78">
        <w:rPr>
          <w:rFonts w:eastAsiaTheme="minorHAnsi"/>
          <w:sz w:val="22"/>
          <w:szCs w:val="22"/>
          <w:lang w:eastAsia="en-US"/>
        </w:rPr>
        <w:t>н</w:t>
      </w:r>
      <w:r w:rsidRPr="00EC1A78">
        <w:rPr>
          <w:rFonts w:eastAsiaTheme="minorHAnsi"/>
          <w:sz w:val="22"/>
          <w:szCs w:val="22"/>
          <w:lang w:eastAsia="en-US"/>
        </w:rPr>
        <w:t>ность и он способен ее защитить легальными методами, достигается нормальное, здоровое функционирование всех остальных общ</w:t>
      </w:r>
      <w:r w:rsidRPr="00EC1A78">
        <w:rPr>
          <w:rFonts w:eastAsiaTheme="minorHAnsi"/>
          <w:sz w:val="22"/>
          <w:szCs w:val="22"/>
          <w:lang w:eastAsia="en-US"/>
        </w:rPr>
        <w:t>е</w:t>
      </w:r>
      <w:r w:rsidRPr="00EC1A78">
        <w:rPr>
          <w:rFonts w:eastAsiaTheme="minorHAnsi"/>
          <w:sz w:val="22"/>
          <w:szCs w:val="22"/>
          <w:lang w:eastAsia="en-US"/>
        </w:rPr>
        <w:t>ственных, государственных институтов и права в частности. Джон Локк считал, что «власть не имеет права взять у кого бы то ни было части его собственности без его согласия, так как люди соединяю</w:t>
      </w:r>
      <w:r w:rsidRPr="00EC1A78">
        <w:rPr>
          <w:rFonts w:eastAsiaTheme="minorHAnsi"/>
          <w:sz w:val="22"/>
          <w:szCs w:val="22"/>
          <w:lang w:eastAsia="en-US"/>
        </w:rPr>
        <w:t>т</w:t>
      </w:r>
      <w:r w:rsidRPr="00EC1A78">
        <w:rPr>
          <w:rFonts w:eastAsiaTheme="minorHAnsi"/>
          <w:sz w:val="22"/>
          <w:szCs w:val="22"/>
          <w:lang w:eastAsia="en-US"/>
        </w:rPr>
        <w:t>ся в общества для охранения собственности» [1, с.917]. Констит</w:t>
      </w:r>
      <w:r w:rsidRPr="00EC1A78">
        <w:rPr>
          <w:rFonts w:eastAsiaTheme="minorHAnsi"/>
          <w:sz w:val="22"/>
          <w:szCs w:val="22"/>
          <w:lang w:eastAsia="en-US"/>
        </w:rPr>
        <w:t>у</w:t>
      </w:r>
      <w:r w:rsidRPr="00EC1A78">
        <w:rPr>
          <w:rFonts w:eastAsiaTheme="minorHAnsi"/>
          <w:sz w:val="22"/>
          <w:szCs w:val="22"/>
          <w:lang w:eastAsia="en-US"/>
        </w:rPr>
        <w:t>ция РФ содержит целый ряд статей, гарантирующих защиту час</w:t>
      </w:r>
      <w:r w:rsidRPr="00EC1A78">
        <w:rPr>
          <w:rFonts w:eastAsiaTheme="minorHAnsi"/>
          <w:sz w:val="22"/>
          <w:szCs w:val="22"/>
          <w:lang w:eastAsia="en-US"/>
        </w:rPr>
        <w:t>т</w:t>
      </w:r>
      <w:r w:rsidRPr="00EC1A78">
        <w:rPr>
          <w:rFonts w:eastAsiaTheme="minorHAnsi"/>
          <w:sz w:val="22"/>
          <w:szCs w:val="22"/>
          <w:lang w:eastAsia="en-US"/>
        </w:rPr>
        <w:t>ной собственности: статья 35, гарантирующая, что частная со</w:t>
      </w:r>
      <w:r w:rsidRPr="00EC1A78">
        <w:rPr>
          <w:rFonts w:eastAsiaTheme="minorHAnsi"/>
          <w:sz w:val="22"/>
          <w:szCs w:val="22"/>
          <w:lang w:eastAsia="en-US"/>
        </w:rPr>
        <w:t>б</w:t>
      </w:r>
      <w:r w:rsidRPr="00EC1A78">
        <w:rPr>
          <w:rFonts w:eastAsiaTheme="minorHAnsi"/>
          <w:sz w:val="22"/>
          <w:szCs w:val="22"/>
          <w:lang w:eastAsia="en-US"/>
        </w:rPr>
        <w:t>ственность охраняется законом и никто не может быть лишен сво</w:t>
      </w:r>
      <w:r w:rsidRPr="00EC1A78">
        <w:rPr>
          <w:rFonts w:eastAsiaTheme="minorHAnsi"/>
          <w:sz w:val="22"/>
          <w:szCs w:val="22"/>
          <w:lang w:eastAsia="en-US"/>
        </w:rPr>
        <w:t>е</w:t>
      </w:r>
      <w:r w:rsidRPr="00EC1A78">
        <w:rPr>
          <w:rFonts w:eastAsiaTheme="minorHAnsi"/>
          <w:sz w:val="22"/>
          <w:szCs w:val="22"/>
          <w:lang w:eastAsia="en-US"/>
        </w:rPr>
        <w:t>го имущества иначе как по решению суда; статья 36, провозглаш</w:t>
      </w:r>
      <w:r w:rsidRPr="00EC1A78">
        <w:rPr>
          <w:rFonts w:eastAsiaTheme="minorHAnsi"/>
          <w:sz w:val="22"/>
          <w:szCs w:val="22"/>
          <w:lang w:eastAsia="en-US"/>
        </w:rPr>
        <w:t>а</w:t>
      </w:r>
      <w:r w:rsidRPr="00EC1A78">
        <w:rPr>
          <w:rFonts w:eastAsiaTheme="minorHAnsi"/>
          <w:sz w:val="22"/>
          <w:szCs w:val="22"/>
          <w:lang w:eastAsia="en-US"/>
        </w:rPr>
        <w:t>ющая возможность граждан и их объединений иметь в частной со</w:t>
      </w:r>
      <w:r w:rsidRPr="00EC1A78">
        <w:rPr>
          <w:rFonts w:eastAsiaTheme="minorHAnsi"/>
          <w:sz w:val="22"/>
          <w:szCs w:val="22"/>
          <w:lang w:eastAsia="en-US"/>
        </w:rPr>
        <w:t>б</w:t>
      </w:r>
      <w:r w:rsidRPr="00EC1A78">
        <w:rPr>
          <w:rFonts w:eastAsiaTheme="minorHAnsi"/>
          <w:sz w:val="22"/>
          <w:szCs w:val="22"/>
          <w:lang w:eastAsia="en-US"/>
        </w:rPr>
        <w:t>ственности землю; статья 46, устанавливающая право каждого на судебную защиту и др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Основным актом в гражданских правоотношениях является Гражданский кодекс РФ, который в статье 130 относит земельные участки и жилые(нежилые) помещения как отдельные объекты гражданских правоотношений. На это указывает также и Уголо</w:t>
      </w:r>
      <w:r w:rsidRPr="00EC1A78">
        <w:rPr>
          <w:rFonts w:eastAsiaTheme="minorHAnsi"/>
          <w:sz w:val="22"/>
          <w:szCs w:val="22"/>
          <w:lang w:eastAsia="en-US"/>
        </w:rPr>
        <w:t>в</w:t>
      </w:r>
      <w:r w:rsidRPr="00EC1A78">
        <w:rPr>
          <w:rFonts w:eastAsiaTheme="minorHAnsi"/>
          <w:sz w:val="22"/>
          <w:szCs w:val="22"/>
          <w:lang w:eastAsia="en-US"/>
        </w:rPr>
        <w:t>ный кодекс РФ — в статье о разбое. Защита нарушенных или осп</w:t>
      </w:r>
      <w:r w:rsidRPr="00EC1A78">
        <w:rPr>
          <w:rFonts w:eastAsiaTheme="minorHAnsi"/>
          <w:sz w:val="22"/>
          <w:szCs w:val="22"/>
          <w:lang w:eastAsia="en-US"/>
        </w:rPr>
        <w:t>о</w:t>
      </w:r>
      <w:r w:rsidRPr="00EC1A78">
        <w:rPr>
          <w:rFonts w:eastAsiaTheme="minorHAnsi"/>
          <w:sz w:val="22"/>
          <w:szCs w:val="22"/>
          <w:lang w:eastAsia="en-US"/>
        </w:rPr>
        <w:t>римых гражданских прав осуществляется в судебном и, в случаях, предусмотренных законом, в административном порядках — ст. 11 ГК РФ[3]. В ст. 12 указан не исчерпывающий перечень способов защиты гражданских прав. Среди них необходимо выделить: пр</w:t>
      </w:r>
      <w:r w:rsidRPr="00EC1A78">
        <w:rPr>
          <w:rFonts w:eastAsiaTheme="minorHAnsi"/>
          <w:sz w:val="22"/>
          <w:szCs w:val="22"/>
          <w:lang w:eastAsia="en-US"/>
        </w:rPr>
        <w:t>и</w:t>
      </w:r>
      <w:r w:rsidRPr="00EC1A78">
        <w:rPr>
          <w:rFonts w:eastAsiaTheme="minorHAnsi"/>
          <w:sz w:val="22"/>
          <w:szCs w:val="22"/>
          <w:lang w:eastAsia="en-US"/>
        </w:rPr>
        <w:t>знание права; восстановление права, существующего до нарушения права; признание недействительным акта государственного органа власти. Отраслевые акты также имеют положения о защите права частной собственности на земельный участок. Так, Земельный к</w:t>
      </w:r>
      <w:r w:rsidRPr="00EC1A78">
        <w:rPr>
          <w:rFonts w:eastAsiaTheme="minorHAnsi"/>
          <w:sz w:val="22"/>
          <w:szCs w:val="22"/>
          <w:lang w:eastAsia="en-US"/>
        </w:rPr>
        <w:t>о</w:t>
      </w:r>
      <w:r w:rsidRPr="00EC1A78">
        <w:rPr>
          <w:rFonts w:eastAsiaTheme="minorHAnsi"/>
          <w:sz w:val="22"/>
          <w:szCs w:val="22"/>
          <w:lang w:eastAsia="en-US"/>
        </w:rPr>
        <w:t>декс РФ в главе 9  имеет ряд статей, посвященных защите права: ст. 59 — признание права собственности на земельный участок; ст. 60 — восстановление положения до нарушения права; ст. 61 — пр</w:t>
      </w:r>
      <w:r w:rsidRPr="00EC1A78">
        <w:rPr>
          <w:rFonts w:eastAsiaTheme="minorHAnsi"/>
          <w:sz w:val="22"/>
          <w:szCs w:val="22"/>
          <w:lang w:eastAsia="en-US"/>
        </w:rPr>
        <w:t>и</w:t>
      </w:r>
      <w:r w:rsidRPr="00EC1A78">
        <w:rPr>
          <w:rFonts w:eastAsiaTheme="minorHAnsi"/>
          <w:sz w:val="22"/>
          <w:szCs w:val="22"/>
          <w:lang w:eastAsia="en-US"/>
        </w:rPr>
        <w:t>знание недействительными акты органов государственной власти; ст. 62 — возмещение убытков. ЗК РФ гарантирует не только суде</w:t>
      </w:r>
      <w:r w:rsidRPr="00EC1A78">
        <w:rPr>
          <w:rFonts w:eastAsiaTheme="minorHAnsi"/>
          <w:sz w:val="22"/>
          <w:szCs w:val="22"/>
          <w:lang w:eastAsia="en-US"/>
        </w:rPr>
        <w:t>б</w:t>
      </w:r>
      <w:r w:rsidRPr="00EC1A78">
        <w:rPr>
          <w:rFonts w:eastAsiaTheme="minorHAnsi"/>
          <w:sz w:val="22"/>
          <w:szCs w:val="22"/>
          <w:lang w:eastAsia="en-US"/>
        </w:rPr>
        <w:t>ную защиту, осуществляемую в рамках гражданского, либо арби</w:t>
      </w:r>
      <w:r w:rsidRPr="00EC1A78">
        <w:rPr>
          <w:rFonts w:eastAsiaTheme="minorHAnsi"/>
          <w:sz w:val="22"/>
          <w:szCs w:val="22"/>
          <w:lang w:eastAsia="en-US"/>
        </w:rPr>
        <w:t>т</w:t>
      </w:r>
      <w:r w:rsidRPr="00EC1A78">
        <w:rPr>
          <w:rFonts w:eastAsiaTheme="minorHAnsi"/>
          <w:sz w:val="22"/>
          <w:szCs w:val="22"/>
          <w:lang w:eastAsia="en-US"/>
        </w:rPr>
        <w:t xml:space="preserve">ражного судопроизводства, но и административный порядок [4]. Например в Приказе Росреестра от 23.11.216 № П/0569 пп. 4 п. 2 ст. </w:t>
      </w:r>
      <w:r w:rsidRPr="00EC1A78">
        <w:rPr>
          <w:rFonts w:eastAsiaTheme="minorHAnsi"/>
          <w:sz w:val="22"/>
          <w:szCs w:val="22"/>
          <w:lang w:eastAsia="en-US"/>
        </w:rPr>
        <w:lastRenderedPageBreak/>
        <w:t>60 ЗК РФ содержится в перечне актов, обязательных для примен</w:t>
      </w:r>
      <w:r w:rsidRPr="00EC1A78">
        <w:rPr>
          <w:rFonts w:eastAsiaTheme="minorHAnsi"/>
          <w:sz w:val="22"/>
          <w:szCs w:val="22"/>
          <w:lang w:eastAsia="en-US"/>
        </w:rPr>
        <w:t>е</w:t>
      </w:r>
      <w:r w:rsidRPr="00EC1A78">
        <w:rPr>
          <w:rFonts w:eastAsiaTheme="minorHAnsi"/>
          <w:sz w:val="22"/>
          <w:szCs w:val="22"/>
          <w:lang w:eastAsia="en-US"/>
        </w:rPr>
        <w:t>ния, при осуществлении государственного надзора. Жилищный к</w:t>
      </w:r>
      <w:r w:rsidRPr="00EC1A78">
        <w:rPr>
          <w:rFonts w:eastAsiaTheme="minorHAnsi"/>
          <w:sz w:val="22"/>
          <w:szCs w:val="22"/>
          <w:lang w:eastAsia="en-US"/>
        </w:rPr>
        <w:t>о</w:t>
      </w:r>
      <w:r w:rsidRPr="00EC1A78">
        <w:rPr>
          <w:rFonts w:eastAsiaTheme="minorHAnsi"/>
          <w:sz w:val="22"/>
          <w:szCs w:val="22"/>
          <w:lang w:eastAsia="en-US"/>
        </w:rPr>
        <w:t>декс РФ в ст. 11гарантирует и указывает перечень, по которому возможна защита права [5]. Защита прав возможна как в судебном, так и в административном порядке. Защита возможна в случае пр</w:t>
      </w:r>
      <w:r w:rsidRPr="00EC1A78">
        <w:rPr>
          <w:rFonts w:eastAsiaTheme="minorHAnsi"/>
          <w:sz w:val="22"/>
          <w:szCs w:val="22"/>
          <w:lang w:eastAsia="en-US"/>
        </w:rPr>
        <w:t>и</w:t>
      </w:r>
      <w:r w:rsidRPr="00EC1A78">
        <w:rPr>
          <w:rFonts w:eastAsiaTheme="minorHAnsi"/>
          <w:sz w:val="22"/>
          <w:szCs w:val="22"/>
          <w:lang w:eastAsia="en-US"/>
        </w:rPr>
        <w:t>знания жилищного права, восстановления существовавшего пол</w:t>
      </w:r>
      <w:r w:rsidRPr="00EC1A78">
        <w:rPr>
          <w:rFonts w:eastAsiaTheme="minorHAnsi"/>
          <w:sz w:val="22"/>
          <w:szCs w:val="22"/>
          <w:lang w:eastAsia="en-US"/>
        </w:rPr>
        <w:t>о</w:t>
      </w:r>
      <w:r w:rsidRPr="00EC1A78">
        <w:rPr>
          <w:rFonts w:eastAsiaTheme="minorHAnsi"/>
          <w:sz w:val="22"/>
          <w:szCs w:val="22"/>
          <w:lang w:eastAsia="en-US"/>
        </w:rPr>
        <w:t>жения, признания судом недействительным акта государственной власти и иные.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выше перечисленного и принимая во внимание П</w:t>
      </w:r>
      <w:r w:rsidRPr="00EC1A78">
        <w:rPr>
          <w:rFonts w:eastAsiaTheme="minorHAnsi"/>
          <w:sz w:val="22"/>
          <w:szCs w:val="22"/>
          <w:lang w:eastAsia="en-US"/>
        </w:rPr>
        <w:t>о</w:t>
      </w:r>
      <w:r w:rsidRPr="00EC1A78">
        <w:rPr>
          <w:rFonts w:eastAsiaTheme="minorHAnsi"/>
          <w:sz w:val="22"/>
          <w:szCs w:val="22"/>
          <w:lang w:eastAsia="en-US"/>
        </w:rPr>
        <w:t>становление Пленума ВС РФ от 02.07.2009 №14, можно сделать в</w:t>
      </w:r>
      <w:r w:rsidRPr="00EC1A78">
        <w:rPr>
          <w:rFonts w:eastAsiaTheme="minorHAnsi"/>
          <w:sz w:val="22"/>
          <w:szCs w:val="22"/>
          <w:lang w:eastAsia="en-US"/>
        </w:rPr>
        <w:t>ы</w:t>
      </w:r>
      <w:r w:rsidRPr="00EC1A78">
        <w:rPr>
          <w:rFonts w:eastAsiaTheme="minorHAnsi"/>
          <w:sz w:val="22"/>
          <w:szCs w:val="22"/>
          <w:lang w:eastAsia="en-US"/>
        </w:rPr>
        <w:t>вод о том, что основным, к сожалению, способом защиты наруше</w:t>
      </w:r>
      <w:r w:rsidRPr="00EC1A78">
        <w:rPr>
          <w:rFonts w:eastAsiaTheme="minorHAnsi"/>
          <w:sz w:val="22"/>
          <w:szCs w:val="22"/>
          <w:lang w:eastAsia="en-US"/>
        </w:rPr>
        <w:t>н</w:t>
      </w:r>
      <w:r w:rsidRPr="00EC1A78">
        <w:rPr>
          <w:rFonts w:eastAsiaTheme="minorHAnsi"/>
          <w:sz w:val="22"/>
          <w:szCs w:val="22"/>
          <w:lang w:eastAsia="en-US"/>
        </w:rPr>
        <w:t>ного права на земельный участок, является судебная защита. Защ</w:t>
      </w:r>
      <w:r w:rsidRPr="00EC1A78">
        <w:rPr>
          <w:rFonts w:eastAsiaTheme="minorHAnsi"/>
          <w:sz w:val="22"/>
          <w:szCs w:val="22"/>
          <w:lang w:eastAsia="en-US"/>
        </w:rPr>
        <w:t>и</w:t>
      </w:r>
      <w:r w:rsidRPr="00EC1A78">
        <w:rPr>
          <w:rFonts w:eastAsiaTheme="minorHAnsi"/>
          <w:sz w:val="22"/>
          <w:szCs w:val="22"/>
          <w:lang w:eastAsia="en-US"/>
        </w:rPr>
        <w:t>та от преступных посягательств также неэффективна, так как, например, ст. 162 УК РФ и Постановление Пленума ВС РФ от 27.12.2002 № 29 дают право защиты именно жилого помещения. До того, как злоумышленник не проник в жилое помещение, но нах</w:t>
      </w:r>
      <w:r w:rsidRPr="00EC1A78">
        <w:rPr>
          <w:rFonts w:eastAsiaTheme="minorHAnsi"/>
          <w:sz w:val="22"/>
          <w:szCs w:val="22"/>
          <w:lang w:eastAsia="en-US"/>
        </w:rPr>
        <w:t>о</w:t>
      </w:r>
      <w:r w:rsidRPr="00EC1A78">
        <w:rPr>
          <w:rFonts w:eastAsiaTheme="minorHAnsi"/>
          <w:sz w:val="22"/>
          <w:szCs w:val="22"/>
          <w:lang w:eastAsia="en-US"/>
        </w:rPr>
        <w:t>дится на территории земельного участка, он не совершает никакого правонарушения. Такой нормы нет. Таким образом, необходимо принятие ряда законов, позволяющих собственникам земельных участков и жилых/нежилых помещений предупреждать совершение правонарушений и тем более преступлений без обращения в прав</w:t>
      </w:r>
      <w:r w:rsidRPr="00EC1A78">
        <w:rPr>
          <w:rFonts w:eastAsiaTheme="minorHAnsi"/>
          <w:sz w:val="22"/>
          <w:szCs w:val="22"/>
          <w:lang w:eastAsia="en-US"/>
        </w:rPr>
        <w:t>о</w:t>
      </w:r>
      <w:r w:rsidRPr="00EC1A78">
        <w:rPr>
          <w:rFonts w:eastAsiaTheme="minorHAnsi"/>
          <w:sz w:val="22"/>
          <w:szCs w:val="22"/>
          <w:lang w:eastAsia="en-US"/>
        </w:rPr>
        <w:t>охранительные органы, органы государственной власти и суд.</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Энциклопедический словарь, Брокгауз–Ефрон. СПб. т.17а.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Конституция РФ. СЗРФ, 04.08.2014, № 31.</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ГК РФ от 30.11.1994 № 51–ФЗ. СЗРФ, 05.12.1994, № 32.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Земельный кодекс РФ от 25.10.2001 № 136–ФЗ. СЗРФ, 29.10.2001, № 44.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Жилищный кодекс РФ от 29.12.2004 № 188–ФЗ. СЗРФ, 03.01.2005, № 1.</w:t>
      </w:r>
    </w:p>
    <w:p w:rsidR="00EC1A78" w:rsidRDefault="00EC1A78" w:rsidP="00EC1A78">
      <w:pPr>
        <w:jc w:val="both"/>
        <w:rPr>
          <w:rFonts w:eastAsiaTheme="minorHAnsi"/>
          <w:sz w:val="22"/>
          <w:szCs w:val="22"/>
          <w:lang w:eastAsia="en-US"/>
        </w:rPr>
      </w:pPr>
    </w:p>
    <w:p w:rsidR="00723562" w:rsidRDefault="00723562" w:rsidP="00EC1A78">
      <w:pPr>
        <w:jc w:val="both"/>
        <w:rPr>
          <w:rFonts w:eastAsiaTheme="minorHAnsi"/>
          <w:sz w:val="22"/>
          <w:szCs w:val="22"/>
          <w:lang w:eastAsia="en-US"/>
        </w:rPr>
      </w:pPr>
    </w:p>
    <w:p w:rsidR="002B3A7B" w:rsidRDefault="002B3A7B" w:rsidP="00EC1A78">
      <w:pPr>
        <w:jc w:val="both"/>
        <w:rPr>
          <w:rFonts w:eastAsiaTheme="minorHAnsi"/>
          <w:sz w:val="22"/>
          <w:szCs w:val="22"/>
          <w:lang w:eastAsia="en-US"/>
        </w:rPr>
      </w:pPr>
    </w:p>
    <w:p w:rsidR="002B3A7B" w:rsidRDefault="002B3A7B" w:rsidP="00EC1A78">
      <w:pPr>
        <w:jc w:val="both"/>
        <w:rPr>
          <w:rFonts w:eastAsiaTheme="minorHAnsi"/>
          <w:sz w:val="22"/>
          <w:szCs w:val="22"/>
          <w:lang w:eastAsia="en-US"/>
        </w:rPr>
      </w:pPr>
    </w:p>
    <w:p w:rsidR="002B3A7B" w:rsidRDefault="002B3A7B" w:rsidP="00EC1A78">
      <w:pPr>
        <w:jc w:val="both"/>
        <w:rPr>
          <w:rFonts w:eastAsiaTheme="minorHAnsi"/>
          <w:sz w:val="22"/>
          <w:szCs w:val="22"/>
          <w:lang w:eastAsia="en-US"/>
        </w:rPr>
      </w:pPr>
    </w:p>
    <w:p w:rsidR="002B3A7B" w:rsidRDefault="002B3A7B" w:rsidP="00EC1A78">
      <w:pPr>
        <w:jc w:val="both"/>
        <w:rPr>
          <w:rFonts w:eastAsiaTheme="minorHAnsi"/>
          <w:sz w:val="22"/>
          <w:szCs w:val="22"/>
          <w:lang w:eastAsia="en-US"/>
        </w:rPr>
      </w:pPr>
    </w:p>
    <w:p w:rsidR="002B3A7B" w:rsidRPr="00EC1A78" w:rsidRDefault="002B3A7B" w:rsidP="00EC1A78">
      <w:pPr>
        <w:jc w:val="both"/>
        <w:rPr>
          <w:rFonts w:eastAsiaTheme="minorHAnsi"/>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347.633</w:t>
      </w:r>
    </w:p>
    <w:p w:rsidR="00EC1A78" w:rsidRPr="00EC1A78" w:rsidRDefault="00EC1A78" w:rsidP="00EC1A78">
      <w:pPr>
        <w:rPr>
          <w:rFonts w:eastAsiaTheme="minorHAnsi"/>
          <w:b/>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 вопросу об истории усыновления (удочерения) в России</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To the question on history of adoption in the Russia</w:t>
      </w:r>
    </w:p>
    <w:p w:rsidR="00EC1A78" w:rsidRPr="00EC1A78" w:rsidRDefault="00EC1A78" w:rsidP="00EC1A78">
      <w:pPr>
        <w:rPr>
          <w:rFonts w:eastAsiaTheme="minorHAnsi"/>
          <w:b/>
          <w:sz w:val="24"/>
          <w:szCs w:val="24"/>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Фоменко Д.</w:t>
      </w:r>
      <w:r w:rsidR="00723562">
        <w:rPr>
          <w:rFonts w:eastAsiaTheme="minorHAnsi"/>
          <w:sz w:val="22"/>
          <w:szCs w:val="22"/>
          <w:lang w:eastAsia="en-US"/>
        </w:rPr>
        <w:t xml:space="preserve"> </w:t>
      </w:r>
      <w:r w:rsidRPr="00EC1A78">
        <w:rPr>
          <w:rFonts w:eastAsiaTheme="minorHAnsi"/>
          <w:sz w:val="22"/>
          <w:szCs w:val="22"/>
          <w:lang w:eastAsia="en-US"/>
        </w:rPr>
        <w:t xml:space="preserve">Д., </w:t>
      </w:r>
    </w:p>
    <w:p w:rsidR="00EC1A78" w:rsidRPr="00EC1A78" w:rsidRDefault="00723562" w:rsidP="00EC1A78">
      <w:pPr>
        <w:jc w:val="right"/>
        <w:rPr>
          <w:rFonts w:eastAsiaTheme="minorHAnsi"/>
          <w:sz w:val="22"/>
          <w:szCs w:val="22"/>
          <w:lang w:eastAsia="en-US"/>
        </w:rPr>
      </w:pPr>
      <w:r>
        <w:rPr>
          <w:rFonts w:eastAsiaTheme="minorHAnsi"/>
          <w:sz w:val="22"/>
          <w:szCs w:val="22"/>
          <w:lang w:eastAsia="en-US"/>
        </w:rPr>
        <w:t>магистрант</w:t>
      </w:r>
      <w:r w:rsidR="00EC1A78" w:rsidRPr="00EC1A78">
        <w:rPr>
          <w:rFonts w:eastAsiaTheme="minorHAnsi"/>
          <w:sz w:val="22"/>
          <w:szCs w:val="22"/>
          <w:lang w:eastAsia="en-US"/>
        </w:rPr>
        <w:t xml:space="preserve"> юридического факультета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w:t>
      </w:r>
      <w:r w:rsidR="00723562">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Courier New"/>
          <w:color w:val="000000"/>
          <w:sz w:val="22"/>
          <w:szCs w:val="22"/>
          <w:lang w:eastAsia="en-US"/>
        </w:rPr>
      </w:pPr>
    </w:p>
    <w:p w:rsidR="00EC1A78" w:rsidRPr="00EC1A78" w:rsidRDefault="00EC1A78" w:rsidP="00EC1A78">
      <w:pPr>
        <w:ind w:firstLine="425"/>
        <w:jc w:val="both"/>
        <w:rPr>
          <w:rFonts w:eastAsia="Courier New"/>
          <w:color w:val="000000"/>
          <w:sz w:val="22"/>
          <w:szCs w:val="22"/>
          <w:lang w:eastAsia="en-US"/>
        </w:rPr>
      </w:pPr>
      <w:r w:rsidRPr="00EC1A78">
        <w:rPr>
          <w:rFonts w:eastAsia="Courier New"/>
          <w:color w:val="000000"/>
          <w:sz w:val="22"/>
          <w:szCs w:val="22"/>
          <w:lang w:eastAsia="en-US"/>
        </w:rPr>
        <w:t>АННОТАЦИЯ: В статье автор анализирует отдельные вопросы развития института усыновления в России, цели усыновления, а также факторы, влияющие на правила, условия, порядок установл</w:t>
      </w:r>
      <w:r w:rsidRPr="00EC1A78">
        <w:rPr>
          <w:rFonts w:eastAsia="Courier New"/>
          <w:color w:val="000000"/>
          <w:sz w:val="22"/>
          <w:szCs w:val="22"/>
          <w:lang w:eastAsia="en-US"/>
        </w:rPr>
        <w:t>е</w:t>
      </w:r>
      <w:r w:rsidRPr="00EC1A78">
        <w:rPr>
          <w:rFonts w:eastAsia="Courier New"/>
          <w:color w:val="000000"/>
          <w:sz w:val="22"/>
          <w:szCs w:val="22"/>
          <w:lang w:eastAsia="en-US"/>
        </w:rPr>
        <w:t>ния усыновления.</w:t>
      </w:r>
    </w:p>
    <w:p w:rsidR="00EC1A78" w:rsidRPr="00EC1A78" w:rsidRDefault="00EC1A78" w:rsidP="00EC1A78">
      <w:pPr>
        <w:ind w:firstLine="425"/>
        <w:jc w:val="both"/>
        <w:rPr>
          <w:rFonts w:eastAsiaTheme="minorHAnsi"/>
          <w:sz w:val="22"/>
          <w:szCs w:val="22"/>
          <w:lang w:val="en" w:eastAsia="en-US"/>
        </w:rPr>
      </w:pPr>
      <w:r w:rsidRPr="00EC1A78">
        <w:rPr>
          <w:rFonts w:eastAsia="Courier New"/>
          <w:color w:val="000000"/>
          <w:sz w:val="22"/>
          <w:szCs w:val="22"/>
          <w:lang w:val="en-US" w:eastAsia="en-US"/>
        </w:rPr>
        <w:t xml:space="preserve">ABSTRACT: </w:t>
      </w:r>
      <w:r w:rsidRPr="00EC1A78">
        <w:rPr>
          <w:rFonts w:eastAsiaTheme="minorHAnsi"/>
          <w:sz w:val="22"/>
          <w:szCs w:val="22"/>
          <w:lang w:val="en" w:eastAsia="en-US"/>
        </w:rPr>
        <w:t xml:space="preserve">In the article the author analyzes the certain questions of the development of the institution of adoption in the Russia, </w:t>
      </w:r>
      <w:r w:rsidRPr="00EC1A78">
        <w:rPr>
          <w:rFonts w:eastAsia="Courier New"/>
          <w:sz w:val="20"/>
          <w:szCs w:val="20"/>
          <w:lang w:val="en" w:eastAsia="en-US"/>
        </w:rPr>
        <w:t>purpose</w:t>
      </w:r>
      <w:r w:rsidRPr="00EC1A78">
        <w:rPr>
          <w:rFonts w:eastAsia="Courier New"/>
          <w:sz w:val="20"/>
          <w:szCs w:val="20"/>
          <w:lang w:val="en-US" w:eastAsia="en-US"/>
        </w:rPr>
        <w:t>s</w:t>
      </w:r>
      <w:r w:rsidRPr="00EC1A78">
        <w:rPr>
          <w:rFonts w:eastAsia="Courier New"/>
          <w:sz w:val="20"/>
          <w:szCs w:val="20"/>
          <w:lang w:val="en" w:eastAsia="en-US"/>
        </w:rPr>
        <w:t xml:space="preserve"> </w:t>
      </w:r>
      <w:r w:rsidRPr="00EC1A78">
        <w:rPr>
          <w:rFonts w:eastAsiaTheme="minorHAnsi"/>
          <w:sz w:val="22"/>
          <w:szCs w:val="22"/>
          <w:lang w:val="en" w:eastAsia="en-US"/>
        </w:rPr>
        <w:t>of adoption, as well as factors that affects at the rules, conditions, order of establishment of adoption.</w:t>
      </w:r>
    </w:p>
    <w:p w:rsidR="00EC1A78" w:rsidRPr="00EC1A78" w:rsidRDefault="00EC1A78" w:rsidP="00EC1A78">
      <w:pPr>
        <w:ind w:firstLine="425"/>
        <w:jc w:val="both"/>
        <w:rPr>
          <w:rFonts w:eastAsia="Courier New"/>
          <w:color w:val="000000"/>
          <w:sz w:val="22"/>
          <w:szCs w:val="22"/>
          <w:lang w:eastAsia="en-US"/>
        </w:rPr>
      </w:pPr>
      <w:r w:rsidRPr="00EC1A78">
        <w:rPr>
          <w:rFonts w:eastAsia="Courier New"/>
          <w:color w:val="000000"/>
          <w:sz w:val="22"/>
          <w:szCs w:val="22"/>
          <w:lang w:eastAsia="en-US"/>
        </w:rPr>
        <w:t>КЛЮЧЕВЫЕ СЛОВА: история усыновления, цель усыновл</w:t>
      </w:r>
      <w:r w:rsidRPr="00EC1A78">
        <w:rPr>
          <w:rFonts w:eastAsia="Courier New"/>
          <w:color w:val="000000"/>
          <w:sz w:val="22"/>
          <w:szCs w:val="22"/>
          <w:lang w:eastAsia="en-US"/>
        </w:rPr>
        <w:t>е</w:t>
      </w:r>
      <w:r w:rsidRPr="00EC1A78">
        <w:rPr>
          <w:rFonts w:eastAsia="Courier New"/>
          <w:color w:val="000000"/>
          <w:sz w:val="22"/>
          <w:szCs w:val="22"/>
          <w:lang w:eastAsia="en-US"/>
        </w:rPr>
        <w:t>ния, развитие института усыновления.</w:t>
      </w:r>
    </w:p>
    <w:p w:rsidR="00EC1A78" w:rsidRPr="00EC1A78" w:rsidRDefault="00EC1A78" w:rsidP="00EC1A78">
      <w:pPr>
        <w:ind w:firstLine="425"/>
        <w:jc w:val="both"/>
        <w:rPr>
          <w:rFonts w:eastAsia="Courier New"/>
          <w:sz w:val="22"/>
          <w:szCs w:val="22"/>
          <w:lang w:val="en-US" w:eastAsia="en-US"/>
        </w:rPr>
      </w:pPr>
      <w:r w:rsidRPr="00EC1A78">
        <w:rPr>
          <w:rFonts w:eastAsia="Courier New"/>
          <w:color w:val="000000"/>
          <w:sz w:val="22"/>
          <w:szCs w:val="22"/>
          <w:lang w:val="en-US" w:eastAsia="en-US"/>
        </w:rPr>
        <w:t xml:space="preserve">KEY WORDS: </w:t>
      </w:r>
      <w:r w:rsidRPr="00EC1A78">
        <w:rPr>
          <w:rFonts w:eastAsia="Courier New"/>
          <w:sz w:val="22"/>
          <w:szCs w:val="22"/>
          <w:lang w:val="en" w:eastAsia="en-US"/>
        </w:rPr>
        <w:t>the history of adoption, the purpose of adoption, the development of the institution of adoption.</w:t>
      </w:r>
    </w:p>
    <w:p w:rsidR="00EC1A78" w:rsidRPr="00EC1A78" w:rsidRDefault="00EC1A78" w:rsidP="00EC1A78">
      <w:pPr>
        <w:ind w:firstLine="425"/>
        <w:jc w:val="both"/>
        <w:rPr>
          <w:rFonts w:eastAsia="Courier New"/>
          <w:color w:val="000000"/>
          <w:sz w:val="22"/>
          <w:szCs w:val="22"/>
          <w:lang w:val="en-US" w:eastAsia="en-US"/>
        </w:rPr>
      </w:pPr>
    </w:p>
    <w:p w:rsidR="00EC1A78" w:rsidRPr="00EC1A78" w:rsidRDefault="00EC1A78" w:rsidP="006A771F">
      <w:pPr>
        <w:ind w:firstLine="425"/>
        <w:jc w:val="both"/>
        <w:rPr>
          <w:rFonts w:eastAsia="Courier New"/>
          <w:color w:val="000000"/>
          <w:sz w:val="22"/>
          <w:szCs w:val="22"/>
          <w:lang w:eastAsia="en-US"/>
        </w:rPr>
      </w:pPr>
      <w:r w:rsidRPr="00EC1A78">
        <w:rPr>
          <w:rFonts w:eastAsia="Courier New"/>
          <w:color w:val="000000"/>
          <w:sz w:val="22"/>
          <w:szCs w:val="22"/>
          <w:lang w:eastAsia="en-US"/>
        </w:rPr>
        <w:t>Являясь приоритетной формой устройства детей в совреме</w:t>
      </w:r>
      <w:r w:rsidRPr="00EC1A78">
        <w:rPr>
          <w:rFonts w:eastAsia="Courier New"/>
          <w:color w:val="000000"/>
          <w:sz w:val="22"/>
          <w:szCs w:val="22"/>
          <w:lang w:eastAsia="en-US"/>
        </w:rPr>
        <w:t>н</w:t>
      </w:r>
      <w:r w:rsidRPr="00EC1A78">
        <w:rPr>
          <w:rFonts w:eastAsia="Courier New"/>
          <w:color w:val="000000"/>
          <w:sz w:val="22"/>
          <w:szCs w:val="22"/>
          <w:lang w:eastAsia="en-US"/>
        </w:rPr>
        <w:t>ном праве, усыновление (удочерение) как один  из древнейших пр</w:t>
      </w:r>
      <w:r w:rsidRPr="00EC1A78">
        <w:rPr>
          <w:rFonts w:eastAsia="Courier New"/>
          <w:color w:val="000000"/>
          <w:sz w:val="22"/>
          <w:szCs w:val="22"/>
          <w:lang w:eastAsia="en-US"/>
        </w:rPr>
        <w:t>а</w:t>
      </w:r>
      <w:r w:rsidRPr="00EC1A78">
        <w:rPr>
          <w:rFonts w:eastAsia="Courier New"/>
          <w:color w:val="000000"/>
          <w:sz w:val="22"/>
          <w:szCs w:val="22"/>
          <w:lang w:eastAsia="en-US"/>
        </w:rPr>
        <w:t>вовых институтов имеет богатую историю законодательного рег</w:t>
      </w:r>
      <w:r w:rsidRPr="00EC1A78">
        <w:rPr>
          <w:rFonts w:eastAsia="Courier New"/>
          <w:color w:val="000000"/>
          <w:sz w:val="22"/>
          <w:szCs w:val="22"/>
          <w:lang w:eastAsia="en-US"/>
        </w:rPr>
        <w:t>у</w:t>
      </w:r>
      <w:r w:rsidRPr="00EC1A78">
        <w:rPr>
          <w:rFonts w:eastAsia="Courier New"/>
          <w:color w:val="000000"/>
          <w:sz w:val="22"/>
          <w:szCs w:val="22"/>
          <w:lang w:eastAsia="en-US"/>
        </w:rPr>
        <w:t>лирования, с течением времени изменялось его содержание, усл</w:t>
      </w:r>
      <w:r w:rsidRPr="00EC1A78">
        <w:rPr>
          <w:rFonts w:eastAsia="Courier New"/>
          <w:color w:val="000000"/>
          <w:sz w:val="22"/>
          <w:szCs w:val="22"/>
          <w:lang w:eastAsia="en-US"/>
        </w:rPr>
        <w:t>о</w:t>
      </w:r>
      <w:r w:rsidRPr="00EC1A78">
        <w:rPr>
          <w:rFonts w:eastAsia="Courier New"/>
          <w:color w:val="000000"/>
          <w:sz w:val="22"/>
          <w:szCs w:val="22"/>
          <w:lang w:eastAsia="en-US"/>
        </w:rPr>
        <w:t>вия применения. С глубокой древности, в отсутствие специальных законов, усыновление было возможно, когда существовала семья с патриархальным отцом во главе семейства, а затем после принятия христи</w:t>
      </w:r>
      <w:r w:rsidR="006A771F">
        <w:rPr>
          <w:rFonts w:eastAsia="Courier New"/>
          <w:color w:val="000000"/>
          <w:sz w:val="22"/>
          <w:szCs w:val="22"/>
          <w:lang w:eastAsia="en-US"/>
        </w:rPr>
        <w:t>анства,</w:t>
      </w:r>
      <w:r w:rsidRPr="00EC1A78">
        <w:rPr>
          <w:rFonts w:eastAsia="Courier New"/>
          <w:color w:val="000000"/>
          <w:sz w:val="22"/>
          <w:szCs w:val="22"/>
          <w:lang w:eastAsia="en-US"/>
        </w:rPr>
        <w:t xml:space="preserve"> </w:t>
      </w:r>
      <w:r w:rsidRPr="00EC1A78">
        <w:rPr>
          <w:color w:val="000000"/>
          <w:sz w:val="22"/>
          <w:szCs w:val="22"/>
        </w:rPr>
        <w:t>усыновление освящалось особым церковным обр</w:t>
      </w:r>
      <w:r w:rsidRPr="00EC1A78">
        <w:rPr>
          <w:color w:val="000000"/>
          <w:sz w:val="22"/>
          <w:szCs w:val="22"/>
        </w:rPr>
        <w:t>я</w:t>
      </w:r>
      <w:r w:rsidRPr="00EC1A78">
        <w:rPr>
          <w:color w:val="000000"/>
          <w:sz w:val="22"/>
          <w:szCs w:val="22"/>
        </w:rPr>
        <w:t>дом «сынотворения» [1].</w:t>
      </w:r>
      <w:r w:rsidR="006A771F">
        <w:rPr>
          <w:rFonts w:eastAsia="Courier New"/>
          <w:color w:val="000000"/>
          <w:sz w:val="22"/>
          <w:szCs w:val="22"/>
          <w:lang w:eastAsia="en-US"/>
        </w:rPr>
        <w:t xml:space="preserve"> </w:t>
      </w:r>
      <w:r w:rsidRPr="00EC1A78">
        <w:rPr>
          <w:color w:val="000000"/>
          <w:sz w:val="22"/>
          <w:szCs w:val="22"/>
        </w:rPr>
        <w:t>Принципиальным шагом в развитии и</w:t>
      </w:r>
      <w:r w:rsidRPr="00EC1A78">
        <w:rPr>
          <w:color w:val="000000"/>
          <w:sz w:val="22"/>
          <w:szCs w:val="22"/>
        </w:rPr>
        <w:t>н</w:t>
      </w:r>
      <w:r w:rsidRPr="00EC1A78">
        <w:rPr>
          <w:color w:val="000000"/>
          <w:sz w:val="22"/>
          <w:szCs w:val="22"/>
        </w:rPr>
        <w:t>ститута</w:t>
      </w:r>
      <w:r w:rsidRPr="00EC1A78">
        <w:rPr>
          <w:b/>
          <w:color w:val="000000"/>
          <w:sz w:val="22"/>
          <w:szCs w:val="22"/>
        </w:rPr>
        <w:t xml:space="preserve"> </w:t>
      </w:r>
      <w:r w:rsidRPr="00EC1A78">
        <w:rPr>
          <w:color w:val="000000"/>
          <w:sz w:val="22"/>
          <w:szCs w:val="22"/>
        </w:rPr>
        <w:t xml:space="preserve"> усыновления можно считать общее ограничение церковной власти по вопросам семьи и брака и регулирование обозначенных отношений законами светскими, гражданскими.</w:t>
      </w:r>
    </w:p>
    <w:p w:rsidR="00EC1A78" w:rsidRPr="00EC1A78" w:rsidRDefault="00EC1A78" w:rsidP="00EC1A78">
      <w:pPr>
        <w:ind w:firstLine="425"/>
        <w:jc w:val="both"/>
        <w:rPr>
          <w:rFonts w:eastAsia="Courier New"/>
          <w:color w:val="000000"/>
          <w:sz w:val="22"/>
          <w:szCs w:val="22"/>
          <w:lang w:eastAsia="en-US"/>
        </w:rPr>
      </w:pPr>
      <w:r w:rsidRPr="00EC1A78">
        <w:rPr>
          <w:rFonts w:eastAsia="Courier New"/>
          <w:color w:val="000000"/>
          <w:sz w:val="22"/>
          <w:szCs w:val="22"/>
          <w:lang w:eastAsia="en-US"/>
        </w:rPr>
        <w:t xml:space="preserve">Прецедент установления усыновления в Российской Империи создала Екатерина </w:t>
      </w:r>
      <w:r w:rsidRPr="00EC1A78">
        <w:rPr>
          <w:rFonts w:eastAsia="Courier New"/>
          <w:color w:val="000000"/>
          <w:sz w:val="22"/>
          <w:szCs w:val="22"/>
          <w:lang w:val="en-US" w:eastAsia="en-US"/>
        </w:rPr>
        <w:t>II</w:t>
      </w:r>
      <w:r w:rsidRPr="00EC1A78">
        <w:rPr>
          <w:rFonts w:eastAsia="Courier New"/>
          <w:color w:val="000000"/>
          <w:sz w:val="22"/>
          <w:szCs w:val="22"/>
          <w:lang w:eastAsia="en-US"/>
        </w:rPr>
        <w:t xml:space="preserve">, и в каждом конкретном случае нужно было </w:t>
      </w:r>
      <w:r w:rsidRPr="00EC1A78">
        <w:rPr>
          <w:rFonts w:eastAsia="Courier New"/>
          <w:color w:val="000000"/>
          <w:sz w:val="22"/>
          <w:szCs w:val="22"/>
          <w:lang w:eastAsia="en-US"/>
        </w:rPr>
        <w:lastRenderedPageBreak/>
        <w:t>получать ее личное разрешение, без наличия которого усыновление было невозможно.</w:t>
      </w:r>
    </w:p>
    <w:p w:rsidR="00EC1A78" w:rsidRPr="00EC1A78" w:rsidRDefault="00EC1A78" w:rsidP="00EC1A78">
      <w:pPr>
        <w:ind w:firstLine="425"/>
        <w:jc w:val="both"/>
        <w:rPr>
          <w:rFonts w:eastAsia="Courier New"/>
          <w:color w:val="000000"/>
          <w:sz w:val="22"/>
          <w:szCs w:val="22"/>
          <w:lang w:eastAsia="en-US"/>
        </w:rPr>
      </w:pPr>
      <w:r w:rsidRPr="00EC1A78">
        <w:rPr>
          <w:rFonts w:eastAsia="Courier New"/>
          <w:color w:val="000000"/>
          <w:sz w:val="22"/>
          <w:szCs w:val="22"/>
          <w:lang w:eastAsia="en-US"/>
        </w:rPr>
        <w:t>Развитие законодательства об усыновлении в 19 веке характ</w:t>
      </w:r>
      <w:r w:rsidRPr="00EC1A78">
        <w:rPr>
          <w:rFonts w:eastAsia="Courier New"/>
          <w:color w:val="000000"/>
          <w:sz w:val="22"/>
          <w:szCs w:val="22"/>
          <w:lang w:eastAsia="en-US"/>
        </w:rPr>
        <w:t>е</w:t>
      </w:r>
      <w:r w:rsidRPr="00EC1A78">
        <w:rPr>
          <w:rFonts w:eastAsia="Courier New"/>
          <w:color w:val="000000"/>
          <w:sz w:val="22"/>
          <w:szCs w:val="22"/>
          <w:lang w:eastAsia="en-US"/>
        </w:rPr>
        <w:t>ризуется несколькими признаками и сущностными чертами:</w:t>
      </w:r>
    </w:p>
    <w:p w:rsidR="00EC1A78" w:rsidRPr="00EC1A78" w:rsidRDefault="00EC1A78" w:rsidP="00EC1A78">
      <w:pPr>
        <w:ind w:firstLine="425"/>
        <w:jc w:val="both"/>
        <w:rPr>
          <w:rFonts w:eastAsiaTheme="minorHAnsi"/>
          <w:sz w:val="22"/>
          <w:szCs w:val="22"/>
          <w:lang w:eastAsia="en-US"/>
        </w:rPr>
      </w:pPr>
      <w:r w:rsidRPr="00EC1A78">
        <w:rPr>
          <w:rFonts w:eastAsia="Courier New"/>
          <w:color w:val="000000"/>
          <w:sz w:val="22"/>
          <w:szCs w:val="22"/>
          <w:lang w:eastAsia="en-US"/>
        </w:rPr>
        <w:t>1. Изначально требовалось строгое соблюдение принципа с</w:t>
      </w:r>
      <w:r w:rsidRPr="00EC1A78">
        <w:rPr>
          <w:rFonts w:eastAsia="Courier New"/>
          <w:color w:val="000000"/>
          <w:sz w:val="22"/>
          <w:szCs w:val="22"/>
          <w:lang w:eastAsia="en-US"/>
        </w:rPr>
        <w:t>о</w:t>
      </w:r>
      <w:r w:rsidRPr="00EC1A78">
        <w:rPr>
          <w:rFonts w:eastAsia="Courier New"/>
          <w:color w:val="000000"/>
          <w:sz w:val="22"/>
          <w:szCs w:val="22"/>
          <w:lang w:eastAsia="en-US"/>
        </w:rPr>
        <w:t>словности – дозволение усыновлять дворянам близких законоро</w:t>
      </w:r>
      <w:r w:rsidRPr="00EC1A78">
        <w:rPr>
          <w:rFonts w:eastAsia="Courier New"/>
          <w:color w:val="000000"/>
          <w:sz w:val="22"/>
          <w:szCs w:val="22"/>
          <w:lang w:eastAsia="en-US"/>
        </w:rPr>
        <w:t>ж</w:t>
      </w:r>
      <w:r w:rsidRPr="00EC1A78">
        <w:rPr>
          <w:rFonts w:eastAsia="Courier New"/>
          <w:color w:val="000000"/>
          <w:sz w:val="22"/>
          <w:szCs w:val="22"/>
          <w:lang w:eastAsia="en-US"/>
        </w:rPr>
        <w:t>денных родственников только при условии передачи усыновленным фамилии и герба.</w:t>
      </w:r>
    </w:p>
    <w:p w:rsidR="00EC1A78" w:rsidRPr="00EC1A78" w:rsidRDefault="00EC1A78" w:rsidP="00EC1A78">
      <w:pPr>
        <w:ind w:firstLine="425"/>
        <w:jc w:val="both"/>
        <w:rPr>
          <w:rFonts w:eastAsiaTheme="minorHAnsi"/>
          <w:sz w:val="22"/>
          <w:szCs w:val="22"/>
          <w:lang w:eastAsia="en-US"/>
        </w:rPr>
      </w:pPr>
      <w:r w:rsidRPr="00EC1A78">
        <w:rPr>
          <w:rFonts w:eastAsia="Courier New"/>
          <w:color w:val="000000"/>
          <w:sz w:val="22"/>
          <w:szCs w:val="22"/>
          <w:lang w:eastAsia="en-US"/>
        </w:rPr>
        <w:t>2. Формой усыновления законодатель стал признавать припи</w:t>
      </w:r>
      <w:r w:rsidRPr="00EC1A78">
        <w:rPr>
          <w:rFonts w:eastAsia="Courier New"/>
          <w:color w:val="000000"/>
          <w:sz w:val="22"/>
          <w:szCs w:val="22"/>
          <w:lang w:eastAsia="en-US"/>
        </w:rPr>
        <w:t>с</w:t>
      </w:r>
      <w:r w:rsidRPr="00EC1A78">
        <w:rPr>
          <w:rFonts w:eastAsia="Courier New"/>
          <w:color w:val="000000"/>
          <w:sz w:val="22"/>
          <w:szCs w:val="22"/>
          <w:lang w:eastAsia="en-US"/>
        </w:rPr>
        <w:t>ку к собственному званию.</w:t>
      </w:r>
    </w:p>
    <w:p w:rsidR="00EC1A78" w:rsidRPr="00EC1A78" w:rsidRDefault="00EC1A78" w:rsidP="00EC1A78">
      <w:pPr>
        <w:ind w:firstLine="425"/>
        <w:jc w:val="both"/>
        <w:rPr>
          <w:rFonts w:eastAsiaTheme="minorHAnsi"/>
          <w:sz w:val="22"/>
          <w:szCs w:val="22"/>
          <w:lang w:eastAsia="en-US"/>
        </w:rPr>
      </w:pPr>
      <w:r w:rsidRPr="00EC1A78">
        <w:rPr>
          <w:rFonts w:eastAsia="Courier New"/>
          <w:color w:val="000000"/>
          <w:sz w:val="22"/>
          <w:szCs w:val="22"/>
          <w:lang w:eastAsia="en-US"/>
        </w:rPr>
        <w:t>3. Примерно с середины 19 века в законодательстве закрепл</w:t>
      </w:r>
      <w:r w:rsidRPr="00EC1A78">
        <w:rPr>
          <w:rFonts w:eastAsia="Courier New"/>
          <w:color w:val="000000"/>
          <w:sz w:val="22"/>
          <w:szCs w:val="22"/>
          <w:lang w:eastAsia="en-US"/>
        </w:rPr>
        <w:t>я</w:t>
      </w:r>
      <w:r w:rsidRPr="00EC1A78">
        <w:rPr>
          <w:rFonts w:eastAsia="Courier New"/>
          <w:color w:val="000000"/>
          <w:sz w:val="22"/>
          <w:szCs w:val="22"/>
          <w:lang w:eastAsia="en-US"/>
        </w:rPr>
        <w:t xml:space="preserve">ется возможность усыновления детей, не являющихся  сиротами, что позволяло не только узаконить незаконнорожденных детей, но и усыновить их. Также впервые был закреплен судебный порядок усыновления.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Вместе с тем были введены некоторые ограничения. Так, ус</w:t>
      </w:r>
      <w:r w:rsidRPr="00EC1A78">
        <w:rPr>
          <w:rFonts w:eastAsiaTheme="minorHAnsi"/>
          <w:sz w:val="22"/>
          <w:szCs w:val="22"/>
          <w:lang w:eastAsia="en-US"/>
        </w:rPr>
        <w:t>ы</w:t>
      </w:r>
      <w:r w:rsidRPr="00EC1A78">
        <w:rPr>
          <w:rFonts w:eastAsiaTheme="minorHAnsi"/>
          <w:sz w:val="22"/>
          <w:szCs w:val="22"/>
          <w:lang w:eastAsia="en-US"/>
        </w:rPr>
        <w:t>новлять разрешалось лишь тем, кто не имел собственных или уз</w:t>
      </w:r>
      <w:r w:rsidRPr="00EC1A78">
        <w:rPr>
          <w:rFonts w:eastAsiaTheme="minorHAnsi"/>
          <w:sz w:val="22"/>
          <w:szCs w:val="22"/>
          <w:lang w:eastAsia="en-US"/>
        </w:rPr>
        <w:t>а</w:t>
      </w:r>
      <w:r w:rsidRPr="00EC1A78">
        <w:rPr>
          <w:rFonts w:eastAsiaTheme="minorHAnsi"/>
          <w:sz w:val="22"/>
          <w:szCs w:val="22"/>
          <w:lang w:eastAsia="en-US"/>
        </w:rPr>
        <w:t>коненных детей, за исключением мещан и сельских обывателей. Не могли быть усыновителями также лица моложе тридцати лет и т.п.</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Сама процедура усыновления, которая была закреплена в Уст</w:t>
      </w:r>
      <w:r w:rsidRPr="00EC1A78">
        <w:rPr>
          <w:rFonts w:eastAsiaTheme="minorHAnsi"/>
          <w:sz w:val="22"/>
          <w:szCs w:val="22"/>
          <w:lang w:eastAsia="en-US"/>
        </w:rPr>
        <w:t>а</w:t>
      </w:r>
      <w:r w:rsidRPr="00EC1A78">
        <w:rPr>
          <w:rFonts w:eastAsiaTheme="minorHAnsi"/>
          <w:sz w:val="22"/>
          <w:szCs w:val="22"/>
          <w:lang w:eastAsia="en-US"/>
        </w:rPr>
        <w:t>ве гражданского судопроизводства и определялась  в зависимости от сословия усыновителя, отличалась многоступенчатостью и сложностью использования [2].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Развитие законодательства, регулирующего вопросы усыно</w:t>
      </w:r>
      <w:r w:rsidRPr="00EC1A78">
        <w:rPr>
          <w:rFonts w:eastAsiaTheme="minorHAnsi"/>
          <w:sz w:val="22"/>
          <w:szCs w:val="22"/>
          <w:lang w:eastAsia="en-US"/>
        </w:rPr>
        <w:t>в</w:t>
      </w:r>
      <w:r w:rsidRPr="00EC1A78">
        <w:rPr>
          <w:rFonts w:eastAsiaTheme="minorHAnsi"/>
          <w:sz w:val="22"/>
          <w:szCs w:val="22"/>
          <w:lang w:eastAsia="en-US"/>
        </w:rPr>
        <w:t>ления (удочерения) детей в 20 веке охарактеризовалось вначале к</w:t>
      </w:r>
      <w:r w:rsidRPr="00EC1A78">
        <w:rPr>
          <w:rFonts w:eastAsiaTheme="minorHAnsi"/>
          <w:sz w:val="22"/>
          <w:szCs w:val="22"/>
          <w:lang w:eastAsia="en-US"/>
        </w:rPr>
        <w:t>а</w:t>
      </w:r>
      <w:r w:rsidRPr="00EC1A78">
        <w:rPr>
          <w:rFonts w:eastAsiaTheme="minorHAnsi"/>
          <w:sz w:val="22"/>
          <w:szCs w:val="22"/>
          <w:lang w:eastAsia="en-US"/>
        </w:rPr>
        <w:t>тегорическим запретом усыновления, а затем известные историч</w:t>
      </w:r>
      <w:r w:rsidRPr="00EC1A78">
        <w:rPr>
          <w:rFonts w:eastAsiaTheme="minorHAnsi"/>
          <w:sz w:val="22"/>
          <w:szCs w:val="22"/>
          <w:lang w:eastAsia="en-US"/>
        </w:rPr>
        <w:t>е</w:t>
      </w:r>
      <w:r w:rsidRPr="00EC1A78">
        <w:rPr>
          <w:rFonts w:eastAsiaTheme="minorHAnsi"/>
          <w:sz w:val="22"/>
          <w:szCs w:val="22"/>
          <w:lang w:eastAsia="en-US"/>
        </w:rPr>
        <w:t>ские события и большое число осиротевших детей, выявили назревшую необходимость изменения мнения законодателя по в</w:t>
      </w:r>
      <w:r w:rsidRPr="00EC1A78">
        <w:rPr>
          <w:rFonts w:eastAsiaTheme="minorHAnsi"/>
          <w:sz w:val="22"/>
          <w:szCs w:val="22"/>
          <w:lang w:eastAsia="en-US"/>
        </w:rPr>
        <w:t>о</w:t>
      </w:r>
      <w:r w:rsidRPr="00EC1A78">
        <w:rPr>
          <w:rFonts w:eastAsiaTheme="minorHAnsi"/>
          <w:sz w:val="22"/>
          <w:szCs w:val="22"/>
          <w:lang w:eastAsia="en-US"/>
        </w:rPr>
        <w:t>просу усыновления.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Новые правила в институте усыновления касались закрепления возраста усыновителя, который мог быть меньше 30 лет (соблюд</w:t>
      </w:r>
      <w:r w:rsidRPr="00EC1A78">
        <w:rPr>
          <w:rFonts w:eastAsiaTheme="minorHAnsi"/>
          <w:sz w:val="22"/>
          <w:szCs w:val="22"/>
          <w:lang w:eastAsia="en-US"/>
        </w:rPr>
        <w:t>е</w:t>
      </w:r>
      <w:r w:rsidRPr="00EC1A78">
        <w:rPr>
          <w:rFonts w:eastAsiaTheme="minorHAnsi"/>
          <w:sz w:val="22"/>
          <w:szCs w:val="22"/>
          <w:lang w:eastAsia="en-US"/>
        </w:rPr>
        <w:t>ние 18–летней разницы в возрасте было обязательным условием). Также были установлены ограничения на усыновление для опред</w:t>
      </w:r>
      <w:r w:rsidRPr="00EC1A78">
        <w:rPr>
          <w:rFonts w:eastAsiaTheme="minorHAnsi"/>
          <w:sz w:val="22"/>
          <w:szCs w:val="22"/>
          <w:lang w:eastAsia="en-US"/>
        </w:rPr>
        <w:t>е</w:t>
      </w:r>
      <w:r w:rsidRPr="00EC1A78">
        <w:rPr>
          <w:rFonts w:eastAsiaTheme="minorHAnsi"/>
          <w:sz w:val="22"/>
          <w:szCs w:val="22"/>
          <w:lang w:eastAsia="en-US"/>
        </w:rPr>
        <w:t>ленных категорий лиц, которые в силу наличия различных физич</w:t>
      </w:r>
      <w:r w:rsidRPr="00EC1A78">
        <w:rPr>
          <w:rFonts w:eastAsiaTheme="minorHAnsi"/>
          <w:sz w:val="22"/>
          <w:szCs w:val="22"/>
          <w:lang w:eastAsia="en-US"/>
        </w:rPr>
        <w:t>е</w:t>
      </w:r>
      <w:r w:rsidRPr="00EC1A78">
        <w:rPr>
          <w:rFonts w:eastAsiaTheme="minorHAnsi"/>
          <w:sz w:val="22"/>
          <w:szCs w:val="22"/>
          <w:lang w:eastAsia="en-US"/>
        </w:rPr>
        <w:t>ских и иных недостатков, не могли в должной мере исполнять об</w:t>
      </w:r>
      <w:r w:rsidRPr="00EC1A78">
        <w:rPr>
          <w:rFonts w:eastAsiaTheme="minorHAnsi"/>
          <w:sz w:val="22"/>
          <w:szCs w:val="22"/>
          <w:lang w:eastAsia="en-US"/>
        </w:rPr>
        <w:t>я</w:t>
      </w:r>
      <w:r w:rsidRPr="00EC1A78">
        <w:rPr>
          <w:rFonts w:eastAsiaTheme="minorHAnsi"/>
          <w:sz w:val="22"/>
          <w:szCs w:val="22"/>
          <w:lang w:eastAsia="en-US"/>
        </w:rPr>
        <w:t>занности по воспитанию детей в целях, для которых устанавлив</w:t>
      </w:r>
      <w:r w:rsidRPr="00EC1A78">
        <w:rPr>
          <w:rFonts w:eastAsiaTheme="minorHAnsi"/>
          <w:sz w:val="22"/>
          <w:szCs w:val="22"/>
          <w:lang w:eastAsia="en-US"/>
        </w:rPr>
        <w:t>а</w:t>
      </w:r>
      <w:r w:rsidRPr="00EC1A78">
        <w:rPr>
          <w:rFonts w:eastAsiaTheme="minorHAnsi"/>
          <w:sz w:val="22"/>
          <w:szCs w:val="22"/>
          <w:lang w:eastAsia="en-US"/>
        </w:rPr>
        <w:t>лось усыновление – безумные, глухонемые, сумасшедшие, лица, которые были лишены всех прав состояния.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lastRenderedPageBreak/>
        <w:t>Достаточно подробное законодательное регулирование вопр</w:t>
      </w:r>
      <w:r w:rsidRPr="00EC1A78">
        <w:rPr>
          <w:rFonts w:eastAsiaTheme="minorHAnsi"/>
          <w:sz w:val="22"/>
          <w:szCs w:val="22"/>
          <w:lang w:eastAsia="en-US"/>
        </w:rPr>
        <w:t>о</w:t>
      </w:r>
      <w:r w:rsidRPr="00EC1A78">
        <w:rPr>
          <w:rFonts w:eastAsiaTheme="minorHAnsi"/>
          <w:sz w:val="22"/>
          <w:szCs w:val="22"/>
          <w:lang w:eastAsia="en-US"/>
        </w:rPr>
        <w:t>сов усыновления (удочерения) было закреплено только в Кодексе о браке и семье РСФСР 1969 года, в котором помимо усыновления стало возможным и удочерение.</w:t>
      </w:r>
    </w:p>
    <w:p w:rsidR="00EC1A78" w:rsidRPr="00EC1A78" w:rsidRDefault="00EC1A78" w:rsidP="006A771F">
      <w:pPr>
        <w:ind w:firstLine="425"/>
        <w:jc w:val="both"/>
        <w:rPr>
          <w:rFonts w:eastAsiaTheme="minorHAnsi"/>
          <w:sz w:val="22"/>
          <w:szCs w:val="22"/>
          <w:lang w:eastAsia="en-US"/>
        </w:rPr>
      </w:pPr>
      <w:r w:rsidRPr="00EC1A78">
        <w:rPr>
          <w:rFonts w:eastAsiaTheme="minorHAnsi"/>
          <w:sz w:val="22"/>
          <w:szCs w:val="22"/>
          <w:lang w:eastAsia="en-US"/>
        </w:rPr>
        <w:t>Изменение и развитие института усыновления в России прои</w:t>
      </w:r>
      <w:r w:rsidRPr="00EC1A78">
        <w:rPr>
          <w:rFonts w:eastAsiaTheme="minorHAnsi"/>
          <w:sz w:val="22"/>
          <w:szCs w:val="22"/>
          <w:lang w:eastAsia="en-US"/>
        </w:rPr>
        <w:t>с</w:t>
      </w:r>
      <w:r w:rsidRPr="00EC1A78">
        <w:rPr>
          <w:rFonts w:eastAsiaTheme="minorHAnsi"/>
          <w:sz w:val="22"/>
          <w:szCs w:val="22"/>
          <w:lang w:eastAsia="en-US"/>
        </w:rPr>
        <w:t xml:space="preserve">ходило под влиянием различного рода факторов – исторических событий, изменений политической обстановки, правосознания и правовой культуры и других. </w:t>
      </w:r>
      <w:r w:rsidR="006A771F">
        <w:rPr>
          <w:rFonts w:eastAsiaTheme="minorHAnsi"/>
          <w:sz w:val="22"/>
          <w:szCs w:val="22"/>
          <w:lang w:eastAsia="en-US"/>
        </w:rPr>
        <w:t xml:space="preserve">Отношение </w:t>
      </w:r>
      <w:r w:rsidRPr="00EC1A78">
        <w:rPr>
          <w:rFonts w:eastAsiaTheme="minorHAnsi"/>
          <w:sz w:val="22"/>
          <w:szCs w:val="22"/>
          <w:lang w:eastAsia="en-US"/>
        </w:rPr>
        <w:t>к нему было неоднозна</w:t>
      </w:r>
      <w:r w:rsidRPr="00EC1A78">
        <w:rPr>
          <w:rFonts w:eastAsiaTheme="minorHAnsi"/>
          <w:sz w:val="22"/>
          <w:szCs w:val="22"/>
          <w:lang w:eastAsia="en-US"/>
        </w:rPr>
        <w:t>ч</w:t>
      </w:r>
      <w:r w:rsidRPr="00EC1A78">
        <w:rPr>
          <w:rFonts w:eastAsiaTheme="minorHAnsi"/>
          <w:sz w:val="22"/>
          <w:szCs w:val="22"/>
          <w:lang w:eastAsia="en-US"/>
        </w:rPr>
        <w:t xml:space="preserve">ным, сущность правил, условий, последствий, целей и процедуры усыновления модифицировались в различные исторические эпохи. </w:t>
      </w:r>
    </w:p>
    <w:p w:rsidR="00EC1A78" w:rsidRPr="00EC1A78" w:rsidRDefault="00EC1A78" w:rsidP="00EC1A78">
      <w:pPr>
        <w:ind w:firstLine="425"/>
        <w:jc w:val="both"/>
        <w:rPr>
          <w:sz w:val="22"/>
          <w:szCs w:val="22"/>
        </w:rPr>
      </w:pPr>
      <w:r w:rsidRPr="00EC1A78">
        <w:rPr>
          <w:rFonts w:eastAsiaTheme="minorHAnsi"/>
          <w:sz w:val="22"/>
          <w:szCs w:val="22"/>
          <w:lang w:eastAsia="en-US"/>
        </w:rPr>
        <w:t>Полагаем, что правила, условия и сама процедура усыновления во многом зависела, прежде всего, от тех целей, которые преслед</w:t>
      </w:r>
      <w:r w:rsidRPr="00EC1A78">
        <w:rPr>
          <w:rFonts w:eastAsiaTheme="minorHAnsi"/>
          <w:sz w:val="22"/>
          <w:szCs w:val="22"/>
          <w:lang w:eastAsia="en-US"/>
        </w:rPr>
        <w:t>о</w:t>
      </w:r>
      <w:r w:rsidRPr="00EC1A78">
        <w:rPr>
          <w:rFonts w:eastAsiaTheme="minorHAnsi"/>
          <w:sz w:val="22"/>
          <w:szCs w:val="22"/>
          <w:lang w:eastAsia="en-US"/>
        </w:rPr>
        <w:t>вались при установлении усыновления. Такими целями в разные исторические периоды в России выступали: потребность сохран</w:t>
      </w:r>
      <w:r w:rsidRPr="00EC1A78">
        <w:rPr>
          <w:rFonts w:eastAsiaTheme="minorHAnsi"/>
          <w:sz w:val="22"/>
          <w:szCs w:val="22"/>
          <w:lang w:eastAsia="en-US"/>
        </w:rPr>
        <w:t>е</w:t>
      </w:r>
      <w:r w:rsidRPr="00EC1A78">
        <w:rPr>
          <w:rFonts w:eastAsiaTheme="minorHAnsi"/>
          <w:sz w:val="22"/>
          <w:szCs w:val="22"/>
          <w:lang w:eastAsia="en-US"/>
        </w:rPr>
        <w:t>ния численности членов общины,  необходимость иметь наследн</w:t>
      </w:r>
      <w:r w:rsidRPr="00EC1A78">
        <w:rPr>
          <w:rFonts w:eastAsiaTheme="minorHAnsi"/>
          <w:sz w:val="22"/>
          <w:szCs w:val="22"/>
          <w:lang w:eastAsia="en-US"/>
        </w:rPr>
        <w:t>и</w:t>
      </w:r>
      <w:r w:rsidRPr="00EC1A78">
        <w:rPr>
          <w:rFonts w:eastAsiaTheme="minorHAnsi"/>
          <w:sz w:val="22"/>
          <w:szCs w:val="22"/>
          <w:lang w:eastAsia="en-US"/>
        </w:rPr>
        <w:t>ка, который бы молился и поминал души усопших бездетных с</w:t>
      </w:r>
      <w:r w:rsidRPr="00EC1A78">
        <w:rPr>
          <w:rFonts w:eastAsiaTheme="minorHAnsi"/>
          <w:sz w:val="22"/>
          <w:szCs w:val="22"/>
          <w:lang w:eastAsia="en-US"/>
        </w:rPr>
        <w:t>у</w:t>
      </w:r>
      <w:r w:rsidRPr="00EC1A78">
        <w:rPr>
          <w:rFonts w:eastAsiaTheme="minorHAnsi"/>
          <w:sz w:val="22"/>
          <w:szCs w:val="22"/>
          <w:lang w:eastAsia="en-US"/>
        </w:rPr>
        <w:t xml:space="preserve">пругов, усыновление с целью поддержания угасающей фамилии, </w:t>
      </w:r>
      <w:r w:rsidRPr="00EC1A78">
        <w:rPr>
          <w:sz w:val="22"/>
          <w:szCs w:val="22"/>
        </w:rPr>
        <w:t>для охраны имущественных интересов усыновителя–наследодателя, ребенка также могли усыновить с целью приобретения дополн</w:t>
      </w:r>
      <w:r w:rsidRPr="00EC1A78">
        <w:rPr>
          <w:sz w:val="22"/>
          <w:szCs w:val="22"/>
        </w:rPr>
        <w:t>и</w:t>
      </w:r>
      <w:r w:rsidRPr="00EC1A78">
        <w:rPr>
          <w:sz w:val="22"/>
          <w:szCs w:val="22"/>
        </w:rPr>
        <w:t>тельной рабочей силы, либо для того, чтобы хозяйскому родному сыну избежать прохождения воинской службы. В отдельных немн</w:t>
      </w:r>
      <w:r w:rsidRPr="00EC1A78">
        <w:rPr>
          <w:sz w:val="22"/>
          <w:szCs w:val="22"/>
        </w:rPr>
        <w:t>о</w:t>
      </w:r>
      <w:r w:rsidRPr="00EC1A78">
        <w:rPr>
          <w:sz w:val="22"/>
          <w:szCs w:val="22"/>
        </w:rPr>
        <w:t>гочисленных случаях усыновление могло устанавливаться для уд</w:t>
      </w:r>
      <w:r w:rsidRPr="00EC1A78">
        <w:rPr>
          <w:sz w:val="22"/>
          <w:szCs w:val="22"/>
        </w:rPr>
        <w:t>о</w:t>
      </w:r>
      <w:r w:rsidRPr="00EC1A78">
        <w:rPr>
          <w:sz w:val="22"/>
          <w:szCs w:val="22"/>
        </w:rPr>
        <w:t>влетворения естественных чувств в отсутствие родных детей.</w:t>
      </w:r>
    </w:p>
    <w:p w:rsidR="00EC1A78" w:rsidRPr="006A771F" w:rsidRDefault="00EC1A78" w:rsidP="006A771F">
      <w:pPr>
        <w:ind w:firstLine="425"/>
        <w:jc w:val="both"/>
        <w:rPr>
          <w:rFonts w:eastAsiaTheme="minorHAnsi"/>
          <w:sz w:val="22"/>
          <w:szCs w:val="22"/>
          <w:lang w:eastAsia="en-US"/>
        </w:rPr>
      </w:pPr>
      <w:r w:rsidRPr="00EC1A78">
        <w:rPr>
          <w:sz w:val="22"/>
          <w:szCs w:val="22"/>
        </w:rPr>
        <w:t>Изменение цели усыновления оказывает существенное влияние  на процедуру и существующие правила, по которым осуществляе</w:t>
      </w:r>
      <w:r w:rsidRPr="00EC1A78">
        <w:rPr>
          <w:sz w:val="22"/>
          <w:szCs w:val="22"/>
        </w:rPr>
        <w:t>т</w:t>
      </w:r>
      <w:r w:rsidRPr="00EC1A78">
        <w:rPr>
          <w:sz w:val="22"/>
          <w:szCs w:val="22"/>
        </w:rPr>
        <w:t>ся усыновление.</w:t>
      </w:r>
      <w:r w:rsidRPr="00EC1A78">
        <w:rPr>
          <w:rFonts w:eastAsiaTheme="minorHAnsi"/>
          <w:sz w:val="22"/>
          <w:szCs w:val="22"/>
          <w:lang w:eastAsia="en-US"/>
        </w:rPr>
        <w:t xml:space="preserve"> На сегодняшний день действующее законодател</w:t>
      </w:r>
      <w:r w:rsidRPr="00EC1A78">
        <w:rPr>
          <w:rFonts w:eastAsiaTheme="minorHAnsi"/>
          <w:sz w:val="22"/>
          <w:szCs w:val="22"/>
          <w:lang w:eastAsia="en-US"/>
        </w:rPr>
        <w:t>ь</w:t>
      </w:r>
      <w:r w:rsidRPr="00EC1A78">
        <w:rPr>
          <w:rFonts w:eastAsiaTheme="minorHAnsi"/>
          <w:sz w:val="22"/>
          <w:szCs w:val="22"/>
          <w:lang w:eastAsia="en-US"/>
        </w:rPr>
        <w:t>ство в достаточной мере регулирует вопросы условий, порядка и правовых последствий усыновления, необходимость существования и совершенствования исследуемого института  в целях регулиров</w:t>
      </w:r>
      <w:r w:rsidRPr="00EC1A78">
        <w:rPr>
          <w:rFonts w:eastAsiaTheme="minorHAnsi"/>
          <w:sz w:val="22"/>
          <w:szCs w:val="22"/>
          <w:lang w:eastAsia="en-US"/>
        </w:rPr>
        <w:t>а</w:t>
      </w:r>
      <w:r w:rsidRPr="00EC1A78">
        <w:rPr>
          <w:rFonts w:eastAsiaTheme="minorHAnsi"/>
          <w:sz w:val="22"/>
          <w:szCs w:val="22"/>
          <w:lang w:eastAsia="en-US"/>
        </w:rPr>
        <w:t>ния определенной совокупности правоотношений обусловлена ре</w:t>
      </w:r>
      <w:r w:rsidRPr="00EC1A78">
        <w:rPr>
          <w:rFonts w:eastAsiaTheme="minorHAnsi"/>
          <w:sz w:val="22"/>
          <w:szCs w:val="22"/>
          <w:lang w:eastAsia="en-US"/>
        </w:rPr>
        <w:t>а</w:t>
      </w:r>
      <w:r w:rsidRPr="00EC1A78">
        <w:rPr>
          <w:rFonts w:eastAsiaTheme="minorHAnsi"/>
          <w:sz w:val="22"/>
          <w:szCs w:val="22"/>
          <w:lang w:eastAsia="en-US"/>
        </w:rPr>
        <w:t>лиями нынешнего времени.</w:t>
      </w:r>
    </w:p>
    <w:p w:rsidR="00EC1A78" w:rsidRPr="00EC1A78" w:rsidRDefault="00EC1A78" w:rsidP="00EC1A78">
      <w:pPr>
        <w:widowControl w:val="0"/>
        <w:autoSpaceDE w:val="0"/>
        <w:autoSpaceDN w:val="0"/>
        <w:adjustRightInd w:val="0"/>
        <w:ind w:firstLine="425"/>
        <w:jc w:val="center"/>
        <w:rPr>
          <w:rFonts w:eastAsia="Calibri"/>
          <w:color w:val="000000"/>
          <w:sz w:val="22"/>
          <w:szCs w:val="22"/>
          <w:lang w:eastAsia="en-US"/>
        </w:rPr>
      </w:pPr>
      <w:r w:rsidRPr="00EC1A78">
        <w:rPr>
          <w:rFonts w:eastAsia="Calibri"/>
          <w:color w:val="000000"/>
          <w:sz w:val="22"/>
          <w:szCs w:val="22"/>
          <w:lang w:eastAsia="en-US"/>
        </w:rPr>
        <w:t>Список литературы</w:t>
      </w:r>
    </w:p>
    <w:p w:rsidR="00EC1A78" w:rsidRPr="00EC1A78" w:rsidRDefault="00EC1A78" w:rsidP="00EC1A78">
      <w:pPr>
        <w:ind w:firstLine="425"/>
        <w:jc w:val="both"/>
        <w:rPr>
          <w:color w:val="000000"/>
          <w:sz w:val="22"/>
          <w:szCs w:val="22"/>
        </w:rPr>
      </w:pPr>
      <w:r w:rsidRPr="00EC1A78">
        <w:rPr>
          <w:color w:val="000000"/>
          <w:sz w:val="22"/>
          <w:szCs w:val="22"/>
        </w:rPr>
        <w:t>1. Подробнее об этом см.: Нечаева А.М. Семейное право. Курс лекций. М. Юрист. 1998. С. 268.</w:t>
      </w:r>
    </w:p>
    <w:p w:rsidR="00EC1A78" w:rsidRPr="00EC1A78" w:rsidRDefault="00EC1A78" w:rsidP="00EC1A78">
      <w:pPr>
        <w:ind w:firstLine="425"/>
        <w:jc w:val="both"/>
        <w:rPr>
          <w:rFonts w:eastAsia="Courier New"/>
          <w:color w:val="000000"/>
          <w:sz w:val="22"/>
          <w:szCs w:val="22"/>
          <w:lang w:eastAsia="en-US"/>
        </w:rPr>
      </w:pPr>
      <w:r w:rsidRPr="00EC1A78">
        <w:rPr>
          <w:color w:val="000000"/>
          <w:sz w:val="22"/>
          <w:szCs w:val="22"/>
        </w:rPr>
        <w:t>2.</w:t>
      </w:r>
      <w:r w:rsidRPr="00EC1A78">
        <w:rPr>
          <w:rFonts w:eastAsiaTheme="minorHAnsi"/>
          <w:i/>
          <w:sz w:val="22"/>
          <w:szCs w:val="22"/>
          <w:lang w:eastAsia="en-US"/>
        </w:rPr>
        <w:t xml:space="preserve"> </w:t>
      </w:r>
      <w:r w:rsidRPr="00EC1A78">
        <w:rPr>
          <w:rFonts w:eastAsiaTheme="minorHAnsi"/>
          <w:sz w:val="22"/>
          <w:szCs w:val="22"/>
          <w:lang w:eastAsia="en-US"/>
        </w:rPr>
        <w:t>Иончекова В.Г. Процессуальный порядок установления (удочерения) детей в Российской Федерации: Дисс. … канд. юр. наук. СПб., СПбУ МВД России, 2000. С. 28.</w:t>
      </w:r>
      <w:r w:rsidRPr="00EC1A78">
        <w:rPr>
          <w:rFonts w:eastAsia="Courier New"/>
          <w:color w:val="000000"/>
          <w:sz w:val="22"/>
          <w:szCs w:val="22"/>
          <w:lang w:eastAsia="en-US"/>
        </w:rPr>
        <w:t xml:space="preserve"> </w:t>
      </w:r>
    </w:p>
    <w:p w:rsidR="006A771F" w:rsidRPr="00EC1A78" w:rsidRDefault="006A771F" w:rsidP="00EC1A78">
      <w:pPr>
        <w:jc w:val="both"/>
        <w:rPr>
          <w:rFonts w:eastAsiaTheme="minorHAnsi"/>
          <w:sz w:val="22"/>
          <w:szCs w:val="22"/>
          <w:lang w:eastAsia="en-US"/>
        </w:rPr>
      </w:pPr>
    </w:p>
    <w:p w:rsidR="00EC1A78" w:rsidRPr="00723562" w:rsidRDefault="00723562" w:rsidP="00EC1A78">
      <w:pPr>
        <w:rPr>
          <w:rFonts w:eastAsiaTheme="minorHAnsi"/>
          <w:sz w:val="22"/>
          <w:szCs w:val="22"/>
          <w:lang w:eastAsia="en-US"/>
        </w:rPr>
      </w:pPr>
      <w:r w:rsidRPr="00723562">
        <w:rPr>
          <w:rFonts w:eastAsiaTheme="minorHAnsi"/>
          <w:sz w:val="22"/>
          <w:szCs w:val="22"/>
          <w:lang w:eastAsia="en-US"/>
        </w:rPr>
        <w:lastRenderedPageBreak/>
        <w:t xml:space="preserve">УДК </w:t>
      </w:r>
      <w:r w:rsidR="00EC1A78" w:rsidRPr="00723562">
        <w:rPr>
          <w:rFonts w:eastAsiaTheme="minorHAnsi"/>
          <w:sz w:val="22"/>
          <w:szCs w:val="22"/>
          <w:lang w:eastAsia="en-US"/>
        </w:rPr>
        <w:t>347.91/.95</w:t>
      </w:r>
    </w:p>
    <w:p w:rsidR="00EC1A78" w:rsidRPr="00EC1A78" w:rsidRDefault="00EC1A78" w:rsidP="00EC1A78">
      <w:pPr>
        <w:jc w:val="right"/>
        <w:rPr>
          <w:rFonts w:eastAsiaTheme="minorHAnsi"/>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Электронный документооборот как одна из форм </w:t>
      </w:r>
      <w:r w:rsidR="00723562">
        <w:rPr>
          <w:rFonts w:eastAsiaTheme="minorHAnsi"/>
          <w:b/>
          <w:sz w:val="24"/>
          <w:szCs w:val="24"/>
          <w:lang w:eastAsia="en-US"/>
        </w:rPr>
        <w:br/>
      </w:r>
      <w:r w:rsidRPr="00EC1A78">
        <w:rPr>
          <w:rFonts w:eastAsiaTheme="minorHAnsi"/>
          <w:b/>
          <w:sz w:val="24"/>
          <w:szCs w:val="24"/>
          <w:lang w:eastAsia="en-US"/>
        </w:rPr>
        <w:t xml:space="preserve">повышения юридической защищенности участников </w:t>
      </w:r>
      <w:r w:rsidR="00723562">
        <w:rPr>
          <w:rFonts w:eastAsiaTheme="minorHAnsi"/>
          <w:b/>
          <w:sz w:val="24"/>
          <w:szCs w:val="24"/>
          <w:lang w:eastAsia="en-US"/>
        </w:rPr>
        <w:br/>
      </w:r>
      <w:r w:rsidRPr="00EC1A78">
        <w:rPr>
          <w:rFonts w:eastAsiaTheme="minorHAnsi"/>
          <w:b/>
          <w:sz w:val="24"/>
          <w:szCs w:val="24"/>
          <w:lang w:eastAsia="en-US"/>
        </w:rPr>
        <w:t>нотариальных действий</w:t>
      </w:r>
    </w:p>
    <w:p w:rsidR="00EC1A78" w:rsidRPr="00EC1A78" w:rsidRDefault="00EC1A78" w:rsidP="00EC1A78">
      <w:pPr>
        <w:jc w:val="center"/>
        <w:rPr>
          <w:rFonts w:eastAsiaTheme="minorHAnsi"/>
          <w:sz w:val="24"/>
          <w:szCs w:val="24"/>
          <w:lang w:val="en-US" w:eastAsia="en-US"/>
        </w:rPr>
      </w:pPr>
      <w:r w:rsidRPr="00EC1A78">
        <w:rPr>
          <w:rFonts w:eastAsiaTheme="minorHAnsi"/>
          <w:b/>
          <w:sz w:val="24"/>
          <w:szCs w:val="24"/>
          <w:lang w:val="en-US" w:eastAsia="en-US"/>
        </w:rPr>
        <w:t>Notarial</w:t>
      </w:r>
      <w:r w:rsidRPr="001C6F5C">
        <w:rPr>
          <w:rFonts w:eastAsiaTheme="minorHAnsi"/>
          <w:b/>
          <w:sz w:val="24"/>
          <w:szCs w:val="24"/>
          <w:lang w:val="en-US" w:eastAsia="en-US"/>
        </w:rPr>
        <w:t xml:space="preserve"> </w:t>
      </w:r>
      <w:r w:rsidRPr="00EC1A78">
        <w:rPr>
          <w:rFonts w:eastAsiaTheme="minorHAnsi"/>
          <w:b/>
          <w:sz w:val="24"/>
          <w:szCs w:val="24"/>
          <w:lang w:val="en-US" w:eastAsia="en-US"/>
        </w:rPr>
        <w:t>electronic</w:t>
      </w:r>
      <w:r w:rsidRPr="001C6F5C">
        <w:rPr>
          <w:rFonts w:eastAsiaTheme="minorHAnsi"/>
          <w:b/>
          <w:sz w:val="24"/>
          <w:szCs w:val="24"/>
          <w:lang w:val="en-US" w:eastAsia="en-US"/>
        </w:rPr>
        <w:t xml:space="preserve"> </w:t>
      </w:r>
      <w:r w:rsidRPr="00EC1A78">
        <w:rPr>
          <w:rFonts w:eastAsiaTheme="minorHAnsi"/>
          <w:b/>
          <w:sz w:val="24"/>
          <w:szCs w:val="24"/>
          <w:lang w:val="en-US" w:eastAsia="en-US"/>
        </w:rPr>
        <w:t>document</w:t>
      </w:r>
      <w:r w:rsidRPr="001C6F5C">
        <w:rPr>
          <w:rFonts w:eastAsiaTheme="minorHAnsi"/>
          <w:b/>
          <w:sz w:val="24"/>
          <w:szCs w:val="24"/>
          <w:lang w:val="en-US" w:eastAsia="en-US"/>
        </w:rPr>
        <w:t xml:space="preserve"> </w:t>
      </w:r>
      <w:r w:rsidRPr="00EC1A78">
        <w:rPr>
          <w:rFonts w:eastAsiaTheme="minorHAnsi"/>
          <w:b/>
          <w:sz w:val="24"/>
          <w:szCs w:val="24"/>
          <w:lang w:val="en-US" w:eastAsia="en-US"/>
        </w:rPr>
        <w:t>circulation</w:t>
      </w:r>
      <w:r w:rsidRPr="001C6F5C">
        <w:rPr>
          <w:rFonts w:eastAsiaTheme="minorHAnsi"/>
          <w:b/>
          <w:sz w:val="24"/>
          <w:szCs w:val="24"/>
          <w:lang w:val="en-US" w:eastAsia="en-US"/>
        </w:rPr>
        <w:t xml:space="preserve"> </w:t>
      </w:r>
      <w:r w:rsidRPr="00EC1A78">
        <w:rPr>
          <w:rFonts w:eastAsiaTheme="minorHAnsi"/>
          <w:b/>
          <w:sz w:val="24"/>
          <w:szCs w:val="24"/>
          <w:lang w:val="en-US" w:eastAsia="en-US"/>
        </w:rPr>
        <w:t>as</w:t>
      </w:r>
      <w:r w:rsidRPr="001C6F5C">
        <w:rPr>
          <w:rFonts w:eastAsiaTheme="minorHAnsi"/>
          <w:b/>
          <w:sz w:val="24"/>
          <w:szCs w:val="24"/>
          <w:lang w:val="en-US" w:eastAsia="en-US"/>
        </w:rPr>
        <w:t xml:space="preserve"> </w:t>
      </w:r>
      <w:r w:rsidRPr="00EC1A78">
        <w:rPr>
          <w:rFonts w:eastAsiaTheme="minorHAnsi"/>
          <w:b/>
          <w:sz w:val="24"/>
          <w:szCs w:val="24"/>
          <w:lang w:val="en-US" w:eastAsia="en-US"/>
        </w:rPr>
        <w:t>one</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the</w:t>
      </w:r>
      <w:r w:rsidRPr="001C6F5C">
        <w:rPr>
          <w:rFonts w:eastAsiaTheme="minorHAnsi"/>
          <w:b/>
          <w:sz w:val="24"/>
          <w:szCs w:val="24"/>
          <w:lang w:val="en-US" w:eastAsia="en-US"/>
        </w:rPr>
        <w:t xml:space="preserve"> </w:t>
      </w:r>
      <w:r w:rsidRPr="00EC1A78">
        <w:rPr>
          <w:rFonts w:eastAsiaTheme="minorHAnsi"/>
          <w:b/>
          <w:sz w:val="24"/>
          <w:szCs w:val="24"/>
          <w:lang w:val="en-US" w:eastAsia="en-US"/>
        </w:rPr>
        <w:t>forms</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increasing</w:t>
      </w:r>
      <w:r w:rsidRPr="001C6F5C">
        <w:rPr>
          <w:rFonts w:eastAsiaTheme="minorHAnsi"/>
          <w:b/>
          <w:sz w:val="24"/>
          <w:szCs w:val="24"/>
          <w:lang w:val="en-US" w:eastAsia="en-US"/>
        </w:rPr>
        <w:t xml:space="preserve"> </w:t>
      </w:r>
      <w:r w:rsidRPr="00EC1A78">
        <w:rPr>
          <w:rFonts w:eastAsiaTheme="minorHAnsi"/>
          <w:b/>
          <w:sz w:val="24"/>
          <w:szCs w:val="24"/>
          <w:lang w:val="en-US" w:eastAsia="en-US"/>
        </w:rPr>
        <w:t>the</w:t>
      </w:r>
      <w:r w:rsidRPr="001C6F5C">
        <w:rPr>
          <w:rFonts w:eastAsiaTheme="minorHAnsi"/>
          <w:b/>
          <w:sz w:val="24"/>
          <w:szCs w:val="24"/>
          <w:lang w:val="en-US" w:eastAsia="en-US"/>
        </w:rPr>
        <w:t xml:space="preserve"> </w:t>
      </w:r>
      <w:r w:rsidRPr="00EC1A78">
        <w:rPr>
          <w:rFonts w:eastAsiaTheme="minorHAnsi"/>
          <w:b/>
          <w:sz w:val="24"/>
          <w:szCs w:val="24"/>
          <w:lang w:val="en-US" w:eastAsia="en-US"/>
        </w:rPr>
        <w:t>legal</w:t>
      </w:r>
      <w:r w:rsidRPr="001C6F5C">
        <w:rPr>
          <w:rFonts w:eastAsiaTheme="minorHAnsi"/>
          <w:b/>
          <w:sz w:val="24"/>
          <w:szCs w:val="24"/>
          <w:lang w:val="en-US" w:eastAsia="en-US"/>
        </w:rPr>
        <w:t xml:space="preserve"> </w:t>
      </w:r>
      <w:r w:rsidRPr="00EC1A78">
        <w:rPr>
          <w:rFonts w:eastAsiaTheme="minorHAnsi"/>
          <w:b/>
          <w:sz w:val="24"/>
          <w:szCs w:val="24"/>
          <w:lang w:val="en-US" w:eastAsia="en-US"/>
        </w:rPr>
        <w:t>protection</w:t>
      </w:r>
      <w:r w:rsidRPr="001C6F5C">
        <w:rPr>
          <w:rFonts w:eastAsiaTheme="minorHAnsi"/>
          <w:b/>
          <w:sz w:val="24"/>
          <w:szCs w:val="24"/>
          <w:lang w:val="en-US" w:eastAsia="en-US"/>
        </w:rPr>
        <w:t xml:space="preserve"> </w:t>
      </w:r>
      <w:r w:rsidRPr="00EC1A78">
        <w:rPr>
          <w:rFonts w:eastAsiaTheme="minorHAnsi"/>
          <w:b/>
          <w:sz w:val="24"/>
          <w:szCs w:val="24"/>
          <w:lang w:val="en-US" w:eastAsia="en-US"/>
        </w:rPr>
        <w:t>of</w:t>
      </w:r>
      <w:r w:rsidRPr="001C6F5C">
        <w:rPr>
          <w:rFonts w:eastAsiaTheme="minorHAnsi"/>
          <w:b/>
          <w:sz w:val="24"/>
          <w:szCs w:val="24"/>
          <w:lang w:val="en-US" w:eastAsia="en-US"/>
        </w:rPr>
        <w:t xml:space="preserve"> </w:t>
      </w:r>
      <w:r w:rsidRPr="00EC1A78">
        <w:rPr>
          <w:rFonts w:eastAsiaTheme="minorHAnsi"/>
          <w:b/>
          <w:sz w:val="24"/>
          <w:szCs w:val="24"/>
          <w:lang w:val="en-US" w:eastAsia="en-US"/>
        </w:rPr>
        <w:t>participants</w:t>
      </w:r>
      <w:r w:rsidRPr="001C6F5C">
        <w:rPr>
          <w:rFonts w:eastAsiaTheme="minorHAnsi"/>
          <w:b/>
          <w:sz w:val="24"/>
          <w:szCs w:val="24"/>
          <w:lang w:val="en-US" w:eastAsia="en-US"/>
        </w:rPr>
        <w:t xml:space="preserve"> </w:t>
      </w:r>
      <w:r w:rsidRPr="00EC1A78">
        <w:rPr>
          <w:rFonts w:eastAsiaTheme="minorHAnsi"/>
          <w:b/>
          <w:sz w:val="24"/>
          <w:szCs w:val="24"/>
          <w:lang w:val="en-US" w:eastAsia="en-US"/>
        </w:rPr>
        <w:t>in</w:t>
      </w:r>
      <w:r w:rsidRPr="001C6F5C">
        <w:rPr>
          <w:rFonts w:eastAsiaTheme="minorHAnsi"/>
          <w:b/>
          <w:sz w:val="24"/>
          <w:szCs w:val="24"/>
          <w:lang w:val="en-US" w:eastAsia="en-US"/>
        </w:rPr>
        <w:t xml:space="preserve"> </w:t>
      </w:r>
      <w:r w:rsidRPr="00EC1A78">
        <w:rPr>
          <w:rFonts w:eastAsiaTheme="minorHAnsi"/>
          <w:b/>
          <w:sz w:val="24"/>
          <w:szCs w:val="24"/>
          <w:lang w:val="en-US" w:eastAsia="en-US"/>
        </w:rPr>
        <w:t>notarial</w:t>
      </w:r>
      <w:r w:rsidRPr="001C6F5C">
        <w:rPr>
          <w:rFonts w:eastAsiaTheme="minorHAnsi"/>
          <w:b/>
          <w:sz w:val="24"/>
          <w:szCs w:val="24"/>
          <w:lang w:val="en-US" w:eastAsia="en-US"/>
        </w:rPr>
        <w:t xml:space="preserve"> </w:t>
      </w:r>
      <w:r w:rsidRPr="00EC1A78">
        <w:rPr>
          <w:rFonts w:eastAsiaTheme="minorHAnsi"/>
          <w:b/>
          <w:sz w:val="24"/>
          <w:szCs w:val="24"/>
          <w:lang w:val="en-US" w:eastAsia="en-US"/>
        </w:rPr>
        <w:t>acts</w:t>
      </w:r>
    </w:p>
    <w:p w:rsidR="00EC1A78" w:rsidRPr="00EC1A78" w:rsidRDefault="00EC1A78" w:rsidP="00EC1A78">
      <w:pPr>
        <w:jc w:val="right"/>
        <w:rPr>
          <w:rFonts w:eastAsiaTheme="minorHAnsi"/>
          <w:sz w:val="24"/>
          <w:szCs w:val="24"/>
          <w:lang w:val="en-US" w:eastAsia="en-US"/>
        </w:rPr>
      </w:pPr>
    </w:p>
    <w:p w:rsidR="00EC1A78" w:rsidRPr="00723562" w:rsidRDefault="00EC1A78" w:rsidP="00EC1A78">
      <w:pPr>
        <w:jc w:val="right"/>
        <w:rPr>
          <w:rFonts w:eastAsiaTheme="minorHAnsi"/>
          <w:sz w:val="22"/>
          <w:szCs w:val="22"/>
          <w:lang w:eastAsia="en-US"/>
        </w:rPr>
      </w:pPr>
      <w:r w:rsidRPr="00723562">
        <w:rPr>
          <w:rFonts w:eastAsiaTheme="minorHAnsi"/>
          <w:sz w:val="22"/>
          <w:szCs w:val="22"/>
          <w:lang w:eastAsia="en-US"/>
        </w:rPr>
        <w:t>Фомичева Э.</w:t>
      </w:r>
      <w:r w:rsidR="00723562" w:rsidRPr="00723562">
        <w:rPr>
          <w:rFonts w:eastAsiaTheme="minorHAnsi"/>
          <w:sz w:val="22"/>
          <w:szCs w:val="22"/>
          <w:lang w:eastAsia="en-US"/>
        </w:rPr>
        <w:t xml:space="preserve"> </w:t>
      </w:r>
      <w:r w:rsidRPr="00723562">
        <w:rPr>
          <w:rFonts w:eastAsiaTheme="minorHAnsi"/>
          <w:sz w:val="22"/>
          <w:szCs w:val="22"/>
          <w:lang w:eastAsia="en-US"/>
        </w:rPr>
        <w:t>С.,</w:t>
      </w:r>
    </w:p>
    <w:p w:rsidR="00EC1A78" w:rsidRPr="00723562" w:rsidRDefault="00EC1A78" w:rsidP="00EC1A78">
      <w:pPr>
        <w:jc w:val="right"/>
        <w:rPr>
          <w:rFonts w:eastAsiaTheme="minorHAnsi"/>
          <w:sz w:val="22"/>
          <w:szCs w:val="22"/>
          <w:lang w:eastAsia="en-US"/>
        </w:rPr>
      </w:pPr>
      <w:r w:rsidRPr="00723562">
        <w:rPr>
          <w:rFonts w:eastAsiaTheme="minorHAnsi"/>
          <w:sz w:val="22"/>
          <w:szCs w:val="22"/>
          <w:lang w:eastAsia="en-US"/>
        </w:rPr>
        <w:t>студентка 3–го курса юридического факультета</w:t>
      </w:r>
    </w:p>
    <w:p w:rsidR="00EC1A78" w:rsidRPr="00723562" w:rsidRDefault="00EC1A78" w:rsidP="00EC1A78">
      <w:pPr>
        <w:jc w:val="right"/>
        <w:rPr>
          <w:rFonts w:eastAsiaTheme="minorHAnsi"/>
          <w:sz w:val="22"/>
          <w:szCs w:val="22"/>
          <w:lang w:eastAsia="en-US"/>
        </w:rPr>
      </w:pPr>
      <w:r w:rsidRPr="00723562">
        <w:rPr>
          <w:rFonts w:eastAsiaTheme="minorHAnsi"/>
          <w:sz w:val="22"/>
          <w:szCs w:val="22"/>
          <w:lang w:eastAsia="en-US"/>
        </w:rPr>
        <w:t>Сидорко Т.</w:t>
      </w:r>
      <w:r w:rsidR="00723562" w:rsidRPr="00723562">
        <w:rPr>
          <w:rFonts w:eastAsiaTheme="minorHAnsi"/>
          <w:sz w:val="22"/>
          <w:szCs w:val="22"/>
          <w:lang w:eastAsia="en-US"/>
        </w:rPr>
        <w:t xml:space="preserve"> </w:t>
      </w:r>
      <w:r w:rsidRPr="00723562">
        <w:rPr>
          <w:rFonts w:eastAsiaTheme="minorHAnsi"/>
          <w:sz w:val="22"/>
          <w:szCs w:val="22"/>
          <w:lang w:eastAsia="en-US"/>
        </w:rPr>
        <w:t>Г.</w:t>
      </w:r>
      <w:r w:rsidR="00723562">
        <w:rPr>
          <w:rFonts w:eastAsiaTheme="minorHAnsi"/>
          <w:sz w:val="22"/>
          <w:szCs w:val="22"/>
          <w:lang w:eastAsia="en-US"/>
        </w:rPr>
        <w:t>,</w:t>
      </w:r>
    </w:p>
    <w:p w:rsidR="00EC1A78" w:rsidRPr="00723562" w:rsidRDefault="00EC1A78" w:rsidP="00EC1A78">
      <w:pPr>
        <w:jc w:val="right"/>
        <w:rPr>
          <w:rFonts w:eastAsiaTheme="minorHAnsi"/>
          <w:sz w:val="22"/>
          <w:szCs w:val="22"/>
          <w:lang w:eastAsia="en-US"/>
        </w:rPr>
      </w:pPr>
      <w:r w:rsidRPr="00723562">
        <w:rPr>
          <w:rFonts w:eastAsiaTheme="minorHAnsi"/>
          <w:sz w:val="22"/>
          <w:szCs w:val="22"/>
          <w:lang w:eastAsia="en-US"/>
        </w:rPr>
        <w:t>Кубанский государственный аграрный</w:t>
      </w:r>
    </w:p>
    <w:p w:rsidR="00EC1A78" w:rsidRPr="00723562" w:rsidRDefault="00EC1A78" w:rsidP="00EC1A78">
      <w:pPr>
        <w:jc w:val="right"/>
        <w:rPr>
          <w:rFonts w:eastAsiaTheme="minorHAnsi"/>
          <w:b/>
          <w:sz w:val="22"/>
          <w:szCs w:val="22"/>
          <w:lang w:eastAsia="en-US"/>
        </w:rPr>
      </w:pPr>
      <w:r w:rsidRPr="00723562">
        <w:rPr>
          <w:rFonts w:eastAsiaTheme="minorHAnsi"/>
          <w:sz w:val="22"/>
          <w:szCs w:val="22"/>
          <w:lang w:eastAsia="en-US"/>
        </w:rPr>
        <w:t>университет имени И.</w:t>
      </w:r>
      <w:r w:rsidR="00723562" w:rsidRPr="00723562">
        <w:rPr>
          <w:rFonts w:eastAsiaTheme="minorHAnsi"/>
          <w:sz w:val="22"/>
          <w:szCs w:val="22"/>
          <w:lang w:eastAsia="en-US"/>
        </w:rPr>
        <w:t xml:space="preserve"> </w:t>
      </w:r>
      <w:r w:rsidRPr="00723562">
        <w:rPr>
          <w:rFonts w:eastAsiaTheme="minorHAnsi"/>
          <w:sz w:val="22"/>
          <w:szCs w:val="22"/>
          <w:lang w:eastAsia="en-US"/>
        </w:rPr>
        <w:t>Т. Трубилина</w:t>
      </w:r>
    </w:p>
    <w:p w:rsidR="00EC1A78" w:rsidRPr="00723562" w:rsidRDefault="00EC1A78" w:rsidP="00EC1A78">
      <w:pPr>
        <w:jc w:val="center"/>
        <w:rPr>
          <w:rFonts w:eastAsiaTheme="minorHAnsi"/>
          <w:b/>
          <w:sz w:val="22"/>
          <w:szCs w:val="22"/>
          <w:lang w:eastAsia="en-US"/>
        </w:rPr>
      </w:pPr>
    </w:p>
    <w:p w:rsidR="00EC1A78" w:rsidRPr="00EC1A78" w:rsidRDefault="00723562" w:rsidP="00EC1A78">
      <w:pPr>
        <w:ind w:firstLine="425"/>
        <w:jc w:val="both"/>
        <w:rPr>
          <w:rFonts w:eastAsiaTheme="minorHAnsi"/>
          <w:sz w:val="22"/>
          <w:szCs w:val="22"/>
          <w:lang w:eastAsia="en-US"/>
        </w:rPr>
      </w:pPr>
      <w:r>
        <w:rPr>
          <w:rFonts w:eastAsiaTheme="minorHAnsi"/>
          <w:sz w:val="22"/>
          <w:szCs w:val="22"/>
          <w:lang w:eastAsia="en-US"/>
        </w:rPr>
        <w:t>АННОТАЦИЯ: А</w:t>
      </w:r>
      <w:r w:rsidR="00EC1A78" w:rsidRPr="00EC1A78">
        <w:rPr>
          <w:rFonts w:eastAsiaTheme="minorHAnsi"/>
          <w:sz w:val="22"/>
          <w:szCs w:val="22"/>
          <w:lang w:eastAsia="en-US"/>
        </w:rPr>
        <w:t>вторами анализируется эффективность пр</w:t>
      </w:r>
      <w:r w:rsidR="00EC1A78" w:rsidRPr="00EC1A78">
        <w:rPr>
          <w:rFonts w:eastAsiaTheme="minorHAnsi"/>
          <w:sz w:val="22"/>
          <w:szCs w:val="22"/>
          <w:lang w:eastAsia="en-US"/>
        </w:rPr>
        <w:t>и</w:t>
      </w:r>
      <w:r w:rsidR="00EC1A78" w:rsidRPr="00EC1A78">
        <w:rPr>
          <w:rFonts w:eastAsiaTheme="minorHAnsi"/>
          <w:sz w:val="22"/>
          <w:szCs w:val="22"/>
          <w:lang w:eastAsia="en-US"/>
        </w:rPr>
        <w:t>менения в нотариальной деятельности электронного документооб</w:t>
      </w:r>
      <w:r w:rsidR="00EC1A78" w:rsidRPr="00EC1A78">
        <w:rPr>
          <w:rFonts w:eastAsiaTheme="minorHAnsi"/>
          <w:sz w:val="22"/>
          <w:szCs w:val="22"/>
          <w:lang w:eastAsia="en-US"/>
        </w:rPr>
        <w:t>о</w:t>
      </w:r>
      <w:r w:rsidR="00EC1A78" w:rsidRPr="00EC1A78">
        <w:rPr>
          <w:rFonts w:eastAsiaTheme="minorHAnsi"/>
          <w:sz w:val="22"/>
          <w:szCs w:val="22"/>
          <w:lang w:eastAsia="en-US"/>
        </w:rPr>
        <w:t>рота.</w:t>
      </w:r>
    </w:p>
    <w:p w:rsidR="00EC1A78" w:rsidRPr="00EC1A78" w:rsidRDefault="00723562" w:rsidP="00EC1A78">
      <w:pPr>
        <w:ind w:firstLine="425"/>
        <w:jc w:val="both"/>
        <w:rPr>
          <w:rFonts w:eastAsiaTheme="minorHAnsi"/>
          <w:sz w:val="22"/>
          <w:szCs w:val="22"/>
          <w:lang w:val="en-US" w:eastAsia="en-US"/>
        </w:rPr>
      </w:pPr>
      <w:r>
        <w:rPr>
          <w:rFonts w:eastAsiaTheme="minorHAnsi"/>
          <w:sz w:val="22"/>
          <w:szCs w:val="22"/>
          <w:lang w:val="en-US" w:eastAsia="en-US"/>
        </w:rPr>
        <w:t xml:space="preserve">ABSTRACT: </w:t>
      </w:r>
      <w:r>
        <w:rPr>
          <w:rFonts w:eastAsiaTheme="minorHAnsi"/>
          <w:sz w:val="22"/>
          <w:szCs w:val="22"/>
          <w:lang w:eastAsia="en-US"/>
        </w:rPr>
        <w:t>А</w:t>
      </w:r>
      <w:r w:rsidR="00EC1A78" w:rsidRPr="00EC1A78">
        <w:rPr>
          <w:rFonts w:eastAsiaTheme="minorHAnsi"/>
          <w:sz w:val="22"/>
          <w:szCs w:val="22"/>
          <w:lang w:val="en-US" w:eastAsia="en-US"/>
        </w:rPr>
        <w:t>uthors are invited to consider in the civil–legal sphere of notarial electronic document circulation under notarial acts.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нотариат, Единая Информационная с</w:t>
      </w:r>
      <w:r w:rsidRPr="00EC1A78">
        <w:rPr>
          <w:rFonts w:eastAsiaTheme="minorHAnsi"/>
          <w:sz w:val="22"/>
          <w:szCs w:val="22"/>
          <w:lang w:eastAsia="en-US"/>
        </w:rPr>
        <w:t>и</w:t>
      </w:r>
      <w:r w:rsidRPr="00EC1A78">
        <w:rPr>
          <w:rFonts w:eastAsiaTheme="minorHAnsi"/>
          <w:sz w:val="22"/>
          <w:szCs w:val="22"/>
          <w:lang w:eastAsia="en-US"/>
        </w:rPr>
        <w:t>стема регистрации нотариальных действий, электронный докуме</w:t>
      </w:r>
      <w:r w:rsidRPr="00EC1A78">
        <w:rPr>
          <w:rFonts w:eastAsiaTheme="minorHAnsi"/>
          <w:sz w:val="22"/>
          <w:szCs w:val="22"/>
          <w:lang w:eastAsia="en-US"/>
        </w:rPr>
        <w:t>н</w:t>
      </w:r>
      <w:r w:rsidRPr="00EC1A78">
        <w:rPr>
          <w:rFonts w:eastAsiaTheme="minorHAnsi"/>
          <w:sz w:val="22"/>
          <w:szCs w:val="22"/>
          <w:lang w:eastAsia="en-US"/>
        </w:rPr>
        <w:t>тооборот.</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notary, United Information System, document circ</w:t>
      </w:r>
      <w:r w:rsidRPr="00EC1A78">
        <w:rPr>
          <w:rFonts w:eastAsiaTheme="minorHAnsi"/>
          <w:sz w:val="22"/>
          <w:szCs w:val="22"/>
          <w:lang w:val="en-US" w:eastAsia="en-US"/>
        </w:rPr>
        <w:t>u</w:t>
      </w:r>
      <w:r w:rsidRPr="00EC1A78">
        <w:rPr>
          <w:rFonts w:eastAsiaTheme="minorHAnsi"/>
          <w:sz w:val="22"/>
          <w:szCs w:val="22"/>
          <w:lang w:val="en-US" w:eastAsia="en-US"/>
        </w:rPr>
        <w:t>lation.</w:t>
      </w:r>
    </w:p>
    <w:p w:rsidR="00EC1A78" w:rsidRPr="00EC1A78" w:rsidRDefault="00EC1A78" w:rsidP="00EC1A78">
      <w:pPr>
        <w:ind w:firstLine="425"/>
        <w:jc w:val="both"/>
        <w:rPr>
          <w:rFonts w:eastAsiaTheme="minorHAnsi"/>
          <w: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Для улучшения согласованной работы и взаимодействия в электронном виде с государственными структурами с 1 января 2018 года произошел переход к Единой Информационной системе (далее ЕИС), которой предусмотрена электронная регистрация всех р</w:t>
      </w:r>
      <w:r w:rsidRPr="00EC1A78">
        <w:rPr>
          <w:rFonts w:eastAsiaTheme="minorHAnsi"/>
          <w:sz w:val="22"/>
          <w:szCs w:val="22"/>
          <w:lang w:eastAsia="en-US"/>
        </w:rPr>
        <w:t>е</w:t>
      </w:r>
      <w:r w:rsidRPr="00EC1A78">
        <w:rPr>
          <w:rFonts w:eastAsiaTheme="minorHAnsi"/>
          <w:sz w:val="22"/>
          <w:szCs w:val="22"/>
          <w:lang w:eastAsia="en-US"/>
        </w:rPr>
        <w:t>зультатов работы нотариусов. ЕИС дает возможность обеспечить согласованную работу и взаимодействие в электронном виде с го</w:t>
      </w:r>
      <w:r w:rsidRPr="00EC1A78">
        <w:rPr>
          <w:rFonts w:eastAsiaTheme="minorHAnsi"/>
          <w:sz w:val="22"/>
          <w:szCs w:val="22"/>
          <w:lang w:eastAsia="en-US"/>
        </w:rPr>
        <w:t>с</w:t>
      </w:r>
      <w:r w:rsidRPr="00EC1A78">
        <w:rPr>
          <w:rFonts w:eastAsiaTheme="minorHAnsi"/>
          <w:sz w:val="22"/>
          <w:szCs w:val="22"/>
          <w:lang w:eastAsia="en-US"/>
        </w:rPr>
        <w:t>ударственными структурами, прежде всего Росреестром, ФНС и МВД, банковской и на практике работу бесплатных служб, досту</w:t>
      </w:r>
      <w:r w:rsidRPr="00EC1A78">
        <w:rPr>
          <w:rFonts w:eastAsiaTheme="minorHAnsi"/>
          <w:sz w:val="22"/>
          <w:szCs w:val="22"/>
          <w:lang w:eastAsia="en-US"/>
        </w:rPr>
        <w:t>п</w:t>
      </w:r>
      <w:r w:rsidRPr="00EC1A78">
        <w:rPr>
          <w:rFonts w:eastAsiaTheme="minorHAnsi"/>
          <w:sz w:val="22"/>
          <w:szCs w:val="22"/>
          <w:lang w:eastAsia="en-US"/>
        </w:rPr>
        <w:t>ных гражданам, а также сократить число случаев мошенничества с документами.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При переходе нотариусов на электронный документооборот сделки и договоры, заключенные в электронном виде, удостовер</w:t>
      </w:r>
      <w:r w:rsidRPr="00EC1A78">
        <w:rPr>
          <w:rFonts w:eastAsiaTheme="minorHAnsi"/>
          <w:sz w:val="22"/>
          <w:szCs w:val="22"/>
          <w:lang w:eastAsia="en-US"/>
        </w:rPr>
        <w:t>я</w:t>
      </w:r>
      <w:r w:rsidRPr="00EC1A78">
        <w:rPr>
          <w:rFonts w:eastAsiaTheme="minorHAnsi"/>
          <w:sz w:val="22"/>
          <w:szCs w:val="22"/>
          <w:lang w:eastAsia="en-US"/>
        </w:rPr>
        <w:lastRenderedPageBreak/>
        <w:t>ются при наличии у заявителя электронной подписи. А в случае н</w:t>
      </w:r>
      <w:r w:rsidRPr="00EC1A78">
        <w:rPr>
          <w:rFonts w:eastAsiaTheme="minorHAnsi"/>
          <w:sz w:val="22"/>
          <w:szCs w:val="22"/>
          <w:lang w:eastAsia="en-US"/>
        </w:rPr>
        <w:t>о</w:t>
      </w:r>
      <w:r w:rsidRPr="00EC1A78">
        <w:rPr>
          <w:rFonts w:eastAsiaTheme="minorHAnsi"/>
          <w:sz w:val="22"/>
          <w:szCs w:val="22"/>
          <w:lang w:eastAsia="en-US"/>
        </w:rPr>
        <w:t>тариального удостоверения сделок с недвижимостью нотариусы предоставляют их в Росреестр для регистрации права собственн</w:t>
      </w:r>
      <w:r w:rsidRPr="00EC1A78">
        <w:rPr>
          <w:rFonts w:eastAsiaTheme="minorHAnsi"/>
          <w:sz w:val="22"/>
          <w:szCs w:val="22"/>
          <w:lang w:eastAsia="en-US"/>
        </w:rPr>
        <w:t>о</w:t>
      </w:r>
      <w:r w:rsidRPr="00EC1A78">
        <w:rPr>
          <w:rFonts w:eastAsiaTheme="minorHAnsi"/>
          <w:sz w:val="22"/>
          <w:szCs w:val="22"/>
          <w:lang w:eastAsia="en-US"/>
        </w:rPr>
        <w:t>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Если в бумажном виде срок регистрации права собственности в случае нотариального удостоверения составляет 3 рабочих дня, то при подаче в электронном виде срок сокращается до 1 рабочего дня.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Электронное удостоверение сделок позволяет снизить затраты на их оформление в несколько раз, сократить число процедур и время проведения сделки, так как все выписки из ЕГРП и кадастра можно будет получить в электронном виде. Что касается затрат, то составление договора, другие правовые и технические работы стоят около 5–10 тыс. руб., передача электронных документов в Роср</w:t>
      </w:r>
      <w:r w:rsidRPr="00EC1A78">
        <w:rPr>
          <w:rFonts w:eastAsiaTheme="minorHAnsi"/>
          <w:sz w:val="22"/>
          <w:szCs w:val="22"/>
          <w:lang w:eastAsia="en-US"/>
        </w:rPr>
        <w:t>е</w:t>
      </w:r>
      <w:r w:rsidRPr="00EC1A78">
        <w:rPr>
          <w:rFonts w:eastAsiaTheme="minorHAnsi"/>
          <w:sz w:val="22"/>
          <w:szCs w:val="22"/>
          <w:lang w:eastAsia="en-US"/>
        </w:rPr>
        <w:t>естр для регистрации– 1,5 тыс рублей.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Еще одним нововведением с 1 января 2018 года является с</w:t>
      </w:r>
      <w:r w:rsidRPr="00EC1A78">
        <w:rPr>
          <w:rFonts w:eastAsiaTheme="minorHAnsi"/>
          <w:sz w:val="22"/>
          <w:szCs w:val="22"/>
          <w:lang w:eastAsia="en-US"/>
        </w:rPr>
        <w:t>о</w:t>
      </w:r>
      <w:r w:rsidRPr="00EC1A78">
        <w:rPr>
          <w:rFonts w:eastAsiaTheme="minorHAnsi"/>
          <w:sz w:val="22"/>
          <w:szCs w:val="22"/>
          <w:lang w:eastAsia="en-US"/>
        </w:rPr>
        <w:t>здание Единого государственного реестра записей актов гражда</w:t>
      </w:r>
      <w:r w:rsidRPr="00EC1A78">
        <w:rPr>
          <w:rFonts w:eastAsiaTheme="minorHAnsi"/>
          <w:sz w:val="22"/>
          <w:szCs w:val="22"/>
          <w:lang w:eastAsia="en-US"/>
        </w:rPr>
        <w:t>н</w:t>
      </w:r>
      <w:r w:rsidRPr="00EC1A78">
        <w:rPr>
          <w:rFonts w:eastAsiaTheme="minorHAnsi"/>
          <w:sz w:val="22"/>
          <w:szCs w:val="22"/>
          <w:lang w:eastAsia="en-US"/>
        </w:rPr>
        <w:t>ского состояния, что позволит нотариусам обеспечить стабильность и законность гражданского оборота. Нотариус при совершении н</w:t>
      </w:r>
      <w:r w:rsidRPr="00EC1A78">
        <w:rPr>
          <w:rFonts w:eastAsiaTheme="minorHAnsi"/>
          <w:sz w:val="22"/>
          <w:szCs w:val="22"/>
          <w:lang w:eastAsia="en-US"/>
        </w:rPr>
        <w:t>о</w:t>
      </w:r>
      <w:r w:rsidRPr="00EC1A78">
        <w:rPr>
          <w:rFonts w:eastAsiaTheme="minorHAnsi"/>
          <w:sz w:val="22"/>
          <w:szCs w:val="22"/>
          <w:lang w:eastAsia="en-US"/>
        </w:rPr>
        <w:t>тариальных действий будет вправе запросить и получить все нео</w:t>
      </w:r>
      <w:r w:rsidRPr="00EC1A78">
        <w:rPr>
          <w:rFonts w:eastAsiaTheme="minorHAnsi"/>
          <w:sz w:val="22"/>
          <w:szCs w:val="22"/>
          <w:lang w:eastAsia="en-US"/>
        </w:rPr>
        <w:t>б</w:t>
      </w:r>
      <w:r w:rsidRPr="00EC1A78">
        <w:rPr>
          <w:rFonts w:eastAsiaTheme="minorHAnsi"/>
          <w:sz w:val="22"/>
          <w:szCs w:val="22"/>
          <w:lang w:eastAsia="en-US"/>
        </w:rPr>
        <w:t>ходимые сведения из Единого государственного реестра записей актов гражданского состояния и избежать неправомерных ситу</w:t>
      </w:r>
      <w:r w:rsidRPr="00EC1A78">
        <w:rPr>
          <w:rFonts w:eastAsiaTheme="minorHAnsi"/>
          <w:sz w:val="22"/>
          <w:szCs w:val="22"/>
          <w:lang w:eastAsia="en-US"/>
        </w:rPr>
        <w:t>а</w:t>
      </w:r>
      <w:r w:rsidRPr="00EC1A78">
        <w:rPr>
          <w:rFonts w:eastAsiaTheme="minorHAnsi"/>
          <w:sz w:val="22"/>
          <w:szCs w:val="22"/>
          <w:lang w:eastAsia="en-US"/>
        </w:rPr>
        <w:t>ции, таких, например, как сокрытие завещания от наследника др</w:t>
      </w:r>
      <w:r w:rsidRPr="00EC1A78">
        <w:rPr>
          <w:rFonts w:eastAsiaTheme="minorHAnsi"/>
          <w:sz w:val="22"/>
          <w:szCs w:val="22"/>
          <w:lang w:eastAsia="en-US"/>
        </w:rPr>
        <w:t>у</w:t>
      </w:r>
      <w:r w:rsidRPr="00EC1A78">
        <w:rPr>
          <w:rFonts w:eastAsiaTheme="minorHAnsi"/>
          <w:sz w:val="22"/>
          <w:szCs w:val="22"/>
          <w:lang w:eastAsia="en-US"/>
        </w:rPr>
        <w:t xml:space="preserve">гими родственниками.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Одной из проблем в нотариальной практике является проверка подлинности представленных документов, например, при предъя</w:t>
      </w:r>
      <w:r w:rsidRPr="00EC1A78">
        <w:rPr>
          <w:rFonts w:eastAsiaTheme="minorHAnsi"/>
          <w:sz w:val="22"/>
          <w:szCs w:val="22"/>
          <w:lang w:eastAsia="en-US"/>
        </w:rPr>
        <w:t>в</w:t>
      </w:r>
      <w:r w:rsidRPr="00EC1A78">
        <w:rPr>
          <w:rFonts w:eastAsiaTheme="minorHAnsi"/>
          <w:sz w:val="22"/>
          <w:szCs w:val="22"/>
          <w:lang w:eastAsia="en-US"/>
        </w:rPr>
        <w:t>лении свидетельства о заключении брака трудно проверить зая</w:t>
      </w:r>
      <w:r w:rsidRPr="00EC1A78">
        <w:rPr>
          <w:rFonts w:eastAsiaTheme="minorHAnsi"/>
          <w:sz w:val="22"/>
          <w:szCs w:val="22"/>
          <w:lang w:eastAsia="en-US"/>
        </w:rPr>
        <w:t>в</w:t>
      </w:r>
      <w:r w:rsidRPr="00EC1A78">
        <w:rPr>
          <w:rFonts w:eastAsiaTheme="minorHAnsi"/>
          <w:sz w:val="22"/>
          <w:szCs w:val="22"/>
          <w:lang w:eastAsia="en-US"/>
        </w:rPr>
        <w:t>ленные лицом сведения. Предоставление же нотариусам доступа к данным реестра ЗАГС позволит избежать мошеннических действий при удостоверении сделок или оформлении наследства, кроме того, время предоставления нотариальных услуг гражданам значительно сократится.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Таким образом, внедрение электронных технологий в работу нотариусов ускоряет всю процедуру совершения нотариальных действий, сокращает время государственной регистрации сделок, повышает степень охраны прав участников путем защиты юридич</w:t>
      </w:r>
      <w:r w:rsidRPr="00EC1A78">
        <w:rPr>
          <w:rFonts w:eastAsiaTheme="minorHAnsi"/>
          <w:sz w:val="22"/>
          <w:szCs w:val="22"/>
          <w:lang w:eastAsia="en-US"/>
        </w:rPr>
        <w:t>е</w:t>
      </w:r>
      <w:r w:rsidRPr="00EC1A78">
        <w:rPr>
          <w:rFonts w:eastAsiaTheme="minorHAnsi"/>
          <w:sz w:val="22"/>
          <w:szCs w:val="22"/>
          <w:lang w:eastAsia="en-US"/>
        </w:rPr>
        <w:t>ски значимой информации и ее достоверности.</w:t>
      </w:r>
    </w:p>
    <w:p w:rsidR="00EC1A78" w:rsidRDefault="00EC1A78" w:rsidP="00EC1A78">
      <w:pPr>
        <w:ind w:firstLine="425"/>
        <w:jc w:val="center"/>
        <w:rPr>
          <w:rFonts w:eastAsiaTheme="minorHAnsi"/>
          <w:b/>
          <w:sz w:val="22"/>
          <w:szCs w:val="22"/>
          <w:lang w:eastAsia="en-US"/>
        </w:rPr>
      </w:pPr>
    </w:p>
    <w:p w:rsidR="00723562" w:rsidRPr="00EC1A78" w:rsidRDefault="00723562" w:rsidP="006A771F">
      <w:pPr>
        <w:rPr>
          <w:rFonts w:eastAsiaTheme="minorHAnsi"/>
          <w:b/>
          <w:sz w:val="22"/>
          <w:szCs w:val="22"/>
          <w:lang w:eastAsia="en-US"/>
        </w:rPr>
      </w:pP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633.854.78:631.559(470.620)</w:t>
      </w:r>
    </w:p>
    <w:p w:rsidR="00EC1A78" w:rsidRPr="00EC1A78" w:rsidRDefault="00EC1A78" w:rsidP="00EC1A78">
      <w:pPr>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Крайняя необходимость как обстоятельство, исключа</w:t>
      </w:r>
      <w:r w:rsidRPr="00EC1A78">
        <w:rPr>
          <w:rFonts w:eastAsiaTheme="minorHAnsi"/>
          <w:b/>
          <w:sz w:val="24"/>
          <w:szCs w:val="24"/>
          <w:lang w:eastAsia="en-US"/>
        </w:rPr>
        <w:t>ю</w:t>
      </w:r>
      <w:r w:rsidRPr="00EC1A78">
        <w:rPr>
          <w:rFonts w:eastAsiaTheme="minorHAnsi"/>
          <w:b/>
          <w:sz w:val="24"/>
          <w:szCs w:val="24"/>
          <w:lang w:eastAsia="en-US"/>
        </w:rPr>
        <w:t>щее преступность деяния</w:t>
      </w:r>
    </w:p>
    <w:p w:rsidR="00EC1A78" w:rsidRPr="00EC1A78" w:rsidRDefault="00EC1A78" w:rsidP="00EC1A78">
      <w:pPr>
        <w:jc w:val="center"/>
        <w:rPr>
          <w:rFonts w:eastAsiaTheme="minorHAnsi"/>
          <w:b/>
          <w:color w:val="212121"/>
          <w:sz w:val="24"/>
          <w:szCs w:val="24"/>
          <w:shd w:val="clear" w:color="auto" w:fill="FFFFFF"/>
          <w:lang w:val="en-US" w:eastAsia="en-US"/>
        </w:rPr>
      </w:pPr>
      <w:r w:rsidRPr="00EC1A78">
        <w:rPr>
          <w:rFonts w:eastAsiaTheme="minorHAnsi"/>
          <w:b/>
          <w:color w:val="212121"/>
          <w:sz w:val="24"/>
          <w:szCs w:val="24"/>
          <w:shd w:val="clear" w:color="auto" w:fill="FFFFFF"/>
          <w:lang w:val="en-US" w:eastAsia="en-US"/>
        </w:rPr>
        <w:t>Extreme need as a circumstance excluding the criminality of the act</w:t>
      </w:r>
    </w:p>
    <w:p w:rsidR="00EC1A78" w:rsidRPr="00EC1A78" w:rsidRDefault="00EC1A78" w:rsidP="00EC1A78">
      <w:pPr>
        <w:jc w:val="right"/>
        <w:rPr>
          <w:rFonts w:eastAsiaTheme="minorHAnsi"/>
          <w:color w:val="212121"/>
          <w:sz w:val="22"/>
          <w:szCs w:val="22"/>
          <w:shd w:val="clear" w:color="auto" w:fill="FFFFFF"/>
          <w:lang w:val="en-US" w:eastAsia="en-US"/>
        </w:rPr>
      </w:pP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Халтурина К.</w:t>
      </w:r>
      <w:r w:rsidR="00723562" w:rsidRPr="00723562">
        <w:rPr>
          <w:rFonts w:eastAsiaTheme="minorHAnsi"/>
          <w:sz w:val="22"/>
          <w:szCs w:val="22"/>
          <w:shd w:val="clear" w:color="auto" w:fill="FFFFFF"/>
          <w:lang w:eastAsia="en-US"/>
        </w:rPr>
        <w:t xml:space="preserve"> </w:t>
      </w:r>
      <w:r w:rsidRPr="00723562">
        <w:rPr>
          <w:rFonts w:eastAsiaTheme="minorHAnsi"/>
          <w:sz w:val="22"/>
          <w:szCs w:val="22"/>
          <w:shd w:val="clear" w:color="auto" w:fill="FFFFFF"/>
          <w:lang w:eastAsia="en-US"/>
        </w:rPr>
        <w:t>А.,</w:t>
      </w: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студентка 2–го курса юридического факультета</w:t>
      </w: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Картавченко В.</w:t>
      </w:r>
      <w:r w:rsidR="00723562" w:rsidRPr="00723562">
        <w:rPr>
          <w:rFonts w:eastAsiaTheme="minorHAnsi"/>
          <w:sz w:val="22"/>
          <w:szCs w:val="22"/>
          <w:shd w:val="clear" w:color="auto" w:fill="FFFFFF"/>
          <w:lang w:eastAsia="en-US"/>
        </w:rPr>
        <w:t xml:space="preserve"> </w:t>
      </w:r>
      <w:r w:rsidRPr="00723562">
        <w:rPr>
          <w:rFonts w:eastAsiaTheme="minorHAnsi"/>
          <w:sz w:val="22"/>
          <w:szCs w:val="22"/>
          <w:shd w:val="clear" w:color="auto" w:fill="FFFFFF"/>
          <w:lang w:eastAsia="en-US"/>
        </w:rPr>
        <w:t>В.,</w:t>
      </w: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доцент кафедры уголовного права</w:t>
      </w: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 xml:space="preserve">Кубанский государственный аграрный </w:t>
      </w:r>
    </w:p>
    <w:p w:rsidR="00EC1A78" w:rsidRPr="00723562" w:rsidRDefault="00EC1A78" w:rsidP="00EC1A78">
      <w:pPr>
        <w:jc w:val="right"/>
        <w:rPr>
          <w:rFonts w:eastAsiaTheme="minorHAnsi"/>
          <w:sz w:val="22"/>
          <w:szCs w:val="22"/>
          <w:shd w:val="clear" w:color="auto" w:fill="FFFFFF"/>
          <w:lang w:eastAsia="en-US"/>
        </w:rPr>
      </w:pPr>
      <w:r w:rsidRPr="00723562">
        <w:rPr>
          <w:rFonts w:eastAsiaTheme="minorHAnsi"/>
          <w:sz w:val="22"/>
          <w:szCs w:val="22"/>
          <w:shd w:val="clear" w:color="auto" w:fill="FFFFFF"/>
          <w:lang w:eastAsia="en-US"/>
        </w:rPr>
        <w:t>университет имени И.</w:t>
      </w:r>
      <w:r w:rsidR="00723562" w:rsidRPr="00723562">
        <w:rPr>
          <w:rFonts w:eastAsiaTheme="minorHAnsi"/>
          <w:sz w:val="22"/>
          <w:szCs w:val="22"/>
          <w:shd w:val="clear" w:color="auto" w:fill="FFFFFF"/>
          <w:lang w:eastAsia="en-US"/>
        </w:rPr>
        <w:t xml:space="preserve"> </w:t>
      </w:r>
      <w:r w:rsidRPr="00723562">
        <w:rPr>
          <w:rFonts w:eastAsiaTheme="minorHAnsi"/>
          <w:sz w:val="22"/>
          <w:szCs w:val="22"/>
          <w:shd w:val="clear" w:color="auto" w:fill="FFFFFF"/>
          <w:lang w:eastAsia="en-US"/>
        </w:rPr>
        <w:t>Т.Трубилина</w:t>
      </w:r>
    </w:p>
    <w:p w:rsidR="00EC1A78" w:rsidRPr="00723562" w:rsidRDefault="00EC1A78" w:rsidP="00EC1A78">
      <w:pPr>
        <w:ind w:firstLine="426"/>
        <w:jc w:val="both"/>
        <w:rPr>
          <w:rFonts w:eastAsiaTheme="minorHAnsi"/>
          <w:sz w:val="22"/>
          <w:szCs w:val="22"/>
          <w:shd w:val="clear" w:color="auto" w:fill="FFFFFF"/>
          <w:lang w:eastAsia="en-US"/>
        </w:rPr>
      </w:pPr>
    </w:p>
    <w:p w:rsidR="00EC1A78" w:rsidRPr="00723562" w:rsidRDefault="00EC1A78" w:rsidP="00EC1A78">
      <w:pPr>
        <w:ind w:firstLine="426"/>
        <w:jc w:val="both"/>
        <w:rPr>
          <w:rFonts w:eastAsiaTheme="minorHAnsi"/>
          <w:sz w:val="22"/>
          <w:szCs w:val="22"/>
          <w:shd w:val="clear" w:color="auto" w:fill="FFFFFF"/>
          <w:lang w:eastAsia="en-US"/>
        </w:rPr>
      </w:pPr>
      <w:r w:rsidRPr="00723562">
        <w:rPr>
          <w:rFonts w:eastAsiaTheme="minorHAnsi"/>
          <w:sz w:val="22"/>
          <w:szCs w:val="22"/>
          <w:shd w:val="clear" w:color="auto" w:fill="FFFFFF"/>
          <w:lang w:eastAsia="en-US"/>
        </w:rPr>
        <w:t>АННОТАЦИЯ: Рассмотрены условия правомерности крайней необходимости. Проведена сравнительная характеристика крайней необходимости от иных обстоятельств, исключающих преступность деяния.</w:t>
      </w:r>
    </w:p>
    <w:p w:rsidR="00EC1A78" w:rsidRPr="00723562" w:rsidRDefault="00EC1A78" w:rsidP="00EC1A78">
      <w:pPr>
        <w:ind w:firstLine="426"/>
        <w:jc w:val="both"/>
        <w:rPr>
          <w:rFonts w:eastAsiaTheme="minorHAnsi"/>
          <w:sz w:val="22"/>
          <w:szCs w:val="22"/>
          <w:lang w:val="en-US" w:eastAsia="en-US"/>
        </w:rPr>
      </w:pPr>
      <w:r w:rsidRPr="00723562">
        <w:rPr>
          <w:rFonts w:eastAsiaTheme="minorHAnsi"/>
          <w:sz w:val="22"/>
          <w:szCs w:val="22"/>
          <w:shd w:val="clear" w:color="auto" w:fill="FFFFFF"/>
          <w:lang w:val="en-US" w:eastAsia="en-US"/>
        </w:rPr>
        <w:t>ABSTRACT:</w:t>
      </w:r>
      <w:r w:rsidRPr="00723562">
        <w:rPr>
          <w:rFonts w:eastAsiaTheme="minorHAnsi"/>
          <w:sz w:val="22"/>
          <w:szCs w:val="22"/>
          <w:lang w:val="en" w:eastAsia="en-US"/>
        </w:rPr>
        <w:t xml:space="preserve"> The conditions for the legality of extreme necessity are considered. The comparative characteristic of extreme necessity from other circumstances, excluding criminality of the act, is made.</w:t>
      </w:r>
    </w:p>
    <w:p w:rsidR="00EC1A78" w:rsidRPr="00723562" w:rsidRDefault="00EC1A78" w:rsidP="00EC1A78">
      <w:pPr>
        <w:ind w:firstLine="426"/>
        <w:jc w:val="both"/>
        <w:rPr>
          <w:rFonts w:eastAsiaTheme="minorHAnsi"/>
          <w:sz w:val="22"/>
          <w:szCs w:val="22"/>
          <w:shd w:val="clear" w:color="auto" w:fill="FFFFFF"/>
          <w:lang w:eastAsia="en-US"/>
        </w:rPr>
      </w:pPr>
      <w:r w:rsidRPr="00723562">
        <w:rPr>
          <w:rFonts w:eastAsiaTheme="minorHAnsi"/>
          <w:sz w:val="22"/>
          <w:szCs w:val="22"/>
          <w:shd w:val="clear" w:color="auto" w:fill="FFFFFF"/>
          <w:lang w:eastAsia="en-US"/>
        </w:rPr>
        <w:t>КЛЮЧЕВЫЕ СЛОВА: крайняя необходимость, обстоятельства, исключающие преступность деяния, правомерность.</w:t>
      </w:r>
    </w:p>
    <w:p w:rsidR="00EC1A78" w:rsidRPr="00723562"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r w:rsidRPr="00723562">
        <w:rPr>
          <w:sz w:val="22"/>
          <w:szCs w:val="22"/>
          <w:lang w:val="en"/>
        </w:rPr>
        <w:t>KEYWORDS: extreme necessity, circumstances, excluding the criminality of the act, legitimacy.</w:t>
      </w:r>
    </w:p>
    <w:p w:rsidR="00EC1A78" w:rsidRPr="00723562" w:rsidRDefault="00EC1A78" w:rsidP="00EC1A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en-US"/>
        </w:rPr>
      </w:pP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Крайней необходимостью является способность лица устранить опасность причинением вреда интересам, находящимся под охр</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ной закона.</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Крайняя необходимость применима ,если лицу либо его пр</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вам, либо правам другого лица или общественным интересам, либо интересам государства непосредственно в данную минуту угрожает опасность и эту опасность невозможно устранить иным способом, чем причинить вред охраняемым законом интересам.  В таком сл</w:t>
      </w:r>
      <w:r w:rsidRPr="00EC1A78">
        <w:rPr>
          <w:rFonts w:eastAsiaTheme="minorHAnsi"/>
          <w:color w:val="000000"/>
          <w:sz w:val="22"/>
          <w:szCs w:val="22"/>
          <w:shd w:val="clear" w:color="auto" w:fill="FFFFFF"/>
          <w:lang w:eastAsia="en-US"/>
        </w:rPr>
        <w:t>у</w:t>
      </w:r>
      <w:r w:rsidRPr="00EC1A78">
        <w:rPr>
          <w:rFonts w:eastAsiaTheme="minorHAnsi"/>
          <w:color w:val="000000"/>
          <w:sz w:val="22"/>
          <w:szCs w:val="22"/>
          <w:shd w:val="clear" w:color="auto" w:fill="FFFFFF"/>
          <w:lang w:eastAsia="en-US"/>
        </w:rPr>
        <w:t>чае  лицо не подлежит уголовной ответственности, если не прев</w:t>
      </w:r>
      <w:r w:rsidRPr="00EC1A78">
        <w:rPr>
          <w:rFonts w:eastAsiaTheme="minorHAnsi"/>
          <w:color w:val="000000"/>
          <w:sz w:val="22"/>
          <w:szCs w:val="22"/>
          <w:shd w:val="clear" w:color="auto" w:fill="FFFFFF"/>
          <w:lang w:eastAsia="en-US"/>
        </w:rPr>
        <w:t>ы</w:t>
      </w:r>
      <w:r w:rsidRPr="00EC1A78">
        <w:rPr>
          <w:rFonts w:eastAsiaTheme="minorHAnsi"/>
          <w:color w:val="000000"/>
          <w:sz w:val="22"/>
          <w:szCs w:val="22"/>
          <w:shd w:val="clear" w:color="auto" w:fill="FFFFFF"/>
          <w:lang w:eastAsia="en-US"/>
        </w:rPr>
        <w:t>сит пределы крайней необходимости. Пределы характеризуются значительностью причиненного вреда охраняемым интересам. Пр</w:t>
      </w:r>
      <w:r w:rsidRPr="00EC1A78">
        <w:rPr>
          <w:rFonts w:eastAsiaTheme="minorHAnsi"/>
          <w:color w:val="000000"/>
          <w:sz w:val="22"/>
          <w:szCs w:val="22"/>
          <w:shd w:val="clear" w:color="auto" w:fill="FFFFFF"/>
          <w:lang w:eastAsia="en-US"/>
        </w:rPr>
        <w:t>и</w:t>
      </w:r>
      <w:r w:rsidRPr="00EC1A78">
        <w:rPr>
          <w:rFonts w:eastAsiaTheme="minorHAnsi"/>
          <w:color w:val="000000"/>
          <w:sz w:val="22"/>
          <w:szCs w:val="22"/>
          <w:shd w:val="clear" w:color="auto" w:fill="FFFFFF"/>
          <w:lang w:eastAsia="en-US"/>
        </w:rPr>
        <w:lastRenderedPageBreak/>
        <w:t>чиненный вред не может быть больше, чем вред предотвращенный. Выход за эти пределы, то есть умышленное причинение вреда охраняемым общественным интересам более чем предотвращенн</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му вреду будет содержать в своих деяниях преступность и пресл</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доваться по закону. Если лицо в силу сильного душевного волн</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ния, вызванного такой опасностью, не может соотнести причине</w:t>
      </w:r>
      <w:r w:rsidRPr="00EC1A78">
        <w:rPr>
          <w:rFonts w:eastAsiaTheme="minorHAnsi"/>
          <w:color w:val="000000"/>
          <w:sz w:val="22"/>
          <w:szCs w:val="22"/>
          <w:shd w:val="clear" w:color="auto" w:fill="FFFFFF"/>
          <w:lang w:eastAsia="en-US"/>
        </w:rPr>
        <w:t>н</w:t>
      </w:r>
      <w:r w:rsidRPr="00EC1A78">
        <w:rPr>
          <w:rFonts w:eastAsiaTheme="minorHAnsi"/>
          <w:color w:val="000000"/>
          <w:sz w:val="22"/>
          <w:szCs w:val="22"/>
          <w:shd w:val="clear" w:color="auto" w:fill="FFFFFF"/>
          <w:lang w:eastAsia="en-US"/>
        </w:rPr>
        <w:t>ный вред и опасность, то его деяния не будут наказываться уголо</w:t>
      </w:r>
      <w:r w:rsidRPr="00EC1A78">
        <w:rPr>
          <w:rFonts w:eastAsiaTheme="minorHAnsi"/>
          <w:color w:val="000000"/>
          <w:sz w:val="22"/>
          <w:szCs w:val="22"/>
          <w:shd w:val="clear" w:color="auto" w:fill="FFFFFF"/>
          <w:lang w:eastAsia="en-US"/>
        </w:rPr>
        <w:t>в</w:t>
      </w:r>
      <w:r w:rsidRPr="00EC1A78">
        <w:rPr>
          <w:rFonts w:eastAsiaTheme="minorHAnsi"/>
          <w:color w:val="000000"/>
          <w:sz w:val="22"/>
          <w:szCs w:val="22"/>
          <w:shd w:val="clear" w:color="auto" w:fill="FFFFFF"/>
          <w:lang w:eastAsia="en-US"/>
        </w:rPr>
        <w:t>ным законом, то есть не будет привлекаться к уголовной отве</w:t>
      </w:r>
      <w:r w:rsidRPr="00EC1A78">
        <w:rPr>
          <w:rFonts w:eastAsiaTheme="minorHAnsi"/>
          <w:color w:val="000000"/>
          <w:sz w:val="22"/>
          <w:szCs w:val="22"/>
          <w:shd w:val="clear" w:color="auto" w:fill="FFFFFF"/>
          <w:lang w:eastAsia="en-US"/>
        </w:rPr>
        <w:t>т</w:t>
      </w:r>
      <w:r w:rsidRPr="00EC1A78">
        <w:rPr>
          <w:rFonts w:eastAsiaTheme="minorHAnsi"/>
          <w:color w:val="000000"/>
          <w:sz w:val="22"/>
          <w:szCs w:val="22"/>
          <w:shd w:val="clear" w:color="auto" w:fill="FFFFFF"/>
          <w:lang w:eastAsia="en-US"/>
        </w:rPr>
        <w:t>ственности.</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Нормы крайней необходимости применяются при коллизии двух интересов, охраняемых законом. Например, для предотвращ</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ния крушения дамбы, находящейся поблизости с населенным пун</w:t>
      </w:r>
      <w:r w:rsidRPr="00EC1A78">
        <w:rPr>
          <w:rFonts w:eastAsiaTheme="minorHAnsi"/>
          <w:color w:val="000000"/>
          <w:sz w:val="22"/>
          <w:szCs w:val="22"/>
          <w:shd w:val="clear" w:color="auto" w:fill="FFFFFF"/>
          <w:lang w:eastAsia="en-US"/>
        </w:rPr>
        <w:t>к</w:t>
      </w:r>
      <w:r w:rsidRPr="00EC1A78">
        <w:rPr>
          <w:rFonts w:eastAsiaTheme="minorHAnsi"/>
          <w:color w:val="000000"/>
          <w:sz w:val="22"/>
          <w:szCs w:val="22"/>
          <w:shd w:val="clear" w:color="auto" w:fill="FFFFFF"/>
          <w:lang w:eastAsia="en-US"/>
        </w:rPr>
        <w:t xml:space="preserve">том, приходится для ее упрочнения использовать щебенку, песок и рельсы, предопределенные для сооружения железной дороги. </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Состояние крайней необходимости признается правомерным при наличии нескольких условий: существует опасность для инт</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ресов, находящихся под охраной закона, наличие опасности, угр</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 xml:space="preserve">жающей причинить вред является прямым ,устранение опасности невозможно иным путем, кроме как причинение вреда интересам общества или государства. </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При крайней необходимости источниками опасности являются стихийные силы природы, поврежденность машин и техники, б</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лезнь животного, физиологические процессы человека, обществе</w:t>
      </w:r>
      <w:r w:rsidRPr="00EC1A78">
        <w:rPr>
          <w:rFonts w:eastAsiaTheme="minorHAnsi"/>
          <w:color w:val="000000"/>
          <w:sz w:val="22"/>
          <w:szCs w:val="22"/>
          <w:shd w:val="clear" w:color="auto" w:fill="FFFFFF"/>
          <w:lang w:eastAsia="en-US"/>
        </w:rPr>
        <w:t>н</w:t>
      </w:r>
      <w:r w:rsidRPr="00EC1A78">
        <w:rPr>
          <w:rFonts w:eastAsiaTheme="minorHAnsi"/>
          <w:color w:val="000000"/>
          <w:sz w:val="22"/>
          <w:szCs w:val="22"/>
          <w:shd w:val="clear" w:color="auto" w:fill="FFFFFF"/>
          <w:lang w:eastAsia="en-US"/>
        </w:rPr>
        <w:t>но опасное посягательство какого–либо лица и т.д.</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Если наступление опасности возможно только в будущем, то допустимы лишь предупредительные меры, но не крайняя необх</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димость. Например, покупка огнетушителя с целью пресечь во</w:t>
      </w:r>
      <w:r w:rsidRPr="00EC1A78">
        <w:rPr>
          <w:rFonts w:eastAsiaTheme="minorHAnsi"/>
          <w:color w:val="000000"/>
          <w:sz w:val="22"/>
          <w:szCs w:val="22"/>
          <w:shd w:val="clear" w:color="auto" w:fill="FFFFFF"/>
          <w:lang w:eastAsia="en-US"/>
        </w:rPr>
        <w:t>з</w:t>
      </w:r>
      <w:r w:rsidRPr="00EC1A78">
        <w:rPr>
          <w:rFonts w:eastAsiaTheme="minorHAnsi"/>
          <w:color w:val="000000"/>
          <w:sz w:val="22"/>
          <w:szCs w:val="22"/>
          <w:shd w:val="clear" w:color="auto" w:fill="FFFFFF"/>
          <w:lang w:eastAsia="en-US"/>
        </w:rPr>
        <w:t>можный в будущем пожар. Не может являться основанием для ос</w:t>
      </w:r>
      <w:r w:rsidRPr="00EC1A78">
        <w:rPr>
          <w:rFonts w:eastAsiaTheme="minorHAnsi"/>
          <w:color w:val="000000"/>
          <w:sz w:val="22"/>
          <w:szCs w:val="22"/>
          <w:shd w:val="clear" w:color="auto" w:fill="FFFFFF"/>
          <w:lang w:eastAsia="en-US"/>
        </w:rPr>
        <w:t>у</w:t>
      </w:r>
      <w:r w:rsidRPr="00EC1A78">
        <w:rPr>
          <w:rFonts w:eastAsiaTheme="minorHAnsi"/>
          <w:color w:val="000000"/>
          <w:sz w:val="22"/>
          <w:szCs w:val="22"/>
          <w:shd w:val="clear" w:color="auto" w:fill="FFFFFF"/>
          <w:lang w:eastAsia="en-US"/>
        </w:rPr>
        <w:t>ществления акта крайней необходимости миновавшая опасность, когда право охраняемое благо невозвратимо утрачено.</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Крайняя необходимость имеет схожие и отличительные пр</w:t>
      </w:r>
      <w:r w:rsidRPr="00EC1A78">
        <w:rPr>
          <w:rFonts w:eastAsiaTheme="minorHAnsi"/>
          <w:color w:val="000000"/>
          <w:sz w:val="22"/>
          <w:szCs w:val="22"/>
          <w:shd w:val="clear" w:color="auto" w:fill="FFFFFF"/>
          <w:lang w:eastAsia="en-US"/>
        </w:rPr>
        <w:t>и</w:t>
      </w:r>
      <w:r w:rsidRPr="00EC1A78">
        <w:rPr>
          <w:rFonts w:eastAsiaTheme="minorHAnsi"/>
          <w:color w:val="000000"/>
          <w:sz w:val="22"/>
          <w:szCs w:val="22"/>
          <w:shd w:val="clear" w:color="auto" w:fill="FFFFFF"/>
          <w:lang w:eastAsia="en-US"/>
        </w:rPr>
        <w:t>знаки от иных факторов, исключающими преступность деяния. Проведем сравнительный анализ крайней необходимости и обосн</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ванного риска. В отличие от крайней необходимости, где лицо лишь заменяет сильный вред, который грозит интересам, охраняемым законам на вред менее значительный, при обоснованном риске лицо обязано принять меры, предотвращающие причинение вреда. Зн</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 xml:space="preserve">чительная отличительная особенность крайней необходимости и </w:t>
      </w:r>
      <w:r w:rsidRPr="00EC1A78">
        <w:rPr>
          <w:rFonts w:eastAsiaTheme="minorHAnsi"/>
          <w:color w:val="000000"/>
          <w:sz w:val="22"/>
          <w:szCs w:val="22"/>
          <w:shd w:val="clear" w:color="auto" w:fill="FFFFFF"/>
          <w:lang w:eastAsia="en-US"/>
        </w:rPr>
        <w:lastRenderedPageBreak/>
        <w:t>обоснованного риска заключается в границах причиняемого вреда. Если в состоянии крайней необходимости лицо обязано не нар</w:t>
      </w:r>
      <w:r w:rsidRPr="00EC1A78">
        <w:rPr>
          <w:rFonts w:eastAsiaTheme="minorHAnsi"/>
          <w:color w:val="000000"/>
          <w:sz w:val="22"/>
          <w:szCs w:val="22"/>
          <w:shd w:val="clear" w:color="auto" w:fill="FFFFFF"/>
          <w:lang w:eastAsia="en-US"/>
        </w:rPr>
        <w:t>у</w:t>
      </w:r>
      <w:r w:rsidRPr="00EC1A78">
        <w:rPr>
          <w:rFonts w:eastAsiaTheme="minorHAnsi"/>
          <w:color w:val="000000"/>
          <w:sz w:val="22"/>
          <w:szCs w:val="22"/>
          <w:shd w:val="clear" w:color="auto" w:fill="FFFFFF"/>
          <w:lang w:eastAsia="en-US"/>
        </w:rPr>
        <w:t>шать его пределы, то в случае обоснованного риска любой вред признается правомерным. Также в уголовном праве существует фактор, исключающий преступность деяния. Он носит имя необх</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димой обороны. Несмотря на крупный перечень родственности , данные институты имеют и отличительные черты. Так, у крайней необходимости и необходимой обороны рознятся источники опа</w:t>
      </w:r>
      <w:r w:rsidRPr="00EC1A78">
        <w:rPr>
          <w:rFonts w:eastAsiaTheme="minorHAnsi"/>
          <w:color w:val="000000"/>
          <w:sz w:val="22"/>
          <w:szCs w:val="22"/>
          <w:shd w:val="clear" w:color="auto" w:fill="FFFFFF"/>
          <w:lang w:eastAsia="en-US"/>
        </w:rPr>
        <w:t>с</w:t>
      </w:r>
      <w:r w:rsidRPr="00EC1A78">
        <w:rPr>
          <w:rFonts w:eastAsiaTheme="minorHAnsi"/>
          <w:color w:val="000000"/>
          <w:sz w:val="22"/>
          <w:szCs w:val="22"/>
          <w:shd w:val="clear" w:color="auto" w:fill="FFFFFF"/>
          <w:lang w:eastAsia="en-US"/>
        </w:rPr>
        <w:t>ности. Если в факторе необходимой обороны посягательство исх</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дит лишь от человека , то в состоянии крайней необходимости т</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кими будут выступать  не столько человек, сколько внешние пр</w:t>
      </w:r>
      <w:r w:rsidRPr="00EC1A78">
        <w:rPr>
          <w:rFonts w:eastAsiaTheme="minorHAnsi"/>
          <w:color w:val="000000"/>
          <w:sz w:val="22"/>
          <w:szCs w:val="22"/>
          <w:shd w:val="clear" w:color="auto" w:fill="FFFFFF"/>
          <w:lang w:eastAsia="en-US"/>
        </w:rPr>
        <w:t>и</w:t>
      </w:r>
      <w:r w:rsidRPr="00EC1A78">
        <w:rPr>
          <w:rFonts w:eastAsiaTheme="minorHAnsi"/>
          <w:color w:val="000000"/>
          <w:sz w:val="22"/>
          <w:szCs w:val="22"/>
          <w:shd w:val="clear" w:color="auto" w:fill="FFFFFF"/>
          <w:lang w:eastAsia="en-US"/>
        </w:rPr>
        <w:t>родные и технические силы.  Следующим отличительным призн</w:t>
      </w:r>
      <w:r w:rsidRPr="00EC1A78">
        <w:rPr>
          <w:rFonts w:eastAsiaTheme="minorHAnsi"/>
          <w:color w:val="000000"/>
          <w:sz w:val="22"/>
          <w:szCs w:val="22"/>
          <w:shd w:val="clear" w:color="auto" w:fill="FFFFFF"/>
          <w:lang w:eastAsia="en-US"/>
        </w:rPr>
        <w:t>а</w:t>
      </w:r>
      <w:r w:rsidRPr="00EC1A78">
        <w:rPr>
          <w:rFonts w:eastAsiaTheme="minorHAnsi"/>
          <w:color w:val="000000"/>
          <w:sz w:val="22"/>
          <w:szCs w:val="22"/>
          <w:shd w:val="clear" w:color="auto" w:fill="FFFFFF"/>
          <w:lang w:eastAsia="en-US"/>
        </w:rPr>
        <w:t>ком следует признать степень нанесенного вреда. Обороняясь в с</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стоянии крайней необходимости, лицо не должно причинять вред выше того, от которого оно защищается, а при необходимой об</w:t>
      </w:r>
      <w:r w:rsidRPr="00EC1A78">
        <w:rPr>
          <w:rFonts w:eastAsiaTheme="minorHAnsi"/>
          <w:color w:val="000000"/>
          <w:sz w:val="22"/>
          <w:szCs w:val="22"/>
          <w:shd w:val="clear" w:color="auto" w:fill="FFFFFF"/>
          <w:lang w:eastAsia="en-US"/>
        </w:rPr>
        <w:t>о</w:t>
      </w:r>
      <w:r w:rsidRPr="00EC1A78">
        <w:rPr>
          <w:rFonts w:eastAsiaTheme="minorHAnsi"/>
          <w:color w:val="000000"/>
          <w:sz w:val="22"/>
          <w:szCs w:val="22"/>
          <w:shd w:val="clear" w:color="auto" w:fill="FFFFFF"/>
          <w:lang w:eastAsia="en-US"/>
        </w:rPr>
        <w:t>роне лицо в праве действовать любыми способами для охраны сво</w:t>
      </w:r>
      <w:r w:rsidRPr="00EC1A78">
        <w:rPr>
          <w:rFonts w:eastAsiaTheme="minorHAnsi"/>
          <w:color w:val="000000"/>
          <w:sz w:val="22"/>
          <w:szCs w:val="22"/>
          <w:shd w:val="clear" w:color="auto" w:fill="FFFFFF"/>
          <w:lang w:eastAsia="en-US"/>
        </w:rPr>
        <w:t>е</w:t>
      </w:r>
      <w:r w:rsidRPr="00EC1A78">
        <w:rPr>
          <w:rFonts w:eastAsiaTheme="minorHAnsi"/>
          <w:color w:val="000000"/>
          <w:sz w:val="22"/>
          <w:szCs w:val="22"/>
          <w:shd w:val="clear" w:color="auto" w:fill="FFFFFF"/>
          <w:lang w:eastAsia="en-US"/>
        </w:rPr>
        <w:t xml:space="preserve">го здоровья. </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Подходя к заключению, можно сделать вывод , крайняя нео</w:t>
      </w:r>
      <w:r w:rsidRPr="00EC1A78">
        <w:rPr>
          <w:rFonts w:eastAsiaTheme="minorHAnsi"/>
          <w:color w:val="000000"/>
          <w:sz w:val="22"/>
          <w:szCs w:val="22"/>
          <w:shd w:val="clear" w:color="auto" w:fill="FFFFFF"/>
          <w:lang w:eastAsia="en-US"/>
        </w:rPr>
        <w:t>б</w:t>
      </w:r>
      <w:r w:rsidRPr="00EC1A78">
        <w:rPr>
          <w:rFonts w:eastAsiaTheme="minorHAnsi"/>
          <w:color w:val="000000"/>
          <w:sz w:val="22"/>
          <w:szCs w:val="22"/>
          <w:shd w:val="clear" w:color="auto" w:fill="FFFFFF"/>
          <w:lang w:eastAsia="en-US"/>
        </w:rPr>
        <w:t>ходимость приходится институтом, имеющим важную роль в ро</w:t>
      </w:r>
      <w:r w:rsidRPr="00EC1A78">
        <w:rPr>
          <w:rFonts w:eastAsiaTheme="minorHAnsi"/>
          <w:color w:val="000000"/>
          <w:sz w:val="22"/>
          <w:szCs w:val="22"/>
          <w:shd w:val="clear" w:color="auto" w:fill="FFFFFF"/>
          <w:lang w:eastAsia="en-US"/>
        </w:rPr>
        <w:t>с</w:t>
      </w:r>
      <w:r w:rsidRPr="00EC1A78">
        <w:rPr>
          <w:rFonts w:eastAsiaTheme="minorHAnsi"/>
          <w:color w:val="000000"/>
          <w:sz w:val="22"/>
          <w:szCs w:val="22"/>
          <w:shd w:val="clear" w:color="auto" w:fill="FFFFFF"/>
          <w:lang w:eastAsia="en-US"/>
        </w:rPr>
        <w:t>сийском уголовном законодательстве. Она квалифицируется смя</w:t>
      </w:r>
      <w:r w:rsidRPr="00EC1A78">
        <w:rPr>
          <w:rFonts w:eastAsiaTheme="minorHAnsi"/>
          <w:color w:val="000000"/>
          <w:sz w:val="22"/>
          <w:szCs w:val="22"/>
          <w:shd w:val="clear" w:color="auto" w:fill="FFFFFF"/>
          <w:lang w:eastAsia="en-US"/>
        </w:rPr>
        <w:t>г</w:t>
      </w:r>
      <w:r w:rsidRPr="00EC1A78">
        <w:rPr>
          <w:rFonts w:eastAsiaTheme="minorHAnsi"/>
          <w:color w:val="000000"/>
          <w:sz w:val="22"/>
          <w:szCs w:val="22"/>
          <w:shd w:val="clear" w:color="auto" w:fill="FFFFFF"/>
          <w:lang w:eastAsia="en-US"/>
        </w:rPr>
        <w:t>чающим обстоятельством при назначении наказания [1], имеет обособленность от иных обстоятельств, исключающих престу</w:t>
      </w:r>
      <w:r w:rsidRPr="00EC1A78">
        <w:rPr>
          <w:rFonts w:eastAsiaTheme="minorHAnsi"/>
          <w:color w:val="000000"/>
          <w:sz w:val="22"/>
          <w:szCs w:val="22"/>
          <w:shd w:val="clear" w:color="auto" w:fill="FFFFFF"/>
          <w:lang w:eastAsia="en-US"/>
        </w:rPr>
        <w:t>п</w:t>
      </w:r>
      <w:r w:rsidRPr="00EC1A78">
        <w:rPr>
          <w:rFonts w:eastAsiaTheme="minorHAnsi"/>
          <w:color w:val="000000"/>
          <w:sz w:val="22"/>
          <w:szCs w:val="22"/>
          <w:shd w:val="clear" w:color="auto" w:fill="FFFFFF"/>
          <w:lang w:eastAsia="en-US"/>
        </w:rPr>
        <w:t xml:space="preserve">ность деяния, что позволяет дать ей самостоятельную правовую оценку. </w:t>
      </w:r>
    </w:p>
    <w:p w:rsidR="00EC1A78" w:rsidRPr="00EC1A78" w:rsidRDefault="00EC1A78" w:rsidP="00EC1A78">
      <w:pPr>
        <w:ind w:firstLine="567"/>
        <w:jc w:val="center"/>
        <w:rPr>
          <w:rFonts w:eastAsiaTheme="minorHAnsi"/>
          <w:color w:val="000000"/>
          <w:sz w:val="22"/>
          <w:szCs w:val="22"/>
          <w:shd w:val="clear" w:color="auto" w:fill="FFFFFF"/>
          <w:lang w:eastAsia="en-US"/>
        </w:rPr>
      </w:pPr>
    </w:p>
    <w:p w:rsidR="00EC1A78" w:rsidRPr="00EC1A78" w:rsidRDefault="00EC1A78" w:rsidP="00EC1A78">
      <w:pPr>
        <w:ind w:firstLine="567"/>
        <w:jc w:val="center"/>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Список литературы</w:t>
      </w:r>
    </w:p>
    <w:p w:rsidR="00EC1A78" w:rsidRPr="00EC1A78" w:rsidRDefault="00EC1A78" w:rsidP="00EC1A78">
      <w:pPr>
        <w:ind w:firstLine="426"/>
        <w:jc w:val="both"/>
        <w:rPr>
          <w:rFonts w:eastAsiaTheme="minorHAnsi"/>
          <w:color w:val="000000"/>
          <w:sz w:val="22"/>
          <w:szCs w:val="22"/>
          <w:shd w:val="clear" w:color="auto" w:fill="FFFFFF"/>
          <w:lang w:eastAsia="en-US"/>
        </w:rPr>
      </w:pPr>
      <w:r w:rsidRPr="00EC1A78">
        <w:rPr>
          <w:rFonts w:eastAsiaTheme="minorHAnsi"/>
          <w:color w:val="000000"/>
          <w:sz w:val="22"/>
          <w:szCs w:val="22"/>
          <w:shd w:val="clear" w:color="auto" w:fill="FFFFFF"/>
          <w:lang w:eastAsia="en-US"/>
        </w:rPr>
        <w:t>1</w:t>
      </w:r>
      <w:r w:rsidRPr="00EC1A78">
        <w:rPr>
          <w:rFonts w:eastAsiaTheme="minorHAnsi"/>
          <w:color w:val="000000" w:themeColor="text1"/>
          <w:sz w:val="22"/>
          <w:szCs w:val="22"/>
          <w:shd w:val="clear" w:color="auto" w:fill="FFFFFF"/>
          <w:lang w:eastAsia="en-US"/>
        </w:rPr>
        <w:t>.</w:t>
      </w:r>
      <w:r w:rsidRPr="00EC1A78">
        <w:rPr>
          <w:rFonts w:eastAsiaTheme="minorHAnsi"/>
          <w:sz w:val="22"/>
          <w:szCs w:val="22"/>
          <w:lang w:eastAsia="en-US"/>
        </w:rPr>
        <w:t xml:space="preserve"> </w:t>
      </w:r>
      <w:r w:rsidRPr="00EC1A78">
        <w:rPr>
          <w:rFonts w:eastAsiaTheme="minorHAnsi"/>
          <w:bCs/>
          <w:color w:val="000000" w:themeColor="text1"/>
          <w:sz w:val="22"/>
          <w:szCs w:val="22"/>
          <w:shd w:val="clear" w:color="auto" w:fill="FFFFFF"/>
          <w:lang w:eastAsia="en-US"/>
        </w:rPr>
        <w:t>Уголовный кодекс Российской Федерации от 13.06.1996 N 63–ФЗ (ред. от 19.02.2018) п.1.ст.</w:t>
      </w:r>
      <w:r w:rsidRPr="00EC1A78">
        <w:rPr>
          <w:rFonts w:eastAsiaTheme="minorHAnsi"/>
          <w:color w:val="000000"/>
          <w:sz w:val="22"/>
          <w:szCs w:val="22"/>
          <w:shd w:val="clear" w:color="auto" w:fill="FFFFFF"/>
          <w:lang w:eastAsia="en-US"/>
        </w:rPr>
        <w:t>61.</w:t>
      </w:r>
    </w:p>
    <w:p w:rsidR="00EC1A78" w:rsidRDefault="00EC1A78" w:rsidP="00EC1A78">
      <w:pPr>
        <w:jc w:val="both"/>
        <w:rPr>
          <w:rFonts w:eastAsiaTheme="minorHAnsi"/>
          <w:sz w:val="22"/>
          <w:szCs w:val="22"/>
          <w:lang w:eastAsia="en-US"/>
        </w:rPr>
      </w:pPr>
    </w:p>
    <w:p w:rsidR="00723562" w:rsidRDefault="00723562" w:rsidP="00EC1A78">
      <w:pPr>
        <w:jc w:val="both"/>
        <w:rPr>
          <w:rFonts w:eastAsiaTheme="minorHAnsi"/>
          <w:sz w:val="22"/>
          <w:szCs w:val="22"/>
          <w:lang w:eastAsia="en-US"/>
        </w:rPr>
      </w:pPr>
    </w:p>
    <w:p w:rsidR="00723562" w:rsidRPr="00EC1A78" w:rsidRDefault="002B3A7B" w:rsidP="002B3A7B">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342.924</w:t>
      </w:r>
    </w:p>
    <w:p w:rsidR="00EC1A78" w:rsidRPr="00EC1A78" w:rsidRDefault="00EC1A78" w:rsidP="00EC1A78">
      <w:pPr>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 xml:space="preserve">Административное предупреждение эпизоотий: анализ </w:t>
      </w:r>
      <w:r w:rsidR="00723562">
        <w:rPr>
          <w:rFonts w:eastAsiaTheme="minorHAnsi"/>
          <w:b/>
          <w:sz w:val="24"/>
          <w:szCs w:val="22"/>
          <w:lang w:eastAsia="en-US"/>
        </w:rPr>
        <w:br/>
      </w:r>
      <w:r w:rsidRPr="00EC1A78">
        <w:rPr>
          <w:rFonts w:eastAsiaTheme="minorHAnsi"/>
          <w:b/>
          <w:sz w:val="24"/>
          <w:szCs w:val="22"/>
          <w:lang w:eastAsia="en-US"/>
        </w:rPr>
        <w:t>современной правовой модели</w:t>
      </w:r>
    </w:p>
    <w:p w:rsidR="00EC1A78" w:rsidRPr="001C6F5C" w:rsidRDefault="00EC1A78" w:rsidP="00EC1A78">
      <w:pPr>
        <w:jc w:val="center"/>
        <w:rPr>
          <w:rFonts w:eastAsiaTheme="minorHAnsi"/>
          <w:b/>
          <w:sz w:val="24"/>
          <w:szCs w:val="22"/>
          <w:lang w:val="en-US" w:eastAsia="en-US"/>
        </w:rPr>
      </w:pPr>
      <w:r w:rsidRPr="00EC1A78">
        <w:rPr>
          <w:rFonts w:eastAsiaTheme="minorHAnsi"/>
          <w:b/>
          <w:sz w:val="24"/>
          <w:szCs w:val="22"/>
          <w:lang w:val="en-US" w:eastAsia="en-US"/>
        </w:rPr>
        <w:t>Administrative</w:t>
      </w:r>
      <w:r w:rsidRPr="001C6F5C">
        <w:rPr>
          <w:rFonts w:eastAsiaTheme="minorHAnsi"/>
          <w:b/>
          <w:sz w:val="24"/>
          <w:szCs w:val="22"/>
          <w:lang w:val="en-US" w:eastAsia="en-US"/>
        </w:rPr>
        <w:t xml:space="preserve"> </w:t>
      </w:r>
      <w:r w:rsidRPr="00EC1A78">
        <w:rPr>
          <w:rFonts w:eastAsiaTheme="minorHAnsi"/>
          <w:b/>
          <w:sz w:val="24"/>
          <w:szCs w:val="22"/>
          <w:lang w:val="en-US" w:eastAsia="en-US"/>
        </w:rPr>
        <w:t>prevention</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epizootics</w:t>
      </w:r>
      <w:r w:rsidRPr="001C6F5C">
        <w:rPr>
          <w:rFonts w:eastAsiaTheme="minorHAnsi"/>
          <w:b/>
          <w:sz w:val="24"/>
          <w:szCs w:val="22"/>
          <w:lang w:val="en-US" w:eastAsia="en-US"/>
        </w:rPr>
        <w:t xml:space="preserve">: </w:t>
      </w:r>
      <w:r w:rsidRPr="00EC1A78">
        <w:rPr>
          <w:rFonts w:eastAsiaTheme="minorHAnsi"/>
          <w:b/>
          <w:sz w:val="24"/>
          <w:szCs w:val="22"/>
          <w:lang w:val="en-US" w:eastAsia="en-US"/>
        </w:rPr>
        <w:t>analysis</w:t>
      </w:r>
      <w:r w:rsidRPr="001C6F5C">
        <w:rPr>
          <w:rFonts w:eastAsiaTheme="minorHAnsi"/>
          <w:b/>
          <w:sz w:val="24"/>
          <w:szCs w:val="22"/>
          <w:lang w:val="en-US" w:eastAsia="en-US"/>
        </w:rPr>
        <w:t xml:space="preserve"> </w:t>
      </w:r>
      <w:r w:rsidR="002B3A7B" w:rsidRPr="002B3A7B">
        <w:rPr>
          <w:rFonts w:eastAsiaTheme="minorHAnsi"/>
          <w:b/>
          <w:sz w:val="24"/>
          <w:szCs w:val="22"/>
          <w:lang w:val="en-US" w:eastAsia="en-US"/>
        </w:rPr>
        <w:br/>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the</w:t>
      </w:r>
      <w:r w:rsidRPr="001C6F5C">
        <w:rPr>
          <w:rFonts w:eastAsiaTheme="minorHAnsi"/>
          <w:b/>
          <w:sz w:val="24"/>
          <w:szCs w:val="22"/>
          <w:lang w:val="en-US" w:eastAsia="en-US"/>
        </w:rPr>
        <w:t xml:space="preserve"> </w:t>
      </w:r>
      <w:r w:rsidRPr="00EC1A78">
        <w:rPr>
          <w:rFonts w:eastAsiaTheme="minorHAnsi"/>
          <w:b/>
          <w:sz w:val="24"/>
          <w:szCs w:val="22"/>
          <w:lang w:val="en-US" w:eastAsia="en-US"/>
        </w:rPr>
        <w:t>modern</w:t>
      </w:r>
      <w:r w:rsidRPr="001C6F5C">
        <w:rPr>
          <w:rFonts w:eastAsiaTheme="minorHAnsi"/>
          <w:b/>
          <w:sz w:val="24"/>
          <w:szCs w:val="22"/>
          <w:lang w:val="en-US" w:eastAsia="en-US"/>
        </w:rPr>
        <w:t xml:space="preserve"> </w:t>
      </w:r>
      <w:r w:rsidRPr="00EC1A78">
        <w:rPr>
          <w:rFonts w:eastAsiaTheme="minorHAnsi"/>
          <w:b/>
          <w:sz w:val="24"/>
          <w:szCs w:val="22"/>
          <w:lang w:val="en-US" w:eastAsia="en-US"/>
        </w:rPr>
        <w:t>legal</w:t>
      </w:r>
      <w:r w:rsidRPr="001C6F5C">
        <w:rPr>
          <w:rFonts w:eastAsiaTheme="minorHAnsi"/>
          <w:b/>
          <w:sz w:val="24"/>
          <w:szCs w:val="22"/>
          <w:lang w:val="en-US" w:eastAsia="en-US"/>
        </w:rPr>
        <w:t xml:space="preserve"> </w:t>
      </w:r>
      <w:r w:rsidRPr="00EC1A78">
        <w:rPr>
          <w:rFonts w:eastAsiaTheme="minorHAnsi"/>
          <w:b/>
          <w:sz w:val="24"/>
          <w:szCs w:val="22"/>
          <w:lang w:val="en-US" w:eastAsia="en-US"/>
        </w:rPr>
        <w:t>model</w:t>
      </w:r>
    </w:p>
    <w:p w:rsidR="00EC1A78" w:rsidRPr="001C6F5C" w:rsidRDefault="00EC1A78" w:rsidP="00EC1A78">
      <w:pPr>
        <w:jc w:val="center"/>
        <w:rPr>
          <w:rFonts w:eastAsiaTheme="minorHAnsi"/>
          <w:b/>
          <w:sz w:val="22"/>
          <w:szCs w:val="22"/>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Хачатурова Е. В.,</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студентка 4–курса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Чернов Ю. И.,</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кафедры административного и финансового права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университет имени И. Т. Трубилина</w:t>
      </w:r>
    </w:p>
    <w:p w:rsidR="00EC1A78" w:rsidRPr="00EC1A78" w:rsidRDefault="00EC1A78" w:rsidP="00EC1A78">
      <w:pPr>
        <w:ind w:firstLine="425"/>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Изучена правовая модель административного предупреждения эпизоотий. Рассмотрены нормативно–правовые акты, регулирующие тему исследования. Проанализированы теор</w:t>
      </w:r>
      <w:r w:rsidRPr="00EC1A78">
        <w:rPr>
          <w:rFonts w:eastAsiaTheme="minorHAnsi"/>
          <w:sz w:val="22"/>
          <w:szCs w:val="22"/>
          <w:lang w:eastAsia="en-US"/>
        </w:rPr>
        <w:t>е</w:t>
      </w:r>
      <w:r w:rsidRPr="00EC1A78">
        <w:rPr>
          <w:rFonts w:eastAsiaTheme="minorHAnsi"/>
          <w:sz w:val="22"/>
          <w:szCs w:val="22"/>
          <w:lang w:eastAsia="en-US"/>
        </w:rPr>
        <w:t>тические и практические аспекты административного предупр</w:t>
      </w:r>
      <w:r w:rsidRPr="00EC1A78">
        <w:rPr>
          <w:rFonts w:eastAsiaTheme="minorHAnsi"/>
          <w:sz w:val="22"/>
          <w:szCs w:val="22"/>
          <w:lang w:eastAsia="en-US"/>
        </w:rPr>
        <w:t>е</w:t>
      </w:r>
      <w:r w:rsidRPr="00EC1A78">
        <w:rPr>
          <w:rFonts w:eastAsiaTheme="minorHAnsi"/>
          <w:sz w:val="22"/>
          <w:szCs w:val="22"/>
          <w:lang w:eastAsia="en-US"/>
        </w:rPr>
        <w:t>ждения эпизоотий.</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legal model of administrative prevention of ep</w:t>
      </w:r>
      <w:r w:rsidRPr="00EC1A78">
        <w:rPr>
          <w:rFonts w:eastAsiaTheme="minorHAnsi"/>
          <w:sz w:val="22"/>
          <w:szCs w:val="22"/>
          <w:lang w:val="en-US" w:eastAsia="en-US"/>
        </w:rPr>
        <w:t>i</w:t>
      </w:r>
      <w:r w:rsidRPr="00EC1A78">
        <w:rPr>
          <w:rFonts w:eastAsiaTheme="minorHAnsi"/>
          <w:sz w:val="22"/>
          <w:szCs w:val="22"/>
          <w:lang w:val="en-US" w:eastAsia="en-US"/>
        </w:rPr>
        <w:t>zootics has been studied. Legal acts of the researching topic has been regarded. Theoretical and practical aspects of administrative prevention of epizootics has been analysed.</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административное предупреждение, эпизоотия, карантин, административно–предупредительные меры.</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administrative prevention, epizootic, quarantine, administrative and preventive measures.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Российской Федерации, в частности в Краснодарском крае, нередки случаи распространения различных заразных болезней ср</w:t>
      </w:r>
      <w:r w:rsidRPr="00EC1A78">
        <w:rPr>
          <w:rFonts w:eastAsiaTheme="minorHAnsi"/>
          <w:sz w:val="22"/>
          <w:szCs w:val="22"/>
          <w:lang w:eastAsia="en-US"/>
        </w:rPr>
        <w:t>е</w:t>
      </w:r>
      <w:r w:rsidRPr="00EC1A78">
        <w:rPr>
          <w:rFonts w:eastAsiaTheme="minorHAnsi"/>
          <w:sz w:val="22"/>
          <w:szCs w:val="22"/>
          <w:lang w:eastAsia="en-US"/>
        </w:rPr>
        <w:t>ди домашних или диких животных на значительной территории. При этом характерной чертой является одновременное распростр</w:t>
      </w:r>
      <w:r w:rsidRPr="00EC1A78">
        <w:rPr>
          <w:rFonts w:eastAsiaTheme="minorHAnsi"/>
          <w:sz w:val="22"/>
          <w:szCs w:val="22"/>
          <w:lang w:eastAsia="en-US"/>
        </w:rPr>
        <w:t>а</w:t>
      </w:r>
      <w:r w:rsidRPr="00EC1A78">
        <w:rPr>
          <w:rFonts w:eastAsiaTheme="minorHAnsi"/>
          <w:sz w:val="22"/>
          <w:szCs w:val="22"/>
          <w:lang w:eastAsia="en-US"/>
        </w:rPr>
        <w:t>нение болезни, а также большое число зараженных животных одн</w:t>
      </w:r>
      <w:r w:rsidRPr="00EC1A78">
        <w:rPr>
          <w:rFonts w:eastAsiaTheme="minorHAnsi"/>
          <w:sz w:val="22"/>
          <w:szCs w:val="22"/>
          <w:lang w:eastAsia="en-US"/>
        </w:rPr>
        <w:t>о</w:t>
      </w:r>
      <w:r w:rsidRPr="00EC1A78">
        <w:rPr>
          <w:rFonts w:eastAsiaTheme="minorHAnsi"/>
          <w:sz w:val="22"/>
          <w:szCs w:val="22"/>
          <w:lang w:eastAsia="en-US"/>
        </w:rPr>
        <w:t>го либо сразу нескольких видов. Данное явление именуется эпизо</w:t>
      </w:r>
      <w:r w:rsidRPr="00EC1A78">
        <w:rPr>
          <w:rFonts w:eastAsiaTheme="minorHAnsi"/>
          <w:sz w:val="22"/>
          <w:szCs w:val="22"/>
          <w:lang w:eastAsia="en-US"/>
        </w:rPr>
        <w:t>о</w:t>
      </w:r>
      <w:r w:rsidRPr="00EC1A78">
        <w:rPr>
          <w:rFonts w:eastAsiaTheme="minorHAnsi"/>
          <w:sz w:val="22"/>
          <w:szCs w:val="22"/>
          <w:lang w:eastAsia="en-US"/>
        </w:rPr>
        <w:t xml:space="preserve">тией.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Роль эпизоотий сказывается не только на здоровье и в резул</w:t>
      </w:r>
      <w:r w:rsidRPr="00EC1A78">
        <w:rPr>
          <w:rFonts w:eastAsiaTheme="minorHAnsi"/>
          <w:sz w:val="22"/>
          <w:szCs w:val="22"/>
          <w:lang w:eastAsia="en-US"/>
        </w:rPr>
        <w:t>ь</w:t>
      </w:r>
      <w:r w:rsidRPr="00EC1A78">
        <w:rPr>
          <w:rFonts w:eastAsiaTheme="minorHAnsi"/>
          <w:sz w:val="22"/>
          <w:szCs w:val="22"/>
          <w:lang w:eastAsia="en-US"/>
        </w:rPr>
        <w:t xml:space="preserve">тате падеже домашнего скота, но и на экономике, а также бюджете </w:t>
      </w:r>
      <w:r w:rsidRPr="00EC1A78">
        <w:rPr>
          <w:rFonts w:eastAsiaTheme="minorHAnsi"/>
          <w:sz w:val="22"/>
          <w:szCs w:val="22"/>
          <w:lang w:eastAsia="en-US"/>
        </w:rPr>
        <w:lastRenderedPageBreak/>
        <w:t>государства. При эпизоотиях уменьшается количество и ассорт</w:t>
      </w:r>
      <w:r w:rsidRPr="00EC1A78">
        <w:rPr>
          <w:rFonts w:eastAsiaTheme="minorHAnsi"/>
          <w:sz w:val="22"/>
          <w:szCs w:val="22"/>
          <w:lang w:eastAsia="en-US"/>
        </w:rPr>
        <w:t>и</w:t>
      </w:r>
      <w:r w:rsidRPr="00EC1A78">
        <w:rPr>
          <w:rFonts w:eastAsiaTheme="minorHAnsi"/>
          <w:sz w:val="22"/>
          <w:szCs w:val="22"/>
          <w:lang w:eastAsia="en-US"/>
        </w:rPr>
        <w:t>мент мяса, а также иных продуктов животноводства, что пагубно сказывается на экономическом положении в стране. Кроме этого при возникновении очагов особо опасных болезней животных с</w:t>
      </w:r>
      <w:r w:rsidRPr="00EC1A78">
        <w:rPr>
          <w:rFonts w:eastAsiaTheme="minorHAnsi"/>
          <w:sz w:val="22"/>
          <w:szCs w:val="22"/>
          <w:lang w:eastAsia="en-US"/>
        </w:rPr>
        <w:t>о</w:t>
      </w:r>
      <w:r w:rsidRPr="00EC1A78">
        <w:rPr>
          <w:rFonts w:eastAsiaTheme="minorHAnsi"/>
          <w:sz w:val="22"/>
          <w:szCs w:val="22"/>
          <w:lang w:eastAsia="en-US"/>
        </w:rPr>
        <w:t>гласно ст. 19 Закона от 14.05.1993 № 4979–1 «О ветеринарии» [1]  при ликвидации очагов особо опасных болезней животных могут быть изъяты животные или продукты животноводства с выплатой собственнику их стоимости за счет средств бюджета субъекта Ро</w:t>
      </w:r>
      <w:r w:rsidRPr="00EC1A78">
        <w:rPr>
          <w:rFonts w:eastAsiaTheme="minorHAnsi"/>
          <w:sz w:val="22"/>
          <w:szCs w:val="22"/>
          <w:lang w:eastAsia="en-US"/>
        </w:rPr>
        <w:t>с</w:t>
      </w:r>
      <w:r w:rsidRPr="00EC1A78">
        <w:rPr>
          <w:rFonts w:eastAsiaTheme="minorHAnsi"/>
          <w:sz w:val="22"/>
          <w:szCs w:val="22"/>
          <w:lang w:eastAsia="en-US"/>
        </w:rPr>
        <w:t>сийской Федерации, на которой произошло изъятие. Данный факт свидетельствует о значительных расходах денежных средств из бюджетов субъектов Российской Федерации. Для предупреждения и предотвращения подобных ситуаций существуют меры админ</w:t>
      </w:r>
      <w:r w:rsidRPr="00EC1A78">
        <w:rPr>
          <w:rFonts w:eastAsiaTheme="minorHAnsi"/>
          <w:sz w:val="22"/>
          <w:szCs w:val="22"/>
          <w:lang w:eastAsia="en-US"/>
        </w:rPr>
        <w:t>и</w:t>
      </w:r>
      <w:r w:rsidRPr="00EC1A78">
        <w:rPr>
          <w:rFonts w:eastAsiaTheme="minorHAnsi"/>
          <w:sz w:val="22"/>
          <w:szCs w:val="22"/>
          <w:lang w:eastAsia="en-US"/>
        </w:rPr>
        <w:t>стративного принуждения.</w:t>
      </w:r>
    </w:p>
    <w:p w:rsidR="00723562"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зависимости от цели и способа обеспечения правопорядка выделяют среди мер административного принуждения администр</w:t>
      </w:r>
      <w:r w:rsidRPr="00EC1A78">
        <w:rPr>
          <w:rFonts w:eastAsiaTheme="minorHAnsi"/>
          <w:sz w:val="22"/>
          <w:szCs w:val="22"/>
          <w:lang w:eastAsia="en-US"/>
        </w:rPr>
        <w:t>а</w:t>
      </w:r>
      <w:r w:rsidRPr="00EC1A78">
        <w:rPr>
          <w:rFonts w:eastAsiaTheme="minorHAnsi"/>
          <w:sz w:val="22"/>
          <w:szCs w:val="22"/>
          <w:lang w:eastAsia="en-US"/>
        </w:rPr>
        <w:t xml:space="preserve">тивно–предупредительные меры.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Административно–предупредительные меры – это средства и способы административно–правового характера, направленные на предупреждение правонарушений или наступления каких–либо н</w:t>
      </w:r>
      <w:r w:rsidRPr="00EC1A78">
        <w:rPr>
          <w:rFonts w:eastAsiaTheme="minorHAnsi"/>
          <w:sz w:val="22"/>
          <w:szCs w:val="22"/>
          <w:lang w:eastAsia="en-US"/>
        </w:rPr>
        <w:t>е</w:t>
      </w:r>
      <w:r w:rsidRPr="00EC1A78">
        <w:rPr>
          <w:rFonts w:eastAsiaTheme="minorHAnsi"/>
          <w:sz w:val="22"/>
          <w:szCs w:val="22"/>
          <w:lang w:eastAsia="en-US"/>
        </w:rPr>
        <w:t>благоприятных последствий [2]. Среди неблагоприятных после</w:t>
      </w:r>
      <w:r w:rsidRPr="00EC1A78">
        <w:rPr>
          <w:rFonts w:eastAsiaTheme="minorHAnsi"/>
          <w:sz w:val="22"/>
          <w:szCs w:val="22"/>
          <w:lang w:eastAsia="en-US"/>
        </w:rPr>
        <w:t>д</w:t>
      </w:r>
      <w:r w:rsidRPr="00EC1A78">
        <w:rPr>
          <w:rFonts w:eastAsiaTheme="minorHAnsi"/>
          <w:sz w:val="22"/>
          <w:szCs w:val="22"/>
          <w:lang w:eastAsia="en-US"/>
        </w:rPr>
        <w:t>ствий выделяют эпидемии, аварии, и в том числе интересующие нас эпизоотии.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Административно–предупредительные меры применительно к эпизоотиям применяются в целях предотвращения угрозы насту</w:t>
      </w:r>
      <w:r w:rsidRPr="00EC1A78">
        <w:rPr>
          <w:rFonts w:eastAsiaTheme="minorHAnsi"/>
          <w:sz w:val="22"/>
          <w:szCs w:val="22"/>
          <w:lang w:eastAsia="en-US"/>
        </w:rPr>
        <w:t>п</w:t>
      </w:r>
      <w:r w:rsidRPr="00EC1A78">
        <w:rPr>
          <w:rFonts w:eastAsiaTheme="minorHAnsi"/>
          <w:sz w:val="22"/>
          <w:szCs w:val="22"/>
          <w:lang w:eastAsia="en-US"/>
        </w:rPr>
        <w:t>ления возможных неблагоприятных, вредных последствий. В кач</w:t>
      </w:r>
      <w:r w:rsidRPr="00EC1A78">
        <w:rPr>
          <w:rFonts w:eastAsiaTheme="minorHAnsi"/>
          <w:sz w:val="22"/>
          <w:szCs w:val="22"/>
          <w:lang w:eastAsia="en-US"/>
        </w:rPr>
        <w:t>е</w:t>
      </w:r>
      <w:r w:rsidRPr="00EC1A78">
        <w:rPr>
          <w:rFonts w:eastAsiaTheme="minorHAnsi"/>
          <w:sz w:val="22"/>
          <w:szCs w:val="22"/>
          <w:lang w:eastAsia="en-US"/>
        </w:rPr>
        <w:t>стве вышеописанной меры можно привести карантин. Проведение карантина осуществляется в чрезвычайных обстоятельствах или в целях предупреждения угрозы общественной безопасности, в час</w:t>
      </w:r>
      <w:r w:rsidRPr="00EC1A78">
        <w:rPr>
          <w:rFonts w:eastAsiaTheme="minorHAnsi"/>
          <w:sz w:val="22"/>
          <w:szCs w:val="22"/>
          <w:lang w:eastAsia="en-US"/>
        </w:rPr>
        <w:t>т</w:t>
      </w:r>
      <w:r w:rsidRPr="00EC1A78">
        <w:rPr>
          <w:rFonts w:eastAsiaTheme="minorHAnsi"/>
          <w:sz w:val="22"/>
          <w:szCs w:val="22"/>
          <w:lang w:eastAsia="en-US"/>
        </w:rPr>
        <w:t>ности и при эпизоотиях. Карантин – это система строгих против</w:t>
      </w:r>
      <w:r w:rsidRPr="00EC1A78">
        <w:rPr>
          <w:rFonts w:eastAsiaTheme="minorHAnsi"/>
          <w:sz w:val="22"/>
          <w:szCs w:val="22"/>
          <w:lang w:eastAsia="en-US"/>
        </w:rPr>
        <w:t>о</w:t>
      </w:r>
      <w:r w:rsidRPr="00EC1A78">
        <w:rPr>
          <w:rFonts w:eastAsiaTheme="minorHAnsi"/>
          <w:sz w:val="22"/>
          <w:szCs w:val="22"/>
          <w:lang w:eastAsia="en-US"/>
        </w:rPr>
        <w:t>эпизоотических мероприятий для изоляции всего очага заражения и ликвидации в нем инфекционного заболевания. При возникновении инфекционной болезни и развитии эпизоотического процесса нео</w:t>
      </w:r>
      <w:r w:rsidRPr="00EC1A78">
        <w:rPr>
          <w:rFonts w:eastAsiaTheme="minorHAnsi"/>
          <w:sz w:val="22"/>
          <w:szCs w:val="22"/>
          <w:lang w:eastAsia="en-US"/>
        </w:rPr>
        <w:t>б</w:t>
      </w:r>
      <w:r w:rsidRPr="00EC1A78">
        <w:rPr>
          <w:rFonts w:eastAsiaTheme="minorHAnsi"/>
          <w:sz w:val="22"/>
          <w:szCs w:val="22"/>
          <w:lang w:eastAsia="en-US"/>
        </w:rPr>
        <w:t>ходимо изоляция источника, который возбудил инфекцию. Именно с этой целью вводят карантин или иные ограничения. Таким обр</w:t>
      </w:r>
      <w:r w:rsidRPr="00EC1A78">
        <w:rPr>
          <w:rFonts w:eastAsiaTheme="minorHAnsi"/>
          <w:sz w:val="22"/>
          <w:szCs w:val="22"/>
          <w:lang w:eastAsia="en-US"/>
        </w:rPr>
        <w:t>а</w:t>
      </w:r>
      <w:r w:rsidRPr="00EC1A78">
        <w:rPr>
          <w:rFonts w:eastAsiaTheme="minorHAnsi"/>
          <w:sz w:val="22"/>
          <w:szCs w:val="22"/>
          <w:lang w:eastAsia="en-US"/>
        </w:rPr>
        <w:t xml:space="preserve">зом, целью карантина является предупреждение распространения инфекционной болезни за пределы первичного очага. Карантин снимают после полной ликвидации инфекционной болезни с учетом </w:t>
      </w:r>
      <w:r w:rsidRPr="00EC1A78">
        <w:rPr>
          <w:rFonts w:eastAsiaTheme="minorHAnsi"/>
          <w:sz w:val="22"/>
          <w:szCs w:val="22"/>
          <w:lang w:eastAsia="en-US"/>
        </w:rPr>
        <w:lastRenderedPageBreak/>
        <w:t>длительности инкубационного периода заболевания, после закл</w:t>
      </w:r>
      <w:r w:rsidRPr="00EC1A78">
        <w:rPr>
          <w:rFonts w:eastAsiaTheme="minorHAnsi"/>
          <w:sz w:val="22"/>
          <w:szCs w:val="22"/>
          <w:lang w:eastAsia="en-US"/>
        </w:rPr>
        <w:t>ю</w:t>
      </w:r>
      <w:r w:rsidRPr="00EC1A78">
        <w:rPr>
          <w:rFonts w:eastAsiaTheme="minorHAnsi"/>
          <w:sz w:val="22"/>
          <w:szCs w:val="22"/>
          <w:lang w:eastAsia="en-US"/>
        </w:rPr>
        <w:t>чительных ветеринарно–санитарных мероприятий.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Согласно ст. 2.2. Закона «О ветеринарии» ветеринарные прав</w:t>
      </w:r>
      <w:r w:rsidRPr="00EC1A78">
        <w:rPr>
          <w:rFonts w:eastAsiaTheme="minorHAnsi"/>
          <w:sz w:val="22"/>
          <w:szCs w:val="22"/>
          <w:lang w:eastAsia="en-US"/>
        </w:rPr>
        <w:t>и</w:t>
      </w:r>
      <w:r w:rsidRPr="00EC1A78">
        <w:rPr>
          <w:rFonts w:eastAsiaTheme="minorHAnsi"/>
          <w:sz w:val="22"/>
          <w:szCs w:val="22"/>
          <w:lang w:eastAsia="en-US"/>
        </w:rPr>
        <w:t>ла установления и отмены на территории Российской Федерации карантина и иных ограничений, направленных на предотвращение распространения и ликвидацию очагов заразных и иных болезней животных, утверждаются по отдельным болезням животных. В свою очередь перечень заразных, а также особо опасных болезней животных, утвержден Приказом Минсельхоза России от 19.12.2011 № 476 «Об утверждении перечня заразных, в том числе особо опа</w:t>
      </w:r>
      <w:r w:rsidRPr="00EC1A78">
        <w:rPr>
          <w:rFonts w:eastAsiaTheme="minorHAnsi"/>
          <w:sz w:val="22"/>
          <w:szCs w:val="22"/>
          <w:lang w:eastAsia="en-US"/>
        </w:rPr>
        <w:t>с</w:t>
      </w:r>
      <w:r w:rsidRPr="00EC1A78">
        <w:rPr>
          <w:rFonts w:eastAsiaTheme="minorHAnsi"/>
          <w:sz w:val="22"/>
          <w:szCs w:val="22"/>
          <w:lang w:eastAsia="en-US"/>
        </w:rPr>
        <w:t>ных, болезней животных, по которым могут устанавливаться огр</w:t>
      </w:r>
      <w:r w:rsidRPr="00EC1A78">
        <w:rPr>
          <w:rFonts w:eastAsiaTheme="minorHAnsi"/>
          <w:sz w:val="22"/>
          <w:szCs w:val="22"/>
          <w:lang w:eastAsia="en-US"/>
        </w:rPr>
        <w:t>а</w:t>
      </w:r>
      <w:r w:rsidRPr="00EC1A78">
        <w:rPr>
          <w:rFonts w:eastAsiaTheme="minorHAnsi"/>
          <w:sz w:val="22"/>
          <w:szCs w:val="22"/>
          <w:lang w:eastAsia="en-US"/>
        </w:rPr>
        <w:t xml:space="preserve">ничительные мероприятия (карантин)». Среди данных болезней указаны брадзот, варроатоз, оспа, болезнь Ауески и так далее.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Необходимо отметить, что согласно ст. 10.6. Кодекса об адм</w:t>
      </w:r>
      <w:r w:rsidRPr="00EC1A78">
        <w:rPr>
          <w:rFonts w:eastAsiaTheme="minorHAnsi"/>
          <w:sz w:val="22"/>
          <w:szCs w:val="22"/>
          <w:lang w:eastAsia="en-US"/>
        </w:rPr>
        <w:t>и</w:t>
      </w:r>
      <w:r w:rsidRPr="00EC1A78">
        <w:rPr>
          <w:rFonts w:eastAsiaTheme="minorHAnsi"/>
          <w:sz w:val="22"/>
          <w:szCs w:val="22"/>
          <w:lang w:eastAsia="en-US"/>
        </w:rPr>
        <w:t>нистративных правонарушениях РФ установлена административная ответственность за нарушение правил карантина животных или других ветеринарно–санитарных правил. Также законодательством предусмотрена и уголовная ответственность, закрепленная в ст. 249 Уголовного кодекса РФ за нарушение ветеринарных правил, п</w:t>
      </w:r>
      <w:r w:rsidRPr="00EC1A78">
        <w:rPr>
          <w:rFonts w:eastAsiaTheme="minorHAnsi"/>
          <w:sz w:val="22"/>
          <w:szCs w:val="22"/>
          <w:lang w:eastAsia="en-US"/>
        </w:rPr>
        <w:t>о</w:t>
      </w:r>
      <w:r w:rsidRPr="00EC1A78">
        <w:rPr>
          <w:rFonts w:eastAsiaTheme="minorHAnsi"/>
          <w:sz w:val="22"/>
          <w:szCs w:val="22"/>
          <w:lang w:eastAsia="en-US"/>
        </w:rPr>
        <w:t>влекшее по неосторожности тяжкие последствия.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 основании вышесказанного мы можем сделать вывод о том, что на законодательном уровне выработаны превентивные мех</w:t>
      </w:r>
      <w:r w:rsidRPr="00EC1A78">
        <w:rPr>
          <w:rFonts w:eastAsiaTheme="minorHAnsi"/>
          <w:sz w:val="22"/>
          <w:szCs w:val="22"/>
          <w:lang w:eastAsia="en-US"/>
        </w:rPr>
        <w:t>а</w:t>
      </w:r>
      <w:r w:rsidRPr="00EC1A78">
        <w:rPr>
          <w:rFonts w:eastAsiaTheme="minorHAnsi"/>
          <w:sz w:val="22"/>
          <w:szCs w:val="22"/>
          <w:lang w:eastAsia="en-US"/>
        </w:rPr>
        <w:t>низмы борьбы с эпизоотиями на территории России. Также пред</w:t>
      </w:r>
      <w:r w:rsidRPr="00EC1A78">
        <w:rPr>
          <w:rFonts w:eastAsiaTheme="minorHAnsi"/>
          <w:sz w:val="22"/>
          <w:szCs w:val="22"/>
          <w:lang w:eastAsia="en-US"/>
        </w:rPr>
        <w:t>у</w:t>
      </w:r>
      <w:r w:rsidRPr="00EC1A78">
        <w:rPr>
          <w:rFonts w:eastAsiaTheme="minorHAnsi"/>
          <w:sz w:val="22"/>
          <w:szCs w:val="22"/>
          <w:lang w:eastAsia="en-US"/>
        </w:rPr>
        <w:t>смотрена юридическая ответственность за нарушение ветеринарных правил, приводящих к эпизоотиям и иным тяжким последствиям. Таким образом, при помощи административных предупредител</w:t>
      </w:r>
      <w:r w:rsidRPr="00EC1A78">
        <w:rPr>
          <w:rFonts w:eastAsiaTheme="minorHAnsi"/>
          <w:sz w:val="22"/>
          <w:szCs w:val="22"/>
          <w:lang w:eastAsia="en-US"/>
        </w:rPr>
        <w:t>ь</w:t>
      </w:r>
      <w:r w:rsidRPr="00EC1A78">
        <w:rPr>
          <w:rFonts w:eastAsiaTheme="minorHAnsi"/>
          <w:sz w:val="22"/>
          <w:szCs w:val="22"/>
          <w:lang w:eastAsia="en-US"/>
        </w:rPr>
        <w:t>ных мер законодательство Российской Федерации позволяет изб</w:t>
      </w:r>
      <w:r w:rsidRPr="00EC1A78">
        <w:rPr>
          <w:rFonts w:eastAsiaTheme="minorHAnsi"/>
          <w:sz w:val="22"/>
          <w:szCs w:val="22"/>
          <w:lang w:eastAsia="en-US"/>
        </w:rPr>
        <w:t>е</w:t>
      </w:r>
      <w:r w:rsidRPr="00EC1A78">
        <w:rPr>
          <w:rFonts w:eastAsiaTheme="minorHAnsi"/>
          <w:sz w:val="22"/>
          <w:szCs w:val="22"/>
          <w:lang w:eastAsia="en-US"/>
        </w:rPr>
        <w:t>жать больших экономических потерь, бюджетных расходов, а также общественной опасности в целом.</w:t>
      </w:r>
    </w:p>
    <w:p w:rsidR="006A771F" w:rsidRPr="00EC1A78" w:rsidRDefault="006A771F" w:rsidP="002B3A7B">
      <w:pPr>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О ветеринарии: Закон РФ от 14.05.1993 № 4979–1: в ред. от 03.07.2016 // Ведомости СНД и ВС РФ. – 1993. – № 24. – Ст. 857.</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2. Административное право Российской Федерации: учебник для бакалавров / отв. ред. Л. Л. Попов. – М.: РГ–Пресс, 2016. – 203–204. </w:t>
      </w:r>
    </w:p>
    <w:p w:rsidR="00EC1A78" w:rsidRDefault="00EC1A78" w:rsidP="00EC1A78">
      <w:pPr>
        <w:jc w:val="both"/>
        <w:rPr>
          <w:rFonts w:eastAsiaTheme="minorHAnsi"/>
          <w:sz w:val="22"/>
          <w:szCs w:val="22"/>
          <w:lang w:eastAsia="en-US"/>
        </w:rPr>
      </w:pPr>
    </w:p>
    <w:p w:rsidR="00723562" w:rsidRPr="00EC1A78" w:rsidRDefault="00723562" w:rsidP="00EC1A78">
      <w:pPr>
        <w:jc w:val="both"/>
        <w:rPr>
          <w:rFonts w:eastAsiaTheme="minorHAnsi"/>
          <w:sz w:val="22"/>
          <w:szCs w:val="22"/>
          <w:lang w:eastAsia="en-US"/>
        </w:rPr>
      </w:pPr>
    </w:p>
    <w:p w:rsidR="00EC1A78" w:rsidRPr="00723562" w:rsidRDefault="00EC1A78" w:rsidP="00EC1A78">
      <w:pPr>
        <w:rPr>
          <w:rFonts w:eastAsiaTheme="minorHAnsi"/>
          <w:color w:val="000000" w:themeColor="text1"/>
          <w:sz w:val="22"/>
          <w:szCs w:val="22"/>
          <w:lang w:eastAsia="en-US"/>
        </w:rPr>
      </w:pPr>
      <w:r w:rsidRPr="00723562">
        <w:rPr>
          <w:rFonts w:eastAsiaTheme="minorHAnsi"/>
          <w:sz w:val="22"/>
          <w:szCs w:val="22"/>
          <w:lang w:eastAsia="en-US"/>
        </w:rPr>
        <w:lastRenderedPageBreak/>
        <w:t>УДК 343.98</w:t>
      </w:r>
    </w:p>
    <w:p w:rsidR="00EC1A78" w:rsidRPr="00EC1A78" w:rsidRDefault="00EC1A78" w:rsidP="00EC1A78">
      <w:pPr>
        <w:jc w:val="center"/>
        <w:rPr>
          <w:rFonts w:eastAsiaTheme="minorHAnsi"/>
          <w:sz w:val="22"/>
          <w:szCs w:val="22"/>
          <w:lang w:eastAsia="en-US"/>
        </w:rPr>
      </w:pPr>
    </w:p>
    <w:p w:rsidR="00EC1A78" w:rsidRPr="00EC1A78" w:rsidRDefault="00EC1A78" w:rsidP="00EC1A78">
      <w:pPr>
        <w:jc w:val="center"/>
        <w:rPr>
          <w:rFonts w:eastAsiaTheme="minorHAnsi"/>
          <w:b/>
          <w:color w:val="000000" w:themeColor="text1"/>
          <w:sz w:val="24"/>
          <w:szCs w:val="24"/>
          <w:lang w:eastAsia="en-US"/>
        </w:rPr>
      </w:pPr>
      <w:r w:rsidRPr="00EC1A78">
        <w:rPr>
          <w:rFonts w:eastAsiaTheme="minorHAnsi"/>
          <w:b/>
          <w:sz w:val="24"/>
          <w:szCs w:val="24"/>
          <w:lang w:eastAsia="en-US"/>
        </w:rPr>
        <w:t>Расследование преступлений, связанных с незаконным оборотом оружия в РФ</w:t>
      </w:r>
    </w:p>
    <w:p w:rsidR="00EC1A78" w:rsidRPr="00EC1A78" w:rsidRDefault="00EC1A78" w:rsidP="00EC1A78">
      <w:pPr>
        <w:jc w:val="center"/>
        <w:rPr>
          <w:rFonts w:eastAsiaTheme="minorHAnsi"/>
          <w:color w:val="000000" w:themeColor="text1"/>
          <w:sz w:val="24"/>
          <w:szCs w:val="24"/>
          <w:lang w:val="en-US" w:eastAsia="en-US"/>
        </w:rPr>
      </w:pPr>
      <w:r w:rsidRPr="00EC1A78">
        <w:rPr>
          <w:rFonts w:eastAsiaTheme="minorHAnsi"/>
          <w:b/>
          <w:sz w:val="24"/>
          <w:szCs w:val="24"/>
          <w:lang w:val="en-US" w:eastAsia="en-US"/>
        </w:rPr>
        <w:t xml:space="preserve">Investigation of crimes related to illegal weapons </w:t>
      </w:r>
      <w:r w:rsidR="002B3A7B" w:rsidRPr="002B3A7B">
        <w:rPr>
          <w:rFonts w:eastAsiaTheme="minorHAnsi"/>
          <w:b/>
          <w:sz w:val="24"/>
          <w:szCs w:val="24"/>
          <w:lang w:val="en-US" w:eastAsia="en-US"/>
        </w:rPr>
        <w:br/>
      </w:r>
      <w:r w:rsidRPr="00EC1A78">
        <w:rPr>
          <w:rFonts w:eastAsiaTheme="minorHAnsi"/>
          <w:b/>
          <w:sz w:val="24"/>
          <w:szCs w:val="24"/>
          <w:lang w:val="en-US" w:eastAsia="en-US"/>
        </w:rPr>
        <w:t>in the Russian Federation</w:t>
      </w:r>
    </w:p>
    <w:p w:rsidR="00EC1A78" w:rsidRPr="00EC1A78" w:rsidRDefault="00EC1A78" w:rsidP="00EC1A78">
      <w:pPr>
        <w:jc w:val="right"/>
        <w:rPr>
          <w:rFonts w:eastAsiaTheme="minorHAnsi"/>
          <w:color w:val="000000" w:themeColor="text1"/>
          <w:sz w:val="22"/>
          <w:szCs w:val="22"/>
          <w:lang w:val="en-US" w:eastAsia="en-US"/>
        </w:rPr>
      </w:pP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Хмарский В.</w:t>
      </w:r>
      <w:r w:rsidR="00723562">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В.,</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студент 4–го курса юридического факультета</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Шпак Н.</w:t>
      </w:r>
      <w:r w:rsidR="00723562">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М.,</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преподаватель кафедры криминалистики</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Кубанский государственный аграрный </w:t>
      </w:r>
    </w:p>
    <w:p w:rsidR="00EC1A78" w:rsidRPr="00EC1A78" w:rsidRDefault="00EC1A78" w:rsidP="00EC1A78">
      <w:pPr>
        <w:jc w:val="right"/>
        <w:rPr>
          <w:rFonts w:eastAsiaTheme="minorHAnsi"/>
          <w:color w:val="000000" w:themeColor="text1"/>
          <w:sz w:val="22"/>
          <w:szCs w:val="22"/>
          <w:lang w:eastAsia="en-US"/>
        </w:rPr>
      </w:pPr>
      <w:r w:rsidRPr="00EC1A78">
        <w:rPr>
          <w:rFonts w:eastAsiaTheme="minorHAnsi"/>
          <w:color w:val="000000" w:themeColor="text1"/>
          <w:sz w:val="22"/>
          <w:szCs w:val="22"/>
          <w:lang w:eastAsia="en-US"/>
        </w:rPr>
        <w:t>университет имени И.</w:t>
      </w:r>
      <w:r w:rsidR="00723562">
        <w:rPr>
          <w:rFonts w:eastAsiaTheme="minorHAnsi"/>
          <w:color w:val="000000" w:themeColor="text1"/>
          <w:sz w:val="22"/>
          <w:szCs w:val="22"/>
          <w:lang w:eastAsia="en-US"/>
        </w:rPr>
        <w:t xml:space="preserve"> </w:t>
      </w:r>
      <w:r w:rsidRPr="00EC1A78">
        <w:rPr>
          <w:rFonts w:eastAsiaTheme="minorHAnsi"/>
          <w:color w:val="000000" w:themeColor="text1"/>
          <w:sz w:val="22"/>
          <w:szCs w:val="22"/>
          <w:lang w:eastAsia="en-US"/>
        </w:rPr>
        <w:t>Т. Трубилина</w:t>
      </w:r>
    </w:p>
    <w:p w:rsidR="00EC1A78" w:rsidRPr="00EC1A78" w:rsidRDefault="00EC1A78" w:rsidP="00EC1A78">
      <w:pPr>
        <w:jc w:val="center"/>
        <w:rPr>
          <w:rFonts w:eastAsiaTheme="minorHAnsi"/>
          <w:color w:val="000000" w:themeColor="text1"/>
          <w:lang w:eastAsia="en-US"/>
        </w:rPr>
      </w:pP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eastAsia="en-US"/>
        </w:rPr>
        <w:t xml:space="preserve">АННОТАЦИЯ: </w:t>
      </w:r>
      <w:r w:rsidRPr="00EC1A78">
        <w:rPr>
          <w:rFonts w:eastAsiaTheme="minorHAnsi"/>
          <w:sz w:val="22"/>
          <w:szCs w:val="22"/>
          <w:lang w:eastAsia="en-US"/>
        </w:rPr>
        <w:t>В статье рассмотрены вопросы, связанные с расследованием незаконного оборота оружия. Представлены</w:t>
      </w:r>
      <w:r w:rsidRPr="00EC1A78">
        <w:rPr>
          <w:rFonts w:eastAsiaTheme="minorHAnsi"/>
          <w:sz w:val="22"/>
          <w:szCs w:val="22"/>
          <w:lang w:val="en-US" w:eastAsia="en-US"/>
        </w:rPr>
        <w:t xml:space="preserve"> </w:t>
      </w:r>
      <w:r w:rsidRPr="00EC1A78">
        <w:rPr>
          <w:rFonts w:eastAsiaTheme="minorHAnsi"/>
          <w:sz w:val="22"/>
          <w:szCs w:val="22"/>
          <w:lang w:eastAsia="en-US"/>
        </w:rPr>
        <w:t>эл</w:t>
      </w:r>
      <w:r w:rsidRPr="00EC1A78">
        <w:rPr>
          <w:rFonts w:eastAsiaTheme="minorHAnsi"/>
          <w:sz w:val="22"/>
          <w:szCs w:val="22"/>
          <w:lang w:eastAsia="en-US"/>
        </w:rPr>
        <w:t>е</w:t>
      </w:r>
      <w:r w:rsidRPr="00EC1A78">
        <w:rPr>
          <w:rFonts w:eastAsiaTheme="minorHAnsi"/>
          <w:sz w:val="22"/>
          <w:szCs w:val="22"/>
          <w:lang w:eastAsia="en-US"/>
        </w:rPr>
        <w:t>менты</w:t>
      </w:r>
      <w:r w:rsidRPr="00EC1A78">
        <w:rPr>
          <w:rFonts w:eastAsiaTheme="minorHAnsi"/>
          <w:sz w:val="22"/>
          <w:szCs w:val="22"/>
          <w:lang w:val="en-US" w:eastAsia="en-US"/>
        </w:rPr>
        <w:t xml:space="preserve">, </w:t>
      </w:r>
      <w:r w:rsidRPr="00EC1A78">
        <w:rPr>
          <w:rFonts w:eastAsiaTheme="minorHAnsi"/>
          <w:sz w:val="22"/>
          <w:szCs w:val="22"/>
          <w:lang w:eastAsia="en-US"/>
        </w:rPr>
        <w:t>входящие</w:t>
      </w:r>
      <w:r w:rsidRPr="00EC1A78">
        <w:rPr>
          <w:rFonts w:eastAsiaTheme="minorHAnsi"/>
          <w:sz w:val="22"/>
          <w:szCs w:val="22"/>
          <w:lang w:val="en-US" w:eastAsia="en-US"/>
        </w:rPr>
        <w:t xml:space="preserve"> </w:t>
      </w:r>
      <w:r w:rsidRPr="00EC1A78">
        <w:rPr>
          <w:rFonts w:eastAsiaTheme="minorHAnsi"/>
          <w:sz w:val="22"/>
          <w:szCs w:val="22"/>
          <w:lang w:eastAsia="en-US"/>
        </w:rPr>
        <w:t>в</w:t>
      </w:r>
      <w:r w:rsidRPr="00EC1A78">
        <w:rPr>
          <w:rFonts w:eastAsiaTheme="minorHAnsi"/>
          <w:sz w:val="22"/>
          <w:szCs w:val="22"/>
          <w:lang w:val="en-US" w:eastAsia="en-US"/>
        </w:rPr>
        <w:t xml:space="preserve"> </w:t>
      </w:r>
      <w:r w:rsidRPr="00EC1A78">
        <w:rPr>
          <w:rFonts w:eastAsiaTheme="minorHAnsi"/>
          <w:sz w:val="22"/>
          <w:szCs w:val="22"/>
          <w:lang w:eastAsia="en-US"/>
        </w:rPr>
        <w:t>криминалистическую</w:t>
      </w:r>
      <w:r w:rsidRPr="00EC1A78">
        <w:rPr>
          <w:rFonts w:eastAsiaTheme="minorHAnsi"/>
          <w:sz w:val="22"/>
          <w:szCs w:val="22"/>
          <w:lang w:val="en-US" w:eastAsia="en-US"/>
        </w:rPr>
        <w:t xml:space="preserve"> </w:t>
      </w:r>
      <w:r w:rsidRPr="00EC1A78">
        <w:rPr>
          <w:rFonts w:eastAsiaTheme="minorHAnsi"/>
          <w:sz w:val="22"/>
          <w:szCs w:val="22"/>
          <w:lang w:eastAsia="en-US"/>
        </w:rPr>
        <w:t>характеристику</w:t>
      </w:r>
      <w:r w:rsidRPr="00EC1A78">
        <w:rPr>
          <w:rFonts w:eastAsiaTheme="minorHAnsi"/>
          <w:sz w:val="22"/>
          <w:szCs w:val="22"/>
          <w:lang w:val="en-US" w:eastAsia="en-US"/>
        </w:rPr>
        <w:t xml:space="preserve"> </w:t>
      </w:r>
      <w:r w:rsidRPr="00EC1A78">
        <w:rPr>
          <w:rFonts w:eastAsiaTheme="minorHAnsi"/>
          <w:sz w:val="22"/>
          <w:szCs w:val="22"/>
          <w:lang w:eastAsia="en-US"/>
        </w:rPr>
        <w:t>престу</w:t>
      </w:r>
      <w:r w:rsidRPr="00EC1A78">
        <w:rPr>
          <w:rFonts w:eastAsiaTheme="minorHAnsi"/>
          <w:sz w:val="22"/>
          <w:szCs w:val="22"/>
          <w:lang w:eastAsia="en-US"/>
        </w:rPr>
        <w:t>п</w:t>
      </w:r>
      <w:r w:rsidRPr="00EC1A78">
        <w:rPr>
          <w:rFonts w:eastAsiaTheme="minorHAnsi"/>
          <w:sz w:val="22"/>
          <w:szCs w:val="22"/>
          <w:lang w:eastAsia="en-US"/>
        </w:rPr>
        <w:t>лений</w:t>
      </w:r>
      <w:r w:rsidRPr="00EC1A78">
        <w:rPr>
          <w:rFonts w:eastAsiaTheme="minorHAnsi"/>
          <w:sz w:val="22"/>
          <w:szCs w:val="22"/>
          <w:lang w:val="en-US" w:eastAsia="en-US"/>
        </w:rPr>
        <w:t xml:space="preserve"> </w:t>
      </w:r>
      <w:r w:rsidRPr="00EC1A78">
        <w:rPr>
          <w:rFonts w:eastAsiaTheme="minorHAnsi"/>
          <w:sz w:val="22"/>
          <w:szCs w:val="22"/>
          <w:lang w:eastAsia="en-US"/>
        </w:rPr>
        <w:t>данной</w:t>
      </w:r>
      <w:r w:rsidRPr="00EC1A78">
        <w:rPr>
          <w:rFonts w:eastAsiaTheme="minorHAnsi"/>
          <w:sz w:val="22"/>
          <w:szCs w:val="22"/>
          <w:lang w:val="en-US" w:eastAsia="en-US"/>
        </w:rPr>
        <w:t xml:space="preserve"> </w:t>
      </w:r>
      <w:r w:rsidRPr="00EC1A78">
        <w:rPr>
          <w:rFonts w:eastAsiaTheme="minorHAnsi"/>
          <w:sz w:val="22"/>
          <w:szCs w:val="22"/>
          <w:lang w:eastAsia="en-US"/>
        </w:rPr>
        <w:t>группы</w:t>
      </w:r>
      <w:r w:rsidRPr="00EC1A78">
        <w:rPr>
          <w:rFonts w:eastAsiaTheme="minorHAnsi"/>
          <w:sz w:val="22"/>
          <w:szCs w:val="22"/>
          <w:lang w:val="en-US" w:eastAsia="en-US"/>
        </w:rPr>
        <w:t xml:space="preserve">.   </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lang w:eastAsia="en-US"/>
        </w:rPr>
        <w:t>А</w:t>
      </w:r>
      <w:r w:rsidRPr="00EC1A78">
        <w:rPr>
          <w:rFonts w:eastAsiaTheme="minorHAnsi"/>
          <w:sz w:val="22"/>
          <w:lang w:val="en-US" w:eastAsia="en-US"/>
        </w:rPr>
        <w:t>NNOTATION</w:t>
      </w:r>
      <w:r w:rsidRPr="00EC1A78">
        <w:rPr>
          <w:rFonts w:eastAsiaTheme="minorHAnsi"/>
          <w:color w:val="000000" w:themeColor="text1"/>
          <w:sz w:val="22"/>
          <w:szCs w:val="22"/>
          <w:lang w:val="en-US" w:eastAsia="en-US"/>
        </w:rPr>
        <w:t xml:space="preserve">: </w:t>
      </w:r>
      <w:r w:rsidRPr="00EC1A78">
        <w:rPr>
          <w:rFonts w:eastAsiaTheme="minorHAnsi"/>
          <w:sz w:val="22"/>
          <w:szCs w:val="22"/>
          <w:lang w:val="en-US" w:eastAsia="en-US"/>
        </w:rPr>
        <w:t>The article deals with the issues related to the i</w:t>
      </w:r>
      <w:r w:rsidRPr="00EC1A78">
        <w:rPr>
          <w:rFonts w:eastAsiaTheme="minorHAnsi"/>
          <w:sz w:val="22"/>
          <w:szCs w:val="22"/>
          <w:lang w:val="en-US" w:eastAsia="en-US"/>
        </w:rPr>
        <w:t>n</w:t>
      </w:r>
      <w:r w:rsidRPr="00EC1A78">
        <w:rPr>
          <w:rFonts w:eastAsiaTheme="minorHAnsi"/>
          <w:sz w:val="22"/>
          <w:szCs w:val="22"/>
          <w:lang w:val="en-US" w:eastAsia="en-US"/>
        </w:rPr>
        <w:t>vestigation of illegal arms trafficking. The elements included in the f</w:t>
      </w:r>
      <w:r w:rsidRPr="00EC1A78">
        <w:rPr>
          <w:rFonts w:eastAsiaTheme="minorHAnsi"/>
          <w:sz w:val="22"/>
          <w:szCs w:val="22"/>
          <w:lang w:val="en-US" w:eastAsia="en-US"/>
        </w:rPr>
        <w:t>o</w:t>
      </w:r>
      <w:r w:rsidRPr="00EC1A78">
        <w:rPr>
          <w:rFonts w:eastAsiaTheme="minorHAnsi"/>
          <w:sz w:val="22"/>
          <w:szCs w:val="22"/>
          <w:lang w:val="en-US" w:eastAsia="en-US"/>
        </w:rPr>
        <w:t>rensic characterization of the crimes of this group.</w:t>
      </w:r>
    </w:p>
    <w:p w:rsidR="00EC1A78" w:rsidRPr="00EC1A78" w:rsidRDefault="00EC1A78" w:rsidP="00EC1A78">
      <w:pPr>
        <w:ind w:firstLine="426"/>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КЛЮЧЕВЫЕ СЛОВА: </w:t>
      </w:r>
      <w:r w:rsidRPr="00EC1A78">
        <w:rPr>
          <w:rFonts w:eastAsiaTheme="minorHAnsi"/>
          <w:sz w:val="22"/>
          <w:szCs w:val="22"/>
          <w:lang w:eastAsia="en-US"/>
        </w:rPr>
        <w:t>нелегальный оборот оружия, престу</w:t>
      </w:r>
      <w:r w:rsidRPr="00EC1A78">
        <w:rPr>
          <w:rFonts w:eastAsiaTheme="minorHAnsi"/>
          <w:sz w:val="22"/>
          <w:szCs w:val="22"/>
          <w:lang w:eastAsia="en-US"/>
        </w:rPr>
        <w:t>п</w:t>
      </w:r>
      <w:r w:rsidRPr="00EC1A78">
        <w:rPr>
          <w:rFonts w:eastAsiaTheme="minorHAnsi"/>
          <w:sz w:val="22"/>
          <w:szCs w:val="22"/>
          <w:lang w:eastAsia="en-US"/>
        </w:rPr>
        <w:t>ление, уголовная ответственность, профилактика преступлений.</w:t>
      </w:r>
    </w:p>
    <w:p w:rsidR="00EC1A78" w:rsidRPr="00EC1A78" w:rsidRDefault="00EC1A78" w:rsidP="00EC1A78">
      <w:pPr>
        <w:ind w:firstLine="426"/>
        <w:jc w:val="both"/>
        <w:rPr>
          <w:rFonts w:eastAsiaTheme="minorHAnsi"/>
          <w:color w:val="000000" w:themeColor="text1"/>
          <w:sz w:val="22"/>
          <w:szCs w:val="22"/>
          <w:lang w:val="en-US" w:eastAsia="en-US"/>
        </w:rPr>
      </w:pPr>
      <w:r w:rsidRPr="00EC1A78">
        <w:rPr>
          <w:rFonts w:eastAsiaTheme="minorHAnsi"/>
          <w:color w:val="000000" w:themeColor="text1"/>
          <w:sz w:val="22"/>
          <w:szCs w:val="22"/>
          <w:lang w:val="en-US" w:eastAsia="en-US"/>
        </w:rPr>
        <w:t xml:space="preserve">KEYWORDS: </w:t>
      </w:r>
      <w:r w:rsidRPr="00EC1A78">
        <w:rPr>
          <w:rFonts w:eastAsiaTheme="minorHAnsi"/>
          <w:sz w:val="22"/>
          <w:szCs w:val="22"/>
          <w:lang w:val="en-US" w:eastAsia="en-US"/>
        </w:rPr>
        <w:t>illegal turnover of weapons, crime, criminal respo</w:t>
      </w:r>
      <w:r w:rsidRPr="00EC1A78">
        <w:rPr>
          <w:rFonts w:eastAsiaTheme="minorHAnsi"/>
          <w:sz w:val="22"/>
          <w:szCs w:val="22"/>
          <w:lang w:val="en-US" w:eastAsia="en-US"/>
        </w:rPr>
        <w:t>n</w:t>
      </w:r>
      <w:r w:rsidRPr="00EC1A78">
        <w:rPr>
          <w:rFonts w:eastAsiaTheme="minorHAnsi"/>
          <w:sz w:val="22"/>
          <w:szCs w:val="22"/>
          <w:lang w:val="en-US" w:eastAsia="en-US"/>
        </w:rPr>
        <w:t>sibility, crime prevention.</w:t>
      </w:r>
    </w:p>
    <w:p w:rsidR="00EC1A78" w:rsidRPr="00EC1A78" w:rsidRDefault="00EC1A78" w:rsidP="00EC1A78">
      <w:pPr>
        <w:ind w:firstLine="426"/>
        <w:jc w:val="both"/>
        <w:rPr>
          <w:rFonts w:eastAsiaTheme="minorHAnsi"/>
          <w:color w:val="000000" w:themeColor="text1"/>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настоящее время борьба с преступностью является одной из приоритетных задач, стоящих перед правоохранительными орган</w:t>
      </w:r>
      <w:r w:rsidRPr="00EC1A78">
        <w:rPr>
          <w:rFonts w:eastAsiaTheme="minorHAnsi"/>
          <w:sz w:val="22"/>
          <w:szCs w:val="22"/>
          <w:lang w:eastAsia="en-US"/>
        </w:rPr>
        <w:t>а</w:t>
      </w:r>
      <w:r w:rsidRPr="00EC1A78">
        <w:rPr>
          <w:rFonts w:eastAsiaTheme="minorHAnsi"/>
          <w:sz w:val="22"/>
          <w:szCs w:val="22"/>
          <w:lang w:eastAsia="en-US"/>
        </w:rPr>
        <w:t>ми России всего мирового сообщества. Нестабильность экономич</w:t>
      </w:r>
      <w:r w:rsidRPr="00EC1A78">
        <w:rPr>
          <w:rFonts w:eastAsiaTheme="minorHAnsi"/>
          <w:sz w:val="22"/>
          <w:szCs w:val="22"/>
          <w:lang w:eastAsia="en-US"/>
        </w:rPr>
        <w:t>е</w:t>
      </w:r>
      <w:r w:rsidRPr="00EC1A78">
        <w:rPr>
          <w:rFonts w:eastAsiaTheme="minorHAnsi"/>
          <w:sz w:val="22"/>
          <w:szCs w:val="22"/>
          <w:lang w:eastAsia="en-US"/>
        </w:rPr>
        <w:t>ских и политических отношений, развитие региональных и межн</w:t>
      </w:r>
      <w:r w:rsidRPr="00EC1A78">
        <w:rPr>
          <w:rFonts w:eastAsiaTheme="minorHAnsi"/>
          <w:sz w:val="22"/>
          <w:szCs w:val="22"/>
          <w:lang w:eastAsia="en-US"/>
        </w:rPr>
        <w:t>а</w:t>
      </w:r>
      <w:r w:rsidRPr="00EC1A78">
        <w:rPr>
          <w:rFonts w:eastAsiaTheme="minorHAnsi"/>
          <w:sz w:val="22"/>
          <w:szCs w:val="22"/>
          <w:lang w:eastAsia="en-US"/>
        </w:rPr>
        <w:t>циональных конфликтов, криминализация общества привели к р</w:t>
      </w:r>
      <w:r w:rsidRPr="00EC1A78">
        <w:rPr>
          <w:rFonts w:eastAsiaTheme="minorHAnsi"/>
          <w:sz w:val="22"/>
          <w:szCs w:val="22"/>
          <w:lang w:eastAsia="en-US"/>
        </w:rPr>
        <w:t>о</w:t>
      </w:r>
      <w:r w:rsidRPr="00EC1A78">
        <w:rPr>
          <w:rFonts w:eastAsiaTheme="minorHAnsi"/>
          <w:sz w:val="22"/>
          <w:szCs w:val="22"/>
          <w:lang w:eastAsia="en-US"/>
        </w:rPr>
        <w:t>сту тяжких и особо тяжких насильственных преступлений. Благ</w:t>
      </w:r>
      <w:r w:rsidRPr="00EC1A78">
        <w:rPr>
          <w:rFonts w:eastAsiaTheme="minorHAnsi"/>
          <w:sz w:val="22"/>
          <w:szCs w:val="22"/>
          <w:lang w:eastAsia="en-US"/>
        </w:rPr>
        <w:t>о</w:t>
      </w:r>
      <w:r w:rsidRPr="00EC1A78">
        <w:rPr>
          <w:rFonts w:eastAsiaTheme="minorHAnsi"/>
          <w:sz w:val="22"/>
          <w:szCs w:val="22"/>
          <w:lang w:eastAsia="en-US"/>
        </w:rPr>
        <w:t>приятную среду для их совершения создает незаконный оборот оружия. Согласно имеющимся данным, число преступлений, св</w:t>
      </w:r>
      <w:r w:rsidRPr="00EC1A78">
        <w:rPr>
          <w:rFonts w:eastAsiaTheme="minorHAnsi"/>
          <w:sz w:val="22"/>
          <w:szCs w:val="22"/>
          <w:lang w:eastAsia="en-US"/>
        </w:rPr>
        <w:t>я</w:t>
      </w:r>
      <w:r w:rsidRPr="00EC1A78">
        <w:rPr>
          <w:rFonts w:eastAsiaTheme="minorHAnsi"/>
          <w:sz w:val="22"/>
          <w:szCs w:val="22"/>
          <w:lang w:eastAsia="en-US"/>
        </w:rPr>
        <w:t>занных с незаконным оборотом оружия, из года в год не уменьш</w:t>
      </w:r>
      <w:r w:rsidRPr="00EC1A78">
        <w:rPr>
          <w:rFonts w:eastAsiaTheme="minorHAnsi"/>
          <w:sz w:val="22"/>
          <w:szCs w:val="22"/>
          <w:lang w:eastAsia="en-US"/>
        </w:rPr>
        <w:t>а</w:t>
      </w:r>
      <w:r w:rsidRPr="00EC1A78">
        <w:rPr>
          <w:rFonts w:eastAsiaTheme="minorHAnsi"/>
          <w:sz w:val="22"/>
          <w:szCs w:val="22"/>
          <w:lang w:eastAsia="en-US"/>
        </w:rPr>
        <w:t xml:space="preserve">ется. В 2017 году совершено около 28 тысяч преступлений данного </w:t>
      </w:r>
      <w:r w:rsidRPr="00EC1A78">
        <w:rPr>
          <w:rFonts w:eastAsiaTheme="minorHAnsi"/>
          <w:sz w:val="22"/>
          <w:szCs w:val="22"/>
          <w:lang w:eastAsia="en-US"/>
        </w:rPr>
        <w:lastRenderedPageBreak/>
        <w:t>вида, что говорит о необходимости внедрения мероприятий по м</w:t>
      </w:r>
      <w:r w:rsidRPr="00EC1A78">
        <w:rPr>
          <w:rFonts w:eastAsiaTheme="minorHAnsi"/>
          <w:sz w:val="22"/>
          <w:szCs w:val="22"/>
          <w:lang w:eastAsia="en-US"/>
        </w:rPr>
        <w:t>и</w:t>
      </w:r>
      <w:r w:rsidRPr="00EC1A78">
        <w:rPr>
          <w:rFonts w:eastAsiaTheme="minorHAnsi"/>
          <w:sz w:val="22"/>
          <w:szCs w:val="22"/>
          <w:lang w:eastAsia="en-US"/>
        </w:rPr>
        <w:t xml:space="preserve">нимизации незаконного оборота оружия.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Основным нормативно–правовым актом, регулирующим об</w:t>
      </w:r>
      <w:r w:rsidRPr="00EC1A78">
        <w:rPr>
          <w:rFonts w:eastAsiaTheme="minorHAnsi"/>
          <w:sz w:val="22"/>
          <w:szCs w:val="22"/>
          <w:lang w:eastAsia="en-US"/>
        </w:rPr>
        <w:t>о</w:t>
      </w:r>
      <w:r w:rsidRPr="00EC1A78">
        <w:rPr>
          <w:rFonts w:eastAsiaTheme="minorHAnsi"/>
          <w:sz w:val="22"/>
          <w:szCs w:val="22"/>
          <w:lang w:eastAsia="en-US"/>
        </w:rPr>
        <w:t>рот оружия в РФ, является федеральный закон «Об оружии» [1]. Наказание за нарушения в данной сфере регулируется УК РФ и К</w:t>
      </w:r>
      <w:r w:rsidRPr="00EC1A78">
        <w:rPr>
          <w:rFonts w:eastAsiaTheme="minorHAnsi"/>
          <w:sz w:val="22"/>
          <w:szCs w:val="22"/>
          <w:lang w:eastAsia="en-US"/>
        </w:rPr>
        <w:t>о</w:t>
      </w:r>
      <w:r w:rsidRPr="00EC1A78">
        <w:rPr>
          <w:rFonts w:eastAsiaTheme="minorHAnsi"/>
          <w:sz w:val="22"/>
          <w:szCs w:val="22"/>
          <w:lang w:eastAsia="en-US"/>
        </w:rPr>
        <w:t>АП РФ. Следует различать легальный и нелегальный оборот ор</w:t>
      </w:r>
      <w:r w:rsidRPr="00EC1A78">
        <w:rPr>
          <w:rFonts w:eastAsiaTheme="minorHAnsi"/>
          <w:sz w:val="22"/>
          <w:szCs w:val="22"/>
          <w:lang w:eastAsia="en-US"/>
        </w:rPr>
        <w:t>у</w:t>
      </w:r>
      <w:r w:rsidRPr="00EC1A78">
        <w:rPr>
          <w:rFonts w:eastAsiaTheme="minorHAnsi"/>
          <w:sz w:val="22"/>
          <w:szCs w:val="22"/>
          <w:lang w:eastAsia="en-US"/>
        </w:rPr>
        <w:t>жия. Под легальным оборотом понимается изготовление, сбыт, п</w:t>
      </w:r>
      <w:r w:rsidRPr="00EC1A78">
        <w:rPr>
          <w:rFonts w:eastAsiaTheme="minorHAnsi"/>
          <w:sz w:val="22"/>
          <w:szCs w:val="22"/>
          <w:lang w:eastAsia="en-US"/>
        </w:rPr>
        <w:t>е</w:t>
      </w:r>
      <w:r w:rsidRPr="00EC1A78">
        <w:rPr>
          <w:rFonts w:eastAsiaTheme="minorHAnsi"/>
          <w:sz w:val="22"/>
          <w:szCs w:val="22"/>
          <w:lang w:eastAsia="en-US"/>
        </w:rPr>
        <w:t>редача, ношение, хранение и применение оружия на основании з</w:t>
      </w:r>
      <w:r w:rsidRPr="00EC1A78">
        <w:rPr>
          <w:rFonts w:eastAsiaTheme="minorHAnsi"/>
          <w:sz w:val="22"/>
          <w:szCs w:val="22"/>
          <w:lang w:eastAsia="en-US"/>
        </w:rPr>
        <w:t>а</w:t>
      </w:r>
      <w:r w:rsidRPr="00EC1A78">
        <w:rPr>
          <w:rFonts w:eastAsiaTheme="minorHAnsi"/>
          <w:sz w:val="22"/>
          <w:szCs w:val="22"/>
          <w:lang w:eastAsia="en-US"/>
        </w:rPr>
        <w:t>конов и постановлений. Если данные действия были нарушены с точки зрения закона и установленных правил, то образуется нел</w:t>
      </w:r>
      <w:r w:rsidRPr="00EC1A78">
        <w:rPr>
          <w:rFonts w:eastAsiaTheme="minorHAnsi"/>
          <w:sz w:val="22"/>
          <w:szCs w:val="22"/>
          <w:lang w:eastAsia="en-US"/>
        </w:rPr>
        <w:t>е</w:t>
      </w:r>
      <w:r w:rsidRPr="00EC1A78">
        <w:rPr>
          <w:rFonts w:eastAsiaTheme="minorHAnsi"/>
          <w:sz w:val="22"/>
          <w:szCs w:val="22"/>
          <w:lang w:eastAsia="en-US"/>
        </w:rPr>
        <w:t xml:space="preserve">гальный оборот оружия.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Сущность оборота оружия заключается в его перемещении. Движение оружия начинается его изготовления или производства. Вторым этапом является сбыт произведенного оружия, затем след</w:t>
      </w:r>
      <w:r w:rsidRPr="00EC1A78">
        <w:rPr>
          <w:rFonts w:eastAsiaTheme="minorHAnsi"/>
          <w:sz w:val="22"/>
          <w:szCs w:val="22"/>
          <w:lang w:eastAsia="en-US"/>
        </w:rPr>
        <w:t>у</w:t>
      </w:r>
      <w:r w:rsidRPr="00EC1A78">
        <w:rPr>
          <w:rFonts w:eastAsiaTheme="minorHAnsi"/>
          <w:sz w:val="22"/>
          <w:szCs w:val="22"/>
          <w:lang w:eastAsia="en-US"/>
        </w:rPr>
        <w:t>ет этап приобретения. После приобретения оружие подлежит хр</w:t>
      </w:r>
      <w:r w:rsidRPr="00EC1A78">
        <w:rPr>
          <w:rFonts w:eastAsiaTheme="minorHAnsi"/>
          <w:sz w:val="22"/>
          <w:szCs w:val="22"/>
          <w:lang w:eastAsia="en-US"/>
        </w:rPr>
        <w:t>а</w:t>
      </w:r>
      <w:r w:rsidRPr="00EC1A78">
        <w:rPr>
          <w:rFonts w:eastAsiaTheme="minorHAnsi"/>
          <w:sz w:val="22"/>
          <w:szCs w:val="22"/>
          <w:lang w:eastAsia="en-US"/>
        </w:rPr>
        <w:t>нению или перевозке. Также следует выделить этап, касающийся применения оружия. В процессе оборота оружия, ему может потр</w:t>
      </w:r>
      <w:r w:rsidRPr="00EC1A78">
        <w:rPr>
          <w:rFonts w:eastAsiaTheme="minorHAnsi"/>
          <w:sz w:val="22"/>
          <w:szCs w:val="22"/>
          <w:lang w:eastAsia="en-US"/>
        </w:rPr>
        <w:t>е</w:t>
      </w:r>
      <w:r w:rsidRPr="00EC1A78">
        <w:rPr>
          <w:rFonts w:eastAsiaTheme="minorHAnsi"/>
          <w:sz w:val="22"/>
          <w:szCs w:val="22"/>
          <w:lang w:eastAsia="en-US"/>
        </w:rPr>
        <w:t>боваться ремонт (при нелегальном обороте этот этап остается в л</w:t>
      </w:r>
      <w:r w:rsidRPr="00EC1A78">
        <w:rPr>
          <w:rFonts w:eastAsiaTheme="minorHAnsi"/>
          <w:sz w:val="22"/>
          <w:szCs w:val="22"/>
          <w:lang w:eastAsia="en-US"/>
        </w:rPr>
        <w:t>а</w:t>
      </w:r>
      <w:r w:rsidRPr="00EC1A78">
        <w:rPr>
          <w:rFonts w:eastAsiaTheme="minorHAnsi"/>
          <w:sz w:val="22"/>
          <w:szCs w:val="22"/>
          <w:lang w:eastAsia="en-US"/>
        </w:rPr>
        <w:t>тентном состоянии). Конечным этапом является уничтожение ор</w:t>
      </w:r>
      <w:r w:rsidRPr="00EC1A78">
        <w:rPr>
          <w:rFonts w:eastAsiaTheme="minorHAnsi"/>
          <w:sz w:val="22"/>
          <w:szCs w:val="22"/>
          <w:lang w:eastAsia="en-US"/>
        </w:rPr>
        <w:t>у</w:t>
      </w:r>
      <w:r w:rsidRPr="00EC1A78">
        <w:rPr>
          <w:rFonts w:eastAsiaTheme="minorHAnsi"/>
          <w:sz w:val="22"/>
          <w:szCs w:val="22"/>
          <w:lang w:eastAsia="en-US"/>
        </w:rPr>
        <w:t xml:space="preserve">жия.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Большинство уголовных дел в сфере незаконного оборота ор</w:t>
      </w:r>
      <w:r w:rsidRPr="00EC1A78">
        <w:rPr>
          <w:rFonts w:eastAsiaTheme="minorHAnsi"/>
          <w:sz w:val="22"/>
          <w:szCs w:val="22"/>
          <w:lang w:eastAsia="en-US"/>
        </w:rPr>
        <w:t>у</w:t>
      </w:r>
      <w:r w:rsidRPr="00EC1A78">
        <w:rPr>
          <w:rFonts w:eastAsiaTheme="minorHAnsi"/>
          <w:sz w:val="22"/>
          <w:szCs w:val="22"/>
          <w:lang w:eastAsia="en-US"/>
        </w:rPr>
        <w:t>жия возбуждается по данным, полученным в результате операти</w:t>
      </w:r>
      <w:r w:rsidRPr="00EC1A78">
        <w:rPr>
          <w:rFonts w:eastAsiaTheme="minorHAnsi"/>
          <w:sz w:val="22"/>
          <w:szCs w:val="22"/>
          <w:lang w:eastAsia="en-US"/>
        </w:rPr>
        <w:t>в</w:t>
      </w:r>
      <w:r w:rsidRPr="00EC1A78">
        <w:rPr>
          <w:rFonts w:eastAsiaTheme="minorHAnsi"/>
          <w:sz w:val="22"/>
          <w:szCs w:val="22"/>
          <w:lang w:eastAsia="en-US"/>
        </w:rPr>
        <w:t>но–розыскных мероприятий. Методику расследования незаконного оборота оружия составляет система технических приемов, научных положений и методических рекомендаций.</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Расследование дел о незаконном обороте оружия, взрывчатых веществ и боеприпасов представляет существенную сложность. Расследование случаев оборота этих предметов в единичных экзе</w:t>
      </w:r>
      <w:r w:rsidRPr="00EC1A78">
        <w:rPr>
          <w:rFonts w:eastAsiaTheme="minorHAnsi"/>
          <w:sz w:val="22"/>
          <w:szCs w:val="22"/>
          <w:lang w:eastAsia="en-US"/>
        </w:rPr>
        <w:t>м</w:t>
      </w:r>
      <w:r w:rsidRPr="00EC1A78">
        <w:rPr>
          <w:rFonts w:eastAsiaTheme="minorHAnsi"/>
          <w:sz w:val="22"/>
          <w:szCs w:val="22"/>
          <w:lang w:eastAsia="en-US"/>
        </w:rPr>
        <w:t>плярах или собственного изготовления не обладает особой спец</w:t>
      </w:r>
      <w:r w:rsidRPr="00EC1A78">
        <w:rPr>
          <w:rFonts w:eastAsiaTheme="minorHAnsi"/>
          <w:sz w:val="22"/>
          <w:szCs w:val="22"/>
          <w:lang w:eastAsia="en-US"/>
        </w:rPr>
        <w:t>и</w:t>
      </w:r>
      <w:r w:rsidRPr="00EC1A78">
        <w:rPr>
          <w:rFonts w:eastAsiaTheme="minorHAnsi"/>
          <w:sz w:val="22"/>
          <w:szCs w:val="22"/>
          <w:lang w:eastAsia="en-US"/>
        </w:rPr>
        <w:t>фикой и производится посредством общих методик расследования. Оптимизация процесса расследования незаконного оборота оружия и боеприпасов основана на знании элементов криминалистической характеристики при рассмотрении следственных ситуаций и в</w:t>
      </w:r>
      <w:r w:rsidRPr="00EC1A78">
        <w:rPr>
          <w:rFonts w:eastAsiaTheme="minorHAnsi"/>
          <w:sz w:val="22"/>
          <w:szCs w:val="22"/>
          <w:lang w:eastAsia="en-US"/>
        </w:rPr>
        <w:t>ы</w:t>
      </w:r>
      <w:r w:rsidRPr="00EC1A78">
        <w:rPr>
          <w:rFonts w:eastAsiaTheme="minorHAnsi"/>
          <w:sz w:val="22"/>
          <w:szCs w:val="22"/>
          <w:lang w:eastAsia="en-US"/>
        </w:rPr>
        <w:t>движении следственных версий. В криминалистической характер</w:t>
      </w:r>
      <w:r w:rsidRPr="00EC1A78">
        <w:rPr>
          <w:rFonts w:eastAsiaTheme="minorHAnsi"/>
          <w:sz w:val="22"/>
          <w:szCs w:val="22"/>
          <w:lang w:eastAsia="en-US"/>
        </w:rPr>
        <w:t>и</w:t>
      </w:r>
      <w:r w:rsidRPr="00EC1A78">
        <w:rPr>
          <w:rFonts w:eastAsiaTheme="minorHAnsi"/>
          <w:sz w:val="22"/>
          <w:szCs w:val="22"/>
          <w:lang w:eastAsia="en-US"/>
        </w:rPr>
        <w:t>стике незаконного оборота оружия наибольшую важность для ра</w:t>
      </w:r>
      <w:r w:rsidRPr="00EC1A78">
        <w:rPr>
          <w:rFonts w:eastAsiaTheme="minorHAnsi"/>
          <w:sz w:val="22"/>
          <w:szCs w:val="22"/>
          <w:lang w:eastAsia="en-US"/>
        </w:rPr>
        <w:t>с</w:t>
      </w:r>
      <w:r w:rsidRPr="00EC1A78">
        <w:rPr>
          <w:rFonts w:eastAsiaTheme="minorHAnsi"/>
          <w:sz w:val="22"/>
          <w:szCs w:val="22"/>
          <w:lang w:eastAsia="en-US"/>
        </w:rPr>
        <w:t>следования приставляют: предмет преступного посягательства (оружие, его составные части и боеприпасы к ним), обстановка с</w:t>
      </w:r>
      <w:r w:rsidRPr="00EC1A78">
        <w:rPr>
          <w:rFonts w:eastAsiaTheme="minorHAnsi"/>
          <w:sz w:val="22"/>
          <w:szCs w:val="22"/>
          <w:lang w:eastAsia="en-US"/>
        </w:rPr>
        <w:t>о</w:t>
      </w:r>
      <w:r w:rsidRPr="00EC1A78">
        <w:rPr>
          <w:rFonts w:eastAsiaTheme="minorHAnsi"/>
          <w:sz w:val="22"/>
          <w:szCs w:val="22"/>
          <w:lang w:eastAsia="en-US"/>
        </w:rPr>
        <w:lastRenderedPageBreak/>
        <w:t>вершения преступления, личность преступника и следы преступл</w:t>
      </w:r>
      <w:r w:rsidRPr="00EC1A78">
        <w:rPr>
          <w:rFonts w:eastAsiaTheme="minorHAnsi"/>
          <w:sz w:val="22"/>
          <w:szCs w:val="22"/>
          <w:lang w:eastAsia="en-US"/>
        </w:rPr>
        <w:t>е</w:t>
      </w:r>
      <w:r w:rsidRPr="00EC1A78">
        <w:rPr>
          <w:rFonts w:eastAsiaTheme="minorHAnsi"/>
          <w:sz w:val="22"/>
          <w:szCs w:val="22"/>
          <w:lang w:eastAsia="en-US"/>
        </w:rPr>
        <w:t xml:space="preserve">ния.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 мнению В.В. Зеленского, среди способов незаконного об</w:t>
      </w:r>
      <w:r w:rsidRPr="00EC1A78">
        <w:rPr>
          <w:rFonts w:eastAsiaTheme="minorHAnsi"/>
          <w:sz w:val="22"/>
          <w:szCs w:val="22"/>
          <w:lang w:eastAsia="en-US"/>
        </w:rPr>
        <w:t>о</w:t>
      </w:r>
      <w:r w:rsidRPr="00EC1A78">
        <w:rPr>
          <w:rFonts w:eastAsiaTheme="minorHAnsi"/>
          <w:sz w:val="22"/>
          <w:szCs w:val="22"/>
          <w:lang w:eastAsia="en-US"/>
        </w:rPr>
        <w:t>рота оружия можно выделить две группы. Первая группа престу</w:t>
      </w:r>
      <w:r w:rsidRPr="00EC1A78">
        <w:rPr>
          <w:rFonts w:eastAsiaTheme="minorHAnsi"/>
          <w:sz w:val="22"/>
          <w:szCs w:val="22"/>
          <w:lang w:eastAsia="en-US"/>
        </w:rPr>
        <w:t>п</w:t>
      </w:r>
      <w:r w:rsidRPr="00EC1A78">
        <w:rPr>
          <w:rFonts w:eastAsiaTheme="minorHAnsi"/>
          <w:sz w:val="22"/>
          <w:szCs w:val="22"/>
          <w:lang w:eastAsia="en-US"/>
        </w:rPr>
        <w:t>лений связана с незаконным приобретением, ношением, передачей и сбытом оружия. Ко второй группе преступлений относятся с</w:t>
      </w:r>
      <w:r w:rsidRPr="00EC1A78">
        <w:rPr>
          <w:rFonts w:eastAsiaTheme="minorHAnsi"/>
          <w:sz w:val="22"/>
          <w:szCs w:val="22"/>
          <w:lang w:eastAsia="en-US"/>
        </w:rPr>
        <w:t>о</w:t>
      </w:r>
      <w:r w:rsidRPr="00EC1A78">
        <w:rPr>
          <w:rFonts w:eastAsiaTheme="minorHAnsi"/>
          <w:sz w:val="22"/>
          <w:szCs w:val="22"/>
          <w:lang w:eastAsia="en-US"/>
        </w:rPr>
        <w:t>вершение грабежей, разбоев и вымогательства огнестрельного ор</w:t>
      </w:r>
      <w:r w:rsidRPr="00EC1A78">
        <w:rPr>
          <w:rFonts w:eastAsiaTheme="minorHAnsi"/>
          <w:sz w:val="22"/>
          <w:szCs w:val="22"/>
          <w:lang w:eastAsia="en-US"/>
        </w:rPr>
        <w:t>у</w:t>
      </w:r>
      <w:r w:rsidRPr="00EC1A78">
        <w:rPr>
          <w:rFonts w:eastAsiaTheme="minorHAnsi"/>
          <w:sz w:val="22"/>
          <w:szCs w:val="22"/>
          <w:lang w:eastAsia="en-US"/>
        </w:rPr>
        <w:t xml:space="preserve">жия и комплектующих [2].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Для выявления лиц, причастных к совершению данных пр</w:t>
      </w:r>
      <w:r w:rsidRPr="00EC1A78">
        <w:rPr>
          <w:rFonts w:eastAsiaTheme="minorHAnsi"/>
          <w:sz w:val="22"/>
          <w:szCs w:val="22"/>
          <w:lang w:eastAsia="en-US"/>
        </w:rPr>
        <w:t>е</w:t>
      </w:r>
      <w:r w:rsidRPr="00EC1A78">
        <w:rPr>
          <w:rFonts w:eastAsiaTheme="minorHAnsi"/>
          <w:sz w:val="22"/>
          <w:szCs w:val="22"/>
          <w:lang w:eastAsia="en-US"/>
        </w:rPr>
        <w:t>ступлений, используются данные оперативно–справочных и крим</w:t>
      </w:r>
      <w:r w:rsidRPr="00EC1A78">
        <w:rPr>
          <w:rFonts w:eastAsiaTheme="minorHAnsi"/>
          <w:sz w:val="22"/>
          <w:szCs w:val="22"/>
          <w:lang w:eastAsia="en-US"/>
        </w:rPr>
        <w:t>и</w:t>
      </w:r>
      <w:r w:rsidRPr="00EC1A78">
        <w:rPr>
          <w:rFonts w:eastAsiaTheme="minorHAnsi"/>
          <w:sz w:val="22"/>
          <w:szCs w:val="22"/>
          <w:lang w:eastAsia="en-US"/>
        </w:rPr>
        <w:t>налистических учетов (дактилоскопический учет, учет по способу совершения преступления, видеотеки и фонотеки).  Типичными версиями является совершение хищения из мест хранения оружия, вывоз оружия из зон вооружённых конфликтов, хищение оружия со склада завода–изготовителя, изготовление оружия кустарным сп</w:t>
      </w:r>
      <w:r w:rsidRPr="00EC1A78">
        <w:rPr>
          <w:rFonts w:eastAsiaTheme="minorHAnsi"/>
          <w:sz w:val="22"/>
          <w:szCs w:val="22"/>
          <w:lang w:eastAsia="en-US"/>
        </w:rPr>
        <w:t>о</w:t>
      </w:r>
      <w:r w:rsidRPr="00EC1A78">
        <w:rPr>
          <w:rFonts w:eastAsiaTheme="minorHAnsi"/>
          <w:sz w:val="22"/>
          <w:szCs w:val="22"/>
          <w:lang w:eastAsia="en-US"/>
        </w:rPr>
        <w:t xml:space="preserve">собом и др.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При проведении допроса чаще всего возникает конфликтная ситуация, когда подозреваемый не признает себя виновным, дает ложные показания либо вообще отказывается от дачи показаний. В связи с этим, целесообразно применение эмоциональных, логич</w:t>
      </w:r>
      <w:r w:rsidRPr="00EC1A78">
        <w:rPr>
          <w:rFonts w:eastAsiaTheme="minorHAnsi"/>
          <w:sz w:val="22"/>
          <w:szCs w:val="22"/>
          <w:lang w:eastAsia="en-US"/>
        </w:rPr>
        <w:t>е</w:t>
      </w:r>
      <w:r w:rsidRPr="00EC1A78">
        <w:rPr>
          <w:rFonts w:eastAsiaTheme="minorHAnsi"/>
          <w:sz w:val="22"/>
          <w:szCs w:val="22"/>
          <w:lang w:eastAsia="en-US"/>
        </w:rPr>
        <w:t>ских тактических приёмов. Для проверки обоснованности сле</w:t>
      </w:r>
      <w:r w:rsidRPr="00EC1A78">
        <w:rPr>
          <w:rFonts w:eastAsiaTheme="minorHAnsi"/>
          <w:sz w:val="22"/>
          <w:szCs w:val="22"/>
          <w:lang w:eastAsia="en-US"/>
        </w:rPr>
        <w:t>д</w:t>
      </w:r>
      <w:r w:rsidRPr="00EC1A78">
        <w:rPr>
          <w:rFonts w:eastAsiaTheme="minorHAnsi"/>
          <w:sz w:val="22"/>
          <w:szCs w:val="22"/>
          <w:lang w:eastAsia="en-US"/>
        </w:rPr>
        <w:t>ственных версии назначаются различные виды экспертиз с испол</w:t>
      </w:r>
      <w:r w:rsidRPr="00EC1A78">
        <w:rPr>
          <w:rFonts w:eastAsiaTheme="minorHAnsi"/>
          <w:sz w:val="22"/>
          <w:szCs w:val="22"/>
          <w:lang w:eastAsia="en-US"/>
        </w:rPr>
        <w:t>ь</w:t>
      </w:r>
      <w:r w:rsidRPr="00EC1A78">
        <w:rPr>
          <w:rFonts w:eastAsiaTheme="minorHAnsi"/>
          <w:sz w:val="22"/>
          <w:szCs w:val="22"/>
          <w:lang w:eastAsia="en-US"/>
        </w:rPr>
        <w:t>зованием современных технических средств.</w:t>
      </w:r>
    </w:p>
    <w:p w:rsidR="006A771F" w:rsidRPr="00EC1A78" w:rsidRDefault="00EC1A78" w:rsidP="006A771F">
      <w:pPr>
        <w:ind w:firstLine="426"/>
        <w:jc w:val="both"/>
        <w:rPr>
          <w:rFonts w:eastAsiaTheme="minorHAnsi"/>
          <w:color w:val="000000" w:themeColor="text1"/>
          <w:sz w:val="22"/>
          <w:szCs w:val="22"/>
          <w:lang w:eastAsia="en-US"/>
        </w:rPr>
      </w:pPr>
      <w:r w:rsidRPr="00EC1A78">
        <w:rPr>
          <w:rFonts w:eastAsiaTheme="minorHAnsi"/>
          <w:sz w:val="22"/>
          <w:szCs w:val="22"/>
          <w:lang w:eastAsia="en-US"/>
        </w:rPr>
        <w:t>Для преодоления сложившейся ситуации в стране с незако</w:t>
      </w:r>
      <w:r w:rsidRPr="00EC1A78">
        <w:rPr>
          <w:rFonts w:eastAsiaTheme="minorHAnsi"/>
          <w:sz w:val="22"/>
          <w:szCs w:val="22"/>
          <w:lang w:eastAsia="en-US"/>
        </w:rPr>
        <w:t>н</w:t>
      </w:r>
      <w:r w:rsidRPr="00EC1A78">
        <w:rPr>
          <w:rFonts w:eastAsiaTheme="minorHAnsi"/>
          <w:sz w:val="22"/>
          <w:szCs w:val="22"/>
          <w:lang w:eastAsia="en-US"/>
        </w:rPr>
        <w:t>ным оборотом оружия необходим системный подход, обеспечив</w:t>
      </w:r>
      <w:r w:rsidRPr="00EC1A78">
        <w:rPr>
          <w:rFonts w:eastAsiaTheme="minorHAnsi"/>
          <w:sz w:val="22"/>
          <w:szCs w:val="22"/>
          <w:lang w:eastAsia="en-US"/>
        </w:rPr>
        <w:t>а</w:t>
      </w:r>
      <w:r w:rsidRPr="00EC1A78">
        <w:rPr>
          <w:rFonts w:eastAsiaTheme="minorHAnsi"/>
          <w:sz w:val="22"/>
          <w:szCs w:val="22"/>
          <w:lang w:eastAsia="en-US"/>
        </w:rPr>
        <w:t>ющий: строгий учет оружия на всех стадиях его обращения; разв</w:t>
      </w:r>
      <w:r w:rsidRPr="00EC1A78">
        <w:rPr>
          <w:rFonts w:eastAsiaTheme="minorHAnsi"/>
          <w:sz w:val="22"/>
          <w:szCs w:val="22"/>
          <w:lang w:eastAsia="en-US"/>
        </w:rPr>
        <w:t>и</w:t>
      </w:r>
      <w:r w:rsidRPr="00EC1A78">
        <w:rPr>
          <w:rFonts w:eastAsiaTheme="minorHAnsi"/>
          <w:sz w:val="22"/>
          <w:szCs w:val="22"/>
          <w:lang w:eastAsia="en-US"/>
        </w:rPr>
        <w:t>тие автоматизированных информационно–поисковых систем учета оружия; перекрытие каналов незаконной поставки оружия. Успе</w:t>
      </w:r>
      <w:r w:rsidRPr="00EC1A78">
        <w:rPr>
          <w:rFonts w:eastAsiaTheme="minorHAnsi"/>
          <w:sz w:val="22"/>
          <w:szCs w:val="22"/>
          <w:lang w:eastAsia="en-US"/>
        </w:rPr>
        <w:t>ш</w:t>
      </w:r>
      <w:r w:rsidRPr="00EC1A78">
        <w:rPr>
          <w:rFonts w:eastAsiaTheme="minorHAnsi"/>
          <w:sz w:val="22"/>
          <w:szCs w:val="22"/>
          <w:lang w:eastAsia="en-US"/>
        </w:rPr>
        <w:t>ному расследованию преступлений данной группы способствует знание следователем криминалистической характеристики и сове</w:t>
      </w:r>
      <w:r w:rsidRPr="00EC1A78">
        <w:rPr>
          <w:rFonts w:eastAsiaTheme="minorHAnsi"/>
          <w:sz w:val="22"/>
          <w:szCs w:val="22"/>
          <w:lang w:eastAsia="en-US"/>
        </w:rPr>
        <w:t>р</w:t>
      </w:r>
      <w:r w:rsidRPr="00EC1A78">
        <w:rPr>
          <w:rFonts w:eastAsiaTheme="minorHAnsi"/>
          <w:sz w:val="22"/>
          <w:szCs w:val="22"/>
          <w:lang w:eastAsia="en-US"/>
        </w:rPr>
        <w:t>шенствование частной криминалистической методики расследов</w:t>
      </w:r>
      <w:r w:rsidRPr="00EC1A78">
        <w:rPr>
          <w:rFonts w:eastAsiaTheme="minorHAnsi"/>
          <w:sz w:val="22"/>
          <w:szCs w:val="22"/>
          <w:lang w:eastAsia="en-US"/>
        </w:rPr>
        <w:t>а</w:t>
      </w:r>
      <w:r w:rsidRPr="00EC1A78">
        <w:rPr>
          <w:rFonts w:eastAsiaTheme="minorHAnsi"/>
          <w:sz w:val="22"/>
          <w:szCs w:val="22"/>
          <w:lang w:eastAsia="en-US"/>
        </w:rPr>
        <w:t xml:space="preserve">ния. </w:t>
      </w:r>
    </w:p>
    <w:p w:rsidR="00EC1A78" w:rsidRPr="00EC1A78" w:rsidRDefault="00EC1A78" w:rsidP="00EC1A78">
      <w:pPr>
        <w:ind w:firstLine="709"/>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723562">
      <w:pPr>
        <w:numPr>
          <w:ilvl w:val="0"/>
          <w:numId w:val="110"/>
        </w:numPr>
        <w:ind w:left="0" w:firstLine="425"/>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 Об оружии: федеральный закон от 13.12.1996 № 150–ФЗ (ред. от 07.03.2018)// СЗ. – 1996. –№ 51. –Ст. 5681. </w:t>
      </w:r>
    </w:p>
    <w:p w:rsidR="00723562" w:rsidRPr="002B3A7B" w:rsidRDefault="00EC1A78" w:rsidP="00EC1A78">
      <w:pPr>
        <w:numPr>
          <w:ilvl w:val="0"/>
          <w:numId w:val="110"/>
        </w:numPr>
        <w:ind w:left="0"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 xml:space="preserve"> Криминалистическая методика расследования отдельных видов и групп преступлений: учеб. пособие/ В.Д. Зеленский [и др.] – Краснодар: КубГАУ, 2013. – 355 с., с. 157. </w:t>
      </w: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342.518</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Правовые основы кибербезопасности: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к постановке проблемы</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The legal framework of cybersecurity: defining the problem</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Хоружий В.</w:t>
      </w:r>
      <w:r w:rsidR="00723562">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Шульга А.</w:t>
      </w:r>
      <w:r w:rsidR="00723562">
        <w:rPr>
          <w:rFonts w:eastAsiaTheme="minorHAnsi"/>
          <w:sz w:val="22"/>
          <w:szCs w:val="22"/>
          <w:lang w:eastAsia="en-US"/>
        </w:rPr>
        <w:t xml:space="preserve"> </w:t>
      </w:r>
      <w:r w:rsidRPr="00EC1A78">
        <w:rPr>
          <w:rFonts w:eastAsiaTheme="minorHAnsi"/>
          <w:sz w:val="22"/>
          <w:szCs w:val="22"/>
          <w:lang w:eastAsia="en-US"/>
        </w:rPr>
        <w:t xml:space="preserve">В.,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зав. кафедрой уголовного права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университет имени И. Т. Трубилина </w:t>
      </w:r>
    </w:p>
    <w:p w:rsidR="00EC1A78" w:rsidRPr="00EC1A78" w:rsidRDefault="00EC1A78" w:rsidP="00EC1A78">
      <w:pPr>
        <w:jc w:val="both"/>
        <w:rPr>
          <w:rFonts w:eastAsiaTheme="minorHAnsi"/>
          <w:b/>
          <w:sz w:val="22"/>
          <w:szCs w:val="22"/>
          <w:lang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АННОТАЦИЯ: Статья посвящена вопросам нормативно–правового регулирования обеспечения кибербезопасности. Пров</w:t>
      </w:r>
      <w:r w:rsidRPr="00EC1A78">
        <w:rPr>
          <w:rFonts w:eastAsiaTheme="minorHAnsi"/>
          <w:sz w:val="22"/>
          <w:szCs w:val="22"/>
          <w:lang w:eastAsia="en-US"/>
        </w:rPr>
        <w:t>е</w:t>
      </w:r>
      <w:r w:rsidRPr="00EC1A78">
        <w:rPr>
          <w:rFonts w:eastAsiaTheme="minorHAnsi"/>
          <w:sz w:val="22"/>
          <w:szCs w:val="22"/>
          <w:lang w:eastAsia="en-US"/>
        </w:rPr>
        <w:t>ден анализ потенциальных путей развития нормативной базы. Предложены общие направления государственного регулирования в обеспечении кибербезопасности.</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ABSTRACT: The Article is devoted to the issues of legal regulation of cyber security. The analysis of potential ways of development of no</w:t>
      </w:r>
      <w:r w:rsidRPr="00EC1A78">
        <w:rPr>
          <w:rFonts w:eastAsiaTheme="minorHAnsi"/>
          <w:sz w:val="22"/>
          <w:szCs w:val="22"/>
          <w:lang w:val="en-US" w:eastAsia="en-US"/>
        </w:rPr>
        <w:t>r</w:t>
      </w:r>
      <w:r w:rsidRPr="00EC1A78">
        <w:rPr>
          <w:rFonts w:eastAsiaTheme="minorHAnsi"/>
          <w:sz w:val="22"/>
          <w:szCs w:val="22"/>
          <w:lang w:val="en-US" w:eastAsia="en-US"/>
        </w:rPr>
        <w:t>mative base is carried out. The General directions of state regulation in ensuring cybersecurity are proposed.</w:t>
      </w:r>
    </w:p>
    <w:p w:rsidR="00EC1A78" w:rsidRPr="00EC1A78" w:rsidRDefault="00EE657B" w:rsidP="00EC1A78">
      <w:pPr>
        <w:ind w:firstLine="426"/>
        <w:jc w:val="both"/>
        <w:rPr>
          <w:rFonts w:eastAsiaTheme="minorHAnsi"/>
          <w:sz w:val="22"/>
          <w:szCs w:val="22"/>
          <w:lang w:eastAsia="en-US"/>
        </w:rPr>
      </w:pPr>
      <w:r>
        <w:rPr>
          <w:rFonts w:eastAsiaTheme="minorHAnsi"/>
          <w:sz w:val="22"/>
          <w:szCs w:val="22"/>
          <w:lang w:eastAsia="en-US"/>
        </w:rPr>
        <w:t xml:space="preserve">КЛЮЧЕВЫЕ СЛОВА: </w:t>
      </w:r>
      <w:r w:rsidR="00EC1A78" w:rsidRPr="00EC1A78">
        <w:rPr>
          <w:rFonts w:eastAsiaTheme="minorHAnsi"/>
          <w:sz w:val="22"/>
          <w:szCs w:val="22"/>
          <w:lang w:eastAsia="en-US"/>
        </w:rPr>
        <w:t>кибербезопасность, киберпространство, киберпреступления, информационная безопасность.</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cybersecurity, cyberspace, cyber crimes, information security.</w:t>
      </w:r>
    </w:p>
    <w:p w:rsidR="00EC1A78" w:rsidRPr="00EC1A78" w:rsidRDefault="00EC1A78" w:rsidP="00EC1A78">
      <w:pPr>
        <w:ind w:firstLine="426"/>
        <w:jc w:val="both"/>
        <w:rPr>
          <w:rFonts w:eastAsiaTheme="minorHAnsi"/>
          <w:b/>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Термин «кибербезопасность» все чаще встречается в научном дискурсе современной России. Серьезность отношения к проблеме кибербезопасности определена глобальными вызовами и локальн</w:t>
      </w:r>
      <w:r w:rsidRPr="00EC1A78">
        <w:rPr>
          <w:rFonts w:eastAsiaTheme="minorHAnsi"/>
          <w:sz w:val="22"/>
          <w:szCs w:val="22"/>
          <w:lang w:eastAsia="en-US"/>
        </w:rPr>
        <w:t>ы</w:t>
      </w:r>
      <w:r w:rsidRPr="00EC1A78">
        <w:rPr>
          <w:rFonts w:eastAsiaTheme="minorHAnsi"/>
          <w:sz w:val="22"/>
          <w:szCs w:val="22"/>
          <w:lang w:eastAsia="en-US"/>
        </w:rPr>
        <w:t>ми изменениями внутри страны, что заставляет российское закон</w:t>
      </w:r>
      <w:r w:rsidRPr="00EC1A78">
        <w:rPr>
          <w:rFonts w:eastAsiaTheme="minorHAnsi"/>
          <w:sz w:val="22"/>
          <w:szCs w:val="22"/>
          <w:lang w:eastAsia="en-US"/>
        </w:rPr>
        <w:t>о</w:t>
      </w:r>
      <w:r w:rsidRPr="00EC1A78">
        <w:rPr>
          <w:rFonts w:eastAsiaTheme="minorHAnsi"/>
          <w:sz w:val="22"/>
          <w:szCs w:val="22"/>
          <w:lang w:eastAsia="en-US"/>
        </w:rPr>
        <w:t xml:space="preserve">дательство реагировать и принимать меры.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Задача нормативно–правового регулирования обеспечения к</w:t>
      </w:r>
      <w:r w:rsidRPr="00EC1A78">
        <w:rPr>
          <w:rFonts w:eastAsiaTheme="minorHAnsi"/>
          <w:sz w:val="22"/>
          <w:szCs w:val="22"/>
          <w:lang w:eastAsia="en-US"/>
        </w:rPr>
        <w:t>и</w:t>
      </w:r>
      <w:r w:rsidRPr="00EC1A78">
        <w:rPr>
          <w:rFonts w:eastAsiaTheme="minorHAnsi"/>
          <w:sz w:val="22"/>
          <w:szCs w:val="22"/>
          <w:lang w:eastAsia="en-US"/>
        </w:rPr>
        <w:t>бербезопасности является одной из важнейших в государственной политике развития национального сектора применения информац</w:t>
      </w:r>
      <w:r w:rsidRPr="00EC1A78">
        <w:rPr>
          <w:rFonts w:eastAsiaTheme="minorHAnsi"/>
          <w:sz w:val="22"/>
          <w:szCs w:val="22"/>
          <w:lang w:eastAsia="en-US"/>
        </w:rPr>
        <w:t>и</w:t>
      </w:r>
      <w:r w:rsidRPr="00EC1A78">
        <w:rPr>
          <w:rFonts w:eastAsiaTheme="minorHAnsi"/>
          <w:sz w:val="22"/>
          <w:szCs w:val="22"/>
          <w:lang w:eastAsia="en-US"/>
        </w:rPr>
        <w:t xml:space="preserve">онных технологий [1].  Причин для этого в наше неспокойное время много, ведь информационные ресурсы стали сейчас полем брани </w:t>
      </w:r>
      <w:r w:rsidRPr="00EC1A78">
        <w:rPr>
          <w:rFonts w:eastAsiaTheme="minorHAnsi"/>
          <w:sz w:val="22"/>
          <w:szCs w:val="22"/>
          <w:lang w:eastAsia="en-US"/>
        </w:rPr>
        <w:lastRenderedPageBreak/>
        <w:t>на всех уровнях: физическом, цифровом, институциональном. Можно привести множества негативных примеров: от взлома акк</w:t>
      </w:r>
      <w:r w:rsidRPr="00EC1A78">
        <w:rPr>
          <w:rFonts w:eastAsiaTheme="minorHAnsi"/>
          <w:sz w:val="22"/>
          <w:szCs w:val="22"/>
          <w:lang w:eastAsia="en-US"/>
        </w:rPr>
        <w:t>а</w:t>
      </w:r>
      <w:r w:rsidRPr="00EC1A78">
        <w:rPr>
          <w:rFonts w:eastAsiaTheme="minorHAnsi"/>
          <w:sz w:val="22"/>
          <w:szCs w:val="22"/>
          <w:lang w:eastAsia="en-US"/>
        </w:rPr>
        <w:t xml:space="preserve">унта социальных сетей Министерства обороны США до глобальной кибератаки вируса–вымогателя в мае 2017 г., затронувшего более 200 тыс. пользователей в 150 странах.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Необходимо учитывать, что существует несколько уровней указанной проблемы: от частного, связанного с защитой граждан и конкретного человека, от злоумышленников разного рода до государственного и надгосударственного, где решаются задачи национальной безопасности и информационных войн.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На сегодняшний день к нормативно–правовым документам, р</w:t>
      </w:r>
      <w:r w:rsidRPr="00EC1A78">
        <w:rPr>
          <w:rFonts w:eastAsiaTheme="minorHAnsi"/>
          <w:sz w:val="22"/>
          <w:szCs w:val="22"/>
          <w:lang w:eastAsia="en-US"/>
        </w:rPr>
        <w:t>е</w:t>
      </w:r>
      <w:r w:rsidRPr="00EC1A78">
        <w:rPr>
          <w:rFonts w:eastAsiaTheme="minorHAnsi"/>
          <w:sz w:val="22"/>
          <w:szCs w:val="22"/>
          <w:lang w:eastAsia="en-US"/>
        </w:rPr>
        <w:t>гулирующим проблемы кибербезопасности, можно отнести: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Закон Российской Федерации от 27.07.2006 г. № и149–ФЗ «Об информации, информационных технологиях и о защите и</w:t>
      </w:r>
      <w:r w:rsidRPr="00EC1A78">
        <w:rPr>
          <w:rFonts w:eastAsiaTheme="minorHAnsi"/>
          <w:sz w:val="22"/>
          <w:szCs w:val="22"/>
          <w:lang w:eastAsia="en-US"/>
        </w:rPr>
        <w:t>н</w:t>
      </w:r>
      <w:r w:rsidRPr="00EC1A78">
        <w:rPr>
          <w:rFonts w:eastAsiaTheme="minorHAnsi"/>
          <w:sz w:val="22"/>
          <w:szCs w:val="22"/>
          <w:lang w:eastAsia="en-US"/>
        </w:rPr>
        <w:t>формации»;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 </w:t>
      </w:r>
      <w:r w:rsidRPr="00EC1A78">
        <w:rPr>
          <w:rFonts w:eastAsiaTheme="minorHAnsi"/>
          <w:bCs/>
          <w:sz w:val="22"/>
          <w:szCs w:val="22"/>
          <w:lang w:eastAsia="en-US"/>
        </w:rPr>
        <w:t>Указ Президента Российской Федерации от 12.05.2009 г. № 537 «О Стратегии национальной безопасности Российской Федер</w:t>
      </w:r>
      <w:r w:rsidRPr="00EC1A78">
        <w:rPr>
          <w:rFonts w:eastAsiaTheme="minorHAnsi"/>
          <w:bCs/>
          <w:sz w:val="22"/>
          <w:szCs w:val="22"/>
          <w:lang w:eastAsia="en-US"/>
        </w:rPr>
        <w:t>а</w:t>
      </w:r>
      <w:r w:rsidRPr="00EC1A78">
        <w:rPr>
          <w:rFonts w:eastAsiaTheme="minorHAnsi"/>
          <w:bCs/>
          <w:sz w:val="22"/>
          <w:szCs w:val="22"/>
          <w:lang w:eastAsia="en-US"/>
        </w:rPr>
        <w:t>ции до 2020 года»;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 Указ Президента </w:t>
      </w:r>
      <w:r w:rsidRPr="00EC1A78">
        <w:rPr>
          <w:rFonts w:eastAsiaTheme="minorHAnsi"/>
          <w:bCs/>
          <w:sz w:val="22"/>
          <w:szCs w:val="22"/>
          <w:lang w:eastAsia="en-US"/>
        </w:rPr>
        <w:t xml:space="preserve">Российской Федерации </w:t>
      </w:r>
      <w:r w:rsidRPr="00EC1A78">
        <w:rPr>
          <w:rFonts w:eastAsiaTheme="minorHAnsi"/>
          <w:sz w:val="22"/>
          <w:szCs w:val="22"/>
          <w:lang w:eastAsia="en-US"/>
        </w:rPr>
        <w:t>от 15.01.2013 г. № 31с «О создании государственной системы обнаружения, пред</w:t>
      </w:r>
      <w:r w:rsidRPr="00EC1A78">
        <w:rPr>
          <w:rFonts w:eastAsiaTheme="minorHAnsi"/>
          <w:sz w:val="22"/>
          <w:szCs w:val="22"/>
          <w:lang w:eastAsia="en-US"/>
        </w:rPr>
        <w:t>у</w:t>
      </w:r>
      <w:r w:rsidRPr="00EC1A78">
        <w:rPr>
          <w:rFonts w:eastAsiaTheme="minorHAnsi"/>
          <w:sz w:val="22"/>
          <w:szCs w:val="22"/>
          <w:lang w:eastAsia="en-US"/>
        </w:rPr>
        <w:t>преждения и ликвидации последствий компьютерных атак на и</w:t>
      </w:r>
      <w:r w:rsidRPr="00EC1A78">
        <w:rPr>
          <w:rFonts w:eastAsiaTheme="minorHAnsi"/>
          <w:sz w:val="22"/>
          <w:szCs w:val="22"/>
          <w:lang w:eastAsia="en-US"/>
        </w:rPr>
        <w:t>н</w:t>
      </w:r>
      <w:r w:rsidRPr="00EC1A78">
        <w:rPr>
          <w:rFonts w:eastAsiaTheme="minorHAnsi"/>
          <w:sz w:val="22"/>
          <w:szCs w:val="22"/>
          <w:lang w:eastAsia="en-US"/>
        </w:rPr>
        <w:t>формационные ресурсы Российской Федерации»;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 </w:t>
      </w:r>
      <w:r w:rsidRPr="00EC1A78">
        <w:rPr>
          <w:rFonts w:eastAsiaTheme="minorHAnsi"/>
          <w:bCs/>
          <w:sz w:val="22"/>
          <w:szCs w:val="22"/>
          <w:lang w:eastAsia="en-US"/>
        </w:rPr>
        <w:t>Указ Президента Российской Федерации от 05.12.2016 г. № 646 «Об утверждении Доктрины информационной безопасности Российской Федерации».</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Указанные документы закладывают основу для совершенств</w:t>
      </w:r>
      <w:r w:rsidRPr="00EC1A78">
        <w:rPr>
          <w:rFonts w:eastAsiaTheme="minorHAnsi"/>
          <w:sz w:val="22"/>
          <w:szCs w:val="22"/>
          <w:lang w:eastAsia="en-US"/>
        </w:rPr>
        <w:t>о</w:t>
      </w:r>
      <w:r w:rsidRPr="00EC1A78">
        <w:rPr>
          <w:rFonts w:eastAsiaTheme="minorHAnsi"/>
          <w:sz w:val="22"/>
          <w:szCs w:val="22"/>
          <w:lang w:eastAsia="en-US"/>
        </w:rPr>
        <w:t>вания правового регулирования обеспечения кибербезопасности. Но остаются нерешенными многие вопросы теоретического и орг</w:t>
      </w:r>
      <w:r w:rsidRPr="00EC1A78">
        <w:rPr>
          <w:rFonts w:eastAsiaTheme="minorHAnsi"/>
          <w:sz w:val="22"/>
          <w:szCs w:val="22"/>
          <w:lang w:eastAsia="en-US"/>
        </w:rPr>
        <w:t>а</w:t>
      </w:r>
      <w:r w:rsidRPr="00EC1A78">
        <w:rPr>
          <w:rFonts w:eastAsiaTheme="minorHAnsi"/>
          <w:sz w:val="22"/>
          <w:szCs w:val="22"/>
          <w:lang w:eastAsia="en-US"/>
        </w:rPr>
        <w:t>низационного характера. «Правовое регулирование не охватывает всего сложившегося многообразия отношений, возникающих в ра</w:t>
      </w:r>
      <w:r w:rsidRPr="00EC1A78">
        <w:rPr>
          <w:rFonts w:eastAsiaTheme="minorHAnsi"/>
          <w:sz w:val="22"/>
          <w:szCs w:val="22"/>
          <w:lang w:eastAsia="en-US"/>
        </w:rPr>
        <w:t>м</w:t>
      </w:r>
      <w:r w:rsidRPr="00EC1A78">
        <w:rPr>
          <w:rFonts w:eastAsiaTheme="minorHAnsi"/>
          <w:sz w:val="22"/>
          <w:szCs w:val="22"/>
          <w:lang w:eastAsia="en-US"/>
        </w:rPr>
        <w:t xml:space="preserve">ках киберпространства. Анализ показывает, что в официальных российских документах в области информационной безопасности термин «кибербезопасность» не используется отдельно» [2, с. 1695].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Сегодня в России нет единой концепции стратегии кибербе</w:t>
      </w:r>
      <w:r w:rsidRPr="00EC1A78">
        <w:rPr>
          <w:rFonts w:eastAsiaTheme="minorHAnsi"/>
          <w:sz w:val="22"/>
          <w:szCs w:val="22"/>
          <w:lang w:eastAsia="en-US"/>
        </w:rPr>
        <w:t>з</w:t>
      </w:r>
      <w:r w:rsidRPr="00EC1A78">
        <w:rPr>
          <w:rFonts w:eastAsiaTheme="minorHAnsi"/>
          <w:sz w:val="22"/>
          <w:szCs w:val="22"/>
          <w:lang w:eastAsia="en-US"/>
        </w:rPr>
        <w:t>опасности. Разрабатываемый специальной комиссией Совета Фед</w:t>
      </w:r>
      <w:r w:rsidRPr="00EC1A78">
        <w:rPr>
          <w:rFonts w:eastAsiaTheme="minorHAnsi"/>
          <w:sz w:val="22"/>
          <w:szCs w:val="22"/>
          <w:lang w:eastAsia="en-US"/>
        </w:rPr>
        <w:t>е</w:t>
      </w:r>
      <w:r w:rsidRPr="00EC1A78">
        <w:rPr>
          <w:rFonts w:eastAsiaTheme="minorHAnsi"/>
          <w:sz w:val="22"/>
          <w:szCs w:val="22"/>
          <w:lang w:eastAsia="en-US"/>
        </w:rPr>
        <w:t>рации проект такой стратегии, которая могла бы заложить основы правового взаимодействия всех участников киберпространства, так и остался несогласованным. Между тем, количество киберпресту</w:t>
      </w:r>
      <w:r w:rsidRPr="00EC1A78">
        <w:rPr>
          <w:rFonts w:eastAsiaTheme="minorHAnsi"/>
          <w:sz w:val="22"/>
          <w:szCs w:val="22"/>
          <w:lang w:eastAsia="en-US"/>
        </w:rPr>
        <w:t>п</w:t>
      </w:r>
      <w:r w:rsidRPr="00EC1A78">
        <w:rPr>
          <w:rFonts w:eastAsiaTheme="minorHAnsi"/>
          <w:sz w:val="22"/>
          <w:szCs w:val="22"/>
          <w:lang w:eastAsia="en-US"/>
        </w:rPr>
        <w:lastRenderedPageBreak/>
        <w:t>лений растет как в России, так и во всем мире. По данным инфо</w:t>
      </w:r>
      <w:r w:rsidRPr="00EC1A78">
        <w:rPr>
          <w:rFonts w:eastAsiaTheme="minorHAnsi"/>
          <w:sz w:val="22"/>
          <w:szCs w:val="22"/>
          <w:lang w:eastAsia="en-US"/>
        </w:rPr>
        <w:t>р</w:t>
      </w:r>
      <w:r w:rsidRPr="00EC1A78">
        <w:rPr>
          <w:rFonts w:eastAsiaTheme="minorHAnsi"/>
          <w:sz w:val="22"/>
          <w:szCs w:val="22"/>
          <w:lang w:eastAsia="en-US"/>
        </w:rPr>
        <w:t>мационно–правового портала ГАРАНТ.РУ на Россию в 2012 году пришлось 20% киберпреступлений в мире [3].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Необходимость координации взаимодействий в правовой сфере подчеркивают руководители высшего ранга. В июне 2017 года на экспертном форуме «Примаковские чтения» глава МИД РФ Сергей Лавров в ходе своего выступления подчеркнул: «Особую тревогу вызывает масштабный рост киберпреступности, участившиеся и</w:t>
      </w:r>
      <w:r w:rsidRPr="00EC1A78">
        <w:rPr>
          <w:rFonts w:eastAsiaTheme="minorHAnsi"/>
          <w:sz w:val="22"/>
          <w:szCs w:val="22"/>
          <w:lang w:eastAsia="en-US"/>
        </w:rPr>
        <w:t>с</w:t>
      </w:r>
      <w:r w:rsidRPr="00EC1A78">
        <w:rPr>
          <w:rFonts w:eastAsiaTheme="minorHAnsi"/>
          <w:sz w:val="22"/>
          <w:szCs w:val="22"/>
          <w:lang w:eastAsia="en-US"/>
        </w:rPr>
        <w:t>пользование информационных и коммуникационных технологий в целях оказания воздействия на общественно–политическую и соц</w:t>
      </w:r>
      <w:r w:rsidRPr="00EC1A78">
        <w:rPr>
          <w:rFonts w:eastAsiaTheme="minorHAnsi"/>
          <w:sz w:val="22"/>
          <w:szCs w:val="22"/>
          <w:lang w:eastAsia="en-US"/>
        </w:rPr>
        <w:t>и</w:t>
      </w:r>
      <w:r w:rsidRPr="00EC1A78">
        <w:rPr>
          <w:rFonts w:eastAsiaTheme="minorHAnsi"/>
          <w:sz w:val="22"/>
          <w:szCs w:val="22"/>
          <w:lang w:eastAsia="en-US"/>
        </w:rPr>
        <w:t>ально–экономическую обстановку» [4]. Лавров отметил, что Россия долгие годы добивается принятия под эгидой ООН правил повед</w:t>
      </w:r>
      <w:r w:rsidRPr="00EC1A78">
        <w:rPr>
          <w:rFonts w:eastAsiaTheme="minorHAnsi"/>
          <w:sz w:val="22"/>
          <w:szCs w:val="22"/>
          <w:lang w:eastAsia="en-US"/>
        </w:rPr>
        <w:t>е</w:t>
      </w:r>
      <w:r w:rsidRPr="00EC1A78">
        <w:rPr>
          <w:rFonts w:eastAsiaTheme="minorHAnsi"/>
          <w:sz w:val="22"/>
          <w:szCs w:val="22"/>
          <w:lang w:eastAsia="en-US"/>
        </w:rPr>
        <w:t>ния государств в киберпространстве и ждет ответа от западных коллег.</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целях дальнейшего совершенствования обеспечения кибе</w:t>
      </w:r>
      <w:r w:rsidRPr="00EC1A78">
        <w:rPr>
          <w:rFonts w:eastAsiaTheme="minorHAnsi"/>
          <w:sz w:val="22"/>
          <w:szCs w:val="22"/>
          <w:lang w:eastAsia="en-US"/>
        </w:rPr>
        <w:t>р</w:t>
      </w:r>
      <w:r w:rsidRPr="00EC1A78">
        <w:rPr>
          <w:rFonts w:eastAsiaTheme="minorHAnsi"/>
          <w:sz w:val="22"/>
          <w:szCs w:val="22"/>
          <w:lang w:eastAsia="en-US"/>
        </w:rPr>
        <w:t>безопасности государству необходимо вести постоянный монит</w:t>
      </w:r>
      <w:r w:rsidRPr="00EC1A78">
        <w:rPr>
          <w:rFonts w:eastAsiaTheme="minorHAnsi"/>
          <w:sz w:val="22"/>
          <w:szCs w:val="22"/>
          <w:lang w:eastAsia="en-US"/>
        </w:rPr>
        <w:t>о</w:t>
      </w:r>
      <w:r w:rsidRPr="00EC1A78">
        <w:rPr>
          <w:rFonts w:eastAsiaTheme="minorHAnsi"/>
          <w:sz w:val="22"/>
          <w:szCs w:val="22"/>
          <w:lang w:eastAsia="en-US"/>
        </w:rPr>
        <w:t>ринг киберугроз, профилактику кибертерроризма, развивать навыки кибербезопасности, стимулировать научные исследования в сфере кибербезопасности и совершенствовать нормативно–правовую базу для регулирования взаимодействий в киберпространстве.</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w:t>
      </w:r>
      <w:r w:rsidR="00EE657B">
        <w:rPr>
          <w:rFonts w:eastAsiaTheme="minorHAnsi"/>
          <w:sz w:val="22"/>
          <w:szCs w:val="22"/>
          <w:lang w:eastAsia="en-US"/>
        </w:rPr>
        <w:t>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Матвеев, В.А. Состояние и перспективы развития индустрии информационной безопасности Российской Федерации / В.А. Ма</w:t>
      </w:r>
      <w:r w:rsidRPr="00EC1A78">
        <w:rPr>
          <w:rFonts w:eastAsiaTheme="minorHAnsi"/>
          <w:sz w:val="22"/>
          <w:szCs w:val="22"/>
          <w:lang w:eastAsia="en-US"/>
        </w:rPr>
        <w:t>т</w:t>
      </w:r>
      <w:r w:rsidRPr="00EC1A78">
        <w:rPr>
          <w:rFonts w:eastAsiaTheme="minorHAnsi"/>
          <w:sz w:val="22"/>
          <w:szCs w:val="22"/>
          <w:lang w:eastAsia="en-US"/>
        </w:rPr>
        <w:t>веев, В.Л. Цирлов // Вопросы кибербезопасности. – 2013. – № 1(1). –  С. 61 – 64.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Суханов, А.Г. Особенности правового регулирования в обл</w:t>
      </w:r>
      <w:r w:rsidRPr="00EC1A78">
        <w:rPr>
          <w:rFonts w:eastAsiaTheme="minorHAnsi"/>
          <w:sz w:val="22"/>
          <w:szCs w:val="22"/>
          <w:lang w:eastAsia="en-US"/>
        </w:rPr>
        <w:t>а</w:t>
      </w:r>
      <w:r w:rsidRPr="00EC1A78">
        <w:rPr>
          <w:rFonts w:eastAsiaTheme="minorHAnsi"/>
          <w:sz w:val="22"/>
          <w:szCs w:val="22"/>
          <w:lang w:eastAsia="en-US"/>
        </w:rPr>
        <w:t>сти обеспечения кибербезопасности критической инфраструктуры / А.Г. Суханов // Экономика и социум. – 2017. – № 3(34). –  С. 1693 – 1700.</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Михайлова, А. Проблемы кибербезопасности в России и п</w:t>
      </w:r>
      <w:r w:rsidRPr="00EC1A78">
        <w:rPr>
          <w:rFonts w:eastAsiaTheme="minorHAnsi"/>
          <w:sz w:val="22"/>
          <w:szCs w:val="22"/>
          <w:lang w:eastAsia="en-US"/>
        </w:rPr>
        <w:t>у</w:t>
      </w:r>
      <w:r w:rsidRPr="00EC1A78">
        <w:rPr>
          <w:rFonts w:eastAsiaTheme="minorHAnsi"/>
          <w:sz w:val="22"/>
          <w:szCs w:val="22"/>
          <w:lang w:eastAsia="en-US"/>
        </w:rPr>
        <w:t>ти их решения</w:t>
      </w:r>
      <w:r w:rsidRPr="00EC1A78">
        <w:rPr>
          <w:rFonts w:eastAsiaTheme="minorHAnsi"/>
          <w:b/>
          <w:bCs/>
          <w:sz w:val="22"/>
          <w:szCs w:val="22"/>
          <w:lang w:eastAsia="en-US"/>
        </w:rPr>
        <w:t xml:space="preserve"> </w:t>
      </w:r>
      <w:r w:rsidRPr="00EC1A78">
        <w:rPr>
          <w:rFonts w:eastAsiaTheme="minorHAnsi"/>
          <w:bCs/>
          <w:sz w:val="22"/>
          <w:szCs w:val="22"/>
          <w:lang w:eastAsia="en-US"/>
        </w:rPr>
        <w:t>[Электронный ресурс]</w:t>
      </w:r>
      <w:r w:rsidRPr="00EC1A78">
        <w:rPr>
          <w:rFonts w:eastAsiaTheme="minorHAnsi"/>
          <w:sz w:val="22"/>
          <w:szCs w:val="22"/>
          <w:lang w:eastAsia="en-US"/>
        </w:rPr>
        <w:t xml:space="preserve"> – Режим доступа: </w:t>
      </w:r>
      <w:hyperlink r:id="rId407" w:history="1">
        <w:r w:rsidRPr="00EC1A78">
          <w:rPr>
            <w:rFonts w:eastAsiaTheme="minorHAnsi"/>
            <w:sz w:val="22"/>
            <w:szCs w:val="22"/>
            <w:lang w:eastAsia="en-US"/>
          </w:rPr>
          <w:t>http://www.garant.ru/article/520694/</w:t>
        </w:r>
      </w:hyperlink>
      <w:r w:rsidRPr="00EC1A78">
        <w:rPr>
          <w:rFonts w:eastAsiaTheme="minorHAnsi"/>
          <w:sz w:val="22"/>
          <w:szCs w:val="22"/>
          <w:lang w:eastAsia="en-US"/>
        </w:rPr>
        <w:t xml:space="preserve"> – Загл. с экрана. (Дата обращ</w:t>
      </w:r>
      <w:r w:rsidRPr="00EC1A78">
        <w:rPr>
          <w:rFonts w:eastAsiaTheme="minorHAnsi"/>
          <w:sz w:val="22"/>
          <w:szCs w:val="22"/>
          <w:lang w:eastAsia="en-US"/>
        </w:rPr>
        <w:t>е</w:t>
      </w:r>
      <w:r w:rsidRPr="00EC1A78">
        <w:rPr>
          <w:rFonts w:eastAsiaTheme="minorHAnsi"/>
          <w:sz w:val="22"/>
          <w:szCs w:val="22"/>
          <w:lang w:eastAsia="en-US"/>
        </w:rPr>
        <w:t>ния 04.08.2017 г.)</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Россия ожидает от Запада ответ на предложения по кибе</w:t>
      </w:r>
      <w:r w:rsidRPr="00EC1A78">
        <w:rPr>
          <w:rFonts w:eastAsiaTheme="minorHAnsi"/>
          <w:sz w:val="22"/>
          <w:szCs w:val="22"/>
          <w:lang w:eastAsia="en-US"/>
        </w:rPr>
        <w:t>р</w:t>
      </w:r>
      <w:r w:rsidRPr="00EC1A78">
        <w:rPr>
          <w:rFonts w:eastAsiaTheme="minorHAnsi"/>
          <w:sz w:val="22"/>
          <w:szCs w:val="22"/>
          <w:lang w:eastAsia="en-US"/>
        </w:rPr>
        <w:t xml:space="preserve">безопасности </w:t>
      </w:r>
      <w:r w:rsidRPr="00EC1A78">
        <w:rPr>
          <w:rFonts w:eastAsiaTheme="minorHAnsi"/>
          <w:bCs/>
          <w:sz w:val="22"/>
          <w:szCs w:val="22"/>
          <w:lang w:eastAsia="en-US"/>
        </w:rPr>
        <w:t>[Электронный ресурс]</w:t>
      </w:r>
      <w:r w:rsidRPr="00EC1A78">
        <w:rPr>
          <w:rFonts w:eastAsiaTheme="minorHAnsi"/>
          <w:sz w:val="22"/>
          <w:szCs w:val="22"/>
          <w:lang w:eastAsia="en-US"/>
        </w:rPr>
        <w:t xml:space="preserve"> – Режим доступа:  </w:t>
      </w:r>
      <w:hyperlink r:id="rId408" w:history="1">
        <w:r w:rsidRPr="00EC1A78">
          <w:rPr>
            <w:rFonts w:eastAsiaTheme="minorHAnsi"/>
            <w:sz w:val="22"/>
            <w:szCs w:val="22"/>
            <w:lang w:eastAsia="en-US"/>
          </w:rPr>
          <w:t>https://riafan.ru/846858–rossiya–ozhidaet–ot–zapada–otvet–na–</w:t>
        </w:r>
        <w:r w:rsidRPr="00EC1A78">
          <w:rPr>
            <w:rFonts w:eastAsiaTheme="minorHAnsi"/>
            <w:sz w:val="22"/>
            <w:szCs w:val="22"/>
            <w:lang w:eastAsia="en-US"/>
          </w:rPr>
          <w:lastRenderedPageBreak/>
          <w:t>predlozheniya–po–kiberbezopasnosti–lavrov</w:t>
        </w:r>
      </w:hyperlink>
      <w:r w:rsidRPr="00EC1A78">
        <w:rPr>
          <w:rFonts w:eastAsiaTheme="minorHAnsi"/>
          <w:sz w:val="22"/>
          <w:szCs w:val="22"/>
          <w:lang w:eastAsia="en-US"/>
        </w:rPr>
        <w:t xml:space="preserve"> – Загл. с экрана. (Дата обращения 04.08.2017 г.</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Pr="00EC1A78" w:rsidRDefault="00EE657B"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341</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Система международного права</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val="en" w:eastAsia="en-US"/>
        </w:rPr>
        <w:t>The</w:t>
      </w:r>
      <w:r w:rsidRPr="00EC1A78">
        <w:rPr>
          <w:rFonts w:eastAsiaTheme="minorHAnsi"/>
          <w:b/>
          <w:sz w:val="24"/>
          <w:szCs w:val="24"/>
          <w:lang w:eastAsia="en-US"/>
        </w:rPr>
        <w:t xml:space="preserve"> </w:t>
      </w:r>
      <w:r w:rsidRPr="00EC1A78">
        <w:rPr>
          <w:rFonts w:eastAsiaTheme="minorHAnsi"/>
          <w:b/>
          <w:sz w:val="24"/>
          <w:szCs w:val="24"/>
          <w:lang w:val="en" w:eastAsia="en-US"/>
        </w:rPr>
        <w:t>system</w:t>
      </w:r>
      <w:r w:rsidRPr="00EC1A78">
        <w:rPr>
          <w:rFonts w:eastAsiaTheme="minorHAnsi"/>
          <w:b/>
          <w:sz w:val="24"/>
          <w:szCs w:val="24"/>
          <w:lang w:eastAsia="en-US"/>
        </w:rPr>
        <w:t xml:space="preserve"> </w:t>
      </w:r>
      <w:r w:rsidRPr="00EC1A78">
        <w:rPr>
          <w:rFonts w:eastAsiaTheme="minorHAnsi"/>
          <w:b/>
          <w:sz w:val="24"/>
          <w:szCs w:val="24"/>
          <w:lang w:val="en" w:eastAsia="en-US"/>
        </w:rPr>
        <w:t>of</w:t>
      </w:r>
      <w:r w:rsidRPr="00EC1A78">
        <w:rPr>
          <w:rFonts w:eastAsiaTheme="minorHAnsi"/>
          <w:b/>
          <w:sz w:val="24"/>
          <w:szCs w:val="24"/>
          <w:lang w:eastAsia="en-US"/>
        </w:rPr>
        <w:t xml:space="preserve"> </w:t>
      </w:r>
      <w:r w:rsidRPr="00EC1A78">
        <w:rPr>
          <w:rFonts w:eastAsiaTheme="minorHAnsi"/>
          <w:b/>
          <w:sz w:val="24"/>
          <w:szCs w:val="24"/>
          <w:lang w:val="en" w:eastAsia="en-US"/>
        </w:rPr>
        <w:t>international</w:t>
      </w:r>
      <w:r w:rsidRPr="00EC1A78">
        <w:rPr>
          <w:rFonts w:eastAsiaTheme="minorHAnsi"/>
          <w:b/>
          <w:sz w:val="24"/>
          <w:szCs w:val="24"/>
          <w:lang w:eastAsia="en-US"/>
        </w:rPr>
        <w:t xml:space="preserve"> </w:t>
      </w:r>
      <w:r w:rsidRPr="00EC1A78">
        <w:rPr>
          <w:rFonts w:eastAsiaTheme="minorHAnsi"/>
          <w:b/>
          <w:sz w:val="24"/>
          <w:szCs w:val="24"/>
          <w:lang w:val="en" w:eastAsia="en-US"/>
        </w:rPr>
        <w:t>law</w:t>
      </w:r>
    </w:p>
    <w:p w:rsidR="00EC1A78" w:rsidRPr="00EC1A78" w:rsidRDefault="00EC1A78" w:rsidP="00EC1A78">
      <w:pPr>
        <w:jc w:val="both"/>
        <w:rPr>
          <w:rFonts w:eastAsiaTheme="minorHAnsi"/>
          <w:sz w:val="22"/>
          <w:szCs w:val="22"/>
          <w:lang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Чермит Р.</w:t>
      </w:r>
      <w:r w:rsidR="00EE657B">
        <w:rPr>
          <w:rFonts w:eastAsiaTheme="minorHAnsi"/>
          <w:sz w:val="22"/>
          <w:szCs w:val="22"/>
          <w:lang w:eastAsia="en-US"/>
        </w:rPr>
        <w:t xml:space="preserve"> </w:t>
      </w:r>
      <w:r w:rsidRPr="00EC1A78">
        <w:rPr>
          <w:rFonts w:eastAsiaTheme="minorHAnsi"/>
          <w:sz w:val="22"/>
          <w:szCs w:val="22"/>
          <w:lang w:eastAsia="en-US"/>
        </w:rPr>
        <w:t>Р.,</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Опарин В.</w:t>
      </w:r>
      <w:r w:rsidR="00EE657B">
        <w:rPr>
          <w:rFonts w:eastAsiaTheme="minorHAnsi"/>
          <w:sz w:val="22"/>
          <w:szCs w:val="22"/>
          <w:lang w:eastAsia="en-US"/>
        </w:rPr>
        <w:t xml:space="preserve"> </w:t>
      </w:r>
      <w:r w:rsidRPr="00EC1A78">
        <w:rPr>
          <w:rFonts w:eastAsiaTheme="minorHAnsi"/>
          <w:sz w:val="22"/>
          <w:szCs w:val="22"/>
          <w:lang w:eastAsia="en-US"/>
        </w:rPr>
        <w:t>Н.,</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государственного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и международного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ind w:firstLine="426"/>
        <w:jc w:val="both"/>
        <w:rPr>
          <w:rFonts w:eastAsiaTheme="minorHAnsi"/>
          <w:b/>
          <w:sz w:val="22"/>
          <w:szCs w:val="22"/>
          <w:lang w:eastAsia="en-US"/>
        </w:rPr>
      </w:pPr>
      <w:r w:rsidRPr="00EC1A78">
        <w:rPr>
          <w:rFonts w:eastAsiaTheme="minorHAnsi"/>
          <w:sz w:val="22"/>
          <w:szCs w:val="22"/>
          <w:lang w:eastAsia="en-US"/>
        </w:rPr>
        <w:t>АННОТАЦИЯ: Рассматривается вопрос о развитии системы международного права на современном этапе. Для более конкре</w:t>
      </w:r>
      <w:r w:rsidRPr="00EC1A78">
        <w:rPr>
          <w:rFonts w:eastAsiaTheme="minorHAnsi"/>
          <w:sz w:val="22"/>
          <w:szCs w:val="22"/>
          <w:lang w:eastAsia="en-US"/>
        </w:rPr>
        <w:t>т</w:t>
      </w:r>
      <w:r w:rsidRPr="00EC1A78">
        <w:rPr>
          <w:rFonts w:eastAsiaTheme="minorHAnsi"/>
          <w:sz w:val="22"/>
          <w:szCs w:val="22"/>
          <w:lang w:eastAsia="en-US"/>
        </w:rPr>
        <w:t>ного понимания системы международного права уделяется вним</w:t>
      </w:r>
      <w:r w:rsidRPr="00EC1A78">
        <w:rPr>
          <w:rFonts w:eastAsiaTheme="minorHAnsi"/>
          <w:sz w:val="22"/>
          <w:szCs w:val="22"/>
          <w:lang w:eastAsia="en-US"/>
        </w:rPr>
        <w:t>а</w:t>
      </w:r>
      <w:r w:rsidRPr="00EC1A78">
        <w:rPr>
          <w:rFonts w:eastAsiaTheme="minorHAnsi"/>
          <w:sz w:val="22"/>
          <w:szCs w:val="22"/>
          <w:lang w:eastAsia="en-US"/>
        </w:rPr>
        <w:t>ние структуре данной системы.</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 w:eastAsia="en-US"/>
        </w:rPr>
        <w:t>ABSTRACT: The question of the development of the system of i</w:t>
      </w:r>
      <w:r w:rsidRPr="00EC1A78">
        <w:rPr>
          <w:rFonts w:eastAsiaTheme="minorHAnsi"/>
          <w:sz w:val="22"/>
          <w:szCs w:val="22"/>
          <w:lang w:val="en" w:eastAsia="en-US"/>
        </w:rPr>
        <w:t>n</w:t>
      </w:r>
      <w:r w:rsidRPr="00EC1A78">
        <w:rPr>
          <w:rFonts w:eastAsiaTheme="minorHAnsi"/>
          <w:sz w:val="22"/>
          <w:szCs w:val="22"/>
          <w:lang w:val="en" w:eastAsia="en-US"/>
        </w:rPr>
        <w:t>ternational law at the present stage is being considered. For a more co</w:t>
      </w:r>
      <w:r w:rsidRPr="00EC1A78">
        <w:rPr>
          <w:rFonts w:eastAsiaTheme="minorHAnsi"/>
          <w:sz w:val="22"/>
          <w:szCs w:val="22"/>
          <w:lang w:val="en" w:eastAsia="en-US"/>
        </w:rPr>
        <w:t>n</w:t>
      </w:r>
      <w:r w:rsidRPr="00EC1A78">
        <w:rPr>
          <w:rFonts w:eastAsiaTheme="minorHAnsi"/>
          <w:sz w:val="22"/>
          <w:szCs w:val="22"/>
          <w:lang w:val="en" w:eastAsia="en-US"/>
        </w:rPr>
        <w:t>crete understanding of the system of international law, attention is paid to the structure of this system.</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КЛЮЧЕВЫЕ СЛОВА: международное право, система межд</w:t>
      </w:r>
      <w:r w:rsidRPr="00EC1A78">
        <w:rPr>
          <w:rFonts w:eastAsiaTheme="minorHAnsi"/>
          <w:sz w:val="22"/>
          <w:szCs w:val="22"/>
          <w:lang w:eastAsia="en-US"/>
        </w:rPr>
        <w:t>у</w:t>
      </w:r>
      <w:r w:rsidRPr="00EC1A78">
        <w:rPr>
          <w:rFonts w:eastAsiaTheme="minorHAnsi"/>
          <w:sz w:val="22"/>
          <w:szCs w:val="22"/>
          <w:lang w:eastAsia="en-US"/>
        </w:rPr>
        <w:t>народного права.</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 w:eastAsia="en-US"/>
        </w:rPr>
        <w:t>KEY</w:t>
      </w:r>
      <w:r w:rsidRPr="00EC1A78">
        <w:rPr>
          <w:rFonts w:eastAsiaTheme="minorHAnsi"/>
          <w:sz w:val="22"/>
          <w:szCs w:val="22"/>
          <w:lang w:val="en-US" w:eastAsia="en-US"/>
        </w:rPr>
        <w:t xml:space="preserve"> </w:t>
      </w:r>
      <w:r w:rsidRPr="00EC1A78">
        <w:rPr>
          <w:rFonts w:eastAsiaTheme="minorHAnsi"/>
          <w:sz w:val="22"/>
          <w:szCs w:val="22"/>
          <w:lang w:val="en" w:eastAsia="en-US"/>
        </w:rPr>
        <w:t>WORDS: international law, system of international law.</w:t>
      </w:r>
    </w:p>
    <w:p w:rsidR="00EC1A78" w:rsidRPr="00EC1A78" w:rsidRDefault="00EC1A78" w:rsidP="00EC1A78">
      <w:pPr>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российской правовой доктрине дискуссия, касающаяся с</w:t>
      </w:r>
      <w:r w:rsidRPr="00EC1A78">
        <w:rPr>
          <w:rFonts w:eastAsiaTheme="minorHAnsi"/>
          <w:sz w:val="22"/>
          <w:szCs w:val="22"/>
          <w:lang w:eastAsia="en-US"/>
        </w:rPr>
        <w:t>и</w:t>
      </w:r>
      <w:r w:rsidRPr="00EC1A78">
        <w:rPr>
          <w:rFonts w:eastAsiaTheme="minorHAnsi"/>
          <w:sz w:val="22"/>
          <w:szCs w:val="22"/>
          <w:lang w:eastAsia="en-US"/>
        </w:rPr>
        <w:t>стемы международного права, проводилась еще в конце тридцатых годов двадцатого столетия, и она протекала, в основном, в виде о</w:t>
      </w:r>
      <w:r w:rsidRPr="00EC1A78">
        <w:rPr>
          <w:rFonts w:eastAsiaTheme="minorHAnsi"/>
          <w:sz w:val="22"/>
          <w:szCs w:val="22"/>
          <w:lang w:eastAsia="en-US"/>
        </w:rPr>
        <w:t>б</w:t>
      </w:r>
      <w:r w:rsidRPr="00EC1A78">
        <w:rPr>
          <w:rFonts w:eastAsiaTheme="minorHAnsi"/>
          <w:sz w:val="22"/>
          <w:szCs w:val="22"/>
          <w:lang w:eastAsia="en-US"/>
        </w:rPr>
        <w:t>щей дискуссии. Так, подавляющее большинство ученых обоснов</w:t>
      </w:r>
      <w:r w:rsidRPr="00EC1A78">
        <w:rPr>
          <w:rFonts w:eastAsiaTheme="minorHAnsi"/>
          <w:sz w:val="22"/>
          <w:szCs w:val="22"/>
          <w:lang w:eastAsia="en-US"/>
        </w:rPr>
        <w:t>ы</w:t>
      </w:r>
      <w:r w:rsidRPr="00EC1A78">
        <w:rPr>
          <w:rFonts w:eastAsiaTheme="minorHAnsi"/>
          <w:sz w:val="22"/>
          <w:szCs w:val="22"/>
          <w:lang w:eastAsia="en-US"/>
        </w:rPr>
        <w:t>вало лишь предмет правового регулирования.</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 дальнейшем дискуссия по данному вопросу вновь набрала свои обороты с середины 50–х гг. ХХ века в связи с началом ма</w:t>
      </w:r>
      <w:r w:rsidRPr="00EC1A78">
        <w:rPr>
          <w:rFonts w:eastAsiaTheme="minorHAnsi"/>
          <w:sz w:val="22"/>
          <w:szCs w:val="22"/>
          <w:lang w:eastAsia="en-US"/>
        </w:rPr>
        <w:t>с</w:t>
      </w:r>
      <w:r w:rsidRPr="00EC1A78">
        <w:rPr>
          <w:rFonts w:eastAsiaTheme="minorHAnsi"/>
          <w:sz w:val="22"/>
          <w:szCs w:val="22"/>
          <w:lang w:eastAsia="en-US"/>
        </w:rPr>
        <w:t>штабной кодификации законодательства СССР.</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В конце 70–х – начале 80–х годов прошлого века ученые стали больше внимания уделять методу правового регулирования. Нек</w:t>
      </w:r>
      <w:r w:rsidRPr="00EC1A78">
        <w:rPr>
          <w:rFonts w:eastAsiaTheme="minorHAnsi"/>
          <w:sz w:val="22"/>
          <w:szCs w:val="22"/>
          <w:lang w:eastAsia="en-US"/>
        </w:rPr>
        <w:t>о</w:t>
      </w:r>
      <w:r w:rsidRPr="00EC1A78">
        <w:rPr>
          <w:rFonts w:eastAsiaTheme="minorHAnsi"/>
          <w:sz w:val="22"/>
          <w:szCs w:val="22"/>
          <w:lang w:eastAsia="en-US"/>
        </w:rPr>
        <w:t>торые из них выступали за пересмотр подхода к пониманию сист</w:t>
      </w:r>
      <w:r w:rsidRPr="00EC1A78">
        <w:rPr>
          <w:rFonts w:eastAsiaTheme="minorHAnsi"/>
          <w:sz w:val="22"/>
          <w:szCs w:val="22"/>
          <w:lang w:eastAsia="en-US"/>
        </w:rPr>
        <w:t>е</w:t>
      </w:r>
      <w:r w:rsidRPr="00EC1A78">
        <w:rPr>
          <w:rFonts w:eastAsiaTheme="minorHAnsi"/>
          <w:sz w:val="22"/>
          <w:szCs w:val="22"/>
          <w:lang w:eastAsia="en-US"/>
        </w:rPr>
        <w:t>мы права. Их условно можно разделить на три группы. Первая группа ученых – В.Д. Сорокин, В.В. Лаптев, В.П. Шахматов, В.К. Мамутов, В.А. Ржевский – предлагали отказаться от метода правового регулирования как основания деления права на отрасли. Вторая группа – В.Г. Беляев, В.Н. Кудрявцев и др. – исходили из того, что не следует выделяет в каждой из отраслей права ни пре</w:t>
      </w:r>
      <w:r w:rsidRPr="00EC1A78">
        <w:rPr>
          <w:rFonts w:eastAsiaTheme="minorHAnsi"/>
          <w:sz w:val="22"/>
          <w:szCs w:val="22"/>
          <w:lang w:eastAsia="en-US"/>
        </w:rPr>
        <w:t>д</w:t>
      </w:r>
      <w:r w:rsidRPr="00EC1A78">
        <w:rPr>
          <w:rFonts w:eastAsiaTheme="minorHAnsi"/>
          <w:sz w:val="22"/>
          <w:szCs w:val="22"/>
          <w:lang w:eastAsia="en-US"/>
        </w:rPr>
        <w:t>мет, ни метод, а следует обратить внимание на иные специфические признаки. Третья группа – Р.З. Лившиц, И.А. Танчук и др. – отста</w:t>
      </w:r>
      <w:r w:rsidRPr="00EC1A78">
        <w:rPr>
          <w:rFonts w:eastAsiaTheme="minorHAnsi"/>
          <w:sz w:val="22"/>
          <w:szCs w:val="22"/>
          <w:lang w:eastAsia="en-US"/>
        </w:rPr>
        <w:t>и</w:t>
      </w:r>
      <w:r w:rsidRPr="00EC1A78">
        <w:rPr>
          <w:rFonts w:eastAsiaTheme="minorHAnsi"/>
          <w:sz w:val="22"/>
          <w:szCs w:val="22"/>
          <w:lang w:eastAsia="en-US"/>
        </w:rPr>
        <w:t>вали точку зрения, согласно которой «отраслей как таковых в праве нет» и именно поэтому внимание необходимо сосредоточить на рассмотрении вопросов системы законодательства и отрасли зак</w:t>
      </w:r>
      <w:r w:rsidRPr="00EC1A78">
        <w:rPr>
          <w:rFonts w:eastAsiaTheme="minorHAnsi"/>
          <w:sz w:val="22"/>
          <w:szCs w:val="22"/>
          <w:lang w:eastAsia="en-US"/>
        </w:rPr>
        <w:t>о</w:t>
      </w:r>
      <w:r w:rsidRPr="00EC1A78">
        <w:rPr>
          <w:rFonts w:eastAsiaTheme="minorHAnsi"/>
          <w:sz w:val="22"/>
          <w:szCs w:val="22"/>
          <w:lang w:eastAsia="en-US"/>
        </w:rPr>
        <w:t>нодательства.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Российская доктрина содержит два важных подхода к уясн</w:t>
      </w:r>
      <w:r w:rsidRPr="00EC1A78">
        <w:rPr>
          <w:rFonts w:eastAsiaTheme="minorHAnsi"/>
          <w:sz w:val="22"/>
          <w:szCs w:val="22"/>
          <w:lang w:eastAsia="en-US"/>
        </w:rPr>
        <w:t>е</w:t>
      </w:r>
      <w:r w:rsidRPr="00EC1A78">
        <w:rPr>
          <w:rFonts w:eastAsiaTheme="minorHAnsi"/>
          <w:sz w:val="22"/>
          <w:szCs w:val="22"/>
          <w:lang w:eastAsia="en-US"/>
        </w:rPr>
        <w:t>нию системы международного права. Те, кто стоит на позициях у</w:t>
      </w:r>
      <w:r w:rsidRPr="00EC1A78">
        <w:rPr>
          <w:rFonts w:eastAsiaTheme="minorHAnsi"/>
          <w:sz w:val="22"/>
          <w:szCs w:val="22"/>
          <w:lang w:eastAsia="en-US"/>
        </w:rPr>
        <w:t>з</w:t>
      </w:r>
      <w:r w:rsidRPr="00EC1A78">
        <w:rPr>
          <w:rFonts w:eastAsiaTheme="minorHAnsi"/>
          <w:sz w:val="22"/>
          <w:szCs w:val="22"/>
          <w:lang w:eastAsia="en-US"/>
        </w:rPr>
        <w:t>кого понимания системы международного права (В.И. Кузнецов, И.И. Лукашук, В.В. Гаврилов, С.В. Черниченко, В.А. Василенко), исходят из теоретических познаний, и, прежде всего, из принятия системы права, неотъемлемыми элементами которой являются но</w:t>
      </w:r>
      <w:r w:rsidRPr="00EC1A78">
        <w:rPr>
          <w:rFonts w:eastAsiaTheme="minorHAnsi"/>
          <w:sz w:val="22"/>
          <w:szCs w:val="22"/>
          <w:lang w:eastAsia="en-US"/>
        </w:rPr>
        <w:t>р</w:t>
      </w:r>
      <w:r w:rsidRPr="00EC1A78">
        <w:rPr>
          <w:rFonts w:eastAsiaTheme="minorHAnsi"/>
          <w:sz w:val="22"/>
          <w:szCs w:val="22"/>
          <w:lang w:eastAsia="en-US"/>
        </w:rPr>
        <w:t>мы, отрасли и институты. На иной позиции стоят сторонники ш</w:t>
      </w:r>
      <w:r w:rsidRPr="00EC1A78">
        <w:rPr>
          <w:rFonts w:eastAsiaTheme="minorHAnsi"/>
          <w:sz w:val="22"/>
          <w:szCs w:val="22"/>
          <w:lang w:eastAsia="en-US"/>
        </w:rPr>
        <w:t>и</w:t>
      </w:r>
      <w:r w:rsidRPr="00EC1A78">
        <w:rPr>
          <w:rFonts w:eastAsiaTheme="minorHAnsi"/>
          <w:sz w:val="22"/>
          <w:szCs w:val="22"/>
          <w:lang w:eastAsia="en-US"/>
        </w:rPr>
        <w:t xml:space="preserve">рокой трактовки (М.Ю. Колосов, Г.И. Тункин, Ю.А. Баскин, Д.Б. Левин). По их мнению, элементами системы международного права являются источники, принципы и субъекты.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Мы же отдаем предпочтение широкому пониманию, исходя из того, что международное право и его система существенно отлич</w:t>
      </w:r>
      <w:r w:rsidRPr="00EC1A78">
        <w:rPr>
          <w:rFonts w:eastAsiaTheme="minorHAnsi"/>
          <w:sz w:val="22"/>
          <w:szCs w:val="22"/>
          <w:lang w:eastAsia="en-US"/>
        </w:rPr>
        <w:t>а</w:t>
      </w:r>
      <w:r w:rsidRPr="00EC1A78">
        <w:rPr>
          <w:rFonts w:eastAsiaTheme="minorHAnsi"/>
          <w:sz w:val="22"/>
          <w:szCs w:val="22"/>
          <w:lang w:eastAsia="en-US"/>
        </w:rPr>
        <w:t>ются от внутригосударственной системы права.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Важно подчеркнуть, что есть как общее, объединяющее всех ученых, которые широко понимают систему международного пр</w:t>
      </w:r>
      <w:r w:rsidRPr="00EC1A78">
        <w:rPr>
          <w:rFonts w:eastAsiaTheme="minorHAnsi"/>
          <w:sz w:val="22"/>
          <w:szCs w:val="22"/>
          <w:lang w:eastAsia="en-US"/>
        </w:rPr>
        <w:t>а</w:t>
      </w:r>
      <w:r w:rsidRPr="00EC1A78">
        <w:rPr>
          <w:rFonts w:eastAsiaTheme="minorHAnsi"/>
          <w:sz w:val="22"/>
          <w:szCs w:val="22"/>
          <w:lang w:eastAsia="en-US"/>
        </w:rPr>
        <w:t>ва, так и некоторые различия в их представлении о системе межд</w:t>
      </w:r>
      <w:r w:rsidRPr="00EC1A78">
        <w:rPr>
          <w:rFonts w:eastAsiaTheme="minorHAnsi"/>
          <w:sz w:val="22"/>
          <w:szCs w:val="22"/>
          <w:lang w:eastAsia="en-US"/>
        </w:rPr>
        <w:t>у</w:t>
      </w:r>
      <w:r w:rsidRPr="00EC1A78">
        <w:rPr>
          <w:rFonts w:eastAsiaTheme="minorHAnsi"/>
          <w:sz w:val="22"/>
          <w:szCs w:val="22"/>
          <w:lang w:eastAsia="en-US"/>
        </w:rPr>
        <w:t>народного права. Общим для них является представление о системе международного права как совокупности элементов, взаимоде</w:t>
      </w:r>
      <w:r w:rsidRPr="00EC1A78">
        <w:rPr>
          <w:rFonts w:eastAsiaTheme="minorHAnsi"/>
          <w:sz w:val="22"/>
          <w:szCs w:val="22"/>
          <w:lang w:eastAsia="en-US"/>
        </w:rPr>
        <w:t>й</w:t>
      </w:r>
      <w:r w:rsidRPr="00EC1A78">
        <w:rPr>
          <w:rFonts w:eastAsiaTheme="minorHAnsi"/>
          <w:sz w:val="22"/>
          <w:szCs w:val="22"/>
          <w:lang w:eastAsia="en-US"/>
        </w:rPr>
        <w:t>ствующих между собой. Так, по мнению профессора Ю.М. Колос</w:t>
      </w:r>
      <w:r w:rsidRPr="00EC1A78">
        <w:rPr>
          <w:rFonts w:eastAsiaTheme="minorHAnsi"/>
          <w:sz w:val="22"/>
          <w:szCs w:val="22"/>
          <w:lang w:eastAsia="en-US"/>
        </w:rPr>
        <w:t>о</w:t>
      </w:r>
      <w:r w:rsidRPr="00EC1A78">
        <w:rPr>
          <w:rFonts w:eastAsiaTheme="minorHAnsi"/>
          <w:sz w:val="22"/>
          <w:szCs w:val="22"/>
          <w:lang w:eastAsia="en-US"/>
        </w:rPr>
        <w:t>ва, система международного права – это «объективно существу</w:t>
      </w:r>
      <w:r w:rsidRPr="00EC1A78">
        <w:rPr>
          <w:rFonts w:eastAsiaTheme="minorHAnsi"/>
          <w:sz w:val="22"/>
          <w:szCs w:val="22"/>
          <w:lang w:eastAsia="en-US"/>
        </w:rPr>
        <w:t>ю</w:t>
      </w:r>
      <w:r w:rsidRPr="00EC1A78">
        <w:rPr>
          <w:rFonts w:eastAsiaTheme="minorHAnsi"/>
          <w:sz w:val="22"/>
          <w:szCs w:val="22"/>
          <w:lang w:eastAsia="en-US"/>
        </w:rPr>
        <w:t>щая целостность внутренне взаимосвязанных элементов: общепр</w:t>
      </w:r>
      <w:r w:rsidRPr="00EC1A78">
        <w:rPr>
          <w:rFonts w:eastAsiaTheme="minorHAnsi"/>
          <w:sz w:val="22"/>
          <w:szCs w:val="22"/>
          <w:lang w:eastAsia="en-US"/>
        </w:rPr>
        <w:t>и</w:t>
      </w:r>
      <w:r w:rsidRPr="00EC1A78">
        <w:rPr>
          <w:rFonts w:eastAsiaTheme="minorHAnsi"/>
          <w:sz w:val="22"/>
          <w:szCs w:val="22"/>
          <w:lang w:eastAsia="en-US"/>
        </w:rPr>
        <w:t xml:space="preserve">знанных принципов международного права, договорных и обычно–правовых норм, отраслей и институтов. В этой системе находится </w:t>
      </w:r>
      <w:r w:rsidRPr="00EC1A78">
        <w:rPr>
          <w:rFonts w:eastAsiaTheme="minorHAnsi"/>
          <w:sz w:val="22"/>
          <w:szCs w:val="22"/>
          <w:lang w:eastAsia="en-US"/>
        </w:rPr>
        <w:lastRenderedPageBreak/>
        <w:t>место и резолюциям международных организаций, решениям а</w:t>
      </w:r>
      <w:r w:rsidRPr="00EC1A78">
        <w:rPr>
          <w:rFonts w:eastAsiaTheme="minorHAnsi"/>
          <w:sz w:val="22"/>
          <w:szCs w:val="22"/>
          <w:lang w:eastAsia="en-US"/>
        </w:rPr>
        <w:t>р</w:t>
      </w:r>
      <w:r w:rsidRPr="00EC1A78">
        <w:rPr>
          <w:rFonts w:eastAsiaTheme="minorHAnsi"/>
          <w:sz w:val="22"/>
          <w:szCs w:val="22"/>
          <w:lang w:eastAsia="en-US"/>
        </w:rPr>
        <w:t>битражных и судебных международных органов». Таким образом профессор Ю.М. Колосов проводит четкое разграничение между системой международного права и системой науки международного права. По его мнению, система международного права –социальное явление объективно существующее, а система науки является р</w:t>
      </w:r>
      <w:r w:rsidRPr="00EC1A78">
        <w:rPr>
          <w:rFonts w:eastAsiaTheme="minorHAnsi"/>
          <w:sz w:val="22"/>
          <w:szCs w:val="22"/>
          <w:lang w:eastAsia="en-US"/>
        </w:rPr>
        <w:t>е</w:t>
      </w:r>
      <w:r w:rsidRPr="00EC1A78">
        <w:rPr>
          <w:rFonts w:eastAsiaTheme="minorHAnsi"/>
          <w:sz w:val="22"/>
          <w:szCs w:val="22"/>
          <w:lang w:eastAsia="en-US"/>
        </w:rPr>
        <w:t>зультатом научной мысли отдельных юристов–международников.</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А вот, например, профессор Д.И. Фельдман в своих трудах в</w:t>
      </w:r>
      <w:r w:rsidRPr="00EC1A78">
        <w:rPr>
          <w:rFonts w:eastAsiaTheme="minorHAnsi"/>
          <w:sz w:val="22"/>
          <w:szCs w:val="22"/>
          <w:lang w:eastAsia="en-US"/>
        </w:rPr>
        <w:t>ы</w:t>
      </w:r>
      <w:r w:rsidRPr="00EC1A78">
        <w:rPr>
          <w:rFonts w:eastAsiaTheme="minorHAnsi"/>
          <w:sz w:val="22"/>
          <w:szCs w:val="22"/>
          <w:lang w:eastAsia="en-US"/>
        </w:rPr>
        <w:t>водит систему международного права, отталкиваясь от понятия о</w:t>
      </w:r>
      <w:r w:rsidRPr="00EC1A78">
        <w:rPr>
          <w:rFonts w:eastAsiaTheme="minorHAnsi"/>
          <w:sz w:val="22"/>
          <w:szCs w:val="22"/>
          <w:lang w:eastAsia="en-US"/>
        </w:rPr>
        <w:t>т</w:t>
      </w:r>
      <w:r w:rsidRPr="00EC1A78">
        <w:rPr>
          <w:rFonts w:eastAsiaTheme="minorHAnsi"/>
          <w:sz w:val="22"/>
          <w:szCs w:val="22"/>
          <w:lang w:eastAsia="en-US"/>
        </w:rPr>
        <w:t>расли международного права. А вот что касается элементов межд</w:t>
      </w:r>
      <w:r w:rsidRPr="00EC1A78">
        <w:rPr>
          <w:rFonts w:eastAsiaTheme="minorHAnsi"/>
          <w:sz w:val="22"/>
          <w:szCs w:val="22"/>
          <w:lang w:eastAsia="en-US"/>
        </w:rPr>
        <w:t>у</w:t>
      </w:r>
      <w:r w:rsidRPr="00EC1A78">
        <w:rPr>
          <w:rFonts w:eastAsiaTheme="minorHAnsi"/>
          <w:sz w:val="22"/>
          <w:szCs w:val="22"/>
          <w:lang w:eastAsia="en-US"/>
        </w:rPr>
        <w:t>народного права, то среди них он выделял принципы и субъекты международного права.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Д.Б. Левин уделил внимание так называемым общим чертам. К таковым он отнес: «1) отступление от достаточно известной точки зрения на дифференциацию международного права на право войны и мира; 2) введение в целостную систему международного права как международного публичного, так и международного частного и международного уголовного права; 3) дробление многими юрист</w:t>
      </w:r>
      <w:r w:rsidRPr="00EC1A78">
        <w:rPr>
          <w:rFonts w:eastAsiaTheme="minorHAnsi"/>
          <w:sz w:val="22"/>
          <w:szCs w:val="22"/>
          <w:lang w:eastAsia="en-US"/>
        </w:rPr>
        <w:t>а</w:t>
      </w:r>
      <w:r w:rsidRPr="00EC1A78">
        <w:rPr>
          <w:rFonts w:eastAsiaTheme="minorHAnsi"/>
          <w:sz w:val="22"/>
          <w:szCs w:val="22"/>
          <w:lang w:eastAsia="en-US"/>
        </w:rPr>
        <w:t>ми–международниками науки международного права на части о</w:t>
      </w:r>
      <w:r w:rsidRPr="00EC1A78">
        <w:rPr>
          <w:rFonts w:eastAsiaTheme="minorHAnsi"/>
          <w:sz w:val="22"/>
          <w:szCs w:val="22"/>
          <w:lang w:eastAsia="en-US"/>
        </w:rPr>
        <w:t>б</w:t>
      </w:r>
      <w:r w:rsidRPr="00EC1A78">
        <w:rPr>
          <w:rFonts w:eastAsiaTheme="minorHAnsi"/>
          <w:sz w:val="22"/>
          <w:szCs w:val="22"/>
          <w:lang w:eastAsia="en-US"/>
        </w:rPr>
        <w:t>щую и особенную».</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Вызывают интерес и исследования представителей узкого п</w:t>
      </w:r>
      <w:r w:rsidRPr="00EC1A78">
        <w:rPr>
          <w:rFonts w:eastAsiaTheme="minorHAnsi"/>
          <w:sz w:val="22"/>
          <w:szCs w:val="22"/>
          <w:lang w:eastAsia="en-US"/>
        </w:rPr>
        <w:t>о</w:t>
      </w:r>
      <w:r w:rsidRPr="00EC1A78">
        <w:rPr>
          <w:rFonts w:eastAsiaTheme="minorHAnsi"/>
          <w:sz w:val="22"/>
          <w:szCs w:val="22"/>
          <w:lang w:eastAsia="en-US"/>
        </w:rPr>
        <w:t>нимания системы международного права. Так, В.И. Кузнецов и И.И. Лукашук считают, что система международного права выст</w:t>
      </w:r>
      <w:r w:rsidRPr="00EC1A78">
        <w:rPr>
          <w:rFonts w:eastAsiaTheme="minorHAnsi"/>
          <w:sz w:val="22"/>
          <w:szCs w:val="22"/>
          <w:lang w:eastAsia="en-US"/>
        </w:rPr>
        <w:t>у</w:t>
      </w:r>
      <w:r w:rsidRPr="00EC1A78">
        <w:rPr>
          <w:rFonts w:eastAsiaTheme="minorHAnsi"/>
          <w:sz w:val="22"/>
          <w:szCs w:val="22"/>
          <w:lang w:eastAsia="en-US"/>
        </w:rPr>
        <w:t>пает определенной совокупностью юридических норм, которая имеет принципиальную целостность и одновременно самостоятел</w:t>
      </w:r>
      <w:r w:rsidRPr="00EC1A78">
        <w:rPr>
          <w:rFonts w:eastAsiaTheme="minorHAnsi"/>
          <w:sz w:val="22"/>
          <w:szCs w:val="22"/>
          <w:lang w:eastAsia="en-US"/>
        </w:rPr>
        <w:t>ь</w:t>
      </w:r>
      <w:r w:rsidRPr="00EC1A78">
        <w:rPr>
          <w:rFonts w:eastAsiaTheme="minorHAnsi"/>
          <w:sz w:val="22"/>
          <w:szCs w:val="22"/>
          <w:lang w:eastAsia="en-US"/>
        </w:rPr>
        <w:t>ные (в определенной степени) части (отрасли, подотрасли, инстит</w:t>
      </w:r>
      <w:r w:rsidRPr="00EC1A78">
        <w:rPr>
          <w:rFonts w:eastAsiaTheme="minorHAnsi"/>
          <w:sz w:val="22"/>
          <w:szCs w:val="22"/>
          <w:lang w:eastAsia="en-US"/>
        </w:rPr>
        <w:t>у</w:t>
      </w:r>
      <w:r w:rsidRPr="00EC1A78">
        <w:rPr>
          <w:rFonts w:eastAsiaTheme="minorHAnsi"/>
          <w:sz w:val="22"/>
          <w:szCs w:val="22"/>
          <w:lang w:eastAsia="en-US"/>
        </w:rPr>
        <w:t>ты).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С.В. Черниченко рассматривает систему международного права с точки зрения теории права, анализируя структуру норм междун</w:t>
      </w:r>
      <w:r w:rsidRPr="00EC1A78">
        <w:rPr>
          <w:rFonts w:eastAsiaTheme="minorHAnsi"/>
          <w:sz w:val="22"/>
          <w:szCs w:val="22"/>
          <w:lang w:eastAsia="en-US"/>
        </w:rPr>
        <w:t>а</w:t>
      </w:r>
      <w:r w:rsidRPr="00EC1A78">
        <w:rPr>
          <w:rFonts w:eastAsiaTheme="minorHAnsi"/>
          <w:sz w:val="22"/>
          <w:szCs w:val="22"/>
          <w:lang w:eastAsia="en-US"/>
        </w:rPr>
        <w:t>родного права.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Профессор В.А. Василенко среди основных элементов системы международного права выделял понятие международного права, международно–правовые нормы, принципы, отрасли и институты.</w:t>
      </w:r>
    </w:p>
    <w:p w:rsidR="00EE657B" w:rsidRPr="00EC1A78" w:rsidRDefault="00EC1A78" w:rsidP="002B3A7B">
      <w:pPr>
        <w:ind w:firstLine="426"/>
        <w:jc w:val="both"/>
        <w:rPr>
          <w:rFonts w:eastAsiaTheme="minorHAnsi"/>
          <w:sz w:val="22"/>
          <w:szCs w:val="22"/>
          <w:lang w:eastAsia="en-US"/>
        </w:rPr>
      </w:pPr>
      <w:r w:rsidRPr="00EC1A78">
        <w:rPr>
          <w:rFonts w:eastAsiaTheme="minorHAnsi"/>
          <w:sz w:val="22"/>
          <w:szCs w:val="22"/>
          <w:lang w:eastAsia="en-US"/>
        </w:rPr>
        <w:t>Таким образом, утверждение о том, что международное право – это система, небезосновательно. Существует ряд признаков, указ</w:t>
      </w:r>
      <w:r w:rsidRPr="00EC1A78">
        <w:rPr>
          <w:rFonts w:eastAsiaTheme="minorHAnsi"/>
          <w:sz w:val="22"/>
          <w:szCs w:val="22"/>
          <w:lang w:eastAsia="en-US"/>
        </w:rPr>
        <w:t>ы</w:t>
      </w:r>
      <w:r w:rsidRPr="00EC1A78">
        <w:rPr>
          <w:rFonts w:eastAsiaTheme="minorHAnsi"/>
          <w:sz w:val="22"/>
          <w:szCs w:val="22"/>
          <w:lang w:eastAsia="en-US"/>
        </w:rPr>
        <w:t>вающих на системность: 1) наличие элементов; 2) взаимосвяза</w:t>
      </w:r>
      <w:r w:rsidRPr="00EC1A78">
        <w:rPr>
          <w:rFonts w:eastAsiaTheme="minorHAnsi"/>
          <w:sz w:val="22"/>
          <w:szCs w:val="22"/>
          <w:lang w:eastAsia="en-US"/>
        </w:rPr>
        <w:t>н</w:t>
      </w:r>
      <w:r w:rsidRPr="00EC1A78">
        <w:rPr>
          <w:rFonts w:eastAsiaTheme="minorHAnsi"/>
          <w:sz w:val="22"/>
          <w:szCs w:val="22"/>
          <w:lang w:eastAsia="en-US"/>
        </w:rPr>
        <w:t>ность элементов системы; 3) непротиворечивость элементов сист</w:t>
      </w:r>
      <w:r w:rsidRPr="00EC1A78">
        <w:rPr>
          <w:rFonts w:eastAsiaTheme="minorHAnsi"/>
          <w:sz w:val="22"/>
          <w:szCs w:val="22"/>
          <w:lang w:eastAsia="en-US"/>
        </w:rPr>
        <w:t>е</w:t>
      </w:r>
      <w:r w:rsidRPr="00EC1A78">
        <w:rPr>
          <w:rFonts w:eastAsiaTheme="minorHAnsi"/>
          <w:sz w:val="22"/>
          <w:szCs w:val="22"/>
          <w:lang w:eastAsia="en-US"/>
        </w:rPr>
        <w:t>мы.</w:t>
      </w: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340</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Институт уполномоченного по правам ребенка: некоторые вопросы правового регулирования</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Institute of the Ombudsman for the Rights of the Child: some questions legal regulation</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Чернов Г.</w:t>
      </w:r>
      <w:r w:rsidR="00EE657B">
        <w:rPr>
          <w:rFonts w:eastAsiaTheme="minorHAnsi"/>
          <w:sz w:val="22"/>
          <w:szCs w:val="22"/>
          <w:lang w:eastAsia="en-US"/>
        </w:rPr>
        <w:t xml:space="preserve"> </w:t>
      </w:r>
      <w:r w:rsidRPr="00EC1A78">
        <w:rPr>
          <w:rFonts w:eastAsiaTheme="minorHAnsi"/>
          <w:sz w:val="22"/>
          <w:szCs w:val="22"/>
          <w:lang w:eastAsia="en-US"/>
        </w:rPr>
        <w:t>Ю.,</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Магистрант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Лепешкина О.</w:t>
      </w:r>
      <w:r w:rsidR="00EE657B">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теории и истории государства и права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Уполномоченный по правам ребенка – инст</w:t>
      </w:r>
      <w:r w:rsidRPr="00EC1A78">
        <w:rPr>
          <w:rFonts w:eastAsiaTheme="minorHAnsi"/>
          <w:sz w:val="22"/>
          <w:szCs w:val="22"/>
          <w:lang w:eastAsia="en-US"/>
        </w:rPr>
        <w:t>и</w:t>
      </w:r>
      <w:r w:rsidRPr="00EC1A78">
        <w:rPr>
          <w:rFonts w:eastAsiaTheme="minorHAnsi"/>
          <w:sz w:val="22"/>
          <w:szCs w:val="22"/>
          <w:lang w:eastAsia="en-US"/>
        </w:rPr>
        <w:t>тут, появившийся сравнительно недавно, но уже зарекомендова</w:t>
      </w:r>
      <w:r w:rsidRPr="00EC1A78">
        <w:rPr>
          <w:rFonts w:eastAsiaTheme="minorHAnsi"/>
          <w:sz w:val="22"/>
          <w:szCs w:val="22"/>
          <w:lang w:eastAsia="en-US"/>
        </w:rPr>
        <w:t>в</w:t>
      </w:r>
      <w:r w:rsidRPr="00EC1A78">
        <w:rPr>
          <w:rFonts w:eastAsiaTheme="minorHAnsi"/>
          <w:sz w:val="22"/>
          <w:szCs w:val="22"/>
          <w:lang w:eastAsia="en-US"/>
        </w:rPr>
        <w:t>ший себя как эффективный механизм защиты прав детей. Однако есть проблемы в деятельности детских омбудсменов в России.  И</w:t>
      </w:r>
      <w:r w:rsidRPr="00EC1A78">
        <w:rPr>
          <w:rFonts w:eastAsiaTheme="minorHAnsi"/>
          <w:sz w:val="22"/>
          <w:szCs w:val="22"/>
          <w:lang w:eastAsia="en-US"/>
        </w:rPr>
        <w:t>с</w:t>
      </w:r>
      <w:r w:rsidRPr="00EC1A78">
        <w:rPr>
          <w:rFonts w:eastAsiaTheme="minorHAnsi"/>
          <w:sz w:val="22"/>
          <w:szCs w:val="22"/>
          <w:lang w:eastAsia="en-US"/>
        </w:rPr>
        <w:t>следованию таких проблем посвящена данная работа.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The Ombudsman for the rights of the child is an inst</w:t>
      </w:r>
      <w:r w:rsidRPr="00EC1A78">
        <w:rPr>
          <w:rFonts w:eastAsiaTheme="minorHAnsi"/>
          <w:sz w:val="22"/>
          <w:szCs w:val="22"/>
          <w:lang w:val="en-US" w:eastAsia="en-US"/>
        </w:rPr>
        <w:t>i</w:t>
      </w:r>
      <w:r w:rsidRPr="00EC1A78">
        <w:rPr>
          <w:rFonts w:eastAsiaTheme="minorHAnsi"/>
          <w:sz w:val="22"/>
          <w:szCs w:val="22"/>
          <w:lang w:val="en-US" w:eastAsia="en-US"/>
        </w:rPr>
        <w:t>tution that has emerged relatively recently but has already proven to be an effective mechanism for the protection of children's rights. However, there are problems in the activities of children's ombudsmen in Russia.  This work is devoted to the study of such problems.</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уполномоченные по правам ребенка, детский омбудсмен, семейное право.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authorized on the rights of the child, the children's Ombudsman, the family law.</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Институт уполномоченного по правам ребенка в мировой пра</w:t>
      </w:r>
      <w:r w:rsidRPr="00EC1A78">
        <w:rPr>
          <w:rFonts w:eastAsiaTheme="minorHAnsi"/>
          <w:sz w:val="22"/>
          <w:szCs w:val="22"/>
          <w:lang w:eastAsia="en-US"/>
        </w:rPr>
        <w:t>к</w:t>
      </w:r>
      <w:r w:rsidR="00EE657B">
        <w:rPr>
          <w:rFonts w:eastAsiaTheme="minorHAnsi"/>
          <w:sz w:val="22"/>
          <w:szCs w:val="22"/>
          <w:lang w:eastAsia="en-US"/>
        </w:rPr>
        <w:t>тике возник</w:t>
      </w:r>
      <w:r w:rsidRPr="00EC1A78">
        <w:rPr>
          <w:rFonts w:eastAsiaTheme="minorHAnsi"/>
          <w:sz w:val="22"/>
          <w:szCs w:val="22"/>
          <w:lang w:eastAsia="en-US"/>
        </w:rPr>
        <w:t xml:space="preserve"> в 70–80 годы 20 века. Сразу после распада Советского Союза руководство Российской Федерации дало старт внутренним преобразованием с оглядкой на международные нормы права. Т</w:t>
      </w:r>
      <w:r w:rsidRPr="00EC1A78">
        <w:rPr>
          <w:rFonts w:eastAsiaTheme="minorHAnsi"/>
          <w:sz w:val="22"/>
          <w:szCs w:val="22"/>
          <w:lang w:eastAsia="en-US"/>
        </w:rPr>
        <w:t>а</w:t>
      </w:r>
      <w:r w:rsidRPr="00EC1A78">
        <w:rPr>
          <w:rFonts w:eastAsiaTheme="minorHAnsi"/>
          <w:sz w:val="22"/>
          <w:szCs w:val="22"/>
          <w:lang w:eastAsia="en-US"/>
        </w:rPr>
        <w:t>ким образом, после принятия Конституции 1993 года и присоед</w:t>
      </w:r>
      <w:r w:rsidRPr="00EC1A78">
        <w:rPr>
          <w:rFonts w:eastAsiaTheme="minorHAnsi"/>
          <w:sz w:val="22"/>
          <w:szCs w:val="22"/>
          <w:lang w:eastAsia="en-US"/>
        </w:rPr>
        <w:t>и</w:t>
      </w:r>
      <w:r w:rsidRPr="00EC1A78">
        <w:rPr>
          <w:rFonts w:eastAsiaTheme="minorHAnsi"/>
          <w:sz w:val="22"/>
          <w:szCs w:val="22"/>
          <w:lang w:eastAsia="en-US"/>
        </w:rPr>
        <w:t>нения к конвенции о правах ребенка [3] институт уполномоченного по правам человека стартовал как пилотный проект в нескольких субъектах Российской Федерации.[7] Признав положительным п</w:t>
      </w:r>
      <w:r w:rsidRPr="00EC1A78">
        <w:rPr>
          <w:rFonts w:eastAsiaTheme="minorHAnsi"/>
          <w:sz w:val="22"/>
          <w:szCs w:val="22"/>
          <w:lang w:eastAsia="en-US"/>
        </w:rPr>
        <w:t>о</w:t>
      </w:r>
      <w:r w:rsidRPr="00EC1A78">
        <w:rPr>
          <w:rFonts w:eastAsiaTheme="minorHAnsi"/>
          <w:sz w:val="22"/>
          <w:szCs w:val="22"/>
          <w:lang w:eastAsia="en-US"/>
        </w:rPr>
        <w:lastRenderedPageBreak/>
        <w:t>лученный опыт данный институт стал учреждаться повсеместно во всех субъектах РФ, а также при муниципальных образованиях. Пе</w:t>
      </w:r>
      <w:r w:rsidRPr="00EC1A78">
        <w:rPr>
          <w:rFonts w:eastAsiaTheme="minorHAnsi"/>
          <w:sz w:val="22"/>
          <w:szCs w:val="22"/>
          <w:lang w:eastAsia="en-US"/>
        </w:rPr>
        <w:t>р</w:t>
      </w:r>
      <w:r w:rsidRPr="00EC1A78">
        <w:rPr>
          <w:rFonts w:eastAsiaTheme="minorHAnsi"/>
          <w:sz w:val="22"/>
          <w:szCs w:val="22"/>
          <w:lang w:eastAsia="en-US"/>
        </w:rPr>
        <w:t>вые детские омбудсмены появились в 1998 году при поддержке Детского фонда ООН ЮНИСЕФ в РФ и Минсоцразвития РФ в  К</w:t>
      </w:r>
      <w:r w:rsidRPr="00EC1A78">
        <w:rPr>
          <w:rFonts w:eastAsiaTheme="minorHAnsi"/>
          <w:sz w:val="22"/>
          <w:szCs w:val="22"/>
          <w:lang w:eastAsia="en-US"/>
        </w:rPr>
        <w:t>а</w:t>
      </w:r>
      <w:r w:rsidRPr="00EC1A78">
        <w:rPr>
          <w:rFonts w:eastAsiaTheme="minorHAnsi"/>
          <w:sz w:val="22"/>
          <w:szCs w:val="22"/>
          <w:lang w:eastAsia="en-US"/>
        </w:rPr>
        <w:t>лужской, Волгоградской, Новгородской областях, в городах Санкт–Петербург и Екатеринбург.[8] В 2009 г. был учрежден институт уполномоченного при президенте Российской Федерации по правам ребенка. На сегодняшний момент институт уполномоченного по правам ребенка существует во всех субъектах Российской Федер</w:t>
      </w:r>
      <w:r w:rsidRPr="00EC1A78">
        <w:rPr>
          <w:rFonts w:eastAsiaTheme="minorHAnsi"/>
          <w:sz w:val="22"/>
          <w:szCs w:val="22"/>
          <w:lang w:eastAsia="en-US"/>
        </w:rPr>
        <w:t>а</w:t>
      </w:r>
      <w:r w:rsidRPr="00EC1A78">
        <w:rPr>
          <w:rFonts w:eastAsiaTheme="minorHAnsi"/>
          <w:sz w:val="22"/>
          <w:szCs w:val="22"/>
          <w:lang w:eastAsia="en-US"/>
        </w:rPr>
        <w:t xml:space="preserve">ции.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Следует отметить, что сфера детства находится под пристал</w:t>
      </w:r>
      <w:r w:rsidRPr="00EC1A78">
        <w:rPr>
          <w:rFonts w:eastAsiaTheme="minorHAnsi"/>
          <w:sz w:val="22"/>
          <w:szCs w:val="22"/>
          <w:lang w:eastAsia="en-US"/>
        </w:rPr>
        <w:t>ь</w:t>
      </w:r>
      <w:r w:rsidRPr="00EC1A78">
        <w:rPr>
          <w:rFonts w:eastAsiaTheme="minorHAnsi"/>
          <w:sz w:val="22"/>
          <w:szCs w:val="22"/>
          <w:lang w:eastAsia="en-US"/>
        </w:rPr>
        <w:t>ным вниманием государства и общества. Поэтому государство не только создает свои собственные институты защиты прав детей, но и взаимодействует с представителями различных общественных и религиозных организаций.[1][6] В частности между Россией и РПЦ заключен договор о возможности создания приютов для детей с</w:t>
      </w:r>
      <w:r w:rsidRPr="00EC1A78">
        <w:rPr>
          <w:rFonts w:eastAsiaTheme="minorHAnsi"/>
          <w:sz w:val="22"/>
          <w:szCs w:val="22"/>
          <w:lang w:eastAsia="en-US"/>
        </w:rPr>
        <w:t>и</w:t>
      </w:r>
      <w:r w:rsidRPr="00EC1A78">
        <w:rPr>
          <w:rFonts w:eastAsiaTheme="minorHAnsi"/>
          <w:sz w:val="22"/>
          <w:szCs w:val="22"/>
          <w:lang w:eastAsia="en-US"/>
        </w:rPr>
        <w:t>рот.[4] Назначение нового детского омбудсмена Анны Кузнецовой не осталось не замеченным в РПЦ, которая одобрила это назнач</w:t>
      </w:r>
      <w:r w:rsidRPr="00EC1A78">
        <w:rPr>
          <w:rFonts w:eastAsiaTheme="minorHAnsi"/>
          <w:sz w:val="22"/>
          <w:szCs w:val="22"/>
          <w:lang w:eastAsia="en-US"/>
        </w:rPr>
        <w:t>е</w:t>
      </w:r>
      <w:r w:rsidRPr="00EC1A78">
        <w:rPr>
          <w:rFonts w:eastAsiaTheme="minorHAnsi"/>
          <w:sz w:val="22"/>
          <w:szCs w:val="22"/>
          <w:lang w:eastAsia="en-US"/>
        </w:rPr>
        <w:t>ние и выразила намерение сотрудничать с уполномоченным по пр</w:t>
      </w:r>
      <w:r w:rsidRPr="00EC1A78">
        <w:rPr>
          <w:rFonts w:eastAsiaTheme="minorHAnsi"/>
          <w:sz w:val="22"/>
          <w:szCs w:val="22"/>
          <w:lang w:eastAsia="en-US"/>
        </w:rPr>
        <w:t>а</w:t>
      </w:r>
      <w:r w:rsidRPr="00EC1A78">
        <w:rPr>
          <w:rFonts w:eastAsiaTheme="minorHAnsi"/>
          <w:sz w:val="22"/>
          <w:szCs w:val="22"/>
          <w:lang w:eastAsia="en-US"/>
        </w:rPr>
        <w:t>вам ребенка при Президенте РФ на благо детей.[5]</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Еще одна проблема, для решения которой привлекаются упо</w:t>
      </w:r>
      <w:r w:rsidRPr="00EC1A78">
        <w:rPr>
          <w:rFonts w:eastAsiaTheme="minorHAnsi"/>
          <w:sz w:val="22"/>
          <w:szCs w:val="22"/>
          <w:lang w:eastAsia="en-US"/>
        </w:rPr>
        <w:t>л</w:t>
      </w:r>
      <w:r w:rsidRPr="00EC1A78">
        <w:rPr>
          <w:rFonts w:eastAsiaTheme="minorHAnsi"/>
          <w:sz w:val="22"/>
          <w:szCs w:val="22"/>
          <w:lang w:eastAsia="en-US"/>
        </w:rPr>
        <w:t>номоченные по правам ребенка – это создание на территории РФ институтов ювенальной юстиции, которые в свою очередь руково</w:t>
      </w:r>
      <w:r w:rsidRPr="00EC1A78">
        <w:rPr>
          <w:rFonts w:eastAsiaTheme="minorHAnsi"/>
          <w:sz w:val="22"/>
          <w:szCs w:val="22"/>
          <w:lang w:eastAsia="en-US"/>
        </w:rPr>
        <w:t>д</w:t>
      </w:r>
      <w:r w:rsidRPr="00EC1A78">
        <w:rPr>
          <w:rFonts w:eastAsiaTheme="minorHAnsi"/>
          <w:sz w:val="22"/>
          <w:szCs w:val="22"/>
          <w:lang w:eastAsia="en-US"/>
        </w:rPr>
        <w:t>ствуюсь формальными признаками порой нарушают права детей.[2]</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Однако самой острой проблемой института уполномоченного по правам ребенка в Российской Федерации является отсутствие широких полномочий у «главного» детского омбудсмена в стране, отсутствие единой структуры по управлению и взаимодействию между федеральными и региональными подразделениями, а также отсутствие признания отечественного института по правам ребенка на международном уровне. Дело в том, что международные ста</w:t>
      </w:r>
      <w:r w:rsidRPr="00EC1A78">
        <w:rPr>
          <w:rFonts w:eastAsiaTheme="minorHAnsi"/>
          <w:sz w:val="22"/>
          <w:szCs w:val="22"/>
          <w:lang w:eastAsia="en-US"/>
        </w:rPr>
        <w:t>н</w:t>
      </w:r>
      <w:r w:rsidRPr="00EC1A78">
        <w:rPr>
          <w:rFonts w:eastAsiaTheme="minorHAnsi"/>
          <w:sz w:val="22"/>
          <w:szCs w:val="22"/>
          <w:lang w:eastAsia="en-US"/>
        </w:rPr>
        <w:t>дарты предписывают статус детского омбудсмена не в составе структуры исполнительной власти как у нас, а некоего отстраненн</w:t>
      </w:r>
      <w:r w:rsidRPr="00EC1A78">
        <w:rPr>
          <w:rFonts w:eastAsiaTheme="minorHAnsi"/>
          <w:sz w:val="22"/>
          <w:szCs w:val="22"/>
          <w:lang w:eastAsia="en-US"/>
        </w:rPr>
        <w:t>о</w:t>
      </w:r>
      <w:r w:rsidRPr="00EC1A78">
        <w:rPr>
          <w:rFonts w:eastAsiaTheme="minorHAnsi"/>
          <w:sz w:val="22"/>
          <w:szCs w:val="22"/>
          <w:lang w:eastAsia="en-US"/>
        </w:rPr>
        <w:t>го наблюдателя с функциями парламентского контроля.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Напрямую с предыдущей проблемой связано то, что деятел</w:t>
      </w:r>
      <w:r w:rsidRPr="00EC1A78">
        <w:rPr>
          <w:rFonts w:eastAsiaTheme="minorHAnsi"/>
          <w:sz w:val="22"/>
          <w:szCs w:val="22"/>
          <w:lang w:eastAsia="en-US"/>
        </w:rPr>
        <w:t>ь</w:t>
      </w:r>
      <w:r w:rsidRPr="00EC1A78">
        <w:rPr>
          <w:rFonts w:eastAsiaTheme="minorHAnsi"/>
          <w:sz w:val="22"/>
          <w:szCs w:val="22"/>
          <w:lang w:eastAsia="en-US"/>
        </w:rPr>
        <w:t>ность уполномоченного по правам ребенка в Российской Федерации регламентируется указом Президента, в то время как принятие ед</w:t>
      </w:r>
      <w:r w:rsidRPr="00EC1A78">
        <w:rPr>
          <w:rFonts w:eastAsiaTheme="minorHAnsi"/>
          <w:sz w:val="22"/>
          <w:szCs w:val="22"/>
          <w:lang w:eastAsia="en-US"/>
        </w:rPr>
        <w:t>и</w:t>
      </w:r>
      <w:r w:rsidRPr="00EC1A78">
        <w:rPr>
          <w:rFonts w:eastAsiaTheme="minorHAnsi"/>
          <w:sz w:val="22"/>
          <w:szCs w:val="22"/>
          <w:lang w:eastAsia="en-US"/>
        </w:rPr>
        <w:t>ного федерального закона способствовало бы объединению фед</w:t>
      </w:r>
      <w:r w:rsidRPr="00EC1A78">
        <w:rPr>
          <w:rFonts w:eastAsiaTheme="minorHAnsi"/>
          <w:sz w:val="22"/>
          <w:szCs w:val="22"/>
          <w:lang w:eastAsia="en-US"/>
        </w:rPr>
        <w:t>е</w:t>
      </w:r>
      <w:r w:rsidRPr="00EC1A78">
        <w:rPr>
          <w:rFonts w:eastAsiaTheme="minorHAnsi"/>
          <w:sz w:val="22"/>
          <w:szCs w:val="22"/>
          <w:lang w:eastAsia="en-US"/>
        </w:rPr>
        <w:lastRenderedPageBreak/>
        <w:t>ральных и региональных институтов защитников прав детей в один единый институт с четкой структурой. Также приятие Федеральн</w:t>
      </w:r>
      <w:r w:rsidRPr="00EC1A78">
        <w:rPr>
          <w:rFonts w:eastAsiaTheme="minorHAnsi"/>
          <w:sz w:val="22"/>
          <w:szCs w:val="22"/>
          <w:lang w:eastAsia="en-US"/>
        </w:rPr>
        <w:t>о</w:t>
      </w:r>
      <w:r w:rsidRPr="00EC1A78">
        <w:rPr>
          <w:rFonts w:eastAsiaTheme="minorHAnsi"/>
          <w:sz w:val="22"/>
          <w:szCs w:val="22"/>
          <w:lang w:eastAsia="en-US"/>
        </w:rPr>
        <w:t>го закона могло бы послужить расширению возможностей уполн</w:t>
      </w:r>
      <w:r w:rsidRPr="00EC1A78">
        <w:rPr>
          <w:rFonts w:eastAsiaTheme="minorHAnsi"/>
          <w:sz w:val="22"/>
          <w:szCs w:val="22"/>
          <w:lang w:eastAsia="en-US"/>
        </w:rPr>
        <w:t>о</w:t>
      </w:r>
      <w:r w:rsidRPr="00EC1A78">
        <w:rPr>
          <w:rFonts w:eastAsiaTheme="minorHAnsi"/>
          <w:sz w:val="22"/>
          <w:szCs w:val="22"/>
          <w:lang w:eastAsia="en-US"/>
        </w:rPr>
        <w:t>моченного по правам ребенка, поскольку на данный момент его главная функция – быть медийной персоной и организация пров</w:t>
      </w:r>
      <w:r w:rsidRPr="00EC1A78">
        <w:rPr>
          <w:rFonts w:eastAsiaTheme="minorHAnsi"/>
          <w:sz w:val="22"/>
          <w:szCs w:val="22"/>
          <w:lang w:eastAsia="en-US"/>
        </w:rPr>
        <w:t>е</w:t>
      </w:r>
      <w:r w:rsidRPr="00EC1A78">
        <w:rPr>
          <w:rFonts w:eastAsiaTheme="minorHAnsi"/>
          <w:sz w:val="22"/>
          <w:szCs w:val="22"/>
          <w:lang w:eastAsia="en-US"/>
        </w:rPr>
        <w:t>рок по поручению Президента РФ и по жалобам граждан России.</w:t>
      </w:r>
    </w:p>
    <w:p w:rsidR="00EC1A78" w:rsidRPr="00EC1A78" w:rsidRDefault="00EC1A78" w:rsidP="00EC1A78">
      <w:pPr>
        <w:jc w:val="cente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Бутько Л.В., Лепешкина О.В. Некоторые перспективы о</w:t>
      </w:r>
      <w:r w:rsidRPr="00EC1A78">
        <w:rPr>
          <w:rFonts w:eastAsiaTheme="minorHAnsi"/>
          <w:sz w:val="22"/>
          <w:szCs w:val="22"/>
          <w:lang w:eastAsia="en-US"/>
        </w:rPr>
        <w:t>б</w:t>
      </w:r>
      <w:r w:rsidRPr="00EC1A78">
        <w:rPr>
          <w:rFonts w:eastAsiaTheme="minorHAnsi"/>
          <w:sz w:val="22"/>
          <w:szCs w:val="22"/>
          <w:lang w:eastAsia="en-US"/>
        </w:rPr>
        <w:t>новления содержания и правового регулирования социальной пол</w:t>
      </w:r>
      <w:r w:rsidRPr="00EC1A78">
        <w:rPr>
          <w:rFonts w:eastAsiaTheme="minorHAnsi"/>
          <w:sz w:val="22"/>
          <w:szCs w:val="22"/>
          <w:lang w:eastAsia="en-US"/>
        </w:rPr>
        <w:t>и</w:t>
      </w:r>
      <w:r w:rsidRPr="00EC1A78">
        <w:rPr>
          <w:rFonts w:eastAsiaTheme="minorHAnsi"/>
          <w:sz w:val="22"/>
          <w:szCs w:val="22"/>
          <w:lang w:eastAsia="en-US"/>
        </w:rPr>
        <w:t>тики государства в контексте взаимоотношений с РПЦ //В сборн</w:t>
      </w:r>
      <w:r w:rsidRPr="00EC1A78">
        <w:rPr>
          <w:rFonts w:eastAsiaTheme="minorHAnsi"/>
          <w:sz w:val="22"/>
          <w:szCs w:val="22"/>
          <w:lang w:eastAsia="en-US"/>
        </w:rPr>
        <w:t>и</w:t>
      </w:r>
      <w:r w:rsidRPr="00EC1A78">
        <w:rPr>
          <w:rFonts w:eastAsiaTheme="minorHAnsi"/>
          <w:sz w:val="22"/>
          <w:szCs w:val="22"/>
          <w:lang w:eastAsia="en-US"/>
        </w:rPr>
        <w:t>ке: Конституция Российской Федерации и эволюция принципов с</w:t>
      </w:r>
      <w:r w:rsidRPr="00EC1A78">
        <w:rPr>
          <w:rFonts w:eastAsiaTheme="minorHAnsi"/>
          <w:sz w:val="22"/>
          <w:szCs w:val="22"/>
          <w:lang w:eastAsia="en-US"/>
        </w:rPr>
        <w:t>о</w:t>
      </w:r>
      <w:r w:rsidRPr="00EC1A78">
        <w:rPr>
          <w:rFonts w:eastAsiaTheme="minorHAnsi"/>
          <w:sz w:val="22"/>
          <w:szCs w:val="22"/>
          <w:lang w:eastAsia="en-US"/>
        </w:rPr>
        <w:t>циальной политики государства Материалы Всероссийской научно–практической конференции. 2016. С. 45–55.</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2. Лепешкина О.В. К вопросу о противоречиях в оценках зн</w:t>
      </w:r>
      <w:r w:rsidRPr="00EC1A78">
        <w:rPr>
          <w:rFonts w:eastAsiaTheme="minorHAnsi"/>
          <w:sz w:val="22"/>
          <w:szCs w:val="22"/>
          <w:lang w:eastAsia="en-US"/>
        </w:rPr>
        <w:t>а</w:t>
      </w:r>
      <w:r w:rsidRPr="00EC1A78">
        <w:rPr>
          <w:rFonts w:eastAsiaTheme="minorHAnsi"/>
          <w:sz w:val="22"/>
          <w:szCs w:val="22"/>
          <w:lang w:eastAsia="en-US"/>
        </w:rPr>
        <w:t>чения и определения ювенальной юстиции// Общество и право. 2010. № 2. С. 258–263.</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3. Лепешкина О.В. Международно–правовой компонент в с</w:t>
      </w:r>
      <w:r w:rsidRPr="00EC1A78">
        <w:rPr>
          <w:rFonts w:eastAsiaTheme="minorHAnsi"/>
          <w:sz w:val="22"/>
          <w:szCs w:val="22"/>
          <w:lang w:eastAsia="en-US"/>
        </w:rPr>
        <w:t>и</w:t>
      </w:r>
      <w:r w:rsidRPr="00EC1A78">
        <w:rPr>
          <w:rFonts w:eastAsiaTheme="minorHAnsi"/>
          <w:sz w:val="22"/>
          <w:szCs w:val="22"/>
          <w:lang w:eastAsia="en-US"/>
        </w:rPr>
        <w:t>стеме российского права: проблемы доктринирования// Очерки н</w:t>
      </w:r>
      <w:r w:rsidRPr="00EC1A78">
        <w:rPr>
          <w:rFonts w:eastAsiaTheme="minorHAnsi"/>
          <w:sz w:val="22"/>
          <w:szCs w:val="22"/>
          <w:lang w:eastAsia="en-US"/>
        </w:rPr>
        <w:t>о</w:t>
      </w:r>
      <w:r w:rsidRPr="00EC1A78">
        <w:rPr>
          <w:rFonts w:eastAsiaTheme="minorHAnsi"/>
          <w:sz w:val="22"/>
          <w:szCs w:val="22"/>
          <w:lang w:eastAsia="en-US"/>
        </w:rPr>
        <w:t>вейшей камералистики. 2016. № 2. С. 66–69.</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4. Лепешкина О.В. Некоторые аспекты изменения взаимоотн</w:t>
      </w:r>
      <w:r w:rsidRPr="00EC1A78">
        <w:rPr>
          <w:rFonts w:eastAsiaTheme="minorHAnsi"/>
          <w:sz w:val="22"/>
          <w:szCs w:val="22"/>
          <w:lang w:eastAsia="en-US"/>
        </w:rPr>
        <w:t>о</w:t>
      </w:r>
      <w:r w:rsidRPr="00EC1A78">
        <w:rPr>
          <w:rFonts w:eastAsiaTheme="minorHAnsi"/>
          <w:sz w:val="22"/>
          <w:szCs w:val="22"/>
          <w:lang w:eastAsia="en-US"/>
        </w:rPr>
        <w:t>шений государства и РПЦ в ходе конституционных преобразований в России// Очерки новейшей камералистики. 2015. № 4. С. 39–42.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5. Лепешкина О.В. Правовые основы деятельности приютов РПЦ (церковных приютов) для детей–сирот и детей, оставшихся без попечения родителей // В сборнике: Правовое и экономическое пр</w:t>
      </w:r>
      <w:r w:rsidRPr="00EC1A78">
        <w:rPr>
          <w:rFonts w:eastAsiaTheme="minorHAnsi"/>
          <w:sz w:val="22"/>
          <w:szCs w:val="22"/>
          <w:lang w:eastAsia="en-US"/>
        </w:rPr>
        <w:t>о</w:t>
      </w:r>
      <w:r w:rsidRPr="00EC1A78">
        <w:rPr>
          <w:rFonts w:eastAsiaTheme="minorHAnsi"/>
          <w:sz w:val="22"/>
          <w:szCs w:val="22"/>
          <w:lang w:eastAsia="en-US"/>
        </w:rPr>
        <w:t>странство государства: проблемы теории, истории и практики: М</w:t>
      </w:r>
      <w:r w:rsidRPr="00EC1A78">
        <w:rPr>
          <w:rFonts w:eastAsiaTheme="minorHAnsi"/>
          <w:sz w:val="22"/>
          <w:szCs w:val="22"/>
          <w:lang w:eastAsia="en-US"/>
        </w:rPr>
        <w:t>а</w:t>
      </w:r>
      <w:r w:rsidRPr="00EC1A78">
        <w:rPr>
          <w:rFonts w:eastAsiaTheme="minorHAnsi"/>
          <w:sz w:val="22"/>
          <w:szCs w:val="22"/>
          <w:lang w:eastAsia="en-US"/>
        </w:rPr>
        <w:t>териалы Всероссийской (с международным участием) научно–практической конференции. Филиал Кубанского государственного университета в г. Славянске–на–Кубани. 2016. С. 117–120.</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6. Лепешкина О.В. Роль Русской Православной Церкви в ст</w:t>
      </w:r>
      <w:r w:rsidRPr="00EC1A78">
        <w:rPr>
          <w:rFonts w:eastAsiaTheme="minorHAnsi"/>
          <w:sz w:val="22"/>
          <w:szCs w:val="22"/>
          <w:lang w:eastAsia="en-US"/>
        </w:rPr>
        <w:t>а</w:t>
      </w:r>
      <w:r w:rsidRPr="00EC1A78">
        <w:rPr>
          <w:rFonts w:eastAsiaTheme="minorHAnsi"/>
          <w:sz w:val="22"/>
          <w:szCs w:val="22"/>
          <w:lang w:eastAsia="en-US"/>
        </w:rPr>
        <w:t>билизации семейных правоотношений // В сборнике: Право и гос</w:t>
      </w:r>
      <w:r w:rsidRPr="00EC1A78">
        <w:rPr>
          <w:rFonts w:eastAsiaTheme="minorHAnsi"/>
          <w:sz w:val="22"/>
          <w:szCs w:val="22"/>
          <w:lang w:eastAsia="en-US"/>
        </w:rPr>
        <w:t>у</w:t>
      </w:r>
      <w:r w:rsidRPr="00EC1A78">
        <w:rPr>
          <w:rFonts w:eastAsiaTheme="minorHAnsi"/>
          <w:sz w:val="22"/>
          <w:szCs w:val="22"/>
          <w:lang w:eastAsia="en-US"/>
        </w:rPr>
        <w:t>дарство: проблемы методологии, теории и истории материалы V Всероссийской научно–практической конференции. 2016. С. 165–169.</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7. Основы права/ Гущина Л.И., Ембулаева Н.Ю., Епифанова Е.В., Лепешкина В., Михайлик А.А., Недилько Ю.В., Павлисова Т.Е. Краснодар, 2015.</w:t>
      </w:r>
    </w:p>
    <w:p w:rsidR="00EC1A78" w:rsidRPr="00EC1A78" w:rsidRDefault="00EC1A78" w:rsidP="00EC1A78">
      <w:pPr>
        <w:ind w:firstLine="426"/>
        <w:jc w:val="both"/>
        <w:rPr>
          <w:sz w:val="22"/>
          <w:szCs w:val="22"/>
        </w:rPr>
      </w:pPr>
      <w:r w:rsidRPr="00EC1A78">
        <w:rPr>
          <w:sz w:val="22"/>
          <w:szCs w:val="22"/>
        </w:rPr>
        <w:lastRenderedPageBreak/>
        <w:t>8. Правоведение (право, основы права) / Гущина Л.И., Ембул</w:t>
      </w:r>
      <w:r w:rsidRPr="00EC1A78">
        <w:rPr>
          <w:sz w:val="22"/>
          <w:szCs w:val="22"/>
        </w:rPr>
        <w:t>а</w:t>
      </w:r>
      <w:r w:rsidRPr="00EC1A78">
        <w:rPr>
          <w:sz w:val="22"/>
          <w:szCs w:val="22"/>
        </w:rPr>
        <w:t>ева Н.Ю., Епифанова Е.В., Лепешкина О.В., Михайлик А.А., Н</w:t>
      </w:r>
      <w:r w:rsidRPr="00EC1A78">
        <w:rPr>
          <w:sz w:val="22"/>
          <w:szCs w:val="22"/>
        </w:rPr>
        <w:t>е</w:t>
      </w:r>
      <w:r w:rsidRPr="00EC1A78">
        <w:rPr>
          <w:sz w:val="22"/>
          <w:szCs w:val="22"/>
        </w:rPr>
        <w:t>дилько Ю.В., Павлисова Т.Е. учебное пособие / Краснодар, 2015.</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Pr="00EC1A78" w:rsidRDefault="00EE657B" w:rsidP="00EC1A78">
      <w:pPr>
        <w:jc w:val="both"/>
        <w:rPr>
          <w:rFonts w:eastAsiaTheme="minorHAnsi"/>
          <w:sz w:val="22"/>
          <w:szCs w:val="22"/>
          <w:lang w:eastAsia="en-US"/>
        </w:rPr>
      </w:pPr>
    </w:p>
    <w:p w:rsidR="00EC1A78" w:rsidRPr="00EE657B" w:rsidRDefault="00EC1A78" w:rsidP="00EC1A78">
      <w:pPr>
        <w:widowControl w:val="0"/>
        <w:tabs>
          <w:tab w:val="left" w:pos="8223"/>
        </w:tabs>
        <w:rPr>
          <w:rFonts w:eastAsia="Courier New"/>
          <w:color w:val="000000"/>
          <w:sz w:val="22"/>
          <w:szCs w:val="22"/>
          <w:lang w:eastAsia="en-US"/>
        </w:rPr>
      </w:pPr>
      <w:r w:rsidRPr="00EE657B">
        <w:rPr>
          <w:rFonts w:eastAsia="Courier New"/>
          <w:color w:val="000000"/>
          <w:sz w:val="22"/>
          <w:szCs w:val="22"/>
          <w:lang w:eastAsia="en-US"/>
        </w:rPr>
        <w:t>УДК 347.44</w:t>
      </w:r>
    </w:p>
    <w:p w:rsidR="00EC1A78" w:rsidRPr="00EC1A78" w:rsidRDefault="00EC1A78" w:rsidP="00EC1A78">
      <w:pPr>
        <w:widowControl w:val="0"/>
        <w:tabs>
          <w:tab w:val="left" w:pos="8223"/>
        </w:tabs>
        <w:ind w:firstLine="426"/>
        <w:rPr>
          <w:rFonts w:eastAsia="Courier New"/>
          <w:color w:val="000000"/>
          <w:sz w:val="24"/>
          <w:szCs w:val="22"/>
          <w:lang w:eastAsia="en-US"/>
        </w:rPr>
      </w:pPr>
    </w:p>
    <w:p w:rsidR="00EC1A78" w:rsidRPr="00EC1A78" w:rsidRDefault="00EC1A78" w:rsidP="00EC1A78">
      <w:pPr>
        <w:widowControl w:val="0"/>
        <w:tabs>
          <w:tab w:val="left" w:pos="8223"/>
        </w:tabs>
        <w:jc w:val="center"/>
        <w:rPr>
          <w:rFonts w:eastAsia="Courier New"/>
          <w:b/>
          <w:color w:val="000000"/>
          <w:sz w:val="24"/>
          <w:szCs w:val="22"/>
          <w:lang w:eastAsia="en-US"/>
        </w:rPr>
      </w:pPr>
      <w:r w:rsidRPr="00EC1A78">
        <w:rPr>
          <w:rFonts w:eastAsia="Courier New"/>
          <w:b/>
          <w:color w:val="000000"/>
          <w:sz w:val="24"/>
          <w:szCs w:val="22"/>
          <w:lang w:eastAsia="en-US"/>
        </w:rPr>
        <w:t xml:space="preserve">Структура договорных связей по поставке товаров </w:t>
      </w:r>
      <w:r w:rsidR="00EE657B">
        <w:rPr>
          <w:rFonts w:eastAsia="Courier New"/>
          <w:b/>
          <w:color w:val="000000"/>
          <w:sz w:val="24"/>
          <w:szCs w:val="22"/>
          <w:lang w:eastAsia="en-US"/>
        </w:rPr>
        <w:br/>
      </w:r>
      <w:r w:rsidRPr="00EC1A78">
        <w:rPr>
          <w:rFonts w:eastAsia="Courier New"/>
          <w:b/>
          <w:color w:val="000000"/>
          <w:sz w:val="24"/>
          <w:szCs w:val="22"/>
          <w:lang w:eastAsia="en-US"/>
        </w:rPr>
        <w:t>для государственных и муниципальных нужд</w:t>
      </w:r>
    </w:p>
    <w:p w:rsidR="00EC1A78" w:rsidRPr="00EC1A78" w:rsidRDefault="00EC1A78" w:rsidP="00EC1A78">
      <w:pPr>
        <w:widowControl w:val="0"/>
        <w:tabs>
          <w:tab w:val="left" w:pos="8223"/>
        </w:tabs>
        <w:jc w:val="center"/>
        <w:rPr>
          <w:rFonts w:eastAsia="Courier New"/>
          <w:b/>
          <w:color w:val="000000"/>
          <w:sz w:val="24"/>
          <w:szCs w:val="22"/>
          <w:lang w:val="en-US" w:eastAsia="en-US"/>
        </w:rPr>
      </w:pPr>
      <w:r w:rsidRPr="00EC1A78">
        <w:rPr>
          <w:rFonts w:eastAsia="Courier New"/>
          <w:b/>
          <w:color w:val="000000"/>
          <w:sz w:val="24"/>
          <w:szCs w:val="22"/>
          <w:lang w:val="en-US" w:eastAsia="en-US"/>
        </w:rPr>
        <w:t>Structure of contractual relations for the supply of goods for state and municipal needs</w:t>
      </w:r>
    </w:p>
    <w:p w:rsidR="00EC1A78" w:rsidRPr="00EC1A78" w:rsidRDefault="00EC1A78" w:rsidP="00EC1A78">
      <w:pPr>
        <w:widowControl w:val="0"/>
        <w:tabs>
          <w:tab w:val="left" w:pos="8223"/>
        </w:tabs>
        <w:ind w:firstLine="426"/>
        <w:jc w:val="center"/>
        <w:rPr>
          <w:rFonts w:eastAsia="Courier New"/>
          <w:b/>
          <w:color w:val="000000"/>
          <w:sz w:val="24"/>
          <w:szCs w:val="22"/>
          <w:lang w:val="en-US" w:eastAsia="en-US"/>
        </w:rPr>
      </w:pP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Чернышева С. А.,</w:t>
      </w: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студентка 4–го курса юридического факультета</w:t>
      </w: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Попова Л.</w:t>
      </w:r>
      <w:r w:rsidR="00EE657B" w:rsidRPr="00EE657B">
        <w:rPr>
          <w:rFonts w:eastAsia="Courier New"/>
          <w:sz w:val="22"/>
          <w:szCs w:val="22"/>
          <w:lang w:eastAsia="en-US"/>
        </w:rPr>
        <w:t xml:space="preserve"> </w:t>
      </w:r>
      <w:r w:rsidRPr="00EE657B">
        <w:rPr>
          <w:rFonts w:eastAsia="Courier New"/>
          <w:sz w:val="22"/>
          <w:szCs w:val="22"/>
          <w:lang w:eastAsia="en-US"/>
        </w:rPr>
        <w:t>И.,</w:t>
      </w: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доцент кафедры гражданского права</w:t>
      </w: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 xml:space="preserve">Кубанский государственный аграрный </w:t>
      </w:r>
    </w:p>
    <w:p w:rsidR="00EC1A78" w:rsidRPr="00EE657B" w:rsidRDefault="00EC1A78" w:rsidP="00EC1A78">
      <w:pPr>
        <w:widowControl w:val="0"/>
        <w:tabs>
          <w:tab w:val="left" w:pos="8223"/>
        </w:tabs>
        <w:jc w:val="right"/>
        <w:rPr>
          <w:rFonts w:eastAsia="Courier New"/>
          <w:sz w:val="22"/>
          <w:szCs w:val="22"/>
          <w:lang w:eastAsia="en-US"/>
        </w:rPr>
      </w:pPr>
      <w:r w:rsidRPr="00EE657B">
        <w:rPr>
          <w:rFonts w:eastAsia="Courier New"/>
          <w:sz w:val="22"/>
          <w:szCs w:val="22"/>
          <w:lang w:eastAsia="en-US"/>
        </w:rPr>
        <w:t>университет имени И. Т. Трубилина</w:t>
      </w:r>
    </w:p>
    <w:p w:rsidR="00EC1A78" w:rsidRPr="00EE657B" w:rsidRDefault="00EC1A78" w:rsidP="00EC1A78">
      <w:pPr>
        <w:widowControl w:val="0"/>
        <w:tabs>
          <w:tab w:val="left" w:pos="8223"/>
        </w:tabs>
        <w:jc w:val="right"/>
        <w:rPr>
          <w:rFonts w:eastAsia="Courier New"/>
          <w:sz w:val="22"/>
          <w:szCs w:val="22"/>
          <w:lang w:eastAsia="en-US"/>
        </w:rPr>
      </w:pPr>
    </w:p>
    <w:p w:rsidR="00EC1A78" w:rsidRPr="00EE657B" w:rsidRDefault="00EC1A78" w:rsidP="00EC1A78">
      <w:pPr>
        <w:autoSpaceDE w:val="0"/>
        <w:autoSpaceDN w:val="0"/>
        <w:adjustRightInd w:val="0"/>
        <w:ind w:firstLine="426"/>
        <w:jc w:val="both"/>
        <w:rPr>
          <w:rFonts w:eastAsiaTheme="minorHAnsi"/>
          <w:sz w:val="22"/>
          <w:szCs w:val="22"/>
          <w:lang w:val="en-US" w:eastAsia="en-US"/>
        </w:rPr>
      </w:pPr>
      <w:r w:rsidRPr="00EE657B">
        <w:rPr>
          <w:rFonts w:eastAsia="Courier New"/>
          <w:sz w:val="22"/>
          <w:szCs w:val="22"/>
          <w:lang w:eastAsia="en-US"/>
        </w:rPr>
        <w:t xml:space="preserve">АННОТАЦИЯ: </w:t>
      </w:r>
      <w:r w:rsidRPr="00EE657B">
        <w:rPr>
          <w:rFonts w:eastAsiaTheme="minorHAnsi"/>
          <w:sz w:val="22"/>
          <w:szCs w:val="22"/>
          <w:lang w:eastAsia="en-US"/>
        </w:rPr>
        <w:t>Рассмотрены возможные формы договорных связей по поставке для государственных и муниципальных нужд. Изучен</w:t>
      </w:r>
      <w:r w:rsidRPr="00EE657B">
        <w:rPr>
          <w:rFonts w:eastAsiaTheme="minorHAnsi"/>
          <w:sz w:val="22"/>
          <w:szCs w:val="22"/>
          <w:lang w:val="en-US" w:eastAsia="en-US"/>
        </w:rPr>
        <w:t xml:space="preserve"> </w:t>
      </w:r>
      <w:r w:rsidRPr="00EE657B">
        <w:rPr>
          <w:rFonts w:eastAsiaTheme="minorHAnsi"/>
          <w:sz w:val="22"/>
          <w:szCs w:val="22"/>
          <w:lang w:eastAsia="en-US"/>
        </w:rPr>
        <w:t>порядок</w:t>
      </w:r>
      <w:r w:rsidRPr="00EE657B">
        <w:rPr>
          <w:rFonts w:eastAsiaTheme="minorHAnsi"/>
          <w:sz w:val="22"/>
          <w:szCs w:val="22"/>
          <w:lang w:val="en-US" w:eastAsia="en-US"/>
        </w:rPr>
        <w:t xml:space="preserve"> </w:t>
      </w:r>
      <w:r w:rsidRPr="00EE657B">
        <w:rPr>
          <w:rFonts w:eastAsiaTheme="minorHAnsi"/>
          <w:sz w:val="22"/>
          <w:szCs w:val="22"/>
          <w:lang w:eastAsia="en-US"/>
        </w:rPr>
        <w:t>оформления</w:t>
      </w:r>
      <w:r w:rsidRPr="00EE657B">
        <w:rPr>
          <w:rFonts w:eastAsiaTheme="minorHAnsi"/>
          <w:sz w:val="22"/>
          <w:szCs w:val="22"/>
          <w:lang w:val="en-US" w:eastAsia="en-US"/>
        </w:rPr>
        <w:t xml:space="preserve"> </w:t>
      </w:r>
      <w:r w:rsidRPr="00EE657B">
        <w:rPr>
          <w:rFonts w:eastAsiaTheme="minorHAnsi"/>
          <w:sz w:val="22"/>
          <w:szCs w:val="22"/>
          <w:lang w:eastAsia="en-US"/>
        </w:rPr>
        <w:t>обязательств</w:t>
      </w:r>
      <w:r w:rsidRPr="00EE657B">
        <w:rPr>
          <w:rFonts w:eastAsiaTheme="minorHAnsi"/>
          <w:sz w:val="22"/>
          <w:szCs w:val="22"/>
          <w:lang w:val="en-US" w:eastAsia="en-US"/>
        </w:rPr>
        <w:t>.</w:t>
      </w:r>
    </w:p>
    <w:p w:rsidR="00EC1A78" w:rsidRPr="00EE657B" w:rsidRDefault="00EC1A78" w:rsidP="00EC1A78">
      <w:pPr>
        <w:autoSpaceDE w:val="0"/>
        <w:autoSpaceDN w:val="0"/>
        <w:adjustRightInd w:val="0"/>
        <w:ind w:firstLine="426"/>
        <w:jc w:val="both"/>
        <w:rPr>
          <w:rFonts w:eastAsiaTheme="minorHAnsi"/>
          <w:sz w:val="22"/>
          <w:szCs w:val="22"/>
          <w:lang w:val="en-US" w:eastAsia="en-US"/>
        </w:rPr>
      </w:pPr>
      <w:r w:rsidRPr="00EE657B">
        <w:rPr>
          <w:rFonts w:eastAsiaTheme="minorHAnsi"/>
          <w:sz w:val="22"/>
          <w:szCs w:val="22"/>
          <w:lang w:val="en-US" w:eastAsia="en-US"/>
        </w:rPr>
        <w:t>ABSTRACT: Possible forms of contractual supply relations for state and municipal needs are considered. The process of forming legal relations in the field of procurement has been studied.</w:t>
      </w: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КЛЮЧЕВЫЕ СЛОВА: поставка товаров для государственных и муниципальных нужд, договорные связи.</w:t>
      </w:r>
    </w:p>
    <w:p w:rsidR="00EC1A78" w:rsidRPr="00EC1A78" w:rsidRDefault="00EC1A78" w:rsidP="00EC1A78">
      <w:pPr>
        <w:autoSpaceDE w:val="0"/>
        <w:autoSpaceDN w:val="0"/>
        <w:adjustRightInd w:val="0"/>
        <w:ind w:firstLine="426"/>
        <w:jc w:val="both"/>
        <w:rPr>
          <w:rFonts w:eastAsiaTheme="minorHAnsi"/>
          <w:sz w:val="22"/>
          <w:szCs w:val="22"/>
          <w:lang w:val="en-US" w:eastAsia="en-US"/>
        </w:rPr>
      </w:pPr>
      <w:r w:rsidRPr="00EE657B">
        <w:rPr>
          <w:rFonts w:eastAsiaTheme="minorHAnsi"/>
          <w:sz w:val="22"/>
          <w:szCs w:val="22"/>
          <w:lang w:val="en-US" w:eastAsia="en-US"/>
        </w:rPr>
        <w:t>KEYWORDS: delivery of goods for state and municipal needs, co</w:t>
      </w:r>
      <w:r w:rsidRPr="00EE657B">
        <w:rPr>
          <w:rFonts w:eastAsiaTheme="minorHAnsi"/>
          <w:sz w:val="22"/>
          <w:szCs w:val="22"/>
          <w:lang w:val="en-US" w:eastAsia="en-US"/>
        </w:rPr>
        <w:t>n</w:t>
      </w:r>
      <w:r w:rsidRPr="00EE657B">
        <w:rPr>
          <w:rFonts w:eastAsiaTheme="minorHAnsi"/>
          <w:sz w:val="22"/>
          <w:szCs w:val="22"/>
          <w:lang w:val="en-US" w:eastAsia="en-US"/>
        </w:rPr>
        <w:t xml:space="preserve">tractual </w:t>
      </w:r>
      <w:r w:rsidRPr="00EC1A78">
        <w:rPr>
          <w:rFonts w:eastAsiaTheme="minorHAnsi"/>
          <w:sz w:val="22"/>
          <w:szCs w:val="22"/>
          <w:lang w:val="en-US" w:eastAsia="en-US"/>
        </w:rPr>
        <w:t>relations.</w:t>
      </w:r>
    </w:p>
    <w:p w:rsidR="00EC1A78" w:rsidRPr="00EC1A78" w:rsidRDefault="00EC1A78" w:rsidP="00EC1A78">
      <w:pPr>
        <w:autoSpaceDE w:val="0"/>
        <w:autoSpaceDN w:val="0"/>
        <w:adjustRightInd w:val="0"/>
        <w:ind w:firstLine="426"/>
        <w:jc w:val="both"/>
        <w:rPr>
          <w:rFonts w:eastAsiaTheme="minorHAnsi"/>
          <w:sz w:val="22"/>
          <w:szCs w:val="22"/>
          <w:lang w:val="en-US" w:eastAsia="en-US"/>
        </w:rPr>
      </w:pP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Правоотношения в сфере государственных и муниципальных закупок характеризуются своей сложностью и многогранностью. Гражданское законодательство закрепляет две формы договорных конструкций, структура которых является характерной особенн</w:t>
      </w:r>
      <w:r w:rsidRPr="00EE657B">
        <w:rPr>
          <w:rFonts w:eastAsiaTheme="minorHAnsi"/>
          <w:sz w:val="22"/>
          <w:szCs w:val="22"/>
          <w:lang w:eastAsia="en-US"/>
        </w:rPr>
        <w:t>о</w:t>
      </w:r>
      <w:r w:rsidRPr="00EE657B">
        <w:rPr>
          <w:rFonts w:eastAsiaTheme="minorHAnsi"/>
          <w:sz w:val="22"/>
          <w:szCs w:val="22"/>
          <w:lang w:eastAsia="en-US"/>
        </w:rPr>
        <w:t>стью обязательств по поставке товаров для соответствующих нужд. В доктрине мнения ученых–цивилистов, таких как  М.И. Браги</w:t>
      </w:r>
      <w:r w:rsidRPr="00EE657B">
        <w:rPr>
          <w:rFonts w:eastAsiaTheme="minorHAnsi"/>
          <w:sz w:val="22"/>
          <w:szCs w:val="22"/>
          <w:lang w:eastAsia="en-US"/>
        </w:rPr>
        <w:t>н</w:t>
      </w:r>
      <w:r w:rsidRPr="00EE657B">
        <w:rPr>
          <w:rFonts w:eastAsiaTheme="minorHAnsi"/>
          <w:sz w:val="22"/>
          <w:szCs w:val="22"/>
          <w:lang w:eastAsia="en-US"/>
        </w:rPr>
        <w:lastRenderedPageBreak/>
        <w:t>ский, В.В. Витрянский, Л.В. Андреева, В.А. Власов, П. Тарабаев, О.Н. Колесник в отношении множественности числа вариантов, этапов, структуры договорных связей, совпадают [1]. Как правило, выделяют простую и сложную  структуры.</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В соответствии с первой конструкцией поставка осуществляе</w:t>
      </w:r>
      <w:r w:rsidRPr="00EE657B">
        <w:rPr>
          <w:rFonts w:eastAsiaTheme="minorHAnsi"/>
          <w:sz w:val="22"/>
          <w:szCs w:val="22"/>
          <w:lang w:eastAsia="en-US"/>
        </w:rPr>
        <w:t>т</w:t>
      </w:r>
      <w:r w:rsidRPr="00EE657B">
        <w:rPr>
          <w:rFonts w:eastAsiaTheme="minorHAnsi"/>
          <w:sz w:val="22"/>
          <w:szCs w:val="22"/>
          <w:lang w:eastAsia="en-US"/>
        </w:rPr>
        <w:t>ся поставщиком (исполнителем) в соответствии с условиями гос</w:t>
      </w:r>
      <w:r w:rsidRPr="00EE657B">
        <w:rPr>
          <w:rFonts w:eastAsiaTheme="minorHAnsi"/>
          <w:sz w:val="22"/>
          <w:szCs w:val="22"/>
          <w:lang w:eastAsia="en-US"/>
        </w:rPr>
        <w:t>у</w:t>
      </w:r>
      <w:r w:rsidRPr="00EE657B">
        <w:rPr>
          <w:rFonts w:eastAsiaTheme="minorHAnsi"/>
          <w:sz w:val="22"/>
          <w:szCs w:val="22"/>
          <w:lang w:eastAsia="en-US"/>
        </w:rPr>
        <w:t>дарственного (муниципального) контракта без заключения с п</w:t>
      </w:r>
      <w:r w:rsidRPr="00EE657B">
        <w:rPr>
          <w:rFonts w:eastAsiaTheme="minorHAnsi"/>
          <w:sz w:val="22"/>
          <w:szCs w:val="22"/>
          <w:lang w:eastAsia="en-US"/>
        </w:rPr>
        <w:t>о</w:t>
      </w:r>
      <w:r w:rsidRPr="00EE657B">
        <w:rPr>
          <w:rFonts w:eastAsiaTheme="minorHAnsi"/>
          <w:sz w:val="22"/>
          <w:szCs w:val="22"/>
          <w:lang w:eastAsia="en-US"/>
        </w:rPr>
        <w:t>ставщиком каких–либо дополнительных договоров. Данная ко</w:t>
      </w:r>
      <w:r w:rsidRPr="00EE657B">
        <w:rPr>
          <w:rFonts w:eastAsiaTheme="minorHAnsi"/>
          <w:sz w:val="22"/>
          <w:szCs w:val="22"/>
          <w:lang w:eastAsia="en-US"/>
        </w:rPr>
        <w:t>н</w:t>
      </w:r>
      <w:r w:rsidRPr="00EE657B">
        <w:rPr>
          <w:rFonts w:eastAsiaTheme="minorHAnsi"/>
          <w:sz w:val="22"/>
          <w:szCs w:val="22"/>
          <w:lang w:eastAsia="en-US"/>
        </w:rPr>
        <w:t>струкция считается простой в связи с тем, что обязательства возн</w:t>
      </w:r>
      <w:r w:rsidRPr="00EE657B">
        <w:rPr>
          <w:rFonts w:eastAsiaTheme="minorHAnsi"/>
          <w:sz w:val="22"/>
          <w:szCs w:val="22"/>
          <w:lang w:eastAsia="en-US"/>
        </w:rPr>
        <w:t>и</w:t>
      </w:r>
      <w:r w:rsidRPr="00EE657B">
        <w:rPr>
          <w:rFonts w:eastAsiaTheme="minorHAnsi"/>
          <w:sz w:val="22"/>
          <w:szCs w:val="22"/>
          <w:lang w:eastAsia="en-US"/>
        </w:rPr>
        <w:t>кают исключительно между двумя субъектами и только на основ</w:t>
      </w:r>
      <w:r w:rsidRPr="00EE657B">
        <w:rPr>
          <w:rFonts w:eastAsiaTheme="minorHAnsi"/>
          <w:sz w:val="22"/>
          <w:szCs w:val="22"/>
          <w:lang w:eastAsia="en-US"/>
        </w:rPr>
        <w:t>а</w:t>
      </w:r>
      <w:r w:rsidRPr="00EE657B">
        <w:rPr>
          <w:rFonts w:eastAsiaTheme="minorHAnsi"/>
          <w:sz w:val="22"/>
          <w:szCs w:val="22"/>
          <w:lang w:eastAsia="en-US"/>
        </w:rPr>
        <w:t>нии контракта.</w:t>
      </w: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Наиболее больший интерес представляет сложная конструкция договорных связей, в соответствии с которой в государственном (муниципальном) контракте предусматривается прикрепление з</w:t>
      </w:r>
      <w:r w:rsidRPr="00EE657B">
        <w:rPr>
          <w:rFonts w:eastAsiaTheme="minorHAnsi"/>
          <w:sz w:val="22"/>
          <w:szCs w:val="22"/>
          <w:lang w:eastAsia="en-US"/>
        </w:rPr>
        <w:t>а</w:t>
      </w:r>
      <w:r w:rsidRPr="00EE657B">
        <w:rPr>
          <w:rFonts w:eastAsiaTheme="minorHAnsi"/>
          <w:sz w:val="22"/>
          <w:szCs w:val="22"/>
          <w:lang w:eastAsia="en-US"/>
        </w:rPr>
        <w:t>казчиком поставщика (исполнителя) к конкретным покупателям в целях заключения с ними договоров поставки товаров для госуда</w:t>
      </w:r>
      <w:r w:rsidRPr="00EE657B">
        <w:rPr>
          <w:rFonts w:eastAsiaTheme="minorHAnsi"/>
          <w:sz w:val="22"/>
          <w:szCs w:val="22"/>
          <w:lang w:eastAsia="en-US"/>
        </w:rPr>
        <w:t>р</w:t>
      </w:r>
      <w:r w:rsidRPr="00EE657B">
        <w:rPr>
          <w:rFonts w:eastAsiaTheme="minorHAnsi"/>
          <w:sz w:val="22"/>
          <w:szCs w:val="22"/>
          <w:lang w:eastAsia="en-US"/>
        </w:rPr>
        <w:t>ственных или муниципальных нужд на основании извещения о прикреплении. Порядок оформления обязательств по поставке для государственных (муниципальных) нужд в рамках Гражданского кодекса РФ [2] закреплен в ст. 527–529 и включает в себя основания и порядок заключения государственного (муниципального) ко</w:t>
      </w:r>
      <w:r w:rsidRPr="00EE657B">
        <w:rPr>
          <w:rFonts w:eastAsiaTheme="minorHAnsi"/>
          <w:sz w:val="22"/>
          <w:szCs w:val="22"/>
          <w:lang w:eastAsia="en-US"/>
        </w:rPr>
        <w:t>н</w:t>
      </w:r>
      <w:r w:rsidRPr="00EE657B">
        <w:rPr>
          <w:rFonts w:eastAsiaTheme="minorHAnsi"/>
          <w:sz w:val="22"/>
          <w:szCs w:val="22"/>
          <w:lang w:eastAsia="en-US"/>
        </w:rPr>
        <w:t>тракта и договора поставки.  Так процесс оформления обязательств согласно данной конструкции условно можно разделить на два эт</w:t>
      </w:r>
      <w:r w:rsidRPr="00EE657B">
        <w:rPr>
          <w:rFonts w:eastAsiaTheme="minorHAnsi"/>
          <w:sz w:val="22"/>
          <w:szCs w:val="22"/>
          <w:lang w:eastAsia="en-US"/>
        </w:rPr>
        <w:t>а</w:t>
      </w:r>
      <w:r w:rsidRPr="00EE657B">
        <w:rPr>
          <w:rFonts w:eastAsiaTheme="minorHAnsi"/>
          <w:sz w:val="22"/>
          <w:szCs w:val="22"/>
          <w:lang w:eastAsia="en-US"/>
        </w:rPr>
        <w:t xml:space="preserve">па: заключение контракта и заключение договора поставки. </w:t>
      </w: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Одна из особенностей поставки товаров для государственных (муниципальных) нужд при заключении договора поставки проя</w:t>
      </w:r>
      <w:r w:rsidRPr="00EE657B">
        <w:rPr>
          <w:rFonts w:eastAsiaTheme="minorHAnsi"/>
          <w:sz w:val="22"/>
          <w:szCs w:val="22"/>
          <w:lang w:eastAsia="en-US"/>
        </w:rPr>
        <w:t>в</w:t>
      </w:r>
      <w:r w:rsidRPr="00EE657B">
        <w:rPr>
          <w:rFonts w:eastAsiaTheme="minorHAnsi"/>
          <w:sz w:val="22"/>
          <w:szCs w:val="22"/>
          <w:lang w:eastAsia="en-US"/>
        </w:rPr>
        <w:t>ляется в том, что обязанность по оплате товаров возлагается не на заказчика, а на покупателя. При этом заказчик является не стороной договора, а гарантом принятия товара и его оплаты. Таким образом, правоотношения между заказчиком и поставщиком регулируются контрактом, между поставщиком и покупателем – договором п</w:t>
      </w:r>
      <w:r w:rsidRPr="00EE657B">
        <w:rPr>
          <w:rFonts w:eastAsiaTheme="minorHAnsi"/>
          <w:sz w:val="22"/>
          <w:szCs w:val="22"/>
          <w:lang w:eastAsia="en-US"/>
        </w:rPr>
        <w:t>о</w:t>
      </w:r>
      <w:r w:rsidRPr="00EE657B">
        <w:rPr>
          <w:rFonts w:eastAsiaTheme="minorHAnsi"/>
          <w:sz w:val="22"/>
          <w:szCs w:val="22"/>
          <w:lang w:eastAsia="en-US"/>
        </w:rPr>
        <w:t>ставки, а между заказчиком и покупателем – извещением о пр</w:t>
      </w:r>
      <w:r w:rsidRPr="00EE657B">
        <w:rPr>
          <w:rFonts w:eastAsiaTheme="minorHAnsi"/>
          <w:sz w:val="22"/>
          <w:szCs w:val="22"/>
          <w:lang w:eastAsia="en-US"/>
        </w:rPr>
        <w:t>и</w:t>
      </w:r>
      <w:r w:rsidRPr="00EE657B">
        <w:rPr>
          <w:rFonts w:eastAsiaTheme="minorHAnsi"/>
          <w:sz w:val="22"/>
          <w:szCs w:val="22"/>
          <w:lang w:eastAsia="en-US"/>
        </w:rPr>
        <w:t>креплении. Данная структура является ярким примером сложного юридического состава.</w:t>
      </w: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Следует отметить, что рассмотренная сложная конструкция д</w:t>
      </w:r>
      <w:r w:rsidRPr="00EE657B">
        <w:rPr>
          <w:rFonts w:eastAsiaTheme="minorHAnsi"/>
          <w:sz w:val="22"/>
          <w:szCs w:val="22"/>
          <w:lang w:eastAsia="en-US"/>
        </w:rPr>
        <w:t>о</w:t>
      </w:r>
      <w:r w:rsidRPr="00EE657B">
        <w:rPr>
          <w:rFonts w:eastAsiaTheme="minorHAnsi"/>
          <w:sz w:val="22"/>
          <w:szCs w:val="22"/>
          <w:lang w:eastAsia="en-US"/>
        </w:rPr>
        <w:t>говорных связей не предусмотрена действующим Федеральным з</w:t>
      </w:r>
      <w:r w:rsidRPr="00EE657B">
        <w:rPr>
          <w:rFonts w:eastAsiaTheme="minorHAnsi"/>
          <w:sz w:val="22"/>
          <w:szCs w:val="22"/>
          <w:lang w:eastAsia="en-US"/>
        </w:rPr>
        <w:t>а</w:t>
      </w:r>
      <w:r w:rsidRPr="00EE657B">
        <w:rPr>
          <w:rFonts w:eastAsiaTheme="minorHAnsi"/>
          <w:sz w:val="22"/>
          <w:szCs w:val="22"/>
          <w:lang w:eastAsia="en-US"/>
        </w:rPr>
        <w:t>коном «О контрактной системе в сфере закупок товаров, работ, услуг для обеспечения госуда</w:t>
      </w:r>
      <w:r w:rsidR="00EE657B">
        <w:rPr>
          <w:rFonts w:eastAsiaTheme="minorHAnsi"/>
          <w:sz w:val="22"/>
          <w:szCs w:val="22"/>
          <w:lang w:eastAsia="en-US"/>
        </w:rPr>
        <w:t xml:space="preserve">рственных и муниципальных </w:t>
      </w:r>
      <w:r w:rsidRPr="00EE657B">
        <w:rPr>
          <w:rFonts w:eastAsiaTheme="minorHAnsi"/>
          <w:sz w:val="22"/>
          <w:szCs w:val="22"/>
          <w:lang w:eastAsia="en-US"/>
        </w:rPr>
        <w:t xml:space="preserve">нужд» </w:t>
      </w:r>
      <w:r w:rsidRPr="00EE657B">
        <w:rPr>
          <w:rFonts w:eastAsiaTheme="minorHAnsi"/>
          <w:sz w:val="22"/>
          <w:szCs w:val="22"/>
          <w:lang w:eastAsia="en-US"/>
        </w:rPr>
        <w:lastRenderedPageBreak/>
        <w:t>[3], несмотря на то, что данный закон занимает центральное место в правовом регулировании сферы закупок. Применение сложной ко</w:t>
      </w:r>
      <w:r w:rsidRPr="00EE657B">
        <w:rPr>
          <w:rFonts w:eastAsiaTheme="minorHAnsi"/>
          <w:sz w:val="22"/>
          <w:szCs w:val="22"/>
          <w:lang w:eastAsia="en-US"/>
        </w:rPr>
        <w:t>н</w:t>
      </w:r>
      <w:r w:rsidRPr="00EE657B">
        <w:rPr>
          <w:rFonts w:eastAsiaTheme="minorHAnsi"/>
          <w:sz w:val="22"/>
          <w:szCs w:val="22"/>
          <w:lang w:eastAsia="en-US"/>
        </w:rPr>
        <w:t>струкции возможно только на основании действующих норм Гра</w:t>
      </w:r>
      <w:r w:rsidRPr="00EE657B">
        <w:rPr>
          <w:rFonts w:eastAsiaTheme="minorHAnsi"/>
          <w:sz w:val="22"/>
          <w:szCs w:val="22"/>
          <w:lang w:eastAsia="en-US"/>
        </w:rPr>
        <w:t>ж</w:t>
      </w:r>
      <w:r w:rsidRPr="00EE657B">
        <w:rPr>
          <w:rFonts w:eastAsiaTheme="minorHAnsi"/>
          <w:sz w:val="22"/>
          <w:szCs w:val="22"/>
          <w:lang w:eastAsia="en-US"/>
        </w:rPr>
        <w:t>данского кодекса, посвященным публичным поставкам. Может во</w:t>
      </w:r>
      <w:r w:rsidRPr="00EE657B">
        <w:rPr>
          <w:rFonts w:eastAsiaTheme="minorHAnsi"/>
          <w:sz w:val="22"/>
          <w:szCs w:val="22"/>
          <w:lang w:eastAsia="en-US"/>
        </w:rPr>
        <w:t>з</w:t>
      </w:r>
      <w:r w:rsidRPr="00EE657B">
        <w:rPr>
          <w:rFonts w:eastAsiaTheme="minorHAnsi"/>
          <w:sz w:val="22"/>
          <w:szCs w:val="22"/>
          <w:lang w:eastAsia="en-US"/>
        </w:rPr>
        <w:t>никнуть вопрос о нецелесообразности дополнительного заключения договора поставки. С данным положением нельзя согласиться. Сф</w:t>
      </w:r>
      <w:r w:rsidRPr="00EE657B">
        <w:rPr>
          <w:rFonts w:eastAsiaTheme="minorHAnsi"/>
          <w:sz w:val="22"/>
          <w:szCs w:val="22"/>
          <w:lang w:eastAsia="en-US"/>
        </w:rPr>
        <w:t>е</w:t>
      </w:r>
      <w:r w:rsidRPr="00EE657B">
        <w:rPr>
          <w:rFonts w:eastAsiaTheme="minorHAnsi"/>
          <w:sz w:val="22"/>
          <w:szCs w:val="22"/>
          <w:lang w:eastAsia="en-US"/>
        </w:rPr>
        <w:t>ра поставок для государственных и муниципальных нужд предста</w:t>
      </w:r>
      <w:r w:rsidRPr="00EE657B">
        <w:rPr>
          <w:rFonts w:eastAsiaTheme="minorHAnsi"/>
          <w:sz w:val="22"/>
          <w:szCs w:val="22"/>
          <w:lang w:eastAsia="en-US"/>
        </w:rPr>
        <w:t>в</w:t>
      </w:r>
      <w:r w:rsidRPr="00EE657B">
        <w:rPr>
          <w:rFonts w:eastAsiaTheme="minorHAnsi"/>
          <w:sz w:val="22"/>
          <w:szCs w:val="22"/>
          <w:lang w:eastAsia="en-US"/>
        </w:rPr>
        <w:t>ляет собой крайне сложную область правоотношений, требующую точной регламентации. Она призвана обеспечивать потребности Российской Федерации, ее субъектов или муниципальных образ</w:t>
      </w:r>
      <w:r w:rsidRPr="00EE657B">
        <w:rPr>
          <w:rFonts w:eastAsiaTheme="minorHAnsi"/>
          <w:sz w:val="22"/>
          <w:szCs w:val="22"/>
          <w:lang w:eastAsia="en-US"/>
        </w:rPr>
        <w:t>о</w:t>
      </w:r>
      <w:r w:rsidRPr="00EE657B">
        <w:rPr>
          <w:rFonts w:eastAsiaTheme="minorHAnsi"/>
          <w:sz w:val="22"/>
          <w:szCs w:val="22"/>
          <w:lang w:eastAsia="en-US"/>
        </w:rPr>
        <w:t>ваний в товарах, работах, услугах. Для этих целей столь длител</w:t>
      </w:r>
      <w:r w:rsidRPr="00EE657B">
        <w:rPr>
          <w:rFonts w:eastAsiaTheme="minorHAnsi"/>
          <w:sz w:val="22"/>
          <w:szCs w:val="22"/>
          <w:lang w:eastAsia="en-US"/>
        </w:rPr>
        <w:t>ь</w:t>
      </w:r>
      <w:r w:rsidRPr="00EE657B">
        <w:rPr>
          <w:rFonts w:eastAsiaTheme="minorHAnsi"/>
          <w:sz w:val="22"/>
          <w:szCs w:val="22"/>
          <w:lang w:eastAsia="en-US"/>
        </w:rPr>
        <w:t>ный и трудоемкий процесс является необходимостью.</w:t>
      </w:r>
    </w:p>
    <w:p w:rsidR="00EC1A78" w:rsidRPr="00EE657B" w:rsidRDefault="00EC1A78" w:rsidP="00EC1A78">
      <w:pPr>
        <w:autoSpaceDE w:val="0"/>
        <w:autoSpaceDN w:val="0"/>
        <w:adjustRightInd w:val="0"/>
        <w:ind w:firstLine="426"/>
        <w:jc w:val="both"/>
        <w:rPr>
          <w:rFonts w:eastAsiaTheme="minorHAnsi"/>
          <w:sz w:val="22"/>
          <w:szCs w:val="22"/>
          <w:lang w:eastAsia="en-US"/>
        </w:rPr>
      </w:pPr>
      <w:r w:rsidRPr="00EE657B">
        <w:rPr>
          <w:rFonts w:eastAsiaTheme="minorHAnsi"/>
          <w:sz w:val="22"/>
          <w:szCs w:val="22"/>
          <w:lang w:eastAsia="en-US"/>
        </w:rPr>
        <w:t>Таким образом, на основе анализа мнения правоведов и де</w:t>
      </w:r>
      <w:r w:rsidRPr="00EE657B">
        <w:rPr>
          <w:rFonts w:eastAsiaTheme="minorHAnsi"/>
          <w:sz w:val="22"/>
          <w:szCs w:val="22"/>
          <w:lang w:eastAsia="en-US"/>
        </w:rPr>
        <w:t>й</w:t>
      </w:r>
      <w:r w:rsidRPr="00EE657B">
        <w:rPr>
          <w:rFonts w:eastAsiaTheme="minorHAnsi"/>
          <w:sz w:val="22"/>
          <w:szCs w:val="22"/>
          <w:lang w:eastAsia="en-US"/>
        </w:rPr>
        <w:t>ствующего законодательства, можно сделать вывод, что структура договорных связей в сфере поставок для государственных и мун</w:t>
      </w:r>
      <w:r w:rsidRPr="00EE657B">
        <w:rPr>
          <w:rFonts w:eastAsiaTheme="minorHAnsi"/>
          <w:sz w:val="22"/>
          <w:szCs w:val="22"/>
          <w:lang w:eastAsia="en-US"/>
        </w:rPr>
        <w:t>и</w:t>
      </w:r>
      <w:r w:rsidRPr="00EE657B">
        <w:rPr>
          <w:rFonts w:eastAsiaTheme="minorHAnsi"/>
          <w:sz w:val="22"/>
          <w:szCs w:val="22"/>
          <w:lang w:eastAsia="en-US"/>
        </w:rPr>
        <w:t>ципальных нужд обладает свойством множественности. На практ</w:t>
      </w:r>
      <w:r w:rsidRPr="00EE657B">
        <w:rPr>
          <w:rFonts w:eastAsiaTheme="minorHAnsi"/>
          <w:sz w:val="22"/>
          <w:szCs w:val="22"/>
          <w:lang w:eastAsia="en-US"/>
        </w:rPr>
        <w:t>и</w:t>
      </w:r>
      <w:r w:rsidRPr="00EE657B">
        <w:rPr>
          <w:rFonts w:eastAsiaTheme="minorHAnsi"/>
          <w:sz w:val="22"/>
          <w:szCs w:val="22"/>
          <w:lang w:eastAsia="en-US"/>
        </w:rPr>
        <w:t>ке применяется и имеет перспективы дальнейшего развития как простая, так и сложная конструкция.</w:t>
      </w:r>
    </w:p>
    <w:p w:rsidR="00EC1A78" w:rsidRPr="00EE657B" w:rsidRDefault="00EC1A78" w:rsidP="00EC1A78">
      <w:pPr>
        <w:autoSpaceDE w:val="0"/>
        <w:autoSpaceDN w:val="0"/>
        <w:adjustRightInd w:val="0"/>
        <w:ind w:firstLine="426"/>
        <w:jc w:val="both"/>
        <w:rPr>
          <w:rFonts w:eastAsiaTheme="minorHAnsi"/>
          <w:sz w:val="22"/>
          <w:szCs w:val="22"/>
          <w:lang w:eastAsia="en-US"/>
        </w:rPr>
      </w:pPr>
    </w:p>
    <w:p w:rsidR="00EC1A78" w:rsidRPr="00EE657B" w:rsidRDefault="00EC1A78" w:rsidP="00EC1A78">
      <w:pPr>
        <w:jc w:val="center"/>
        <w:rPr>
          <w:rFonts w:eastAsiaTheme="minorHAnsi"/>
          <w:sz w:val="22"/>
          <w:szCs w:val="22"/>
          <w:lang w:eastAsia="en-US"/>
        </w:rPr>
      </w:pPr>
      <w:r w:rsidRPr="00EE657B">
        <w:rPr>
          <w:rFonts w:eastAsiaTheme="minorHAnsi"/>
          <w:sz w:val="22"/>
          <w:szCs w:val="22"/>
          <w:lang w:eastAsia="en-US"/>
        </w:rPr>
        <w:t>Список литературы</w:t>
      </w:r>
    </w:p>
    <w:p w:rsidR="00EC1A78" w:rsidRPr="00EE657B" w:rsidRDefault="00EC1A78" w:rsidP="00EC1A78">
      <w:pPr>
        <w:autoSpaceDE w:val="0"/>
        <w:autoSpaceDN w:val="0"/>
        <w:adjustRightInd w:val="0"/>
        <w:ind w:firstLine="426"/>
        <w:jc w:val="both"/>
        <w:rPr>
          <w:rFonts w:eastAsiaTheme="minorHAnsi"/>
          <w:bCs/>
          <w:sz w:val="22"/>
          <w:szCs w:val="22"/>
          <w:lang w:eastAsia="en-US"/>
        </w:rPr>
      </w:pPr>
      <w:r w:rsidRPr="00EE657B">
        <w:rPr>
          <w:rFonts w:eastAsiaTheme="minorHAnsi"/>
          <w:sz w:val="22"/>
          <w:szCs w:val="22"/>
          <w:lang w:eastAsia="en-US"/>
        </w:rPr>
        <w:t xml:space="preserve">1. Коптев, Р. Д. </w:t>
      </w:r>
      <w:r w:rsidRPr="00EE657B">
        <w:rPr>
          <w:rFonts w:eastAsiaTheme="minorHAnsi"/>
          <w:bCs/>
          <w:sz w:val="22"/>
          <w:szCs w:val="22"/>
          <w:lang w:eastAsia="en-US"/>
        </w:rPr>
        <w:t xml:space="preserve">К вопросу о структуре договорных связей по поставке товаров для государственных или муниципальных нужд / Р.Д. Коптев. – </w:t>
      </w:r>
      <w:r w:rsidRPr="00EE657B">
        <w:rPr>
          <w:rFonts w:eastAsiaTheme="minorHAnsi"/>
          <w:sz w:val="22"/>
          <w:szCs w:val="22"/>
          <w:lang w:eastAsia="en-US"/>
        </w:rPr>
        <w:t>Вестник Московского университета МВД России. – 2010. – № 10. – С. 92</w:t>
      </w:r>
    </w:p>
    <w:p w:rsidR="00EC1A78" w:rsidRPr="00EE657B" w:rsidRDefault="00EC1A78" w:rsidP="00EC1A78">
      <w:pPr>
        <w:autoSpaceDE w:val="0"/>
        <w:autoSpaceDN w:val="0"/>
        <w:adjustRightInd w:val="0"/>
        <w:ind w:firstLine="426"/>
        <w:jc w:val="both"/>
        <w:rPr>
          <w:rFonts w:eastAsiaTheme="minorHAnsi"/>
          <w:bCs/>
          <w:sz w:val="22"/>
          <w:szCs w:val="22"/>
          <w:lang w:eastAsia="en-US"/>
        </w:rPr>
      </w:pPr>
      <w:r w:rsidRPr="00EE657B">
        <w:rPr>
          <w:rFonts w:eastAsiaTheme="minorHAnsi"/>
          <w:sz w:val="22"/>
          <w:szCs w:val="22"/>
          <w:lang w:eastAsia="en-US"/>
        </w:rPr>
        <w:t xml:space="preserve">2. Гражданский кодекс Российской федерации (часть вторая): Федеральный закон от 26.01.1996  № 14–ФЗ (ред. от 05.12.2017) // </w:t>
      </w:r>
      <w:r w:rsidRPr="00EE657B">
        <w:rPr>
          <w:sz w:val="22"/>
          <w:szCs w:val="22"/>
        </w:rPr>
        <w:t xml:space="preserve">Собрание законодательства РФ. – 1996. № 5. – Ст. 410. </w:t>
      </w:r>
    </w:p>
    <w:p w:rsidR="00EC1A78" w:rsidRPr="00EE657B" w:rsidRDefault="00EC1A78" w:rsidP="00EC1A78">
      <w:pPr>
        <w:autoSpaceDE w:val="0"/>
        <w:autoSpaceDN w:val="0"/>
        <w:adjustRightInd w:val="0"/>
        <w:ind w:firstLine="426"/>
        <w:jc w:val="both"/>
        <w:rPr>
          <w:rFonts w:eastAsiaTheme="minorHAnsi"/>
          <w:bCs/>
          <w:sz w:val="22"/>
          <w:szCs w:val="22"/>
          <w:lang w:eastAsia="en-US"/>
        </w:rPr>
      </w:pPr>
      <w:r w:rsidRPr="00EE657B">
        <w:rPr>
          <w:rFonts w:eastAsiaTheme="minorHAnsi"/>
          <w:sz w:val="22"/>
          <w:szCs w:val="22"/>
          <w:lang w:eastAsia="en-US"/>
        </w:rPr>
        <w:t>3. О контрактной системе в сфере закупок товаров, работ, услуг для обеспечения государственных и муниципальных нужд: Фед</w:t>
      </w:r>
      <w:r w:rsidRPr="00EE657B">
        <w:rPr>
          <w:rFonts w:eastAsiaTheme="minorHAnsi"/>
          <w:sz w:val="22"/>
          <w:szCs w:val="22"/>
          <w:lang w:eastAsia="en-US"/>
        </w:rPr>
        <w:t>е</w:t>
      </w:r>
      <w:r w:rsidRPr="00EE657B">
        <w:rPr>
          <w:rFonts w:eastAsiaTheme="minorHAnsi"/>
          <w:sz w:val="22"/>
          <w:szCs w:val="22"/>
          <w:lang w:eastAsia="en-US"/>
        </w:rPr>
        <w:t>ральный закон от 05.04.2013 № 44–ФЗ (ред. от 21.12.2017). – С</w:t>
      </w:r>
      <w:r w:rsidRPr="00EE657B">
        <w:rPr>
          <w:rFonts w:eastAsiaTheme="minorHAnsi"/>
          <w:sz w:val="22"/>
          <w:szCs w:val="22"/>
          <w:lang w:eastAsia="en-US"/>
        </w:rPr>
        <w:t>о</w:t>
      </w:r>
      <w:r w:rsidRPr="00EE657B">
        <w:rPr>
          <w:rFonts w:eastAsiaTheme="minorHAnsi"/>
          <w:sz w:val="22"/>
          <w:szCs w:val="22"/>
          <w:lang w:eastAsia="en-US"/>
        </w:rPr>
        <w:t>брание законодательства РФ. – 2013. – № 14. – Ст. 1652.</w:t>
      </w:r>
    </w:p>
    <w:p w:rsidR="00EC1A78" w:rsidRDefault="00EC1A78" w:rsidP="00EC1A78">
      <w:pPr>
        <w:ind w:firstLine="425"/>
        <w:jc w:val="both"/>
        <w:rPr>
          <w:rFonts w:eastAsiaTheme="minorHAnsi"/>
          <w:sz w:val="24"/>
          <w:szCs w:val="22"/>
          <w:lang w:eastAsia="en-US"/>
        </w:rPr>
      </w:pPr>
    </w:p>
    <w:p w:rsidR="00EE657B" w:rsidRDefault="00EE657B" w:rsidP="00EC1A78">
      <w:pPr>
        <w:ind w:firstLine="425"/>
        <w:jc w:val="both"/>
        <w:rPr>
          <w:rFonts w:eastAsiaTheme="minorHAnsi"/>
          <w:sz w:val="24"/>
          <w:szCs w:val="22"/>
          <w:lang w:eastAsia="en-US"/>
        </w:rPr>
      </w:pPr>
    </w:p>
    <w:p w:rsidR="00EE657B" w:rsidRDefault="00EE657B" w:rsidP="00EC1A78">
      <w:pPr>
        <w:ind w:firstLine="425"/>
        <w:jc w:val="both"/>
        <w:rPr>
          <w:rFonts w:eastAsiaTheme="minorHAnsi"/>
          <w:sz w:val="24"/>
          <w:szCs w:val="22"/>
          <w:lang w:eastAsia="en-US"/>
        </w:rPr>
      </w:pPr>
    </w:p>
    <w:p w:rsidR="006A771F" w:rsidRDefault="006A771F" w:rsidP="00EC1A78">
      <w:pPr>
        <w:ind w:firstLine="425"/>
        <w:jc w:val="both"/>
        <w:rPr>
          <w:rFonts w:eastAsiaTheme="minorHAnsi"/>
          <w:sz w:val="24"/>
          <w:szCs w:val="22"/>
          <w:lang w:eastAsia="en-US"/>
        </w:rPr>
      </w:pPr>
    </w:p>
    <w:p w:rsidR="006A771F" w:rsidRDefault="006A771F" w:rsidP="00EC1A78">
      <w:pPr>
        <w:ind w:firstLine="425"/>
        <w:jc w:val="both"/>
        <w:rPr>
          <w:rFonts w:eastAsiaTheme="minorHAnsi"/>
          <w:sz w:val="24"/>
          <w:szCs w:val="22"/>
          <w:lang w:eastAsia="en-US"/>
        </w:rPr>
      </w:pPr>
    </w:p>
    <w:p w:rsidR="002B3A7B" w:rsidRPr="00EC1A78" w:rsidRDefault="002B3A7B" w:rsidP="00EC1A78">
      <w:pPr>
        <w:ind w:firstLine="425"/>
        <w:jc w:val="both"/>
        <w:rPr>
          <w:rFonts w:eastAsiaTheme="minorHAnsi"/>
          <w:sz w:val="24"/>
          <w:szCs w:val="22"/>
          <w:lang w:eastAsia="en-US"/>
        </w:rPr>
      </w:pPr>
    </w:p>
    <w:p w:rsidR="00EC1A78" w:rsidRPr="00EC1A78" w:rsidRDefault="00EC1A78" w:rsidP="00EC1A78">
      <w:pPr>
        <w:rPr>
          <w:rFonts w:eastAsiaTheme="minorHAnsi"/>
          <w:sz w:val="22"/>
          <w:szCs w:val="22"/>
          <w:shd w:val="clear" w:color="auto" w:fill="FFFFFF"/>
          <w:lang w:eastAsia="en-US"/>
        </w:rPr>
      </w:pPr>
      <w:r w:rsidRPr="00EC1A78">
        <w:rPr>
          <w:rFonts w:eastAsiaTheme="minorHAnsi"/>
          <w:sz w:val="22"/>
          <w:szCs w:val="22"/>
          <w:shd w:val="clear" w:color="auto" w:fill="FFFFFF"/>
          <w:lang w:eastAsia="en-US"/>
        </w:rPr>
        <w:lastRenderedPageBreak/>
        <w:t>УДК 349.41</w:t>
      </w:r>
    </w:p>
    <w:p w:rsidR="00EC1A78" w:rsidRPr="00EC1A78" w:rsidRDefault="00EC1A78" w:rsidP="00EC1A78">
      <w:pPr>
        <w:rPr>
          <w:rFonts w:eastAsiaTheme="minorHAnsi"/>
          <w:sz w:val="22"/>
          <w:szCs w:val="22"/>
          <w:shd w:val="clear" w:color="auto" w:fill="FFFFFF"/>
          <w:lang w:eastAsia="en-US"/>
        </w:rPr>
      </w:pPr>
    </w:p>
    <w:p w:rsidR="00EC1A78" w:rsidRPr="00EC1A78" w:rsidRDefault="00EC1A78" w:rsidP="00EC1A78">
      <w:pPr>
        <w:jc w:val="center"/>
        <w:rPr>
          <w:rFonts w:eastAsiaTheme="minorHAnsi"/>
          <w:b/>
          <w:sz w:val="24"/>
          <w:szCs w:val="22"/>
          <w:shd w:val="clear" w:color="auto" w:fill="FFFFFF"/>
          <w:lang w:eastAsia="en-US"/>
        </w:rPr>
      </w:pPr>
      <w:r w:rsidRPr="00EC1A78">
        <w:rPr>
          <w:rFonts w:eastAsiaTheme="minorHAnsi"/>
          <w:b/>
          <w:sz w:val="24"/>
          <w:szCs w:val="22"/>
          <w:shd w:val="clear" w:color="auto" w:fill="FFFFFF"/>
          <w:lang w:eastAsia="en-US"/>
        </w:rPr>
        <w:t xml:space="preserve">Проблемные вопросы крестьянских (фермерских) </w:t>
      </w:r>
      <w:r w:rsidR="002B3A7B">
        <w:rPr>
          <w:rFonts w:eastAsiaTheme="minorHAnsi"/>
          <w:b/>
          <w:sz w:val="24"/>
          <w:szCs w:val="22"/>
          <w:shd w:val="clear" w:color="auto" w:fill="FFFFFF"/>
          <w:lang w:eastAsia="en-US"/>
        </w:rPr>
        <w:br/>
      </w:r>
      <w:r w:rsidRPr="00EC1A78">
        <w:rPr>
          <w:rFonts w:eastAsiaTheme="minorHAnsi"/>
          <w:b/>
          <w:sz w:val="24"/>
          <w:szCs w:val="22"/>
          <w:shd w:val="clear" w:color="auto" w:fill="FFFFFF"/>
          <w:lang w:eastAsia="en-US"/>
        </w:rPr>
        <w:t>хозяйств</w:t>
      </w:r>
    </w:p>
    <w:p w:rsidR="00EC1A78" w:rsidRPr="008D33CB" w:rsidRDefault="00EC1A78" w:rsidP="00EC1A78">
      <w:pPr>
        <w:jc w:val="center"/>
        <w:rPr>
          <w:rFonts w:eastAsiaTheme="minorHAnsi"/>
          <w:b/>
          <w:sz w:val="24"/>
          <w:szCs w:val="22"/>
          <w:shd w:val="clear" w:color="auto" w:fill="FFFFFF"/>
          <w:lang w:val="en-US" w:eastAsia="en-US"/>
        </w:rPr>
      </w:pPr>
      <w:r w:rsidRPr="00EC1A78">
        <w:rPr>
          <w:rFonts w:eastAsiaTheme="minorHAnsi"/>
          <w:b/>
          <w:sz w:val="24"/>
          <w:szCs w:val="22"/>
          <w:shd w:val="clear" w:color="auto" w:fill="FFFFFF"/>
          <w:lang w:val="en-US" w:eastAsia="en-US"/>
        </w:rPr>
        <w:t>Problematic</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issues</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of</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the</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peasant</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farmer</w:t>
      </w:r>
      <w:r w:rsidRPr="008D33CB">
        <w:rPr>
          <w:rFonts w:eastAsiaTheme="minorHAnsi"/>
          <w:b/>
          <w:sz w:val="24"/>
          <w:szCs w:val="22"/>
          <w:shd w:val="clear" w:color="auto" w:fill="FFFFFF"/>
          <w:lang w:val="en-US" w:eastAsia="en-US"/>
        </w:rPr>
        <w:t xml:space="preserve">) </w:t>
      </w:r>
      <w:r w:rsidRPr="00EC1A78">
        <w:rPr>
          <w:rFonts w:eastAsiaTheme="minorHAnsi"/>
          <w:b/>
          <w:sz w:val="24"/>
          <w:szCs w:val="22"/>
          <w:shd w:val="clear" w:color="auto" w:fill="FFFFFF"/>
          <w:lang w:val="en-US" w:eastAsia="en-US"/>
        </w:rPr>
        <w:t>farms</w:t>
      </w:r>
    </w:p>
    <w:p w:rsidR="00EC1A78" w:rsidRPr="008D33CB" w:rsidRDefault="00EC1A78" w:rsidP="00EC1A78">
      <w:pPr>
        <w:rPr>
          <w:rFonts w:eastAsiaTheme="minorHAnsi"/>
          <w:b/>
          <w:sz w:val="22"/>
          <w:szCs w:val="22"/>
          <w:shd w:val="clear" w:color="auto" w:fill="FFFFFF"/>
          <w:lang w:val="en-US" w:eastAsia="en-US"/>
        </w:rPr>
      </w:pP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Чибирикова С.</w:t>
      </w:r>
      <w:r w:rsidR="00EE657B">
        <w:rPr>
          <w:rFonts w:eastAsiaTheme="minorHAnsi"/>
          <w:sz w:val="22"/>
          <w:szCs w:val="22"/>
          <w:shd w:val="clear" w:color="auto" w:fill="FFFFFF"/>
          <w:lang w:eastAsia="en-US"/>
        </w:rPr>
        <w:t xml:space="preserve"> </w:t>
      </w:r>
      <w:r w:rsidRPr="00EC1A78">
        <w:rPr>
          <w:rFonts w:eastAsiaTheme="minorHAnsi"/>
          <w:sz w:val="22"/>
          <w:szCs w:val="22"/>
          <w:shd w:val="clear" w:color="auto" w:fill="FFFFFF"/>
          <w:lang w:eastAsia="en-US"/>
        </w:rPr>
        <w:t>Н.,</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студентка 3–го курса юридического факультета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Мустафина С.</w:t>
      </w:r>
      <w:r w:rsidR="00EE657B">
        <w:rPr>
          <w:rFonts w:eastAsiaTheme="minorHAnsi"/>
          <w:sz w:val="22"/>
          <w:szCs w:val="22"/>
          <w:shd w:val="clear" w:color="auto" w:fill="FFFFFF"/>
          <w:lang w:eastAsia="en-US"/>
        </w:rPr>
        <w:t xml:space="preserve"> </w:t>
      </w:r>
      <w:r w:rsidRPr="00EC1A78">
        <w:rPr>
          <w:rFonts w:eastAsiaTheme="minorHAnsi"/>
          <w:sz w:val="22"/>
          <w:szCs w:val="22"/>
          <w:shd w:val="clear" w:color="auto" w:fill="FFFFFF"/>
          <w:lang w:eastAsia="en-US"/>
        </w:rPr>
        <w:t>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 xml:space="preserve">ст. преподаватель кафедры земельного, </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трудового и экологического права</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Кубанский государственный аграрный</w:t>
      </w:r>
    </w:p>
    <w:p w:rsidR="00EC1A78" w:rsidRPr="00EC1A78" w:rsidRDefault="00EC1A78" w:rsidP="00EC1A78">
      <w:pPr>
        <w:jc w:val="right"/>
        <w:rPr>
          <w:rFonts w:eastAsiaTheme="minorHAnsi"/>
          <w:sz w:val="22"/>
          <w:szCs w:val="22"/>
          <w:shd w:val="clear" w:color="auto" w:fill="FFFFFF"/>
          <w:lang w:eastAsia="en-US"/>
        </w:rPr>
      </w:pPr>
      <w:r w:rsidRPr="00EC1A78">
        <w:rPr>
          <w:rFonts w:eastAsiaTheme="minorHAnsi"/>
          <w:sz w:val="22"/>
          <w:szCs w:val="22"/>
          <w:shd w:val="clear" w:color="auto" w:fill="FFFFFF"/>
          <w:lang w:eastAsia="en-US"/>
        </w:rPr>
        <w:t>университет имени И.</w:t>
      </w:r>
      <w:r w:rsidR="00EE657B">
        <w:rPr>
          <w:rFonts w:eastAsiaTheme="minorHAnsi"/>
          <w:sz w:val="22"/>
          <w:szCs w:val="22"/>
          <w:shd w:val="clear" w:color="auto" w:fill="FFFFFF"/>
          <w:lang w:eastAsia="en-US"/>
        </w:rPr>
        <w:t xml:space="preserve"> </w:t>
      </w:r>
      <w:r w:rsidRPr="00EC1A78">
        <w:rPr>
          <w:rFonts w:eastAsiaTheme="minorHAnsi"/>
          <w:sz w:val="22"/>
          <w:szCs w:val="22"/>
          <w:shd w:val="clear" w:color="auto" w:fill="FFFFFF"/>
          <w:lang w:eastAsia="en-US"/>
        </w:rPr>
        <w:t>Т. Трубилина</w:t>
      </w:r>
    </w:p>
    <w:p w:rsidR="00EC1A78" w:rsidRPr="00EC1A78" w:rsidRDefault="00EC1A78" w:rsidP="00EC1A78">
      <w:pPr>
        <w:rPr>
          <w:rFonts w:eastAsiaTheme="minorHAnsi"/>
          <w:sz w:val="22"/>
          <w:szCs w:val="22"/>
          <w:shd w:val="clear" w:color="auto" w:fill="FFFFFF"/>
          <w:lang w:eastAsia="en-US"/>
        </w:rPr>
      </w:pP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АННОТАЦИЯ: В статье рассматриваются основные проблемы крестьянских (фермерских) хозяйств, препятствующие их эффе</w:t>
      </w:r>
      <w:r w:rsidRPr="00EC1A78">
        <w:rPr>
          <w:rFonts w:eastAsiaTheme="minorHAnsi"/>
          <w:sz w:val="22"/>
          <w:szCs w:val="22"/>
          <w:shd w:val="clear" w:color="auto" w:fill="FFFFFF"/>
          <w:lang w:eastAsia="en-US"/>
        </w:rPr>
        <w:t>к</w:t>
      </w:r>
      <w:r w:rsidRPr="00EC1A78">
        <w:rPr>
          <w:rFonts w:eastAsiaTheme="minorHAnsi"/>
          <w:sz w:val="22"/>
          <w:szCs w:val="22"/>
          <w:shd w:val="clear" w:color="auto" w:fill="FFFFFF"/>
          <w:lang w:eastAsia="en-US"/>
        </w:rPr>
        <w:t>тивной производственной деятельности. Исследуется статистика развития крестьянских (фермерских) хозяйств. Предлагаются во</w:t>
      </w:r>
      <w:r w:rsidRPr="00EC1A78">
        <w:rPr>
          <w:rFonts w:eastAsiaTheme="minorHAnsi"/>
          <w:sz w:val="22"/>
          <w:szCs w:val="22"/>
          <w:shd w:val="clear" w:color="auto" w:fill="FFFFFF"/>
          <w:lang w:eastAsia="en-US"/>
        </w:rPr>
        <w:t>з</w:t>
      </w:r>
      <w:r w:rsidRPr="00EC1A78">
        <w:rPr>
          <w:rFonts w:eastAsiaTheme="minorHAnsi"/>
          <w:sz w:val="22"/>
          <w:szCs w:val="22"/>
          <w:shd w:val="clear" w:color="auto" w:fill="FFFFFF"/>
          <w:lang w:eastAsia="en-US"/>
        </w:rPr>
        <w:t xml:space="preserve">можные пути развития крестьянских (фермерских) хозяйств. </w:t>
      </w:r>
    </w:p>
    <w:p w:rsidR="00EC1A78" w:rsidRPr="00EC1A78" w:rsidRDefault="00EC1A78" w:rsidP="00EC1A78">
      <w:pPr>
        <w:ind w:firstLine="426"/>
        <w:jc w:val="both"/>
        <w:rPr>
          <w:rFonts w:eastAsiaTheme="minorHAnsi"/>
          <w:sz w:val="22"/>
          <w:szCs w:val="22"/>
          <w:shd w:val="clear" w:color="auto" w:fill="FFFFFF"/>
          <w:lang w:val="en-US" w:eastAsia="en-US"/>
        </w:rPr>
      </w:pPr>
      <w:r w:rsidRPr="00EC1A78">
        <w:rPr>
          <w:rFonts w:eastAsiaTheme="minorHAnsi"/>
          <w:sz w:val="22"/>
          <w:szCs w:val="22"/>
          <w:shd w:val="clear" w:color="auto" w:fill="FFFFFF"/>
          <w:lang w:val="en-US" w:eastAsia="en-US"/>
        </w:rPr>
        <w:t>ABSTRACT: The main problems of peasant (farm) farms impeding their effective production activity are considered. The statistics of deve</w:t>
      </w:r>
      <w:r w:rsidRPr="00EC1A78">
        <w:rPr>
          <w:rFonts w:eastAsiaTheme="minorHAnsi"/>
          <w:sz w:val="22"/>
          <w:szCs w:val="22"/>
          <w:shd w:val="clear" w:color="auto" w:fill="FFFFFF"/>
          <w:lang w:val="en-US" w:eastAsia="en-US"/>
        </w:rPr>
        <w:t>l</w:t>
      </w:r>
      <w:r w:rsidRPr="00EC1A78">
        <w:rPr>
          <w:rFonts w:eastAsiaTheme="minorHAnsi"/>
          <w:sz w:val="22"/>
          <w:szCs w:val="22"/>
          <w:shd w:val="clear" w:color="auto" w:fill="FFFFFF"/>
          <w:lang w:val="en-US" w:eastAsia="en-US"/>
        </w:rPr>
        <w:t>opment of peasant (farm) farms are studied. The possible ways of deve</w:t>
      </w:r>
      <w:r w:rsidRPr="00EC1A78">
        <w:rPr>
          <w:rFonts w:eastAsiaTheme="minorHAnsi"/>
          <w:sz w:val="22"/>
          <w:szCs w:val="22"/>
          <w:shd w:val="clear" w:color="auto" w:fill="FFFFFF"/>
          <w:lang w:val="en-US" w:eastAsia="en-US"/>
        </w:rPr>
        <w:t>l</w:t>
      </w:r>
      <w:r w:rsidRPr="00EC1A78">
        <w:rPr>
          <w:rFonts w:eastAsiaTheme="minorHAnsi"/>
          <w:sz w:val="22"/>
          <w:szCs w:val="22"/>
          <w:shd w:val="clear" w:color="auto" w:fill="FFFFFF"/>
          <w:lang w:val="en-US" w:eastAsia="en-US"/>
        </w:rPr>
        <w:t>opment of peasant (farm) farms are presented.</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КЛЮЧЕВЫЕ СЛОВА: крестьянское (фермерское) хозяйство, проблемы, пробелы, производственная деятельность, производ</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тельность.</w:t>
      </w:r>
    </w:p>
    <w:p w:rsidR="00EC1A78" w:rsidRPr="00EC1A78" w:rsidRDefault="00EC1A78" w:rsidP="00EC1A78">
      <w:pPr>
        <w:ind w:firstLine="426"/>
        <w:jc w:val="both"/>
        <w:rPr>
          <w:rFonts w:eastAsiaTheme="minorHAnsi"/>
          <w:sz w:val="22"/>
          <w:szCs w:val="22"/>
          <w:shd w:val="clear" w:color="auto" w:fill="FFFFFF"/>
          <w:lang w:val="en-US" w:eastAsia="en-US"/>
        </w:rPr>
      </w:pPr>
      <w:r w:rsidRPr="00EC1A78">
        <w:rPr>
          <w:rFonts w:eastAsiaTheme="minorHAnsi"/>
          <w:sz w:val="22"/>
          <w:szCs w:val="22"/>
          <w:shd w:val="clear" w:color="auto" w:fill="FFFFFF"/>
          <w:lang w:val="en-US" w:eastAsia="en-US"/>
        </w:rPr>
        <w:t>KEY WORDS: peasant (farmer) economy, problems, gaps, produ</w:t>
      </w:r>
      <w:r w:rsidRPr="00EC1A78">
        <w:rPr>
          <w:rFonts w:eastAsiaTheme="minorHAnsi"/>
          <w:sz w:val="22"/>
          <w:szCs w:val="22"/>
          <w:shd w:val="clear" w:color="auto" w:fill="FFFFFF"/>
          <w:lang w:val="en-US" w:eastAsia="en-US"/>
        </w:rPr>
        <w:t>c</w:t>
      </w:r>
      <w:r w:rsidRPr="00EC1A78">
        <w:rPr>
          <w:rFonts w:eastAsiaTheme="minorHAnsi"/>
          <w:sz w:val="22"/>
          <w:szCs w:val="22"/>
          <w:shd w:val="clear" w:color="auto" w:fill="FFFFFF"/>
          <w:lang w:val="en-US" w:eastAsia="en-US"/>
        </w:rPr>
        <w:t>tion activities, productivity.</w:t>
      </w:r>
    </w:p>
    <w:p w:rsidR="00EC1A78" w:rsidRPr="00EC1A78" w:rsidRDefault="00EC1A78" w:rsidP="00EC1A78">
      <w:pPr>
        <w:ind w:firstLine="426"/>
        <w:jc w:val="both"/>
        <w:rPr>
          <w:rFonts w:eastAsiaTheme="minorHAnsi"/>
          <w:sz w:val="22"/>
          <w:szCs w:val="22"/>
          <w:shd w:val="clear" w:color="auto" w:fill="FFFFFF"/>
          <w:lang w:val="en-US" w:eastAsia="en-US"/>
        </w:rPr>
      </w:pP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shd w:val="clear" w:color="auto" w:fill="FFFFFF"/>
          <w:lang w:eastAsia="en-US"/>
        </w:rPr>
        <w:t>Согласно ст. 1 ФЗ «О крестьянском (фермерском) хозяйстве» крестьянское фермерское хозяйство  представляет собой объедин</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ние граждан, связанных родством или свойством, имеющих в о</w:t>
      </w:r>
      <w:r w:rsidRPr="00EC1A78">
        <w:rPr>
          <w:rFonts w:eastAsiaTheme="minorHAnsi"/>
          <w:sz w:val="22"/>
          <w:szCs w:val="22"/>
          <w:shd w:val="clear" w:color="auto" w:fill="FFFFFF"/>
          <w:lang w:eastAsia="en-US"/>
        </w:rPr>
        <w:t>б</w:t>
      </w:r>
      <w:r w:rsidRPr="00EC1A78">
        <w:rPr>
          <w:rFonts w:eastAsiaTheme="minorHAnsi"/>
          <w:sz w:val="22"/>
          <w:szCs w:val="22"/>
          <w:shd w:val="clear" w:color="auto" w:fill="FFFFFF"/>
          <w:lang w:eastAsia="en-US"/>
        </w:rPr>
        <w:t>щей собственности имущество и совместно осуществляющих пр</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изводственную и иную хозяйственную деятельность, основанную на их личном участии[1]. Крестьянские (фермерские) хозяйства и</w:t>
      </w:r>
      <w:r w:rsidRPr="00EC1A78">
        <w:rPr>
          <w:rFonts w:eastAsiaTheme="minorHAnsi"/>
          <w:sz w:val="22"/>
          <w:szCs w:val="22"/>
          <w:shd w:val="clear" w:color="auto" w:fill="FFFFFF"/>
          <w:lang w:eastAsia="en-US"/>
        </w:rPr>
        <w:t>г</w:t>
      </w:r>
      <w:r w:rsidRPr="00EC1A78">
        <w:rPr>
          <w:rFonts w:eastAsiaTheme="minorHAnsi"/>
          <w:sz w:val="22"/>
          <w:szCs w:val="22"/>
          <w:shd w:val="clear" w:color="auto" w:fill="FFFFFF"/>
          <w:lang w:eastAsia="en-US"/>
        </w:rPr>
        <w:t>рают одну из решающих ролей в обеспечении населения продукт</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ми питания, а это невозможно без эффективного правового регул</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lastRenderedPageBreak/>
        <w:t>рования общественных отношений, связанных с образованием и деятельностью сельскохозяйственных товаропроизводителей, в том числе крестьянских (фермерских) хозяйств.Для современных кр</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стьянских (фермерских) хозяйств характерен обширный потенциал для развития, но, проследив этапы формирования КФХ, можно в</w:t>
      </w:r>
      <w:r w:rsidRPr="00EC1A78">
        <w:rPr>
          <w:rFonts w:eastAsiaTheme="minorHAnsi"/>
          <w:sz w:val="22"/>
          <w:szCs w:val="22"/>
          <w:shd w:val="clear" w:color="auto" w:fill="FFFFFF"/>
          <w:lang w:eastAsia="en-US"/>
        </w:rPr>
        <w:t>ы</w:t>
      </w:r>
      <w:r w:rsidRPr="00EC1A78">
        <w:rPr>
          <w:rFonts w:eastAsiaTheme="minorHAnsi"/>
          <w:sz w:val="22"/>
          <w:szCs w:val="22"/>
          <w:shd w:val="clear" w:color="auto" w:fill="FFFFFF"/>
          <w:lang w:eastAsia="en-US"/>
        </w:rPr>
        <w:t xml:space="preserve">явить некоторые пробелы, одним из которых является отсутствие единого подхода к определению организационно–правовой формы. Следствием чего является отсутствие достоверной и качественной информации касаемо фермерства. Как справедливо замечают </w:t>
      </w:r>
      <w:r w:rsidRPr="00EC1A78">
        <w:rPr>
          <w:rFonts w:eastAsiaTheme="minorHAnsi"/>
          <w:iCs/>
          <w:sz w:val="22"/>
          <w:szCs w:val="22"/>
          <w:lang w:eastAsia="en-US"/>
        </w:rPr>
        <w:t>Под</w:t>
      </w:r>
      <w:r w:rsidRPr="00EC1A78">
        <w:rPr>
          <w:rFonts w:eastAsiaTheme="minorHAnsi"/>
          <w:iCs/>
          <w:sz w:val="22"/>
          <w:szCs w:val="22"/>
          <w:lang w:eastAsia="en-US"/>
        </w:rPr>
        <w:t>о</w:t>
      </w:r>
      <w:r w:rsidRPr="00EC1A78">
        <w:rPr>
          <w:rFonts w:eastAsiaTheme="minorHAnsi"/>
          <w:iCs/>
          <w:sz w:val="22"/>
          <w:szCs w:val="22"/>
          <w:lang w:eastAsia="en-US"/>
        </w:rPr>
        <w:t>лянко А.В., Мустафина С.А.,</w:t>
      </w:r>
      <w:r w:rsidRPr="00EC1A78">
        <w:rPr>
          <w:rFonts w:eastAsiaTheme="minorHAnsi"/>
          <w:sz w:val="22"/>
          <w:szCs w:val="22"/>
          <w:shd w:val="clear" w:color="auto" w:fill="FFFFFF"/>
          <w:lang w:eastAsia="en-US"/>
        </w:rPr>
        <w:t xml:space="preserve"> «</w:t>
      </w:r>
      <w:r w:rsidRPr="00EC1A78">
        <w:rPr>
          <w:rFonts w:eastAsiaTheme="minorHAnsi"/>
          <w:sz w:val="22"/>
          <w:szCs w:val="22"/>
          <w:lang w:eastAsia="en-US"/>
        </w:rPr>
        <w:t>проблема также и в том, что КФХ заинтересованы в получении прибыли при выращивании своей сельхоз продукции, и для достижения своей экономической выгоды они прибегают к использованию различного рода удобрений и яд</w:t>
      </w:r>
      <w:r w:rsidRPr="00EC1A78">
        <w:rPr>
          <w:rFonts w:eastAsiaTheme="minorHAnsi"/>
          <w:sz w:val="22"/>
          <w:szCs w:val="22"/>
          <w:lang w:eastAsia="en-US"/>
        </w:rPr>
        <w:t>о</w:t>
      </w:r>
      <w:r w:rsidRPr="00EC1A78">
        <w:rPr>
          <w:rFonts w:eastAsiaTheme="minorHAnsi"/>
          <w:sz w:val="22"/>
          <w:szCs w:val="22"/>
          <w:lang w:eastAsia="en-US"/>
        </w:rPr>
        <w:t xml:space="preserve">химикатов для сельскохозяйственных культур, чтобы повысить урожайность и тем самым обогатиться» [2, </w:t>
      </w:r>
      <w:r w:rsidRPr="00EC1A78">
        <w:rPr>
          <w:rFonts w:eastAsiaTheme="minorHAnsi"/>
          <w:sz w:val="22"/>
          <w:szCs w:val="22"/>
          <w:lang w:val="en-US" w:eastAsia="en-US"/>
        </w:rPr>
        <w:t>c</w:t>
      </w:r>
      <w:r w:rsidRPr="00EC1A78">
        <w:rPr>
          <w:rFonts w:eastAsiaTheme="minorHAnsi"/>
          <w:sz w:val="22"/>
          <w:szCs w:val="22"/>
          <w:lang w:eastAsia="en-US"/>
        </w:rPr>
        <w:t xml:space="preserve">.874]. </w:t>
      </w:r>
      <w:r w:rsidRPr="00EC1A78">
        <w:rPr>
          <w:rFonts w:eastAsiaTheme="minorHAnsi"/>
          <w:sz w:val="22"/>
          <w:szCs w:val="22"/>
          <w:shd w:val="clear" w:color="auto" w:fill="FFFFFF"/>
          <w:lang w:eastAsia="en-US"/>
        </w:rPr>
        <w:t>Многие исслед</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ватели считают, что наличие бизнес–плана способствует упоряд</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чиванию экономических отношений, а также повышает перспект</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вы достижения производственных целей осуществляемой деятел</w:t>
      </w:r>
      <w:r w:rsidRPr="00EC1A78">
        <w:rPr>
          <w:rFonts w:eastAsiaTheme="minorHAnsi"/>
          <w:sz w:val="22"/>
          <w:szCs w:val="22"/>
          <w:shd w:val="clear" w:color="auto" w:fill="FFFFFF"/>
          <w:lang w:eastAsia="en-US"/>
        </w:rPr>
        <w:t>ь</w:t>
      </w:r>
      <w:r w:rsidRPr="00EC1A78">
        <w:rPr>
          <w:rFonts w:eastAsiaTheme="minorHAnsi"/>
          <w:sz w:val="22"/>
          <w:szCs w:val="22"/>
          <w:shd w:val="clear" w:color="auto" w:fill="FFFFFF"/>
          <w:lang w:eastAsia="en-US"/>
        </w:rPr>
        <w:t>ности, отсутствие бизнес–плана относят к очередному пробелу, препятствующему повышению производительности КФХ. Конечно, центральной проблемой является недостаточная доступность мер государственной поддержки для только начинающих развитие кр</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 xml:space="preserve">стьянских (фермерских) хозяйств. Следует также учитывать и тот факт, что в Краснодарском крае земля имеет высокую ценность и соответственно стоимость. </w:t>
      </w:r>
      <w:r w:rsidRPr="00EC1A78">
        <w:rPr>
          <w:rFonts w:eastAsiaTheme="minorHAnsi"/>
          <w:sz w:val="22"/>
          <w:szCs w:val="22"/>
          <w:lang w:eastAsia="en-US"/>
        </w:rPr>
        <w:t>Земля является объектом недвижимости и имеет юридический статус [3,</w:t>
      </w:r>
      <w:r w:rsidRPr="00EC1A78">
        <w:rPr>
          <w:rFonts w:eastAsiaTheme="minorHAnsi"/>
          <w:sz w:val="22"/>
          <w:szCs w:val="22"/>
          <w:lang w:val="en-US" w:eastAsia="en-US"/>
        </w:rPr>
        <w:t>c</w:t>
      </w:r>
      <w:r w:rsidRPr="00EC1A78">
        <w:rPr>
          <w:rFonts w:eastAsiaTheme="minorHAnsi"/>
          <w:sz w:val="22"/>
          <w:szCs w:val="22"/>
          <w:lang w:eastAsia="en-US"/>
        </w:rPr>
        <w:t xml:space="preserve">.91]. </w:t>
      </w:r>
      <w:r w:rsidRPr="00EC1A78">
        <w:rPr>
          <w:rFonts w:eastAsiaTheme="minorHAnsi"/>
          <w:sz w:val="22"/>
          <w:szCs w:val="22"/>
          <w:shd w:val="clear" w:color="auto" w:fill="FFFFFF"/>
          <w:lang w:eastAsia="en-US"/>
        </w:rPr>
        <w:t>Согласно статистике, колич</w:t>
      </w:r>
      <w:r w:rsidRPr="00EC1A78">
        <w:rPr>
          <w:rFonts w:eastAsiaTheme="minorHAnsi"/>
          <w:sz w:val="22"/>
          <w:szCs w:val="22"/>
          <w:shd w:val="clear" w:color="auto" w:fill="FFFFFF"/>
          <w:lang w:eastAsia="en-US"/>
        </w:rPr>
        <w:t>е</w:t>
      </w:r>
      <w:r w:rsidRPr="00EC1A78">
        <w:rPr>
          <w:rFonts w:eastAsiaTheme="minorHAnsi"/>
          <w:sz w:val="22"/>
          <w:szCs w:val="22"/>
          <w:shd w:val="clear" w:color="auto" w:fill="FFFFFF"/>
          <w:lang w:eastAsia="en-US"/>
        </w:rPr>
        <w:t>ство крестьянских фермерских хозяйств за последние годы сокр</w:t>
      </w:r>
      <w:r w:rsidRPr="00EC1A78">
        <w:rPr>
          <w:rFonts w:eastAsiaTheme="minorHAnsi"/>
          <w:sz w:val="22"/>
          <w:szCs w:val="22"/>
          <w:shd w:val="clear" w:color="auto" w:fill="FFFFFF"/>
          <w:lang w:eastAsia="en-US"/>
        </w:rPr>
        <w:t>а</w:t>
      </w:r>
      <w:r w:rsidRPr="00EC1A78">
        <w:rPr>
          <w:rFonts w:eastAsiaTheme="minorHAnsi"/>
          <w:sz w:val="22"/>
          <w:szCs w:val="22"/>
          <w:shd w:val="clear" w:color="auto" w:fill="FFFFFF"/>
          <w:lang w:eastAsia="en-US"/>
        </w:rPr>
        <w:t xml:space="preserve">тилось на 30%. </w:t>
      </w:r>
      <w:r w:rsidRPr="00EC1A78">
        <w:rPr>
          <w:rFonts w:eastAsiaTheme="minorHAnsi"/>
          <w:color w:val="000000"/>
          <w:sz w:val="22"/>
          <w:szCs w:val="22"/>
          <w:shd w:val="clear" w:color="auto" w:fill="FFFFFF"/>
          <w:lang w:eastAsia="en-US"/>
        </w:rPr>
        <w:t>Фермерское хозяйство, созданное для производства, переработки и реализации сельскохозяйственной продукции, нео</w:t>
      </w:r>
      <w:r w:rsidRPr="00EC1A78">
        <w:rPr>
          <w:rFonts w:eastAsiaTheme="minorHAnsi"/>
          <w:color w:val="000000"/>
          <w:sz w:val="22"/>
          <w:szCs w:val="22"/>
          <w:shd w:val="clear" w:color="auto" w:fill="FFFFFF"/>
          <w:lang w:eastAsia="en-US"/>
        </w:rPr>
        <w:t>б</w:t>
      </w:r>
      <w:r w:rsidRPr="00EC1A78">
        <w:rPr>
          <w:rFonts w:eastAsiaTheme="minorHAnsi"/>
          <w:color w:val="000000"/>
          <w:sz w:val="22"/>
          <w:szCs w:val="22"/>
          <w:shd w:val="clear" w:color="auto" w:fill="FFFFFF"/>
          <w:lang w:eastAsia="en-US"/>
        </w:rPr>
        <w:t xml:space="preserve">ходимо поддерживать и реализовывать программы, </w:t>
      </w:r>
      <w:r w:rsidRPr="00EC1A78">
        <w:rPr>
          <w:rFonts w:eastAsiaTheme="minorHAnsi"/>
          <w:sz w:val="22"/>
          <w:szCs w:val="22"/>
          <w:shd w:val="clear" w:color="auto" w:fill="FFFFFF"/>
          <w:lang w:eastAsia="en-US"/>
        </w:rPr>
        <w:t>направленные на развитие сельскохозяйственной деятельности, увеличение кол</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чества сельхозпродукции, а также повышение эффективности и</w:t>
      </w:r>
      <w:r w:rsidRPr="00EC1A78">
        <w:rPr>
          <w:rFonts w:eastAsiaTheme="minorHAnsi"/>
          <w:sz w:val="22"/>
          <w:szCs w:val="22"/>
          <w:shd w:val="clear" w:color="auto" w:fill="FFFFFF"/>
          <w:lang w:eastAsia="en-US"/>
        </w:rPr>
        <w:t>с</w:t>
      </w:r>
      <w:r w:rsidRPr="00EC1A78">
        <w:rPr>
          <w:rFonts w:eastAsiaTheme="minorHAnsi"/>
          <w:sz w:val="22"/>
          <w:szCs w:val="22"/>
          <w:shd w:val="clear" w:color="auto" w:fill="FFFFFF"/>
          <w:lang w:eastAsia="en-US"/>
        </w:rPr>
        <w:t xml:space="preserve">пользования земельных участков из земель сельскохозяйственного назначения. </w:t>
      </w:r>
    </w:p>
    <w:p w:rsidR="00EC1A78" w:rsidRPr="00EC1A78" w:rsidRDefault="00EC1A78" w:rsidP="00EC1A78">
      <w:pPr>
        <w:rPr>
          <w:rFonts w:eastAsiaTheme="minorHAnsi"/>
          <w:sz w:val="22"/>
          <w:szCs w:val="22"/>
          <w:shd w:val="clear" w:color="auto" w:fill="FFFFFF"/>
          <w:lang w:eastAsia="en-US"/>
        </w:rPr>
      </w:pPr>
    </w:p>
    <w:p w:rsidR="00EC1A78" w:rsidRPr="00EC1A78" w:rsidRDefault="00EC1A78" w:rsidP="00EC1A78">
      <w:pPr>
        <w:jc w:val="center"/>
        <w:rPr>
          <w:rFonts w:eastAsiaTheme="minorHAnsi"/>
          <w:sz w:val="22"/>
          <w:szCs w:val="22"/>
          <w:shd w:val="clear" w:color="auto" w:fill="FFFFFF"/>
          <w:lang w:eastAsia="en-US"/>
        </w:rPr>
      </w:pPr>
      <w:r w:rsidRPr="00EC1A78">
        <w:rPr>
          <w:rFonts w:eastAsiaTheme="minorHAnsi"/>
          <w:sz w:val="22"/>
          <w:szCs w:val="22"/>
          <w:shd w:val="clear" w:color="auto" w:fill="FFFFFF"/>
          <w:lang w:eastAsia="en-US"/>
        </w:rPr>
        <w:t>Список литературы</w:t>
      </w:r>
    </w:p>
    <w:p w:rsidR="00EC1A78" w:rsidRPr="00EC1A78" w:rsidRDefault="00EC1A78" w:rsidP="00EC1A78">
      <w:pPr>
        <w:ind w:firstLine="426"/>
        <w:jc w:val="both"/>
        <w:rPr>
          <w:bCs/>
          <w:kern w:val="36"/>
          <w:sz w:val="22"/>
          <w:szCs w:val="22"/>
          <w:lang w:eastAsia="en-US"/>
        </w:rPr>
      </w:pPr>
      <w:r w:rsidRPr="00EC1A78">
        <w:rPr>
          <w:bCs/>
          <w:kern w:val="36"/>
          <w:sz w:val="22"/>
          <w:szCs w:val="22"/>
          <w:lang w:eastAsia="en-US"/>
        </w:rPr>
        <w:t>1. Федеральный закон «О крестьянском (фермерском) хозя</w:t>
      </w:r>
      <w:r w:rsidRPr="00EC1A78">
        <w:rPr>
          <w:bCs/>
          <w:kern w:val="36"/>
          <w:sz w:val="22"/>
          <w:szCs w:val="22"/>
          <w:lang w:eastAsia="en-US"/>
        </w:rPr>
        <w:t>й</w:t>
      </w:r>
      <w:r w:rsidRPr="00EC1A78">
        <w:rPr>
          <w:bCs/>
          <w:kern w:val="36"/>
          <w:sz w:val="22"/>
          <w:szCs w:val="22"/>
          <w:lang w:eastAsia="en-US"/>
        </w:rPr>
        <w:t>стве» от 11.06.2003 N 74–ФЗ.</w:t>
      </w:r>
    </w:p>
    <w:p w:rsidR="00EC1A78" w:rsidRPr="00EC1A78" w:rsidRDefault="00EC1A78" w:rsidP="00EC1A78">
      <w:pPr>
        <w:ind w:firstLine="426"/>
        <w:jc w:val="both"/>
        <w:rPr>
          <w:bCs/>
          <w:kern w:val="36"/>
          <w:sz w:val="22"/>
          <w:szCs w:val="22"/>
          <w:lang w:eastAsia="en-US"/>
        </w:rPr>
      </w:pPr>
      <w:r w:rsidRPr="00EC1A78">
        <w:rPr>
          <w:rFonts w:eastAsiaTheme="minorHAnsi"/>
          <w:sz w:val="22"/>
          <w:szCs w:val="22"/>
          <w:lang w:eastAsia="en-US"/>
        </w:rPr>
        <w:lastRenderedPageBreak/>
        <w:t>2. Подолянко А.В., Мустафина С.А. О превышении устано</w:t>
      </w:r>
      <w:r w:rsidRPr="00EC1A78">
        <w:rPr>
          <w:rFonts w:eastAsiaTheme="minorHAnsi"/>
          <w:sz w:val="22"/>
          <w:szCs w:val="22"/>
          <w:lang w:eastAsia="en-US"/>
        </w:rPr>
        <w:t>в</w:t>
      </w:r>
      <w:r w:rsidRPr="00EC1A78">
        <w:rPr>
          <w:rFonts w:eastAsiaTheme="minorHAnsi"/>
          <w:sz w:val="22"/>
          <w:szCs w:val="22"/>
          <w:lang w:eastAsia="en-US"/>
        </w:rPr>
        <w:t>ленных предельно допустимых нормативов химических элементов в почвах некоторых хозяйствующих субъектов Краснодарского края. В сборнике: Научное обеспечение агропромышленного ко</w:t>
      </w:r>
      <w:r w:rsidRPr="00EC1A78">
        <w:rPr>
          <w:rFonts w:eastAsiaTheme="minorHAnsi"/>
          <w:sz w:val="22"/>
          <w:szCs w:val="22"/>
          <w:lang w:eastAsia="en-US"/>
        </w:rPr>
        <w:t>м</w:t>
      </w:r>
      <w:r w:rsidRPr="00EC1A78">
        <w:rPr>
          <w:rFonts w:eastAsiaTheme="minorHAnsi"/>
          <w:sz w:val="22"/>
          <w:szCs w:val="22"/>
          <w:lang w:eastAsia="en-US"/>
        </w:rPr>
        <w:t>плекса:  сборник статей по материалам 72–й научно–практической конференции студентов по итогам НИР за 2016 год. Краснодар: КубГАУ, 2017. С. 873–876.</w:t>
      </w:r>
    </w:p>
    <w:p w:rsidR="00EC1A78" w:rsidRPr="00EC1A78" w:rsidRDefault="00EC1A78" w:rsidP="00EC1A78">
      <w:pPr>
        <w:ind w:firstLine="426"/>
        <w:jc w:val="both"/>
        <w:rPr>
          <w:bCs/>
          <w:kern w:val="36"/>
          <w:sz w:val="22"/>
          <w:szCs w:val="22"/>
          <w:lang w:eastAsia="en-US"/>
        </w:rPr>
      </w:pPr>
      <w:r w:rsidRPr="00EC1A78">
        <w:rPr>
          <w:rFonts w:eastAsiaTheme="minorHAnsi"/>
          <w:sz w:val="22"/>
          <w:szCs w:val="22"/>
          <w:lang w:eastAsia="en-US"/>
        </w:rPr>
        <w:t>3. Глушко О.А., Гришко Л.А. Аренда как вид пользования з</w:t>
      </w:r>
      <w:r w:rsidRPr="00EC1A78">
        <w:rPr>
          <w:rFonts w:eastAsiaTheme="minorHAnsi"/>
          <w:sz w:val="22"/>
          <w:szCs w:val="22"/>
          <w:lang w:eastAsia="en-US"/>
        </w:rPr>
        <w:t>е</w:t>
      </w:r>
      <w:r w:rsidRPr="00EC1A78">
        <w:rPr>
          <w:rFonts w:eastAsiaTheme="minorHAnsi"/>
          <w:sz w:val="22"/>
          <w:szCs w:val="22"/>
          <w:lang w:eastAsia="en-US"/>
        </w:rPr>
        <w:t>мельными участками и споры, возникающие при ее использов</w:t>
      </w:r>
      <w:r w:rsidRPr="00EC1A78">
        <w:rPr>
          <w:rFonts w:eastAsiaTheme="minorHAnsi"/>
          <w:sz w:val="22"/>
          <w:szCs w:val="22"/>
          <w:lang w:eastAsia="en-US"/>
        </w:rPr>
        <w:t>а</w:t>
      </w:r>
      <w:r w:rsidRPr="00EC1A78">
        <w:rPr>
          <w:rFonts w:eastAsiaTheme="minorHAnsi"/>
          <w:sz w:val="22"/>
          <w:szCs w:val="22"/>
          <w:lang w:eastAsia="en-US"/>
        </w:rPr>
        <w:t>нии.В сборнике: Наука молодых будущее России/ Сборник научных статей 2–й Международной научной конференции перспективных разработок молодых ученых. В 5–ти томах. Ответственный реда</w:t>
      </w:r>
      <w:r w:rsidRPr="00EC1A78">
        <w:rPr>
          <w:rFonts w:eastAsiaTheme="minorHAnsi"/>
          <w:sz w:val="22"/>
          <w:szCs w:val="22"/>
          <w:lang w:eastAsia="en-US"/>
        </w:rPr>
        <w:t>к</w:t>
      </w:r>
      <w:r w:rsidRPr="00EC1A78">
        <w:rPr>
          <w:rFonts w:eastAsiaTheme="minorHAnsi"/>
          <w:sz w:val="22"/>
          <w:szCs w:val="22"/>
          <w:lang w:eastAsia="en-US"/>
        </w:rPr>
        <w:t>тор А.А. Горохов. 2017. С. 90–94.</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Pr="00EC1A78" w:rsidRDefault="00EE657B"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343.346</w:t>
      </w:r>
    </w:p>
    <w:p w:rsidR="00EC1A78" w:rsidRPr="00EC1A78" w:rsidRDefault="00EC1A78" w:rsidP="00EC1A78">
      <w:pPr>
        <w:jc w:val="both"/>
        <w:rPr>
          <w:rFonts w:eastAsiaTheme="minorHAnsi"/>
          <w:sz w:val="22"/>
          <w:szCs w:val="22"/>
          <w:lang w:eastAsia="en-US"/>
        </w:rPr>
      </w:pPr>
    </w:p>
    <w:p w:rsidR="00EE657B" w:rsidRDefault="00EC1A78" w:rsidP="00EC1A78">
      <w:pPr>
        <w:ind w:firstLine="425"/>
        <w:jc w:val="center"/>
        <w:rPr>
          <w:rFonts w:eastAsiaTheme="minorHAnsi"/>
          <w:b/>
          <w:sz w:val="24"/>
          <w:szCs w:val="22"/>
          <w:lang w:eastAsia="en-US"/>
        </w:rPr>
      </w:pPr>
      <w:r w:rsidRPr="00EC1A78">
        <w:rPr>
          <w:rFonts w:eastAsiaTheme="minorHAnsi"/>
          <w:b/>
          <w:sz w:val="24"/>
          <w:szCs w:val="22"/>
          <w:lang w:eastAsia="en-US"/>
        </w:rPr>
        <w:t xml:space="preserve">Уголовно–правовой анализ ответственности </w:t>
      </w:r>
      <w:r w:rsidR="00EE657B">
        <w:rPr>
          <w:rFonts w:eastAsiaTheme="minorHAnsi"/>
          <w:b/>
          <w:sz w:val="24"/>
          <w:szCs w:val="22"/>
          <w:lang w:eastAsia="en-US"/>
        </w:rPr>
        <w:br/>
      </w:r>
      <w:r w:rsidRPr="00EC1A78">
        <w:rPr>
          <w:rFonts w:eastAsiaTheme="minorHAnsi"/>
          <w:b/>
          <w:sz w:val="24"/>
          <w:szCs w:val="22"/>
          <w:lang w:eastAsia="en-US"/>
        </w:rPr>
        <w:t>за нарушение правил дорожного движения лицом,</w:t>
      </w:r>
      <w:r w:rsidR="00EE657B">
        <w:rPr>
          <w:rFonts w:eastAsiaTheme="minorHAnsi"/>
          <w:b/>
          <w:sz w:val="24"/>
          <w:szCs w:val="22"/>
          <w:lang w:eastAsia="en-US"/>
        </w:rPr>
        <w:br/>
      </w:r>
      <w:r w:rsidRPr="00EC1A78">
        <w:rPr>
          <w:rFonts w:eastAsiaTheme="minorHAnsi"/>
          <w:b/>
          <w:sz w:val="24"/>
          <w:szCs w:val="22"/>
          <w:lang w:eastAsia="en-US"/>
        </w:rPr>
        <w:t xml:space="preserve"> подвергнутым административному взысканию </w:t>
      </w:r>
    </w:p>
    <w:p w:rsidR="00EC1A78" w:rsidRPr="001C6F5C" w:rsidRDefault="00EC1A78" w:rsidP="00EC1A78">
      <w:pPr>
        <w:ind w:firstLine="425"/>
        <w:jc w:val="center"/>
        <w:rPr>
          <w:rFonts w:eastAsiaTheme="minorHAnsi"/>
          <w:b/>
          <w:sz w:val="24"/>
          <w:szCs w:val="22"/>
          <w:lang w:val="en-US" w:eastAsia="en-US"/>
        </w:rPr>
      </w:pPr>
      <w:r w:rsidRPr="001C6F5C">
        <w:rPr>
          <w:rFonts w:eastAsiaTheme="minorHAnsi"/>
          <w:b/>
          <w:sz w:val="24"/>
          <w:szCs w:val="22"/>
          <w:lang w:val="en-US" w:eastAsia="en-US"/>
        </w:rPr>
        <w:t>(</w:t>
      </w:r>
      <w:r w:rsidRPr="00EC1A78">
        <w:rPr>
          <w:rFonts w:eastAsiaTheme="minorHAnsi"/>
          <w:b/>
          <w:sz w:val="24"/>
          <w:szCs w:val="22"/>
          <w:lang w:eastAsia="en-US"/>
        </w:rPr>
        <w:t>ст</w:t>
      </w:r>
      <w:r w:rsidRPr="001C6F5C">
        <w:rPr>
          <w:rFonts w:eastAsiaTheme="minorHAnsi"/>
          <w:b/>
          <w:sz w:val="24"/>
          <w:szCs w:val="22"/>
          <w:lang w:val="en-US" w:eastAsia="en-US"/>
        </w:rPr>
        <w:t xml:space="preserve">. 264.1 </w:t>
      </w:r>
      <w:r w:rsidRPr="00EC1A78">
        <w:rPr>
          <w:rFonts w:eastAsiaTheme="minorHAnsi"/>
          <w:b/>
          <w:sz w:val="24"/>
          <w:szCs w:val="22"/>
          <w:lang w:eastAsia="en-US"/>
        </w:rPr>
        <w:t>УК</w:t>
      </w:r>
      <w:r w:rsidRPr="001C6F5C">
        <w:rPr>
          <w:rFonts w:eastAsiaTheme="minorHAnsi"/>
          <w:b/>
          <w:sz w:val="24"/>
          <w:szCs w:val="22"/>
          <w:lang w:val="en-US" w:eastAsia="en-US"/>
        </w:rPr>
        <w:t xml:space="preserve"> </w:t>
      </w:r>
      <w:r w:rsidRPr="00EC1A78">
        <w:rPr>
          <w:rFonts w:eastAsiaTheme="minorHAnsi"/>
          <w:b/>
          <w:sz w:val="24"/>
          <w:szCs w:val="22"/>
          <w:lang w:eastAsia="en-US"/>
        </w:rPr>
        <w:t>РФ</w:t>
      </w:r>
      <w:r w:rsidRPr="001C6F5C">
        <w:rPr>
          <w:rFonts w:eastAsiaTheme="minorHAnsi"/>
          <w:b/>
          <w:sz w:val="24"/>
          <w:szCs w:val="22"/>
          <w:lang w:val="en-US" w:eastAsia="en-US"/>
        </w:rPr>
        <w:t>)</w:t>
      </w:r>
    </w:p>
    <w:p w:rsidR="00EC1A78" w:rsidRPr="001C6F5C" w:rsidRDefault="00EC1A78" w:rsidP="00EC1A78">
      <w:pPr>
        <w:ind w:firstLine="425"/>
        <w:jc w:val="center"/>
        <w:rPr>
          <w:rFonts w:eastAsiaTheme="minorHAnsi"/>
          <w:b/>
          <w:sz w:val="24"/>
          <w:szCs w:val="22"/>
          <w:lang w:val="en-US" w:eastAsia="en-US"/>
        </w:rPr>
      </w:pPr>
      <w:r w:rsidRPr="00EC1A78">
        <w:rPr>
          <w:rFonts w:eastAsiaTheme="minorHAnsi"/>
          <w:b/>
          <w:sz w:val="24"/>
          <w:szCs w:val="22"/>
          <w:lang w:val="en-US" w:eastAsia="en-US"/>
        </w:rPr>
        <w:t>Criminal</w:t>
      </w:r>
      <w:r w:rsidRPr="001C6F5C">
        <w:rPr>
          <w:rFonts w:eastAsiaTheme="minorHAnsi"/>
          <w:b/>
          <w:sz w:val="24"/>
          <w:szCs w:val="22"/>
          <w:lang w:val="en-US" w:eastAsia="en-US"/>
        </w:rPr>
        <w:t xml:space="preserve"> </w:t>
      </w:r>
      <w:r w:rsidRPr="00EC1A78">
        <w:rPr>
          <w:rFonts w:eastAsiaTheme="minorHAnsi"/>
          <w:b/>
          <w:sz w:val="24"/>
          <w:szCs w:val="22"/>
          <w:lang w:val="en-US" w:eastAsia="en-US"/>
        </w:rPr>
        <w:t>analysis</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liability</w:t>
      </w:r>
      <w:r w:rsidRPr="001C6F5C">
        <w:rPr>
          <w:rFonts w:eastAsiaTheme="minorHAnsi"/>
          <w:b/>
          <w:sz w:val="24"/>
          <w:szCs w:val="22"/>
          <w:lang w:val="en-US" w:eastAsia="en-US"/>
        </w:rPr>
        <w:t xml:space="preserve"> </w:t>
      </w:r>
      <w:r w:rsidRPr="00EC1A78">
        <w:rPr>
          <w:rFonts w:eastAsiaTheme="minorHAnsi"/>
          <w:b/>
          <w:sz w:val="24"/>
          <w:szCs w:val="22"/>
          <w:lang w:val="en-US" w:eastAsia="en-US"/>
        </w:rPr>
        <w:t>for</w:t>
      </w:r>
      <w:r w:rsidRPr="001C6F5C">
        <w:rPr>
          <w:rFonts w:eastAsiaTheme="minorHAnsi"/>
          <w:b/>
          <w:sz w:val="24"/>
          <w:szCs w:val="22"/>
          <w:lang w:val="en-US" w:eastAsia="en-US"/>
        </w:rPr>
        <w:t xml:space="preserve"> </w:t>
      </w:r>
      <w:r w:rsidRPr="00EC1A78">
        <w:rPr>
          <w:rFonts w:eastAsiaTheme="minorHAnsi"/>
          <w:b/>
          <w:sz w:val="24"/>
          <w:szCs w:val="22"/>
          <w:lang w:val="en-US" w:eastAsia="en-US"/>
        </w:rPr>
        <w:t>violation</w:t>
      </w:r>
      <w:r w:rsidRPr="001C6F5C">
        <w:rPr>
          <w:rFonts w:eastAsiaTheme="minorHAnsi"/>
          <w:b/>
          <w:sz w:val="24"/>
          <w:szCs w:val="22"/>
          <w:lang w:val="en-US" w:eastAsia="en-US"/>
        </w:rPr>
        <w:t xml:space="preserve"> </w:t>
      </w:r>
      <w:r w:rsidRPr="00EC1A78">
        <w:rPr>
          <w:rFonts w:eastAsiaTheme="minorHAnsi"/>
          <w:b/>
          <w:sz w:val="24"/>
          <w:szCs w:val="22"/>
          <w:lang w:val="en-US" w:eastAsia="en-US"/>
        </w:rPr>
        <w:t>of</w:t>
      </w:r>
      <w:r w:rsidRPr="001C6F5C">
        <w:rPr>
          <w:rFonts w:eastAsiaTheme="minorHAnsi"/>
          <w:b/>
          <w:sz w:val="24"/>
          <w:szCs w:val="22"/>
          <w:lang w:val="en-US" w:eastAsia="en-US"/>
        </w:rPr>
        <w:t xml:space="preserve"> </w:t>
      </w:r>
      <w:r w:rsidRPr="00EC1A78">
        <w:rPr>
          <w:rFonts w:eastAsiaTheme="minorHAnsi"/>
          <w:b/>
          <w:sz w:val="24"/>
          <w:szCs w:val="22"/>
          <w:lang w:val="en-US" w:eastAsia="en-US"/>
        </w:rPr>
        <w:t>traffic</w:t>
      </w:r>
      <w:r w:rsidRPr="001C6F5C">
        <w:rPr>
          <w:rFonts w:eastAsiaTheme="minorHAnsi"/>
          <w:b/>
          <w:sz w:val="24"/>
          <w:szCs w:val="22"/>
          <w:lang w:val="en-US" w:eastAsia="en-US"/>
        </w:rPr>
        <w:t xml:space="preserve"> </w:t>
      </w:r>
      <w:r w:rsidRPr="00EC1A78">
        <w:rPr>
          <w:rFonts w:eastAsiaTheme="minorHAnsi"/>
          <w:b/>
          <w:sz w:val="24"/>
          <w:szCs w:val="22"/>
          <w:lang w:val="en-US" w:eastAsia="en-US"/>
        </w:rPr>
        <w:t>rules</w:t>
      </w:r>
      <w:r w:rsidRPr="001C6F5C">
        <w:rPr>
          <w:rFonts w:eastAsiaTheme="minorHAnsi"/>
          <w:b/>
          <w:sz w:val="24"/>
          <w:szCs w:val="22"/>
          <w:lang w:val="en-US" w:eastAsia="en-US"/>
        </w:rPr>
        <w:t xml:space="preserve"> </w:t>
      </w:r>
      <w:r w:rsidRPr="00EC1A78">
        <w:rPr>
          <w:rFonts w:eastAsiaTheme="minorHAnsi"/>
          <w:b/>
          <w:sz w:val="24"/>
          <w:szCs w:val="22"/>
          <w:lang w:val="en-US" w:eastAsia="en-US"/>
        </w:rPr>
        <w:t>by</w:t>
      </w:r>
      <w:r w:rsidRPr="001C6F5C">
        <w:rPr>
          <w:rFonts w:eastAsiaTheme="minorHAnsi"/>
          <w:b/>
          <w:sz w:val="24"/>
          <w:szCs w:val="22"/>
          <w:lang w:val="en-US" w:eastAsia="en-US"/>
        </w:rPr>
        <w:t xml:space="preserve"> </w:t>
      </w:r>
      <w:r w:rsidRPr="00EC1A78">
        <w:rPr>
          <w:rFonts w:eastAsiaTheme="minorHAnsi"/>
          <w:b/>
          <w:sz w:val="24"/>
          <w:szCs w:val="22"/>
          <w:lang w:val="en-US" w:eastAsia="en-US"/>
        </w:rPr>
        <w:t>a</w:t>
      </w:r>
      <w:r w:rsidRPr="001C6F5C">
        <w:rPr>
          <w:rFonts w:eastAsiaTheme="minorHAnsi"/>
          <w:b/>
          <w:sz w:val="24"/>
          <w:szCs w:val="22"/>
          <w:lang w:val="en-US" w:eastAsia="en-US"/>
        </w:rPr>
        <w:t xml:space="preserve"> </w:t>
      </w:r>
      <w:r w:rsidRPr="00EC1A78">
        <w:rPr>
          <w:rFonts w:eastAsiaTheme="minorHAnsi"/>
          <w:b/>
          <w:sz w:val="24"/>
          <w:szCs w:val="22"/>
          <w:lang w:val="en-US" w:eastAsia="en-US"/>
        </w:rPr>
        <w:t>person</w:t>
      </w:r>
      <w:r w:rsidRPr="001C6F5C">
        <w:rPr>
          <w:rFonts w:eastAsiaTheme="minorHAnsi"/>
          <w:b/>
          <w:sz w:val="24"/>
          <w:szCs w:val="22"/>
          <w:lang w:val="en-US" w:eastAsia="en-US"/>
        </w:rPr>
        <w:t xml:space="preserve"> </w:t>
      </w:r>
      <w:r w:rsidRPr="00EC1A78">
        <w:rPr>
          <w:rFonts w:eastAsiaTheme="minorHAnsi"/>
          <w:b/>
          <w:sz w:val="24"/>
          <w:szCs w:val="22"/>
          <w:lang w:val="en-US" w:eastAsia="en-US"/>
        </w:rPr>
        <w:t>subject</w:t>
      </w:r>
      <w:r w:rsidRPr="001C6F5C">
        <w:rPr>
          <w:rFonts w:eastAsiaTheme="minorHAnsi"/>
          <w:b/>
          <w:sz w:val="24"/>
          <w:szCs w:val="22"/>
          <w:lang w:val="en-US" w:eastAsia="en-US"/>
        </w:rPr>
        <w:t xml:space="preserve"> </w:t>
      </w:r>
      <w:r w:rsidRPr="00EC1A78">
        <w:rPr>
          <w:rFonts w:eastAsiaTheme="minorHAnsi"/>
          <w:b/>
          <w:sz w:val="24"/>
          <w:szCs w:val="22"/>
          <w:lang w:val="en-US" w:eastAsia="en-US"/>
        </w:rPr>
        <w:t>to</w:t>
      </w:r>
      <w:r w:rsidRPr="001C6F5C">
        <w:rPr>
          <w:rFonts w:eastAsiaTheme="minorHAnsi"/>
          <w:b/>
          <w:sz w:val="24"/>
          <w:szCs w:val="22"/>
          <w:lang w:val="en-US" w:eastAsia="en-US"/>
        </w:rPr>
        <w:t xml:space="preserve"> </w:t>
      </w:r>
      <w:r w:rsidRPr="00EC1A78">
        <w:rPr>
          <w:rFonts w:eastAsiaTheme="minorHAnsi"/>
          <w:b/>
          <w:sz w:val="24"/>
          <w:szCs w:val="22"/>
          <w:lang w:val="en-US" w:eastAsia="en-US"/>
        </w:rPr>
        <w:t>administrative</w:t>
      </w:r>
      <w:r w:rsidRPr="001C6F5C">
        <w:rPr>
          <w:rFonts w:eastAsiaTheme="minorHAnsi"/>
          <w:b/>
          <w:sz w:val="24"/>
          <w:szCs w:val="22"/>
          <w:lang w:val="en-US" w:eastAsia="en-US"/>
        </w:rPr>
        <w:t xml:space="preserve"> </w:t>
      </w:r>
      <w:r w:rsidRPr="00EC1A78">
        <w:rPr>
          <w:rFonts w:eastAsiaTheme="minorHAnsi"/>
          <w:b/>
          <w:sz w:val="24"/>
          <w:szCs w:val="22"/>
          <w:lang w:val="en-US" w:eastAsia="en-US"/>
        </w:rPr>
        <w:t>penalty</w:t>
      </w:r>
      <w:r w:rsidRPr="001C6F5C">
        <w:rPr>
          <w:rFonts w:eastAsiaTheme="minorHAnsi"/>
          <w:b/>
          <w:sz w:val="24"/>
          <w:szCs w:val="22"/>
          <w:lang w:val="en-US" w:eastAsia="en-US"/>
        </w:rPr>
        <w:t xml:space="preserve"> </w:t>
      </w:r>
    </w:p>
    <w:p w:rsidR="00EC1A78" w:rsidRPr="00EC1A78" w:rsidRDefault="00EC1A78" w:rsidP="00EC1A78">
      <w:pPr>
        <w:ind w:firstLine="425"/>
        <w:jc w:val="center"/>
        <w:rPr>
          <w:rFonts w:eastAsiaTheme="minorHAnsi"/>
          <w:b/>
          <w:sz w:val="24"/>
          <w:szCs w:val="22"/>
          <w:lang w:val="en-US" w:eastAsia="en-US"/>
        </w:rPr>
      </w:pPr>
      <w:r w:rsidRPr="00EC1A78">
        <w:rPr>
          <w:rFonts w:eastAsiaTheme="minorHAnsi"/>
          <w:b/>
          <w:sz w:val="24"/>
          <w:szCs w:val="22"/>
          <w:lang w:val="en-US" w:eastAsia="en-US"/>
        </w:rPr>
        <w:t xml:space="preserve">(article 264.1 of the </w:t>
      </w:r>
      <w:r w:rsidRPr="00EC1A78">
        <w:rPr>
          <w:rFonts w:eastAsiaTheme="minorHAnsi"/>
          <w:b/>
          <w:sz w:val="24"/>
          <w:szCs w:val="22"/>
          <w:lang w:eastAsia="en-US"/>
        </w:rPr>
        <w:t>С</w:t>
      </w:r>
      <w:r w:rsidRPr="00EC1A78">
        <w:rPr>
          <w:rFonts w:eastAsiaTheme="minorHAnsi"/>
          <w:b/>
          <w:sz w:val="24"/>
          <w:szCs w:val="22"/>
          <w:lang w:val="en-US" w:eastAsia="en-US"/>
        </w:rPr>
        <w:t>riminal code)</w:t>
      </w:r>
    </w:p>
    <w:p w:rsidR="00EC1A78" w:rsidRPr="00EC1A78" w:rsidRDefault="00EC1A78" w:rsidP="00EC1A78">
      <w:pPr>
        <w:ind w:firstLine="425"/>
        <w:jc w:val="right"/>
        <w:rPr>
          <w:rFonts w:eastAsiaTheme="minorHAnsi"/>
          <w:sz w:val="22"/>
          <w:szCs w:val="22"/>
          <w:lang w:val="en-US" w:eastAsia="en-US"/>
        </w:rPr>
      </w:pP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Чижиков М.</w:t>
      </w:r>
      <w:r w:rsidR="00EE657B">
        <w:rPr>
          <w:rFonts w:eastAsiaTheme="minorHAnsi"/>
          <w:sz w:val="22"/>
          <w:szCs w:val="22"/>
          <w:lang w:eastAsia="en-US"/>
        </w:rPr>
        <w:t xml:space="preserve"> </w:t>
      </w:r>
      <w:r w:rsidRPr="00EC1A78">
        <w:rPr>
          <w:rFonts w:eastAsiaTheme="minorHAnsi"/>
          <w:sz w:val="22"/>
          <w:szCs w:val="22"/>
          <w:lang w:eastAsia="en-US"/>
        </w:rPr>
        <w:t>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Картавченко В.</w:t>
      </w:r>
      <w:r w:rsidR="00EE657B">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firstLine="425"/>
        <w:jc w:val="right"/>
        <w:rPr>
          <w:rFonts w:eastAsiaTheme="minorHAnsi"/>
          <w:sz w:val="22"/>
          <w:szCs w:val="22"/>
          <w:lang w:eastAsia="en-US"/>
        </w:rPr>
      </w:pPr>
      <w:r w:rsidRPr="00EC1A78">
        <w:rPr>
          <w:rFonts w:eastAsiaTheme="minorHAnsi"/>
          <w:sz w:val="22"/>
          <w:szCs w:val="22"/>
          <w:lang w:eastAsia="en-US"/>
        </w:rPr>
        <w:t xml:space="preserve"> университет имени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настоящей статье дан уголовно–правовой анализ ответственности за преступление, предусмотренное ст. 264.1 Уголовного кодекса, то есть за нарушение правил дорожного дв</w:t>
      </w:r>
      <w:r w:rsidRPr="00EC1A78">
        <w:rPr>
          <w:rFonts w:eastAsiaTheme="minorHAnsi"/>
          <w:sz w:val="22"/>
          <w:szCs w:val="22"/>
          <w:lang w:eastAsia="en-US"/>
        </w:rPr>
        <w:t>и</w:t>
      </w:r>
      <w:r w:rsidRPr="00EC1A78">
        <w:rPr>
          <w:rFonts w:eastAsiaTheme="minorHAnsi"/>
          <w:sz w:val="22"/>
          <w:szCs w:val="22"/>
          <w:lang w:eastAsia="en-US"/>
        </w:rPr>
        <w:t>жения лицом, подвергнутым административному взысканию. Авт</w:t>
      </w:r>
      <w:r w:rsidRPr="00EC1A78">
        <w:rPr>
          <w:rFonts w:eastAsiaTheme="minorHAnsi"/>
          <w:sz w:val="22"/>
          <w:szCs w:val="22"/>
          <w:lang w:eastAsia="en-US"/>
        </w:rPr>
        <w:t>о</w:t>
      </w:r>
      <w:r w:rsidRPr="00EC1A78">
        <w:rPr>
          <w:rFonts w:eastAsiaTheme="minorHAnsi"/>
          <w:sz w:val="22"/>
          <w:szCs w:val="22"/>
          <w:lang w:eastAsia="en-US"/>
        </w:rPr>
        <w:lastRenderedPageBreak/>
        <w:t>ром предложено ужесточение санкции по рассматриваемой статье в связи с тем, что количество дорожно–транспортных происшествий с каждым годом возрастает.</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this article presents a criminal and legal analysis of l</w:t>
      </w:r>
      <w:r w:rsidRPr="00EC1A78">
        <w:rPr>
          <w:rFonts w:eastAsiaTheme="minorHAnsi"/>
          <w:sz w:val="22"/>
          <w:szCs w:val="22"/>
          <w:lang w:val="en-US" w:eastAsia="en-US"/>
        </w:rPr>
        <w:t>i</w:t>
      </w:r>
      <w:r w:rsidRPr="00EC1A78">
        <w:rPr>
          <w:rFonts w:eastAsiaTheme="minorHAnsi"/>
          <w:sz w:val="22"/>
          <w:szCs w:val="22"/>
          <w:lang w:val="en-US" w:eastAsia="en-US"/>
        </w:rPr>
        <w:t>ability for a crime under Art. 264.1 of the Criminal code, that is, for vi</w:t>
      </w:r>
      <w:r w:rsidRPr="00EC1A78">
        <w:rPr>
          <w:rFonts w:eastAsiaTheme="minorHAnsi"/>
          <w:sz w:val="22"/>
          <w:szCs w:val="22"/>
          <w:lang w:val="en-US" w:eastAsia="en-US"/>
        </w:rPr>
        <w:t>o</w:t>
      </w:r>
      <w:r w:rsidRPr="00EC1A78">
        <w:rPr>
          <w:rFonts w:eastAsiaTheme="minorHAnsi"/>
          <w:sz w:val="22"/>
          <w:szCs w:val="22"/>
          <w:lang w:val="en-US" w:eastAsia="en-US"/>
        </w:rPr>
        <w:t>lation of traffic rules by a person subjected to administrative punishment. The author proposes to tighten the sanctions on the article in question due to the fact that the number of road accidents increases every year.</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уголовная ответственность, состояние алкогольного опьянения, дорожно–транспортные происшествия, лицо, подвергнутое административному взысканию.</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criminal responsibility, alcohol intoxication, road traffic accident, the person subjected to administrative penalties.</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Актуальность проблемы совершения дорожно–транспортных происшествий не оставляет никаких сомнений, поскольку ежегодно на дорогах России погибают и получают травмы различной степени тяжести тысячи людей. Так, согласно официальным данным, за 2017 год в Краснодарском крае совершено 6 415 ДТП, погибло 1 053 человек, ранено 7 739 человек, а всего в Российской Федерации совершено 169 432 ДТП, из них погибло 19 088 человек, ранено 215 374 человека[3].</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 1 июля 2015 года вступил в силу Федеральный закон от 31.12.2014 №528–ФЗ «О внесении изменений в отдельные закон</w:t>
      </w:r>
      <w:r w:rsidRPr="00EC1A78">
        <w:rPr>
          <w:rFonts w:eastAsiaTheme="minorHAnsi"/>
          <w:sz w:val="22"/>
          <w:szCs w:val="22"/>
          <w:lang w:eastAsia="en-US"/>
        </w:rPr>
        <w:t>о</w:t>
      </w:r>
      <w:r w:rsidRPr="00EC1A78">
        <w:rPr>
          <w:rFonts w:eastAsiaTheme="minorHAnsi"/>
          <w:sz w:val="22"/>
          <w:szCs w:val="22"/>
          <w:lang w:eastAsia="en-US"/>
        </w:rPr>
        <w:t>дательные акты Российской Федерации по вопросу усиления отве</w:t>
      </w:r>
      <w:r w:rsidRPr="00EC1A78">
        <w:rPr>
          <w:rFonts w:eastAsiaTheme="minorHAnsi"/>
          <w:sz w:val="22"/>
          <w:szCs w:val="22"/>
          <w:lang w:eastAsia="en-US"/>
        </w:rPr>
        <w:t>т</w:t>
      </w:r>
      <w:r w:rsidRPr="00EC1A78">
        <w:rPr>
          <w:rFonts w:eastAsiaTheme="minorHAnsi"/>
          <w:sz w:val="22"/>
          <w:szCs w:val="22"/>
          <w:lang w:eastAsia="en-US"/>
        </w:rPr>
        <w:t>ственности за совершение правонарушений в сфере безопасности дорожного движения». Указанным законом Уголовный кодекс РФ был дополнен статьей 264.1, которая предусматривает уголовную ответственность за нарушение правил дорожного движения лицом, которое уже было подвергнуто административному наказанию за аналогичное правонарушение.</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Санкция ст. 264.1 Уголовного кодекса Российской Федерации предусматривает максимальное наказание до 2 лет лишения своб</w:t>
      </w:r>
      <w:r w:rsidRPr="00EC1A78">
        <w:rPr>
          <w:rFonts w:eastAsiaTheme="minorHAnsi"/>
          <w:sz w:val="22"/>
          <w:szCs w:val="22"/>
          <w:lang w:eastAsia="en-US"/>
        </w:rPr>
        <w:t>о</w:t>
      </w:r>
      <w:r w:rsidRPr="00EC1A78">
        <w:rPr>
          <w:rFonts w:eastAsiaTheme="minorHAnsi"/>
          <w:sz w:val="22"/>
          <w:szCs w:val="22"/>
          <w:lang w:eastAsia="en-US"/>
        </w:rPr>
        <w:t>ды, поэтому в силу ч. 2 ст. 15 УК РФ указанное преступление отн</w:t>
      </w:r>
      <w:r w:rsidRPr="00EC1A78">
        <w:rPr>
          <w:rFonts w:eastAsiaTheme="minorHAnsi"/>
          <w:sz w:val="22"/>
          <w:szCs w:val="22"/>
          <w:lang w:eastAsia="en-US"/>
        </w:rPr>
        <w:t>о</w:t>
      </w:r>
      <w:r w:rsidRPr="00EC1A78">
        <w:rPr>
          <w:rFonts w:eastAsiaTheme="minorHAnsi"/>
          <w:sz w:val="22"/>
          <w:szCs w:val="22"/>
          <w:lang w:eastAsia="en-US"/>
        </w:rPr>
        <w:t>сится к категории преступлений небольшой тяжести. Некоторые авторы отмечают незначительность наказания для лица, управля</w:t>
      </w:r>
      <w:r w:rsidRPr="00EC1A78">
        <w:rPr>
          <w:rFonts w:eastAsiaTheme="minorHAnsi"/>
          <w:sz w:val="22"/>
          <w:szCs w:val="22"/>
          <w:lang w:eastAsia="en-US"/>
        </w:rPr>
        <w:t>ю</w:t>
      </w:r>
      <w:r w:rsidRPr="00EC1A78">
        <w:rPr>
          <w:rFonts w:eastAsiaTheme="minorHAnsi"/>
          <w:sz w:val="22"/>
          <w:szCs w:val="22"/>
          <w:lang w:eastAsia="en-US"/>
        </w:rPr>
        <w:t>щего транспортным средством в состоянии алкогольного опьян</w:t>
      </w:r>
      <w:r w:rsidRPr="00EC1A78">
        <w:rPr>
          <w:rFonts w:eastAsiaTheme="minorHAnsi"/>
          <w:sz w:val="22"/>
          <w:szCs w:val="22"/>
          <w:lang w:eastAsia="en-US"/>
        </w:rPr>
        <w:t>е</w:t>
      </w:r>
      <w:r w:rsidRPr="00EC1A78">
        <w:rPr>
          <w:rFonts w:eastAsiaTheme="minorHAnsi"/>
          <w:sz w:val="22"/>
          <w:szCs w:val="22"/>
          <w:lang w:eastAsia="en-US"/>
        </w:rPr>
        <w:lastRenderedPageBreak/>
        <w:t>ния, говоря о том, что максимальное наказание не соответствует характеру и степени общественной опасности преступного деяния.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Важно отметить, что для лица, управляющего транспортным средством в состоянии опьянения не наступает иных, предусмо</w:t>
      </w:r>
      <w:r w:rsidRPr="00EC1A78">
        <w:rPr>
          <w:rFonts w:eastAsiaTheme="minorHAnsi"/>
          <w:sz w:val="22"/>
          <w:szCs w:val="22"/>
          <w:lang w:eastAsia="en-US"/>
        </w:rPr>
        <w:t>т</w:t>
      </w:r>
      <w:r w:rsidRPr="00EC1A78">
        <w:rPr>
          <w:rFonts w:eastAsiaTheme="minorHAnsi"/>
          <w:sz w:val="22"/>
          <w:szCs w:val="22"/>
          <w:lang w:eastAsia="en-US"/>
        </w:rPr>
        <w:t>ренных Уголовным кодексом, правовых последствий. В частности, согласно п. «а» ч.4 ст. 18 УК РФ имеющаяся судимость по ст. 264.1 УК РФ при совершении тем же лицом нового преступления не о</w:t>
      </w:r>
      <w:r w:rsidRPr="00EC1A78">
        <w:rPr>
          <w:rFonts w:eastAsiaTheme="minorHAnsi"/>
          <w:sz w:val="22"/>
          <w:szCs w:val="22"/>
          <w:lang w:eastAsia="en-US"/>
        </w:rPr>
        <w:t>б</w:t>
      </w:r>
      <w:r w:rsidRPr="00EC1A78">
        <w:rPr>
          <w:rFonts w:eastAsiaTheme="minorHAnsi"/>
          <w:sz w:val="22"/>
          <w:szCs w:val="22"/>
          <w:lang w:eastAsia="en-US"/>
        </w:rPr>
        <w:t>разует рецидива преступлений, так как рассматриваемое преступл</w:t>
      </w:r>
      <w:r w:rsidRPr="00EC1A78">
        <w:rPr>
          <w:rFonts w:eastAsiaTheme="minorHAnsi"/>
          <w:sz w:val="22"/>
          <w:szCs w:val="22"/>
          <w:lang w:eastAsia="en-US"/>
        </w:rPr>
        <w:t>е</w:t>
      </w:r>
      <w:r w:rsidRPr="00EC1A78">
        <w:rPr>
          <w:rFonts w:eastAsiaTheme="minorHAnsi"/>
          <w:sz w:val="22"/>
          <w:szCs w:val="22"/>
          <w:lang w:eastAsia="en-US"/>
        </w:rPr>
        <w:t>ние относится к категории преступлений небольшой тяжести и, следовательно, не влечет более строгого уголовного наказания.</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И.В. Гранкин считает, что «катастрофическая статистика по с</w:t>
      </w:r>
      <w:r w:rsidRPr="00EC1A78">
        <w:rPr>
          <w:rFonts w:eastAsiaTheme="minorHAnsi"/>
          <w:sz w:val="22"/>
          <w:szCs w:val="22"/>
          <w:lang w:eastAsia="en-US"/>
        </w:rPr>
        <w:t>о</w:t>
      </w:r>
      <w:r w:rsidRPr="00EC1A78">
        <w:rPr>
          <w:rFonts w:eastAsiaTheme="minorHAnsi"/>
          <w:sz w:val="22"/>
          <w:szCs w:val="22"/>
          <w:lang w:eastAsia="en-US"/>
        </w:rPr>
        <w:t>вершенным дорожно–транспортным преступлениям в России тр</w:t>
      </w:r>
      <w:r w:rsidRPr="00EC1A78">
        <w:rPr>
          <w:rFonts w:eastAsiaTheme="minorHAnsi"/>
          <w:sz w:val="22"/>
          <w:szCs w:val="22"/>
          <w:lang w:eastAsia="en-US"/>
        </w:rPr>
        <w:t>е</w:t>
      </w:r>
      <w:r w:rsidRPr="00EC1A78">
        <w:rPr>
          <w:rFonts w:eastAsiaTheme="minorHAnsi"/>
          <w:sz w:val="22"/>
          <w:szCs w:val="22"/>
          <w:lang w:eastAsia="en-US"/>
        </w:rPr>
        <w:t>бует повышенной ответственности за автодорожное происшествие с тяжёлыми последствиями» [1]. А.М. Жуков отмечает, что с учётом закрепленных в Правилах дорожного движения примерах опасного и агрессивного вождения, которые привели к трагическим случаям, следует повысить уровень ответственности лиц, которые позволяют себе такое управление транспортным средством, при этом находясь в состоянии опьянения, пусть даже и не повлекшее дорожно–транспортного происшествия [2]. На наш взгляд, указанные мнения являются достаточно целесообразными с учетом пугающей стат</w:t>
      </w:r>
      <w:r w:rsidRPr="00EC1A78">
        <w:rPr>
          <w:rFonts w:eastAsiaTheme="minorHAnsi"/>
          <w:sz w:val="22"/>
          <w:szCs w:val="22"/>
          <w:lang w:eastAsia="en-US"/>
        </w:rPr>
        <w:t>и</w:t>
      </w:r>
      <w:r w:rsidRPr="00EC1A78">
        <w:rPr>
          <w:rFonts w:eastAsiaTheme="minorHAnsi"/>
          <w:sz w:val="22"/>
          <w:szCs w:val="22"/>
          <w:lang w:eastAsia="en-US"/>
        </w:rPr>
        <w:t>стики по общественно опасным последствиям, наступившим в р</w:t>
      </w:r>
      <w:r w:rsidRPr="00EC1A78">
        <w:rPr>
          <w:rFonts w:eastAsiaTheme="minorHAnsi"/>
          <w:sz w:val="22"/>
          <w:szCs w:val="22"/>
          <w:lang w:eastAsia="en-US"/>
        </w:rPr>
        <w:t>е</w:t>
      </w:r>
      <w:r w:rsidRPr="00EC1A78">
        <w:rPr>
          <w:rFonts w:eastAsiaTheme="minorHAnsi"/>
          <w:sz w:val="22"/>
          <w:szCs w:val="22"/>
          <w:lang w:eastAsia="en-US"/>
        </w:rPr>
        <w:t xml:space="preserve">зультате дорожно–транспортных преступлений. </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sz w:val="22"/>
          <w:szCs w:val="22"/>
          <w:lang w:eastAsia="en-US"/>
        </w:rPr>
        <w:t>Хотелось бы отметить возможность и практическую знач</w:t>
      </w:r>
      <w:r w:rsidRPr="00EC1A78">
        <w:rPr>
          <w:rFonts w:eastAsiaTheme="minorHAnsi"/>
          <w:sz w:val="22"/>
          <w:szCs w:val="22"/>
          <w:lang w:eastAsia="en-US"/>
        </w:rPr>
        <w:t>и</w:t>
      </w:r>
      <w:r w:rsidRPr="00EC1A78">
        <w:rPr>
          <w:rFonts w:eastAsiaTheme="minorHAnsi"/>
          <w:sz w:val="22"/>
          <w:szCs w:val="22"/>
          <w:lang w:eastAsia="en-US"/>
        </w:rPr>
        <w:t>мость разделения статьи 264.1 УК РФ на 2 части, при этом во вт</w:t>
      </w:r>
      <w:r w:rsidRPr="00EC1A78">
        <w:rPr>
          <w:rFonts w:eastAsiaTheme="minorHAnsi"/>
          <w:sz w:val="22"/>
          <w:szCs w:val="22"/>
          <w:lang w:eastAsia="en-US"/>
        </w:rPr>
        <w:t>о</w:t>
      </w:r>
      <w:r w:rsidRPr="00EC1A78">
        <w:rPr>
          <w:rFonts w:eastAsiaTheme="minorHAnsi"/>
          <w:sz w:val="22"/>
          <w:szCs w:val="22"/>
          <w:lang w:eastAsia="en-US"/>
        </w:rPr>
        <w:t>рую часть в качестве квалифицирующего признака ввести соверш</w:t>
      </w:r>
      <w:r w:rsidRPr="00EC1A78">
        <w:rPr>
          <w:rFonts w:eastAsiaTheme="minorHAnsi"/>
          <w:sz w:val="22"/>
          <w:szCs w:val="22"/>
          <w:lang w:eastAsia="en-US"/>
        </w:rPr>
        <w:t>е</w:t>
      </w:r>
      <w:r w:rsidRPr="00EC1A78">
        <w:rPr>
          <w:rFonts w:eastAsiaTheme="minorHAnsi"/>
          <w:sz w:val="22"/>
          <w:szCs w:val="22"/>
          <w:lang w:eastAsia="en-US"/>
        </w:rPr>
        <w:t>ние преступления, сопряженного с опасным вождением с устано</w:t>
      </w:r>
      <w:r w:rsidRPr="00EC1A78">
        <w:rPr>
          <w:rFonts w:eastAsiaTheme="minorHAnsi"/>
          <w:sz w:val="22"/>
          <w:szCs w:val="22"/>
          <w:lang w:eastAsia="en-US"/>
        </w:rPr>
        <w:t>в</w:t>
      </w:r>
      <w:r w:rsidRPr="00EC1A78">
        <w:rPr>
          <w:rFonts w:eastAsiaTheme="minorHAnsi"/>
          <w:sz w:val="22"/>
          <w:szCs w:val="22"/>
          <w:lang w:eastAsia="en-US"/>
        </w:rPr>
        <w:t xml:space="preserve">лением более жесткого наказания с той целью, чтобы «вывести» квалифицированную часть статьи в категорию тяжких </w:t>
      </w:r>
      <w:r w:rsidRPr="00EC1A78">
        <w:rPr>
          <w:rFonts w:eastAsiaTheme="minorHAnsi"/>
          <w:color w:val="000000" w:themeColor="text1"/>
          <w:sz w:val="22"/>
          <w:szCs w:val="22"/>
          <w:lang w:eastAsia="en-US"/>
        </w:rPr>
        <w:t>преступл</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ний.</w:t>
      </w:r>
    </w:p>
    <w:p w:rsidR="00EC1A78" w:rsidRPr="00EC1A78" w:rsidRDefault="00EC1A78" w:rsidP="00EC1A78">
      <w:pPr>
        <w:ind w:firstLine="425"/>
        <w:jc w:val="both"/>
        <w:rPr>
          <w:rFonts w:eastAsiaTheme="minorHAnsi"/>
          <w:color w:val="000000" w:themeColor="text1"/>
          <w:sz w:val="22"/>
          <w:szCs w:val="22"/>
          <w:lang w:eastAsia="en-US"/>
        </w:rPr>
      </w:pPr>
      <w:r w:rsidRPr="00EC1A78">
        <w:rPr>
          <w:rFonts w:eastAsiaTheme="minorHAnsi"/>
          <w:color w:val="000000" w:themeColor="text1"/>
          <w:sz w:val="22"/>
          <w:szCs w:val="22"/>
          <w:lang w:eastAsia="en-US"/>
        </w:rPr>
        <w:t>Таким образом, на основе анализа правоприменительной пра</w:t>
      </w:r>
      <w:r w:rsidRPr="00EC1A78">
        <w:rPr>
          <w:rFonts w:eastAsiaTheme="minorHAnsi"/>
          <w:color w:val="000000" w:themeColor="text1"/>
          <w:sz w:val="22"/>
          <w:szCs w:val="22"/>
          <w:lang w:eastAsia="en-US"/>
        </w:rPr>
        <w:t>к</w:t>
      </w:r>
      <w:r w:rsidRPr="00EC1A78">
        <w:rPr>
          <w:rFonts w:eastAsiaTheme="minorHAnsi"/>
          <w:color w:val="000000" w:themeColor="text1"/>
          <w:sz w:val="22"/>
          <w:szCs w:val="22"/>
          <w:lang w:eastAsia="en-US"/>
        </w:rPr>
        <w:t>тики и соотношения ее с количеством дорожно–транспортных пр</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исшествий, произошедших по вине водителя, находящегося в с</w:t>
      </w:r>
      <w:r w:rsidRPr="00EC1A78">
        <w:rPr>
          <w:rFonts w:eastAsiaTheme="minorHAnsi"/>
          <w:color w:val="000000" w:themeColor="text1"/>
          <w:sz w:val="22"/>
          <w:szCs w:val="22"/>
          <w:lang w:eastAsia="en-US"/>
        </w:rPr>
        <w:t>о</w:t>
      </w:r>
      <w:r w:rsidRPr="00EC1A78">
        <w:rPr>
          <w:rFonts w:eastAsiaTheme="minorHAnsi"/>
          <w:color w:val="000000" w:themeColor="text1"/>
          <w:sz w:val="22"/>
          <w:szCs w:val="22"/>
          <w:lang w:eastAsia="en-US"/>
        </w:rPr>
        <w:t>стоянии алкогольного опьянения, можно прийти к выводу о нео</w:t>
      </w:r>
      <w:r w:rsidRPr="00EC1A78">
        <w:rPr>
          <w:rFonts w:eastAsiaTheme="minorHAnsi"/>
          <w:color w:val="000000" w:themeColor="text1"/>
          <w:sz w:val="22"/>
          <w:szCs w:val="22"/>
          <w:lang w:eastAsia="en-US"/>
        </w:rPr>
        <w:t>б</w:t>
      </w:r>
      <w:r w:rsidRPr="00EC1A78">
        <w:rPr>
          <w:rFonts w:eastAsiaTheme="minorHAnsi"/>
          <w:color w:val="000000" w:themeColor="text1"/>
          <w:sz w:val="22"/>
          <w:szCs w:val="22"/>
          <w:lang w:eastAsia="en-US"/>
        </w:rPr>
        <w:t>ходимости ужесточения наказания по рассматриваемой норме, а также о разделении ст. 264.1 УК РФ на две части. Несмотря на то, что рассмотренные меры по совершенствованию законодательства кажутся радикальными, в условиях объективной реальности друг</w:t>
      </w:r>
      <w:r w:rsidRPr="00EC1A78">
        <w:rPr>
          <w:rFonts w:eastAsiaTheme="minorHAnsi"/>
          <w:color w:val="000000" w:themeColor="text1"/>
          <w:sz w:val="22"/>
          <w:szCs w:val="22"/>
          <w:lang w:eastAsia="en-US"/>
        </w:rPr>
        <w:t>и</w:t>
      </w:r>
      <w:r w:rsidRPr="00EC1A78">
        <w:rPr>
          <w:rFonts w:eastAsiaTheme="minorHAnsi"/>
          <w:color w:val="000000" w:themeColor="text1"/>
          <w:sz w:val="22"/>
          <w:szCs w:val="22"/>
          <w:lang w:eastAsia="en-US"/>
        </w:rPr>
        <w:lastRenderedPageBreak/>
        <w:t>ми способами сократить совершение рассматриваемых преступл</w:t>
      </w:r>
      <w:r w:rsidRPr="00EC1A78">
        <w:rPr>
          <w:rFonts w:eastAsiaTheme="minorHAnsi"/>
          <w:color w:val="000000" w:themeColor="text1"/>
          <w:sz w:val="22"/>
          <w:szCs w:val="22"/>
          <w:lang w:eastAsia="en-US"/>
        </w:rPr>
        <w:t>е</w:t>
      </w:r>
      <w:r w:rsidRPr="00EC1A78">
        <w:rPr>
          <w:rFonts w:eastAsiaTheme="minorHAnsi"/>
          <w:color w:val="000000" w:themeColor="text1"/>
          <w:sz w:val="22"/>
          <w:szCs w:val="22"/>
          <w:lang w:eastAsia="en-US"/>
        </w:rPr>
        <w:t>ний с учетом правового нигилизма и безответственности росси</w:t>
      </w:r>
      <w:r w:rsidRPr="00EC1A78">
        <w:rPr>
          <w:rFonts w:eastAsiaTheme="minorHAnsi"/>
          <w:color w:val="000000" w:themeColor="text1"/>
          <w:sz w:val="22"/>
          <w:szCs w:val="22"/>
          <w:lang w:eastAsia="en-US"/>
        </w:rPr>
        <w:t>й</w:t>
      </w:r>
      <w:r w:rsidRPr="00EC1A78">
        <w:rPr>
          <w:rFonts w:eastAsiaTheme="minorHAnsi"/>
          <w:color w:val="000000" w:themeColor="text1"/>
          <w:sz w:val="22"/>
          <w:szCs w:val="22"/>
          <w:lang w:eastAsia="en-US"/>
        </w:rPr>
        <w:t xml:space="preserve">ских водителей просто невозможно. </w:t>
      </w:r>
    </w:p>
    <w:p w:rsidR="00106384" w:rsidRPr="00EC1A78" w:rsidRDefault="00106384" w:rsidP="002B3A7B">
      <w:pPr>
        <w:jc w:val="both"/>
        <w:rPr>
          <w:rFonts w:eastAsiaTheme="minorHAnsi"/>
          <w:color w:val="000000" w:themeColor="text1"/>
          <w:sz w:val="22"/>
          <w:szCs w:val="22"/>
          <w:lang w:eastAsia="en-US"/>
        </w:rPr>
      </w:pPr>
    </w:p>
    <w:p w:rsidR="00EC1A78" w:rsidRPr="00EC1A78" w:rsidRDefault="00EC1A78" w:rsidP="00EC1A78">
      <w:pPr>
        <w:jc w:val="center"/>
        <w:rPr>
          <w:rFonts w:eastAsiaTheme="minorHAnsi"/>
          <w:color w:val="000000" w:themeColor="text1"/>
          <w:sz w:val="22"/>
          <w:szCs w:val="22"/>
          <w:lang w:eastAsia="en-US"/>
        </w:rPr>
      </w:pPr>
      <w:r w:rsidRPr="00EC1A78">
        <w:rPr>
          <w:rFonts w:eastAsiaTheme="minorHAnsi"/>
          <w:color w:val="000000" w:themeColor="text1"/>
          <w:sz w:val="22"/>
          <w:szCs w:val="22"/>
          <w:lang w:eastAsia="en-US"/>
        </w:rPr>
        <w:t>Список литературы</w:t>
      </w:r>
    </w:p>
    <w:p w:rsidR="00EC1A78" w:rsidRPr="00EC1A78" w:rsidRDefault="00EC1A78" w:rsidP="00EC1A78">
      <w:pPr>
        <w:tabs>
          <w:tab w:val="left" w:pos="851"/>
          <w:tab w:val="left" w:pos="993"/>
        </w:tabs>
        <w:ind w:firstLine="425"/>
        <w:jc w:val="both"/>
        <w:rPr>
          <w:color w:val="000000" w:themeColor="text1"/>
          <w:sz w:val="18"/>
          <w:szCs w:val="20"/>
        </w:rPr>
      </w:pPr>
      <w:r w:rsidRPr="00EC1A78">
        <w:rPr>
          <w:color w:val="000000" w:themeColor="text1"/>
          <w:sz w:val="22"/>
          <w:szCs w:val="20"/>
        </w:rPr>
        <w:t>1. Гранкин И.В. Автотранспортное законодательство: состо</w:t>
      </w:r>
      <w:r w:rsidRPr="00EC1A78">
        <w:rPr>
          <w:color w:val="000000" w:themeColor="text1"/>
          <w:sz w:val="22"/>
          <w:szCs w:val="20"/>
        </w:rPr>
        <w:t>я</w:t>
      </w:r>
      <w:r w:rsidRPr="00EC1A78">
        <w:rPr>
          <w:color w:val="000000" w:themeColor="text1"/>
          <w:sz w:val="22"/>
          <w:szCs w:val="20"/>
        </w:rPr>
        <w:t xml:space="preserve">ние и практика применения: Учеб.пособие. </w:t>
      </w:r>
      <w:r w:rsidRPr="00EC1A78">
        <w:rPr>
          <w:color w:val="000000" w:themeColor="text1"/>
          <w:sz w:val="24"/>
          <w:szCs w:val="24"/>
        </w:rPr>
        <w:t xml:space="preserve">– </w:t>
      </w:r>
      <w:r w:rsidRPr="00EC1A78">
        <w:rPr>
          <w:color w:val="000000" w:themeColor="text1"/>
          <w:sz w:val="22"/>
          <w:szCs w:val="20"/>
        </w:rPr>
        <w:t>М.: Проспект, 2016. С.77</w:t>
      </w:r>
    </w:p>
    <w:p w:rsidR="00EC1A78" w:rsidRPr="00EC1A78" w:rsidRDefault="00EC1A78" w:rsidP="00EC1A78">
      <w:pPr>
        <w:tabs>
          <w:tab w:val="left" w:pos="851"/>
          <w:tab w:val="left" w:pos="993"/>
        </w:tabs>
        <w:ind w:firstLine="425"/>
        <w:jc w:val="both"/>
        <w:rPr>
          <w:rFonts w:eastAsiaTheme="minorHAnsi"/>
          <w:color w:val="000000" w:themeColor="text1"/>
          <w:sz w:val="24"/>
          <w:szCs w:val="22"/>
          <w:lang w:eastAsia="en-US"/>
        </w:rPr>
      </w:pPr>
      <w:r w:rsidRPr="00EC1A78">
        <w:rPr>
          <w:rFonts w:eastAsiaTheme="minorHAnsi"/>
          <w:color w:val="000000" w:themeColor="text1"/>
          <w:sz w:val="22"/>
          <w:szCs w:val="22"/>
          <w:lang w:eastAsia="en-US"/>
        </w:rPr>
        <w:t xml:space="preserve">2. Жуков А.М. Проблемные вопросы назначения наказания при рассмотрении уголовных дел о преступлениях, предусмотренных ст. 264.1 УК РФ // Вестник экономической безопасности. </w:t>
      </w:r>
      <w:r w:rsidRPr="00EC1A78">
        <w:rPr>
          <w:rFonts w:eastAsiaTheme="minorHAnsi"/>
          <w:color w:val="000000" w:themeColor="text1"/>
          <w:sz w:val="24"/>
          <w:szCs w:val="24"/>
          <w:lang w:eastAsia="en-US"/>
        </w:rPr>
        <w:t xml:space="preserve">– </w:t>
      </w:r>
      <w:r w:rsidRPr="00EC1A78">
        <w:rPr>
          <w:rFonts w:eastAsiaTheme="minorHAnsi"/>
          <w:color w:val="000000" w:themeColor="text1"/>
          <w:sz w:val="22"/>
          <w:szCs w:val="22"/>
          <w:lang w:eastAsia="en-US"/>
        </w:rPr>
        <w:t xml:space="preserve">2017. </w:t>
      </w:r>
      <w:r w:rsidRPr="00EC1A78">
        <w:rPr>
          <w:rFonts w:eastAsiaTheme="minorHAnsi"/>
          <w:color w:val="000000" w:themeColor="text1"/>
          <w:sz w:val="24"/>
          <w:szCs w:val="24"/>
          <w:lang w:eastAsia="en-US"/>
        </w:rPr>
        <w:t xml:space="preserve">– </w:t>
      </w:r>
      <w:r w:rsidRPr="00EC1A78">
        <w:rPr>
          <w:rFonts w:eastAsiaTheme="minorHAnsi"/>
          <w:color w:val="000000" w:themeColor="text1"/>
          <w:sz w:val="22"/>
          <w:szCs w:val="22"/>
          <w:lang w:eastAsia="en-US"/>
        </w:rPr>
        <w:t>№2. С.216–223</w:t>
      </w:r>
    </w:p>
    <w:p w:rsidR="00EC1A78" w:rsidRPr="00EC1A78" w:rsidRDefault="00EC1A78" w:rsidP="00EC1A78">
      <w:pPr>
        <w:tabs>
          <w:tab w:val="left" w:pos="851"/>
          <w:tab w:val="left" w:pos="993"/>
        </w:tabs>
        <w:ind w:firstLine="425"/>
        <w:jc w:val="both"/>
        <w:rPr>
          <w:rFonts w:eastAsiaTheme="minorHAnsi"/>
          <w:color w:val="000000" w:themeColor="text1"/>
          <w:sz w:val="24"/>
          <w:szCs w:val="22"/>
          <w:lang w:eastAsia="en-US"/>
        </w:rPr>
      </w:pPr>
      <w:r w:rsidRPr="00EC1A78">
        <w:rPr>
          <w:rFonts w:eastAsiaTheme="minorHAnsi"/>
          <w:color w:val="000000" w:themeColor="text1"/>
          <w:sz w:val="22"/>
          <w:szCs w:val="22"/>
          <w:lang w:eastAsia="en-US"/>
        </w:rPr>
        <w:t>3. Официальный сайт ГИБДД: // http://stat.gibdd.ru/</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Pr="00EC1A78" w:rsidRDefault="00EE657B"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t>УДК 342.7</w:t>
      </w:r>
    </w:p>
    <w:p w:rsidR="00EC1A78" w:rsidRPr="00EC1A78" w:rsidRDefault="00EC1A78" w:rsidP="00EC1A78">
      <w:pPr>
        <w:jc w:val="both"/>
        <w:rPr>
          <w:rFonts w:eastAsiaTheme="minorHAnsi"/>
          <w:sz w:val="22"/>
          <w:szCs w:val="22"/>
          <w:lang w:eastAsia="en-US"/>
        </w:rPr>
      </w:pPr>
    </w:p>
    <w:p w:rsidR="00EC1A78" w:rsidRPr="00EC1A78" w:rsidRDefault="00EC1A78" w:rsidP="00EC1A78">
      <w:pPr>
        <w:jc w:val="center"/>
        <w:rPr>
          <w:rFonts w:eastAsiaTheme="minorHAnsi"/>
          <w:b/>
          <w:sz w:val="24"/>
          <w:szCs w:val="22"/>
          <w:lang w:eastAsia="en-US"/>
        </w:rPr>
      </w:pPr>
      <w:r w:rsidRPr="00EC1A78">
        <w:rPr>
          <w:rFonts w:eastAsiaTheme="minorHAnsi"/>
          <w:b/>
          <w:sz w:val="24"/>
          <w:szCs w:val="22"/>
          <w:lang w:eastAsia="en-US"/>
        </w:rPr>
        <w:t>Эволюция прав человека об охране здоровья</w:t>
      </w:r>
    </w:p>
    <w:p w:rsidR="00EC1A78" w:rsidRPr="00EC1A78" w:rsidRDefault="00EC1A78" w:rsidP="00EC1A78">
      <w:pPr>
        <w:jc w:val="center"/>
        <w:rPr>
          <w:rFonts w:eastAsiaTheme="minorHAnsi"/>
          <w:b/>
          <w:sz w:val="24"/>
          <w:szCs w:val="22"/>
          <w:shd w:val="clear" w:color="auto" w:fill="FFFFFF"/>
          <w:lang w:val="en-US" w:eastAsia="en-US"/>
        </w:rPr>
      </w:pPr>
      <w:r w:rsidRPr="00EC1A78">
        <w:rPr>
          <w:rFonts w:eastAsiaTheme="minorHAnsi"/>
          <w:b/>
          <w:sz w:val="24"/>
          <w:szCs w:val="22"/>
          <w:shd w:val="clear" w:color="auto" w:fill="FFFFFF"/>
          <w:lang w:val="en-US" w:eastAsia="en-US"/>
        </w:rPr>
        <w:t xml:space="preserve">Evolution of human rights about health protection </w:t>
      </w:r>
    </w:p>
    <w:p w:rsidR="00EC1A78" w:rsidRPr="00EC1A78" w:rsidRDefault="00EC1A78" w:rsidP="00EC1A78">
      <w:pPr>
        <w:jc w:val="right"/>
        <w:rPr>
          <w:rFonts w:eastAsiaTheme="minorHAnsi"/>
          <w:sz w:val="22"/>
          <w:szCs w:val="22"/>
          <w:lang w:val="en-US" w:eastAsia="en-US"/>
        </w:rPr>
      </w:pPr>
    </w:p>
    <w:p w:rsidR="00EC1A78" w:rsidRPr="00EE657B" w:rsidRDefault="00EC1A78" w:rsidP="00EC1A78">
      <w:pPr>
        <w:jc w:val="right"/>
        <w:rPr>
          <w:rFonts w:eastAsiaTheme="minorHAnsi"/>
          <w:sz w:val="22"/>
          <w:szCs w:val="22"/>
          <w:lang w:eastAsia="en-US"/>
        </w:rPr>
      </w:pPr>
      <w:r w:rsidRPr="00EE657B">
        <w:rPr>
          <w:rFonts w:eastAsiaTheme="minorHAnsi"/>
          <w:sz w:val="22"/>
          <w:szCs w:val="22"/>
          <w:lang w:eastAsia="en-US"/>
        </w:rPr>
        <w:t>Чубатова А. В.,</w:t>
      </w:r>
    </w:p>
    <w:p w:rsidR="00EC1A78" w:rsidRPr="00EE657B" w:rsidRDefault="00EC1A78" w:rsidP="00EC1A78">
      <w:pPr>
        <w:jc w:val="right"/>
        <w:rPr>
          <w:rFonts w:eastAsiaTheme="minorHAnsi"/>
          <w:sz w:val="22"/>
          <w:szCs w:val="22"/>
          <w:lang w:eastAsia="en-US"/>
        </w:rPr>
      </w:pPr>
      <w:r w:rsidRPr="00EE657B">
        <w:rPr>
          <w:rFonts w:eastAsiaTheme="minorHAnsi"/>
          <w:sz w:val="22"/>
          <w:szCs w:val="22"/>
          <w:lang w:eastAsia="en-US"/>
        </w:rPr>
        <w:t>студентка 1–го курса юридического факультета</w:t>
      </w:r>
    </w:p>
    <w:p w:rsidR="00EC1A78" w:rsidRPr="00EE657B" w:rsidRDefault="00EC1A78" w:rsidP="00EC1A78">
      <w:pPr>
        <w:jc w:val="right"/>
        <w:rPr>
          <w:rFonts w:eastAsiaTheme="minorHAnsi"/>
          <w:sz w:val="22"/>
          <w:szCs w:val="22"/>
          <w:lang w:eastAsia="en-US"/>
        </w:rPr>
      </w:pPr>
      <w:r w:rsidRPr="00EE657B">
        <w:rPr>
          <w:rFonts w:eastAsiaTheme="minorHAnsi"/>
          <w:sz w:val="22"/>
          <w:szCs w:val="22"/>
          <w:lang w:eastAsia="en-US"/>
        </w:rPr>
        <w:t>Лепешкина О.</w:t>
      </w:r>
      <w:r w:rsidR="00EE657B" w:rsidRPr="00EE657B">
        <w:rPr>
          <w:rFonts w:eastAsiaTheme="minorHAnsi"/>
          <w:sz w:val="22"/>
          <w:szCs w:val="22"/>
          <w:lang w:eastAsia="en-US"/>
        </w:rPr>
        <w:t xml:space="preserve"> </w:t>
      </w:r>
      <w:r w:rsidRPr="00EE657B">
        <w:rPr>
          <w:rFonts w:eastAsiaTheme="minorHAnsi"/>
          <w:sz w:val="22"/>
          <w:szCs w:val="22"/>
          <w:lang w:eastAsia="en-US"/>
        </w:rPr>
        <w:t>В.,</w:t>
      </w:r>
    </w:p>
    <w:p w:rsidR="00EC1A78" w:rsidRPr="00EE657B" w:rsidRDefault="00EC1A78" w:rsidP="00EC1A78">
      <w:pPr>
        <w:jc w:val="right"/>
        <w:rPr>
          <w:rFonts w:eastAsiaTheme="minorHAnsi"/>
          <w:bCs/>
          <w:sz w:val="22"/>
          <w:szCs w:val="22"/>
          <w:shd w:val="clear" w:color="auto" w:fill="FFFFFF"/>
          <w:lang w:eastAsia="en-US"/>
        </w:rPr>
      </w:pPr>
      <w:r w:rsidRPr="00EE657B">
        <w:rPr>
          <w:rFonts w:eastAsiaTheme="minorHAnsi"/>
          <w:bCs/>
          <w:sz w:val="22"/>
          <w:szCs w:val="22"/>
          <w:shd w:val="clear" w:color="auto" w:fill="FFFFFF"/>
          <w:lang w:eastAsia="en-US"/>
        </w:rPr>
        <w:t>доцент кафедры теории и истории государства и права</w:t>
      </w:r>
    </w:p>
    <w:p w:rsidR="00EC1A78" w:rsidRPr="00EE657B" w:rsidRDefault="00EC1A78" w:rsidP="00EC1A78">
      <w:pPr>
        <w:jc w:val="right"/>
        <w:rPr>
          <w:rFonts w:eastAsiaTheme="minorHAnsi"/>
          <w:bCs/>
          <w:sz w:val="22"/>
          <w:szCs w:val="22"/>
          <w:shd w:val="clear" w:color="auto" w:fill="FFFFFF"/>
          <w:lang w:eastAsia="en-US"/>
        </w:rPr>
      </w:pPr>
      <w:r w:rsidRPr="00EE657B">
        <w:rPr>
          <w:rFonts w:eastAsiaTheme="minorHAnsi"/>
          <w:bCs/>
          <w:sz w:val="22"/>
          <w:szCs w:val="22"/>
          <w:shd w:val="clear" w:color="auto" w:fill="FFFFFF"/>
          <w:lang w:eastAsia="en-US"/>
        </w:rPr>
        <w:t xml:space="preserve">Кубанский государственный аграрный </w:t>
      </w:r>
    </w:p>
    <w:p w:rsidR="00EC1A78" w:rsidRPr="00EE657B" w:rsidRDefault="00EC1A78" w:rsidP="00EC1A78">
      <w:pPr>
        <w:jc w:val="right"/>
        <w:rPr>
          <w:rFonts w:eastAsiaTheme="minorHAnsi"/>
          <w:bCs/>
          <w:sz w:val="22"/>
          <w:szCs w:val="22"/>
          <w:shd w:val="clear" w:color="auto" w:fill="FFFFFF"/>
          <w:lang w:eastAsia="en-US"/>
        </w:rPr>
      </w:pPr>
      <w:r w:rsidRPr="00EE657B">
        <w:rPr>
          <w:rFonts w:eastAsiaTheme="minorHAnsi"/>
          <w:bCs/>
          <w:sz w:val="22"/>
          <w:szCs w:val="22"/>
          <w:shd w:val="clear" w:color="auto" w:fill="FFFFFF"/>
          <w:lang w:eastAsia="en-US"/>
        </w:rPr>
        <w:t>университет имени И.</w:t>
      </w:r>
      <w:r w:rsidR="00EE657B" w:rsidRPr="00EE657B">
        <w:rPr>
          <w:rFonts w:eastAsiaTheme="minorHAnsi"/>
          <w:bCs/>
          <w:sz w:val="22"/>
          <w:szCs w:val="22"/>
          <w:shd w:val="clear" w:color="auto" w:fill="FFFFFF"/>
          <w:lang w:eastAsia="en-US"/>
        </w:rPr>
        <w:t xml:space="preserve"> </w:t>
      </w:r>
      <w:r w:rsidRPr="00EE657B">
        <w:rPr>
          <w:rFonts w:eastAsiaTheme="minorHAnsi"/>
          <w:bCs/>
          <w:sz w:val="22"/>
          <w:szCs w:val="22"/>
          <w:shd w:val="clear" w:color="auto" w:fill="FFFFFF"/>
          <w:lang w:eastAsia="en-US"/>
        </w:rPr>
        <w:t>Т. Трубилина</w:t>
      </w:r>
    </w:p>
    <w:p w:rsidR="00EC1A78" w:rsidRPr="00EE657B" w:rsidRDefault="00EC1A78" w:rsidP="00EC1A78">
      <w:pPr>
        <w:ind w:firstLine="425"/>
        <w:jc w:val="both"/>
        <w:rPr>
          <w:rFonts w:eastAsiaTheme="minorHAnsi"/>
          <w:bCs/>
          <w:sz w:val="22"/>
          <w:szCs w:val="22"/>
          <w:shd w:val="clear" w:color="auto" w:fill="FFFFFF"/>
          <w:lang w:eastAsia="en-US"/>
        </w:rPr>
      </w:pPr>
    </w:p>
    <w:p w:rsidR="00EC1A78" w:rsidRPr="00EE657B" w:rsidRDefault="00EC1A78" w:rsidP="00EC1A78">
      <w:pPr>
        <w:ind w:firstLine="425"/>
        <w:jc w:val="both"/>
        <w:rPr>
          <w:rFonts w:eastAsiaTheme="minorHAnsi"/>
          <w:bCs/>
          <w:sz w:val="22"/>
          <w:szCs w:val="22"/>
          <w:shd w:val="clear" w:color="auto" w:fill="FFFFFF"/>
          <w:lang w:eastAsia="en-US"/>
        </w:rPr>
      </w:pPr>
      <w:r w:rsidRPr="00EE657B">
        <w:rPr>
          <w:rFonts w:eastAsiaTheme="minorHAnsi"/>
          <w:bCs/>
          <w:sz w:val="22"/>
          <w:szCs w:val="22"/>
          <w:shd w:val="clear" w:color="auto" w:fill="FFFFFF"/>
          <w:lang w:eastAsia="en-US"/>
        </w:rPr>
        <w:t xml:space="preserve">АННОТАЦИЯ: В статье представлена проблема, связанная с правом на охрану здоровья, а так же историческое его закрепление. Становление вопроса о механизме реализации права на здоровье и его содержании. </w:t>
      </w:r>
    </w:p>
    <w:p w:rsidR="00EC1A78" w:rsidRPr="00EE657B" w:rsidRDefault="00EC1A78" w:rsidP="00EC1A78">
      <w:pPr>
        <w:ind w:firstLine="425"/>
        <w:jc w:val="both"/>
        <w:rPr>
          <w:rFonts w:eastAsiaTheme="minorHAnsi"/>
          <w:bCs/>
          <w:sz w:val="22"/>
          <w:szCs w:val="22"/>
          <w:shd w:val="clear" w:color="auto" w:fill="FFFFFF"/>
          <w:lang w:val="en-US" w:eastAsia="en-US"/>
        </w:rPr>
      </w:pPr>
      <w:r w:rsidRPr="00EE657B">
        <w:rPr>
          <w:rFonts w:eastAsiaTheme="minorHAnsi"/>
          <w:bCs/>
          <w:sz w:val="22"/>
          <w:szCs w:val="22"/>
          <w:shd w:val="clear" w:color="auto" w:fill="FFFFFF"/>
          <w:lang w:val="en-US" w:eastAsia="en-US"/>
        </w:rPr>
        <w:t>ABSTRACT:</w:t>
      </w:r>
      <w:r w:rsidRPr="00EE657B">
        <w:rPr>
          <w:rFonts w:eastAsiaTheme="minorHAnsi"/>
          <w:sz w:val="22"/>
          <w:szCs w:val="22"/>
          <w:shd w:val="clear" w:color="auto" w:fill="FFFFFF"/>
          <w:lang w:val="en-US" w:eastAsia="en-US"/>
        </w:rPr>
        <w:t xml:space="preserve"> The problem connected with the right to health pr</w:t>
      </w:r>
      <w:r w:rsidRPr="00EE657B">
        <w:rPr>
          <w:rFonts w:eastAsiaTheme="minorHAnsi"/>
          <w:sz w:val="22"/>
          <w:szCs w:val="22"/>
          <w:shd w:val="clear" w:color="auto" w:fill="FFFFFF"/>
          <w:lang w:val="en-US" w:eastAsia="en-US"/>
        </w:rPr>
        <w:t>o</w:t>
      </w:r>
      <w:r w:rsidRPr="00EE657B">
        <w:rPr>
          <w:rFonts w:eastAsiaTheme="minorHAnsi"/>
          <w:sz w:val="22"/>
          <w:szCs w:val="22"/>
          <w:shd w:val="clear" w:color="auto" w:fill="FFFFFF"/>
          <w:lang w:val="en-US" w:eastAsia="en-US"/>
        </w:rPr>
        <w:t>tection, and his also historical fixing is presented in article. Formation of a question of the mechanism of realization of the right to health and its contents.</w:t>
      </w:r>
    </w:p>
    <w:p w:rsidR="00EC1A78" w:rsidRPr="00EE657B" w:rsidRDefault="00EC1A78" w:rsidP="00EC1A78">
      <w:pPr>
        <w:ind w:firstLine="425"/>
        <w:jc w:val="both"/>
        <w:rPr>
          <w:rFonts w:eastAsiaTheme="minorHAnsi"/>
          <w:bCs/>
          <w:sz w:val="22"/>
          <w:szCs w:val="22"/>
          <w:shd w:val="clear" w:color="auto" w:fill="FFFFFF"/>
          <w:lang w:eastAsia="en-US"/>
        </w:rPr>
      </w:pPr>
      <w:r w:rsidRPr="00EE657B">
        <w:rPr>
          <w:rFonts w:eastAsiaTheme="minorHAnsi"/>
          <w:bCs/>
          <w:sz w:val="22"/>
          <w:szCs w:val="22"/>
          <w:shd w:val="clear" w:color="auto" w:fill="FFFFFF"/>
          <w:lang w:eastAsia="en-US"/>
        </w:rPr>
        <w:lastRenderedPageBreak/>
        <w:t xml:space="preserve">КЛЮЧЕВЫЕ СЛОВА: право на здоровье, здоровье граждан, права человека и гражданина, охрана здоровья. </w:t>
      </w:r>
    </w:p>
    <w:p w:rsidR="00EC1A78" w:rsidRPr="00EE657B" w:rsidRDefault="00EC1A78" w:rsidP="00EC1A78">
      <w:pPr>
        <w:ind w:firstLine="425"/>
        <w:jc w:val="both"/>
        <w:rPr>
          <w:rFonts w:eastAsiaTheme="minorHAnsi"/>
          <w:bCs/>
          <w:sz w:val="22"/>
          <w:szCs w:val="22"/>
          <w:shd w:val="clear" w:color="auto" w:fill="FFFFFF"/>
          <w:lang w:val="en-US" w:eastAsia="en-US"/>
        </w:rPr>
      </w:pPr>
      <w:r w:rsidRPr="00EE657B">
        <w:rPr>
          <w:rFonts w:eastAsiaTheme="minorHAnsi"/>
          <w:bCs/>
          <w:sz w:val="22"/>
          <w:szCs w:val="22"/>
          <w:shd w:val="clear" w:color="auto" w:fill="FFFFFF"/>
          <w:lang w:val="en-US" w:eastAsia="en-US"/>
        </w:rPr>
        <w:t>KEYWORDS:</w:t>
      </w:r>
      <w:r w:rsidRPr="00EE657B">
        <w:rPr>
          <w:rFonts w:eastAsiaTheme="minorHAnsi"/>
          <w:sz w:val="22"/>
          <w:szCs w:val="22"/>
          <w:shd w:val="clear" w:color="auto" w:fill="FFFFFF"/>
          <w:lang w:val="en-US" w:eastAsia="en-US"/>
        </w:rPr>
        <w:t xml:space="preserve"> right to health, health of citizens, human rights and citizen, health protection.</w:t>
      </w:r>
    </w:p>
    <w:p w:rsidR="00EC1A78" w:rsidRPr="00EE657B" w:rsidRDefault="00EC1A78" w:rsidP="00EC1A78">
      <w:pPr>
        <w:ind w:firstLine="425"/>
        <w:jc w:val="both"/>
        <w:rPr>
          <w:rFonts w:eastAsiaTheme="minorHAnsi"/>
          <w:sz w:val="22"/>
          <w:szCs w:val="22"/>
          <w:lang w:val="en-US" w:eastAsia="en-US"/>
        </w:rPr>
      </w:pP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В наши дни медицина добилась больших высот в области зн</w:t>
      </w:r>
      <w:r w:rsidRPr="00EE657B">
        <w:rPr>
          <w:rFonts w:eastAsiaTheme="minorHAnsi"/>
          <w:sz w:val="22"/>
          <w:szCs w:val="22"/>
          <w:lang w:eastAsia="en-US"/>
        </w:rPr>
        <w:t>а</w:t>
      </w:r>
      <w:r w:rsidRPr="00EE657B">
        <w:rPr>
          <w:rFonts w:eastAsiaTheme="minorHAnsi"/>
          <w:sz w:val="22"/>
          <w:szCs w:val="22"/>
          <w:lang w:eastAsia="en-US"/>
        </w:rPr>
        <w:t>ний и современных технологий. С наступлением двадцать первого века для человечества главным фактором развития и его показат</w:t>
      </w:r>
      <w:r w:rsidRPr="00EE657B">
        <w:rPr>
          <w:rFonts w:eastAsiaTheme="minorHAnsi"/>
          <w:sz w:val="22"/>
          <w:szCs w:val="22"/>
          <w:lang w:eastAsia="en-US"/>
        </w:rPr>
        <w:t>е</w:t>
      </w:r>
      <w:r w:rsidRPr="00EE657B">
        <w:rPr>
          <w:rFonts w:eastAsiaTheme="minorHAnsi"/>
          <w:sz w:val="22"/>
          <w:szCs w:val="22"/>
          <w:lang w:eastAsia="en-US"/>
        </w:rPr>
        <w:t>лем стал набор научных знаний, информации, который непрерывно пополняется в связи с эволюцией человечества. Официально з</w:t>
      </w:r>
      <w:r w:rsidRPr="00EE657B">
        <w:rPr>
          <w:rFonts w:eastAsiaTheme="minorHAnsi"/>
          <w:sz w:val="22"/>
          <w:szCs w:val="22"/>
          <w:lang w:eastAsia="en-US"/>
        </w:rPr>
        <w:t>а</w:t>
      </w:r>
      <w:r w:rsidRPr="00EE657B">
        <w:rPr>
          <w:rFonts w:eastAsiaTheme="minorHAnsi"/>
          <w:sz w:val="22"/>
          <w:szCs w:val="22"/>
          <w:lang w:eastAsia="en-US"/>
        </w:rPr>
        <w:t>крепленные свои права человек получил не сразу, а лишь с развит</w:t>
      </w:r>
      <w:r w:rsidRPr="00EE657B">
        <w:rPr>
          <w:rFonts w:eastAsiaTheme="minorHAnsi"/>
          <w:sz w:val="22"/>
          <w:szCs w:val="22"/>
          <w:lang w:eastAsia="en-US"/>
        </w:rPr>
        <w:t>и</w:t>
      </w:r>
      <w:r w:rsidRPr="00EE657B">
        <w:rPr>
          <w:rFonts w:eastAsiaTheme="minorHAnsi"/>
          <w:sz w:val="22"/>
          <w:szCs w:val="22"/>
          <w:lang w:eastAsia="en-US"/>
        </w:rPr>
        <w:t>ем и модернизацией законодательства той или иной страны. Это касается и права человека на охрану здоровья.</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Однако прежде чем добиться хорошего результата знаний в о</w:t>
      </w:r>
      <w:r w:rsidRPr="00EE657B">
        <w:rPr>
          <w:rFonts w:eastAsiaTheme="minorHAnsi"/>
          <w:sz w:val="22"/>
          <w:szCs w:val="22"/>
          <w:lang w:eastAsia="en-US"/>
        </w:rPr>
        <w:t>б</w:t>
      </w:r>
      <w:r w:rsidRPr="00EE657B">
        <w:rPr>
          <w:rFonts w:eastAsiaTheme="minorHAnsi"/>
          <w:sz w:val="22"/>
          <w:szCs w:val="22"/>
          <w:lang w:eastAsia="en-US"/>
        </w:rPr>
        <w:t>ласти медицины и закрепления права об охране здоровья граждан как в наши дни, человеку необходимо было осознать значение зд</w:t>
      </w:r>
      <w:r w:rsidRPr="00EE657B">
        <w:rPr>
          <w:rFonts w:eastAsiaTheme="minorHAnsi"/>
          <w:sz w:val="22"/>
          <w:szCs w:val="22"/>
          <w:lang w:eastAsia="en-US"/>
        </w:rPr>
        <w:t>о</w:t>
      </w:r>
      <w:r w:rsidRPr="00EE657B">
        <w:rPr>
          <w:rFonts w:eastAsiaTheme="minorHAnsi"/>
          <w:sz w:val="22"/>
          <w:szCs w:val="22"/>
          <w:lang w:eastAsia="en-US"/>
        </w:rPr>
        <w:t>ровья для себя в первую очередь и его необходимость для жизни. Проследив историческую хронику, касательно права на здоровье, можно заметить, что понятие «охрана здоровья» официально п</w:t>
      </w:r>
      <w:r w:rsidRPr="00EE657B">
        <w:rPr>
          <w:rFonts w:eastAsiaTheme="minorHAnsi"/>
          <w:sz w:val="22"/>
          <w:szCs w:val="22"/>
          <w:lang w:eastAsia="en-US"/>
        </w:rPr>
        <w:t>о</w:t>
      </w:r>
      <w:r w:rsidRPr="00EE657B">
        <w:rPr>
          <w:rFonts w:eastAsiaTheme="minorHAnsi"/>
          <w:sz w:val="22"/>
          <w:szCs w:val="22"/>
          <w:lang w:eastAsia="en-US"/>
        </w:rPr>
        <w:t xml:space="preserve">явилось относительно недавно в основополагающих законах многих стран. </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Публичным началом формального закрепления этого права на международном уровне считается принятие Ассамблеей ООН в 1948году «Всеобщей декларации о правах человека»[1]. Конечно, документ носил рекомендательный характер, но своей 25 статьей он показал и подчеркнул основную значимость и развитость сферы здоровья в любом государстве[5]. В свою очередь некоторые стр</w:t>
      </w:r>
      <w:r w:rsidRPr="00EE657B">
        <w:rPr>
          <w:rFonts w:eastAsiaTheme="minorHAnsi"/>
          <w:sz w:val="22"/>
          <w:szCs w:val="22"/>
          <w:lang w:eastAsia="en-US"/>
        </w:rPr>
        <w:t>а</w:t>
      </w:r>
      <w:r w:rsidRPr="00EE657B">
        <w:rPr>
          <w:rFonts w:eastAsiaTheme="minorHAnsi"/>
          <w:sz w:val="22"/>
          <w:szCs w:val="22"/>
          <w:lang w:eastAsia="en-US"/>
        </w:rPr>
        <w:t>ны до этого времени предпринимали попытки внедрения охраны здоровья в качестве нового права. Так, в советской Конституции 1936 года в статье 120 предусматривалось право на бесплатную м</w:t>
      </w:r>
      <w:r w:rsidRPr="00EE657B">
        <w:rPr>
          <w:rFonts w:eastAsiaTheme="minorHAnsi"/>
          <w:sz w:val="22"/>
          <w:szCs w:val="22"/>
          <w:lang w:eastAsia="en-US"/>
        </w:rPr>
        <w:t>е</w:t>
      </w:r>
      <w:r w:rsidRPr="00EE657B">
        <w:rPr>
          <w:rFonts w:eastAsiaTheme="minorHAnsi"/>
          <w:sz w:val="22"/>
          <w:szCs w:val="22"/>
          <w:lang w:eastAsia="en-US"/>
        </w:rPr>
        <w:t>дицинскую помощь трудящимся, а в США право на медицинское обеспечение было регламентировано в Билле 1944 года.</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Если сравнить современные нормативные акты ряда стран, то во многих из них закрепляется право на охрану здоровья и обесп</w:t>
      </w:r>
      <w:r w:rsidRPr="00EE657B">
        <w:rPr>
          <w:rFonts w:eastAsiaTheme="minorHAnsi"/>
          <w:sz w:val="22"/>
          <w:szCs w:val="22"/>
          <w:lang w:eastAsia="en-US"/>
        </w:rPr>
        <w:t>е</w:t>
      </w:r>
      <w:r w:rsidRPr="00EE657B">
        <w:rPr>
          <w:rFonts w:eastAsiaTheme="minorHAnsi"/>
          <w:sz w:val="22"/>
          <w:szCs w:val="22"/>
          <w:lang w:eastAsia="en-US"/>
        </w:rPr>
        <w:t>чение медицинской помощью. Так, в 41 статье Конституции Ро</w:t>
      </w:r>
      <w:r w:rsidRPr="00EE657B">
        <w:rPr>
          <w:rFonts w:eastAsiaTheme="minorHAnsi"/>
          <w:sz w:val="22"/>
          <w:szCs w:val="22"/>
          <w:lang w:eastAsia="en-US"/>
        </w:rPr>
        <w:t>с</w:t>
      </w:r>
      <w:r w:rsidRPr="00EE657B">
        <w:rPr>
          <w:rFonts w:eastAsiaTheme="minorHAnsi"/>
          <w:sz w:val="22"/>
          <w:szCs w:val="22"/>
          <w:lang w:eastAsia="en-US"/>
        </w:rPr>
        <w:t>сийской Федерации говориться о том, что каждый гражданин имеет право на охрану здоровья и на оказание бесплатной медицинской помощи[2]. В этой статьей здоровье рассматривается как комплек</w:t>
      </w:r>
      <w:r w:rsidRPr="00EE657B">
        <w:rPr>
          <w:rFonts w:eastAsiaTheme="minorHAnsi"/>
          <w:sz w:val="22"/>
          <w:szCs w:val="22"/>
          <w:lang w:eastAsia="en-US"/>
        </w:rPr>
        <w:t>с</w:t>
      </w:r>
      <w:r w:rsidRPr="00EE657B">
        <w:rPr>
          <w:rFonts w:eastAsiaTheme="minorHAnsi"/>
          <w:sz w:val="22"/>
          <w:szCs w:val="22"/>
          <w:lang w:eastAsia="en-US"/>
        </w:rPr>
        <w:lastRenderedPageBreak/>
        <w:t>ное понятие, а именно как совокупность социальных, экономич</w:t>
      </w:r>
      <w:r w:rsidRPr="00EE657B">
        <w:rPr>
          <w:rFonts w:eastAsiaTheme="minorHAnsi"/>
          <w:sz w:val="22"/>
          <w:szCs w:val="22"/>
          <w:lang w:eastAsia="en-US"/>
        </w:rPr>
        <w:t>е</w:t>
      </w:r>
      <w:r w:rsidRPr="00EE657B">
        <w:rPr>
          <w:rFonts w:eastAsiaTheme="minorHAnsi"/>
          <w:sz w:val="22"/>
          <w:szCs w:val="22"/>
          <w:lang w:eastAsia="en-US"/>
        </w:rPr>
        <w:t>ских прав, которые в свою очередь направлены на поддержание ф</w:t>
      </w:r>
      <w:r w:rsidRPr="00EE657B">
        <w:rPr>
          <w:rFonts w:eastAsiaTheme="minorHAnsi"/>
          <w:sz w:val="22"/>
          <w:szCs w:val="22"/>
          <w:lang w:eastAsia="en-US"/>
        </w:rPr>
        <w:t>и</w:t>
      </w:r>
      <w:r w:rsidRPr="00EE657B">
        <w:rPr>
          <w:rFonts w:eastAsiaTheme="minorHAnsi"/>
          <w:sz w:val="22"/>
          <w:szCs w:val="22"/>
          <w:lang w:eastAsia="en-US"/>
        </w:rPr>
        <w:t>зического и духовного благополучия. Таким образом, это право влечет за собой соблюдения ряда других прав, урегулированных эффективным законодательством страны. В Уголовном кодексе России защита права на охрану здоровья осуществляется 16 главой «Преступления против жизни и здоровья»[3].</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Еще с прошлого века многие ученые и юристы завались вопр</w:t>
      </w:r>
      <w:r w:rsidRPr="00EE657B">
        <w:rPr>
          <w:rFonts w:eastAsiaTheme="minorHAnsi"/>
          <w:sz w:val="22"/>
          <w:szCs w:val="22"/>
          <w:lang w:eastAsia="en-US"/>
        </w:rPr>
        <w:t>о</w:t>
      </w:r>
      <w:r w:rsidRPr="00EE657B">
        <w:rPr>
          <w:rFonts w:eastAsiaTheme="minorHAnsi"/>
          <w:sz w:val="22"/>
          <w:szCs w:val="22"/>
          <w:lang w:eastAsia="en-US"/>
        </w:rPr>
        <w:t>сом о конкретном механизме реализации данного права. В 1978 г</w:t>
      </w:r>
      <w:r w:rsidRPr="00EE657B">
        <w:rPr>
          <w:rFonts w:eastAsiaTheme="minorHAnsi"/>
          <w:sz w:val="22"/>
          <w:szCs w:val="22"/>
          <w:lang w:eastAsia="en-US"/>
        </w:rPr>
        <w:t>о</w:t>
      </w:r>
      <w:r w:rsidRPr="00EE657B">
        <w:rPr>
          <w:rFonts w:eastAsiaTheme="minorHAnsi"/>
          <w:sz w:val="22"/>
          <w:szCs w:val="22"/>
          <w:lang w:eastAsia="en-US"/>
        </w:rPr>
        <w:t>ду в Гаагской академии права состоялось мероприятие, посвяще</w:t>
      </w:r>
      <w:r w:rsidRPr="00EE657B">
        <w:rPr>
          <w:rFonts w:eastAsiaTheme="minorHAnsi"/>
          <w:sz w:val="22"/>
          <w:szCs w:val="22"/>
          <w:lang w:eastAsia="en-US"/>
        </w:rPr>
        <w:t>н</w:t>
      </w:r>
      <w:r w:rsidRPr="00EE657B">
        <w:rPr>
          <w:rFonts w:eastAsiaTheme="minorHAnsi"/>
          <w:sz w:val="22"/>
          <w:szCs w:val="22"/>
          <w:lang w:eastAsia="en-US"/>
        </w:rPr>
        <w:t>ное этой проблеме. Международный семинар носил название такое как «Право на здоровье как одно из прав человека», и по его заве</w:t>
      </w:r>
      <w:r w:rsidRPr="00EE657B">
        <w:rPr>
          <w:rFonts w:eastAsiaTheme="minorHAnsi"/>
          <w:sz w:val="22"/>
          <w:szCs w:val="22"/>
          <w:lang w:eastAsia="en-US"/>
        </w:rPr>
        <w:t>р</w:t>
      </w:r>
      <w:r w:rsidRPr="00EE657B">
        <w:rPr>
          <w:rFonts w:eastAsiaTheme="minorHAnsi"/>
          <w:sz w:val="22"/>
          <w:szCs w:val="22"/>
          <w:lang w:eastAsia="en-US"/>
        </w:rPr>
        <w:t xml:space="preserve">шению стало понятно, что возникает множество споров по поводу значения права, его назначения и содержания. </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Несмотря на достигнутые результаты, человеческий опыт и знания в сфере медицины, все еще существует большая угроза зд</w:t>
      </w:r>
      <w:r w:rsidRPr="00EE657B">
        <w:rPr>
          <w:rFonts w:eastAsiaTheme="minorHAnsi"/>
          <w:sz w:val="22"/>
          <w:szCs w:val="22"/>
          <w:lang w:eastAsia="en-US"/>
        </w:rPr>
        <w:t>о</w:t>
      </w:r>
      <w:r w:rsidRPr="00EE657B">
        <w:rPr>
          <w:rFonts w:eastAsiaTheme="minorHAnsi"/>
          <w:sz w:val="22"/>
          <w:szCs w:val="22"/>
          <w:lang w:eastAsia="en-US"/>
        </w:rPr>
        <w:t>ровью граждан. Это касается, прежде всего, распространенностью онкологических заболеваний, Вич–инфекции и ряда других, с кот</w:t>
      </w:r>
      <w:r w:rsidRPr="00EE657B">
        <w:rPr>
          <w:rFonts w:eastAsiaTheme="minorHAnsi"/>
          <w:sz w:val="22"/>
          <w:szCs w:val="22"/>
          <w:lang w:eastAsia="en-US"/>
        </w:rPr>
        <w:t>о</w:t>
      </w:r>
      <w:r w:rsidRPr="00EE657B">
        <w:rPr>
          <w:rFonts w:eastAsiaTheme="minorHAnsi"/>
          <w:sz w:val="22"/>
          <w:szCs w:val="22"/>
          <w:lang w:eastAsia="en-US"/>
        </w:rPr>
        <w:t>рыми медицина, по крайней мере, на сегодняшний день не может справиться. Не малую угрозу для жизни и здоровья создают некач</w:t>
      </w:r>
      <w:r w:rsidRPr="00EE657B">
        <w:rPr>
          <w:rFonts w:eastAsiaTheme="minorHAnsi"/>
          <w:sz w:val="22"/>
          <w:szCs w:val="22"/>
          <w:lang w:eastAsia="en-US"/>
        </w:rPr>
        <w:t>е</w:t>
      </w:r>
      <w:r w:rsidRPr="00EE657B">
        <w:rPr>
          <w:rFonts w:eastAsiaTheme="minorHAnsi"/>
          <w:sz w:val="22"/>
          <w:szCs w:val="22"/>
          <w:lang w:eastAsia="en-US"/>
        </w:rPr>
        <w:t>ственные продукты питания, использование удобрений, химикатов, генномодифицированные продукты питания, некачественная пить</w:t>
      </w:r>
      <w:r w:rsidRPr="00EE657B">
        <w:rPr>
          <w:rFonts w:eastAsiaTheme="minorHAnsi"/>
          <w:sz w:val="22"/>
          <w:szCs w:val="22"/>
          <w:lang w:eastAsia="en-US"/>
        </w:rPr>
        <w:t>е</w:t>
      </w:r>
      <w:r w:rsidRPr="00EE657B">
        <w:rPr>
          <w:rFonts w:eastAsiaTheme="minorHAnsi"/>
          <w:sz w:val="22"/>
          <w:szCs w:val="22"/>
          <w:lang w:eastAsia="en-US"/>
        </w:rPr>
        <w:t xml:space="preserve">вая вода, неблагоприятная среда. </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В настоящее время существенно расширилось понимание здр</w:t>
      </w:r>
      <w:r w:rsidRPr="00EE657B">
        <w:rPr>
          <w:rFonts w:eastAsiaTheme="minorHAnsi"/>
          <w:sz w:val="22"/>
          <w:szCs w:val="22"/>
          <w:lang w:eastAsia="en-US"/>
        </w:rPr>
        <w:t>а</w:t>
      </w:r>
      <w:r w:rsidRPr="00EE657B">
        <w:rPr>
          <w:rFonts w:eastAsiaTheme="minorHAnsi"/>
          <w:sz w:val="22"/>
          <w:szCs w:val="22"/>
          <w:lang w:eastAsia="en-US"/>
        </w:rPr>
        <w:t>воохранение, ведь это не только оказание медицинской помощи, но и создание здоровой среды обитания человека. Именно поэтому з</w:t>
      </w:r>
      <w:r w:rsidRPr="00EE657B">
        <w:rPr>
          <w:rFonts w:eastAsiaTheme="minorHAnsi"/>
          <w:sz w:val="22"/>
          <w:szCs w:val="22"/>
          <w:lang w:eastAsia="en-US"/>
        </w:rPr>
        <w:t>а</w:t>
      </w:r>
      <w:r w:rsidRPr="00EE657B">
        <w:rPr>
          <w:rFonts w:eastAsiaTheme="minorHAnsi"/>
          <w:sz w:val="22"/>
          <w:szCs w:val="22"/>
          <w:lang w:eastAsia="en-US"/>
        </w:rPr>
        <w:t>конодательство об охране здоровья граждан должно охватывать не только медицинскую помощь, но и все вопросы, касающиеся созд</w:t>
      </w:r>
      <w:r w:rsidRPr="00EE657B">
        <w:rPr>
          <w:rFonts w:eastAsiaTheme="minorHAnsi"/>
          <w:sz w:val="22"/>
          <w:szCs w:val="22"/>
          <w:lang w:eastAsia="en-US"/>
        </w:rPr>
        <w:t>а</w:t>
      </w:r>
      <w:r w:rsidRPr="00EE657B">
        <w:rPr>
          <w:rFonts w:eastAsiaTheme="minorHAnsi"/>
          <w:sz w:val="22"/>
          <w:szCs w:val="22"/>
          <w:lang w:eastAsia="en-US"/>
        </w:rPr>
        <w:t>ния безопасной среды жизнидеятельности человека. Защищая право на охрану здоровья, гражданское, административное, уголовное з</w:t>
      </w:r>
      <w:r w:rsidRPr="00EE657B">
        <w:rPr>
          <w:rFonts w:eastAsiaTheme="minorHAnsi"/>
          <w:sz w:val="22"/>
          <w:szCs w:val="22"/>
          <w:lang w:eastAsia="en-US"/>
        </w:rPr>
        <w:t>а</w:t>
      </w:r>
      <w:r w:rsidRPr="00EE657B">
        <w:rPr>
          <w:rFonts w:eastAsiaTheme="minorHAnsi"/>
          <w:sz w:val="22"/>
          <w:szCs w:val="22"/>
          <w:lang w:eastAsia="en-US"/>
        </w:rPr>
        <w:t>конодательство, должны учитывать это обстоятельство[4].</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Актуальным вопросом в области здравоохранения является в</w:t>
      </w:r>
      <w:r w:rsidRPr="00EE657B">
        <w:rPr>
          <w:rFonts w:eastAsiaTheme="minorHAnsi"/>
          <w:sz w:val="22"/>
          <w:szCs w:val="22"/>
          <w:lang w:eastAsia="en-US"/>
        </w:rPr>
        <w:t>о</w:t>
      </w:r>
      <w:r w:rsidRPr="00EE657B">
        <w:rPr>
          <w:rFonts w:eastAsiaTheme="minorHAnsi"/>
          <w:sz w:val="22"/>
          <w:szCs w:val="22"/>
          <w:lang w:eastAsia="en-US"/>
        </w:rPr>
        <w:t>прос об уголовной ответственности медицинских учреждений (юридических лиц)[6].</w:t>
      </w:r>
    </w:p>
    <w:p w:rsidR="00EC1A78" w:rsidRPr="00EE657B" w:rsidRDefault="00EC1A78" w:rsidP="00EC1A78">
      <w:pPr>
        <w:ind w:firstLine="425"/>
        <w:jc w:val="both"/>
        <w:rPr>
          <w:rFonts w:eastAsiaTheme="minorHAnsi"/>
          <w:sz w:val="22"/>
          <w:szCs w:val="22"/>
          <w:lang w:eastAsia="en-US"/>
        </w:rPr>
      </w:pPr>
      <w:r w:rsidRPr="00EE657B">
        <w:rPr>
          <w:rFonts w:eastAsiaTheme="minorHAnsi"/>
          <w:sz w:val="22"/>
          <w:szCs w:val="22"/>
          <w:lang w:eastAsia="en-US"/>
        </w:rPr>
        <w:t>Одной из главных обязанностей любой страны является отве</w:t>
      </w:r>
      <w:r w:rsidRPr="00EE657B">
        <w:rPr>
          <w:rFonts w:eastAsiaTheme="minorHAnsi"/>
          <w:sz w:val="22"/>
          <w:szCs w:val="22"/>
          <w:lang w:eastAsia="en-US"/>
        </w:rPr>
        <w:t>т</w:t>
      </w:r>
      <w:r w:rsidRPr="00EE657B">
        <w:rPr>
          <w:rFonts w:eastAsiaTheme="minorHAnsi"/>
          <w:sz w:val="22"/>
          <w:szCs w:val="22"/>
          <w:lang w:eastAsia="en-US"/>
        </w:rPr>
        <w:t>ственность за здоровье граждан, создание таких условий, при кот</w:t>
      </w:r>
      <w:r w:rsidRPr="00EE657B">
        <w:rPr>
          <w:rFonts w:eastAsiaTheme="minorHAnsi"/>
          <w:sz w:val="22"/>
          <w:szCs w:val="22"/>
          <w:lang w:eastAsia="en-US"/>
        </w:rPr>
        <w:t>о</w:t>
      </w:r>
      <w:r w:rsidRPr="00EE657B">
        <w:rPr>
          <w:rFonts w:eastAsiaTheme="minorHAnsi"/>
          <w:sz w:val="22"/>
          <w:szCs w:val="22"/>
          <w:lang w:eastAsia="en-US"/>
        </w:rPr>
        <w:t>рых граждане могли бы защищать право на охрану здоровья.</w:t>
      </w:r>
    </w:p>
    <w:p w:rsidR="00EC1A78" w:rsidRPr="00EE657B" w:rsidRDefault="00EC1A78" w:rsidP="00EC1A78">
      <w:pPr>
        <w:ind w:firstLine="425"/>
        <w:jc w:val="center"/>
        <w:rPr>
          <w:rFonts w:eastAsiaTheme="minorHAnsi"/>
          <w:sz w:val="22"/>
          <w:szCs w:val="22"/>
          <w:lang w:eastAsia="en-US"/>
        </w:rPr>
      </w:pPr>
    </w:p>
    <w:p w:rsidR="00EC1A78" w:rsidRPr="00EE657B" w:rsidRDefault="00EC1A78" w:rsidP="00EC1A78">
      <w:pPr>
        <w:ind w:firstLine="425"/>
        <w:jc w:val="center"/>
        <w:rPr>
          <w:rFonts w:eastAsiaTheme="minorHAnsi"/>
          <w:sz w:val="22"/>
          <w:szCs w:val="22"/>
          <w:lang w:eastAsia="en-US"/>
        </w:rPr>
      </w:pPr>
      <w:r w:rsidRPr="00EE657B">
        <w:rPr>
          <w:rFonts w:eastAsiaTheme="minorHAnsi"/>
          <w:sz w:val="22"/>
          <w:szCs w:val="22"/>
          <w:lang w:eastAsia="en-US"/>
        </w:rPr>
        <w:lastRenderedPageBreak/>
        <w:t>Список литературы</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1. Всеобщая декларация прав человека от 10 декабря 1948г. – М.: Проспект, 2016. – С. 3.</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2. Конституция Российской Федерации (с гимном России). – М.: Проспект, 2017. – С. 12.</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3. Уголовный кодекс Российской Федерации (У26 с изменен</w:t>
      </w:r>
      <w:r w:rsidRPr="00EE657B">
        <w:rPr>
          <w:rFonts w:eastAsiaTheme="minorHAnsi"/>
          <w:sz w:val="22"/>
          <w:szCs w:val="22"/>
          <w:lang w:eastAsia="en-US"/>
        </w:rPr>
        <w:t>и</w:t>
      </w:r>
      <w:r w:rsidRPr="00EE657B">
        <w:rPr>
          <w:rFonts w:eastAsiaTheme="minorHAnsi"/>
          <w:sz w:val="22"/>
          <w:szCs w:val="22"/>
          <w:lang w:eastAsia="en-US"/>
        </w:rPr>
        <w:t>ями и дополнениями на 1 октября 2017 г.). – М.: Эксмо, 2017. – С. 67.</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4. Гражданско–правовая и уголовно–правовая ответственность в медицине. М: Юрлитинформ, 2011. 254с.</w:t>
      </w:r>
    </w:p>
    <w:p w:rsidR="00EC1A78" w:rsidRPr="00EE657B" w:rsidRDefault="00EC1A78" w:rsidP="00EC1A78">
      <w:pPr>
        <w:ind w:firstLine="426"/>
        <w:jc w:val="both"/>
        <w:rPr>
          <w:rFonts w:eastAsiaTheme="minorHAnsi"/>
          <w:sz w:val="22"/>
          <w:szCs w:val="22"/>
          <w:lang w:eastAsia="en-US"/>
        </w:rPr>
      </w:pPr>
      <w:r w:rsidRPr="00EE657B">
        <w:rPr>
          <w:rFonts w:eastAsiaTheme="minorHAnsi"/>
          <w:sz w:val="22"/>
          <w:szCs w:val="22"/>
          <w:lang w:eastAsia="en-US"/>
        </w:rPr>
        <w:t xml:space="preserve">5. </w:t>
      </w:r>
      <w:r w:rsidRPr="00EE657B">
        <w:rPr>
          <w:rFonts w:eastAsiaTheme="minorHAnsi"/>
          <w:sz w:val="22"/>
          <w:szCs w:val="22"/>
          <w:bdr w:val="none" w:sz="0" w:space="0" w:color="auto" w:frame="1"/>
          <w:lang w:eastAsia="en-US"/>
        </w:rPr>
        <w:t>Леонтьев</w:t>
      </w:r>
      <w:r w:rsidRPr="00EE657B">
        <w:rPr>
          <w:rFonts w:eastAsiaTheme="minorHAnsi"/>
          <w:sz w:val="22"/>
          <w:szCs w:val="22"/>
          <w:lang w:eastAsia="en-US"/>
        </w:rPr>
        <w:t xml:space="preserve"> О., </w:t>
      </w:r>
      <w:r w:rsidRPr="00EE657B">
        <w:rPr>
          <w:rFonts w:eastAsiaTheme="minorHAnsi"/>
          <w:sz w:val="22"/>
          <w:szCs w:val="22"/>
          <w:bdr w:val="none" w:sz="0" w:space="0" w:color="auto" w:frame="1"/>
          <w:lang w:eastAsia="en-US"/>
        </w:rPr>
        <w:t>Баринова</w:t>
      </w:r>
      <w:r w:rsidRPr="00EE657B">
        <w:rPr>
          <w:rFonts w:eastAsiaTheme="minorHAnsi"/>
          <w:sz w:val="22"/>
          <w:szCs w:val="22"/>
          <w:lang w:eastAsia="en-US"/>
        </w:rPr>
        <w:t xml:space="preserve"> А.,</w:t>
      </w:r>
      <w:r w:rsidRPr="00EE657B">
        <w:rPr>
          <w:rFonts w:eastAsiaTheme="minorHAnsi"/>
          <w:sz w:val="22"/>
          <w:szCs w:val="22"/>
          <w:bdr w:val="none" w:sz="0" w:space="0" w:color="auto" w:frame="1"/>
          <w:lang w:eastAsia="en-US"/>
        </w:rPr>
        <w:t xml:space="preserve"> Савина</w:t>
      </w:r>
      <w:r w:rsidRPr="00EE657B">
        <w:rPr>
          <w:rFonts w:eastAsiaTheme="minorHAnsi"/>
          <w:sz w:val="22"/>
          <w:szCs w:val="22"/>
          <w:lang w:eastAsia="en-US"/>
        </w:rPr>
        <w:t xml:space="preserve"> В., </w:t>
      </w:r>
      <w:r w:rsidRPr="00EE657B">
        <w:rPr>
          <w:rFonts w:eastAsiaTheme="minorHAnsi"/>
          <w:sz w:val="22"/>
          <w:szCs w:val="22"/>
          <w:bdr w:val="none" w:sz="0" w:space="0" w:color="auto" w:frame="1"/>
          <w:lang w:eastAsia="en-US"/>
        </w:rPr>
        <w:t>Плавинский</w:t>
      </w:r>
      <w:r w:rsidRPr="00EE657B">
        <w:rPr>
          <w:rFonts w:eastAsiaTheme="minorHAnsi"/>
          <w:sz w:val="22"/>
          <w:szCs w:val="22"/>
          <w:lang w:eastAsia="en-US"/>
        </w:rPr>
        <w:t xml:space="preserve"> С. Общ</w:t>
      </w:r>
      <w:r w:rsidRPr="00EE657B">
        <w:rPr>
          <w:rFonts w:eastAsiaTheme="minorHAnsi"/>
          <w:sz w:val="22"/>
          <w:szCs w:val="22"/>
          <w:lang w:eastAsia="en-US"/>
        </w:rPr>
        <w:t>е</w:t>
      </w:r>
      <w:r w:rsidRPr="00EE657B">
        <w:rPr>
          <w:rFonts w:eastAsiaTheme="minorHAnsi"/>
          <w:sz w:val="22"/>
          <w:szCs w:val="22"/>
          <w:lang w:eastAsia="en-US"/>
        </w:rPr>
        <w:t xml:space="preserve">ственное здоровье и права человека: конфликт публичного интереса и индивидуальных свобод. / О. </w:t>
      </w:r>
      <w:r w:rsidRPr="00EE657B">
        <w:rPr>
          <w:rFonts w:eastAsiaTheme="minorHAnsi"/>
          <w:sz w:val="22"/>
          <w:szCs w:val="22"/>
          <w:bdr w:val="none" w:sz="0" w:space="0" w:color="auto" w:frame="1"/>
          <w:lang w:eastAsia="en-US"/>
        </w:rPr>
        <w:t>Леонтьев</w:t>
      </w:r>
      <w:r w:rsidRPr="00EE657B">
        <w:rPr>
          <w:rFonts w:eastAsiaTheme="minorHAnsi"/>
          <w:sz w:val="22"/>
          <w:szCs w:val="22"/>
          <w:lang w:eastAsia="en-US"/>
        </w:rPr>
        <w:t xml:space="preserve">, А. </w:t>
      </w:r>
      <w:r w:rsidRPr="00EE657B">
        <w:rPr>
          <w:rFonts w:eastAsiaTheme="minorHAnsi"/>
          <w:sz w:val="22"/>
          <w:szCs w:val="22"/>
          <w:bdr w:val="none" w:sz="0" w:space="0" w:color="auto" w:frame="1"/>
          <w:lang w:eastAsia="en-US"/>
        </w:rPr>
        <w:t>Баринова</w:t>
      </w:r>
      <w:r w:rsidRPr="00EE657B">
        <w:rPr>
          <w:rFonts w:eastAsiaTheme="minorHAnsi"/>
          <w:sz w:val="22"/>
          <w:szCs w:val="22"/>
          <w:lang w:eastAsia="en-US"/>
        </w:rPr>
        <w:t>,</w:t>
      </w:r>
      <w:r w:rsidRPr="00EE657B">
        <w:rPr>
          <w:rFonts w:eastAsiaTheme="minorHAnsi"/>
          <w:sz w:val="22"/>
          <w:szCs w:val="22"/>
          <w:bdr w:val="none" w:sz="0" w:space="0" w:color="auto" w:frame="1"/>
          <w:lang w:eastAsia="en-US"/>
        </w:rPr>
        <w:t xml:space="preserve"> </w:t>
      </w:r>
      <w:r w:rsidRPr="00EE657B">
        <w:rPr>
          <w:rFonts w:eastAsiaTheme="minorHAnsi"/>
          <w:sz w:val="22"/>
          <w:szCs w:val="22"/>
          <w:lang w:eastAsia="en-US"/>
        </w:rPr>
        <w:t>В.</w:t>
      </w:r>
      <w:r w:rsidRPr="00EE657B">
        <w:rPr>
          <w:rFonts w:eastAsiaTheme="minorHAnsi"/>
          <w:sz w:val="22"/>
          <w:szCs w:val="22"/>
          <w:bdr w:val="none" w:sz="0" w:space="0" w:color="auto" w:frame="1"/>
          <w:lang w:eastAsia="en-US"/>
        </w:rPr>
        <w:t xml:space="preserve"> Савина</w:t>
      </w:r>
      <w:r w:rsidRPr="00EE657B">
        <w:rPr>
          <w:rFonts w:eastAsiaTheme="minorHAnsi"/>
          <w:sz w:val="22"/>
          <w:szCs w:val="22"/>
          <w:lang w:eastAsia="en-US"/>
        </w:rPr>
        <w:t xml:space="preserve">, С. </w:t>
      </w:r>
      <w:r w:rsidRPr="00EE657B">
        <w:rPr>
          <w:rFonts w:eastAsiaTheme="minorHAnsi"/>
          <w:sz w:val="22"/>
          <w:szCs w:val="22"/>
          <w:bdr w:val="none" w:sz="0" w:space="0" w:color="auto" w:frame="1"/>
          <w:lang w:eastAsia="en-US"/>
        </w:rPr>
        <w:t>Плавинский</w:t>
      </w:r>
      <w:r w:rsidRPr="00EE657B">
        <w:rPr>
          <w:rFonts w:eastAsiaTheme="minorHAnsi"/>
          <w:sz w:val="22"/>
          <w:szCs w:val="22"/>
          <w:lang w:eastAsia="en-US"/>
        </w:rPr>
        <w:t>. – М.: СпецЛит, 2016. – С. 9 – 11, С. 25 – 26.</w:t>
      </w:r>
    </w:p>
    <w:p w:rsidR="00EC1A78" w:rsidRPr="00EC1A78" w:rsidRDefault="00EC1A78" w:rsidP="00EC1A78">
      <w:pPr>
        <w:ind w:firstLine="426"/>
        <w:jc w:val="both"/>
        <w:rPr>
          <w:rFonts w:eastAsiaTheme="minorHAnsi"/>
          <w:sz w:val="22"/>
          <w:szCs w:val="22"/>
          <w:lang w:eastAsia="en-US"/>
        </w:rPr>
      </w:pPr>
      <w:r w:rsidRPr="00EE657B">
        <w:rPr>
          <w:rFonts w:eastAsiaTheme="minorHAnsi"/>
          <w:sz w:val="22"/>
          <w:szCs w:val="22"/>
          <w:lang w:eastAsia="en-US"/>
        </w:rPr>
        <w:t xml:space="preserve">6. Епифанова Е.В. Юридическое лицо как субъект </w:t>
      </w:r>
      <w:r w:rsidRPr="00EC1A78">
        <w:rPr>
          <w:rFonts w:eastAsiaTheme="minorHAnsi"/>
          <w:sz w:val="22"/>
          <w:szCs w:val="22"/>
          <w:lang w:eastAsia="en-US"/>
        </w:rPr>
        <w:t>преступл</w:t>
      </w:r>
      <w:r w:rsidRPr="00EC1A78">
        <w:rPr>
          <w:rFonts w:eastAsiaTheme="minorHAnsi"/>
          <w:sz w:val="22"/>
          <w:szCs w:val="22"/>
          <w:lang w:eastAsia="en-US"/>
        </w:rPr>
        <w:t>е</w:t>
      </w:r>
      <w:r w:rsidRPr="00EC1A78">
        <w:rPr>
          <w:rFonts w:eastAsiaTheme="minorHAnsi"/>
          <w:sz w:val="22"/>
          <w:szCs w:val="22"/>
          <w:lang w:eastAsia="en-US"/>
        </w:rPr>
        <w:t>ния//Современное право. 2003. №2. С. 43.</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Pr="00EC1A78" w:rsidRDefault="00EE657B" w:rsidP="00EC1A78">
      <w:pPr>
        <w:jc w:val="both"/>
        <w:rPr>
          <w:rFonts w:eastAsiaTheme="minorHAnsi"/>
          <w:sz w:val="22"/>
          <w:szCs w:val="22"/>
          <w:lang w:eastAsia="en-US"/>
        </w:rPr>
      </w:pP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t>УДК 343.23</w:t>
      </w:r>
    </w:p>
    <w:p w:rsidR="00EC1A78" w:rsidRPr="00EC1A78" w:rsidRDefault="00EC1A78" w:rsidP="00EC1A78">
      <w:pPr>
        <w:jc w:val="center"/>
        <w:rPr>
          <w:rFonts w:eastAsiaTheme="minorHAnsi"/>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Необходимая оборона при защите права собственности</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val="en-US" w:eastAsia="en-US"/>
        </w:rPr>
        <w:t>Self</w:t>
      </w:r>
      <w:r w:rsidRPr="00EC1A78">
        <w:rPr>
          <w:rFonts w:eastAsiaTheme="minorHAnsi"/>
          <w:b/>
          <w:sz w:val="24"/>
          <w:szCs w:val="24"/>
          <w:lang w:eastAsia="en-US"/>
        </w:rPr>
        <w:t>–</w:t>
      </w:r>
      <w:r w:rsidRPr="00EC1A78">
        <w:rPr>
          <w:rFonts w:eastAsiaTheme="minorHAnsi"/>
          <w:b/>
          <w:sz w:val="24"/>
          <w:szCs w:val="24"/>
          <w:lang w:val="en-US" w:eastAsia="en-US"/>
        </w:rPr>
        <w:t>defence</w:t>
      </w:r>
      <w:r w:rsidRPr="00EC1A78">
        <w:rPr>
          <w:rFonts w:eastAsiaTheme="minorHAnsi"/>
          <w:b/>
          <w:sz w:val="24"/>
          <w:szCs w:val="24"/>
          <w:lang w:eastAsia="en-US"/>
        </w:rPr>
        <w:t xml:space="preserve"> </w:t>
      </w:r>
      <w:r w:rsidRPr="00EC1A78">
        <w:rPr>
          <w:rFonts w:eastAsiaTheme="minorHAnsi"/>
          <w:b/>
          <w:sz w:val="24"/>
          <w:szCs w:val="24"/>
          <w:lang w:val="en-US" w:eastAsia="en-US"/>
        </w:rPr>
        <w:t>in</w:t>
      </w:r>
      <w:r w:rsidRPr="00EC1A78">
        <w:rPr>
          <w:rFonts w:eastAsiaTheme="minorHAnsi"/>
          <w:b/>
          <w:sz w:val="24"/>
          <w:szCs w:val="24"/>
          <w:lang w:eastAsia="en-US"/>
        </w:rPr>
        <w:t xml:space="preserve"> </w:t>
      </w:r>
      <w:r w:rsidRPr="00EC1A78">
        <w:rPr>
          <w:rFonts w:eastAsiaTheme="minorHAnsi"/>
          <w:b/>
          <w:sz w:val="24"/>
          <w:szCs w:val="24"/>
          <w:lang w:val="en-US" w:eastAsia="en-US"/>
        </w:rPr>
        <w:t>protection</w:t>
      </w:r>
      <w:r w:rsidRPr="00EC1A78">
        <w:rPr>
          <w:rFonts w:eastAsiaTheme="minorHAnsi"/>
          <w:b/>
          <w:sz w:val="24"/>
          <w:szCs w:val="24"/>
          <w:lang w:eastAsia="en-US"/>
        </w:rPr>
        <w:t xml:space="preserve"> </w:t>
      </w:r>
      <w:r w:rsidRPr="00EC1A78">
        <w:rPr>
          <w:rFonts w:eastAsiaTheme="minorHAnsi"/>
          <w:b/>
          <w:sz w:val="24"/>
          <w:szCs w:val="24"/>
          <w:lang w:val="en-US" w:eastAsia="en-US"/>
        </w:rPr>
        <w:t>of</w:t>
      </w:r>
      <w:r w:rsidRPr="00EC1A78">
        <w:rPr>
          <w:rFonts w:eastAsiaTheme="minorHAnsi"/>
          <w:b/>
          <w:sz w:val="24"/>
          <w:szCs w:val="24"/>
          <w:lang w:eastAsia="en-US"/>
        </w:rPr>
        <w:t xml:space="preserve"> </w:t>
      </w:r>
      <w:r w:rsidRPr="00EC1A78">
        <w:rPr>
          <w:rFonts w:eastAsiaTheme="minorHAnsi"/>
          <w:b/>
          <w:sz w:val="24"/>
          <w:szCs w:val="24"/>
          <w:lang w:val="en-US" w:eastAsia="en-US"/>
        </w:rPr>
        <w:t>property</w:t>
      </w:r>
      <w:r w:rsidRPr="00EC1A78">
        <w:rPr>
          <w:rFonts w:eastAsiaTheme="minorHAnsi"/>
          <w:b/>
          <w:sz w:val="24"/>
          <w:szCs w:val="24"/>
          <w:lang w:eastAsia="en-US"/>
        </w:rPr>
        <w:t xml:space="preserve"> </w:t>
      </w:r>
      <w:r w:rsidRPr="00EC1A78">
        <w:rPr>
          <w:rFonts w:eastAsiaTheme="minorHAnsi"/>
          <w:b/>
          <w:sz w:val="24"/>
          <w:szCs w:val="24"/>
          <w:lang w:val="en-US" w:eastAsia="en-US"/>
        </w:rPr>
        <w:t>rights</w:t>
      </w:r>
    </w:p>
    <w:p w:rsidR="00EC1A78" w:rsidRPr="00EC1A78" w:rsidRDefault="00EC1A78" w:rsidP="00EC1A78">
      <w:pPr>
        <w:ind w:firstLine="426"/>
        <w:jc w:val="right"/>
        <w:rPr>
          <w:rFonts w:eastAsiaTheme="minorHAnsi"/>
          <w:sz w:val="22"/>
          <w:szCs w:val="22"/>
          <w:lang w:eastAsia="en-US"/>
        </w:rPr>
      </w:pPr>
    </w:p>
    <w:p w:rsidR="00EC1A78" w:rsidRPr="00EC1A78" w:rsidRDefault="00EC1A78" w:rsidP="00EC1A78">
      <w:pPr>
        <w:ind w:firstLine="426"/>
        <w:jc w:val="right"/>
        <w:rPr>
          <w:rFonts w:eastAsiaTheme="minorHAnsi"/>
          <w:sz w:val="22"/>
          <w:szCs w:val="22"/>
          <w:lang w:eastAsia="en-US"/>
        </w:rPr>
      </w:pPr>
      <w:r w:rsidRPr="00EC1A78">
        <w:rPr>
          <w:rFonts w:eastAsiaTheme="minorHAnsi"/>
          <w:sz w:val="22"/>
          <w:szCs w:val="22"/>
          <w:lang w:eastAsia="en-US"/>
        </w:rPr>
        <w:t>Чурекова О.</w:t>
      </w:r>
      <w:r w:rsidR="00EE657B">
        <w:rPr>
          <w:rFonts w:eastAsiaTheme="minorHAnsi"/>
          <w:sz w:val="22"/>
          <w:szCs w:val="22"/>
          <w:lang w:eastAsia="en-US"/>
        </w:rPr>
        <w:t xml:space="preserve"> </w:t>
      </w:r>
      <w:r w:rsidRPr="00EC1A78">
        <w:rPr>
          <w:rFonts w:eastAsiaTheme="minorHAnsi"/>
          <w:sz w:val="22"/>
          <w:szCs w:val="22"/>
          <w:lang w:eastAsia="en-US"/>
        </w:rPr>
        <w:t>О.,</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студентка 4–го курса юридического факультета</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Картавченко В.</w:t>
      </w:r>
      <w:r w:rsidR="00EE657B">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доцент кафедры уголовного права</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ind w:hanging="142"/>
        <w:jc w:val="right"/>
        <w:rPr>
          <w:rFonts w:eastAsiaTheme="minorHAnsi"/>
          <w:sz w:val="22"/>
          <w:szCs w:val="22"/>
          <w:lang w:eastAsia="en-US"/>
        </w:rPr>
      </w:pPr>
      <w:r w:rsidRPr="00EC1A78">
        <w:rPr>
          <w:rFonts w:eastAsiaTheme="minorHAnsi"/>
          <w:sz w:val="22"/>
          <w:szCs w:val="22"/>
          <w:lang w:eastAsia="en-US"/>
        </w:rPr>
        <w:t>университет имени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данной статье рассматриваются особенности необходимой обороны как обстоятельства, исключающего престу</w:t>
      </w:r>
      <w:r w:rsidRPr="00EC1A78">
        <w:rPr>
          <w:rFonts w:eastAsiaTheme="minorHAnsi"/>
          <w:sz w:val="22"/>
          <w:szCs w:val="22"/>
          <w:lang w:eastAsia="en-US"/>
        </w:rPr>
        <w:t>п</w:t>
      </w:r>
      <w:r w:rsidRPr="00EC1A78">
        <w:rPr>
          <w:rFonts w:eastAsiaTheme="minorHAnsi"/>
          <w:sz w:val="22"/>
          <w:szCs w:val="22"/>
          <w:lang w:eastAsia="en-US"/>
        </w:rPr>
        <w:t xml:space="preserve">ность деяния применительно к защите права собственности. </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this article discusses the features of self–defence as a circumstance precluding the criminality of an act in relation to the pr</w:t>
      </w:r>
      <w:r w:rsidRPr="00EC1A78">
        <w:rPr>
          <w:rFonts w:eastAsiaTheme="minorHAnsi"/>
          <w:sz w:val="22"/>
          <w:szCs w:val="22"/>
          <w:lang w:val="en-US" w:eastAsia="en-US"/>
        </w:rPr>
        <w:t>o</w:t>
      </w:r>
      <w:r w:rsidRPr="00EC1A78">
        <w:rPr>
          <w:rFonts w:eastAsiaTheme="minorHAnsi"/>
          <w:sz w:val="22"/>
          <w:szCs w:val="22"/>
          <w:lang w:val="en-US" w:eastAsia="en-US"/>
        </w:rPr>
        <w:t>tection of property rights.</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КЛЮЧЕВЫЕ СЛОВА: необходимая оборона, правомерность, защита, нападение, право собственности</w:t>
      </w:r>
    </w:p>
    <w:p w:rsidR="00EC1A78" w:rsidRPr="00EC1A78" w:rsidRDefault="00EC1A78" w:rsidP="00EC1A78">
      <w:pPr>
        <w:ind w:firstLine="426"/>
        <w:jc w:val="both"/>
        <w:rPr>
          <w:rFonts w:eastAsiaTheme="minorHAnsi"/>
          <w:sz w:val="22"/>
          <w:szCs w:val="22"/>
          <w:lang w:val="en-US" w:eastAsia="en-US"/>
        </w:rPr>
      </w:pPr>
      <w:r w:rsidRPr="00EC1A78">
        <w:rPr>
          <w:rFonts w:eastAsiaTheme="minorHAnsi"/>
          <w:sz w:val="22"/>
          <w:szCs w:val="22"/>
          <w:lang w:val="en-US" w:eastAsia="en-US"/>
        </w:rPr>
        <w:t>KEYWORDS: self–defence, legality, protection, attack, ownership</w:t>
      </w:r>
    </w:p>
    <w:p w:rsidR="00EC1A78" w:rsidRPr="00EC1A78" w:rsidRDefault="00EC1A78" w:rsidP="00EC1A78">
      <w:pPr>
        <w:ind w:firstLine="426"/>
        <w:jc w:val="both"/>
        <w:rPr>
          <w:rFonts w:eastAsiaTheme="minorHAnsi"/>
          <w:sz w:val="22"/>
          <w:szCs w:val="22"/>
          <w:lang w:val="en-US" w:eastAsia="en-US"/>
        </w:rPr>
      </w:pP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Право на необходимую оборону является неотъемлемой с</w:t>
      </w:r>
      <w:r w:rsidRPr="00EC1A78">
        <w:rPr>
          <w:rFonts w:eastAsiaTheme="minorHAnsi"/>
          <w:sz w:val="22"/>
          <w:szCs w:val="22"/>
          <w:lang w:eastAsia="en-US"/>
        </w:rPr>
        <w:t>о</w:t>
      </w:r>
      <w:r w:rsidRPr="00EC1A78">
        <w:rPr>
          <w:rFonts w:eastAsiaTheme="minorHAnsi"/>
          <w:sz w:val="22"/>
          <w:szCs w:val="22"/>
          <w:lang w:eastAsia="en-US"/>
        </w:rPr>
        <w:t>ставляющей правового статуса личности. В соответствии со ст. 37 Уголовного кодекса Российской Федерации не признается престу</w:t>
      </w:r>
      <w:r w:rsidRPr="00EC1A78">
        <w:rPr>
          <w:rFonts w:eastAsiaTheme="minorHAnsi"/>
          <w:sz w:val="22"/>
          <w:szCs w:val="22"/>
          <w:lang w:eastAsia="en-US"/>
        </w:rPr>
        <w:t>п</w:t>
      </w:r>
      <w:r w:rsidRPr="00EC1A78">
        <w:rPr>
          <w:rFonts w:eastAsiaTheme="minorHAnsi"/>
          <w:sz w:val="22"/>
          <w:szCs w:val="22"/>
          <w:lang w:eastAsia="en-US"/>
        </w:rPr>
        <w:t xml:space="preserve">лением причинение </w:t>
      </w:r>
      <w:r w:rsidRPr="00EE657B">
        <w:rPr>
          <w:rFonts w:eastAsiaTheme="minorHAnsi"/>
          <w:vanish/>
          <w:sz w:val="22"/>
          <w:szCs w:val="22"/>
          <w:lang w:eastAsia="en-US"/>
        </w:rPr>
        <w:t xml:space="preserve">причинение </w:t>
      </w:r>
      <w:r w:rsidRPr="00EE657B">
        <w:rPr>
          <w:rFonts w:eastAsiaTheme="minorHAnsi"/>
          <w:sz w:val="22"/>
          <w:szCs w:val="22"/>
          <w:lang w:eastAsia="en-US"/>
        </w:rPr>
        <w:t>в</w:t>
      </w:r>
      <w:r w:rsidRPr="00EC1A78">
        <w:rPr>
          <w:rFonts w:eastAsiaTheme="minorHAnsi"/>
          <w:sz w:val="22"/>
          <w:szCs w:val="22"/>
          <w:lang w:eastAsia="en-US"/>
        </w:rPr>
        <w:t>реда посягающему лицу в состоянии необх</w:t>
      </w:r>
      <w:r w:rsidRPr="00EC1A78">
        <w:rPr>
          <w:rFonts w:eastAsiaTheme="minorHAnsi"/>
          <w:sz w:val="22"/>
          <w:szCs w:val="22"/>
          <w:lang w:eastAsia="en-US"/>
        </w:rPr>
        <w:t>о</w:t>
      </w:r>
      <w:r w:rsidRPr="00EC1A78">
        <w:rPr>
          <w:rFonts w:eastAsiaTheme="minorHAnsi"/>
          <w:sz w:val="22"/>
          <w:szCs w:val="22"/>
          <w:lang w:eastAsia="en-US"/>
        </w:rPr>
        <w:t>димой обороны [1]. Из этого следует, что применение конкретного правового института допустимо не только при защите жизни и зд</w:t>
      </w:r>
      <w:r w:rsidRPr="00EC1A78">
        <w:rPr>
          <w:rFonts w:eastAsiaTheme="minorHAnsi"/>
          <w:sz w:val="22"/>
          <w:szCs w:val="22"/>
          <w:lang w:eastAsia="en-US"/>
        </w:rPr>
        <w:t>о</w:t>
      </w:r>
      <w:r w:rsidRPr="00EC1A78">
        <w:rPr>
          <w:rFonts w:eastAsiaTheme="minorHAnsi"/>
          <w:sz w:val="22"/>
          <w:szCs w:val="22"/>
          <w:lang w:eastAsia="en-US"/>
        </w:rPr>
        <w:t xml:space="preserve">ровья лица, прибегнувшего к обороне, но и таких прав, как право собственности.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Проблема использования самообороны для отражения пр</w:t>
      </w:r>
      <w:r w:rsidRPr="00EC1A78">
        <w:rPr>
          <w:rFonts w:eastAsiaTheme="minorHAnsi"/>
          <w:sz w:val="22"/>
          <w:szCs w:val="22"/>
          <w:lang w:eastAsia="en-US"/>
        </w:rPr>
        <w:t>е</w:t>
      </w:r>
      <w:r w:rsidRPr="00EC1A78">
        <w:rPr>
          <w:rFonts w:eastAsiaTheme="minorHAnsi"/>
          <w:sz w:val="22"/>
          <w:szCs w:val="22"/>
          <w:lang w:eastAsia="en-US"/>
        </w:rPr>
        <w:t>ступления заключается в том, что уголовное законодательство практически ничего не говорит о пределах необходимой обороны при защите права собственности, в том числе и с использованием</w:t>
      </w:r>
      <w:r w:rsidRPr="00EC1A78">
        <w:rPr>
          <w:rFonts w:eastAsiaTheme="minorHAnsi"/>
          <w:sz w:val="22"/>
          <w:szCs w:val="22"/>
          <w:shd w:val="clear" w:color="auto" w:fill="FFFFFF"/>
          <w:lang w:eastAsia="en-US"/>
        </w:rPr>
        <w:t xml:space="preserve">  специальных технических и иных средств.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Некоторые ученые, в том числе И.Н. </w:t>
      </w:r>
      <w:r w:rsidRPr="00EC1A78">
        <w:rPr>
          <w:rFonts w:eastAsiaTheme="minorHAnsi"/>
          <w:sz w:val="22"/>
          <w:szCs w:val="22"/>
          <w:shd w:val="clear" w:color="auto" w:fill="FFFFFF"/>
          <w:lang w:eastAsia="en-US"/>
        </w:rPr>
        <w:t>Алексеев,</w:t>
      </w:r>
      <w:r w:rsidRPr="00EC1A78">
        <w:rPr>
          <w:rFonts w:eastAsiaTheme="minorHAnsi"/>
          <w:sz w:val="22"/>
          <w:szCs w:val="22"/>
          <w:lang w:eastAsia="en-US"/>
        </w:rPr>
        <w:t xml:space="preserve"> полагают, что при таком посягательстве на собственность, как при покушении, не связанном с применением насилия в отношении граждан, прим</w:t>
      </w:r>
      <w:r w:rsidRPr="00EC1A78">
        <w:rPr>
          <w:rFonts w:eastAsiaTheme="minorHAnsi"/>
          <w:sz w:val="22"/>
          <w:szCs w:val="22"/>
          <w:lang w:eastAsia="en-US"/>
        </w:rPr>
        <w:t>е</w:t>
      </w:r>
      <w:r w:rsidRPr="00EC1A78">
        <w:rPr>
          <w:rFonts w:eastAsiaTheme="minorHAnsi"/>
          <w:sz w:val="22"/>
          <w:szCs w:val="22"/>
          <w:lang w:eastAsia="en-US"/>
        </w:rPr>
        <w:t xml:space="preserve">нять оборону незаконно [3].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Мы считаем, что указанная позиция является неверной. В пр</w:t>
      </w:r>
      <w:r w:rsidRPr="00EC1A78">
        <w:rPr>
          <w:rFonts w:eastAsiaTheme="minorHAnsi"/>
          <w:sz w:val="22"/>
          <w:szCs w:val="22"/>
          <w:lang w:eastAsia="en-US"/>
        </w:rPr>
        <w:t>о</w:t>
      </w:r>
      <w:r w:rsidRPr="00EC1A78">
        <w:rPr>
          <w:rFonts w:eastAsiaTheme="minorHAnsi"/>
          <w:sz w:val="22"/>
          <w:szCs w:val="22"/>
          <w:lang w:eastAsia="en-US"/>
        </w:rPr>
        <w:t>цессе совершения преступления, связанного с проникновением в жилое помещение, граждане не могут объективно и своевременно осознать степень опасности такого посягательства. К тому же, пр</w:t>
      </w:r>
      <w:r w:rsidRPr="00EC1A78">
        <w:rPr>
          <w:rFonts w:eastAsiaTheme="minorHAnsi"/>
          <w:sz w:val="22"/>
          <w:szCs w:val="22"/>
          <w:lang w:eastAsia="en-US"/>
        </w:rPr>
        <w:t>о</w:t>
      </w:r>
      <w:r w:rsidRPr="00EC1A78">
        <w:rPr>
          <w:rFonts w:eastAsiaTheme="minorHAnsi"/>
          <w:sz w:val="22"/>
          <w:szCs w:val="22"/>
          <w:lang w:eastAsia="en-US"/>
        </w:rPr>
        <w:t>медление в данном случае нежелательно, так как преступник пол</w:t>
      </w:r>
      <w:r w:rsidRPr="00EC1A78">
        <w:rPr>
          <w:rFonts w:eastAsiaTheme="minorHAnsi"/>
          <w:sz w:val="22"/>
          <w:szCs w:val="22"/>
          <w:lang w:eastAsia="en-US"/>
        </w:rPr>
        <w:t>у</w:t>
      </w:r>
      <w:r w:rsidRPr="00EC1A78">
        <w:rPr>
          <w:rFonts w:eastAsiaTheme="minorHAnsi"/>
          <w:sz w:val="22"/>
          <w:szCs w:val="22"/>
          <w:lang w:eastAsia="en-US"/>
        </w:rPr>
        <w:t>чает возможность понять, сколько людей находится в помещении и где именно, а также подготовить оружие.</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Позиция В.В.Орехова предоставляется достоверной. Он указ</w:t>
      </w:r>
      <w:r w:rsidRPr="00EC1A78">
        <w:rPr>
          <w:rFonts w:eastAsiaTheme="minorHAnsi"/>
          <w:sz w:val="22"/>
          <w:szCs w:val="22"/>
          <w:lang w:eastAsia="en-US"/>
        </w:rPr>
        <w:t>ы</w:t>
      </w:r>
      <w:r w:rsidRPr="00EC1A78">
        <w:rPr>
          <w:rFonts w:eastAsiaTheme="minorHAnsi"/>
          <w:sz w:val="22"/>
          <w:szCs w:val="22"/>
          <w:lang w:eastAsia="en-US"/>
        </w:rPr>
        <w:t>вает, что установка защитных устройств и приспособлений в своих домах помогает гражданам обезопасить свое имущество от разли</w:t>
      </w:r>
      <w:r w:rsidRPr="00EC1A78">
        <w:rPr>
          <w:rFonts w:eastAsiaTheme="minorHAnsi"/>
          <w:sz w:val="22"/>
          <w:szCs w:val="22"/>
          <w:lang w:eastAsia="en-US"/>
        </w:rPr>
        <w:t>ч</w:t>
      </w:r>
      <w:r w:rsidRPr="00EC1A78">
        <w:rPr>
          <w:rFonts w:eastAsiaTheme="minorHAnsi"/>
          <w:sz w:val="22"/>
          <w:szCs w:val="22"/>
          <w:lang w:eastAsia="en-US"/>
        </w:rPr>
        <w:t>ных преступлений против собственности [4]. Санкции к защища</w:t>
      </w:r>
      <w:r w:rsidRPr="00EC1A78">
        <w:rPr>
          <w:rFonts w:eastAsiaTheme="minorHAnsi"/>
          <w:sz w:val="22"/>
          <w:szCs w:val="22"/>
          <w:lang w:eastAsia="en-US"/>
        </w:rPr>
        <w:t>ю</w:t>
      </w:r>
      <w:r w:rsidRPr="00EC1A78">
        <w:rPr>
          <w:rFonts w:eastAsiaTheme="minorHAnsi"/>
          <w:sz w:val="22"/>
          <w:szCs w:val="22"/>
          <w:lang w:eastAsia="en-US"/>
        </w:rPr>
        <w:t>щемуся лицу за эксцесс обороны в этой ситуации должны прим</w:t>
      </w:r>
      <w:r w:rsidRPr="00EC1A78">
        <w:rPr>
          <w:rFonts w:eastAsiaTheme="minorHAnsi"/>
          <w:sz w:val="22"/>
          <w:szCs w:val="22"/>
          <w:lang w:eastAsia="en-US"/>
        </w:rPr>
        <w:t>е</w:t>
      </w:r>
      <w:r w:rsidRPr="00EC1A78">
        <w:rPr>
          <w:rFonts w:eastAsiaTheme="minorHAnsi"/>
          <w:sz w:val="22"/>
          <w:szCs w:val="22"/>
          <w:lang w:eastAsia="en-US"/>
        </w:rPr>
        <w:t>няться только в случае, если имеется прямой умысел на причинение несоразмерного вреда при защите имущества и задержании пр</w:t>
      </w:r>
      <w:r w:rsidRPr="00EC1A78">
        <w:rPr>
          <w:rFonts w:eastAsiaTheme="minorHAnsi"/>
          <w:sz w:val="22"/>
          <w:szCs w:val="22"/>
          <w:lang w:eastAsia="en-US"/>
        </w:rPr>
        <w:t>е</w:t>
      </w:r>
      <w:r w:rsidRPr="00EC1A78">
        <w:rPr>
          <w:rFonts w:eastAsiaTheme="minorHAnsi"/>
          <w:sz w:val="22"/>
          <w:szCs w:val="22"/>
          <w:lang w:eastAsia="en-US"/>
        </w:rPr>
        <w:t xml:space="preserve">ступника.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Исходя из постановления Верховного Суда Российской Фед</w:t>
      </w:r>
      <w:r w:rsidRPr="00EC1A78">
        <w:rPr>
          <w:rFonts w:eastAsiaTheme="minorHAnsi"/>
          <w:sz w:val="22"/>
          <w:szCs w:val="22"/>
          <w:lang w:eastAsia="en-US"/>
        </w:rPr>
        <w:t>е</w:t>
      </w:r>
      <w:r w:rsidRPr="00EC1A78">
        <w:rPr>
          <w:rFonts w:eastAsiaTheme="minorHAnsi"/>
          <w:sz w:val="22"/>
          <w:szCs w:val="22"/>
          <w:lang w:eastAsia="en-US"/>
        </w:rPr>
        <w:t xml:space="preserve">рации, нормы права о необходимой обороне распространяются на </w:t>
      </w:r>
      <w:r w:rsidRPr="00EC1A78">
        <w:rPr>
          <w:rFonts w:eastAsiaTheme="minorHAnsi"/>
          <w:sz w:val="22"/>
          <w:szCs w:val="22"/>
          <w:lang w:eastAsia="en-US"/>
        </w:rPr>
        <w:lastRenderedPageBreak/>
        <w:t>случаи использования легальных средств для защиты охраняемых законом прав и свобод. Однако если причиненный правонарушит</w:t>
      </w:r>
      <w:r w:rsidRPr="00EC1A78">
        <w:rPr>
          <w:rFonts w:eastAsiaTheme="minorHAnsi"/>
          <w:sz w:val="22"/>
          <w:szCs w:val="22"/>
          <w:lang w:eastAsia="en-US"/>
        </w:rPr>
        <w:t>е</w:t>
      </w:r>
      <w:r w:rsidRPr="00EC1A78">
        <w:rPr>
          <w:rFonts w:eastAsiaTheme="minorHAnsi"/>
          <w:sz w:val="22"/>
          <w:szCs w:val="22"/>
          <w:lang w:eastAsia="en-US"/>
        </w:rPr>
        <w:t>лю вред не соответствовал общественной опасности посягательства, то совершенное действие будет пониматься как превышение пред</w:t>
      </w:r>
      <w:r w:rsidRPr="00EC1A78">
        <w:rPr>
          <w:rFonts w:eastAsiaTheme="minorHAnsi"/>
          <w:sz w:val="22"/>
          <w:szCs w:val="22"/>
          <w:lang w:eastAsia="en-US"/>
        </w:rPr>
        <w:t>е</w:t>
      </w:r>
      <w:r w:rsidRPr="00EC1A78">
        <w:rPr>
          <w:rFonts w:eastAsiaTheme="minorHAnsi"/>
          <w:sz w:val="22"/>
          <w:szCs w:val="22"/>
          <w:lang w:eastAsia="en-US"/>
        </w:rPr>
        <w:t>лов необходимой обороны [2].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Судебная практика указывает на то, что, как правило, необх</w:t>
      </w:r>
      <w:r w:rsidRPr="00EC1A78">
        <w:rPr>
          <w:rFonts w:eastAsiaTheme="minorHAnsi"/>
          <w:sz w:val="22"/>
          <w:szCs w:val="22"/>
          <w:lang w:eastAsia="en-US"/>
        </w:rPr>
        <w:t>о</w:t>
      </w:r>
      <w:r w:rsidRPr="00EC1A78">
        <w:rPr>
          <w:rFonts w:eastAsiaTheme="minorHAnsi"/>
          <w:sz w:val="22"/>
          <w:szCs w:val="22"/>
          <w:lang w:eastAsia="en-US"/>
        </w:rPr>
        <w:t>димая оборона применяется, когда осуществляется посягательство на жизнь и здоровье гражданина. Причина неприменения самооб</w:t>
      </w:r>
      <w:r w:rsidRPr="00EC1A78">
        <w:rPr>
          <w:rFonts w:eastAsiaTheme="minorHAnsi"/>
          <w:sz w:val="22"/>
          <w:szCs w:val="22"/>
          <w:lang w:eastAsia="en-US"/>
        </w:rPr>
        <w:t>о</w:t>
      </w:r>
      <w:r w:rsidRPr="00EC1A78">
        <w:rPr>
          <w:rFonts w:eastAsiaTheme="minorHAnsi"/>
          <w:sz w:val="22"/>
          <w:szCs w:val="22"/>
          <w:lang w:eastAsia="en-US"/>
        </w:rPr>
        <w:t>роны при защите права собственности заключается в том, что гра</w:t>
      </w:r>
      <w:r w:rsidRPr="00EC1A78">
        <w:rPr>
          <w:rFonts w:eastAsiaTheme="minorHAnsi"/>
          <w:sz w:val="22"/>
          <w:szCs w:val="22"/>
          <w:lang w:eastAsia="en-US"/>
        </w:rPr>
        <w:t>ж</w:t>
      </w:r>
      <w:r w:rsidRPr="00EC1A78">
        <w:rPr>
          <w:rFonts w:eastAsiaTheme="minorHAnsi"/>
          <w:sz w:val="22"/>
          <w:szCs w:val="22"/>
          <w:lang w:eastAsia="en-US"/>
        </w:rPr>
        <w:t xml:space="preserve">дане не знают, какой вред они имеют права причинять посягающим на их собственность и могут ли они вообще это делать.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Уголовный закон не требует, чтобы причиненный посягающ</w:t>
      </w:r>
      <w:r w:rsidRPr="00EC1A78">
        <w:rPr>
          <w:rFonts w:eastAsiaTheme="minorHAnsi"/>
          <w:sz w:val="22"/>
          <w:szCs w:val="22"/>
          <w:lang w:eastAsia="en-US"/>
        </w:rPr>
        <w:t>е</w:t>
      </w:r>
      <w:r w:rsidRPr="00EC1A78">
        <w:rPr>
          <w:rFonts w:eastAsiaTheme="minorHAnsi"/>
          <w:sz w:val="22"/>
          <w:szCs w:val="22"/>
          <w:lang w:eastAsia="en-US"/>
        </w:rPr>
        <w:t>му вред был таким же, либо же меньшим по сравнению с общ</w:t>
      </w:r>
      <w:r w:rsidRPr="00EC1A78">
        <w:rPr>
          <w:rFonts w:eastAsiaTheme="minorHAnsi"/>
          <w:sz w:val="22"/>
          <w:szCs w:val="22"/>
          <w:lang w:eastAsia="en-US"/>
        </w:rPr>
        <w:t>е</w:t>
      </w:r>
      <w:r w:rsidRPr="00EC1A78">
        <w:rPr>
          <w:rFonts w:eastAsiaTheme="minorHAnsi"/>
          <w:sz w:val="22"/>
          <w:szCs w:val="22"/>
          <w:lang w:eastAsia="en-US"/>
        </w:rPr>
        <w:t>ственной опасностью посягательства, главное, чтобы он не был я</w:t>
      </w:r>
      <w:r w:rsidRPr="00EC1A78">
        <w:rPr>
          <w:rFonts w:eastAsiaTheme="minorHAnsi"/>
          <w:sz w:val="22"/>
          <w:szCs w:val="22"/>
          <w:lang w:eastAsia="en-US"/>
        </w:rPr>
        <w:t>в</w:t>
      </w:r>
      <w:r w:rsidRPr="00EC1A78">
        <w:rPr>
          <w:rFonts w:eastAsiaTheme="minorHAnsi"/>
          <w:sz w:val="22"/>
          <w:szCs w:val="22"/>
          <w:lang w:eastAsia="en-US"/>
        </w:rPr>
        <w:t>но не соответствующим характеру и степени опасности посягател</w:t>
      </w:r>
      <w:r w:rsidRPr="00EC1A78">
        <w:rPr>
          <w:rFonts w:eastAsiaTheme="minorHAnsi"/>
          <w:sz w:val="22"/>
          <w:szCs w:val="22"/>
          <w:lang w:eastAsia="en-US"/>
        </w:rPr>
        <w:t>ь</w:t>
      </w:r>
      <w:r w:rsidRPr="00EC1A78">
        <w:rPr>
          <w:rFonts w:eastAsiaTheme="minorHAnsi"/>
          <w:sz w:val="22"/>
          <w:szCs w:val="22"/>
          <w:lang w:eastAsia="en-US"/>
        </w:rPr>
        <w:t>ства.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Существуют различные точки зрения, касающиеся наступления уголовной ответственности за реализацию права на необходимую оборону при защите права собственности. </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По мнению С.И. Попова, причинение смерти при защите права собственности, вне зависимости от размера причиненного ущерба, в любом случае должно признаваться превышением пределов обор</w:t>
      </w:r>
      <w:r w:rsidRPr="00EC1A78">
        <w:rPr>
          <w:rFonts w:eastAsiaTheme="minorHAnsi"/>
          <w:sz w:val="22"/>
          <w:szCs w:val="22"/>
          <w:lang w:eastAsia="en-US"/>
        </w:rPr>
        <w:t>о</w:t>
      </w:r>
      <w:r w:rsidRPr="00EC1A78">
        <w:rPr>
          <w:rFonts w:eastAsiaTheme="minorHAnsi"/>
          <w:sz w:val="22"/>
          <w:szCs w:val="22"/>
          <w:lang w:eastAsia="en-US"/>
        </w:rPr>
        <w:t>ны. Недопустимо сравнивать ценность человеческой жизни и им</w:t>
      </w:r>
      <w:r w:rsidRPr="00EC1A78">
        <w:rPr>
          <w:rFonts w:eastAsiaTheme="minorHAnsi"/>
          <w:sz w:val="22"/>
          <w:szCs w:val="22"/>
          <w:lang w:eastAsia="en-US"/>
        </w:rPr>
        <w:t>у</w:t>
      </w:r>
      <w:r w:rsidRPr="00EC1A78">
        <w:rPr>
          <w:rFonts w:eastAsiaTheme="minorHAnsi"/>
          <w:sz w:val="22"/>
          <w:szCs w:val="22"/>
          <w:lang w:eastAsia="en-US"/>
        </w:rPr>
        <w:t>щества.</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Единственным исключением, когда при защите права со</w:t>
      </w:r>
      <w:r w:rsidRPr="00EC1A78">
        <w:rPr>
          <w:rFonts w:eastAsiaTheme="minorHAnsi"/>
          <w:sz w:val="22"/>
          <w:szCs w:val="22"/>
          <w:lang w:eastAsia="en-US"/>
        </w:rPr>
        <w:t>б</w:t>
      </w:r>
      <w:r w:rsidRPr="00EC1A78">
        <w:rPr>
          <w:rFonts w:eastAsiaTheme="minorHAnsi"/>
          <w:sz w:val="22"/>
          <w:szCs w:val="22"/>
          <w:lang w:eastAsia="en-US"/>
        </w:rPr>
        <w:t>ственности допускается причинение смерти, является совершение преступного деяния против собственности общественно опасным способом или же с применением либо угрозой применения насилия, опасного для жизни или здоровья. [5].</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 xml:space="preserve">Существует и противоположная точка зрения. Так, депутатом Государственной Думы Российской Федерации С.В. Калашниковым был предложен законопроект, в котором предлагается закрепить принцип «мой дом – моя крепость». </w:t>
      </w:r>
      <w:r w:rsidRPr="00EC1A78">
        <w:rPr>
          <w:rFonts w:eastAsiaTheme="minorHAnsi"/>
          <w:sz w:val="22"/>
          <w:szCs w:val="22"/>
          <w:shd w:val="clear" w:color="auto" w:fill="FFFFFF"/>
          <w:lang w:eastAsia="en-US"/>
        </w:rPr>
        <w:t xml:space="preserve">Предлагается </w:t>
      </w:r>
      <w:r w:rsidRPr="00EE657B">
        <w:rPr>
          <w:rFonts w:eastAsiaTheme="minorHAnsi"/>
          <w:sz w:val="22"/>
          <w:szCs w:val="22"/>
          <w:shd w:val="clear" w:color="auto" w:fill="FFFFFF"/>
          <w:lang w:eastAsia="en-US"/>
        </w:rPr>
        <w:t>все</w:t>
      </w:r>
      <w:r w:rsidRPr="00EE657B">
        <w:rPr>
          <w:rFonts w:eastAsiaTheme="minorHAnsi"/>
          <w:bCs/>
          <w:sz w:val="22"/>
          <w:szCs w:val="22"/>
          <w:lang w:eastAsia="en-US"/>
        </w:rPr>
        <w:t xml:space="preserve"> деяния</w:t>
      </w:r>
      <w:r w:rsidRPr="00EC1A78">
        <w:rPr>
          <w:rFonts w:eastAsiaTheme="minorHAnsi"/>
          <w:sz w:val="22"/>
          <w:szCs w:val="22"/>
          <w:shd w:val="clear" w:color="auto" w:fill="FFFFFF"/>
          <w:lang w:eastAsia="en-US"/>
        </w:rPr>
        <w:t>, с</w:t>
      </w:r>
      <w:r w:rsidRPr="00EC1A78">
        <w:rPr>
          <w:rFonts w:eastAsiaTheme="minorHAnsi"/>
          <w:sz w:val="22"/>
          <w:szCs w:val="22"/>
          <w:shd w:val="clear" w:color="auto" w:fill="FFFFFF"/>
          <w:lang w:eastAsia="en-US"/>
        </w:rPr>
        <w:t>о</w:t>
      </w:r>
      <w:r w:rsidRPr="00EC1A78">
        <w:rPr>
          <w:rFonts w:eastAsiaTheme="minorHAnsi"/>
          <w:sz w:val="22"/>
          <w:szCs w:val="22"/>
          <w:shd w:val="clear" w:color="auto" w:fill="FFFFFF"/>
          <w:lang w:eastAsia="en-US"/>
        </w:rPr>
        <w:t>вершаемые в собственном</w:t>
      </w:r>
      <w:r w:rsidRPr="00EC1A78">
        <w:rPr>
          <w:rFonts w:eastAsiaTheme="minorHAnsi"/>
          <w:b/>
          <w:sz w:val="22"/>
          <w:szCs w:val="22"/>
          <w:shd w:val="clear" w:color="auto" w:fill="FFFFFF"/>
          <w:lang w:eastAsia="en-US"/>
        </w:rPr>
        <w:t xml:space="preserve"> </w:t>
      </w:r>
      <w:r w:rsidRPr="00EC1A78">
        <w:rPr>
          <w:rFonts w:eastAsiaTheme="minorHAnsi"/>
          <w:sz w:val="22"/>
          <w:szCs w:val="22"/>
          <w:shd w:val="clear" w:color="auto" w:fill="FFFFFF"/>
          <w:lang w:eastAsia="en-US"/>
        </w:rPr>
        <w:t>доме и защищающие жизнь, здоровье и имущество, относить к необходимой обороне.</w:t>
      </w:r>
      <w:r w:rsidRPr="00EC1A78">
        <w:rPr>
          <w:rFonts w:eastAsiaTheme="minorHAnsi"/>
          <w:sz w:val="22"/>
          <w:szCs w:val="22"/>
          <w:lang w:eastAsia="en-US"/>
        </w:rPr>
        <w:t xml:space="preserve"> Такой принцип озн</w:t>
      </w:r>
      <w:r w:rsidRPr="00EC1A78">
        <w:rPr>
          <w:rFonts w:eastAsiaTheme="minorHAnsi"/>
          <w:sz w:val="22"/>
          <w:szCs w:val="22"/>
          <w:lang w:eastAsia="en-US"/>
        </w:rPr>
        <w:t>а</w:t>
      </w:r>
      <w:r w:rsidRPr="00EC1A78">
        <w:rPr>
          <w:rFonts w:eastAsiaTheme="minorHAnsi"/>
          <w:sz w:val="22"/>
          <w:szCs w:val="22"/>
          <w:lang w:eastAsia="en-US"/>
        </w:rPr>
        <w:t>чает, что в случае, когда какое–либо лицо незаконно проникает в жилище гражданина, нанесение вреда посягающему не будет нак</w:t>
      </w:r>
      <w:r w:rsidRPr="00EC1A78">
        <w:rPr>
          <w:rFonts w:eastAsiaTheme="minorHAnsi"/>
          <w:sz w:val="22"/>
          <w:szCs w:val="22"/>
          <w:lang w:eastAsia="en-US"/>
        </w:rPr>
        <w:t>а</w:t>
      </w:r>
      <w:r w:rsidRPr="00EC1A78">
        <w:rPr>
          <w:rFonts w:eastAsiaTheme="minorHAnsi"/>
          <w:sz w:val="22"/>
          <w:szCs w:val="22"/>
          <w:lang w:eastAsia="en-US"/>
        </w:rPr>
        <w:t>зываться</w:t>
      </w:r>
      <w:bookmarkStart w:id="29" w:name="sdfootnote1anc"/>
      <w:r w:rsidRPr="00EC1A78">
        <w:rPr>
          <w:rFonts w:eastAsiaTheme="minorHAnsi"/>
          <w:sz w:val="22"/>
          <w:szCs w:val="22"/>
          <w:lang w:eastAsia="en-US"/>
        </w:rPr>
        <w:t xml:space="preserve"> законом, </w:t>
      </w:r>
      <w:bookmarkEnd w:id="29"/>
      <w:r w:rsidRPr="00EC1A78">
        <w:rPr>
          <w:rFonts w:eastAsiaTheme="minorHAnsi"/>
          <w:sz w:val="22"/>
          <w:szCs w:val="22"/>
          <w:lang w:eastAsia="en-US"/>
        </w:rPr>
        <w:t>вне зависимости от последствий [6].</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lang w:eastAsia="en-US"/>
        </w:rPr>
        <w:lastRenderedPageBreak/>
        <w:t>Также а</w:t>
      </w:r>
      <w:r w:rsidRPr="00EC1A78">
        <w:rPr>
          <w:rFonts w:eastAsiaTheme="minorHAnsi"/>
          <w:sz w:val="22"/>
          <w:szCs w:val="22"/>
          <w:lang w:eastAsia="en-US"/>
        </w:rPr>
        <w:t>втор данной концепции указывает, что такого рода практика имеет место в Соединенных Штатах Америки и во многих других стран. Например, в Уголовном кодексе штата Нью–Йорк регламентируется правомерное применение физической силы для предотвращения или пресечения кражи либо причинения уголовно–наказуемого ущерба [7].</w:t>
      </w:r>
    </w:p>
    <w:p w:rsidR="00EC1A78" w:rsidRPr="00EC1A78" w:rsidRDefault="00EC1A78" w:rsidP="00EC1A78">
      <w:pPr>
        <w:ind w:firstLine="426"/>
        <w:jc w:val="both"/>
        <w:rPr>
          <w:rFonts w:eastAsiaTheme="minorHAnsi"/>
          <w:sz w:val="22"/>
          <w:szCs w:val="22"/>
          <w:shd w:val="clear" w:color="auto" w:fill="FFFFFF"/>
          <w:lang w:eastAsia="en-US"/>
        </w:rPr>
      </w:pPr>
      <w:r w:rsidRPr="00EC1A78">
        <w:rPr>
          <w:rFonts w:eastAsiaTheme="minorHAnsi"/>
          <w:sz w:val="22"/>
          <w:szCs w:val="22"/>
          <w:lang w:eastAsia="en-US"/>
        </w:rPr>
        <w:t>Таким образом, мы считаем, что необходимо</w:t>
      </w:r>
      <w:r w:rsidRPr="00EC1A78">
        <w:rPr>
          <w:rFonts w:eastAsiaTheme="minorHAnsi"/>
          <w:sz w:val="22"/>
          <w:szCs w:val="22"/>
          <w:shd w:val="clear" w:color="auto" w:fill="FFFFFF"/>
          <w:lang w:eastAsia="en-US"/>
        </w:rPr>
        <w:t xml:space="preserve"> внести изменения и дополнения в российское законодательство в части закрепления права граждан на охрану права собственности с использованием института необходимой обороны аналогично законодательству США. Также предлагается закрепить необходимую оборону права собственности при помощи различных средств и приспособлений, используемых для защиты имущества.</w:t>
      </w:r>
    </w:p>
    <w:p w:rsidR="00EC1A78" w:rsidRPr="00EC1A78" w:rsidRDefault="00EC1A78" w:rsidP="00EC1A78">
      <w:pPr>
        <w:ind w:firstLine="426"/>
        <w:jc w:val="both"/>
        <w:rPr>
          <w:rFonts w:eastAsiaTheme="minorHAnsi"/>
          <w:sz w:val="22"/>
          <w:szCs w:val="22"/>
          <w:lang w:eastAsia="en-US"/>
        </w:rPr>
      </w:pPr>
    </w:p>
    <w:p w:rsidR="00EC1A78" w:rsidRPr="00EC1A78" w:rsidRDefault="00EC1A78" w:rsidP="00EC1A78">
      <w:pPr>
        <w:jc w:val="center"/>
        <w:rPr>
          <w:color w:val="000000"/>
          <w:sz w:val="22"/>
          <w:szCs w:val="22"/>
        </w:rPr>
      </w:pPr>
      <w:r w:rsidRPr="00EC1A78">
        <w:rPr>
          <w:color w:val="000000"/>
          <w:sz w:val="22"/>
          <w:szCs w:val="22"/>
        </w:rPr>
        <w:t>Список литературы</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1. Уголовный кодекс Российской Федерации от 13.06.1996 N 63–ФЗ (ред. от 17.04.2017) (с изм. и доп., вступ. в силу с 26.08.2017) / Собрание законодательства Российской Федерации от 17 июня 1996 г. N 25 ст. 2954.</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2. Постановление Пленума Верховного Суда РФ от 27.09.2012 г. N 19 «О применении судами законодательства о нео</w:t>
      </w:r>
      <w:r w:rsidRPr="00EC1A78">
        <w:rPr>
          <w:sz w:val="22"/>
          <w:szCs w:val="22"/>
          <w:shd w:val="clear" w:color="auto" w:fill="FFFFFF"/>
        </w:rPr>
        <w:t>б</w:t>
      </w:r>
      <w:r w:rsidRPr="00EC1A78">
        <w:rPr>
          <w:sz w:val="22"/>
          <w:szCs w:val="22"/>
          <w:shd w:val="clear" w:color="auto" w:fill="FFFFFF"/>
        </w:rPr>
        <w:t>ходимой обороне и причинении вреда при задержании лица, сове</w:t>
      </w:r>
      <w:r w:rsidRPr="00EC1A78">
        <w:rPr>
          <w:sz w:val="22"/>
          <w:szCs w:val="22"/>
          <w:shd w:val="clear" w:color="auto" w:fill="FFFFFF"/>
        </w:rPr>
        <w:t>р</w:t>
      </w:r>
      <w:r w:rsidRPr="00EC1A78">
        <w:rPr>
          <w:sz w:val="22"/>
          <w:szCs w:val="22"/>
          <w:shd w:val="clear" w:color="auto" w:fill="FFFFFF"/>
        </w:rPr>
        <w:t>шившего преступление», п.17.</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3. Алексеев И.Н. Применение условного осуждения при пр</w:t>
      </w:r>
      <w:r w:rsidRPr="00EC1A78">
        <w:rPr>
          <w:sz w:val="22"/>
          <w:szCs w:val="22"/>
          <w:shd w:val="clear" w:color="auto" w:fill="FFFFFF"/>
        </w:rPr>
        <w:t>е</w:t>
      </w:r>
      <w:r w:rsidRPr="00EC1A78">
        <w:rPr>
          <w:sz w:val="22"/>
          <w:szCs w:val="22"/>
          <w:shd w:val="clear" w:color="auto" w:fill="FFFFFF"/>
        </w:rPr>
        <w:t xml:space="preserve">вышении пределов необходимой обороны // Уголовное право. – 2015. – № 1. </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4. Орехов В.В. Необходимая оборона и иные обстоятельства, исключающие преступность деяния. – М: 2016. – 216 с.</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5. Попова, С.И. О пределах необходимой обороны // Уголовное право. – 2015. – № 1. – С. 45</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6. Законопроект № 484589–6 «О внесении изменений в Уголо</w:t>
      </w:r>
      <w:r w:rsidRPr="00EC1A78">
        <w:rPr>
          <w:sz w:val="22"/>
          <w:szCs w:val="22"/>
          <w:shd w:val="clear" w:color="auto" w:fill="FFFFFF"/>
        </w:rPr>
        <w:t>в</w:t>
      </w:r>
      <w:r w:rsidRPr="00EC1A78">
        <w:rPr>
          <w:sz w:val="22"/>
          <w:szCs w:val="22"/>
          <w:shd w:val="clear" w:color="auto" w:fill="FFFFFF"/>
        </w:rPr>
        <w:t>ный кодекс Российской Федерации в связи с совершенствованием законодательства о необходимой обороне и причинении вреда при защите собственности».</w:t>
      </w:r>
    </w:p>
    <w:p w:rsidR="00EC1A78" w:rsidRPr="00EC1A78" w:rsidRDefault="00EC1A78" w:rsidP="00EC1A78">
      <w:pPr>
        <w:ind w:firstLine="426"/>
        <w:jc w:val="both"/>
        <w:rPr>
          <w:sz w:val="22"/>
          <w:szCs w:val="22"/>
          <w:shd w:val="clear" w:color="auto" w:fill="FFFFFF"/>
        </w:rPr>
      </w:pPr>
      <w:r w:rsidRPr="00EC1A78">
        <w:rPr>
          <w:sz w:val="22"/>
          <w:szCs w:val="22"/>
          <w:shd w:val="clear" w:color="auto" w:fill="FFFFFF"/>
        </w:rPr>
        <w:t>7. Уголовный кодекс штата Нью–Йорк. Сборник законодател</w:t>
      </w:r>
      <w:r w:rsidRPr="00EC1A78">
        <w:rPr>
          <w:sz w:val="22"/>
          <w:szCs w:val="22"/>
          <w:shd w:val="clear" w:color="auto" w:fill="FFFFFF"/>
        </w:rPr>
        <w:t>ь</w:t>
      </w:r>
      <w:r w:rsidRPr="00EC1A78">
        <w:rPr>
          <w:sz w:val="22"/>
          <w:szCs w:val="22"/>
          <w:shd w:val="clear" w:color="auto" w:fill="FFFFFF"/>
        </w:rPr>
        <w:t>ных актов / под ред. М.К. Крылов. – Спб: Изд. РУДН, 2015. – С. 94, ст. 35.25.</w:t>
      </w:r>
    </w:p>
    <w:p w:rsidR="00EE657B" w:rsidRPr="00EC1A78" w:rsidRDefault="00EE657B" w:rsidP="00106384">
      <w:pPr>
        <w:rPr>
          <w:rFonts w:eastAsiaTheme="minorHAnsi"/>
          <w:sz w:val="22"/>
          <w:szCs w:val="22"/>
          <w:shd w:val="clear" w:color="auto" w:fill="FFFFFF"/>
          <w:lang w:eastAsia="en-US"/>
        </w:rPr>
      </w:pPr>
    </w:p>
    <w:p w:rsidR="00EC1A78" w:rsidRPr="00EC1A78" w:rsidRDefault="00EC1A78" w:rsidP="00EC1A78">
      <w:pPr>
        <w:tabs>
          <w:tab w:val="left" w:pos="2268"/>
        </w:tabs>
        <w:rPr>
          <w:sz w:val="22"/>
          <w:szCs w:val="22"/>
        </w:rPr>
      </w:pPr>
      <w:r w:rsidRPr="00EC1A78">
        <w:rPr>
          <w:rFonts w:eastAsia="SimSun"/>
          <w:sz w:val="22"/>
          <w:szCs w:val="22"/>
          <w:lang w:eastAsia="zh-CN"/>
        </w:rPr>
        <w:lastRenderedPageBreak/>
        <w:t xml:space="preserve">УДК 342.565.2 </w:t>
      </w:r>
      <w:r w:rsidRPr="00EC1A78">
        <w:rPr>
          <w:sz w:val="22"/>
          <w:szCs w:val="22"/>
        </w:rPr>
        <w:t>(470+571) (075)</w:t>
      </w:r>
    </w:p>
    <w:p w:rsidR="00EC1A78" w:rsidRPr="00EC1A78" w:rsidRDefault="00EC1A78" w:rsidP="00EC1A78">
      <w:pPr>
        <w:widowControl w:val="0"/>
        <w:suppressAutoHyphens/>
        <w:autoSpaceDN w:val="0"/>
        <w:jc w:val="center"/>
        <w:textAlignment w:val="baseline"/>
        <w:rPr>
          <w:rFonts w:eastAsia="Courier New"/>
          <w:color w:val="000000"/>
          <w:kern w:val="3"/>
          <w:sz w:val="22"/>
          <w:szCs w:val="24"/>
        </w:rPr>
      </w:pPr>
    </w:p>
    <w:p w:rsidR="00EC1A78" w:rsidRPr="00EC1A78" w:rsidRDefault="00EC1A78" w:rsidP="00EC1A78">
      <w:pPr>
        <w:widowControl w:val="0"/>
        <w:suppressAutoHyphens/>
        <w:autoSpaceDN w:val="0"/>
        <w:jc w:val="center"/>
        <w:textAlignment w:val="baseline"/>
        <w:rPr>
          <w:rFonts w:eastAsia="Courier New"/>
          <w:b/>
          <w:color w:val="000000"/>
          <w:kern w:val="3"/>
          <w:sz w:val="24"/>
          <w:szCs w:val="24"/>
        </w:rPr>
      </w:pPr>
      <w:r w:rsidRPr="00EC1A78">
        <w:rPr>
          <w:rFonts w:eastAsia="Courier New"/>
          <w:b/>
          <w:color w:val="000000"/>
          <w:kern w:val="3"/>
          <w:sz w:val="24"/>
          <w:szCs w:val="24"/>
        </w:rPr>
        <w:t>К вопросу о видах конституционного контроля</w:t>
      </w:r>
    </w:p>
    <w:p w:rsidR="00EC1A78" w:rsidRPr="00EC1A78" w:rsidRDefault="00EC1A78" w:rsidP="00EC1A78">
      <w:pPr>
        <w:widowControl w:val="0"/>
        <w:suppressAutoHyphens/>
        <w:autoSpaceDN w:val="0"/>
        <w:jc w:val="center"/>
        <w:textAlignment w:val="baseline"/>
        <w:rPr>
          <w:rFonts w:eastAsia="Courier New"/>
          <w:b/>
          <w:color w:val="000000"/>
          <w:kern w:val="3"/>
          <w:sz w:val="24"/>
          <w:szCs w:val="24"/>
          <w:lang w:val="en-US"/>
        </w:rPr>
      </w:pPr>
      <w:r w:rsidRPr="00EC1A78">
        <w:rPr>
          <w:rFonts w:eastAsia="Courier New"/>
          <w:b/>
          <w:color w:val="000000"/>
          <w:kern w:val="3"/>
          <w:sz w:val="24"/>
          <w:szCs w:val="24"/>
          <w:lang w:val="en-US"/>
        </w:rPr>
        <w:t>On the types of constitutional review</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lang w:val="en-US"/>
        </w:rPr>
      </w:pP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Шабиневич А. Д.,</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студентка 1–го курса юридического факультета</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Бутурлина Е.</w:t>
      </w:r>
      <w:r w:rsidR="00EE657B">
        <w:rPr>
          <w:rFonts w:eastAsia="Courier New"/>
          <w:color w:val="000000"/>
          <w:kern w:val="3"/>
          <w:sz w:val="22"/>
          <w:szCs w:val="22"/>
        </w:rPr>
        <w:t xml:space="preserve"> </w:t>
      </w:r>
      <w:r w:rsidRPr="00EC1A78">
        <w:rPr>
          <w:rFonts w:eastAsia="Courier New"/>
          <w:color w:val="000000"/>
          <w:kern w:val="3"/>
          <w:sz w:val="22"/>
          <w:szCs w:val="22"/>
        </w:rPr>
        <w:t>С.,</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 xml:space="preserve">доцент кафедры государственного </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и международного права</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Кубанский государственный аграрный</w:t>
      </w:r>
    </w:p>
    <w:p w:rsidR="00EC1A78" w:rsidRPr="00EC1A78" w:rsidRDefault="00EC1A78" w:rsidP="00EC1A78">
      <w:pPr>
        <w:widowControl w:val="0"/>
        <w:tabs>
          <w:tab w:val="left" w:pos="8223"/>
        </w:tabs>
        <w:suppressAutoHyphens/>
        <w:autoSpaceDN w:val="0"/>
        <w:jc w:val="right"/>
        <w:textAlignment w:val="baseline"/>
        <w:rPr>
          <w:rFonts w:eastAsia="Courier New"/>
          <w:color w:val="000000"/>
          <w:kern w:val="3"/>
          <w:sz w:val="22"/>
          <w:szCs w:val="22"/>
        </w:rPr>
      </w:pPr>
      <w:r w:rsidRPr="00EC1A78">
        <w:rPr>
          <w:rFonts w:eastAsia="Courier New"/>
          <w:color w:val="000000"/>
          <w:kern w:val="3"/>
          <w:sz w:val="22"/>
          <w:szCs w:val="22"/>
        </w:rPr>
        <w:t>университет имени И.</w:t>
      </w:r>
      <w:r w:rsidR="00EE657B">
        <w:rPr>
          <w:rFonts w:eastAsia="Courier New"/>
          <w:color w:val="000000"/>
          <w:kern w:val="3"/>
          <w:sz w:val="22"/>
          <w:szCs w:val="22"/>
        </w:rPr>
        <w:t xml:space="preserve"> </w:t>
      </w:r>
      <w:r w:rsidRPr="00EC1A78">
        <w:rPr>
          <w:rFonts w:eastAsia="Courier New"/>
          <w:color w:val="000000"/>
          <w:kern w:val="3"/>
          <w:sz w:val="22"/>
          <w:szCs w:val="22"/>
        </w:rPr>
        <w:t>Т. Трубилина</w:t>
      </w:r>
    </w:p>
    <w:p w:rsidR="00EC1A78" w:rsidRPr="00EC1A78" w:rsidRDefault="00EC1A78" w:rsidP="00EC1A78">
      <w:pPr>
        <w:jc w:val="both"/>
        <w:rPr>
          <w:rFonts w:eastAsiaTheme="minorHAnsi"/>
          <w:sz w:val="22"/>
          <w:szCs w:val="22"/>
          <w:lang w:eastAsia="en-US"/>
        </w:rPr>
      </w:pPr>
    </w:p>
    <w:p w:rsidR="00EC1A78" w:rsidRPr="00EC1A78" w:rsidRDefault="00EC1A78" w:rsidP="00EC1A78">
      <w:pPr>
        <w:tabs>
          <w:tab w:val="left" w:pos="1455"/>
        </w:tabs>
        <w:ind w:firstLine="426"/>
        <w:jc w:val="both"/>
        <w:rPr>
          <w:rFonts w:eastAsiaTheme="minorHAnsi"/>
          <w:bCs/>
          <w:sz w:val="22"/>
          <w:szCs w:val="22"/>
          <w:lang w:val="en-US" w:eastAsia="en-US"/>
        </w:rPr>
      </w:pPr>
      <w:r w:rsidRPr="00EC1A78">
        <w:rPr>
          <w:rFonts w:eastAsiaTheme="minorHAnsi"/>
          <w:bCs/>
          <w:sz w:val="22"/>
          <w:szCs w:val="22"/>
          <w:lang w:eastAsia="en-US"/>
        </w:rPr>
        <w:t>АННОТАЦИЯ: Рассмотрены виды конституционного контроля как правового института обеспечения и охраны действия принципа верховенства конституции. Раскрыто</w:t>
      </w:r>
      <w:r w:rsidRPr="00EC1A78">
        <w:rPr>
          <w:rFonts w:eastAsiaTheme="minorHAnsi"/>
          <w:bCs/>
          <w:sz w:val="22"/>
          <w:szCs w:val="22"/>
          <w:lang w:val="en-US" w:eastAsia="en-US"/>
        </w:rPr>
        <w:t xml:space="preserve"> </w:t>
      </w:r>
      <w:r w:rsidRPr="00EC1A78">
        <w:rPr>
          <w:rFonts w:eastAsiaTheme="minorHAnsi"/>
          <w:bCs/>
          <w:sz w:val="22"/>
          <w:szCs w:val="22"/>
          <w:lang w:eastAsia="en-US"/>
        </w:rPr>
        <w:t>содержание</w:t>
      </w:r>
      <w:r w:rsidRPr="00EC1A78">
        <w:rPr>
          <w:rFonts w:eastAsiaTheme="minorHAnsi"/>
          <w:bCs/>
          <w:sz w:val="22"/>
          <w:szCs w:val="22"/>
          <w:lang w:val="en-US" w:eastAsia="en-US"/>
        </w:rPr>
        <w:t xml:space="preserve">  </w:t>
      </w:r>
      <w:r w:rsidRPr="00EC1A78">
        <w:rPr>
          <w:rFonts w:eastAsiaTheme="minorHAnsi"/>
          <w:bCs/>
          <w:sz w:val="22"/>
          <w:szCs w:val="22"/>
          <w:lang w:eastAsia="en-US"/>
        </w:rPr>
        <w:t>отдельных</w:t>
      </w:r>
      <w:r w:rsidRPr="00EC1A78">
        <w:rPr>
          <w:rFonts w:eastAsiaTheme="minorHAnsi"/>
          <w:bCs/>
          <w:sz w:val="22"/>
          <w:szCs w:val="22"/>
          <w:lang w:val="en-US" w:eastAsia="en-US"/>
        </w:rPr>
        <w:t xml:space="preserve"> </w:t>
      </w:r>
      <w:r w:rsidRPr="00EC1A78">
        <w:rPr>
          <w:rFonts w:eastAsiaTheme="minorHAnsi"/>
          <w:bCs/>
          <w:sz w:val="22"/>
          <w:szCs w:val="22"/>
          <w:lang w:eastAsia="en-US"/>
        </w:rPr>
        <w:t>видов</w:t>
      </w:r>
      <w:r w:rsidRPr="00EC1A78">
        <w:rPr>
          <w:rFonts w:eastAsiaTheme="minorHAnsi"/>
          <w:bCs/>
          <w:sz w:val="22"/>
          <w:szCs w:val="22"/>
          <w:lang w:val="en-US" w:eastAsia="en-US"/>
        </w:rPr>
        <w:t xml:space="preserve"> </w:t>
      </w:r>
      <w:r w:rsidRPr="00EC1A78">
        <w:rPr>
          <w:rFonts w:eastAsiaTheme="minorHAnsi"/>
          <w:bCs/>
          <w:sz w:val="22"/>
          <w:szCs w:val="22"/>
          <w:lang w:eastAsia="en-US"/>
        </w:rPr>
        <w:t>конституционного</w:t>
      </w:r>
      <w:r w:rsidRPr="00EC1A78">
        <w:rPr>
          <w:rFonts w:eastAsiaTheme="minorHAnsi"/>
          <w:bCs/>
          <w:sz w:val="22"/>
          <w:szCs w:val="22"/>
          <w:lang w:val="en-US" w:eastAsia="en-US"/>
        </w:rPr>
        <w:t xml:space="preserve"> </w:t>
      </w:r>
      <w:r w:rsidRPr="00EC1A78">
        <w:rPr>
          <w:rFonts w:eastAsiaTheme="minorHAnsi"/>
          <w:bCs/>
          <w:sz w:val="22"/>
          <w:szCs w:val="22"/>
          <w:lang w:eastAsia="en-US"/>
        </w:rPr>
        <w:t>контроля</w:t>
      </w:r>
      <w:r w:rsidRPr="00EC1A78">
        <w:rPr>
          <w:rFonts w:eastAsiaTheme="minorHAnsi"/>
          <w:bCs/>
          <w:sz w:val="22"/>
          <w:szCs w:val="22"/>
          <w:lang w:val="en-US" w:eastAsia="en-US"/>
        </w:rPr>
        <w:t>.</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ABSTRACT: The types of constitutional control as a legal instit</w:t>
      </w:r>
      <w:r w:rsidRPr="00EC1A78">
        <w:rPr>
          <w:rFonts w:eastAsiaTheme="minorHAnsi"/>
          <w:bCs/>
          <w:sz w:val="22"/>
          <w:szCs w:val="22"/>
          <w:lang w:val="en-US" w:eastAsia="en-US"/>
        </w:rPr>
        <w:t>u</w:t>
      </w:r>
      <w:r w:rsidRPr="00EC1A78">
        <w:rPr>
          <w:rFonts w:eastAsiaTheme="minorHAnsi"/>
          <w:bCs/>
          <w:sz w:val="22"/>
          <w:szCs w:val="22"/>
          <w:lang w:val="en-US" w:eastAsia="en-US"/>
        </w:rPr>
        <w:t>tion to ensure and protect the operation of the principle of the supremacy of the Constitution are considered. The article reveals the content of ce</w:t>
      </w:r>
      <w:r w:rsidRPr="00EC1A78">
        <w:rPr>
          <w:rFonts w:eastAsiaTheme="minorHAnsi"/>
          <w:bCs/>
          <w:sz w:val="22"/>
          <w:szCs w:val="22"/>
          <w:lang w:val="en-US" w:eastAsia="en-US"/>
        </w:rPr>
        <w:t>r</w:t>
      </w:r>
      <w:r w:rsidRPr="00EC1A78">
        <w:rPr>
          <w:rFonts w:eastAsiaTheme="minorHAnsi"/>
          <w:bCs/>
          <w:sz w:val="22"/>
          <w:szCs w:val="22"/>
          <w:lang w:val="en-US" w:eastAsia="en-US"/>
        </w:rPr>
        <w:t>tain types of constitutional control.</w:t>
      </w:r>
    </w:p>
    <w:p w:rsidR="00EC1A78" w:rsidRPr="00EC1A78" w:rsidRDefault="00EC1A78" w:rsidP="00EC1A78">
      <w:pPr>
        <w:ind w:firstLine="426"/>
        <w:jc w:val="both"/>
        <w:rPr>
          <w:rFonts w:eastAsiaTheme="minorHAnsi"/>
          <w:bCs/>
          <w:sz w:val="22"/>
          <w:szCs w:val="22"/>
          <w:lang w:eastAsia="en-US"/>
        </w:rPr>
      </w:pPr>
      <w:r w:rsidRPr="00EC1A78">
        <w:rPr>
          <w:rFonts w:eastAsiaTheme="minorHAnsi"/>
          <w:bCs/>
          <w:sz w:val="22"/>
          <w:szCs w:val="22"/>
          <w:lang w:eastAsia="en-US"/>
        </w:rPr>
        <w:t xml:space="preserve">КЛЮЧЕВЫЕ СЛОВА:  конституция, правовое государство, конституционный контроль,  виды конституционного контроля. </w:t>
      </w:r>
    </w:p>
    <w:p w:rsidR="00EC1A78" w:rsidRPr="00EC1A78" w:rsidRDefault="00EC1A78" w:rsidP="00EC1A78">
      <w:pPr>
        <w:ind w:firstLine="426"/>
        <w:jc w:val="both"/>
        <w:rPr>
          <w:rFonts w:eastAsiaTheme="minorHAnsi"/>
          <w:bCs/>
          <w:sz w:val="22"/>
          <w:szCs w:val="22"/>
          <w:lang w:val="en-US" w:eastAsia="en-US"/>
        </w:rPr>
      </w:pPr>
      <w:r w:rsidRPr="00EC1A78">
        <w:rPr>
          <w:rFonts w:eastAsiaTheme="minorHAnsi"/>
          <w:bCs/>
          <w:sz w:val="22"/>
          <w:szCs w:val="22"/>
          <w:lang w:val="en-US" w:eastAsia="en-US"/>
        </w:rPr>
        <w:t xml:space="preserve">KEY WORDS: the Constitution, rule of law, constitutional control, constitutional control types. </w:t>
      </w:r>
    </w:p>
    <w:p w:rsidR="00EC1A78" w:rsidRPr="00EC1A78" w:rsidRDefault="00EC1A78" w:rsidP="00EC1A78">
      <w:pPr>
        <w:tabs>
          <w:tab w:val="left" w:pos="1410"/>
        </w:tabs>
        <w:jc w:val="both"/>
        <w:rPr>
          <w:color w:val="000000"/>
          <w:sz w:val="22"/>
          <w:szCs w:val="22"/>
          <w:lang w:val="en-US"/>
        </w:rPr>
      </w:pP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Сущность и предназначение правового института конституц</w:t>
      </w:r>
      <w:r w:rsidRPr="00EC1A78">
        <w:rPr>
          <w:color w:val="000000"/>
          <w:sz w:val="22"/>
          <w:szCs w:val="22"/>
        </w:rPr>
        <w:t>и</w:t>
      </w:r>
      <w:r w:rsidRPr="00EC1A78">
        <w:rPr>
          <w:color w:val="000000"/>
          <w:sz w:val="22"/>
          <w:szCs w:val="22"/>
        </w:rPr>
        <w:t>онного контроля состоит в защите основ конституционного строя, основных прав и свобод человека и гражданина, обеспечения ве</w:t>
      </w:r>
      <w:r w:rsidRPr="00EC1A78">
        <w:rPr>
          <w:color w:val="000000"/>
          <w:sz w:val="22"/>
          <w:szCs w:val="22"/>
        </w:rPr>
        <w:t>р</w:t>
      </w:r>
      <w:r w:rsidRPr="00EC1A78">
        <w:rPr>
          <w:color w:val="000000"/>
          <w:sz w:val="22"/>
          <w:szCs w:val="22"/>
        </w:rPr>
        <w:t>ховенства и прямого действия конституции. Именно конституцио</w:t>
      </w:r>
      <w:r w:rsidRPr="00EC1A78">
        <w:rPr>
          <w:color w:val="000000"/>
          <w:sz w:val="22"/>
          <w:szCs w:val="22"/>
        </w:rPr>
        <w:t>н</w:t>
      </w:r>
      <w:r w:rsidRPr="00EC1A78">
        <w:rPr>
          <w:color w:val="000000"/>
          <w:sz w:val="22"/>
          <w:szCs w:val="22"/>
        </w:rPr>
        <w:t>ный контроль гарантирует соответствие положений законодател</w:t>
      </w:r>
      <w:r w:rsidRPr="00EC1A78">
        <w:rPr>
          <w:color w:val="000000"/>
          <w:sz w:val="22"/>
          <w:szCs w:val="22"/>
        </w:rPr>
        <w:t>ь</w:t>
      </w:r>
      <w:r w:rsidRPr="00EC1A78">
        <w:rPr>
          <w:color w:val="000000"/>
          <w:sz w:val="22"/>
          <w:szCs w:val="22"/>
        </w:rPr>
        <w:t>ства, иных нормативных актов Конституции Российской Федер</w:t>
      </w:r>
      <w:r w:rsidRPr="00EC1A78">
        <w:rPr>
          <w:color w:val="000000"/>
          <w:sz w:val="22"/>
          <w:szCs w:val="22"/>
        </w:rPr>
        <w:t>а</w:t>
      </w:r>
      <w:r w:rsidRPr="00EC1A78">
        <w:rPr>
          <w:color w:val="000000"/>
          <w:sz w:val="22"/>
          <w:szCs w:val="22"/>
        </w:rPr>
        <w:t>ции.</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В процессе длинного исторического пути развития, сложились определенные виды конституционного контроля. Их можно кла</w:t>
      </w:r>
      <w:r w:rsidRPr="00EC1A78">
        <w:rPr>
          <w:color w:val="000000"/>
          <w:sz w:val="22"/>
          <w:szCs w:val="22"/>
        </w:rPr>
        <w:t>с</w:t>
      </w:r>
      <w:r w:rsidRPr="00EC1A78">
        <w:rPr>
          <w:color w:val="000000"/>
          <w:sz w:val="22"/>
          <w:szCs w:val="22"/>
        </w:rPr>
        <w:t>сифицировать по различным основаниям:</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1.По времени осуществления, где основным критерием выст</w:t>
      </w:r>
      <w:r w:rsidRPr="00EC1A78">
        <w:rPr>
          <w:color w:val="000000"/>
          <w:sz w:val="22"/>
          <w:szCs w:val="22"/>
        </w:rPr>
        <w:t>у</w:t>
      </w:r>
      <w:r w:rsidRPr="00EC1A78">
        <w:rPr>
          <w:color w:val="000000"/>
          <w:sz w:val="22"/>
          <w:szCs w:val="22"/>
        </w:rPr>
        <w:t>пает период времени проведения контроля:</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lastRenderedPageBreak/>
        <w:t>А) Предварительный (превентивный, предупредительный) – на данном этапе предполагается проверка законов на стадии рассмо</w:t>
      </w:r>
      <w:r w:rsidRPr="00EC1A78">
        <w:rPr>
          <w:color w:val="000000"/>
          <w:sz w:val="22"/>
          <w:szCs w:val="22"/>
        </w:rPr>
        <w:t>т</w:t>
      </w:r>
      <w:r w:rsidRPr="00EC1A78">
        <w:rPr>
          <w:color w:val="000000"/>
          <w:sz w:val="22"/>
          <w:szCs w:val="22"/>
        </w:rPr>
        <w:t>рения их в парламенте или перед подписанием и промульгацией президентом на соответствии Конституции Российской Федерации. Данный вид конституционного контроля имеет свои достоинства и недостатки. С одной стороны, следует говорить о том, что чем раньше принимаемый  нормативный акт пройдет проверку на з</w:t>
      </w:r>
      <w:r w:rsidRPr="00EC1A78">
        <w:rPr>
          <w:color w:val="000000"/>
          <w:sz w:val="22"/>
          <w:szCs w:val="22"/>
        </w:rPr>
        <w:t>а</w:t>
      </w:r>
      <w:r w:rsidRPr="00EC1A78">
        <w:rPr>
          <w:color w:val="000000"/>
          <w:sz w:val="22"/>
          <w:szCs w:val="22"/>
        </w:rPr>
        <w:t>конность, тем меньше ошибок будет совершено в толковании и применении. Но с другой стороны, редкое применение данного вида контроля обусловлено именно отсутствием практики его реализ</w:t>
      </w:r>
      <w:r w:rsidRPr="00EC1A78">
        <w:rPr>
          <w:color w:val="000000"/>
          <w:sz w:val="22"/>
          <w:szCs w:val="22"/>
        </w:rPr>
        <w:t>а</w:t>
      </w:r>
      <w:r w:rsidRPr="00EC1A78">
        <w:rPr>
          <w:color w:val="000000"/>
          <w:sz w:val="22"/>
          <w:szCs w:val="22"/>
        </w:rPr>
        <w:t xml:space="preserve">ции.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Б) Последующий (репрессивный) – распространяет свое вли</w:t>
      </w:r>
      <w:r w:rsidRPr="00EC1A78">
        <w:rPr>
          <w:color w:val="000000"/>
          <w:sz w:val="22"/>
          <w:szCs w:val="22"/>
        </w:rPr>
        <w:t>я</w:t>
      </w:r>
      <w:r w:rsidRPr="00EC1A78">
        <w:rPr>
          <w:color w:val="000000"/>
          <w:sz w:val="22"/>
          <w:szCs w:val="22"/>
        </w:rPr>
        <w:t xml:space="preserve">ние на вступившие в силу и действующие нормативно–правовые акты. </w:t>
      </w:r>
    </w:p>
    <w:p w:rsidR="00EC1A78" w:rsidRPr="00EC1A78" w:rsidRDefault="00EE657B" w:rsidP="00EC1A78">
      <w:pPr>
        <w:tabs>
          <w:tab w:val="left" w:pos="1410"/>
        </w:tabs>
        <w:ind w:firstLine="426"/>
        <w:jc w:val="both"/>
        <w:rPr>
          <w:color w:val="000000"/>
          <w:sz w:val="22"/>
          <w:szCs w:val="22"/>
        </w:rPr>
      </w:pPr>
      <w:r>
        <w:rPr>
          <w:color w:val="000000"/>
          <w:sz w:val="22"/>
          <w:szCs w:val="22"/>
        </w:rPr>
        <w:t xml:space="preserve">2. </w:t>
      </w:r>
      <w:r w:rsidR="00EC1A78" w:rsidRPr="00EC1A78">
        <w:rPr>
          <w:color w:val="000000"/>
          <w:sz w:val="22"/>
          <w:szCs w:val="22"/>
        </w:rPr>
        <w:t>По правовым последствиям:</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 Консультативный. Органы конституционного контроля м</w:t>
      </w:r>
      <w:r w:rsidRPr="00EC1A78">
        <w:rPr>
          <w:color w:val="000000"/>
          <w:sz w:val="22"/>
          <w:szCs w:val="22"/>
        </w:rPr>
        <w:t>о</w:t>
      </w:r>
      <w:r w:rsidRPr="00EC1A78">
        <w:rPr>
          <w:color w:val="000000"/>
          <w:sz w:val="22"/>
          <w:szCs w:val="22"/>
        </w:rPr>
        <w:t>гут выражать мнение консультативно, например, во время процесса подготовки законопроекта, которое не будет иметь обязательный характер.</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Б) Учреждающий (постановляющий). В данном виде осущест</w:t>
      </w:r>
      <w:r w:rsidRPr="00EC1A78">
        <w:rPr>
          <w:color w:val="000000"/>
          <w:sz w:val="22"/>
          <w:szCs w:val="22"/>
        </w:rPr>
        <w:t>в</w:t>
      </w:r>
      <w:r w:rsidRPr="00EC1A78">
        <w:rPr>
          <w:color w:val="000000"/>
          <w:sz w:val="22"/>
          <w:szCs w:val="22"/>
        </w:rPr>
        <w:t>ления конституционного контроля, заключается одна из основоп</w:t>
      </w:r>
      <w:r w:rsidRPr="00EC1A78">
        <w:rPr>
          <w:color w:val="000000"/>
          <w:sz w:val="22"/>
          <w:szCs w:val="22"/>
        </w:rPr>
        <w:t>о</w:t>
      </w:r>
      <w:r w:rsidRPr="00EC1A78">
        <w:rPr>
          <w:color w:val="000000"/>
          <w:sz w:val="22"/>
          <w:szCs w:val="22"/>
        </w:rPr>
        <w:t>лагающих задач данного института.  Так если орган конституцио</w:t>
      </w:r>
      <w:r w:rsidRPr="00EC1A78">
        <w:rPr>
          <w:color w:val="000000"/>
          <w:sz w:val="22"/>
          <w:szCs w:val="22"/>
        </w:rPr>
        <w:t>н</w:t>
      </w:r>
      <w:r w:rsidRPr="00EC1A78">
        <w:rPr>
          <w:color w:val="000000"/>
          <w:sz w:val="22"/>
          <w:szCs w:val="22"/>
        </w:rPr>
        <w:t xml:space="preserve">ного контроля во время проверки юридического акта выявляет факт, противоречащий Конституции РФ, то данный закон подлежит отмене и признанию нелегитимным.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3. По форме (способу проведения):</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 Абстрактный конституционный контроль занимается пр</w:t>
      </w:r>
      <w:r w:rsidRPr="00EC1A78">
        <w:rPr>
          <w:color w:val="000000"/>
          <w:sz w:val="22"/>
          <w:szCs w:val="22"/>
        </w:rPr>
        <w:t>о</w:t>
      </w:r>
      <w:r w:rsidRPr="00EC1A78">
        <w:rPr>
          <w:color w:val="000000"/>
          <w:sz w:val="22"/>
          <w:szCs w:val="22"/>
        </w:rPr>
        <w:t>веркой конституционности актов только по запросам уполномоче</w:t>
      </w:r>
      <w:r w:rsidRPr="00EC1A78">
        <w:rPr>
          <w:color w:val="000000"/>
          <w:sz w:val="22"/>
          <w:szCs w:val="22"/>
        </w:rPr>
        <w:t>н</w:t>
      </w:r>
      <w:r w:rsidRPr="00EC1A78">
        <w:rPr>
          <w:color w:val="000000"/>
          <w:sz w:val="22"/>
          <w:szCs w:val="22"/>
        </w:rPr>
        <w:t>ных субъектов. Данный вид контроля  может быть абстрактно п</w:t>
      </w:r>
      <w:r w:rsidRPr="00EC1A78">
        <w:rPr>
          <w:color w:val="000000"/>
          <w:sz w:val="22"/>
          <w:szCs w:val="22"/>
        </w:rPr>
        <w:t>о</w:t>
      </w:r>
      <w:r w:rsidRPr="00EC1A78">
        <w:rPr>
          <w:color w:val="000000"/>
          <w:sz w:val="22"/>
          <w:szCs w:val="22"/>
        </w:rPr>
        <w:t>следующим, в отношении вступивших в законную силу юридич</w:t>
      </w:r>
      <w:r w:rsidRPr="00EC1A78">
        <w:rPr>
          <w:color w:val="000000"/>
          <w:sz w:val="22"/>
          <w:szCs w:val="22"/>
        </w:rPr>
        <w:t>е</w:t>
      </w:r>
      <w:r w:rsidRPr="00EC1A78">
        <w:rPr>
          <w:color w:val="000000"/>
          <w:sz w:val="22"/>
          <w:szCs w:val="22"/>
        </w:rPr>
        <w:t>ских актов органов государственной власти и договоров между н</w:t>
      </w:r>
      <w:r w:rsidRPr="00EC1A78">
        <w:rPr>
          <w:color w:val="000000"/>
          <w:sz w:val="22"/>
          <w:szCs w:val="22"/>
        </w:rPr>
        <w:t>и</w:t>
      </w:r>
      <w:r w:rsidRPr="00EC1A78">
        <w:rPr>
          <w:color w:val="000000"/>
          <w:sz w:val="22"/>
          <w:szCs w:val="22"/>
        </w:rPr>
        <w:t>ми. Нельзя отрицать также существования предварительно а</w:t>
      </w:r>
      <w:r w:rsidRPr="00EC1A78">
        <w:rPr>
          <w:color w:val="000000"/>
          <w:sz w:val="22"/>
          <w:szCs w:val="22"/>
        </w:rPr>
        <w:t>б</w:t>
      </w:r>
      <w:r w:rsidRPr="00EC1A78">
        <w:rPr>
          <w:color w:val="000000"/>
          <w:sz w:val="22"/>
          <w:szCs w:val="22"/>
        </w:rPr>
        <w:t>страктного конституционного контроля в отношении междунаро</w:t>
      </w:r>
      <w:r w:rsidRPr="00EC1A78">
        <w:rPr>
          <w:color w:val="000000"/>
          <w:sz w:val="22"/>
          <w:szCs w:val="22"/>
        </w:rPr>
        <w:t>д</w:t>
      </w:r>
      <w:r w:rsidRPr="00EC1A78">
        <w:rPr>
          <w:color w:val="000000"/>
          <w:sz w:val="22"/>
          <w:szCs w:val="22"/>
        </w:rPr>
        <w:t>ных договоров.</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Б) Конкретный конституционный контроль действует только в соотношении с конкретным делом для индивидов, юридических лиц. Стоит обратить внимание, что данный вид контроля возможен лишь в виде последующего.</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lastRenderedPageBreak/>
        <w:t>4. По обязательности проведения:</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 Обязательный (предварительный). Обязательному конст</w:t>
      </w:r>
      <w:r w:rsidRPr="00EC1A78">
        <w:rPr>
          <w:color w:val="000000"/>
          <w:sz w:val="22"/>
          <w:szCs w:val="22"/>
        </w:rPr>
        <w:t>и</w:t>
      </w:r>
      <w:r w:rsidRPr="00EC1A78">
        <w:rPr>
          <w:color w:val="000000"/>
          <w:sz w:val="22"/>
          <w:szCs w:val="22"/>
        </w:rPr>
        <w:t>туционному контролю подвергаются юридические нормативные акты, на факт соответствия Конституции Российской Федерации, обязательно и не зависимо от  чьего–либо волеизъявления.</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Б) Факультативный конституционный контроль осуществляе</w:t>
      </w:r>
      <w:r w:rsidRPr="00EC1A78">
        <w:rPr>
          <w:color w:val="000000"/>
          <w:sz w:val="22"/>
          <w:szCs w:val="22"/>
        </w:rPr>
        <w:t>т</w:t>
      </w:r>
      <w:r w:rsidRPr="00EC1A78">
        <w:rPr>
          <w:color w:val="000000"/>
          <w:sz w:val="22"/>
          <w:szCs w:val="22"/>
        </w:rPr>
        <w:t>ся по инициативе субъекта, имеющего право обращаться в орган конституционного контроля, в случае неуверенности относительно конституционности нормативно–правового акта.</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5. По основаниям проверки конституционности акта:</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 Материальный конституционный контроль направлен на проверку содержания нормативного акта в сравнении с Основным законом государства.</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 xml:space="preserve">Б) Формальный конституционный контроль, в свою очередь, проверяет именно процедуру принятия и издания юридического акта, без проверки содержания. </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6. В зависимости от органов, осуществляющих конституцио</w:t>
      </w:r>
      <w:r w:rsidRPr="00EC1A78">
        <w:rPr>
          <w:color w:val="000000"/>
          <w:sz w:val="22"/>
          <w:szCs w:val="22"/>
        </w:rPr>
        <w:t>н</w:t>
      </w:r>
      <w:r w:rsidRPr="00EC1A78">
        <w:rPr>
          <w:color w:val="000000"/>
          <w:sz w:val="22"/>
          <w:szCs w:val="22"/>
        </w:rPr>
        <w:t>ный контроль:</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А) Децентрализованный конституционный контроль возможен, если такой контроль осуществляется всеми судами общей юри</w:t>
      </w:r>
      <w:r w:rsidRPr="00EC1A78">
        <w:rPr>
          <w:color w:val="000000"/>
          <w:sz w:val="22"/>
          <w:szCs w:val="22"/>
        </w:rPr>
        <w:t>с</w:t>
      </w:r>
      <w:r w:rsidRPr="00EC1A78">
        <w:rPr>
          <w:color w:val="000000"/>
          <w:sz w:val="22"/>
          <w:szCs w:val="22"/>
        </w:rPr>
        <w:t>дикции.</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Б) Централизованный конституционный контроль исполняется специализированным или только высшим судом.</w:t>
      </w:r>
    </w:p>
    <w:p w:rsidR="00EC1A78" w:rsidRPr="00EC1A78" w:rsidRDefault="00EC1A78" w:rsidP="00EC1A78">
      <w:pPr>
        <w:tabs>
          <w:tab w:val="left" w:pos="1410"/>
        </w:tabs>
        <w:ind w:firstLine="426"/>
        <w:jc w:val="both"/>
        <w:rPr>
          <w:color w:val="000000"/>
          <w:sz w:val="22"/>
          <w:szCs w:val="22"/>
        </w:rPr>
      </w:pPr>
      <w:r w:rsidRPr="00EC1A78">
        <w:rPr>
          <w:color w:val="000000"/>
          <w:sz w:val="22"/>
          <w:szCs w:val="22"/>
        </w:rPr>
        <w:t>Вышеперечисленные основные виды конституционного ко</w:t>
      </w:r>
      <w:r w:rsidRPr="00EC1A78">
        <w:rPr>
          <w:color w:val="000000"/>
          <w:sz w:val="22"/>
          <w:szCs w:val="22"/>
        </w:rPr>
        <w:t>н</w:t>
      </w:r>
      <w:r w:rsidRPr="00EC1A78">
        <w:rPr>
          <w:color w:val="000000"/>
          <w:sz w:val="22"/>
          <w:szCs w:val="22"/>
        </w:rPr>
        <w:t>троля, в зависимости от того, какие из них применяются в госуда</w:t>
      </w:r>
      <w:r w:rsidRPr="00EC1A78">
        <w:rPr>
          <w:color w:val="000000"/>
          <w:sz w:val="22"/>
          <w:szCs w:val="22"/>
        </w:rPr>
        <w:t>р</w:t>
      </w:r>
      <w:r w:rsidRPr="00EC1A78">
        <w:rPr>
          <w:color w:val="000000"/>
          <w:sz w:val="22"/>
          <w:szCs w:val="22"/>
        </w:rPr>
        <w:t>стве, определяют место органов конституционного контроля в пр</w:t>
      </w:r>
      <w:r w:rsidRPr="00EC1A78">
        <w:rPr>
          <w:color w:val="000000"/>
          <w:sz w:val="22"/>
          <w:szCs w:val="22"/>
        </w:rPr>
        <w:t>а</w:t>
      </w:r>
      <w:r w:rsidRPr="00EC1A78">
        <w:rPr>
          <w:color w:val="000000"/>
          <w:sz w:val="22"/>
          <w:szCs w:val="22"/>
        </w:rPr>
        <w:t>вовой системе, его структуру, объем полномочий, организацию, взаимоотношения с другими государственными органами, прав</w:t>
      </w:r>
      <w:r w:rsidRPr="00EC1A78">
        <w:rPr>
          <w:color w:val="000000"/>
          <w:sz w:val="22"/>
          <w:szCs w:val="22"/>
        </w:rPr>
        <w:t>о</w:t>
      </w:r>
      <w:r w:rsidRPr="00EC1A78">
        <w:rPr>
          <w:color w:val="000000"/>
          <w:sz w:val="22"/>
          <w:szCs w:val="22"/>
        </w:rPr>
        <w:t>вую регламентацию деятельности. Специализированные органы конституционного контроля в Российской Федерации осуществл</w:t>
      </w:r>
      <w:r w:rsidRPr="00EC1A78">
        <w:rPr>
          <w:color w:val="000000"/>
          <w:sz w:val="22"/>
          <w:szCs w:val="22"/>
        </w:rPr>
        <w:t>я</w:t>
      </w:r>
      <w:r w:rsidRPr="00EC1A78">
        <w:rPr>
          <w:color w:val="000000"/>
          <w:sz w:val="22"/>
          <w:szCs w:val="22"/>
        </w:rPr>
        <w:t>ют, как правило, последующий (репрессивный), учреждающий (п</w:t>
      </w:r>
      <w:r w:rsidRPr="00EC1A78">
        <w:rPr>
          <w:color w:val="000000"/>
          <w:sz w:val="22"/>
          <w:szCs w:val="22"/>
        </w:rPr>
        <w:t>о</w:t>
      </w:r>
      <w:r w:rsidRPr="00EC1A78">
        <w:rPr>
          <w:color w:val="000000"/>
          <w:sz w:val="22"/>
          <w:szCs w:val="22"/>
        </w:rPr>
        <w:t>становляющий), обязательный, как абстрактный, так и конкретный, как материальный, так и  формальный  конституционный контроль.</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106384" w:rsidRDefault="00106384" w:rsidP="00EC1A78">
      <w:pPr>
        <w:jc w:val="both"/>
        <w:rPr>
          <w:rFonts w:eastAsiaTheme="minorHAnsi"/>
          <w:sz w:val="22"/>
          <w:szCs w:val="22"/>
          <w:lang w:eastAsia="en-US"/>
        </w:rPr>
      </w:pPr>
    </w:p>
    <w:p w:rsidR="00106384" w:rsidRPr="00EC1A78" w:rsidRDefault="00106384" w:rsidP="00EC1A78">
      <w:pPr>
        <w:jc w:val="both"/>
        <w:rPr>
          <w:rFonts w:eastAsiaTheme="minorHAnsi"/>
          <w:sz w:val="22"/>
          <w:szCs w:val="22"/>
          <w:lang w:eastAsia="en-US"/>
        </w:rPr>
      </w:pPr>
    </w:p>
    <w:p w:rsidR="00EC1A78" w:rsidRPr="00EC1A78" w:rsidRDefault="00EC1A78" w:rsidP="00EC1A78">
      <w:pPr>
        <w:jc w:val="both"/>
        <w:rPr>
          <w:rFonts w:eastAsiaTheme="minorHAnsi"/>
          <w:sz w:val="22"/>
          <w:szCs w:val="20"/>
          <w:lang w:eastAsia="en-US"/>
        </w:rPr>
      </w:pPr>
      <w:r w:rsidRPr="00EC1A78">
        <w:rPr>
          <w:rFonts w:eastAsiaTheme="minorHAnsi"/>
          <w:sz w:val="22"/>
          <w:szCs w:val="20"/>
          <w:lang w:eastAsia="en-US"/>
        </w:rPr>
        <w:lastRenderedPageBreak/>
        <w:t>УДК 349.24</w:t>
      </w:r>
    </w:p>
    <w:p w:rsidR="00EC1A78" w:rsidRPr="00EC1A78" w:rsidRDefault="00EC1A78" w:rsidP="00EC1A78">
      <w:pPr>
        <w:jc w:val="both"/>
        <w:rPr>
          <w:rFonts w:eastAsiaTheme="minorHAnsi"/>
          <w:sz w:val="22"/>
          <w:szCs w:val="20"/>
          <w:lang w:eastAsia="en-US"/>
        </w:rPr>
      </w:pPr>
    </w:p>
    <w:p w:rsidR="00EC1A78" w:rsidRPr="00EE657B" w:rsidRDefault="00EC1A78" w:rsidP="00EC1A78">
      <w:pPr>
        <w:jc w:val="center"/>
        <w:rPr>
          <w:rFonts w:eastAsiaTheme="minorHAnsi"/>
          <w:b/>
          <w:sz w:val="24"/>
          <w:szCs w:val="24"/>
          <w:lang w:eastAsia="en-US"/>
        </w:rPr>
      </w:pPr>
      <w:r w:rsidRPr="00EE657B">
        <w:rPr>
          <w:rFonts w:eastAsiaTheme="minorHAnsi"/>
          <w:b/>
          <w:sz w:val="24"/>
          <w:szCs w:val="24"/>
          <w:lang w:eastAsia="en-US"/>
        </w:rPr>
        <w:t>Охрана труда работников агропромышленного комплекса</w:t>
      </w:r>
    </w:p>
    <w:p w:rsidR="00EC1A78" w:rsidRPr="00EE657B" w:rsidRDefault="00EC1A78" w:rsidP="00EC1A78">
      <w:pPr>
        <w:shd w:val="clear" w:color="auto" w:fill="FFFFFF"/>
        <w:jc w:val="center"/>
        <w:rPr>
          <w:b/>
          <w:color w:val="212121"/>
          <w:sz w:val="24"/>
          <w:szCs w:val="24"/>
          <w:lang w:val="en-US"/>
        </w:rPr>
      </w:pPr>
      <w:r w:rsidRPr="00EE657B">
        <w:rPr>
          <w:rFonts w:eastAsiaTheme="minorHAnsi"/>
          <w:b/>
          <w:sz w:val="24"/>
          <w:szCs w:val="24"/>
          <w:lang w:val="en-US" w:eastAsia="en-US"/>
        </w:rPr>
        <w:t xml:space="preserve">Labor protection of workers </w:t>
      </w:r>
      <w:r w:rsidRPr="00EE657B">
        <w:rPr>
          <w:b/>
          <w:color w:val="212121"/>
          <w:sz w:val="24"/>
          <w:szCs w:val="24"/>
          <w:lang w:val="en"/>
        </w:rPr>
        <w:t>agro–industrial complex</w:t>
      </w:r>
    </w:p>
    <w:p w:rsidR="00EC1A78" w:rsidRPr="00EC1A78" w:rsidRDefault="00EC1A78" w:rsidP="00EC1A78">
      <w:pPr>
        <w:ind w:firstLine="425"/>
        <w:jc w:val="right"/>
        <w:rPr>
          <w:rFonts w:eastAsiaTheme="minorHAnsi"/>
          <w:sz w:val="22"/>
          <w:szCs w:val="20"/>
          <w:lang w:val="en-US" w:eastAsia="en-US"/>
        </w:rPr>
      </w:pP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Шайгарданова А.</w:t>
      </w:r>
      <w:r w:rsidR="00EE657B">
        <w:rPr>
          <w:rFonts w:eastAsiaTheme="minorHAnsi"/>
          <w:sz w:val="22"/>
          <w:szCs w:val="20"/>
          <w:lang w:eastAsia="en-US"/>
        </w:rPr>
        <w:t xml:space="preserve"> </w:t>
      </w:r>
      <w:r w:rsidRPr="00EC1A78">
        <w:rPr>
          <w:rFonts w:eastAsiaTheme="minorHAnsi"/>
          <w:sz w:val="22"/>
          <w:szCs w:val="20"/>
          <w:lang w:eastAsia="en-US"/>
        </w:rPr>
        <w:t>А.,</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студентка 1–го курса юридического факультета</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Кобылинская С.</w:t>
      </w:r>
      <w:r w:rsidR="00EE657B">
        <w:rPr>
          <w:rFonts w:eastAsiaTheme="minorHAnsi"/>
          <w:sz w:val="22"/>
          <w:szCs w:val="20"/>
          <w:lang w:eastAsia="en-US"/>
        </w:rPr>
        <w:t xml:space="preserve"> </w:t>
      </w:r>
      <w:r w:rsidRPr="00EC1A78">
        <w:rPr>
          <w:rFonts w:eastAsiaTheme="minorHAnsi"/>
          <w:sz w:val="22"/>
          <w:szCs w:val="20"/>
          <w:lang w:eastAsia="en-US"/>
        </w:rPr>
        <w:t>В.,</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 xml:space="preserve">доцент кафедры земельного, трудового </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и экологического права</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Кубанский государственный аграрный</w:t>
      </w:r>
    </w:p>
    <w:p w:rsidR="00EC1A78" w:rsidRPr="00EC1A78" w:rsidRDefault="00EC1A78" w:rsidP="00EC1A78">
      <w:pPr>
        <w:ind w:firstLine="425"/>
        <w:jc w:val="right"/>
        <w:rPr>
          <w:rFonts w:eastAsiaTheme="minorHAnsi"/>
          <w:sz w:val="22"/>
          <w:szCs w:val="20"/>
          <w:lang w:eastAsia="en-US"/>
        </w:rPr>
      </w:pPr>
      <w:r w:rsidRPr="00EC1A78">
        <w:rPr>
          <w:rFonts w:eastAsiaTheme="minorHAnsi"/>
          <w:sz w:val="22"/>
          <w:szCs w:val="20"/>
          <w:lang w:eastAsia="en-US"/>
        </w:rPr>
        <w:t>университет имени И.</w:t>
      </w:r>
      <w:r w:rsidR="00EE657B">
        <w:rPr>
          <w:rFonts w:eastAsiaTheme="minorHAnsi"/>
          <w:sz w:val="22"/>
          <w:szCs w:val="20"/>
          <w:lang w:eastAsia="en-US"/>
        </w:rPr>
        <w:t xml:space="preserve"> </w:t>
      </w:r>
      <w:r w:rsidRPr="00EC1A78">
        <w:rPr>
          <w:rFonts w:eastAsiaTheme="minorHAnsi"/>
          <w:sz w:val="22"/>
          <w:szCs w:val="20"/>
          <w:lang w:eastAsia="en-US"/>
        </w:rPr>
        <w:t>Т. Трубилина</w:t>
      </w:r>
    </w:p>
    <w:p w:rsidR="00EC1A78" w:rsidRPr="00EC1A78" w:rsidRDefault="00EC1A78" w:rsidP="00EC1A78">
      <w:pPr>
        <w:ind w:firstLine="425"/>
        <w:jc w:val="right"/>
        <w:rPr>
          <w:rFonts w:eastAsiaTheme="minorHAnsi"/>
          <w:sz w:val="22"/>
          <w:szCs w:val="20"/>
          <w:lang w:eastAsia="en-US"/>
        </w:rPr>
      </w:pP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АННОТАЦИЯ: В статье исследована сфера охраны труда р</w:t>
      </w:r>
      <w:r w:rsidRPr="00EC1A78">
        <w:rPr>
          <w:rFonts w:eastAsiaTheme="minorHAnsi"/>
          <w:sz w:val="22"/>
          <w:szCs w:val="20"/>
          <w:lang w:eastAsia="en-US"/>
        </w:rPr>
        <w:t>а</w:t>
      </w:r>
      <w:r w:rsidRPr="00EC1A78">
        <w:rPr>
          <w:rFonts w:eastAsiaTheme="minorHAnsi"/>
          <w:sz w:val="22"/>
          <w:szCs w:val="20"/>
          <w:lang w:eastAsia="en-US"/>
        </w:rPr>
        <w:t>ботников агропромышленного комплекса. Выявлены проблемы охраны труда работников отрасли и пути их решения.</w:t>
      </w:r>
    </w:p>
    <w:p w:rsidR="00EC1A78" w:rsidRPr="00EC1A78" w:rsidRDefault="00EC1A78" w:rsidP="00EC1A78">
      <w:pPr>
        <w:ind w:firstLine="425"/>
        <w:jc w:val="both"/>
        <w:rPr>
          <w:rFonts w:eastAsiaTheme="minorHAnsi"/>
          <w:sz w:val="22"/>
          <w:szCs w:val="20"/>
          <w:lang w:val="en-US" w:eastAsia="en-US"/>
        </w:rPr>
      </w:pPr>
      <w:r w:rsidRPr="00EC1A78">
        <w:rPr>
          <w:rFonts w:eastAsiaTheme="minorHAnsi"/>
          <w:sz w:val="22"/>
          <w:szCs w:val="20"/>
          <w:lang w:val="en-US" w:eastAsia="en-US"/>
        </w:rPr>
        <w:t>ABSTRACT: The sphere of labor protection of workers has been studied. Problems of labor protection of workers and ways of their sol</w:t>
      </w:r>
      <w:r w:rsidRPr="00EC1A78">
        <w:rPr>
          <w:rFonts w:eastAsiaTheme="minorHAnsi"/>
          <w:sz w:val="22"/>
          <w:szCs w:val="20"/>
          <w:lang w:val="en-US" w:eastAsia="en-US"/>
        </w:rPr>
        <w:t>u</w:t>
      </w:r>
      <w:r w:rsidRPr="00EC1A78">
        <w:rPr>
          <w:rFonts w:eastAsiaTheme="minorHAnsi"/>
          <w:sz w:val="22"/>
          <w:szCs w:val="20"/>
          <w:lang w:val="en-US" w:eastAsia="en-US"/>
        </w:rPr>
        <w:t>tion are revealed.</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КЛЮЧЕВЫЕ СЛОВА: охрана труда, условия труда, произво</w:t>
      </w:r>
      <w:r w:rsidRPr="00EC1A78">
        <w:rPr>
          <w:rFonts w:eastAsiaTheme="minorHAnsi"/>
          <w:sz w:val="22"/>
          <w:szCs w:val="20"/>
          <w:lang w:eastAsia="en-US"/>
        </w:rPr>
        <w:t>д</w:t>
      </w:r>
      <w:r w:rsidRPr="00EC1A78">
        <w:rPr>
          <w:rFonts w:eastAsiaTheme="minorHAnsi"/>
          <w:sz w:val="22"/>
          <w:szCs w:val="20"/>
          <w:lang w:eastAsia="en-US"/>
        </w:rPr>
        <w:t>ственный травматизм.</w:t>
      </w:r>
    </w:p>
    <w:p w:rsidR="00EC1A78" w:rsidRPr="00EC1A78" w:rsidRDefault="00EC1A78" w:rsidP="00EC1A78">
      <w:pPr>
        <w:ind w:firstLine="425"/>
        <w:jc w:val="both"/>
        <w:rPr>
          <w:rFonts w:eastAsiaTheme="minorHAnsi"/>
          <w:sz w:val="22"/>
          <w:szCs w:val="20"/>
          <w:lang w:val="en-US" w:eastAsia="en-US"/>
        </w:rPr>
      </w:pPr>
      <w:r w:rsidRPr="00EC1A78">
        <w:rPr>
          <w:rFonts w:eastAsiaTheme="minorHAnsi"/>
          <w:sz w:val="22"/>
          <w:szCs w:val="20"/>
          <w:lang w:val="en-US" w:eastAsia="en-US"/>
        </w:rPr>
        <w:t>KEYWORDS: labor protection, working conditions, industrial inj</w:t>
      </w:r>
      <w:r w:rsidRPr="00EC1A78">
        <w:rPr>
          <w:rFonts w:eastAsiaTheme="minorHAnsi"/>
          <w:sz w:val="22"/>
          <w:szCs w:val="20"/>
          <w:lang w:val="en-US" w:eastAsia="en-US"/>
        </w:rPr>
        <w:t>u</w:t>
      </w:r>
      <w:r w:rsidRPr="00EC1A78">
        <w:rPr>
          <w:rFonts w:eastAsiaTheme="minorHAnsi"/>
          <w:sz w:val="22"/>
          <w:szCs w:val="20"/>
          <w:lang w:val="en-US" w:eastAsia="en-US"/>
        </w:rPr>
        <w:t>ries.</w:t>
      </w:r>
    </w:p>
    <w:p w:rsidR="00EC1A78" w:rsidRPr="00EC1A78" w:rsidRDefault="00EC1A78" w:rsidP="00EC1A78">
      <w:pPr>
        <w:ind w:firstLine="425"/>
        <w:jc w:val="both"/>
        <w:rPr>
          <w:rFonts w:eastAsiaTheme="minorHAnsi"/>
          <w:sz w:val="22"/>
          <w:szCs w:val="20"/>
          <w:lang w:val="en-US" w:eastAsia="en-US"/>
        </w:rPr>
      </w:pP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Охрана труда работников – это комплекс мероприятий напра</w:t>
      </w:r>
      <w:r w:rsidRPr="00EC1A78">
        <w:rPr>
          <w:rFonts w:eastAsiaTheme="minorHAnsi"/>
          <w:sz w:val="22"/>
          <w:szCs w:val="20"/>
          <w:lang w:eastAsia="en-US"/>
        </w:rPr>
        <w:t>в</w:t>
      </w:r>
      <w:r w:rsidRPr="00EC1A78">
        <w:rPr>
          <w:rFonts w:eastAsiaTheme="minorHAnsi"/>
          <w:sz w:val="22"/>
          <w:szCs w:val="20"/>
          <w:lang w:eastAsia="en-US"/>
        </w:rPr>
        <w:t>ленный на сохранение жизни и здоровья работников в процессе трудовой деятельности [1]. Условия труда в организациях по вре</w:t>
      </w:r>
      <w:r w:rsidRPr="00EC1A78">
        <w:rPr>
          <w:rFonts w:eastAsiaTheme="minorHAnsi"/>
          <w:sz w:val="22"/>
          <w:szCs w:val="20"/>
          <w:lang w:eastAsia="en-US"/>
        </w:rPr>
        <w:t>д</w:t>
      </w:r>
      <w:r w:rsidRPr="00EC1A78">
        <w:rPr>
          <w:rFonts w:eastAsiaTheme="minorHAnsi"/>
          <w:sz w:val="22"/>
          <w:szCs w:val="20"/>
          <w:lang w:eastAsia="en-US"/>
        </w:rPr>
        <w:t>ности и (или) опасности делятся на 4 класса: оптимальные, доп</w:t>
      </w:r>
      <w:r w:rsidRPr="00EC1A78">
        <w:rPr>
          <w:rFonts w:eastAsiaTheme="minorHAnsi"/>
          <w:sz w:val="22"/>
          <w:szCs w:val="20"/>
          <w:lang w:eastAsia="en-US"/>
        </w:rPr>
        <w:t>у</w:t>
      </w:r>
      <w:r w:rsidRPr="00EC1A78">
        <w:rPr>
          <w:rFonts w:eastAsiaTheme="minorHAnsi"/>
          <w:sz w:val="22"/>
          <w:szCs w:val="20"/>
          <w:lang w:eastAsia="en-US"/>
        </w:rPr>
        <w:t xml:space="preserve">стимые, вредные и опасные. </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1 й класс Оптимальные условия труда – условия труда, при к</w:t>
      </w:r>
      <w:r w:rsidRPr="00EC1A78">
        <w:rPr>
          <w:rFonts w:eastAsiaTheme="minorHAnsi"/>
          <w:sz w:val="22"/>
          <w:szCs w:val="20"/>
          <w:lang w:eastAsia="en-US"/>
        </w:rPr>
        <w:t>о</w:t>
      </w:r>
      <w:r w:rsidRPr="00EC1A78">
        <w:rPr>
          <w:rFonts w:eastAsiaTheme="minorHAnsi"/>
          <w:sz w:val="22"/>
          <w:szCs w:val="20"/>
          <w:lang w:eastAsia="en-US"/>
        </w:rPr>
        <w:t>торых отсутствуют воздействие на работников вредных и (или) опасных производственных факторов.</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2 й класс Допустимые условия труда – это такие условия труда, при которых воздействие вредных и (или) опасных производстве</w:t>
      </w:r>
      <w:r w:rsidRPr="00EC1A78">
        <w:rPr>
          <w:rFonts w:eastAsiaTheme="minorHAnsi"/>
          <w:sz w:val="22"/>
          <w:szCs w:val="20"/>
          <w:lang w:eastAsia="en-US"/>
        </w:rPr>
        <w:t>н</w:t>
      </w:r>
      <w:r w:rsidRPr="00EC1A78">
        <w:rPr>
          <w:rFonts w:eastAsiaTheme="minorHAnsi"/>
          <w:sz w:val="22"/>
          <w:szCs w:val="20"/>
          <w:lang w:eastAsia="en-US"/>
        </w:rPr>
        <w:t>ных факторов не превышают уровни установленные нормативами.</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3 й класс Вредные условия труда – условия труда, при которых воздействие превышают уровни установленные нормативами. Они делятся на 4 степени:</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lastRenderedPageBreak/>
        <w:t>– вредные условия труда первой степени (3.1);</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 вредные условия труда второй степени (3.2);</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 вредные условия труда третьей степени (3.3);</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 вредные условия труда четвертой степени (3.4)</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Разделение вредных условий труда на степени зависит от того, к каким последствием приводит воздействие вредных и (или) опа</w:t>
      </w:r>
      <w:r w:rsidRPr="00EC1A78">
        <w:rPr>
          <w:rFonts w:eastAsiaTheme="minorHAnsi"/>
          <w:sz w:val="22"/>
          <w:szCs w:val="20"/>
          <w:lang w:eastAsia="en-US"/>
        </w:rPr>
        <w:t>с</w:t>
      </w:r>
      <w:r w:rsidRPr="00EC1A78">
        <w:rPr>
          <w:rFonts w:eastAsiaTheme="minorHAnsi"/>
          <w:sz w:val="22"/>
          <w:szCs w:val="20"/>
          <w:lang w:eastAsia="en-US"/>
        </w:rPr>
        <w:t>ных производственных факторов на организм работника.</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 xml:space="preserve"> Если при классе условий труда 3.1, воздействие вредных и (или) опасных условий труда приводит к изменению функционал</w:t>
      </w:r>
      <w:r w:rsidRPr="00EC1A78">
        <w:rPr>
          <w:rFonts w:eastAsiaTheme="minorHAnsi"/>
          <w:sz w:val="22"/>
          <w:szCs w:val="20"/>
          <w:lang w:eastAsia="en-US"/>
        </w:rPr>
        <w:t>ь</w:t>
      </w:r>
      <w:r w:rsidRPr="00EC1A78">
        <w:rPr>
          <w:rFonts w:eastAsiaTheme="minorHAnsi"/>
          <w:sz w:val="22"/>
          <w:szCs w:val="20"/>
          <w:lang w:eastAsia="en-US"/>
        </w:rPr>
        <w:t>ного состояние организма, которое восстанавливается, то при кла</w:t>
      </w:r>
      <w:r w:rsidRPr="00EC1A78">
        <w:rPr>
          <w:rFonts w:eastAsiaTheme="minorHAnsi"/>
          <w:sz w:val="22"/>
          <w:szCs w:val="20"/>
          <w:lang w:eastAsia="en-US"/>
        </w:rPr>
        <w:t>с</w:t>
      </w:r>
      <w:r w:rsidRPr="00EC1A78">
        <w:rPr>
          <w:rFonts w:eastAsiaTheme="minorHAnsi"/>
          <w:sz w:val="22"/>
          <w:szCs w:val="20"/>
          <w:lang w:eastAsia="en-US"/>
        </w:rPr>
        <w:t>се условий труда 3.4 воздействие вредных и (или) опасных прои</w:t>
      </w:r>
      <w:r w:rsidRPr="00EC1A78">
        <w:rPr>
          <w:rFonts w:eastAsiaTheme="minorHAnsi"/>
          <w:sz w:val="22"/>
          <w:szCs w:val="20"/>
          <w:lang w:eastAsia="en-US"/>
        </w:rPr>
        <w:t>з</w:t>
      </w:r>
      <w:r w:rsidRPr="00EC1A78">
        <w:rPr>
          <w:rFonts w:eastAsiaTheme="minorHAnsi"/>
          <w:sz w:val="22"/>
          <w:szCs w:val="20"/>
          <w:lang w:eastAsia="en-US"/>
        </w:rPr>
        <w:t>водственных факторов приводит к развитию тяжелых форм профе</w:t>
      </w:r>
      <w:r w:rsidRPr="00EC1A78">
        <w:rPr>
          <w:rFonts w:eastAsiaTheme="minorHAnsi"/>
          <w:sz w:val="22"/>
          <w:szCs w:val="20"/>
          <w:lang w:eastAsia="en-US"/>
        </w:rPr>
        <w:t>с</w:t>
      </w:r>
      <w:r w:rsidRPr="00EC1A78">
        <w:rPr>
          <w:rFonts w:eastAsiaTheme="minorHAnsi"/>
          <w:sz w:val="22"/>
          <w:szCs w:val="20"/>
          <w:lang w:eastAsia="en-US"/>
        </w:rPr>
        <w:t>сиональных заболеваний.</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4 й класс Опасные условия труда – условия труда, воздействие которых приводит к острым профессиональным заболеваниям или создает угрозу жизни работника [2].</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Например, у водителя комбайна класс условий труда 3.1, а у техника по хранению и переработке растениеводческой продукции класс условий труда 3.2. Следовательно, эти категории работников агропромышленного комплекса попадают под выплату компенс</w:t>
      </w:r>
      <w:r w:rsidRPr="00EC1A78">
        <w:rPr>
          <w:rFonts w:eastAsiaTheme="minorHAnsi"/>
          <w:sz w:val="22"/>
          <w:szCs w:val="20"/>
          <w:lang w:eastAsia="en-US"/>
        </w:rPr>
        <w:t>а</w:t>
      </w:r>
      <w:r w:rsidRPr="00EC1A78">
        <w:rPr>
          <w:rFonts w:eastAsiaTheme="minorHAnsi"/>
          <w:sz w:val="22"/>
          <w:szCs w:val="20"/>
          <w:lang w:eastAsia="en-US"/>
        </w:rPr>
        <w:t>ций.</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Привыявление вредных (всех степеней) и опасных условий труда работников, работодатели обязаны доплачивать 4% от оклада и предоставлять дополнительный отпуск не менее 7 календарных дней [3].</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Проблема охраны труда в агропромышленном комплексе с</w:t>
      </w:r>
      <w:r w:rsidRPr="00EC1A78">
        <w:rPr>
          <w:rFonts w:eastAsiaTheme="minorHAnsi"/>
          <w:sz w:val="22"/>
          <w:szCs w:val="20"/>
          <w:lang w:eastAsia="en-US"/>
        </w:rPr>
        <w:t>о</w:t>
      </w:r>
      <w:r w:rsidRPr="00EC1A78">
        <w:rPr>
          <w:rFonts w:eastAsiaTheme="minorHAnsi"/>
          <w:sz w:val="22"/>
          <w:szCs w:val="20"/>
          <w:lang w:eastAsia="en-US"/>
        </w:rPr>
        <w:t>стоит в том, что работодатели иногда предоставляют ложную и</w:t>
      </w:r>
      <w:r w:rsidRPr="00EC1A78">
        <w:rPr>
          <w:rFonts w:eastAsiaTheme="minorHAnsi"/>
          <w:sz w:val="22"/>
          <w:szCs w:val="20"/>
          <w:lang w:eastAsia="en-US"/>
        </w:rPr>
        <w:t>н</w:t>
      </w:r>
      <w:r w:rsidRPr="00EC1A78">
        <w:rPr>
          <w:rFonts w:eastAsiaTheme="minorHAnsi"/>
          <w:sz w:val="22"/>
          <w:szCs w:val="20"/>
          <w:lang w:eastAsia="en-US"/>
        </w:rPr>
        <w:t>формацию о классах условий труда на рабочих местах работников снижая условия труда с вредных до допустимых. Это приводит к лишению работников гарантий и компенсаций, медицинские осмотры проводятся реже, не предоставляется дополнительный о</w:t>
      </w:r>
      <w:r w:rsidRPr="00EC1A78">
        <w:rPr>
          <w:rFonts w:eastAsiaTheme="minorHAnsi"/>
          <w:sz w:val="22"/>
          <w:szCs w:val="20"/>
          <w:lang w:eastAsia="en-US"/>
        </w:rPr>
        <w:t>т</w:t>
      </w:r>
      <w:r w:rsidRPr="00EC1A78">
        <w:rPr>
          <w:rFonts w:eastAsiaTheme="minorHAnsi"/>
          <w:sz w:val="22"/>
          <w:szCs w:val="20"/>
          <w:lang w:eastAsia="en-US"/>
        </w:rPr>
        <w:t>пуск, что нарушает главный принцип охраны труда – защиты вр</w:t>
      </w:r>
      <w:r w:rsidRPr="00EC1A78">
        <w:rPr>
          <w:rFonts w:eastAsiaTheme="minorHAnsi"/>
          <w:sz w:val="22"/>
          <w:szCs w:val="20"/>
          <w:lang w:eastAsia="en-US"/>
        </w:rPr>
        <w:t>е</w:t>
      </w:r>
      <w:r w:rsidRPr="00EC1A78">
        <w:rPr>
          <w:rFonts w:eastAsiaTheme="minorHAnsi"/>
          <w:sz w:val="22"/>
          <w:szCs w:val="20"/>
          <w:lang w:eastAsia="en-US"/>
        </w:rPr>
        <w:t>менем [4].</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Защита временем–это уменьшение вредного действия неблаг</w:t>
      </w:r>
      <w:r w:rsidRPr="00EC1A78">
        <w:rPr>
          <w:rFonts w:eastAsiaTheme="minorHAnsi"/>
          <w:sz w:val="22"/>
          <w:szCs w:val="20"/>
          <w:lang w:eastAsia="en-US"/>
        </w:rPr>
        <w:t>о</w:t>
      </w:r>
      <w:r w:rsidRPr="00EC1A78">
        <w:rPr>
          <w:rFonts w:eastAsiaTheme="minorHAnsi"/>
          <w:sz w:val="22"/>
          <w:szCs w:val="20"/>
          <w:lang w:eastAsia="en-US"/>
        </w:rPr>
        <w:t>приятной производственной среды и трудового процесса на раб</w:t>
      </w:r>
      <w:r w:rsidRPr="00EC1A78">
        <w:rPr>
          <w:rFonts w:eastAsiaTheme="minorHAnsi"/>
          <w:sz w:val="22"/>
          <w:szCs w:val="20"/>
          <w:lang w:eastAsia="en-US"/>
        </w:rPr>
        <w:t>о</w:t>
      </w:r>
      <w:r w:rsidRPr="00EC1A78">
        <w:rPr>
          <w:rFonts w:eastAsiaTheme="minorHAnsi"/>
          <w:sz w:val="22"/>
          <w:szCs w:val="20"/>
          <w:lang w:eastAsia="en-US"/>
        </w:rPr>
        <w:t>тающих за счет снижения времени.</w:t>
      </w:r>
    </w:p>
    <w:p w:rsidR="00EC1A78" w:rsidRPr="00EC1A78" w:rsidRDefault="00EC1A78" w:rsidP="00EC1A78">
      <w:pPr>
        <w:ind w:firstLine="708"/>
        <w:jc w:val="both"/>
        <w:rPr>
          <w:rFonts w:eastAsiaTheme="minorHAnsi"/>
          <w:sz w:val="22"/>
          <w:szCs w:val="20"/>
          <w:lang w:eastAsia="en-US"/>
        </w:rPr>
      </w:pPr>
      <w:r w:rsidRPr="00EC1A78">
        <w:rPr>
          <w:rFonts w:eastAsiaTheme="minorHAnsi"/>
          <w:sz w:val="22"/>
          <w:szCs w:val="20"/>
          <w:lang w:eastAsia="en-US"/>
        </w:rPr>
        <w:t>Решением этой проблемы, на мой взгляд является:</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lastRenderedPageBreak/>
        <w:t>– усилить контроль за предоставлением актуальной информ</w:t>
      </w:r>
      <w:r w:rsidRPr="00EC1A78">
        <w:rPr>
          <w:rFonts w:eastAsiaTheme="minorHAnsi"/>
          <w:sz w:val="22"/>
          <w:szCs w:val="20"/>
          <w:lang w:eastAsia="en-US"/>
        </w:rPr>
        <w:t>а</w:t>
      </w:r>
      <w:r w:rsidRPr="00EC1A78">
        <w:rPr>
          <w:rFonts w:eastAsiaTheme="minorHAnsi"/>
          <w:sz w:val="22"/>
          <w:szCs w:val="20"/>
          <w:lang w:eastAsia="en-US"/>
        </w:rPr>
        <w:t>ции об условиях труда работников и присвоенных им классов усл</w:t>
      </w:r>
      <w:r w:rsidRPr="00EC1A78">
        <w:rPr>
          <w:rFonts w:eastAsiaTheme="minorHAnsi"/>
          <w:sz w:val="22"/>
          <w:szCs w:val="20"/>
          <w:lang w:eastAsia="en-US"/>
        </w:rPr>
        <w:t>о</w:t>
      </w:r>
      <w:r w:rsidRPr="00EC1A78">
        <w:rPr>
          <w:rFonts w:eastAsiaTheme="minorHAnsi"/>
          <w:sz w:val="22"/>
          <w:szCs w:val="20"/>
          <w:lang w:eastAsia="en-US"/>
        </w:rPr>
        <w:t>вий труда;</w:t>
      </w:r>
    </w:p>
    <w:p w:rsidR="00EC1A78" w:rsidRPr="00EC1A78" w:rsidRDefault="00EC1A78" w:rsidP="00EC1A78">
      <w:pPr>
        <w:ind w:firstLine="425"/>
        <w:jc w:val="both"/>
        <w:rPr>
          <w:rFonts w:eastAsiaTheme="minorHAnsi"/>
          <w:sz w:val="22"/>
          <w:szCs w:val="20"/>
          <w:lang w:eastAsia="en-US"/>
        </w:rPr>
      </w:pPr>
      <w:r w:rsidRPr="00EC1A78">
        <w:rPr>
          <w:rFonts w:eastAsiaTheme="minorHAnsi"/>
          <w:sz w:val="22"/>
          <w:szCs w:val="20"/>
          <w:lang w:eastAsia="en-US"/>
        </w:rPr>
        <w:t>– увеличить ответственность работодателя за производстве</w:t>
      </w:r>
      <w:r w:rsidRPr="00EC1A78">
        <w:rPr>
          <w:rFonts w:eastAsiaTheme="minorHAnsi"/>
          <w:sz w:val="22"/>
          <w:szCs w:val="20"/>
          <w:lang w:eastAsia="en-US"/>
        </w:rPr>
        <w:t>н</w:t>
      </w:r>
      <w:r w:rsidRPr="00EC1A78">
        <w:rPr>
          <w:rFonts w:eastAsiaTheme="minorHAnsi"/>
          <w:sz w:val="22"/>
          <w:szCs w:val="20"/>
          <w:lang w:eastAsia="en-US"/>
        </w:rPr>
        <w:t>ный травматизм и профессиональные заболевания.</w:t>
      </w:r>
    </w:p>
    <w:p w:rsidR="00EC1A78" w:rsidRDefault="00EC1A78" w:rsidP="00106384">
      <w:pPr>
        <w:ind w:firstLine="425"/>
        <w:jc w:val="both"/>
        <w:rPr>
          <w:rFonts w:eastAsiaTheme="minorHAnsi"/>
          <w:sz w:val="22"/>
          <w:szCs w:val="20"/>
          <w:lang w:eastAsia="en-US"/>
        </w:rPr>
      </w:pPr>
      <w:r w:rsidRPr="00EC1A78">
        <w:rPr>
          <w:rFonts w:eastAsiaTheme="minorHAnsi"/>
          <w:sz w:val="22"/>
          <w:szCs w:val="20"/>
          <w:lang w:eastAsia="en-US"/>
        </w:rPr>
        <w:t>Считаем, что это  поможет заинтересовать работодателя в п</w:t>
      </w:r>
      <w:r w:rsidRPr="00EC1A78">
        <w:rPr>
          <w:rFonts w:eastAsiaTheme="minorHAnsi"/>
          <w:sz w:val="22"/>
          <w:szCs w:val="20"/>
          <w:lang w:eastAsia="en-US"/>
        </w:rPr>
        <w:t>о</w:t>
      </w:r>
      <w:r w:rsidRPr="00EC1A78">
        <w:rPr>
          <w:rFonts w:eastAsiaTheme="minorHAnsi"/>
          <w:sz w:val="22"/>
          <w:szCs w:val="20"/>
          <w:lang w:eastAsia="en-US"/>
        </w:rPr>
        <w:t xml:space="preserve">вышении уровня безопасности на рабочих местах, в том числе и с учетом специфика отрасли.    </w:t>
      </w:r>
    </w:p>
    <w:p w:rsidR="002B3A7B" w:rsidRPr="00EC1A78" w:rsidRDefault="002B3A7B" w:rsidP="00106384">
      <w:pPr>
        <w:ind w:firstLine="425"/>
        <w:jc w:val="both"/>
        <w:rPr>
          <w:rFonts w:eastAsiaTheme="minorHAnsi"/>
          <w:sz w:val="22"/>
          <w:szCs w:val="20"/>
          <w:lang w:eastAsia="en-US"/>
        </w:rPr>
      </w:pPr>
    </w:p>
    <w:p w:rsidR="00EC1A78" w:rsidRPr="00EC1A78" w:rsidRDefault="00EC1A78" w:rsidP="00EC1A78">
      <w:pPr>
        <w:ind w:firstLine="425"/>
        <w:jc w:val="center"/>
        <w:rPr>
          <w:rFonts w:eastAsiaTheme="minorHAnsi"/>
          <w:sz w:val="22"/>
          <w:szCs w:val="20"/>
          <w:lang w:eastAsia="en-US"/>
        </w:rPr>
      </w:pPr>
      <w:r w:rsidRPr="00EC1A78">
        <w:rPr>
          <w:rFonts w:eastAsiaTheme="minorHAnsi"/>
          <w:sz w:val="22"/>
          <w:szCs w:val="20"/>
          <w:lang w:eastAsia="en-US"/>
        </w:rPr>
        <w:t>Список литературы</w:t>
      </w:r>
    </w:p>
    <w:p w:rsidR="00EC1A78" w:rsidRPr="00EC1A78" w:rsidRDefault="00EC1A78" w:rsidP="00EC1A78">
      <w:pPr>
        <w:ind w:firstLine="426"/>
        <w:jc w:val="both"/>
        <w:rPr>
          <w:sz w:val="22"/>
          <w:szCs w:val="22"/>
        </w:rPr>
      </w:pPr>
      <w:r w:rsidRPr="00EC1A78">
        <w:rPr>
          <w:rFonts w:eastAsiaTheme="minorHAnsi"/>
          <w:sz w:val="22"/>
          <w:szCs w:val="22"/>
          <w:lang w:eastAsia="en-US"/>
        </w:rPr>
        <w:t xml:space="preserve">1. Трудовой кодекс Российской Федерации от 30 декабря 2001 года № 197–ФЗ с изм. и доп. от 01 октября 2017 года // СЗ РФ. 2017.  №43. Ст. </w:t>
      </w:r>
      <w:r w:rsidRPr="00EC1A78">
        <w:rPr>
          <w:rFonts w:eastAsiaTheme="minorHAnsi"/>
          <w:bCs/>
          <w:color w:val="000000"/>
          <w:sz w:val="22"/>
          <w:szCs w:val="22"/>
          <w:lang w:eastAsia="en-US"/>
        </w:rPr>
        <w:t>6263</w:t>
      </w:r>
      <w:r w:rsidRPr="00EC1A78">
        <w:rPr>
          <w:rFonts w:eastAsiaTheme="minorHAnsi"/>
          <w:sz w:val="22"/>
          <w:szCs w:val="22"/>
          <w:lang w:eastAsia="en-US"/>
        </w:rPr>
        <w:t>.</w:t>
      </w:r>
    </w:p>
    <w:p w:rsidR="00EC1A78" w:rsidRPr="00EC1A78" w:rsidRDefault="00EC1A78" w:rsidP="00EC1A78">
      <w:pPr>
        <w:ind w:firstLine="426"/>
        <w:jc w:val="both"/>
        <w:rPr>
          <w:sz w:val="21"/>
          <w:szCs w:val="21"/>
        </w:rPr>
      </w:pPr>
      <w:r w:rsidRPr="00EC1A78">
        <w:rPr>
          <w:sz w:val="22"/>
          <w:szCs w:val="22"/>
        </w:rPr>
        <w:t>2. Федеральный закон от 28 декабря 2013 № 426–ФЗ «</w:t>
      </w:r>
      <w:r w:rsidRPr="00EC1A78">
        <w:rPr>
          <w:rFonts w:eastAsiaTheme="minorHAnsi"/>
          <w:sz w:val="22"/>
          <w:szCs w:val="22"/>
          <w:lang w:eastAsia="en-US"/>
        </w:rPr>
        <w:t>О спец</w:t>
      </w:r>
      <w:r w:rsidRPr="00EC1A78">
        <w:rPr>
          <w:rFonts w:eastAsiaTheme="minorHAnsi"/>
          <w:sz w:val="22"/>
          <w:szCs w:val="22"/>
          <w:lang w:eastAsia="en-US"/>
        </w:rPr>
        <w:t>и</w:t>
      </w:r>
      <w:r w:rsidRPr="00EC1A78">
        <w:rPr>
          <w:rFonts w:eastAsiaTheme="minorHAnsi"/>
          <w:sz w:val="22"/>
          <w:szCs w:val="22"/>
          <w:lang w:eastAsia="en-US"/>
        </w:rPr>
        <w:t xml:space="preserve">альной оценки условий труда»  </w:t>
      </w:r>
      <w:r w:rsidRPr="00EC1A78">
        <w:rPr>
          <w:sz w:val="22"/>
          <w:szCs w:val="22"/>
        </w:rPr>
        <w:t>(ред. от 01.05.2016)</w:t>
      </w:r>
    </w:p>
    <w:p w:rsidR="00EC1A78" w:rsidRPr="00EC1A78" w:rsidRDefault="00EC1A78" w:rsidP="00EC1A78">
      <w:pPr>
        <w:ind w:firstLine="426"/>
        <w:jc w:val="both"/>
        <w:rPr>
          <w:rFonts w:eastAsiaTheme="minorHAnsi"/>
          <w:sz w:val="22"/>
          <w:szCs w:val="20"/>
          <w:lang w:eastAsia="en-US"/>
        </w:rPr>
      </w:pPr>
      <w:r w:rsidRPr="00EC1A78">
        <w:rPr>
          <w:rFonts w:eastAsiaTheme="minorHAnsi"/>
          <w:sz w:val="22"/>
          <w:szCs w:val="20"/>
          <w:lang w:eastAsia="en-US"/>
        </w:rPr>
        <w:t>3. Гусак–Катрич Ю. А. Охрана труда в сельском хозяйстве / Ю.А. Гусак–Катрич. – Москва: Альфа–Пресс, 2007. – С. 65.</w:t>
      </w:r>
    </w:p>
    <w:p w:rsidR="00EC1A78" w:rsidRPr="00EC1A78" w:rsidRDefault="00EC1A78" w:rsidP="00EC1A78">
      <w:pPr>
        <w:ind w:firstLine="426"/>
        <w:jc w:val="both"/>
        <w:rPr>
          <w:rFonts w:eastAsiaTheme="minorHAnsi"/>
          <w:sz w:val="22"/>
          <w:szCs w:val="20"/>
          <w:lang w:eastAsia="en-US"/>
        </w:rPr>
      </w:pPr>
      <w:r w:rsidRPr="00EC1A78">
        <w:rPr>
          <w:rFonts w:eastAsiaTheme="minorHAnsi"/>
          <w:sz w:val="22"/>
          <w:szCs w:val="20"/>
          <w:lang w:eastAsia="en-US"/>
        </w:rPr>
        <w:t>4. Кобылинская С.В. Право человека на достойную жизнь как основная ценность социального государства //В сборнике: Научное обеспечение агропромышленного комплекса. Сборник статей по материалам 71–й научно–практической конференции преподават</w:t>
      </w:r>
      <w:r w:rsidRPr="00EC1A78">
        <w:rPr>
          <w:rFonts w:eastAsiaTheme="minorHAnsi"/>
          <w:sz w:val="22"/>
          <w:szCs w:val="20"/>
          <w:lang w:eastAsia="en-US"/>
        </w:rPr>
        <w:t>е</w:t>
      </w:r>
      <w:r w:rsidRPr="00EC1A78">
        <w:rPr>
          <w:rFonts w:eastAsiaTheme="minorHAnsi"/>
          <w:sz w:val="22"/>
          <w:szCs w:val="20"/>
          <w:lang w:eastAsia="en-US"/>
        </w:rPr>
        <w:t>лей по итогам НИР за 2015 год. Ответственный за выпуск А. Г. К</w:t>
      </w:r>
      <w:r w:rsidRPr="00EC1A78">
        <w:rPr>
          <w:rFonts w:eastAsiaTheme="minorHAnsi"/>
          <w:sz w:val="22"/>
          <w:szCs w:val="20"/>
          <w:lang w:eastAsia="en-US"/>
        </w:rPr>
        <w:t>о</w:t>
      </w:r>
      <w:r w:rsidRPr="00EC1A78">
        <w:rPr>
          <w:rFonts w:eastAsiaTheme="minorHAnsi"/>
          <w:sz w:val="22"/>
          <w:szCs w:val="20"/>
          <w:lang w:eastAsia="en-US"/>
        </w:rPr>
        <w:t>щаев. 2016. С. 386–388.</w:t>
      </w:r>
    </w:p>
    <w:p w:rsidR="00EE657B" w:rsidRDefault="00EE657B" w:rsidP="00EC1A78">
      <w:pPr>
        <w:jc w:val="both"/>
        <w:rPr>
          <w:rFonts w:eastAsiaTheme="minorHAnsi"/>
          <w:sz w:val="22"/>
          <w:szCs w:val="22"/>
          <w:lang w:eastAsia="en-US"/>
        </w:rPr>
      </w:pPr>
    </w:p>
    <w:p w:rsidR="00EE657B" w:rsidRPr="00EC1A78" w:rsidRDefault="002B3A7B" w:rsidP="002B3A7B">
      <w:pPr>
        <w:rPr>
          <w:rFonts w:eastAsiaTheme="minorHAnsi"/>
          <w:sz w:val="22"/>
          <w:szCs w:val="22"/>
          <w:lang w:eastAsia="en-US"/>
        </w:rPr>
      </w:pPr>
      <w:r>
        <w:rPr>
          <w:rFonts w:eastAsiaTheme="minorHAnsi"/>
          <w:sz w:val="22"/>
          <w:szCs w:val="22"/>
          <w:lang w:eastAsia="en-US"/>
        </w:rPr>
        <w:br w:type="page"/>
      </w:r>
    </w:p>
    <w:p w:rsidR="00EC1A78" w:rsidRPr="00EC1A78" w:rsidRDefault="00EC1A78" w:rsidP="00EC1A78">
      <w:pPr>
        <w:rPr>
          <w:rFonts w:eastAsiaTheme="minorHAnsi"/>
          <w:sz w:val="22"/>
          <w:szCs w:val="22"/>
          <w:lang w:eastAsia="en-US"/>
        </w:rPr>
      </w:pPr>
      <w:r w:rsidRPr="00EC1A78">
        <w:rPr>
          <w:rFonts w:eastAsiaTheme="minorHAnsi"/>
          <w:sz w:val="22"/>
          <w:szCs w:val="22"/>
          <w:lang w:eastAsia="en-US"/>
        </w:rPr>
        <w:lastRenderedPageBreak/>
        <w:t>УДК 340, 340.5, 341.9</w:t>
      </w:r>
    </w:p>
    <w:p w:rsidR="00EC1A78" w:rsidRPr="00EC1A78" w:rsidRDefault="00EC1A78" w:rsidP="00EC1A78">
      <w:pPr>
        <w:jc w:val="center"/>
        <w:rPr>
          <w:rFonts w:eastAsiaTheme="minorHAnsi"/>
          <w:b/>
          <w:sz w:val="22"/>
          <w:szCs w:val="22"/>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История становления и развития института брачного </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eastAsia="en-US"/>
        </w:rPr>
        <w:t>договора</w:t>
      </w:r>
      <w:r w:rsidRPr="00EC1A78">
        <w:rPr>
          <w:rFonts w:eastAsiaTheme="minorHAnsi"/>
          <w:b/>
          <w:sz w:val="24"/>
          <w:szCs w:val="24"/>
          <w:lang w:val="en-US" w:eastAsia="en-US"/>
        </w:rPr>
        <w:t xml:space="preserve"> </w:t>
      </w:r>
      <w:r w:rsidRPr="00EC1A78">
        <w:rPr>
          <w:rFonts w:eastAsiaTheme="minorHAnsi"/>
          <w:b/>
          <w:sz w:val="24"/>
          <w:szCs w:val="24"/>
          <w:lang w:eastAsia="en-US"/>
        </w:rPr>
        <w:t>в</w:t>
      </w:r>
      <w:r w:rsidRPr="00EC1A78">
        <w:rPr>
          <w:rFonts w:eastAsiaTheme="minorHAnsi"/>
          <w:b/>
          <w:sz w:val="24"/>
          <w:szCs w:val="24"/>
          <w:lang w:val="en-US" w:eastAsia="en-US"/>
        </w:rPr>
        <w:t xml:space="preserve"> </w:t>
      </w:r>
      <w:r w:rsidRPr="00EC1A78">
        <w:rPr>
          <w:rFonts w:eastAsiaTheme="minorHAnsi"/>
          <w:b/>
          <w:sz w:val="24"/>
          <w:szCs w:val="24"/>
          <w:lang w:eastAsia="en-US"/>
        </w:rPr>
        <w:t>европейских</w:t>
      </w:r>
      <w:r w:rsidRPr="00EC1A78">
        <w:rPr>
          <w:rFonts w:eastAsiaTheme="minorHAnsi"/>
          <w:b/>
          <w:sz w:val="24"/>
          <w:szCs w:val="24"/>
          <w:lang w:val="en-US" w:eastAsia="en-US"/>
        </w:rPr>
        <w:t xml:space="preserve"> </w:t>
      </w:r>
      <w:r w:rsidRPr="00EC1A78">
        <w:rPr>
          <w:rFonts w:eastAsiaTheme="minorHAnsi"/>
          <w:b/>
          <w:sz w:val="24"/>
          <w:szCs w:val="24"/>
          <w:lang w:eastAsia="en-US"/>
        </w:rPr>
        <w:t>странах</w:t>
      </w:r>
    </w:p>
    <w:p w:rsidR="00EC1A78" w:rsidRPr="00EC1A78" w:rsidRDefault="00EC1A78" w:rsidP="00EC1A78">
      <w:pPr>
        <w:jc w:val="center"/>
        <w:rPr>
          <w:rFonts w:eastAsiaTheme="minorHAnsi"/>
          <w:b/>
          <w:sz w:val="24"/>
          <w:szCs w:val="24"/>
          <w:lang w:val="en-US" w:eastAsia="en-US"/>
        </w:rPr>
      </w:pPr>
      <w:r w:rsidRPr="00EC1A78">
        <w:rPr>
          <w:rFonts w:eastAsiaTheme="minorHAnsi"/>
          <w:b/>
          <w:sz w:val="24"/>
          <w:szCs w:val="24"/>
          <w:lang w:val="en-US" w:eastAsia="en-US"/>
        </w:rPr>
        <w:t>The history of formation and development of the institution of marriage to–dialect in European countries</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Шейкова Е.</w:t>
      </w:r>
      <w:r w:rsidR="00EE657B">
        <w:rPr>
          <w:rFonts w:eastAsiaTheme="minorHAnsi"/>
          <w:sz w:val="22"/>
          <w:szCs w:val="22"/>
          <w:lang w:eastAsia="en-US"/>
        </w:rPr>
        <w:t xml:space="preserve"> </w:t>
      </w:r>
      <w:r w:rsidRPr="00EC1A78">
        <w:rPr>
          <w:rFonts w:eastAsiaTheme="minorHAnsi"/>
          <w:sz w:val="22"/>
          <w:szCs w:val="22"/>
          <w:lang w:eastAsia="en-US"/>
        </w:rPr>
        <w:t>Н.</w:t>
      </w:r>
      <w:r w:rsidR="00EE657B">
        <w:rPr>
          <w:rFonts w:eastAsiaTheme="minorHAnsi"/>
          <w:sz w:val="22"/>
          <w:szCs w:val="22"/>
          <w:lang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студентка 1–го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Лепешкина О.</w:t>
      </w:r>
      <w:r w:rsidR="00EE657B">
        <w:rPr>
          <w:rFonts w:eastAsiaTheme="minorHAnsi"/>
          <w:sz w:val="22"/>
          <w:szCs w:val="22"/>
          <w:lang w:eastAsia="en-US"/>
        </w:rPr>
        <w:t xml:space="preserve"> </w:t>
      </w:r>
      <w:r w:rsidRPr="00EC1A78">
        <w:rPr>
          <w:rFonts w:eastAsiaTheme="minorHAnsi"/>
          <w:sz w:val="22"/>
          <w:szCs w:val="22"/>
          <w:lang w:eastAsia="en-US"/>
        </w:rPr>
        <w:t>В.</w:t>
      </w:r>
      <w:r w:rsidR="00EE657B">
        <w:rPr>
          <w:rFonts w:eastAsiaTheme="minorHAnsi"/>
          <w:sz w:val="22"/>
          <w:szCs w:val="22"/>
          <w:lang w:eastAsia="en-US"/>
        </w:rPr>
        <w:t>,</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доцент кафедры теории и истории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государства и права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мире достаточно распространен брачный контракт. Как же он появился и в каких странах получил наибол</w:t>
      </w:r>
      <w:r w:rsidRPr="00EC1A78">
        <w:rPr>
          <w:rFonts w:eastAsiaTheme="minorHAnsi"/>
          <w:sz w:val="22"/>
          <w:szCs w:val="22"/>
          <w:lang w:eastAsia="en-US"/>
        </w:rPr>
        <w:t>ь</w:t>
      </w:r>
      <w:r w:rsidRPr="00EC1A78">
        <w:rPr>
          <w:rFonts w:eastAsiaTheme="minorHAnsi"/>
          <w:sz w:val="22"/>
          <w:szCs w:val="22"/>
          <w:lang w:eastAsia="en-US"/>
        </w:rPr>
        <w:t>шее распространение? В статье показана история возникновения брачного договора в различных европейских государствах, а также произведен анализ и сравнение особенностей и условий его закл</w:t>
      </w:r>
      <w:r w:rsidRPr="00EC1A78">
        <w:rPr>
          <w:rFonts w:eastAsiaTheme="minorHAnsi"/>
          <w:sz w:val="22"/>
          <w:szCs w:val="22"/>
          <w:lang w:eastAsia="en-US"/>
        </w:rPr>
        <w:t>ю</w:t>
      </w:r>
      <w:r w:rsidRPr="00EC1A78">
        <w:rPr>
          <w:rFonts w:eastAsiaTheme="minorHAnsi"/>
          <w:sz w:val="22"/>
          <w:szCs w:val="22"/>
          <w:lang w:eastAsia="en-US"/>
        </w:rPr>
        <w:t>чения.</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 xml:space="preserve">ABSTRACT: </w:t>
      </w:r>
      <w:r w:rsidRPr="00EC1A78">
        <w:rPr>
          <w:rFonts w:eastAsiaTheme="minorHAnsi"/>
          <w:color w:val="000000"/>
          <w:sz w:val="22"/>
          <w:szCs w:val="22"/>
          <w:shd w:val="clear" w:color="auto" w:fill="FFFFFF"/>
          <w:lang w:val="en-US" w:eastAsia="en-US"/>
        </w:rPr>
        <w:t>The world has enough distributed by the marriage contract. How he appeared and in which countries received the most widespread? The article shows the history of the marriage contract in various European countries, as well as the analysis and comparison of the characteristics and circumstances of its conclusion.</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брачный договор, расторжение брака, раздел имущества.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the contract of marriage, divorce, partition of prope</w:t>
      </w:r>
      <w:r w:rsidRPr="00EC1A78">
        <w:rPr>
          <w:rFonts w:eastAsiaTheme="minorHAnsi"/>
          <w:sz w:val="22"/>
          <w:szCs w:val="22"/>
          <w:lang w:val="en-US" w:eastAsia="en-US"/>
        </w:rPr>
        <w:t>r</w:t>
      </w:r>
      <w:r w:rsidRPr="00EC1A78">
        <w:rPr>
          <w:rFonts w:eastAsiaTheme="minorHAnsi"/>
          <w:sz w:val="22"/>
          <w:szCs w:val="22"/>
          <w:lang w:val="en-US" w:eastAsia="en-US"/>
        </w:rPr>
        <w:t>ty.</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Брачный договор – это юридически закрепленное соглашение между лицами, вступающими в брак [6], [7]. Такая форма договора встречается еще в Древнем Риме и Древней Греции [3]. Что касае</w:t>
      </w:r>
      <w:r w:rsidRPr="00EC1A78">
        <w:rPr>
          <w:rFonts w:eastAsiaTheme="minorHAnsi"/>
          <w:sz w:val="22"/>
          <w:szCs w:val="22"/>
          <w:lang w:eastAsia="en-US"/>
        </w:rPr>
        <w:t>т</w:t>
      </w:r>
      <w:r w:rsidRPr="00EC1A78">
        <w:rPr>
          <w:rFonts w:eastAsiaTheme="minorHAnsi"/>
          <w:sz w:val="22"/>
          <w:szCs w:val="22"/>
          <w:lang w:eastAsia="en-US"/>
        </w:rPr>
        <w:t>ся европейских стран, то в Англии вплоть до последней четверти Х</w:t>
      </w:r>
      <w:r w:rsidRPr="00EC1A78">
        <w:rPr>
          <w:rFonts w:eastAsiaTheme="minorHAnsi"/>
          <w:sz w:val="22"/>
          <w:szCs w:val="22"/>
          <w:lang w:val="en-US" w:eastAsia="en-US"/>
        </w:rPr>
        <w:t>I</w:t>
      </w:r>
      <w:r w:rsidRPr="00EC1A78">
        <w:rPr>
          <w:rFonts w:eastAsiaTheme="minorHAnsi"/>
          <w:sz w:val="22"/>
          <w:szCs w:val="22"/>
          <w:lang w:eastAsia="en-US"/>
        </w:rPr>
        <w:t>Х века вся собственность супругов была в распоряжении мужа, и только уже к началу ХХ века круг прав женщины начинает пост</w:t>
      </w:r>
      <w:r w:rsidRPr="00EC1A78">
        <w:rPr>
          <w:rFonts w:eastAsiaTheme="minorHAnsi"/>
          <w:sz w:val="22"/>
          <w:szCs w:val="22"/>
          <w:lang w:eastAsia="en-US"/>
        </w:rPr>
        <w:t>е</w:t>
      </w:r>
      <w:r w:rsidRPr="00EC1A78">
        <w:rPr>
          <w:rFonts w:eastAsiaTheme="minorHAnsi"/>
          <w:sz w:val="22"/>
          <w:szCs w:val="22"/>
          <w:lang w:eastAsia="en-US"/>
        </w:rPr>
        <w:lastRenderedPageBreak/>
        <w:t>пенно расширяться[4], [5]. В Польше был опыт заключения брачн</w:t>
      </w:r>
      <w:r w:rsidRPr="00EC1A78">
        <w:rPr>
          <w:rFonts w:eastAsiaTheme="minorHAnsi"/>
          <w:sz w:val="22"/>
          <w:szCs w:val="22"/>
          <w:lang w:eastAsia="en-US"/>
        </w:rPr>
        <w:t>о</w:t>
      </w:r>
      <w:r w:rsidRPr="00EC1A78">
        <w:rPr>
          <w:rFonts w:eastAsiaTheme="minorHAnsi"/>
          <w:sz w:val="22"/>
          <w:szCs w:val="22"/>
          <w:lang w:eastAsia="en-US"/>
        </w:rPr>
        <w:t>го договора перед самим бракосочетанием. Совершенно обратную ситуацию мы можем наблюдать в Германии. В этом государстве брачный контракт могут заключать только лица, уже состоявшие в браке [8]. Во Франции, несмотря на главенствующее положение мужчины в семье, брачный договор получает свое распространение уже в начале Х</w:t>
      </w:r>
      <w:r w:rsidRPr="00EC1A78">
        <w:rPr>
          <w:rFonts w:eastAsiaTheme="minorHAnsi"/>
          <w:sz w:val="22"/>
          <w:szCs w:val="22"/>
          <w:lang w:val="en-US" w:eastAsia="en-US"/>
        </w:rPr>
        <w:t>I</w:t>
      </w:r>
      <w:r w:rsidRPr="00EC1A78">
        <w:rPr>
          <w:rFonts w:eastAsiaTheme="minorHAnsi"/>
          <w:sz w:val="22"/>
          <w:szCs w:val="22"/>
          <w:lang w:eastAsia="en-US"/>
        </w:rPr>
        <w:t>Х века [9]. Условия контракта в данной стране не должны были ни коем образом ущемлять права и свободы его суб</w:t>
      </w:r>
      <w:r w:rsidRPr="00EC1A78">
        <w:rPr>
          <w:rFonts w:eastAsiaTheme="minorHAnsi"/>
          <w:sz w:val="22"/>
          <w:szCs w:val="22"/>
          <w:lang w:eastAsia="en-US"/>
        </w:rPr>
        <w:t>ъ</w:t>
      </w:r>
      <w:r w:rsidRPr="00EC1A78">
        <w:rPr>
          <w:rFonts w:eastAsiaTheme="minorHAnsi"/>
          <w:sz w:val="22"/>
          <w:szCs w:val="22"/>
          <w:lang w:eastAsia="en-US"/>
        </w:rPr>
        <w:t>ектов. Стоит отметить, что в семейном праве Франции и Германии есть как некоторые различия, так и общие немаловажные черты [11]. Так, например, в этих европейских государствах отсутствуют отдельные нормативные акты, регулирующие исключительно бра</w:t>
      </w:r>
      <w:r w:rsidRPr="00EC1A78">
        <w:rPr>
          <w:rFonts w:eastAsiaTheme="minorHAnsi"/>
          <w:sz w:val="22"/>
          <w:szCs w:val="22"/>
          <w:lang w:eastAsia="en-US"/>
        </w:rPr>
        <w:t>ч</w:t>
      </w:r>
      <w:r w:rsidRPr="00EC1A78">
        <w:rPr>
          <w:rFonts w:eastAsiaTheme="minorHAnsi"/>
          <w:sz w:val="22"/>
          <w:szCs w:val="22"/>
          <w:lang w:eastAsia="en-US"/>
        </w:rPr>
        <w:t>но–семейные отношения. Следует отметить, что в европейских странах брачным договором могут регулироваться как имуществе</w:t>
      </w:r>
      <w:r w:rsidRPr="00EC1A78">
        <w:rPr>
          <w:rFonts w:eastAsiaTheme="minorHAnsi"/>
          <w:sz w:val="22"/>
          <w:szCs w:val="22"/>
          <w:lang w:eastAsia="en-US"/>
        </w:rPr>
        <w:t>н</w:t>
      </w:r>
      <w:r w:rsidRPr="00EC1A78">
        <w:rPr>
          <w:rFonts w:eastAsiaTheme="minorHAnsi"/>
          <w:sz w:val="22"/>
          <w:szCs w:val="22"/>
          <w:lang w:eastAsia="en-US"/>
        </w:rPr>
        <w:t>ные, так и личные неимущественные отношения между супругами. Полагаем, что такое положение сложилось в результате рецепции римского частного права, где, как известно, брак рассматривался как договор.</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Как способ регулирования имущественных отношений между супругами, в брачный договор зарекомендовал себя положительно. Что послужило основанием для включения его в качестве самосто</w:t>
      </w:r>
      <w:r w:rsidRPr="00EC1A78">
        <w:rPr>
          <w:rFonts w:eastAsiaTheme="minorHAnsi"/>
          <w:sz w:val="22"/>
          <w:szCs w:val="22"/>
          <w:lang w:eastAsia="en-US"/>
        </w:rPr>
        <w:t>я</w:t>
      </w:r>
      <w:r w:rsidRPr="00EC1A78">
        <w:rPr>
          <w:rFonts w:eastAsiaTheme="minorHAnsi"/>
          <w:sz w:val="22"/>
          <w:szCs w:val="22"/>
          <w:lang w:eastAsia="en-US"/>
        </w:rPr>
        <w:t>тельного института в Семейный кодекс РФ. Однако, несмотря на существование брачного договора в СК РФ уже на протяжении 22 лет, должного распространения он так и не получил. Одной из пр</w:t>
      </w:r>
      <w:r w:rsidRPr="00EC1A78">
        <w:rPr>
          <w:rFonts w:eastAsiaTheme="minorHAnsi"/>
          <w:sz w:val="22"/>
          <w:szCs w:val="22"/>
          <w:lang w:eastAsia="en-US"/>
        </w:rPr>
        <w:t>и</w:t>
      </w:r>
      <w:r w:rsidRPr="00EC1A78">
        <w:rPr>
          <w:rFonts w:eastAsiaTheme="minorHAnsi"/>
          <w:sz w:val="22"/>
          <w:szCs w:val="22"/>
          <w:lang w:eastAsia="en-US"/>
        </w:rPr>
        <w:t>чин выступает резкое неприятие данного института РПЦ, которая обосновывает свою позицию, тем, что заключение брачного дог</w:t>
      </w:r>
      <w:r w:rsidRPr="00EC1A78">
        <w:rPr>
          <w:rFonts w:eastAsiaTheme="minorHAnsi"/>
          <w:sz w:val="22"/>
          <w:szCs w:val="22"/>
          <w:lang w:eastAsia="en-US"/>
        </w:rPr>
        <w:t>о</w:t>
      </w:r>
      <w:r w:rsidRPr="00EC1A78">
        <w:rPr>
          <w:rFonts w:eastAsiaTheme="minorHAnsi"/>
          <w:sz w:val="22"/>
          <w:szCs w:val="22"/>
          <w:lang w:eastAsia="en-US"/>
        </w:rPr>
        <w:t>вора противоречит естеству супружеских отношений и настраивает супругов на расторжение брака. Нельзя согласиться с такой позиц</w:t>
      </w:r>
      <w:r w:rsidRPr="00EC1A78">
        <w:rPr>
          <w:rFonts w:eastAsiaTheme="minorHAnsi"/>
          <w:sz w:val="22"/>
          <w:szCs w:val="22"/>
          <w:lang w:eastAsia="en-US"/>
        </w:rPr>
        <w:t>и</w:t>
      </w:r>
      <w:r w:rsidRPr="00EC1A78">
        <w:rPr>
          <w:rFonts w:eastAsiaTheme="minorHAnsi"/>
          <w:sz w:val="22"/>
          <w:szCs w:val="22"/>
          <w:lang w:eastAsia="en-US"/>
        </w:rPr>
        <w:t>ей, поскольку при заключении брачного договора стороны уверены в своем будущем и их отношения носят прозрачный характер.</w:t>
      </w:r>
    </w:p>
    <w:p w:rsidR="00EC1A78" w:rsidRPr="00EC1A78" w:rsidRDefault="00EC1A78" w:rsidP="00EC1A78">
      <w:pPr>
        <w:ind w:firstLine="425"/>
        <w:jc w:val="center"/>
        <w:rPr>
          <w:rFonts w:eastAsiaTheme="minorHAnsi"/>
          <w:sz w:val="22"/>
          <w:szCs w:val="22"/>
          <w:lang w:eastAsia="en-US"/>
        </w:rPr>
      </w:pPr>
    </w:p>
    <w:p w:rsidR="00EC1A78" w:rsidRPr="00EC1A78" w:rsidRDefault="00EC1A78" w:rsidP="00EC1A78">
      <w:pPr>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 Алиева Л.Р., Жумабекова К., Ридель Е. Расторжение брака в международном частном праве // Актуальные научные исследов</w:t>
      </w:r>
      <w:r w:rsidRPr="00EC1A78">
        <w:rPr>
          <w:rFonts w:eastAsiaTheme="minorHAnsi"/>
          <w:sz w:val="22"/>
          <w:szCs w:val="22"/>
          <w:lang w:eastAsia="en-US"/>
        </w:rPr>
        <w:t>а</w:t>
      </w:r>
      <w:r w:rsidRPr="00EC1A78">
        <w:rPr>
          <w:rFonts w:eastAsiaTheme="minorHAnsi"/>
          <w:sz w:val="22"/>
          <w:szCs w:val="22"/>
          <w:lang w:eastAsia="en-US"/>
        </w:rPr>
        <w:t xml:space="preserve">ния в современном мире. 2017. № 4–9 (24). </w:t>
      </w:r>
      <w:r w:rsidRPr="00EC1A78">
        <w:rPr>
          <w:rFonts w:eastAsiaTheme="minorHAnsi"/>
          <w:sz w:val="22"/>
          <w:szCs w:val="22"/>
          <w:shd w:val="clear" w:color="auto" w:fill="FFFFFF"/>
          <w:lang w:eastAsia="en-US"/>
        </w:rPr>
        <w:t>С. 18–22.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shd w:val="clear" w:color="auto" w:fill="FFFFFF"/>
          <w:lang w:eastAsia="en-US"/>
        </w:rPr>
        <w:t>2. Альбиков И.Р. Брачный договор по российскому и зарубе</w:t>
      </w:r>
      <w:r w:rsidRPr="00EC1A78">
        <w:rPr>
          <w:rFonts w:eastAsiaTheme="minorHAnsi"/>
          <w:sz w:val="22"/>
          <w:szCs w:val="22"/>
          <w:shd w:val="clear" w:color="auto" w:fill="FFFFFF"/>
          <w:lang w:eastAsia="en-US"/>
        </w:rPr>
        <w:t>ж</w:t>
      </w:r>
      <w:r w:rsidRPr="00EC1A78">
        <w:rPr>
          <w:rFonts w:eastAsiaTheme="minorHAnsi"/>
          <w:sz w:val="22"/>
          <w:szCs w:val="22"/>
          <w:shd w:val="clear" w:color="auto" w:fill="FFFFFF"/>
          <w:lang w:eastAsia="en-US"/>
        </w:rPr>
        <w:t>ному законодательству: сравнительно – правовой анализ // Нотар</w:t>
      </w:r>
      <w:r w:rsidRPr="00EC1A78">
        <w:rPr>
          <w:rFonts w:eastAsiaTheme="minorHAnsi"/>
          <w:sz w:val="22"/>
          <w:szCs w:val="22"/>
          <w:shd w:val="clear" w:color="auto" w:fill="FFFFFF"/>
          <w:lang w:eastAsia="en-US"/>
        </w:rPr>
        <w:t>и</w:t>
      </w:r>
      <w:r w:rsidRPr="00EC1A78">
        <w:rPr>
          <w:rFonts w:eastAsiaTheme="minorHAnsi"/>
          <w:sz w:val="22"/>
          <w:szCs w:val="22"/>
          <w:shd w:val="clear" w:color="auto" w:fill="FFFFFF"/>
          <w:lang w:eastAsia="en-US"/>
        </w:rPr>
        <w:t>ус. 2012. № 1. С. 22–24.</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lastRenderedPageBreak/>
        <w:t>3. Гущина Л.И., Епифанова Е.В. Государство и право зарубе</w:t>
      </w:r>
      <w:r w:rsidRPr="00EC1A78">
        <w:rPr>
          <w:rFonts w:eastAsiaTheme="minorHAnsi"/>
          <w:sz w:val="22"/>
          <w:szCs w:val="22"/>
          <w:lang w:eastAsia="en-US"/>
        </w:rPr>
        <w:t>ж</w:t>
      </w:r>
      <w:r w:rsidRPr="00EC1A78">
        <w:rPr>
          <w:rFonts w:eastAsiaTheme="minorHAnsi"/>
          <w:sz w:val="22"/>
          <w:szCs w:val="22"/>
          <w:lang w:eastAsia="en-US"/>
        </w:rPr>
        <w:t>ных стран. Вопросы истории. / Л. И. Гущина, Е. В. Епифанова. Москва, 2011. Сер. Теория и история государства и права</w:t>
      </w:r>
    </w:p>
    <w:p w:rsidR="00EC1A78" w:rsidRPr="00EC1A78" w:rsidRDefault="00EC1A78" w:rsidP="00EC1A78">
      <w:pPr>
        <w:shd w:val="clear" w:color="auto" w:fill="FFFFFF"/>
        <w:ind w:firstLine="426"/>
        <w:jc w:val="both"/>
        <w:rPr>
          <w:sz w:val="22"/>
          <w:szCs w:val="22"/>
        </w:rPr>
      </w:pPr>
      <w:r w:rsidRPr="00EC1A78">
        <w:rPr>
          <w:sz w:val="22"/>
          <w:szCs w:val="22"/>
        </w:rPr>
        <w:t>4. Епифанова Е.В., Павлисова Т.Е. Государственно–правовые концепции: история и современность / учебное пособие / Е. В. Еп</w:t>
      </w:r>
      <w:r w:rsidRPr="00EC1A78">
        <w:rPr>
          <w:sz w:val="22"/>
          <w:szCs w:val="22"/>
        </w:rPr>
        <w:t>и</w:t>
      </w:r>
      <w:r w:rsidRPr="00EC1A78">
        <w:rPr>
          <w:sz w:val="22"/>
          <w:szCs w:val="22"/>
        </w:rPr>
        <w:t>фанова, Т. Е. Павлисова. Москва, 2012. Сер. Теория и история гос</w:t>
      </w:r>
      <w:r w:rsidRPr="00EC1A78">
        <w:rPr>
          <w:sz w:val="22"/>
          <w:szCs w:val="22"/>
        </w:rPr>
        <w:t>у</w:t>
      </w:r>
      <w:r w:rsidRPr="00EC1A78">
        <w:rPr>
          <w:sz w:val="22"/>
          <w:szCs w:val="22"/>
        </w:rPr>
        <w:t>дарства и права.</w:t>
      </w:r>
    </w:p>
    <w:p w:rsidR="00EC1A78" w:rsidRPr="00EC1A78" w:rsidRDefault="00EC1A78" w:rsidP="00EC1A78">
      <w:pPr>
        <w:shd w:val="clear" w:color="auto" w:fill="FFFFFF"/>
        <w:ind w:firstLine="426"/>
        <w:jc w:val="both"/>
        <w:rPr>
          <w:sz w:val="22"/>
          <w:szCs w:val="22"/>
        </w:rPr>
      </w:pPr>
      <w:r w:rsidRPr="00EC1A78">
        <w:rPr>
          <w:sz w:val="22"/>
          <w:szCs w:val="22"/>
        </w:rPr>
        <w:t>5. Епифанова Е.В., Павлисова Т.Е. История политических и правовых учений. Рабочая тетрадь / Краснодар, 2013.</w:t>
      </w:r>
    </w:p>
    <w:p w:rsidR="00EC1A78" w:rsidRPr="00EC1A78" w:rsidRDefault="00EC1A78" w:rsidP="002B3A7B">
      <w:pPr>
        <w:shd w:val="clear" w:color="auto" w:fill="FFFFFF"/>
        <w:ind w:firstLine="426"/>
        <w:jc w:val="both"/>
        <w:rPr>
          <w:sz w:val="22"/>
          <w:szCs w:val="22"/>
        </w:rPr>
      </w:pPr>
      <w:r w:rsidRPr="00EC1A78">
        <w:rPr>
          <w:sz w:val="22"/>
          <w:szCs w:val="22"/>
        </w:rPr>
        <w:t>6. Основы права. / Гущина Л.И., Ембулаева Н.Ю., Епифанова Е.В., Лепешкина В., Михайлик А.А., Недилько Ю.В., Павлисова Т.Е.</w:t>
      </w:r>
      <w:r w:rsidR="002B3A7B">
        <w:rPr>
          <w:sz w:val="22"/>
          <w:szCs w:val="22"/>
        </w:rPr>
        <w:t xml:space="preserve"> </w:t>
      </w:r>
      <w:r w:rsidRPr="00EC1A78">
        <w:rPr>
          <w:sz w:val="22"/>
          <w:szCs w:val="22"/>
        </w:rPr>
        <w:t>Краснодар, 2015.</w:t>
      </w:r>
    </w:p>
    <w:p w:rsidR="00EC1A78" w:rsidRPr="00EC1A78" w:rsidRDefault="00EC1A78" w:rsidP="00EC1A78">
      <w:pPr>
        <w:shd w:val="clear" w:color="auto" w:fill="FFFFFF"/>
        <w:ind w:firstLine="426"/>
        <w:jc w:val="both"/>
        <w:rPr>
          <w:sz w:val="22"/>
          <w:szCs w:val="22"/>
        </w:rPr>
      </w:pPr>
      <w:r w:rsidRPr="00EC1A78">
        <w:rPr>
          <w:sz w:val="22"/>
          <w:szCs w:val="22"/>
        </w:rPr>
        <w:t>7. Правоведение (право, основы права): учебное пособие / Г</w:t>
      </w:r>
      <w:r w:rsidRPr="00EC1A78">
        <w:rPr>
          <w:sz w:val="22"/>
          <w:szCs w:val="22"/>
        </w:rPr>
        <w:t>у</w:t>
      </w:r>
      <w:r w:rsidRPr="00EC1A78">
        <w:rPr>
          <w:sz w:val="22"/>
          <w:szCs w:val="22"/>
        </w:rPr>
        <w:t>щина Л.И., Ембулаева Н.Ю., Епифанова Е.В., Лепешкина О.В., М</w:t>
      </w:r>
      <w:r w:rsidRPr="00EC1A78">
        <w:rPr>
          <w:sz w:val="22"/>
          <w:szCs w:val="22"/>
        </w:rPr>
        <w:t>и</w:t>
      </w:r>
      <w:r w:rsidRPr="00EC1A78">
        <w:rPr>
          <w:sz w:val="22"/>
          <w:szCs w:val="22"/>
        </w:rPr>
        <w:t xml:space="preserve">хайлик А.А., Недилько Ю.В., Павлисова Т.Е. Краснодар, 2015. </w:t>
      </w:r>
    </w:p>
    <w:p w:rsidR="00EC1A78" w:rsidRPr="00EC1A78" w:rsidRDefault="00EC1A78" w:rsidP="00EC1A78">
      <w:pPr>
        <w:shd w:val="clear" w:color="auto" w:fill="FFFFFF"/>
        <w:ind w:firstLine="426"/>
        <w:jc w:val="both"/>
        <w:rPr>
          <w:sz w:val="22"/>
          <w:szCs w:val="22"/>
        </w:rPr>
      </w:pPr>
      <w:r w:rsidRPr="00EC1A78">
        <w:rPr>
          <w:sz w:val="22"/>
          <w:szCs w:val="22"/>
        </w:rPr>
        <w:t>8. Юридические препятствия в реализации прав и законных и</w:t>
      </w:r>
      <w:r w:rsidRPr="00EC1A78">
        <w:rPr>
          <w:sz w:val="22"/>
          <w:szCs w:val="22"/>
        </w:rPr>
        <w:t>н</w:t>
      </w:r>
      <w:r w:rsidRPr="00EC1A78">
        <w:rPr>
          <w:sz w:val="22"/>
          <w:szCs w:val="22"/>
        </w:rPr>
        <w:t>тересов: проблемы теории и практики/  Абдрашитов В.М., Баринов С.В., Бойко П.А., Бражник Т.А., Брестер А.А., Васильев М.В., Вл</w:t>
      </w:r>
      <w:r w:rsidRPr="00EC1A78">
        <w:rPr>
          <w:sz w:val="22"/>
          <w:szCs w:val="22"/>
        </w:rPr>
        <w:t>а</w:t>
      </w:r>
      <w:r w:rsidRPr="00EC1A78">
        <w:rPr>
          <w:sz w:val="22"/>
          <w:szCs w:val="22"/>
        </w:rPr>
        <w:t>дыкина Т.А., Горбуль Ю.А., Демидов Н.В., Демин А.В., Дядюн К.В., Епифанова Е.В., Журавлев М.С., Зайцева Е.Р., Исаева А.А., Кожевников В.В., Кожевников О.А., Малько А.В., Малько Е.А., Могилевец О.М. и др. Сибирский федеральный университет, Сар</w:t>
      </w:r>
      <w:r w:rsidRPr="00EC1A78">
        <w:rPr>
          <w:sz w:val="22"/>
          <w:szCs w:val="22"/>
        </w:rPr>
        <w:t>а</w:t>
      </w:r>
      <w:r w:rsidRPr="00EC1A78">
        <w:rPr>
          <w:sz w:val="22"/>
          <w:szCs w:val="22"/>
        </w:rPr>
        <w:t>товский филиал Института государства и права Российской акад</w:t>
      </w:r>
      <w:r w:rsidRPr="00EC1A78">
        <w:rPr>
          <w:sz w:val="22"/>
          <w:szCs w:val="22"/>
        </w:rPr>
        <w:t>е</w:t>
      </w:r>
      <w:r w:rsidRPr="00EC1A78">
        <w:rPr>
          <w:sz w:val="22"/>
          <w:szCs w:val="22"/>
        </w:rPr>
        <w:t>мии наук, Автономная некоммерческая правозащитная организация «Правовой модус»; под редакцией В.Ю. Панченко, А.А. Петрова. Москва, 2015. Сер. Теория и история государства и права</w:t>
      </w:r>
    </w:p>
    <w:p w:rsidR="00EC1A78" w:rsidRPr="00EC1A78" w:rsidRDefault="00EC1A78" w:rsidP="00EC1A78">
      <w:pPr>
        <w:shd w:val="clear" w:color="auto" w:fill="FFFFFF"/>
        <w:ind w:firstLine="426"/>
        <w:jc w:val="both"/>
        <w:rPr>
          <w:sz w:val="22"/>
          <w:szCs w:val="22"/>
        </w:rPr>
      </w:pPr>
      <w:r w:rsidRPr="00EC1A78">
        <w:rPr>
          <w:sz w:val="22"/>
          <w:szCs w:val="22"/>
        </w:rPr>
        <w:t>9. История государства и права зарубежных стран / Гущина Л.И., Дашин А.В., Ембулаева Н.Ю., Епифанова Е.В., Лепешкина О.В., Михайлик А.А., Недилько Ю.В., Павлисова Т.Е., Шаповалов А.В., Адыгезалова Г.Э., Жбырь  О.Н. Учебник  для  бакалавров / Отв. ред. Е.В. Епифанова. Краснодар, 2017.</w:t>
      </w:r>
    </w:p>
    <w:p w:rsidR="00EC1A78" w:rsidRPr="00EC1A78" w:rsidRDefault="00EC1A78" w:rsidP="00EC1A78">
      <w:pPr>
        <w:shd w:val="clear" w:color="auto" w:fill="FFFFFF"/>
        <w:ind w:firstLine="426"/>
        <w:jc w:val="both"/>
        <w:rPr>
          <w:sz w:val="22"/>
          <w:szCs w:val="22"/>
        </w:rPr>
      </w:pPr>
      <w:r w:rsidRPr="00EC1A78">
        <w:rPr>
          <w:sz w:val="22"/>
          <w:szCs w:val="22"/>
        </w:rPr>
        <w:t>10. Епифанова Е.В., Димитрияди Е. Влияние религиозных норм, норм традиций, морали, нравственности на брачно–семейные отношения в современной Индии // Очерки новейшей камералист</w:t>
      </w:r>
      <w:r w:rsidRPr="00EC1A78">
        <w:rPr>
          <w:sz w:val="22"/>
          <w:szCs w:val="22"/>
        </w:rPr>
        <w:t>и</w:t>
      </w:r>
      <w:r w:rsidRPr="00EC1A78">
        <w:rPr>
          <w:sz w:val="22"/>
          <w:szCs w:val="22"/>
        </w:rPr>
        <w:t>ки. 2017. № 1. С. 30–32.</w:t>
      </w:r>
    </w:p>
    <w:p w:rsidR="00EC1A78" w:rsidRPr="00EC1A78" w:rsidRDefault="00EC1A78" w:rsidP="00EC1A78">
      <w:pPr>
        <w:shd w:val="clear" w:color="auto" w:fill="FFFFFF"/>
        <w:ind w:firstLine="426"/>
        <w:jc w:val="both"/>
        <w:rPr>
          <w:sz w:val="22"/>
          <w:szCs w:val="22"/>
        </w:rPr>
      </w:pPr>
      <w:r w:rsidRPr="00EC1A78">
        <w:rPr>
          <w:sz w:val="22"/>
          <w:szCs w:val="22"/>
        </w:rPr>
        <w:t>11. Лепешкина О.В. Международно–правовой компонент в с</w:t>
      </w:r>
      <w:r w:rsidRPr="00EC1A78">
        <w:rPr>
          <w:sz w:val="22"/>
          <w:szCs w:val="22"/>
        </w:rPr>
        <w:t>и</w:t>
      </w:r>
      <w:r w:rsidRPr="00EC1A78">
        <w:rPr>
          <w:sz w:val="22"/>
          <w:szCs w:val="22"/>
        </w:rPr>
        <w:t>стеме российского права: проблемы доктринирования// Очерки н</w:t>
      </w:r>
      <w:r w:rsidRPr="00EC1A78">
        <w:rPr>
          <w:sz w:val="22"/>
          <w:szCs w:val="22"/>
        </w:rPr>
        <w:t>о</w:t>
      </w:r>
      <w:r w:rsidRPr="00EC1A78">
        <w:rPr>
          <w:sz w:val="22"/>
          <w:szCs w:val="22"/>
        </w:rPr>
        <w:t>вейшей камералистики. 2016. № 2. С. 66–69.</w:t>
      </w:r>
    </w:p>
    <w:p w:rsidR="00EC1A78" w:rsidRPr="00EC1A78" w:rsidRDefault="00EC1A78" w:rsidP="00EC1A78">
      <w:pPr>
        <w:shd w:val="clear" w:color="auto" w:fill="FFFFFF"/>
        <w:ind w:firstLine="426"/>
        <w:jc w:val="both"/>
        <w:rPr>
          <w:sz w:val="22"/>
          <w:szCs w:val="22"/>
        </w:rPr>
      </w:pPr>
      <w:r w:rsidRPr="00EC1A78">
        <w:rPr>
          <w:sz w:val="22"/>
          <w:szCs w:val="22"/>
        </w:rPr>
        <w:lastRenderedPageBreak/>
        <w:t>12. Левушкин А.Н. Институт брачного договора в Российской Федерации, других государствах – участниках Содружества Нез</w:t>
      </w:r>
      <w:r w:rsidRPr="00EC1A78">
        <w:rPr>
          <w:sz w:val="22"/>
          <w:szCs w:val="22"/>
        </w:rPr>
        <w:t>а</w:t>
      </w:r>
      <w:r w:rsidRPr="00EC1A78">
        <w:rPr>
          <w:sz w:val="22"/>
          <w:szCs w:val="22"/>
        </w:rPr>
        <w:t>висимых Государств и Балтии: сравнительно–правовое исследов</w:t>
      </w:r>
      <w:r w:rsidRPr="00EC1A78">
        <w:rPr>
          <w:sz w:val="22"/>
          <w:szCs w:val="22"/>
        </w:rPr>
        <w:t>а</w:t>
      </w:r>
      <w:r w:rsidRPr="00EC1A78">
        <w:rPr>
          <w:sz w:val="22"/>
          <w:szCs w:val="22"/>
        </w:rPr>
        <w:t>ние. Монография / Ульяновский государственный университет; О. Ю. 7. Ильина; Т. В. Шершень . Ульяновск, 2012.</w:t>
      </w:r>
    </w:p>
    <w:p w:rsidR="00EC1A78" w:rsidRPr="00EC1A78" w:rsidRDefault="00EC1A78" w:rsidP="00EC1A78">
      <w:pPr>
        <w:ind w:firstLine="426"/>
        <w:jc w:val="both"/>
        <w:rPr>
          <w:rFonts w:eastAsiaTheme="minorHAnsi"/>
          <w:sz w:val="22"/>
          <w:szCs w:val="22"/>
          <w:lang w:eastAsia="en-US"/>
        </w:rPr>
      </w:pPr>
      <w:r w:rsidRPr="00EC1A78">
        <w:rPr>
          <w:rFonts w:eastAsiaTheme="minorHAnsi"/>
          <w:sz w:val="22"/>
          <w:szCs w:val="22"/>
          <w:lang w:eastAsia="en-US"/>
        </w:rPr>
        <w:t>13. Свирепова К.А. Институт брачного договора в России и в зарубежных странах // Молодой ученый. 2016. № 25 (129). С. 504–506.</w:t>
      </w:r>
    </w:p>
    <w:p w:rsidR="00EC1A78" w:rsidRDefault="00EC1A78" w:rsidP="00EC1A78">
      <w:pPr>
        <w:jc w:val="both"/>
        <w:rPr>
          <w:rFonts w:eastAsiaTheme="minorHAnsi"/>
          <w:sz w:val="22"/>
          <w:szCs w:val="22"/>
          <w:lang w:eastAsia="en-US"/>
        </w:rPr>
      </w:pPr>
    </w:p>
    <w:p w:rsidR="00EE657B" w:rsidRDefault="00EE657B" w:rsidP="00106384">
      <w:pPr>
        <w:rPr>
          <w:rFonts w:eastAsiaTheme="minorHAnsi"/>
          <w:sz w:val="22"/>
          <w:szCs w:val="22"/>
          <w:lang w:eastAsia="en-US"/>
        </w:rPr>
      </w:pPr>
    </w:p>
    <w:p w:rsidR="002B3A7B" w:rsidRPr="00EC1A78" w:rsidRDefault="002B3A7B" w:rsidP="00106384">
      <w:pPr>
        <w:rPr>
          <w:rFonts w:eastAsiaTheme="minorHAnsi"/>
          <w:sz w:val="22"/>
          <w:szCs w:val="22"/>
          <w:lang w:eastAsia="en-US"/>
        </w:rPr>
      </w:pPr>
    </w:p>
    <w:p w:rsidR="00EC1A78" w:rsidRPr="00EC1A78" w:rsidRDefault="00EC1A78" w:rsidP="00EC1A78">
      <w:pPr>
        <w:rPr>
          <w:rFonts w:eastAsiaTheme="minorHAnsi"/>
          <w:sz w:val="22"/>
          <w:szCs w:val="24"/>
          <w:lang w:eastAsia="en-US"/>
        </w:rPr>
      </w:pPr>
      <w:r w:rsidRPr="00EC1A78">
        <w:rPr>
          <w:rFonts w:eastAsiaTheme="minorHAnsi"/>
          <w:sz w:val="22"/>
          <w:szCs w:val="24"/>
          <w:lang w:eastAsia="en-US"/>
        </w:rPr>
        <w:t>УДК 633.854.78:631.559 (470.620)</w:t>
      </w:r>
    </w:p>
    <w:p w:rsidR="00EC1A78" w:rsidRPr="00EC1A78" w:rsidRDefault="00EC1A78" w:rsidP="00EC1A78">
      <w:pPr>
        <w:jc w:val="center"/>
        <w:rPr>
          <w:rFonts w:eastAsiaTheme="minorHAnsi"/>
          <w:b/>
          <w:sz w:val="22"/>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 xml:space="preserve">Мотив, как неотъемлемый признак преступления </w:t>
      </w: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в убийстве матерью новорожденного ребенка</w:t>
      </w:r>
    </w:p>
    <w:p w:rsidR="00EC1A78" w:rsidRPr="00EC1A78" w:rsidRDefault="00EC1A78" w:rsidP="00EC1A78">
      <w:pPr>
        <w:jc w:val="center"/>
        <w:rPr>
          <w:b/>
          <w:sz w:val="24"/>
          <w:szCs w:val="24"/>
          <w:lang w:val="en-US" w:eastAsia="en-US"/>
        </w:rPr>
      </w:pPr>
      <w:r w:rsidRPr="00EC1A78">
        <w:rPr>
          <w:b/>
          <w:sz w:val="24"/>
          <w:szCs w:val="24"/>
          <w:lang w:val="en-US" w:eastAsia="en-US"/>
        </w:rPr>
        <w:t xml:space="preserve">Motiv, as an intolerable sign of the crime in the murder </w:t>
      </w:r>
    </w:p>
    <w:p w:rsidR="00EC1A78" w:rsidRPr="00EC1A78" w:rsidRDefault="00EC1A78" w:rsidP="00EC1A78">
      <w:pPr>
        <w:jc w:val="center"/>
        <w:rPr>
          <w:b/>
          <w:sz w:val="24"/>
          <w:szCs w:val="24"/>
          <w:lang w:val="en-US" w:eastAsia="en-US"/>
        </w:rPr>
      </w:pPr>
      <w:r w:rsidRPr="00EC1A78">
        <w:rPr>
          <w:b/>
          <w:sz w:val="24"/>
          <w:szCs w:val="24"/>
          <w:lang w:val="en-US" w:eastAsia="en-US"/>
        </w:rPr>
        <w:t>of the mother of a newborn child</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Шинкарев А.</w:t>
      </w:r>
      <w:r w:rsidR="00EE657B">
        <w:rPr>
          <w:rFonts w:eastAsiaTheme="minorHAnsi"/>
          <w:sz w:val="22"/>
          <w:szCs w:val="22"/>
          <w:lang w:eastAsia="en-US"/>
        </w:rPr>
        <w:t xml:space="preserve"> </w:t>
      </w:r>
      <w:r w:rsidRPr="00EC1A78">
        <w:rPr>
          <w:rFonts w:eastAsiaTheme="minorHAnsi"/>
          <w:sz w:val="22"/>
          <w:szCs w:val="22"/>
          <w:lang w:eastAsia="en-US"/>
        </w:rPr>
        <w:t>С.,</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2–го курса юридического факультета</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Картавченко В.</w:t>
      </w:r>
      <w:r w:rsidR="00EE657B">
        <w:rPr>
          <w:rFonts w:eastAsiaTheme="minorHAnsi"/>
          <w:sz w:val="22"/>
          <w:szCs w:val="22"/>
          <w:lang w:eastAsia="en-US"/>
        </w:rPr>
        <w:t xml:space="preserve"> </w:t>
      </w:r>
      <w:r w:rsidRPr="00EC1A78">
        <w:rPr>
          <w:rFonts w:eastAsiaTheme="minorHAnsi"/>
          <w:sz w:val="22"/>
          <w:szCs w:val="22"/>
          <w:lang w:eastAsia="en-US"/>
        </w:rPr>
        <w:t>В.,</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доцент кафедры уголовного права </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 xml:space="preserve">Кубанский государственный аграрный </w:t>
      </w:r>
    </w:p>
    <w:p w:rsidR="00EC1A78" w:rsidRPr="00EC1A78" w:rsidRDefault="00EC1A78" w:rsidP="00EC1A78">
      <w:pPr>
        <w:ind w:firstLine="567"/>
        <w:jc w:val="right"/>
        <w:rPr>
          <w:rFonts w:eastAsiaTheme="minorHAnsi"/>
          <w:sz w:val="22"/>
          <w:szCs w:val="22"/>
          <w:lang w:eastAsia="en-US"/>
        </w:rPr>
      </w:pPr>
      <w:r w:rsidRPr="00EC1A78">
        <w:rPr>
          <w:rFonts w:eastAsiaTheme="minorHAnsi"/>
          <w:sz w:val="22"/>
          <w:szCs w:val="22"/>
          <w:lang w:eastAsia="en-US"/>
        </w:rPr>
        <w:t>университет им. И.</w:t>
      </w:r>
      <w:r w:rsidR="00EE657B">
        <w:rPr>
          <w:rFonts w:eastAsiaTheme="minorHAnsi"/>
          <w:sz w:val="22"/>
          <w:szCs w:val="22"/>
          <w:lang w:eastAsia="en-US"/>
        </w:rPr>
        <w:t xml:space="preserve"> </w:t>
      </w:r>
      <w:r w:rsidRPr="00EC1A78">
        <w:rPr>
          <w:rFonts w:eastAsiaTheme="minorHAnsi"/>
          <w:sz w:val="22"/>
          <w:szCs w:val="22"/>
          <w:lang w:eastAsia="en-US"/>
        </w:rPr>
        <w:t>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sz w:val="22"/>
          <w:szCs w:val="22"/>
          <w:lang w:eastAsia="en-US"/>
        </w:rPr>
      </w:pPr>
      <w:r w:rsidRPr="00EC1A78">
        <w:rPr>
          <w:sz w:val="22"/>
          <w:szCs w:val="22"/>
          <w:lang w:eastAsia="en-US"/>
        </w:rPr>
        <w:t>АННОТАЦИЯ:</w:t>
      </w:r>
      <w:r w:rsidRPr="00EC1A78">
        <w:rPr>
          <w:b/>
          <w:i/>
          <w:sz w:val="22"/>
          <w:szCs w:val="22"/>
          <w:lang w:eastAsia="en-US"/>
        </w:rPr>
        <w:t xml:space="preserve"> </w:t>
      </w:r>
      <w:r w:rsidRPr="00EC1A78">
        <w:rPr>
          <w:sz w:val="22"/>
          <w:szCs w:val="22"/>
          <w:lang w:eastAsia="en-US"/>
        </w:rPr>
        <w:t>статья рассматривает и анализирует основные мотивы убийства матерью новорожденного ребенка. Дается сист</w:t>
      </w:r>
      <w:r w:rsidRPr="00EC1A78">
        <w:rPr>
          <w:sz w:val="22"/>
          <w:szCs w:val="22"/>
          <w:lang w:eastAsia="en-US"/>
        </w:rPr>
        <w:t>е</w:t>
      </w:r>
      <w:r w:rsidRPr="00EC1A78">
        <w:rPr>
          <w:sz w:val="22"/>
          <w:szCs w:val="22"/>
          <w:lang w:eastAsia="en-US"/>
        </w:rPr>
        <w:t xml:space="preserve">матизация данных мотивов на основе изучения судебной практики, а также подробное описание данных мотивов. </w:t>
      </w:r>
    </w:p>
    <w:p w:rsidR="00EC1A78" w:rsidRPr="00EC1A78" w:rsidRDefault="00EC1A78" w:rsidP="00EC1A78">
      <w:pPr>
        <w:ind w:firstLine="425"/>
        <w:jc w:val="both"/>
        <w:rPr>
          <w:sz w:val="22"/>
          <w:szCs w:val="22"/>
          <w:lang w:val="en-US" w:eastAsia="en-US"/>
        </w:rPr>
      </w:pPr>
      <w:r w:rsidRPr="00EC1A78">
        <w:rPr>
          <w:sz w:val="22"/>
          <w:szCs w:val="22"/>
          <w:lang w:val="en-US" w:eastAsia="en-US"/>
        </w:rPr>
        <w:t xml:space="preserve">ABSTRACT: The article examines and analyzes the main motives for killing the mother of a newborn child. The systematization of these motives is based on the study of judicial practice, as well as a detailed description of these motives. </w:t>
      </w:r>
    </w:p>
    <w:p w:rsidR="00EC1A78" w:rsidRPr="00EC1A78" w:rsidRDefault="00EC1A78" w:rsidP="00EC1A78">
      <w:pPr>
        <w:ind w:firstLine="425"/>
        <w:jc w:val="both"/>
        <w:rPr>
          <w:sz w:val="22"/>
          <w:szCs w:val="22"/>
          <w:lang w:eastAsia="en-US"/>
        </w:rPr>
      </w:pPr>
      <w:r w:rsidRPr="00EC1A78">
        <w:rPr>
          <w:sz w:val="22"/>
          <w:szCs w:val="22"/>
          <w:lang w:eastAsia="en-US"/>
        </w:rPr>
        <w:t>КЛЮЧЕВЫЕ СЛОВА: мать, убийство, новорожденный, мотив, законодательство, судебная практика.</w:t>
      </w:r>
    </w:p>
    <w:p w:rsidR="00EC1A78" w:rsidRPr="00EC1A78" w:rsidRDefault="00EC1A78" w:rsidP="00EC1A78">
      <w:pPr>
        <w:ind w:firstLine="425"/>
        <w:jc w:val="both"/>
        <w:rPr>
          <w:sz w:val="22"/>
          <w:szCs w:val="22"/>
          <w:lang w:val="en-US" w:eastAsia="en-US"/>
        </w:rPr>
      </w:pPr>
      <w:r w:rsidRPr="00EC1A78">
        <w:rPr>
          <w:sz w:val="22"/>
          <w:szCs w:val="22"/>
          <w:lang w:val="en-US" w:eastAsia="en-US"/>
        </w:rPr>
        <w:t>KEYWORDS: mother, murder, newborn, motive, legislation, jud</w:t>
      </w:r>
      <w:r w:rsidRPr="00EC1A78">
        <w:rPr>
          <w:sz w:val="22"/>
          <w:szCs w:val="22"/>
          <w:lang w:val="en-US" w:eastAsia="en-US"/>
        </w:rPr>
        <w:t>i</w:t>
      </w:r>
      <w:r w:rsidRPr="00EC1A78">
        <w:rPr>
          <w:sz w:val="22"/>
          <w:szCs w:val="22"/>
          <w:lang w:val="en-US" w:eastAsia="en-US"/>
        </w:rPr>
        <w:t>cial practice.</w:t>
      </w:r>
    </w:p>
    <w:p w:rsidR="00EC1A78" w:rsidRPr="00EC1A78" w:rsidRDefault="00EC1A78" w:rsidP="00EC1A78">
      <w:pPr>
        <w:ind w:firstLine="425"/>
        <w:jc w:val="both"/>
        <w:rPr>
          <w: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Известный факт, что во время и после родов, мать ребенка находится в состоянии, близкому к такому </w:t>
      </w:r>
      <w:r w:rsidR="00EE657B">
        <w:rPr>
          <w:rFonts w:eastAsiaTheme="minorHAnsi"/>
          <w:sz w:val="22"/>
          <w:szCs w:val="22"/>
          <w:lang w:eastAsia="en-US"/>
        </w:rPr>
        <w:t xml:space="preserve">понятию в уголовном праве, как </w:t>
      </w:r>
      <w:r w:rsidRPr="00EC1A78">
        <w:rPr>
          <w:rFonts w:eastAsiaTheme="minorHAnsi"/>
          <w:sz w:val="22"/>
          <w:szCs w:val="22"/>
          <w:lang w:eastAsia="en-US"/>
        </w:rPr>
        <w:t>психическое состояния лица, способности которого ос</w:t>
      </w:r>
      <w:r w:rsidRPr="00EC1A78">
        <w:rPr>
          <w:rFonts w:eastAsiaTheme="minorHAnsi"/>
          <w:sz w:val="22"/>
          <w:szCs w:val="22"/>
          <w:lang w:eastAsia="en-US"/>
        </w:rPr>
        <w:t>о</w:t>
      </w:r>
      <w:r w:rsidRPr="00EC1A78">
        <w:rPr>
          <w:rFonts w:eastAsiaTheme="minorHAnsi"/>
          <w:sz w:val="22"/>
          <w:szCs w:val="22"/>
          <w:lang w:eastAsia="en-US"/>
        </w:rPr>
        <w:t>знавать характер и общественную опасность своих действий или руководить ими ограничены. Такое психическое расстройство как раз и вызвано родами, для женщины роды это огромный стресс не только для тела, но и для психики. В данном случае, такие мотивы подталкивают матерей совершать такое жуткое преступления, как убийство своих новорожденных детей. Рассмотрев множество пр</w:t>
      </w:r>
      <w:r w:rsidRPr="00EC1A78">
        <w:rPr>
          <w:rFonts w:eastAsiaTheme="minorHAnsi"/>
          <w:sz w:val="22"/>
          <w:szCs w:val="22"/>
          <w:lang w:eastAsia="en-US"/>
        </w:rPr>
        <w:t>и</w:t>
      </w:r>
      <w:r w:rsidRPr="00EC1A78">
        <w:rPr>
          <w:rFonts w:eastAsiaTheme="minorHAnsi"/>
          <w:sz w:val="22"/>
          <w:szCs w:val="22"/>
          <w:lang w:eastAsia="en-US"/>
        </w:rPr>
        <w:t>говоров по ст. 106 УК РФ мы выявили ряд определенных мотивов, по которым можно разделить всю судебную практику по ст. 106 УК РФ:</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плохое материальное положение семьи, в которой рождается ребенок;</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боязнь порицания со стороны родственников и общественн</w:t>
      </w:r>
      <w:r w:rsidRPr="00EC1A78">
        <w:rPr>
          <w:rFonts w:eastAsiaTheme="minorHAnsi"/>
          <w:sz w:val="22"/>
          <w:szCs w:val="22"/>
          <w:lang w:eastAsia="en-US"/>
        </w:rPr>
        <w:t>о</w:t>
      </w:r>
      <w:r w:rsidRPr="00EC1A78">
        <w:rPr>
          <w:rFonts w:eastAsiaTheme="minorHAnsi"/>
          <w:sz w:val="22"/>
          <w:szCs w:val="22"/>
          <w:lang w:eastAsia="en-US"/>
        </w:rPr>
        <w:t>сти;</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другие мотивы, которые не входят не в одну из перечисле</w:t>
      </w:r>
      <w:r w:rsidRPr="00EC1A78">
        <w:rPr>
          <w:rFonts w:eastAsiaTheme="minorHAnsi"/>
          <w:sz w:val="22"/>
          <w:szCs w:val="22"/>
          <w:lang w:eastAsia="en-US"/>
        </w:rPr>
        <w:t>н</w:t>
      </w:r>
      <w:r w:rsidRPr="00EC1A78">
        <w:rPr>
          <w:rFonts w:eastAsiaTheme="minorHAnsi"/>
          <w:sz w:val="22"/>
          <w:szCs w:val="22"/>
          <w:lang w:eastAsia="en-US"/>
        </w:rPr>
        <w:t>ных категорий.</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 xml:space="preserve">Данная классификация мотивов совершения преступления, на наш взгляд, является необходимой в современном обществе. Это позволит по–другому взглянуть на это преступление. [1, с.89].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Одним из самых распространенных случаев, где происходят данные преступления, являются семьи, которые не способны восп</w:t>
      </w:r>
      <w:r w:rsidRPr="00EC1A78">
        <w:rPr>
          <w:rFonts w:eastAsiaTheme="minorHAnsi"/>
          <w:sz w:val="22"/>
          <w:szCs w:val="22"/>
          <w:lang w:eastAsia="en-US"/>
        </w:rPr>
        <w:t>и</w:t>
      </w:r>
      <w:r w:rsidRPr="00EC1A78">
        <w:rPr>
          <w:rFonts w:eastAsiaTheme="minorHAnsi"/>
          <w:sz w:val="22"/>
          <w:szCs w:val="22"/>
          <w:lang w:eastAsia="en-US"/>
        </w:rPr>
        <w:t>тать и поддерживать новорожденного ребенка. Часто такие семьи ведут аморальный образ жизни и не имеют желания заботиться о ребенке. Например, Пушилина в домашних условиях родила живого ребенка мужского пола и перерезала ножом пуповину. Не желая заниматься уходом за ребенком и его воспитанием, она сразу же после родов, несколько раз сдавила шею ребенка двумя руками, от чего ребенок захрипел и скончался [2]. Одним из возможных реш</w:t>
      </w:r>
      <w:r w:rsidRPr="00EC1A78">
        <w:rPr>
          <w:rFonts w:eastAsiaTheme="minorHAnsi"/>
          <w:sz w:val="22"/>
          <w:szCs w:val="22"/>
          <w:lang w:eastAsia="en-US"/>
        </w:rPr>
        <w:t>е</w:t>
      </w:r>
      <w:r w:rsidRPr="00EC1A78">
        <w:rPr>
          <w:rFonts w:eastAsiaTheme="minorHAnsi"/>
          <w:sz w:val="22"/>
          <w:szCs w:val="22"/>
          <w:lang w:eastAsia="en-US"/>
        </w:rPr>
        <w:t>нием проблемы является обязательная постановка на учет  бер</w:t>
      </w:r>
      <w:r w:rsidRPr="00EC1A78">
        <w:rPr>
          <w:rFonts w:eastAsiaTheme="minorHAnsi"/>
          <w:sz w:val="22"/>
          <w:szCs w:val="22"/>
          <w:lang w:eastAsia="en-US"/>
        </w:rPr>
        <w:t>е</w:t>
      </w:r>
      <w:r w:rsidRPr="00EC1A78">
        <w:rPr>
          <w:rFonts w:eastAsiaTheme="minorHAnsi"/>
          <w:sz w:val="22"/>
          <w:szCs w:val="22"/>
          <w:lang w:eastAsia="en-US"/>
        </w:rPr>
        <w:t xml:space="preserve">менных женщин в медицинские учреждения, а также обязательный мониторинг родившихся детей в первые две недели.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Боязнь порицания со стороны родственников и общественн</w:t>
      </w:r>
      <w:r w:rsidRPr="00EC1A78">
        <w:rPr>
          <w:rFonts w:eastAsiaTheme="minorHAnsi"/>
          <w:sz w:val="22"/>
          <w:szCs w:val="22"/>
          <w:lang w:eastAsia="en-US"/>
        </w:rPr>
        <w:t>о</w:t>
      </w:r>
      <w:r w:rsidRPr="00EC1A78">
        <w:rPr>
          <w:rFonts w:eastAsiaTheme="minorHAnsi"/>
          <w:sz w:val="22"/>
          <w:szCs w:val="22"/>
          <w:lang w:eastAsia="en-US"/>
        </w:rPr>
        <w:t>сти. Данная причина имеет тенденцию на увеличения в совреме</w:t>
      </w:r>
      <w:r w:rsidRPr="00EC1A78">
        <w:rPr>
          <w:rFonts w:eastAsiaTheme="minorHAnsi"/>
          <w:sz w:val="22"/>
          <w:szCs w:val="22"/>
          <w:lang w:eastAsia="en-US"/>
        </w:rPr>
        <w:t>н</w:t>
      </w:r>
      <w:r w:rsidRPr="00EC1A78">
        <w:rPr>
          <w:rFonts w:eastAsiaTheme="minorHAnsi"/>
          <w:sz w:val="22"/>
          <w:szCs w:val="22"/>
          <w:lang w:eastAsia="en-US"/>
        </w:rPr>
        <w:t>ном обществе. Люди в последнее время зациклены на том, как они выглядят со стороны окружающих, и иногда это доходит до кра</w:t>
      </w:r>
      <w:r w:rsidRPr="00EC1A78">
        <w:rPr>
          <w:rFonts w:eastAsiaTheme="minorHAnsi"/>
          <w:sz w:val="22"/>
          <w:szCs w:val="22"/>
          <w:lang w:eastAsia="en-US"/>
        </w:rPr>
        <w:t>й</w:t>
      </w:r>
      <w:r w:rsidRPr="00EC1A78">
        <w:rPr>
          <w:rFonts w:eastAsiaTheme="minorHAnsi"/>
          <w:sz w:val="22"/>
          <w:szCs w:val="22"/>
          <w:lang w:eastAsia="en-US"/>
        </w:rPr>
        <w:lastRenderedPageBreak/>
        <w:t>ностей. Такие личности боятся «упасть» в глазах общества и этот  страх толкает их на совершение любых поступков, в том числе и убийство. Со стороны нормотворчества данную причину невозмо</w:t>
      </w:r>
      <w:r w:rsidRPr="00EC1A78">
        <w:rPr>
          <w:rFonts w:eastAsiaTheme="minorHAnsi"/>
          <w:sz w:val="22"/>
          <w:szCs w:val="22"/>
          <w:lang w:eastAsia="en-US"/>
        </w:rPr>
        <w:t>ж</w:t>
      </w:r>
      <w:r w:rsidRPr="00EC1A78">
        <w:rPr>
          <w:rFonts w:eastAsiaTheme="minorHAnsi"/>
          <w:sz w:val="22"/>
          <w:szCs w:val="22"/>
          <w:lang w:eastAsia="en-US"/>
        </w:rPr>
        <w:t xml:space="preserve">но решить, это причина больше исходит от семьи, в которой растет данный индивид.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Другие мотивы. В данную категорию отнесены те мотивы, к</w:t>
      </w:r>
      <w:r w:rsidRPr="00EC1A78">
        <w:rPr>
          <w:rFonts w:eastAsiaTheme="minorHAnsi"/>
          <w:sz w:val="22"/>
          <w:szCs w:val="22"/>
          <w:lang w:eastAsia="en-US"/>
        </w:rPr>
        <w:t>о</w:t>
      </w:r>
      <w:r w:rsidRPr="00EC1A78">
        <w:rPr>
          <w:rFonts w:eastAsiaTheme="minorHAnsi"/>
          <w:sz w:val="22"/>
          <w:szCs w:val="22"/>
          <w:lang w:eastAsia="en-US"/>
        </w:rPr>
        <w:t>торые встречаются в основном в семейных ссорах и конфликтах. В послеродовой период, матери являются особо эмоциональными, что приводит в конечном итоге к возникновению конфликтных ситу</w:t>
      </w:r>
      <w:r w:rsidRPr="00EC1A78">
        <w:rPr>
          <w:rFonts w:eastAsiaTheme="minorHAnsi"/>
          <w:sz w:val="22"/>
          <w:szCs w:val="22"/>
          <w:lang w:eastAsia="en-US"/>
        </w:rPr>
        <w:t>а</w:t>
      </w:r>
      <w:r w:rsidRPr="00EC1A78">
        <w:rPr>
          <w:rFonts w:eastAsiaTheme="minorHAnsi"/>
          <w:sz w:val="22"/>
          <w:szCs w:val="22"/>
          <w:lang w:eastAsia="en-US"/>
        </w:rPr>
        <w:t>ций со своими родными и близкими. Например, 5 октября 2011 года между Ражиной О.И. и К. на почве личных неприязненных отнош</w:t>
      </w:r>
      <w:r w:rsidRPr="00EC1A78">
        <w:rPr>
          <w:rFonts w:eastAsiaTheme="minorHAnsi"/>
          <w:sz w:val="22"/>
          <w:szCs w:val="22"/>
          <w:lang w:eastAsia="en-US"/>
        </w:rPr>
        <w:t>е</w:t>
      </w:r>
      <w:r w:rsidRPr="00EC1A78">
        <w:rPr>
          <w:rFonts w:eastAsiaTheme="minorHAnsi"/>
          <w:sz w:val="22"/>
          <w:szCs w:val="22"/>
          <w:lang w:eastAsia="en-US"/>
        </w:rPr>
        <w:t>ний произошла ссора, в ходе которой, Ражина О.И., испытывая об</w:t>
      </w:r>
      <w:r w:rsidRPr="00EC1A78">
        <w:rPr>
          <w:rFonts w:eastAsiaTheme="minorHAnsi"/>
          <w:sz w:val="22"/>
          <w:szCs w:val="22"/>
          <w:lang w:eastAsia="en-US"/>
        </w:rPr>
        <w:t>и</w:t>
      </w:r>
      <w:r w:rsidRPr="00EC1A78">
        <w:rPr>
          <w:rFonts w:eastAsiaTheme="minorHAnsi"/>
          <w:sz w:val="22"/>
          <w:szCs w:val="22"/>
          <w:lang w:eastAsia="en-US"/>
        </w:rPr>
        <w:t>ду за высказанные в ее адрес оскорбления, решила с целью отмщ</w:t>
      </w:r>
      <w:r w:rsidRPr="00EC1A78">
        <w:rPr>
          <w:rFonts w:eastAsiaTheme="minorHAnsi"/>
          <w:sz w:val="22"/>
          <w:szCs w:val="22"/>
          <w:lang w:eastAsia="en-US"/>
        </w:rPr>
        <w:t>е</w:t>
      </w:r>
      <w:r w:rsidRPr="00EC1A78">
        <w:rPr>
          <w:rFonts w:eastAsiaTheme="minorHAnsi"/>
          <w:sz w:val="22"/>
          <w:szCs w:val="22"/>
          <w:lang w:eastAsia="en-US"/>
        </w:rPr>
        <w:t>ния совершить убийство своего новорожденного ребенка [3]. В данном случае, врачи смогут помочь данным категориям лиц опр</w:t>
      </w:r>
      <w:r w:rsidRPr="00EC1A78">
        <w:rPr>
          <w:rFonts w:eastAsiaTheme="minorHAnsi"/>
          <w:sz w:val="22"/>
          <w:szCs w:val="22"/>
          <w:lang w:eastAsia="en-US"/>
        </w:rPr>
        <w:t>е</w:t>
      </w:r>
      <w:r w:rsidRPr="00EC1A78">
        <w:rPr>
          <w:rFonts w:eastAsiaTheme="minorHAnsi"/>
          <w:sz w:val="22"/>
          <w:szCs w:val="22"/>
          <w:lang w:eastAsia="en-US"/>
        </w:rPr>
        <w:t>деленными советами, а также в случае необходимости медицинск</w:t>
      </w:r>
      <w:r w:rsidRPr="00EC1A78">
        <w:rPr>
          <w:rFonts w:eastAsiaTheme="minorHAnsi"/>
          <w:sz w:val="22"/>
          <w:szCs w:val="22"/>
          <w:lang w:eastAsia="en-US"/>
        </w:rPr>
        <w:t>и</w:t>
      </w:r>
      <w:r w:rsidRPr="00EC1A78">
        <w:rPr>
          <w:rFonts w:eastAsiaTheme="minorHAnsi"/>
          <w:sz w:val="22"/>
          <w:szCs w:val="22"/>
          <w:lang w:eastAsia="en-US"/>
        </w:rPr>
        <w:t xml:space="preserve">ми препаратами. </w:t>
      </w:r>
    </w:p>
    <w:p w:rsidR="00EC1A78" w:rsidRPr="00EC1A78" w:rsidRDefault="00EC1A78" w:rsidP="00106384">
      <w:pPr>
        <w:ind w:firstLine="425"/>
        <w:jc w:val="both"/>
        <w:rPr>
          <w:rFonts w:eastAsiaTheme="minorHAnsi"/>
          <w:sz w:val="22"/>
          <w:szCs w:val="22"/>
          <w:lang w:eastAsia="en-US"/>
        </w:rPr>
      </w:pPr>
      <w:r w:rsidRPr="00EC1A78">
        <w:rPr>
          <w:rFonts w:eastAsiaTheme="minorHAnsi"/>
          <w:sz w:val="22"/>
          <w:szCs w:val="22"/>
          <w:lang w:eastAsia="en-US"/>
        </w:rPr>
        <w:t>Если реагировать заранее и предотвращать данные мотивы преступления, то последует снижение планки совершения данных противоправных деяний. В данных абзацах описаны не только пр</w:t>
      </w:r>
      <w:r w:rsidRPr="00EC1A78">
        <w:rPr>
          <w:rFonts w:eastAsiaTheme="minorHAnsi"/>
          <w:sz w:val="22"/>
          <w:szCs w:val="22"/>
          <w:lang w:eastAsia="en-US"/>
        </w:rPr>
        <w:t>и</w:t>
      </w:r>
      <w:r w:rsidRPr="00EC1A78">
        <w:rPr>
          <w:rFonts w:eastAsiaTheme="minorHAnsi"/>
          <w:sz w:val="22"/>
          <w:szCs w:val="22"/>
          <w:lang w:eastAsia="en-US"/>
        </w:rPr>
        <w:t>чины совершения убийства матерью новорожденного ребенка, но и также определённые пути решения данных проблем, которые в о</w:t>
      </w:r>
      <w:r w:rsidRPr="00EC1A78">
        <w:rPr>
          <w:rFonts w:eastAsiaTheme="minorHAnsi"/>
          <w:sz w:val="22"/>
          <w:szCs w:val="22"/>
          <w:lang w:eastAsia="en-US"/>
        </w:rPr>
        <w:t>с</w:t>
      </w:r>
      <w:r w:rsidRPr="00EC1A78">
        <w:rPr>
          <w:rFonts w:eastAsiaTheme="minorHAnsi"/>
          <w:sz w:val="22"/>
          <w:szCs w:val="22"/>
          <w:lang w:eastAsia="en-US"/>
        </w:rPr>
        <w:t xml:space="preserve">новном решатся на законодательном уровне. Законодательство должно сделать первые шаги по вопросу решения данных проблем, которые появились в этой статьи уже давно. </w:t>
      </w:r>
    </w:p>
    <w:p w:rsidR="00EC1A78" w:rsidRPr="00EC1A78" w:rsidRDefault="00EE657B" w:rsidP="00EC1A78">
      <w:pPr>
        <w:ind w:firstLine="425"/>
        <w:jc w:val="center"/>
        <w:rPr>
          <w:rFonts w:eastAsiaTheme="minorHAnsi"/>
          <w:sz w:val="22"/>
          <w:szCs w:val="22"/>
          <w:lang w:eastAsia="en-US"/>
        </w:rPr>
      </w:pPr>
      <w:r>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Иванова О. С. «Убийство матерью новорожденного ребенка (ст. 106 УК РФ): проблемы описания состава преступления и ди</w:t>
      </w:r>
      <w:r w:rsidRPr="00EC1A78">
        <w:rPr>
          <w:rFonts w:eastAsiaTheme="minorHAnsi"/>
          <w:sz w:val="22"/>
          <w:szCs w:val="22"/>
          <w:lang w:eastAsia="en-US"/>
        </w:rPr>
        <w:t>ф</w:t>
      </w:r>
      <w:r w:rsidRPr="00EC1A78">
        <w:rPr>
          <w:rFonts w:eastAsiaTheme="minorHAnsi"/>
          <w:sz w:val="22"/>
          <w:szCs w:val="22"/>
          <w:lang w:eastAsia="en-US"/>
        </w:rPr>
        <w:t>ференциации ответственности» Теория и практика общественного развития №7 2016, с. 89.</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Дело № 1–74/12  Орехово–Зуевский городской суд Моско</w:t>
      </w:r>
      <w:r w:rsidRPr="00EC1A78">
        <w:rPr>
          <w:rFonts w:eastAsiaTheme="minorHAnsi"/>
          <w:sz w:val="22"/>
          <w:szCs w:val="22"/>
          <w:lang w:eastAsia="en-US"/>
        </w:rPr>
        <w:t>в</w:t>
      </w:r>
      <w:r w:rsidRPr="00EC1A78">
        <w:rPr>
          <w:rFonts w:eastAsiaTheme="minorHAnsi"/>
          <w:sz w:val="22"/>
          <w:szCs w:val="22"/>
          <w:lang w:eastAsia="en-US"/>
        </w:rPr>
        <w:t>ская область</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Дело № 1–140/2012 Череповецкий городской суд Волого</w:t>
      </w:r>
      <w:r w:rsidRPr="00EC1A78">
        <w:rPr>
          <w:rFonts w:eastAsiaTheme="minorHAnsi"/>
          <w:sz w:val="22"/>
          <w:szCs w:val="22"/>
          <w:lang w:eastAsia="en-US"/>
        </w:rPr>
        <w:t>д</w:t>
      </w:r>
      <w:r w:rsidRPr="00EC1A78">
        <w:rPr>
          <w:rFonts w:eastAsiaTheme="minorHAnsi"/>
          <w:sz w:val="22"/>
          <w:szCs w:val="22"/>
          <w:lang w:eastAsia="en-US"/>
        </w:rPr>
        <w:t>ская область</w:t>
      </w:r>
    </w:p>
    <w:p w:rsidR="00EC1A78" w:rsidRDefault="00EC1A78" w:rsidP="00EC1A78">
      <w:pPr>
        <w:jc w:val="both"/>
        <w:rPr>
          <w:rFonts w:eastAsiaTheme="minorHAnsi"/>
          <w:sz w:val="22"/>
          <w:szCs w:val="22"/>
          <w:lang w:eastAsia="en-US"/>
        </w:rPr>
      </w:pPr>
    </w:p>
    <w:p w:rsidR="00EE657B" w:rsidRDefault="00EE657B" w:rsidP="00EC1A78">
      <w:pPr>
        <w:jc w:val="both"/>
        <w:rPr>
          <w:rFonts w:eastAsiaTheme="minorHAnsi"/>
          <w:sz w:val="22"/>
          <w:szCs w:val="22"/>
          <w:lang w:eastAsia="en-US"/>
        </w:rPr>
      </w:pPr>
    </w:p>
    <w:p w:rsidR="002B3A7B" w:rsidRDefault="002B3A7B" w:rsidP="00EC1A78">
      <w:pPr>
        <w:jc w:val="both"/>
        <w:rPr>
          <w:rFonts w:eastAsiaTheme="minorHAnsi"/>
          <w:sz w:val="22"/>
          <w:szCs w:val="22"/>
          <w:lang w:eastAsia="en-US"/>
        </w:rPr>
      </w:pPr>
    </w:p>
    <w:p w:rsidR="002B3A7B" w:rsidRPr="00EC1A78" w:rsidRDefault="002B3A7B" w:rsidP="00EC1A78">
      <w:pPr>
        <w:jc w:val="both"/>
        <w:rPr>
          <w:rFonts w:eastAsiaTheme="minorHAnsi"/>
          <w:sz w:val="22"/>
          <w:szCs w:val="22"/>
          <w:lang w:eastAsia="en-US"/>
        </w:rPr>
      </w:pPr>
    </w:p>
    <w:p w:rsidR="00EC1A78" w:rsidRPr="00EC1A78" w:rsidRDefault="00EC1A78" w:rsidP="00EC1A78">
      <w:pPr>
        <w:jc w:val="both"/>
        <w:rPr>
          <w:rFonts w:eastAsiaTheme="minorHAnsi"/>
          <w:sz w:val="22"/>
          <w:szCs w:val="22"/>
          <w:lang w:eastAsia="en-US"/>
        </w:rPr>
      </w:pPr>
      <w:r w:rsidRPr="00EC1A78">
        <w:rPr>
          <w:rFonts w:eastAsiaTheme="minorHAnsi"/>
          <w:sz w:val="22"/>
          <w:szCs w:val="22"/>
          <w:lang w:eastAsia="en-US"/>
        </w:rPr>
        <w:lastRenderedPageBreak/>
        <w:t>УДК 349.6</w:t>
      </w:r>
    </w:p>
    <w:p w:rsidR="00EC1A78" w:rsidRPr="00EC1A78" w:rsidRDefault="00EC1A78" w:rsidP="00EC1A78">
      <w:pPr>
        <w:jc w:val="center"/>
        <w:rPr>
          <w:rFonts w:eastAsiaTheme="minorHAnsi"/>
          <w:b/>
          <w:sz w:val="24"/>
          <w:szCs w:val="24"/>
          <w:lang w:eastAsia="en-US"/>
        </w:rPr>
      </w:pPr>
    </w:p>
    <w:p w:rsidR="00EC1A78" w:rsidRPr="00EC1A78" w:rsidRDefault="00EC1A78" w:rsidP="00EC1A78">
      <w:pPr>
        <w:jc w:val="center"/>
        <w:rPr>
          <w:rFonts w:eastAsiaTheme="minorHAnsi"/>
          <w:b/>
          <w:sz w:val="24"/>
          <w:szCs w:val="24"/>
          <w:lang w:eastAsia="en-US"/>
        </w:rPr>
      </w:pPr>
      <w:r w:rsidRPr="00EC1A78">
        <w:rPr>
          <w:rFonts w:eastAsiaTheme="minorHAnsi"/>
          <w:b/>
          <w:sz w:val="24"/>
          <w:szCs w:val="24"/>
          <w:lang w:eastAsia="en-US"/>
        </w:rPr>
        <w:t>Возможные проблемы взимания курортного сбора в РФ</w:t>
      </w:r>
    </w:p>
    <w:p w:rsidR="00EC1A78" w:rsidRPr="00EC1A78" w:rsidRDefault="00EC1A78" w:rsidP="00EC1A78">
      <w:pPr>
        <w:tabs>
          <w:tab w:val="left" w:pos="2415"/>
        </w:tabs>
        <w:jc w:val="center"/>
        <w:rPr>
          <w:rFonts w:eastAsiaTheme="minorHAnsi"/>
          <w:b/>
          <w:sz w:val="24"/>
          <w:szCs w:val="24"/>
          <w:lang w:val="en-US" w:eastAsia="en-US"/>
        </w:rPr>
      </w:pPr>
      <w:r w:rsidRPr="00EC1A78">
        <w:rPr>
          <w:rFonts w:eastAsiaTheme="minorHAnsi"/>
          <w:b/>
          <w:sz w:val="24"/>
          <w:szCs w:val="24"/>
          <w:lang w:val="en-US" w:eastAsia="en-US"/>
        </w:rPr>
        <w:t>Possible problems of charging a resort fee in Russia</w:t>
      </w:r>
    </w:p>
    <w:p w:rsidR="00EC1A78" w:rsidRPr="00EC1A78" w:rsidRDefault="00EC1A78" w:rsidP="00EC1A78">
      <w:pPr>
        <w:jc w:val="right"/>
        <w:rPr>
          <w:rFonts w:eastAsiaTheme="minorHAnsi"/>
          <w:sz w:val="22"/>
          <w:szCs w:val="22"/>
          <w:lang w:val="en-US" w:eastAsia="en-US"/>
        </w:rPr>
      </w:pP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Щербаков А. В.,</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студент 3–го курса юридического факультета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Мустафина С. 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 xml:space="preserve">старший преподаватель кафедры земельного, </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трудового и экологического права</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Кубанский государственный аграрный</w:t>
      </w:r>
    </w:p>
    <w:p w:rsidR="00EC1A78" w:rsidRPr="00EC1A78" w:rsidRDefault="00EC1A78" w:rsidP="00EC1A78">
      <w:pPr>
        <w:jc w:val="right"/>
        <w:rPr>
          <w:rFonts w:eastAsiaTheme="minorHAnsi"/>
          <w:sz w:val="22"/>
          <w:szCs w:val="22"/>
          <w:lang w:eastAsia="en-US"/>
        </w:rPr>
      </w:pPr>
      <w:r w:rsidRPr="00EC1A78">
        <w:rPr>
          <w:rFonts w:eastAsiaTheme="minorHAnsi"/>
          <w:sz w:val="22"/>
          <w:szCs w:val="22"/>
          <w:lang w:eastAsia="en-US"/>
        </w:rPr>
        <w:t>университет имени И. Т. Трубилина</w:t>
      </w:r>
    </w:p>
    <w:p w:rsidR="00EC1A78" w:rsidRPr="00EC1A78" w:rsidRDefault="00EC1A78" w:rsidP="00EC1A78">
      <w:pPr>
        <w:jc w:val="right"/>
        <w:rPr>
          <w:rFonts w:eastAsiaTheme="minorHAnsi"/>
          <w:sz w:val="22"/>
          <w:szCs w:val="22"/>
          <w:lang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АННОТАЦИЯ: в настоящей статье анализируется законод</w:t>
      </w:r>
      <w:r w:rsidRPr="00EC1A78">
        <w:rPr>
          <w:rFonts w:eastAsiaTheme="minorHAnsi"/>
          <w:sz w:val="22"/>
          <w:szCs w:val="22"/>
          <w:lang w:eastAsia="en-US"/>
        </w:rPr>
        <w:t>а</w:t>
      </w:r>
      <w:r w:rsidRPr="00EC1A78">
        <w:rPr>
          <w:rFonts w:eastAsiaTheme="minorHAnsi"/>
          <w:sz w:val="22"/>
          <w:szCs w:val="22"/>
          <w:lang w:eastAsia="en-US"/>
        </w:rPr>
        <w:t>тельство, регулирующее процедуру взимания курортного сбора. Определяются спорные положения и возможные проблемы при и</w:t>
      </w:r>
      <w:r w:rsidRPr="00EC1A78">
        <w:rPr>
          <w:rFonts w:eastAsiaTheme="minorHAnsi"/>
          <w:sz w:val="22"/>
          <w:szCs w:val="22"/>
          <w:lang w:eastAsia="en-US"/>
        </w:rPr>
        <w:t>с</w:t>
      </w:r>
      <w:r w:rsidRPr="00EC1A78">
        <w:rPr>
          <w:rFonts w:eastAsiaTheme="minorHAnsi"/>
          <w:sz w:val="22"/>
          <w:szCs w:val="22"/>
          <w:lang w:eastAsia="en-US"/>
        </w:rPr>
        <w:t>полнении  федерального законодательства.</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ABSTRACT: this article analyses the legislation regulating the pr</w:t>
      </w:r>
      <w:r w:rsidRPr="00EC1A78">
        <w:rPr>
          <w:rFonts w:eastAsiaTheme="minorHAnsi"/>
          <w:sz w:val="22"/>
          <w:szCs w:val="22"/>
          <w:lang w:val="en-US" w:eastAsia="en-US"/>
        </w:rPr>
        <w:t>o</w:t>
      </w:r>
      <w:r w:rsidRPr="00EC1A78">
        <w:rPr>
          <w:rFonts w:eastAsiaTheme="minorHAnsi"/>
          <w:sz w:val="22"/>
          <w:szCs w:val="22"/>
          <w:lang w:val="en-US" w:eastAsia="en-US"/>
        </w:rPr>
        <w:t>cedure of charging a resort fee. The controversial provisions and possible problems in the implementation of Federal legislation are determined.</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КЛЮЧЕВЫЕ СЛОВА: курорт; курортный сбор; эксперимент по развитию курортной инфраструктуры; законодательство.</w:t>
      </w:r>
    </w:p>
    <w:p w:rsidR="00EC1A78" w:rsidRPr="00EC1A78" w:rsidRDefault="00EC1A78" w:rsidP="00EC1A78">
      <w:pPr>
        <w:ind w:firstLine="425"/>
        <w:jc w:val="both"/>
        <w:rPr>
          <w:rFonts w:eastAsiaTheme="minorHAnsi"/>
          <w:sz w:val="22"/>
          <w:szCs w:val="22"/>
          <w:lang w:val="en-US" w:eastAsia="en-US"/>
        </w:rPr>
      </w:pPr>
      <w:r w:rsidRPr="00EC1A78">
        <w:rPr>
          <w:rFonts w:eastAsiaTheme="minorHAnsi"/>
          <w:sz w:val="22"/>
          <w:szCs w:val="22"/>
          <w:lang w:val="en-US" w:eastAsia="en-US"/>
        </w:rPr>
        <w:t>KEYWORDS: Paradise resort; resort collection; an experiment on the development of resort infrastructure; legislation.</w:t>
      </w:r>
    </w:p>
    <w:p w:rsidR="00EC1A78" w:rsidRPr="00EC1A78" w:rsidRDefault="00EC1A78" w:rsidP="00EC1A78">
      <w:pPr>
        <w:ind w:firstLine="425"/>
        <w:jc w:val="both"/>
        <w:rPr>
          <w:rFonts w:eastAsiaTheme="minorHAnsi"/>
          <w:sz w:val="22"/>
          <w:szCs w:val="22"/>
          <w:lang w:val="en-US" w:eastAsia="en-US"/>
        </w:rPr>
      </w:pP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2017 году был принят федеральный закон № 214–ФЗ[1]. О</w:t>
      </w:r>
      <w:r w:rsidRPr="00EC1A78">
        <w:rPr>
          <w:rFonts w:eastAsiaTheme="minorHAnsi"/>
          <w:sz w:val="22"/>
          <w:szCs w:val="22"/>
          <w:lang w:eastAsia="en-US"/>
        </w:rPr>
        <w:t>б</w:t>
      </w:r>
      <w:r w:rsidRPr="00EC1A78">
        <w:rPr>
          <w:rFonts w:eastAsiaTheme="minorHAnsi"/>
          <w:sz w:val="22"/>
          <w:szCs w:val="22"/>
          <w:lang w:eastAsia="en-US"/>
        </w:rPr>
        <w:t>ратим внимание на возможные проблемы эффективного взимания курортного сбора и эффективного целевого использования пол</w:t>
      </w:r>
      <w:r w:rsidRPr="00EC1A78">
        <w:rPr>
          <w:rFonts w:eastAsiaTheme="minorHAnsi"/>
          <w:sz w:val="22"/>
          <w:szCs w:val="22"/>
          <w:lang w:eastAsia="en-US"/>
        </w:rPr>
        <w:t>у</w:t>
      </w:r>
      <w:r w:rsidRPr="00EC1A78">
        <w:rPr>
          <w:rFonts w:eastAsiaTheme="minorHAnsi"/>
          <w:sz w:val="22"/>
          <w:szCs w:val="22"/>
          <w:lang w:eastAsia="en-US"/>
        </w:rPr>
        <w:t xml:space="preserve">ченных средств через фонд развития курортной инфраструктуры.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Органам власти субъектов Федерации, на территориях которых проводится вышеуказанный налоговый эксперимент, необходимо аккуратно избирать первоначальный размер суммы сбора и с ост</w:t>
      </w:r>
      <w:r w:rsidRPr="00EC1A78">
        <w:rPr>
          <w:rFonts w:eastAsiaTheme="minorHAnsi"/>
          <w:sz w:val="22"/>
          <w:szCs w:val="22"/>
          <w:lang w:eastAsia="en-US"/>
        </w:rPr>
        <w:t>о</w:t>
      </w:r>
      <w:r w:rsidRPr="00EC1A78">
        <w:rPr>
          <w:rFonts w:eastAsiaTheme="minorHAnsi"/>
          <w:sz w:val="22"/>
          <w:szCs w:val="22"/>
          <w:lang w:eastAsia="en-US"/>
        </w:rPr>
        <w:t>рожностью, поэтапно, с течением времени проведения экспериме</w:t>
      </w:r>
      <w:r w:rsidRPr="00EC1A78">
        <w:rPr>
          <w:rFonts w:eastAsiaTheme="minorHAnsi"/>
          <w:sz w:val="22"/>
          <w:szCs w:val="22"/>
          <w:lang w:eastAsia="en-US"/>
        </w:rPr>
        <w:t>н</w:t>
      </w:r>
      <w:r w:rsidRPr="00EC1A78">
        <w:rPr>
          <w:rFonts w:eastAsiaTheme="minorHAnsi"/>
          <w:sz w:val="22"/>
          <w:szCs w:val="22"/>
          <w:lang w:eastAsia="en-US"/>
        </w:rPr>
        <w:t>та, повышать эту сумму, так как слишком высокий уровень цены сбора на ранних этапах может вызвать отток отдыхающих, что п</w:t>
      </w:r>
      <w:r w:rsidRPr="00EC1A78">
        <w:rPr>
          <w:rFonts w:eastAsiaTheme="minorHAnsi"/>
          <w:sz w:val="22"/>
          <w:szCs w:val="22"/>
          <w:lang w:eastAsia="en-US"/>
        </w:rPr>
        <w:t>о</w:t>
      </w:r>
      <w:r w:rsidRPr="00EC1A78">
        <w:rPr>
          <w:rFonts w:eastAsiaTheme="minorHAnsi"/>
          <w:sz w:val="22"/>
          <w:szCs w:val="22"/>
          <w:lang w:eastAsia="en-US"/>
        </w:rPr>
        <w:t xml:space="preserve">дорвет не только эффективность проведения эксперимента и снизит привлекательность и популярность наших курортов, но и может </w:t>
      </w:r>
      <w:r w:rsidRPr="00EC1A78">
        <w:rPr>
          <w:rFonts w:eastAsiaTheme="minorHAnsi"/>
          <w:sz w:val="22"/>
          <w:szCs w:val="22"/>
          <w:lang w:eastAsia="en-US"/>
        </w:rPr>
        <w:lastRenderedPageBreak/>
        <w:t>ударить по экономическому благосостоянию субъектов, участву</w:t>
      </w:r>
      <w:r w:rsidRPr="00EC1A78">
        <w:rPr>
          <w:rFonts w:eastAsiaTheme="minorHAnsi"/>
          <w:sz w:val="22"/>
          <w:szCs w:val="22"/>
          <w:lang w:eastAsia="en-US"/>
        </w:rPr>
        <w:t>ю</w:t>
      </w:r>
      <w:r w:rsidRPr="00EC1A78">
        <w:rPr>
          <w:rFonts w:eastAsiaTheme="minorHAnsi"/>
          <w:sz w:val="22"/>
          <w:szCs w:val="22"/>
          <w:lang w:eastAsia="en-US"/>
        </w:rPr>
        <w:t>щих в экспериментальном взимании упомянуто го сбора[2, с.229].</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Также, общеизвестно, что многие граждане, проживающие в курортных зонах, занимаются деятельностью по обеспечению вр</w:t>
      </w:r>
      <w:r w:rsidRPr="00EC1A78">
        <w:rPr>
          <w:rFonts w:eastAsiaTheme="minorHAnsi"/>
          <w:sz w:val="22"/>
          <w:szCs w:val="22"/>
          <w:lang w:eastAsia="en-US"/>
        </w:rPr>
        <w:t>е</w:t>
      </w:r>
      <w:r w:rsidRPr="00EC1A78">
        <w:rPr>
          <w:rFonts w:eastAsiaTheme="minorHAnsi"/>
          <w:sz w:val="22"/>
          <w:szCs w:val="22"/>
          <w:lang w:eastAsia="en-US"/>
        </w:rPr>
        <w:t>менного проживания (деятельностью по предоставлению в польз</w:t>
      </w:r>
      <w:r w:rsidRPr="00EC1A78">
        <w:rPr>
          <w:rFonts w:eastAsiaTheme="minorHAnsi"/>
          <w:sz w:val="22"/>
          <w:szCs w:val="22"/>
          <w:lang w:eastAsia="en-US"/>
        </w:rPr>
        <w:t>о</w:t>
      </w:r>
      <w:r w:rsidRPr="00EC1A78">
        <w:rPr>
          <w:rFonts w:eastAsiaTheme="minorHAnsi"/>
          <w:sz w:val="22"/>
          <w:szCs w:val="22"/>
          <w:lang w:eastAsia="en-US"/>
        </w:rPr>
        <w:t>вание жилых помещений – то есть сдачей посуточно комнаты либо квартиры или дома) без осуществления регистрации в качестве и</w:t>
      </w:r>
      <w:r w:rsidRPr="00EC1A78">
        <w:rPr>
          <w:rFonts w:eastAsiaTheme="minorHAnsi"/>
          <w:sz w:val="22"/>
          <w:szCs w:val="22"/>
          <w:lang w:eastAsia="en-US"/>
        </w:rPr>
        <w:t>н</w:t>
      </w:r>
      <w:r w:rsidRPr="00EC1A78">
        <w:rPr>
          <w:rFonts w:eastAsiaTheme="minorHAnsi"/>
          <w:sz w:val="22"/>
          <w:szCs w:val="22"/>
          <w:lang w:eastAsia="en-US"/>
        </w:rPr>
        <w:t>дивидуальных предпринимателей  и оформления соответствующих нормативных документов, необходимых для предоставления услуг для временного размещения/гостиничных услуг. Следовательно, возникают определенные практические трудности по обложению курортным сбором отдыхающих граждан, размещающихся у таких «операторов» курортного сбора. В ходе предстоящего экспериме</w:t>
      </w:r>
      <w:r w:rsidRPr="00EC1A78">
        <w:rPr>
          <w:rFonts w:eastAsiaTheme="minorHAnsi"/>
          <w:sz w:val="22"/>
          <w:szCs w:val="22"/>
          <w:lang w:eastAsia="en-US"/>
        </w:rPr>
        <w:t>н</w:t>
      </w:r>
      <w:r w:rsidRPr="00EC1A78">
        <w:rPr>
          <w:rFonts w:eastAsiaTheme="minorHAnsi"/>
          <w:sz w:val="22"/>
          <w:szCs w:val="22"/>
          <w:lang w:eastAsia="en-US"/>
        </w:rPr>
        <w:t>та, ввиду этого обстоятельства также может быть снижено эффе</w:t>
      </w:r>
      <w:r w:rsidRPr="00EC1A78">
        <w:rPr>
          <w:rFonts w:eastAsiaTheme="minorHAnsi"/>
          <w:sz w:val="22"/>
          <w:szCs w:val="22"/>
          <w:lang w:eastAsia="en-US"/>
        </w:rPr>
        <w:t>к</w:t>
      </w:r>
      <w:r w:rsidRPr="00EC1A78">
        <w:rPr>
          <w:rFonts w:eastAsiaTheme="minorHAnsi"/>
          <w:sz w:val="22"/>
          <w:szCs w:val="22"/>
          <w:lang w:eastAsia="en-US"/>
        </w:rPr>
        <w:t>тивное взимание вышеприведенного вида сбора[3, с.152]. Также, как ранее отмечалось, в 2015 г. Министерство по делам Северного Кавказа подготовило проект ФЗ «О проведении эксперимента по введению платы за пользование курортной инфраструктурой в Ставропольском крае» в экспериментальном режиме. Размер сбора был запланирован до 150 руб. в сутки за «пользование курортной инфраструктурой», но не указывалось, каким образом предполаг</w:t>
      </w:r>
      <w:r w:rsidRPr="00EC1A78">
        <w:rPr>
          <w:rFonts w:eastAsiaTheme="minorHAnsi"/>
          <w:sz w:val="22"/>
          <w:szCs w:val="22"/>
          <w:lang w:eastAsia="en-US"/>
        </w:rPr>
        <w:t>а</w:t>
      </w:r>
      <w:r w:rsidRPr="00EC1A78">
        <w:rPr>
          <w:rFonts w:eastAsiaTheme="minorHAnsi"/>
          <w:sz w:val="22"/>
          <w:szCs w:val="22"/>
          <w:lang w:eastAsia="en-US"/>
        </w:rPr>
        <w:t>лось осуществлять контроль и учет собранных средств, и распред</w:t>
      </w:r>
      <w:r w:rsidRPr="00EC1A78">
        <w:rPr>
          <w:rFonts w:eastAsiaTheme="minorHAnsi"/>
          <w:sz w:val="22"/>
          <w:szCs w:val="22"/>
          <w:lang w:eastAsia="en-US"/>
        </w:rPr>
        <w:t>е</w:t>
      </w:r>
      <w:r w:rsidRPr="00EC1A78">
        <w:rPr>
          <w:rFonts w:eastAsiaTheme="minorHAnsi"/>
          <w:sz w:val="22"/>
          <w:szCs w:val="22"/>
          <w:lang w:eastAsia="en-US"/>
        </w:rPr>
        <w:t>лять их в дальнейшем. До 2021 г. ведомство рассчитывало таким образом привлечь на развитие курорта 2– 6 млрд руб., однако пр</w:t>
      </w:r>
      <w:r w:rsidRPr="00EC1A78">
        <w:rPr>
          <w:rFonts w:eastAsiaTheme="minorHAnsi"/>
          <w:sz w:val="22"/>
          <w:szCs w:val="22"/>
          <w:lang w:eastAsia="en-US"/>
        </w:rPr>
        <w:t>о</w:t>
      </w:r>
      <w:r w:rsidRPr="00EC1A78">
        <w:rPr>
          <w:rFonts w:eastAsiaTheme="minorHAnsi"/>
          <w:sz w:val="22"/>
          <w:szCs w:val="22"/>
          <w:lang w:eastAsia="en-US"/>
        </w:rPr>
        <w:t>ект также не был поддержан (было подсчитано, что такая сумма налога увеличила бы стоимость отдыха, к примеру, для семьи из 4–х человек на 2 недели, на 8 400 рублей) [4, с.661].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В заключение стоит отметить, что данный законодательный акт имеет некоторые противоречивые положения и  возможные пр</w:t>
      </w:r>
      <w:r w:rsidRPr="00EC1A78">
        <w:rPr>
          <w:rFonts w:eastAsiaTheme="minorHAnsi"/>
          <w:sz w:val="22"/>
          <w:szCs w:val="22"/>
          <w:lang w:eastAsia="en-US"/>
        </w:rPr>
        <w:t>о</w:t>
      </w:r>
      <w:r w:rsidRPr="00EC1A78">
        <w:rPr>
          <w:rFonts w:eastAsiaTheme="minorHAnsi"/>
          <w:sz w:val="22"/>
          <w:szCs w:val="22"/>
          <w:lang w:eastAsia="en-US"/>
        </w:rPr>
        <w:t xml:space="preserve">блемы в ходе реализации положений данного федерального закона на практике, но нам позиция законодателя представляется мудрой, поскольку на данном этапе взимание курортного сбора вводится в качестве эксперимента, дабы проанализировать его эффективность, выявить недостатки и устранить их. </w:t>
      </w:r>
    </w:p>
    <w:p w:rsidR="00EC1A78" w:rsidRPr="00EC1A78" w:rsidRDefault="00EC1A78" w:rsidP="00EC1A78">
      <w:pPr>
        <w:ind w:firstLine="425"/>
        <w:jc w:val="both"/>
        <w:rPr>
          <w:rFonts w:eastAsiaTheme="minorHAnsi"/>
          <w:sz w:val="22"/>
          <w:szCs w:val="22"/>
          <w:lang w:eastAsia="en-US"/>
        </w:rPr>
      </w:pPr>
    </w:p>
    <w:p w:rsidR="00EC1A78" w:rsidRPr="00EC1A78" w:rsidRDefault="00EC1A78" w:rsidP="00EC1A78">
      <w:pPr>
        <w:ind w:firstLine="425"/>
        <w:jc w:val="center"/>
        <w:rPr>
          <w:rFonts w:eastAsiaTheme="minorHAnsi"/>
          <w:sz w:val="22"/>
          <w:szCs w:val="22"/>
          <w:lang w:eastAsia="en-US"/>
        </w:rPr>
      </w:pPr>
      <w:r w:rsidRPr="00EC1A78">
        <w:rPr>
          <w:rFonts w:eastAsiaTheme="minorHAnsi"/>
          <w:sz w:val="22"/>
          <w:szCs w:val="22"/>
          <w:lang w:eastAsia="en-US"/>
        </w:rPr>
        <w:t>Список литературы</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1. Федеральный закон «О проведении эксперимента по разв</w:t>
      </w:r>
      <w:r w:rsidRPr="00EC1A78">
        <w:rPr>
          <w:rFonts w:eastAsiaTheme="minorHAnsi"/>
          <w:sz w:val="22"/>
          <w:szCs w:val="22"/>
          <w:lang w:eastAsia="en-US"/>
        </w:rPr>
        <w:t>и</w:t>
      </w:r>
      <w:r w:rsidRPr="00EC1A78">
        <w:rPr>
          <w:rFonts w:eastAsiaTheme="minorHAnsi"/>
          <w:sz w:val="22"/>
          <w:szCs w:val="22"/>
          <w:lang w:eastAsia="en-US"/>
        </w:rPr>
        <w:t xml:space="preserve">тию курортной инфраструктуры в Республике Крым, Алтайском </w:t>
      </w:r>
      <w:r w:rsidRPr="00EC1A78">
        <w:rPr>
          <w:rFonts w:eastAsiaTheme="minorHAnsi"/>
          <w:sz w:val="22"/>
          <w:szCs w:val="22"/>
          <w:lang w:eastAsia="en-US"/>
        </w:rPr>
        <w:lastRenderedPageBreak/>
        <w:t>крае, Краснодарском крае и Ставропольском крае» от 29.07.2017 N 214–ФЗ [Электронный ресурс]. URL:/ http://www.consultant.ru/document/cons_doc_LAW_221174/(дата о</w:t>
      </w:r>
      <w:r w:rsidRPr="00EC1A78">
        <w:rPr>
          <w:rFonts w:eastAsiaTheme="minorHAnsi"/>
          <w:sz w:val="22"/>
          <w:szCs w:val="22"/>
          <w:lang w:eastAsia="en-US"/>
        </w:rPr>
        <w:t>б</w:t>
      </w:r>
      <w:r w:rsidRPr="00EC1A78">
        <w:rPr>
          <w:rFonts w:eastAsiaTheme="minorHAnsi"/>
          <w:sz w:val="22"/>
          <w:szCs w:val="22"/>
          <w:lang w:eastAsia="en-US"/>
        </w:rPr>
        <w:t xml:space="preserve">ращения: 20.12.2017).            </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2. Страхова М.В., Макарова В.А. Юридическая ответстве</w:t>
      </w:r>
      <w:r w:rsidRPr="00EC1A78">
        <w:rPr>
          <w:rFonts w:eastAsiaTheme="minorHAnsi"/>
          <w:sz w:val="22"/>
          <w:szCs w:val="22"/>
          <w:lang w:eastAsia="en-US"/>
        </w:rPr>
        <w:t>н</w:t>
      </w:r>
      <w:r w:rsidRPr="00EC1A78">
        <w:rPr>
          <w:rFonts w:eastAsiaTheme="minorHAnsi"/>
          <w:sz w:val="22"/>
          <w:szCs w:val="22"/>
          <w:lang w:eastAsia="en-US"/>
        </w:rPr>
        <w:t>ность за загрязнение вод Черного моря/В сборнике: Взаимодействие науки и общества: проблемы и перспективы. – Сборник статей Международной научно – практической конференции: в 4 частях. Ч.3.//Уфа: МЦИИ ОМЕГА САЙНС,–2017. – С. 227 –231.</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3. Страхова М.В., Макарова В.А. Экологические проблемы Краснодарского края / В сборнике: Совершенствование методол</w:t>
      </w:r>
      <w:r w:rsidRPr="00EC1A78">
        <w:rPr>
          <w:rFonts w:eastAsiaTheme="minorHAnsi"/>
          <w:sz w:val="22"/>
          <w:szCs w:val="22"/>
          <w:lang w:eastAsia="en-US"/>
        </w:rPr>
        <w:t>о</w:t>
      </w:r>
      <w:r w:rsidRPr="00EC1A78">
        <w:rPr>
          <w:rFonts w:eastAsiaTheme="minorHAnsi"/>
          <w:sz w:val="22"/>
          <w:szCs w:val="22"/>
          <w:lang w:eastAsia="en-US"/>
        </w:rPr>
        <w:t>гии познания в целях развития науки.– Сборник статей Междун</w:t>
      </w:r>
      <w:r w:rsidRPr="00EC1A78">
        <w:rPr>
          <w:rFonts w:eastAsiaTheme="minorHAnsi"/>
          <w:sz w:val="22"/>
          <w:szCs w:val="22"/>
          <w:lang w:eastAsia="en-US"/>
        </w:rPr>
        <w:t>а</w:t>
      </w:r>
      <w:r w:rsidRPr="00EC1A78">
        <w:rPr>
          <w:rFonts w:eastAsiaTheme="minorHAnsi"/>
          <w:sz w:val="22"/>
          <w:szCs w:val="22"/>
          <w:lang w:eastAsia="en-US"/>
        </w:rPr>
        <w:t>родной научно–практической конференции: в 2 частях. Ч.2. // Уфа: АЭТЕРНА, – 2017. – С. 148–155.</w:t>
      </w:r>
    </w:p>
    <w:p w:rsidR="00EC1A78" w:rsidRPr="00EC1A78" w:rsidRDefault="00EC1A78" w:rsidP="00EC1A78">
      <w:pPr>
        <w:ind w:firstLine="425"/>
        <w:jc w:val="both"/>
        <w:rPr>
          <w:rFonts w:eastAsiaTheme="minorHAnsi"/>
          <w:sz w:val="22"/>
          <w:szCs w:val="22"/>
          <w:lang w:eastAsia="en-US"/>
        </w:rPr>
      </w:pPr>
      <w:r w:rsidRPr="00EC1A78">
        <w:rPr>
          <w:rFonts w:eastAsiaTheme="minorHAnsi"/>
          <w:sz w:val="22"/>
          <w:szCs w:val="22"/>
          <w:lang w:eastAsia="en-US"/>
        </w:rPr>
        <w:t>4. Мустафина С.А. История курортного налога в России /  В сборнике</w:t>
      </w:r>
      <w:r w:rsidRPr="00EE657B">
        <w:rPr>
          <w:rFonts w:eastAsiaTheme="minorHAnsi"/>
          <w:sz w:val="22"/>
          <w:szCs w:val="22"/>
          <w:lang w:eastAsia="en-US"/>
        </w:rPr>
        <w:t>: </w:t>
      </w:r>
      <w:hyperlink r:id="rId409" w:history="1">
        <w:r w:rsidRPr="00EE657B">
          <w:rPr>
            <w:rFonts w:eastAsiaTheme="minorHAnsi"/>
            <w:sz w:val="22"/>
            <w:szCs w:val="22"/>
            <w:lang w:eastAsia="en-US"/>
          </w:rPr>
          <w:t>Научное обеспечение агропромышленного комплекса</w:t>
        </w:r>
      </w:hyperlink>
      <w:r w:rsidRPr="00EC1A78">
        <w:rPr>
          <w:rFonts w:eastAsiaTheme="minorHAnsi"/>
          <w:sz w:val="22"/>
          <w:szCs w:val="22"/>
          <w:lang w:eastAsia="en-US"/>
        </w:rPr>
        <w:t>. –Сборник статей по материалам 72–й научно–практической конф</w:t>
      </w:r>
      <w:r w:rsidRPr="00EC1A78">
        <w:rPr>
          <w:rFonts w:eastAsiaTheme="minorHAnsi"/>
          <w:sz w:val="22"/>
          <w:szCs w:val="22"/>
          <w:lang w:eastAsia="en-US"/>
        </w:rPr>
        <w:t>е</w:t>
      </w:r>
      <w:r w:rsidRPr="00EC1A78">
        <w:rPr>
          <w:rFonts w:eastAsiaTheme="minorHAnsi"/>
          <w:sz w:val="22"/>
          <w:szCs w:val="22"/>
          <w:lang w:eastAsia="en-US"/>
        </w:rPr>
        <w:t>ренции преподавателей по итогам НИР за 2016 г. // Краснодар: КубГАУ, – 2017. –  С. 660–661.</w:t>
      </w:r>
    </w:p>
    <w:p w:rsidR="00EC1A78" w:rsidRDefault="00EC1A78" w:rsidP="00EC1A78">
      <w:pPr>
        <w:jc w:val="both"/>
        <w:rPr>
          <w:rFonts w:eastAsiaTheme="minorHAnsi"/>
          <w:sz w:val="22"/>
          <w:szCs w:val="22"/>
          <w:lang w:eastAsia="en-US"/>
        </w:rPr>
      </w:pPr>
    </w:p>
    <w:p w:rsidR="00AE3D21" w:rsidRDefault="00AE3D21" w:rsidP="00EC1A78">
      <w:pPr>
        <w:jc w:val="both"/>
        <w:rPr>
          <w:rFonts w:eastAsiaTheme="minorHAnsi"/>
          <w:sz w:val="22"/>
          <w:szCs w:val="22"/>
          <w:lang w:eastAsia="en-US"/>
        </w:rPr>
      </w:pPr>
    </w:p>
    <w:p w:rsidR="00AE3D21" w:rsidRPr="00AE3D21" w:rsidRDefault="00AE3D21" w:rsidP="00AE3D21">
      <w:pPr>
        <w:rPr>
          <w:color w:val="000000"/>
          <w:sz w:val="22"/>
          <w:szCs w:val="22"/>
        </w:rPr>
      </w:pPr>
      <w:r w:rsidRPr="00AE3D21">
        <w:rPr>
          <w:color w:val="000000"/>
          <w:sz w:val="22"/>
          <w:szCs w:val="22"/>
        </w:rPr>
        <w:t>УДК 342.8</w:t>
      </w:r>
    </w:p>
    <w:p w:rsidR="00AE3D21" w:rsidRPr="00AE3D21" w:rsidRDefault="00AE3D21" w:rsidP="00AE3D21">
      <w:pPr>
        <w:jc w:val="center"/>
        <w:rPr>
          <w:b/>
          <w:color w:val="000000"/>
          <w:sz w:val="22"/>
          <w:szCs w:val="24"/>
        </w:rPr>
      </w:pPr>
    </w:p>
    <w:p w:rsidR="00AE3D21" w:rsidRPr="00AE3D21" w:rsidRDefault="00AE3D21" w:rsidP="00AE3D21">
      <w:pPr>
        <w:jc w:val="center"/>
        <w:rPr>
          <w:b/>
          <w:color w:val="000000"/>
          <w:sz w:val="24"/>
          <w:szCs w:val="24"/>
        </w:rPr>
      </w:pPr>
      <w:r w:rsidRPr="00AE3D21">
        <w:rPr>
          <w:b/>
          <w:color w:val="000000"/>
          <w:sz w:val="24"/>
          <w:szCs w:val="24"/>
        </w:rPr>
        <w:t xml:space="preserve">Политический абсентеизм как одна из основных проблем избирательного процесса современного российского </w:t>
      </w:r>
      <w:r>
        <w:rPr>
          <w:b/>
          <w:color w:val="000000"/>
          <w:sz w:val="24"/>
          <w:szCs w:val="24"/>
        </w:rPr>
        <w:br/>
      </w:r>
      <w:r w:rsidRPr="00AE3D21">
        <w:rPr>
          <w:b/>
          <w:color w:val="000000"/>
          <w:sz w:val="24"/>
          <w:szCs w:val="24"/>
        </w:rPr>
        <w:t>общества</w:t>
      </w:r>
    </w:p>
    <w:p w:rsidR="00AE3D21" w:rsidRPr="00AE3D21" w:rsidRDefault="00AE3D21" w:rsidP="00AE3D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4"/>
          <w:szCs w:val="24"/>
          <w:lang w:val="en-US"/>
        </w:rPr>
      </w:pPr>
      <w:r w:rsidRPr="00AE3D21">
        <w:rPr>
          <w:b/>
          <w:color w:val="212121"/>
          <w:sz w:val="24"/>
          <w:szCs w:val="24"/>
          <w:lang w:val="en-US"/>
        </w:rPr>
        <w:t xml:space="preserve">Political absenteeism as one of the main problems </w:t>
      </w:r>
      <w:r w:rsidRPr="00AE3D21">
        <w:rPr>
          <w:b/>
          <w:color w:val="212121"/>
          <w:sz w:val="24"/>
          <w:szCs w:val="24"/>
          <w:lang w:val="en-US"/>
        </w:rPr>
        <w:br/>
        <w:t>of the electoral process of modern Russian society</w:t>
      </w:r>
    </w:p>
    <w:p w:rsidR="00AE3D21" w:rsidRPr="00AE3D21" w:rsidRDefault="00AE3D21" w:rsidP="00AE3D21">
      <w:pPr>
        <w:jc w:val="right"/>
        <w:rPr>
          <w:color w:val="000000"/>
          <w:sz w:val="22"/>
          <w:szCs w:val="22"/>
          <w:lang w:val="en-US"/>
        </w:rPr>
      </w:pPr>
    </w:p>
    <w:p w:rsidR="00AE3D21" w:rsidRPr="00AE3D21" w:rsidRDefault="00AE3D21" w:rsidP="00AE3D21">
      <w:pPr>
        <w:jc w:val="right"/>
        <w:rPr>
          <w:color w:val="000000"/>
          <w:sz w:val="22"/>
          <w:szCs w:val="22"/>
        </w:rPr>
      </w:pPr>
      <w:r w:rsidRPr="00AE3D21">
        <w:rPr>
          <w:color w:val="000000"/>
          <w:sz w:val="22"/>
          <w:szCs w:val="22"/>
        </w:rPr>
        <w:t>Штаер П.Ю.,</w:t>
      </w:r>
    </w:p>
    <w:p w:rsidR="00AE3D21" w:rsidRPr="00AE3D21" w:rsidRDefault="00AE3D21" w:rsidP="00AE3D21">
      <w:pPr>
        <w:jc w:val="right"/>
        <w:rPr>
          <w:color w:val="000000"/>
          <w:sz w:val="22"/>
          <w:szCs w:val="22"/>
        </w:rPr>
      </w:pPr>
      <w:r w:rsidRPr="00AE3D21">
        <w:rPr>
          <w:color w:val="000000"/>
          <w:sz w:val="22"/>
          <w:szCs w:val="22"/>
        </w:rPr>
        <w:t>студентка 2-го курса юридического факультета</w:t>
      </w:r>
    </w:p>
    <w:p w:rsidR="00AE3D21" w:rsidRPr="00AE3D21" w:rsidRDefault="00AE3D21" w:rsidP="00AE3D21">
      <w:pPr>
        <w:jc w:val="right"/>
        <w:rPr>
          <w:color w:val="000000"/>
          <w:sz w:val="22"/>
          <w:szCs w:val="22"/>
        </w:rPr>
      </w:pPr>
      <w:r w:rsidRPr="00AE3D21">
        <w:rPr>
          <w:color w:val="000000"/>
          <w:sz w:val="22"/>
          <w:szCs w:val="22"/>
        </w:rPr>
        <w:t>Кубанский государственный аграрный</w:t>
      </w:r>
    </w:p>
    <w:p w:rsidR="00AE3D21" w:rsidRPr="00AE3D21" w:rsidRDefault="00AE3D21" w:rsidP="00AE3D21">
      <w:pPr>
        <w:jc w:val="right"/>
        <w:rPr>
          <w:color w:val="000000"/>
          <w:sz w:val="22"/>
          <w:szCs w:val="22"/>
        </w:rPr>
      </w:pPr>
      <w:r w:rsidRPr="00AE3D21">
        <w:rPr>
          <w:color w:val="000000"/>
          <w:sz w:val="22"/>
          <w:szCs w:val="22"/>
        </w:rPr>
        <w:t>университет имени И.Т. Трубилина</w:t>
      </w:r>
    </w:p>
    <w:p w:rsidR="00AE3D21" w:rsidRPr="00AE3D21" w:rsidRDefault="00AE3D21" w:rsidP="00AE3D21">
      <w:pPr>
        <w:jc w:val="center"/>
        <w:rPr>
          <w:color w:val="000000"/>
          <w:sz w:val="22"/>
          <w:szCs w:val="22"/>
        </w:rPr>
      </w:pPr>
    </w:p>
    <w:p w:rsidR="00AE3D21" w:rsidRPr="00AE3D21" w:rsidRDefault="00AE3D21" w:rsidP="00AE3D21">
      <w:pPr>
        <w:ind w:firstLine="426"/>
        <w:jc w:val="both"/>
        <w:rPr>
          <w:color w:val="000000"/>
          <w:sz w:val="22"/>
          <w:szCs w:val="22"/>
          <w:lang w:val="en-US"/>
        </w:rPr>
      </w:pPr>
      <w:r w:rsidRPr="00AE3D21">
        <w:rPr>
          <w:color w:val="000000"/>
          <w:sz w:val="22"/>
          <w:szCs w:val="22"/>
        </w:rPr>
        <w:t>АННОТАЦИЯ: Изучена проблема политического абсентеизма в условиях современного общества. Рассмотрены</w:t>
      </w:r>
      <w:r w:rsidRPr="00AE3D21">
        <w:rPr>
          <w:color w:val="000000"/>
          <w:sz w:val="22"/>
          <w:szCs w:val="22"/>
          <w:lang w:val="en-US"/>
        </w:rPr>
        <w:t xml:space="preserve"> </w:t>
      </w:r>
      <w:r w:rsidRPr="00AE3D21">
        <w:rPr>
          <w:color w:val="000000"/>
          <w:sz w:val="22"/>
          <w:szCs w:val="22"/>
        </w:rPr>
        <w:t>ее</w:t>
      </w:r>
      <w:r w:rsidRPr="00AE3D21">
        <w:rPr>
          <w:color w:val="000000"/>
          <w:sz w:val="22"/>
          <w:szCs w:val="22"/>
          <w:lang w:val="en-US"/>
        </w:rPr>
        <w:t xml:space="preserve"> </w:t>
      </w:r>
      <w:r w:rsidRPr="00AE3D21">
        <w:rPr>
          <w:color w:val="000000"/>
          <w:sz w:val="22"/>
          <w:szCs w:val="22"/>
        </w:rPr>
        <w:t>основные</w:t>
      </w:r>
      <w:r w:rsidRPr="00AE3D21">
        <w:rPr>
          <w:color w:val="000000"/>
          <w:sz w:val="22"/>
          <w:szCs w:val="22"/>
          <w:lang w:val="en-US"/>
        </w:rPr>
        <w:t xml:space="preserve"> </w:t>
      </w:r>
      <w:r w:rsidRPr="00AE3D21">
        <w:rPr>
          <w:color w:val="000000"/>
          <w:sz w:val="22"/>
          <w:szCs w:val="22"/>
        </w:rPr>
        <w:t>пр</w:t>
      </w:r>
      <w:r w:rsidRPr="00AE3D21">
        <w:rPr>
          <w:color w:val="000000"/>
          <w:sz w:val="22"/>
          <w:szCs w:val="22"/>
        </w:rPr>
        <w:t>и</w:t>
      </w:r>
      <w:r w:rsidRPr="00AE3D21">
        <w:rPr>
          <w:color w:val="000000"/>
          <w:sz w:val="22"/>
          <w:szCs w:val="22"/>
        </w:rPr>
        <w:t>чины</w:t>
      </w:r>
      <w:r w:rsidRPr="00AE3D21">
        <w:rPr>
          <w:color w:val="000000"/>
          <w:sz w:val="22"/>
          <w:szCs w:val="22"/>
          <w:lang w:val="en-US"/>
        </w:rPr>
        <w:t xml:space="preserve"> </w:t>
      </w:r>
      <w:r w:rsidRPr="00AE3D21">
        <w:rPr>
          <w:color w:val="000000"/>
          <w:sz w:val="22"/>
          <w:szCs w:val="22"/>
        </w:rPr>
        <w:t>и</w:t>
      </w:r>
      <w:r w:rsidRPr="00AE3D21">
        <w:rPr>
          <w:color w:val="000000"/>
          <w:sz w:val="22"/>
          <w:szCs w:val="22"/>
          <w:lang w:val="en-US"/>
        </w:rPr>
        <w:t xml:space="preserve"> </w:t>
      </w:r>
      <w:r w:rsidRPr="00AE3D21">
        <w:rPr>
          <w:color w:val="000000"/>
          <w:sz w:val="22"/>
          <w:szCs w:val="22"/>
        </w:rPr>
        <w:t>правовая</w:t>
      </w:r>
      <w:r w:rsidRPr="00AE3D21">
        <w:rPr>
          <w:color w:val="000000"/>
          <w:sz w:val="22"/>
          <w:szCs w:val="22"/>
          <w:lang w:val="en-US"/>
        </w:rPr>
        <w:t xml:space="preserve"> </w:t>
      </w:r>
      <w:r w:rsidRPr="00AE3D21">
        <w:rPr>
          <w:color w:val="000000"/>
          <w:sz w:val="22"/>
          <w:szCs w:val="22"/>
        </w:rPr>
        <w:t>природа</w:t>
      </w:r>
      <w:r w:rsidRPr="00AE3D21">
        <w:rPr>
          <w:color w:val="000000"/>
          <w:sz w:val="22"/>
          <w:szCs w:val="22"/>
          <w:lang w:val="en-US"/>
        </w:rPr>
        <w:t xml:space="preserve"> </w:t>
      </w:r>
      <w:r w:rsidRPr="00AE3D21">
        <w:rPr>
          <w:color w:val="000000"/>
          <w:sz w:val="22"/>
          <w:szCs w:val="22"/>
        </w:rPr>
        <w:t>данного</w:t>
      </w:r>
      <w:r w:rsidRPr="00AE3D21">
        <w:rPr>
          <w:color w:val="000000"/>
          <w:sz w:val="22"/>
          <w:szCs w:val="22"/>
          <w:lang w:val="en-US"/>
        </w:rPr>
        <w:t xml:space="preserve"> </w:t>
      </w:r>
      <w:r w:rsidRPr="00AE3D21">
        <w:rPr>
          <w:color w:val="000000"/>
          <w:sz w:val="22"/>
          <w:szCs w:val="22"/>
        </w:rPr>
        <w:t>явления</w:t>
      </w:r>
      <w:r w:rsidRPr="00AE3D21">
        <w:rPr>
          <w:color w:val="000000"/>
          <w:sz w:val="22"/>
          <w:szCs w:val="22"/>
          <w:lang w:val="en-US"/>
        </w:rPr>
        <w:t>.</w:t>
      </w:r>
    </w:p>
    <w:p w:rsidR="00AE3D21" w:rsidRPr="00AE3D21" w:rsidRDefault="00AE3D21" w:rsidP="00AE3D21">
      <w:pPr>
        <w:ind w:firstLine="426"/>
        <w:jc w:val="both"/>
        <w:rPr>
          <w:sz w:val="22"/>
          <w:szCs w:val="22"/>
          <w:lang w:val="en-US"/>
        </w:rPr>
      </w:pPr>
      <w:r w:rsidRPr="00AE3D21">
        <w:rPr>
          <w:sz w:val="22"/>
          <w:szCs w:val="22"/>
          <w:shd w:val="clear" w:color="auto" w:fill="FFFFFF"/>
          <w:lang w:val="en-US"/>
        </w:rPr>
        <w:lastRenderedPageBreak/>
        <w:t>ABSTRACT: The problem of political absenteeism in the cond</w:t>
      </w:r>
      <w:r w:rsidRPr="00AE3D21">
        <w:rPr>
          <w:sz w:val="22"/>
          <w:szCs w:val="22"/>
          <w:shd w:val="clear" w:color="auto" w:fill="FFFFFF"/>
          <w:lang w:val="en-US"/>
        </w:rPr>
        <w:t>i</w:t>
      </w:r>
      <w:r w:rsidRPr="00AE3D21">
        <w:rPr>
          <w:sz w:val="22"/>
          <w:szCs w:val="22"/>
          <w:shd w:val="clear" w:color="auto" w:fill="FFFFFF"/>
          <w:lang w:val="en-US"/>
        </w:rPr>
        <w:t>tions of modern society is studied. Its main causes and the legal nature of this phenomenon are considered.</w:t>
      </w:r>
      <w:r w:rsidRPr="00AE3D21">
        <w:rPr>
          <w:sz w:val="22"/>
          <w:szCs w:val="22"/>
          <w:lang w:val="en-US"/>
        </w:rPr>
        <w:t xml:space="preserve"> </w:t>
      </w:r>
    </w:p>
    <w:p w:rsidR="00AE3D21" w:rsidRPr="00AE3D21" w:rsidRDefault="00AE3D21" w:rsidP="00AE3D21">
      <w:pPr>
        <w:ind w:firstLine="426"/>
        <w:jc w:val="both"/>
        <w:rPr>
          <w:color w:val="000000"/>
          <w:sz w:val="22"/>
          <w:szCs w:val="22"/>
        </w:rPr>
      </w:pPr>
      <w:r w:rsidRPr="00AE3D21">
        <w:rPr>
          <w:color w:val="000000"/>
          <w:sz w:val="22"/>
          <w:szCs w:val="22"/>
        </w:rPr>
        <w:t>КЛЮЧЕВЫЕ СЛОВА: политический абсентеизм, Единый день голосования, выборы, электоральная активность, избирательная кампания, избирательный процесс.</w:t>
      </w:r>
    </w:p>
    <w:p w:rsidR="00AE3D21" w:rsidRPr="00AE3D21" w:rsidRDefault="00AE3D21" w:rsidP="00AE3D21">
      <w:pPr>
        <w:ind w:firstLine="426"/>
        <w:jc w:val="both"/>
        <w:rPr>
          <w:color w:val="000000"/>
          <w:sz w:val="22"/>
          <w:szCs w:val="22"/>
          <w:lang w:val="en-US"/>
        </w:rPr>
      </w:pPr>
      <w:r w:rsidRPr="00AE3D21">
        <w:rPr>
          <w:color w:val="212121"/>
          <w:sz w:val="22"/>
          <w:szCs w:val="22"/>
          <w:shd w:val="clear" w:color="auto" w:fill="FFFFFF"/>
          <w:lang w:val="en-US"/>
        </w:rPr>
        <w:t>KEYWORDS: political absenteeism, Single voting day, elections, electoral activity, election campaign, electoral process.</w:t>
      </w:r>
    </w:p>
    <w:p w:rsidR="00AE3D21" w:rsidRPr="00AE3D21" w:rsidRDefault="00AE3D21" w:rsidP="00AE3D21">
      <w:pPr>
        <w:ind w:firstLine="426"/>
        <w:jc w:val="both"/>
        <w:rPr>
          <w:color w:val="000000"/>
          <w:sz w:val="22"/>
          <w:szCs w:val="22"/>
          <w:lang w:val="en-US"/>
        </w:rPr>
      </w:pPr>
    </w:p>
    <w:p w:rsidR="00AE3D21" w:rsidRPr="00AE3D21" w:rsidRDefault="00AE3D21" w:rsidP="00AE3D21">
      <w:pPr>
        <w:ind w:firstLine="426"/>
        <w:jc w:val="both"/>
        <w:rPr>
          <w:color w:val="000000"/>
          <w:sz w:val="22"/>
          <w:szCs w:val="22"/>
        </w:rPr>
      </w:pPr>
      <w:r w:rsidRPr="00AE3D21">
        <w:rPr>
          <w:color w:val="000000"/>
          <w:sz w:val="22"/>
          <w:szCs w:val="22"/>
        </w:rPr>
        <w:t xml:space="preserve">Политический абсентеизм </w:t>
      </w:r>
      <w:r w:rsidRPr="00AE3D21">
        <w:rPr>
          <w:color w:val="222222"/>
          <w:sz w:val="22"/>
          <w:szCs w:val="22"/>
          <w:shd w:val="clear" w:color="auto" w:fill="FFFFFF"/>
        </w:rPr>
        <w:t> — </w:t>
      </w:r>
      <w:r w:rsidRPr="00AE3D21">
        <w:rPr>
          <w:color w:val="000000"/>
          <w:sz w:val="22"/>
          <w:szCs w:val="22"/>
        </w:rPr>
        <w:t xml:space="preserve"> довольно актуальный вопрос для многих государств и всего общества в целом. Он является </w:t>
      </w:r>
      <w:r w:rsidRPr="00AE3D21">
        <w:rPr>
          <w:color w:val="000000"/>
          <w:sz w:val="22"/>
          <w:szCs w:val="22"/>
          <w:shd w:val="clear" w:color="auto" w:fill="FFFFFF"/>
        </w:rPr>
        <w:t>превал</w:t>
      </w:r>
      <w:r w:rsidRPr="00AE3D21">
        <w:rPr>
          <w:color w:val="000000"/>
          <w:sz w:val="22"/>
          <w:szCs w:val="22"/>
          <w:shd w:val="clear" w:color="auto" w:fill="FFFFFF"/>
        </w:rPr>
        <w:t>и</w:t>
      </w:r>
      <w:r w:rsidRPr="00AE3D21">
        <w:rPr>
          <w:color w:val="000000"/>
          <w:sz w:val="22"/>
          <w:szCs w:val="22"/>
          <w:shd w:val="clear" w:color="auto" w:fill="FFFFFF"/>
        </w:rPr>
        <w:t>рующим показателем уровня жизни в том или ином государстве, чем и объясняется внимание социологов к нему.</w:t>
      </w:r>
    </w:p>
    <w:p w:rsidR="00AE3D21" w:rsidRPr="00AE3D21" w:rsidRDefault="00AE3D21" w:rsidP="00AE3D21">
      <w:pPr>
        <w:ind w:firstLine="426"/>
        <w:jc w:val="both"/>
        <w:rPr>
          <w:color w:val="000000"/>
          <w:sz w:val="22"/>
          <w:szCs w:val="22"/>
        </w:rPr>
      </w:pPr>
      <w:r w:rsidRPr="00AE3D21">
        <w:rPr>
          <w:color w:val="000000"/>
          <w:sz w:val="22"/>
          <w:szCs w:val="22"/>
        </w:rPr>
        <w:t xml:space="preserve">Политический абсентеизм </w:t>
      </w:r>
      <w:r w:rsidRPr="00AE3D21">
        <w:rPr>
          <w:color w:val="222222"/>
          <w:sz w:val="22"/>
          <w:szCs w:val="22"/>
          <w:shd w:val="clear" w:color="auto" w:fill="FFFFFF"/>
        </w:rPr>
        <w:t>— </w:t>
      </w:r>
      <w:r w:rsidRPr="00AE3D21">
        <w:rPr>
          <w:color w:val="000000"/>
          <w:sz w:val="22"/>
          <w:szCs w:val="22"/>
        </w:rPr>
        <w:t xml:space="preserve"> это уклонение избирателей от участия в выборах, политическое поведение, характеризующееся политическим бездействием, то есть уклонением от своих прямых электоральных функций [3].</w:t>
      </w:r>
    </w:p>
    <w:p w:rsidR="00AE3D21" w:rsidRPr="00AE3D21" w:rsidRDefault="00AE3D21" w:rsidP="00AE3D21">
      <w:pPr>
        <w:ind w:firstLine="426"/>
        <w:jc w:val="both"/>
        <w:rPr>
          <w:color w:val="000000"/>
          <w:sz w:val="22"/>
          <w:szCs w:val="22"/>
        </w:rPr>
      </w:pPr>
      <w:r w:rsidRPr="00AE3D21">
        <w:rPr>
          <w:color w:val="000000"/>
          <w:sz w:val="22"/>
          <w:szCs w:val="22"/>
        </w:rPr>
        <w:t>Особенно явное выражение проблема абсентеизма находит именно на региональных и местных выборах. Причем принято г</w:t>
      </w:r>
      <w:r w:rsidRPr="00AE3D21">
        <w:rPr>
          <w:color w:val="000000"/>
          <w:sz w:val="22"/>
          <w:szCs w:val="22"/>
        </w:rPr>
        <w:t>о</w:t>
      </w:r>
      <w:r w:rsidRPr="00AE3D21">
        <w:rPr>
          <w:color w:val="000000"/>
          <w:sz w:val="22"/>
          <w:szCs w:val="22"/>
        </w:rPr>
        <w:t>ворить о том, что такие явки считаются стандартными для многих регионов страны. Электоральная активность развивается на прот</w:t>
      </w:r>
      <w:r w:rsidRPr="00AE3D21">
        <w:rPr>
          <w:color w:val="000000"/>
          <w:sz w:val="22"/>
          <w:szCs w:val="22"/>
        </w:rPr>
        <w:t>я</w:t>
      </w:r>
      <w:r w:rsidRPr="00AE3D21">
        <w:rPr>
          <w:color w:val="000000"/>
          <w:sz w:val="22"/>
          <w:szCs w:val="22"/>
        </w:rPr>
        <w:t>жении  всей сознательной жизни человека и не ограничена пери</w:t>
      </w:r>
      <w:r w:rsidRPr="00AE3D21">
        <w:rPr>
          <w:color w:val="000000"/>
          <w:sz w:val="22"/>
          <w:szCs w:val="22"/>
        </w:rPr>
        <w:t>о</w:t>
      </w:r>
      <w:r w:rsidRPr="00AE3D21">
        <w:rPr>
          <w:color w:val="000000"/>
          <w:sz w:val="22"/>
          <w:szCs w:val="22"/>
        </w:rPr>
        <w:t xml:space="preserve">дом избирательной кампании или моментом голосования [2]. </w:t>
      </w:r>
    </w:p>
    <w:p w:rsidR="00AE3D21" w:rsidRPr="00AE3D21" w:rsidRDefault="00AE3D21" w:rsidP="00AE3D21">
      <w:pPr>
        <w:ind w:firstLine="426"/>
        <w:jc w:val="both"/>
        <w:rPr>
          <w:color w:val="000000"/>
          <w:sz w:val="22"/>
          <w:szCs w:val="22"/>
        </w:rPr>
      </w:pPr>
      <w:r w:rsidRPr="00AE3D21">
        <w:rPr>
          <w:color w:val="000000"/>
          <w:sz w:val="22"/>
          <w:szCs w:val="22"/>
        </w:rPr>
        <w:t>Официальные статистические данные, свидетельствуют о том что, что в Единый день голосования 10 сентября 2017 года высокий уровень электоральной активности граждан был зафиксирован только в Мордовии (81,96%), Саратовской (54,73 %) и Белгоро</w:t>
      </w:r>
      <w:r w:rsidRPr="00AE3D21">
        <w:rPr>
          <w:color w:val="000000"/>
          <w:sz w:val="22"/>
          <w:szCs w:val="22"/>
        </w:rPr>
        <w:t>д</w:t>
      </w:r>
      <w:r w:rsidRPr="00AE3D21">
        <w:rPr>
          <w:color w:val="000000"/>
          <w:sz w:val="22"/>
          <w:szCs w:val="22"/>
        </w:rPr>
        <w:t>ской областях (54, 69%). Остальные регионы отметились средними и низкими показателями.</w:t>
      </w:r>
    </w:p>
    <w:p w:rsidR="00AE3D21" w:rsidRPr="00AE3D21" w:rsidRDefault="00AE3D21" w:rsidP="00AE3D21">
      <w:pPr>
        <w:ind w:firstLine="426"/>
        <w:jc w:val="both"/>
        <w:rPr>
          <w:color w:val="000000"/>
          <w:sz w:val="22"/>
          <w:szCs w:val="22"/>
        </w:rPr>
      </w:pPr>
      <w:r w:rsidRPr="00AE3D21">
        <w:rPr>
          <w:color w:val="000000"/>
          <w:sz w:val="22"/>
          <w:szCs w:val="22"/>
        </w:rPr>
        <w:t>Наличие абсентеизма объясняется внутренними, глубоко скр</w:t>
      </w:r>
      <w:r w:rsidRPr="00AE3D21">
        <w:rPr>
          <w:color w:val="000000"/>
          <w:sz w:val="22"/>
          <w:szCs w:val="22"/>
        </w:rPr>
        <w:t>ы</w:t>
      </w:r>
      <w:r w:rsidRPr="00AE3D21">
        <w:rPr>
          <w:color w:val="000000"/>
          <w:sz w:val="22"/>
          <w:szCs w:val="22"/>
        </w:rPr>
        <w:t>тыми причинами. Человек уверен, его голос ничего не изменит, что противоречит Конституции РФ. Ведь «человек, его права и свободы являются высшей ценностью», их осуществление в политической жизни само по себе предполагает отказ от абсентеизма [1]. Ученые выявили основные причины: низкий уровень правовой образова</w:t>
      </w:r>
      <w:r w:rsidRPr="00AE3D21">
        <w:rPr>
          <w:color w:val="000000"/>
          <w:sz w:val="22"/>
          <w:szCs w:val="22"/>
        </w:rPr>
        <w:t>н</w:t>
      </w:r>
      <w:r w:rsidRPr="00AE3D21">
        <w:rPr>
          <w:color w:val="000000"/>
          <w:sz w:val="22"/>
          <w:szCs w:val="22"/>
        </w:rPr>
        <w:t>ности отдельных слоев населения; отрицательное отношение к з</w:t>
      </w:r>
      <w:r w:rsidRPr="00AE3D21">
        <w:rPr>
          <w:color w:val="000000"/>
          <w:sz w:val="22"/>
          <w:szCs w:val="22"/>
        </w:rPr>
        <w:t>а</w:t>
      </w:r>
      <w:r w:rsidRPr="00AE3D21">
        <w:rPr>
          <w:color w:val="000000"/>
          <w:sz w:val="22"/>
          <w:szCs w:val="22"/>
        </w:rPr>
        <w:t>явленным кандидатам; недоверие к самому избирательному проце</w:t>
      </w:r>
      <w:r w:rsidRPr="00AE3D21">
        <w:rPr>
          <w:color w:val="000000"/>
          <w:sz w:val="22"/>
          <w:szCs w:val="22"/>
        </w:rPr>
        <w:t>с</w:t>
      </w:r>
      <w:r w:rsidRPr="00AE3D21">
        <w:rPr>
          <w:color w:val="000000"/>
          <w:sz w:val="22"/>
          <w:szCs w:val="22"/>
        </w:rPr>
        <w:t>су; недостаток конкурентоспособной оппозиции, нехватка инфо</w:t>
      </w:r>
      <w:r w:rsidRPr="00AE3D21">
        <w:rPr>
          <w:color w:val="000000"/>
          <w:sz w:val="22"/>
          <w:szCs w:val="22"/>
        </w:rPr>
        <w:t>р</w:t>
      </w:r>
      <w:r w:rsidRPr="00AE3D21">
        <w:rPr>
          <w:color w:val="000000"/>
          <w:sz w:val="22"/>
          <w:szCs w:val="22"/>
        </w:rPr>
        <w:lastRenderedPageBreak/>
        <w:t xml:space="preserve">мации о предстоящих выборах, и многое другое. Абсентеизм </w:t>
      </w:r>
      <w:r w:rsidRPr="00AE3D21">
        <w:rPr>
          <w:color w:val="222222"/>
          <w:sz w:val="22"/>
          <w:szCs w:val="22"/>
          <w:shd w:val="clear" w:color="auto" w:fill="FFFFFF"/>
        </w:rPr>
        <w:t> — </w:t>
      </w:r>
      <w:r w:rsidRPr="00AE3D21">
        <w:rPr>
          <w:color w:val="000000"/>
          <w:sz w:val="22"/>
          <w:szCs w:val="22"/>
        </w:rPr>
        <w:t xml:space="preserve"> это верный показатель наличия отрицательных тенденций в общ</w:t>
      </w:r>
      <w:r w:rsidRPr="00AE3D21">
        <w:rPr>
          <w:color w:val="000000"/>
          <w:sz w:val="22"/>
          <w:szCs w:val="22"/>
        </w:rPr>
        <w:t>е</w:t>
      </w:r>
      <w:r w:rsidRPr="00AE3D21">
        <w:rPr>
          <w:color w:val="000000"/>
          <w:sz w:val="22"/>
          <w:szCs w:val="22"/>
        </w:rPr>
        <w:t>стве.</w:t>
      </w:r>
    </w:p>
    <w:p w:rsidR="00AE3D21" w:rsidRPr="00AE3D21" w:rsidRDefault="00AE3D21" w:rsidP="00AE3D21">
      <w:pPr>
        <w:ind w:firstLine="426"/>
        <w:jc w:val="both"/>
        <w:rPr>
          <w:color w:val="000000"/>
          <w:sz w:val="22"/>
          <w:szCs w:val="22"/>
        </w:rPr>
      </w:pPr>
      <w:r w:rsidRPr="00AE3D21">
        <w:rPr>
          <w:color w:val="000000"/>
          <w:sz w:val="22"/>
          <w:szCs w:val="22"/>
        </w:rPr>
        <w:t>В России над данной проблемой сосредоточена серьезная раб</w:t>
      </w:r>
      <w:r w:rsidRPr="00AE3D21">
        <w:rPr>
          <w:color w:val="000000"/>
          <w:sz w:val="22"/>
          <w:szCs w:val="22"/>
        </w:rPr>
        <w:t>о</w:t>
      </w:r>
      <w:r w:rsidRPr="00AE3D21">
        <w:rPr>
          <w:color w:val="000000"/>
          <w:sz w:val="22"/>
          <w:szCs w:val="22"/>
        </w:rPr>
        <w:t>та органов государственной власти. Существуют специальные м</w:t>
      </w:r>
      <w:r w:rsidRPr="00AE3D21">
        <w:rPr>
          <w:color w:val="000000"/>
          <w:sz w:val="22"/>
          <w:szCs w:val="22"/>
        </w:rPr>
        <w:t>е</w:t>
      </w:r>
      <w:r w:rsidRPr="00AE3D21">
        <w:rPr>
          <w:color w:val="000000"/>
          <w:sz w:val="22"/>
          <w:szCs w:val="22"/>
        </w:rPr>
        <w:t>ханизмы: информационная политика и работа избирательных к</w:t>
      </w:r>
      <w:r w:rsidRPr="00AE3D21">
        <w:rPr>
          <w:color w:val="000000"/>
          <w:sz w:val="22"/>
          <w:szCs w:val="22"/>
        </w:rPr>
        <w:t>о</w:t>
      </w:r>
      <w:r w:rsidRPr="00AE3D21">
        <w:rPr>
          <w:color w:val="000000"/>
          <w:sz w:val="22"/>
          <w:szCs w:val="22"/>
        </w:rPr>
        <w:t>миссий, понятная для каждого, обеспечение доступности избир</w:t>
      </w:r>
      <w:r w:rsidRPr="00AE3D21">
        <w:rPr>
          <w:color w:val="000000"/>
          <w:sz w:val="22"/>
          <w:szCs w:val="22"/>
        </w:rPr>
        <w:t>а</w:t>
      </w:r>
      <w:r>
        <w:rPr>
          <w:color w:val="000000"/>
          <w:sz w:val="22"/>
          <w:szCs w:val="22"/>
        </w:rPr>
        <w:t xml:space="preserve">тельных участков, </w:t>
      </w:r>
      <w:r w:rsidRPr="00AE3D21">
        <w:rPr>
          <w:color w:val="000000"/>
          <w:sz w:val="22"/>
          <w:szCs w:val="22"/>
        </w:rPr>
        <w:t>политические акции, тематические игры-выборы, форумы и многое другое.</w:t>
      </w:r>
    </w:p>
    <w:p w:rsidR="00AE3D21" w:rsidRPr="00AE3D21" w:rsidRDefault="00AE3D21" w:rsidP="00AE3D21">
      <w:pPr>
        <w:ind w:firstLine="426"/>
        <w:jc w:val="both"/>
        <w:rPr>
          <w:color w:val="000000"/>
          <w:sz w:val="22"/>
          <w:szCs w:val="22"/>
        </w:rPr>
      </w:pPr>
      <w:r w:rsidRPr="00AE3D21">
        <w:rPr>
          <w:color w:val="000000"/>
          <w:sz w:val="22"/>
          <w:szCs w:val="22"/>
        </w:rPr>
        <w:t>Вызывает уверенность, что правильная и активная работа с м</w:t>
      </w:r>
      <w:r w:rsidRPr="00AE3D21">
        <w:rPr>
          <w:color w:val="000000"/>
          <w:sz w:val="22"/>
          <w:szCs w:val="22"/>
        </w:rPr>
        <w:t>о</w:t>
      </w:r>
      <w:r w:rsidRPr="00AE3D21">
        <w:rPr>
          <w:color w:val="000000"/>
          <w:sz w:val="22"/>
          <w:szCs w:val="22"/>
        </w:rPr>
        <w:t>лодежью, целью которой является зарождение у нее настоящего интереса и неподдельного желания стать частью выборной сист</w:t>
      </w:r>
      <w:r w:rsidRPr="00AE3D21">
        <w:rPr>
          <w:color w:val="000000"/>
          <w:sz w:val="22"/>
          <w:szCs w:val="22"/>
        </w:rPr>
        <w:t>е</w:t>
      </w:r>
      <w:r w:rsidRPr="00AE3D21">
        <w:rPr>
          <w:color w:val="000000"/>
          <w:sz w:val="22"/>
          <w:szCs w:val="22"/>
        </w:rPr>
        <w:t>мы, является основным направлением в решении проблемы полит</w:t>
      </w:r>
      <w:r w:rsidRPr="00AE3D21">
        <w:rPr>
          <w:color w:val="000000"/>
          <w:sz w:val="22"/>
          <w:szCs w:val="22"/>
        </w:rPr>
        <w:t>и</w:t>
      </w:r>
      <w:r w:rsidRPr="00AE3D21">
        <w:rPr>
          <w:color w:val="000000"/>
          <w:sz w:val="22"/>
          <w:szCs w:val="22"/>
        </w:rPr>
        <w:t xml:space="preserve">ческого абсентеизма в России. Молодежь – это будущее нашего государства, а чтобы будущее было счастливым, ему необходимо сделать выбор! </w:t>
      </w:r>
    </w:p>
    <w:p w:rsidR="00AE3D21" w:rsidRPr="00AE3D21" w:rsidRDefault="00AE3D21" w:rsidP="00AE3D21">
      <w:pPr>
        <w:ind w:firstLine="568"/>
        <w:jc w:val="both"/>
        <w:rPr>
          <w:color w:val="000000"/>
          <w:sz w:val="22"/>
          <w:szCs w:val="22"/>
        </w:rPr>
      </w:pPr>
      <w:r w:rsidRPr="00AE3D21">
        <w:rPr>
          <w:color w:val="000000"/>
          <w:sz w:val="22"/>
          <w:szCs w:val="22"/>
        </w:rPr>
        <w:t>Подводя итог, необходимо отметить, что проблема политич</w:t>
      </w:r>
      <w:r w:rsidRPr="00AE3D21">
        <w:rPr>
          <w:color w:val="000000"/>
          <w:sz w:val="22"/>
          <w:szCs w:val="22"/>
        </w:rPr>
        <w:t>е</w:t>
      </w:r>
      <w:r w:rsidRPr="00AE3D21">
        <w:rPr>
          <w:color w:val="000000"/>
          <w:sz w:val="22"/>
          <w:szCs w:val="22"/>
        </w:rPr>
        <w:t>ского абсентеизма существует в России сегодня. Это обусловлено:  недостаточным уровнем доверия граждан к избирательному пр</w:t>
      </w:r>
      <w:r w:rsidRPr="00AE3D21">
        <w:rPr>
          <w:color w:val="000000"/>
          <w:sz w:val="22"/>
          <w:szCs w:val="22"/>
        </w:rPr>
        <w:t>о</w:t>
      </w:r>
      <w:r w:rsidRPr="00AE3D21">
        <w:rPr>
          <w:color w:val="000000"/>
          <w:sz w:val="22"/>
          <w:szCs w:val="22"/>
        </w:rPr>
        <w:t xml:space="preserve">цессу, низкой правовой культурой общества, и многим другим. Но эту проблему можно победить, если этого захочет  каждый. Сделай свой выбор и будь счастливым! </w:t>
      </w:r>
    </w:p>
    <w:p w:rsidR="00AE3D21" w:rsidRPr="00AE3D21" w:rsidRDefault="00AE3D21" w:rsidP="00AE3D21">
      <w:pPr>
        <w:shd w:val="clear" w:color="auto" w:fill="FFFFFF"/>
        <w:ind w:firstLine="425"/>
        <w:jc w:val="both"/>
        <w:textAlignment w:val="baseline"/>
        <w:rPr>
          <w:b/>
          <w:color w:val="000000"/>
          <w:sz w:val="22"/>
          <w:szCs w:val="22"/>
          <w:shd w:val="clear" w:color="auto" w:fill="FFFFFF"/>
        </w:rPr>
      </w:pPr>
    </w:p>
    <w:p w:rsidR="00AE3D21" w:rsidRPr="00AE3D21" w:rsidRDefault="00AE3D21" w:rsidP="00AE3D21">
      <w:pPr>
        <w:shd w:val="clear" w:color="auto" w:fill="FFFFFF"/>
        <w:jc w:val="center"/>
        <w:textAlignment w:val="baseline"/>
        <w:rPr>
          <w:color w:val="000000"/>
          <w:sz w:val="22"/>
          <w:szCs w:val="22"/>
          <w:shd w:val="clear" w:color="auto" w:fill="FFFFFF"/>
        </w:rPr>
      </w:pPr>
      <w:r w:rsidRPr="00AE3D21">
        <w:rPr>
          <w:color w:val="000000"/>
          <w:sz w:val="22"/>
          <w:szCs w:val="22"/>
          <w:shd w:val="clear" w:color="auto" w:fill="FFFFFF"/>
        </w:rPr>
        <w:t>Список литературы</w:t>
      </w:r>
    </w:p>
    <w:p w:rsidR="00AE3D21" w:rsidRPr="00AE3D21" w:rsidRDefault="00AE3D21" w:rsidP="00AE3D21">
      <w:pPr>
        <w:ind w:firstLine="425"/>
        <w:jc w:val="both"/>
        <w:rPr>
          <w:color w:val="000000"/>
          <w:sz w:val="22"/>
          <w:szCs w:val="22"/>
        </w:rPr>
      </w:pPr>
      <w:r w:rsidRPr="00AE3D21">
        <w:rPr>
          <w:color w:val="000000"/>
          <w:sz w:val="22"/>
          <w:szCs w:val="22"/>
        </w:rPr>
        <w:t>1. Конституция "Конституция Российской Федерации" (прин</w:t>
      </w:r>
      <w:r w:rsidRPr="00AE3D21">
        <w:rPr>
          <w:color w:val="000000"/>
          <w:sz w:val="22"/>
          <w:szCs w:val="22"/>
        </w:rPr>
        <w:t>я</w:t>
      </w:r>
      <w:r w:rsidRPr="00AE3D21">
        <w:rPr>
          <w:color w:val="000000"/>
          <w:sz w:val="22"/>
          <w:szCs w:val="22"/>
        </w:rPr>
        <w:t>та всенародным голосованием 12.12.1993) (с учетом поправок, вн</w:t>
      </w:r>
      <w:r w:rsidRPr="00AE3D21">
        <w:rPr>
          <w:color w:val="000000"/>
          <w:sz w:val="22"/>
          <w:szCs w:val="22"/>
        </w:rPr>
        <w:t>е</w:t>
      </w:r>
      <w:r w:rsidRPr="00AE3D21">
        <w:rPr>
          <w:color w:val="000000"/>
          <w:sz w:val="22"/>
          <w:szCs w:val="22"/>
        </w:rPr>
        <w:t>сенных Законами РФ о поправках к Конституции РФ от 30.12.2008 N 6-ФКЗ, от 30.12.2008 N 7-ФКЗ, от 05.02.2014 N 2-ФКЗ, от 21.07.2014 N 11-ФКЗ)</w:t>
      </w:r>
    </w:p>
    <w:p w:rsidR="00AE3D21" w:rsidRPr="00AE3D21" w:rsidRDefault="00AE3D21" w:rsidP="00AE3D21">
      <w:pPr>
        <w:ind w:firstLine="425"/>
        <w:jc w:val="both"/>
        <w:rPr>
          <w:color w:val="000000"/>
          <w:sz w:val="22"/>
          <w:szCs w:val="22"/>
        </w:rPr>
      </w:pPr>
      <w:r w:rsidRPr="00AE3D21">
        <w:rPr>
          <w:color w:val="000000"/>
          <w:sz w:val="22"/>
          <w:szCs w:val="22"/>
        </w:rPr>
        <w:t>2. Мухаев Р.Т. Политология: Учеб</w:t>
      </w:r>
      <w:proofErr w:type="gramStart"/>
      <w:r w:rsidRPr="00AE3D21">
        <w:rPr>
          <w:color w:val="000000"/>
          <w:sz w:val="22"/>
          <w:szCs w:val="22"/>
        </w:rPr>
        <w:t>.</w:t>
      </w:r>
      <w:proofErr w:type="gramEnd"/>
      <w:r w:rsidRPr="00AE3D21">
        <w:rPr>
          <w:color w:val="000000"/>
          <w:sz w:val="22"/>
          <w:szCs w:val="22"/>
        </w:rPr>
        <w:t xml:space="preserve"> </w:t>
      </w:r>
      <w:proofErr w:type="gramStart"/>
      <w:r w:rsidRPr="00AE3D21">
        <w:rPr>
          <w:color w:val="000000"/>
          <w:sz w:val="22"/>
          <w:szCs w:val="22"/>
        </w:rPr>
        <w:t>д</w:t>
      </w:r>
      <w:proofErr w:type="gramEnd"/>
      <w:r w:rsidRPr="00AE3D21">
        <w:rPr>
          <w:color w:val="000000"/>
          <w:sz w:val="22"/>
          <w:szCs w:val="22"/>
        </w:rPr>
        <w:t xml:space="preserve">ля вузов. - М.: Проспект, </w:t>
      </w:r>
      <w:smartTag w:uri="urn:schemas-microsoft-com:office:smarttags" w:element="metricconverter">
        <w:smartTagPr>
          <w:attr w:name="ProductID" w:val="2010 г"/>
        </w:smartTagPr>
        <w:r w:rsidRPr="00AE3D21">
          <w:rPr>
            <w:color w:val="000000"/>
            <w:sz w:val="22"/>
            <w:szCs w:val="22"/>
          </w:rPr>
          <w:t>2010 г</w:t>
        </w:r>
      </w:smartTag>
      <w:r w:rsidRPr="00AE3D21">
        <w:rPr>
          <w:color w:val="000000"/>
          <w:sz w:val="22"/>
          <w:szCs w:val="22"/>
        </w:rPr>
        <w:t xml:space="preserve">., с.- 640. </w:t>
      </w:r>
    </w:p>
    <w:p w:rsidR="00AE3D21" w:rsidRPr="00AE3D21" w:rsidRDefault="00AE3D21" w:rsidP="00AE3D21">
      <w:pPr>
        <w:ind w:firstLine="425"/>
        <w:jc w:val="both"/>
        <w:rPr>
          <w:color w:val="000000"/>
          <w:sz w:val="22"/>
          <w:szCs w:val="22"/>
        </w:rPr>
      </w:pPr>
      <w:r w:rsidRPr="00AE3D21">
        <w:rPr>
          <w:color w:val="000000"/>
          <w:sz w:val="22"/>
          <w:szCs w:val="22"/>
        </w:rPr>
        <w:t>3. Савченко М.С., Дьякова Т.Ю., Бутурлина Е.С., Красницкая А.В., Безуглов С.В., Рассказов В.Л. Избирательное право и избир</w:t>
      </w:r>
      <w:r w:rsidRPr="00AE3D21">
        <w:rPr>
          <w:color w:val="000000"/>
          <w:sz w:val="22"/>
          <w:szCs w:val="22"/>
        </w:rPr>
        <w:t>а</w:t>
      </w:r>
      <w:r w:rsidRPr="00AE3D21">
        <w:rPr>
          <w:color w:val="000000"/>
          <w:sz w:val="22"/>
          <w:szCs w:val="22"/>
        </w:rPr>
        <w:t>тельный процесс в Российской Федерации: Учеб</w:t>
      </w:r>
      <w:proofErr w:type="gramStart"/>
      <w:r w:rsidRPr="00AE3D21">
        <w:rPr>
          <w:color w:val="000000"/>
          <w:sz w:val="22"/>
          <w:szCs w:val="22"/>
        </w:rPr>
        <w:t>.</w:t>
      </w:r>
      <w:proofErr w:type="gramEnd"/>
      <w:r w:rsidRPr="00AE3D21">
        <w:rPr>
          <w:color w:val="000000"/>
          <w:sz w:val="22"/>
          <w:szCs w:val="22"/>
        </w:rPr>
        <w:t xml:space="preserve"> </w:t>
      </w:r>
      <w:proofErr w:type="gramStart"/>
      <w:r w:rsidRPr="00AE3D21">
        <w:rPr>
          <w:color w:val="000000"/>
          <w:sz w:val="22"/>
          <w:szCs w:val="22"/>
        </w:rPr>
        <w:t>п</w:t>
      </w:r>
      <w:proofErr w:type="gramEnd"/>
      <w:r w:rsidRPr="00AE3D21">
        <w:rPr>
          <w:color w:val="000000"/>
          <w:sz w:val="22"/>
          <w:szCs w:val="22"/>
        </w:rPr>
        <w:t xml:space="preserve">особие, КубГАУ, </w:t>
      </w:r>
      <w:smartTag w:uri="urn:schemas-microsoft-com:office:smarttags" w:element="metricconverter">
        <w:smartTagPr>
          <w:attr w:name="ProductID" w:val="2015 г"/>
        </w:smartTagPr>
        <w:r w:rsidRPr="00AE3D21">
          <w:rPr>
            <w:color w:val="000000"/>
            <w:sz w:val="22"/>
            <w:szCs w:val="22"/>
          </w:rPr>
          <w:t>2015 г</w:t>
        </w:r>
      </w:smartTag>
      <w:r w:rsidRPr="00AE3D21">
        <w:rPr>
          <w:color w:val="000000"/>
          <w:sz w:val="22"/>
          <w:szCs w:val="22"/>
        </w:rPr>
        <w:t>., с. – 159.</w:t>
      </w:r>
    </w:p>
    <w:p w:rsidR="00AE3D21" w:rsidRPr="00EC1A78" w:rsidRDefault="00AE3D21" w:rsidP="00EC1A78">
      <w:pPr>
        <w:jc w:val="both"/>
        <w:rPr>
          <w:rFonts w:eastAsiaTheme="minorHAnsi"/>
          <w:sz w:val="22"/>
          <w:szCs w:val="22"/>
          <w:lang w:eastAsia="en-US"/>
        </w:rPr>
      </w:pPr>
    </w:p>
    <w:p w:rsidR="00EE657B" w:rsidRDefault="00106384" w:rsidP="00106384">
      <w:pPr>
        <w:rPr>
          <w:rFonts w:eastAsia="Andale Sans UI"/>
          <w:color w:val="1A1A1A" w:themeColor="background1" w:themeShade="1A"/>
          <w:kern w:val="1"/>
          <w:sz w:val="22"/>
          <w:szCs w:val="22"/>
          <w:lang w:eastAsia="ar-SA"/>
        </w:rPr>
      </w:pPr>
      <w:r>
        <w:rPr>
          <w:rFonts w:eastAsia="Andale Sans UI"/>
          <w:color w:val="1A1A1A" w:themeColor="background1" w:themeShade="1A"/>
          <w:kern w:val="1"/>
          <w:sz w:val="22"/>
          <w:szCs w:val="22"/>
          <w:lang w:eastAsia="ar-SA"/>
        </w:rPr>
        <w:br w:type="page"/>
      </w:r>
    </w:p>
    <w:p w:rsidR="000F594F" w:rsidRPr="00021047" w:rsidRDefault="000F594F" w:rsidP="00021047">
      <w:pPr>
        <w:jc w:val="center"/>
        <w:rPr>
          <w:rFonts w:eastAsia="Calibri"/>
          <w:szCs w:val="20"/>
        </w:rPr>
      </w:pPr>
      <w:r w:rsidRPr="000F594F">
        <w:rPr>
          <w:rFonts w:eastAsia="Calibri"/>
          <w:szCs w:val="20"/>
        </w:rPr>
        <w:lastRenderedPageBreak/>
        <w:t>Содержание</w:t>
      </w:r>
    </w:p>
    <w:tbl>
      <w:tblPr>
        <w:tblStyle w:val="3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708"/>
      </w:tblGrid>
      <w:tr w:rsidR="000C1465" w:rsidRPr="000C1465" w:rsidTr="00EB5229">
        <w:tc>
          <w:tcPr>
            <w:tcW w:w="6096" w:type="dxa"/>
          </w:tcPr>
          <w:p w:rsidR="000C1465" w:rsidRPr="000C1465" w:rsidRDefault="000C1465" w:rsidP="000C1465">
            <w:pPr>
              <w:spacing w:before="120" w:after="120"/>
              <w:jc w:val="center"/>
              <w:rPr>
                <w:b/>
                <w:szCs w:val="20"/>
              </w:rPr>
            </w:pPr>
            <w:r w:rsidRPr="000C1465">
              <w:rPr>
                <w:b/>
                <w:sz w:val="24"/>
                <w:szCs w:val="24"/>
              </w:rPr>
              <w:t>Факультет агрономии и экологии</w:t>
            </w:r>
          </w:p>
        </w:tc>
        <w:tc>
          <w:tcPr>
            <w:tcW w:w="708" w:type="dxa"/>
          </w:tcPr>
          <w:p w:rsidR="000C1465" w:rsidRPr="000C1465" w:rsidRDefault="000C1465" w:rsidP="000C1465">
            <w:pPr>
              <w:rPr>
                <w:rFonts w:eastAsia="Calibri"/>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Белый Д. В., Терехова С. С.</w:t>
            </w:r>
            <w:r w:rsidRPr="000C1465">
              <w:rPr>
                <w:sz w:val="20"/>
                <w:szCs w:val="20"/>
              </w:rPr>
              <w:t xml:space="preserve"> </w:t>
            </w:r>
            <w:r w:rsidRPr="000C1465">
              <w:rPr>
                <w:rFonts w:eastAsia="Calibri"/>
                <w:sz w:val="20"/>
                <w:szCs w:val="20"/>
              </w:rPr>
              <w:t xml:space="preserve">Влияние азотных удобрений в виде подкормки и основного внесения на урожайность кукурузы </w:t>
            </w:r>
            <w:r>
              <w:rPr>
                <w:rFonts w:eastAsia="Calibri"/>
                <w:sz w:val="20"/>
                <w:szCs w:val="20"/>
              </w:rPr>
              <w:br/>
            </w:r>
            <w:r w:rsidRPr="000C1465">
              <w:rPr>
                <w:rFonts w:eastAsia="Calibri"/>
                <w:sz w:val="20"/>
                <w:szCs w:val="20"/>
              </w:rPr>
              <w:t xml:space="preserve">сахарной …………………………………………………………………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Белецкая А. Э. </w:t>
            </w:r>
            <w:r w:rsidRPr="000C1465">
              <w:rPr>
                <w:rFonts w:eastAsia="Calibri"/>
                <w:sz w:val="20"/>
                <w:szCs w:val="20"/>
              </w:rPr>
              <w:t xml:space="preserve">Выявление зависимости между сезонностью </w:t>
            </w:r>
            <w:r>
              <w:rPr>
                <w:rFonts w:eastAsia="Calibri"/>
                <w:sz w:val="20"/>
                <w:szCs w:val="20"/>
              </w:rPr>
              <w:br/>
            </w:r>
            <w:r w:rsidRPr="000C1465">
              <w:rPr>
                <w:rFonts w:eastAsia="Calibri"/>
                <w:sz w:val="20"/>
                <w:szCs w:val="20"/>
              </w:rPr>
              <w:t>и эрозионными процессами (обвалами) на Черноморском побережье мыс Железный рог ……………………………………….......................</w:t>
            </w:r>
            <w:r>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Буц А. В., Цаценко Л. В. </w:t>
            </w:r>
            <w:r w:rsidRPr="000C1465">
              <w:rPr>
                <w:rFonts w:eastAsia="Calibri"/>
                <w:sz w:val="20"/>
                <w:szCs w:val="20"/>
              </w:rPr>
              <w:t>Исследование коллекции гибридов F1 томата с использованием метода Real-Time PCR……………………...</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pacing w:val="-6"/>
                <w:sz w:val="20"/>
                <w:szCs w:val="20"/>
              </w:rPr>
              <w:t xml:space="preserve">Воронько С. С., Стрельников В. В. </w:t>
            </w:r>
            <w:r w:rsidRPr="000C1465">
              <w:rPr>
                <w:rFonts w:eastAsia="Calibri"/>
                <w:spacing w:val="-6"/>
                <w:sz w:val="20"/>
                <w:szCs w:val="20"/>
              </w:rPr>
              <w:t xml:space="preserve">Оценка воздействия завода </w:t>
            </w:r>
            <w:r w:rsidRPr="000C1465">
              <w:rPr>
                <w:rFonts w:eastAsia="Calibri"/>
                <w:spacing w:val="-6"/>
                <w:sz w:val="20"/>
                <w:szCs w:val="20"/>
              </w:rPr>
              <w:br/>
              <w:t>ООО «Ртутная безопасность» на окружающую среду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1</w:t>
            </w:r>
            <w:r w:rsidR="00021047">
              <w:rPr>
                <w:rFonts w:eastAsia="Calibri"/>
                <w:i/>
                <w:sz w:val="20"/>
                <w:szCs w:val="20"/>
              </w:rPr>
              <w:t>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Войтенко Л. Ю. </w:t>
            </w:r>
            <w:r w:rsidRPr="000C1465">
              <w:rPr>
                <w:rFonts w:eastAsia="Calibri"/>
                <w:sz w:val="20"/>
                <w:szCs w:val="20"/>
              </w:rPr>
              <w:t xml:space="preserve">Изучение запыленности атмосферного воздуха </w:t>
            </w:r>
            <w:r w:rsidRPr="000C1465">
              <w:rPr>
                <w:rFonts w:eastAsia="Calibri"/>
                <w:sz w:val="20"/>
                <w:szCs w:val="20"/>
              </w:rPr>
              <w:br/>
              <w:t>на ООО «Крымский хлебозавод» гравиметрическим методом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Голубева А. Д. </w:t>
            </w:r>
            <w:r w:rsidRPr="000C1465">
              <w:rPr>
                <w:rFonts w:eastAsia="Calibri"/>
                <w:sz w:val="20"/>
                <w:szCs w:val="20"/>
              </w:rPr>
              <w:t>Влияние автозаправочной станции на экологическое состояние почвенно-растительного слоя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Гричук А. С. </w:t>
            </w:r>
            <w:r w:rsidRPr="000C1465">
              <w:rPr>
                <w:rFonts w:eastAsia="Calibri"/>
                <w:sz w:val="20"/>
                <w:szCs w:val="20"/>
              </w:rPr>
              <w:t>Животноводческий комплекс АО «Путиловец Юг» как источник загрязнения окружающей среды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Гизетдинова А. В.,</w:t>
            </w:r>
            <w:r w:rsidRPr="000C1465">
              <w:rPr>
                <w:sz w:val="20"/>
                <w:szCs w:val="20"/>
              </w:rPr>
              <w:t xml:space="preserve"> </w:t>
            </w:r>
            <w:r w:rsidRPr="000C1465">
              <w:rPr>
                <w:rFonts w:eastAsia="Calibri"/>
                <w:b/>
                <w:sz w:val="20"/>
                <w:szCs w:val="20"/>
              </w:rPr>
              <w:t xml:space="preserve">Зеленская О. В. </w:t>
            </w:r>
            <w:r w:rsidRPr="000C1465">
              <w:rPr>
                <w:rFonts w:eastAsia="Calibri"/>
                <w:sz w:val="20"/>
                <w:szCs w:val="20"/>
              </w:rPr>
              <w:t>Проблемы горных рек</w:t>
            </w:r>
            <w:r w:rsidR="00497C98">
              <w:rPr>
                <w:rFonts w:eastAsia="Calibri"/>
                <w:sz w:val="20"/>
                <w:szCs w:val="20"/>
              </w:rPr>
              <w:br/>
            </w:r>
            <w:r w:rsidRPr="000C1465">
              <w:rPr>
                <w:rFonts w:eastAsia="Calibri"/>
                <w:sz w:val="20"/>
                <w:szCs w:val="20"/>
              </w:rPr>
              <w:t>Краснодарского края …………………………………………………</w:t>
            </w:r>
            <w:r w:rsidR="00497C98">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Голобородько А. А.,</w:t>
            </w:r>
            <w:r w:rsidRPr="000C1465">
              <w:rPr>
                <w:rFonts w:eastAsia="Courier New"/>
                <w:b/>
                <w:color w:val="000000"/>
                <w:sz w:val="20"/>
                <w:szCs w:val="20"/>
              </w:rPr>
              <w:t xml:space="preserve"> Мамась Н. Н.</w:t>
            </w:r>
            <w:r w:rsidRPr="000C1465">
              <w:rPr>
                <w:rFonts w:eastAsia="Calibri"/>
                <w:sz w:val="20"/>
                <w:szCs w:val="20"/>
              </w:rPr>
              <w:t xml:space="preserve"> Значение степных рек для </w:t>
            </w:r>
            <w:r w:rsidR="00ED7197">
              <w:rPr>
                <w:rFonts w:eastAsia="Calibri"/>
                <w:sz w:val="20"/>
                <w:szCs w:val="20"/>
              </w:rPr>
              <w:br/>
            </w:r>
            <w:r w:rsidRPr="000C1465">
              <w:rPr>
                <w:rFonts w:eastAsia="Calibri"/>
                <w:sz w:val="20"/>
                <w:szCs w:val="20"/>
              </w:rPr>
              <w:t>экосистем Краснодарского края и населения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Давиденко П. Е.,</w:t>
            </w:r>
            <w:r w:rsidRPr="000C1465">
              <w:rPr>
                <w:sz w:val="20"/>
                <w:szCs w:val="20"/>
              </w:rPr>
              <w:t xml:space="preserve"> </w:t>
            </w:r>
            <w:r w:rsidRPr="000C1465">
              <w:rPr>
                <w:rFonts w:eastAsia="Calibri"/>
                <w:b/>
                <w:sz w:val="20"/>
                <w:szCs w:val="20"/>
              </w:rPr>
              <w:t xml:space="preserve">Перебора Е. А. </w:t>
            </w:r>
            <w:r w:rsidRPr="000C1465">
              <w:rPr>
                <w:rFonts w:eastAsia="Calibri"/>
                <w:sz w:val="20"/>
                <w:szCs w:val="20"/>
              </w:rPr>
              <w:t>Негативные факторы воздействия цементного производства Краснодарского края на окружающую среду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27</w:t>
            </w:r>
          </w:p>
        </w:tc>
      </w:tr>
      <w:tr w:rsidR="000C1465" w:rsidRPr="000C1465" w:rsidTr="00EB5229">
        <w:tc>
          <w:tcPr>
            <w:tcW w:w="6096" w:type="dxa"/>
          </w:tcPr>
          <w:p w:rsidR="000C1465" w:rsidRPr="000C1465" w:rsidRDefault="000C1465" w:rsidP="000C1465">
            <w:pPr>
              <w:jc w:val="both"/>
              <w:rPr>
                <w:rFonts w:eastAsia="Calibri"/>
                <w:b/>
                <w:spacing w:val="-4"/>
                <w:sz w:val="20"/>
                <w:szCs w:val="20"/>
              </w:rPr>
            </w:pPr>
            <w:r w:rsidRPr="000C1465">
              <w:rPr>
                <w:rFonts w:eastAsia="Calibri"/>
                <w:b/>
                <w:sz w:val="20"/>
                <w:szCs w:val="20"/>
              </w:rPr>
              <w:t xml:space="preserve">Евсин М. И., Белюченко И. С., Суркова Е. В. </w:t>
            </w:r>
            <w:r w:rsidRPr="000C1465">
              <w:rPr>
                <w:rFonts w:eastAsia="Calibri"/>
                <w:sz w:val="20"/>
                <w:szCs w:val="20"/>
              </w:rPr>
              <w:t>Овес посевной и его значение для сельского хозяйства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30</w:t>
            </w:r>
          </w:p>
        </w:tc>
      </w:tr>
      <w:tr w:rsidR="000C1465" w:rsidRPr="000C1465" w:rsidTr="00EB5229">
        <w:tc>
          <w:tcPr>
            <w:tcW w:w="6096" w:type="dxa"/>
          </w:tcPr>
          <w:p w:rsidR="000C1465" w:rsidRPr="000C1465" w:rsidRDefault="000C1465" w:rsidP="000C1465">
            <w:pPr>
              <w:jc w:val="both"/>
              <w:rPr>
                <w:rFonts w:eastAsia="Calibri"/>
                <w:b/>
                <w:spacing w:val="-4"/>
                <w:sz w:val="20"/>
                <w:szCs w:val="20"/>
              </w:rPr>
            </w:pPr>
            <w:r w:rsidRPr="000C1465">
              <w:rPr>
                <w:rFonts w:eastAsia="Calibri"/>
                <w:b/>
                <w:sz w:val="20"/>
                <w:szCs w:val="20"/>
              </w:rPr>
              <w:t>Клименко В. А.,</w:t>
            </w:r>
            <w:r w:rsidRPr="000C1465">
              <w:rPr>
                <w:sz w:val="20"/>
                <w:szCs w:val="20"/>
              </w:rPr>
              <w:t xml:space="preserve"> </w:t>
            </w:r>
            <w:r w:rsidRPr="000C1465">
              <w:rPr>
                <w:rFonts w:eastAsia="Calibri"/>
                <w:b/>
                <w:sz w:val="20"/>
                <w:szCs w:val="20"/>
              </w:rPr>
              <w:t xml:space="preserve">Чернышева Н. В. </w:t>
            </w:r>
            <w:r w:rsidRPr="000C1465">
              <w:rPr>
                <w:rFonts w:eastAsia="Calibri"/>
                <w:sz w:val="20"/>
                <w:szCs w:val="20"/>
              </w:rPr>
              <w:t>Влияние ОСК ст. Брюховецкой на состояние растительности на прилегающей территории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32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Коблянский А. С., Репко Н. В. </w:t>
            </w:r>
            <w:r w:rsidRPr="000C1465">
              <w:rPr>
                <w:rFonts w:eastAsia="Calibri"/>
                <w:sz w:val="20"/>
                <w:szCs w:val="20"/>
              </w:rPr>
              <w:t xml:space="preserve">Формирование озерненности </w:t>
            </w:r>
            <w:r w:rsidR="00ED7197">
              <w:rPr>
                <w:rFonts w:eastAsia="Calibri"/>
                <w:sz w:val="20"/>
                <w:szCs w:val="20"/>
              </w:rPr>
              <w:br/>
            </w:r>
            <w:r w:rsidRPr="000C1465">
              <w:rPr>
                <w:rFonts w:eastAsia="Calibri"/>
                <w:sz w:val="20"/>
                <w:szCs w:val="20"/>
              </w:rPr>
              <w:t xml:space="preserve">колоса сортов озимого ячменя в зависимости от обработки </w:t>
            </w:r>
            <w:r w:rsidR="00ED7197">
              <w:rPr>
                <w:rFonts w:eastAsia="Calibri"/>
                <w:sz w:val="20"/>
                <w:szCs w:val="20"/>
              </w:rPr>
              <w:br/>
            </w:r>
            <w:r w:rsidRPr="000C1465">
              <w:rPr>
                <w:rFonts w:eastAsia="Calibri"/>
                <w:sz w:val="20"/>
                <w:szCs w:val="20"/>
              </w:rPr>
              <w:t>стимуляторами роста……………………………………………………</w:t>
            </w:r>
            <w:r w:rsidR="00ED7197">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35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Лагутина В. А.</w:t>
            </w:r>
            <w:r w:rsidRPr="000C1465">
              <w:rPr>
                <w:rFonts w:eastAsia="Calibri"/>
                <w:sz w:val="20"/>
                <w:szCs w:val="20"/>
              </w:rPr>
              <w:t xml:space="preserve"> Пылевое загрязнение среды, как аспект </w:t>
            </w:r>
            <w:r w:rsidR="00ED7197">
              <w:rPr>
                <w:rFonts w:eastAsia="Calibri"/>
                <w:sz w:val="20"/>
                <w:szCs w:val="20"/>
              </w:rPr>
              <w:br/>
            </w:r>
            <w:r w:rsidRPr="000C1465">
              <w:rPr>
                <w:rFonts w:eastAsia="Calibri"/>
                <w:sz w:val="20"/>
                <w:szCs w:val="20"/>
              </w:rPr>
              <w:t xml:space="preserve">экологической безопасности предприятия строительной отрасли </w:t>
            </w:r>
            <w:r w:rsidRPr="000C1465">
              <w:rPr>
                <w:rFonts w:eastAsia="Calibri"/>
                <w:sz w:val="20"/>
                <w:szCs w:val="20"/>
              </w:rPr>
              <w:br/>
              <w:t>на примере ООО «Строитель»……………………………………….....</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38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Мунджишвили К. А., Герасименко В. Н. </w:t>
            </w:r>
            <w:r w:rsidRPr="000C1465">
              <w:rPr>
                <w:rFonts w:eastAsia="Calibri"/>
                <w:sz w:val="20"/>
                <w:szCs w:val="20"/>
              </w:rPr>
              <w:t>Урожайность гибридов подсолнечника в условиях Курганинского района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41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Мищенко С. С., Суркова Е. В.</w:t>
            </w:r>
            <w:r w:rsidRPr="000C1465">
              <w:rPr>
                <w:rFonts w:eastAsia="Calibri"/>
                <w:sz w:val="20"/>
                <w:szCs w:val="20"/>
              </w:rPr>
              <w:t xml:space="preserve"> Определение влияния сезонов </w:t>
            </w:r>
            <w:r w:rsidRPr="000C1465">
              <w:rPr>
                <w:rFonts w:eastAsia="Calibri"/>
                <w:sz w:val="20"/>
                <w:szCs w:val="20"/>
              </w:rPr>
              <w:br/>
              <w:t>на водородный показатель</w:t>
            </w:r>
            <w:r w:rsidR="007637EA">
              <w:rPr>
                <w:rFonts w:eastAsia="Calibri"/>
                <w:sz w:val="20"/>
                <w:szCs w:val="20"/>
              </w:rPr>
              <w:t xml:space="preserve"> пожарного водоема ВНИИМК города</w:t>
            </w:r>
            <w:r w:rsidRPr="000C1465">
              <w:rPr>
                <w:rFonts w:eastAsia="Calibri"/>
                <w:sz w:val="20"/>
                <w:szCs w:val="20"/>
              </w:rPr>
              <w:t xml:space="preserve"> Краснодара……………………………………………………………….</w:t>
            </w:r>
          </w:p>
        </w:tc>
        <w:tc>
          <w:tcPr>
            <w:tcW w:w="708" w:type="dxa"/>
          </w:tcPr>
          <w:p w:rsidR="000C1465" w:rsidRPr="000C1465" w:rsidRDefault="000C1465" w:rsidP="000C1465">
            <w:pPr>
              <w:rPr>
                <w:rFonts w:eastAsia="Calibri"/>
                <w:i/>
                <w:sz w:val="20"/>
                <w:szCs w:val="20"/>
              </w:rPr>
            </w:pPr>
          </w:p>
          <w:p w:rsidR="007637EA" w:rsidRDefault="007637EA"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44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Пасхалиди В. Г.,</w:t>
            </w:r>
            <w:r w:rsidRPr="000C1465">
              <w:rPr>
                <w:sz w:val="20"/>
                <w:szCs w:val="20"/>
              </w:rPr>
              <w:t xml:space="preserve"> </w:t>
            </w:r>
            <w:r w:rsidRPr="000C1465">
              <w:rPr>
                <w:rFonts w:eastAsia="Calibri"/>
                <w:b/>
                <w:sz w:val="20"/>
                <w:szCs w:val="20"/>
              </w:rPr>
              <w:t>Цаценко Л. В., Зеленцов С. В.</w:t>
            </w:r>
            <w:r w:rsidRPr="000C1465">
              <w:rPr>
                <w:sz w:val="20"/>
                <w:szCs w:val="20"/>
              </w:rPr>
              <w:t xml:space="preserve"> </w:t>
            </w:r>
            <w:r w:rsidRPr="000C1465">
              <w:rPr>
                <w:rFonts w:eastAsia="Calibri"/>
                <w:sz w:val="20"/>
                <w:szCs w:val="20"/>
              </w:rPr>
              <w:t>Использование новых источников ККГ в селекции сои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46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Савиченко Д. Л., Мащенко А. Н., Цаценко Л. В. </w:t>
            </w:r>
            <w:r w:rsidRPr="000C1465">
              <w:rPr>
                <w:rFonts w:eastAsia="Calibri"/>
                <w:sz w:val="20"/>
                <w:szCs w:val="20"/>
              </w:rPr>
              <w:t>Предселекцио</w:t>
            </w:r>
            <w:r w:rsidRPr="000C1465">
              <w:rPr>
                <w:rFonts w:eastAsia="Calibri"/>
                <w:sz w:val="20"/>
                <w:szCs w:val="20"/>
              </w:rPr>
              <w:t>н</w:t>
            </w:r>
            <w:r w:rsidRPr="000C1465">
              <w:rPr>
                <w:rFonts w:eastAsia="Calibri"/>
                <w:sz w:val="20"/>
                <w:szCs w:val="20"/>
              </w:rPr>
              <w:t xml:space="preserve">ное исследование коллекционных образцов озимой мягкой </w:t>
            </w:r>
            <w:r w:rsidR="007637EA">
              <w:rPr>
                <w:rFonts w:eastAsia="Calibri"/>
                <w:sz w:val="20"/>
                <w:szCs w:val="20"/>
              </w:rPr>
              <w:br/>
            </w:r>
            <w:r w:rsidRPr="000C1465">
              <w:rPr>
                <w:rFonts w:eastAsia="Calibri"/>
                <w:sz w:val="20"/>
                <w:szCs w:val="20"/>
              </w:rPr>
              <w:t>пшеницы с признаком «многоцветковость»…………………..</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48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Сорокина М. А. </w:t>
            </w:r>
            <w:r w:rsidRPr="000C1465">
              <w:rPr>
                <w:rFonts w:eastAsia="Calibri"/>
                <w:sz w:val="20"/>
                <w:szCs w:val="20"/>
              </w:rPr>
              <w:t xml:space="preserve">Автотранспортное предприятие как источник </w:t>
            </w:r>
            <w:r w:rsidR="007637EA">
              <w:rPr>
                <w:rFonts w:eastAsia="Calibri"/>
                <w:sz w:val="20"/>
                <w:szCs w:val="20"/>
              </w:rPr>
              <w:br/>
            </w:r>
            <w:r w:rsidRPr="000C1465">
              <w:rPr>
                <w:rFonts w:eastAsia="Calibri"/>
                <w:sz w:val="20"/>
                <w:szCs w:val="20"/>
              </w:rPr>
              <w:t>загрязнения окружающей среды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51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Савинова О.</w:t>
            </w:r>
            <w:r w:rsidRPr="000C1465">
              <w:rPr>
                <w:rFonts w:eastAsia="Calibri"/>
                <w:sz w:val="20"/>
                <w:szCs w:val="20"/>
              </w:rPr>
              <w:t> </w:t>
            </w:r>
            <w:r w:rsidRPr="000C1465">
              <w:rPr>
                <w:rFonts w:eastAsia="Calibri"/>
                <w:b/>
                <w:sz w:val="20"/>
                <w:szCs w:val="20"/>
              </w:rPr>
              <w:t>А.,</w:t>
            </w:r>
            <w:r w:rsidRPr="000C1465">
              <w:rPr>
                <w:sz w:val="20"/>
                <w:szCs w:val="20"/>
              </w:rPr>
              <w:t xml:space="preserve"> </w:t>
            </w:r>
            <w:r w:rsidRPr="000C1465">
              <w:rPr>
                <w:rFonts w:eastAsia="Calibri"/>
                <w:b/>
                <w:sz w:val="20"/>
                <w:szCs w:val="20"/>
              </w:rPr>
              <w:t>Хмара И. В.</w:t>
            </w:r>
            <w:r w:rsidRPr="000C1465">
              <w:rPr>
                <w:rFonts w:eastAsia="Calibri"/>
                <w:sz w:val="20"/>
                <w:szCs w:val="20"/>
              </w:rPr>
              <w:t xml:space="preserve"> Перспектива использования </w:t>
            </w:r>
            <w:r w:rsidR="007637EA">
              <w:rPr>
                <w:rFonts w:eastAsia="Calibri"/>
                <w:sz w:val="20"/>
                <w:szCs w:val="20"/>
              </w:rPr>
              <w:br/>
            </w:r>
            <w:r w:rsidRPr="000C1465">
              <w:rPr>
                <w:rFonts w:eastAsia="Calibri"/>
                <w:sz w:val="20"/>
                <w:szCs w:val="20"/>
              </w:rPr>
              <w:t xml:space="preserve">брюхоногих моллюсков рода Achatina в экотоксикологических </w:t>
            </w:r>
            <w:r w:rsidR="007637EA">
              <w:rPr>
                <w:rFonts w:eastAsia="Calibri"/>
                <w:sz w:val="20"/>
                <w:szCs w:val="20"/>
              </w:rPr>
              <w:br/>
            </w:r>
            <w:r w:rsidRPr="000C1465">
              <w:rPr>
                <w:rFonts w:eastAsia="Calibri"/>
                <w:sz w:val="20"/>
                <w:szCs w:val="20"/>
              </w:rPr>
              <w:t>экспериментах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53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Смирнова Д. Г. </w:t>
            </w:r>
            <w:r w:rsidRPr="000C1465">
              <w:rPr>
                <w:rFonts w:eastAsia="Calibri"/>
                <w:sz w:val="20"/>
                <w:szCs w:val="20"/>
              </w:rPr>
              <w:t xml:space="preserve">Оценка состояния древостоя лесополосы </w:t>
            </w:r>
            <w:r w:rsidR="007637EA">
              <w:rPr>
                <w:rFonts w:eastAsia="Calibri"/>
                <w:sz w:val="20"/>
                <w:szCs w:val="20"/>
              </w:rPr>
              <w:br/>
            </w:r>
            <w:r w:rsidRPr="000C1465">
              <w:rPr>
                <w:rFonts w:eastAsia="Calibri"/>
                <w:sz w:val="20"/>
                <w:szCs w:val="20"/>
              </w:rPr>
              <w:t>восточной части г. Буденновска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56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Старков А. С. </w:t>
            </w:r>
            <w:r w:rsidRPr="000C1465">
              <w:rPr>
                <w:rFonts w:eastAsia="Calibri"/>
                <w:sz w:val="20"/>
                <w:szCs w:val="20"/>
              </w:rPr>
              <w:t>Общая характеристика экологических проблем Краснодарского водохранилища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59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Туляева К. Н.</w:t>
            </w:r>
            <w:r w:rsidRPr="000C1465">
              <w:rPr>
                <w:rFonts w:eastAsia="Calibri"/>
                <w:sz w:val="20"/>
                <w:szCs w:val="20"/>
              </w:rPr>
              <w:t xml:space="preserve"> Изучение загрязнения почвы прилегающей </w:t>
            </w:r>
            <w:r w:rsidR="007637EA">
              <w:rPr>
                <w:rFonts w:eastAsia="Calibri"/>
                <w:sz w:val="20"/>
                <w:szCs w:val="20"/>
              </w:rPr>
              <w:br/>
            </w:r>
            <w:r w:rsidRPr="000C1465">
              <w:rPr>
                <w:rFonts w:eastAsia="Calibri"/>
                <w:sz w:val="20"/>
                <w:szCs w:val="20"/>
              </w:rPr>
              <w:t>территор</w:t>
            </w:r>
            <w:proofErr w:type="gramStart"/>
            <w:r w:rsidRPr="000C1465">
              <w:rPr>
                <w:rFonts w:eastAsia="Calibri"/>
                <w:sz w:val="20"/>
                <w:szCs w:val="20"/>
              </w:rPr>
              <w:t>ии ООО</w:t>
            </w:r>
            <w:proofErr w:type="gramEnd"/>
            <w:r w:rsidRPr="000C1465">
              <w:rPr>
                <w:rFonts w:eastAsia="Calibri"/>
                <w:sz w:val="20"/>
                <w:szCs w:val="20"/>
              </w:rPr>
              <w:t xml:space="preserve"> «Афипский НПЗ» Северского района методом биотестирования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62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Убийконь А. С.</w:t>
            </w:r>
            <w:r w:rsidRPr="000C1465">
              <w:rPr>
                <w:rFonts w:eastAsia="Calibri"/>
                <w:sz w:val="20"/>
                <w:szCs w:val="20"/>
              </w:rPr>
              <w:t xml:space="preserve"> Влияние несанкционированной свалки </w:t>
            </w:r>
            <w:r w:rsidRPr="000C1465">
              <w:rPr>
                <w:rFonts w:eastAsia="Calibri"/>
                <w:sz w:val="20"/>
                <w:szCs w:val="20"/>
              </w:rPr>
              <w:br/>
              <w:t>на прилегающую территорию в окрестностях г. Кропоткин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64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Филатов Д. А.,</w:t>
            </w:r>
            <w:r w:rsidRPr="000C1465">
              <w:rPr>
                <w:sz w:val="20"/>
                <w:szCs w:val="20"/>
              </w:rPr>
              <w:t xml:space="preserve"> </w:t>
            </w:r>
            <w:r w:rsidRPr="000C1465">
              <w:rPr>
                <w:rFonts w:eastAsia="Calibri"/>
                <w:b/>
                <w:sz w:val="20"/>
                <w:szCs w:val="20"/>
              </w:rPr>
              <w:t xml:space="preserve">Белюченко И. С. </w:t>
            </w:r>
            <w:r w:rsidRPr="000C1465">
              <w:rPr>
                <w:rFonts w:eastAsia="Calibri"/>
                <w:sz w:val="20"/>
                <w:szCs w:val="20"/>
              </w:rPr>
              <w:t>Оценка загрязнения атмосферн</w:t>
            </w:r>
            <w:r w:rsidRPr="000C1465">
              <w:rPr>
                <w:rFonts w:eastAsia="Calibri"/>
                <w:sz w:val="20"/>
                <w:szCs w:val="20"/>
              </w:rPr>
              <w:t>о</w:t>
            </w:r>
            <w:r w:rsidRPr="000C1465">
              <w:rPr>
                <w:rFonts w:eastAsia="Calibri"/>
                <w:sz w:val="20"/>
                <w:szCs w:val="20"/>
              </w:rPr>
              <w:t>го воздуха в Комсомольском микрорайоне города Краснодара……</w:t>
            </w:r>
            <w:r w:rsidR="007637EA">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67</w:t>
            </w:r>
          </w:p>
        </w:tc>
      </w:tr>
      <w:tr w:rsidR="000C1465" w:rsidRPr="000C1465" w:rsidTr="00EB5229">
        <w:tc>
          <w:tcPr>
            <w:tcW w:w="6096" w:type="dxa"/>
            <w:vAlign w:val="center"/>
          </w:tcPr>
          <w:p w:rsidR="007637EA" w:rsidRPr="000C1465" w:rsidRDefault="000C1465" w:rsidP="00510884">
            <w:pPr>
              <w:spacing w:before="120" w:after="120"/>
              <w:jc w:val="center"/>
              <w:rPr>
                <w:rFonts w:eastAsia="Calibri"/>
                <w:b/>
                <w:sz w:val="24"/>
                <w:szCs w:val="24"/>
              </w:rPr>
            </w:pPr>
            <w:r w:rsidRPr="000C1465">
              <w:rPr>
                <w:rFonts w:eastAsia="Calibri"/>
                <w:b/>
                <w:sz w:val="24"/>
                <w:szCs w:val="24"/>
              </w:rPr>
              <w:t>Факультет агрохимии и защиты растений</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Занозина О. Д., Шабанова И. В. </w:t>
            </w:r>
            <w:r w:rsidRPr="000C1465">
              <w:rPr>
                <w:rFonts w:eastAsia="Calibri"/>
                <w:sz w:val="20"/>
                <w:szCs w:val="20"/>
              </w:rPr>
              <w:t>Использование микроудобрения на основе цинка для улучшения качества зерна озимой пшеницы</w:t>
            </w:r>
            <w:r w:rsidR="007637EA">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71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Калюжная А. О.,</w:t>
            </w:r>
            <w:r w:rsidRPr="000C1465">
              <w:rPr>
                <w:sz w:val="20"/>
                <w:szCs w:val="20"/>
              </w:rPr>
              <w:t xml:space="preserve"> </w:t>
            </w:r>
            <w:r w:rsidRPr="000C1465">
              <w:rPr>
                <w:rFonts w:eastAsia="Calibri"/>
                <w:b/>
                <w:sz w:val="20"/>
                <w:szCs w:val="20"/>
              </w:rPr>
              <w:t xml:space="preserve">Мордалева Л. Г. </w:t>
            </w:r>
            <w:r w:rsidRPr="000C1465">
              <w:rPr>
                <w:rFonts w:eastAsia="Calibri"/>
                <w:sz w:val="20"/>
                <w:szCs w:val="20"/>
              </w:rPr>
              <w:t xml:space="preserve">Видовой состав сорной </w:t>
            </w:r>
            <w:r w:rsidR="007637EA">
              <w:rPr>
                <w:rFonts w:eastAsia="Calibri"/>
                <w:sz w:val="20"/>
                <w:szCs w:val="20"/>
              </w:rPr>
              <w:br/>
            </w:r>
            <w:r w:rsidRPr="000C1465">
              <w:rPr>
                <w:rFonts w:eastAsia="Calibri"/>
                <w:sz w:val="20"/>
                <w:szCs w:val="20"/>
              </w:rPr>
              <w:t>растительности в посевах подсолнечника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74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Кешишьян В. В.,</w:t>
            </w:r>
            <w:r w:rsidRPr="000C1465">
              <w:rPr>
                <w:sz w:val="20"/>
                <w:szCs w:val="20"/>
              </w:rPr>
              <w:t xml:space="preserve"> </w:t>
            </w:r>
            <w:r w:rsidRPr="000C1465">
              <w:rPr>
                <w:rFonts w:eastAsia="Calibri"/>
                <w:b/>
                <w:sz w:val="20"/>
                <w:szCs w:val="20"/>
              </w:rPr>
              <w:t>Ногинова А. В.,</w:t>
            </w:r>
            <w:r w:rsidRPr="000C1465">
              <w:rPr>
                <w:sz w:val="20"/>
                <w:szCs w:val="20"/>
              </w:rPr>
              <w:t xml:space="preserve"> </w:t>
            </w:r>
            <w:r w:rsidRPr="000C1465">
              <w:rPr>
                <w:rFonts w:eastAsia="Calibri"/>
                <w:b/>
                <w:sz w:val="20"/>
                <w:szCs w:val="20"/>
              </w:rPr>
              <w:t xml:space="preserve">Слюсарев В. Н. </w:t>
            </w:r>
            <w:r w:rsidRPr="000C1465">
              <w:rPr>
                <w:rFonts w:eastAsia="Calibri"/>
                <w:sz w:val="20"/>
                <w:szCs w:val="20"/>
              </w:rPr>
              <w:t xml:space="preserve">Действие </w:t>
            </w:r>
            <w:r w:rsidR="007637EA">
              <w:rPr>
                <w:rFonts w:eastAsia="Calibri"/>
                <w:sz w:val="20"/>
                <w:szCs w:val="20"/>
              </w:rPr>
              <w:br/>
            </w:r>
            <w:r w:rsidRPr="000C1465">
              <w:rPr>
                <w:rFonts w:eastAsia="Calibri"/>
                <w:sz w:val="20"/>
                <w:szCs w:val="20"/>
              </w:rPr>
              <w:t xml:space="preserve">технологий выращивания полевых культур на состояние </w:t>
            </w:r>
            <w:r w:rsidR="007637EA">
              <w:rPr>
                <w:rFonts w:eastAsia="Calibri"/>
                <w:sz w:val="20"/>
                <w:szCs w:val="20"/>
              </w:rPr>
              <w:br/>
            </w:r>
            <w:r w:rsidRPr="000C1465">
              <w:rPr>
                <w:rFonts w:eastAsia="Calibri"/>
                <w:sz w:val="20"/>
                <w:szCs w:val="20"/>
              </w:rPr>
              <w:t>почвенного поглощающего комплекса чернозема выщелоченного западного Предкавказья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76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Козлова С. А., Акимова А. А., Швец Т. В. </w:t>
            </w:r>
            <w:r w:rsidRPr="000C1465">
              <w:rPr>
                <w:rFonts w:eastAsia="Calibri"/>
                <w:sz w:val="20"/>
                <w:szCs w:val="20"/>
              </w:rPr>
              <w:t xml:space="preserve">Гумусное состояние </w:t>
            </w:r>
            <w:r w:rsidRPr="000C1465">
              <w:rPr>
                <w:rFonts w:eastAsia="Calibri"/>
                <w:sz w:val="20"/>
                <w:szCs w:val="20"/>
              </w:rPr>
              <w:br/>
              <w:t xml:space="preserve">и биологическая активность чернозема выщелоченного при </w:t>
            </w:r>
            <w:r w:rsidR="007637EA">
              <w:rPr>
                <w:rFonts w:eastAsia="Calibri"/>
                <w:sz w:val="20"/>
                <w:szCs w:val="20"/>
              </w:rPr>
              <w:br/>
            </w:r>
            <w:r w:rsidRPr="000C1465">
              <w:rPr>
                <w:rFonts w:eastAsia="Calibri"/>
                <w:sz w:val="20"/>
                <w:szCs w:val="20"/>
              </w:rPr>
              <w:t xml:space="preserve">возделывании озимой пшеницы в учхозе "Кубань" города </w:t>
            </w:r>
            <w:r w:rsidR="007637EA">
              <w:rPr>
                <w:rFonts w:eastAsia="Calibri"/>
                <w:sz w:val="20"/>
                <w:szCs w:val="20"/>
              </w:rPr>
              <w:br/>
            </w:r>
            <w:r w:rsidRPr="000C1465">
              <w:rPr>
                <w:rFonts w:eastAsia="Calibri"/>
                <w:sz w:val="20"/>
                <w:szCs w:val="20"/>
              </w:rPr>
              <w:t>Краснодара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79</w:t>
            </w:r>
          </w:p>
        </w:tc>
      </w:tr>
      <w:tr w:rsidR="000C1465" w:rsidRPr="000C1465" w:rsidTr="00EB5229">
        <w:tc>
          <w:tcPr>
            <w:tcW w:w="6096" w:type="dxa"/>
          </w:tcPr>
          <w:p w:rsidR="007637EA" w:rsidRPr="000C1465" w:rsidRDefault="000C1465" w:rsidP="000C1465">
            <w:pPr>
              <w:jc w:val="both"/>
              <w:rPr>
                <w:rFonts w:eastAsia="Calibri"/>
                <w:sz w:val="20"/>
                <w:szCs w:val="20"/>
              </w:rPr>
            </w:pPr>
            <w:r w:rsidRPr="000C1465">
              <w:rPr>
                <w:rFonts w:eastAsia="Calibri"/>
                <w:b/>
                <w:sz w:val="20"/>
                <w:szCs w:val="20"/>
              </w:rPr>
              <w:t>Кучукова О. А.,</w:t>
            </w:r>
            <w:r w:rsidRPr="000C1465">
              <w:rPr>
                <w:sz w:val="20"/>
                <w:szCs w:val="20"/>
              </w:rPr>
              <w:t xml:space="preserve"> </w:t>
            </w:r>
            <w:r w:rsidRPr="000C1465">
              <w:rPr>
                <w:rFonts w:eastAsia="Calibri"/>
                <w:b/>
                <w:sz w:val="20"/>
                <w:szCs w:val="20"/>
              </w:rPr>
              <w:t xml:space="preserve">Дроздова В. В. </w:t>
            </w:r>
            <w:r w:rsidRPr="000C1465">
              <w:rPr>
                <w:rFonts w:eastAsia="Calibri"/>
                <w:sz w:val="20"/>
                <w:szCs w:val="20"/>
              </w:rPr>
              <w:t>Влияние минеральных удобрений  на урожайность и качество зеленной массы люцерны в условиях чернозема выщелоченного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82</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 xml:space="preserve">Левыченкова А. А. </w:t>
            </w:r>
            <w:r w:rsidRPr="000C1465">
              <w:rPr>
                <w:rFonts w:eastAsia="Calibri"/>
                <w:sz w:val="20"/>
                <w:szCs w:val="20"/>
              </w:rPr>
              <w:t>Особенности заселенности сортов озимой пшеницы пьявицей обыкновенной (lema melanopus)…………………</w:t>
            </w:r>
          </w:p>
          <w:p w:rsidR="00510884" w:rsidRPr="000C1465" w:rsidRDefault="00510884"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84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Максимов А. А.,</w:t>
            </w:r>
            <w:r w:rsidRPr="000C1465">
              <w:rPr>
                <w:sz w:val="20"/>
                <w:szCs w:val="20"/>
              </w:rPr>
              <w:t xml:space="preserve"> </w:t>
            </w:r>
            <w:r w:rsidRPr="000C1465">
              <w:rPr>
                <w:rFonts w:eastAsia="Calibri"/>
                <w:b/>
                <w:sz w:val="20"/>
                <w:szCs w:val="20"/>
              </w:rPr>
              <w:t>Бузько В. Ю.</w:t>
            </w:r>
            <w:r w:rsidRPr="000C1465">
              <w:rPr>
                <w:rFonts w:eastAsia="Calibri"/>
                <w:sz w:val="20"/>
                <w:szCs w:val="20"/>
              </w:rPr>
              <w:t xml:space="preserve"> Влияние протравителей на рост, развитие и поражаемость болезнями семян и всходов озимой </w:t>
            </w:r>
            <w:r w:rsidR="007637EA">
              <w:rPr>
                <w:rFonts w:eastAsia="Calibri"/>
                <w:sz w:val="20"/>
                <w:szCs w:val="20"/>
              </w:rPr>
              <w:br/>
            </w:r>
            <w:r w:rsidRPr="000C1465">
              <w:rPr>
                <w:rFonts w:eastAsia="Calibri"/>
                <w:sz w:val="20"/>
                <w:szCs w:val="20"/>
              </w:rPr>
              <w:t>пшеницы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86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Мальнева В. Ю.,</w:t>
            </w:r>
            <w:r w:rsidRPr="000C1465">
              <w:rPr>
                <w:sz w:val="20"/>
                <w:szCs w:val="20"/>
              </w:rPr>
              <w:t xml:space="preserve"> </w:t>
            </w:r>
            <w:r w:rsidRPr="000C1465">
              <w:rPr>
                <w:rFonts w:eastAsia="Calibri"/>
                <w:b/>
                <w:sz w:val="20"/>
                <w:szCs w:val="20"/>
              </w:rPr>
              <w:t xml:space="preserve">Швец Т. В. </w:t>
            </w:r>
            <w:r w:rsidRPr="000C1465">
              <w:rPr>
                <w:rFonts w:eastAsia="Calibri"/>
                <w:sz w:val="20"/>
                <w:szCs w:val="20"/>
              </w:rPr>
              <w:t xml:space="preserve">Влияние почвенного мелиоранта «Reasil® Soil Conditioner» на свойства аллювиальной луговой почвы </w:t>
            </w:r>
          </w:p>
          <w:p w:rsidR="000C1465" w:rsidRPr="000C1465" w:rsidRDefault="000C1465" w:rsidP="000C1465">
            <w:pPr>
              <w:jc w:val="both"/>
              <w:rPr>
                <w:rFonts w:eastAsia="Calibri"/>
                <w:sz w:val="20"/>
                <w:szCs w:val="20"/>
              </w:rPr>
            </w:pPr>
            <w:r w:rsidRPr="000C1465">
              <w:rPr>
                <w:rFonts w:eastAsia="Calibri"/>
                <w:sz w:val="20"/>
                <w:szCs w:val="20"/>
              </w:rPr>
              <w:t>Крымского района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8</w:t>
            </w:r>
            <w:r w:rsidR="00021047">
              <w:rPr>
                <w:rFonts w:eastAsia="Calibri"/>
                <w:i/>
                <w:sz w:val="20"/>
                <w:szCs w:val="20"/>
              </w:rPr>
              <w:t>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Михайленко М. В., Пикушова Э. А.,</w:t>
            </w:r>
            <w:r w:rsidRPr="000C1465">
              <w:rPr>
                <w:sz w:val="20"/>
                <w:szCs w:val="20"/>
              </w:rPr>
              <w:t xml:space="preserve"> </w:t>
            </w:r>
            <w:r w:rsidRPr="000C1465">
              <w:rPr>
                <w:rFonts w:eastAsia="Calibri"/>
                <w:b/>
                <w:sz w:val="20"/>
                <w:szCs w:val="20"/>
              </w:rPr>
              <w:t xml:space="preserve">Ковецкая В. А. </w:t>
            </w:r>
            <w:r w:rsidRPr="000C1465">
              <w:rPr>
                <w:rFonts w:eastAsia="Calibri"/>
                <w:sz w:val="20"/>
                <w:szCs w:val="20"/>
              </w:rPr>
              <w:t>Эффекти</w:t>
            </w:r>
            <w:r w:rsidRPr="000C1465">
              <w:rPr>
                <w:rFonts w:eastAsia="Calibri"/>
                <w:sz w:val="20"/>
                <w:szCs w:val="20"/>
              </w:rPr>
              <w:t>в</w:t>
            </w:r>
            <w:r w:rsidRPr="000C1465">
              <w:rPr>
                <w:rFonts w:eastAsia="Calibri"/>
                <w:sz w:val="20"/>
                <w:szCs w:val="20"/>
              </w:rPr>
              <w:t>ность применения мультиминерального удобрения Минерал 22 на посевах риса сорта Рапан ……………………………</w:t>
            </w:r>
            <w:r w:rsidR="00021047">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92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Невзоров Р. Д., Сокирко В. П. </w:t>
            </w:r>
            <w:r w:rsidRPr="000C1465">
              <w:rPr>
                <w:rFonts w:eastAsia="Calibri"/>
                <w:sz w:val="20"/>
                <w:szCs w:val="20"/>
              </w:rPr>
              <w:t xml:space="preserve">Особенности распространения </w:t>
            </w:r>
            <w:r w:rsidR="007637EA">
              <w:rPr>
                <w:rFonts w:eastAsia="Calibri"/>
                <w:sz w:val="20"/>
                <w:szCs w:val="20"/>
              </w:rPr>
              <w:br/>
            </w:r>
            <w:r w:rsidRPr="000C1465">
              <w:rPr>
                <w:rFonts w:eastAsia="Calibri"/>
                <w:sz w:val="20"/>
                <w:szCs w:val="20"/>
              </w:rPr>
              <w:t xml:space="preserve">вредоносного синергизма грибов рода Fusarium spp. Schlecht </w:t>
            </w:r>
            <w:r w:rsidRPr="000C1465">
              <w:rPr>
                <w:rFonts w:eastAsia="Calibri"/>
                <w:sz w:val="20"/>
                <w:szCs w:val="20"/>
              </w:rPr>
              <w:br/>
              <w:t>и Alternaria spp. Nees на кукурузе в условиях АО «Агрообъединение Кубань»……………………………………………………………….......</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95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Пузанова В. А., Подколзин О. А. </w:t>
            </w:r>
            <w:r w:rsidRPr="000C1465">
              <w:rPr>
                <w:rFonts w:eastAsia="Calibri"/>
                <w:sz w:val="20"/>
                <w:szCs w:val="20"/>
              </w:rPr>
              <w:t>Влияние систем обработки почвы и применения минеральных удобрений при возделывании кукурузы на зерно на свойства чернозема выщелоченного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98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Суминский И. И.,</w:t>
            </w:r>
            <w:r w:rsidRPr="000C1465">
              <w:rPr>
                <w:sz w:val="20"/>
                <w:szCs w:val="20"/>
              </w:rPr>
              <w:t xml:space="preserve"> </w:t>
            </w:r>
            <w:r w:rsidRPr="000C1465">
              <w:rPr>
                <w:rFonts w:eastAsia="Calibri"/>
                <w:b/>
                <w:sz w:val="20"/>
                <w:szCs w:val="20"/>
              </w:rPr>
              <w:t xml:space="preserve">Осипов А. В. </w:t>
            </w:r>
            <w:r w:rsidRPr="000C1465">
              <w:rPr>
                <w:rFonts w:eastAsia="Calibri"/>
                <w:sz w:val="20"/>
                <w:szCs w:val="20"/>
              </w:rPr>
              <w:t xml:space="preserve">Характеристика свойств луговых почв Красноармейского района Краснодарского края и их </w:t>
            </w:r>
            <w:r w:rsidR="00021047">
              <w:rPr>
                <w:rFonts w:eastAsia="Calibri"/>
                <w:sz w:val="20"/>
                <w:szCs w:val="20"/>
              </w:rPr>
              <w:br/>
            </w:r>
            <w:r w:rsidRPr="000C1465">
              <w:rPr>
                <w:rFonts w:eastAsia="Calibri"/>
                <w:sz w:val="20"/>
                <w:szCs w:val="20"/>
              </w:rPr>
              <w:t>садоприг</w:t>
            </w:r>
            <w:r w:rsidR="00021047">
              <w:rPr>
                <w:rFonts w:eastAsia="Calibri"/>
                <w:sz w:val="20"/>
                <w:szCs w:val="20"/>
              </w:rPr>
              <w:t>одность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101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Третьякова Я.,</w:t>
            </w:r>
            <w:r w:rsidRPr="000C1465">
              <w:rPr>
                <w:sz w:val="20"/>
                <w:szCs w:val="20"/>
              </w:rPr>
              <w:t xml:space="preserve"> </w:t>
            </w:r>
            <w:r w:rsidRPr="000C1465">
              <w:rPr>
                <w:rFonts w:eastAsia="Calibri"/>
                <w:b/>
                <w:sz w:val="20"/>
                <w:szCs w:val="20"/>
              </w:rPr>
              <w:t xml:space="preserve">Пикушова Э. А. </w:t>
            </w:r>
            <w:r w:rsidRPr="000C1465">
              <w:rPr>
                <w:rFonts w:eastAsia="Calibri"/>
                <w:sz w:val="20"/>
                <w:szCs w:val="20"/>
              </w:rPr>
              <w:t xml:space="preserve">Влияние погодных предикторов на состояние популяций пьявицы обыкновенной в условиях </w:t>
            </w:r>
            <w:r w:rsidR="007637EA">
              <w:rPr>
                <w:rFonts w:eastAsia="Calibri"/>
                <w:sz w:val="20"/>
                <w:szCs w:val="20"/>
              </w:rPr>
              <w:br/>
            </w:r>
            <w:r w:rsidRPr="000C1465">
              <w:rPr>
                <w:rFonts w:eastAsia="Calibri"/>
                <w:sz w:val="20"/>
                <w:szCs w:val="20"/>
              </w:rPr>
              <w:t>Центральной зоны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104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Фоменко А. А., Серый А. С. </w:t>
            </w:r>
            <w:r w:rsidRPr="000C1465">
              <w:rPr>
                <w:rFonts w:eastAsia="Calibri"/>
                <w:sz w:val="20"/>
                <w:szCs w:val="20"/>
              </w:rPr>
              <w:t xml:space="preserve">Видовой состав хищных жужелиц </w:t>
            </w:r>
            <w:r w:rsidRPr="000C1465">
              <w:rPr>
                <w:rFonts w:eastAsia="Calibri"/>
                <w:sz w:val="20"/>
                <w:szCs w:val="20"/>
              </w:rPr>
              <w:br/>
              <w:t>в агроценозе люцерны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107</w:t>
            </w:r>
          </w:p>
        </w:tc>
      </w:tr>
      <w:tr w:rsidR="000C1465" w:rsidRPr="000C1465" w:rsidTr="00EB5229">
        <w:tc>
          <w:tcPr>
            <w:tcW w:w="6096" w:type="dxa"/>
          </w:tcPr>
          <w:p w:rsidR="000C1465" w:rsidRPr="000C1465" w:rsidRDefault="000C1465" w:rsidP="000C1465">
            <w:pPr>
              <w:jc w:val="both"/>
              <w:rPr>
                <w:rFonts w:eastAsia="Calibri"/>
                <w:spacing w:val="-6"/>
                <w:sz w:val="20"/>
                <w:szCs w:val="20"/>
              </w:rPr>
            </w:pPr>
            <w:r w:rsidRPr="000C1465">
              <w:rPr>
                <w:rFonts w:eastAsia="Calibri"/>
                <w:b/>
                <w:spacing w:val="-6"/>
                <w:sz w:val="20"/>
                <w:szCs w:val="20"/>
              </w:rPr>
              <w:t>Юрченко А. А.,</w:t>
            </w:r>
            <w:r w:rsidRPr="000C1465">
              <w:rPr>
                <w:sz w:val="20"/>
                <w:szCs w:val="20"/>
              </w:rPr>
              <w:t xml:space="preserve"> </w:t>
            </w:r>
            <w:r w:rsidRPr="000C1465">
              <w:rPr>
                <w:rFonts w:eastAsia="Calibri"/>
                <w:b/>
                <w:spacing w:val="-6"/>
                <w:sz w:val="20"/>
                <w:szCs w:val="20"/>
              </w:rPr>
              <w:t xml:space="preserve">Осипов А. В. </w:t>
            </w:r>
            <w:r w:rsidRPr="000C1465">
              <w:rPr>
                <w:rFonts w:eastAsia="Calibri"/>
                <w:spacing w:val="-6"/>
                <w:sz w:val="20"/>
                <w:szCs w:val="20"/>
              </w:rPr>
              <w:t>Применение Ориуса в закрытом грунте на территории Республики Татарстан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110</w:t>
            </w:r>
          </w:p>
        </w:tc>
      </w:tr>
      <w:tr w:rsidR="000C1465" w:rsidRPr="000C1465" w:rsidTr="00EB5229">
        <w:tc>
          <w:tcPr>
            <w:tcW w:w="6096" w:type="dxa"/>
          </w:tcPr>
          <w:p w:rsidR="000C1465" w:rsidRPr="000C1465" w:rsidRDefault="000C1465" w:rsidP="00510884">
            <w:pPr>
              <w:spacing w:before="120" w:after="120"/>
              <w:jc w:val="center"/>
              <w:rPr>
                <w:rFonts w:eastAsia="Calibri"/>
                <w:b/>
                <w:spacing w:val="-4"/>
                <w:sz w:val="24"/>
                <w:szCs w:val="24"/>
              </w:rPr>
            </w:pPr>
            <w:r w:rsidRPr="000C1465">
              <w:rPr>
                <w:rFonts w:eastAsia="Calibri"/>
                <w:b/>
                <w:spacing w:val="-4"/>
                <w:sz w:val="24"/>
                <w:szCs w:val="24"/>
              </w:rPr>
              <w:t>Архитектурно-строительный факультет</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Балясова А. С.</w:t>
            </w:r>
            <w:r w:rsidRPr="000C1465">
              <w:rPr>
                <w:rFonts w:eastAsia="Calibri"/>
                <w:spacing w:val="-4"/>
                <w:sz w:val="20"/>
                <w:szCs w:val="20"/>
              </w:rPr>
              <w:t xml:space="preserve"> Акустика зала планетария астрономической </w:t>
            </w:r>
            <w:r w:rsidR="007637EA">
              <w:rPr>
                <w:rFonts w:eastAsia="Calibri"/>
                <w:spacing w:val="-4"/>
                <w:sz w:val="20"/>
                <w:szCs w:val="20"/>
              </w:rPr>
              <w:br/>
            </w:r>
            <w:r w:rsidRPr="000C1465">
              <w:rPr>
                <w:rFonts w:eastAsia="Calibri"/>
                <w:spacing w:val="-4"/>
                <w:sz w:val="20"/>
                <w:szCs w:val="20"/>
              </w:rPr>
              <w:t>обсерватории ФГОУ ВДЦ «Орлёнок»……………………………………</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113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Васильева С. И.,</w:t>
            </w:r>
            <w:r w:rsidRPr="000C1465">
              <w:rPr>
                <w:sz w:val="20"/>
                <w:szCs w:val="20"/>
              </w:rPr>
              <w:t xml:space="preserve"> </w:t>
            </w:r>
            <w:r w:rsidRPr="000C1465">
              <w:rPr>
                <w:rFonts w:eastAsia="Calibri"/>
                <w:b/>
                <w:sz w:val="20"/>
                <w:szCs w:val="20"/>
              </w:rPr>
              <w:t>Субботин О. С.</w:t>
            </w:r>
            <w:r w:rsidRPr="000C1465">
              <w:rPr>
                <w:sz w:val="20"/>
                <w:szCs w:val="20"/>
              </w:rPr>
              <w:t xml:space="preserve"> </w:t>
            </w:r>
            <w:r w:rsidRPr="000C1465">
              <w:rPr>
                <w:rFonts w:eastAsia="Calibri"/>
                <w:sz w:val="20"/>
                <w:szCs w:val="20"/>
              </w:rPr>
              <w:t xml:space="preserve">Храмы Кубани – памятники </w:t>
            </w:r>
            <w:r w:rsidR="00510884">
              <w:rPr>
                <w:rFonts w:eastAsia="Calibri"/>
                <w:sz w:val="20"/>
                <w:szCs w:val="20"/>
              </w:rPr>
              <w:br/>
            </w:r>
            <w:r w:rsidRPr="000C1465">
              <w:rPr>
                <w:rFonts w:eastAsia="Calibri"/>
                <w:sz w:val="20"/>
                <w:szCs w:val="20"/>
              </w:rPr>
              <w:t>архитектурного наследия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116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Гузов Н. О. </w:t>
            </w:r>
            <w:r w:rsidRPr="000C1465">
              <w:rPr>
                <w:rFonts w:eastAsia="Calibri"/>
                <w:sz w:val="20"/>
                <w:szCs w:val="20"/>
              </w:rPr>
              <w:t xml:space="preserve">Определение пригодности территорий для </w:t>
            </w:r>
            <w:r w:rsidR="007637EA">
              <w:rPr>
                <w:rFonts w:eastAsia="Calibri"/>
                <w:sz w:val="20"/>
                <w:szCs w:val="20"/>
              </w:rPr>
              <w:br/>
            </w:r>
            <w:r w:rsidRPr="000C1465">
              <w:rPr>
                <w:rFonts w:eastAsia="Calibri"/>
                <w:sz w:val="20"/>
                <w:szCs w:val="20"/>
              </w:rPr>
              <w:t>строительства зданий при воздействии транспортного шума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118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Довгаль С. М.,</w:t>
            </w:r>
            <w:r w:rsidRPr="000C1465">
              <w:rPr>
                <w:sz w:val="20"/>
                <w:szCs w:val="20"/>
              </w:rPr>
              <w:t xml:space="preserve"> </w:t>
            </w:r>
            <w:r w:rsidRPr="000C1465">
              <w:rPr>
                <w:rFonts w:eastAsia="Calibri"/>
                <w:b/>
                <w:sz w:val="20"/>
                <w:szCs w:val="20"/>
              </w:rPr>
              <w:t xml:space="preserve">Субботин О. С. </w:t>
            </w:r>
            <w:r w:rsidRPr="000C1465">
              <w:rPr>
                <w:rFonts w:eastAsia="Calibri"/>
                <w:sz w:val="20"/>
                <w:szCs w:val="20"/>
              </w:rPr>
              <w:t>Прибрежные территории Кубани: история и современность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121</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Енина А. И.,</w:t>
            </w:r>
            <w:r w:rsidRPr="000C1465">
              <w:rPr>
                <w:sz w:val="20"/>
                <w:szCs w:val="20"/>
              </w:rPr>
              <w:t xml:space="preserve"> </w:t>
            </w:r>
            <w:r w:rsidRPr="000C1465">
              <w:rPr>
                <w:rFonts w:eastAsia="Calibri"/>
                <w:b/>
                <w:sz w:val="20"/>
                <w:szCs w:val="20"/>
              </w:rPr>
              <w:t>Рудченко И. И.</w:t>
            </w:r>
            <w:r w:rsidRPr="000C1465">
              <w:rPr>
                <w:rFonts w:eastAsia="Calibri"/>
                <w:sz w:val="20"/>
                <w:szCs w:val="20"/>
              </w:rPr>
              <w:t xml:space="preserve"> Реконструкция мостов </w:t>
            </w:r>
            <w:r w:rsidRPr="000C1465">
              <w:rPr>
                <w:rFonts w:eastAsia="Calibri"/>
                <w:sz w:val="20"/>
                <w:szCs w:val="20"/>
              </w:rPr>
              <w:br/>
              <w:t>с использованием композитных материалов с целью повышения грузоподъемности………………………………………………………..</w:t>
            </w:r>
          </w:p>
          <w:p w:rsidR="00021047" w:rsidRDefault="00021047" w:rsidP="000C1465">
            <w:pPr>
              <w:jc w:val="both"/>
              <w:rPr>
                <w:rFonts w:eastAsia="Calibri"/>
                <w:sz w:val="20"/>
                <w:szCs w:val="20"/>
              </w:rPr>
            </w:pPr>
          </w:p>
          <w:p w:rsidR="00021047" w:rsidRPr="000C1465" w:rsidRDefault="00021047"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123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Зубаченко Ю. В., Яковенко В. В.,</w:t>
            </w:r>
            <w:r w:rsidRPr="000C1465">
              <w:rPr>
                <w:sz w:val="20"/>
                <w:szCs w:val="20"/>
              </w:rPr>
              <w:t xml:space="preserve"> </w:t>
            </w:r>
            <w:r w:rsidRPr="000C1465">
              <w:rPr>
                <w:rFonts w:eastAsia="Calibri"/>
                <w:b/>
                <w:sz w:val="20"/>
                <w:szCs w:val="20"/>
              </w:rPr>
              <w:t xml:space="preserve">Могилецкая Н. Н. </w:t>
            </w:r>
            <w:r w:rsidRPr="000C1465">
              <w:rPr>
                <w:rFonts w:eastAsia="Calibri"/>
                <w:sz w:val="20"/>
                <w:szCs w:val="20"/>
              </w:rPr>
              <w:t>Проблемы сохранения исторического облика г.Краснодар и возможные пути решения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126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Иванова Е. В.,</w:t>
            </w:r>
            <w:r w:rsidRPr="000C1465">
              <w:rPr>
                <w:sz w:val="20"/>
                <w:szCs w:val="20"/>
              </w:rPr>
              <w:t xml:space="preserve"> </w:t>
            </w:r>
            <w:r w:rsidRPr="000C1465">
              <w:rPr>
                <w:rFonts w:eastAsia="Calibri"/>
                <w:b/>
                <w:sz w:val="20"/>
                <w:szCs w:val="20"/>
              </w:rPr>
              <w:t xml:space="preserve">Могилецкая Н. Н. </w:t>
            </w:r>
            <w:r w:rsidRPr="000C1465">
              <w:rPr>
                <w:rFonts w:eastAsia="Calibri"/>
                <w:sz w:val="20"/>
                <w:szCs w:val="20"/>
              </w:rPr>
              <w:t xml:space="preserve">Проблемы сохранения </w:t>
            </w:r>
            <w:r w:rsidRPr="000C1465">
              <w:rPr>
                <w:rFonts w:eastAsia="Calibri"/>
                <w:sz w:val="20"/>
                <w:szCs w:val="20"/>
              </w:rPr>
              <w:br/>
              <w:t xml:space="preserve">и использования памятников архитектурного наследия г. Краснодар на примере Дома архитектора Косякина по </w:t>
            </w:r>
            <w:r w:rsidRPr="000C1465">
              <w:rPr>
                <w:rFonts w:eastAsia="Calibri"/>
                <w:sz w:val="20"/>
                <w:szCs w:val="20"/>
              </w:rPr>
              <w:br/>
              <w:t>ул. Кондратенко, 13…………………………………...............................</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129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Лашков Г. В.,</w:t>
            </w:r>
            <w:r w:rsidRPr="000C1465">
              <w:rPr>
                <w:sz w:val="20"/>
                <w:szCs w:val="20"/>
              </w:rPr>
              <w:t xml:space="preserve"> </w:t>
            </w:r>
            <w:r w:rsidRPr="000C1465">
              <w:rPr>
                <w:rFonts w:eastAsia="Calibri"/>
                <w:b/>
                <w:sz w:val="20"/>
                <w:szCs w:val="20"/>
              </w:rPr>
              <w:t xml:space="preserve">Субботин О. С. </w:t>
            </w:r>
            <w:r w:rsidRPr="000C1465">
              <w:rPr>
                <w:rFonts w:eastAsia="Calibri"/>
                <w:sz w:val="20"/>
                <w:szCs w:val="20"/>
              </w:rPr>
              <w:t xml:space="preserve">Градостроительная деятельность </w:t>
            </w:r>
            <w:r w:rsidRPr="000C1465">
              <w:rPr>
                <w:rFonts w:eastAsia="Calibri"/>
                <w:sz w:val="20"/>
                <w:szCs w:val="20"/>
              </w:rPr>
              <w:br/>
              <w:t>в условиях реконструкции исторической застройки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131</w:t>
            </w:r>
          </w:p>
        </w:tc>
      </w:tr>
      <w:tr w:rsidR="000C1465" w:rsidRPr="000C1465" w:rsidTr="00EB5229">
        <w:tc>
          <w:tcPr>
            <w:tcW w:w="6096" w:type="dxa"/>
          </w:tcPr>
          <w:p w:rsidR="000C1465" w:rsidRPr="000C1465" w:rsidRDefault="000C1465" w:rsidP="00510884">
            <w:pPr>
              <w:jc w:val="both"/>
              <w:rPr>
                <w:rFonts w:eastAsia="Calibri"/>
                <w:sz w:val="20"/>
                <w:szCs w:val="20"/>
              </w:rPr>
            </w:pPr>
            <w:r w:rsidRPr="000C1465">
              <w:rPr>
                <w:rFonts w:eastAsia="Calibri"/>
                <w:b/>
                <w:sz w:val="20"/>
                <w:szCs w:val="20"/>
              </w:rPr>
              <w:t>Ольхович О. Ю.,</w:t>
            </w:r>
            <w:r w:rsidRPr="000C1465">
              <w:rPr>
                <w:sz w:val="20"/>
                <w:szCs w:val="20"/>
              </w:rPr>
              <w:t xml:space="preserve"> </w:t>
            </w:r>
            <w:r w:rsidRPr="000C1465">
              <w:rPr>
                <w:rFonts w:eastAsia="Calibri"/>
                <w:b/>
                <w:sz w:val="20"/>
                <w:szCs w:val="20"/>
              </w:rPr>
              <w:t xml:space="preserve">Бычков А. В. </w:t>
            </w:r>
            <w:r w:rsidRPr="000C1465">
              <w:rPr>
                <w:rFonts w:eastAsia="Calibri"/>
                <w:sz w:val="20"/>
                <w:szCs w:val="20"/>
              </w:rPr>
              <w:t>Способ повышения биопозитивн</w:t>
            </w:r>
            <w:r w:rsidRPr="000C1465">
              <w:rPr>
                <w:rFonts w:eastAsia="Calibri"/>
                <w:sz w:val="20"/>
                <w:szCs w:val="20"/>
              </w:rPr>
              <w:t>о</w:t>
            </w:r>
            <w:r w:rsidRPr="000C1465">
              <w:rPr>
                <w:rFonts w:eastAsia="Calibri"/>
                <w:sz w:val="20"/>
                <w:szCs w:val="20"/>
              </w:rPr>
              <w:t>сти и экологичности жилищных условий ……………</w:t>
            </w:r>
            <w:r w:rsidR="00510884">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134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Пармаксыз В. А.,</w:t>
            </w:r>
            <w:r w:rsidRPr="000C1465">
              <w:rPr>
                <w:sz w:val="20"/>
                <w:szCs w:val="20"/>
              </w:rPr>
              <w:t xml:space="preserve"> </w:t>
            </w:r>
            <w:r w:rsidRPr="000C1465">
              <w:rPr>
                <w:rFonts w:eastAsia="Calibri"/>
                <w:b/>
                <w:sz w:val="20"/>
                <w:szCs w:val="20"/>
              </w:rPr>
              <w:t xml:space="preserve">Братошевская В. В. </w:t>
            </w:r>
            <w:r w:rsidRPr="000C1465">
              <w:rPr>
                <w:rFonts w:eastAsia="Calibri"/>
                <w:sz w:val="20"/>
                <w:szCs w:val="20"/>
              </w:rPr>
              <w:t xml:space="preserve">Формообразование </w:t>
            </w:r>
            <w:r w:rsidR="007637EA">
              <w:rPr>
                <w:rFonts w:eastAsia="Calibri"/>
                <w:sz w:val="20"/>
                <w:szCs w:val="20"/>
              </w:rPr>
              <w:br/>
            </w:r>
            <w:r w:rsidRPr="000C1465">
              <w:rPr>
                <w:rFonts w:eastAsia="Calibri"/>
                <w:sz w:val="20"/>
                <w:szCs w:val="20"/>
              </w:rPr>
              <w:t>высотных зданий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13</w:t>
            </w:r>
            <w:r w:rsidR="00021047">
              <w:rPr>
                <w:rFonts w:eastAsia="Calibri"/>
                <w:i/>
                <w:sz w:val="20"/>
                <w:szCs w:val="20"/>
              </w:rPr>
              <w:t>7</w:t>
            </w:r>
          </w:p>
        </w:tc>
      </w:tr>
      <w:tr w:rsidR="000C1465" w:rsidRPr="000C1465" w:rsidTr="00EB5229">
        <w:tc>
          <w:tcPr>
            <w:tcW w:w="6096" w:type="dxa"/>
          </w:tcPr>
          <w:p w:rsidR="000C1465" w:rsidRPr="000C1465" w:rsidRDefault="000C1465" w:rsidP="007637EA">
            <w:pPr>
              <w:jc w:val="both"/>
              <w:rPr>
                <w:rFonts w:eastAsia="Calibri"/>
                <w:b/>
                <w:sz w:val="20"/>
                <w:szCs w:val="20"/>
              </w:rPr>
            </w:pPr>
            <w:r w:rsidRPr="000C1465">
              <w:rPr>
                <w:rFonts w:eastAsia="Calibri"/>
                <w:b/>
                <w:sz w:val="20"/>
                <w:szCs w:val="20"/>
              </w:rPr>
              <w:t>Портнова А. А.,</w:t>
            </w:r>
            <w:r w:rsidRPr="000C1465">
              <w:rPr>
                <w:sz w:val="20"/>
                <w:szCs w:val="20"/>
              </w:rPr>
              <w:t xml:space="preserve"> </w:t>
            </w:r>
            <w:r w:rsidRPr="000C1465">
              <w:rPr>
                <w:rFonts w:eastAsia="Calibri"/>
                <w:b/>
                <w:sz w:val="20"/>
                <w:szCs w:val="20"/>
              </w:rPr>
              <w:t>Тарасова О. Г.</w:t>
            </w:r>
            <w:r w:rsidRPr="000C1465">
              <w:rPr>
                <w:sz w:val="20"/>
                <w:szCs w:val="20"/>
              </w:rPr>
              <w:t xml:space="preserve"> </w:t>
            </w:r>
            <w:r w:rsidRPr="000C1465">
              <w:rPr>
                <w:rFonts w:eastAsia="Calibri"/>
                <w:sz w:val="20"/>
                <w:szCs w:val="20"/>
              </w:rPr>
              <w:t xml:space="preserve">Эффективное использование </w:t>
            </w:r>
            <w:r w:rsidR="007637EA">
              <w:rPr>
                <w:rFonts w:eastAsia="Calibri"/>
                <w:sz w:val="20"/>
                <w:szCs w:val="20"/>
              </w:rPr>
              <w:br/>
            </w:r>
            <w:r w:rsidRPr="000C1465">
              <w:rPr>
                <w:rFonts w:eastAsia="Calibri"/>
                <w:sz w:val="20"/>
                <w:szCs w:val="20"/>
              </w:rPr>
              <w:t xml:space="preserve">световых экранов, как дополнительное средство </w:t>
            </w:r>
            <w:proofErr w:type="gramStart"/>
            <w:r w:rsidRPr="000C1465">
              <w:rPr>
                <w:rFonts w:eastAsia="Calibri"/>
                <w:sz w:val="20"/>
                <w:szCs w:val="20"/>
              </w:rPr>
              <w:t>свето-цветового</w:t>
            </w:r>
            <w:proofErr w:type="gramEnd"/>
            <w:r w:rsidRPr="000C1465">
              <w:rPr>
                <w:rFonts w:eastAsia="Calibri"/>
                <w:sz w:val="20"/>
                <w:szCs w:val="20"/>
              </w:rPr>
              <w:t xml:space="preserve"> восприятия городской среды ………………………</w:t>
            </w:r>
            <w:r w:rsidR="007637EA">
              <w:rPr>
                <w:rFonts w:eastAsia="Calibri"/>
                <w:sz w:val="20"/>
                <w:szCs w:val="20"/>
              </w:rPr>
              <w:t>…………………...</w:t>
            </w:r>
          </w:p>
        </w:tc>
        <w:tc>
          <w:tcPr>
            <w:tcW w:w="708" w:type="dxa"/>
          </w:tcPr>
          <w:p w:rsidR="000C1465" w:rsidRDefault="000C1465" w:rsidP="000C1465">
            <w:pPr>
              <w:rPr>
                <w:rFonts w:eastAsia="Calibri"/>
                <w:i/>
                <w:sz w:val="20"/>
                <w:szCs w:val="20"/>
              </w:rPr>
            </w:pPr>
          </w:p>
          <w:p w:rsidR="007637EA" w:rsidRPr="000C1465" w:rsidRDefault="007637EA"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142</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ветеринарной медицины</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Агаева Д. П.,</w:t>
            </w:r>
            <w:r w:rsidRPr="000C1465">
              <w:rPr>
                <w:sz w:val="20"/>
                <w:szCs w:val="20"/>
              </w:rPr>
              <w:t xml:space="preserve"> </w:t>
            </w:r>
            <w:r w:rsidRPr="000C1465">
              <w:rPr>
                <w:b/>
                <w:sz w:val="20"/>
                <w:szCs w:val="20"/>
              </w:rPr>
              <w:t>Назаров М. В.</w:t>
            </w:r>
            <w:r w:rsidRPr="000C1465">
              <w:rPr>
                <w:rFonts w:eastAsia="Calibri"/>
                <w:sz w:val="20"/>
                <w:szCs w:val="20"/>
              </w:rPr>
              <w:t xml:space="preserve"> Клиническая оценка консервативных методов терапии при субинволюции половой сферы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145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Безрукова В. О.,</w:t>
            </w:r>
            <w:r w:rsidRPr="000C1465">
              <w:rPr>
                <w:sz w:val="20"/>
                <w:szCs w:val="20"/>
              </w:rPr>
              <w:t xml:space="preserve"> </w:t>
            </w:r>
            <w:r w:rsidRPr="000C1465">
              <w:rPr>
                <w:rFonts w:eastAsia="Calibri"/>
                <w:b/>
                <w:sz w:val="20"/>
                <w:szCs w:val="20"/>
              </w:rPr>
              <w:t>Назаров М. В.</w:t>
            </w:r>
            <w:r w:rsidRPr="000C1465">
              <w:rPr>
                <w:sz w:val="20"/>
                <w:szCs w:val="20"/>
              </w:rPr>
              <w:t xml:space="preserve"> </w:t>
            </w:r>
            <w:r w:rsidRPr="000C1465">
              <w:rPr>
                <w:rFonts w:eastAsia="Calibri"/>
                <w:sz w:val="20"/>
                <w:szCs w:val="20"/>
              </w:rPr>
              <w:t>Сравнительная оценка средств терапии при лечении острого послеродового гнойно-катарального эндометрита у коров ……………….........................................................</w:t>
            </w:r>
          </w:p>
        </w:tc>
        <w:tc>
          <w:tcPr>
            <w:tcW w:w="708" w:type="dxa"/>
          </w:tcPr>
          <w:p w:rsidR="000C1465" w:rsidRPr="000C1465" w:rsidRDefault="000C1465" w:rsidP="000C1465">
            <w:pPr>
              <w:jc w:val="both"/>
              <w:rPr>
                <w:rFonts w:eastAsia="Calibri"/>
                <w:i/>
                <w:sz w:val="20"/>
                <w:szCs w:val="20"/>
              </w:rPr>
            </w:pPr>
          </w:p>
          <w:p w:rsidR="000C1465" w:rsidRPr="000C1465" w:rsidRDefault="000C1465" w:rsidP="000C1465">
            <w:pPr>
              <w:jc w:val="both"/>
              <w:rPr>
                <w:rFonts w:eastAsia="Calibri"/>
                <w:i/>
                <w:sz w:val="20"/>
                <w:szCs w:val="20"/>
              </w:rPr>
            </w:pPr>
          </w:p>
          <w:p w:rsidR="000C1465" w:rsidRPr="000C1465" w:rsidRDefault="00021047" w:rsidP="000C1465">
            <w:pPr>
              <w:jc w:val="both"/>
              <w:rPr>
                <w:rFonts w:eastAsia="Calibri"/>
                <w:i/>
                <w:sz w:val="20"/>
                <w:szCs w:val="20"/>
              </w:rPr>
            </w:pPr>
            <w:r>
              <w:rPr>
                <w:rFonts w:eastAsia="Calibri"/>
                <w:i/>
                <w:sz w:val="20"/>
                <w:szCs w:val="20"/>
              </w:rPr>
              <w:t>148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Белик А. Р.,</w:t>
            </w:r>
            <w:r w:rsidRPr="000C1465">
              <w:rPr>
                <w:sz w:val="20"/>
                <w:szCs w:val="20"/>
              </w:rPr>
              <w:t xml:space="preserve"> </w:t>
            </w:r>
            <w:r w:rsidRPr="000C1465">
              <w:rPr>
                <w:rFonts w:eastAsia="Calibri"/>
                <w:b/>
                <w:sz w:val="20"/>
                <w:szCs w:val="20"/>
              </w:rPr>
              <w:t>Тищенко А. С.</w:t>
            </w:r>
            <w:r w:rsidRPr="000C1465">
              <w:rPr>
                <w:sz w:val="20"/>
                <w:szCs w:val="20"/>
              </w:rPr>
              <w:t xml:space="preserve"> </w:t>
            </w:r>
            <w:r w:rsidRPr="000C1465">
              <w:rPr>
                <w:rFonts w:eastAsia="Calibri"/>
                <w:sz w:val="20"/>
                <w:szCs w:val="20"/>
              </w:rPr>
              <w:t>Осуществление ветеринарно-санитарной экспертизы молока в производственных условиях ……</w:t>
            </w:r>
            <w:r w:rsidR="007637EA">
              <w:rPr>
                <w:rFonts w:eastAsia="Calibri"/>
                <w:sz w:val="20"/>
                <w:szCs w:val="20"/>
              </w:rPr>
              <w:t>..</w:t>
            </w:r>
          </w:p>
        </w:tc>
        <w:tc>
          <w:tcPr>
            <w:tcW w:w="708" w:type="dxa"/>
          </w:tcPr>
          <w:p w:rsidR="000C1465" w:rsidRPr="000C1465" w:rsidRDefault="000C1465" w:rsidP="000C1465">
            <w:pPr>
              <w:jc w:val="both"/>
              <w:rPr>
                <w:rFonts w:eastAsia="Calibri"/>
                <w:i/>
                <w:sz w:val="20"/>
                <w:szCs w:val="20"/>
              </w:rPr>
            </w:pPr>
          </w:p>
          <w:p w:rsidR="000C1465" w:rsidRPr="000C1465" w:rsidRDefault="00021047" w:rsidP="000C1465">
            <w:pPr>
              <w:jc w:val="both"/>
              <w:rPr>
                <w:rFonts w:eastAsia="Calibri"/>
                <w:i/>
                <w:sz w:val="20"/>
                <w:szCs w:val="20"/>
              </w:rPr>
            </w:pPr>
            <w:r>
              <w:rPr>
                <w:rFonts w:eastAsia="Calibri"/>
                <w:i/>
                <w:sz w:val="20"/>
                <w:szCs w:val="20"/>
              </w:rPr>
              <w:t>151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Воронова С. П.,</w:t>
            </w:r>
            <w:r w:rsidRPr="000C1465">
              <w:rPr>
                <w:sz w:val="20"/>
                <w:szCs w:val="20"/>
              </w:rPr>
              <w:t xml:space="preserve"> </w:t>
            </w:r>
            <w:r w:rsidRPr="000C1465">
              <w:rPr>
                <w:b/>
                <w:sz w:val="20"/>
                <w:szCs w:val="20"/>
              </w:rPr>
              <w:t>Кравченко В. М.</w:t>
            </w:r>
            <w:r w:rsidRPr="000C1465">
              <w:rPr>
                <w:rFonts w:eastAsia="Calibri"/>
                <w:sz w:val="20"/>
                <w:szCs w:val="20"/>
              </w:rPr>
              <w:t xml:space="preserve"> Диагностика и хирургическое лечение травматической диафрагмальной грыжи у кошек …………..</w:t>
            </w:r>
          </w:p>
        </w:tc>
        <w:tc>
          <w:tcPr>
            <w:tcW w:w="708" w:type="dxa"/>
          </w:tcPr>
          <w:p w:rsidR="000C1465" w:rsidRPr="000C1465" w:rsidRDefault="000C1465" w:rsidP="000C1465">
            <w:pPr>
              <w:jc w:val="both"/>
              <w:rPr>
                <w:rFonts w:eastAsia="Calibri"/>
                <w:i/>
                <w:sz w:val="20"/>
                <w:szCs w:val="20"/>
              </w:rPr>
            </w:pPr>
          </w:p>
          <w:p w:rsidR="000C1465" w:rsidRPr="000C1465" w:rsidRDefault="00021047" w:rsidP="000C1465">
            <w:pPr>
              <w:jc w:val="both"/>
              <w:rPr>
                <w:rFonts w:eastAsia="Calibri"/>
                <w:i/>
                <w:sz w:val="20"/>
                <w:szCs w:val="20"/>
              </w:rPr>
            </w:pPr>
            <w:r>
              <w:rPr>
                <w:rFonts w:eastAsia="Calibri"/>
                <w:i/>
                <w:sz w:val="20"/>
                <w:szCs w:val="20"/>
              </w:rPr>
              <w:t>154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Деникина Е. И.,</w:t>
            </w:r>
            <w:r w:rsidRPr="000C1465">
              <w:rPr>
                <w:sz w:val="20"/>
                <w:szCs w:val="20"/>
              </w:rPr>
              <w:t xml:space="preserve"> </w:t>
            </w:r>
            <w:r w:rsidRPr="000C1465">
              <w:rPr>
                <w:rFonts w:eastAsia="Calibri"/>
                <w:b/>
                <w:sz w:val="20"/>
                <w:szCs w:val="20"/>
              </w:rPr>
              <w:t>Кравченко В. М.</w:t>
            </w:r>
            <w:r w:rsidRPr="000C1465">
              <w:rPr>
                <w:sz w:val="20"/>
                <w:szCs w:val="20"/>
              </w:rPr>
              <w:t xml:space="preserve"> </w:t>
            </w:r>
            <w:r w:rsidRPr="000C1465">
              <w:rPr>
                <w:rFonts w:eastAsia="Calibri"/>
                <w:sz w:val="20"/>
                <w:szCs w:val="20"/>
              </w:rPr>
              <w:t xml:space="preserve">Патогенез и значение </w:t>
            </w:r>
            <w:r w:rsidR="007637EA">
              <w:rPr>
                <w:rFonts w:eastAsia="Calibri"/>
                <w:sz w:val="20"/>
                <w:szCs w:val="20"/>
              </w:rPr>
              <w:br/>
            </w:r>
            <w:r w:rsidRPr="000C1465">
              <w:rPr>
                <w:rFonts w:eastAsia="Calibri"/>
                <w:sz w:val="20"/>
                <w:szCs w:val="20"/>
              </w:rPr>
              <w:t>апоптоза…………………………………………………………………..</w:t>
            </w:r>
          </w:p>
        </w:tc>
        <w:tc>
          <w:tcPr>
            <w:tcW w:w="708" w:type="dxa"/>
          </w:tcPr>
          <w:p w:rsidR="000C1465" w:rsidRPr="000C1465" w:rsidRDefault="000C1465" w:rsidP="000C1465">
            <w:pPr>
              <w:jc w:val="both"/>
              <w:rPr>
                <w:rFonts w:eastAsia="Calibri"/>
                <w:i/>
                <w:sz w:val="20"/>
                <w:szCs w:val="20"/>
              </w:rPr>
            </w:pPr>
          </w:p>
          <w:p w:rsidR="000C1465" w:rsidRPr="000C1465" w:rsidRDefault="00021047" w:rsidP="000C1465">
            <w:pPr>
              <w:jc w:val="both"/>
              <w:rPr>
                <w:rFonts w:eastAsia="Calibri"/>
                <w:i/>
                <w:sz w:val="20"/>
                <w:szCs w:val="20"/>
              </w:rPr>
            </w:pPr>
            <w:r>
              <w:rPr>
                <w:rFonts w:eastAsia="Calibri"/>
                <w:i/>
                <w:sz w:val="20"/>
                <w:szCs w:val="20"/>
              </w:rPr>
              <w:t>157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Дядюля А. И.,</w:t>
            </w:r>
            <w:r w:rsidRPr="000C1465">
              <w:rPr>
                <w:sz w:val="20"/>
                <w:szCs w:val="20"/>
              </w:rPr>
              <w:t xml:space="preserve"> </w:t>
            </w:r>
            <w:r w:rsidRPr="000C1465">
              <w:rPr>
                <w:rFonts w:eastAsia="Calibri"/>
                <w:b/>
                <w:sz w:val="20"/>
                <w:szCs w:val="20"/>
              </w:rPr>
              <w:t xml:space="preserve">Катаева Т. С. </w:t>
            </w:r>
            <w:r w:rsidRPr="000C1465">
              <w:rPr>
                <w:rFonts w:eastAsia="Calibri"/>
                <w:sz w:val="20"/>
                <w:szCs w:val="20"/>
              </w:rPr>
              <w:t xml:space="preserve">Мониторинг инвазионных </w:t>
            </w:r>
            <w:r w:rsidR="007637EA">
              <w:rPr>
                <w:rFonts w:eastAsia="Calibri"/>
                <w:sz w:val="20"/>
                <w:szCs w:val="20"/>
              </w:rPr>
              <w:br/>
            </w:r>
            <w:r w:rsidRPr="000C1465">
              <w:rPr>
                <w:rFonts w:eastAsia="Calibri"/>
                <w:sz w:val="20"/>
                <w:szCs w:val="20"/>
              </w:rPr>
              <w:t>заболеваний рыб (по данным ветеринарно-санитарной экспертизы) на территории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160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Зaхapьeвcкaя A. A.,</w:t>
            </w:r>
            <w:r w:rsidRPr="000C1465">
              <w:rPr>
                <w:sz w:val="20"/>
                <w:szCs w:val="20"/>
              </w:rPr>
              <w:t xml:space="preserve"> </w:t>
            </w:r>
            <w:r w:rsidRPr="000C1465">
              <w:rPr>
                <w:rFonts w:eastAsia="Calibri"/>
                <w:b/>
                <w:sz w:val="20"/>
                <w:szCs w:val="20"/>
              </w:rPr>
              <w:t>Зepкaлeв Д. Ю.</w:t>
            </w:r>
            <w:r w:rsidRPr="000C1465">
              <w:rPr>
                <w:rFonts w:eastAsia="Calibri"/>
                <w:sz w:val="20"/>
                <w:szCs w:val="20"/>
              </w:rPr>
              <w:t xml:space="preserve"> Accoцииpoвaннaя вакцина против кoлибaктepиoзa, cтpeптoкoккoзa и вирусной гeмoppaгичecкoй болезни кроликов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163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Катеров В. П.,</w:t>
            </w:r>
            <w:r w:rsidRPr="000C1465">
              <w:rPr>
                <w:sz w:val="20"/>
                <w:szCs w:val="20"/>
              </w:rPr>
              <w:t xml:space="preserve"> </w:t>
            </w:r>
            <w:r w:rsidRPr="000C1465">
              <w:rPr>
                <w:rFonts w:eastAsia="Calibri"/>
                <w:b/>
                <w:sz w:val="20"/>
                <w:szCs w:val="20"/>
              </w:rPr>
              <w:t xml:space="preserve">Катаева Т. С. </w:t>
            </w:r>
            <w:r w:rsidRPr="000C1465">
              <w:rPr>
                <w:rFonts w:eastAsia="Calibri"/>
                <w:sz w:val="20"/>
                <w:szCs w:val="20"/>
              </w:rPr>
              <w:t xml:space="preserve">Опыт лечения отодектоза кошек </w:t>
            </w:r>
            <w:r w:rsidRPr="000C1465">
              <w:rPr>
                <w:rFonts w:eastAsia="Calibri"/>
                <w:sz w:val="20"/>
                <w:szCs w:val="20"/>
              </w:rPr>
              <w:br/>
              <w:t>в городе Приморско-Ахтарск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166</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Кашникова А. Е.,</w:t>
            </w:r>
            <w:r w:rsidRPr="000C1465">
              <w:rPr>
                <w:sz w:val="20"/>
                <w:szCs w:val="20"/>
              </w:rPr>
              <w:t xml:space="preserve"> </w:t>
            </w:r>
            <w:r w:rsidRPr="000C1465">
              <w:rPr>
                <w:rFonts w:eastAsia="Calibri"/>
                <w:b/>
                <w:sz w:val="20"/>
                <w:szCs w:val="20"/>
              </w:rPr>
              <w:t>Горковенко Н. Е.</w:t>
            </w:r>
            <w:r w:rsidRPr="000C1465">
              <w:rPr>
                <w:rFonts w:eastAsia="Calibri"/>
                <w:sz w:val="20"/>
                <w:szCs w:val="20"/>
              </w:rPr>
              <w:t xml:space="preserve"> Особенности ветеринарно-санитарной экспертизы цельного коровьего молока …………………</w:t>
            </w:r>
          </w:p>
          <w:p w:rsidR="00021047" w:rsidRDefault="00021047" w:rsidP="000C1465">
            <w:pPr>
              <w:jc w:val="both"/>
              <w:rPr>
                <w:rFonts w:eastAsia="Calibri"/>
                <w:sz w:val="20"/>
                <w:szCs w:val="20"/>
              </w:rPr>
            </w:pPr>
          </w:p>
          <w:p w:rsidR="00021047" w:rsidRPr="000C1465" w:rsidRDefault="00021047"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169</w:t>
            </w:r>
          </w:p>
        </w:tc>
      </w:tr>
      <w:tr w:rsidR="000C1465" w:rsidRPr="000C1465" w:rsidTr="00EB5229">
        <w:tc>
          <w:tcPr>
            <w:tcW w:w="6096" w:type="dxa"/>
          </w:tcPr>
          <w:p w:rsidR="000C1465" w:rsidRPr="000C1465" w:rsidRDefault="000C1465" w:rsidP="000C1465">
            <w:pPr>
              <w:jc w:val="both"/>
              <w:rPr>
                <w:rFonts w:eastAsia="Calibri"/>
                <w:spacing w:val="-8"/>
                <w:sz w:val="20"/>
                <w:szCs w:val="20"/>
              </w:rPr>
            </w:pPr>
            <w:r w:rsidRPr="000C1465">
              <w:rPr>
                <w:rFonts w:eastAsia="Calibri"/>
                <w:b/>
                <w:spacing w:val="-8"/>
                <w:sz w:val="20"/>
                <w:szCs w:val="20"/>
              </w:rPr>
              <w:lastRenderedPageBreak/>
              <w:t>Киященко А. А.,</w:t>
            </w:r>
            <w:r w:rsidRPr="000C1465">
              <w:rPr>
                <w:sz w:val="20"/>
                <w:szCs w:val="20"/>
              </w:rPr>
              <w:t xml:space="preserve"> </w:t>
            </w:r>
            <w:r w:rsidRPr="000C1465">
              <w:rPr>
                <w:rFonts w:eastAsia="Calibri"/>
                <w:b/>
                <w:spacing w:val="-8"/>
                <w:sz w:val="20"/>
                <w:szCs w:val="20"/>
              </w:rPr>
              <w:t>Тищенко А. С.</w:t>
            </w:r>
            <w:r w:rsidRPr="000C1465">
              <w:rPr>
                <w:rFonts w:eastAsia="Calibri"/>
                <w:spacing w:val="-8"/>
                <w:sz w:val="20"/>
                <w:szCs w:val="20"/>
              </w:rPr>
              <w:t xml:space="preserve"> Значение и этапы проведения </w:t>
            </w:r>
            <w:r w:rsidR="007637EA">
              <w:rPr>
                <w:rFonts w:eastAsia="Calibri"/>
                <w:spacing w:val="-8"/>
                <w:sz w:val="20"/>
                <w:szCs w:val="20"/>
              </w:rPr>
              <w:br/>
            </w:r>
            <w:r w:rsidRPr="000C1465">
              <w:rPr>
                <w:rFonts w:eastAsia="Calibri"/>
                <w:spacing w:val="-8"/>
                <w:sz w:val="20"/>
                <w:szCs w:val="20"/>
              </w:rPr>
              <w:t xml:space="preserve">ветеринарно-санитарного контроля на мясоперерабатывающем </w:t>
            </w:r>
            <w:r w:rsidR="007637EA">
              <w:rPr>
                <w:rFonts w:eastAsia="Calibri"/>
                <w:spacing w:val="-8"/>
                <w:sz w:val="20"/>
                <w:szCs w:val="20"/>
              </w:rPr>
              <w:br/>
            </w:r>
            <w:r w:rsidRPr="000C1465">
              <w:rPr>
                <w:rFonts w:eastAsia="Calibri"/>
                <w:spacing w:val="-8"/>
                <w:sz w:val="20"/>
                <w:szCs w:val="20"/>
              </w:rPr>
              <w:t>предприятии………………………………………………………………….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172</w:t>
            </w:r>
          </w:p>
        </w:tc>
      </w:tr>
      <w:tr w:rsidR="000C1465" w:rsidRPr="000C1465" w:rsidTr="00EB5229">
        <w:tc>
          <w:tcPr>
            <w:tcW w:w="6096" w:type="dxa"/>
          </w:tcPr>
          <w:p w:rsidR="00510884" w:rsidRPr="000C1465" w:rsidRDefault="000C1465" w:rsidP="000C1465">
            <w:pPr>
              <w:jc w:val="both"/>
              <w:rPr>
                <w:rFonts w:eastAsia="Calibri"/>
                <w:sz w:val="20"/>
                <w:szCs w:val="20"/>
              </w:rPr>
            </w:pPr>
            <w:r w:rsidRPr="000C1465">
              <w:rPr>
                <w:rFonts w:eastAsia="Calibri"/>
                <w:b/>
                <w:sz w:val="20"/>
                <w:szCs w:val="20"/>
              </w:rPr>
              <w:t>Ковалев Ю. А.,</w:t>
            </w:r>
            <w:r w:rsidRPr="000C1465">
              <w:rPr>
                <w:sz w:val="20"/>
                <w:szCs w:val="20"/>
              </w:rPr>
              <w:t xml:space="preserve"> </w:t>
            </w:r>
            <w:r w:rsidRPr="000C1465">
              <w:rPr>
                <w:rFonts w:eastAsia="Calibri"/>
                <w:b/>
                <w:sz w:val="20"/>
                <w:szCs w:val="20"/>
              </w:rPr>
              <w:t>Гугушвили Н. Н.,</w:t>
            </w:r>
            <w:r w:rsidRPr="000C1465">
              <w:rPr>
                <w:sz w:val="20"/>
                <w:szCs w:val="20"/>
              </w:rPr>
              <w:t xml:space="preserve"> </w:t>
            </w:r>
            <w:r w:rsidRPr="000C1465">
              <w:rPr>
                <w:rFonts w:eastAsia="Calibri"/>
                <w:b/>
                <w:sz w:val="20"/>
                <w:szCs w:val="20"/>
              </w:rPr>
              <w:t xml:space="preserve">Кощаев А. Г., Инюкина Т. А. </w:t>
            </w:r>
            <w:r w:rsidRPr="000C1465">
              <w:rPr>
                <w:rFonts w:eastAsia="Calibri"/>
                <w:sz w:val="20"/>
                <w:szCs w:val="20"/>
              </w:rPr>
              <w:t>Качество и безопасность колбасных изделий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175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Корчаченко И. Е.,</w:t>
            </w:r>
            <w:r w:rsidRPr="000C1465">
              <w:rPr>
                <w:sz w:val="20"/>
                <w:szCs w:val="20"/>
              </w:rPr>
              <w:t xml:space="preserve"> </w:t>
            </w:r>
            <w:r w:rsidRPr="000C1465">
              <w:rPr>
                <w:rFonts w:eastAsia="Calibri"/>
                <w:b/>
                <w:sz w:val="20"/>
                <w:szCs w:val="20"/>
              </w:rPr>
              <w:t xml:space="preserve">Хахов Л. А. </w:t>
            </w:r>
            <w:r w:rsidRPr="000C1465">
              <w:rPr>
                <w:rFonts w:eastAsia="Calibri"/>
                <w:sz w:val="20"/>
                <w:szCs w:val="20"/>
              </w:rPr>
              <w:t xml:space="preserve">Профилактика респираторных </w:t>
            </w:r>
            <w:r w:rsidR="007637EA">
              <w:rPr>
                <w:rFonts w:eastAsia="Calibri"/>
                <w:sz w:val="20"/>
                <w:szCs w:val="20"/>
              </w:rPr>
              <w:br/>
            </w:r>
            <w:r w:rsidRPr="000C1465">
              <w:rPr>
                <w:rFonts w:eastAsia="Calibri"/>
                <w:sz w:val="20"/>
                <w:szCs w:val="20"/>
              </w:rPr>
              <w:t xml:space="preserve">заболеваний у телят с применением аэрозолей лекарственных </w:t>
            </w:r>
            <w:r w:rsidR="007637EA">
              <w:rPr>
                <w:rFonts w:eastAsia="Calibri"/>
                <w:sz w:val="20"/>
                <w:szCs w:val="20"/>
              </w:rPr>
              <w:br/>
            </w:r>
            <w:r w:rsidRPr="000C1465">
              <w:rPr>
                <w:rFonts w:eastAsia="Calibri"/>
                <w:sz w:val="20"/>
                <w:szCs w:val="20"/>
              </w:rPr>
              <w:t>веществ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178</w:t>
            </w:r>
          </w:p>
        </w:tc>
      </w:tr>
      <w:tr w:rsidR="000C1465" w:rsidRPr="000C1465" w:rsidTr="00EB5229">
        <w:tc>
          <w:tcPr>
            <w:tcW w:w="6096" w:type="dxa"/>
          </w:tcPr>
          <w:p w:rsidR="00EB5229" w:rsidRPr="000C1465" w:rsidRDefault="000C1465" w:rsidP="000C1465">
            <w:pPr>
              <w:jc w:val="both"/>
              <w:rPr>
                <w:rFonts w:eastAsia="Calibri"/>
                <w:sz w:val="20"/>
                <w:szCs w:val="20"/>
              </w:rPr>
            </w:pPr>
            <w:r w:rsidRPr="000C1465">
              <w:rPr>
                <w:rFonts w:eastAsia="Calibri"/>
                <w:b/>
                <w:sz w:val="20"/>
                <w:szCs w:val="20"/>
              </w:rPr>
              <w:t>Красникова А. А.,</w:t>
            </w:r>
            <w:r w:rsidRPr="000C1465">
              <w:rPr>
                <w:sz w:val="20"/>
                <w:szCs w:val="20"/>
              </w:rPr>
              <w:t xml:space="preserve"> </w:t>
            </w:r>
            <w:r w:rsidRPr="000C1465">
              <w:rPr>
                <w:rFonts w:eastAsia="Calibri"/>
                <w:b/>
                <w:sz w:val="20"/>
                <w:szCs w:val="20"/>
              </w:rPr>
              <w:t xml:space="preserve">Сиренко В. В. </w:t>
            </w:r>
            <w:r w:rsidRPr="000C1465">
              <w:rPr>
                <w:rFonts w:eastAsia="Calibri"/>
                <w:sz w:val="20"/>
                <w:szCs w:val="20"/>
              </w:rPr>
              <w:t xml:space="preserve">Диагностика и лечение язвы </w:t>
            </w:r>
            <w:r w:rsidR="007637EA">
              <w:rPr>
                <w:rFonts w:eastAsia="Calibri"/>
                <w:sz w:val="20"/>
                <w:szCs w:val="20"/>
              </w:rPr>
              <w:br/>
            </w:r>
            <w:r w:rsidRPr="000C1465">
              <w:rPr>
                <w:rFonts w:eastAsia="Calibri"/>
                <w:sz w:val="20"/>
                <w:szCs w:val="20"/>
              </w:rPr>
              <w:t>роговицы у собак в условиях ВГБУ Крымское ветуправление………</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181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Ланец О. В.,</w:t>
            </w:r>
            <w:r w:rsidRPr="000C1465">
              <w:rPr>
                <w:sz w:val="20"/>
                <w:szCs w:val="20"/>
              </w:rPr>
              <w:t xml:space="preserve"> </w:t>
            </w:r>
            <w:r w:rsidRPr="000C1465">
              <w:rPr>
                <w:rFonts w:eastAsia="Calibri"/>
                <w:b/>
                <w:sz w:val="20"/>
                <w:szCs w:val="20"/>
              </w:rPr>
              <w:t xml:space="preserve">Горковенко Н. Е. </w:t>
            </w:r>
            <w:r w:rsidRPr="000C1465">
              <w:rPr>
                <w:rFonts w:eastAsia="Calibri"/>
                <w:sz w:val="20"/>
                <w:szCs w:val="20"/>
              </w:rPr>
              <w:t xml:space="preserve">Сравнительная оценка </w:t>
            </w:r>
            <w:r w:rsidR="007637EA">
              <w:rPr>
                <w:rFonts w:eastAsia="Calibri"/>
                <w:sz w:val="20"/>
                <w:szCs w:val="20"/>
              </w:rPr>
              <w:br/>
            </w:r>
            <w:r w:rsidRPr="000C1465">
              <w:rPr>
                <w:rFonts w:eastAsia="Calibri"/>
                <w:sz w:val="20"/>
                <w:szCs w:val="20"/>
              </w:rPr>
              <w:t>эффективности методов диагностики лейк</w:t>
            </w:r>
            <w:r w:rsidR="00EB5229">
              <w:rPr>
                <w:rFonts w:eastAsia="Calibri"/>
                <w:sz w:val="20"/>
                <w:szCs w:val="20"/>
              </w:rPr>
              <w:t>оза крупного рогатого скота………………………………………………………………………</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184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Левина Ю. А., Горковенко Н. Е. </w:t>
            </w:r>
            <w:r w:rsidRPr="000C1465">
              <w:rPr>
                <w:rFonts w:eastAsia="Calibri"/>
                <w:sz w:val="20"/>
                <w:szCs w:val="20"/>
              </w:rPr>
              <w:t>Дифференциальная диагностика болезни Марека от лейкоза птиц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187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Мандрыка Я. В.,</w:t>
            </w:r>
            <w:r w:rsidRPr="000C1465">
              <w:rPr>
                <w:sz w:val="20"/>
                <w:szCs w:val="20"/>
              </w:rPr>
              <w:t xml:space="preserve"> </w:t>
            </w:r>
            <w:r w:rsidRPr="000C1465">
              <w:rPr>
                <w:rFonts w:eastAsia="Calibri"/>
                <w:b/>
                <w:sz w:val="20"/>
                <w:szCs w:val="20"/>
              </w:rPr>
              <w:t>Кравченко Г. А.</w:t>
            </w:r>
            <w:r w:rsidRPr="000C1465">
              <w:rPr>
                <w:sz w:val="20"/>
                <w:szCs w:val="20"/>
              </w:rPr>
              <w:t xml:space="preserve"> </w:t>
            </w:r>
            <w:r w:rsidRPr="000C1465">
              <w:rPr>
                <w:rFonts w:eastAsia="Calibri"/>
                <w:sz w:val="20"/>
                <w:szCs w:val="20"/>
              </w:rPr>
              <w:t>Гистологические особенности строения желудка жвачных животных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190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Мартыненко Я. Н.,</w:t>
            </w:r>
            <w:r w:rsidRPr="000C1465">
              <w:rPr>
                <w:sz w:val="20"/>
                <w:szCs w:val="20"/>
              </w:rPr>
              <w:t xml:space="preserve"> </w:t>
            </w:r>
            <w:r w:rsidRPr="000C1465">
              <w:rPr>
                <w:rFonts w:eastAsia="Calibri"/>
                <w:b/>
                <w:sz w:val="20"/>
                <w:szCs w:val="20"/>
              </w:rPr>
              <w:t xml:space="preserve">Тищенко А. С. </w:t>
            </w:r>
            <w:r w:rsidRPr="000C1465">
              <w:rPr>
                <w:rFonts w:eastAsia="Calibri"/>
                <w:sz w:val="20"/>
                <w:szCs w:val="20"/>
              </w:rPr>
              <w:t xml:space="preserve">Влияние основных факторов патогенности кишечной палочки на развитие болезни при </w:t>
            </w:r>
            <w:r w:rsidR="007637EA">
              <w:rPr>
                <w:rFonts w:eastAsia="Calibri"/>
                <w:sz w:val="20"/>
                <w:szCs w:val="20"/>
              </w:rPr>
              <w:br/>
            </w:r>
            <w:r w:rsidRPr="000C1465">
              <w:rPr>
                <w:rFonts w:eastAsia="Calibri"/>
                <w:sz w:val="20"/>
                <w:szCs w:val="20"/>
              </w:rPr>
              <w:t>эшерихи</w:t>
            </w:r>
            <w:r w:rsidR="00EB5229">
              <w:rPr>
                <w:rFonts w:eastAsia="Calibri"/>
                <w:sz w:val="20"/>
                <w:szCs w:val="20"/>
              </w:rPr>
              <w:t>озе……………………………………………………………….</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193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Марченко А. П.,</w:t>
            </w:r>
            <w:r w:rsidRPr="000C1465">
              <w:rPr>
                <w:sz w:val="20"/>
                <w:szCs w:val="20"/>
              </w:rPr>
              <w:t xml:space="preserve"> </w:t>
            </w:r>
            <w:r w:rsidRPr="000C1465">
              <w:rPr>
                <w:rFonts w:eastAsia="Calibri"/>
                <w:b/>
                <w:sz w:val="20"/>
                <w:szCs w:val="20"/>
              </w:rPr>
              <w:t xml:space="preserve">Горковенко Н. Е. </w:t>
            </w:r>
            <w:r w:rsidRPr="000C1465">
              <w:rPr>
                <w:rFonts w:eastAsia="Calibri"/>
                <w:sz w:val="20"/>
                <w:szCs w:val="20"/>
              </w:rPr>
              <w:t xml:space="preserve">Ветеринарно-санитарная </w:t>
            </w:r>
            <w:r w:rsidR="007637EA">
              <w:rPr>
                <w:rFonts w:eastAsia="Calibri"/>
                <w:sz w:val="20"/>
                <w:szCs w:val="20"/>
              </w:rPr>
              <w:br/>
            </w:r>
            <w:r w:rsidRPr="000C1465">
              <w:rPr>
                <w:rFonts w:eastAsia="Calibri"/>
                <w:sz w:val="20"/>
                <w:szCs w:val="20"/>
              </w:rPr>
              <w:t>оценка качества рыбы при диплостомозах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196</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Матюхова Т. Н.,</w:t>
            </w:r>
            <w:r w:rsidRPr="000C1465">
              <w:rPr>
                <w:sz w:val="20"/>
                <w:szCs w:val="20"/>
              </w:rPr>
              <w:t xml:space="preserve"> </w:t>
            </w:r>
            <w:r w:rsidRPr="000C1465">
              <w:rPr>
                <w:rFonts w:eastAsia="Calibri"/>
                <w:b/>
                <w:spacing w:val="-2"/>
                <w:sz w:val="20"/>
                <w:szCs w:val="20"/>
              </w:rPr>
              <w:t xml:space="preserve">Бурменская Г. А. </w:t>
            </w:r>
            <w:r w:rsidRPr="000C1465">
              <w:rPr>
                <w:rFonts w:eastAsia="Calibri"/>
                <w:spacing w:val="-2"/>
                <w:sz w:val="20"/>
                <w:szCs w:val="20"/>
              </w:rPr>
              <w:t xml:space="preserve">Профилактика возникновения </w:t>
            </w:r>
            <w:r w:rsidRPr="000C1465">
              <w:rPr>
                <w:rFonts w:eastAsia="Calibri"/>
                <w:spacing w:val="-2"/>
                <w:sz w:val="20"/>
                <w:szCs w:val="20"/>
              </w:rPr>
              <w:br/>
              <w:t xml:space="preserve">и стимуляция выведения камней и песка из мочевыводящих путей </w:t>
            </w:r>
            <w:r w:rsidRPr="000C1465">
              <w:rPr>
                <w:rFonts w:eastAsia="Calibri"/>
                <w:spacing w:val="-2"/>
                <w:sz w:val="20"/>
                <w:szCs w:val="20"/>
              </w:rPr>
              <w:br/>
              <w:t>у кошек с применением препарата котэрвин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199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Михайлец Ю. А.,</w:t>
            </w:r>
            <w:r w:rsidRPr="000C1465">
              <w:rPr>
                <w:sz w:val="20"/>
                <w:szCs w:val="20"/>
              </w:rPr>
              <w:t xml:space="preserve"> </w:t>
            </w:r>
            <w:r w:rsidRPr="000C1465">
              <w:rPr>
                <w:rFonts w:eastAsia="Calibri"/>
                <w:b/>
                <w:sz w:val="20"/>
                <w:szCs w:val="20"/>
              </w:rPr>
              <w:t>Захарьевская А. А.,</w:t>
            </w:r>
            <w:r w:rsidRPr="000C1465">
              <w:rPr>
                <w:sz w:val="20"/>
                <w:szCs w:val="20"/>
              </w:rPr>
              <w:t xml:space="preserve"> </w:t>
            </w:r>
            <w:r w:rsidRPr="000C1465">
              <w:rPr>
                <w:rFonts w:eastAsia="Calibri"/>
                <w:b/>
                <w:sz w:val="20"/>
                <w:szCs w:val="20"/>
              </w:rPr>
              <w:t xml:space="preserve">Зеркалев Д. Ю. </w:t>
            </w:r>
            <w:r w:rsidRPr="000C1465">
              <w:rPr>
                <w:rFonts w:eastAsia="Calibri"/>
                <w:sz w:val="20"/>
                <w:szCs w:val="20"/>
              </w:rPr>
              <w:t xml:space="preserve">Изучение нозологического профиля инфекционных болезней домашних </w:t>
            </w:r>
            <w:r w:rsidR="007637EA">
              <w:rPr>
                <w:rFonts w:eastAsia="Calibri"/>
                <w:sz w:val="20"/>
                <w:szCs w:val="20"/>
              </w:rPr>
              <w:br/>
            </w:r>
            <w:r w:rsidRPr="000C1465">
              <w:rPr>
                <w:rFonts w:eastAsia="Calibri"/>
                <w:sz w:val="20"/>
                <w:szCs w:val="20"/>
              </w:rPr>
              <w:t>плотоядных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202</w:t>
            </w:r>
          </w:p>
        </w:tc>
      </w:tr>
      <w:tr w:rsidR="000C1465" w:rsidRPr="000C1465" w:rsidTr="00EB5229">
        <w:tc>
          <w:tcPr>
            <w:tcW w:w="6096" w:type="dxa"/>
          </w:tcPr>
          <w:p w:rsidR="000C1465" w:rsidRPr="000C1465" w:rsidRDefault="000C1465" w:rsidP="000C1465">
            <w:pPr>
              <w:jc w:val="both"/>
              <w:rPr>
                <w:rFonts w:eastAsia="Calibri"/>
                <w:i/>
                <w:spacing w:val="-2"/>
                <w:sz w:val="20"/>
                <w:szCs w:val="20"/>
              </w:rPr>
            </w:pPr>
            <w:r w:rsidRPr="000C1465">
              <w:rPr>
                <w:rFonts w:eastAsia="Calibri"/>
                <w:b/>
                <w:spacing w:val="-2"/>
                <w:sz w:val="20"/>
                <w:szCs w:val="20"/>
              </w:rPr>
              <w:t>Морозова А. Г.,</w:t>
            </w:r>
            <w:r w:rsidRPr="000C1465">
              <w:rPr>
                <w:sz w:val="20"/>
                <w:szCs w:val="20"/>
              </w:rPr>
              <w:t xml:space="preserve"> </w:t>
            </w:r>
            <w:r w:rsidRPr="000C1465">
              <w:rPr>
                <w:rFonts w:eastAsia="Calibri"/>
                <w:b/>
                <w:spacing w:val="-2"/>
                <w:sz w:val="20"/>
                <w:szCs w:val="20"/>
              </w:rPr>
              <w:t xml:space="preserve">Бурменская Г. А. </w:t>
            </w:r>
            <w:r w:rsidRPr="000C1465">
              <w:rPr>
                <w:rFonts w:eastAsia="Calibri"/>
                <w:spacing w:val="-2"/>
                <w:sz w:val="20"/>
                <w:szCs w:val="20"/>
              </w:rPr>
              <w:t>Лечение ламинита у лошадей …...</w:t>
            </w:r>
          </w:p>
        </w:tc>
        <w:tc>
          <w:tcPr>
            <w:tcW w:w="708" w:type="dxa"/>
          </w:tcPr>
          <w:p w:rsidR="000C1465" w:rsidRPr="000C1465" w:rsidRDefault="00021047" w:rsidP="000C1465">
            <w:pPr>
              <w:rPr>
                <w:rFonts w:eastAsia="Calibri"/>
                <w:i/>
                <w:sz w:val="20"/>
                <w:szCs w:val="20"/>
              </w:rPr>
            </w:pPr>
            <w:r>
              <w:rPr>
                <w:rFonts w:eastAsia="Calibri"/>
                <w:i/>
                <w:sz w:val="20"/>
                <w:szCs w:val="20"/>
              </w:rPr>
              <w:t>205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Муратова А. С.,</w:t>
            </w:r>
            <w:r w:rsidRPr="000C1465">
              <w:rPr>
                <w:sz w:val="20"/>
                <w:szCs w:val="20"/>
              </w:rPr>
              <w:t xml:space="preserve"> </w:t>
            </w:r>
            <w:r w:rsidRPr="000C1465">
              <w:rPr>
                <w:rFonts w:eastAsia="Calibri"/>
                <w:b/>
                <w:sz w:val="20"/>
                <w:szCs w:val="20"/>
              </w:rPr>
              <w:t>Катаева Т. С.</w:t>
            </w:r>
            <w:r w:rsidRPr="000C1465">
              <w:rPr>
                <w:rFonts w:eastAsia="Calibri"/>
                <w:sz w:val="20"/>
                <w:szCs w:val="20"/>
              </w:rPr>
              <w:t xml:space="preserve"> Определение пищевой ценности мяса крупного рогатого скота, пораженного гельминтозами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208</w:t>
            </w:r>
          </w:p>
        </w:tc>
      </w:tr>
      <w:tr w:rsidR="000C1465" w:rsidRPr="000C1465" w:rsidTr="00EB5229">
        <w:tc>
          <w:tcPr>
            <w:tcW w:w="6096" w:type="dxa"/>
          </w:tcPr>
          <w:p w:rsidR="000C1465" w:rsidRPr="000C1465" w:rsidRDefault="007637EA" w:rsidP="000C1465">
            <w:pPr>
              <w:jc w:val="both"/>
              <w:rPr>
                <w:rFonts w:eastAsia="Calibri"/>
                <w:spacing w:val="-4"/>
                <w:sz w:val="20"/>
                <w:szCs w:val="20"/>
              </w:rPr>
            </w:pPr>
            <w:r>
              <w:rPr>
                <w:rFonts w:eastAsia="Calibri"/>
                <w:b/>
                <w:spacing w:val="-4"/>
                <w:sz w:val="20"/>
                <w:szCs w:val="20"/>
              </w:rPr>
              <w:t>Никкель К. А., Бондаренко Н. </w:t>
            </w:r>
            <w:r w:rsidR="000C1465" w:rsidRPr="000C1465">
              <w:rPr>
                <w:rFonts w:eastAsia="Calibri"/>
                <w:b/>
                <w:spacing w:val="-4"/>
                <w:sz w:val="20"/>
                <w:szCs w:val="20"/>
              </w:rPr>
              <w:t>Н.</w:t>
            </w:r>
            <w:r w:rsidR="000C1465" w:rsidRPr="000C1465">
              <w:rPr>
                <w:rFonts w:eastAsia="Calibri"/>
                <w:spacing w:val="-4"/>
                <w:sz w:val="20"/>
                <w:szCs w:val="20"/>
              </w:rPr>
              <w:t xml:space="preserve"> Сравнительная оценка</w:t>
            </w:r>
            <w:r>
              <w:rPr>
                <w:rFonts w:eastAsia="Calibri"/>
                <w:spacing w:val="-4"/>
                <w:sz w:val="20"/>
                <w:szCs w:val="20"/>
              </w:rPr>
              <w:br/>
            </w:r>
            <w:r w:rsidR="000C1465" w:rsidRPr="000C1465">
              <w:rPr>
                <w:rFonts w:eastAsia="Calibri"/>
                <w:spacing w:val="-4"/>
                <w:sz w:val="20"/>
                <w:szCs w:val="20"/>
              </w:rPr>
              <w:t xml:space="preserve"> эффективности лечения острой катаральной бронхопневмонии </w:t>
            </w:r>
            <w:r w:rsidR="000C1465" w:rsidRPr="000C1465">
              <w:rPr>
                <w:rFonts w:eastAsia="Calibri"/>
                <w:spacing w:val="-4"/>
                <w:sz w:val="20"/>
                <w:szCs w:val="20"/>
              </w:rPr>
              <w:br/>
              <w:t>с применением антибактериальных препаратов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211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Огурева Г. А., Марченко А. П.</w:t>
            </w:r>
            <w:r w:rsidRPr="000C1465">
              <w:rPr>
                <w:rFonts w:eastAsia="Calibri"/>
                <w:sz w:val="20"/>
                <w:szCs w:val="20"/>
              </w:rPr>
              <w:t xml:space="preserve"> Анализ распространения </w:t>
            </w:r>
            <w:r w:rsidR="007637EA">
              <w:rPr>
                <w:rFonts w:eastAsia="Calibri"/>
                <w:sz w:val="20"/>
                <w:szCs w:val="20"/>
              </w:rPr>
              <w:br/>
            </w:r>
            <w:r w:rsidRPr="000C1465">
              <w:rPr>
                <w:rFonts w:eastAsia="Calibri"/>
                <w:sz w:val="20"/>
                <w:szCs w:val="20"/>
              </w:rPr>
              <w:t>диплостомоза в популяциях речной рыбы в Волгоградской области</w:t>
            </w:r>
            <w:proofErr w:type="gramStart"/>
            <w:r w:rsidRPr="000C1465">
              <w:rPr>
                <w:rFonts w:eastAsia="Calibri"/>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214</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Приходько А. В.,</w:t>
            </w:r>
            <w:r w:rsidRPr="000C1465">
              <w:rPr>
                <w:sz w:val="20"/>
                <w:szCs w:val="20"/>
              </w:rPr>
              <w:t xml:space="preserve"> </w:t>
            </w:r>
            <w:r w:rsidRPr="000C1465">
              <w:rPr>
                <w:rFonts w:eastAsia="Calibri"/>
                <w:b/>
                <w:spacing w:val="-2"/>
                <w:sz w:val="20"/>
                <w:szCs w:val="20"/>
              </w:rPr>
              <w:t xml:space="preserve">Кравченко В. М. </w:t>
            </w:r>
            <w:r w:rsidRPr="000C1465">
              <w:rPr>
                <w:rFonts w:eastAsia="Calibri"/>
                <w:spacing w:val="-2"/>
                <w:sz w:val="20"/>
                <w:szCs w:val="20"/>
              </w:rPr>
              <w:t xml:space="preserve">Патоморфология венозной </w:t>
            </w:r>
            <w:r w:rsidR="007637EA">
              <w:rPr>
                <w:rFonts w:eastAsia="Calibri"/>
                <w:spacing w:val="-2"/>
                <w:sz w:val="20"/>
                <w:szCs w:val="20"/>
              </w:rPr>
              <w:br/>
            </w:r>
            <w:r w:rsidRPr="000C1465">
              <w:rPr>
                <w:rFonts w:eastAsia="Calibri"/>
                <w:spacing w:val="-2"/>
                <w:sz w:val="20"/>
                <w:szCs w:val="20"/>
              </w:rPr>
              <w:t>гиперемии печени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217</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Романова А. Р.,</w:t>
            </w:r>
            <w:r w:rsidRPr="000C1465">
              <w:rPr>
                <w:sz w:val="20"/>
                <w:szCs w:val="20"/>
              </w:rPr>
              <w:t xml:space="preserve"> </w:t>
            </w:r>
            <w:r w:rsidRPr="000C1465">
              <w:rPr>
                <w:rFonts w:eastAsia="Calibri"/>
                <w:b/>
                <w:sz w:val="20"/>
                <w:szCs w:val="20"/>
              </w:rPr>
              <w:t>Бурменская Г. А.</w:t>
            </w:r>
            <w:r w:rsidRPr="000C1465">
              <w:rPr>
                <w:rFonts w:eastAsia="Calibri"/>
                <w:sz w:val="20"/>
                <w:szCs w:val="20"/>
              </w:rPr>
              <w:t xml:space="preserve"> Диагностика панкреатита </w:t>
            </w:r>
            <w:r w:rsidRPr="000C1465">
              <w:rPr>
                <w:rFonts w:eastAsia="Calibri"/>
                <w:sz w:val="20"/>
                <w:szCs w:val="20"/>
              </w:rPr>
              <w:br/>
              <w:t xml:space="preserve">у собак и кошек с использованием лабораторных методов </w:t>
            </w:r>
            <w:r w:rsidR="007637EA">
              <w:rPr>
                <w:rFonts w:eastAsia="Calibri"/>
                <w:sz w:val="20"/>
                <w:szCs w:val="20"/>
              </w:rPr>
              <w:br/>
            </w:r>
            <w:r w:rsidRPr="000C1465">
              <w:rPr>
                <w:rFonts w:eastAsia="Calibri"/>
                <w:sz w:val="20"/>
                <w:szCs w:val="20"/>
              </w:rPr>
              <w:t>исследований……………………………………………………………..</w:t>
            </w:r>
          </w:p>
          <w:p w:rsidR="00021047" w:rsidRPr="000C1465" w:rsidRDefault="00021047"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220</w:t>
            </w:r>
          </w:p>
        </w:tc>
      </w:tr>
      <w:tr w:rsidR="000C1465" w:rsidRPr="000C1465" w:rsidTr="00EB5229">
        <w:tc>
          <w:tcPr>
            <w:tcW w:w="6096" w:type="dxa"/>
          </w:tcPr>
          <w:p w:rsidR="000C1465" w:rsidRPr="000C1465" w:rsidRDefault="000C1465" w:rsidP="000C1465">
            <w:pPr>
              <w:jc w:val="both"/>
              <w:rPr>
                <w:rFonts w:eastAsia="Calibri"/>
                <w:b/>
                <w:spacing w:val="-2"/>
                <w:sz w:val="20"/>
                <w:szCs w:val="20"/>
              </w:rPr>
            </w:pPr>
            <w:r w:rsidRPr="000C1465">
              <w:rPr>
                <w:rFonts w:eastAsia="Calibri"/>
                <w:b/>
                <w:spacing w:val="-2"/>
                <w:sz w:val="20"/>
                <w:szCs w:val="20"/>
              </w:rPr>
              <w:lastRenderedPageBreak/>
              <w:t>Ручкина А. В.,</w:t>
            </w:r>
            <w:r w:rsidRPr="000C1465">
              <w:rPr>
                <w:sz w:val="20"/>
                <w:szCs w:val="20"/>
              </w:rPr>
              <w:t xml:space="preserve"> </w:t>
            </w:r>
            <w:r w:rsidRPr="000C1465">
              <w:rPr>
                <w:rFonts w:eastAsia="Calibri"/>
                <w:b/>
                <w:spacing w:val="-2"/>
                <w:sz w:val="20"/>
                <w:szCs w:val="20"/>
              </w:rPr>
              <w:t xml:space="preserve">Меренкова Н. В. </w:t>
            </w:r>
            <w:r w:rsidRPr="000C1465">
              <w:rPr>
                <w:rFonts w:eastAsia="Calibri"/>
                <w:spacing w:val="-2"/>
                <w:sz w:val="20"/>
                <w:szCs w:val="20"/>
              </w:rPr>
              <w:t xml:space="preserve">Мочекаменная болезнь собак. </w:t>
            </w:r>
            <w:r w:rsidR="007637EA">
              <w:rPr>
                <w:rFonts w:eastAsia="Calibri"/>
                <w:spacing w:val="-2"/>
                <w:sz w:val="20"/>
                <w:szCs w:val="20"/>
              </w:rPr>
              <w:br/>
            </w:r>
            <w:r w:rsidRPr="000C1465">
              <w:rPr>
                <w:rFonts w:eastAsia="Calibri"/>
                <w:spacing w:val="-2"/>
                <w:sz w:val="20"/>
                <w:szCs w:val="20"/>
              </w:rPr>
              <w:t>Причины, симптомы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223</w:t>
            </w:r>
          </w:p>
        </w:tc>
      </w:tr>
      <w:tr w:rsidR="000C1465" w:rsidRPr="000C1465" w:rsidTr="00EB5229">
        <w:tc>
          <w:tcPr>
            <w:tcW w:w="6096" w:type="dxa"/>
          </w:tcPr>
          <w:p w:rsidR="00510884" w:rsidRPr="00021047" w:rsidRDefault="000C1465" w:rsidP="000C1465">
            <w:pPr>
              <w:jc w:val="both"/>
              <w:rPr>
                <w:rFonts w:eastAsia="Calibri"/>
                <w:sz w:val="20"/>
                <w:szCs w:val="20"/>
              </w:rPr>
            </w:pPr>
            <w:r w:rsidRPr="000C1465">
              <w:rPr>
                <w:rFonts w:eastAsia="Calibri"/>
                <w:b/>
                <w:sz w:val="20"/>
                <w:szCs w:val="20"/>
              </w:rPr>
              <w:t>Сорокина Л. Д.,</w:t>
            </w:r>
            <w:r w:rsidRPr="000C1465">
              <w:rPr>
                <w:sz w:val="20"/>
                <w:szCs w:val="20"/>
              </w:rPr>
              <w:t xml:space="preserve"> </w:t>
            </w:r>
            <w:r w:rsidRPr="000C1465">
              <w:rPr>
                <w:rFonts w:eastAsia="Calibri"/>
                <w:b/>
                <w:sz w:val="20"/>
                <w:szCs w:val="20"/>
              </w:rPr>
              <w:t xml:space="preserve">Катаева Т. С. </w:t>
            </w:r>
            <w:r w:rsidRPr="000C1465">
              <w:rPr>
                <w:rFonts w:eastAsia="Calibri"/>
                <w:sz w:val="20"/>
                <w:szCs w:val="20"/>
              </w:rPr>
              <w:t>Меры борьбы с дерманиссиозом кур</w:t>
            </w:r>
            <w:r w:rsidR="00EB5229">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226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Старков В. И., Горпинченко Е. А.,</w:t>
            </w:r>
            <w:r w:rsidRPr="000C1465">
              <w:rPr>
                <w:sz w:val="20"/>
                <w:szCs w:val="20"/>
              </w:rPr>
              <w:t xml:space="preserve"> </w:t>
            </w:r>
            <w:r w:rsidRPr="000C1465">
              <w:rPr>
                <w:rFonts w:eastAsia="Calibri"/>
                <w:b/>
                <w:sz w:val="20"/>
                <w:szCs w:val="20"/>
              </w:rPr>
              <w:t xml:space="preserve">Гугушвили Н. Н. </w:t>
            </w:r>
            <w:r w:rsidRPr="000C1465">
              <w:rPr>
                <w:rFonts w:eastAsia="Calibri"/>
                <w:sz w:val="20"/>
                <w:szCs w:val="20"/>
              </w:rPr>
              <w:t>Профила</w:t>
            </w:r>
            <w:r w:rsidRPr="000C1465">
              <w:rPr>
                <w:rFonts w:eastAsia="Calibri"/>
                <w:sz w:val="20"/>
                <w:szCs w:val="20"/>
              </w:rPr>
              <w:t>к</w:t>
            </w:r>
            <w:r w:rsidRPr="000C1465">
              <w:rPr>
                <w:rFonts w:eastAsia="Calibri"/>
                <w:sz w:val="20"/>
                <w:szCs w:val="20"/>
              </w:rPr>
              <w:t>тика распространения бешенства животных в условиях Сочинского национального парка ……………………………………</w:t>
            </w:r>
            <w:r w:rsidR="00EB5229">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229</w:t>
            </w:r>
          </w:p>
        </w:tc>
      </w:tr>
      <w:tr w:rsidR="000C1465" w:rsidRPr="000C1465" w:rsidTr="00EB5229">
        <w:tc>
          <w:tcPr>
            <w:tcW w:w="6096" w:type="dxa"/>
          </w:tcPr>
          <w:p w:rsidR="00510884" w:rsidRPr="000C1465" w:rsidRDefault="000C1465" w:rsidP="000C1465">
            <w:pPr>
              <w:jc w:val="both"/>
              <w:rPr>
                <w:rFonts w:eastAsia="Calibri"/>
                <w:sz w:val="20"/>
                <w:szCs w:val="20"/>
              </w:rPr>
            </w:pPr>
            <w:r w:rsidRPr="000C1465">
              <w:rPr>
                <w:rFonts w:eastAsia="Calibri"/>
                <w:b/>
                <w:sz w:val="20"/>
                <w:szCs w:val="20"/>
              </w:rPr>
              <w:t>Стеганцова И. В.,</w:t>
            </w:r>
            <w:r w:rsidRPr="000C1465">
              <w:rPr>
                <w:sz w:val="20"/>
                <w:szCs w:val="20"/>
              </w:rPr>
              <w:t xml:space="preserve"> </w:t>
            </w:r>
            <w:r w:rsidRPr="000C1465">
              <w:rPr>
                <w:rFonts w:eastAsia="Calibri"/>
                <w:b/>
                <w:sz w:val="20"/>
                <w:szCs w:val="20"/>
              </w:rPr>
              <w:t xml:space="preserve">Лысенко А. А. </w:t>
            </w:r>
            <w:r w:rsidRPr="000C1465">
              <w:rPr>
                <w:rFonts w:eastAsia="Calibri"/>
                <w:sz w:val="20"/>
                <w:szCs w:val="20"/>
              </w:rPr>
              <w:t xml:space="preserve">Пути совершенствования </w:t>
            </w:r>
            <w:r w:rsidR="007637EA">
              <w:rPr>
                <w:rFonts w:eastAsia="Calibri"/>
                <w:sz w:val="20"/>
                <w:szCs w:val="20"/>
              </w:rPr>
              <w:br/>
            </w:r>
            <w:r w:rsidRPr="000C1465">
              <w:rPr>
                <w:rFonts w:eastAsia="Calibri"/>
                <w:sz w:val="20"/>
                <w:szCs w:val="20"/>
              </w:rPr>
              <w:t>пчеловодства в Краснодарском крае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232</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Ступак И. С.,</w:t>
            </w:r>
            <w:r w:rsidRPr="000C1465">
              <w:rPr>
                <w:sz w:val="20"/>
                <w:szCs w:val="20"/>
              </w:rPr>
              <w:t xml:space="preserve"> </w:t>
            </w:r>
            <w:r w:rsidRPr="000C1465">
              <w:rPr>
                <w:rFonts w:eastAsia="Calibri"/>
                <w:b/>
                <w:spacing w:val="-2"/>
                <w:sz w:val="20"/>
                <w:szCs w:val="20"/>
              </w:rPr>
              <w:t xml:space="preserve">Бондаренко Н. Н., Агабекян Д. А. </w:t>
            </w:r>
            <w:r w:rsidRPr="000C1465">
              <w:rPr>
                <w:rFonts w:eastAsia="Calibri"/>
                <w:spacing w:val="-2"/>
                <w:sz w:val="20"/>
                <w:szCs w:val="20"/>
              </w:rPr>
              <w:t>Сравнительная оценка эффективности применения препарата Редиар при лечении диспепсии телят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235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Сусь А. В.,</w:t>
            </w:r>
            <w:r w:rsidRPr="000C1465">
              <w:rPr>
                <w:sz w:val="20"/>
                <w:szCs w:val="20"/>
              </w:rPr>
              <w:t xml:space="preserve"> </w:t>
            </w:r>
            <w:r w:rsidRPr="000C1465">
              <w:rPr>
                <w:rFonts w:eastAsia="Calibri"/>
                <w:b/>
                <w:sz w:val="20"/>
                <w:szCs w:val="20"/>
              </w:rPr>
              <w:t xml:space="preserve">Мартыненко Я. Н., Каратунов В. А. </w:t>
            </w:r>
            <w:r w:rsidRPr="000C1465">
              <w:rPr>
                <w:rFonts w:eastAsia="Calibri"/>
                <w:sz w:val="20"/>
                <w:szCs w:val="20"/>
              </w:rPr>
              <w:t xml:space="preserve">Комплекс </w:t>
            </w:r>
            <w:r w:rsidR="007637EA">
              <w:rPr>
                <w:rFonts w:eastAsia="Calibri"/>
                <w:sz w:val="20"/>
                <w:szCs w:val="20"/>
              </w:rPr>
              <w:br/>
            </w:r>
            <w:r w:rsidRPr="000C1465">
              <w:rPr>
                <w:rFonts w:eastAsia="Calibri"/>
                <w:sz w:val="20"/>
                <w:szCs w:val="20"/>
              </w:rPr>
              <w:t>лечебно-профилактических мероприятий при тетрамерозе уток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237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Топорец В. Э.,</w:t>
            </w:r>
            <w:r w:rsidRPr="000C1465">
              <w:rPr>
                <w:sz w:val="20"/>
                <w:szCs w:val="20"/>
              </w:rPr>
              <w:t xml:space="preserve"> </w:t>
            </w:r>
            <w:r w:rsidRPr="000C1465">
              <w:rPr>
                <w:rFonts w:eastAsia="Calibri"/>
                <w:b/>
                <w:sz w:val="20"/>
                <w:szCs w:val="20"/>
              </w:rPr>
              <w:t xml:space="preserve">Шевченко А. А. </w:t>
            </w:r>
            <w:r w:rsidRPr="000C1465">
              <w:rPr>
                <w:rFonts w:eastAsia="Calibri"/>
                <w:sz w:val="20"/>
                <w:szCs w:val="20"/>
              </w:rPr>
              <w:t>Лечение и профилактика вирусной геморрагической болезни кроликов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239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Ульянов А. С., Трусова Л. Г.,</w:t>
            </w:r>
            <w:r w:rsidRPr="000C1465">
              <w:rPr>
                <w:sz w:val="20"/>
                <w:szCs w:val="20"/>
              </w:rPr>
              <w:t xml:space="preserve"> </w:t>
            </w:r>
            <w:r w:rsidRPr="000C1465">
              <w:rPr>
                <w:rFonts w:eastAsia="Calibri"/>
                <w:b/>
                <w:sz w:val="20"/>
                <w:szCs w:val="20"/>
              </w:rPr>
              <w:t>Старков В. И., Гугушвили Н. Н.,</w:t>
            </w:r>
            <w:r w:rsidRPr="000C1465">
              <w:rPr>
                <w:sz w:val="20"/>
                <w:szCs w:val="20"/>
              </w:rPr>
              <w:t xml:space="preserve"> </w:t>
            </w:r>
            <w:r w:rsidRPr="000C1465">
              <w:rPr>
                <w:rFonts w:eastAsia="Calibri"/>
                <w:b/>
                <w:sz w:val="20"/>
                <w:szCs w:val="20"/>
              </w:rPr>
              <w:t>Горпинченко Е. А.,</w:t>
            </w:r>
            <w:r w:rsidRPr="000C1465">
              <w:rPr>
                <w:sz w:val="20"/>
                <w:szCs w:val="20"/>
              </w:rPr>
              <w:t xml:space="preserve"> </w:t>
            </w:r>
            <w:r w:rsidRPr="000C1465">
              <w:rPr>
                <w:rFonts w:eastAsia="Calibri"/>
                <w:b/>
                <w:sz w:val="20"/>
                <w:szCs w:val="20"/>
              </w:rPr>
              <w:t xml:space="preserve">Инюкина Т. А. </w:t>
            </w:r>
            <w:r w:rsidRPr="000C1465">
              <w:rPr>
                <w:rFonts w:eastAsia="Calibri"/>
                <w:sz w:val="20"/>
                <w:szCs w:val="20"/>
              </w:rPr>
              <w:t>Показатели бактериального фагоцитоза у кур-несушек кросса Хай-Лайн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242</w:t>
            </w:r>
          </w:p>
        </w:tc>
      </w:tr>
      <w:tr w:rsidR="000C1465" w:rsidRPr="000C1465" w:rsidTr="00EB5229">
        <w:tc>
          <w:tcPr>
            <w:tcW w:w="6096" w:type="dxa"/>
          </w:tcPr>
          <w:p w:rsidR="000C1465" w:rsidRPr="000C1465" w:rsidRDefault="000C1465" w:rsidP="000C1465">
            <w:pPr>
              <w:jc w:val="both"/>
              <w:rPr>
                <w:rFonts w:eastAsia="Calibri"/>
                <w:b/>
                <w:spacing w:val="-6"/>
                <w:sz w:val="20"/>
                <w:szCs w:val="20"/>
              </w:rPr>
            </w:pPr>
            <w:r w:rsidRPr="000C1465">
              <w:rPr>
                <w:rFonts w:eastAsia="Calibri"/>
                <w:b/>
                <w:spacing w:val="-6"/>
                <w:sz w:val="20"/>
                <w:szCs w:val="20"/>
              </w:rPr>
              <w:t xml:space="preserve">Черкашин В. В., Малейченко М. В., Лифенцова М. Н. </w:t>
            </w:r>
            <w:r w:rsidRPr="000C1465">
              <w:rPr>
                <w:rFonts w:eastAsia="Calibri"/>
                <w:spacing w:val="-6"/>
                <w:sz w:val="20"/>
                <w:szCs w:val="20"/>
              </w:rPr>
              <w:t xml:space="preserve">Острый </w:t>
            </w:r>
            <w:r w:rsidR="007637EA">
              <w:rPr>
                <w:rFonts w:eastAsia="Calibri"/>
                <w:spacing w:val="-6"/>
                <w:sz w:val="20"/>
                <w:szCs w:val="20"/>
              </w:rPr>
              <w:br/>
            </w:r>
            <w:r w:rsidRPr="000C1465">
              <w:rPr>
                <w:rFonts w:eastAsia="Calibri"/>
                <w:spacing w:val="-6"/>
                <w:sz w:val="20"/>
                <w:szCs w:val="20"/>
              </w:rPr>
              <w:t>панкреатит собак: причины и лечение …………………………………….</w:t>
            </w:r>
          </w:p>
        </w:tc>
        <w:tc>
          <w:tcPr>
            <w:tcW w:w="708" w:type="dxa"/>
          </w:tcPr>
          <w:p w:rsidR="000C1465" w:rsidRPr="000C1465" w:rsidRDefault="000C1465" w:rsidP="000C1465">
            <w:pPr>
              <w:rPr>
                <w:rFonts w:eastAsia="Calibri"/>
                <w:i/>
                <w:sz w:val="20"/>
                <w:szCs w:val="20"/>
              </w:rPr>
            </w:pPr>
          </w:p>
          <w:p w:rsidR="000C1465" w:rsidRPr="000C1465" w:rsidRDefault="00021047" w:rsidP="000C1465">
            <w:pPr>
              <w:rPr>
                <w:rFonts w:eastAsia="Calibri"/>
                <w:i/>
                <w:sz w:val="20"/>
                <w:szCs w:val="20"/>
              </w:rPr>
            </w:pPr>
            <w:r>
              <w:rPr>
                <w:rFonts w:eastAsia="Calibri"/>
                <w:i/>
                <w:sz w:val="20"/>
                <w:szCs w:val="20"/>
              </w:rPr>
              <w:t>245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Якусевич Д. О.,</w:t>
            </w:r>
            <w:r w:rsidRPr="000C1465">
              <w:rPr>
                <w:sz w:val="20"/>
                <w:szCs w:val="20"/>
              </w:rPr>
              <w:t xml:space="preserve"> </w:t>
            </w:r>
            <w:r w:rsidRPr="000C1465">
              <w:rPr>
                <w:rFonts w:eastAsia="Calibri"/>
                <w:b/>
                <w:sz w:val="20"/>
                <w:szCs w:val="20"/>
              </w:rPr>
              <w:t xml:space="preserve">Кравченко Г. А. </w:t>
            </w:r>
            <w:r w:rsidRPr="000C1465">
              <w:rPr>
                <w:rFonts w:eastAsia="Calibri"/>
                <w:sz w:val="20"/>
                <w:szCs w:val="20"/>
              </w:rPr>
              <w:t xml:space="preserve">Особенности морфологии </w:t>
            </w:r>
            <w:r w:rsidR="007637EA">
              <w:rPr>
                <w:rFonts w:eastAsia="Calibri"/>
                <w:sz w:val="20"/>
                <w:szCs w:val="20"/>
              </w:rPr>
              <w:br/>
            </w:r>
            <w:r w:rsidRPr="000C1465">
              <w:rPr>
                <w:rFonts w:eastAsia="Calibri"/>
                <w:sz w:val="20"/>
                <w:szCs w:val="20"/>
              </w:rPr>
              <w:t>инфаркта миокарда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248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Яремчук Д. А.,</w:t>
            </w:r>
            <w:r w:rsidRPr="000C1465">
              <w:rPr>
                <w:sz w:val="20"/>
                <w:szCs w:val="20"/>
              </w:rPr>
              <w:t xml:space="preserve"> </w:t>
            </w:r>
            <w:r w:rsidRPr="000C1465">
              <w:rPr>
                <w:rFonts w:eastAsia="Calibri"/>
                <w:b/>
                <w:sz w:val="20"/>
                <w:szCs w:val="20"/>
              </w:rPr>
              <w:t xml:space="preserve">Кравченко Г. А. </w:t>
            </w:r>
            <w:r w:rsidRPr="000C1465">
              <w:rPr>
                <w:rFonts w:eastAsia="Calibri"/>
                <w:sz w:val="20"/>
                <w:szCs w:val="20"/>
              </w:rPr>
              <w:t>Лечение панкреатита у собак ……</w:t>
            </w:r>
          </w:p>
        </w:tc>
        <w:tc>
          <w:tcPr>
            <w:tcW w:w="708" w:type="dxa"/>
          </w:tcPr>
          <w:p w:rsidR="000C1465" w:rsidRPr="000C1465" w:rsidRDefault="00E278F8" w:rsidP="000C1465">
            <w:pPr>
              <w:rPr>
                <w:rFonts w:eastAsia="Calibri"/>
                <w:i/>
                <w:sz w:val="20"/>
                <w:szCs w:val="20"/>
              </w:rPr>
            </w:pPr>
            <w:r>
              <w:rPr>
                <w:rFonts w:eastAsia="Calibri"/>
                <w:i/>
                <w:sz w:val="20"/>
                <w:szCs w:val="20"/>
              </w:rPr>
              <w:t>251</w:t>
            </w:r>
          </w:p>
        </w:tc>
      </w:tr>
      <w:tr w:rsidR="000C1465" w:rsidRPr="000C1465" w:rsidTr="00EB5229">
        <w:tc>
          <w:tcPr>
            <w:tcW w:w="6096" w:type="dxa"/>
          </w:tcPr>
          <w:p w:rsidR="00510884" w:rsidRPr="000C1465" w:rsidRDefault="000C1465" w:rsidP="000C1465">
            <w:pPr>
              <w:jc w:val="both"/>
              <w:rPr>
                <w:rFonts w:eastAsia="Calibri"/>
                <w:sz w:val="20"/>
                <w:szCs w:val="20"/>
              </w:rPr>
            </w:pPr>
            <w:r w:rsidRPr="000C1465">
              <w:rPr>
                <w:rFonts w:eastAsia="Calibri"/>
                <w:b/>
                <w:sz w:val="20"/>
                <w:szCs w:val="20"/>
              </w:rPr>
              <w:t>Яшичева О. Г.,</w:t>
            </w:r>
            <w:r w:rsidRPr="000C1465">
              <w:rPr>
                <w:sz w:val="20"/>
                <w:szCs w:val="20"/>
              </w:rPr>
              <w:t xml:space="preserve"> </w:t>
            </w:r>
            <w:r w:rsidRPr="000C1465">
              <w:rPr>
                <w:rFonts w:eastAsia="Calibri"/>
                <w:b/>
                <w:sz w:val="20"/>
                <w:szCs w:val="20"/>
              </w:rPr>
              <w:t xml:space="preserve">Шевченко А. А. </w:t>
            </w:r>
            <w:r w:rsidRPr="000C1465">
              <w:rPr>
                <w:rFonts w:eastAsia="Calibri"/>
                <w:sz w:val="20"/>
                <w:szCs w:val="20"/>
              </w:rPr>
              <w:t xml:space="preserve">Динамика распространения </w:t>
            </w:r>
            <w:r w:rsidRPr="000C1465">
              <w:rPr>
                <w:rFonts w:eastAsia="Calibri"/>
                <w:sz w:val="20"/>
                <w:szCs w:val="20"/>
              </w:rPr>
              <w:br/>
              <w:t xml:space="preserve">и профилактика инфекционного перитонита кошек в питомниках </w:t>
            </w:r>
            <w:r w:rsidRPr="000C1465">
              <w:rPr>
                <w:rFonts w:eastAsia="Calibri"/>
                <w:sz w:val="20"/>
                <w:szCs w:val="20"/>
              </w:rPr>
              <w:br/>
              <w:t>г. Краснодара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254</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гидромелиорации</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Анастасьева И. В.,</w:t>
            </w:r>
            <w:r w:rsidRPr="000C1465">
              <w:rPr>
                <w:sz w:val="20"/>
                <w:szCs w:val="20"/>
              </w:rPr>
              <w:t xml:space="preserve"> </w:t>
            </w:r>
            <w:r w:rsidRPr="000C1465">
              <w:rPr>
                <w:rFonts w:eastAsia="Calibri"/>
                <w:b/>
                <w:sz w:val="20"/>
                <w:szCs w:val="20"/>
              </w:rPr>
              <w:t xml:space="preserve">Орехова В. И. </w:t>
            </w:r>
            <w:r w:rsidRPr="000C1465">
              <w:rPr>
                <w:rFonts w:eastAsia="Calibri"/>
                <w:sz w:val="20"/>
                <w:szCs w:val="20"/>
              </w:rPr>
              <w:t>Особенности прокладки сетей водоснабжения на крайнем севере России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258</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Белова В. А, Соколова И. Е.</w:t>
            </w:r>
            <w:r w:rsidRPr="000C1465">
              <w:rPr>
                <w:sz w:val="20"/>
                <w:szCs w:val="20"/>
              </w:rPr>
              <w:t xml:space="preserve"> Методы очистки сточных вод ……….</w:t>
            </w:r>
          </w:p>
        </w:tc>
        <w:tc>
          <w:tcPr>
            <w:tcW w:w="708" w:type="dxa"/>
          </w:tcPr>
          <w:p w:rsidR="000C1465" w:rsidRPr="000C1465" w:rsidRDefault="00E278F8" w:rsidP="000C1465">
            <w:pPr>
              <w:rPr>
                <w:rFonts w:eastAsia="Calibri"/>
                <w:i/>
                <w:sz w:val="20"/>
                <w:szCs w:val="20"/>
              </w:rPr>
            </w:pPr>
            <w:r>
              <w:rPr>
                <w:rFonts w:eastAsia="Calibri"/>
                <w:i/>
                <w:sz w:val="20"/>
                <w:szCs w:val="20"/>
              </w:rPr>
              <w:t>261</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Кухаренко А. А.,</w:t>
            </w:r>
            <w:r w:rsidRPr="000C1465">
              <w:rPr>
                <w:sz w:val="20"/>
                <w:szCs w:val="20"/>
              </w:rPr>
              <w:t xml:space="preserve"> </w:t>
            </w:r>
            <w:r w:rsidRPr="000C1465">
              <w:rPr>
                <w:b/>
                <w:sz w:val="20"/>
                <w:szCs w:val="20"/>
              </w:rPr>
              <w:t>Орехова В. И.</w:t>
            </w:r>
            <w:r w:rsidRPr="000C1465">
              <w:rPr>
                <w:sz w:val="20"/>
                <w:szCs w:val="20"/>
              </w:rPr>
              <w:t xml:space="preserve"> Мировые запасы пресных вод ……</w:t>
            </w:r>
          </w:p>
        </w:tc>
        <w:tc>
          <w:tcPr>
            <w:tcW w:w="708" w:type="dxa"/>
          </w:tcPr>
          <w:p w:rsidR="000C1465" w:rsidRPr="000C1465" w:rsidRDefault="00E278F8" w:rsidP="000C1465">
            <w:pPr>
              <w:rPr>
                <w:rFonts w:eastAsia="Calibri"/>
                <w:i/>
                <w:sz w:val="20"/>
                <w:szCs w:val="20"/>
              </w:rPr>
            </w:pPr>
            <w:r>
              <w:rPr>
                <w:rFonts w:eastAsia="Calibri"/>
                <w:i/>
                <w:sz w:val="20"/>
                <w:szCs w:val="20"/>
              </w:rPr>
              <w:t>263</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Подольная А. Д.,</w:t>
            </w:r>
            <w:r w:rsidRPr="000C1465">
              <w:rPr>
                <w:sz w:val="20"/>
                <w:szCs w:val="20"/>
              </w:rPr>
              <w:t xml:space="preserve"> </w:t>
            </w:r>
            <w:r w:rsidRPr="000C1465">
              <w:rPr>
                <w:b/>
                <w:sz w:val="20"/>
                <w:szCs w:val="20"/>
              </w:rPr>
              <w:t>Орехова В. И.</w:t>
            </w:r>
            <w:r w:rsidRPr="000C1465">
              <w:rPr>
                <w:sz w:val="20"/>
                <w:szCs w:val="20"/>
              </w:rPr>
              <w:t xml:space="preserve"> Водоснабжение и оборотное </w:t>
            </w:r>
            <w:r w:rsidR="007637EA">
              <w:rPr>
                <w:sz w:val="20"/>
                <w:szCs w:val="20"/>
              </w:rPr>
              <w:br/>
            </w:r>
            <w:r w:rsidRPr="000C1465">
              <w:rPr>
                <w:sz w:val="20"/>
                <w:szCs w:val="20"/>
              </w:rPr>
              <w:t xml:space="preserve">водопотребление на предприятиях по переработке рыбы </w:t>
            </w:r>
            <w:r w:rsidRPr="000C1465">
              <w:rPr>
                <w:sz w:val="20"/>
                <w:szCs w:val="20"/>
              </w:rPr>
              <w:br/>
              <w:t>и морепродуктов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266</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 xml:space="preserve">Прищепа А. С., Анастасьева И. В. </w:t>
            </w:r>
            <w:r w:rsidRPr="000C1465">
              <w:rPr>
                <w:rFonts w:eastAsia="Calibri"/>
                <w:spacing w:val="-2"/>
                <w:sz w:val="20"/>
                <w:szCs w:val="20"/>
              </w:rPr>
              <w:t>Иваньковское водохранилище: последствие строительства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269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Соловьева И. А.,</w:t>
            </w:r>
            <w:r w:rsidRPr="000C1465">
              <w:rPr>
                <w:sz w:val="20"/>
                <w:szCs w:val="20"/>
              </w:rPr>
              <w:t xml:space="preserve"> </w:t>
            </w:r>
            <w:r w:rsidRPr="000C1465">
              <w:rPr>
                <w:rFonts w:eastAsia="Calibri"/>
                <w:b/>
                <w:sz w:val="20"/>
                <w:szCs w:val="20"/>
              </w:rPr>
              <w:t xml:space="preserve">Орехова В. И. </w:t>
            </w:r>
            <w:r w:rsidRPr="000C1465">
              <w:rPr>
                <w:rFonts w:eastAsia="Calibri"/>
                <w:sz w:val="20"/>
                <w:szCs w:val="20"/>
              </w:rPr>
              <w:t>Использование вод поверхностных источников в целях водоснабжения в ст. Динской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272</w:t>
            </w:r>
          </w:p>
        </w:tc>
      </w:tr>
      <w:tr w:rsidR="000C1465" w:rsidRPr="000C1465" w:rsidTr="00EB5229">
        <w:tc>
          <w:tcPr>
            <w:tcW w:w="6096" w:type="dxa"/>
          </w:tcPr>
          <w:p w:rsidR="000C1465" w:rsidRPr="007637EA" w:rsidRDefault="000C1465" w:rsidP="000C1465">
            <w:pPr>
              <w:jc w:val="both"/>
              <w:rPr>
                <w:rFonts w:eastAsia="Calibri"/>
                <w:spacing w:val="-2"/>
                <w:sz w:val="20"/>
                <w:szCs w:val="20"/>
              </w:rPr>
            </w:pPr>
            <w:r w:rsidRPr="000C1465">
              <w:rPr>
                <w:rFonts w:eastAsia="Calibri"/>
                <w:b/>
                <w:spacing w:val="-2"/>
                <w:sz w:val="20"/>
                <w:szCs w:val="20"/>
              </w:rPr>
              <w:lastRenderedPageBreak/>
              <w:t xml:space="preserve">Суров А. О., Коптев А. В. </w:t>
            </w:r>
            <w:r w:rsidRPr="000C1465">
              <w:rPr>
                <w:rFonts w:eastAsia="Calibri"/>
                <w:spacing w:val="-2"/>
                <w:sz w:val="20"/>
                <w:szCs w:val="20"/>
              </w:rPr>
              <w:t>Экологическая проблема реки Кубань ….</w:t>
            </w:r>
          </w:p>
        </w:tc>
        <w:tc>
          <w:tcPr>
            <w:tcW w:w="708" w:type="dxa"/>
          </w:tcPr>
          <w:p w:rsidR="000C1465" w:rsidRPr="000C1465" w:rsidRDefault="00E278F8" w:rsidP="000C1465">
            <w:pPr>
              <w:rPr>
                <w:rFonts w:eastAsia="Calibri"/>
                <w:i/>
                <w:sz w:val="20"/>
                <w:szCs w:val="20"/>
              </w:rPr>
            </w:pPr>
            <w:r>
              <w:rPr>
                <w:rFonts w:eastAsia="Calibri"/>
                <w:i/>
                <w:sz w:val="20"/>
                <w:szCs w:val="20"/>
              </w:rPr>
              <w:t>275</w:t>
            </w:r>
          </w:p>
        </w:tc>
      </w:tr>
      <w:tr w:rsidR="000C1465" w:rsidRPr="000C1465" w:rsidTr="00EB5229">
        <w:tc>
          <w:tcPr>
            <w:tcW w:w="6096" w:type="dxa"/>
          </w:tcPr>
          <w:p w:rsidR="00510884" w:rsidRPr="00510884" w:rsidRDefault="000C1465" w:rsidP="000C1465">
            <w:pPr>
              <w:jc w:val="both"/>
              <w:rPr>
                <w:rFonts w:eastAsia="Calibri"/>
                <w:sz w:val="20"/>
                <w:szCs w:val="20"/>
              </w:rPr>
            </w:pPr>
            <w:r w:rsidRPr="000C1465">
              <w:rPr>
                <w:rFonts w:eastAsia="Calibri"/>
                <w:b/>
                <w:sz w:val="20"/>
                <w:szCs w:val="20"/>
              </w:rPr>
              <w:t xml:space="preserve">Халимова К. Т., Гончаренко А. В. </w:t>
            </w:r>
            <w:r w:rsidRPr="000C1465">
              <w:rPr>
                <w:rFonts w:eastAsia="Calibri"/>
                <w:sz w:val="20"/>
                <w:szCs w:val="20"/>
              </w:rPr>
              <w:t xml:space="preserve">Антропогенное воздействие человеческой деятельности на Аральское море, его последствия </w:t>
            </w:r>
            <w:r w:rsidRPr="000C1465">
              <w:rPr>
                <w:rFonts w:eastAsia="Calibri"/>
                <w:sz w:val="20"/>
                <w:szCs w:val="20"/>
              </w:rPr>
              <w:br/>
              <w:t>и пути решения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276</w:t>
            </w:r>
          </w:p>
        </w:tc>
      </w:tr>
      <w:tr w:rsidR="000C1465" w:rsidRPr="000C1465" w:rsidTr="00EB5229">
        <w:tc>
          <w:tcPr>
            <w:tcW w:w="6096" w:type="dxa"/>
          </w:tcPr>
          <w:p w:rsidR="00510884" w:rsidRPr="000C1465" w:rsidRDefault="000C1465" w:rsidP="000C1465">
            <w:pPr>
              <w:jc w:val="both"/>
              <w:rPr>
                <w:rFonts w:eastAsia="Calibri"/>
                <w:sz w:val="20"/>
                <w:szCs w:val="20"/>
              </w:rPr>
            </w:pPr>
            <w:r w:rsidRPr="000C1465">
              <w:rPr>
                <w:rFonts w:eastAsia="Calibri"/>
                <w:b/>
                <w:sz w:val="20"/>
                <w:szCs w:val="20"/>
              </w:rPr>
              <w:t>Штефан А. А.,</w:t>
            </w:r>
            <w:r w:rsidRPr="000C1465">
              <w:rPr>
                <w:sz w:val="20"/>
                <w:szCs w:val="20"/>
              </w:rPr>
              <w:t xml:space="preserve"> </w:t>
            </w:r>
            <w:r w:rsidRPr="000C1465">
              <w:rPr>
                <w:rFonts w:eastAsia="Calibri"/>
                <w:b/>
                <w:sz w:val="20"/>
                <w:szCs w:val="20"/>
              </w:rPr>
              <w:t>Леонов И. С.,</w:t>
            </w:r>
            <w:r w:rsidRPr="000C1465">
              <w:rPr>
                <w:sz w:val="20"/>
                <w:szCs w:val="20"/>
              </w:rPr>
              <w:t xml:space="preserve"> </w:t>
            </w:r>
            <w:r w:rsidRPr="000C1465">
              <w:rPr>
                <w:rFonts w:eastAsia="Calibri"/>
                <w:b/>
                <w:sz w:val="20"/>
                <w:szCs w:val="20"/>
              </w:rPr>
              <w:t xml:space="preserve">Дегтярёва Е. В. </w:t>
            </w:r>
            <w:r w:rsidRPr="000C1465">
              <w:rPr>
                <w:rFonts w:eastAsia="Calibri"/>
                <w:sz w:val="20"/>
                <w:szCs w:val="20"/>
              </w:rPr>
              <w:t xml:space="preserve">Эффективность </w:t>
            </w:r>
            <w:r w:rsidR="007637EA">
              <w:rPr>
                <w:rFonts w:eastAsia="Calibri"/>
                <w:sz w:val="20"/>
                <w:szCs w:val="20"/>
              </w:rPr>
              <w:br/>
            </w:r>
            <w:r w:rsidRPr="000C1465">
              <w:rPr>
                <w:rFonts w:eastAsia="Calibri"/>
                <w:sz w:val="20"/>
                <w:szCs w:val="20"/>
              </w:rPr>
              <w:t>использования удобрений для повышения плодородия почв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279</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зоотехнии</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Белоус И. Н., Подойницына Т. А. </w:t>
            </w:r>
            <w:r w:rsidRPr="000C1465">
              <w:rPr>
                <w:rFonts w:eastAsia="Calibri"/>
                <w:sz w:val="20"/>
                <w:szCs w:val="20"/>
              </w:rPr>
              <w:t xml:space="preserve">К вопросу выращивания </w:t>
            </w:r>
            <w:r w:rsidRPr="000C1465">
              <w:rPr>
                <w:rFonts w:eastAsia="Calibri"/>
                <w:sz w:val="20"/>
                <w:szCs w:val="20"/>
              </w:rPr>
              <w:br/>
              <w:t>телят-молочников разными способами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283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Вартанян Д. С.,</w:t>
            </w:r>
            <w:r w:rsidRPr="000C1465">
              <w:rPr>
                <w:sz w:val="20"/>
                <w:szCs w:val="20"/>
              </w:rPr>
              <w:t xml:space="preserve"> </w:t>
            </w:r>
            <w:r w:rsidRPr="000C1465">
              <w:rPr>
                <w:rFonts w:eastAsia="Calibri"/>
                <w:b/>
                <w:sz w:val="20"/>
                <w:szCs w:val="20"/>
              </w:rPr>
              <w:t xml:space="preserve">Попова Ю. Д., Куликова Н. И. </w:t>
            </w:r>
            <w:r w:rsidRPr="000C1465">
              <w:rPr>
                <w:rFonts w:eastAsia="Calibri"/>
                <w:sz w:val="20"/>
                <w:szCs w:val="20"/>
              </w:rPr>
              <w:t xml:space="preserve">Молочная </w:t>
            </w:r>
            <w:r w:rsidR="007637EA">
              <w:rPr>
                <w:rFonts w:eastAsia="Calibri"/>
                <w:sz w:val="20"/>
                <w:szCs w:val="20"/>
              </w:rPr>
              <w:br/>
            </w:r>
            <w:r w:rsidRPr="000C1465">
              <w:rPr>
                <w:rFonts w:eastAsia="Calibri"/>
                <w:sz w:val="20"/>
                <w:szCs w:val="20"/>
              </w:rPr>
              <w:t xml:space="preserve">продуктивность коров-дочерей различных быков в учхозе </w:t>
            </w:r>
            <w:r w:rsidR="007637EA">
              <w:rPr>
                <w:rFonts w:eastAsia="Calibri"/>
                <w:sz w:val="20"/>
                <w:szCs w:val="20"/>
              </w:rPr>
              <w:br/>
            </w:r>
            <w:r w:rsidRPr="000C1465">
              <w:rPr>
                <w:rFonts w:eastAsia="Calibri"/>
                <w:sz w:val="20"/>
                <w:szCs w:val="20"/>
              </w:rPr>
              <w:t>«Краснодарское»………………………………………………………...</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285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Данилова А. А.,</w:t>
            </w:r>
            <w:r w:rsidRPr="000C1465">
              <w:rPr>
                <w:sz w:val="20"/>
                <w:szCs w:val="20"/>
              </w:rPr>
              <w:t xml:space="preserve"> </w:t>
            </w:r>
            <w:r w:rsidRPr="000C1465">
              <w:rPr>
                <w:rFonts w:eastAsia="Calibri"/>
                <w:b/>
                <w:sz w:val="20"/>
                <w:szCs w:val="20"/>
              </w:rPr>
              <w:t xml:space="preserve">Ратошный А. Н. </w:t>
            </w:r>
            <w:r w:rsidRPr="000C1465">
              <w:rPr>
                <w:rFonts w:eastAsia="Calibri"/>
                <w:sz w:val="20"/>
                <w:szCs w:val="20"/>
              </w:rPr>
              <w:t>Пробиотики в кормлении цыплят бройлеров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288</w:t>
            </w:r>
          </w:p>
        </w:tc>
      </w:tr>
      <w:tr w:rsidR="000C1465" w:rsidRPr="000C1465" w:rsidTr="00EB5229">
        <w:tc>
          <w:tcPr>
            <w:tcW w:w="6096" w:type="dxa"/>
          </w:tcPr>
          <w:p w:rsidR="000C1465" w:rsidRPr="000C1465" w:rsidRDefault="000C1465" w:rsidP="007637EA">
            <w:pPr>
              <w:jc w:val="both"/>
              <w:rPr>
                <w:rFonts w:eastAsia="Calibri"/>
                <w:sz w:val="20"/>
                <w:szCs w:val="20"/>
              </w:rPr>
            </w:pPr>
            <w:r w:rsidRPr="000C1465">
              <w:rPr>
                <w:rFonts w:eastAsia="Calibri"/>
                <w:b/>
                <w:sz w:val="20"/>
                <w:szCs w:val="20"/>
              </w:rPr>
              <w:t>Китянина К. И.,</w:t>
            </w:r>
            <w:r w:rsidRPr="000C1465">
              <w:rPr>
                <w:sz w:val="20"/>
                <w:szCs w:val="20"/>
              </w:rPr>
              <w:t xml:space="preserve"> </w:t>
            </w:r>
            <w:r w:rsidRPr="000C1465">
              <w:rPr>
                <w:rFonts w:eastAsia="Calibri"/>
                <w:b/>
                <w:sz w:val="20"/>
                <w:szCs w:val="20"/>
              </w:rPr>
              <w:t>Куликова Н. И.</w:t>
            </w:r>
            <w:r w:rsidRPr="000C1465">
              <w:rPr>
                <w:sz w:val="20"/>
                <w:szCs w:val="20"/>
              </w:rPr>
              <w:t xml:space="preserve"> </w:t>
            </w:r>
            <w:r w:rsidRPr="000C1465">
              <w:rPr>
                <w:rFonts w:eastAsia="Calibri"/>
                <w:sz w:val="20"/>
                <w:szCs w:val="20"/>
              </w:rPr>
              <w:t>Повышение воспроизводител</w:t>
            </w:r>
            <w:r w:rsidRPr="000C1465">
              <w:rPr>
                <w:rFonts w:eastAsia="Calibri"/>
                <w:sz w:val="20"/>
                <w:szCs w:val="20"/>
              </w:rPr>
              <w:t>ь</w:t>
            </w:r>
            <w:r w:rsidRPr="000C1465">
              <w:rPr>
                <w:rFonts w:eastAsia="Calibri"/>
                <w:sz w:val="20"/>
                <w:szCs w:val="20"/>
              </w:rPr>
              <w:t>ных функций овец молочного направления продуктивности………</w:t>
            </w:r>
            <w:r w:rsidR="007637EA">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291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Комирняя А. Н.,</w:t>
            </w:r>
            <w:r w:rsidRPr="000C1465">
              <w:rPr>
                <w:sz w:val="20"/>
                <w:szCs w:val="20"/>
              </w:rPr>
              <w:t xml:space="preserve"> </w:t>
            </w:r>
            <w:r w:rsidRPr="000C1465">
              <w:rPr>
                <w:rFonts w:eastAsia="Calibri"/>
                <w:b/>
                <w:sz w:val="20"/>
                <w:szCs w:val="20"/>
              </w:rPr>
              <w:t xml:space="preserve">Комлацкий В. И. </w:t>
            </w:r>
            <w:r w:rsidRPr="000C1465">
              <w:rPr>
                <w:rFonts w:eastAsia="Calibri"/>
                <w:sz w:val="20"/>
                <w:szCs w:val="20"/>
              </w:rPr>
              <w:t>Использование подкислителей в корме для птиц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294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Курганникова А. Г., Подойницына Т. А. </w:t>
            </w:r>
            <w:r w:rsidRPr="000C1465">
              <w:rPr>
                <w:rFonts w:eastAsia="Calibri"/>
                <w:sz w:val="20"/>
                <w:szCs w:val="20"/>
              </w:rPr>
              <w:t xml:space="preserve">Многоплодие </w:t>
            </w:r>
            <w:r w:rsidR="007637EA">
              <w:rPr>
                <w:rFonts w:eastAsia="Calibri"/>
                <w:sz w:val="20"/>
                <w:szCs w:val="20"/>
              </w:rPr>
              <w:br/>
            </w:r>
            <w:r w:rsidRPr="000C1465">
              <w:rPr>
                <w:rFonts w:eastAsia="Calibri"/>
                <w:sz w:val="20"/>
                <w:szCs w:val="20"/>
              </w:rPr>
              <w:t>романовских овец и продуктивность их потомства различных типов рождения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297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Кучерова А. И.,</w:t>
            </w:r>
            <w:r w:rsidRPr="000C1465">
              <w:rPr>
                <w:sz w:val="20"/>
                <w:szCs w:val="20"/>
              </w:rPr>
              <w:t xml:space="preserve"> </w:t>
            </w:r>
            <w:r w:rsidRPr="000C1465">
              <w:rPr>
                <w:rFonts w:eastAsia="Calibri"/>
                <w:b/>
                <w:sz w:val="20"/>
                <w:szCs w:val="20"/>
              </w:rPr>
              <w:t xml:space="preserve">Шляхова О. Г. </w:t>
            </w:r>
            <w:r w:rsidRPr="000C1465">
              <w:rPr>
                <w:rFonts w:eastAsia="Calibri"/>
                <w:sz w:val="20"/>
                <w:szCs w:val="20"/>
              </w:rPr>
              <w:t xml:space="preserve">Особенности питания </w:t>
            </w:r>
            <w:r w:rsidRPr="000C1465">
              <w:rPr>
                <w:rFonts w:eastAsia="Calibri"/>
                <w:sz w:val="20"/>
                <w:szCs w:val="20"/>
              </w:rPr>
              <w:br/>
              <w:t>и содержания попугаев Ара в полувольных условиях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300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Можаева А. И. </w:t>
            </w:r>
            <w:r w:rsidRPr="000C1465">
              <w:rPr>
                <w:rFonts w:eastAsia="Calibri"/>
                <w:sz w:val="20"/>
                <w:szCs w:val="20"/>
              </w:rPr>
              <w:t>Проблема питания королевских питонов в условиях террариума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303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Моженков А. С.,</w:t>
            </w:r>
            <w:r w:rsidRPr="000C1465">
              <w:rPr>
                <w:sz w:val="20"/>
                <w:szCs w:val="20"/>
              </w:rPr>
              <w:t xml:space="preserve"> </w:t>
            </w:r>
            <w:r w:rsidRPr="000C1465">
              <w:rPr>
                <w:rFonts w:eastAsia="Calibri"/>
                <w:b/>
                <w:sz w:val="20"/>
                <w:szCs w:val="20"/>
              </w:rPr>
              <w:t>Китянина К. И.,</w:t>
            </w:r>
            <w:r w:rsidRPr="000C1465">
              <w:rPr>
                <w:sz w:val="20"/>
                <w:szCs w:val="20"/>
              </w:rPr>
              <w:t xml:space="preserve"> </w:t>
            </w:r>
            <w:r w:rsidRPr="000C1465">
              <w:rPr>
                <w:rFonts w:eastAsia="Calibri"/>
                <w:b/>
                <w:sz w:val="20"/>
                <w:szCs w:val="20"/>
              </w:rPr>
              <w:t xml:space="preserve">Куликова Н. И. </w:t>
            </w:r>
            <w:r w:rsidRPr="000C1465">
              <w:rPr>
                <w:rFonts w:eastAsia="Calibri"/>
                <w:sz w:val="20"/>
                <w:szCs w:val="20"/>
              </w:rPr>
              <w:t>Воспроизвод</w:t>
            </w:r>
            <w:r w:rsidRPr="000C1465">
              <w:rPr>
                <w:rFonts w:eastAsia="Calibri"/>
                <w:sz w:val="20"/>
                <w:szCs w:val="20"/>
              </w:rPr>
              <w:t>и</w:t>
            </w:r>
            <w:r w:rsidRPr="000C1465">
              <w:rPr>
                <w:rFonts w:eastAsia="Calibri"/>
                <w:sz w:val="20"/>
                <w:szCs w:val="20"/>
              </w:rPr>
              <w:t xml:space="preserve">тельные качества овцематок и интенсивность роста ягнят пород </w:t>
            </w:r>
            <w:proofErr w:type="gramStart"/>
            <w:r w:rsidRPr="000C1465">
              <w:rPr>
                <w:rFonts w:eastAsia="Calibri"/>
                <w:sz w:val="20"/>
                <w:szCs w:val="20"/>
              </w:rPr>
              <w:t>мясо-шерстного</w:t>
            </w:r>
            <w:proofErr w:type="gramEnd"/>
            <w:r w:rsidRPr="000C1465">
              <w:rPr>
                <w:rFonts w:eastAsia="Calibri"/>
                <w:sz w:val="20"/>
                <w:szCs w:val="20"/>
              </w:rPr>
              <w:t>, мясного и молочного направления…...</w:t>
            </w:r>
            <w:r w:rsidR="007637EA">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306</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Наливайко Н. А.,</w:t>
            </w:r>
            <w:r w:rsidRPr="000C1465">
              <w:rPr>
                <w:sz w:val="20"/>
                <w:szCs w:val="20"/>
              </w:rPr>
              <w:t xml:space="preserve"> </w:t>
            </w:r>
            <w:r w:rsidRPr="000C1465">
              <w:rPr>
                <w:rFonts w:eastAsia="Calibri"/>
                <w:b/>
                <w:spacing w:val="-2"/>
                <w:sz w:val="20"/>
                <w:szCs w:val="20"/>
              </w:rPr>
              <w:t xml:space="preserve">Дикарев А. Г. </w:t>
            </w:r>
            <w:r w:rsidRPr="000C1465">
              <w:rPr>
                <w:rFonts w:eastAsia="Calibri"/>
                <w:spacing w:val="-2"/>
                <w:sz w:val="20"/>
                <w:szCs w:val="20"/>
              </w:rPr>
              <w:t>Состояние коневодства и конного спорта в разных регионах России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309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Нимбона К.,</w:t>
            </w:r>
            <w:r w:rsidRPr="000C1465">
              <w:rPr>
                <w:sz w:val="20"/>
                <w:szCs w:val="20"/>
              </w:rPr>
              <w:t xml:space="preserve"> </w:t>
            </w:r>
            <w:r w:rsidRPr="000C1465">
              <w:rPr>
                <w:rFonts w:eastAsia="Calibri"/>
                <w:b/>
                <w:sz w:val="20"/>
                <w:szCs w:val="20"/>
              </w:rPr>
              <w:t xml:space="preserve">Куликова Н. И. </w:t>
            </w:r>
            <w:r w:rsidRPr="000C1465">
              <w:rPr>
                <w:rFonts w:eastAsia="Calibri"/>
                <w:sz w:val="20"/>
                <w:szCs w:val="20"/>
              </w:rPr>
              <w:t xml:space="preserve">Получение эмбрионов от коров </w:t>
            </w:r>
            <w:r w:rsidRPr="000C1465">
              <w:rPr>
                <w:rFonts w:eastAsia="Calibri"/>
                <w:sz w:val="20"/>
                <w:szCs w:val="20"/>
              </w:rPr>
              <w:br/>
              <w:t>и телок-доноров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312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Петришена Ю. В. </w:t>
            </w:r>
            <w:r w:rsidRPr="000C1465">
              <w:rPr>
                <w:rFonts w:eastAsia="Calibri"/>
                <w:sz w:val="20"/>
                <w:szCs w:val="20"/>
              </w:rPr>
              <w:t xml:space="preserve">Сравнительная оценка использования молока от коров голштинской и </w:t>
            </w:r>
            <w:proofErr w:type="gramStart"/>
            <w:r w:rsidRPr="000C1465">
              <w:rPr>
                <w:rFonts w:eastAsia="Calibri"/>
                <w:sz w:val="20"/>
                <w:szCs w:val="20"/>
              </w:rPr>
              <w:t>симментальской</w:t>
            </w:r>
            <w:proofErr w:type="gramEnd"/>
            <w:r w:rsidRPr="000C1465">
              <w:rPr>
                <w:rFonts w:eastAsia="Calibri"/>
                <w:sz w:val="20"/>
                <w:szCs w:val="20"/>
              </w:rPr>
              <w:t xml:space="preserve"> пород для производства</w:t>
            </w:r>
            <w:r w:rsidR="002E4D92">
              <w:rPr>
                <w:rFonts w:eastAsia="Calibri"/>
                <w:sz w:val="20"/>
                <w:szCs w:val="20"/>
              </w:rPr>
              <w:br/>
            </w:r>
            <w:r w:rsidRPr="000C1465">
              <w:rPr>
                <w:rFonts w:eastAsia="Calibri"/>
                <w:sz w:val="20"/>
                <w:szCs w:val="20"/>
              </w:rPr>
              <w:t xml:space="preserve"> творога …………………………………………………………………</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315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Петросян Н. С.,</w:t>
            </w:r>
            <w:r w:rsidRPr="000C1465">
              <w:rPr>
                <w:sz w:val="20"/>
                <w:szCs w:val="20"/>
              </w:rPr>
              <w:t xml:space="preserve"> </w:t>
            </w:r>
            <w:r w:rsidRPr="000C1465">
              <w:rPr>
                <w:rFonts w:eastAsia="Calibri"/>
                <w:b/>
                <w:sz w:val="20"/>
                <w:szCs w:val="20"/>
              </w:rPr>
              <w:t xml:space="preserve">Шляхова О. Г. </w:t>
            </w:r>
            <w:r w:rsidRPr="000C1465">
              <w:rPr>
                <w:rFonts w:eastAsia="Calibri"/>
                <w:sz w:val="20"/>
                <w:szCs w:val="20"/>
              </w:rPr>
              <w:t>Различные методы определения общей влаги в кормах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318</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Преловская К. Е.,</w:t>
            </w:r>
            <w:r w:rsidRPr="000C1465">
              <w:rPr>
                <w:sz w:val="20"/>
                <w:szCs w:val="20"/>
              </w:rPr>
              <w:t xml:space="preserve"> </w:t>
            </w:r>
            <w:r w:rsidRPr="000C1465">
              <w:rPr>
                <w:rFonts w:eastAsia="Calibri"/>
                <w:b/>
                <w:sz w:val="20"/>
                <w:szCs w:val="20"/>
              </w:rPr>
              <w:t xml:space="preserve">Усенко В. В. </w:t>
            </w:r>
            <w:r w:rsidRPr="000C1465">
              <w:rPr>
                <w:rFonts w:eastAsia="Calibri"/>
                <w:sz w:val="20"/>
                <w:szCs w:val="20"/>
              </w:rPr>
              <w:t xml:space="preserve">Перспективы возобновления </w:t>
            </w:r>
            <w:r w:rsidR="002E4D92">
              <w:rPr>
                <w:rFonts w:eastAsia="Calibri"/>
                <w:sz w:val="20"/>
                <w:szCs w:val="20"/>
              </w:rPr>
              <w:br/>
            </w:r>
            <w:r w:rsidRPr="000C1465">
              <w:rPr>
                <w:rFonts w:eastAsia="Calibri"/>
                <w:sz w:val="20"/>
                <w:szCs w:val="20"/>
              </w:rPr>
              <w:t>численности байкальского осетра в озере Байкал ……………………</w:t>
            </w:r>
          </w:p>
          <w:p w:rsidR="00E278F8" w:rsidRPr="000C1465" w:rsidRDefault="00E278F8"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321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Рогожкина Д. А.,</w:t>
            </w:r>
            <w:r w:rsidRPr="000C1465">
              <w:rPr>
                <w:sz w:val="20"/>
                <w:szCs w:val="20"/>
              </w:rPr>
              <w:t xml:space="preserve"> </w:t>
            </w:r>
            <w:r w:rsidRPr="000C1465">
              <w:rPr>
                <w:rFonts w:eastAsia="Calibri"/>
                <w:b/>
                <w:sz w:val="20"/>
                <w:szCs w:val="20"/>
              </w:rPr>
              <w:t xml:space="preserve">Тузов И. Н. </w:t>
            </w:r>
            <w:r w:rsidRPr="000C1465">
              <w:rPr>
                <w:rFonts w:eastAsia="Calibri"/>
                <w:sz w:val="20"/>
                <w:szCs w:val="20"/>
              </w:rPr>
              <w:t xml:space="preserve">Зависимость молочной </w:t>
            </w:r>
            <w:r w:rsidR="002E4D92">
              <w:rPr>
                <w:rFonts w:eastAsia="Calibri"/>
                <w:sz w:val="20"/>
                <w:szCs w:val="20"/>
              </w:rPr>
              <w:br/>
            </w:r>
            <w:r w:rsidRPr="000C1465">
              <w:rPr>
                <w:rFonts w:eastAsia="Calibri"/>
                <w:sz w:val="20"/>
                <w:szCs w:val="20"/>
              </w:rPr>
              <w:t>продуктивности коров в УОХ «Краснодарское» от их массы при рождении …...............................................................................................</w:t>
            </w:r>
          </w:p>
        </w:tc>
        <w:tc>
          <w:tcPr>
            <w:tcW w:w="708" w:type="dxa"/>
          </w:tcPr>
          <w:p w:rsidR="000C1465" w:rsidRDefault="000C1465" w:rsidP="000C1465">
            <w:pPr>
              <w:rPr>
                <w:rFonts w:eastAsia="Calibri"/>
                <w:i/>
                <w:sz w:val="20"/>
                <w:szCs w:val="20"/>
              </w:rPr>
            </w:pPr>
          </w:p>
          <w:p w:rsidR="002E4D92" w:rsidRPr="000C1465" w:rsidRDefault="002E4D92"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324</w:t>
            </w:r>
          </w:p>
        </w:tc>
      </w:tr>
      <w:tr w:rsidR="000C1465" w:rsidRPr="000C1465" w:rsidTr="00EB5229">
        <w:tc>
          <w:tcPr>
            <w:tcW w:w="6096" w:type="dxa"/>
          </w:tcPr>
          <w:p w:rsidR="002E4D92" w:rsidRPr="00E278F8" w:rsidRDefault="000C1465" w:rsidP="000C1465">
            <w:pPr>
              <w:jc w:val="both"/>
              <w:rPr>
                <w:rFonts w:eastAsia="Calibri"/>
                <w:spacing w:val="-4"/>
                <w:sz w:val="20"/>
                <w:szCs w:val="20"/>
              </w:rPr>
            </w:pPr>
            <w:r w:rsidRPr="000C1465">
              <w:rPr>
                <w:rFonts w:eastAsia="Calibri"/>
                <w:b/>
                <w:spacing w:val="-4"/>
                <w:sz w:val="20"/>
                <w:szCs w:val="20"/>
              </w:rPr>
              <w:t xml:space="preserve">Стадник З. В., Рядчиков В. Г. </w:t>
            </w:r>
            <w:r w:rsidRPr="000C1465">
              <w:rPr>
                <w:rFonts w:eastAsia="Calibri"/>
                <w:spacing w:val="-4"/>
                <w:sz w:val="20"/>
                <w:szCs w:val="20"/>
              </w:rPr>
              <w:t xml:space="preserve">Таурин в профилактике заболеваний </w:t>
            </w:r>
            <w:proofErr w:type="gramStart"/>
            <w:r w:rsidRPr="000C1465">
              <w:rPr>
                <w:rFonts w:eastAsia="Calibri"/>
                <w:spacing w:val="-4"/>
                <w:sz w:val="20"/>
                <w:szCs w:val="20"/>
              </w:rPr>
              <w:t>сердечно-сосудистой</w:t>
            </w:r>
            <w:proofErr w:type="gramEnd"/>
            <w:r w:rsidRPr="000C1465">
              <w:rPr>
                <w:rFonts w:eastAsia="Calibri"/>
                <w:spacing w:val="-4"/>
                <w:sz w:val="20"/>
                <w:szCs w:val="20"/>
              </w:rPr>
              <w:t xml:space="preserve"> системы кошек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327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Старикова С. Г.,</w:t>
            </w:r>
            <w:r w:rsidRPr="000C1465">
              <w:rPr>
                <w:sz w:val="20"/>
                <w:szCs w:val="20"/>
              </w:rPr>
              <w:t xml:space="preserve"> </w:t>
            </w:r>
            <w:r w:rsidRPr="000C1465">
              <w:rPr>
                <w:rFonts w:eastAsia="Calibri"/>
                <w:b/>
                <w:sz w:val="20"/>
                <w:szCs w:val="20"/>
              </w:rPr>
              <w:t xml:space="preserve">Щербатов В. И. </w:t>
            </w:r>
            <w:r w:rsidRPr="000C1465">
              <w:rPr>
                <w:rFonts w:eastAsia="Calibri"/>
                <w:sz w:val="20"/>
                <w:szCs w:val="20"/>
              </w:rPr>
              <w:t>Оценка качества перепелиных яиц по пигментации скорлупы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328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Филиппов Д. А., Величко Л. Ф.</w:t>
            </w:r>
            <w:r w:rsidRPr="000C1465">
              <w:rPr>
                <w:sz w:val="20"/>
                <w:szCs w:val="20"/>
              </w:rPr>
              <w:t xml:space="preserve"> </w:t>
            </w:r>
            <w:r w:rsidRPr="000C1465">
              <w:rPr>
                <w:rFonts w:eastAsia="Calibri"/>
                <w:sz w:val="20"/>
                <w:szCs w:val="20"/>
              </w:rPr>
              <w:t>Методы повышения сохранности крольчат от многоплодных самок в КФХ «ГЛАВКРОЛ»…………….</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331</w:t>
            </w:r>
          </w:p>
        </w:tc>
      </w:tr>
      <w:tr w:rsidR="000C1465" w:rsidRPr="000C1465" w:rsidTr="00EB5229">
        <w:tc>
          <w:tcPr>
            <w:tcW w:w="6096" w:type="dxa"/>
          </w:tcPr>
          <w:p w:rsidR="000C1465" w:rsidRPr="000C1465" w:rsidRDefault="000C1465" w:rsidP="000C1465">
            <w:pPr>
              <w:jc w:val="both"/>
              <w:rPr>
                <w:rFonts w:eastAsia="Calibri"/>
                <w:b/>
                <w:spacing w:val="-2"/>
                <w:sz w:val="20"/>
                <w:szCs w:val="20"/>
              </w:rPr>
            </w:pPr>
            <w:r w:rsidRPr="000C1465">
              <w:rPr>
                <w:rFonts w:eastAsia="Calibri"/>
                <w:b/>
                <w:spacing w:val="-2"/>
                <w:sz w:val="20"/>
                <w:szCs w:val="20"/>
              </w:rPr>
              <w:t>Харченко В. И.,</w:t>
            </w:r>
            <w:r w:rsidRPr="000C1465">
              <w:rPr>
                <w:sz w:val="20"/>
                <w:szCs w:val="20"/>
              </w:rPr>
              <w:t xml:space="preserve"> </w:t>
            </w:r>
            <w:r w:rsidRPr="000C1465">
              <w:rPr>
                <w:rFonts w:eastAsia="Calibri"/>
                <w:b/>
                <w:spacing w:val="-2"/>
                <w:sz w:val="20"/>
                <w:szCs w:val="20"/>
              </w:rPr>
              <w:t>Величко В. А.</w:t>
            </w:r>
            <w:r w:rsidRPr="000C1465">
              <w:rPr>
                <w:rFonts w:eastAsia="Calibri"/>
                <w:spacing w:val="-2"/>
                <w:sz w:val="20"/>
                <w:szCs w:val="20"/>
              </w:rPr>
              <w:t xml:space="preserve"> Влияние хряков разных пород на качество потомства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334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Хатько В. В., Щербатов В. И.</w:t>
            </w:r>
            <w:r w:rsidRPr="000C1465">
              <w:rPr>
                <w:rFonts w:eastAsia="Calibri"/>
                <w:sz w:val="20"/>
                <w:szCs w:val="20"/>
              </w:rPr>
              <w:t xml:space="preserve"> Влияние свечения скорлупы яиц перепелов на их инкубационные качества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336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Хурэлчулуун С.,</w:t>
            </w:r>
            <w:r w:rsidRPr="000C1465">
              <w:rPr>
                <w:sz w:val="20"/>
                <w:szCs w:val="20"/>
              </w:rPr>
              <w:t xml:space="preserve"> </w:t>
            </w:r>
            <w:r w:rsidRPr="000C1465">
              <w:rPr>
                <w:rFonts w:eastAsia="Calibri"/>
                <w:b/>
                <w:sz w:val="20"/>
                <w:szCs w:val="20"/>
              </w:rPr>
              <w:t>Щербатов В. И.</w:t>
            </w:r>
            <w:r w:rsidRPr="000C1465">
              <w:rPr>
                <w:rFonts w:eastAsia="Calibri"/>
                <w:sz w:val="20"/>
                <w:szCs w:val="20"/>
              </w:rPr>
              <w:t xml:space="preserve"> Раннее прогнозирование яичной продуктивности перепелов по промерам костяка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338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Щербинина М. А.,</w:t>
            </w:r>
            <w:r w:rsidRPr="000C1465">
              <w:rPr>
                <w:sz w:val="20"/>
                <w:szCs w:val="20"/>
              </w:rPr>
              <w:t xml:space="preserve"> </w:t>
            </w:r>
            <w:r w:rsidRPr="000C1465">
              <w:rPr>
                <w:rFonts w:eastAsia="Calibri"/>
                <w:b/>
                <w:sz w:val="20"/>
                <w:szCs w:val="20"/>
              </w:rPr>
              <w:t xml:space="preserve">Щербатов В. И. </w:t>
            </w:r>
            <w:r w:rsidRPr="000C1465">
              <w:rPr>
                <w:rFonts w:eastAsia="Calibri"/>
                <w:sz w:val="20"/>
                <w:szCs w:val="20"/>
              </w:rPr>
              <w:t xml:space="preserve">Особенности проявления </w:t>
            </w:r>
            <w:r w:rsidR="002E4D92">
              <w:rPr>
                <w:rFonts w:eastAsia="Calibri"/>
                <w:sz w:val="20"/>
                <w:szCs w:val="20"/>
              </w:rPr>
              <w:br/>
            </w:r>
            <w:r w:rsidRPr="000C1465">
              <w:rPr>
                <w:rFonts w:eastAsia="Calibri"/>
                <w:sz w:val="20"/>
                <w:szCs w:val="20"/>
              </w:rPr>
              <w:t>морфологических признаков яиц кур в зависимости от направления продуктивности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341</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механизации</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Белоусова А. И., Белоусов С. В. </w:t>
            </w:r>
            <w:r w:rsidRPr="000C1465">
              <w:rPr>
                <w:rFonts w:eastAsia="Calibri"/>
                <w:sz w:val="20"/>
                <w:szCs w:val="20"/>
              </w:rPr>
              <w:t>Развитие сельскохозяйственных процессов в современных экономических условиях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344</w:t>
            </w:r>
          </w:p>
        </w:tc>
      </w:tr>
      <w:tr w:rsidR="000C1465" w:rsidRPr="000C1465" w:rsidTr="00EB5229">
        <w:tc>
          <w:tcPr>
            <w:tcW w:w="6096" w:type="dxa"/>
          </w:tcPr>
          <w:p w:rsidR="000C1465" w:rsidRPr="000C1465" w:rsidRDefault="000C1465" w:rsidP="000C1465">
            <w:pPr>
              <w:jc w:val="both"/>
              <w:rPr>
                <w:rFonts w:eastAsia="Calibri"/>
                <w:b/>
                <w:spacing w:val="-4"/>
                <w:sz w:val="20"/>
                <w:szCs w:val="20"/>
              </w:rPr>
            </w:pPr>
            <w:r w:rsidRPr="000C1465">
              <w:rPr>
                <w:rFonts w:eastAsia="Calibri"/>
                <w:b/>
                <w:spacing w:val="-4"/>
                <w:sz w:val="20"/>
                <w:szCs w:val="20"/>
              </w:rPr>
              <w:t xml:space="preserve">Воробьев К. А., Кадыров М. Р. </w:t>
            </w:r>
            <w:r w:rsidRPr="000C1465">
              <w:rPr>
                <w:rFonts w:eastAsia="Calibri"/>
                <w:spacing w:val="-4"/>
                <w:sz w:val="20"/>
                <w:szCs w:val="20"/>
              </w:rPr>
              <w:t>К выбору технических средств для погрузо-разгрузочных работ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346</w:t>
            </w:r>
          </w:p>
        </w:tc>
      </w:tr>
      <w:tr w:rsidR="000C1465" w:rsidRPr="000C1465" w:rsidTr="00EB5229">
        <w:tc>
          <w:tcPr>
            <w:tcW w:w="6096" w:type="dxa"/>
          </w:tcPr>
          <w:p w:rsidR="000C1465" w:rsidRPr="000C1465" w:rsidRDefault="000C1465" w:rsidP="000C1465">
            <w:pPr>
              <w:jc w:val="both"/>
              <w:rPr>
                <w:rFonts w:eastAsia="Calibri"/>
                <w:b/>
                <w:spacing w:val="-6"/>
                <w:sz w:val="20"/>
                <w:szCs w:val="20"/>
              </w:rPr>
            </w:pPr>
            <w:r w:rsidRPr="000C1465">
              <w:rPr>
                <w:rFonts w:eastAsia="Calibri"/>
                <w:b/>
                <w:spacing w:val="-6"/>
                <w:sz w:val="20"/>
                <w:szCs w:val="20"/>
              </w:rPr>
              <w:t xml:space="preserve">Выголова Е. Р., Труфляк Е. В. </w:t>
            </w:r>
            <w:r w:rsidRPr="000C1465">
              <w:rPr>
                <w:rFonts w:eastAsia="Calibri"/>
                <w:spacing w:val="-6"/>
                <w:sz w:val="20"/>
                <w:szCs w:val="20"/>
              </w:rPr>
              <w:t>Прогноз развития точного сельского хозяйства в Европе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349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Городничая А. Н., Тарасенко Б. Ф.</w:t>
            </w:r>
            <w:r w:rsidRPr="000C1465">
              <w:rPr>
                <w:rFonts w:eastAsia="Calibri"/>
                <w:sz w:val="20"/>
                <w:szCs w:val="20"/>
              </w:rPr>
              <w:t xml:space="preserve"> Модернизация средства для химической борьбы с сорняками в рисовых чеках залитых водой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352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Демченко Д. Р.,</w:t>
            </w:r>
            <w:r w:rsidRPr="000C1465">
              <w:rPr>
                <w:sz w:val="20"/>
                <w:szCs w:val="20"/>
              </w:rPr>
              <w:t xml:space="preserve"> </w:t>
            </w:r>
            <w:r w:rsidRPr="000C1465">
              <w:rPr>
                <w:rFonts w:eastAsia="Calibri"/>
                <w:b/>
                <w:sz w:val="20"/>
                <w:szCs w:val="20"/>
              </w:rPr>
              <w:t xml:space="preserve">Коновалов С. И., Коновалова О. В. </w:t>
            </w:r>
            <w:r w:rsidRPr="000C1465">
              <w:rPr>
                <w:rFonts w:eastAsia="Calibri"/>
                <w:sz w:val="20"/>
                <w:szCs w:val="20"/>
              </w:rPr>
              <w:t>Исследование величины заднего угла резания дискового рабочего органа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355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Долгов М. С. </w:t>
            </w:r>
            <w:r w:rsidRPr="000C1465">
              <w:rPr>
                <w:rFonts w:eastAsia="Calibri"/>
                <w:sz w:val="20"/>
                <w:szCs w:val="20"/>
              </w:rPr>
              <w:t xml:space="preserve">Совершенствование рабочих органов </w:t>
            </w:r>
            <w:r w:rsidR="002E4D92">
              <w:rPr>
                <w:rFonts w:eastAsia="Calibri"/>
                <w:sz w:val="20"/>
                <w:szCs w:val="20"/>
              </w:rPr>
              <w:br/>
            </w:r>
            <w:r w:rsidRPr="000C1465">
              <w:rPr>
                <w:rFonts w:eastAsia="Calibri"/>
                <w:sz w:val="20"/>
                <w:szCs w:val="20"/>
              </w:rPr>
              <w:t>почвообрабатывающего агрегата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357</w:t>
            </w:r>
          </w:p>
        </w:tc>
      </w:tr>
      <w:tr w:rsidR="000C1465" w:rsidRPr="000C1465" w:rsidTr="00EB5229">
        <w:tc>
          <w:tcPr>
            <w:tcW w:w="6096" w:type="dxa"/>
          </w:tcPr>
          <w:p w:rsidR="000C1465" w:rsidRPr="000C1465" w:rsidRDefault="002E4D92" w:rsidP="000C1465">
            <w:pPr>
              <w:jc w:val="both"/>
              <w:rPr>
                <w:rFonts w:eastAsia="Calibri"/>
                <w:sz w:val="20"/>
                <w:szCs w:val="20"/>
              </w:rPr>
            </w:pPr>
            <w:r>
              <w:rPr>
                <w:rFonts w:eastAsia="Calibri"/>
                <w:b/>
                <w:sz w:val="20"/>
                <w:szCs w:val="20"/>
              </w:rPr>
              <w:t>Дудник В. </w:t>
            </w:r>
            <w:r w:rsidR="000C1465" w:rsidRPr="000C1465">
              <w:rPr>
                <w:rFonts w:eastAsia="Calibri"/>
                <w:b/>
                <w:sz w:val="20"/>
                <w:szCs w:val="20"/>
              </w:rPr>
              <w:t xml:space="preserve">С. </w:t>
            </w:r>
            <w:r w:rsidR="000C1465" w:rsidRPr="000C1465">
              <w:rPr>
                <w:rFonts w:eastAsia="Calibri"/>
                <w:sz w:val="20"/>
                <w:szCs w:val="20"/>
              </w:rPr>
              <w:t xml:space="preserve">Совершенствование дозирующего аппарата </w:t>
            </w:r>
            <w:r>
              <w:rPr>
                <w:rFonts w:eastAsia="Calibri"/>
                <w:sz w:val="20"/>
                <w:szCs w:val="20"/>
              </w:rPr>
              <w:br/>
            </w:r>
            <w:r w:rsidR="000C1465" w:rsidRPr="000C1465">
              <w:rPr>
                <w:rFonts w:eastAsia="Calibri"/>
                <w:sz w:val="20"/>
                <w:szCs w:val="20"/>
              </w:rPr>
              <w:t>пневматической сеялки с центрально-дозирующей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360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Дуков С. С., Чеботарёв М. И.</w:t>
            </w:r>
            <w:r w:rsidRPr="000C1465">
              <w:rPr>
                <w:sz w:val="20"/>
                <w:szCs w:val="20"/>
              </w:rPr>
              <w:t xml:space="preserve"> </w:t>
            </w:r>
            <w:r w:rsidRPr="000C1465">
              <w:rPr>
                <w:rFonts w:eastAsia="Calibri"/>
                <w:sz w:val="20"/>
                <w:szCs w:val="20"/>
              </w:rPr>
              <w:t>Совершенствование предпосевной обработки почвы под разбросной посев риса.........................................</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362</w:t>
            </w:r>
          </w:p>
        </w:tc>
      </w:tr>
      <w:tr w:rsidR="000C1465" w:rsidRPr="000C1465" w:rsidTr="00EB5229">
        <w:tc>
          <w:tcPr>
            <w:tcW w:w="6096" w:type="dxa"/>
          </w:tcPr>
          <w:p w:rsidR="000C1465" w:rsidRPr="000C1465" w:rsidRDefault="002E4D92" w:rsidP="000C1465">
            <w:pPr>
              <w:jc w:val="both"/>
              <w:rPr>
                <w:rFonts w:eastAsia="Calibri"/>
                <w:sz w:val="20"/>
                <w:szCs w:val="20"/>
              </w:rPr>
            </w:pPr>
            <w:proofErr w:type="gramStart"/>
            <w:r>
              <w:rPr>
                <w:rFonts w:eastAsia="Calibri"/>
                <w:b/>
                <w:sz w:val="20"/>
                <w:szCs w:val="20"/>
              </w:rPr>
              <w:t>Ивах</w:t>
            </w:r>
            <w:proofErr w:type="gramEnd"/>
            <w:r>
              <w:rPr>
                <w:rFonts w:eastAsia="Calibri"/>
                <w:b/>
                <w:sz w:val="20"/>
                <w:szCs w:val="20"/>
              </w:rPr>
              <w:t xml:space="preserve"> А. </w:t>
            </w:r>
            <w:r w:rsidR="000C1465" w:rsidRPr="000C1465">
              <w:rPr>
                <w:rFonts w:eastAsia="Calibri"/>
                <w:b/>
                <w:sz w:val="20"/>
                <w:szCs w:val="20"/>
              </w:rPr>
              <w:t>А.,</w:t>
            </w:r>
            <w:r w:rsidR="000C1465" w:rsidRPr="000C1465">
              <w:rPr>
                <w:sz w:val="20"/>
                <w:szCs w:val="20"/>
              </w:rPr>
              <w:t xml:space="preserve"> </w:t>
            </w:r>
            <w:r>
              <w:rPr>
                <w:rFonts w:eastAsia="Calibri"/>
                <w:b/>
                <w:sz w:val="20"/>
                <w:szCs w:val="20"/>
              </w:rPr>
              <w:t>Чеботарёв М. </w:t>
            </w:r>
            <w:r w:rsidR="000C1465" w:rsidRPr="000C1465">
              <w:rPr>
                <w:rFonts w:eastAsia="Calibri"/>
                <w:b/>
                <w:sz w:val="20"/>
                <w:szCs w:val="20"/>
              </w:rPr>
              <w:t>И.</w:t>
            </w:r>
            <w:r w:rsidR="000C1465" w:rsidRPr="000C1465">
              <w:rPr>
                <w:sz w:val="20"/>
                <w:szCs w:val="20"/>
              </w:rPr>
              <w:t xml:space="preserve"> </w:t>
            </w:r>
            <w:r w:rsidR="000C1465" w:rsidRPr="000C1465">
              <w:rPr>
                <w:rFonts w:eastAsia="Calibri"/>
                <w:sz w:val="20"/>
                <w:szCs w:val="20"/>
              </w:rPr>
              <w:t xml:space="preserve">Современные способы </w:t>
            </w:r>
            <w:r>
              <w:rPr>
                <w:rFonts w:eastAsia="Calibri"/>
                <w:sz w:val="20"/>
                <w:szCs w:val="20"/>
              </w:rPr>
              <w:br/>
            </w:r>
            <w:r w:rsidR="000C1465" w:rsidRPr="000C1465">
              <w:rPr>
                <w:rFonts w:eastAsia="Calibri"/>
                <w:sz w:val="20"/>
                <w:szCs w:val="20"/>
              </w:rPr>
              <w:t>восстановления изношенных деталей при ремонте машин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366</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Караев А. В.,</w:t>
            </w:r>
            <w:r w:rsidRPr="000C1465">
              <w:rPr>
                <w:sz w:val="20"/>
                <w:szCs w:val="20"/>
              </w:rPr>
              <w:t xml:space="preserve"> </w:t>
            </w:r>
            <w:r w:rsidRPr="000C1465">
              <w:rPr>
                <w:rFonts w:eastAsia="Calibri"/>
                <w:b/>
                <w:sz w:val="20"/>
                <w:szCs w:val="20"/>
              </w:rPr>
              <w:t>Инюкина Т. А.</w:t>
            </w:r>
            <w:r w:rsidRPr="000C1465">
              <w:rPr>
                <w:sz w:val="20"/>
                <w:szCs w:val="20"/>
              </w:rPr>
              <w:t xml:space="preserve"> </w:t>
            </w:r>
            <w:r w:rsidRPr="000C1465">
              <w:rPr>
                <w:rFonts w:eastAsia="Calibri"/>
                <w:sz w:val="20"/>
                <w:szCs w:val="20"/>
              </w:rPr>
              <w:t>Влияние ионизирующего излучения на организм человека …………………………………………………...</w:t>
            </w:r>
          </w:p>
          <w:p w:rsidR="00E278F8" w:rsidRPr="000C1465" w:rsidRDefault="00E278F8"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369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Курочкин В. В., Коновалов В. И. </w:t>
            </w:r>
            <w:r w:rsidRPr="000C1465">
              <w:rPr>
                <w:rFonts w:eastAsia="Calibri"/>
                <w:sz w:val="20"/>
                <w:szCs w:val="20"/>
              </w:rPr>
              <w:t>Модернизация дисковой бороны БДМ-4×4ПМ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372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Малашихин Н. В.,</w:t>
            </w:r>
            <w:r w:rsidRPr="000C1465">
              <w:rPr>
                <w:sz w:val="20"/>
                <w:szCs w:val="20"/>
              </w:rPr>
              <w:t xml:space="preserve"> </w:t>
            </w:r>
            <w:r w:rsidRPr="000C1465">
              <w:rPr>
                <w:rFonts w:eastAsia="Calibri"/>
                <w:b/>
                <w:sz w:val="20"/>
                <w:szCs w:val="20"/>
              </w:rPr>
              <w:t>Труфляк Е. В.</w:t>
            </w:r>
            <w:r w:rsidRPr="000C1465">
              <w:rPr>
                <w:sz w:val="20"/>
                <w:szCs w:val="20"/>
              </w:rPr>
              <w:t xml:space="preserve"> </w:t>
            </w:r>
            <w:r w:rsidRPr="000C1465">
              <w:rPr>
                <w:rFonts w:eastAsia="Calibri"/>
                <w:sz w:val="20"/>
                <w:szCs w:val="20"/>
              </w:rPr>
              <w:t>Сравнительный анализ зерновых и пропашных селекционных сеялок «КЛЕН»…………………………</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375</w:t>
            </w:r>
          </w:p>
        </w:tc>
      </w:tr>
      <w:tr w:rsidR="000C1465" w:rsidRPr="000C1465" w:rsidTr="00EB5229">
        <w:tc>
          <w:tcPr>
            <w:tcW w:w="6096" w:type="dxa"/>
          </w:tcPr>
          <w:p w:rsidR="002E4D92" w:rsidRPr="000C1465" w:rsidRDefault="000C1465" w:rsidP="000C1465">
            <w:pPr>
              <w:jc w:val="both"/>
              <w:rPr>
                <w:rFonts w:eastAsia="Calibri"/>
                <w:sz w:val="20"/>
                <w:szCs w:val="20"/>
              </w:rPr>
            </w:pPr>
            <w:r w:rsidRPr="000C1465">
              <w:rPr>
                <w:rFonts w:eastAsia="Calibri"/>
                <w:b/>
                <w:sz w:val="20"/>
                <w:szCs w:val="20"/>
              </w:rPr>
              <w:t>Малашихин Н. В.,</w:t>
            </w:r>
            <w:r w:rsidRPr="000C1465">
              <w:rPr>
                <w:sz w:val="20"/>
                <w:szCs w:val="20"/>
              </w:rPr>
              <w:t xml:space="preserve"> </w:t>
            </w:r>
            <w:r w:rsidRPr="000C1465">
              <w:rPr>
                <w:b/>
                <w:sz w:val="20"/>
                <w:szCs w:val="20"/>
              </w:rPr>
              <w:t>Сергунцов А. С.</w:t>
            </w:r>
            <w:r w:rsidRPr="000C1465">
              <w:rPr>
                <w:rFonts w:eastAsia="Calibri"/>
                <w:sz w:val="20"/>
                <w:szCs w:val="20"/>
              </w:rPr>
              <w:t xml:space="preserve"> Технические средства для </w:t>
            </w:r>
            <w:r w:rsidR="002E4D92">
              <w:rPr>
                <w:rFonts w:eastAsia="Calibri"/>
                <w:sz w:val="20"/>
                <w:szCs w:val="20"/>
              </w:rPr>
              <w:br/>
            </w:r>
            <w:r w:rsidRPr="000C1465">
              <w:rPr>
                <w:rFonts w:eastAsia="Calibri"/>
                <w:sz w:val="20"/>
                <w:szCs w:val="20"/>
              </w:rPr>
              <w:t>боронования посевов озимой пшеницы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37</w:t>
            </w:r>
            <w:r w:rsidR="000C1465" w:rsidRPr="000C1465">
              <w:rPr>
                <w:rFonts w:eastAsia="Calibri"/>
                <w:i/>
                <w:sz w:val="20"/>
                <w:szCs w:val="20"/>
              </w:rPr>
              <w:t>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Медведев А. С.,</w:t>
            </w:r>
            <w:r w:rsidRPr="000C1465">
              <w:rPr>
                <w:sz w:val="20"/>
                <w:szCs w:val="20"/>
              </w:rPr>
              <w:t xml:space="preserve"> </w:t>
            </w:r>
            <w:r w:rsidRPr="000C1465">
              <w:rPr>
                <w:rFonts w:eastAsia="Calibri"/>
                <w:b/>
                <w:sz w:val="20"/>
                <w:szCs w:val="20"/>
              </w:rPr>
              <w:t>Борисова С. М.</w:t>
            </w:r>
            <w:r w:rsidRPr="000C1465">
              <w:rPr>
                <w:sz w:val="20"/>
                <w:szCs w:val="20"/>
              </w:rPr>
              <w:t xml:space="preserve"> </w:t>
            </w:r>
            <w:r w:rsidRPr="000C1465">
              <w:rPr>
                <w:rFonts w:eastAsia="Calibri"/>
                <w:sz w:val="20"/>
                <w:szCs w:val="20"/>
              </w:rPr>
              <w:t>Опрыскиватель для обработки многолетних насаждений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380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Минаков Е. Р., Насуцев Б. М., </w:t>
            </w:r>
            <w:proofErr w:type="gramStart"/>
            <w:r w:rsidRPr="000C1465">
              <w:rPr>
                <w:rFonts w:eastAsia="Calibri"/>
                <w:b/>
                <w:sz w:val="20"/>
                <w:szCs w:val="20"/>
              </w:rPr>
              <w:t>Коновалов</w:t>
            </w:r>
            <w:proofErr w:type="gramEnd"/>
            <w:r w:rsidRPr="000C1465">
              <w:rPr>
                <w:rFonts w:eastAsia="Calibri"/>
                <w:b/>
                <w:sz w:val="20"/>
                <w:szCs w:val="20"/>
              </w:rPr>
              <w:t xml:space="preserve"> С. И., </w:t>
            </w:r>
            <w:r w:rsidR="002E4D92">
              <w:rPr>
                <w:rFonts w:eastAsia="Calibri"/>
                <w:b/>
                <w:sz w:val="20"/>
                <w:szCs w:val="20"/>
              </w:rPr>
              <w:br/>
            </w:r>
            <w:r w:rsidRPr="000C1465">
              <w:rPr>
                <w:rFonts w:eastAsia="Calibri"/>
                <w:b/>
                <w:sz w:val="20"/>
                <w:szCs w:val="20"/>
              </w:rPr>
              <w:t xml:space="preserve">Коновалова О. В. </w:t>
            </w:r>
            <w:r w:rsidRPr="000C1465">
              <w:rPr>
                <w:rFonts w:eastAsia="Calibri"/>
                <w:sz w:val="20"/>
                <w:szCs w:val="20"/>
              </w:rPr>
              <w:t xml:space="preserve">Исследование радиуса кривизны дискового </w:t>
            </w:r>
            <w:r w:rsidR="002E4D92">
              <w:rPr>
                <w:rFonts w:eastAsia="Calibri"/>
                <w:sz w:val="20"/>
                <w:szCs w:val="20"/>
              </w:rPr>
              <w:br/>
            </w:r>
            <w:r w:rsidRPr="000C1465">
              <w:rPr>
                <w:rFonts w:eastAsia="Calibri"/>
                <w:sz w:val="20"/>
                <w:szCs w:val="20"/>
              </w:rPr>
              <w:t>рабочего органа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383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Мовчан Е. С.,</w:t>
            </w:r>
            <w:r w:rsidRPr="000C1465">
              <w:rPr>
                <w:sz w:val="20"/>
                <w:szCs w:val="20"/>
              </w:rPr>
              <w:t xml:space="preserve"> </w:t>
            </w:r>
            <w:r w:rsidRPr="000C1465">
              <w:rPr>
                <w:rFonts w:eastAsia="Calibri"/>
                <w:b/>
                <w:sz w:val="20"/>
                <w:szCs w:val="20"/>
              </w:rPr>
              <w:t>Коновалов В. И.</w:t>
            </w:r>
            <w:r w:rsidRPr="000C1465">
              <w:rPr>
                <w:sz w:val="20"/>
                <w:szCs w:val="20"/>
              </w:rPr>
              <w:t xml:space="preserve"> </w:t>
            </w:r>
            <w:r w:rsidRPr="000C1465">
              <w:rPr>
                <w:rFonts w:eastAsia="Calibri"/>
                <w:sz w:val="20"/>
                <w:szCs w:val="20"/>
              </w:rPr>
              <w:t xml:space="preserve">Модернизация культиватора </w:t>
            </w:r>
            <w:r w:rsidRPr="000C1465">
              <w:rPr>
                <w:rFonts w:eastAsia="Calibri"/>
                <w:sz w:val="20"/>
                <w:szCs w:val="20"/>
              </w:rPr>
              <w:br/>
              <w:t>КПС-4……………………………………………………………………..</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386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Морозова Н. Ю., Фролов В. Ю.</w:t>
            </w:r>
            <w:r w:rsidRPr="000C1465">
              <w:rPr>
                <w:sz w:val="20"/>
                <w:szCs w:val="20"/>
              </w:rPr>
              <w:t xml:space="preserve"> </w:t>
            </w:r>
            <w:r w:rsidRPr="000C1465">
              <w:rPr>
                <w:rFonts w:eastAsia="Calibri"/>
                <w:sz w:val="20"/>
                <w:szCs w:val="20"/>
              </w:rPr>
              <w:t xml:space="preserve">Анализ факторов, влияющих </w:t>
            </w:r>
            <w:r w:rsidRPr="000C1465">
              <w:rPr>
                <w:rFonts w:eastAsia="Calibri"/>
                <w:sz w:val="20"/>
                <w:szCs w:val="20"/>
              </w:rPr>
              <w:br/>
              <w:t xml:space="preserve">на процесс измельчения стебельных кормов рабочим органом </w:t>
            </w:r>
            <w:r w:rsidR="002E4D92">
              <w:rPr>
                <w:rFonts w:eastAsia="Calibri"/>
                <w:sz w:val="20"/>
                <w:szCs w:val="20"/>
              </w:rPr>
              <w:br/>
            </w:r>
            <w:r w:rsidRPr="000C1465">
              <w:rPr>
                <w:rFonts w:eastAsia="Calibri"/>
                <w:sz w:val="20"/>
                <w:szCs w:val="20"/>
              </w:rPr>
              <w:t>молотково-сегментного типа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389</w:t>
            </w:r>
          </w:p>
        </w:tc>
      </w:tr>
      <w:tr w:rsidR="000C1465" w:rsidRPr="000C1465" w:rsidTr="00EB5229">
        <w:tc>
          <w:tcPr>
            <w:tcW w:w="6096" w:type="dxa"/>
          </w:tcPr>
          <w:p w:rsidR="000C1465" w:rsidRPr="000C1465" w:rsidRDefault="002E4D92" w:rsidP="000C1465">
            <w:pPr>
              <w:jc w:val="both"/>
              <w:rPr>
                <w:rFonts w:eastAsia="Calibri"/>
                <w:sz w:val="20"/>
                <w:szCs w:val="20"/>
              </w:rPr>
            </w:pPr>
            <w:r>
              <w:rPr>
                <w:rFonts w:eastAsia="Calibri"/>
                <w:b/>
                <w:sz w:val="20"/>
                <w:szCs w:val="20"/>
              </w:rPr>
              <w:t>Некрасов В. </w:t>
            </w:r>
            <w:r w:rsidR="000C1465" w:rsidRPr="000C1465">
              <w:rPr>
                <w:rFonts w:eastAsia="Calibri"/>
                <w:b/>
                <w:sz w:val="20"/>
                <w:szCs w:val="20"/>
              </w:rPr>
              <w:t>В.</w:t>
            </w:r>
            <w:r w:rsidR="000C1465" w:rsidRPr="000C1465">
              <w:rPr>
                <w:sz w:val="20"/>
                <w:szCs w:val="20"/>
              </w:rPr>
              <w:t xml:space="preserve"> </w:t>
            </w:r>
            <w:r w:rsidR="000C1465" w:rsidRPr="000C1465">
              <w:rPr>
                <w:rFonts w:eastAsia="Calibri"/>
                <w:sz w:val="20"/>
                <w:szCs w:val="20"/>
              </w:rPr>
              <w:t xml:space="preserve">Методика исследования прочностных </w:t>
            </w:r>
            <w:r>
              <w:rPr>
                <w:rFonts w:eastAsia="Calibri"/>
                <w:sz w:val="20"/>
                <w:szCs w:val="20"/>
              </w:rPr>
              <w:br/>
            </w:r>
            <w:r w:rsidR="000C1465" w:rsidRPr="000C1465">
              <w:rPr>
                <w:rFonts w:eastAsia="Calibri"/>
                <w:sz w:val="20"/>
                <w:szCs w:val="20"/>
              </w:rPr>
              <w:t xml:space="preserve">характеристик и деформаций зерен различных </w:t>
            </w:r>
            <w:r>
              <w:rPr>
                <w:rFonts w:eastAsia="Calibri"/>
                <w:sz w:val="20"/>
                <w:szCs w:val="20"/>
              </w:rPr>
              <w:br/>
            </w:r>
            <w:r w:rsidR="000C1465" w:rsidRPr="000C1465">
              <w:rPr>
                <w:rFonts w:eastAsia="Calibri"/>
                <w:sz w:val="20"/>
                <w:szCs w:val="20"/>
              </w:rPr>
              <w:t>сельскохозяйственных культур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391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Никитина В. Ю.,</w:t>
            </w:r>
            <w:r w:rsidRPr="000C1465">
              <w:rPr>
                <w:sz w:val="20"/>
                <w:szCs w:val="20"/>
              </w:rPr>
              <w:t xml:space="preserve"> </w:t>
            </w:r>
            <w:r w:rsidRPr="000C1465">
              <w:rPr>
                <w:rFonts w:eastAsia="Calibri"/>
                <w:b/>
                <w:sz w:val="20"/>
                <w:szCs w:val="20"/>
              </w:rPr>
              <w:t>Белоусов С. В.</w:t>
            </w:r>
            <w:r w:rsidRPr="000C1465">
              <w:rPr>
                <w:sz w:val="20"/>
                <w:szCs w:val="20"/>
              </w:rPr>
              <w:t xml:space="preserve"> </w:t>
            </w:r>
            <w:r w:rsidRPr="000C1465">
              <w:rPr>
                <w:rFonts w:eastAsia="Calibri"/>
                <w:sz w:val="20"/>
                <w:szCs w:val="20"/>
              </w:rPr>
              <w:t>Пропашные сеялки ………………</w:t>
            </w:r>
          </w:p>
        </w:tc>
        <w:tc>
          <w:tcPr>
            <w:tcW w:w="708" w:type="dxa"/>
          </w:tcPr>
          <w:p w:rsidR="000C1465" w:rsidRPr="000C1465" w:rsidRDefault="00E278F8" w:rsidP="000C1465">
            <w:pPr>
              <w:rPr>
                <w:rFonts w:eastAsia="Calibri"/>
                <w:i/>
                <w:sz w:val="20"/>
                <w:szCs w:val="20"/>
              </w:rPr>
            </w:pPr>
            <w:r>
              <w:rPr>
                <w:rFonts w:eastAsia="Calibri"/>
                <w:i/>
                <w:sz w:val="20"/>
                <w:szCs w:val="20"/>
              </w:rPr>
              <w:t>393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Новиков В. В.,</w:t>
            </w:r>
            <w:r w:rsidRPr="000C1465">
              <w:rPr>
                <w:sz w:val="20"/>
                <w:szCs w:val="20"/>
              </w:rPr>
              <w:t xml:space="preserve"> </w:t>
            </w:r>
            <w:r w:rsidRPr="000C1465">
              <w:rPr>
                <w:rFonts w:eastAsia="Calibri"/>
                <w:b/>
                <w:sz w:val="20"/>
                <w:szCs w:val="20"/>
              </w:rPr>
              <w:t>Абликов В. А.,</w:t>
            </w:r>
            <w:r w:rsidRPr="000C1465">
              <w:rPr>
                <w:sz w:val="20"/>
                <w:szCs w:val="20"/>
              </w:rPr>
              <w:t xml:space="preserve"> </w:t>
            </w:r>
            <w:r w:rsidRPr="000C1465">
              <w:rPr>
                <w:b/>
                <w:sz w:val="20"/>
                <w:szCs w:val="20"/>
              </w:rPr>
              <w:t>Белоусов С. В.</w:t>
            </w:r>
            <w:r w:rsidRPr="000C1465">
              <w:rPr>
                <w:rFonts w:eastAsia="Calibri"/>
                <w:sz w:val="20"/>
                <w:szCs w:val="20"/>
              </w:rPr>
              <w:t xml:space="preserve"> Теория работы </w:t>
            </w:r>
            <w:r w:rsidR="002E4D92">
              <w:rPr>
                <w:rFonts w:eastAsia="Calibri"/>
                <w:sz w:val="20"/>
                <w:szCs w:val="20"/>
              </w:rPr>
              <w:br/>
            </w:r>
            <w:r w:rsidRPr="000C1465">
              <w:rPr>
                <w:rFonts w:eastAsia="Calibri"/>
                <w:sz w:val="20"/>
                <w:szCs w:val="20"/>
              </w:rPr>
              <w:t>агрегата для предпосевной обработки почвы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396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Погорелов В. С.,</w:t>
            </w:r>
            <w:r w:rsidRPr="000C1465">
              <w:rPr>
                <w:sz w:val="20"/>
                <w:szCs w:val="20"/>
              </w:rPr>
              <w:t xml:space="preserve"> </w:t>
            </w:r>
            <w:r w:rsidRPr="000C1465">
              <w:rPr>
                <w:rFonts w:eastAsia="Calibri"/>
                <w:b/>
                <w:sz w:val="20"/>
                <w:szCs w:val="20"/>
              </w:rPr>
              <w:t xml:space="preserve">Ефремова В. Н. </w:t>
            </w:r>
            <w:r w:rsidRPr="000C1465">
              <w:rPr>
                <w:rFonts w:eastAsia="Calibri"/>
                <w:sz w:val="20"/>
                <w:szCs w:val="20"/>
              </w:rPr>
              <w:t xml:space="preserve">Предупреждение травматизма </w:t>
            </w:r>
            <w:r w:rsidRPr="000C1465">
              <w:rPr>
                <w:rFonts w:eastAsia="Calibri"/>
                <w:sz w:val="20"/>
                <w:szCs w:val="20"/>
              </w:rPr>
              <w:br/>
              <w:t>у женщин на производстве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399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Помеляйко С. А,</w:t>
            </w:r>
            <w:r w:rsidRPr="000C1465">
              <w:rPr>
                <w:sz w:val="20"/>
                <w:szCs w:val="20"/>
              </w:rPr>
              <w:t xml:space="preserve"> </w:t>
            </w:r>
            <w:r w:rsidRPr="000C1465">
              <w:rPr>
                <w:rFonts w:eastAsia="Calibri"/>
                <w:b/>
                <w:sz w:val="20"/>
                <w:szCs w:val="20"/>
              </w:rPr>
              <w:t>Абликов В. А.,</w:t>
            </w:r>
            <w:r w:rsidRPr="000C1465">
              <w:rPr>
                <w:sz w:val="20"/>
                <w:szCs w:val="20"/>
              </w:rPr>
              <w:t xml:space="preserve"> </w:t>
            </w:r>
            <w:r w:rsidRPr="000C1465">
              <w:rPr>
                <w:rFonts w:eastAsia="Calibri"/>
                <w:b/>
                <w:sz w:val="20"/>
                <w:szCs w:val="20"/>
              </w:rPr>
              <w:t>Белоусов С. В.</w:t>
            </w:r>
            <w:r w:rsidRPr="000C1465">
              <w:rPr>
                <w:sz w:val="20"/>
                <w:szCs w:val="20"/>
              </w:rPr>
              <w:t xml:space="preserve"> </w:t>
            </w:r>
            <w:r w:rsidRPr="000C1465">
              <w:rPr>
                <w:rFonts w:eastAsia="Calibri"/>
                <w:sz w:val="20"/>
                <w:szCs w:val="20"/>
              </w:rPr>
              <w:t>Теория работы агрегата для обработки сельскохозяйственных культур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402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Пусикова А. Ю. </w:t>
            </w:r>
            <w:r w:rsidRPr="000C1465">
              <w:rPr>
                <w:rFonts w:eastAsia="Calibri"/>
                <w:sz w:val="20"/>
                <w:szCs w:val="20"/>
              </w:rPr>
              <w:t xml:space="preserve">Выбор способа укладки семян в ячейке </w:t>
            </w:r>
            <w:r w:rsidR="002E4D92">
              <w:rPr>
                <w:rFonts w:eastAsia="Calibri"/>
                <w:sz w:val="20"/>
                <w:szCs w:val="20"/>
              </w:rPr>
              <w:br/>
            </w:r>
            <w:r w:rsidRPr="000C1465">
              <w:rPr>
                <w:rFonts w:eastAsia="Calibri"/>
                <w:sz w:val="20"/>
                <w:szCs w:val="20"/>
              </w:rPr>
              <w:t>высевающего аппарата пунктирной сеялки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405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Разгонов Г. В.,</w:t>
            </w:r>
            <w:r w:rsidRPr="000C1465">
              <w:rPr>
                <w:sz w:val="20"/>
                <w:szCs w:val="20"/>
              </w:rPr>
              <w:t xml:space="preserve"> </w:t>
            </w:r>
            <w:r w:rsidRPr="000C1465">
              <w:rPr>
                <w:rFonts w:eastAsia="Calibri"/>
                <w:b/>
                <w:sz w:val="20"/>
                <w:szCs w:val="20"/>
              </w:rPr>
              <w:t xml:space="preserve">Труфляк И. С. </w:t>
            </w:r>
            <w:r w:rsidRPr="000C1465">
              <w:rPr>
                <w:rFonts w:eastAsia="Calibri"/>
                <w:sz w:val="20"/>
                <w:szCs w:val="20"/>
              </w:rPr>
              <w:t xml:space="preserve">Математическая модель </w:t>
            </w:r>
            <w:r w:rsidR="002E4D92">
              <w:rPr>
                <w:rFonts w:eastAsia="Calibri"/>
                <w:sz w:val="20"/>
                <w:szCs w:val="20"/>
              </w:rPr>
              <w:br/>
            </w:r>
            <w:r w:rsidRPr="000C1465">
              <w:rPr>
                <w:rFonts w:eastAsia="Calibri"/>
                <w:sz w:val="20"/>
                <w:szCs w:val="20"/>
              </w:rPr>
              <w:t xml:space="preserve">оптимизации параметров зерноуборочного комбайна </w:t>
            </w:r>
            <w:r w:rsidR="002E4D92">
              <w:rPr>
                <w:rFonts w:eastAsia="Calibri"/>
                <w:sz w:val="20"/>
                <w:szCs w:val="20"/>
              </w:rPr>
              <w:br/>
            </w:r>
            <w:r w:rsidRPr="000C1465">
              <w:rPr>
                <w:rFonts w:eastAsia="Calibri"/>
                <w:sz w:val="20"/>
                <w:szCs w:val="20"/>
              </w:rPr>
              <w:t xml:space="preserve">с универсальным режущим аппаратом в составе </w:t>
            </w:r>
            <w:r w:rsidR="002E4D92">
              <w:rPr>
                <w:rFonts w:eastAsia="Calibri"/>
                <w:sz w:val="20"/>
                <w:szCs w:val="20"/>
              </w:rPr>
              <w:br/>
            </w:r>
            <w:r w:rsidRPr="000C1465">
              <w:rPr>
                <w:rFonts w:eastAsia="Calibri"/>
                <w:sz w:val="20"/>
                <w:szCs w:val="20"/>
              </w:rPr>
              <w:t>уборочно-транспортного звена…………</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407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Сапрыкин А. В., Палапин А. В. </w:t>
            </w:r>
            <w:r w:rsidRPr="000C1465">
              <w:rPr>
                <w:rFonts w:eastAsia="Calibri"/>
                <w:sz w:val="20"/>
                <w:szCs w:val="20"/>
              </w:rPr>
              <w:t xml:space="preserve">Технология предпосевной </w:t>
            </w:r>
            <w:r w:rsidR="002E4D92">
              <w:rPr>
                <w:rFonts w:eastAsia="Calibri"/>
                <w:sz w:val="20"/>
                <w:szCs w:val="20"/>
              </w:rPr>
              <w:br/>
            </w:r>
            <w:r w:rsidRPr="000C1465">
              <w:rPr>
                <w:rFonts w:eastAsia="Calibri"/>
                <w:sz w:val="20"/>
                <w:szCs w:val="20"/>
              </w:rPr>
              <w:t>обработки почвы инновационным почвообрабатывающим рабочим органом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410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Симутове Мушани, Труфляк Е. В. </w:t>
            </w:r>
            <w:r w:rsidRPr="000C1465">
              <w:rPr>
                <w:rFonts w:eastAsia="Calibri"/>
                <w:sz w:val="20"/>
                <w:szCs w:val="20"/>
              </w:rPr>
              <w:t xml:space="preserve">Аппараты для отделения </w:t>
            </w:r>
            <w:r w:rsidRPr="000C1465">
              <w:rPr>
                <w:rFonts w:eastAsia="Calibri"/>
                <w:sz w:val="20"/>
                <w:szCs w:val="20"/>
              </w:rPr>
              <w:br/>
              <w:t>и очистки початков кукурузы от оберточных листьев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412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Тронь И. А.,</w:t>
            </w:r>
            <w:r w:rsidRPr="000C1465">
              <w:rPr>
                <w:sz w:val="20"/>
                <w:szCs w:val="20"/>
              </w:rPr>
              <w:t xml:space="preserve"> </w:t>
            </w:r>
            <w:r w:rsidRPr="000C1465">
              <w:rPr>
                <w:rFonts w:eastAsia="Calibri"/>
                <w:b/>
                <w:sz w:val="20"/>
                <w:szCs w:val="20"/>
              </w:rPr>
              <w:t xml:space="preserve">Чеботарёв М. И. </w:t>
            </w:r>
            <w:r w:rsidRPr="000C1465">
              <w:rPr>
                <w:rFonts w:eastAsia="Calibri"/>
                <w:sz w:val="20"/>
                <w:szCs w:val="20"/>
              </w:rPr>
              <w:t>Способы утилизации незерновой части риса в условиях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415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Туровский Б. В., Алтунян А. О., Клименко Н. Е. </w:t>
            </w:r>
            <w:r w:rsidRPr="000C1465">
              <w:rPr>
                <w:rFonts w:eastAsia="Calibri"/>
                <w:sz w:val="20"/>
                <w:szCs w:val="20"/>
              </w:rPr>
              <w:t>Звукоизоляц</w:t>
            </w:r>
            <w:r w:rsidRPr="000C1465">
              <w:rPr>
                <w:rFonts w:eastAsia="Calibri"/>
                <w:sz w:val="20"/>
                <w:szCs w:val="20"/>
              </w:rPr>
              <w:t>и</w:t>
            </w:r>
            <w:r w:rsidRPr="000C1465">
              <w:rPr>
                <w:rFonts w:eastAsia="Calibri"/>
                <w:sz w:val="20"/>
                <w:szCs w:val="20"/>
              </w:rPr>
              <w:t xml:space="preserve">онные свойства материалов на основе клееной </w:t>
            </w:r>
            <w:r w:rsidRPr="000C1465">
              <w:rPr>
                <w:rFonts w:eastAsia="Calibri"/>
                <w:sz w:val="20"/>
                <w:szCs w:val="20"/>
              </w:rPr>
              <w:br/>
              <w:t>и прессованной древесины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419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Худиков В. Ю.,</w:t>
            </w:r>
            <w:r w:rsidRPr="000C1465">
              <w:rPr>
                <w:sz w:val="20"/>
                <w:szCs w:val="20"/>
              </w:rPr>
              <w:t xml:space="preserve"> </w:t>
            </w:r>
            <w:r w:rsidRPr="000C1465">
              <w:rPr>
                <w:rFonts w:eastAsia="Calibri"/>
                <w:b/>
                <w:sz w:val="20"/>
                <w:szCs w:val="20"/>
              </w:rPr>
              <w:t xml:space="preserve">Коновалов С. И., Коновалова О. В. </w:t>
            </w:r>
            <w:r w:rsidRPr="000C1465">
              <w:rPr>
                <w:rFonts w:eastAsia="Calibri"/>
                <w:sz w:val="20"/>
                <w:szCs w:val="20"/>
              </w:rPr>
              <w:t>Гребнистость дна борозды  при работе дисковых орудий и способы ее снижения…</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421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Чечиков В. В.,</w:t>
            </w:r>
            <w:r w:rsidRPr="000C1465">
              <w:rPr>
                <w:sz w:val="20"/>
                <w:szCs w:val="20"/>
              </w:rPr>
              <w:t xml:space="preserve"> </w:t>
            </w:r>
            <w:r w:rsidRPr="000C1465">
              <w:rPr>
                <w:rFonts w:eastAsia="Calibri"/>
                <w:b/>
                <w:sz w:val="20"/>
                <w:szCs w:val="20"/>
              </w:rPr>
              <w:t>Коновалов В. И.</w:t>
            </w:r>
            <w:r w:rsidRPr="000C1465">
              <w:rPr>
                <w:rFonts w:eastAsia="Calibri"/>
                <w:sz w:val="20"/>
                <w:szCs w:val="20"/>
              </w:rPr>
              <w:t xml:space="preserve"> Модернизация опрыскивателя </w:t>
            </w:r>
            <w:r w:rsidRPr="000C1465">
              <w:rPr>
                <w:rFonts w:eastAsia="Calibri"/>
                <w:sz w:val="20"/>
                <w:szCs w:val="20"/>
              </w:rPr>
              <w:br/>
              <w:t>ОП-2500…………………………………………………………………..</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423</w:t>
            </w:r>
          </w:p>
        </w:tc>
      </w:tr>
      <w:tr w:rsidR="000C1465" w:rsidRPr="000C1465" w:rsidTr="00EB5229">
        <w:tc>
          <w:tcPr>
            <w:tcW w:w="6096" w:type="dxa"/>
          </w:tcPr>
          <w:p w:rsidR="000C1465" w:rsidRPr="000C1465" w:rsidRDefault="000C1465" w:rsidP="00E278F8">
            <w:pPr>
              <w:spacing w:before="120" w:after="120"/>
              <w:jc w:val="center"/>
              <w:rPr>
                <w:rFonts w:eastAsia="Calibri"/>
                <w:b/>
                <w:sz w:val="24"/>
                <w:szCs w:val="24"/>
              </w:rPr>
            </w:pPr>
            <w:r w:rsidRPr="000C1465">
              <w:rPr>
                <w:rFonts w:eastAsia="Calibri"/>
                <w:b/>
                <w:sz w:val="24"/>
                <w:szCs w:val="24"/>
              </w:rPr>
              <w:t>Факультет плодоовощеводства и виноградарства</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Артеменко Я. Б. , Прах А. В.</w:t>
            </w:r>
            <w:r w:rsidRPr="000C1465">
              <w:rPr>
                <w:sz w:val="20"/>
                <w:szCs w:val="20"/>
              </w:rPr>
              <w:t xml:space="preserve"> </w:t>
            </w:r>
            <w:r w:rsidRPr="000C1465">
              <w:rPr>
                <w:rFonts w:eastAsia="Calibri"/>
                <w:sz w:val="20"/>
                <w:szCs w:val="20"/>
              </w:rPr>
              <w:t xml:space="preserve">Биохимические показатели вин </w:t>
            </w:r>
            <w:r w:rsidRPr="000C1465">
              <w:rPr>
                <w:rFonts w:eastAsia="Calibri"/>
                <w:sz w:val="20"/>
                <w:szCs w:val="20"/>
              </w:rPr>
              <w:br/>
              <w:t>из тёмно-ягодных сортов винограда селекции СКЗНИИСиВ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427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Барвинов А. В., Благородова Е. Н. </w:t>
            </w:r>
            <w:r w:rsidRPr="000C1465">
              <w:rPr>
                <w:rFonts w:eastAsia="Calibri"/>
                <w:sz w:val="20"/>
                <w:szCs w:val="20"/>
              </w:rPr>
              <w:t>Сравнительная оценка озимых гибридов лука репчатого в посевной культуре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430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Демержиди Е. А., Благородова Е. Н.</w:t>
            </w:r>
            <w:r w:rsidRPr="000C1465">
              <w:rPr>
                <w:sz w:val="20"/>
                <w:szCs w:val="20"/>
              </w:rPr>
              <w:t xml:space="preserve"> </w:t>
            </w:r>
            <w:r w:rsidRPr="000C1465">
              <w:rPr>
                <w:rFonts w:eastAsia="Calibri"/>
                <w:sz w:val="20"/>
                <w:szCs w:val="20"/>
              </w:rPr>
              <w:t xml:space="preserve">Совершенствование </w:t>
            </w:r>
            <w:r w:rsidR="002E4D92">
              <w:rPr>
                <w:rFonts w:eastAsia="Calibri"/>
                <w:sz w:val="20"/>
                <w:szCs w:val="20"/>
              </w:rPr>
              <w:br/>
            </w:r>
            <w:r w:rsidRPr="000C1465">
              <w:rPr>
                <w:rFonts w:eastAsia="Calibri"/>
                <w:sz w:val="20"/>
                <w:szCs w:val="20"/>
              </w:rPr>
              <w:t>сортимента розовоплодного томата для выращивания в пленочных теплицах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433</w:t>
            </w:r>
          </w:p>
        </w:tc>
      </w:tr>
      <w:tr w:rsidR="000C1465" w:rsidRPr="000C1465" w:rsidTr="00EB5229">
        <w:tc>
          <w:tcPr>
            <w:tcW w:w="6096" w:type="dxa"/>
          </w:tcPr>
          <w:p w:rsidR="000C1465" w:rsidRPr="000C1465" w:rsidRDefault="002E4D92" w:rsidP="000C1465">
            <w:pPr>
              <w:jc w:val="both"/>
              <w:rPr>
                <w:rFonts w:eastAsia="Calibri"/>
                <w:sz w:val="20"/>
                <w:szCs w:val="20"/>
              </w:rPr>
            </w:pPr>
            <w:r>
              <w:rPr>
                <w:rFonts w:eastAsia="Calibri"/>
                <w:b/>
                <w:sz w:val="20"/>
                <w:szCs w:val="20"/>
              </w:rPr>
              <w:t>Мирошниченко Т. </w:t>
            </w:r>
            <w:r w:rsidR="000C1465" w:rsidRPr="000C1465">
              <w:rPr>
                <w:rFonts w:eastAsia="Calibri"/>
                <w:b/>
                <w:sz w:val="20"/>
                <w:szCs w:val="20"/>
              </w:rPr>
              <w:t>Е.,</w:t>
            </w:r>
            <w:r w:rsidR="000C1465" w:rsidRPr="000C1465">
              <w:rPr>
                <w:sz w:val="20"/>
                <w:szCs w:val="20"/>
              </w:rPr>
              <w:t xml:space="preserve"> </w:t>
            </w:r>
            <w:r w:rsidR="000C1465" w:rsidRPr="000C1465">
              <w:rPr>
                <w:rFonts w:eastAsia="Calibri"/>
                <w:b/>
                <w:sz w:val="20"/>
                <w:szCs w:val="20"/>
              </w:rPr>
              <w:t>Бл</w:t>
            </w:r>
            <w:r>
              <w:rPr>
                <w:rFonts w:eastAsia="Calibri"/>
                <w:b/>
                <w:sz w:val="20"/>
                <w:szCs w:val="20"/>
              </w:rPr>
              <w:t>агородова Е. </w:t>
            </w:r>
            <w:r w:rsidR="000C1465" w:rsidRPr="000C1465">
              <w:rPr>
                <w:rFonts w:eastAsia="Calibri"/>
                <w:b/>
                <w:sz w:val="20"/>
                <w:szCs w:val="20"/>
              </w:rPr>
              <w:t>Н.</w:t>
            </w:r>
            <w:r w:rsidR="000C1465" w:rsidRPr="000C1465">
              <w:rPr>
                <w:sz w:val="20"/>
                <w:szCs w:val="20"/>
              </w:rPr>
              <w:t xml:space="preserve"> </w:t>
            </w:r>
            <w:r w:rsidR="000C1465" w:rsidRPr="000C1465">
              <w:rPr>
                <w:rFonts w:eastAsia="Calibri"/>
                <w:sz w:val="20"/>
                <w:szCs w:val="20"/>
              </w:rPr>
              <w:t xml:space="preserve">Особенности </w:t>
            </w:r>
            <w:r>
              <w:rPr>
                <w:rFonts w:eastAsia="Calibri"/>
                <w:sz w:val="20"/>
                <w:szCs w:val="20"/>
              </w:rPr>
              <w:br/>
            </w:r>
            <w:r w:rsidR="000C1465" w:rsidRPr="000C1465">
              <w:rPr>
                <w:rFonts w:eastAsia="Calibri"/>
                <w:sz w:val="20"/>
                <w:szCs w:val="20"/>
              </w:rPr>
              <w:t>размножения клематиса стеблевыми черенками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436</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перерабатывающих технологий</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Аверкиева А. И.,</w:t>
            </w:r>
            <w:r w:rsidRPr="000C1465">
              <w:rPr>
                <w:sz w:val="20"/>
                <w:szCs w:val="20"/>
              </w:rPr>
              <w:t xml:space="preserve"> </w:t>
            </w:r>
            <w:r w:rsidRPr="000C1465">
              <w:rPr>
                <w:b/>
                <w:sz w:val="20"/>
                <w:szCs w:val="20"/>
              </w:rPr>
              <w:t xml:space="preserve">Соболь И. В. </w:t>
            </w:r>
            <w:r w:rsidRPr="000C1465">
              <w:rPr>
                <w:rFonts w:eastAsia="Calibri"/>
                <w:sz w:val="20"/>
                <w:szCs w:val="20"/>
              </w:rPr>
              <w:t xml:space="preserve">Разработка функциональных </w:t>
            </w:r>
            <w:r w:rsidR="002E4D92">
              <w:rPr>
                <w:rFonts w:eastAsia="Calibri"/>
                <w:sz w:val="20"/>
                <w:szCs w:val="20"/>
              </w:rPr>
              <w:br/>
            </w:r>
            <w:r w:rsidRPr="000C1465">
              <w:rPr>
                <w:rFonts w:eastAsia="Calibri"/>
                <w:sz w:val="20"/>
                <w:szCs w:val="20"/>
              </w:rPr>
              <w:t>продуктов для диабетиков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439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Акаба А. Н.,</w:t>
            </w:r>
            <w:r w:rsidRPr="000C1465">
              <w:rPr>
                <w:sz w:val="20"/>
                <w:szCs w:val="20"/>
              </w:rPr>
              <w:t xml:space="preserve"> </w:t>
            </w:r>
            <w:r w:rsidRPr="000C1465">
              <w:rPr>
                <w:rFonts w:eastAsia="Calibri"/>
                <w:b/>
                <w:sz w:val="20"/>
                <w:szCs w:val="20"/>
              </w:rPr>
              <w:t xml:space="preserve">Щербакова Е. В. </w:t>
            </w:r>
            <w:r w:rsidRPr="000C1465">
              <w:rPr>
                <w:rFonts w:eastAsia="Calibri"/>
                <w:sz w:val="20"/>
                <w:szCs w:val="20"/>
              </w:rPr>
              <w:t>Изучение некоторых показателей химического состава плодов фейхоа…………………………………...</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442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Бутова Л. А.,</w:t>
            </w:r>
            <w:r w:rsidRPr="000C1465">
              <w:rPr>
                <w:sz w:val="20"/>
                <w:szCs w:val="20"/>
              </w:rPr>
              <w:t xml:space="preserve"> </w:t>
            </w:r>
            <w:r w:rsidRPr="000C1465">
              <w:rPr>
                <w:rFonts w:eastAsia="Calibri"/>
                <w:b/>
                <w:sz w:val="20"/>
                <w:szCs w:val="20"/>
              </w:rPr>
              <w:t>Соболь И. В.</w:t>
            </w:r>
            <w:r w:rsidRPr="000C1465">
              <w:rPr>
                <w:sz w:val="20"/>
                <w:szCs w:val="20"/>
              </w:rPr>
              <w:t xml:space="preserve"> </w:t>
            </w:r>
            <w:r w:rsidRPr="000C1465">
              <w:rPr>
                <w:rFonts w:eastAsia="Calibri"/>
                <w:sz w:val="20"/>
                <w:szCs w:val="20"/>
              </w:rPr>
              <w:t>Вопросы питания при заболеваниях почек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445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Гирс Я. В.,</w:t>
            </w:r>
            <w:r w:rsidRPr="000C1465">
              <w:rPr>
                <w:sz w:val="20"/>
                <w:szCs w:val="20"/>
              </w:rPr>
              <w:t xml:space="preserve"> </w:t>
            </w:r>
            <w:r w:rsidRPr="000C1465">
              <w:rPr>
                <w:rFonts w:eastAsia="Calibri"/>
                <w:b/>
                <w:sz w:val="20"/>
                <w:szCs w:val="20"/>
              </w:rPr>
              <w:t>Коршунова Я. М.,</w:t>
            </w:r>
            <w:r w:rsidRPr="000C1465">
              <w:rPr>
                <w:sz w:val="20"/>
                <w:szCs w:val="20"/>
              </w:rPr>
              <w:t xml:space="preserve"> </w:t>
            </w:r>
            <w:r w:rsidRPr="000C1465">
              <w:rPr>
                <w:b/>
                <w:sz w:val="20"/>
                <w:szCs w:val="20"/>
              </w:rPr>
              <w:t>Патиева А. М.</w:t>
            </w:r>
            <w:r w:rsidRPr="000C1465">
              <w:rPr>
                <w:sz w:val="20"/>
                <w:szCs w:val="20"/>
              </w:rPr>
              <w:t xml:space="preserve"> </w:t>
            </w:r>
            <w:r w:rsidRPr="000C1465">
              <w:rPr>
                <w:rFonts w:eastAsia="Calibri"/>
                <w:sz w:val="20"/>
                <w:szCs w:val="20"/>
              </w:rPr>
              <w:t xml:space="preserve">Биологическая </w:t>
            </w:r>
            <w:r w:rsidR="002E4D92">
              <w:rPr>
                <w:rFonts w:eastAsia="Calibri"/>
                <w:sz w:val="20"/>
                <w:szCs w:val="20"/>
              </w:rPr>
              <w:br/>
            </w:r>
            <w:r w:rsidRPr="000C1465">
              <w:rPr>
                <w:rFonts w:eastAsia="Calibri"/>
                <w:sz w:val="20"/>
                <w:szCs w:val="20"/>
              </w:rPr>
              <w:t>ценность и свойства мяса оленины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448</w:t>
            </w:r>
          </w:p>
        </w:tc>
      </w:tr>
      <w:tr w:rsidR="000C1465" w:rsidRPr="000C1465" w:rsidTr="00EB5229">
        <w:tc>
          <w:tcPr>
            <w:tcW w:w="6096" w:type="dxa"/>
          </w:tcPr>
          <w:p w:rsidR="000C1465" w:rsidRPr="000C1465" w:rsidRDefault="000C1465" w:rsidP="000C1465">
            <w:pPr>
              <w:jc w:val="both"/>
              <w:rPr>
                <w:rFonts w:eastAsia="Calibri"/>
                <w:spacing w:val="-6"/>
                <w:sz w:val="20"/>
                <w:szCs w:val="20"/>
              </w:rPr>
            </w:pPr>
            <w:r w:rsidRPr="000C1465">
              <w:rPr>
                <w:rFonts w:eastAsia="Calibri"/>
                <w:b/>
                <w:spacing w:val="-6"/>
                <w:sz w:val="20"/>
                <w:szCs w:val="20"/>
              </w:rPr>
              <w:t xml:space="preserve">Глизнуца В. Д. </w:t>
            </w:r>
            <w:r w:rsidRPr="000C1465">
              <w:rPr>
                <w:rFonts w:eastAsia="Calibri"/>
                <w:spacing w:val="-6"/>
                <w:sz w:val="20"/>
                <w:szCs w:val="20"/>
              </w:rPr>
              <w:t xml:space="preserve">Повышение эффективности переработки сырья </w:t>
            </w:r>
            <w:r w:rsidR="002E4D92">
              <w:rPr>
                <w:rFonts w:eastAsia="Calibri"/>
                <w:spacing w:val="-6"/>
                <w:sz w:val="20"/>
                <w:szCs w:val="20"/>
              </w:rPr>
              <w:br/>
            </w:r>
            <w:r w:rsidRPr="000C1465">
              <w:rPr>
                <w:rFonts w:eastAsia="Calibri"/>
                <w:spacing w:val="-6"/>
                <w:sz w:val="20"/>
                <w:szCs w:val="20"/>
              </w:rPr>
              <w:t>масличных культур ………………………………………………………...</w:t>
            </w:r>
            <w:r w:rsidR="002E4D92">
              <w:rPr>
                <w:rFonts w:eastAsia="Calibri"/>
                <w:spacing w:val="-6"/>
                <w:sz w:val="20"/>
                <w:szCs w:val="20"/>
              </w:rPr>
              <w:t>.</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450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Горун О. Л., Гирс П. О., Теленьга Е. Н. </w:t>
            </w:r>
            <w:r w:rsidRPr="000C1465">
              <w:rPr>
                <w:rFonts w:eastAsia="Calibri"/>
                <w:sz w:val="20"/>
                <w:szCs w:val="20"/>
              </w:rPr>
              <w:t>Обоснование включения мягких сыров в рацион питания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453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Звягинцева В. В.,</w:t>
            </w:r>
            <w:r w:rsidRPr="000C1465">
              <w:rPr>
                <w:sz w:val="20"/>
                <w:szCs w:val="20"/>
              </w:rPr>
              <w:t xml:space="preserve"> </w:t>
            </w:r>
            <w:r w:rsidRPr="000C1465">
              <w:rPr>
                <w:rFonts w:eastAsia="Calibri"/>
                <w:b/>
                <w:sz w:val="20"/>
                <w:szCs w:val="20"/>
              </w:rPr>
              <w:t xml:space="preserve">Влащик Л. Г. </w:t>
            </w:r>
            <w:r w:rsidRPr="000C1465">
              <w:rPr>
                <w:rFonts w:eastAsia="Calibri"/>
                <w:sz w:val="20"/>
                <w:szCs w:val="20"/>
              </w:rPr>
              <w:t xml:space="preserve">Значимость пищевых волокон </w:t>
            </w:r>
            <w:r w:rsidR="002E4D92">
              <w:rPr>
                <w:rFonts w:eastAsia="Calibri"/>
                <w:sz w:val="20"/>
                <w:szCs w:val="20"/>
              </w:rPr>
              <w:br/>
            </w:r>
            <w:r w:rsidRPr="000C1465">
              <w:rPr>
                <w:rFonts w:eastAsia="Calibri"/>
                <w:sz w:val="20"/>
                <w:szCs w:val="20"/>
              </w:rPr>
              <w:t>в питании ………………………………………………………………</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455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Иванцова Е. В., Соболь И. В. </w:t>
            </w:r>
            <w:r w:rsidRPr="000C1465">
              <w:rPr>
                <w:rFonts w:eastAsia="Calibri"/>
                <w:sz w:val="20"/>
                <w:szCs w:val="20"/>
              </w:rPr>
              <w:t xml:space="preserve">Особенности питания детей </w:t>
            </w:r>
            <w:r w:rsidR="002E4D92">
              <w:rPr>
                <w:rFonts w:eastAsia="Calibri"/>
                <w:sz w:val="20"/>
                <w:szCs w:val="20"/>
              </w:rPr>
              <w:br/>
            </w:r>
            <w:r w:rsidRPr="000C1465">
              <w:rPr>
                <w:rFonts w:eastAsia="Calibri"/>
                <w:sz w:val="20"/>
                <w:szCs w:val="20"/>
              </w:rPr>
              <w:t>младшего школьного возраста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458</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Исай Н. А. </w:t>
            </w:r>
            <w:r w:rsidRPr="000C1465">
              <w:rPr>
                <w:rFonts w:eastAsia="Calibri"/>
                <w:spacing w:val="-4"/>
                <w:sz w:val="20"/>
                <w:szCs w:val="20"/>
              </w:rPr>
              <w:t>Использование сырья сои в рецептурах продуктов питания лечебно-профилактического назначения ………………………………</w:t>
            </w:r>
          </w:p>
        </w:tc>
        <w:tc>
          <w:tcPr>
            <w:tcW w:w="708" w:type="dxa"/>
          </w:tcPr>
          <w:p w:rsidR="000C1465" w:rsidRPr="000C1465" w:rsidRDefault="000C1465" w:rsidP="000C1465">
            <w:pPr>
              <w:rPr>
                <w:rFonts w:eastAsia="Calibri"/>
                <w:i/>
                <w:sz w:val="20"/>
                <w:szCs w:val="20"/>
              </w:rPr>
            </w:pPr>
          </w:p>
          <w:p w:rsidR="000C1465" w:rsidRPr="000C1465" w:rsidRDefault="00E278F8" w:rsidP="000C1465">
            <w:pPr>
              <w:rPr>
                <w:rFonts w:eastAsia="Calibri"/>
                <w:i/>
                <w:sz w:val="20"/>
                <w:szCs w:val="20"/>
              </w:rPr>
            </w:pPr>
            <w:r>
              <w:rPr>
                <w:rFonts w:eastAsia="Calibri"/>
                <w:i/>
                <w:sz w:val="20"/>
                <w:szCs w:val="20"/>
              </w:rPr>
              <w:t>461</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Казакова В. С.,</w:t>
            </w:r>
            <w:r w:rsidRPr="000C1465">
              <w:rPr>
                <w:sz w:val="20"/>
                <w:szCs w:val="20"/>
              </w:rPr>
              <w:t xml:space="preserve"> </w:t>
            </w:r>
            <w:r w:rsidRPr="000C1465">
              <w:rPr>
                <w:rFonts w:eastAsia="Calibri"/>
                <w:b/>
                <w:spacing w:val="-4"/>
                <w:sz w:val="20"/>
                <w:szCs w:val="20"/>
              </w:rPr>
              <w:t xml:space="preserve">Сокол Н. В. </w:t>
            </w:r>
            <w:r w:rsidRPr="000C1465">
              <w:rPr>
                <w:rFonts w:eastAsia="Calibri"/>
                <w:spacing w:val="-4"/>
                <w:sz w:val="20"/>
                <w:szCs w:val="20"/>
              </w:rPr>
              <w:t xml:space="preserve">Оценка качества зерна озимой мягкой пшеницы селекции «Национального центра зерна </w:t>
            </w:r>
            <w:r w:rsidR="002E4D92">
              <w:rPr>
                <w:rFonts w:eastAsia="Calibri"/>
                <w:spacing w:val="-4"/>
                <w:sz w:val="20"/>
                <w:szCs w:val="20"/>
              </w:rPr>
              <w:br/>
            </w:r>
            <w:r w:rsidRPr="000C1465">
              <w:rPr>
                <w:rFonts w:eastAsia="Calibri"/>
                <w:spacing w:val="-4"/>
                <w:sz w:val="20"/>
                <w:szCs w:val="20"/>
              </w:rPr>
              <w:t xml:space="preserve">им. П.П. Лукьяненко» для производства зернового хлеба </w:t>
            </w:r>
            <w:r w:rsidR="002E4D92">
              <w:rPr>
                <w:rFonts w:eastAsia="Calibri"/>
                <w:spacing w:val="-4"/>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464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Кияшко А. А.,</w:t>
            </w:r>
            <w:r w:rsidRPr="000C1465">
              <w:rPr>
                <w:sz w:val="20"/>
                <w:szCs w:val="20"/>
              </w:rPr>
              <w:t xml:space="preserve"> </w:t>
            </w:r>
            <w:r w:rsidRPr="000C1465">
              <w:rPr>
                <w:rFonts w:eastAsia="Calibri"/>
                <w:b/>
                <w:sz w:val="20"/>
                <w:szCs w:val="20"/>
              </w:rPr>
              <w:t>Огнева О. А.</w:t>
            </w:r>
            <w:r w:rsidRPr="000C1465">
              <w:rPr>
                <w:rFonts w:eastAsia="Calibri"/>
                <w:sz w:val="20"/>
                <w:szCs w:val="20"/>
              </w:rPr>
              <w:t xml:space="preserve"> Жизнь со вкусом пробиотиков ……….</w:t>
            </w:r>
          </w:p>
        </w:tc>
        <w:tc>
          <w:tcPr>
            <w:tcW w:w="708" w:type="dxa"/>
          </w:tcPr>
          <w:p w:rsidR="000C1465" w:rsidRPr="000C1465" w:rsidRDefault="006671E3" w:rsidP="000C1465">
            <w:pPr>
              <w:rPr>
                <w:rFonts w:eastAsia="Calibri"/>
                <w:i/>
                <w:sz w:val="20"/>
                <w:szCs w:val="20"/>
              </w:rPr>
            </w:pPr>
            <w:r>
              <w:rPr>
                <w:rFonts w:eastAsia="Calibri"/>
                <w:i/>
                <w:sz w:val="20"/>
                <w:szCs w:val="20"/>
              </w:rPr>
              <w:t>466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Копылов В. С., Щербакова Е. В. </w:t>
            </w:r>
            <w:r w:rsidRPr="000C1465">
              <w:rPr>
                <w:rFonts w:eastAsia="Calibri"/>
                <w:sz w:val="20"/>
                <w:szCs w:val="20"/>
              </w:rPr>
              <w:t xml:space="preserve">Макаронные изделия </w:t>
            </w:r>
            <w:r w:rsidR="002E4D92">
              <w:rPr>
                <w:rFonts w:eastAsia="Calibri"/>
                <w:sz w:val="20"/>
                <w:szCs w:val="20"/>
              </w:rPr>
              <w:br/>
            </w:r>
            <w:r w:rsidRPr="000C1465">
              <w:rPr>
                <w:rFonts w:eastAsia="Calibri"/>
                <w:sz w:val="20"/>
                <w:szCs w:val="20"/>
              </w:rPr>
              <w:t>функционального назначения с добавления шпинатного порошка….</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468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Кутнякова Л. А.,</w:t>
            </w:r>
            <w:r w:rsidRPr="000C1465">
              <w:rPr>
                <w:rFonts w:eastAsia="Calibri"/>
                <w:sz w:val="20"/>
                <w:szCs w:val="20"/>
              </w:rPr>
              <w:t xml:space="preserve"> </w:t>
            </w:r>
            <w:r w:rsidRPr="000C1465">
              <w:rPr>
                <w:rFonts w:eastAsia="Calibri"/>
                <w:b/>
                <w:sz w:val="20"/>
                <w:szCs w:val="20"/>
              </w:rPr>
              <w:t>Варивода А. А.</w:t>
            </w:r>
            <w:r w:rsidRPr="000C1465">
              <w:rPr>
                <w:rFonts w:eastAsia="Calibri"/>
                <w:sz w:val="20"/>
                <w:szCs w:val="20"/>
              </w:rPr>
              <w:t xml:space="preserve"> Функциональные масложировые продукты питания с растительными добавками………………………</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471</w:t>
            </w:r>
          </w:p>
        </w:tc>
      </w:tr>
      <w:tr w:rsidR="000C1465" w:rsidRPr="000C1465" w:rsidTr="00EB5229">
        <w:tc>
          <w:tcPr>
            <w:tcW w:w="6096" w:type="dxa"/>
          </w:tcPr>
          <w:p w:rsidR="00510884" w:rsidRPr="000C1465" w:rsidRDefault="000C1465" w:rsidP="000C1465">
            <w:pPr>
              <w:jc w:val="both"/>
              <w:rPr>
                <w:rFonts w:eastAsia="Calibri"/>
                <w:sz w:val="20"/>
                <w:szCs w:val="20"/>
              </w:rPr>
            </w:pPr>
            <w:r w:rsidRPr="000C1465">
              <w:rPr>
                <w:rFonts w:eastAsia="Calibri"/>
                <w:b/>
                <w:sz w:val="20"/>
                <w:szCs w:val="20"/>
              </w:rPr>
              <w:t>Кушнир О. И.,</w:t>
            </w:r>
            <w:r w:rsidRPr="000C1465">
              <w:rPr>
                <w:sz w:val="20"/>
                <w:szCs w:val="20"/>
              </w:rPr>
              <w:t xml:space="preserve"> </w:t>
            </w:r>
            <w:r w:rsidRPr="000C1465">
              <w:rPr>
                <w:rFonts w:eastAsia="Calibri"/>
                <w:b/>
                <w:sz w:val="20"/>
                <w:szCs w:val="20"/>
              </w:rPr>
              <w:t xml:space="preserve">Капралова М. Г., Дубравина И. В. </w:t>
            </w:r>
            <w:r w:rsidRPr="000C1465">
              <w:rPr>
                <w:rFonts w:eastAsia="Calibri"/>
                <w:sz w:val="20"/>
                <w:szCs w:val="20"/>
              </w:rPr>
              <w:t xml:space="preserve">Получение </w:t>
            </w:r>
            <w:r w:rsidR="002E4D92">
              <w:rPr>
                <w:rFonts w:eastAsia="Calibri"/>
                <w:sz w:val="20"/>
                <w:szCs w:val="20"/>
              </w:rPr>
              <w:br/>
            </w:r>
            <w:r w:rsidRPr="000C1465">
              <w:rPr>
                <w:rFonts w:eastAsia="Calibri"/>
                <w:sz w:val="20"/>
                <w:szCs w:val="20"/>
              </w:rPr>
              <w:t>пектинового экстракта из плодов кребов и оценка его качества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474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Мамедов К. С. О., Санжаровская Н. С. </w:t>
            </w:r>
            <w:r w:rsidRPr="000C1465">
              <w:rPr>
                <w:rFonts w:eastAsia="Calibri"/>
                <w:sz w:val="20"/>
                <w:szCs w:val="20"/>
              </w:rPr>
              <w:t xml:space="preserve">Полбяная мука – </w:t>
            </w:r>
            <w:r w:rsidR="002E4D92">
              <w:rPr>
                <w:rFonts w:eastAsia="Calibri"/>
                <w:sz w:val="20"/>
                <w:szCs w:val="20"/>
              </w:rPr>
              <w:br/>
            </w:r>
            <w:r w:rsidRPr="000C1465">
              <w:rPr>
                <w:rFonts w:eastAsia="Calibri"/>
                <w:sz w:val="20"/>
                <w:szCs w:val="20"/>
              </w:rPr>
              <w:t>перспективная добавка при производстве пшеничного хлеба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476</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Машногорская А. А.,</w:t>
            </w:r>
            <w:r w:rsidRPr="000C1465">
              <w:rPr>
                <w:sz w:val="20"/>
                <w:szCs w:val="20"/>
              </w:rPr>
              <w:t xml:space="preserve"> </w:t>
            </w:r>
            <w:r w:rsidRPr="000C1465">
              <w:rPr>
                <w:rFonts w:eastAsia="Calibri"/>
                <w:b/>
                <w:spacing w:val="-4"/>
                <w:sz w:val="20"/>
                <w:szCs w:val="20"/>
              </w:rPr>
              <w:t xml:space="preserve">Влащик Л. Г. </w:t>
            </w:r>
            <w:r w:rsidRPr="000C1465">
              <w:rPr>
                <w:rFonts w:eastAsia="Calibri"/>
                <w:spacing w:val="-4"/>
                <w:sz w:val="20"/>
                <w:szCs w:val="20"/>
              </w:rPr>
              <w:t xml:space="preserve">Исследование сырья для </w:t>
            </w:r>
            <w:r w:rsidR="002E4D92">
              <w:rPr>
                <w:rFonts w:eastAsia="Calibri"/>
                <w:spacing w:val="-4"/>
                <w:sz w:val="20"/>
                <w:szCs w:val="20"/>
              </w:rPr>
              <w:br/>
            </w:r>
            <w:r w:rsidRPr="000C1465">
              <w:rPr>
                <w:rFonts w:eastAsia="Calibri"/>
                <w:spacing w:val="-4"/>
                <w:sz w:val="20"/>
                <w:szCs w:val="20"/>
              </w:rPr>
              <w:t xml:space="preserve">разработки функциональных сокосодержащих фито - напитков </w:t>
            </w:r>
            <w:r w:rsidR="002E4D92">
              <w:rPr>
                <w:rFonts w:eastAsia="Calibri"/>
                <w:spacing w:val="-4"/>
                <w:sz w:val="20"/>
                <w:szCs w:val="20"/>
              </w:rPr>
              <w:br/>
            </w:r>
            <w:r w:rsidRPr="000C1465">
              <w:rPr>
                <w:rFonts w:eastAsia="Calibri"/>
                <w:spacing w:val="-4"/>
                <w:sz w:val="20"/>
                <w:szCs w:val="20"/>
              </w:rPr>
              <w:t>с повышенной антиоксидантной а</w:t>
            </w:r>
            <w:r w:rsidR="002E4D92">
              <w:rPr>
                <w:rFonts w:eastAsia="Calibri"/>
                <w:spacing w:val="-4"/>
                <w:sz w:val="20"/>
                <w:szCs w:val="20"/>
              </w:rPr>
              <w:t>ктивностью ………………………..</w:t>
            </w:r>
          </w:p>
        </w:tc>
        <w:tc>
          <w:tcPr>
            <w:tcW w:w="708" w:type="dxa"/>
          </w:tcPr>
          <w:p w:rsidR="000C1465" w:rsidRDefault="000C1465" w:rsidP="000C1465">
            <w:pPr>
              <w:rPr>
                <w:rFonts w:eastAsia="Calibri"/>
                <w:i/>
                <w:sz w:val="20"/>
                <w:szCs w:val="20"/>
              </w:rPr>
            </w:pPr>
          </w:p>
          <w:p w:rsidR="006671E3" w:rsidRPr="000C1465" w:rsidRDefault="006671E3"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479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Михайлютина Д. С.,</w:t>
            </w:r>
            <w:r w:rsidRPr="000C1465">
              <w:rPr>
                <w:sz w:val="20"/>
                <w:szCs w:val="20"/>
              </w:rPr>
              <w:t xml:space="preserve"> </w:t>
            </w:r>
            <w:r w:rsidRPr="000C1465">
              <w:rPr>
                <w:rFonts w:eastAsia="Calibri"/>
                <w:b/>
                <w:sz w:val="20"/>
                <w:szCs w:val="20"/>
              </w:rPr>
              <w:t xml:space="preserve">Ольховатов Е. А. </w:t>
            </w:r>
            <w:r w:rsidRPr="000C1465">
              <w:rPr>
                <w:rFonts w:eastAsia="Calibri"/>
                <w:sz w:val="20"/>
                <w:szCs w:val="20"/>
              </w:rPr>
              <w:t>Композиции для чайных напитков функционального назначения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481</w:t>
            </w:r>
          </w:p>
        </w:tc>
      </w:tr>
      <w:tr w:rsidR="000C1465" w:rsidRPr="000C1465" w:rsidTr="00EB5229">
        <w:tc>
          <w:tcPr>
            <w:tcW w:w="6096" w:type="dxa"/>
          </w:tcPr>
          <w:p w:rsidR="000C1465" w:rsidRPr="000C1465" w:rsidRDefault="000C1465" w:rsidP="000C1465">
            <w:pPr>
              <w:jc w:val="both"/>
              <w:rPr>
                <w:rFonts w:eastAsia="Calibri"/>
                <w:b/>
                <w:spacing w:val="-2"/>
                <w:sz w:val="20"/>
                <w:szCs w:val="20"/>
              </w:rPr>
            </w:pPr>
            <w:r w:rsidRPr="000C1465">
              <w:rPr>
                <w:rFonts w:eastAsia="Calibri"/>
                <w:b/>
                <w:spacing w:val="-2"/>
                <w:sz w:val="20"/>
                <w:szCs w:val="20"/>
              </w:rPr>
              <w:t>Мочалов В. Н.,</w:t>
            </w:r>
            <w:r w:rsidRPr="000C1465">
              <w:rPr>
                <w:sz w:val="20"/>
                <w:szCs w:val="20"/>
              </w:rPr>
              <w:t xml:space="preserve"> </w:t>
            </w:r>
            <w:r w:rsidRPr="000C1465">
              <w:rPr>
                <w:rFonts w:eastAsia="Calibri"/>
                <w:b/>
                <w:spacing w:val="-2"/>
                <w:sz w:val="20"/>
                <w:szCs w:val="20"/>
              </w:rPr>
              <w:t xml:space="preserve">Платонова Н. А., Красноселова Е. А. </w:t>
            </w:r>
            <w:r w:rsidRPr="000C1465">
              <w:rPr>
                <w:rFonts w:eastAsia="Calibri"/>
                <w:spacing w:val="-2"/>
                <w:sz w:val="20"/>
                <w:szCs w:val="20"/>
              </w:rPr>
              <w:t>Основные проблемы реконструкции предприятий пищевой промышленности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484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Невенчаная Г. А., Храпко О. П. </w:t>
            </w:r>
            <w:r w:rsidRPr="000C1465">
              <w:rPr>
                <w:rFonts w:eastAsia="Calibri"/>
                <w:sz w:val="20"/>
                <w:szCs w:val="20"/>
              </w:rPr>
              <w:t>Применение нетрадиционного вида муки в хлебопечении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487</w:t>
            </w:r>
          </w:p>
        </w:tc>
      </w:tr>
      <w:tr w:rsidR="000C1465" w:rsidRPr="000C1465" w:rsidTr="00EB5229">
        <w:tc>
          <w:tcPr>
            <w:tcW w:w="6096" w:type="dxa"/>
          </w:tcPr>
          <w:p w:rsidR="000C1465" w:rsidRPr="000C1465" w:rsidRDefault="000C1465" w:rsidP="000C1465">
            <w:pPr>
              <w:jc w:val="both"/>
              <w:rPr>
                <w:rFonts w:eastAsia="Calibri"/>
                <w:spacing w:val="-2"/>
                <w:sz w:val="20"/>
                <w:szCs w:val="20"/>
              </w:rPr>
            </w:pPr>
            <w:r w:rsidRPr="000C1465">
              <w:rPr>
                <w:rFonts w:eastAsia="Calibri"/>
                <w:b/>
                <w:spacing w:val="-2"/>
                <w:sz w:val="20"/>
                <w:szCs w:val="20"/>
              </w:rPr>
              <w:t>Обмоина А. В., Папикян Т. А.,</w:t>
            </w:r>
            <w:r w:rsidRPr="000C1465">
              <w:rPr>
                <w:sz w:val="20"/>
                <w:szCs w:val="20"/>
              </w:rPr>
              <w:t xml:space="preserve"> </w:t>
            </w:r>
            <w:r w:rsidRPr="000C1465">
              <w:rPr>
                <w:rFonts w:eastAsia="Calibri"/>
                <w:b/>
                <w:spacing w:val="-2"/>
                <w:sz w:val="20"/>
                <w:szCs w:val="20"/>
              </w:rPr>
              <w:t>Волкова С. А.</w:t>
            </w:r>
            <w:r w:rsidRPr="000C1465">
              <w:rPr>
                <w:sz w:val="20"/>
                <w:szCs w:val="20"/>
              </w:rPr>
              <w:t xml:space="preserve"> </w:t>
            </w:r>
            <w:r w:rsidRPr="000C1465">
              <w:rPr>
                <w:rFonts w:eastAsia="Calibri"/>
                <w:spacing w:val="-2"/>
                <w:sz w:val="20"/>
                <w:szCs w:val="20"/>
              </w:rPr>
              <w:t xml:space="preserve">Исследование </w:t>
            </w:r>
            <w:r w:rsidR="002E4D92">
              <w:rPr>
                <w:rFonts w:eastAsia="Calibri"/>
                <w:spacing w:val="-2"/>
                <w:sz w:val="20"/>
                <w:szCs w:val="20"/>
              </w:rPr>
              <w:br/>
            </w:r>
            <w:r w:rsidRPr="000C1465">
              <w:rPr>
                <w:rFonts w:eastAsia="Calibri"/>
                <w:spacing w:val="-2"/>
                <w:sz w:val="20"/>
                <w:szCs w:val="20"/>
              </w:rPr>
              <w:t>синергизма дрожжей и молочнокислых микроорганизмов в составе слабоалкогольных напитков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490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Папикян Т. А., Обмоина А. В.,</w:t>
            </w:r>
            <w:r w:rsidRPr="000C1465">
              <w:rPr>
                <w:sz w:val="20"/>
                <w:szCs w:val="20"/>
              </w:rPr>
              <w:t xml:space="preserve"> </w:t>
            </w:r>
            <w:r w:rsidRPr="000C1465">
              <w:rPr>
                <w:rFonts w:eastAsia="Calibri"/>
                <w:b/>
                <w:sz w:val="20"/>
                <w:szCs w:val="20"/>
              </w:rPr>
              <w:t>Волкова С. А.</w:t>
            </w:r>
            <w:r w:rsidRPr="000C1465">
              <w:rPr>
                <w:sz w:val="20"/>
                <w:szCs w:val="20"/>
              </w:rPr>
              <w:t xml:space="preserve"> </w:t>
            </w:r>
            <w:r w:rsidRPr="000C1465">
              <w:rPr>
                <w:rFonts w:eastAsia="Calibri"/>
                <w:sz w:val="20"/>
                <w:szCs w:val="20"/>
              </w:rPr>
              <w:t xml:space="preserve">Оптимизация </w:t>
            </w:r>
            <w:r w:rsidR="002E4D92">
              <w:rPr>
                <w:rFonts w:eastAsia="Calibri"/>
                <w:sz w:val="20"/>
                <w:szCs w:val="20"/>
              </w:rPr>
              <w:br/>
            </w:r>
            <w:r w:rsidRPr="000C1465">
              <w:rPr>
                <w:rFonts w:eastAsia="Calibri"/>
                <w:sz w:val="20"/>
                <w:szCs w:val="20"/>
              </w:rPr>
              <w:t>питательной среды для культивирования молочнокислых бактерий</w:t>
            </w:r>
            <w:proofErr w:type="gramStart"/>
            <w:r w:rsidRPr="000C1465">
              <w:rPr>
                <w:rFonts w:eastAsia="Calibri"/>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492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Перепелица И. А.,</w:t>
            </w:r>
            <w:r w:rsidRPr="000C1465">
              <w:rPr>
                <w:sz w:val="20"/>
                <w:szCs w:val="20"/>
              </w:rPr>
              <w:t xml:space="preserve"> </w:t>
            </w:r>
            <w:r w:rsidRPr="000C1465">
              <w:rPr>
                <w:rFonts w:eastAsia="Calibri"/>
                <w:b/>
                <w:sz w:val="20"/>
                <w:szCs w:val="20"/>
              </w:rPr>
              <w:t xml:space="preserve">Мачнева Н. Л. </w:t>
            </w:r>
            <w:r w:rsidRPr="000C1465">
              <w:rPr>
                <w:rFonts w:eastAsia="Calibri"/>
                <w:sz w:val="20"/>
                <w:szCs w:val="20"/>
              </w:rPr>
              <w:t>Обогащение хлебобулочных изделий вялеными помидорами для получения функционального хлеба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495</w:t>
            </w:r>
          </w:p>
        </w:tc>
      </w:tr>
      <w:tr w:rsidR="000C1465" w:rsidRPr="000C1465" w:rsidTr="00EB5229">
        <w:tc>
          <w:tcPr>
            <w:tcW w:w="6096" w:type="dxa"/>
          </w:tcPr>
          <w:p w:rsidR="000C1465" w:rsidRPr="000C1465" w:rsidRDefault="000C1465" w:rsidP="000C1465">
            <w:pPr>
              <w:tabs>
                <w:tab w:val="left" w:pos="0"/>
              </w:tabs>
              <w:jc w:val="both"/>
              <w:rPr>
                <w:rFonts w:eastAsia="Calibri"/>
                <w:sz w:val="20"/>
                <w:szCs w:val="20"/>
              </w:rPr>
            </w:pPr>
            <w:r w:rsidRPr="000C1465">
              <w:rPr>
                <w:rFonts w:eastAsia="Calibri"/>
                <w:b/>
                <w:sz w:val="20"/>
                <w:szCs w:val="20"/>
              </w:rPr>
              <w:t xml:space="preserve">Сотченко Д. Ю. </w:t>
            </w:r>
            <w:r w:rsidRPr="000C1465">
              <w:rPr>
                <w:rFonts w:eastAsia="Calibri"/>
                <w:sz w:val="20"/>
                <w:szCs w:val="20"/>
              </w:rPr>
              <w:t>Рецептурные решения композиций бутербродных паст из сырья хлебных зерновых и зернобобовых культур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498</w:t>
            </w:r>
          </w:p>
        </w:tc>
      </w:tr>
      <w:tr w:rsidR="000C1465" w:rsidRPr="000C1465" w:rsidTr="00EB5229">
        <w:tc>
          <w:tcPr>
            <w:tcW w:w="6096" w:type="dxa"/>
          </w:tcPr>
          <w:p w:rsidR="000C1465" w:rsidRPr="000C1465" w:rsidRDefault="000C1465" w:rsidP="000C1465">
            <w:pPr>
              <w:tabs>
                <w:tab w:val="left" w:pos="0"/>
              </w:tabs>
              <w:jc w:val="both"/>
              <w:rPr>
                <w:rFonts w:eastAsia="Calibri"/>
                <w:b/>
                <w:spacing w:val="-4"/>
                <w:sz w:val="20"/>
                <w:szCs w:val="20"/>
              </w:rPr>
            </w:pPr>
            <w:r w:rsidRPr="000C1465">
              <w:rPr>
                <w:rFonts w:eastAsia="Calibri"/>
                <w:b/>
                <w:spacing w:val="-4"/>
                <w:sz w:val="20"/>
                <w:szCs w:val="20"/>
              </w:rPr>
              <w:t xml:space="preserve">Струсовский С. Г. </w:t>
            </w:r>
            <w:r w:rsidRPr="000C1465">
              <w:rPr>
                <w:rFonts w:eastAsia="Calibri"/>
                <w:spacing w:val="-4"/>
                <w:sz w:val="20"/>
                <w:szCs w:val="20"/>
              </w:rPr>
              <w:t xml:space="preserve">Использование лекарственных растений </w:t>
            </w:r>
            <w:r w:rsidRPr="000C1465">
              <w:rPr>
                <w:rFonts w:eastAsia="Calibri"/>
                <w:spacing w:val="-4"/>
                <w:sz w:val="20"/>
                <w:szCs w:val="20"/>
              </w:rPr>
              <w:br/>
              <w:t>в производстве продуктов питания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501</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 xml:space="preserve">Тарасова В. Н. </w:t>
            </w:r>
            <w:r w:rsidRPr="000C1465">
              <w:rPr>
                <w:sz w:val="20"/>
                <w:szCs w:val="20"/>
              </w:rPr>
              <w:t>Пектиновые вещества лекарственного сырья как иммуномодулирующий компонент функциональных напитков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504</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Тарверанова Я. О., Красноселова Е. А.</w:t>
            </w:r>
            <w:r w:rsidRPr="000C1465">
              <w:rPr>
                <w:sz w:val="20"/>
                <w:szCs w:val="20"/>
              </w:rPr>
              <w:t xml:space="preserve"> Пектин как основа </w:t>
            </w:r>
            <w:r w:rsidR="002E4D92">
              <w:rPr>
                <w:sz w:val="20"/>
                <w:szCs w:val="20"/>
              </w:rPr>
              <w:br/>
            </w:r>
            <w:r w:rsidRPr="000C1465">
              <w:rPr>
                <w:sz w:val="20"/>
                <w:szCs w:val="20"/>
              </w:rPr>
              <w:t>профилактического питания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507</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 xml:space="preserve">Тарасенко А. В., Влащик Л. Г. </w:t>
            </w:r>
            <w:r w:rsidRPr="000C1465">
              <w:rPr>
                <w:sz w:val="20"/>
                <w:szCs w:val="20"/>
              </w:rPr>
              <w:t xml:space="preserve">Разработка рецептуры </w:t>
            </w:r>
            <w:r w:rsidR="002E4D92">
              <w:rPr>
                <w:sz w:val="20"/>
                <w:szCs w:val="20"/>
              </w:rPr>
              <w:br/>
            </w:r>
            <w:r w:rsidRPr="000C1465">
              <w:rPr>
                <w:sz w:val="20"/>
                <w:szCs w:val="20"/>
              </w:rPr>
              <w:t>функционального напитка на основе натурального овощного сырья</w:t>
            </w:r>
            <w:proofErr w:type="gramStart"/>
            <w:r w:rsidRPr="000C1465">
              <w:rPr>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510</w:t>
            </w:r>
          </w:p>
        </w:tc>
      </w:tr>
      <w:tr w:rsidR="000C1465" w:rsidRPr="000C1465" w:rsidTr="00EB5229">
        <w:tc>
          <w:tcPr>
            <w:tcW w:w="6096" w:type="dxa"/>
          </w:tcPr>
          <w:p w:rsidR="000C1465" w:rsidRPr="000C1465" w:rsidRDefault="000C1465" w:rsidP="000C1465">
            <w:pPr>
              <w:jc w:val="both"/>
              <w:rPr>
                <w:spacing w:val="-6"/>
                <w:sz w:val="20"/>
                <w:szCs w:val="20"/>
              </w:rPr>
            </w:pPr>
            <w:r w:rsidRPr="000C1465">
              <w:rPr>
                <w:b/>
                <w:spacing w:val="-6"/>
                <w:sz w:val="20"/>
                <w:szCs w:val="20"/>
              </w:rPr>
              <w:t>Топанова Ю. В.,</w:t>
            </w:r>
            <w:r w:rsidRPr="000C1465">
              <w:rPr>
                <w:sz w:val="20"/>
                <w:szCs w:val="20"/>
              </w:rPr>
              <w:t xml:space="preserve"> </w:t>
            </w:r>
            <w:r w:rsidRPr="000C1465">
              <w:rPr>
                <w:b/>
                <w:spacing w:val="-6"/>
                <w:sz w:val="20"/>
                <w:szCs w:val="20"/>
              </w:rPr>
              <w:t>Огнева О. А.</w:t>
            </w:r>
            <w:r w:rsidRPr="000C1465">
              <w:rPr>
                <w:spacing w:val="-6"/>
                <w:sz w:val="20"/>
                <w:szCs w:val="20"/>
              </w:rPr>
              <w:t xml:space="preserve"> Функциональные продукты питания…....</w:t>
            </w:r>
          </w:p>
        </w:tc>
        <w:tc>
          <w:tcPr>
            <w:tcW w:w="708" w:type="dxa"/>
          </w:tcPr>
          <w:p w:rsidR="000C1465" w:rsidRPr="000C1465" w:rsidRDefault="000C1465" w:rsidP="000C1465">
            <w:pPr>
              <w:rPr>
                <w:rFonts w:eastAsia="Calibri"/>
                <w:i/>
                <w:sz w:val="20"/>
                <w:szCs w:val="20"/>
              </w:rPr>
            </w:pPr>
            <w:r w:rsidRPr="000C1465">
              <w:rPr>
                <w:rFonts w:eastAsia="Calibri"/>
                <w:i/>
                <w:sz w:val="20"/>
                <w:szCs w:val="20"/>
              </w:rPr>
              <w:t>5</w:t>
            </w:r>
            <w:r w:rsidR="006671E3">
              <w:rPr>
                <w:rFonts w:eastAsia="Calibri"/>
                <w:i/>
                <w:sz w:val="20"/>
                <w:szCs w:val="20"/>
              </w:rPr>
              <w:t>13</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 xml:space="preserve">Хорольцев Д. А., Сокол Н. В. </w:t>
            </w:r>
            <w:r w:rsidRPr="000C1465">
              <w:rPr>
                <w:sz w:val="20"/>
                <w:szCs w:val="20"/>
              </w:rPr>
              <w:t>Разработка технологии тритикале - пшеничной муки и хлеба на ее основе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515</w:t>
            </w:r>
          </w:p>
        </w:tc>
      </w:tr>
      <w:tr w:rsidR="000C1465" w:rsidRPr="000C1465" w:rsidTr="00EB5229">
        <w:tc>
          <w:tcPr>
            <w:tcW w:w="6096" w:type="dxa"/>
          </w:tcPr>
          <w:p w:rsidR="000C1465" w:rsidRDefault="000C1465" w:rsidP="000C1465">
            <w:pPr>
              <w:jc w:val="both"/>
              <w:rPr>
                <w:sz w:val="20"/>
                <w:szCs w:val="20"/>
              </w:rPr>
            </w:pPr>
            <w:r w:rsidRPr="000C1465">
              <w:rPr>
                <w:b/>
                <w:sz w:val="20"/>
                <w:szCs w:val="20"/>
              </w:rPr>
              <w:t>Чеснокова А. А.,</w:t>
            </w:r>
            <w:r w:rsidRPr="000C1465">
              <w:rPr>
                <w:sz w:val="20"/>
                <w:szCs w:val="20"/>
              </w:rPr>
              <w:t xml:space="preserve"> </w:t>
            </w:r>
            <w:r w:rsidRPr="000C1465">
              <w:rPr>
                <w:b/>
                <w:sz w:val="20"/>
                <w:szCs w:val="20"/>
              </w:rPr>
              <w:t>Огнева О. А.</w:t>
            </w:r>
            <w:r w:rsidRPr="000C1465">
              <w:rPr>
                <w:sz w:val="20"/>
                <w:szCs w:val="20"/>
              </w:rPr>
              <w:t xml:space="preserve"> Творог диетический, разработанный из вторичного молочного сырья ……………………………………….</w:t>
            </w:r>
          </w:p>
          <w:p w:rsidR="006671E3" w:rsidRDefault="006671E3" w:rsidP="000C1465">
            <w:pPr>
              <w:jc w:val="both"/>
              <w:rPr>
                <w:sz w:val="20"/>
                <w:szCs w:val="20"/>
              </w:rPr>
            </w:pPr>
          </w:p>
          <w:p w:rsidR="006671E3" w:rsidRPr="000C1465" w:rsidRDefault="006671E3" w:rsidP="000C1465">
            <w:pPr>
              <w:jc w:val="both"/>
              <w:rPr>
                <w:sz w:val="20"/>
                <w:szCs w:val="20"/>
              </w:rPr>
            </w:pP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518</w:t>
            </w:r>
          </w:p>
        </w:tc>
      </w:tr>
      <w:tr w:rsidR="000C1465" w:rsidRPr="000C1465" w:rsidTr="00EB5229">
        <w:tc>
          <w:tcPr>
            <w:tcW w:w="6096" w:type="dxa"/>
          </w:tcPr>
          <w:p w:rsidR="000C1465" w:rsidRPr="000C1465" w:rsidRDefault="000C1465" w:rsidP="00510884">
            <w:pPr>
              <w:spacing w:before="120" w:after="120"/>
              <w:jc w:val="center"/>
              <w:rPr>
                <w:b/>
                <w:sz w:val="24"/>
                <w:szCs w:val="24"/>
              </w:rPr>
            </w:pPr>
            <w:r w:rsidRPr="000C1465">
              <w:rPr>
                <w:b/>
                <w:sz w:val="24"/>
                <w:szCs w:val="24"/>
              </w:rPr>
              <w:lastRenderedPageBreak/>
              <w:t>Факультет прикладной информатики</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Ващенко В. Р.,</w:t>
            </w:r>
            <w:r w:rsidRPr="000C1465">
              <w:rPr>
                <w:sz w:val="20"/>
                <w:szCs w:val="20"/>
              </w:rPr>
              <w:t xml:space="preserve"> </w:t>
            </w:r>
            <w:r w:rsidRPr="000C1465">
              <w:rPr>
                <w:b/>
                <w:sz w:val="20"/>
                <w:szCs w:val="20"/>
              </w:rPr>
              <w:t>Куликова М. И.,</w:t>
            </w:r>
            <w:r w:rsidRPr="000C1465">
              <w:rPr>
                <w:sz w:val="20"/>
                <w:szCs w:val="20"/>
              </w:rPr>
              <w:t xml:space="preserve"> </w:t>
            </w:r>
            <w:r w:rsidRPr="000C1465">
              <w:rPr>
                <w:b/>
                <w:sz w:val="20"/>
                <w:szCs w:val="20"/>
              </w:rPr>
              <w:t>Фешина Е. В.</w:t>
            </w:r>
            <w:r w:rsidRPr="000C1465">
              <w:rPr>
                <w:sz w:val="20"/>
                <w:szCs w:val="20"/>
              </w:rPr>
              <w:t xml:space="preserve"> Искусственный интеллект на службе сельского хозяйства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522</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Базилев С. А.</w:t>
            </w:r>
            <w:r w:rsidRPr="000C1465">
              <w:rPr>
                <w:sz w:val="20"/>
                <w:szCs w:val="20"/>
              </w:rPr>
              <w:t xml:space="preserve"> Сравнительная характеристика программных </w:t>
            </w:r>
            <w:r w:rsidR="002E4D92">
              <w:rPr>
                <w:sz w:val="20"/>
                <w:szCs w:val="20"/>
              </w:rPr>
              <w:br/>
            </w:r>
            <w:r w:rsidRPr="000C1465">
              <w:rPr>
                <w:sz w:val="20"/>
                <w:szCs w:val="20"/>
              </w:rPr>
              <w:t>продуктов для реализации функции подбора персонала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525</w:t>
            </w:r>
          </w:p>
        </w:tc>
      </w:tr>
      <w:tr w:rsidR="000C1465" w:rsidRPr="000C1465" w:rsidTr="00EB5229">
        <w:tc>
          <w:tcPr>
            <w:tcW w:w="6096" w:type="dxa"/>
          </w:tcPr>
          <w:p w:rsidR="000C1465" w:rsidRPr="000C1465" w:rsidRDefault="000C1465" w:rsidP="000C1465">
            <w:pPr>
              <w:jc w:val="both"/>
              <w:rPr>
                <w:spacing w:val="-2"/>
                <w:sz w:val="20"/>
                <w:szCs w:val="20"/>
              </w:rPr>
            </w:pPr>
            <w:r w:rsidRPr="000C1465">
              <w:rPr>
                <w:b/>
                <w:spacing w:val="-2"/>
                <w:sz w:val="20"/>
                <w:szCs w:val="20"/>
              </w:rPr>
              <w:t>Галат И. И.</w:t>
            </w:r>
            <w:r w:rsidRPr="000C1465">
              <w:rPr>
                <w:spacing w:val="-2"/>
                <w:sz w:val="20"/>
                <w:szCs w:val="20"/>
              </w:rPr>
              <w:t xml:space="preserve"> Вопросы соответствия IT-инфраструктуры иностранных компаний Закону №152-ФЗ «О персональных данных»……………….</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528</w:t>
            </w:r>
          </w:p>
        </w:tc>
      </w:tr>
      <w:tr w:rsidR="000C1465" w:rsidRPr="000C1465" w:rsidTr="00EB5229">
        <w:tc>
          <w:tcPr>
            <w:tcW w:w="6096" w:type="dxa"/>
          </w:tcPr>
          <w:p w:rsidR="000C1465" w:rsidRPr="000C1465" w:rsidRDefault="000C1465" w:rsidP="000C1465">
            <w:pPr>
              <w:jc w:val="both"/>
              <w:rPr>
                <w:spacing w:val="-4"/>
                <w:sz w:val="20"/>
                <w:szCs w:val="20"/>
              </w:rPr>
            </w:pPr>
            <w:r w:rsidRPr="000C1465">
              <w:rPr>
                <w:b/>
                <w:spacing w:val="-4"/>
                <w:sz w:val="20"/>
                <w:szCs w:val="20"/>
              </w:rPr>
              <w:t xml:space="preserve">Гонатаев Р. Г. </w:t>
            </w:r>
            <w:r w:rsidRPr="000C1465">
              <w:rPr>
                <w:spacing w:val="-4"/>
                <w:sz w:val="20"/>
                <w:szCs w:val="20"/>
              </w:rPr>
              <w:t xml:space="preserve">VR/AR – технологии будущего в образовательном </w:t>
            </w:r>
            <w:r w:rsidR="002E4D92">
              <w:rPr>
                <w:spacing w:val="-4"/>
                <w:sz w:val="20"/>
                <w:szCs w:val="20"/>
              </w:rPr>
              <w:br/>
            </w:r>
            <w:r w:rsidRPr="000C1465">
              <w:rPr>
                <w:spacing w:val="-4"/>
                <w:sz w:val="20"/>
                <w:szCs w:val="20"/>
              </w:rPr>
              <w:t>процессе студентов сельскохозяйственного вуза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530</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Горкавой П. Г., Шутов В. А.,</w:t>
            </w:r>
            <w:r w:rsidRPr="000C1465">
              <w:rPr>
                <w:sz w:val="20"/>
                <w:szCs w:val="20"/>
              </w:rPr>
              <w:t xml:space="preserve"> </w:t>
            </w:r>
            <w:r w:rsidRPr="000C1465">
              <w:rPr>
                <w:b/>
                <w:sz w:val="20"/>
                <w:szCs w:val="20"/>
              </w:rPr>
              <w:t>Замотайлова Д. А.</w:t>
            </w:r>
            <w:r w:rsidRPr="000C1465">
              <w:rPr>
                <w:sz w:val="20"/>
                <w:szCs w:val="20"/>
              </w:rPr>
              <w:t xml:space="preserve"> Направления применения СППР в оценке деятельности вузов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534</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Донской И. С., Будникова А. А.,</w:t>
            </w:r>
            <w:r w:rsidRPr="000C1465">
              <w:rPr>
                <w:sz w:val="20"/>
                <w:szCs w:val="20"/>
              </w:rPr>
              <w:t xml:space="preserve"> </w:t>
            </w:r>
            <w:r w:rsidRPr="000C1465">
              <w:rPr>
                <w:b/>
                <w:sz w:val="20"/>
                <w:szCs w:val="20"/>
              </w:rPr>
              <w:t>Крамаренко Т. А.</w:t>
            </w:r>
            <w:r w:rsidRPr="000C1465">
              <w:rPr>
                <w:sz w:val="20"/>
                <w:szCs w:val="20"/>
              </w:rPr>
              <w:t xml:space="preserve"> Реализация модели двойного маятника на С++……………………………………..</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537</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Дунская Л. К.</w:t>
            </w:r>
            <w:r w:rsidRPr="000C1465">
              <w:rPr>
                <w:sz w:val="20"/>
                <w:szCs w:val="20"/>
              </w:rPr>
              <w:t xml:space="preserve"> Современное изобразительное искусство </w:t>
            </w:r>
            <w:r w:rsidRPr="000C1465">
              <w:rPr>
                <w:sz w:val="20"/>
                <w:szCs w:val="20"/>
              </w:rPr>
              <w:br/>
              <w:t>в исполнении нейросети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540</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Журавлев Е. С.</w:t>
            </w:r>
            <w:r w:rsidRPr="000C1465">
              <w:rPr>
                <w:sz w:val="20"/>
                <w:szCs w:val="20"/>
              </w:rPr>
              <w:t xml:space="preserve"> Использование Bootstrap для разработки сайтов ….</w:t>
            </w:r>
          </w:p>
        </w:tc>
        <w:tc>
          <w:tcPr>
            <w:tcW w:w="708" w:type="dxa"/>
          </w:tcPr>
          <w:p w:rsidR="000C1465" w:rsidRPr="000C1465" w:rsidRDefault="006671E3" w:rsidP="000C1465">
            <w:pPr>
              <w:rPr>
                <w:rFonts w:eastAsia="Calibri"/>
                <w:i/>
                <w:sz w:val="20"/>
                <w:szCs w:val="20"/>
              </w:rPr>
            </w:pPr>
            <w:r>
              <w:rPr>
                <w:rFonts w:eastAsia="Calibri"/>
                <w:i/>
                <w:sz w:val="20"/>
                <w:szCs w:val="20"/>
              </w:rPr>
              <w:t>543</w:t>
            </w:r>
          </w:p>
        </w:tc>
      </w:tr>
      <w:tr w:rsidR="000C1465" w:rsidRPr="000C1465" w:rsidTr="00EB5229">
        <w:tc>
          <w:tcPr>
            <w:tcW w:w="6096" w:type="dxa"/>
          </w:tcPr>
          <w:p w:rsidR="000C1465" w:rsidRPr="000C1465" w:rsidRDefault="000C1465" w:rsidP="000C1465">
            <w:pPr>
              <w:jc w:val="both"/>
              <w:rPr>
                <w:b/>
                <w:spacing w:val="-4"/>
                <w:sz w:val="20"/>
                <w:szCs w:val="20"/>
              </w:rPr>
            </w:pPr>
            <w:r w:rsidRPr="000C1465">
              <w:rPr>
                <w:b/>
                <w:spacing w:val="-4"/>
                <w:sz w:val="20"/>
                <w:szCs w:val="20"/>
              </w:rPr>
              <w:t xml:space="preserve">Емельянов Д. О., Караев А. В., Иванова Е. А. </w:t>
            </w:r>
            <w:r w:rsidRPr="000C1465">
              <w:rPr>
                <w:spacing w:val="-4"/>
                <w:sz w:val="20"/>
                <w:szCs w:val="20"/>
              </w:rPr>
              <w:t>Троичный компьютер: основы троичной логики ………………………………………………..</w:t>
            </w:r>
          </w:p>
        </w:tc>
        <w:tc>
          <w:tcPr>
            <w:tcW w:w="708" w:type="dxa"/>
          </w:tcPr>
          <w:p w:rsidR="006671E3" w:rsidRDefault="006671E3"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546</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Зарученко А. А.,</w:t>
            </w:r>
            <w:r w:rsidRPr="000C1465">
              <w:rPr>
                <w:sz w:val="20"/>
                <w:szCs w:val="20"/>
              </w:rPr>
              <w:t xml:space="preserve"> </w:t>
            </w:r>
            <w:r w:rsidRPr="000C1465">
              <w:rPr>
                <w:b/>
                <w:sz w:val="20"/>
                <w:szCs w:val="20"/>
              </w:rPr>
              <w:t xml:space="preserve">Попок Л. Е. </w:t>
            </w:r>
            <w:r w:rsidRPr="000C1465">
              <w:rPr>
                <w:sz w:val="20"/>
                <w:szCs w:val="20"/>
              </w:rPr>
              <w:t>Выбор комплекса технологий для разработки современного веб-приложенния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549</w:t>
            </w:r>
          </w:p>
        </w:tc>
      </w:tr>
      <w:tr w:rsidR="000C1465" w:rsidRPr="000C1465" w:rsidTr="00EB5229">
        <w:tc>
          <w:tcPr>
            <w:tcW w:w="6096" w:type="dxa"/>
          </w:tcPr>
          <w:p w:rsidR="000C1465" w:rsidRPr="000C1465" w:rsidRDefault="000C1465" w:rsidP="000C1465">
            <w:pPr>
              <w:jc w:val="both"/>
              <w:rPr>
                <w:sz w:val="20"/>
                <w:szCs w:val="20"/>
              </w:rPr>
            </w:pPr>
            <w:r w:rsidRPr="000C1465">
              <w:rPr>
                <w:b/>
                <w:sz w:val="20"/>
                <w:szCs w:val="20"/>
              </w:rPr>
              <w:t>Зубко А. А.</w:t>
            </w:r>
            <w:r w:rsidRPr="000C1465">
              <w:rPr>
                <w:sz w:val="20"/>
                <w:szCs w:val="20"/>
              </w:rPr>
              <w:t xml:space="preserve"> Технология разработки браузерного расширения для борьбы со скрытым майнингом криптовалют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5</w:t>
            </w:r>
            <w:r w:rsidR="006671E3">
              <w:rPr>
                <w:rFonts w:eastAsia="Calibri"/>
                <w:i/>
                <w:sz w:val="20"/>
                <w:szCs w:val="20"/>
              </w:rPr>
              <w:t>51</w:t>
            </w:r>
          </w:p>
        </w:tc>
      </w:tr>
      <w:tr w:rsidR="000C1465" w:rsidRPr="000C1465" w:rsidTr="00EB5229">
        <w:tc>
          <w:tcPr>
            <w:tcW w:w="6096" w:type="dxa"/>
          </w:tcPr>
          <w:p w:rsidR="000C1465" w:rsidRPr="000C1465" w:rsidRDefault="000C1465" w:rsidP="000C1465">
            <w:pPr>
              <w:jc w:val="both"/>
              <w:rPr>
                <w:spacing w:val="-4"/>
                <w:sz w:val="20"/>
                <w:szCs w:val="20"/>
              </w:rPr>
            </w:pPr>
            <w:r w:rsidRPr="000C1465">
              <w:rPr>
                <w:b/>
                <w:spacing w:val="-4"/>
                <w:sz w:val="20"/>
                <w:szCs w:val="20"/>
              </w:rPr>
              <w:t xml:space="preserve">Зуев А. В. </w:t>
            </w:r>
            <w:r w:rsidRPr="000C1465">
              <w:rPr>
                <w:spacing w:val="-4"/>
                <w:sz w:val="20"/>
                <w:szCs w:val="20"/>
              </w:rPr>
              <w:t xml:space="preserve">Использование метода деревьев решений в принятии </w:t>
            </w:r>
            <w:r w:rsidR="002E4D92">
              <w:rPr>
                <w:spacing w:val="-4"/>
                <w:sz w:val="20"/>
                <w:szCs w:val="20"/>
              </w:rPr>
              <w:br/>
            </w:r>
            <w:r w:rsidRPr="000C1465">
              <w:rPr>
                <w:spacing w:val="-4"/>
                <w:sz w:val="20"/>
                <w:szCs w:val="20"/>
              </w:rPr>
              <w:t>решений о прикреплении граждан к медицинским учреждениям по обязательному медицинскому страхованию онлайн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554</w:t>
            </w:r>
          </w:p>
        </w:tc>
      </w:tr>
      <w:tr w:rsidR="000C1465" w:rsidRPr="000C1465" w:rsidTr="00EB5229">
        <w:tc>
          <w:tcPr>
            <w:tcW w:w="6096" w:type="dxa"/>
          </w:tcPr>
          <w:p w:rsidR="000C1465" w:rsidRPr="000C1465" w:rsidRDefault="000C1465" w:rsidP="000C1465">
            <w:pPr>
              <w:jc w:val="both"/>
              <w:rPr>
                <w:spacing w:val="-6"/>
                <w:sz w:val="20"/>
                <w:szCs w:val="20"/>
              </w:rPr>
            </w:pPr>
            <w:r w:rsidRPr="000C1465">
              <w:rPr>
                <w:b/>
                <w:spacing w:val="-6"/>
                <w:sz w:val="20"/>
                <w:szCs w:val="20"/>
              </w:rPr>
              <w:t>Каденцева А. А.,</w:t>
            </w:r>
            <w:r w:rsidRPr="000C1465">
              <w:rPr>
                <w:sz w:val="20"/>
                <w:szCs w:val="20"/>
              </w:rPr>
              <w:t xml:space="preserve"> </w:t>
            </w:r>
            <w:r w:rsidRPr="000C1465">
              <w:rPr>
                <w:b/>
                <w:spacing w:val="-6"/>
                <w:sz w:val="20"/>
                <w:szCs w:val="20"/>
              </w:rPr>
              <w:t xml:space="preserve">Филоненко М. В. </w:t>
            </w:r>
            <w:r w:rsidRPr="000C1465">
              <w:rPr>
                <w:spacing w:val="-6"/>
                <w:sz w:val="20"/>
                <w:szCs w:val="20"/>
              </w:rPr>
              <w:t xml:space="preserve">Перспективы использования </w:t>
            </w:r>
            <w:r w:rsidR="002E4D92">
              <w:rPr>
                <w:spacing w:val="-6"/>
                <w:sz w:val="20"/>
                <w:szCs w:val="20"/>
              </w:rPr>
              <w:br/>
            </w:r>
            <w:r w:rsidRPr="000C1465">
              <w:rPr>
                <w:spacing w:val="-6"/>
                <w:sz w:val="20"/>
                <w:szCs w:val="20"/>
              </w:rPr>
              <w:t>решений и функций программного пакета «КОРАЛЛ»…………………...</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557</w:t>
            </w:r>
          </w:p>
        </w:tc>
      </w:tr>
      <w:tr w:rsidR="000C1465" w:rsidRPr="000C1465" w:rsidTr="00EB5229">
        <w:tc>
          <w:tcPr>
            <w:tcW w:w="6096" w:type="dxa"/>
          </w:tcPr>
          <w:p w:rsidR="000C1465" w:rsidRPr="000C1465" w:rsidRDefault="000C1465" w:rsidP="000C1465">
            <w:pPr>
              <w:jc w:val="both"/>
              <w:rPr>
                <w:b/>
                <w:sz w:val="20"/>
                <w:szCs w:val="20"/>
              </w:rPr>
            </w:pPr>
            <w:r w:rsidRPr="000C1465">
              <w:rPr>
                <w:b/>
                <w:sz w:val="20"/>
                <w:szCs w:val="20"/>
              </w:rPr>
              <w:t xml:space="preserve">Коляда В. В. </w:t>
            </w:r>
            <w:r w:rsidRPr="000C1465">
              <w:rPr>
                <w:sz w:val="20"/>
                <w:szCs w:val="20"/>
              </w:rPr>
              <w:t>Управление знаниями: методы TOPSIS и энтропии ….</w:t>
            </w:r>
          </w:p>
        </w:tc>
        <w:tc>
          <w:tcPr>
            <w:tcW w:w="708" w:type="dxa"/>
          </w:tcPr>
          <w:p w:rsidR="000C1465" w:rsidRPr="000C1465" w:rsidRDefault="006671E3" w:rsidP="000C1465">
            <w:pPr>
              <w:rPr>
                <w:rFonts w:eastAsia="Calibri"/>
                <w:i/>
                <w:sz w:val="20"/>
                <w:szCs w:val="20"/>
              </w:rPr>
            </w:pPr>
            <w:r>
              <w:rPr>
                <w:rFonts w:eastAsia="Calibri"/>
                <w:i/>
                <w:sz w:val="20"/>
                <w:szCs w:val="20"/>
              </w:rPr>
              <w:t>560</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Кравченко К. А., Щутский А. С. </w:t>
            </w:r>
            <w:r w:rsidRPr="000C1465">
              <w:rPr>
                <w:rFonts w:eastAsia="Calibri"/>
                <w:spacing w:val="-4"/>
                <w:sz w:val="20"/>
                <w:szCs w:val="20"/>
              </w:rPr>
              <w:t xml:space="preserve">Теоретическое обеспечение </w:t>
            </w:r>
            <w:r w:rsidR="002E4D92">
              <w:rPr>
                <w:rFonts w:eastAsia="Calibri"/>
                <w:spacing w:val="-4"/>
                <w:sz w:val="20"/>
                <w:szCs w:val="20"/>
              </w:rPr>
              <w:br/>
            </w:r>
            <w:r w:rsidRPr="000C1465">
              <w:rPr>
                <w:rFonts w:eastAsia="Calibri"/>
                <w:spacing w:val="-4"/>
                <w:sz w:val="20"/>
                <w:szCs w:val="20"/>
              </w:rPr>
              <w:t>функционирования сервиса информационного обслуживания граждан в случае ГО и ЧС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562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Лабинцева В. Р.,</w:t>
            </w:r>
            <w:r w:rsidRPr="000C1465">
              <w:rPr>
                <w:sz w:val="20"/>
                <w:szCs w:val="20"/>
              </w:rPr>
              <w:t xml:space="preserve"> </w:t>
            </w:r>
            <w:r w:rsidRPr="000C1465">
              <w:rPr>
                <w:rFonts w:eastAsia="Calibri"/>
                <w:b/>
                <w:sz w:val="20"/>
                <w:szCs w:val="20"/>
              </w:rPr>
              <w:t xml:space="preserve">Овчаров А. П. </w:t>
            </w:r>
            <w:r w:rsidRPr="000C1465">
              <w:rPr>
                <w:rFonts w:eastAsia="Calibri"/>
                <w:sz w:val="20"/>
                <w:szCs w:val="20"/>
              </w:rPr>
              <w:t xml:space="preserve">Самоорганизующиеся карты </w:t>
            </w:r>
            <w:r w:rsidR="002E4D92">
              <w:rPr>
                <w:rFonts w:eastAsia="Calibri"/>
                <w:sz w:val="20"/>
                <w:szCs w:val="20"/>
              </w:rPr>
              <w:br/>
            </w:r>
            <w:r w:rsidRPr="000C1465">
              <w:rPr>
                <w:rFonts w:eastAsia="Calibri"/>
                <w:sz w:val="20"/>
                <w:szCs w:val="20"/>
              </w:rPr>
              <w:t>Кохонена и их применение в задачах кластеризации данных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565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Левченко Б. И., Молько О. Д.</w:t>
            </w:r>
            <w:r w:rsidRPr="000C1465">
              <w:rPr>
                <w:rFonts w:eastAsia="Calibri"/>
                <w:sz w:val="20"/>
                <w:szCs w:val="20"/>
              </w:rPr>
              <w:t xml:space="preserve"> Предпосылки </w:t>
            </w:r>
            <w:proofErr w:type="gramStart"/>
            <w:r w:rsidRPr="000C1465">
              <w:rPr>
                <w:rFonts w:eastAsia="Calibri"/>
                <w:sz w:val="20"/>
                <w:szCs w:val="20"/>
              </w:rPr>
              <w:t xml:space="preserve">разработки </w:t>
            </w:r>
            <w:r w:rsidR="002E4D92">
              <w:rPr>
                <w:rFonts w:eastAsia="Calibri"/>
                <w:sz w:val="20"/>
                <w:szCs w:val="20"/>
              </w:rPr>
              <w:br/>
            </w:r>
            <w:r w:rsidRPr="000C1465">
              <w:rPr>
                <w:rFonts w:eastAsia="Calibri"/>
                <w:sz w:val="20"/>
                <w:szCs w:val="20"/>
              </w:rPr>
              <w:t xml:space="preserve">программного комплекса поддержки транспортных отделов </w:t>
            </w:r>
            <w:r w:rsidR="002E4D92">
              <w:rPr>
                <w:rFonts w:eastAsia="Calibri"/>
                <w:sz w:val="20"/>
                <w:szCs w:val="20"/>
              </w:rPr>
              <w:br/>
            </w:r>
            <w:r w:rsidRPr="000C1465">
              <w:rPr>
                <w:rFonts w:eastAsia="Calibri"/>
                <w:sz w:val="20"/>
                <w:szCs w:val="20"/>
              </w:rPr>
              <w:t>предприятий малого бизнеса</w:t>
            </w:r>
            <w:proofErr w:type="gramEnd"/>
            <w:r w:rsidRPr="000C1465">
              <w:rPr>
                <w:rFonts w:eastAsia="Calibri"/>
                <w:sz w:val="20"/>
                <w:szCs w:val="20"/>
              </w:rPr>
              <w:t xml:space="preserve">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568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Мороз С. И. </w:t>
            </w:r>
            <w:r w:rsidRPr="000C1465">
              <w:rPr>
                <w:rFonts w:eastAsia="Calibri"/>
                <w:sz w:val="20"/>
                <w:szCs w:val="20"/>
              </w:rPr>
              <w:t xml:space="preserve">Проблемы переноса аппаратно-программных </w:t>
            </w:r>
            <w:r w:rsidR="002E4D92">
              <w:rPr>
                <w:rFonts w:eastAsia="Calibri"/>
                <w:sz w:val="20"/>
                <w:szCs w:val="20"/>
              </w:rPr>
              <w:br/>
            </w:r>
            <w:r w:rsidRPr="000C1465">
              <w:rPr>
                <w:rFonts w:eastAsia="Calibri"/>
                <w:sz w:val="20"/>
                <w:szCs w:val="20"/>
              </w:rPr>
              <w:t>комплексов в облачные инфраструктуры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571</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 xml:space="preserve">Недогонова Т. А. </w:t>
            </w:r>
            <w:r w:rsidRPr="000C1465">
              <w:rPr>
                <w:rFonts w:eastAsia="Calibri"/>
                <w:sz w:val="20"/>
                <w:szCs w:val="20"/>
              </w:rPr>
              <w:t>Применение и разработка смарт-контрактов ……</w:t>
            </w:r>
          </w:p>
          <w:p w:rsidR="006671E3" w:rsidRPr="000C1465" w:rsidRDefault="006671E3" w:rsidP="000C1465">
            <w:pPr>
              <w:jc w:val="both"/>
              <w:rPr>
                <w:rFonts w:eastAsia="Calibri"/>
                <w:b/>
                <w:sz w:val="20"/>
                <w:szCs w:val="20"/>
              </w:rPr>
            </w:pPr>
          </w:p>
        </w:tc>
        <w:tc>
          <w:tcPr>
            <w:tcW w:w="708" w:type="dxa"/>
          </w:tcPr>
          <w:p w:rsidR="000C1465" w:rsidRPr="000C1465" w:rsidRDefault="006671E3" w:rsidP="000C1465">
            <w:pPr>
              <w:rPr>
                <w:rFonts w:eastAsia="Calibri"/>
                <w:i/>
                <w:sz w:val="20"/>
                <w:szCs w:val="20"/>
              </w:rPr>
            </w:pPr>
            <w:r>
              <w:rPr>
                <w:rFonts w:eastAsia="Calibri"/>
                <w:i/>
                <w:sz w:val="20"/>
                <w:szCs w:val="20"/>
              </w:rPr>
              <w:t>573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Олешко Р. Б.</w:t>
            </w:r>
            <w:r w:rsidRPr="000C1465">
              <w:rPr>
                <w:rFonts w:eastAsia="Calibri"/>
                <w:sz w:val="20"/>
                <w:szCs w:val="20"/>
              </w:rPr>
              <w:t xml:space="preserve"> Разработка IoT системы для слежения за состоянием сельскохозяйственных полей на основе одноплатного компьютера RaspberryPi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575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Омельченко Д. А.</w:t>
            </w:r>
            <w:r w:rsidRPr="000C1465">
              <w:rPr>
                <w:rFonts w:eastAsia="Calibri"/>
                <w:sz w:val="20"/>
                <w:szCs w:val="20"/>
              </w:rPr>
              <w:t xml:space="preserve"> Внедрение новых IT- технологий  как фактор развития личных подсобных хозяйств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579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Острицова В. А.</w:t>
            </w:r>
            <w:r w:rsidRPr="000C1465">
              <w:rPr>
                <w:rFonts w:eastAsia="Calibri"/>
                <w:sz w:val="20"/>
                <w:szCs w:val="20"/>
              </w:rPr>
              <w:t xml:space="preserve"> Системы контроля версий и актуальность </w:t>
            </w:r>
            <w:r w:rsidR="002E4D92">
              <w:rPr>
                <w:rFonts w:eastAsia="Calibri"/>
                <w:sz w:val="20"/>
                <w:szCs w:val="20"/>
              </w:rPr>
              <w:br/>
            </w:r>
            <w:r w:rsidRPr="000C1465">
              <w:rPr>
                <w:rFonts w:eastAsia="Calibri"/>
                <w:sz w:val="20"/>
                <w:szCs w:val="20"/>
              </w:rPr>
              <w:t>перехода с SVN на GIT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582</w:t>
            </w:r>
          </w:p>
        </w:tc>
      </w:tr>
      <w:tr w:rsidR="000C1465" w:rsidRPr="000C1465" w:rsidTr="00EB5229">
        <w:tc>
          <w:tcPr>
            <w:tcW w:w="6096" w:type="dxa"/>
          </w:tcPr>
          <w:p w:rsidR="00510884" w:rsidRPr="006671E3" w:rsidRDefault="000C1465" w:rsidP="000C1465">
            <w:pPr>
              <w:jc w:val="both"/>
              <w:rPr>
                <w:rFonts w:eastAsia="Calibri"/>
                <w:sz w:val="20"/>
                <w:szCs w:val="20"/>
              </w:rPr>
            </w:pPr>
            <w:r w:rsidRPr="000C1465">
              <w:rPr>
                <w:rFonts w:eastAsia="Calibri"/>
                <w:b/>
                <w:sz w:val="20"/>
                <w:szCs w:val="20"/>
              </w:rPr>
              <w:t>Роганян Р. В.,</w:t>
            </w:r>
            <w:r w:rsidRPr="000C1465">
              <w:rPr>
                <w:sz w:val="20"/>
                <w:szCs w:val="20"/>
              </w:rPr>
              <w:t xml:space="preserve"> </w:t>
            </w:r>
            <w:r w:rsidRPr="000C1465">
              <w:rPr>
                <w:rFonts w:eastAsia="Calibri"/>
                <w:b/>
                <w:sz w:val="20"/>
                <w:szCs w:val="20"/>
              </w:rPr>
              <w:t>Уминская Н. Е.</w:t>
            </w:r>
            <w:r w:rsidRPr="000C1465">
              <w:rPr>
                <w:sz w:val="20"/>
                <w:szCs w:val="20"/>
              </w:rPr>
              <w:t xml:space="preserve"> </w:t>
            </w:r>
            <w:r w:rsidRPr="000C1465">
              <w:rPr>
                <w:rFonts w:eastAsia="Calibri"/>
                <w:sz w:val="20"/>
                <w:szCs w:val="20"/>
              </w:rPr>
              <w:t xml:space="preserve">Компьютерная графика </w:t>
            </w:r>
            <w:r w:rsidR="002E4D92">
              <w:rPr>
                <w:rFonts w:eastAsia="Calibri"/>
                <w:sz w:val="20"/>
                <w:szCs w:val="20"/>
              </w:rPr>
              <w:br/>
            </w:r>
            <w:r w:rsidRPr="000C1465">
              <w:rPr>
                <w:rFonts w:eastAsia="Calibri"/>
                <w:sz w:val="20"/>
                <w:szCs w:val="20"/>
              </w:rPr>
              <w:t>в современном мире…………………………………………………</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585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Сербин Д. В.</w:t>
            </w:r>
            <w:r w:rsidRPr="000C1465">
              <w:rPr>
                <w:rFonts w:eastAsia="Calibri"/>
                <w:sz w:val="20"/>
                <w:szCs w:val="20"/>
              </w:rPr>
              <w:t xml:space="preserve"> Этапы миграции IT-инфраструктуры в облачные </w:t>
            </w:r>
            <w:r w:rsidR="002E4D92">
              <w:rPr>
                <w:rFonts w:eastAsia="Calibri"/>
                <w:sz w:val="20"/>
                <w:szCs w:val="20"/>
              </w:rPr>
              <w:br/>
            </w:r>
            <w:r w:rsidRPr="000C1465">
              <w:rPr>
                <w:rFonts w:eastAsia="Calibri"/>
                <w:sz w:val="20"/>
                <w:szCs w:val="20"/>
              </w:rPr>
              <w:t>сервисы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589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Солошенко А. А.</w:t>
            </w:r>
            <w:r w:rsidRPr="000C1465">
              <w:rPr>
                <w:rFonts w:eastAsia="Calibri"/>
                <w:sz w:val="20"/>
                <w:szCs w:val="20"/>
              </w:rPr>
              <w:t xml:space="preserve"> Производственная и инфраструктурная база </w:t>
            </w:r>
            <w:r w:rsidR="002E4D92">
              <w:rPr>
                <w:rFonts w:eastAsia="Calibri"/>
                <w:sz w:val="20"/>
                <w:szCs w:val="20"/>
              </w:rPr>
              <w:br/>
            </w:r>
            <w:r w:rsidRPr="000C1465">
              <w:rPr>
                <w:rFonts w:eastAsia="Calibri"/>
                <w:sz w:val="20"/>
                <w:szCs w:val="20"/>
              </w:rPr>
              <w:t>развития ВПК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591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Степовик А. Н. </w:t>
            </w:r>
            <w:r w:rsidRPr="000C1465">
              <w:rPr>
                <w:rFonts w:eastAsia="Calibri"/>
                <w:sz w:val="20"/>
                <w:szCs w:val="20"/>
              </w:rPr>
              <w:t xml:space="preserve">Анализ преимуществ и недостатков </w:t>
            </w:r>
            <w:r w:rsidR="002E4D92">
              <w:rPr>
                <w:rFonts w:eastAsia="Calibri"/>
                <w:sz w:val="20"/>
                <w:szCs w:val="20"/>
              </w:rPr>
              <w:br/>
            </w:r>
            <w:r w:rsidRPr="000C1465">
              <w:rPr>
                <w:rFonts w:eastAsia="Calibri"/>
                <w:sz w:val="20"/>
                <w:szCs w:val="20"/>
              </w:rPr>
              <w:t>нереляционных СУБД на примере MongoDB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595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Толстов А. Р., Ефанова Н. В. </w:t>
            </w:r>
            <w:r w:rsidRPr="000C1465">
              <w:rPr>
                <w:rFonts w:eastAsia="Calibri"/>
                <w:sz w:val="20"/>
                <w:szCs w:val="20"/>
              </w:rPr>
              <w:t xml:space="preserve">Проектирование мобильного </w:t>
            </w:r>
            <w:r w:rsidR="002E4D92">
              <w:rPr>
                <w:rFonts w:eastAsia="Calibri"/>
                <w:sz w:val="20"/>
                <w:szCs w:val="20"/>
              </w:rPr>
              <w:br/>
            </w:r>
            <w:r w:rsidRPr="000C1465">
              <w:rPr>
                <w:rFonts w:eastAsia="Calibri"/>
                <w:sz w:val="20"/>
                <w:szCs w:val="20"/>
              </w:rPr>
              <w:t xml:space="preserve">приложения «Интерактивная оффлайн карта Кубанского </w:t>
            </w:r>
            <w:r w:rsidR="002E4D92">
              <w:rPr>
                <w:rFonts w:eastAsia="Calibri"/>
                <w:sz w:val="20"/>
                <w:szCs w:val="20"/>
              </w:rPr>
              <w:br/>
            </w:r>
            <w:r w:rsidRPr="000C1465">
              <w:rPr>
                <w:rFonts w:eastAsia="Calibri"/>
                <w:sz w:val="20"/>
                <w:szCs w:val="20"/>
              </w:rPr>
              <w:t>государственного аграрного университета «KubSAUMap»………….</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597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Торохова М. С., Гайдук Н. В.</w:t>
            </w:r>
            <w:r w:rsidRPr="000C1465">
              <w:rPr>
                <w:rFonts w:eastAsia="Calibri"/>
                <w:sz w:val="20"/>
                <w:szCs w:val="20"/>
              </w:rPr>
              <w:t xml:space="preserve"> Виртуальная информационно-образовательная среда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600</w:t>
            </w:r>
          </w:p>
        </w:tc>
      </w:tr>
      <w:tr w:rsidR="000C1465" w:rsidRPr="000C1465" w:rsidTr="00EB5229">
        <w:tc>
          <w:tcPr>
            <w:tcW w:w="6096" w:type="dxa"/>
          </w:tcPr>
          <w:p w:rsidR="000C1465" w:rsidRPr="000C1465" w:rsidRDefault="000C1465" w:rsidP="000C1465">
            <w:pPr>
              <w:jc w:val="both"/>
              <w:rPr>
                <w:rFonts w:eastAsia="Calibri"/>
                <w:spacing w:val="-8"/>
                <w:sz w:val="20"/>
                <w:szCs w:val="20"/>
              </w:rPr>
            </w:pPr>
            <w:r w:rsidRPr="000C1465">
              <w:rPr>
                <w:rFonts w:eastAsia="Calibri"/>
                <w:b/>
                <w:spacing w:val="-8"/>
                <w:sz w:val="20"/>
                <w:szCs w:val="20"/>
              </w:rPr>
              <w:t xml:space="preserve">Филипенко С. С., Лукьяненко Т. В. </w:t>
            </w:r>
            <w:r w:rsidRPr="000C1465">
              <w:rPr>
                <w:rFonts w:eastAsia="Calibri"/>
                <w:spacing w:val="-8"/>
                <w:sz w:val="20"/>
                <w:szCs w:val="20"/>
              </w:rPr>
              <w:t xml:space="preserve">Выбор эффективного способа </w:t>
            </w:r>
            <w:r w:rsidR="002E4D92">
              <w:rPr>
                <w:rFonts w:eastAsia="Calibri"/>
                <w:spacing w:val="-8"/>
                <w:sz w:val="20"/>
                <w:szCs w:val="20"/>
              </w:rPr>
              <w:br/>
            </w:r>
            <w:r w:rsidRPr="000C1465">
              <w:rPr>
                <w:rFonts w:eastAsia="Calibri"/>
                <w:spacing w:val="-8"/>
                <w:sz w:val="20"/>
                <w:szCs w:val="20"/>
              </w:rPr>
              <w:t>внедрения web-сайта в информационное мобильное пространство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604</w:t>
            </w:r>
          </w:p>
        </w:tc>
      </w:tr>
      <w:tr w:rsidR="000C1465" w:rsidRPr="000C1465" w:rsidTr="00EB5229">
        <w:tc>
          <w:tcPr>
            <w:tcW w:w="6096" w:type="dxa"/>
          </w:tcPr>
          <w:p w:rsidR="000C1465" w:rsidRPr="000C1465" w:rsidRDefault="000C1465" w:rsidP="000C1465">
            <w:pPr>
              <w:jc w:val="both"/>
              <w:rPr>
                <w:rFonts w:eastAsia="Calibri"/>
                <w:i/>
                <w:sz w:val="20"/>
                <w:szCs w:val="20"/>
              </w:rPr>
            </w:pPr>
            <w:r w:rsidRPr="000C1465">
              <w:rPr>
                <w:rFonts w:eastAsia="Calibri"/>
                <w:b/>
                <w:sz w:val="20"/>
                <w:szCs w:val="20"/>
              </w:rPr>
              <w:t xml:space="preserve">Чич А. А., Федорова Ю. А. </w:t>
            </w:r>
            <w:r w:rsidRPr="000C1465">
              <w:rPr>
                <w:rFonts w:eastAsia="Calibri"/>
                <w:sz w:val="20"/>
                <w:szCs w:val="20"/>
              </w:rPr>
              <w:t>Использование ботов в бизнесе ……….</w:t>
            </w:r>
          </w:p>
        </w:tc>
        <w:tc>
          <w:tcPr>
            <w:tcW w:w="708" w:type="dxa"/>
          </w:tcPr>
          <w:p w:rsidR="000C1465" w:rsidRPr="000C1465" w:rsidRDefault="006671E3" w:rsidP="000C1465">
            <w:pPr>
              <w:rPr>
                <w:rFonts w:eastAsia="Calibri"/>
                <w:i/>
                <w:sz w:val="20"/>
                <w:szCs w:val="20"/>
              </w:rPr>
            </w:pPr>
            <w:r>
              <w:rPr>
                <w:rFonts w:eastAsia="Calibri"/>
                <w:i/>
                <w:sz w:val="20"/>
                <w:szCs w:val="20"/>
              </w:rPr>
              <w:t>607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Шевченко А. В.</w:t>
            </w:r>
            <w:r w:rsidRPr="000C1465">
              <w:rPr>
                <w:rFonts w:eastAsia="Calibri"/>
                <w:sz w:val="20"/>
                <w:szCs w:val="20"/>
              </w:rPr>
              <w:t xml:space="preserve"> </w:t>
            </w:r>
            <w:r w:rsidRPr="000C1465">
              <w:rPr>
                <w:rFonts w:eastAsia="Calibri"/>
                <w:sz w:val="20"/>
                <w:szCs w:val="20"/>
                <w:lang w:val="en-US"/>
              </w:rPr>
              <w:t>Cisco</w:t>
            </w:r>
            <w:r w:rsidRPr="000C1465">
              <w:rPr>
                <w:rFonts w:eastAsia="Calibri"/>
                <w:sz w:val="20"/>
                <w:szCs w:val="20"/>
              </w:rPr>
              <w:t xml:space="preserve"> </w:t>
            </w:r>
            <w:r w:rsidRPr="000C1465">
              <w:rPr>
                <w:rFonts w:eastAsia="Calibri"/>
                <w:sz w:val="20"/>
                <w:szCs w:val="20"/>
                <w:lang w:val="en-US"/>
              </w:rPr>
              <w:t>Digital</w:t>
            </w:r>
            <w:r w:rsidRPr="000C1465">
              <w:rPr>
                <w:rFonts w:eastAsia="Calibri"/>
                <w:sz w:val="20"/>
                <w:szCs w:val="20"/>
              </w:rPr>
              <w:t xml:space="preserve"> </w:t>
            </w:r>
            <w:r w:rsidRPr="000C1465">
              <w:rPr>
                <w:rFonts w:eastAsia="Calibri"/>
                <w:sz w:val="20"/>
                <w:szCs w:val="20"/>
                <w:lang w:val="en-US"/>
              </w:rPr>
              <w:t>Network</w:t>
            </w:r>
            <w:r w:rsidRPr="000C1465">
              <w:rPr>
                <w:rFonts w:eastAsia="Calibri"/>
                <w:sz w:val="20"/>
                <w:szCs w:val="20"/>
              </w:rPr>
              <w:t xml:space="preserve"> </w:t>
            </w:r>
            <w:r w:rsidRPr="000C1465">
              <w:rPr>
                <w:rFonts w:eastAsia="Calibri"/>
                <w:sz w:val="20"/>
                <w:szCs w:val="20"/>
                <w:lang w:val="en-US"/>
              </w:rPr>
              <w:t>Architecture</w:t>
            </w:r>
            <w:r w:rsidRPr="000C1465">
              <w:rPr>
                <w:rFonts w:eastAsia="Calibri"/>
                <w:sz w:val="20"/>
                <w:szCs w:val="20"/>
              </w:rPr>
              <w:t xml:space="preserve"> как новая </w:t>
            </w:r>
            <w:r w:rsidR="002E4D92">
              <w:rPr>
                <w:rFonts w:eastAsia="Calibri"/>
                <w:sz w:val="20"/>
                <w:szCs w:val="20"/>
              </w:rPr>
              <w:br/>
            </w:r>
            <w:r w:rsidRPr="000C1465">
              <w:rPr>
                <w:rFonts w:eastAsia="Calibri"/>
                <w:sz w:val="20"/>
                <w:szCs w:val="20"/>
              </w:rPr>
              <w:t>ступень развития сетей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610</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управления</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Богач Е. Л.,</w:t>
            </w:r>
            <w:r w:rsidRPr="000C1465">
              <w:rPr>
                <w:sz w:val="20"/>
                <w:szCs w:val="20"/>
              </w:rPr>
              <w:t xml:space="preserve"> </w:t>
            </w:r>
            <w:r w:rsidRPr="000C1465">
              <w:rPr>
                <w:rFonts w:eastAsia="Calibri"/>
                <w:b/>
                <w:sz w:val="20"/>
                <w:szCs w:val="20"/>
              </w:rPr>
              <w:t>Шевченко О. П.</w:t>
            </w:r>
            <w:r w:rsidRPr="000C1465">
              <w:rPr>
                <w:rFonts w:eastAsia="Calibri"/>
                <w:sz w:val="20"/>
                <w:szCs w:val="20"/>
              </w:rPr>
              <w:t xml:space="preserve"> Проблемы и перспективы </w:t>
            </w:r>
            <w:r w:rsidR="002E4D92">
              <w:rPr>
                <w:rFonts w:eastAsia="Calibri"/>
                <w:sz w:val="20"/>
                <w:szCs w:val="20"/>
              </w:rPr>
              <w:br/>
            </w:r>
            <w:r w:rsidRPr="000C1465">
              <w:rPr>
                <w:rFonts w:eastAsia="Calibri"/>
                <w:sz w:val="20"/>
                <w:szCs w:val="20"/>
              </w:rPr>
              <w:t xml:space="preserve">совершенствования системы управления муниципальной </w:t>
            </w:r>
            <w:r w:rsidR="002E4D92">
              <w:rPr>
                <w:rFonts w:eastAsia="Calibri"/>
                <w:sz w:val="20"/>
                <w:szCs w:val="20"/>
              </w:rPr>
              <w:br/>
            </w:r>
            <w:r w:rsidRPr="000C1465">
              <w:rPr>
                <w:rFonts w:eastAsia="Calibri"/>
                <w:sz w:val="20"/>
                <w:szCs w:val="20"/>
              </w:rPr>
              <w:t>собственностью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614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Быковская И. А.,</w:t>
            </w:r>
            <w:r w:rsidRPr="000C1465">
              <w:rPr>
                <w:sz w:val="20"/>
                <w:szCs w:val="20"/>
              </w:rPr>
              <w:t xml:space="preserve"> </w:t>
            </w:r>
            <w:r w:rsidRPr="000C1465">
              <w:rPr>
                <w:rFonts w:eastAsia="Calibri"/>
                <w:b/>
                <w:sz w:val="20"/>
                <w:szCs w:val="20"/>
              </w:rPr>
              <w:t xml:space="preserve">Сафронов А. М. </w:t>
            </w:r>
            <w:r w:rsidRPr="000C1465">
              <w:rPr>
                <w:rFonts w:eastAsia="Calibri"/>
                <w:sz w:val="20"/>
                <w:szCs w:val="20"/>
              </w:rPr>
              <w:t xml:space="preserve">Проблема борьбы </w:t>
            </w:r>
            <w:r w:rsidR="002E4D92">
              <w:rPr>
                <w:rFonts w:eastAsia="Calibri"/>
                <w:sz w:val="20"/>
                <w:szCs w:val="20"/>
              </w:rPr>
              <w:br/>
            </w:r>
            <w:r w:rsidRPr="000C1465">
              <w:rPr>
                <w:rFonts w:eastAsia="Calibri"/>
                <w:sz w:val="20"/>
                <w:szCs w:val="20"/>
              </w:rPr>
              <w:t>с безработицей в России ……………………………………………</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616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Корнева К. Н., Салий О. Н. </w:t>
            </w:r>
            <w:r w:rsidRPr="000C1465">
              <w:rPr>
                <w:rFonts w:eastAsia="Calibri"/>
                <w:sz w:val="20"/>
                <w:szCs w:val="20"/>
              </w:rPr>
              <w:t xml:space="preserve">Кадровый резерв и механизмы его </w:t>
            </w:r>
            <w:r w:rsidR="002E4D92">
              <w:rPr>
                <w:rFonts w:eastAsia="Calibri"/>
                <w:sz w:val="20"/>
                <w:szCs w:val="20"/>
              </w:rPr>
              <w:br/>
            </w:r>
            <w:r w:rsidRPr="000C1465">
              <w:rPr>
                <w:rFonts w:eastAsia="Calibri"/>
                <w:sz w:val="20"/>
                <w:szCs w:val="20"/>
              </w:rPr>
              <w:t xml:space="preserve">использования в администрации Усть-Лабинского района </w:t>
            </w:r>
            <w:r w:rsidR="002E4D92">
              <w:rPr>
                <w:rFonts w:eastAsia="Calibri"/>
                <w:sz w:val="20"/>
                <w:szCs w:val="20"/>
              </w:rPr>
              <w:br/>
            </w:r>
            <w:r w:rsidRPr="000C1465">
              <w:rPr>
                <w:rFonts w:eastAsia="Calibri"/>
                <w:sz w:val="20"/>
                <w:szCs w:val="20"/>
              </w:rPr>
              <w:t>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620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Куршубадзе Р. З.,</w:t>
            </w:r>
            <w:r w:rsidRPr="000C1465">
              <w:rPr>
                <w:sz w:val="20"/>
                <w:szCs w:val="20"/>
              </w:rPr>
              <w:t xml:space="preserve"> </w:t>
            </w:r>
            <w:r w:rsidRPr="000C1465">
              <w:rPr>
                <w:rFonts w:eastAsia="Calibri"/>
                <w:b/>
                <w:sz w:val="20"/>
                <w:szCs w:val="20"/>
              </w:rPr>
              <w:t xml:space="preserve">Ломакина О. В. </w:t>
            </w:r>
            <w:r w:rsidRPr="000C1465">
              <w:rPr>
                <w:rFonts w:eastAsia="Calibri"/>
                <w:sz w:val="20"/>
                <w:szCs w:val="20"/>
              </w:rPr>
              <w:t xml:space="preserve">Становление ГЧП в России </w:t>
            </w:r>
            <w:r w:rsidR="002E4D92">
              <w:rPr>
                <w:rFonts w:eastAsia="Calibri"/>
                <w:sz w:val="20"/>
                <w:szCs w:val="20"/>
              </w:rPr>
              <w:br/>
            </w:r>
            <w:r w:rsidRPr="000C1465">
              <w:rPr>
                <w:rFonts w:eastAsia="Calibri"/>
                <w:sz w:val="20"/>
                <w:szCs w:val="20"/>
              </w:rPr>
              <w:t>и перспективы его развития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623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Минькова Н. А.,</w:t>
            </w:r>
            <w:r w:rsidRPr="000C1465">
              <w:rPr>
                <w:sz w:val="20"/>
                <w:szCs w:val="20"/>
              </w:rPr>
              <w:t xml:space="preserve"> </w:t>
            </w:r>
            <w:r w:rsidRPr="000C1465">
              <w:rPr>
                <w:b/>
                <w:sz w:val="20"/>
                <w:szCs w:val="20"/>
              </w:rPr>
              <w:t>Сафронов А. М.</w:t>
            </w:r>
            <w:r w:rsidRPr="000C1465">
              <w:rPr>
                <w:sz w:val="20"/>
                <w:szCs w:val="20"/>
              </w:rPr>
              <w:t xml:space="preserve"> </w:t>
            </w:r>
            <w:r w:rsidRPr="000C1465">
              <w:rPr>
                <w:rFonts w:eastAsia="Calibri"/>
                <w:sz w:val="20"/>
                <w:szCs w:val="20"/>
              </w:rPr>
              <w:t>Проблемы монетарной политики Правительства России и ЦБ РФ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626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Морозов О.,</w:t>
            </w:r>
            <w:r w:rsidRPr="000C1465">
              <w:rPr>
                <w:sz w:val="20"/>
                <w:szCs w:val="20"/>
              </w:rPr>
              <w:t xml:space="preserve"> </w:t>
            </w:r>
            <w:r w:rsidRPr="000C1465">
              <w:rPr>
                <w:rFonts w:eastAsia="Calibri"/>
                <w:b/>
                <w:sz w:val="20"/>
                <w:szCs w:val="20"/>
              </w:rPr>
              <w:t>Сычанина С. Н.</w:t>
            </w:r>
            <w:r w:rsidRPr="000C1465">
              <w:rPr>
                <w:sz w:val="20"/>
                <w:szCs w:val="20"/>
              </w:rPr>
              <w:t xml:space="preserve"> </w:t>
            </w:r>
            <w:r w:rsidRPr="000C1465">
              <w:rPr>
                <w:rFonts w:eastAsia="Calibri"/>
                <w:sz w:val="20"/>
                <w:szCs w:val="20"/>
              </w:rPr>
              <w:t>Проблемы развития отечественного образования и возможные пути их решения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629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Пальчиков Н. В.</w:t>
            </w:r>
            <w:r w:rsidRPr="000C1465">
              <w:rPr>
                <w:sz w:val="20"/>
                <w:szCs w:val="20"/>
              </w:rPr>
              <w:t xml:space="preserve"> </w:t>
            </w:r>
            <w:r w:rsidRPr="000C1465">
              <w:rPr>
                <w:rFonts w:eastAsia="Calibri"/>
                <w:sz w:val="20"/>
                <w:szCs w:val="20"/>
              </w:rPr>
              <w:t xml:space="preserve">Нормативно-правовые основы социальной </w:t>
            </w:r>
            <w:r w:rsidR="002E4D92">
              <w:rPr>
                <w:rFonts w:eastAsia="Calibri"/>
                <w:sz w:val="20"/>
                <w:szCs w:val="20"/>
              </w:rPr>
              <w:br/>
            </w:r>
            <w:r w:rsidRPr="000C1465">
              <w:rPr>
                <w:rFonts w:eastAsia="Calibri"/>
                <w:sz w:val="20"/>
                <w:szCs w:val="20"/>
              </w:rPr>
              <w:t>защиты населения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632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Челебий Р. А.,</w:t>
            </w:r>
            <w:r w:rsidRPr="000C1465">
              <w:rPr>
                <w:sz w:val="20"/>
                <w:szCs w:val="20"/>
              </w:rPr>
              <w:t xml:space="preserve"> </w:t>
            </w:r>
            <w:r w:rsidRPr="000C1465">
              <w:rPr>
                <w:rFonts w:eastAsia="Calibri"/>
                <w:b/>
                <w:sz w:val="20"/>
                <w:szCs w:val="20"/>
              </w:rPr>
              <w:t>Зайцева М. В.</w:t>
            </w:r>
            <w:r w:rsidRPr="000C1465">
              <w:rPr>
                <w:rFonts w:eastAsia="Calibri"/>
                <w:sz w:val="20"/>
                <w:szCs w:val="20"/>
              </w:rPr>
              <w:t xml:space="preserve"> Интеграционные направления </w:t>
            </w:r>
            <w:r w:rsidR="002E4D92">
              <w:rPr>
                <w:rFonts w:eastAsia="Calibri"/>
                <w:sz w:val="20"/>
                <w:szCs w:val="20"/>
              </w:rPr>
              <w:br/>
            </w:r>
            <w:r w:rsidRPr="000C1465">
              <w:rPr>
                <w:rFonts w:eastAsia="Calibri"/>
                <w:sz w:val="20"/>
                <w:szCs w:val="20"/>
              </w:rPr>
              <w:t>развития сельского хозяйства в условиях импортозамещения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634</w:t>
            </w:r>
          </w:p>
        </w:tc>
      </w:tr>
      <w:tr w:rsidR="000C1465" w:rsidRPr="000C1465" w:rsidTr="00EB5229">
        <w:tc>
          <w:tcPr>
            <w:tcW w:w="6096" w:type="dxa"/>
          </w:tcPr>
          <w:p w:rsidR="000C1465" w:rsidRPr="000C1465" w:rsidRDefault="000C1465" w:rsidP="000C1465">
            <w:pPr>
              <w:jc w:val="both"/>
              <w:rPr>
                <w:rFonts w:eastAsia="Calibri"/>
                <w:b/>
                <w:spacing w:val="-4"/>
                <w:sz w:val="20"/>
                <w:szCs w:val="20"/>
              </w:rPr>
            </w:pPr>
            <w:r w:rsidRPr="000C1465">
              <w:rPr>
                <w:rFonts w:eastAsia="Calibri"/>
                <w:b/>
                <w:spacing w:val="-4"/>
                <w:sz w:val="20"/>
                <w:szCs w:val="20"/>
              </w:rPr>
              <w:t>Чернега А. А.,</w:t>
            </w:r>
            <w:r w:rsidRPr="000C1465">
              <w:rPr>
                <w:sz w:val="20"/>
                <w:szCs w:val="20"/>
              </w:rPr>
              <w:t xml:space="preserve"> </w:t>
            </w:r>
            <w:r w:rsidRPr="000C1465">
              <w:rPr>
                <w:rFonts w:eastAsia="Calibri"/>
                <w:b/>
                <w:spacing w:val="-4"/>
                <w:sz w:val="20"/>
                <w:szCs w:val="20"/>
              </w:rPr>
              <w:t>Кох М. Н.</w:t>
            </w:r>
            <w:r w:rsidRPr="000C1465">
              <w:rPr>
                <w:rFonts w:eastAsia="Calibri"/>
                <w:spacing w:val="-4"/>
                <w:sz w:val="20"/>
                <w:szCs w:val="20"/>
              </w:rPr>
              <w:t xml:space="preserve"> Повышение квалификации в системе </w:t>
            </w:r>
            <w:r w:rsidR="002E4D92">
              <w:rPr>
                <w:rFonts w:eastAsia="Calibri"/>
                <w:spacing w:val="-4"/>
                <w:sz w:val="20"/>
                <w:szCs w:val="20"/>
              </w:rPr>
              <w:br/>
            </w:r>
            <w:r w:rsidRPr="000C1465">
              <w:rPr>
                <w:rFonts w:eastAsia="Calibri"/>
                <w:spacing w:val="-4"/>
                <w:sz w:val="20"/>
                <w:szCs w:val="20"/>
              </w:rPr>
              <w:t>дополнительного образования государственных служащих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6</w:t>
            </w:r>
            <w:r w:rsidR="006671E3">
              <w:rPr>
                <w:rFonts w:eastAsia="Calibri"/>
                <w:i/>
                <w:sz w:val="20"/>
                <w:szCs w:val="20"/>
              </w:rPr>
              <w:t>37</w:t>
            </w:r>
          </w:p>
        </w:tc>
      </w:tr>
      <w:tr w:rsidR="000C1465" w:rsidRPr="000C1465" w:rsidTr="00EB5229">
        <w:tc>
          <w:tcPr>
            <w:tcW w:w="6096" w:type="dxa"/>
          </w:tcPr>
          <w:p w:rsidR="000C1465" w:rsidRPr="000C1465" w:rsidRDefault="000C1465" w:rsidP="00510884">
            <w:pPr>
              <w:spacing w:before="120" w:after="120"/>
              <w:jc w:val="center"/>
              <w:rPr>
                <w:rFonts w:eastAsia="Calibri"/>
                <w:b/>
                <w:spacing w:val="-4"/>
                <w:sz w:val="24"/>
                <w:szCs w:val="24"/>
              </w:rPr>
            </w:pPr>
            <w:r w:rsidRPr="000C1465">
              <w:rPr>
                <w:rFonts w:eastAsia="Calibri"/>
                <w:b/>
                <w:spacing w:val="-4"/>
                <w:sz w:val="24"/>
                <w:szCs w:val="24"/>
              </w:rPr>
              <w:t>Учетно-финансовый факультет</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Бакуменко С. В, Коровина М. А. </w:t>
            </w:r>
            <w:r w:rsidRPr="000C1465">
              <w:rPr>
                <w:rFonts w:eastAsia="Calibri"/>
                <w:spacing w:val="-4"/>
                <w:sz w:val="20"/>
                <w:szCs w:val="20"/>
              </w:rPr>
              <w:t>Современные информационные системы в бухгалтерском учете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641</w:t>
            </w:r>
          </w:p>
        </w:tc>
      </w:tr>
      <w:tr w:rsidR="000C1465" w:rsidRPr="000C1465" w:rsidTr="00EB5229">
        <w:tc>
          <w:tcPr>
            <w:tcW w:w="6096" w:type="dxa"/>
          </w:tcPr>
          <w:p w:rsidR="002E4D92" w:rsidRPr="00510884" w:rsidRDefault="000C1465" w:rsidP="000C1465">
            <w:pPr>
              <w:jc w:val="both"/>
              <w:rPr>
                <w:rFonts w:eastAsia="Calibri"/>
                <w:sz w:val="20"/>
                <w:szCs w:val="20"/>
              </w:rPr>
            </w:pPr>
            <w:r w:rsidRPr="000C1465">
              <w:rPr>
                <w:rFonts w:eastAsia="Calibri"/>
                <w:b/>
                <w:sz w:val="20"/>
                <w:szCs w:val="20"/>
              </w:rPr>
              <w:t>Бурова В. А.,</w:t>
            </w:r>
            <w:r w:rsidRPr="000C1465">
              <w:rPr>
                <w:sz w:val="20"/>
                <w:szCs w:val="20"/>
              </w:rPr>
              <w:t xml:space="preserve"> </w:t>
            </w:r>
            <w:r w:rsidRPr="000C1465">
              <w:rPr>
                <w:rFonts w:eastAsia="Calibri"/>
                <w:b/>
                <w:sz w:val="20"/>
                <w:szCs w:val="20"/>
              </w:rPr>
              <w:t>Коровина М. А.</w:t>
            </w:r>
            <w:r w:rsidRPr="000C1465">
              <w:rPr>
                <w:rFonts w:eastAsia="Calibri"/>
                <w:sz w:val="20"/>
                <w:szCs w:val="20"/>
              </w:rPr>
              <w:t xml:space="preserve"> Аутсорсинг в современных </w:t>
            </w:r>
            <w:r w:rsidR="002E4D92">
              <w:rPr>
                <w:rFonts w:eastAsia="Calibri"/>
                <w:sz w:val="20"/>
                <w:szCs w:val="20"/>
              </w:rPr>
              <w:br/>
            </w:r>
            <w:r w:rsidRPr="000C1465">
              <w:rPr>
                <w:rFonts w:eastAsia="Calibri"/>
                <w:sz w:val="20"/>
                <w:szCs w:val="20"/>
              </w:rPr>
              <w:t>экономических условиях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644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Ващинкина В. Д., Швырева О. И. </w:t>
            </w:r>
            <w:r w:rsidRPr="000C1465">
              <w:rPr>
                <w:rFonts w:eastAsia="Calibri"/>
                <w:sz w:val="20"/>
                <w:szCs w:val="20"/>
              </w:rPr>
              <w:t>Корпоративное мошенничество: способы совершения и ключевые меры противодействия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647</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Голуб М. Р.,</w:t>
            </w:r>
            <w:r w:rsidRPr="000C1465">
              <w:rPr>
                <w:sz w:val="20"/>
                <w:szCs w:val="20"/>
              </w:rPr>
              <w:t xml:space="preserve"> </w:t>
            </w:r>
            <w:r w:rsidRPr="000C1465">
              <w:rPr>
                <w:rFonts w:eastAsia="Calibri"/>
                <w:b/>
                <w:spacing w:val="-4"/>
                <w:sz w:val="20"/>
                <w:szCs w:val="20"/>
              </w:rPr>
              <w:t xml:space="preserve">Коровина М. А. </w:t>
            </w:r>
            <w:r w:rsidRPr="000C1465">
              <w:rPr>
                <w:rFonts w:eastAsia="Calibri"/>
                <w:spacing w:val="-4"/>
                <w:sz w:val="20"/>
                <w:szCs w:val="20"/>
              </w:rPr>
              <w:t>Повышение квалификации бухгалтера…</w:t>
            </w:r>
          </w:p>
        </w:tc>
        <w:tc>
          <w:tcPr>
            <w:tcW w:w="708" w:type="dxa"/>
          </w:tcPr>
          <w:p w:rsidR="000C1465" w:rsidRPr="000C1465" w:rsidRDefault="006671E3" w:rsidP="000C1465">
            <w:pPr>
              <w:rPr>
                <w:rFonts w:eastAsia="Calibri"/>
                <w:i/>
                <w:sz w:val="20"/>
                <w:szCs w:val="20"/>
              </w:rPr>
            </w:pPr>
            <w:r>
              <w:rPr>
                <w:rFonts w:eastAsia="Calibri"/>
                <w:i/>
                <w:sz w:val="20"/>
                <w:szCs w:val="20"/>
              </w:rPr>
              <w:t>650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Грунский И. Н.,</w:t>
            </w:r>
            <w:r w:rsidRPr="000C1465">
              <w:rPr>
                <w:sz w:val="20"/>
                <w:szCs w:val="20"/>
              </w:rPr>
              <w:t xml:space="preserve"> </w:t>
            </w:r>
            <w:r w:rsidRPr="000C1465">
              <w:rPr>
                <w:rFonts w:eastAsia="Calibri"/>
                <w:b/>
                <w:sz w:val="20"/>
                <w:szCs w:val="20"/>
              </w:rPr>
              <w:t xml:space="preserve">Кузнецова Н. В. </w:t>
            </w:r>
            <w:r w:rsidRPr="000C1465">
              <w:rPr>
                <w:rFonts w:eastAsia="Calibri"/>
                <w:sz w:val="20"/>
                <w:szCs w:val="20"/>
              </w:rPr>
              <w:t xml:space="preserve">Особенности использования </w:t>
            </w:r>
            <w:r w:rsidR="002E4D92">
              <w:rPr>
                <w:rFonts w:eastAsia="Calibri"/>
                <w:sz w:val="20"/>
                <w:szCs w:val="20"/>
              </w:rPr>
              <w:br/>
            </w:r>
            <w:r w:rsidRPr="000C1465">
              <w:rPr>
                <w:rFonts w:eastAsia="Calibri"/>
                <w:sz w:val="20"/>
                <w:szCs w:val="20"/>
              </w:rPr>
              <w:t xml:space="preserve">системы «standard–cost» на предприятиях пищевой </w:t>
            </w:r>
            <w:r w:rsidR="002E4D92">
              <w:rPr>
                <w:rFonts w:eastAsia="Calibri"/>
                <w:sz w:val="20"/>
                <w:szCs w:val="20"/>
              </w:rPr>
              <w:br/>
            </w:r>
            <w:r w:rsidRPr="000C1465">
              <w:rPr>
                <w:rFonts w:eastAsia="Calibri"/>
                <w:sz w:val="20"/>
                <w:szCs w:val="20"/>
              </w:rPr>
              <w:t>промышленности………………………………………………………...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653</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Ким А. Э., Сюбаева А. И., Полинская М. В. </w:t>
            </w:r>
            <w:r w:rsidRPr="000C1465">
              <w:rPr>
                <w:rFonts w:eastAsia="Calibri"/>
                <w:spacing w:val="-4"/>
                <w:sz w:val="20"/>
                <w:szCs w:val="20"/>
              </w:rPr>
              <w:t>О введении системы «tax free» в России в 2018 году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656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Михалюк Е. С.,</w:t>
            </w:r>
            <w:r w:rsidRPr="000C1465">
              <w:rPr>
                <w:sz w:val="20"/>
                <w:szCs w:val="20"/>
              </w:rPr>
              <w:t xml:space="preserve"> </w:t>
            </w:r>
            <w:r w:rsidRPr="000C1465">
              <w:rPr>
                <w:rFonts w:eastAsia="Calibri"/>
                <w:b/>
                <w:sz w:val="20"/>
                <w:szCs w:val="20"/>
              </w:rPr>
              <w:t xml:space="preserve">Полинская М. В. </w:t>
            </w:r>
            <w:r w:rsidRPr="000C1465">
              <w:rPr>
                <w:rFonts w:eastAsia="Calibri"/>
                <w:sz w:val="20"/>
                <w:szCs w:val="20"/>
              </w:rPr>
              <w:t>Причины и способы уклонения от уплаты налогов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659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Озова Б. Х. </w:t>
            </w:r>
            <w:r w:rsidRPr="000C1465">
              <w:rPr>
                <w:rFonts w:eastAsia="Calibri"/>
                <w:sz w:val="20"/>
                <w:szCs w:val="20"/>
              </w:rPr>
              <w:t xml:space="preserve">Анализ коммерческо-сбытовой деятельности </w:t>
            </w:r>
            <w:r w:rsidR="002E4D92">
              <w:rPr>
                <w:rFonts w:eastAsia="Calibri"/>
                <w:sz w:val="20"/>
                <w:szCs w:val="20"/>
              </w:rPr>
              <w:br/>
            </w:r>
            <w:r w:rsidRPr="000C1465">
              <w:rPr>
                <w:rFonts w:eastAsia="Calibri"/>
                <w:sz w:val="20"/>
                <w:szCs w:val="20"/>
              </w:rPr>
              <w:t>организации в условиях конкуренции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662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Шугай Е. В., Коровина М. А. </w:t>
            </w:r>
            <w:r w:rsidRPr="000C1465">
              <w:rPr>
                <w:rFonts w:eastAsia="Calibri"/>
                <w:sz w:val="20"/>
                <w:szCs w:val="20"/>
              </w:rPr>
              <w:t xml:space="preserve">Специфика формирования </w:t>
            </w:r>
            <w:r w:rsidR="002E4D92">
              <w:rPr>
                <w:rFonts w:eastAsia="Calibri"/>
                <w:sz w:val="20"/>
                <w:szCs w:val="20"/>
              </w:rPr>
              <w:br/>
            </w:r>
            <w:r w:rsidRPr="000C1465">
              <w:rPr>
                <w:rFonts w:eastAsia="Calibri"/>
                <w:sz w:val="20"/>
                <w:szCs w:val="20"/>
              </w:rPr>
              <w:t>бухгалтерской службы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666</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Факультет финансы и кредит</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Алексеева О. Г. </w:t>
            </w:r>
            <w:r w:rsidRPr="000C1465">
              <w:rPr>
                <w:rFonts w:eastAsia="Calibri"/>
                <w:sz w:val="20"/>
                <w:szCs w:val="20"/>
              </w:rPr>
              <w:t xml:space="preserve">Оценка качества сбалансированности бюджета </w:t>
            </w:r>
            <w:r w:rsidR="002E4D92">
              <w:rPr>
                <w:rFonts w:eastAsia="Calibri"/>
                <w:sz w:val="20"/>
                <w:szCs w:val="20"/>
              </w:rPr>
              <w:br/>
            </w:r>
            <w:r w:rsidRPr="000C1465">
              <w:rPr>
                <w:rFonts w:eastAsia="Calibri"/>
                <w:sz w:val="20"/>
                <w:szCs w:val="20"/>
              </w:rPr>
              <w:t>МО «Славянский район»………………………………………………</w:t>
            </w:r>
            <w:r w:rsidR="002E4D92">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670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Бешкок Е. А.,</w:t>
            </w:r>
            <w:r w:rsidRPr="000C1465">
              <w:rPr>
                <w:sz w:val="20"/>
                <w:szCs w:val="20"/>
              </w:rPr>
              <w:t xml:space="preserve"> </w:t>
            </w:r>
            <w:r w:rsidRPr="000C1465">
              <w:rPr>
                <w:rFonts w:eastAsia="Calibri"/>
                <w:b/>
                <w:sz w:val="20"/>
                <w:szCs w:val="20"/>
              </w:rPr>
              <w:t>Васильченко Е. И.</w:t>
            </w:r>
            <w:r w:rsidRPr="000C1465">
              <w:rPr>
                <w:rFonts w:eastAsia="Calibri"/>
                <w:sz w:val="20"/>
                <w:szCs w:val="20"/>
              </w:rPr>
              <w:t xml:space="preserve"> Автострахование в России …….</w:t>
            </w:r>
          </w:p>
        </w:tc>
        <w:tc>
          <w:tcPr>
            <w:tcW w:w="708" w:type="dxa"/>
          </w:tcPr>
          <w:p w:rsidR="000C1465" w:rsidRPr="000C1465" w:rsidRDefault="006671E3" w:rsidP="000C1465">
            <w:pPr>
              <w:rPr>
                <w:rFonts w:eastAsia="Calibri"/>
                <w:i/>
                <w:sz w:val="20"/>
                <w:szCs w:val="20"/>
              </w:rPr>
            </w:pPr>
            <w:r>
              <w:rPr>
                <w:rFonts w:eastAsia="Calibri"/>
                <w:i/>
                <w:sz w:val="20"/>
                <w:szCs w:val="20"/>
              </w:rPr>
              <w:t>673</w:t>
            </w:r>
          </w:p>
        </w:tc>
      </w:tr>
      <w:tr w:rsidR="000C1465" w:rsidRPr="000C1465" w:rsidTr="00EB5229">
        <w:tc>
          <w:tcPr>
            <w:tcW w:w="6096" w:type="dxa"/>
          </w:tcPr>
          <w:p w:rsidR="000C1465" w:rsidRPr="000C1465" w:rsidRDefault="000C1465" w:rsidP="000C1465">
            <w:pPr>
              <w:jc w:val="both"/>
              <w:rPr>
                <w:b/>
                <w:spacing w:val="-6"/>
                <w:sz w:val="20"/>
                <w:szCs w:val="20"/>
              </w:rPr>
            </w:pPr>
            <w:r w:rsidRPr="000C1465">
              <w:rPr>
                <w:b/>
                <w:spacing w:val="-6"/>
                <w:sz w:val="20"/>
                <w:szCs w:val="20"/>
              </w:rPr>
              <w:t xml:space="preserve">Бобрышева Е. С., Васильченко Е. И. </w:t>
            </w:r>
            <w:r w:rsidRPr="000C1465">
              <w:rPr>
                <w:spacing w:val="-6"/>
                <w:sz w:val="20"/>
                <w:szCs w:val="20"/>
              </w:rPr>
              <w:t>Страхование в отрасли туризма…</w:t>
            </w:r>
          </w:p>
        </w:tc>
        <w:tc>
          <w:tcPr>
            <w:tcW w:w="708" w:type="dxa"/>
          </w:tcPr>
          <w:p w:rsidR="000C1465" w:rsidRPr="000C1465" w:rsidRDefault="006671E3" w:rsidP="000C1465">
            <w:pPr>
              <w:rPr>
                <w:rFonts w:eastAsia="Calibri"/>
                <w:i/>
                <w:sz w:val="20"/>
                <w:szCs w:val="20"/>
              </w:rPr>
            </w:pPr>
            <w:r>
              <w:rPr>
                <w:rFonts w:eastAsia="Calibri"/>
                <w:i/>
                <w:sz w:val="20"/>
                <w:szCs w:val="20"/>
              </w:rPr>
              <w:t>676</w:t>
            </w:r>
          </w:p>
        </w:tc>
      </w:tr>
      <w:tr w:rsidR="000C1465" w:rsidRPr="000C1465" w:rsidTr="00EB5229">
        <w:tc>
          <w:tcPr>
            <w:tcW w:w="6096" w:type="dxa"/>
          </w:tcPr>
          <w:p w:rsidR="000C1465" w:rsidRPr="000C1465" w:rsidRDefault="000C1465" w:rsidP="000C1465">
            <w:pPr>
              <w:jc w:val="both"/>
              <w:rPr>
                <w:b/>
                <w:spacing w:val="-4"/>
                <w:sz w:val="20"/>
                <w:szCs w:val="20"/>
              </w:rPr>
            </w:pPr>
            <w:r w:rsidRPr="000C1465">
              <w:rPr>
                <w:b/>
                <w:spacing w:val="-4"/>
                <w:sz w:val="20"/>
                <w:szCs w:val="20"/>
              </w:rPr>
              <w:t>Бондаренко К. В.,</w:t>
            </w:r>
            <w:r w:rsidRPr="000C1465">
              <w:rPr>
                <w:sz w:val="20"/>
                <w:szCs w:val="20"/>
              </w:rPr>
              <w:t xml:space="preserve"> </w:t>
            </w:r>
            <w:r w:rsidRPr="000C1465">
              <w:rPr>
                <w:b/>
                <w:spacing w:val="-4"/>
                <w:sz w:val="20"/>
                <w:szCs w:val="20"/>
              </w:rPr>
              <w:t xml:space="preserve">Васильченко Е. И. </w:t>
            </w:r>
            <w:r w:rsidRPr="000C1465">
              <w:rPr>
                <w:spacing w:val="-4"/>
                <w:sz w:val="20"/>
                <w:szCs w:val="20"/>
              </w:rPr>
              <w:t>Анализ страхового рынка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679</w:t>
            </w:r>
          </w:p>
        </w:tc>
      </w:tr>
      <w:tr w:rsidR="000C1465" w:rsidRPr="000C1465" w:rsidTr="00EB5229">
        <w:tc>
          <w:tcPr>
            <w:tcW w:w="6096" w:type="dxa"/>
          </w:tcPr>
          <w:p w:rsidR="000C1465" w:rsidRPr="000C1465" w:rsidRDefault="000C1465" w:rsidP="000C1465">
            <w:pPr>
              <w:jc w:val="both"/>
              <w:rPr>
                <w:spacing w:val="-4"/>
                <w:sz w:val="20"/>
                <w:szCs w:val="20"/>
              </w:rPr>
            </w:pPr>
            <w:r w:rsidRPr="000C1465">
              <w:rPr>
                <w:b/>
                <w:spacing w:val="-4"/>
                <w:sz w:val="20"/>
                <w:szCs w:val="20"/>
              </w:rPr>
              <w:t>Вермичева В. О.,</w:t>
            </w:r>
            <w:r w:rsidRPr="000C1465">
              <w:rPr>
                <w:sz w:val="20"/>
                <w:szCs w:val="20"/>
              </w:rPr>
              <w:t xml:space="preserve"> </w:t>
            </w:r>
            <w:r w:rsidRPr="000C1465">
              <w:rPr>
                <w:b/>
                <w:spacing w:val="-4"/>
                <w:sz w:val="20"/>
                <w:szCs w:val="20"/>
              </w:rPr>
              <w:t xml:space="preserve">Илюшко С. В. </w:t>
            </w:r>
            <w:r w:rsidRPr="000C1465">
              <w:rPr>
                <w:spacing w:val="-4"/>
                <w:sz w:val="20"/>
                <w:szCs w:val="20"/>
              </w:rPr>
              <w:t xml:space="preserve">Деловая активность как </w:t>
            </w:r>
            <w:r w:rsidR="002E4D92">
              <w:rPr>
                <w:spacing w:val="-4"/>
                <w:sz w:val="20"/>
                <w:szCs w:val="20"/>
              </w:rPr>
              <w:br/>
            </w:r>
            <w:r w:rsidRPr="000C1465">
              <w:rPr>
                <w:spacing w:val="-4"/>
                <w:sz w:val="20"/>
                <w:szCs w:val="20"/>
              </w:rPr>
              <w:t>составляющая имиджа организации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682</w:t>
            </w:r>
          </w:p>
        </w:tc>
      </w:tr>
      <w:tr w:rsidR="000C1465" w:rsidRPr="000C1465" w:rsidTr="00EB5229">
        <w:tc>
          <w:tcPr>
            <w:tcW w:w="6096" w:type="dxa"/>
          </w:tcPr>
          <w:p w:rsidR="000C1465" w:rsidRPr="000C1465" w:rsidRDefault="000C1465" w:rsidP="000C1465">
            <w:pPr>
              <w:jc w:val="both"/>
              <w:rPr>
                <w:rFonts w:eastAsia="Calibri"/>
                <w:i/>
                <w:spacing w:val="-4"/>
                <w:sz w:val="20"/>
                <w:szCs w:val="20"/>
              </w:rPr>
            </w:pPr>
            <w:r w:rsidRPr="000C1465">
              <w:rPr>
                <w:b/>
                <w:sz w:val="20"/>
                <w:szCs w:val="20"/>
              </w:rPr>
              <w:t>Воробьева А. В.,</w:t>
            </w:r>
            <w:r w:rsidRPr="000C1465">
              <w:rPr>
                <w:sz w:val="20"/>
                <w:szCs w:val="20"/>
              </w:rPr>
              <w:t xml:space="preserve"> </w:t>
            </w:r>
            <w:r w:rsidRPr="000C1465">
              <w:rPr>
                <w:b/>
                <w:sz w:val="20"/>
                <w:szCs w:val="20"/>
              </w:rPr>
              <w:t xml:space="preserve">Стукова Ю. Е. </w:t>
            </w:r>
            <w:r w:rsidRPr="000C1465">
              <w:rPr>
                <w:sz w:val="20"/>
                <w:szCs w:val="20"/>
              </w:rPr>
              <w:t xml:space="preserve">Концепция экономической </w:t>
            </w:r>
            <w:r w:rsidR="002E4D92">
              <w:rPr>
                <w:sz w:val="20"/>
                <w:szCs w:val="20"/>
              </w:rPr>
              <w:br/>
            </w:r>
            <w:r w:rsidRPr="000C1465">
              <w:rPr>
                <w:sz w:val="20"/>
                <w:szCs w:val="20"/>
              </w:rPr>
              <w:t>безопасности предприятия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685</w:t>
            </w:r>
          </w:p>
        </w:tc>
      </w:tr>
      <w:tr w:rsidR="000C1465" w:rsidRPr="000C1465" w:rsidTr="00EB5229">
        <w:trPr>
          <w:trHeight w:val="315"/>
        </w:trPr>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Гончарова В. В.,</w:t>
            </w:r>
            <w:r w:rsidRPr="000C1465">
              <w:rPr>
                <w:sz w:val="20"/>
                <w:szCs w:val="20"/>
              </w:rPr>
              <w:t xml:space="preserve"> </w:t>
            </w:r>
            <w:r w:rsidRPr="000C1465">
              <w:rPr>
                <w:rFonts w:eastAsia="Calibri"/>
                <w:b/>
                <w:spacing w:val="-4"/>
                <w:sz w:val="20"/>
                <w:szCs w:val="20"/>
              </w:rPr>
              <w:t xml:space="preserve">Улыбина Л. К. </w:t>
            </w:r>
            <w:r w:rsidRPr="000C1465">
              <w:rPr>
                <w:rFonts w:eastAsia="Calibri"/>
                <w:spacing w:val="-4"/>
                <w:sz w:val="20"/>
                <w:szCs w:val="20"/>
              </w:rPr>
              <w:t xml:space="preserve">«Токсичные» и обычные регионы </w:t>
            </w:r>
          </w:p>
          <w:p w:rsidR="000C1465" w:rsidRDefault="000C1465" w:rsidP="000C1465">
            <w:pPr>
              <w:jc w:val="both"/>
              <w:rPr>
                <w:rFonts w:eastAsia="Calibri"/>
                <w:spacing w:val="-4"/>
                <w:sz w:val="20"/>
                <w:szCs w:val="20"/>
              </w:rPr>
            </w:pPr>
            <w:r w:rsidRPr="000C1465">
              <w:rPr>
                <w:rFonts w:eastAsia="Calibri"/>
                <w:spacing w:val="-4"/>
                <w:sz w:val="20"/>
                <w:szCs w:val="20"/>
              </w:rPr>
              <w:t>по ОСАГО - сравнительный анализ ……………………………………</w:t>
            </w:r>
          </w:p>
          <w:p w:rsidR="006671E3" w:rsidRPr="000C1465" w:rsidRDefault="006671E3" w:rsidP="000C1465">
            <w:pPr>
              <w:jc w:val="both"/>
              <w:rPr>
                <w:rFonts w:eastAsia="Calibri"/>
                <w:spacing w:val="-4"/>
                <w:sz w:val="20"/>
                <w:szCs w:val="20"/>
              </w:rPr>
            </w:pP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688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 xml:space="preserve">Гончарова Е. С., Васильченко Е. И. </w:t>
            </w:r>
            <w:r w:rsidRPr="000C1465">
              <w:rPr>
                <w:rFonts w:eastAsia="Calibri"/>
                <w:sz w:val="20"/>
                <w:szCs w:val="20"/>
              </w:rPr>
              <w:t>Страхование как важнейший элемент сферы туризма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691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Дубинина Д. А., Шевченко Ю. С. </w:t>
            </w:r>
            <w:r w:rsidRPr="000C1465">
              <w:rPr>
                <w:rFonts w:eastAsia="Calibri"/>
                <w:sz w:val="20"/>
                <w:szCs w:val="20"/>
              </w:rPr>
              <w:t xml:space="preserve">Высокая финансовая </w:t>
            </w:r>
            <w:r w:rsidR="002E4D92">
              <w:rPr>
                <w:rFonts w:eastAsia="Calibri"/>
                <w:sz w:val="20"/>
                <w:szCs w:val="20"/>
              </w:rPr>
              <w:br/>
            </w:r>
            <w:r w:rsidRPr="000C1465">
              <w:rPr>
                <w:rFonts w:eastAsia="Calibri"/>
                <w:sz w:val="20"/>
                <w:szCs w:val="20"/>
              </w:rPr>
              <w:t xml:space="preserve">устойчивость залог инвестиционной активности организации </w:t>
            </w:r>
            <w:r w:rsidRPr="000C1465">
              <w:rPr>
                <w:rFonts w:eastAsia="Calibri"/>
                <w:b/>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694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Ионина О. А., Халявка И. Е. </w:t>
            </w:r>
            <w:r w:rsidRPr="000C1465">
              <w:rPr>
                <w:rFonts w:eastAsia="Calibri"/>
                <w:sz w:val="20"/>
                <w:szCs w:val="20"/>
              </w:rPr>
              <w:t xml:space="preserve">Амортизация как инструмент </w:t>
            </w:r>
            <w:r w:rsidR="002E4D92">
              <w:rPr>
                <w:rFonts w:eastAsia="Calibri"/>
                <w:sz w:val="20"/>
                <w:szCs w:val="20"/>
              </w:rPr>
              <w:br/>
            </w:r>
            <w:r w:rsidRPr="000C1465">
              <w:rPr>
                <w:rFonts w:eastAsia="Calibri"/>
                <w:sz w:val="20"/>
                <w:szCs w:val="20"/>
              </w:rPr>
              <w:t>инвестиционного развития организации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696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Калита П. В.,</w:t>
            </w:r>
            <w:r w:rsidRPr="000C1465">
              <w:rPr>
                <w:sz w:val="20"/>
                <w:szCs w:val="20"/>
              </w:rPr>
              <w:t xml:space="preserve"> </w:t>
            </w:r>
            <w:r w:rsidRPr="000C1465">
              <w:rPr>
                <w:rFonts w:eastAsia="Calibri"/>
                <w:b/>
                <w:sz w:val="20"/>
                <w:szCs w:val="20"/>
              </w:rPr>
              <w:t xml:space="preserve">Стукова Ю. Е. </w:t>
            </w:r>
            <w:r w:rsidRPr="000C1465">
              <w:rPr>
                <w:rFonts w:eastAsia="Calibri"/>
                <w:sz w:val="20"/>
                <w:szCs w:val="20"/>
              </w:rPr>
              <w:t xml:space="preserve">Лидерство в современном </w:t>
            </w:r>
            <w:r w:rsidR="002E4D92">
              <w:rPr>
                <w:rFonts w:eastAsia="Calibri"/>
                <w:sz w:val="20"/>
                <w:szCs w:val="20"/>
              </w:rPr>
              <w:br/>
            </w:r>
            <w:r w:rsidRPr="000C1465">
              <w:rPr>
                <w:rFonts w:eastAsia="Calibri"/>
                <w:sz w:val="20"/>
                <w:szCs w:val="20"/>
              </w:rPr>
              <w:t>менеджменте……………………………………………………………..</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699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Карапетян М. О., Веселуха К. В. </w:t>
            </w:r>
            <w:r w:rsidRPr="000C1465">
              <w:rPr>
                <w:rFonts w:eastAsia="Calibri"/>
                <w:sz w:val="20"/>
                <w:szCs w:val="20"/>
              </w:rPr>
              <w:t xml:space="preserve">Национальная система </w:t>
            </w:r>
            <w:r w:rsidR="002E4D92">
              <w:rPr>
                <w:rFonts w:eastAsia="Calibri"/>
                <w:sz w:val="20"/>
                <w:szCs w:val="20"/>
              </w:rPr>
              <w:br/>
            </w:r>
            <w:r w:rsidRPr="000C1465">
              <w:rPr>
                <w:rFonts w:eastAsia="Calibri"/>
                <w:sz w:val="20"/>
                <w:szCs w:val="20"/>
              </w:rPr>
              <w:t>платежных карт: перспективы развития……………………………….</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702</w:t>
            </w:r>
          </w:p>
        </w:tc>
      </w:tr>
      <w:tr w:rsidR="000C1465" w:rsidRPr="000C1465" w:rsidTr="00EB5229">
        <w:tc>
          <w:tcPr>
            <w:tcW w:w="6096" w:type="dxa"/>
          </w:tcPr>
          <w:p w:rsidR="00510884" w:rsidRPr="006671E3" w:rsidRDefault="000C1465" w:rsidP="000C1465">
            <w:pPr>
              <w:jc w:val="both"/>
              <w:rPr>
                <w:spacing w:val="-4"/>
                <w:sz w:val="20"/>
                <w:szCs w:val="20"/>
              </w:rPr>
            </w:pPr>
            <w:r w:rsidRPr="000C1465">
              <w:rPr>
                <w:b/>
                <w:spacing w:val="-4"/>
                <w:sz w:val="20"/>
                <w:szCs w:val="20"/>
              </w:rPr>
              <w:t>Кизогло А. С.,</w:t>
            </w:r>
            <w:r w:rsidRPr="000C1465">
              <w:rPr>
                <w:sz w:val="20"/>
                <w:szCs w:val="20"/>
              </w:rPr>
              <w:t xml:space="preserve"> </w:t>
            </w:r>
            <w:r w:rsidRPr="000C1465">
              <w:rPr>
                <w:b/>
                <w:spacing w:val="-4"/>
                <w:sz w:val="20"/>
                <w:szCs w:val="20"/>
              </w:rPr>
              <w:t xml:space="preserve">Стукова Ю. Е. </w:t>
            </w:r>
            <w:r w:rsidRPr="000C1465">
              <w:rPr>
                <w:spacing w:val="-4"/>
                <w:sz w:val="20"/>
                <w:szCs w:val="20"/>
              </w:rPr>
              <w:t>Портрет эффективного менеджера….</w:t>
            </w:r>
          </w:p>
        </w:tc>
        <w:tc>
          <w:tcPr>
            <w:tcW w:w="708" w:type="dxa"/>
          </w:tcPr>
          <w:p w:rsidR="000C1465" w:rsidRPr="000C1465" w:rsidRDefault="006671E3" w:rsidP="000C1465">
            <w:pPr>
              <w:rPr>
                <w:rFonts w:eastAsia="Calibri"/>
                <w:i/>
                <w:sz w:val="20"/>
                <w:szCs w:val="20"/>
              </w:rPr>
            </w:pPr>
            <w:r>
              <w:rPr>
                <w:rFonts w:eastAsia="Calibri"/>
                <w:i/>
                <w:sz w:val="20"/>
                <w:szCs w:val="20"/>
              </w:rPr>
              <w:t>705</w:t>
            </w:r>
          </w:p>
        </w:tc>
      </w:tr>
      <w:tr w:rsidR="000C1465" w:rsidRPr="000C1465" w:rsidTr="00EB5229">
        <w:tc>
          <w:tcPr>
            <w:tcW w:w="6096" w:type="dxa"/>
          </w:tcPr>
          <w:p w:rsidR="002E4D92" w:rsidRPr="000C1465" w:rsidRDefault="000C1465" w:rsidP="000C1465">
            <w:pPr>
              <w:jc w:val="both"/>
              <w:rPr>
                <w:spacing w:val="-4"/>
                <w:sz w:val="20"/>
                <w:szCs w:val="20"/>
              </w:rPr>
            </w:pPr>
            <w:proofErr w:type="gramStart"/>
            <w:r w:rsidRPr="000C1465">
              <w:rPr>
                <w:b/>
                <w:spacing w:val="-4"/>
                <w:sz w:val="20"/>
                <w:szCs w:val="20"/>
              </w:rPr>
              <w:t>Коновалов</w:t>
            </w:r>
            <w:proofErr w:type="gramEnd"/>
            <w:r w:rsidRPr="000C1465">
              <w:rPr>
                <w:b/>
                <w:spacing w:val="-4"/>
                <w:sz w:val="20"/>
                <w:szCs w:val="20"/>
              </w:rPr>
              <w:t xml:space="preserve"> Н. А., Гагай И. В. </w:t>
            </w:r>
            <w:r w:rsidRPr="000C1465">
              <w:rPr>
                <w:spacing w:val="-4"/>
                <w:sz w:val="20"/>
                <w:szCs w:val="20"/>
              </w:rPr>
              <w:t xml:space="preserve">Совершенствование системы </w:t>
            </w:r>
            <w:r w:rsidR="002E4D92">
              <w:rPr>
                <w:spacing w:val="-4"/>
                <w:sz w:val="20"/>
                <w:szCs w:val="20"/>
              </w:rPr>
              <w:br/>
            </w:r>
            <w:r w:rsidRPr="000C1465">
              <w:rPr>
                <w:spacing w:val="-4"/>
                <w:sz w:val="20"/>
                <w:szCs w:val="20"/>
              </w:rPr>
              <w:t>налогообложения имущества физических лиц ……………………</w:t>
            </w:r>
            <w:r w:rsidR="002E4D92">
              <w:rPr>
                <w:spacing w:val="-4"/>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708</w:t>
            </w:r>
          </w:p>
        </w:tc>
      </w:tr>
      <w:tr w:rsidR="000C1465" w:rsidRPr="000C1465" w:rsidTr="00EB5229">
        <w:tc>
          <w:tcPr>
            <w:tcW w:w="6096" w:type="dxa"/>
          </w:tcPr>
          <w:p w:rsidR="000C1465" w:rsidRPr="000C1465" w:rsidRDefault="000C1465" w:rsidP="000C1465">
            <w:pPr>
              <w:jc w:val="both"/>
              <w:rPr>
                <w:spacing w:val="-4"/>
                <w:sz w:val="20"/>
                <w:szCs w:val="20"/>
              </w:rPr>
            </w:pPr>
            <w:r w:rsidRPr="000C1465">
              <w:rPr>
                <w:b/>
                <w:spacing w:val="-4"/>
                <w:sz w:val="20"/>
                <w:szCs w:val="20"/>
              </w:rPr>
              <w:t>Коновалов Н. А.,</w:t>
            </w:r>
            <w:r w:rsidRPr="000C1465">
              <w:rPr>
                <w:sz w:val="20"/>
                <w:szCs w:val="20"/>
              </w:rPr>
              <w:t xml:space="preserve"> </w:t>
            </w:r>
            <w:r w:rsidRPr="000C1465">
              <w:rPr>
                <w:b/>
                <w:spacing w:val="-4"/>
                <w:sz w:val="20"/>
                <w:szCs w:val="20"/>
              </w:rPr>
              <w:t xml:space="preserve">Стукова Ю. Е. </w:t>
            </w:r>
            <w:r w:rsidRPr="000C1465">
              <w:rPr>
                <w:spacing w:val="-4"/>
                <w:sz w:val="20"/>
                <w:szCs w:val="20"/>
              </w:rPr>
              <w:t>Выбор и реализация стратегии управления персоналом организации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710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Кулик А. О.,</w:t>
            </w:r>
            <w:r w:rsidRPr="000C1465">
              <w:rPr>
                <w:sz w:val="20"/>
                <w:szCs w:val="20"/>
              </w:rPr>
              <w:t xml:space="preserve"> </w:t>
            </w:r>
            <w:r w:rsidRPr="000C1465">
              <w:rPr>
                <w:rFonts w:eastAsia="Calibri"/>
                <w:b/>
                <w:sz w:val="20"/>
                <w:szCs w:val="20"/>
              </w:rPr>
              <w:t xml:space="preserve">Васильченко Е. И. </w:t>
            </w:r>
            <w:r w:rsidRPr="000C1465">
              <w:rPr>
                <w:rFonts w:eastAsia="Calibri"/>
                <w:sz w:val="20"/>
                <w:szCs w:val="20"/>
              </w:rPr>
              <w:t xml:space="preserve">Страхование строений </w:t>
            </w:r>
            <w:r w:rsidRPr="000C1465">
              <w:rPr>
                <w:rFonts w:eastAsia="Calibri"/>
                <w:sz w:val="20"/>
                <w:szCs w:val="20"/>
              </w:rPr>
              <w:br/>
              <w:t>в Российской Федерации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713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Окинча Т. А.,</w:t>
            </w:r>
            <w:r w:rsidRPr="000C1465">
              <w:rPr>
                <w:sz w:val="20"/>
                <w:szCs w:val="20"/>
              </w:rPr>
              <w:t xml:space="preserve"> </w:t>
            </w:r>
            <w:r w:rsidRPr="000C1465">
              <w:rPr>
                <w:rFonts w:eastAsia="Calibri"/>
                <w:b/>
                <w:sz w:val="20"/>
                <w:szCs w:val="20"/>
              </w:rPr>
              <w:t xml:space="preserve">Илюшко С. В. </w:t>
            </w:r>
            <w:r w:rsidRPr="000C1465">
              <w:rPr>
                <w:rFonts w:eastAsia="Calibri"/>
                <w:sz w:val="20"/>
                <w:szCs w:val="20"/>
              </w:rPr>
              <w:t xml:space="preserve">Значение стратегии </w:t>
            </w:r>
            <w:r w:rsidRPr="000C1465">
              <w:rPr>
                <w:rFonts w:eastAsia="Calibri"/>
                <w:sz w:val="20"/>
                <w:szCs w:val="20"/>
              </w:rPr>
              <w:br/>
              <w:t>в предпринимательской деятельности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716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Романькова А. С.,</w:t>
            </w:r>
            <w:r w:rsidRPr="000C1465">
              <w:rPr>
                <w:sz w:val="20"/>
                <w:szCs w:val="20"/>
              </w:rPr>
              <w:t xml:space="preserve"> </w:t>
            </w:r>
            <w:r w:rsidRPr="000C1465">
              <w:rPr>
                <w:rFonts w:eastAsia="Calibri"/>
                <w:b/>
                <w:sz w:val="20"/>
                <w:szCs w:val="20"/>
              </w:rPr>
              <w:t xml:space="preserve">Зубков А. А. </w:t>
            </w:r>
            <w:r w:rsidRPr="000C1465">
              <w:rPr>
                <w:rFonts w:eastAsia="Calibri"/>
                <w:sz w:val="20"/>
                <w:szCs w:val="20"/>
              </w:rPr>
              <w:t xml:space="preserve">Деятельность Банка России </w:t>
            </w:r>
            <w:r w:rsidRPr="000C1465">
              <w:rPr>
                <w:rFonts w:eastAsia="Calibri"/>
                <w:sz w:val="20"/>
                <w:szCs w:val="20"/>
              </w:rPr>
              <w:br/>
              <w:t xml:space="preserve">по выявлению проблемных банков и предотвращению их </w:t>
            </w:r>
            <w:r w:rsidR="002E4D92">
              <w:rPr>
                <w:rFonts w:eastAsia="Calibri"/>
                <w:sz w:val="20"/>
                <w:szCs w:val="20"/>
              </w:rPr>
              <w:br/>
            </w:r>
            <w:r w:rsidRPr="000C1465">
              <w:rPr>
                <w:rFonts w:eastAsia="Calibri"/>
                <w:sz w:val="20"/>
                <w:szCs w:val="20"/>
              </w:rPr>
              <w:t>банкротств………………………………………………………………..</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719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Сафарова С. Н., Илюшко С. В. </w:t>
            </w:r>
            <w:r w:rsidRPr="000C1465">
              <w:rPr>
                <w:rFonts w:eastAsia="Calibri"/>
                <w:sz w:val="20"/>
                <w:szCs w:val="20"/>
              </w:rPr>
              <w:t>Закономерности развития фина</w:t>
            </w:r>
            <w:r w:rsidRPr="000C1465">
              <w:rPr>
                <w:rFonts w:eastAsia="Calibri"/>
                <w:sz w:val="20"/>
                <w:szCs w:val="20"/>
              </w:rPr>
              <w:t>н</w:t>
            </w:r>
            <w:r w:rsidRPr="000C1465">
              <w:rPr>
                <w:rFonts w:eastAsia="Calibri"/>
                <w:sz w:val="20"/>
                <w:szCs w:val="20"/>
              </w:rPr>
              <w:t>сового менеджмента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722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Слюсаренко А. А.,</w:t>
            </w:r>
            <w:r w:rsidRPr="000C1465">
              <w:rPr>
                <w:sz w:val="20"/>
                <w:szCs w:val="20"/>
              </w:rPr>
              <w:t xml:space="preserve"> </w:t>
            </w:r>
            <w:r w:rsidRPr="000C1465">
              <w:rPr>
                <w:rFonts w:eastAsia="Calibri"/>
                <w:b/>
                <w:sz w:val="20"/>
                <w:szCs w:val="20"/>
              </w:rPr>
              <w:t xml:space="preserve">Васильченко Е. И. </w:t>
            </w:r>
            <w:r w:rsidRPr="000C1465">
              <w:rPr>
                <w:rFonts w:eastAsia="Calibri"/>
                <w:sz w:val="20"/>
                <w:szCs w:val="20"/>
              </w:rPr>
              <w:t>Современные тенденции развития страхового рынка России и драйверы его роста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725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Стариков Л. Ю.,</w:t>
            </w:r>
            <w:r w:rsidRPr="000C1465">
              <w:rPr>
                <w:sz w:val="20"/>
                <w:szCs w:val="20"/>
              </w:rPr>
              <w:t xml:space="preserve"> </w:t>
            </w:r>
            <w:r w:rsidRPr="000C1465">
              <w:rPr>
                <w:rFonts w:eastAsia="Calibri"/>
                <w:b/>
                <w:sz w:val="20"/>
                <w:szCs w:val="20"/>
              </w:rPr>
              <w:t xml:space="preserve">Окорокова О. А. </w:t>
            </w:r>
            <w:r w:rsidRPr="000C1465">
              <w:rPr>
                <w:rFonts w:eastAsia="Calibri"/>
                <w:sz w:val="20"/>
                <w:szCs w:val="20"/>
              </w:rPr>
              <w:t xml:space="preserve">Российский страховой рынок </w:t>
            </w:r>
            <w:r w:rsidRPr="000C1465">
              <w:rPr>
                <w:rFonts w:eastAsia="Calibri"/>
                <w:sz w:val="20"/>
                <w:szCs w:val="20"/>
              </w:rPr>
              <w:br/>
              <w:t>в 2018 году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728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Трегубенко З. С.,</w:t>
            </w:r>
            <w:r w:rsidRPr="000C1465">
              <w:rPr>
                <w:sz w:val="20"/>
                <w:szCs w:val="20"/>
              </w:rPr>
              <w:t xml:space="preserve"> </w:t>
            </w:r>
            <w:r w:rsidRPr="000C1465">
              <w:rPr>
                <w:rFonts w:eastAsia="Calibri"/>
                <w:b/>
                <w:sz w:val="20"/>
                <w:szCs w:val="20"/>
              </w:rPr>
              <w:t xml:space="preserve">Улыбина Л. К. </w:t>
            </w:r>
            <w:r w:rsidRPr="000C1465">
              <w:rPr>
                <w:rFonts w:eastAsia="Calibri"/>
                <w:sz w:val="20"/>
                <w:szCs w:val="20"/>
              </w:rPr>
              <w:t>Имущественное страхование……</w:t>
            </w:r>
          </w:p>
        </w:tc>
        <w:tc>
          <w:tcPr>
            <w:tcW w:w="708" w:type="dxa"/>
          </w:tcPr>
          <w:p w:rsidR="000C1465" w:rsidRPr="000C1465" w:rsidRDefault="006671E3" w:rsidP="000C1465">
            <w:pPr>
              <w:rPr>
                <w:rFonts w:eastAsia="Calibri"/>
                <w:i/>
                <w:sz w:val="20"/>
                <w:szCs w:val="20"/>
              </w:rPr>
            </w:pPr>
            <w:r>
              <w:rPr>
                <w:rFonts w:eastAsia="Calibri"/>
                <w:i/>
                <w:sz w:val="20"/>
                <w:szCs w:val="20"/>
              </w:rPr>
              <w:t>730</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Чижикова Н. Е.,</w:t>
            </w:r>
            <w:r w:rsidRPr="000C1465">
              <w:rPr>
                <w:sz w:val="20"/>
                <w:szCs w:val="20"/>
              </w:rPr>
              <w:t xml:space="preserve"> </w:t>
            </w:r>
            <w:r w:rsidRPr="000C1465">
              <w:rPr>
                <w:rFonts w:eastAsia="Calibri"/>
                <w:b/>
                <w:spacing w:val="-4"/>
                <w:sz w:val="20"/>
                <w:szCs w:val="20"/>
              </w:rPr>
              <w:t xml:space="preserve">Илюшко С. В. </w:t>
            </w:r>
            <w:r w:rsidRPr="000C1465">
              <w:rPr>
                <w:rFonts w:eastAsia="Calibri"/>
                <w:spacing w:val="-4"/>
                <w:sz w:val="20"/>
                <w:szCs w:val="20"/>
              </w:rPr>
              <w:t xml:space="preserve">Технология принятия </w:t>
            </w:r>
            <w:r w:rsidR="002E4D92">
              <w:rPr>
                <w:rFonts w:eastAsia="Calibri"/>
                <w:spacing w:val="-4"/>
                <w:sz w:val="20"/>
                <w:szCs w:val="20"/>
              </w:rPr>
              <w:br/>
            </w:r>
            <w:r w:rsidRPr="000C1465">
              <w:rPr>
                <w:rFonts w:eastAsia="Calibri"/>
                <w:spacing w:val="-4"/>
                <w:sz w:val="20"/>
                <w:szCs w:val="20"/>
              </w:rPr>
              <w:t>управленческих решений в предпринимательской деятельности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733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Юдина Л. В.,</w:t>
            </w:r>
            <w:r w:rsidRPr="000C1465">
              <w:rPr>
                <w:sz w:val="20"/>
                <w:szCs w:val="20"/>
              </w:rPr>
              <w:t xml:space="preserve"> </w:t>
            </w:r>
            <w:r w:rsidRPr="000C1465">
              <w:rPr>
                <w:rFonts w:eastAsia="Calibri"/>
                <w:b/>
                <w:sz w:val="20"/>
                <w:szCs w:val="20"/>
              </w:rPr>
              <w:t xml:space="preserve">Илюшко С. В. </w:t>
            </w:r>
            <w:r w:rsidRPr="000C1465">
              <w:rPr>
                <w:rFonts w:eastAsia="Calibri"/>
                <w:sz w:val="20"/>
                <w:szCs w:val="20"/>
              </w:rPr>
              <w:t xml:space="preserve">Оценка надежности деловых </w:t>
            </w:r>
            <w:r w:rsidR="002E4D92">
              <w:rPr>
                <w:rFonts w:eastAsia="Calibri"/>
                <w:sz w:val="20"/>
                <w:szCs w:val="20"/>
              </w:rPr>
              <w:br/>
            </w:r>
            <w:r w:rsidRPr="000C1465">
              <w:rPr>
                <w:rFonts w:eastAsia="Calibri"/>
                <w:sz w:val="20"/>
                <w:szCs w:val="20"/>
              </w:rPr>
              <w:t>партнеров торгового предприятия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736</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Экономический факультет</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Аврамец Е. С. </w:t>
            </w:r>
            <w:r w:rsidRPr="000C1465">
              <w:rPr>
                <w:rFonts w:eastAsia="Calibri"/>
                <w:sz w:val="20"/>
                <w:szCs w:val="20"/>
              </w:rPr>
              <w:t xml:space="preserve">Проблемы транспортно-логистической системы </w:t>
            </w:r>
            <w:r w:rsidR="002E4D92">
              <w:rPr>
                <w:rFonts w:eastAsia="Calibri"/>
                <w:sz w:val="20"/>
                <w:szCs w:val="20"/>
              </w:rPr>
              <w:br/>
            </w:r>
            <w:r w:rsidRPr="000C1465">
              <w:rPr>
                <w:rFonts w:eastAsia="Calibri"/>
                <w:sz w:val="20"/>
                <w:szCs w:val="20"/>
              </w:rPr>
              <w:t>экспорта зерна в России и пути их решения…………………………...</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740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Алмазова В. В.,</w:t>
            </w:r>
            <w:r w:rsidRPr="000C1465">
              <w:rPr>
                <w:sz w:val="20"/>
                <w:szCs w:val="20"/>
              </w:rPr>
              <w:t xml:space="preserve"> </w:t>
            </w:r>
            <w:r w:rsidRPr="000C1465">
              <w:rPr>
                <w:rFonts w:eastAsia="Calibri"/>
                <w:b/>
                <w:sz w:val="20"/>
                <w:szCs w:val="20"/>
              </w:rPr>
              <w:t xml:space="preserve">Лесняк А. С. </w:t>
            </w:r>
            <w:r w:rsidRPr="000C1465">
              <w:rPr>
                <w:rFonts w:eastAsia="Calibri"/>
                <w:sz w:val="20"/>
                <w:szCs w:val="20"/>
              </w:rPr>
              <w:t>Роль безработицы в экономическом механизме рынка труда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743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Афанасьев В. В.,</w:t>
            </w:r>
            <w:r w:rsidRPr="000C1465">
              <w:rPr>
                <w:sz w:val="20"/>
                <w:szCs w:val="20"/>
              </w:rPr>
              <w:t xml:space="preserve"> </w:t>
            </w:r>
            <w:r w:rsidRPr="000C1465">
              <w:rPr>
                <w:rFonts w:eastAsia="Calibri"/>
                <w:b/>
                <w:sz w:val="20"/>
                <w:szCs w:val="20"/>
              </w:rPr>
              <w:t xml:space="preserve">Гайдук В. И. </w:t>
            </w:r>
            <w:r w:rsidRPr="000C1465">
              <w:rPr>
                <w:rFonts w:eastAsia="Calibri"/>
                <w:sz w:val="20"/>
                <w:szCs w:val="20"/>
              </w:rPr>
              <w:t xml:space="preserve">Искусственный интеллект </w:t>
            </w:r>
            <w:r w:rsidRPr="000C1465">
              <w:rPr>
                <w:rFonts w:eastAsia="Calibri"/>
                <w:sz w:val="20"/>
                <w:szCs w:val="20"/>
              </w:rPr>
              <w:br/>
              <w:t>в финансовом секторе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746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 xml:space="preserve">Байрамуков Р. У., Черепухин Т. Ю. </w:t>
            </w:r>
            <w:r w:rsidRPr="000C1465">
              <w:rPr>
                <w:rFonts w:eastAsia="Calibri"/>
                <w:sz w:val="20"/>
                <w:szCs w:val="20"/>
              </w:rPr>
              <w:t>Проблемы развития малого бизнеса Краснодарского края и пути их решения ……………………</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748</w:t>
            </w:r>
          </w:p>
        </w:tc>
      </w:tr>
      <w:tr w:rsidR="000C1465" w:rsidRPr="000C1465" w:rsidTr="00EB5229">
        <w:tc>
          <w:tcPr>
            <w:tcW w:w="6096" w:type="dxa"/>
          </w:tcPr>
          <w:p w:rsidR="000C1465" w:rsidRPr="000C1465" w:rsidRDefault="000C1465" w:rsidP="000C1465">
            <w:pPr>
              <w:jc w:val="both"/>
              <w:rPr>
                <w:rFonts w:eastAsia="Calibri"/>
                <w:spacing w:val="-6"/>
                <w:sz w:val="20"/>
                <w:szCs w:val="20"/>
              </w:rPr>
            </w:pPr>
            <w:r w:rsidRPr="000C1465">
              <w:rPr>
                <w:rFonts w:eastAsia="Calibri"/>
                <w:b/>
                <w:spacing w:val="-6"/>
                <w:sz w:val="20"/>
                <w:szCs w:val="20"/>
              </w:rPr>
              <w:t>Бахтырева Д. В.,</w:t>
            </w:r>
            <w:r w:rsidRPr="000C1465">
              <w:rPr>
                <w:sz w:val="20"/>
                <w:szCs w:val="20"/>
              </w:rPr>
              <w:t xml:space="preserve"> </w:t>
            </w:r>
            <w:r w:rsidRPr="000C1465">
              <w:rPr>
                <w:rFonts w:eastAsia="Calibri"/>
                <w:b/>
                <w:spacing w:val="-6"/>
                <w:sz w:val="20"/>
                <w:szCs w:val="20"/>
              </w:rPr>
              <w:t xml:space="preserve">Кондрашова А. В. </w:t>
            </w:r>
            <w:r w:rsidRPr="000C1465">
              <w:rPr>
                <w:rFonts w:eastAsia="Calibri"/>
                <w:spacing w:val="-6"/>
                <w:sz w:val="20"/>
                <w:szCs w:val="20"/>
              </w:rPr>
              <w:t>Направления повышения эффе</w:t>
            </w:r>
            <w:r w:rsidRPr="000C1465">
              <w:rPr>
                <w:rFonts w:eastAsia="Calibri"/>
                <w:spacing w:val="-6"/>
                <w:sz w:val="20"/>
                <w:szCs w:val="20"/>
              </w:rPr>
              <w:t>к</w:t>
            </w:r>
            <w:r w:rsidRPr="000C1465">
              <w:rPr>
                <w:rFonts w:eastAsia="Calibri"/>
                <w:spacing w:val="-6"/>
                <w:sz w:val="20"/>
                <w:szCs w:val="20"/>
              </w:rPr>
              <w:t xml:space="preserve">тивности туристического бизнеса (на примере ООО «Сочинские </w:t>
            </w:r>
            <w:r w:rsidR="002E4D92">
              <w:rPr>
                <w:rFonts w:eastAsia="Calibri"/>
                <w:spacing w:val="-6"/>
                <w:sz w:val="20"/>
                <w:szCs w:val="20"/>
              </w:rPr>
              <w:br/>
            </w:r>
            <w:r w:rsidRPr="000C1465">
              <w:rPr>
                <w:rFonts w:eastAsia="Calibri"/>
                <w:spacing w:val="-6"/>
                <w:sz w:val="20"/>
                <w:szCs w:val="20"/>
              </w:rPr>
              <w:t>сезоны»)……………………………………………………………………..</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751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Баязова Е. Н.,</w:t>
            </w:r>
            <w:r w:rsidRPr="000C1465">
              <w:rPr>
                <w:sz w:val="20"/>
                <w:szCs w:val="20"/>
              </w:rPr>
              <w:t xml:space="preserve"> </w:t>
            </w:r>
            <w:r w:rsidRPr="000C1465">
              <w:rPr>
                <w:rFonts w:eastAsia="Calibri"/>
                <w:b/>
                <w:sz w:val="20"/>
                <w:szCs w:val="20"/>
              </w:rPr>
              <w:t xml:space="preserve">Литвиненко Г. Н. </w:t>
            </w:r>
            <w:r w:rsidRPr="000C1465">
              <w:rPr>
                <w:rFonts w:eastAsia="Calibri"/>
                <w:sz w:val="20"/>
                <w:szCs w:val="20"/>
              </w:rPr>
              <w:t xml:space="preserve">Современные проблемы </w:t>
            </w:r>
            <w:r w:rsidR="002E4D92">
              <w:rPr>
                <w:rFonts w:eastAsia="Calibri"/>
                <w:sz w:val="20"/>
                <w:szCs w:val="20"/>
              </w:rPr>
              <w:br/>
            </w:r>
            <w:r w:rsidRPr="000C1465">
              <w:rPr>
                <w:rFonts w:eastAsia="Calibri"/>
                <w:sz w:val="20"/>
                <w:szCs w:val="20"/>
              </w:rPr>
              <w:t xml:space="preserve">овцеводства в России </w:t>
            </w:r>
            <w:r w:rsidRPr="000C1465">
              <w:rPr>
                <w:rFonts w:eastAsia="Calibri"/>
                <w:b/>
                <w:sz w:val="20"/>
                <w:szCs w:val="20"/>
              </w:rPr>
              <w:t>…………………………………………………...</w:t>
            </w:r>
          </w:p>
        </w:tc>
        <w:tc>
          <w:tcPr>
            <w:tcW w:w="708" w:type="dxa"/>
          </w:tcPr>
          <w:p w:rsidR="000C1465" w:rsidRPr="000C1465" w:rsidRDefault="000C1465" w:rsidP="000C1465">
            <w:pPr>
              <w:rPr>
                <w:rFonts w:eastAsia="Calibri"/>
                <w:i/>
                <w:sz w:val="20"/>
                <w:szCs w:val="20"/>
              </w:rPr>
            </w:pPr>
          </w:p>
          <w:p w:rsidR="000C1465" w:rsidRPr="000C1465" w:rsidRDefault="006671E3" w:rsidP="000C1465">
            <w:pPr>
              <w:rPr>
                <w:rFonts w:eastAsia="Calibri"/>
                <w:i/>
                <w:sz w:val="20"/>
                <w:szCs w:val="20"/>
              </w:rPr>
            </w:pPr>
            <w:r>
              <w:rPr>
                <w:rFonts w:eastAsia="Calibri"/>
                <w:i/>
                <w:sz w:val="20"/>
                <w:szCs w:val="20"/>
              </w:rPr>
              <w:t>754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Беков А. А. </w:t>
            </w:r>
            <w:r w:rsidRPr="000C1465">
              <w:rPr>
                <w:rFonts w:eastAsia="Calibri"/>
                <w:sz w:val="20"/>
                <w:szCs w:val="20"/>
              </w:rPr>
              <w:t xml:space="preserve">Важность мотивации персонала в современной </w:t>
            </w:r>
            <w:r w:rsidR="002E4D92">
              <w:rPr>
                <w:rFonts w:eastAsia="Calibri"/>
                <w:sz w:val="20"/>
                <w:szCs w:val="20"/>
              </w:rPr>
              <w:br/>
            </w:r>
            <w:r w:rsidRPr="000C1465">
              <w:rPr>
                <w:rFonts w:eastAsia="Calibri"/>
                <w:sz w:val="20"/>
                <w:szCs w:val="20"/>
              </w:rPr>
              <w:t>экономике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757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Бибикова Р. В.,</w:t>
            </w:r>
            <w:r w:rsidRPr="000C1465">
              <w:rPr>
                <w:sz w:val="20"/>
                <w:szCs w:val="20"/>
              </w:rPr>
              <w:t xml:space="preserve"> </w:t>
            </w:r>
            <w:r w:rsidRPr="000C1465">
              <w:rPr>
                <w:rFonts w:eastAsia="Calibri"/>
                <w:b/>
                <w:sz w:val="20"/>
                <w:szCs w:val="20"/>
              </w:rPr>
              <w:t xml:space="preserve">Сухарева О. А. </w:t>
            </w:r>
            <w:r w:rsidRPr="000C1465">
              <w:rPr>
                <w:rFonts w:eastAsia="Calibri"/>
                <w:sz w:val="20"/>
                <w:szCs w:val="20"/>
              </w:rPr>
              <w:t xml:space="preserve">Диверсификация производства как направление повышения эффективности деятельности </w:t>
            </w:r>
            <w:r w:rsidR="002E4D92">
              <w:rPr>
                <w:rFonts w:eastAsia="Calibri"/>
                <w:sz w:val="20"/>
                <w:szCs w:val="20"/>
              </w:rPr>
              <w:br/>
            </w:r>
            <w:r w:rsidRPr="000C1465">
              <w:rPr>
                <w:rFonts w:eastAsia="Calibri"/>
                <w:sz w:val="20"/>
                <w:szCs w:val="20"/>
              </w:rPr>
              <w:t>сельскохозяйственного предприятия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760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Бондарева Д. В.,</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 xml:space="preserve">Особенности управления </w:t>
            </w:r>
            <w:r w:rsidR="002E4D92">
              <w:rPr>
                <w:rFonts w:eastAsia="Calibri"/>
                <w:sz w:val="20"/>
                <w:szCs w:val="20"/>
              </w:rPr>
              <w:br/>
            </w:r>
            <w:r w:rsidRPr="000C1465">
              <w:rPr>
                <w:rFonts w:eastAsia="Calibri"/>
                <w:sz w:val="20"/>
                <w:szCs w:val="20"/>
              </w:rPr>
              <w:t>инвестиционными проектами в условиях современного рынка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763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Бударная О. А. </w:t>
            </w:r>
            <w:r w:rsidRPr="000C1465">
              <w:rPr>
                <w:rFonts w:eastAsia="Calibri"/>
                <w:sz w:val="20"/>
                <w:szCs w:val="20"/>
              </w:rPr>
              <w:t>Состояние рынка труда в Краснодарском крае …….</w:t>
            </w:r>
          </w:p>
        </w:tc>
        <w:tc>
          <w:tcPr>
            <w:tcW w:w="708" w:type="dxa"/>
          </w:tcPr>
          <w:p w:rsidR="000C1465" w:rsidRPr="000C1465" w:rsidRDefault="00783669" w:rsidP="000C1465">
            <w:pPr>
              <w:rPr>
                <w:rFonts w:eastAsia="Calibri"/>
                <w:i/>
                <w:sz w:val="20"/>
                <w:szCs w:val="20"/>
              </w:rPr>
            </w:pPr>
            <w:r>
              <w:rPr>
                <w:rFonts w:eastAsia="Calibri"/>
                <w:i/>
                <w:sz w:val="20"/>
                <w:szCs w:val="20"/>
              </w:rPr>
              <w:t>766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Бусыгина А. А. </w:t>
            </w:r>
            <w:r w:rsidRPr="000C1465">
              <w:rPr>
                <w:rFonts w:eastAsia="Calibri"/>
                <w:sz w:val="20"/>
                <w:szCs w:val="20"/>
              </w:rPr>
              <w:t xml:space="preserve">Ограниченность экономических ресурсов </w:t>
            </w:r>
            <w:r w:rsidRPr="000C1465">
              <w:rPr>
                <w:rFonts w:eastAsia="Calibri"/>
                <w:sz w:val="20"/>
                <w:szCs w:val="20"/>
              </w:rPr>
              <w:br/>
              <w:t>и порождаемые ею проблемы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769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Бызова В. Е. </w:t>
            </w:r>
            <w:r w:rsidRPr="000C1465">
              <w:rPr>
                <w:rFonts w:eastAsia="Calibri"/>
                <w:sz w:val="20"/>
                <w:szCs w:val="20"/>
              </w:rPr>
              <w:t xml:space="preserve">Перспективы роста и развития экономики </w:t>
            </w:r>
            <w:r w:rsidR="002E4D92">
              <w:rPr>
                <w:rFonts w:eastAsia="Calibri"/>
                <w:sz w:val="20"/>
                <w:szCs w:val="20"/>
              </w:rPr>
              <w:br/>
            </w:r>
            <w:r w:rsidRPr="000C1465">
              <w:rPr>
                <w:rFonts w:eastAsia="Calibri"/>
                <w:sz w:val="20"/>
                <w:szCs w:val="20"/>
              </w:rPr>
              <w:t>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773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Велькина А. В.,</w:t>
            </w:r>
            <w:r w:rsidRPr="000C1465">
              <w:rPr>
                <w:sz w:val="20"/>
                <w:szCs w:val="20"/>
              </w:rPr>
              <w:t xml:space="preserve"> </w:t>
            </w:r>
            <w:r w:rsidRPr="000C1465">
              <w:rPr>
                <w:rFonts w:eastAsia="Calibri"/>
                <w:b/>
                <w:sz w:val="20"/>
                <w:szCs w:val="20"/>
              </w:rPr>
              <w:t xml:space="preserve">Кошокова С. Я. </w:t>
            </w:r>
            <w:r w:rsidRPr="000C1465">
              <w:rPr>
                <w:rFonts w:eastAsia="Calibri"/>
                <w:sz w:val="20"/>
                <w:szCs w:val="20"/>
              </w:rPr>
              <w:t xml:space="preserve">Государственно-правовая </w:t>
            </w:r>
            <w:r w:rsidR="002E4D92">
              <w:rPr>
                <w:rFonts w:eastAsia="Calibri"/>
                <w:sz w:val="20"/>
                <w:szCs w:val="20"/>
              </w:rPr>
              <w:br/>
            </w:r>
            <w:r w:rsidRPr="000C1465">
              <w:rPr>
                <w:rFonts w:eastAsia="Calibri"/>
                <w:sz w:val="20"/>
                <w:szCs w:val="20"/>
              </w:rPr>
              <w:t>деятельность Ивана Грозного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776</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Винокуров В. Д., Фирсов Р. Ю. </w:t>
            </w:r>
            <w:r w:rsidRPr="000C1465">
              <w:rPr>
                <w:rFonts w:eastAsia="Calibri"/>
                <w:spacing w:val="-4"/>
                <w:sz w:val="20"/>
                <w:szCs w:val="20"/>
              </w:rPr>
              <w:t xml:space="preserve">Экономические показатели </w:t>
            </w:r>
            <w:r w:rsidR="002E4D92">
              <w:rPr>
                <w:rFonts w:eastAsia="Calibri"/>
                <w:spacing w:val="-4"/>
                <w:sz w:val="20"/>
                <w:szCs w:val="20"/>
              </w:rPr>
              <w:br/>
            </w:r>
            <w:r w:rsidRPr="000C1465">
              <w:rPr>
                <w:rFonts w:eastAsia="Calibri"/>
                <w:spacing w:val="-4"/>
                <w:sz w:val="20"/>
                <w:szCs w:val="20"/>
              </w:rPr>
              <w:t>деятельности сельскохозяйственного предприятия…………………….</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779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Волошина И. М. </w:t>
            </w:r>
            <w:r w:rsidRPr="000C1465">
              <w:rPr>
                <w:rFonts w:eastAsia="Calibri"/>
                <w:sz w:val="20"/>
                <w:szCs w:val="20"/>
              </w:rPr>
              <w:t xml:space="preserve">Перспективные инновационные технологии </w:t>
            </w:r>
            <w:r w:rsidR="002E4D92">
              <w:rPr>
                <w:rFonts w:eastAsia="Calibri"/>
                <w:sz w:val="20"/>
                <w:szCs w:val="20"/>
              </w:rPr>
              <w:br/>
            </w:r>
            <w:r w:rsidRPr="000C1465">
              <w:rPr>
                <w:rFonts w:eastAsia="Calibri"/>
                <w:sz w:val="20"/>
                <w:szCs w:val="20"/>
              </w:rPr>
              <w:t>хранения риса в сельскохозяйственных организациях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782</w:t>
            </w:r>
          </w:p>
        </w:tc>
      </w:tr>
      <w:tr w:rsidR="000C1465" w:rsidRPr="000C1465" w:rsidTr="00EB5229">
        <w:tc>
          <w:tcPr>
            <w:tcW w:w="6096" w:type="dxa"/>
          </w:tcPr>
          <w:p w:rsidR="000C1465" w:rsidRPr="000C1465" w:rsidRDefault="000C1465" w:rsidP="000C1465">
            <w:pPr>
              <w:jc w:val="both"/>
              <w:rPr>
                <w:rFonts w:eastAsia="Calibri"/>
                <w:i/>
                <w:sz w:val="20"/>
                <w:szCs w:val="20"/>
              </w:rPr>
            </w:pPr>
            <w:r w:rsidRPr="000C1465">
              <w:rPr>
                <w:rFonts w:eastAsia="Calibri"/>
                <w:b/>
                <w:sz w:val="20"/>
                <w:szCs w:val="20"/>
              </w:rPr>
              <w:t xml:space="preserve">Гайдуренко Ю. Д., Куликова Е. П. </w:t>
            </w:r>
            <w:r w:rsidRPr="000C1465">
              <w:rPr>
                <w:rFonts w:eastAsia="Calibri"/>
                <w:sz w:val="20"/>
                <w:szCs w:val="20"/>
              </w:rPr>
              <w:t>Методы борьбы со скрытой безработицей 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785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Гилек Е. И., Соколова А. П. </w:t>
            </w:r>
            <w:r w:rsidRPr="000C1465">
              <w:rPr>
                <w:rFonts w:eastAsia="Calibri"/>
                <w:sz w:val="20"/>
                <w:szCs w:val="20"/>
              </w:rPr>
              <w:t>Инвестиционная политика субъектов экономической деятельности: проблемы и решения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788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Гильштейн А. С. </w:t>
            </w:r>
            <w:r w:rsidRPr="000C1465">
              <w:rPr>
                <w:rFonts w:eastAsia="Calibri"/>
                <w:sz w:val="20"/>
                <w:szCs w:val="20"/>
              </w:rPr>
              <w:t>Принятие управленческих решений в наукоемких предприятиях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791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Голованова А. Д. </w:t>
            </w:r>
            <w:r w:rsidRPr="000C1465">
              <w:rPr>
                <w:rFonts w:eastAsia="Calibri"/>
                <w:sz w:val="20"/>
                <w:szCs w:val="20"/>
              </w:rPr>
              <w:t xml:space="preserve">Перспективы производства и переработки нута </w:t>
            </w:r>
            <w:r w:rsidRPr="000C1465">
              <w:rPr>
                <w:rFonts w:eastAsia="Calibri"/>
                <w:sz w:val="20"/>
                <w:szCs w:val="20"/>
              </w:rPr>
              <w:br/>
              <w:t>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794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Головкина А. И. </w:t>
            </w:r>
            <w:r w:rsidRPr="000C1465">
              <w:rPr>
                <w:rFonts w:eastAsia="Calibri"/>
                <w:sz w:val="20"/>
                <w:szCs w:val="20"/>
              </w:rPr>
              <w:t>Приоритеты развития подотрасли садоводства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797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Гречкина Л. С., Солоденко А. С. </w:t>
            </w:r>
            <w:r w:rsidRPr="000C1465">
              <w:rPr>
                <w:rFonts w:eastAsia="Calibri"/>
                <w:sz w:val="20"/>
                <w:szCs w:val="20"/>
              </w:rPr>
              <w:t xml:space="preserve">Процессуальные </w:t>
            </w:r>
            <w:r w:rsidRPr="000C1465">
              <w:rPr>
                <w:rFonts w:eastAsia="Calibri"/>
                <w:sz w:val="20"/>
                <w:szCs w:val="20"/>
              </w:rPr>
              <w:br/>
              <w:t>и содержательные теории мотивации трудовой деятельности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800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Гришин Н. А., Шавырин М.А., Лесных Ю. Г. </w:t>
            </w:r>
            <w:r w:rsidRPr="000C1465">
              <w:rPr>
                <w:rFonts w:eastAsia="Calibri"/>
                <w:sz w:val="20"/>
                <w:szCs w:val="20"/>
              </w:rPr>
              <w:t>Основные факторы формирования портфеля инвестиций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803</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Джанунц К. К.,</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Принципы оценки эффективности инвестиционных проектов ……………………………………………..</w:t>
            </w:r>
          </w:p>
          <w:p w:rsidR="00783669" w:rsidRPr="000C1465" w:rsidRDefault="00783669"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806</w:t>
            </w:r>
          </w:p>
        </w:tc>
      </w:tr>
      <w:tr w:rsidR="000C1465" w:rsidRPr="000C1465" w:rsidTr="00EB5229">
        <w:tc>
          <w:tcPr>
            <w:tcW w:w="6096" w:type="dxa"/>
          </w:tcPr>
          <w:p w:rsidR="000C1465" w:rsidRPr="000C1465" w:rsidRDefault="000C1465" w:rsidP="000C1465">
            <w:pPr>
              <w:jc w:val="both"/>
              <w:rPr>
                <w:rFonts w:eastAsia="Calibri"/>
                <w:b/>
                <w:spacing w:val="-6"/>
                <w:sz w:val="20"/>
                <w:szCs w:val="20"/>
              </w:rPr>
            </w:pPr>
            <w:r w:rsidRPr="000C1465">
              <w:rPr>
                <w:rFonts w:eastAsia="Calibri"/>
                <w:b/>
                <w:spacing w:val="-6"/>
                <w:sz w:val="20"/>
                <w:szCs w:val="20"/>
              </w:rPr>
              <w:lastRenderedPageBreak/>
              <w:t>Едигаян М. Б.,</w:t>
            </w:r>
            <w:r w:rsidRPr="000C1465">
              <w:rPr>
                <w:sz w:val="20"/>
                <w:szCs w:val="20"/>
              </w:rPr>
              <w:t xml:space="preserve"> </w:t>
            </w:r>
            <w:r w:rsidRPr="000C1465">
              <w:rPr>
                <w:rFonts w:eastAsia="Calibri"/>
                <w:b/>
                <w:spacing w:val="-6"/>
                <w:sz w:val="20"/>
                <w:szCs w:val="20"/>
              </w:rPr>
              <w:t xml:space="preserve">Соколова А. П. </w:t>
            </w:r>
            <w:r w:rsidRPr="000C1465">
              <w:rPr>
                <w:rFonts w:eastAsia="Calibri"/>
                <w:spacing w:val="-6"/>
                <w:sz w:val="20"/>
                <w:szCs w:val="20"/>
              </w:rPr>
              <w:t>Потребительская корзина как фактор, определяющий благосостояние страны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809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Елагина А. С. </w:t>
            </w:r>
            <w:r w:rsidRPr="000C1465">
              <w:rPr>
                <w:rFonts w:eastAsia="Calibri"/>
                <w:sz w:val="20"/>
                <w:szCs w:val="20"/>
              </w:rPr>
              <w:t xml:space="preserve">Актуальность </w:t>
            </w:r>
            <w:proofErr w:type="gramStart"/>
            <w:r w:rsidRPr="000C1465">
              <w:rPr>
                <w:rFonts w:eastAsia="Calibri"/>
                <w:sz w:val="20"/>
                <w:szCs w:val="20"/>
              </w:rPr>
              <w:t xml:space="preserve">внедрения механизированных </w:t>
            </w:r>
            <w:r w:rsidR="002E4D92">
              <w:rPr>
                <w:rFonts w:eastAsia="Calibri"/>
                <w:sz w:val="20"/>
                <w:szCs w:val="20"/>
              </w:rPr>
              <w:br/>
            </w:r>
            <w:r w:rsidRPr="000C1465">
              <w:rPr>
                <w:rFonts w:eastAsia="Calibri"/>
                <w:sz w:val="20"/>
                <w:szCs w:val="20"/>
              </w:rPr>
              <w:t>технологий уборки винограда технических сортов</w:t>
            </w:r>
            <w:proofErr w:type="gramEnd"/>
            <w:r w:rsidRPr="000C1465">
              <w:rPr>
                <w:rFonts w:eastAsia="Calibri"/>
                <w:sz w:val="20"/>
                <w:szCs w:val="20"/>
              </w:rPr>
              <w:t xml:space="preserve"> </w:t>
            </w:r>
            <w:r w:rsidRPr="000C1465">
              <w:rPr>
                <w:rFonts w:eastAsia="Calibri"/>
                <w:sz w:val="20"/>
                <w:szCs w:val="20"/>
              </w:rPr>
              <w:br/>
              <w:t>в специализированных хозяйствах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812</w:t>
            </w:r>
          </w:p>
        </w:tc>
      </w:tr>
      <w:tr w:rsidR="000C1465" w:rsidRPr="000C1465" w:rsidTr="00EB5229">
        <w:tc>
          <w:tcPr>
            <w:tcW w:w="6096" w:type="dxa"/>
          </w:tcPr>
          <w:p w:rsidR="000C1465" w:rsidRPr="000C1465" w:rsidRDefault="000C1465" w:rsidP="000C1465">
            <w:pPr>
              <w:jc w:val="both"/>
              <w:rPr>
                <w:rFonts w:eastAsia="Calibri"/>
                <w:spacing w:val="-4"/>
                <w:sz w:val="20"/>
                <w:szCs w:val="20"/>
              </w:rPr>
            </w:pPr>
            <w:r w:rsidRPr="000C1465">
              <w:rPr>
                <w:rFonts w:eastAsia="Calibri"/>
                <w:b/>
                <w:spacing w:val="-4"/>
                <w:sz w:val="20"/>
                <w:szCs w:val="20"/>
              </w:rPr>
              <w:t xml:space="preserve">Задорожный Н. Ю. </w:t>
            </w:r>
            <w:r w:rsidRPr="000C1465">
              <w:rPr>
                <w:rFonts w:eastAsia="Calibri"/>
                <w:spacing w:val="-4"/>
                <w:sz w:val="20"/>
                <w:szCs w:val="20"/>
              </w:rPr>
              <w:t xml:space="preserve">Перспективные направления повышения </w:t>
            </w:r>
            <w:r w:rsidR="002E4D92">
              <w:rPr>
                <w:rFonts w:eastAsia="Calibri"/>
                <w:spacing w:val="-4"/>
                <w:sz w:val="20"/>
                <w:szCs w:val="20"/>
              </w:rPr>
              <w:br/>
            </w:r>
            <w:r w:rsidRPr="000C1465">
              <w:rPr>
                <w:rFonts w:eastAsia="Calibri"/>
                <w:spacing w:val="-4"/>
                <w:sz w:val="20"/>
                <w:szCs w:val="20"/>
              </w:rPr>
              <w:t xml:space="preserve">экономической эффективности возделывания многолетних </w:t>
            </w:r>
            <w:r w:rsidR="002E4D92">
              <w:rPr>
                <w:rFonts w:eastAsia="Calibri"/>
                <w:spacing w:val="-4"/>
                <w:sz w:val="20"/>
                <w:szCs w:val="20"/>
              </w:rPr>
              <w:br/>
            </w:r>
            <w:r w:rsidRPr="000C1465">
              <w:rPr>
                <w:rFonts w:eastAsia="Calibri"/>
                <w:spacing w:val="-4"/>
                <w:sz w:val="20"/>
                <w:szCs w:val="20"/>
              </w:rPr>
              <w:t>насаждений в Краснодарском крае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815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Зарубенко А. В.,</w:t>
            </w:r>
            <w:r w:rsidRPr="000C1465">
              <w:rPr>
                <w:sz w:val="20"/>
                <w:szCs w:val="20"/>
              </w:rPr>
              <w:t xml:space="preserve"> </w:t>
            </w:r>
            <w:r w:rsidRPr="000C1465">
              <w:rPr>
                <w:rFonts w:eastAsia="Calibri"/>
                <w:b/>
                <w:sz w:val="20"/>
                <w:szCs w:val="20"/>
              </w:rPr>
              <w:t xml:space="preserve">Гурнович Т. Г. </w:t>
            </w:r>
            <w:r w:rsidRPr="000C1465">
              <w:rPr>
                <w:rFonts w:eastAsia="Calibri"/>
                <w:sz w:val="20"/>
                <w:szCs w:val="20"/>
              </w:rPr>
              <w:t xml:space="preserve">Теоретические аспекты </w:t>
            </w:r>
            <w:r w:rsidR="002E4D92">
              <w:rPr>
                <w:rFonts w:eastAsia="Calibri"/>
                <w:sz w:val="20"/>
                <w:szCs w:val="20"/>
              </w:rPr>
              <w:br/>
            </w:r>
            <w:r w:rsidRPr="000C1465">
              <w:rPr>
                <w:rFonts w:eastAsia="Calibri"/>
                <w:sz w:val="20"/>
                <w:szCs w:val="20"/>
              </w:rPr>
              <w:t>функционирования финансово-кредитного механизма акционерных обществ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818</w:t>
            </w:r>
          </w:p>
        </w:tc>
      </w:tr>
      <w:tr w:rsidR="000C1465" w:rsidRPr="000C1465" w:rsidTr="00EB5229">
        <w:tc>
          <w:tcPr>
            <w:tcW w:w="6096" w:type="dxa"/>
          </w:tcPr>
          <w:p w:rsidR="002E4D92" w:rsidRPr="000C1465" w:rsidRDefault="000C1465" w:rsidP="000C1465">
            <w:pPr>
              <w:jc w:val="both"/>
              <w:rPr>
                <w:rFonts w:eastAsia="Calibri"/>
                <w:sz w:val="20"/>
                <w:szCs w:val="20"/>
              </w:rPr>
            </w:pPr>
            <w:r w:rsidRPr="000C1465">
              <w:rPr>
                <w:rFonts w:eastAsia="Calibri"/>
                <w:b/>
                <w:sz w:val="20"/>
                <w:szCs w:val="20"/>
              </w:rPr>
              <w:t xml:space="preserve">Зотова Е. А. </w:t>
            </w:r>
            <w:r w:rsidRPr="000C1465">
              <w:rPr>
                <w:rFonts w:eastAsia="Calibri"/>
                <w:sz w:val="20"/>
                <w:szCs w:val="20"/>
              </w:rPr>
              <w:t>Направления совершенствования производства мяса крупного рогатого скота в Краснодарском крае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821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Зябкина С. А. </w:t>
            </w:r>
            <w:r w:rsidRPr="000C1465">
              <w:rPr>
                <w:rFonts w:eastAsia="Calibri"/>
                <w:sz w:val="20"/>
                <w:szCs w:val="20"/>
              </w:rPr>
              <w:t xml:space="preserve">Современное состояние молодежного рынка труда </w:t>
            </w:r>
            <w:r w:rsidRPr="000C1465">
              <w:rPr>
                <w:rFonts w:eastAsia="Calibri"/>
                <w:sz w:val="20"/>
                <w:szCs w:val="20"/>
              </w:rPr>
              <w:br/>
              <w:t>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824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Ивлева Е. В. </w:t>
            </w:r>
            <w:r w:rsidRPr="000C1465">
              <w:rPr>
                <w:rFonts w:eastAsia="Calibri"/>
                <w:sz w:val="20"/>
                <w:szCs w:val="20"/>
              </w:rPr>
              <w:t xml:space="preserve">Экономические преимущества производства </w:t>
            </w:r>
            <w:r w:rsidRPr="000C1465">
              <w:rPr>
                <w:rFonts w:eastAsia="Calibri"/>
                <w:sz w:val="20"/>
                <w:szCs w:val="20"/>
              </w:rPr>
              <w:br/>
              <w:t>и использования органоминеральных удобрений на основе торфа….</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827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Ищенко М. И., Соколова А. П. </w:t>
            </w:r>
            <w:r w:rsidRPr="000C1465">
              <w:rPr>
                <w:rFonts w:eastAsia="Calibri"/>
                <w:sz w:val="20"/>
                <w:szCs w:val="20"/>
              </w:rPr>
              <w:t>Современное состояние отрасли животноводства в России: проблемы и пути решения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830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Кабанник Е. А.,</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 xml:space="preserve">Перспективные направления </w:t>
            </w:r>
            <w:r w:rsidR="002E4D92">
              <w:rPr>
                <w:rFonts w:eastAsia="Calibri"/>
                <w:sz w:val="20"/>
                <w:szCs w:val="20"/>
              </w:rPr>
              <w:br/>
            </w:r>
            <w:r w:rsidRPr="000C1465">
              <w:rPr>
                <w:rFonts w:eastAsia="Calibri"/>
                <w:sz w:val="20"/>
                <w:szCs w:val="20"/>
              </w:rPr>
              <w:t>развития овощеводства и тепличного производства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833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Калугина В. А., Сайфетдинов А. Р. </w:t>
            </w:r>
            <w:r w:rsidRPr="000C1465">
              <w:rPr>
                <w:rFonts w:eastAsia="Calibri"/>
                <w:sz w:val="20"/>
                <w:szCs w:val="20"/>
              </w:rPr>
              <w:t xml:space="preserve">Перспективы развития </w:t>
            </w:r>
            <w:r w:rsidR="002E4D92">
              <w:rPr>
                <w:rFonts w:eastAsia="Calibri"/>
                <w:sz w:val="20"/>
                <w:szCs w:val="20"/>
              </w:rPr>
              <w:br/>
            </w:r>
            <w:r w:rsidRPr="000C1465">
              <w:rPr>
                <w:rFonts w:eastAsia="Calibri"/>
                <w:sz w:val="20"/>
                <w:szCs w:val="20"/>
              </w:rPr>
              <w:t>селекции и семеноводства сельскохозяйственных культур в России</w:t>
            </w:r>
            <w:proofErr w:type="gramStart"/>
            <w:r w:rsidRPr="000C1465">
              <w:rPr>
                <w:rFonts w:eastAsia="Calibri"/>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836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Козырева М. В., Мымря А. В., Саенко И. И. </w:t>
            </w:r>
            <w:r w:rsidRPr="000C1465">
              <w:rPr>
                <w:rFonts w:eastAsia="Calibri"/>
                <w:sz w:val="20"/>
                <w:szCs w:val="20"/>
              </w:rPr>
              <w:t xml:space="preserve">Механизм </w:t>
            </w:r>
            <w:r w:rsidR="002E4D92">
              <w:rPr>
                <w:rFonts w:eastAsia="Calibri"/>
                <w:sz w:val="20"/>
                <w:szCs w:val="20"/>
              </w:rPr>
              <w:br/>
            </w:r>
            <w:r w:rsidRPr="000C1465">
              <w:rPr>
                <w:rFonts w:eastAsia="Calibri"/>
                <w:sz w:val="20"/>
                <w:szCs w:val="20"/>
              </w:rPr>
              <w:t>реализации процесса управления рисками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839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Колесник А. В.,</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 xml:space="preserve">Формирование стратегии </w:t>
            </w:r>
            <w:r w:rsidRPr="000C1465">
              <w:rPr>
                <w:rFonts w:eastAsia="Calibri"/>
                <w:sz w:val="20"/>
                <w:szCs w:val="20"/>
              </w:rPr>
              <w:br/>
              <w:t xml:space="preserve">на предприятии как способ повышения эффективности </w:t>
            </w:r>
            <w:r w:rsidR="002E4D92">
              <w:rPr>
                <w:rFonts w:eastAsia="Calibri"/>
                <w:sz w:val="20"/>
                <w:szCs w:val="20"/>
              </w:rPr>
              <w:br/>
            </w:r>
            <w:r w:rsidRPr="000C1465">
              <w:rPr>
                <w:rFonts w:eastAsia="Calibri"/>
                <w:sz w:val="20"/>
                <w:szCs w:val="20"/>
              </w:rPr>
              <w:t>производства……………………………………………………………..</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842</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Коробейникова В. В.,</w:t>
            </w:r>
            <w:r w:rsidRPr="000C1465">
              <w:rPr>
                <w:sz w:val="20"/>
                <w:szCs w:val="20"/>
              </w:rPr>
              <w:t xml:space="preserve"> </w:t>
            </w:r>
            <w:r w:rsidRPr="000C1465">
              <w:rPr>
                <w:rFonts w:eastAsia="Calibri"/>
                <w:b/>
                <w:sz w:val="20"/>
                <w:szCs w:val="20"/>
              </w:rPr>
              <w:t xml:space="preserve">Острецова А. В. </w:t>
            </w:r>
            <w:r w:rsidRPr="000C1465">
              <w:rPr>
                <w:rFonts w:eastAsia="Calibri"/>
                <w:sz w:val="20"/>
                <w:szCs w:val="20"/>
              </w:rPr>
              <w:t>Роль ТНК в национальной экономике на примере компании Toyota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845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Кочарян Ш. И.,</w:t>
            </w:r>
            <w:r w:rsidRPr="000C1465">
              <w:rPr>
                <w:sz w:val="20"/>
                <w:szCs w:val="20"/>
              </w:rPr>
              <w:t xml:space="preserve"> </w:t>
            </w:r>
            <w:r w:rsidRPr="000C1465">
              <w:rPr>
                <w:rFonts w:eastAsia="Calibri"/>
                <w:b/>
                <w:sz w:val="20"/>
                <w:szCs w:val="20"/>
              </w:rPr>
              <w:t xml:space="preserve">Литвиненко Г. Н. </w:t>
            </w:r>
            <w:r w:rsidRPr="000C1465">
              <w:rPr>
                <w:rFonts w:eastAsia="Calibri"/>
                <w:sz w:val="20"/>
                <w:szCs w:val="20"/>
              </w:rPr>
              <w:t>Государственная поддержка российских безработных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848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Крикун К. С.,</w:t>
            </w:r>
            <w:r w:rsidRPr="000C1465">
              <w:rPr>
                <w:sz w:val="20"/>
                <w:szCs w:val="20"/>
              </w:rPr>
              <w:t xml:space="preserve"> </w:t>
            </w:r>
            <w:r w:rsidRPr="000C1465">
              <w:rPr>
                <w:rFonts w:eastAsia="Calibri"/>
                <w:b/>
                <w:sz w:val="20"/>
                <w:szCs w:val="20"/>
              </w:rPr>
              <w:t xml:space="preserve">Погребная Н. В. </w:t>
            </w:r>
            <w:r w:rsidRPr="000C1465">
              <w:rPr>
                <w:rFonts w:eastAsia="Calibri"/>
                <w:sz w:val="20"/>
                <w:szCs w:val="20"/>
              </w:rPr>
              <w:t>Проблемы и стратегия развития агропромышленного комплекса Краснодарского края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851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Латышенко А. А.,</w:t>
            </w:r>
            <w:r w:rsidRPr="000C1465">
              <w:rPr>
                <w:sz w:val="20"/>
                <w:szCs w:val="20"/>
              </w:rPr>
              <w:t xml:space="preserve"> </w:t>
            </w:r>
            <w:r w:rsidRPr="000C1465">
              <w:rPr>
                <w:rFonts w:eastAsia="Calibri"/>
                <w:b/>
                <w:sz w:val="20"/>
                <w:szCs w:val="20"/>
              </w:rPr>
              <w:t xml:space="preserve">Литвиненко Г. Н. </w:t>
            </w:r>
            <w:r w:rsidRPr="000C1465">
              <w:rPr>
                <w:rFonts w:eastAsia="Calibri"/>
                <w:sz w:val="20"/>
                <w:szCs w:val="20"/>
              </w:rPr>
              <w:t>Внедрение Lean-технологий в строительство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854</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Леонович А. М. </w:t>
            </w:r>
            <w:r w:rsidRPr="000C1465">
              <w:rPr>
                <w:rFonts w:eastAsia="Calibri"/>
                <w:sz w:val="20"/>
                <w:szCs w:val="20"/>
              </w:rPr>
              <w:t xml:space="preserve">Перспективные направления </w:t>
            </w:r>
            <w:proofErr w:type="gramStart"/>
            <w:r w:rsidRPr="000C1465">
              <w:rPr>
                <w:rFonts w:eastAsia="Calibri"/>
                <w:sz w:val="20"/>
                <w:szCs w:val="20"/>
              </w:rPr>
              <w:t xml:space="preserve">повышения </w:t>
            </w:r>
            <w:r w:rsidR="002E4D92">
              <w:rPr>
                <w:rFonts w:eastAsia="Calibri"/>
                <w:sz w:val="20"/>
                <w:szCs w:val="20"/>
              </w:rPr>
              <w:br/>
            </w:r>
            <w:r w:rsidRPr="000C1465">
              <w:rPr>
                <w:rFonts w:eastAsia="Calibri"/>
                <w:sz w:val="20"/>
                <w:szCs w:val="20"/>
              </w:rPr>
              <w:t xml:space="preserve">конкурентоспособности продукции отрасли виноделия </w:t>
            </w:r>
            <w:r w:rsidR="002E4D92">
              <w:rPr>
                <w:rFonts w:eastAsia="Calibri"/>
                <w:sz w:val="20"/>
                <w:szCs w:val="20"/>
              </w:rPr>
              <w:br/>
            </w:r>
            <w:r w:rsidRPr="000C1465">
              <w:rPr>
                <w:rFonts w:eastAsia="Calibri"/>
                <w:sz w:val="20"/>
                <w:szCs w:val="20"/>
              </w:rPr>
              <w:t>Краснодарского края</w:t>
            </w:r>
            <w:proofErr w:type="gramEnd"/>
            <w:r w:rsidRPr="000C1465">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857</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 xml:space="preserve">Логинов В. С., Гаделия М. О. </w:t>
            </w:r>
            <w:r w:rsidRPr="000C1465">
              <w:rPr>
                <w:rFonts w:eastAsia="Calibri"/>
                <w:sz w:val="20"/>
                <w:szCs w:val="20"/>
              </w:rPr>
              <w:t xml:space="preserve">Финансовый рынок России </w:t>
            </w:r>
            <w:r w:rsidRPr="000C1465">
              <w:rPr>
                <w:rFonts w:eastAsia="Calibri"/>
                <w:sz w:val="20"/>
                <w:szCs w:val="20"/>
              </w:rPr>
              <w:br/>
              <w:t>и перспективы его развития ……………………………………………</w:t>
            </w:r>
          </w:p>
          <w:p w:rsidR="00783669" w:rsidRPr="000C1465" w:rsidRDefault="00783669" w:rsidP="000C1465">
            <w:pPr>
              <w:jc w:val="both"/>
              <w:rPr>
                <w:rFonts w:eastAsia="Calibri"/>
                <w:b/>
                <w:sz w:val="20"/>
                <w:szCs w:val="20"/>
              </w:rPr>
            </w:pP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860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lastRenderedPageBreak/>
              <w:t>Логозинский Д. О.,</w:t>
            </w:r>
            <w:r w:rsidRPr="000C1465">
              <w:rPr>
                <w:sz w:val="20"/>
                <w:szCs w:val="20"/>
              </w:rPr>
              <w:t xml:space="preserve"> </w:t>
            </w:r>
            <w:r w:rsidRPr="000C1465">
              <w:rPr>
                <w:rFonts w:eastAsia="Calibri"/>
                <w:b/>
                <w:sz w:val="20"/>
                <w:szCs w:val="20"/>
              </w:rPr>
              <w:t xml:space="preserve">Арутюнян Ю. И. </w:t>
            </w:r>
            <w:r w:rsidRPr="000C1465">
              <w:rPr>
                <w:rFonts w:eastAsia="Calibri"/>
                <w:sz w:val="20"/>
                <w:szCs w:val="20"/>
              </w:rPr>
              <w:t>Повышение эффективности использования основных средств предприятия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86</w:t>
            </w:r>
            <w:r w:rsidR="000C1465" w:rsidRPr="000C1465">
              <w:rPr>
                <w:rFonts w:eastAsia="Calibri"/>
                <w:i/>
                <w:sz w:val="20"/>
                <w:szCs w:val="20"/>
              </w:rPr>
              <w:t>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Метельская Т. В. </w:t>
            </w:r>
            <w:r w:rsidRPr="000C1465">
              <w:rPr>
                <w:rFonts w:eastAsia="Calibri"/>
                <w:sz w:val="20"/>
                <w:szCs w:val="20"/>
              </w:rPr>
              <w:t xml:space="preserve">Направления повышения эффективности </w:t>
            </w:r>
            <w:r w:rsidR="002E4D92">
              <w:rPr>
                <w:rFonts w:eastAsia="Calibri"/>
                <w:sz w:val="20"/>
                <w:szCs w:val="20"/>
              </w:rPr>
              <w:br/>
            </w:r>
            <w:r w:rsidRPr="000C1465">
              <w:rPr>
                <w:rFonts w:eastAsia="Calibri"/>
                <w:sz w:val="20"/>
                <w:szCs w:val="20"/>
              </w:rPr>
              <w:t xml:space="preserve">производства зерновых культур в сельскохозяйственных </w:t>
            </w:r>
            <w:r w:rsidR="00A6145F">
              <w:rPr>
                <w:rFonts w:eastAsia="Calibri"/>
                <w:sz w:val="20"/>
                <w:szCs w:val="20"/>
              </w:rPr>
              <w:br/>
            </w:r>
            <w:r w:rsidRPr="000C1465">
              <w:rPr>
                <w:rFonts w:eastAsia="Calibri"/>
                <w:sz w:val="20"/>
                <w:szCs w:val="20"/>
              </w:rPr>
              <w:t>организациях……………………………………………………………..</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86</w:t>
            </w:r>
            <w:r w:rsidR="000C1465" w:rsidRPr="000C1465">
              <w:rPr>
                <w:rFonts w:eastAsia="Calibri"/>
                <w:i/>
                <w:sz w:val="20"/>
                <w:szCs w:val="20"/>
              </w:rPr>
              <w:t>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Мисюра Т. В. </w:t>
            </w:r>
            <w:r w:rsidRPr="000C1465">
              <w:rPr>
                <w:rFonts w:eastAsia="Calibri"/>
                <w:sz w:val="20"/>
                <w:szCs w:val="20"/>
              </w:rPr>
              <w:t xml:space="preserve">Анализ и оценка эффективности использования </w:t>
            </w:r>
            <w:r w:rsidR="00A6145F">
              <w:rPr>
                <w:rFonts w:eastAsia="Calibri"/>
                <w:sz w:val="20"/>
                <w:szCs w:val="20"/>
              </w:rPr>
              <w:br/>
            </w:r>
            <w:r w:rsidRPr="000C1465">
              <w:rPr>
                <w:rFonts w:eastAsia="Calibri"/>
                <w:sz w:val="20"/>
                <w:szCs w:val="20"/>
              </w:rPr>
              <w:t>собственного капитала  предприятия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86</w:t>
            </w:r>
            <w:r w:rsidR="000C1465" w:rsidRPr="000C1465">
              <w:rPr>
                <w:rFonts w:eastAsia="Calibri"/>
                <w:i/>
                <w:sz w:val="20"/>
                <w:szCs w:val="20"/>
              </w:rPr>
              <w:t>9</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Мышонкова Е. С., Колесник А. В.,</w:t>
            </w:r>
            <w:r w:rsidRPr="000C1465">
              <w:rPr>
                <w:sz w:val="20"/>
                <w:szCs w:val="20"/>
              </w:rPr>
              <w:t xml:space="preserve"> </w:t>
            </w:r>
            <w:r w:rsidRPr="000C1465">
              <w:rPr>
                <w:rFonts w:eastAsia="Calibri"/>
                <w:b/>
                <w:sz w:val="20"/>
                <w:szCs w:val="20"/>
              </w:rPr>
              <w:t xml:space="preserve">Скоморощенко А. А. </w:t>
            </w:r>
            <w:r w:rsidRPr="000C1465">
              <w:rPr>
                <w:rFonts w:eastAsia="Calibri"/>
                <w:sz w:val="20"/>
                <w:szCs w:val="20"/>
              </w:rPr>
              <w:t>Система «Кайдзен» в управлении качеством персонала организации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872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Новикова Н. А., Алмазова В. В. </w:t>
            </w:r>
            <w:r w:rsidRPr="000C1465">
              <w:rPr>
                <w:rFonts w:eastAsia="Calibri"/>
                <w:sz w:val="20"/>
                <w:szCs w:val="20"/>
              </w:rPr>
              <w:t>Участие России в международном рынке труда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875</w:t>
            </w:r>
          </w:p>
        </w:tc>
      </w:tr>
      <w:tr w:rsidR="000C1465" w:rsidRPr="000C1465" w:rsidTr="00EB5229">
        <w:tc>
          <w:tcPr>
            <w:tcW w:w="6096" w:type="dxa"/>
          </w:tcPr>
          <w:p w:rsidR="00510884" w:rsidRPr="008D33CB" w:rsidRDefault="000C1465" w:rsidP="000C1465">
            <w:pPr>
              <w:jc w:val="both"/>
              <w:rPr>
                <w:rFonts w:eastAsia="Calibri"/>
                <w:sz w:val="20"/>
                <w:szCs w:val="20"/>
              </w:rPr>
            </w:pPr>
            <w:r w:rsidRPr="000C1465">
              <w:rPr>
                <w:rFonts w:eastAsia="Calibri"/>
                <w:b/>
                <w:sz w:val="20"/>
                <w:szCs w:val="20"/>
              </w:rPr>
              <w:t>Поклонова К. С., Бровченко К. А.,</w:t>
            </w:r>
            <w:r w:rsidRPr="000C1465">
              <w:rPr>
                <w:sz w:val="20"/>
                <w:szCs w:val="20"/>
              </w:rPr>
              <w:t xml:space="preserve"> </w:t>
            </w:r>
            <w:r w:rsidRPr="000C1465">
              <w:rPr>
                <w:rFonts w:eastAsia="Calibri"/>
                <w:b/>
                <w:sz w:val="20"/>
                <w:szCs w:val="20"/>
              </w:rPr>
              <w:t xml:space="preserve">Арутюнян Ю. И. </w:t>
            </w:r>
            <w:r w:rsidRPr="000C1465">
              <w:rPr>
                <w:rFonts w:eastAsia="Calibri"/>
                <w:sz w:val="20"/>
                <w:szCs w:val="20"/>
              </w:rPr>
              <w:t xml:space="preserve">Методы </w:t>
            </w:r>
            <w:r w:rsidR="00A6145F">
              <w:rPr>
                <w:rFonts w:eastAsia="Calibri"/>
                <w:sz w:val="20"/>
                <w:szCs w:val="20"/>
              </w:rPr>
              <w:br/>
            </w:r>
            <w:r w:rsidRPr="000C1465">
              <w:rPr>
                <w:rFonts w:eastAsia="Calibri"/>
                <w:sz w:val="20"/>
                <w:szCs w:val="20"/>
              </w:rPr>
              <w:t>контроля и учета затрат и себестоимости транспортной продукции...</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878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Пономарева Д. А.,</w:t>
            </w:r>
            <w:r w:rsidRPr="000C1465">
              <w:rPr>
                <w:sz w:val="20"/>
                <w:szCs w:val="20"/>
              </w:rPr>
              <w:t xml:space="preserve"> </w:t>
            </w:r>
            <w:r w:rsidRPr="000C1465">
              <w:rPr>
                <w:rFonts w:eastAsia="Calibri"/>
                <w:b/>
                <w:sz w:val="20"/>
                <w:szCs w:val="20"/>
              </w:rPr>
              <w:t xml:space="preserve">Литвиненко Г. Н. </w:t>
            </w:r>
            <w:r w:rsidRPr="000C1465">
              <w:rPr>
                <w:rFonts w:eastAsia="Calibri"/>
                <w:sz w:val="20"/>
                <w:szCs w:val="20"/>
              </w:rPr>
              <w:t>Причины возникновения молодежной безработицы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881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Рева Е. А. </w:t>
            </w:r>
            <w:r w:rsidRPr="000C1465">
              <w:rPr>
                <w:rFonts w:eastAsia="Calibri"/>
                <w:sz w:val="20"/>
                <w:szCs w:val="20"/>
              </w:rPr>
              <w:t xml:space="preserve">Факторы устойчивого развития отраслей </w:t>
            </w:r>
            <w:r w:rsidR="00A6145F">
              <w:rPr>
                <w:rFonts w:eastAsia="Calibri"/>
                <w:sz w:val="20"/>
                <w:szCs w:val="20"/>
              </w:rPr>
              <w:br/>
            </w:r>
            <w:r w:rsidRPr="000C1465">
              <w:rPr>
                <w:rFonts w:eastAsia="Calibri"/>
                <w:sz w:val="20"/>
                <w:szCs w:val="20"/>
              </w:rPr>
              <w:t>агропромышленного комплекса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884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Саакян С. П. </w:t>
            </w:r>
            <w:r w:rsidRPr="000C1465">
              <w:rPr>
                <w:rFonts w:eastAsia="Calibri"/>
                <w:sz w:val="20"/>
                <w:szCs w:val="20"/>
              </w:rPr>
              <w:t>Социальная поддержка безработных в России ……….</w:t>
            </w:r>
          </w:p>
        </w:tc>
        <w:tc>
          <w:tcPr>
            <w:tcW w:w="708" w:type="dxa"/>
          </w:tcPr>
          <w:p w:rsidR="000C1465" w:rsidRPr="000C1465" w:rsidRDefault="00783669" w:rsidP="000C1465">
            <w:pPr>
              <w:rPr>
                <w:rFonts w:eastAsia="Calibri"/>
                <w:i/>
                <w:sz w:val="20"/>
                <w:szCs w:val="20"/>
              </w:rPr>
            </w:pPr>
            <w:r>
              <w:rPr>
                <w:rFonts w:eastAsia="Calibri"/>
                <w:i/>
                <w:sz w:val="20"/>
                <w:szCs w:val="20"/>
              </w:rPr>
              <w:t>887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Сандулова Е. В.,</w:t>
            </w:r>
            <w:r w:rsidRPr="000C1465">
              <w:rPr>
                <w:sz w:val="20"/>
                <w:szCs w:val="20"/>
              </w:rPr>
              <w:t xml:space="preserve"> </w:t>
            </w:r>
            <w:r w:rsidRPr="000C1465">
              <w:rPr>
                <w:rFonts w:eastAsia="Calibri"/>
                <w:b/>
                <w:sz w:val="20"/>
                <w:szCs w:val="20"/>
              </w:rPr>
              <w:t xml:space="preserve">Черепухин Т. Ю. </w:t>
            </w:r>
            <w:r w:rsidRPr="000C1465">
              <w:rPr>
                <w:rFonts w:eastAsia="Calibri"/>
                <w:sz w:val="20"/>
                <w:szCs w:val="20"/>
              </w:rPr>
              <w:t>Повышение эффективности использования производственных ресурсов предприятия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890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Стрельников В. А. </w:t>
            </w:r>
            <w:r w:rsidRPr="000C1465">
              <w:rPr>
                <w:rFonts w:eastAsia="Calibri"/>
                <w:sz w:val="20"/>
                <w:szCs w:val="20"/>
              </w:rPr>
              <w:t xml:space="preserve">Направления инновационного развития </w:t>
            </w:r>
            <w:r w:rsidR="00A6145F">
              <w:rPr>
                <w:rFonts w:eastAsia="Calibri"/>
                <w:sz w:val="20"/>
                <w:szCs w:val="20"/>
              </w:rPr>
              <w:br/>
            </w:r>
            <w:r w:rsidRPr="000C1465">
              <w:rPr>
                <w:rFonts w:eastAsia="Calibri"/>
                <w:sz w:val="20"/>
                <w:szCs w:val="20"/>
              </w:rPr>
              <w:t>производства продукции растениеводства в сельскохозяйственных организациях……………………………………………………………..</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894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Стринадкин С. Н.,</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 xml:space="preserve">Анализ рынка овощей </w:t>
            </w:r>
            <w:r w:rsidR="00A6145F">
              <w:rPr>
                <w:rFonts w:eastAsia="Calibri"/>
                <w:sz w:val="20"/>
                <w:szCs w:val="20"/>
              </w:rPr>
              <w:br/>
            </w:r>
            <w:r w:rsidRPr="000C1465">
              <w:rPr>
                <w:rFonts w:eastAsia="Calibri"/>
                <w:sz w:val="20"/>
                <w:szCs w:val="20"/>
              </w:rPr>
              <w:t>закрытого грунта 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897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Сурнина Ю. В. </w:t>
            </w:r>
            <w:r w:rsidRPr="000C1465">
              <w:rPr>
                <w:rFonts w:eastAsia="Calibri"/>
                <w:sz w:val="20"/>
                <w:szCs w:val="20"/>
              </w:rPr>
              <w:t>Перспектива распространения технологии Больших Данных в отрасли пассажирских авиаперевозок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900</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Ткаченко Г. В.,</w:t>
            </w:r>
            <w:r w:rsidRPr="000C1465">
              <w:rPr>
                <w:sz w:val="20"/>
                <w:szCs w:val="20"/>
              </w:rPr>
              <w:t xml:space="preserve"> </w:t>
            </w:r>
            <w:r w:rsidRPr="000C1465">
              <w:rPr>
                <w:rFonts w:eastAsia="Calibri"/>
                <w:b/>
                <w:sz w:val="20"/>
                <w:szCs w:val="20"/>
              </w:rPr>
              <w:t xml:space="preserve">Литвиненко Г. Н. </w:t>
            </w:r>
            <w:r w:rsidRPr="000C1465">
              <w:rPr>
                <w:rFonts w:eastAsia="Calibri"/>
                <w:sz w:val="20"/>
                <w:szCs w:val="20"/>
              </w:rPr>
              <w:t>Современное состояние и пути развития отрасли животноводства 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903</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Храмцова Д. А. </w:t>
            </w:r>
            <w:r w:rsidRPr="000C1465">
              <w:rPr>
                <w:rFonts w:eastAsia="Calibri"/>
                <w:sz w:val="20"/>
                <w:szCs w:val="20"/>
              </w:rPr>
              <w:t xml:space="preserve">Применение отходов виноградной лозы </w:t>
            </w:r>
            <w:r w:rsidRPr="000C1465">
              <w:rPr>
                <w:rFonts w:eastAsia="Calibri"/>
                <w:sz w:val="20"/>
                <w:szCs w:val="20"/>
              </w:rPr>
              <w:br/>
              <w:t>в производстве лозолитовых блоков в Краснодарском крае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906</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Христофориди К. Ф. </w:t>
            </w:r>
            <w:r w:rsidRPr="000C1465">
              <w:rPr>
                <w:rFonts w:eastAsia="Calibri"/>
                <w:sz w:val="20"/>
                <w:szCs w:val="20"/>
              </w:rPr>
              <w:t>Проявление должной осмотрительности при асимметрии информации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909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Черноусова А. С.,</w:t>
            </w:r>
            <w:r w:rsidRPr="000C1465">
              <w:rPr>
                <w:sz w:val="20"/>
                <w:szCs w:val="20"/>
              </w:rPr>
              <w:t xml:space="preserve"> </w:t>
            </w:r>
            <w:r w:rsidRPr="000C1465">
              <w:rPr>
                <w:rFonts w:eastAsia="Calibri"/>
                <w:b/>
                <w:sz w:val="20"/>
                <w:szCs w:val="20"/>
              </w:rPr>
              <w:t xml:space="preserve">Черепухин Т. Ю. </w:t>
            </w:r>
            <w:r w:rsidRPr="000C1465">
              <w:rPr>
                <w:rFonts w:eastAsia="Calibri"/>
                <w:sz w:val="20"/>
                <w:szCs w:val="20"/>
              </w:rPr>
              <w:t xml:space="preserve">Маржинальный анализ </w:t>
            </w:r>
            <w:r w:rsidR="00A6145F">
              <w:rPr>
                <w:rFonts w:eastAsia="Calibri"/>
                <w:sz w:val="20"/>
                <w:szCs w:val="20"/>
              </w:rPr>
              <w:br/>
            </w:r>
            <w:r w:rsidRPr="000C1465">
              <w:rPr>
                <w:rFonts w:eastAsia="Calibri"/>
                <w:sz w:val="20"/>
                <w:szCs w:val="20"/>
              </w:rPr>
              <w:t>деятельности предприятия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911</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Юдина В. В. </w:t>
            </w:r>
            <w:r w:rsidRPr="000C1465">
              <w:rPr>
                <w:rFonts w:eastAsia="Calibri"/>
                <w:sz w:val="20"/>
                <w:szCs w:val="20"/>
              </w:rPr>
              <w:t xml:space="preserve">Экономический анализ современного состояния </w:t>
            </w:r>
            <w:r w:rsidR="00A6145F">
              <w:rPr>
                <w:rFonts w:eastAsia="Calibri"/>
                <w:sz w:val="20"/>
                <w:szCs w:val="20"/>
              </w:rPr>
              <w:br/>
            </w:r>
            <w:r w:rsidRPr="000C1465">
              <w:rPr>
                <w:rFonts w:eastAsia="Calibri"/>
                <w:sz w:val="20"/>
                <w:szCs w:val="20"/>
              </w:rPr>
              <w:t>производства и переработки сои 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914</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Юрова А. Д.,</w:t>
            </w:r>
            <w:r w:rsidRPr="000C1465">
              <w:rPr>
                <w:sz w:val="20"/>
                <w:szCs w:val="20"/>
              </w:rPr>
              <w:t xml:space="preserve"> </w:t>
            </w:r>
            <w:r w:rsidRPr="000C1465">
              <w:rPr>
                <w:rFonts w:eastAsia="Calibri"/>
                <w:b/>
                <w:sz w:val="20"/>
                <w:szCs w:val="20"/>
              </w:rPr>
              <w:t xml:space="preserve">Соколова А. П. </w:t>
            </w:r>
            <w:r w:rsidRPr="000C1465">
              <w:rPr>
                <w:rFonts w:eastAsia="Calibri"/>
                <w:sz w:val="20"/>
                <w:szCs w:val="20"/>
              </w:rPr>
              <w:t xml:space="preserve">Оценка инвестиционных проектов </w:t>
            </w:r>
            <w:r w:rsidRPr="000C1465">
              <w:rPr>
                <w:rFonts w:eastAsia="Calibri"/>
                <w:sz w:val="20"/>
                <w:szCs w:val="20"/>
              </w:rPr>
              <w:br/>
              <w:t>в процессе диверсификации производства ………................................</w:t>
            </w:r>
          </w:p>
          <w:p w:rsidR="008D33CB" w:rsidRPr="000C1465" w:rsidRDefault="008D33CB" w:rsidP="000C1465">
            <w:pPr>
              <w:jc w:val="both"/>
              <w:rPr>
                <w:rFonts w:eastAsia="Calibri"/>
                <w:sz w:val="20"/>
                <w:szCs w:val="20"/>
              </w:rPr>
            </w:pP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918</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lastRenderedPageBreak/>
              <w:t>Факультет энергетики</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Воробьев Н. В., Бегдай С. </w:t>
            </w:r>
            <w:r w:rsidR="000C1465" w:rsidRPr="000C1465">
              <w:rPr>
                <w:rFonts w:eastAsia="Calibri"/>
                <w:b/>
                <w:sz w:val="20"/>
                <w:szCs w:val="20"/>
              </w:rPr>
              <w:t xml:space="preserve">Н. </w:t>
            </w:r>
            <w:r w:rsidR="000C1465" w:rsidRPr="000C1465">
              <w:rPr>
                <w:rFonts w:eastAsia="Calibri"/>
                <w:sz w:val="20"/>
                <w:szCs w:val="20"/>
              </w:rPr>
              <w:t xml:space="preserve">Пассивные системы </w:t>
            </w:r>
            <w:r>
              <w:rPr>
                <w:rFonts w:eastAsia="Calibri"/>
                <w:sz w:val="20"/>
                <w:szCs w:val="20"/>
              </w:rPr>
              <w:br/>
            </w:r>
            <w:r w:rsidR="000C1465" w:rsidRPr="000C1465">
              <w:rPr>
                <w:rFonts w:eastAsia="Calibri"/>
                <w:sz w:val="20"/>
                <w:szCs w:val="20"/>
              </w:rPr>
              <w:t>кондиционирования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921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Головин Д. В., Григораш О. В. </w:t>
            </w:r>
            <w:r w:rsidRPr="000C1465">
              <w:rPr>
                <w:rFonts w:eastAsia="Calibri"/>
                <w:sz w:val="20"/>
                <w:szCs w:val="20"/>
              </w:rPr>
              <w:t xml:space="preserve">Минигидроэлектростанции: </w:t>
            </w:r>
            <w:r w:rsidR="00A6145F">
              <w:rPr>
                <w:rFonts w:eastAsia="Calibri"/>
                <w:sz w:val="20"/>
                <w:szCs w:val="20"/>
              </w:rPr>
              <w:br/>
            </w:r>
            <w:r w:rsidRPr="000C1465">
              <w:rPr>
                <w:rFonts w:eastAsia="Calibri"/>
                <w:sz w:val="20"/>
                <w:szCs w:val="20"/>
              </w:rPr>
              <w:t>перспективы и особенности проектирования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924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Дедюля К. А.,</w:t>
            </w:r>
            <w:r w:rsidRPr="000C1465">
              <w:rPr>
                <w:sz w:val="20"/>
                <w:szCs w:val="20"/>
              </w:rPr>
              <w:t xml:space="preserve"> </w:t>
            </w:r>
            <w:r w:rsidRPr="000C1465">
              <w:rPr>
                <w:rFonts w:eastAsia="Calibri"/>
                <w:b/>
                <w:sz w:val="20"/>
                <w:szCs w:val="20"/>
              </w:rPr>
              <w:t xml:space="preserve">Усков А. Е. </w:t>
            </w:r>
            <w:r w:rsidRPr="000C1465">
              <w:rPr>
                <w:rFonts w:eastAsia="Calibri"/>
                <w:sz w:val="20"/>
                <w:szCs w:val="20"/>
              </w:rPr>
              <w:t>Солнечные системы бесперебойного электроснабжения………………………………………………………..</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927</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Лебедев А. С.,</w:t>
            </w:r>
            <w:r w:rsidRPr="000C1465">
              <w:rPr>
                <w:sz w:val="20"/>
                <w:szCs w:val="20"/>
              </w:rPr>
              <w:t xml:space="preserve"> </w:t>
            </w:r>
            <w:r w:rsidRPr="000C1465">
              <w:rPr>
                <w:rFonts w:eastAsia="Calibri"/>
                <w:b/>
                <w:sz w:val="20"/>
                <w:szCs w:val="20"/>
              </w:rPr>
              <w:t xml:space="preserve">Николаенко С. А. </w:t>
            </w:r>
            <w:r w:rsidRPr="000C1465">
              <w:rPr>
                <w:rFonts w:eastAsia="Calibri"/>
                <w:sz w:val="20"/>
                <w:szCs w:val="20"/>
              </w:rPr>
              <w:t xml:space="preserve">Применение энергосберегающих технологий с целью повышения энергоэффективности излучаемого света </w:t>
            </w:r>
            <w:proofErr w:type="gramStart"/>
            <w:r w:rsidRPr="000C1465">
              <w:rPr>
                <w:rFonts w:eastAsia="Calibri"/>
                <w:sz w:val="20"/>
                <w:szCs w:val="20"/>
              </w:rPr>
              <w:t>в</w:t>
            </w:r>
            <w:proofErr w:type="gramEnd"/>
            <w:r w:rsidRPr="000C1465">
              <w:rPr>
                <w:rFonts w:eastAsia="Calibri"/>
                <w:sz w:val="20"/>
                <w:szCs w:val="20"/>
              </w:rPr>
              <w:t xml:space="preserve"> учебной адуитории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930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Мова Д. А., Квитко А. В. </w:t>
            </w:r>
            <w:r w:rsidRPr="000C1465">
              <w:rPr>
                <w:rFonts w:eastAsia="Calibri"/>
                <w:sz w:val="20"/>
                <w:szCs w:val="20"/>
              </w:rPr>
              <w:t xml:space="preserve">К вопросу определения ресурсов </w:t>
            </w:r>
            <w:r w:rsidR="00A6145F">
              <w:rPr>
                <w:rFonts w:eastAsia="Calibri"/>
                <w:sz w:val="20"/>
                <w:szCs w:val="20"/>
              </w:rPr>
              <w:br/>
            </w:r>
            <w:r w:rsidRPr="000C1465">
              <w:rPr>
                <w:rFonts w:eastAsia="Calibri"/>
                <w:sz w:val="20"/>
                <w:szCs w:val="20"/>
              </w:rPr>
              <w:t>биомассы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933</w:t>
            </w:r>
          </w:p>
        </w:tc>
      </w:tr>
      <w:tr w:rsidR="000C1465" w:rsidRPr="000C1465" w:rsidTr="00EB5229">
        <w:tc>
          <w:tcPr>
            <w:tcW w:w="6096" w:type="dxa"/>
          </w:tcPr>
          <w:p w:rsidR="00A6145F" w:rsidRPr="000C1465" w:rsidRDefault="000C1465" w:rsidP="000C1465">
            <w:pPr>
              <w:jc w:val="both"/>
              <w:rPr>
                <w:rFonts w:eastAsia="Calibri"/>
                <w:sz w:val="20"/>
                <w:szCs w:val="20"/>
              </w:rPr>
            </w:pPr>
            <w:r w:rsidRPr="000C1465">
              <w:rPr>
                <w:rFonts w:eastAsia="Calibri"/>
                <w:b/>
                <w:sz w:val="20"/>
                <w:szCs w:val="20"/>
              </w:rPr>
              <w:t>Нелинев Д. С.,</w:t>
            </w:r>
            <w:r w:rsidRPr="000C1465">
              <w:rPr>
                <w:sz w:val="20"/>
                <w:szCs w:val="20"/>
              </w:rPr>
              <w:t xml:space="preserve"> </w:t>
            </w:r>
            <w:r w:rsidRPr="000C1465">
              <w:rPr>
                <w:rFonts w:eastAsia="Calibri"/>
                <w:b/>
                <w:sz w:val="20"/>
                <w:szCs w:val="20"/>
              </w:rPr>
              <w:t xml:space="preserve">Усков А. Е. </w:t>
            </w:r>
            <w:r w:rsidRPr="000C1465">
              <w:rPr>
                <w:rFonts w:eastAsia="Calibri"/>
                <w:sz w:val="20"/>
                <w:szCs w:val="20"/>
              </w:rPr>
              <w:t xml:space="preserve">Преобразователи электроэнергии на трансформаторах с </w:t>
            </w:r>
            <w:proofErr w:type="gramStart"/>
            <w:r w:rsidRPr="000C1465">
              <w:rPr>
                <w:rFonts w:eastAsia="Calibri"/>
                <w:sz w:val="20"/>
                <w:szCs w:val="20"/>
              </w:rPr>
              <w:t>вращающимся</w:t>
            </w:r>
            <w:proofErr w:type="gramEnd"/>
            <w:r w:rsidRPr="000C1465">
              <w:rPr>
                <w:rFonts w:eastAsia="Calibri"/>
                <w:sz w:val="20"/>
                <w:szCs w:val="20"/>
              </w:rPr>
              <w:t xml:space="preserve"> магнитном поле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936</w:t>
            </w:r>
          </w:p>
        </w:tc>
      </w:tr>
      <w:tr w:rsidR="000C1465" w:rsidRPr="000C1465" w:rsidTr="00EB5229">
        <w:tc>
          <w:tcPr>
            <w:tcW w:w="6096" w:type="dxa"/>
          </w:tcPr>
          <w:p w:rsidR="000C1465" w:rsidRPr="000C1465" w:rsidRDefault="00A6145F" w:rsidP="000C1465">
            <w:pPr>
              <w:jc w:val="both"/>
              <w:rPr>
                <w:rFonts w:eastAsia="Calibri"/>
                <w:sz w:val="20"/>
                <w:szCs w:val="20"/>
              </w:rPr>
            </w:pPr>
            <w:r>
              <w:rPr>
                <w:rFonts w:eastAsia="Calibri"/>
                <w:b/>
                <w:sz w:val="20"/>
                <w:szCs w:val="20"/>
              </w:rPr>
              <w:t>Пациров И. </w:t>
            </w:r>
            <w:r w:rsidR="000C1465" w:rsidRPr="000C1465">
              <w:rPr>
                <w:rFonts w:eastAsia="Calibri"/>
                <w:b/>
                <w:sz w:val="20"/>
                <w:szCs w:val="20"/>
              </w:rPr>
              <w:t>В.,</w:t>
            </w:r>
            <w:r w:rsidR="000C1465" w:rsidRPr="000C1465">
              <w:rPr>
                <w:sz w:val="20"/>
                <w:szCs w:val="20"/>
              </w:rPr>
              <w:t xml:space="preserve"> </w:t>
            </w:r>
            <w:r>
              <w:rPr>
                <w:rFonts w:eastAsia="Calibri"/>
                <w:b/>
                <w:sz w:val="20"/>
                <w:szCs w:val="20"/>
              </w:rPr>
              <w:t>Квитко А. </w:t>
            </w:r>
            <w:r w:rsidR="000C1465" w:rsidRPr="000C1465">
              <w:rPr>
                <w:rFonts w:eastAsia="Calibri"/>
                <w:b/>
                <w:sz w:val="20"/>
                <w:szCs w:val="20"/>
              </w:rPr>
              <w:t xml:space="preserve">В. </w:t>
            </w:r>
            <w:r w:rsidR="000C1465" w:rsidRPr="000C1465">
              <w:rPr>
                <w:rFonts w:eastAsia="Calibri"/>
                <w:sz w:val="20"/>
                <w:szCs w:val="20"/>
              </w:rPr>
              <w:t xml:space="preserve">Перспективы развития </w:t>
            </w:r>
            <w:r>
              <w:rPr>
                <w:rFonts w:eastAsia="Calibri"/>
                <w:sz w:val="20"/>
                <w:szCs w:val="20"/>
              </w:rPr>
              <w:br/>
            </w:r>
            <w:r w:rsidR="000C1465" w:rsidRPr="000C1465">
              <w:rPr>
                <w:rFonts w:eastAsia="Calibri"/>
                <w:sz w:val="20"/>
                <w:szCs w:val="20"/>
              </w:rPr>
              <w:t>возобновляемой энергетики в России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939</w:t>
            </w:r>
          </w:p>
        </w:tc>
      </w:tr>
      <w:tr w:rsidR="000C1465" w:rsidRPr="000C1465" w:rsidTr="00EB5229">
        <w:tc>
          <w:tcPr>
            <w:tcW w:w="6096" w:type="dxa"/>
          </w:tcPr>
          <w:p w:rsidR="000C1465" w:rsidRPr="000C1465" w:rsidRDefault="00A6145F" w:rsidP="000C1465">
            <w:pPr>
              <w:jc w:val="both"/>
              <w:rPr>
                <w:rFonts w:eastAsia="Calibri"/>
                <w:sz w:val="20"/>
                <w:szCs w:val="20"/>
              </w:rPr>
            </w:pPr>
            <w:r>
              <w:rPr>
                <w:rFonts w:eastAsia="Calibri"/>
                <w:b/>
                <w:sz w:val="20"/>
                <w:szCs w:val="20"/>
              </w:rPr>
              <w:t>Самойлов А. </w:t>
            </w:r>
            <w:r w:rsidR="000C1465" w:rsidRPr="000C1465">
              <w:rPr>
                <w:rFonts w:eastAsia="Calibri"/>
                <w:b/>
                <w:sz w:val="20"/>
                <w:szCs w:val="20"/>
              </w:rPr>
              <w:t>Н.,</w:t>
            </w:r>
            <w:r w:rsidR="000C1465" w:rsidRPr="000C1465">
              <w:rPr>
                <w:sz w:val="20"/>
                <w:szCs w:val="20"/>
              </w:rPr>
              <w:t xml:space="preserve"> </w:t>
            </w:r>
            <w:r>
              <w:rPr>
                <w:rFonts w:eastAsia="Calibri"/>
                <w:b/>
                <w:sz w:val="20"/>
                <w:szCs w:val="20"/>
              </w:rPr>
              <w:t>Усков А. </w:t>
            </w:r>
            <w:r w:rsidR="000C1465" w:rsidRPr="000C1465">
              <w:rPr>
                <w:rFonts w:eastAsia="Calibri"/>
                <w:b/>
                <w:sz w:val="20"/>
                <w:szCs w:val="20"/>
              </w:rPr>
              <w:t xml:space="preserve">Е. </w:t>
            </w:r>
            <w:r w:rsidR="000C1465" w:rsidRPr="000C1465">
              <w:rPr>
                <w:rFonts w:eastAsia="Calibri"/>
                <w:sz w:val="20"/>
                <w:szCs w:val="20"/>
              </w:rPr>
              <w:t xml:space="preserve">Универсальный статический </w:t>
            </w:r>
            <w:r>
              <w:rPr>
                <w:rFonts w:eastAsia="Calibri"/>
                <w:sz w:val="20"/>
                <w:szCs w:val="20"/>
              </w:rPr>
              <w:br/>
            </w:r>
            <w:r w:rsidR="000C1465" w:rsidRPr="000C1465">
              <w:rPr>
                <w:rFonts w:eastAsia="Calibri"/>
                <w:sz w:val="20"/>
                <w:szCs w:val="20"/>
              </w:rPr>
              <w:t>преобразователь электроэнергии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942</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Сташ И. </w:t>
            </w:r>
            <w:r w:rsidR="000C1465" w:rsidRPr="000C1465">
              <w:rPr>
                <w:rFonts w:eastAsia="Calibri"/>
                <w:b/>
                <w:sz w:val="20"/>
                <w:szCs w:val="20"/>
              </w:rPr>
              <w:t>Б.,</w:t>
            </w:r>
            <w:r w:rsidR="000C1465" w:rsidRPr="000C1465">
              <w:rPr>
                <w:sz w:val="20"/>
                <w:szCs w:val="20"/>
              </w:rPr>
              <w:t xml:space="preserve"> </w:t>
            </w:r>
            <w:r>
              <w:rPr>
                <w:rFonts w:eastAsia="Calibri"/>
                <w:b/>
                <w:sz w:val="20"/>
                <w:szCs w:val="20"/>
              </w:rPr>
              <w:t>Соболь А. </w:t>
            </w:r>
            <w:r w:rsidR="000C1465" w:rsidRPr="000C1465">
              <w:rPr>
                <w:rFonts w:eastAsia="Calibri"/>
                <w:b/>
                <w:sz w:val="20"/>
                <w:szCs w:val="20"/>
              </w:rPr>
              <w:t xml:space="preserve">Н. </w:t>
            </w:r>
            <w:r w:rsidR="000C1465" w:rsidRPr="000C1465">
              <w:rPr>
                <w:rFonts w:eastAsia="Calibri"/>
                <w:sz w:val="20"/>
                <w:szCs w:val="20"/>
              </w:rPr>
              <w:t xml:space="preserve">Исследование повреждений </w:t>
            </w:r>
            <w:r>
              <w:rPr>
                <w:rFonts w:eastAsia="Calibri"/>
                <w:sz w:val="20"/>
                <w:szCs w:val="20"/>
              </w:rPr>
              <w:br/>
            </w:r>
            <w:r w:rsidR="000C1465" w:rsidRPr="000C1465">
              <w:rPr>
                <w:rFonts w:eastAsia="Calibri"/>
                <w:sz w:val="20"/>
                <w:szCs w:val="20"/>
              </w:rPr>
              <w:t>асинхронного генератора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945</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Терехов Д. </w:t>
            </w:r>
            <w:r w:rsidR="000C1465" w:rsidRPr="000C1465">
              <w:rPr>
                <w:rFonts w:eastAsia="Calibri"/>
                <w:b/>
                <w:sz w:val="20"/>
                <w:szCs w:val="20"/>
              </w:rPr>
              <w:t>А.,</w:t>
            </w:r>
            <w:r w:rsidR="000C1465" w:rsidRPr="000C1465">
              <w:rPr>
                <w:sz w:val="20"/>
                <w:szCs w:val="20"/>
              </w:rPr>
              <w:t xml:space="preserve"> </w:t>
            </w:r>
            <w:r>
              <w:rPr>
                <w:rFonts w:eastAsia="Calibri"/>
                <w:b/>
                <w:sz w:val="20"/>
                <w:szCs w:val="20"/>
              </w:rPr>
              <w:t>Бутузов В. </w:t>
            </w:r>
            <w:r w:rsidR="000C1465" w:rsidRPr="000C1465">
              <w:rPr>
                <w:rFonts w:eastAsia="Calibri"/>
                <w:b/>
                <w:sz w:val="20"/>
                <w:szCs w:val="20"/>
              </w:rPr>
              <w:t xml:space="preserve">А. </w:t>
            </w:r>
            <w:r w:rsidR="000C1465" w:rsidRPr="000C1465">
              <w:rPr>
                <w:rFonts w:eastAsia="Calibri"/>
                <w:sz w:val="20"/>
                <w:szCs w:val="20"/>
              </w:rPr>
              <w:t xml:space="preserve">Автономные системы </w:t>
            </w:r>
            <w:r>
              <w:rPr>
                <w:rFonts w:eastAsia="Calibri"/>
                <w:sz w:val="20"/>
                <w:szCs w:val="20"/>
              </w:rPr>
              <w:br/>
            </w:r>
            <w:r w:rsidR="000C1465" w:rsidRPr="000C1465">
              <w:rPr>
                <w:rFonts w:eastAsia="Calibri"/>
                <w:sz w:val="20"/>
                <w:szCs w:val="20"/>
              </w:rPr>
              <w:t>электроснабжения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948</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Хазнаферова Н. В., Григораш О. В. </w:t>
            </w:r>
            <w:r w:rsidRPr="000C1465">
              <w:rPr>
                <w:rFonts w:eastAsia="Calibri"/>
                <w:sz w:val="20"/>
                <w:szCs w:val="20"/>
              </w:rPr>
              <w:t>Системы бесперебойного электроснабжения на возобновляемых источниках энергии ………...</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951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Храпов В. А., Николаенко С. А. </w:t>
            </w:r>
            <w:r w:rsidRPr="000C1465">
              <w:rPr>
                <w:rFonts w:eastAsia="Calibri"/>
                <w:sz w:val="20"/>
                <w:szCs w:val="20"/>
              </w:rPr>
              <w:t xml:space="preserve">Автоматизация технологического процесса линии дробления зерна с выбором бункера для ПЛК </w:t>
            </w:r>
            <w:r w:rsidR="00A6145F">
              <w:rPr>
                <w:rFonts w:eastAsia="Calibri"/>
                <w:sz w:val="20"/>
                <w:szCs w:val="20"/>
              </w:rPr>
              <w:br/>
            </w:r>
            <w:r w:rsidRPr="000C1465">
              <w:rPr>
                <w:rFonts w:eastAsia="Calibri"/>
                <w:sz w:val="20"/>
                <w:szCs w:val="20"/>
              </w:rPr>
              <w:t>компании Delta Electronics серии DVP-SS2…………………………..</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954</w:t>
            </w:r>
          </w:p>
        </w:tc>
      </w:tr>
      <w:tr w:rsidR="000C1465" w:rsidRPr="000C1465" w:rsidTr="00EB5229">
        <w:tc>
          <w:tcPr>
            <w:tcW w:w="6096" w:type="dxa"/>
          </w:tcPr>
          <w:p w:rsidR="000C1465" w:rsidRPr="000C1465" w:rsidRDefault="000C1465" w:rsidP="00510884">
            <w:pPr>
              <w:spacing w:before="120" w:after="120"/>
              <w:jc w:val="center"/>
              <w:rPr>
                <w:rFonts w:eastAsia="Calibri"/>
                <w:b/>
                <w:sz w:val="24"/>
                <w:szCs w:val="24"/>
              </w:rPr>
            </w:pPr>
            <w:r w:rsidRPr="000C1465">
              <w:rPr>
                <w:rFonts w:eastAsia="Calibri"/>
                <w:b/>
                <w:sz w:val="24"/>
                <w:szCs w:val="24"/>
              </w:rPr>
              <w:t>Юридический факультет</w:t>
            </w:r>
          </w:p>
        </w:tc>
        <w:tc>
          <w:tcPr>
            <w:tcW w:w="708" w:type="dxa"/>
          </w:tcPr>
          <w:p w:rsidR="000C1465" w:rsidRPr="000C1465" w:rsidRDefault="000C1465" w:rsidP="000C1465">
            <w:pPr>
              <w:rPr>
                <w:rFonts w:eastAsia="Calibri"/>
                <w:i/>
                <w:sz w:val="20"/>
                <w:szCs w:val="20"/>
              </w:rPr>
            </w:pP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Абрамов М. И., Кириченко Е. В. </w:t>
            </w:r>
            <w:r w:rsidRPr="000C1465">
              <w:rPr>
                <w:rFonts w:eastAsia="Calibri"/>
                <w:sz w:val="20"/>
                <w:szCs w:val="20"/>
              </w:rPr>
              <w:t xml:space="preserve">Особенности реализации </w:t>
            </w:r>
            <w:r w:rsidR="00A6145F">
              <w:rPr>
                <w:rFonts w:eastAsia="Calibri"/>
                <w:sz w:val="20"/>
                <w:szCs w:val="20"/>
              </w:rPr>
              <w:br/>
            </w:r>
            <w:r w:rsidRPr="000C1465">
              <w:rPr>
                <w:rFonts w:eastAsia="Calibri"/>
                <w:sz w:val="20"/>
                <w:szCs w:val="20"/>
              </w:rPr>
              <w:t>избирательных прав отдельных категорий граждан</w:t>
            </w:r>
            <w:r w:rsidRPr="000C1465">
              <w:rPr>
                <w:rFonts w:eastAsia="Calibri"/>
                <w:b/>
                <w:sz w:val="20"/>
                <w:szCs w:val="20"/>
              </w:rPr>
              <w:t xml:space="preserve"> </w:t>
            </w:r>
            <w:r w:rsidRPr="000C1465">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957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Аветисян А. А., Сильченко Е. В. </w:t>
            </w:r>
            <w:r w:rsidRPr="000C1465">
              <w:rPr>
                <w:rFonts w:eastAsia="Calibri"/>
                <w:sz w:val="20"/>
                <w:szCs w:val="20"/>
              </w:rPr>
              <w:t xml:space="preserve">Проблемные аспекты </w:t>
            </w:r>
            <w:r w:rsidR="00A6145F">
              <w:rPr>
                <w:rFonts w:eastAsia="Calibri"/>
                <w:sz w:val="20"/>
                <w:szCs w:val="20"/>
              </w:rPr>
              <w:br/>
            </w:r>
            <w:r w:rsidRPr="000C1465">
              <w:rPr>
                <w:rFonts w:eastAsia="Calibri"/>
                <w:sz w:val="20"/>
                <w:szCs w:val="20"/>
              </w:rPr>
              <w:t>привлечения к уголовной ответственности за воспрепятствование оказанию медицинской помощи……………………………………….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961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Александров С. А., Кудрявцева Л. В. </w:t>
            </w:r>
            <w:r w:rsidRPr="000C1465">
              <w:rPr>
                <w:rFonts w:eastAsia="Calibri"/>
                <w:sz w:val="20"/>
                <w:szCs w:val="20"/>
              </w:rPr>
              <w:t>К вопросу о корпоративном договоре в российском гражданском законодательстве……………..</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964</w:t>
            </w:r>
          </w:p>
        </w:tc>
      </w:tr>
      <w:tr w:rsidR="000C1465" w:rsidRPr="000C1465" w:rsidTr="00EB5229">
        <w:tc>
          <w:tcPr>
            <w:tcW w:w="6096" w:type="dxa"/>
          </w:tcPr>
          <w:p w:rsidR="00783669" w:rsidRPr="008D33CB" w:rsidRDefault="000C1465" w:rsidP="000C1465">
            <w:pPr>
              <w:jc w:val="both"/>
              <w:rPr>
                <w:rFonts w:eastAsia="Calibri"/>
                <w:sz w:val="20"/>
                <w:szCs w:val="20"/>
              </w:rPr>
            </w:pPr>
            <w:r w:rsidRPr="000C1465">
              <w:rPr>
                <w:rFonts w:eastAsia="Calibri"/>
                <w:b/>
                <w:sz w:val="20"/>
                <w:szCs w:val="20"/>
              </w:rPr>
              <w:t xml:space="preserve">Андросова Ю. А., Бутурлина Е. С. </w:t>
            </w:r>
            <w:r w:rsidRPr="000C1465">
              <w:rPr>
                <w:rFonts w:eastAsia="Calibri"/>
                <w:sz w:val="20"/>
                <w:szCs w:val="20"/>
              </w:rPr>
              <w:t xml:space="preserve">Цели и задачи </w:t>
            </w:r>
            <w:r w:rsidR="00A6145F">
              <w:rPr>
                <w:rFonts w:eastAsia="Calibri"/>
                <w:sz w:val="20"/>
                <w:szCs w:val="20"/>
              </w:rPr>
              <w:br/>
            </w:r>
            <w:r w:rsidRPr="000C1465">
              <w:rPr>
                <w:rFonts w:eastAsia="Calibri"/>
                <w:sz w:val="20"/>
                <w:szCs w:val="20"/>
              </w:rPr>
              <w:t>конституционного правосудия…………………………………….........</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967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Антонян А. А., Кончаков А. Б. </w:t>
            </w:r>
            <w:r w:rsidRPr="000C1465">
              <w:rPr>
                <w:rFonts w:eastAsia="Calibri"/>
                <w:sz w:val="20"/>
                <w:szCs w:val="20"/>
              </w:rPr>
              <w:t xml:space="preserve">Гражданско-правовой статус </w:t>
            </w:r>
            <w:r w:rsidR="00A6145F">
              <w:rPr>
                <w:rFonts w:eastAsia="Calibri"/>
                <w:sz w:val="20"/>
                <w:szCs w:val="20"/>
              </w:rPr>
              <w:br/>
            </w:r>
            <w:r w:rsidRPr="000C1465">
              <w:rPr>
                <w:rFonts w:eastAsia="Calibri"/>
                <w:sz w:val="20"/>
                <w:szCs w:val="20"/>
              </w:rPr>
              <w:t>машино-мест……………………………………………………………..</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969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Баевский Н. А. </w:t>
            </w:r>
            <w:r w:rsidRPr="000C1465">
              <w:rPr>
                <w:rFonts w:eastAsia="Calibri"/>
                <w:sz w:val="20"/>
                <w:szCs w:val="20"/>
              </w:rPr>
              <w:t>О соотношении понятия «государственная власть» со смежными категориями……………………………………………...</w:t>
            </w:r>
          </w:p>
        </w:tc>
        <w:tc>
          <w:tcPr>
            <w:tcW w:w="708" w:type="dxa"/>
          </w:tcPr>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972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Бандюк В. В., Лепешкина О. В. </w:t>
            </w:r>
            <w:r w:rsidRPr="000C1465">
              <w:rPr>
                <w:rFonts w:eastAsia="Calibri"/>
                <w:sz w:val="20"/>
                <w:szCs w:val="20"/>
              </w:rPr>
              <w:t xml:space="preserve">Правовое регулирование </w:t>
            </w:r>
            <w:r w:rsidR="00A6145F">
              <w:rPr>
                <w:rFonts w:eastAsia="Calibri"/>
                <w:sz w:val="20"/>
                <w:szCs w:val="20"/>
              </w:rPr>
              <w:br/>
            </w:r>
            <w:r w:rsidRPr="000C1465">
              <w:rPr>
                <w:rFonts w:eastAsia="Calibri"/>
                <w:sz w:val="20"/>
                <w:szCs w:val="20"/>
              </w:rPr>
              <w:t xml:space="preserve">института брачного договора в США и России: сравнительная </w:t>
            </w:r>
            <w:r w:rsidR="00A6145F">
              <w:rPr>
                <w:rFonts w:eastAsia="Calibri"/>
                <w:sz w:val="20"/>
                <w:szCs w:val="20"/>
              </w:rPr>
              <w:br/>
            </w:r>
            <w:r w:rsidRPr="000C1465">
              <w:rPr>
                <w:rFonts w:eastAsia="Calibri"/>
                <w:sz w:val="20"/>
                <w:szCs w:val="20"/>
              </w:rPr>
              <w:t>характеристика………………………………………………………….</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975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Бархович А. С., Кончаков А. Б. </w:t>
            </w:r>
            <w:r w:rsidRPr="000C1465">
              <w:rPr>
                <w:rFonts w:eastAsia="Calibri"/>
                <w:sz w:val="20"/>
                <w:szCs w:val="20"/>
              </w:rPr>
              <w:t xml:space="preserve">Правовая природа договора </w:t>
            </w:r>
            <w:r w:rsidR="00A6145F">
              <w:rPr>
                <w:rFonts w:eastAsia="Calibri"/>
                <w:sz w:val="20"/>
                <w:szCs w:val="20"/>
              </w:rPr>
              <w:br/>
            </w:r>
            <w:r w:rsidRPr="000C1465">
              <w:rPr>
                <w:rFonts w:eastAsia="Calibri"/>
                <w:sz w:val="20"/>
                <w:szCs w:val="20"/>
              </w:rPr>
              <w:t>о создан</w:t>
            </w:r>
            <w:proofErr w:type="gramStart"/>
            <w:r w:rsidRPr="000C1465">
              <w:rPr>
                <w:rFonts w:eastAsia="Calibri"/>
                <w:sz w:val="20"/>
                <w:szCs w:val="20"/>
              </w:rPr>
              <w:t>ии ау</w:t>
            </w:r>
            <w:proofErr w:type="gramEnd"/>
            <w:r w:rsidRPr="000C1465">
              <w:rPr>
                <w:rFonts w:eastAsia="Calibri"/>
                <w:sz w:val="20"/>
                <w:szCs w:val="20"/>
              </w:rPr>
              <w:t>диовизуального произведения в Гражданском праве Российской Федерации</w:t>
            </w:r>
            <w:r w:rsidRPr="000C1465">
              <w:rPr>
                <w:rFonts w:eastAsia="Calibri"/>
                <w:b/>
                <w:sz w:val="20"/>
                <w:szCs w:val="20"/>
              </w:rPr>
              <w:t xml:space="preserve"> </w:t>
            </w:r>
            <w:r w:rsidRPr="000C1465">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3669" w:rsidP="000C1465">
            <w:pPr>
              <w:rPr>
                <w:rFonts w:eastAsia="Calibri"/>
                <w:i/>
                <w:sz w:val="20"/>
                <w:szCs w:val="20"/>
              </w:rPr>
            </w:pPr>
            <w:r>
              <w:rPr>
                <w:rFonts w:eastAsia="Calibri"/>
                <w:i/>
                <w:sz w:val="20"/>
                <w:szCs w:val="20"/>
              </w:rPr>
              <w:t>978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Батушин Д. В., Бутурлина Е. С. </w:t>
            </w:r>
            <w:r w:rsidRPr="000C1465">
              <w:rPr>
                <w:rFonts w:eastAsia="Calibri"/>
                <w:sz w:val="20"/>
                <w:szCs w:val="20"/>
              </w:rPr>
              <w:t>Институт выборов в Советском Союзе……………………………………..................................................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980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Бельчик А. М., Бутурлина Е. С. </w:t>
            </w:r>
            <w:r w:rsidRPr="000C1465">
              <w:rPr>
                <w:rFonts w:eastAsia="Calibri"/>
                <w:sz w:val="20"/>
                <w:szCs w:val="20"/>
              </w:rPr>
              <w:t>Право на референдум и проблемы его реализации…………………………………………………………..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983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Блок Ю. А., Картавченко В. В. </w:t>
            </w:r>
            <w:r w:rsidRPr="000C1465">
              <w:rPr>
                <w:rFonts w:eastAsia="Calibri"/>
                <w:sz w:val="20"/>
                <w:szCs w:val="20"/>
              </w:rPr>
              <w:t>Подростковая преступность на примере молодежной субкультуры «АУЕ»: пути искоренения……..</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985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Богомолов П. Д., Зеленский А. В. </w:t>
            </w:r>
            <w:r w:rsidRPr="000C1465">
              <w:rPr>
                <w:rFonts w:eastAsia="Calibri"/>
                <w:sz w:val="20"/>
                <w:szCs w:val="20"/>
              </w:rPr>
              <w:t>Освобождение от уголовной ответственности…………………………………………………………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987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Божко А. В. </w:t>
            </w:r>
            <w:r w:rsidRPr="000C1465">
              <w:rPr>
                <w:rFonts w:eastAsia="Calibri"/>
                <w:sz w:val="20"/>
                <w:szCs w:val="20"/>
              </w:rPr>
              <w:t xml:space="preserve">Органы дознания как объекты прокурорского </w:t>
            </w:r>
            <w:r w:rsidR="00A6145F">
              <w:rPr>
                <w:rFonts w:eastAsia="Calibri"/>
                <w:sz w:val="20"/>
                <w:szCs w:val="20"/>
              </w:rPr>
              <w:br/>
            </w:r>
            <w:r w:rsidRPr="000C1465">
              <w:rPr>
                <w:rFonts w:eastAsia="Calibri"/>
                <w:sz w:val="20"/>
                <w:szCs w:val="20"/>
              </w:rPr>
              <w:t>надзора…………………………………………………………………...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989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Бондаренко А. В., Хмельков Н. В. </w:t>
            </w:r>
            <w:r w:rsidRPr="000C1465">
              <w:rPr>
                <w:rFonts w:eastAsia="Calibri"/>
                <w:sz w:val="20"/>
                <w:szCs w:val="20"/>
              </w:rPr>
              <w:t xml:space="preserve">Отдельные аспекты </w:t>
            </w:r>
            <w:r w:rsidR="00A6145F">
              <w:rPr>
                <w:rFonts w:eastAsia="Calibri"/>
                <w:sz w:val="20"/>
                <w:szCs w:val="20"/>
              </w:rPr>
              <w:br/>
            </w:r>
            <w:r w:rsidRPr="000C1465">
              <w:rPr>
                <w:rFonts w:eastAsia="Calibri"/>
                <w:sz w:val="20"/>
                <w:szCs w:val="20"/>
              </w:rPr>
              <w:t xml:space="preserve">квалификации мошенничества в сфере предпринимательской </w:t>
            </w:r>
            <w:r w:rsidR="00A6145F">
              <w:rPr>
                <w:rFonts w:eastAsia="Calibri"/>
                <w:sz w:val="20"/>
                <w:szCs w:val="20"/>
              </w:rPr>
              <w:br/>
            </w:r>
            <w:r w:rsidRPr="000C1465">
              <w:rPr>
                <w:rFonts w:eastAsia="Calibri"/>
                <w:sz w:val="20"/>
                <w:szCs w:val="20"/>
              </w:rPr>
              <w:t>деятельности…………………………………………………………….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992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Бугаевский Д. А., Малин П. М. </w:t>
            </w:r>
            <w:r w:rsidRPr="000C1465">
              <w:rPr>
                <w:rFonts w:eastAsia="Calibri"/>
                <w:sz w:val="20"/>
                <w:szCs w:val="20"/>
              </w:rPr>
              <w:t xml:space="preserve">Об обеспечении права </w:t>
            </w:r>
            <w:r w:rsidR="00A6145F">
              <w:rPr>
                <w:rFonts w:eastAsia="Calibri"/>
                <w:sz w:val="20"/>
                <w:szCs w:val="20"/>
              </w:rPr>
              <w:br/>
            </w:r>
            <w:r w:rsidRPr="000C1465">
              <w:rPr>
                <w:rFonts w:eastAsia="Calibri"/>
                <w:sz w:val="20"/>
                <w:szCs w:val="20"/>
              </w:rPr>
              <w:t xml:space="preserve">потерпевшего на возмещение вреда, причиненного </w:t>
            </w:r>
            <w:r w:rsidR="00A6145F">
              <w:rPr>
                <w:rFonts w:eastAsia="Calibri"/>
                <w:sz w:val="20"/>
                <w:szCs w:val="20"/>
              </w:rPr>
              <w:br/>
            </w:r>
            <w:r w:rsidRPr="000C1465">
              <w:rPr>
                <w:rFonts w:eastAsia="Calibri"/>
                <w:sz w:val="20"/>
                <w:szCs w:val="20"/>
              </w:rPr>
              <w:t>преступлением…………………………………………………………..</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995</w:t>
            </w:r>
          </w:p>
        </w:tc>
      </w:tr>
      <w:tr w:rsidR="000C1465" w:rsidRPr="000C1465" w:rsidTr="00EB5229">
        <w:tc>
          <w:tcPr>
            <w:tcW w:w="6096" w:type="dxa"/>
          </w:tcPr>
          <w:p w:rsidR="000C1465" w:rsidRPr="000C1465" w:rsidRDefault="000C1465" w:rsidP="000C1465">
            <w:pPr>
              <w:jc w:val="both"/>
              <w:rPr>
                <w:rFonts w:eastAsia="Calibri"/>
                <w:b/>
                <w:sz w:val="20"/>
                <w:szCs w:val="20"/>
              </w:rPr>
            </w:pPr>
            <w:proofErr w:type="gramStart"/>
            <w:r w:rsidRPr="000C1465">
              <w:rPr>
                <w:rFonts w:eastAsia="Calibri"/>
                <w:b/>
                <w:sz w:val="20"/>
                <w:szCs w:val="20"/>
              </w:rPr>
              <w:t>Буч</w:t>
            </w:r>
            <w:proofErr w:type="gramEnd"/>
            <w:r w:rsidRPr="000C1465">
              <w:rPr>
                <w:rFonts w:eastAsia="Calibri"/>
                <w:b/>
                <w:sz w:val="20"/>
                <w:szCs w:val="20"/>
              </w:rPr>
              <w:t xml:space="preserve"> Д. Ю., Картавченко В. В. </w:t>
            </w:r>
            <w:r w:rsidRPr="000C1465">
              <w:rPr>
                <w:rFonts w:eastAsia="Calibri"/>
                <w:sz w:val="20"/>
                <w:szCs w:val="20"/>
              </w:rPr>
              <w:t xml:space="preserve">Субъект преступления </w:t>
            </w:r>
            <w:r w:rsidR="00A6145F">
              <w:rPr>
                <w:rFonts w:eastAsia="Calibri"/>
                <w:sz w:val="20"/>
                <w:szCs w:val="20"/>
              </w:rPr>
              <w:br/>
            </w:r>
            <w:r w:rsidRPr="000C1465">
              <w:rPr>
                <w:rFonts w:eastAsia="Calibri"/>
                <w:sz w:val="20"/>
                <w:szCs w:val="20"/>
              </w:rPr>
              <w:t xml:space="preserve">за ненадлежащее исполнение обязанностей по воспитанию </w:t>
            </w:r>
            <w:r w:rsidR="00A6145F">
              <w:rPr>
                <w:rFonts w:eastAsia="Calibri"/>
                <w:sz w:val="20"/>
                <w:szCs w:val="20"/>
              </w:rPr>
              <w:br/>
            </w:r>
            <w:r w:rsidRPr="000C1465">
              <w:rPr>
                <w:rFonts w:eastAsia="Calibri"/>
                <w:sz w:val="20"/>
                <w:szCs w:val="20"/>
              </w:rPr>
              <w:t>несовершеннолетнего ………………………………………………….</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997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Ванжула В. А., Бутурлина Е. С. </w:t>
            </w:r>
            <w:r w:rsidRPr="000C1465">
              <w:rPr>
                <w:rFonts w:eastAsia="Calibri"/>
                <w:sz w:val="20"/>
                <w:szCs w:val="20"/>
              </w:rPr>
              <w:t xml:space="preserve">Особенности выдвижения </w:t>
            </w:r>
            <w:r w:rsidR="00A6145F">
              <w:rPr>
                <w:rFonts w:eastAsia="Calibri"/>
                <w:sz w:val="20"/>
                <w:szCs w:val="20"/>
              </w:rPr>
              <w:br/>
            </w:r>
            <w:r w:rsidRPr="000C1465">
              <w:rPr>
                <w:rFonts w:eastAsia="Calibri"/>
                <w:sz w:val="20"/>
                <w:szCs w:val="20"/>
              </w:rPr>
              <w:t>кандидатов на выборах Президента РФ……………………………….</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1000</w:t>
            </w:r>
          </w:p>
        </w:tc>
      </w:tr>
      <w:tr w:rsidR="000C1465" w:rsidRPr="000C1465" w:rsidTr="00EB5229">
        <w:tc>
          <w:tcPr>
            <w:tcW w:w="6096" w:type="dxa"/>
          </w:tcPr>
          <w:p w:rsidR="000C1465" w:rsidRPr="00A6145F" w:rsidRDefault="000C1465" w:rsidP="000C1465">
            <w:pPr>
              <w:jc w:val="both"/>
              <w:rPr>
                <w:rFonts w:eastAsia="Calibri"/>
                <w:sz w:val="20"/>
                <w:szCs w:val="20"/>
              </w:rPr>
            </w:pPr>
            <w:r w:rsidRPr="000C1465">
              <w:rPr>
                <w:rFonts w:eastAsia="Calibri"/>
                <w:b/>
                <w:sz w:val="20"/>
                <w:szCs w:val="20"/>
              </w:rPr>
              <w:t xml:space="preserve">Васильев Д. А., Ильницкая Л. И. </w:t>
            </w:r>
            <w:r w:rsidRPr="000C1465">
              <w:rPr>
                <w:rFonts w:eastAsia="Calibri"/>
                <w:sz w:val="20"/>
                <w:szCs w:val="20"/>
              </w:rPr>
              <w:t xml:space="preserve">К вопросу о привлечении </w:t>
            </w:r>
            <w:r w:rsidR="00A6145F">
              <w:rPr>
                <w:rFonts w:eastAsia="Calibri"/>
                <w:sz w:val="20"/>
                <w:szCs w:val="20"/>
              </w:rPr>
              <w:br/>
            </w:r>
            <w:r w:rsidRPr="000C1465">
              <w:rPr>
                <w:rFonts w:eastAsia="Calibri"/>
                <w:sz w:val="20"/>
                <w:szCs w:val="20"/>
              </w:rPr>
              <w:t>адвоката-защитника в качестве свидетеля по уголовному делу</w:t>
            </w:r>
            <w:r w:rsidRPr="000C1465">
              <w:rPr>
                <w:rFonts w:eastAsia="Calibri"/>
                <w:b/>
                <w:sz w:val="20"/>
                <w:szCs w:val="20"/>
              </w:rPr>
              <w:t xml:space="preserve"> </w:t>
            </w:r>
            <w:r w:rsidRPr="000C1465">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781B5C" w:rsidRDefault="00781B5C" w:rsidP="000C1465">
            <w:pPr>
              <w:rPr>
                <w:rFonts w:eastAsia="Calibri"/>
                <w:i/>
                <w:sz w:val="20"/>
                <w:szCs w:val="20"/>
              </w:rPr>
            </w:pPr>
            <w:r>
              <w:rPr>
                <w:rFonts w:eastAsia="Calibri"/>
                <w:i/>
                <w:sz w:val="20"/>
                <w:szCs w:val="20"/>
              </w:rPr>
              <w:t>1002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Васильев И. А. </w:t>
            </w:r>
            <w:r w:rsidRPr="000C1465">
              <w:rPr>
                <w:rFonts w:eastAsia="Calibri"/>
                <w:sz w:val="20"/>
                <w:szCs w:val="20"/>
              </w:rPr>
              <w:t xml:space="preserve">Институт понятых в уголовном </w:t>
            </w:r>
            <w:r w:rsidR="00A6145F">
              <w:rPr>
                <w:rFonts w:eastAsia="Calibri"/>
                <w:sz w:val="20"/>
                <w:szCs w:val="20"/>
              </w:rPr>
              <w:br/>
            </w:r>
            <w:r w:rsidRPr="000C1465">
              <w:rPr>
                <w:rFonts w:eastAsia="Calibri"/>
                <w:sz w:val="20"/>
                <w:szCs w:val="20"/>
              </w:rPr>
              <w:t>процессе………………………………………………………………….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1006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Владимирова А. С., Ильницкая Л. И. </w:t>
            </w:r>
            <w:r w:rsidRPr="000C1465">
              <w:rPr>
                <w:rFonts w:eastAsia="Calibri"/>
                <w:sz w:val="20"/>
                <w:szCs w:val="20"/>
              </w:rPr>
              <w:t>К вопросу об основаниях привлечения лица в качестве обвиняемого……………………………</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1008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Вовк Е. А., Красницкая А. В. </w:t>
            </w:r>
            <w:r w:rsidRPr="000C1465">
              <w:rPr>
                <w:rFonts w:eastAsia="Calibri"/>
                <w:sz w:val="20"/>
                <w:szCs w:val="20"/>
              </w:rPr>
              <w:t>Государственный суверенитет как основная категория в реализации современного международного права………………………………………………………………………</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781B5C" w:rsidRDefault="00781B5C" w:rsidP="000C1465">
            <w:pPr>
              <w:rPr>
                <w:rFonts w:eastAsia="Calibri"/>
                <w:i/>
                <w:sz w:val="20"/>
                <w:szCs w:val="20"/>
              </w:rPr>
            </w:pPr>
            <w:r>
              <w:rPr>
                <w:rFonts w:eastAsia="Calibri"/>
                <w:i/>
                <w:sz w:val="20"/>
                <w:szCs w:val="20"/>
              </w:rPr>
              <w:t>1011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Волошин С. С. </w:t>
            </w:r>
            <w:r w:rsidRPr="000C1465">
              <w:rPr>
                <w:rFonts w:eastAsia="Calibri"/>
                <w:sz w:val="20"/>
                <w:szCs w:val="20"/>
              </w:rPr>
              <w:t xml:space="preserve">Отличие групповых исков от процессуального </w:t>
            </w:r>
            <w:r w:rsidR="00A6145F">
              <w:rPr>
                <w:rFonts w:eastAsia="Calibri"/>
                <w:sz w:val="20"/>
                <w:szCs w:val="20"/>
              </w:rPr>
              <w:br/>
            </w:r>
            <w:r w:rsidRPr="000C1465">
              <w:rPr>
                <w:rFonts w:eastAsia="Calibri"/>
                <w:sz w:val="20"/>
                <w:szCs w:val="20"/>
              </w:rPr>
              <w:t>соучастия ………………………………………………………………</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1014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Волошина И. В., Бутурлина Е. С. </w:t>
            </w:r>
            <w:r w:rsidRPr="000C1465">
              <w:rPr>
                <w:rFonts w:eastAsia="Calibri"/>
                <w:sz w:val="20"/>
                <w:szCs w:val="20"/>
              </w:rPr>
              <w:t xml:space="preserve">Конституционно-правовой </w:t>
            </w:r>
            <w:r w:rsidR="00A6145F">
              <w:rPr>
                <w:rFonts w:eastAsia="Calibri"/>
                <w:sz w:val="20"/>
                <w:szCs w:val="20"/>
              </w:rPr>
              <w:br/>
            </w:r>
            <w:r w:rsidRPr="000C1465">
              <w:rPr>
                <w:rFonts w:eastAsia="Calibri"/>
                <w:sz w:val="20"/>
                <w:szCs w:val="20"/>
              </w:rPr>
              <w:t>статус мигрантов на территории 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1017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Гарькавая А. И., Малин П. М. </w:t>
            </w:r>
            <w:r w:rsidRPr="000C1465">
              <w:rPr>
                <w:rFonts w:eastAsia="Calibri"/>
                <w:sz w:val="20"/>
                <w:szCs w:val="20"/>
              </w:rPr>
              <w:t xml:space="preserve">Актуальные проблемы </w:t>
            </w:r>
            <w:r w:rsidR="00A6145F">
              <w:rPr>
                <w:rFonts w:eastAsia="Calibri"/>
                <w:sz w:val="20"/>
                <w:szCs w:val="20"/>
              </w:rPr>
              <w:br/>
            </w:r>
            <w:r w:rsidRPr="000C1465">
              <w:rPr>
                <w:rFonts w:eastAsia="Calibri"/>
                <w:sz w:val="20"/>
                <w:szCs w:val="20"/>
              </w:rPr>
              <w:t>прокурорского надзора в местах лишения свободы…………………..</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1020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Геворкян Д. А. </w:t>
            </w:r>
            <w:r w:rsidRPr="000C1465">
              <w:rPr>
                <w:rFonts w:eastAsia="Calibri"/>
                <w:sz w:val="20"/>
                <w:szCs w:val="20"/>
              </w:rPr>
              <w:t>Очная ставка как следственное действие……………</w:t>
            </w:r>
          </w:p>
        </w:tc>
        <w:tc>
          <w:tcPr>
            <w:tcW w:w="708" w:type="dxa"/>
          </w:tcPr>
          <w:p w:rsidR="000C1465" w:rsidRPr="000C1465" w:rsidRDefault="00781B5C" w:rsidP="000C1465">
            <w:pPr>
              <w:rPr>
                <w:rFonts w:eastAsia="Calibri"/>
                <w:i/>
                <w:sz w:val="20"/>
                <w:szCs w:val="20"/>
              </w:rPr>
            </w:pPr>
            <w:r>
              <w:rPr>
                <w:rFonts w:eastAsia="Calibri"/>
                <w:i/>
                <w:sz w:val="20"/>
                <w:szCs w:val="20"/>
              </w:rPr>
              <w:t>1023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Головина Е. В. </w:t>
            </w:r>
            <w:r w:rsidRPr="000C1465">
              <w:rPr>
                <w:rFonts w:eastAsia="Calibri"/>
                <w:sz w:val="20"/>
                <w:szCs w:val="20"/>
              </w:rPr>
              <w:t>Особенности приобретения гражданства РФ по рождению ………………………………………......................................</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1026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Гончаров О. В., Галкин А. Г. </w:t>
            </w:r>
            <w:r w:rsidRPr="000C1465">
              <w:rPr>
                <w:rFonts w:eastAsia="Calibri"/>
                <w:sz w:val="20"/>
                <w:szCs w:val="20"/>
              </w:rPr>
              <w:t>Политическая ответственность главы государства: история и современная практика………………………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1029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Горбенко Д. И., Картавченко В. В. </w:t>
            </w:r>
            <w:r w:rsidRPr="000C1465">
              <w:rPr>
                <w:rFonts w:eastAsia="Calibri"/>
                <w:sz w:val="20"/>
                <w:szCs w:val="20"/>
              </w:rPr>
              <w:t xml:space="preserve">Ослабление государственной власти, как фактор, определяющий рост организованной </w:t>
            </w:r>
            <w:r w:rsidR="00A6145F">
              <w:rPr>
                <w:rFonts w:eastAsia="Calibri"/>
                <w:sz w:val="20"/>
                <w:szCs w:val="20"/>
              </w:rPr>
              <w:br/>
            </w:r>
            <w:r w:rsidRPr="000C1465">
              <w:rPr>
                <w:rFonts w:eastAsia="Calibri"/>
                <w:sz w:val="20"/>
                <w:szCs w:val="20"/>
              </w:rPr>
              <w:t>преступности……………………………………………………………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1032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Градинар Э. В., Картавченко В. В. </w:t>
            </w:r>
            <w:r w:rsidRPr="000C1465">
              <w:rPr>
                <w:rFonts w:eastAsia="Calibri"/>
                <w:sz w:val="20"/>
                <w:szCs w:val="20"/>
              </w:rPr>
              <w:t xml:space="preserve">Животные как особые вид </w:t>
            </w:r>
            <w:r w:rsidR="00A6145F">
              <w:rPr>
                <w:rFonts w:eastAsia="Calibri"/>
                <w:sz w:val="20"/>
                <w:szCs w:val="20"/>
              </w:rPr>
              <w:br/>
            </w:r>
            <w:r w:rsidRPr="000C1465">
              <w:rPr>
                <w:rFonts w:eastAsia="Calibri"/>
                <w:sz w:val="20"/>
                <w:szCs w:val="20"/>
              </w:rPr>
              <w:t>орудия и средства преступления……………………………………….</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1035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Григоращенко И. В., Малин П. М. </w:t>
            </w:r>
            <w:r w:rsidRPr="000C1465">
              <w:rPr>
                <w:rFonts w:eastAsia="Calibri"/>
                <w:sz w:val="20"/>
                <w:szCs w:val="20"/>
              </w:rPr>
              <w:t xml:space="preserve">Некоторые проблемы </w:t>
            </w:r>
            <w:r w:rsidR="00A6145F">
              <w:rPr>
                <w:rFonts w:eastAsia="Calibri"/>
                <w:sz w:val="20"/>
                <w:szCs w:val="20"/>
              </w:rPr>
              <w:br/>
            </w:r>
            <w:r w:rsidRPr="000C1465">
              <w:rPr>
                <w:rFonts w:eastAsia="Calibri"/>
                <w:sz w:val="20"/>
                <w:szCs w:val="20"/>
              </w:rPr>
              <w:t>применения условно – досрочного освобождения от наказания…….</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1038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Гусева О. Н., Шищенко Е. А. </w:t>
            </w:r>
            <w:r w:rsidRPr="000C1465">
              <w:rPr>
                <w:rFonts w:eastAsia="Calibri"/>
                <w:sz w:val="20"/>
                <w:szCs w:val="20"/>
              </w:rPr>
              <w:t xml:space="preserve">Особенности квалификации </w:t>
            </w:r>
            <w:r w:rsidR="00A6145F">
              <w:rPr>
                <w:rFonts w:eastAsia="Calibri"/>
                <w:sz w:val="20"/>
                <w:szCs w:val="20"/>
              </w:rPr>
              <w:br/>
            </w:r>
            <w:r w:rsidRPr="000C1465">
              <w:rPr>
                <w:rFonts w:eastAsia="Calibri"/>
                <w:sz w:val="20"/>
                <w:szCs w:val="20"/>
              </w:rPr>
              <w:t>преступлений по статье 212.1 УК РФ…………………………………</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1041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Данилова А. В., Безуглов С. В. </w:t>
            </w:r>
            <w:r w:rsidRPr="000C1465">
              <w:rPr>
                <w:rFonts w:eastAsia="Calibri"/>
                <w:sz w:val="20"/>
                <w:szCs w:val="20"/>
              </w:rPr>
              <w:t>Проблемы исполнения решений Конституционного Суда РФ…………………………………………….</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1044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Денесюк А. В., Савченко М. С. </w:t>
            </w:r>
            <w:r w:rsidRPr="000C1465">
              <w:rPr>
                <w:rFonts w:eastAsia="Calibri"/>
                <w:sz w:val="20"/>
                <w:szCs w:val="20"/>
              </w:rPr>
              <w:t xml:space="preserve">Правовое регулирование </w:t>
            </w:r>
            <w:r w:rsidR="00A6145F">
              <w:rPr>
                <w:rFonts w:eastAsia="Calibri"/>
                <w:sz w:val="20"/>
                <w:szCs w:val="20"/>
              </w:rPr>
              <w:br/>
            </w:r>
            <w:r w:rsidRPr="000C1465">
              <w:rPr>
                <w:rFonts w:eastAsia="Calibri"/>
                <w:sz w:val="20"/>
                <w:szCs w:val="20"/>
              </w:rPr>
              <w:t>правотворчества субъектов 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1047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Джадан Е. И., Красницкая А. В. </w:t>
            </w:r>
            <w:r w:rsidRPr="000C1465">
              <w:rPr>
                <w:rFonts w:eastAsia="Calibri"/>
                <w:sz w:val="20"/>
                <w:szCs w:val="20"/>
              </w:rPr>
              <w:t>К вопросу о реализации права на квалифицированную юридическую помощь в судебном процессе….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1050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Дмитриева В. А. </w:t>
            </w:r>
            <w:r w:rsidRPr="000C1465">
              <w:rPr>
                <w:rFonts w:eastAsia="Calibri"/>
                <w:sz w:val="20"/>
                <w:szCs w:val="20"/>
              </w:rPr>
              <w:t>Прекращение уголовного преследования (дела) вследствие акта об амнистии…………………………………………..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1053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Евтушенко А. Э., Каленский П. В. </w:t>
            </w:r>
            <w:r w:rsidRPr="000C1465">
              <w:rPr>
                <w:rFonts w:eastAsia="Calibri"/>
                <w:sz w:val="20"/>
                <w:szCs w:val="20"/>
              </w:rPr>
              <w:t xml:space="preserve">Основные направления </w:t>
            </w:r>
            <w:r w:rsidR="00A6145F">
              <w:rPr>
                <w:rFonts w:eastAsia="Calibri"/>
                <w:sz w:val="20"/>
                <w:szCs w:val="20"/>
              </w:rPr>
              <w:br/>
            </w:r>
            <w:r w:rsidRPr="000C1465">
              <w:rPr>
                <w:rFonts w:eastAsia="Calibri"/>
                <w:sz w:val="20"/>
                <w:szCs w:val="20"/>
              </w:rPr>
              <w:t xml:space="preserve">деятельности Общероссийской общественной организации </w:t>
            </w:r>
            <w:r w:rsidR="00A6145F">
              <w:rPr>
                <w:rFonts w:eastAsia="Calibri"/>
                <w:sz w:val="20"/>
                <w:szCs w:val="20"/>
              </w:rPr>
              <w:br/>
            </w:r>
            <w:r w:rsidRPr="000C1465">
              <w:rPr>
                <w:rFonts w:eastAsia="Calibri"/>
                <w:sz w:val="20"/>
                <w:szCs w:val="20"/>
              </w:rPr>
              <w:t>«Ассоциации юристов России»…………………………………………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1056</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Жаркова Н. В., Агеев Н. </w:t>
            </w:r>
            <w:r w:rsidR="000C1465" w:rsidRPr="000C1465">
              <w:rPr>
                <w:rFonts w:eastAsia="Calibri"/>
                <w:b/>
                <w:sz w:val="20"/>
                <w:szCs w:val="20"/>
              </w:rPr>
              <w:t xml:space="preserve">В. </w:t>
            </w:r>
            <w:r w:rsidR="000C1465" w:rsidRPr="000C1465">
              <w:rPr>
                <w:rFonts w:eastAsia="Calibri"/>
                <w:sz w:val="20"/>
                <w:szCs w:val="20"/>
              </w:rPr>
              <w:t xml:space="preserve">Уголовная ответственность </w:t>
            </w:r>
            <w:r>
              <w:rPr>
                <w:rFonts w:eastAsia="Calibri"/>
                <w:sz w:val="20"/>
                <w:szCs w:val="20"/>
              </w:rPr>
              <w:br/>
            </w:r>
            <w:r w:rsidR="000C1465" w:rsidRPr="000C1465">
              <w:rPr>
                <w:rFonts w:eastAsia="Calibri"/>
                <w:sz w:val="20"/>
                <w:szCs w:val="20"/>
              </w:rPr>
              <w:t>за неоказание помощи лицу</w:t>
            </w:r>
            <w:r w:rsidR="000C1465" w:rsidRPr="000C1465">
              <w:rPr>
                <w:rFonts w:eastAsia="Calibri"/>
                <w:b/>
                <w:sz w:val="20"/>
                <w:szCs w:val="20"/>
              </w:rPr>
              <w:t xml:space="preserve"> </w:t>
            </w:r>
            <w:r w:rsidR="000C1465" w:rsidRPr="000C1465">
              <w:rPr>
                <w:rFonts w:eastAsia="Calibri"/>
                <w:sz w:val="20"/>
                <w:szCs w:val="20"/>
              </w:rPr>
              <w:t>…………………………………………</w:t>
            </w:r>
            <w:r>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1059</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Заболотная А. Е., Ембулаева Н. </w:t>
            </w:r>
            <w:r w:rsidR="000C1465" w:rsidRPr="000C1465">
              <w:rPr>
                <w:rFonts w:eastAsia="Calibri"/>
                <w:b/>
                <w:sz w:val="20"/>
                <w:szCs w:val="20"/>
              </w:rPr>
              <w:t xml:space="preserve">Ю. </w:t>
            </w:r>
            <w:r w:rsidR="000C1465" w:rsidRPr="000C1465">
              <w:rPr>
                <w:rFonts w:eastAsia="Calibri"/>
                <w:sz w:val="20"/>
                <w:szCs w:val="20"/>
              </w:rPr>
              <w:t xml:space="preserve">Проблема правового </w:t>
            </w:r>
            <w:r>
              <w:rPr>
                <w:rFonts w:eastAsia="Calibri"/>
                <w:sz w:val="20"/>
                <w:szCs w:val="20"/>
              </w:rPr>
              <w:br/>
            </w:r>
            <w:r w:rsidR="000C1465" w:rsidRPr="000C1465">
              <w:rPr>
                <w:rFonts w:eastAsia="Calibri"/>
                <w:sz w:val="20"/>
                <w:szCs w:val="20"/>
              </w:rPr>
              <w:t>регулирования эвтаназии в свете реализации права на жизнь ………</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1062</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Задорожная К. А., Мустафина С. </w:t>
            </w:r>
            <w:r w:rsidR="000C1465" w:rsidRPr="000C1465">
              <w:rPr>
                <w:rFonts w:eastAsia="Calibri"/>
                <w:b/>
                <w:sz w:val="20"/>
                <w:szCs w:val="20"/>
              </w:rPr>
              <w:t xml:space="preserve">А. </w:t>
            </w:r>
            <w:r w:rsidR="000C1465" w:rsidRPr="000C1465">
              <w:rPr>
                <w:rFonts w:eastAsia="Calibri"/>
                <w:sz w:val="20"/>
                <w:szCs w:val="20"/>
              </w:rPr>
              <w:t xml:space="preserve">Сравнительная </w:t>
            </w:r>
            <w:r>
              <w:rPr>
                <w:rFonts w:eastAsia="Calibri"/>
                <w:sz w:val="20"/>
                <w:szCs w:val="20"/>
              </w:rPr>
              <w:br/>
            </w:r>
            <w:r w:rsidR="000C1465" w:rsidRPr="000C1465">
              <w:rPr>
                <w:rFonts w:eastAsia="Calibri"/>
                <w:sz w:val="20"/>
                <w:szCs w:val="20"/>
              </w:rPr>
              <w:t>характеристика земельного налога в РФ и зарубежных странах…….</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1065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Зеленская Е. Д. </w:t>
            </w:r>
            <w:r w:rsidRPr="000C1465">
              <w:rPr>
                <w:rFonts w:eastAsia="Calibri"/>
                <w:sz w:val="20"/>
                <w:szCs w:val="20"/>
              </w:rPr>
              <w:t>К вопросу о более позднем выходе на пенсию по старости………………………..................................................................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1068</w:t>
            </w:r>
          </w:p>
        </w:tc>
      </w:tr>
      <w:tr w:rsidR="000C1465" w:rsidRPr="000C1465" w:rsidTr="00EB5229">
        <w:tc>
          <w:tcPr>
            <w:tcW w:w="6096" w:type="dxa"/>
          </w:tcPr>
          <w:p w:rsidR="000C1465" w:rsidRPr="000C1465" w:rsidRDefault="000C1465" w:rsidP="000C1465">
            <w:pPr>
              <w:rPr>
                <w:rFonts w:eastAsia="Calibri"/>
                <w:b/>
                <w:sz w:val="20"/>
                <w:szCs w:val="20"/>
              </w:rPr>
            </w:pPr>
            <w:r w:rsidRPr="000C1465">
              <w:rPr>
                <w:rFonts w:eastAsia="Calibri"/>
                <w:b/>
                <w:sz w:val="20"/>
                <w:szCs w:val="20"/>
              </w:rPr>
              <w:t xml:space="preserve">Зидириду М. </w:t>
            </w:r>
            <w:r w:rsidRPr="000C1465">
              <w:rPr>
                <w:rFonts w:eastAsia="Calibri"/>
                <w:sz w:val="20"/>
                <w:szCs w:val="20"/>
              </w:rPr>
              <w:t>Самозащита в гражданском праве России……………..</w:t>
            </w:r>
          </w:p>
        </w:tc>
        <w:tc>
          <w:tcPr>
            <w:tcW w:w="708" w:type="dxa"/>
          </w:tcPr>
          <w:p w:rsidR="000C1465" w:rsidRPr="000C1465" w:rsidRDefault="000C1465" w:rsidP="000C1465">
            <w:pPr>
              <w:rPr>
                <w:rFonts w:eastAsia="Calibri"/>
                <w:i/>
                <w:sz w:val="20"/>
                <w:szCs w:val="20"/>
              </w:rPr>
            </w:pPr>
            <w:r w:rsidRPr="000C1465">
              <w:rPr>
                <w:rFonts w:eastAsia="Calibri"/>
                <w:i/>
                <w:sz w:val="20"/>
                <w:szCs w:val="20"/>
                <w:lang w:val="en-US"/>
              </w:rPr>
              <w:t>10</w:t>
            </w:r>
            <w:r w:rsidR="00781B5C">
              <w:rPr>
                <w:rFonts w:eastAsia="Calibri"/>
                <w:i/>
                <w:sz w:val="20"/>
                <w:szCs w:val="20"/>
              </w:rPr>
              <w:t>71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Зуева К. А., Картавченко В. В. </w:t>
            </w:r>
            <w:r w:rsidRPr="000C1465">
              <w:rPr>
                <w:rFonts w:eastAsia="Calibri"/>
                <w:sz w:val="20"/>
                <w:szCs w:val="20"/>
              </w:rPr>
              <w:t xml:space="preserve">Проблемы правового </w:t>
            </w:r>
            <w:r w:rsidR="00A6145F">
              <w:rPr>
                <w:rFonts w:eastAsia="Calibri"/>
                <w:sz w:val="20"/>
                <w:szCs w:val="20"/>
              </w:rPr>
              <w:br/>
            </w:r>
            <w:r w:rsidRPr="000C1465">
              <w:rPr>
                <w:rFonts w:eastAsia="Calibri"/>
                <w:sz w:val="20"/>
                <w:szCs w:val="20"/>
              </w:rPr>
              <w:t>регулирования презумпция согласия в трансплантологии…………..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1074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Искандарова А. А. </w:t>
            </w:r>
            <w:r w:rsidRPr="000C1465">
              <w:rPr>
                <w:rFonts w:eastAsia="Calibri"/>
                <w:sz w:val="20"/>
                <w:szCs w:val="20"/>
              </w:rPr>
              <w:t xml:space="preserve">Правовое регулирование предвыборной </w:t>
            </w:r>
            <w:r w:rsidR="00A6145F">
              <w:rPr>
                <w:rFonts w:eastAsia="Calibri"/>
                <w:sz w:val="20"/>
                <w:szCs w:val="20"/>
              </w:rPr>
              <w:br/>
            </w:r>
            <w:r w:rsidRPr="000C1465">
              <w:rPr>
                <w:rFonts w:eastAsia="Calibri"/>
                <w:sz w:val="20"/>
                <w:szCs w:val="20"/>
              </w:rPr>
              <w:t>агитации в советском государстве……………………………………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1077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Карслиев И. А., Галкин А. Г. </w:t>
            </w:r>
            <w:r w:rsidRPr="000C1465">
              <w:rPr>
                <w:rFonts w:eastAsia="Calibri"/>
                <w:sz w:val="20"/>
                <w:szCs w:val="20"/>
              </w:rPr>
              <w:t xml:space="preserve">Суды по интеллектуальным правам </w:t>
            </w:r>
            <w:r w:rsidRPr="000C1465">
              <w:rPr>
                <w:rFonts w:eastAsia="Calibri"/>
                <w:sz w:val="20"/>
                <w:szCs w:val="20"/>
              </w:rPr>
              <w:br/>
              <w:t>в механизме современного российского государства…………………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1079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Кинякин В. Д., Бутурлина Е. С. </w:t>
            </w:r>
            <w:r w:rsidRPr="000C1465">
              <w:rPr>
                <w:rFonts w:eastAsia="Calibri"/>
                <w:sz w:val="20"/>
                <w:szCs w:val="20"/>
              </w:rPr>
              <w:t>Принцип разделения властей как основа конституционного строя 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1082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Кирдин В. А., Савельева Н. В. </w:t>
            </w:r>
            <w:r w:rsidRPr="000C1465">
              <w:rPr>
                <w:rFonts w:eastAsia="Calibri"/>
                <w:sz w:val="20"/>
                <w:szCs w:val="20"/>
              </w:rPr>
              <w:t>Понятие и содержание заключения эксперта в уголовном процессе…………………………………………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1085</w:t>
            </w:r>
          </w:p>
        </w:tc>
      </w:tr>
      <w:tr w:rsidR="000C1465" w:rsidRPr="000C1465" w:rsidTr="00EB5229">
        <w:tc>
          <w:tcPr>
            <w:tcW w:w="6096" w:type="dxa"/>
          </w:tcPr>
          <w:p w:rsidR="000C1465" w:rsidRPr="000C1465" w:rsidRDefault="000C1465" w:rsidP="000C1465">
            <w:pPr>
              <w:jc w:val="both"/>
              <w:rPr>
                <w:rFonts w:eastAsia="Calibri"/>
                <w:sz w:val="20"/>
                <w:szCs w:val="20"/>
              </w:rPr>
            </w:pPr>
            <w:r w:rsidRPr="000C1465">
              <w:rPr>
                <w:rFonts w:eastAsia="Calibri"/>
                <w:b/>
                <w:sz w:val="20"/>
                <w:szCs w:val="20"/>
              </w:rPr>
              <w:t xml:space="preserve">Коваленко А. Н., Павлова А. А. </w:t>
            </w:r>
            <w:r w:rsidRPr="000C1465">
              <w:rPr>
                <w:rFonts w:eastAsia="Calibri"/>
                <w:sz w:val="20"/>
                <w:szCs w:val="20"/>
              </w:rPr>
              <w:t xml:space="preserve">Необоснованный отказ при </w:t>
            </w:r>
            <w:r w:rsidR="00A6145F">
              <w:rPr>
                <w:rFonts w:eastAsia="Calibri"/>
                <w:sz w:val="20"/>
                <w:szCs w:val="20"/>
              </w:rPr>
              <w:br/>
            </w:r>
            <w:r w:rsidRPr="000C1465">
              <w:rPr>
                <w:rFonts w:eastAsia="Calibri"/>
                <w:sz w:val="20"/>
                <w:szCs w:val="20"/>
              </w:rPr>
              <w:t>приеме на работу: некоторые проблемы……………………………….</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1088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Козлов Ю. С., Грицаев С. И. </w:t>
            </w:r>
            <w:r w:rsidRPr="000C1465">
              <w:rPr>
                <w:rFonts w:eastAsia="Calibri"/>
                <w:sz w:val="20"/>
                <w:szCs w:val="20"/>
              </w:rPr>
              <w:t>Особенности личности преступника, совершившего убийство с особой жестокостью……….......................</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1091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Колодкина А. А., Чапурко Т. М. </w:t>
            </w:r>
            <w:r w:rsidRPr="000C1465">
              <w:rPr>
                <w:rFonts w:eastAsia="Calibri"/>
                <w:sz w:val="20"/>
                <w:szCs w:val="20"/>
              </w:rPr>
              <w:t xml:space="preserve">Исторические аспекты </w:t>
            </w:r>
            <w:r w:rsidR="00A6145F">
              <w:rPr>
                <w:rFonts w:eastAsia="Calibri"/>
                <w:sz w:val="20"/>
                <w:szCs w:val="20"/>
              </w:rPr>
              <w:br/>
            </w:r>
            <w:r w:rsidRPr="000C1465">
              <w:rPr>
                <w:rFonts w:eastAsia="Calibri"/>
                <w:sz w:val="20"/>
                <w:szCs w:val="20"/>
              </w:rPr>
              <w:t>посредничества во взяточничестве…………………………………….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1094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Кондратьев Б. П., Бутурлина Е. С. </w:t>
            </w:r>
            <w:r w:rsidRPr="000C1465">
              <w:rPr>
                <w:rFonts w:eastAsia="Calibri"/>
                <w:sz w:val="20"/>
                <w:szCs w:val="20"/>
              </w:rPr>
              <w:t xml:space="preserve">Реализация права избирать </w:t>
            </w:r>
            <w:r w:rsidRPr="000C1465">
              <w:rPr>
                <w:rFonts w:eastAsia="Calibri"/>
                <w:sz w:val="20"/>
                <w:szCs w:val="20"/>
              </w:rPr>
              <w:br/>
              <w:t xml:space="preserve">и быть избранными иностранными гражданами на территории </w:t>
            </w:r>
            <w:r w:rsidR="00A6145F">
              <w:rPr>
                <w:rFonts w:eastAsia="Calibri"/>
                <w:sz w:val="20"/>
                <w:szCs w:val="20"/>
              </w:rPr>
              <w:br/>
            </w:r>
            <w:r w:rsidRPr="000C1465">
              <w:rPr>
                <w:rFonts w:eastAsia="Calibri"/>
                <w:sz w:val="20"/>
                <w:szCs w:val="20"/>
              </w:rPr>
              <w:t>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1097</w:t>
            </w:r>
          </w:p>
        </w:tc>
      </w:tr>
      <w:tr w:rsidR="000C1465" w:rsidRPr="000C1465" w:rsidTr="00EB5229">
        <w:tc>
          <w:tcPr>
            <w:tcW w:w="6096" w:type="dxa"/>
          </w:tcPr>
          <w:p w:rsidR="00510884" w:rsidRPr="00781B5C" w:rsidRDefault="000C1465" w:rsidP="000C1465">
            <w:pPr>
              <w:jc w:val="both"/>
              <w:rPr>
                <w:rFonts w:eastAsia="Calibri"/>
                <w:sz w:val="20"/>
                <w:szCs w:val="20"/>
              </w:rPr>
            </w:pPr>
            <w:r w:rsidRPr="000C1465">
              <w:rPr>
                <w:rFonts w:eastAsia="Calibri"/>
                <w:b/>
                <w:sz w:val="20"/>
                <w:szCs w:val="20"/>
              </w:rPr>
              <w:t xml:space="preserve">Кононова Н. А., Петренко Е. А. </w:t>
            </w:r>
            <w:r w:rsidRPr="000C1465">
              <w:rPr>
                <w:rFonts w:eastAsia="Calibri"/>
                <w:sz w:val="20"/>
                <w:szCs w:val="20"/>
              </w:rPr>
              <w:t xml:space="preserve">Послания Президента как </w:t>
            </w:r>
            <w:r w:rsidR="00A6145F">
              <w:rPr>
                <w:rFonts w:eastAsia="Calibri"/>
                <w:sz w:val="20"/>
                <w:szCs w:val="20"/>
              </w:rPr>
              <w:br/>
            </w:r>
            <w:r w:rsidRPr="000C1465">
              <w:rPr>
                <w:rFonts w:eastAsia="Calibri"/>
                <w:sz w:val="20"/>
                <w:szCs w:val="20"/>
              </w:rPr>
              <w:t>источники конституционного права……………………………………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1099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Коротков А. В.,</w:t>
            </w:r>
            <w:r w:rsidRPr="000C1465">
              <w:rPr>
                <w:sz w:val="20"/>
                <w:szCs w:val="20"/>
              </w:rPr>
              <w:t xml:space="preserve"> </w:t>
            </w:r>
            <w:r w:rsidRPr="000C1465">
              <w:rPr>
                <w:rFonts w:eastAsia="Calibri"/>
                <w:b/>
                <w:sz w:val="20"/>
                <w:szCs w:val="20"/>
              </w:rPr>
              <w:t>Помазанов В. В.</w:t>
            </w:r>
            <w:r w:rsidRPr="000C1465">
              <w:rPr>
                <w:sz w:val="20"/>
                <w:szCs w:val="20"/>
              </w:rPr>
              <w:t xml:space="preserve"> </w:t>
            </w:r>
            <w:r w:rsidRPr="000C1465">
              <w:rPr>
                <w:rFonts w:eastAsia="Calibri"/>
                <w:sz w:val="20"/>
                <w:szCs w:val="20"/>
              </w:rPr>
              <w:t xml:space="preserve">Проведение следственных </w:t>
            </w:r>
            <w:r w:rsidR="00A6145F">
              <w:rPr>
                <w:rFonts w:eastAsia="Calibri"/>
                <w:sz w:val="20"/>
                <w:szCs w:val="20"/>
              </w:rPr>
              <w:br/>
            </w:r>
            <w:r w:rsidRPr="000C1465">
              <w:rPr>
                <w:rFonts w:eastAsia="Calibri"/>
                <w:sz w:val="20"/>
                <w:szCs w:val="20"/>
              </w:rPr>
              <w:t>действий с участием иностранцев……………………………………...</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1102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Кочур И. А. </w:t>
            </w:r>
            <w:r w:rsidRPr="000C1465">
              <w:rPr>
                <w:rFonts w:eastAsia="Calibri"/>
                <w:sz w:val="20"/>
                <w:szCs w:val="20"/>
              </w:rPr>
              <w:t xml:space="preserve">Психологические аспекты проверки следователем </w:t>
            </w:r>
            <w:r w:rsidR="00A6145F">
              <w:rPr>
                <w:rFonts w:eastAsia="Calibri"/>
                <w:sz w:val="20"/>
                <w:szCs w:val="20"/>
              </w:rPr>
              <w:br/>
            </w:r>
            <w:r w:rsidRPr="000C1465">
              <w:rPr>
                <w:rFonts w:eastAsia="Calibri"/>
                <w:sz w:val="20"/>
                <w:szCs w:val="20"/>
              </w:rPr>
              <w:t>сообщений и заявлений о преступлении……………………………….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1105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Кузнецова Л. Д., Малин П. М. </w:t>
            </w:r>
            <w:r w:rsidRPr="000C1465">
              <w:rPr>
                <w:rFonts w:eastAsia="Calibri"/>
                <w:sz w:val="20"/>
                <w:szCs w:val="20"/>
              </w:rPr>
              <w:t xml:space="preserve">Проблемы обращения приговора </w:t>
            </w:r>
            <w:r w:rsidRPr="000C1465">
              <w:rPr>
                <w:rFonts w:eastAsia="Calibri"/>
                <w:sz w:val="20"/>
                <w:szCs w:val="20"/>
              </w:rPr>
              <w:br/>
              <w:t>к исполнению…………………………………………………………….</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1107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Кулешова Е. Д. </w:t>
            </w:r>
            <w:r w:rsidRPr="000C1465">
              <w:rPr>
                <w:rFonts w:eastAsia="Calibri"/>
                <w:sz w:val="20"/>
                <w:szCs w:val="20"/>
              </w:rPr>
              <w:t>Развитие идеи правового государства………………</w:t>
            </w:r>
          </w:p>
        </w:tc>
        <w:tc>
          <w:tcPr>
            <w:tcW w:w="708" w:type="dxa"/>
          </w:tcPr>
          <w:p w:rsidR="000C1465" w:rsidRPr="000C1465" w:rsidRDefault="00781B5C" w:rsidP="000C1465">
            <w:pPr>
              <w:rPr>
                <w:rFonts w:eastAsia="Calibri"/>
                <w:i/>
                <w:sz w:val="20"/>
                <w:szCs w:val="20"/>
              </w:rPr>
            </w:pPr>
            <w:r>
              <w:rPr>
                <w:rFonts w:eastAsia="Calibri"/>
                <w:i/>
                <w:sz w:val="20"/>
                <w:szCs w:val="20"/>
              </w:rPr>
              <w:t>1109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Латыш И. И., Безуглов С. В. </w:t>
            </w:r>
            <w:r w:rsidRPr="000C1465">
              <w:rPr>
                <w:rFonts w:eastAsia="Calibri"/>
                <w:sz w:val="20"/>
                <w:szCs w:val="20"/>
              </w:rPr>
              <w:t>К вопросу о пробелах в Конституции 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1112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Лейба И. П., Климовских Н. В. </w:t>
            </w:r>
            <w:r w:rsidRPr="000C1465">
              <w:rPr>
                <w:rFonts w:eastAsia="Calibri"/>
                <w:sz w:val="20"/>
                <w:szCs w:val="20"/>
              </w:rPr>
              <w:t>Домарксистская и марксисткая политическая экономика………………………………………………..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1115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Лихолатов Г. С. </w:t>
            </w:r>
            <w:r w:rsidRPr="000C1465">
              <w:rPr>
                <w:rFonts w:eastAsia="Calibri"/>
                <w:sz w:val="20"/>
                <w:szCs w:val="20"/>
              </w:rPr>
              <w:t xml:space="preserve">О порядке избрания главы муниципального </w:t>
            </w:r>
            <w:r w:rsidR="00A6145F">
              <w:rPr>
                <w:rFonts w:eastAsia="Calibri"/>
                <w:sz w:val="20"/>
                <w:szCs w:val="20"/>
              </w:rPr>
              <w:br/>
            </w:r>
            <w:r w:rsidRPr="000C1465">
              <w:rPr>
                <w:rFonts w:eastAsia="Calibri"/>
                <w:sz w:val="20"/>
                <w:szCs w:val="20"/>
              </w:rPr>
              <w:t>образования конкурсным способом…………………………………….</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1118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Мазепа А. С., Михайлик А. А. </w:t>
            </w:r>
            <w:r w:rsidRPr="000C1465">
              <w:rPr>
                <w:rFonts w:eastAsia="Calibri"/>
                <w:sz w:val="20"/>
                <w:szCs w:val="20"/>
              </w:rPr>
              <w:t xml:space="preserve">Влияние реформ Солона </w:t>
            </w:r>
            <w:r w:rsidRPr="000C1465">
              <w:rPr>
                <w:rFonts w:eastAsia="Calibri"/>
                <w:sz w:val="20"/>
                <w:szCs w:val="20"/>
              </w:rPr>
              <w:br/>
              <w:t>на развитие афинской демократии…………………………………….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1121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Малимонова А. С., Гринь Е. А. </w:t>
            </w:r>
            <w:r w:rsidRPr="000C1465">
              <w:rPr>
                <w:rFonts w:eastAsia="Calibri"/>
                <w:sz w:val="20"/>
                <w:szCs w:val="20"/>
              </w:rPr>
              <w:t xml:space="preserve">Понятия, используемые </w:t>
            </w:r>
            <w:r w:rsidR="00A6145F">
              <w:rPr>
                <w:rFonts w:eastAsia="Calibri"/>
                <w:sz w:val="20"/>
                <w:szCs w:val="20"/>
              </w:rPr>
              <w:br/>
            </w:r>
            <w:r w:rsidRPr="000C1465">
              <w:rPr>
                <w:rFonts w:eastAsia="Calibri"/>
                <w:sz w:val="20"/>
                <w:szCs w:val="20"/>
              </w:rPr>
              <w:t xml:space="preserve">Конвенцией ООН о морском праве 1982 года для обозначения </w:t>
            </w:r>
            <w:r w:rsidR="00A6145F">
              <w:rPr>
                <w:rFonts w:eastAsia="Calibri"/>
                <w:sz w:val="20"/>
                <w:szCs w:val="20"/>
              </w:rPr>
              <w:br/>
            </w:r>
            <w:r w:rsidRPr="000C1465">
              <w:rPr>
                <w:rFonts w:eastAsia="Calibri"/>
                <w:sz w:val="20"/>
                <w:szCs w:val="20"/>
              </w:rPr>
              <w:t>искусственных объектов, находящихся в морских пространствах…..</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1124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Мануйлопойло В. В. </w:t>
            </w:r>
            <w:r w:rsidRPr="000C1465">
              <w:rPr>
                <w:rFonts w:eastAsia="Calibri"/>
                <w:sz w:val="20"/>
                <w:szCs w:val="20"/>
              </w:rPr>
              <w:t>Трудовая правосубъектность иностранных граждан в сфере сельского хозяйства…………………………………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1127</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Маргарян А. А., Картавченко В. </w:t>
            </w:r>
            <w:r w:rsidR="000C1465" w:rsidRPr="000C1465">
              <w:rPr>
                <w:rFonts w:eastAsia="Calibri"/>
                <w:b/>
                <w:sz w:val="20"/>
                <w:szCs w:val="20"/>
              </w:rPr>
              <w:t xml:space="preserve">В. </w:t>
            </w:r>
            <w:r w:rsidR="000C1465" w:rsidRPr="000C1465">
              <w:rPr>
                <w:rFonts w:eastAsia="Calibri"/>
                <w:sz w:val="20"/>
                <w:szCs w:val="20"/>
              </w:rPr>
              <w:t xml:space="preserve">Противодействие </w:t>
            </w:r>
            <w:r>
              <w:rPr>
                <w:rFonts w:eastAsia="Calibri"/>
                <w:sz w:val="20"/>
                <w:szCs w:val="20"/>
              </w:rPr>
              <w:br/>
            </w:r>
            <w:r w:rsidR="000C1465" w:rsidRPr="000C1465">
              <w:rPr>
                <w:rFonts w:eastAsia="Calibri"/>
                <w:sz w:val="20"/>
                <w:szCs w:val="20"/>
              </w:rPr>
              <w:t>внутрисемейных насильственных преступлений……………………..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1130</w:t>
            </w:r>
          </w:p>
        </w:tc>
      </w:tr>
      <w:tr w:rsidR="000C1465" w:rsidRPr="000C1465" w:rsidTr="00EB5229">
        <w:tc>
          <w:tcPr>
            <w:tcW w:w="6096" w:type="dxa"/>
          </w:tcPr>
          <w:p w:rsidR="00781B5C" w:rsidRPr="008D33CB" w:rsidRDefault="000C1465" w:rsidP="000C1465">
            <w:pPr>
              <w:jc w:val="both"/>
              <w:rPr>
                <w:rFonts w:eastAsia="Calibri"/>
                <w:sz w:val="20"/>
                <w:szCs w:val="20"/>
              </w:rPr>
            </w:pPr>
            <w:r w:rsidRPr="000C1465">
              <w:rPr>
                <w:rFonts w:eastAsia="Calibri"/>
                <w:b/>
                <w:sz w:val="20"/>
                <w:szCs w:val="20"/>
              </w:rPr>
              <w:t xml:space="preserve">Марунченко А. А., Чайка А. Н. </w:t>
            </w:r>
            <w:r w:rsidRPr="000C1465">
              <w:rPr>
                <w:rFonts w:eastAsia="Calibri"/>
                <w:sz w:val="20"/>
                <w:szCs w:val="20"/>
              </w:rPr>
              <w:t xml:space="preserve">Запреты и ограничения для </w:t>
            </w:r>
            <w:r w:rsidR="00A6145F">
              <w:rPr>
                <w:rFonts w:eastAsia="Calibri"/>
                <w:sz w:val="20"/>
                <w:szCs w:val="20"/>
              </w:rPr>
              <w:br/>
            </w:r>
            <w:r w:rsidRPr="000C1465">
              <w:rPr>
                <w:rFonts w:eastAsia="Calibri"/>
                <w:sz w:val="20"/>
                <w:szCs w:val="20"/>
              </w:rPr>
              <w:t>женщин в трудовом праве………………………………………………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1133</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 xml:space="preserve">Махмутова М. Р. </w:t>
            </w:r>
            <w:r w:rsidRPr="000C1465">
              <w:rPr>
                <w:rFonts w:eastAsia="Calibri"/>
                <w:sz w:val="20"/>
                <w:szCs w:val="20"/>
              </w:rPr>
              <w:t xml:space="preserve">Способствование СМИ распространению </w:t>
            </w:r>
            <w:r w:rsidR="00A6145F">
              <w:rPr>
                <w:rFonts w:eastAsia="Calibri"/>
                <w:sz w:val="20"/>
                <w:szCs w:val="20"/>
              </w:rPr>
              <w:br/>
            </w:r>
            <w:r w:rsidRPr="000C1465">
              <w:rPr>
                <w:rFonts w:eastAsia="Calibri"/>
                <w:sz w:val="20"/>
                <w:szCs w:val="20"/>
              </w:rPr>
              <w:t>терроризма и экстремизма………………………………………………</w:t>
            </w:r>
          </w:p>
          <w:p w:rsidR="008D33CB" w:rsidRPr="000C1465" w:rsidRDefault="008D33CB" w:rsidP="000C1465">
            <w:pPr>
              <w:jc w:val="both"/>
              <w:rPr>
                <w:rFonts w:eastAsia="Calibri"/>
                <w:b/>
                <w:sz w:val="20"/>
                <w:szCs w:val="20"/>
              </w:rPr>
            </w:pP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1136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Машкина Т. С., Ильницкая Л. И. </w:t>
            </w:r>
            <w:r w:rsidRPr="000C1465">
              <w:rPr>
                <w:rFonts w:eastAsia="Calibri"/>
                <w:sz w:val="20"/>
                <w:szCs w:val="20"/>
              </w:rPr>
              <w:t xml:space="preserve">Проблема определения границ особо охраняемых природных территорий: роль органов </w:t>
            </w:r>
            <w:r w:rsidR="00A6145F">
              <w:rPr>
                <w:rFonts w:eastAsia="Calibri"/>
                <w:sz w:val="20"/>
                <w:szCs w:val="20"/>
              </w:rPr>
              <w:br/>
            </w:r>
            <w:r w:rsidRPr="000C1465">
              <w:rPr>
                <w:rFonts w:eastAsia="Calibri"/>
                <w:sz w:val="20"/>
                <w:szCs w:val="20"/>
              </w:rPr>
              <w:t>прокуратуры……………………………………………………………...</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1139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Мельничук Г. Ю., Шпак Н. М. </w:t>
            </w:r>
            <w:r w:rsidRPr="000C1465">
              <w:rPr>
                <w:rFonts w:eastAsia="Calibri"/>
                <w:sz w:val="20"/>
                <w:szCs w:val="20"/>
              </w:rPr>
              <w:t xml:space="preserve">Нормативное регулирование </w:t>
            </w:r>
            <w:r w:rsidR="00A6145F">
              <w:rPr>
                <w:rFonts w:eastAsia="Calibri"/>
                <w:sz w:val="20"/>
                <w:szCs w:val="20"/>
              </w:rPr>
              <w:br/>
            </w:r>
            <w:r w:rsidRPr="000C1465">
              <w:rPr>
                <w:rFonts w:eastAsia="Calibri"/>
                <w:sz w:val="20"/>
                <w:szCs w:val="20"/>
              </w:rPr>
              <w:t>полномочий военной прокуратуры РФ………………………………...</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1142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Миланко А. М., Грицаев С. И. </w:t>
            </w:r>
            <w:r w:rsidRPr="000C1465">
              <w:rPr>
                <w:rFonts w:eastAsia="Calibri"/>
                <w:sz w:val="20"/>
                <w:szCs w:val="20"/>
              </w:rPr>
              <w:t xml:space="preserve">Перспектива применения </w:t>
            </w:r>
            <w:r w:rsidR="00A6145F">
              <w:rPr>
                <w:rFonts w:eastAsia="Calibri"/>
                <w:sz w:val="20"/>
                <w:szCs w:val="20"/>
              </w:rPr>
              <w:br/>
            </w:r>
            <w:r w:rsidRPr="000C1465">
              <w:rPr>
                <w:rFonts w:eastAsia="Calibri"/>
                <w:sz w:val="20"/>
                <w:szCs w:val="20"/>
              </w:rPr>
              <w:t>полиграфа в расследовании преступлений…………………………….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1145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Мирошниченко В. А., Танага А. Н. </w:t>
            </w:r>
            <w:r w:rsidRPr="000C1465">
              <w:rPr>
                <w:rFonts w:eastAsia="Calibri"/>
                <w:sz w:val="20"/>
                <w:szCs w:val="20"/>
              </w:rPr>
              <w:t>«Потребительский штраф»</w:t>
            </w:r>
            <w:r w:rsidRPr="000C1465">
              <w:rPr>
                <w:rFonts w:eastAsia="Calibri"/>
                <w:sz w:val="20"/>
                <w:szCs w:val="20"/>
              </w:rPr>
              <w:br/>
              <w:t xml:space="preserve"> в пользу субъектов предпринимательства?...........................................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1148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Мозолевская А. Г., Картавченко В. В. </w:t>
            </w:r>
            <w:r w:rsidRPr="000C1465">
              <w:rPr>
                <w:rFonts w:eastAsia="Calibri"/>
                <w:sz w:val="20"/>
                <w:szCs w:val="20"/>
              </w:rPr>
              <w:t>Личность преступника, совершающего тяжкие насильственные преступления………………</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1151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Негода Н. О., Танасиенко И. И. </w:t>
            </w:r>
            <w:r w:rsidRPr="000C1465">
              <w:rPr>
                <w:rFonts w:eastAsia="Calibri"/>
                <w:sz w:val="20"/>
                <w:szCs w:val="20"/>
              </w:rPr>
              <w:t xml:space="preserve">Проблемы назначения </w:t>
            </w:r>
            <w:r w:rsidRPr="000C1465">
              <w:rPr>
                <w:rFonts w:eastAsia="Calibri"/>
                <w:sz w:val="20"/>
                <w:szCs w:val="20"/>
              </w:rPr>
              <w:br/>
              <w:t>и проведения судебной экспертизы…………………………………….</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1154</w:t>
            </w:r>
          </w:p>
        </w:tc>
      </w:tr>
      <w:tr w:rsidR="000C1465" w:rsidRPr="000C1465" w:rsidTr="00EB5229">
        <w:tc>
          <w:tcPr>
            <w:tcW w:w="6096" w:type="dxa"/>
          </w:tcPr>
          <w:p w:rsidR="00510884" w:rsidRPr="00781B5C" w:rsidRDefault="000C1465" w:rsidP="000C1465">
            <w:pPr>
              <w:jc w:val="both"/>
              <w:rPr>
                <w:rFonts w:eastAsia="Calibri"/>
                <w:sz w:val="20"/>
                <w:szCs w:val="20"/>
              </w:rPr>
            </w:pPr>
            <w:r w:rsidRPr="000C1465">
              <w:rPr>
                <w:rFonts w:eastAsia="Calibri"/>
                <w:b/>
                <w:sz w:val="20"/>
                <w:szCs w:val="20"/>
              </w:rPr>
              <w:t xml:space="preserve">Немтин А. Д., Филь В. С. </w:t>
            </w:r>
            <w:r w:rsidRPr="000C1465">
              <w:rPr>
                <w:rFonts w:eastAsia="Calibri"/>
                <w:sz w:val="20"/>
                <w:szCs w:val="20"/>
              </w:rPr>
              <w:t xml:space="preserve">К вопросу о полномочиях прокурора </w:t>
            </w:r>
            <w:r w:rsidRPr="000C1465">
              <w:rPr>
                <w:rFonts w:eastAsia="Calibri"/>
                <w:sz w:val="20"/>
                <w:szCs w:val="20"/>
              </w:rPr>
              <w:br/>
              <w:t>в сфере уголовного судопроизводства…………………………………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1157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Николаенко Р. В., Шпак Н. М. </w:t>
            </w:r>
            <w:r w:rsidRPr="000C1465">
              <w:rPr>
                <w:rFonts w:eastAsia="Calibri"/>
                <w:sz w:val="20"/>
                <w:szCs w:val="20"/>
              </w:rPr>
              <w:t xml:space="preserve">Прокурорский надзор при </w:t>
            </w:r>
            <w:r w:rsidR="00A6145F">
              <w:rPr>
                <w:rFonts w:eastAsia="Calibri"/>
                <w:sz w:val="20"/>
                <w:szCs w:val="20"/>
              </w:rPr>
              <w:br/>
            </w:r>
            <w:r w:rsidRPr="000C1465">
              <w:rPr>
                <w:rFonts w:eastAsia="Calibri"/>
                <w:sz w:val="20"/>
                <w:szCs w:val="20"/>
              </w:rPr>
              <w:t>производстве предварительного расследования………………………</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1160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Нордлунд К. А., Влезько Д. А. </w:t>
            </w:r>
            <w:r w:rsidRPr="000C1465">
              <w:rPr>
                <w:rFonts w:eastAsia="Calibri"/>
                <w:sz w:val="20"/>
                <w:szCs w:val="20"/>
              </w:rPr>
              <w:t xml:space="preserve">Современные проблемы </w:t>
            </w:r>
            <w:r w:rsidR="00A6145F">
              <w:rPr>
                <w:rFonts w:eastAsia="Calibri"/>
                <w:sz w:val="20"/>
                <w:szCs w:val="20"/>
              </w:rPr>
              <w:br/>
            </w:r>
            <w:r w:rsidRPr="000C1465">
              <w:rPr>
                <w:rFonts w:eastAsia="Calibri"/>
                <w:sz w:val="20"/>
                <w:szCs w:val="20"/>
              </w:rPr>
              <w:t xml:space="preserve">производства судебно-медицинской экспертизы трупа </w:t>
            </w:r>
            <w:r w:rsidRPr="000C1465">
              <w:rPr>
                <w:rFonts w:eastAsia="Calibri"/>
                <w:sz w:val="20"/>
                <w:szCs w:val="20"/>
              </w:rPr>
              <w:br/>
              <w:t>с термическим поражением……………………………………………..</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1163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Носов Д. С. </w:t>
            </w:r>
            <w:r w:rsidRPr="000C1465">
              <w:rPr>
                <w:rFonts w:eastAsia="Calibri"/>
                <w:sz w:val="20"/>
                <w:szCs w:val="20"/>
              </w:rPr>
              <w:t>Понятие конституционно-правового статуса беженцев и вынужденных переселенцев………………………………………….</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1166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Олейников А. А., Очаковский В. А. </w:t>
            </w:r>
            <w:r w:rsidRPr="000C1465">
              <w:rPr>
                <w:rFonts w:eastAsia="Calibri"/>
                <w:sz w:val="20"/>
                <w:szCs w:val="20"/>
              </w:rPr>
              <w:t xml:space="preserve">Упразднение бухгалтерий </w:t>
            </w:r>
            <w:r w:rsidR="00A6145F">
              <w:rPr>
                <w:rFonts w:eastAsia="Calibri"/>
                <w:sz w:val="20"/>
                <w:szCs w:val="20"/>
              </w:rPr>
              <w:br/>
            </w:r>
            <w:r w:rsidRPr="000C1465">
              <w:rPr>
                <w:rFonts w:eastAsia="Calibri"/>
                <w:sz w:val="20"/>
                <w:szCs w:val="20"/>
              </w:rPr>
              <w:t>в бюджетных учреждениях в целях оптимизации: цели и проблемы</w:t>
            </w:r>
            <w:proofErr w:type="gramStart"/>
            <w:r w:rsidR="00A6145F">
              <w:rPr>
                <w:rFonts w:eastAsia="Calibri"/>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1168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Панасенко В. С., Картавченко В. В. </w:t>
            </w:r>
            <w:r w:rsidRPr="000C1465">
              <w:rPr>
                <w:rFonts w:eastAsia="Calibri"/>
                <w:sz w:val="20"/>
                <w:szCs w:val="20"/>
              </w:rPr>
              <w:t xml:space="preserve">Исторический аспект </w:t>
            </w:r>
            <w:r w:rsidR="00A6145F">
              <w:rPr>
                <w:rFonts w:eastAsia="Calibri"/>
                <w:sz w:val="20"/>
                <w:szCs w:val="20"/>
              </w:rPr>
              <w:br/>
            </w:r>
            <w:r w:rsidRPr="000C1465">
              <w:rPr>
                <w:rFonts w:eastAsia="Calibri"/>
                <w:sz w:val="20"/>
                <w:szCs w:val="20"/>
              </w:rPr>
              <w:t>развития понятия терроризм……………………………………………</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1171</w:t>
            </w:r>
          </w:p>
        </w:tc>
      </w:tr>
      <w:tr w:rsidR="000C1465" w:rsidRPr="000C1465" w:rsidTr="00EB5229">
        <w:tc>
          <w:tcPr>
            <w:tcW w:w="6096" w:type="dxa"/>
          </w:tcPr>
          <w:p w:rsidR="000C1465" w:rsidRPr="00A6145F" w:rsidRDefault="000C1465" w:rsidP="000C1465">
            <w:pPr>
              <w:jc w:val="both"/>
              <w:rPr>
                <w:rFonts w:eastAsia="Calibri"/>
                <w:sz w:val="20"/>
                <w:szCs w:val="20"/>
              </w:rPr>
            </w:pPr>
            <w:r w:rsidRPr="000C1465">
              <w:rPr>
                <w:rFonts w:eastAsia="Calibri"/>
                <w:b/>
                <w:sz w:val="20"/>
                <w:szCs w:val="20"/>
              </w:rPr>
              <w:t xml:space="preserve">Пантелей Д. Г. </w:t>
            </w:r>
            <w:r w:rsidRPr="000C1465">
              <w:rPr>
                <w:rFonts w:eastAsia="Calibri"/>
                <w:sz w:val="20"/>
                <w:szCs w:val="20"/>
              </w:rPr>
              <w:t>Правовые основы реализации правотворческой инициативы граждан в субъектах РФ………………………………….</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1174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Пастухов М. М., Картавченко В. В. </w:t>
            </w:r>
            <w:r w:rsidRPr="000C1465">
              <w:rPr>
                <w:rFonts w:eastAsia="Calibri"/>
                <w:sz w:val="20"/>
                <w:szCs w:val="20"/>
              </w:rPr>
              <w:t xml:space="preserve">О теоретических основах </w:t>
            </w:r>
            <w:r w:rsidRPr="000C1465">
              <w:rPr>
                <w:rFonts w:eastAsia="Calibri"/>
                <w:sz w:val="20"/>
                <w:szCs w:val="20"/>
              </w:rPr>
              <w:br/>
              <w:t>и целях виктимологической профилактики преступлений………….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1176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Пенькова А. С., Шищенко Е. А. </w:t>
            </w:r>
            <w:r w:rsidRPr="000C1465">
              <w:rPr>
                <w:rFonts w:eastAsia="Calibri"/>
                <w:sz w:val="20"/>
                <w:szCs w:val="20"/>
              </w:rPr>
              <w:t xml:space="preserve">Проблемы законодательной </w:t>
            </w:r>
            <w:r w:rsidR="00A6145F">
              <w:rPr>
                <w:rFonts w:eastAsia="Calibri"/>
                <w:sz w:val="20"/>
                <w:szCs w:val="20"/>
              </w:rPr>
              <w:br/>
            </w:r>
            <w:r w:rsidRPr="000C1465">
              <w:rPr>
                <w:rFonts w:eastAsia="Calibri"/>
                <w:sz w:val="20"/>
                <w:szCs w:val="20"/>
              </w:rPr>
              <w:t>регламентации уголовной ответственности за половое сношение и иные действия сексуального характера с лицом, не достигшим шестнадцатилетнего возраста (ст. 134 УК РФ)……………………….</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1179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Петров А. Д. </w:t>
            </w:r>
            <w:r w:rsidRPr="000C1465">
              <w:rPr>
                <w:rFonts w:eastAsia="Calibri"/>
                <w:sz w:val="20"/>
                <w:szCs w:val="20"/>
              </w:rPr>
              <w:t>Особенности приема на работу лиц с судимостью……</w:t>
            </w:r>
          </w:p>
        </w:tc>
        <w:tc>
          <w:tcPr>
            <w:tcW w:w="708" w:type="dxa"/>
          </w:tcPr>
          <w:p w:rsidR="000C1465" w:rsidRPr="000C1465" w:rsidRDefault="00781B5C" w:rsidP="000C1465">
            <w:pPr>
              <w:rPr>
                <w:rFonts w:eastAsia="Calibri"/>
                <w:i/>
                <w:sz w:val="20"/>
                <w:szCs w:val="20"/>
              </w:rPr>
            </w:pPr>
            <w:r>
              <w:rPr>
                <w:rFonts w:eastAsia="Calibri"/>
                <w:i/>
                <w:sz w:val="20"/>
                <w:szCs w:val="20"/>
              </w:rPr>
              <w:t>1182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Плохотнюк Д. О. </w:t>
            </w:r>
            <w:r w:rsidRPr="000C1465">
              <w:rPr>
                <w:rFonts w:eastAsia="Calibri"/>
                <w:sz w:val="20"/>
                <w:szCs w:val="20"/>
              </w:rPr>
              <w:t xml:space="preserve">Конституционно-правовая ответственность </w:t>
            </w:r>
            <w:r w:rsidRPr="000C1465">
              <w:rPr>
                <w:rFonts w:eastAsia="Calibri"/>
                <w:sz w:val="20"/>
                <w:szCs w:val="20"/>
              </w:rPr>
              <w:br/>
              <w:t>за нарушения избирательного законодательства……………………...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1185</w:t>
            </w:r>
          </w:p>
        </w:tc>
      </w:tr>
      <w:tr w:rsidR="000C1465" w:rsidRPr="000C1465" w:rsidTr="00EB5229">
        <w:tc>
          <w:tcPr>
            <w:tcW w:w="6096" w:type="dxa"/>
          </w:tcPr>
          <w:p w:rsidR="00781B5C" w:rsidRPr="008D33CB" w:rsidRDefault="000C1465" w:rsidP="000C1465">
            <w:pPr>
              <w:jc w:val="both"/>
              <w:rPr>
                <w:rFonts w:eastAsia="Calibri"/>
                <w:sz w:val="20"/>
                <w:szCs w:val="20"/>
              </w:rPr>
            </w:pPr>
            <w:r w:rsidRPr="000C1465">
              <w:rPr>
                <w:rFonts w:eastAsia="Calibri"/>
                <w:b/>
                <w:sz w:val="20"/>
                <w:szCs w:val="20"/>
              </w:rPr>
              <w:t xml:space="preserve">Подолянко А. В. </w:t>
            </w:r>
            <w:r w:rsidRPr="000C1465">
              <w:rPr>
                <w:rFonts w:eastAsia="Calibri"/>
                <w:sz w:val="20"/>
                <w:szCs w:val="20"/>
              </w:rPr>
              <w:t xml:space="preserve">Актуальные проблемы квалификации </w:t>
            </w:r>
            <w:r w:rsidR="00A6145F">
              <w:rPr>
                <w:rFonts w:eastAsia="Calibri"/>
                <w:sz w:val="20"/>
                <w:szCs w:val="20"/>
              </w:rPr>
              <w:br/>
            </w:r>
            <w:r w:rsidRPr="000C1465">
              <w:rPr>
                <w:rFonts w:eastAsia="Calibri"/>
                <w:sz w:val="20"/>
                <w:szCs w:val="20"/>
              </w:rPr>
              <w:t>пособничества за преступления террористической направленности...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1188</w:t>
            </w:r>
          </w:p>
        </w:tc>
      </w:tr>
      <w:tr w:rsidR="000C1465" w:rsidRPr="000C1465" w:rsidTr="00EB5229">
        <w:tc>
          <w:tcPr>
            <w:tcW w:w="6096" w:type="dxa"/>
          </w:tcPr>
          <w:p w:rsidR="000C1465" w:rsidRDefault="000C1465" w:rsidP="000C1465">
            <w:pPr>
              <w:jc w:val="both"/>
              <w:rPr>
                <w:rFonts w:eastAsia="Calibri"/>
                <w:sz w:val="20"/>
                <w:szCs w:val="20"/>
              </w:rPr>
            </w:pPr>
            <w:r w:rsidRPr="000C1465">
              <w:rPr>
                <w:rFonts w:eastAsia="Calibri"/>
                <w:b/>
                <w:sz w:val="20"/>
                <w:szCs w:val="20"/>
              </w:rPr>
              <w:t xml:space="preserve">Позднякова Е. Ю., Михайлик А. А. </w:t>
            </w:r>
            <w:r w:rsidRPr="000C1465">
              <w:rPr>
                <w:rFonts w:eastAsia="Calibri"/>
                <w:sz w:val="20"/>
                <w:szCs w:val="20"/>
              </w:rPr>
              <w:t xml:space="preserve">Развитие гражданского </w:t>
            </w:r>
            <w:r w:rsidRPr="000C1465">
              <w:rPr>
                <w:rFonts w:eastAsia="Calibri"/>
                <w:sz w:val="20"/>
                <w:szCs w:val="20"/>
              </w:rPr>
              <w:br/>
              <w:t>и гражданского процессуального  права Греции в XX-XXI вв……….</w:t>
            </w:r>
          </w:p>
          <w:p w:rsidR="00A8541B" w:rsidRPr="000C1465" w:rsidRDefault="00A8541B" w:rsidP="000C1465">
            <w:pPr>
              <w:jc w:val="both"/>
              <w:rPr>
                <w:rFonts w:eastAsia="Calibri"/>
                <w:b/>
                <w:sz w:val="20"/>
                <w:szCs w:val="20"/>
              </w:rPr>
            </w:pP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1191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Поляков Я. Г., Шпак Н. М. </w:t>
            </w:r>
            <w:r w:rsidRPr="000C1465">
              <w:rPr>
                <w:rFonts w:eastAsia="Calibri"/>
                <w:sz w:val="20"/>
                <w:szCs w:val="20"/>
              </w:rPr>
              <w:t xml:space="preserve">Права и обязанности адвоката </w:t>
            </w:r>
            <w:r w:rsidRPr="000C1465">
              <w:rPr>
                <w:rFonts w:eastAsia="Calibri"/>
                <w:sz w:val="20"/>
                <w:szCs w:val="20"/>
              </w:rPr>
              <w:br/>
              <w:t>в уголовном судопроизводстве…………………………………………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1194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Попова В. А., Михайлик А. А. </w:t>
            </w:r>
            <w:r w:rsidRPr="000C1465">
              <w:rPr>
                <w:rFonts w:eastAsia="Calibri"/>
                <w:sz w:val="20"/>
                <w:szCs w:val="20"/>
              </w:rPr>
              <w:t>Актуальные проблемы обеспечения медицинской помощи в сельской местности………………………….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1197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Радякина А. И., Картавченко В. В. </w:t>
            </w:r>
            <w:r w:rsidRPr="000C1465">
              <w:rPr>
                <w:rFonts w:eastAsia="Calibri"/>
                <w:sz w:val="20"/>
                <w:szCs w:val="20"/>
              </w:rPr>
              <w:t>Проблема квалификации убийств, совершённых в состоянии аффекта………………………….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1200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Ракитянский И. А., Безуглов С. В. </w:t>
            </w:r>
            <w:r w:rsidRPr="000C1465">
              <w:rPr>
                <w:rFonts w:eastAsia="Calibri"/>
                <w:sz w:val="20"/>
                <w:szCs w:val="20"/>
              </w:rPr>
              <w:t>Институт отзыва выборных лиц в конституционном праве………………………………………………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1203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Ребенок Р. В., Грицаев С. И. </w:t>
            </w:r>
            <w:r w:rsidRPr="000C1465">
              <w:rPr>
                <w:rFonts w:eastAsia="Calibri"/>
                <w:sz w:val="20"/>
                <w:szCs w:val="20"/>
              </w:rPr>
              <w:t>Изучение личности преступника: криминолого-криминалистический аспект……………………………</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1206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Рожков Д. А., Влезько Д. А. </w:t>
            </w:r>
            <w:r w:rsidRPr="000C1465">
              <w:rPr>
                <w:rFonts w:eastAsia="Calibri"/>
                <w:sz w:val="20"/>
                <w:szCs w:val="20"/>
              </w:rPr>
              <w:t xml:space="preserve">Криминалистические проблемы </w:t>
            </w:r>
            <w:r w:rsidR="00A6145F">
              <w:rPr>
                <w:rFonts w:eastAsia="Calibri"/>
                <w:sz w:val="20"/>
                <w:szCs w:val="20"/>
              </w:rPr>
              <w:br/>
            </w:r>
            <w:r w:rsidRPr="000C1465">
              <w:rPr>
                <w:rFonts w:eastAsia="Calibri"/>
                <w:sz w:val="20"/>
                <w:szCs w:val="20"/>
              </w:rPr>
              <w:t>борьбы с коррупцией……………………………………………………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1209</w:t>
            </w:r>
          </w:p>
        </w:tc>
      </w:tr>
      <w:tr w:rsidR="000C1465" w:rsidRPr="000C1465" w:rsidTr="00EB5229">
        <w:tc>
          <w:tcPr>
            <w:tcW w:w="6096" w:type="dxa"/>
          </w:tcPr>
          <w:p w:rsidR="00A6145F" w:rsidRPr="00EB5229" w:rsidRDefault="000C1465" w:rsidP="000C1465">
            <w:pPr>
              <w:jc w:val="both"/>
              <w:rPr>
                <w:rFonts w:eastAsia="Calibri"/>
                <w:sz w:val="20"/>
                <w:szCs w:val="20"/>
              </w:rPr>
            </w:pPr>
            <w:r w:rsidRPr="000C1465">
              <w:rPr>
                <w:rFonts w:eastAsia="Calibri"/>
                <w:b/>
                <w:sz w:val="20"/>
                <w:szCs w:val="20"/>
              </w:rPr>
              <w:t xml:space="preserve">Рябинина Ю. В., Безуглов С. В. </w:t>
            </w:r>
            <w:r w:rsidRPr="000C1465">
              <w:rPr>
                <w:rFonts w:eastAsia="Calibri"/>
                <w:sz w:val="20"/>
                <w:szCs w:val="20"/>
              </w:rPr>
              <w:t xml:space="preserve">Общественный договор как </w:t>
            </w:r>
            <w:r w:rsidR="00A6145F">
              <w:rPr>
                <w:rFonts w:eastAsia="Calibri"/>
                <w:sz w:val="20"/>
                <w:szCs w:val="20"/>
              </w:rPr>
              <w:br/>
            </w:r>
            <w:r w:rsidRPr="000C1465">
              <w:rPr>
                <w:rFonts w:eastAsia="Calibri"/>
                <w:sz w:val="20"/>
                <w:szCs w:val="20"/>
              </w:rPr>
              <w:t>основа конституционализма……………………………………………</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1212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Сазоненко М. М., Лепешкина О. В. </w:t>
            </w:r>
            <w:r w:rsidRPr="000C1465">
              <w:rPr>
                <w:rFonts w:eastAsia="Calibri"/>
                <w:sz w:val="20"/>
                <w:szCs w:val="20"/>
              </w:rPr>
              <w:t xml:space="preserve">Правовое регулирование </w:t>
            </w:r>
            <w:r w:rsidR="00A6145F">
              <w:rPr>
                <w:rFonts w:eastAsia="Calibri"/>
                <w:sz w:val="20"/>
                <w:szCs w:val="20"/>
              </w:rPr>
              <w:br/>
            </w:r>
            <w:r w:rsidRPr="000C1465">
              <w:rPr>
                <w:rFonts w:eastAsia="Calibri"/>
                <w:sz w:val="20"/>
                <w:szCs w:val="20"/>
              </w:rPr>
              <w:t>производства лекарственных растений………………………………..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1215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Самойлова В. В. </w:t>
            </w:r>
            <w:r w:rsidRPr="000C1465">
              <w:rPr>
                <w:rFonts w:eastAsia="Calibri"/>
                <w:sz w:val="20"/>
                <w:szCs w:val="20"/>
              </w:rPr>
              <w:t>К вопросу о понятии «неопределенный круг лиц» в гражданском процессе………………………………………………...</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1218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Свинобой Н. Л., Шпак Н. М. </w:t>
            </w:r>
            <w:r w:rsidRPr="000C1465">
              <w:rPr>
                <w:rFonts w:eastAsia="Calibri"/>
                <w:sz w:val="20"/>
                <w:szCs w:val="20"/>
              </w:rPr>
              <w:t>Участие защитника при производстве следственных действий…………………………………………………</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1221</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Семенов Д. Ю., Бутурлина Е. </w:t>
            </w:r>
            <w:r w:rsidR="000C1465" w:rsidRPr="000C1465">
              <w:rPr>
                <w:rFonts w:eastAsia="Calibri"/>
                <w:b/>
                <w:sz w:val="20"/>
                <w:szCs w:val="20"/>
              </w:rPr>
              <w:t xml:space="preserve">С. </w:t>
            </w:r>
            <w:r w:rsidR="000C1465" w:rsidRPr="000C1465">
              <w:rPr>
                <w:rFonts w:eastAsia="Calibri"/>
                <w:sz w:val="20"/>
                <w:szCs w:val="20"/>
              </w:rPr>
              <w:t xml:space="preserve">Правовые позиции </w:t>
            </w:r>
            <w:r>
              <w:rPr>
                <w:rFonts w:eastAsia="Calibri"/>
                <w:sz w:val="20"/>
                <w:szCs w:val="20"/>
              </w:rPr>
              <w:br/>
            </w:r>
            <w:r w:rsidR="000C1465" w:rsidRPr="000C1465">
              <w:rPr>
                <w:rFonts w:eastAsia="Calibri"/>
                <w:sz w:val="20"/>
                <w:szCs w:val="20"/>
              </w:rPr>
              <w:t>Конституционного Суда Российской Федерации……………………..</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1224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Семенова К. Д., Шпак Н. М. </w:t>
            </w:r>
            <w:r w:rsidRPr="000C1465">
              <w:rPr>
                <w:rFonts w:eastAsia="Calibri"/>
                <w:sz w:val="20"/>
                <w:szCs w:val="20"/>
              </w:rPr>
              <w:t>Проблемы назначения и исполнения наказания в виде  исправительных работ………………………………</w:t>
            </w:r>
          </w:p>
        </w:tc>
        <w:tc>
          <w:tcPr>
            <w:tcW w:w="708" w:type="dxa"/>
          </w:tcPr>
          <w:p w:rsidR="000C1465" w:rsidRPr="000C1465" w:rsidRDefault="000C1465" w:rsidP="000C1465">
            <w:pPr>
              <w:rPr>
                <w:rFonts w:eastAsia="Calibri"/>
                <w:i/>
                <w:sz w:val="20"/>
                <w:szCs w:val="20"/>
              </w:rPr>
            </w:pPr>
          </w:p>
          <w:p w:rsidR="000C1465" w:rsidRPr="000C1465" w:rsidRDefault="00781B5C" w:rsidP="000C1465">
            <w:pPr>
              <w:rPr>
                <w:rFonts w:eastAsia="Calibri"/>
                <w:i/>
                <w:sz w:val="20"/>
                <w:szCs w:val="20"/>
              </w:rPr>
            </w:pPr>
            <w:r>
              <w:rPr>
                <w:rFonts w:eastAsia="Calibri"/>
                <w:i/>
                <w:sz w:val="20"/>
                <w:szCs w:val="20"/>
              </w:rPr>
              <w:t>1227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Семенюта В. Г., Красницкая А. В. </w:t>
            </w:r>
            <w:r w:rsidRPr="000C1465">
              <w:rPr>
                <w:rFonts w:eastAsia="Calibri"/>
                <w:sz w:val="20"/>
                <w:szCs w:val="20"/>
              </w:rPr>
              <w:t xml:space="preserve">Соотношение понятий </w:t>
            </w:r>
            <w:r w:rsidR="00A6145F">
              <w:rPr>
                <w:rFonts w:eastAsia="Calibri"/>
                <w:sz w:val="20"/>
                <w:szCs w:val="20"/>
              </w:rPr>
              <w:br/>
            </w:r>
            <w:r w:rsidRPr="000C1465">
              <w:rPr>
                <w:rFonts w:eastAsia="Calibri"/>
                <w:sz w:val="20"/>
                <w:szCs w:val="20"/>
              </w:rPr>
              <w:t>«спортивные мероприятия» и «публичные мероприятия»…………...</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1230</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Соловыхова А. С. </w:t>
            </w:r>
            <w:r w:rsidRPr="000C1465">
              <w:rPr>
                <w:rFonts w:eastAsia="Calibri"/>
                <w:sz w:val="20"/>
                <w:szCs w:val="20"/>
              </w:rPr>
              <w:t xml:space="preserve">Проблемы уголовной ответственности </w:t>
            </w:r>
            <w:r w:rsidR="00A6145F">
              <w:rPr>
                <w:rFonts w:eastAsia="Calibri"/>
                <w:sz w:val="20"/>
                <w:szCs w:val="20"/>
              </w:rPr>
              <w:br/>
            </w:r>
            <w:r w:rsidRPr="000C1465">
              <w:rPr>
                <w:rFonts w:eastAsia="Calibri"/>
                <w:sz w:val="20"/>
                <w:szCs w:val="20"/>
              </w:rPr>
              <w:t>несовершеннолетних в РФ и зарубежных странах……………………</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1233</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Супереченко Е. Д. </w:t>
            </w:r>
            <w:r w:rsidRPr="000C1465">
              <w:rPr>
                <w:rFonts w:eastAsia="Calibri"/>
                <w:sz w:val="20"/>
                <w:szCs w:val="20"/>
              </w:rPr>
              <w:t xml:space="preserve">Правовое регулирование труда лиц, </w:t>
            </w:r>
            <w:r w:rsidR="00A6145F">
              <w:rPr>
                <w:rFonts w:eastAsia="Calibri"/>
                <w:sz w:val="20"/>
                <w:szCs w:val="20"/>
              </w:rPr>
              <w:br/>
            </w:r>
            <w:r w:rsidRPr="000C1465">
              <w:rPr>
                <w:rFonts w:eastAsia="Calibri"/>
                <w:sz w:val="20"/>
                <w:szCs w:val="20"/>
              </w:rPr>
              <w:t>инфицированных ВИЧ/СПИДом……………………………………….</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1236</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Тихоиванова А. С., Лепешкина О. В. </w:t>
            </w:r>
            <w:r w:rsidRPr="000C1465">
              <w:rPr>
                <w:rFonts w:eastAsia="Calibri"/>
                <w:sz w:val="20"/>
                <w:szCs w:val="20"/>
              </w:rPr>
              <w:t xml:space="preserve">Тенденции развития </w:t>
            </w:r>
            <w:r w:rsidR="00A6145F">
              <w:rPr>
                <w:rFonts w:eastAsia="Calibri"/>
                <w:sz w:val="20"/>
                <w:szCs w:val="20"/>
              </w:rPr>
              <w:br/>
            </w:r>
            <w:r w:rsidRPr="000C1465">
              <w:rPr>
                <w:rFonts w:eastAsia="Calibri"/>
                <w:sz w:val="20"/>
                <w:szCs w:val="20"/>
              </w:rPr>
              <w:t>медицинского права в России…………………………………………..</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1239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Федоренко П. М. </w:t>
            </w:r>
            <w:r w:rsidRPr="000C1465">
              <w:rPr>
                <w:rFonts w:eastAsia="Calibri"/>
                <w:sz w:val="20"/>
                <w:szCs w:val="20"/>
              </w:rPr>
              <w:t>К вопросу о финансировании сыскной полиции на Кубани: вторая половина XIX –начало XX в.в…………………….</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1242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Феронов А. С., Красницкая А. В. </w:t>
            </w:r>
            <w:r w:rsidRPr="000C1465">
              <w:rPr>
                <w:rFonts w:eastAsia="Calibri"/>
                <w:sz w:val="20"/>
                <w:szCs w:val="20"/>
              </w:rPr>
              <w:t xml:space="preserve">Правовые последствия </w:t>
            </w:r>
            <w:r w:rsidR="00A6145F">
              <w:rPr>
                <w:rFonts w:eastAsia="Calibri"/>
                <w:sz w:val="20"/>
                <w:szCs w:val="20"/>
              </w:rPr>
              <w:br/>
            </w:r>
            <w:r w:rsidRPr="000C1465">
              <w:rPr>
                <w:rFonts w:eastAsia="Calibri"/>
                <w:sz w:val="20"/>
                <w:szCs w:val="20"/>
              </w:rPr>
              <w:t xml:space="preserve">предъявления требований кредиторов о передаче нежилых </w:t>
            </w:r>
            <w:r w:rsidR="00A6145F">
              <w:rPr>
                <w:rFonts w:eastAsia="Calibri"/>
                <w:sz w:val="20"/>
                <w:szCs w:val="20"/>
              </w:rPr>
              <w:br/>
            </w:r>
            <w:r w:rsidRPr="000C1465">
              <w:rPr>
                <w:rFonts w:eastAsia="Calibri"/>
                <w:sz w:val="20"/>
                <w:szCs w:val="20"/>
              </w:rPr>
              <w:t>помещений……………………………………………………………….</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1245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Филимонов О. А., Мустафина С. А. </w:t>
            </w:r>
            <w:r w:rsidRPr="000C1465">
              <w:rPr>
                <w:rFonts w:eastAsia="Calibri"/>
                <w:sz w:val="20"/>
                <w:szCs w:val="20"/>
              </w:rPr>
              <w:t xml:space="preserve">Способы защиты частной собственности на земельный участок в нормах земельного </w:t>
            </w:r>
            <w:r w:rsidR="00A6145F">
              <w:rPr>
                <w:rFonts w:eastAsia="Calibri"/>
                <w:sz w:val="20"/>
                <w:szCs w:val="20"/>
              </w:rPr>
              <w:br/>
            </w:r>
            <w:r w:rsidRPr="000C1465">
              <w:rPr>
                <w:rFonts w:eastAsia="Calibri"/>
                <w:sz w:val="20"/>
                <w:szCs w:val="20"/>
              </w:rPr>
              <w:t>и жилищного законодательства………………………………………</w:t>
            </w:r>
            <w:r w:rsidR="00A6145F">
              <w:rPr>
                <w:rFonts w:eastAsia="Calibri"/>
                <w:sz w:val="20"/>
                <w:szCs w:val="20"/>
              </w:rPr>
              <w:t>...</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1248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Фоменко Д. Д. </w:t>
            </w:r>
            <w:r w:rsidRPr="000C1465">
              <w:rPr>
                <w:rFonts w:eastAsia="Calibri"/>
                <w:sz w:val="20"/>
                <w:szCs w:val="20"/>
              </w:rPr>
              <w:t xml:space="preserve">К вопросу об истории усыновления (удочерения) </w:t>
            </w:r>
            <w:r w:rsidRPr="000C1465">
              <w:rPr>
                <w:rFonts w:eastAsia="Calibri"/>
                <w:sz w:val="20"/>
                <w:szCs w:val="20"/>
              </w:rPr>
              <w:br/>
              <w:t>в России…………………………………………………………………..</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1251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lastRenderedPageBreak/>
              <w:t xml:space="preserve">Фомичева Э. С., Сидорко Т. Г. </w:t>
            </w:r>
            <w:r w:rsidRPr="000C1465">
              <w:rPr>
                <w:rFonts w:eastAsia="Calibri"/>
                <w:sz w:val="20"/>
                <w:szCs w:val="20"/>
              </w:rPr>
              <w:t>Электронный документооборот как одна из форм повышения юридической защищенности участников нотариальных действий…………………………………………………</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1254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Халтурина К. А., Картавченко В. В. </w:t>
            </w:r>
            <w:r w:rsidRPr="000C1465">
              <w:rPr>
                <w:rFonts w:eastAsia="Calibri"/>
                <w:sz w:val="20"/>
                <w:szCs w:val="20"/>
              </w:rPr>
              <w:t>Крайняя необходимость как обстоятельство, исключающее преступность деяния………………..</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1256</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Хачатурова Е. В., Чернов Ю. </w:t>
            </w:r>
            <w:r w:rsidR="000C1465" w:rsidRPr="000C1465">
              <w:rPr>
                <w:rFonts w:eastAsia="Calibri"/>
                <w:b/>
                <w:sz w:val="20"/>
                <w:szCs w:val="20"/>
              </w:rPr>
              <w:t xml:space="preserve">И. </w:t>
            </w:r>
            <w:r w:rsidR="000C1465" w:rsidRPr="000C1465">
              <w:rPr>
                <w:rFonts w:eastAsia="Calibri"/>
                <w:sz w:val="20"/>
                <w:szCs w:val="20"/>
              </w:rPr>
              <w:t xml:space="preserve">Административное </w:t>
            </w:r>
            <w:r>
              <w:rPr>
                <w:rFonts w:eastAsia="Calibri"/>
                <w:sz w:val="20"/>
                <w:szCs w:val="20"/>
              </w:rPr>
              <w:br/>
            </w:r>
            <w:r w:rsidR="000C1465" w:rsidRPr="000C1465">
              <w:rPr>
                <w:rFonts w:eastAsia="Calibri"/>
                <w:sz w:val="20"/>
                <w:szCs w:val="20"/>
              </w:rPr>
              <w:t>предупреждение эпизоотий: анализ современной правовой модели</w:t>
            </w:r>
            <w:proofErr w:type="gramStart"/>
            <w:r w:rsidR="000C1465" w:rsidRPr="000C1465">
              <w:rPr>
                <w:rFonts w:eastAsia="Calibri"/>
                <w:sz w:val="20"/>
                <w:szCs w:val="20"/>
              </w:rPr>
              <w:t>..</w:t>
            </w:r>
            <w:proofErr w:type="gramEnd"/>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1259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Хмарский В. В., Шпак Н. М. </w:t>
            </w:r>
            <w:r w:rsidRPr="000C1465">
              <w:rPr>
                <w:rFonts w:eastAsia="Calibri"/>
                <w:sz w:val="20"/>
                <w:szCs w:val="20"/>
              </w:rPr>
              <w:t xml:space="preserve">Расследование преступлений, </w:t>
            </w:r>
            <w:r w:rsidR="00A6145F">
              <w:rPr>
                <w:rFonts w:eastAsia="Calibri"/>
                <w:sz w:val="20"/>
                <w:szCs w:val="20"/>
              </w:rPr>
              <w:br/>
            </w:r>
            <w:r w:rsidRPr="000C1465">
              <w:rPr>
                <w:rFonts w:eastAsia="Calibri"/>
                <w:sz w:val="20"/>
                <w:szCs w:val="20"/>
              </w:rPr>
              <w:t>связанных с незаконным оборотом оружия в РФ……………………..</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1262</w:t>
            </w:r>
          </w:p>
        </w:tc>
      </w:tr>
      <w:tr w:rsidR="000C1465" w:rsidRPr="000C1465" w:rsidTr="00EB5229">
        <w:tc>
          <w:tcPr>
            <w:tcW w:w="6096" w:type="dxa"/>
          </w:tcPr>
          <w:p w:rsidR="000C1465" w:rsidRPr="000C1465" w:rsidRDefault="00A6145F" w:rsidP="000C1465">
            <w:pPr>
              <w:jc w:val="both"/>
              <w:rPr>
                <w:rFonts w:eastAsia="Calibri"/>
                <w:b/>
                <w:sz w:val="20"/>
                <w:szCs w:val="20"/>
              </w:rPr>
            </w:pPr>
            <w:r>
              <w:rPr>
                <w:rFonts w:eastAsia="Calibri"/>
                <w:b/>
                <w:sz w:val="20"/>
                <w:szCs w:val="20"/>
              </w:rPr>
              <w:t>Хоружий В. В., Шульга А. </w:t>
            </w:r>
            <w:r w:rsidR="000C1465" w:rsidRPr="000C1465">
              <w:rPr>
                <w:rFonts w:eastAsia="Calibri"/>
                <w:b/>
                <w:sz w:val="20"/>
                <w:szCs w:val="20"/>
              </w:rPr>
              <w:t xml:space="preserve">В. </w:t>
            </w:r>
            <w:r w:rsidR="000C1465" w:rsidRPr="000C1465">
              <w:rPr>
                <w:rFonts w:eastAsia="Calibri"/>
                <w:sz w:val="20"/>
                <w:szCs w:val="20"/>
              </w:rPr>
              <w:t xml:space="preserve">Правовые основы </w:t>
            </w:r>
            <w:r>
              <w:rPr>
                <w:rFonts w:eastAsia="Calibri"/>
                <w:sz w:val="20"/>
                <w:szCs w:val="20"/>
              </w:rPr>
              <w:br/>
            </w:r>
            <w:r w:rsidR="000C1465" w:rsidRPr="000C1465">
              <w:rPr>
                <w:rFonts w:eastAsia="Calibri"/>
                <w:sz w:val="20"/>
                <w:szCs w:val="20"/>
              </w:rPr>
              <w:t>кибербезопасности: к постановке проблемы………………………….</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1265</w:t>
            </w:r>
          </w:p>
        </w:tc>
      </w:tr>
      <w:tr w:rsidR="000C1465" w:rsidRPr="000C1465" w:rsidTr="00EB5229">
        <w:tc>
          <w:tcPr>
            <w:tcW w:w="6096" w:type="dxa"/>
          </w:tcPr>
          <w:p w:rsidR="00A6145F" w:rsidRPr="00EB5229" w:rsidRDefault="000C1465" w:rsidP="000C1465">
            <w:pPr>
              <w:jc w:val="both"/>
              <w:rPr>
                <w:rFonts w:eastAsia="Calibri"/>
                <w:sz w:val="20"/>
                <w:szCs w:val="20"/>
              </w:rPr>
            </w:pPr>
            <w:r w:rsidRPr="000C1465">
              <w:rPr>
                <w:rFonts w:eastAsia="Calibri"/>
                <w:b/>
                <w:sz w:val="20"/>
                <w:szCs w:val="20"/>
              </w:rPr>
              <w:t xml:space="preserve">Чермит Р. Р., Опарин В. Н. </w:t>
            </w:r>
            <w:r w:rsidRPr="000C1465">
              <w:rPr>
                <w:rFonts w:eastAsia="Calibri"/>
                <w:sz w:val="20"/>
                <w:szCs w:val="20"/>
              </w:rPr>
              <w:t>Система международного права………</w:t>
            </w:r>
          </w:p>
        </w:tc>
        <w:tc>
          <w:tcPr>
            <w:tcW w:w="708" w:type="dxa"/>
          </w:tcPr>
          <w:p w:rsidR="000C1465" w:rsidRPr="000C1465" w:rsidRDefault="003A1CE2" w:rsidP="000C1465">
            <w:pPr>
              <w:rPr>
                <w:rFonts w:eastAsia="Calibri"/>
                <w:i/>
                <w:sz w:val="20"/>
                <w:szCs w:val="20"/>
              </w:rPr>
            </w:pPr>
            <w:r>
              <w:rPr>
                <w:rFonts w:eastAsia="Calibri"/>
                <w:i/>
                <w:sz w:val="20"/>
                <w:szCs w:val="20"/>
              </w:rPr>
              <w:t>1268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Чернов Г. Ю., Лепешкина О. В. </w:t>
            </w:r>
            <w:r w:rsidRPr="000C1465">
              <w:rPr>
                <w:rFonts w:eastAsia="Calibri"/>
                <w:sz w:val="20"/>
                <w:szCs w:val="20"/>
              </w:rPr>
              <w:t xml:space="preserve">Институт уполномоченного </w:t>
            </w:r>
            <w:r w:rsidRPr="000C1465">
              <w:rPr>
                <w:rFonts w:eastAsia="Calibri"/>
                <w:sz w:val="20"/>
                <w:szCs w:val="20"/>
              </w:rPr>
              <w:br/>
              <w:t>по правам ребенка: некоторые вопросы правового регулирования…</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1271</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Чернышева С. А., Попова Л. И. </w:t>
            </w:r>
            <w:r w:rsidRPr="000C1465">
              <w:rPr>
                <w:rFonts w:eastAsia="Calibri"/>
                <w:sz w:val="20"/>
                <w:szCs w:val="20"/>
              </w:rPr>
              <w:t xml:space="preserve">Структура договорных связей </w:t>
            </w:r>
            <w:r w:rsidRPr="000C1465">
              <w:rPr>
                <w:rFonts w:eastAsia="Calibri"/>
                <w:sz w:val="20"/>
                <w:szCs w:val="20"/>
              </w:rPr>
              <w:br/>
              <w:t>по поставке товаров для государственных и муниципальных нужд…</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1274</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Чибирикова С. Н., Мустафина С. А. </w:t>
            </w:r>
            <w:r w:rsidRPr="000C1465">
              <w:rPr>
                <w:rFonts w:eastAsia="Calibri"/>
                <w:sz w:val="20"/>
                <w:szCs w:val="20"/>
              </w:rPr>
              <w:t xml:space="preserve">Проблемные вопросы </w:t>
            </w:r>
            <w:r w:rsidR="00A6145F">
              <w:rPr>
                <w:rFonts w:eastAsia="Calibri"/>
                <w:sz w:val="20"/>
                <w:szCs w:val="20"/>
              </w:rPr>
              <w:br/>
            </w:r>
            <w:r w:rsidRPr="000C1465">
              <w:rPr>
                <w:rFonts w:eastAsia="Calibri"/>
                <w:sz w:val="20"/>
                <w:szCs w:val="20"/>
              </w:rPr>
              <w:t>крестьянских (фермерских) хозяйств………………………………….</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1277</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Чижиков М. А., Картавченко В. В. </w:t>
            </w:r>
            <w:r w:rsidRPr="000C1465">
              <w:rPr>
                <w:rFonts w:eastAsia="Calibri"/>
                <w:sz w:val="20"/>
                <w:szCs w:val="20"/>
              </w:rPr>
              <w:t>Уголовно-правовой анализ ответственности за нарушение правил дорожного движения лицом, подвергнутым административному взысканию (ст. 264.1 УК РФ)…..</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1279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Чубатова А. В., Лепешкина О. В. </w:t>
            </w:r>
            <w:r w:rsidRPr="000C1465">
              <w:rPr>
                <w:rFonts w:eastAsia="Calibri"/>
                <w:sz w:val="20"/>
                <w:szCs w:val="20"/>
              </w:rPr>
              <w:t>Эволюция прав человека об охране здоровья………………………………………………………….</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1282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Чурекова О. О., Картавченко В. В. </w:t>
            </w:r>
            <w:r w:rsidRPr="000C1465">
              <w:rPr>
                <w:rFonts w:eastAsia="Calibri"/>
                <w:sz w:val="20"/>
                <w:szCs w:val="20"/>
              </w:rPr>
              <w:t xml:space="preserve">Необходимая оборона при </w:t>
            </w:r>
            <w:r w:rsidR="00A6145F">
              <w:rPr>
                <w:rFonts w:eastAsia="Calibri"/>
                <w:sz w:val="20"/>
                <w:szCs w:val="20"/>
              </w:rPr>
              <w:br/>
            </w:r>
            <w:r w:rsidRPr="000C1465">
              <w:rPr>
                <w:rFonts w:eastAsia="Calibri"/>
                <w:sz w:val="20"/>
                <w:szCs w:val="20"/>
              </w:rPr>
              <w:t>защите права собственности……………………………………………</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1285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Шабиневич А. Д., Бутурлина Е. С. </w:t>
            </w:r>
            <w:r w:rsidRPr="000C1465">
              <w:rPr>
                <w:rFonts w:eastAsia="Calibri"/>
                <w:sz w:val="20"/>
                <w:szCs w:val="20"/>
              </w:rPr>
              <w:t xml:space="preserve">К вопросу о видах </w:t>
            </w:r>
            <w:r w:rsidR="00A6145F">
              <w:rPr>
                <w:rFonts w:eastAsia="Calibri"/>
                <w:sz w:val="20"/>
                <w:szCs w:val="20"/>
              </w:rPr>
              <w:br/>
            </w:r>
            <w:r w:rsidRPr="000C1465">
              <w:rPr>
                <w:rFonts w:eastAsia="Calibri"/>
                <w:sz w:val="20"/>
                <w:szCs w:val="20"/>
              </w:rPr>
              <w:t>конституционного контроля…………………………………………….</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r w:rsidRPr="000C1465">
              <w:rPr>
                <w:rFonts w:eastAsia="Calibri"/>
                <w:i/>
                <w:sz w:val="20"/>
                <w:szCs w:val="20"/>
              </w:rPr>
              <w:t>12</w:t>
            </w:r>
            <w:r w:rsidR="003A1CE2">
              <w:rPr>
                <w:rFonts w:eastAsia="Calibri"/>
                <w:i/>
                <w:sz w:val="20"/>
                <w:szCs w:val="20"/>
              </w:rPr>
              <w:t>89</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Шайгарданова А. А., Кобылинская С. В. </w:t>
            </w:r>
            <w:r w:rsidRPr="000C1465">
              <w:rPr>
                <w:rFonts w:eastAsia="Calibri"/>
                <w:sz w:val="20"/>
                <w:szCs w:val="20"/>
              </w:rPr>
              <w:t xml:space="preserve">Охрана труда </w:t>
            </w:r>
            <w:r w:rsidR="00A6145F">
              <w:rPr>
                <w:rFonts w:eastAsia="Calibri"/>
                <w:sz w:val="20"/>
                <w:szCs w:val="20"/>
              </w:rPr>
              <w:br/>
            </w:r>
            <w:r w:rsidRPr="000C1465">
              <w:rPr>
                <w:rFonts w:eastAsia="Calibri"/>
                <w:sz w:val="20"/>
                <w:szCs w:val="20"/>
              </w:rPr>
              <w:t>работников агропромышленного комплекса…………………………..</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1292</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Шейкова Е. Н., Лепешкина О. В. </w:t>
            </w:r>
            <w:r w:rsidRPr="000C1465">
              <w:rPr>
                <w:rFonts w:eastAsia="Calibri"/>
                <w:sz w:val="20"/>
                <w:szCs w:val="20"/>
              </w:rPr>
              <w:t>История становления и развития института брачного договора в европейских странах………………..</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1295</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Шинкарев А. С., Картавченко В. В. </w:t>
            </w:r>
            <w:r w:rsidRPr="000C1465">
              <w:rPr>
                <w:rFonts w:eastAsia="Calibri"/>
                <w:sz w:val="20"/>
                <w:szCs w:val="20"/>
              </w:rPr>
              <w:t xml:space="preserve">Мотив, как неотъемлемый признак преступления в убийстве матерью новорожденного </w:t>
            </w:r>
            <w:r w:rsidR="00A6145F">
              <w:rPr>
                <w:rFonts w:eastAsia="Calibri"/>
                <w:sz w:val="20"/>
                <w:szCs w:val="20"/>
              </w:rPr>
              <w:br/>
            </w:r>
            <w:r w:rsidRPr="000C1465">
              <w:rPr>
                <w:rFonts w:eastAsia="Calibri"/>
                <w:sz w:val="20"/>
                <w:szCs w:val="20"/>
              </w:rPr>
              <w:t>ребенка……………………………………………………………………</w:t>
            </w:r>
          </w:p>
        </w:tc>
        <w:tc>
          <w:tcPr>
            <w:tcW w:w="708" w:type="dxa"/>
          </w:tcPr>
          <w:p w:rsidR="000C1465" w:rsidRPr="000C1465" w:rsidRDefault="000C1465" w:rsidP="000C1465">
            <w:pPr>
              <w:rPr>
                <w:rFonts w:eastAsia="Calibri"/>
                <w:i/>
                <w:sz w:val="20"/>
                <w:szCs w:val="20"/>
              </w:rPr>
            </w:pPr>
          </w:p>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1298</w:t>
            </w:r>
          </w:p>
        </w:tc>
      </w:tr>
      <w:tr w:rsidR="000C1465" w:rsidRPr="000C1465" w:rsidTr="00EB5229">
        <w:tc>
          <w:tcPr>
            <w:tcW w:w="6096" w:type="dxa"/>
          </w:tcPr>
          <w:p w:rsidR="000C1465" w:rsidRPr="000C1465" w:rsidRDefault="000C1465" w:rsidP="000C1465">
            <w:pPr>
              <w:jc w:val="both"/>
              <w:rPr>
                <w:rFonts w:eastAsia="Calibri"/>
                <w:b/>
                <w:sz w:val="20"/>
                <w:szCs w:val="20"/>
              </w:rPr>
            </w:pPr>
            <w:r w:rsidRPr="000C1465">
              <w:rPr>
                <w:rFonts w:eastAsia="Calibri"/>
                <w:b/>
                <w:sz w:val="20"/>
                <w:szCs w:val="20"/>
              </w:rPr>
              <w:t xml:space="preserve">Щербаков А. В., Мустафина С. А. </w:t>
            </w:r>
            <w:r w:rsidRPr="000C1465">
              <w:rPr>
                <w:rFonts w:eastAsia="Calibri"/>
                <w:sz w:val="20"/>
                <w:szCs w:val="20"/>
              </w:rPr>
              <w:t>Возможные проблемы взимания курортного сбора в РФ…………………………………………………..</w:t>
            </w:r>
          </w:p>
        </w:tc>
        <w:tc>
          <w:tcPr>
            <w:tcW w:w="708" w:type="dxa"/>
          </w:tcPr>
          <w:p w:rsidR="000C1465" w:rsidRPr="000C1465" w:rsidRDefault="000C1465" w:rsidP="000C1465">
            <w:pPr>
              <w:rPr>
                <w:rFonts w:eastAsia="Calibri"/>
                <w:i/>
                <w:sz w:val="20"/>
                <w:szCs w:val="20"/>
              </w:rPr>
            </w:pPr>
          </w:p>
          <w:p w:rsidR="000C1465" w:rsidRPr="000C1465" w:rsidRDefault="003A1CE2" w:rsidP="000C1465">
            <w:pPr>
              <w:rPr>
                <w:rFonts w:eastAsia="Calibri"/>
                <w:i/>
                <w:sz w:val="20"/>
                <w:szCs w:val="20"/>
              </w:rPr>
            </w:pPr>
            <w:r>
              <w:rPr>
                <w:rFonts w:eastAsia="Calibri"/>
                <w:i/>
                <w:sz w:val="20"/>
                <w:szCs w:val="20"/>
              </w:rPr>
              <w:t>1301</w:t>
            </w:r>
          </w:p>
        </w:tc>
      </w:tr>
      <w:tr w:rsidR="00AE3D21" w:rsidRPr="000C1465" w:rsidTr="00EB5229">
        <w:tc>
          <w:tcPr>
            <w:tcW w:w="6096" w:type="dxa"/>
          </w:tcPr>
          <w:p w:rsidR="00AE3D21" w:rsidRPr="000C1465" w:rsidRDefault="00AE3D21" w:rsidP="000C1465">
            <w:pPr>
              <w:jc w:val="both"/>
              <w:rPr>
                <w:rFonts w:eastAsia="Calibri"/>
                <w:b/>
                <w:sz w:val="20"/>
                <w:szCs w:val="20"/>
              </w:rPr>
            </w:pPr>
            <w:r w:rsidRPr="00AE3D21">
              <w:rPr>
                <w:rFonts w:eastAsia="Calibri"/>
                <w:b/>
                <w:sz w:val="20"/>
                <w:szCs w:val="20"/>
              </w:rPr>
              <w:t>Штаер П.</w:t>
            </w:r>
            <w:r>
              <w:rPr>
                <w:rFonts w:eastAsia="Calibri"/>
                <w:b/>
                <w:sz w:val="20"/>
                <w:szCs w:val="20"/>
              </w:rPr>
              <w:t xml:space="preserve"> </w:t>
            </w:r>
            <w:r w:rsidRPr="00AE3D21">
              <w:rPr>
                <w:rFonts w:eastAsia="Calibri"/>
                <w:b/>
                <w:sz w:val="20"/>
                <w:szCs w:val="20"/>
              </w:rPr>
              <w:t>Ю.</w:t>
            </w:r>
            <w:r>
              <w:t xml:space="preserve"> </w:t>
            </w:r>
            <w:r w:rsidRPr="00AE3D21">
              <w:rPr>
                <w:rFonts w:eastAsia="Calibri"/>
                <w:sz w:val="20"/>
                <w:szCs w:val="20"/>
              </w:rPr>
              <w:t xml:space="preserve">Политический абсентеизм как одна из основных </w:t>
            </w:r>
            <w:r>
              <w:rPr>
                <w:rFonts w:eastAsia="Calibri"/>
                <w:sz w:val="20"/>
                <w:szCs w:val="20"/>
              </w:rPr>
              <w:br/>
            </w:r>
            <w:r w:rsidRPr="00AE3D21">
              <w:rPr>
                <w:rFonts w:eastAsia="Calibri"/>
                <w:sz w:val="20"/>
                <w:szCs w:val="20"/>
              </w:rPr>
              <w:t xml:space="preserve">проблем избирательного процесса современного российского </w:t>
            </w:r>
            <w:r>
              <w:rPr>
                <w:rFonts w:eastAsia="Calibri"/>
                <w:sz w:val="20"/>
                <w:szCs w:val="20"/>
              </w:rPr>
              <w:br/>
              <w:t>обще</w:t>
            </w:r>
            <w:r w:rsidRPr="00AE3D21">
              <w:rPr>
                <w:rFonts w:eastAsia="Calibri"/>
                <w:sz w:val="20"/>
                <w:szCs w:val="20"/>
              </w:rPr>
              <w:t>ства</w:t>
            </w:r>
            <w:r>
              <w:rPr>
                <w:rFonts w:eastAsia="Calibri"/>
                <w:sz w:val="20"/>
                <w:szCs w:val="20"/>
              </w:rPr>
              <w:t>………………………………………………………………….</w:t>
            </w:r>
          </w:p>
        </w:tc>
        <w:tc>
          <w:tcPr>
            <w:tcW w:w="708" w:type="dxa"/>
          </w:tcPr>
          <w:p w:rsidR="00AE3D21" w:rsidRDefault="00AE3D21" w:rsidP="000C1465">
            <w:pPr>
              <w:rPr>
                <w:rFonts w:eastAsia="Calibri"/>
                <w:i/>
                <w:sz w:val="20"/>
                <w:szCs w:val="20"/>
              </w:rPr>
            </w:pPr>
          </w:p>
          <w:p w:rsidR="00AE3D21" w:rsidRDefault="00AE3D21" w:rsidP="000C1465">
            <w:pPr>
              <w:rPr>
                <w:rFonts w:eastAsia="Calibri"/>
                <w:i/>
                <w:sz w:val="20"/>
                <w:szCs w:val="20"/>
              </w:rPr>
            </w:pPr>
          </w:p>
          <w:p w:rsidR="00AE3D21" w:rsidRPr="000C1465" w:rsidRDefault="00AE3D21" w:rsidP="000C1465">
            <w:pPr>
              <w:rPr>
                <w:rFonts w:eastAsia="Calibri"/>
                <w:i/>
                <w:sz w:val="20"/>
                <w:szCs w:val="20"/>
              </w:rPr>
            </w:pPr>
            <w:r>
              <w:rPr>
                <w:rFonts w:eastAsia="Calibri"/>
                <w:i/>
                <w:sz w:val="20"/>
                <w:szCs w:val="20"/>
              </w:rPr>
              <w:t>1303</w:t>
            </w:r>
          </w:p>
        </w:tc>
      </w:tr>
    </w:tbl>
    <w:p w:rsidR="000C1465" w:rsidRPr="000C1465" w:rsidRDefault="000C1465" w:rsidP="000C1465">
      <w:pPr>
        <w:spacing w:after="200" w:line="276" w:lineRule="auto"/>
        <w:rPr>
          <w:rFonts w:asciiTheme="minorHAnsi" w:eastAsiaTheme="minorHAnsi" w:hAnsiTheme="minorHAnsi" w:cstheme="minorBidi"/>
          <w:sz w:val="22"/>
          <w:szCs w:val="22"/>
          <w:lang w:eastAsia="en-US"/>
        </w:rPr>
      </w:pPr>
    </w:p>
    <w:p w:rsidR="000F594F" w:rsidRPr="000F594F" w:rsidRDefault="000F594F" w:rsidP="000F594F">
      <w:pPr>
        <w:rPr>
          <w:sz w:val="22"/>
        </w:rPr>
        <w:sectPr w:rsidR="000F594F" w:rsidRPr="000F594F" w:rsidSect="00863F6A">
          <w:footerReference w:type="default" r:id="rId410"/>
          <w:pgSz w:w="8391" w:h="11907" w:code="11"/>
          <w:pgMar w:top="1021" w:right="964" w:bottom="1021" w:left="964" w:header="709" w:footer="709" w:gutter="0"/>
          <w:pgNumType w:start="3"/>
          <w:cols w:space="720"/>
          <w:docGrid w:linePitch="381"/>
        </w:sect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rPr>
          <w:sz w:val="22"/>
        </w:rPr>
      </w:pPr>
    </w:p>
    <w:p w:rsidR="000F594F" w:rsidRPr="000F594F" w:rsidRDefault="000F594F" w:rsidP="000F594F">
      <w:pPr>
        <w:jc w:val="center"/>
        <w:rPr>
          <w:spacing w:val="60"/>
          <w:sz w:val="22"/>
        </w:rPr>
      </w:pPr>
      <w:r w:rsidRPr="000F594F">
        <w:rPr>
          <w:spacing w:val="60"/>
          <w:sz w:val="22"/>
        </w:rPr>
        <w:t>Научное издание</w:t>
      </w:r>
    </w:p>
    <w:p w:rsidR="000F594F" w:rsidRPr="000F594F" w:rsidRDefault="000F594F" w:rsidP="000F594F">
      <w:pPr>
        <w:jc w:val="center"/>
        <w:rPr>
          <w:sz w:val="22"/>
        </w:rPr>
      </w:pPr>
    </w:p>
    <w:p w:rsidR="000F594F" w:rsidRPr="000F594F" w:rsidRDefault="000F594F" w:rsidP="000F594F">
      <w:pPr>
        <w:jc w:val="center"/>
        <w:rPr>
          <w:sz w:val="22"/>
        </w:rPr>
      </w:pPr>
      <w:r w:rsidRPr="000F594F">
        <w:rPr>
          <w:sz w:val="22"/>
        </w:rPr>
        <w:t>Коллектив авторов</w:t>
      </w:r>
    </w:p>
    <w:p w:rsidR="000F594F" w:rsidRPr="000F594F" w:rsidRDefault="000F594F" w:rsidP="000F594F">
      <w:pPr>
        <w:jc w:val="center"/>
        <w:rPr>
          <w:sz w:val="22"/>
        </w:rPr>
      </w:pPr>
    </w:p>
    <w:p w:rsidR="000F594F" w:rsidRPr="000F594F" w:rsidRDefault="000F594F" w:rsidP="000F594F">
      <w:pPr>
        <w:jc w:val="center"/>
        <w:rPr>
          <w:b/>
          <w:sz w:val="22"/>
        </w:rPr>
      </w:pPr>
      <w:r w:rsidRPr="000F594F">
        <w:rPr>
          <w:b/>
          <w:sz w:val="22"/>
        </w:rPr>
        <w:t>НАУЧНОЕ ОБЕСПЕЧЕНИЕ</w:t>
      </w:r>
    </w:p>
    <w:p w:rsidR="000F594F" w:rsidRPr="000F594F" w:rsidRDefault="000F594F" w:rsidP="000F594F">
      <w:pPr>
        <w:jc w:val="center"/>
        <w:rPr>
          <w:b/>
          <w:sz w:val="22"/>
        </w:rPr>
      </w:pPr>
      <w:r w:rsidRPr="000F594F">
        <w:rPr>
          <w:b/>
          <w:sz w:val="22"/>
        </w:rPr>
        <w:t>АГРОПРОМЫШЛЕННОГО КОМПЛЕКСА</w:t>
      </w:r>
    </w:p>
    <w:p w:rsidR="000F594F" w:rsidRPr="000F594F" w:rsidRDefault="000F594F" w:rsidP="000F594F">
      <w:pPr>
        <w:jc w:val="center"/>
        <w:rPr>
          <w:sz w:val="22"/>
        </w:rPr>
      </w:pPr>
    </w:p>
    <w:p w:rsidR="000F594F" w:rsidRPr="000F594F" w:rsidRDefault="000F594F" w:rsidP="000F594F">
      <w:pPr>
        <w:jc w:val="center"/>
        <w:rPr>
          <w:sz w:val="22"/>
        </w:rPr>
      </w:pPr>
    </w:p>
    <w:p w:rsidR="000F594F" w:rsidRPr="000F594F" w:rsidRDefault="000F594F" w:rsidP="000F594F">
      <w:pPr>
        <w:jc w:val="center"/>
        <w:rPr>
          <w:i/>
          <w:sz w:val="22"/>
        </w:rPr>
      </w:pPr>
      <w:r w:rsidRPr="000F594F">
        <w:rPr>
          <w:i/>
          <w:sz w:val="22"/>
        </w:rPr>
        <w:t>Сборник статей</w:t>
      </w:r>
    </w:p>
    <w:p w:rsidR="000F594F" w:rsidRPr="000F594F" w:rsidRDefault="000F594F" w:rsidP="000F594F">
      <w:pPr>
        <w:jc w:val="center"/>
        <w:rPr>
          <w:sz w:val="22"/>
        </w:rPr>
      </w:pPr>
    </w:p>
    <w:p w:rsidR="000F594F" w:rsidRPr="000F594F" w:rsidRDefault="000F594F" w:rsidP="000F594F">
      <w:pPr>
        <w:jc w:val="center"/>
        <w:rPr>
          <w:sz w:val="20"/>
        </w:rPr>
      </w:pPr>
      <w:r w:rsidRPr="000F594F">
        <w:rPr>
          <w:sz w:val="20"/>
        </w:rPr>
        <w:t xml:space="preserve">Статьи представлены в авторской редакции </w:t>
      </w:r>
    </w:p>
    <w:p w:rsidR="000F594F" w:rsidRPr="000F594F" w:rsidRDefault="000F594F" w:rsidP="000F594F">
      <w:pPr>
        <w:jc w:val="center"/>
        <w:rPr>
          <w:sz w:val="22"/>
        </w:rPr>
      </w:pPr>
    </w:p>
    <w:p w:rsidR="000F594F" w:rsidRPr="000F594F" w:rsidRDefault="000F594F" w:rsidP="000F594F">
      <w:pPr>
        <w:jc w:val="center"/>
        <w:rPr>
          <w:sz w:val="20"/>
        </w:rPr>
      </w:pPr>
      <w:r w:rsidRPr="000F594F">
        <w:rPr>
          <w:sz w:val="20"/>
        </w:rPr>
        <w:t>Компьютерная верстка – Л. В. Сурженко</w:t>
      </w:r>
    </w:p>
    <w:p w:rsidR="000F594F" w:rsidRPr="000F594F" w:rsidRDefault="000F594F" w:rsidP="000F594F">
      <w:pPr>
        <w:jc w:val="center"/>
        <w:rPr>
          <w:sz w:val="20"/>
        </w:rPr>
      </w:pPr>
    </w:p>
    <w:p w:rsidR="000F594F" w:rsidRPr="000F594F" w:rsidRDefault="000F594F" w:rsidP="000F594F">
      <w:pPr>
        <w:jc w:val="center"/>
        <w:rPr>
          <w:sz w:val="20"/>
        </w:rPr>
      </w:pPr>
    </w:p>
    <w:p w:rsidR="000F594F" w:rsidRPr="000F594F" w:rsidRDefault="000F594F" w:rsidP="000F594F">
      <w:pPr>
        <w:jc w:val="center"/>
        <w:rPr>
          <w:sz w:val="20"/>
        </w:rPr>
      </w:pPr>
    </w:p>
    <w:p w:rsidR="000F594F" w:rsidRPr="000F594F" w:rsidRDefault="00EC1A78" w:rsidP="000F594F">
      <w:pPr>
        <w:jc w:val="center"/>
        <w:rPr>
          <w:sz w:val="20"/>
        </w:rPr>
      </w:pPr>
      <w:r>
        <w:rPr>
          <w:sz w:val="20"/>
        </w:rPr>
        <w:t>Подписано в печать 00.00.2018</w:t>
      </w:r>
      <w:r w:rsidR="000F594F" w:rsidRPr="000F594F">
        <w:rPr>
          <w:sz w:val="20"/>
        </w:rPr>
        <w:t xml:space="preserve"> г. Формат 60 × 84 </w:t>
      </w:r>
      <w:r w:rsidR="000F594F" w:rsidRPr="000F594F">
        <w:rPr>
          <w:sz w:val="20"/>
          <w:vertAlign w:val="superscript"/>
        </w:rPr>
        <w:t>1</w:t>
      </w:r>
      <w:r w:rsidR="000F594F" w:rsidRPr="000F594F">
        <w:rPr>
          <w:sz w:val="20"/>
        </w:rPr>
        <w:t>/</w:t>
      </w:r>
      <w:r w:rsidR="000F594F" w:rsidRPr="000F594F">
        <w:rPr>
          <w:sz w:val="20"/>
          <w:vertAlign w:val="subscript"/>
        </w:rPr>
        <w:t>16</w:t>
      </w:r>
      <w:r w:rsidR="000F594F" w:rsidRPr="000F594F">
        <w:rPr>
          <w:sz w:val="20"/>
        </w:rPr>
        <w:t>.</w:t>
      </w:r>
    </w:p>
    <w:p w:rsidR="000F594F" w:rsidRPr="000F594F" w:rsidRDefault="003A1CE2" w:rsidP="000F594F">
      <w:pPr>
        <w:jc w:val="center"/>
        <w:rPr>
          <w:sz w:val="20"/>
        </w:rPr>
      </w:pPr>
      <w:r>
        <w:rPr>
          <w:sz w:val="20"/>
        </w:rPr>
        <w:t xml:space="preserve">Усл. печ. л. – </w:t>
      </w:r>
      <w:r w:rsidR="00D22C04">
        <w:rPr>
          <w:sz w:val="20"/>
        </w:rPr>
        <w:t>77,3. Уч.</w:t>
      </w:r>
      <w:r w:rsidR="00D22C04">
        <w:rPr>
          <w:sz w:val="20"/>
        </w:rPr>
        <w:noBreakHyphen/>
        <w:t>изд. л. – 60,5</w:t>
      </w:r>
      <w:r w:rsidR="000F594F" w:rsidRPr="000F594F">
        <w:rPr>
          <w:sz w:val="20"/>
        </w:rPr>
        <w:t>.</w:t>
      </w:r>
    </w:p>
    <w:p w:rsidR="000F594F" w:rsidRPr="000F594F" w:rsidRDefault="000F594F" w:rsidP="000F594F">
      <w:pPr>
        <w:jc w:val="center"/>
        <w:rPr>
          <w:sz w:val="20"/>
        </w:rPr>
      </w:pPr>
    </w:p>
    <w:p w:rsidR="000F594F" w:rsidRPr="000F594F" w:rsidRDefault="000F594F" w:rsidP="000F594F">
      <w:pPr>
        <w:jc w:val="center"/>
        <w:rPr>
          <w:sz w:val="20"/>
        </w:rPr>
      </w:pPr>
      <w:r w:rsidRPr="000F594F">
        <w:rPr>
          <w:sz w:val="20"/>
        </w:rPr>
        <w:t xml:space="preserve">Электронная версия. </w:t>
      </w:r>
    </w:p>
    <w:p w:rsidR="000F594F" w:rsidRDefault="000F594F" w:rsidP="00A6145F">
      <w:pPr>
        <w:jc w:val="center"/>
        <w:rPr>
          <w:sz w:val="20"/>
        </w:rPr>
      </w:pPr>
      <w:r w:rsidRPr="000F594F">
        <w:rPr>
          <w:sz w:val="20"/>
        </w:rPr>
        <w:t>350044,</w:t>
      </w:r>
      <w:r w:rsidR="00A6145F">
        <w:rPr>
          <w:sz w:val="20"/>
        </w:rPr>
        <w:t xml:space="preserve"> г. Краснодар, ул. Калинина, 13</w:t>
      </w:r>
    </w:p>
    <w:p w:rsidR="00A6145F" w:rsidRPr="00A6145F" w:rsidRDefault="00A6145F" w:rsidP="00AF6507">
      <w:pPr>
        <w:rPr>
          <w:sz w:val="20"/>
        </w:rPr>
        <w:sectPr w:rsidR="00A6145F" w:rsidRPr="00A6145F" w:rsidSect="000F594F">
          <w:pgSz w:w="8391" w:h="11907" w:code="11"/>
          <w:pgMar w:top="1021" w:right="964" w:bottom="1021" w:left="964" w:header="709" w:footer="709" w:gutter="0"/>
          <w:cols w:space="708"/>
          <w:docGrid w:linePitch="360"/>
        </w:sectPr>
      </w:pPr>
    </w:p>
    <w:p w:rsidR="00226016" w:rsidRPr="000F594F" w:rsidRDefault="00226016" w:rsidP="003A1CE2">
      <w:pPr>
        <w:rPr>
          <w:sz w:val="22"/>
          <w:szCs w:val="22"/>
        </w:rPr>
      </w:pPr>
    </w:p>
    <w:sectPr w:rsidR="00226016" w:rsidRPr="000F594F" w:rsidSect="000F594F">
      <w:footerReference w:type="default" r:id="rId411"/>
      <w:pgSz w:w="8391" w:h="11907" w:code="11"/>
      <w:pgMar w:top="1021" w:right="595" w:bottom="1021" w:left="964" w:header="709" w:footer="709" w:gutter="0"/>
      <w:pgNumType w:start="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7C" w:rsidRDefault="0019447C">
      <w:r>
        <w:separator/>
      </w:r>
    </w:p>
  </w:endnote>
  <w:endnote w:type="continuationSeparator" w:id="0">
    <w:p w:rsidR="0019447C" w:rsidRDefault="0019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ejaVu Sans">
    <w:charset w:val="01"/>
    <w:family w:val="auto"/>
    <w:pitch w:val="variable"/>
  </w:font>
  <w:font w:name="Liberation Sans">
    <w:altName w:val="Arial"/>
    <w:charset w:val="01"/>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Helvetica Neue">
    <w:altName w:val="Arial"/>
    <w:charset w:val="00"/>
    <w:family w:val="roman"/>
    <w:pitch w:val="default"/>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 PL SungtiL GB">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Roboto-Regular">
    <w:altName w:val="Times New Roman"/>
    <w:panose1 w:val="00000000000000000000"/>
    <w:charset w:val="00"/>
    <w:family w:val="roman"/>
    <w:notTrueType/>
    <w:pitch w:val="default"/>
  </w:font>
  <w:font w:name="Swift Light Regular">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F">
    <w:altName w:val="Times New Roman"/>
    <w:charset w:val="00"/>
    <w:family w:val="auto"/>
    <w:pitch w:val="variable"/>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7C" w:rsidRDefault="0019447C">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7C" w:rsidRPr="00291FFF" w:rsidRDefault="0019447C">
    <w:pPr>
      <w:pStyle w:val="a8"/>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002961"/>
      <w:docPartObj>
        <w:docPartGallery w:val="Page Numbers (Bottom of Page)"/>
        <w:docPartUnique/>
      </w:docPartObj>
    </w:sdtPr>
    <w:sdtEndPr>
      <w:rPr>
        <w:sz w:val="24"/>
        <w:szCs w:val="24"/>
      </w:rPr>
    </w:sdtEndPr>
    <w:sdtContent>
      <w:p w:rsidR="0019447C" w:rsidRPr="00863F6A" w:rsidRDefault="0019447C">
        <w:pPr>
          <w:pStyle w:val="a8"/>
          <w:jc w:val="center"/>
          <w:rPr>
            <w:sz w:val="24"/>
            <w:szCs w:val="24"/>
          </w:rPr>
        </w:pPr>
        <w:r w:rsidRPr="00863F6A">
          <w:rPr>
            <w:sz w:val="24"/>
            <w:szCs w:val="24"/>
          </w:rPr>
          <w:fldChar w:fldCharType="begin"/>
        </w:r>
        <w:r w:rsidRPr="00863F6A">
          <w:rPr>
            <w:sz w:val="24"/>
            <w:szCs w:val="24"/>
          </w:rPr>
          <w:instrText>PAGE   \* MERGEFORMAT</w:instrText>
        </w:r>
        <w:r w:rsidRPr="00863F6A">
          <w:rPr>
            <w:sz w:val="24"/>
            <w:szCs w:val="24"/>
          </w:rPr>
          <w:fldChar w:fldCharType="separate"/>
        </w:r>
        <w:r w:rsidR="009D0151">
          <w:rPr>
            <w:noProof/>
            <w:sz w:val="24"/>
            <w:szCs w:val="24"/>
          </w:rPr>
          <w:t>633</w:t>
        </w:r>
        <w:r w:rsidRPr="00863F6A">
          <w:rPr>
            <w:sz w:val="24"/>
            <w:szCs w:val="24"/>
          </w:rPr>
          <w:fldChar w:fldCharType="end"/>
        </w:r>
      </w:p>
    </w:sdtContent>
  </w:sdt>
  <w:p w:rsidR="0019447C" w:rsidRPr="00291FFF" w:rsidRDefault="0019447C">
    <w:pPr>
      <w:pStyle w:val="a8"/>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7C" w:rsidRPr="00432B6A" w:rsidRDefault="0019447C" w:rsidP="00432B6A">
    <w:pPr>
      <w:pStyle w:val="a8"/>
      <w:tabs>
        <w:tab w:val="clear" w:pos="4677"/>
      </w:tabs>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7C" w:rsidRDefault="0019447C">
      <w:r>
        <w:separator/>
      </w:r>
    </w:p>
  </w:footnote>
  <w:footnote w:type="continuationSeparator" w:id="0">
    <w:p w:rsidR="0019447C" w:rsidRDefault="0019447C">
      <w:r>
        <w:continuationSeparator/>
      </w:r>
    </w:p>
  </w:footnote>
  <w:footnote w:id="1">
    <w:p w:rsidR="0019447C" w:rsidRPr="00E96CCE" w:rsidRDefault="0019447C" w:rsidP="00281602">
      <w:pPr>
        <w:pStyle w:val="af"/>
      </w:pPr>
      <w:r w:rsidRPr="00E96CCE">
        <w:rPr>
          <w:rStyle w:val="af1"/>
        </w:rPr>
        <w:footnoteRef/>
      </w:r>
      <w:r w:rsidRPr="00E96CCE">
        <w:t xml:space="preserve"> Работа выполнена при поддержке РФФИ, проект №18-010-00951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7C1400"/>
    <w:multiLevelType w:val="hybridMultilevel"/>
    <w:tmpl w:val="DD4A0AEC"/>
    <w:lvl w:ilvl="0" w:tplc="8244DFC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2E3A09"/>
    <w:multiLevelType w:val="hybridMultilevel"/>
    <w:tmpl w:val="5464F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24F9C"/>
    <w:multiLevelType w:val="hybridMultilevel"/>
    <w:tmpl w:val="D6F65B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65619E"/>
    <w:multiLevelType w:val="hybridMultilevel"/>
    <w:tmpl w:val="4524059C"/>
    <w:lvl w:ilvl="0" w:tplc="9BA201EE">
      <w:start w:val="1"/>
      <w:numFmt w:val="decimal"/>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5D0E63"/>
    <w:multiLevelType w:val="hybridMultilevel"/>
    <w:tmpl w:val="2E2A77F8"/>
    <w:lvl w:ilvl="0" w:tplc="0AB627A8">
      <w:start w:val="1"/>
      <w:numFmt w:val="decimal"/>
      <w:lvlText w:val="%1."/>
      <w:lvlJc w:val="left"/>
      <w:pPr>
        <w:ind w:left="360" w:hanging="360"/>
      </w:pPr>
      <w:rPr>
        <w:rFonts w:ascii="Times New Roman" w:eastAsia="Calibr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06764"/>
    <w:multiLevelType w:val="hybridMultilevel"/>
    <w:tmpl w:val="5C9E8902"/>
    <w:lvl w:ilvl="0" w:tplc="A7CE1F4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546ABC"/>
    <w:multiLevelType w:val="hybridMultilevel"/>
    <w:tmpl w:val="6AEA1FA0"/>
    <w:lvl w:ilvl="0" w:tplc="26A4BC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07B72261"/>
    <w:multiLevelType w:val="hybridMultilevel"/>
    <w:tmpl w:val="2BE4348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7B37C7"/>
    <w:multiLevelType w:val="hybridMultilevel"/>
    <w:tmpl w:val="14623E32"/>
    <w:lvl w:ilvl="0" w:tplc="7C903288">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A44EC2"/>
    <w:multiLevelType w:val="hybridMultilevel"/>
    <w:tmpl w:val="1C16BB60"/>
    <w:lvl w:ilvl="0" w:tplc="E21CED26">
      <w:start w:val="1"/>
      <w:numFmt w:val="decimal"/>
      <w:lvlText w:val="%1."/>
      <w:lvlJc w:val="left"/>
      <w:pPr>
        <w:ind w:left="1145" w:hanging="360"/>
      </w:pPr>
      <w:rPr>
        <w:rFonts w:ascii="Times New Roman" w:eastAsia="Times New Roman" w:hAnsi="Times New Roman" w:cs="Times New Roman"/>
        <w:sz w:val="22"/>
        <w:szCs w:val="22"/>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nsid w:val="12101D42"/>
    <w:multiLevelType w:val="hybridMultilevel"/>
    <w:tmpl w:val="0AE07596"/>
    <w:lvl w:ilvl="0" w:tplc="D3260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15739B"/>
    <w:multiLevelType w:val="hybridMultilevel"/>
    <w:tmpl w:val="113A4B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13D336CC"/>
    <w:multiLevelType w:val="hybridMultilevel"/>
    <w:tmpl w:val="1A86D226"/>
    <w:lvl w:ilvl="0" w:tplc="6984560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14506AB2"/>
    <w:multiLevelType w:val="hybridMultilevel"/>
    <w:tmpl w:val="8228BA86"/>
    <w:lvl w:ilvl="0" w:tplc="59B03B5E">
      <w:start w:val="1"/>
      <w:numFmt w:val="decimal"/>
      <w:lvlText w:val="%1."/>
      <w:lvlJc w:val="left"/>
      <w:pPr>
        <w:ind w:left="1146" w:hanging="360"/>
      </w:pPr>
      <w:rPr>
        <w:rFonts w:ascii="Times New Roman" w:hAnsi="Times New Roman" w:cs="Times New Roman" w:hint="default"/>
        <w:b w:val="0"/>
        <w:sz w:val="22"/>
        <w:szCs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162A7A31"/>
    <w:multiLevelType w:val="hybridMultilevel"/>
    <w:tmpl w:val="FBE63D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73A4267"/>
    <w:multiLevelType w:val="hybridMultilevel"/>
    <w:tmpl w:val="345C1FBA"/>
    <w:lvl w:ilvl="0" w:tplc="B1046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49711C"/>
    <w:multiLevelType w:val="hybridMultilevel"/>
    <w:tmpl w:val="08FE36D4"/>
    <w:lvl w:ilvl="0" w:tplc="CDA8516E">
      <w:start w:val="1"/>
      <w:numFmt w:val="decimal"/>
      <w:lvlText w:val="%1."/>
      <w:lvlJc w:val="left"/>
      <w:pPr>
        <w:ind w:left="786" w:hanging="360"/>
      </w:pPr>
      <w:rPr>
        <w:rFonts w:hint="default"/>
        <w:b w:val="0"/>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E2B029E"/>
    <w:multiLevelType w:val="hybridMultilevel"/>
    <w:tmpl w:val="D1D803AE"/>
    <w:lvl w:ilvl="0" w:tplc="9A3C5C46">
      <w:start w:val="1"/>
      <w:numFmt w:val="decimal"/>
      <w:lvlText w:val="%1."/>
      <w:lvlJc w:val="left"/>
      <w:pPr>
        <w:ind w:left="1069" w:hanging="360"/>
      </w:pPr>
      <w:rPr>
        <w:rFonts w:ascii="Times New Roman" w:hAnsi="Times New Roman" w:cs="Times New Roman" w:hint="default"/>
        <w:sz w:val="22"/>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07D1D80"/>
    <w:multiLevelType w:val="hybridMultilevel"/>
    <w:tmpl w:val="01486BFC"/>
    <w:lvl w:ilvl="0" w:tplc="60E0025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D96B3D"/>
    <w:multiLevelType w:val="multilevel"/>
    <w:tmpl w:val="C1A2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97053B"/>
    <w:multiLevelType w:val="hybridMultilevel"/>
    <w:tmpl w:val="7CFA1E3A"/>
    <w:lvl w:ilvl="0" w:tplc="2F60B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4254577"/>
    <w:multiLevelType w:val="hybridMultilevel"/>
    <w:tmpl w:val="6264F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56F48A8"/>
    <w:multiLevelType w:val="hybridMultilevel"/>
    <w:tmpl w:val="317025DC"/>
    <w:lvl w:ilvl="0" w:tplc="65E0D1B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58F28E8"/>
    <w:multiLevelType w:val="hybridMultilevel"/>
    <w:tmpl w:val="FF88CB3E"/>
    <w:lvl w:ilvl="0" w:tplc="A2680E0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5">
    <w:nsid w:val="26A95333"/>
    <w:multiLevelType w:val="hybridMultilevel"/>
    <w:tmpl w:val="30D4B186"/>
    <w:lvl w:ilvl="0" w:tplc="FE908DCC">
      <w:start w:val="1"/>
      <w:numFmt w:val="decimal"/>
      <w:lvlText w:val="%1."/>
      <w:lvlJc w:val="left"/>
      <w:pPr>
        <w:ind w:left="765" w:hanging="4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9A028AD"/>
    <w:multiLevelType w:val="hybridMultilevel"/>
    <w:tmpl w:val="8416B7F4"/>
    <w:lvl w:ilvl="0" w:tplc="5752583C">
      <w:numFmt w:val="bullet"/>
      <w:suff w:val="nothing"/>
      <w:lvlText w:val="–"/>
      <w:lvlJc w:val="left"/>
      <w:pPr>
        <w:ind w:left="833" w:hanging="360"/>
      </w:pPr>
      <w:rPr>
        <w:rFonts w:ascii="Times New Roman" w:hAnsi="Times New Roman" w:cs="Times New Roman"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abstractNum w:abstractNumId="27">
    <w:nsid w:val="29C807F8"/>
    <w:multiLevelType w:val="hybridMultilevel"/>
    <w:tmpl w:val="C3D44CD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29E32D27"/>
    <w:multiLevelType w:val="hybridMultilevel"/>
    <w:tmpl w:val="98A80312"/>
    <w:lvl w:ilvl="0" w:tplc="AC3ABCE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nsid w:val="29FD0DF8"/>
    <w:multiLevelType w:val="hybridMultilevel"/>
    <w:tmpl w:val="256ADD0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2C92213B"/>
    <w:multiLevelType w:val="hybridMultilevel"/>
    <w:tmpl w:val="C8249CB6"/>
    <w:lvl w:ilvl="0" w:tplc="7BF27B5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170B2F"/>
    <w:multiLevelType w:val="hybridMultilevel"/>
    <w:tmpl w:val="AC469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BD65C8"/>
    <w:multiLevelType w:val="hybridMultilevel"/>
    <w:tmpl w:val="DB283D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E681A15"/>
    <w:multiLevelType w:val="multilevel"/>
    <w:tmpl w:val="2A148796"/>
    <w:lvl w:ilvl="0">
      <w:start w:val="1"/>
      <w:numFmt w:val="decimal"/>
      <w:suff w:val="space"/>
      <w:lvlText w:val="%1."/>
      <w:lvlJc w:val="left"/>
      <w:pPr>
        <w:ind w:left="0" w:firstLine="708"/>
      </w:pPr>
    </w:lvl>
    <w:lvl w:ilvl="1">
      <w:start w:val="1"/>
      <w:numFmt w:val="decimal"/>
      <w:isLgl/>
      <w:lvlText w:val="%1.%2"/>
      <w:lvlJc w:val="left"/>
      <w:pPr>
        <w:ind w:left="1069" w:hanging="36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154" w:hanging="144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34">
    <w:nsid w:val="2E8D1D61"/>
    <w:multiLevelType w:val="hybridMultilevel"/>
    <w:tmpl w:val="93B88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2A31E2"/>
    <w:multiLevelType w:val="hybridMultilevel"/>
    <w:tmpl w:val="FFFFFFFF"/>
    <w:styleLink w:val="0"/>
    <w:lvl w:ilvl="0" w:tplc="F45AC75E">
      <w:start w:val="1"/>
      <w:numFmt w:val="decimal"/>
      <w:lvlText w:val="%1."/>
      <w:lvlJc w:val="left"/>
      <w:pPr>
        <w:ind w:left="2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3A8F1C">
      <w:start w:val="1"/>
      <w:numFmt w:val="decimal"/>
      <w:lvlText w:val="%2."/>
      <w:lvlJc w:val="left"/>
      <w:pPr>
        <w:ind w:left="10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434A2">
      <w:start w:val="1"/>
      <w:numFmt w:val="decimal"/>
      <w:lvlText w:val="%3."/>
      <w:lvlJc w:val="left"/>
      <w:pPr>
        <w:ind w:left="18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1CE53C">
      <w:start w:val="1"/>
      <w:numFmt w:val="decimal"/>
      <w:lvlText w:val="%4."/>
      <w:lvlJc w:val="left"/>
      <w:pPr>
        <w:ind w:left="26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12C6A8">
      <w:start w:val="1"/>
      <w:numFmt w:val="decimal"/>
      <w:lvlText w:val="%5."/>
      <w:lvlJc w:val="left"/>
      <w:pPr>
        <w:ind w:left="34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245D06">
      <w:start w:val="1"/>
      <w:numFmt w:val="decimal"/>
      <w:lvlText w:val="%6."/>
      <w:lvlJc w:val="left"/>
      <w:pPr>
        <w:ind w:left="42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4E0D22">
      <w:start w:val="1"/>
      <w:numFmt w:val="decimal"/>
      <w:lvlText w:val="%7."/>
      <w:lvlJc w:val="left"/>
      <w:pPr>
        <w:ind w:left="50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D8BA7E">
      <w:start w:val="1"/>
      <w:numFmt w:val="decimal"/>
      <w:lvlText w:val="%8."/>
      <w:lvlJc w:val="left"/>
      <w:pPr>
        <w:ind w:left="58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F2B0B4">
      <w:start w:val="1"/>
      <w:numFmt w:val="decimal"/>
      <w:lvlText w:val="%9."/>
      <w:lvlJc w:val="left"/>
      <w:pPr>
        <w:ind w:left="6632" w:hanging="232"/>
      </w:pPr>
      <w:rPr>
        <w:rFonts w:hAnsi="Arial Unicode MS" w:cs="Times New Roman"/>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32615D82"/>
    <w:multiLevelType w:val="hybridMultilevel"/>
    <w:tmpl w:val="E1CA97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2DC5BE0"/>
    <w:multiLevelType w:val="hybridMultilevel"/>
    <w:tmpl w:val="B45CBA3A"/>
    <w:lvl w:ilvl="0" w:tplc="E404214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3214853"/>
    <w:multiLevelType w:val="hybridMultilevel"/>
    <w:tmpl w:val="44A859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34E7445E"/>
    <w:multiLevelType w:val="hybridMultilevel"/>
    <w:tmpl w:val="41720798"/>
    <w:lvl w:ilvl="0" w:tplc="AC3606CA">
      <w:start w:val="1"/>
      <w:numFmt w:val="decimal"/>
      <w:lvlText w:val="%1."/>
      <w:lvlJc w:val="left"/>
      <w:pPr>
        <w:ind w:left="1069" w:hanging="360"/>
      </w:pPr>
      <w:rPr>
        <w:rFonts w:ascii="Times New Roman" w:hAnsi="Times New Roman" w:cs="Times New Roman" w:hint="default"/>
        <w:b w:val="0"/>
        <w:i w:val="0"/>
        <w:sz w:val="22"/>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563612D"/>
    <w:multiLevelType w:val="hybridMultilevel"/>
    <w:tmpl w:val="8C4A8AA8"/>
    <w:lvl w:ilvl="0" w:tplc="B10462C0">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1">
    <w:nsid w:val="363255BA"/>
    <w:multiLevelType w:val="hybridMultilevel"/>
    <w:tmpl w:val="A500957E"/>
    <w:lvl w:ilvl="0" w:tplc="2576948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nsid w:val="38136E0B"/>
    <w:multiLevelType w:val="hybridMultilevel"/>
    <w:tmpl w:val="0C6E47A0"/>
    <w:lvl w:ilvl="0" w:tplc="33882ED4">
      <w:start w:val="1"/>
      <w:numFmt w:val="decimal"/>
      <w:lvlText w:val="%1."/>
      <w:lvlJc w:val="left"/>
      <w:pPr>
        <w:ind w:left="786"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nsid w:val="3A5A5A6A"/>
    <w:multiLevelType w:val="hybridMultilevel"/>
    <w:tmpl w:val="AC34C61A"/>
    <w:lvl w:ilvl="0" w:tplc="31C6D14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3A8A0E65"/>
    <w:multiLevelType w:val="hybridMultilevel"/>
    <w:tmpl w:val="E32A7C7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BAF6F05"/>
    <w:multiLevelType w:val="hybridMultilevel"/>
    <w:tmpl w:val="D7DA6E82"/>
    <w:lvl w:ilvl="0" w:tplc="1BB0B1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3E737909"/>
    <w:multiLevelType w:val="hybridMultilevel"/>
    <w:tmpl w:val="40320FFA"/>
    <w:lvl w:ilvl="0" w:tplc="B1046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771886"/>
    <w:multiLevelType w:val="hybridMultilevel"/>
    <w:tmpl w:val="DE0E3C6C"/>
    <w:lvl w:ilvl="0" w:tplc="C5D4FCF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nsid w:val="3E8D5531"/>
    <w:multiLevelType w:val="hybridMultilevel"/>
    <w:tmpl w:val="32067350"/>
    <w:lvl w:ilvl="0" w:tplc="1DB655DC">
      <w:start w:val="1"/>
      <w:numFmt w:val="decimal"/>
      <w:lvlText w:val="%1."/>
      <w:lvlJc w:val="left"/>
      <w:pPr>
        <w:ind w:left="1146" w:hanging="360"/>
      </w:pPr>
      <w:rPr>
        <w:rFonts w:hint="default"/>
        <w:b w:val="0"/>
        <w:sz w:val="22"/>
        <w:szCs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3EE177D8"/>
    <w:multiLevelType w:val="hybridMultilevel"/>
    <w:tmpl w:val="BAD4E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0CB6C8E"/>
    <w:multiLevelType w:val="hybridMultilevel"/>
    <w:tmpl w:val="84ECBA1A"/>
    <w:lvl w:ilvl="0" w:tplc="7C903288">
      <w:start w:val="1"/>
      <w:numFmt w:val="decimal"/>
      <w:lvlText w:val="%1."/>
      <w:lvlJc w:val="left"/>
      <w:pPr>
        <w:ind w:left="1205" w:hanging="360"/>
      </w:pPr>
      <w:rPr>
        <w:rFonts w:hint="default"/>
        <w:b w:val="0"/>
        <w:sz w:val="20"/>
        <w:szCs w:val="20"/>
      </w:rPr>
    </w:lvl>
    <w:lvl w:ilvl="1" w:tplc="04190019" w:tentative="1">
      <w:start w:val="1"/>
      <w:numFmt w:val="lowerLetter"/>
      <w:lvlText w:val="%2."/>
      <w:lvlJc w:val="left"/>
      <w:pPr>
        <w:ind w:left="1925" w:hanging="360"/>
      </w:pPr>
    </w:lvl>
    <w:lvl w:ilvl="2" w:tplc="0419001B" w:tentative="1">
      <w:start w:val="1"/>
      <w:numFmt w:val="lowerRoman"/>
      <w:lvlText w:val="%3."/>
      <w:lvlJc w:val="right"/>
      <w:pPr>
        <w:ind w:left="2645" w:hanging="180"/>
      </w:pPr>
    </w:lvl>
    <w:lvl w:ilvl="3" w:tplc="0419000F" w:tentative="1">
      <w:start w:val="1"/>
      <w:numFmt w:val="decimal"/>
      <w:lvlText w:val="%4."/>
      <w:lvlJc w:val="left"/>
      <w:pPr>
        <w:ind w:left="3365" w:hanging="360"/>
      </w:pPr>
    </w:lvl>
    <w:lvl w:ilvl="4" w:tplc="04190019" w:tentative="1">
      <w:start w:val="1"/>
      <w:numFmt w:val="lowerLetter"/>
      <w:lvlText w:val="%5."/>
      <w:lvlJc w:val="left"/>
      <w:pPr>
        <w:ind w:left="4085" w:hanging="360"/>
      </w:pPr>
    </w:lvl>
    <w:lvl w:ilvl="5" w:tplc="0419001B" w:tentative="1">
      <w:start w:val="1"/>
      <w:numFmt w:val="lowerRoman"/>
      <w:lvlText w:val="%6."/>
      <w:lvlJc w:val="right"/>
      <w:pPr>
        <w:ind w:left="4805" w:hanging="180"/>
      </w:pPr>
    </w:lvl>
    <w:lvl w:ilvl="6" w:tplc="0419000F" w:tentative="1">
      <w:start w:val="1"/>
      <w:numFmt w:val="decimal"/>
      <w:lvlText w:val="%7."/>
      <w:lvlJc w:val="left"/>
      <w:pPr>
        <w:ind w:left="5525" w:hanging="360"/>
      </w:pPr>
    </w:lvl>
    <w:lvl w:ilvl="7" w:tplc="04190019" w:tentative="1">
      <w:start w:val="1"/>
      <w:numFmt w:val="lowerLetter"/>
      <w:lvlText w:val="%8."/>
      <w:lvlJc w:val="left"/>
      <w:pPr>
        <w:ind w:left="6245" w:hanging="360"/>
      </w:pPr>
    </w:lvl>
    <w:lvl w:ilvl="8" w:tplc="0419001B" w:tentative="1">
      <w:start w:val="1"/>
      <w:numFmt w:val="lowerRoman"/>
      <w:lvlText w:val="%9."/>
      <w:lvlJc w:val="right"/>
      <w:pPr>
        <w:ind w:left="6965" w:hanging="180"/>
      </w:pPr>
    </w:lvl>
  </w:abstractNum>
  <w:abstractNum w:abstractNumId="51">
    <w:nsid w:val="4349774A"/>
    <w:multiLevelType w:val="hybridMultilevel"/>
    <w:tmpl w:val="600868E4"/>
    <w:styleLink w:val="1"/>
    <w:lvl w:ilvl="0" w:tplc="BCF486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7808F6"/>
    <w:multiLevelType w:val="hybridMultilevel"/>
    <w:tmpl w:val="65F4A4B4"/>
    <w:lvl w:ilvl="0" w:tplc="3B161CC8">
      <w:start w:val="1"/>
      <w:numFmt w:val="decimal"/>
      <w:lvlText w:val="%1."/>
      <w:lvlJc w:val="left"/>
      <w:pPr>
        <w:ind w:left="734" w:hanging="360"/>
      </w:pPr>
      <w:rPr>
        <w:sz w:val="22"/>
        <w:szCs w:val="22"/>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43D209A9"/>
    <w:multiLevelType w:val="hybridMultilevel"/>
    <w:tmpl w:val="114E551C"/>
    <w:lvl w:ilvl="0" w:tplc="6B5068E2">
      <w:start w:val="1"/>
      <w:numFmt w:val="decimal"/>
      <w:lvlText w:val="%1."/>
      <w:lvlJc w:val="left"/>
      <w:pPr>
        <w:ind w:left="927" w:hanging="360"/>
      </w:pPr>
      <w:rPr>
        <w:rFonts w:hint="default"/>
        <w:b w:val="0"/>
        <w:sz w:val="22"/>
        <w:szCs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447173C1"/>
    <w:multiLevelType w:val="hybridMultilevel"/>
    <w:tmpl w:val="300A6684"/>
    <w:lvl w:ilvl="0" w:tplc="028CECEE">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55">
    <w:nsid w:val="46D93F53"/>
    <w:multiLevelType w:val="hybridMultilevel"/>
    <w:tmpl w:val="D4DE01EE"/>
    <w:lvl w:ilvl="0" w:tplc="0C5430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46F15B8E"/>
    <w:multiLevelType w:val="hybridMultilevel"/>
    <w:tmpl w:val="3E6E65B0"/>
    <w:lvl w:ilvl="0" w:tplc="315E4C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7415160"/>
    <w:multiLevelType w:val="hybridMultilevel"/>
    <w:tmpl w:val="085865DE"/>
    <w:lvl w:ilvl="0" w:tplc="12F6C876">
      <w:start w:val="1"/>
      <w:numFmt w:val="decimal"/>
      <w:lvlText w:val="%1."/>
      <w:lvlJc w:val="left"/>
      <w:pPr>
        <w:ind w:left="1071" w:hanging="645"/>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8">
    <w:nsid w:val="48117EEA"/>
    <w:multiLevelType w:val="hybridMultilevel"/>
    <w:tmpl w:val="FD0E9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8D976E3"/>
    <w:multiLevelType w:val="hybridMultilevel"/>
    <w:tmpl w:val="7B68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99476B0"/>
    <w:multiLevelType w:val="hybridMultilevel"/>
    <w:tmpl w:val="E5186B2E"/>
    <w:lvl w:ilvl="0" w:tplc="724E768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1">
    <w:nsid w:val="4ABB2F2B"/>
    <w:multiLevelType w:val="multilevel"/>
    <w:tmpl w:val="2B500A0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D450CE5"/>
    <w:multiLevelType w:val="hybridMultilevel"/>
    <w:tmpl w:val="1B26E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E5A1CAF"/>
    <w:multiLevelType w:val="hybridMultilevel"/>
    <w:tmpl w:val="D8A6E202"/>
    <w:lvl w:ilvl="0" w:tplc="A5B48506">
      <w:start w:val="1"/>
      <w:numFmt w:val="decimal"/>
      <w:lvlText w:val="%1."/>
      <w:lvlJc w:val="left"/>
      <w:pPr>
        <w:ind w:left="785" w:hanging="360"/>
      </w:pPr>
      <w:rPr>
        <w:rFonts w:hint="default"/>
        <w:color w:val="242F33"/>
        <w:u w:val="none"/>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4">
    <w:nsid w:val="4FF10A9D"/>
    <w:multiLevelType w:val="hybridMultilevel"/>
    <w:tmpl w:val="DFC066CC"/>
    <w:lvl w:ilvl="0" w:tplc="D61682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51027207"/>
    <w:multiLevelType w:val="hybridMultilevel"/>
    <w:tmpl w:val="09E84B68"/>
    <w:lvl w:ilvl="0" w:tplc="619E4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11D0A22"/>
    <w:multiLevelType w:val="hybridMultilevel"/>
    <w:tmpl w:val="9FA048F2"/>
    <w:lvl w:ilvl="0" w:tplc="01686C34">
      <w:start w:val="1"/>
      <w:numFmt w:val="decimal"/>
      <w:lvlText w:val="%1."/>
      <w:lvlJc w:val="left"/>
      <w:pPr>
        <w:ind w:left="1161" w:hanging="73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532C1788"/>
    <w:multiLevelType w:val="hybridMultilevel"/>
    <w:tmpl w:val="D30E5974"/>
    <w:lvl w:ilvl="0" w:tplc="87A668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3DD0BEC"/>
    <w:multiLevelType w:val="hybridMultilevel"/>
    <w:tmpl w:val="00121F2E"/>
    <w:lvl w:ilvl="0" w:tplc="089827A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3EA7BF9"/>
    <w:multiLevelType w:val="hybridMultilevel"/>
    <w:tmpl w:val="A7088E98"/>
    <w:styleLink w:val="a"/>
    <w:lvl w:ilvl="0" w:tplc="01021D6C">
      <w:start w:val="1"/>
      <w:numFmt w:val="decimal"/>
      <w:lvlText w:val="%1."/>
      <w:lvlJc w:val="left"/>
      <w:pPr>
        <w:tabs>
          <w:tab w:val="num" w:pos="658"/>
        </w:tabs>
        <w:ind w:left="2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267E1A">
      <w:start w:val="1"/>
      <w:numFmt w:val="decimal"/>
      <w:lvlText w:val="%2."/>
      <w:lvlJc w:val="left"/>
      <w:pPr>
        <w:tabs>
          <w:tab w:val="num" w:pos="1458"/>
        </w:tabs>
        <w:ind w:left="10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1AC04E">
      <w:start w:val="1"/>
      <w:numFmt w:val="decimal"/>
      <w:lvlText w:val="%3."/>
      <w:lvlJc w:val="left"/>
      <w:pPr>
        <w:tabs>
          <w:tab w:val="num" w:pos="2258"/>
        </w:tabs>
        <w:ind w:left="18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B6C">
      <w:start w:val="1"/>
      <w:numFmt w:val="decimal"/>
      <w:lvlText w:val="%4."/>
      <w:lvlJc w:val="left"/>
      <w:pPr>
        <w:tabs>
          <w:tab w:val="num" w:pos="3058"/>
        </w:tabs>
        <w:ind w:left="26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9A22AE">
      <w:start w:val="1"/>
      <w:numFmt w:val="decimal"/>
      <w:lvlText w:val="%5."/>
      <w:lvlJc w:val="left"/>
      <w:pPr>
        <w:tabs>
          <w:tab w:val="num" w:pos="3858"/>
        </w:tabs>
        <w:ind w:left="34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5C8F00">
      <w:start w:val="1"/>
      <w:numFmt w:val="decimal"/>
      <w:lvlText w:val="%6."/>
      <w:lvlJc w:val="left"/>
      <w:pPr>
        <w:tabs>
          <w:tab w:val="num" w:pos="4658"/>
        </w:tabs>
        <w:ind w:left="42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C8999C">
      <w:start w:val="1"/>
      <w:numFmt w:val="decimal"/>
      <w:lvlText w:val="%7."/>
      <w:lvlJc w:val="left"/>
      <w:pPr>
        <w:tabs>
          <w:tab w:val="num" w:pos="5458"/>
        </w:tabs>
        <w:ind w:left="50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54D80C">
      <w:start w:val="1"/>
      <w:numFmt w:val="decimal"/>
      <w:lvlText w:val="%8."/>
      <w:lvlJc w:val="left"/>
      <w:pPr>
        <w:tabs>
          <w:tab w:val="num" w:pos="6258"/>
        </w:tabs>
        <w:ind w:left="58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06B580">
      <w:start w:val="1"/>
      <w:numFmt w:val="decimal"/>
      <w:lvlText w:val="%9."/>
      <w:lvlJc w:val="left"/>
      <w:pPr>
        <w:tabs>
          <w:tab w:val="num" w:pos="7058"/>
        </w:tabs>
        <w:ind w:left="6632" w:firstLine="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56B82161"/>
    <w:multiLevelType w:val="hybridMultilevel"/>
    <w:tmpl w:val="8ECE0744"/>
    <w:lvl w:ilvl="0" w:tplc="33DA7E24">
      <w:start w:val="1"/>
      <w:numFmt w:val="decimal"/>
      <w:lvlText w:val="%1."/>
      <w:lvlJc w:val="left"/>
      <w:pPr>
        <w:ind w:left="830" w:hanging="360"/>
      </w:pPr>
    </w:lvl>
    <w:lvl w:ilvl="1" w:tplc="04190019">
      <w:start w:val="1"/>
      <w:numFmt w:val="lowerLetter"/>
      <w:lvlText w:val="%2."/>
      <w:lvlJc w:val="left"/>
      <w:pPr>
        <w:ind w:left="1550" w:hanging="360"/>
      </w:pPr>
    </w:lvl>
    <w:lvl w:ilvl="2" w:tplc="0419001B">
      <w:start w:val="1"/>
      <w:numFmt w:val="lowerRoman"/>
      <w:lvlText w:val="%3."/>
      <w:lvlJc w:val="right"/>
      <w:pPr>
        <w:ind w:left="2270" w:hanging="180"/>
      </w:pPr>
    </w:lvl>
    <w:lvl w:ilvl="3" w:tplc="0419000F">
      <w:start w:val="1"/>
      <w:numFmt w:val="decimal"/>
      <w:lvlText w:val="%4."/>
      <w:lvlJc w:val="left"/>
      <w:pPr>
        <w:ind w:left="2990" w:hanging="360"/>
      </w:pPr>
    </w:lvl>
    <w:lvl w:ilvl="4" w:tplc="04190019">
      <w:start w:val="1"/>
      <w:numFmt w:val="lowerLetter"/>
      <w:lvlText w:val="%5."/>
      <w:lvlJc w:val="left"/>
      <w:pPr>
        <w:ind w:left="3710" w:hanging="360"/>
      </w:pPr>
    </w:lvl>
    <w:lvl w:ilvl="5" w:tplc="0419001B">
      <w:start w:val="1"/>
      <w:numFmt w:val="lowerRoman"/>
      <w:lvlText w:val="%6."/>
      <w:lvlJc w:val="right"/>
      <w:pPr>
        <w:ind w:left="4430" w:hanging="180"/>
      </w:pPr>
    </w:lvl>
    <w:lvl w:ilvl="6" w:tplc="0419000F">
      <w:start w:val="1"/>
      <w:numFmt w:val="decimal"/>
      <w:lvlText w:val="%7."/>
      <w:lvlJc w:val="left"/>
      <w:pPr>
        <w:ind w:left="5150" w:hanging="360"/>
      </w:pPr>
    </w:lvl>
    <w:lvl w:ilvl="7" w:tplc="04190019">
      <w:start w:val="1"/>
      <w:numFmt w:val="lowerLetter"/>
      <w:lvlText w:val="%8."/>
      <w:lvlJc w:val="left"/>
      <w:pPr>
        <w:ind w:left="5870" w:hanging="360"/>
      </w:pPr>
    </w:lvl>
    <w:lvl w:ilvl="8" w:tplc="0419001B">
      <w:start w:val="1"/>
      <w:numFmt w:val="lowerRoman"/>
      <w:lvlText w:val="%9."/>
      <w:lvlJc w:val="right"/>
      <w:pPr>
        <w:ind w:left="6590" w:hanging="180"/>
      </w:pPr>
    </w:lvl>
  </w:abstractNum>
  <w:abstractNum w:abstractNumId="71">
    <w:nsid w:val="576517B3"/>
    <w:multiLevelType w:val="hybridMultilevel"/>
    <w:tmpl w:val="F6CECC0E"/>
    <w:lvl w:ilvl="0" w:tplc="2F28746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2">
    <w:nsid w:val="57B50964"/>
    <w:multiLevelType w:val="hybridMultilevel"/>
    <w:tmpl w:val="C4E89F2E"/>
    <w:lvl w:ilvl="0" w:tplc="DA7C74D6">
      <w:start w:val="1"/>
      <w:numFmt w:val="bullet"/>
      <w:lvlText w:val="̶"/>
      <w:lvlJc w:val="left"/>
      <w:pPr>
        <w:ind w:left="1145" w:hanging="360"/>
      </w:pPr>
      <w:rPr>
        <w:rFonts w:ascii="Calibri" w:hAnsi="Calibri"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3">
    <w:nsid w:val="589C23A7"/>
    <w:multiLevelType w:val="hybridMultilevel"/>
    <w:tmpl w:val="F108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92640DF"/>
    <w:multiLevelType w:val="hybridMultilevel"/>
    <w:tmpl w:val="7E305DFC"/>
    <w:lvl w:ilvl="0" w:tplc="4642E9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5">
    <w:nsid w:val="5A3D255A"/>
    <w:multiLevelType w:val="hybridMultilevel"/>
    <w:tmpl w:val="30D826D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6">
    <w:nsid w:val="5AD27705"/>
    <w:multiLevelType w:val="hybridMultilevel"/>
    <w:tmpl w:val="FE106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CB42AD8"/>
    <w:multiLevelType w:val="hybridMultilevel"/>
    <w:tmpl w:val="003A0036"/>
    <w:lvl w:ilvl="0" w:tplc="EE82B562">
      <w:start w:val="1"/>
      <w:numFmt w:val="decimal"/>
      <w:suff w:val="space"/>
      <w:lvlText w:val="%1."/>
      <w:lvlJc w:val="left"/>
      <w:pPr>
        <w:ind w:left="567" w:firstLine="50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5CFD1D7E"/>
    <w:multiLevelType w:val="hybridMultilevel"/>
    <w:tmpl w:val="7278EE56"/>
    <w:lvl w:ilvl="0" w:tplc="6928A696">
      <w:start w:val="1"/>
      <w:numFmt w:val="decimal"/>
      <w:lvlText w:val="%1."/>
      <w:lvlJc w:val="left"/>
      <w:pPr>
        <w:ind w:left="360" w:hanging="360"/>
      </w:pPr>
      <w:rPr>
        <w:rFonts w:ascii="Times New Roman" w:hAnsi="Times New Roman" w:cs="Times New Roman" w:hint="default"/>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9">
    <w:nsid w:val="5EF10F15"/>
    <w:multiLevelType w:val="hybridMultilevel"/>
    <w:tmpl w:val="A66E38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5F4F2FEC"/>
    <w:multiLevelType w:val="hybridMultilevel"/>
    <w:tmpl w:val="D53ACA32"/>
    <w:lvl w:ilvl="0" w:tplc="39EC821C">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81">
    <w:nsid w:val="5F977370"/>
    <w:multiLevelType w:val="hybridMultilevel"/>
    <w:tmpl w:val="B14E7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02F362C"/>
    <w:multiLevelType w:val="hybridMultilevel"/>
    <w:tmpl w:val="F1BC7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2407D99"/>
    <w:multiLevelType w:val="hybridMultilevel"/>
    <w:tmpl w:val="42AADC2C"/>
    <w:lvl w:ilvl="0" w:tplc="6F22F7AA">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4">
    <w:nsid w:val="628436A2"/>
    <w:multiLevelType w:val="hybridMultilevel"/>
    <w:tmpl w:val="85102BA0"/>
    <w:lvl w:ilvl="0" w:tplc="9DDC79D2">
      <w:start w:val="1"/>
      <w:numFmt w:val="decimal"/>
      <w:lvlText w:val="%1."/>
      <w:lvlJc w:val="left"/>
      <w:pPr>
        <w:ind w:left="1210"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5">
    <w:nsid w:val="62BC135B"/>
    <w:multiLevelType w:val="hybridMultilevel"/>
    <w:tmpl w:val="0610E2BC"/>
    <w:lvl w:ilvl="0" w:tplc="D4A432E6">
      <w:start w:val="1"/>
      <w:numFmt w:val="decimal"/>
      <w:suff w:val="space"/>
      <w:lvlText w:val="%1."/>
      <w:lvlJc w:val="left"/>
      <w:pPr>
        <w:ind w:left="1" w:firstLine="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64E165D2"/>
    <w:multiLevelType w:val="hybridMultilevel"/>
    <w:tmpl w:val="8A1843B8"/>
    <w:lvl w:ilvl="0" w:tplc="583682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54B32A3"/>
    <w:multiLevelType w:val="hybridMultilevel"/>
    <w:tmpl w:val="85102BA0"/>
    <w:lvl w:ilvl="0" w:tplc="9DDC79D2">
      <w:start w:val="1"/>
      <w:numFmt w:val="decimal"/>
      <w:lvlText w:val="%1."/>
      <w:lvlJc w:val="left"/>
      <w:pPr>
        <w:ind w:left="1210"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8">
    <w:nsid w:val="65B23828"/>
    <w:multiLevelType w:val="hybridMultilevel"/>
    <w:tmpl w:val="6B24E332"/>
    <w:lvl w:ilvl="0" w:tplc="E644713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66035802"/>
    <w:multiLevelType w:val="hybridMultilevel"/>
    <w:tmpl w:val="B908E72E"/>
    <w:lvl w:ilvl="0" w:tplc="9BA0B6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679F124B"/>
    <w:multiLevelType w:val="hybridMultilevel"/>
    <w:tmpl w:val="D0B89F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67E7440C"/>
    <w:multiLevelType w:val="hybridMultilevel"/>
    <w:tmpl w:val="82880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8E43E40"/>
    <w:multiLevelType w:val="hybridMultilevel"/>
    <w:tmpl w:val="98A68E9C"/>
    <w:lvl w:ilvl="0" w:tplc="D2B0286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69E536E7"/>
    <w:multiLevelType w:val="hybridMultilevel"/>
    <w:tmpl w:val="2B5CF5A2"/>
    <w:lvl w:ilvl="0" w:tplc="FB8A81B2">
      <w:start w:val="1"/>
      <w:numFmt w:val="decimal"/>
      <w:lvlText w:val="%1."/>
      <w:lvlJc w:val="left"/>
      <w:pPr>
        <w:ind w:left="927" w:hanging="360"/>
      </w:pPr>
      <w:rPr>
        <w:b w:val="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4">
    <w:nsid w:val="6A120ED8"/>
    <w:multiLevelType w:val="hybridMultilevel"/>
    <w:tmpl w:val="D8B422BA"/>
    <w:lvl w:ilvl="0" w:tplc="7E9EE6F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A592869"/>
    <w:multiLevelType w:val="hybridMultilevel"/>
    <w:tmpl w:val="1E807F7C"/>
    <w:lvl w:ilvl="0" w:tplc="B2829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AAD2A0E"/>
    <w:multiLevelType w:val="hybridMultilevel"/>
    <w:tmpl w:val="B29A6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B945510"/>
    <w:multiLevelType w:val="hybridMultilevel"/>
    <w:tmpl w:val="E6B2E97C"/>
    <w:lvl w:ilvl="0" w:tplc="2C8C649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8">
    <w:nsid w:val="6D2D2180"/>
    <w:multiLevelType w:val="hybridMultilevel"/>
    <w:tmpl w:val="8DC0A6BA"/>
    <w:lvl w:ilvl="0" w:tplc="0419000F">
      <w:start w:val="1"/>
      <w:numFmt w:val="decimal"/>
      <w:lvlText w:val="%1."/>
      <w:lvlJc w:val="left"/>
      <w:pPr>
        <w:tabs>
          <w:tab w:val="num" w:pos="690"/>
        </w:tabs>
        <w:ind w:left="690" w:hanging="360"/>
      </w:pPr>
    </w:lvl>
    <w:lvl w:ilvl="1" w:tplc="04190019">
      <w:start w:val="1"/>
      <w:numFmt w:val="lowerLetter"/>
      <w:lvlText w:val="%2."/>
      <w:lvlJc w:val="left"/>
      <w:pPr>
        <w:tabs>
          <w:tab w:val="num" w:pos="1410"/>
        </w:tabs>
        <w:ind w:left="1410" w:hanging="360"/>
      </w:pPr>
    </w:lvl>
    <w:lvl w:ilvl="2" w:tplc="0419001B">
      <w:start w:val="1"/>
      <w:numFmt w:val="lowerRoman"/>
      <w:lvlText w:val="%3."/>
      <w:lvlJc w:val="right"/>
      <w:pPr>
        <w:tabs>
          <w:tab w:val="num" w:pos="2130"/>
        </w:tabs>
        <w:ind w:left="2130" w:hanging="180"/>
      </w:pPr>
    </w:lvl>
    <w:lvl w:ilvl="3" w:tplc="0419000F">
      <w:start w:val="1"/>
      <w:numFmt w:val="decimal"/>
      <w:lvlText w:val="%4."/>
      <w:lvlJc w:val="left"/>
      <w:pPr>
        <w:tabs>
          <w:tab w:val="num" w:pos="2850"/>
        </w:tabs>
        <w:ind w:left="2850" w:hanging="360"/>
      </w:pPr>
    </w:lvl>
    <w:lvl w:ilvl="4" w:tplc="04190019">
      <w:start w:val="1"/>
      <w:numFmt w:val="lowerLetter"/>
      <w:lvlText w:val="%5."/>
      <w:lvlJc w:val="left"/>
      <w:pPr>
        <w:tabs>
          <w:tab w:val="num" w:pos="3570"/>
        </w:tabs>
        <w:ind w:left="3570" w:hanging="360"/>
      </w:pPr>
    </w:lvl>
    <w:lvl w:ilvl="5" w:tplc="0419001B">
      <w:start w:val="1"/>
      <w:numFmt w:val="lowerRoman"/>
      <w:lvlText w:val="%6."/>
      <w:lvlJc w:val="right"/>
      <w:pPr>
        <w:tabs>
          <w:tab w:val="num" w:pos="4290"/>
        </w:tabs>
        <w:ind w:left="4290" w:hanging="180"/>
      </w:pPr>
    </w:lvl>
    <w:lvl w:ilvl="6" w:tplc="0419000F">
      <w:start w:val="1"/>
      <w:numFmt w:val="decimal"/>
      <w:lvlText w:val="%7."/>
      <w:lvlJc w:val="left"/>
      <w:pPr>
        <w:tabs>
          <w:tab w:val="num" w:pos="5010"/>
        </w:tabs>
        <w:ind w:left="5010" w:hanging="360"/>
      </w:pPr>
    </w:lvl>
    <w:lvl w:ilvl="7" w:tplc="04190019">
      <w:start w:val="1"/>
      <w:numFmt w:val="lowerLetter"/>
      <w:lvlText w:val="%8."/>
      <w:lvlJc w:val="left"/>
      <w:pPr>
        <w:tabs>
          <w:tab w:val="num" w:pos="5730"/>
        </w:tabs>
        <w:ind w:left="5730" w:hanging="360"/>
      </w:pPr>
    </w:lvl>
    <w:lvl w:ilvl="8" w:tplc="0419001B">
      <w:start w:val="1"/>
      <w:numFmt w:val="lowerRoman"/>
      <w:lvlText w:val="%9."/>
      <w:lvlJc w:val="right"/>
      <w:pPr>
        <w:tabs>
          <w:tab w:val="num" w:pos="6450"/>
        </w:tabs>
        <w:ind w:left="6450" w:hanging="180"/>
      </w:pPr>
    </w:lvl>
  </w:abstractNum>
  <w:abstractNum w:abstractNumId="99">
    <w:nsid w:val="6D2E49B5"/>
    <w:multiLevelType w:val="hybridMultilevel"/>
    <w:tmpl w:val="BD02662E"/>
    <w:lvl w:ilvl="0" w:tplc="B1046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D5C3658"/>
    <w:multiLevelType w:val="hybridMultilevel"/>
    <w:tmpl w:val="3E9AE4E8"/>
    <w:lvl w:ilvl="0" w:tplc="8F0E775A">
      <w:start w:val="1"/>
      <w:numFmt w:val="decimal"/>
      <w:lvlText w:val="%1."/>
      <w:lvlJc w:val="left"/>
      <w:pPr>
        <w:ind w:left="1070" w:hanging="64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1">
    <w:nsid w:val="6F3B6FD9"/>
    <w:multiLevelType w:val="hybridMultilevel"/>
    <w:tmpl w:val="128A752A"/>
    <w:lvl w:ilvl="0" w:tplc="5372CF06">
      <w:start w:val="1"/>
      <w:numFmt w:val="decimal"/>
      <w:lvlText w:val="%1."/>
      <w:lvlJc w:val="left"/>
      <w:pPr>
        <w:ind w:left="1146" w:hanging="360"/>
      </w:pPr>
      <w:rPr>
        <w:rFonts w:hint="default"/>
        <w:b w:val="0"/>
        <w:sz w:val="22"/>
        <w:szCs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2">
    <w:nsid w:val="6F5A2641"/>
    <w:multiLevelType w:val="hybridMultilevel"/>
    <w:tmpl w:val="FC34F42A"/>
    <w:lvl w:ilvl="0" w:tplc="1D905E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3">
    <w:nsid w:val="700C5030"/>
    <w:multiLevelType w:val="hybridMultilevel"/>
    <w:tmpl w:val="1B8E61B6"/>
    <w:lvl w:ilvl="0" w:tplc="41A24F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1760BE9"/>
    <w:multiLevelType w:val="hybridMultilevel"/>
    <w:tmpl w:val="190663D6"/>
    <w:lvl w:ilvl="0" w:tplc="08167A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28A73EF"/>
    <w:multiLevelType w:val="hybridMultilevel"/>
    <w:tmpl w:val="80FE1430"/>
    <w:lvl w:ilvl="0" w:tplc="2A2E801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73013801"/>
    <w:multiLevelType w:val="hybridMultilevel"/>
    <w:tmpl w:val="C624DA1C"/>
    <w:lvl w:ilvl="0" w:tplc="38580D5C">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07">
    <w:nsid w:val="75B15C29"/>
    <w:multiLevelType w:val="hybridMultilevel"/>
    <w:tmpl w:val="92DC7400"/>
    <w:lvl w:ilvl="0" w:tplc="6FEAF76E">
      <w:numFmt w:val="bullet"/>
      <w:suff w:val="nothing"/>
      <w:lvlText w:val="–"/>
      <w:lvlJc w:val="left"/>
      <w:pPr>
        <w:ind w:left="0" w:firstLine="473"/>
      </w:pPr>
      <w:rPr>
        <w:rFonts w:ascii="Times New Roman" w:hAnsi="Times New Roman" w:cs="Times New Roman"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abstractNum w:abstractNumId="108">
    <w:nsid w:val="78A63F7E"/>
    <w:multiLevelType w:val="hybridMultilevel"/>
    <w:tmpl w:val="D6CE2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AB545D3"/>
    <w:multiLevelType w:val="hybridMultilevel"/>
    <w:tmpl w:val="95242644"/>
    <w:lvl w:ilvl="0" w:tplc="BFCA2C86">
      <w:start w:val="1"/>
      <w:numFmt w:val="decimal"/>
      <w:suff w:val="nothing"/>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D7D7576"/>
    <w:multiLevelType w:val="hybridMultilevel"/>
    <w:tmpl w:val="1318DDEC"/>
    <w:lvl w:ilvl="0" w:tplc="0D689E44">
      <w:start w:val="3"/>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11">
    <w:nsid w:val="7E8E610B"/>
    <w:multiLevelType w:val="hybridMultilevel"/>
    <w:tmpl w:val="3AA06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F7F7DDC"/>
    <w:multiLevelType w:val="hybridMultilevel"/>
    <w:tmpl w:val="65969C02"/>
    <w:lvl w:ilvl="0" w:tplc="B10462C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69"/>
  </w:num>
  <w:num w:numId="3">
    <w:abstractNumId w:val="3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num>
  <w:num w:numId="8">
    <w:abstractNumId w:val="7"/>
  </w:num>
  <w:num w:numId="9">
    <w:abstractNumId w:val="75"/>
  </w:num>
  <w:num w:numId="10">
    <w:abstractNumId w:val="21"/>
  </w:num>
  <w:num w:numId="11">
    <w:abstractNumId w:val="82"/>
  </w:num>
  <w:num w:numId="12">
    <w:abstractNumId w:val="103"/>
  </w:num>
  <w:num w:numId="13">
    <w:abstractNumId w:val="89"/>
  </w:num>
  <w:num w:numId="14">
    <w:abstractNumId w:val="15"/>
  </w:num>
  <w:num w:numId="15">
    <w:abstractNumId w:val="41"/>
  </w:num>
  <w:num w:numId="16">
    <w:abstractNumId w:val="49"/>
  </w:num>
  <w:num w:numId="17">
    <w:abstractNumId w:val="54"/>
  </w:num>
  <w:num w:numId="18">
    <w:abstractNumId w:val="80"/>
  </w:num>
  <w:num w:numId="19">
    <w:abstractNumId w:val="85"/>
  </w:num>
  <w:num w:numId="20">
    <w:abstractNumId w:val="13"/>
  </w:num>
  <w:num w:numId="21">
    <w:abstractNumId w:val="100"/>
  </w:num>
  <w:num w:numId="22">
    <w:abstractNumId w:val="88"/>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num>
  <w:num w:numId="35">
    <w:abstractNumId w:val="3"/>
  </w:num>
  <w:num w:numId="36">
    <w:abstractNumId w:val="23"/>
  </w:num>
  <w:num w:numId="37">
    <w:abstractNumId w:val="91"/>
  </w:num>
  <w:num w:numId="38">
    <w:abstractNumId w:val="74"/>
  </w:num>
  <w:num w:numId="39">
    <w:abstractNumId w:val="73"/>
  </w:num>
  <w:num w:numId="40">
    <w:abstractNumId w:val="111"/>
  </w:num>
  <w:num w:numId="41">
    <w:abstractNumId w:val="92"/>
  </w:num>
  <w:num w:numId="42">
    <w:abstractNumId w:val="68"/>
  </w:num>
  <w:num w:numId="43">
    <w:abstractNumId w:val="66"/>
  </w:num>
  <w:num w:numId="44">
    <w:abstractNumId w:val="95"/>
  </w:num>
  <w:num w:numId="45">
    <w:abstractNumId w:val="17"/>
  </w:num>
  <w:num w:numId="46">
    <w:abstractNumId w:val="78"/>
  </w:num>
  <w:num w:numId="47">
    <w:abstractNumId w:val="102"/>
  </w:num>
  <w:num w:numId="48">
    <w:abstractNumId w:val="112"/>
  </w:num>
  <w:num w:numId="49">
    <w:abstractNumId w:val="99"/>
  </w:num>
  <w:num w:numId="50">
    <w:abstractNumId w:val="16"/>
  </w:num>
  <w:num w:numId="51">
    <w:abstractNumId w:val="46"/>
  </w:num>
  <w:num w:numId="52">
    <w:abstractNumId w:val="40"/>
  </w:num>
  <w:num w:numId="53">
    <w:abstractNumId w:val="55"/>
  </w:num>
  <w:num w:numId="54">
    <w:abstractNumId w:val="43"/>
  </w:num>
  <w:num w:numId="55">
    <w:abstractNumId w:val="37"/>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84"/>
  </w:num>
  <w:num w:numId="59">
    <w:abstractNumId w:val="24"/>
  </w:num>
  <w:num w:numId="60">
    <w:abstractNumId w:val="28"/>
  </w:num>
  <w:num w:numId="61">
    <w:abstractNumId w:val="18"/>
  </w:num>
  <w:num w:numId="62">
    <w:abstractNumId w:val="11"/>
  </w:num>
  <w:num w:numId="63">
    <w:abstractNumId w:val="39"/>
  </w:num>
  <w:num w:numId="64">
    <w:abstractNumId w:val="62"/>
  </w:num>
  <w:num w:numId="65">
    <w:abstractNumId w:val="104"/>
  </w:num>
  <w:num w:numId="66">
    <w:abstractNumId w:val="8"/>
  </w:num>
  <w:num w:numId="67">
    <w:abstractNumId w:val="108"/>
  </w:num>
  <w:num w:numId="68">
    <w:abstractNumId w:val="94"/>
  </w:num>
  <w:num w:numId="69">
    <w:abstractNumId w:val="5"/>
  </w:num>
  <w:num w:numId="70">
    <w:abstractNumId w:val="19"/>
  </w:num>
  <w:num w:numId="71">
    <w:abstractNumId w:val="101"/>
  </w:num>
  <w:num w:numId="72">
    <w:abstractNumId w:val="9"/>
  </w:num>
  <w:num w:numId="73">
    <w:abstractNumId w:val="105"/>
  </w:num>
  <w:num w:numId="74">
    <w:abstractNumId w:val="30"/>
  </w:num>
  <w:num w:numId="75">
    <w:abstractNumId w:val="4"/>
  </w:num>
  <w:num w:numId="76">
    <w:abstractNumId w:val="2"/>
  </w:num>
  <w:num w:numId="77">
    <w:abstractNumId w:val="97"/>
  </w:num>
  <w:num w:numId="78">
    <w:abstractNumId w:val="96"/>
  </w:num>
  <w:num w:numId="79">
    <w:abstractNumId w:val="12"/>
  </w:num>
  <w:num w:numId="80">
    <w:abstractNumId w:val="29"/>
  </w:num>
  <w:num w:numId="81">
    <w:abstractNumId w:val="50"/>
  </w:num>
  <w:num w:numId="82">
    <w:abstractNumId w:val="45"/>
  </w:num>
  <w:num w:numId="83">
    <w:abstractNumId w:val="48"/>
  </w:num>
  <w:num w:numId="84">
    <w:abstractNumId w:val="53"/>
  </w:num>
  <w:num w:numId="85">
    <w:abstractNumId w:val="14"/>
  </w:num>
  <w:num w:numId="86">
    <w:abstractNumId w:val="72"/>
  </w:num>
  <w:num w:numId="87">
    <w:abstractNumId w:val="71"/>
  </w:num>
  <w:num w:numId="88">
    <w:abstractNumId w:val="56"/>
  </w:num>
  <w:num w:numId="89">
    <w:abstractNumId w:val="34"/>
  </w:num>
  <w:num w:numId="90">
    <w:abstractNumId w:val="44"/>
  </w:num>
  <w:num w:numId="91">
    <w:abstractNumId w:val="10"/>
  </w:num>
  <w:num w:numId="92">
    <w:abstractNumId w:val="61"/>
  </w:num>
  <w:num w:numId="93">
    <w:abstractNumId w:val="110"/>
  </w:num>
  <w:num w:numId="94">
    <w:abstractNumId w:val="109"/>
  </w:num>
  <w:num w:numId="95">
    <w:abstractNumId w:val="109"/>
    <w:lvlOverride w:ilvl="0">
      <w:lvl w:ilvl="0" w:tplc="BFCA2C86">
        <w:start w:val="1"/>
        <w:numFmt w:val="decimal"/>
        <w:suff w:val="nothing"/>
        <w:lvlText w:val="%1."/>
        <w:lvlJc w:val="left"/>
        <w:pPr>
          <w:ind w:left="113" w:firstLine="247"/>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96">
    <w:abstractNumId w:val="26"/>
  </w:num>
  <w:num w:numId="97">
    <w:abstractNumId w:val="107"/>
  </w:num>
  <w:num w:numId="98">
    <w:abstractNumId w:val="60"/>
  </w:num>
  <w:num w:numId="99">
    <w:abstractNumId w:val="32"/>
  </w:num>
  <w:num w:numId="100">
    <w:abstractNumId w:val="6"/>
  </w:num>
  <w:num w:numId="101">
    <w:abstractNumId w:val="86"/>
  </w:num>
  <w:num w:numId="102">
    <w:abstractNumId w:val="81"/>
  </w:num>
  <w:num w:numId="103">
    <w:abstractNumId w:val="76"/>
  </w:num>
  <w:num w:numId="104">
    <w:abstractNumId w:val="36"/>
  </w:num>
  <w:num w:numId="105">
    <w:abstractNumId w:val="64"/>
  </w:num>
  <w:num w:numId="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num>
  <w:num w:numId="109">
    <w:abstractNumId w:val="20"/>
  </w:num>
  <w:num w:numId="110">
    <w:abstractNumId w:val="77"/>
  </w:num>
  <w:num w:numId="111">
    <w:abstractNumId w:val="83"/>
  </w:num>
  <w:num w:numId="11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CCF"/>
    <w:rsid w:val="0000074F"/>
    <w:rsid w:val="00001AC5"/>
    <w:rsid w:val="00005504"/>
    <w:rsid w:val="000058A5"/>
    <w:rsid w:val="00006439"/>
    <w:rsid w:val="00007227"/>
    <w:rsid w:val="000115B1"/>
    <w:rsid w:val="000125D4"/>
    <w:rsid w:val="00012D20"/>
    <w:rsid w:val="00014365"/>
    <w:rsid w:val="00021047"/>
    <w:rsid w:val="000215D7"/>
    <w:rsid w:val="00022C4A"/>
    <w:rsid w:val="0002362C"/>
    <w:rsid w:val="00024398"/>
    <w:rsid w:val="00024AB8"/>
    <w:rsid w:val="00024F98"/>
    <w:rsid w:val="000255FE"/>
    <w:rsid w:val="000265C4"/>
    <w:rsid w:val="000277CA"/>
    <w:rsid w:val="00030EEA"/>
    <w:rsid w:val="000326A0"/>
    <w:rsid w:val="000332A7"/>
    <w:rsid w:val="00036613"/>
    <w:rsid w:val="00040305"/>
    <w:rsid w:val="00040EEF"/>
    <w:rsid w:val="00041D55"/>
    <w:rsid w:val="000445B4"/>
    <w:rsid w:val="0005099D"/>
    <w:rsid w:val="00050A4C"/>
    <w:rsid w:val="000517B1"/>
    <w:rsid w:val="0005292E"/>
    <w:rsid w:val="00053004"/>
    <w:rsid w:val="000563A1"/>
    <w:rsid w:val="00061A84"/>
    <w:rsid w:val="0006422E"/>
    <w:rsid w:val="00067272"/>
    <w:rsid w:val="000672D4"/>
    <w:rsid w:val="00070F7C"/>
    <w:rsid w:val="00071A5D"/>
    <w:rsid w:val="00071D49"/>
    <w:rsid w:val="000723BA"/>
    <w:rsid w:val="00072CD3"/>
    <w:rsid w:val="00072D43"/>
    <w:rsid w:val="00074066"/>
    <w:rsid w:val="000749B1"/>
    <w:rsid w:val="00075928"/>
    <w:rsid w:val="00076CFA"/>
    <w:rsid w:val="00076DD4"/>
    <w:rsid w:val="00082F3F"/>
    <w:rsid w:val="00085182"/>
    <w:rsid w:val="000857E4"/>
    <w:rsid w:val="00086C22"/>
    <w:rsid w:val="000878CA"/>
    <w:rsid w:val="000937C6"/>
    <w:rsid w:val="00096EAB"/>
    <w:rsid w:val="000A168F"/>
    <w:rsid w:val="000A2A2D"/>
    <w:rsid w:val="000A2E0B"/>
    <w:rsid w:val="000A7A57"/>
    <w:rsid w:val="000B3479"/>
    <w:rsid w:val="000B493F"/>
    <w:rsid w:val="000B5585"/>
    <w:rsid w:val="000B59A4"/>
    <w:rsid w:val="000B5CEE"/>
    <w:rsid w:val="000B62E9"/>
    <w:rsid w:val="000B6782"/>
    <w:rsid w:val="000B7A70"/>
    <w:rsid w:val="000B7AF2"/>
    <w:rsid w:val="000C04FE"/>
    <w:rsid w:val="000C0862"/>
    <w:rsid w:val="000C1465"/>
    <w:rsid w:val="000C2B42"/>
    <w:rsid w:val="000C3989"/>
    <w:rsid w:val="000C4264"/>
    <w:rsid w:val="000C51E1"/>
    <w:rsid w:val="000C72B5"/>
    <w:rsid w:val="000C735E"/>
    <w:rsid w:val="000C7D3B"/>
    <w:rsid w:val="000D04CB"/>
    <w:rsid w:val="000D0D2D"/>
    <w:rsid w:val="000D5F55"/>
    <w:rsid w:val="000D6E21"/>
    <w:rsid w:val="000E090E"/>
    <w:rsid w:val="000E0BAF"/>
    <w:rsid w:val="000E1329"/>
    <w:rsid w:val="000E2902"/>
    <w:rsid w:val="000E3E06"/>
    <w:rsid w:val="000E3E48"/>
    <w:rsid w:val="000E3EE5"/>
    <w:rsid w:val="000E5D27"/>
    <w:rsid w:val="000E7AD2"/>
    <w:rsid w:val="000F05EB"/>
    <w:rsid w:val="000F1AB6"/>
    <w:rsid w:val="000F1FFD"/>
    <w:rsid w:val="000F40DC"/>
    <w:rsid w:val="000F4658"/>
    <w:rsid w:val="000F4856"/>
    <w:rsid w:val="000F594F"/>
    <w:rsid w:val="000F699F"/>
    <w:rsid w:val="000F7903"/>
    <w:rsid w:val="00100A24"/>
    <w:rsid w:val="00100DB8"/>
    <w:rsid w:val="00102161"/>
    <w:rsid w:val="00102687"/>
    <w:rsid w:val="00102957"/>
    <w:rsid w:val="00102BD6"/>
    <w:rsid w:val="0010381E"/>
    <w:rsid w:val="00104079"/>
    <w:rsid w:val="001042C9"/>
    <w:rsid w:val="00106384"/>
    <w:rsid w:val="001074AB"/>
    <w:rsid w:val="001118E9"/>
    <w:rsid w:val="00112535"/>
    <w:rsid w:val="00113084"/>
    <w:rsid w:val="00113437"/>
    <w:rsid w:val="00114A4E"/>
    <w:rsid w:val="00114F90"/>
    <w:rsid w:val="0011533A"/>
    <w:rsid w:val="001178B6"/>
    <w:rsid w:val="0012240F"/>
    <w:rsid w:val="00122D6F"/>
    <w:rsid w:val="00124045"/>
    <w:rsid w:val="001247F5"/>
    <w:rsid w:val="00125027"/>
    <w:rsid w:val="001268CE"/>
    <w:rsid w:val="00131A69"/>
    <w:rsid w:val="00131A75"/>
    <w:rsid w:val="0013295A"/>
    <w:rsid w:val="001331BE"/>
    <w:rsid w:val="001341B4"/>
    <w:rsid w:val="001360B4"/>
    <w:rsid w:val="00136B09"/>
    <w:rsid w:val="001409A1"/>
    <w:rsid w:val="00140A67"/>
    <w:rsid w:val="00140C8B"/>
    <w:rsid w:val="0014145B"/>
    <w:rsid w:val="0014348C"/>
    <w:rsid w:val="00145B37"/>
    <w:rsid w:val="00146C08"/>
    <w:rsid w:val="00150986"/>
    <w:rsid w:val="00150CC9"/>
    <w:rsid w:val="00151B60"/>
    <w:rsid w:val="00152334"/>
    <w:rsid w:val="00154140"/>
    <w:rsid w:val="00154C1A"/>
    <w:rsid w:val="00156584"/>
    <w:rsid w:val="00156E93"/>
    <w:rsid w:val="00157CA3"/>
    <w:rsid w:val="00163DEF"/>
    <w:rsid w:val="001653C0"/>
    <w:rsid w:val="001700B7"/>
    <w:rsid w:val="0017022A"/>
    <w:rsid w:val="00171200"/>
    <w:rsid w:val="00174348"/>
    <w:rsid w:val="001743DF"/>
    <w:rsid w:val="00174C27"/>
    <w:rsid w:val="001755C3"/>
    <w:rsid w:val="0017632D"/>
    <w:rsid w:val="001768B3"/>
    <w:rsid w:val="00176F7A"/>
    <w:rsid w:val="00177E52"/>
    <w:rsid w:val="00180C64"/>
    <w:rsid w:val="00182094"/>
    <w:rsid w:val="001822AB"/>
    <w:rsid w:val="0018230D"/>
    <w:rsid w:val="00182549"/>
    <w:rsid w:val="00183B95"/>
    <w:rsid w:val="00183C09"/>
    <w:rsid w:val="00184F0A"/>
    <w:rsid w:val="001853C9"/>
    <w:rsid w:val="0018683B"/>
    <w:rsid w:val="00186845"/>
    <w:rsid w:val="0018706F"/>
    <w:rsid w:val="00187B35"/>
    <w:rsid w:val="00190A12"/>
    <w:rsid w:val="00192186"/>
    <w:rsid w:val="00192753"/>
    <w:rsid w:val="00192F3E"/>
    <w:rsid w:val="0019447C"/>
    <w:rsid w:val="0019451C"/>
    <w:rsid w:val="00196943"/>
    <w:rsid w:val="001977CC"/>
    <w:rsid w:val="001A044E"/>
    <w:rsid w:val="001A0ECD"/>
    <w:rsid w:val="001A17BF"/>
    <w:rsid w:val="001A729B"/>
    <w:rsid w:val="001A7F67"/>
    <w:rsid w:val="001B0729"/>
    <w:rsid w:val="001B11EC"/>
    <w:rsid w:val="001B22B8"/>
    <w:rsid w:val="001B4257"/>
    <w:rsid w:val="001B4E27"/>
    <w:rsid w:val="001B5D98"/>
    <w:rsid w:val="001B7CA7"/>
    <w:rsid w:val="001C6706"/>
    <w:rsid w:val="001C6F5C"/>
    <w:rsid w:val="001D0D35"/>
    <w:rsid w:val="001D2EAE"/>
    <w:rsid w:val="001E0067"/>
    <w:rsid w:val="001E0ACA"/>
    <w:rsid w:val="001E14DC"/>
    <w:rsid w:val="001E2244"/>
    <w:rsid w:val="001E2F2C"/>
    <w:rsid w:val="001E3477"/>
    <w:rsid w:val="001E3925"/>
    <w:rsid w:val="001E44F3"/>
    <w:rsid w:val="001E47AD"/>
    <w:rsid w:val="001E554B"/>
    <w:rsid w:val="001E5920"/>
    <w:rsid w:val="001F2D25"/>
    <w:rsid w:val="001F3832"/>
    <w:rsid w:val="001F5E61"/>
    <w:rsid w:val="001F67B3"/>
    <w:rsid w:val="001F746B"/>
    <w:rsid w:val="002010E1"/>
    <w:rsid w:val="00203ED1"/>
    <w:rsid w:val="002043AB"/>
    <w:rsid w:val="002053DD"/>
    <w:rsid w:val="0020545E"/>
    <w:rsid w:val="00213CAC"/>
    <w:rsid w:val="00215479"/>
    <w:rsid w:val="002200F0"/>
    <w:rsid w:val="00220926"/>
    <w:rsid w:val="00220F61"/>
    <w:rsid w:val="00221FF5"/>
    <w:rsid w:val="00223E8B"/>
    <w:rsid w:val="002240F6"/>
    <w:rsid w:val="00224413"/>
    <w:rsid w:val="00226016"/>
    <w:rsid w:val="00227254"/>
    <w:rsid w:val="00227D23"/>
    <w:rsid w:val="002312ED"/>
    <w:rsid w:val="00231988"/>
    <w:rsid w:val="00231A3C"/>
    <w:rsid w:val="00232ED3"/>
    <w:rsid w:val="00233B28"/>
    <w:rsid w:val="00234D47"/>
    <w:rsid w:val="00241886"/>
    <w:rsid w:val="0024279C"/>
    <w:rsid w:val="00242974"/>
    <w:rsid w:val="00242BEE"/>
    <w:rsid w:val="002441FF"/>
    <w:rsid w:val="002446D8"/>
    <w:rsid w:val="0024613D"/>
    <w:rsid w:val="0024715F"/>
    <w:rsid w:val="002471CE"/>
    <w:rsid w:val="00247D54"/>
    <w:rsid w:val="002500E6"/>
    <w:rsid w:val="002517EA"/>
    <w:rsid w:val="00251B5E"/>
    <w:rsid w:val="002522B1"/>
    <w:rsid w:val="00253B8A"/>
    <w:rsid w:val="00254A3B"/>
    <w:rsid w:val="002556F2"/>
    <w:rsid w:val="00256434"/>
    <w:rsid w:val="00256E4A"/>
    <w:rsid w:val="00257450"/>
    <w:rsid w:val="00257831"/>
    <w:rsid w:val="00257E77"/>
    <w:rsid w:val="00260EE9"/>
    <w:rsid w:val="00264226"/>
    <w:rsid w:val="002653A9"/>
    <w:rsid w:val="00265477"/>
    <w:rsid w:val="00270575"/>
    <w:rsid w:val="0027117C"/>
    <w:rsid w:val="00271720"/>
    <w:rsid w:val="002727B2"/>
    <w:rsid w:val="002738DF"/>
    <w:rsid w:val="00273C69"/>
    <w:rsid w:val="0027464E"/>
    <w:rsid w:val="0027644D"/>
    <w:rsid w:val="002801C9"/>
    <w:rsid w:val="00281602"/>
    <w:rsid w:val="0028170B"/>
    <w:rsid w:val="00284426"/>
    <w:rsid w:val="00284545"/>
    <w:rsid w:val="00286569"/>
    <w:rsid w:val="00287B15"/>
    <w:rsid w:val="00291D74"/>
    <w:rsid w:val="00291FFF"/>
    <w:rsid w:val="0029331D"/>
    <w:rsid w:val="002952B2"/>
    <w:rsid w:val="00295DDB"/>
    <w:rsid w:val="00296850"/>
    <w:rsid w:val="002A01BC"/>
    <w:rsid w:val="002A1457"/>
    <w:rsid w:val="002A1EE0"/>
    <w:rsid w:val="002A4909"/>
    <w:rsid w:val="002A71A2"/>
    <w:rsid w:val="002A7C03"/>
    <w:rsid w:val="002B0418"/>
    <w:rsid w:val="002B27C6"/>
    <w:rsid w:val="002B2DAD"/>
    <w:rsid w:val="002B31D6"/>
    <w:rsid w:val="002B3A7B"/>
    <w:rsid w:val="002B572E"/>
    <w:rsid w:val="002C01E0"/>
    <w:rsid w:val="002C0C94"/>
    <w:rsid w:val="002C3CA4"/>
    <w:rsid w:val="002C40C4"/>
    <w:rsid w:val="002C4EF8"/>
    <w:rsid w:val="002C5DA4"/>
    <w:rsid w:val="002C6B63"/>
    <w:rsid w:val="002C6D88"/>
    <w:rsid w:val="002D0939"/>
    <w:rsid w:val="002D0E5E"/>
    <w:rsid w:val="002D0FEE"/>
    <w:rsid w:val="002D2FEE"/>
    <w:rsid w:val="002D382D"/>
    <w:rsid w:val="002D3BCE"/>
    <w:rsid w:val="002D4566"/>
    <w:rsid w:val="002D4ADC"/>
    <w:rsid w:val="002D578E"/>
    <w:rsid w:val="002D63E6"/>
    <w:rsid w:val="002D7DA5"/>
    <w:rsid w:val="002E0E53"/>
    <w:rsid w:val="002E47B6"/>
    <w:rsid w:val="002E47CA"/>
    <w:rsid w:val="002E4D92"/>
    <w:rsid w:val="002E591E"/>
    <w:rsid w:val="002E663D"/>
    <w:rsid w:val="002E7938"/>
    <w:rsid w:val="002F11F6"/>
    <w:rsid w:val="002F1577"/>
    <w:rsid w:val="002F2A29"/>
    <w:rsid w:val="002F3944"/>
    <w:rsid w:val="002F453D"/>
    <w:rsid w:val="002F4E9D"/>
    <w:rsid w:val="002F4F62"/>
    <w:rsid w:val="002F5899"/>
    <w:rsid w:val="00301CD3"/>
    <w:rsid w:val="00302795"/>
    <w:rsid w:val="0030296E"/>
    <w:rsid w:val="003029C1"/>
    <w:rsid w:val="00302AA0"/>
    <w:rsid w:val="00303AE6"/>
    <w:rsid w:val="00303EC9"/>
    <w:rsid w:val="003045C8"/>
    <w:rsid w:val="003062B3"/>
    <w:rsid w:val="003071AD"/>
    <w:rsid w:val="00307943"/>
    <w:rsid w:val="0031029A"/>
    <w:rsid w:val="00314B85"/>
    <w:rsid w:val="0031528F"/>
    <w:rsid w:val="00317BE6"/>
    <w:rsid w:val="003205B7"/>
    <w:rsid w:val="00321F44"/>
    <w:rsid w:val="00322842"/>
    <w:rsid w:val="00322CD7"/>
    <w:rsid w:val="00323264"/>
    <w:rsid w:val="00323EF3"/>
    <w:rsid w:val="003240B6"/>
    <w:rsid w:val="00326D36"/>
    <w:rsid w:val="003311BE"/>
    <w:rsid w:val="003325E6"/>
    <w:rsid w:val="00333AF0"/>
    <w:rsid w:val="00334C6B"/>
    <w:rsid w:val="00340236"/>
    <w:rsid w:val="00342337"/>
    <w:rsid w:val="00342B14"/>
    <w:rsid w:val="003435E2"/>
    <w:rsid w:val="00343CB1"/>
    <w:rsid w:val="00343E12"/>
    <w:rsid w:val="0034435A"/>
    <w:rsid w:val="003460EE"/>
    <w:rsid w:val="003464C5"/>
    <w:rsid w:val="0034733E"/>
    <w:rsid w:val="00350124"/>
    <w:rsid w:val="00350BA1"/>
    <w:rsid w:val="0035253D"/>
    <w:rsid w:val="00352715"/>
    <w:rsid w:val="0035429F"/>
    <w:rsid w:val="00354555"/>
    <w:rsid w:val="00355B80"/>
    <w:rsid w:val="00357356"/>
    <w:rsid w:val="003603EF"/>
    <w:rsid w:val="003614BD"/>
    <w:rsid w:val="00361D91"/>
    <w:rsid w:val="00364337"/>
    <w:rsid w:val="0036485E"/>
    <w:rsid w:val="00365D77"/>
    <w:rsid w:val="00365DEF"/>
    <w:rsid w:val="00366F5B"/>
    <w:rsid w:val="003672FD"/>
    <w:rsid w:val="003677EA"/>
    <w:rsid w:val="003678AB"/>
    <w:rsid w:val="0037128F"/>
    <w:rsid w:val="00371841"/>
    <w:rsid w:val="00372C6D"/>
    <w:rsid w:val="00373A45"/>
    <w:rsid w:val="003757CB"/>
    <w:rsid w:val="00375EBF"/>
    <w:rsid w:val="003765B8"/>
    <w:rsid w:val="003766C5"/>
    <w:rsid w:val="00376FB6"/>
    <w:rsid w:val="003804CC"/>
    <w:rsid w:val="003804FF"/>
    <w:rsid w:val="003824F2"/>
    <w:rsid w:val="003841C3"/>
    <w:rsid w:val="0038424B"/>
    <w:rsid w:val="003844E4"/>
    <w:rsid w:val="0038463E"/>
    <w:rsid w:val="00384DE6"/>
    <w:rsid w:val="00386E10"/>
    <w:rsid w:val="00387FAC"/>
    <w:rsid w:val="00391FE1"/>
    <w:rsid w:val="0039331F"/>
    <w:rsid w:val="003945FA"/>
    <w:rsid w:val="003947F6"/>
    <w:rsid w:val="00394CFF"/>
    <w:rsid w:val="00395208"/>
    <w:rsid w:val="003953A0"/>
    <w:rsid w:val="00395E8A"/>
    <w:rsid w:val="00396788"/>
    <w:rsid w:val="00397D3C"/>
    <w:rsid w:val="003A02E7"/>
    <w:rsid w:val="003A0D13"/>
    <w:rsid w:val="003A1AF8"/>
    <w:rsid w:val="003A1CE2"/>
    <w:rsid w:val="003A20F6"/>
    <w:rsid w:val="003A316A"/>
    <w:rsid w:val="003A498D"/>
    <w:rsid w:val="003A4EAE"/>
    <w:rsid w:val="003A5C07"/>
    <w:rsid w:val="003A6F86"/>
    <w:rsid w:val="003B2195"/>
    <w:rsid w:val="003B335B"/>
    <w:rsid w:val="003B37B7"/>
    <w:rsid w:val="003B3CDD"/>
    <w:rsid w:val="003B6287"/>
    <w:rsid w:val="003B6952"/>
    <w:rsid w:val="003B6CC8"/>
    <w:rsid w:val="003C00E9"/>
    <w:rsid w:val="003C0667"/>
    <w:rsid w:val="003C16D6"/>
    <w:rsid w:val="003C214B"/>
    <w:rsid w:val="003C2C6C"/>
    <w:rsid w:val="003C32A4"/>
    <w:rsid w:val="003C60FD"/>
    <w:rsid w:val="003C677D"/>
    <w:rsid w:val="003C72ED"/>
    <w:rsid w:val="003D354F"/>
    <w:rsid w:val="003D446E"/>
    <w:rsid w:val="003D4913"/>
    <w:rsid w:val="003D6ED3"/>
    <w:rsid w:val="003D703F"/>
    <w:rsid w:val="003E01AF"/>
    <w:rsid w:val="003E2D27"/>
    <w:rsid w:val="003E38A3"/>
    <w:rsid w:val="003E5108"/>
    <w:rsid w:val="003E5E67"/>
    <w:rsid w:val="003E7A0B"/>
    <w:rsid w:val="003F2480"/>
    <w:rsid w:val="003F3918"/>
    <w:rsid w:val="003F3A00"/>
    <w:rsid w:val="003F40B7"/>
    <w:rsid w:val="003F4787"/>
    <w:rsid w:val="003F5617"/>
    <w:rsid w:val="00401931"/>
    <w:rsid w:val="00402436"/>
    <w:rsid w:val="0040346F"/>
    <w:rsid w:val="00403FEC"/>
    <w:rsid w:val="004044DD"/>
    <w:rsid w:val="00406FDA"/>
    <w:rsid w:val="0041052D"/>
    <w:rsid w:val="00410D4A"/>
    <w:rsid w:val="0041144C"/>
    <w:rsid w:val="00412113"/>
    <w:rsid w:val="004141BB"/>
    <w:rsid w:val="004141E2"/>
    <w:rsid w:val="00414D80"/>
    <w:rsid w:val="0041627D"/>
    <w:rsid w:val="0041734A"/>
    <w:rsid w:val="004177BE"/>
    <w:rsid w:val="004178A7"/>
    <w:rsid w:val="004178E8"/>
    <w:rsid w:val="00417998"/>
    <w:rsid w:val="00417B3B"/>
    <w:rsid w:val="00420238"/>
    <w:rsid w:val="0042125A"/>
    <w:rsid w:val="00421A4F"/>
    <w:rsid w:val="00422534"/>
    <w:rsid w:val="0042339C"/>
    <w:rsid w:val="00423E83"/>
    <w:rsid w:val="00425497"/>
    <w:rsid w:val="0042691D"/>
    <w:rsid w:val="0042720A"/>
    <w:rsid w:val="004318AF"/>
    <w:rsid w:val="00432B6A"/>
    <w:rsid w:val="004338A9"/>
    <w:rsid w:val="0043508C"/>
    <w:rsid w:val="00435F43"/>
    <w:rsid w:val="00437FF7"/>
    <w:rsid w:val="00440E20"/>
    <w:rsid w:val="00441C25"/>
    <w:rsid w:val="00442465"/>
    <w:rsid w:val="00444555"/>
    <w:rsid w:val="00444981"/>
    <w:rsid w:val="004454BA"/>
    <w:rsid w:val="0044767B"/>
    <w:rsid w:val="004477EE"/>
    <w:rsid w:val="0045081D"/>
    <w:rsid w:val="00450DD7"/>
    <w:rsid w:val="00451253"/>
    <w:rsid w:val="00451B87"/>
    <w:rsid w:val="00453F72"/>
    <w:rsid w:val="00455FB4"/>
    <w:rsid w:val="004561AD"/>
    <w:rsid w:val="0045639C"/>
    <w:rsid w:val="004605A0"/>
    <w:rsid w:val="0046169F"/>
    <w:rsid w:val="004630A9"/>
    <w:rsid w:val="0046495C"/>
    <w:rsid w:val="004669F8"/>
    <w:rsid w:val="00467F33"/>
    <w:rsid w:val="00470897"/>
    <w:rsid w:val="00473573"/>
    <w:rsid w:val="004754DB"/>
    <w:rsid w:val="004832E9"/>
    <w:rsid w:val="00483E1F"/>
    <w:rsid w:val="00485EA2"/>
    <w:rsid w:val="00487964"/>
    <w:rsid w:val="00496988"/>
    <w:rsid w:val="00497C98"/>
    <w:rsid w:val="004A0C2D"/>
    <w:rsid w:val="004A0D3B"/>
    <w:rsid w:val="004A1EB4"/>
    <w:rsid w:val="004A32AF"/>
    <w:rsid w:val="004A372F"/>
    <w:rsid w:val="004A3CFD"/>
    <w:rsid w:val="004A47F0"/>
    <w:rsid w:val="004A4F7C"/>
    <w:rsid w:val="004A58E4"/>
    <w:rsid w:val="004A5A61"/>
    <w:rsid w:val="004A6CBD"/>
    <w:rsid w:val="004A75A1"/>
    <w:rsid w:val="004A7DBA"/>
    <w:rsid w:val="004B20D0"/>
    <w:rsid w:val="004B3BC8"/>
    <w:rsid w:val="004B4573"/>
    <w:rsid w:val="004B4D7B"/>
    <w:rsid w:val="004B6173"/>
    <w:rsid w:val="004C16EE"/>
    <w:rsid w:val="004C6607"/>
    <w:rsid w:val="004C7080"/>
    <w:rsid w:val="004C73C5"/>
    <w:rsid w:val="004D053A"/>
    <w:rsid w:val="004D0C23"/>
    <w:rsid w:val="004D104A"/>
    <w:rsid w:val="004D20F7"/>
    <w:rsid w:val="004D3ACB"/>
    <w:rsid w:val="004E26FF"/>
    <w:rsid w:val="004E37F2"/>
    <w:rsid w:val="004E3DD2"/>
    <w:rsid w:val="004E4087"/>
    <w:rsid w:val="004E4336"/>
    <w:rsid w:val="004E66F5"/>
    <w:rsid w:val="004E6D78"/>
    <w:rsid w:val="004E7FE4"/>
    <w:rsid w:val="004F0E8B"/>
    <w:rsid w:val="004F1BB1"/>
    <w:rsid w:val="004F513D"/>
    <w:rsid w:val="004F5466"/>
    <w:rsid w:val="004F6053"/>
    <w:rsid w:val="004F60B5"/>
    <w:rsid w:val="004F79F5"/>
    <w:rsid w:val="005001E8"/>
    <w:rsid w:val="00500AC6"/>
    <w:rsid w:val="005012A5"/>
    <w:rsid w:val="005012BE"/>
    <w:rsid w:val="005056DA"/>
    <w:rsid w:val="00507CCC"/>
    <w:rsid w:val="00507F6B"/>
    <w:rsid w:val="00510884"/>
    <w:rsid w:val="0051093A"/>
    <w:rsid w:val="00512040"/>
    <w:rsid w:val="00512C0F"/>
    <w:rsid w:val="0051356A"/>
    <w:rsid w:val="00513924"/>
    <w:rsid w:val="005140A7"/>
    <w:rsid w:val="0051440B"/>
    <w:rsid w:val="00514808"/>
    <w:rsid w:val="005148B3"/>
    <w:rsid w:val="005157D1"/>
    <w:rsid w:val="00516271"/>
    <w:rsid w:val="00517648"/>
    <w:rsid w:val="00517AEC"/>
    <w:rsid w:val="00527138"/>
    <w:rsid w:val="00527DF7"/>
    <w:rsid w:val="0053075D"/>
    <w:rsid w:val="00530821"/>
    <w:rsid w:val="00532272"/>
    <w:rsid w:val="005323CB"/>
    <w:rsid w:val="00533161"/>
    <w:rsid w:val="00533C26"/>
    <w:rsid w:val="00536C91"/>
    <w:rsid w:val="005408F7"/>
    <w:rsid w:val="0054143B"/>
    <w:rsid w:val="0054146F"/>
    <w:rsid w:val="00541645"/>
    <w:rsid w:val="00541CA5"/>
    <w:rsid w:val="00541F5A"/>
    <w:rsid w:val="00542A31"/>
    <w:rsid w:val="00542C3D"/>
    <w:rsid w:val="00543506"/>
    <w:rsid w:val="00544D89"/>
    <w:rsid w:val="00546380"/>
    <w:rsid w:val="005468FD"/>
    <w:rsid w:val="00547F3A"/>
    <w:rsid w:val="00552647"/>
    <w:rsid w:val="00553B63"/>
    <w:rsid w:val="005570E7"/>
    <w:rsid w:val="00560F00"/>
    <w:rsid w:val="0056133C"/>
    <w:rsid w:val="00561990"/>
    <w:rsid w:val="005619CE"/>
    <w:rsid w:val="005631DF"/>
    <w:rsid w:val="00564BF8"/>
    <w:rsid w:val="00564DAA"/>
    <w:rsid w:val="00564E2E"/>
    <w:rsid w:val="005667A0"/>
    <w:rsid w:val="00566DBC"/>
    <w:rsid w:val="00567221"/>
    <w:rsid w:val="005720F2"/>
    <w:rsid w:val="00573255"/>
    <w:rsid w:val="00573EBC"/>
    <w:rsid w:val="0057439D"/>
    <w:rsid w:val="005751D9"/>
    <w:rsid w:val="00575E54"/>
    <w:rsid w:val="005806F8"/>
    <w:rsid w:val="0058078F"/>
    <w:rsid w:val="00582084"/>
    <w:rsid w:val="00583DD5"/>
    <w:rsid w:val="00585BFE"/>
    <w:rsid w:val="00585EB9"/>
    <w:rsid w:val="005861DF"/>
    <w:rsid w:val="005879CD"/>
    <w:rsid w:val="005908E5"/>
    <w:rsid w:val="0059108B"/>
    <w:rsid w:val="005914ED"/>
    <w:rsid w:val="005927DC"/>
    <w:rsid w:val="00593CFE"/>
    <w:rsid w:val="005942F3"/>
    <w:rsid w:val="00595CE5"/>
    <w:rsid w:val="00595F73"/>
    <w:rsid w:val="005A1080"/>
    <w:rsid w:val="005A154E"/>
    <w:rsid w:val="005A1DEC"/>
    <w:rsid w:val="005A2200"/>
    <w:rsid w:val="005A2699"/>
    <w:rsid w:val="005A2AF0"/>
    <w:rsid w:val="005A34B7"/>
    <w:rsid w:val="005A4472"/>
    <w:rsid w:val="005A5513"/>
    <w:rsid w:val="005A5ACA"/>
    <w:rsid w:val="005A5C33"/>
    <w:rsid w:val="005A657E"/>
    <w:rsid w:val="005A70AC"/>
    <w:rsid w:val="005A77BE"/>
    <w:rsid w:val="005B173F"/>
    <w:rsid w:val="005B197F"/>
    <w:rsid w:val="005B3543"/>
    <w:rsid w:val="005B59A5"/>
    <w:rsid w:val="005B6CDF"/>
    <w:rsid w:val="005C1C9D"/>
    <w:rsid w:val="005C3962"/>
    <w:rsid w:val="005C4F56"/>
    <w:rsid w:val="005C5DEA"/>
    <w:rsid w:val="005C6B8F"/>
    <w:rsid w:val="005D0A3F"/>
    <w:rsid w:val="005D14C0"/>
    <w:rsid w:val="005D14F0"/>
    <w:rsid w:val="005D3821"/>
    <w:rsid w:val="005D5A73"/>
    <w:rsid w:val="005D63F2"/>
    <w:rsid w:val="005D75CB"/>
    <w:rsid w:val="005E0289"/>
    <w:rsid w:val="005E1483"/>
    <w:rsid w:val="005E1D64"/>
    <w:rsid w:val="005E213B"/>
    <w:rsid w:val="005E320A"/>
    <w:rsid w:val="005E5D21"/>
    <w:rsid w:val="005E677F"/>
    <w:rsid w:val="005F034B"/>
    <w:rsid w:val="005F0D7D"/>
    <w:rsid w:val="005F187F"/>
    <w:rsid w:val="005F1EFF"/>
    <w:rsid w:val="005F2E6A"/>
    <w:rsid w:val="005F36EF"/>
    <w:rsid w:val="005F4634"/>
    <w:rsid w:val="005F468A"/>
    <w:rsid w:val="005F523C"/>
    <w:rsid w:val="005F53AD"/>
    <w:rsid w:val="006007EC"/>
    <w:rsid w:val="00600BCE"/>
    <w:rsid w:val="00611207"/>
    <w:rsid w:val="00612423"/>
    <w:rsid w:val="006167FC"/>
    <w:rsid w:val="00622497"/>
    <w:rsid w:val="00623025"/>
    <w:rsid w:val="0062671E"/>
    <w:rsid w:val="0062708F"/>
    <w:rsid w:val="00627C5B"/>
    <w:rsid w:val="00630637"/>
    <w:rsid w:val="00630A0D"/>
    <w:rsid w:val="00630AB5"/>
    <w:rsid w:val="00631108"/>
    <w:rsid w:val="00635F29"/>
    <w:rsid w:val="0063738D"/>
    <w:rsid w:val="006373DC"/>
    <w:rsid w:val="00640409"/>
    <w:rsid w:val="00640649"/>
    <w:rsid w:val="00641206"/>
    <w:rsid w:val="00641ADC"/>
    <w:rsid w:val="0064456F"/>
    <w:rsid w:val="00646C3D"/>
    <w:rsid w:val="00646D12"/>
    <w:rsid w:val="006478C4"/>
    <w:rsid w:val="0065268F"/>
    <w:rsid w:val="00653423"/>
    <w:rsid w:val="00654DB2"/>
    <w:rsid w:val="00656DE5"/>
    <w:rsid w:val="00660D1F"/>
    <w:rsid w:val="00662192"/>
    <w:rsid w:val="00662630"/>
    <w:rsid w:val="00662BE8"/>
    <w:rsid w:val="0066471E"/>
    <w:rsid w:val="00664CC5"/>
    <w:rsid w:val="0066682F"/>
    <w:rsid w:val="006671E3"/>
    <w:rsid w:val="00667E25"/>
    <w:rsid w:val="006731CD"/>
    <w:rsid w:val="006742E4"/>
    <w:rsid w:val="00675757"/>
    <w:rsid w:val="006769BE"/>
    <w:rsid w:val="00676A98"/>
    <w:rsid w:val="00681261"/>
    <w:rsid w:val="00683C19"/>
    <w:rsid w:val="00685384"/>
    <w:rsid w:val="0068630C"/>
    <w:rsid w:val="00686B5E"/>
    <w:rsid w:val="00686DF1"/>
    <w:rsid w:val="00687B0C"/>
    <w:rsid w:val="00690EFD"/>
    <w:rsid w:val="0069137C"/>
    <w:rsid w:val="00691B16"/>
    <w:rsid w:val="00692109"/>
    <w:rsid w:val="006952C2"/>
    <w:rsid w:val="00695AAE"/>
    <w:rsid w:val="00695BBD"/>
    <w:rsid w:val="0069640C"/>
    <w:rsid w:val="00696769"/>
    <w:rsid w:val="006976DD"/>
    <w:rsid w:val="006A1962"/>
    <w:rsid w:val="006A1F2C"/>
    <w:rsid w:val="006A449D"/>
    <w:rsid w:val="006A56FA"/>
    <w:rsid w:val="006A58E5"/>
    <w:rsid w:val="006A60D4"/>
    <w:rsid w:val="006A771F"/>
    <w:rsid w:val="006B0A64"/>
    <w:rsid w:val="006B2F93"/>
    <w:rsid w:val="006B4B7A"/>
    <w:rsid w:val="006B785A"/>
    <w:rsid w:val="006C0344"/>
    <w:rsid w:val="006C2BE7"/>
    <w:rsid w:val="006C3E56"/>
    <w:rsid w:val="006C63FD"/>
    <w:rsid w:val="006C67FF"/>
    <w:rsid w:val="006C79B6"/>
    <w:rsid w:val="006D1B1D"/>
    <w:rsid w:val="006D1CCC"/>
    <w:rsid w:val="006D28D3"/>
    <w:rsid w:val="006D348E"/>
    <w:rsid w:val="006D46DE"/>
    <w:rsid w:val="006D64EA"/>
    <w:rsid w:val="006E1893"/>
    <w:rsid w:val="006E33F2"/>
    <w:rsid w:val="006E389E"/>
    <w:rsid w:val="006E412D"/>
    <w:rsid w:val="006E4146"/>
    <w:rsid w:val="006E46A3"/>
    <w:rsid w:val="006E59AD"/>
    <w:rsid w:val="006E5B69"/>
    <w:rsid w:val="006E60D4"/>
    <w:rsid w:val="006E6907"/>
    <w:rsid w:val="006E6E30"/>
    <w:rsid w:val="006E6F34"/>
    <w:rsid w:val="006F1A3E"/>
    <w:rsid w:val="006F3AEE"/>
    <w:rsid w:val="006F78EE"/>
    <w:rsid w:val="006F7F71"/>
    <w:rsid w:val="00700B8E"/>
    <w:rsid w:val="007034E0"/>
    <w:rsid w:val="00703EBA"/>
    <w:rsid w:val="00704A62"/>
    <w:rsid w:val="007051EE"/>
    <w:rsid w:val="00705FE6"/>
    <w:rsid w:val="00706640"/>
    <w:rsid w:val="00707312"/>
    <w:rsid w:val="0071122D"/>
    <w:rsid w:val="00711A2D"/>
    <w:rsid w:val="007130E4"/>
    <w:rsid w:val="00713166"/>
    <w:rsid w:val="00713B6B"/>
    <w:rsid w:val="00715187"/>
    <w:rsid w:val="007156C6"/>
    <w:rsid w:val="007159E1"/>
    <w:rsid w:val="00717027"/>
    <w:rsid w:val="007176FF"/>
    <w:rsid w:val="00720CF5"/>
    <w:rsid w:val="00722948"/>
    <w:rsid w:val="00723562"/>
    <w:rsid w:val="00724342"/>
    <w:rsid w:val="007262F6"/>
    <w:rsid w:val="00726694"/>
    <w:rsid w:val="007269AE"/>
    <w:rsid w:val="00727AF9"/>
    <w:rsid w:val="00730A76"/>
    <w:rsid w:val="00731838"/>
    <w:rsid w:val="00732436"/>
    <w:rsid w:val="00734D53"/>
    <w:rsid w:val="00735226"/>
    <w:rsid w:val="007353B5"/>
    <w:rsid w:val="0073558B"/>
    <w:rsid w:val="00735627"/>
    <w:rsid w:val="00735A5E"/>
    <w:rsid w:val="00735F32"/>
    <w:rsid w:val="0073653F"/>
    <w:rsid w:val="0073713D"/>
    <w:rsid w:val="007379CD"/>
    <w:rsid w:val="00741A16"/>
    <w:rsid w:val="007425F1"/>
    <w:rsid w:val="007449E7"/>
    <w:rsid w:val="00744B60"/>
    <w:rsid w:val="007468EA"/>
    <w:rsid w:val="00747901"/>
    <w:rsid w:val="00747A93"/>
    <w:rsid w:val="00752549"/>
    <w:rsid w:val="007543A3"/>
    <w:rsid w:val="007555E6"/>
    <w:rsid w:val="00756240"/>
    <w:rsid w:val="007573F9"/>
    <w:rsid w:val="007633A8"/>
    <w:rsid w:val="007637EA"/>
    <w:rsid w:val="0076657C"/>
    <w:rsid w:val="00766DF3"/>
    <w:rsid w:val="007674C3"/>
    <w:rsid w:val="00772C43"/>
    <w:rsid w:val="00772D62"/>
    <w:rsid w:val="007754E8"/>
    <w:rsid w:val="007755AE"/>
    <w:rsid w:val="007772D8"/>
    <w:rsid w:val="00777A3F"/>
    <w:rsid w:val="00777C17"/>
    <w:rsid w:val="0078001C"/>
    <w:rsid w:val="00781B5C"/>
    <w:rsid w:val="00782D60"/>
    <w:rsid w:val="00783669"/>
    <w:rsid w:val="00784904"/>
    <w:rsid w:val="007849E6"/>
    <w:rsid w:val="0078603E"/>
    <w:rsid w:val="0078657B"/>
    <w:rsid w:val="0078732F"/>
    <w:rsid w:val="00787D06"/>
    <w:rsid w:val="00787EA7"/>
    <w:rsid w:val="0079036F"/>
    <w:rsid w:val="00794FD6"/>
    <w:rsid w:val="007954F5"/>
    <w:rsid w:val="00795C8D"/>
    <w:rsid w:val="007970D5"/>
    <w:rsid w:val="007A0281"/>
    <w:rsid w:val="007A15A7"/>
    <w:rsid w:val="007A66C2"/>
    <w:rsid w:val="007A776C"/>
    <w:rsid w:val="007B1A79"/>
    <w:rsid w:val="007B1E32"/>
    <w:rsid w:val="007B2870"/>
    <w:rsid w:val="007B4C57"/>
    <w:rsid w:val="007B6562"/>
    <w:rsid w:val="007B6604"/>
    <w:rsid w:val="007B7570"/>
    <w:rsid w:val="007C0016"/>
    <w:rsid w:val="007C00B3"/>
    <w:rsid w:val="007C0D4F"/>
    <w:rsid w:val="007C19AA"/>
    <w:rsid w:val="007C4459"/>
    <w:rsid w:val="007C4FA0"/>
    <w:rsid w:val="007C5DF8"/>
    <w:rsid w:val="007C6940"/>
    <w:rsid w:val="007C7423"/>
    <w:rsid w:val="007D09F9"/>
    <w:rsid w:val="007D0F07"/>
    <w:rsid w:val="007D167F"/>
    <w:rsid w:val="007D27A8"/>
    <w:rsid w:val="007D344D"/>
    <w:rsid w:val="007D3714"/>
    <w:rsid w:val="007D5793"/>
    <w:rsid w:val="007D6501"/>
    <w:rsid w:val="007E096F"/>
    <w:rsid w:val="007E1429"/>
    <w:rsid w:val="007E1F8F"/>
    <w:rsid w:val="007E5292"/>
    <w:rsid w:val="007E6D1E"/>
    <w:rsid w:val="007E7A54"/>
    <w:rsid w:val="007F1600"/>
    <w:rsid w:val="007F4507"/>
    <w:rsid w:val="007F47FA"/>
    <w:rsid w:val="007F580A"/>
    <w:rsid w:val="007F609E"/>
    <w:rsid w:val="007F70DB"/>
    <w:rsid w:val="008002DE"/>
    <w:rsid w:val="00800A32"/>
    <w:rsid w:val="008017FE"/>
    <w:rsid w:val="008019B7"/>
    <w:rsid w:val="008032A7"/>
    <w:rsid w:val="008042E7"/>
    <w:rsid w:val="00805CEB"/>
    <w:rsid w:val="00806A19"/>
    <w:rsid w:val="00811632"/>
    <w:rsid w:val="00811B91"/>
    <w:rsid w:val="008120BB"/>
    <w:rsid w:val="00812425"/>
    <w:rsid w:val="00812F84"/>
    <w:rsid w:val="00813B86"/>
    <w:rsid w:val="00813E9E"/>
    <w:rsid w:val="00815B32"/>
    <w:rsid w:val="00815B36"/>
    <w:rsid w:val="00815C3A"/>
    <w:rsid w:val="00815E71"/>
    <w:rsid w:val="008178FB"/>
    <w:rsid w:val="00820408"/>
    <w:rsid w:val="008248AF"/>
    <w:rsid w:val="00826160"/>
    <w:rsid w:val="00826BE0"/>
    <w:rsid w:val="00830046"/>
    <w:rsid w:val="00833A39"/>
    <w:rsid w:val="008367CD"/>
    <w:rsid w:val="0083772A"/>
    <w:rsid w:val="00844CAE"/>
    <w:rsid w:val="008453B4"/>
    <w:rsid w:val="00846406"/>
    <w:rsid w:val="008464CB"/>
    <w:rsid w:val="00850015"/>
    <w:rsid w:val="008500BF"/>
    <w:rsid w:val="00852A43"/>
    <w:rsid w:val="00853AB1"/>
    <w:rsid w:val="00855F3C"/>
    <w:rsid w:val="00857C66"/>
    <w:rsid w:val="00861B3F"/>
    <w:rsid w:val="00861D65"/>
    <w:rsid w:val="00862019"/>
    <w:rsid w:val="00862251"/>
    <w:rsid w:val="008626E2"/>
    <w:rsid w:val="00862BA9"/>
    <w:rsid w:val="00863706"/>
    <w:rsid w:val="008638E8"/>
    <w:rsid w:val="00863F6A"/>
    <w:rsid w:val="00863FCC"/>
    <w:rsid w:val="00864BEA"/>
    <w:rsid w:val="00865C40"/>
    <w:rsid w:val="00867410"/>
    <w:rsid w:val="00867B08"/>
    <w:rsid w:val="008702F4"/>
    <w:rsid w:val="00870363"/>
    <w:rsid w:val="008711B5"/>
    <w:rsid w:val="00871DE5"/>
    <w:rsid w:val="00873065"/>
    <w:rsid w:val="00873470"/>
    <w:rsid w:val="00873E5B"/>
    <w:rsid w:val="008742E9"/>
    <w:rsid w:val="00880A46"/>
    <w:rsid w:val="008819E5"/>
    <w:rsid w:val="00881B23"/>
    <w:rsid w:val="00882994"/>
    <w:rsid w:val="008833DD"/>
    <w:rsid w:val="00884DB6"/>
    <w:rsid w:val="00890EF7"/>
    <w:rsid w:val="008938F2"/>
    <w:rsid w:val="0089527F"/>
    <w:rsid w:val="00895650"/>
    <w:rsid w:val="00895ADE"/>
    <w:rsid w:val="008960CF"/>
    <w:rsid w:val="008A11B2"/>
    <w:rsid w:val="008A1537"/>
    <w:rsid w:val="008A1893"/>
    <w:rsid w:val="008A2DA0"/>
    <w:rsid w:val="008A3E63"/>
    <w:rsid w:val="008A4F2C"/>
    <w:rsid w:val="008A7669"/>
    <w:rsid w:val="008B04AE"/>
    <w:rsid w:val="008B548B"/>
    <w:rsid w:val="008C0F9D"/>
    <w:rsid w:val="008C2CA2"/>
    <w:rsid w:val="008C4096"/>
    <w:rsid w:val="008C428D"/>
    <w:rsid w:val="008C49F0"/>
    <w:rsid w:val="008C4B7E"/>
    <w:rsid w:val="008C7A43"/>
    <w:rsid w:val="008D076D"/>
    <w:rsid w:val="008D2B27"/>
    <w:rsid w:val="008D3250"/>
    <w:rsid w:val="008D33CB"/>
    <w:rsid w:val="008D6EFA"/>
    <w:rsid w:val="008E0575"/>
    <w:rsid w:val="008E217F"/>
    <w:rsid w:val="008E284C"/>
    <w:rsid w:val="008E4B80"/>
    <w:rsid w:val="008E6574"/>
    <w:rsid w:val="008F00AD"/>
    <w:rsid w:val="008F0BF9"/>
    <w:rsid w:val="008F16B1"/>
    <w:rsid w:val="008F45EA"/>
    <w:rsid w:val="008F4603"/>
    <w:rsid w:val="008F5438"/>
    <w:rsid w:val="008F57A5"/>
    <w:rsid w:val="008F5CBD"/>
    <w:rsid w:val="008F5ED5"/>
    <w:rsid w:val="008F5FC3"/>
    <w:rsid w:val="008F6380"/>
    <w:rsid w:val="008F6BD0"/>
    <w:rsid w:val="009015F5"/>
    <w:rsid w:val="0090310A"/>
    <w:rsid w:val="009031F5"/>
    <w:rsid w:val="00903752"/>
    <w:rsid w:val="00903CDE"/>
    <w:rsid w:val="00903EF4"/>
    <w:rsid w:val="0090474B"/>
    <w:rsid w:val="00904D2D"/>
    <w:rsid w:val="0090619D"/>
    <w:rsid w:val="00906BF3"/>
    <w:rsid w:val="00906C23"/>
    <w:rsid w:val="00907DC7"/>
    <w:rsid w:val="00910C91"/>
    <w:rsid w:val="009119C4"/>
    <w:rsid w:val="009123EA"/>
    <w:rsid w:val="00913431"/>
    <w:rsid w:val="00914A42"/>
    <w:rsid w:val="009157A9"/>
    <w:rsid w:val="00916507"/>
    <w:rsid w:val="00920D5E"/>
    <w:rsid w:val="009218A7"/>
    <w:rsid w:val="00922693"/>
    <w:rsid w:val="009238F2"/>
    <w:rsid w:val="00924074"/>
    <w:rsid w:val="009244ED"/>
    <w:rsid w:val="00924B28"/>
    <w:rsid w:val="0092755A"/>
    <w:rsid w:val="00933A35"/>
    <w:rsid w:val="009348BD"/>
    <w:rsid w:val="009352A1"/>
    <w:rsid w:val="0093578E"/>
    <w:rsid w:val="00936CD8"/>
    <w:rsid w:val="0093708C"/>
    <w:rsid w:val="00942631"/>
    <w:rsid w:val="00943017"/>
    <w:rsid w:val="0094472E"/>
    <w:rsid w:val="00946243"/>
    <w:rsid w:val="0095132D"/>
    <w:rsid w:val="00953881"/>
    <w:rsid w:val="009564E6"/>
    <w:rsid w:val="00961BC1"/>
    <w:rsid w:val="00964AB6"/>
    <w:rsid w:val="00964D4D"/>
    <w:rsid w:val="00967EDD"/>
    <w:rsid w:val="0097059C"/>
    <w:rsid w:val="009727AF"/>
    <w:rsid w:val="00972FA6"/>
    <w:rsid w:val="009748B2"/>
    <w:rsid w:val="00975B7B"/>
    <w:rsid w:val="009762D0"/>
    <w:rsid w:val="009815DB"/>
    <w:rsid w:val="0098373C"/>
    <w:rsid w:val="00983938"/>
    <w:rsid w:val="00983A97"/>
    <w:rsid w:val="00985E73"/>
    <w:rsid w:val="009860BD"/>
    <w:rsid w:val="00986AA7"/>
    <w:rsid w:val="00987C0A"/>
    <w:rsid w:val="00990DB4"/>
    <w:rsid w:val="00992CE7"/>
    <w:rsid w:val="00993EBB"/>
    <w:rsid w:val="0099466A"/>
    <w:rsid w:val="00996781"/>
    <w:rsid w:val="009A11DB"/>
    <w:rsid w:val="009A172C"/>
    <w:rsid w:val="009A1B2B"/>
    <w:rsid w:val="009A1F5A"/>
    <w:rsid w:val="009A3E90"/>
    <w:rsid w:val="009A53D2"/>
    <w:rsid w:val="009A62B4"/>
    <w:rsid w:val="009A7442"/>
    <w:rsid w:val="009A78FC"/>
    <w:rsid w:val="009B063A"/>
    <w:rsid w:val="009B0E93"/>
    <w:rsid w:val="009B2E9F"/>
    <w:rsid w:val="009B4E15"/>
    <w:rsid w:val="009B61EF"/>
    <w:rsid w:val="009B6465"/>
    <w:rsid w:val="009C0408"/>
    <w:rsid w:val="009C27B3"/>
    <w:rsid w:val="009C2853"/>
    <w:rsid w:val="009C2D52"/>
    <w:rsid w:val="009C3A6F"/>
    <w:rsid w:val="009C5F0A"/>
    <w:rsid w:val="009C77C7"/>
    <w:rsid w:val="009C7F8D"/>
    <w:rsid w:val="009D0151"/>
    <w:rsid w:val="009D1C71"/>
    <w:rsid w:val="009D2301"/>
    <w:rsid w:val="009D24E2"/>
    <w:rsid w:val="009D2B28"/>
    <w:rsid w:val="009E03EC"/>
    <w:rsid w:val="009E0F67"/>
    <w:rsid w:val="009E1D5B"/>
    <w:rsid w:val="009E1DDC"/>
    <w:rsid w:val="009E68EE"/>
    <w:rsid w:val="009E7C74"/>
    <w:rsid w:val="009E7D8A"/>
    <w:rsid w:val="009F1678"/>
    <w:rsid w:val="009F2B96"/>
    <w:rsid w:val="009F3054"/>
    <w:rsid w:val="009F5642"/>
    <w:rsid w:val="009F5871"/>
    <w:rsid w:val="009F67B6"/>
    <w:rsid w:val="009F6ADB"/>
    <w:rsid w:val="009F7403"/>
    <w:rsid w:val="009F7717"/>
    <w:rsid w:val="00A002D1"/>
    <w:rsid w:val="00A0079F"/>
    <w:rsid w:val="00A008AF"/>
    <w:rsid w:val="00A013EE"/>
    <w:rsid w:val="00A01CFE"/>
    <w:rsid w:val="00A024B5"/>
    <w:rsid w:val="00A05174"/>
    <w:rsid w:val="00A05983"/>
    <w:rsid w:val="00A0695B"/>
    <w:rsid w:val="00A10296"/>
    <w:rsid w:val="00A10A78"/>
    <w:rsid w:val="00A1144E"/>
    <w:rsid w:val="00A11DF9"/>
    <w:rsid w:val="00A11E96"/>
    <w:rsid w:val="00A15B64"/>
    <w:rsid w:val="00A15CB1"/>
    <w:rsid w:val="00A16AB5"/>
    <w:rsid w:val="00A16D42"/>
    <w:rsid w:val="00A20756"/>
    <w:rsid w:val="00A21079"/>
    <w:rsid w:val="00A2346E"/>
    <w:rsid w:val="00A237B0"/>
    <w:rsid w:val="00A23D16"/>
    <w:rsid w:val="00A2645F"/>
    <w:rsid w:val="00A26BED"/>
    <w:rsid w:val="00A271D8"/>
    <w:rsid w:val="00A30C36"/>
    <w:rsid w:val="00A331A9"/>
    <w:rsid w:val="00A3370A"/>
    <w:rsid w:val="00A34277"/>
    <w:rsid w:val="00A34E81"/>
    <w:rsid w:val="00A35AC1"/>
    <w:rsid w:val="00A3738D"/>
    <w:rsid w:val="00A444D3"/>
    <w:rsid w:val="00A44D62"/>
    <w:rsid w:val="00A468D3"/>
    <w:rsid w:val="00A46A1C"/>
    <w:rsid w:val="00A4798C"/>
    <w:rsid w:val="00A5223E"/>
    <w:rsid w:val="00A5282A"/>
    <w:rsid w:val="00A52EDC"/>
    <w:rsid w:val="00A52F7C"/>
    <w:rsid w:val="00A53550"/>
    <w:rsid w:val="00A53BD5"/>
    <w:rsid w:val="00A56831"/>
    <w:rsid w:val="00A57002"/>
    <w:rsid w:val="00A5785C"/>
    <w:rsid w:val="00A60AF4"/>
    <w:rsid w:val="00A6145F"/>
    <w:rsid w:val="00A6428C"/>
    <w:rsid w:val="00A66A19"/>
    <w:rsid w:val="00A66DA1"/>
    <w:rsid w:val="00A71993"/>
    <w:rsid w:val="00A73C59"/>
    <w:rsid w:val="00A74C40"/>
    <w:rsid w:val="00A74F5E"/>
    <w:rsid w:val="00A7589E"/>
    <w:rsid w:val="00A77833"/>
    <w:rsid w:val="00A80DCD"/>
    <w:rsid w:val="00A844EE"/>
    <w:rsid w:val="00A8504F"/>
    <w:rsid w:val="00A8541B"/>
    <w:rsid w:val="00A85B2B"/>
    <w:rsid w:val="00A86848"/>
    <w:rsid w:val="00A9166D"/>
    <w:rsid w:val="00A9291C"/>
    <w:rsid w:val="00A92EE1"/>
    <w:rsid w:val="00A930C7"/>
    <w:rsid w:val="00AA18D7"/>
    <w:rsid w:val="00AA3A56"/>
    <w:rsid w:val="00AA60FA"/>
    <w:rsid w:val="00AA73D0"/>
    <w:rsid w:val="00AB2A07"/>
    <w:rsid w:val="00AB36BE"/>
    <w:rsid w:val="00AB3BC3"/>
    <w:rsid w:val="00AB3FC4"/>
    <w:rsid w:val="00AB3FFA"/>
    <w:rsid w:val="00AB5615"/>
    <w:rsid w:val="00AB6A0E"/>
    <w:rsid w:val="00AB6FBC"/>
    <w:rsid w:val="00AB7861"/>
    <w:rsid w:val="00AC0C14"/>
    <w:rsid w:val="00AC34F9"/>
    <w:rsid w:val="00AC3FB5"/>
    <w:rsid w:val="00AC58FA"/>
    <w:rsid w:val="00AC67E8"/>
    <w:rsid w:val="00AD0946"/>
    <w:rsid w:val="00AD393D"/>
    <w:rsid w:val="00AD6B98"/>
    <w:rsid w:val="00AD7A50"/>
    <w:rsid w:val="00AE1BAF"/>
    <w:rsid w:val="00AE21F3"/>
    <w:rsid w:val="00AE29F6"/>
    <w:rsid w:val="00AE338E"/>
    <w:rsid w:val="00AE3C28"/>
    <w:rsid w:val="00AE3D21"/>
    <w:rsid w:val="00AE3D55"/>
    <w:rsid w:val="00AE48CF"/>
    <w:rsid w:val="00AE4B8C"/>
    <w:rsid w:val="00AE5A3F"/>
    <w:rsid w:val="00AF091A"/>
    <w:rsid w:val="00AF44AE"/>
    <w:rsid w:val="00AF5769"/>
    <w:rsid w:val="00AF5807"/>
    <w:rsid w:val="00AF6507"/>
    <w:rsid w:val="00AF7608"/>
    <w:rsid w:val="00AF7A01"/>
    <w:rsid w:val="00B011E9"/>
    <w:rsid w:val="00B01711"/>
    <w:rsid w:val="00B018B8"/>
    <w:rsid w:val="00B02A99"/>
    <w:rsid w:val="00B04C63"/>
    <w:rsid w:val="00B0666A"/>
    <w:rsid w:val="00B06BEA"/>
    <w:rsid w:val="00B14132"/>
    <w:rsid w:val="00B146CA"/>
    <w:rsid w:val="00B150FC"/>
    <w:rsid w:val="00B15C56"/>
    <w:rsid w:val="00B1603C"/>
    <w:rsid w:val="00B1661C"/>
    <w:rsid w:val="00B2060D"/>
    <w:rsid w:val="00B20DC8"/>
    <w:rsid w:val="00B21E72"/>
    <w:rsid w:val="00B22913"/>
    <w:rsid w:val="00B22B05"/>
    <w:rsid w:val="00B27B90"/>
    <w:rsid w:val="00B27D20"/>
    <w:rsid w:val="00B27DDE"/>
    <w:rsid w:val="00B30F19"/>
    <w:rsid w:val="00B3167F"/>
    <w:rsid w:val="00B31DA1"/>
    <w:rsid w:val="00B32881"/>
    <w:rsid w:val="00B33180"/>
    <w:rsid w:val="00B3490F"/>
    <w:rsid w:val="00B349B0"/>
    <w:rsid w:val="00B36597"/>
    <w:rsid w:val="00B37A84"/>
    <w:rsid w:val="00B37D3D"/>
    <w:rsid w:val="00B43BBC"/>
    <w:rsid w:val="00B47309"/>
    <w:rsid w:val="00B47C7B"/>
    <w:rsid w:val="00B534BC"/>
    <w:rsid w:val="00B5492F"/>
    <w:rsid w:val="00B56259"/>
    <w:rsid w:val="00B572C5"/>
    <w:rsid w:val="00B61B6F"/>
    <w:rsid w:val="00B61EDE"/>
    <w:rsid w:val="00B63291"/>
    <w:rsid w:val="00B632C4"/>
    <w:rsid w:val="00B636B4"/>
    <w:rsid w:val="00B63E72"/>
    <w:rsid w:val="00B65D10"/>
    <w:rsid w:val="00B66091"/>
    <w:rsid w:val="00B662EC"/>
    <w:rsid w:val="00B66685"/>
    <w:rsid w:val="00B67AF8"/>
    <w:rsid w:val="00B7052C"/>
    <w:rsid w:val="00B70649"/>
    <w:rsid w:val="00B72DDB"/>
    <w:rsid w:val="00B735CB"/>
    <w:rsid w:val="00B74384"/>
    <w:rsid w:val="00B7527C"/>
    <w:rsid w:val="00B80065"/>
    <w:rsid w:val="00B80A9B"/>
    <w:rsid w:val="00B811C9"/>
    <w:rsid w:val="00B8150F"/>
    <w:rsid w:val="00B83386"/>
    <w:rsid w:val="00B852F3"/>
    <w:rsid w:val="00B86851"/>
    <w:rsid w:val="00B869C9"/>
    <w:rsid w:val="00B86D70"/>
    <w:rsid w:val="00B871A9"/>
    <w:rsid w:val="00B900E1"/>
    <w:rsid w:val="00B9038D"/>
    <w:rsid w:val="00B9153E"/>
    <w:rsid w:val="00B9333D"/>
    <w:rsid w:val="00B93891"/>
    <w:rsid w:val="00B96E82"/>
    <w:rsid w:val="00B9742C"/>
    <w:rsid w:val="00B97937"/>
    <w:rsid w:val="00BA61DB"/>
    <w:rsid w:val="00BB350F"/>
    <w:rsid w:val="00BB724C"/>
    <w:rsid w:val="00BB7A6C"/>
    <w:rsid w:val="00BC0497"/>
    <w:rsid w:val="00BC3BCF"/>
    <w:rsid w:val="00BC4B19"/>
    <w:rsid w:val="00BC55C5"/>
    <w:rsid w:val="00BC663C"/>
    <w:rsid w:val="00BC748E"/>
    <w:rsid w:val="00BD2092"/>
    <w:rsid w:val="00BD2453"/>
    <w:rsid w:val="00BD299B"/>
    <w:rsid w:val="00BD2FD5"/>
    <w:rsid w:val="00BD3ECC"/>
    <w:rsid w:val="00BD6C77"/>
    <w:rsid w:val="00BD7AB0"/>
    <w:rsid w:val="00BE1C2F"/>
    <w:rsid w:val="00BE21B3"/>
    <w:rsid w:val="00BE3152"/>
    <w:rsid w:val="00BE3B95"/>
    <w:rsid w:val="00BE474E"/>
    <w:rsid w:val="00BE5966"/>
    <w:rsid w:val="00BE6D71"/>
    <w:rsid w:val="00BF2171"/>
    <w:rsid w:val="00BF34FF"/>
    <w:rsid w:val="00BF408F"/>
    <w:rsid w:val="00BF4195"/>
    <w:rsid w:val="00BF591D"/>
    <w:rsid w:val="00BF6279"/>
    <w:rsid w:val="00BF65D0"/>
    <w:rsid w:val="00BF6712"/>
    <w:rsid w:val="00BF679C"/>
    <w:rsid w:val="00BF6A9F"/>
    <w:rsid w:val="00BF70DD"/>
    <w:rsid w:val="00BF79A2"/>
    <w:rsid w:val="00C01D7E"/>
    <w:rsid w:val="00C02A4D"/>
    <w:rsid w:val="00C03C35"/>
    <w:rsid w:val="00C03D9E"/>
    <w:rsid w:val="00C03F34"/>
    <w:rsid w:val="00C06771"/>
    <w:rsid w:val="00C070B1"/>
    <w:rsid w:val="00C106A2"/>
    <w:rsid w:val="00C113A6"/>
    <w:rsid w:val="00C11786"/>
    <w:rsid w:val="00C13805"/>
    <w:rsid w:val="00C13871"/>
    <w:rsid w:val="00C14CC4"/>
    <w:rsid w:val="00C14E98"/>
    <w:rsid w:val="00C1615C"/>
    <w:rsid w:val="00C16AB8"/>
    <w:rsid w:val="00C16F4E"/>
    <w:rsid w:val="00C20BDE"/>
    <w:rsid w:val="00C255C3"/>
    <w:rsid w:val="00C260C7"/>
    <w:rsid w:val="00C26522"/>
    <w:rsid w:val="00C276EF"/>
    <w:rsid w:val="00C309F9"/>
    <w:rsid w:val="00C3174F"/>
    <w:rsid w:val="00C32540"/>
    <w:rsid w:val="00C33637"/>
    <w:rsid w:val="00C336CD"/>
    <w:rsid w:val="00C3371A"/>
    <w:rsid w:val="00C33DA0"/>
    <w:rsid w:val="00C342C9"/>
    <w:rsid w:val="00C34425"/>
    <w:rsid w:val="00C3710F"/>
    <w:rsid w:val="00C40F97"/>
    <w:rsid w:val="00C42A16"/>
    <w:rsid w:val="00C42C39"/>
    <w:rsid w:val="00C42DAC"/>
    <w:rsid w:val="00C43AB3"/>
    <w:rsid w:val="00C443BA"/>
    <w:rsid w:val="00C44D20"/>
    <w:rsid w:val="00C44E66"/>
    <w:rsid w:val="00C46DAE"/>
    <w:rsid w:val="00C471BC"/>
    <w:rsid w:val="00C50F5A"/>
    <w:rsid w:val="00C532F1"/>
    <w:rsid w:val="00C5572E"/>
    <w:rsid w:val="00C55E20"/>
    <w:rsid w:val="00C56F2E"/>
    <w:rsid w:val="00C579B8"/>
    <w:rsid w:val="00C609D1"/>
    <w:rsid w:val="00C60B3E"/>
    <w:rsid w:val="00C61C98"/>
    <w:rsid w:val="00C61E14"/>
    <w:rsid w:val="00C61E96"/>
    <w:rsid w:val="00C64312"/>
    <w:rsid w:val="00C6450C"/>
    <w:rsid w:val="00C6657E"/>
    <w:rsid w:val="00C66B53"/>
    <w:rsid w:val="00C7200C"/>
    <w:rsid w:val="00C726C5"/>
    <w:rsid w:val="00C75EA1"/>
    <w:rsid w:val="00C767D0"/>
    <w:rsid w:val="00C80380"/>
    <w:rsid w:val="00C804FE"/>
    <w:rsid w:val="00C8067A"/>
    <w:rsid w:val="00C834C0"/>
    <w:rsid w:val="00C86D06"/>
    <w:rsid w:val="00C87E76"/>
    <w:rsid w:val="00C90B81"/>
    <w:rsid w:val="00C95263"/>
    <w:rsid w:val="00C962EA"/>
    <w:rsid w:val="00C96A1B"/>
    <w:rsid w:val="00C973EE"/>
    <w:rsid w:val="00C97B55"/>
    <w:rsid w:val="00C97D4B"/>
    <w:rsid w:val="00CA00BC"/>
    <w:rsid w:val="00CA1D6A"/>
    <w:rsid w:val="00CA2C55"/>
    <w:rsid w:val="00CA3893"/>
    <w:rsid w:val="00CA59FB"/>
    <w:rsid w:val="00CA67BC"/>
    <w:rsid w:val="00CA6ADB"/>
    <w:rsid w:val="00CB011F"/>
    <w:rsid w:val="00CB06AE"/>
    <w:rsid w:val="00CB0F6D"/>
    <w:rsid w:val="00CB1025"/>
    <w:rsid w:val="00CB4577"/>
    <w:rsid w:val="00CB6237"/>
    <w:rsid w:val="00CB636E"/>
    <w:rsid w:val="00CC09F2"/>
    <w:rsid w:val="00CC1F5C"/>
    <w:rsid w:val="00CC2022"/>
    <w:rsid w:val="00CC2AE7"/>
    <w:rsid w:val="00CC4714"/>
    <w:rsid w:val="00CD0C5D"/>
    <w:rsid w:val="00CD4219"/>
    <w:rsid w:val="00CD4308"/>
    <w:rsid w:val="00CD45A4"/>
    <w:rsid w:val="00CD5FC5"/>
    <w:rsid w:val="00CD66C3"/>
    <w:rsid w:val="00CD6A76"/>
    <w:rsid w:val="00CD6E24"/>
    <w:rsid w:val="00CD701D"/>
    <w:rsid w:val="00CD779C"/>
    <w:rsid w:val="00CD79F8"/>
    <w:rsid w:val="00CE0E31"/>
    <w:rsid w:val="00CE0FC5"/>
    <w:rsid w:val="00CE2E41"/>
    <w:rsid w:val="00CE38E0"/>
    <w:rsid w:val="00CE433B"/>
    <w:rsid w:val="00CE47EA"/>
    <w:rsid w:val="00CE4C84"/>
    <w:rsid w:val="00CE5C69"/>
    <w:rsid w:val="00CE67CA"/>
    <w:rsid w:val="00CE6ED6"/>
    <w:rsid w:val="00CE775B"/>
    <w:rsid w:val="00CF03C5"/>
    <w:rsid w:val="00CF09D1"/>
    <w:rsid w:val="00CF2BA2"/>
    <w:rsid w:val="00CF399D"/>
    <w:rsid w:val="00CF4196"/>
    <w:rsid w:val="00CF47AC"/>
    <w:rsid w:val="00CF53EC"/>
    <w:rsid w:val="00D00A6E"/>
    <w:rsid w:val="00D01085"/>
    <w:rsid w:val="00D01FD6"/>
    <w:rsid w:val="00D049D3"/>
    <w:rsid w:val="00D04E67"/>
    <w:rsid w:val="00D06207"/>
    <w:rsid w:val="00D11748"/>
    <w:rsid w:val="00D11A1F"/>
    <w:rsid w:val="00D154CD"/>
    <w:rsid w:val="00D15DEA"/>
    <w:rsid w:val="00D20444"/>
    <w:rsid w:val="00D2180B"/>
    <w:rsid w:val="00D21F36"/>
    <w:rsid w:val="00D22C04"/>
    <w:rsid w:val="00D22CFF"/>
    <w:rsid w:val="00D22DC1"/>
    <w:rsid w:val="00D23F5E"/>
    <w:rsid w:val="00D243D1"/>
    <w:rsid w:val="00D25929"/>
    <w:rsid w:val="00D312C8"/>
    <w:rsid w:val="00D34350"/>
    <w:rsid w:val="00D34C49"/>
    <w:rsid w:val="00D34D80"/>
    <w:rsid w:val="00D35299"/>
    <w:rsid w:val="00D4060E"/>
    <w:rsid w:val="00D40990"/>
    <w:rsid w:val="00D42A0F"/>
    <w:rsid w:val="00D42E5A"/>
    <w:rsid w:val="00D43350"/>
    <w:rsid w:val="00D44353"/>
    <w:rsid w:val="00D44E8D"/>
    <w:rsid w:val="00D45132"/>
    <w:rsid w:val="00D4607A"/>
    <w:rsid w:val="00D50091"/>
    <w:rsid w:val="00D5328C"/>
    <w:rsid w:val="00D5353A"/>
    <w:rsid w:val="00D535BF"/>
    <w:rsid w:val="00D549C5"/>
    <w:rsid w:val="00D604A1"/>
    <w:rsid w:val="00D6063D"/>
    <w:rsid w:val="00D61318"/>
    <w:rsid w:val="00D6193C"/>
    <w:rsid w:val="00D64A30"/>
    <w:rsid w:val="00D64B17"/>
    <w:rsid w:val="00D6548C"/>
    <w:rsid w:val="00D7280D"/>
    <w:rsid w:val="00D72E7D"/>
    <w:rsid w:val="00D74D3C"/>
    <w:rsid w:val="00D76056"/>
    <w:rsid w:val="00D7636F"/>
    <w:rsid w:val="00D7720C"/>
    <w:rsid w:val="00D774BC"/>
    <w:rsid w:val="00D81B1A"/>
    <w:rsid w:val="00D81B7C"/>
    <w:rsid w:val="00D826F0"/>
    <w:rsid w:val="00D83493"/>
    <w:rsid w:val="00D83B7D"/>
    <w:rsid w:val="00D8402C"/>
    <w:rsid w:val="00D84FFD"/>
    <w:rsid w:val="00D86D9F"/>
    <w:rsid w:val="00D87D29"/>
    <w:rsid w:val="00D90924"/>
    <w:rsid w:val="00D91394"/>
    <w:rsid w:val="00D930CB"/>
    <w:rsid w:val="00D94661"/>
    <w:rsid w:val="00D94BB9"/>
    <w:rsid w:val="00DA000B"/>
    <w:rsid w:val="00DA1F1D"/>
    <w:rsid w:val="00DA2186"/>
    <w:rsid w:val="00DA2798"/>
    <w:rsid w:val="00DA2C0A"/>
    <w:rsid w:val="00DA2D5F"/>
    <w:rsid w:val="00DA44DB"/>
    <w:rsid w:val="00DA4C55"/>
    <w:rsid w:val="00DB069F"/>
    <w:rsid w:val="00DB21C5"/>
    <w:rsid w:val="00DB2B72"/>
    <w:rsid w:val="00DB55E5"/>
    <w:rsid w:val="00DC1F2B"/>
    <w:rsid w:val="00DC613C"/>
    <w:rsid w:val="00DC630B"/>
    <w:rsid w:val="00DC6C26"/>
    <w:rsid w:val="00DC6F42"/>
    <w:rsid w:val="00DC7365"/>
    <w:rsid w:val="00DD161E"/>
    <w:rsid w:val="00DD18E4"/>
    <w:rsid w:val="00DD30C9"/>
    <w:rsid w:val="00DD329C"/>
    <w:rsid w:val="00DD3A6C"/>
    <w:rsid w:val="00DD4603"/>
    <w:rsid w:val="00DD4788"/>
    <w:rsid w:val="00DD5DDC"/>
    <w:rsid w:val="00DE03C7"/>
    <w:rsid w:val="00DE1044"/>
    <w:rsid w:val="00DE15EB"/>
    <w:rsid w:val="00DE1BA2"/>
    <w:rsid w:val="00DE1C45"/>
    <w:rsid w:val="00DE33A9"/>
    <w:rsid w:val="00DE4337"/>
    <w:rsid w:val="00DE4727"/>
    <w:rsid w:val="00DE577D"/>
    <w:rsid w:val="00DE5CD6"/>
    <w:rsid w:val="00DE62C3"/>
    <w:rsid w:val="00DE6CF6"/>
    <w:rsid w:val="00DF1146"/>
    <w:rsid w:val="00DF143A"/>
    <w:rsid w:val="00DF319B"/>
    <w:rsid w:val="00DF38C4"/>
    <w:rsid w:val="00DF3FEB"/>
    <w:rsid w:val="00DF49A0"/>
    <w:rsid w:val="00DF5D82"/>
    <w:rsid w:val="00DF5F64"/>
    <w:rsid w:val="00DF6338"/>
    <w:rsid w:val="00DF7B11"/>
    <w:rsid w:val="00E003F6"/>
    <w:rsid w:val="00E01BA9"/>
    <w:rsid w:val="00E01DBA"/>
    <w:rsid w:val="00E0505F"/>
    <w:rsid w:val="00E05E69"/>
    <w:rsid w:val="00E05FD1"/>
    <w:rsid w:val="00E063D4"/>
    <w:rsid w:val="00E0736F"/>
    <w:rsid w:val="00E0796D"/>
    <w:rsid w:val="00E07DBC"/>
    <w:rsid w:val="00E117A9"/>
    <w:rsid w:val="00E11D4E"/>
    <w:rsid w:val="00E1437B"/>
    <w:rsid w:val="00E146E2"/>
    <w:rsid w:val="00E15C80"/>
    <w:rsid w:val="00E162A8"/>
    <w:rsid w:val="00E169FD"/>
    <w:rsid w:val="00E17689"/>
    <w:rsid w:val="00E1778F"/>
    <w:rsid w:val="00E20B9F"/>
    <w:rsid w:val="00E22BC2"/>
    <w:rsid w:val="00E23B2E"/>
    <w:rsid w:val="00E23D1E"/>
    <w:rsid w:val="00E256C2"/>
    <w:rsid w:val="00E278F8"/>
    <w:rsid w:val="00E27F27"/>
    <w:rsid w:val="00E30511"/>
    <w:rsid w:val="00E30E01"/>
    <w:rsid w:val="00E32741"/>
    <w:rsid w:val="00E32B9C"/>
    <w:rsid w:val="00E33020"/>
    <w:rsid w:val="00E34221"/>
    <w:rsid w:val="00E35400"/>
    <w:rsid w:val="00E35427"/>
    <w:rsid w:val="00E35783"/>
    <w:rsid w:val="00E43541"/>
    <w:rsid w:val="00E47908"/>
    <w:rsid w:val="00E47EA1"/>
    <w:rsid w:val="00E51FC1"/>
    <w:rsid w:val="00E53995"/>
    <w:rsid w:val="00E53FF4"/>
    <w:rsid w:val="00E541B1"/>
    <w:rsid w:val="00E5540A"/>
    <w:rsid w:val="00E56941"/>
    <w:rsid w:val="00E571D2"/>
    <w:rsid w:val="00E57E1C"/>
    <w:rsid w:val="00E604EE"/>
    <w:rsid w:val="00E6172F"/>
    <w:rsid w:val="00E61A77"/>
    <w:rsid w:val="00E62E4B"/>
    <w:rsid w:val="00E63DCE"/>
    <w:rsid w:val="00E65F7E"/>
    <w:rsid w:val="00E67020"/>
    <w:rsid w:val="00E67B80"/>
    <w:rsid w:val="00E70B34"/>
    <w:rsid w:val="00E73FF0"/>
    <w:rsid w:val="00E77880"/>
    <w:rsid w:val="00E80C94"/>
    <w:rsid w:val="00E81E89"/>
    <w:rsid w:val="00E826DC"/>
    <w:rsid w:val="00E83BDF"/>
    <w:rsid w:val="00E84966"/>
    <w:rsid w:val="00E849F7"/>
    <w:rsid w:val="00E8504C"/>
    <w:rsid w:val="00E85C67"/>
    <w:rsid w:val="00E87222"/>
    <w:rsid w:val="00E87502"/>
    <w:rsid w:val="00E90444"/>
    <w:rsid w:val="00E93D4D"/>
    <w:rsid w:val="00E94FEB"/>
    <w:rsid w:val="00E95155"/>
    <w:rsid w:val="00E95704"/>
    <w:rsid w:val="00E95B56"/>
    <w:rsid w:val="00E95E2D"/>
    <w:rsid w:val="00E96692"/>
    <w:rsid w:val="00E97256"/>
    <w:rsid w:val="00EA03C6"/>
    <w:rsid w:val="00EA0B6A"/>
    <w:rsid w:val="00EA11E0"/>
    <w:rsid w:val="00EA18E3"/>
    <w:rsid w:val="00EA1C34"/>
    <w:rsid w:val="00EA3A65"/>
    <w:rsid w:val="00EA483F"/>
    <w:rsid w:val="00EA68F2"/>
    <w:rsid w:val="00EA7280"/>
    <w:rsid w:val="00EB0266"/>
    <w:rsid w:val="00EB173C"/>
    <w:rsid w:val="00EB174D"/>
    <w:rsid w:val="00EB2CCF"/>
    <w:rsid w:val="00EB2EB8"/>
    <w:rsid w:val="00EB3895"/>
    <w:rsid w:val="00EB3B1C"/>
    <w:rsid w:val="00EB4FD2"/>
    <w:rsid w:val="00EB5187"/>
    <w:rsid w:val="00EB5229"/>
    <w:rsid w:val="00EB59EF"/>
    <w:rsid w:val="00EB7405"/>
    <w:rsid w:val="00EB76EF"/>
    <w:rsid w:val="00EB7EBD"/>
    <w:rsid w:val="00EC18E0"/>
    <w:rsid w:val="00EC1A78"/>
    <w:rsid w:val="00EC2599"/>
    <w:rsid w:val="00EC2A56"/>
    <w:rsid w:val="00EC33A0"/>
    <w:rsid w:val="00EC43A2"/>
    <w:rsid w:val="00EC52CE"/>
    <w:rsid w:val="00EC609F"/>
    <w:rsid w:val="00EC7787"/>
    <w:rsid w:val="00ED12C5"/>
    <w:rsid w:val="00ED2BFF"/>
    <w:rsid w:val="00ED6BA0"/>
    <w:rsid w:val="00ED717B"/>
    <w:rsid w:val="00ED7197"/>
    <w:rsid w:val="00ED77AA"/>
    <w:rsid w:val="00EE0634"/>
    <w:rsid w:val="00EE0A3B"/>
    <w:rsid w:val="00EE105F"/>
    <w:rsid w:val="00EE3163"/>
    <w:rsid w:val="00EE3780"/>
    <w:rsid w:val="00EE5162"/>
    <w:rsid w:val="00EE657B"/>
    <w:rsid w:val="00EE7908"/>
    <w:rsid w:val="00EF0E60"/>
    <w:rsid w:val="00EF1F4A"/>
    <w:rsid w:val="00EF2C5D"/>
    <w:rsid w:val="00EF4192"/>
    <w:rsid w:val="00EF53D5"/>
    <w:rsid w:val="00EF5DA2"/>
    <w:rsid w:val="00EF65AB"/>
    <w:rsid w:val="00EF688E"/>
    <w:rsid w:val="00EF72B8"/>
    <w:rsid w:val="00EF7D40"/>
    <w:rsid w:val="00F02D02"/>
    <w:rsid w:val="00F04C73"/>
    <w:rsid w:val="00F056E7"/>
    <w:rsid w:val="00F0714B"/>
    <w:rsid w:val="00F10EBF"/>
    <w:rsid w:val="00F12B4B"/>
    <w:rsid w:val="00F12DC4"/>
    <w:rsid w:val="00F146CA"/>
    <w:rsid w:val="00F14820"/>
    <w:rsid w:val="00F148B7"/>
    <w:rsid w:val="00F15D71"/>
    <w:rsid w:val="00F16603"/>
    <w:rsid w:val="00F16700"/>
    <w:rsid w:val="00F20716"/>
    <w:rsid w:val="00F207B2"/>
    <w:rsid w:val="00F24E9D"/>
    <w:rsid w:val="00F24F86"/>
    <w:rsid w:val="00F253F3"/>
    <w:rsid w:val="00F256C5"/>
    <w:rsid w:val="00F2786E"/>
    <w:rsid w:val="00F305FE"/>
    <w:rsid w:val="00F307D2"/>
    <w:rsid w:val="00F30F5B"/>
    <w:rsid w:val="00F3128F"/>
    <w:rsid w:val="00F31B95"/>
    <w:rsid w:val="00F324DC"/>
    <w:rsid w:val="00F338DA"/>
    <w:rsid w:val="00F3454A"/>
    <w:rsid w:val="00F35C65"/>
    <w:rsid w:val="00F3600D"/>
    <w:rsid w:val="00F364B4"/>
    <w:rsid w:val="00F41A6E"/>
    <w:rsid w:val="00F44D22"/>
    <w:rsid w:val="00F47374"/>
    <w:rsid w:val="00F50586"/>
    <w:rsid w:val="00F509A4"/>
    <w:rsid w:val="00F55334"/>
    <w:rsid w:val="00F55C91"/>
    <w:rsid w:val="00F57505"/>
    <w:rsid w:val="00F615AD"/>
    <w:rsid w:val="00F619DC"/>
    <w:rsid w:val="00F63A76"/>
    <w:rsid w:val="00F63C7F"/>
    <w:rsid w:val="00F64289"/>
    <w:rsid w:val="00F66203"/>
    <w:rsid w:val="00F67303"/>
    <w:rsid w:val="00F67B2F"/>
    <w:rsid w:val="00F705EB"/>
    <w:rsid w:val="00F715C9"/>
    <w:rsid w:val="00F72626"/>
    <w:rsid w:val="00F729F7"/>
    <w:rsid w:val="00F73415"/>
    <w:rsid w:val="00F74AA2"/>
    <w:rsid w:val="00F74B8C"/>
    <w:rsid w:val="00F75C81"/>
    <w:rsid w:val="00F770CE"/>
    <w:rsid w:val="00F77D65"/>
    <w:rsid w:val="00F80735"/>
    <w:rsid w:val="00F81674"/>
    <w:rsid w:val="00F835BC"/>
    <w:rsid w:val="00F85AC3"/>
    <w:rsid w:val="00F871A0"/>
    <w:rsid w:val="00F93BEA"/>
    <w:rsid w:val="00F95A6F"/>
    <w:rsid w:val="00F95E28"/>
    <w:rsid w:val="00F960D9"/>
    <w:rsid w:val="00F972D6"/>
    <w:rsid w:val="00FA1A86"/>
    <w:rsid w:val="00FA2588"/>
    <w:rsid w:val="00FA39CC"/>
    <w:rsid w:val="00FA4C25"/>
    <w:rsid w:val="00FA52CF"/>
    <w:rsid w:val="00FB027F"/>
    <w:rsid w:val="00FB4791"/>
    <w:rsid w:val="00FB4C61"/>
    <w:rsid w:val="00FB5731"/>
    <w:rsid w:val="00FB5BA6"/>
    <w:rsid w:val="00FC6A96"/>
    <w:rsid w:val="00FC7599"/>
    <w:rsid w:val="00FD2C71"/>
    <w:rsid w:val="00FD3A43"/>
    <w:rsid w:val="00FD3E76"/>
    <w:rsid w:val="00FD5492"/>
    <w:rsid w:val="00FD5E86"/>
    <w:rsid w:val="00FD600B"/>
    <w:rsid w:val="00FD6ADC"/>
    <w:rsid w:val="00FD705A"/>
    <w:rsid w:val="00FD78BF"/>
    <w:rsid w:val="00FD7ED6"/>
    <w:rsid w:val="00FE2FD2"/>
    <w:rsid w:val="00FE56D8"/>
    <w:rsid w:val="00FE61A5"/>
    <w:rsid w:val="00FE6370"/>
    <w:rsid w:val="00FE7EBE"/>
    <w:rsid w:val="00FF0AC8"/>
    <w:rsid w:val="00FF2418"/>
    <w:rsid w:val="00FF4920"/>
    <w:rsid w:val="00FF4AD6"/>
    <w:rsid w:val="00FF5FA7"/>
    <w:rsid w:val="00FF7008"/>
    <w:rsid w:val="00FF716E"/>
    <w:rsid w:val="00FF74AC"/>
    <w:rsid w:val="00FF782A"/>
    <w:rsid w:val="00FF7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lsdException w:name="Normal (Web)" w:uiPriority="99"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0">
    <w:name w:val="Normal"/>
    <w:qFormat/>
    <w:rsid w:val="00354555"/>
    <w:rPr>
      <w:sz w:val="28"/>
      <w:szCs w:val="28"/>
    </w:rPr>
  </w:style>
  <w:style w:type="paragraph" w:styleId="10">
    <w:name w:val="heading 1"/>
    <w:basedOn w:val="a0"/>
    <w:next w:val="a0"/>
    <w:link w:val="11"/>
    <w:uiPriority w:val="9"/>
    <w:qFormat/>
    <w:rsid w:val="005F36EF"/>
    <w:pPr>
      <w:keepNext/>
      <w:spacing w:before="240" w:after="60"/>
      <w:outlineLvl w:val="0"/>
    </w:pPr>
    <w:rPr>
      <w:rFonts w:ascii="Cambria" w:hAnsi="Cambria"/>
      <w:b/>
      <w:bCs/>
      <w:kern w:val="32"/>
      <w:sz w:val="32"/>
      <w:szCs w:val="32"/>
    </w:rPr>
  </w:style>
  <w:style w:type="paragraph" w:styleId="2">
    <w:name w:val="heading 2"/>
    <w:basedOn w:val="a0"/>
    <w:next w:val="a0"/>
    <w:link w:val="20"/>
    <w:uiPriority w:val="9"/>
    <w:unhideWhenUsed/>
    <w:qFormat/>
    <w:rsid w:val="00CF2B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868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unhideWhenUsed/>
    <w:qFormat/>
    <w:rsid w:val="00660D1F"/>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link w:val="60"/>
    <w:semiHidden/>
    <w:unhideWhenUsed/>
    <w:qFormat/>
    <w:rsid w:val="00451253"/>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0"/>
    <w:next w:val="a0"/>
    <w:link w:val="90"/>
    <w:semiHidden/>
    <w:unhideWhenUsed/>
    <w:qFormat/>
    <w:rsid w:val="004512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EB2CCF"/>
  </w:style>
  <w:style w:type="paragraph" w:styleId="a5">
    <w:name w:val="header"/>
    <w:basedOn w:val="a0"/>
    <w:link w:val="a6"/>
    <w:uiPriority w:val="99"/>
    <w:rsid w:val="00EB2CCF"/>
    <w:pPr>
      <w:tabs>
        <w:tab w:val="center" w:pos="4677"/>
        <w:tab w:val="right" w:pos="9355"/>
      </w:tabs>
    </w:pPr>
    <w:rPr>
      <w:sz w:val="24"/>
    </w:rPr>
  </w:style>
  <w:style w:type="table" w:styleId="a7">
    <w:name w:val="Table Grid"/>
    <w:basedOn w:val="a2"/>
    <w:uiPriority w:val="59"/>
    <w:rsid w:val="00EB2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0"/>
    <w:rsid w:val="007468EA"/>
    <w:pPr>
      <w:suppressAutoHyphens/>
      <w:jc w:val="center"/>
    </w:pPr>
    <w:rPr>
      <w:szCs w:val="20"/>
    </w:rPr>
  </w:style>
  <w:style w:type="character" w:customStyle="1" w:styleId="11">
    <w:name w:val="Заголовок 1 Знак"/>
    <w:link w:val="10"/>
    <w:uiPriority w:val="9"/>
    <w:rsid w:val="005F36EF"/>
    <w:rPr>
      <w:rFonts w:ascii="Cambria" w:eastAsia="Times New Roman" w:hAnsi="Cambria" w:cs="Times New Roman"/>
      <w:b/>
      <w:bCs/>
      <w:kern w:val="32"/>
      <w:sz w:val="32"/>
      <w:szCs w:val="32"/>
    </w:rPr>
  </w:style>
  <w:style w:type="paragraph" w:styleId="a8">
    <w:name w:val="footer"/>
    <w:basedOn w:val="a0"/>
    <w:link w:val="a9"/>
    <w:uiPriority w:val="99"/>
    <w:rsid w:val="005F36EF"/>
    <w:pPr>
      <w:tabs>
        <w:tab w:val="center" w:pos="4677"/>
        <w:tab w:val="right" w:pos="9355"/>
      </w:tabs>
    </w:pPr>
  </w:style>
  <w:style w:type="character" w:customStyle="1" w:styleId="a9">
    <w:name w:val="Нижний колонтитул Знак"/>
    <w:link w:val="a8"/>
    <w:uiPriority w:val="99"/>
    <w:rsid w:val="005F36EF"/>
    <w:rPr>
      <w:sz w:val="28"/>
      <w:szCs w:val="28"/>
    </w:rPr>
  </w:style>
  <w:style w:type="paragraph" w:customStyle="1" w:styleId="12">
    <w:name w:val="1 К_Заголовок статьи"/>
    <w:basedOn w:val="a0"/>
    <w:link w:val="13"/>
    <w:qFormat/>
    <w:rsid w:val="009F5871"/>
    <w:pPr>
      <w:widowControl w:val="0"/>
      <w:autoSpaceDE w:val="0"/>
      <w:autoSpaceDN w:val="0"/>
      <w:adjustRightInd w:val="0"/>
      <w:spacing w:before="240" w:after="120"/>
      <w:jc w:val="center"/>
    </w:pPr>
    <w:rPr>
      <w:b/>
      <w:sz w:val="22"/>
      <w:szCs w:val="20"/>
    </w:rPr>
  </w:style>
  <w:style w:type="paragraph" w:styleId="aa">
    <w:name w:val="List Paragraph"/>
    <w:basedOn w:val="a0"/>
    <w:link w:val="ab"/>
    <w:uiPriority w:val="34"/>
    <w:qFormat/>
    <w:rsid w:val="00B22913"/>
    <w:pPr>
      <w:ind w:left="720"/>
      <w:contextualSpacing/>
    </w:pPr>
  </w:style>
  <w:style w:type="character" w:customStyle="1" w:styleId="13">
    <w:name w:val="1 К_Заголовок статьи Знак"/>
    <w:basedOn w:val="a1"/>
    <w:link w:val="12"/>
    <w:rsid w:val="009F5871"/>
    <w:rPr>
      <w:b/>
      <w:sz w:val="22"/>
    </w:rPr>
  </w:style>
  <w:style w:type="paragraph" w:customStyle="1" w:styleId="22">
    <w:name w:val="2 К_Автор"/>
    <w:basedOn w:val="a0"/>
    <w:link w:val="23"/>
    <w:qFormat/>
    <w:rsid w:val="00B22913"/>
    <w:pPr>
      <w:widowControl w:val="0"/>
      <w:autoSpaceDE w:val="0"/>
      <w:autoSpaceDN w:val="0"/>
      <w:adjustRightInd w:val="0"/>
      <w:spacing w:after="240"/>
      <w:jc w:val="right"/>
    </w:pPr>
    <w:rPr>
      <w:sz w:val="20"/>
      <w:szCs w:val="20"/>
    </w:rPr>
  </w:style>
  <w:style w:type="paragraph" w:customStyle="1" w:styleId="31">
    <w:name w:val="3 К_обычный текст"/>
    <w:basedOn w:val="a0"/>
    <w:link w:val="32"/>
    <w:qFormat/>
    <w:rsid w:val="00B22913"/>
    <w:pPr>
      <w:ind w:firstLine="426"/>
      <w:jc w:val="both"/>
    </w:pPr>
    <w:rPr>
      <w:sz w:val="20"/>
      <w:szCs w:val="20"/>
    </w:rPr>
  </w:style>
  <w:style w:type="character" w:customStyle="1" w:styleId="23">
    <w:name w:val="2 К_Автор Знак"/>
    <w:basedOn w:val="a1"/>
    <w:link w:val="22"/>
    <w:rsid w:val="00B22913"/>
  </w:style>
  <w:style w:type="paragraph" w:customStyle="1" w:styleId="00">
    <w:name w:val="0 К_УДК"/>
    <w:basedOn w:val="a0"/>
    <w:link w:val="01"/>
    <w:qFormat/>
    <w:rsid w:val="00B22913"/>
    <w:pPr>
      <w:spacing w:after="240"/>
      <w:ind w:right="851"/>
    </w:pPr>
    <w:rPr>
      <w:sz w:val="20"/>
      <w:szCs w:val="24"/>
    </w:rPr>
  </w:style>
  <w:style w:type="character" w:customStyle="1" w:styleId="32">
    <w:name w:val="3 К_обычный текст Знак"/>
    <w:basedOn w:val="a1"/>
    <w:link w:val="31"/>
    <w:rsid w:val="00B22913"/>
  </w:style>
  <w:style w:type="paragraph" w:customStyle="1" w:styleId="40">
    <w:name w:val="4 К_Список"/>
    <w:basedOn w:val="a0"/>
    <w:link w:val="42"/>
    <w:qFormat/>
    <w:rsid w:val="00B22913"/>
    <w:pPr>
      <w:spacing w:before="120" w:after="60"/>
      <w:ind w:right="-17"/>
      <w:jc w:val="center"/>
    </w:pPr>
    <w:rPr>
      <w:sz w:val="20"/>
      <w:szCs w:val="20"/>
    </w:rPr>
  </w:style>
  <w:style w:type="character" w:customStyle="1" w:styleId="01">
    <w:name w:val="0 К_УДК Знак"/>
    <w:basedOn w:val="a1"/>
    <w:link w:val="00"/>
    <w:rsid w:val="00B22913"/>
    <w:rPr>
      <w:szCs w:val="24"/>
    </w:rPr>
  </w:style>
  <w:style w:type="paragraph" w:styleId="ac">
    <w:name w:val="Balloon Text"/>
    <w:basedOn w:val="a0"/>
    <w:link w:val="ad"/>
    <w:uiPriority w:val="99"/>
    <w:rsid w:val="008032A7"/>
    <w:rPr>
      <w:rFonts w:ascii="Arial" w:hAnsi="Arial" w:cs="Arial"/>
      <w:sz w:val="16"/>
      <w:szCs w:val="16"/>
    </w:rPr>
  </w:style>
  <w:style w:type="character" w:customStyle="1" w:styleId="42">
    <w:name w:val="4 К_Список Знак"/>
    <w:basedOn w:val="a1"/>
    <w:link w:val="40"/>
    <w:rsid w:val="00B22913"/>
  </w:style>
  <w:style w:type="character" w:customStyle="1" w:styleId="ad">
    <w:name w:val="Текст выноски Знак"/>
    <w:basedOn w:val="a1"/>
    <w:link w:val="ac"/>
    <w:uiPriority w:val="99"/>
    <w:rsid w:val="008032A7"/>
    <w:rPr>
      <w:rFonts w:ascii="Arial" w:hAnsi="Arial" w:cs="Arial"/>
      <w:sz w:val="16"/>
      <w:szCs w:val="16"/>
    </w:rPr>
  </w:style>
  <w:style w:type="character" w:styleId="ae">
    <w:name w:val="Hyperlink"/>
    <w:basedOn w:val="a1"/>
    <w:uiPriority w:val="99"/>
    <w:rsid w:val="008017FE"/>
    <w:rPr>
      <w:color w:val="0000FF" w:themeColor="hyperlink"/>
      <w:u w:val="single"/>
    </w:rPr>
  </w:style>
  <w:style w:type="paragraph" w:styleId="af">
    <w:name w:val="footnote text"/>
    <w:aliases w:val="-++,Текст сноски-FN,Footnote Text Char Знак Знак,Footnote Text Char Знак,Footnote Text Char Знак Знак Знак Знак"/>
    <w:basedOn w:val="a0"/>
    <w:link w:val="af0"/>
    <w:uiPriority w:val="99"/>
    <w:rsid w:val="009E7C74"/>
    <w:rPr>
      <w:sz w:val="20"/>
      <w:szCs w:val="20"/>
    </w:rPr>
  </w:style>
  <w:style w:type="character" w:customStyle="1" w:styleId="af0">
    <w:name w:val="Текст сноски Знак"/>
    <w:aliases w:val="-++ Знак1,Текст сноски-FN Знак1,Footnote Text Char Знак Знак Знак,Footnote Text Char Знак Знак1,Footnote Text Char Знак Знак Знак Знак Знак1"/>
    <w:basedOn w:val="a1"/>
    <w:link w:val="af"/>
    <w:uiPriority w:val="99"/>
    <w:rsid w:val="009E7C74"/>
  </w:style>
  <w:style w:type="character" w:styleId="af1">
    <w:name w:val="footnote reference"/>
    <w:aliases w:val="Знак сноски-FN,Ciae niinee-FN"/>
    <w:basedOn w:val="a1"/>
    <w:uiPriority w:val="99"/>
    <w:rsid w:val="009E7C74"/>
    <w:rPr>
      <w:vertAlign w:val="superscript"/>
    </w:rPr>
  </w:style>
  <w:style w:type="character" w:customStyle="1" w:styleId="14">
    <w:name w:val="Основной текст1"/>
    <w:basedOn w:val="a1"/>
    <w:rsid w:val="009E7C7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styleId="af2">
    <w:name w:val="endnote text"/>
    <w:basedOn w:val="a0"/>
    <w:link w:val="af3"/>
    <w:uiPriority w:val="99"/>
    <w:rsid w:val="00543506"/>
    <w:rPr>
      <w:sz w:val="20"/>
      <w:szCs w:val="20"/>
    </w:rPr>
  </w:style>
  <w:style w:type="character" w:customStyle="1" w:styleId="af3">
    <w:name w:val="Текст концевой сноски Знак"/>
    <w:basedOn w:val="a1"/>
    <w:link w:val="af2"/>
    <w:uiPriority w:val="99"/>
    <w:rsid w:val="00543506"/>
  </w:style>
  <w:style w:type="character" w:styleId="af4">
    <w:name w:val="endnote reference"/>
    <w:basedOn w:val="a1"/>
    <w:uiPriority w:val="99"/>
    <w:rsid w:val="00543506"/>
    <w:rPr>
      <w:vertAlign w:val="superscript"/>
    </w:rPr>
  </w:style>
  <w:style w:type="paragraph" w:styleId="af5">
    <w:name w:val="No Spacing"/>
    <w:link w:val="af6"/>
    <w:uiPriority w:val="1"/>
    <w:qFormat/>
    <w:rsid w:val="00A0079F"/>
    <w:rPr>
      <w:rFonts w:ascii="Calibri" w:eastAsia="Calibri" w:hAnsi="Calibri"/>
      <w:sz w:val="22"/>
      <w:szCs w:val="22"/>
      <w:lang w:eastAsia="en-US"/>
    </w:rPr>
  </w:style>
  <w:style w:type="paragraph" w:styleId="af7">
    <w:name w:val="Normal (Web)"/>
    <w:aliases w:val="Обычный (веб) Знак Знак Знак,Обычный (Web),Знак Знак,Обычный (веб)1,Обычный (веб) Знак1,Обычный (веб) Знак Знак,Знак1"/>
    <w:basedOn w:val="a0"/>
    <w:link w:val="af8"/>
    <w:uiPriority w:val="99"/>
    <w:unhideWhenUsed/>
    <w:qFormat/>
    <w:rsid w:val="004E7FE4"/>
    <w:pPr>
      <w:spacing w:before="100" w:beforeAutospacing="1" w:after="100" w:afterAutospacing="1"/>
    </w:pPr>
    <w:rPr>
      <w:rFonts w:ascii="Arial" w:hAnsi="Arial" w:cs="Arial"/>
      <w:color w:val="000000"/>
      <w:sz w:val="20"/>
      <w:szCs w:val="20"/>
    </w:rPr>
  </w:style>
  <w:style w:type="character" w:customStyle="1" w:styleId="af9">
    <w:name w:val="Основной текст_"/>
    <w:basedOn w:val="a1"/>
    <w:rsid w:val="00857C66"/>
    <w:rPr>
      <w:rFonts w:ascii="Times New Roman" w:eastAsia="Times New Roman" w:hAnsi="Times New Roman" w:cs="Times New Roman"/>
      <w:b/>
      <w:bCs/>
      <w:sz w:val="20"/>
      <w:szCs w:val="20"/>
      <w:shd w:val="clear" w:color="auto" w:fill="FFFFFF"/>
    </w:rPr>
  </w:style>
  <w:style w:type="character" w:customStyle="1" w:styleId="20">
    <w:name w:val="Заголовок 2 Знак"/>
    <w:basedOn w:val="a1"/>
    <w:link w:val="2"/>
    <w:uiPriority w:val="9"/>
    <w:rsid w:val="00CF2BA2"/>
    <w:rPr>
      <w:rFonts w:asciiTheme="majorHAnsi" w:eastAsiaTheme="majorEastAsia" w:hAnsiTheme="majorHAnsi" w:cstheme="majorBidi"/>
      <w:b/>
      <w:bCs/>
      <w:color w:val="4F81BD" w:themeColor="accent1"/>
      <w:sz w:val="26"/>
      <w:szCs w:val="26"/>
    </w:rPr>
  </w:style>
  <w:style w:type="character" w:styleId="HTML">
    <w:name w:val="HTML Cite"/>
    <w:basedOn w:val="a1"/>
    <w:uiPriority w:val="99"/>
    <w:unhideWhenUsed/>
    <w:rsid w:val="00C3174F"/>
    <w:rPr>
      <w:i/>
      <w:iCs/>
    </w:rPr>
  </w:style>
  <w:style w:type="character" w:customStyle="1" w:styleId="apple-converted-space">
    <w:name w:val="apple-converted-space"/>
    <w:basedOn w:val="a1"/>
    <w:rsid w:val="00C3174F"/>
  </w:style>
  <w:style w:type="character" w:customStyle="1" w:styleId="30">
    <w:name w:val="Заголовок 3 Знак"/>
    <w:basedOn w:val="a1"/>
    <w:link w:val="3"/>
    <w:rsid w:val="00186845"/>
    <w:rPr>
      <w:rFonts w:asciiTheme="majorHAnsi" w:eastAsiaTheme="majorEastAsia" w:hAnsiTheme="majorHAnsi" w:cstheme="majorBidi"/>
      <w:b/>
      <w:bCs/>
      <w:color w:val="4F81BD" w:themeColor="accent1"/>
      <w:sz w:val="28"/>
      <w:szCs w:val="28"/>
    </w:rPr>
  </w:style>
  <w:style w:type="character" w:styleId="afa">
    <w:name w:val="Strong"/>
    <w:basedOn w:val="a1"/>
    <w:uiPriority w:val="22"/>
    <w:qFormat/>
    <w:rsid w:val="00422534"/>
    <w:rPr>
      <w:b/>
      <w:bCs/>
    </w:rPr>
  </w:style>
  <w:style w:type="character" w:customStyle="1" w:styleId="15">
    <w:name w:val="Основной текст Знак1"/>
    <w:basedOn w:val="a1"/>
    <w:link w:val="afb"/>
    <w:uiPriority w:val="99"/>
    <w:rsid w:val="00631108"/>
    <w:rPr>
      <w:sz w:val="18"/>
      <w:szCs w:val="18"/>
      <w:shd w:val="clear" w:color="auto" w:fill="FFFFFF"/>
    </w:rPr>
  </w:style>
  <w:style w:type="character" w:customStyle="1" w:styleId="afc">
    <w:name w:val="Основной текст + Курсив"/>
    <w:basedOn w:val="15"/>
    <w:uiPriority w:val="99"/>
    <w:rsid w:val="00631108"/>
    <w:rPr>
      <w:i/>
      <w:iCs/>
      <w:sz w:val="18"/>
      <w:szCs w:val="18"/>
      <w:shd w:val="clear" w:color="auto" w:fill="FFFFFF"/>
    </w:rPr>
  </w:style>
  <w:style w:type="paragraph" w:styleId="afb">
    <w:name w:val="Body Text"/>
    <w:basedOn w:val="a0"/>
    <w:link w:val="15"/>
    <w:uiPriority w:val="99"/>
    <w:rsid w:val="00631108"/>
    <w:pPr>
      <w:widowControl w:val="0"/>
      <w:shd w:val="clear" w:color="auto" w:fill="FFFFFF"/>
      <w:spacing w:after="180" w:line="216" w:lineRule="exact"/>
      <w:jc w:val="both"/>
    </w:pPr>
    <w:rPr>
      <w:sz w:val="18"/>
      <w:szCs w:val="18"/>
    </w:rPr>
  </w:style>
  <w:style w:type="character" w:customStyle="1" w:styleId="afd">
    <w:name w:val="Основной текст Знак"/>
    <w:basedOn w:val="a1"/>
    <w:rsid w:val="00631108"/>
    <w:rPr>
      <w:sz w:val="28"/>
      <w:szCs w:val="28"/>
    </w:rPr>
  </w:style>
  <w:style w:type="paragraph" w:styleId="24">
    <w:name w:val="Body Text 2"/>
    <w:basedOn w:val="a0"/>
    <w:link w:val="25"/>
    <w:rsid w:val="00B86D70"/>
    <w:pPr>
      <w:spacing w:after="120" w:line="480" w:lineRule="auto"/>
    </w:pPr>
  </w:style>
  <w:style w:type="character" w:customStyle="1" w:styleId="25">
    <w:name w:val="Основной текст 2 Знак"/>
    <w:basedOn w:val="a1"/>
    <w:link w:val="24"/>
    <w:rsid w:val="00B86D70"/>
    <w:rPr>
      <w:sz w:val="28"/>
      <w:szCs w:val="28"/>
    </w:rPr>
  </w:style>
  <w:style w:type="paragraph" w:styleId="afe">
    <w:name w:val="Body Text Indent"/>
    <w:basedOn w:val="a0"/>
    <w:link w:val="aff"/>
    <w:uiPriority w:val="99"/>
    <w:rsid w:val="000F05EB"/>
    <w:pPr>
      <w:spacing w:after="120"/>
      <w:ind w:left="283"/>
    </w:pPr>
  </w:style>
  <w:style w:type="character" w:customStyle="1" w:styleId="aff">
    <w:name w:val="Основной текст с отступом Знак"/>
    <w:basedOn w:val="a1"/>
    <w:link w:val="afe"/>
    <w:uiPriority w:val="99"/>
    <w:rsid w:val="000F05EB"/>
    <w:rPr>
      <w:sz w:val="28"/>
      <w:szCs w:val="28"/>
    </w:rPr>
  </w:style>
  <w:style w:type="table" w:customStyle="1" w:styleId="16">
    <w:name w:val="Сетка таблицы1"/>
    <w:basedOn w:val="a2"/>
    <w:next w:val="a7"/>
    <w:uiPriority w:val="59"/>
    <w:rsid w:val="00593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1"/>
    <w:uiPriority w:val="99"/>
    <w:semiHidden/>
    <w:rsid w:val="00343E12"/>
    <w:rPr>
      <w:color w:val="808080"/>
    </w:rPr>
  </w:style>
  <w:style w:type="character" w:customStyle="1" w:styleId="af8">
    <w:name w:val="Обычный (веб) Знак"/>
    <w:aliases w:val="Обычный (веб) Знак Знак Знак Знак,Обычный (Web) Знак,Знак Знак Знак,Обычный (веб)1 Знак1,Обычный (веб) Знак1 Знак1,Обычный (веб) Знак Знак Знак1,Знак1 Знак1"/>
    <w:link w:val="af7"/>
    <w:uiPriority w:val="99"/>
    <w:locked/>
    <w:rsid w:val="008042E7"/>
    <w:rPr>
      <w:rFonts w:ascii="Arial" w:hAnsi="Arial" w:cs="Arial"/>
      <w:color w:val="000000"/>
    </w:rPr>
  </w:style>
  <w:style w:type="paragraph" w:customStyle="1" w:styleId="headertext">
    <w:name w:val="headertext"/>
    <w:basedOn w:val="a0"/>
    <w:rsid w:val="00514808"/>
    <w:pPr>
      <w:suppressAutoHyphens/>
      <w:autoSpaceDN w:val="0"/>
      <w:spacing w:before="28" w:after="100"/>
      <w:textAlignment w:val="baseline"/>
    </w:pPr>
    <w:rPr>
      <w:kern w:val="3"/>
      <w:sz w:val="24"/>
      <w:szCs w:val="24"/>
    </w:rPr>
  </w:style>
  <w:style w:type="character" w:customStyle="1" w:styleId="Bodytext482">
    <w:name w:val="Body text (4) + 82"/>
    <w:aliases w:val="5 pt2,Not Bold2"/>
    <w:uiPriority w:val="99"/>
    <w:rsid w:val="00514808"/>
    <w:rPr>
      <w:rFonts w:ascii="Times New Roman" w:hAnsi="Times New Roman" w:cs="Times New Roman"/>
      <w:b/>
      <w:bCs/>
      <w:spacing w:val="0"/>
      <w:sz w:val="17"/>
      <w:szCs w:val="17"/>
      <w:shd w:val="clear" w:color="auto" w:fill="FFFFFF"/>
    </w:rPr>
  </w:style>
  <w:style w:type="character" w:styleId="aff1">
    <w:name w:val="annotation reference"/>
    <w:uiPriority w:val="99"/>
    <w:unhideWhenUsed/>
    <w:rsid w:val="00F364B4"/>
    <w:rPr>
      <w:sz w:val="16"/>
      <w:szCs w:val="16"/>
    </w:rPr>
  </w:style>
  <w:style w:type="character" w:customStyle="1" w:styleId="60">
    <w:name w:val="Заголовок 6 Знак"/>
    <w:basedOn w:val="a1"/>
    <w:link w:val="6"/>
    <w:semiHidden/>
    <w:rsid w:val="00451253"/>
    <w:rPr>
      <w:rFonts w:asciiTheme="majorHAnsi" w:eastAsiaTheme="majorEastAsia" w:hAnsiTheme="majorHAnsi" w:cstheme="majorBidi"/>
      <w:i/>
      <w:iCs/>
      <w:color w:val="243F60" w:themeColor="accent1" w:themeShade="7F"/>
      <w:sz w:val="28"/>
      <w:szCs w:val="28"/>
    </w:rPr>
  </w:style>
  <w:style w:type="character" w:customStyle="1" w:styleId="90">
    <w:name w:val="Заголовок 9 Знак"/>
    <w:basedOn w:val="a1"/>
    <w:link w:val="9"/>
    <w:semiHidden/>
    <w:rsid w:val="00451253"/>
    <w:rPr>
      <w:rFonts w:asciiTheme="majorHAnsi" w:eastAsiaTheme="majorEastAsia" w:hAnsiTheme="majorHAnsi" w:cstheme="majorBidi"/>
      <w:i/>
      <w:iCs/>
      <w:color w:val="404040" w:themeColor="text1" w:themeTint="BF"/>
    </w:rPr>
  </w:style>
  <w:style w:type="character" w:customStyle="1" w:styleId="translation-chunk">
    <w:name w:val="translation-chunk"/>
    <w:rsid w:val="00451253"/>
  </w:style>
  <w:style w:type="paragraph" w:styleId="HTML0">
    <w:name w:val="HTML Preformatted"/>
    <w:basedOn w:val="a0"/>
    <w:link w:val="HTML1"/>
    <w:uiPriority w:val="99"/>
    <w:rsid w:val="00451253"/>
    <w:rPr>
      <w:rFonts w:ascii="Consolas" w:hAnsi="Consolas"/>
      <w:sz w:val="20"/>
      <w:szCs w:val="20"/>
    </w:rPr>
  </w:style>
  <w:style w:type="character" w:customStyle="1" w:styleId="HTML1">
    <w:name w:val="Стандартный HTML Знак"/>
    <w:basedOn w:val="a1"/>
    <w:link w:val="HTML0"/>
    <w:uiPriority w:val="99"/>
    <w:rsid w:val="00451253"/>
    <w:rPr>
      <w:rFonts w:ascii="Consolas" w:hAnsi="Consolas"/>
    </w:rPr>
  </w:style>
  <w:style w:type="character" w:customStyle="1" w:styleId="wwT13">
    <w:name w:val="wwT13"/>
    <w:rsid w:val="00451253"/>
    <w:rPr>
      <w:b w:val="0"/>
      <w:bCs w:val="0"/>
    </w:rPr>
  </w:style>
  <w:style w:type="character" w:customStyle="1" w:styleId="wwT4">
    <w:name w:val="wwT4"/>
    <w:rsid w:val="00451253"/>
    <w:rPr>
      <w:b w:val="0"/>
      <w:bCs w:val="0"/>
    </w:rPr>
  </w:style>
  <w:style w:type="paragraph" w:customStyle="1" w:styleId="wP6">
    <w:name w:val="wP6"/>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17">
    <w:name w:val="wP17"/>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39">
    <w:name w:val="wP39"/>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10">
    <w:name w:val="wwT10"/>
    <w:rsid w:val="00451253"/>
    <w:rPr>
      <w:b w:val="0"/>
      <w:bCs w:val="0"/>
    </w:rPr>
  </w:style>
  <w:style w:type="paragraph" w:customStyle="1" w:styleId="wP25">
    <w:name w:val="wP25"/>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23">
    <w:name w:val="wwT23"/>
    <w:rsid w:val="00451253"/>
    <w:rPr>
      <w:b w:val="0"/>
      <w:bCs w:val="0"/>
    </w:rPr>
  </w:style>
  <w:style w:type="paragraph" w:customStyle="1" w:styleId="wP32">
    <w:name w:val="wP32"/>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49">
    <w:name w:val="wP49"/>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7">
    <w:name w:val="wwT7"/>
    <w:rsid w:val="00451253"/>
    <w:rPr>
      <w:b w:val="0"/>
      <w:bCs w:val="0"/>
    </w:rPr>
  </w:style>
  <w:style w:type="character" w:customStyle="1" w:styleId="wwT15">
    <w:name w:val="wwT15"/>
    <w:rsid w:val="00451253"/>
    <w:rPr>
      <w:b w:val="0"/>
      <w:bCs w:val="0"/>
    </w:rPr>
  </w:style>
  <w:style w:type="paragraph" w:customStyle="1" w:styleId="wP24">
    <w:name w:val="wP24"/>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hps">
    <w:name w:val="hps"/>
    <w:basedOn w:val="a1"/>
    <w:rsid w:val="00451253"/>
  </w:style>
  <w:style w:type="paragraph" w:customStyle="1" w:styleId="ParaAttribute1">
    <w:name w:val="ParaAttribute1"/>
    <w:rsid w:val="00451253"/>
    <w:pPr>
      <w:widowControl w:val="0"/>
      <w:jc w:val="both"/>
    </w:pPr>
    <w:rPr>
      <w:rFonts w:eastAsia="Batang"/>
    </w:rPr>
  </w:style>
  <w:style w:type="paragraph" w:customStyle="1" w:styleId="ParaAttribute6">
    <w:name w:val="ParaAttribute6"/>
    <w:rsid w:val="00451253"/>
    <w:pPr>
      <w:widowControl w:val="0"/>
      <w:jc w:val="center"/>
    </w:pPr>
    <w:rPr>
      <w:rFonts w:eastAsia="Batang"/>
    </w:rPr>
  </w:style>
  <w:style w:type="paragraph" w:customStyle="1" w:styleId="ParaAttribute7">
    <w:name w:val="ParaAttribute7"/>
    <w:rsid w:val="00451253"/>
    <w:pPr>
      <w:widowControl w:val="0"/>
      <w:jc w:val="right"/>
    </w:pPr>
    <w:rPr>
      <w:rFonts w:eastAsia="Batang"/>
    </w:rPr>
  </w:style>
  <w:style w:type="paragraph" w:customStyle="1" w:styleId="ParaAttribute15">
    <w:name w:val="ParaAttribute15"/>
    <w:rsid w:val="00451253"/>
    <w:pPr>
      <w:widowControl w:val="0"/>
      <w:ind w:left="100" w:firstLine="20"/>
      <w:jc w:val="both"/>
    </w:pPr>
    <w:rPr>
      <w:rFonts w:eastAsia="Batang"/>
    </w:rPr>
  </w:style>
  <w:style w:type="paragraph" w:customStyle="1" w:styleId="ParaAttribute18">
    <w:name w:val="ParaAttribute18"/>
    <w:rsid w:val="00451253"/>
    <w:pPr>
      <w:widowControl w:val="0"/>
      <w:ind w:left="100" w:firstLine="20"/>
      <w:jc w:val="center"/>
    </w:pPr>
    <w:rPr>
      <w:rFonts w:eastAsia="Batang"/>
    </w:rPr>
  </w:style>
  <w:style w:type="paragraph" w:customStyle="1" w:styleId="ParaAttribute23">
    <w:name w:val="ParaAttribute23"/>
    <w:rsid w:val="00451253"/>
    <w:pPr>
      <w:widowControl w:val="0"/>
      <w:ind w:left="40" w:firstLine="340"/>
      <w:jc w:val="both"/>
    </w:pPr>
    <w:rPr>
      <w:rFonts w:eastAsia="Batang"/>
    </w:rPr>
  </w:style>
  <w:style w:type="paragraph" w:customStyle="1" w:styleId="ParaAttribute25">
    <w:name w:val="ParaAttribute25"/>
    <w:rsid w:val="00451253"/>
    <w:pPr>
      <w:widowControl w:val="0"/>
      <w:ind w:firstLine="440"/>
      <w:jc w:val="both"/>
    </w:pPr>
    <w:rPr>
      <w:rFonts w:eastAsia="Batang"/>
    </w:rPr>
  </w:style>
  <w:style w:type="paragraph" w:customStyle="1" w:styleId="ParaAttribute28">
    <w:name w:val="ParaAttribute28"/>
    <w:rsid w:val="00451253"/>
    <w:pPr>
      <w:widowControl w:val="0"/>
      <w:jc w:val="both"/>
    </w:pPr>
    <w:rPr>
      <w:rFonts w:eastAsia="Batang"/>
    </w:rPr>
  </w:style>
  <w:style w:type="character" w:customStyle="1" w:styleId="CharAttribute11">
    <w:name w:val="CharAttribute11"/>
    <w:rsid w:val="00451253"/>
    <w:rPr>
      <w:rFonts w:ascii="Times New Roman" w:eastAsia="Times New Roman"/>
      <w:sz w:val="24"/>
    </w:rPr>
  </w:style>
  <w:style w:type="character" w:customStyle="1" w:styleId="CharAttribute12">
    <w:name w:val="CharAttribute12"/>
    <w:rsid w:val="00451253"/>
    <w:rPr>
      <w:rFonts w:ascii="Times New Roman" w:eastAsia="Times New Roman"/>
      <w:b/>
      <w:sz w:val="24"/>
    </w:rPr>
  </w:style>
  <w:style w:type="character" w:customStyle="1" w:styleId="CharAttribute13">
    <w:name w:val="CharAttribute13"/>
    <w:rsid w:val="00451253"/>
    <w:rPr>
      <w:rFonts w:ascii="Times New Roman" w:eastAsia="Times New Roman"/>
      <w:sz w:val="22"/>
    </w:rPr>
  </w:style>
  <w:style w:type="paragraph" w:customStyle="1" w:styleId="aff2">
    <w:name w:val="РАБОЧИЙ"/>
    <w:basedOn w:val="a0"/>
    <w:link w:val="aff3"/>
    <w:qFormat/>
    <w:rsid w:val="00451253"/>
    <w:pPr>
      <w:shd w:val="clear" w:color="auto" w:fill="FFFFFF"/>
      <w:spacing w:line="360" w:lineRule="auto"/>
      <w:ind w:firstLine="709"/>
      <w:jc w:val="both"/>
    </w:pPr>
    <w:rPr>
      <w:color w:val="000000"/>
      <w:lang w:eastAsia="en-US"/>
    </w:rPr>
  </w:style>
  <w:style w:type="character" w:customStyle="1" w:styleId="aff3">
    <w:name w:val="РАБОЧИЙ Знак"/>
    <w:basedOn w:val="a1"/>
    <w:link w:val="aff2"/>
    <w:rsid w:val="00451253"/>
    <w:rPr>
      <w:color w:val="000000"/>
      <w:sz w:val="28"/>
      <w:szCs w:val="28"/>
      <w:shd w:val="clear" w:color="auto" w:fill="FFFFFF"/>
      <w:lang w:eastAsia="en-US"/>
    </w:rPr>
  </w:style>
  <w:style w:type="character" w:customStyle="1" w:styleId="apple-style-span">
    <w:name w:val="apple-style-span"/>
    <w:basedOn w:val="a1"/>
    <w:uiPriority w:val="99"/>
    <w:rsid w:val="00451253"/>
  </w:style>
  <w:style w:type="paragraph" w:customStyle="1" w:styleId="aff4">
    <w:name w:val="Знак Знак Знак Знак"/>
    <w:basedOn w:val="a0"/>
    <w:rsid w:val="00451253"/>
    <w:pPr>
      <w:pageBreakBefore/>
      <w:spacing w:after="160" w:line="360" w:lineRule="auto"/>
    </w:pPr>
    <w:rPr>
      <w:lang w:val="en-US" w:eastAsia="en-US"/>
    </w:rPr>
  </w:style>
  <w:style w:type="paragraph" w:styleId="33">
    <w:name w:val="Body Text Indent 3"/>
    <w:basedOn w:val="a0"/>
    <w:link w:val="34"/>
    <w:uiPriority w:val="99"/>
    <w:rsid w:val="00451253"/>
    <w:pPr>
      <w:spacing w:after="120"/>
      <w:ind w:left="283"/>
    </w:pPr>
    <w:rPr>
      <w:sz w:val="16"/>
      <w:szCs w:val="16"/>
    </w:rPr>
  </w:style>
  <w:style w:type="character" w:customStyle="1" w:styleId="34">
    <w:name w:val="Основной текст с отступом 3 Знак"/>
    <w:basedOn w:val="a1"/>
    <w:link w:val="33"/>
    <w:uiPriority w:val="99"/>
    <w:rsid w:val="00451253"/>
    <w:rPr>
      <w:sz w:val="16"/>
      <w:szCs w:val="16"/>
    </w:rPr>
  </w:style>
  <w:style w:type="character" w:customStyle="1" w:styleId="FontStyle58">
    <w:name w:val="Font Style58"/>
    <w:rsid w:val="00451253"/>
    <w:rPr>
      <w:rFonts w:ascii="Times New Roman" w:hAnsi="Times New Roman" w:cs="Times New Roman"/>
      <w:sz w:val="38"/>
      <w:szCs w:val="38"/>
    </w:rPr>
  </w:style>
  <w:style w:type="paragraph" w:customStyle="1" w:styleId="aff5">
    <w:name w:val="АБ обычный текст"/>
    <w:basedOn w:val="a0"/>
    <w:link w:val="aff6"/>
    <w:qFormat/>
    <w:rsid w:val="00451253"/>
    <w:pPr>
      <w:shd w:val="clear" w:color="auto" w:fill="FFFFFF"/>
      <w:ind w:firstLine="426"/>
      <w:jc w:val="both"/>
    </w:pPr>
    <w:rPr>
      <w:color w:val="000000"/>
      <w:sz w:val="24"/>
    </w:rPr>
  </w:style>
  <w:style w:type="character" w:customStyle="1" w:styleId="aff6">
    <w:name w:val="АБ обычный текст Знак"/>
    <w:link w:val="aff5"/>
    <w:rsid w:val="00451253"/>
    <w:rPr>
      <w:color w:val="000000"/>
      <w:sz w:val="24"/>
      <w:szCs w:val="28"/>
      <w:shd w:val="clear" w:color="auto" w:fill="FFFFFF"/>
    </w:rPr>
  </w:style>
  <w:style w:type="character" w:customStyle="1" w:styleId="FontStyle11">
    <w:name w:val="Font Style11"/>
    <w:rsid w:val="00451253"/>
    <w:rPr>
      <w:rFonts w:ascii="Times New Roman" w:hAnsi="Times New Roman" w:cs="Times New Roman"/>
      <w:sz w:val="26"/>
      <w:szCs w:val="26"/>
    </w:rPr>
  </w:style>
  <w:style w:type="character" w:customStyle="1" w:styleId="field-items">
    <w:name w:val="field-items"/>
    <w:basedOn w:val="a1"/>
    <w:rsid w:val="00451253"/>
  </w:style>
  <w:style w:type="paragraph" w:styleId="26">
    <w:name w:val="Body Text Indent 2"/>
    <w:basedOn w:val="a0"/>
    <w:link w:val="27"/>
    <w:uiPriority w:val="99"/>
    <w:rsid w:val="00451253"/>
    <w:pPr>
      <w:spacing w:after="120" w:line="480" w:lineRule="auto"/>
      <w:ind w:left="283"/>
    </w:pPr>
  </w:style>
  <w:style w:type="character" w:customStyle="1" w:styleId="27">
    <w:name w:val="Основной текст с отступом 2 Знак"/>
    <w:basedOn w:val="a1"/>
    <w:link w:val="26"/>
    <w:uiPriority w:val="99"/>
    <w:rsid w:val="00451253"/>
    <w:rPr>
      <w:sz w:val="28"/>
      <w:szCs w:val="28"/>
    </w:rPr>
  </w:style>
  <w:style w:type="paragraph" w:customStyle="1" w:styleId="17">
    <w:name w:val="Абзац списка1"/>
    <w:basedOn w:val="a0"/>
    <w:uiPriority w:val="34"/>
    <w:qFormat/>
    <w:rsid w:val="00451253"/>
    <w:pPr>
      <w:spacing w:line="360" w:lineRule="auto"/>
      <w:ind w:left="720" w:firstLine="709"/>
      <w:jc w:val="both"/>
    </w:pPr>
    <w:rPr>
      <w:szCs w:val="22"/>
      <w:lang w:eastAsia="en-US"/>
    </w:rPr>
  </w:style>
  <w:style w:type="character" w:customStyle="1" w:styleId="28">
    <w:name w:val="Основной текст (2)_"/>
    <w:basedOn w:val="a1"/>
    <w:link w:val="29"/>
    <w:qFormat/>
    <w:locked/>
    <w:rsid w:val="00451253"/>
    <w:rPr>
      <w:sz w:val="19"/>
      <w:szCs w:val="19"/>
      <w:shd w:val="clear" w:color="auto" w:fill="FFFFFF"/>
      <w:lang w:val="en-US"/>
    </w:rPr>
  </w:style>
  <w:style w:type="paragraph" w:customStyle="1" w:styleId="29">
    <w:name w:val="Основной текст (2)"/>
    <w:basedOn w:val="a0"/>
    <w:link w:val="28"/>
    <w:rsid w:val="00451253"/>
    <w:pPr>
      <w:shd w:val="clear" w:color="auto" w:fill="FFFFFF"/>
      <w:spacing w:after="300" w:line="240" w:lineRule="atLeast"/>
    </w:pPr>
    <w:rPr>
      <w:sz w:val="19"/>
      <w:szCs w:val="19"/>
      <w:shd w:val="clear" w:color="auto" w:fill="FFFFFF"/>
      <w:lang w:val="en-US"/>
    </w:rPr>
  </w:style>
  <w:style w:type="character" w:customStyle="1" w:styleId="35">
    <w:name w:val="Основной текст (3)_"/>
    <w:basedOn w:val="a1"/>
    <w:link w:val="36"/>
    <w:locked/>
    <w:rsid w:val="00451253"/>
    <w:rPr>
      <w:sz w:val="19"/>
      <w:szCs w:val="19"/>
      <w:shd w:val="clear" w:color="auto" w:fill="FFFFFF"/>
    </w:rPr>
  </w:style>
  <w:style w:type="paragraph" w:customStyle="1" w:styleId="36">
    <w:name w:val="Основной текст (3)"/>
    <w:basedOn w:val="a0"/>
    <w:link w:val="35"/>
    <w:qFormat/>
    <w:rsid w:val="00451253"/>
    <w:pPr>
      <w:shd w:val="clear" w:color="auto" w:fill="FFFFFF"/>
      <w:spacing w:before="300" w:after="180" w:line="230" w:lineRule="exact"/>
    </w:pPr>
    <w:rPr>
      <w:sz w:val="19"/>
      <w:szCs w:val="19"/>
      <w:shd w:val="clear" w:color="auto" w:fill="FFFFFF"/>
    </w:rPr>
  </w:style>
  <w:style w:type="character" w:styleId="aff7">
    <w:name w:val="FollowedHyperlink"/>
    <w:basedOn w:val="a1"/>
    <w:uiPriority w:val="99"/>
    <w:unhideWhenUsed/>
    <w:rsid w:val="00451253"/>
    <w:rPr>
      <w:color w:val="800080" w:themeColor="followedHyperlink"/>
      <w:u w:val="single"/>
    </w:rPr>
  </w:style>
  <w:style w:type="character" w:customStyle="1" w:styleId="2a">
    <w:name w:val="Оглавление 2 Знак"/>
    <w:basedOn w:val="a1"/>
    <w:link w:val="2b"/>
    <w:uiPriority w:val="99"/>
    <w:locked/>
    <w:rsid w:val="00451253"/>
    <w:rPr>
      <w:shd w:val="clear" w:color="auto" w:fill="FFFFFF"/>
    </w:rPr>
  </w:style>
  <w:style w:type="paragraph" w:styleId="2b">
    <w:name w:val="toc 2"/>
    <w:basedOn w:val="a0"/>
    <w:next w:val="a0"/>
    <w:link w:val="2a"/>
    <w:autoRedefine/>
    <w:uiPriority w:val="99"/>
    <w:unhideWhenUsed/>
    <w:rsid w:val="00451253"/>
    <w:pPr>
      <w:shd w:val="clear" w:color="auto" w:fill="FFFFFF"/>
      <w:spacing w:line="226" w:lineRule="exact"/>
      <w:ind w:hanging="540"/>
    </w:pPr>
    <w:rPr>
      <w:sz w:val="20"/>
      <w:szCs w:val="20"/>
    </w:rPr>
  </w:style>
  <w:style w:type="character" w:customStyle="1" w:styleId="a6">
    <w:name w:val="Верхний колонтитул Знак"/>
    <w:basedOn w:val="a1"/>
    <w:link w:val="a5"/>
    <w:uiPriority w:val="99"/>
    <w:rsid w:val="00451253"/>
    <w:rPr>
      <w:sz w:val="24"/>
      <w:szCs w:val="28"/>
    </w:rPr>
  </w:style>
  <w:style w:type="paragraph" w:customStyle="1" w:styleId="Bodytext1">
    <w:name w:val="Body text1"/>
    <w:basedOn w:val="a0"/>
    <w:uiPriority w:val="99"/>
    <w:rsid w:val="00451253"/>
    <w:pPr>
      <w:widowControl w:val="0"/>
      <w:shd w:val="clear" w:color="auto" w:fill="FFFFFF"/>
      <w:spacing w:line="221" w:lineRule="exact"/>
      <w:jc w:val="both"/>
    </w:pPr>
    <w:rPr>
      <w:rFonts w:ascii="Arial" w:eastAsia="Arial" w:hAnsi="Arial" w:cs="Arial"/>
      <w:color w:val="000000"/>
      <w:sz w:val="20"/>
      <w:szCs w:val="20"/>
    </w:rPr>
  </w:style>
  <w:style w:type="paragraph" w:customStyle="1" w:styleId="ConsPlusNormal">
    <w:name w:val="ConsPlusNormal"/>
    <w:rsid w:val="00451253"/>
    <w:pPr>
      <w:autoSpaceDE w:val="0"/>
      <w:autoSpaceDN w:val="0"/>
      <w:adjustRightInd w:val="0"/>
    </w:pPr>
    <w:rPr>
      <w:rFonts w:ascii="Arial" w:eastAsiaTheme="minorHAnsi" w:hAnsi="Arial" w:cs="Arial"/>
      <w:lang w:eastAsia="en-US"/>
    </w:rPr>
  </w:style>
  <w:style w:type="character" w:customStyle="1" w:styleId="shorttext">
    <w:name w:val="short_text"/>
    <w:basedOn w:val="a1"/>
    <w:rsid w:val="00451253"/>
  </w:style>
  <w:style w:type="character" w:customStyle="1" w:styleId="Bodytext">
    <w:name w:val="Body text_"/>
    <w:rsid w:val="00451253"/>
    <w:rPr>
      <w:rFonts w:ascii="Georgia" w:eastAsia="Georgia" w:hAnsi="Georgia" w:cs="Georgia" w:hint="default"/>
      <w:sz w:val="16"/>
      <w:szCs w:val="16"/>
      <w:shd w:val="clear" w:color="auto" w:fill="FFFFFF"/>
    </w:rPr>
  </w:style>
  <w:style w:type="character" w:customStyle="1" w:styleId="BodytextItalic">
    <w:name w:val="Body text + Italic"/>
    <w:rsid w:val="0045125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aff8">
    <w:name w:val="Основной текст + Полужирный"/>
    <w:basedOn w:val="a1"/>
    <w:uiPriority w:val="99"/>
    <w:rsid w:val="00451253"/>
    <w:rPr>
      <w:rFonts w:ascii="Times New Roman" w:hAnsi="Times New Roman" w:cs="Times New Roman" w:hint="default"/>
      <w:b/>
      <w:bCs/>
      <w:sz w:val="20"/>
      <w:szCs w:val="20"/>
      <w:shd w:val="clear" w:color="auto" w:fill="FFFFFF"/>
    </w:rPr>
  </w:style>
  <w:style w:type="character" w:customStyle="1" w:styleId="18">
    <w:name w:val="Оглавление1"/>
    <w:basedOn w:val="2a"/>
    <w:uiPriority w:val="99"/>
    <w:rsid w:val="00451253"/>
    <w:rPr>
      <w:shd w:val="clear" w:color="auto" w:fill="FFFFFF"/>
    </w:rPr>
  </w:style>
  <w:style w:type="character" w:customStyle="1" w:styleId="0pt">
    <w:name w:val="Основной текст + Интервал 0 pt"/>
    <w:basedOn w:val="a1"/>
    <w:rsid w:val="00451253"/>
    <w:rPr>
      <w:rFonts w:ascii="Times New Roman" w:eastAsia="Times New Roman" w:hAnsi="Times New Roman" w:cs="Times New Roman" w:hint="default"/>
      <w:color w:val="000000"/>
      <w:spacing w:val="0"/>
      <w:w w:val="100"/>
      <w:position w:val="0"/>
      <w:sz w:val="19"/>
      <w:szCs w:val="19"/>
      <w:shd w:val="clear" w:color="auto" w:fill="FFFFFF"/>
      <w:lang w:val="ru-RU"/>
    </w:rPr>
  </w:style>
  <w:style w:type="paragraph" w:customStyle="1" w:styleId="220">
    <w:name w:val="Основной текст 22"/>
    <w:basedOn w:val="a0"/>
    <w:rsid w:val="00451253"/>
    <w:pPr>
      <w:ind w:firstLine="720"/>
      <w:jc w:val="both"/>
    </w:pPr>
    <w:rPr>
      <w:szCs w:val="20"/>
    </w:rPr>
  </w:style>
  <w:style w:type="paragraph" w:customStyle="1" w:styleId="Style143">
    <w:name w:val="Style143"/>
    <w:basedOn w:val="a0"/>
    <w:rsid w:val="00451253"/>
    <w:pPr>
      <w:widowControl w:val="0"/>
      <w:autoSpaceDE w:val="0"/>
      <w:autoSpaceDN w:val="0"/>
      <w:adjustRightInd w:val="0"/>
      <w:spacing w:line="442" w:lineRule="exact"/>
      <w:ind w:firstLine="737"/>
      <w:jc w:val="both"/>
    </w:pPr>
    <w:rPr>
      <w:rFonts w:ascii="Courier New" w:hAnsi="Courier New" w:cs="Courier New"/>
      <w:sz w:val="24"/>
      <w:szCs w:val="24"/>
    </w:rPr>
  </w:style>
  <w:style w:type="character" w:customStyle="1" w:styleId="FontStyle151">
    <w:name w:val="Font Style151"/>
    <w:basedOn w:val="a1"/>
    <w:rsid w:val="00451253"/>
    <w:rPr>
      <w:rFonts w:ascii="Courier New" w:hAnsi="Courier New" w:cs="Courier New" w:hint="default"/>
      <w:spacing w:val="10"/>
      <w:sz w:val="22"/>
      <w:szCs w:val="22"/>
    </w:rPr>
  </w:style>
  <w:style w:type="character" w:customStyle="1" w:styleId="2Exact">
    <w:name w:val="Основной текст (2) Exact"/>
    <w:uiPriority w:val="99"/>
    <w:rsid w:val="00451253"/>
    <w:rPr>
      <w:rFonts w:ascii="Times New Roman" w:eastAsia="Times New Roman" w:hAnsi="Times New Roman" w:cs="Times New Roman" w:hint="default"/>
      <w:b w:val="0"/>
      <w:bCs w:val="0"/>
      <w:i w:val="0"/>
      <w:iCs w:val="0"/>
      <w:smallCaps w:val="0"/>
      <w:strike w:val="0"/>
      <w:dstrike w:val="0"/>
      <w:spacing w:val="-4"/>
      <w:sz w:val="19"/>
      <w:szCs w:val="19"/>
      <w:u w:val="none"/>
      <w:effect w:val="none"/>
    </w:rPr>
  </w:style>
  <w:style w:type="paragraph" w:customStyle="1" w:styleId="cappar">
    <w:name w:val="cap_par"/>
    <w:basedOn w:val="a0"/>
    <w:rsid w:val="00451253"/>
    <w:pPr>
      <w:spacing w:before="100" w:beforeAutospacing="1" w:after="100" w:afterAutospacing="1"/>
    </w:pPr>
    <w:rPr>
      <w:sz w:val="24"/>
      <w:szCs w:val="24"/>
    </w:rPr>
  </w:style>
  <w:style w:type="paragraph" w:customStyle="1" w:styleId="010">
    <w:name w:val="Стиль 01 с отступом"/>
    <w:basedOn w:val="a0"/>
    <w:link w:val="011"/>
    <w:qFormat/>
    <w:rsid w:val="00451253"/>
    <w:pPr>
      <w:spacing w:line="276" w:lineRule="auto"/>
      <w:ind w:firstLine="425"/>
      <w:jc w:val="both"/>
    </w:pPr>
    <w:rPr>
      <w:rFonts w:eastAsia="Calibri"/>
      <w:lang w:eastAsia="en-US"/>
    </w:rPr>
  </w:style>
  <w:style w:type="character" w:customStyle="1" w:styleId="011">
    <w:name w:val="Стиль 01 с отступом Знак"/>
    <w:link w:val="010"/>
    <w:rsid w:val="00451253"/>
    <w:rPr>
      <w:rFonts w:eastAsia="Calibri"/>
      <w:sz w:val="28"/>
      <w:szCs w:val="28"/>
      <w:lang w:eastAsia="en-US"/>
    </w:rPr>
  </w:style>
  <w:style w:type="character" w:customStyle="1" w:styleId="noncited3">
    <w:name w:val="noncited3"/>
    <w:basedOn w:val="a1"/>
    <w:rsid w:val="00451253"/>
  </w:style>
  <w:style w:type="paragraph" w:styleId="aff9">
    <w:name w:val="Plain Text"/>
    <w:link w:val="affa"/>
    <w:uiPriority w:val="99"/>
    <w:unhideWhenUsed/>
    <w:rsid w:val="00451253"/>
    <w:rPr>
      <w:rFonts w:ascii="Helvetica" w:eastAsia="Arial Unicode MS" w:hAnsi="Arial Unicode MS" w:cs="Arial Unicode MS"/>
      <w:color w:val="000000"/>
      <w:sz w:val="22"/>
      <w:szCs w:val="22"/>
    </w:rPr>
  </w:style>
  <w:style w:type="character" w:customStyle="1" w:styleId="affa">
    <w:name w:val="Текст Знак"/>
    <w:basedOn w:val="a1"/>
    <w:link w:val="aff9"/>
    <w:uiPriority w:val="99"/>
    <w:rsid w:val="00451253"/>
    <w:rPr>
      <w:rFonts w:ascii="Helvetica" w:eastAsia="Arial Unicode MS" w:hAnsi="Arial Unicode MS" w:cs="Arial Unicode MS"/>
      <w:color w:val="000000"/>
      <w:sz w:val="22"/>
      <w:szCs w:val="22"/>
    </w:rPr>
  </w:style>
  <w:style w:type="character" w:styleId="affb">
    <w:name w:val="Emphasis"/>
    <w:basedOn w:val="a1"/>
    <w:uiPriority w:val="99"/>
    <w:qFormat/>
    <w:rsid w:val="00451253"/>
    <w:rPr>
      <w:i/>
      <w:iCs/>
    </w:rPr>
  </w:style>
  <w:style w:type="character" w:customStyle="1" w:styleId="af6">
    <w:name w:val="Без интервала Знак"/>
    <w:basedOn w:val="a1"/>
    <w:link w:val="af5"/>
    <w:uiPriority w:val="1"/>
    <w:rsid w:val="00451253"/>
    <w:rPr>
      <w:rFonts w:ascii="Calibri" w:eastAsia="Calibri" w:hAnsi="Calibri"/>
      <w:sz w:val="22"/>
      <w:szCs w:val="22"/>
      <w:lang w:eastAsia="en-US"/>
    </w:rPr>
  </w:style>
  <w:style w:type="character" w:customStyle="1" w:styleId="19">
    <w:name w:val="Заголовок №1_"/>
    <w:basedOn w:val="a1"/>
    <w:link w:val="1a"/>
    <w:rsid w:val="00451253"/>
    <w:rPr>
      <w:sz w:val="26"/>
      <w:szCs w:val="26"/>
      <w:shd w:val="clear" w:color="auto" w:fill="FFFFFF"/>
    </w:rPr>
  </w:style>
  <w:style w:type="paragraph" w:customStyle="1" w:styleId="1a">
    <w:name w:val="Заголовок №1"/>
    <w:basedOn w:val="a0"/>
    <w:link w:val="19"/>
    <w:rsid w:val="00451253"/>
    <w:pPr>
      <w:shd w:val="clear" w:color="auto" w:fill="FFFFFF"/>
      <w:spacing w:before="720" w:after="600" w:line="322" w:lineRule="exact"/>
      <w:ind w:hanging="420"/>
      <w:outlineLvl w:val="0"/>
    </w:pPr>
    <w:rPr>
      <w:sz w:val="26"/>
      <w:szCs w:val="26"/>
    </w:rPr>
  </w:style>
  <w:style w:type="character" w:customStyle="1" w:styleId="Spanlink">
    <w:name w:val="Span_link"/>
    <w:basedOn w:val="a1"/>
    <w:rsid w:val="00451253"/>
    <w:rPr>
      <w:color w:val="008200"/>
    </w:rPr>
  </w:style>
  <w:style w:type="character" w:customStyle="1" w:styleId="rvts6">
    <w:name w:val="rvts6"/>
    <w:rsid w:val="00451253"/>
  </w:style>
  <w:style w:type="paragraph" w:customStyle="1" w:styleId="p1">
    <w:name w:val="p1"/>
    <w:basedOn w:val="a0"/>
    <w:rsid w:val="00451253"/>
    <w:pPr>
      <w:spacing w:before="100" w:beforeAutospacing="1" w:after="100" w:afterAutospacing="1"/>
    </w:pPr>
    <w:rPr>
      <w:sz w:val="24"/>
      <w:szCs w:val="24"/>
    </w:rPr>
  </w:style>
  <w:style w:type="paragraph" w:customStyle="1" w:styleId="1b">
    <w:name w:val="Обычный1"/>
    <w:rsid w:val="00451253"/>
    <w:pPr>
      <w:spacing w:before="100" w:after="100"/>
    </w:pPr>
    <w:rPr>
      <w:snapToGrid w:val="0"/>
      <w:sz w:val="24"/>
    </w:rPr>
  </w:style>
  <w:style w:type="character" w:customStyle="1" w:styleId="blk6">
    <w:name w:val="blk6"/>
    <w:basedOn w:val="a1"/>
    <w:rsid w:val="00451253"/>
    <w:rPr>
      <w:vanish w:val="0"/>
      <w:webHidden w:val="0"/>
      <w:specVanish w:val="0"/>
    </w:rPr>
  </w:style>
  <w:style w:type="paragraph" w:styleId="2c">
    <w:name w:val="List 2"/>
    <w:basedOn w:val="a0"/>
    <w:unhideWhenUsed/>
    <w:rsid w:val="00451253"/>
    <w:pPr>
      <w:ind w:left="566" w:hanging="283"/>
      <w:contextualSpacing/>
    </w:pPr>
    <w:rPr>
      <w:sz w:val="20"/>
      <w:szCs w:val="20"/>
    </w:rPr>
  </w:style>
  <w:style w:type="paragraph" w:customStyle="1" w:styleId="Default">
    <w:name w:val="Default"/>
    <w:rsid w:val="00451253"/>
    <w:pPr>
      <w:autoSpaceDE w:val="0"/>
      <w:autoSpaceDN w:val="0"/>
      <w:adjustRightInd w:val="0"/>
    </w:pPr>
    <w:rPr>
      <w:color w:val="000000"/>
      <w:sz w:val="24"/>
      <w:szCs w:val="24"/>
    </w:rPr>
  </w:style>
  <w:style w:type="paragraph" w:customStyle="1" w:styleId="Standard">
    <w:name w:val="Standard"/>
    <w:rsid w:val="0045125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affc">
    <w:name w:val="Title"/>
    <w:basedOn w:val="a0"/>
    <w:next w:val="a0"/>
    <w:link w:val="affd"/>
    <w:uiPriority w:val="99"/>
    <w:qFormat/>
    <w:rsid w:val="002653A9"/>
    <w:pPr>
      <w:spacing w:before="240" w:after="60"/>
      <w:jc w:val="center"/>
      <w:outlineLvl w:val="0"/>
    </w:pPr>
    <w:rPr>
      <w:rFonts w:ascii="Cambria" w:hAnsi="Cambria"/>
      <w:b/>
      <w:bCs/>
      <w:kern w:val="28"/>
      <w:sz w:val="32"/>
      <w:szCs w:val="32"/>
    </w:rPr>
  </w:style>
  <w:style w:type="character" w:customStyle="1" w:styleId="affd">
    <w:name w:val="Название Знак"/>
    <w:basedOn w:val="a1"/>
    <w:link w:val="affc"/>
    <w:uiPriority w:val="99"/>
    <w:rsid w:val="002653A9"/>
    <w:rPr>
      <w:rFonts w:ascii="Cambria" w:hAnsi="Cambria"/>
      <w:b/>
      <w:bCs/>
      <w:kern w:val="28"/>
      <w:sz w:val="32"/>
      <w:szCs w:val="32"/>
    </w:rPr>
  </w:style>
  <w:style w:type="paragraph" w:customStyle="1" w:styleId="410">
    <w:name w:val="Заголовок 41"/>
    <w:basedOn w:val="a0"/>
    <w:next w:val="4"/>
    <w:link w:val="43"/>
    <w:uiPriority w:val="9"/>
    <w:semiHidden/>
    <w:unhideWhenUsed/>
    <w:qFormat/>
    <w:rsid w:val="00660D1F"/>
    <w:pPr>
      <w:keepNext/>
      <w:keepLines/>
      <w:widowControl w:val="0"/>
      <w:spacing w:before="200"/>
      <w:outlineLvl w:val="3"/>
    </w:pPr>
    <w:rPr>
      <w:rFonts w:ascii="Cambria" w:hAnsi="Cambria"/>
      <w:b/>
      <w:bCs/>
      <w:i/>
      <w:iCs/>
      <w:color w:val="4F81BD"/>
      <w:sz w:val="20"/>
      <w:szCs w:val="20"/>
    </w:rPr>
  </w:style>
  <w:style w:type="numbering" w:customStyle="1" w:styleId="1c">
    <w:name w:val="Нет списка1"/>
    <w:next w:val="a3"/>
    <w:uiPriority w:val="99"/>
    <w:semiHidden/>
    <w:unhideWhenUsed/>
    <w:rsid w:val="00660D1F"/>
  </w:style>
  <w:style w:type="character" w:customStyle="1" w:styleId="43">
    <w:name w:val="Заголовок 4 Знак"/>
    <w:basedOn w:val="a1"/>
    <w:link w:val="410"/>
    <w:uiPriority w:val="9"/>
    <w:rsid w:val="00660D1F"/>
    <w:rPr>
      <w:rFonts w:ascii="Cambria" w:eastAsia="Times New Roman" w:hAnsi="Cambria" w:cs="Times New Roman"/>
      <w:b/>
      <w:bCs/>
      <w:i/>
      <w:iCs/>
      <w:color w:val="4F81BD"/>
    </w:rPr>
  </w:style>
  <w:style w:type="character" w:customStyle="1" w:styleId="99pt">
    <w:name w:val="Основной текст (9) + 9 pt"/>
    <w:basedOn w:val="a1"/>
    <w:rsid w:val="00660D1F"/>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alt-edited">
    <w:name w:val="alt-edited"/>
    <w:basedOn w:val="a1"/>
    <w:rsid w:val="00660D1F"/>
  </w:style>
  <w:style w:type="character" w:customStyle="1" w:styleId="41">
    <w:name w:val="Заголовок 4 Знак1"/>
    <w:basedOn w:val="a1"/>
    <w:link w:val="4"/>
    <w:uiPriority w:val="9"/>
    <w:rsid w:val="00660D1F"/>
    <w:rPr>
      <w:rFonts w:asciiTheme="majorHAnsi" w:eastAsiaTheme="majorEastAsia" w:hAnsiTheme="majorHAnsi" w:cstheme="majorBidi"/>
      <w:b/>
      <w:bCs/>
      <w:i/>
      <w:iCs/>
      <w:color w:val="4F81BD" w:themeColor="accent1"/>
      <w:sz w:val="28"/>
      <w:szCs w:val="28"/>
    </w:rPr>
  </w:style>
  <w:style w:type="paragraph" w:customStyle="1" w:styleId="affe">
    <w:name w:val="???????"/>
    <w:rsid w:val="008A2DA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0" w:lineRule="auto"/>
    </w:pPr>
    <w:rPr>
      <w:rFonts w:ascii="Arial" w:eastAsia="DejaVu Sans" w:hAnsi="Arial" w:cs="Liberation Sans"/>
      <w:color w:val="FFFFFF"/>
      <w:kern w:val="2"/>
      <w:sz w:val="36"/>
      <w:szCs w:val="24"/>
      <w:lang w:eastAsia="zh-CN" w:bidi="hi-IN"/>
    </w:rPr>
  </w:style>
  <w:style w:type="numbering" w:customStyle="1" w:styleId="2d">
    <w:name w:val="Нет списка2"/>
    <w:next w:val="a3"/>
    <w:uiPriority w:val="99"/>
    <w:semiHidden/>
    <w:unhideWhenUsed/>
    <w:rsid w:val="00125027"/>
  </w:style>
  <w:style w:type="paragraph" w:customStyle="1" w:styleId="310">
    <w:name w:val="Основной текст (3)1"/>
    <w:basedOn w:val="a0"/>
    <w:rsid w:val="00125027"/>
    <w:pPr>
      <w:widowControl w:val="0"/>
      <w:shd w:val="clear" w:color="auto" w:fill="FFFFFF"/>
      <w:spacing w:line="253" w:lineRule="exact"/>
      <w:jc w:val="both"/>
    </w:pPr>
    <w:rPr>
      <w:rFonts w:ascii="Arial" w:eastAsia="MS Mincho" w:hAnsi="Arial"/>
      <w:sz w:val="21"/>
      <w:szCs w:val="21"/>
      <w:shd w:val="clear" w:color="auto" w:fill="FFFFFF"/>
    </w:rPr>
  </w:style>
  <w:style w:type="character" w:customStyle="1" w:styleId="fontstyle18">
    <w:name w:val="fontstyle18"/>
    <w:rsid w:val="00125027"/>
  </w:style>
  <w:style w:type="paragraph" w:customStyle="1" w:styleId="44">
    <w:name w:val="А4_обычный"/>
    <w:rsid w:val="00125027"/>
    <w:pPr>
      <w:widowControl w:val="0"/>
      <w:ind w:firstLine="720"/>
      <w:jc w:val="both"/>
    </w:pPr>
    <w:rPr>
      <w:rFonts w:ascii="Bookman Old Style" w:hAnsi="Bookman Old Style"/>
      <w:sz w:val="26"/>
    </w:rPr>
  </w:style>
  <w:style w:type="numbering" w:customStyle="1" w:styleId="a">
    <w:name w:val="С числами"/>
    <w:rsid w:val="00686DF1"/>
    <w:pPr>
      <w:numPr>
        <w:numId w:val="2"/>
      </w:numPr>
    </w:pPr>
  </w:style>
  <w:style w:type="numbering" w:customStyle="1" w:styleId="37">
    <w:name w:val="Нет списка3"/>
    <w:next w:val="a3"/>
    <w:uiPriority w:val="99"/>
    <w:semiHidden/>
    <w:unhideWhenUsed/>
    <w:rsid w:val="00972FA6"/>
  </w:style>
  <w:style w:type="character" w:customStyle="1" w:styleId="word">
    <w:name w:val="word"/>
    <w:basedOn w:val="a1"/>
    <w:rsid w:val="00972FA6"/>
  </w:style>
  <w:style w:type="character" w:customStyle="1" w:styleId="FontStyle52">
    <w:name w:val="Font Style52"/>
    <w:basedOn w:val="a1"/>
    <w:uiPriority w:val="99"/>
    <w:rsid w:val="00972FA6"/>
    <w:rPr>
      <w:rFonts w:ascii="Times New Roman" w:hAnsi="Times New Roman" w:cs="Times New Roman" w:hint="default"/>
      <w:sz w:val="26"/>
      <w:szCs w:val="26"/>
    </w:rPr>
  </w:style>
  <w:style w:type="paragraph" w:customStyle="1" w:styleId="afff">
    <w:name w:val="диплом основной текст"/>
    <w:basedOn w:val="aff9"/>
    <w:rsid w:val="00972FA6"/>
    <w:rPr>
      <w:rFonts w:ascii="Consolas" w:eastAsia="Calibri" w:hAnsi="Consolas" w:cs="Consolas"/>
      <w:color w:val="auto"/>
      <w:sz w:val="21"/>
      <w:szCs w:val="21"/>
      <w:lang w:eastAsia="en-US"/>
    </w:rPr>
  </w:style>
  <w:style w:type="character" w:customStyle="1" w:styleId="FontStyle66">
    <w:name w:val="Font Style66"/>
    <w:uiPriority w:val="99"/>
    <w:rsid w:val="00972FA6"/>
    <w:rPr>
      <w:rFonts w:ascii="Times New Roman" w:hAnsi="Times New Roman" w:cs="Times New Roman"/>
      <w:b/>
      <w:bCs/>
      <w:sz w:val="20"/>
      <w:szCs w:val="20"/>
    </w:rPr>
  </w:style>
  <w:style w:type="character" w:customStyle="1" w:styleId="FontStyle53">
    <w:name w:val="Font Style53"/>
    <w:uiPriority w:val="99"/>
    <w:rsid w:val="00972FA6"/>
    <w:rPr>
      <w:rFonts w:ascii="Bookman Old Style" w:hAnsi="Bookman Old Style" w:cs="Bookman Old Style"/>
      <w:sz w:val="18"/>
      <w:szCs w:val="18"/>
    </w:rPr>
  </w:style>
  <w:style w:type="character" w:customStyle="1" w:styleId="FontStyle24">
    <w:name w:val="Font Style24"/>
    <w:uiPriority w:val="99"/>
    <w:rsid w:val="00972FA6"/>
    <w:rPr>
      <w:rFonts w:ascii="Microsoft Sans Serif" w:hAnsi="Microsoft Sans Serif" w:cs="Microsoft Sans Serif" w:hint="default"/>
      <w:sz w:val="16"/>
      <w:szCs w:val="16"/>
    </w:rPr>
  </w:style>
  <w:style w:type="paragraph" w:customStyle="1" w:styleId="1d">
    <w:name w:val="Стиль1"/>
    <w:basedOn w:val="a0"/>
    <w:link w:val="1e"/>
    <w:qFormat/>
    <w:rsid w:val="00972FA6"/>
    <w:pPr>
      <w:spacing w:line="240" w:lineRule="atLeast"/>
      <w:ind w:left="14" w:right="4"/>
      <w:jc w:val="both"/>
    </w:pPr>
    <w:rPr>
      <w:b/>
      <w:szCs w:val="20"/>
    </w:rPr>
  </w:style>
  <w:style w:type="paragraph" w:styleId="afff0">
    <w:name w:val="List Continue"/>
    <w:basedOn w:val="a0"/>
    <w:rsid w:val="00BC663C"/>
    <w:pPr>
      <w:spacing w:after="120"/>
      <w:ind w:left="283"/>
      <w:contextualSpacing/>
    </w:pPr>
  </w:style>
  <w:style w:type="table" w:customStyle="1" w:styleId="2e">
    <w:name w:val="Сетка таблицы2"/>
    <w:basedOn w:val="a2"/>
    <w:next w:val="a7"/>
    <w:uiPriority w:val="59"/>
    <w:rsid w:val="007C742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D90924"/>
  </w:style>
  <w:style w:type="paragraph" w:customStyle="1" w:styleId="msonormalbullet1gif">
    <w:name w:val="msonormalbullet1.gif"/>
    <w:basedOn w:val="a0"/>
    <w:uiPriority w:val="99"/>
    <w:semiHidden/>
    <w:rsid w:val="00D90924"/>
    <w:pPr>
      <w:spacing w:before="100" w:beforeAutospacing="1" w:after="100" w:afterAutospacing="1"/>
    </w:pPr>
    <w:rPr>
      <w:sz w:val="24"/>
      <w:szCs w:val="24"/>
    </w:rPr>
  </w:style>
  <w:style w:type="paragraph" w:customStyle="1" w:styleId="msonormalbullet2gif">
    <w:name w:val="msonormalbullet2.gif"/>
    <w:basedOn w:val="a0"/>
    <w:uiPriority w:val="99"/>
    <w:semiHidden/>
    <w:rsid w:val="00D90924"/>
    <w:pPr>
      <w:spacing w:before="100" w:beforeAutospacing="1" w:after="100" w:afterAutospacing="1"/>
    </w:pPr>
    <w:rPr>
      <w:sz w:val="24"/>
      <w:szCs w:val="24"/>
    </w:rPr>
  </w:style>
  <w:style w:type="numbering" w:customStyle="1" w:styleId="5">
    <w:name w:val="Нет списка5"/>
    <w:next w:val="a3"/>
    <w:uiPriority w:val="99"/>
    <w:semiHidden/>
    <w:unhideWhenUsed/>
    <w:rsid w:val="0045639C"/>
  </w:style>
  <w:style w:type="numbering" w:customStyle="1" w:styleId="110">
    <w:name w:val="Нет списка11"/>
    <w:next w:val="a3"/>
    <w:uiPriority w:val="99"/>
    <w:semiHidden/>
    <w:unhideWhenUsed/>
    <w:rsid w:val="0045639C"/>
  </w:style>
  <w:style w:type="table" w:customStyle="1" w:styleId="38">
    <w:name w:val="Сетка таблицы3"/>
    <w:basedOn w:val="a2"/>
    <w:next w:val="a7"/>
    <w:uiPriority w:val="59"/>
    <w:rsid w:val="004563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7"/>
    <w:uiPriority w:val="59"/>
    <w:rsid w:val="0045639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45639C"/>
  </w:style>
  <w:style w:type="numbering" w:customStyle="1" w:styleId="210">
    <w:name w:val="Нет списка21"/>
    <w:next w:val="a3"/>
    <w:uiPriority w:val="99"/>
    <w:semiHidden/>
    <w:unhideWhenUsed/>
    <w:rsid w:val="0045639C"/>
  </w:style>
  <w:style w:type="numbering" w:customStyle="1" w:styleId="1">
    <w:name w:val="С числами1"/>
    <w:rsid w:val="0045639C"/>
    <w:pPr>
      <w:numPr>
        <w:numId w:val="1"/>
      </w:numPr>
    </w:pPr>
  </w:style>
  <w:style w:type="numbering" w:customStyle="1" w:styleId="311">
    <w:name w:val="Нет списка31"/>
    <w:next w:val="a3"/>
    <w:uiPriority w:val="99"/>
    <w:semiHidden/>
    <w:unhideWhenUsed/>
    <w:rsid w:val="0045639C"/>
  </w:style>
  <w:style w:type="table" w:customStyle="1" w:styleId="211">
    <w:name w:val="Сетка таблицы21"/>
    <w:basedOn w:val="a2"/>
    <w:next w:val="a7"/>
    <w:uiPriority w:val="59"/>
    <w:rsid w:val="0045639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45639C"/>
  </w:style>
  <w:style w:type="table" w:customStyle="1" w:styleId="46">
    <w:name w:val="Сетка таблицы4"/>
    <w:basedOn w:val="a2"/>
    <w:next w:val="a7"/>
    <w:uiPriority w:val="39"/>
    <w:rsid w:val="00453F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453F72"/>
  </w:style>
  <w:style w:type="table" w:customStyle="1" w:styleId="50">
    <w:name w:val="Сетка таблицы5"/>
    <w:basedOn w:val="a2"/>
    <w:next w:val="a7"/>
    <w:uiPriority w:val="59"/>
    <w:rsid w:val="004F54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3"/>
    <w:uiPriority w:val="99"/>
    <w:semiHidden/>
    <w:unhideWhenUsed/>
    <w:rsid w:val="004F5466"/>
  </w:style>
  <w:style w:type="table" w:customStyle="1" w:styleId="62">
    <w:name w:val="Сетка таблицы6"/>
    <w:basedOn w:val="a2"/>
    <w:next w:val="a7"/>
    <w:uiPriority w:val="59"/>
    <w:rsid w:val="004F54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0"/>
    <w:rsid w:val="004F5466"/>
    <w:pPr>
      <w:spacing w:before="100" w:beforeAutospacing="1" w:after="100" w:afterAutospacing="1"/>
    </w:pPr>
    <w:rPr>
      <w:sz w:val="24"/>
      <w:szCs w:val="24"/>
    </w:rPr>
  </w:style>
  <w:style w:type="character" w:customStyle="1" w:styleId="s1">
    <w:name w:val="s1"/>
    <w:basedOn w:val="a1"/>
    <w:rsid w:val="004F5466"/>
  </w:style>
  <w:style w:type="paragraph" w:customStyle="1" w:styleId="p3">
    <w:name w:val="p3"/>
    <w:basedOn w:val="a0"/>
    <w:rsid w:val="004F5466"/>
    <w:pPr>
      <w:spacing w:before="100" w:beforeAutospacing="1" w:after="100" w:afterAutospacing="1"/>
    </w:pPr>
    <w:rPr>
      <w:sz w:val="24"/>
      <w:szCs w:val="24"/>
    </w:rPr>
  </w:style>
  <w:style w:type="paragraph" w:customStyle="1" w:styleId="p4">
    <w:name w:val="p4"/>
    <w:basedOn w:val="a0"/>
    <w:rsid w:val="004F5466"/>
    <w:pPr>
      <w:spacing w:before="100" w:beforeAutospacing="1" w:after="100" w:afterAutospacing="1"/>
    </w:pPr>
    <w:rPr>
      <w:sz w:val="24"/>
      <w:szCs w:val="24"/>
    </w:rPr>
  </w:style>
  <w:style w:type="numbering" w:customStyle="1" w:styleId="8">
    <w:name w:val="Нет списка8"/>
    <w:next w:val="a3"/>
    <w:uiPriority w:val="99"/>
    <w:semiHidden/>
    <w:unhideWhenUsed/>
    <w:rsid w:val="007D0F07"/>
  </w:style>
  <w:style w:type="table" w:customStyle="1" w:styleId="70">
    <w:name w:val="Сетка таблицы7"/>
    <w:basedOn w:val="a2"/>
    <w:next w:val="a7"/>
    <w:uiPriority w:val="59"/>
    <w:rsid w:val="007D0F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1">
    <w:name w:val="Фамилии"/>
    <w:basedOn w:val="a0"/>
    <w:qFormat/>
    <w:rsid w:val="007D0F07"/>
    <w:pPr>
      <w:ind w:firstLine="709"/>
      <w:jc w:val="right"/>
    </w:pPr>
    <w:rPr>
      <w:rFonts w:eastAsia="Calibri"/>
      <w:sz w:val="22"/>
      <w:szCs w:val="22"/>
      <w:lang w:eastAsia="en-US"/>
    </w:rPr>
  </w:style>
  <w:style w:type="paragraph" w:customStyle="1" w:styleId="Style6">
    <w:name w:val="Style6"/>
    <w:basedOn w:val="a0"/>
    <w:uiPriority w:val="99"/>
    <w:rsid w:val="007D0F07"/>
    <w:pPr>
      <w:widowControl w:val="0"/>
      <w:autoSpaceDE w:val="0"/>
      <w:autoSpaceDN w:val="0"/>
      <w:adjustRightInd w:val="0"/>
      <w:spacing w:line="347" w:lineRule="exact"/>
      <w:ind w:firstLine="806"/>
      <w:jc w:val="both"/>
    </w:pPr>
    <w:rPr>
      <w:sz w:val="24"/>
      <w:szCs w:val="24"/>
    </w:rPr>
  </w:style>
  <w:style w:type="character" w:customStyle="1" w:styleId="year">
    <w:name w:val="year"/>
    <w:basedOn w:val="a1"/>
    <w:uiPriority w:val="99"/>
    <w:rsid w:val="007D0F07"/>
  </w:style>
  <w:style w:type="table" w:customStyle="1" w:styleId="80">
    <w:name w:val="Сетка таблицы8"/>
    <w:basedOn w:val="a2"/>
    <w:next w:val="a7"/>
    <w:uiPriority w:val="39"/>
    <w:rsid w:val="00D774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A008AF"/>
  </w:style>
  <w:style w:type="table" w:customStyle="1" w:styleId="92">
    <w:name w:val="Сетка таблицы9"/>
    <w:basedOn w:val="a2"/>
    <w:next w:val="a7"/>
    <w:uiPriority w:val="99"/>
    <w:rsid w:val="00A008A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TOC Heading"/>
    <w:basedOn w:val="10"/>
    <w:next w:val="a0"/>
    <w:uiPriority w:val="99"/>
    <w:qFormat/>
    <w:rsid w:val="00A008AF"/>
    <w:pPr>
      <w:keepLines/>
      <w:spacing w:before="480" w:after="0" w:line="276" w:lineRule="auto"/>
      <w:outlineLvl w:val="9"/>
    </w:pPr>
    <w:rPr>
      <w:color w:val="365F91"/>
      <w:kern w:val="0"/>
      <w:sz w:val="28"/>
      <w:szCs w:val="28"/>
      <w:lang w:eastAsia="en-US"/>
    </w:rPr>
  </w:style>
  <w:style w:type="paragraph" w:styleId="1f">
    <w:name w:val="toc 1"/>
    <w:basedOn w:val="a0"/>
    <w:next w:val="a0"/>
    <w:autoRedefine/>
    <w:uiPriority w:val="99"/>
    <w:rsid w:val="00A008AF"/>
    <w:pPr>
      <w:spacing w:after="200" w:line="276" w:lineRule="auto"/>
    </w:pPr>
    <w:rPr>
      <w:rFonts w:ascii="Calibri" w:hAnsi="Calibri"/>
      <w:sz w:val="22"/>
      <w:szCs w:val="22"/>
    </w:rPr>
  </w:style>
  <w:style w:type="paragraph" w:styleId="39">
    <w:name w:val="toc 3"/>
    <w:basedOn w:val="a0"/>
    <w:next w:val="a0"/>
    <w:autoRedefine/>
    <w:uiPriority w:val="99"/>
    <w:rsid w:val="00A008AF"/>
    <w:pPr>
      <w:spacing w:after="200" w:line="276" w:lineRule="auto"/>
      <w:ind w:left="440"/>
    </w:pPr>
    <w:rPr>
      <w:rFonts w:ascii="Calibri" w:hAnsi="Calibri"/>
      <w:sz w:val="22"/>
      <w:szCs w:val="22"/>
    </w:rPr>
  </w:style>
  <w:style w:type="character" w:customStyle="1" w:styleId="1f0">
    <w:name w:val="Текст сноски Знак1"/>
    <w:aliases w:val="-++ Знак,Текст сноски-FN Знак,Footnote Text Char Знак Знак Знак1,Footnote Text Char Знак Знак2,Текст сноски Знак Знак,Footnote Text Char Знак Знак Знак Знак Знак"/>
    <w:uiPriority w:val="99"/>
    <w:rsid w:val="00A008AF"/>
    <w:rPr>
      <w:lang w:val="ru-RU" w:eastAsia="ru-RU"/>
    </w:rPr>
  </w:style>
  <w:style w:type="character" w:customStyle="1" w:styleId="Char">
    <w:name w:val="Стандарт Char"/>
    <w:link w:val="afff3"/>
    <w:uiPriority w:val="99"/>
    <w:locked/>
    <w:rsid w:val="00A008AF"/>
    <w:rPr>
      <w:sz w:val="24"/>
    </w:rPr>
  </w:style>
  <w:style w:type="paragraph" w:customStyle="1" w:styleId="afff3">
    <w:name w:val="Стандарт"/>
    <w:basedOn w:val="a0"/>
    <w:link w:val="Char"/>
    <w:uiPriority w:val="99"/>
    <w:rsid w:val="00A008AF"/>
    <w:pPr>
      <w:widowControl w:val="0"/>
      <w:spacing w:line="360" w:lineRule="auto"/>
      <w:ind w:firstLine="709"/>
      <w:jc w:val="both"/>
    </w:pPr>
    <w:rPr>
      <w:sz w:val="24"/>
      <w:szCs w:val="20"/>
    </w:rPr>
  </w:style>
  <w:style w:type="paragraph" w:customStyle="1" w:styleId="1f1">
    <w:name w:val="Без интервала1"/>
    <w:aliases w:val="Сноски"/>
    <w:rsid w:val="00A008AF"/>
    <w:pPr>
      <w:jc w:val="both"/>
    </w:pPr>
    <w:rPr>
      <w:szCs w:val="22"/>
    </w:rPr>
  </w:style>
  <w:style w:type="paragraph" w:customStyle="1" w:styleId="h4">
    <w:name w:val="h4"/>
    <w:basedOn w:val="a0"/>
    <w:uiPriority w:val="99"/>
    <w:rsid w:val="00A008AF"/>
    <w:pPr>
      <w:spacing w:before="100" w:beforeAutospacing="1" w:after="100" w:afterAutospacing="1"/>
    </w:pPr>
    <w:rPr>
      <w:sz w:val="24"/>
      <w:szCs w:val="24"/>
    </w:rPr>
  </w:style>
  <w:style w:type="paragraph" w:customStyle="1" w:styleId="h5">
    <w:name w:val="h5"/>
    <w:basedOn w:val="a0"/>
    <w:uiPriority w:val="99"/>
    <w:rsid w:val="00A008AF"/>
    <w:pPr>
      <w:spacing w:before="100" w:beforeAutospacing="1" w:after="100" w:afterAutospacing="1"/>
    </w:pPr>
    <w:rPr>
      <w:sz w:val="24"/>
      <w:szCs w:val="24"/>
    </w:rPr>
  </w:style>
  <w:style w:type="character" w:customStyle="1" w:styleId="plagiat">
    <w:name w:val="plagiat"/>
    <w:uiPriority w:val="99"/>
    <w:rsid w:val="00A008AF"/>
  </w:style>
  <w:style w:type="character" w:customStyle="1" w:styleId="2f">
    <w:name w:val="Обычный (веб) Знак2"/>
    <w:aliases w:val="Обычный (веб)1 Знак,Обычный (веб) Знак Знак1,Обычный (веб) Знак1 Знак,Знак1 Знак"/>
    <w:uiPriority w:val="99"/>
    <w:rsid w:val="00A008AF"/>
    <w:rPr>
      <w:rFonts w:ascii="Times New Roman" w:hAnsi="Times New Roman"/>
      <w:sz w:val="24"/>
    </w:rPr>
  </w:style>
  <w:style w:type="paragraph" w:customStyle="1" w:styleId="afff4">
    <w:name w:val="Таблица"/>
    <w:basedOn w:val="a0"/>
    <w:uiPriority w:val="99"/>
    <w:rsid w:val="00A008AF"/>
    <w:pPr>
      <w:spacing w:after="200"/>
    </w:pPr>
    <w:rPr>
      <w:rFonts w:eastAsia="Calibri"/>
      <w:sz w:val="24"/>
      <w:szCs w:val="20"/>
    </w:rPr>
  </w:style>
  <w:style w:type="character" w:customStyle="1" w:styleId="2f0">
    <w:name w:val="Обычный2"/>
    <w:uiPriority w:val="99"/>
    <w:rsid w:val="00A008AF"/>
  </w:style>
  <w:style w:type="paragraph" w:styleId="afff5">
    <w:name w:val="Document Map"/>
    <w:basedOn w:val="a0"/>
    <w:link w:val="afff6"/>
    <w:uiPriority w:val="99"/>
    <w:unhideWhenUsed/>
    <w:rsid w:val="00A008AF"/>
    <w:rPr>
      <w:rFonts w:ascii="Tahoma" w:hAnsi="Tahoma" w:cs="Tahoma"/>
      <w:sz w:val="16"/>
      <w:szCs w:val="16"/>
    </w:rPr>
  </w:style>
  <w:style w:type="character" w:customStyle="1" w:styleId="afff6">
    <w:name w:val="Схема документа Знак"/>
    <w:basedOn w:val="a1"/>
    <w:link w:val="afff5"/>
    <w:uiPriority w:val="99"/>
    <w:rsid w:val="00A008AF"/>
    <w:rPr>
      <w:rFonts w:ascii="Tahoma" w:hAnsi="Tahoma" w:cs="Tahoma"/>
      <w:sz w:val="16"/>
      <w:szCs w:val="16"/>
    </w:rPr>
  </w:style>
  <w:style w:type="paragraph" w:customStyle="1" w:styleId="2f1">
    <w:name w:val="Абзац списка2"/>
    <w:basedOn w:val="a0"/>
    <w:rsid w:val="00A008AF"/>
    <w:pPr>
      <w:spacing w:after="200" w:line="276" w:lineRule="auto"/>
      <w:ind w:left="720"/>
    </w:pPr>
    <w:rPr>
      <w:rFonts w:ascii="Calibri" w:hAnsi="Calibri" w:cs="Calibri"/>
      <w:sz w:val="22"/>
      <w:szCs w:val="22"/>
      <w:lang w:eastAsia="en-US"/>
    </w:rPr>
  </w:style>
  <w:style w:type="paragraph" w:customStyle="1" w:styleId="msonormalcxspmiddle">
    <w:name w:val="msonormalcxspmiddle"/>
    <w:basedOn w:val="a0"/>
    <w:rsid w:val="00A008AF"/>
    <w:pPr>
      <w:spacing w:before="100" w:beforeAutospacing="1" w:after="100" w:afterAutospacing="1"/>
    </w:pPr>
    <w:rPr>
      <w:sz w:val="24"/>
      <w:szCs w:val="24"/>
    </w:rPr>
  </w:style>
  <w:style w:type="numbering" w:customStyle="1" w:styleId="100">
    <w:name w:val="Нет списка10"/>
    <w:next w:val="a3"/>
    <w:uiPriority w:val="99"/>
    <w:semiHidden/>
    <w:unhideWhenUsed/>
    <w:rsid w:val="00A008AF"/>
  </w:style>
  <w:style w:type="numbering" w:customStyle="1" w:styleId="120">
    <w:name w:val="Нет списка12"/>
    <w:next w:val="a3"/>
    <w:uiPriority w:val="99"/>
    <w:semiHidden/>
    <w:unhideWhenUsed/>
    <w:rsid w:val="00A008AF"/>
  </w:style>
  <w:style w:type="paragraph" w:styleId="afff7">
    <w:name w:val="Intense Quote"/>
    <w:basedOn w:val="a0"/>
    <w:next w:val="a0"/>
    <w:link w:val="afff8"/>
    <w:uiPriority w:val="30"/>
    <w:qFormat/>
    <w:rsid w:val="00A008AF"/>
    <w:pPr>
      <w:pBdr>
        <w:bottom w:val="single" w:sz="4" w:space="4" w:color="4F81BD"/>
      </w:pBdr>
      <w:spacing w:before="200" w:after="280" w:line="276" w:lineRule="auto"/>
      <w:ind w:left="936" w:right="936"/>
    </w:pPr>
    <w:rPr>
      <w:rFonts w:ascii="Calibri" w:eastAsia="Calibri" w:hAnsi="Calibri"/>
      <w:b/>
      <w:bCs/>
      <w:i/>
      <w:iCs/>
      <w:color w:val="4F81BD"/>
      <w:sz w:val="22"/>
      <w:szCs w:val="22"/>
      <w:lang w:val="x-none" w:eastAsia="en-US"/>
    </w:rPr>
  </w:style>
  <w:style w:type="character" w:customStyle="1" w:styleId="afff8">
    <w:name w:val="Выделенная цитата Знак"/>
    <w:basedOn w:val="a1"/>
    <w:link w:val="afff7"/>
    <w:uiPriority w:val="30"/>
    <w:rsid w:val="00A008AF"/>
    <w:rPr>
      <w:rFonts w:ascii="Calibri" w:eastAsia="Calibri" w:hAnsi="Calibri"/>
      <w:b/>
      <w:bCs/>
      <w:i/>
      <w:iCs/>
      <w:color w:val="4F81BD"/>
      <w:sz w:val="22"/>
      <w:szCs w:val="22"/>
      <w:lang w:val="x-none" w:eastAsia="en-US"/>
    </w:rPr>
  </w:style>
  <w:style w:type="numbering" w:customStyle="1" w:styleId="0">
    <w:name w:val="С числами.0"/>
    <w:rsid w:val="00F871A0"/>
    <w:pPr>
      <w:numPr>
        <w:numId w:val="3"/>
      </w:numPr>
    </w:pPr>
  </w:style>
  <w:style w:type="table" w:customStyle="1" w:styleId="101">
    <w:name w:val="Сетка таблицы10"/>
    <w:basedOn w:val="a2"/>
    <w:next w:val="a7"/>
    <w:uiPriority w:val="39"/>
    <w:rsid w:val="005807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о умолчанию"/>
    <w:rsid w:val="00772C4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130">
    <w:name w:val="Нет списка13"/>
    <w:next w:val="a3"/>
    <w:uiPriority w:val="99"/>
    <w:semiHidden/>
    <w:unhideWhenUsed/>
    <w:rsid w:val="006007EC"/>
  </w:style>
  <w:style w:type="numbering" w:customStyle="1" w:styleId="140">
    <w:name w:val="Нет списка14"/>
    <w:next w:val="a3"/>
    <w:uiPriority w:val="99"/>
    <w:semiHidden/>
    <w:unhideWhenUsed/>
    <w:rsid w:val="006007EC"/>
  </w:style>
  <w:style w:type="table" w:customStyle="1" w:styleId="121">
    <w:name w:val="Сетка таблицы12"/>
    <w:basedOn w:val="a2"/>
    <w:next w:val="a7"/>
    <w:uiPriority w:val="59"/>
    <w:rsid w:val="0060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6007EC"/>
  </w:style>
  <w:style w:type="numbering" w:customStyle="1" w:styleId="221">
    <w:name w:val="Нет списка22"/>
    <w:next w:val="a3"/>
    <w:uiPriority w:val="99"/>
    <w:semiHidden/>
    <w:unhideWhenUsed/>
    <w:rsid w:val="006007EC"/>
  </w:style>
  <w:style w:type="numbering" w:customStyle="1" w:styleId="2f2">
    <w:name w:val="С числами2"/>
    <w:rsid w:val="006007EC"/>
  </w:style>
  <w:style w:type="numbering" w:customStyle="1" w:styleId="320">
    <w:name w:val="Нет списка32"/>
    <w:next w:val="a3"/>
    <w:uiPriority w:val="99"/>
    <w:semiHidden/>
    <w:unhideWhenUsed/>
    <w:rsid w:val="006007EC"/>
  </w:style>
  <w:style w:type="table" w:customStyle="1" w:styleId="222">
    <w:name w:val="Сетка таблицы22"/>
    <w:basedOn w:val="a2"/>
    <w:next w:val="a7"/>
    <w:uiPriority w:val="59"/>
    <w:rsid w:val="006007E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3"/>
    <w:uiPriority w:val="99"/>
    <w:semiHidden/>
    <w:unhideWhenUsed/>
    <w:rsid w:val="006007EC"/>
  </w:style>
  <w:style w:type="numbering" w:customStyle="1" w:styleId="51">
    <w:name w:val="Нет списка51"/>
    <w:next w:val="a3"/>
    <w:uiPriority w:val="99"/>
    <w:semiHidden/>
    <w:unhideWhenUsed/>
    <w:rsid w:val="006007EC"/>
  </w:style>
  <w:style w:type="numbering" w:customStyle="1" w:styleId="1111">
    <w:name w:val="Нет списка1111"/>
    <w:next w:val="a3"/>
    <w:uiPriority w:val="99"/>
    <w:semiHidden/>
    <w:unhideWhenUsed/>
    <w:rsid w:val="006007EC"/>
  </w:style>
  <w:style w:type="table" w:customStyle="1" w:styleId="312">
    <w:name w:val="Сетка таблицы31"/>
    <w:basedOn w:val="a2"/>
    <w:next w:val="a7"/>
    <w:uiPriority w:val="59"/>
    <w:rsid w:val="0060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6007EC"/>
  </w:style>
  <w:style w:type="numbering" w:customStyle="1" w:styleId="2110">
    <w:name w:val="Нет списка211"/>
    <w:next w:val="a3"/>
    <w:uiPriority w:val="99"/>
    <w:semiHidden/>
    <w:unhideWhenUsed/>
    <w:rsid w:val="006007EC"/>
  </w:style>
  <w:style w:type="numbering" w:customStyle="1" w:styleId="113">
    <w:name w:val="С числами11"/>
    <w:rsid w:val="006007EC"/>
  </w:style>
  <w:style w:type="numbering" w:customStyle="1" w:styleId="3110">
    <w:name w:val="Нет списка311"/>
    <w:next w:val="a3"/>
    <w:uiPriority w:val="99"/>
    <w:semiHidden/>
    <w:unhideWhenUsed/>
    <w:rsid w:val="006007EC"/>
  </w:style>
  <w:style w:type="table" w:customStyle="1" w:styleId="2111">
    <w:name w:val="Сетка таблицы211"/>
    <w:basedOn w:val="a2"/>
    <w:next w:val="a7"/>
    <w:uiPriority w:val="59"/>
    <w:rsid w:val="006007E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6007EC"/>
  </w:style>
  <w:style w:type="table" w:customStyle="1" w:styleId="412">
    <w:name w:val="Сетка таблицы4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6007EC"/>
  </w:style>
  <w:style w:type="table" w:customStyle="1" w:styleId="510">
    <w:name w:val="Сетка таблицы5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1"/>
    <w:next w:val="a3"/>
    <w:uiPriority w:val="99"/>
    <w:semiHidden/>
    <w:unhideWhenUsed/>
    <w:rsid w:val="006007EC"/>
  </w:style>
  <w:style w:type="table" w:customStyle="1" w:styleId="611">
    <w:name w:val="Сетка таблицы6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1"/>
    <w:next w:val="a3"/>
    <w:uiPriority w:val="99"/>
    <w:semiHidden/>
    <w:unhideWhenUsed/>
    <w:rsid w:val="006007EC"/>
  </w:style>
  <w:style w:type="table" w:customStyle="1" w:styleId="710">
    <w:name w:val="Сетка таблицы71"/>
    <w:basedOn w:val="a2"/>
    <w:next w:val="a7"/>
    <w:uiPriority w:val="59"/>
    <w:rsid w:val="006007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6007EC"/>
  </w:style>
  <w:style w:type="table" w:customStyle="1" w:styleId="911">
    <w:name w:val="Сетка таблицы91"/>
    <w:basedOn w:val="a2"/>
    <w:next w:val="a7"/>
    <w:uiPriority w:val="99"/>
    <w:rsid w:val="006007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3"/>
    <w:uiPriority w:val="99"/>
    <w:semiHidden/>
    <w:unhideWhenUsed/>
    <w:rsid w:val="006007EC"/>
  </w:style>
  <w:style w:type="numbering" w:customStyle="1" w:styleId="1210">
    <w:name w:val="Нет списка121"/>
    <w:next w:val="a3"/>
    <w:uiPriority w:val="99"/>
    <w:semiHidden/>
    <w:unhideWhenUsed/>
    <w:rsid w:val="006007EC"/>
  </w:style>
  <w:style w:type="numbering" w:customStyle="1" w:styleId="012">
    <w:name w:val="С числами.01"/>
    <w:rsid w:val="006007EC"/>
  </w:style>
  <w:style w:type="table" w:customStyle="1" w:styleId="1011">
    <w:name w:val="Сетка таблицы10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742E9"/>
  </w:style>
  <w:style w:type="numbering" w:customStyle="1" w:styleId="160">
    <w:name w:val="Нет списка16"/>
    <w:next w:val="a3"/>
    <w:uiPriority w:val="99"/>
    <w:semiHidden/>
    <w:unhideWhenUsed/>
    <w:rsid w:val="008742E9"/>
  </w:style>
  <w:style w:type="numbering" w:customStyle="1" w:styleId="170">
    <w:name w:val="Нет списка17"/>
    <w:next w:val="a3"/>
    <w:uiPriority w:val="99"/>
    <w:semiHidden/>
    <w:unhideWhenUsed/>
    <w:rsid w:val="008742E9"/>
  </w:style>
  <w:style w:type="character" w:customStyle="1" w:styleId="bigtext">
    <w:name w:val="bigtext"/>
    <w:basedOn w:val="a1"/>
    <w:rsid w:val="008742E9"/>
  </w:style>
  <w:style w:type="numbering" w:customStyle="1" w:styleId="180">
    <w:name w:val="Нет списка18"/>
    <w:next w:val="a3"/>
    <w:uiPriority w:val="99"/>
    <w:semiHidden/>
    <w:unhideWhenUsed/>
    <w:rsid w:val="00281602"/>
  </w:style>
  <w:style w:type="character" w:customStyle="1" w:styleId="UnresolvedMention">
    <w:name w:val="Unresolved Mention"/>
    <w:basedOn w:val="a1"/>
    <w:uiPriority w:val="99"/>
    <w:semiHidden/>
    <w:unhideWhenUsed/>
    <w:rsid w:val="00281602"/>
    <w:rPr>
      <w:color w:val="808080"/>
      <w:shd w:val="clear" w:color="auto" w:fill="E6E6E6"/>
    </w:rPr>
  </w:style>
  <w:style w:type="numbering" w:customStyle="1" w:styleId="190">
    <w:name w:val="Нет списка19"/>
    <w:next w:val="a3"/>
    <w:uiPriority w:val="99"/>
    <w:semiHidden/>
    <w:unhideWhenUsed/>
    <w:rsid w:val="00281602"/>
  </w:style>
  <w:style w:type="character" w:customStyle="1" w:styleId="Bodytext2">
    <w:name w:val="Body text (2)_"/>
    <w:basedOn w:val="a1"/>
    <w:link w:val="Bodytext20"/>
    <w:rsid w:val="00281602"/>
    <w:rPr>
      <w:i/>
      <w:iCs/>
      <w:shd w:val="clear" w:color="auto" w:fill="FFFFFF"/>
    </w:rPr>
  </w:style>
  <w:style w:type="paragraph" w:customStyle="1" w:styleId="Bodytext20">
    <w:name w:val="Body text (2)"/>
    <w:basedOn w:val="a0"/>
    <w:link w:val="Bodytext2"/>
    <w:rsid w:val="00281602"/>
    <w:pPr>
      <w:widowControl w:val="0"/>
      <w:shd w:val="clear" w:color="auto" w:fill="FFFFFF"/>
      <w:spacing w:before="240" w:line="288" w:lineRule="exact"/>
      <w:jc w:val="both"/>
    </w:pPr>
    <w:rPr>
      <w:i/>
      <w:iCs/>
      <w:sz w:val="20"/>
      <w:szCs w:val="20"/>
    </w:rPr>
  </w:style>
  <w:style w:type="character" w:customStyle="1" w:styleId="1e">
    <w:name w:val="Стиль1 Знак"/>
    <w:basedOn w:val="a1"/>
    <w:link w:val="1d"/>
    <w:rsid w:val="00281602"/>
    <w:rPr>
      <w:b/>
      <w:sz w:val="28"/>
    </w:rPr>
  </w:style>
  <w:style w:type="paragraph" w:customStyle="1" w:styleId="1f2">
    <w:name w:val="Название объекта1"/>
    <w:basedOn w:val="a0"/>
    <w:next w:val="a0"/>
    <w:uiPriority w:val="35"/>
    <w:unhideWhenUsed/>
    <w:qFormat/>
    <w:rsid w:val="00281602"/>
    <w:pPr>
      <w:spacing w:after="200"/>
    </w:pPr>
    <w:rPr>
      <w:rFonts w:ascii="Calibri" w:eastAsia="Calibri" w:hAnsi="Calibri"/>
      <w:i/>
      <w:iCs/>
      <w:color w:val="44546A"/>
      <w:sz w:val="18"/>
      <w:szCs w:val="18"/>
      <w:lang w:eastAsia="en-US"/>
    </w:rPr>
  </w:style>
  <w:style w:type="character" w:customStyle="1" w:styleId="ab">
    <w:name w:val="Абзац списка Знак"/>
    <w:link w:val="aa"/>
    <w:uiPriority w:val="34"/>
    <w:locked/>
    <w:rsid w:val="00281602"/>
    <w:rPr>
      <w:sz w:val="28"/>
      <w:szCs w:val="28"/>
    </w:rPr>
  </w:style>
  <w:style w:type="numbering" w:customStyle="1" w:styleId="200">
    <w:name w:val="Нет списка20"/>
    <w:next w:val="a3"/>
    <w:uiPriority w:val="99"/>
    <w:semiHidden/>
    <w:unhideWhenUsed/>
    <w:rsid w:val="00787EA7"/>
  </w:style>
  <w:style w:type="character" w:customStyle="1" w:styleId="Bodytext2Italic">
    <w:name w:val="Body text (2) + Italic"/>
    <w:basedOn w:val="Bodytext2"/>
    <w:rsid w:val="00787EA7"/>
    <w:rPr>
      <w:rFonts w:ascii="Times New Roman" w:eastAsia="Times New Roman" w:hAnsi="Times New Roman"/>
      <w:i/>
      <w:iCs/>
      <w:color w:val="000000"/>
      <w:spacing w:val="0"/>
      <w:w w:val="100"/>
      <w:position w:val="0"/>
      <w:sz w:val="19"/>
      <w:szCs w:val="19"/>
      <w:shd w:val="clear" w:color="auto" w:fill="FFFFFF"/>
      <w:lang w:val="ru-RU" w:eastAsia="ru-RU" w:bidi="ru-RU"/>
    </w:rPr>
  </w:style>
  <w:style w:type="character" w:customStyle="1" w:styleId="hcc">
    <w:name w:val="hcc"/>
    <w:basedOn w:val="a1"/>
    <w:rsid w:val="00787EA7"/>
  </w:style>
  <w:style w:type="numbering" w:customStyle="1" w:styleId="230">
    <w:name w:val="Нет списка23"/>
    <w:next w:val="a3"/>
    <w:uiPriority w:val="99"/>
    <w:semiHidden/>
    <w:unhideWhenUsed/>
    <w:rsid w:val="00DF1146"/>
  </w:style>
  <w:style w:type="character" w:customStyle="1" w:styleId="FontStyle14">
    <w:name w:val="Font Style14"/>
    <w:rsid w:val="00DF1146"/>
    <w:rPr>
      <w:rFonts w:ascii="Times New Roman" w:hAnsi="Times New Roman" w:cs="Times New Roman"/>
      <w:sz w:val="26"/>
      <w:szCs w:val="26"/>
    </w:rPr>
  </w:style>
  <w:style w:type="numbering" w:customStyle="1" w:styleId="240">
    <w:name w:val="Нет списка24"/>
    <w:next w:val="a3"/>
    <w:uiPriority w:val="99"/>
    <w:semiHidden/>
    <w:unhideWhenUsed/>
    <w:rsid w:val="001E2F2C"/>
  </w:style>
  <w:style w:type="paragraph" w:customStyle="1" w:styleId="paragraph">
    <w:name w:val="paragraph"/>
    <w:basedOn w:val="a0"/>
    <w:rsid w:val="001E2F2C"/>
    <w:pPr>
      <w:spacing w:before="100" w:beforeAutospacing="1" w:after="100" w:afterAutospacing="1"/>
    </w:pPr>
    <w:rPr>
      <w:sz w:val="24"/>
      <w:szCs w:val="24"/>
    </w:rPr>
  </w:style>
  <w:style w:type="character" w:customStyle="1" w:styleId="spellingerror">
    <w:name w:val="spellingerror"/>
    <w:basedOn w:val="a1"/>
    <w:rsid w:val="001E2F2C"/>
  </w:style>
  <w:style w:type="character" w:customStyle="1" w:styleId="normaltextrun">
    <w:name w:val="normaltextrun"/>
    <w:basedOn w:val="a1"/>
    <w:rsid w:val="001E2F2C"/>
  </w:style>
  <w:style w:type="character" w:customStyle="1" w:styleId="eop">
    <w:name w:val="eop"/>
    <w:basedOn w:val="a1"/>
    <w:rsid w:val="001E2F2C"/>
  </w:style>
  <w:style w:type="numbering" w:customStyle="1" w:styleId="250">
    <w:name w:val="Нет списка25"/>
    <w:next w:val="a3"/>
    <w:uiPriority w:val="99"/>
    <w:semiHidden/>
    <w:unhideWhenUsed/>
    <w:rsid w:val="00CD45A4"/>
  </w:style>
  <w:style w:type="numbering" w:customStyle="1" w:styleId="260">
    <w:name w:val="Нет списка26"/>
    <w:next w:val="a3"/>
    <w:uiPriority w:val="99"/>
    <w:semiHidden/>
    <w:unhideWhenUsed/>
    <w:rsid w:val="00EC1A78"/>
  </w:style>
  <w:style w:type="paragraph" w:customStyle="1" w:styleId="tehnormatitle">
    <w:name w:val="tehnormatitle"/>
    <w:basedOn w:val="a0"/>
    <w:rsid w:val="00EC1A78"/>
    <w:pPr>
      <w:spacing w:before="100" w:beforeAutospacing="1" w:after="100" w:afterAutospacing="1"/>
    </w:pPr>
    <w:rPr>
      <w:sz w:val="24"/>
      <w:szCs w:val="24"/>
    </w:rPr>
  </w:style>
  <w:style w:type="character" w:customStyle="1" w:styleId="spelle">
    <w:name w:val="spelle"/>
    <w:basedOn w:val="a1"/>
    <w:rsid w:val="00EC1A78"/>
  </w:style>
  <w:style w:type="paragraph" w:customStyle="1" w:styleId="msonormalmailrucssattributepostfix">
    <w:name w:val="msonormal_mailru_css_attribute_postfix"/>
    <w:basedOn w:val="a0"/>
    <w:rsid w:val="00EC1A78"/>
    <w:pPr>
      <w:spacing w:before="100" w:beforeAutospacing="1" w:after="100" w:afterAutospacing="1"/>
    </w:pPr>
    <w:rPr>
      <w:sz w:val="24"/>
      <w:szCs w:val="24"/>
    </w:rPr>
  </w:style>
  <w:style w:type="paragraph" w:customStyle="1" w:styleId="afffa">
    <w:name w:val="Базовый"/>
    <w:rsid w:val="00EC1A78"/>
    <w:pPr>
      <w:widowControl w:val="0"/>
      <w:tabs>
        <w:tab w:val="left" w:pos="708"/>
      </w:tabs>
      <w:suppressAutoHyphens/>
      <w:spacing w:line="100" w:lineRule="atLeast"/>
    </w:pPr>
    <w:rPr>
      <w:rFonts w:eastAsia="SimSun" w:cs="Arial"/>
      <w:sz w:val="24"/>
      <w:szCs w:val="24"/>
      <w:lang w:eastAsia="zh-CN" w:bidi="hi-IN"/>
    </w:rPr>
  </w:style>
  <w:style w:type="character" w:customStyle="1" w:styleId="w">
    <w:name w:val="w"/>
    <w:basedOn w:val="a1"/>
    <w:rsid w:val="00EC1A78"/>
  </w:style>
  <w:style w:type="paragraph" w:customStyle="1" w:styleId="afffb">
    <w:name w:val="Сноска"/>
    <w:rsid w:val="00EC1A78"/>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47">
    <w:name w:val="Знак Знак4"/>
    <w:uiPriority w:val="99"/>
    <w:semiHidden/>
    <w:rsid w:val="00EC1A78"/>
    <w:rPr>
      <w:lang w:val="ru-RU" w:eastAsia="ru-RU"/>
    </w:rPr>
  </w:style>
  <w:style w:type="paragraph" w:customStyle="1" w:styleId="pcenter">
    <w:name w:val="pcenter"/>
    <w:basedOn w:val="a0"/>
    <w:rsid w:val="00EC1A78"/>
    <w:pPr>
      <w:spacing w:before="100" w:beforeAutospacing="1" w:after="100" w:afterAutospacing="1"/>
    </w:pPr>
    <w:rPr>
      <w:sz w:val="24"/>
      <w:szCs w:val="24"/>
    </w:rPr>
  </w:style>
  <w:style w:type="character" w:customStyle="1" w:styleId="48">
    <w:name w:val="Аб 4 ур обычный текст Знак"/>
    <w:link w:val="49"/>
    <w:locked/>
    <w:rsid w:val="00EC1A78"/>
    <w:rPr>
      <w:rFonts w:eastAsia="SimSun"/>
      <w:sz w:val="24"/>
      <w:szCs w:val="24"/>
      <w:lang w:val="x-none" w:eastAsia="zh-CN"/>
    </w:rPr>
  </w:style>
  <w:style w:type="paragraph" w:customStyle="1" w:styleId="49">
    <w:name w:val="Аб 4 ур обычный текст"/>
    <w:basedOn w:val="a0"/>
    <w:link w:val="48"/>
    <w:qFormat/>
    <w:rsid w:val="00EC1A78"/>
    <w:pPr>
      <w:ind w:firstLine="425"/>
      <w:jc w:val="both"/>
    </w:pPr>
    <w:rPr>
      <w:rFonts w:eastAsia="SimSun"/>
      <w:sz w:val="24"/>
      <w:szCs w:val="24"/>
      <w:lang w:val="x-none" w:eastAsia="zh-CN"/>
    </w:rPr>
  </w:style>
  <w:style w:type="numbering" w:customStyle="1" w:styleId="270">
    <w:name w:val="Нет списка27"/>
    <w:next w:val="a3"/>
    <w:uiPriority w:val="99"/>
    <w:semiHidden/>
    <w:unhideWhenUsed/>
    <w:rsid w:val="000C1465"/>
  </w:style>
  <w:style w:type="numbering" w:customStyle="1" w:styleId="1100">
    <w:name w:val="Нет списка110"/>
    <w:next w:val="a3"/>
    <w:uiPriority w:val="99"/>
    <w:semiHidden/>
    <w:unhideWhenUsed/>
    <w:rsid w:val="000C1465"/>
  </w:style>
  <w:style w:type="table" w:customStyle="1" w:styleId="141">
    <w:name w:val="Сетка таблицы14"/>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0C1465"/>
  </w:style>
  <w:style w:type="numbering" w:customStyle="1" w:styleId="280">
    <w:name w:val="Нет списка28"/>
    <w:next w:val="a3"/>
    <w:uiPriority w:val="99"/>
    <w:semiHidden/>
    <w:unhideWhenUsed/>
    <w:rsid w:val="000C1465"/>
  </w:style>
  <w:style w:type="numbering" w:customStyle="1" w:styleId="3a">
    <w:name w:val="С числами3"/>
    <w:rsid w:val="000C1465"/>
  </w:style>
  <w:style w:type="numbering" w:customStyle="1" w:styleId="330">
    <w:name w:val="Нет списка33"/>
    <w:next w:val="a3"/>
    <w:uiPriority w:val="99"/>
    <w:semiHidden/>
    <w:unhideWhenUsed/>
    <w:rsid w:val="000C1465"/>
  </w:style>
  <w:style w:type="table" w:customStyle="1" w:styleId="231">
    <w:name w:val="Сетка таблицы23"/>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0C1465"/>
  </w:style>
  <w:style w:type="numbering" w:customStyle="1" w:styleId="52">
    <w:name w:val="Нет списка52"/>
    <w:next w:val="a3"/>
    <w:uiPriority w:val="99"/>
    <w:semiHidden/>
    <w:unhideWhenUsed/>
    <w:rsid w:val="000C1465"/>
  </w:style>
  <w:style w:type="numbering" w:customStyle="1" w:styleId="11120">
    <w:name w:val="Нет списка1112"/>
    <w:next w:val="a3"/>
    <w:uiPriority w:val="99"/>
    <w:semiHidden/>
    <w:unhideWhenUsed/>
    <w:rsid w:val="000C1465"/>
  </w:style>
  <w:style w:type="table" w:customStyle="1" w:styleId="321">
    <w:name w:val="Сетка таблицы32"/>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0C1465"/>
  </w:style>
  <w:style w:type="numbering" w:customStyle="1" w:styleId="212">
    <w:name w:val="Нет списка212"/>
    <w:next w:val="a3"/>
    <w:uiPriority w:val="99"/>
    <w:semiHidden/>
    <w:unhideWhenUsed/>
    <w:rsid w:val="000C1465"/>
  </w:style>
  <w:style w:type="numbering" w:customStyle="1" w:styleId="122">
    <w:name w:val="С числами12"/>
    <w:rsid w:val="000C1465"/>
  </w:style>
  <w:style w:type="numbering" w:customStyle="1" w:styleId="3120">
    <w:name w:val="Нет списка312"/>
    <w:next w:val="a3"/>
    <w:uiPriority w:val="99"/>
    <w:semiHidden/>
    <w:unhideWhenUsed/>
    <w:rsid w:val="000C1465"/>
  </w:style>
  <w:style w:type="table" w:customStyle="1" w:styleId="2120">
    <w:name w:val="Сетка таблицы212"/>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0C1465"/>
  </w:style>
  <w:style w:type="table" w:customStyle="1" w:styleId="421">
    <w:name w:val="Сетка таблицы4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0C1465"/>
  </w:style>
  <w:style w:type="table" w:customStyle="1" w:styleId="520">
    <w:name w:val="Сетка таблицы5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2"/>
    <w:next w:val="a3"/>
    <w:uiPriority w:val="99"/>
    <w:semiHidden/>
    <w:unhideWhenUsed/>
    <w:rsid w:val="000C1465"/>
  </w:style>
  <w:style w:type="table" w:customStyle="1" w:styleId="621">
    <w:name w:val="Сетка таблицы6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2"/>
    <w:next w:val="a3"/>
    <w:uiPriority w:val="99"/>
    <w:semiHidden/>
    <w:unhideWhenUsed/>
    <w:rsid w:val="000C1465"/>
  </w:style>
  <w:style w:type="table" w:customStyle="1" w:styleId="720">
    <w:name w:val="Сетка таблицы72"/>
    <w:basedOn w:val="a2"/>
    <w:next w:val="a7"/>
    <w:uiPriority w:val="59"/>
    <w:rsid w:val="000C1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0C1465"/>
  </w:style>
  <w:style w:type="table" w:customStyle="1" w:styleId="921">
    <w:name w:val="Сетка таблицы92"/>
    <w:basedOn w:val="a2"/>
    <w:next w:val="a7"/>
    <w:uiPriority w:val="99"/>
    <w:rsid w:val="000C14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2"/>
    <w:next w:val="a3"/>
    <w:uiPriority w:val="99"/>
    <w:semiHidden/>
    <w:unhideWhenUsed/>
    <w:rsid w:val="000C1465"/>
  </w:style>
  <w:style w:type="numbering" w:customStyle="1" w:styleId="1220">
    <w:name w:val="Нет списка122"/>
    <w:next w:val="a3"/>
    <w:uiPriority w:val="99"/>
    <w:semiHidden/>
    <w:unhideWhenUsed/>
    <w:rsid w:val="000C1465"/>
  </w:style>
  <w:style w:type="numbering" w:customStyle="1" w:styleId="02">
    <w:name w:val="С числами.02"/>
    <w:rsid w:val="000C1465"/>
  </w:style>
  <w:style w:type="table" w:customStyle="1" w:styleId="1020">
    <w:name w:val="Сетка таблицы10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0C1465"/>
  </w:style>
  <w:style w:type="numbering" w:customStyle="1" w:styleId="1410">
    <w:name w:val="Нет списка141"/>
    <w:next w:val="a3"/>
    <w:uiPriority w:val="99"/>
    <w:semiHidden/>
    <w:unhideWhenUsed/>
    <w:rsid w:val="000C1465"/>
  </w:style>
  <w:style w:type="table" w:customStyle="1" w:styleId="1211">
    <w:name w:val="Сетка таблицы121"/>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3"/>
    <w:uiPriority w:val="99"/>
    <w:semiHidden/>
    <w:unhideWhenUsed/>
    <w:rsid w:val="000C1465"/>
  </w:style>
  <w:style w:type="numbering" w:customStyle="1" w:styleId="2210">
    <w:name w:val="Нет списка221"/>
    <w:next w:val="a3"/>
    <w:uiPriority w:val="99"/>
    <w:semiHidden/>
    <w:unhideWhenUsed/>
    <w:rsid w:val="000C1465"/>
  </w:style>
  <w:style w:type="numbering" w:customStyle="1" w:styleId="213">
    <w:name w:val="С числами21"/>
    <w:rsid w:val="000C1465"/>
  </w:style>
  <w:style w:type="numbering" w:customStyle="1" w:styleId="3210">
    <w:name w:val="Нет списка321"/>
    <w:next w:val="a3"/>
    <w:uiPriority w:val="99"/>
    <w:semiHidden/>
    <w:unhideWhenUsed/>
    <w:rsid w:val="000C1465"/>
  </w:style>
  <w:style w:type="table" w:customStyle="1" w:styleId="2211">
    <w:name w:val="Сетка таблицы221"/>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0">
    <w:name w:val="Нет списка421"/>
    <w:next w:val="a3"/>
    <w:uiPriority w:val="99"/>
    <w:semiHidden/>
    <w:unhideWhenUsed/>
    <w:rsid w:val="000C1465"/>
  </w:style>
  <w:style w:type="numbering" w:customStyle="1" w:styleId="511">
    <w:name w:val="Нет списка511"/>
    <w:next w:val="a3"/>
    <w:uiPriority w:val="99"/>
    <w:semiHidden/>
    <w:unhideWhenUsed/>
    <w:rsid w:val="000C1465"/>
  </w:style>
  <w:style w:type="numbering" w:customStyle="1" w:styleId="111111">
    <w:name w:val="Нет списка111111"/>
    <w:next w:val="a3"/>
    <w:uiPriority w:val="99"/>
    <w:semiHidden/>
    <w:unhideWhenUsed/>
    <w:rsid w:val="000C1465"/>
  </w:style>
  <w:style w:type="table" w:customStyle="1" w:styleId="3111">
    <w:name w:val="Сетка таблицы311"/>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3"/>
    <w:uiPriority w:val="99"/>
    <w:semiHidden/>
    <w:unhideWhenUsed/>
    <w:rsid w:val="000C1465"/>
  </w:style>
  <w:style w:type="numbering" w:customStyle="1" w:styleId="21110">
    <w:name w:val="Нет списка2111"/>
    <w:next w:val="a3"/>
    <w:uiPriority w:val="99"/>
    <w:semiHidden/>
    <w:unhideWhenUsed/>
    <w:rsid w:val="000C1465"/>
  </w:style>
  <w:style w:type="numbering" w:customStyle="1" w:styleId="1113">
    <w:name w:val="С числами111"/>
    <w:rsid w:val="000C1465"/>
  </w:style>
  <w:style w:type="numbering" w:customStyle="1" w:styleId="31110">
    <w:name w:val="Нет списка3111"/>
    <w:next w:val="a3"/>
    <w:uiPriority w:val="99"/>
    <w:semiHidden/>
    <w:unhideWhenUsed/>
    <w:rsid w:val="000C1465"/>
  </w:style>
  <w:style w:type="table" w:customStyle="1" w:styleId="21111">
    <w:name w:val="Сетка таблицы2111"/>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
    <w:name w:val="Нет списка4111"/>
    <w:next w:val="a3"/>
    <w:uiPriority w:val="99"/>
    <w:semiHidden/>
    <w:unhideWhenUsed/>
    <w:rsid w:val="000C1465"/>
  </w:style>
  <w:style w:type="table" w:customStyle="1" w:styleId="4112">
    <w:name w:val="Сетка таблицы4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0C1465"/>
  </w:style>
  <w:style w:type="table" w:customStyle="1" w:styleId="5110">
    <w:name w:val="Сетка таблицы5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1"/>
    <w:next w:val="a3"/>
    <w:uiPriority w:val="99"/>
    <w:semiHidden/>
    <w:unhideWhenUsed/>
    <w:rsid w:val="000C1465"/>
  </w:style>
  <w:style w:type="table" w:customStyle="1" w:styleId="6111">
    <w:name w:val="Сетка таблицы6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1"/>
    <w:next w:val="a3"/>
    <w:uiPriority w:val="99"/>
    <w:semiHidden/>
    <w:unhideWhenUsed/>
    <w:rsid w:val="000C1465"/>
  </w:style>
  <w:style w:type="table" w:customStyle="1" w:styleId="7110">
    <w:name w:val="Сетка таблицы711"/>
    <w:basedOn w:val="a2"/>
    <w:next w:val="a7"/>
    <w:uiPriority w:val="59"/>
    <w:rsid w:val="000C1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0C1465"/>
  </w:style>
  <w:style w:type="table" w:customStyle="1" w:styleId="9111">
    <w:name w:val="Сетка таблицы911"/>
    <w:basedOn w:val="a2"/>
    <w:next w:val="a7"/>
    <w:uiPriority w:val="99"/>
    <w:rsid w:val="000C14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3"/>
    <w:uiPriority w:val="99"/>
    <w:semiHidden/>
    <w:unhideWhenUsed/>
    <w:rsid w:val="000C1465"/>
  </w:style>
  <w:style w:type="numbering" w:customStyle="1" w:styleId="12110">
    <w:name w:val="Нет списка1211"/>
    <w:next w:val="a3"/>
    <w:uiPriority w:val="99"/>
    <w:semiHidden/>
    <w:unhideWhenUsed/>
    <w:rsid w:val="000C1465"/>
  </w:style>
  <w:style w:type="numbering" w:customStyle="1" w:styleId="0110">
    <w:name w:val="С числами.011"/>
    <w:rsid w:val="000C1465"/>
  </w:style>
  <w:style w:type="table" w:customStyle="1" w:styleId="10111">
    <w:name w:val="Сетка таблицы10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0C1465"/>
  </w:style>
  <w:style w:type="numbering" w:customStyle="1" w:styleId="161">
    <w:name w:val="Нет списка161"/>
    <w:next w:val="a3"/>
    <w:uiPriority w:val="99"/>
    <w:semiHidden/>
    <w:unhideWhenUsed/>
    <w:rsid w:val="000C1465"/>
  </w:style>
  <w:style w:type="numbering" w:customStyle="1" w:styleId="171">
    <w:name w:val="Нет списка171"/>
    <w:next w:val="a3"/>
    <w:uiPriority w:val="99"/>
    <w:semiHidden/>
    <w:unhideWhenUsed/>
    <w:rsid w:val="000C1465"/>
  </w:style>
  <w:style w:type="numbering" w:customStyle="1" w:styleId="181">
    <w:name w:val="Нет списка181"/>
    <w:next w:val="a3"/>
    <w:uiPriority w:val="99"/>
    <w:semiHidden/>
    <w:unhideWhenUsed/>
    <w:rsid w:val="000C1465"/>
  </w:style>
  <w:style w:type="numbering" w:customStyle="1" w:styleId="191">
    <w:name w:val="Нет списка191"/>
    <w:next w:val="a3"/>
    <w:uiPriority w:val="99"/>
    <w:semiHidden/>
    <w:unhideWhenUsed/>
    <w:rsid w:val="000C1465"/>
  </w:style>
  <w:style w:type="numbering" w:customStyle="1" w:styleId="201">
    <w:name w:val="Нет списка201"/>
    <w:next w:val="a3"/>
    <w:uiPriority w:val="99"/>
    <w:semiHidden/>
    <w:unhideWhenUsed/>
    <w:rsid w:val="000C1465"/>
  </w:style>
  <w:style w:type="numbering" w:customStyle="1" w:styleId="2310">
    <w:name w:val="Нет списка231"/>
    <w:next w:val="a3"/>
    <w:uiPriority w:val="99"/>
    <w:semiHidden/>
    <w:unhideWhenUsed/>
    <w:rsid w:val="000C1465"/>
  </w:style>
  <w:style w:type="numbering" w:customStyle="1" w:styleId="241">
    <w:name w:val="Нет списка241"/>
    <w:next w:val="a3"/>
    <w:uiPriority w:val="99"/>
    <w:semiHidden/>
    <w:unhideWhenUsed/>
    <w:rsid w:val="000C1465"/>
  </w:style>
  <w:style w:type="numbering" w:customStyle="1" w:styleId="251">
    <w:name w:val="Нет списка251"/>
    <w:next w:val="a3"/>
    <w:uiPriority w:val="99"/>
    <w:semiHidden/>
    <w:unhideWhenUsed/>
    <w:rsid w:val="000C1465"/>
  </w:style>
  <w:style w:type="numbering" w:customStyle="1" w:styleId="261">
    <w:name w:val="Нет списка261"/>
    <w:next w:val="a3"/>
    <w:uiPriority w:val="99"/>
    <w:semiHidden/>
    <w:unhideWhenUsed/>
    <w:rsid w:val="000C1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lsdException w:name="Normal (Web)" w:uiPriority="99"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0">
    <w:name w:val="Normal"/>
    <w:qFormat/>
    <w:rsid w:val="00354555"/>
    <w:rPr>
      <w:sz w:val="28"/>
      <w:szCs w:val="28"/>
    </w:rPr>
  </w:style>
  <w:style w:type="paragraph" w:styleId="10">
    <w:name w:val="heading 1"/>
    <w:basedOn w:val="a0"/>
    <w:next w:val="a0"/>
    <w:link w:val="11"/>
    <w:uiPriority w:val="9"/>
    <w:qFormat/>
    <w:rsid w:val="005F36EF"/>
    <w:pPr>
      <w:keepNext/>
      <w:spacing w:before="240" w:after="60"/>
      <w:outlineLvl w:val="0"/>
    </w:pPr>
    <w:rPr>
      <w:rFonts w:ascii="Cambria" w:hAnsi="Cambria"/>
      <w:b/>
      <w:bCs/>
      <w:kern w:val="32"/>
      <w:sz w:val="32"/>
      <w:szCs w:val="32"/>
    </w:rPr>
  </w:style>
  <w:style w:type="paragraph" w:styleId="2">
    <w:name w:val="heading 2"/>
    <w:basedOn w:val="a0"/>
    <w:next w:val="a0"/>
    <w:link w:val="20"/>
    <w:uiPriority w:val="9"/>
    <w:unhideWhenUsed/>
    <w:qFormat/>
    <w:rsid w:val="00CF2B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868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unhideWhenUsed/>
    <w:qFormat/>
    <w:rsid w:val="00660D1F"/>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link w:val="60"/>
    <w:semiHidden/>
    <w:unhideWhenUsed/>
    <w:qFormat/>
    <w:rsid w:val="00451253"/>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0"/>
    <w:next w:val="a0"/>
    <w:link w:val="90"/>
    <w:semiHidden/>
    <w:unhideWhenUsed/>
    <w:qFormat/>
    <w:rsid w:val="004512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EB2CCF"/>
  </w:style>
  <w:style w:type="paragraph" w:styleId="a5">
    <w:name w:val="header"/>
    <w:basedOn w:val="a0"/>
    <w:link w:val="a6"/>
    <w:uiPriority w:val="99"/>
    <w:rsid w:val="00EB2CCF"/>
    <w:pPr>
      <w:tabs>
        <w:tab w:val="center" w:pos="4677"/>
        <w:tab w:val="right" w:pos="9355"/>
      </w:tabs>
    </w:pPr>
    <w:rPr>
      <w:sz w:val="24"/>
    </w:rPr>
  </w:style>
  <w:style w:type="table" w:styleId="a7">
    <w:name w:val="Table Grid"/>
    <w:basedOn w:val="a2"/>
    <w:uiPriority w:val="59"/>
    <w:rsid w:val="00EB2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0"/>
    <w:rsid w:val="007468EA"/>
    <w:pPr>
      <w:suppressAutoHyphens/>
      <w:jc w:val="center"/>
    </w:pPr>
    <w:rPr>
      <w:szCs w:val="20"/>
    </w:rPr>
  </w:style>
  <w:style w:type="character" w:customStyle="1" w:styleId="11">
    <w:name w:val="Заголовок 1 Знак"/>
    <w:link w:val="10"/>
    <w:uiPriority w:val="9"/>
    <w:rsid w:val="005F36EF"/>
    <w:rPr>
      <w:rFonts w:ascii="Cambria" w:eastAsia="Times New Roman" w:hAnsi="Cambria" w:cs="Times New Roman"/>
      <w:b/>
      <w:bCs/>
      <w:kern w:val="32"/>
      <w:sz w:val="32"/>
      <w:szCs w:val="32"/>
    </w:rPr>
  </w:style>
  <w:style w:type="paragraph" w:styleId="a8">
    <w:name w:val="footer"/>
    <w:basedOn w:val="a0"/>
    <w:link w:val="a9"/>
    <w:uiPriority w:val="99"/>
    <w:rsid w:val="005F36EF"/>
    <w:pPr>
      <w:tabs>
        <w:tab w:val="center" w:pos="4677"/>
        <w:tab w:val="right" w:pos="9355"/>
      </w:tabs>
    </w:pPr>
  </w:style>
  <w:style w:type="character" w:customStyle="1" w:styleId="a9">
    <w:name w:val="Нижний колонтитул Знак"/>
    <w:link w:val="a8"/>
    <w:uiPriority w:val="99"/>
    <w:rsid w:val="005F36EF"/>
    <w:rPr>
      <w:sz w:val="28"/>
      <w:szCs w:val="28"/>
    </w:rPr>
  </w:style>
  <w:style w:type="paragraph" w:customStyle="1" w:styleId="12">
    <w:name w:val="1 К_Заголовок статьи"/>
    <w:basedOn w:val="a0"/>
    <w:link w:val="13"/>
    <w:qFormat/>
    <w:rsid w:val="009F5871"/>
    <w:pPr>
      <w:widowControl w:val="0"/>
      <w:autoSpaceDE w:val="0"/>
      <w:autoSpaceDN w:val="0"/>
      <w:adjustRightInd w:val="0"/>
      <w:spacing w:before="240" w:after="120"/>
      <w:jc w:val="center"/>
    </w:pPr>
    <w:rPr>
      <w:b/>
      <w:sz w:val="22"/>
      <w:szCs w:val="20"/>
    </w:rPr>
  </w:style>
  <w:style w:type="paragraph" w:styleId="aa">
    <w:name w:val="List Paragraph"/>
    <w:basedOn w:val="a0"/>
    <w:link w:val="ab"/>
    <w:uiPriority w:val="34"/>
    <w:qFormat/>
    <w:rsid w:val="00B22913"/>
    <w:pPr>
      <w:ind w:left="720"/>
      <w:contextualSpacing/>
    </w:pPr>
  </w:style>
  <w:style w:type="character" w:customStyle="1" w:styleId="13">
    <w:name w:val="1 К_Заголовок статьи Знак"/>
    <w:basedOn w:val="a1"/>
    <w:link w:val="12"/>
    <w:rsid w:val="009F5871"/>
    <w:rPr>
      <w:b/>
      <w:sz w:val="22"/>
    </w:rPr>
  </w:style>
  <w:style w:type="paragraph" w:customStyle="1" w:styleId="22">
    <w:name w:val="2 К_Автор"/>
    <w:basedOn w:val="a0"/>
    <w:link w:val="23"/>
    <w:qFormat/>
    <w:rsid w:val="00B22913"/>
    <w:pPr>
      <w:widowControl w:val="0"/>
      <w:autoSpaceDE w:val="0"/>
      <w:autoSpaceDN w:val="0"/>
      <w:adjustRightInd w:val="0"/>
      <w:spacing w:after="240"/>
      <w:jc w:val="right"/>
    </w:pPr>
    <w:rPr>
      <w:sz w:val="20"/>
      <w:szCs w:val="20"/>
    </w:rPr>
  </w:style>
  <w:style w:type="paragraph" w:customStyle="1" w:styleId="31">
    <w:name w:val="3 К_обычный текст"/>
    <w:basedOn w:val="a0"/>
    <w:link w:val="32"/>
    <w:qFormat/>
    <w:rsid w:val="00B22913"/>
    <w:pPr>
      <w:ind w:firstLine="426"/>
      <w:jc w:val="both"/>
    </w:pPr>
    <w:rPr>
      <w:sz w:val="20"/>
      <w:szCs w:val="20"/>
    </w:rPr>
  </w:style>
  <w:style w:type="character" w:customStyle="1" w:styleId="23">
    <w:name w:val="2 К_Автор Знак"/>
    <w:basedOn w:val="a1"/>
    <w:link w:val="22"/>
    <w:rsid w:val="00B22913"/>
  </w:style>
  <w:style w:type="paragraph" w:customStyle="1" w:styleId="00">
    <w:name w:val="0 К_УДК"/>
    <w:basedOn w:val="a0"/>
    <w:link w:val="01"/>
    <w:qFormat/>
    <w:rsid w:val="00B22913"/>
    <w:pPr>
      <w:spacing w:after="240"/>
      <w:ind w:right="851"/>
    </w:pPr>
    <w:rPr>
      <w:sz w:val="20"/>
      <w:szCs w:val="24"/>
    </w:rPr>
  </w:style>
  <w:style w:type="character" w:customStyle="1" w:styleId="32">
    <w:name w:val="3 К_обычный текст Знак"/>
    <w:basedOn w:val="a1"/>
    <w:link w:val="31"/>
    <w:rsid w:val="00B22913"/>
  </w:style>
  <w:style w:type="paragraph" w:customStyle="1" w:styleId="40">
    <w:name w:val="4 К_Список"/>
    <w:basedOn w:val="a0"/>
    <w:link w:val="42"/>
    <w:qFormat/>
    <w:rsid w:val="00B22913"/>
    <w:pPr>
      <w:spacing w:before="120" w:after="60"/>
      <w:ind w:right="-17"/>
      <w:jc w:val="center"/>
    </w:pPr>
    <w:rPr>
      <w:sz w:val="20"/>
      <w:szCs w:val="20"/>
    </w:rPr>
  </w:style>
  <w:style w:type="character" w:customStyle="1" w:styleId="01">
    <w:name w:val="0 К_УДК Знак"/>
    <w:basedOn w:val="a1"/>
    <w:link w:val="00"/>
    <w:rsid w:val="00B22913"/>
    <w:rPr>
      <w:szCs w:val="24"/>
    </w:rPr>
  </w:style>
  <w:style w:type="paragraph" w:styleId="ac">
    <w:name w:val="Balloon Text"/>
    <w:basedOn w:val="a0"/>
    <w:link w:val="ad"/>
    <w:uiPriority w:val="99"/>
    <w:rsid w:val="008032A7"/>
    <w:rPr>
      <w:rFonts w:ascii="Arial" w:hAnsi="Arial" w:cs="Arial"/>
      <w:sz w:val="16"/>
      <w:szCs w:val="16"/>
    </w:rPr>
  </w:style>
  <w:style w:type="character" w:customStyle="1" w:styleId="42">
    <w:name w:val="4 К_Список Знак"/>
    <w:basedOn w:val="a1"/>
    <w:link w:val="40"/>
    <w:rsid w:val="00B22913"/>
  </w:style>
  <w:style w:type="character" w:customStyle="1" w:styleId="ad">
    <w:name w:val="Текст выноски Знак"/>
    <w:basedOn w:val="a1"/>
    <w:link w:val="ac"/>
    <w:uiPriority w:val="99"/>
    <w:rsid w:val="008032A7"/>
    <w:rPr>
      <w:rFonts w:ascii="Arial" w:hAnsi="Arial" w:cs="Arial"/>
      <w:sz w:val="16"/>
      <w:szCs w:val="16"/>
    </w:rPr>
  </w:style>
  <w:style w:type="character" w:styleId="ae">
    <w:name w:val="Hyperlink"/>
    <w:basedOn w:val="a1"/>
    <w:uiPriority w:val="99"/>
    <w:rsid w:val="008017FE"/>
    <w:rPr>
      <w:color w:val="0000FF" w:themeColor="hyperlink"/>
      <w:u w:val="single"/>
    </w:rPr>
  </w:style>
  <w:style w:type="paragraph" w:styleId="af">
    <w:name w:val="footnote text"/>
    <w:aliases w:val="-++,Текст сноски-FN,Footnote Text Char Знак Знак,Footnote Text Char Знак,Footnote Text Char Знак Знак Знак Знак"/>
    <w:basedOn w:val="a0"/>
    <w:link w:val="af0"/>
    <w:uiPriority w:val="99"/>
    <w:rsid w:val="009E7C74"/>
    <w:rPr>
      <w:sz w:val="20"/>
      <w:szCs w:val="20"/>
    </w:rPr>
  </w:style>
  <w:style w:type="character" w:customStyle="1" w:styleId="af0">
    <w:name w:val="Текст сноски Знак"/>
    <w:aliases w:val="-++ Знак1,Текст сноски-FN Знак1,Footnote Text Char Знак Знак Знак,Footnote Text Char Знак Знак1,Footnote Text Char Знак Знак Знак Знак Знак1"/>
    <w:basedOn w:val="a1"/>
    <w:link w:val="af"/>
    <w:uiPriority w:val="99"/>
    <w:rsid w:val="009E7C74"/>
  </w:style>
  <w:style w:type="character" w:styleId="af1">
    <w:name w:val="footnote reference"/>
    <w:aliases w:val="Знак сноски-FN,Ciae niinee-FN"/>
    <w:basedOn w:val="a1"/>
    <w:uiPriority w:val="99"/>
    <w:rsid w:val="009E7C74"/>
    <w:rPr>
      <w:vertAlign w:val="superscript"/>
    </w:rPr>
  </w:style>
  <w:style w:type="character" w:customStyle="1" w:styleId="14">
    <w:name w:val="Основной текст1"/>
    <w:basedOn w:val="a1"/>
    <w:rsid w:val="009E7C7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styleId="af2">
    <w:name w:val="endnote text"/>
    <w:basedOn w:val="a0"/>
    <w:link w:val="af3"/>
    <w:uiPriority w:val="99"/>
    <w:rsid w:val="00543506"/>
    <w:rPr>
      <w:sz w:val="20"/>
      <w:szCs w:val="20"/>
    </w:rPr>
  </w:style>
  <w:style w:type="character" w:customStyle="1" w:styleId="af3">
    <w:name w:val="Текст концевой сноски Знак"/>
    <w:basedOn w:val="a1"/>
    <w:link w:val="af2"/>
    <w:uiPriority w:val="99"/>
    <w:rsid w:val="00543506"/>
  </w:style>
  <w:style w:type="character" w:styleId="af4">
    <w:name w:val="endnote reference"/>
    <w:basedOn w:val="a1"/>
    <w:uiPriority w:val="99"/>
    <w:rsid w:val="00543506"/>
    <w:rPr>
      <w:vertAlign w:val="superscript"/>
    </w:rPr>
  </w:style>
  <w:style w:type="paragraph" w:styleId="af5">
    <w:name w:val="No Spacing"/>
    <w:link w:val="af6"/>
    <w:uiPriority w:val="1"/>
    <w:qFormat/>
    <w:rsid w:val="00A0079F"/>
    <w:rPr>
      <w:rFonts w:ascii="Calibri" w:eastAsia="Calibri" w:hAnsi="Calibri"/>
      <w:sz w:val="22"/>
      <w:szCs w:val="22"/>
      <w:lang w:eastAsia="en-US"/>
    </w:rPr>
  </w:style>
  <w:style w:type="paragraph" w:styleId="af7">
    <w:name w:val="Normal (Web)"/>
    <w:aliases w:val="Обычный (веб) Знак Знак Знак,Обычный (Web),Знак Знак,Обычный (веб)1,Обычный (веб) Знак1,Обычный (веб) Знак Знак,Знак1"/>
    <w:basedOn w:val="a0"/>
    <w:link w:val="af8"/>
    <w:uiPriority w:val="99"/>
    <w:unhideWhenUsed/>
    <w:qFormat/>
    <w:rsid w:val="004E7FE4"/>
    <w:pPr>
      <w:spacing w:before="100" w:beforeAutospacing="1" w:after="100" w:afterAutospacing="1"/>
    </w:pPr>
    <w:rPr>
      <w:rFonts w:ascii="Arial" w:hAnsi="Arial" w:cs="Arial"/>
      <w:color w:val="000000"/>
      <w:sz w:val="20"/>
      <w:szCs w:val="20"/>
    </w:rPr>
  </w:style>
  <w:style w:type="character" w:customStyle="1" w:styleId="af9">
    <w:name w:val="Основной текст_"/>
    <w:basedOn w:val="a1"/>
    <w:rsid w:val="00857C66"/>
    <w:rPr>
      <w:rFonts w:ascii="Times New Roman" w:eastAsia="Times New Roman" w:hAnsi="Times New Roman" w:cs="Times New Roman"/>
      <w:b/>
      <w:bCs/>
      <w:sz w:val="20"/>
      <w:szCs w:val="20"/>
      <w:shd w:val="clear" w:color="auto" w:fill="FFFFFF"/>
    </w:rPr>
  </w:style>
  <w:style w:type="character" w:customStyle="1" w:styleId="20">
    <w:name w:val="Заголовок 2 Знак"/>
    <w:basedOn w:val="a1"/>
    <w:link w:val="2"/>
    <w:uiPriority w:val="9"/>
    <w:rsid w:val="00CF2BA2"/>
    <w:rPr>
      <w:rFonts w:asciiTheme="majorHAnsi" w:eastAsiaTheme="majorEastAsia" w:hAnsiTheme="majorHAnsi" w:cstheme="majorBidi"/>
      <w:b/>
      <w:bCs/>
      <w:color w:val="4F81BD" w:themeColor="accent1"/>
      <w:sz w:val="26"/>
      <w:szCs w:val="26"/>
    </w:rPr>
  </w:style>
  <w:style w:type="character" w:styleId="HTML">
    <w:name w:val="HTML Cite"/>
    <w:basedOn w:val="a1"/>
    <w:uiPriority w:val="99"/>
    <w:unhideWhenUsed/>
    <w:rsid w:val="00C3174F"/>
    <w:rPr>
      <w:i/>
      <w:iCs/>
    </w:rPr>
  </w:style>
  <w:style w:type="character" w:customStyle="1" w:styleId="apple-converted-space">
    <w:name w:val="apple-converted-space"/>
    <w:basedOn w:val="a1"/>
    <w:rsid w:val="00C3174F"/>
  </w:style>
  <w:style w:type="character" w:customStyle="1" w:styleId="30">
    <w:name w:val="Заголовок 3 Знак"/>
    <w:basedOn w:val="a1"/>
    <w:link w:val="3"/>
    <w:rsid w:val="00186845"/>
    <w:rPr>
      <w:rFonts w:asciiTheme="majorHAnsi" w:eastAsiaTheme="majorEastAsia" w:hAnsiTheme="majorHAnsi" w:cstheme="majorBidi"/>
      <w:b/>
      <w:bCs/>
      <w:color w:val="4F81BD" w:themeColor="accent1"/>
      <w:sz w:val="28"/>
      <w:szCs w:val="28"/>
    </w:rPr>
  </w:style>
  <w:style w:type="character" w:styleId="afa">
    <w:name w:val="Strong"/>
    <w:basedOn w:val="a1"/>
    <w:uiPriority w:val="22"/>
    <w:qFormat/>
    <w:rsid w:val="00422534"/>
    <w:rPr>
      <w:b/>
      <w:bCs/>
    </w:rPr>
  </w:style>
  <w:style w:type="character" w:customStyle="1" w:styleId="15">
    <w:name w:val="Основной текст Знак1"/>
    <w:basedOn w:val="a1"/>
    <w:link w:val="afb"/>
    <w:uiPriority w:val="99"/>
    <w:rsid w:val="00631108"/>
    <w:rPr>
      <w:sz w:val="18"/>
      <w:szCs w:val="18"/>
      <w:shd w:val="clear" w:color="auto" w:fill="FFFFFF"/>
    </w:rPr>
  </w:style>
  <w:style w:type="character" w:customStyle="1" w:styleId="afc">
    <w:name w:val="Основной текст + Курсив"/>
    <w:basedOn w:val="15"/>
    <w:uiPriority w:val="99"/>
    <w:rsid w:val="00631108"/>
    <w:rPr>
      <w:i/>
      <w:iCs/>
      <w:sz w:val="18"/>
      <w:szCs w:val="18"/>
      <w:shd w:val="clear" w:color="auto" w:fill="FFFFFF"/>
    </w:rPr>
  </w:style>
  <w:style w:type="paragraph" w:styleId="afb">
    <w:name w:val="Body Text"/>
    <w:basedOn w:val="a0"/>
    <w:link w:val="15"/>
    <w:uiPriority w:val="99"/>
    <w:rsid w:val="00631108"/>
    <w:pPr>
      <w:widowControl w:val="0"/>
      <w:shd w:val="clear" w:color="auto" w:fill="FFFFFF"/>
      <w:spacing w:after="180" w:line="216" w:lineRule="exact"/>
      <w:jc w:val="both"/>
    </w:pPr>
    <w:rPr>
      <w:sz w:val="18"/>
      <w:szCs w:val="18"/>
    </w:rPr>
  </w:style>
  <w:style w:type="character" w:customStyle="1" w:styleId="afd">
    <w:name w:val="Основной текст Знак"/>
    <w:basedOn w:val="a1"/>
    <w:rsid w:val="00631108"/>
    <w:rPr>
      <w:sz w:val="28"/>
      <w:szCs w:val="28"/>
    </w:rPr>
  </w:style>
  <w:style w:type="paragraph" w:styleId="24">
    <w:name w:val="Body Text 2"/>
    <w:basedOn w:val="a0"/>
    <w:link w:val="25"/>
    <w:rsid w:val="00B86D70"/>
    <w:pPr>
      <w:spacing w:after="120" w:line="480" w:lineRule="auto"/>
    </w:pPr>
  </w:style>
  <w:style w:type="character" w:customStyle="1" w:styleId="25">
    <w:name w:val="Основной текст 2 Знак"/>
    <w:basedOn w:val="a1"/>
    <w:link w:val="24"/>
    <w:rsid w:val="00B86D70"/>
    <w:rPr>
      <w:sz w:val="28"/>
      <w:szCs w:val="28"/>
    </w:rPr>
  </w:style>
  <w:style w:type="paragraph" w:styleId="afe">
    <w:name w:val="Body Text Indent"/>
    <w:basedOn w:val="a0"/>
    <w:link w:val="aff"/>
    <w:uiPriority w:val="99"/>
    <w:rsid w:val="000F05EB"/>
    <w:pPr>
      <w:spacing w:after="120"/>
      <w:ind w:left="283"/>
    </w:pPr>
  </w:style>
  <w:style w:type="character" w:customStyle="1" w:styleId="aff">
    <w:name w:val="Основной текст с отступом Знак"/>
    <w:basedOn w:val="a1"/>
    <w:link w:val="afe"/>
    <w:uiPriority w:val="99"/>
    <w:rsid w:val="000F05EB"/>
    <w:rPr>
      <w:sz w:val="28"/>
      <w:szCs w:val="28"/>
    </w:rPr>
  </w:style>
  <w:style w:type="table" w:customStyle="1" w:styleId="16">
    <w:name w:val="Сетка таблицы1"/>
    <w:basedOn w:val="a2"/>
    <w:next w:val="a7"/>
    <w:uiPriority w:val="59"/>
    <w:rsid w:val="00593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1"/>
    <w:uiPriority w:val="99"/>
    <w:semiHidden/>
    <w:rsid w:val="00343E12"/>
    <w:rPr>
      <w:color w:val="808080"/>
    </w:rPr>
  </w:style>
  <w:style w:type="character" w:customStyle="1" w:styleId="af8">
    <w:name w:val="Обычный (веб) Знак"/>
    <w:aliases w:val="Обычный (веб) Знак Знак Знак Знак,Обычный (Web) Знак,Знак Знак Знак,Обычный (веб)1 Знак1,Обычный (веб) Знак1 Знак1,Обычный (веб) Знак Знак Знак1,Знак1 Знак1"/>
    <w:link w:val="af7"/>
    <w:uiPriority w:val="99"/>
    <w:locked/>
    <w:rsid w:val="008042E7"/>
    <w:rPr>
      <w:rFonts w:ascii="Arial" w:hAnsi="Arial" w:cs="Arial"/>
      <w:color w:val="000000"/>
    </w:rPr>
  </w:style>
  <w:style w:type="paragraph" w:customStyle="1" w:styleId="headertext">
    <w:name w:val="headertext"/>
    <w:basedOn w:val="a0"/>
    <w:rsid w:val="00514808"/>
    <w:pPr>
      <w:suppressAutoHyphens/>
      <w:autoSpaceDN w:val="0"/>
      <w:spacing w:before="28" w:after="100"/>
      <w:textAlignment w:val="baseline"/>
    </w:pPr>
    <w:rPr>
      <w:kern w:val="3"/>
      <w:sz w:val="24"/>
      <w:szCs w:val="24"/>
    </w:rPr>
  </w:style>
  <w:style w:type="character" w:customStyle="1" w:styleId="Bodytext482">
    <w:name w:val="Body text (4) + 82"/>
    <w:aliases w:val="5 pt2,Not Bold2"/>
    <w:uiPriority w:val="99"/>
    <w:rsid w:val="00514808"/>
    <w:rPr>
      <w:rFonts w:ascii="Times New Roman" w:hAnsi="Times New Roman" w:cs="Times New Roman"/>
      <w:b/>
      <w:bCs/>
      <w:spacing w:val="0"/>
      <w:sz w:val="17"/>
      <w:szCs w:val="17"/>
      <w:shd w:val="clear" w:color="auto" w:fill="FFFFFF"/>
    </w:rPr>
  </w:style>
  <w:style w:type="character" w:styleId="aff1">
    <w:name w:val="annotation reference"/>
    <w:uiPriority w:val="99"/>
    <w:unhideWhenUsed/>
    <w:rsid w:val="00F364B4"/>
    <w:rPr>
      <w:sz w:val="16"/>
      <w:szCs w:val="16"/>
    </w:rPr>
  </w:style>
  <w:style w:type="character" w:customStyle="1" w:styleId="60">
    <w:name w:val="Заголовок 6 Знак"/>
    <w:basedOn w:val="a1"/>
    <w:link w:val="6"/>
    <w:semiHidden/>
    <w:rsid w:val="00451253"/>
    <w:rPr>
      <w:rFonts w:asciiTheme="majorHAnsi" w:eastAsiaTheme="majorEastAsia" w:hAnsiTheme="majorHAnsi" w:cstheme="majorBidi"/>
      <w:i/>
      <w:iCs/>
      <w:color w:val="243F60" w:themeColor="accent1" w:themeShade="7F"/>
      <w:sz w:val="28"/>
      <w:szCs w:val="28"/>
    </w:rPr>
  </w:style>
  <w:style w:type="character" w:customStyle="1" w:styleId="90">
    <w:name w:val="Заголовок 9 Знак"/>
    <w:basedOn w:val="a1"/>
    <w:link w:val="9"/>
    <w:semiHidden/>
    <w:rsid w:val="00451253"/>
    <w:rPr>
      <w:rFonts w:asciiTheme="majorHAnsi" w:eastAsiaTheme="majorEastAsia" w:hAnsiTheme="majorHAnsi" w:cstheme="majorBidi"/>
      <w:i/>
      <w:iCs/>
      <w:color w:val="404040" w:themeColor="text1" w:themeTint="BF"/>
    </w:rPr>
  </w:style>
  <w:style w:type="character" w:customStyle="1" w:styleId="translation-chunk">
    <w:name w:val="translation-chunk"/>
    <w:rsid w:val="00451253"/>
  </w:style>
  <w:style w:type="paragraph" w:styleId="HTML0">
    <w:name w:val="HTML Preformatted"/>
    <w:basedOn w:val="a0"/>
    <w:link w:val="HTML1"/>
    <w:uiPriority w:val="99"/>
    <w:rsid w:val="00451253"/>
    <w:rPr>
      <w:rFonts w:ascii="Consolas" w:hAnsi="Consolas"/>
      <w:sz w:val="20"/>
      <w:szCs w:val="20"/>
    </w:rPr>
  </w:style>
  <w:style w:type="character" w:customStyle="1" w:styleId="HTML1">
    <w:name w:val="Стандартный HTML Знак"/>
    <w:basedOn w:val="a1"/>
    <w:link w:val="HTML0"/>
    <w:uiPriority w:val="99"/>
    <w:rsid w:val="00451253"/>
    <w:rPr>
      <w:rFonts w:ascii="Consolas" w:hAnsi="Consolas"/>
    </w:rPr>
  </w:style>
  <w:style w:type="character" w:customStyle="1" w:styleId="wwT13">
    <w:name w:val="wwT13"/>
    <w:rsid w:val="00451253"/>
    <w:rPr>
      <w:b w:val="0"/>
      <w:bCs w:val="0"/>
    </w:rPr>
  </w:style>
  <w:style w:type="character" w:customStyle="1" w:styleId="wwT4">
    <w:name w:val="wwT4"/>
    <w:rsid w:val="00451253"/>
    <w:rPr>
      <w:b w:val="0"/>
      <w:bCs w:val="0"/>
    </w:rPr>
  </w:style>
  <w:style w:type="paragraph" w:customStyle="1" w:styleId="wP6">
    <w:name w:val="wP6"/>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17">
    <w:name w:val="wP17"/>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39">
    <w:name w:val="wP39"/>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10">
    <w:name w:val="wwT10"/>
    <w:rsid w:val="00451253"/>
    <w:rPr>
      <w:b w:val="0"/>
      <w:bCs w:val="0"/>
    </w:rPr>
  </w:style>
  <w:style w:type="paragraph" w:customStyle="1" w:styleId="wP25">
    <w:name w:val="wP25"/>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23">
    <w:name w:val="wwT23"/>
    <w:rsid w:val="00451253"/>
    <w:rPr>
      <w:b w:val="0"/>
      <w:bCs w:val="0"/>
    </w:rPr>
  </w:style>
  <w:style w:type="paragraph" w:customStyle="1" w:styleId="wP32">
    <w:name w:val="wP32"/>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paragraph" w:customStyle="1" w:styleId="wP49">
    <w:name w:val="wP49"/>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wwT7">
    <w:name w:val="wwT7"/>
    <w:rsid w:val="00451253"/>
    <w:rPr>
      <w:b w:val="0"/>
      <w:bCs w:val="0"/>
    </w:rPr>
  </w:style>
  <w:style w:type="character" w:customStyle="1" w:styleId="wwT15">
    <w:name w:val="wwT15"/>
    <w:rsid w:val="00451253"/>
    <w:rPr>
      <w:b w:val="0"/>
      <w:bCs w:val="0"/>
    </w:rPr>
  </w:style>
  <w:style w:type="paragraph" w:customStyle="1" w:styleId="wP24">
    <w:name w:val="wP24"/>
    <w:basedOn w:val="a0"/>
    <w:rsid w:val="00451253"/>
    <w:pPr>
      <w:widowControl w:val="0"/>
      <w:tabs>
        <w:tab w:val="left" w:pos="0"/>
      </w:tabs>
      <w:suppressAutoHyphens/>
      <w:spacing w:line="360" w:lineRule="auto"/>
      <w:jc w:val="both"/>
    </w:pPr>
    <w:rPr>
      <w:rFonts w:eastAsia="Andale Sans UI" w:cs="Tahoma"/>
      <w:kern w:val="1"/>
      <w:sz w:val="24"/>
      <w:szCs w:val="24"/>
      <w:lang w:eastAsia="zh-CN" w:bidi="hi-IN"/>
    </w:rPr>
  </w:style>
  <w:style w:type="character" w:customStyle="1" w:styleId="hps">
    <w:name w:val="hps"/>
    <w:basedOn w:val="a1"/>
    <w:rsid w:val="00451253"/>
  </w:style>
  <w:style w:type="paragraph" w:customStyle="1" w:styleId="ParaAttribute1">
    <w:name w:val="ParaAttribute1"/>
    <w:rsid w:val="00451253"/>
    <w:pPr>
      <w:widowControl w:val="0"/>
      <w:jc w:val="both"/>
    </w:pPr>
    <w:rPr>
      <w:rFonts w:eastAsia="Batang"/>
    </w:rPr>
  </w:style>
  <w:style w:type="paragraph" w:customStyle="1" w:styleId="ParaAttribute6">
    <w:name w:val="ParaAttribute6"/>
    <w:rsid w:val="00451253"/>
    <w:pPr>
      <w:widowControl w:val="0"/>
      <w:jc w:val="center"/>
    </w:pPr>
    <w:rPr>
      <w:rFonts w:eastAsia="Batang"/>
    </w:rPr>
  </w:style>
  <w:style w:type="paragraph" w:customStyle="1" w:styleId="ParaAttribute7">
    <w:name w:val="ParaAttribute7"/>
    <w:rsid w:val="00451253"/>
    <w:pPr>
      <w:widowControl w:val="0"/>
      <w:jc w:val="right"/>
    </w:pPr>
    <w:rPr>
      <w:rFonts w:eastAsia="Batang"/>
    </w:rPr>
  </w:style>
  <w:style w:type="paragraph" w:customStyle="1" w:styleId="ParaAttribute15">
    <w:name w:val="ParaAttribute15"/>
    <w:rsid w:val="00451253"/>
    <w:pPr>
      <w:widowControl w:val="0"/>
      <w:ind w:left="100" w:firstLine="20"/>
      <w:jc w:val="both"/>
    </w:pPr>
    <w:rPr>
      <w:rFonts w:eastAsia="Batang"/>
    </w:rPr>
  </w:style>
  <w:style w:type="paragraph" w:customStyle="1" w:styleId="ParaAttribute18">
    <w:name w:val="ParaAttribute18"/>
    <w:rsid w:val="00451253"/>
    <w:pPr>
      <w:widowControl w:val="0"/>
      <w:ind w:left="100" w:firstLine="20"/>
      <w:jc w:val="center"/>
    </w:pPr>
    <w:rPr>
      <w:rFonts w:eastAsia="Batang"/>
    </w:rPr>
  </w:style>
  <w:style w:type="paragraph" w:customStyle="1" w:styleId="ParaAttribute23">
    <w:name w:val="ParaAttribute23"/>
    <w:rsid w:val="00451253"/>
    <w:pPr>
      <w:widowControl w:val="0"/>
      <w:ind w:left="40" w:firstLine="340"/>
      <w:jc w:val="both"/>
    </w:pPr>
    <w:rPr>
      <w:rFonts w:eastAsia="Batang"/>
    </w:rPr>
  </w:style>
  <w:style w:type="paragraph" w:customStyle="1" w:styleId="ParaAttribute25">
    <w:name w:val="ParaAttribute25"/>
    <w:rsid w:val="00451253"/>
    <w:pPr>
      <w:widowControl w:val="0"/>
      <w:ind w:firstLine="440"/>
      <w:jc w:val="both"/>
    </w:pPr>
    <w:rPr>
      <w:rFonts w:eastAsia="Batang"/>
    </w:rPr>
  </w:style>
  <w:style w:type="paragraph" w:customStyle="1" w:styleId="ParaAttribute28">
    <w:name w:val="ParaAttribute28"/>
    <w:rsid w:val="00451253"/>
    <w:pPr>
      <w:widowControl w:val="0"/>
      <w:jc w:val="both"/>
    </w:pPr>
    <w:rPr>
      <w:rFonts w:eastAsia="Batang"/>
    </w:rPr>
  </w:style>
  <w:style w:type="character" w:customStyle="1" w:styleId="CharAttribute11">
    <w:name w:val="CharAttribute11"/>
    <w:rsid w:val="00451253"/>
    <w:rPr>
      <w:rFonts w:ascii="Times New Roman" w:eastAsia="Times New Roman"/>
      <w:sz w:val="24"/>
    </w:rPr>
  </w:style>
  <w:style w:type="character" w:customStyle="1" w:styleId="CharAttribute12">
    <w:name w:val="CharAttribute12"/>
    <w:rsid w:val="00451253"/>
    <w:rPr>
      <w:rFonts w:ascii="Times New Roman" w:eastAsia="Times New Roman"/>
      <w:b/>
      <w:sz w:val="24"/>
    </w:rPr>
  </w:style>
  <w:style w:type="character" w:customStyle="1" w:styleId="CharAttribute13">
    <w:name w:val="CharAttribute13"/>
    <w:rsid w:val="00451253"/>
    <w:rPr>
      <w:rFonts w:ascii="Times New Roman" w:eastAsia="Times New Roman"/>
      <w:sz w:val="22"/>
    </w:rPr>
  </w:style>
  <w:style w:type="paragraph" w:customStyle="1" w:styleId="aff2">
    <w:name w:val="РАБОЧИЙ"/>
    <w:basedOn w:val="a0"/>
    <w:link w:val="aff3"/>
    <w:qFormat/>
    <w:rsid w:val="00451253"/>
    <w:pPr>
      <w:shd w:val="clear" w:color="auto" w:fill="FFFFFF"/>
      <w:spacing w:line="360" w:lineRule="auto"/>
      <w:ind w:firstLine="709"/>
      <w:jc w:val="both"/>
    </w:pPr>
    <w:rPr>
      <w:color w:val="000000"/>
      <w:lang w:eastAsia="en-US"/>
    </w:rPr>
  </w:style>
  <w:style w:type="character" w:customStyle="1" w:styleId="aff3">
    <w:name w:val="РАБОЧИЙ Знак"/>
    <w:basedOn w:val="a1"/>
    <w:link w:val="aff2"/>
    <w:rsid w:val="00451253"/>
    <w:rPr>
      <w:color w:val="000000"/>
      <w:sz w:val="28"/>
      <w:szCs w:val="28"/>
      <w:shd w:val="clear" w:color="auto" w:fill="FFFFFF"/>
      <w:lang w:eastAsia="en-US"/>
    </w:rPr>
  </w:style>
  <w:style w:type="character" w:customStyle="1" w:styleId="apple-style-span">
    <w:name w:val="apple-style-span"/>
    <w:basedOn w:val="a1"/>
    <w:uiPriority w:val="99"/>
    <w:rsid w:val="00451253"/>
  </w:style>
  <w:style w:type="paragraph" w:customStyle="1" w:styleId="aff4">
    <w:name w:val="Знак Знак Знак Знак"/>
    <w:basedOn w:val="a0"/>
    <w:rsid w:val="00451253"/>
    <w:pPr>
      <w:pageBreakBefore/>
      <w:spacing w:after="160" w:line="360" w:lineRule="auto"/>
    </w:pPr>
    <w:rPr>
      <w:lang w:val="en-US" w:eastAsia="en-US"/>
    </w:rPr>
  </w:style>
  <w:style w:type="paragraph" w:styleId="33">
    <w:name w:val="Body Text Indent 3"/>
    <w:basedOn w:val="a0"/>
    <w:link w:val="34"/>
    <w:uiPriority w:val="99"/>
    <w:rsid w:val="00451253"/>
    <w:pPr>
      <w:spacing w:after="120"/>
      <w:ind w:left="283"/>
    </w:pPr>
    <w:rPr>
      <w:sz w:val="16"/>
      <w:szCs w:val="16"/>
    </w:rPr>
  </w:style>
  <w:style w:type="character" w:customStyle="1" w:styleId="34">
    <w:name w:val="Основной текст с отступом 3 Знак"/>
    <w:basedOn w:val="a1"/>
    <w:link w:val="33"/>
    <w:uiPriority w:val="99"/>
    <w:rsid w:val="00451253"/>
    <w:rPr>
      <w:sz w:val="16"/>
      <w:szCs w:val="16"/>
    </w:rPr>
  </w:style>
  <w:style w:type="character" w:customStyle="1" w:styleId="FontStyle58">
    <w:name w:val="Font Style58"/>
    <w:rsid w:val="00451253"/>
    <w:rPr>
      <w:rFonts w:ascii="Times New Roman" w:hAnsi="Times New Roman" w:cs="Times New Roman"/>
      <w:sz w:val="38"/>
      <w:szCs w:val="38"/>
    </w:rPr>
  </w:style>
  <w:style w:type="paragraph" w:customStyle="1" w:styleId="aff5">
    <w:name w:val="АБ обычный текст"/>
    <w:basedOn w:val="a0"/>
    <w:link w:val="aff6"/>
    <w:qFormat/>
    <w:rsid w:val="00451253"/>
    <w:pPr>
      <w:shd w:val="clear" w:color="auto" w:fill="FFFFFF"/>
      <w:ind w:firstLine="426"/>
      <w:jc w:val="both"/>
    </w:pPr>
    <w:rPr>
      <w:color w:val="000000"/>
      <w:sz w:val="24"/>
    </w:rPr>
  </w:style>
  <w:style w:type="character" w:customStyle="1" w:styleId="aff6">
    <w:name w:val="АБ обычный текст Знак"/>
    <w:link w:val="aff5"/>
    <w:rsid w:val="00451253"/>
    <w:rPr>
      <w:color w:val="000000"/>
      <w:sz w:val="24"/>
      <w:szCs w:val="28"/>
      <w:shd w:val="clear" w:color="auto" w:fill="FFFFFF"/>
    </w:rPr>
  </w:style>
  <w:style w:type="character" w:customStyle="1" w:styleId="FontStyle11">
    <w:name w:val="Font Style11"/>
    <w:rsid w:val="00451253"/>
    <w:rPr>
      <w:rFonts w:ascii="Times New Roman" w:hAnsi="Times New Roman" w:cs="Times New Roman"/>
      <w:sz w:val="26"/>
      <w:szCs w:val="26"/>
    </w:rPr>
  </w:style>
  <w:style w:type="character" w:customStyle="1" w:styleId="field-items">
    <w:name w:val="field-items"/>
    <w:basedOn w:val="a1"/>
    <w:rsid w:val="00451253"/>
  </w:style>
  <w:style w:type="paragraph" w:styleId="26">
    <w:name w:val="Body Text Indent 2"/>
    <w:basedOn w:val="a0"/>
    <w:link w:val="27"/>
    <w:uiPriority w:val="99"/>
    <w:rsid w:val="00451253"/>
    <w:pPr>
      <w:spacing w:after="120" w:line="480" w:lineRule="auto"/>
      <w:ind w:left="283"/>
    </w:pPr>
  </w:style>
  <w:style w:type="character" w:customStyle="1" w:styleId="27">
    <w:name w:val="Основной текст с отступом 2 Знак"/>
    <w:basedOn w:val="a1"/>
    <w:link w:val="26"/>
    <w:uiPriority w:val="99"/>
    <w:rsid w:val="00451253"/>
    <w:rPr>
      <w:sz w:val="28"/>
      <w:szCs w:val="28"/>
    </w:rPr>
  </w:style>
  <w:style w:type="paragraph" w:customStyle="1" w:styleId="17">
    <w:name w:val="Абзац списка1"/>
    <w:basedOn w:val="a0"/>
    <w:uiPriority w:val="34"/>
    <w:qFormat/>
    <w:rsid w:val="00451253"/>
    <w:pPr>
      <w:spacing w:line="360" w:lineRule="auto"/>
      <w:ind w:left="720" w:firstLine="709"/>
      <w:jc w:val="both"/>
    </w:pPr>
    <w:rPr>
      <w:szCs w:val="22"/>
      <w:lang w:eastAsia="en-US"/>
    </w:rPr>
  </w:style>
  <w:style w:type="character" w:customStyle="1" w:styleId="28">
    <w:name w:val="Основной текст (2)_"/>
    <w:basedOn w:val="a1"/>
    <w:link w:val="29"/>
    <w:qFormat/>
    <w:locked/>
    <w:rsid w:val="00451253"/>
    <w:rPr>
      <w:sz w:val="19"/>
      <w:szCs w:val="19"/>
      <w:shd w:val="clear" w:color="auto" w:fill="FFFFFF"/>
      <w:lang w:val="en-US"/>
    </w:rPr>
  </w:style>
  <w:style w:type="paragraph" w:customStyle="1" w:styleId="29">
    <w:name w:val="Основной текст (2)"/>
    <w:basedOn w:val="a0"/>
    <w:link w:val="28"/>
    <w:rsid w:val="00451253"/>
    <w:pPr>
      <w:shd w:val="clear" w:color="auto" w:fill="FFFFFF"/>
      <w:spacing w:after="300" w:line="240" w:lineRule="atLeast"/>
    </w:pPr>
    <w:rPr>
      <w:sz w:val="19"/>
      <w:szCs w:val="19"/>
      <w:shd w:val="clear" w:color="auto" w:fill="FFFFFF"/>
      <w:lang w:val="en-US"/>
    </w:rPr>
  </w:style>
  <w:style w:type="character" w:customStyle="1" w:styleId="35">
    <w:name w:val="Основной текст (3)_"/>
    <w:basedOn w:val="a1"/>
    <w:link w:val="36"/>
    <w:locked/>
    <w:rsid w:val="00451253"/>
    <w:rPr>
      <w:sz w:val="19"/>
      <w:szCs w:val="19"/>
      <w:shd w:val="clear" w:color="auto" w:fill="FFFFFF"/>
    </w:rPr>
  </w:style>
  <w:style w:type="paragraph" w:customStyle="1" w:styleId="36">
    <w:name w:val="Основной текст (3)"/>
    <w:basedOn w:val="a0"/>
    <w:link w:val="35"/>
    <w:qFormat/>
    <w:rsid w:val="00451253"/>
    <w:pPr>
      <w:shd w:val="clear" w:color="auto" w:fill="FFFFFF"/>
      <w:spacing w:before="300" w:after="180" w:line="230" w:lineRule="exact"/>
    </w:pPr>
    <w:rPr>
      <w:sz w:val="19"/>
      <w:szCs w:val="19"/>
      <w:shd w:val="clear" w:color="auto" w:fill="FFFFFF"/>
    </w:rPr>
  </w:style>
  <w:style w:type="character" w:styleId="aff7">
    <w:name w:val="FollowedHyperlink"/>
    <w:basedOn w:val="a1"/>
    <w:uiPriority w:val="99"/>
    <w:unhideWhenUsed/>
    <w:rsid w:val="00451253"/>
    <w:rPr>
      <w:color w:val="800080" w:themeColor="followedHyperlink"/>
      <w:u w:val="single"/>
    </w:rPr>
  </w:style>
  <w:style w:type="character" w:customStyle="1" w:styleId="2a">
    <w:name w:val="Оглавление 2 Знак"/>
    <w:basedOn w:val="a1"/>
    <w:link w:val="2b"/>
    <w:uiPriority w:val="99"/>
    <w:locked/>
    <w:rsid w:val="00451253"/>
    <w:rPr>
      <w:shd w:val="clear" w:color="auto" w:fill="FFFFFF"/>
    </w:rPr>
  </w:style>
  <w:style w:type="paragraph" w:styleId="2b">
    <w:name w:val="toc 2"/>
    <w:basedOn w:val="a0"/>
    <w:next w:val="a0"/>
    <w:link w:val="2a"/>
    <w:autoRedefine/>
    <w:uiPriority w:val="99"/>
    <w:unhideWhenUsed/>
    <w:rsid w:val="00451253"/>
    <w:pPr>
      <w:shd w:val="clear" w:color="auto" w:fill="FFFFFF"/>
      <w:spacing w:line="226" w:lineRule="exact"/>
      <w:ind w:hanging="540"/>
    </w:pPr>
    <w:rPr>
      <w:sz w:val="20"/>
      <w:szCs w:val="20"/>
    </w:rPr>
  </w:style>
  <w:style w:type="character" w:customStyle="1" w:styleId="a6">
    <w:name w:val="Верхний колонтитул Знак"/>
    <w:basedOn w:val="a1"/>
    <w:link w:val="a5"/>
    <w:uiPriority w:val="99"/>
    <w:rsid w:val="00451253"/>
    <w:rPr>
      <w:sz w:val="24"/>
      <w:szCs w:val="28"/>
    </w:rPr>
  </w:style>
  <w:style w:type="paragraph" w:customStyle="1" w:styleId="Bodytext1">
    <w:name w:val="Body text1"/>
    <w:basedOn w:val="a0"/>
    <w:uiPriority w:val="99"/>
    <w:rsid w:val="00451253"/>
    <w:pPr>
      <w:widowControl w:val="0"/>
      <w:shd w:val="clear" w:color="auto" w:fill="FFFFFF"/>
      <w:spacing w:line="221" w:lineRule="exact"/>
      <w:jc w:val="both"/>
    </w:pPr>
    <w:rPr>
      <w:rFonts w:ascii="Arial" w:eastAsia="Arial" w:hAnsi="Arial" w:cs="Arial"/>
      <w:color w:val="000000"/>
      <w:sz w:val="20"/>
      <w:szCs w:val="20"/>
    </w:rPr>
  </w:style>
  <w:style w:type="paragraph" w:customStyle="1" w:styleId="ConsPlusNormal">
    <w:name w:val="ConsPlusNormal"/>
    <w:rsid w:val="00451253"/>
    <w:pPr>
      <w:autoSpaceDE w:val="0"/>
      <w:autoSpaceDN w:val="0"/>
      <w:adjustRightInd w:val="0"/>
    </w:pPr>
    <w:rPr>
      <w:rFonts w:ascii="Arial" w:eastAsiaTheme="minorHAnsi" w:hAnsi="Arial" w:cs="Arial"/>
      <w:lang w:eastAsia="en-US"/>
    </w:rPr>
  </w:style>
  <w:style w:type="character" w:customStyle="1" w:styleId="shorttext">
    <w:name w:val="short_text"/>
    <w:basedOn w:val="a1"/>
    <w:rsid w:val="00451253"/>
  </w:style>
  <w:style w:type="character" w:customStyle="1" w:styleId="Bodytext">
    <w:name w:val="Body text_"/>
    <w:rsid w:val="00451253"/>
    <w:rPr>
      <w:rFonts w:ascii="Georgia" w:eastAsia="Georgia" w:hAnsi="Georgia" w:cs="Georgia" w:hint="default"/>
      <w:sz w:val="16"/>
      <w:szCs w:val="16"/>
      <w:shd w:val="clear" w:color="auto" w:fill="FFFFFF"/>
    </w:rPr>
  </w:style>
  <w:style w:type="character" w:customStyle="1" w:styleId="BodytextItalic">
    <w:name w:val="Body text + Italic"/>
    <w:rsid w:val="0045125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aff8">
    <w:name w:val="Основной текст + Полужирный"/>
    <w:basedOn w:val="a1"/>
    <w:uiPriority w:val="99"/>
    <w:rsid w:val="00451253"/>
    <w:rPr>
      <w:rFonts w:ascii="Times New Roman" w:hAnsi="Times New Roman" w:cs="Times New Roman" w:hint="default"/>
      <w:b/>
      <w:bCs/>
      <w:sz w:val="20"/>
      <w:szCs w:val="20"/>
      <w:shd w:val="clear" w:color="auto" w:fill="FFFFFF"/>
    </w:rPr>
  </w:style>
  <w:style w:type="character" w:customStyle="1" w:styleId="18">
    <w:name w:val="Оглавление1"/>
    <w:basedOn w:val="2a"/>
    <w:uiPriority w:val="99"/>
    <w:rsid w:val="00451253"/>
    <w:rPr>
      <w:shd w:val="clear" w:color="auto" w:fill="FFFFFF"/>
    </w:rPr>
  </w:style>
  <w:style w:type="character" w:customStyle="1" w:styleId="0pt">
    <w:name w:val="Основной текст + Интервал 0 pt"/>
    <w:basedOn w:val="a1"/>
    <w:rsid w:val="00451253"/>
    <w:rPr>
      <w:rFonts w:ascii="Times New Roman" w:eastAsia="Times New Roman" w:hAnsi="Times New Roman" w:cs="Times New Roman" w:hint="default"/>
      <w:color w:val="000000"/>
      <w:spacing w:val="0"/>
      <w:w w:val="100"/>
      <w:position w:val="0"/>
      <w:sz w:val="19"/>
      <w:szCs w:val="19"/>
      <w:shd w:val="clear" w:color="auto" w:fill="FFFFFF"/>
      <w:lang w:val="ru-RU"/>
    </w:rPr>
  </w:style>
  <w:style w:type="paragraph" w:customStyle="1" w:styleId="220">
    <w:name w:val="Основной текст 22"/>
    <w:basedOn w:val="a0"/>
    <w:rsid w:val="00451253"/>
    <w:pPr>
      <w:ind w:firstLine="720"/>
      <w:jc w:val="both"/>
    </w:pPr>
    <w:rPr>
      <w:szCs w:val="20"/>
    </w:rPr>
  </w:style>
  <w:style w:type="paragraph" w:customStyle="1" w:styleId="Style143">
    <w:name w:val="Style143"/>
    <w:basedOn w:val="a0"/>
    <w:rsid w:val="00451253"/>
    <w:pPr>
      <w:widowControl w:val="0"/>
      <w:autoSpaceDE w:val="0"/>
      <w:autoSpaceDN w:val="0"/>
      <w:adjustRightInd w:val="0"/>
      <w:spacing w:line="442" w:lineRule="exact"/>
      <w:ind w:firstLine="737"/>
      <w:jc w:val="both"/>
    </w:pPr>
    <w:rPr>
      <w:rFonts w:ascii="Courier New" w:hAnsi="Courier New" w:cs="Courier New"/>
      <w:sz w:val="24"/>
      <w:szCs w:val="24"/>
    </w:rPr>
  </w:style>
  <w:style w:type="character" w:customStyle="1" w:styleId="FontStyle151">
    <w:name w:val="Font Style151"/>
    <w:basedOn w:val="a1"/>
    <w:rsid w:val="00451253"/>
    <w:rPr>
      <w:rFonts w:ascii="Courier New" w:hAnsi="Courier New" w:cs="Courier New" w:hint="default"/>
      <w:spacing w:val="10"/>
      <w:sz w:val="22"/>
      <w:szCs w:val="22"/>
    </w:rPr>
  </w:style>
  <w:style w:type="character" w:customStyle="1" w:styleId="2Exact">
    <w:name w:val="Основной текст (2) Exact"/>
    <w:uiPriority w:val="99"/>
    <w:rsid w:val="00451253"/>
    <w:rPr>
      <w:rFonts w:ascii="Times New Roman" w:eastAsia="Times New Roman" w:hAnsi="Times New Roman" w:cs="Times New Roman" w:hint="default"/>
      <w:b w:val="0"/>
      <w:bCs w:val="0"/>
      <w:i w:val="0"/>
      <w:iCs w:val="0"/>
      <w:smallCaps w:val="0"/>
      <w:strike w:val="0"/>
      <w:dstrike w:val="0"/>
      <w:spacing w:val="-4"/>
      <w:sz w:val="19"/>
      <w:szCs w:val="19"/>
      <w:u w:val="none"/>
      <w:effect w:val="none"/>
    </w:rPr>
  </w:style>
  <w:style w:type="paragraph" w:customStyle="1" w:styleId="cappar">
    <w:name w:val="cap_par"/>
    <w:basedOn w:val="a0"/>
    <w:rsid w:val="00451253"/>
    <w:pPr>
      <w:spacing w:before="100" w:beforeAutospacing="1" w:after="100" w:afterAutospacing="1"/>
    </w:pPr>
    <w:rPr>
      <w:sz w:val="24"/>
      <w:szCs w:val="24"/>
    </w:rPr>
  </w:style>
  <w:style w:type="paragraph" w:customStyle="1" w:styleId="010">
    <w:name w:val="Стиль 01 с отступом"/>
    <w:basedOn w:val="a0"/>
    <w:link w:val="011"/>
    <w:qFormat/>
    <w:rsid w:val="00451253"/>
    <w:pPr>
      <w:spacing w:line="276" w:lineRule="auto"/>
      <w:ind w:firstLine="425"/>
      <w:jc w:val="both"/>
    </w:pPr>
    <w:rPr>
      <w:rFonts w:eastAsia="Calibri"/>
      <w:lang w:eastAsia="en-US"/>
    </w:rPr>
  </w:style>
  <w:style w:type="character" w:customStyle="1" w:styleId="011">
    <w:name w:val="Стиль 01 с отступом Знак"/>
    <w:link w:val="010"/>
    <w:rsid w:val="00451253"/>
    <w:rPr>
      <w:rFonts w:eastAsia="Calibri"/>
      <w:sz w:val="28"/>
      <w:szCs w:val="28"/>
      <w:lang w:eastAsia="en-US"/>
    </w:rPr>
  </w:style>
  <w:style w:type="character" w:customStyle="1" w:styleId="noncited3">
    <w:name w:val="noncited3"/>
    <w:basedOn w:val="a1"/>
    <w:rsid w:val="00451253"/>
  </w:style>
  <w:style w:type="paragraph" w:styleId="aff9">
    <w:name w:val="Plain Text"/>
    <w:link w:val="affa"/>
    <w:uiPriority w:val="99"/>
    <w:unhideWhenUsed/>
    <w:rsid w:val="00451253"/>
    <w:rPr>
      <w:rFonts w:ascii="Helvetica" w:eastAsia="Arial Unicode MS" w:hAnsi="Arial Unicode MS" w:cs="Arial Unicode MS"/>
      <w:color w:val="000000"/>
      <w:sz w:val="22"/>
      <w:szCs w:val="22"/>
    </w:rPr>
  </w:style>
  <w:style w:type="character" w:customStyle="1" w:styleId="affa">
    <w:name w:val="Текст Знак"/>
    <w:basedOn w:val="a1"/>
    <w:link w:val="aff9"/>
    <w:uiPriority w:val="99"/>
    <w:rsid w:val="00451253"/>
    <w:rPr>
      <w:rFonts w:ascii="Helvetica" w:eastAsia="Arial Unicode MS" w:hAnsi="Arial Unicode MS" w:cs="Arial Unicode MS"/>
      <w:color w:val="000000"/>
      <w:sz w:val="22"/>
      <w:szCs w:val="22"/>
    </w:rPr>
  </w:style>
  <w:style w:type="character" w:styleId="affb">
    <w:name w:val="Emphasis"/>
    <w:basedOn w:val="a1"/>
    <w:uiPriority w:val="99"/>
    <w:qFormat/>
    <w:rsid w:val="00451253"/>
    <w:rPr>
      <w:i/>
      <w:iCs/>
    </w:rPr>
  </w:style>
  <w:style w:type="character" w:customStyle="1" w:styleId="af6">
    <w:name w:val="Без интервала Знак"/>
    <w:basedOn w:val="a1"/>
    <w:link w:val="af5"/>
    <w:uiPriority w:val="1"/>
    <w:rsid w:val="00451253"/>
    <w:rPr>
      <w:rFonts w:ascii="Calibri" w:eastAsia="Calibri" w:hAnsi="Calibri"/>
      <w:sz w:val="22"/>
      <w:szCs w:val="22"/>
      <w:lang w:eastAsia="en-US"/>
    </w:rPr>
  </w:style>
  <w:style w:type="character" w:customStyle="1" w:styleId="19">
    <w:name w:val="Заголовок №1_"/>
    <w:basedOn w:val="a1"/>
    <w:link w:val="1a"/>
    <w:rsid w:val="00451253"/>
    <w:rPr>
      <w:sz w:val="26"/>
      <w:szCs w:val="26"/>
      <w:shd w:val="clear" w:color="auto" w:fill="FFFFFF"/>
    </w:rPr>
  </w:style>
  <w:style w:type="paragraph" w:customStyle="1" w:styleId="1a">
    <w:name w:val="Заголовок №1"/>
    <w:basedOn w:val="a0"/>
    <w:link w:val="19"/>
    <w:rsid w:val="00451253"/>
    <w:pPr>
      <w:shd w:val="clear" w:color="auto" w:fill="FFFFFF"/>
      <w:spacing w:before="720" w:after="600" w:line="322" w:lineRule="exact"/>
      <w:ind w:hanging="420"/>
      <w:outlineLvl w:val="0"/>
    </w:pPr>
    <w:rPr>
      <w:sz w:val="26"/>
      <w:szCs w:val="26"/>
    </w:rPr>
  </w:style>
  <w:style w:type="character" w:customStyle="1" w:styleId="Spanlink">
    <w:name w:val="Span_link"/>
    <w:basedOn w:val="a1"/>
    <w:rsid w:val="00451253"/>
    <w:rPr>
      <w:color w:val="008200"/>
    </w:rPr>
  </w:style>
  <w:style w:type="character" w:customStyle="1" w:styleId="rvts6">
    <w:name w:val="rvts6"/>
    <w:rsid w:val="00451253"/>
  </w:style>
  <w:style w:type="paragraph" w:customStyle="1" w:styleId="p1">
    <w:name w:val="p1"/>
    <w:basedOn w:val="a0"/>
    <w:rsid w:val="00451253"/>
    <w:pPr>
      <w:spacing w:before="100" w:beforeAutospacing="1" w:after="100" w:afterAutospacing="1"/>
    </w:pPr>
    <w:rPr>
      <w:sz w:val="24"/>
      <w:szCs w:val="24"/>
    </w:rPr>
  </w:style>
  <w:style w:type="paragraph" w:customStyle="1" w:styleId="1b">
    <w:name w:val="Обычный1"/>
    <w:rsid w:val="00451253"/>
    <w:pPr>
      <w:spacing w:before="100" w:after="100"/>
    </w:pPr>
    <w:rPr>
      <w:snapToGrid w:val="0"/>
      <w:sz w:val="24"/>
    </w:rPr>
  </w:style>
  <w:style w:type="character" w:customStyle="1" w:styleId="blk6">
    <w:name w:val="blk6"/>
    <w:basedOn w:val="a1"/>
    <w:rsid w:val="00451253"/>
    <w:rPr>
      <w:vanish w:val="0"/>
      <w:webHidden w:val="0"/>
      <w:specVanish w:val="0"/>
    </w:rPr>
  </w:style>
  <w:style w:type="paragraph" w:styleId="2c">
    <w:name w:val="List 2"/>
    <w:basedOn w:val="a0"/>
    <w:unhideWhenUsed/>
    <w:rsid w:val="00451253"/>
    <w:pPr>
      <w:ind w:left="566" w:hanging="283"/>
      <w:contextualSpacing/>
    </w:pPr>
    <w:rPr>
      <w:sz w:val="20"/>
      <w:szCs w:val="20"/>
    </w:rPr>
  </w:style>
  <w:style w:type="paragraph" w:customStyle="1" w:styleId="Default">
    <w:name w:val="Default"/>
    <w:rsid w:val="00451253"/>
    <w:pPr>
      <w:autoSpaceDE w:val="0"/>
      <w:autoSpaceDN w:val="0"/>
      <w:adjustRightInd w:val="0"/>
    </w:pPr>
    <w:rPr>
      <w:color w:val="000000"/>
      <w:sz w:val="24"/>
      <w:szCs w:val="24"/>
    </w:rPr>
  </w:style>
  <w:style w:type="paragraph" w:customStyle="1" w:styleId="Standard">
    <w:name w:val="Standard"/>
    <w:rsid w:val="0045125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affc">
    <w:name w:val="Title"/>
    <w:basedOn w:val="a0"/>
    <w:next w:val="a0"/>
    <w:link w:val="affd"/>
    <w:uiPriority w:val="99"/>
    <w:qFormat/>
    <w:rsid w:val="002653A9"/>
    <w:pPr>
      <w:spacing w:before="240" w:after="60"/>
      <w:jc w:val="center"/>
      <w:outlineLvl w:val="0"/>
    </w:pPr>
    <w:rPr>
      <w:rFonts w:ascii="Cambria" w:hAnsi="Cambria"/>
      <w:b/>
      <w:bCs/>
      <w:kern w:val="28"/>
      <w:sz w:val="32"/>
      <w:szCs w:val="32"/>
    </w:rPr>
  </w:style>
  <w:style w:type="character" w:customStyle="1" w:styleId="affd">
    <w:name w:val="Название Знак"/>
    <w:basedOn w:val="a1"/>
    <w:link w:val="affc"/>
    <w:uiPriority w:val="99"/>
    <w:rsid w:val="002653A9"/>
    <w:rPr>
      <w:rFonts w:ascii="Cambria" w:hAnsi="Cambria"/>
      <w:b/>
      <w:bCs/>
      <w:kern w:val="28"/>
      <w:sz w:val="32"/>
      <w:szCs w:val="32"/>
    </w:rPr>
  </w:style>
  <w:style w:type="paragraph" w:customStyle="1" w:styleId="410">
    <w:name w:val="Заголовок 41"/>
    <w:basedOn w:val="a0"/>
    <w:next w:val="4"/>
    <w:link w:val="43"/>
    <w:uiPriority w:val="9"/>
    <w:semiHidden/>
    <w:unhideWhenUsed/>
    <w:qFormat/>
    <w:rsid w:val="00660D1F"/>
    <w:pPr>
      <w:keepNext/>
      <w:keepLines/>
      <w:widowControl w:val="0"/>
      <w:spacing w:before="200"/>
      <w:outlineLvl w:val="3"/>
    </w:pPr>
    <w:rPr>
      <w:rFonts w:ascii="Cambria" w:hAnsi="Cambria"/>
      <w:b/>
      <w:bCs/>
      <w:i/>
      <w:iCs/>
      <w:color w:val="4F81BD"/>
      <w:sz w:val="20"/>
      <w:szCs w:val="20"/>
    </w:rPr>
  </w:style>
  <w:style w:type="numbering" w:customStyle="1" w:styleId="1c">
    <w:name w:val="Нет списка1"/>
    <w:next w:val="a3"/>
    <w:uiPriority w:val="99"/>
    <w:semiHidden/>
    <w:unhideWhenUsed/>
    <w:rsid w:val="00660D1F"/>
  </w:style>
  <w:style w:type="character" w:customStyle="1" w:styleId="43">
    <w:name w:val="Заголовок 4 Знак"/>
    <w:basedOn w:val="a1"/>
    <w:link w:val="410"/>
    <w:uiPriority w:val="9"/>
    <w:rsid w:val="00660D1F"/>
    <w:rPr>
      <w:rFonts w:ascii="Cambria" w:eastAsia="Times New Roman" w:hAnsi="Cambria" w:cs="Times New Roman"/>
      <w:b/>
      <w:bCs/>
      <w:i/>
      <w:iCs/>
      <w:color w:val="4F81BD"/>
    </w:rPr>
  </w:style>
  <w:style w:type="character" w:customStyle="1" w:styleId="99pt">
    <w:name w:val="Основной текст (9) + 9 pt"/>
    <w:basedOn w:val="a1"/>
    <w:rsid w:val="00660D1F"/>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alt-edited">
    <w:name w:val="alt-edited"/>
    <w:basedOn w:val="a1"/>
    <w:rsid w:val="00660D1F"/>
  </w:style>
  <w:style w:type="character" w:customStyle="1" w:styleId="41">
    <w:name w:val="Заголовок 4 Знак1"/>
    <w:basedOn w:val="a1"/>
    <w:link w:val="4"/>
    <w:uiPriority w:val="9"/>
    <w:rsid w:val="00660D1F"/>
    <w:rPr>
      <w:rFonts w:asciiTheme="majorHAnsi" w:eastAsiaTheme="majorEastAsia" w:hAnsiTheme="majorHAnsi" w:cstheme="majorBidi"/>
      <w:b/>
      <w:bCs/>
      <w:i/>
      <w:iCs/>
      <w:color w:val="4F81BD" w:themeColor="accent1"/>
      <w:sz w:val="28"/>
      <w:szCs w:val="28"/>
    </w:rPr>
  </w:style>
  <w:style w:type="paragraph" w:customStyle="1" w:styleId="affe">
    <w:name w:val="???????"/>
    <w:rsid w:val="008A2DA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0" w:lineRule="auto"/>
    </w:pPr>
    <w:rPr>
      <w:rFonts w:ascii="Arial" w:eastAsia="DejaVu Sans" w:hAnsi="Arial" w:cs="Liberation Sans"/>
      <w:color w:val="FFFFFF"/>
      <w:kern w:val="2"/>
      <w:sz w:val="36"/>
      <w:szCs w:val="24"/>
      <w:lang w:eastAsia="zh-CN" w:bidi="hi-IN"/>
    </w:rPr>
  </w:style>
  <w:style w:type="numbering" w:customStyle="1" w:styleId="2d">
    <w:name w:val="Нет списка2"/>
    <w:next w:val="a3"/>
    <w:uiPriority w:val="99"/>
    <w:semiHidden/>
    <w:unhideWhenUsed/>
    <w:rsid w:val="00125027"/>
  </w:style>
  <w:style w:type="paragraph" w:customStyle="1" w:styleId="310">
    <w:name w:val="Основной текст (3)1"/>
    <w:basedOn w:val="a0"/>
    <w:rsid w:val="00125027"/>
    <w:pPr>
      <w:widowControl w:val="0"/>
      <w:shd w:val="clear" w:color="auto" w:fill="FFFFFF"/>
      <w:spacing w:line="253" w:lineRule="exact"/>
      <w:jc w:val="both"/>
    </w:pPr>
    <w:rPr>
      <w:rFonts w:ascii="Arial" w:eastAsia="MS Mincho" w:hAnsi="Arial"/>
      <w:sz w:val="21"/>
      <w:szCs w:val="21"/>
      <w:shd w:val="clear" w:color="auto" w:fill="FFFFFF"/>
    </w:rPr>
  </w:style>
  <w:style w:type="character" w:customStyle="1" w:styleId="fontstyle18">
    <w:name w:val="fontstyle18"/>
    <w:rsid w:val="00125027"/>
  </w:style>
  <w:style w:type="paragraph" w:customStyle="1" w:styleId="44">
    <w:name w:val="А4_обычный"/>
    <w:rsid w:val="00125027"/>
    <w:pPr>
      <w:widowControl w:val="0"/>
      <w:ind w:firstLine="720"/>
      <w:jc w:val="both"/>
    </w:pPr>
    <w:rPr>
      <w:rFonts w:ascii="Bookman Old Style" w:hAnsi="Bookman Old Style"/>
      <w:sz w:val="26"/>
    </w:rPr>
  </w:style>
  <w:style w:type="numbering" w:customStyle="1" w:styleId="a">
    <w:name w:val="С числами"/>
    <w:rsid w:val="00686DF1"/>
    <w:pPr>
      <w:numPr>
        <w:numId w:val="2"/>
      </w:numPr>
    </w:pPr>
  </w:style>
  <w:style w:type="numbering" w:customStyle="1" w:styleId="37">
    <w:name w:val="Нет списка3"/>
    <w:next w:val="a3"/>
    <w:uiPriority w:val="99"/>
    <w:semiHidden/>
    <w:unhideWhenUsed/>
    <w:rsid w:val="00972FA6"/>
  </w:style>
  <w:style w:type="character" w:customStyle="1" w:styleId="word">
    <w:name w:val="word"/>
    <w:basedOn w:val="a1"/>
    <w:rsid w:val="00972FA6"/>
  </w:style>
  <w:style w:type="character" w:customStyle="1" w:styleId="FontStyle52">
    <w:name w:val="Font Style52"/>
    <w:basedOn w:val="a1"/>
    <w:uiPriority w:val="99"/>
    <w:rsid w:val="00972FA6"/>
    <w:rPr>
      <w:rFonts w:ascii="Times New Roman" w:hAnsi="Times New Roman" w:cs="Times New Roman" w:hint="default"/>
      <w:sz w:val="26"/>
      <w:szCs w:val="26"/>
    </w:rPr>
  </w:style>
  <w:style w:type="paragraph" w:customStyle="1" w:styleId="afff">
    <w:name w:val="диплом основной текст"/>
    <w:basedOn w:val="aff9"/>
    <w:rsid w:val="00972FA6"/>
    <w:rPr>
      <w:rFonts w:ascii="Consolas" w:eastAsia="Calibri" w:hAnsi="Consolas" w:cs="Consolas"/>
      <w:color w:val="auto"/>
      <w:sz w:val="21"/>
      <w:szCs w:val="21"/>
      <w:lang w:eastAsia="en-US"/>
    </w:rPr>
  </w:style>
  <w:style w:type="character" w:customStyle="1" w:styleId="FontStyle66">
    <w:name w:val="Font Style66"/>
    <w:uiPriority w:val="99"/>
    <w:rsid w:val="00972FA6"/>
    <w:rPr>
      <w:rFonts w:ascii="Times New Roman" w:hAnsi="Times New Roman" w:cs="Times New Roman"/>
      <w:b/>
      <w:bCs/>
      <w:sz w:val="20"/>
      <w:szCs w:val="20"/>
    </w:rPr>
  </w:style>
  <w:style w:type="character" w:customStyle="1" w:styleId="FontStyle53">
    <w:name w:val="Font Style53"/>
    <w:uiPriority w:val="99"/>
    <w:rsid w:val="00972FA6"/>
    <w:rPr>
      <w:rFonts w:ascii="Bookman Old Style" w:hAnsi="Bookman Old Style" w:cs="Bookman Old Style"/>
      <w:sz w:val="18"/>
      <w:szCs w:val="18"/>
    </w:rPr>
  </w:style>
  <w:style w:type="character" w:customStyle="1" w:styleId="FontStyle24">
    <w:name w:val="Font Style24"/>
    <w:uiPriority w:val="99"/>
    <w:rsid w:val="00972FA6"/>
    <w:rPr>
      <w:rFonts w:ascii="Microsoft Sans Serif" w:hAnsi="Microsoft Sans Serif" w:cs="Microsoft Sans Serif" w:hint="default"/>
      <w:sz w:val="16"/>
      <w:szCs w:val="16"/>
    </w:rPr>
  </w:style>
  <w:style w:type="paragraph" w:customStyle="1" w:styleId="1d">
    <w:name w:val="Стиль1"/>
    <w:basedOn w:val="a0"/>
    <w:link w:val="1e"/>
    <w:qFormat/>
    <w:rsid w:val="00972FA6"/>
    <w:pPr>
      <w:spacing w:line="240" w:lineRule="atLeast"/>
      <w:ind w:left="14" w:right="4"/>
      <w:jc w:val="both"/>
    </w:pPr>
    <w:rPr>
      <w:b/>
      <w:szCs w:val="20"/>
    </w:rPr>
  </w:style>
  <w:style w:type="paragraph" w:styleId="afff0">
    <w:name w:val="List Continue"/>
    <w:basedOn w:val="a0"/>
    <w:rsid w:val="00BC663C"/>
    <w:pPr>
      <w:spacing w:after="120"/>
      <w:ind w:left="283"/>
      <w:contextualSpacing/>
    </w:pPr>
  </w:style>
  <w:style w:type="table" w:customStyle="1" w:styleId="2e">
    <w:name w:val="Сетка таблицы2"/>
    <w:basedOn w:val="a2"/>
    <w:next w:val="a7"/>
    <w:uiPriority w:val="59"/>
    <w:rsid w:val="007C742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D90924"/>
  </w:style>
  <w:style w:type="paragraph" w:customStyle="1" w:styleId="msonormalbullet1gif">
    <w:name w:val="msonormalbullet1.gif"/>
    <w:basedOn w:val="a0"/>
    <w:uiPriority w:val="99"/>
    <w:semiHidden/>
    <w:rsid w:val="00D90924"/>
    <w:pPr>
      <w:spacing w:before="100" w:beforeAutospacing="1" w:after="100" w:afterAutospacing="1"/>
    </w:pPr>
    <w:rPr>
      <w:sz w:val="24"/>
      <w:szCs w:val="24"/>
    </w:rPr>
  </w:style>
  <w:style w:type="paragraph" w:customStyle="1" w:styleId="msonormalbullet2gif">
    <w:name w:val="msonormalbullet2.gif"/>
    <w:basedOn w:val="a0"/>
    <w:uiPriority w:val="99"/>
    <w:semiHidden/>
    <w:rsid w:val="00D90924"/>
    <w:pPr>
      <w:spacing w:before="100" w:beforeAutospacing="1" w:after="100" w:afterAutospacing="1"/>
    </w:pPr>
    <w:rPr>
      <w:sz w:val="24"/>
      <w:szCs w:val="24"/>
    </w:rPr>
  </w:style>
  <w:style w:type="numbering" w:customStyle="1" w:styleId="5">
    <w:name w:val="Нет списка5"/>
    <w:next w:val="a3"/>
    <w:uiPriority w:val="99"/>
    <w:semiHidden/>
    <w:unhideWhenUsed/>
    <w:rsid w:val="0045639C"/>
  </w:style>
  <w:style w:type="numbering" w:customStyle="1" w:styleId="110">
    <w:name w:val="Нет списка11"/>
    <w:next w:val="a3"/>
    <w:uiPriority w:val="99"/>
    <w:semiHidden/>
    <w:unhideWhenUsed/>
    <w:rsid w:val="0045639C"/>
  </w:style>
  <w:style w:type="table" w:customStyle="1" w:styleId="38">
    <w:name w:val="Сетка таблицы3"/>
    <w:basedOn w:val="a2"/>
    <w:next w:val="a7"/>
    <w:uiPriority w:val="59"/>
    <w:rsid w:val="004563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7"/>
    <w:uiPriority w:val="59"/>
    <w:rsid w:val="0045639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45639C"/>
  </w:style>
  <w:style w:type="numbering" w:customStyle="1" w:styleId="210">
    <w:name w:val="Нет списка21"/>
    <w:next w:val="a3"/>
    <w:uiPriority w:val="99"/>
    <w:semiHidden/>
    <w:unhideWhenUsed/>
    <w:rsid w:val="0045639C"/>
  </w:style>
  <w:style w:type="numbering" w:customStyle="1" w:styleId="1">
    <w:name w:val="С числами1"/>
    <w:rsid w:val="0045639C"/>
    <w:pPr>
      <w:numPr>
        <w:numId w:val="1"/>
      </w:numPr>
    </w:pPr>
  </w:style>
  <w:style w:type="numbering" w:customStyle="1" w:styleId="311">
    <w:name w:val="Нет списка31"/>
    <w:next w:val="a3"/>
    <w:uiPriority w:val="99"/>
    <w:semiHidden/>
    <w:unhideWhenUsed/>
    <w:rsid w:val="0045639C"/>
  </w:style>
  <w:style w:type="table" w:customStyle="1" w:styleId="211">
    <w:name w:val="Сетка таблицы21"/>
    <w:basedOn w:val="a2"/>
    <w:next w:val="a7"/>
    <w:uiPriority w:val="59"/>
    <w:rsid w:val="0045639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45639C"/>
  </w:style>
  <w:style w:type="table" w:customStyle="1" w:styleId="46">
    <w:name w:val="Сетка таблицы4"/>
    <w:basedOn w:val="a2"/>
    <w:next w:val="a7"/>
    <w:uiPriority w:val="39"/>
    <w:rsid w:val="00453F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453F72"/>
  </w:style>
  <w:style w:type="table" w:customStyle="1" w:styleId="50">
    <w:name w:val="Сетка таблицы5"/>
    <w:basedOn w:val="a2"/>
    <w:next w:val="a7"/>
    <w:uiPriority w:val="59"/>
    <w:rsid w:val="004F54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3"/>
    <w:uiPriority w:val="99"/>
    <w:semiHidden/>
    <w:unhideWhenUsed/>
    <w:rsid w:val="004F5466"/>
  </w:style>
  <w:style w:type="table" w:customStyle="1" w:styleId="62">
    <w:name w:val="Сетка таблицы6"/>
    <w:basedOn w:val="a2"/>
    <w:next w:val="a7"/>
    <w:uiPriority w:val="59"/>
    <w:rsid w:val="004F54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0"/>
    <w:rsid w:val="004F5466"/>
    <w:pPr>
      <w:spacing w:before="100" w:beforeAutospacing="1" w:after="100" w:afterAutospacing="1"/>
    </w:pPr>
    <w:rPr>
      <w:sz w:val="24"/>
      <w:szCs w:val="24"/>
    </w:rPr>
  </w:style>
  <w:style w:type="character" w:customStyle="1" w:styleId="s1">
    <w:name w:val="s1"/>
    <w:basedOn w:val="a1"/>
    <w:rsid w:val="004F5466"/>
  </w:style>
  <w:style w:type="paragraph" w:customStyle="1" w:styleId="p3">
    <w:name w:val="p3"/>
    <w:basedOn w:val="a0"/>
    <w:rsid w:val="004F5466"/>
    <w:pPr>
      <w:spacing w:before="100" w:beforeAutospacing="1" w:after="100" w:afterAutospacing="1"/>
    </w:pPr>
    <w:rPr>
      <w:sz w:val="24"/>
      <w:szCs w:val="24"/>
    </w:rPr>
  </w:style>
  <w:style w:type="paragraph" w:customStyle="1" w:styleId="p4">
    <w:name w:val="p4"/>
    <w:basedOn w:val="a0"/>
    <w:rsid w:val="004F5466"/>
    <w:pPr>
      <w:spacing w:before="100" w:beforeAutospacing="1" w:after="100" w:afterAutospacing="1"/>
    </w:pPr>
    <w:rPr>
      <w:sz w:val="24"/>
      <w:szCs w:val="24"/>
    </w:rPr>
  </w:style>
  <w:style w:type="numbering" w:customStyle="1" w:styleId="8">
    <w:name w:val="Нет списка8"/>
    <w:next w:val="a3"/>
    <w:uiPriority w:val="99"/>
    <w:semiHidden/>
    <w:unhideWhenUsed/>
    <w:rsid w:val="007D0F07"/>
  </w:style>
  <w:style w:type="table" w:customStyle="1" w:styleId="70">
    <w:name w:val="Сетка таблицы7"/>
    <w:basedOn w:val="a2"/>
    <w:next w:val="a7"/>
    <w:uiPriority w:val="59"/>
    <w:rsid w:val="007D0F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1">
    <w:name w:val="Фамилии"/>
    <w:basedOn w:val="a0"/>
    <w:qFormat/>
    <w:rsid w:val="007D0F07"/>
    <w:pPr>
      <w:ind w:firstLine="709"/>
      <w:jc w:val="right"/>
    </w:pPr>
    <w:rPr>
      <w:rFonts w:eastAsia="Calibri"/>
      <w:sz w:val="22"/>
      <w:szCs w:val="22"/>
      <w:lang w:eastAsia="en-US"/>
    </w:rPr>
  </w:style>
  <w:style w:type="paragraph" w:customStyle="1" w:styleId="Style6">
    <w:name w:val="Style6"/>
    <w:basedOn w:val="a0"/>
    <w:uiPriority w:val="99"/>
    <w:rsid w:val="007D0F07"/>
    <w:pPr>
      <w:widowControl w:val="0"/>
      <w:autoSpaceDE w:val="0"/>
      <w:autoSpaceDN w:val="0"/>
      <w:adjustRightInd w:val="0"/>
      <w:spacing w:line="347" w:lineRule="exact"/>
      <w:ind w:firstLine="806"/>
      <w:jc w:val="both"/>
    </w:pPr>
    <w:rPr>
      <w:sz w:val="24"/>
      <w:szCs w:val="24"/>
    </w:rPr>
  </w:style>
  <w:style w:type="character" w:customStyle="1" w:styleId="year">
    <w:name w:val="year"/>
    <w:basedOn w:val="a1"/>
    <w:uiPriority w:val="99"/>
    <w:rsid w:val="007D0F07"/>
  </w:style>
  <w:style w:type="table" w:customStyle="1" w:styleId="80">
    <w:name w:val="Сетка таблицы8"/>
    <w:basedOn w:val="a2"/>
    <w:next w:val="a7"/>
    <w:uiPriority w:val="39"/>
    <w:rsid w:val="00D774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A008AF"/>
  </w:style>
  <w:style w:type="table" w:customStyle="1" w:styleId="92">
    <w:name w:val="Сетка таблицы9"/>
    <w:basedOn w:val="a2"/>
    <w:next w:val="a7"/>
    <w:uiPriority w:val="99"/>
    <w:rsid w:val="00A008A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TOC Heading"/>
    <w:basedOn w:val="10"/>
    <w:next w:val="a0"/>
    <w:uiPriority w:val="99"/>
    <w:qFormat/>
    <w:rsid w:val="00A008AF"/>
    <w:pPr>
      <w:keepLines/>
      <w:spacing w:before="480" w:after="0" w:line="276" w:lineRule="auto"/>
      <w:outlineLvl w:val="9"/>
    </w:pPr>
    <w:rPr>
      <w:color w:val="365F91"/>
      <w:kern w:val="0"/>
      <w:sz w:val="28"/>
      <w:szCs w:val="28"/>
      <w:lang w:eastAsia="en-US"/>
    </w:rPr>
  </w:style>
  <w:style w:type="paragraph" w:styleId="1f">
    <w:name w:val="toc 1"/>
    <w:basedOn w:val="a0"/>
    <w:next w:val="a0"/>
    <w:autoRedefine/>
    <w:uiPriority w:val="99"/>
    <w:rsid w:val="00A008AF"/>
    <w:pPr>
      <w:spacing w:after="200" w:line="276" w:lineRule="auto"/>
    </w:pPr>
    <w:rPr>
      <w:rFonts w:ascii="Calibri" w:hAnsi="Calibri"/>
      <w:sz w:val="22"/>
      <w:szCs w:val="22"/>
    </w:rPr>
  </w:style>
  <w:style w:type="paragraph" w:styleId="39">
    <w:name w:val="toc 3"/>
    <w:basedOn w:val="a0"/>
    <w:next w:val="a0"/>
    <w:autoRedefine/>
    <w:uiPriority w:val="99"/>
    <w:rsid w:val="00A008AF"/>
    <w:pPr>
      <w:spacing w:after="200" w:line="276" w:lineRule="auto"/>
      <w:ind w:left="440"/>
    </w:pPr>
    <w:rPr>
      <w:rFonts w:ascii="Calibri" w:hAnsi="Calibri"/>
      <w:sz w:val="22"/>
      <w:szCs w:val="22"/>
    </w:rPr>
  </w:style>
  <w:style w:type="character" w:customStyle="1" w:styleId="1f0">
    <w:name w:val="Текст сноски Знак1"/>
    <w:aliases w:val="-++ Знак,Текст сноски-FN Знак,Footnote Text Char Знак Знак Знак1,Footnote Text Char Знак Знак2,Текст сноски Знак Знак,Footnote Text Char Знак Знак Знак Знак Знак"/>
    <w:uiPriority w:val="99"/>
    <w:rsid w:val="00A008AF"/>
    <w:rPr>
      <w:lang w:val="ru-RU" w:eastAsia="ru-RU"/>
    </w:rPr>
  </w:style>
  <w:style w:type="character" w:customStyle="1" w:styleId="Char">
    <w:name w:val="Стандарт Char"/>
    <w:link w:val="afff3"/>
    <w:uiPriority w:val="99"/>
    <w:locked/>
    <w:rsid w:val="00A008AF"/>
    <w:rPr>
      <w:sz w:val="24"/>
    </w:rPr>
  </w:style>
  <w:style w:type="paragraph" w:customStyle="1" w:styleId="afff3">
    <w:name w:val="Стандарт"/>
    <w:basedOn w:val="a0"/>
    <w:link w:val="Char"/>
    <w:uiPriority w:val="99"/>
    <w:rsid w:val="00A008AF"/>
    <w:pPr>
      <w:widowControl w:val="0"/>
      <w:spacing w:line="360" w:lineRule="auto"/>
      <w:ind w:firstLine="709"/>
      <w:jc w:val="both"/>
    </w:pPr>
    <w:rPr>
      <w:sz w:val="24"/>
      <w:szCs w:val="20"/>
    </w:rPr>
  </w:style>
  <w:style w:type="paragraph" w:customStyle="1" w:styleId="1f1">
    <w:name w:val="Без интервала1"/>
    <w:aliases w:val="Сноски"/>
    <w:rsid w:val="00A008AF"/>
    <w:pPr>
      <w:jc w:val="both"/>
    </w:pPr>
    <w:rPr>
      <w:szCs w:val="22"/>
    </w:rPr>
  </w:style>
  <w:style w:type="paragraph" w:customStyle="1" w:styleId="h4">
    <w:name w:val="h4"/>
    <w:basedOn w:val="a0"/>
    <w:uiPriority w:val="99"/>
    <w:rsid w:val="00A008AF"/>
    <w:pPr>
      <w:spacing w:before="100" w:beforeAutospacing="1" w:after="100" w:afterAutospacing="1"/>
    </w:pPr>
    <w:rPr>
      <w:sz w:val="24"/>
      <w:szCs w:val="24"/>
    </w:rPr>
  </w:style>
  <w:style w:type="paragraph" w:customStyle="1" w:styleId="h5">
    <w:name w:val="h5"/>
    <w:basedOn w:val="a0"/>
    <w:uiPriority w:val="99"/>
    <w:rsid w:val="00A008AF"/>
    <w:pPr>
      <w:spacing w:before="100" w:beforeAutospacing="1" w:after="100" w:afterAutospacing="1"/>
    </w:pPr>
    <w:rPr>
      <w:sz w:val="24"/>
      <w:szCs w:val="24"/>
    </w:rPr>
  </w:style>
  <w:style w:type="character" w:customStyle="1" w:styleId="plagiat">
    <w:name w:val="plagiat"/>
    <w:uiPriority w:val="99"/>
    <w:rsid w:val="00A008AF"/>
  </w:style>
  <w:style w:type="character" w:customStyle="1" w:styleId="2f">
    <w:name w:val="Обычный (веб) Знак2"/>
    <w:aliases w:val="Обычный (веб)1 Знак,Обычный (веб) Знак Знак1,Обычный (веб) Знак1 Знак,Знак1 Знак"/>
    <w:uiPriority w:val="99"/>
    <w:rsid w:val="00A008AF"/>
    <w:rPr>
      <w:rFonts w:ascii="Times New Roman" w:hAnsi="Times New Roman"/>
      <w:sz w:val="24"/>
    </w:rPr>
  </w:style>
  <w:style w:type="paragraph" w:customStyle="1" w:styleId="afff4">
    <w:name w:val="Таблица"/>
    <w:basedOn w:val="a0"/>
    <w:uiPriority w:val="99"/>
    <w:rsid w:val="00A008AF"/>
    <w:pPr>
      <w:spacing w:after="200"/>
    </w:pPr>
    <w:rPr>
      <w:rFonts w:eastAsia="Calibri"/>
      <w:sz w:val="24"/>
      <w:szCs w:val="20"/>
    </w:rPr>
  </w:style>
  <w:style w:type="character" w:customStyle="1" w:styleId="2f0">
    <w:name w:val="Обычный2"/>
    <w:uiPriority w:val="99"/>
    <w:rsid w:val="00A008AF"/>
  </w:style>
  <w:style w:type="paragraph" w:styleId="afff5">
    <w:name w:val="Document Map"/>
    <w:basedOn w:val="a0"/>
    <w:link w:val="afff6"/>
    <w:uiPriority w:val="99"/>
    <w:unhideWhenUsed/>
    <w:rsid w:val="00A008AF"/>
    <w:rPr>
      <w:rFonts w:ascii="Tahoma" w:hAnsi="Tahoma" w:cs="Tahoma"/>
      <w:sz w:val="16"/>
      <w:szCs w:val="16"/>
    </w:rPr>
  </w:style>
  <w:style w:type="character" w:customStyle="1" w:styleId="afff6">
    <w:name w:val="Схема документа Знак"/>
    <w:basedOn w:val="a1"/>
    <w:link w:val="afff5"/>
    <w:uiPriority w:val="99"/>
    <w:rsid w:val="00A008AF"/>
    <w:rPr>
      <w:rFonts w:ascii="Tahoma" w:hAnsi="Tahoma" w:cs="Tahoma"/>
      <w:sz w:val="16"/>
      <w:szCs w:val="16"/>
    </w:rPr>
  </w:style>
  <w:style w:type="paragraph" w:customStyle="1" w:styleId="2f1">
    <w:name w:val="Абзац списка2"/>
    <w:basedOn w:val="a0"/>
    <w:rsid w:val="00A008AF"/>
    <w:pPr>
      <w:spacing w:after="200" w:line="276" w:lineRule="auto"/>
      <w:ind w:left="720"/>
    </w:pPr>
    <w:rPr>
      <w:rFonts w:ascii="Calibri" w:hAnsi="Calibri" w:cs="Calibri"/>
      <w:sz w:val="22"/>
      <w:szCs w:val="22"/>
      <w:lang w:eastAsia="en-US"/>
    </w:rPr>
  </w:style>
  <w:style w:type="paragraph" w:customStyle="1" w:styleId="msonormalcxspmiddle">
    <w:name w:val="msonormalcxspmiddle"/>
    <w:basedOn w:val="a0"/>
    <w:rsid w:val="00A008AF"/>
    <w:pPr>
      <w:spacing w:before="100" w:beforeAutospacing="1" w:after="100" w:afterAutospacing="1"/>
    </w:pPr>
    <w:rPr>
      <w:sz w:val="24"/>
      <w:szCs w:val="24"/>
    </w:rPr>
  </w:style>
  <w:style w:type="numbering" w:customStyle="1" w:styleId="100">
    <w:name w:val="Нет списка10"/>
    <w:next w:val="a3"/>
    <w:uiPriority w:val="99"/>
    <w:semiHidden/>
    <w:unhideWhenUsed/>
    <w:rsid w:val="00A008AF"/>
  </w:style>
  <w:style w:type="numbering" w:customStyle="1" w:styleId="120">
    <w:name w:val="Нет списка12"/>
    <w:next w:val="a3"/>
    <w:uiPriority w:val="99"/>
    <w:semiHidden/>
    <w:unhideWhenUsed/>
    <w:rsid w:val="00A008AF"/>
  </w:style>
  <w:style w:type="paragraph" w:styleId="afff7">
    <w:name w:val="Intense Quote"/>
    <w:basedOn w:val="a0"/>
    <w:next w:val="a0"/>
    <w:link w:val="afff8"/>
    <w:uiPriority w:val="30"/>
    <w:qFormat/>
    <w:rsid w:val="00A008AF"/>
    <w:pPr>
      <w:pBdr>
        <w:bottom w:val="single" w:sz="4" w:space="4" w:color="4F81BD"/>
      </w:pBdr>
      <w:spacing w:before="200" w:after="280" w:line="276" w:lineRule="auto"/>
      <w:ind w:left="936" w:right="936"/>
    </w:pPr>
    <w:rPr>
      <w:rFonts w:ascii="Calibri" w:eastAsia="Calibri" w:hAnsi="Calibri"/>
      <w:b/>
      <w:bCs/>
      <w:i/>
      <w:iCs/>
      <w:color w:val="4F81BD"/>
      <w:sz w:val="22"/>
      <w:szCs w:val="22"/>
      <w:lang w:val="x-none" w:eastAsia="en-US"/>
    </w:rPr>
  </w:style>
  <w:style w:type="character" w:customStyle="1" w:styleId="afff8">
    <w:name w:val="Выделенная цитата Знак"/>
    <w:basedOn w:val="a1"/>
    <w:link w:val="afff7"/>
    <w:uiPriority w:val="30"/>
    <w:rsid w:val="00A008AF"/>
    <w:rPr>
      <w:rFonts w:ascii="Calibri" w:eastAsia="Calibri" w:hAnsi="Calibri"/>
      <w:b/>
      <w:bCs/>
      <w:i/>
      <w:iCs/>
      <w:color w:val="4F81BD"/>
      <w:sz w:val="22"/>
      <w:szCs w:val="22"/>
      <w:lang w:val="x-none" w:eastAsia="en-US"/>
    </w:rPr>
  </w:style>
  <w:style w:type="numbering" w:customStyle="1" w:styleId="0">
    <w:name w:val="С числами.0"/>
    <w:rsid w:val="00F871A0"/>
    <w:pPr>
      <w:numPr>
        <w:numId w:val="3"/>
      </w:numPr>
    </w:pPr>
  </w:style>
  <w:style w:type="table" w:customStyle="1" w:styleId="101">
    <w:name w:val="Сетка таблицы10"/>
    <w:basedOn w:val="a2"/>
    <w:next w:val="a7"/>
    <w:uiPriority w:val="39"/>
    <w:rsid w:val="005807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о умолчанию"/>
    <w:rsid w:val="00772C4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130">
    <w:name w:val="Нет списка13"/>
    <w:next w:val="a3"/>
    <w:uiPriority w:val="99"/>
    <w:semiHidden/>
    <w:unhideWhenUsed/>
    <w:rsid w:val="006007EC"/>
  </w:style>
  <w:style w:type="numbering" w:customStyle="1" w:styleId="140">
    <w:name w:val="Нет списка14"/>
    <w:next w:val="a3"/>
    <w:uiPriority w:val="99"/>
    <w:semiHidden/>
    <w:unhideWhenUsed/>
    <w:rsid w:val="006007EC"/>
  </w:style>
  <w:style w:type="table" w:customStyle="1" w:styleId="121">
    <w:name w:val="Сетка таблицы12"/>
    <w:basedOn w:val="a2"/>
    <w:next w:val="a7"/>
    <w:uiPriority w:val="59"/>
    <w:rsid w:val="0060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6007EC"/>
  </w:style>
  <w:style w:type="numbering" w:customStyle="1" w:styleId="221">
    <w:name w:val="Нет списка22"/>
    <w:next w:val="a3"/>
    <w:uiPriority w:val="99"/>
    <w:semiHidden/>
    <w:unhideWhenUsed/>
    <w:rsid w:val="006007EC"/>
  </w:style>
  <w:style w:type="numbering" w:customStyle="1" w:styleId="2f2">
    <w:name w:val="С числами2"/>
    <w:rsid w:val="006007EC"/>
  </w:style>
  <w:style w:type="numbering" w:customStyle="1" w:styleId="320">
    <w:name w:val="Нет списка32"/>
    <w:next w:val="a3"/>
    <w:uiPriority w:val="99"/>
    <w:semiHidden/>
    <w:unhideWhenUsed/>
    <w:rsid w:val="006007EC"/>
  </w:style>
  <w:style w:type="table" w:customStyle="1" w:styleId="222">
    <w:name w:val="Сетка таблицы22"/>
    <w:basedOn w:val="a2"/>
    <w:next w:val="a7"/>
    <w:uiPriority w:val="59"/>
    <w:rsid w:val="006007E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3"/>
    <w:uiPriority w:val="99"/>
    <w:semiHidden/>
    <w:unhideWhenUsed/>
    <w:rsid w:val="006007EC"/>
  </w:style>
  <w:style w:type="numbering" w:customStyle="1" w:styleId="51">
    <w:name w:val="Нет списка51"/>
    <w:next w:val="a3"/>
    <w:uiPriority w:val="99"/>
    <w:semiHidden/>
    <w:unhideWhenUsed/>
    <w:rsid w:val="006007EC"/>
  </w:style>
  <w:style w:type="numbering" w:customStyle="1" w:styleId="1111">
    <w:name w:val="Нет списка1111"/>
    <w:next w:val="a3"/>
    <w:uiPriority w:val="99"/>
    <w:semiHidden/>
    <w:unhideWhenUsed/>
    <w:rsid w:val="006007EC"/>
  </w:style>
  <w:style w:type="table" w:customStyle="1" w:styleId="312">
    <w:name w:val="Сетка таблицы31"/>
    <w:basedOn w:val="a2"/>
    <w:next w:val="a7"/>
    <w:uiPriority w:val="59"/>
    <w:rsid w:val="0060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6007EC"/>
  </w:style>
  <w:style w:type="numbering" w:customStyle="1" w:styleId="2110">
    <w:name w:val="Нет списка211"/>
    <w:next w:val="a3"/>
    <w:uiPriority w:val="99"/>
    <w:semiHidden/>
    <w:unhideWhenUsed/>
    <w:rsid w:val="006007EC"/>
  </w:style>
  <w:style w:type="numbering" w:customStyle="1" w:styleId="113">
    <w:name w:val="С числами11"/>
    <w:rsid w:val="006007EC"/>
  </w:style>
  <w:style w:type="numbering" w:customStyle="1" w:styleId="3110">
    <w:name w:val="Нет списка311"/>
    <w:next w:val="a3"/>
    <w:uiPriority w:val="99"/>
    <w:semiHidden/>
    <w:unhideWhenUsed/>
    <w:rsid w:val="006007EC"/>
  </w:style>
  <w:style w:type="table" w:customStyle="1" w:styleId="2111">
    <w:name w:val="Сетка таблицы211"/>
    <w:basedOn w:val="a2"/>
    <w:next w:val="a7"/>
    <w:uiPriority w:val="59"/>
    <w:rsid w:val="006007E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6007EC"/>
  </w:style>
  <w:style w:type="table" w:customStyle="1" w:styleId="412">
    <w:name w:val="Сетка таблицы4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6007EC"/>
  </w:style>
  <w:style w:type="table" w:customStyle="1" w:styleId="510">
    <w:name w:val="Сетка таблицы5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1"/>
    <w:next w:val="a3"/>
    <w:uiPriority w:val="99"/>
    <w:semiHidden/>
    <w:unhideWhenUsed/>
    <w:rsid w:val="006007EC"/>
  </w:style>
  <w:style w:type="table" w:customStyle="1" w:styleId="611">
    <w:name w:val="Сетка таблицы61"/>
    <w:basedOn w:val="a2"/>
    <w:next w:val="a7"/>
    <w:uiPriority w:val="59"/>
    <w:rsid w:val="006007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1"/>
    <w:next w:val="a3"/>
    <w:uiPriority w:val="99"/>
    <w:semiHidden/>
    <w:unhideWhenUsed/>
    <w:rsid w:val="006007EC"/>
  </w:style>
  <w:style w:type="table" w:customStyle="1" w:styleId="710">
    <w:name w:val="Сетка таблицы71"/>
    <w:basedOn w:val="a2"/>
    <w:next w:val="a7"/>
    <w:uiPriority w:val="59"/>
    <w:rsid w:val="006007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6007EC"/>
  </w:style>
  <w:style w:type="table" w:customStyle="1" w:styleId="911">
    <w:name w:val="Сетка таблицы91"/>
    <w:basedOn w:val="a2"/>
    <w:next w:val="a7"/>
    <w:uiPriority w:val="99"/>
    <w:rsid w:val="006007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3"/>
    <w:uiPriority w:val="99"/>
    <w:semiHidden/>
    <w:unhideWhenUsed/>
    <w:rsid w:val="006007EC"/>
  </w:style>
  <w:style w:type="numbering" w:customStyle="1" w:styleId="1210">
    <w:name w:val="Нет списка121"/>
    <w:next w:val="a3"/>
    <w:uiPriority w:val="99"/>
    <w:semiHidden/>
    <w:unhideWhenUsed/>
    <w:rsid w:val="006007EC"/>
  </w:style>
  <w:style w:type="numbering" w:customStyle="1" w:styleId="012">
    <w:name w:val="С числами.01"/>
    <w:rsid w:val="006007EC"/>
  </w:style>
  <w:style w:type="table" w:customStyle="1" w:styleId="1011">
    <w:name w:val="Сетка таблицы101"/>
    <w:basedOn w:val="a2"/>
    <w:next w:val="a7"/>
    <w:uiPriority w:val="39"/>
    <w:rsid w:val="006007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742E9"/>
  </w:style>
  <w:style w:type="numbering" w:customStyle="1" w:styleId="160">
    <w:name w:val="Нет списка16"/>
    <w:next w:val="a3"/>
    <w:uiPriority w:val="99"/>
    <w:semiHidden/>
    <w:unhideWhenUsed/>
    <w:rsid w:val="008742E9"/>
  </w:style>
  <w:style w:type="numbering" w:customStyle="1" w:styleId="170">
    <w:name w:val="Нет списка17"/>
    <w:next w:val="a3"/>
    <w:uiPriority w:val="99"/>
    <w:semiHidden/>
    <w:unhideWhenUsed/>
    <w:rsid w:val="008742E9"/>
  </w:style>
  <w:style w:type="character" w:customStyle="1" w:styleId="bigtext">
    <w:name w:val="bigtext"/>
    <w:basedOn w:val="a1"/>
    <w:rsid w:val="008742E9"/>
  </w:style>
  <w:style w:type="numbering" w:customStyle="1" w:styleId="180">
    <w:name w:val="Нет списка18"/>
    <w:next w:val="a3"/>
    <w:uiPriority w:val="99"/>
    <w:semiHidden/>
    <w:unhideWhenUsed/>
    <w:rsid w:val="00281602"/>
  </w:style>
  <w:style w:type="character" w:customStyle="1" w:styleId="UnresolvedMention">
    <w:name w:val="Unresolved Mention"/>
    <w:basedOn w:val="a1"/>
    <w:uiPriority w:val="99"/>
    <w:semiHidden/>
    <w:unhideWhenUsed/>
    <w:rsid w:val="00281602"/>
    <w:rPr>
      <w:color w:val="808080"/>
      <w:shd w:val="clear" w:color="auto" w:fill="E6E6E6"/>
    </w:rPr>
  </w:style>
  <w:style w:type="numbering" w:customStyle="1" w:styleId="190">
    <w:name w:val="Нет списка19"/>
    <w:next w:val="a3"/>
    <w:uiPriority w:val="99"/>
    <w:semiHidden/>
    <w:unhideWhenUsed/>
    <w:rsid w:val="00281602"/>
  </w:style>
  <w:style w:type="character" w:customStyle="1" w:styleId="Bodytext2">
    <w:name w:val="Body text (2)_"/>
    <w:basedOn w:val="a1"/>
    <w:link w:val="Bodytext20"/>
    <w:rsid w:val="00281602"/>
    <w:rPr>
      <w:i/>
      <w:iCs/>
      <w:shd w:val="clear" w:color="auto" w:fill="FFFFFF"/>
    </w:rPr>
  </w:style>
  <w:style w:type="paragraph" w:customStyle="1" w:styleId="Bodytext20">
    <w:name w:val="Body text (2)"/>
    <w:basedOn w:val="a0"/>
    <w:link w:val="Bodytext2"/>
    <w:rsid w:val="00281602"/>
    <w:pPr>
      <w:widowControl w:val="0"/>
      <w:shd w:val="clear" w:color="auto" w:fill="FFFFFF"/>
      <w:spacing w:before="240" w:line="288" w:lineRule="exact"/>
      <w:jc w:val="both"/>
    </w:pPr>
    <w:rPr>
      <w:i/>
      <w:iCs/>
      <w:sz w:val="20"/>
      <w:szCs w:val="20"/>
    </w:rPr>
  </w:style>
  <w:style w:type="character" w:customStyle="1" w:styleId="1e">
    <w:name w:val="Стиль1 Знак"/>
    <w:basedOn w:val="a1"/>
    <w:link w:val="1d"/>
    <w:rsid w:val="00281602"/>
    <w:rPr>
      <w:b/>
      <w:sz w:val="28"/>
    </w:rPr>
  </w:style>
  <w:style w:type="paragraph" w:customStyle="1" w:styleId="1f2">
    <w:name w:val="Название объекта1"/>
    <w:basedOn w:val="a0"/>
    <w:next w:val="a0"/>
    <w:uiPriority w:val="35"/>
    <w:unhideWhenUsed/>
    <w:qFormat/>
    <w:rsid w:val="00281602"/>
    <w:pPr>
      <w:spacing w:after="200"/>
    </w:pPr>
    <w:rPr>
      <w:rFonts w:ascii="Calibri" w:eastAsia="Calibri" w:hAnsi="Calibri"/>
      <w:i/>
      <w:iCs/>
      <w:color w:val="44546A"/>
      <w:sz w:val="18"/>
      <w:szCs w:val="18"/>
      <w:lang w:eastAsia="en-US"/>
    </w:rPr>
  </w:style>
  <w:style w:type="character" w:customStyle="1" w:styleId="ab">
    <w:name w:val="Абзац списка Знак"/>
    <w:link w:val="aa"/>
    <w:uiPriority w:val="34"/>
    <w:locked/>
    <w:rsid w:val="00281602"/>
    <w:rPr>
      <w:sz w:val="28"/>
      <w:szCs w:val="28"/>
    </w:rPr>
  </w:style>
  <w:style w:type="numbering" w:customStyle="1" w:styleId="200">
    <w:name w:val="Нет списка20"/>
    <w:next w:val="a3"/>
    <w:uiPriority w:val="99"/>
    <w:semiHidden/>
    <w:unhideWhenUsed/>
    <w:rsid w:val="00787EA7"/>
  </w:style>
  <w:style w:type="character" w:customStyle="1" w:styleId="Bodytext2Italic">
    <w:name w:val="Body text (2) + Italic"/>
    <w:basedOn w:val="Bodytext2"/>
    <w:rsid w:val="00787EA7"/>
    <w:rPr>
      <w:rFonts w:ascii="Times New Roman" w:eastAsia="Times New Roman" w:hAnsi="Times New Roman"/>
      <w:i/>
      <w:iCs/>
      <w:color w:val="000000"/>
      <w:spacing w:val="0"/>
      <w:w w:val="100"/>
      <w:position w:val="0"/>
      <w:sz w:val="19"/>
      <w:szCs w:val="19"/>
      <w:shd w:val="clear" w:color="auto" w:fill="FFFFFF"/>
      <w:lang w:val="ru-RU" w:eastAsia="ru-RU" w:bidi="ru-RU"/>
    </w:rPr>
  </w:style>
  <w:style w:type="character" w:customStyle="1" w:styleId="hcc">
    <w:name w:val="hcc"/>
    <w:basedOn w:val="a1"/>
    <w:rsid w:val="00787EA7"/>
  </w:style>
  <w:style w:type="numbering" w:customStyle="1" w:styleId="230">
    <w:name w:val="Нет списка23"/>
    <w:next w:val="a3"/>
    <w:uiPriority w:val="99"/>
    <w:semiHidden/>
    <w:unhideWhenUsed/>
    <w:rsid w:val="00DF1146"/>
  </w:style>
  <w:style w:type="character" w:customStyle="1" w:styleId="FontStyle14">
    <w:name w:val="Font Style14"/>
    <w:rsid w:val="00DF1146"/>
    <w:rPr>
      <w:rFonts w:ascii="Times New Roman" w:hAnsi="Times New Roman" w:cs="Times New Roman"/>
      <w:sz w:val="26"/>
      <w:szCs w:val="26"/>
    </w:rPr>
  </w:style>
  <w:style w:type="numbering" w:customStyle="1" w:styleId="240">
    <w:name w:val="Нет списка24"/>
    <w:next w:val="a3"/>
    <w:uiPriority w:val="99"/>
    <w:semiHidden/>
    <w:unhideWhenUsed/>
    <w:rsid w:val="001E2F2C"/>
  </w:style>
  <w:style w:type="paragraph" w:customStyle="1" w:styleId="paragraph">
    <w:name w:val="paragraph"/>
    <w:basedOn w:val="a0"/>
    <w:rsid w:val="001E2F2C"/>
    <w:pPr>
      <w:spacing w:before="100" w:beforeAutospacing="1" w:after="100" w:afterAutospacing="1"/>
    </w:pPr>
    <w:rPr>
      <w:sz w:val="24"/>
      <w:szCs w:val="24"/>
    </w:rPr>
  </w:style>
  <w:style w:type="character" w:customStyle="1" w:styleId="spellingerror">
    <w:name w:val="spellingerror"/>
    <w:basedOn w:val="a1"/>
    <w:rsid w:val="001E2F2C"/>
  </w:style>
  <w:style w:type="character" w:customStyle="1" w:styleId="normaltextrun">
    <w:name w:val="normaltextrun"/>
    <w:basedOn w:val="a1"/>
    <w:rsid w:val="001E2F2C"/>
  </w:style>
  <w:style w:type="character" w:customStyle="1" w:styleId="eop">
    <w:name w:val="eop"/>
    <w:basedOn w:val="a1"/>
    <w:rsid w:val="001E2F2C"/>
  </w:style>
  <w:style w:type="numbering" w:customStyle="1" w:styleId="250">
    <w:name w:val="Нет списка25"/>
    <w:next w:val="a3"/>
    <w:uiPriority w:val="99"/>
    <w:semiHidden/>
    <w:unhideWhenUsed/>
    <w:rsid w:val="00CD45A4"/>
  </w:style>
  <w:style w:type="numbering" w:customStyle="1" w:styleId="260">
    <w:name w:val="Нет списка26"/>
    <w:next w:val="a3"/>
    <w:uiPriority w:val="99"/>
    <w:semiHidden/>
    <w:unhideWhenUsed/>
    <w:rsid w:val="00EC1A78"/>
  </w:style>
  <w:style w:type="paragraph" w:customStyle="1" w:styleId="tehnormatitle">
    <w:name w:val="tehnormatitle"/>
    <w:basedOn w:val="a0"/>
    <w:rsid w:val="00EC1A78"/>
    <w:pPr>
      <w:spacing w:before="100" w:beforeAutospacing="1" w:after="100" w:afterAutospacing="1"/>
    </w:pPr>
    <w:rPr>
      <w:sz w:val="24"/>
      <w:szCs w:val="24"/>
    </w:rPr>
  </w:style>
  <w:style w:type="character" w:customStyle="1" w:styleId="spelle">
    <w:name w:val="spelle"/>
    <w:basedOn w:val="a1"/>
    <w:rsid w:val="00EC1A78"/>
  </w:style>
  <w:style w:type="paragraph" w:customStyle="1" w:styleId="msonormalmailrucssattributepostfix">
    <w:name w:val="msonormal_mailru_css_attribute_postfix"/>
    <w:basedOn w:val="a0"/>
    <w:rsid w:val="00EC1A78"/>
    <w:pPr>
      <w:spacing w:before="100" w:beforeAutospacing="1" w:after="100" w:afterAutospacing="1"/>
    </w:pPr>
    <w:rPr>
      <w:sz w:val="24"/>
      <w:szCs w:val="24"/>
    </w:rPr>
  </w:style>
  <w:style w:type="paragraph" w:customStyle="1" w:styleId="afffa">
    <w:name w:val="Базовый"/>
    <w:rsid w:val="00EC1A78"/>
    <w:pPr>
      <w:widowControl w:val="0"/>
      <w:tabs>
        <w:tab w:val="left" w:pos="708"/>
      </w:tabs>
      <w:suppressAutoHyphens/>
      <w:spacing w:line="100" w:lineRule="atLeast"/>
    </w:pPr>
    <w:rPr>
      <w:rFonts w:eastAsia="SimSun" w:cs="Arial"/>
      <w:sz w:val="24"/>
      <w:szCs w:val="24"/>
      <w:lang w:eastAsia="zh-CN" w:bidi="hi-IN"/>
    </w:rPr>
  </w:style>
  <w:style w:type="character" w:customStyle="1" w:styleId="w">
    <w:name w:val="w"/>
    <w:basedOn w:val="a1"/>
    <w:rsid w:val="00EC1A78"/>
  </w:style>
  <w:style w:type="paragraph" w:customStyle="1" w:styleId="afffb">
    <w:name w:val="Сноска"/>
    <w:rsid w:val="00EC1A78"/>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47">
    <w:name w:val="Знак Знак4"/>
    <w:uiPriority w:val="99"/>
    <w:semiHidden/>
    <w:rsid w:val="00EC1A78"/>
    <w:rPr>
      <w:lang w:val="ru-RU" w:eastAsia="ru-RU"/>
    </w:rPr>
  </w:style>
  <w:style w:type="paragraph" w:customStyle="1" w:styleId="pcenter">
    <w:name w:val="pcenter"/>
    <w:basedOn w:val="a0"/>
    <w:rsid w:val="00EC1A78"/>
    <w:pPr>
      <w:spacing w:before="100" w:beforeAutospacing="1" w:after="100" w:afterAutospacing="1"/>
    </w:pPr>
    <w:rPr>
      <w:sz w:val="24"/>
      <w:szCs w:val="24"/>
    </w:rPr>
  </w:style>
  <w:style w:type="character" w:customStyle="1" w:styleId="48">
    <w:name w:val="Аб 4 ур обычный текст Знак"/>
    <w:link w:val="49"/>
    <w:locked/>
    <w:rsid w:val="00EC1A78"/>
    <w:rPr>
      <w:rFonts w:eastAsia="SimSun"/>
      <w:sz w:val="24"/>
      <w:szCs w:val="24"/>
      <w:lang w:val="x-none" w:eastAsia="zh-CN"/>
    </w:rPr>
  </w:style>
  <w:style w:type="paragraph" w:customStyle="1" w:styleId="49">
    <w:name w:val="Аб 4 ур обычный текст"/>
    <w:basedOn w:val="a0"/>
    <w:link w:val="48"/>
    <w:qFormat/>
    <w:rsid w:val="00EC1A78"/>
    <w:pPr>
      <w:ind w:firstLine="425"/>
      <w:jc w:val="both"/>
    </w:pPr>
    <w:rPr>
      <w:rFonts w:eastAsia="SimSun"/>
      <w:sz w:val="24"/>
      <w:szCs w:val="24"/>
      <w:lang w:val="x-none" w:eastAsia="zh-CN"/>
    </w:rPr>
  </w:style>
  <w:style w:type="numbering" w:customStyle="1" w:styleId="270">
    <w:name w:val="Нет списка27"/>
    <w:next w:val="a3"/>
    <w:uiPriority w:val="99"/>
    <w:semiHidden/>
    <w:unhideWhenUsed/>
    <w:rsid w:val="000C1465"/>
  </w:style>
  <w:style w:type="numbering" w:customStyle="1" w:styleId="1100">
    <w:name w:val="Нет списка110"/>
    <w:next w:val="a3"/>
    <w:uiPriority w:val="99"/>
    <w:semiHidden/>
    <w:unhideWhenUsed/>
    <w:rsid w:val="000C1465"/>
  </w:style>
  <w:style w:type="table" w:customStyle="1" w:styleId="141">
    <w:name w:val="Сетка таблицы14"/>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0C1465"/>
  </w:style>
  <w:style w:type="numbering" w:customStyle="1" w:styleId="280">
    <w:name w:val="Нет списка28"/>
    <w:next w:val="a3"/>
    <w:uiPriority w:val="99"/>
    <w:semiHidden/>
    <w:unhideWhenUsed/>
    <w:rsid w:val="000C1465"/>
  </w:style>
  <w:style w:type="numbering" w:customStyle="1" w:styleId="3a">
    <w:name w:val="С числами3"/>
    <w:rsid w:val="000C1465"/>
  </w:style>
  <w:style w:type="numbering" w:customStyle="1" w:styleId="330">
    <w:name w:val="Нет списка33"/>
    <w:next w:val="a3"/>
    <w:uiPriority w:val="99"/>
    <w:semiHidden/>
    <w:unhideWhenUsed/>
    <w:rsid w:val="000C1465"/>
  </w:style>
  <w:style w:type="table" w:customStyle="1" w:styleId="231">
    <w:name w:val="Сетка таблицы23"/>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0C1465"/>
  </w:style>
  <w:style w:type="numbering" w:customStyle="1" w:styleId="52">
    <w:name w:val="Нет списка52"/>
    <w:next w:val="a3"/>
    <w:uiPriority w:val="99"/>
    <w:semiHidden/>
    <w:unhideWhenUsed/>
    <w:rsid w:val="000C1465"/>
  </w:style>
  <w:style w:type="numbering" w:customStyle="1" w:styleId="11120">
    <w:name w:val="Нет списка1112"/>
    <w:next w:val="a3"/>
    <w:uiPriority w:val="99"/>
    <w:semiHidden/>
    <w:unhideWhenUsed/>
    <w:rsid w:val="000C1465"/>
  </w:style>
  <w:style w:type="table" w:customStyle="1" w:styleId="321">
    <w:name w:val="Сетка таблицы32"/>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0C1465"/>
  </w:style>
  <w:style w:type="numbering" w:customStyle="1" w:styleId="212">
    <w:name w:val="Нет списка212"/>
    <w:next w:val="a3"/>
    <w:uiPriority w:val="99"/>
    <w:semiHidden/>
    <w:unhideWhenUsed/>
    <w:rsid w:val="000C1465"/>
  </w:style>
  <w:style w:type="numbering" w:customStyle="1" w:styleId="122">
    <w:name w:val="С числами12"/>
    <w:rsid w:val="000C1465"/>
  </w:style>
  <w:style w:type="numbering" w:customStyle="1" w:styleId="3120">
    <w:name w:val="Нет списка312"/>
    <w:next w:val="a3"/>
    <w:uiPriority w:val="99"/>
    <w:semiHidden/>
    <w:unhideWhenUsed/>
    <w:rsid w:val="000C1465"/>
  </w:style>
  <w:style w:type="table" w:customStyle="1" w:styleId="2120">
    <w:name w:val="Сетка таблицы212"/>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0C1465"/>
  </w:style>
  <w:style w:type="table" w:customStyle="1" w:styleId="421">
    <w:name w:val="Сетка таблицы4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0C1465"/>
  </w:style>
  <w:style w:type="table" w:customStyle="1" w:styleId="520">
    <w:name w:val="Сетка таблицы5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2"/>
    <w:next w:val="a3"/>
    <w:uiPriority w:val="99"/>
    <w:semiHidden/>
    <w:unhideWhenUsed/>
    <w:rsid w:val="000C1465"/>
  </w:style>
  <w:style w:type="table" w:customStyle="1" w:styleId="621">
    <w:name w:val="Сетка таблицы62"/>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2"/>
    <w:next w:val="a3"/>
    <w:uiPriority w:val="99"/>
    <w:semiHidden/>
    <w:unhideWhenUsed/>
    <w:rsid w:val="000C1465"/>
  </w:style>
  <w:style w:type="table" w:customStyle="1" w:styleId="720">
    <w:name w:val="Сетка таблицы72"/>
    <w:basedOn w:val="a2"/>
    <w:next w:val="a7"/>
    <w:uiPriority w:val="59"/>
    <w:rsid w:val="000C1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0C1465"/>
  </w:style>
  <w:style w:type="table" w:customStyle="1" w:styleId="921">
    <w:name w:val="Сетка таблицы92"/>
    <w:basedOn w:val="a2"/>
    <w:next w:val="a7"/>
    <w:uiPriority w:val="99"/>
    <w:rsid w:val="000C14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2"/>
    <w:next w:val="a3"/>
    <w:uiPriority w:val="99"/>
    <w:semiHidden/>
    <w:unhideWhenUsed/>
    <w:rsid w:val="000C1465"/>
  </w:style>
  <w:style w:type="numbering" w:customStyle="1" w:styleId="1220">
    <w:name w:val="Нет списка122"/>
    <w:next w:val="a3"/>
    <w:uiPriority w:val="99"/>
    <w:semiHidden/>
    <w:unhideWhenUsed/>
    <w:rsid w:val="000C1465"/>
  </w:style>
  <w:style w:type="numbering" w:customStyle="1" w:styleId="02">
    <w:name w:val="С числами.02"/>
    <w:rsid w:val="000C1465"/>
  </w:style>
  <w:style w:type="table" w:customStyle="1" w:styleId="1020">
    <w:name w:val="Сетка таблицы102"/>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0C1465"/>
  </w:style>
  <w:style w:type="numbering" w:customStyle="1" w:styleId="1410">
    <w:name w:val="Нет списка141"/>
    <w:next w:val="a3"/>
    <w:uiPriority w:val="99"/>
    <w:semiHidden/>
    <w:unhideWhenUsed/>
    <w:rsid w:val="000C1465"/>
  </w:style>
  <w:style w:type="table" w:customStyle="1" w:styleId="1211">
    <w:name w:val="Сетка таблицы121"/>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3"/>
    <w:uiPriority w:val="99"/>
    <w:semiHidden/>
    <w:unhideWhenUsed/>
    <w:rsid w:val="000C1465"/>
  </w:style>
  <w:style w:type="numbering" w:customStyle="1" w:styleId="2210">
    <w:name w:val="Нет списка221"/>
    <w:next w:val="a3"/>
    <w:uiPriority w:val="99"/>
    <w:semiHidden/>
    <w:unhideWhenUsed/>
    <w:rsid w:val="000C1465"/>
  </w:style>
  <w:style w:type="numbering" w:customStyle="1" w:styleId="213">
    <w:name w:val="С числами21"/>
    <w:rsid w:val="000C1465"/>
  </w:style>
  <w:style w:type="numbering" w:customStyle="1" w:styleId="3210">
    <w:name w:val="Нет списка321"/>
    <w:next w:val="a3"/>
    <w:uiPriority w:val="99"/>
    <w:semiHidden/>
    <w:unhideWhenUsed/>
    <w:rsid w:val="000C1465"/>
  </w:style>
  <w:style w:type="table" w:customStyle="1" w:styleId="2211">
    <w:name w:val="Сетка таблицы221"/>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0">
    <w:name w:val="Нет списка421"/>
    <w:next w:val="a3"/>
    <w:uiPriority w:val="99"/>
    <w:semiHidden/>
    <w:unhideWhenUsed/>
    <w:rsid w:val="000C1465"/>
  </w:style>
  <w:style w:type="numbering" w:customStyle="1" w:styleId="511">
    <w:name w:val="Нет списка511"/>
    <w:next w:val="a3"/>
    <w:uiPriority w:val="99"/>
    <w:semiHidden/>
    <w:unhideWhenUsed/>
    <w:rsid w:val="000C1465"/>
  </w:style>
  <w:style w:type="numbering" w:customStyle="1" w:styleId="111111">
    <w:name w:val="Нет списка111111"/>
    <w:next w:val="a3"/>
    <w:uiPriority w:val="99"/>
    <w:semiHidden/>
    <w:unhideWhenUsed/>
    <w:rsid w:val="000C1465"/>
  </w:style>
  <w:style w:type="table" w:customStyle="1" w:styleId="3111">
    <w:name w:val="Сетка таблицы311"/>
    <w:basedOn w:val="a2"/>
    <w:next w:val="a7"/>
    <w:uiPriority w:val="59"/>
    <w:rsid w:val="000C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3"/>
    <w:uiPriority w:val="99"/>
    <w:semiHidden/>
    <w:unhideWhenUsed/>
    <w:rsid w:val="000C1465"/>
  </w:style>
  <w:style w:type="numbering" w:customStyle="1" w:styleId="21110">
    <w:name w:val="Нет списка2111"/>
    <w:next w:val="a3"/>
    <w:uiPriority w:val="99"/>
    <w:semiHidden/>
    <w:unhideWhenUsed/>
    <w:rsid w:val="000C1465"/>
  </w:style>
  <w:style w:type="numbering" w:customStyle="1" w:styleId="1113">
    <w:name w:val="С числами111"/>
    <w:rsid w:val="000C1465"/>
  </w:style>
  <w:style w:type="numbering" w:customStyle="1" w:styleId="31110">
    <w:name w:val="Нет списка3111"/>
    <w:next w:val="a3"/>
    <w:uiPriority w:val="99"/>
    <w:semiHidden/>
    <w:unhideWhenUsed/>
    <w:rsid w:val="000C1465"/>
  </w:style>
  <w:style w:type="table" w:customStyle="1" w:styleId="21111">
    <w:name w:val="Сетка таблицы2111"/>
    <w:basedOn w:val="a2"/>
    <w:next w:val="a7"/>
    <w:uiPriority w:val="59"/>
    <w:rsid w:val="000C146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
    <w:name w:val="Нет списка4111"/>
    <w:next w:val="a3"/>
    <w:uiPriority w:val="99"/>
    <w:semiHidden/>
    <w:unhideWhenUsed/>
    <w:rsid w:val="000C1465"/>
  </w:style>
  <w:style w:type="table" w:customStyle="1" w:styleId="4112">
    <w:name w:val="Сетка таблицы4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0C1465"/>
  </w:style>
  <w:style w:type="table" w:customStyle="1" w:styleId="5110">
    <w:name w:val="Сетка таблицы5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1"/>
    <w:next w:val="a3"/>
    <w:uiPriority w:val="99"/>
    <w:semiHidden/>
    <w:unhideWhenUsed/>
    <w:rsid w:val="000C1465"/>
  </w:style>
  <w:style w:type="table" w:customStyle="1" w:styleId="6111">
    <w:name w:val="Сетка таблицы611"/>
    <w:basedOn w:val="a2"/>
    <w:next w:val="a7"/>
    <w:uiPriority w:val="59"/>
    <w:rsid w:val="000C1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1"/>
    <w:next w:val="a3"/>
    <w:uiPriority w:val="99"/>
    <w:semiHidden/>
    <w:unhideWhenUsed/>
    <w:rsid w:val="000C1465"/>
  </w:style>
  <w:style w:type="table" w:customStyle="1" w:styleId="7110">
    <w:name w:val="Сетка таблицы711"/>
    <w:basedOn w:val="a2"/>
    <w:next w:val="a7"/>
    <w:uiPriority w:val="59"/>
    <w:rsid w:val="000C1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0C1465"/>
  </w:style>
  <w:style w:type="table" w:customStyle="1" w:styleId="9111">
    <w:name w:val="Сетка таблицы911"/>
    <w:basedOn w:val="a2"/>
    <w:next w:val="a7"/>
    <w:uiPriority w:val="99"/>
    <w:rsid w:val="000C146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3"/>
    <w:uiPriority w:val="99"/>
    <w:semiHidden/>
    <w:unhideWhenUsed/>
    <w:rsid w:val="000C1465"/>
  </w:style>
  <w:style w:type="numbering" w:customStyle="1" w:styleId="12110">
    <w:name w:val="Нет списка1211"/>
    <w:next w:val="a3"/>
    <w:uiPriority w:val="99"/>
    <w:semiHidden/>
    <w:unhideWhenUsed/>
    <w:rsid w:val="000C1465"/>
  </w:style>
  <w:style w:type="numbering" w:customStyle="1" w:styleId="0110">
    <w:name w:val="С числами.011"/>
    <w:rsid w:val="000C1465"/>
  </w:style>
  <w:style w:type="table" w:customStyle="1" w:styleId="10111">
    <w:name w:val="Сетка таблицы1011"/>
    <w:basedOn w:val="a2"/>
    <w:next w:val="a7"/>
    <w:uiPriority w:val="39"/>
    <w:rsid w:val="000C1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0C1465"/>
  </w:style>
  <w:style w:type="numbering" w:customStyle="1" w:styleId="161">
    <w:name w:val="Нет списка161"/>
    <w:next w:val="a3"/>
    <w:uiPriority w:val="99"/>
    <w:semiHidden/>
    <w:unhideWhenUsed/>
    <w:rsid w:val="000C1465"/>
  </w:style>
  <w:style w:type="numbering" w:customStyle="1" w:styleId="171">
    <w:name w:val="Нет списка171"/>
    <w:next w:val="a3"/>
    <w:uiPriority w:val="99"/>
    <w:semiHidden/>
    <w:unhideWhenUsed/>
    <w:rsid w:val="000C1465"/>
  </w:style>
  <w:style w:type="numbering" w:customStyle="1" w:styleId="181">
    <w:name w:val="Нет списка181"/>
    <w:next w:val="a3"/>
    <w:uiPriority w:val="99"/>
    <w:semiHidden/>
    <w:unhideWhenUsed/>
    <w:rsid w:val="000C1465"/>
  </w:style>
  <w:style w:type="numbering" w:customStyle="1" w:styleId="191">
    <w:name w:val="Нет списка191"/>
    <w:next w:val="a3"/>
    <w:uiPriority w:val="99"/>
    <w:semiHidden/>
    <w:unhideWhenUsed/>
    <w:rsid w:val="000C1465"/>
  </w:style>
  <w:style w:type="numbering" w:customStyle="1" w:styleId="201">
    <w:name w:val="Нет списка201"/>
    <w:next w:val="a3"/>
    <w:uiPriority w:val="99"/>
    <w:semiHidden/>
    <w:unhideWhenUsed/>
    <w:rsid w:val="000C1465"/>
  </w:style>
  <w:style w:type="numbering" w:customStyle="1" w:styleId="2310">
    <w:name w:val="Нет списка231"/>
    <w:next w:val="a3"/>
    <w:uiPriority w:val="99"/>
    <w:semiHidden/>
    <w:unhideWhenUsed/>
    <w:rsid w:val="000C1465"/>
  </w:style>
  <w:style w:type="numbering" w:customStyle="1" w:styleId="241">
    <w:name w:val="Нет списка241"/>
    <w:next w:val="a3"/>
    <w:uiPriority w:val="99"/>
    <w:semiHidden/>
    <w:unhideWhenUsed/>
    <w:rsid w:val="000C1465"/>
  </w:style>
  <w:style w:type="numbering" w:customStyle="1" w:styleId="251">
    <w:name w:val="Нет списка251"/>
    <w:next w:val="a3"/>
    <w:uiPriority w:val="99"/>
    <w:semiHidden/>
    <w:unhideWhenUsed/>
    <w:rsid w:val="000C1465"/>
  </w:style>
  <w:style w:type="numbering" w:customStyle="1" w:styleId="261">
    <w:name w:val="Нет списка261"/>
    <w:next w:val="a3"/>
    <w:uiPriority w:val="99"/>
    <w:semiHidden/>
    <w:unhideWhenUsed/>
    <w:rsid w:val="000C1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580">
      <w:bodyDiv w:val="1"/>
      <w:marLeft w:val="0"/>
      <w:marRight w:val="0"/>
      <w:marTop w:val="0"/>
      <w:marBottom w:val="0"/>
      <w:divBdr>
        <w:top w:val="none" w:sz="0" w:space="0" w:color="auto"/>
        <w:left w:val="none" w:sz="0" w:space="0" w:color="auto"/>
        <w:bottom w:val="none" w:sz="0" w:space="0" w:color="auto"/>
        <w:right w:val="none" w:sz="0" w:space="0" w:color="auto"/>
      </w:divBdr>
    </w:div>
    <w:div w:id="19017523">
      <w:bodyDiv w:val="1"/>
      <w:marLeft w:val="0"/>
      <w:marRight w:val="0"/>
      <w:marTop w:val="0"/>
      <w:marBottom w:val="0"/>
      <w:divBdr>
        <w:top w:val="none" w:sz="0" w:space="0" w:color="auto"/>
        <w:left w:val="none" w:sz="0" w:space="0" w:color="auto"/>
        <w:bottom w:val="none" w:sz="0" w:space="0" w:color="auto"/>
        <w:right w:val="none" w:sz="0" w:space="0" w:color="auto"/>
      </w:divBdr>
    </w:div>
    <w:div w:id="19475510">
      <w:bodyDiv w:val="1"/>
      <w:marLeft w:val="0"/>
      <w:marRight w:val="0"/>
      <w:marTop w:val="0"/>
      <w:marBottom w:val="0"/>
      <w:divBdr>
        <w:top w:val="none" w:sz="0" w:space="0" w:color="auto"/>
        <w:left w:val="none" w:sz="0" w:space="0" w:color="auto"/>
        <w:bottom w:val="none" w:sz="0" w:space="0" w:color="auto"/>
        <w:right w:val="none" w:sz="0" w:space="0" w:color="auto"/>
      </w:divBdr>
    </w:div>
    <w:div w:id="23288269">
      <w:bodyDiv w:val="1"/>
      <w:marLeft w:val="0"/>
      <w:marRight w:val="0"/>
      <w:marTop w:val="0"/>
      <w:marBottom w:val="0"/>
      <w:divBdr>
        <w:top w:val="none" w:sz="0" w:space="0" w:color="auto"/>
        <w:left w:val="none" w:sz="0" w:space="0" w:color="auto"/>
        <w:bottom w:val="none" w:sz="0" w:space="0" w:color="auto"/>
        <w:right w:val="none" w:sz="0" w:space="0" w:color="auto"/>
      </w:divBdr>
    </w:div>
    <w:div w:id="24722570">
      <w:bodyDiv w:val="1"/>
      <w:marLeft w:val="0"/>
      <w:marRight w:val="0"/>
      <w:marTop w:val="0"/>
      <w:marBottom w:val="0"/>
      <w:divBdr>
        <w:top w:val="none" w:sz="0" w:space="0" w:color="auto"/>
        <w:left w:val="none" w:sz="0" w:space="0" w:color="auto"/>
        <w:bottom w:val="none" w:sz="0" w:space="0" w:color="auto"/>
        <w:right w:val="none" w:sz="0" w:space="0" w:color="auto"/>
      </w:divBdr>
    </w:div>
    <w:div w:id="28724972">
      <w:bodyDiv w:val="1"/>
      <w:marLeft w:val="0"/>
      <w:marRight w:val="0"/>
      <w:marTop w:val="0"/>
      <w:marBottom w:val="0"/>
      <w:divBdr>
        <w:top w:val="none" w:sz="0" w:space="0" w:color="auto"/>
        <w:left w:val="none" w:sz="0" w:space="0" w:color="auto"/>
        <w:bottom w:val="none" w:sz="0" w:space="0" w:color="auto"/>
        <w:right w:val="none" w:sz="0" w:space="0" w:color="auto"/>
      </w:divBdr>
    </w:div>
    <w:div w:id="30886579">
      <w:bodyDiv w:val="1"/>
      <w:marLeft w:val="0"/>
      <w:marRight w:val="0"/>
      <w:marTop w:val="0"/>
      <w:marBottom w:val="0"/>
      <w:divBdr>
        <w:top w:val="none" w:sz="0" w:space="0" w:color="auto"/>
        <w:left w:val="none" w:sz="0" w:space="0" w:color="auto"/>
        <w:bottom w:val="none" w:sz="0" w:space="0" w:color="auto"/>
        <w:right w:val="none" w:sz="0" w:space="0" w:color="auto"/>
      </w:divBdr>
    </w:div>
    <w:div w:id="32123716">
      <w:bodyDiv w:val="1"/>
      <w:marLeft w:val="0"/>
      <w:marRight w:val="0"/>
      <w:marTop w:val="0"/>
      <w:marBottom w:val="0"/>
      <w:divBdr>
        <w:top w:val="none" w:sz="0" w:space="0" w:color="auto"/>
        <w:left w:val="none" w:sz="0" w:space="0" w:color="auto"/>
        <w:bottom w:val="none" w:sz="0" w:space="0" w:color="auto"/>
        <w:right w:val="none" w:sz="0" w:space="0" w:color="auto"/>
      </w:divBdr>
    </w:div>
    <w:div w:id="51389493">
      <w:bodyDiv w:val="1"/>
      <w:marLeft w:val="0"/>
      <w:marRight w:val="0"/>
      <w:marTop w:val="0"/>
      <w:marBottom w:val="0"/>
      <w:divBdr>
        <w:top w:val="none" w:sz="0" w:space="0" w:color="auto"/>
        <w:left w:val="none" w:sz="0" w:space="0" w:color="auto"/>
        <w:bottom w:val="none" w:sz="0" w:space="0" w:color="auto"/>
        <w:right w:val="none" w:sz="0" w:space="0" w:color="auto"/>
      </w:divBdr>
    </w:div>
    <w:div w:id="56560173">
      <w:bodyDiv w:val="1"/>
      <w:marLeft w:val="0"/>
      <w:marRight w:val="0"/>
      <w:marTop w:val="0"/>
      <w:marBottom w:val="0"/>
      <w:divBdr>
        <w:top w:val="none" w:sz="0" w:space="0" w:color="auto"/>
        <w:left w:val="none" w:sz="0" w:space="0" w:color="auto"/>
        <w:bottom w:val="none" w:sz="0" w:space="0" w:color="auto"/>
        <w:right w:val="none" w:sz="0" w:space="0" w:color="auto"/>
      </w:divBdr>
    </w:div>
    <w:div w:id="62994025">
      <w:bodyDiv w:val="1"/>
      <w:marLeft w:val="0"/>
      <w:marRight w:val="0"/>
      <w:marTop w:val="0"/>
      <w:marBottom w:val="0"/>
      <w:divBdr>
        <w:top w:val="none" w:sz="0" w:space="0" w:color="auto"/>
        <w:left w:val="none" w:sz="0" w:space="0" w:color="auto"/>
        <w:bottom w:val="none" w:sz="0" w:space="0" w:color="auto"/>
        <w:right w:val="none" w:sz="0" w:space="0" w:color="auto"/>
      </w:divBdr>
    </w:div>
    <w:div w:id="63992129">
      <w:bodyDiv w:val="1"/>
      <w:marLeft w:val="0"/>
      <w:marRight w:val="0"/>
      <w:marTop w:val="0"/>
      <w:marBottom w:val="0"/>
      <w:divBdr>
        <w:top w:val="none" w:sz="0" w:space="0" w:color="auto"/>
        <w:left w:val="none" w:sz="0" w:space="0" w:color="auto"/>
        <w:bottom w:val="none" w:sz="0" w:space="0" w:color="auto"/>
        <w:right w:val="none" w:sz="0" w:space="0" w:color="auto"/>
      </w:divBdr>
    </w:div>
    <w:div w:id="73674683">
      <w:bodyDiv w:val="1"/>
      <w:marLeft w:val="0"/>
      <w:marRight w:val="0"/>
      <w:marTop w:val="0"/>
      <w:marBottom w:val="0"/>
      <w:divBdr>
        <w:top w:val="none" w:sz="0" w:space="0" w:color="auto"/>
        <w:left w:val="none" w:sz="0" w:space="0" w:color="auto"/>
        <w:bottom w:val="none" w:sz="0" w:space="0" w:color="auto"/>
        <w:right w:val="none" w:sz="0" w:space="0" w:color="auto"/>
      </w:divBdr>
    </w:div>
    <w:div w:id="74208486">
      <w:bodyDiv w:val="1"/>
      <w:marLeft w:val="0"/>
      <w:marRight w:val="0"/>
      <w:marTop w:val="0"/>
      <w:marBottom w:val="0"/>
      <w:divBdr>
        <w:top w:val="none" w:sz="0" w:space="0" w:color="auto"/>
        <w:left w:val="none" w:sz="0" w:space="0" w:color="auto"/>
        <w:bottom w:val="none" w:sz="0" w:space="0" w:color="auto"/>
        <w:right w:val="none" w:sz="0" w:space="0" w:color="auto"/>
      </w:divBdr>
    </w:div>
    <w:div w:id="79567533">
      <w:bodyDiv w:val="1"/>
      <w:marLeft w:val="0"/>
      <w:marRight w:val="0"/>
      <w:marTop w:val="0"/>
      <w:marBottom w:val="0"/>
      <w:divBdr>
        <w:top w:val="none" w:sz="0" w:space="0" w:color="auto"/>
        <w:left w:val="none" w:sz="0" w:space="0" w:color="auto"/>
        <w:bottom w:val="none" w:sz="0" w:space="0" w:color="auto"/>
        <w:right w:val="none" w:sz="0" w:space="0" w:color="auto"/>
      </w:divBdr>
    </w:div>
    <w:div w:id="84688629">
      <w:bodyDiv w:val="1"/>
      <w:marLeft w:val="0"/>
      <w:marRight w:val="0"/>
      <w:marTop w:val="0"/>
      <w:marBottom w:val="0"/>
      <w:divBdr>
        <w:top w:val="none" w:sz="0" w:space="0" w:color="auto"/>
        <w:left w:val="none" w:sz="0" w:space="0" w:color="auto"/>
        <w:bottom w:val="none" w:sz="0" w:space="0" w:color="auto"/>
        <w:right w:val="none" w:sz="0" w:space="0" w:color="auto"/>
      </w:divBdr>
    </w:div>
    <w:div w:id="94986428">
      <w:bodyDiv w:val="1"/>
      <w:marLeft w:val="0"/>
      <w:marRight w:val="0"/>
      <w:marTop w:val="0"/>
      <w:marBottom w:val="0"/>
      <w:divBdr>
        <w:top w:val="none" w:sz="0" w:space="0" w:color="auto"/>
        <w:left w:val="none" w:sz="0" w:space="0" w:color="auto"/>
        <w:bottom w:val="none" w:sz="0" w:space="0" w:color="auto"/>
        <w:right w:val="none" w:sz="0" w:space="0" w:color="auto"/>
      </w:divBdr>
    </w:div>
    <w:div w:id="98259422">
      <w:bodyDiv w:val="1"/>
      <w:marLeft w:val="0"/>
      <w:marRight w:val="0"/>
      <w:marTop w:val="0"/>
      <w:marBottom w:val="0"/>
      <w:divBdr>
        <w:top w:val="none" w:sz="0" w:space="0" w:color="auto"/>
        <w:left w:val="none" w:sz="0" w:space="0" w:color="auto"/>
        <w:bottom w:val="none" w:sz="0" w:space="0" w:color="auto"/>
        <w:right w:val="none" w:sz="0" w:space="0" w:color="auto"/>
      </w:divBdr>
    </w:div>
    <w:div w:id="100880166">
      <w:bodyDiv w:val="1"/>
      <w:marLeft w:val="0"/>
      <w:marRight w:val="0"/>
      <w:marTop w:val="0"/>
      <w:marBottom w:val="0"/>
      <w:divBdr>
        <w:top w:val="none" w:sz="0" w:space="0" w:color="auto"/>
        <w:left w:val="none" w:sz="0" w:space="0" w:color="auto"/>
        <w:bottom w:val="none" w:sz="0" w:space="0" w:color="auto"/>
        <w:right w:val="none" w:sz="0" w:space="0" w:color="auto"/>
      </w:divBdr>
    </w:div>
    <w:div w:id="100999506">
      <w:bodyDiv w:val="1"/>
      <w:marLeft w:val="0"/>
      <w:marRight w:val="0"/>
      <w:marTop w:val="0"/>
      <w:marBottom w:val="0"/>
      <w:divBdr>
        <w:top w:val="none" w:sz="0" w:space="0" w:color="auto"/>
        <w:left w:val="none" w:sz="0" w:space="0" w:color="auto"/>
        <w:bottom w:val="none" w:sz="0" w:space="0" w:color="auto"/>
        <w:right w:val="none" w:sz="0" w:space="0" w:color="auto"/>
      </w:divBdr>
    </w:div>
    <w:div w:id="101998334">
      <w:bodyDiv w:val="1"/>
      <w:marLeft w:val="0"/>
      <w:marRight w:val="0"/>
      <w:marTop w:val="0"/>
      <w:marBottom w:val="0"/>
      <w:divBdr>
        <w:top w:val="none" w:sz="0" w:space="0" w:color="auto"/>
        <w:left w:val="none" w:sz="0" w:space="0" w:color="auto"/>
        <w:bottom w:val="none" w:sz="0" w:space="0" w:color="auto"/>
        <w:right w:val="none" w:sz="0" w:space="0" w:color="auto"/>
      </w:divBdr>
    </w:div>
    <w:div w:id="102380505">
      <w:bodyDiv w:val="1"/>
      <w:marLeft w:val="0"/>
      <w:marRight w:val="0"/>
      <w:marTop w:val="0"/>
      <w:marBottom w:val="0"/>
      <w:divBdr>
        <w:top w:val="none" w:sz="0" w:space="0" w:color="auto"/>
        <w:left w:val="none" w:sz="0" w:space="0" w:color="auto"/>
        <w:bottom w:val="none" w:sz="0" w:space="0" w:color="auto"/>
        <w:right w:val="none" w:sz="0" w:space="0" w:color="auto"/>
      </w:divBdr>
    </w:div>
    <w:div w:id="111285362">
      <w:bodyDiv w:val="1"/>
      <w:marLeft w:val="0"/>
      <w:marRight w:val="0"/>
      <w:marTop w:val="0"/>
      <w:marBottom w:val="0"/>
      <w:divBdr>
        <w:top w:val="none" w:sz="0" w:space="0" w:color="auto"/>
        <w:left w:val="none" w:sz="0" w:space="0" w:color="auto"/>
        <w:bottom w:val="none" w:sz="0" w:space="0" w:color="auto"/>
        <w:right w:val="none" w:sz="0" w:space="0" w:color="auto"/>
      </w:divBdr>
    </w:div>
    <w:div w:id="114253728">
      <w:bodyDiv w:val="1"/>
      <w:marLeft w:val="0"/>
      <w:marRight w:val="0"/>
      <w:marTop w:val="0"/>
      <w:marBottom w:val="0"/>
      <w:divBdr>
        <w:top w:val="none" w:sz="0" w:space="0" w:color="auto"/>
        <w:left w:val="none" w:sz="0" w:space="0" w:color="auto"/>
        <w:bottom w:val="none" w:sz="0" w:space="0" w:color="auto"/>
        <w:right w:val="none" w:sz="0" w:space="0" w:color="auto"/>
      </w:divBdr>
    </w:div>
    <w:div w:id="116799487">
      <w:bodyDiv w:val="1"/>
      <w:marLeft w:val="0"/>
      <w:marRight w:val="0"/>
      <w:marTop w:val="0"/>
      <w:marBottom w:val="0"/>
      <w:divBdr>
        <w:top w:val="none" w:sz="0" w:space="0" w:color="auto"/>
        <w:left w:val="none" w:sz="0" w:space="0" w:color="auto"/>
        <w:bottom w:val="none" w:sz="0" w:space="0" w:color="auto"/>
        <w:right w:val="none" w:sz="0" w:space="0" w:color="auto"/>
      </w:divBdr>
    </w:div>
    <w:div w:id="118769400">
      <w:bodyDiv w:val="1"/>
      <w:marLeft w:val="0"/>
      <w:marRight w:val="0"/>
      <w:marTop w:val="0"/>
      <w:marBottom w:val="0"/>
      <w:divBdr>
        <w:top w:val="none" w:sz="0" w:space="0" w:color="auto"/>
        <w:left w:val="none" w:sz="0" w:space="0" w:color="auto"/>
        <w:bottom w:val="none" w:sz="0" w:space="0" w:color="auto"/>
        <w:right w:val="none" w:sz="0" w:space="0" w:color="auto"/>
      </w:divBdr>
    </w:div>
    <w:div w:id="128402489">
      <w:bodyDiv w:val="1"/>
      <w:marLeft w:val="0"/>
      <w:marRight w:val="0"/>
      <w:marTop w:val="0"/>
      <w:marBottom w:val="0"/>
      <w:divBdr>
        <w:top w:val="none" w:sz="0" w:space="0" w:color="auto"/>
        <w:left w:val="none" w:sz="0" w:space="0" w:color="auto"/>
        <w:bottom w:val="none" w:sz="0" w:space="0" w:color="auto"/>
        <w:right w:val="none" w:sz="0" w:space="0" w:color="auto"/>
      </w:divBdr>
    </w:div>
    <w:div w:id="149753738">
      <w:bodyDiv w:val="1"/>
      <w:marLeft w:val="0"/>
      <w:marRight w:val="0"/>
      <w:marTop w:val="0"/>
      <w:marBottom w:val="0"/>
      <w:divBdr>
        <w:top w:val="none" w:sz="0" w:space="0" w:color="auto"/>
        <w:left w:val="none" w:sz="0" w:space="0" w:color="auto"/>
        <w:bottom w:val="none" w:sz="0" w:space="0" w:color="auto"/>
        <w:right w:val="none" w:sz="0" w:space="0" w:color="auto"/>
      </w:divBdr>
    </w:div>
    <w:div w:id="154730557">
      <w:bodyDiv w:val="1"/>
      <w:marLeft w:val="0"/>
      <w:marRight w:val="0"/>
      <w:marTop w:val="0"/>
      <w:marBottom w:val="0"/>
      <w:divBdr>
        <w:top w:val="none" w:sz="0" w:space="0" w:color="auto"/>
        <w:left w:val="none" w:sz="0" w:space="0" w:color="auto"/>
        <w:bottom w:val="none" w:sz="0" w:space="0" w:color="auto"/>
        <w:right w:val="none" w:sz="0" w:space="0" w:color="auto"/>
      </w:divBdr>
    </w:div>
    <w:div w:id="155152065">
      <w:bodyDiv w:val="1"/>
      <w:marLeft w:val="0"/>
      <w:marRight w:val="0"/>
      <w:marTop w:val="0"/>
      <w:marBottom w:val="0"/>
      <w:divBdr>
        <w:top w:val="none" w:sz="0" w:space="0" w:color="auto"/>
        <w:left w:val="none" w:sz="0" w:space="0" w:color="auto"/>
        <w:bottom w:val="none" w:sz="0" w:space="0" w:color="auto"/>
        <w:right w:val="none" w:sz="0" w:space="0" w:color="auto"/>
      </w:divBdr>
    </w:div>
    <w:div w:id="157041538">
      <w:bodyDiv w:val="1"/>
      <w:marLeft w:val="0"/>
      <w:marRight w:val="0"/>
      <w:marTop w:val="0"/>
      <w:marBottom w:val="0"/>
      <w:divBdr>
        <w:top w:val="none" w:sz="0" w:space="0" w:color="auto"/>
        <w:left w:val="none" w:sz="0" w:space="0" w:color="auto"/>
        <w:bottom w:val="none" w:sz="0" w:space="0" w:color="auto"/>
        <w:right w:val="none" w:sz="0" w:space="0" w:color="auto"/>
      </w:divBdr>
    </w:div>
    <w:div w:id="164975184">
      <w:bodyDiv w:val="1"/>
      <w:marLeft w:val="0"/>
      <w:marRight w:val="0"/>
      <w:marTop w:val="0"/>
      <w:marBottom w:val="0"/>
      <w:divBdr>
        <w:top w:val="none" w:sz="0" w:space="0" w:color="auto"/>
        <w:left w:val="none" w:sz="0" w:space="0" w:color="auto"/>
        <w:bottom w:val="none" w:sz="0" w:space="0" w:color="auto"/>
        <w:right w:val="none" w:sz="0" w:space="0" w:color="auto"/>
      </w:divBdr>
    </w:div>
    <w:div w:id="176577385">
      <w:bodyDiv w:val="1"/>
      <w:marLeft w:val="0"/>
      <w:marRight w:val="0"/>
      <w:marTop w:val="0"/>
      <w:marBottom w:val="0"/>
      <w:divBdr>
        <w:top w:val="none" w:sz="0" w:space="0" w:color="auto"/>
        <w:left w:val="none" w:sz="0" w:space="0" w:color="auto"/>
        <w:bottom w:val="none" w:sz="0" w:space="0" w:color="auto"/>
        <w:right w:val="none" w:sz="0" w:space="0" w:color="auto"/>
      </w:divBdr>
    </w:div>
    <w:div w:id="178394209">
      <w:bodyDiv w:val="1"/>
      <w:marLeft w:val="0"/>
      <w:marRight w:val="0"/>
      <w:marTop w:val="0"/>
      <w:marBottom w:val="0"/>
      <w:divBdr>
        <w:top w:val="none" w:sz="0" w:space="0" w:color="auto"/>
        <w:left w:val="none" w:sz="0" w:space="0" w:color="auto"/>
        <w:bottom w:val="none" w:sz="0" w:space="0" w:color="auto"/>
        <w:right w:val="none" w:sz="0" w:space="0" w:color="auto"/>
      </w:divBdr>
    </w:div>
    <w:div w:id="181821498">
      <w:bodyDiv w:val="1"/>
      <w:marLeft w:val="0"/>
      <w:marRight w:val="0"/>
      <w:marTop w:val="0"/>
      <w:marBottom w:val="0"/>
      <w:divBdr>
        <w:top w:val="none" w:sz="0" w:space="0" w:color="auto"/>
        <w:left w:val="none" w:sz="0" w:space="0" w:color="auto"/>
        <w:bottom w:val="none" w:sz="0" w:space="0" w:color="auto"/>
        <w:right w:val="none" w:sz="0" w:space="0" w:color="auto"/>
      </w:divBdr>
    </w:div>
    <w:div w:id="196478211">
      <w:bodyDiv w:val="1"/>
      <w:marLeft w:val="0"/>
      <w:marRight w:val="0"/>
      <w:marTop w:val="0"/>
      <w:marBottom w:val="0"/>
      <w:divBdr>
        <w:top w:val="none" w:sz="0" w:space="0" w:color="auto"/>
        <w:left w:val="none" w:sz="0" w:space="0" w:color="auto"/>
        <w:bottom w:val="none" w:sz="0" w:space="0" w:color="auto"/>
        <w:right w:val="none" w:sz="0" w:space="0" w:color="auto"/>
      </w:divBdr>
    </w:div>
    <w:div w:id="198402034">
      <w:bodyDiv w:val="1"/>
      <w:marLeft w:val="0"/>
      <w:marRight w:val="0"/>
      <w:marTop w:val="0"/>
      <w:marBottom w:val="0"/>
      <w:divBdr>
        <w:top w:val="none" w:sz="0" w:space="0" w:color="auto"/>
        <w:left w:val="none" w:sz="0" w:space="0" w:color="auto"/>
        <w:bottom w:val="none" w:sz="0" w:space="0" w:color="auto"/>
        <w:right w:val="none" w:sz="0" w:space="0" w:color="auto"/>
      </w:divBdr>
    </w:div>
    <w:div w:id="201401621">
      <w:bodyDiv w:val="1"/>
      <w:marLeft w:val="0"/>
      <w:marRight w:val="0"/>
      <w:marTop w:val="0"/>
      <w:marBottom w:val="0"/>
      <w:divBdr>
        <w:top w:val="none" w:sz="0" w:space="0" w:color="auto"/>
        <w:left w:val="none" w:sz="0" w:space="0" w:color="auto"/>
        <w:bottom w:val="none" w:sz="0" w:space="0" w:color="auto"/>
        <w:right w:val="none" w:sz="0" w:space="0" w:color="auto"/>
      </w:divBdr>
    </w:div>
    <w:div w:id="204291983">
      <w:bodyDiv w:val="1"/>
      <w:marLeft w:val="0"/>
      <w:marRight w:val="0"/>
      <w:marTop w:val="0"/>
      <w:marBottom w:val="0"/>
      <w:divBdr>
        <w:top w:val="none" w:sz="0" w:space="0" w:color="auto"/>
        <w:left w:val="none" w:sz="0" w:space="0" w:color="auto"/>
        <w:bottom w:val="none" w:sz="0" w:space="0" w:color="auto"/>
        <w:right w:val="none" w:sz="0" w:space="0" w:color="auto"/>
      </w:divBdr>
    </w:div>
    <w:div w:id="210575706">
      <w:bodyDiv w:val="1"/>
      <w:marLeft w:val="0"/>
      <w:marRight w:val="0"/>
      <w:marTop w:val="0"/>
      <w:marBottom w:val="0"/>
      <w:divBdr>
        <w:top w:val="none" w:sz="0" w:space="0" w:color="auto"/>
        <w:left w:val="none" w:sz="0" w:space="0" w:color="auto"/>
        <w:bottom w:val="none" w:sz="0" w:space="0" w:color="auto"/>
        <w:right w:val="none" w:sz="0" w:space="0" w:color="auto"/>
      </w:divBdr>
    </w:div>
    <w:div w:id="211503665">
      <w:bodyDiv w:val="1"/>
      <w:marLeft w:val="0"/>
      <w:marRight w:val="0"/>
      <w:marTop w:val="0"/>
      <w:marBottom w:val="0"/>
      <w:divBdr>
        <w:top w:val="none" w:sz="0" w:space="0" w:color="auto"/>
        <w:left w:val="none" w:sz="0" w:space="0" w:color="auto"/>
        <w:bottom w:val="none" w:sz="0" w:space="0" w:color="auto"/>
        <w:right w:val="none" w:sz="0" w:space="0" w:color="auto"/>
      </w:divBdr>
    </w:div>
    <w:div w:id="221328011">
      <w:bodyDiv w:val="1"/>
      <w:marLeft w:val="0"/>
      <w:marRight w:val="0"/>
      <w:marTop w:val="0"/>
      <w:marBottom w:val="0"/>
      <w:divBdr>
        <w:top w:val="none" w:sz="0" w:space="0" w:color="auto"/>
        <w:left w:val="none" w:sz="0" w:space="0" w:color="auto"/>
        <w:bottom w:val="none" w:sz="0" w:space="0" w:color="auto"/>
        <w:right w:val="none" w:sz="0" w:space="0" w:color="auto"/>
      </w:divBdr>
    </w:div>
    <w:div w:id="235828086">
      <w:bodyDiv w:val="1"/>
      <w:marLeft w:val="0"/>
      <w:marRight w:val="0"/>
      <w:marTop w:val="0"/>
      <w:marBottom w:val="0"/>
      <w:divBdr>
        <w:top w:val="none" w:sz="0" w:space="0" w:color="auto"/>
        <w:left w:val="none" w:sz="0" w:space="0" w:color="auto"/>
        <w:bottom w:val="none" w:sz="0" w:space="0" w:color="auto"/>
        <w:right w:val="none" w:sz="0" w:space="0" w:color="auto"/>
      </w:divBdr>
    </w:div>
    <w:div w:id="240994201">
      <w:bodyDiv w:val="1"/>
      <w:marLeft w:val="0"/>
      <w:marRight w:val="0"/>
      <w:marTop w:val="0"/>
      <w:marBottom w:val="0"/>
      <w:divBdr>
        <w:top w:val="none" w:sz="0" w:space="0" w:color="auto"/>
        <w:left w:val="none" w:sz="0" w:space="0" w:color="auto"/>
        <w:bottom w:val="none" w:sz="0" w:space="0" w:color="auto"/>
        <w:right w:val="none" w:sz="0" w:space="0" w:color="auto"/>
      </w:divBdr>
    </w:div>
    <w:div w:id="245765707">
      <w:bodyDiv w:val="1"/>
      <w:marLeft w:val="0"/>
      <w:marRight w:val="0"/>
      <w:marTop w:val="0"/>
      <w:marBottom w:val="0"/>
      <w:divBdr>
        <w:top w:val="none" w:sz="0" w:space="0" w:color="auto"/>
        <w:left w:val="none" w:sz="0" w:space="0" w:color="auto"/>
        <w:bottom w:val="none" w:sz="0" w:space="0" w:color="auto"/>
        <w:right w:val="none" w:sz="0" w:space="0" w:color="auto"/>
      </w:divBdr>
    </w:div>
    <w:div w:id="252279978">
      <w:bodyDiv w:val="1"/>
      <w:marLeft w:val="0"/>
      <w:marRight w:val="0"/>
      <w:marTop w:val="0"/>
      <w:marBottom w:val="0"/>
      <w:divBdr>
        <w:top w:val="none" w:sz="0" w:space="0" w:color="auto"/>
        <w:left w:val="none" w:sz="0" w:space="0" w:color="auto"/>
        <w:bottom w:val="none" w:sz="0" w:space="0" w:color="auto"/>
        <w:right w:val="none" w:sz="0" w:space="0" w:color="auto"/>
      </w:divBdr>
    </w:div>
    <w:div w:id="256139001">
      <w:bodyDiv w:val="1"/>
      <w:marLeft w:val="0"/>
      <w:marRight w:val="0"/>
      <w:marTop w:val="0"/>
      <w:marBottom w:val="0"/>
      <w:divBdr>
        <w:top w:val="none" w:sz="0" w:space="0" w:color="auto"/>
        <w:left w:val="none" w:sz="0" w:space="0" w:color="auto"/>
        <w:bottom w:val="none" w:sz="0" w:space="0" w:color="auto"/>
        <w:right w:val="none" w:sz="0" w:space="0" w:color="auto"/>
      </w:divBdr>
    </w:div>
    <w:div w:id="274027294">
      <w:bodyDiv w:val="1"/>
      <w:marLeft w:val="0"/>
      <w:marRight w:val="0"/>
      <w:marTop w:val="0"/>
      <w:marBottom w:val="0"/>
      <w:divBdr>
        <w:top w:val="none" w:sz="0" w:space="0" w:color="auto"/>
        <w:left w:val="none" w:sz="0" w:space="0" w:color="auto"/>
        <w:bottom w:val="none" w:sz="0" w:space="0" w:color="auto"/>
        <w:right w:val="none" w:sz="0" w:space="0" w:color="auto"/>
      </w:divBdr>
    </w:div>
    <w:div w:id="274599713">
      <w:bodyDiv w:val="1"/>
      <w:marLeft w:val="0"/>
      <w:marRight w:val="0"/>
      <w:marTop w:val="0"/>
      <w:marBottom w:val="0"/>
      <w:divBdr>
        <w:top w:val="none" w:sz="0" w:space="0" w:color="auto"/>
        <w:left w:val="none" w:sz="0" w:space="0" w:color="auto"/>
        <w:bottom w:val="none" w:sz="0" w:space="0" w:color="auto"/>
        <w:right w:val="none" w:sz="0" w:space="0" w:color="auto"/>
      </w:divBdr>
    </w:div>
    <w:div w:id="278073891">
      <w:bodyDiv w:val="1"/>
      <w:marLeft w:val="0"/>
      <w:marRight w:val="0"/>
      <w:marTop w:val="0"/>
      <w:marBottom w:val="0"/>
      <w:divBdr>
        <w:top w:val="none" w:sz="0" w:space="0" w:color="auto"/>
        <w:left w:val="none" w:sz="0" w:space="0" w:color="auto"/>
        <w:bottom w:val="none" w:sz="0" w:space="0" w:color="auto"/>
        <w:right w:val="none" w:sz="0" w:space="0" w:color="auto"/>
      </w:divBdr>
    </w:div>
    <w:div w:id="278992988">
      <w:bodyDiv w:val="1"/>
      <w:marLeft w:val="0"/>
      <w:marRight w:val="0"/>
      <w:marTop w:val="0"/>
      <w:marBottom w:val="0"/>
      <w:divBdr>
        <w:top w:val="none" w:sz="0" w:space="0" w:color="auto"/>
        <w:left w:val="none" w:sz="0" w:space="0" w:color="auto"/>
        <w:bottom w:val="none" w:sz="0" w:space="0" w:color="auto"/>
        <w:right w:val="none" w:sz="0" w:space="0" w:color="auto"/>
      </w:divBdr>
    </w:div>
    <w:div w:id="281694264">
      <w:bodyDiv w:val="1"/>
      <w:marLeft w:val="0"/>
      <w:marRight w:val="0"/>
      <w:marTop w:val="0"/>
      <w:marBottom w:val="0"/>
      <w:divBdr>
        <w:top w:val="none" w:sz="0" w:space="0" w:color="auto"/>
        <w:left w:val="none" w:sz="0" w:space="0" w:color="auto"/>
        <w:bottom w:val="none" w:sz="0" w:space="0" w:color="auto"/>
        <w:right w:val="none" w:sz="0" w:space="0" w:color="auto"/>
      </w:divBdr>
    </w:div>
    <w:div w:id="282225843">
      <w:bodyDiv w:val="1"/>
      <w:marLeft w:val="0"/>
      <w:marRight w:val="0"/>
      <w:marTop w:val="0"/>
      <w:marBottom w:val="0"/>
      <w:divBdr>
        <w:top w:val="none" w:sz="0" w:space="0" w:color="auto"/>
        <w:left w:val="none" w:sz="0" w:space="0" w:color="auto"/>
        <w:bottom w:val="none" w:sz="0" w:space="0" w:color="auto"/>
        <w:right w:val="none" w:sz="0" w:space="0" w:color="auto"/>
      </w:divBdr>
    </w:div>
    <w:div w:id="296030441">
      <w:bodyDiv w:val="1"/>
      <w:marLeft w:val="0"/>
      <w:marRight w:val="0"/>
      <w:marTop w:val="0"/>
      <w:marBottom w:val="0"/>
      <w:divBdr>
        <w:top w:val="none" w:sz="0" w:space="0" w:color="auto"/>
        <w:left w:val="none" w:sz="0" w:space="0" w:color="auto"/>
        <w:bottom w:val="none" w:sz="0" w:space="0" w:color="auto"/>
        <w:right w:val="none" w:sz="0" w:space="0" w:color="auto"/>
      </w:divBdr>
    </w:div>
    <w:div w:id="301080534">
      <w:bodyDiv w:val="1"/>
      <w:marLeft w:val="0"/>
      <w:marRight w:val="0"/>
      <w:marTop w:val="0"/>
      <w:marBottom w:val="0"/>
      <w:divBdr>
        <w:top w:val="none" w:sz="0" w:space="0" w:color="auto"/>
        <w:left w:val="none" w:sz="0" w:space="0" w:color="auto"/>
        <w:bottom w:val="none" w:sz="0" w:space="0" w:color="auto"/>
        <w:right w:val="none" w:sz="0" w:space="0" w:color="auto"/>
      </w:divBdr>
    </w:div>
    <w:div w:id="303317513">
      <w:bodyDiv w:val="1"/>
      <w:marLeft w:val="0"/>
      <w:marRight w:val="0"/>
      <w:marTop w:val="0"/>
      <w:marBottom w:val="0"/>
      <w:divBdr>
        <w:top w:val="none" w:sz="0" w:space="0" w:color="auto"/>
        <w:left w:val="none" w:sz="0" w:space="0" w:color="auto"/>
        <w:bottom w:val="none" w:sz="0" w:space="0" w:color="auto"/>
        <w:right w:val="none" w:sz="0" w:space="0" w:color="auto"/>
      </w:divBdr>
    </w:div>
    <w:div w:id="309478460">
      <w:bodyDiv w:val="1"/>
      <w:marLeft w:val="0"/>
      <w:marRight w:val="0"/>
      <w:marTop w:val="0"/>
      <w:marBottom w:val="0"/>
      <w:divBdr>
        <w:top w:val="none" w:sz="0" w:space="0" w:color="auto"/>
        <w:left w:val="none" w:sz="0" w:space="0" w:color="auto"/>
        <w:bottom w:val="none" w:sz="0" w:space="0" w:color="auto"/>
        <w:right w:val="none" w:sz="0" w:space="0" w:color="auto"/>
      </w:divBdr>
    </w:div>
    <w:div w:id="319701508">
      <w:bodyDiv w:val="1"/>
      <w:marLeft w:val="0"/>
      <w:marRight w:val="0"/>
      <w:marTop w:val="0"/>
      <w:marBottom w:val="0"/>
      <w:divBdr>
        <w:top w:val="none" w:sz="0" w:space="0" w:color="auto"/>
        <w:left w:val="none" w:sz="0" w:space="0" w:color="auto"/>
        <w:bottom w:val="none" w:sz="0" w:space="0" w:color="auto"/>
        <w:right w:val="none" w:sz="0" w:space="0" w:color="auto"/>
      </w:divBdr>
    </w:div>
    <w:div w:id="331689602">
      <w:bodyDiv w:val="1"/>
      <w:marLeft w:val="0"/>
      <w:marRight w:val="0"/>
      <w:marTop w:val="0"/>
      <w:marBottom w:val="0"/>
      <w:divBdr>
        <w:top w:val="none" w:sz="0" w:space="0" w:color="auto"/>
        <w:left w:val="none" w:sz="0" w:space="0" w:color="auto"/>
        <w:bottom w:val="none" w:sz="0" w:space="0" w:color="auto"/>
        <w:right w:val="none" w:sz="0" w:space="0" w:color="auto"/>
      </w:divBdr>
    </w:div>
    <w:div w:id="337855677">
      <w:bodyDiv w:val="1"/>
      <w:marLeft w:val="0"/>
      <w:marRight w:val="0"/>
      <w:marTop w:val="0"/>
      <w:marBottom w:val="0"/>
      <w:divBdr>
        <w:top w:val="none" w:sz="0" w:space="0" w:color="auto"/>
        <w:left w:val="none" w:sz="0" w:space="0" w:color="auto"/>
        <w:bottom w:val="none" w:sz="0" w:space="0" w:color="auto"/>
        <w:right w:val="none" w:sz="0" w:space="0" w:color="auto"/>
      </w:divBdr>
    </w:div>
    <w:div w:id="340745298">
      <w:bodyDiv w:val="1"/>
      <w:marLeft w:val="0"/>
      <w:marRight w:val="0"/>
      <w:marTop w:val="0"/>
      <w:marBottom w:val="0"/>
      <w:divBdr>
        <w:top w:val="none" w:sz="0" w:space="0" w:color="auto"/>
        <w:left w:val="none" w:sz="0" w:space="0" w:color="auto"/>
        <w:bottom w:val="none" w:sz="0" w:space="0" w:color="auto"/>
        <w:right w:val="none" w:sz="0" w:space="0" w:color="auto"/>
      </w:divBdr>
    </w:div>
    <w:div w:id="346450224">
      <w:bodyDiv w:val="1"/>
      <w:marLeft w:val="0"/>
      <w:marRight w:val="0"/>
      <w:marTop w:val="0"/>
      <w:marBottom w:val="0"/>
      <w:divBdr>
        <w:top w:val="none" w:sz="0" w:space="0" w:color="auto"/>
        <w:left w:val="none" w:sz="0" w:space="0" w:color="auto"/>
        <w:bottom w:val="none" w:sz="0" w:space="0" w:color="auto"/>
        <w:right w:val="none" w:sz="0" w:space="0" w:color="auto"/>
      </w:divBdr>
    </w:div>
    <w:div w:id="356199268">
      <w:bodyDiv w:val="1"/>
      <w:marLeft w:val="0"/>
      <w:marRight w:val="0"/>
      <w:marTop w:val="0"/>
      <w:marBottom w:val="0"/>
      <w:divBdr>
        <w:top w:val="none" w:sz="0" w:space="0" w:color="auto"/>
        <w:left w:val="none" w:sz="0" w:space="0" w:color="auto"/>
        <w:bottom w:val="none" w:sz="0" w:space="0" w:color="auto"/>
        <w:right w:val="none" w:sz="0" w:space="0" w:color="auto"/>
      </w:divBdr>
    </w:div>
    <w:div w:id="357583912">
      <w:bodyDiv w:val="1"/>
      <w:marLeft w:val="0"/>
      <w:marRight w:val="0"/>
      <w:marTop w:val="0"/>
      <w:marBottom w:val="0"/>
      <w:divBdr>
        <w:top w:val="none" w:sz="0" w:space="0" w:color="auto"/>
        <w:left w:val="none" w:sz="0" w:space="0" w:color="auto"/>
        <w:bottom w:val="none" w:sz="0" w:space="0" w:color="auto"/>
        <w:right w:val="none" w:sz="0" w:space="0" w:color="auto"/>
      </w:divBdr>
    </w:div>
    <w:div w:id="359401447">
      <w:bodyDiv w:val="1"/>
      <w:marLeft w:val="0"/>
      <w:marRight w:val="0"/>
      <w:marTop w:val="0"/>
      <w:marBottom w:val="0"/>
      <w:divBdr>
        <w:top w:val="none" w:sz="0" w:space="0" w:color="auto"/>
        <w:left w:val="none" w:sz="0" w:space="0" w:color="auto"/>
        <w:bottom w:val="none" w:sz="0" w:space="0" w:color="auto"/>
        <w:right w:val="none" w:sz="0" w:space="0" w:color="auto"/>
      </w:divBdr>
    </w:div>
    <w:div w:id="380401400">
      <w:bodyDiv w:val="1"/>
      <w:marLeft w:val="0"/>
      <w:marRight w:val="0"/>
      <w:marTop w:val="0"/>
      <w:marBottom w:val="0"/>
      <w:divBdr>
        <w:top w:val="none" w:sz="0" w:space="0" w:color="auto"/>
        <w:left w:val="none" w:sz="0" w:space="0" w:color="auto"/>
        <w:bottom w:val="none" w:sz="0" w:space="0" w:color="auto"/>
        <w:right w:val="none" w:sz="0" w:space="0" w:color="auto"/>
      </w:divBdr>
    </w:div>
    <w:div w:id="387414261">
      <w:bodyDiv w:val="1"/>
      <w:marLeft w:val="0"/>
      <w:marRight w:val="0"/>
      <w:marTop w:val="0"/>
      <w:marBottom w:val="0"/>
      <w:divBdr>
        <w:top w:val="none" w:sz="0" w:space="0" w:color="auto"/>
        <w:left w:val="none" w:sz="0" w:space="0" w:color="auto"/>
        <w:bottom w:val="none" w:sz="0" w:space="0" w:color="auto"/>
        <w:right w:val="none" w:sz="0" w:space="0" w:color="auto"/>
      </w:divBdr>
    </w:div>
    <w:div w:id="392773235">
      <w:bodyDiv w:val="1"/>
      <w:marLeft w:val="0"/>
      <w:marRight w:val="0"/>
      <w:marTop w:val="0"/>
      <w:marBottom w:val="0"/>
      <w:divBdr>
        <w:top w:val="none" w:sz="0" w:space="0" w:color="auto"/>
        <w:left w:val="none" w:sz="0" w:space="0" w:color="auto"/>
        <w:bottom w:val="none" w:sz="0" w:space="0" w:color="auto"/>
        <w:right w:val="none" w:sz="0" w:space="0" w:color="auto"/>
      </w:divBdr>
    </w:div>
    <w:div w:id="396977054">
      <w:bodyDiv w:val="1"/>
      <w:marLeft w:val="0"/>
      <w:marRight w:val="0"/>
      <w:marTop w:val="0"/>
      <w:marBottom w:val="0"/>
      <w:divBdr>
        <w:top w:val="none" w:sz="0" w:space="0" w:color="auto"/>
        <w:left w:val="none" w:sz="0" w:space="0" w:color="auto"/>
        <w:bottom w:val="none" w:sz="0" w:space="0" w:color="auto"/>
        <w:right w:val="none" w:sz="0" w:space="0" w:color="auto"/>
      </w:divBdr>
    </w:div>
    <w:div w:id="398866047">
      <w:bodyDiv w:val="1"/>
      <w:marLeft w:val="0"/>
      <w:marRight w:val="0"/>
      <w:marTop w:val="0"/>
      <w:marBottom w:val="0"/>
      <w:divBdr>
        <w:top w:val="none" w:sz="0" w:space="0" w:color="auto"/>
        <w:left w:val="none" w:sz="0" w:space="0" w:color="auto"/>
        <w:bottom w:val="none" w:sz="0" w:space="0" w:color="auto"/>
        <w:right w:val="none" w:sz="0" w:space="0" w:color="auto"/>
      </w:divBdr>
    </w:div>
    <w:div w:id="400754623">
      <w:bodyDiv w:val="1"/>
      <w:marLeft w:val="0"/>
      <w:marRight w:val="0"/>
      <w:marTop w:val="0"/>
      <w:marBottom w:val="0"/>
      <w:divBdr>
        <w:top w:val="none" w:sz="0" w:space="0" w:color="auto"/>
        <w:left w:val="none" w:sz="0" w:space="0" w:color="auto"/>
        <w:bottom w:val="none" w:sz="0" w:space="0" w:color="auto"/>
        <w:right w:val="none" w:sz="0" w:space="0" w:color="auto"/>
      </w:divBdr>
    </w:div>
    <w:div w:id="406614535">
      <w:bodyDiv w:val="1"/>
      <w:marLeft w:val="0"/>
      <w:marRight w:val="0"/>
      <w:marTop w:val="0"/>
      <w:marBottom w:val="0"/>
      <w:divBdr>
        <w:top w:val="none" w:sz="0" w:space="0" w:color="auto"/>
        <w:left w:val="none" w:sz="0" w:space="0" w:color="auto"/>
        <w:bottom w:val="none" w:sz="0" w:space="0" w:color="auto"/>
        <w:right w:val="none" w:sz="0" w:space="0" w:color="auto"/>
      </w:divBdr>
    </w:div>
    <w:div w:id="409935936">
      <w:bodyDiv w:val="1"/>
      <w:marLeft w:val="0"/>
      <w:marRight w:val="0"/>
      <w:marTop w:val="0"/>
      <w:marBottom w:val="0"/>
      <w:divBdr>
        <w:top w:val="none" w:sz="0" w:space="0" w:color="auto"/>
        <w:left w:val="none" w:sz="0" w:space="0" w:color="auto"/>
        <w:bottom w:val="none" w:sz="0" w:space="0" w:color="auto"/>
        <w:right w:val="none" w:sz="0" w:space="0" w:color="auto"/>
      </w:divBdr>
    </w:div>
    <w:div w:id="410393332">
      <w:bodyDiv w:val="1"/>
      <w:marLeft w:val="0"/>
      <w:marRight w:val="0"/>
      <w:marTop w:val="0"/>
      <w:marBottom w:val="0"/>
      <w:divBdr>
        <w:top w:val="none" w:sz="0" w:space="0" w:color="auto"/>
        <w:left w:val="none" w:sz="0" w:space="0" w:color="auto"/>
        <w:bottom w:val="none" w:sz="0" w:space="0" w:color="auto"/>
        <w:right w:val="none" w:sz="0" w:space="0" w:color="auto"/>
      </w:divBdr>
    </w:div>
    <w:div w:id="417093252">
      <w:bodyDiv w:val="1"/>
      <w:marLeft w:val="0"/>
      <w:marRight w:val="0"/>
      <w:marTop w:val="0"/>
      <w:marBottom w:val="0"/>
      <w:divBdr>
        <w:top w:val="none" w:sz="0" w:space="0" w:color="auto"/>
        <w:left w:val="none" w:sz="0" w:space="0" w:color="auto"/>
        <w:bottom w:val="none" w:sz="0" w:space="0" w:color="auto"/>
        <w:right w:val="none" w:sz="0" w:space="0" w:color="auto"/>
      </w:divBdr>
    </w:div>
    <w:div w:id="417411986">
      <w:bodyDiv w:val="1"/>
      <w:marLeft w:val="0"/>
      <w:marRight w:val="0"/>
      <w:marTop w:val="0"/>
      <w:marBottom w:val="0"/>
      <w:divBdr>
        <w:top w:val="none" w:sz="0" w:space="0" w:color="auto"/>
        <w:left w:val="none" w:sz="0" w:space="0" w:color="auto"/>
        <w:bottom w:val="none" w:sz="0" w:space="0" w:color="auto"/>
        <w:right w:val="none" w:sz="0" w:space="0" w:color="auto"/>
      </w:divBdr>
    </w:div>
    <w:div w:id="425922965">
      <w:bodyDiv w:val="1"/>
      <w:marLeft w:val="0"/>
      <w:marRight w:val="0"/>
      <w:marTop w:val="0"/>
      <w:marBottom w:val="0"/>
      <w:divBdr>
        <w:top w:val="none" w:sz="0" w:space="0" w:color="auto"/>
        <w:left w:val="none" w:sz="0" w:space="0" w:color="auto"/>
        <w:bottom w:val="none" w:sz="0" w:space="0" w:color="auto"/>
        <w:right w:val="none" w:sz="0" w:space="0" w:color="auto"/>
      </w:divBdr>
    </w:div>
    <w:div w:id="430399759">
      <w:bodyDiv w:val="1"/>
      <w:marLeft w:val="0"/>
      <w:marRight w:val="0"/>
      <w:marTop w:val="0"/>
      <w:marBottom w:val="0"/>
      <w:divBdr>
        <w:top w:val="none" w:sz="0" w:space="0" w:color="auto"/>
        <w:left w:val="none" w:sz="0" w:space="0" w:color="auto"/>
        <w:bottom w:val="none" w:sz="0" w:space="0" w:color="auto"/>
        <w:right w:val="none" w:sz="0" w:space="0" w:color="auto"/>
      </w:divBdr>
    </w:div>
    <w:div w:id="430665100">
      <w:bodyDiv w:val="1"/>
      <w:marLeft w:val="0"/>
      <w:marRight w:val="0"/>
      <w:marTop w:val="0"/>
      <w:marBottom w:val="0"/>
      <w:divBdr>
        <w:top w:val="none" w:sz="0" w:space="0" w:color="auto"/>
        <w:left w:val="none" w:sz="0" w:space="0" w:color="auto"/>
        <w:bottom w:val="none" w:sz="0" w:space="0" w:color="auto"/>
        <w:right w:val="none" w:sz="0" w:space="0" w:color="auto"/>
      </w:divBdr>
    </w:div>
    <w:div w:id="440687104">
      <w:bodyDiv w:val="1"/>
      <w:marLeft w:val="0"/>
      <w:marRight w:val="0"/>
      <w:marTop w:val="0"/>
      <w:marBottom w:val="0"/>
      <w:divBdr>
        <w:top w:val="none" w:sz="0" w:space="0" w:color="auto"/>
        <w:left w:val="none" w:sz="0" w:space="0" w:color="auto"/>
        <w:bottom w:val="none" w:sz="0" w:space="0" w:color="auto"/>
        <w:right w:val="none" w:sz="0" w:space="0" w:color="auto"/>
      </w:divBdr>
    </w:div>
    <w:div w:id="440998869">
      <w:bodyDiv w:val="1"/>
      <w:marLeft w:val="0"/>
      <w:marRight w:val="0"/>
      <w:marTop w:val="0"/>
      <w:marBottom w:val="0"/>
      <w:divBdr>
        <w:top w:val="none" w:sz="0" w:space="0" w:color="auto"/>
        <w:left w:val="none" w:sz="0" w:space="0" w:color="auto"/>
        <w:bottom w:val="none" w:sz="0" w:space="0" w:color="auto"/>
        <w:right w:val="none" w:sz="0" w:space="0" w:color="auto"/>
      </w:divBdr>
    </w:div>
    <w:div w:id="440999963">
      <w:bodyDiv w:val="1"/>
      <w:marLeft w:val="0"/>
      <w:marRight w:val="0"/>
      <w:marTop w:val="0"/>
      <w:marBottom w:val="0"/>
      <w:divBdr>
        <w:top w:val="none" w:sz="0" w:space="0" w:color="auto"/>
        <w:left w:val="none" w:sz="0" w:space="0" w:color="auto"/>
        <w:bottom w:val="none" w:sz="0" w:space="0" w:color="auto"/>
        <w:right w:val="none" w:sz="0" w:space="0" w:color="auto"/>
      </w:divBdr>
    </w:div>
    <w:div w:id="450706827">
      <w:bodyDiv w:val="1"/>
      <w:marLeft w:val="0"/>
      <w:marRight w:val="0"/>
      <w:marTop w:val="0"/>
      <w:marBottom w:val="0"/>
      <w:divBdr>
        <w:top w:val="none" w:sz="0" w:space="0" w:color="auto"/>
        <w:left w:val="none" w:sz="0" w:space="0" w:color="auto"/>
        <w:bottom w:val="none" w:sz="0" w:space="0" w:color="auto"/>
        <w:right w:val="none" w:sz="0" w:space="0" w:color="auto"/>
      </w:divBdr>
    </w:div>
    <w:div w:id="457381797">
      <w:bodyDiv w:val="1"/>
      <w:marLeft w:val="0"/>
      <w:marRight w:val="0"/>
      <w:marTop w:val="0"/>
      <w:marBottom w:val="0"/>
      <w:divBdr>
        <w:top w:val="none" w:sz="0" w:space="0" w:color="auto"/>
        <w:left w:val="none" w:sz="0" w:space="0" w:color="auto"/>
        <w:bottom w:val="none" w:sz="0" w:space="0" w:color="auto"/>
        <w:right w:val="none" w:sz="0" w:space="0" w:color="auto"/>
      </w:divBdr>
    </w:div>
    <w:div w:id="463471170">
      <w:bodyDiv w:val="1"/>
      <w:marLeft w:val="0"/>
      <w:marRight w:val="0"/>
      <w:marTop w:val="0"/>
      <w:marBottom w:val="0"/>
      <w:divBdr>
        <w:top w:val="none" w:sz="0" w:space="0" w:color="auto"/>
        <w:left w:val="none" w:sz="0" w:space="0" w:color="auto"/>
        <w:bottom w:val="none" w:sz="0" w:space="0" w:color="auto"/>
        <w:right w:val="none" w:sz="0" w:space="0" w:color="auto"/>
      </w:divBdr>
    </w:div>
    <w:div w:id="483359121">
      <w:bodyDiv w:val="1"/>
      <w:marLeft w:val="0"/>
      <w:marRight w:val="0"/>
      <w:marTop w:val="0"/>
      <w:marBottom w:val="0"/>
      <w:divBdr>
        <w:top w:val="none" w:sz="0" w:space="0" w:color="auto"/>
        <w:left w:val="none" w:sz="0" w:space="0" w:color="auto"/>
        <w:bottom w:val="none" w:sz="0" w:space="0" w:color="auto"/>
        <w:right w:val="none" w:sz="0" w:space="0" w:color="auto"/>
      </w:divBdr>
    </w:div>
    <w:div w:id="487675071">
      <w:bodyDiv w:val="1"/>
      <w:marLeft w:val="0"/>
      <w:marRight w:val="0"/>
      <w:marTop w:val="0"/>
      <w:marBottom w:val="0"/>
      <w:divBdr>
        <w:top w:val="none" w:sz="0" w:space="0" w:color="auto"/>
        <w:left w:val="none" w:sz="0" w:space="0" w:color="auto"/>
        <w:bottom w:val="none" w:sz="0" w:space="0" w:color="auto"/>
        <w:right w:val="none" w:sz="0" w:space="0" w:color="auto"/>
      </w:divBdr>
    </w:div>
    <w:div w:id="495806682">
      <w:bodyDiv w:val="1"/>
      <w:marLeft w:val="0"/>
      <w:marRight w:val="0"/>
      <w:marTop w:val="0"/>
      <w:marBottom w:val="0"/>
      <w:divBdr>
        <w:top w:val="none" w:sz="0" w:space="0" w:color="auto"/>
        <w:left w:val="none" w:sz="0" w:space="0" w:color="auto"/>
        <w:bottom w:val="none" w:sz="0" w:space="0" w:color="auto"/>
        <w:right w:val="none" w:sz="0" w:space="0" w:color="auto"/>
      </w:divBdr>
    </w:div>
    <w:div w:id="501118012">
      <w:bodyDiv w:val="1"/>
      <w:marLeft w:val="0"/>
      <w:marRight w:val="0"/>
      <w:marTop w:val="0"/>
      <w:marBottom w:val="0"/>
      <w:divBdr>
        <w:top w:val="none" w:sz="0" w:space="0" w:color="auto"/>
        <w:left w:val="none" w:sz="0" w:space="0" w:color="auto"/>
        <w:bottom w:val="none" w:sz="0" w:space="0" w:color="auto"/>
        <w:right w:val="none" w:sz="0" w:space="0" w:color="auto"/>
      </w:divBdr>
    </w:div>
    <w:div w:id="501362447">
      <w:bodyDiv w:val="1"/>
      <w:marLeft w:val="0"/>
      <w:marRight w:val="0"/>
      <w:marTop w:val="0"/>
      <w:marBottom w:val="0"/>
      <w:divBdr>
        <w:top w:val="none" w:sz="0" w:space="0" w:color="auto"/>
        <w:left w:val="none" w:sz="0" w:space="0" w:color="auto"/>
        <w:bottom w:val="none" w:sz="0" w:space="0" w:color="auto"/>
        <w:right w:val="none" w:sz="0" w:space="0" w:color="auto"/>
      </w:divBdr>
    </w:div>
    <w:div w:id="503278089">
      <w:bodyDiv w:val="1"/>
      <w:marLeft w:val="0"/>
      <w:marRight w:val="0"/>
      <w:marTop w:val="0"/>
      <w:marBottom w:val="0"/>
      <w:divBdr>
        <w:top w:val="none" w:sz="0" w:space="0" w:color="auto"/>
        <w:left w:val="none" w:sz="0" w:space="0" w:color="auto"/>
        <w:bottom w:val="none" w:sz="0" w:space="0" w:color="auto"/>
        <w:right w:val="none" w:sz="0" w:space="0" w:color="auto"/>
      </w:divBdr>
    </w:div>
    <w:div w:id="517895323">
      <w:bodyDiv w:val="1"/>
      <w:marLeft w:val="0"/>
      <w:marRight w:val="0"/>
      <w:marTop w:val="0"/>
      <w:marBottom w:val="0"/>
      <w:divBdr>
        <w:top w:val="none" w:sz="0" w:space="0" w:color="auto"/>
        <w:left w:val="none" w:sz="0" w:space="0" w:color="auto"/>
        <w:bottom w:val="none" w:sz="0" w:space="0" w:color="auto"/>
        <w:right w:val="none" w:sz="0" w:space="0" w:color="auto"/>
      </w:divBdr>
    </w:div>
    <w:div w:id="535391680">
      <w:bodyDiv w:val="1"/>
      <w:marLeft w:val="0"/>
      <w:marRight w:val="0"/>
      <w:marTop w:val="0"/>
      <w:marBottom w:val="0"/>
      <w:divBdr>
        <w:top w:val="none" w:sz="0" w:space="0" w:color="auto"/>
        <w:left w:val="none" w:sz="0" w:space="0" w:color="auto"/>
        <w:bottom w:val="none" w:sz="0" w:space="0" w:color="auto"/>
        <w:right w:val="none" w:sz="0" w:space="0" w:color="auto"/>
      </w:divBdr>
    </w:div>
    <w:div w:id="535580676">
      <w:bodyDiv w:val="1"/>
      <w:marLeft w:val="0"/>
      <w:marRight w:val="0"/>
      <w:marTop w:val="0"/>
      <w:marBottom w:val="0"/>
      <w:divBdr>
        <w:top w:val="none" w:sz="0" w:space="0" w:color="auto"/>
        <w:left w:val="none" w:sz="0" w:space="0" w:color="auto"/>
        <w:bottom w:val="none" w:sz="0" w:space="0" w:color="auto"/>
        <w:right w:val="none" w:sz="0" w:space="0" w:color="auto"/>
      </w:divBdr>
    </w:div>
    <w:div w:id="543059950">
      <w:bodyDiv w:val="1"/>
      <w:marLeft w:val="0"/>
      <w:marRight w:val="0"/>
      <w:marTop w:val="0"/>
      <w:marBottom w:val="0"/>
      <w:divBdr>
        <w:top w:val="none" w:sz="0" w:space="0" w:color="auto"/>
        <w:left w:val="none" w:sz="0" w:space="0" w:color="auto"/>
        <w:bottom w:val="none" w:sz="0" w:space="0" w:color="auto"/>
        <w:right w:val="none" w:sz="0" w:space="0" w:color="auto"/>
      </w:divBdr>
    </w:div>
    <w:div w:id="544945698">
      <w:bodyDiv w:val="1"/>
      <w:marLeft w:val="0"/>
      <w:marRight w:val="0"/>
      <w:marTop w:val="0"/>
      <w:marBottom w:val="0"/>
      <w:divBdr>
        <w:top w:val="none" w:sz="0" w:space="0" w:color="auto"/>
        <w:left w:val="none" w:sz="0" w:space="0" w:color="auto"/>
        <w:bottom w:val="none" w:sz="0" w:space="0" w:color="auto"/>
        <w:right w:val="none" w:sz="0" w:space="0" w:color="auto"/>
      </w:divBdr>
    </w:div>
    <w:div w:id="546651852">
      <w:bodyDiv w:val="1"/>
      <w:marLeft w:val="0"/>
      <w:marRight w:val="0"/>
      <w:marTop w:val="0"/>
      <w:marBottom w:val="0"/>
      <w:divBdr>
        <w:top w:val="none" w:sz="0" w:space="0" w:color="auto"/>
        <w:left w:val="none" w:sz="0" w:space="0" w:color="auto"/>
        <w:bottom w:val="none" w:sz="0" w:space="0" w:color="auto"/>
        <w:right w:val="none" w:sz="0" w:space="0" w:color="auto"/>
      </w:divBdr>
    </w:div>
    <w:div w:id="550658681">
      <w:bodyDiv w:val="1"/>
      <w:marLeft w:val="0"/>
      <w:marRight w:val="0"/>
      <w:marTop w:val="0"/>
      <w:marBottom w:val="0"/>
      <w:divBdr>
        <w:top w:val="none" w:sz="0" w:space="0" w:color="auto"/>
        <w:left w:val="none" w:sz="0" w:space="0" w:color="auto"/>
        <w:bottom w:val="none" w:sz="0" w:space="0" w:color="auto"/>
        <w:right w:val="none" w:sz="0" w:space="0" w:color="auto"/>
      </w:divBdr>
    </w:div>
    <w:div w:id="552930390">
      <w:bodyDiv w:val="1"/>
      <w:marLeft w:val="0"/>
      <w:marRight w:val="0"/>
      <w:marTop w:val="0"/>
      <w:marBottom w:val="0"/>
      <w:divBdr>
        <w:top w:val="none" w:sz="0" w:space="0" w:color="auto"/>
        <w:left w:val="none" w:sz="0" w:space="0" w:color="auto"/>
        <w:bottom w:val="none" w:sz="0" w:space="0" w:color="auto"/>
        <w:right w:val="none" w:sz="0" w:space="0" w:color="auto"/>
      </w:divBdr>
    </w:div>
    <w:div w:id="553584926">
      <w:bodyDiv w:val="1"/>
      <w:marLeft w:val="0"/>
      <w:marRight w:val="0"/>
      <w:marTop w:val="0"/>
      <w:marBottom w:val="0"/>
      <w:divBdr>
        <w:top w:val="none" w:sz="0" w:space="0" w:color="auto"/>
        <w:left w:val="none" w:sz="0" w:space="0" w:color="auto"/>
        <w:bottom w:val="none" w:sz="0" w:space="0" w:color="auto"/>
        <w:right w:val="none" w:sz="0" w:space="0" w:color="auto"/>
      </w:divBdr>
    </w:div>
    <w:div w:id="580261606">
      <w:bodyDiv w:val="1"/>
      <w:marLeft w:val="0"/>
      <w:marRight w:val="0"/>
      <w:marTop w:val="0"/>
      <w:marBottom w:val="0"/>
      <w:divBdr>
        <w:top w:val="none" w:sz="0" w:space="0" w:color="auto"/>
        <w:left w:val="none" w:sz="0" w:space="0" w:color="auto"/>
        <w:bottom w:val="none" w:sz="0" w:space="0" w:color="auto"/>
        <w:right w:val="none" w:sz="0" w:space="0" w:color="auto"/>
      </w:divBdr>
    </w:div>
    <w:div w:id="582226401">
      <w:bodyDiv w:val="1"/>
      <w:marLeft w:val="0"/>
      <w:marRight w:val="0"/>
      <w:marTop w:val="0"/>
      <w:marBottom w:val="0"/>
      <w:divBdr>
        <w:top w:val="none" w:sz="0" w:space="0" w:color="auto"/>
        <w:left w:val="none" w:sz="0" w:space="0" w:color="auto"/>
        <w:bottom w:val="none" w:sz="0" w:space="0" w:color="auto"/>
        <w:right w:val="none" w:sz="0" w:space="0" w:color="auto"/>
      </w:divBdr>
    </w:div>
    <w:div w:id="587926253">
      <w:bodyDiv w:val="1"/>
      <w:marLeft w:val="0"/>
      <w:marRight w:val="0"/>
      <w:marTop w:val="0"/>
      <w:marBottom w:val="0"/>
      <w:divBdr>
        <w:top w:val="none" w:sz="0" w:space="0" w:color="auto"/>
        <w:left w:val="none" w:sz="0" w:space="0" w:color="auto"/>
        <w:bottom w:val="none" w:sz="0" w:space="0" w:color="auto"/>
        <w:right w:val="none" w:sz="0" w:space="0" w:color="auto"/>
      </w:divBdr>
    </w:div>
    <w:div w:id="590701140">
      <w:bodyDiv w:val="1"/>
      <w:marLeft w:val="0"/>
      <w:marRight w:val="0"/>
      <w:marTop w:val="0"/>
      <w:marBottom w:val="0"/>
      <w:divBdr>
        <w:top w:val="none" w:sz="0" w:space="0" w:color="auto"/>
        <w:left w:val="none" w:sz="0" w:space="0" w:color="auto"/>
        <w:bottom w:val="none" w:sz="0" w:space="0" w:color="auto"/>
        <w:right w:val="none" w:sz="0" w:space="0" w:color="auto"/>
      </w:divBdr>
    </w:div>
    <w:div w:id="595022066">
      <w:bodyDiv w:val="1"/>
      <w:marLeft w:val="0"/>
      <w:marRight w:val="0"/>
      <w:marTop w:val="0"/>
      <w:marBottom w:val="0"/>
      <w:divBdr>
        <w:top w:val="none" w:sz="0" w:space="0" w:color="auto"/>
        <w:left w:val="none" w:sz="0" w:space="0" w:color="auto"/>
        <w:bottom w:val="none" w:sz="0" w:space="0" w:color="auto"/>
        <w:right w:val="none" w:sz="0" w:space="0" w:color="auto"/>
      </w:divBdr>
    </w:div>
    <w:div w:id="598485573">
      <w:bodyDiv w:val="1"/>
      <w:marLeft w:val="0"/>
      <w:marRight w:val="0"/>
      <w:marTop w:val="0"/>
      <w:marBottom w:val="0"/>
      <w:divBdr>
        <w:top w:val="none" w:sz="0" w:space="0" w:color="auto"/>
        <w:left w:val="none" w:sz="0" w:space="0" w:color="auto"/>
        <w:bottom w:val="none" w:sz="0" w:space="0" w:color="auto"/>
        <w:right w:val="none" w:sz="0" w:space="0" w:color="auto"/>
      </w:divBdr>
    </w:div>
    <w:div w:id="599528737">
      <w:bodyDiv w:val="1"/>
      <w:marLeft w:val="0"/>
      <w:marRight w:val="0"/>
      <w:marTop w:val="0"/>
      <w:marBottom w:val="0"/>
      <w:divBdr>
        <w:top w:val="none" w:sz="0" w:space="0" w:color="auto"/>
        <w:left w:val="none" w:sz="0" w:space="0" w:color="auto"/>
        <w:bottom w:val="none" w:sz="0" w:space="0" w:color="auto"/>
        <w:right w:val="none" w:sz="0" w:space="0" w:color="auto"/>
      </w:divBdr>
    </w:div>
    <w:div w:id="600533584">
      <w:bodyDiv w:val="1"/>
      <w:marLeft w:val="0"/>
      <w:marRight w:val="0"/>
      <w:marTop w:val="0"/>
      <w:marBottom w:val="0"/>
      <w:divBdr>
        <w:top w:val="none" w:sz="0" w:space="0" w:color="auto"/>
        <w:left w:val="none" w:sz="0" w:space="0" w:color="auto"/>
        <w:bottom w:val="none" w:sz="0" w:space="0" w:color="auto"/>
        <w:right w:val="none" w:sz="0" w:space="0" w:color="auto"/>
      </w:divBdr>
    </w:div>
    <w:div w:id="601449868">
      <w:bodyDiv w:val="1"/>
      <w:marLeft w:val="0"/>
      <w:marRight w:val="0"/>
      <w:marTop w:val="0"/>
      <w:marBottom w:val="0"/>
      <w:divBdr>
        <w:top w:val="none" w:sz="0" w:space="0" w:color="auto"/>
        <w:left w:val="none" w:sz="0" w:space="0" w:color="auto"/>
        <w:bottom w:val="none" w:sz="0" w:space="0" w:color="auto"/>
        <w:right w:val="none" w:sz="0" w:space="0" w:color="auto"/>
      </w:divBdr>
    </w:div>
    <w:div w:id="602416035">
      <w:bodyDiv w:val="1"/>
      <w:marLeft w:val="0"/>
      <w:marRight w:val="0"/>
      <w:marTop w:val="0"/>
      <w:marBottom w:val="0"/>
      <w:divBdr>
        <w:top w:val="none" w:sz="0" w:space="0" w:color="auto"/>
        <w:left w:val="none" w:sz="0" w:space="0" w:color="auto"/>
        <w:bottom w:val="none" w:sz="0" w:space="0" w:color="auto"/>
        <w:right w:val="none" w:sz="0" w:space="0" w:color="auto"/>
      </w:divBdr>
    </w:div>
    <w:div w:id="618073645">
      <w:bodyDiv w:val="1"/>
      <w:marLeft w:val="0"/>
      <w:marRight w:val="0"/>
      <w:marTop w:val="0"/>
      <w:marBottom w:val="0"/>
      <w:divBdr>
        <w:top w:val="none" w:sz="0" w:space="0" w:color="auto"/>
        <w:left w:val="none" w:sz="0" w:space="0" w:color="auto"/>
        <w:bottom w:val="none" w:sz="0" w:space="0" w:color="auto"/>
        <w:right w:val="none" w:sz="0" w:space="0" w:color="auto"/>
      </w:divBdr>
    </w:div>
    <w:div w:id="623855157">
      <w:bodyDiv w:val="1"/>
      <w:marLeft w:val="0"/>
      <w:marRight w:val="0"/>
      <w:marTop w:val="0"/>
      <w:marBottom w:val="0"/>
      <w:divBdr>
        <w:top w:val="none" w:sz="0" w:space="0" w:color="auto"/>
        <w:left w:val="none" w:sz="0" w:space="0" w:color="auto"/>
        <w:bottom w:val="none" w:sz="0" w:space="0" w:color="auto"/>
        <w:right w:val="none" w:sz="0" w:space="0" w:color="auto"/>
      </w:divBdr>
    </w:div>
    <w:div w:id="632827252">
      <w:bodyDiv w:val="1"/>
      <w:marLeft w:val="0"/>
      <w:marRight w:val="0"/>
      <w:marTop w:val="0"/>
      <w:marBottom w:val="0"/>
      <w:divBdr>
        <w:top w:val="none" w:sz="0" w:space="0" w:color="auto"/>
        <w:left w:val="none" w:sz="0" w:space="0" w:color="auto"/>
        <w:bottom w:val="none" w:sz="0" w:space="0" w:color="auto"/>
        <w:right w:val="none" w:sz="0" w:space="0" w:color="auto"/>
      </w:divBdr>
    </w:div>
    <w:div w:id="644428346">
      <w:bodyDiv w:val="1"/>
      <w:marLeft w:val="0"/>
      <w:marRight w:val="0"/>
      <w:marTop w:val="0"/>
      <w:marBottom w:val="0"/>
      <w:divBdr>
        <w:top w:val="none" w:sz="0" w:space="0" w:color="auto"/>
        <w:left w:val="none" w:sz="0" w:space="0" w:color="auto"/>
        <w:bottom w:val="none" w:sz="0" w:space="0" w:color="auto"/>
        <w:right w:val="none" w:sz="0" w:space="0" w:color="auto"/>
      </w:divBdr>
    </w:div>
    <w:div w:id="659426988">
      <w:bodyDiv w:val="1"/>
      <w:marLeft w:val="0"/>
      <w:marRight w:val="0"/>
      <w:marTop w:val="0"/>
      <w:marBottom w:val="0"/>
      <w:divBdr>
        <w:top w:val="none" w:sz="0" w:space="0" w:color="auto"/>
        <w:left w:val="none" w:sz="0" w:space="0" w:color="auto"/>
        <w:bottom w:val="none" w:sz="0" w:space="0" w:color="auto"/>
        <w:right w:val="none" w:sz="0" w:space="0" w:color="auto"/>
      </w:divBdr>
    </w:div>
    <w:div w:id="675616692">
      <w:bodyDiv w:val="1"/>
      <w:marLeft w:val="0"/>
      <w:marRight w:val="0"/>
      <w:marTop w:val="0"/>
      <w:marBottom w:val="0"/>
      <w:divBdr>
        <w:top w:val="none" w:sz="0" w:space="0" w:color="auto"/>
        <w:left w:val="none" w:sz="0" w:space="0" w:color="auto"/>
        <w:bottom w:val="none" w:sz="0" w:space="0" w:color="auto"/>
        <w:right w:val="none" w:sz="0" w:space="0" w:color="auto"/>
      </w:divBdr>
    </w:div>
    <w:div w:id="685712242">
      <w:bodyDiv w:val="1"/>
      <w:marLeft w:val="0"/>
      <w:marRight w:val="0"/>
      <w:marTop w:val="0"/>
      <w:marBottom w:val="0"/>
      <w:divBdr>
        <w:top w:val="none" w:sz="0" w:space="0" w:color="auto"/>
        <w:left w:val="none" w:sz="0" w:space="0" w:color="auto"/>
        <w:bottom w:val="none" w:sz="0" w:space="0" w:color="auto"/>
        <w:right w:val="none" w:sz="0" w:space="0" w:color="auto"/>
      </w:divBdr>
    </w:div>
    <w:div w:id="687754813">
      <w:bodyDiv w:val="1"/>
      <w:marLeft w:val="0"/>
      <w:marRight w:val="0"/>
      <w:marTop w:val="0"/>
      <w:marBottom w:val="0"/>
      <w:divBdr>
        <w:top w:val="none" w:sz="0" w:space="0" w:color="auto"/>
        <w:left w:val="none" w:sz="0" w:space="0" w:color="auto"/>
        <w:bottom w:val="none" w:sz="0" w:space="0" w:color="auto"/>
        <w:right w:val="none" w:sz="0" w:space="0" w:color="auto"/>
      </w:divBdr>
    </w:div>
    <w:div w:id="698317637">
      <w:bodyDiv w:val="1"/>
      <w:marLeft w:val="0"/>
      <w:marRight w:val="0"/>
      <w:marTop w:val="0"/>
      <w:marBottom w:val="0"/>
      <w:divBdr>
        <w:top w:val="none" w:sz="0" w:space="0" w:color="auto"/>
        <w:left w:val="none" w:sz="0" w:space="0" w:color="auto"/>
        <w:bottom w:val="none" w:sz="0" w:space="0" w:color="auto"/>
        <w:right w:val="none" w:sz="0" w:space="0" w:color="auto"/>
      </w:divBdr>
    </w:div>
    <w:div w:id="708066431">
      <w:bodyDiv w:val="1"/>
      <w:marLeft w:val="0"/>
      <w:marRight w:val="0"/>
      <w:marTop w:val="0"/>
      <w:marBottom w:val="0"/>
      <w:divBdr>
        <w:top w:val="none" w:sz="0" w:space="0" w:color="auto"/>
        <w:left w:val="none" w:sz="0" w:space="0" w:color="auto"/>
        <w:bottom w:val="none" w:sz="0" w:space="0" w:color="auto"/>
        <w:right w:val="none" w:sz="0" w:space="0" w:color="auto"/>
      </w:divBdr>
    </w:div>
    <w:div w:id="708455333">
      <w:bodyDiv w:val="1"/>
      <w:marLeft w:val="0"/>
      <w:marRight w:val="0"/>
      <w:marTop w:val="0"/>
      <w:marBottom w:val="0"/>
      <w:divBdr>
        <w:top w:val="none" w:sz="0" w:space="0" w:color="auto"/>
        <w:left w:val="none" w:sz="0" w:space="0" w:color="auto"/>
        <w:bottom w:val="none" w:sz="0" w:space="0" w:color="auto"/>
        <w:right w:val="none" w:sz="0" w:space="0" w:color="auto"/>
      </w:divBdr>
    </w:div>
    <w:div w:id="711268365">
      <w:bodyDiv w:val="1"/>
      <w:marLeft w:val="0"/>
      <w:marRight w:val="0"/>
      <w:marTop w:val="0"/>
      <w:marBottom w:val="0"/>
      <w:divBdr>
        <w:top w:val="none" w:sz="0" w:space="0" w:color="auto"/>
        <w:left w:val="none" w:sz="0" w:space="0" w:color="auto"/>
        <w:bottom w:val="none" w:sz="0" w:space="0" w:color="auto"/>
        <w:right w:val="none" w:sz="0" w:space="0" w:color="auto"/>
      </w:divBdr>
    </w:div>
    <w:div w:id="718817639">
      <w:bodyDiv w:val="1"/>
      <w:marLeft w:val="0"/>
      <w:marRight w:val="0"/>
      <w:marTop w:val="0"/>
      <w:marBottom w:val="0"/>
      <w:divBdr>
        <w:top w:val="none" w:sz="0" w:space="0" w:color="auto"/>
        <w:left w:val="none" w:sz="0" w:space="0" w:color="auto"/>
        <w:bottom w:val="none" w:sz="0" w:space="0" w:color="auto"/>
        <w:right w:val="none" w:sz="0" w:space="0" w:color="auto"/>
      </w:divBdr>
    </w:div>
    <w:div w:id="723523194">
      <w:bodyDiv w:val="1"/>
      <w:marLeft w:val="0"/>
      <w:marRight w:val="0"/>
      <w:marTop w:val="0"/>
      <w:marBottom w:val="0"/>
      <w:divBdr>
        <w:top w:val="none" w:sz="0" w:space="0" w:color="auto"/>
        <w:left w:val="none" w:sz="0" w:space="0" w:color="auto"/>
        <w:bottom w:val="none" w:sz="0" w:space="0" w:color="auto"/>
        <w:right w:val="none" w:sz="0" w:space="0" w:color="auto"/>
      </w:divBdr>
    </w:div>
    <w:div w:id="726412579">
      <w:bodyDiv w:val="1"/>
      <w:marLeft w:val="0"/>
      <w:marRight w:val="0"/>
      <w:marTop w:val="0"/>
      <w:marBottom w:val="0"/>
      <w:divBdr>
        <w:top w:val="none" w:sz="0" w:space="0" w:color="auto"/>
        <w:left w:val="none" w:sz="0" w:space="0" w:color="auto"/>
        <w:bottom w:val="none" w:sz="0" w:space="0" w:color="auto"/>
        <w:right w:val="none" w:sz="0" w:space="0" w:color="auto"/>
      </w:divBdr>
    </w:div>
    <w:div w:id="728960710">
      <w:bodyDiv w:val="1"/>
      <w:marLeft w:val="0"/>
      <w:marRight w:val="0"/>
      <w:marTop w:val="0"/>
      <w:marBottom w:val="0"/>
      <w:divBdr>
        <w:top w:val="none" w:sz="0" w:space="0" w:color="auto"/>
        <w:left w:val="none" w:sz="0" w:space="0" w:color="auto"/>
        <w:bottom w:val="none" w:sz="0" w:space="0" w:color="auto"/>
        <w:right w:val="none" w:sz="0" w:space="0" w:color="auto"/>
      </w:divBdr>
    </w:div>
    <w:div w:id="731273919">
      <w:bodyDiv w:val="1"/>
      <w:marLeft w:val="0"/>
      <w:marRight w:val="0"/>
      <w:marTop w:val="0"/>
      <w:marBottom w:val="0"/>
      <w:divBdr>
        <w:top w:val="none" w:sz="0" w:space="0" w:color="auto"/>
        <w:left w:val="none" w:sz="0" w:space="0" w:color="auto"/>
        <w:bottom w:val="none" w:sz="0" w:space="0" w:color="auto"/>
        <w:right w:val="none" w:sz="0" w:space="0" w:color="auto"/>
      </w:divBdr>
    </w:div>
    <w:div w:id="737872258">
      <w:bodyDiv w:val="1"/>
      <w:marLeft w:val="0"/>
      <w:marRight w:val="0"/>
      <w:marTop w:val="0"/>
      <w:marBottom w:val="0"/>
      <w:divBdr>
        <w:top w:val="none" w:sz="0" w:space="0" w:color="auto"/>
        <w:left w:val="none" w:sz="0" w:space="0" w:color="auto"/>
        <w:bottom w:val="none" w:sz="0" w:space="0" w:color="auto"/>
        <w:right w:val="none" w:sz="0" w:space="0" w:color="auto"/>
      </w:divBdr>
    </w:div>
    <w:div w:id="741174130">
      <w:bodyDiv w:val="1"/>
      <w:marLeft w:val="0"/>
      <w:marRight w:val="0"/>
      <w:marTop w:val="0"/>
      <w:marBottom w:val="0"/>
      <w:divBdr>
        <w:top w:val="none" w:sz="0" w:space="0" w:color="auto"/>
        <w:left w:val="none" w:sz="0" w:space="0" w:color="auto"/>
        <w:bottom w:val="none" w:sz="0" w:space="0" w:color="auto"/>
        <w:right w:val="none" w:sz="0" w:space="0" w:color="auto"/>
      </w:divBdr>
    </w:div>
    <w:div w:id="746919295">
      <w:bodyDiv w:val="1"/>
      <w:marLeft w:val="0"/>
      <w:marRight w:val="0"/>
      <w:marTop w:val="0"/>
      <w:marBottom w:val="0"/>
      <w:divBdr>
        <w:top w:val="none" w:sz="0" w:space="0" w:color="auto"/>
        <w:left w:val="none" w:sz="0" w:space="0" w:color="auto"/>
        <w:bottom w:val="none" w:sz="0" w:space="0" w:color="auto"/>
        <w:right w:val="none" w:sz="0" w:space="0" w:color="auto"/>
      </w:divBdr>
    </w:div>
    <w:div w:id="755058891">
      <w:bodyDiv w:val="1"/>
      <w:marLeft w:val="0"/>
      <w:marRight w:val="0"/>
      <w:marTop w:val="0"/>
      <w:marBottom w:val="0"/>
      <w:divBdr>
        <w:top w:val="none" w:sz="0" w:space="0" w:color="auto"/>
        <w:left w:val="none" w:sz="0" w:space="0" w:color="auto"/>
        <w:bottom w:val="none" w:sz="0" w:space="0" w:color="auto"/>
        <w:right w:val="none" w:sz="0" w:space="0" w:color="auto"/>
      </w:divBdr>
    </w:div>
    <w:div w:id="763496922">
      <w:bodyDiv w:val="1"/>
      <w:marLeft w:val="0"/>
      <w:marRight w:val="0"/>
      <w:marTop w:val="0"/>
      <w:marBottom w:val="0"/>
      <w:divBdr>
        <w:top w:val="none" w:sz="0" w:space="0" w:color="auto"/>
        <w:left w:val="none" w:sz="0" w:space="0" w:color="auto"/>
        <w:bottom w:val="none" w:sz="0" w:space="0" w:color="auto"/>
        <w:right w:val="none" w:sz="0" w:space="0" w:color="auto"/>
      </w:divBdr>
    </w:div>
    <w:div w:id="767581255">
      <w:bodyDiv w:val="1"/>
      <w:marLeft w:val="0"/>
      <w:marRight w:val="0"/>
      <w:marTop w:val="0"/>
      <w:marBottom w:val="0"/>
      <w:divBdr>
        <w:top w:val="none" w:sz="0" w:space="0" w:color="auto"/>
        <w:left w:val="none" w:sz="0" w:space="0" w:color="auto"/>
        <w:bottom w:val="none" w:sz="0" w:space="0" w:color="auto"/>
        <w:right w:val="none" w:sz="0" w:space="0" w:color="auto"/>
      </w:divBdr>
    </w:div>
    <w:div w:id="770054114">
      <w:bodyDiv w:val="1"/>
      <w:marLeft w:val="0"/>
      <w:marRight w:val="0"/>
      <w:marTop w:val="0"/>
      <w:marBottom w:val="0"/>
      <w:divBdr>
        <w:top w:val="none" w:sz="0" w:space="0" w:color="auto"/>
        <w:left w:val="none" w:sz="0" w:space="0" w:color="auto"/>
        <w:bottom w:val="none" w:sz="0" w:space="0" w:color="auto"/>
        <w:right w:val="none" w:sz="0" w:space="0" w:color="auto"/>
      </w:divBdr>
    </w:div>
    <w:div w:id="770469500">
      <w:bodyDiv w:val="1"/>
      <w:marLeft w:val="0"/>
      <w:marRight w:val="0"/>
      <w:marTop w:val="0"/>
      <w:marBottom w:val="0"/>
      <w:divBdr>
        <w:top w:val="none" w:sz="0" w:space="0" w:color="auto"/>
        <w:left w:val="none" w:sz="0" w:space="0" w:color="auto"/>
        <w:bottom w:val="none" w:sz="0" w:space="0" w:color="auto"/>
        <w:right w:val="none" w:sz="0" w:space="0" w:color="auto"/>
      </w:divBdr>
    </w:div>
    <w:div w:id="773789614">
      <w:bodyDiv w:val="1"/>
      <w:marLeft w:val="0"/>
      <w:marRight w:val="0"/>
      <w:marTop w:val="0"/>
      <w:marBottom w:val="0"/>
      <w:divBdr>
        <w:top w:val="none" w:sz="0" w:space="0" w:color="auto"/>
        <w:left w:val="none" w:sz="0" w:space="0" w:color="auto"/>
        <w:bottom w:val="none" w:sz="0" w:space="0" w:color="auto"/>
        <w:right w:val="none" w:sz="0" w:space="0" w:color="auto"/>
      </w:divBdr>
    </w:div>
    <w:div w:id="786967755">
      <w:bodyDiv w:val="1"/>
      <w:marLeft w:val="0"/>
      <w:marRight w:val="0"/>
      <w:marTop w:val="0"/>
      <w:marBottom w:val="0"/>
      <w:divBdr>
        <w:top w:val="none" w:sz="0" w:space="0" w:color="auto"/>
        <w:left w:val="none" w:sz="0" w:space="0" w:color="auto"/>
        <w:bottom w:val="none" w:sz="0" w:space="0" w:color="auto"/>
        <w:right w:val="none" w:sz="0" w:space="0" w:color="auto"/>
      </w:divBdr>
    </w:div>
    <w:div w:id="787893429">
      <w:bodyDiv w:val="1"/>
      <w:marLeft w:val="0"/>
      <w:marRight w:val="0"/>
      <w:marTop w:val="0"/>
      <w:marBottom w:val="0"/>
      <w:divBdr>
        <w:top w:val="none" w:sz="0" w:space="0" w:color="auto"/>
        <w:left w:val="none" w:sz="0" w:space="0" w:color="auto"/>
        <w:bottom w:val="none" w:sz="0" w:space="0" w:color="auto"/>
        <w:right w:val="none" w:sz="0" w:space="0" w:color="auto"/>
      </w:divBdr>
    </w:div>
    <w:div w:id="798114128">
      <w:bodyDiv w:val="1"/>
      <w:marLeft w:val="0"/>
      <w:marRight w:val="0"/>
      <w:marTop w:val="0"/>
      <w:marBottom w:val="0"/>
      <w:divBdr>
        <w:top w:val="none" w:sz="0" w:space="0" w:color="auto"/>
        <w:left w:val="none" w:sz="0" w:space="0" w:color="auto"/>
        <w:bottom w:val="none" w:sz="0" w:space="0" w:color="auto"/>
        <w:right w:val="none" w:sz="0" w:space="0" w:color="auto"/>
      </w:divBdr>
    </w:div>
    <w:div w:id="802232400">
      <w:bodyDiv w:val="1"/>
      <w:marLeft w:val="0"/>
      <w:marRight w:val="0"/>
      <w:marTop w:val="0"/>
      <w:marBottom w:val="0"/>
      <w:divBdr>
        <w:top w:val="none" w:sz="0" w:space="0" w:color="auto"/>
        <w:left w:val="none" w:sz="0" w:space="0" w:color="auto"/>
        <w:bottom w:val="none" w:sz="0" w:space="0" w:color="auto"/>
        <w:right w:val="none" w:sz="0" w:space="0" w:color="auto"/>
      </w:divBdr>
    </w:div>
    <w:div w:id="802385471">
      <w:bodyDiv w:val="1"/>
      <w:marLeft w:val="0"/>
      <w:marRight w:val="0"/>
      <w:marTop w:val="0"/>
      <w:marBottom w:val="0"/>
      <w:divBdr>
        <w:top w:val="none" w:sz="0" w:space="0" w:color="auto"/>
        <w:left w:val="none" w:sz="0" w:space="0" w:color="auto"/>
        <w:bottom w:val="none" w:sz="0" w:space="0" w:color="auto"/>
        <w:right w:val="none" w:sz="0" w:space="0" w:color="auto"/>
      </w:divBdr>
    </w:div>
    <w:div w:id="815071519">
      <w:bodyDiv w:val="1"/>
      <w:marLeft w:val="0"/>
      <w:marRight w:val="0"/>
      <w:marTop w:val="0"/>
      <w:marBottom w:val="0"/>
      <w:divBdr>
        <w:top w:val="none" w:sz="0" w:space="0" w:color="auto"/>
        <w:left w:val="none" w:sz="0" w:space="0" w:color="auto"/>
        <w:bottom w:val="none" w:sz="0" w:space="0" w:color="auto"/>
        <w:right w:val="none" w:sz="0" w:space="0" w:color="auto"/>
      </w:divBdr>
    </w:div>
    <w:div w:id="815995374">
      <w:bodyDiv w:val="1"/>
      <w:marLeft w:val="0"/>
      <w:marRight w:val="0"/>
      <w:marTop w:val="0"/>
      <w:marBottom w:val="0"/>
      <w:divBdr>
        <w:top w:val="none" w:sz="0" w:space="0" w:color="auto"/>
        <w:left w:val="none" w:sz="0" w:space="0" w:color="auto"/>
        <w:bottom w:val="none" w:sz="0" w:space="0" w:color="auto"/>
        <w:right w:val="none" w:sz="0" w:space="0" w:color="auto"/>
      </w:divBdr>
    </w:div>
    <w:div w:id="821392994">
      <w:bodyDiv w:val="1"/>
      <w:marLeft w:val="0"/>
      <w:marRight w:val="0"/>
      <w:marTop w:val="0"/>
      <w:marBottom w:val="0"/>
      <w:divBdr>
        <w:top w:val="none" w:sz="0" w:space="0" w:color="auto"/>
        <w:left w:val="none" w:sz="0" w:space="0" w:color="auto"/>
        <w:bottom w:val="none" w:sz="0" w:space="0" w:color="auto"/>
        <w:right w:val="none" w:sz="0" w:space="0" w:color="auto"/>
      </w:divBdr>
    </w:div>
    <w:div w:id="821964653">
      <w:bodyDiv w:val="1"/>
      <w:marLeft w:val="0"/>
      <w:marRight w:val="0"/>
      <w:marTop w:val="0"/>
      <w:marBottom w:val="0"/>
      <w:divBdr>
        <w:top w:val="none" w:sz="0" w:space="0" w:color="auto"/>
        <w:left w:val="none" w:sz="0" w:space="0" w:color="auto"/>
        <w:bottom w:val="none" w:sz="0" w:space="0" w:color="auto"/>
        <w:right w:val="none" w:sz="0" w:space="0" w:color="auto"/>
      </w:divBdr>
    </w:div>
    <w:div w:id="831333295">
      <w:bodyDiv w:val="1"/>
      <w:marLeft w:val="0"/>
      <w:marRight w:val="0"/>
      <w:marTop w:val="0"/>
      <w:marBottom w:val="0"/>
      <w:divBdr>
        <w:top w:val="none" w:sz="0" w:space="0" w:color="auto"/>
        <w:left w:val="none" w:sz="0" w:space="0" w:color="auto"/>
        <w:bottom w:val="none" w:sz="0" w:space="0" w:color="auto"/>
        <w:right w:val="none" w:sz="0" w:space="0" w:color="auto"/>
      </w:divBdr>
    </w:div>
    <w:div w:id="842935760">
      <w:bodyDiv w:val="1"/>
      <w:marLeft w:val="0"/>
      <w:marRight w:val="0"/>
      <w:marTop w:val="0"/>
      <w:marBottom w:val="0"/>
      <w:divBdr>
        <w:top w:val="none" w:sz="0" w:space="0" w:color="auto"/>
        <w:left w:val="none" w:sz="0" w:space="0" w:color="auto"/>
        <w:bottom w:val="none" w:sz="0" w:space="0" w:color="auto"/>
        <w:right w:val="none" w:sz="0" w:space="0" w:color="auto"/>
      </w:divBdr>
    </w:div>
    <w:div w:id="846483262">
      <w:bodyDiv w:val="1"/>
      <w:marLeft w:val="0"/>
      <w:marRight w:val="0"/>
      <w:marTop w:val="0"/>
      <w:marBottom w:val="0"/>
      <w:divBdr>
        <w:top w:val="none" w:sz="0" w:space="0" w:color="auto"/>
        <w:left w:val="none" w:sz="0" w:space="0" w:color="auto"/>
        <w:bottom w:val="none" w:sz="0" w:space="0" w:color="auto"/>
        <w:right w:val="none" w:sz="0" w:space="0" w:color="auto"/>
      </w:divBdr>
    </w:div>
    <w:div w:id="847259404">
      <w:bodyDiv w:val="1"/>
      <w:marLeft w:val="0"/>
      <w:marRight w:val="0"/>
      <w:marTop w:val="0"/>
      <w:marBottom w:val="0"/>
      <w:divBdr>
        <w:top w:val="none" w:sz="0" w:space="0" w:color="auto"/>
        <w:left w:val="none" w:sz="0" w:space="0" w:color="auto"/>
        <w:bottom w:val="none" w:sz="0" w:space="0" w:color="auto"/>
        <w:right w:val="none" w:sz="0" w:space="0" w:color="auto"/>
      </w:divBdr>
    </w:div>
    <w:div w:id="850796627">
      <w:bodyDiv w:val="1"/>
      <w:marLeft w:val="0"/>
      <w:marRight w:val="0"/>
      <w:marTop w:val="0"/>
      <w:marBottom w:val="0"/>
      <w:divBdr>
        <w:top w:val="none" w:sz="0" w:space="0" w:color="auto"/>
        <w:left w:val="none" w:sz="0" w:space="0" w:color="auto"/>
        <w:bottom w:val="none" w:sz="0" w:space="0" w:color="auto"/>
        <w:right w:val="none" w:sz="0" w:space="0" w:color="auto"/>
      </w:divBdr>
    </w:div>
    <w:div w:id="853039116">
      <w:bodyDiv w:val="1"/>
      <w:marLeft w:val="0"/>
      <w:marRight w:val="0"/>
      <w:marTop w:val="0"/>
      <w:marBottom w:val="0"/>
      <w:divBdr>
        <w:top w:val="none" w:sz="0" w:space="0" w:color="auto"/>
        <w:left w:val="none" w:sz="0" w:space="0" w:color="auto"/>
        <w:bottom w:val="none" w:sz="0" w:space="0" w:color="auto"/>
        <w:right w:val="none" w:sz="0" w:space="0" w:color="auto"/>
      </w:divBdr>
    </w:div>
    <w:div w:id="853108627">
      <w:bodyDiv w:val="1"/>
      <w:marLeft w:val="0"/>
      <w:marRight w:val="0"/>
      <w:marTop w:val="0"/>
      <w:marBottom w:val="0"/>
      <w:divBdr>
        <w:top w:val="none" w:sz="0" w:space="0" w:color="auto"/>
        <w:left w:val="none" w:sz="0" w:space="0" w:color="auto"/>
        <w:bottom w:val="none" w:sz="0" w:space="0" w:color="auto"/>
        <w:right w:val="none" w:sz="0" w:space="0" w:color="auto"/>
      </w:divBdr>
    </w:div>
    <w:div w:id="864707403">
      <w:bodyDiv w:val="1"/>
      <w:marLeft w:val="0"/>
      <w:marRight w:val="0"/>
      <w:marTop w:val="0"/>
      <w:marBottom w:val="0"/>
      <w:divBdr>
        <w:top w:val="none" w:sz="0" w:space="0" w:color="auto"/>
        <w:left w:val="none" w:sz="0" w:space="0" w:color="auto"/>
        <w:bottom w:val="none" w:sz="0" w:space="0" w:color="auto"/>
        <w:right w:val="none" w:sz="0" w:space="0" w:color="auto"/>
      </w:divBdr>
    </w:div>
    <w:div w:id="869152064">
      <w:bodyDiv w:val="1"/>
      <w:marLeft w:val="0"/>
      <w:marRight w:val="0"/>
      <w:marTop w:val="0"/>
      <w:marBottom w:val="0"/>
      <w:divBdr>
        <w:top w:val="none" w:sz="0" w:space="0" w:color="auto"/>
        <w:left w:val="none" w:sz="0" w:space="0" w:color="auto"/>
        <w:bottom w:val="none" w:sz="0" w:space="0" w:color="auto"/>
        <w:right w:val="none" w:sz="0" w:space="0" w:color="auto"/>
      </w:divBdr>
    </w:div>
    <w:div w:id="872308820">
      <w:bodyDiv w:val="1"/>
      <w:marLeft w:val="0"/>
      <w:marRight w:val="0"/>
      <w:marTop w:val="0"/>
      <w:marBottom w:val="0"/>
      <w:divBdr>
        <w:top w:val="none" w:sz="0" w:space="0" w:color="auto"/>
        <w:left w:val="none" w:sz="0" w:space="0" w:color="auto"/>
        <w:bottom w:val="none" w:sz="0" w:space="0" w:color="auto"/>
        <w:right w:val="none" w:sz="0" w:space="0" w:color="auto"/>
      </w:divBdr>
    </w:div>
    <w:div w:id="876508091">
      <w:bodyDiv w:val="1"/>
      <w:marLeft w:val="0"/>
      <w:marRight w:val="0"/>
      <w:marTop w:val="0"/>
      <w:marBottom w:val="0"/>
      <w:divBdr>
        <w:top w:val="none" w:sz="0" w:space="0" w:color="auto"/>
        <w:left w:val="none" w:sz="0" w:space="0" w:color="auto"/>
        <w:bottom w:val="none" w:sz="0" w:space="0" w:color="auto"/>
        <w:right w:val="none" w:sz="0" w:space="0" w:color="auto"/>
      </w:divBdr>
    </w:div>
    <w:div w:id="881206526">
      <w:bodyDiv w:val="1"/>
      <w:marLeft w:val="0"/>
      <w:marRight w:val="0"/>
      <w:marTop w:val="0"/>
      <w:marBottom w:val="0"/>
      <w:divBdr>
        <w:top w:val="none" w:sz="0" w:space="0" w:color="auto"/>
        <w:left w:val="none" w:sz="0" w:space="0" w:color="auto"/>
        <w:bottom w:val="none" w:sz="0" w:space="0" w:color="auto"/>
        <w:right w:val="none" w:sz="0" w:space="0" w:color="auto"/>
      </w:divBdr>
    </w:div>
    <w:div w:id="883172836">
      <w:bodyDiv w:val="1"/>
      <w:marLeft w:val="0"/>
      <w:marRight w:val="0"/>
      <w:marTop w:val="0"/>
      <w:marBottom w:val="0"/>
      <w:divBdr>
        <w:top w:val="none" w:sz="0" w:space="0" w:color="auto"/>
        <w:left w:val="none" w:sz="0" w:space="0" w:color="auto"/>
        <w:bottom w:val="none" w:sz="0" w:space="0" w:color="auto"/>
        <w:right w:val="none" w:sz="0" w:space="0" w:color="auto"/>
      </w:divBdr>
    </w:div>
    <w:div w:id="885020381">
      <w:bodyDiv w:val="1"/>
      <w:marLeft w:val="0"/>
      <w:marRight w:val="0"/>
      <w:marTop w:val="0"/>
      <w:marBottom w:val="0"/>
      <w:divBdr>
        <w:top w:val="none" w:sz="0" w:space="0" w:color="auto"/>
        <w:left w:val="none" w:sz="0" w:space="0" w:color="auto"/>
        <w:bottom w:val="none" w:sz="0" w:space="0" w:color="auto"/>
        <w:right w:val="none" w:sz="0" w:space="0" w:color="auto"/>
      </w:divBdr>
    </w:div>
    <w:div w:id="890459220">
      <w:bodyDiv w:val="1"/>
      <w:marLeft w:val="0"/>
      <w:marRight w:val="0"/>
      <w:marTop w:val="0"/>
      <w:marBottom w:val="0"/>
      <w:divBdr>
        <w:top w:val="none" w:sz="0" w:space="0" w:color="auto"/>
        <w:left w:val="none" w:sz="0" w:space="0" w:color="auto"/>
        <w:bottom w:val="none" w:sz="0" w:space="0" w:color="auto"/>
        <w:right w:val="none" w:sz="0" w:space="0" w:color="auto"/>
      </w:divBdr>
    </w:div>
    <w:div w:id="892085739">
      <w:bodyDiv w:val="1"/>
      <w:marLeft w:val="0"/>
      <w:marRight w:val="0"/>
      <w:marTop w:val="0"/>
      <w:marBottom w:val="0"/>
      <w:divBdr>
        <w:top w:val="none" w:sz="0" w:space="0" w:color="auto"/>
        <w:left w:val="none" w:sz="0" w:space="0" w:color="auto"/>
        <w:bottom w:val="none" w:sz="0" w:space="0" w:color="auto"/>
        <w:right w:val="none" w:sz="0" w:space="0" w:color="auto"/>
      </w:divBdr>
    </w:div>
    <w:div w:id="894632187">
      <w:bodyDiv w:val="1"/>
      <w:marLeft w:val="0"/>
      <w:marRight w:val="0"/>
      <w:marTop w:val="0"/>
      <w:marBottom w:val="0"/>
      <w:divBdr>
        <w:top w:val="none" w:sz="0" w:space="0" w:color="auto"/>
        <w:left w:val="none" w:sz="0" w:space="0" w:color="auto"/>
        <w:bottom w:val="none" w:sz="0" w:space="0" w:color="auto"/>
        <w:right w:val="none" w:sz="0" w:space="0" w:color="auto"/>
      </w:divBdr>
    </w:div>
    <w:div w:id="919755201">
      <w:bodyDiv w:val="1"/>
      <w:marLeft w:val="0"/>
      <w:marRight w:val="0"/>
      <w:marTop w:val="0"/>
      <w:marBottom w:val="0"/>
      <w:divBdr>
        <w:top w:val="none" w:sz="0" w:space="0" w:color="auto"/>
        <w:left w:val="none" w:sz="0" w:space="0" w:color="auto"/>
        <w:bottom w:val="none" w:sz="0" w:space="0" w:color="auto"/>
        <w:right w:val="none" w:sz="0" w:space="0" w:color="auto"/>
      </w:divBdr>
    </w:div>
    <w:div w:id="920679011">
      <w:bodyDiv w:val="1"/>
      <w:marLeft w:val="0"/>
      <w:marRight w:val="0"/>
      <w:marTop w:val="0"/>
      <w:marBottom w:val="0"/>
      <w:divBdr>
        <w:top w:val="none" w:sz="0" w:space="0" w:color="auto"/>
        <w:left w:val="none" w:sz="0" w:space="0" w:color="auto"/>
        <w:bottom w:val="none" w:sz="0" w:space="0" w:color="auto"/>
        <w:right w:val="none" w:sz="0" w:space="0" w:color="auto"/>
      </w:divBdr>
    </w:div>
    <w:div w:id="922953894">
      <w:bodyDiv w:val="1"/>
      <w:marLeft w:val="0"/>
      <w:marRight w:val="0"/>
      <w:marTop w:val="0"/>
      <w:marBottom w:val="0"/>
      <w:divBdr>
        <w:top w:val="none" w:sz="0" w:space="0" w:color="auto"/>
        <w:left w:val="none" w:sz="0" w:space="0" w:color="auto"/>
        <w:bottom w:val="none" w:sz="0" w:space="0" w:color="auto"/>
        <w:right w:val="none" w:sz="0" w:space="0" w:color="auto"/>
      </w:divBdr>
    </w:div>
    <w:div w:id="924798463">
      <w:bodyDiv w:val="1"/>
      <w:marLeft w:val="0"/>
      <w:marRight w:val="0"/>
      <w:marTop w:val="0"/>
      <w:marBottom w:val="0"/>
      <w:divBdr>
        <w:top w:val="none" w:sz="0" w:space="0" w:color="auto"/>
        <w:left w:val="none" w:sz="0" w:space="0" w:color="auto"/>
        <w:bottom w:val="none" w:sz="0" w:space="0" w:color="auto"/>
        <w:right w:val="none" w:sz="0" w:space="0" w:color="auto"/>
      </w:divBdr>
    </w:div>
    <w:div w:id="929123102">
      <w:bodyDiv w:val="1"/>
      <w:marLeft w:val="0"/>
      <w:marRight w:val="0"/>
      <w:marTop w:val="0"/>
      <w:marBottom w:val="0"/>
      <w:divBdr>
        <w:top w:val="none" w:sz="0" w:space="0" w:color="auto"/>
        <w:left w:val="none" w:sz="0" w:space="0" w:color="auto"/>
        <w:bottom w:val="none" w:sz="0" w:space="0" w:color="auto"/>
        <w:right w:val="none" w:sz="0" w:space="0" w:color="auto"/>
      </w:divBdr>
    </w:div>
    <w:div w:id="934484667">
      <w:bodyDiv w:val="1"/>
      <w:marLeft w:val="0"/>
      <w:marRight w:val="0"/>
      <w:marTop w:val="0"/>
      <w:marBottom w:val="0"/>
      <w:divBdr>
        <w:top w:val="none" w:sz="0" w:space="0" w:color="auto"/>
        <w:left w:val="none" w:sz="0" w:space="0" w:color="auto"/>
        <w:bottom w:val="none" w:sz="0" w:space="0" w:color="auto"/>
        <w:right w:val="none" w:sz="0" w:space="0" w:color="auto"/>
      </w:divBdr>
    </w:div>
    <w:div w:id="935093997">
      <w:bodyDiv w:val="1"/>
      <w:marLeft w:val="0"/>
      <w:marRight w:val="0"/>
      <w:marTop w:val="0"/>
      <w:marBottom w:val="0"/>
      <w:divBdr>
        <w:top w:val="none" w:sz="0" w:space="0" w:color="auto"/>
        <w:left w:val="none" w:sz="0" w:space="0" w:color="auto"/>
        <w:bottom w:val="none" w:sz="0" w:space="0" w:color="auto"/>
        <w:right w:val="none" w:sz="0" w:space="0" w:color="auto"/>
      </w:divBdr>
    </w:div>
    <w:div w:id="941184430">
      <w:bodyDiv w:val="1"/>
      <w:marLeft w:val="0"/>
      <w:marRight w:val="0"/>
      <w:marTop w:val="0"/>
      <w:marBottom w:val="0"/>
      <w:divBdr>
        <w:top w:val="none" w:sz="0" w:space="0" w:color="auto"/>
        <w:left w:val="none" w:sz="0" w:space="0" w:color="auto"/>
        <w:bottom w:val="none" w:sz="0" w:space="0" w:color="auto"/>
        <w:right w:val="none" w:sz="0" w:space="0" w:color="auto"/>
      </w:divBdr>
    </w:div>
    <w:div w:id="957957778">
      <w:bodyDiv w:val="1"/>
      <w:marLeft w:val="0"/>
      <w:marRight w:val="0"/>
      <w:marTop w:val="0"/>
      <w:marBottom w:val="0"/>
      <w:divBdr>
        <w:top w:val="none" w:sz="0" w:space="0" w:color="auto"/>
        <w:left w:val="none" w:sz="0" w:space="0" w:color="auto"/>
        <w:bottom w:val="none" w:sz="0" w:space="0" w:color="auto"/>
        <w:right w:val="none" w:sz="0" w:space="0" w:color="auto"/>
      </w:divBdr>
    </w:div>
    <w:div w:id="968246463">
      <w:bodyDiv w:val="1"/>
      <w:marLeft w:val="0"/>
      <w:marRight w:val="0"/>
      <w:marTop w:val="0"/>
      <w:marBottom w:val="0"/>
      <w:divBdr>
        <w:top w:val="none" w:sz="0" w:space="0" w:color="auto"/>
        <w:left w:val="none" w:sz="0" w:space="0" w:color="auto"/>
        <w:bottom w:val="none" w:sz="0" w:space="0" w:color="auto"/>
        <w:right w:val="none" w:sz="0" w:space="0" w:color="auto"/>
      </w:divBdr>
    </w:div>
    <w:div w:id="969700676">
      <w:bodyDiv w:val="1"/>
      <w:marLeft w:val="0"/>
      <w:marRight w:val="0"/>
      <w:marTop w:val="0"/>
      <w:marBottom w:val="0"/>
      <w:divBdr>
        <w:top w:val="none" w:sz="0" w:space="0" w:color="auto"/>
        <w:left w:val="none" w:sz="0" w:space="0" w:color="auto"/>
        <w:bottom w:val="none" w:sz="0" w:space="0" w:color="auto"/>
        <w:right w:val="none" w:sz="0" w:space="0" w:color="auto"/>
      </w:divBdr>
    </w:div>
    <w:div w:id="981547195">
      <w:bodyDiv w:val="1"/>
      <w:marLeft w:val="0"/>
      <w:marRight w:val="0"/>
      <w:marTop w:val="0"/>
      <w:marBottom w:val="0"/>
      <w:divBdr>
        <w:top w:val="none" w:sz="0" w:space="0" w:color="auto"/>
        <w:left w:val="none" w:sz="0" w:space="0" w:color="auto"/>
        <w:bottom w:val="none" w:sz="0" w:space="0" w:color="auto"/>
        <w:right w:val="none" w:sz="0" w:space="0" w:color="auto"/>
      </w:divBdr>
    </w:div>
    <w:div w:id="982659010">
      <w:bodyDiv w:val="1"/>
      <w:marLeft w:val="0"/>
      <w:marRight w:val="0"/>
      <w:marTop w:val="0"/>
      <w:marBottom w:val="0"/>
      <w:divBdr>
        <w:top w:val="none" w:sz="0" w:space="0" w:color="auto"/>
        <w:left w:val="none" w:sz="0" w:space="0" w:color="auto"/>
        <w:bottom w:val="none" w:sz="0" w:space="0" w:color="auto"/>
        <w:right w:val="none" w:sz="0" w:space="0" w:color="auto"/>
      </w:divBdr>
    </w:div>
    <w:div w:id="991757436">
      <w:bodyDiv w:val="1"/>
      <w:marLeft w:val="0"/>
      <w:marRight w:val="0"/>
      <w:marTop w:val="0"/>
      <w:marBottom w:val="0"/>
      <w:divBdr>
        <w:top w:val="none" w:sz="0" w:space="0" w:color="auto"/>
        <w:left w:val="none" w:sz="0" w:space="0" w:color="auto"/>
        <w:bottom w:val="none" w:sz="0" w:space="0" w:color="auto"/>
        <w:right w:val="none" w:sz="0" w:space="0" w:color="auto"/>
      </w:divBdr>
    </w:div>
    <w:div w:id="1002047182">
      <w:bodyDiv w:val="1"/>
      <w:marLeft w:val="0"/>
      <w:marRight w:val="0"/>
      <w:marTop w:val="0"/>
      <w:marBottom w:val="0"/>
      <w:divBdr>
        <w:top w:val="none" w:sz="0" w:space="0" w:color="auto"/>
        <w:left w:val="none" w:sz="0" w:space="0" w:color="auto"/>
        <w:bottom w:val="none" w:sz="0" w:space="0" w:color="auto"/>
        <w:right w:val="none" w:sz="0" w:space="0" w:color="auto"/>
      </w:divBdr>
    </w:div>
    <w:div w:id="1004822896">
      <w:bodyDiv w:val="1"/>
      <w:marLeft w:val="0"/>
      <w:marRight w:val="0"/>
      <w:marTop w:val="0"/>
      <w:marBottom w:val="0"/>
      <w:divBdr>
        <w:top w:val="none" w:sz="0" w:space="0" w:color="auto"/>
        <w:left w:val="none" w:sz="0" w:space="0" w:color="auto"/>
        <w:bottom w:val="none" w:sz="0" w:space="0" w:color="auto"/>
        <w:right w:val="none" w:sz="0" w:space="0" w:color="auto"/>
      </w:divBdr>
    </w:div>
    <w:div w:id="1010789730">
      <w:bodyDiv w:val="1"/>
      <w:marLeft w:val="0"/>
      <w:marRight w:val="0"/>
      <w:marTop w:val="0"/>
      <w:marBottom w:val="0"/>
      <w:divBdr>
        <w:top w:val="none" w:sz="0" w:space="0" w:color="auto"/>
        <w:left w:val="none" w:sz="0" w:space="0" w:color="auto"/>
        <w:bottom w:val="none" w:sz="0" w:space="0" w:color="auto"/>
        <w:right w:val="none" w:sz="0" w:space="0" w:color="auto"/>
      </w:divBdr>
    </w:div>
    <w:div w:id="1012222974">
      <w:bodyDiv w:val="1"/>
      <w:marLeft w:val="0"/>
      <w:marRight w:val="0"/>
      <w:marTop w:val="0"/>
      <w:marBottom w:val="0"/>
      <w:divBdr>
        <w:top w:val="none" w:sz="0" w:space="0" w:color="auto"/>
        <w:left w:val="none" w:sz="0" w:space="0" w:color="auto"/>
        <w:bottom w:val="none" w:sz="0" w:space="0" w:color="auto"/>
        <w:right w:val="none" w:sz="0" w:space="0" w:color="auto"/>
      </w:divBdr>
    </w:div>
    <w:div w:id="1016082661">
      <w:bodyDiv w:val="1"/>
      <w:marLeft w:val="0"/>
      <w:marRight w:val="0"/>
      <w:marTop w:val="0"/>
      <w:marBottom w:val="0"/>
      <w:divBdr>
        <w:top w:val="none" w:sz="0" w:space="0" w:color="auto"/>
        <w:left w:val="none" w:sz="0" w:space="0" w:color="auto"/>
        <w:bottom w:val="none" w:sz="0" w:space="0" w:color="auto"/>
        <w:right w:val="none" w:sz="0" w:space="0" w:color="auto"/>
      </w:divBdr>
    </w:div>
    <w:div w:id="1025638416">
      <w:bodyDiv w:val="1"/>
      <w:marLeft w:val="0"/>
      <w:marRight w:val="0"/>
      <w:marTop w:val="0"/>
      <w:marBottom w:val="0"/>
      <w:divBdr>
        <w:top w:val="none" w:sz="0" w:space="0" w:color="auto"/>
        <w:left w:val="none" w:sz="0" w:space="0" w:color="auto"/>
        <w:bottom w:val="none" w:sz="0" w:space="0" w:color="auto"/>
        <w:right w:val="none" w:sz="0" w:space="0" w:color="auto"/>
      </w:divBdr>
    </w:div>
    <w:div w:id="1032878298">
      <w:bodyDiv w:val="1"/>
      <w:marLeft w:val="0"/>
      <w:marRight w:val="0"/>
      <w:marTop w:val="0"/>
      <w:marBottom w:val="0"/>
      <w:divBdr>
        <w:top w:val="none" w:sz="0" w:space="0" w:color="auto"/>
        <w:left w:val="none" w:sz="0" w:space="0" w:color="auto"/>
        <w:bottom w:val="none" w:sz="0" w:space="0" w:color="auto"/>
        <w:right w:val="none" w:sz="0" w:space="0" w:color="auto"/>
      </w:divBdr>
    </w:div>
    <w:div w:id="1033001372">
      <w:bodyDiv w:val="1"/>
      <w:marLeft w:val="0"/>
      <w:marRight w:val="0"/>
      <w:marTop w:val="0"/>
      <w:marBottom w:val="0"/>
      <w:divBdr>
        <w:top w:val="none" w:sz="0" w:space="0" w:color="auto"/>
        <w:left w:val="none" w:sz="0" w:space="0" w:color="auto"/>
        <w:bottom w:val="none" w:sz="0" w:space="0" w:color="auto"/>
        <w:right w:val="none" w:sz="0" w:space="0" w:color="auto"/>
      </w:divBdr>
    </w:div>
    <w:div w:id="1039017641">
      <w:bodyDiv w:val="1"/>
      <w:marLeft w:val="0"/>
      <w:marRight w:val="0"/>
      <w:marTop w:val="0"/>
      <w:marBottom w:val="0"/>
      <w:divBdr>
        <w:top w:val="none" w:sz="0" w:space="0" w:color="auto"/>
        <w:left w:val="none" w:sz="0" w:space="0" w:color="auto"/>
        <w:bottom w:val="none" w:sz="0" w:space="0" w:color="auto"/>
        <w:right w:val="none" w:sz="0" w:space="0" w:color="auto"/>
      </w:divBdr>
    </w:div>
    <w:div w:id="1044019134">
      <w:bodyDiv w:val="1"/>
      <w:marLeft w:val="0"/>
      <w:marRight w:val="0"/>
      <w:marTop w:val="0"/>
      <w:marBottom w:val="0"/>
      <w:divBdr>
        <w:top w:val="none" w:sz="0" w:space="0" w:color="auto"/>
        <w:left w:val="none" w:sz="0" w:space="0" w:color="auto"/>
        <w:bottom w:val="none" w:sz="0" w:space="0" w:color="auto"/>
        <w:right w:val="none" w:sz="0" w:space="0" w:color="auto"/>
      </w:divBdr>
    </w:div>
    <w:div w:id="1061172129">
      <w:bodyDiv w:val="1"/>
      <w:marLeft w:val="0"/>
      <w:marRight w:val="0"/>
      <w:marTop w:val="0"/>
      <w:marBottom w:val="0"/>
      <w:divBdr>
        <w:top w:val="none" w:sz="0" w:space="0" w:color="auto"/>
        <w:left w:val="none" w:sz="0" w:space="0" w:color="auto"/>
        <w:bottom w:val="none" w:sz="0" w:space="0" w:color="auto"/>
        <w:right w:val="none" w:sz="0" w:space="0" w:color="auto"/>
      </w:divBdr>
    </w:div>
    <w:div w:id="1061757193">
      <w:bodyDiv w:val="1"/>
      <w:marLeft w:val="0"/>
      <w:marRight w:val="0"/>
      <w:marTop w:val="0"/>
      <w:marBottom w:val="0"/>
      <w:divBdr>
        <w:top w:val="none" w:sz="0" w:space="0" w:color="auto"/>
        <w:left w:val="none" w:sz="0" w:space="0" w:color="auto"/>
        <w:bottom w:val="none" w:sz="0" w:space="0" w:color="auto"/>
        <w:right w:val="none" w:sz="0" w:space="0" w:color="auto"/>
      </w:divBdr>
    </w:div>
    <w:div w:id="1065031723">
      <w:bodyDiv w:val="1"/>
      <w:marLeft w:val="0"/>
      <w:marRight w:val="0"/>
      <w:marTop w:val="0"/>
      <w:marBottom w:val="0"/>
      <w:divBdr>
        <w:top w:val="none" w:sz="0" w:space="0" w:color="auto"/>
        <w:left w:val="none" w:sz="0" w:space="0" w:color="auto"/>
        <w:bottom w:val="none" w:sz="0" w:space="0" w:color="auto"/>
        <w:right w:val="none" w:sz="0" w:space="0" w:color="auto"/>
      </w:divBdr>
    </w:div>
    <w:div w:id="1072704945">
      <w:bodyDiv w:val="1"/>
      <w:marLeft w:val="0"/>
      <w:marRight w:val="0"/>
      <w:marTop w:val="0"/>
      <w:marBottom w:val="0"/>
      <w:divBdr>
        <w:top w:val="none" w:sz="0" w:space="0" w:color="auto"/>
        <w:left w:val="none" w:sz="0" w:space="0" w:color="auto"/>
        <w:bottom w:val="none" w:sz="0" w:space="0" w:color="auto"/>
        <w:right w:val="none" w:sz="0" w:space="0" w:color="auto"/>
      </w:divBdr>
    </w:div>
    <w:div w:id="1079405659">
      <w:bodyDiv w:val="1"/>
      <w:marLeft w:val="0"/>
      <w:marRight w:val="0"/>
      <w:marTop w:val="0"/>
      <w:marBottom w:val="0"/>
      <w:divBdr>
        <w:top w:val="none" w:sz="0" w:space="0" w:color="auto"/>
        <w:left w:val="none" w:sz="0" w:space="0" w:color="auto"/>
        <w:bottom w:val="none" w:sz="0" w:space="0" w:color="auto"/>
        <w:right w:val="none" w:sz="0" w:space="0" w:color="auto"/>
      </w:divBdr>
    </w:div>
    <w:div w:id="1080326249">
      <w:bodyDiv w:val="1"/>
      <w:marLeft w:val="0"/>
      <w:marRight w:val="0"/>
      <w:marTop w:val="0"/>
      <w:marBottom w:val="0"/>
      <w:divBdr>
        <w:top w:val="none" w:sz="0" w:space="0" w:color="auto"/>
        <w:left w:val="none" w:sz="0" w:space="0" w:color="auto"/>
        <w:bottom w:val="none" w:sz="0" w:space="0" w:color="auto"/>
        <w:right w:val="none" w:sz="0" w:space="0" w:color="auto"/>
      </w:divBdr>
    </w:div>
    <w:div w:id="1081491726">
      <w:bodyDiv w:val="1"/>
      <w:marLeft w:val="0"/>
      <w:marRight w:val="0"/>
      <w:marTop w:val="0"/>
      <w:marBottom w:val="0"/>
      <w:divBdr>
        <w:top w:val="none" w:sz="0" w:space="0" w:color="auto"/>
        <w:left w:val="none" w:sz="0" w:space="0" w:color="auto"/>
        <w:bottom w:val="none" w:sz="0" w:space="0" w:color="auto"/>
        <w:right w:val="none" w:sz="0" w:space="0" w:color="auto"/>
      </w:divBdr>
    </w:div>
    <w:div w:id="1083451100">
      <w:bodyDiv w:val="1"/>
      <w:marLeft w:val="0"/>
      <w:marRight w:val="0"/>
      <w:marTop w:val="0"/>
      <w:marBottom w:val="0"/>
      <w:divBdr>
        <w:top w:val="none" w:sz="0" w:space="0" w:color="auto"/>
        <w:left w:val="none" w:sz="0" w:space="0" w:color="auto"/>
        <w:bottom w:val="none" w:sz="0" w:space="0" w:color="auto"/>
        <w:right w:val="none" w:sz="0" w:space="0" w:color="auto"/>
      </w:divBdr>
    </w:div>
    <w:div w:id="1085104372">
      <w:bodyDiv w:val="1"/>
      <w:marLeft w:val="0"/>
      <w:marRight w:val="0"/>
      <w:marTop w:val="0"/>
      <w:marBottom w:val="0"/>
      <w:divBdr>
        <w:top w:val="none" w:sz="0" w:space="0" w:color="auto"/>
        <w:left w:val="none" w:sz="0" w:space="0" w:color="auto"/>
        <w:bottom w:val="none" w:sz="0" w:space="0" w:color="auto"/>
        <w:right w:val="none" w:sz="0" w:space="0" w:color="auto"/>
      </w:divBdr>
    </w:div>
    <w:div w:id="1090733498">
      <w:bodyDiv w:val="1"/>
      <w:marLeft w:val="0"/>
      <w:marRight w:val="0"/>
      <w:marTop w:val="0"/>
      <w:marBottom w:val="0"/>
      <w:divBdr>
        <w:top w:val="none" w:sz="0" w:space="0" w:color="auto"/>
        <w:left w:val="none" w:sz="0" w:space="0" w:color="auto"/>
        <w:bottom w:val="none" w:sz="0" w:space="0" w:color="auto"/>
        <w:right w:val="none" w:sz="0" w:space="0" w:color="auto"/>
      </w:divBdr>
    </w:div>
    <w:div w:id="1105347017">
      <w:bodyDiv w:val="1"/>
      <w:marLeft w:val="0"/>
      <w:marRight w:val="0"/>
      <w:marTop w:val="0"/>
      <w:marBottom w:val="0"/>
      <w:divBdr>
        <w:top w:val="none" w:sz="0" w:space="0" w:color="auto"/>
        <w:left w:val="none" w:sz="0" w:space="0" w:color="auto"/>
        <w:bottom w:val="none" w:sz="0" w:space="0" w:color="auto"/>
        <w:right w:val="none" w:sz="0" w:space="0" w:color="auto"/>
      </w:divBdr>
    </w:div>
    <w:div w:id="1108815375">
      <w:bodyDiv w:val="1"/>
      <w:marLeft w:val="0"/>
      <w:marRight w:val="0"/>
      <w:marTop w:val="0"/>
      <w:marBottom w:val="0"/>
      <w:divBdr>
        <w:top w:val="none" w:sz="0" w:space="0" w:color="auto"/>
        <w:left w:val="none" w:sz="0" w:space="0" w:color="auto"/>
        <w:bottom w:val="none" w:sz="0" w:space="0" w:color="auto"/>
        <w:right w:val="none" w:sz="0" w:space="0" w:color="auto"/>
      </w:divBdr>
    </w:div>
    <w:div w:id="1113016979">
      <w:bodyDiv w:val="1"/>
      <w:marLeft w:val="0"/>
      <w:marRight w:val="0"/>
      <w:marTop w:val="0"/>
      <w:marBottom w:val="0"/>
      <w:divBdr>
        <w:top w:val="none" w:sz="0" w:space="0" w:color="auto"/>
        <w:left w:val="none" w:sz="0" w:space="0" w:color="auto"/>
        <w:bottom w:val="none" w:sz="0" w:space="0" w:color="auto"/>
        <w:right w:val="none" w:sz="0" w:space="0" w:color="auto"/>
      </w:divBdr>
    </w:div>
    <w:div w:id="1118992478">
      <w:bodyDiv w:val="1"/>
      <w:marLeft w:val="0"/>
      <w:marRight w:val="0"/>
      <w:marTop w:val="0"/>
      <w:marBottom w:val="0"/>
      <w:divBdr>
        <w:top w:val="none" w:sz="0" w:space="0" w:color="auto"/>
        <w:left w:val="none" w:sz="0" w:space="0" w:color="auto"/>
        <w:bottom w:val="none" w:sz="0" w:space="0" w:color="auto"/>
        <w:right w:val="none" w:sz="0" w:space="0" w:color="auto"/>
      </w:divBdr>
    </w:div>
    <w:div w:id="1129125087">
      <w:bodyDiv w:val="1"/>
      <w:marLeft w:val="0"/>
      <w:marRight w:val="0"/>
      <w:marTop w:val="0"/>
      <w:marBottom w:val="0"/>
      <w:divBdr>
        <w:top w:val="none" w:sz="0" w:space="0" w:color="auto"/>
        <w:left w:val="none" w:sz="0" w:space="0" w:color="auto"/>
        <w:bottom w:val="none" w:sz="0" w:space="0" w:color="auto"/>
        <w:right w:val="none" w:sz="0" w:space="0" w:color="auto"/>
      </w:divBdr>
    </w:div>
    <w:div w:id="1130322110">
      <w:bodyDiv w:val="1"/>
      <w:marLeft w:val="0"/>
      <w:marRight w:val="0"/>
      <w:marTop w:val="0"/>
      <w:marBottom w:val="0"/>
      <w:divBdr>
        <w:top w:val="none" w:sz="0" w:space="0" w:color="auto"/>
        <w:left w:val="none" w:sz="0" w:space="0" w:color="auto"/>
        <w:bottom w:val="none" w:sz="0" w:space="0" w:color="auto"/>
        <w:right w:val="none" w:sz="0" w:space="0" w:color="auto"/>
      </w:divBdr>
    </w:div>
    <w:div w:id="1131628152">
      <w:bodyDiv w:val="1"/>
      <w:marLeft w:val="0"/>
      <w:marRight w:val="0"/>
      <w:marTop w:val="0"/>
      <w:marBottom w:val="0"/>
      <w:divBdr>
        <w:top w:val="none" w:sz="0" w:space="0" w:color="auto"/>
        <w:left w:val="none" w:sz="0" w:space="0" w:color="auto"/>
        <w:bottom w:val="none" w:sz="0" w:space="0" w:color="auto"/>
        <w:right w:val="none" w:sz="0" w:space="0" w:color="auto"/>
      </w:divBdr>
    </w:div>
    <w:div w:id="1132558799">
      <w:bodyDiv w:val="1"/>
      <w:marLeft w:val="0"/>
      <w:marRight w:val="0"/>
      <w:marTop w:val="0"/>
      <w:marBottom w:val="0"/>
      <w:divBdr>
        <w:top w:val="none" w:sz="0" w:space="0" w:color="auto"/>
        <w:left w:val="none" w:sz="0" w:space="0" w:color="auto"/>
        <w:bottom w:val="none" w:sz="0" w:space="0" w:color="auto"/>
        <w:right w:val="none" w:sz="0" w:space="0" w:color="auto"/>
      </w:divBdr>
    </w:div>
    <w:div w:id="1146512103">
      <w:bodyDiv w:val="1"/>
      <w:marLeft w:val="0"/>
      <w:marRight w:val="0"/>
      <w:marTop w:val="0"/>
      <w:marBottom w:val="0"/>
      <w:divBdr>
        <w:top w:val="none" w:sz="0" w:space="0" w:color="auto"/>
        <w:left w:val="none" w:sz="0" w:space="0" w:color="auto"/>
        <w:bottom w:val="none" w:sz="0" w:space="0" w:color="auto"/>
        <w:right w:val="none" w:sz="0" w:space="0" w:color="auto"/>
      </w:divBdr>
    </w:div>
    <w:div w:id="1148011857">
      <w:bodyDiv w:val="1"/>
      <w:marLeft w:val="0"/>
      <w:marRight w:val="0"/>
      <w:marTop w:val="0"/>
      <w:marBottom w:val="0"/>
      <w:divBdr>
        <w:top w:val="none" w:sz="0" w:space="0" w:color="auto"/>
        <w:left w:val="none" w:sz="0" w:space="0" w:color="auto"/>
        <w:bottom w:val="none" w:sz="0" w:space="0" w:color="auto"/>
        <w:right w:val="none" w:sz="0" w:space="0" w:color="auto"/>
      </w:divBdr>
    </w:div>
    <w:div w:id="1160193409">
      <w:bodyDiv w:val="1"/>
      <w:marLeft w:val="0"/>
      <w:marRight w:val="0"/>
      <w:marTop w:val="0"/>
      <w:marBottom w:val="0"/>
      <w:divBdr>
        <w:top w:val="none" w:sz="0" w:space="0" w:color="auto"/>
        <w:left w:val="none" w:sz="0" w:space="0" w:color="auto"/>
        <w:bottom w:val="none" w:sz="0" w:space="0" w:color="auto"/>
        <w:right w:val="none" w:sz="0" w:space="0" w:color="auto"/>
      </w:divBdr>
    </w:div>
    <w:div w:id="1172453194">
      <w:bodyDiv w:val="1"/>
      <w:marLeft w:val="0"/>
      <w:marRight w:val="0"/>
      <w:marTop w:val="0"/>
      <w:marBottom w:val="0"/>
      <w:divBdr>
        <w:top w:val="none" w:sz="0" w:space="0" w:color="auto"/>
        <w:left w:val="none" w:sz="0" w:space="0" w:color="auto"/>
        <w:bottom w:val="none" w:sz="0" w:space="0" w:color="auto"/>
        <w:right w:val="none" w:sz="0" w:space="0" w:color="auto"/>
      </w:divBdr>
    </w:div>
    <w:div w:id="1176191018">
      <w:bodyDiv w:val="1"/>
      <w:marLeft w:val="0"/>
      <w:marRight w:val="0"/>
      <w:marTop w:val="0"/>
      <w:marBottom w:val="0"/>
      <w:divBdr>
        <w:top w:val="none" w:sz="0" w:space="0" w:color="auto"/>
        <w:left w:val="none" w:sz="0" w:space="0" w:color="auto"/>
        <w:bottom w:val="none" w:sz="0" w:space="0" w:color="auto"/>
        <w:right w:val="none" w:sz="0" w:space="0" w:color="auto"/>
      </w:divBdr>
    </w:div>
    <w:div w:id="1181579859">
      <w:bodyDiv w:val="1"/>
      <w:marLeft w:val="0"/>
      <w:marRight w:val="0"/>
      <w:marTop w:val="0"/>
      <w:marBottom w:val="0"/>
      <w:divBdr>
        <w:top w:val="none" w:sz="0" w:space="0" w:color="auto"/>
        <w:left w:val="none" w:sz="0" w:space="0" w:color="auto"/>
        <w:bottom w:val="none" w:sz="0" w:space="0" w:color="auto"/>
        <w:right w:val="none" w:sz="0" w:space="0" w:color="auto"/>
      </w:divBdr>
    </w:div>
    <w:div w:id="1194925859">
      <w:bodyDiv w:val="1"/>
      <w:marLeft w:val="0"/>
      <w:marRight w:val="0"/>
      <w:marTop w:val="0"/>
      <w:marBottom w:val="0"/>
      <w:divBdr>
        <w:top w:val="none" w:sz="0" w:space="0" w:color="auto"/>
        <w:left w:val="none" w:sz="0" w:space="0" w:color="auto"/>
        <w:bottom w:val="none" w:sz="0" w:space="0" w:color="auto"/>
        <w:right w:val="none" w:sz="0" w:space="0" w:color="auto"/>
      </w:divBdr>
    </w:div>
    <w:div w:id="1195732958">
      <w:bodyDiv w:val="1"/>
      <w:marLeft w:val="0"/>
      <w:marRight w:val="0"/>
      <w:marTop w:val="0"/>
      <w:marBottom w:val="0"/>
      <w:divBdr>
        <w:top w:val="none" w:sz="0" w:space="0" w:color="auto"/>
        <w:left w:val="none" w:sz="0" w:space="0" w:color="auto"/>
        <w:bottom w:val="none" w:sz="0" w:space="0" w:color="auto"/>
        <w:right w:val="none" w:sz="0" w:space="0" w:color="auto"/>
      </w:divBdr>
    </w:div>
    <w:div w:id="1195772614">
      <w:bodyDiv w:val="1"/>
      <w:marLeft w:val="0"/>
      <w:marRight w:val="0"/>
      <w:marTop w:val="0"/>
      <w:marBottom w:val="0"/>
      <w:divBdr>
        <w:top w:val="none" w:sz="0" w:space="0" w:color="auto"/>
        <w:left w:val="none" w:sz="0" w:space="0" w:color="auto"/>
        <w:bottom w:val="none" w:sz="0" w:space="0" w:color="auto"/>
        <w:right w:val="none" w:sz="0" w:space="0" w:color="auto"/>
      </w:divBdr>
    </w:div>
    <w:div w:id="1196381443">
      <w:bodyDiv w:val="1"/>
      <w:marLeft w:val="0"/>
      <w:marRight w:val="0"/>
      <w:marTop w:val="0"/>
      <w:marBottom w:val="0"/>
      <w:divBdr>
        <w:top w:val="none" w:sz="0" w:space="0" w:color="auto"/>
        <w:left w:val="none" w:sz="0" w:space="0" w:color="auto"/>
        <w:bottom w:val="none" w:sz="0" w:space="0" w:color="auto"/>
        <w:right w:val="none" w:sz="0" w:space="0" w:color="auto"/>
      </w:divBdr>
    </w:div>
    <w:div w:id="1203399306">
      <w:bodyDiv w:val="1"/>
      <w:marLeft w:val="0"/>
      <w:marRight w:val="0"/>
      <w:marTop w:val="0"/>
      <w:marBottom w:val="0"/>
      <w:divBdr>
        <w:top w:val="none" w:sz="0" w:space="0" w:color="auto"/>
        <w:left w:val="none" w:sz="0" w:space="0" w:color="auto"/>
        <w:bottom w:val="none" w:sz="0" w:space="0" w:color="auto"/>
        <w:right w:val="none" w:sz="0" w:space="0" w:color="auto"/>
      </w:divBdr>
    </w:div>
    <w:div w:id="1208760883">
      <w:bodyDiv w:val="1"/>
      <w:marLeft w:val="0"/>
      <w:marRight w:val="0"/>
      <w:marTop w:val="0"/>
      <w:marBottom w:val="0"/>
      <w:divBdr>
        <w:top w:val="none" w:sz="0" w:space="0" w:color="auto"/>
        <w:left w:val="none" w:sz="0" w:space="0" w:color="auto"/>
        <w:bottom w:val="none" w:sz="0" w:space="0" w:color="auto"/>
        <w:right w:val="none" w:sz="0" w:space="0" w:color="auto"/>
      </w:divBdr>
    </w:div>
    <w:div w:id="1212233661">
      <w:bodyDiv w:val="1"/>
      <w:marLeft w:val="0"/>
      <w:marRight w:val="0"/>
      <w:marTop w:val="0"/>
      <w:marBottom w:val="0"/>
      <w:divBdr>
        <w:top w:val="none" w:sz="0" w:space="0" w:color="auto"/>
        <w:left w:val="none" w:sz="0" w:space="0" w:color="auto"/>
        <w:bottom w:val="none" w:sz="0" w:space="0" w:color="auto"/>
        <w:right w:val="none" w:sz="0" w:space="0" w:color="auto"/>
      </w:divBdr>
    </w:div>
    <w:div w:id="1216700575">
      <w:bodyDiv w:val="1"/>
      <w:marLeft w:val="0"/>
      <w:marRight w:val="0"/>
      <w:marTop w:val="0"/>
      <w:marBottom w:val="0"/>
      <w:divBdr>
        <w:top w:val="none" w:sz="0" w:space="0" w:color="auto"/>
        <w:left w:val="none" w:sz="0" w:space="0" w:color="auto"/>
        <w:bottom w:val="none" w:sz="0" w:space="0" w:color="auto"/>
        <w:right w:val="none" w:sz="0" w:space="0" w:color="auto"/>
      </w:divBdr>
    </w:div>
    <w:div w:id="1218904546">
      <w:bodyDiv w:val="1"/>
      <w:marLeft w:val="0"/>
      <w:marRight w:val="0"/>
      <w:marTop w:val="0"/>
      <w:marBottom w:val="0"/>
      <w:divBdr>
        <w:top w:val="none" w:sz="0" w:space="0" w:color="auto"/>
        <w:left w:val="none" w:sz="0" w:space="0" w:color="auto"/>
        <w:bottom w:val="none" w:sz="0" w:space="0" w:color="auto"/>
        <w:right w:val="none" w:sz="0" w:space="0" w:color="auto"/>
      </w:divBdr>
    </w:div>
    <w:div w:id="1221360563">
      <w:bodyDiv w:val="1"/>
      <w:marLeft w:val="0"/>
      <w:marRight w:val="0"/>
      <w:marTop w:val="0"/>
      <w:marBottom w:val="0"/>
      <w:divBdr>
        <w:top w:val="none" w:sz="0" w:space="0" w:color="auto"/>
        <w:left w:val="none" w:sz="0" w:space="0" w:color="auto"/>
        <w:bottom w:val="none" w:sz="0" w:space="0" w:color="auto"/>
        <w:right w:val="none" w:sz="0" w:space="0" w:color="auto"/>
      </w:divBdr>
    </w:div>
    <w:div w:id="1222211202">
      <w:bodyDiv w:val="1"/>
      <w:marLeft w:val="0"/>
      <w:marRight w:val="0"/>
      <w:marTop w:val="0"/>
      <w:marBottom w:val="0"/>
      <w:divBdr>
        <w:top w:val="none" w:sz="0" w:space="0" w:color="auto"/>
        <w:left w:val="none" w:sz="0" w:space="0" w:color="auto"/>
        <w:bottom w:val="none" w:sz="0" w:space="0" w:color="auto"/>
        <w:right w:val="none" w:sz="0" w:space="0" w:color="auto"/>
      </w:divBdr>
    </w:div>
    <w:div w:id="1228304119">
      <w:bodyDiv w:val="1"/>
      <w:marLeft w:val="0"/>
      <w:marRight w:val="0"/>
      <w:marTop w:val="0"/>
      <w:marBottom w:val="0"/>
      <w:divBdr>
        <w:top w:val="none" w:sz="0" w:space="0" w:color="auto"/>
        <w:left w:val="none" w:sz="0" w:space="0" w:color="auto"/>
        <w:bottom w:val="none" w:sz="0" w:space="0" w:color="auto"/>
        <w:right w:val="none" w:sz="0" w:space="0" w:color="auto"/>
      </w:divBdr>
    </w:div>
    <w:div w:id="1231649643">
      <w:bodyDiv w:val="1"/>
      <w:marLeft w:val="0"/>
      <w:marRight w:val="0"/>
      <w:marTop w:val="0"/>
      <w:marBottom w:val="0"/>
      <w:divBdr>
        <w:top w:val="none" w:sz="0" w:space="0" w:color="auto"/>
        <w:left w:val="none" w:sz="0" w:space="0" w:color="auto"/>
        <w:bottom w:val="none" w:sz="0" w:space="0" w:color="auto"/>
        <w:right w:val="none" w:sz="0" w:space="0" w:color="auto"/>
      </w:divBdr>
    </w:div>
    <w:div w:id="1249851308">
      <w:bodyDiv w:val="1"/>
      <w:marLeft w:val="0"/>
      <w:marRight w:val="0"/>
      <w:marTop w:val="0"/>
      <w:marBottom w:val="0"/>
      <w:divBdr>
        <w:top w:val="none" w:sz="0" w:space="0" w:color="auto"/>
        <w:left w:val="none" w:sz="0" w:space="0" w:color="auto"/>
        <w:bottom w:val="none" w:sz="0" w:space="0" w:color="auto"/>
        <w:right w:val="none" w:sz="0" w:space="0" w:color="auto"/>
      </w:divBdr>
    </w:div>
    <w:div w:id="1256792076">
      <w:bodyDiv w:val="1"/>
      <w:marLeft w:val="0"/>
      <w:marRight w:val="0"/>
      <w:marTop w:val="0"/>
      <w:marBottom w:val="0"/>
      <w:divBdr>
        <w:top w:val="none" w:sz="0" w:space="0" w:color="auto"/>
        <w:left w:val="none" w:sz="0" w:space="0" w:color="auto"/>
        <w:bottom w:val="none" w:sz="0" w:space="0" w:color="auto"/>
        <w:right w:val="none" w:sz="0" w:space="0" w:color="auto"/>
      </w:divBdr>
    </w:div>
    <w:div w:id="1259287746">
      <w:bodyDiv w:val="1"/>
      <w:marLeft w:val="0"/>
      <w:marRight w:val="0"/>
      <w:marTop w:val="0"/>
      <w:marBottom w:val="0"/>
      <w:divBdr>
        <w:top w:val="none" w:sz="0" w:space="0" w:color="auto"/>
        <w:left w:val="none" w:sz="0" w:space="0" w:color="auto"/>
        <w:bottom w:val="none" w:sz="0" w:space="0" w:color="auto"/>
        <w:right w:val="none" w:sz="0" w:space="0" w:color="auto"/>
      </w:divBdr>
    </w:div>
    <w:div w:id="1266227027">
      <w:bodyDiv w:val="1"/>
      <w:marLeft w:val="0"/>
      <w:marRight w:val="0"/>
      <w:marTop w:val="0"/>
      <w:marBottom w:val="0"/>
      <w:divBdr>
        <w:top w:val="none" w:sz="0" w:space="0" w:color="auto"/>
        <w:left w:val="none" w:sz="0" w:space="0" w:color="auto"/>
        <w:bottom w:val="none" w:sz="0" w:space="0" w:color="auto"/>
        <w:right w:val="none" w:sz="0" w:space="0" w:color="auto"/>
      </w:divBdr>
    </w:div>
    <w:div w:id="1268973795">
      <w:bodyDiv w:val="1"/>
      <w:marLeft w:val="0"/>
      <w:marRight w:val="0"/>
      <w:marTop w:val="0"/>
      <w:marBottom w:val="0"/>
      <w:divBdr>
        <w:top w:val="none" w:sz="0" w:space="0" w:color="auto"/>
        <w:left w:val="none" w:sz="0" w:space="0" w:color="auto"/>
        <w:bottom w:val="none" w:sz="0" w:space="0" w:color="auto"/>
        <w:right w:val="none" w:sz="0" w:space="0" w:color="auto"/>
      </w:divBdr>
    </w:div>
    <w:div w:id="1271813888">
      <w:bodyDiv w:val="1"/>
      <w:marLeft w:val="0"/>
      <w:marRight w:val="0"/>
      <w:marTop w:val="0"/>
      <w:marBottom w:val="0"/>
      <w:divBdr>
        <w:top w:val="none" w:sz="0" w:space="0" w:color="auto"/>
        <w:left w:val="none" w:sz="0" w:space="0" w:color="auto"/>
        <w:bottom w:val="none" w:sz="0" w:space="0" w:color="auto"/>
        <w:right w:val="none" w:sz="0" w:space="0" w:color="auto"/>
      </w:divBdr>
    </w:div>
    <w:div w:id="1273518355">
      <w:bodyDiv w:val="1"/>
      <w:marLeft w:val="0"/>
      <w:marRight w:val="0"/>
      <w:marTop w:val="0"/>
      <w:marBottom w:val="0"/>
      <w:divBdr>
        <w:top w:val="none" w:sz="0" w:space="0" w:color="auto"/>
        <w:left w:val="none" w:sz="0" w:space="0" w:color="auto"/>
        <w:bottom w:val="none" w:sz="0" w:space="0" w:color="auto"/>
        <w:right w:val="none" w:sz="0" w:space="0" w:color="auto"/>
      </w:divBdr>
    </w:div>
    <w:div w:id="1274553239">
      <w:bodyDiv w:val="1"/>
      <w:marLeft w:val="0"/>
      <w:marRight w:val="0"/>
      <w:marTop w:val="0"/>
      <w:marBottom w:val="0"/>
      <w:divBdr>
        <w:top w:val="none" w:sz="0" w:space="0" w:color="auto"/>
        <w:left w:val="none" w:sz="0" w:space="0" w:color="auto"/>
        <w:bottom w:val="none" w:sz="0" w:space="0" w:color="auto"/>
        <w:right w:val="none" w:sz="0" w:space="0" w:color="auto"/>
      </w:divBdr>
    </w:div>
    <w:div w:id="1275480530">
      <w:bodyDiv w:val="1"/>
      <w:marLeft w:val="0"/>
      <w:marRight w:val="0"/>
      <w:marTop w:val="0"/>
      <w:marBottom w:val="0"/>
      <w:divBdr>
        <w:top w:val="none" w:sz="0" w:space="0" w:color="auto"/>
        <w:left w:val="none" w:sz="0" w:space="0" w:color="auto"/>
        <w:bottom w:val="none" w:sz="0" w:space="0" w:color="auto"/>
        <w:right w:val="none" w:sz="0" w:space="0" w:color="auto"/>
      </w:divBdr>
    </w:div>
    <w:div w:id="1287082093">
      <w:bodyDiv w:val="1"/>
      <w:marLeft w:val="0"/>
      <w:marRight w:val="0"/>
      <w:marTop w:val="0"/>
      <w:marBottom w:val="0"/>
      <w:divBdr>
        <w:top w:val="none" w:sz="0" w:space="0" w:color="auto"/>
        <w:left w:val="none" w:sz="0" w:space="0" w:color="auto"/>
        <w:bottom w:val="none" w:sz="0" w:space="0" w:color="auto"/>
        <w:right w:val="none" w:sz="0" w:space="0" w:color="auto"/>
      </w:divBdr>
    </w:div>
    <w:div w:id="1300265099">
      <w:bodyDiv w:val="1"/>
      <w:marLeft w:val="0"/>
      <w:marRight w:val="0"/>
      <w:marTop w:val="0"/>
      <w:marBottom w:val="0"/>
      <w:divBdr>
        <w:top w:val="none" w:sz="0" w:space="0" w:color="auto"/>
        <w:left w:val="none" w:sz="0" w:space="0" w:color="auto"/>
        <w:bottom w:val="none" w:sz="0" w:space="0" w:color="auto"/>
        <w:right w:val="none" w:sz="0" w:space="0" w:color="auto"/>
      </w:divBdr>
    </w:div>
    <w:div w:id="1304508976">
      <w:bodyDiv w:val="1"/>
      <w:marLeft w:val="0"/>
      <w:marRight w:val="0"/>
      <w:marTop w:val="0"/>
      <w:marBottom w:val="0"/>
      <w:divBdr>
        <w:top w:val="none" w:sz="0" w:space="0" w:color="auto"/>
        <w:left w:val="none" w:sz="0" w:space="0" w:color="auto"/>
        <w:bottom w:val="none" w:sz="0" w:space="0" w:color="auto"/>
        <w:right w:val="none" w:sz="0" w:space="0" w:color="auto"/>
      </w:divBdr>
    </w:div>
    <w:div w:id="1315992818">
      <w:bodyDiv w:val="1"/>
      <w:marLeft w:val="0"/>
      <w:marRight w:val="0"/>
      <w:marTop w:val="0"/>
      <w:marBottom w:val="0"/>
      <w:divBdr>
        <w:top w:val="none" w:sz="0" w:space="0" w:color="auto"/>
        <w:left w:val="none" w:sz="0" w:space="0" w:color="auto"/>
        <w:bottom w:val="none" w:sz="0" w:space="0" w:color="auto"/>
        <w:right w:val="none" w:sz="0" w:space="0" w:color="auto"/>
      </w:divBdr>
    </w:div>
    <w:div w:id="1325431903">
      <w:bodyDiv w:val="1"/>
      <w:marLeft w:val="0"/>
      <w:marRight w:val="0"/>
      <w:marTop w:val="0"/>
      <w:marBottom w:val="0"/>
      <w:divBdr>
        <w:top w:val="none" w:sz="0" w:space="0" w:color="auto"/>
        <w:left w:val="none" w:sz="0" w:space="0" w:color="auto"/>
        <w:bottom w:val="none" w:sz="0" w:space="0" w:color="auto"/>
        <w:right w:val="none" w:sz="0" w:space="0" w:color="auto"/>
      </w:divBdr>
    </w:div>
    <w:div w:id="1339622027">
      <w:bodyDiv w:val="1"/>
      <w:marLeft w:val="0"/>
      <w:marRight w:val="0"/>
      <w:marTop w:val="0"/>
      <w:marBottom w:val="0"/>
      <w:divBdr>
        <w:top w:val="none" w:sz="0" w:space="0" w:color="auto"/>
        <w:left w:val="none" w:sz="0" w:space="0" w:color="auto"/>
        <w:bottom w:val="none" w:sz="0" w:space="0" w:color="auto"/>
        <w:right w:val="none" w:sz="0" w:space="0" w:color="auto"/>
      </w:divBdr>
    </w:div>
    <w:div w:id="1341002827">
      <w:bodyDiv w:val="1"/>
      <w:marLeft w:val="0"/>
      <w:marRight w:val="0"/>
      <w:marTop w:val="0"/>
      <w:marBottom w:val="0"/>
      <w:divBdr>
        <w:top w:val="none" w:sz="0" w:space="0" w:color="auto"/>
        <w:left w:val="none" w:sz="0" w:space="0" w:color="auto"/>
        <w:bottom w:val="none" w:sz="0" w:space="0" w:color="auto"/>
        <w:right w:val="none" w:sz="0" w:space="0" w:color="auto"/>
      </w:divBdr>
    </w:div>
    <w:div w:id="1343583449">
      <w:bodyDiv w:val="1"/>
      <w:marLeft w:val="0"/>
      <w:marRight w:val="0"/>
      <w:marTop w:val="0"/>
      <w:marBottom w:val="0"/>
      <w:divBdr>
        <w:top w:val="none" w:sz="0" w:space="0" w:color="auto"/>
        <w:left w:val="none" w:sz="0" w:space="0" w:color="auto"/>
        <w:bottom w:val="none" w:sz="0" w:space="0" w:color="auto"/>
        <w:right w:val="none" w:sz="0" w:space="0" w:color="auto"/>
      </w:divBdr>
    </w:div>
    <w:div w:id="1348630173">
      <w:bodyDiv w:val="1"/>
      <w:marLeft w:val="0"/>
      <w:marRight w:val="0"/>
      <w:marTop w:val="0"/>
      <w:marBottom w:val="0"/>
      <w:divBdr>
        <w:top w:val="none" w:sz="0" w:space="0" w:color="auto"/>
        <w:left w:val="none" w:sz="0" w:space="0" w:color="auto"/>
        <w:bottom w:val="none" w:sz="0" w:space="0" w:color="auto"/>
        <w:right w:val="none" w:sz="0" w:space="0" w:color="auto"/>
      </w:divBdr>
    </w:div>
    <w:div w:id="1350453080">
      <w:bodyDiv w:val="1"/>
      <w:marLeft w:val="0"/>
      <w:marRight w:val="0"/>
      <w:marTop w:val="0"/>
      <w:marBottom w:val="0"/>
      <w:divBdr>
        <w:top w:val="none" w:sz="0" w:space="0" w:color="auto"/>
        <w:left w:val="none" w:sz="0" w:space="0" w:color="auto"/>
        <w:bottom w:val="none" w:sz="0" w:space="0" w:color="auto"/>
        <w:right w:val="none" w:sz="0" w:space="0" w:color="auto"/>
      </w:divBdr>
    </w:div>
    <w:div w:id="1352341314">
      <w:bodyDiv w:val="1"/>
      <w:marLeft w:val="0"/>
      <w:marRight w:val="0"/>
      <w:marTop w:val="0"/>
      <w:marBottom w:val="0"/>
      <w:divBdr>
        <w:top w:val="none" w:sz="0" w:space="0" w:color="auto"/>
        <w:left w:val="none" w:sz="0" w:space="0" w:color="auto"/>
        <w:bottom w:val="none" w:sz="0" w:space="0" w:color="auto"/>
        <w:right w:val="none" w:sz="0" w:space="0" w:color="auto"/>
      </w:divBdr>
    </w:div>
    <w:div w:id="1355569351">
      <w:bodyDiv w:val="1"/>
      <w:marLeft w:val="0"/>
      <w:marRight w:val="0"/>
      <w:marTop w:val="0"/>
      <w:marBottom w:val="0"/>
      <w:divBdr>
        <w:top w:val="none" w:sz="0" w:space="0" w:color="auto"/>
        <w:left w:val="none" w:sz="0" w:space="0" w:color="auto"/>
        <w:bottom w:val="none" w:sz="0" w:space="0" w:color="auto"/>
        <w:right w:val="none" w:sz="0" w:space="0" w:color="auto"/>
      </w:divBdr>
    </w:div>
    <w:div w:id="1355619403">
      <w:bodyDiv w:val="1"/>
      <w:marLeft w:val="0"/>
      <w:marRight w:val="0"/>
      <w:marTop w:val="0"/>
      <w:marBottom w:val="0"/>
      <w:divBdr>
        <w:top w:val="none" w:sz="0" w:space="0" w:color="auto"/>
        <w:left w:val="none" w:sz="0" w:space="0" w:color="auto"/>
        <w:bottom w:val="none" w:sz="0" w:space="0" w:color="auto"/>
        <w:right w:val="none" w:sz="0" w:space="0" w:color="auto"/>
      </w:divBdr>
    </w:div>
    <w:div w:id="1359086672">
      <w:bodyDiv w:val="1"/>
      <w:marLeft w:val="0"/>
      <w:marRight w:val="0"/>
      <w:marTop w:val="0"/>
      <w:marBottom w:val="0"/>
      <w:divBdr>
        <w:top w:val="none" w:sz="0" w:space="0" w:color="auto"/>
        <w:left w:val="none" w:sz="0" w:space="0" w:color="auto"/>
        <w:bottom w:val="none" w:sz="0" w:space="0" w:color="auto"/>
        <w:right w:val="none" w:sz="0" w:space="0" w:color="auto"/>
      </w:divBdr>
    </w:div>
    <w:div w:id="1361708535">
      <w:bodyDiv w:val="1"/>
      <w:marLeft w:val="0"/>
      <w:marRight w:val="0"/>
      <w:marTop w:val="0"/>
      <w:marBottom w:val="0"/>
      <w:divBdr>
        <w:top w:val="none" w:sz="0" w:space="0" w:color="auto"/>
        <w:left w:val="none" w:sz="0" w:space="0" w:color="auto"/>
        <w:bottom w:val="none" w:sz="0" w:space="0" w:color="auto"/>
        <w:right w:val="none" w:sz="0" w:space="0" w:color="auto"/>
      </w:divBdr>
    </w:div>
    <w:div w:id="1370229515">
      <w:bodyDiv w:val="1"/>
      <w:marLeft w:val="0"/>
      <w:marRight w:val="0"/>
      <w:marTop w:val="0"/>
      <w:marBottom w:val="0"/>
      <w:divBdr>
        <w:top w:val="none" w:sz="0" w:space="0" w:color="auto"/>
        <w:left w:val="none" w:sz="0" w:space="0" w:color="auto"/>
        <w:bottom w:val="none" w:sz="0" w:space="0" w:color="auto"/>
        <w:right w:val="none" w:sz="0" w:space="0" w:color="auto"/>
      </w:divBdr>
    </w:div>
    <w:div w:id="1380742736">
      <w:bodyDiv w:val="1"/>
      <w:marLeft w:val="0"/>
      <w:marRight w:val="0"/>
      <w:marTop w:val="0"/>
      <w:marBottom w:val="0"/>
      <w:divBdr>
        <w:top w:val="none" w:sz="0" w:space="0" w:color="auto"/>
        <w:left w:val="none" w:sz="0" w:space="0" w:color="auto"/>
        <w:bottom w:val="none" w:sz="0" w:space="0" w:color="auto"/>
        <w:right w:val="none" w:sz="0" w:space="0" w:color="auto"/>
      </w:divBdr>
    </w:div>
    <w:div w:id="1384912371">
      <w:bodyDiv w:val="1"/>
      <w:marLeft w:val="0"/>
      <w:marRight w:val="0"/>
      <w:marTop w:val="0"/>
      <w:marBottom w:val="0"/>
      <w:divBdr>
        <w:top w:val="none" w:sz="0" w:space="0" w:color="auto"/>
        <w:left w:val="none" w:sz="0" w:space="0" w:color="auto"/>
        <w:bottom w:val="none" w:sz="0" w:space="0" w:color="auto"/>
        <w:right w:val="none" w:sz="0" w:space="0" w:color="auto"/>
      </w:divBdr>
    </w:div>
    <w:div w:id="1389499912">
      <w:bodyDiv w:val="1"/>
      <w:marLeft w:val="0"/>
      <w:marRight w:val="0"/>
      <w:marTop w:val="0"/>
      <w:marBottom w:val="0"/>
      <w:divBdr>
        <w:top w:val="none" w:sz="0" w:space="0" w:color="auto"/>
        <w:left w:val="none" w:sz="0" w:space="0" w:color="auto"/>
        <w:bottom w:val="none" w:sz="0" w:space="0" w:color="auto"/>
        <w:right w:val="none" w:sz="0" w:space="0" w:color="auto"/>
      </w:divBdr>
    </w:div>
    <w:div w:id="1390611282">
      <w:bodyDiv w:val="1"/>
      <w:marLeft w:val="0"/>
      <w:marRight w:val="0"/>
      <w:marTop w:val="0"/>
      <w:marBottom w:val="0"/>
      <w:divBdr>
        <w:top w:val="none" w:sz="0" w:space="0" w:color="auto"/>
        <w:left w:val="none" w:sz="0" w:space="0" w:color="auto"/>
        <w:bottom w:val="none" w:sz="0" w:space="0" w:color="auto"/>
        <w:right w:val="none" w:sz="0" w:space="0" w:color="auto"/>
      </w:divBdr>
    </w:div>
    <w:div w:id="1396856243">
      <w:bodyDiv w:val="1"/>
      <w:marLeft w:val="0"/>
      <w:marRight w:val="0"/>
      <w:marTop w:val="0"/>
      <w:marBottom w:val="0"/>
      <w:divBdr>
        <w:top w:val="none" w:sz="0" w:space="0" w:color="auto"/>
        <w:left w:val="none" w:sz="0" w:space="0" w:color="auto"/>
        <w:bottom w:val="none" w:sz="0" w:space="0" w:color="auto"/>
        <w:right w:val="none" w:sz="0" w:space="0" w:color="auto"/>
      </w:divBdr>
    </w:div>
    <w:div w:id="1405684766">
      <w:bodyDiv w:val="1"/>
      <w:marLeft w:val="0"/>
      <w:marRight w:val="0"/>
      <w:marTop w:val="0"/>
      <w:marBottom w:val="0"/>
      <w:divBdr>
        <w:top w:val="none" w:sz="0" w:space="0" w:color="auto"/>
        <w:left w:val="none" w:sz="0" w:space="0" w:color="auto"/>
        <w:bottom w:val="none" w:sz="0" w:space="0" w:color="auto"/>
        <w:right w:val="none" w:sz="0" w:space="0" w:color="auto"/>
      </w:divBdr>
    </w:div>
    <w:div w:id="1406949132">
      <w:bodyDiv w:val="1"/>
      <w:marLeft w:val="0"/>
      <w:marRight w:val="0"/>
      <w:marTop w:val="0"/>
      <w:marBottom w:val="0"/>
      <w:divBdr>
        <w:top w:val="none" w:sz="0" w:space="0" w:color="auto"/>
        <w:left w:val="none" w:sz="0" w:space="0" w:color="auto"/>
        <w:bottom w:val="none" w:sz="0" w:space="0" w:color="auto"/>
        <w:right w:val="none" w:sz="0" w:space="0" w:color="auto"/>
      </w:divBdr>
    </w:div>
    <w:div w:id="1410274820">
      <w:bodyDiv w:val="1"/>
      <w:marLeft w:val="0"/>
      <w:marRight w:val="0"/>
      <w:marTop w:val="0"/>
      <w:marBottom w:val="0"/>
      <w:divBdr>
        <w:top w:val="none" w:sz="0" w:space="0" w:color="auto"/>
        <w:left w:val="none" w:sz="0" w:space="0" w:color="auto"/>
        <w:bottom w:val="none" w:sz="0" w:space="0" w:color="auto"/>
        <w:right w:val="none" w:sz="0" w:space="0" w:color="auto"/>
      </w:divBdr>
    </w:div>
    <w:div w:id="1416978255">
      <w:bodyDiv w:val="1"/>
      <w:marLeft w:val="0"/>
      <w:marRight w:val="0"/>
      <w:marTop w:val="0"/>
      <w:marBottom w:val="0"/>
      <w:divBdr>
        <w:top w:val="none" w:sz="0" w:space="0" w:color="auto"/>
        <w:left w:val="none" w:sz="0" w:space="0" w:color="auto"/>
        <w:bottom w:val="none" w:sz="0" w:space="0" w:color="auto"/>
        <w:right w:val="none" w:sz="0" w:space="0" w:color="auto"/>
      </w:divBdr>
    </w:div>
    <w:div w:id="1431311644">
      <w:bodyDiv w:val="1"/>
      <w:marLeft w:val="0"/>
      <w:marRight w:val="0"/>
      <w:marTop w:val="0"/>
      <w:marBottom w:val="0"/>
      <w:divBdr>
        <w:top w:val="none" w:sz="0" w:space="0" w:color="auto"/>
        <w:left w:val="none" w:sz="0" w:space="0" w:color="auto"/>
        <w:bottom w:val="none" w:sz="0" w:space="0" w:color="auto"/>
        <w:right w:val="none" w:sz="0" w:space="0" w:color="auto"/>
      </w:divBdr>
    </w:div>
    <w:div w:id="1435323242">
      <w:bodyDiv w:val="1"/>
      <w:marLeft w:val="0"/>
      <w:marRight w:val="0"/>
      <w:marTop w:val="0"/>
      <w:marBottom w:val="0"/>
      <w:divBdr>
        <w:top w:val="none" w:sz="0" w:space="0" w:color="auto"/>
        <w:left w:val="none" w:sz="0" w:space="0" w:color="auto"/>
        <w:bottom w:val="none" w:sz="0" w:space="0" w:color="auto"/>
        <w:right w:val="none" w:sz="0" w:space="0" w:color="auto"/>
      </w:divBdr>
    </w:div>
    <w:div w:id="1436174534">
      <w:bodyDiv w:val="1"/>
      <w:marLeft w:val="0"/>
      <w:marRight w:val="0"/>
      <w:marTop w:val="0"/>
      <w:marBottom w:val="0"/>
      <w:divBdr>
        <w:top w:val="none" w:sz="0" w:space="0" w:color="auto"/>
        <w:left w:val="none" w:sz="0" w:space="0" w:color="auto"/>
        <w:bottom w:val="none" w:sz="0" w:space="0" w:color="auto"/>
        <w:right w:val="none" w:sz="0" w:space="0" w:color="auto"/>
      </w:divBdr>
    </w:div>
    <w:div w:id="1446344137">
      <w:bodyDiv w:val="1"/>
      <w:marLeft w:val="0"/>
      <w:marRight w:val="0"/>
      <w:marTop w:val="0"/>
      <w:marBottom w:val="0"/>
      <w:divBdr>
        <w:top w:val="none" w:sz="0" w:space="0" w:color="auto"/>
        <w:left w:val="none" w:sz="0" w:space="0" w:color="auto"/>
        <w:bottom w:val="none" w:sz="0" w:space="0" w:color="auto"/>
        <w:right w:val="none" w:sz="0" w:space="0" w:color="auto"/>
      </w:divBdr>
    </w:div>
    <w:div w:id="1453943859">
      <w:bodyDiv w:val="1"/>
      <w:marLeft w:val="0"/>
      <w:marRight w:val="0"/>
      <w:marTop w:val="0"/>
      <w:marBottom w:val="0"/>
      <w:divBdr>
        <w:top w:val="none" w:sz="0" w:space="0" w:color="auto"/>
        <w:left w:val="none" w:sz="0" w:space="0" w:color="auto"/>
        <w:bottom w:val="none" w:sz="0" w:space="0" w:color="auto"/>
        <w:right w:val="none" w:sz="0" w:space="0" w:color="auto"/>
      </w:divBdr>
    </w:div>
    <w:div w:id="1458790503">
      <w:bodyDiv w:val="1"/>
      <w:marLeft w:val="0"/>
      <w:marRight w:val="0"/>
      <w:marTop w:val="0"/>
      <w:marBottom w:val="0"/>
      <w:divBdr>
        <w:top w:val="none" w:sz="0" w:space="0" w:color="auto"/>
        <w:left w:val="none" w:sz="0" w:space="0" w:color="auto"/>
        <w:bottom w:val="none" w:sz="0" w:space="0" w:color="auto"/>
        <w:right w:val="none" w:sz="0" w:space="0" w:color="auto"/>
      </w:divBdr>
    </w:div>
    <w:div w:id="1458913119">
      <w:bodyDiv w:val="1"/>
      <w:marLeft w:val="0"/>
      <w:marRight w:val="0"/>
      <w:marTop w:val="0"/>
      <w:marBottom w:val="0"/>
      <w:divBdr>
        <w:top w:val="none" w:sz="0" w:space="0" w:color="auto"/>
        <w:left w:val="none" w:sz="0" w:space="0" w:color="auto"/>
        <w:bottom w:val="none" w:sz="0" w:space="0" w:color="auto"/>
        <w:right w:val="none" w:sz="0" w:space="0" w:color="auto"/>
      </w:divBdr>
    </w:div>
    <w:div w:id="1461723569">
      <w:bodyDiv w:val="1"/>
      <w:marLeft w:val="0"/>
      <w:marRight w:val="0"/>
      <w:marTop w:val="0"/>
      <w:marBottom w:val="0"/>
      <w:divBdr>
        <w:top w:val="none" w:sz="0" w:space="0" w:color="auto"/>
        <w:left w:val="none" w:sz="0" w:space="0" w:color="auto"/>
        <w:bottom w:val="none" w:sz="0" w:space="0" w:color="auto"/>
        <w:right w:val="none" w:sz="0" w:space="0" w:color="auto"/>
      </w:divBdr>
    </w:div>
    <w:div w:id="1480344799">
      <w:bodyDiv w:val="1"/>
      <w:marLeft w:val="0"/>
      <w:marRight w:val="0"/>
      <w:marTop w:val="0"/>
      <w:marBottom w:val="0"/>
      <w:divBdr>
        <w:top w:val="none" w:sz="0" w:space="0" w:color="auto"/>
        <w:left w:val="none" w:sz="0" w:space="0" w:color="auto"/>
        <w:bottom w:val="none" w:sz="0" w:space="0" w:color="auto"/>
        <w:right w:val="none" w:sz="0" w:space="0" w:color="auto"/>
      </w:divBdr>
    </w:div>
    <w:div w:id="1482036665">
      <w:bodyDiv w:val="1"/>
      <w:marLeft w:val="0"/>
      <w:marRight w:val="0"/>
      <w:marTop w:val="0"/>
      <w:marBottom w:val="0"/>
      <w:divBdr>
        <w:top w:val="none" w:sz="0" w:space="0" w:color="auto"/>
        <w:left w:val="none" w:sz="0" w:space="0" w:color="auto"/>
        <w:bottom w:val="none" w:sz="0" w:space="0" w:color="auto"/>
        <w:right w:val="none" w:sz="0" w:space="0" w:color="auto"/>
      </w:divBdr>
    </w:div>
    <w:div w:id="1490173810">
      <w:bodyDiv w:val="1"/>
      <w:marLeft w:val="0"/>
      <w:marRight w:val="0"/>
      <w:marTop w:val="0"/>
      <w:marBottom w:val="0"/>
      <w:divBdr>
        <w:top w:val="none" w:sz="0" w:space="0" w:color="auto"/>
        <w:left w:val="none" w:sz="0" w:space="0" w:color="auto"/>
        <w:bottom w:val="none" w:sz="0" w:space="0" w:color="auto"/>
        <w:right w:val="none" w:sz="0" w:space="0" w:color="auto"/>
      </w:divBdr>
    </w:div>
    <w:div w:id="1491168536">
      <w:bodyDiv w:val="1"/>
      <w:marLeft w:val="0"/>
      <w:marRight w:val="0"/>
      <w:marTop w:val="0"/>
      <w:marBottom w:val="0"/>
      <w:divBdr>
        <w:top w:val="none" w:sz="0" w:space="0" w:color="auto"/>
        <w:left w:val="none" w:sz="0" w:space="0" w:color="auto"/>
        <w:bottom w:val="none" w:sz="0" w:space="0" w:color="auto"/>
        <w:right w:val="none" w:sz="0" w:space="0" w:color="auto"/>
      </w:divBdr>
    </w:div>
    <w:div w:id="1497726918">
      <w:bodyDiv w:val="1"/>
      <w:marLeft w:val="0"/>
      <w:marRight w:val="0"/>
      <w:marTop w:val="0"/>
      <w:marBottom w:val="0"/>
      <w:divBdr>
        <w:top w:val="none" w:sz="0" w:space="0" w:color="auto"/>
        <w:left w:val="none" w:sz="0" w:space="0" w:color="auto"/>
        <w:bottom w:val="none" w:sz="0" w:space="0" w:color="auto"/>
        <w:right w:val="none" w:sz="0" w:space="0" w:color="auto"/>
      </w:divBdr>
    </w:div>
    <w:div w:id="1497765776">
      <w:bodyDiv w:val="1"/>
      <w:marLeft w:val="0"/>
      <w:marRight w:val="0"/>
      <w:marTop w:val="0"/>
      <w:marBottom w:val="0"/>
      <w:divBdr>
        <w:top w:val="none" w:sz="0" w:space="0" w:color="auto"/>
        <w:left w:val="none" w:sz="0" w:space="0" w:color="auto"/>
        <w:bottom w:val="none" w:sz="0" w:space="0" w:color="auto"/>
        <w:right w:val="none" w:sz="0" w:space="0" w:color="auto"/>
      </w:divBdr>
    </w:div>
    <w:div w:id="1499728090">
      <w:bodyDiv w:val="1"/>
      <w:marLeft w:val="0"/>
      <w:marRight w:val="0"/>
      <w:marTop w:val="0"/>
      <w:marBottom w:val="0"/>
      <w:divBdr>
        <w:top w:val="none" w:sz="0" w:space="0" w:color="auto"/>
        <w:left w:val="none" w:sz="0" w:space="0" w:color="auto"/>
        <w:bottom w:val="none" w:sz="0" w:space="0" w:color="auto"/>
        <w:right w:val="none" w:sz="0" w:space="0" w:color="auto"/>
      </w:divBdr>
    </w:div>
    <w:div w:id="1511676161">
      <w:bodyDiv w:val="1"/>
      <w:marLeft w:val="0"/>
      <w:marRight w:val="0"/>
      <w:marTop w:val="0"/>
      <w:marBottom w:val="0"/>
      <w:divBdr>
        <w:top w:val="none" w:sz="0" w:space="0" w:color="auto"/>
        <w:left w:val="none" w:sz="0" w:space="0" w:color="auto"/>
        <w:bottom w:val="none" w:sz="0" w:space="0" w:color="auto"/>
        <w:right w:val="none" w:sz="0" w:space="0" w:color="auto"/>
      </w:divBdr>
    </w:div>
    <w:div w:id="1530869774">
      <w:bodyDiv w:val="1"/>
      <w:marLeft w:val="0"/>
      <w:marRight w:val="0"/>
      <w:marTop w:val="0"/>
      <w:marBottom w:val="0"/>
      <w:divBdr>
        <w:top w:val="none" w:sz="0" w:space="0" w:color="auto"/>
        <w:left w:val="none" w:sz="0" w:space="0" w:color="auto"/>
        <w:bottom w:val="none" w:sz="0" w:space="0" w:color="auto"/>
        <w:right w:val="none" w:sz="0" w:space="0" w:color="auto"/>
      </w:divBdr>
    </w:div>
    <w:div w:id="1554846127">
      <w:bodyDiv w:val="1"/>
      <w:marLeft w:val="0"/>
      <w:marRight w:val="0"/>
      <w:marTop w:val="0"/>
      <w:marBottom w:val="0"/>
      <w:divBdr>
        <w:top w:val="none" w:sz="0" w:space="0" w:color="auto"/>
        <w:left w:val="none" w:sz="0" w:space="0" w:color="auto"/>
        <w:bottom w:val="none" w:sz="0" w:space="0" w:color="auto"/>
        <w:right w:val="none" w:sz="0" w:space="0" w:color="auto"/>
      </w:divBdr>
    </w:div>
    <w:div w:id="1554923386">
      <w:bodyDiv w:val="1"/>
      <w:marLeft w:val="0"/>
      <w:marRight w:val="0"/>
      <w:marTop w:val="0"/>
      <w:marBottom w:val="0"/>
      <w:divBdr>
        <w:top w:val="none" w:sz="0" w:space="0" w:color="auto"/>
        <w:left w:val="none" w:sz="0" w:space="0" w:color="auto"/>
        <w:bottom w:val="none" w:sz="0" w:space="0" w:color="auto"/>
        <w:right w:val="none" w:sz="0" w:space="0" w:color="auto"/>
      </w:divBdr>
    </w:div>
    <w:div w:id="1570191040">
      <w:bodyDiv w:val="1"/>
      <w:marLeft w:val="0"/>
      <w:marRight w:val="0"/>
      <w:marTop w:val="0"/>
      <w:marBottom w:val="0"/>
      <w:divBdr>
        <w:top w:val="none" w:sz="0" w:space="0" w:color="auto"/>
        <w:left w:val="none" w:sz="0" w:space="0" w:color="auto"/>
        <w:bottom w:val="none" w:sz="0" w:space="0" w:color="auto"/>
        <w:right w:val="none" w:sz="0" w:space="0" w:color="auto"/>
      </w:divBdr>
    </w:div>
    <w:div w:id="1576235039">
      <w:bodyDiv w:val="1"/>
      <w:marLeft w:val="0"/>
      <w:marRight w:val="0"/>
      <w:marTop w:val="0"/>
      <w:marBottom w:val="0"/>
      <w:divBdr>
        <w:top w:val="none" w:sz="0" w:space="0" w:color="auto"/>
        <w:left w:val="none" w:sz="0" w:space="0" w:color="auto"/>
        <w:bottom w:val="none" w:sz="0" w:space="0" w:color="auto"/>
        <w:right w:val="none" w:sz="0" w:space="0" w:color="auto"/>
      </w:divBdr>
    </w:div>
    <w:div w:id="1578326851">
      <w:bodyDiv w:val="1"/>
      <w:marLeft w:val="0"/>
      <w:marRight w:val="0"/>
      <w:marTop w:val="0"/>
      <w:marBottom w:val="0"/>
      <w:divBdr>
        <w:top w:val="none" w:sz="0" w:space="0" w:color="auto"/>
        <w:left w:val="none" w:sz="0" w:space="0" w:color="auto"/>
        <w:bottom w:val="none" w:sz="0" w:space="0" w:color="auto"/>
        <w:right w:val="none" w:sz="0" w:space="0" w:color="auto"/>
      </w:divBdr>
    </w:div>
    <w:div w:id="1579484991">
      <w:bodyDiv w:val="1"/>
      <w:marLeft w:val="0"/>
      <w:marRight w:val="0"/>
      <w:marTop w:val="0"/>
      <w:marBottom w:val="0"/>
      <w:divBdr>
        <w:top w:val="none" w:sz="0" w:space="0" w:color="auto"/>
        <w:left w:val="none" w:sz="0" w:space="0" w:color="auto"/>
        <w:bottom w:val="none" w:sz="0" w:space="0" w:color="auto"/>
        <w:right w:val="none" w:sz="0" w:space="0" w:color="auto"/>
      </w:divBdr>
    </w:div>
    <w:div w:id="1580869627">
      <w:bodyDiv w:val="1"/>
      <w:marLeft w:val="0"/>
      <w:marRight w:val="0"/>
      <w:marTop w:val="0"/>
      <w:marBottom w:val="0"/>
      <w:divBdr>
        <w:top w:val="none" w:sz="0" w:space="0" w:color="auto"/>
        <w:left w:val="none" w:sz="0" w:space="0" w:color="auto"/>
        <w:bottom w:val="none" w:sz="0" w:space="0" w:color="auto"/>
        <w:right w:val="none" w:sz="0" w:space="0" w:color="auto"/>
      </w:divBdr>
    </w:div>
    <w:div w:id="1585259835">
      <w:bodyDiv w:val="1"/>
      <w:marLeft w:val="0"/>
      <w:marRight w:val="0"/>
      <w:marTop w:val="0"/>
      <w:marBottom w:val="0"/>
      <w:divBdr>
        <w:top w:val="none" w:sz="0" w:space="0" w:color="auto"/>
        <w:left w:val="none" w:sz="0" w:space="0" w:color="auto"/>
        <w:bottom w:val="none" w:sz="0" w:space="0" w:color="auto"/>
        <w:right w:val="none" w:sz="0" w:space="0" w:color="auto"/>
      </w:divBdr>
    </w:div>
    <w:div w:id="1585841939">
      <w:bodyDiv w:val="1"/>
      <w:marLeft w:val="0"/>
      <w:marRight w:val="0"/>
      <w:marTop w:val="0"/>
      <w:marBottom w:val="0"/>
      <w:divBdr>
        <w:top w:val="none" w:sz="0" w:space="0" w:color="auto"/>
        <w:left w:val="none" w:sz="0" w:space="0" w:color="auto"/>
        <w:bottom w:val="none" w:sz="0" w:space="0" w:color="auto"/>
        <w:right w:val="none" w:sz="0" w:space="0" w:color="auto"/>
      </w:divBdr>
    </w:div>
    <w:div w:id="1592161988">
      <w:bodyDiv w:val="1"/>
      <w:marLeft w:val="0"/>
      <w:marRight w:val="0"/>
      <w:marTop w:val="0"/>
      <w:marBottom w:val="0"/>
      <w:divBdr>
        <w:top w:val="none" w:sz="0" w:space="0" w:color="auto"/>
        <w:left w:val="none" w:sz="0" w:space="0" w:color="auto"/>
        <w:bottom w:val="none" w:sz="0" w:space="0" w:color="auto"/>
        <w:right w:val="none" w:sz="0" w:space="0" w:color="auto"/>
      </w:divBdr>
    </w:div>
    <w:div w:id="1602183954">
      <w:bodyDiv w:val="1"/>
      <w:marLeft w:val="0"/>
      <w:marRight w:val="0"/>
      <w:marTop w:val="0"/>
      <w:marBottom w:val="0"/>
      <w:divBdr>
        <w:top w:val="none" w:sz="0" w:space="0" w:color="auto"/>
        <w:left w:val="none" w:sz="0" w:space="0" w:color="auto"/>
        <w:bottom w:val="none" w:sz="0" w:space="0" w:color="auto"/>
        <w:right w:val="none" w:sz="0" w:space="0" w:color="auto"/>
      </w:divBdr>
    </w:div>
    <w:div w:id="1622178034">
      <w:bodyDiv w:val="1"/>
      <w:marLeft w:val="0"/>
      <w:marRight w:val="0"/>
      <w:marTop w:val="0"/>
      <w:marBottom w:val="0"/>
      <w:divBdr>
        <w:top w:val="none" w:sz="0" w:space="0" w:color="auto"/>
        <w:left w:val="none" w:sz="0" w:space="0" w:color="auto"/>
        <w:bottom w:val="none" w:sz="0" w:space="0" w:color="auto"/>
        <w:right w:val="none" w:sz="0" w:space="0" w:color="auto"/>
      </w:divBdr>
    </w:div>
    <w:div w:id="1626427612">
      <w:bodyDiv w:val="1"/>
      <w:marLeft w:val="0"/>
      <w:marRight w:val="0"/>
      <w:marTop w:val="0"/>
      <w:marBottom w:val="0"/>
      <w:divBdr>
        <w:top w:val="none" w:sz="0" w:space="0" w:color="auto"/>
        <w:left w:val="none" w:sz="0" w:space="0" w:color="auto"/>
        <w:bottom w:val="none" w:sz="0" w:space="0" w:color="auto"/>
        <w:right w:val="none" w:sz="0" w:space="0" w:color="auto"/>
      </w:divBdr>
    </w:div>
    <w:div w:id="1635600157">
      <w:bodyDiv w:val="1"/>
      <w:marLeft w:val="0"/>
      <w:marRight w:val="0"/>
      <w:marTop w:val="0"/>
      <w:marBottom w:val="0"/>
      <w:divBdr>
        <w:top w:val="none" w:sz="0" w:space="0" w:color="auto"/>
        <w:left w:val="none" w:sz="0" w:space="0" w:color="auto"/>
        <w:bottom w:val="none" w:sz="0" w:space="0" w:color="auto"/>
        <w:right w:val="none" w:sz="0" w:space="0" w:color="auto"/>
      </w:divBdr>
    </w:div>
    <w:div w:id="1637102806">
      <w:bodyDiv w:val="1"/>
      <w:marLeft w:val="0"/>
      <w:marRight w:val="0"/>
      <w:marTop w:val="0"/>
      <w:marBottom w:val="0"/>
      <w:divBdr>
        <w:top w:val="none" w:sz="0" w:space="0" w:color="auto"/>
        <w:left w:val="none" w:sz="0" w:space="0" w:color="auto"/>
        <w:bottom w:val="none" w:sz="0" w:space="0" w:color="auto"/>
        <w:right w:val="none" w:sz="0" w:space="0" w:color="auto"/>
      </w:divBdr>
    </w:div>
    <w:div w:id="1639872221">
      <w:bodyDiv w:val="1"/>
      <w:marLeft w:val="0"/>
      <w:marRight w:val="0"/>
      <w:marTop w:val="0"/>
      <w:marBottom w:val="0"/>
      <w:divBdr>
        <w:top w:val="none" w:sz="0" w:space="0" w:color="auto"/>
        <w:left w:val="none" w:sz="0" w:space="0" w:color="auto"/>
        <w:bottom w:val="none" w:sz="0" w:space="0" w:color="auto"/>
        <w:right w:val="none" w:sz="0" w:space="0" w:color="auto"/>
      </w:divBdr>
    </w:div>
    <w:div w:id="1662850144">
      <w:bodyDiv w:val="1"/>
      <w:marLeft w:val="0"/>
      <w:marRight w:val="0"/>
      <w:marTop w:val="0"/>
      <w:marBottom w:val="0"/>
      <w:divBdr>
        <w:top w:val="none" w:sz="0" w:space="0" w:color="auto"/>
        <w:left w:val="none" w:sz="0" w:space="0" w:color="auto"/>
        <w:bottom w:val="none" w:sz="0" w:space="0" w:color="auto"/>
        <w:right w:val="none" w:sz="0" w:space="0" w:color="auto"/>
      </w:divBdr>
    </w:div>
    <w:div w:id="1668165165">
      <w:bodyDiv w:val="1"/>
      <w:marLeft w:val="0"/>
      <w:marRight w:val="0"/>
      <w:marTop w:val="0"/>
      <w:marBottom w:val="0"/>
      <w:divBdr>
        <w:top w:val="none" w:sz="0" w:space="0" w:color="auto"/>
        <w:left w:val="none" w:sz="0" w:space="0" w:color="auto"/>
        <w:bottom w:val="none" w:sz="0" w:space="0" w:color="auto"/>
        <w:right w:val="none" w:sz="0" w:space="0" w:color="auto"/>
      </w:divBdr>
    </w:div>
    <w:div w:id="1668167563">
      <w:bodyDiv w:val="1"/>
      <w:marLeft w:val="0"/>
      <w:marRight w:val="0"/>
      <w:marTop w:val="0"/>
      <w:marBottom w:val="0"/>
      <w:divBdr>
        <w:top w:val="none" w:sz="0" w:space="0" w:color="auto"/>
        <w:left w:val="none" w:sz="0" w:space="0" w:color="auto"/>
        <w:bottom w:val="none" w:sz="0" w:space="0" w:color="auto"/>
        <w:right w:val="none" w:sz="0" w:space="0" w:color="auto"/>
      </w:divBdr>
    </w:div>
    <w:div w:id="1671634993">
      <w:bodyDiv w:val="1"/>
      <w:marLeft w:val="0"/>
      <w:marRight w:val="0"/>
      <w:marTop w:val="0"/>
      <w:marBottom w:val="0"/>
      <w:divBdr>
        <w:top w:val="none" w:sz="0" w:space="0" w:color="auto"/>
        <w:left w:val="none" w:sz="0" w:space="0" w:color="auto"/>
        <w:bottom w:val="none" w:sz="0" w:space="0" w:color="auto"/>
        <w:right w:val="none" w:sz="0" w:space="0" w:color="auto"/>
      </w:divBdr>
    </w:div>
    <w:div w:id="1672028328">
      <w:bodyDiv w:val="1"/>
      <w:marLeft w:val="0"/>
      <w:marRight w:val="0"/>
      <w:marTop w:val="0"/>
      <w:marBottom w:val="0"/>
      <w:divBdr>
        <w:top w:val="none" w:sz="0" w:space="0" w:color="auto"/>
        <w:left w:val="none" w:sz="0" w:space="0" w:color="auto"/>
        <w:bottom w:val="none" w:sz="0" w:space="0" w:color="auto"/>
        <w:right w:val="none" w:sz="0" w:space="0" w:color="auto"/>
      </w:divBdr>
    </w:div>
    <w:div w:id="1676029172">
      <w:bodyDiv w:val="1"/>
      <w:marLeft w:val="0"/>
      <w:marRight w:val="0"/>
      <w:marTop w:val="0"/>
      <w:marBottom w:val="0"/>
      <w:divBdr>
        <w:top w:val="none" w:sz="0" w:space="0" w:color="auto"/>
        <w:left w:val="none" w:sz="0" w:space="0" w:color="auto"/>
        <w:bottom w:val="none" w:sz="0" w:space="0" w:color="auto"/>
        <w:right w:val="none" w:sz="0" w:space="0" w:color="auto"/>
      </w:divBdr>
    </w:div>
    <w:div w:id="1676103235">
      <w:bodyDiv w:val="1"/>
      <w:marLeft w:val="0"/>
      <w:marRight w:val="0"/>
      <w:marTop w:val="0"/>
      <w:marBottom w:val="0"/>
      <w:divBdr>
        <w:top w:val="none" w:sz="0" w:space="0" w:color="auto"/>
        <w:left w:val="none" w:sz="0" w:space="0" w:color="auto"/>
        <w:bottom w:val="none" w:sz="0" w:space="0" w:color="auto"/>
        <w:right w:val="none" w:sz="0" w:space="0" w:color="auto"/>
      </w:divBdr>
    </w:div>
    <w:div w:id="1682506517">
      <w:bodyDiv w:val="1"/>
      <w:marLeft w:val="0"/>
      <w:marRight w:val="0"/>
      <w:marTop w:val="0"/>
      <w:marBottom w:val="0"/>
      <w:divBdr>
        <w:top w:val="none" w:sz="0" w:space="0" w:color="auto"/>
        <w:left w:val="none" w:sz="0" w:space="0" w:color="auto"/>
        <w:bottom w:val="none" w:sz="0" w:space="0" w:color="auto"/>
        <w:right w:val="none" w:sz="0" w:space="0" w:color="auto"/>
      </w:divBdr>
    </w:div>
    <w:div w:id="1687946843">
      <w:bodyDiv w:val="1"/>
      <w:marLeft w:val="0"/>
      <w:marRight w:val="0"/>
      <w:marTop w:val="0"/>
      <w:marBottom w:val="0"/>
      <w:divBdr>
        <w:top w:val="none" w:sz="0" w:space="0" w:color="auto"/>
        <w:left w:val="none" w:sz="0" w:space="0" w:color="auto"/>
        <w:bottom w:val="none" w:sz="0" w:space="0" w:color="auto"/>
        <w:right w:val="none" w:sz="0" w:space="0" w:color="auto"/>
      </w:divBdr>
    </w:div>
    <w:div w:id="1689287310">
      <w:bodyDiv w:val="1"/>
      <w:marLeft w:val="0"/>
      <w:marRight w:val="0"/>
      <w:marTop w:val="0"/>
      <w:marBottom w:val="0"/>
      <w:divBdr>
        <w:top w:val="none" w:sz="0" w:space="0" w:color="auto"/>
        <w:left w:val="none" w:sz="0" w:space="0" w:color="auto"/>
        <w:bottom w:val="none" w:sz="0" w:space="0" w:color="auto"/>
        <w:right w:val="none" w:sz="0" w:space="0" w:color="auto"/>
      </w:divBdr>
    </w:div>
    <w:div w:id="1698584733">
      <w:bodyDiv w:val="1"/>
      <w:marLeft w:val="0"/>
      <w:marRight w:val="0"/>
      <w:marTop w:val="0"/>
      <w:marBottom w:val="0"/>
      <w:divBdr>
        <w:top w:val="none" w:sz="0" w:space="0" w:color="auto"/>
        <w:left w:val="none" w:sz="0" w:space="0" w:color="auto"/>
        <w:bottom w:val="none" w:sz="0" w:space="0" w:color="auto"/>
        <w:right w:val="none" w:sz="0" w:space="0" w:color="auto"/>
      </w:divBdr>
    </w:div>
    <w:div w:id="1711026238">
      <w:bodyDiv w:val="1"/>
      <w:marLeft w:val="0"/>
      <w:marRight w:val="0"/>
      <w:marTop w:val="0"/>
      <w:marBottom w:val="0"/>
      <w:divBdr>
        <w:top w:val="none" w:sz="0" w:space="0" w:color="auto"/>
        <w:left w:val="none" w:sz="0" w:space="0" w:color="auto"/>
        <w:bottom w:val="none" w:sz="0" w:space="0" w:color="auto"/>
        <w:right w:val="none" w:sz="0" w:space="0" w:color="auto"/>
      </w:divBdr>
    </w:div>
    <w:div w:id="1711034178">
      <w:bodyDiv w:val="1"/>
      <w:marLeft w:val="0"/>
      <w:marRight w:val="0"/>
      <w:marTop w:val="0"/>
      <w:marBottom w:val="0"/>
      <w:divBdr>
        <w:top w:val="none" w:sz="0" w:space="0" w:color="auto"/>
        <w:left w:val="none" w:sz="0" w:space="0" w:color="auto"/>
        <w:bottom w:val="none" w:sz="0" w:space="0" w:color="auto"/>
        <w:right w:val="none" w:sz="0" w:space="0" w:color="auto"/>
      </w:divBdr>
    </w:div>
    <w:div w:id="1718312503">
      <w:bodyDiv w:val="1"/>
      <w:marLeft w:val="0"/>
      <w:marRight w:val="0"/>
      <w:marTop w:val="0"/>
      <w:marBottom w:val="0"/>
      <w:divBdr>
        <w:top w:val="none" w:sz="0" w:space="0" w:color="auto"/>
        <w:left w:val="none" w:sz="0" w:space="0" w:color="auto"/>
        <w:bottom w:val="none" w:sz="0" w:space="0" w:color="auto"/>
        <w:right w:val="none" w:sz="0" w:space="0" w:color="auto"/>
      </w:divBdr>
    </w:div>
    <w:div w:id="1718629320">
      <w:bodyDiv w:val="1"/>
      <w:marLeft w:val="0"/>
      <w:marRight w:val="0"/>
      <w:marTop w:val="0"/>
      <w:marBottom w:val="0"/>
      <w:divBdr>
        <w:top w:val="none" w:sz="0" w:space="0" w:color="auto"/>
        <w:left w:val="none" w:sz="0" w:space="0" w:color="auto"/>
        <w:bottom w:val="none" w:sz="0" w:space="0" w:color="auto"/>
        <w:right w:val="none" w:sz="0" w:space="0" w:color="auto"/>
      </w:divBdr>
    </w:div>
    <w:div w:id="1719160341">
      <w:bodyDiv w:val="1"/>
      <w:marLeft w:val="0"/>
      <w:marRight w:val="0"/>
      <w:marTop w:val="0"/>
      <w:marBottom w:val="0"/>
      <w:divBdr>
        <w:top w:val="none" w:sz="0" w:space="0" w:color="auto"/>
        <w:left w:val="none" w:sz="0" w:space="0" w:color="auto"/>
        <w:bottom w:val="none" w:sz="0" w:space="0" w:color="auto"/>
        <w:right w:val="none" w:sz="0" w:space="0" w:color="auto"/>
      </w:divBdr>
    </w:div>
    <w:div w:id="1758744777">
      <w:bodyDiv w:val="1"/>
      <w:marLeft w:val="0"/>
      <w:marRight w:val="0"/>
      <w:marTop w:val="0"/>
      <w:marBottom w:val="0"/>
      <w:divBdr>
        <w:top w:val="none" w:sz="0" w:space="0" w:color="auto"/>
        <w:left w:val="none" w:sz="0" w:space="0" w:color="auto"/>
        <w:bottom w:val="none" w:sz="0" w:space="0" w:color="auto"/>
        <w:right w:val="none" w:sz="0" w:space="0" w:color="auto"/>
      </w:divBdr>
    </w:div>
    <w:div w:id="1774860791">
      <w:bodyDiv w:val="1"/>
      <w:marLeft w:val="0"/>
      <w:marRight w:val="0"/>
      <w:marTop w:val="0"/>
      <w:marBottom w:val="0"/>
      <w:divBdr>
        <w:top w:val="none" w:sz="0" w:space="0" w:color="auto"/>
        <w:left w:val="none" w:sz="0" w:space="0" w:color="auto"/>
        <w:bottom w:val="none" w:sz="0" w:space="0" w:color="auto"/>
        <w:right w:val="none" w:sz="0" w:space="0" w:color="auto"/>
      </w:divBdr>
    </w:div>
    <w:div w:id="1785538378">
      <w:bodyDiv w:val="1"/>
      <w:marLeft w:val="0"/>
      <w:marRight w:val="0"/>
      <w:marTop w:val="0"/>
      <w:marBottom w:val="0"/>
      <w:divBdr>
        <w:top w:val="none" w:sz="0" w:space="0" w:color="auto"/>
        <w:left w:val="none" w:sz="0" w:space="0" w:color="auto"/>
        <w:bottom w:val="none" w:sz="0" w:space="0" w:color="auto"/>
        <w:right w:val="none" w:sz="0" w:space="0" w:color="auto"/>
      </w:divBdr>
    </w:div>
    <w:div w:id="1786731890">
      <w:bodyDiv w:val="1"/>
      <w:marLeft w:val="0"/>
      <w:marRight w:val="0"/>
      <w:marTop w:val="0"/>
      <w:marBottom w:val="0"/>
      <w:divBdr>
        <w:top w:val="none" w:sz="0" w:space="0" w:color="auto"/>
        <w:left w:val="none" w:sz="0" w:space="0" w:color="auto"/>
        <w:bottom w:val="none" w:sz="0" w:space="0" w:color="auto"/>
        <w:right w:val="none" w:sz="0" w:space="0" w:color="auto"/>
      </w:divBdr>
    </w:div>
    <w:div w:id="1793355731">
      <w:bodyDiv w:val="1"/>
      <w:marLeft w:val="0"/>
      <w:marRight w:val="0"/>
      <w:marTop w:val="0"/>
      <w:marBottom w:val="0"/>
      <w:divBdr>
        <w:top w:val="none" w:sz="0" w:space="0" w:color="auto"/>
        <w:left w:val="none" w:sz="0" w:space="0" w:color="auto"/>
        <w:bottom w:val="none" w:sz="0" w:space="0" w:color="auto"/>
        <w:right w:val="none" w:sz="0" w:space="0" w:color="auto"/>
      </w:divBdr>
    </w:div>
    <w:div w:id="1804229570">
      <w:bodyDiv w:val="1"/>
      <w:marLeft w:val="0"/>
      <w:marRight w:val="0"/>
      <w:marTop w:val="0"/>
      <w:marBottom w:val="0"/>
      <w:divBdr>
        <w:top w:val="none" w:sz="0" w:space="0" w:color="auto"/>
        <w:left w:val="none" w:sz="0" w:space="0" w:color="auto"/>
        <w:bottom w:val="none" w:sz="0" w:space="0" w:color="auto"/>
        <w:right w:val="none" w:sz="0" w:space="0" w:color="auto"/>
      </w:divBdr>
    </w:div>
    <w:div w:id="1806385396">
      <w:bodyDiv w:val="1"/>
      <w:marLeft w:val="0"/>
      <w:marRight w:val="0"/>
      <w:marTop w:val="0"/>
      <w:marBottom w:val="0"/>
      <w:divBdr>
        <w:top w:val="none" w:sz="0" w:space="0" w:color="auto"/>
        <w:left w:val="none" w:sz="0" w:space="0" w:color="auto"/>
        <w:bottom w:val="none" w:sz="0" w:space="0" w:color="auto"/>
        <w:right w:val="none" w:sz="0" w:space="0" w:color="auto"/>
      </w:divBdr>
    </w:div>
    <w:div w:id="1807309776">
      <w:bodyDiv w:val="1"/>
      <w:marLeft w:val="0"/>
      <w:marRight w:val="0"/>
      <w:marTop w:val="0"/>
      <w:marBottom w:val="0"/>
      <w:divBdr>
        <w:top w:val="none" w:sz="0" w:space="0" w:color="auto"/>
        <w:left w:val="none" w:sz="0" w:space="0" w:color="auto"/>
        <w:bottom w:val="none" w:sz="0" w:space="0" w:color="auto"/>
        <w:right w:val="none" w:sz="0" w:space="0" w:color="auto"/>
      </w:divBdr>
    </w:div>
    <w:div w:id="1815171977">
      <w:bodyDiv w:val="1"/>
      <w:marLeft w:val="0"/>
      <w:marRight w:val="0"/>
      <w:marTop w:val="0"/>
      <w:marBottom w:val="0"/>
      <w:divBdr>
        <w:top w:val="none" w:sz="0" w:space="0" w:color="auto"/>
        <w:left w:val="none" w:sz="0" w:space="0" w:color="auto"/>
        <w:bottom w:val="none" w:sz="0" w:space="0" w:color="auto"/>
        <w:right w:val="none" w:sz="0" w:space="0" w:color="auto"/>
      </w:divBdr>
    </w:div>
    <w:div w:id="1816264873">
      <w:bodyDiv w:val="1"/>
      <w:marLeft w:val="0"/>
      <w:marRight w:val="0"/>
      <w:marTop w:val="0"/>
      <w:marBottom w:val="0"/>
      <w:divBdr>
        <w:top w:val="none" w:sz="0" w:space="0" w:color="auto"/>
        <w:left w:val="none" w:sz="0" w:space="0" w:color="auto"/>
        <w:bottom w:val="none" w:sz="0" w:space="0" w:color="auto"/>
        <w:right w:val="none" w:sz="0" w:space="0" w:color="auto"/>
      </w:divBdr>
    </w:div>
    <w:div w:id="1819490171">
      <w:bodyDiv w:val="1"/>
      <w:marLeft w:val="0"/>
      <w:marRight w:val="0"/>
      <w:marTop w:val="0"/>
      <w:marBottom w:val="0"/>
      <w:divBdr>
        <w:top w:val="none" w:sz="0" w:space="0" w:color="auto"/>
        <w:left w:val="none" w:sz="0" w:space="0" w:color="auto"/>
        <w:bottom w:val="none" w:sz="0" w:space="0" w:color="auto"/>
        <w:right w:val="none" w:sz="0" w:space="0" w:color="auto"/>
      </w:divBdr>
    </w:div>
    <w:div w:id="1819491809">
      <w:bodyDiv w:val="1"/>
      <w:marLeft w:val="0"/>
      <w:marRight w:val="0"/>
      <w:marTop w:val="0"/>
      <w:marBottom w:val="0"/>
      <w:divBdr>
        <w:top w:val="none" w:sz="0" w:space="0" w:color="auto"/>
        <w:left w:val="none" w:sz="0" w:space="0" w:color="auto"/>
        <w:bottom w:val="none" w:sz="0" w:space="0" w:color="auto"/>
        <w:right w:val="none" w:sz="0" w:space="0" w:color="auto"/>
      </w:divBdr>
    </w:div>
    <w:div w:id="1828669480">
      <w:bodyDiv w:val="1"/>
      <w:marLeft w:val="0"/>
      <w:marRight w:val="0"/>
      <w:marTop w:val="0"/>
      <w:marBottom w:val="0"/>
      <w:divBdr>
        <w:top w:val="none" w:sz="0" w:space="0" w:color="auto"/>
        <w:left w:val="none" w:sz="0" w:space="0" w:color="auto"/>
        <w:bottom w:val="none" w:sz="0" w:space="0" w:color="auto"/>
        <w:right w:val="none" w:sz="0" w:space="0" w:color="auto"/>
      </w:divBdr>
    </w:div>
    <w:div w:id="1848665192">
      <w:bodyDiv w:val="1"/>
      <w:marLeft w:val="0"/>
      <w:marRight w:val="0"/>
      <w:marTop w:val="0"/>
      <w:marBottom w:val="0"/>
      <w:divBdr>
        <w:top w:val="none" w:sz="0" w:space="0" w:color="auto"/>
        <w:left w:val="none" w:sz="0" w:space="0" w:color="auto"/>
        <w:bottom w:val="none" w:sz="0" w:space="0" w:color="auto"/>
        <w:right w:val="none" w:sz="0" w:space="0" w:color="auto"/>
      </w:divBdr>
    </w:div>
    <w:div w:id="1857109317">
      <w:bodyDiv w:val="1"/>
      <w:marLeft w:val="0"/>
      <w:marRight w:val="0"/>
      <w:marTop w:val="0"/>
      <w:marBottom w:val="0"/>
      <w:divBdr>
        <w:top w:val="none" w:sz="0" w:space="0" w:color="auto"/>
        <w:left w:val="none" w:sz="0" w:space="0" w:color="auto"/>
        <w:bottom w:val="none" w:sz="0" w:space="0" w:color="auto"/>
        <w:right w:val="none" w:sz="0" w:space="0" w:color="auto"/>
      </w:divBdr>
    </w:div>
    <w:div w:id="1861311263">
      <w:bodyDiv w:val="1"/>
      <w:marLeft w:val="0"/>
      <w:marRight w:val="0"/>
      <w:marTop w:val="0"/>
      <w:marBottom w:val="0"/>
      <w:divBdr>
        <w:top w:val="none" w:sz="0" w:space="0" w:color="auto"/>
        <w:left w:val="none" w:sz="0" w:space="0" w:color="auto"/>
        <w:bottom w:val="none" w:sz="0" w:space="0" w:color="auto"/>
        <w:right w:val="none" w:sz="0" w:space="0" w:color="auto"/>
      </w:divBdr>
    </w:div>
    <w:div w:id="1861314322">
      <w:bodyDiv w:val="1"/>
      <w:marLeft w:val="0"/>
      <w:marRight w:val="0"/>
      <w:marTop w:val="0"/>
      <w:marBottom w:val="0"/>
      <w:divBdr>
        <w:top w:val="none" w:sz="0" w:space="0" w:color="auto"/>
        <w:left w:val="none" w:sz="0" w:space="0" w:color="auto"/>
        <w:bottom w:val="none" w:sz="0" w:space="0" w:color="auto"/>
        <w:right w:val="none" w:sz="0" w:space="0" w:color="auto"/>
      </w:divBdr>
    </w:div>
    <w:div w:id="1863352079">
      <w:bodyDiv w:val="1"/>
      <w:marLeft w:val="0"/>
      <w:marRight w:val="0"/>
      <w:marTop w:val="0"/>
      <w:marBottom w:val="0"/>
      <w:divBdr>
        <w:top w:val="none" w:sz="0" w:space="0" w:color="auto"/>
        <w:left w:val="none" w:sz="0" w:space="0" w:color="auto"/>
        <w:bottom w:val="none" w:sz="0" w:space="0" w:color="auto"/>
        <w:right w:val="none" w:sz="0" w:space="0" w:color="auto"/>
      </w:divBdr>
    </w:div>
    <w:div w:id="1864593172">
      <w:bodyDiv w:val="1"/>
      <w:marLeft w:val="0"/>
      <w:marRight w:val="0"/>
      <w:marTop w:val="0"/>
      <w:marBottom w:val="0"/>
      <w:divBdr>
        <w:top w:val="none" w:sz="0" w:space="0" w:color="auto"/>
        <w:left w:val="none" w:sz="0" w:space="0" w:color="auto"/>
        <w:bottom w:val="none" w:sz="0" w:space="0" w:color="auto"/>
        <w:right w:val="none" w:sz="0" w:space="0" w:color="auto"/>
      </w:divBdr>
      <w:divsChild>
        <w:div w:id="856117750">
          <w:marLeft w:val="0"/>
          <w:marRight w:val="0"/>
          <w:marTop w:val="0"/>
          <w:marBottom w:val="0"/>
          <w:divBdr>
            <w:top w:val="none" w:sz="0" w:space="0" w:color="auto"/>
            <w:left w:val="none" w:sz="0" w:space="0" w:color="auto"/>
            <w:bottom w:val="none" w:sz="0" w:space="0" w:color="auto"/>
            <w:right w:val="none" w:sz="0" w:space="0" w:color="auto"/>
          </w:divBdr>
        </w:div>
      </w:divsChild>
    </w:div>
    <w:div w:id="1866018857">
      <w:bodyDiv w:val="1"/>
      <w:marLeft w:val="0"/>
      <w:marRight w:val="0"/>
      <w:marTop w:val="0"/>
      <w:marBottom w:val="0"/>
      <w:divBdr>
        <w:top w:val="none" w:sz="0" w:space="0" w:color="auto"/>
        <w:left w:val="none" w:sz="0" w:space="0" w:color="auto"/>
        <w:bottom w:val="none" w:sz="0" w:space="0" w:color="auto"/>
        <w:right w:val="none" w:sz="0" w:space="0" w:color="auto"/>
      </w:divBdr>
    </w:div>
    <w:div w:id="1874532753">
      <w:bodyDiv w:val="1"/>
      <w:marLeft w:val="0"/>
      <w:marRight w:val="0"/>
      <w:marTop w:val="0"/>
      <w:marBottom w:val="0"/>
      <w:divBdr>
        <w:top w:val="none" w:sz="0" w:space="0" w:color="auto"/>
        <w:left w:val="none" w:sz="0" w:space="0" w:color="auto"/>
        <w:bottom w:val="none" w:sz="0" w:space="0" w:color="auto"/>
        <w:right w:val="none" w:sz="0" w:space="0" w:color="auto"/>
      </w:divBdr>
    </w:div>
    <w:div w:id="1889756278">
      <w:bodyDiv w:val="1"/>
      <w:marLeft w:val="0"/>
      <w:marRight w:val="0"/>
      <w:marTop w:val="0"/>
      <w:marBottom w:val="0"/>
      <w:divBdr>
        <w:top w:val="none" w:sz="0" w:space="0" w:color="auto"/>
        <w:left w:val="none" w:sz="0" w:space="0" w:color="auto"/>
        <w:bottom w:val="none" w:sz="0" w:space="0" w:color="auto"/>
        <w:right w:val="none" w:sz="0" w:space="0" w:color="auto"/>
      </w:divBdr>
    </w:div>
    <w:div w:id="1899895962">
      <w:bodyDiv w:val="1"/>
      <w:marLeft w:val="0"/>
      <w:marRight w:val="0"/>
      <w:marTop w:val="0"/>
      <w:marBottom w:val="0"/>
      <w:divBdr>
        <w:top w:val="none" w:sz="0" w:space="0" w:color="auto"/>
        <w:left w:val="none" w:sz="0" w:space="0" w:color="auto"/>
        <w:bottom w:val="none" w:sz="0" w:space="0" w:color="auto"/>
        <w:right w:val="none" w:sz="0" w:space="0" w:color="auto"/>
      </w:divBdr>
    </w:div>
    <w:div w:id="1901592792">
      <w:bodyDiv w:val="1"/>
      <w:marLeft w:val="0"/>
      <w:marRight w:val="0"/>
      <w:marTop w:val="0"/>
      <w:marBottom w:val="0"/>
      <w:divBdr>
        <w:top w:val="none" w:sz="0" w:space="0" w:color="auto"/>
        <w:left w:val="none" w:sz="0" w:space="0" w:color="auto"/>
        <w:bottom w:val="none" w:sz="0" w:space="0" w:color="auto"/>
        <w:right w:val="none" w:sz="0" w:space="0" w:color="auto"/>
      </w:divBdr>
    </w:div>
    <w:div w:id="1902449307">
      <w:bodyDiv w:val="1"/>
      <w:marLeft w:val="0"/>
      <w:marRight w:val="0"/>
      <w:marTop w:val="0"/>
      <w:marBottom w:val="0"/>
      <w:divBdr>
        <w:top w:val="none" w:sz="0" w:space="0" w:color="auto"/>
        <w:left w:val="none" w:sz="0" w:space="0" w:color="auto"/>
        <w:bottom w:val="none" w:sz="0" w:space="0" w:color="auto"/>
        <w:right w:val="none" w:sz="0" w:space="0" w:color="auto"/>
      </w:divBdr>
    </w:div>
    <w:div w:id="1914856355">
      <w:bodyDiv w:val="1"/>
      <w:marLeft w:val="0"/>
      <w:marRight w:val="0"/>
      <w:marTop w:val="0"/>
      <w:marBottom w:val="0"/>
      <w:divBdr>
        <w:top w:val="none" w:sz="0" w:space="0" w:color="auto"/>
        <w:left w:val="none" w:sz="0" w:space="0" w:color="auto"/>
        <w:bottom w:val="none" w:sz="0" w:space="0" w:color="auto"/>
        <w:right w:val="none" w:sz="0" w:space="0" w:color="auto"/>
      </w:divBdr>
    </w:div>
    <w:div w:id="1926646093">
      <w:bodyDiv w:val="1"/>
      <w:marLeft w:val="0"/>
      <w:marRight w:val="0"/>
      <w:marTop w:val="0"/>
      <w:marBottom w:val="0"/>
      <w:divBdr>
        <w:top w:val="none" w:sz="0" w:space="0" w:color="auto"/>
        <w:left w:val="none" w:sz="0" w:space="0" w:color="auto"/>
        <w:bottom w:val="none" w:sz="0" w:space="0" w:color="auto"/>
        <w:right w:val="none" w:sz="0" w:space="0" w:color="auto"/>
      </w:divBdr>
    </w:div>
    <w:div w:id="1928297532">
      <w:bodyDiv w:val="1"/>
      <w:marLeft w:val="0"/>
      <w:marRight w:val="0"/>
      <w:marTop w:val="0"/>
      <w:marBottom w:val="0"/>
      <w:divBdr>
        <w:top w:val="none" w:sz="0" w:space="0" w:color="auto"/>
        <w:left w:val="none" w:sz="0" w:space="0" w:color="auto"/>
        <w:bottom w:val="none" w:sz="0" w:space="0" w:color="auto"/>
        <w:right w:val="none" w:sz="0" w:space="0" w:color="auto"/>
      </w:divBdr>
    </w:div>
    <w:div w:id="1934240714">
      <w:bodyDiv w:val="1"/>
      <w:marLeft w:val="0"/>
      <w:marRight w:val="0"/>
      <w:marTop w:val="0"/>
      <w:marBottom w:val="0"/>
      <w:divBdr>
        <w:top w:val="none" w:sz="0" w:space="0" w:color="auto"/>
        <w:left w:val="none" w:sz="0" w:space="0" w:color="auto"/>
        <w:bottom w:val="none" w:sz="0" w:space="0" w:color="auto"/>
        <w:right w:val="none" w:sz="0" w:space="0" w:color="auto"/>
      </w:divBdr>
    </w:div>
    <w:div w:id="1956986873">
      <w:bodyDiv w:val="1"/>
      <w:marLeft w:val="0"/>
      <w:marRight w:val="0"/>
      <w:marTop w:val="0"/>
      <w:marBottom w:val="0"/>
      <w:divBdr>
        <w:top w:val="none" w:sz="0" w:space="0" w:color="auto"/>
        <w:left w:val="none" w:sz="0" w:space="0" w:color="auto"/>
        <w:bottom w:val="none" w:sz="0" w:space="0" w:color="auto"/>
        <w:right w:val="none" w:sz="0" w:space="0" w:color="auto"/>
      </w:divBdr>
    </w:div>
    <w:div w:id="1960604348">
      <w:bodyDiv w:val="1"/>
      <w:marLeft w:val="0"/>
      <w:marRight w:val="0"/>
      <w:marTop w:val="0"/>
      <w:marBottom w:val="0"/>
      <w:divBdr>
        <w:top w:val="none" w:sz="0" w:space="0" w:color="auto"/>
        <w:left w:val="none" w:sz="0" w:space="0" w:color="auto"/>
        <w:bottom w:val="none" w:sz="0" w:space="0" w:color="auto"/>
        <w:right w:val="none" w:sz="0" w:space="0" w:color="auto"/>
      </w:divBdr>
    </w:div>
    <w:div w:id="1963875757">
      <w:bodyDiv w:val="1"/>
      <w:marLeft w:val="0"/>
      <w:marRight w:val="0"/>
      <w:marTop w:val="0"/>
      <w:marBottom w:val="0"/>
      <w:divBdr>
        <w:top w:val="none" w:sz="0" w:space="0" w:color="auto"/>
        <w:left w:val="none" w:sz="0" w:space="0" w:color="auto"/>
        <w:bottom w:val="none" w:sz="0" w:space="0" w:color="auto"/>
        <w:right w:val="none" w:sz="0" w:space="0" w:color="auto"/>
      </w:divBdr>
    </w:div>
    <w:div w:id="1980842270">
      <w:bodyDiv w:val="1"/>
      <w:marLeft w:val="0"/>
      <w:marRight w:val="0"/>
      <w:marTop w:val="0"/>
      <w:marBottom w:val="0"/>
      <w:divBdr>
        <w:top w:val="none" w:sz="0" w:space="0" w:color="auto"/>
        <w:left w:val="none" w:sz="0" w:space="0" w:color="auto"/>
        <w:bottom w:val="none" w:sz="0" w:space="0" w:color="auto"/>
        <w:right w:val="none" w:sz="0" w:space="0" w:color="auto"/>
      </w:divBdr>
    </w:div>
    <w:div w:id="1986355255">
      <w:bodyDiv w:val="1"/>
      <w:marLeft w:val="0"/>
      <w:marRight w:val="0"/>
      <w:marTop w:val="0"/>
      <w:marBottom w:val="0"/>
      <w:divBdr>
        <w:top w:val="none" w:sz="0" w:space="0" w:color="auto"/>
        <w:left w:val="none" w:sz="0" w:space="0" w:color="auto"/>
        <w:bottom w:val="none" w:sz="0" w:space="0" w:color="auto"/>
        <w:right w:val="none" w:sz="0" w:space="0" w:color="auto"/>
      </w:divBdr>
    </w:div>
    <w:div w:id="2002853305">
      <w:bodyDiv w:val="1"/>
      <w:marLeft w:val="0"/>
      <w:marRight w:val="0"/>
      <w:marTop w:val="0"/>
      <w:marBottom w:val="0"/>
      <w:divBdr>
        <w:top w:val="none" w:sz="0" w:space="0" w:color="auto"/>
        <w:left w:val="none" w:sz="0" w:space="0" w:color="auto"/>
        <w:bottom w:val="none" w:sz="0" w:space="0" w:color="auto"/>
        <w:right w:val="none" w:sz="0" w:space="0" w:color="auto"/>
      </w:divBdr>
    </w:div>
    <w:div w:id="2004503543">
      <w:bodyDiv w:val="1"/>
      <w:marLeft w:val="0"/>
      <w:marRight w:val="0"/>
      <w:marTop w:val="0"/>
      <w:marBottom w:val="0"/>
      <w:divBdr>
        <w:top w:val="none" w:sz="0" w:space="0" w:color="auto"/>
        <w:left w:val="none" w:sz="0" w:space="0" w:color="auto"/>
        <w:bottom w:val="none" w:sz="0" w:space="0" w:color="auto"/>
        <w:right w:val="none" w:sz="0" w:space="0" w:color="auto"/>
      </w:divBdr>
    </w:div>
    <w:div w:id="2004699550">
      <w:bodyDiv w:val="1"/>
      <w:marLeft w:val="0"/>
      <w:marRight w:val="0"/>
      <w:marTop w:val="0"/>
      <w:marBottom w:val="0"/>
      <w:divBdr>
        <w:top w:val="none" w:sz="0" w:space="0" w:color="auto"/>
        <w:left w:val="none" w:sz="0" w:space="0" w:color="auto"/>
        <w:bottom w:val="none" w:sz="0" w:space="0" w:color="auto"/>
        <w:right w:val="none" w:sz="0" w:space="0" w:color="auto"/>
      </w:divBdr>
    </w:div>
    <w:div w:id="2010325347">
      <w:bodyDiv w:val="1"/>
      <w:marLeft w:val="0"/>
      <w:marRight w:val="0"/>
      <w:marTop w:val="0"/>
      <w:marBottom w:val="0"/>
      <w:divBdr>
        <w:top w:val="none" w:sz="0" w:space="0" w:color="auto"/>
        <w:left w:val="none" w:sz="0" w:space="0" w:color="auto"/>
        <w:bottom w:val="none" w:sz="0" w:space="0" w:color="auto"/>
        <w:right w:val="none" w:sz="0" w:space="0" w:color="auto"/>
      </w:divBdr>
    </w:div>
    <w:div w:id="2014333908">
      <w:bodyDiv w:val="1"/>
      <w:marLeft w:val="0"/>
      <w:marRight w:val="0"/>
      <w:marTop w:val="0"/>
      <w:marBottom w:val="0"/>
      <w:divBdr>
        <w:top w:val="none" w:sz="0" w:space="0" w:color="auto"/>
        <w:left w:val="none" w:sz="0" w:space="0" w:color="auto"/>
        <w:bottom w:val="none" w:sz="0" w:space="0" w:color="auto"/>
        <w:right w:val="none" w:sz="0" w:space="0" w:color="auto"/>
      </w:divBdr>
    </w:div>
    <w:div w:id="2014986467">
      <w:bodyDiv w:val="1"/>
      <w:marLeft w:val="0"/>
      <w:marRight w:val="0"/>
      <w:marTop w:val="0"/>
      <w:marBottom w:val="0"/>
      <w:divBdr>
        <w:top w:val="none" w:sz="0" w:space="0" w:color="auto"/>
        <w:left w:val="none" w:sz="0" w:space="0" w:color="auto"/>
        <w:bottom w:val="none" w:sz="0" w:space="0" w:color="auto"/>
        <w:right w:val="none" w:sz="0" w:space="0" w:color="auto"/>
      </w:divBdr>
    </w:div>
    <w:div w:id="2021589436">
      <w:bodyDiv w:val="1"/>
      <w:marLeft w:val="0"/>
      <w:marRight w:val="0"/>
      <w:marTop w:val="0"/>
      <w:marBottom w:val="0"/>
      <w:divBdr>
        <w:top w:val="none" w:sz="0" w:space="0" w:color="auto"/>
        <w:left w:val="none" w:sz="0" w:space="0" w:color="auto"/>
        <w:bottom w:val="none" w:sz="0" w:space="0" w:color="auto"/>
        <w:right w:val="none" w:sz="0" w:space="0" w:color="auto"/>
      </w:divBdr>
    </w:div>
    <w:div w:id="2022471100">
      <w:bodyDiv w:val="1"/>
      <w:marLeft w:val="0"/>
      <w:marRight w:val="0"/>
      <w:marTop w:val="0"/>
      <w:marBottom w:val="0"/>
      <w:divBdr>
        <w:top w:val="none" w:sz="0" w:space="0" w:color="auto"/>
        <w:left w:val="none" w:sz="0" w:space="0" w:color="auto"/>
        <w:bottom w:val="none" w:sz="0" w:space="0" w:color="auto"/>
        <w:right w:val="none" w:sz="0" w:space="0" w:color="auto"/>
      </w:divBdr>
    </w:div>
    <w:div w:id="2023848954">
      <w:bodyDiv w:val="1"/>
      <w:marLeft w:val="0"/>
      <w:marRight w:val="0"/>
      <w:marTop w:val="0"/>
      <w:marBottom w:val="0"/>
      <w:divBdr>
        <w:top w:val="none" w:sz="0" w:space="0" w:color="auto"/>
        <w:left w:val="none" w:sz="0" w:space="0" w:color="auto"/>
        <w:bottom w:val="none" w:sz="0" w:space="0" w:color="auto"/>
        <w:right w:val="none" w:sz="0" w:space="0" w:color="auto"/>
      </w:divBdr>
    </w:div>
    <w:div w:id="2025553561">
      <w:bodyDiv w:val="1"/>
      <w:marLeft w:val="0"/>
      <w:marRight w:val="0"/>
      <w:marTop w:val="0"/>
      <w:marBottom w:val="0"/>
      <w:divBdr>
        <w:top w:val="none" w:sz="0" w:space="0" w:color="auto"/>
        <w:left w:val="none" w:sz="0" w:space="0" w:color="auto"/>
        <w:bottom w:val="none" w:sz="0" w:space="0" w:color="auto"/>
        <w:right w:val="none" w:sz="0" w:space="0" w:color="auto"/>
      </w:divBdr>
    </w:div>
    <w:div w:id="2033876294">
      <w:bodyDiv w:val="1"/>
      <w:marLeft w:val="0"/>
      <w:marRight w:val="0"/>
      <w:marTop w:val="0"/>
      <w:marBottom w:val="0"/>
      <w:divBdr>
        <w:top w:val="none" w:sz="0" w:space="0" w:color="auto"/>
        <w:left w:val="none" w:sz="0" w:space="0" w:color="auto"/>
        <w:bottom w:val="none" w:sz="0" w:space="0" w:color="auto"/>
        <w:right w:val="none" w:sz="0" w:space="0" w:color="auto"/>
      </w:divBdr>
    </w:div>
    <w:div w:id="2046758942">
      <w:bodyDiv w:val="1"/>
      <w:marLeft w:val="0"/>
      <w:marRight w:val="0"/>
      <w:marTop w:val="0"/>
      <w:marBottom w:val="0"/>
      <w:divBdr>
        <w:top w:val="none" w:sz="0" w:space="0" w:color="auto"/>
        <w:left w:val="none" w:sz="0" w:space="0" w:color="auto"/>
        <w:bottom w:val="none" w:sz="0" w:space="0" w:color="auto"/>
        <w:right w:val="none" w:sz="0" w:space="0" w:color="auto"/>
      </w:divBdr>
    </w:div>
    <w:div w:id="2061900684">
      <w:bodyDiv w:val="1"/>
      <w:marLeft w:val="0"/>
      <w:marRight w:val="0"/>
      <w:marTop w:val="0"/>
      <w:marBottom w:val="0"/>
      <w:divBdr>
        <w:top w:val="none" w:sz="0" w:space="0" w:color="auto"/>
        <w:left w:val="none" w:sz="0" w:space="0" w:color="auto"/>
        <w:bottom w:val="none" w:sz="0" w:space="0" w:color="auto"/>
        <w:right w:val="none" w:sz="0" w:space="0" w:color="auto"/>
      </w:divBdr>
    </w:div>
    <w:div w:id="2067875154">
      <w:bodyDiv w:val="1"/>
      <w:marLeft w:val="0"/>
      <w:marRight w:val="0"/>
      <w:marTop w:val="0"/>
      <w:marBottom w:val="0"/>
      <w:divBdr>
        <w:top w:val="none" w:sz="0" w:space="0" w:color="auto"/>
        <w:left w:val="none" w:sz="0" w:space="0" w:color="auto"/>
        <w:bottom w:val="none" w:sz="0" w:space="0" w:color="auto"/>
        <w:right w:val="none" w:sz="0" w:space="0" w:color="auto"/>
      </w:divBdr>
    </w:div>
    <w:div w:id="2068525531">
      <w:bodyDiv w:val="1"/>
      <w:marLeft w:val="0"/>
      <w:marRight w:val="0"/>
      <w:marTop w:val="0"/>
      <w:marBottom w:val="0"/>
      <w:divBdr>
        <w:top w:val="none" w:sz="0" w:space="0" w:color="auto"/>
        <w:left w:val="none" w:sz="0" w:space="0" w:color="auto"/>
        <w:bottom w:val="none" w:sz="0" w:space="0" w:color="auto"/>
        <w:right w:val="none" w:sz="0" w:space="0" w:color="auto"/>
      </w:divBdr>
    </w:div>
    <w:div w:id="2078089200">
      <w:bodyDiv w:val="1"/>
      <w:marLeft w:val="0"/>
      <w:marRight w:val="0"/>
      <w:marTop w:val="0"/>
      <w:marBottom w:val="0"/>
      <w:divBdr>
        <w:top w:val="none" w:sz="0" w:space="0" w:color="auto"/>
        <w:left w:val="none" w:sz="0" w:space="0" w:color="auto"/>
        <w:bottom w:val="none" w:sz="0" w:space="0" w:color="auto"/>
        <w:right w:val="none" w:sz="0" w:space="0" w:color="auto"/>
      </w:divBdr>
    </w:div>
    <w:div w:id="2082173048">
      <w:bodyDiv w:val="1"/>
      <w:marLeft w:val="0"/>
      <w:marRight w:val="0"/>
      <w:marTop w:val="0"/>
      <w:marBottom w:val="0"/>
      <w:divBdr>
        <w:top w:val="none" w:sz="0" w:space="0" w:color="auto"/>
        <w:left w:val="none" w:sz="0" w:space="0" w:color="auto"/>
        <w:bottom w:val="none" w:sz="0" w:space="0" w:color="auto"/>
        <w:right w:val="none" w:sz="0" w:space="0" w:color="auto"/>
      </w:divBdr>
    </w:div>
    <w:div w:id="2087534936">
      <w:bodyDiv w:val="1"/>
      <w:marLeft w:val="0"/>
      <w:marRight w:val="0"/>
      <w:marTop w:val="0"/>
      <w:marBottom w:val="0"/>
      <w:divBdr>
        <w:top w:val="none" w:sz="0" w:space="0" w:color="auto"/>
        <w:left w:val="none" w:sz="0" w:space="0" w:color="auto"/>
        <w:bottom w:val="none" w:sz="0" w:space="0" w:color="auto"/>
        <w:right w:val="none" w:sz="0" w:space="0" w:color="auto"/>
      </w:divBdr>
    </w:div>
    <w:div w:id="2101176214">
      <w:bodyDiv w:val="1"/>
      <w:marLeft w:val="0"/>
      <w:marRight w:val="0"/>
      <w:marTop w:val="0"/>
      <w:marBottom w:val="0"/>
      <w:divBdr>
        <w:top w:val="none" w:sz="0" w:space="0" w:color="auto"/>
        <w:left w:val="none" w:sz="0" w:space="0" w:color="auto"/>
        <w:bottom w:val="none" w:sz="0" w:space="0" w:color="auto"/>
        <w:right w:val="none" w:sz="0" w:space="0" w:color="auto"/>
      </w:divBdr>
    </w:div>
    <w:div w:id="2102987501">
      <w:bodyDiv w:val="1"/>
      <w:marLeft w:val="0"/>
      <w:marRight w:val="0"/>
      <w:marTop w:val="0"/>
      <w:marBottom w:val="0"/>
      <w:divBdr>
        <w:top w:val="none" w:sz="0" w:space="0" w:color="auto"/>
        <w:left w:val="none" w:sz="0" w:space="0" w:color="auto"/>
        <w:bottom w:val="none" w:sz="0" w:space="0" w:color="auto"/>
        <w:right w:val="none" w:sz="0" w:space="0" w:color="auto"/>
      </w:divBdr>
    </w:div>
    <w:div w:id="2105177383">
      <w:bodyDiv w:val="1"/>
      <w:marLeft w:val="0"/>
      <w:marRight w:val="0"/>
      <w:marTop w:val="0"/>
      <w:marBottom w:val="0"/>
      <w:divBdr>
        <w:top w:val="none" w:sz="0" w:space="0" w:color="auto"/>
        <w:left w:val="none" w:sz="0" w:space="0" w:color="auto"/>
        <w:bottom w:val="none" w:sz="0" w:space="0" w:color="auto"/>
        <w:right w:val="none" w:sz="0" w:space="0" w:color="auto"/>
      </w:divBdr>
    </w:div>
    <w:div w:id="2111657815">
      <w:bodyDiv w:val="1"/>
      <w:marLeft w:val="0"/>
      <w:marRight w:val="0"/>
      <w:marTop w:val="0"/>
      <w:marBottom w:val="0"/>
      <w:divBdr>
        <w:top w:val="none" w:sz="0" w:space="0" w:color="auto"/>
        <w:left w:val="none" w:sz="0" w:space="0" w:color="auto"/>
        <w:bottom w:val="none" w:sz="0" w:space="0" w:color="auto"/>
        <w:right w:val="none" w:sz="0" w:space="0" w:color="auto"/>
      </w:divBdr>
    </w:div>
    <w:div w:id="2117671755">
      <w:bodyDiv w:val="1"/>
      <w:marLeft w:val="0"/>
      <w:marRight w:val="0"/>
      <w:marTop w:val="0"/>
      <w:marBottom w:val="0"/>
      <w:divBdr>
        <w:top w:val="none" w:sz="0" w:space="0" w:color="auto"/>
        <w:left w:val="none" w:sz="0" w:space="0" w:color="auto"/>
        <w:bottom w:val="none" w:sz="0" w:space="0" w:color="auto"/>
        <w:right w:val="none" w:sz="0" w:space="0" w:color="auto"/>
      </w:divBdr>
    </w:div>
    <w:div w:id="2118133187">
      <w:bodyDiv w:val="1"/>
      <w:marLeft w:val="0"/>
      <w:marRight w:val="0"/>
      <w:marTop w:val="0"/>
      <w:marBottom w:val="0"/>
      <w:divBdr>
        <w:top w:val="none" w:sz="0" w:space="0" w:color="auto"/>
        <w:left w:val="none" w:sz="0" w:space="0" w:color="auto"/>
        <w:bottom w:val="none" w:sz="0" w:space="0" w:color="auto"/>
        <w:right w:val="none" w:sz="0" w:space="0" w:color="auto"/>
      </w:divBdr>
    </w:div>
    <w:div w:id="2124112192">
      <w:bodyDiv w:val="1"/>
      <w:marLeft w:val="0"/>
      <w:marRight w:val="0"/>
      <w:marTop w:val="0"/>
      <w:marBottom w:val="0"/>
      <w:divBdr>
        <w:top w:val="none" w:sz="0" w:space="0" w:color="auto"/>
        <w:left w:val="none" w:sz="0" w:space="0" w:color="auto"/>
        <w:bottom w:val="none" w:sz="0" w:space="0" w:color="auto"/>
        <w:right w:val="none" w:sz="0" w:space="0" w:color="auto"/>
      </w:divBdr>
    </w:div>
    <w:div w:id="2126383887">
      <w:bodyDiv w:val="1"/>
      <w:marLeft w:val="0"/>
      <w:marRight w:val="0"/>
      <w:marTop w:val="0"/>
      <w:marBottom w:val="0"/>
      <w:divBdr>
        <w:top w:val="none" w:sz="0" w:space="0" w:color="auto"/>
        <w:left w:val="none" w:sz="0" w:space="0" w:color="auto"/>
        <w:bottom w:val="none" w:sz="0" w:space="0" w:color="auto"/>
        <w:right w:val="none" w:sz="0" w:space="0" w:color="auto"/>
      </w:divBdr>
    </w:div>
    <w:div w:id="2129740644">
      <w:bodyDiv w:val="1"/>
      <w:marLeft w:val="0"/>
      <w:marRight w:val="0"/>
      <w:marTop w:val="0"/>
      <w:marBottom w:val="0"/>
      <w:divBdr>
        <w:top w:val="none" w:sz="0" w:space="0" w:color="auto"/>
        <w:left w:val="none" w:sz="0" w:space="0" w:color="auto"/>
        <w:bottom w:val="none" w:sz="0" w:space="0" w:color="auto"/>
        <w:right w:val="none" w:sz="0" w:space="0" w:color="auto"/>
      </w:divBdr>
    </w:div>
    <w:div w:id="2137212227">
      <w:bodyDiv w:val="1"/>
      <w:marLeft w:val="0"/>
      <w:marRight w:val="0"/>
      <w:marTop w:val="0"/>
      <w:marBottom w:val="0"/>
      <w:divBdr>
        <w:top w:val="none" w:sz="0" w:space="0" w:color="auto"/>
        <w:left w:val="none" w:sz="0" w:space="0" w:color="auto"/>
        <w:bottom w:val="none" w:sz="0" w:space="0" w:color="auto"/>
        <w:right w:val="none" w:sz="0" w:space="0" w:color="auto"/>
      </w:divBdr>
    </w:div>
    <w:div w:id="213930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ary.ru/item.asp?id=29739979" TargetMode="External"/><Relationship Id="rId299" Type="http://schemas.openxmlformats.org/officeDocument/2006/relationships/hyperlink" Target="https://elibrary.ru/author_items.asp?refid=368216547&amp;fam=%D0%9A%D0%B8%D1%80%D0%B8%D0%BB%D0%BB%D0%BE%D0%B2%D0%B0&amp;init=%D0%95+%D0%AE" TargetMode="External"/><Relationship Id="rId21" Type="http://schemas.openxmlformats.org/officeDocument/2006/relationships/hyperlink" Target="https://elibrary.ru/contents.asp?issueid=1027244&amp;selid=17887562" TargetMode="External"/><Relationship Id="rId63" Type="http://schemas.openxmlformats.org/officeDocument/2006/relationships/hyperlink" Target="https://elibrary.ru/item.asp?id=27562869" TargetMode="External"/><Relationship Id="rId159" Type="http://schemas.openxmlformats.org/officeDocument/2006/relationships/hyperlink" Target="https://elibrary.ru/author_items.asp?refid=244777656&amp;fam=%D0%9A%D0%BE%D0%BC%D0%B8%D1%81%D1%81%D0%B0%D1%80%D0%BE%D0%B2%D0%B0&amp;init=%D0%9A+%D0%90" TargetMode="External"/><Relationship Id="rId324" Type="http://schemas.openxmlformats.org/officeDocument/2006/relationships/hyperlink" Target="https://elibrary.ru/author_items.asp?refid=430018779&amp;fam=%D0%92%D1%8B%D1%81%D0%BE%D1%86%D0%BA%D0%B0%D1%8F&amp;init=%D0%90+%D0%A1" TargetMode="External"/><Relationship Id="rId366" Type="http://schemas.openxmlformats.org/officeDocument/2006/relationships/hyperlink" Target="https://genproc.gov.ru/stat/data/1336134/" TargetMode="External"/><Relationship Id="rId170" Type="http://schemas.openxmlformats.org/officeDocument/2006/relationships/hyperlink" Target="https://elibrary.ru/contents.asp?issueid=1891599&amp;selid=30026081" TargetMode="External"/><Relationship Id="rId226" Type="http://schemas.openxmlformats.org/officeDocument/2006/relationships/hyperlink" Target="https://elibrary.ru/author_items.asp?refid=428814201&amp;fam=%D0%9F%D0%B0%D1%80%D0%B0%D0%BC%D0%BE%D0%BD%D0%BE%D0%B2&amp;init=%D0%9F+%D0%A4" TargetMode="External"/><Relationship Id="rId268" Type="http://schemas.openxmlformats.org/officeDocument/2006/relationships/hyperlink" Target="https://elibrary.ru/item.asp?id=32577385" TargetMode="External"/><Relationship Id="rId32" Type="http://schemas.openxmlformats.org/officeDocument/2006/relationships/hyperlink" Target="https://elibrary.ru/item.asp?id=17895867" TargetMode="External"/><Relationship Id="rId74" Type="http://schemas.openxmlformats.org/officeDocument/2006/relationships/hyperlink" Target="http://elibrary.ru/item.asp?id=23148854" TargetMode="External"/><Relationship Id="rId128" Type="http://schemas.openxmlformats.org/officeDocument/2006/relationships/hyperlink" Target="http://ej.kubagro.ru/archive.asp?n=18" TargetMode="External"/><Relationship Id="rId335" Type="http://schemas.openxmlformats.org/officeDocument/2006/relationships/hyperlink" Target="https://elibrary.ru/author_items.asp?refid=430018413&amp;fam=%D0%91%D0%B5%D1%80%D0%BD%D0%B0%D1%82%D0%BE%D1%81%D0%BE%D0%B2%D0%B0&amp;init=%D0%9A+%D0%92" TargetMode="External"/><Relationship Id="rId377" Type="http://schemas.openxmlformats.org/officeDocument/2006/relationships/hyperlink" Target="https://base.garant.ru/10108000/26/" TargetMode="External"/><Relationship Id="rId5" Type="http://schemas.openxmlformats.org/officeDocument/2006/relationships/settings" Target="settings.xml"/><Relationship Id="rId95" Type="http://schemas.openxmlformats.org/officeDocument/2006/relationships/hyperlink" Target="https://elibrary.ru/item.asp?id=32275085" TargetMode="External"/><Relationship Id="rId160" Type="http://schemas.openxmlformats.org/officeDocument/2006/relationships/hyperlink" Target="https://elibrary.ru/contents.asp?titleid=7818" TargetMode="External"/><Relationship Id="rId181" Type="http://schemas.openxmlformats.org/officeDocument/2006/relationships/hyperlink" Target="https://www.ozon.ru/brand/856612/" TargetMode="External"/><Relationship Id="rId216" Type="http://schemas.openxmlformats.org/officeDocument/2006/relationships/hyperlink" Target="https://elibrary.ru/author_items.asp?refid=431337550&amp;fam=%D0%A5%D0%B0%D0%BB%D1%8F%D0%B2%D0%BA%D0%B0&amp;init=%D0%98+%D0%95" TargetMode="External"/><Relationship Id="rId237" Type="http://schemas.openxmlformats.org/officeDocument/2006/relationships/hyperlink" Target="https://elibrary.ru/author_items.asp?refid=527844048&amp;fam=%D0%9B%D0%B8%D1%82%D0%B2%D0%B8%D0%BD%D0%B5%D0%BD%D0%BA%D0%BE&amp;init=%D0%93+%D0%9D" TargetMode="External"/><Relationship Id="rId402" Type="http://schemas.openxmlformats.org/officeDocument/2006/relationships/hyperlink" Target="https://elibrary.ru/item.asp?id=25976628" TargetMode="External"/><Relationship Id="rId258" Type="http://schemas.openxmlformats.org/officeDocument/2006/relationships/hyperlink" Target="https://elibrary.ru/item.asp?id=30650882" TargetMode="External"/><Relationship Id="rId279" Type="http://schemas.openxmlformats.org/officeDocument/2006/relationships/hyperlink" Target="https://elibrary.ru/author_items.asp?refid=534467105&amp;fam=%D0%9B%D0%B5%D0%BE%D0%BD%D0%BE%D0%B2%D0%B8%D1%87&amp;init=%D0%90+%D0%9C" TargetMode="External"/><Relationship Id="rId22" Type="http://schemas.openxmlformats.org/officeDocument/2006/relationships/hyperlink" Target="https://elibrary.ru/item.asp?id=26256957" TargetMode="External"/><Relationship Id="rId43" Type="http://schemas.openxmlformats.org/officeDocument/2006/relationships/hyperlink" Target="mailto:shmak_1937@mail.ru" TargetMode="External"/><Relationship Id="rId64" Type="http://schemas.openxmlformats.org/officeDocument/2006/relationships/hyperlink" Target="http://elibrary.ru/item.asp?id=25357841" TargetMode="External"/><Relationship Id="rId118" Type="http://schemas.openxmlformats.org/officeDocument/2006/relationships/hyperlink" Target="https://elibrary.ru/item.asp?id=29739847" TargetMode="External"/><Relationship Id="rId139" Type="http://schemas.openxmlformats.org/officeDocument/2006/relationships/hyperlink" Target="http://elibrary.ru/contents.asp?issueid=1565425" TargetMode="External"/><Relationship Id="rId290" Type="http://schemas.openxmlformats.org/officeDocument/2006/relationships/hyperlink" Target="https://elibrary.ru/contents.asp?issueid=2194661&amp;selid=32560144" TargetMode="External"/><Relationship Id="rId304" Type="http://schemas.openxmlformats.org/officeDocument/2006/relationships/hyperlink" Target="https://elibrary.ru/item.asp?id=32577385" TargetMode="External"/><Relationship Id="rId325" Type="http://schemas.openxmlformats.org/officeDocument/2006/relationships/hyperlink" Target="https://elibrary.ru/author_items.asp?refid=430018779&amp;fam=%D0%91%D0%B5%D0%BB%D0%B0%D1%88%D0%BE%D0%B2%D0%B0&amp;init=%D0%90+%D0%92" TargetMode="External"/><Relationship Id="rId346" Type="http://schemas.openxmlformats.org/officeDocument/2006/relationships/hyperlink" Target="https://elibrary.ru/contents.asp?titleid=8917" TargetMode="External"/><Relationship Id="rId367" Type="http://schemas.openxmlformats.org/officeDocument/2006/relationships/hyperlink" Target="http://www.konspekt.biz/list.php?tag=%D0%B4%D0%BE%D0%BA%D0%B0%D0%B7%D0%B0%D1%82%D0%B5%D0%BB%D1%8C%D1%81%D1%82%D0%B2%D0%B0" TargetMode="External"/><Relationship Id="rId388" Type="http://schemas.openxmlformats.org/officeDocument/2006/relationships/hyperlink" Target="consultantplus://offline/ref=DAB24BBFFFF11847458BB7CE1CA5505E1612B1934B0115FE240E3285F0132C05683C9A15EBA7x34ES" TargetMode="External"/><Relationship Id="rId85" Type="http://schemas.openxmlformats.org/officeDocument/2006/relationships/hyperlink" Target="https://elibrary.ru/contents.asp?issueid=1599777&amp;selid=26821098" TargetMode="External"/><Relationship Id="rId150" Type="http://schemas.openxmlformats.org/officeDocument/2006/relationships/hyperlink" Target="https://elibrary.ru/item.asp?id=29740053" TargetMode="External"/><Relationship Id="rId171" Type="http://schemas.openxmlformats.org/officeDocument/2006/relationships/hyperlink" Target="https://elibrary.ru/contents.asp?issueid=1832189" TargetMode="External"/><Relationship Id="rId192" Type="http://schemas.openxmlformats.org/officeDocument/2006/relationships/hyperlink" Target="http://base.garant.ru" TargetMode="External"/><Relationship Id="rId206" Type="http://schemas.openxmlformats.org/officeDocument/2006/relationships/hyperlink" Target="https://elibrary.ru/item.asp?id=25347211" TargetMode="External"/><Relationship Id="rId227" Type="http://schemas.openxmlformats.org/officeDocument/2006/relationships/hyperlink" Target="https://elibrary.ru/author_items.asp?refid=428814201&amp;fam=%D0%A5%D0%B0%D0%BB%D1%8F%D0%B2%D0%BA%D0%B0&amp;init=%D0%98+%D0%95" TargetMode="External"/><Relationship Id="rId413" Type="http://schemas.openxmlformats.org/officeDocument/2006/relationships/theme" Target="theme/theme1.xml"/><Relationship Id="rId248" Type="http://schemas.openxmlformats.org/officeDocument/2006/relationships/hyperlink" Target="https://elibrary.ru/author_items.asp?refid=380337831&amp;fam=%D0%9A%D0%BE%D0%BB%D0%BE%D0%BC%D0%BE%D0%B5%D1%86&amp;init=%D0%90+%D0%A1" TargetMode="External"/><Relationship Id="rId269" Type="http://schemas.openxmlformats.org/officeDocument/2006/relationships/hyperlink" Target="https://elibrary.ru/author_items.asp?refid=527843658&amp;fam=%D0%9B%D0%B8%D1%82%D0%B2%D0%B8%D0%BD%D0%B5%D0%BD%D0%BA%D0%BE&amp;init=%D0%93+%D0%9D" TargetMode="External"/><Relationship Id="rId12" Type="http://schemas.openxmlformats.org/officeDocument/2006/relationships/hyperlink" Target="https://cyberleninka.ru/article/n/vliyanie-zagryazneniya-vozduha-na-sostoyanie-drevesnyh-rasteniy-g-tyumeni" TargetMode="External"/><Relationship Id="rId33" Type="http://schemas.openxmlformats.org/officeDocument/2006/relationships/hyperlink" Target="https://elibrary.ru/contents.asp?issueid=1027633" TargetMode="External"/><Relationship Id="rId108" Type="http://schemas.openxmlformats.org/officeDocument/2006/relationships/oleObject" Target="embeddings/oleObject3.bin"/><Relationship Id="rId129" Type="http://schemas.openxmlformats.org/officeDocument/2006/relationships/hyperlink" Target="https://elibrary.ru/item.asp?id=26055976" TargetMode="External"/><Relationship Id="rId280" Type="http://schemas.openxmlformats.org/officeDocument/2006/relationships/hyperlink" Target="https://elibrary.ru/author_items.asp?refid=534467105&amp;fam=%D0%9B%D0%B8%D1%82%D0%B2%D0%B8%D0%BD%D0%B5%D0%BD%D0%BA%D0%BE&amp;init=%D0%93+%D0%9D" TargetMode="External"/><Relationship Id="rId315" Type="http://schemas.openxmlformats.org/officeDocument/2006/relationships/hyperlink" Target="http://www.un-documents.net/a21-14.htm" TargetMode="External"/><Relationship Id="rId336" Type="http://schemas.openxmlformats.org/officeDocument/2006/relationships/hyperlink" Target="https://elibrary.ru/author_items.asp?refid=454773854&amp;fam=%D0%A1%D0%BE%D0%BA%D0%BE%D0%BB%D0%BE%D0%B2%D0%B0&amp;init=%D0%90+%D0%9F" TargetMode="External"/><Relationship Id="rId357" Type="http://schemas.openxmlformats.org/officeDocument/2006/relationships/hyperlink" Target="http://elibrary.ru/contents.asp?titleid=8917" TargetMode="External"/><Relationship Id="rId54" Type="http://schemas.openxmlformats.org/officeDocument/2006/relationships/hyperlink" Target="http://www.magicbaikal.ru/objects/selenga/index.htm" TargetMode="External"/><Relationship Id="rId75" Type="http://schemas.openxmlformats.org/officeDocument/2006/relationships/hyperlink" Target="http://elibrary.ru/contents.asp?issueid=1378010" TargetMode="External"/><Relationship Id="rId96" Type="http://schemas.openxmlformats.org/officeDocument/2006/relationships/hyperlink" Target="https://elibrary.ru/item.asp?id=32274900" TargetMode="External"/><Relationship Id="rId140" Type="http://schemas.openxmlformats.org/officeDocument/2006/relationships/hyperlink" Target="http://elibrary.ru/contents.asp?issueid=1565425&amp;selid=25733627" TargetMode="External"/><Relationship Id="rId161" Type="http://schemas.openxmlformats.org/officeDocument/2006/relationships/hyperlink" Target="https://elibrary.ru/author_items.asp?refid=281010288&amp;fam=%D0%A0%D1%83%D1%87%D0%B8%D0%BD%D1%81%D0%BA%D0%B0%D1%8F&amp;init=%D0%AE+%D0%A1" TargetMode="External"/><Relationship Id="rId182" Type="http://schemas.openxmlformats.org/officeDocument/2006/relationships/hyperlink" Target="http://government.ru/rugovclassifier/section/2178/" TargetMode="External"/><Relationship Id="rId217" Type="http://schemas.openxmlformats.org/officeDocument/2006/relationships/hyperlink" Target="https://elibrary.ru/author_items.asp?refid=431337550&amp;fam=%D0%A1%D1%82%D1%83%D0%BA%D0%BE%D0%B2%D0%B0&amp;init=%D0%AE+%D0%95" TargetMode="External"/><Relationship Id="rId378" Type="http://schemas.openxmlformats.org/officeDocument/2006/relationships/hyperlink" Target="https://rg.ru/2017/02/06/deputaty-predlozhili-uprazdnit-ugolovnuiu-statiu-za-mitingi.html" TargetMode="External"/><Relationship Id="rId399" Type="http://schemas.openxmlformats.org/officeDocument/2006/relationships/hyperlink" Target="consultantplus://offline/ref=5C82A56C28FD46D054721E9283890928F3C8D00FA887B63C436008E1DB1176312198E47C726C6FEB7265S" TargetMode="External"/><Relationship Id="rId403" Type="http://schemas.openxmlformats.org/officeDocument/2006/relationships/hyperlink" Target="https://elibrary.ru/contents.asp?issueid=1575763" TargetMode="External"/><Relationship Id="rId6" Type="http://schemas.openxmlformats.org/officeDocument/2006/relationships/webSettings" Target="webSettings.xml"/><Relationship Id="rId238" Type="http://schemas.openxmlformats.org/officeDocument/2006/relationships/hyperlink" Target="https://elibrary.ru/author_items.asp?refid=437387777&amp;fam=%D0%93%D0%BE%D0%BD%D0%B8%D0%BA&amp;init=%D0%93+%D0%93" TargetMode="External"/><Relationship Id="rId259" Type="http://schemas.openxmlformats.org/officeDocument/2006/relationships/hyperlink" Target="https://elibrary.ru/item.asp?id=30650721" TargetMode="External"/><Relationship Id="rId23" Type="http://schemas.openxmlformats.org/officeDocument/2006/relationships/hyperlink" Target="https://elibrary.ru/item.asp?id=26256903" TargetMode="External"/><Relationship Id="rId119" Type="http://schemas.openxmlformats.org/officeDocument/2006/relationships/hyperlink" Target="https://elibrary.ru/item.asp?id=31499055" TargetMode="External"/><Relationship Id="rId270" Type="http://schemas.openxmlformats.org/officeDocument/2006/relationships/hyperlink" Target="https://elibrary.ru/author_items.asp?refid=527843658&amp;fam=%D0%9B%D1%83%D0%BA%D1%8F%D0%BD%D1%87%D0%B5%D0%BD%D0%BA%D0%BE&amp;init=%D0%95+%D0%92" TargetMode="External"/><Relationship Id="rId291" Type="http://schemas.openxmlformats.org/officeDocument/2006/relationships/hyperlink" Target="https://elibrary.ru/author_items.asp?refid=530055928&amp;fam=%D0%A1%D0%BE%D0%BA%D0%BE%D0%BB%D0%BE%D0%B2%D0%B0&amp;init=%D0%90+%D0%9F" TargetMode="External"/><Relationship Id="rId305" Type="http://schemas.openxmlformats.org/officeDocument/2006/relationships/hyperlink" Target="https://elibrary.ru/author_items.asp?refid=527843659&amp;fam=%D0%9F%D0%BE%D0%BC%D0%B5%D0%BD%D1%87%D1%83%D0%BA&amp;init=%D0%90+%D0%AE" TargetMode="External"/><Relationship Id="rId326" Type="http://schemas.openxmlformats.org/officeDocument/2006/relationships/hyperlink" Target="https://elibrary.ru/author_items.asp?refid=454773850&amp;fam=%D0%9B%D0%B8%D1%82%D0%B2%D0%B8%D0%BD%D0%B5%D0%BD%D0%BA%D0%BE&amp;init=%D0%93+%D0%9D" TargetMode="External"/><Relationship Id="rId347" Type="http://schemas.openxmlformats.org/officeDocument/2006/relationships/hyperlink" Target="https://elibrary.ru/author_items.asp?refid=534922510&amp;fam=%D0%9A%D0%B0%D1%88%D1%82%D0%B0%D0%B5%D0%B2%D0%B0&amp;init=%D0%94+%D0%A0" TargetMode="External"/><Relationship Id="rId44" Type="http://schemas.openxmlformats.org/officeDocument/2006/relationships/hyperlink" Target="mailto:shmak_1937@mail.ru" TargetMode="External"/><Relationship Id="rId65" Type="http://schemas.openxmlformats.org/officeDocument/2006/relationships/hyperlink" Target="http://elibrary.ru/item.asp?id=25357841" TargetMode="External"/><Relationship Id="rId86" Type="http://schemas.openxmlformats.org/officeDocument/2006/relationships/hyperlink" Target="https://elibrary.ru/item.asp?id=23591350" TargetMode="External"/><Relationship Id="rId130" Type="http://schemas.openxmlformats.org/officeDocument/2006/relationships/hyperlink" Target="https://elibrary.ru/item.asp?id=32250381" TargetMode="External"/><Relationship Id="rId151" Type="http://schemas.openxmlformats.org/officeDocument/2006/relationships/hyperlink" Target="http://ej.kubagro.ru/2005/04/pdf/15.pdf" TargetMode="External"/><Relationship Id="rId368" Type="http://schemas.openxmlformats.org/officeDocument/2006/relationships/hyperlink" Target="http://www.consultant.ru/" TargetMode="External"/><Relationship Id="rId389" Type="http://schemas.openxmlformats.org/officeDocument/2006/relationships/hyperlink" Target="consultantplus://offline/ref=736C01A823999A275AF22B95954C99B3B92505DDF9BEF6CEC129BA81489C500AAA27FD5956037B34g265S" TargetMode="External"/><Relationship Id="rId172" Type="http://schemas.openxmlformats.org/officeDocument/2006/relationships/hyperlink" Target="https://elibrary.ru/contents.asp?issueid=1832189&amp;selid=29218415" TargetMode="External"/><Relationship Id="rId193" Type="http://schemas.openxmlformats.org/officeDocument/2006/relationships/hyperlink" Target="https://elibrary.ru/item.asp?id=23003041" TargetMode="External"/><Relationship Id="rId207" Type="http://schemas.openxmlformats.org/officeDocument/2006/relationships/hyperlink" Target="https://elibrary.ru/item.asp?id=24247585" TargetMode="External"/><Relationship Id="rId228" Type="http://schemas.openxmlformats.org/officeDocument/2006/relationships/hyperlink" Target="https://elibrary.ru/author_items.asp?refid=428814201&amp;fam=%D0%A1%D1%82%D1%83%D0%BA%D0%BE%D0%B2%D0%B0&amp;init=%D0%AE+%D0%95" TargetMode="External"/><Relationship Id="rId249" Type="http://schemas.openxmlformats.org/officeDocument/2006/relationships/hyperlink" Target="https://elibrary.ru/author_items.asp?refid=424525371&amp;fam=%D0%9A%D0%B0%D0%BB%D0%B0%D0%B9%D0%B4%D0%B0&amp;init=%D0%90+%D0%94" TargetMode="External"/><Relationship Id="rId13" Type="http://schemas.openxmlformats.org/officeDocument/2006/relationships/hyperlink" Target="https://elibrary.ru/contents.asp?issueid=534087" TargetMode="External"/><Relationship Id="rId109" Type="http://schemas.openxmlformats.org/officeDocument/2006/relationships/image" Target="media/image4.wmf"/><Relationship Id="rId260" Type="http://schemas.openxmlformats.org/officeDocument/2006/relationships/hyperlink" Target="https://elibrary.ru/author_items.asp?refid=437540424&amp;fam=%D0%9B%D0%B8%D1%82%D0%B2%D0%B8%D0%BD%D0%B5%D0%BD%D0%BA%D0%BE&amp;init=%D0%93+%D0%9D" TargetMode="External"/><Relationship Id="rId281" Type="http://schemas.openxmlformats.org/officeDocument/2006/relationships/hyperlink" Target="https://elibrary.ru/author_items.asp?refid=454924608&amp;fam=%D0%9B%D0%B8%D1%82%D0%B2%D0%B8%D0%BD%D0%B5%D0%BD%D0%BA%D0%BE&amp;init=%D0%93+%D0%9D" TargetMode="External"/><Relationship Id="rId316" Type="http://schemas.openxmlformats.org/officeDocument/2006/relationships/hyperlink" Target="https://elibrary.ru/author_items.asp?refid=472042694&amp;fam=%D0%93%D0%B8%D0%BB%D1%8C%D1%88%D1%82%D0%B5%D0%B9%D0%BD&amp;init=%D0%90+%D0%A1" TargetMode="External"/><Relationship Id="rId337" Type="http://schemas.openxmlformats.org/officeDocument/2006/relationships/hyperlink" Target="https://elibrary.ru/author_items.asp?refid=454773854&amp;fam=%D0%A3%D1%81%D1%82%D1%8F%D0%BD&amp;init=%D0%A1+%D0%90" TargetMode="External"/><Relationship Id="rId34" Type="http://schemas.openxmlformats.org/officeDocument/2006/relationships/hyperlink" Target="https://elibrary.ru/contents.asp?issueid=1027633&amp;selid=17895867" TargetMode="External"/><Relationship Id="rId55" Type="http://schemas.openxmlformats.org/officeDocument/2006/relationships/hyperlink" Target="http://www.mnr.gov.ru/" TargetMode="External"/><Relationship Id="rId76" Type="http://schemas.openxmlformats.org/officeDocument/2006/relationships/hyperlink" Target="http://elibrary.ru/contents.asp?issueid=1378010&amp;selid=23148854" TargetMode="External"/><Relationship Id="rId97" Type="http://schemas.openxmlformats.org/officeDocument/2006/relationships/hyperlink" Target="https://elibrary.ru/item.asp?id=28087719" TargetMode="External"/><Relationship Id="rId120" Type="http://schemas.openxmlformats.org/officeDocument/2006/relationships/hyperlink" Target="https://elibrary.ru/item.asp?id=31496935" TargetMode="External"/><Relationship Id="rId141" Type="http://schemas.openxmlformats.org/officeDocument/2006/relationships/hyperlink" Target="http://ej.kubagro.ru/archive.asp?n=18" TargetMode="External"/><Relationship Id="rId358" Type="http://schemas.openxmlformats.org/officeDocument/2006/relationships/hyperlink" Target="http://elibrary.ru/contents.asp?titleid=8917" TargetMode="External"/><Relationship Id="rId379" Type="http://schemas.openxmlformats.org/officeDocument/2006/relationships/hyperlink" Target="https://gufo.me/dict/philosophy_encyclopedia" TargetMode="External"/><Relationship Id="rId7" Type="http://schemas.openxmlformats.org/officeDocument/2006/relationships/footnotes" Target="footnotes.xml"/><Relationship Id="rId162" Type="http://schemas.openxmlformats.org/officeDocument/2006/relationships/hyperlink" Target="https://elibrary.ru/author_items.asp?refid=281010288&amp;fam=%D0%A0%D1%83%D1%87%D0%B8%D0%BD%D1%81%D0%BA%D0%B0%D1%8F&amp;init=%D0%AE+%D0%A1" TargetMode="External"/><Relationship Id="rId183" Type="http://schemas.openxmlformats.org/officeDocument/2006/relationships/hyperlink" Target="https://www.cbr.ru/DKP/" TargetMode="External"/><Relationship Id="rId218" Type="http://schemas.openxmlformats.org/officeDocument/2006/relationships/hyperlink" Target="https://elibrary.ru/author_items.asp?refid=431337550&amp;fam=%D0%9F%D0%B0%D1%80%D0%B0%D0%BC%D0%BE%D0%BD%D0%BE%D0%B2&amp;init=%D0%9F+%D0%A4" TargetMode="External"/><Relationship Id="rId239" Type="http://schemas.openxmlformats.org/officeDocument/2006/relationships/hyperlink" Target="https://elibrary.ru/author_items.asp?refid=437387777&amp;fam=%D0%9F%D0%B0%D1%89%D0%B5%D0%BD%D0%BA%D0%BE&amp;init=%D0%93+%D0%A1" TargetMode="External"/><Relationship Id="rId390" Type="http://schemas.openxmlformats.org/officeDocument/2006/relationships/hyperlink" Target="consultantplus://offline/ref=F9713C17475FB702C8DF3A9C811E814FCE2B49C28E6308A8D0C7C933316508F216E276B2BAB32457iFB4T" TargetMode="External"/><Relationship Id="rId404" Type="http://schemas.openxmlformats.org/officeDocument/2006/relationships/hyperlink" Target="https://elibrary.ru/contents.asp?issueid=1575763&amp;selid=25976628" TargetMode="External"/><Relationship Id="rId250" Type="http://schemas.openxmlformats.org/officeDocument/2006/relationships/hyperlink" Target="https://elibrary.ru/author_items.asp?refid=424525371&amp;fam=%D0%90%D1%80%D1%83%D1%82%D1%8E%D0%BD%D1%8F%D0%BD&amp;init=%D0%AE+%D0%98" TargetMode="External"/><Relationship Id="rId271" Type="http://schemas.openxmlformats.org/officeDocument/2006/relationships/hyperlink" Target="https://elibrary.ru/author_items.asp?refid=468784719&amp;fam=%D0%9B%D0%B8%D1%82%D0%B2%D0%B8%D0%BD%D0%B5%D0%BD%D0%BA%D0%BE&amp;init=%D0%93+%D0%9D" TargetMode="External"/><Relationship Id="rId292" Type="http://schemas.openxmlformats.org/officeDocument/2006/relationships/hyperlink" Target="https://elibrary.ru/author_items.asp?refid=530055928&amp;fam=%D0%92%D0%B5%D1%82%D0%B5%D1%80&amp;init=%D0%92+%D0%93" TargetMode="External"/><Relationship Id="rId306" Type="http://schemas.openxmlformats.org/officeDocument/2006/relationships/hyperlink" Target="https://elibrary.ru/author_items.asp?refid=527843659&amp;fam=%D0%9A%D0%BE%D0%BB%D1%8C%D1%86%D0%BE%D0%B2&amp;init=%D0%A1+%D0%92" TargetMode="External"/><Relationship Id="rId24" Type="http://schemas.openxmlformats.org/officeDocument/2006/relationships/hyperlink" Target="http://agroplus-group.ru/inf/rukovodstvo_ris" TargetMode="External"/><Relationship Id="rId45" Type="http://schemas.openxmlformats.org/officeDocument/2006/relationships/hyperlink" Target="https://elibrary.ru/contents.asp?issueid=1284662" TargetMode="External"/><Relationship Id="rId66" Type="http://schemas.openxmlformats.org/officeDocument/2006/relationships/hyperlink" Target="http://ej.kubagro.ru/2013/03/pdf/26.pdf" TargetMode="External"/><Relationship Id="rId87" Type="http://schemas.openxmlformats.org/officeDocument/2006/relationships/hyperlink" Target="https://elibrary.ru/contents.asp?issueid=1397505" TargetMode="External"/><Relationship Id="rId110" Type="http://schemas.openxmlformats.org/officeDocument/2006/relationships/oleObject" Target="embeddings/oleObject4.bin"/><Relationship Id="rId131" Type="http://schemas.openxmlformats.org/officeDocument/2006/relationships/hyperlink" Target="https://elibrary.ru/item.asp?id=32250301" TargetMode="External"/><Relationship Id="rId327" Type="http://schemas.openxmlformats.org/officeDocument/2006/relationships/hyperlink" Target="https://elibrary.ru/author_items.asp?refid=352164869&amp;fam=%D0%91%D0%B5%D1%80%D1%88%D0%B8%D1%86%D0%BA%D0%B8%D0%B9&amp;init=%D0%AE+%D0%98" TargetMode="External"/><Relationship Id="rId348" Type="http://schemas.openxmlformats.org/officeDocument/2006/relationships/hyperlink" Target="https://elibrary.ru/author_items.asp?refid=534922510&amp;fam=%D0%94%D0%B5%D0%BC%D1%87%D0%B5%D0%BD%D0%BA%D0%BE&amp;init=%D0%90+%D0%9E" TargetMode="External"/><Relationship Id="rId369" Type="http://schemas.openxmlformats.org/officeDocument/2006/relationships/hyperlink" Target="http://docs.cntd.ru/document/461606550" TargetMode="External"/><Relationship Id="rId152" Type="http://schemas.openxmlformats.org/officeDocument/2006/relationships/hyperlink" Target="https://elibrary.ru/contents.asp?issueid=1836041&amp;selid=29328475" TargetMode="External"/><Relationship Id="rId173" Type="http://schemas.openxmlformats.org/officeDocument/2006/relationships/hyperlink" Target="https://elibrary.ru/contents.asp?issueid=680418" TargetMode="External"/><Relationship Id="rId194" Type="http://schemas.openxmlformats.org/officeDocument/2006/relationships/hyperlink" Target="https://elibrary.ru/item.asp?id=23002890" TargetMode="External"/><Relationship Id="rId208" Type="http://schemas.openxmlformats.org/officeDocument/2006/relationships/hyperlink" Target="https://elibrary.ru/author_items.asp?refid=428814201&amp;fam=%D0%9F%D0%B0%D1%80%D0%B0%D0%BC%D0%BE%D0%BD%D0%BE%D0%B2&amp;init=%D0%9F+%D0%A4" TargetMode="External"/><Relationship Id="rId229" Type="http://schemas.openxmlformats.org/officeDocument/2006/relationships/hyperlink" Target="https://teacode.com/online/udc/33/338.433.html" TargetMode="External"/><Relationship Id="rId380" Type="http://schemas.openxmlformats.org/officeDocument/2006/relationships/hyperlink" Target="https://elibrary.ru/item.asp?id=28426033" TargetMode="External"/><Relationship Id="rId240" Type="http://schemas.openxmlformats.org/officeDocument/2006/relationships/hyperlink" Target="https://elibrary.ru/author_items.asp?refid=454773894&amp;fam=%D0%9B%D0%B8%D1%82%D0%B2%D0%B8%D0%BD%D0%B5%D0%BD%D0%BA%D0%BE&amp;init=%D0%93+%D0%9D" TargetMode="External"/><Relationship Id="rId261" Type="http://schemas.openxmlformats.org/officeDocument/2006/relationships/hyperlink" Target="https://elibrary.ru/author_items.asp?refid=437540424&amp;fam=%D0%93%D1%83%D0%B1%D0%B0&amp;init=%D0%90+%D0%90" TargetMode="External"/><Relationship Id="rId14" Type="http://schemas.openxmlformats.org/officeDocument/2006/relationships/hyperlink" Target="https://elibrary.ru/contents.asp?issueid=534087&amp;selid=11755815" TargetMode="External"/><Relationship Id="rId35" Type="http://schemas.openxmlformats.org/officeDocument/2006/relationships/hyperlink" Target="https://elibrary.ru/item.asp?id=30037938" TargetMode="External"/><Relationship Id="rId56" Type="http://schemas.openxmlformats.org/officeDocument/2006/relationships/hyperlink" Target="https://elibrary.ru/contents.asp?titleid=8917" TargetMode="External"/><Relationship Id="rId77" Type="http://schemas.openxmlformats.org/officeDocument/2006/relationships/hyperlink" Target="https://elibrary.ru/item.asp?id=22843017" TargetMode="External"/><Relationship Id="rId100" Type="http://schemas.openxmlformats.org/officeDocument/2006/relationships/hyperlink" Target="https://elibrary.ru/item.asp?id=29739847" TargetMode="External"/><Relationship Id="rId282" Type="http://schemas.openxmlformats.org/officeDocument/2006/relationships/hyperlink" Target="https://elibrary.ru/author_items.asp?refid=454924608&amp;fam=%D0%93%D1%83%D0%B1%D0%B0&amp;init=%D0%90+%D0%90" TargetMode="External"/><Relationship Id="rId317" Type="http://schemas.openxmlformats.org/officeDocument/2006/relationships/hyperlink" Target="https://elibrary.ru/author_items.asp?refid=472042694&amp;fam=%D0%91%D1%8B%D0%B7%D0%BE%D0%B2%D0%B0&amp;init=%D0%92+%D0%95" TargetMode="External"/><Relationship Id="rId338" Type="http://schemas.openxmlformats.org/officeDocument/2006/relationships/hyperlink" Target="https://elibrary.ru/author_items.asp?refid=454773854&amp;fam=%D0%9C%D0%B5%D0%BB%D0%BA%D1%83%D0%BC%D0%BE%D0%B2&amp;init=%D0%A1+%D0%90" TargetMode="External"/><Relationship Id="rId359" Type="http://schemas.openxmlformats.org/officeDocument/2006/relationships/hyperlink" Target="http://elibrary.ru/contents.asp?titleid=8917" TargetMode="External"/><Relationship Id="rId8" Type="http://schemas.openxmlformats.org/officeDocument/2006/relationships/endnotes" Target="endnotes.xml"/><Relationship Id="rId98" Type="http://schemas.openxmlformats.org/officeDocument/2006/relationships/hyperlink" Target="https://elibrary.ru/item.asp?id=28087581" TargetMode="External"/><Relationship Id="rId121" Type="http://schemas.openxmlformats.org/officeDocument/2006/relationships/hyperlink" Target="http://vinograd.info/sorta/vinnye/saperavi.html" TargetMode="External"/><Relationship Id="rId142" Type="http://schemas.openxmlformats.org/officeDocument/2006/relationships/hyperlink" Target="http://ej.kubagro.ru/2017/01/pdf/41" TargetMode="External"/><Relationship Id="rId163" Type="http://schemas.openxmlformats.org/officeDocument/2006/relationships/hyperlink" Target="https://elibrary.ru/author_items.asp?refid=281010288&amp;fam=%D0%9F%D0%B0%D0%BD%D0%BA%D1%80%D0%B0%D1%82%D0%BE%D0%B2%D0%B0&amp;init=%D0%95+%D0%92" TargetMode="External"/><Relationship Id="rId184" Type="http://schemas.openxmlformats.org/officeDocument/2006/relationships/hyperlink" Target="https://elibrary.ru/item.asp?id=25670865" TargetMode="External"/><Relationship Id="rId219" Type="http://schemas.openxmlformats.org/officeDocument/2006/relationships/hyperlink" Target="https://elibrary.ru/author_items.asp?refid=431337550&amp;fam=%D0%A5%D0%B0%D0%BB%D1%8F%D0%B2%D0%BA%D0%B0&amp;init=%D0%98+%D0%95" TargetMode="External"/><Relationship Id="rId370" Type="http://schemas.openxmlformats.org/officeDocument/2006/relationships/hyperlink" Target="https://static.consultant.ru/obj/file/doc/pr_fz130617.rtf" TargetMode="External"/><Relationship Id="rId391" Type="http://schemas.openxmlformats.org/officeDocument/2006/relationships/hyperlink" Target="consultantplus://offline/ref=F9713C17475FB702C8DF3A9C811E814FCE2B49C28E6308A8D0C7C933316508F216E276B2BAB32354iFB2T" TargetMode="External"/><Relationship Id="rId405" Type="http://schemas.openxmlformats.org/officeDocument/2006/relationships/hyperlink" Target="https://elibrary.ru/item.asp?id=29048107" TargetMode="External"/><Relationship Id="rId230" Type="http://schemas.openxmlformats.org/officeDocument/2006/relationships/hyperlink" Target="https://elibrary.ru/author_items.asp?refid=527844087&amp;fam=%D0%94%D0%BC%D0%B8%D1%82%D1%80%D0%B8%D0%B5%D0%B2%D0%B0&amp;init=%D0%90+%D0%AF" TargetMode="External"/><Relationship Id="rId251" Type="http://schemas.openxmlformats.org/officeDocument/2006/relationships/hyperlink" Target="https://elibrary.ru/author_items.asp?refid=451004735&amp;fam=%D0%9D%D0%BE%D0%B7%D0%B4%D1%80%D0%B8%D0%BD%D0%B0&amp;init=%D0%90+%D0%9A" TargetMode="External"/><Relationship Id="rId25" Type="http://schemas.openxmlformats.org/officeDocument/2006/relationships/hyperlink" Target="https://elibrary.ru/item.asp?id=25850566" TargetMode="External"/><Relationship Id="rId46" Type="http://schemas.openxmlformats.org/officeDocument/2006/relationships/hyperlink" Target="https://elibrary.ru/publisher_titles.asp?publishid=7098" TargetMode="External"/><Relationship Id="rId67" Type="http://schemas.openxmlformats.org/officeDocument/2006/relationships/hyperlink" Target="https://elibrary.ru/item.asp?id=27562869" TargetMode="External"/><Relationship Id="rId272" Type="http://schemas.openxmlformats.org/officeDocument/2006/relationships/hyperlink" Target="https://elibrary.ru/contents.asp?issueid=1907791&amp;selid=30707758" TargetMode="External"/><Relationship Id="rId293" Type="http://schemas.openxmlformats.org/officeDocument/2006/relationships/hyperlink" Target="http://www.dg-yug.ru/rubriki/agro/91765-na-kubani-nachalas-uborka-vinograda.html" TargetMode="External"/><Relationship Id="rId307" Type="http://schemas.openxmlformats.org/officeDocument/2006/relationships/hyperlink" Target="https://elibrary.ru/author_items.asp?refid=527843659&amp;fam=%D0%9B%D0%B8%D1%82%D0%B2%D0%B8%D0%BD%D0%B5%D0%BD%D0%BA%D0%BE&amp;init=%D0%93+%D0%9D" TargetMode="External"/><Relationship Id="rId328" Type="http://schemas.openxmlformats.org/officeDocument/2006/relationships/hyperlink" Target="https://elibrary.ru/author_items.asp?refid=352164869&amp;fam=%D0%91%D0%B5%D1%80%D1%88%D0%B8%D1%86%D0%BA%D0%B8%D0%B9&amp;init=%D0%AE+%D0%98" TargetMode="External"/><Relationship Id="rId349" Type="http://schemas.openxmlformats.org/officeDocument/2006/relationships/hyperlink" Target="https://elibrary.ru/author_items.asp?refid=534922510&amp;fam=%D0%9B%D0%B8%D1%82%D0%B2%D0%B8%D0%BD%D0%B5%D0%BD%D0%BA%D0%BE&amp;init=%D0%93+%D0%9D" TargetMode="External"/><Relationship Id="rId88" Type="http://schemas.openxmlformats.org/officeDocument/2006/relationships/hyperlink" Target="https://elibrary.ru/contents.asp?issueid=1397505&amp;selid=23591350" TargetMode="External"/><Relationship Id="rId111" Type="http://schemas.openxmlformats.org/officeDocument/2006/relationships/image" Target="media/image5.wmf"/><Relationship Id="rId132" Type="http://schemas.openxmlformats.org/officeDocument/2006/relationships/hyperlink" Target="https://elibrary.ru/item.asp?id=32275410" TargetMode="External"/><Relationship Id="rId153" Type="http://schemas.openxmlformats.org/officeDocument/2006/relationships/hyperlink" Target="https://elibrary.ru/contents.asp?issueid=2189459&amp;selid=32390135" TargetMode="External"/><Relationship Id="rId174" Type="http://schemas.openxmlformats.org/officeDocument/2006/relationships/hyperlink" Target="https://elibrary.ru/contents.asp?issueid=680418&amp;selid=13621207" TargetMode="External"/><Relationship Id="rId195" Type="http://schemas.openxmlformats.org/officeDocument/2006/relationships/hyperlink" Target="https://elibrary.ru/item.asp?id=25965482" TargetMode="External"/><Relationship Id="rId209" Type="http://schemas.openxmlformats.org/officeDocument/2006/relationships/hyperlink" Target="https://elibrary.ru/author_items.asp?refid=428814201&amp;fam=%D0%A5%D0%B0%D0%BB%D1%8F%D0%B2%D0%BA%D0%B0&amp;init=%D0%98+%D0%95" TargetMode="External"/><Relationship Id="rId360" Type="http://schemas.openxmlformats.org/officeDocument/2006/relationships/hyperlink" Target="http://elibrary.ru/contents.asp?titleid=8917" TargetMode="External"/><Relationship Id="rId381" Type="http://schemas.openxmlformats.org/officeDocument/2006/relationships/hyperlink" Target="http://www.pfrf.ru" TargetMode="External"/><Relationship Id="rId220" Type="http://schemas.openxmlformats.org/officeDocument/2006/relationships/hyperlink" Target="https://elibrary.ru/author_items.asp?refid=431337550&amp;fam=%D0%A1%D1%82%D1%83%D0%BA%D0%BE%D0%B2%D0%B0&amp;init=%D0%AE+%D0%95" TargetMode="External"/><Relationship Id="rId241" Type="http://schemas.openxmlformats.org/officeDocument/2006/relationships/hyperlink" Target="https://elibrary.ru/author_items.asp?refid=454773894&amp;fam=%D0%90%D1%80%D1%8F%D0%BC%D0%BE%D0%B2%D0%B0&amp;init=%D0%90+%D0%A1" TargetMode="External"/><Relationship Id="rId15" Type="http://schemas.openxmlformats.org/officeDocument/2006/relationships/hyperlink" Target="https://elibrary.ru/item.asp?id=26589290" TargetMode="External"/><Relationship Id="rId36" Type="http://schemas.openxmlformats.org/officeDocument/2006/relationships/hyperlink" Target="https://elibrary.ru/item.asp?id=30037789" TargetMode="External"/><Relationship Id="rId57" Type="http://schemas.openxmlformats.org/officeDocument/2006/relationships/hyperlink" Target="https://elibrary.ru/item.asp?id=22435147" TargetMode="External"/><Relationship Id="rId262" Type="http://schemas.openxmlformats.org/officeDocument/2006/relationships/hyperlink" Target="http://www.gks.ru/" TargetMode="External"/><Relationship Id="rId283" Type="http://schemas.openxmlformats.org/officeDocument/2006/relationships/hyperlink" Target="https://elibrary.ru/author_items.asp?refid=454924607&amp;fam=%D0%9B%D0%B8%D1%82%D0%B2%D0%B8%D0%BD%D0%B5%D0%BD%D0%BA%D0%BE&amp;init=%D0%93+%D0%9D" TargetMode="External"/><Relationship Id="rId318" Type="http://schemas.openxmlformats.org/officeDocument/2006/relationships/hyperlink" Target="https://elibrary.ru/author_items.asp?refid=472042694&amp;fam=%D0%9B%D0%B8%D1%82%D0%B2%D0%B8%D0%BD%D0%B5%D0%BD%D0%BA%D0%BE&amp;init=%D0%93+%D0%9D" TargetMode="External"/><Relationship Id="rId339" Type="http://schemas.openxmlformats.org/officeDocument/2006/relationships/hyperlink" Target="https://elibrary.ru/contents.asp?titleid=27783" TargetMode="External"/><Relationship Id="rId78" Type="http://schemas.openxmlformats.org/officeDocument/2006/relationships/hyperlink" Target="https://elibrary.ru/contents.asp?issueid=1362449" TargetMode="External"/><Relationship Id="rId99" Type="http://schemas.openxmlformats.org/officeDocument/2006/relationships/hyperlink" Target="https://elibrary.ru/item.asp?id=29739979" TargetMode="External"/><Relationship Id="rId101" Type="http://schemas.openxmlformats.org/officeDocument/2006/relationships/hyperlink" Target="https://elibrary.ru/item.asp?id=31499055" TargetMode="External"/><Relationship Id="rId122" Type="http://schemas.openxmlformats.org/officeDocument/2006/relationships/hyperlink" Target="http://vinograd.info/sorta/vinnye/saperavi.html" TargetMode="External"/><Relationship Id="rId143" Type="http://schemas.openxmlformats.org/officeDocument/2006/relationships/hyperlink" Target="https://elibrary.ru/item.asp?id=26055976" TargetMode="External"/><Relationship Id="rId164" Type="http://schemas.openxmlformats.org/officeDocument/2006/relationships/hyperlink" Target="https://elibrary.ru/author_items.asp?refid=281010288&amp;fam=%D0%9A%D0%BE%D0%B2%D0%B0%D0%BB%D0%B5%D0%B2%D0%B0&amp;init=%D0%9A+%D0%90" TargetMode="External"/><Relationship Id="rId185" Type="http://schemas.openxmlformats.org/officeDocument/2006/relationships/hyperlink" Target="http://fb.ru/article/236778/problemyi-sovremennogo-obrazovaniya-i-nauki-puti-resheniya-problem-na-gosudarstvennom-urovne" TargetMode="External"/><Relationship Id="rId350" Type="http://schemas.openxmlformats.org/officeDocument/2006/relationships/hyperlink" Target="https://elibrary.ru/author_items.asp?refid=454773854&amp;fam=%D0%A1%D0%BE%D0%BA%D0%BE%D0%BB%D0%BE%D0%B2%D0%B0&amp;init=%D0%90+%D0%9F" TargetMode="External"/><Relationship Id="rId371" Type="http://schemas.openxmlformats.org/officeDocument/2006/relationships/hyperlink" Target="http://www.ntv.ru/novosti/630813/" TargetMode="External"/><Relationship Id="rId406" Type="http://schemas.openxmlformats.org/officeDocument/2006/relationships/hyperlink" Target="https://elibrary.ru/item.asp?id=29048088" TargetMode="External"/><Relationship Id="rId9" Type="http://schemas.openxmlformats.org/officeDocument/2006/relationships/footer" Target="footer1.xml"/><Relationship Id="rId210" Type="http://schemas.openxmlformats.org/officeDocument/2006/relationships/hyperlink" Target="https://elibrary.ru/author_items.asp?refid=428814201&amp;fam=%D0%A1%D1%82%D1%83%D0%BA%D0%BE%D0%B2%D0%B0&amp;init=%D0%AE+%D0%95" TargetMode="External"/><Relationship Id="rId392" Type="http://schemas.openxmlformats.org/officeDocument/2006/relationships/hyperlink" Target="http://www.consultant.ru/document/cons_doc_LAW_44571/" TargetMode="External"/><Relationship Id="rId26" Type="http://schemas.openxmlformats.org/officeDocument/2006/relationships/hyperlink" Target="https://elibrary.ru/item.asp?id=16042907" TargetMode="External"/><Relationship Id="rId231" Type="http://schemas.openxmlformats.org/officeDocument/2006/relationships/hyperlink" Target="https://elibrary.ru/author_items.asp?refid=527844087&amp;fam=%D0%94%D1%83%D0%B1%D0%BE%D0%B2%D0%B8%D0%BA&amp;init=%D0%92+%D0%A1" TargetMode="External"/><Relationship Id="rId252" Type="http://schemas.openxmlformats.org/officeDocument/2006/relationships/hyperlink" Target="https://elibrary.ru/author_items.asp?refid=451004735&amp;fam=%D0%90%D1%80%D1%83%D1%82%D1%8E%D0%BD%D1%8F%D0%BD&amp;init=%D0%AE+%D0%98" TargetMode="External"/><Relationship Id="rId273" Type="http://schemas.openxmlformats.org/officeDocument/2006/relationships/hyperlink" Target="https://elibrary.ru/author_items.asp?refid=468793571&amp;fam=%D0%93%D0%B8%D0%BB%D1%8C%D1%88%D1%82%D0%B5%D0%B9%D0%BD&amp;init=%D0%90+%D0%A1" TargetMode="External"/><Relationship Id="rId294" Type="http://schemas.openxmlformats.org/officeDocument/2006/relationships/hyperlink" Target="https://elibrary.ru/author_items.asp?refid=451004735&amp;fam=%D0%9D%D0%BE%D0%B7%D0%B4%D1%80%D0%B8%D0%BD%D0%B0&amp;init=%D0%90+%D0%9A" TargetMode="External"/><Relationship Id="rId308" Type="http://schemas.openxmlformats.org/officeDocument/2006/relationships/hyperlink" Target="https://elibrary.ru/author_items.asp?refid=527844112&amp;fam=%D0%9B%D0%B8%D1%82%D0%B2%D0%B8%D0%BD%D0%B5%D0%BD%D0%BA%D0%BE&amp;init=%D0%93+%D0%9D" TargetMode="External"/><Relationship Id="rId329" Type="http://schemas.openxmlformats.org/officeDocument/2006/relationships/hyperlink" Target="https://elibrary.ru/author_items.asp?refid=352164869&amp;fam=%D0%A1%D0%B0%D0%B9%D1%84%D0%B5%D1%82%D0%B4%D0%B8%D0%BD%D0%BE%D0%B2&amp;init=%D0%90+%D0%A0" TargetMode="External"/><Relationship Id="rId47" Type="http://schemas.openxmlformats.org/officeDocument/2006/relationships/hyperlink" Target="https://elibrary.ru/contents.asp?issueid=1284662&amp;selid=21812966" TargetMode="External"/><Relationship Id="rId68" Type="http://schemas.openxmlformats.org/officeDocument/2006/relationships/hyperlink" Target="https://elibrary.ru/item.asp?id=22853053" TargetMode="External"/><Relationship Id="rId89" Type="http://schemas.openxmlformats.org/officeDocument/2006/relationships/hyperlink" Target="https://elibrary.ru/item.asp?id=29739979" TargetMode="External"/><Relationship Id="rId112" Type="http://schemas.openxmlformats.org/officeDocument/2006/relationships/oleObject" Target="embeddings/oleObject5.bin"/><Relationship Id="rId133" Type="http://schemas.openxmlformats.org/officeDocument/2006/relationships/hyperlink" Target="https://elibrary.ru/item.asp?id=32274900" TargetMode="External"/><Relationship Id="rId154" Type="http://schemas.openxmlformats.org/officeDocument/2006/relationships/hyperlink" Target="https://habrahabr.ru/company/ruvds/blog/306734/" TargetMode="External"/><Relationship Id="rId175" Type="http://schemas.openxmlformats.org/officeDocument/2006/relationships/hyperlink" Target="https://elibrary.ru/contents.asp?issueid=2186784" TargetMode="External"/><Relationship Id="rId340" Type="http://schemas.openxmlformats.org/officeDocument/2006/relationships/hyperlink" Target="https://elibrary.ru/author_items.asp?refid=404651216&amp;fam=%D0%91%D0%B5%D1%80%D1%88%D0%B8%D1%86%D0%BA%D0%B0%D1%8F&amp;init=%D0%93+%D0%A4" TargetMode="External"/><Relationship Id="rId361" Type="http://schemas.openxmlformats.org/officeDocument/2006/relationships/hyperlink" Target="http://elibrary.ru/contents.asp?titleid=8917" TargetMode="External"/><Relationship Id="rId196" Type="http://schemas.openxmlformats.org/officeDocument/2006/relationships/hyperlink" Target="https://elibrary.ru/item.asp?id=25965452" TargetMode="External"/><Relationship Id="rId200" Type="http://schemas.openxmlformats.org/officeDocument/2006/relationships/hyperlink" Target="https://elibrary.ru/author_items.asp?refid=431337550&amp;fam=%D0%A1%D1%82%D1%83%D0%BA%D0%BE%D0%B2%D0%B0&amp;init=%D0%AE+%D0%95" TargetMode="External"/><Relationship Id="rId382" Type="http://schemas.openxmlformats.org/officeDocument/2006/relationships/hyperlink" Target="http://base.garant.ru/136366/" TargetMode="External"/><Relationship Id="rId16" Type="http://schemas.openxmlformats.org/officeDocument/2006/relationships/hyperlink" Target="https://elibrary.ru/item.asp?id=29710482" TargetMode="External"/><Relationship Id="rId221" Type="http://schemas.openxmlformats.org/officeDocument/2006/relationships/hyperlink" Target="https://elibrary.ru/item.asp?id=29042096" TargetMode="External"/><Relationship Id="rId242" Type="http://schemas.openxmlformats.org/officeDocument/2006/relationships/hyperlink" Target="https://elibrary.ru/item.asp?id=30707758" TargetMode="External"/><Relationship Id="rId263" Type="http://schemas.openxmlformats.org/officeDocument/2006/relationships/hyperlink" Target="https://elibrary.ru/author_items.asp?refid=472042696&amp;fam=%D0%9B%D0%B5%D0%BE%D0%BD%D0%BE%D0%B2%D0%B8%D1%87&amp;init=%D0%90+%D0%9C" TargetMode="External"/><Relationship Id="rId284" Type="http://schemas.openxmlformats.org/officeDocument/2006/relationships/hyperlink" Target="https://elibrary.ru/author_items.asp?refid=454924607&amp;fam=%D0%92%D1%8B%D1%81%D0%BE%D1%86%D0%BA%D0%B0%D1%8F&amp;init=%D0%90+%D0%A1" TargetMode="External"/><Relationship Id="rId319" Type="http://schemas.openxmlformats.org/officeDocument/2006/relationships/hyperlink" Target="https://elibrary.ru/author_items.asp?refid=472042696&amp;fam=%D0%9B%D0%B5%D0%BE%D0%BD%D0%BE%D0%B2%D0%B8%D1%87&amp;init=%D0%90+%D0%9C" TargetMode="External"/><Relationship Id="rId37" Type="http://schemas.openxmlformats.org/officeDocument/2006/relationships/hyperlink" Target="http://agrovetspb.ru" TargetMode="External"/><Relationship Id="rId58" Type="http://schemas.openxmlformats.org/officeDocument/2006/relationships/hyperlink" Target="https://elibrary.ru/item.asp?id=22434806" TargetMode="External"/><Relationship Id="rId79" Type="http://schemas.openxmlformats.org/officeDocument/2006/relationships/hyperlink" Target="https://elibrary.ru/contents.asp?issueid=1362449&amp;selid=22843017" TargetMode="External"/><Relationship Id="rId102" Type="http://schemas.openxmlformats.org/officeDocument/2006/relationships/hyperlink" Target="https://elibrary.ru/item.asp?id=31496935" TargetMode="External"/><Relationship Id="rId123" Type="http://schemas.openxmlformats.org/officeDocument/2006/relationships/hyperlink" Target="http://vinograd.info/sorta/vinnye/kaberne-sovinon.html" TargetMode="External"/><Relationship Id="rId144" Type="http://schemas.openxmlformats.org/officeDocument/2006/relationships/hyperlink" Target="https://elibrary.ru/item.asp?id=26055976" TargetMode="External"/><Relationship Id="rId330" Type="http://schemas.openxmlformats.org/officeDocument/2006/relationships/hyperlink" Target="https://elibrary.ru/contents.asp?titleid=9177" TargetMode="External"/><Relationship Id="rId90" Type="http://schemas.openxmlformats.org/officeDocument/2006/relationships/hyperlink" Target="https://elibrary.ru/item.asp?id=29739847" TargetMode="External"/><Relationship Id="rId165" Type="http://schemas.openxmlformats.org/officeDocument/2006/relationships/hyperlink" Target="https://elibrary.ru/contents.asp?titleid=9177" TargetMode="External"/><Relationship Id="rId186" Type="http://schemas.openxmlformats.org/officeDocument/2006/relationships/hyperlink" Target="https://elibrary.ru/item.asp?id=22713309" TargetMode="External"/><Relationship Id="rId351" Type="http://schemas.openxmlformats.org/officeDocument/2006/relationships/hyperlink" Target="https://elibrary.ru/author_items.asp?refid=454773854&amp;fam=%D0%A3%D1%81%D1%82%D1%8F%D0%BD&amp;init=%D0%A1+%D0%90" TargetMode="External"/><Relationship Id="rId372" Type="http://schemas.openxmlformats.org/officeDocument/2006/relationships/hyperlink" Target="https://www.consultant.ru/edu/student/download_books/book/malinin_vb_smirnov_lb_ugolovno_ispolnitelnoe_pravo/" TargetMode="External"/><Relationship Id="rId393" Type="http://schemas.openxmlformats.org/officeDocument/2006/relationships/hyperlink" Target="http://www.consultant.ru/document/cons_doc_LAW_44571/" TargetMode="External"/><Relationship Id="rId407" Type="http://schemas.openxmlformats.org/officeDocument/2006/relationships/hyperlink" Target="http://www.garant.ru/article/520694/" TargetMode="External"/><Relationship Id="rId211" Type="http://schemas.openxmlformats.org/officeDocument/2006/relationships/hyperlink" Target="http://www.nspk.ru/" TargetMode="External"/><Relationship Id="rId232" Type="http://schemas.openxmlformats.org/officeDocument/2006/relationships/hyperlink" Target="https://elibrary.ru/author_items.asp?refid=527844087&amp;fam=%D0%9B%D0%B8%D1%82%D0%B2%D0%B8%D0%BD%D0%B5%D0%BD%D0%BA%D0%BE&amp;init=%D0%93+%D0%9D" TargetMode="External"/><Relationship Id="rId253" Type="http://schemas.openxmlformats.org/officeDocument/2006/relationships/hyperlink" Target="https://elibrary.ru/item.asp?id=30650882" TargetMode="External"/><Relationship Id="rId274" Type="http://schemas.openxmlformats.org/officeDocument/2006/relationships/hyperlink" Target="https://elibrary.ru/author_items.asp?refid=468793571&amp;fam=%D0%91%D1%8B%D0%B7%D0%BE%D0%B2%D0%B0&amp;init=%D0%92+%D0%95" TargetMode="External"/><Relationship Id="rId295" Type="http://schemas.openxmlformats.org/officeDocument/2006/relationships/hyperlink" Target="https://elibrary.ru/author_items.asp?refid=404580581&amp;fam=%D0%90%D1%80%D1%83%D1%82%D1%8E%D0%BD%D1%8F%D0%BD&amp;init=%D0%AE+%D0%98" TargetMode="External"/><Relationship Id="rId309" Type="http://schemas.openxmlformats.org/officeDocument/2006/relationships/hyperlink" Target="https://elibrary.ru/author_items.asp?refid=527844112&amp;fam=%D0%91%D0%B5%D1%80%D0%B5%D1%81%D1%82%D0%BD%D0%B5%D0%B2%D0%B0&amp;init=%D0%9C+%D0%98" TargetMode="External"/><Relationship Id="rId27" Type="http://schemas.openxmlformats.org/officeDocument/2006/relationships/hyperlink" Target="http://www.artlebedev.ru/everything/moscow/design-code/documents/mka-design-code-00-general-guides.pdf" TargetMode="External"/><Relationship Id="rId48" Type="http://schemas.openxmlformats.org/officeDocument/2006/relationships/hyperlink" Target="https://elibrary.ru/item.asp?id=25606811" TargetMode="External"/><Relationship Id="rId69" Type="http://schemas.openxmlformats.org/officeDocument/2006/relationships/image" Target="media/image1.emf"/><Relationship Id="rId113" Type="http://schemas.openxmlformats.org/officeDocument/2006/relationships/image" Target="media/image6.wmf"/><Relationship Id="rId134" Type="http://schemas.openxmlformats.org/officeDocument/2006/relationships/hyperlink" Target="https://elibrary.ru/item.asp?id=32250398" TargetMode="External"/><Relationship Id="rId320" Type="http://schemas.openxmlformats.org/officeDocument/2006/relationships/hyperlink" Target="https://elibrary.ru/author_items.asp?refid=472042696&amp;fam=%D0%9B%D0%B8%D1%82%D0%B2%D0%B8%D0%BD%D0%B5%D0%BD%D0%BA%D0%BE&amp;init=%D0%93+%D0%9D" TargetMode="External"/><Relationship Id="rId80" Type="http://schemas.openxmlformats.org/officeDocument/2006/relationships/hyperlink" Target="https://elibrary.ru/item.asp?id=23359275" TargetMode="External"/><Relationship Id="rId155" Type="http://schemas.openxmlformats.org/officeDocument/2006/relationships/hyperlink" Target="https://elibrary.ru/item.asp?id=28172915" TargetMode="External"/><Relationship Id="rId176" Type="http://schemas.openxmlformats.org/officeDocument/2006/relationships/hyperlink" Target="https://elibrary.ru/publisher_titles.asp?publishid=7996" TargetMode="External"/><Relationship Id="rId197" Type="http://schemas.openxmlformats.org/officeDocument/2006/relationships/hyperlink" Target="http://www.consultant.ru/document/cons_doc_LAW_181756/" TargetMode="External"/><Relationship Id="rId341" Type="http://schemas.openxmlformats.org/officeDocument/2006/relationships/hyperlink" Target="https://elibrary.ru/author_items.asp?refid=404651216&amp;fam=%D0%9C%D0%BE%D0%B6%D0%B5%D0%B3%D0%BE%D0%B2%D0%B0&amp;init=%D0%92+%D0%94" TargetMode="External"/><Relationship Id="rId362" Type="http://schemas.openxmlformats.org/officeDocument/2006/relationships/image" Target="media/image8.png"/><Relationship Id="rId383" Type="http://schemas.openxmlformats.org/officeDocument/2006/relationships/hyperlink" Target="consultantplus://offline/ref=107D383BC19DB9CB8377AC5699ED44F87810BCEFFCB704F8BD0E740C864A1A6CD02BC1C0D4kA3ES" TargetMode="External"/><Relationship Id="rId201" Type="http://schemas.openxmlformats.org/officeDocument/2006/relationships/hyperlink" Target="https://www.zr.ru/content/news/910945-rejting-regionov/" TargetMode="External"/><Relationship Id="rId222" Type="http://schemas.openxmlformats.org/officeDocument/2006/relationships/hyperlink" Target="https://elibrary.ru/contents.asp?issueid=1825792" TargetMode="External"/><Relationship Id="rId243" Type="http://schemas.openxmlformats.org/officeDocument/2006/relationships/hyperlink" Target="https://elibrary.ru/contents.asp?issueid=1907791" TargetMode="External"/><Relationship Id="rId264" Type="http://schemas.openxmlformats.org/officeDocument/2006/relationships/hyperlink" Target="https://elibrary.ru/author_items.asp?refid=472042696&amp;fam=%D0%9B%D0%B8%D1%82%D0%B2%D0%B8%D0%BD%D0%B5%D0%BD%D0%BA%D0%BE&amp;init=%D0%93+%D0%9D" TargetMode="External"/><Relationship Id="rId285" Type="http://schemas.openxmlformats.org/officeDocument/2006/relationships/hyperlink" Target="https://elibrary.ru/author_items.asp?refid=454924607&amp;fam=%D0%91%D0%B5%D0%BB%D0%B0%D1%88%D0%BE%D0%B2%D0%B0&amp;init=%D0%90+%D0%92" TargetMode="External"/><Relationship Id="rId17" Type="http://schemas.openxmlformats.org/officeDocument/2006/relationships/hyperlink" Target="https://elibrary.ru/item.asp?id=29710519" TargetMode="External"/><Relationship Id="rId38" Type="http://schemas.openxmlformats.org/officeDocument/2006/relationships/hyperlink" Target="https://givotniymir.ru/popugaj-ara-obraz-zhizni-i-sreda-obitaniya-popugaya-ara/" TargetMode="External"/><Relationship Id="rId59" Type="http://schemas.openxmlformats.org/officeDocument/2006/relationships/hyperlink" Target="https://elibrary.ru/item.asp?id=29739979" TargetMode="External"/><Relationship Id="rId103" Type="http://schemas.openxmlformats.org/officeDocument/2006/relationships/hyperlink" Target="http://elibrary.ru/item.asp?id=25860893" TargetMode="External"/><Relationship Id="rId124" Type="http://schemas.openxmlformats.org/officeDocument/2006/relationships/hyperlink" Target="http://vinograd.info/spravka/slovar/mildyu.html" TargetMode="External"/><Relationship Id="rId310" Type="http://schemas.openxmlformats.org/officeDocument/2006/relationships/hyperlink" Target="https://elibrary.ru/author_items.asp?refid=430018779&amp;fam=%D0%9B%D0%B8%D1%82%D0%B2%D0%B8%D0%BD%D0%B5%D0%BD%D0%BA%D0%BE&amp;init=%D0%93+%D0%9D" TargetMode="External"/><Relationship Id="rId70" Type="http://schemas.openxmlformats.org/officeDocument/2006/relationships/oleObject" Target="embeddings/oleObject1.bin"/><Relationship Id="rId91" Type="http://schemas.openxmlformats.org/officeDocument/2006/relationships/hyperlink" Target="https://elibrary.ru/item.asp?id=31499055" TargetMode="External"/><Relationship Id="rId145" Type="http://schemas.openxmlformats.org/officeDocument/2006/relationships/hyperlink" Target="https://elibrary.ru/item.asp?id=26589410" TargetMode="External"/><Relationship Id="rId166" Type="http://schemas.openxmlformats.org/officeDocument/2006/relationships/hyperlink" Target="http://http/ej.kubagro.ru/2015/05/pdf/19.pdf" TargetMode="External"/><Relationship Id="rId187" Type="http://schemas.openxmlformats.org/officeDocument/2006/relationships/hyperlink" Target="https://elibrary.ru/item.asp?id=28892899" TargetMode="External"/><Relationship Id="rId331" Type="http://schemas.openxmlformats.org/officeDocument/2006/relationships/hyperlink" Target="http://http:/ej.kubagro.ru/2016/03/pdf/67.pdf" TargetMode="External"/><Relationship Id="rId352" Type="http://schemas.openxmlformats.org/officeDocument/2006/relationships/hyperlink" Target="https://elibrary.ru/author_items.asp?refid=454773854&amp;fam=%D0%9C%D0%B5%D0%BB%D0%BA%D1%83%D0%BC%D0%BE%D0%B2&amp;init=%D0%A1+%D0%90" TargetMode="External"/><Relationship Id="rId373" Type="http://schemas.openxmlformats.org/officeDocument/2006/relationships/hyperlink" Target="https://meduza.io/feature/2017/02/10/sazhat-za-narusheniya-na-mitingah-mozhno-no-delo-dadina-peresmotryat-chto-imenno-reshil-konstitutsionnyy-sud" TargetMode="External"/><Relationship Id="rId394" Type="http://schemas.openxmlformats.org/officeDocument/2006/relationships/hyperlink" Target="http://www.consultant.ru/document/cons_doc_LAW_44571/" TargetMode="External"/><Relationship Id="rId408" Type="http://schemas.openxmlformats.org/officeDocument/2006/relationships/hyperlink" Target="https://riafan.ru/846858-rossiya-ozhidaet-ot-zapada-otvet-na-predlozheniya-po-kiberbezopasnosti-lavrov" TargetMode="External"/><Relationship Id="rId1" Type="http://schemas.openxmlformats.org/officeDocument/2006/relationships/customXml" Target="../customXml/item1.xml"/><Relationship Id="rId212" Type="http://schemas.openxmlformats.org/officeDocument/2006/relationships/hyperlink" Target="https://elibrary.ru/item.asp?id=29444667" TargetMode="External"/><Relationship Id="rId233" Type="http://schemas.openxmlformats.org/officeDocument/2006/relationships/hyperlink" Target="https://elibrary.ru/item.asp?id=29740128" TargetMode="External"/><Relationship Id="rId254" Type="http://schemas.openxmlformats.org/officeDocument/2006/relationships/hyperlink" Target="https://elibrary.ru/item.asp?id=30650721" TargetMode="External"/><Relationship Id="rId28" Type="http://schemas.openxmlformats.org/officeDocument/2006/relationships/hyperlink" Target="http://teacode.com/online/udc/53/535.html" TargetMode="External"/><Relationship Id="rId49" Type="http://schemas.openxmlformats.org/officeDocument/2006/relationships/hyperlink" Target="https://elibrary.ru/contents.asp?issueid=1560148" TargetMode="External"/><Relationship Id="rId114" Type="http://schemas.openxmlformats.org/officeDocument/2006/relationships/oleObject" Target="embeddings/oleObject6.bin"/><Relationship Id="rId275" Type="http://schemas.openxmlformats.org/officeDocument/2006/relationships/hyperlink" Target="https://elibrary.ru/author_items.asp?refid=468793571&amp;fam=%D0%9B%D0%B8%D1%82%D0%B2%D0%B8%D0%BD%D0%B5%D0%BD%D0%BA%D0%BE&amp;init=%D0%93+%D0%9D" TargetMode="External"/><Relationship Id="rId296" Type="http://schemas.openxmlformats.org/officeDocument/2006/relationships/hyperlink" Target="https://elibrary.ru/author_items.asp?refid=404580581&amp;fam=%D0%9A%D0%B0%D0%BB%D0%B0%D0%B9%D0%B4%D0%B0&amp;init=%D0%90+%D0%94" TargetMode="External"/><Relationship Id="rId300" Type="http://schemas.openxmlformats.org/officeDocument/2006/relationships/hyperlink" Target="https://elibrary.ru/author_items.asp?refid=368216547&amp;fam=%D0%90%D1%80%D1%83%D1%82%D1%8E%D0%BD%D1%8F%D0%BD&amp;init=%D0%AE+%D0%98" TargetMode="External"/><Relationship Id="rId60" Type="http://schemas.openxmlformats.org/officeDocument/2006/relationships/hyperlink" Target="https://elibrary.ru/item.asp?id=29739847" TargetMode="External"/><Relationship Id="rId81" Type="http://schemas.openxmlformats.org/officeDocument/2006/relationships/hyperlink" Target="https://elibrary.ru/item.asp?id=23357640" TargetMode="External"/><Relationship Id="rId135" Type="http://schemas.openxmlformats.org/officeDocument/2006/relationships/hyperlink" Target="https://elibrary.ru/item.asp?id=32250301" TargetMode="External"/><Relationship Id="rId156" Type="http://schemas.openxmlformats.org/officeDocument/2006/relationships/hyperlink" Target="https://elibrary.ru/item.asp?id=28172780" TargetMode="External"/><Relationship Id="rId177" Type="http://schemas.openxmlformats.org/officeDocument/2006/relationships/hyperlink" Target="https://elibrary.ru/item.asp?id=26589410" TargetMode="External"/><Relationship Id="rId198" Type="http://schemas.openxmlformats.org/officeDocument/2006/relationships/hyperlink" Target="https://elibrary.ru/author_items.asp?refid=431337550&amp;fam=%D0%9F%D0%B0%D1%80%D0%B0%D0%BC%D0%BE%D0%BD%D0%BE%D0%B2&amp;init=%D0%9F+%D0%A4" TargetMode="External"/><Relationship Id="rId321" Type="http://schemas.openxmlformats.org/officeDocument/2006/relationships/hyperlink" Target="https://elibrary.ru/author_items.asp?refid=430018780&amp;fam=%D0%9B%D0%B8%D1%82%D0%B2%D0%B8%D0%BD%D0%B5%D0%BD%D0%BA%D0%BE&amp;init=%D0%93+%D0%9D" TargetMode="External"/><Relationship Id="rId342" Type="http://schemas.openxmlformats.org/officeDocument/2006/relationships/hyperlink" Target="https://elibrary.ru/item.asp?id=32275492" TargetMode="External"/><Relationship Id="rId363" Type="http://schemas.openxmlformats.org/officeDocument/2006/relationships/hyperlink" Target="https://www.youtube.com/watch?v=D%20zV8JAhb1yc" TargetMode="External"/><Relationship Id="rId384" Type="http://schemas.openxmlformats.org/officeDocument/2006/relationships/hyperlink" Target="consultantplus://offline/ref=107D383BC19DB9CB8377AC5699ED44F87810BCEFFCB704F8BD0E740C864A1A6CD02BC1C0D5kA38S" TargetMode="External"/><Relationship Id="rId202" Type="http://schemas.openxmlformats.org/officeDocument/2006/relationships/hyperlink" Target="http://oplata.me/selskoe-xozyajstvo/ovoshhehranilishhe-kak-biznes.html" TargetMode="External"/><Relationship Id="rId223" Type="http://schemas.openxmlformats.org/officeDocument/2006/relationships/hyperlink" Target="https://elibrary.ru/author_items.asp?refid=428814201&amp;fam=%D0%9F%D0%B0%D1%80%D0%B0%D0%BC%D0%BE%D0%BD%D0%BE%D0%B2&amp;init=%D0%9F+%D0%A4" TargetMode="External"/><Relationship Id="rId244" Type="http://schemas.openxmlformats.org/officeDocument/2006/relationships/hyperlink" Target="https://elibrary.ru/contents.asp?issueid=1907791&amp;selid=30707758" TargetMode="External"/><Relationship Id="rId18" Type="http://schemas.openxmlformats.org/officeDocument/2006/relationships/hyperlink" Target="https://elibrary.ru/item.asp?id=29710482" TargetMode="External"/><Relationship Id="rId39" Type="http://schemas.openxmlformats.org/officeDocument/2006/relationships/hyperlink" Target="http://publications.versele-laga.com/prestige-rus/page/1" TargetMode="External"/><Relationship Id="rId265" Type="http://schemas.openxmlformats.org/officeDocument/2006/relationships/hyperlink" Target="https://elibrary.ru/item.asp?id=29740128" TargetMode="External"/><Relationship Id="rId286" Type="http://schemas.openxmlformats.org/officeDocument/2006/relationships/hyperlink" Target="https://elibrary.ru/author_items.asp?refid=527844048&amp;fam=%D0%92%D0%BE%D0%BB%D0%BE%D1%88%D0%B8%D0%BD%D0%B0&amp;init=%D0%98+%D0%9C" TargetMode="External"/><Relationship Id="rId50" Type="http://schemas.openxmlformats.org/officeDocument/2006/relationships/hyperlink" Target="https://elibrary.ru/contents.asp?issueid=1560148&amp;selid=25606811" TargetMode="External"/><Relationship Id="rId104" Type="http://schemas.openxmlformats.org/officeDocument/2006/relationships/hyperlink" Target="http://elibrary.ru/item.asp?id=25859319" TargetMode="External"/><Relationship Id="rId125" Type="http://schemas.openxmlformats.org/officeDocument/2006/relationships/hyperlink" Target="http://vinograd.info/spravka/slovar/seraya-gnil.html" TargetMode="External"/><Relationship Id="rId146" Type="http://schemas.openxmlformats.org/officeDocument/2006/relationships/hyperlink" Target="https://habrahabr.ru/company/ruvds/blog/306734/" TargetMode="External"/><Relationship Id="rId167" Type="http://schemas.openxmlformats.org/officeDocument/2006/relationships/hyperlink" Target="https://habrahabr.ru/company/ruvds/blog/306734/" TargetMode="External"/><Relationship Id="rId188" Type="http://schemas.openxmlformats.org/officeDocument/2006/relationships/hyperlink" Target="http://fd.ru/articles/37281" TargetMode="External"/><Relationship Id="rId311" Type="http://schemas.openxmlformats.org/officeDocument/2006/relationships/hyperlink" Target="https://elibrary.ru/author_items.asp?refid=430018779&amp;fam=%D0%92%D1%8B%D1%81%D0%BE%D1%86%D0%BA%D0%B0%D1%8F&amp;init=%D0%90+%D0%A1" TargetMode="External"/><Relationship Id="rId332" Type="http://schemas.openxmlformats.org/officeDocument/2006/relationships/hyperlink" Target="https://elibrary.ru/author_items.asp?refid=454773894&amp;fam=%D0%9B%D0%B8%D1%82%D0%B2%D0%B8%D0%BD%D0%B5%D0%BD%D0%BA%D0%BE&amp;init=%D0%93+%D0%9D" TargetMode="External"/><Relationship Id="rId353" Type="http://schemas.openxmlformats.org/officeDocument/2006/relationships/hyperlink" Target="https://elibrary.ru/contents.asp?titleid=27783" TargetMode="External"/><Relationship Id="rId374" Type="http://schemas.openxmlformats.org/officeDocument/2006/relationships/hyperlink" Target="https://base.garant.ru/10108000/26/" TargetMode="External"/><Relationship Id="rId395" Type="http://schemas.openxmlformats.org/officeDocument/2006/relationships/hyperlink" Target="https://newdaynews.ru/northwest/551908.html" TargetMode="External"/><Relationship Id="rId409" Type="http://schemas.openxmlformats.org/officeDocument/2006/relationships/hyperlink" Target="https://elibrary.ru/item.asp?id=29739847" TargetMode="External"/><Relationship Id="rId71" Type="http://schemas.openxmlformats.org/officeDocument/2006/relationships/hyperlink" Target="http://docs.cntd.ru/document/902170553" TargetMode="External"/><Relationship Id="rId92" Type="http://schemas.openxmlformats.org/officeDocument/2006/relationships/hyperlink" Target="https://elibrary.ru/item.asp?id=31496935" TargetMode="External"/><Relationship Id="rId213" Type="http://schemas.openxmlformats.org/officeDocument/2006/relationships/hyperlink" Target="https://elibrary.ru/contents.asp?issueid=1841220" TargetMode="External"/><Relationship Id="rId234" Type="http://schemas.openxmlformats.org/officeDocument/2006/relationships/hyperlink" Target="https://elibrary.ru/item.asp?id=29739847" TargetMode="External"/><Relationship Id="rId2" Type="http://schemas.openxmlformats.org/officeDocument/2006/relationships/numbering" Target="numbering.xml"/><Relationship Id="rId29" Type="http://schemas.openxmlformats.org/officeDocument/2006/relationships/hyperlink" Target="https://cyberleninka.ru/journal/n/uchenye-zapiski-kazanskoy-gosudarstvennoy-akademii-veterinarnoy-meditsiny-im-n-e-baumana" TargetMode="External"/><Relationship Id="rId255" Type="http://schemas.openxmlformats.org/officeDocument/2006/relationships/hyperlink" Target="https://elibrary.ru/author_items.asp?refid=527843587&amp;fam=%D0%9B%D0%B8%D1%82%D0%B2%D0%B8%D0%BD%D0%B5%D0%BD%D0%BA%D0%BE&amp;init=%D0%93+%D0%9D" TargetMode="External"/><Relationship Id="rId276" Type="http://schemas.openxmlformats.org/officeDocument/2006/relationships/hyperlink" Target="https://elibrary.ru/author_items.asp?refid=454773850&amp;fam=%D0%9B%D0%B8%D1%82%D0%B2%D0%B8%D0%BD%D0%B5%D0%BD%D0%BA%D0%BE&amp;init=%D0%93+%D0%9D" TargetMode="External"/><Relationship Id="rId297" Type="http://schemas.openxmlformats.org/officeDocument/2006/relationships/hyperlink" Target="https://elibrary.ru/author_items.asp?refid=424525371&amp;fam=%D0%9A%D0%B0%D0%BB%D0%B0%D0%B9%D0%B4%D0%B0&amp;init=%D0%90+%D0%94" TargetMode="External"/><Relationship Id="rId40" Type="http://schemas.openxmlformats.org/officeDocument/2006/relationships/hyperlink" Target="https://elibrary.ru/item.asp?id=23698221" TargetMode="External"/><Relationship Id="rId115" Type="http://schemas.openxmlformats.org/officeDocument/2006/relationships/image" Target="media/image7.wmf"/><Relationship Id="rId136" Type="http://schemas.openxmlformats.org/officeDocument/2006/relationships/hyperlink" Target="http://elibrary.ru/contents.asp?issueid=1565425" TargetMode="External"/><Relationship Id="rId157" Type="http://schemas.openxmlformats.org/officeDocument/2006/relationships/hyperlink" Target="https://elibrary.ru/item.asp?id=28172916" TargetMode="External"/><Relationship Id="rId178" Type="http://schemas.openxmlformats.org/officeDocument/2006/relationships/hyperlink" Target="https://elibrary.ru/item.asp?id=26589410" TargetMode="External"/><Relationship Id="rId301" Type="http://schemas.openxmlformats.org/officeDocument/2006/relationships/hyperlink" Target="https://elibrary.ru/item.asp?id=29740128" TargetMode="External"/><Relationship Id="rId322" Type="http://schemas.openxmlformats.org/officeDocument/2006/relationships/hyperlink" Target="https://elibrary.ru/author_items.asp?refid=430018780&amp;fam=%D0%93%D1%83%D0%B1%D0%B0&amp;init=%D0%90+%D0%90" TargetMode="External"/><Relationship Id="rId343" Type="http://schemas.openxmlformats.org/officeDocument/2006/relationships/hyperlink" Target="https://elibrary.ru/item.asp?id=32274900" TargetMode="External"/><Relationship Id="rId364" Type="http://schemas.openxmlformats.org/officeDocument/2006/relationships/hyperlink" Target="file:///C:\Users\&#1042;&#1080;&#1082;&#1090;&#1086;&#1088;&#1080;&#1103;\Downloads\&#1050;&#1052;.docx" TargetMode="External"/><Relationship Id="rId61" Type="http://schemas.openxmlformats.org/officeDocument/2006/relationships/hyperlink" Target="https://elibrary.ru/item.asp?id=31499055" TargetMode="External"/><Relationship Id="rId82" Type="http://schemas.openxmlformats.org/officeDocument/2006/relationships/hyperlink" Target="https://elibrary.ru/item.asp?id=22843018" TargetMode="External"/><Relationship Id="rId199" Type="http://schemas.openxmlformats.org/officeDocument/2006/relationships/hyperlink" Target="https://elibrary.ru/author_items.asp?refid=431337550&amp;fam=%D0%A5%D0%B0%D0%BB%D1%8F%D0%B2%D0%BA%D0%B0&amp;init=%D0%98+%D0%95" TargetMode="External"/><Relationship Id="rId203" Type="http://schemas.openxmlformats.org/officeDocument/2006/relationships/hyperlink" Target="http://www.iprbookshop.ru/71302.html" TargetMode="External"/><Relationship Id="rId385" Type="http://schemas.openxmlformats.org/officeDocument/2006/relationships/hyperlink" Target="consultantplus://offline/ref=DAB24BBFFFF11847458BB7CE1CA5505E1612B1934B0115FE240E3285F0132C05683C9A15EAA03C59x84AS" TargetMode="External"/><Relationship Id="rId19" Type="http://schemas.openxmlformats.org/officeDocument/2006/relationships/hyperlink" Target="https://elibrary.ru/item.asp?id=17887562" TargetMode="External"/><Relationship Id="rId224" Type="http://schemas.openxmlformats.org/officeDocument/2006/relationships/hyperlink" Target="https://elibrary.ru/author_items.asp?refid=428814201&amp;fam=%D0%A5%D0%B0%D0%BB%D1%8F%D0%B2%D0%BA%D0%B0&amp;init=%D0%98+%D0%95" TargetMode="External"/><Relationship Id="rId245" Type="http://schemas.openxmlformats.org/officeDocument/2006/relationships/hyperlink" Target="https://elibrary.ru/item.asp?id=30650882" TargetMode="External"/><Relationship Id="rId266" Type="http://schemas.openxmlformats.org/officeDocument/2006/relationships/hyperlink" Target="https://elibrary.ru/item.asp?id=29739847" TargetMode="External"/><Relationship Id="rId287" Type="http://schemas.openxmlformats.org/officeDocument/2006/relationships/hyperlink" Target="https://elibrary.ru/author_items.asp?refid=527844048&amp;fam=%D0%9C%D0%B5%D1%82%D0%B5%D0%BB%D1%8C%D1%81%D0%BA%D0%B0%D1%8F&amp;init=%D0%A2+%D0%92" TargetMode="External"/><Relationship Id="rId410" Type="http://schemas.openxmlformats.org/officeDocument/2006/relationships/footer" Target="footer3.xml"/><Relationship Id="rId30" Type="http://schemas.openxmlformats.org/officeDocument/2006/relationships/hyperlink" Target="https://edanapolke.com/" TargetMode="External"/><Relationship Id="rId105" Type="http://schemas.openxmlformats.org/officeDocument/2006/relationships/image" Target="media/image2.wmf"/><Relationship Id="rId126" Type="http://schemas.openxmlformats.org/officeDocument/2006/relationships/hyperlink" Target="http://gostexpert.ru/" TargetMode="External"/><Relationship Id="rId147" Type="http://schemas.openxmlformats.org/officeDocument/2006/relationships/hyperlink" Target="https://elibrary.ru/item.asp?id=30315552" TargetMode="External"/><Relationship Id="rId168" Type="http://schemas.openxmlformats.org/officeDocument/2006/relationships/hyperlink" Target="https://elibrary.ru/item.asp?id=24868163" TargetMode="External"/><Relationship Id="rId312" Type="http://schemas.openxmlformats.org/officeDocument/2006/relationships/hyperlink" Target="https://elibrary.ru/author_items.asp?refid=430018779&amp;fam=%D0%91%D0%B5%D0%BB%D0%B0%D1%88%D0%BE%D0%B2%D0%B0&amp;init=%D0%90+%D0%92" TargetMode="External"/><Relationship Id="rId333" Type="http://schemas.openxmlformats.org/officeDocument/2006/relationships/hyperlink" Target="https://elibrary.ru/author_items.asp?refid=454773894&amp;fam=%D0%90%D1%80%D1%8F%D0%BC%D0%BE%D0%B2%D0%B0&amp;init=%D0%90+%D0%A1" TargetMode="External"/><Relationship Id="rId354" Type="http://schemas.openxmlformats.org/officeDocument/2006/relationships/hyperlink" Target="http://www.customs.ru/" TargetMode="External"/><Relationship Id="rId51" Type="http://schemas.openxmlformats.org/officeDocument/2006/relationships/hyperlink" Target="https://elibrary.ru/item.asp?id=32274973" TargetMode="External"/><Relationship Id="rId72" Type="http://schemas.openxmlformats.org/officeDocument/2006/relationships/hyperlink" Target="http://elibrary.ru/item.asp?id=25860893" TargetMode="External"/><Relationship Id="rId93" Type="http://schemas.openxmlformats.org/officeDocument/2006/relationships/hyperlink" Target="https://elibrary.ru/item.asp?id=25358960" TargetMode="External"/><Relationship Id="rId189" Type="http://schemas.openxmlformats.org/officeDocument/2006/relationships/hyperlink" Target="https://elibrary.ru/author_items.asp?refid=348540810&amp;fam=%D0%91%D0%B5%D0%BA%D0%B8%D1%80%D0%BE%D0%B2%D0%B0&amp;init=%D0%AD+%D0%92" TargetMode="External"/><Relationship Id="rId375" Type="http://schemas.openxmlformats.org/officeDocument/2006/relationships/hyperlink" Target="https://base.garant.ru/10108000/26/" TargetMode="External"/><Relationship Id="rId396" Type="http://schemas.openxmlformats.org/officeDocument/2006/relationships/hyperlink" Target="consultantplus://offline/ref=5BBFB14B3F99ED831D65693A35C7F8F759BE22CC2D487E10C79AA387FF3480399C72C64F58865BI6UCR" TargetMode="External"/><Relationship Id="rId3" Type="http://schemas.openxmlformats.org/officeDocument/2006/relationships/styles" Target="styles.xml"/><Relationship Id="rId214" Type="http://schemas.openxmlformats.org/officeDocument/2006/relationships/hyperlink" Target="https://elibrary.ru/contents.asp?issueid=1841220&amp;selid=29444667" TargetMode="External"/><Relationship Id="rId235" Type="http://schemas.openxmlformats.org/officeDocument/2006/relationships/hyperlink" Target="https://elibrary.ru/author_items.asp?refid=527844048&amp;fam=%D0%92%D0%BE%D0%BB%D0%BE%D1%88%D0%B8%D0%BD%D0%B0&amp;init=%D0%98+%D0%9C" TargetMode="External"/><Relationship Id="rId256" Type="http://schemas.openxmlformats.org/officeDocument/2006/relationships/hyperlink" Target="https://elibrary.ru/author_items.asp?refid=527843587&amp;fam=%D0%94%D0%BE%D0%BB%D0%BE%D1%82%D0%BE%D0%B2%D0%B0&amp;init=%D0%90+%D0%92" TargetMode="External"/><Relationship Id="rId277" Type="http://schemas.openxmlformats.org/officeDocument/2006/relationships/hyperlink" Target="https://www.economicshelp.org/microessays/costs/economies-scale.html" TargetMode="External"/><Relationship Id="rId298" Type="http://schemas.openxmlformats.org/officeDocument/2006/relationships/hyperlink" Target="https://elibrary.ru/author_items.asp?refid=424525371&amp;fam=%D0%90%D1%80%D1%83%D1%82%D1%8E%D0%BD%D1%8F%D0%BD&amp;init=%D0%AE+%D0%98" TargetMode="External"/><Relationship Id="rId400" Type="http://schemas.openxmlformats.org/officeDocument/2006/relationships/hyperlink" Target="consultantplus://offline/ref=5C82A56C28FD46D054721E9283890928F3C8D00FA887B63C436008E1DB1176312198E47C726F61EC7265S" TargetMode="External"/><Relationship Id="rId116" Type="http://schemas.openxmlformats.org/officeDocument/2006/relationships/oleObject" Target="embeddings/oleObject7.bin"/><Relationship Id="rId137" Type="http://schemas.openxmlformats.org/officeDocument/2006/relationships/hyperlink" Target="http://elibrary.ru/contents.asp?issueid=1565425&amp;selid=25733627" TargetMode="External"/><Relationship Id="rId158" Type="http://schemas.openxmlformats.org/officeDocument/2006/relationships/hyperlink" Target="https://elibrary.ru/item.asp?id=28172780" TargetMode="External"/><Relationship Id="rId302" Type="http://schemas.openxmlformats.org/officeDocument/2006/relationships/hyperlink" Target="https://elibrary.ru/item.asp?id=29739847" TargetMode="External"/><Relationship Id="rId323" Type="http://schemas.openxmlformats.org/officeDocument/2006/relationships/hyperlink" Target="https://elibrary.ru/author_items.asp?refid=430018779&amp;fam=%D0%9B%D0%B8%D1%82%D0%B2%D0%B8%D0%BD%D0%B5%D0%BD%D0%BA%D0%BE&amp;init=%D0%93+%D0%9D" TargetMode="External"/><Relationship Id="rId344" Type="http://schemas.openxmlformats.org/officeDocument/2006/relationships/hyperlink" Target="https://elibrary.ru/author_items.asp?refid=432766186&amp;fam=%D0%91%D0%B5%D1%80%D1%88%D0%B8%D1%86%D0%BA%D0%B8%D0%B9&amp;init=%D0%AE+%D0%98" TargetMode="External"/><Relationship Id="rId20" Type="http://schemas.openxmlformats.org/officeDocument/2006/relationships/hyperlink" Target="https://elibrary.ru/contents.asp?issueid=1027244" TargetMode="External"/><Relationship Id="rId41" Type="http://schemas.openxmlformats.org/officeDocument/2006/relationships/hyperlink" Target="https://elibrary.ru/contents.asp?issueid=1402255" TargetMode="External"/><Relationship Id="rId62" Type="http://schemas.openxmlformats.org/officeDocument/2006/relationships/hyperlink" Target="https://elibrary.ru/item.asp?id=31496935" TargetMode="External"/><Relationship Id="rId83" Type="http://schemas.openxmlformats.org/officeDocument/2006/relationships/hyperlink" Target="https://elibrary.ru/contents.asp?issueid=1362449" TargetMode="External"/><Relationship Id="rId179" Type="http://schemas.openxmlformats.org/officeDocument/2006/relationships/hyperlink" Target="https://elibrary.ru/item.asp?id=30315552" TargetMode="External"/><Relationship Id="rId365" Type="http://schemas.openxmlformats.org/officeDocument/2006/relationships/hyperlink" Target="file:///C:\Users\&#1042;&#1080;&#1082;&#1090;&#1086;&#1088;&#1080;&#1103;\Downloads\&#1050;&#1052;.docx" TargetMode="External"/><Relationship Id="rId386" Type="http://schemas.openxmlformats.org/officeDocument/2006/relationships/hyperlink" Target="consultantplus://offline/ref=DAB24BBFFFF11847458BB7CE1CA5505E1612B1934B0115FE240E3285F0132C05683C9A15EAA03C58x84DS" TargetMode="External"/><Relationship Id="rId190" Type="http://schemas.openxmlformats.org/officeDocument/2006/relationships/hyperlink" Target="https://elibrary.ru/author_items.asp?refid=348540811&amp;fam=%D0%9C%D0%B0%D1%80%D1%82%D1%8B%D0%BD%D0%B5%D0%BD%D0%BA%D0%BE&amp;init=%D0%95+%D0%92" TargetMode="External"/><Relationship Id="rId204" Type="http://schemas.openxmlformats.org/officeDocument/2006/relationships/hyperlink" Target="http://www.gks.ru/wps/wcm/connect/rosstat_main/rosstat/ru/statistics/enterprise/investment/nonfinancial/" TargetMode="External"/><Relationship Id="rId225" Type="http://schemas.openxmlformats.org/officeDocument/2006/relationships/hyperlink" Target="https://elibrary.ru/author_items.asp?refid=428814201&amp;fam=%D0%A1%D1%82%D1%83%D0%BA%D0%BE%D0%B2%D0%B0&amp;init=%D0%AE+%D0%95" TargetMode="External"/><Relationship Id="rId246" Type="http://schemas.openxmlformats.org/officeDocument/2006/relationships/hyperlink" Target="https://elibrary.ru/item.asp?id=30650721" TargetMode="External"/><Relationship Id="rId267" Type="http://schemas.openxmlformats.org/officeDocument/2006/relationships/hyperlink" Target="https://elibrary.ru/item.asp?id=32577563" TargetMode="External"/><Relationship Id="rId288" Type="http://schemas.openxmlformats.org/officeDocument/2006/relationships/hyperlink" Target="https://elibrary.ru/item.asp?id=32560144" TargetMode="External"/><Relationship Id="rId411" Type="http://schemas.openxmlformats.org/officeDocument/2006/relationships/footer" Target="footer4.xml"/><Relationship Id="rId106" Type="http://schemas.openxmlformats.org/officeDocument/2006/relationships/oleObject" Target="embeddings/oleObject2.bin"/><Relationship Id="rId127" Type="http://schemas.openxmlformats.org/officeDocument/2006/relationships/hyperlink" Target="http://onwomen.ru/olenina.html" TargetMode="External"/><Relationship Id="rId313" Type="http://schemas.openxmlformats.org/officeDocument/2006/relationships/hyperlink" Target="https://elibrary.ru/author_items.asp?refid=527843659&amp;fam=%D0%9A%D0%BE%D0%BB%D1%8C%D1%86%D0%BE%D0%B2&amp;init=%D0%A1+%D0%92" TargetMode="External"/><Relationship Id="rId10" Type="http://schemas.openxmlformats.org/officeDocument/2006/relationships/footer" Target="footer2.xml"/><Relationship Id="rId31" Type="http://schemas.openxmlformats.org/officeDocument/2006/relationships/hyperlink" Target="https://vet-oculus.ru/works/jazva_rogovicy/" TargetMode="External"/><Relationship Id="rId52" Type="http://schemas.openxmlformats.org/officeDocument/2006/relationships/hyperlink" Target="https://elibrary.ru/item.asp?id=32274900" TargetMode="External"/><Relationship Id="rId73" Type="http://schemas.openxmlformats.org/officeDocument/2006/relationships/hyperlink" Target="http://elibrary.ru/item.asp?id=25859319" TargetMode="External"/><Relationship Id="rId94" Type="http://schemas.openxmlformats.org/officeDocument/2006/relationships/hyperlink" Target="https://elibrary.ru/item.asp?id=25357841" TargetMode="External"/><Relationship Id="rId148" Type="http://schemas.openxmlformats.org/officeDocument/2006/relationships/hyperlink" Target="https://elibrary.ru/item.asp?id=30315032" TargetMode="External"/><Relationship Id="rId169" Type="http://schemas.openxmlformats.org/officeDocument/2006/relationships/hyperlink" Target="https://elibrary.ru/contents.asp?issueid=1891599" TargetMode="External"/><Relationship Id="rId334" Type="http://schemas.openxmlformats.org/officeDocument/2006/relationships/hyperlink" Target="https://elibrary.ru/author_items.asp?refid=430018413&amp;fam=%D0%9A%D0%B8%D0%B2%D0%B0&amp;init=%D0%95+%D0%90" TargetMode="External"/><Relationship Id="rId355" Type="http://schemas.openxmlformats.org/officeDocument/2006/relationships/hyperlink" Target="https://elibrary.ru/item.asp?id=30650882" TargetMode="External"/><Relationship Id="rId376" Type="http://schemas.openxmlformats.org/officeDocument/2006/relationships/hyperlink" Target="https://base.garant.ru/12125267/20/" TargetMode="External"/><Relationship Id="rId397" Type="http://schemas.openxmlformats.org/officeDocument/2006/relationships/hyperlink" Target="consultantplus://offline/ref=BEF846474DCE70F3E9829F3C12A7426A9734EADAB449E6AAD2A16FA7D022740F4E354AB5B7CD5EX1R" TargetMode="External"/><Relationship Id="rId4" Type="http://schemas.microsoft.com/office/2007/relationships/stylesWithEffects" Target="stylesWithEffects.xml"/><Relationship Id="rId180" Type="http://schemas.openxmlformats.org/officeDocument/2006/relationships/hyperlink" Target="https://elibrary.ru/item.asp?id=30315032" TargetMode="External"/><Relationship Id="rId215" Type="http://schemas.openxmlformats.org/officeDocument/2006/relationships/hyperlink" Target="https://elibrary.ru/author_items.asp?refid=431337550&amp;fam=%D0%9F%D0%B0%D1%80%D0%B0%D0%BC%D0%BE%D0%BD%D0%BE%D0%B2&amp;init=%D0%9F+%D0%A4" TargetMode="External"/><Relationship Id="rId236" Type="http://schemas.openxmlformats.org/officeDocument/2006/relationships/hyperlink" Target="https://elibrary.ru/author_items.asp?refid=527844048&amp;fam=%D0%9C%D0%B5%D1%82%D0%B5%D0%BB%D1%8C%D1%81%D0%BA%D0%B0%D1%8F&amp;init=%D0%A2+%D0%92" TargetMode="External"/><Relationship Id="rId257" Type="http://schemas.openxmlformats.org/officeDocument/2006/relationships/hyperlink" Target="https://elibrary.ru/author_items.asp?refid=527843587&amp;fam=%D0%9A%D1%83%D0%BB%D0%B8%D1%88&amp;init=%D0%9D+%D0%9B" TargetMode="External"/><Relationship Id="rId278" Type="http://schemas.openxmlformats.org/officeDocument/2006/relationships/hyperlink" Target="https://www.merriam-webster.com/dictionary/synthetic" TargetMode="External"/><Relationship Id="rId401" Type="http://schemas.openxmlformats.org/officeDocument/2006/relationships/hyperlink" Target="http://www.consultant.ru/document/cons_doc_LAW_133131/a891ea7ea92c378e8aea02346322a63f1e7afd3a/" TargetMode="External"/><Relationship Id="rId303" Type="http://schemas.openxmlformats.org/officeDocument/2006/relationships/hyperlink" Target="https://elibrary.ru/item.asp?id=32577563" TargetMode="External"/><Relationship Id="rId42" Type="http://schemas.openxmlformats.org/officeDocument/2006/relationships/hyperlink" Target="https://elibrary.ru/contents.asp?issueid=1402255&amp;selid=23698221" TargetMode="External"/><Relationship Id="rId84" Type="http://schemas.openxmlformats.org/officeDocument/2006/relationships/hyperlink" Target="https://elibrary.ru/contents.asp?issueid=1362449&amp;selid=22843018" TargetMode="External"/><Relationship Id="rId138" Type="http://schemas.openxmlformats.org/officeDocument/2006/relationships/hyperlink" Target="http://elibrary.ru/item.asp?id=25733627" TargetMode="External"/><Relationship Id="rId345" Type="http://schemas.openxmlformats.org/officeDocument/2006/relationships/hyperlink" Target="https://elibrary.ru/author_items.asp?refid=432766186&amp;fam=%D0%A1%D1%83%D1%85%D0%B0%D1%80%D0%B5%D0%B2%D0%B0&amp;init=%D0%9E+%D0%90" TargetMode="External"/><Relationship Id="rId387" Type="http://schemas.openxmlformats.org/officeDocument/2006/relationships/hyperlink" Target="consultantplus://offline/ref=DAB24BBFFFF11847458BB7CE1CA5505E1612B1934B0115FE240E3285F0132C05683C9A15EBA7x34FS" TargetMode="External"/><Relationship Id="rId191" Type="http://schemas.openxmlformats.org/officeDocument/2006/relationships/hyperlink" Target="http://media.unwto.org/ru/annual-reports" TargetMode="External"/><Relationship Id="rId205" Type="http://schemas.openxmlformats.org/officeDocument/2006/relationships/hyperlink" Target="http://www.iprbookshop.ru/35840.html" TargetMode="External"/><Relationship Id="rId247" Type="http://schemas.openxmlformats.org/officeDocument/2006/relationships/hyperlink" Target="https://elibrary.ru/author_items.asp?refid=380337831&amp;fam=%D0%90%D1%80%D1%83%D1%82%D1%8E%D0%BD%D1%8F%D0%BD&amp;init=%D0%AE+%D0%98" TargetMode="External"/><Relationship Id="rId412" Type="http://schemas.openxmlformats.org/officeDocument/2006/relationships/fontTable" Target="fontTable.xml"/><Relationship Id="rId107" Type="http://schemas.openxmlformats.org/officeDocument/2006/relationships/image" Target="media/image3.wmf"/><Relationship Id="rId289" Type="http://schemas.openxmlformats.org/officeDocument/2006/relationships/hyperlink" Target="https://elibrary.ru/contents.asp?issueid=2194661" TargetMode="External"/><Relationship Id="rId11" Type="http://schemas.openxmlformats.org/officeDocument/2006/relationships/hyperlink" Target="http://elibrary.ru/item.asp?id=19524626" TargetMode="External"/><Relationship Id="rId53" Type="http://schemas.openxmlformats.org/officeDocument/2006/relationships/hyperlink" Target="https://soft-agro.com/korovy/kak-opredelit-soderzhanie-suxogo-veshhestva-v-korme-s-pomoshhyu-mikrovolnovki.html" TargetMode="External"/><Relationship Id="rId149" Type="http://schemas.openxmlformats.org/officeDocument/2006/relationships/hyperlink" Target="https://elibrary.ru/contents.asp?issueid=2187359" TargetMode="External"/><Relationship Id="rId314" Type="http://schemas.openxmlformats.org/officeDocument/2006/relationships/hyperlink" Target="https://elibrary.ru/author_items.asp?refid=527843659&amp;fam=%D0%9B%D0%B8%D1%82%D0%B2%D0%B8%D0%BD%D0%B5%D0%BD%D0%BA%D0%BE&amp;init=%D0%93+%D0%9D" TargetMode="External"/><Relationship Id="rId356" Type="http://schemas.openxmlformats.org/officeDocument/2006/relationships/hyperlink" Target="https://elibrary.ru/item.asp?id=30650721" TargetMode="External"/><Relationship Id="rId398" Type="http://schemas.openxmlformats.org/officeDocument/2006/relationships/hyperlink" Target="http://bujet.ru/answers/89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Нэл14</b:Tag>
    <b:SourceType>Book</b:SourceType>
    <b:Guid>{786184BF-C1B8-4D76-B22F-023F1B48EEDD}</b:Guid>
    <b:Title>Основы биохимии Леннинджера</b:Title>
    <b:Year>2014</b:Year>
    <b:City>Москва</b:City>
    <b:Publisher>Бином. Лаборатория знаний</b:Publisher>
    <b:Author>
      <b:Author>
        <b:NameList>
          <b:Person>
            <b:Last>Нэльсон</b:Last>
            <b:First>Дэвид</b:First>
          </b:Person>
          <b:Person>
            <b:Last>Кокс</b:Last>
            <b:First>Майкл</b:First>
          </b:Person>
        </b:NameList>
      </b:Author>
    </b:Author>
    <b:Volume>2</b:Volume>
    <b:NumberVolumes>3</b:NumberVolumes>
    <b:Pages>636</b:Pages>
    <b:RefOrder>1</b:RefOrder>
  </b:Source>
  <b:Source>
    <b:Tag>Ahm05</b:Tag>
    <b:SourceType>JournalArticle</b:SourceType>
    <b:Guid>{FBC241F1-82FC-4416-80A8-7BDE0D607902}</b:Guid>
    <b:Title>Indole Acetic Acid Production by the Indigenous Isolates of Azotobacter and Fluorescent Pseudomonas in the Presence and Absence of Tryptophan</b:Title>
    <b:Year>2005</b:Year>
    <b:City>Aligarh</b:City>
    <b:Publisher>Turkish Journal of Biology</b:Publisher>
    <b:Author>
      <b:Author>
        <b:NameList>
          <b:Person>
            <b:Last>Ahmad</b:Last>
            <b:First>Farah</b:First>
          </b:Person>
          <b:Person>
            <b:Last>Ahmad</b:Last>
            <b:First>Iqbal</b:First>
          </b:Person>
          <b:Person>
            <b:Last>Khan</b:Last>
            <b:Middle>Saghir</b:Middle>
            <b:First>Mond</b:First>
          </b:Person>
        </b:NameList>
      </b:Author>
    </b:Author>
    <b:Issue>29</b:Issue>
    <b:Pages>29-34</b:Pages>
    <b:RefOrder>2</b:RefOrder>
  </b:Source>
  <b:Source>
    <b:Tag>Sha89</b:Tag>
    <b:SourceType>JournalArticle</b:SourceType>
    <b:Guid>{882EF9C0-972F-4A87-943F-6A4F3F8AE527}</b:Guid>
    <b:Author>
      <b:Author>
        <b:NameList>
          <b:Person>
            <b:Last>Sharma</b:Last>
            <b:Middle>Devi</b:Middle>
            <b:First>Uma</b:First>
          </b:Person>
          <b:Person>
            <b:Last>Rai</b:Last>
            <b:Middle>K.</b:Middle>
            <b:First>V.</b:First>
          </b:Person>
        </b:NameList>
      </b:Author>
    </b:Author>
    <b:Title>Modulation of osmotic closure of stomata, stomatal resistance and K+ fluxes by exogenous amino acids in Vicia faba L. leaves</b:Title>
    <b:Year>1989</b:Year>
    <b:City>Shimla</b:City>
    <b:Pages>369-376</b:Pages>
    <b:JournalName>Biochem.Physiol.Pflanz</b:JournalName>
    <b:LCID>en-US</b:LCID>
    <b:Issue>185</b:Issue>
    <b:Publisher>Biochem. Physiol. Pflanzen</b:Publisher>
    <b:RefOrder>3</b:RefOrder>
  </b:Source>
  <b:Source>
    <b:Tag>Тюп08</b:Tag>
    <b:SourceType>Book</b:SourceType>
    <b:Guid>{25EB4E71-A72F-46A5-9023-19E13650BF81}</b:Guid>
    <b:Author>
      <b:Author>
        <b:NameList>
          <b:Person>
            <b:Last>Тюпаков Э.Ф.</b:Last>
            <b:First>Бровкина</b:First>
            <b:Middle>Т.Я.</b:Middle>
          </b:Person>
        </b:NameList>
      </b:Author>
    </b:Author>
    <b:Title>Озимая пшеница на Северном Кавказе</b:Title>
    <b:Year>2008</b:Year>
    <b:City>Элиста</b:City>
    <b:Publisher>Джангар</b:Publisher>
    <b:Pages>325</b:Pages>
    <b:RefOrder>4</b:RefOrder>
  </b:Source>
</b:Sources>
</file>

<file path=customXml/itemProps1.xml><?xml version="1.0" encoding="utf-8"?>
<ds:datastoreItem xmlns:ds="http://schemas.openxmlformats.org/officeDocument/2006/customXml" ds:itemID="{701ED610-9728-46C6-B898-1F8C4908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634</Pages>
  <Words>365358</Words>
  <Characters>2082546</Characters>
  <Application>Microsoft Office Word</Application>
  <DocSecurity>0</DocSecurity>
  <Lines>17354</Lines>
  <Paragraphs>4886</Paragraphs>
  <ScaleCrop>false</ScaleCrop>
  <HeadingPairs>
    <vt:vector size="2" baseType="variant">
      <vt:variant>
        <vt:lpstr>Название</vt:lpstr>
      </vt:variant>
      <vt:variant>
        <vt:i4>1</vt:i4>
      </vt:variant>
    </vt:vector>
  </HeadingPairs>
  <TitlesOfParts>
    <vt:vector size="1" baseType="lpstr">
      <vt:lpstr/>
    </vt:vector>
  </TitlesOfParts>
  <Company>Кубанский ГАУ</Company>
  <LinksUpToDate>false</LinksUpToDate>
  <CharactersWithSpaces>2443018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Штомпель</dc:creator>
  <cp:lastModifiedBy>user</cp:lastModifiedBy>
  <cp:revision>6</cp:revision>
  <cp:lastPrinted>2018-06-18T12:40:00Z</cp:lastPrinted>
  <dcterms:created xsi:type="dcterms:W3CDTF">2018-06-08T11:38:00Z</dcterms:created>
  <dcterms:modified xsi:type="dcterms:W3CDTF">2018-06-18T12:42:00Z</dcterms:modified>
</cp:coreProperties>
</file>